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37E6F9">
      <w:pPr>
        <w:pStyle w:val="2"/>
        <w:spacing w:line="272" w:lineRule="auto"/>
      </w:pPr>
    </w:p>
    <w:p w14:paraId="409B34B7">
      <w:pPr>
        <w:pStyle w:val="2"/>
        <w:spacing w:line="272" w:lineRule="auto"/>
      </w:pPr>
    </w:p>
    <w:p w14:paraId="4F8A7705">
      <w:pPr>
        <w:pStyle w:val="2"/>
        <w:spacing w:line="272" w:lineRule="auto"/>
      </w:pPr>
    </w:p>
    <w:p w14:paraId="40FEB741">
      <w:pPr>
        <w:pStyle w:val="2"/>
        <w:spacing w:line="272" w:lineRule="auto"/>
      </w:pPr>
    </w:p>
    <w:p w14:paraId="02FE6A0D">
      <w:pPr>
        <w:pStyle w:val="2"/>
        <w:spacing w:line="272" w:lineRule="auto"/>
      </w:pPr>
    </w:p>
    <w:p w14:paraId="04133D50">
      <w:pPr>
        <w:pStyle w:val="2"/>
        <w:spacing w:line="273" w:lineRule="auto"/>
      </w:pPr>
    </w:p>
    <w:p w14:paraId="7078C935">
      <w:pPr>
        <w:pStyle w:val="2"/>
        <w:spacing w:line="273" w:lineRule="auto"/>
      </w:pPr>
    </w:p>
    <w:p w14:paraId="1ACEBB46">
      <w:pPr>
        <w:spacing w:before="152" w:line="223" w:lineRule="auto"/>
        <w:ind w:left="630"/>
        <w:outlineLvl w:val="0"/>
        <w:rPr>
          <w:rFonts w:ascii="宋体" w:hAnsi="宋体" w:eastAsia="宋体" w:cs="宋体"/>
          <w:sz w:val="47"/>
          <w:szCs w:val="47"/>
        </w:rPr>
      </w:pPr>
      <w:r>
        <w:rPr>
          <w:rFonts w:ascii="宋体" w:hAnsi="宋体" w:eastAsia="宋体" w:cs="宋体"/>
          <w:b/>
          <w:bCs/>
          <w:spacing w:val="1"/>
          <w:sz w:val="47"/>
          <w:szCs w:val="47"/>
        </w:rPr>
        <w:t>内蒙古新创发展科技有限公司一期</w:t>
      </w:r>
    </w:p>
    <w:p w14:paraId="099EFFF9">
      <w:pPr>
        <w:spacing w:before="367" w:line="224" w:lineRule="auto"/>
        <w:ind w:left="29"/>
        <w:outlineLvl w:val="0"/>
        <w:rPr>
          <w:rFonts w:ascii="宋体" w:hAnsi="宋体" w:eastAsia="宋体" w:cs="宋体"/>
          <w:sz w:val="47"/>
          <w:szCs w:val="47"/>
        </w:rPr>
      </w:pPr>
      <w:r>
        <w:rPr>
          <w:rFonts w:ascii="Times New Roman" w:hAnsi="Times New Roman" w:eastAsia="Times New Roman" w:cs="Times New Roman"/>
          <w:b/>
          <w:bCs/>
          <w:spacing w:val="6"/>
          <w:sz w:val="47"/>
          <w:szCs w:val="47"/>
        </w:rPr>
        <w:t>6×36</w:t>
      </w:r>
      <w:r>
        <w:rPr>
          <w:rFonts w:ascii="Times New Roman" w:hAnsi="Times New Roman" w:eastAsia="Times New Roman" w:cs="Times New Roman"/>
          <w:b/>
          <w:bCs/>
          <w:sz w:val="47"/>
          <w:szCs w:val="47"/>
        </w:rPr>
        <w:t>MW</w:t>
      </w:r>
      <w:r>
        <w:rPr>
          <w:rFonts w:ascii="Times New Roman" w:hAnsi="Times New Roman" w:eastAsia="Times New Roman" w:cs="Times New Roman"/>
          <w:b/>
          <w:bCs/>
          <w:spacing w:val="6"/>
          <w:sz w:val="47"/>
          <w:szCs w:val="47"/>
        </w:rPr>
        <w:t xml:space="preserve"> </w:t>
      </w:r>
      <w:r>
        <w:rPr>
          <w:rFonts w:ascii="宋体" w:hAnsi="宋体" w:eastAsia="宋体" w:cs="宋体"/>
          <w:b/>
          <w:bCs/>
          <w:spacing w:val="6"/>
          <w:sz w:val="47"/>
          <w:szCs w:val="47"/>
        </w:rPr>
        <w:t>直流锰硅合金全密闭电炉项目</w:t>
      </w:r>
    </w:p>
    <w:p w14:paraId="4799ECC0">
      <w:pPr>
        <w:pStyle w:val="2"/>
        <w:spacing w:line="254" w:lineRule="auto"/>
      </w:pPr>
    </w:p>
    <w:p w14:paraId="0F4CEEBB">
      <w:pPr>
        <w:pStyle w:val="2"/>
        <w:spacing w:line="254" w:lineRule="auto"/>
      </w:pPr>
    </w:p>
    <w:p w14:paraId="7C8B84D9">
      <w:pPr>
        <w:pStyle w:val="2"/>
        <w:spacing w:line="254" w:lineRule="auto"/>
      </w:pPr>
    </w:p>
    <w:p w14:paraId="307C9F5D">
      <w:pPr>
        <w:pStyle w:val="2"/>
        <w:spacing w:line="255" w:lineRule="auto"/>
      </w:pPr>
    </w:p>
    <w:p w14:paraId="5DC01DF5">
      <w:pPr>
        <w:pStyle w:val="2"/>
        <w:spacing w:line="255" w:lineRule="auto"/>
      </w:pPr>
    </w:p>
    <w:p w14:paraId="5C29BF6F">
      <w:pPr>
        <w:spacing w:before="153" w:line="222" w:lineRule="auto"/>
        <w:ind w:left="2497"/>
        <w:rPr>
          <w:rFonts w:ascii="宋体" w:hAnsi="宋体" w:eastAsia="宋体" w:cs="宋体"/>
          <w:sz w:val="47"/>
          <w:szCs w:val="47"/>
        </w:rPr>
      </w:pPr>
      <w:r>
        <w:rPr>
          <w:rFonts w:ascii="宋体" w:hAnsi="宋体" w:eastAsia="宋体" w:cs="宋体"/>
          <w:b/>
          <w:bCs/>
          <w:spacing w:val="4"/>
          <w:sz w:val="47"/>
          <w:szCs w:val="47"/>
        </w:rPr>
        <w:t>环境影响报告书</w:t>
      </w:r>
    </w:p>
    <w:p w14:paraId="35585654">
      <w:pPr>
        <w:pStyle w:val="2"/>
        <w:spacing w:line="241" w:lineRule="auto"/>
      </w:pPr>
    </w:p>
    <w:p w14:paraId="3F93992A">
      <w:pPr>
        <w:pStyle w:val="2"/>
        <w:spacing w:line="241" w:lineRule="auto"/>
      </w:pPr>
    </w:p>
    <w:p w14:paraId="6BF148D5">
      <w:pPr>
        <w:pStyle w:val="2"/>
        <w:spacing w:line="241" w:lineRule="auto"/>
      </w:pPr>
    </w:p>
    <w:p w14:paraId="72AB2F20">
      <w:pPr>
        <w:pStyle w:val="2"/>
        <w:spacing w:line="241" w:lineRule="auto"/>
      </w:pPr>
    </w:p>
    <w:p w14:paraId="180A15A3">
      <w:pPr>
        <w:pStyle w:val="2"/>
        <w:spacing w:line="241" w:lineRule="auto"/>
      </w:pPr>
    </w:p>
    <w:p w14:paraId="7B067834">
      <w:pPr>
        <w:pStyle w:val="2"/>
        <w:spacing w:line="241" w:lineRule="auto"/>
      </w:pPr>
    </w:p>
    <w:p w14:paraId="524F573E">
      <w:pPr>
        <w:pStyle w:val="2"/>
        <w:spacing w:line="241" w:lineRule="auto"/>
      </w:pPr>
    </w:p>
    <w:p w14:paraId="037E5BD0">
      <w:pPr>
        <w:pStyle w:val="2"/>
        <w:spacing w:line="241" w:lineRule="auto"/>
      </w:pPr>
    </w:p>
    <w:p w14:paraId="279CBF86">
      <w:pPr>
        <w:pStyle w:val="2"/>
        <w:spacing w:line="241" w:lineRule="auto"/>
      </w:pPr>
    </w:p>
    <w:p w14:paraId="3E1433EC">
      <w:pPr>
        <w:pStyle w:val="2"/>
        <w:spacing w:line="241" w:lineRule="auto"/>
      </w:pPr>
    </w:p>
    <w:p w14:paraId="199E7B01">
      <w:pPr>
        <w:pStyle w:val="2"/>
        <w:spacing w:line="241" w:lineRule="auto"/>
      </w:pPr>
    </w:p>
    <w:p w14:paraId="5D41E4A0">
      <w:pPr>
        <w:pStyle w:val="2"/>
        <w:spacing w:line="241" w:lineRule="auto"/>
      </w:pPr>
    </w:p>
    <w:p w14:paraId="68FB7F8A">
      <w:pPr>
        <w:pStyle w:val="2"/>
        <w:spacing w:line="241" w:lineRule="auto"/>
      </w:pPr>
    </w:p>
    <w:p w14:paraId="6391C289">
      <w:pPr>
        <w:pStyle w:val="2"/>
        <w:spacing w:line="241" w:lineRule="auto"/>
      </w:pPr>
    </w:p>
    <w:p w14:paraId="47834C39">
      <w:pPr>
        <w:pStyle w:val="2"/>
        <w:spacing w:line="241" w:lineRule="auto"/>
      </w:pPr>
    </w:p>
    <w:p w14:paraId="00A63941">
      <w:pPr>
        <w:pStyle w:val="2"/>
        <w:spacing w:line="241" w:lineRule="auto"/>
      </w:pPr>
    </w:p>
    <w:p w14:paraId="0F063725">
      <w:pPr>
        <w:pStyle w:val="2"/>
        <w:spacing w:line="241" w:lineRule="auto"/>
      </w:pPr>
    </w:p>
    <w:p w14:paraId="43890585">
      <w:pPr>
        <w:pStyle w:val="2"/>
        <w:spacing w:line="241" w:lineRule="auto"/>
      </w:pPr>
    </w:p>
    <w:p w14:paraId="504D62E0">
      <w:pPr>
        <w:pStyle w:val="2"/>
        <w:spacing w:line="241" w:lineRule="auto"/>
      </w:pPr>
    </w:p>
    <w:p w14:paraId="09E85993">
      <w:pPr>
        <w:pStyle w:val="2"/>
        <w:spacing w:line="241" w:lineRule="auto"/>
      </w:pPr>
    </w:p>
    <w:p w14:paraId="0FAA6F96">
      <w:pPr>
        <w:pStyle w:val="2"/>
        <w:spacing w:line="241" w:lineRule="auto"/>
      </w:pPr>
    </w:p>
    <w:p w14:paraId="194F9B0E">
      <w:pPr>
        <w:pStyle w:val="2"/>
        <w:spacing w:line="241" w:lineRule="auto"/>
      </w:pPr>
    </w:p>
    <w:p w14:paraId="1E7B9B9E">
      <w:pPr>
        <w:spacing w:before="101" w:line="427" w:lineRule="auto"/>
        <w:ind w:left="3261" w:right="1278" w:hanging="1971"/>
        <w:rPr>
          <w:rFonts w:ascii="宋体" w:hAnsi="宋体" w:eastAsia="宋体" w:cs="宋体"/>
          <w:sz w:val="31"/>
          <w:szCs w:val="31"/>
        </w:rPr>
        <w:sectPr>
          <w:pgSz w:w="11906" w:h="16839"/>
          <w:pgMar w:top="1431" w:right="1785" w:bottom="0" w:left="1785" w:header="0" w:footer="0" w:gutter="0"/>
          <w:cols w:space="720" w:num="1"/>
        </w:sectPr>
      </w:pPr>
      <w:r>
        <w:rPr>
          <w:rFonts w:ascii="宋体" w:hAnsi="宋体" w:eastAsia="宋体" w:cs="宋体"/>
          <w:b/>
          <w:bCs/>
          <w:spacing w:val="3"/>
          <w:sz w:val="31"/>
          <w:szCs w:val="31"/>
        </w:rPr>
        <w:t>建设单位：</w:t>
      </w:r>
      <w:r>
        <w:rPr>
          <w:rFonts w:ascii="宋体" w:hAnsi="宋体" w:eastAsia="宋体" w:cs="宋体"/>
          <w:spacing w:val="-84"/>
          <w:sz w:val="31"/>
          <w:szCs w:val="31"/>
        </w:rPr>
        <w:t xml:space="preserve"> </w:t>
      </w:r>
      <w:r>
        <w:rPr>
          <w:rFonts w:ascii="宋体" w:hAnsi="宋体" w:eastAsia="宋体" w:cs="宋体"/>
          <w:b/>
          <w:bCs/>
          <w:spacing w:val="3"/>
          <w:sz w:val="31"/>
          <w:szCs w:val="31"/>
        </w:rPr>
        <w:t>内蒙古新创发展科技有限公司</w:t>
      </w:r>
      <w:r>
        <w:rPr>
          <w:rFonts w:ascii="宋体" w:hAnsi="宋体" w:eastAsia="宋体" w:cs="宋体"/>
          <w:sz w:val="31"/>
          <w:szCs w:val="31"/>
        </w:rPr>
        <w:t xml:space="preserve"> </w:t>
      </w:r>
      <w:r>
        <w:rPr>
          <w:rFonts w:ascii="Times New Roman" w:hAnsi="Times New Roman" w:eastAsia="Times New Roman" w:cs="Times New Roman"/>
          <w:b/>
          <w:bCs/>
          <w:spacing w:val="-4"/>
          <w:sz w:val="31"/>
          <w:szCs w:val="31"/>
        </w:rPr>
        <w:t>2024</w:t>
      </w:r>
      <w:r>
        <w:rPr>
          <w:rFonts w:ascii="Times New Roman" w:hAnsi="Times New Roman" w:eastAsia="Times New Roman" w:cs="Times New Roman"/>
          <w:b/>
          <w:bCs/>
          <w:spacing w:val="23"/>
          <w:sz w:val="31"/>
          <w:szCs w:val="31"/>
        </w:rPr>
        <w:t xml:space="preserve"> </w:t>
      </w:r>
      <w:r>
        <w:rPr>
          <w:rFonts w:ascii="宋体" w:hAnsi="宋体" w:eastAsia="宋体" w:cs="宋体"/>
          <w:b/>
          <w:bCs/>
          <w:spacing w:val="-4"/>
          <w:sz w:val="31"/>
          <w:szCs w:val="31"/>
        </w:rPr>
        <w:t>年</w:t>
      </w:r>
      <w:r>
        <w:rPr>
          <w:rFonts w:ascii="宋体" w:hAnsi="宋体" w:eastAsia="宋体" w:cs="宋体"/>
          <w:spacing w:val="-52"/>
          <w:sz w:val="31"/>
          <w:szCs w:val="31"/>
        </w:rPr>
        <w:t xml:space="preserve"> </w:t>
      </w:r>
      <w:r>
        <w:rPr>
          <w:rFonts w:ascii="Times New Roman" w:hAnsi="Times New Roman" w:eastAsia="Times New Roman" w:cs="Times New Roman"/>
          <w:b/>
          <w:bCs/>
          <w:spacing w:val="-4"/>
          <w:sz w:val="31"/>
          <w:szCs w:val="31"/>
        </w:rPr>
        <w:t>11</w:t>
      </w:r>
      <w:r>
        <w:rPr>
          <w:rFonts w:ascii="Times New Roman" w:hAnsi="Times New Roman" w:eastAsia="Times New Roman" w:cs="Times New Roman"/>
          <w:b/>
          <w:bCs/>
          <w:spacing w:val="18"/>
          <w:sz w:val="31"/>
          <w:szCs w:val="31"/>
        </w:rPr>
        <w:t xml:space="preserve"> </w:t>
      </w:r>
      <w:r>
        <w:rPr>
          <w:rFonts w:ascii="宋体" w:hAnsi="宋体" w:eastAsia="宋体" w:cs="宋体"/>
          <w:b/>
          <w:bCs/>
          <w:spacing w:val="-4"/>
          <w:sz w:val="31"/>
          <w:szCs w:val="31"/>
        </w:rPr>
        <w:t>月</w:t>
      </w:r>
    </w:p>
    <w:p w14:paraId="29F5B3C4">
      <w:pPr>
        <w:spacing w:line="15463" w:lineRule="exact"/>
        <w:sectPr>
          <w:pgSz w:w="11906" w:h="16839"/>
          <w:pgMar w:top="624" w:right="441" w:bottom="0" w:left="441" w:header="0" w:footer="0" w:gutter="0"/>
          <w:cols w:space="720" w:num="1"/>
        </w:sectPr>
      </w:pPr>
    </w:p>
    <w:p w14:paraId="369A75AD">
      <w:pPr>
        <w:sectPr>
          <w:headerReference r:id="rId5" w:type="default"/>
          <w:footerReference r:id="rId6" w:type="default"/>
          <w:pgSz w:w="11906" w:h="16839"/>
          <w:pgMar w:top="0" w:right="0" w:bottom="0" w:left="0" w:header="0" w:footer="0" w:gutter="0"/>
          <w:cols w:space="720" w:num="1"/>
        </w:sectPr>
      </w:pPr>
    </w:p>
    <w:sdt>
      <w:sdtPr>
        <w:rPr>
          <w:rFonts w:ascii="宋体" w:hAnsi="宋体" w:eastAsia="宋体" w:cs="宋体"/>
          <w:sz w:val="24"/>
          <w:szCs w:val="24"/>
        </w:rPr>
        <w:id w:val="147480190"/>
        <w:docPartObj>
          <w:docPartGallery w:val="Table of Contents"/>
          <w:docPartUnique/>
        </w:docPartObj>
      </w:sdtPr>
      <w:sdtEndPr>
        <w:rPr>
          <w:rFonts w:ascii="Times New Roman" w:hAnsi="Times New Roman" w:eastAsia="Times New Roman" w:cs="Times New Roman"/>
          <w:sz w:val="20"/>
          <w:szCs w:val="20"/>
        </w:rPr>
      </w:sdtEndPr>
      <w:sdtContent>
        <w:p w14:paraId="19F27494">
          <w:pPr>
            <w:spacing w:before="218" w:line="221" w:lineRule="auto"/>
            <w:ind w:left="3939"/>
            <w:rPr>
              <w:rFonts w:ascii="宋体" w:hAnsi="宋体" w:eastAsia="宋体" w:cs="宋体"/>
              <w:sz w:val="24"/>
              <w:szCs w:val="24"/>
            </w:rPr>
          </w:pPr>
          <w:r>
            <w:pict>
              <v:shape id="_x0000_s1026" o:spid="_x0000_s1026" style="position:absolute;left:0pt;margin-left:79.4pt;margin-top:62.5pt;height:0.75pt;width:436.55pt;mso-position-horizontal-relative:page;mso-position-vertical-relative:page;z-index:251660288;mso-width-relative:page;mso-height-relative:page;" fillcolor="#000000" filled="t" stroked="f" coordsize="8730,15" o:allowincell="f" path="m0,0l8730,0,8730,14,0,14,0,0xe">
                <v:path/>
                <v:fill on="t" focussize="0,0"/>
                <v:stroke on="f"/>
                <v:imagedata o:title=""/>
                <o:lock v:ext="edit"/>
              </v:shape>
            </w:pict>
          </w:r>
          <w:r>
            <w:rPr>
              <w:rFonts w:ascii="宋体" w:hAnsi="宋体" w:eastAsia="宋体" w:cs="宋体"/>
              <w:b/>
              <w:bCs/>
              <w:spacing w:val="-31"/>
              <w:sz w:val="24"/>
              <w:szCs w:val="24"/>
            </w:rPr>
            <w:t>目</w:t>
          </w:r>
          <w:r>
            <w:rPr>
              <w:rFonts w:ascii="宋体" w:hAnsi="宋体" w:eastAsia="宋体" w:cs="宋体"/>
              <w:spacing w:val="2"/>
              <w:sz w:val="24"/>
              <w:szCs w:val="24"/>
            </w:rPr>
            <w:t xml:space="preserve">    </w:t>
          </w:r>
          <w:r>
            <w:rPr>
              <w:rFonts w:ascii="宋体" w:hAnsi="宋体" w:eastAsia="宋体" w:cs="宋体"/>
              <w:b/>
              <w:bCs/>
              <w:spacing w:val="-31"/>
              <w:sz w:val="24"/>
              <w:szCs w:val="24"/>
            </w:rPr>
            <w:t>录</w:t>
          </w:r>
        </w:p>
        <w:p w14:paraId="0F0F1F0A">
          <w:pPr>
            <w:tabs>
              <w:tab w:val="right" w:leader="dot" w:pos="8717"/>
            </w:tabs>
            <w:spacing w:before="172" w:line="194" w:lineRule="auto"/>
            <w:ind w:left="8"/>
            <w:rPr>
              <w:rFonts w:ascii="Times New Roman" w:hAnsi="Times New Roman" w:eastAsia="Times New Roman" w:cs="Times New Roman"/>
              <w:sz w:val="20"/>
              <w:szCs w:val="20"/>
            </w:rPr>
          </w:pPr>
          <w:bookmarkStart w:id="0" w:name="bookmark1"/>
          <w:bookmarkEnd w:id="0"/>
          <w:r>
            <w:fldChar w:fldCharType="begin"/>
          </w:r>
          <w:r>
            <w:instrText xml:space="preserve"> HYPERLINK \l "bookmark2" </w:instrText>
          </w:r>
          <w:r>
            <w:fldChar w:fldCharType="separate"/>
          </w:r>
          <w:r>
            <w:rPr>
              <w:rFonts w:ascii="宋体" w:hAnsi="宋体" w:eastAsia="宋体" w:cs="宋体"/>
              <w:b/>
              <w:bCs/>
              <w:spacing w:val="-2"/>
              <w:sz w:val="20"/>
              <w:szCs w:val="20"/>
            </w:rPr>
            <w:t>概</w:t>
          </w:r>
          <w:r>
            <w:rPr>
              <w:rFonts w:ascii="宋体" w:hAnsi="宋体" w:eastAsia="宋体" w:cs="宋体"/>
              <w:spacing w:val="9"/>
              <w:sz w:val="20"/>
              <w:szCs w:val="20"/>
            </w:rPr>
            <w:t xml:space="preserve">  </w:t>
          </w:r>
          <w:r>
            <w:rPr>
              <w:rFonts w:ascii="宋体" w:hAnsi="宋体" w:eastAsia="宋体" w:cs="宋体"/>
              <w:b/>
              <w:bCs/>
              <w:spacing w:val="-2"/>
              <w:sz w:val="20"/>
              <w:szCs w:val="20"/>
            </w:rPr>
            <w:t>述</w:t>
          </w:r>
          <w:r>
            <w:rPr>
              <w:rFonts w:ascii="宋体" w:hAnsi="宋体" w:eastAsia="宋体" w:cs="宋体"/>
              <w:spacing w:val="-63"/>
              <w:sz w:val="20"/>
              <w:szCs w:val="20"/>
            </w:rPr>
            <w:t xml:space="preserve"> </w:t>
          </w:r>
          <w:r>
            <w:rPr>
              <w:rFonts w:ascii="宋体" w:hAnsi="宋体" w:eastAsia="宋体" w:cs="宋体"/>
              <w:sz w:val="20"/>
              <w:szCs w:val="20"/>
            </w:rPr>
            <w:tab/>
          </w:r>
          <w:r>
            <w:rPr>
              <w:rFonts w:ascii="Times New Roman" w:hAnsi="Times New Roman" w:eastAsia="Times New Roman" w:cs="Times New Roman"/>
              <w:b/>
              <w:bCs/>
              <w:spacing w:val="6"/>
              <w:sz w:val="20"/>
              <w:szCs w:val="20"/>
            </w:rPr>
            <w:t>1</w:t>
          </w:r>
          <w:r>
            <w:rPr>
              <w:rFonts w:ascii="Times New Roman" w:hAnsi="Times New Roman" w:eastAsia="Times New Roman" w:cs="Times New Roman"/>
              <w:b/>
              <w:bCs/>
              <w:spacing w:val="6"/>
              <w:sz w:val="20"/>
              <w:szCs w:val="20"/>
            </w:rPr>
            <w:fldChar w:fldCharType="end"/>
          </w:r>
        </w:p>
        <w:p w14:paraId="0B1586E9">
          <w:pPr>
            <w:tabs>
              <w:tab w:val="right" w:leader="dot" w:pos="8717"/>
            </w:tabs>
            <w:spacing w:before="63" w:line="193" w:lineRule="auto"/>
            <w:ind w:left="445"/>
            <w:rPr>
              <w:rFonts w:ascii="Times New Roman" w:hAnsi="Times New Roman" w:eastAsia="Times New Roman" w:cs="Times New Roman"/>
              <w:sz w:val="20"/>
              <w:szCs w:val="20"/>
            </w:rPr>
          </w:pPr>
          <w:bookmarkStart w:id="1" w:name="bookmark3"/>
          <w:bookmarkEnd w:id="1"/>
          <w:r>
            <w:fldChar w:fldCharType="begin"/>
          </w:r>
          <w:r>
            <w:instrText xml:space="preserve"> HYPERLINK \l "bookmark4" </w:instrText>
          </w:r>
          <w:r>
            <w:fldChar w:fldCharType="separate"/>
          </w:r>
          <w:r>
            <w:rPr>
              <w:rFonts w:ascii="Times New Roman" w:hAnsi="Times New Roman" w:eastAsia="Times New Roman" w:cs="Times New Roman"/>
              <w:spacing w:val="5"/>
              <w:sz w:val="20"/>
              <w:szCs w:val="20"/>
            </w:rPr>
            <w:t>1.</w:t>
          </w:r>
          <w:r>
            <w:rPr>
              <w:rFonts w:ascii="宋体" w:hAnsi="宋体" w:eastAsia="宋体" w:cs="宋体"/>
              <w:spacing w:val="5"/>
              <w:sz w:val="20"/>
              <w:szCs w:val="20"/>
            </w:rPr>
            <w:t>项目由来及特点</w:t>
          </w:r>
          <w:r>
            <w:rPr>
              <w:rFonts w:ascii="宋体" w:hAnsi="宋体" w:eastAsia="宋体" w:cs="宋体"/>
              <w:spacing w:val="-55"/>
              <w:sz w:val="20"/>
              <w:szCs w:val="20"/>
            </w:rPr>
            <w:t xml:space="preserve"> </w:t>
          </w:r>
          <w:r>
            <w:rPr>
              <w:rFonts w:ascii="宋体" w:hAnsi="宋体" w:eastAsia="宋体" w:cs="宋体"/>
              <w:sz w:val="20"/>
              <w:szCs w:val="20"/>
            </w:rPr>
            <w:tab/>
          </w:r>
          <w:r>
            <w:rPr>
              <w:rFonts w:ascii="宋体" w:hAnsi="宋体" w:eastAsia="宋体" w:cs="宋体"/>
              <w:spacing w:val="-34"/>
              <w:sz w:val="20"/>
              <w:szCs w:val="20"/>
            </w:rPr>
            <w:t xml:space="preserve"> </w:t>
          </w:r>
          <w:r>
            <w:rPr>
              <w:rFonts w:ascii="Times New Roman" w:hAnsi="Times New Roman" w:eastAsia="Times New Roman" w:cs="Times New Roman"/>
              <w:spacing w:val="-20"/>
              <w:sz w:val="20"/>
              <w:szCs w:val="20"/>
            </w:rPr>
            <w:t>1</w:t>
          </w:r>
          <w:r>
            <w:rPr>
              <w:rFonts w:ascii="Times New Roman" w:hAnsi="Times New Roman" w:eastAsia="Times New Roman" w:cs="Times New Roman"/>
              <w:spacing w:val="-20"/>
              <w:sz w:val="20"/>
              <w:szCs w:val="20"/>
            </w:rPr>
            <w:fldChar w:fldCharType="end"/>
          </w:r>
        </w:p>
        <w:p w14:paraId="5B8415B5">
          <w:pPr>
            <w:tabs>
              <w:tab w:val="right" w:leader="dot" w:pos="8717"/>
            </w:tabs>
            <w:spacing w:before="64" w:line="193" w:lineRule="auto"/>
            <w:ind w:left="425"/>
            <w:rPr>
              <w:rFonts w:ascii="Times New Roman" w:hAnsi="Times New Roman" w:eastAsia="Times New Roman" w:cs="Times New Roman"/>
              <w:sz w:val="20"/>
              <w:szCs w:val="20"/>
            </w:rPr>
          </w:pPr>
          <w:bookmarkStart w:id="2" w:name="bookmark5"/>
          <w:bookmarkEnd w:id="2"/>
          <w:r>
            <w:fldChar w:fldCharType="begin"/>
          </w:r>
          <w:r>
            <w:instrText xml:space="preserve"> HYPERLINK \l "bookmark6" </w:instrText>
          </w:r>
          <w:r>
            <w:fldChar w:fldCharType="separate"/>
          </w:r>
          <w:r>
            <w:rPr>
              <w:rFonts w:ascii="Times New Roman" w:hAnsi="Times New Roman" w:eastAsia="Times New Roman" w:cs="Times New Roman"/>
              <w:spacing w:val="8"/>
              <w:sz w:val="20"/>
              <w:szCs w:val="20"/>
            </w:rPr>
            <w:t>2.</w:t>
          </w:r>
          <w:r>
            <w:rPr>
              <w:rFonts w:ascii="宋体" w:hAnsi="宋体" w:eastAsia="宋体" w:cs="宋体"/>
              <w:spacing w:val="8"/>
              <w:sz w:val="20"/>
              <w:szCs w:val="20"/>
            </w:rPr>
            <w:t>环境影响评价工作过程</w:t>
          </w:r>
          <w:r>
            <w:rPr>
              <w:rFonts w:ascii="宋体" w:hAnsi="宋体" w:eastAsia="宋体" w:cs="宋体"/>
              <w:spacing w:val="-55"/>
              <w:sz w:val="20"/>
              <w:szCs w:val="20"/>
            </w:rPr>
            <w:t xml:space="preserve"> </w:t>
          </w:r>
          <w:r>
            <w:rPr>
              <w:rFonts w:ascii="宋体" w:hAnsi="宋体" w:eastAsia="宋体" w:cs="宋体"/>
              <w:sz w:val="20"/>
              <w:szCs w:val="20"/>
            </w:rPr>
            <w:tab/>
          </w:r>
          <w:r>
            <w:rPr>
              <w:rFonts w:ascii="宋体" w:hAnsi="宋体" w:eastAsia="宋体" w:cs="宋体"/>
              <w:spacing w:val="-41"/>
              <w:sz w:val="20"/>
              <w:szCs w:val="20"/>
            </w:rPr>
            <w:t xml:space="preserve"> </w:t>
          </w:r>
          <w:r>
            <w:rPr>
              <w:rFonts w:ascii="Times New Roman" w:hAnsi="Times New Roman" w:eastAsia="Times New Roman" w:cs="Times New Roman"/>
              <w:spacing w:val="-20"/>
              <w:sz w:val="20"/>
              <w:szCs w:val="20"/>
            </w:rPr>
            <w:t>1</w:t>
          </w:r>
          <w:r>
            <w:rPr>
              <w:rFonts w:ascii="Times New Roman" w:hAnsi="Times New Roman" w:eastAsia="Times New Roman" w:cs="Times New Roman"/>
              <w:spacing w:val="-20"/>
              <w:sz w:val="20"/>
              <w:szCs w:val="20"/>
            </w:rPr>
            <w:fldChar w:fldCharType="end"/>
          </w:r>
        </w:p>
        <w:p w14:paraId="18E27FCE">
          <w:pPr>
            <w:tabs>
              <w:tab w:val="right" w:leader="dot" w:pos="8717"/>
            </w:tabs>
            <w:spacing w:before="62" w:line="194" w:lineRule="auto"/>
            <w:ind w:left="429"/>
            <w:rPr>
              <w:rFonts w:ascii="Times New Roman" w:hAnsi="Times New Roman" w:eastAsia="Times New Roman" w:cs="Times New Roman"/>
              <w:sz w:val="20"/>
              <w:szCs w:val="20"/>
            </w:rPr>
          </w:pPr>
          <w:bookmarkStart w:id="3" w:name="bookmark7"/>
          <w:bookmarkEnd w:id="3"/>
          <w:r>
            <w:fldChar w:fldCharType="begin"/>
          </w:r>
          <w:r>
            <w:instrText xml:space="preserve"> HYPERLINK \l "bookmark8" </w:instrText>
          </w:r>
          <w:r>
            <w:fldChar w:fldCharType="separate"/>
          </w:r>
          <w:r>
            <w:rPr>
              <w:rFonts w:ascii="Times New Roman" w:hAnsi="Times New Roman" w:eastAsia="Times New Roman" w:cs="Times New Roman"/>
              <w:spacing w:val="7"/>
              <w:sz w:val="20"/>
              <w:szCs w:val="20"/>
            </w:rPr>
            <w:t>3.</w:t>
          </w:r>
          <w:r>
            <w:rPr>
              <w:rFonts w:ascii="宋体" w:hAnsi="宋体" w:eastAsia="宋体" w:cs="宋体"/>
              <w:spacing w:val="7"/>
              <w:sz w:val="20"/>
              <w:szCs w:val="20"/>
            </w:rPr>
            <w:t>分析判定相关情况</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57"/>
              <w:sz w:val="20"/>
              <w:szCs w:val="20"/>
            </w:rPr>
            <w:t xml:space="preserve"> </w:t>
          </w:r>
          <w:r>
            <w:rPr>
              <w:rFonts w:ascii="Times New Roman" w:hAnsi="Times New Roman" w:eastAsia="Times New Roman" w:cs="Times New Roman"/>
              <w:sz w:val="20"/>
              <w:szCs w:val="20"/>
            </w:rPr>
            <w:t>2</w:t>
          </w:r>
          <w:r>
            <w:rPr>
              <w:rFonts w:ascii="Times New Roman" w:hAnsi="Times New Roman" w:eastAsia="Times New Roman" w:cs="Times New Roman"/>
              <w:sz w:val="20"/>
              <w:szCs w:val="20"/>
            </w:rPr>
            <w:fldChar w:fldCharType="end"/>
          </w:r>
        </w:p>
        <w:p w14:paraId="7E37D459">
          <w:pPr>
            <w:tabs>
              <w:tab w:val="right" w:leader="dot" w:pos="8717"/>
            </w:tabs>
            <w:spacing w:before="63" w:line="193" w:lineRule="auto"/>
            <w:ind w:left="849"/>
            <w:rPr>
              <w:rFonts w:ascii="Times New Roman" w:hAnsi="Times New Roman" w:eastAsia="Times New Roman" w:cs="Times New Roman"/>
              <w:sz w:val="20"/>
              <w:szCs w:val="20"/>
            </w:rPr>
          </w:pPr>
          <w:bookmarkStart w:id="4" w:name="bookmark9"/>
          <w:bookmarkEnd w:id="4"/>
          <w:r>
            <w:fldChar w:fldCharType="begin"/>
          </w:r>
          <w:r>
            <w:instrText xml:space="preserve"> HYPERLINK \l "bookmark10" </w:instrText>
          </w:r>
          <w:r>
            <w:fldChar w:fldCharType="separate"/>
          </w:r>
          <w:r>
            <w:rPr>
              <w:rFonts w:ascii="Times New Roman" w:hAnsi="Times New Roman" w:eastAsia="Times New Roman" w:cs="Times New Roman"/>
              <w:spacing w:val="7"/>
              <w:sz w:val="20"/>
              <w:szCs w:val="20"/>
            </w:rPr>
            <w:t xml:space="preserve">3.1 </w:t>
          </w:r>
          <w:r>
            <w:rPr>
              <w:rFonts w:ascii="宋体" w:hAnsi="宋体" w:eastAsia="宋体" w:cs="宋体"/>
              <w:spacing w:val="7"/>
              <w:sz w:val="20"/>
              <w:szCs w:val="20"/>
            </w:rPr>
            <w:t>产业政策符合性分析</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4"/>
              <w:sz w:val="20"/>
              <w:szCs w:val="20"/>
            </w:rPr>
            <w:t xml:space="preserve"> </w:t>
          </w:r>
          <w:r>
            <w:rPr>
              <w:rFonts w:ascii="Times New Roman" w:hAnsi="Times New Roman" w:eastAsia="Times New Roman" w:cs="Times New Roman"/>
              <w:sz w:val="20"/>
              <w:szCs w:val="20"/>
            </w:rPr>
            <w:t>2</w:t>
          </w:r>
          <w:r>
            <w:rPr>
              <w:rFonts w:ascii="Times New Roman" w:hAnsi="Times New Roman" w:eastAsia="Times New Roman" w:cs="Times New Roman"/>
              <w:sz w:val="20"/>
              <w:szCs w:val="20"/>
            </w:rPr>
            <w:fldChar w:fldCharType="end"/>
          </w:r>
        </w:p>
        <w:p w14:paraId="56620553">
          <w:pPr>
            <w:tabs>
              <w:tab w:val="right" w:leader="dot" w:pos="8717"/>
            </w:tabs>
            <w:spacing w:before="62" w:line="193" w:lineRule="auto"/>
            <w:ind w:left="849"/>
            <w:rPr>
              <w:rFonts w:ascii="Times New Roman" w:hAnsi="Times New Roman" w:eastAsia="Times New Roman" w:cs="Times New Roman"/>
              <w:sz w:val="20"/>
              <w:szCs w:val="20"/>
            </w:rPr>
          </w:pPr>
          <w:bookmarkStart w:id="5" w:name="bookmark11"/>
          <w:bookmarkEnd w:id="5"/>
          <w:r>
            <w:fldChar w:fldCharType="begin"/>
          </w:r>
          <w:r>
            <w:instrText xml:space="preserve"> HYPERLINK \l "bookmark12" </w:instrText>
          </w:r>
          <w:r>
            <w:fldChar w:fldCharType="separate"/>
          </w:r>
          <w:r>
            <w:rPr>
              <w:rFonts w:ascii="Times New Roman" w:hAnsi="Times New Roman" w:eastAsia="Times New Roman" w:cs="Times New Roman"/>
              <w:spacing w:val="7"/>
              <w:sz w:val="20"/>
              <w:szCs w:val="20"/>
            </w:rPr>
            <w:t xml:space="preserve">3.2 </w:t>
          </w:r>
          <w:r>
            <w:rPr>
              <w:rFonts w:ascii="宋体" w:hAnsi="宋体" w:eastAsia="宋体" w:cs="宋体"/>
              <w:spacing w:val="7"/>
              <w:sz w:val="20"/>
              <w:szCs w:val="20"/>
            </w:rPr>
            <w:t>相关政策符合性分析</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0"/>
              <w:sz w:val="20"/>
              <w:szCs w:val="20"/>
            </w:rPr>
            <w:t xml:space="preserve"> </w:t>
          </w:r>
          <w:r>
            <w:rPr>
              <w:rFonts w:ascii="Times New Roman" w:hAnsi="Times New Roman" w:eastAsia="Times New Roman" w:cs="Times New Roman"/>
              <w:sz w:val="20"/>
              <w:szCs w:val="20"/>
            </w:rPr>
            <w:t>3</w:t>
          </w:r>
          <w:r>
            <w:rPr>
              <w:rFonts w:ascii="Times New Roman" w:hAnsi="Times New Roman" w:eastAsia="Times New Roman" w:cs="Times New Roman"/>
              <w:sz w:val="20"/>
              <w:szCs w:val="20"/>
            </w:rPr>
            <w:fldChar w:fldCharType="end"/>
          </w:r>
        </w:p>
        <w:p w14:paraId="475C156C">
          <w:pPr>
            <w:tabs>
              <w:tab w:val="right" w:leader="dot" w:pos="8717"/>
            </w:tabs>
            <w:spacing w:before="62" w:line="194" w:lineRule="auto"/>
            <w:ind w:left="849"/>
            <w:rPr>
              <w:rFonts w:ascii="Times New Roman" w:hAnsi="Times New Roman" w:eastAsia="Times New Roman" w:cs="Times New Roman"/>
              <w:sz w:val="20"/>
              <w:szCs w:val="20"/>
            </w:rPr>
          </w:pPr>
          <w:bookmarkStart w:id="6" w:name="bookmark13"/>
          <w:bookmarkEnd w:id="6"/>
          <w:r>
            <w:fldChar w:fldCharType="begin"/>
          </w:r>
          <w:r>
            <w:instrText xml:space="preserve"> HYPERLINK \l "bookmark14" </w:instrText>
          </w:r>
          <w:r>
            <w:fldChar w:fldCharType="separate"/>
          </w:r>
          <w:r>
            <w:rPr>
              <w:rFonts w:ascii="Times New Roman" w:hAnsi="Times New Roman" w:eastAsia="Times New Roman" w:cs="Times New Roman"/>
              <w:spacing w:val="7"/>
              <w:sz w:val="20"/>
              <w:szCs w:val="20"/>
            </w:rPr>
            <w:t>3.3“</w:t>
          </w:r>
          <w:r>
            <w:rPr>
              <w:rFonts w:ascii="宋体" w:hAnsi="宋体" w:eastAsia="宋体" w:cs="宋体"/>
              <w:spacing w:val="7"/>
              <w:sz w:val="20"/>
              <w:szCs w:val="20"/>
            </w:rPr>
            <w:t>两高</w:t>
          </w:r>
          <w:r>
            <w:rPr>
              <w:rFonts w:ascii="Times New Roman" w:hAnsi="Times New Roman" w:eastAsia="Times New Roman" w:cs="Times New Roman"/>
              <w:spacing w:val="7"/>
              <w:sz w:val="20"/>
              <w:szCs w:val="20"/>
            </w:rPr>
            <w:t>”</w:t>
          </w:r>
          <w:r>
            <w:rPr>
              <w:rFonts w:ascii="宋体" w:hAnsi="宋体" w:eastAsia="宋体" w:cs="宋体"/>
              <w:spacing w:val="7"/>
              <w:sz w:val="20"/>
              <w:szCs w:val="20"/>
            </w:rPr>
            <w:t>项目政策符合性分析</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z w:val="20"/>
              <w:szCs w:val="20"/>
            </w:rPr>
            <w:t>7</w:t>
          </w:r>
          <w:r>
            <w:rPr>
              <w:rFonts w:ascii="Times New Roman" w:hAnsi="Times New Roman" w:eastAsia="Times New Roman" w:cs="Times New Roman"/>
              <w:sz w:val="20"/>
              <w:szCs w:val="20"/>
            </w:rPr>
            <w:fldChar w:fldCharType="end"/>
          </w:r>
        </w:p>
        <w:p w14:paraId="372C8050">
          <w:pPr>
            <w:tabs>
              <w:tab w:val="right" w:leader="dot" w:pos="8717"/>
            </w:tabs>
            <w:spacing w:before="64" w:line="193" w:lineRule="auto"/>
            <w:ind w:left="849"/>
            <w:rPr>
              <w:rFonts w:ascii="Times New Roman" w:hAnsi="Times New Roman" w:eastAsia="Times New Roman" w:cs="Times New Roman"/>
              <w:sz w:val="20"/>
              <w:szCs w:val="20"/>
            </w:rPr>
          </w:pPr>
          <w:bookmarkStart w:id="7" w:name="bookmark15"/>
          <w:bookmarkEnd w:id="7"/>
          <w:r>
            <w:fldChar w:fldCharType="begin"/>
          </w:r>
          <w:r>
            <w:instrText xml:space="preserve"> HYPERLINK \l "bookmark16" </w:instrText>
          </w:r>
          <w:r>
            <w:fldChar w:fldCharType="separate"/>
          </w:r>
          <w:r>
            <w:rPr>
              <w:rFonts w:ascii="Times New Roman" w:hAnsi="Times New Roman" w:eastAsia="Times New Roman" w:cs="Times New Roman"/>
              <w:spacing w:val="7"/>
              <w:sz w:val="20"/>
              <w:szCs w:val="20"/>
            </w:rPr>
            <w:t xml:space="preserve">3.4 </w:t>
          </w:r>
          <w:r>
            <w:rPr>
              <w:rFonts w:ascii="宋体" w:hAnsi="宋体" w:eastAsia="宋体" w:cs="宋体"/>
              <w:spacing w:val="7"/>
              <w:sz w:val="20"/>
              <w:szCs w:val="20"/>
            </w:rPr>
            <w:t>规划符合性及选址合理性</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64"/>
              <w:sz w:val="20"/>
              <w:szCs w:val="20"/>
            </w:rPr>
            <w:t xml:space="preserve"> </w:t>
          </w:r>
          <w:r>
            <w:rPr>
              <w:rFonts w:ascii="Times New Roman" w:hAnsi="Times New Roman" w:eastAsia="Times New Roman" w:cs="Times New Roman"/>
              <w:sz w:val="20"/>
              <w:szCs w:val="20"/>
            </w:rPr>
            <w:t>7</w:t>
          </w:r>
          <w:r>
            <w:rPr>
              <w:rFonts w:ascii="Times New Roman" w:hAnsi="Times New Roman" w:eastAsia="Times New Roman" w:cs="Times New Roman"/>
              <w:sz w:val="20"/>
              <w:szCs w:val="20"/>
            </w:rPr>
            <w:fldChar w:fldCharType="end"/>
          </w:r>
        </w:p>
        <w:p w14:paraId="72AA85C6">
          <w:pPr>
            <w:tabs>
              <w:tab w:val="right" w:leader="dot" w:pos="8717"/>
            </w:tabs>
            <w:spacing w:before="62" w:line="193" w:lineRule="auto"/>
            <w:ind w:left="849"/>
            <w:rPr>
              <w:rFonts w:ascii="Times New Roman" w:hAnsi="Times New Roman" w:eastAsia="Times New Roman" w:cs="Times New Roman"/>
              <w:sz w:val="20"/>
              <w:szCs w:val="20"/>
            </w:rPr>
          </w:pPr>
          <w:bookmarkStart w:id="8" w:name="bookmark17"/>
          <w:bookmarkEnd w:id="8"/>
          <w:r>
            <w:fldChar w:fldCharType="begin"/>
          </w:r>
          <w:r>
            <w:instrText xml:space="preserve"> HYPERLINK \l "bookmark18" </w:instrText>
          </w:r>
          <w:r>
            <w:fldChar w:fldCharType="separate"/>
          </w:r>
          <w:r>
            <w:rPr>
              <w:rFonts w:ascii="Times New Roman" w:hAnsi="Times New Roman" w:eastAsia="Times New Roman" w:cs="Times New Roman"/>
              <w:spacing w:val="6"/>
              <w:sz w:val="20"/>
              <w:szCs w:val="20"/>
            </w:rPr>
            <w:t>3.5“</w:t>
          </w:r>
          <w:r>
            <w:rPr>
              <w:rFonts w:ascii="宋体" w:hAnsi="宋体" w:eastAsia="宋体" w:cs="宋体"/>
              <w:spacing w:val="6"/>
              <w:sz w:val="20"/>
              <w:szCs w:val="20"/>
            </w:rPr>
            <w:t>三线一单</w:t>
          </w:r>
          <w:r>
            <w:rPr>
              <w:rFonts w:ascii="Times New Roman" w:hAnsi="Times New Roman" w:eastAsia="Times New Roman" w:cs="Times New Roman"/>
              <w:spacing w:val="6"/>
              <w:sz w:val="20"/>
              <w:szCs w:val="20"/>
            </w:rPr>
            <w:t>”</w:t>
          </w:r>
          <w:r>
            <w:rPr>
              <w:rFonts w:ascii="宋体" w:hAnsi="宋体" w:eastAsia="宋体" w:cs="宋体"/>
              <w:spacing w:val="6"/>
              <w:sz w:val="20"/>
              <w:szCs w:val="20"/>
            </w:rPr>
            <w:t>符合性</w:t>
          </w:r>
          <w:r>
            <w:rPr>
              <w:rFonts w:ascii="宋体" w:hAnsi="宋体" w:eastAsia="宋体" w:cs="宋体"/>
              <w:spacing w:val="-51"/>
              <w:sz w:val="20"/>
              <w:szCs w:val="20"/>
            </w:rPr>
            <w:t xml:space="preserve"> </w:t>
          </w:r>
          <w:r>
            <w:rPr>
              <w:rFonts w:ascii="宋体" w:hAnsi="宋体" w:eastAsia="宋体" w:cs="宋体"/>
              <w:sz w:val="20"/>
              <w:szCs w:val="20"/>
            </w:rPr>
            <w:tab/>
          </w:r>
          <w:r>
            <w:rPr>
              <w:rFonts w:ascii="Times New Roman" w:hAnsi="Times New Roman" w:eastAsia="Times New Roman" w:cs="Times New Roman"/>
              <w:spacing w:val="9"/>
              <w:sz w:val="20"/>
              <w:szCs w:val="20"/>
            </w:rPr>
            <w:t>8</w:t>
          </w:r>
          <w:r>
            <w:rPr>
              <w:rFonts w:ascii="Times New Roman" w:hAnsi="Times New Roman" w:eastAsia="Times New Roman" w:cs="Times New Roman"/>
              <w:spacing w:val="9"/>
              <w:sz w:val="20"/>
              <w:szCs w:val="20"/>
            </w:rPr>
            <w:fldChar w:fldCharType="end"/>
          </w:r>
        </w:p>
        <w:p w14:paraId="2FB0F031">
          <w:pPr>
            <w:tabs>
              <w:tab w:val="right" w:leader="dot" w:pos="8717"/>
            </w:tabs>
            <w:spacing w:before="64" w:line="194" w:lineRule="auto"/>
            <w:ind w:left="424"/>
            <w:rPr>
              <w:rFonts w:ascii="Times New Roman" w:hAnsi="Times New Roman" w:eastAsia="Times New Roman" w:cs="Times New Roman"/>
              <w:sz w:val="20"/>
              <w:szCs w:val="20"/>
            </w:rPr>
          </w:pPr>
          <w:bookmarkStart w:id="9" w:name="bookmark19"/>
          <w:bookmarkEnd w:id="9"/>
          <w:r>
            <w:fldChar w:fldCharType="begin"/>
          </w:r>
          <w:r>
            <w:instrText xml:space="preserve"> HYPERLINK \l "bookmark20" </w:instrText>
          </w:r>
          <w:r>
            <w:fldChar w:fldCharType="separate"/>
          </w:r>
          <w:r>
            <w:rPr>
              <w:rFonts w:ascii="Times New Roman" w:hAnsi="Times New Roman" w:eastAsia="Times New Roman" w:cs="Times New Roman"/>
              <w:spacing w:val="8"/>
              <w:sz w:val="20"/>
              <w:szCs w:val="20"/>
            </w:rPr>
            <w:t>4.</w:t>
          </w:r>
          <w:r>
            <w:rPr>
              <w:rFonts w:ascii="宋体" w:hAnsi="宋体" w:eastAsia="宋体" w:cs="宋体"/>
              <w:spacing w:val="8"/>
              <w:sz w:val="20"/>
              <w:szCs w:val="20"/>
            </w:rPr>
            <w:t>关注的主要环境问题</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39"/>
              <w:sz w:val="20"/>
              <w:szCs w:val="20"/>
            </w:rPr>
            <w:t xml:space="preserve"> </w:t>
          </w:r>
          <w:r>
            <w:rPr>
              <w:rFonts w:ascii="Times New Roman" w:hAnsi="Times New Roman" w:eastAsia="Times New Roman" w:cs="Times New Roman"/>
              <w:spacing w:val="-8"/>
              <w:sz w:val="20"/>
              <w:szCs w:val="20"/>
            </w:rPr>
            <w:t>13</w:t>
          </w:r>
          <w:r>
            <w:rPr>
              <w:rFonts w:ascii="Times New Roman" w:hAnsi="Times New Roman" w:eastAsia="Times New Roman" w:cs="Times New Roman"/>
              <w:spacing w:val="-8"/>
              <w:sz w:val="20"/>
              <w:szCs w:val="20"/>
            </w:rPr>
            <w:fldChar w:fldCharType="end"/>
          </w:r>
        </w:p>
        <w:p w14:paraId="45DBC335">
          <w:pPr>
            <w:tabs>
              <w:tab w:val="right" w:leader="dot" w:pos="8717"/>
            </w:tabs>
            <w:spacing w:before="61" w:line="193" w:lineRule="auto"/>
            <w:ind w:left="430"/>
            <w:rPr>
              <w:rFonts w:ascii="Times New Roman" w:hAnsi="Times New Roman" w:eastAsia="Times New Roman" w:cs="Times New Roman"/>
              <w:sz w:val="20"/>
              <w:szCs w:val="20"/>
            </w:rPr>
          </w:pPr>
          <w:bookmarkStart w:id="10" w:name="bookmark21"/>
          <w:bookmarkEnd w:id="10"/>
          <w:r>
            <w:fldChar w:fldCharType="begin"/>
          </w:r>
          <w:r>
            <w:instrText xml:space="preserve"> HYPERLINK \l "bookmark22" </w:instrText>
          </w:r>
          <w:r>
            <w:fldChar w:fldCharType="separate"/>
          </w:r>
          <w:r>
            <w:rPr>
              <w:rFonts w:ascii="Times New Roman" w:hAnsi="Times New Roman" w:eastAsia="Times New Roman" w:cs="Times New Roman"/>
              <w:spacing w:val="8"/>
              <w:sz w:val="20"/>
              <w:szCs w:val="20"/>
            </w:rPr>
            <w:t>5.</w:t>
          </w:r>
          <w:r>
            <w:rPr>
              <w:rFonts w:ascii="宋体" w:hAnsi="宋体" w:eastAsia="宋体" w:cs="宋体"/>
              <w:spacing w:val="8"/>
              <w:sz w:val="20"/>
              <w:szCs w:val="20"/>
            </w:rPr>
            <w:t>环境影响评价报告书的主要结论</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50"/>
              <w:sz w:val="20"/>
              <w:szCs w:val="20"/>
            </w:rPr>
            <w:t xml:space="preserve"> </w:t>
          </w:r>
          <w:r>
            <w:rPr>
              <w:rFonts w:ascii="Times New Roman" w:hAnsi="Times New Roman" w:eastAsia="Times New Roman" w:cs="Times New Roman"/>
              <w:spacing w:val="-8"/>
              <w:sz w:val="20"/>
              <w:szCs w:val="20"/>
            </w:rPr>
            <w:t>14</w:t>
          </w:r>
          <w:r>
            <w:rPr>
              <w:rFonts w:ascii="Times New Roman" w:hAnsi="Times New Roman" w:eastAsia="Times New Roman" w:cs="Times New Roman"/>
              <w:spacing w:val="-8"/>
              <w:sz w:val="20"/>
              <w:szCs w:val="20"/>
            </w:rPr>
            <w:fldChar w:fldCharType="end"/>
          </w:r>
        </w:p>
        <w:p w14:paraId="082CD819">
          <w:pPr>
            <w:tabs>
              <w:tab w:val="right" w:leader="dot" w:pos="8717"/>
            </w:tabs>
            <w:spacing w:before="65" w:line="194" w:lineRule="auto"/>
            <w:ind w:left="8"/>
            <w:rPr>
              <w:rFonts w:ascii="Times New Roman" w:hAnsi="Times New Roman" w:eastAsia="Times New Roman" w:cs="Times New Roman"/>
              <w:sz w:val="20"/>
              <w:szCs w:val="20"/>
            </w:rPr>
          </w:pPr>
          <w:bookmarkStart w:id="11" w:name="bookmark23"/>
          <w:bookmarkEnd w:id="11"/>
          <w:r>
            <w:fldChar w:fldCharType="begin"/>
          </w:r>
          <w:r>
            <w:instrText xml:space="preserve"> HYPERLINK \l "bookmark24" </w:instrText>
          </w:r>
          <w:r>
            <w:fldChar w:fldCharType="separate"/>
          </w:r>
          <w:r>
            <w:rPr>
              <w:rFonts w:ascii="宋体" w:hAnsi="宋体" w:eastAsia="宋体" w:cs="宋体"/>
              <w:b/>
              <w:bCs/>
              <w:spacing w:val="3"/>
              <w:sz w:val="20"/>
              <w:szCs w:val="20"/>
            </w:rPr>
            <w:t>第一章</w:t>
          </w:r>
          <w:r>
            <w:rPr>
              <w:rFonts w:ascii="宋体" w:hAnsi="宋体" w:eastAsia="宋体" w:cs="宋体"/>
              <w:spacing w:val="10"/>
              <w:sz w:val="20"/>
              <w:szCs w:val="20"/>
            </w:rPr>
            <w:t xml:space="preserve">   </w:t>
          </w:r>
          <w:r>
            <w:rPr>
              <w:rFonts w:ascii="宋体" w:hAnsi="宋体" w:eastAsia="宋体" w:cs="宋体"/>
              <w:b/>
              <w:bCs/>
              <w:spacing w:val="3"/>
              <w:sz w:val="20"/>
              <w:szCs w:val="20"/>
            </w:rPr>
            <w:t>总则</w:t>
          </w:r>
          <w:r>
            <w:rPr>
              <w:rFonts w:ascii="宋体" w:hAnsi="宋体" w:eastAsia="宋体" w:cs="宋体"/>
              <w:spacing w:val="-62"/>
              <w:sz w:val="20"/>
              <w:szCs w:val="20"/>
            </w:rPr>
            <w:t xml:space="preserve"> </w:t>
          </w:r>
          <w:r>
            <w:rPr>
              <w:rFonts w:ascii="宋体" w:hAnsi="宋体" w:eastAsia="宋体" w:cs="宋体"/>
              <w:sz w:val="20"/>
              <w:szCs w:val="20"/>
            </w:rPr>
            <w:tab/>
          </w:r>
          <w:r>
            <w:rPr>
              <w:rFonts w:ascii="宋体" w:hAnsi="宋体" w:eastAsia="宋体" w:cs="宋体"/>
              <w:spacing w:val="-45"/>
              <w:sz w:val="20"/>
              <w:szCs w:val="20"/>
            </w:rPr>
            <w:t xml:space="preserve"> </w:t>
          </w:r>
          <w:r>
            <w:rPr>
              <w:rFonts w:ascii="Times New Roman" w:hAnsi="Times New Roman" w:eastAsia="Times New Roman" w:cs="Times New Roman"/>
              <w:b/>
              <w:bCs/>
              <w:spacing w:val="-2"/>
              <w:sz w:val="20"/>
              <w:szCs w:val="20"/>
            </w:rPr>
            <w:t>15</w:t>
          </w:r>
          <w:r>
            <w:rPr>
              <w:rFonts w:ascii="Times New Roman" w:hAnsi="Times New Roman" w:eastAsia="Times New Roman" w:cs="Times New Roman"/>
              <w:b/>
              <w:bCs/>
              <w:spacing w:val="-2"/>
              <w:sz w:val="20"/>
              <w:szCs w:val="20"/>
            </w:rPr>
            <w:fldChar w:fldCharType="end"/>
          </w:r>
        </w:p>
        <w:p w14:paraId="4406988A">
          <w:pPr>
            <w:tabs>
              <w:tab w:val="right" w:leader="dot" w:pos="8717"/>
            </w:tabs>
            <w:spacing w:before="63" w:line="193" w:lineRule="auto"/>
            <w:ind w:left="445"/>
            <w:rPr>
              <w:rFonts w:ascii="Times New Roman" w:hAnsi="Times New Roman" w:eastAsia="Times New Roman" w:cs="Times New Roman"/>
              <w:sz w:val="20"/>
              <w:szCs w:val="20"/>
            </w:rPr>
          </w:pPr>
          <w:bookmarkStart w:id="12" w:name="bookmark25"/>
          <w:bookmarkEnd w:id="12"/>
          <w:r>
            <w:fldChar w:fldCharType="begin"/>
          </w:r>
          <w:r>
            <w:instrText xml:space="preserve"> HYPERLINK \l "bookmark26" </w:instrText>
          </w:r>
          <w:r>
            <w:fldChar w:fldCharType="separate"/>
          </w:r>
          <w:r>
            <w:rPr>
              <w:rFonts w:ascii="Times New Roman" w:hAnsi="Times New Roman" w:eastAsia="Times New Roman" w:cs="Times New Roman"/>
              <w:spacing w:val="2"/>
              <w:sz w:val="20"/>
              <w:szCs w:val="20"/>
            </w:rPr>
            <w:t>1.1</w:t>
          </w:r>
          <w:r>
            <w:rPr>
              <w:rFonts w:ascii="Times New Roman" w:hAnsi="Times New Roman" w:eastAsia="Times New Roman" w:cs="Times New Roman"/>
              <w:spacing w:val="12"/>
              <w:w w:val="101"/>
              <w:sz w:val="20"/>
              <w:szCs w:val="20"/>
            </w:rPr>
            <w:t xml:space="preserve"> </w:t>
          </w:r>
          <w:r>
            <w:rPr>
              <w:rFonts w:ascii="宋体" w:hAnsi="宋体" w:eastAsia="宋体" w:cs="宋体"/>
              <w:spacing w:val="2"/>
              <w:sz w:val="20"/>
              <w:szCs w:val="20"/>
            </w:rPr>
            <w:t>编制依据</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32"/>
              <w:sz w:val="20"/>
              <w:szCs w:val="20"/>
            </w:rPr>
            <w:t xml:space="preserve"> </w:t>
          </w:r>
          <w:r>
            <w:rPr>
              <w:rFonts w:ascii="Times New Roman" w:hAnsi="Times New Roman" w:eastAsia="Times New Roman" w:cs="Times New Roman"/>
              <w:spacing w:val="-8"/>
              <w:sz w:val="20"/>
              <w:szCs w:val="20"/>
            </w:rPr>
            <w:t>15</w:t>
          </w:r>
          <w:r>
            <w:rPr>
              <w:rFonts w:ascii="Times New Roman" w:hAnsi="Times New Roman" w:eastAsia="Times New Roman" w:cs="Times New Roman"/>
              <w:spacing w:val="-8"/>
              <w:sz w:val="20"/>
              <w:szCs w:val="20"/>
            </w:rPr>
            <w:fldChar w:fldCharType="end"/>
          </w:r>
        </w:p>
        <w:p w14:paraId="0B21430C">
          <w:pPr>
            <w:tabs>
              <w:tab w:val="right" w:leader="dot" w:pos="8717"/>
            </w:tabs>
            <w:spacing w:before="62" w:line="193" w:lineRule="auto"/>
            <w:ind w:left="865"/>
            <w:rPr>
              <w:rFonts w:ascii="Times New Roman" w:hAnsi="Times New Roman" w:eastAsia="Times New Roman" w:cs="Times New Roman"/>
              <w:sz w:val="20"/>
              <w:szCs w:val="20"/>
            </w:rPr>
          </w:pPr>
          <w:bookmarkStart w:id="13" w:name="bookmark27"/>
          <w:bookmarkEnd w:id="13"/>
          <w:r>
            <w:fldChar w:fldCharType="begin"/>
          </w:r>
          <w:r>
            <w:instrText xml:space="preserve"> HYPERLINK \l "bookmark28" </w:instrText>
          </w:r>
          <w:r>
            <w:fldChar w:fldCharType="separate"/>
          </w:r>
          <w:r>
            <w:rPr>
              <w:rFonts w:ascii="Times New Roman" w:hAnsi="Times New Roman" w:eastAsia="Times New Roman" w:cs="Times New Roman"/>
              <w:spacing w:val="3"/>
              <w:sz w:val="20"/>
              <w:szCs w:val="20"/>
            </w:rPr>
            <w:t xml:space="preserve">1.1.1 </w:t>
          </w:r>
          <w:r>
            <w:rPr>
              <w:rFonts w:ascii="宋体" w:hAnsi="宋体" w:eastAsia="宋体" w:cs="宋体"/>
              <w:spacing w:val="3"/>
              <w:sz w:val="20"/>
              <w:szCs w:val="20"/>
            </w:rPr>
            <w:t>任务依据</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36"/>
              <w:sz w:val="20"/>
              <w:szCs w:val="20"/>
            </w:rPr>
            <w:t xml:space="preserve"> </w:t>
          </w:r>
          <w:r>
            <w:rPr>
              <w:rFonts w:ascii="Times New Roman" w:hAnsi="Times New Roman" w:eastAsia="Times New Roman" w:cs="Times New Roman"/>
              <w:spacing w:val="-8"/>
              <w:sz w:val="20"/>
              <w:szCs w:val="20"/>
            </w:rPr>
            <w:t>15</w:t>
          </w:r>
          <w:r>
            <w:rPr>
              <w:rFonts w:ascii="Times New Roman" w:hAnsi="Times New Roman" w:eastAsia="Times New Roman" w:cs="Times New Roman"/>
              <w:spacing w:val="-8"/>
              <w:sz w:val="20"/>
              <w:szCs w:val="20"/>
            </w:rPr>
            <w:fldChar w:fldCharType="end"/>
          </w:r>
        </w:p>
        <w:p w14:paraId="3B40EF51">
          <w:pPr>
            <w:tabs>
              <w:tab w:val="right" w:leader="dot" w:pos="8717"/>
            </w:tabs>
            <w:spacing w:before="62" w:line="194" w:lineRule="auto"/>
            <w:ind w:left="865"/>
            <w:rPr>
              <w:rFonts w:ascii="Times New Roman" w:hAnsi="Times New Roman" w:eastAsia="Times New Roman" w:cs="Times New Roman"/>
              <w:sz w:val="20"/>
              <w:szCs w:val="20"/>
            </w:rPr>
          </w:pPr>
          <w:bookmarkStart w:id="14" w:name="bookmark29"/>
          <w:bookmarkEnd w:id="14"/>
          <w:r>
            <w:fldChar w:fldCharType="begin"/>
          </w:r>
          <w:r>
            <w:instrText xml:space="preserve"> HYPERLINK \l "bookmark30" </w:instrText>
          </w:r>
          <w:r>
            <w:fldChar w:fldCharType="separate"/>
          </w:r>
          <w:r>
            <w:rPr>
              <w:rFonts w:ascii="Times New Roman" w:hAnsi="Times New Roman" w:eastAsia="Times New Roman" w:cs="Times New Roman"/>
              <w:spacing w:val="4"/>
              <w:sz w:val="20"/>
              <w:szCs w:val="20"/>
            </w:rPr>
            <w:t xml:space="preserve">1.1.2 </w:t>
          </w:r>
          <w:r>
            <w:rPr>
              <w:rFonts w:ascii="宋体" w:hAnsi="宋体" w:eastAsia="宋体" w:cs="宋体"/>
              <w:spacing w:val="4"/>
              <w:sz w:val="20"/>
              <w:szCs w:val="20"/>
            </w:rPr>
            <w:t>环保法规及规定</w:t>
          </w:r>
          <w:r>
            <w:rPr>
              <w:rFonts w:ascii="宋体" w:hAnsi="宋体" w:eastAsia="宋体" w:cs="宋体"/>
              <w:spacing w:val="-45"/>
              <w:sz w:val="20"/>
              <w:szCs w:val="20"/>
            </w:rPr>
            <w:t xml:space="preserve"> </w:t>
          </w:r>
          <w:r>
            <w:rPr>
              <w:rFonts w:ascii="宋体" w:hAnsi="宋体" w:eastAsia="宋体" w:cs="宋体"/>
              <w:sz w:val="20"/>
              <w:szCs w:val="20"/>
            </w:rPr>
            <w:tab/>
          </w:r>
          <w:r>
            <w:rPr>
              <w:rFonts w:ascii="宋体" w:hAnsi="宋体" w:eastAsia="宋体" w:cs="宋体"/>
              <w:spacing w:val="-44"/>
              <w:sz w:val="20"/>
              <w:szCs w:val="20"/>
            </w:rPr>
            <w:t xml:space="preserve"> </w:t>
          </w:r>
          <w:r>
            <w:rPr>
              <w:rFonts w:ascii="Times New Roman" w:hAnsi="Times New Roman" w:eastAsia="Times New Roman" w:cs="Times New Roman"/>
              <w:spacing w:val="-8"/>
              <w:sz w:val="20"/>
              <w:szCs w:val="20"/>
            </w:rPr>
            <w:t>15</w:t>
          </w:r>
          <w:r>
            <w:rPr>
              <w:rFonts w:ascii="Times New Roman" w:hAnsi="Times New Roman" w:eastAsia="Times New Roman" w:cs="Times New Roman"/>
              <w:spacing w:val="-8"/>
              <w:sz w:val="20"/>
              <w:szCs w:val="20"/>
            </w:rPr>
            <w:fldChar w:fldCharType="end"/>
          </w:r>
        </w:p>
        <w:p w14:paraId="2EC5802B">
          <w:pPr>
            <w:tabs>
              <w:tab w:val="right" w:leader="dot" w:pos="8717"/>
            </w:tabs>
            <w:spacing w:before="64" w:line="193" w:lineRule="auto"/>
            <w:ind w:left="865"/>
            <w:rPr>
              <w:rFonts w:ascii="Times New Roman" w:hAnsi="Times New Roman" w:eastAsia="Times New Roman" w:cs="Times New Roman"/>
              <w:sz w:val="20"/>
              <w:szCs w:val="20"/>
            </w:rPr>
          </w:pPr>
          <w:bookmarkStart w:id="15" w:name="bookmark31"/>
          <w:bookmarkEnd w:id="15"/>
          <w:r>
            <w:fldChar w:fldCharType="begin"/>
          </w:r>
          <w:r>
            <w:instrText xml:space="preserve"> HYPERLINK \l "bookmark32" </w:instrText>
          </w:r>
          <w:r>
            <w:fldChar w:fldCharType="separate"/>
          </w:r>
          <w:r>
            <w:rPr>
              <w:rFonts w:ascii="Times New Roman" w:hAnsi="Times New Roman" w:eastAsia="Times New Roman" w:cs="Times New Roman"/>
              <w:spacing w:val="4"/>
              <w:sz w:val="20"/>
              <w:szCs w:val="20"/>
            </w:rPr>
            <w:t xml:space="preserve">1.1.3 </w:t>
          </w:r>
          <w:r>
            <w:rPr>
              <w:rFonts w:ascii="宋体" w:hAnsi="宋体" w:eastAsia="宋体" w:cs="宋体"/>
              <w:spacing w:val="4"/>
              <w:sz w:val="20"/>
              <w:szCs w:val="20"/>
            </w:rPr>
            <w:t>技术导则及规范</w:t>
          </w:r>
          <w:r>
            <w:rPr>
              <w:rFonts w:ascii="宋体" w:hAnsi="宋体" w:eastAsia="宋体" w:cs="宋体"/>
              <w:spacing w:val="-45"/>
              <w:sz w:val="20"/>
              <w:szCs w:val="20"/>
            </w:rPr>
            <w:t xml:space="preserve"> </w:t>
          </w:r>
          <w:r>
            <w:rPr>
              <w:rFonts w:ascii="宋体" w:hAnsi="宋体" w:eastAsia="宋体" w:cs="宋体"/>
              <w:sz w:val="20"/>
              <w:szCs w:val="20"/>
            </w:rPr>
            <w:tab/>
          </w:r>
          <w:r>
            <w:rPr>
              <w:rFonts w:ascii="宋体" w:hAnsi="宋体" w:eastAsia="宋体" w:cs="宋体"/>
              <w:spacing w:val="-44"/>
              <w:sz w:val="20"/>
              <w:szCs w:val="20"/>
            </w:rPr>
            <w:t xml:space="preserve"> </w:t>
          </w:r>
          <w:r>
            <w:rPr>
              <w:rFonts w:ascii="Times New Roman" w:hAnsi="Times New Roman" w:eastAsia="Times New Roman" w:cs="Times New Roman"/>
              <w:spacing w:val="-8"/>
              <w:sz w:val="20"/>
              <w:szCs w:val="20"/>
            </w:rPr>
            <w:t>17</w:t>
          </w:r>
          <w:r>
            <w:rPr>
              <w:rFonts w:ascii="Times New Roman" w:hAnsi="Times New Roman" w:eastAsia="Times New Roman" w:cs="Times New Roman"/>
              <w:spacing w:val="-8"/>
              <w:sz w:val="20"/>
              <w:szCs w:val="20"/>
            </w:rPr>
            <w:fldChar w:fldCharType="end"/>
          </w:r>
        </w:p>
        <w:p w14:paraId="74162182">
          <w:pPr>
            <w:tabs>
              <w:tab w:val="right" w:leader="dot" w:pos="8717"/>
            </w:tabs>
            <w:spacing w:before="62" w:line="193" w:lineRule="auto"/>
            <w:ind w:left="865"/>
            <w:rPr>
              <w:rFonts w:ascii="Times New Roman" w:hAnsi="Times New Roman" w:eastAsia="Times New Roman" w:cs="Times New Roman"/>
              <w:sz w:val="20"/>
              <w:szCs w:val="20"/>
            </w:rPr>
          </w:pPr>
          <w:bookmarkStart w:id="16" w:name="bookmark33"/>
          <w:bookmarkEnd w:id="16"/>
          <w:r>
            <w:fldChar w:fldCharType="begin"/>
          </w:r>
          <w:r>
            <w:instrText xml:space="preserve"> HYPERLINK \l "bookmark34" </w:instrText>
          </w:r>
          <w:r>
            <w:fldChar w:fldCharType="separate"/>
          </w:r>
          <w:r>
            <w:rPr>
              <w:rFonts w:ascii="Times New Roman" w:hAnsi="Times New Roman" w:eastAsia="Times New Roman" w:cs="Times New Roman"/>
              <w:spacing w:val="6"/>
              <w:sz w:val="20"/>
              <w:szCs w:val="20"/>
            </w:rPr>
            <w:t xml:space="preserve">1.1.4 </w:t>
          </w:r>
          <w:r>
            <w:rPr>
              <w:rFonts w:ascii="宋体" w:hAnsi="宋体" w:eastAsia="宋体" w:cs="宋体"/>
              <w:spacing w:val="6"/>
              <w:sz w:val="20"/>
              <w:szCs w:val="20"/>
            </w:rPr>
            <w:t>项目文件、技术与工程资料</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52"/>
              <w:sz w:val="20"/>
              <w:szCs w:val="20"/>
            </w:rPr>
            <w:t xml:space="preserve"> </w:t>
          </w:r>
          <w:r>
            <w:rPr>
              <w:rFonts w:ascii="Times New Roman" w:hAnsi="Times New Roman" w:eastAsia="Times New Roman" w:cs="Times New Roman"/>
              <w:spacing w:val="-8"/>
              <w:sz w:val="20"/>
              <w:szCs w:val="20"/>
            </w:rPr>
            <w:t>17</w:t>
          </w:r>
          <w:r>
            <w:rPr>
              <w:rFonts w:ascii="Times New Roman" w:hAnsi="Times New Roman" w:eastAsia="Times New Roman" w:cs="Times New Roman"/>
              <w:spacing w:val="-8"/>
              <w:sz w:val="20"/>
              <w:szCs w:val="20"/>
            </w:rPr>
            <w:fldChar w:fldCharType="end"/>
          </w:r>
        </w:p>
        <w:p w14:paraId="1B00547B">
          <w:pPr>
            <w:tabs>
              <w:tab w:val="right" w:leader="dot" w:pos="8717"/>
            </w:tabs>
            <w:spacing w:before="64" w:line="194" w:lineRule="auto"/>
            <w:ind w:left="445"/>
            <w:rPr>
              <w:rFonts w:ascii="Times New Roman" w:hAnsi="Times New Roman" w:eastAsia="Times New Roman" w:cs="Times New Roman"/>
              <w:sz w:val="20"/>
              <w:szCs w:val="20"/>
            </w:rPr>
          </w:pPr>
          <w:bookmarkStart w:id="17" w:name="bookmark35"/>
          <w:bookmarkEnd w:id="17"/>
          <w:r>
            <w:fldChar w:fldCharType="begin"/>
          </w:r>
          <w:r>
            <w:instrText xml:space="preserve"> HYPERLINK \l "bookmark36" </w:instrText>
          </w:r>
          <w:r>
            <w:fldChar w:fldCharType="separate"/>
          </w:r>
          <w:r>
            <w:rPr>
              <w:rFonts w:ascii="Times New Roman" w:hAnsi="Times New Roman" w:eastAsia="Times New Roman" w:cs="Times New Roman"/>
              <w:spacing w:val="6"/>
              <w:sz w:val="20"/>
              <w:szCs w:val="20"/>
            </w:rPr>
            <w:t xml:space="preserve">1.2 </w:t>
          </w:r>
          <w:r>
            <w:rPr>
              <w:rFonts w:ascii="宋体" w:hAnsi="宋体" w:eastAsia="宋体" w:cs="宋体"/>
              <w:spacing w:val="6"/>
              <w:sz w:val="20"/>
              <w:szCs w:val="20"/>
            </w:rPr>
            <w:t>评价目的与评价原则</w:t>
          </w:r>
          <w:r>
            <w:rPr>
              <w:rFonts w:ascii="宋体" w:hAnsi="宋体" w:eastAsia="宋体" w:cs="宋体"/>
              <w:spacing w:val="-59"/>
              <w:sz w:val="20"/>
              <w:szCs w:val="20"/>
            </w:rPr>
            <w:t xml:space="preserve"> </w:t>
          </w:r>
          <w:r>
            <w:rPr>
              <w:rFonts w:ascii="宋体" w:hAnsi="宋体" w:eastAsia="宋体" w:cs="宋体"/>
              <w:sz w:val="20"/>
              <w:szCs w:val="20"/>
            </w:rPr>
            <w:tab/>
          </w:r>
          <w:r>
            <w:rPr>
              <w:rFonts w:ascii="宋体" w:hAnsi="宋体" w:eastAsia="宋体" w:cs="宋体"/>
              <w:spacing w:val="-41"/>
              <w:sz w:val="20"/>
              <w:szCs w:val="20"/>
            </w:rPr>
            <w:t xml:space="preserve"> </w:t>
          </w:r>
          <w:r>
            <w:rPr>
              <w:rFonts w:ascii="Times New Roman" w:hAnsi="Times New Roman" w:eastAsia="Times New Roman" w:cs="Times New Roman"/>
              <w:spacing w:val="-8"/>
              <w:sz w:val="20"/>
              <w:szCs w:val="20"/>
            </w:rPr>
            <w:t>17</w:t>
          </w:r>
          <w:r>
            <w:rPr>
              <w:rFonts w:ascii="Times New Roman" w:hAnsi="Times New Roman" w:eastAsia="Times New Roman" w:cs="Times New Roman"/>
              <w:spacing w:val="-8"/>
              <w:sz w:val="20"/>
              <w:szCs w:val="20"/>
            </w:rPr>
            <w:fldChar w:fldCharType="end"/>
          </w:r>
        </w:p>
        <w:p w14:paraId="52B5D3CD">
          <w:pPr>
            <w:tabs>
              <w:tab w:val="right" w:leader="dot" w:pos="8717"/>
            </w:tabs>
            <w:spacing w:before="61" w:line="193" w:lineRule="auto"/>
            <w:ind w:left="865"/>
            <w:rPr>
              <w:rFonts w:ascii="Times New Roman" w:hAnsi="Times New Roman" w:eastAsia="Times New Roman" w:cs="Times New Roman"/>
              <w:sz w:val="20"/>
              <w:szCs w:val="20"/>
            </w:rPr>
          </w:pPr>
          <w:bookmarkStart w:id="18" w:name="bookmark37"/>
          <w:bookmarkEnd w:id="18"/>
          <w:r>
            <w:fldChar w:fldCharType="begin"/>
          </w:r>
          <w:r>
            <w:instrText xml:space="preserve"> HYPERLINK \l "bookmark38" </w:instrText>
          </w:r>
          <w:r>
            <w:fldChar w:fldCharType="separate"/>
          </w:r>
          <w:r>
            <w:rPr>
              <w:rFonts w:ascii="Times New Roman" w:hAnsi="Times New Roman" w:eastAsia="Times New Roman" w:cs="Times New Roman"/>
              <w:spacing w:val="3"/>
              <w:sz w:val="20"/>
              <w:szCs w:val="20"/>
            </w:rPr>
            <w:t xml:space="preserve">1.2.1 </w:t>
          </w:r>
          <w:r>
            <w:rPr>
              <w:rFonts w:ascii="宋体" w:hAnsi="宋体" w:eastAsia="宋体" w:cs="宋体"/>
              <w:spacing w:val="3"/>
              <w:sz w:val="20"/>
              <w:szCs w:val="20"/>
            </w:rPr>
            <w:t>评价目的</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36"/>
              <w:sz w:val="20"/>
              <w:szCs w:val="20"/>
            </w:rPr>
            <w:t xml:space="preserve"> </w:t>
          </w:r>
          <w:r>
            <w:rPr>
              <w:rFonts w:ascii="Times New Roman" w:hAnsi="Times New Roman" w:eastAsia="Times New Roman" w:cs="Times New Roman"/>
              <w:spacing w:val="-8"/>
              <w:sz w:val="20"/>
              <w:szCs w:val="20"/>
            </w:rPr>
            <w:t>17</w:t>
          </w:r>
          <w:r>
            <w:rPr>
              <w:rFonts w:ascii="Times New Roman" w:hAnsi="Times New Roman" w:eastAsia="Times New Roman" w:cs="Times New Roman"/>
              <w:spacing w:val="-8"/>
              <w:sz w:val="20"/>
              <w:szCs w:val="20"/>
            </w:rPr>
            <w:fldChar w:fldCharType="end"/>
          </w:r>
        </w:p>
        <w:p w14:paraId="3A444622">
          <w:pPr>
            <w:tabs>
              <w:tab w:val="right" w:leader="dot" w:pos="8717"/>
            </w:tabs>
            <w:spacing w:before="65" w:line="193" w:lineRule="auto"/>
            <w:ind w:left="865"/>
            <w:rPr>
              <w:rFonts w:ascii="Times New Roman" w:hAnsi="Times New Roman" w:eastAsia="Times New Roman" w:cs="Times New Roman"/>
              <w:sz w:val="20"/>
              <w:szCs w:val="20"/>
            </w:rPr>
          </w:pPr>
          <w:bookmarkStart w:id="19" w:name="bookmark39"/>
          <w:bookmarkEnd w:id="19"/>
          <w:r>
            <w:fldChar w:fldCharType="begin"/>
          </w:r>
          <w:r>
            <w:instrText xml:space="preserve"> HYPERLINK \l "bookmark40" </w:instrText>
          </w:r>
          <w:r>
            <w:fldChar w:fldCharType="separate"/>
          </w:r>
          <w:r>
            <w:rPr>
              <w:rFonts w:ascii="Times New Roman" w:hAnsi="Times New Roman" w:eastAsia="Times New Roman" w:cs="Times New Roman"/>
              <w:spacing w:val="3"/>
              <w:sz w:val="20"/>
              <w:szCs w:val="20"/>
            </w:rPr>
            <w:t xml:space="preserve">1.2.2 </w:t>
          </w:r>
          <w:r>
            <w:rPr>
              <w:rFonts w:ascii="宋体" w:hAnsi="宋体" w:eastAsia="宋体" w:cs="宋体"/>
              <w:spacing w:val="3"/>
              <w:sz w:val="20"/>
              <w:szCs w:val="20"/>
            </w:rPr>
            <w:t>评价原则</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36"/>
              <w:sz w:val="20"/>
              <w:szCs w:val="20"/>
            </w:rPr>
            <w:t xml:space="preserve"> </w:t>
          </w:r>
          <w:r>
            <w:rPr>
              <w:rFonts w:ascii="Times New Roman" w:hAnsi="Times New Roman" w:eastAsia="Times New Roman" w:cs="Times New Roman"/>
              <w:spacing w:val="-8"/>
              <w:sz w:val="20"/>
              <w:szCs w:val="20"/>
            </w:rPr>
            <w:t>18</w:t>
          </w:r>
          <w:r>
            <w:rPr>
              <w:rFonts w:ascii="Times New Roman" w:hAnsi="Times New Roman" w:eastAsia="Times New Roman" w:cs="Times New Roman"/>
              <w:spacing w:val="-8"/>
              <w:sz w:val="20"/>
              <w:szCs w:val="20"/>
            </w:rPr>
            <w:fldChar w:fldCharType="end"/>
          </w:r>
        </w:p>
        <w:p w14:paraId="5EB0AF96">
          <w:pPr>
            <w:tabs>
              <w:tab w:val="right" w:leader="dot" w:pos="8717"/>
            </w:tabs>
            <w:spacing w:before="62" w:line="194" w:lineRule="auto"/>
            <w:ind w:left="445"/>
            <w:rPr>
              <w:rFonts w:ascii="Times New Roman" w:hAnsi="Times New Roman" w:eastAsia="Times New Roman" w:cs="Times New Roman"/>
              <w:sz w:val="20"/>
              <w:szCs w:val="20"/>
            </w:rPr>
          </w:pPr>
          <w:bookmarkStart w:id="20" w:name="bookmark41"/>
          <w:bookmarkEnd w:id="20"/>
          <w:r>
            <w:fldChar w:fldCharType="begin"/>
          </w:r>
          <w:r>
            <w:instrText xml:space="preserve"> HYPERLINK \l "bookmark42" </w:instrText>
          </w:r>
          <w:r>
            <w:fldChar w:fldCharType="separate"/>
          </w:r>
          <w:r>
            <w:rPr>
              <w:rFonts w:ascii="Times New Roman" w:hAnsi="Times New Roman" w:eastAsia="Times New Roman" w:cs="Times New Roman"/>
              <w:spacing w:val="6"/>
              <w:sz w:val="20"/>
              <w:szCs w:val="20"/>
            </w:rPr>
            <w:t xml:space="preserve">1.3 </w:t>
          </w:r>
          <w:r>
            <w:rPr>
              <w:rFonts w:ascii="宋体" w:hAnsi="宋体" w:eastAsia="宋体" w:cs="宋体"/>
              <w:spacing w:val="6"/>
              <w:sz w:val="20"/>
              <w:szCs w:val="20"/>
            </w:rPr>
            <w:t>评价内容及评价重点</w:t>
          </w:r>
          <w:r>
            <w:rPr>
              <w:rFonts w:ascii="宋体" w:hAnsi="宋体" w:eastAsia="宋体" w:cs="宋体"/>
              <w:spacing w:val="-59"/>
              <w:sz w:val="20"/>
              <w:szCs w:val="20"/>
            </w:rPr>
            <w:t xml:space="preserve"> </w:t>
          </w:r>
          <w:r>
            <w:rPr>
              <w:rFonts w:ascii="宋体" w:hAnsi="宋体" w:eastAsia="宋体" w:cs="宋体"/>
              <w:sz w:val="20"/>
              <w:szCs w:val="20"/>
            </w:rPr>
            <w:tab/>
          </w:r>
          <w:r>
            <w:rPr>
              <w:rFonts w:ascii="宋体" w:hAnsi="宋体" w:eastAsia="宋体" w:cs="宋体"/>
              <w:spacing w:val="-41"/>
              <w:sz w:val="20"/>
              <w:szCs w:val="20"/>
            </w:rPr>
            <w:t xml:space="preserve"> </w:t>
          </w:r>
          <w:r>
            <w:rPr>
              <w:rFonts w:ascii="Times New Roman" w:hAnsi="Times New Roman" w:eastAsia="Times New Roman" w:cs="Times New Roman"/>
              <w:spacing w:val="-8"/>
              <w:sz w:val="20"/>
              <w:szCs w:val="20"/>
            </w:rPr>
            <w:t>18</w:t>
          </w:r>
          <w:r>
            <w:rPr>
              <w:rFonts w:ascii="Times New Roman" w:hAnsi="Times New Roman" w:eastAsia="Times New Roman" w:cs="Times New Roman"/>
              <w:spacing w:val="-8"/>
              <w:sz w:val="20"/>
              <w:szCs w:val="20"/>
            </w:rPr>
            <w:fldChar w:fldCharType="end"/>
          </w:r>
        </w:p>
        <w:p w14:paraId="2EF46CBE">
          <w:pPr>
            <w:tabs>
              <w:tab w:val="right" w:leader="dot" w:pos="8717"/>
            </w:tabs>
            <w:spacing w:before="64" w:line="193" w:lineRule="auto"/>
            <w:ind w:left="865"/>
            <w:rPr>
              <w:rFonts w:ascii="Times New Roman" w:hAnsi="Times New Roman" w:eastAsia="Times New Roman" w:cs="Times New Roman"/>
              <w:sz w:val="20"/>
              <w:szCs w:val="20"/>
            </w:rPr>
          </w:pPr>
          <w:bookmarkStart w:id="21" w:name="bookmark43"/>
          <w:bookmarkEnd w:id="21"/>
          <w:r>
            <w:fldChar w:fldCharType="begin"/>
          </w:r>
          <w:r>
            <w:instrText xml:space="preserve"> HYPERLINK \l "bookmark44" </w:instrText>
          </w:r>
          <w:r>
            <w:fldChar w:fldCharType="separate"/>
          </w:r>
          <w:r>
            <w:rPr>
              <w:rFonts w:ascii="Times New Roman" w:hAnsi="Times New Roman" w:eastAsia="Times New Roman" w:cs="Times New Roman"/>
              <w:spacing w:val="3"/>
              <w:sz w:val="20"/>
              <w:szCs w:val="20"/>
            </w:rPr>
            <w:t xml:space="preserve">1.3.1 </w:t>
          </w:r>
          <w:r>
            <w:rPr>
              <w:rFonts w:ascii="宋体" w:hAnsi="宋体" w:eastAsia="宋体" w:cs="宋体"/>
              <w:spacing w:val="3"/>
              <w:sz w:val="20"/>
              <w:szCs w:val="20"/>
            </w:rPr>
            <w:t>评价内容</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36"/>
              <w:sz w:val="20"/>
              <w:szCs w:val="20"/>
            </w:rPr>
            <w:t xml:space="preserve"> </w:t>
          </w:r>
          <w:r>
            <w:rPr>
              <w:rFonts w:ascii="Times New Roman" w:hAnsi="Times New Roman" w:eastAsia="Times New Roman" w:cs="Times New Roman"/>
              <w:spacing w:val="-8"/>
              <w:sz w:val="20"/>
              <w:szCs w:val="20"/>
            </w:rPr>
            <w:t>18</w:t>
          </w:r>
          <w:r>
            <w:rPr>
              <w:rFonts w:ascii="Times New Roman" w:hAnsi="Times New Roman" w:eastAsia="Times New Roman" w:cs="Times New Roman"/>
              <w:spacing w:val="-8"/>
              <w:sz w:val="20"/>
              <w:szCs w:val="20"/>
            </w:rPr>
            <w:fldChar w:fldCharType="end"/>
          </w:r>
        </w:p>
        <w:p w14:paraId="3ADBABFA">
          <w:pPr>
            <w:tabs>
              <w:tab w:val="right" w:leader="dot" w:pos="8717"/>
            </w:tabs>
            <w:spacing w:before="62" w:line="193" w:lineRule="auto"/>
            <w:ind w:left="865"/>
            <w:rPr>
              <w:rFonts w:ascii="Times New Roman" w:hAnsi="Times New Roman" w:eastAsia="Times New Roman" w:cs="Times New Roman"/>
              <w:sz w:val="20"/>
              <w:szCs w:val="20"/>
            </w:rPr>
          </w:pPr>
          <w:bookmarkStart w:id="22" w:name="bookmark45"/>
          <w:bookmarkEnd w:id="22"/>
          <w:r>
            <w:fldChar w:fldCharType="begin"/>
          </w:r>
          <w:r>
            <w:instrText xml:space="preserve"> HYPERLINK \l "bookmark46" </w:instrText>
          </w:r>
          <w:r>
            <w:fldChar w:fldCharType="separate"/>
          </w:r>
          <w:r>
            <w:rPr>
              <w:rFonts w:ascii="Times New Roman" w:hAnsi="Times New Roman" w:eastAsia="Times New Roman" w:cs="Times New Roman"/>
              <w:spacing w:val="3"/>
              <w:sz w:val="20"/>
              <w:szCs w:val="20"/>
            </w:rPr>
            <w:t xml:space="preserve">1.3.2 </w:t>
          </w:r>
          <w:r>
            <w:rPr>
              <w:rFonts w:ascii="宋体" w:hAnsi="宋体" w:eastAsia="宋体" w:cs="宋体"/>
              <w:spacing w:val="3"/>
              <w:sz w:val="20"/>
              <w:szCs w:val="20"/>
            </w:rPr>
            <w:t>评价重点</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36"/>
              <w:sz w:val="20"/>
              <w:szCs w:val="20"/>
            </w:rPr>
            <w:t xml:space="preserve"> </w:t>
          </w:r>
          <w:r>
            <w:rPr>
              <w:rFonts w:ascii="Times New Roman" w:hAnsi="Times New Roman" w:eastAsia="Times New Roman" w:cs="Times New Roman"/>
              <w:spacing w:val="-8"/>
              <w:sz w:val="20"/>
              <w:szCs w:val="20"/>
            </w:rPr>
            <w:t>18</w:t>
          </w:r>
          <w:r>
            <w:rPr>
              <w:rFonts w:ascii="Times New Roman" w:hAnsi="Times New Roman" w:eastAsia="Times New Roman" w:cs="Times New Roman"/>
              <w:spacing w:val="-8"/>
              <w:sz w:val="20"/>
              <w:szCs w:val="20"/>
            </w:rPr>
            <w:fldChar w:fldCharType="end"/>
          </w:r>
        </w:p>
        <w:p w14:paraId="7DE86AF3">
          <w:pPr>
            <w:tabs>
              <w:tab w:val="right" w:leader="dot" w:pos="8717"/>
            </w:tabs>
            <w:spacing w:before="62" w:line="194" w:lineRule="auto"/>
            <w:ind w:left="445"/>
            <w:rPr>
              <w:rFonts w:ascii="Times New Roman" w:hAnsi="Times New Roman" w:eastAsia="Times New Roman" w:cs="Times New Roman"/>
              <w:sz w:val="20"/>
              <w:szCs w:val="20"/>
            </w:rPr>
          </w:pPr>
          <w:bookmarkStart w:id="23" w:name="bookmark47"/>
          <w:bookmarkEnd w:id="23"/>
          <w:r>
            <w:fldChar w:fldCharType="begin"/>
          </w:r>
          <w:r>
            <w:instrText xml:space="preserve"> HYPERLINK \l "bookmark48" </w:instrText>
          </w:r>
          <w:r>
            <w:fldChar w:fldCharType="separate"/>
          </w:r>
          <w:r>
            <w:rPr>
              <w:rFonts w:ascii="Times New Roman" w:hAnsi="Times New Roman" w:eastAsia="Times New Roman" w:cs="Times New Roman"/>
              <w:spacing w:val="7"/>
              <w:sz w:val="20"/>
              <w:szCs w:val="20"/>
            </w:rPr>
            <w:t xml:space="preserve">1.4 </w:t>
          </w:r>
          <w:r>
            <w:rPr>
              <w:rFonts w:ascii="宋体" w:hAnsi="宋体" w:eastAsia="宋体" w:cs="宋体"/>
              <w:spacing w:val="7"/>
              <w:sz w:val="20"/>
              <w:szCs w:val="20"/>
            </w:rPr>
            <w:t>环境影响因子识别和评价因子筛选</w:t>
          </w:r>
          <w:r>
            <w:rPr>
              <w:rFonts w:ascii="宋体" w:hAnsi="宋体" w:eastAsia="宋体" w:cs="宋体"/>
              <w:spacing w:val="-55"/>
              <w:sz w:val="20"/>
              <w:szCs w:val="20"/>
            </w:rPr>
            <w:t xml:space="preserve"> </w:t>
          </w:r>
          <w:r>
            <w:rPr>
              <w:rFonts w:ascii="宋体" w:hAnsi="宋体" w:eastAsia="宋体" w:cs="宋体"/>
              <w:sz w:val="20"/>
              <w:szCs w:val="20"/>
            </w:rPr>
            <w:tab/>
          </w:r>
          <w:r>
            <w:rPr>
              <w:rFonts w:ascii="宋体" w:hAnsi="宋体" w:eastAsia="宋体" w:cs="宋体"/>
              <w:spacing w:val="-53"/>
              <w:sz w:val="20"/>
              <w:szCs w:val="20"/>
            </w:rPr>
            <w:t xml:space="preserve"> </w:t>
          </w:r>
          <w:r>
            <w:rPr>
              <w:rFonts w:ascii="Times New Roman" w:hAnsi="Times New Roman" w:eastAsia="Times New Roman" w:cs="Times New Roman"/>
              <w:spacing w:val="-8"/>
              <w:sz w:val="20"/>
              <w:szCs w:val="20"/>
            </w:rPr>
            <w:t>19</w:t>
          </w:r>
          <w:r>
            <w:rPr>
              <w:rFonts w:ascii="Times New Roman" w:hAnsi="Times New Roman" w:eastAsia="Times New Roman" w:cs="Times New Roman"/>
              <w:spacing w:val="-8"/>
              <w:sz w:val="20"/>
              <w:szCs w:val="20"/>
            </w:rPr>
            <w:fldChar w:fldCharType="end"/>
          </w:r>
        </w:p>
        <w:p w14:paraId="5BCDAECD">
          <w:pPr>
            <w:tabs>
              <w:tab w:val="right" w:leader="dot" w:pos="8717"/>
            </w:tabs>
            <w:spacing w:before="63" w:line="193" w:lineRule="auto"/>
            <w:ind w:left="865"/>
            <w:rPr>
              <w:rFonts w:ascii="Times New Roman" w:hAnsi="Times New Roman" w:eastAsia="Times New Roman" w:cs="Times New Roman"/>
              <w:sz w:val="20"/>
              <w:szCs w:val="20"/>
            </w:rPr>
          </w:pPr>
          <w:bookmarkStart w:id="24" w:name="bookmark49"/>
          <w:bookmarkEnd w:id="24"/>
          <w:r>
            <w:fldChar w:fldCharType="begin"/>
          </w:r>
          <w:r>
            <w:instrText xml:space="preserve"> HYPERLINK \l "bookmark50" </w:instrText>
          </w:r>
          <w:r>
            <w:fldChar w:fldCharType="separate"/>
          </w:r>
          <w:r>
            <w:rPr>
              <w:rFonts w:ascii="Times New Roman" w:hAnsi="Times New Roman" w:eastAsia="Times New Roman" w:cs="Times New Roman"/>
              <w:spacing w:val="5"/>
              <w:sz w:val="20"/>
              <w:szCs w:val="20"/>
            </w:rPr>
            <w:t xml:space="preserve">1.4.1 </w:t>
          </w:r>
          <w:r>
            <w:rPr>
              <w:rFonts w:ascii="宋体" w:hAnsi="宋体" w:eastAsia="宋体" w:cs="宋体"/>
              <w:spacing w:val="5"/>
              <w:sz w:val="20"/>
              <w:szCs w:val="20"/>
            </w:rPr>
            <w:t>工程排污特征分析</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44"/>
              <w:sz w:val="20"/>
              <w:szCs w:val="20"/>
            </w:rPr>
            <w:t xml:space="preserve"> </w:t>
          </w:r>
          <w:r>
            <w:rPr>
              <w:rFonts w:ascii="Times New Roman" w:hAnsi="Times New Roman" w:eastAsia="Times New Roman" w:cs="Times New Roman"/>
              <w:spacing w:val="-8"/>
              <w:sz w:val="20"/>
              <w:szCs w:val="20"/>
            </w:rPr>
            <w:t>19</w:t>
          </w:r>
          <w:r>
            <w:rPr>
              <w:rFonts w:ascii="Times New Roman" w:hAnsi="Times New Roman" w:eastAsia="Times New Roman" w:cs="Times New Roman"/>
              <w:spacing w:val="-8"/>
              <w:sz w:val="20"/>
              <w:szCs w:val="20"/>
            </w:rPr>
            <w:fldChar w:fldCharType="end"/>
          </w:r>
        </w:p>
        <w:p w14:paraId="226FDB05">
          <w:pPr>
            <w:tabs>
              <w:tab w:val="right" w:leader="dot" w:pos="8717"/>
            </w:tabs>
            <w:spacing w:before="65" w:line="193" w:lineRule="auto"/>
            <w:ind w:left="865"/>
            <w:rPr>
              <w:rFonts w:ascii="Times New Roman" w:hAnsi="Times New Roman" w:eastAsia="Times New Roman" w:cs="Times New Roman"/>
              <w:sz w:val="20"/>
              <w:szCs w:val="20"/>
            </w:rPr>
          </w:pPr>
          <w:bookmarkStart w:id="25" w:name="bookmark51"/>
          <w:bookmarkEnd w:id="25"/>
          <w:r>
            <w:fldChar w:fldCharType="begin"/>
          </w:r>
          <w:r>
            <w:instrText xml:space="preserve"> HYPERLINK \l "bookmark52" </w:instrText>
          </w:r>
          <w:r>
            <w:fldChar w:fldCharType="separate"/>
          </w:r>
          <w:r>
            <w:rPr>
              <w:rFonts w:ascii="Times New Roman" w:hAnsi="Times New Roman" w:eastAsia="Times New Roman" w:cs="Times New Roman"/>
              <w:spacing w:val="5"/>
              <w:sz w:val="20"/>
              <w:szCs w:val="20"/>
            </w:rPr>
            <w:t xml:space="preserve">1.4.2 </w:t>
          </w:r>
          <w:r>
            <w:rPr>
              <w:rFonts w:ascii="宋体" w:hAnsi="宋体" w:eastAsia="宋体" w:cs="宋体"/>
              <w:spacing w:val="5"/>
              <w:sz w:val="20"/>
              <w:szCs w:val="20"/>
            </w:rPr>
            <w:t>环境影响评价因子识别</w:t>
          </w:r>
          <w:r>
            <w:rPr>
              <w:rFonts w:ascii="宋体" w:hAnsi="宋体" w:eastAsia="宋体" w:cs="宋体"/>
              <w:spacing w:val="-44"/>
              <w:sz w:val="20"/>
              <w:szCs w:val="20"/>
            </w:rPr>
            <w:t xml:space="preserve"> </w:t>
          </w:r>
          <w:r>
            <w:rPr>
              <w:rFonts w:ascii="宋体" w:hAnsi="宋体" w:eastAsia="宋体" w:cs="宋体"/>
              <w:sz w:val="20"/>
              <w:szCs w:val="20"/>
            </w:rPr>
            <w:tab/>
          </w:r>
          <w:r>
            <w:rPr>
              <w:rFonts w:ascii="宋体" w:hAnsi="宋体" w:eastAsia="宋体" w:cs="宋体"/>
              <w:spacing w:val="-68"/>
              <w:sz w:val="20"/>
              <w:szCs w:val="20"/>
            </w:rPr>
            <w:t xml:space="preserve"> </w:t>
          </w:r>
          <w:r>
            <w:rPr>
              <w:rFonts w:ascii="Times New Roman" w:hAnsi="Times New Roman" w:eastAsia="Times New Roman" w:cs="Times New Roman"/>
              <w:spacing w:val="2"/>
              <w:sz w:val="20"/>
              <w:szCs w:val="20"/>
            </w:rPr>
            <w:t>20</w:t>
          </w:r>
          <w:r>
            <w:rPr>
              <w:rFonts w:ascii="Times New Roman" w:hAnsi="Times New Roman" w:eastAsia="Times New Roman" w:cs="Times New Roman"/>
              <w:spacing w:val="2"/>
              <w:sz w:val="20"/>
              <w:szCs w:val="20"/>
            </w:rPr>
            <w:fldChar w:fldCharType="end"/>
          </w:r>
        </w:p>
        <w:p w14:paraId="4DA19D8F">
          <w:pPr>
            <w:tabs>
              <w:tab w:val="right" w:leader="dot" w:pos="8717"/>
            </w:tabs>
            <w:spacing w:before="62" w:line="194" w:lineRule="auto"/>
            <w:ind w:left="865"/>
            <w:rPr>
              <w:rFonts w:ascii="Times New Roman" w:hAnsi="Times New Roman" w:eastAsia="Times New Roman" w:cs="Times New Roman"/>
              <w:sz w:val="20"/>
              <w:szCs w:val="20"/>
            </w:rPr>
          </w:pPr>
          <w:bookmarkStart w:id="26" w:name="bookmark53"/>
          <w:bookmarkEnd w:id="26"/>
          <w:r>
            <w:fldChar w:fldCharType="begin"/>
          </w:r>
          <w:r>
            <w:instrText xml:space="preserve"> HYPERLINK \l "bookmark54" </w:instrText>
          </w:r>
          <w:r>
            <w:fldChar w:fldCharType="separate"/>
          </w:r>
          <w:r>
            <w:rPr>
              <w:rFonts w:ascii="Times New Roman" w:hAnsi="Times New Roman" w:eastAsia="Times New Roman" w:cs="Times New Roman"/>
              <w:spacing w:val="4"/>
              <w:sz w:val="20"/>
              <w:szCs w:val="20"/>
            </w:rPr>
            <w:t xml:space="preserve">1.4.3 </w:t>
          </w:r>
          <w:r>
            <w:rPr>
              <w:rFonts w:ascii="宋体" w:hAnsi="宋体" w:eastAsia="宋体" w:cs="宋体"/>
              <w:spacing w:val="4"/>
              <w:sz w:val="20"/>
              <w:szCs w:val="20"/>
            </w:rPr>
            <w:t>评价因子筛选</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60"/>
              <w:sz w:val="20"/>
              <w:szCs w:val="20"/>
            </w:rPr>
            <w:t xml:space="preserve"> </w:t>
          </w:r>
          <w:r>
            <w:rPr>
              <w:rFonts w:ascii="Times New Roman" w:hAnsi="Times New Roman" w:eastAsia="Times New Roman" w:cs="Times New Roman"/>
              <w:spacing w:val="2"/>
              <w:sz w:val="20"/>
              <w:szCs w:val="20"/>
            </w:rPr>
            <w:t>20</w:t>
          </w:r>
          <w:r>
            <w:rPr>
              <w:rFonts w:ascii="Times New Roman" w:hAnsi="Times New Roman" w:eastAsia="Times New Roman" w:cs="Times New Roman"/>
              <w:spacing w:val="2"/>
              <w:sz w:val="20"/>
              <w:szCs w:val="20"/>
            </w:rPr>
            <w:fldChar w:fldCharType="end"/>
          </w:r>
        </w:p>
        <w:p w14:paraId="18E4A6AE">
          <w:pPr>
            <w:tabs>
              <w:tab w:val="right" w:leader="dot" w:pos="8717"/>
            </w:tabs>
            <w:spacing w:before="63" w:line="193" w:lineRule="auto"/>
            <w:ind w:left="445"/>
            <w:rPr>
              <w:rFonts w:ascii="Times New Roman" w:hAnsi="Times New Roman" w:eastAsia="Times New Roman" w:cs="Times New Roman"/>
              <w:sz w:val="20"/>
              <w:szCs w:val="20"/>
            </w:rPr>
          </w:pPr>
          <w:bookmarkStart w:id="27" w:name="bookmark55"/>
          <w:bookmarkEnd w:id="27"/>
          <w:r>
            <w:fldChar w:fldCharType="begin"/>
          </w:r>
          <w:r>
            <w:instrText xml:space="preserve"> HYPERLINK \l "bookmark56" </w:instrText>
          </w:r>
          <w:r>
            <w:fldChar w:fldCharType="separate"/>
          </w:r>
          <w:r>
            <w:rPr>
              <w:rFonts w:ascii="Times New Roman" w:hAnsi="Times New Roman" w:eastAsia="Times New Roman" w:cs="Times New Roman"/>
              <w:spacing w:val="6"/>
              <w:sz w:val="20"/>
              <w:szCs w:val="20"/>
            </w:rPr>
            <w:t xml:space="preserve">1.5 </w:t>
          </w:r>
          <w:r>
            <w:rPr>
              <w:rFonts w:ascii="宋体" w:hAnsi="宋体" w:eastAsia="宋体" w:cs="宋体"/>
              <w:spacing w:val="6"/>
              <w:sz w:val="20"/>
              <w:szCs w:val="20"/>
            </w:rPr>
            <w:t>环境功能区划及评价标准</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65"/>
              <w:sz w:val="20"/>
              <w:szCs w:val="20"/>
            </w:rPr>
            <w:t xml:space="preserve"> </w:t>
          </w:r>
          <w:r>
            <w:rPr>
              <w:rFonts w:ascii="Times New Roman" w:hAnsi="Times New Roman" w:eastAsia="Times New Roman" w:cs="Times New Roman"/>
              <w:spacing w:val="2"/>
              <w:sz w:val="20"/>
              <w:szCs w:val="20"/>
            </w:rPr>
            <w:t>21</w:t>
          </w:r>
          <w:r>
            <w:rPr>
              <w:rFonts w:ascii="Times New Roman" w:hAnsi="Times New Roman" w:eastAsia="Times New Roman" w:cs="Times New Roman"/>
              <w:spacing w:val="2"/>
              <w:sz w:val="20"/>
              <w:szCs w:val="20"/>
            </w:rPr>
            <w:fldChar w:fldCharType="end"/>
          </w:r>
        </w:p>
        <w:p w14:paraId="14F1268D">
          <w:pPr>
            <w:tabs>
              <w:tab w:val="right" w:leader="dot" w:pos="8717"/>
            </w:tabs>
            <w:spacing w:before="62" w:line="193" w:lineRule="auto"/>
            <w:ind w:left="865"/>
            <w:rPr>
              <w:rFonts w:ascii="Times New Roman" w:hAnsi="Times New Roman" w:eastAsia="Times New Roman" w:cs="Times New Roman"/>
              <w:sz w:val="20"/>
              <w:szCs w:val="20"/>
            </w:rPr>
          </w:pPr>
          <w:bookmarkStart w:id="28" w:name="bookmark57"/>
          <w:bookmarkEnd w:id="28"/>
          <w:r>
            <w:fldChar w:fldCharType="begin"/>
          </w:r>
          <w:r>
            <w:instrText xml:space="preserve"> HYPERLINK \l "bookmark58" </w:instrText>
          </w:r>
          <w:r>
            <w:fldChar w:fldCharType="separate"/>
          </w:r>
          <w:r>
            <w:rPr>
              <w:rFonts w:ascii="Times New Roman" w:hAnsi="Times New Roman" w:eastAsia="Times New Roman" w:cs="Times New Roman"/>
              <w:spacing w:val="4"/>
              <w:sz w:val="20"/>
              <w:szCs w:val="20"/>
            </w:rPr>
            <w:t xml:space="preserve">1.5.1 </w:t>
          </w:r>
          <w:r>
            <w:rPr>
              <w:rFonts w:ascii="宋体" w:hAnsi="宋体" w:eastAsia="宋体" w:cs="宋体"/>
              <w:spacing w:val="4"/>
              <w:sz w:val="20"/>
              <w:szCs w:val="20"/>
            </w:rPr>
            <w:t>环境功能区划</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60"/>
              <w:sz w:val="20"/>
              <w:szCs w:val="20"/>
            </w:rPr>
            <w:t xml:space="preserve"> </w:t>
          </w:r>
          <w:r>
            <w:rPr>
              <w:rFonts w:ascii="Times New Roman" w:hAnsi="Times New Roman" w:eastAsia="Times New Roman" w:cs="Times New Roman"/>
              <w:spacing w:val="2"/>
              <w:sz w:val="20"/>
              <w:szCs w:val="20"/>
            </w:rPr>
            <w:t>21</w:t>
          </w:r>
          <w:r>
            <w:rPr>
              <w:rFonts w:ascii="Times New Roman" w:hAnsi="Times New Roman" w:eastAsia="Times New Roman" w:cs="Times New Roman"/>
              <w:spacing w:val="2"/>
              <w:sz w:val="20"/>
              <w:szCs w:val="20"/>
            </w:rPr>
            <w:fldChar w:fldCharType="end"/>
          </w:r>
        </w:p>
        <w:p w14:paraId="061B6F18">
          <w:pPr>
            <w:tabs>
              <w:tab w:val="right" w:leader="dot" w:pos="8717"/>
            </w:tabs>
            <w:spacing w:before="62" w:line="194" w:lineRule="auto"/>
            <w:ind w:left="865"/>
            <w:rPr>
              <w:rFonts w:ascii="Times New Roman" w:hAnsi="Times New Roman" w:eastAsia="Times New Roman" w:cs="Times New Roman"/>
              <w:sz w:val="20"/>
              <w:szCs w:val="20"/>
            </w:rPr>
          </w:pPr>
          <w:bookmarkStart w:id="29" w:name="bookmark59"/>
          <w:bookmarkEnd w:id="29"/>
          <w:r>
            <w:fldChar w:fldCharType="begin"/>
          </w:r>
          <w:r>
            <w:instrText xml:space="preserve"> HYPERLINK \l "bookmark60" </w:instrText>
          </w:r>
          <w:r>
            <w:fldChar w:fldCharType="separate"/>
          </w:r>
          <w:r>
            <w:rPr>
              <w:rFonts w:ascii="Times New Roman" w:hAnsi="Times New Roman" w:eastAsia="Times New Roman" w:cs="Times New Roman"/>
              <w:spacing w:val="4"/>
              <w:sz w:val="20"/>
              <w:szCs w:val="20"/>
            </w:rPr>
            <w:t xml:space="preserve">1.5.2 </w:t>
          </w:r>
          <w:r>
            <w:rPr>
              <w:rFonts w:ascii="宋体" w:hAnsi="宋体" w:eastAsia="宋体" w:cs="宋体"/>
              <w:spacing w:val="4"/>
              <w:sz w:val="20"/>
              <w:szCs w:val="20"/>
            </w:rPr>
            <w:t>环境质量标准</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60"/>
              <w:sz w:val="20"/>
              <w:szCs w:val="20"/>
            </w:rPr>
            <w:t xml:space="preserve"> </w:t>
          </w:r>
          <w:r>
            <w:rPr>
              <w:rFonts w:ascii="Times New Roman" w:hAnsi="Times New Roman" w:eastAsia="Times New Roman" w:cs="Times New Roman"/>
              <w:spacing w:val="2"/>
              <w:sz w:val="20"/>
              <w:szCs w:val="20"/>
            </w:rPr>
            <w:t>22</w:t>
          </w:r>
          <w:r>
            <w:rPr>
              <w:rFonts w:ascii="Times New Roman" w:hAnsi="Times New Roman" w:eastAsia="Times New Roman" w:cs="Times New Roman"/>
              <w:spacing w:val="2"/>
              <w:sz w:val="20"/>
              <w:szCs w:val="20"/>
            </w:rPr>
            <w:fldChar w:fldCharType="end"/>
          </w:r>
        </w:p>
        <w:p w14:paraId="5551D98B">
          <w:pPr>
            <w:tabs>
              <w:tab w:val="right" w:leader="dot" w:pos="8717"/>
            </w:tabs>
            <w:spacing w:before="64" w:line="193" w:lineRule="auto"/>
            <w:ind w:left="865"/>
            <w:rPr>
              <w:rFonts w:ascii="Times New Roman" w:hAnsi="Times New Roman" w:eastAsia="Times New Roman" w:cs="Times New Roman"/>
              <w:sz w:val="20"/>
              <w:szCs w:val="20"/>
            </w:rPr>
          </w:pPr>
          <w:bookmarkStart w:id="30" w:name="bookmark61"/>
          <w:bookmarkEnd w:id="30"/>
          <w:r>
            <w:fldChar w:fldCharType="begin"/>
          </w:r>
          <w:r>
            <w:instrText xml:space="preserve"> HYPERLINK \l "bookmark62" </w:instrText>
          </w:r>
          <w:r>
            <w:fldChar w:fldCharType="separate"/>
          </w:r>
          <w:r>
            <w:rPr>
              <w:rFonts w:ascii="Times New Roman" w:hAnsi="Times New Roman" w:eastAsia="Times New Roman" w:cs="Times New Roman"/>
              <w:spacing w:val="4"/>
              <w:sz w:val="20"/>
              <w:szCs w:val="20"/>
            </w:rPr>
            <w:t xml:space="preserve">1.5.3 </w:t>
          </w:r>
          <w:r>
            <w:rPr>
              <w:rFonts w:ascii="宋体" w:hAnsi="宋体" w:eastAsia="宋体" w:cs="宋体"/>
              <w:spacing w:val="4"/>
              <w:sz w:val="20"/>
              <w:szCs w:val="20"/>
            </w:rPr>
            <w:t>污染物排放标准</w:t>
          </w:r>
          <w:r>
            <w:rPr>
              <w:rFonts w:ascii="宋体" w:hAnsi="宋体" w:eastAsia="宋体" w:cs="宋体"/>
              <w:spacing w:val="-45"/>
              <w:sz w:val="20"/>
              <w:szCs w:val="20"/>
            </w:rPr>
            <w:t xml:space="preserve"> </w:t>
          </w:r>
          <w:r>
            <w:rPr>
              <w:rFonts w:ascii="宋体" w:hAnsi="宋体" w:eastAsia="宋体" w:cs="宋体"/>
              <w:sz w:val="20"/>
              <w:szCs w:val="20"/>
            </w:rPr>
            <w:tab/>
          </w:r>
          <w:r>
            <w:rPr>
              <w:rFonts w:ascii="宋体" w:hAnsi="宋体" w:eastAsia="宋体" w:cs="宋体"/>
              <w:spacing w:val="-64"/>
              <w:sz w:val="20"/>
              <w:szCs w:val="20"/>
            </w:rPr>
            <w:t xml:space="preserve"> </w:t>
          </w:r>
          <w:r>
            <w:rPr>
              <w:rFonts w:ascii="Times New Roman" w:hAnsi="Times New Roman" w:eastAsia="Times New Roman" w:cs="Times New Roman"/>
              <w:spacing w:val="2"/>
              <w:sz w:val="20"/>
              <w:szCs w:val="20"/>
            </w:rPr>
            <w:t>25</w:t>
          </w:r>
          <w:r>
            <w:rPr>
              <w:rFonts w:ascii="Times New Roman" w:hAnsi="Times New Roman" w:eastAsia="Times New Roman" w:cs="Times New Roman"/>
              <w:spacing w:val="2"/>
              <w:sz w:val="20"/>
              <w:szCs w:val="20"/>
            </w:rPr>
            <w:fldChar w:fldCharType="end"/>
          </w:r>
        </w:p>
        <w:p w14:paraId="00CAD55E">
          <w:pPr>
            <w:tabs>
              <w:tab w:val="right" w:leader="dot" w:pos="8717"/>
            </w:tabs>
            <w:spacing w:before="62" w:line="193" w:lineRule="auto"/>
            <w:ind w:left="445"/>
            <w:rPr>
              <w:rFonts w:ascii="Times New Roman" w:hAnsi="Times New Roman" w:eastAsia="Times New Roman" w:cs="Times New Roman"/>
              <w:sz w:val="20"/>
              <w:szCs w:val="20"/>
            </w:rPr>
          </w:pPr>
          <w:bookmarkStart w:id="31" w:name="bookmark63"/>
          <w:bookmarkEnd w:id="31"/>
          <w:r>
            <w:fldChar w:fldCharType="begin"/>
          </w:r>
          <w:r>
            <w:instrText xml:space="preserve"> HYPERLINK \l "bookmark64" </w:instrText>
          </w:r>
          <w:r>
            <w:fldChar w:fldCharType="separate"/>
          </w:r>
          <w:r>
            <w:rPr>
              <w:rFonts w:ascii="Times New Roman" w:hAnsi="Times New Roman" w:eastAsia="Times New Roman" w:cs="Times New Roman"/>
              <w:spacing w:val="6"/>
              <w:sz w:val="20"/>
              <w:szCs w:val="20"/>
            </w:rPr>
            <w:t xml:space="preserve">1.6 </w:t>
          </w:r>
          <w:r>
            <w:rPr>
              <w:rFonts w:ascii="宋体" w:hAnsi="宋体" w:eastAsia="宋体" w:cs="宋体"/>
              <w:spacing w:val="6"/>
              <w:sz w:val="20"/>
              <w:szCs w:val="20"/>
            </w:rPr>
            <w:t>评价工作等级及评价范围</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65"/>
              <w:sz w:val="20"/>
              <w:szCs w:val="20"/>
            </w:rPr>
            <w:t xml:space="preserve"> </w:t>
          </w:r>
          <w:r>
            <w:rPr>
              <w:rFonts w:ascii="Times New Roman" w:hAnsi="Times New Roman" w:eastAsia="Times New Roman" w:cs="Times New Roman"/>
              <w:spacing w:val="2"/>
              <w:sz w:val="20"/>
              <w:szCs w:val="20"/>
            </w:rPr>
            <w:t>27</w:t>
          </w:r>
          <w:r>
            <w:rPr>
              <w:rFonts w:ascii="Times New Roman" w:hAnsi="Times New Roman" w:eastAsia="Times New Roman" w:cs="Times New Roman"/>
              <w:spacing w:val="2"/>
              <w:sz w:val="20"/>
              <w:szCs w:val="20"/>
            </w:rPr>
            <w:fldChar w:fldCharType="end"/>
          </w:r>
        </w:p>
        <w:p w14:paraId="6D7CBCC6">
          <w:pPr>
            <w:tabs>
              <w:tab w:val="right" w:leader="dot" w:pos="8717"/>
            </w:tabs>
            <w:spacing w:before="65" w:line="194" w:lineRule="auto"/>
            <w:ind w:left="865"/>
            <w:rPr>
              <w:rFonts w:ascii="Times New Roman" w:hAnsi="Times New Roman" w:eastAsia="Times New Roman" w:cs="Times New Roman"/>
              <w:sz w:val="20"/>
              <w:szCs w:val="20"/>
            </w:rPr>
          </w:pPr>
          <w:bookmarkStart w:id="32" w:name="bookmark65"/>
          <w:bookmarkEnd w:id="32"/>
          <w:r>
            <w:fldChar w:fldCharType="begin"/>
          </w:r>
          <w:r>
            <w:instrText xml:space="preserve"> HYPERLINK \l "bookmark66" </w:instrText>
          </w:r>
          <w:r>
            <w:fldChar w:fldCharType="separate"/>
          </w:r>
          <w:r>
            <w:rPr>
              <w:rFonts w:ascii="Times New Roman" w:hAnsi="Times New Roman" w:eastAsia="Times New Roman" w:cs="Times New Roman"/>
              <w:spacing w:val="2"/>
              <w:sz w:val="20"/>
              <w:szCs w:val="20"/>
            </w:rPr>
            <w:t>1.6.1</w:t>
          </w:r>
          <w:r>
            <w:rPr>
              <w:rFonts w:ascii="Times New Roman" w:hAnsi="Times New Roman" w:eastAsia="Times New Roman" w:cs="Times New Roman"/>
              <w:spacing w:val="14"/>
              <w:w w:val="101"/>
              <w:sz w:val="20"/>
              <w:szCs w:val="20"/>
            </w:rPr>
            <w:t xml:space="preserve"> </w:t>
          </w:r>
          <w:r>
            <w:rPr>
              <w:rFonts w:ascii="宋体" w:hAnsi="宋体" w:eastAsia="宋体" w:cs="宋体"/>
              <w:spacing w:val="2"/>
              <w:sz w:val="20"/>
              <w:szCs w:val="20"/>
            </w:rPr>
            <w:t>大气环境</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56"/>
              <w:sz w:val="20"/>
              <w:szCs w:val="20"/>
            </w:rPr>
            <w:t xml:space="preserve"> </w:t>
          </w:r>
          <w:r>
            <w:rPr>
              <w:rFonts w:ascii="Times New Roman" w:hAnsi="Times New Roman" w:eastAsia="Times New Roman" w:cs="Times New Roman"/>
              <w:spacing w:val="2"/>
              <w:sz w:val="20"/>
              <w:szCs w:val="20"/>
            </w:rPr>
            <w:t>27</w:t>
          </w:r>
          <w:r>
            <w:rPr>
              <w:rFonts w:ascii="Times New Roman" w:hAnsi="Times New Roman" w:eastAsia="Times New Roman" w:cs="Times New Roman"/>
              <w:spacing w:val="2"/>
              <w:sz w:val="20"/>
              <w:szCs w:val="20"/>
            </w:rPr>
            <w:fldChar w:fldCharType="end"/>
          </w:r>
        </w:p>
        <w:p w14:paraId="35E9F84B">
          <w:pPr>
            <w:tabs>
              <w:tab w:val="right" w:leader="dot" w:pos="8717"/>
            </w:tabs>
            <w:spacing w:before="61" w:line="193" w:lineRule="auto"/>
            <w:ind w:left="865"/>
            <w:rPr>
              <w:rFonts w:ascii="Times New Roman" w:hAnsi="Times New Roman" w:eastAsia="Times New Roman" w:cs="Times New Roman"/>
              <w:sz w:val="20"/>
              <w:szCs w:val="20"/>
            </w:rPr>
          </w:pPr>
          <w:bookmarkStart w:id="33" w:name="bookmark67"/>
          <w:bookmarkEnd w:id="33"/>
          <w:r>
            <w:fldChar w:fldCharType="begin"/>
          </w:r>
          <w:r>
            <w:instrText xml:space="preserve"> HYPERLINK \l "bookmark68" </w:instrText>
          </w:r>
          <w:r>
            <w:fldChar w:fldCharType="separate"/>
          </w:r>
          <w:r>
            <w:rPr>
              <w:rFonts w:ascii="Times New Roman" w:hAnsi="Times New Roman" w:eastAsia="Times New Roman" w:cs="Times New Roman"/>
              <w:spacing w:val="4"/>
              <w:sz w:val="20"/>
              <w:szCs w:val="20"/>
            </w:rPr>
            <w:t xml:space="preserve">1.6.2 </w:t>
          </w:r>
          <w:r>
            <w:rPr>
              <w:rFonts w:ascii="宋体" w:hAnsi="宋体" w:eastAsia="宋体" w:cs="宋体"/>
              <w:spacing w:val="4"/>
              <w:sz w:val="20"/>
              <w:szCs w:val="20"/>
            </w:rPr>
            <w:t>地表水环境</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56"/>
              <w:sz w:val="20"/>
              <w:szCs w:val="20"/>
            </w:rPr>
            <w:t xml:space="preserve"> </w:t>
          </w:r>
          <w:r>
            <w:rPr>
              <w:rFonts w:ascii="Times New Roman" w:hAnsi="Times New Roman" w:eastAsia="Times New Roman" w:cs="Times New Roman"/>
              <w:sz w:val="20"/>
              <w:szCs w:val="20"/>
            </w:rPr>
            <w:t>31</w:t>
          </w:r>
          <w:r>
            <w:rPr>
              <w:rFonts w:ascii="Times New Roman" w:hAnsi="Times New Roman" w:eastAsia="Times New Roman" w:cs="Times New Roman"/>
              <w:sz w:val="20"/>
              <w:szCs w:val="20"/>
            </w:rPr>
            <w:fldChar w:fldCharType="end"/>
          </w:r>
        </w:p>
        <w:p w14:paraId="19ECD3CD">
          <w:pPr>
            <w:tabs>
              <w:tab w:val="right" w:leader="dot" w:pos="8717"/>
            </w:tabs>
            <w:spacing w:before="64" w:line="193" w:lineRule="auto"/>
            <w:ind w:left="865"/>
            <w:rPr>
              <w:rFonts w:ascii="Times New Roman" w:hAnsi="Times New Roman" w:eastAsia="Times New Roman" w:cs="Times New Roman"/>
              <w:sz w:val="20"/>
              <w:szCs w:val="20"/>
            </w:rPr>
          </w:pPr>
          <w:bookmarkStart w:id="34" w:name="bookmark69"/>
          <w:bookmarkEnd w:id="34"/>
          <w:r>
            <w:fldChar w:fldCharType="begin"/>
          </w:r>
          <w:r>
            <w:instrText xml:space="preserve"> HYPERLINK \l "bookmark70" </w:instrText>
          </w:r>
          <w:r>
            <w:fldChar w:fldCharType="separate"/>
          </w:r>
          <w:r>
            <w:rPr>
              <w:rFonts w:ascii="Times New Roman" w:hAnsi="Times New Roman" w:eastAsia="Times New Roman" w:cs="Times New Roman"/>
              <w:spacing w:val="4"/>
              <w:sz w:val="20"/>
              <w:szCs w:val="20"/>
            </w:rPr>
            <w:t xml:space="preserve">1.6.3 </w:t>
          </w:r>
          <w:r>
            <w:rPr>
              <w:rFonts w:ascii="宋体" w:hAnsi="宋体" w:eastAsia="宋体" w:cs="宋体"/>
              <w:spacing w:val="4"/>
              <w:sz w:val="20"/>
              <w:szCs w:val="20"/>
            </w:rPr>
            <w:t>地下水环境</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56"/>
              <w:sz w:val="20"/>
              <w:szCs w:val="20"/>
            </w:rPr>
            <w:t xml:space="preserve"> </w:t>
          </w:r>
          <w:r>
            <w:rPr>
              <w:rFonts w:ascii="Times New Roman" w:hAnsi="Times New Roman" w:eastAsia="Times New Roman" w:cs="Times New Roman"/>
              <w:sz w:val="20"/>
              <w:szCs w:val="20"/>
            </w:rPr>
            <w:t>31</w:t>
          </w:r>
          <w:r>
            <w:rPr>
              <w:rFonts w:ascii="Times New Roman" w:hAnsi="Times New Roman" w:eastAsia="Times New Roman" w:cs="Times New Roman"/>
              <w:sz w:val="20"/>
              <w:szCs w:val="20"/>
            </w:rPr>
            <w:fldChar w:fldCharType="end"/>
          </w:r>
        </w:p>
        <w:p w14:paraId="6A15FA09">
          <w:pPr>
            <w:tabs>
              <w:tab w:val="right" w:leader="dot" w:pos="8717"/>
            </w:tabs>
            <w:spacing w:before="62" w:line="194" w:lineRule="auto"/>
            <w:ind w:left="865"/>
            <w:rPr>
              <w:rFonts w:ascii="Times New Roman" w:hAnsi="Times New Roman" w:eastAsia="Times New Roman" w:cs="Times New Roman"/>
              <w:sz w:val="20"/>
              <w:szCs w:val="20"/>
            </w:rPr>
          </w:pPr>
          <w:bookmarkStart w:id="35" w:name="bookmark71"/>
          <w:bookmarkEnd w:id="35"/>
          <w:r>
            <w:fldChar w:fldCharType="begin"/>
          </w:r>
          <w:r>
            <w:instrText xml:space="preserve"> HYPERLINK \l "bookmark72" </w:instrText>
          </w:r>
          <w:r>
            <w:fldChar w:fldCharType="separate"/>
          </w:r>
          <w:r>
            <w:rPr>
              <w:rFonts w:ascii="Times New Roman" w:hAnsi="Times New Roman" w:eastAsia="Times New Roman" w:cs="Times New Roman"/>
              <w:spacing w:val="1"/>
              <w:sz w:val="20"/>
              <w:szCs w:val="20"/>
            </w:rPr>
            <w:t>1.6.3</w:t>
          </w:r>
          <w:r>
            <w:rPr>
              <w:rFonts w:ascii="Times New Roman" w:hAnsi="Times New Roman" w:eastAsia="Times New Roman" w:cs="Times New Roman"/>
              <w:spacing w:val="23"/>
              <w:w w:val="101"/>
              <w:sz w:val="20"/>
              <w:szCs w:val="20"/>
            </w:rPr>
            <w:t xml:space="preserve"> </w:t>
          </w:r>
          <w:r>
            <w:rPr>
              <w:rFonts w:ascii="宋体" w:hAnsi="宋体" w:eastAsia="宋体" w:cs="宋体"/>
              <w:spacing w:val="1"/>
              <w:sz w:val="20"/>
              <w:szCs w:val="20"/>
            </w:rPr>
            <w:t>噪声环境</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52"/>
              <w:sz w:val="20"/>
              <w:szCs w:val="20"/>
            </w:rPr>
            <w:t xml:space="preserve"> </w:t>
          </w:r>
          <w:r>
            <w:rPr>
              <w:rFonts w:ascii="Times New Roman" w:hAnsi="Times New Roman" w:eastAsia="Times New Roman" w:cs="Times New Roman"/>
              <w:sz w:val="20"/>
              <w:szCs w:val="20"/>
            </w:rPr>
            <w:t>32</w:t>
          </w:r>
          <w:r>
            <w:rPr>
              <w:rFonts w:ascii="Times New Roman" w:hAnsi="Times New Roman" w:eastAsia="Times New Roman" w:cs="Times New Roman"/>
              <w:sz w:val="20"/>
              <w:szCs w:val="20"/>
            </w:rPr>
            <w:fldChar w:fldCharType="end"/>
          </w:r>
        </w:p>
        <w:p w14:paraId="4EB2D5EA">
          <w:pPr>
            <w:tabs>
              <w:tab w:val="right" w:leader="dot" w:pos="8717"/>
            </w:tabs>
            <w:spacing w:before="64" w:line="193" w:lineRule="auto"/>
            <w:ind w:left="865"/>
            <w:rPr>
              <w:rFonts w:ascii="Times New Roman" w:hAnsi="Times New Roman" w:eastAsia="Times New Roman" w:cs="Times New Roman"/>
              <w:sz w:val="20"/>
              <w:szCs w:val="20"/>
            </w:rPr>
          </w:pPr>
          <w:bookmarkStart w:id="36" w:name="bookmark73"/>
          <w:bookmarkEnd w:id="36"/>
          <w:r>
            <w:fldChar w:fldCharType="begin"/>
          </w:r>
          <w:r>
            <w:instrText xml:space="preserve"> HYPERLINK \l "bookmark74" </w:instrText>
          </w:r>
          <w:r>
            <w:fldChar w:fldCharType="separate"/>
          </w:r>
          <w:r>
            <w:rPr>
              <w:rFonts w:ascii="Times New Roman" w:hAnsi="Times New Roman" w:eastAsia="Times New Roman" w:cs="Times New Roman"/>
              <w:spacing w:val="3"/>
              <w:sz w:val="20"/>
              <w:szCs w:val="20"/>
            </w:rPr>
            <w:t xml:space="preserve">1.6.4 </w:t>
          </w:r>
          <w:r>
            <w:rPr>
              <w:rFonts w:ascii="宋体" w:hAnsi="宋体" w:eastAsia="宋体" w:cs="宋体"/>
              <w:spacing w:val="3"/>
              <w:sz w:val="20"/>
              <w:szCs w:val="20"/>
            </w:rPr>
            <w:t>生态环境</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52"/>
              <w:sz w:val="20"/>
              <w:szCs w:val="20"/>
            </w:rPr>
            <w:t xml:space="preserve"> </w:t>
          </w:r>
          <w:r>
            <w:rPr>
              <w:rFonts w:ascii="Times New Roman" w:hAnsi="Times New Roman" w:eastAsia="Times New Roman" w:cs="Times New Roman"/>
              <w:sz w:val="20"/>
              <w:szCs w:val="20"/>
            </w:rPr>
            <w:t>32</w:t>
          </w:r>
          <w:r>
            <w:rPr>
              <w:rFonts w:ascii="Times New Roman" w:hAnsi="Times New Roman" w:eastAsia="Times New Roman" w:cs="Times New Roman"/>
              <w:sz w:val="20"/>
              <w:szCs w:val="20"/>
            </w:rPr>
            <w:fldChar w:fldCharType="end"/>
          </w:r>
        </w:p>
        <w:p w14:paraId="2CE971E1">
          <w:pPr>
            <w:tabs>
              <w:tab w:val="right" w:leader="dot" w:pos="8717"/>
            </w:tabs>
            <w:spacing w:before="62" w:line="193" w:lineRule="auto"/>
            <w:ind w:left="865"/>
            <w:rPr>
              <w:rFonts w:ascii="Times New Roman" w:hAnsi="Times New Roman" w:eastAsia="Times New Roman" w:cs="Times New Roman"/>
              <w:sz w:val="20"/>
              <w:szCs w:val="20"/>
            </w:rPr>
          </w:pPr>
          <w:bookmarkStart w:id="37" w:name="bookmark75"/>
          <w:bookmarkEnd w:id="37"/>
          <w:r>
            <w:fldChar w:fldCharType="begin"/>
          </w:r>
          <w:r>
            <w:instrText xml:space="preserve"> HYPERLINK \l "bookmark76" </w:instrText>
          </w:r>
          <w:r>
            <w:fldChar w:fldCharType="separate"/>
          </w:r>
          <w:r>
            <w:rPr>
              <w:rFonts w:ascii="Times New Roman" w:hAnsi="Times New Roman" w:eastAsia="Times New Roman" w:cs="Times New Roman"/>
              <w:spacing w:val="3"/>
              <w:sz w:val="20"/>
              <w:szCs w:val="20"/>
            </w:rPr>
            <w:t xml:space="preserve">1.6.5 </w:t>
          </w:r>
          <w:r>
            <w:rPr>
              <w:rFonts w:ascii="宋体" w:hAnsi="宋体" w:eastAsia="宋体" w:cs="宋体"/>
              <w:spacing w:val="3"/>
              <w:sz w:val="20"/>
              <w:szCs w:val="20"/>
            </w:rPr>
            <w:t>风险评价</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52"/>
              <w:sz w:val="20"/>
              <w:szCs w:val="20"/>
            </w:rPr>
            <w:t xml:space="preserve"> </w:t>
          </w:r>
          <w:r>
            <w:rPr>
              <w:rFonts w:ascii="Times New Roman" w:hAnsi="Times New Roman" w:eastAsia="Times New Roman" w:cs="Times New Roman"/>
              <w:sz w:val="20"/>
              <w:szCs w:val="20"/>
            </w:rPr>
            <w:t>33</w:t>
          </w:r>
          <w:r>
            <w:rPr>
              <w:rFonts w:ascii="Times New Roman" w:hAnsi="Times New Roman" w:eastAsia="Times New Roman" w:cs="Times New Roman"/>
              <w:sz w:val="20"/>
              <w:szCs w:val="20"/>
            </w:rPr>
            <w:fldChar w:fldCharType="end"/>
          </w:r>
        </w:p>
        <w:p w14:paraId="238E0D83">
          <w:pPr>
            <w:tabs>
              <w:tab w:val="right" w:leader="dot" w:pos="8717"/>
            </w:tabs>
            <w:spacing w:before="64" w:line="194" w:lineRule="auto"/>
            <w:ind w:left="865"/>
            <w:rPr>
              <w:rFonts w:ascii="Times New Roman" w:hAnsi="Times New Roman" w:eastAsia="Times New Roman" w:cs="Times New Roman"/>
              <w:sz w:val="20"/>
              <w:szCs w:val="20"/>
            </w:rPr>
          </w:pPr>
          <w:bookmarkStart w:id="38" w:name="bookmark77"/>
          <w:bookmarkEnd w:id="38"/>
          <w:r>
            <w:fldChar w:fldCharType="begin"/>
          </w:r>
          <w:r>
            <w:instrText xml:space="preserve"> HYPERLINK \l "bookmark78" </w:instrText>
          </w:r>
          <w:r>
            <w:fldChar w:fldCharType="separate"/>
          </w:r>
          <w:r>
            <w:rPr>
              <w:rFonts w:ascii="Times New Roman" w:hAnsi="Times New Roman" w:eastAsia="Times New Roman" w:cs="Times New Roman"/>
              <w:spacing w:val="3"/>
              <w:sz w:val="20"/>
              <w:szCs w:val="20"/>
            </w:rPr>
            <w:t xml:space="preserve">1.6.6 </w:t>
          </w:r>
          <w:r>
            <w:rPr>
              <w:rFonts w:ascii="宋体" w:hAnsi="宋体" w:eastAsia="宋体" w:cs="宋体"/>
              <w:spacing w:val="3"/>
              <w:sz w:val="20"/>
              <w:szCs w:val="20"/>
            </w:rPr>
            <w:t>土壤评价</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52"/>
              <w:sz w:val="20"/>
              <w:szCs w:val="20"/>
            </w:rPr>
            <w:t xml:space="preserve"> </w:t>
          </w:r>
          <w:r>
            <w:rPr>
              <w:rFonts w:ascii="Times New Roman" w:hAnsi="Times New Roman" w:eastAsia="Times New Roman" w:cs="Times New Roman"/>
              <w:sz w:val="20"/>
              <w:szCs w:val="20"/>
            </w:rPr>
            <w:t>33</w:t>
          </w:r>
          <w:r>
            <w:rPr>
              <w:rFonts w:ascii="Times New Roman" w:hAnsi="Times New Roman" w:eastAsia="Times New Roman" w:cs="Times New Roman"/>
              <w:sz w:val="20"/>
              <w:szCs w:val="20"/>
            </w:rPr>
            <w:fldChar w:fldCharType="end"/>
          </w:r>
        </w:p>
        <w:p w14:paraId="029638A9">
          <w:pPr>
            <w:tabs>
              <w:tab w:val="right" w:leader="dot" w:pos="8717"/>
            </w:tabs>
            <w:spacing w:before="61" w:line="193" w:lineRule="auto"/>
            <w:ind w:left="865"/>
            <w:rPr>
              <w:rFonts w:ascii="Times New Roman" w:hAnsi="Times New Roman" w:eastAsia="Times New Roman" w:cs="Times New Roman"/>
              <w:sz w:val="20"/>
              <w:szCs w:val="20"/>
            </w:rPr>
          </w:pPr>
          <w:bookmarkStart w:id="39" w:name="bookmark79"/>
          <w:bookmarkEnd w:id="39"/>
          <w:r>
            <w:fldChar w:fldCharType="begin"/>
          </w:r>
          <w:r>
            <w:instrText xml:space="preserve"> HYPERLINK \l "bookmark80" </w:instrText>
          </w:r>
          <w:r>
            <w:fldChar w:fldCharType="separate"/>
          </w:r>
          <w:r>
            <w:rPr>
              <w:rFonts w:ascii="Times New Roman" w:hAnsi="Times New Roman" w:eastAsia="Times New Roman" w:cs="Times New Roman"/>
              <w:spacing w:val="6"/>
              <w:sz w:val="20"/>
              <w:szCs w:val="20"/>
            </w:rPr>
            <w:t xml:space="preserve">1.6.7 </w:t>
          </w:r>
          <w:r>
            <w:rPr>
              <w:rFonts w:ascii="宋体" w:hAnsi="宋体" w:eastAsia="宋体" w:cs="宋体"/>
              <w:spacing w:val="6"/>
              <w:sz w:val="20"/>
              <w:szCs w:val="20"/>
            </w:rPr>
            <w:t>各环境要素评价等级及评价范围</w:t>
          </w:r>
          <w:r>
            <w:rPr>
              <w:rFonts w:ascii="宋体" w:hAnsi="宋体" w:eastAsia="宋体" w:cs="宋体"/>
              <w:spacing w:val="-44"/>
              <w:sz w:val="20"/>
              <w:szCs w:val="20"/>
            </w:rPr>
            <w:t xml:space="preserve"> </w:t>
          </w:r>
          <w:r>
            <w:rPr>
              <w:rFonts w:ascii="宋体" w:hAnsi="宋体" w:eastAsia="宋体" w:cs="宋体"/>
              <w:sz w:val="20"/>
              <w:szCs w:val="20"/>
            </w:rPr>
            <w:tab/>
          </w:r>
          <w:r>
            <w:rPr>
              <w:rFonts w:ascii="Times New Roman" w:hAnsi="Times New Roman" w:eastAsia="Times New Roman" w:cs="Times New Roman"/>
              <w:spacing w:val="14"/>
              <w:sz w:val="20"/>
              <w:szCs w:val="20"/>
            </w:rPr>
            <w:t>34</w:t>
          </w:r>
          <w:r>
            <w:rPr>
              <w:rFonts w:ascii="Times New Roman" w:hAnsi="Times New Roman" w:eastAsia="Times New Roman" w:cs="Times New Roman"/>
              <w:spacing w:val="14"/>
              <w:sz w:val="20"/>
              <w:szCs w:val="20"/>
            </w:rPr>
            <w:fldChar w:fldCharType="end"/>
          </w:r>
        </w:p>
        <w:p w14:paraId="101D68D6">
          <w:pPr>
            <w:tabs>
              <w:tab w:val="right" w:leader="dot" w:pos="8717"/>
            </w:tabs>
            <w:spacing w:before="65" w:line="193" w:lineRule="auto"/>
            <w:ind w:left="445"/>
            <w:rPr>
              <w:rFonts w:ascii="Times New Roman" w:hAnsi="Times New Roman" w:eastAsia="Times New Roman" w:cs="Times New Roman"/>
              <w:sz w:val="20"/>
              <w:szCs w:val="20"/>
            </w:rPr>
          </w:pPr>
          <w:bookmarkStart w:id="40" w:name="bookmark81"/>
          <w:bookmarkEnd w:id="40"/>
          <w:r>
            <w:fldChar w:fldCharType="begin"/>
          </w:r>
          <w:r>
            <w:instrText xml:space="preserve"> HYPERLINK \l "bookmark82" </w:instrText>
          </w:r>
          <w:r>
            <w:fldChar w:fldCharType="separate"/>
          </w:r>
          <w:r>
            <w:rPr>
              <w:rFonts w:ascii="Times New Roman" w:hAnsi="Times New Roman" w:eastAsia="Times New Roman" w:cs="Times New Roman"/>
              <w:spacing w:val="4"/>
              <w:sz w:val="20"/>
              <w:szCs w:val="20"/>
            </w:rPr>
            <w:t xml:space="preserve">1.7 </w:t>
          </w:r>
          <w:r>
            <w:rPr>
              <w:rFonts w:ascii="宋体" w:hAnsi="宋体" w:eastAsia="宋体" w:cs="宋体"/>
              <w:spacing w:val="4"/>
              <w:sz w:val="20"/>
              <w:szCs w:val="20"/>
            </w:rPr>
            <w:t>环境保护目标</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52"/>
              <w:sz w:val="20"/>
              <w:szCs w:val="20"/>
            </w:rPr>
            <w:t xml:space="preserve"> </w:t>
          </w:r>
          <w:r>
            <w:rPr>
              <w:rFonts w:ascii="Times New Roman" w:hAnsi="Times New Roman" w:eastAsia="Times New Roman" w:cs="Times New Roman"/>
              <w:sz w:val="20"/>
              <w:szCs w:val="20"/>
            </w:rPr>
            <w:t>35</w:t>
          </w:r>
          <w:r>
            <w:rPr>
              <w:rFonts w:ascii="Times New Roman" w:hAnsi="Times New Roman" w:eastAsia="Times New Roman" w:cs="Times New Roman"/>
              <w:sz w:val="20"/>
              <w:szCs w:val="20"/>
            </w:rPr>
            <w:fldChar w:fldCharType="end"/>
          </w:r>
        </w:p>
        <w:p w14:paraId="21A62979">
          <w:pPr>
            <w:tabs>
              <w:tab w:val="right" w:leader="dot" w:pos="8717"/>
            </w:tabs>
            <w:spacing w:before="62" w:line="194" w:lineRule="auto"/>
            <w:ind w:left="8"/>
            <w:rPr>
              <w:rFonts w:ascii="Times New Roman" w:hAnsi="Times New Roman" w:eastAsia="Times New Roman" w:cs="Times New Roman"/>
              <w:sz w:val="20"/>
              <w:szCs w:val="20"/>
            </w:rPr>
          </w:pPr>
          <w:bookmarkStart w:id="41" w:name="bookmark83"/>
          <w:bookmarkEnd w:id="41"/>
          <w:r>
            <w:fldChar w:fldCharType="begin"/>
          </w:r>
          <w:r>
            <w:instrText xml:space="preserve"> HYPERLINK \l "bookmark84" </w:instrText>
          </w:r>
          <w:r>
            <w:fldChar w:fldCharType="separate"/>
          </w:r>
          <w:r>
            <w:rPr>
              <w:rFonts w:ascii="宋体" w:hAnsi="宋体" w:eastAsia="宋体" w:cs="宋体"/>
              <w:b/>
              <w:bCs/>
              <w:spacing w:val="7"/>
              <w:sz w:val="20"/>
              <w:szCs w:val="20"/>
            </w:rPr>
            <w:t>第二章</w:t>
          </w:r>
          <w:r>
            <w:rPr>
              <w:rFonts w:ascii="宋体" w:hAnsi="宋体" w:eastAsia="宋体" w:cs="宋体"/>
              <w:spacing w:val="7"/>
              <w:sz w:val="20"/>
              <w:szCs w:val="20"/>
            </w:rPr>
            <w:t xml:space="preserve">  </w:t>
          </w:r>
          <w:r>
            <w:rPr>
              <w:rFonts w:ascii="宋体" w:hAnsi="宋体" w:eastAsia="宋体" w:cs="宋体"/>
              <w:b/>
              <w:bCs/>
              <w:spacing w:val="7"/>
              <w:sz w:val="20"/>
              <w:szCs w:val="20"/>
            </w:rPr>
            <w:t>建设项目工程分析</w:t>
          </w:r>
          <w:r>
            <w:rPr>
              <w:rFonts w:ascii="宋体" w:hAnsi="宋体" w:eastAsia="宋体" w:cs="宋体"/>
              <w:spacing w:val="-61"/>
              <w:sz w:val="20"/>
              <w:szCs w:val="20"/>
            </w:rPr>
            <w:t xml:space="preserve"> </w:t>
          </w:r>
          <w:r>
            <w:rPr>
              <w:rFonts w:ascii="宋体" w:hAnsi="宋体" w:eastAsia="宋体" w:cs="宋体"/>
              <w:sz w:val="20"/>
              <w:szCs w:val="20"/>
            </w:rPr>
            <w:tab/>
          </w:r>
          <w:r>
            <w:rPr>
              <w:rFonts w:ascii="宋体" w:hAnsi="宋体" w:eastAsia="宋体" w:cs="宋体"/>
              <w:spacing w:val="-70"/>
              <w:sz w:val="20"/>
              <w:szCs w:val="20"/>
            </w:rPr>
            <w:t xml:space="preserve"> </w:t>
          </w:r>
          <w:r>
            <w:rPr>
              <w:rFonts w:ascii="Times New Roman" w:hAnsi="Times New Roman" w:eastAsia="Times New Roman" w:cs="Times New Roman"/>
              <w:b/>
              <w:bCs/>
              <w:spacing w:val="3"/>
              <w:sz w:val="20"/>
              <w:szCs w:val="20"/>
            </w:rPr>
            <w:t>38</w:t>
          </w:r>
          <w:r>
            <w:rPr>
              <w:rFonts w:ascii="Times New Roman" w:hAnsi="Times New Roman" w:eastAsia="Times New Roman" w:cs="Times New Roman"/>
              <w:b/>
              <w:bCs/>
              <w:spacing w:val="3"/>
              <w:sz w:val="20"/>
              <w:szCs w:val="20"/>
            </w:rPr>
            <w:fldChar w:fldCharType="end"/>
          </w:r>
        </w:p>
        <w:p w14:paraId="0269637C">
          <w:pPr>
            <w:tabs>
              <w:tab w:val="right" w:leader="dot" w:pos="8717"/>
            </w:tabs>
            <w:spacing w:before="63" w:line="193" w:lineRule="auto"/>
            <w:ind w:left="425"/>
            <w:rPr>
              <w:rFonts w:ascii="Times New Roman" w:hAnsi="Times New Roman" w:eastAsia="Times New Roman" w:cs="Times New Roman"/>
              <w:sz w:val="20"/>
              <w:szCs w:val="20"/>
            </w:rPr>
          </w:pPr>
          <w:bookmarkStart w:id="42" w:name="bookmark85"/>
          <w:bookmarkEnd w:id="42"/>
          <w:r>
            <w:fldChar w:fldCharType="begin"/>
          </w:r>
          <w:r>
            <w:instrText xml:space="preserve"> HYPERLINK \l "bookmark86" </w:instrText>
          </w:r>
          <w:r>
            <w:fldChar w:fldCharType="separate"/>
          </w:r>
          <w:r>
            <w:rPr>
              <w:rFonts w:ascii="Times New Roman" w:hAnsi="Times New Roman" w:eastAsia="Times New Roman" w:cs="Times New Roman"/>
              <w:spacing w:val="6"/>
              <w:sz w:val="20"/>
              <w:szCs w:val="20"/>
            </w:rPr>
            <w:t xml:space="preserve">2.1 </w:t>
          </w:r>
          <w:r>
            <w:rPr>
              <w:rFonts w:ascii="宋体" w:hAnsi="宋体" w:eastAsia="宋体" w:cs="宋体"/>
              <w:spacing w:val="6"/>
              <w:sz w:val="20"/>
              <w:szCs w:val="20"/>
            </w:rPr>
            <w:t>建设项目概况</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52"/>
              <w:sz w:val="20"/>
              <w:szCs w:val="20"/>
            </w:rPr>
            <w:t xml:space="preserve"> </w:t>
          </w:r>
          <w:r>
            <w:rPr>
              <w:rFonts w:ascii="Times New Roman" w:hAnsi="Times New Roman" w:eastAsia="Times New Roman" w:cs="Times New Roman"/>
              <w:sz w:val="20"/>
              <w:szCs w:val="20"/>
            </w:rPr>
            <w:t>38</w:t>
          </w:r>
          <w:r>
            <w:rPr>
              <w:rFonts w:ascii="Times New Roman" w:hAnsi="Times New Roman" w:eastAsia="Times New Roman" w:cs="Times New Roman"/>
              <w:sz w:val="20"/>
              <w:szCs w:val="20"/>
            </w:rPr>
            <w:fldChar w:fldCharType="end"/>
          </w:r>
        </w:p>
        <w:p w14:paraId="3D75F68A">
          <w:pPr>
            <w:tabs>
              <w:tab w:val="right" w:leader="dot" w:pos="8717"/>
            </w:tabs>
            <w:spacing w:before="62" w:line="194" w:lineRule="auto"/>
            <w:ind w:left="845"/>
            <w:rPr>
              <w:rFonts w:ascii="Times New Roman" w:hAnsi="Times New Roman" w:eastAsia="Times New Roman" w:cs="Times New Roman"/>
              <w:sz w:val="20"/>
              <w:szCs w:val="20"/>
            </w:rPr>
          </w:pPr>
          <w:bookmarkStart w:id="43" w:name="bookmark87"/>
          <w:bookmarkEnd w:id="43"/>
          <w:r>
            <w:fldChar w:fldCharType="begin"/>
          </w:r>
          <w:r>
            <w:instrText xml:space="preserve"> HYPERLINK \l "bookmark88" </w:instrText>
          </w:r>
          <w:r>
            <w:fldChar w:fldCharType="separate"/>
          </w:r>
          <w:r>
            <w:rPr>
              <w:rFonts w:ascii="Times New Roman" w:hAnsi="Times New Roman" w:eastAsia="Times New Roman" w:cs="Times New Roman"/>
              <w:spacing w:val="6"/>
              <w:sz w:val="20"/>
              <w:szCs w:val="20"/>
            </w:rPr>
            <w:t xml:space="preserve">2.1.1 </w:t>
          </w:r>
          <w:r>
            <w:rPr>
              <w:rFonts w:ascii="宋体" w:hAnsi="宋体" w:eastAsia="宋体" w:cs="宋体"/>
              <w:spacing w:val="6"/>
              <w:sz w:val="20"/>
              <w:szCs w:val="20"/>
            </w:rPr>
            <w:t>项目基本情况</w:t>
          </w:r>
          <w:r>
            <w:rPr>
              <w:rFonts w:ascii="宋体" w:hAnsi="宋体" w:eastAsia="宋体" w:cs="宋体"/>
              <w:spacing w:val="-56"/>
              <w:sz w:val="20"/>
              <w:szCs w:val="20"/>
            </w:rPr>
            <w:t xml:space="preserve"> </w:t>
          </w:r>
          <w:r>
            <w:rPr>
              <w:rFonts w:ascii="宋体" w:hAnsi="宋体" w:eastAsia="宋体" w:cs="宋体"/>
              <w:sz w:val="20"/>
              <w:szCs w:val="20"/>
            </w:rPr>
            <w:tab/>
          </w:r>
          <w:r>
            <w:rPr>
              <w:rFonts w:ascii="宋体" w:hAnsi="宋体" w:eastAsia="宋体" w:cs="宋体"/>
              <w:spacing w:val="-56"/>
              <w:sz w:val="20"/>
              <w:szCs w:val="20"/>
            </w:rPr>
            <w:t xml:space="preserve"> </w:t>
          </w:r>
          <w:r>
            <w:rPr>
              <w:rFonts w:ascii="Times New Roman" w:hAnsi="Times New Roman" w:eastAsia="Times New Roman" w:cs="Times New Roman"/>
              <w:sz w:val="20"/>
              <w:szCs w:val="20"/>
            </w:rPr>
            <w:t>38</w:t>
          </w:r>
          <w:r>
            <w:rPr>
              <w:rFonts w:ascii="Times New Roman" w:hAnsi="Times New Roman" w:eastAsia="Times New Roman" w:cs="Times New Roman"/>
              <w:sz w:val="20"/>
              <w:szCs w:val="20"/>
            </w:rPr>
            <w:fldChar w:fldCharType="end"/>
          </w:r>
        </w:p>
        <w:p w14:paraId="2B3DE1FA">
          <w:pPr>
            <w:tabs>
              <w:tab w:val="right" w:leader="dot" w:pos="8717"/>
            </w:tabs>
            <w:spacing w:before="64" w:line="193" w:lineRule="auto"/>
            <w:ind w:left="845"/>
            <w:rPr>
              <w:rFonts w:ascii="Times New Roman" w:hAnsi="Times New Roman" w:eastAsia="Times New Roman" w:cs="Times New Roman"/>
              <w:sz w:val="20"/>
              <w:szCs w:val="20"/>
            </w:rPr>
          </w:pPr>
          <w:bookmarkStart w:id="44" w:name="bookmark89"/>
          <w:bookmarkEnd w:id="44"/>
          <w:r>
            <w:fldChar w:fldCharType="begin"/>
          </w:r>
          <w:r>
            <w:instrText xml:space="preserve"> HYPERLINK \l "bookmark90" </w:instrText>
          </w:r>
          <w:r>
            <w:fldChar w:fldCharType="separate"/>
          </w:r>
          <w:r>
            <w:rPr>
              <w:rFonts w:ascii="Times New Roman" w:hAnsi="Times New Roman" w:eastAsia="Times New Roman" w:cs="Times New Roman"/>
              <w:spacing w:val="6"/>
              <w:sz w:val="20"/>
              <w:szCs w:val="20"/>
            </w:rPr>
            <w:t xml:space="preserve">2.1.2 </w:t>
          </w:r>
          <w:r>
            <w:rPr>
              <w:rFonts w:ascii="宋体" w:hAnsi="宋体" w:eastAsia="宋体" w:cs="宋体"/>
              <w:spacing w:val="6"/>
              <w:sz w:val="20"/>
              <w:szCs w:val="20"/>
            </w:rPr>
            <w:t>项目建设内容</w:t>
          </w:r>
          <w:r>
            <w:rPr>
              <w:rFonts w:ascii="宋体" w:hAnsi="宋体" w:eastAsia="宋体" w:cs="宋体"/>
              <w:spacing w:val="-56"/>
              <w:sz w:val="20"/>
              <w:szCs w:val="20"/>
            </w:rPr>
            <w:t xml:space="preserve"> </w:t>
          </w:r>
          <w:r>
            <w:rPr>
              <w:rFonts w:ascii="宋体" w:hAnsi="宋体" w:eastAsia="宋体" w:cs="宋体"/>
              <w:sz w:val="20"/>
              <w:szCs w:val="20"/>
            </w:rPr>
            <w:tab/>
          </w:r>
          <w:r>
            <w:rPr>
              <w:rFonts w:ascii="宋体" w:hAnsi="宋体" w:eastAsia="宋体" w:cs="宋体"/>
              <w:spacing w:val="-61"/>
              <w:sz w:val="20"/>
              <w:szCs w:val="20"/>
            </w:rPr>
            <w:t xml:space="preserve"> </w:t>
          </w:r>
          <w:r>
            <w:rPr>
              <w:rFonts w:ascii="Times New Roman" w:hAnsi="Times New Roman" w:eastAsia="Times New Roman" w:cs="Times New Roman"/>
              <w:spacing w:val="3"/>
              <w:sz w:val="20"/>
              <w:szCs w:val="20"/>
            </w:rPr>
            <w:t>41</w:t>
          </w:r>
          <w:r>
            <w:rPr>
              <w:rFonts w:ascii="Times New Roman" w:hAnsi="Times New Roman" w:eastAsia="Times New Roman" w:cs="Times New Roman"/>
              <w:spacing w:val="3"/>
              <w:sz w:val="20"/>
              <w:szCs w:val="20"/>
            </w:rPr>
            <w:fldChar w:fldCharType="end"/>
          </w:r>
        </w:p>
        <w:p w14:paraId="5D1575FC">
          <w:pPr>
            <w:tabs>
              <w:tab w:val="right" w:leader="dot" w:pos="8717"/>
            </w:tabs>
            <w:spacing w:before="62" w:line="193" w:lineRule="auto"/>
            <w:ind w:left="845"/>
            <w:rPr>
              <w:rFonts w:ascii="Times New Roman" w:hAnsi="Times New Roman" w:eastAsia="Times New Roman" w:cs="Times New Roman"/>
              <w:sz w:val="20"/>
              <w:szCs w:val="20"/>
            </w:rPr>
          </w:pPr>
          <w:bookmarkStart w:id="45" w:name="bookmark91"/>
          <w:bookmarkEnd w:id="45"/>
          <w:r>
            <w:fldChar w:fldCharType="begin"/>
          </w:r>
          <w:r>
            <w:instrText xml:space="preserve"> HYPERLINK \l "bookmark92" </w:instrText>
          </w:r>
          <w:r>
            <w:fldChar w:fldCharType="separate"/>
          </w:r>
          <w:r>
            <w:rPr>
              <w:rFonts w:ascii="Times New Roman" w:hAnsi="Times New Roman" w:eastAsia="Times New Roman" w:cs="Times New Roman"/>
              <w:spacing w:val="6"/>
              <w:sz w:val="20"/>
              <w:szCs w:val="20"/>
            </w:rPr>
            <w:t xml:space="preserve">2.1.3 </w:t>
          </w:r>
          <w:r>
            <w:rPr>
              <w:rFonts w:ascii="宋体" w:hAnsi="宋体" w:eastAsia="宋体" w:cs="宋体"/>
              <w:spacing w:val="6"/>
              <w:sz w:val="20"/>
              <w:szCs w:val="20"/>
            </w:rPr>
            <w:t>厂区平面布局</w:t>
          </w:r>
          <w:r>
            <w:rPr>
              <w:rFonts w:ascii="宋体" w:hAnsi="宋体" w:eastAsia="宋体" w:cs="宋体"/>
              <w:spacing w:val="-56"/>
              <w:sz w:val="20"/>
              <w:szCs w:val="20"/>
            </w:rPr>
            <w:t xml:space="preserve"> </w:t>
          </w:r>
          <w:r>
            <w:rPr>
              <w:rFonts w:ascii="宋体" w:hAnsi="宋体" w:eastAsia="宋体" w:cs="宋体"/>
              <w:sz w:val="20"/>
              <w:szCs w:val="20"/>
            </w:rPr>
            <w:tab/>
          </w:r>
          <w:r>
            <w:rPr>
              <w:rFonts w:ascii="宋体" w:hAnsi="宋体" w:eastAsia="宋体" w:cs="宋体"/>
              <w:spacing w:val="-61"/>
              <w:sz w:val="20"/>
              <w:szCs w:val="20"/>
            </w:rPr>
            <w:t xml:space="preserve"> </w:t>
          </w:r>
          <w:r>
            <w:rPr>
              <w:rFonts w:ascii="Times New Roman" w:hAnsi="Times New Roman" w:eastAsia="Times New Roman" w:cs="Times New Roman"/>
              <w:spacing w:val="3"/>
              <w:sz w:val="20"/>
              <w:szCs w:val="20"/>
            </w:rPr>
            <w:t>43</w:t>
          </w:r>
          <w:r>
            <w:rPr>
              <w:rFonts w:ascii="Times New Roman" w:hAnsi="Times New Roman" w:eastAsia="Times New Roman" w:cs="Times New Roman"/>
              <w:spacing w:val="3"/>
              <w:sz w:val="20"/>
              <w:szCs w:val="20"/>
            </w:rPr>
            <w:fldChar w:fldCharType="end"/>
          </w:r>
        </w:p>
        <w:p w14:paraId="464A715D">
          <w:pPr>
            <w:tabs>
              <w:tab w:val="right" w:leader="dot" w:pos="8717"/>
            </w:tabs>
            <w:spacing w:before="62" w:line="194" w:lineRule="auto"/>
            <w:ind w:left="845"/>
            <w:rPr>
              <w:rFonts w:ascii="Times New Roman" w:hAnsi="Times New Roman" w:eastAsia="Times New Roman" w:cs="Times New Roman"/>
              <w:sz w:val="20"/>
              <w:szCs w:val="20"/>
            </w:rPr>
          </w:pPr>
          <w:bookmarkStart w:id="46" w:name="bookmark93"/>
          <w:bookmarkEnd w:id="46"/>
          <w:r>
            <w:fldChar w:fldCharType="begin"/>
          </w:r>
          <w:r>
            <w:instrText xml:space="preserve"> HYPERLINK \l "bookmark94" </w:instrText>
          </w:r>
          <w:r>
            <w:fldChar w:fldCharType="separate"/>
          </w:r>
          <w:r>
            <w:rPr>
              <w:rFonts w:ascii="Times New Roman" w:hAnsi="Times New Roman" w:eastAsia="Times New Roman" w:cs="Times New Roman"/>
              <w:spacing w:val="6"/>
              <w:sz w:val="20"/>
              <w:szCs w:val="20"/>
            </w:rPr>
            <w:t xml:space="preserve">2.1.4 </w:t>
          </w:r>
          <w:r>
            <w:rPr>
              <w:rFonts w:ascii="宋体" w:hAnsi="宋体" w:eastAsia="宋体" w:cs="宋体"/>
              <w:spacing w:val="6"/>
              <w:sz w:val="20"/>
              <w:szCs w:val="20"/>
            </w:rPr>
            <w:t>原辅材料及能源消耗</w:t>
          </w:r>
          <w:r>
            <w:rPr>
              <w:rFonts w:ascii="宋体" w:hAnsi="宋体" w:eastAsia="宋体" w:cs="宋体"/>
              <w:spacing w:val="-43"/>
              <w:sz w:val="20"/>
              <w:szCs w:val="20"/>
            </w:rPr>
            <w:t xml:space="preserve"> </w:t>
          </w:r>
          <w:r>
            <w:rPr>
              <w:rFonts w:ascii="宋体" w:hAnsi="宋体" w:eastAsia="宋体" w:cs="宋体"/>
              <w:sz w:val="20"/>
              <w:szCs w:val="20"/>
            </w:rPr>
            <w:tab/>
          </w:r>
          <w:r>
            <w:rPr>
              <w:rFonts w:ascii="宋体" w:hAnsi="宋体" w:eastAsia="宋体" w:cs="宋体"/>
              <w:spacing w:val="-69"/>
              <w:sz w:val="20"/>
              <w:szCs w:val="20"/>
            </w:rPr>
            <w:t xml:space="preserve"> </w:t>
          </w:r>
          <w:r>
            <w:rPr>
              <w:rFonts w:ascii="Times New Roman" w:hAnsi="Times New Roman" w:eastAsia="Times New Roman" w:cs="Times New Roman"/>
              <w:spacing w:val="3"/>
              <w:sz w:val="20"/>
              <w:szCs w:val="20"/>
            </w:rPr>
            <w:t>46</w:t>
          </w:r>
          <w:r>
            <w:rPr>
              <w:rFonts w:ascii="Times New Roman" w:hAnsi="Times New Roman" w:eastAsia="Times New Roman" w:cs="Times New Roman"/>
              <w:spacing w:val="3"/>
              <w:sz w:val="20"/>
              <w:szCs w:val="20"/>
            </w:rPr>
            <w:fldChar w:fldCharType="end"/>
          </w:r>
        </w:p>
        <w:p w14:paraId="3B73AAFE">
          <w:pPr>
            <w:tabs>
              <w:tab w:val="right" w:leader="dot" w:pos="8717"/>
            </w:tabs>
            <w:spacing w:before="64" w:line="193" w:lineRule="auto"/>
            <w:ind w:left="845"/>
            <w:rPr>
              <w:rFonts w:ascii="Times New Roman" w:hAnsi="Times New Roman" w:eastAsia="Times New Roman" w:cs="Times New Roman"/>
              <w:sz w:val="20"/>
              <w:szCs w:val="20"/>
            </w:rPr>
          </w:pPr>
          <w:bookmarkStart w:id="47" w:name="bookmark95"/>
          <w:bookmarkEnd w:id="47"/>
          <w:r>
            <w:fldChar w:fldCharType="begin"/>
          </w:r>
          <w:r>
            <w:instrText xml:space="preserve"> HYPERLINK \l "bookmark96" </w:instrText>
          </w:r>
          <w:r>
            <w:fldChar w:fldCharType="separate"/>
          </w:r>
          <w:r>
            <w:rPr>
              <w:rFonts w:ascii="Times New Roman" w:hAnsi="Times New Roman" w:eastAsia="Times New Roman" w:cs="Times New Roman"/>
              <w:spacing w:val="6"/>
              <w:sz w:val="20"/>
              <w:szCs w:val="20"/>
            </w:rPr>
            <w:t xml:space="preserve">2.1.5 </w:t>
          </w:r>
          <w:r>
            <w:rPr>
              <w:rFonts w:ascii="宋体" w:hAnsi="宋体" w:eastAsia="宋体" w:cs="宋体"/>
              <w:spacing w:val="6"/>
              <w:sz w:val="20"/>
              <w:szCs w:val="20"/>
            </w:rPr>
            <w:t>产品方案及标准</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65"/>
              <w:sz w:val="20"/>
              <w:szCs w:val="20"/>
            </w:rPr>
            <w:t xml:space="preserve"> </w:t>
          </w:r>
          <w:r>
            <w:rPr>
              <w:rFonts w:ascii="Times New Roman" w:hAnsi="Times New Roman" w:eastAsia="Times New Roman" w:cs="Times New Roman"/>
              <w:spacing w:val="3"/>
              <w:sz w:val="20"/>
              <w:szCs w:val="20"/>
            </w:rPr>
            <w:t>47</w:t>
          </w:r>
          <w:r>
            <w:rPr>
              <w:rFonts w:ascii="Times New Roman" w:hAnsi="Times New Roman" w:eastAsia="Times New Roman" w:cs="Times New Roman"/>
              <w:spacing w:val="3"/>
              <w:sz w:val="20"/>
              <w:szCs w:val="20"/>
            </w:rPr>
            <w:fldChar w:fldCharType="end"/>
          </w:r>
        </w:p>
        <w:p w14:paraId="40B4AEE1">
          <w:pPr>
            <w:tabs>
              <w:tab w:val="right" w:leader="dot" w:pos="8717"/>
            </w:tabs>
            <w:spacing w:before="64" w:line="228" w:lineRule="auto"/>
            <w:ind w:left="845"/>
            <w:rPr>
              <w:rFonts w:ascii="Times New Roman" w:hAnsi="Times New Roman" w:eastAsia="Times New Roman" w:cs="Times New Roman"/>
              <w:sz w:val="20"/>
              <w:szCs w:val="20"/>
            </w:rPr>
          </w:pPr>
          <w:bookmarkStart w:id="48" w:name="bookmark97"/>
          <w:bookmarkEnd w:id="48"/>
          <w:r>
            <w:fldChar w:fldCharType="begin"/>
          </w:r>
          <w:r>
            <w:instrText xml:space="preserve"> HYPERLINK \l "bookmark98" </w:instrText>
          </w:r>
          <w:r>
            <w:fldChar w:fldCharType="separate"/>
          </w:r>
          <w:r>
            <w:rPr>
              <w:rFonts w:ascii="Times New Roman" w:hAnsi="Times New Roman" w:eastAsia="Times New Roman" w:cs="Times New Roman"/>
              <w:spacing w:val="7"/>
              <w:sz w:val="20"/>
              <w:szCs w:val="20"/>
            </w:rPr>
            <w:t xml:space="preserve">2.1.6 </w:t>
          </w:r>
          <w:r>
            <w:rPr>
              <w:rFonts w:ascii="宋体" w:hAnsi="宋体" w:eastAsia="宋体" w:cs="宋体"/>
              <w:spacing w:val="7"/>
              <w:sz w:val="20"/>
              <w:szCs w:val="20"/>
            </w:rPr>
            <w:t>项目生产设备及技术参数</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73"/>
              <w:sz w:val="20"/>
              <w:szCs w:val="20"/>
            </w:rPr>
            <w:t xml:space="preserve"> </w:t>
          </w:r>
          <w:r>
            <w:rPr>
              <w:rFonts w:ascii="Times New Roman" w:hAnsi="Times New Roman" w:eastAsia="Times New Roman" w:cs="Times New Roman"/>
              <w:spacing w:val="3"/>
              <w:sz w:val="20"/>
              <w:szCs w:val="20"/>
            </w:rPr>
            <w:t>47</w:t>
          </w:r>
          <w:r>
            <w:rPr>
              <w:rFonts w:ascii="Times New Roman" w:hAnsi="Times New Roman" w:eastAsia="Times New Roman" w:cs="Times New Roman"/>
              <w:spacing w:val="3"/>
              <w:sz w:val="20"/>
              <w:szCs w:val="20"/>
            </w:rPr>
            <w:fldChar w:fldCharType="end"/>
          </w:r>
        </w:p>
      </w:sdtContent>
    </w:sdt>
    <w:p w14:paraId="64074A69">
      <w:pPr>
        <w:spacing w:line="228" w:lineRule="auto"/>
        <w:rPr>
          <w:rFonts w:ascii="Times New Roman" w:hAnsi="Times New Roman" w:eastAsia="Times New Roman" w:cs="Times New Roman"/>
          <w:sz w:val="20"/>
          <w:szCs w:val="20"/>
        </w:rPr>
        <w:sectPr>
          <w:headerReference r:id="rId7" w:type="default"/>
          <w:footerReference r:id="rId8" w:type="default"/>
          <w:pgSz w:w="11906" w:h="16839"/>
          <w:pgMar w:top="1235" w:right="1587" w:bottom="1086" w:left="1588" w:header="925" w:footer="872" w:gutter="0"/>
          <w:cols w:space="720" w:num="1"/>
        </w:sectPr>
      </w:pPr>
    </w:p>
    <w:sdt>
      <w:sdtPr>
        <w:rPr>
          <w:rFonts w:ascii="Times New Roman" w:hAnsi="Times New Roman" w:eastAsia="Times New Roman" w:cs="Times New Roman"/>
          <w:sz w:val="20"/>
          <w:szCs w:val="20"/>
        </w:rPr>
        <w:id w:val="147452178"/>
        <w:docPartObj>
          <w:docPartGallery w:val="Table of Contents"/>
          <w:docPartUnique/>
        </w:docPartObj>
      </w:sdtPr>
      <w:sdtEndPr>
        <w:rPr>
          <w:rFonts w:ascii="Times New Roman" w:hAnsi="Times New Roman" w:eastAsia="Times New Roman" w:cs="Times New Roman"/>
          <w:sz w:val="20"/>
          <w:szCs w:val="20"/>
        </w:rPr>
      </w:sdtEndPr>
      <w:sdtContent>
        <w:p w14:paraId="7309E49C">
          <w:pPr>
            <w:tabs>
              <w:tab w:val="right" w:leader="dot" w:pos="8717"/>
            </w:tabs>
            <w:spacing w:before="212" w:line="193" w:lineRule="auto"/>
            <w:ind w:left="425"/>
            <w:rPr>
              <w:rFonts w:ascii="Times New Roman" w:hAnsi="Times New Roman" w:eastAsia="Times New Roman" w:cs="Times New Roman"/>
              <w:sz w:val="20"/>
              <w:szCs w:val="20"/>
            </w:rPr>
          </w:pPr>
          <w:r>
            <w:pict>
              <v:shape id="_x0000_s1027" o:spid="_x0000_s1027" style="position:absolute;left:0pt;margin-left:79.4pt;margin-top:62.5pt;height:0.75pt;width:436.55pt;mso-position-horizontal-relative:page;mso-position-vertical-relative:page;z-index:251661312;mso-width-relative:page;mso-height-relative:page;" fillcolor="#000000" filled="t" stroked="f" coordsize="8730,15" o:allowincell="f" path="m0,0l8730,0,8730,14,0,14,0,0xe">
                <v:path/>
                <v:fill on="t" focussize="0,0"/>
                <v:stroke on="f"/>
                <v:imagedata o:title=""/>
                <o:lock v:ext="edit"/>
              </v:shape>
            </w:pict>
          </w:r>
          <w:bookmarkStart w:id="49" w:name="bookmark99"/>
          <w:bookmarkEnd w:id="49"/>
          <w:r>
            <w:fldChar w:fldCharType="begin"/>
          </w:r>
          <w:r>
            <w:instrText xml:space="preserve"> HYPERLINK \l "bookmark100" </w:instrText>
          </w:r>
          <w:r>
            <w:fldChar w:fldCharType="separate"/>
          </w:r>
          <w:r>
            <w:rPr>
              <w:rFonts w:ascii="Times New Roman" w:hAnsi="Times New Roman" w:eastAsia="Times New Roman" w:cs="Times New Roman"/>
              <w:spacing w:val="6"/>
              <w:sz w:val="20"/>
              <w:szCs w:val="20"/>
            </w:rPr>
            <w:t xml:space="preserve">2.2 </w:t>
          </w:r>
          <w:r>
            <w:rPr>
              <w:rFonts w:ascii="宋体" w:hAnsi="宋体" w:eastAsia="宋体" w:cs="宋体"/>
              <w:spacing w:val="6"/>
              <w:sz w:val="20"/>
              <w:szCs w:val="20"/>
            </w:rPr>
            <w:t>影响因素分析</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57"/>
              <w:sz w:val="20"/>
              <w:szCs w:val="20"/>
            </w:rPr>
            <w:t xml:space="preserve"> </w:t>
          </w:r>
          <w:r>
            <w:rPr>
              <w:rFonts w:ascii="Times New Roman" w:hAnsi="Times New Roman" w:eastAsia="Times New Roman" w:cs="Times New Roman"/>
              <w:spacing w:val="3"/>
              <w:sz w:val="20"/>
              <w:szCs w:val="20"/>
            </w:rPr>
            <w:t>48</w:t>
          </w:r>
          <w:r>
            <w:rPr>
              <w:rFonts w:ascii="Times New Roman" w:hAnsi="Times New Roman" w:eastAsia="Times New Roman" w:cs="Times New Roman"/>
              <w:spacing w:val="3"/>
              <w:sz w:val="20"/>
              <w:szCs w:val="20"/>
            </w:rPr>
            <w:fldChar w:fldCharType="end"/>
          </w:r>
        </w:p>
        <w:p w14:paraId="0120E5B7">
          <w:pPr>
            <w:tabs>
              <w:tab w:val="right" w:leader="dot" w:pos="8717"/>
            </w:tabs>
            <w:spacing w:before="64" w:line="193" w:lineRule="auto"/>
            <w:ind w:left="845"/>
            <w:rPr>
              <w:rFonts w:ascii="Times New Roman" w:hAnsi="Times New Roman" w:eastAsia="Times New Roman" w:cs="Times New Roman"/>
              <w:sz w:val="20"/>
              <w:szCs w:val="20"/>
            </w:rPr>
          </w:pPr>
          <w:bookmarkStart w:id="50" w:name="bookmark101"/>
          <w:bookmarkEnd w:id="50"/>
          <w:r>
            <w:fldChar w:fldCharType="begin"/>
          </w:r>
          <w:r>
            <w:instrText xml:space="preserve"> HYPERLINK \l "bookmark102" </w:instrText>
          </w:r>
          <w:r>
            <w:fldChar w:fldCharType="separate"/>
          </w:r>
          <w:r>
            <w:rPr>
              <w:rFonts w:ascii="Times New Roman" w:hAnsi="Times New Roman" w:eastAsia="Times New Roman" w:cs="Times New Roman"/>
              <w:spacing w:val="8"/>
              <w:sz w:val="20"/>
              <w:szCs w:val="20"/>
            </w:rPr>
            <w:t xml:space="preserve">2.2.1 </w:t>
          </w:r>
          <w:r>
            <w:rPr>
              <w:rFonts w:ascii="宋体" w:hAnsi="宋体" w:eastAsia="宋体" w:cs="宋体"/>
              <w:spacing w:val="8"/>
              <w:sz w:val="20"/>
              <w:szCs w:val="20"/>
            </w:rPr>
            <w:t>锰硅合金生产工艺流程及产污环节分析</w:t>
          </w:r>
          <w:r>
            <w:rPr>
              <w:rFonts w:ascii="宋体" w:hAnsi="宋体" w:eastAsia="宋体" w:cs="宋体"/>
              <w:spacing w:val="-57"/>
              <w:sz w:val="20"/>
              <w:szCs w:val="20"/>
            </w:rPr>
            <w:t xml:space="preserve"> </w:t>
          </w:r>
          <w:r>
            <w:rPr>
              <w:rFonts w:ascii="宋体" w:hAnsi="宋体" w:eastAsia="宋体" w:cs="宋体"/>
              <w:sz w:val="20"/>
              <w:szCs w:val="20"/>
            </w:rPr>
            <w:tab/>
          </w:r>
          <w:r>
            <w:rPr>
              <w:rFonts w:ascii="Times New Roman" w:hAnsi="Times New Roman" w:eastAsia="Times New Roman" w:cs="Times New Roman"/>
              <w:spacing w:val="10"/>
              <w:sz w:val="20"/>
              <w:szCs w:val="20"/>
            </w:rPr>
            <w:t>48</w:t>
          </w:r>
          <w:r>
            <w:rPr>
              <w:rFonts w:ascii="Times New Roman" w:hAnsi="Times New Roman" w:eastAsia="Times New Roman" w:cs="Times New Roman"/>
              <w:spacing w:val="10"/>
              <w:sz w:val="20"/>
              <w:szCs w:val="20"/>
            </w:rPr>
            <w:fldChar w:fldCharType="end"/>
          </w:r>
        </w:p>
        <w:p w14:paraId="332A6B57">
          <w:pPr>
            <w:tabs>
              <w:tab w:val="right" w:leader="dot" w:pos="8717"/>
            </w:tabs>
            <w:spacing w:before="62" w:line="194" w:lineRule="auto"/>
            <w:ind w:left="845"/>
            <w:rPr>
              <w:rFonts w:ascii="Times New Roman" w:hAnsi="Times New Roman" w:eastAsia="Times New Roman" w:cs="Times New Roman"/>
              <w:sz w:val="20"/>
              <w:szCs w:val="20"/>
            </w:rPr>
          </w:pPr>
          <w:bookmarkStart w:id="51" w:name="bookmark103"/>
          <w:bookmarkEnd w:id="51"/>
          <w:r>
            <w:fldChar w:fldCharType="begin"/>
          </w:r>
          <w:r>
            <w:instrText xml:space="preserve"> HYPERLINK \l "bookmark104" </w:instrText>
          </w:r>
          <w:r>
            <w:fldChar w:fldCharType="separate"/>
          </w:r>
          <w:r>
            <w:rPr>
              <w:rFonts w:ascii="Times New Roman" w:hAnsi="Times New Roman" w:eastAsia="Times New Roman" w:cs="Times New Roman"/>
              <w:spacing w:val="6"/>
              <w:sz w:val="20"/>
              <w:szCs w:val="20"/>
            </w:rPr>
            <w:t>2.2.2</w:t>
          </w:r>
          <w:r>
            <w:rPr>
              <w:rFonts w:ascii="Times New Roman" w:hAnsi="Times New Roman" w:eastAsia="Times New Roman" w:cs="Times New Roman"/>
              <w:spacing w:val="51"/>
              <w:w w:val="101"/>
              <w:sz w:val="20"/>
              <w:szCs w:val="20"/>
            </w:rPr>
            <w:t xml:space="preserve"> </w:t>
          </w:r>
          <w:r>
            <w:rPr>
              <w:rFonts w:ascii="宋体" w:hAnsi="宋体" w:eastAsia="宋体" w:cs="宋体"/>
              <w:spacing w:val="6"/>
              <w:sz w:val="20"/>
              <w:szCs w:val="20"/>
            </w:rPr>
            <w:t>电炉煤气净化工艺流程及产污环节分析</w:t>
          </w:r>
          <w:r>
            <w:rPr>
              <w:rFonts w:ascii="宋体" w:hAnsi="宋体" w:eastAsia="宋体" w:cs="宋体"/>
              <w:spacing w:val="-57"/>
              <w:sz w:val="20"/>
              <w:szCs w:val="20"/>
            </w:rPr>
            <w:t xml:space="preserve"> </w:t>
          </w:r>
          <w:r>
            <w:rPr>
              <w:rFonts w:ascii="宋体" w:hAnsi="宋体" w:eastAsia="宋体" w:cs="宋体"/>
              <w:sz w:val="20"/>
              <w:szCs w:val="20"/>
            </w:rPr>
            <w:tab/>
          </w:r>
          <w:r>
            <w:rPr>
              <w:rFonts w:ascii="Times New Roman" w:hAnsi="Times New Roman" w:eastAsia="Times New Roman" w:cs="Times New Roman"/>
              <w:spacing w:val="10"/>
              <w:sz w:val="20"/>
              <w:szCs w:val="20"/>
            </w:rPr>
            <w:t>57</w:t>
          </w:r>
          <w:r>
            <w:rPr>
              <w:rFonts w:ascii="Times New Roman" w:hAnsi="Times New Roman" w:eastAsia="Times New Roman" w:cs="Times New Roman"/>
              <w:spacing w:val="10"/>
              <w:sz w:val="20"/>
              <w:szCs w:val="20"/>
            </w:rPr>
            <w:fldChar w:fldCharType="end"/>
          </w:r>
        </w:p>
        <w:p w14:paraId="4F5DD0BF">
          <w:pPr>
            <w:tabs>
              <w:tab w:val="right" w:leader="dot" w:pos="8717"/>
            </w:tabs>
            <w:spacing w:before="63" w:line="193" w:lineRule="auto"/>
            <w:ind w:left="845"/>
            <w:rPr>
              <w:rFonts w:ascii="Times New Roman" w:hAnsi="Times New Roman" w:eastAsia="Times New Roman" w:cs="Times New Roman"/>
              <w:sz w:val="20"/>
              <w:szCs w:val="20"/>
            </w:rPr>
          </w:pPr>
          <w:bookmarkStart w:id="52" w:name="bookmark105"/>
          <w:bookmarkEnd w:id="52"/>
          <w:r>
            <w:fldChar w:fldCharType="begin"/>
          </w:r>
          <w:r>
            <w:instrText xml:space="preserve"> HYPERLINK \l "bookmark106" </w:instrText>
          </w:r>
          <w:r>
            <w:fldChar w:fldCharType="separate"/>
          </w:r>
          <w:r>
            <w:rPr>
              <w:rFonts w:ascii="Times New Roman" w:hAnsi="Times New Roman" w:eastAsia="Times New Roman" w:cs="Times New Roman"/>
              <w:spacing w:val="7"/>
              <w:sz w:val="20"/>
              <w:szCs w:val="20"/>
            </w:rPr>
            <w:t xml:space="preserve">2.2.3 </w:t>
          </w:r>
          <w:r>
            <w:rPr>
              <w:rFonts w:ascii="宋体" w:hAnsi="宋体" w:eastAsia="宋体" w:cs="宋体"/>
              <w:spacing w:val="7"/>
              <w:sz w:val="20"/>
              <w:szCs w:val="20"/>
            </w:rPr>
            <w:t>煤气发电工艺流程及产污环节分析</w:t>
          </w:r>
          <w:r>
            <w:rPr>
              <w:rFonts w:ascii="宋体" w:hAnsi="宋体" w:eastAsia="宋体" w:cs="宋体"/>
              <w:spacing w:val="-40"/>
              <w:sz w:val="20"/>
              <w:szCs w:val="20"/>
            </w:rPr>
            <w:t xml:space="preserve"> </w:t>
          </w:r>
          <w:r>
            <w:rPr>
              <w:rFonts w:ascii="宋体" w:hAnsi="宋体" w:eastAsia="宋体" w:cs="宋体"/>
              <w:sz w:val="20"/>
              <w:szCs w:val="20"/>
            </w:rPr>
            <w:tab/>
          </w:r>
          <w:r>
            <w:rPr>
              <w:rFonts w:ascii="Times New Roman" w:hAnsi="Times New Roman" w:eastAsia="Times New Roman" w:cs="Times New Roman"/>
              <w:spacing w:val="12"/>
              <w:sz w:val="20"/>
              <w:szCs w:val="20"/>
            </w:rPr>
            <w:t>58</w:t>
          </w:r>
          <w:r>
            <w:rPr>
              <w:rFonts w:ascii="Times New Roman" w:hAnsi="Times New Roman" w:eastAsia="Times New Roman" w:cs="Times New Roman"/>
              <w:spacing w:val="12"/>
              <w:sz w:val="20"/>
              <w:szCs w:val="20"/>
            </w:rPr>
            <w:fldChar w:fldCharType="end"/>
          </w:r>
        </w:p>
        <w:p w14:paraId="19EEE9FF">
          <w:pPr>
            <w:tabs>
              <w:tab w:val="right" w:leader="dot" w:pos="8717"/>
            </w:tabs>
            <w:spacing w:before="62" w:line="193" w:lineRule="auto"/>
            <w:ind w:left="845"/>
            <w:rPr>
              <w:rFonts w:ascii="Times New Roman" w:hAnsi="Times New Roman" w:eastAsia="Times New Roman" w:cs="Times New Roman"/>
              <w:sz w:val="20"/>
              <w:szCs w:val="20"/>
            </w:rPr>
          </w:pPr>
          <w:bookmarkStart w:id="53" w:name="bookmark107"/>
          <w:bookmarkEnd w:id="53"/>
          <w:r>
            <w:fldChar w:fldCharType="begin"/>
          </w:r>
          <w:r>
            <w:instrText xml:space="preserve"> HYPERLINK \l "bookmark108" </w:instrText>
          </w:r>
          <w:r>
            <w:fldChar w:fldCharType="separate"/>
          </w:r>
          <w:r>
            <w:rPr>
              <w:rFonts w:ascii="Times New Roman" w:hAnsi="Times New Roman" w:eastAsia="Times New Roman" w:cs="Times New Roman"/>
              <w:spacing w:val="7"/>
              <w:sz w:val="20"/>
              <w:szCs w:val="20"/>
            </w:rPr>
            <w:t xml:space="preserve">2.2.4 </w:t>
          </w:r>
          <w:r>
            <w:rPr>
              <w:rFonts w:ascii="宋体" w:hAnsi="宋体" w:eastAsia="宋体" w:cs="宋体"/>
              <w:spacing w:val="7"/>
              <w:sz w:val="20"/>
              <w:szCs w:val="20"/>
            </w:rPr>
            <w:t>生产中其他产污环节分析</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68"/>
              <w:sz w:val="20"/>
              <w:szCs w:val="20"/>
            </w:rPr>
            <w:t xml:space="preserve"> </w:t>
          </w:r>
          <w:r>
            <w:rPr>
              <w:rFonts w:ascii="Times New Roman" w:hAnsi="Times New Roman" w:eastAsia="Times New Roman" w:cs="Times New Roman"/>
              <w:sz w:val="20"/>
              <w:szCs w:val="20"/>
            </w:rPr>
            <w:t>61</w:t>
          </w:r>
          <w:r>
            <w:rPr>
              <w:rFonts w:ascii="Times New Roman" w:hAnsi="Times New Roman" w:eastAsia="Times New Roman" w:cs="Times New Roman"/>
              <w:sz w:val="20"/>
              <w:szCs w:val="20"/>
            </w:rPr>
            <w:fldChar w:fldCharType="end"/>
          </w:r>
        </w:p>
        <w:p w14:paraId="382176B4">
          <w:pPr>
            <w:tabs>
              <w:tab w:val="right" w:leader="dot" w:pos="8717"/>
            </w:tabs>
            <w:spacing w:before="62" w:line="194" w:lineRule="auto"/>
            <w:ind w:left="845"/>
            <w:rPr>
              <w:rFonts w:ascii="Times New Roman" w:hAnsi="Times New Roman" w:eastAsia="Times New Roman" w:cs="Times New Roman"/>
              <w:sz w:val="20"/>
              <w:szCs w:val="20"/>
            </w:rPr>
          </w:pPr>
          <w:bookmarkStart w:id="54" w:name="bookmark109"/>
          <w:bookmarkEnd w:id="54"/>
          <w:r>
            <w:fldChar w:fldCharType="begin"/>
          </w:r>
          <w:r>
            <w:instrText xml:space="preserve"> HYPERLINK \l "bookmark110" </w:instrText>
          </w:r>
          <w:r>
            <w:fldChar w:fldCharType="separate"/>
          </w:r>
          <w:r>
            <w:rPr>
              <w:rFonts w:ascii="Times New Roman" w:hAnsi="Times New Roman" w:eastAsia="Times New Roman" w:cs="Times New Roman"/>
              <w:spacing w:val="6"/>
              <w:sz w:val="20"/>
              <w:szCs w:val="20"/>
            </w:rPr>
            <w:t>2.2.5</w:t>
          </w:r>
          <w:r>
            <w:rPr>
              <w:rFonts w:ascii="Times New Roman" w:hAnsi="Times New Roman" w:eastAsia="Times New Roman" w:cs="Times New Roman"/>
              <w:spacing w:val="22"/>
              <w:w w:val="101"/>
              <w:sz w:val="20"/>
              <w:szCs w:val="20"/>
            </w:rPr>
            <w:t xml:space="preserve"> </w:t>
          </w:r>
          <w:r>
            <w:rPr>
              <w:rFonts w:ascii="宋体" w:hAnsi="宋体" w:eastAsia="宋体" w:cs="宋体"/>
              <w:spacing w:val="6"/>
              <w:sz w:val="20"/>
              <w:szCs w:val="20"/>
            </w:rPr>
            <w:t>公辅工程及产排污环节</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4"/>
              <w:sz w:val="20"/>
              <w:szCs w:val="20"/>
            </w:rPr>
            <w:t xml:space="preserve"> </w:t>
          </w:r>
          <w:r>
            <w:rPr>
              <w:rFonts w:ascii="Times New Roman" w:hAnsi="Times New Roman" w:eastAsia="Times New Roman" w:cs="Times New Roman"/>
              <w:sz w:val="20"/>
              <w:szCs w:val="20"/>
            </w:rPr>
            <w:t>62</w:t>
          </w:r>
          <w:r>
            <w:rPr>
              <w:rFonts w:ascii="Times New Roman" w:hAnsi="Times New Roman" w:eastAsia="Times New Roman" w:cs="Times New Roman"/>
              <w:sz w:val="20"/>
              <w:szCs w:val="20"/>
            </w:rPr>
            <w:fldChar w:fldCharType="end"/>
          </w:r>
        </w:p>
        <w:p w14:paraId="19B84B58">
          <w:pPr>
            <w:tabs>
              <w:tab w:val="right" w:leader="dot" w:pos="8717"/>
            </w:tabs>
            <w:spacing w:before="63" w:line="193" w:lineRule="auto"/>
            <w:ind w:left="425"/>
            <w:rPr>
              <w:rFonts w:ascii="Times New Roman" w:hAnsi="Times New Roman" w:eastAsia="Times New Roman" w:cs="Times New Roman"/>
              <w:sz w:val="20"/>
              <w:szCs w:val="20"/>
            </w:rPr>
          </w:pPr>
          <w:bookmarkStart w:id="55" w:name="bookmark111"/>
          <w:bookmarkEnd w:id="55"/>
          <w:r>
            <w:fldChar w:fldCharType="begin"/>
          </w:r>
          <w:r>
            <w:instrText xml:space="preserve"> HYPERLINK \l "bookmark112" </w:instrText>
          </w:r>
          <w:r>
            <w:fldChar w:fldCharType="separate"/>
          </w:r>
          <w:r>
            <w:rPr>
              <w:rFonts w:ascii="Times New Roman" w:hAnsi="Times New Roman" w:eastAsia="Times New Roman" w:cs="Times New Roman"/>
              <w:spacing w:val="6"/>
              <w:sz w:val="20"/>
              <w:szCs w:val="20"/>
            </w:rPr>
            <w:t xml:space="preserve">2.3 </w:t>
          </w:r>
          <w:r>
            <w:rPr>
              <w:rFonts w:ascii="宋体" w:hAnsi="宋体" w:eastAsia="宋体" w:cs="宋体"/>
              <w:spacing w:val="6"/>
              <w:sz w:val="20"/>
              <w:szCs w:val="20"/>
            </w:rPr>
            <w:t>污染源强核算</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53"/>
              <w:sz w:val="20"/>
              <w:szCs w:val="20"/>
            </w:rPr>
            <w:t xml:space="preserve"> </w:t>
          </w:r>
          <w:r>
            <w:rPr>
              <w:rFonts w:ascii="Times New Roman" w:hAnsi="Times New Roman" w:eastAsia="Times New Roman" w:cs="Times New Roman"/>
              <w:spacing w:val="1"/>
              <w:sz w:val="20"/>
              <w:szCs w:val="20"/>
            </w:rPr>
            <w:t>70</w:t>
          </w:r>
          <w:r>
            <w:rPr>
              <w:rFonts w:ascii="Times New Roman" w:hAnsi="Times New Roman" w:eastAsia="Times New Roman" w:cs="Times New Roman"/>
              <w:spacing w:val="1"/>
              <w:sz w:val="20"/>
              <w:szCs w:val="20"/>
            </w:rPr>
            <w:fldChar w:fldCharType="end"/>
          </w:r>
        </w:p>
        <w:p w14:paraId="0A33830A">
          <w:pPr>
            <w:tabs>
              <w:tab w:val="right" w:leader="dot" w:pos="8717"/>
            </w:tabs>
            <w:spacing w:before="62" w:line="193" w:lineRule="auto"/>
            <w:ind w:left="845"/>
            <w:rPr>
              <w:rFonts w:ascii="Times New Roman" w:hAnsi="Times New Roman" w:eastAsia="Times New Roman" w:cs="Times New Roman"/>
              <w:sz w:val="20"/>
              <w:szCs w:val="20"/>
            </w:rPr>
          </w:pPr>
          <w:bookmarkStart w:id="56" w:name="bookmark113"/>
          <w:bookmarkEnd w:id="56"/>
          <w:r>
            <w:fldChar w:fldCharType="begin"/>
          </w:r>
          <w:r>
            <w:instrText xml:space="preserve"> HYPERLINK \l "bookmark114" </w:instrText>
          </w:r>
          <w:r>
            <w:fldChar w:fldCharType="separate"/>
          </w:r>
          <w:r>
            <w:rPr>
              <w:rFonts w:ascii="Times New Roman" w:hAnsi="Times New Roman" w:eastAsia="Times New Roman" w:cs="Times New Roman"/>
              <w:spacing w:val="6"/>
              <w:sz w:val="20"/>
              <w:szCs w:val="20"/>
            </w:rPr>
            <w:t xml:space="preserve">2.3.1 </w:t>
          </w:r>
          <w:r>
            <w:rPr>
              <w:rFonts w:ascii="宋体" w:hAnsi="宋体" w:eastAsia="宋体" w:cs="宋体"/>
              <w:spacing w:val="6"/>
              <w:sz w:val="20"/>
              <w:szCs w:val="20"/>
            </w:rPr>
            <w:t>污染来源及治理措施</w:t>
          </w:r>
          <w:r>
            <w:rPr>
              <w:rFonts w:ascii="宋体" w:hAnsi="宋体" w:eastAsia="宋体" w:cs="宋体"/>
              <w:spacing w:val="-43"/>
              <w:sz w:val="20"/>
              <w:szCs w:val="20"/>
            </w:rPr>
            <w:t xml:space="preserve"> </w:t>
          </w:r>
          <w:r>
            <w:rPr>
              <w:rFonts w:ascii="宋体" w:hAnsi="宋体" w:eastAsia="宋体" w:cs="宋体"/>
              <w:sz w:val="20"/>
              <w:szCs w:val="20"/>
            </w:rPr>
            <w:tab/>
          </w:r>
          <w:r>
            <w:rPr>
              <w:rFonts w:ascii="宋体" w:hAnsi="宋体" w:eastAsia="宋体" w:cs="宋体"/>
              <w:spacing w:val="-65"/>
              <w:sz w:val="20"/>
              <w:szCs w:val="20"/>
            </w:rPr>
            <w:t xml:space="preserve"> </w:t>
          </w:r>
          <w:r>
            <w:rPr>
              <w:rFonts w:ascii="Times New Roman" w:hAnsi="Times New Roman" w:eastAsia="Times New Roman" w:cs="Times New Roman"/>
              <w:spacing w:val="1"/>
              <w:sz w:val="20"/>
              <w:szCs w:val="20"/>
            </w:rPr>
            <w:t>70</w:t>
          </w:r>
          <w:r>
            <w:rPr>
              <w:rFonts w:ascii="Times New Roman" w:hAnsi="Times New Roman" w:eastAsia="Times New Roman" w:cs="Times New Roman"/>
              <w:spacing w:val="1"/>
              <w:sz w:val="20"/>
              <w:szCs w:val="20"/>
            </w:rPr>
            <w:fldChar w:fldCharType="end"/>
          </w:r>
        </w:p>
        <w:p w14:paraId="73D54878">
          <w:pPr>
            <w:tabs>
              <w:tab w:val="right" w:leader="dot" w:pos="8717"/>
            </w:tabs>
            <w:spacing w:before="64" w:line="194" w:lineRule="auto"/>
            <w:ind w:left="845"/>
            <w:rPr>
              <w:rFonts w:ascii="Times New Roman" w:hAnsi="Times New Roman" w:eastAsia="Times New Roman" w:cs="Times New Roman"/>
              <w:sz w:val="20"/>
              <w:szCs w:val="20"/>
            </w:rPr>
          </w:pPr>
          <w:bookmarkStart w:id="57" w:name="bookmark115"/>
          <w:bookmarkEnd w:id="57"/>
          <w:r>
            <w:fldChar w:fldCharType="begin"/>
          </w:r>
          <w:r>
            <w:instrText xml:space="preserve"> HYPERLINK \l "bookmark116" </w:instrText>
          </w:r>
          <w:r>
            <w:fldChar w:fldCharType="separate"/>
          </w:r>
          <w:r>
            <w:rPr>
              <w:rFonts w:ascii="Times New Roman" w:hAnsi="Times New Roman" w:eastAsia="Times New Roman" w:cs="Times New Roman"/>
              <w:spacing w:val="5"/>
              <w:sz w:val="20"/>
              <w:szCs w:val="20"/>
            </w:rPr>
            <w:t xml:space="preserve">2.3.2 </w:t>
          </w:r>
          <w:r>
            <w:rPr>
              <w:rFonts w:ascii="宋体" w:hAnsi="宋体" w:eastAsia="宋体" w:cs="宋体"/>
              <w:spacing w:val="5"/>
              <w:sz w:val="20"/>
              <w:szCs w:val="20"/>
            </w:rPr>
            <w:t>平衡分析</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53"/>
              <w:sz w:val="20"/>
              <w:szCs w:val="20"/>
            </w:rPr>
            <w:t xml:space="preserve"> </w:t>
          </w:r>
          <w:r>
            <w:rPr>
              <w:rFonts w:ascii="Times New Roman" w:hAnsi="Times New Roman" w:eastAsia="Times New Roman" w:cs="Times New Roman"/>
              <w:spacing w:val="1"/>
              <w:sz w:val="20"/>
              <w:szCs w:val="20"/>
            </w:rPr>
            <w:t>74</w:t>
          </w:r>
          <w:r>
            <w:rPr>
              <w:rFonts w:ascii="Times New Roman" w:hAnsi="Times New Roman" w:eastAsia="Times New Roman" w:cs="Times New Roman"/>
              <w:spacing w:val="1"/>
              <w:sz w:val="20"/>
              <w:szCs w:val="20"/>
            </w:rPr>
            <w:fldChar w:fldCharType="end"/>
          </w:r>
        </w:p>
        <w:p w14:paraId="6D847A20">
          <w:pPr>
            <w:tabs>
              <w:tab w:val="right" w:leader="dot" w:pos="8717"/>
            </w:tabs>
            <w:spacing w:before="64" w:line="193" w:lineRule="auto"/>
            <w:ind w:left="845"/>
            <w:rPr>
              <w:rFonts w:ascii="Times New Roman" w:hAnsi="Times New Roman" w:eastAsia="Times New Roman" w:cs="Times New Roman"/>
              <w:sz w:val="20"/>
              <w:szCs w:val="20"/>
            </w:rPr>
          </w:pPr>
          <w:bookmarkStart w:id="58" w:name="bookmark117"/>
          <w:bookmarkEnd w:id="58"/>
          <w:r>
            <w:fldChar w:fldCharType="begin"/>
          </w:r>
          <w:r>
            <w:instrText xml:space="preserve"> HYPERLINK \l "bookmark118" </w:instrText>
          </w:r>
          <w:r>
            <w:fldChar w:fldCharType="separate"/>
          </w:r>
          <w:r>
            <w:rPr>
              <w:rFonts w:ascii="Times New Roman" w:hAnsi="Times New Roman" w:eastAsia="Times New Roman" w:cs="Times New Roman"/>
              <w:spacing w:val="7"/>
              <w:sz w:val="20"/>
              <w:szCs w:val="20"/>
            </w:rPr>
            <w:t xml:space="preserve">2.3.3 </w:t>
          </w:r>
          <w:r>
            <w:rPr>
              <w:rFonts w:ascii="宋体" w:hAnsi="宋体" w:eastAsia="宋体" w:cs="宋体"/>
              <w:spacing w:val="7"/>
              <w:sz w:val="20"/>
              <w:szCs w:val="20"/>
            </w:rPr>
            <w:t>正常工况污染物排放分析</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64"/>
              <w:sz w:val="20"/>
              <w:szCs w:val="20"/>
            </w:rPr>
            <w:t xml:space="preserve"> </w:t>
          </w:r>
          <w:r>
            <w:rPr>
              <w:rFonts w:ascii="Times New Roman" w:hAnsi="Times New Roman" w:eastAsia="Times New Roman" w:cs="Times New Roman"/>
              <w:spacing w:val="-2"/>
              <w:sz w:val="20"/>
              <w:szCs w:val="20"/>
            </w:rPr>
            <w:t>83</w:t>
          </w:r>
          <w:r>
            <w:rPr>
              <w:rFonts w:ascii="Times New Roman" w:hAnsi="Times New Roman" w:eastAsia="Times New Roman" w:cs="Times New Roman"/>
              <w:spacing w:val="-2"/>
              <w:sz w:val="20"/>
              <w:szCs w:val="20"/>
            </w:rPr>
            <w:fldChar w:fldCharType="end"/>
          </w:r>
        </w:p>
        <w:p w14:paraId="174D8870">
          <w:pPr>
            <w:tabs>
              <w:tab w:val="right" w:leader="dot" w:pos="8717"/>
            </w:tabs>
            <w:spacing w:before="62" w:line="193" w:lineRule="auto"/>
            <w:ind w:left="845"/>
            <w:rPr>
              <w:rFonts w:ascii="Times New Roman" w:hAnsi="Times New Roman" w:eastAsia="Times New Roman" w:cs="Times New Roman"/>
              <w:sz w:val="20"/>
              <w:szCs w:val="20"/>
            </w:rPr>
          </w:pPr>
          <w:bookmarkStart w:id="59" w:name="bookmark119"/>
          <w:bookmarkEnd w:id="59"/>
          <w:r>
            <w:fldChar w:fldCharType="begin"/>
          </w:r>
          <w:r>
            <w:instrText xml:space="preserve"> HYPERLINK \l "bookmark120" </w:instrText>
          </w:r>
          <w:r>
            <w:fldChar w:fldCharType="separate"/>
          </w:r>
          <w:r>
            <w:rPr>
              <w:rFonts w:ascii="Times New Roman" w:hAnsi="Times New Roman" w:eastAsia="Times New Roman" w:cs="Times New Roman"/>
              <w:spacing w:val="7"/>
              <w:sz w:val="20"/>
              <w:szCs w:val="20"/>
            </w:rPr>
            <w:t xml:space="preserve">2.3.4 </w:t>
          </w:r>
          <w:r>
            <w:rPr>
              <w:rFonts w:ascii="宋体" w:hAnsi="宋体" w:eastAsia="宋体" w:cs="宋体"/>
              <w:spacing w:val="7"/>
              <w:sz w:val="20"/>
              <w:szCs w:val="20"/>
            </w:rPr>
            <w:t>非正常工况污染物排放分析</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68"/>
              <w:sz w:val="20"/>
              <w:szCs w:val="20"/>
            </w:rPr>
            <w:t xml:space="preserve"> </w:t>
          </w:r>
          <w:r>
            <w:rPr>
              <w:rFonts w:ascii="Times New Roman" w:hAnsi="Times New Roman" w:eastAsia="Times New Roman" w:cs="Times New Roman"/>
              <w:sz w:val="20"/>
              <w:szCs w:val="20"/>
            </w:rPr>
            <w:t>98</w:t>
          </w:r>
          <w:r>
            <w:rPr>
              <w:rFonts w:ascii="Times New Roman" w:hAnsi="Times New Roman" w:eastAsia="Times New Roman" w:cs="Times New Roman"/>
              <w:sz w:val="20"/>
              <w:szCs w:val="20"/>
            </w:rPr>
            <w:fldChar w:fldCharType="end"/>
          </w:r>
        </w:p>
        <w:p w14:paraId="6CC4FEDB">
          <w:pPr>
            <w:tabs>
              <w:tab w:val="right" w:leader="dot" w:pos="8717"/>
            </w:tabs>
            <w:spacing w:before="62" w:line="194" w:lineRule="auto"/>
            <w:ind w:left="845"/>
            <w:rPr>
              <w:rFonts w:ascii="Times New Roman" w:hAnsi="Times New Roman" w:eastAsia="Times New Roman" w:cs="Times New Roman"/>
              <w:sz w:val="20"/>
              <w:szCs w:val="20"/>
            </w:rPr>
          </w:pPr>
          <w:bookmarkStart w:id="60" w:name="bookmark121"/>
          <w:bookmarkEnd w:id="60"/>
          <w:r>
            <w:fldChar w:fldCharType="begin"/>
          </w:r>
          <w:r>
            <w:instrText xml:space="preserve"> HYPERLINK \l "bookmark122" </w:instrText>
          </w:r>
          <w:r>
            <w:fldChar w:fldCharType="separate"/>
          </w:r>
          <w:r>
            <w:rPr>
              <w:rFonts w:ascii="Times New Roman" w:hAnsi="Times New Roman" w:eastAsia="Times New Roman" w:cs="Times New Roman"/>
              <w:spacing w:val="6"/>
              <w:sz w:val="20"/>
              <w:szCs w:val="20"/>
            </w:rPr>
            <w:t xml:space="preserve">2.3.5 </w:t>
          </w:r>
          <w:r>
            <w:rPr>
              <w:rFonts w:ascii="宋体" w:hAnsi="宋体" w:eastAsia="宋体" w:cs="宋体"/>
              <w:spacing w:val="6"/>
              <w:sz w:val="20"/>
              <w:szCs w:val="20"/>
            </w:rPr>
            <w:t>污染物达标排放分析</w:t>
          </w:r>
          <w:r>
            <w:rPr>
              <w:rFonts w:ascii="宋体" w:hAnsi="宋体" w:eastAsia="宋体" w:cs="宋体"/>
              <w:spacing w:val="-43"/>
              <w:sz w:val="20"/>
              <w:szCs w:val="20"/>
            </w:rPr>
            <w:t xml:space="preserve"> </w:t>
          </w:r>
          <w:r>
            <w:rPr>
              <w:rFonts w:ascii="宋体" w:hAnsi="宋体" w:eastAsia="宋体" w:cs="宋体"/>
              <w:sz w:val="20"/>
              <w:szCs w:val="20"/>
            </w:rPr>
            <w:tab/>
          </w:r>
          <w:r>
            <w:rPr>
              <w:rFonts w:ascii="宋体" w:hAnsi="宋体" w:eastAsia="宋体" w:cs="宋体"/>
              <w:spacing w:val="-64"/>
              <w:sz w:val="20"/>
              <w:szCs w:val="20"/>
            </w:rPr>
            <w:t xml:space="preserve"> </w:t>
          </w:r>
          <w:r>
            <w:rPr>
              <w:rFonts w:ascii="Times New Roman" w:hAnsi="Times New Roman" w:eastAsia="Times New Roman" w:cs="Times New Roman"/>
              <w:sz w:val="20"/>
              <w:szCs w:val="20"/>
            </w:rPr>
            <w:t>99</w:t>
          </w:r>
          <w:r>
            <w:rPr>
              <w:rFonts w:ascii="Times New Roman" w:hAnsi="Times New Roman" w:eastAsia="Times New Roman" w:cs="Times New Roman"/>
              <w:sz w:val="20"/>
              <w:szCs w:val="20"/>
            </w:rPr>
            <w:fldChar w:fldCharType="end"/>
          </w:r>
        </w:p>
        <w:p w14:paraId="7A1E7CAB">
          <w:pPr>
            <w:tabs>
              <w:tab w:val="right" w:leader="dot" w:pos="8720"/>
            </w:tabs>
            <w:spacing w:before="64" w:line="193" w:lineRule="auto"/>
            <w:ind w:left="845"/>
            <w:rPr>
              <w:rFonts w:ascii="Times New Roman" w:hAnsi="Times New Roman" w:eastAsia="Times New Roman" w:cs="Times New Roman"/>
              <w:sz w:val="20"/>
              <w:szCs w:val="20"/>
            </w:rPr>
          </w:pPr>
          <w:bookmarkStart w:id="61" w:name="bookmark123"/>
          <w:bookmarkEnd w:id="61"/>
          <w:r>
            <w:fldChar w:fldCharType="begin"/>
          </w:r>
          <w:r>
            <w:instrText xml:space="preserve"> HYPERLINK \l "bookmark124" </w:instrText>
          </w:r>
          <w:r>
            <w:fldChar w:fldCharType="separate"/>
          </w:r>
          <w:r>
            <w:rPr>
              <w:rFonts w:ascii="Times New Roman" w:hAnsi="Times New Roman" w:eastAsia="Times New Roman" w:cs="Times New Roman"/>
              <w:spacing w:val="7"/>
              <w:sz w:val="20"/>
              <w:szCs w:val="20"/>
            </w:rPr>
            <w:t xml:space="preserve">2.3.6 </w:t>
          </w:r>
          <w:r>
            <w:rPr>
              <w:rFonts w:ascii="宋体" w:hAnsi="宋体" w:eastAsia="宋体" w:cs="宋体"/>
              <w:spacing w:val="7"/>
              <w:sz w:val="20"/>
              <w:szCs w:val="20"/>
            </w:rPr>
            <w:t>污染物排放变化情况分析</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51"/>
              <w:sz w:val="20"/>
              <w:szCs w:val="20"/>
            </w:rPr>
            <w:t xml:space="preserve"> </w:t>
          </w:r>
          <w:r>
            <w:rPr>
              <w:rFonts w:ascii="Times New Roman" w:hAnsi="Times New Roman" w:eastAsia="Times New Roman" w:cs="Times New Roman"/>
              <w:spacing w:val="-3"/>
              <w:sz w:val="20"/>
              <w:szCs w:val="20"/>
            </w:rPr>
            <w:t>100</w:t>
          </w:r>
          <w:r>
            <w:rPr>
              <w:rFonts w:ascii="Times New Roman" w:hAnsi="Times New Roman" w:eastAsia="Times New Roman" w:cs="Times New Roman"/>
              <w:spacing w:val="-3"/>
              <w:sz w:val="20"/>
              <w:szCs w:val="20"/>
            </w:rPr>
            <w:fldChar w:fldCharType="end"/>
          </w:r>
        </w:p>
        <w:p w14:paraId="26829376">
          <w:pPr>
            <w:tabs>
              <w:tab w:val="right" w:leader="dot" w:pos="8720"/>
            </w:tabs>
            <w:spacing w:before="62" w:line="193" w:lineRule="auto"/>
            <w:ind w:left="425"/>
            <w:rPr>
              <w:rFonts w:ascii="Times New Roman" w:hAnsi="Times New Roman" w:eastAsia="Times New Roman" w:cs="Times New Roman"/>
              <w:sz w:val="20"/>
              <w:szCs w:val="20"/>
            </w:rPr>
          </w:pPr>
          <w:bookmarkStart w:id="62" w:name="bookmark125"/>
          <w:bookmarkEnd w:id="62"/>
          <w:r>
            <w:fldChar w:fldCharType="begin"/>
          </w:r>
          <w:r>
            <w:instrText xml:space="preserve"> HYPERLINK \l "bookmark126" </w:instrText>
          </w:r>
          <w:r>
            <w:fldChar w:fldCharType="separate"/>
          </w:r>
          <w:r>
            <w:rPr>
              <w:rFonts w:ascii="Times New Roman" w:hAnsi="Times New Roman" w:eastAsia="Times New Roman" w:cs="Times New Roman"/>
              <w:spacing w:val="6"/>
              <w:sz w:val="20"/>
              <w:szCs w:val="20"/>
            </w:rPr>
            <w:t xml:space="preserve">2.4 </w:t>
          </w:r>
          <w:r>
            <w:rPr>
              <w:rFonts w:ascii="宋体" w:hAnsi="宋体" w:eastAsia="宋体" w:cs="宋体"/>
              <w:spacing w:val="6"/>
              <w:sz w:val="20"/>
              <w:szCs w:val="20"/>
            </w:rPr>
            <w:t>总量控制分析</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35"/>
              <w:sz w:val="20"/>
              <w:szCs w:val="20"/>
            </w:rPr>
            <w:t xml:space="preserve"> </w:t>
          </w:r>
          <w:r>
            <w:rPr>
              <w:rFonts w:ascii="Times New Roman" w:hAnsi="Times New Roman" w:eastAsia="Times New Roman" w:cs="Times New Roman"/>
              <w:spacing w:val="-3"/>
              <w:sz w:val="20"/>
              <w:szCs w:val="20"/>
            </w:rPr>
            <w:t>100</w:t>
          </w:r>
          <w:r>
            <w:rPr>
              <w:rFonts w:ascii="Times New Roman" w:hAnsi="Times New Roman" w:eastAsia="Times New Roman" w:cs="Times New Roman"/>
              <w:spacing w:val="-3"/>
              <w:sz w:val="20"/>
              <w:szCs w:val="20"/>
            </w:rPr>
            <w:fldChar w:fldCharType="end"/>
          </w:r>
        </w:p>
        <w:p w14:paraId="19C6702E">
          <w:pPr>
            <w:tabs>
              <w:tab w:val="right" w:leader="dot" w:pos="8720"/>
            </w:tabs>
            <w:spacing w:before="64" w:line="194" w:lineRule="auto"/>
            <w:ind w:left="425"/>
            <w:rPr>
              <w:rFonts w:ascii="Times New Roman" w:hAnsi="Times New Roman" w:eastAsia="Times New Roman" w:cs="Times New Roman"/>
              <w:sz w:val="20"/>
              <w:szCs w:val="20"/>
            </w:rPr>
          </w:pPr>
          <w:bookmarkStart w:id="63" w:name="bookmark127"/>
          <w:bookmarkEnd w:id="63"/>
          <w:r>
            <w:fldChar w:fldCharType="begin"/>
          </w:r>
          <w:r>
            <w:instrText xml:space="preserve"> HYPERLINK \l "bookmark128" </w:instrText>
          </w:r>
          <w:r>
            <w:fldChar w:fldCharType="separate"/>
          </w:r>
          <w:r>
            <w:rPr>
              <w:rFonts w:ascii="Times New Roman" w:hAnsi="Times New Roman" w:eastAsia="Times New Roman" w:cs="Times New Roman"/>
              <w:spacing w:val="8"/>
              <w:sz w:val="20"/>
              <w:szCs w:val="20"/>
            </w:rPr>
            <w:t xml:space="preserve">2.5 </w:t>
          </w:r>
          <w:r>
            <w:rPr>
              <w:rFonts w:ascii="宋体" w:hAnsi="宋体" w:eastAsia="宋体" w:cs="宋体"/>
              <w:spacing w:val="8"/>
              <w:sz w:val="20"/>
              <w:szCs w:val="20"/>
            </w:rPr>
            <w:t>与排污许可证申请与核发技术规范的衔接</w:t>
          </w:r>
          <w:r>
            <w:rPr>
              <w:rFonts w:ascii="宋体" w:hAnsi="宋体" w:eastAsia="宋体" w:cs="宋体"/>
              <w:spacing w:val="-46"/>
              <w:sz w:val="20"/>
              <w:szCs w:val="20"/>
            </w:rPr>
            <w:t xml:space="preserve"> </w:t>
          </w:r>
          <w:r>
            <w:rPr>
              <w:rFonts w:ascii="宋体" w:hAnsi="宋体" w:eastAsia="宋体" w:cs="宋体"/>
              <w:sz w:val="20"/>
              <w:szCs w:val="20"/>
            </w:rPr>
            <w:tab/>
          </w:r>
          <w:r>
            <w:rPr>
              <w:rFonts w:ascii="Times New Roman" w:hAnsi="Times New Roman" w:eastAsia="Times New Roman" w:cs="Times New Roman"/>
              <w:spacing w:val="10"/>
              <w:sz w:val="20"/>
              <w:szCs w:val="20"/>
            </w:rPr>
            <w:t>101</w:t>
          </w:r>
          <w:r>
            <w:rPr>
              <w:rFonts w:ascii="Times New Roman" w:hAnsi="Times New Roman" w:eastAsia="Times New Roman" w:cs="Times New Roman"/>
              <w:spacing w:val="10"/>
              <w:sz w:val="20"/>
              <w:szCs w:val="20"/>
            </w:rPr>
            <w:fldChar w:fldCharType="end"/>
          </w:r>
        </w:p>
        <w:p w14:paraId="5259AC4A">
          <w:pPr>
            <w:tabs>
              <w:tab w:val="right" w:leader="dot" w:pos="8720"/>
            </w:tabs>
            <w:spacing w:before="61" w:line="193" w:lineRule="auto"/>
            <w:ind w:left="845"/>
            <w:rPr>
              <w:rFonts w:ascii="Times New Roman" w:hAnsi="Times New Roman" w:eastAsia="Times New Roman" w:cs="Times New Roman"/>
              <w:sz w:val="20"/>
              <w:szCs w:val="20"/>
            </w:rPr>
          </w:pPr>
          <w:bookmarkStart w:id="64" w:name="bookmark129"/>
          <w:bookmarkEnd w:id="64"/>
          <w:r>
            <w:fldChar w:fldCharType="begin"/>
          </w:r>
          <w:r>
            <w:instrText xml:space="preserve"> HYPERLINK \l "bookmark130" </w:instrText>
          </w:r>
          <w:r>
            <w:fldChar w:fldCharType="separate"/>
          </w:r>
          <w:r>
            <w:rPr>
              <w:rFonts w:ascii="Times New Roman" w:hAnsi="Times New Roman" w:eastAsia="Times New Roman" w:cs="Times New Roman"/>
              <w:spacing w:val="8"/>
              <w:sz w:val="20"/>
              <w:szCs w:val="20"/>
            </w:rPr>
            <w:t xml:space="preserve">2.5.1 </w:t>
          </w:r>
          <w:r>
            <w:rPr>
              <w:rFonts w:ascii="宋体" w:hAnsi="宋体" w:eastAsia="宋体" w:cs="宋体"/>
              <w:spacing w:val="8"/>
              <w:sz w:val="20"/>
              <w:szCs w:val="20"/>
            </w:rPr>
            <w:t>排污许可证申请与核发技术规范相关要求</w:t>
          </w:r>
          <w:r>
            <w:rPr>
              <w:rFonts w:ascii="宋体" w:hAnsi="宋体" w:eastAsia="宋体" w:cs="宋体"/>
              <w:spacing w:val="-56"/>
              <w:sz w:val="20"/>
              <w:szCs w:val="20"/>
            </w:rPr>
            <w:t xml:space="preserve"> </w:t>
          </w:r>
          <w:r>
            <w:rPr>
              <w:rFonts w:ascii="宋体" w:hAnsi="宋体" w:eastAsia="宋体" w:cs="宋体"/>
              <w:sz w:val="20"/>
              <w:szCs w:val="20"/>
            </w:rPr>
            <w:tab/>
          </w:r>
          <w:r>
            <w:rPr>
              <w:rFonts w:ascii="Times New Roman" w:hAnsi="Times New Roman" w:eastAsia="Times New Roman" w:cs="Times New Roman"/>
              <w:spacing w:val="9"/>
              <w:sz w:val="20"/>
              <w:szCs w:val="20"/>
            </w:rPr>
            <w:t>101</w:t>
          </w:r>
          <w:r>
            <w:rPr>
              <w:rFonts w:ascii="Times New Roman" w:hAnsi="Times New Roman" w:eastAsia="Times New Roman" w:cs="Times New Roman"/>
              <w:spacing w:val="9"/>
              <w:sz w:val="20"/>
              <w:szCs w:val="20"/>
            </w:rPr>
            <w:fldChar w:fldCharType="end"/>
          </w:r>
        </w:p>
        <w:p w14:paraId="42B9BD3B">
          <w:pPr>
            <w:tabs>
              <w:tab w:val="right" w:leader="dot" w:pos="8720"/>
            </w:tabs>
            <w:spacing w:before="65" w:line="193" w:lineRule="auto"/>
            <w:ind w:left="845"/>
            <w:rPr>
              <w:rFonts w:ascii="Times New Roman" w:hAnsi="Times New Roman" w:eastAsia="Times New Roman" w:cs="Times New Roman"/>
              <w:sz w:val="20"/>
              <w:szCs w:val="20"/>
            </w:rPr>
          </w:pPr>
          <w:bookmarkStart w:id="65" w:name="bookmark131"/>
          <w:bookmarkEnd w:id="65"/>
          <w:r>
            <w:fldChar w:fldCharType="begin"/>
          </w:r>
          <w:r>
            <w:instrText xml:space="preserve"> HYPERLINK \l "bookmark132" </w:instrText>
          </w:r>
          <w:r>
            <w:fldChar w:fldCharType="separate"/>
          </w:r>
          <w:r>
            <w:rPr>
              <w:rFonts w:ascii="Times New Roman" w:hAnsi="Times New Roman" w:eastAsia="Times New Roman" w:cs="Times New Roman"/>
              <w:spacing w:val="6"/>
              <w:sz w:val="20"/>
              <w:szCs w:val="20"/>
            </w:rPr>
            <w:t xml:space="preserve">2.5.2 </w:t>
          </w:r>
          <w:r>
            <w:rPr>
              <w:rFonts w:ascii="宋体" w:hAnsi="宋体" w:eastAsia="宋体" w:cs="宋体"/>
              <w:spacing w:val="6"/>
              <w:sz w:val="20"/>
              <w:szCs w:val="20"/>
            </w:rPr>
            <w:t>本项目排污许可情况</w:t>
          </w:r>
          <w:r>
            <w:rPr>
              <w:rFonts w:ascii="宋体" w:hAnsi="宋体" w:eastAsia="宋体" w:cs="宋体"/>
              <w:spacing w:val="-43"/>
              <w:sz w:val="20"/>
              <w:szCs w:val="20"/>
            </w:rPr>
            <w:t xml:space="preserve"> </w:t>
          </w:r>
          <w:r>
            <w:rPr>
              <w:rFonts w:ascii="宋体" w:hAnsi="宋体" w:eastAsia="宋体" w:cs="宋体"/>
              <w:sz w:val="20"/>
              <w:szCs w:val="20"/>
            </w:rPr>
            <w:tab/>
          </w:r>
          <w:r>
            <w:rPr>
              <w:rFonts w:ascii="宋体" w:hAnsi="宋体" w:eastAsia="宋体" w:cs="宋体"/>
              <w:spacing w:val="-47"/>
              <w:sz w:val="20"/>
              <w:szCs w:val="20"/>
            </w:rPr>
            <w:t xml:space="preserve"> </w:t>
          </w:r>
          <w:r>
            <w:rPr>
              <w:rFonts w:ascii="Times New Roman" w:hAnsi="Times New Roman" w:eastAsia="Times New Roman" w:cs="Times New Roman"/>
              <w:spacing w:val="-3"/>
              <w:sz w:val="20"/>
              <w:szCs w:val="20"/>
            </w:rPr>
            <w:t>102</w:t>
          </w:r>
          <w:r>
            <w:rPr>
              <w:rFonts w:ascii="Times New Roman" w:hAnsi="Times New Roman" w:eastAsia="Times New Roman" w:cs="Times New Roman"/>
              <w:spacing w:val="-3"/>
              <w:sz w:val="20"/>
              <w:szCs w:val="20"/>
            </w:rPr>
            <w:fldChar w:fldCharType="end"/>
          </w:r>
        </w:p>
        <w:p w14:paraId="76F20C90">
          <w:pPr>
            <w:tabs>
              <w:tab w:val="right" w:leader="dot" w:pos="8720"/>
            </w:tabs>
            <w:spacing w:before="62" w:line="194" w:lineRule="auto"/>
            <w:ind w:left="425"/>
            <w:rPr>
              <w:rFonts w:ascii="Times New Roman" w:hAnsi="Times New Roman" w:eastAsia="Times New Roman" w:cs="Times New Roman"/>
              <w:sz w:val="20"/>
              <w:szCs w:val="20"/>
            </w:rPr>
          </w:pPr>
          <w:bookmarkStart w:id="66" w:name="bookmark133"/>
          <w:bookmarkEnd w:id="66"/>
          <w:r>
            <w:fldChar w:fldCharType="begin"/>
          </w:r>
          <w:r>
            <w:instrText xml:space="preserve"> HYPERLINK \l "bookmark134" </w:instrText>
          </w:r>
          <w:r>
            <w:fldChar w:fldCharType="separate"/>
          </w:r>
          <w:r>
            <w:rPr>
              <w:rFonts w:ascii="Times New Roman" w:hAnsi="Times New Roman" w:eastAsia="Times New Roman" w:cs="Times New Roman"/>
              <w:spacing w:val="6"/>
              <w:sz w:val="20"/>
              <w:szCs w:val="20"/>
            </w:rPr>
            <w:t xml:space="preserve">2.6 </w:t>
          </w:r>
          <w:r>
            <w:rPr>
              <w:rFonts w:ascii="宋体" w:hAnsi="宋体" w:eastAsia="宋体" w:cs="宋体"/>
              <w:spacing w:val="6"/>
              <w:sz w:val="20"/>
              <w:szCs w:val="20"/>
            </w:rPr>
            <w:t>清洁生产分析</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35"/>
              <w:sz w:val="20"/>
              <w:szCs w:val="20"/>
            </w:rPr>
            <w:t xml:space="preserve"> </w:t>
          </w:r>
          <w:r>
            <w:rPr>
              <w:rFonts w:ascii="Times New Roman" w:hAnsi="Times New Roman" w:eastAsia="Times New Roman" w:cs="Times New Roman"/>
              <w:spacing w:val="-3"/>
              <w:sz w:val="20"/>
              <w:szCs w:val="20"/>
            </w:rPr>
            <w:t>102</w:t>
          </w:r>
          <w:r>
            <w:rPr>
              <w:rFonts w:ascii="Times New Roman" w:hAnsi="Times New Roman" w:eastAsia="Times New Roman" w:cs="Times New Roman"/>
              <w:spacing w:val="-3"/>
              <w:sz w:val="20"/>
              <w:szCs w:val="20"/>
            </w:rPr>
            <w:fldChar w:fldCharType="end"/>
          </w:r>
        </w:p>
        <w:p w14:paraId="531D1B54">
          <w:pPr>
            <w:tabs>
              <w:tab w:val="right" w:leader="dot" w:pos="8720"/>
            </w:tabs>
            <w:spacing w:before="63" w:line="193" w:lineRule="auto"/>
            <w:ind w:left="8"/>
            <w:rPr>
              <w:rFonts w:ascii="Times New Roman" w:hAnsi="Times New Roman" w:eastAsia="Times New Roman" w:cs="Times New Roman"/>
              <w:sz w:val="20"/>
              <w:szCs w:val="20"/>
            </w:rPr>
          </w:pPr>
          <w:bookmarkStart w:id="67" w:name="bookmark135"/>
          <w:bookmarkEnd w:id="67"/>
          <w:r>
            <w:fldChar w:fldCharType="begin"/>
          </w:r>
          <w:r>
            <w:instrText xml:space="preserve"> HYPERLINK \l "bookmark136" </w:instrText>
          </w:r>
          <w:r>
            <w:fldChar w:fldCharType="separate"/>
          </w:r>
          <w:r>
            <w:rPr>
              <w:rFonts w:ascii="宋体" w:hAnsi="宋体" w:eastAsia="宋体" w:cs="宋体"/>
              <w:b/>
              <w:bCs/>
              <w:spacing w:val="4"/>
              <w:sz w:val="20"/>
              <w:szCs w:val="20"/>
            </w:rPr>
            <w:t>第三章</w:t>
          </w:r>
          <w:r>
            <w:rPr>
              <w:rFonts w:ascii="宋体" w:hAnsi="宋体" w:eastAsia="宋体" w:cs="宋体"/>
              <w:spacing w:val="19"/>
              <w:sz w:val="20"/>
              <w:szCs w:val="20"/>
            </w:rPr>
            <w:t xml:space="preserve">  </w:t>
          </w:r>
          <w:r>
            <w:rPr>
              <w:rFonts w:ascii="宋体" w:hAnsi="宋体" w:eastAsia="宋体" w:cs="宋体"/>
              <w:b/>
              <w:bCs/>
              <w:spacing w:val="4"/>
              <w:sz w:val="20"/>
              <w:szCs w:val="20"/>
            </w:rPr>
            <w:t>区域环境现状</w:t>
          </w:r>
          <w:r>
            <w:rPr>
              <w:rFonts w:ascii="宋体" w:hAnsi="宋体" w:eastAsia="宋体" w:cs="宋体"/>
              <w:spacing w:val="-62"/>
              <w:sz w:val="20"/>
              <w:szCs w:val="20"/>
            </w:rPr>
            <w:t xml:space="preserve"> </w:t>
          </w:r>
          <w:r>
            <w:rPr>
              <w:rFonts w:ascii="宋体" w:hAnsi="宋体" w:eastAsia="宋体" w:cs="宋体"/>
              <w:sz w:val="20"/>
              <w:szCs w:val="20"/>
            </w:rPr>
            <w:tab/>
          </w:r>
          <w:r>
            <w:rPr>
              <w:rFonts w:ascii="宋体" w:hAnsi="宋体" w:eastAsia="宋体" w:cs="宋体"/>
              <w:spacing w:val="-52"/>
              <w:sz w:val="20"/>
              <w:szCs w:val="20"/>
            </w:rPr>
            <w:t xml:space="preserve"> </w:t>
          </w:r>
          <w:r>
            <w:rPr>
              <w:rFonts w:ascii="Times New Roman" w:hAnsi="Times New Roman" w:eastAsia="Times New Roman" w:cs="Times New Roman"/>
              <w:b/>
              <w:bCs/>
              <w:sz w:val="20"/>
              <w:szCs w:val="20"/>
            </w:rPr>
            <w:t>108</w:t>
          </w:r>
          <w:r>
            <w:rPr>
              <w:rFonts w:ascii="Times New Roman" w:hAnsi="Times New Roman" w:eastAsia="Times New Roman" w:cs="Times New Roman"/>
              <w:b/>
              <w:bCs/>
              <w:sz w:val="20"/>
              <w:szCs w:val="20"/>
            </w:rPr>
            <w:fldChar w:fldCharType="end"/>
          </w:r>
        </w:p>
        <w:p w14:paraId="46813C98">
          <w:pPr>
            <w:tabs>
              <w:tab w:val="right" w:leader="dot" w:pos="8720"/>
            </w:tabs>
            <w:spacing w:before="62" w:line="193" w:lineRule="auto"/>
            <w:ind w:left="429"/>
            <w:rPr>
              <w:rFonts w:ascii="Times New Roman" w:hAnsi="Times New Roman" w:eastAsia="Times New Roman" w:cs="Times New Roman"/>
              <w:sz w:val="20"/>
              <w:szCs w:val="20"/>
            </w:rPr>
          </w:pPr>
          <w:bookmarkStart w:id="68" w:name="bookmark137"/>
          <w:bookmarkEnd w:id="68"/>
          <w:r>
            <w:fldChar w:fldCharType="begin"/>
          </w:r>
          <w:r>
            <w:instrText xml:space="preserve"> HYPERLINK \l "bookmark138" </w:instrText>
          </w:r>
          <w:r>
            <w:fldChar w:fldCharType="separate"/>
          </w:r>
          <w:r>
            <w:rPr>
              <w:rFonts w:ascii="Times New Roman" w:hAnsi="Times New Roman" w:eastAsia="Times New Roman" w:cs="Times New Roman"/>
              <w:spacing w:val="-1"/>
              <w:sz w:val="20"/>
              <w:szCs w:val="20"/>
            </w:rPr>
            <w:t>3.1</w:t>
          </w:r>
          <w:r>
            <w:rPr>
              <w:rFonts w:ascii="Times New Roman" w:hAnsi="Times New Roman" w:eastAsia="Times New Roman" w:cs="Times New Roman"/>
              <w:spacing w:val="49"/>
              <w:w w:val="101"/>
              <w:sz w:val="20"/>
              <w:szCs w:val="20"/>
            </w:rPr>
            <w:t xml:space="preserve"> </w:t>
          </w:r>
          <w:r>
            <w:rPr>
              <w:rFonts w:ascii="宋体" w:hAnsi="宋体" w:eastAsia="宋体" w:cs="宋体"/>
              <w:spacing w:val="-1"/>
              <w:sz w:val="20"/>
              <w:szCs w:val="20"/>
            </w:rPr>
            <w:t>自然环境</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31"/>
              <w:sz w:val="20"/>
              <w:szCs w:val="20"/>
            </w:rPr>
            <w:t xml:space="preserve"> </w:t>
          </w:r>
          <w:r>
            <w:rPr>
              <w:rFonts w:ascii="Times New Roman" w:hAnsi="Times New Roman" w:eastAsia="Times New Roman" w:cs="Times New Roman"/>
              <w:spacing w:val="-3"/>
              <w:sz w:val="20"/>
              <w:szCs w:val="20"/>
            </w:rPr>
            <w:t>108</w:t>
          </w:r>
          <w:r>
            <w:rPr>
              <w:rFonts w:ascii="Times New Roman" w:hAnsi="Times New Roman" w:eastAsia="Times New Roman" w:cs="Times New Roman"/>
              <w:spacing w:val="-3"/>
              <w:sz w:val="20"/>
              <w:szCs w:val="20"/>
            </w:rPr>
            <w:fldChar w:fldCharType="end"/>
          </w:r>
        </w:p>
        <w:p w14:paraId="14A12B2F">
          <w:pPr>
            <w:tabs>
              <w:tab w:val="right" w:leader="dot" w:pos="8720"/>
            </w:tabs>
            <w:spacing w:before="62" w:line="194" w:lineRule="auto"/>
            <w:ind w:left="849"/>
            <w:rPr>
              <w:rFonts w:ascii="Times New Roman" w:hAnsi="Times New Roman" w:eastAsia="Times New Roman" w:cs="Times New Roman"/>
              <w:sz w:val="20"/>
              <w:szCs w:val="20"/>
            </w:rPr>
          </w:pPr>
          <w:bookmarkStart w:id="69" w:name="bookmark139"/>
          <w:bookmarkEnd w:id="69"/>
          <w:r>
            <w:fldChar w:fldCharType="begin"/>
          </w:r>
          <w:r>
            <w:instrText xml:space="preserve"> HYPERLINK \l "bookmark140" </w:instrText>
          </w:r>
          <w:r>
            <w:fldChar w:fldCharType="separate"/>
          </w:r>
          <w:r>
            <w:rPr>
              <w:rFonts w:ascii="Times New Roman" w:hAnsi="Times New Roman" w:eastAsia="Times New Roman" w:cs="Times New Roman"/>
              <w:spacing w:val="4"/>
              <w:sz w:val="20"/>
              <w:szCs w:val="20"/>
            </w:rPr>
            <w:t xml:space="preserve">3.1.1 </w:t>
          </w:r>
          <w:r>
            <w:rPr>
              <w:rFonts w:ascii="宋体" w:hAnsi="宋体" w:eastAsia="宋体" w:cs="宋体"/>
              <w:spacing w:val="4"/>
              <w:sz w:val="20"/>
              <w:szCs w:val="20"/>
            </w:rPr>
            <w:t>地理位置</w:t>
          </w:r>
          <w:r>
            <w:rPr>
              <w:rFonts w:ascii="宋体" w:hAnsi="宋体" w:eastAsia="宋体" w:cs="宋体"/>
              <w:spacing w:val="-48"/>
              <w:sz w:val="20"/>
              <w:szCs w:val="20"/>
            </w:rPr>
            <w:t xml:space="preserve"> </w:t>
          </w:r>
          <w:r>
            <w:rPr>
              <w:rFonts w:ascii="宋体" w:hAnsi="宋体" w:eastAsia="宋体" w:cs="宋体"/>
              <w:sz w:val="20"/>
              <w:szCs w:val="20"/>
            </w:rPr>
            <w:tab/>
          </w:r>
          <w:r>
            <w:rPr>
              <w:rFonts w:ascii="宋体" w:hAnsi="宋体" w:eastAsia="宋体" w:cs="宋体"/>
              <w:spacing w:val="-35"/>
              <w:sz w:val="20"/>
              <w:szCs w:val="20"/>
            </w:rPr>
            <w:t xml:space="preserve"> </w:t>
          </w:r>
          <w:r>
            <w:rPr>
              <w:rFonts w:ascii="Times New Roman" w:hAnsi="Times New Roman" w:eastAsia="Times New Roman" w:cs="Times New Roman"/>
              <w:spacing w:val="-3"/>
              <w:sz w:val="20"/>
              <w:szCs w:val="20"/>
            </w:rPr>
            <w:t>108</w:t>
          </w:r>
          <w:r>
            <w:rPr>
              <w:rFonts w:ascii="Times New Roman" w:hAnsi="Times New Roman" w:eastAsia="Times New Roman" w:cs="Times New Roman"/>
              <w:spacing w:val="-3"/>
              <w:sz w:val="20"/>
              <w:szCs w:val="20"/>
            </w:rPr>
            <w:fldChar w:fldCharType="end"/>
          </w:r>
        </w:p>
        <w:p w14:paraId="21F90666">
          <w:pPr>
            <w:tabs>
              <w:tab w:val="right" w:leader="dot" w:pos="8720"/>
            </w:tabs>
            <w:spacing w:before="64" w:line="193" w:lineRule="auto"/>
            <w:ind w:left="849"/>
            <w:rPr>
              <w:rFonts w:ascii="Times New Roman" w:hAnsi="Times New Roman" w:eastAsia="Times New Roman" w:cs="Times New Roman"/>
              <w:sz w:val="20"/>
              <w:szCs w:val="20"/>
            </w:rPr>
          </w:pPr>
          <w:bookmarkStart w:id="70" w:name="bookmark141"/>
          <w:bookmarkEnd w:id="70"/>
          <w:r>
            <w:fldChar w:fldCharType="begin"/>
          </w:r>
          <w:r>
            <w:instrText xml:space="preserve"> HYPERLINK \l "bookmark142" </w:instrText>
          </w:r>
          <w:r>
            <w:fldChar w:fldCharType="separate"/>
          </w:r>
          <w:r>
            <w:rPr>
              <w:rFonts w:ascii="Times New Roman" w:hAnsi="Times New Roman" w:eastAsia="Times New Roman" w:cs="Times New Roman"/>
              <w:spacing w:val="4"/>
              <w:sz w:val="20"/>
              <w:szCs w:val="20"/>
            </w:rPr>
            <w:t xml:space="preserve">3.1.2 </w:t>
          </w:r>
          <w:r>
            <w:rPr>
              <w:rFonts w:ascii="宋体" w:hAnsi="宋体" w:eastAsia="宋体" w:cs="宋体"/>
              <w:spacing w:val="4"/>
              <w:sz w:val="20"/>
              <w:szCs w:val="20"/>
            </w:rPr>
            <w:t>地形地貌</w:t>
          </w:r>
          <w:r>
            <w:rPr>
              <w:rFonts w:ascii="宋体" w:hAnsi="宋体" w:eastAsia="宋体" w:cs="宋体"/>
              <w:spacing w:val="-48"/>
              <w:sz w:val="20"/>
              <w:szCs w:val="20"/>
            </w:rPr>
            <w:t xml:space="preserve"> </w:t>
          </w:r>
          <w:r>
            <w:rPr>
              <w:rFonts w:ascii="宋体" w:hAnsi="宋体" w:eastAsia="宋体" w:cs="宋体"/>
              <w:sz w:val="20"/>
              <w:szCs w:val="20"/>
            </w:rPr>
            <w:tab/>
          </w:r>
          <w:r>
            <w:rPr>
              <w:rFonts w:ascii="宋体" w:hAnsi="宋体" w:eastAsia="宋体" w:cs="宋体"/>
              <w:spacing w:val="-35"/>
              <w:sz w:val="20"/>
              <w:szCs w:val="20"/>
            </w:rPr>
            <w:t xml:space="preserve"> </w:t>
          </w:r>
          <w:r>
            <w:rPr>
              <w:rFonts w:ascii="Times New Roman" w:hAnsi="Times New Roman" w:eastAsia="Times New Roman" w:cs="Times New Roman"/>
              <w:spacing w:val="-3"/>
              <w:sz w:val="20"/>
              <w:szCs w:val="20"/>
            </w:rPr>
            <w:t>108</w:t>
          </w:r>
          <w:r>
            <w:rPr>
              <w:rFonts w:ascii="Times New Roman" w:hAnsi="Times New Roman" w:eastAsia="Times New Roman" w:cs="Times New Roman"/>
              <w:spacing w:val="-3"/>
              <w:sz w:val="20"/>
              <w:szCs w:val="20"/>
            </w:rPr>
            <w:fldChar w:fldCharType="end"/>
          </w:r>
        </w:p>
        <w:p w14:paraId="6752C166">
          <w:pPr>
            <w:tabs>
              <w:tab w:val="right" w:leader="dot" w:pos="8720"/>
            </w:tabs>
            <w:spacing w:before="64" w:line="193" w:lineRule="auto"/>
            <w:ind w:left="849"/>
            <w:rPr>
              <w:rFonts w:ascii="Times New Roman" w:hAnsi="Times New Roman" w:eastAsia="Times New Roman" w:cs="Times New Roman"/>
              <w:sz w:val="20"/>
              <w:szCs w:val="20"/>
            </w:rPr>
          </w:pPr>
          <w:bookmarkStart w:id="71" w:name="bookmark143"/>
          <w:bookmarkEnd w:id="71"/>
          <w:r>
            <w:fldChar w:fldCharType="begin"/>
          </w:r>
          <w:r>
            <w:instrText xml:space="preserve"> HYPERLINK \l "bookmark144" </w:instrText>
          </w:r>
          <w:r>
            <w:fldChar w:fldCharType="separate"/>
          </w:r>
          <w:r>
            <w:rPr>
              <w:rFonts w:ascii="Times New Roman" w:hAnsi="Times New Roman" w:eastAsia="Times New Roman" w:cs="Times New Roman"/>
              <w:spacing w:val="4"/>
              <w:sz w:val="20"/>
              <w:szCs w:val="20"/>
            </w:rPr>
            <w:t xml:space="preserve">3.1.3 </w:t>
          </w:r>
          <w:r>
            <w:rPr>
              <w:rFonts w:ascii="宋体" w:hAnsi="宋体" w:eastAsia="宋体" w:cs="宋体"/>
              <w:spacing w:val="4"/>
              <w:sz w:val="20"/>
              <w:szCs w:val="20"/>
            </w:rPr>
            <w:t>气象条件</w:t>
          </w:r>
          <w:r>
            <w:rPr>
              <w:rFonts w:ascii="宋体" w:hAnsi="宋体" w:eastAsia="宋体" w:cs="宋体"/>
              <w:spacing w:val="-48"/>
              <w:sz w:val="20"/>
              <w:szCs w:val="20"/>
            </w:rPr>
            <w:t xml:space="preserve"> </w:t>
          </w:r>
          <w:r>
            <w:rPr>
              <w:rFonts w:ascii="宋体" w:hAnsi="宋体" w:eastAsia="宋体" w:cs="宋体"/>
              <w:sz w:val="20"/>
              <w:szCs w:val="20"/>
            </w:rPr>
            <w:tab/>
          </w:r>
          <w:r>
            <w:rPr>
              <w:rFonts w:ascii="宋体" w:hAnsi="宋体" w:eastAsia="宋体" w:cs="宋体"/>
              <w:spacing w:val="-35"/>
              <w:sz w:val="20"/>
              <w:szCs w:val="20"/>
            </w:rPr>
            <w:t xml:space="preserve"> </w:t>
          </w:r>
          <w:r>
            <w:rPr>
              <w:rFonts w:ascii="Times New Roman" w:hAnsi="Times New Roman" w:eastAsia="Times New Roman" w:cs="Times New Roman"/>
              <w:spacing w:val="-3"/>
              <w:sz w:val="20"/>
              <w:szCs w:val="20"/>
            </w:rPr>
            <w:t>108</w:t>
          </w:r>
          <w:r>
            <w:rPr>
              <w:rFonts w:ascii="Times New Roman" w:hAnsi="Times New Roman" w:eastAsia="Times New Roman" w:cs="Times New Roman"/>
              <w:spacing w:val="-3"/>
              <w:sz w:val="20"/>
              <w:szCs w:val="20"/>
            </w:rPr>
            <w:fldChar w:fldCharType="end"/>
          </w:r>
        </w:p>
        <w:p w14:paraId="4BC85D63">
          <w:pPr>
            <w:tabs>
              <w:tab w:val="right" w:leader="dot" w:pos="8720"/>
            </w:tabs>
            <w:spacing w:before="62" w:line="194" w:lineRule="auto"/>
            <w:ind w:left="849"/>
            <w:rPr>
              <w:rFonts w:ascii="Times New Roman" w:hAnsi="Times New Roman" w:eastAsia="Times New Roman" w:cs="Times New Roman"/>
              <w:sz w:val="20"/>
              <w:szCs w:val="20"/>
            </w:rPr>
          </w:pPr>
          <w:bookmarkStart w:id="72" w:name="bookmark145"/>
          <w:bookmarkEnd w:id="72"/>
          <w:r>
            <w:fldChar w:fldCharType="begin"/>
          </w:r>
          <w:r>
            <w:instrText xml:space="preserve"> HYPERLINK \l "bookmark146" </w:instrText>
          </w:r>
          <w:r>
            <w:fldChar w:fldCharType="separate"/>
          </w:r>
          <w:r>
            <w:rPr>
              <w:rFonts w:ascii="Times New Roman" w:hAnsi="Times New Roman" w:eastAsia="Times New Roman" w:cs="Times New Roman"/>
              <w:spacing w:val="4"/>
              <w:sz w:val="20"/>
              <w:szCs w:val="20"/>
            </w:rPr>
            <w:t xml:space="preserve">3.1.4 </w:t>
          </w:r>
          <w:r>
            <w:rPr>
              <w:rFonts w:ascii="宋体" w:hAnsi="宋体" w:eastAsia="宋体" w:cs="宋体"/>
              <w:spacing w:val="4"/>
              <w:sz w:val="20"/>
              <w:szCs w:val="20"/>
            </w:rPr>
            <w:t>水文水系</w:t>
          </w:r>
          <w:r>
            <w:rPr>
              <w:rFonts w:ascii="宋体" w:hAnsi="宋体" w:eastAsia="宋体" w:cs="宋体"/>
              <w:spacing w:val="-48"/>
              <w:sz w:val="20"/>
              <w:szCs w:val="20"/>
            </w:rPr>
            <w:t xml:space="preserve"> </w:t>
          </w:r>
          <w:r>
            <w:rPr>
              <w:rFonts w:ascii="宋体" w:hAnsi="宋体" w:eastAsia="宋体" w:cs="宋体"/>
              <w:sz w:val="20"/>
              <w:szCs w:val="20"/>
            </w:rPr>
            <w:tab/>
          </w:r>
          <w:r>
            <w:rPr>
              <w:rFonts w:ascii="宋体" w:hAnsi="宋体" w:eastAsia="宋体" w:cs="宋体"/>
              <w:spacing w:val="-35"/>
              <w:sz w:val="20"/>
              <w:szCs w:val="20"/>
            </w:rPr>
            <w:t xml:space="preserve"> </w:t>
          </w:r>
          <w:r>
            <w:rPr>
              <w:rFonts w:ascii="Times New Roman" w:hAnsi="Times New Roman" w:eastAsia="Times New Roman" w:cs="Times New Roman"/>
              <w:spacing w:val="-3"/>
              <w:sz w:val="20"/>
              <w:szCs w:val="20"/>
            </w:rPr>
            <w:t>109</w:t>
          </w:r>
          <w:r>
            <w:rPr>
              <w:rFonts w:ascii="Times New Roman" w:hAnsi="Times New Roman" w:eastAsia="Times New Roman" w:cs="Times New Roman"/>
              <w:spacing w:val="-3"/>
              <w:sz w:val="20"/>
              <w:szCs w:val="20"/>
            </w:rPr>
            <w:fldChar w:fldCharType="end"/>
          </w:r>
        </w:p>
        <w:p w14:paraId="2E2BA75F">
          <w:pPr>
            <w:tabs>
              <w:tab w:val="right" w:leader="dot" w:pos="8720"/>
            </w:tabs>
            <w:spacing w:before="64" w:line="193" w:lineRule="auto"/>
            <w:ind w:left="849"/>
            <w:rPr>
              <w:rFonts w:ascii="Times New Roman" w:hAnsi="Times New Roman" w:eastAsia="Times New Roman" w:cs="Times New Roman"/>
              <w:sz w:val="20"/>
              <w:szCs w:val="20"/>
            </w:rPr>
          </w:pPr>
          <w:bookmarkStart w:id="73" w:name="bookmark147"/>
          <w:bookmarkEnd w:id="73"/>
          <w:r>
            <w:fldChar w:fldCharType="begin"/>
          </w:r>
          <w:r>
            <w:instrText xml:space="preserve"> HYPERLINK \l "bookmark148" </w:instrText>
          </w:r>
          <w:r>
            <w:fldChar w:fldCharType="separate"/>
          </w:r>
          <w:r>
            <w:rPr>
              <w:rFonts w:ascii="Times New Roman" w:hAnsi="Times New Roman" w:eastAsia="Times New Roman" w:cs="Times New Roman"/>
              <w:spacing w:val="2"/>
              <w:sz w:val="20"/>
              <w:szCs w:val="20"/>
            </w:rPr>
            <w:t>3.1.5</w:t>
          </w:r>
          <w:r>
            <w:rPr>
              <w:rFonts w:ascii="Times New Roman" w:hAnsi="Times New Roman" w:eastAsia="Times New Roman" w:cs="Times New Roman"/>
              <w:spacing w:val="14"/>
              <w:w w:val="101"/>
              <w:sz w:val="20"/>
              <w:szCs w:val="20"/>
            </w:rPr>
            <w:t xml:space="preserve"> </w:t>
          </w:r>
          <w:r>
            <w:rPr>
              <w:rFonts w:ascii="宋体" w:hAnsi="宋体" w:eastAsia="宋体" w:cs="宋体"/>
              <w:spacing w:val="2"/>
              <w:sz w:val="20"/>
              <w:szCs w:val="20"/>
            </w:rPr>
            <w:t>土壤</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31"/>
              <w:sz w:val="20"/>
              <w:szCs w:val="20"/>
            </w:rPr>
            <w:t xml:space="preserve"> </w:t>
          </w:r>
          <w:r>
            <w:rPr>
              <w:rFonts w:ascii="Times New Roman" w:hAnsi="Times New Roman" w:eastAsia="Times New Roman" w:cs="Times New Roman"/>
              <w:spacing w:val="-3"/>
              <w:sz w:val="20"/>
              <w:szCs w:val="20"/>
            </w:rPr>
            <w:t>109</w:t>
          </w:r>
          <w:r>
            <w:rPr>
              <w:rFonts w:ascii="Times New Roman" w:hAnsi="Times New Roman" w:eastAsia="Times New Roman" w:cs="Times New Roman"/>
              <w:spacing w:val="-3"/>
              <w:sz w:val="20"/>
              <w:szCs w:val="20"/>
            </w:rPr>
            <w:fldChar w:fldCharType="end"/>
          </w:r>
        </w:p>
        <w:p w14:paraId="55419240">
          <w:pPr>
            <w:tabs>
              <w:tab w:val="right" w:leader="dot" w:pos="8720"/>
            </w:tabs>
            <w:spacing w:before="62" w:line="193" w:lineRule="auto"/>
            <w:ind w:left="849"/>
            <w:rPr>
              <w:rFonts w:ascii="Times New Roman" w:hAnsi="Times New Roman" w:eastAsia="Times New Roman" w:cs="Times New Roman"/>
              <w:sz w:val="20"/>
              <w:szCs w:val="20"/>
            </w:rPr>
          </w:pPr>
          <w:bookmarkStart w:id="74" w:name="bookmark149"/>
          <w:bookmarkEnd w:id="74"/>
          <w:r>
            <w:fldChar w:fldCharType="begin"/>
          </w:r>
          <w:r>
            <w:instrText xml:space="preserve"> HYPERLINK \l "bookmark150" </w:instrText>
          </w:r>
          <w:r>
            <w:fldChar w:fldCharType="separate"/>
          </w:r>
          <w:r>
            <w:rPr>
              <w:rFonts w:ascii="Times New Roman" w:hAnsi="Times New Roman" w:eastAsia="Times New Roman" w:cs="Times New Roman"/>
              <w:spacing w:val="4"/>
              <w:sz w:val="20"/>
              <w:szCs w:val="20"/>
            </w:rPr>
            <w:t xml:space="preserve">3.1.6 </w:t>
          </w:r>
          <w:r>
            <w:rPr>
              <w:rFonts w:ascii="宋体" w:hAnsi="宋体" w:eastAsia="宋体" w:cs="宋体"/>
              <w:spacing w:val="4"/>
              <w:sz w:val="20"/>
              <w:szCs w:val="20"/>
            </w:rPr>
            <w:t>动植物</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35"/>
              <w:sz w:val="20"/>
              <w:szCs w:val="20"/>
            </w:rPr>
            <w:t xml:space="preserve"> </w:t>
          </w:r>
          <w:r>
            <w:rPr>
              <w:rFonts w:ascii="Times New Roman" w:hAnsi="Times New Roman" w:eastAsia="Times New Roman" w:cs="Times New Roman"/>
              <w:spacing w:val="-3"/>
              <w:sz w:val="20"/>
              <w:szCs w:val="20"/>
            </w:rPr>
            <w:t>109</w:t>
          </w:r>
          <w:r>
            <w:rPr>
              <w:rFonts w:ascii="Times New Roman" w:hAnsi="Times New Roman" w:eastAsia="Times New Roman" w:cs="Times New Roman"/>
              <w:spacing w:val="-3"/>
              <w:sz w:val="20"/>
              <w:szCs w:val="20"/>
            </w:rPr>
            <w:fldChar w:fldCharType="end"/>
          </w:r>
        </w:p>
        <w:p w14:paraId="703BE170">
          <w:pPr>
            <w:tabs>
              <w:tab w:val="right" w:leader="dot" w:pos="8720"/>
            </w:tabs>
            <w:spacing w:before="62" w:line="194" w:lineRule="auto"/>
            <w:ind w:left="849"/>
            <w:rPr>
              <w:rFonts w:ascii="Times New Roman" w:hAnsi="Times New Roman" w:eastAsia="Times New Roman" w:cs="Times New Roman"/>
              <w:sz w:val="20"/>
              <w:szCs w:val="20"/>
            </w:rPr>
          </w:pPr>
          <w:bookmarkStart w:id="75" w:name="bookmark151"/>
          <w:bookmarkEnd w:id="75"/>
          <w:r>
            <w:fldChar w:fldCharType="begin"/>
          </w:r>
          <w:r>
            <w:instrText xml:space="preserve"> HYPERLINK \l "bookmark152" </w:instrText>
          </w:r>
          <w:r>
            <w:fldChar w:fldCharType="separate"/>
          </w:r>
          <w:r>
            <w:rPr>
              <w:rFonts w:ascii="Times New Roman" w:hAnsi="Times New Roman" w:eastAsia="Times New Roman" w:cs="Times New Roman"/>
              <w:spacing w:val="4"/>
              <w:sz w:val="20"/>
              <w:szCs w:val="20"/>
            </w:rPr>
            <w:t xml:space="preserve">3.1.7 </w:t>
          </w:r>
          <w:r>
            <w:rPr>
              <w:rFonts w:ascii="宋体" w:hAnsi="宋体" w:eastAsia="宋体" w:cs="宋体"/>
              <w:spacing w:val="4"/>
              <w:sz w:val="20"/>
              <w:szCs w:val="20"/>
            </w:rPr>
            <w:t>矿产资源</w:t>
          </w:r>
          <w:r>
            <w:rPr>
              <w:rFonts w:ascii="宋体" w:hAnsi="宋体" w:eastAsia="宋体" w:cs="宋体"/>
              <w:spacing w:val="-48"/>
              <w:sz w:val="20"/>
              <w:szCs w:val="20"/>
            </w:rPr>
            <w:t xml:space="preserve"> </w:t>
          </w:r>
          <w:r>
            <w:rPr>
              <w:rFonts w:ascii="宋体" w:hAnsi="宋体" w:eastAsia="宋体" w:cs="宋体"/>
              <w:sz w:val="20"/>
              <w:szCs w:val="20"/>
            </w:rPr>
            <w:tab/>
          </w:r>
          <w:r>
            <w:rPr>
              <w:rFonts w:ascii="宋体" w:hAnsi="宋体" w:eastAsia="宋体" w:cs="宋体"/>
              <w:spacing w:val="-27"/>
              <w:sz w:val="20"/>
              <w:szCs w:val="20"/>
            </w:rPr>
            <w:t xml:space="preserve"> </w:t>
          </w:r>
          <w:r>
            <w:rPr>
              <w:rFonts w:ascii="Times New Roman" w:hAnsi="Times New Roman" w:eastAsia="Times New Roman" w:cs="Times New Roman"/>
              <w:spacing w:val="-6"/>
              <w:sz w:val="20"/>
              <w:szCs w:val="20"/>
            </w:rPr>
            <w:t>110</w:t>
          </w:r>
          <w:r>
            <w:rPr>
              <w:rFonts w:ascii="Times New Roman" w:hAnsi="Times New Roman" w:eastAsia="Times New Roman" w:cs="Times New Roman"/>
              <w:spacing w:val="-6"/>
              <w:sz w:val="20"/>
              <w:szCs w:val="20"/>
            </w:rPr>
            <w:fldChar w:fldCharType="end"/>
          </w:r>
        </w:p>
        <w:p w14:paraId="55CCEF50">
          <w:pPr>
            <w:tabs>
              <w:tab w:val="right" w:leader="dot" w:pos="8720"/>
            </w:tabs>
            <w:spacing w:before="64" w:line="193" w:lineRule="auto"/>
            <w:ind w:left="429"/>
            <w:rPr>
              <w:rFonts w:ascii="Times New Roman" w:hAnsi="Times New Roman" w:eastAsia="Times New Roman" w:cs="Times New Roman"/>
              <w:sz w:val="20"/>
              <w:szCs w:val="20"/>
            </w:rPr>
          </w:pPr>
          <w:bookmarkStart w:id="76" w:name="bookmark153"/>
          <w:bookmarkEnd w:id="76"/>
          <w:r>
            <w:fldChar w:fldCharType="begin"/>
          </w:r>
          <w:r>
            <w:instrText xml:space="preserve"> HYPERLINK \l "bookmark154" </w:instrText>
          </w:r>
          <w:r>
            <w:fldChar w:fldCharType="separate"/>
          </w:r>
          <w:r>
            <w:rPr>
              <w:rFonts w:ascii="Times New Roman" w:hAnsi="Times New Roman" w:eastAsia="Times New Roman" w:cs="Times New Roman"/>
              <w:spacing w:val="7"/>
              <w:sz w:val="20"/>
              <w:szCs w:val="20"/>
            </w:rPr>
            <w:t>3.2</w:t>
          </w:r>
          <w:r>
            <w:rPr>
              <w:rFonts w:ascii="Times New Roman" w:hAnsi="Times New Roman" w:eastAsia="Times New Roman" w:cs="Times New Roman"/>
              <w:spacing w:val="45"/>
              <w:w w:val="101"/>
              <w:sz w:val="20"/>
              <w:szCs w:val="20"/>
            </w:rPr>
            <w:t xml:space="preserve"> </w:t>
          </w:r>
          <w:r>
            <w:rPr>
              <w:rFonts w:ascii="宋体" w:hAnsi="宋体" w:eastAsia="宋体" w:cs="宋体"/>
              <w:spacing w:val="7"/>
              <w:sz w:val="20"/>
              <w:szCs w:val="20"/>
            </w:rPr>
            <w:t>内蒙古锡林郭勒苏尼特经济开发区朱日和产业园</w:t>
          </w:r>
          <w:r>
            <w:rPr>
              <w:rFonts w:ascii="宋体" w:hAnsi="宋体" w:eastAsia="宋体" w:cs="宋体"/>
              <w:spacing w:val="-59"/>
              <w:sz w:val="20"/>
              <w:szCs w:val="20"/>
            </w:rPr>
            <w:t xml:space="preserve"> </w:t>
          </w:r>
          <w:r>
            <w:rPr>
              <w:rFonts w:ascii="宋体" w:hAnsi="宋体" w:eastAsia="宋体" w:cs="宋体"/>
              <w:sz w:val="20"/>
              <w:szCs w:val="20"/>
            </w:rPr>
            <w:tab/>
          </w:r>
          <w:r>
            <w:rPr>
              <w:rFonts w:ascii="Times New Roman" w:hAnsi="Times New Roman" w:eastAsia="Times New Roman" w:cs="Times New Roman"/>
              <w:spacing w:val="9"/>
              <w:sz w:val="20"/>
              <w:szCs w:val="20"/>
            </w:rPr>
            <w:t>110</w:t>
          </w:r>
          <w:r>
            <w:rPr>
              <w:rFonts w:ascii="Times New Roman" w:hAnsi="Times New Roman" w:eastAsia="Times New Roman" w:cs="Times New Roman"/>
              <w:spacing w:val="9"/>
              <w:sz w:val="20"/>
              <w:szCs w:val="20"/>
            </w:rPr>
            <w:fldChar w:fldCharType="end"/>
          </w:r>
        </w:p>
        <w:p w14:paraId="27977515">
          <w:pPr>
            <w:tabs>
              <w:tab w:val="right" w:leader="dot" w:pos="8722"/>
            </w:tabs>
            <w:spacing w:before="62" w:line="193" w:lineRule="auto"/>
            <w:ind w:left="849"/>
            <w:rPr>
              <w:rFonts w:ascii="Times New Roman" w:hAnsi="Times New Roman" w:eastAsia="Times New Roman" w:cs="Times New Roman"/>
              <w:sz w:val="20"/>
              <w:szCs w:val="20"/>
            </w:rPr>
          </w:pPr>
          <w:bookmarkStart w:id="77" w:name="bookmark155"/>
          <w:bookmarkEnd w:id="77"/>
          <w:r>
            <w:fldChar w:fldCharType="begin"/>
          </w:r>
          <w:r>
            <w:instrText xml:space="preserve"> HYPERLINK \l "bookmark156" </w:instrText>
          </w:r>
          <w:r>
            <w:fldChar w:fldCharType="separate"/>
          </w:r>
          <w:r>
            <w:rPr>
              <w:rFonts w:ascii="Times New Roman" w:hAnsi="Times New Roman" w:eastAsia="Times New Roman" w:cs="Times New Roman"/>
              <w:spacing w:val="4"/>
              <w:sz w:val="20"/>
              <w:szCs w:val="20"/>
            </w:rPr>
            <w:t xml:space="preserve">3.2.1 </w:t>
          </w:r>
          <w:r>
            <w:rPr>
              <w:rFonts w:ascii="宋体" w:hAnsi="宋体" w:eastAsia="宋体" w:cs="宋体"/>
              <w:spacing w:val="4"/>
              <w:sz w:val="20"/>
              <w:szCs w:val="20"/>
            </w:rPr>
            <w:t>规划范围</w:t>
          </w:r>
          <w:r>
            <w:rPr>
              <w:rFonts w:ascii="宋体" w:hAnsi="宋体" w:eastAsia="宋体" w:cs="宋体"/>
              <w:spacing w:val="-48"/>
              <w:sz w:val="20"/>
              <w:szCs w:val="20"/>
            </w:rPr>
            <w:t xml:space="preserve"> </w:t>
          </w:r>
          <w:r>
            <w:rPr>
              <w:rFonts w:ascii="宋体" w:hAnsi="宋体" w:eastAsia="宋体" w:cs="宋体"/>
              <w:sz w:val="20"/>
              <w:szCs w:val="20"/>
            </w:rPr>
            <w:tab/>
          </w:r>
          <w:r>
            <w:rPr>
              <w:rFonts w:ascii="Times New Roman" w:hAnsi="Times New Roman" w:eastAsia="Times New Roman" w:cs="Times New Roman"/>
              <w:spacing w:val="2"/>
              <w:sz w:val="20"/>
              <w:szCs w:val="20"/>
            </w:rPr>
            <w:t>111</w:t>
          </w:r>
          <w:r>
            <w:rPr>
              <w:rFonts w:ascii="Times New Roman" w:hAnsi="Times New Roman" w:eastAsia="Times New Roman" w:cs="Times New Roman"/>
              <w:spacing w:val="2"/>
              <w:sz w:val="20"/>
              <w:szCs w:val="20"/>
            </w:rPr>
            <w:fldChar w:fldCharType="end"/>
          </w:r>
        </w:p>
        <w:p w14:paraId="23F2638B">
          <w:pPr>
            <w:tabs>
              <w:tab w:val="right" w:leader="dot" w:pos="8722"/>
            </w:tabs>
            <w:spacing w:before="64" w:line="194" w:lineRule="auto"/>
            <w:ind w:left="849"/>
            <w:rPr>
              <w:rFonts w:ascii="Times New Roman" w:hAnsi="Times New Roman" w:eastAsia="Times New Roman" w:cs="Times New Roman"/>
              <w:sz w:val="20"/>
              <w:szCs w:val="20"/>
            </w:rPr>
          </w:pPr>
          <w:bookmarkStart w:id="78" w:name="bookmark157"/>
          <w:bookmarkEnd w:id="78"/>
          <w:r>
            <w:fldChar w:fldCharType="begin"/>
          </w:r>
          <w:r>
            <w:instrText xml:space="preserve"> HYPERLINK \l "bookmark158" </w:instrText>
          </w:r>
          <w:r>
            <w:fldChar w:fldCharType="separate"/>
          </w:r>
          <w:r>
            <w:rPr>
              <w:rFonts w:ascii="Times New Roman" w:hAnsi="Times New Roman" w:eastAsia="Times New Roman" w:cs="Times New Roman"/>
              <w:spacing w:val="4"/>
              <w:sz w:val="20"/>
              <w:szCs w:val="20"/>
            </w:rPr>
            <w:t xml:space="preserve">3.2.2 </w:t>
          </w:r>
          <w:r>
            <w:rPr>
              <w:rFonts w:ascii="宋体" w:hAnsi="宋体" w:eastAsia="宋体" w:cs="宋体"/>
              <w:spacing w:val="4"/>
              <w:sz w:val="20"/>
              <w:szCs w:val="20"/>
            </w:rPr>
            <w:t>产业定位</w:t>
          </w:r>
          <w:r>
            <w:rPr>
              <w:rFonts w:ascii="宋体" w:hAnsi="宋体" w:eastAsia="宋体" w:cs="宋体"/>
              <w:spacing w:val="-48"/>
              <w:sz w:val="20"/>
              <w:szCs w:val="20"/>
            </w:rPr>
            <w:t xml:space="preserve"> </w:t>
          </w:r>
          <w:r>
            <w:rPr>
              <w:rFonts w:ascii="宋体" w:hAnsi="宋体" w:eastAsia="宋体" w:cs="宋体"/>
              <w:sz w:val="20"/>
              <w:szCs w:val="20"/>
            </w:rPr>
            <w:tab/>
          </w:r>
          <w:r>
            <w:rPr>
              <w:rFonts w:ascii="Times New Roman" w:hAnsi="Times New Roman" w:eastAsia="Times New Roman" w:cs="Times New Roman"/>
              <w:spacing w:val="2"/>
              <w:sz w:val="20"/>
              <w:szCs w:val="20"/>
            </w:rPr>
            <w:t>111</w:t>
          </w:r>
          <w:r>
            <w:rPr>
              <w:rFonts w:ascii="Times New Roman" w:hAnsi="Times New Roman" w:eastAsia="Times New Roman" w:cs="Times New Roman"/>
              <w:spacing w:val="2"/>
              <w:sz w:val="20"/>
              <w:szCs w:val="20"/>
            </w:rPr>
            <w:fldChar w:fldCharType="end"/>
          </w:r>
        </w:p>
        <w:p w14:paraId="66C08C14">
          <w:pPr>
            <w:tabs>
              <w:tab w:val="right" w:leader="dot" w:pos="8720"/>
            </w:tabs>
            <w:spacing w:before="61" w:line="193" w:lineRule="auto"/>
            <w:ind w:left="849"/>
            <w:rPr>
              <w:rFonts w:ascii="Times New Roman" w:hAnsi="Times New Roman" w:eastAsia="Times New Roman" w:cs="Times New Roman"/>
              <w:sz w:val="20"/>
              <w:szCs w:val="20"/>
            </w:rPr>
          </w:pPr>
          <w:bookmarkStart w:id="79" w:name="bookmark159"/>
          <w:bookmarkEnd w:id="79"/>
          <w:r>
            <w:fldChar w:fldCharType="begin"/>
          </w:r>
          <w:r>
            <w:instrText xml:space="preserve"> HYPERLINK \l "bookmark160" </w:instrText>
          </w:r>
          <w:r>
            <w:fldChar w:fldCharType="separate"/>
          </w:r>
          <w:r>
            <w:rPr>
              <w:rFonts w:ascii="Times New Roman" w:hAnsi="Times New Roman" w:eastAsia="Times New Roman" w:cs="Times New Roman"/>
              <w:spacing w:val="4"/>
              <w:sz w:val="20"/>
              <w:szCs w:val="20"/>
            </w:rPr>
            <w:t>3.2.3</w:t>
          </w:r>
          <w:r>
            <w:rPr>
              <w:rFonts w:ascii="Times New Roman" w:hAnsi="Times New Roman" w:eastAsia="Times New Roman" w:cs="Times New Roman"/>
              <w:spacing w:val="12"/>
              <w:w w:val="101"/>
              <w:sz w:val="20"/>
              <w:szCs w:val="20"/>
            </w:rPr>
            <w:t xml:space="preserve"> </w:t>
          </w:r>
          <w:r>
            <w:rPr>
              <w:rFonts w:ascii="宋体" w:hAnsi="宋体" w:eastAsia="宋体" w:cs="宋体"/>
              <w:spacing w:val="4"/>
              <w:sz w:val="20"/>
              <w:szCs w:val="20"/>
            </w:rPr>
            <w:t>发展目标</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27"/>
              <w:sz w:val="20"/>
              <w:szCs w:val="20"/>
            </w:rPr>
            <w:t xml:space="preserve"> </w:t>
          </w:r>
          <w:r>
            <w:rPr>
              <w:rFonts w:ascii="Times New Roman" w:hAnsi="Times New Roman" w:eastAsia="Times New Roman" w:cs="Times New Roman"/>
              <w:spacing w:val="-6"/>
              <w:sz w:val="20"/>
              <w:szCs w:val="20"/>
            </w:rPr>
            <w:t>112</w:t>
          </w:r>
          <w:r>
            <w:rPr>
              <w:rFonts w:ascii="Times New Roman" w:hAnsi="Times New Roman" w:eastAsia="Times New Roman" w:cs="Times New Roman"/>
              <w:spacing w:val="-6"/>
              <w:sz w:val="20"/>
              <w:szCs w:val="20"/>
            </w:rPr>
            <w:fldChar w:fldCharType="end"/>
          </w:r>
        </w:p>
        <w:p w14:paraId="525DE549">
          <w:pPr>
            <w:tabs>
              <w:tab w:val="right" w:leader="dot" w:pos="8720"/>
            </w:tabs>
            <w:spacing w:before="65" w:line="194" w:lineRule="auto"/>
            <w:ind w:left="849"/>
            <w:rPr>
              <w:rFonts w:ascii="Times New Roman" w:hAnsi="Times New Roman" w:eastAsia="Times New Roman" w:cs="Times New Roman"/>
              <w:sz w:val="20"/>
              <w:szCs w:val="20"/>
            </w:rPr>
          </w:pPr>
          <w:bookmarkStart w:id="80" w:name="bookmark161"/>
          <w:bookmarkEnd w:id="80"/>
          <w:r>
            <w:fldChar w:fldCharType="begin"/>
          </w:r>
          <w:r>
            <w:instrText xml:space="preserve"> HYPERLINK \l "bookmark162" </w:instrText>
          </w:r>
          <w:r>
            <w:fldChar w:fldCharType="separate"/>
          </w:r>
          <w:r>
            <w:rPr>
              <w:rFonts w:ascii="Times New Roman" w:hAnsi="Times New Roman" w:eastAsia="Times New Roman" w:cs="Times New Roman"/>
              <w:spacing w:val="3"/>
              <w:sz w:val="20"/>
              <w:szCs w:val="20"/>
            </w:rPr>
            <w:t>3.2.4</w:t>
          </w:r>
          <w:r>
            <w:rPr>
              <w:rFonts w:ascii="Times New Roman" w:hAnsi="Times New Roman" w:eastAsia="Times New Roman" w:cs="Times New Roman"/>
              <w:spacing w:val="21"/>
              <w:w w:val="101"/>
              <w:sz w:val="20"/>
              <w:szCs w:val="20"/>
            </w:rPr>
            <w:t xml:space="preserve"> </w:t>
          </w:r>
          <w:r>
            <w:rPr>
              <w:rFonts w:ascii="宋体" w:hAnsi="宋体" w:eastAsia="宋体" w:cs="宋体"/>
              <w:spacing w:val="3"/>
              <w:sz w:val="20"/>
              <w:szCs w:val="20"/>
            </w:rPr>
            <w:t>空间管制</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27"/>
              <w:sz w:val="20"/>
              <w:szCs w:val="20"/>
            </w:rPr>
            <w:t xml:space="preserve"> </w:t>
          </w:r>
          <w:r>
            <w:rPr>
              <w:rFonts w:ascii="Times New Roman" w:hAnsi="Times New Roman" w:eastAsia="Times New Roman" w:cs="Times New Roman"/>
              <w:spacing w:val="-6"/>
              <w:sz w:val="20"/>
              <w:szCs w:val="20"/>
            </w:rPr>
            <w:t>113</w:t>
          </w:r>
          <w:r>
            <w:rPr>
              <w:rFonts w:ascii="Times New Roman" w:hAnsi="Times New Roman" w:eastAsia="Times New Roman" w:cs="Times New Roman"/>
              <w:spacing w:val="-6"/>
              <w:sz w:val="20"/>
              <w:szCs w:val="20"/>
            </w:rPr>
            <w:fldChar w:fldCharType="end"/>
          </w:r>
        </w:p>
        <w:p w14:paraId="0ED30E20">
          <w:pPr>
            <w:tabs>
              <w:tab w:val="right" w:leader="dot" w:pos="8720"/>
            </w:tabs>
            <w:spacing w:before="63" w:line="193" w:lineRule="auto"/>
            <w:ind w:left="849"/>
            <w:rPr>
              <w:rFonts w:ascii="Times New Roman" w:hAnsi="Times New Roman" w:eastAsia="Times New Roman" w:cs="Times New Roman"/>
              <w:sz w:val="20"/>
              <w:szCs w:val="20"/>
            </w:rPr>
          </w:pPr>
          <w:bookmarkStart w:id="81" w:name="bookmark163"/>
          <w:bookmarkEnd w:id="81"/>
          <w:r>
            <w:fldChar w:fldCharType="begin"/>
          </w:r>
          <w:r>
            <w:instrText xml:space="preserve"> HYPERLINK \l "bookmark164" </w:instrText>
          </w:r>
          <w:r>
            <w:fldChar w:fldCharType="separate"/>
          </w:r>
          <w:r>
            <w:rPr>
              <w:rFonts w:ascii="Times New Roman" w:hAnsi="Times New Roman" w:eastAsia="Times New Roman" w:cs="Times New Roman"/>
              <w:spacing w:val="5"/>
              <w:sz w:val="20"/>
              <w:szCs w:val="20"/>
            </w:rPr>
            <w:t xml:space="preserve">3.2.5 </w:t>
          </w:r>
          <w:r>
            <w:rPr>
              <w:rFonts w:ascii="宋体" w:hAnsi="宋体" w:eastAsia="宋体" w:cs="宋体"/>
              <w:spacing w:val="5"/>
              <w:sz w:val="20"/>
              <w:szCs w:val="20"/>
            </w:rPr>
            <w:t>规划主要内容</w:t>
          </w:r>
          <w:r>
            <w:rPr>
              <w:rFonts w:ascii="宋体" w:hAnsi="宋体" w:eastAsia="宋体" w:cs="宋体"/>
              <w:spacing w:val="-48"/>
              <w:sz w:val="20"/>
              <w:szCs w:val="20"/>
            </w:rPr>
            <w:t xml:space="preserve"> </w:t>
          </w:r>
          <w:r>
            <w:rPr>
              <w:rFonts w:ascii="宋体" w:hAnsi="宋体" w:eastAsia="宋体" w:cs="宋体"/>
              <w:sz w:val="20"/>
              <w:szCs w:val="20"/>
            </w:rPr>
            <w:tab/>
          </w:r>
          <w:r>
            <w:rPr>
              <w:rFonts w:ascii="宋体" w:hAnsi="宋体" w:eastAsia="宋体" w:cs="宋体"/>
              <w:spacing w:val="-31"/>
              <w:sz w:val="20"/>
              <w:szCs w:val="20"/>
            </w:rPr>
            <w:t xml:space="preserve"> </w:t>
          </w:r>
          <w:r>
            <w:rPr>
              <w:rFonts w:ascii="Times New Roman" w:hAnsi="Times New Roman" w:eastAsia="Times New Roman" w:cs="Times New Roman"/>
              <w:spacing w:val="-6"/>
              <w:sz w:val="20"/>
              <w:szCs w:val="20"/>
            </w:rPr>
            <w:t>113</w:t>
          </w:r>
          <w:r>
            <w:rPr>
              <w:rFonts w:ascii="Times New Roman" w:hAnsi="Times New Roman" w:eastAsia="Times New Roman" w:cs="Times New Roman"/>
              <w:spacing w:val="-6"/>
              <w:sz w:val="20"/>
              <w:szCs w:val="20"/>
            </w:rPr>
            <w:fldChar w:fldCharType="end"/>
          </w:r>
        </w:p>
        <w:p w14:paraId="59ED14B6">
          <w:pPr>
            <w:tabs>
              <w:tab w:val="right" w:leader="dot" w:pos="8720"/>
            </w:tabs>
            <w:spacing w:before="62" w:line="193" w:lineRule="auto"/>
            <w:ind w:left="849"/>
            <w:rPr>
              <w:rFonts w:ascii="Times New Roman" w:hAnsi="Times New Roman" w:eastAsia="Times New Roman" w:cs="Times New Roman"/>
              <w:sz w:val="20"/>
              <w:szCs w:val="20"/>
            </w:rPr>
          </w:pPr>
          <w:bookmarkStart w:id="82" w:name="bookmark165"/>
          <w:bookmarkEnd w:id="82"/>
          <w:r>
            <w:fldChar w:fldCharType="begin"/>
          </w:r>
          <w:r>
            <w:instrText xml:space="preserve"> HYPERLINK \l "bookmark166" </w:instrText>
          </w:r>
          <w:r>
            <w:fldChar w:fldCharType="separate"/>
          </w:r>
          <w:r>
            <w:rPr>
              <w:rFonts w:ascii="Times New Roman" w:hAnsi="Times New Roman" w:eastAsia="Times New Roman" w:cs="Times New Roman"/>
              <w:spacing w:val="5"/>
              <w:sz w:val="20"/>
              <w:szCs w:val="20"/>
            </w:rPr>
            <w:t>3.2.6</w:t>
          </w:r>
          <w:r>
            <w:rPr>
              <w:rFonts w:ascii="Times New Roman" w:hAnsi="Times New Roman" w:eastAsia="Times New Roman" w:cs="Times New Roman"/>
              <w:spacing w:val="33"/>
              <w:w w:val="101"/>
              <w:sz w:val="20"/>
              <w:szCs w:val="20"/>
            </w:rPr>
            <w:t xml:space="preserve"> </w:t>
          </w:r>
          <w:r>
            <w:rPr>
              <w:rFonts w:ascii="宋体" w:hAnsi="宋体" w:eastAsia="宋体" w:cs="宋体"/>
              <w:spacing w:val="5"/>
              <w:sz w:val="20"/>
              <w:szCs w:val="20"/>
            </w:rPr>
            <w:t>固废处置设施建设现状</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39"/>
              <w:sz w:val="20"/>
              <w:szCs w:val="20"/>
            </w:rPr>
            <w:t xml:space="preserve"> </w:t>
          </w:r>
          <w:r>
            <w:rPr>
              <w:rFonts w:ascii="Times New Roman" w:hAnsi="Times New Roman" w:eastAsia="Times New Roman" w:cs="Times New Roman"/>
              <w:spacing w:val="-6"/>
              <w:sz w:val="20"/>
              <w:szCs w:val="20"/>
            </w:rPr>
            <w:t>115</w:t>
          </w:r>
          <w:r>
            <w:rPr>
              <w:rFonts w:ascii="Times New Roman" w:hAnsi="Times New Roman" w:eastAsia="Times New Roman" w:cs="Times New Roman"/>
              <w:spacing w:val="-6"/>
              <w:sz w:val="20"/>
              <w:szCs w:val="20"/>
            </w:rPr>
            <w:fldChar w:fldCharType="end"/>
          </w:r>
        </w:p>
        <w:p w14:paraId="5B6C0765">
          <w:pPr>
            <w:tabs>
              <w:tab w:val="right" w:leader="dot" w:pos="8720"/>
            </w:tabs>
            <w:spacing w:before="62" w:line="194" w:lineRule="auto"/>
            <w:ind w:left="849"/>
            <w:rPr>
              <w:rFonts w:ascii="Times New Roman" w:hAnsi="Times New Roman" w:eastAsia="Times New Roman" w:cs="Times New Roman"/>
              <w:sz w:val="20"/>
              <w:szCs w:val="20"/>
            </w:rPr>
          </w:pPr>
          <w:bookmarkStart w:id="83" w:name="bookmark167"/>
          <w:bookmarkEnd w:id="83"/>
          <w:r>
            <w:fldChar w:fldCharType="begin"/>
          </w:r>
          <w:r>
            <w:instrText xml:space="preserve"> HYPERLINK \l "bookmark168" </w:instrText>
          </w:r>
          <w:r>
            <w:fldChar w:fldCharType="separate"/>
          </w:r>
          <w:r>
            <w:rPr>
              <w:rFonts w:ascii="Times New Roman" w:hAnsi="Times New Roman" w:eastAsia="Times New Roman" w:cs="Times New Roman"/>
              <w:spacing w:val="4"/>
              <w:sz w:val="20"/>
              <w:szCs w:val="20"/>
            </w:rPr>
            <w:t>3.2.7</w:t>
          </w:r>
          <w:r>
            <w:rPr>
              <w:rFonts w:ascii="Times New Roman" w:hAnsi="Times New Roman" w:eastAsia="Times New Roman" w:cs="Times New Roman"/>
              <w:spacing w:val="31"/>
              <w:w w:val="101"/>
              <w:sz w:val="20"/>
              <w:szCs w:val="20"/>
            </w:rPr>
            <w:t xml:space="preserve"> </w:t>
          </w:r>
          <w:r>
            <w:rPr>
              <w:rFonts w:ascii="宋体" w:hAnsi="宋体" w:eastAsia="宋体" w:cs="宋体"/>
              <w:spacing w:val="4"/>
              <w:sz w:val="20"/>
              <w:szCs w:val="20"/>
            </w:rPr>
            <w:t>园区规划符合性</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35"/>
              <w:sz w:val="20"/>
              <w:szCs w:val="20"/>
            </w:rPr>
            <w:t xml:space="preserve"> </w:t>
          </w:r>
          <w:r>
            <w:rPr>
              <w:rFonts w:ascii="Times New Roman" w:hAnsi="Times New Roman" w:eastAsia="Times New Roman" w:cs="Times New Roman"/>
              <w:spacing w:val="-6"/>
              <w:sz w:val="20"/>
              <w:szCs w:val="20"/>
            </w:rPr>
            <w:t>116</w:t>
          </w:r>
          <w:r>
            <w:rPr>
              <w:rFonts w:ascii="Times New Roman" w:hAnsi="Times New Roman" w:eastAsia="Times New Roman" w:cs="Times New Roman"/>
              <w:spacing w:val="-6"/>
              <w:sz w:val="20"/>
              <w:szCs w:val="20"/>
            </w:rPr>
            <w:fldChar w:fldCharType="end"/>
          </w:r>
        </w:p>
        <w:p w14:paraId="7ADAE8D9">
          <w:pPr>
            <w:tabs>
              <w:tab w:val="right" w:leader="dot" w:pos="8720"/>
            </w:tabs>
            <w:spacing w:before="64" w:line="193" w:lineRule="auto"/>
            <w:ind w:left="429"/>
            <w:rPr>
              <w:rFonts w:ascii="Times New Roman" w:hAnsi="Times New Roman" w:eastAsia="Times New Roman" w:cs="Times New Roman"/>
              <w:sz w:val="20"/>
              <w:szCs w:val="20"/>
            </w:rPr>
          </w:pPr>
          <w:bookmarkStart w:id="84" w:name="bookmark169"/>
          <w:bookmarkEnd w:id="84"/>
          <w:r>
            <w:fldChar w:fldCharType="begin"/>
          </w:r>
          <w:r>
            <w:instrText xml:space="preserve"> HYPERLINK \l "bookmark170" </w:instrText>
          </w:r>
          <w:r>
            <w:fldChar w:fldCharType="separate"/>
          </w:r>
          <w:r>
            <w:rPr>
              <w:rFonts w:ascii="Times New Roman" w:hAnsi="Times New Roman" w:eastAsia="Times New Roman" w:cs="Times New Roman"/>
              <w:spacing w:val="7"/>
              <w:sz w:val="20"/>
              <w:szCs w:val="20"/>
            </w:rPr>
            <w:t xml:space="preserve">3.3 </w:t>
          </w:r>
          <w:r>
            <w:rPr>
              <w:rFonts w:ascii="宋体" w:hAnsi="宋体" w:eastAsia="宋体" w:cs="宋体"/>
              <w:spacing w:val="7"/>
              <w:sz w:val="20"/>
              <w:szCs w:val="20"/>
            </w:rPr>
            <w:t>环境质量现状监测与评价</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36"/>
              <w:sz w:val="20"/>
              <w:szCs w:val="20"/>
            </w:rPr>
            <w:t xml:space="preserve"> </w:t>
          </w:r>
          <w:r>
            <w:rPr>
              <w:rFonts w:ascii="Times New Roman" w:hAnsi="Times New Roman" w:eastAsia="Times New Roman" w:cs="Times New Roman"/>
              <w:spacing w:val="-6"/>
              <w:sz w:val="20"/>
              <w:szCs w:val="20"/>
            </w:rPr>
            <w:t>116</w:t>
          </w:r>
          <w:r>
            <w:rPr>
              <w:rFonts w:ascii="Times New Roman" w:hAnsi="Times New Roman" w:eastAsia="Times New Roman" w:cs="Times New Roman"/>
              <w:spacing w:val="-6"/>
              <w:sz w:val="20"/>
              <w:szCs w:val="20"/>
            </w:rPr>
            <w:fldChar w:fldCharType="end"/>
          </w:r>
        </w:p>
        <w:p w14:paraId="5B4C4B7C">
          <w:pPr>
            <w:tabs>
              <w:tab w:val="right" w:leader="dot" w:pos="8720"/>
            </w:tabs>
            <w:spacing w:before="62" w:line="193" w:lineRule="auto"/>
            <w:ind w:left="849"/>
            <w:rPr>
              <w:rFonts w:ascii="Times New Roman" w:hAnsi="Times New Roman" w:eastAsia="Times New Roman" w:cs="Times New Roman"/>
              <w:sz w:val="20"/>
              <w:szCs w:val="20"/>
            </w:rPr>
          </w:pPr>
          <w:bookmarkStart w:id="85" w:name="bookmark171"/>
          <w:bookmarkEnd w:id="85"/>
          <w:r>
            <w:fldChar w:fldCharType="begin"/>
          </w:r>
          <w:r>
            <w:instrText xml:space="preserve"> HYPERLINK \l "bookmark172" </w:instrText>
          </w:r>
          <w:r>
            <w:fldChar w:fldCharType="separate"/>
          </w:r>
          <w:r>
            <w:rPr>
              <w:rFonts w:ascii="Times New Roman" w:hAnsi="Times New Roman" w:eastAsia="Times New Roman" w:cs="Times New Roman"/>
              <w:spacing w:val="7"/>
              <w:sz w:val="20"/>
              <w:szCs w:val="20"/>
            </w:rPr>
            <w:t xml:space="preserve">3.3.1 </w:t>
          </w:r>
          <w:r>
            <w:rPr>
              <w:rFonts w:ascii="宋体" w:hAnsi="宋体" w:eastAsia="宋体" w:cs="宋体"/>
              <w:spacing w:val="7"/>
              <w:sz w:val="20"/>
              <w:szCs w:val="20"/>
            </w:rPr>
            <w:t>大气环境质量现状监测与评价</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47"/>
              <w:sz w:val="20"/>
              <w:szCs w:val="20"/>
            </w:rPr>
            <w:t xml:space="preserve"> </w:t>
          </w:r>
          <w:r>
            <w:rPr>
              <w:rFonts w:ascii="Times New Roman" w:hAnsi="Times New Roman" w:eastAsia="Times New Roman" w:cs="Times New Roman"/>
              <w:spacing w:val="-6"/>
              <w:sz w:val="20"/>
              <w:szCs w:val="20"/>
            </w:rPr>
            <w:t>116</w:t>
          </w:r>
          <w:r>
            <w:rPr>
              <w:rFonts w:ascii="Times New Roman" w:hAnsi="Times New Roman" w:eastAsia="Times New Roman" w:cs="Times New Roman"/>
              <w:spacing w:val="-6"/>
              <w:sz w:val="20"/>
              <w:szCs w:val="20"/>
            </w:rPr>
            <w:fldChar w:fldCharType="end"/>
          </w:r>
        </w:p>
        <w:p w14:paraId="5B62C7C7">
          <w:pPr>
            <w:tabs>
              <w:tab w:val="right" w:leader="dot" w:pos="8720"/>
            </w:tabs>
            <w:spacing w:before="65" w:line="194" w:lineRule="auto"/>
            <w:ind w:left="849"/>
            <w:rPr>
              <w:rFonts w:ascii="Times New Roman" w:hAnsi="Times New Roman" w:eastAsia="Times New Roman" w:cs="Times New Roman"/>
              <w:sz w:val="20"/>
              <w:szCs w:val="20"/>
            </w:rPr>
          </w:pPr>
          <w:bookmarkStart w:id="86" w:name="bookmark173"/>
          <w:bookmarkEnd w:id="86"/>
          <w:r>
            <w:fldChar w:fldCharType="begin"/>
          </w:r>
          <w:r>
            <w:instrText xml:space="preserve"> HYPERLINK \l "bookmark174" </w:instrText>
          </w:r>
          <w:r>
            <w:fldChar w:fldCharType="separate"/>
          </w:r>
          <w:r>
            <w:rPr>
              <w:rFonts w:ascii="Times New Roman" w:hAnsi="Times New Roman" w:eastAsia="Times New Roman" w:cs="Times New Roman"/>
              <w:spacing w:val="7"/>
              <w:sz w:val="20"/>
              <w:szCs w:val="20"/>
            </w:rPr>
            <w:t xml:space="preserve">3.3.2 </w:t>
          </w:r>
          <w:r>
            <w:rPr>
              <w:rFonts w:ascii="宋体" w:hAnsi="宋体" w:eastAsia="宋体" w:cs="宋体"/>
              <w:spacing w:val="7"/>
              <w:sz w:val="20"/>
              <w:szCs w:val="20"/>
            </w:rPr>
            <w:t>地下水环境质量现状监测与评价</w:t>
          </w:r>
          <w:r>
            <w:rPr>
              <w:rFonts w:ascii="宋体" w:hAnsi="宋体" w:eastAsia="宋体" w:cs="宋体"/>
              <w:spacing w:val="-48"/>
              <w:sz w:val="20"/>
              <w:szCs w:val="20"/>
            </w:rPr>
            <w:t xml:space="preserve"> </w:t>
          </w:r>
          <w:r>
            <w:rPr>
              <w:rFonts w:ascii="宋体" w:hAnsi="宋体" w:eastAsia="宋体" w:cs="宋体"/>
              <w:sz w:val="20"/>
              <w:szCs w:val="20"/>
            </w:rPr>
            <w:tab/>
          </w:r>
          <w:r>
            <w:rPr>
              <w:rFonts w:ascii="宋体" w:hAnsi="宋体" w:eastAsia="宋体" w:cs="宋体"/>
              <w:spacing w:val="-55"/>
              <w:sz w:val="20"/>
              <w:szCs w:val="20"/>
            </w:rPr>
            <w:t xml:space="preserve"> </w:t>
          </w:r>
          <w:r>
            <w:rPr>
              <w:rFonts w:ascii="Times New Roman" w:hAnsi="Times New Roman" w:eastAsia="Times New Roman" w:cs="Times New Roman"/>
              <w:spacing w:val="-3"/>
              <w:sz w:val="20"/>
              <w:szCs w:val="20"/>
            </w:rPr>
            <w:t>121</w:t>
          </w:r>
          <w:r>
            <w:rPr>
              <w:rFonts w:ascii="Times New Roman" w:hAnsi="Times New Roman" w:eastAsia="Times New Roman" w:cs="Times New Roman"/>
              <w:spacing w:val="-3"/>
              <w:sz w:val="20"/>
              <w:szCs w:val="20"/>
            </w:rPr>
            <w:fldChar w:fldCharType="end"/>
          </w:r>
        </w:p>
        <w:p w14:paraId="59C5F7F1">
          <w:pPr>
            <w:tabs>
              <w:tab w:val="right" w:leader="dot" w:pos="8720"/>
            </w:tabs>
            <w:spacing w:before="61" w:line="193" w:lineRule="auto"/>
            <w:ind w:left="849"/>
            <w:rPr>
              <w:rFonts w:ascii="Times New Roman" w:hAnsi="Times New Roman" w:eastAsia="Times New Roman" w:cs="Times New Roman"/>
              <w:sz w:val="20"/>
              <w:szCs w:val="20"/>
            </w:rPr>
          </w:pPr>
          <w:bookmarkStart w:id="87" w:name="bookmark175"/>
          <w:bookmarkEnd w:id="87"/>
          <w:r>
            <w:fldChar w:fldCharType="begin"/>
          </w:r>
          <w:r>
            <w:instrText xml:space="preserve"> HYPERLINK \l "bookmark176" </w:instrText>
          </w:r>
          <w:r>
            <w:fldChar w:fldCharType="separate"/>
          </w:r>
          <w:r>
            <w:rPr>
              <w:rFonts w:ascii="Times New Roman" w:hAnsi="Times New Roman" w:eastAsia="Times New Roman" w:cs="Times New Roman"/>
              <w:spacing w:val="7"/>
              <w:sz w:val="20"/>
              <w:szCs w:val="20"/>
            </w:rPr>
            <w:t xml:space="preserve">3.3.3 </w:t>
          </w:r>
          <w:r>
            <w:rPr>
              <w:rFonts w:ascii="宋体" w:hAnsi="宋体" w:eastAsia="宋体" w:cs="宋体"/>
              <w:spacing w:val="7"/>
              <w:sz w:val="20"/>
              <w:szCs w:val="20"/>
            </w:rPr>
            <w:t>土壤环境质量现状监测与评价</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55"/>
              <w:sz w:val="20"/>
              <w:szCs w:val="20"/>
            </w:rPr>
            <w:t xml:space="preserve"> </w:t>
          </w:r>
          <w:r>
            <w:rPr>
              <w:rFonts w:ascii="Times New Roman" w:hAnsi="Times New Roman" w:eastAsia="Times New Roman" w:cs="Times New Roman"/>
              <w:spacing w:val="-3"/>
              <w:sz w:val="20"/>
              <w:szCs w:val="20"/>
            </w:rPr>
            <w:t>124</w:t>
          </w:r>
          <w:r>
            <w:rPr>
              <w:rFonts w:ascii="Times New Roman" w:hAnsi="Times New Roman" w:eastAsia="Times New Roman" w:cs="Times New Roman"/>
              <w:spacing w:val="-3"/>
              <w:sz w:val="20"/>
              <w:szCs w:val="20"/>
            </w:rPr>
            <w:fldChar w:fldCharType="end"/>
          </w:r>
        </w:p>
        <w:p w14:paraId="14682EC6">
          <w:pPr>
            <w:tabs>
              <w:tab w:val="right" w:leader="dot" w:pos="8720"/>
            </w:tabs>
            <w:spacing w:before="64" w:line="193" w:lineRule="auto"/>
            <w:ind w:left="849"/>
            <w:rPr>
              <w:rFonts w:ascii="Times New Roman" w:hAnsi="Times New Roman" w:eastAsia="Times New Roman" w:cs="Times New Roman"/>
              <w:sz w:val="20"/>
              <w:szCs w:val="20"/>
            </w:rPr>
          </w:pPr>
          <w:bookmarkStart w:id="88" w:name="bookmark177"/>
          <w:bookmarkEnd w:id="88"/>
          <w:r>
            <w:fldChar w:fldCharType="begin"/>
          </w:r>
          <w:r>
            <w:instrText xml:space="preserve"> HYPERLINK \l "bookmark178" </w:instrText>
          </w:r>
          <w:r>
            <w:fldChar w:fldCharType="separate"/>
          </w:r>
          <w:r>
            <w:rPr>
              <w:rFonts w:ascii="Times New Roman" w:hAnsi="Times New Roman" w:eastAsia="Times New Roman" w:cs="Times New Roman"/>
              <w:spacing w:val="7"/>
              <w:sz w:val="20"/>
              <w:szCs w:val="20"/>
            </w:rPr>
            <w:t xml:space="preserve">3.3.4 </w:t>
          </w:r>
          <w:r>
            <w:rPr>
              <w:rFonts w:ascii="宋体" w:hAnsi="宋体" w:eastAsia="宋体" w:cs="宋体"/>
              <w:spacing w:val="7"/>
              <w:sz w:val="20"/>
              <w:szCs w:val="20"/>
            </w:rPr>
            <w:t>声环境质量现状监测与评价</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51"/>
              <w:sz w:val="20"/>
              <w:szCs w:val="20"/>
            </w:rPr>
            <w:t xml:space="preserve"> </w:t>
          </w:r>
          <w:r>
            <w:rPr>
              <w:rFonts w:ascii="Times New Roman" w:hAnsi="Times New Roman" w:eastAsia="Times New Roman" w:cs="Times New Roman"/>
              <w:spacing w:val="-3"/>
              <w:sz w:val="20"/>
              <w:szCs w:val="20"/>
            </w:rPr>
            <w:t>131</w:t>
          </w:r>
          <w:r>
            <w:rPr>
              <w:rFonts w:ascii="Times New Roman" w:hAnsi="Times New Roman" w:eastAsia="Times New Roman" w:cs="Times New Roman"/>
              <w:spacing w:val="-3"/>
              <w:sz w:val="20"/>
              <w:szCs w:val="20"/>
            </w:rPr>
            <w:fldChar w:fldCharType="end"/>
          </w:r>
        </w:p>
        <w:p w14:paraId="73D9A056">
          <w:pPr>
            <w:tabs>
              <w:tab w:val="right" w:leader="dot" w:pos="8720"/>
            </w:tabs>
            <w:spacing w:before="62" w:line="194" w:lineRule="auto"/>
            <w:ind w:left="849"/>
            <w:rPr>
              <w:rFonts w:ascii="Times New Roman" w:hAnsi="Times New Roman" w:eastAsia="Times New Roman" w:cs="Times New Roman"/>
              <w:sz w:val="20"/>
              <w:szCs w:val="20"/>
            </w:rPr>
          </w:pPr>
          <w:bookmarkStart w:id="89" w:name="bookmark179"/>
          <w:bookmarkEnd w:id="89"/>
          <w:r>
            <w:fldChar w:fldCharType="begin"/>
          </w:r>
          <w:r>
            <w:instrText xml:space="preserve"> HYPERLINK \l "bookmark180" </w:instrText>
          </w:r>
          <w:r>
            <w:fldChar w:fldCharType="separate"/>
          </w:r>
          <w:r>
            <w:rPr>
              <w:rFonts w:ascii="Times New Roman" w:hAnsi="Times New Roman" w:eastAsia="Times New Roman" w:cs="Times New Roman"/>
              <w:spacing w:val="4"/>
              <w:sz w:val="20"/>
              <w:szCs w:val="20"/>
            </w:rPr>
            <w:t>3.3.5</w:t>
          </w:r>
          <w:r>
            <w:rPr>
              <w:rFonts w:ascii="Times New Roman" w:hAnsi="Times New Roman" w:eastAsia="Times New Roman" w:cs="Times New Roman"/>
              <w:spacing w:val="31"/>
              <w:w w:val="101"/>
              <w:sz w:val="20"/>
              <w:szCs w:val="20"/>
            </w:rPr>
            <w:t xml:space="preserve"> </w:t>
          </w:r>
          <w:r>
            <w:rPr>
              <w:rFonts w:ascii="宋体" w:hAnsi="宋体" w:eastAsia="宋体" w:cs="宋体"/>
              <w:spacing w:val="4"/>
              <w:sz w:val="20"/>
              <w:szCs w:val="20"/>
            </w:rPr>
            <w:t>区域污染源调查</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132</w:t>
          </w:r>
          <w:r>
            <w:rPr>
              <w:rFonts w:ascii="Times New Roman" w:hAnsi="Times New Roman" w:eastAsia="Times New Roman" w:cs="Times New Roman"/>
              <w:spacing w:val="-3"/>
              <w:sz w:val="20"/>
              <w:szCs w:val="20"/>
            </w:rPr>
            <w:fldChar w:fldCharType="end"/>
          </w:r>
        </w:p>
        <w:p w14:paraId="14518939">
          <w:pPr>
            <w:tabs>
              <w:tab w:val="right" w:leader="dot" w:pos="8720"/>
            </w:tabs>
            <w:spacing w:before="64" w:line="193" w:lineRule="auto"/>
            <w:ind w:left="8"/>
            <w:rPr>
              <w:rFonts w:ascii="Times New Roman" w:hAnsi="Times New Roman" w:eastAsia="Times New Roman" w:cs="Times New Roman"/>
              <w:sz w:val="20"/>
              <w:szCs w:val="20"/>
            </w:rPr>
          </w:pPr>
          <w:bookmarkStart w:id="90" w:name="bookmark181"/>
          <w:bookmarkEnd w:id="90"/>
          <w:r>
            <w:fldChar w:fldCharType="begin"/>
          </w:r>
          <w:r>
            <w:instrText xml:space="preserve"> HYPERLINK \l "bookmark182" </w:instrText>
          </w:r>
          <w:r>
            <w:fldChar w:fldCharType="separate"/>
          </w:r>
          <w:r>
            <w:rPr>
              <w:rFonts w:ascii="宋体" w:hAnsi="宋体" w:eastAsia="宋体" w:cs="宋体"/>
              <w:b/>
              <w:bCs/>
              <w:spacing w:val="7"/>
              <w:sz w:val="20"/>
              <w:szCs w:val="20"/>
            </w:rPr>
            <w:t>第四章</w:t>
          </w:r>
          <w:r>
            <w:rPr>
              <w:rFonts w:ascii="宋体" w:hAnsi="宋体" w:eastAsia="宋体" w:cs="宋体"/>
              <w:spacing w:val="7"/>
              <w:sz w:val="20"/>
              <w:szCs w:val="20"/>
            </w:rPr>
            <w:t xml:space="preserve">  </w:t>
          </w:r>
          <w:r>
            <w:rPr>
              <w:rFonts w:ascii="宋体" w:hAnsi="宋体" w:eastAsia="宋体" w:cs="宋体"/>
              <w:b/>
              <w:bCs/>
              <w:spacing w:val="7"/>
              <w:sz w:val="20"/>
              <w:szCs w:val="20"/>
            </w:rPr>
            <w:t>环境影响预测与评价</w:t>
          </w:r>
          <w:r>
            <w:rPr>
              <w:rFonts w:ascii="宋体" w:hAnsi="宋体" w:eastAsia="宋体" w:cs="宋体"/>
              <w:spacing w:val="-59"/>
              <w:sz w:val="20"/>
              <w:szCs w:val="20"/>
            </w:rPr>
            <w:t xml:space="preserve"> </w:t>
          </w:r>
          <w:r>
            <w:rPr>
              <w:rFonts w:ascii="宋体" w:hAnsi="宋体" w:eastAsia="宋体" w:cs="宋体"/>
              <w:sz w:val="20"/>
              <w:szCs w:val="20"/>
            </w:rPr>
            <w:tab/>
          </w:r>
          <w:r>
            <w:rPr>
              <w:rFonts w:ascii="宋体" w:hAnsi="宋体" w:eastAsia="宋体" w:cs="宋体"/>
              <w:spacing w:val="-61"/>
              <w:sz w:val="20"/>
              <w:szCs w:val="20"/>
            </w:rPr>
            <w:t xml:space="preserve"> </w:t>
          </w:r>
          <w:r>
            <w:rPr>
              <w:rFonts w:ascii="Times New Roman" w:hAnsi="Times New Roman" w:eastAsia="Times New Roman" w:cs="Times New Roman"/>
              <w:b/>
              <w:bCs/>
              <w:sz w:val="20"/>
              <w:szCs w:val="20"/>
            </w:rPr>
            <w:t>134</w:t>
          </w:r>
          <w:r>
            <w:rPr>
              <w:rFonts w:ascii="Times New Roman" w:hAnsi="Times New Roman" w:eastAsia="Times New Roman" w:cs="Times New Roman"/>
              <w:b/>
              <w:bCs/>
              <w:sz w:val="20"/>
              <w:szCs w:val="20"/>
            </w:rPr>
            <w:fldChar w:fldCharType="end"/>
          </w:r>
        </w:p>
        <w:p w14:paraId="5D107F5B">
          <w:pPr>
            <w:tabs>
              <w:tab w:val="right" w:leader="dot" w:pos="8720"/>
            </w:tabs>
            <w:spacing w:before="62" w:line="193" w:lineRule="auto"/>
            <w:ind w:left="424"/>
            <w:rPr>
              <w:rFonts w:ascii="Times New Roman" w:hAnsi="Times New Roman" w:eastAsia="Times New Roman" w:cs="Times New Roman"/>
              <w:sz w:val="20"/>
              <w:szCs w:val="20"/>
            </w:rPr>
          </w:pPr>
          <w:bookmarkStart w:id="91" w:name="bookmark183"/>
          <w:bookmarkEnd w:id="91"/>
          <w:r>
            <w:fldChar w:fldCharType="begin"/>
          </w:r>
          <w:r>
            <w:instrText xml:space="preserve"> HYPERLINK \l "bookmark184" </w:instrText>
          </w:r>
          <w:r>
            <w:fldChar w:fldCharType="separate"/>
          </w:r>
          <w:r>
            <w:rPr>
              <w:rFonts w:ascii="Times New Roman" w:hAnsi="Times New Roman" w:eastAsia="Times New Roman" w:cs="Times New Roman"/>
              <w:spacing w:val="7"/>
              <w:sz w:val="20"/>
              <w:szCs w:val="20"/>
            </w:rPr>
            <w:t xml:space="preserve">4.1 </w:t>
          </w:r>
          <w:r>
            <w:rPr>
              <w:rFonts w:ascii="宋体" w:hAnsi="宋体" w:eastAsia="宋体" w:cs="宋体"/>
              <w:spacing w:val="7"/>
              <w:sz w:val="20"/>
              <w:szCs w:val="20"/>
            </w:rPr>
            <w:t>大气环境影响预测与评价</w:t>
          </w:r>
          <w:r>
            <w:rPr>
              <w:rFonts w:ascii="宋体" w:hAnsi="宋体" w:eastAsia="宋体" w:cs="宋体"/>
              <w:spacing w:val="-45"/>
              <w:sz w:val="20"/>
              <w:szCs w:val="20"/>
            </w:rPr>
            <w:t xml:space="preserve"> </w:t>
          </w:r>
          <w:r>
            <w:rPr>
              <w:rFonts w:ascii="宋体" w:hAnsi="宋体" w:eastAsia="宋体" w:cs="宋体"/>
              <w:sz w:val="20"/>
              <w:szCs w:val="20"/>
            </w:rPr>
            <w:tab/>
          </w:r>
          <w:r>
            <w:rPr>
              <w:rFonts w:ascii="宋体" w:hAnsi="宋体" w:eastAsia="宋体" w:cs="宋体"/>
              <w:spacing w:val="-44"/>
              <w:sz w:val="20"/>
              <w:szCs w:val="20"/>
            </w:rPr>
            <w:t xml:space="preserve"> </w:t>
          </w:r>
          <w:r>
            <w:rPr>
              <w:rFonts w:ascii="Times New Roman" w:hAnsi="Times New Roman" w:eastAsia="Times New Roman" w:cs="Times New Roman"/>
              <w:spacing w:val="-3"/>
              <w:sz w:val="20"/>
              <w:szCs w:val="20"/>
            </w:rPr>
            <w:t>134</w:t>
          </w:r>
          <w:r>
            <w:rPr>
              <w:rFonts w:ascii="Times New Roman" w:hAnsi="Times New Roman" w:eastAsia="Times New Roman" w:cs="Times New Roman"/>
              <w:spacing w:val="-3"/>
              <w:sz w:val="20"/>
              <w:szCs w:val="20"/>
            </w:rPr>
            <w:fldChar w:fldCharType="end"/>
          </w:r>
        </w:p>
        <w:p w14:paraId="1D8B2626">
          <w:pPr>
            <w:tabs>
              <w:tab w:val="right" w:leader="dot" w:pos="8720"/>
            </w:tabs>
            <w:spacing w:before="62" w:line="194" w:lineRule="auto"/>
            <w:ind w:left="844"/>
            <w:rPr>
              <w:rFonts w:ascii="Times New Roman" w:hAnsi="Times New Roman" w:eastAsia="Times New Roman" w:cs="Times New Roman"/>
              <w:sz w:val="20"/>
              <w:szCs w:val="20"/>
            </w:rPr>
          </w:pPr>
          <w:bookmarkStart w:id="92" w:name="bookmark185"/>
          <w:bookmarkEnd w:id="92"/>
          <w:r>
            <w:fldChar w:fldCharType="begin"/>
          </w:r>
          <w:r>
            <w:instrText xml:space="preserve"> HYPERLINK \l "bookmark186" </w:instrText>
          </w:r>
          <w:r>
            <w:fldChar w:fldCharType="separate"/>
          </w:r>
          <w:r>
            <w:rPr>
              <w:rFonts w:ascii="Times New Roman" w:hAnsi="Times New Roman" w:eastAsia="Times New Roman" w:cs="Times New Roman"/>
              <w:spacing w:val="5"/>
              <w:sz w:val="20"/>
              <w:szCs w:val="20"/>
            </w:rPr>
            <w:t>4.1.1</w:t>
          </w:r>
          <w:r>
            <w:rPr>
              <w:rFonts w:ascii="Times New Roman" w:hAnsi="Times New Roman" w:eastAsia="Times New Roman" w:cs="Times New Roman"/>
              <w:spacing w:val="28"/>
              <w:w w:val="101"/>
              <w:sz w:val="20"/>
              <w:szCs w:val="20"/>
            </w:rPr>
            <w:t xml:space="preserve"> </w:t>
          </w:r>
          <w:r>
            <w:rPr>
              <w:rFonts w:ascii="宋体" w:hAnsi="宋体" w:eastAsia="宋体" w:cs="宋体"/>
              <w:spacing w:val="5"/>
              <w:sz w:val="20"/>
              <w:szCs w:val="20"/>
            </w:rPr>
            <w:t>区域污染气象特征</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134</w:t>
          </w:r>
          <w:r>
            <w:rPr>
              <w:rFonts w:ascii="Times New Roman" w:hAnsi="Times New Roman" w:eastAsia="Times New Roman" w:cs="Times New Roman"/>
              <w:spacing w:val="-3"/>
              <w:sz w:val="20"/>
              <w:szCs w:val="20"/>
            </w:rPr>
            <w:fldChar w:fldCharType="end"/>
          </w:r>
        </w:p>
        <w:p w14:paraId="43A5C2FA">
          <w:pPr>
            <w:tabs>
              <w:tab w:val="right" w:leader="dot" w:pos="8720"/>
            </w:tabs>
            <w:spacing w:before="63" w:line="193" w:lineRule="auto"/>
            <w:ind w:left="844"/>
            <w:rPr>
              <w:rFonts w:ascii="Times New Roman" w:hAnsi="Times New Roman" w:eastAsia="Times New Roman" w:cs="Times New Roman"/>
              <w:sz w:val="20"/>
              <w:szCs w:val="20"/>
            </w:rPr>
          </w:pPr>
          <w:bookmarkStart w:id="93" w:name="bookmark187"/>
          <w:bookmarkEnd w:id="93"/>
          <w:r>
            <w:fldChar w:fldCharType="begin"/>
          </w:r>
          <w:r>
            <w:instrText xml:space="preserve"> HYPERLINK \l "bookmark188" </w:instrText>
          </w:r>
          <w:r>
            <w:fldChar w:fldCharType="separate"/>
          </w:r>
          <w:r>
            <w:rPr>
              <w:rFonts w:ascii="Times New Roman" w:hAnsi="Times New Roman" w:eastAsia="Times New Roman" w:cs="Times New Roman"/>
              <w:spacing w:val="7"/>
              <w:sz w:val="20"/>
              <w:szCs w:val="20"/>
            </w:rPr>
            <w:t xml:space="preserve">4.1.2 </w:t>
          </w:r>
          <w:r>
            <w:rPr>
              <w:rFonts w:ascii="宋体" w:hAnsi="宋体" w:eastAsia="宋体" w:cs="宋体"/>
              <w:spacing w:val="7"/>
              <w:sz w:val="20"/>
              <w:szCs w:val="20"/>
            </w:rPr>
            <w:t>大气环境影响预测与评价</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51"/>
              <w:sz w:val="20"/>
              <w:szCs w:val="20"/>
            </w:rPr>
            <w:t xml:space="preserve"> </w:t>
          </w:r>
          <w:r>
            <w:rPr>
              <w:rFonts w:ascii="Times New Roman" w:hAnsi="Times New Roman" w:eastAsia="Times New Roman" w:cs="Times New Roman"/>
              <w:spacing w:val="-3"/>
              <w:sz w:val="20"/>
              <w:szCs w:val="20"/>
            </w:rPr>
            <w:t>144</w:t>
          </w:r>
          <w:r>
            <w:rPr>
              <w:rFonts w:ascii="Times New Roman" w:hAnsi="Times New Roman" w:eastAsia="Times New Roman" w:cs="Times New Roman"/>
              <w:spacing w:val="-3"/>
              <w:sz w:val="20"/>
              <w:szCs w:val="20"/>
            </w:rPr>
            <w:fldChar w:fldCharType="end"/>
          </w:r>
        </w:p>
        <w:p w14:paraId="0760A98B">
          <w:pPr>
            <w:tabs>
              <w:tab w:val="right" w:leader="dot" w:pos="8720"/>
            </w:tabs>
            <w:spacing w:before="65" w:line="193" w:lineRule="auto"/>
            <w:ind w:left="844"/>
            <w:rPr>
              <w:rFonts w:ascii="Times New Roman" w:hAnsi="Times New Roman" w:eastAsia="Times New Roman" w:cs="Times New Roman"/>
              <w:sz w:val="20"/>
              <w:szCs w:val="20"/>
            </w:rPr>
          </w:pPr>
          <w:bookmarkStart w:id="94" w:name="bookmark189"/>
          <w:bookmarkEnd w:id="94"/>
          <w:r>
            <w:fldChar w:fldCharType="begin"/>
          </w:r>
          <w:r>
            <w:instrText xml:space="preserve"> HYPERLINK \l "bookmark190" </w:instrText>
          </w:r>
          <w:r>
            <w:fldChar w:fldCharType="separate"/>
          </w:r>
          <w:r>
            <w:rPr>
              <w:rFonts w:ascii="Times New Roman" w:hAnsi="Times New Roman" w:eastAsia="Times New Roman" w:cs="Times New Roman"/>
              <w:spacing w:val="6"/>
              <w:sz w:val="20"/>
              <w:szCs w:val="20"/>
            </w:rPr>
            <w:t xml:space="preserve">4.1.3 </w:t>
          </w:r>
          <w:r>
            <w:rPr>
              <w:rFonts w:ascii="宋体" w:hAnsi="宋体" w:eastAsia="宋体" w:cs="宋体"/>
              <w:spacing w:val="6"/>
              <w:sz w:val="20"/>
              <w:szCs w:val="20"/>
            </w:rPr>
            <w:t>预测结果与评价</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150</w:t>
          </w:r>
          <w:r>
            <w:rPr>
              <w:rFonts w:ascii="Times New Roman" w:hAnsi="Times New Roman" w:eastAsia="Times New Roman" w:cs="Times New Roman"/>
              <w:spacing w:val="-3"/>
              <w:sz w:val="20"/>
              <w:szCs w:val="20"/>
            </w:rPr>
            <w:fldChar w:fldCharType="end"/>
          </w:r>
        </w:p>
        <w:p w14:paraId="16B48635">
          <w:pPr>
            <w:tabs>
              <w:tab w:val="right" w:leader="dot" w:pos="8720"/>
            </w:tabs>
            <w:spacing w:before="62" w:line="194" w:lineRule="auto"/>
            <w:ind w:left="844"/>
            <w:rPr>
              <w:rFonts w:ascii="Times New Roman" w:hAnsi="Times New Roman" w:eastAsia="Times New Roman" w:cs="Times New Roman"/>
              <w:sz w:val="20"/>
              <w:szCs w:val="20"/>
            </w:rPr>
          </w:pPr>
          <w:bookmarkStart w:id="95" w:name="bookmark191"/>
          <w:bookmarkEnd w:id="95"/>
          <w:r>
            <w:fldChar w:fldCharType="begin"/>
          </w:r>
          <w:r>
            <w:instrText xml:space="preserve"> HYPERLINK \l "bookmark192" </w:instrText>
          </w:r>
          <w:r>
            <w:fldChar w:fldCharType="separate"/>
          </w:r>
          <w:r>
            <w:rPr>
              <w:rFonts w:ascii="Times New Roman" w:hAnsi="Times New Roman" w:eastAsia="Times New Roman" w:cs="Times New Roman"/>
              <w:spacing w:val="5"/>
              <w:sz w:val="20"/>
              <w:szCs w:val="20"/>
            </w:rPr>
            <w:t>4.1.4</w:t>
          </w:r>
          <w:r>
            <w:rPr>
              <w:rFonts w:ascii="Times New Roman" w:hAnsi="Times New Roman" w:eastAsia="Times New Roman" w:cs="Times New Roman"/>
              <w:spacing w:val="24"/>
              <w:w w:val="101"/>
              <w:sz w:val="20"/>
              <w:szCs w:val="20"/>
            </w:rPr>
            <w:t xml:space="preserve"> </w:t>
          </w:r>
          <w:r>
            <w:rPr>
              <w:rFonts w:ascii="宋体" w:hAnsi="宋体" w:eastAsia="宋体" w:cs="宋体"/>
              <w:spacing w:val="5"/>
              <w:sz w:val="20"/>
              <w:szCs w:val="20"/>
            </w:rPr>
            <w:t>防护距离的确定</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158</w:t>
          </w:r>
          <w:r>
            <w:rPr>
              <w:rFonts w:ascii="Times New Roman" w:hAnsi="Times New Roman" w:eastAsia="Times New Roman" w:cs="Times New Roman"/>
              <w:spacing w:val="-3"/>
              <w:sz w:val="20"/>
              <w:szCs w:val="20"/>
            </w:rPr>
            <w:fldChar w:fldCharType="end"/>
          </w:r>
        </w:p>
        <w:p w14:paraId="4950CFAC">
          <w:pPr>
            <w:tabs>
              <w:tab w:val="right" w:leader="dot" w:pos="8720"/>
            </w:tabs>
            <w:spacing w:before="63" w:line="193" w:lineRule="auto"/>
            <w:ind w:left="844"/>
            <w:rPr>
              <w:rFonts w:ascii="Times New Roman" w:hAnsi="Times New Roman" w:eastAsia="Times New Roman" w:cs="Times New Roman"/>
              <w:sz w:val="20"/>
              <w:szCs w:val="20"/>
            </w:rPr>
          </w:pPr>
          <w:bookmarkStart w:id="96" w:name="bookmark193"/>
          <w:bookmarkEnd w:id="96"/>
          <w:r>
            <w:fldChar w:fldCharType="begin"/>
          </w:r>
          <w:r>
            <w:instrText xml:space="preserve"> HYPERLINK \l "bookmark194" </w:instrText>
          </w:r>
          <w:r>
            <w:fldChar w:fldCharType="separate"/>
          </w:r>
          <w:r>
            <w:rPr>
              <w:rFonts w:ascii="Times New Roman" w:hAnsi="Times New Roman" w:eastAsia="Times New Roman" w:cs="Times New Roman"/>
              <w:spacing w:val="6"/>
              <w:sz w:val="20"/>
              <w:szCs w:val="20"/>
            </w:rPr>
            <w:t xml:space="preserve">4.1.5 </w:t>
          </w:r>
          <w:r>
            <w:rPr>
              <w:rFonts w:ascii="宋体" w:hAnsi="宋体" w:eastAsia="宋体" w:cs="宋体"/>
              <w:spacing w:val="6"/>
              <w:sz w:val="20"/>
              <w:szCs w:val="20"/>
            </w:rPr>
            <w:t>污染物排放量核算</w:t>
          </w:r>
          <w:r>
            <w:rPr>
              <w:rFonts w:ascii="宋体" w:hAnsi="宋体" w:eastAsia="宋体" w:cs="宋体"/>
              <w:spacing w:val="-47"/>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158</w:t>
          </w:r>
          <w:r>
            <w:rPr>
              <w:rFonts w:ascii="Times New Roman" w:hAnsi="Times New Roman" w:eastAsia="Times New Roman" w:cs="Times New Roman"/>
              <w:spacing w:val="-3"/>
              <w:sz w:val="20"/>
              <w:szCs w:val="20"/>
            </w:rPr>
            <w:fldChar w:fldCharType="end"/>
          </w:r>
        </w:p>
        <w:p w14:paraId="0022852E">
          <w:pPr>
            <w:tabs>
              <w:tab w:val="right" w:leader="dot" w:pos="8720"/>
            </w:tabs>
            <w:spacing w:before="63" w:line="193" w:lineRule="auto"/>
            <w:ind w:left="844"/>
            <w:rPr>
              <w:rFonts w:ascii="Times New Roman" w:hAnsi="Times New Roman" w:eastAsia="Times New Roman" w:cs="Times New Roman"/>
              <w:sz w:val="20"/>
              <w:szCs w:val="20"/>
            </w:rPr>
          </w:pPr>
          <w:bookmarkStart w:id="97" w:name="bookmark195"/>
          <w:bookmarkEnd w:id="97"/>
          <w:r>
            <w:fldChar w:fldCharType="begin"/>
          </w:r>
          <w:r>
            <w:instrText xml:space="preserve"> HYPERLINK \l "bookmark196" </w:instrText>
          </w:r>
          <w:r>
            <w:fldChar w:fldCharType="separate"/>
          </w:r>
          <w:r>
            <w:rPr>
              <w:rFonts w:ascii="Times New Roman" w:hAnsi="Times New Roman" w:eastAsia="Times New Roman" w:cs="Times New Roman"/>
              <w:spacing w:val="7"/>
              <w:sz w:val="20"/>
              <w:szCs w:val="20"/>
            </w:rPr>
            <w:t xml:space="preserve">4.1.6 </w:t>
          </w:r>
          <w:r>
            <w:rPr>
              <w:rFonts w:ascii="宋体" w:hAnsi="宋体" w:eastAsia="宋体" w:cs="宋体"/>
              <w:spacing w:val="7"/>
              <w:sz w:val="20"/>
              <w:szCs w:val="20"/>
            </w:rPr>
            <w:t>大气环境影响评价结论</w:t>
          </w:r>
          <w:r>
            <w:rPr>
              <w:rFonts w:ascii="宋体" w:hAnsi="宋体" w:eastAsia="宋体" w:cs="宋体"/>
              <w:spacing w:val="-55"/>
              <w:sz w:val="20"/>
              <w:szCs w:val="20"/>
            </w:rPr>
            <w:t xml:space="preserve"> </w:t>
          </w:r>
          <w:r>
            <w:rPr>
              <w:rFonts w:ascii="宋体" w:hAnsi="宋体" w:eastAsia="宋体" w:cs="宋体"/>
              <w:sz w:val="20"/>
              <w:szCs w:val="20"/>
            </w:rPr>
            <w:tab/>
          </w:r>
          <w:r>
            <w:rPr>
              <w:rFonts w:ascii="宋体" w:hAnsi="宋体" w:eastAsia="宋体" w:cs="宋体"/>
              <w:spacing w:val="-47"/>
              <w:sz w:val="20"/>
              <w:szCs w:val="20"/>
            </w:rPr>
            <w:t xml:space="preserve"> </w:t>
          </w:r>
          <w:r>
            <w:rPr>
              <w:rFonts w:ascii="Times New Roman" w:hAnsi="Times New Roman" w:eastAsia="Times New Roman" w:cs="Times New Roman"/>
              <w:spacing w:val="-3"/>
              <w:sz w:val="20"/>
              <w:szCs w:val="20"/>
            </w:rPr>
            <w:t>160</w:t>
          </w:r>
          <w:r>
            <w:rPr>
              <w:rFonts w:ascii="Times New Roman" w:hAnsi="Times New Roman" w:eastAsia="Times New Roman" w:cs="Times New Roman"/>
              <w:spacing w:val="-3"/>
              <w:sz w:val="20"/>
              <w:szCs w:val="20"/>
            </w:rPr>
            <w:fldChar w:fldCharType="end"/>
          </w:r>
        </w:p>
        <w:p w14:paraId="72A0AE7A">
          <w:pPr>
            <w:tabs>
              <w:tab w:val="right" w:leader="dot" w:pos="8720"/>
            </w:tabs>
            <w:spacing w:before="62" w:line="194" w:lineRule="auto"/>
            <w:ind w:left="424"/>
            <w:rPr>
              <w:rFonts w:ascii="Times New Roman" w:hAnsi="Times New Roman" w:eastAsia="Times New Roman" w:cs="Times New Roman"/>
              <w:sz w:val="20"/>
              <w:szCs w:val="20"/>
            </w:rPr>
          </w:pPr>
          <w:bookmarkStart w:id="98" w:name="bookmark197"/>
          <w:bookmarkEnd w:id="98"/>
          <w:r>
            <w:fldChar w:fldCharType="begin"/>
          </w:r>
          <w:r>
            <w:instrText xml:space="preserve"> HYPERLINK \l "bookmark198" </w:instrText>
          </w:r>
          <w:r>
            <w:fldChar w:fldCharType="separate"/>
          </w:r>
          <w:r>
            <w:rPr>
              <w:rFonts w:ascii="Times New Roman" w:hAnsi="Times New Roman" w:eastAsia="Times New Roman" w:cs="Times New Roman"/>
              <w:spacing w:val="8"/>
              <w:sz w:val="20"/>
              <w:szCs w:val="20"/>
            </w:rPr>
            <w:t xml:space="preserve">4.2 </w:t>
          </w:r>
          <w:r>
            <w:rPr>
              <w:rFonts w:ascii="宋体" w:hAnsi="宋体" w:eastAsia="宋体" w:cs="宋体"/>
              <w:spacing w:val="8"/>
              <w:sz w:val="20"/>
              <w:szCs w:val="20"/>
            </w:rPr>
            <w:t>地表水水环境影响分析与评价</w:t>
          </w:r>
          <w:r>
            <w:rPr>
              <w:rFonts w:ascii="宋体" w:hAnsi="宋体" w:eastAsia="宋体" w:cs="宋体"/>
              <w:spacing w:val="-56"/>
              <w:sz w:val="20"/>
              <w:szCs w:val="20"/>
            </w:rPr>
            <w:t xml:space="preserve"> </w:t>
          </w:r>
          <w:r>
            <w:rPr>
              <w:rFonts w:ascii="宋体" w:hAnsi="宋体" w:eastAsia="宋体" w:cs="宋体"/>
              <w:sz w:val="20"/>
              <w:szCs w:val="20"/>
            </w:rPr>
            <w:tab/>
          </w:r>
          <w:r>
            <w:rPr>
              <w:rFonts w:ascii="宋体" w:hAnsi="宋体" w:eastAsia="宋体" w:cs="宋体"/>
              <w:spacing w:val="-48"/>
              <w:sz w:val="20"/>
              <w:szCs w:val="20"/>
            </w:rPr>
            <w:t xml:space="preserve"> </w:t>
          </w:r>
          <w:r>
            <w:rPr>
              <w:rFonts w:ascii="Times New Roman" w:hAnsi="Times New Roman" w:eastAsia="Times New Roman" w:cs="Times New Roman"/>
              <w:spacing w:val="-3"/>
              <w:sz w:val="20"/>
              <w:szCs w:val="20"/>
            </w:rPr>
            <w:t>163</w:t>
          </w:r>
          <w:r>
            <w:rPr>
              <w:rFonts w:ascii="Times New Roman" w:hAnsi="Times New Roman" w:eastAsia="Times New Roman" w:cs="Times New Roman"/>
              <w:spacing w:val="-3"/>
              <w:sz w:val="20"/>
              <w:szCs w:val="20"/>
            </w:rPr>
            <w:fldChar w:fldCharType="end"/>
          </w:r>
        </w:p>
        <w:p w14:paraId="51478E54">
          <w:pPr>
            <w:tabs>
              <w:tab w:val="right" w:leader="dot" w:pos="8720"/>
            </w:tabs>
            <w:spacing w:before="63" w:line="228" w:lineRule="auto"/>
            <w:ind w:left="844"/>
            <w:rPr>
              <w:rFonts w:ascii="Times New Roman" w:hAnsi="Times New Roman" w:eastAsia="Times New Roman" w:cs="Times New Roman"/>
              <w:sz w:val="20"/>
              <w:szCs w:val="20"/>
            </w:rPr>
          </w:pPr>
          <w:bookmarkStart w:id="99" w:name="bookmark199"/>
          <w:bookmarkEnd w:id="99"/>
          <w:r>
            <w:fldChar w:fldCharType="begin"/>
          </w:r>
          <w:r>
            <w:instrText xml:space="preserve"> HYPERLINK \l "bookmark200" </w:instrText>
          </w:r>
          <w:r>
            <w:fldChar w:fldCharType="separate"/>
          </w:r>
          <w:r>
            <w:rPr>
              <w:rFonts w:ascii="Times New Roman" w:hAnsi="Times New Roman" w:eastAsia="Times New Roman" w:cs="Times New Roman"/>
              <w:spacing w:val="6"/>
              <w:sz w:val="20"/>
              <w:szCs w:val="20"/>
            </w:rPr>
            <w:t xml:space="preserve">4.2.1 </w:t>
          </w:r>
          <w:r>
            <w:rPr>
              <w:rFonts w:ascii="宋体" w:hAnsi="宋体" w:eastAsia="宋体" w:cs="宋体"/>
              <w:spacing w:val="6"/>
              <w:sz w:val="20"/>
              <w:szCs w:val="20"/>
            </w:rPr>
            <w:t>项目用排水情况</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163</w:t>
          </w:r>
          <w:r>
            <w:rPr>
              <w:rFonts w:ascii="Times New Roman" w:hAnsi="Times New Roman" w:eastAsia="Times New Roman" w:cs="Times New Roman"/>
              <w:spacing w:val="-3"/>
              <w:sz w:val="20"/>
              <w:szCs w:val="20"/>
            </w:rPr>
            <w:fldChar w:fldCharType="end"/>
          </w:r>
        </w:p>
      </w:sdtContent>
    </w:sdt>
    <w:p w14:paraId="1D6B8D89">
      <w:pPr>
        <w:spacing w:line="228" w:lineRule="auto"/>
        <w:rPr>
          <w:rFonts w:ascii="Times New Roman" w:hAnsi="Times New Roman" w:eastAsia="Times New Roman" w:cs="Times New Roman"/>
          <w:sz w:val="20"/>
          <w:szCs w:val="20"/>
        </w:rPr>
        <w:sectPr>
          <w:footerReference r:id="rId9" w:type="default"/>
          <w:pgSz w:w="11906" w:h="16839"/>
          <w:pgMar w:top="1235" w:right="1587" w:bottom="1086" w:left="1588" w:header="925" w:footer="872" w:gutter="0"/>
          <w:cols w:space="720" w:num="1"/>
        </w:sectPr>
      </w:pPr>
    </w:p>
    <w:sdt>
      <w:sdtPr>
        <w:rPr>
          <w:rFonts w:ascii="Times New Roman" w:hAnsi="Times New Roman" w:eastAsia="Times New Roman" w:cs="Times New Roman"/>
          <w:sz w:val="20"/>
          <w:szCs w:val="20"/>
        </w:rPr>
        <w:id w:val="147466686"/>
        <w:docPartObj>
          <w:docPartGallery w:val="Table of Contents"/>
          <w:docPartUnique/>
        </w:docPartObj>
      </w:sdtPr>
      <w:sdtEndPr>
        <w:rPr>
          <w:rFonts w:ascii="Times New Roman" w:hAnsi="Times New Roman" w:eastAsia="Times New Roman" w:cs="Times New Roman"/>
          <w:sz w:val="20"/>
          <w:szCs w:val="20"/>
        </w:rPr>
      </w:sdtEndPr>
      <w:sdtContent>
        <w:p w14:paraId="258333C5">
          <w:pPr>
            <w:tabs>
              <w:tab w:val="right" w:leader="dot" w:pos="8720"/>
            </w:tabs>
            <w:spacing w:before="212" w:line="193" w:lineRule="auto"/>
            <w:ind w:left="844"/>
            <w:rPr>
              <w:rFonts w:ascii="Times New Roman" w:hAnsi="Times New Roman" w:eastAsia="Times New Roman" w:cs="Times New Roman"/>
              <w:sz w:val="20"/>
              <w:szCs w:val="20"/>
            </w:rPr>
          </w:pPr>
          <w:r>
            <w:pict>
              <v:shape id="_x0000_s1028" o:spid="_x0000_s1028" style="position:absolute;left:0pt;margin-left:79.4pt;margin-top:62.5pt;height:0.75pt;width:436.55pt;mso-position-horizontal-relative:page;mso-position-vertical-relative:page;z-index:251662336;mso-width-relative:page;mso-height-relative:page;" fillcolor="#000000" filled="t" stroked="f" coordsize="8730,15" o:allowincell="f" path="m0,0l8730,0,8730,14,0,14,0,0xe">
                <v:path/>
                <v:fill on="t" focussize="0,0"/>
                <v:stroke on="f"/>
                <v:imagedata o:title=""/>
                <o:lock v:ext="edit"/>
              </v:shape>
            </w:pict>
          </w:r>
          <w:bookmarkStart w:id="100" w:name="bookmark201"/>
          <w:bookmarkEnd w:id="100"/>
          <w:r>
            <w:fldChar w:fldCharType="begin"/>
          </w:r>
          <w:r>
            <w:instrText xml:space="preserve"> HYPERLINK \l "bookmark202" </w:instrText>
          </w:r>
          <w:r>
            <w:fldChar w:fldCharType="separate"/>
          </w:r>
          <w:r>
            <w:rPr>
              <w:rFonts w:ascii="Times New Roman" w:hAnsi="Times New Roman" w:eastAsia="Times New Roman" w:cs="Times New Roman"/>
              <w:spacing w:val="7"/>
              <w:sz w:val="20"/>
              <w:szCs w:val="20"/>
            </w:rPr>
            <w:t xml:space="preserve">4.2.2 </w:t>
          </w:r>
          <w:r>
            <w:rPr>
              <w:rFonts w:ascii="宋体" w:hAnsi="宋体" w:eastAsia="宋体" w:cs="宋体"/>
              <w:spacing w:val="7"/>
              <w:sz w:val="20"/>
              <w:szCs w:val="20"/>
            </w:rPr>
            <w:t>污水处理厂可接纳性分析</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51"/>
              <w:sz w:val="20"/>
              <w:szCs w:val="20"/>
            </w:rPr>
            <w:t xml:space="preserve"> </w:t>
          </w:r>
          <w:r>
            <w:rPr>
              <w:rFonts w:ascii="Times New Roman" w:hAnsi="Times New Roman" w:eastAsia="Times New Roman" w:cs="Times New Roman"/>
              <w:spacing w:val="-3"/>
              <w:sz w:val="20"/>
              <w:szCs w:val="20"/>
            </w:rPr>
            <w:t>163</w:t>
          </w:r>
          <w:r>
            <w:rPr>
              <w:rFonts w:ascii="Times New Roman" w:hAnsi="Times New Roman" w:eastAsia="Times New Roman" w:cs="Times New Roman"/>
              <w:spacing w:val="-3"/>
              <w:sz w:val="20"/>
              <w:szCs w:val="20"/>
            </w:rPr>
            <w:fldChar w:fldCharType="end"/>
          </w:r>
        </w:p>
        <w:p w14:paraId="5D96E6D4">
          <w:pPr>
            <w:tabs>
              <w:tab w:val="right" w:leader="dot" w:pos="8720"/>
            </w:tabs>
            <w:spacing w:before="64" w:line="193" w:lineRule="auto"/>
            <w:ind w:left="844"/>
            <w:rPr>
              <w:rFonts w:ascii="Times New Roman" w:hAnsi="Times New Roman" w:eastAsia="Times New Roman" w:cs="Times New Roman"/>
              <w:sz w:val="20"/>
              <w:szCs w:val="20"/>
            </w:rPr>
          </w:pPr>
          <w:bookmarkStart w:id="101" w:name="bookmark203"/>
          <w:bookmarkEnd w:id="101"/>
          <w:r>
            <w:fldChar w:fldCharType="begin"/>
          </w:r>
          <w:r>
            <w:instrText xml:space="preserve"> HYPERLINK \l "bookmark204" </w:instrText>
          </w:r>
          <w:r>
            <w:fldChar w:fldCharType="separate"/>
          </w:r>
          <w:r>
            <w:rPr>
              <w:rFonts w:ascii="Times New Roman" w:hAnsi="Times New Roman" w:eastAsia="Times New Roman" w:cs="Times New Roman"/>
              <w:spacing w:val="7"/>
              <w:sz w:val="20"/>
              <w:szCs w:val="20"/>
            </w:rPr>
            <w:t xml:space="preserve">4.2.3 </w:t>
          </w:r>
          <w:r>
            <w:rPr>
              <w:rFonts w:ascii="宋体" w:hAnsi="宋体" w:eastAsia="宋体" w:cs="宋体"/>
              <w:spacing w:val="7"/>
              <w:sz w:val="20"/>
              <w:szCs w:val="20"/>
            </w:rPr>
            <w:t>地表水环境影响评价</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47"/>
              <w:sz w:val="20"/>
              <w:szCs w:val="20"/>
            </w:rPr>
            <w:t xml:space="preserve"> </w:t>
          </w:r>
          <w:r>
            <w:rPr>
              <w:rFonts w:ascii="Times New Roman" w:hAnsi="Times New Roman" w:eastAsia="Times New Roman" w:cs="Times New Roman"/>
              <w:spacing w:val="-3"/>
              <w:sz w:val="20"/>
              <w:szCs w:val="20"/>
            </w:rPr>
            <w:t>163</w:t>
          </w:r>
          <w:r>
            <w:rPr>
              <w:rFonts w:ascii="Times New Roman" w:hAnsi="Times New Roman" w:eastAsia="Times New Roman" w:cs="Times New Roman"/>
              <w:spacing w:val="-3"/>
              <w:sz w:val="20"/>
              <w:szCs w:val="20"/>
            </w:rPr>
            <w:fldChar w:fldCharType="end"/>
          </w:r>
        </w:p>
        <w:p w14:paraId="310C53CD">
          <w:pPr>
            <w:tabs>
              <w:tab w:val="right" w:leader="dot" w:pos="8720"/>
            </w:tabs>
            <w:spacing w:before="62" w:line="194" w:lineRule="auto"/>
            <w:ind w:left="844"/>
            <w:rPr>
              <w:rFonts w:ascii="Times New Roman" w:hAnsi="Times New Roman" w:eastAsia="Times New Roman" w:cs="Times New Roman"/>
              <w:sz w:val="20"/>
              <w:szCs w:val="20"/>
            </w:rPr>
          </w:pPr>
          <w:bookmarkStart w:id="102" w:name="bookmark205"/>
          <w:bookmarkEnd w:id="102"/>
          <w:r>
            <w:fldChar w:fldCharType="begin"/>
          </w:r>
          <w:r>
            <w:instrText xml:space="preserve"> HYPERLINK \l "bookmark206" </w:instrText>
          </w:r>
          <w:r>
            <w:fldChar w:fldCharType="separate"/>
          </w:r>
          <w:r>
            <w:rPr>
              <w:rFonts w:ascii="Times New Roman" w:hAnsi="Times New Roman" w:eastAsia="Times New Roman" w:cs="Times New Roman"/>
              <w:spacing w:val="7"/>
              <w:sz w:val="20"/>
              <w:szCs w:val="20"/>
            </w:rPr>
            <w:t xml:space="preserve">4.2.4 </w:t>
          </w:r>
          <w:r>
            <w:rPr>
              <w:rFonts w:ascii="宋体" w:hAnsi="宋体" w:eastAsia="宋体" w:cs="宋体"/>
              <w:spacing w:val="7"/>
              <w:sz w:val="20"/>
              <w:szCs w:val="20"/>
            </w:rPr>
            <w:t>地表水环境影响评价自查表</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51"/>
              <w:sz w:val="20"/>
              <w:szCs w:val="20"/>
            </w:rPr>
            <w:t xml:space="preserve"> </w:t>
          </w:r>
          <w:r>
            <w:rPr>
              <w:rFonts w:ascii="Times New Roman" w:hAnsi="Times New Roman" w:eastAsia="Times New Roman" w:cs="Times New Roman"/>
              <w:spacing w:val="-3"/>
              <w:sz w:val="20"/>
              <w:szCs w:val="20"/>
            </w:rPr>
            <w:t>164</w:t>
          </w:r>
          <w:r>
            <w:rPr>
              <w:rFonts w:ascii="Times New Roman" w:hAnsi="Times New Roman" w:eastAsia="Times New Roman" w:cs="Times New Roman"/>
              <w:spacing w:val="-3"/>
              <w:sz w:val="20"/>
              <w:szCs w:val="20"/>
            </w:rPr>
            <w:fldChar w:fldCharType="end"/>
          </w:r>
        </w:p>
        <w:p w14:paraId="6977255F">
          <w:pPr>
            <w:tabs>
              <w:tab w:val="right" w:leader="dot" w:pos="8720"/>
            </w:tabs>
            <w:spacing w:before="63" w:line="193" w:lineRule="auto"/>
            <w:ind w:left="424"/>
            <w:rPr>
              <w:rFonts w:ascii="Times New Roman" w:hAnsi="Times New Roman" w:eastAsia="Times New Roman" w:cs="Times New Roman"/>
              <w:sz w:val="20"/>
              <w:szCs w:val="20"/>
            </w:rPr>
          </w:pPr>
          <w:bookmarkStart w:id="103" w:name="bookmark207"/>
          <w:bookmarkEnd w:id="103"/>
          <w:r>
            <w:fldChar w:fldCharType="begin"/>
          </w:r>
          <w:r>
            <w:instrText xml:space="preserve"> HYPERLINK \l "bookmark208" </w:instrText>
          </w:r>
          <w:r>
            <w:fldChar w:fldCharType="separate"/>
          </w:r>
          <w:r>
            <w:rPr>
              <w:rFonts w:ascii="Times New Roman" w:hAnsi="Times New Roman" w:eastAsia="Times New Roman" w:cs="Times New Roman"/>
              <w:spacing w:val="8"/>
              <w:sz w:val="20"/>
              <w:szCs w:val="20"/>
            </w:rPr>
            <w:t xml:space="preserve">4.3 </w:t>
          </w:r>
          <w:r>
            <w:rPr>
              <w:rFonts w:ascii="宋体" w:hAnsi="宋体" w:eastAsia="宋体" w:cs="宋体"/>
              <w:spacing w:val="8"/>
              <w:sz w:val="20"/>
              <w:szCs w:val="20"/>
            </w:rPr>
            <w:t>地下水环境影响分析与评价</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47"/>
              <w:sz w:val="20"/>
              <w:szCs w:val="20"/>
            </w:rPr>
            <w:t xml:space="preserve"> </w:t>
          </w:r>
          <w:r>
            <w:rPr>
              <w:rFonts w:ascii="Times New Roman" w:hAnsi="Times New Roman" w:eastAsia="Times New Roman" w:cs="Times New Roman"/>
              <w:spacing w:val="-3"/>
              <w:sz w:val="20"/>
              <w:szCs w:val="20"/>
            </w:rPr>
            <w:t>165</w:t>
          </w:r>
          <w:r>
            <w:rPr>
              <w:rFonts w:ascii="Times New Roman" w:hAnsi="Times New Roman" w:eastAsia="Times New Roman" w:cs="Times New Roman"/>
              <w:spacing w:val="-3"/>
              <w:sz w:val="20"/>
              <w:szCs w:val="20"/>
            </w:rPr>
            <w:fldChar w:fldCharType="end"/>
          </w:r>
        </w:p>
        <w:p w14:paraId="34963B34">
          <w:pPr>
            <w:tabs>
              <w:tab w:val="right" w:leader="dot" w:pos="8720"/>
            </w:tabs>
            <w:spacing w:before="62" w:line="193" w:lineRule="auto"/>
            <w:ind w:left="844"/>
            <w:rPr>
              <w:rFonts w:ascii="Times New Roman" w:hAnsi="Times New Roman" w:eastAsia="Times New Roman" w:cs="Times New Roman"/>
              <w:sz w:val="20"/>
              <w:szCs w:val="20"/>
            </w:rPr>
          </w:pPr>
          <w:bookmarkStart w:id="104" w:name="bookmark209"/>
          <w:bookmarkEnd w:id="104"/>
          <w:r>
            <w:fldChar w:fldCharType="begin"/>
          </w:r>
          <w:r>
            <w:instrText xml:space="preserve"> HYPERLINK \l "bookmark210" </w:instrText>
          </w:r>
          <w:r>
            <w:fldChar w:fldCharType="separate"/>
          </w:r>
          <w:r>
            <w:rPr>
              <w:rFonts w:ascii="Times New Roman" w:hAnsi="Times New Roman" w:eastAsia="Times New Roman" w:cs="Times New Roman"/>
              <w:spacing w:val="6"/>
              <w:sz w:val="20"/>
              <w:szCs w:val="20"/>
            </w:rPr>
            <w:t xml:space="preserve">4.3.1 </w:t>
          </w:r>
          <w:r>
            <w:rPr>
              <w:rFonts w:ascii="宋体" w:hAnsi="宋体" w:eastAsia="宋体" w:cs="宋体"/>
              <w:spacing w:val="6"/>
              <w:sz w:val="20"/>
              <w:szCs w:val="20"/>
            </w:rPr>
            <w:t>环境水文地质条件</w:t>
          </w:r>
          <w:r>
            <w:rPr>
              <w:rFonts w:ascii="宋体" w:hAnsi="宋体" w:eastAsia="宋体" w:cs="宋体"/>
              <w:spacing w:val="-47"/>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165</w:t>
          </w:r>
          <w:r>
            <w:rPr>
              <w:rFonts w:ascii="Times New Roman" w:hAnsi="Times New Roman" w:eastAsia="Times New Roman" w:cs="Times New Roman"/>
              <w:spacing w:val="-3"/>
              <w:sz w:val="20"/>
              <w:szCs w:val="20"/>
            </w:rPr>
            <w:fldChar w:fldCharType="end"/>
          </w:r>
        </w:p>
        <w:p w14:paraId="77293CB5">
          <w:pPr>
            <w:tabs>
              <w:tab w:val="right" w:leader="dot" w:pos="8720"/>
            </w:tabs>
            <w:spacing w:before="62" w:line="194" w:lineRule="auto"/>
            <w:ind w:left="844"/>
            <w:rPr>
              <w:rFonts w:ascii="Times New Roman" w:hAnsi="Times New Roman" w:eastAsia="Times New Roman" w:cs="Times New Roman"/>
              <w:sz w:val="20"/>
              <w:szCs w:val="20"/>
            </w:rPr>
          </w:pPr>
          <w:bookmarkStart w:id="105" w:name="bookmark211"/>
          <w:bookmarkEnd w:id="105"/>
          <w:r>
            <w:fldChar w:fldCharType="begin"/>
          </w:r>
          <w:r>
            <w:instrText xml:space="preserve"> HYPERLINK \l "bookmark212" </w:instrText>
          </w:r>
          <w:r>
            <w:fldChar w:fldCharType="separate"/>
          </w:r>
          <w:r>
            <w:rPr>
              <w:rFonts w:ascii="Times New Roman" w:hAnsi="Times New Roman" w:eastAsia="Times New Roman" w:cs="Times New Roman"/>
              <w:spacing w:val="6"/>
              <w:sz w:val="20"/>
              <w:szCs w:val="20"/>
            </w:rPr>
            <w:t xml:space="preserve">4.3.2 </w:t>
          </w:r>
          <w:r>
            <w:rPr>
              <w:rFonts w:ascii="宋体" w:hAnsi="宋体" w:eastAsia="宋体" w:cs="宋体"/>
              <w:spacing w:val="6"/>
              <w:sz w:val="20"/>
              <w:szCs w:val="20"/>
            </w:rPr>
            <w:t>地下水影响分析</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176</w:t>
          </w:r>
          <w:r>
            <w:rPr>
              <w:rFonts w:ascii="Times New Roman" w:hAnsi="Times New Roman" w:eastAsia="Times New Roman" w:cs="Times New Roman"/>
              <w:spacing w:val="-3"/>
              <w:sz w:val="20"/>
              <w:szCs w:val="20"/>
            </w:rPr>
            <w:fldChar w:fldCharType="end"/>
          </w:r>
        </w:p>
        <w:p w14:paraId="39A73982">
          <w:pPr>
            <w:tabs>
              <w:tab w:val="right" w:leader="dot" w:pos="8720"/>
            </w:tabs>
            <w:spacing w:before="63" w:line="193" w:lineRule="auto"/>
            <w:ind w:left="424"/>
            <w:rPr>
              <w:rFonts w:ascii="Times New Roman" w:hAnsi="Times New Roman" w:eastAsia="Times New Roman" w:cs="Times New Roman"/>
              <w:sz w:val="20"/>
              <w:szCs w:val="20"/>
            </w:rPr>
          </w:pPr>
          <w:bookmarkStart w:id="106" w:name="bookmark213"/>
          <w:bookmarkEnd w:id="106"/>
          <w:r>
            <w:fldChar w:fldCharType="begin"/>
          </w:r>
          <w:r>
            <w:instrText xml:space="preserve"> HYPERLINK \l "bookmark214" </w:instrText>
          </w:r>
          <w:r>
            <w:fldChar w:fldCharType="separate"/>
          </w:r>
          <w:r>
            <w:rPr>
              <w:rFonts w:ascii="Times New Roman" w:hAnsi="Times New Roman" w:eastAsia="Times New Roman" w:cs="Times New Roman"/>
              <w:spacing w:val="7"/>
              <w:sz w:val="20"/>
              <w:szCs w:val="20"/>
            </w:rPr>
            <w:t xml:space="preserve">4.4 </w:t>
          </w:r>
          <w:r>
            <w:rPr>
              <w:rFonts w:ascii="宋体" w:hAnsi="宋体" w:eastAsia="宋体" w:cs="宋体"/>
              <w:spacing w:val="7"/>
              <w:sz w:val="20"/>
              <w:szCs w:val="20"/>
            </w:rPr>
            <w:t>声环境影响预测与评价</w:t>
          </w:r>
          <w:r>
            <w:rPr>
              <w:rFonts w:ascii="宋体" w:hAnsi="宋体" w:eastAsia="宋体" w:cs="宋体"/>
              <w:spacing w:val="-47"/>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186</w:t>
          </w:r>
          <w:r>
            <w:rPr>
              <w:rFonts w:ascii="Times New Roman" w:hAnsi="Times New Roman" w:eastAsia="Times New Roman" w:cs="Times New Roman"/>
              <w:spacing w:val="-3"/>
              <w:sz w:val="20"/>
              <w:szCs w:val="20"/>
            </w:rPr>
            <w:fldChar w:fldCharType="end"/>
          </w:r>
        </w:p>
        <w:p w14:paraId="22358B4E">
          <w:pPr>
            <w:tabs>
              <w:tab w:val="right" w:leader="dot" w:pos="8720"/>
            </w:tabs>
            <w:spacing w:before="62" w:line="193" w:lineRule="auto"/>
            <w:ind w:left="844"/>
            <w:rPr>
              <w:rFonts w:ascii="Times New Roman" w:hAnsi="Times New Roman" w:eastAsia="Times New Roman" w:cs="Times New Roman"/>
              <w:sz w:val="20"/>
              <w:szCs w:val="20"/>
            </w:rPr>
          </w:pPr>
          <w:bookmarkStart w:id="107" w:name="bookmark215"/>
          <w:bookmarkEnd w:id="107"/>
          <w:r>
            <w:fldChar w:fldCharType="begin"/>
          </w:r>
          <w:r>
            <w:instrText xml:space="preserve"> HYPERLINK \l "bookmark216" </w:instrText>
          </w:r>
          <w:r>
            <w:fldChar w:fldCharType="separate"/>
          </w:r>
          <w:r>
            <w:rPr>
              <w:rFonts w:ascii="Times New Roman" w:hAnsi="Times New Roman" w:eastAsia="Times New Roman" w:cs="Times New Roman"/>
              <w:spacing w:val="6"/>
              <w:sz w:val="20"/>
              <w:szCs w:val="20"/>
            </w:rPr>
            <w:t xml:space="preserve">4.4.1 </w:t>
          </w:r>
          <w:r>
            <w:rPr>
              <w:rFonts w:ascii="宋体" w:hAnsi="宋体" w:eastAsia="宋体" w:cs="宋体"/>
              <w:spacing w:val="6"/>
              <w:sz w:val="20"/>
              <w:szCs w:val="20"/>
            </w:rPr>
            <w:t>主要噪声源强</w:t>
          </w:r>
          <w:r>
            <w:rPr>
              <w:rFonts w:ascii="宋体" w:hAnsi="宋体" w:eastAsia="宋体" w:cs="宋体"/>
              <w:spacing w:val="-55"/>
              <w:sz w:val="20"/>
              <w:szCs w:val="20"/>
            </w:rPr>
            <w:t xml:space="preserve"> </w:t>
          </w:r>
          <w:r>
            <w:rPr>
              <w:rFonts w:ascii="宋体" w:hAnsi="宋体" w:eastAsia="宋体" w:cs="宋体"/>
              <w:sz w:val="20"/>
              <w:szCs w:val="20"/>
            </w:rPr>
            <w:tab/>
          </w:r>
          <w:r>
            <w:rPr>
              <w:rFonts w:ascii="宋体" w:hAnsi="宋体" w:eastAsia="宋体" w:cs="宋体"/>
              <w:spacing w:val="-39"/>
              <w:sz w:val="20"/>
              <w:szCs w:val="20"/>
            </w:rPr>
            <w:t xml:space="preserve"> </w:t>
          </w:r>
          <w:r>
            <w:rPr>
              <w:rFonts w:ascii="Times New Roman" w:hAnsi="Times New Roman" w:eastAsia="Times New Roman" w:cs="Times New Roman"/>
              <w:spacing w:val="-3"/>
              <w:sz w:val="20"/>
              <w:szCs w:val="20"/>
            </w:rPr>
            <w:t>186</w:t>
          </w:r>
          <w:r>
            <w:rPr>
              <w:rFonts w:ascii="Times New Roman" w:hAnsi="Times New Roman" w:eastAsia="Times New Roman" w:cs="Times New Roman"/>
              <w:spacing w:val="-3"/>
              <w:sz w:val="20"/>
              <w:szCs w:val="20"/>
            </w:rPr>
            <w:fldChar w:fldCharType="end"/>
          </w:r>
        </w:p>
        <w:p w14:paraId="009A35FA">
          <w:pPr>
            <w:tabs>
              <w:tab w:val="right" w:leader="dot" w:pos="8720"/>
            </w:tabs>
            <w:spacing w:before="64" w:line="194" w:lineRule="auto"/>
            <w:ind w:left="844"/>
            <w:rPr>
              <w:rFonts w:ascii="Times New Roman" w:hAnsi="Times New Roman" w:eastAsia="Times New Roman" w:cs="Times New Roman"/>
              <w:sz w:val="20"/>
              <w:szCs w:val="20"/>
            </w:rPr>
          </w:pPr>
          <w:bookmarkStart w:id="108" w:name="bookmark217"/>
          <w:bookmarkEnd w:id="108"/>
          <w:r>
            <w:fldChar w:fldCharType="begin"/>
          </w:r>
          <w:r>
            <w:instrText xml:space="preserve"> HYPERLINK \l "bookmark218" </w:instrText>
          </w:r>
          <w:r>
            <w:fldChar w:fldCharType="separate"/>
          </w:r>
          <w:r>
            <w:rPr>
              <w:rFonts w:ascii="Times New Roman" w:hAnsi="Times New Roman" w:eastAsia="Times New Roman" w:cs="Times New Roman"/>
              <w:spacing w:val="5"/>
              <w:sz w:val="20"/>
              <w:szCs w:val="20"/>
            </w:rPr>
            <w:t xml:space="preserve">4.4.2 </w:t>
          </w:r>
          <w:r>
            <w:rPr>
              <w:rFonts w:ascii="宋体" w:hAnsi="宋体" w:eastAsia="宋体" w:cs="宋体"/>
              <w:spacing w:val="5"/>
              <w:sz w:val="20"/>
              <w:szCs w:val="20"/>
            </w:rPr>
            <w:t>预测模式</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35"/>
              <w:sz w:val="20"/>
              <w:szCs w:val="20"/>
            </w:rPr>
            <w:t xml:space="preserve"> </w:t>
          </w:r>
          <w:r>
            <w:rPr>
              <w:rFonts w:ascii="Times New Roman" w:hAnsi="Times New Roman" w:eastAsia="Times New Roman" w:cs="Times New Roman"/>
              <w:spacing w:val="-3"/>
              <w:sz w:val="20"/>
              <w:szCs w:val="20"/>
            </w:rPr>
            <w:t>186</w:t>
          </w:r>
          <w:r>
            <w:rPr>
              <w:rFonts w:ascii="Times New Roman" w:hAnsi="Times New Roman" w:eastAsia="Times New Roman" w:cs="Times New Roman"/>
              <w:spacing w:val="-3"/>
              <w:sz w:val="20"/>
              <w:szCs w:val="20"/>
            </w:rPr>
            <w:fldChar w:fldCharType="end"/>
          </w:r>
        </w:p>
        <w:p w14:paraId="4CD6224F">
          <w:pPr>
            <w:tabs>
              <w:tab w:val="right" w:leader="dot" w:pos="8720"/>
            </w:tabs>
            <w:spacing w:before="64" w:line="193" w:lineRule="auto"/>
            <w:ind w:left="844"/>
            <w:rPr>
              <w:rFonts w:ascii="Times New Roman" w:hAnsi="Times New Roman" w:eastAsia="Times New Roman" w:cs="Times New Roman"/>
              <w:sz w:val="20"/>
              <w:szCs w:val="20"/>
            </w:rPr>
          </w:pPr>
          <w:bookmarkStart w:id="109" w:name="bookmark219"/>
          <w:bookmarkEnd w:id="109"/>
          <w:r>
            <w:fldChar w:fldCharType="begin"/>
          </w:r>
          <w:r>
            <w:instrText xml:space="preserve"> HYPERLINK \l "bookmark220" </w:instrText>
          </w:r>
          <w:r>
            <w:fldChar w:fldCharType="separate"/>
          </w:r>
          <w:r>
            <w:rPr>
              <w:rFonts w:ascii="Times New Roman" w:hAnsi="Times New Roman" w:eastAsia="Times New Roman" w:cs="Times New Roman"/>
              <w:spacing w:val="6"/>
              <w:sz w:val="20"/>
              <w:szCs w:val="20"/>
            </w:rPr>
            <w:t>4.4.3</w:t>
          </w:r>
          <w:r>
            <w:rPr>
              <w:rFonts w:ascii="Times New Roman" w:hAnsi="Times New Roman" w:eastAsia="Times New Roman" w:cs="Times New Roman"/>
              <w:spacing w:val="20"/>
              <w:w w:val="101"/>
              <w:sz w:val="20"/>
              <w:szCs w:val="20"/>
            </w:rPr>
            <w:t xml:space="preserve"> </w:t>
          </w:r>
          <w:r>
            <w:rPr>
              <w:rFonts w:ascii="宋体" w:hAnsi="宋体" w:eastAsia="宋体" w:cs="宋体"/>
              <w:spacing w:val="6"/>
              <w:sz w:val="20"/>
              <w:szCs w:val="20"/>
            </w:rPr>
            <w:t>噪声预测结果与评价</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47"/>
              <w:sz w:val="20"/>
              <w:szCs w:val="20"/>
            </w:rPr>
            <w:t xml:space="preserve"> </w:t>
          </w:r>
          <w:r>
            <w:rPr>
              <w:rFonts w:ascii="Times New Roman" w:hAnsi="Times New Roman" w:eastAsia="Times New Roman" w:cs="Times New Roman"/>
              <w:spacing w:val="-3"/>
              <w:sz w:val="20"/>
              <w:szCs w:val="20"/>
            </w:rPr>
            <w:t>192</w:t>
          </w:r>
          <w:r>
            <w:rPr>
              <w:rFonts w:ascii="Times New Roman" w:hAnsi="Times New Roman" w:eastAsia="Times New Roman" w:cs="Times New Roman"/>
              <w:spacing w:val="-3"/>
              <w:sz w:val="20"/>
              <w:szCs w:val="20"/>
            </w:rPr>
            <w:fldChar w:fldCharType="end"/>
          </w:r>
        </w:p>
        <w:p w14:paraId="6626C34E">
          <w:pPr>
            <w:tabs>
              <w:tab w:val="right" w:leader="dot" w:pos="8720"/>
            </w:tabs>
            <w:spacing w:before="62" w:line="193" w:lineRule="auto"/>
            <w:ind w:left="424"/>
            <w:rPr>
              <w:rFonts w:ascii="Times New Roman" w:hAnsi="Times New Roman" w:eastAsia="Times New Roman" w:cs="Times New Roman"/>
              <w:sz w:val="20"/>
              <w:szCs w:val="20"/>
            </w:rPr>
          </w:pPr>
          <w:bookmarkStart w:id="110" w:name="bookmark221"/>
          <w:bookmarkEnd w:id="110"/>
          <w:r>
            <w:fldChar w:fldCharType="begin"/>
          </w:r>
          <w:r>
            <w:instrText xml:space="preserve"> HYPERLINK \l "bookmark222" </w:instrText>
          </w:r>
          <w:r>
            <w:fldChar w:fldCharType="separate"/>
          </w:r>
          <w:r>
            <w:rPr>
              <w:rFonts w:ascii="Times New Roman" w:hAnsi="Times New Roman" w:eastAsia="Times New Roman" w:cs="Times New Roman"/>
              <w:spacing w:val="6"/>
              <w:sz w:val="20"/>
              <w:szCs w:val="20"/>
            </w:rPr>
            <w:t>4.5</w:t>
          </w:r>
          <w:r>
            <w:rPr>
              <w:rFonts w:ascii="Times New Roman" w:hAnsi="Times New Roman" w:eastAsia="Times New Roman" w:cs="Times New Roman"/>
              <w:spacing w:val="27"/>
              <w:w w:val="101"/>
              <w:sz w:val="20"/>
              <w:szCs w:val="20"/>
            </w:rPr>
            <w:t xml:space="preserve"> </w:t>
          </w:r>
          <w:r>
            <w:rPr>
              <w:rFonts w:ascii="宋体" w:hAnsi="宋体" w:eastAsia="宋体" w:cs="宋体"/>
              <w:spacing w:val="6"/>
              <w:sz w:val="20"/>
              <w:szCs w:val="20"/>
            </w:rPr>
            <w:t>固体废弃物影响分析</w:t>
          </w:r>
          <w:r>
            <w:rPr>
              <w:rFonts w:ascii="宋体" w:hAnsi="宋体" w:eastAsia="宋体" w:cs="宋体"/>
              <w:spacing w:val="-59"/>
              <w:sz w:val="20"/>
              <w:szCs w:val="20"/>
            </w:rPr>
            <w:t xml:space="preserve"> </w:t>
          </w:r>
          <w:r>
            <w:rPr>
              <w:rFonts w:ascii="宋体" w:hAnsi="宋体" w:eastAsia="宋体" w:cs="宋体"/>
              <w:sz w:val="20"/>
              <w:szCs w:val="20"/>
            </w:rPr>
            <w:tab/>
          </w:r>
          <w:r>
            <w:rPr>
              <w:rFonts w:ascii="宋体" w:hAnsi="宋体" w:eastAsia="宋体" w:cs="宋体"/>
              <w:spacing w:val="-40"/>
              <w:sz w:val="20"/>
              <w:szCs w:val="20"/>
            </w:rPr>
            <w:t xml:space="preserve"> </w:t>
          </w:r>
          <w:r>
            <w:rPr>
              <w:rFonts w:ascii="Times New Roman" w:hAnsi="Times New Roman" w:eastAsia="Times New Roman" w:cs="Times New Roman"/>
              <w:spacing w:val="-3"/>
              <w:sz w:val="20"/>
              <w:szCs w:val="20"/>
            </w:rPr>
            <w:t>194</w:t>
          </w:r>
          <w:r>
            <w:rPr>
              <w:rFonts w:ascii="Times New Roman" w:hAnsi="Times New Roman" w:eastAsia="Times New Roman" w:cs="Times New Roman"/>
              <w:spacing w:val="-3"/>
              <w:sz w:val="20"/>
              <w:szCs w:val="20"/>
            </w:rPr>
            <w:fldChar w:fldCharType="end"/>
          </w:r>
        </w:p>
        <w:p w14:paraId="1B4E385C">
          <w:pPr>
            <w:tabs>
              <w:tab w:val="right" w:leader="dot" w:pos="8720"/>
            </w:tabs>
            <w:spacing w:before="62" w:line="194" w:lineRule="auto"/>
            <w:ind w:left="844"/>
            <w:rPr>
              <w:rFonts w:ascii="Times New Roman" w:hAnsi="Times New Roman" w:eastAsia="Times New Roman" w:cs="Times New Roman"/>
              <w:sz w:val="20"/>
              <w:szCs w:val="20"/>
            </w:rPr>
          </w:pPr>
          <w:bookmarkStart w:id="111" w:name="bookmark223"/>
          <w:bookmarkEnd w:id="111"/>
          <w:r>
            <w:fldChar w:fldCharType="begin"/>
          </w:r>
          <w:r>
            <w:instrText xml:space="preserve"> HYPERLINK \l "bookmark224" </w:instrText>
          </w:r>
          <w:r>
            <w:fldChar w:fldCharType="separate"/>
          </w:r>
          <w:r>
            <w:rPr>
              <w:rFonts w:ascii="Times New Roman" w:hAnsi="Times New Roman" w:eastAsia="Times New Roman" w:cs="Times New Roman"/>
              <w:spacing w:val="7"/>
              <w:sz w:val="20"/>
              <w:szCs w:val="20"/>
            </w:rPr>
            <w:t xml:space="preserve">4.5.1 </w:t>
          </w:r>
          <w:r>
            <w:rPr>
              <w:rFonts w:ascii="宋体" w:hAnsi="宋体" w:eastAsia="宋体" w:cs="宋体"/>
              <w:spacing w:val="7"/>
              <w:sz w:val="20"/>
              <w:szCs w:val="20"/>
            </w:rPr>
            <w:t>一般固体废物处置措施</w:t>
          </w:r>
          <w:r>
            <w:rPr>
              <w:rFonts w:ascii="宋体" w:hAnsi="宋体" w:eastAsia="宋体" w:cs="宋体"/>
              <w:spacing w:val="-55"/>
              <w:sz w:val="20"/>
              <w:szCs w:val="20"/>
            </w:rPr>
            <w:t xml:space="preserve"> </w:t>
          </w:r>
          <w:r>
            <w:rPr>
              <w:rFonts w:ascii="宋体" w:hAnsi="宋体" w:eastAsia="宋体" w:cs="宋体"/>
              <w:sz w:val="20"/>
              <w:szCs w:val="20"/>
            </w:rPr>
            <w:tab/>
          </w:r>
          <w:r>
            <w:rPr>
              <w:rFonts w:ascii="宋体" w:hAnsi="宋体" w:eastAsia="宋体" w:cs="宋体"/>
              <w:spacing w:val="-47"/>
              <w:sz w:val="20"/>
              <w:szCs w:val="20"/>
            </w:rPr>
            <w:t xml:space="preserve"> </w:t>
          </w:r>
          <w:r>
            <w:rPr>
              <w:rFonts w:ascii="Times New Roman" w:hAnsi="Times New Roman" w:eastAsia="Times New Roman" w:cs="Times New Roman"/>
              <w:spacing w:val="-3"/>
              <w:sz w:val="20"/>
              <w:szCs w:val="20"/>
            </w:rPr>
            <w:t>194</w:t>
          </w:r>
          <w:r>
            <w:rPr>
              <w:rFonts w:ascii="Times New Roman" w:hAnsi="Times New Roman" w:eastAsia="Times New Roman" w:cs="Times New Roman"/>
              <w:spacing w:val="-3"/>
              <w:sz w:val="20"/>
              <w:szCs w:val="20"/>
            </w:rPr>
            <w:fldChar w:fldCharType="end"/>
          </w:r>
        </w:p>
        <w:p w14:paraId="70DF300F">
          <w:pPr>
            <w:tabs>
              <w:tab w:val="right" w:leader="dot" w:pos="8720"/>
            </w:tabs>
            <w:spacing w:before="64" w:line="193" w:lineRule="auto"/>
            <w:ind w:left="844"/>
            <w:rPr>
              <w:rFonts w:ascii="Times New Roman" w:hAnsi="Times New Roman" w:eastAsia="Times New Roman" w:cs="Times New Roman"/>
              <w:sz w:val="20"/>
              <w:szCs w:val="20"/>
            </w:rPr>
          </w:pPr>
          <w:bookmarkStart w:id="112" w:name="bookmark225"/>
          <w:bookmarkEnd w:id="112"/>
          <w:r>
            <w:fldChar w:fldCharType="begin"/>
          </w:r>
          <w:r>
            <w:instrText xml:space="preserve"> HYPERLINK \l "bookmark226" </w:instrText>
          </w:r>
          <w:r>
            <w:fldChar w:fldCharType="separate"/>
          </w:r>
          <w:r>
            <w:rPr>
              <w:rFonts w:ascii="Times New Roman" w:hAnsi="Times New Roman" w:eastAsia="Times New Roman" w:cs="Times New Roman"/>
              <w:spacing w:val="6"/>
              <w:sz w:val="20"/>
              <w:szCs w:val="20"/>
            </w:rPr>
            <w:t xml:space="preserve">4.5.2 </w:t>
          </w:r>
          <w:r>
            <w:rPr>
              <w:rFonts w:ascii="宋体" w:hAnsi="宋体" w:eastAsia="宋体" w:cs="宋体"/>
              <w:spacing w:val="6"/>
              <w:sz w:val="20"/>
              <w:szCs w:val="20"/>
            </w:rPr>
            <w:t>危险废物治理措施</w:t>
          </w:r>
          <w:r>
            <w:rPr>
              <w:rFonts w:ascii="宋体" w:hAnsi="宋体" w:eastAsia="宋体" w:cs="宋体"/>
              <w:spacing w:val="-47"/>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195</w:t>
          </w:r>
          <w:r>
            <w:rPr>
              <w:rFonts w:ascii="Times New Roman" w:hAnsi="Times New Roman" w:eastAsia="Times New Roman" w:cs="Times New Roman"/>
              <w:spacing w:val="-3"/>
              <w:sz w:val="20"/>
              <w:szCs w:val="20"/>
            </w:rPr>
            <w:fldChar w:fldCharType="end"/>
          </w:r>
        </w:p>
        <w:p w14:paraId="337F55FD">
          <w:pPr>
            <w:tabs>
              <w:tab w:val="right" w:leader="dot" w:pos="8720"/>
            </w:tabs>
            <w:spacing w:before="62" w:line="193" w:lineRule="auto"/>
            <w:ind w:left="844"/>
            <w:rPr>
              <w:rFonts w:ascii="Times New Roman" w:hAnsi="Times New Roman" w:eastAsia="Times New Roman" w:cs="Times New Roman"/>
              <w:sz w:val="20"/>
              <w:szCs w:val="20"/>
            </w:rPr>
          </w:pPr>
          <w:bookmarkStart w:id="113" w:name="bookmark227"/>
          <w:bookmarkEnd w:id="113"/>
          <w:r>
            <w:fldChar w:fldCharType="begin"/>
          </w:r>
          <w:r>
            <w:instrText xml:space="preserve"> HYPERLINK \l "bookmark228" </w:instrText>
          </w:r>
          <w:r>
            <w:fldChar w:fldCharType="separate"/>
          </w:r>
          <w:r>
            <w:rPr>
              <w:rFonts w:ascii="Times New Roman" w:hAnsi="Times New Roman" w:eastAsia="Times New Roman" w:cs="Times New Roman"/>
              <w:spacing w:val="6"/>
              <w:sz w:val="20"/>
              <w:szCs w:val="20"/>
            </w:rPr>
            <w:t xml:space="preserve">4.5.3 </w:t>
          </w:r>
          <w:r>
            <w:rPr>
              <w:rFonts w:ascii="宋体" w:hAnsi="宋体" w:eastAsia="宋体" w:cs="宋体"/>
              <w:spacing w:val="6"/>
              <w:sz w:val="20"/>
              <w:szCs w:val="20"/>
            </w:rPr>
            <w:t>其他固废治理措施</w:t>
          </w:r>
          <w:r>
            <w:rPr>
              <w:rFonts w:ascii="宋体" w:hAnsi="宋体" w:eastAsia="宋体" w:cs="宋体"/>
              <w:spacing w:val="-47"/>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195</w:t>
          </w:r>
          <w:r>
            <w:rPr>
              <w:rFonts w:ascii="Times New Roman" w:hAnsi="Times New Roman" w:eastAsia="Times New Roman" w:cs="Times New Roman"/>
              <w:spacing w:val="-3"/>
              <w:sz w:val="20"/>
              <w:szCs w:val="20"/>
            </w:rPr>
            <w:fldChar w:fldCharType="end"/>
          </w:r>
        </w:p>
        <w:p w14:paraId="0670F4D5">
          <w:pPr>
            <w:tabs>
              <w:tab w:val="right" w:leader="dot" w:pos="8720"/>
            </w:tabs>
            <w:spacing w:before="64" w:line="194" w:lineRule="auto"/>
            <w:ind w:left="844"/>
            <w:rPr>
              <w:rFonts w:ascii="Times New Roman" w:hAnsi="Times New Roman" w:eastAsia="Times New Roman" w:cs="Times New Roman"/>
              <w:sz w:val="20"/>
              <w:szCs w:val="20"/>
            </w:rPr>
          </w:pPr>
          <w:bookmarkStart w:id="114" w:name="bookmark229"/>
          <w:bookmarkEnd w:id="114"/>
          <w:r>
            <w:fldChar w:fldCharType="begin"/>
          </w:r>
          <w:r>
            <w:instrText xml:space="preserve"> HYPERLINK \l "bookmark230" </w:instrText>
          </w:r>
          <w:r>
            <w:fldChar w:fldCharType="separate"/>
          </w:r>
          <w:r>
            <w:rPr>
              <w:rFonts w:ascii="Times New Roman" w:hAnsi="Times New Roman" w:eastAsia="Times New Roman" w:cs="Times New Roman"/>
              <w:spacing w:val="6"/>
              <w:sz w:val="20"/>
              <w:szCs w:val="20"/>
            </w:rPr>
            <w:t xml:space="preserve">4.5.4 </w:t>
          </w:r>
          <w:r>
            <w:rPr>
              <w:rFonts w:ascii="宋体" w:hAnsi="宋体" w:eastAsia="宋体" w:cs="宋体"/>
              <w:spacing w:val="6"/>
              <w:sz w:val="20"/>
              <w:szCs w:val="20"/>
            </w:rPr>
            <w:t>环境影响分析</w:t>
          </w:r>
          <w:r>
            <w:rPr>
              <w:rFonts w:ascii="宋体" w:hAnsi="宋体" w:eastAsia="宋体" w:cs="宋体"/>
              <w:spacing w:val="-55"/>
              <w:sz w:val="20"/>
              <w:szCs w:val="20"/>
            </w:rPr>
            <w:t xml:space="preserve"> </w:t>
          </w:r>
          <w:r>
            <w:rPr>
              <w:rFonts w:ascii="宋体" w:hAnsi="宋体" w:eastAsia="宋体" w:cs="宋体"/>
              <w:sz w:val="20"/>
              <w:szCs w:val="20"/>
            </w:rPr>
            <w:tab/>
          </w:r>
          <w:r>
            <w:rPr>
              <w:rFonts w:ascii="宋体" w:hAnsi="宋体" w:eastAsia="宋体" w:cs="宋体"/>
              <w:spacing w:val="-39"/>
              <w:sz w:val="20"/>
              <w:szCs w:val="20"/>
            </w:rPr>
            <w:t xml:space="preserve"> </w:t>
          </w:r>
          <w:r>
            <w:rPr>
              <w:rFonts w:ascii="Times New Roman" w:hAnsi="Times New Roman" w:eastAsia="Times New Roman" w:cs="Times New Roman"/>
              <w:spacing w:val="-3"/>
              <w:sz w:val="20"/>
              <w:szCs w:val="20"/>
            </w:rPr>
            <w:t>195</w:t>
          </w:r>
          <w:r>
            <w:rPr>
              <w:rFonts w:ascii="Times New Roman" w:hAnsi="Times New Roman" w:eastAsia="Times New Roman" w:cs="Times New Roman"/>
              <w:spacing w:val="-3"/>
              <w:sz w:val="20"/>
              <w:szCs w:val="20"/>
            </w:rPr>
            <w:fldChar w:fldCharType="end"/>
          </w:r>
        </w:p>
        <w:p w14:paraId="08F02A1D">
          <w:pPr>
            <w:tabs>
              <w:tab w:val="right" w:leader="dot" w:pos="8720"/>
            </w:tabs>
            <w:spacing w:before="61" w:line="193" w:lineRule="auto"/>
            <w:ind w:left="424"/>
            <w:rPr>
              <w:rFonts w:ascii="Times New Roman" w:hAnsi="Times New Roman" w:eastAsia="Times New Roman" w:cs="Times New Roman"/>
              <w:sz w:val="20"/>
              <w:szCs w:val="20"/>
            </w:rPr>
          </w:pPr>
          <w:bookmarkStart w:id="115" w:name="bookmark231"/>
          <w:bookmarkEnd w:id="115"/>
          <w:r>
            <w:fldChar w:fldCharType="begin"/>
          </w:r>
          <w:r>
            <w:instrText xml:space="preserve"> HYPERLINK \l "bookmark232" </w:instrText>
          </w:r>
          <w:r>
            <w:fldChar w:fldCharType="separate"/>
          </w:r>
          <w:r>
            <w:rPr>
              <w:rFonts w:ascii="Times New Roman" w:hAnsi="Times New Roman" w:eastAsia="Times New Roman" w:cs="Times New Roman"/>
              <w:spacing w:val="7"/>
              <w:sz w:val="20"/>
              <w:szCs w:val="20"/>
            </w:rPr>
            <w:t xml:space="preserve">4.6 </w:t>
          </w:r>
          <w:r>
            <w:rPr>
              <w:rFonts w:ascii="宋体" w:hAnsi="宋体" w:eastAsia="宋体" w:cs="宋体"/>
              <w:spacing w:val="7"/>
              <w:sz w:val="20"/>
              <w:szCs w:val="20"/>
            </w:rPr>
            <w:t>土壤环境影响预测与评价</w:t>
          </w:r>
          <w:r>
            <w:rPr>
              <w:rFonts w:ascii="宋体" w:hAnsi="宋体" w:eastAsia="宋体" w:cs="宋体"/>
              <w:spacing w:val="-45"/>
              <w:sz w:val="20"/>
              <w:szCs w:val="20"/>
            </w:rPr>
            <w:t xml:space="preserve"> </w:t>
          </w:r>
          <w:r>
            <w:rPr>
              <w:rFonts w:ascii="宋体" w:hAnsi="宋体" w:eastAsia="宋体" w:cs="宋体"/>
              <w:sz w:val="20"/>
              <w:szCs w:val="20"/>
            </w:rPr>
            <w:tab/>
          </w:r>
          <w:r>
            <w:rPr>
              <w:rFonts w:ascii="宋体" w:hAnsi="宋体" w:eastAsia="宋体" w:cs="宋体"/>
              <w:spacing w:val="-44"/>
              <w:sz w:val="20"/>
              <w:szCs w:val="20"/>
            </w:rPr>
            <w:t xml:space="preserve"> </w:t>
          </w:r>
          <w:r>
            <w:rPr>
              <w:rFonts w:ascii="Times New Roman" w:hAnsi="Times New Roman" w:eastAsia="Times New Roman" w:cs="Times New Roman"/>
              <w:spacing w:val="-3"/>
              <w:sz w:val="20"/>
              <w:szCs w:val="20"/>
            </w:rPr>
            <w:t>196</w:t>
          </w:r>
          <w:r>
            <w:rPr>
              <w:rFonts w:ascii="Times New Roman" w:hAnsi="Times New Roman" w:eastAsia="Times New Roman" w:cs="Times New Roman"/>
              <w:spacing w:val="-3"/>
              <w:sz w:val="20"/>
              <w:szCs w:val="20"/>
            </w:rPr>
            <w:fldChar w:fldCharType="end"/>
          </w:r>
        </w:p>
        <w:p w14:paraId="1335143C">
          <w:pPr>
            <w:tabs>
              <w:tab w:val="right" w:leader="dot" w:pos="8720"/>
            </w:tabs>
            <w:spacing w:before="65" w:line="193" w:lineRule="auto"/>
            <w:ind w:left="844"/>
            <w:rPr>
              <w:rFonts w:ascii="Times New Roman" w:hAnsi="Times New Roman" w:eastAsia="Times New Roman" w:cs="Times New Roman"/>
              <w:sz w:val="20"/>
              <w:szCs w:val="20"/>
            </w:rPr>
          </w:pPr>
          <w:bookmarkStart w:id="116" w:name="bookmark233"/>
          <w:bookmarkEnd w:id="116"/>
          <w:r>
            <w:fldChar w:fldCharType="begin"/>
          </w:r>
          <w:r>
            <w:instrText xml:space="preserve"> HYPERLINK \l "bookmark234" </w:instrText>
          </w:r>
          <w:r>
            <w:fldChar w:fldCharType="separate"/>
          </w:r>
          <w:r>
            <w:rPr>
              <w:rFonts w:ascii="Times New Roman" w:hAnsi="Times New Roman" w:eastAsia="Times New Roman" w:cs="Times New Roman"/>
              <w:spacing w:val="6"/>
              <w:sz w:val="20"/>
              <w:szCs w:val="20"/>
            </w:rPr>
            <w:t xml:space="preserve">4.6.1 </w:t>
          </w:r>
          <w:r>
            <w:rPr>
              <w:rFonts w:ascii="宋体" w:hAnsi="宋体" w:eastAsia="宋体" w:cs="宋体"/>
              <w:spacing w:val="6"/>
              <w:sz w:val="20"/>
              <w:szCs w:val="20"/>
            </w:rPr>
            <w:t>土壤环境影响识别</w:t>
          </w:r>
          <w:r>
            <w:rPr>
              <w:rFonts w:ascii="宋体" w:hAnsi="宋体" w:eastAsia="宋体" w:cs="宋体"/>
              <w:spacing w:val="-47"/>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196</w:t>
          </w:r>
          <w:r>
            <w:rPr>
              <w:rFonts w:ascii="Times New Roman" w:hAnsi="Times New Roman" w:eastAsia="Times New Roman" w:cs="Times New Roman"/>
              <w:spacing w:val="-3"/>
              <w:sz w:val="20"/>
              <w:szCs w:val="20"/>
            </w:rPr>
            <w:fldChar w:fldCharType="end"/>
          </w:r>
        </w:p>
        <w:p w14:paraId="40D5B03F">
          <w:pPr>
            <w:tabs>
              <w:tab w:val="right" w:leader="dot" w:pos="8720"/>
            </w:tabs>
            <w:spacing w:before="62" w:line="194" w:lineRule="auto"/>
            <w:ind w:left="844"/>
            <w:rPr>
              <w:rFonts w:ascii="Times New Roman" w:hAnsi="Times New Roman" w:eastAsia="Times New Roman" w:cs="Times New Roman"/>
              <w:sz w:val="20"/>
              <w:szCs w:val="20"/>
            </w:rPr>
          </w:pPr>
          <w:bookmarkStart w:id="117" w:name="bookmark235"/>
          <w:bookmarkEnd w:id="117"/>
          <w:r>
            <w:fldChar w:fldCharType="begin"/>
          </w:r>
          <w:r>
            <w:instrText xml:space="preserve"> HYPERLINK \l "bookmark236" </w:instrText>
          </w:r>
          <w:r>
            <w:fldChar w:fldCharType="separate"/>
          </w:r>
          <w:r>
            <w:rPr>
              <w:rFonts w:ascii="Times New Roman" w:hAnsi="Times New Roman" w:eastAsia="Times New Roman" w:cs="Times New Roman"/>
              <w:spacing w:val="6"/>
              <w:sz w:val="20"/>
              <w:szCs w:val="20"/>
            </w:rPr>
            <w:t xml:space="preserve">4.6.2 </w:t>
          </w:r>
          <w:r>
            <w:rPr>
              <w:rFonts w:ascii="宋体" w:hAnsi="宋体" w:eastAsia="宋体" w:cs="宋体"/>
              <w:spacing w:val="6"/>
              <w:sz w:val="20"/>
              <w:szCs w:val="20"/>
            </w:rPr>
            <w:t>对土壤环境的影响</w:t>
          </w:r>
          <w:r>
            <w:rPr>
              <w:rFonts w:ascii="宋体" w:hAnsi="宋体" w:eastAsia="宋体" w:cs="宋体"/>
              <w:spacing w:val="-47"/>
              <w:sz w:val="20"/>
              <w:szCs w:val="20"/>
            </w:rPr>
            <w:t xml:space="preserve"> </w:t>
          </w:r>
          <w:r>
            <w:rPr>
              <w:rFonts w:ascii="宋体" w:hAnsi="宋体" w:eastAsia="宋体" w:cs="宋体"/>
              <w:sz w:val="20"/>
              <w:szCs w:val="20"/>
            </w:rPr>
            <w:tab/>
          </w:r>
          <w:r>
            <w:rPr>
              <w:rFonts w:ascii="宋体" w:hAnsi="宋体" w:eastAsia="宋体" w:cs="宋体"/>
              <w:spacing w:val="-43"/>
              <w:sz w:val="20"/>
              <w:szCs w:val="20"/>
            </w:rPr>
            <w:t xml:space="preserve"> </w:t>
          </w:r>
          <w:r>
            <w:rPr>
              <w:rFonts w:ascii="Times New Roman" w:hAnsi="Times New Roman" w:eastAsia="Times New Roman" w:cs="Times New Roman"/>
              <w:spacing w:val="-3"/>
              <w:sz w:val="20"/>
              <w:szCs w:val="20"/>
            </w:rPr>
            <w:t>197</w:t>
          </w:r>
          <w:r>
            <w:rPr>
              <w:rFonts w:ascii="Times New Roman" w:hAnsi="Times New Roman" w:eastAsia="Times New Roman" w:cs="Times New Roman"/>
              <w:spacing w:val="-3"/>
              <w:sz w:val="20"/>
              <w:szCs w:val="20"/>
            </w:rPr>
            <w:fldChar w:fldCharType="end"/>
          </w:r>
        </w:p>
        <w:p w14:paraId="40B82074">
          <w:pPr>
            <w:tabs>
              <w:tab w:val="right" w:leader="dot" w:pos="8720"/>
            </w:tabs>
            <w:spacing w:before="63" w:line="193" w:lineRule="auto"/>
            <w:ind w:left="424"/>
            <w:rPr>
              <w:rFonts w:ascii="Times New Roman" w:hAnsi="Times New Roman" w:eastAsia="Times New Roman" w:cs="Times New Roman"/>
              <w:sz w:val="20"/>
              <w:szCs w:val="20"/>
            </w:rPr>
          </w:pPr>
          <w:bookmarkStart w:id="118" w:name="bookmark237"/>
          <w:bookmarkEnd w:id="118"/>
          <w:r>
            <w:fldChar w:fldCharType="begin"/>
          </w:r>
          <w:r>
            <w:instrText xml:space="preserve"> HYPERLINK \l "bookmark238" </w:instrText>
          </w:r>
          <w:r>
            <w:fldChar w:fldCharType="separate"/>
          </w:r>
          <w:r>
            <w:rPr>
              <w:rFonts w:ascii="Times New Roman" w:hAnsi="Times New Roman" w:eastAsia="Times New Roman" w:cs="Times New Roman"/>
              <w:spacing w:val="7"/>
              <w:sz w:val="20"/>
              <w:szCs w:val="20"/>
            </w:rPr>
            <w:t xml:space="preserve">4.7 </w:t>
          </w:r>
          <w:r>
            <w:rPr>
              <w:rFonts w:ascii="宋体" w:hAnsi="宋体" w:eastAsia="宋体" w:cs="宋体"/>
              <w:spacing w:val="7"/>
              <w:sz w:val="20"/>
              <w:szCs w:val="20"/>
            </w:rPr>
            <w:t>施工期环境影响分析</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40"/>
              <w:sz w:val="20"/>
              <w:szCs w:val="20"/>
            </w:rPr>
            <w:t xml:space="preserve"> </w:t>
          </w:r>
          <w:r>
            <w:rPr>
              <w:rFonts w:ascii="Times New Roman" w:hAnsi="Times New Roman" w:eastAsia="Times New Roman" w:cs="Times New Roman"/>
              <w:spacing w:val="-3"/>
              <w:sz w:val="20"/>
              <w:szCs w:val="20"/>
            </w:rPr>
            <w:t>199</w:t>
          </w:r>
          <w:r>
            <w:rPr>
              <w:rFonts w:ascii="Times New Roman" w:hAnsi="Times New Roman" w:eastAsia="Times New Roman" w:cs="Times New Roman"/>
              <w:spacing w:val="-3"/>
              <w:sz w:val="20"/>
              <w:szCs w:val="20"/>
            </w:rPr>
            <w:fldChar w:fldCharType="end"/>
          </w:r>
        </w:p>
        <w:p w14:paraId="79A19D96">
          <w:pPr>
            <w:tabs>
              <w:tab w:val="right" w:leader="dot" w:pos="8720"/>
            </w:tabs>
            <w:spacing w:before="62" w:line="193" w:lineRule="auto"/>
            <w:ind w:left="844"/>
            <w:rPr>
              <w:rFonts w:ascii="Times New Roman" w:hAnsi="Times New Roman" w:eastAsia="Times New Roman" w:cs="Times New Roman"/>
              <w:sz w:val="20"/>
              <w:szCs w:val="20"/>
            </w:rPr>
          </w:pPr>
          <w:bookmarkStart w:id="119" w:name="bookmark239"/>
          <w:bookmarkEnd w:id="119"/>
          <w:r>
            <w:fldChar w:fldCharType="begin"/>
          </w:r>
          <w:r>
            <w:instrText xml:space="preserve"> HYPERLINK \l "bookmark240" </w:instrText>
          </w:r>
          <w:r>
            <w:fldChar w:fldCharType="separate"/>
          </w:r>
          <w:r>
            <w:rPr>
              <w:rFonts w:ascii="Times New Roman" w:hAnsi="Times New Roman" w:eastAsia="Times New Roman" w:cs="Times New Roman"/>
              <w:spacing w:val="7"/>
              <w:sz w:val="20"/>
              <w:szCs w:val="20"/>
            </w:rPr>
            <w:t xml:space="preserve">4.7.1 </w:t>
          </w:r>
          <w:r>
            <w:rPr>
              <w:rFonts w:ascii="宋体" w:hAnsi="宋体" w:eastAsia="宋体" w:cs="宋体"/>
              <w:spacing w:val="7"/>
              <w:sz w:val="20"/>
              <w:szCs w:val="20"/>
            </w:rPr>
            <w:t>施工扬尘环境影响分析</w:t>
          </w:r>
          <w:r>
            <w:rPr>
              <w:rFonts w:ascii="宋体" w:hAnsi="宋体" w:eastAsia="宋体" w:cs="宋体"/>
              <w:spacing w:val="-55"/>
              <w:sz w:val="20"/>
              <w:szCs w:val="20"/>
            </w:rPr>
            <w:t xml:space="preserve"> </w:t>
          </w:r>
          <w:r>
            <w:rPr>
              <w:rFonts w:ascii="宋体" w:hAnsi="宋体" w:eastAsia="宋体" w:cs="宋体"/>
              <w:sz w:val="20"/>
              <w:szCs w:val="20"/>
            </w:rPr>
            <w:tab/>
          </w:r>
          <w:r>
            <w:rPr>
              <w:rFonts w:ascii="宋体" w:hAnsi="宋体" w:eastAsia="宋体" w:cs="宋体"/>
              <w:spacing w:val="-47"/>
              <w:sz w:val="20"/>
              <w:szCs w:val="20"/>
            </w:rPr>
            <w:t xml:space="preserve"> </w:t>
          </w:r>
          <w:r>
            <w:rPr>
              <w:rFonts w:ascii="Times New Roman" w:hAnsi="Times New Roman" w:eastAsia="Times New Roman" w:cs="Times New Roman"/>
              <w:spacing w:val="-3"/>
              <w:sz w:val="20"/>
              <w:szCs w:val="20"/>
            </w:rPr>
            <w:t>199</w:t>
          </w:r>
          <w:r>
            <w:rPr>
              <w:rFonts w:ascii="Times New Roman" w:hAnsi="Times New Roman" w:eastAsia="Times New Roman" w:cs="Times New Roman"/>
              <w:spacing w:val="-3"/>
              <w:sz w:val="20"/>
              <w:szCs w:val="20"/>
            </w:rPr>
            <w:fldChar w:fldCharType="end"/>
          </w:r>
        </w:p>
        <w:p w14:paraId="036ACD3B">
          <w:pPr>
            <w:tabs>
              <w:tab w:val="right" w:leader="dot" w:pos="8720"/>
            </w:tabs>
            <w:spacing w:before="62" w:line="194" w:lineRule="auto"/>
            <w:ind w:left="844"/>
            <w:rPr>
              <w:rFonts w:ascii="Times New Roman" w:hAnsi="Times New Roman" w:eastAsia="Times New Roman" w:cs="Times New Roman"/>
              <w:sz w:val="20"/>
              <w:szCs w:val="20"/>
            </w:rPr>
          </w:pPr>
          <w:bookmarkStart w:id="120" w:name="bookmark241"/>
          <w:bookmarkEnd w:id="120"/>
          <w:r>
            <w:fldChar w:fldCharType="begin"/>
          </w:r>
          <w:r>
            <w:instrText xml:space="preserve"> HYPERLINK \l "bookmark242" </w:instrText>
          </w:r>
          <w:r>
            <w:fldChar w:fldCharType="separate"/>
          </w:r>
          <w:r>
            <w:rPr>
              <w:rFonts w:ascii="Times New Roman" w:hAnsi="Times New Roman" w:eastAsia="Times New Roman" w:cs="Times New Roman"/>
              <w:spacing w:val="7"/>
              <w:sz w:val="20"/>
              <w:szCs w:val="20"/>
            </w:rPr>
            <w:t xml:space="preserve">4.7.2 </w:t>
          </w:r>
          <w:r>
            <w:rPr>
              <w:rFonts w:ascii="宋体" w:hAnsi="宋体" w:eastAsia="宋体" w:cs="宋体"/>
              <w:spacing w:val="7"/>
              <w:sz w:val="20"/>
              <w:szCs w:val="20"/>
            </w:rPr>
            <w:t>施工期废水污染影响</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201</w:t>
          </w:r>
          <w:r>
            <w:rPr>
              <w:rFonts w:ascii="Times New Roman" w:hAnsi="Times New Roman" w:eastAsia="Times New Roman" w:cs="Times New Roman"/>
              <w:spacing w:val="3"/>
              <w:sz w:val="20"/>
              <w:szCs w:val="20"/>
            </w:rPr>
            <w:fldChar w:fldCharType="end"/>
          </w:r>
        </w:p>
        <w:p w14:paraId="147FC994">
          <w:pPr>
            <w:tabs>
              <w:tab w:val="right" w:leader="dot" w:pos="8720"/>
            </w:tabs>
            <w:spacing w:before="64" w:line="193" w:lineRule="auto"/>
            <w:ind w:left="844"/>
            <w:rPr>
              <w:rFonts w:ascii="Times New Roman" w:hAnsi="Times New Roman" w:eastAsia="Times New Roman" w:cs="Times New Roman"/>
              <w:sz w:val="20"/>
              <w:szCs w:val="20"/>
            </w:rPr>
          </w:pPr>
          <w:bookmarkStart w:id="121" w:name="bookmark243"/>
          <w:bookmarkEnd w:id="121"/>
          <w:r>
            <w:fldChar w:fldCharType="begin"/>
          </w:r>
          <w:r>
            <w:instrText xml:space="preserve"> HYPERLINK \l "bookmark244" </w:instrText>
          </w:r>
          <w:r>
            <w:fldChar w:fldCharType="separate"/>
          </w:r>
          <w:r>
            <w:rPr>
              <w:rFonts w:ascii="Times New Roman" w:hAnsi="Times New Roman" w:eastAsia="Times New Roman" w:cs="Times New Roman"/>
              <w:spacing w:val="7"/>
              <w:sz w:val="20"/>
              <w:szCs w:val="20"/>
            </w:rPr>
            <w:t xml:space="preserve">4.7.3 </w:t>
          </w:r>
          <w:r>
            <w:rPr>
              <w:rFonts w:ascii="宋体" w:hAnsi="宋体" w:eastAsia="宋体" w:cs="宋体"/>
              <w:spacing w:val="7"/>
              <w:sz w:val="20"/>
              <w:szCs w:val="20"/>
            </w:rPr>
            <w:t>施工期噪声污染影响及预防措施</w:t>
          </w:r>
          <w:r>
            <w:rPr>
              <w:rFonts w:ascii="宋体" w:hAnsi="宋体" w:eastAsia="宋体" w:cs="宋体"/>
              <w:spacing w:val="-43"/>
              <w:sz w:val="20"/>
              <w:szCs w:val="20"/>
            </w:rPr>
            <w:t xml:space="preserve"> </w:t>
          </w:r>
          <w:r>
            <w:rPr>
              <w:rFonts w:ascii="宋体" w:hAnsi="宋体" w:eastAsia="宋体" w:cs="宋体"/>
              <w:sz w:val="20"/>
              <w:szCs w:val="20"/>
            </w:rPr>
            <w:tab/>
          </w:r>
          <w:r>
            <w:rPr>
              <w:rFonts w:ascii="宋体" w:hAnsi="宋体" w:eastAsia="宋体" w:cs="宋体"/>
              <w:spacing w:val="-74"/>
              <w:sz w:val="20"/>
              <w:szCs w:val="20"/>
            </w:rPr>
            <w:t xml:space="preserve"> </w:t>
          </w:r>
          <w:r>
            <w:rPr>
              <w:rFonts w:ascii="Times New Roman" w:hAnsi="Times New Roman" w:eastAsia="Times New Roman" w:cs="Times New Roman"/>
              <w:spacing w:val="3"/>
              <w:sz w:val="20"/>
              <w:szCs w:val="20"/>
            </w:rPr>
            <w:t>202</w:t>
          </w:r>
          <w:r>
            <w:rPr>
              <w:rFonts w:ascii="Times New Roman" w:hAnsi="Times New Roman" w:eastAsia="Times New Roman" w:cs="Times New Roman"/>
              <w:spacing w:val="3"/>
              <w:sz w:val="20"/>
              <w:szCs w:val="20"/>
            </w:rPr>
            <w:fldChar w:fldCharType="end"/>
          </w:r>
        </w:p>
        <w:p w14:paraId="19B96FF2">
          <w:pPr>
            <w:tabs>
              <w:tab w:val="right" w:leader="dot" w:pos="8720"/>
            </w:tabs>
            <w:spacing w:before="64" w:line="193" w:lineRule="auto"/>
            <w:ind w:left="844"/>
            <w:rPr>
              <w:rFonts w:ascii="Times New Roman" w:hAnsi="Times New Roman" w:eastAsia="Times New Roman" w:cs="Times New Roman"/>
              <w:sz w:val="20"/>
              <w:szCs w:val="20"/>
            </w:rPr>
          </w:pPr>
          <w:bookmarkStart w:id="122" w:name="bookmark245"/>
          <w:bookmarkEnd w:id="122"/>
          <w:r>
            <w:fldChar w:fldCharType="begin"/>
          </w:r>
          <w:r>
            <w:instrText xml:space="preserve"> HYPERLINK \l "bookmark246" </w:instrText>
          </w:r>
          <w:r>
            <w:fldChar w:fldCharType="separate"/>
          </w:r>
          <w:r>
            <w:rPr>
              <w:rFonts w:ascii="Times New Roman" w:hAnsi="Times New Roman" w:eastAsia="Times New Roman" w:cs="Times New Roman"/>
              <w:spacing w:val="7"/>
              <w:sz w:val="20"/>
              <w:szCs w:val="20"/>
            </w:rPr>
            <w:t xml:space="preserve">4.7.4 </w:t>
          </w:r>
          <w:r>
            <w:rPr>
              <w:rFonts w:ascii="宋体" w:hAnsi="宋体" w:eastAsia="宋体" w:cs="宋体"/>
              <w:spacing w:val="7"/>
              <w:sz w:val="20"/>
              <w:szCs w:val="20"/>
            </w:rPr>
            <w:t>施工期固体废物影响</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204</w:t>
          </w:r>
          <w:r>
            <w:rPr>
              <w:rFonts w:ascii="Times New Roman" w:hAnsi="Times New Roman" w:eastAsia="Times New Roman" w:cs="Times New Roman"/>
              <w:spacing w:val="3"/>
              <w:sz w:val="20"/>
              <w:szCs w:val="20"/>
            </w:rPr>
            <w:fldChar w:fldCharType="end"/>
          </w:r>
        </w:p>
        <w:p w14:paraId="37F682B0">
          <w:pPr>
            <w:tabs>
              <w:tab w:val="right" w:leader="dot" w:pos="8720"/>
            </w:tabs>
            <w:spacing w:before="62" w:line="194" w:lineRule="auto"/>
            <w:ind w:left="844"/>
            <w:rPr>
              <w:rFonts w:ascii="Times New Roman" w:hAnsi="Times New Roman" w:eastAsia="Times New Roman" w:cs="Times New Roman"/>
              <w:sz w:val="20"/>
              <w:szCs w:val="20"/>
            </w:rPr>
          </w:pPr>
          <w:bookmarkStart w:id="123" w:name="bookmark247"/>
          <w:bookmarkEnd w:id="123"/>
          <w:r>
            <w:fldChar w:fldCharType="begin"/>
          </w:r>
          <w:r>
            <w:instrText xml:space="preserve"> HYPERLINK \l "bookmark248" </w:instrText>
          </w:r>
          <w:r>
            <w:fldChar w:fldCharType="separate"/>
          </w:r>
          <w:r>
            <w:rPr>
              <w:rFonts w:ascii="Times New Roman" w:hAnsi="Times New Roman" w:eastAsia="Times New Roman" w:cs="Times New Roman"/>
              <w:spacing w:val="7"/>
              <w:sz w:val="20"/>
              <w:szCs w:val="20"/>
            </w:rPr>
            <w:t xml:space="preserve">4.7.5 </w:t>
          </w:r>
          <w:r>
            <w:rPr>
              <w:rFonts w:ascii="宋体" w:hAnsi="宋体" w:eastAsia="宋体" w:cs="宋体"/>
              <w:spacing w:val="7"/>
              <w:sz w:val="20"/>
              <w:szCs w:val="20"/>
            </w:rPr>
            <w:t>施工期生态影响分析</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205</w:t>
          </w:r>
          <w:r>
            <w:rPr>
              <w:rFonts w:ascii="Times New Roman" w:hAnsi="Times New Roman" w:eastAsia="Times New Roman" w:cs="Times New Roman"/>
              <w:spacing w:val="3"/>
              <w:sz w:val="20"/>
              <w:szCs w:val="20"/>
            </w:rPr>
            <w:fldChar w:fldCharType="end"/>
          </w:r>
        </w:p>
        <w:p w14:paraId="7F006183">
          <w:pPr>
            <w:tabs>
              <w:tab w:val="right" w:leader="dot" w:pos="8720"/>
            </w:tabs>
            <w:spacing w:before="64" w:line="193" w:lineRule="auto"/>
            <w:ind w:left="8"/>
            <w:rPr>
              <w:rFonts w:ascii="Times New Roman" w:hAnsi="Times New Roman" w:eastAsia="Times New Roman" w:cs="Times New Roman"/>
              <w:sz w:val="20"/>
              <w:szCs w:val="20"/>
            </w:rPr>
          </w:pPr>
          <w:bookmarkStart w:id="124" w:name="bookmark249"/>
          <w:bookmarkEnd w:id="124"/>
          <w:r>
            <w:fldChar w:fldCharType="begin"/>
          </w:r>
          <w:r>
            <w:instrText xml:space="preserve"> HYPERLINK \l "bookmark250" </w:instrText>
          </w:r>
          <w:r>
            <w:fldChar w:fldCharType="separate"/>
          </w:r>
          <w:r>
            <w:rPr>
              <w:rFonts w:ascii="宋体" w:hAnsi="宋体" w:eastAsia="宋体" w:cs="宋体"/>
              <w:b/>
              <w:bCs/>
              <w:spacing w:val="6"/>
              <w:sz w:val="20"/>
              <w:szCs w:val="20"/>
            </w:rPr>
            <w:t>第五章</w:t>
          </w:r>
          <w:r>
            <w:rPr>
              <w:rFonts w:ascii="宋体" w:hAnsi="宋体" w:eastAsia="宋体" w:cs="宋体"/>
              <w:spacing w:val="6"/>
              <w:sz w:val="20"/>
              <w:szCs w:val="20"/>
            </w:rPr>
            <w:t xml:space="preserve">  </w:t>
          </w:r>
          <w:r>
            <w:rPr>
              <w:rFonts w:ascii="宋体" w:hAnsi="宋体" w:eastAsia="宋体" w:cs="宋体"/>
              <w:b/>
              <w:bCs/>
              <w:spacing w:val="6"/>
              <w:sz w:val="20"/>
              <w:szCs w:val="20"/>
            </w:rPr>
            <w:t>环境风险评价</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61"/>
              <w:sz w:val="20"/>
              <w:szCs w:val="20"/>
            </w:rPr>
            <w:t xml:space="preserve"> </w:t>
          </w:r>
          <w:r>
            <w:rPr>
              <w:rFonts w:ascii="Times New Roman" w:hAnsi="Times New Roman" w:eastAsia="Times New Roman" w:cs="Times New Roman"/>
              <w:b/>
              <w:bCs/>
              <w:spacing w:val="3"/>
              <w:sz w:val="20"/>
              <w:szCs w:val="20"/>
            </w:rPr>
            <w:t>206</w:t>
          </w:r>
          <w:r>
            <w:rPr>
              <w:rFonts w:ascii="Times New Roman" w:hAnsi="Times New Roman" w:eastAsia="Times New Roman" w:cs="Times New Roman"/>
              <w:b/>
              <w:bCs/>
              <w:spacing w:val="3"/>
              <w:sz w:val="20"/>
              <w:szCs w:val="20"/>
            </w:rPr>
            <w:fldChar w:fldCharType="end"/>
          </w:r>
        </w:p>
        <w:p w14:paraId="3B27C25E">
          <w:pPr>
            <w:tabs>
              <w:tab w:val="right" w:leader="dot" w:pos="8720"/>
            </w:tabs>
            <w:spacing w:before="62" w:line="193" w:lineRule="auto"/>
            <w:ind w:left="430"/>
            <w:rPr>
              <w:rFonts w:ascii="Times New Roman" w:hAnsi="Times New Roman" w:eastAsia="Times New Roman" w:cs="Times New Roman"/>
              <w:sz w:val="20"/>
              <w:szCs w:val="20"/>
            </w:rPr>
          </w:pPr>
          <w:bookmarkStart w:id="125" w:name="bookmark251"/>
          <w:bookmarkEnd w:id="125"/>
          <w:r>
            <w:fldChar w:fldCharType="begin"/>
          </w:r>
          <w:r>
            <w:instrText xml:space="preserve"> HYPERLINK \l "bookmark252" </w:instrText>
          </w:r>
          <w:r>
            <w:fldChar w:fldCharType="separate"/>
          </w:r>
          <w:r>
            <w:rPr>
              <w:rFonts w:ascii="Times New Roman" w:hAnsi="Times New Roman" w:eastAsia="Times New Roman" w:cs="Times New Roman"/>
              <w:spacing w:val="5"/>
              <w:sz w:val="20"/>
              <w:szCs w:val="20"/>
            </w:rPr>
            <w:t xml:space="preserve">5.1 </w:t>
          </w:r>
          <w:r>
            <w:rPr>
              <w:rFonts w:ascii="宋体" w:hAnsi="宋体" w:eastAsia="宋体" w:cs="宋体"/>
              <w:spacing w:val="5"/>
              <w:sz w:val="20"/>
              <w:szCs w:val="20"/>
            </w:rPr>
            <w:t>风险调查</w:t>
          </w:r>
          <w:r>
            <w:rPr>
              <w:rFonts w:ascii="宋体" w:hAnsi="宋体" w:eastAsia="宋体" w:cs="宋体"/>
              <w:spacing w:val="-56"/>
              <w:sz w:val="20"/>
              <w:szCs w:val="20"/>
            </w:rPr>
            <w:t xml:space="preserve"> </w:t>
          </w:r>
          <w:r>
            <w:rPr>
              <w:rFonts w:ascii="宋体" w:hAnsi="宋体" w:eastAsia="宋体" w:cs="宋体"/>
              <w:sz w:val="20"/>
              <w:szCs w:val="20"/>
            </w:rPr>
            <w:tab/>
          </w:r>
          <w:r>
            <w:rPr>
              <w:rFonts w:ascii="宋体" w:hAnsi="宋体" w:eastAsia="宋体" w:cs="宋体"/>
              <w:spacing w:val="-50"/>
              <w:sz w:val="20"/>
              <w:szCs w:val="20"/>
            </w:rPr>
            <w:t xml:space="preserve"> </w:t>
          </w:r>
          <w:r>
            <w:rPr>
              <w:rFonts w:ascii="Times New Roman" w:hAnsi="Times New Roman" w:eastAsia="Times New Roman" w:cs="Times New Roman"/>
              <w:spacing w:val="3"/>
              <w:sz w:val="20"/>
              <w:szCs w:val="20"/>
            </w:rPr>
            <w:t>206</w:t>
          </w:r>
          <w:r>
            <w:rPr>
              <w:rFonts w:ascii="Times New Roman" w:hAnsi="Times New Roman" w:eastAsia="Times New Roman" w:cs="Times New Roman"/>
              <w:spacing w:val="3"/>
              <w:sz w:val="20"/>
              <w:szCs w:val="20"/>
            </w:rPr>
            <w:fldChar w:fldCharType="end"/>
          </w:r>
        </w:p>
        <w:p w14:paraId="42F9EB78">
          <w:pPr>
            <w:tabs>
              <w:tab w:val="right" w:leader="dot" w:pos="8720"/>
            </w:tabs>
            <w:spacing w:before="62" w:line="194" w:lineRule="auto"/>
            <w:ind w:left="850"/>
            <w:rPr>
              <w:rFonts w:ascii="Times New Roman" w:hAnsi="Times New Roman" w:eastAsia="Times New Roman" w:cs="Times New Roman"/>
              <w:sz w:val="20"/>
              <w:szCs w:val="20"/>
            </w:rPr>
          </w:pPr>
          <w:bookmarkStart w:id="126" w:name="bookmark253"/>
          <w:bookmarkEnd w:id="126"/>
          <w:r>
            <w:fldChar w:fldCharType="begin"/>
          </w:r>
          <w:r>
            <w:instrText xml:space="preserve"> HYPERLINK \l "bookmark254" </w:instrText>
          </w:r>
          <w:r>
            <w:fldChar w:fldCharType="separate"/>
          </w:r>
          <w:r>
            <w:rPr>
              <w:rFonts w:ascii="Times New Roman" w:hAnsi="Times New Roman" w:eastAsia="Times New Roman" w:cs="Times New Roman"/>
              <w:spacing w:val="6"/>
              <w:sz w:val="20"/>
              <w:szCs w:val="20"/>
            </w:rPr>
            <w:t xml:space="preserve">5.1.1 </w:t>
          </w:r>
          <w:r>
            <w:rPr>
              <w:rFonts w:ascii="宋体" w:hAnsi="宋体" w:eastAsia="宋体" w:cs="宋体"/>
              <w:spacing w:val="6"/>
              <w:sz w:val="20"/>
              <w:szCs w:val="20"/>
            </w:rPr>
            <w:t>建设项目风险源调查</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206</w:t>
          </w:r>
          <w:r>
            <w:rPr>
              <w:rFonts w:ascii="Times New Roman" w:hAnsi="Times New Roman" w:eastAsia="Times New Roman" w:cs="Times New Roman"/>
              <w:spacing w:val="3"/>
              <w:sz w:val="20"/>
              <w:szCs w:val="20"/>
            </w:rPr>
            <w:fldChar w:fldCharType="end"/>
          </w:r>
        </w:p>
        <w:p w14:paraId="7FD8AC7E">
          <w:pPr>
            <w:tabs>
              <w:tab w:val="right" w:leader="dot" w:pos="8720"/>
            </w:tabs>
            <w:spacing w:before="64" w:line="193" w:lineRule="auto"/>
            <w:ind w:left="850"/>
            <w:rPr>
              <w:rFonts w:ascii="Times New Roman" w:hAnsi="Times New Roman" w:eastAsia="Times New Roman" w:cs="Times New Roman"/>
              <w:sz w:val="20"/>
              <w:szCs w:val="20"/>
            </w:rPr>
          </w:pPr>
          <w:bookmarkStart w:id="127" w:name="bookmark255"/>
          <w:bookmarkEnd w:id="127"/>
          <w:r>
            <w:fldChar w:fldCharType="begin"/>
          </w:r>
          <w:r>
            <w:instrText xml:space="preserve"> HYPERLINK \l "bookmark256" </w:instrText>
          </w:r>
          <w:r>
            <w:fldChar w:fldCharType="separate"/>
          </w:r>
          <w:r>
            <w:rPr>
              <w:rFonts w:ascii="Times New Roman" w:hAnsi="Times New Roman" w:eastAsia="Times New Roman" w:cs="Times New Roman"/>
              <w:spacing w:val="6"/>
              <w:sz w:val="20"/>
              <w:szCs w:val="20"/>
            </w:rPr>
            <w:t xml:space="preserve">5.1.2 </w:t>
          </w:r>
          <w:r>
            <w:rPr>
              <w:rFonts w:ascii="宋体" w:hAnsi="宋体" w:eastAsia="宋体" w:cs="宋体"/>
              <w:spacing w:val="6"/>
              <w:sz w:val="20"/>
              <w:szCs w:val="20"/>
            </w:rPr>
            <w:t>环境敏感目标调查</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209</w:t>
          </w:r>
          <w:r>
            <w:rPr>
              <w:rFonts w:ascii="Times New Roman" w:hAnsi="Times New Roman" w:eastAsia="Times New Roman" w:cs="Times New Roman"/>
              <w:spacing w:val="3"/>
              <w:sz w:val="20"/>
              <w:szCs w:val="20"/>
            </w:rPr>
            <w:fldChar w:fldCharType="end"/>
          </w:r>
        </w:p>
        <w:p w14:paraId="1AB1653E">
          <w:pPr>
            <w:tabs>
              <w:tab w:val="right" w:leader="dot" w:pos="8720"/>
            </w:tabs>
            <w:spacing w:before="62" w:line="193" w:lineRule="auto"/>
            <w:ind w:left="430"/>
            <w:rPr>
              <w:rFonts w:ascii="Times New Roman" w:hAnsi="Times New Roman" w:eastAsia="Times New Roman" w:cs="Times New Roman"/>
              <w:sz w:val="20"/>
              <w:szCs w:val="20"/>
            </w:rPr>
          </w:pPr>
          <w:bookmarkStart w:id="128" w:name="bookmark257"/>
          <w:bookmarkEnd w:id="128"/>
          <w:r>
            <w:fldChar w:fldCharType="begin"/>
          </w:r>
          <w:r>
            <w:instrText xml:space="preserve"> HYPERLINK \l "bookmark258" </w:instrText>
          </w:r>
          <w:r>
            <w:fldChar w:fldCharType="separate"/>
          </w:r>
          <w:r>
            <w:rPr>
              <w:rFonts w:ascii="Times New Roman" w:hAnsi="Times New Roman" w:eastAsia="Times New Roman" w:cs="Times New Roman"/>
              <w:spacing w:val="7"/>
              <w:sz w:val="20"/>
              <w:szCs w:val="20"/>
            </w:rPr>
            <w:t xml:space="preserve">5.2 </w:t>
          </w:r>
          <w:r>
            <w:rPr>
              <w:rFonts w:ascii="宋体" w:hAnsi="宋体" w:eastAsia="宋体" w:cs="宋体"/>
              <w:spacing w:val="7"/>
              <w:sz w:val="20"/>
              <w:szCs w:val="20"/>
            </w:rPr>
            <w:t>环境风险潜势判定及评价等级</w:t>
          </w:r>
          <w:r>
            <w:rPr>
              <w:rFonts w:ascii="宋体" w:hAnsi="宋体" w:eastAsia="宋体" w:cs="宋体"/>
              <w:spacing w:val="-46"/>
              <w:sz w:val="20"/>
              <w:szCs w:val="20"/>
            </w:rPr>
            <w:t xml:space="preserve"> </w:t>
          </w:r>
          <w:r>
            <w:rPr>
              <w:rFonts w:ascii="宋体" w:hAnsi="宋体" w:eastAsia="宋体" w:cs="宋体"/>
              <w:sz w:val="20"/>
              <w:szCs w:val="20"/>
            </w:rPr>
            <w:tab/>
          </w:r>
          <w:r>
            <w:rPr>
              <w:rFonts w:ascii="宋体" w:hAnsi="宋体" w:eastAsia="宋体" w:cs="宋体"/>
              <w:spacing w:val="-67"/>
              <w:sz w:val="20"/>
              <w:szCs w:val="20"/>
            </w:rPr>
            <w:t xml:space="preserve"> </w:t>
          </w:r>
          <w:r>
            <w:rPr>
              <w:rFonts w:ascii="Times New Roman" w:hAnsi="Times New Roman" w:eastAsia="Times New Roman" w:cs="Times New Roman"/>
              <w:spacing w:val="3"/>
              <w:sz w:val="20"/>
              <w:szCs w:val="20"/>
            </w:rPr>
            <w:t>209</w:t>
          </w:r>
          <w:r>
            <w:rPr>
              <w:rFonts w:ascii="Times New Roman" w:hAnsi="Times New Roman" w:eastAsia="Times New Roman" w:cs="Times New Roman"/>
              <w:spacing w:val="3"/>
              <w:sz w:val="20"/>
              <w:szCs w:val="20"/>
            </w:rPr>
            <w:fldChar w:fldCharType="end"/>
          </w:r>
        </w:p>
        <w:p w14:paraId="0533C8C9">
          <w:pPr>
            <w:tabs>
              <w:tab w:val="right" w:leader="dot" w:pos="8720"/>
            </w:tabs>
            <w:spacing w:before="64" w:line="194" w:lineRule="auto"/>
            <w:ind w:left="850"/>
            <w:rPr>
              <w:rFonts w:ascii="Times New Roman" w:hAnsi="Times New Roman" w:eastAsia="Times New Roman" w:cs="Times New Roman"/>
              <w:sz w:val="20"/>
              <w:szCs w:val="20"/>
            </w:rPr>
          </w:pPr>
          <w:bookmarkStart w:id="129" w:name="bookmark259"/>
          <w:bookmarkEnd w:id="129"/>
          <w:r>
            <w:fldChar w:fldCharType="begin"/>
          </w:r>
          <w:r>
            <w:instrText xml:space="preserve"> HYPERLINK \l "bookmark260" </w:instrText>
          </w:r>
          <w:r>
            <w:fldChar w:fldCharType="separate"/>
          </w:r>
          <w:r>
            <w:rPr>
              <w:rFonts w:ascii="Times New Roman" w:hAnsi="Times New Roman" w:eastAsia="Times New Roman" w:cs="Times New Roman"/>
              <w:spacing w:val="6"/>
              <w:sz w:val="20"/>
              <w:szCs w:val="20"/>
            </w:rPr>
            <w:t xml:space="preserve">5.2.1 </w:t>
          </w:r>
          <w:r>
            <w:rPr>
              <w:rFonts w:ascii="宋体" w:hAnsi="宋体" w:eastAsia="宋体" w:cs="宋体"/>
              <w:spacing w:val="6"/>
              <w:sz w:val="20"/>
              <w:szCs w:val="20"/>
            </w:rPr>
            <w:t>环境风险潜势判定</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209</w:t>
          </w:r>
          <w:r>
            <w:rPr>
              <w:rFonts w:ascii="Times New Roman" w:hAnsi="Times New Roman" w:eastAsia="Times New Roman" w:cs="Times New Roman"/>
              <w:spacing w:val="3"/>
              <w:sz w:val="20"/>
              <w:szCs w:val="20"/>
            </w:rPr>
            <w:fldChar w:fldCharType="end"/>
          </w:r>
        </w:p>
        <w:p w14:paraId="411C3B7E">
          <w:pPr>
            <w:tabs>
              <w:tab w:val="right" w:leader="dot" w:pos="8720"/>
            </w:tabs>
            <w:spacing w:before="61" w:line="193" w:lineRule="auto"/>
            <w:ind w:left="850"/>
            <w:rPr>
              <w:rFonts w:ascii="Times New Roman" w:hAnsi="Times New Roman" w:eastAsia="Times New Roman" w:cs="Times New Roman"/>
              <w:sz w:val="20"/>
              <w:szCs w:val="20"/>
            </w:rPr>
          </w:pPr>
          <w:bookmarkStart w:id="130" w:name="bookmark261"/>
          <w:bookmarkEnd w:id="130"/>
          <w:r>
            <w:fldChar w:fldCharType="begin"/>
          </w:r>
          <w:r>
            <w:instrText xml:space="preserve"> HYPERLINK \l "bookmark262" </w:instrText>
          </w:r>
          <w:r>
            <w:fldChar w:fldCharType="separate"/>
          </w:r>
          <w:r>
            <w:rPr>
              <w:rFonts w:ascii="Times New Roman" w:hAnsi="Times New Roman" w:eastAsia="Times New Roman" w:cs="Times New Roman"/>
              <w:spacing w:val="6"/>
              <w:sz w:val="20"/>
              <w:szCs w:val="20"/>
            </w:rPr>
            <w:t xml:space="preserve">5.2.2 </w:t>
          </w:r>
          <w:r>
            <w:rPr>
              <w:rFonts w:ascii="宋体" w:hAnsi="宋体" w:eastAsia="宋体" w:cs="宋体"/>
              <w:spacing w:val="6"/>
              <w:sz w:val="20"/>
              <w:szCs w:val="20"/>
            </w:rPr>
            <w:t>环境风险评价等级</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213</w:t>
          </w:r>
          <w:r>
            <w:rPr>
              <w:rFonts w:ascii="Times New Roman" w:hAnsi="Times New Roman" w:eastAsia="Times New Roman" w:cs="Times New Roman"/>
              <w:spacing w:val="3"/>
              <w:sz w:val="20"/>
              <w:szCs w:val="20"/>
            </w:rPr>
            <w:fldChar w:fldCharType="end"/>
          </w:r>
        </w:p>
        <w:p w14:paraId="67964994">
          <w:pPr>
            <w:tabs>
              <w:tab w:val="right" w:leader="dot" w:pos="8720"/>
            </w:tabs>
            <w:spacing w:before="65" w:line="194" w:lineRule="auto"/>
            <w:ind w:left="430"/>
            <w:rPr>
              <w:rFonts w:ascii="Times New Roman" w:hAnsi="Times New Roman" w:eastAsia="Times New Roman" w:cs="Times New Roman"/>
              <w:sz w:val="20"/>
              <w:szCs w:val="20"/>
            </w:rPr>
          </w:pPr>
          <w:bookmarkStart w:id="131" w:name="bookmark263"/>
          <w:bookmarkEnd w:id="131"/>
          <w:r>
            <w:fldChar w:fldCharType="begin"/>
          </w:r>
          <w:r>
            <w:instrText xml:space="preserve"> HYPERLINK \l "bookmark264" </w:instrText>
          </w:r>
          <w:r>
            <w:fldChar w:fldCharType="separate"/>
          </w:r>
          <w:r>
            <w:rPr>
              <w:rFonts w:ascii="Times New Roman" w:hAnsi="Times New Roman" w:eastAsia="Times New Roman" w:cs="Times New Roman"/>
              <w:spacing w:val="4"/>
              <w:sz w:val="20"/>
              <w:szCs w:val="20"/>
            </w:rPr>
            <w:t>5.3</w:t>
          </w:r>
          <w:r>
            <w:rPr>
              <w:rFonts w:ascii="Times New Roman" w:hAnsi="Times New Roman" w:eastAsia="Times New Roman" w:cs="Times New Roman"/>
              <w:spacing w:val="13"/>
              <w:sz w:val="20"/>
              <w:szCs w:val="20"/>
            </w:rPr>
            <w:t xml:space="preserve"> </w:t>
          </w:r>
          <w:r>
            <w:rPr>
              <w:rFonts w:ascii="宋体" w:hAnsi="宋体" w:eastAsia="宋体" w:cs="宋体"/>
              <w:spacing w:val="4"/>
              <w:sz w:val="20"/>
              <w:szCs w:val="20"/>
            </w:rPr>
            <w:t>风险识别</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50"/>
              <w:sz w:val="20"/>
              <w:szCs w:val="20"/>
            </w:rPr>
            <w:t xml:space="preserve"> </w:t>
          </w:r>
          <w:r>
            <w:rPr>
              <w:rFonts w:ascii="Times New Roman" w:hAnsi="Times New Roman" w:eastAsia="Times New Roman" w:cs="Times New Roman"/>
              <w:spacing w:val="3"/>
              <w:sz w:val="20"/>
              <w:szCs w:val="20"/>
            </w:rPr>
            <w:t>213</w:t>
          </w:r>
          <w:r>
            <w:rPr>
              <w:rFonts w:ascii="Times New Roman" w:hAnsi="Times New Roman" w:eastAsia="Times New Roman" w:cs="Times New Roman"/>
              <w:spacing w:val="3"/>
              <w:sz w:val="20"/>
              <w:szCs w:val="20"/>
            </w:rPr>
            <w:fldChar w:fldCharType="end"/>
          </w:r>
        </w:p>
        <w:p w14:paraId="61ADB990">
          <w:pPr>
            <w:tabs>
              <w:tab w:val="right" w:leader="dot" w:pos="8720"/>
            </w:tabs>
            <w:spacing w:before="63" w:line="193" w:lineRule="auto"/>
            <w:ind w:left="850"/>
            <w:rPr>
              <w:rFonts w:ascii="Times New Roman" w:hAnsi="Times New Roman" w:eastAsia="Times New Roman" w:cs="Times New Roman"/>
              <w:sz w:val="20"/>
              <w:szCs w:val="20"/>
            </w:rPr>
          </w:pPr>
          <w:bookmarkStart w:id="132" w:name="bookmark265"/>
          <w:bookmarkEnd w:id="132"/>
          <w:r>
            <w:fldChar w:fldCharType="begin"/>
          </w:r>
          <w:r>
            <w:instrText xml:space="preserve"> HYPERLINK \l "bookmark266" </w:instrText>
          </w:r>
          <w:r>
            <w:fldChar w:fldCharType="separate"/>
          </w:r>
          <w:r>
            <w:rPr>
              <w:rFonts w:ascii="Times New Roman" w:hAnsi="Times New Roman" w:eastAsia="Times New Roman" w:cs="Times New Roman"/>
              <w:spacing w:val="6"/>
              <w:sz w:val="20"/>
              <w:szCs w:val="20"/>
            </w:rPr>
            <w:t xml:space="preserve">5.3.1 </w:t>
          </w:r>
          <w:r>
            <w:rPr>
              <w:rFonts w:ascii="宋体" w:hAnsi="宋体" w:eastAsia="宋体" w:cs="宋体"/>
              <w:spacing w:val="6"/>
              <w:sz w:val="20"/>
              <w:szCs w:val="20"/>
            </w:rPr>
            <w:t>物质危险性识别</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213</w:t>
          </w:r>
          <w:r>
            <w:rPr>
              <w:rFonts w:ascii="Times New Roman" w:hAnsi="Times New Roman" w:eastAsia="Times New Roman" w:cs="Times New Roman"/>
              <w:spacing w:val="3"/>
              <w:sz w:val="20"/>
              <w:szCs w:val="20"/>
            </w:rPr>
            <w:fldChar w:fldCharType="end"/>
          </w:r>
        </w:p>
        <w:p w14:paraId="756C5B68">
          <w:pPr>
            <w:tabs>
              <w:tab w:val="right" w:leader="dot" w:pos="8720"/>
            </w:tabs>
            <w:spacing w:before="62" w:line="193" w:lineRule="auto"/>
            <w:ind w:left="850"/>
            <w:rPr>
              <w:rFonts w:ascii="Times New Roman" w:hAnsi="Times New Roman" w:eastAsia="Times New Roman" w:cs="Times New Roman"/>
              <w:sz w:val="20"/>
              <w:szCs w:val="20"/>
            </w:rPr>
          </w:pPr>
          <w:bookmarkStart w:id="133" w:name="bookmark267"/>
          <w:bookmarkEnd w:id="133"/>
          <w:r>
            <w:fldChar w:fldCharType="begin"/>
          </w:r>
          <w:r>
            <w:instrText xml:space="preserve"> HYPERLINK \l "bookmark268" </w:instrText>
          </w:r>
          <w:r>
            <w:fldChar w:fldCharType="separate"/>
          </w:r>
          <w:r>
            <w:rPr>
              <w:rFonts w:ascii="Times New Roman" w:hAnsi="Times New Roman" w:eastAsia="Times New Roman" w:cs="Times New Roman"/>
              <w:spacing w:val="6"/>
              <w:sz w:val="20"/>
              <w:szCs w:val="20"/>
            </w:rPr>
            <w:t xml:space="preserve">5.3.2 </w:t>
          </w:r>
          <w:r>
            <w:rPr>
              <w:rFonts w:ascii="宋体" w:hAnsi="宋体" w:eastAsia="宋体" w:cs="宋体"/>
              <w:spacing w:val="6"/>
              <w:sz w:val="20"/>
              <w:szCs w:val="20"/>
            </w:rPr>
            <w:t>生产过程潜在风险识别</w:t>
          </w:r>
          <w:r>
            <w:rPr>
              <w:rFonts w:ascii="宋体" w:hAnsi="宋体" w:eastAsia="宋体" w:cs="宋体"/>
              <w:spacing w:val="-46"/>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214</w:t>
          </w:r>
          <w:r>
            <w:rPr>
              <w:rFonts w:ascii="Times New Roman" w:hAnsi="Times New Roman" w:eastAsia="Times New Roman" w:cs="Times New Roman"/>
              <w:spacing w:val="3"/>
              <w:sz w:val="20"/>
              <w:szCs w:val="20"/>
            </w:rPr>
            <w:fldChar w:fldCharType="end"/>
          </w:r>
        </w:p>
        <w:p w14:paraId="72457A2D">
          <w:pPr>
            <w:tabs>
              <w:tab w:val="right" w:leader="dot" w:pos="8720"/>
            </w:tabs>
            <w:spacing w:before="62" w:line="194" w:lineRule="auto"/>
            <w:ind w:left="850"/>
            <w:rPr>
              <w:rFonts w:ascii="Times New Roman" w:hAnsi="Times New Roman" w:eastAsia="Times New Roman" w:cs="Times New Roman"/>
              <w:sz w:val="20"/>
              <w:szCs w:val="20"/>
            </w:rPr>
          </w:pPr>
          <w:bookmarkStart w:id="134" w:name="bookmark269"/>
          <w:bookmarkEnd w:id="134"/>
          <w:r>
            <w:fldChar w:fldCharType="begin"/>
          </w:r>
          <w:r>
            <w:instrText xml:space="preserve"> HYPERLINK \l "bookmark270" </w:instrText>
          </w:r>
          <w:r>
            <w:fldChar w:fldCharType="separate"/>
          </w:r>
          <w:r>
            <w:rPr>
              <w:rFonts w:ascii="Times New Roman" w:hAnsi="Times New Roman" w:eastAsia="Times New Roman" w:cs="Times New Roman"/>
              <w:spacing w:val="4"/>
              <w:sz w:val="20"/>
              <w:szCs w:val="20"/>
            </w:rPr>
            <w:t>5.3.3</w:t>
          </w:r>
          <w:r>
            <w:rPr>
              <w:rFonts w:ascii="Times New Roman" w:hAnsi="Times New Roman" w:eastAsia="Times New Roman" w:cs="Times New Roman"/>
              <w:spacing w:val="30"/>
              <w:w w:val="101"/>
              <w:sz w:val="20"/>
              <w:szCs w:val="20"/>
            </w:rPr>
            <w:t xml:space="preserve"> </w:t>
          </w:r>
          <w:r>
            <w:rPr>
              <w:rFonts w:ascii="宋体" w:hAnsi="宋体" w:eastAsia="宋体" w:cs="宋体"/>
              <w:spacing w:val="4"/>
              <w:sz w:val="20"/>
              <w:szCs w:val="20"/>
            </w:rPr>
            <w:t>向环境转移途径</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215</w:t>
          </w:r>
          <w:r>
            <w:rPr>
              <w:rFonts w:ascii="Times New Roman" w:hAnsi="Times New Roman" w:eastAsia="Times New Roman" w:cs="Times New Roman"/>
              <w:spacing w:val="3"/>
              <w:sz w:val="20"/>
              <w:szCs w:val="20"/>
            </w:rPr>
            <w:fldChar w:fldCharType="end"/>
          </w:r>
        </w:p>
        <w:p w14:paraId="3BADB1D6">
          <w:pPr>
            <w:tabs>
              <w:tab w:val="right" w:leader="dot" w:pos="8720"/>
            </w:tabs>
            <w:spacing w:before="64" w:line="193" w:lineRule="auto"/>
            <w:ind w:left="430"/>
            <w:rPr>
              <w:rFonts w:ascii="Times New Roman" w:hAnsi="Times New Roman" w:eastAsia="Times New Roman" w:cs="Times New Roman"/>
              <w:sz w:val="20"/>
              <w:szCs w:val="20"/>
            </w:rPr>
          </w:pPr>
          <w:bookmarkStart w:id="135" w:name="bookmark271"/>
          <w:bookmarkEnd w:id="135"/>
          <w:r>
            <w:fldChar w:fldCharType="begin"/>
          </w:r>
          <w:r>
            <w:instrText xml:space="preserve"> HYPERLINK \l "bookmark272" </w:instrText>
          </w:r>
          <w:r>
            <w:fldChar w:fldCharType="separate"/>
          </w:r>
          <w:r>
            <w:rPr>
              <w:rFonts w:ascii="Times New Roman" w:hAnsi="Times New Roman" w:eastAsia="Times New Roman" w:cs="Times New Roman"/>
              <w:spacing w:val="6"/>
              <w:sz w:val="20"/>
              <w:szCs w:val="20"/>
            </w:rPr>
            <w:t xml:space="preserve">5.4 </w:t>
          </w:r>
          <w:r>
            <w:rPr>
              <w:rFonts w:ascii="宋体" w:hAnsi="宋体" w:eastAsia="宋体" w:cs="宋体"/>
              <w:spacing w:val="6"/>
              <w:sz w:val="20"/>
              <w:szCs w:val="20"/>
            </w:rPr>
            <w:t>风险事故影响分析</w:t>
          </w:r>
          <w:r>
            <w:rPr>
              <w:rFonts w:ascii="宋体" w:hAnsi="宋体" w:eastAsia="宋体" w:cs="宋体"/>
              <w:spacing w:val="-48"/>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215</w:t>
          </w:r>
          <w:r>
            <w:rPr>
              <w:rFonts w:ascii="Times New Roman" w:hAnsi="Times New Roman" w:eastAsia="Times New Roman" w:cs="Times New Roman"/>
              <w:spacing w:val="3"/>
              <w:sz w:val="20"/>
              <w:szCs w:val="20"/>
            </w:rPr>
            <w:fldChar w:fldCharType="end"/>
          </w:r>
        </w:p>
        <w:p w14:paraId="1782656D">
          <w:pPr>
            <w:tabs>
              <w:tab w:val="right" w:leader="dot" w:pos="8720"/>
            </w:tabs>
            <w:spacing w:before="62" w:line="193" w:lineRule="auto"/>
            <w:ind w:left="850"/>
            <w:rPr>
              <w:rFonts w:ascii="Times New Roman" w:hAnsi="Times New Roman" w:eastAsia="Times New Roman" w:cs="Times New Roman"/>
              <w:sz w:val="20"/>
              <w:szCs w:val="20"/>
            </w:rPr>
          </w:pPr>
          <w:bookmarkStart w:id="136" w:name="bookmark273"/>
          <w:bookmarkEnd w:id="136"/>
          <w:r>
            <w:fldChar w:fldCharType="begin"/>
          </w:r>
          <w:r>
            <w:instrText xml:space="preserve"> HYPERLINK \l "bookmark274" </w:instrText>
          </w:r>
          <w:r>
            <w:fldChar w:fldCharType="separate"/>
          </w:r>
          <w:r>
            <w:rPr>
              <w:rFonts w:ascii="Times New Roman" w:hAnsi="Times New Roman" w:eastAsia="Times New Roman" w:cs="Times New Roman"/>
              <w:spacing w:val="6"/>
              <w:sz w:val="20"/>
              <w:szCs w:val="20"/>
            </w:rPr>
            <w:t xml:space="preserve">5.4.1 </w:t>
          </w:r>
          <w:r>
            <w:rPr>
              <w:rFonts w:ascii="宋体" w:hAnsi="宋体" w:eastAsia="宋体" w:cs="宋体"/>
              <w:spacing w:val="6"/>
              <w:sz w:val="20"/>
              <w:szCs w:val="20"/>
            </w:rPr>
            <w:t>风险事故情形设定原则</w:t>
          </w:r>
          <w:r>
            <w:rPr>
              <w:rFonts w:ascii="宋体" w:hAnsi="宋体" w:eastAsia="宋体" w:cs="宋体"/>
              <w:spacing w:val="-46"/>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215</w:t>
          </w:r>
          <w:r>
            <w:rPr>
              <w:rFonts w:ascii="Times New Roman" w:hAnsi="Times New Roman" w:eastAsia="Times New Roman" w:cs="Times New Roman"/>
              <w:spacing w:val="3"/>
              <w:sz w:val="20"/>
              <w:szCs w:val="20"/>
            </w:rPr>
            <w:fldChar w:fldCharType="end"/>
          </w:r>
        </w:p>
        <w:p w14:paraId="7278B874">
          <w:pPr>
            <w:tabs>
              <w:tab w:val="right" w:leader="dot" w:pos="8720"/>
            </w:tabs>
            <w:spacing w:before="65" w:line="194" w:lineRule="auto"/>
            <w:ind w:left="850"/>
            <w:rPr>
              <w:rFonts w:ascii="Times New Roman" w:hAnsi="Times New Roman" w:eastAsia="Times New Roman" w:cs="Times New Roman"/>
              <w:sz w:val="20"/>
              <w:szCs w:val="20"/>
            </w:rPr>
          </w:pPr>
          <w:bookmarkStart w:id="137" w:name="bookmark275"/>
          <w:bookmarkEnd w:id="137"/>
          <w:r>
            <w:fldChar w:fldCharType="begin"/>
          </w:r>
          <w:r>
            <w:instrText xml:space="preserve"> HYPERLINK \l "bookmark276" </w:instrText>
          </w:r>
          <w:r>
            <w:fldChar w:fldCharType="separate"/>
          </w:r>
          <w:r>
            <w:rPr>
              <w:rFonts w:ascii="Times New Roman" w:hAnsi="Times New Roman" w:eastAsia="Times New Roman" w:cs="Times New Roman"/>
              <w:spacing w:val="6"/>
              <w:sz w:val="20"/>
              <w:szCs w:val="20"/>
            </w:rPr>
            <w:t xml:space="preserve">5.4.2 </w:t>
          </w:r>
          <w:r>
            <w:rPr>
              <w:rFonts w:ascii="宋体" w:hAnsi="宋体" w:eastAsia="宋体" w:cs="宋体"/>
              <w:spacing w:val="6"/>
              <w:sz w:val="20"/>
              <w:szCs w:val="20"/>
            </w:rPr>
            <w:t>风险事故情形设定</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217</w:t>
          </w:r>
          <w:r>
            <w:rPr>
              <w:rFonts w:ascii="Times New Roman" w:hAnsi="Times New Roman" w:eastAsia="Times New Roman" w:cs="Times New Roman"/>
              <w:spacing w:val="3"/>
              <w:sz w:val="20"/>
              <w:szCs w:val="20"/>
            </w:rPr>
            <w:fldChar w:fldCharType="end"/>
          </w:r>
        </w:p>
        <w:p w14:paraId="7BF9216A">
          <w:pPr>
            <w:tabs>
              <w:tab w:val="right" w:leader="dot" w:pos="8720"/>
            </w:tabs>
            <w:spacing w:before="61" w:line="193" w:lineRule="auto"/>
            <w:ind w:left="430"/>
            <w:rPr>
              <w:rFonts w:ascii="Times New Roman" w:hAnsi="Times New Roman" w:eastAsia="Times New Roman" w:cs="Times New Roman"/>
              <w:sz w:val="20"/>
              <w:szCs w:val="20"/>
            </w:rPr>
          </w:pPr>
          <w:bookmarkStart w:id="138" w:name="bookmark277"/>
          <w:bookmarkEnd w:id="138"/>
          <w:r>
            <w:fldChar w:fldCharType="begin"/>
          </w:r>
          <w:r>
            <w:instrText xml:space="preserve"> HYPERLINK \l "bookmark278" </w:instrText>
          </w:r>
          <w:r>
            <w:fldChar w:fldCharType="separate"/>
          </w:r>
          <w:r>
            <w:rPr>
              <w:rFonts w:ascii="Times New Roman" w:hAnsi="Times New Roman" w:eastAsia="Times New Roman" w:cs="Times New Roman"/>
              <w:spacing w:val="5"/>
              <w:sz w:val="20"/>
              <w:szCs w:val="20"/>
            </w:rPr>
            <w:t xml:space="preserve">5.5 </w:t>
          </w:r>
          <w:r>
            <w:rPr>
              <w:rFonts w:ascii="宋体" w:hAnsi="宋体" w:eastAsia="宋体" w:cs="宋体"/>
              <w:spacing w:val="5"/>
              <w:sz w:val="20"/>
              <w:szCs w:val="20"/>
            </w:rPr>
            <w:t>源项分析</w:t>
          </w:r>
          <w:r>
            <w:rPr>
              <w:rFonts w:ascii="宋体" w:hAnsi="宋体" w:eastAsia="宋体" w:cs="宋体"/>
              <w:spacing w:val="-56"/>
              <w:sz w:val="20"/>
              <w:szCs w:val="20"/>
            </w:rPr>
            <w:t xml:space="preserve"> </w:t>
          </w:r>
          <w:r>
            <w:rPr>
              <w:rFonts w:ascii="宋体" w:hAnsi="宋体" w:eastAsia="宋体" w:cs="宋体"/>
              <w:sz w:val="20"/>
              <w:szCs w:val="20"/>
            </w:rPr>
            <w:tab/>
          </w:r>
          <w:r>
            <w:rPr>
              <w:rFonts w:ascii="宋体" w:hAnsi="宋体" w:eastAsia="宋体" w:cs="宋体"/>
              <w:spacing w:val="-50"/>
              <w:sz w:val="20"/>
              <w:szCs w:val="20"/>
            </w:rPr>
            <w:t xml:space="preserve"> </w:t>
          </w:r>
          <w:r>
            <w:rPr>
              <w:rFonts w:ascii="Times New Roman" w:hAnsi="Times New Roman" w:eastAsia="Times New Roman" w:cs="Times New Roman"/>
              <w:spacing w:val="3"/>
              <w:sz w:val="20"/>
              <w:szCs w:val="20"/>
            </w:rPr>
            <w:t>217</w:t>
          </w:r>
          <w:r>
            <w:rPr>
              <w:rFonts w:ascii="Times New Roman" w:hAnsi="Times New Roman" w:eastAsia="Times New Roman" w:cs="Times New Roman"/>
              <w:spacing w:val="3"/>
              <w:sz w:val="20"/>
              <w:szCs w:val="20"/>
            </w:rPr>
            <w:fldChar w:fldCharType="end"/>
          </w:r>
        </w:p>
        <w:p w14:paraId="2998AA96">
          <w:pPr>
            <w:tabs>
              <w:tab w:val="right" w:leader="dot" w:pos="8720"/>
            </w:tabs>
            <w:spacing w:before="64" w:line="193" w:lineRule="auto"/>
            <w:ind w:left="850"/>
            <w:rPr>
              <w:rFonts w:ascii="Times New Roman" w:hAnsi="Times New Roman" w:eastAsia="Times New Roman" w:cs="Times New Roman"/>
              <w:sz w:val="20"/>
              <w:szCs w:val="20"/>
            </w:rPr>
          </w:pPr>
          <w:bookmarkStart w:id="139" w:name="bookmark279"/>
          <w:bookmarkEnd w:id="139"/>
          <w:r>
            <w:fldChar w:fldCharType="begin"/>
          </w:r>
          <w:r>
            <w:instrText xml:space="preserve"> HYPERLINK \l "bookmark280" </w:instrText>
          </w:r>
          <w:r>
            <w:fldChar w:fldCharType="separate"/>
          </w:r>
          <w:r>
            <w:rPr>
              <w:rFonts w:ascii="Times New Roman" w:hAnsi="Times New Roman" w:eastAsia="Times New Roman" w:cs="Times New Roman"/>
              <w:spacing w:val="6"/>
              <w:sz w:val="20"/>
              <w:szCs w:val="20"/>
            </w:rPr>
            <w:t xml:space="preserve">5.5.1 </w:t>
          </w:r>
          <w:r>
            <w:rPr>
              <w:rFonts w:ascii="宋体" w:hAnsi="宋体" w:eastAsia="宋体" w:cs="宋体"/>
              <w:spacing w:val="6"/>
              <w:sz w:val="20"/>
              <w:szCs w:val="20"/>
            </w:rPr>
            <w:t>煤气泄漏源项分析</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217</w:t>
          </w:r>
          <w:r>
            <w:rPr>
              <w:rFonts w:ascii="Times New Roman" w:hAnsi="Times New Roman" w:eastAsia="Times New Roman" w:cs="Times New Roman"/>
              <w:spacing w:val="3"/>
              <w:sz w:val="20"/>
              <w:szCs w:val="20"/>
            </w:rPr>
            <w:fldChar w:fldCharType="end"/>
          </w:r>
        </w:p>
        <w:p w14:paraId="2695B3D6">
          <w:pPr>
            <w:tabs>
              <w:tab w:val="right" w:leader="dot" w:pos="8720"/>
            </w:tabs>
            <w:spacing w:before="62" w:line="194" w:lineRule="auto"/>
            <w:ind w:left="850"/>
            <w:rPr>
              <w:rFonts w:ascii="Times New Roman" w:hAnsi="Times New Roman" w:eastAsia="Times New Roman" w:cs="Times New Roman"/>
              <w:sz w:val="20"/>
              <w:szCs w:val="20"/>
            </w:rPr>
          </w:pPr>
          <w:bookmarkStart w:id="140" w:name="bookmark281"/>
          <w:bookmarkEnd w:id="140"/>
          <w:r>
            <w:fldChar w:fldCharType="begin"/>
          </w:r>
          <w:r>
            <w:instrText xml:space="preserve"> HYPERLINK \l "bookmark282" </w:instrText>
          </w:r>
          <w:r>
            <w:fldChar w:fldCharType="separate"/>
          </w:r>
          <w:r>
            <w:rPr>
              <w:rFonts w:ascii="Times New Roman" w:hAnsi="Times New Roman" w:eastAsia="Times New Roman" w:cs="Times New Roman"/>
              <w:spacing w:val="7"/>
              <w:sz w:val="20"/>
              <w:szCs w:val="20"/>
            </w:rPr>
            <w:t xml:space="preserve">5.5.2 </w:t>
          </w:r>
          <w:r>
            <w:rPr>
              <w:rFonts w:ascii="宋体" w:hAnsi="宋体" w:eastAsia="宋体" w:cs="宋体"/>
              <w:spacing w:val="7"/>
              <w:sz w:val="20"/>
              <w:szCs w:val="20"/>
            </w:rPr>
            <w:t>煤气冷凝废水隔油池泄漏源项分析</w:t>
          </w:r>
          <w:r>
            <w:rPr>
              <w:rFonts w:ascii="宋体" w:hAnsi="宋体" w:eastAsia="宋体" w:cs="宋体"/>
              <w:spacing w:val="-46"/>
              <w:sz w:val="20"/>
              <w:szCs w:val="20"/>
            </w:rPr>
            <w:t xml:space="preserve"> </w:t>
          </w:r>
          <w:r>
            <w:rPr>
              <w:rFonts w:ascii="宋体" w:hAnsi="宋体" w:eastAsia="宋体" w:cs="宋体"/>
              <w:sz w:val="20"/>
              <w:szCs w:val="20"/>
            </w:rPr>
            <w:tab/>
          </w:r>
          <w:r>
            <w:rPr>
              <w:rFonts w:ascii="Times New Roman" w:hAnsi="Times New Roman" w:eastAsia="Times New Roman" w:cs="Times New Roman"/>
              <w:spacing w:val="10"/>
              <w:sz w:val="20"/>
              <w:szCs w:val="20"/>
            </w:rPr>
            <w:t>219</w:t>
          </w:r>
          <w:r>
            <w:rPr>
              <w:rFonts w:ascii="Times New Roman" w:hAnsi="Times New Roman" w:eastAsia="Times New Roman" w:cs="Times New Roman"/>
              <w:spacing w:val="10"/>
              <w:sz w:val="20"/>
              <w:szCs w:val="20"/>
            </w:rPr>
            <w:fldChar w:fldCharType="end"/>
          </w:r>
        </w:p>
        <w:p w14:paraId="6EECCA24">
          <w:pPr>
            <w:tabs>
              <w:tab w:val="right" w:leader="dot" w:pos="8720"/>
            </w:tabs>
            <w:spacing w:before="64" w:line="193" w:lineRule="auto"/>
            <w:ind w:left="430"/>
            <w:rPr>
              <w:rFonts w:ascii="Times New Roman" w:hAnsi="Times New Roman" w:eastAsia="Times New Roman" w:cs="Times New Roman"/>
              <w:sz w:val="20"/>
              <w:szCs w:val="20"/>
            </w:rPr>
          </w:pPr>
          <w:bookmarkStart w:id="141" w:name="bookmark283"/>
          <w:bookmarkEnd w:id="141"/>
          <w:r>
            <w:fldChar w:fldCharType="begin"/>
          </w:r>
          <w:r>
            <w:instrText xml:space="preserve"> HYPERLINK \l "bookmark284" </w:instrText>
          </w:r>
          <w:r>
            <w:fldChar w:fldCharType="separate"/>
          </w:r>
          <w:r>
            <w:rPr>
              <w:rFonts w:ascii="Times New Roman" w:hAnsi="Times New Roman" w:eastAsia="Times New Roman" w:cs="Times New Roman"/>
              <w:spacing w:val="7"/>
              <w:sz w:val="20"/>
              <w:szCs w:val="20"/>
            </w:rPr>
            <w:t xml:space="preserve">5.6 </w:t>
          </w:r>
          <w:r>
            <w:rPr>
              <w:rFonts w:ascii="宋体" w:hAnsi="宋体" w:eastAsia="宋体" w:cs="宋体"/>
              <w:spacing w:val="7"/>
              <w:sz w:val="20"/>
              <w:szCs w:val="20"/>
            </w:rPr>
            <w:t>环境风险预测与评价</w:t>
          </w:r>
          <w:r>
            <w:rPr>
              <w:rFonts w:ascii="宋体" w:hAnsi="宋体" w:eastAsia="宋体" w:cs="宋体"/>
              <w:spacing w:val="-58"/>
              <w:sz w:val="20"/>
              <w:szCs w:val="20"/>
            </w:rPr>
            <w:t xml:space="preserve"> </w:t>
          </w:r>
          <w:r>
            <w:rPr>
              <w:rFonts w:ascii="宋体" w:hAnsi="宋体" w:eastAsia="宋体" w:cs="宋体"/>
              <w:sz w:val="20"/>
              <w:szCs w:val="20"/>
            </w:rPr>
            <w:tab/>
          </w:r>
          <w:r>
            <w:rPr>
              <w:rFonts w:ascii="宋体" w:hAnsi="宋体" w:eastAsia="宋体" w:cs="宋体"/>
              <w:spacing w:val="-59"/>
              <w:sz w:val="20"/>
              <w:szCs w:val="20"/>
            </w:rPr>
            <w:t xml:space="preserve"> </w:t>
          </w:r>
          <w:r>
            <w:rPr>
              <w:rFonts w:ascii="Times New Roman" w:hAnsi="Times New Roman" w:eastAsia="Times New Roman" w:cs="Times New Roman"/>
              <w:spacing w:val="3"/>
              <w:sz w:val="20"/>
              <w:szCs w:val="20"/>
            </w:rPr>
            <w:t>219</w:t>
          </w:r>
          <w:r>
            <w:rPr>
              <w:rFonts w:ascii="Times New Roman" w:hAnsi="Times New Roman" w:eastAsia="Times New Roman" w:cs="Times New Roman"/>
              <w:spacing w:val="3"/>
              <w:sz w:val="20"/>
              <w:szCs w:val="20"/>
            </w:rPr>
            <w:fldChar w:fldCharType="end"/>
          </w:r>
        </w:p>
        <w:p w14:paraId="4F6739F9">
          <w:pPr>
            <w:tabs>
              <w:tab w:val="right" w:leader="dot" w:pos="8720"/>
            </w:tabs>
            <w:spacing w:before="62" w:line="193" w:lineRule="auto"/>
            <w:ind w:left="850"/>
            <w:rPr>
              <w:rFonts w:ascii="Times New Roman" w:hAnsi="Times New Roman" w:eastAsia="Times New Roman" w:cs="Times New Roman"/>
              <w:sz w:val="20"/>
              <w:szCs w:val="20"/>
            </w:rPr>
          </w:pPr>
          <w:bookmarkStart w:id="142" w:name="bookmark285"/>
          <w:bookmarkEnd w:id="142"/>
          <w:r>
            <w:fldChar w:fldCharType="begin"/>
          </w:r>
          <w:r>
            <w:instrText xml:space="preserve"> HYPERLINK \l "bookmark286" </w:instrText>
          </w:r>
          <w:r>
            <w:fldChar w:fldCharType="separate"/>
          </w:r>
          <w:r>
            <w:rPr>
              <w:rFonts w:ascii="Times New Roman" w:hAnsi="Times New Roman" w:eastAsia="Times New Roman" w:cs="Times New Roman"/>
              <w:spacing w:val="7"/>
              <w:sz w:val="20"/>
              <w:szCs w:val="20"/>
            </w:rPr>
            <w:t xml:space="preserve">5.6.1 </w:t>
          </w:r>
          <w:r>
            <w:rPr>
              <w:rFonts w:ascii="宋体" w:hAnsi="宋体" w:eastAsia="宋体" w:cs="宋体"/>
              <w:spacing w:val="7"/>
              <w:sz w:val="20"/>
              <w:szCs w:val="20"/>
            </w:rPr>
            <w:t>大气环境风险情形预测与评价</w:t>
          </w:r>
          <w:r>
            <w:rPr>
              <w:rFonts w:ascii="宋体" w:hAnsi="宋体" w:eastAsia="宋体" w:cs="宋体"/>
              <w:spacing w:val="-46"/>
              <w:sz w:val="20"/>
              <w:szCs w:val="20"/>
            </w:rPr>
            <w:t xml:space="preserve"> </w:t>
          </w:r>
          <w:r>
            <w:rPr>
              <w:rFonts w:ascii="宋体" w:hAnsi="宋体" w:eastAsia="宋体" w:cs="宋体"/>
              <w:sz w:val="20"/>
              <w:szCs w:val="20"/>
            </w:rPr>
            <w:tab/>
          </w:r>
          <w:r>
            <w:rPr>
              <w:rFonts w:ascii="Times New Roman" w:hAnsi="Times New Roman" w:eastAsia="Times New Roman" w:cs="Times New Roman"/>
              <w:spacing w:val="10"/>
              <w:sz w:val="20"/>
              <w:szCs w:val="20"/>
            </w:rPr>
            <w:t>219</w:t>
          </w:r>
          <w:r>
            <w:rPr>
              <w:rFonts w:ascii="Times New Roman" w:hAnsi="Times New Roman" w:eastAsia="Times New Roman" w:cs="Times New Roman"/>
              <w:spacing w:val="10"/>
              <w:sz w:val="20"/>
              <w:szCs w:val="20"/>
            </w:rPr>
            <w:fldChar w:fldCharType="end"/>
          </w:r>
        </w:p>
        <w:p w14:paraId="7252488D">
          <w:pPr>
            <w:tabs>
              <w:tab w:val="right" w:leader="dot" w:pos="8720"/>
            </w:tabs>
            <w:spacing w:before="62" w:line="194" w:lineRule="auto"/>
            <w:ind w:left="850"/>
            <w:rPr>
              <w:rFonts w:ascii="Times New Roman" w:hAnsi="Times New Roman" w:eastAsia="Times New Roman" w:cs="Times New Roman"/>
              <w:sz w:val="20"/>
              <w:szCs w:val="20"/>
            </w:rPr>
          </w:pPr>
          <w:bookmarkStart w:id="143" w:name="bookmark287"/>
          <w:bookmarkEnd w:id="143"/>
          <w:r>
            <w:fldChar w:fldCharType="begin"/>
          </w:r>
          <w:r>
            <w:instrText xml:space="preserve"> HYPERLINK \l "bookmark288" </w:instrText>
          </w:r>
          <w:r>
            <w:fldChar w:fldCharType="separate"/>
          </w:r>
          <w:r>
            <w:rPr>
              <w:rFonts w:ascii="Times New Roman" w:hAnsi="Times New Roman" w:eastAsia="Times New Roman" w:cs="Times New Roman"/>
              <w:spacing w:val="7"/>
              <w:sz w:val="20"/>
              <w:szCs w:val="20"/>
            </w:rPr>
            <w:t xml:space="preserve">5.6.2 </w:t>
          </w:r>
          <w:r>
            <w:rPr>
              <w:rFonts w:ascii="宋体" w:hAnsi="宋体" w:eastAsia="宋体" w:cs="宋体"/>
              <w:spacing w:val="7"/>
              <w:sz w:val="20"/>
              <w:szCs w:val="20"/>
            </w:rPr>
            <w:t>地表水环境风险影响分析</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70"/>
              <w:sz w:val="20"/>
              <w:szCs w:val="20"/>
            </w:rPr>
            <w:t xml:space="preserve"> </w:t>
          </w:r>
          <w:r>
            <w:rPr>
              <w:rFonts w:ascii="Times New Roman" w:hAnsi="Times New Roman" w:eastAsia="Times New Roman" w:cs="Times New Roman"/>
              <w:spacing w:val="3"/>
              <w:sz w:val="20"/>
              <w:szCs w:val="20"/>
            </w:rPr>
            <w:t>222</w:t>
          </w:r>
          <w:r>
            <w:rPr>
              <w:rFonts w:ascii="Times New Roman" w:hAnsi="Times New Roman" w:eastAsia="Times New Roman" w:cs="Times New Roman"/>
              <w:spacing w:val="3"/>
              <w:sz w:val="20"/>
              <w:szCs w:val="20"/>
            </w:rPr>
            <w:fldChar w:fldCharType="end"/>
          </w:r>
        </w:p>
        <w:p w14:paraId="6AA0BCD0">
          <w:pPr>
            <w:tabs>
              <w:tab w:val="right" w:leader="dot" w:pos="8720"/>
            </w:tabs>
            <w:spacing w:before="63" w:line="193" w:lineRule="auto"/>
            <w:ind w:left="850"/>
            <w:rPr>
              <w:rFonts w:ascii="Times New Roman" w:hAnsi="Times New Roman" w:eastAsia="Times New Roman" w:cs="Times New Roman"/>
              <w:sz w:val="20"/>
              <w:szCs w:val="20"/>
            </w:rPr>
          </w:pPr>
          <w:bookmarkStart w:id="144" w:name="bookmark289"/>
          <w:bookmarkEnd w:id="144"/>
          <w:r>
            <w:fldChar w:fldCharType="begin"/>
          </w:r>
          <w:r>
            <w:instrText xml:space="preserve"> HYPERLINK \l "bookmark290" </w:instrText>
          </w:r>
          <w:r>
            <w:fldChar w:fldCharType="separate"/>
          </w:r>
          <w:r>
            <w:rPr>
              <w:rFonts w:ascii="Times New Roman" w:hAnsi="Times New Roman" w:eastAsia="Times New Roman" w:cs="Times New Roman"/>
              <w:spacing w:val="7"/>
              <w:sz w:val="20"/>
              <w:szCs w:val="20"/>
            </w:rPr>
            <w:t xml:space="preserve">5.6.3 </w:t>
          </w:r>
          <w:r>
            <w:rPr>
              <w:rFonts w:ascii="宋体" w:hAnsi="宋体" w:eastAsia="宋体" w:cs="宋体"/>
              <w:spacing w:val="7"/>
              <w:sz w:val="20"/>
              <w:szCs w:val="20"/>
            </w:rPr>
            <w:t>地下水环境风险影响预测与评价</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74"/>
              <w:sz w:val="20"/>
              <w:szCs w:val="20"/>
            </w:rPr>
            <w:t xml:space="preserve"> </w:t>
          </w:r>
          <w:r>
            <w:rPr>
              <w:rFonts w:ascii="Times New Roman" w:hAnsi="Times New Roman" w:eastAsia="Times New Roman" w:cs="Times New Roman"/>
              <w:spacing w:val="3"/>
              <w:sz w:val="20"/>
              <w:szCs w:val="20"/>
            </w:rPr>
            <w:t>223</w:t>
          </w:r>
          <w:r>
            <w:rPr>
              <w:rFonts w:ascii="Times New Roman" w:hAnsi="Times New Roman" w:eastAsia="Times New Roman" w:cs="Times New Roman"/>
              <w:spacing w:val="3"/>
              <w:sz w:val="20"/>
              <w:szCs w:val="20"/>
            </w:rPr>
            <w:fldChar w:fldCharType="end"/>
          </w:r>
        </w:p>
        <w:p w14:paraId="5CFF4965">
          <w:pPr>
            <w:tabs>
              <w:tab w:val="right" w:leader="dot" w:pos="8720"/>
            </w:tabs>
            <w:spacing w:before="65" w:line="193" w:lineRule="auto"/>
            <w:ind w:left="850"/>
            <w:rPr>
              <w:rFonts w:ascii="Times New Roman" w:hAnsi="Times New Roman" w:eastAsia="Times New Roman" w:cs="Times New Roman"/>
              <w:sz w:val="20"/>
              <w:szCs w:val="20"/>
            </w:rPr>
          </w:pPr>
          <w:bookmarkStart w:id="145" w:name="bookmark291"/>
          <w:bookmarkEnd w:id="145"/>
          <w:r>
            <w:fldChar w:fldCharType="begin"/>
          </w:r>
          <w:r>
            <w:instrText xml:space="preserve"> HYPERLINK \l "bookmark292" </w:instrText>
          </w:r>
          <w:r>
            <w:fldChar w:fldCharType="separate"/>
          </w:r>
          <w:r>
            <w:rPr>
              <w:rFonts w:ascii="Times New Roman" w:hAnsi="Times New Roman" w:eastAsia="Times New Roman" w:cs="Times New Roman"/>
              <w:spacing w:val="6"/>
              <w:sz w:val="20"/>
              <w:szCs w:val="20"/>
            </w:rPr>
            <w:t xml:space="preserve">5.6.4 </w:t>
          </w:r>
          <w:r>
            <w:rPr>
              <w:rFonts w:ascii="宋体" w:hAnsi="宋体" w:eastAsia="宋体" w:cs="宋体"/>
              <w:spacing w:val="6"/>
              <w:sz w:val="20"/>
              <w:szCs w:val="20"/>
            </w:rPr>
            <w:t>土壤环境风险影响分析</w:t>
          </w:r>
          <w:r>
            <w:rPr>
              <w:rFonts w:ascii="宋体" w:hAnsi="宋体" w:eastAsia="宋体" w:cs="宋体"/>
              <w:spacing w:val="-46"/>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226</w:t>
          </w:r>
          <w:r>
            <w:rPr>
              <w:rFonts w:ascii="Times New Roman" w:hAnsi="Times New Roman" w:eastAsia="Times New Roman" w:cs="Times New Roman"/>
              <w:spacing w:val="3"/>
              <w:sz w:val="20"/>
              <w:szCs w:val="20"/>
            </w:rPr>
            <w:fldChar w:fldCharType="end"/>
          </w:r>
        </w:p>
        <w:p w14:paraId="151610AA">
          <w:pPr>
            <w:tabs>
              <w:tab w:val="right" w:leader="dot" w:pos="8720"/>
            </w:tabs>
            <w:spacing w:before="62" w:line="194" w:lineRule="auto"/>
            <w:ind w:left="850"/>
            <w:rPr>
              <w:rFonts w:ascii="Times New Roman" w:hAnsi="Times New Roman" w:eastAsia="Times New Roman" w:cs="Times New Roman"/>
              <w:sz w:val="20"/>
              <w:szCs w:val="20"/>
            </w:rPr>
          </w:pPr>
          <w:bookmarkStart w:id="146" w:name="bookmark293"/>
          <w:bookmarkEnd w:id="146"/>
          <w:r>
            <w:fldChar w:fldCharType="begin"/>
          </w:r>
          <w:r>
            <w:instrText xml:space="preserve"> HYPERLINK \l "bookmark294" </w:instrText>
          </w:r>
          <w:r>
            <w:fldChar w:fldCharType="separate"/>
          </w:r>
          <w:r>
            <w:rPr>
              <w:rFonts w:ascii="Times New Roman" w:hAnsi="Times New Roman" w:eastAsia="Times New Roman" w:cs="Times New Roman"/>
              <w:spacing w:val="5"/>
              <w:sz w:val="20"/>
              <w:szCs w:val="20"/>
            </w:rPr>
            <w:t xml:space="preserve">5.6.5 </w:t>
          </w:r>
          <w:r>
            <w:rPr>
              <w:rFonts w:ascii="宋体" w:hAnsi="宋体" w:eastAsia="宋体" w:cs="宋体"/>
              <w:spacing w:val="5"/>
              <w:sz w:val="20"/>
              <w:szCs w:val="20"/>
            </w:rPr>
            <w:t>环境风险评价</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226</w:t>
          </w:r>
          <w:r>
            <w:rPr>
              <w:rFonts w:ascii="Times New Roman" w:hAnsi="Times New Roman" w:eastAsia="Times New Roman" w:cs="Times New Roman"/>
              <w:spacing w:val="3"/>
              <w:sz w:val="20"/>
              <w:szCs w:val="20"/>
            </w:rPr>
            <w:fldChar w:fldCharType="end"/>
          </w:r>
        </w:p>
        <w:p w14:paraId="6BE8C52A">
          <w:pPr>
            <w:tabs>
              <w:tab w:val="right" w:leader="dot" w:pos="8720"/>
            </w:tabs>
            <w:spacing w:before="63" w:line="193" w:lineRule="auto"/>
            <w:ind w:left="430"/>
            <w:rPr>
              <w:rFonts w:ascii="Times New Roman" w:hAnsi="Times New Roman" w:eastAsia="Times New Roman" w:cs="Times New Roman"/>
              <w:sz w:val="20"/>
              <w:szCs w:val="20"/>
            </w:rPr>
          </w:pPr>
          <w:bookmarkStart w:id="147" w:name="bookmark295"/>
          <w:bookmarkEnd w:id="147"/>
          <w:r>
            <w:fldChar w:fldCharType="begin"/>
          </w:r>
          <w:r>
            <w:instrText xml:space="preserve"> HYPERLINK \l "bookmark296" </w:instrText>
          </w:r>
          <w:r>
            <w:fldChar w:fldCharType="separate"/>
          </w:r>
          <w:r>
            <w:rPr>
              <w:rFonts w:ascii="Times New Roman" w:hAnsi="Times New Roman" w:eastAsia="Times New Roman" w:cs="Times New Roman"/>
              <w:spacing w:val="7"/>
              <w:sz w:val="20"/>
              <w:szCs w:val="20"/>
            </w:rPr>
            <w:t xml:space="preserve">5.7 </w:t>
          </w:r>
          <w:r>
            <w:rPr>
              <w:rFonts w:ascii="宋体" w:hAnsi="宋体" w:eastAsia="宋体" w:cs="宋体"/>
              <w:spacing w:val="7"/>
              <w:sz w:val="20"/>
              <w:szCs w:val="20"/>
            </w:rPr>
            <w:t>环境风险防范措施及应急要求</w:t>
          </w:r>
          <w:r>
            <w:rPr>
              <w:rFonts w:ascii="宋体" w:hAnsi="宋体" w:eastAsia="宋体" w:cs="宋体"/>
              <w:spacing w:val="-46"/>
              <w:sz w:val="20"/>
              <w:szCs w:val="20"/>
            </w:rPr>
            <w:t xml:space="preserve"> </w:t>
          </w:r>
          <w:r>
            <w:rPr>
              <w:rFonts w:ascii="宋体" w:hAnsi="宋体" w:eastAsia="宋体" w:cs="宋体"/>
              <w:sz w:val="20"/>
              <w:szCs w:val="20"/>
            </w:rPr>
            <w:tab/>
          </w:r>
          <w:r>
            <w:rPr>
              <w:rFonts w:ascii="宋体" w:hAnsi="宋体" w:eastAsia="宋体" w:cs="宋体"/>
              <w:spacing w:val="-67"/>
              <w:sz w:val="20"/>
              <w:szCs w:val="20"/>
            </w:rPr>
            <w:t xml:space="preserve"> </w:t>
          </w:r>
          <w:r>
            <w:rPr>
              <w:rFonts w:ascii="Times New Roman" w:hAnsi="Times New Roman" w:eastAsia="Times New Roman" w:cs="Times New Roman"/>
              <w:spacing w:val="3"/>
              <w:sz w:val="20"/>
              <w:szCs w:val="20"/>
            </w:rPr>
            <w:t>227</w:t>
          </w:r>
          <w:r>
            <w:rPr>
              <w:rFonts w:ascii="Times New Roman" w:hAnsi="Times New Roman" w:eastAsia="Times New Roman" w:cs="Times New Roman"/>
              <w:spacing w:val="3"/>
              <w:sz w:val="20"/>
              <w:szCs w:val="20"/>
            </w:rPr>
            <w:fldChar w:fldCharType="end"/>
          </w:r>
        </w:p>
        <w:p w14:paraId="104EE4E6">
          <w:pPr>
            <w:tabs>
              <w:tab w:val="right" w:leader="dot" w:pos="8720"/>
            </w:tabs>
            <w:spacing w:before="63" w:line="193" w:lineRule="auto"/>
            <w:ind w:left="850"/>
            <w:rPr>
              <w:rFonts w:ascii="Times New Roman" w:hAnsi="Times New Roman" w:eastAsia="Times New Roman" w:cs="Times New Roman"/>
              <w:sz w:val="20"/>
              <w:szCs w:val="20"/>
            </w:rPr>
          </w:pPr>
          <w:bookmarkStart w:id="148" w:name="bookmark297"/>
          <w:bookmarkEnd w:id="148"/>
          <w:r>
            <w:fldChar w:fldCharType="begin"/>
          </w:r>
          <w:r>
            <w:instrText xml:space="preserve"> HYPERLINK \l "bookmark298" </w:instrText>
          </w:r>
          <w:r>
            <w:fldChar w:fldCharType="separate"/>
          </w:r>
          <w:r>
            <w:rPr>
              <w:rFonts w:ascii="Times New Roman" w:hAnsi="Times New Roman" w:eastAsia="Times New Roman" w:cs="Times New Roman"/>
              <w:spacing w:val="4"/>
              <w:sz w:val="20"/>
              <w:szCs w:val="20"/>
            </w:rPr>
            <w:t xml:space="preserve">5.7.1 </w:t>
          </w:r>
          <w:r>
            <w:rPr>
              <w:rFonts w:ascii="宋体" w:hAnsi="宋体" w:eastAsia="宋体" w:cs="宋体"/>
              <w:spacing w:val="4"/>
              <w:sz w:val="20"/>
              <w:szCs w:val="20"/>
            </w:rPr>
            <w:t>风险管理</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228</w:t>
          </w:r>
          <w:r>
            <w:rPr>
              <w:rFonts w:ascii="Times New Roman" w:hAnsi="Times New Roman" w:eastAsia="Times New Roman" w:cs="Times New Roman"/>
              <w:spacing w:val="3"/>
              <w:sz w:val="20"/>
              <w:szCs w:val="20"/>
            </w:rPr>
            <w:fldChar w:fldCharType="end"/>
          </w:r>
        </w:p>
        <w:p w14:paraId="121C9AC9">
          <w:pPr>
            <w:tabs>
              <w:tab w:val="right" w:leader="dot" w:pos="8720"/>
            </w:tabs>
            <w:spacing w:before="62" w:line="194" w:lineRule="auto"/>
            <w:ind w:left="850"/>
            <w:rPr>
              <w:rFonts w:ascii="Times New Roman" w:hAnsi="Times New Roman" w:eastAsia="Times New Roman" w:cs="Times New Roman"/>
              <w:sz w:val="20"/>
              <w:szCs w:val="20"/>
            </w:rPr>
          </w:pPr>
          <w:bookmarkStart w:id="149" w:name="bookmark299"/>
          <w:bookmarkEnd w:id="149"/>
          <w:r>
            <w:fldChar w:fldCharType="begin"/>
          </w:r>
          <w:r>
            <w:instrText xml:space="preserve"> HYPERLINK \l "bookmark300" </w:instrText>
          </w:r>
          <w:r>
            <w:fldChar w:fldCharType="separate"/>
          </w:r>
          <w:r>
            <w:rPr>
              <w:rFonts w:ascii="Times New Roman" w:hAnsi="Times New Roman" w:eastAsia="Times New Roman" w:cs="Times New Roman"/>
              <w:spacing w:val="7"/>
              <w:sz w:val="20"/>
              <w:szCs w:val="20"/>
            </w:rPr>
            <w:t xml:space="preserve">5.7.2 </w:t>
          </w:r>
          <w:r>
            <w:rPr>
              <w:rFonts w:ascii="宋体" w:hAnsi="宋体" w:eastAsia="宋体" w:cs="宋体"/>
              <w:spacing w:val="7"/>
              <w:sz w:val="20"/>
              <w:szCs w:val="20"/>
            </w:rPr>
            <w:t>总图布置和建筑安全防范措施</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74"/>
              <w:sz w:val="20"/>
              <w:szCs w:val="20"/>
            </w:rPr>
            <w:t xml:space="preserve"> </w:t>
          </w:r>
          <w:r>
            <w:rPr>
              <w:rFonts w:ascii="Times New Roman" w:hAnsi="Times New Roman" w:eastAsia="Times New Roman" w:cs="Times New Roman"/>
              <w:spacing w:val="3"/>
              <w:sz w:val="20"/>
              <w:szCs w:val="20"/>
            </w:rPr>
            <w:t>228</w:t>
          </w:r>
          <w:r>
            <w:rPr>
              <w:rFonts w:ascii="Times New Roman" w:hAnsi="Times New Roman" w:eastAsia="Times New Roman" w:cs="Times New Roman"/>
              <w:spacing w:val="3"/>
              <w:sz w:val="20"/>
              <w:szCs w:val="20"/>
            </w:rPr>
            <w:fldChar w:fldCharType="end"/>
          </w:r>
        </w:p>
        <w:p w14:paraId="1956F8C7">
          <w:pPr>
            <w:tabs>
              <w:tab w:val="right" w:leader="dot" w:pos="8720"/>
            </w:tabs>
            <w:spacing w:before="64" w:line="228" w:lineRule="auto"/>
            <w:ind w:left="850"/>
            <w:rPr>
              <w:rFonts w:ascii="Times New Roman" w:hAnsi="Times New Roman" w:eastAsia="Times New Roman" w:cs="Times New Roman"/>
              <w:sz w:val="20"/>
              <w:szCs w:val="20"/>
            </w:rPr>
          </w:pPr>
          <w:bookmarkStart w:id="150" w:name="bookmark301"/>
          <w:bookmarkEnd w:id="150"/>
          <w:r>
            <w:fldChar w:fldCharType="begin"/>
          </w:r>
          <w:r>
            <w:instrText xml:space="preserve"> HYPERLINK \l "bookmark302" </w:instrText>
          </w:r>
          <w:r>
            <w:fldChar w:fldCharType="separate"/>
          </w:r>
          <w:r>
            <w:rPr>
              <w:rFonts w:ascii="Times New Roman" w:hAnsi="Times New Roman" w:eastAsia="Times New Roman" w:cs="Times New Roman"/>
              <w:spacing w:val="6"/>
              <w:sz w:val="20"/>
              <w:szCs w:val="20"/>
            </w:rPr>
            <w:t xml:space="preserve">5.7.3 </w:t>
          </w:r>
          <w:r>
            <w:rPr>
              <w:rFonts w:ascii="宋体" w:hAnsi="宋体" w:eastAsia="宋体" w:cs="宋体"/>
              <w:spacing w:val="6"/>
              <w:sz w:val="20"/>
              <w:szCs w:val="20"/>
            </w:rPr>
            <w:t>装置设备和工艺安全</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229</w:t>
          </w:r>
          <w:r>
            <w:rPr>
              <w:rFonts w:ascii="Times New Roman" w:hAnsi="Times New Roman" w:eastAsia="Times New Roman" w:cs="Times New Roman"/>
              <w:spacing w:val="3"/>
              <w:sz w:val="20"/>
              <w:szCs w:val="20"/>
            </w:rPr>
            <w:fldChar w:fldCharType="end"/>
          </w:r>
        </w:p>
      </w:sdtContent>
    </w:sdt>
    <w:p w14:paraId="430EE675">
      <w:pPr>
        <w:spacing w:line="228" w:lineRule="auto"/>
        <w:rPr>
          <w:rFonts w:ascii="Times New Roman" w:hAnsi="Times New Roman" w:eastAsia="Times New Roman" w:cs="Times New Roman"/>
          <w:sz w:val="20"/>
          <w:szCs w:val="20"/>
        </w:rPr>
        <w:sectPr>
          <w:footerReference r:id="rId10" w:type="default"/>
          <w:pgSz w:w="11906" w:h="16839"/>
          <w:pgMar w:top="1235" w:right="1587" w:bottom="1086" w:left="1588" w:header="925" w:footer="872" w:gutter="0"/>
          <w:cols w:space="720" w:num="1"/>
        </w:sectPr>
      </w:pPr>
    </w:p>
    <w:sdt>
      <w:sdtPr>
        <w:rPr>
          <w:rFonts w:ascii="Times New Roman" w:hAnsi="Times New Roman" w:eastAsia="Times New Roman" w:cs="Times New Roman"/>
          <w:sz w:val="20"/>
          <w:szCs w:val="20"/>
        </w:rPr>
        <w:id w:val="147455378"/>
        <w:docPartObj>
          <w:docPartGallery w:val="Table of Contents"/>
          <w:docPartUnique/>
        </w:docPartObj>
      </w:sdtPr>
      <w:sdtEndPr>
        <w:rPr>
          <w:rFonts w:ascii="Times New Roman" w:hAnsi="Times New Roman" w:eastAsia="Times New Roman" w:cs="Times New Roman"/>
          <w:sz w:val="20"/>
          <w:szCs w:val="20"/>
        </w:rPr>
      </w:sdtEndPr>
      <w:sdtContent>
        <w:p w14:paraId="58B7B99E">
          <w:pPr>
            <w:tabs>
              <w:tab w:val="right" w:leader="dot" w:pos="8720"/>
            </w:tabs>
            <w:spacing w:before="212" w:line="193" w:lineRule="auto"/>
            <w:ind w:left="850"/>
            <w:rPr>
              <w:rFonts w:ascii="Times New Roman" w:hAnsi="Times New Roman" w:eastAsia="Times New Roman" w:cs="Times New Roman"/>
              <w:sz w:val="20"/>
              <w:szCs w:val="20"/>
            </w:rPr>
          </w:pPr>
          <w:r>
            <w:pict>
              <v:shape id="_x0000_s1029" o:spid="_x0000_s1029" style="position:absolute;left:0pt;margin-left:79.4pt;margin-top:62.5pt;height:0.75pt;width:436.55pt;mso-position-horizontal-relative:page;mso-position-vertical-relative:page;z-index:251663360;mso-width-relative:page;mso-height-relative:page;" fillcolor="#000000" filled="t" stroked="f" coordsize="8730,15" o:allowincell="f" path="m0,0l8730,0,8730,14,0,14,0,0xe">
                <v:path/>
                <v:fill on="t" focussize="0,0"/>
                <v:stroke on="f"/>
                <v:imagedata o:title=""/>
                <o:lock v:ext="edit"/>
              </v:shape>
            </w:pict>
          </w:r>
          <w:bookmarkStart w:id="151" w:name="bookmark303"/>
          <w:bookmarkEnd w:id="151"/>
          <w:r>
            <w:fldChar w:fldCharType="begin"/>
          </w:r>
          <w:r>
            <w:instrText xml:space="preserve"> HYPERLINK \l "bookmark304" </w:instrText>
          </w:r>
          <w:r>
            <w:fldChar w:fldCharType="separate"/>
          </w:r>
          <w:r>
            <w:rPr>
              <w:rFonts w:ascii="Times New Roman" w:hAnsi="Times New Roman" w:eastAsia="Times New Roman" w:cs="Times New Roman"/>
              <w:spacing w:val="7"/>
              <w:sz w:val="20"/>
              <w:szCs w:val="20"/>
            </w:rPr>
            <w:t xml:space="preserve">5.7.4 </w:t>
          </w:r>
          <w:r>
            <w:rPr>
              <w:rFonts w:ascii="宋体" w:hAnsi="宋体" w:eastAsia="宋体" w:cs="宋体"/>
              <w:spacing w:val="7"/>
              <w:sz w:val="20"/>
              <w:szCs w:val="20"/>
            </w:rPr>
            <w:t>危险物质储运操作风险防范措施</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74"/>
              <w:sz w:val="20"/>
              <w:szCs w:val="20"/>
            </w:rPr>
            <w:t xml:space="preserve"> </w:t>
          </w:r>
          <w:r>
            <w:rPr>
              <w:rFonts w:ascii="Times New Roman" w:hAnsi="Times New Roman" w:eastAsia="Times New Roman" w:cs="Times New Roman"/>
              <w:spacing w:val="3"/>
              <w:sz w:val="20"/>
              <w:szCs w:val="20"/>
            </w:rPr>
            <w:t>230</w:t>
          </w:r>
          <w:r>
            <w:rPr>
              <w:rFonts w:ascii="Times New Roman" w:hAnsi="Times New Roman" w:eastAsia="Times New Roman" w:cs="Times New Roman"/>
              <w:spacing w:val="3"/>
              <w:sz w:val="20"/>
              <w:szCs w:val="20"/>
            </w:rPr>
            <w:fldChar w:fldCharType="end"/>
          </w:r>
        </w:p>
        <w:p w14:paraId="0BABCE79">
          <w:pPr>
            <w:tabs>
              <w:tab w:val="right" w:leader="dot" w:pos="8720"/>
            </w:tabs>
            <w:spacing w:before="64" w:line="193" w:lineRule="auto"/>
            <w:ind w:left="850"/>
            <w:rPr>
              <w:rFonts w:ascii="Times New Roman" w:hAnsi="Times New Roman" w:eastAsia="Times New Roman" w:cs="Times New Roman"/>
              <w:sz w:val="20"/>
              <w:szCs w:val="20"/>
            </w:rPr>
          </w:pPr>
          <w:bookmarkStart w:id="152" w:name="bookmark305"/>
          <w:bookmarkEnd w:id="152"/>
          <w:r>
            <w:fldChar w:fldCharType="begin"/>
          </w:r>
          <w:r>
            <w:instrText xml:space="preserve"> HYPERLINK \l "bookmark306" </w:instrText>
          </w:r>
          <w:r>
            <w:fldChar w:fldCharType="separate"/>
          </w:r>
          <w:r>
            <w:rPr>
              <w:rFonts w:ascii="Times New Roman" w:hAnsi="Times New Roman" w:eastAsia="Times New Roman" w:cs="Times New Roman"/>
              <w:spacing w:val="6"/>
              <w:sz w:val="20"/>
              <w:szCs w:val="20"/>
            </w:rPr>
            <w:t xml:space="preserve">5.7.5 </w:t>
          </w:r>
          <w:r>
            <w:rPr>
              <w:rFonts w:ascii="宋体" w:hAnsi="宋体" w:eastAsia="宋体" w:cs="宋体"/>
              <w:spacing w:val="6"/>
              <w:sz w:val="20"/>
              <w:szCs w:val="20"/>
            </w:rPr>
            <w:t>消防及火灾报警系统</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230</w:t>
          </w:r>
          <w:r>
            <w:rPr>
              <w:rFonts w:ascii="Times New Roman" w:hAnsi="Times New Roman" w:eastAsia="Times New Roman" w:cs="Times New Roman"/>
              <w:spacing w:val="3"/>
              <w:sz w:val="20"/>
              <w:szCs w:val="20"/>
            </w:rPr>
            <w:fldChar w:fldCharType="end"/>
          </w:r>
        </w:p>
        <w:p w14:paraId="66DA641D">
          <w:pPr>
            <w:tabs>
              <w:tab w:val="right" w:leader="dot" w:pos="8720"/>
            </w:tabs>
            <w:spacing w:before="62" w:line="194" w:lineRule="auto"/>
            <w:ind w:left="850"/>
            <w:rPr>
              <w:rFonts w:ascii="Times New Roman" w:hAnsi="Times New Roman" w:eastAsia="Times New Roman" w:cs="Times New Roman"/>
              <w:sz w:val="20"/>
              <w:szCs w:val="20"/>
            </w:rPr>
          </w:pPr>
          <w:bookmarkStart w:id="153" w:name="bookmark307"/>
          <w:bookmarkEnd w:id="153"/>
          <w:r>
            <w:fldChar w:fldCharType="begin"/>
          </w:r>
          <w:r>
            <w:instrText xml:space="preserve"> HYPERLINK \l "bookmark308" </w:instrText>
          </w:r>
          <w:r>
            <w:fldChar w:fldCharType="separate"/>
          </w:r>
          <w:r>
            <w:rPr>
              <w:rFonts w:ascii="Times New Roman" w:hAnsi="Times New Roman" w:eastAsia="Times New Roman" w:cs="Times New Roman"/>
              <w:spacing w:val="6"/>
              <w:sz w:val="20"/>
              <w:szCs w:val="20"/>
            </w:rPr>
            <w:t xml:space="preserve">5.7.6  </w:t>
          </w:r>
          <w:r>
            <w:rPr>
              <w:rFonts w:ascii="宋体" w:hAnsi="宋体" w:eastAsia="宋体" w:cs="宋体"/>
              <w:spacing w:val="6"/>
              <w:sz w:val="20"/>
              <w:szCs w:val="20"/>
            </w:rPr>
            <w:t>一氧化碳泄露应急处置措施</w:t>
          </w:r>
          <w:r>
            <w:rPr>
              <w:rFonts w:ascii="宋体" w:hAnsi="宋体" w:eastAsia="宋体" w:cs="宋体"/>
              <w:spacing w:val="-41"/>
              <w:sz w:val="20"/>
              <w:szCs w:val="20"/>
            </w:rPr>
            <w:t xml:space="preserve"> </w:t>
          </w:r>
          <w:r>
            <w:rPr>
              <w:rFonts w:ascii="宋体" w:hAnsi="宋体" w:eastAsia="宋体" w:cs="宋体"/>
              <w:sz w:val="20"/>
              <w:szCs w:val="20"/>
            </w:rPr>
            <w:tab/>
          </w:r>
          <w:r>
            <w:rPr>
              <w:rFonts w:ascii="宋体" w:hAnsi="宋体" w:eastAsia="宋体" w:cs="宋体"/>
              <w:spacing w:val="-71"/>
              <w:sz w:val="20"/>
              <w:szCs w:val="20"/>
            </w:rPr>
            <w:t xml:space="preserve"> </w:t>
          </w:r>
          <w:r>
            <w:rPr>
              <w:rFonts w:ascii="Times New Roman" w:hAnsi="Times New Roman" w:eastAsia="Times New Roman" w:cs="Times New Roman"/>
              <w:spacing w:val="3"/>
              <w:sz w:val="20"/>
              <w:szCs w:val="20"/>
            </w:rPr>
            <w:t>231</w:t>
          </w:r>
          <w:r>
            <w:rPr>
              <w:rFonts w:ascii="Times New Roman" w:hAnsi="Times New Roman" w:eastAsia="Times New Roman" w:cs="Times New Roman"/>
              <w:spacing w:val="3"/>
              <w:sz w:val="20"/>
              <w:szCs w:val="20"/>
            </w:rPr>
            <w:fldChar w:fldCharType="end"/>
          </w:r>
        </w:p>
        <w:p w14:paraId="62945FA9">
          <w:pPr>
            <w:tabs>
              <w:tab w:val="right" w:leader="dot" w:pos="8720"/>
            </w:tabs>
            <w:spacing w:before="63" w:line="193" w:lineRule="auto"/>
            <w:ind w:left="850"/>
            <w:rPr>
              <w:rFonts w:ascii="Times New Roman" w:hAnsi="Times New Roman" w:eastAsia="Times New Roman" w:cs="Times New Roman"/>
              <w:sz w:val="20"/>
              <w:szCs w:val="20"/>
            </w:rPr>
          </w:pPr>
          <w:bookmarkStart w:id="154" w:name="bookmark309"/>
          <w:bookmarkEnd w:id="154"/>
          <w:r>
            <w:fldChar w:fldCharType="begin"/>
          </w:r>
          <w:r>
            <w:instrText xml:space="preserve"> HYPERLINK \l "bookmark310" </w:instrText>
          </w:r>
          <w:r>
            <w:fldChar w:fldCharType="separate"/>
          </w:r>
          <w:r>
            <w:rPr>
              <w:rFonts w:ascii="Times New Roman" w:hAnsi="Times New Roman" w:eastAsia="Times New Roman" w:cs="Times New Roman"/>
              <w:spacing w:val="4"/>
              <w:sz w:val="20"/>
              <w:szCs w:val="20"/>
            </w:rPr>
            <w:t xml:space="preserve">5.7.7 </w:t>
          </w:r>
          <w:r>
            <w:rPr>
              <w:rFonts w:ascii="宋体" w:hAnsi="宋体" w:eastAsia="宋体" w:cs="宋体"/>
              <w:spacing w:val="4"/>
              <w:sz w:val="20"/>
              <w:szCs w:val="20"/>
            </w:rPr>
            <w:t>其他措施</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232</w:t>
          </w:r>
          <w:r>
            <w:rPr>
              <w:rFonts w:ascii="Times New Roman" w:hAnsi="Times New Roman" w:eastAsia="Times New Roman" w:cs="Times New Roman"/>
              <w:spacing w:val="3"/>
              <w:sz w:val="20"/>
              <w:szCs w:val="20"/>
            </w:rPr>
            <w:fldChar w:fldCharType="end"/>
          </w:r>
        </w:p>
        <w:p w14:paraId="45BC74F0">
          <w:pPr>
            <w:tabs>
              <w:tab w:val="right" w:leader="dot" w:pos="8720"/>
            </w:tabs>
            <w:spacing w:before="62" w:line="193" w:lineRule="auto"/>
            <w:ind w:left="430"/>
            <w:rPr>
              <w:rFonts w:ascii="Times New Roman" w:hAnsi="Times New Roman" w:eastAsia="Times New Roman" w:cs="Times New Roman"/>
              <w:sz w:val="20"/>
              <w:szCs w:val="20"/>
            </w:rPr>
          </w:pPr>
          <w:bookmarkStart w:id="155" w:name="bookmark311"/>
          <w:bookmarkEnd w:id="155"/>
          <w:r>
            <w:fldChar w:fldCharType="begin"/>
          </w:r>
          <w:r>
            <w:instrText xml:space="preserve"> HYPERLINK \l "bookmark312" </w:instrText>
          </w:r>
          <w:r>
            <w:fldChar w:fldCharType="separate"/>
          </w:r>
          <w:r>
            <w:rPr>
              <w:rFonts w:ascii="Times New Roman" w:hAnsi="Times New Roman" w:eastAsia="Times New Roman" w:cs="Times New Roman"/>
              <w:spacing w:val="6"/>
              <w:sz w:val="20"/>
              <w:szCs w:val="20"/>
            </w:rPr>
            <w:t>5.8</w:t>
          </w:r>
          <w:r>
            <w:rPr>
              <w:rFonts w:ascii="Times New Roman" w:hAnsi="Times New Roman" w:eastAsia="Times New Roman" w:cs="Times New Roman"/>
              <w:spacing w:val="23"/>
              <w:sz w:val="20"/>
              <w:szCs w:val="20"/>
            </w:rPr>
            <w:t xml:space="preserve"> </w:t>
          </w:r>
          <w:r>
            <w:rPr>
              <w:rFonts w:ascii="宋体" w:hAnsi="宋体" w:eastAsia="宋体" w:cs="宋体"/>
              <w:spacing w:val="6"/>
              <w:sz w:val="20"/>
              <w:szCs w:val="20"/>
            </w:rPr>
            <w:t>突发环境事件应急预案</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232</w:t>
          </w:r>
          <w:r>
            <w:rPr>
              <w:rFonts w:ascii="Times New Roman" w:hAnsi="Times New Roman" w:eastAsia="Times New Roman" w:cs="Times New Roman"/>
              <w:spacing w:val="3"/>
              <w:sz w:val="20"/>
              <w:szCs w:val="20"/>
            </w:rPr>
            <w:fldChar w:fldCharType="end"/>
          </w:r>
        </w:p>
        <w:p w14:paraId="744BB8CA">
          <w:pPr>
            <w:tabs>
              <w:tab w:val="right" w:leader="dot" w:pos="8720"/>
            </w:tabs>
            <w:spacing w:before="62" w:line="194" w:lineRule="auto"/>
            <w:ind w:left="850"/>
            <w:rPr>
              <w:rFonts w:ascii="Times New Roman" w:hAnsi="Times New Roman" w:eastAsia="Times New Roman" w:cs="Times New Roman"/>
              <w:sz w:val="20"/>
              <w:szCs w:val="20"/>
            </w:rPr>
          </w:pPr>
          <w:bookmarkStart w:id="156" w:name="bookmark313"/>
          <w:bookmarkEnd w:id="156"/>
          <w:r>
            <w:fldChar w:fldCharType="begin"/>
          </w:r>
          <w:r>
            <w:instrText xml:space="preserve"> HYPERLINK \l "bookmark314" </w:instrText>
          </w:r>
          <w:r>
            <w:fldChar w:fldCharType="separate"/>
          </w:r>
          <w:r>
            <w:rPr>
              <w:rFonts w:ascii="Times New Roman" w:hAnsi="Times New Roman" w:eastAsia="Times New Roman" w:cs="Times New Roman"/>
              <w:spacing w:val="6"/>
              <w:sz w:val="20"/>
              <w:szCs w:val="20"/>
            </w:rPr>
            <w:t xml:space="preserve">5.8.1 </w:t>
          </w:r>
          <w:r>
            <w:rPr>
              <w:rFonts w:ascii="宋体" w:hAnsi="宋体" w:eastAsia="宋体" w:cs="宋体"/>
              <w:spacing w:val="6"/>
              <w:sz w:val="20"/>
              <w:szCs w:val="20"/>
            </w:rPr>
            <w:t>应急组织机构和人员</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233</w:t>
          </w:r>
          <w:r>
            <w:rPr>
              <w:rFonts w:ascii="Times New Roman" w:hAnsi="Times New Roman" w:eastAsia="Times New Roman" w:cs="Times New Roman"/>
              <w:spacing w:val="3"/>
              <w:sz w:val="20"/>
              <w:szCs w:val="20"/>
            </w:rPr>
            <w:fldChar w:fldCharType="end"/>
          </w:r>
        </w:p>
        <w:p w14:paraId="0728299A">
          <w:pPr>
            <w:tabs>
              <w:tab w:val="right" w:leader="dot" w:pos="8720"/>
            </w:tabs>
            <w:spacing w:before="63" w:line="193" w:lineRule="auto"/>
            <w:ind w:left="850"/>
            <w:rPr>
              <w:rFonts w:ascii="Times New Roman" w:hAnsi="Times New Roman" w:eastAsia="Times New Roman" w:cs="Times New Roman"/>
              <w:sz w:val="20"/>
              <w:szCs w:val="20"/>
            </w:rPr>
          </w:pPr>
          <w:bookmarkStart w:id="157" w:name="bookmark315"/>
          <w:bookmarkEnd w:id="157"/>
          <w:r>
            <w:fldChar w:fldCharType="begin"/>
          </w:r>
          <w:r>
            <w:instrText xml:space="preserve"> HYPERLINK \l "bookmark316" </w:instrText>
          </w:r>
          <w:r>
            <w:fldChar w:fldCharType="separate"/>
          </w:r>
          <w:r>
            <w:rPr>
              <w:rFonts w:ascii="Times New Roman" w:hAnsi="Times New Roman" w:eastAsia="Times New Roman" w:cs="Times New Roman"/>
              <w:spacing w:val="6"/>
              <w:sz w:val="20"/>
              <w:szCs w:val="20"/>
            </w:rPr>
            <w:t xml:space="preserve">5.8.2 </w:t>
          </w:r>
          <w:r>
            <w:rPr>
              <w:rFonts w:ascii="宋体" w:hAnsi="宋体" w:eastAsia="宋体" w:cs="宋体"/>
              <w:spacing w:val="6"/>
              <w:sz w:val="20"/>
              <w:szCs w:val="20"/>
            </w:rPr>
            <w:t>预案分级响应条件</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233</w:t>
          </w:r>
          <w:r>
            <w:rPr>
              <w:rFonts w:ascii="Times New Roman" w:hAnsi="Times New Roman" w:eastAsia="Times New Roman" w:cs="Times New Roman"/>
              <w:spacing w:val="3"/>
              <w:sz w:val="20"/>
              <w:szCs w:val="20"/>
            </w:rPr>
            <w:fldChar w:fldCharType="end"/>
          </w:r>
        </w:p>
        <w:p w14:paraId="7CEC54EF">
          <w:pPr>
            <w:tabs>
              <w:tab w:val="right" w:leader="dot" w:pos="8720"/>
            </w:tabs>
            <w:spacing w:before="62" w:line="193" w:lineRule="auto"/>
            <w:ind w:left="850"/>
            <w:rPr>
              <w:rFonts w:ascii="Times New Roman" w:hAnsi="Times New Roman" w:eastAsia="Times New Roman" w:cs="Times New Roman"/>
              <w:sz w:val="20"/>
              <w:szCs w:val="20"/>
            </w:rPr>
          </w:pPr>
          <w:bookmarkStart w:id="158" w:name="bookmark317"/>
          <w:bookmarkEnd w:id="158"/>
          <w:r>
            <w:fldChar w:fldCharType="begin"/>
          </w:r>
          <w:r>
            <w:instrText xml:space="preserve"> HYPERLINK \l "bookmark318" </w:instrText>
          </w:r>
          <w:r>
            <w:fldChar w:fldCharType="separate"/>
          </w:r>
          <w:r>
            <w:rPr>
              <w:rFonts w:ascii="Times New Roman" w:hAnsi="Times New Roman" w:eastAsia="Times New Roman" w:cs="Times New Roman"/>
              <w:spacing w:val="5"/>
              <w:sz w:val="20"/>
              <w:szCs w:val="20"/>
            </w:rPr>
            <w:t xml:space="preserve">5.8.3 </w:t>
          </w:r>
          <w:r>
            <w:rPr>
              <w:rFonts w:ascii="宋体" w:hAnsi="宋体" w:eastAsia="宋体" w:cs="宋体"/>
              <w:spacing w:val="5"/>
              <w:sz w:val="20"/>
              <w:szCs w:val="20"/>
            </w:rPr>
            <w:t>应急救援保障</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234</w:t>
          </w:r>
          <w:r>
            <w:rPr>
              <w:rFonts w:ascii="Times New Roman" w:hAnsi="Times New Roman" w:eastAsia="Times New Roman" w:cs="Times New Roman"/>
              <w:spacing w:val="3"/>
              <w:sz w:val="20"/>
              <w:szCs w:val="20"/>
            </w:rPr>
            <w:fldChar w:fldCharType="end"/>
          </w:r>
        </w:p>
        <w:p w14:paraId="7CDEFEBC">
          <w:pPr>
            <w:tabs>
              <w:tab w:val="right" w:leader="dot" w:pos="8720"/>
            </w:tabs>
            <w:spacing w:before="64" w:line="194" w:lineRule="auto"/>
            <w:ind w:left="850"/>
            <w:rPr>
              <w:rFonts w:ascii="Times New Roman" w:hAnsi="Times New Roman" w:eastAsia="Times New Roman" w:cs="Times New Roman"/>
              <w:sz w:val="20"/>
              <w:szCs w:val="20"/>
            </w:rPr>
          </w:pPr>
          <w:bookmarkStart w:id="159" w:name="bookmark319"/>
          <w:bookmarkEnd w:id="159"/>
          <w:r>
            <w:fldChar w:fldCharType="begin"/>
          </w:r>
          <w:r>
            <w:instrText xml:space="preserve"> HYPERLINK \l "bookmark320" </w:instrText>
          </w:r>
          <w:r>
            <w:fldChar w:fldCharType="separate"/>
          </w:r>
          <w:r>
            <w:rPr>
              <w:rFonts w:ascii="Times New Roman" w:hAnsi="Times New Roman" w:eastAsia="Times New Roman" w:cs="Times New Roman"/>
              <w:spacing w:val="7"/>
              <w:sz w:val="20"/>
              <w:szCs w:val="20"/>
            </w:rPr>
            <w:t>5.8.4</w:t>
          </w:r>
          <w:r>
            <w:rPr>
              <w:rFonts w:ascii="Times New Roman" w:hAnsi="Times New Roman" w:eastAsia="Times New Roman" w:cs="Times New Roman"/>
              <w:spacing w:val="20"/>
              <w:sz w:val="20"/>
              <w:szCs w:val="20"/>
            </w:rPr>
            <w:t xml:space="preserve"> </w:t>
          </w:r>
          <w:r>
            <w:rPr>
              <w:rFonts w:ascii="宋体" w:hAnsi="宋体" w:eastAsia="宋体" w:cs="宋体"/>
              <w:spacing w:val="7"/>
              <w:sz w:val="20"/>
              <w:szCs w:val="20"/>
            </w:rPr>
            <w:t>突发事故的信息报送程序与联络方式</w:t>
          </w:r>
          <w:r>
            <w:rPr>
              <w:rFonts w:ascii="宋体" w:hAnsi="宋体" w:eastAsia="宋体" w:cs="宋体"/>
              <w:spacing w:val="-57"/>
              <w:sz w:val="20"/>
              <w:szCs w:val="20"/>
            </w:rPr>
            <w:t xml:space="preserve"> </w:t>
          </w:r>
          <w:r>
            <w:rPr>
              <w:rFonts w:ascii="宋体" w:hAnsi="宋体" w:eastAsia="宋体" w:cs="宋体"/>
              <w:sz w:val="20"/>
              <w:szCs w:val="20"/>
            </w:rPr>
            <w:tab/>
          </w:r>
          <w:r>
            <w:rPr>
              <w:rFonts w:ascii="Times New Roman" w:hAnsi="Times New Roman" w:eastAsia="Times New Roman" w:cs="Times New Roman"/>
              <w:spacing w:val="10"/>
              <w:sz w:val="20"/>
              <w:szCs w:val="20"/>
            </w:rPr>
            <w:t>235</w:t>
          </w:r>
          <w:r>
            <w:rPr>
              <w:rFonts w:ascii="Times New Roman" w:hAnsi="Times New Roman" w:eastAsia="Times New Roman" w:cs="Times New Roman"/>
              <w:spacing w:val="10"/>
              <w:sz w:val="20"/>
              <w:szCs w:val="20"/>
            </w:rPr>
            <w:fldChar w:fldCharType="end"/>
          </w:r>
        </w:p>
        <w:p w14:paraId="69F0BDDE">
          <w:pPr>
            <w:tabs>
              <w:tab w:val="right" w:leader="dot" w:pos="8720"/>
            </w:tabs>
            <w:spacing w:before="64" w:line="193" w:lineRule="auto"/>
            <w:ind w:left="850"/>
            <w:rPr>
              <w:rFonts w:ascii="Times New Roman" w:hAnsi="Times New Roman" w:eastAsia="Times New Roman" w:cs="Times New Roman"/>
              <w:sz w:val="20"/>
              <w:szCs w:val="20"/>
            </w:rPr>
          </w:pPr>
          <w:bookmarkStart w:id="160" w:name="bookmark321"/>
          <w:bookmarkEnd w:id="160"/>
          <w:r>
            <w:fldChar w:fldCharType="begin"/>
          </w:r>
          <w:r>
            <w:instrText xml:space="preserve"> HYPERLINK \l "bookmark322" </w:instrText>
          </w:r>
          <w:r>
            <w:fldChar w:fldCharType="separate"/>
          </w:r>
          <w:r>
            <w:rPr>
              <w:rFonts w:ascii="Times New Roman" w:hAnsi="Times New Roman" w:eastAsia="Times New Roman" w:cs="Times New Roman"/>
              <w:spacing w:val="7"/>
              <w:sz w:val="20"/>
              <w:szCs w:val="20"/>
            </w:rPr>
            <w:t xml:space="preserve">5.8.5 </w:t>
          </w:r>
          <w:r>
            <w:rPr>
              <w:rFonts w:ascii="宋体" w:hAnsi="宋体" w:eastAsia="宋体" w:cs="宋体"/>
              <w:spacing w:val="7"/>
              <w:sz w:val="20"/>
              <w:szCs w:val="20"/>
            </w:rPr>
            <w:t>应急抢险、救援及控制措施</w:t>
          </w:r>
          <w:r>
            <w:rPr>
              <w:rFonts w:ascii="宋体" w:hAnsi="宋体" w:eastAsia="宋体" w:cs="宋体"/>
              <w:spacing w:val="-56"/>
              <w:sz w:val="20"/>
              <w:szCs w:val="20"/>
            </w:rPr>
            <w:t xml:space="preserve"> </w:t>
          </w:r>
          <w:r>
            <w:rPr>
              <w:rFonts w:ascii="宋体" w:hAnsi="宋体" w:eastAsia="宋体" w:cs="宋体"/>
              <w:sz w:val="20"/>
              <w:szCs w:val="20"/>
            </w:rPr>
            <w:tab/>
          </w:r>
          <w:r>
            <w:rPr>
              <w:rFonts w:ascii="宋体" w:hAnsi="宋体" w:eastAsia="宋体" w:cs="宋体"/>
              <w:spacing w:val="-70"/>
              <w:sz w:val="20"/>
              <w:szCs w:val="20"/>
            </w:rPr>
            <w:t xml:space="preserve"> </w:t>
          </w:r>
          <w:r>
            <w:rPr>
              <w:rFonts w:ascii="Times New Roman" w:hAnsi="Times New Roman" w:eastAsia="Times New Roman" w:cs="Times New Roman"/>
              <w:spacing w:val="3"/>
              <w:sz w:val="20"/>
              <w:szCs w:val="20"/>
            </w:rPr>
            <w:t>236</w:t>
          </w:r>
          <w:r>
            <w:rPr>
              <w:rFonts w:ascii="Times New Roman" w:hAnsi="Times New Roman" w:eastAsia="Times New Roman" w:cs="Times New Roman"/>
              <w:spacing w:val="3"/>
              <w:sz w:val="20"/>
              <w:szCs w:val="20"/>
            </w:rPr>
            <w:fldChar w:fldCharType="end"/>
          </w:r>
        </w:p>
        <w:p w14:paraId="2FA488D0">
          <w:pPr>
            <w:tabs>
              <w:tab w:val="right" w:leader="dot" w:pos="8720"/>
            </w:tabs>
            <w:spacing w:before="62" w:line="193" w:lineRule="auto"/>
            <w:ind w:left="850"/>
            <w:rPr>
              <w:rFonts w:ascii="Times New Roman" w:hAnsi="Times New Roman" w:eastAsia="Times New Roman" w:cs="Times New Roman"/>
              <w:sz w:val="20"/>
              <w:szCs w:val="20"/>
            </w:rPr>
          </w:pPr>
          <w:bookmarkStart w:id="161" w:name="bookmark323"/>
          <w:bookmarkEnd w:id="161"/>
          <w:r>
            <w:fldChar w:fldCharType="begin"/>
          </w:r>
          <w:r>
            <w:instrText xml:space="preserve"> HYPERLINK \l "bookmark324" </w:instrText>
          </w:r>
          <w:r>
            <w:fldChar w:fldCharType="separate"/>
          </w:r>
          <w:r>
            <w:rPr>
              <w:rFonts w:ascii="Times New Roman" w:hAnsi="Times New Roman" w:eastAsia="Times New Roman" w:cs="Times New Roman"/>
              <w:spacing w:val="8"/>
              <w:sz w:val="20"/>
              <w:szCs w:val="20"/>
            </w:rPr>
            <w:t xml:space="preserve">5.8.6 </w:t>
          </w:r>
          <w:r>
            <w:rPr>
              <w:rFonts w:ascii="宋体" w:hAnsi="宋体" w:eastAsia="宋体" w:cs="宋体"/>
              <w:spacing w:val="8"/>
              <w:sz w:val="20"/>
              <w:szCs w:val="20"/>
            </w:rPr>
            <w:t>应急检测、防护措施、清除泄漏措施和</w:t>
          </w:r>
          <w:r>
            <w:rPr>
              <w:rFonts w:ascii="宋体" w:hAnsi="宋体" w:eastAsia="宋体" w:cs="宋体"/>
              <w:spacing w:val="7"/>
              <w:sz w:val="20"/>
              <w:szCs w:val="20"/>
            </w:rPr>
            <w:t>器材</w:t>
          </w:r>
          <w:r>
            <w:rPr>
              <w:rFonts w:ascii="宋体" w:hAnsi="宋体" w:eastAsia="宋体" w:cs="宋体"/>
              <w:spacing w:val="-57"/>
              <w:sz w:val="20"/>
              <w:szCs w:val="20"/>
            </w:rPr>
            <w:t xml:space="preserve"> </w:t>
          </w:r>
          <w:r>
            <w:rPr>
              <w:rFonts w:ascii="宋体" w:hAnsi="宋体" w:eastAsia="宋体" w:cs="宋体"/>
              <w:sz w:val="20"/>
              <w:szCs w:val="20"/>
            </w:rPr>
            <w:tab/>
          </w:r>
          <w:r>
            <w:rPr>
              <w:rFonts w:ascii="Times New Roman" w:hAnsi="Times New Roman" w:eastAsia="Times New Roman" w:cs="Times New Roman"/>
              <w:spacing w:val="8"/>
              <w:sz w:val="20"/>
              <w:szCs w:val="20"/>
            </w:rPr>
            <w:t>238</w:t>
          </w:r>
          <w:r>
            <w:rPr>
              <w:rFonts w:ascii="Times New Roman" w:hAnsi="Times New Roman" w:eastAsia="Times New Roman" w:cs="Times New Roman"/>
              <w:spacing w:val="8"/>
              <w:sz w:val="20"/>
              <w:szCs w:val="20"/>
            </w:rPr>
            <w:fldChar w:fldCharType="end"/>
          </w:r>
        </w:p>
        <w:p w14:paraId="551F556D">
          <w:pPr>
            <w:tabs>
              <w:tab w:val="right" w:leader="dot" w:pos="8720"/>
            </w:tabs>
            <w:spacing w:before="62" w:line="194" w:lineRule="auto"/>
            <w:ind w:left="850"/>
            <w:rPr>
              <w:rFonts w:ascii="Times New Roman" w:hAnsi="Times New Roman" w:eastAsia="Times New Roman" w:cs="Times New Roman"/>
              <w:sz w:val="20"/>
              <w:szCs w:val="20"/>
            </w:rPr>
          </w:pPr>
          <w:bookmarkStart w:id="162" w:name="bookmark325"/>
          <w:bookmarkEnd w:id="162"/>
          <w:r>
            <w:fldChar w:fldCharType="begin"/>
          </w:r>
          <w:r>
            <w:instrText xml:space="preserve"> HYPERLINK \l "bookmark326" </w:instrText>
          </w:r>
          <w:r>
            <w:fldChar w:fldCharType="separate"/>
          </w:r>
          <w:r>
            <w:rPr>
              <w:rFonts w:ascii="Times New Roman" w:hAnsi="Times New Roman" w:eastAsia="Times New Roman" w:cs="Times New Roman"/>
              <w:spacing w:val="8"/>
              <w:sz w:val="20"/>
              <w:szCs w:val="20"/>
            </w:rPr>
            <w:t xml:space="preserve">5.8.7 </w:t>
          </w:r>
          <w:r>
            <w:rPr>
              <w:rFonts w:ascii="宋体" w:hAnsi="宋体" w:eastAsia="宋体" w:cs="宋体"/>
              <w:spacing w:val="8"/>
              <w:sz w:val="20"/>
              <w:szCs w:val="20"/>
            </w:rPr>
            <w:t>人员紧急撤离、疏散，应急剂量控制、撤离组织计划</w:t>
          </w:r>
          <w:r>
            <w:rPr>
              <w:rFonts w:ascii="宋体" w:hAnsi="宋体" w:eastAsia="宋体" w:cs="宋体"/>
              <w:spacing w:val="-51"/>
              <w:sz w:val="20"/>
              <w:szCs w:val="20"/>
            </w:rPr>
            <w:t xml:space="preserve"> </w:t>
          </w:r>
          <w:r>
            <w:rPr>
              <w:rFonts w:ascii="宋体" w:hAnsi="宋体" w:eastAsia="宋体" w:cs="宋体"/>
              <w:sz w:val="20"/>
              <w:szCs w:val="20"/>
            </w:rPr>
            <w:tab/>
          </w:r>
          <w:r>
            <w:rPr>
              <w:rFonts w:ascii="Times New Roman" w:hAnsi="Times New Roman" w:eastAsia="Times New Roman" w:cs="Times New Roman"/>
              <w:spacing w:val="5"/>
              <w:sz w:val="20"/>
              <w:szCs w:val="20"/>
            </w:rPr>
            <w:t>238</w:t>
          </w:r>
          <w:r>
            <w:rPr>
              <w:rFonts w:ascii="Times New Roman" w:hAnsi="Times New Roman" w:eastAsia="Times New Roman" w:cs="Times New Roman"/>
              <w:spacing w:val="5"/>
              <w:sz w:val="20"/>
              <w:szCs w:val="20"/>
            </w:rPr>
            <w:fldChar w:fldCharType="end"/>
          </w:r>
        </w:p>
        <w:p w14:paraId="0BFEDF3C">
          <w:pPr>
            <w:tabs>
              <w:tab w:val="right" w:leader="dot" w:pos="8720"/>
            </w:tabs>
            <w:spacing w:before="64" w:line="193" w:lineRule="auto"/>
            <w:ind w:left="850"/>
            <w:rPr>
              <w:rFonts w:ascii="Times New Roman" w:hAnsi="Times New Roman" w:eastAsia="Times New Roman" w:cs="Times New Roman"/>
              <w:sz w:val="20"/>
              <w:szCs w:val="20"/>
            </w:rPr>
          </w:pPr>
          <w:bookmarkStart w:id="163" w:name="bookmark327"/>
          <w:bookmarkEnd w:id="163"/>
          <w:r>
            <w:fldChar w:fldCharType="begin"/>
          </w:r>
          <w:r>
            <w:instrText xml:space="preserve"> HYPERLINK \l "bookmark328" </w:instrText>
          </w:r>
          <w:r>
            <w:fldChar w:fldCharType="separate"/>
          </w:r>
          <w:r>
            <w:rPr>
              <w:rFonts w:ascii="Times New Roman" w:hAnsi="Times New Roman" w:eastAsia="Times New Roman" w:cs="Times New Roman"/>
              <w:spacing w:val="7"/>
              <w:sz w:val="20"/>
              <w:szCs w:val="20"/>
            </w:rPr>
            <w:t xml:space="preserve">5.8.8 </w:t>
          </w:r>
          <w:r>
            <w:rPr>
              <w:rFonts w:ascii="宋体" w:hAnsi="宋体" w:eastAsia="宋体" w:cs="宋体"/>
              <w:spacing w:val="7"/>
              <w:sz w:val="20"/>
              <w:szCs w:val="20"/>
            </w:rPr>
            <w:t>事故应急救援关闭程序与恢复措施</w:t>
          </w:r>
          <w:r>
            <w:rPr>
              <w:rFonts w:ascii="宋体" w:hAnsi="宋体" w:eastAsia="宋体" w:cs="宋体"/>
              <w:spacing w:val="-46"/>
              <w:sz w:val="20"/>
              <w:szCs w:val="20"/>
            </w:rPr>
            <w:t xml:space="preserve"> </w:t>
          </w:r>
          <w:r>
            <w:rPr>
              <w:rFonts w:ascii="宋体" w:hAnsi="宋体" w:eastAsia="宋体" w:cs="宋体"/>
              <w:sz w:val="20"/>
              <w:szCs w:val="20"/>
            </w:rPr>
            <w:tab/>
          </w:r>
          <w:r>
            <w:rPr>
              <w:rFonts w:ascii="Times New Roman" w:hAnsi="Times New Roman" w:eastAsia="Times New Roman" w:cs="Times New Roman"/>
              <w:spacing w:val="10"/>
              <w:sz w:val="20"/>
              <w:szCs w:val="20"/>
            </w:rPr>
            <w:t>239</w:t>
          </w:r>
          <w:r>
            <w:rPr>
              <w:rFonts w:ascii="Times New Roman" w:hAnsi="Times New Roman" w:eastAsia="Times New Roman" w:cs="Times New Roman"/>
              <w:spacing w:val="10"/>
              <w:sz w:val="20"/>
              <w:szCs w:val="20"/>
            </w:rPr>
            <w:fldChar w:fldCharType="end"/>
          </w:r>
        </w:p>
        <w:p w14:paraId="06F0EC6D">
          <w:pPr>
            <w:tabs>
              <w:tab w:val="right" w:leader="dot" w:pos="8720"/>
            </w:tabs>
            <w:spacing w:before="62" w:line="193" w:lineRule="auto"/>
            <w:ind w:left="850"/>
            <w:rPr>
              <w:rFonts w:ascii="Times New Roman" w:hAnsi="Times New Roman" w:eastAsia="Times New Roman" w:cs="Times New Roman"/>
              <w:sz w:val="20"/>
              <w:szCs w:val="20"/>
            </w:rPr>
          </w:pPr>
          <w:bookmarkStart w:id="164" w:name="bookmark329"/>
          <w:bookmarkEnd w:id="164"/>
          <w:r>
            <w:fldChar w:fldCharType="begin"/>
          </w:r>
          <w:r>
            <w:instrText xml:space="preserve"> HYPERLINK \l "bookmark330" </w:instrText>
          </w:r>
          <w:r>
            <w:fldChar w:fldCharType="separate"/>
          </w:r>
          <w:r>
            <w:rPr>
              <w:rFonts w:ascii="Times New Roman" w:hAnsi="Times New Roman" w:eastAsia="Times New Roman" w:cs="Times New Roman"/>
              <w:spacing w:val="5"/>
              <w:sz w:val="20"/>
              <w:szCs w:val="20"/>
            </w:rPr>
            <w:t xml:space="preserve">5.8.9 </w:t>
          </w:r>
          <w:r>
            <w:rPr>
              <w:rFonts w:ascii="宋体" w:hAnsi="宋体" w:eastAsia="宋体" w:cs="宋体"/>
              <w:spacing w:val="5"/>
              <w:sz w:val="20"/>
              <w:szCs w:val="20"/>
            </w:rPr>
            <w:t>应急培训计划</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239</w:t>
          </w:r>
          <w:r>
            <w:rPr>
              <w:rFonts w:ascii="Times New Roman" w:hAnsi="Times New Roman" w:eastAsia="Times New Roman" w:cs="Times New Roman"/>
              <w:spacing w:val="3"/>
              <w:sz w:val="20"/>
              <w:szCs w:val="20"/>
            </w:rPr>
            <w:fldChar w:fldCharType="end"/>
          </w:r>
        </w:p>
        <w:p w14:paraId="13EA3A81">
          <w:pPr>
            <w:tabs>
              <w:tab w:val="right" w:leader="dot" w:pos="8720"/>
            </w:tabs>
            <w:spacing w:before="64" w:line="194" w:lineRule="auto"/>
            <w:ind w:left="850"/>
            <w:rPr>
              <w:rFonts w:ascii="Times New Roman" w:hAnsi="Times New Roman" w:eastAsia="Times New Roman" w:cs="Times New Roman"/>
              <w:sz w:val="20"/>
              <w:szCs w:val="20"/>
            </w:rPr>
          </w:pPr>
          <w:bookmarkStart w:id="165" w:name="bookmark331"/>
          <w:bookmarkEnd w:id="165"/>
          <w:r>
            <w:fldChar w:fldCharType="begin"/>
          </w:r>
          <w:r>
            <w:instrText xml:space="preserve"> HYPERLINK \l "bookmark332" </w:instrText>
          </w:r>
          <w:r>
            <w:fldChar w:fldCharType="separate"/>
          </w:r>
          <w:r>
            <w:rPr>
              <w:rFonts w:ascii="Times New Roman" w:hAnsi="Times New Roman" w:eastAsia="Times New Roman" w:cs="Times New Roman"/>
              <w:spacing w:val="5"/>
              <w:sz w:val="20"/>
              <w:szCs w:val="20"/>
            </w:rPr>
            <w:t>5.8.10</w:t>
          </w:r>
          <w:r>
            <w:rPr>
              <w:rFonts w:ascii="Times New Roman" w:hAnsi="Times New Roman" w:eastAsia="Times New Roman" w:cs="Times New Roman"/>
              <w:spacing w:val="18"/>
              <w:w w:val="101"/>
              <w:sz w:val="20"/>
              <w:szCs w:val="20"/>
            </w:rPr>
            <w:t xml:space="preserve"> </w:t>
          </w:r>
          <w:r>
            <w:rPr>
              <w:rFonts w:ascii="宋体" w:hAnsi="宋体" w:eastAsia="宋体" w:cs="宋体"/>
              <w:spacing w:val="5"/>
              <w:sz w:val="20"/>
              <w:szCs w:val="20"/>
            </w:rPr>
            <w:t>公众教育和信息</w:t>
          </w:r>
          <w:r>
            <w:rPr>
              <w:rFonts w:ascii="宋体" w:hAnsi="宋体" w:eastAsia="宋体" w:cs="宋体"/>
              <w:spacing w:val="-59"/>
              <w:sz w:val="20"/>
              <w:szCs w:val="20"/>
            </w:rPr>
            <w:t xml:space="preserve"> </w:t>
          </w:r>
          <w:r>
            <w:rPr>
              <w:rFonts w:ascii="宋体" w:hAnsi="宋体" w:eastAsia="宋体" w:cs="宋体"/>
              <w:sz w:val="20"/>
              <w:szCs w:val="20"/>
            </w:rPr>
            <w:tab/>
          </w:r>
          <w:r>
            <w:rPr>
              <w:rFonts w:ascii="宋体" w:hAnsi="宋体" w:eastAsia="宋体" w:cs="宋体"/>
              <w:spacing w:val="-61"/>
              <w:sz w:val="20"/>
              <w:szCs w:val="20"/>
            </w:rPr>
            <w:t xml:space="preserve"> </w:t>
          </w:r>
          <w:r>
            <w:rPr>
              <w:rFonts w:ascii="Times New Roman" w:hAnsi="Times New Roman" w:eastAsia="Times New Roman" w:cs="Times New Roman"/>
              <w:spacing w:val="3"/>
              <w:sz w:val="20"/>
              <w:szCs w:val="20"/>
            </w:rPr>
            <w:t>239</w:t>
          </w:r>
          <w:r>
            <w:rPr>
              <w:rFonts w:ascii="Times New Roman" w:hAnsi="Times New Roman" w:eastAsia="Times New Roman" w:cs="Times New Roman"/>
              <w:spacing w:val="3"/>
              <w:sz w:val="20"/>
              <w:szCs w:val="20"/>
            </w:rPr>
            <w:fldChar w:fldCharType="end"/>
          </w:r>
        </w:p>
        <w:p w14:paraId="4BD9E772">
          <w:pPr>
            <w:tabs>
              <w:tab w:val="right" w:leader="dot" w:pos="8720"/>
            </w:tabs>
            <w:spacing w:before="61" w:line="193" w:lineRule="auto"/>
            <w:ind w:left="850"/>
            <w:rPr>
              <w:rFonts w:ascii="Times New Roman" w:hAnsi="Times New Roman" w:eastAsia="Times New Roman" w:cs="Times New Roman"/>
              <w:sz w:val="20"/>
              <w:szCs w:val="20"/>
            </w:rPr>
          </w:pPr>
          <w:bookmarkStart w:id="166" w:name="bookmark333"/>
          <w:bookmarkEnd w:id="166"/>
          <w:r>
            <w:fldChar w:fldCharType="begin"/>
          </w:r>
          <w:r>
            <w:instrText xml:space="preserve"> HYPERLINK \l "bookmark334" </w:instrText>
          </w:r>
          <w:r>
            <w:fldChar w:fldCharType="separate"/>
          </w:r>
          <w:r>
            <w:rPr>
              <w:rFonts w:ascii="Times New Roman" w:hAnsi="Times New Roman" w:eastAsia="Times New Roman" w:cs="Times New Roman"/>
              <w:spacing w:val="8"/>
              <w:sz w:val="20"/>
              <w:szCs w:val="20"/>
            </w:rPr>
            <w:t xml:space="preserve">5.8.11 </w:t>
          </w:r>
          <w:r>
            <w:rPr>
              <w:rFonts w:ascii="宋体" w:hAnsi="宋体" w:eastAsia="宋体" w:cs="宋体"/>
              <w:spacing w:val="8"/>
              <w:sz w:val="20"/>
              <w:szCs w:val="20"/>
            </w:rPr>
            <w:t>与工业园区及社会区域风险防范措施公共安全应急预案衔接</w:t>
          </w:r>
          <w:r>
            <w:rPr>
              <w:rFonts w:ascii="宋体" w:hAnsi="宋体" w:eastAsia="宋体" w:cs="宋体"/>
              <w:spacing w:val="-55"/>
              <w:sz w:val="20"/>
              <w:szCs w:val="20"/>
            </w:rPr>
            <w:t xml:space="preserve"> </w:t>
          </w:r>
          <w:r>
            <w:rPr>
              <w:rFonts w:ascii="宋体" w:hAnsi="宋体" w:eastAsia="宋体" w:cs="宋体"/>
              <w:sz w:val="20"/>
              <w:szCs w:val="20"/>
            </w:rPr>
            <w:tab/>
          </w:r>
          <w:r>
            <w:rPr>
              <w:rFonts w:ascii="Times New Roman" w:hAnsi="Times New Roman" w:eastAsia="Times New Roman" w:cs="Times New Roman"/>
              <w:spacing w:val="5"/>
              <w:sz w:val="20"/>
              <w:szCs w:val="20"/>
            </w:rPr>
            <w:t>239</w:t>
          </w:r>
          <w:r>
            <w:rPr>
              <w:rFonts w:ascii="Times New Roman" w:hAnsi="Times New Roman" w:eastAsia="Times New Roman" w:cs="Times New Roman"/>
              <w:spacing w:val="5"/>
              <w:sz w:val="20"/>
              <w:szCs w:val="20"/>
            </w:rPr>
            <w:fldChar w:fldCharType="end"/>
          </w:r>
        </w:p>
        <w:p w14:paraId="70DD5599">
          <w:pPr>
            <w:tabs>
              <w:tab w:val="right" w:leader="dot" w:pos="8720"/>
            </w:tabs>
            <w:spacing w:before="65" w:line="193" w:lineRule="auto"/>
            <w:ind w:left="430"/>
            <w:rPr>
              <w:rFonts w:ascii="Times New Roman" w:hAnsi="Times New Roman" w:eastAsia="Times New Roman" w:cs="Times New Roman"/>
              <w:sz w:val="20"/>
              <w:szCs w:val="20"/>
            </w:rPr>
          </w:pPr>
          <w:bookmarkStart w:id="167" w:name="bookmark335"/>
          <w:bookmarkEnd w:id="167"/>
          <w:r>
            <w:fldChar w:fldCharType="begin"/>
          </w:r>
          <w:r>
            <w:instrText xml:space="preserve"> HYPERLINK \l "bookmark336" </w:instrText>
          </w:r>
          <w:r>
            <w:fldChar w:fldCharType="separate"/>
          </w:r>
          <w:r>
            <w:rPr>
              <w:rFonts w:ascii="Times New Roman" w:hAnsi="Times New Roman" w:eastAsia="Times New Roman" w:cs="Times New Roman"/>
              <w:spacing w:val="6"/>
              <w:sz w:val="20"/>
              <w:szCs w:val="20"/>
            </w:rPr>
            <w:t xml:space="preserve">5.9 </w:t>
          </w:r>
          <w:r>
            <w:rPr>
              <w:rFonts w:ascii="宋体" w:hAnsi="宋体" w:eastAsia="宋体" w:cs="宋体"/>
              <w:spacing w:val="6"/>
              <w:sz w:val="20"/>
              <w:szCs w:val="20"/>
            </w:rPr>
            <w:t>环境风险分析结论</w:t>
          </w:r>
          <w:r>
            <w:rPr>
              <w:rFonts w:ascii="宋体" w:hAnsi="宋体" w:eastAsia="宋体" w:cs="宋体"/>
              <w:spacing w:val="-48"/>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241</w:t>
          </w:r>
          <w:r>
            <w:rPr>
              <w:rFonts w:ascii="Times New Roman" w:hAnsi="Times New Roman" w:eastAsia="Times New Roman" w:cs="Times New Roman"/>
              <w:spacing w:val="3"/>
              <w:sz w:val="20"/>
              <w:szCs w:val="20"/>
            </w:rPr>
            <w:fldChar w:fldCharType="end"/>
          </w:r>
        </w:p>
        <w:p w14:paraId="34528650">
          <w:pPr>
            <w:tabs>
              <w:tab w:val="right" w:leader="dot" w:pos="8720"/>
            </w:tabs>
            <w:spacing w:before="62" w:line="194" w:lineRule="auto"/>
            <w:ind w:left="8"/>
            <w:rPr>
              <w:rFonts w:ascii="Times New Roman" w:hAnsi="Times New Roman" w:eastAsia="Times New Roman" w:cs="Times New Roman"/>
              <w:sz w:val="20"/>
              <w:szCs w:val="20"/>
            </w:rPr>
          </w:pPr>
          <w:bookmarkStart w:id="168" w:name="bookmark337"/>
          <w:bookmarkEnd w:id="168"/>
          <w:r>
            <w:fldChar w:fldCharType="begin"/>
          </w:r>
          <w:r>
            <w:instrText xml:space="preserve"> HYPERLINK \l "bookmark338" </w:instrText>
          </w:r>
          <w:r>
            <w:fldChar w:fldCharType="separate"/>
          </w:r>
          <w:r>
            <w:rPr>
              <w:rFonts w:ascii="宋体" w:hAnsi="宋体" w:eastAsia="宋体" w:cs="宋体"/>
              <w:b/>
              <w:bCs/>
              <w:spacing w:val="6"/>
              <w:sz w:val="20"/>
              <w:szCs w:val="20"/>
            </w:rPr>
            <w:t>第</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6</w:t>
          </w:r>
          <w:r>
            <w:rPr>
              <w:rFonts w:ascii="Times New Roman" w:hAnsi="Times New Roman" w:eastAsia="Times New Roman" w:cs="Times New Roman"/>
              <w:b/>
              <w:bCs/>
              <w:spacing w:val="19"/>
              <w:w w:val="101"/>
              <w:sz w:val="20"/>
              <w:szCs w:val="20"/>
            </w:rPr>
            <w:t xml:space="preserve"> </w:t>
          </w:r>
          <w:r>
            <w:rPr>
              <w:rFonts w:ascii="宋体" w:hAnsi="宋体" w:eastAsia="宋体" w:cs="宋体"/>
              <w:b/>
              <w:bCs/>
              <w:spacing w:val="6"/>
              <w:sz w:val="20"/>
              <w:szCs w:val="20"/>
            </w:rPr>
            <w:t>章</w:t>
          </w:r>
          <w:r>
            <w:rPr>
              <w:rFonts w:ascii="宋体" w:hAnsi="宋体" w:eastAsia="宋体" w:cs="宋体"/>
              <w:spacing w:val="6"/>
              <w:sz w:val="20"/>
              <w:szCs w:val="20"/>
            </w:rPr>
            <w:t xml:space="preserve">  </w:t>
          </w:r>
          <w:r>
            <w:rPr>
              <w:rFonts w:ascii="宋体" w:hAnsi="宋体" w:eastAsia="宋体" w:cs="宋体"/>
              <w:b/>
              <w:bCs/>
              <w:spacing w:val="6"/>
              <w:sz w:val="20"/>
              <w:szCs w:val="20"/>
            </w:rPr>
            <w:t>环境保护措施及其可行性论证</w:t>
          </w:r>
          <w:r>
            <w:rPr>
              <w:rFonts w:ascii="宋体" w:hAnsi="宋体" w:eastAsia="宋体" w:cs="宋体"/>
              <w:spacing w:val="-62"/>
              <w:sz w:val="20"/>
              <w:szCs w:val="20"/>
            </w:rPr>
            <w:t xml:space="preserve"> </w:t>
          </w:r>
          <w:r>
            <w:rPr>
              <w:rFonts w:ascii="宋体" w:hAnsi="宋体" w:eastAsia="宋体" w:cs="宋体"/>
              <w:sz w:val="20"/>
              <w:szCs w:val="20"/>
            </w:rPr>
            <w:tab/>
          </w:r>
          <w:r>
            <w:rPr>
              <w:rFonts w:ascii="Times New Roman" w:hAnsi="Times New Roman" w:eastAsia="Times New Roman" w:cs="Times New Roman"/>
              <w:b/>
              <w:bCs/>
              <w:spacing w:val="9"/>
              <w:sz w:val="20"/>
              <w:szCs w:val="20"/>
            </w:rPr>
            <w:t>244</w:t>
          </w:r>
          <w:r>
            <w:rPr>
              <w:rFonts w:ascii="Times New Roman" w:hAnsi="Times New Roman" w:eastAsia="Times New Roman" w:cs="Times New Roman"/>
              <w:b/>
              <w:bCs/>
              <w:spacing w:val="9"/>
              <w:sz w:val="20"/>
              <w:szCs w:val="20"/>
            </w:rPr>
            <w:fldChar w:fldCharType="end"/>
          </w:r>
        </w:p>
        <w:p w14:paraId="1A364FBD">
          <w:pPr>
            <w:tabs>
              <w:tab w:val="right" w:leader="dot" w:pos="8720"/>
            </w:tabs>
            <w:spacing w:before="63" w:line="193" w:lineRule="auto"/>
            <w:ind w:left="429"/>
            <w:rPr>
              <w:rFonts w:ascii="Times New Roman" w:hAnsi="Times New Roman" w:eastAsia="Times New Roman" w:cs="Times New Roman"/>
              <w:sz w:val="20"/>
              <w:szCs w:val="20"/>
            </w:rPr>
          </w:pPr>
          <w:bookmarkStart w:id="169" w:name="bookmark339"/>
          <w:bookmarkEnd w:id="169"/>
          <w:r>
            <w:fldChar w:fldCharType="begin"/>
          </w:r>
          <w:r>
            <w:instrText xml:space="preserve"> HYPERLINK \l "bookmark340" </w:instrText>
          </w:r>
          <w:r>
            <w:fldChar w:fldCharType="separate"/>
          </w:r>
          <w:r>
            <w:rPr>
              <w:rFonts w:ascii="Times New Roman" w:hAnsi="Times New Roman" w:eastAsia="Times New Roman" w:cs="Times New Roman"/>
              <w:spacing w:val="8"/>
              <w:sz w:val="20"/>
              <w:szCs w:val="20"/>
            </w:rPr>
            <w:t xml:space="preserve">6.1 </w:t>
          </w:r>
          <w:r>
            <w:rPr>
              <w:rFonts w:ascii="宋体" w:hAnsi="宋体" w:eastAsia="宋体" w:cs="宋体"/>
              <w:spacing w:val="8"/>
              <w:sz w:val="20"/>
              <w:szCs w:val="20"/>
            </w:rPr>
            <w:t>废气治理措施的经济技术的可行性分析</w:t>
          </w:r>
          <w:r>
            <w:rPr>
              <w:rFonts w:ascii="宋体" w:hAnsi="宋体" w:eastAsia="宋体" w:cs="宋体"/>
              <w:spacing w:val="-54"/>
              <w:sz w:val="20"/>
              <w:szCs w:val="20"/>
            </w:rPr>
            <w:t xml:space="preserve"> </w:t>
          </w:r>
          <w:r>
            <w:rPr>
              <w:rFonts w:ascii="宋体" w:hAnsi="宋体" w:eastAsia="宋体" w:cs="宋体"/>
              <w:sz w:val="20"/>
              <w:szCs w:val="20"/>
            </w:rPr>
            <w:tab/>
          </w:r>
          <w:r>
            <w:rPr>
              <w:rFonts w:ascii="Times New Roman" w:hAnsi="Times New Roman" w:eastAsia="Times New Roman" w:cs="Times New Roman"/>
              <w:spacing w:val="11"/>
              <w:sz w:val="20"/>
              <w:szCs w:val="20"/>
            </w:rPr>
            <w:t>244</w:t>
          </w:r>
          <w:r>
            <w:rPr>
              <w:rFonts w:ascii="Times New Roman" w:hAnsi="Times New Roman" w:eastAsia="Times New Roman" w:cs="Times New Roman"/>
              <w:spacing w:val="11"/>
              <w:sz w:val="20"/>
              <w:szCs w:val="20"/>
            </w:rPr>
            <w:fldChar w:fldCharType="end"/>
          </w:r>
        </w:p>
        <w:p w14:paraId="666D4ADD">
          <w:pPr>
            <w:tabs>
              <w:tab w:val="right" w:leader="dot" w:pos="8720"/>
            </w:tabs>
            <w:spacing w:before="62" w:line="193" w:lineRule="auto"/>
            <w:ind w:left="849"/>
            <w:rPr>
              <w:rFonts w:ascii="Times New Roman" w:hAnsi="Times New Roman" w:eastAsia="Times New Roman" w:cs="Times New Roman"/>
              <w:sz w:val="20"/>
              <w:szCs w:val="20"/>
            </w:rPr>
          </w:pPr>
          <w:bookmarkStart w:id="170" w:name="bookmark341"/>
          <w:bookmarkEnd w:id="170"/>
          <w:r>
            <w:fldChar w:fldCharType="begin"/>
          </w:r>
          <w:r>
            <w:instrText xml:space="preserve"> HYPERLINK \l "bookmark342" </w:instrText>
          </w:r>
          <w:r>
            <w:fldChar w:fldCharType="separate"/>
          </w:r>
          <w:r>
            <w:rPr>
              <w:rFonts w:ascii="Times New Roman" w:hAnsi="Times New Roman" w:eastAsia="Times New Roman" w:cs="Times New Roman"/>
              <w:spacing w:val="7"/>
              <w:sz w:val="20"/>
              <w:szCs w:val="20"/>
            </w:rPr>
            <w:t xml:space="preserve">6.1.1 </w:t>
          </w:r>
          <w:r>
            <w:rPr>
              <w:rFonts w:ascii="宋体" w:hAnsi="宋体" w:eastAsia="宋体" w:cs="宋体"/>
              <w:spacing w:val="7"/>
              <w:sz w:val="20"/>
              <w:szCs w:val="20"/>
            </w:rPr>
            <w:t>全封闭电炉煤气干法净化措施</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74"/>
              <w:sz w:val="20"/>
              <w:szCs w:val="20"/>
            </w:rPr>
            <w:t xml:space="preserve"> </w:t>
          </w:r>
          <w:r>
            <w:rPr>
              <w:rFonts w:ascii="Times New Roman" w:hAnsi="Times New Roman" w:eastAsia="Times New Roman" w:cs="Times New Roman"/>
              <w:spacing w:val="3"/>
              <w:sz w:val="20"/>
              <w:szCs w:val="20"/>
            </w:rPr>
            <w:t>244</w:t>
          </w:r>
          <w:r>
            <w:rPr>
              <w:rFonts w:ascii="Times New Roman" w:hAnsi="Times New Roman" w:eastAsia="Times New Roman" w:cs="Times New Roman"/>
              <w:spacing w:val="3"/>
              <w:sz w:val="20"/>
              <w:szCs w:val="20"/>
            </w:rPr>
            <w:fldChar w:fldCharType="end"/>
          </w:r>
        </w:p>
        <w:p w14:paraId="194E506D">
          <w:pPr>
            <w:tabs>
              <w:tab w:val="right" w:leader="dot" w:pos="8720"/>
            </w:tabs>
            <w:spacing w:before="62" w:line="194" w:lineRule="auto"/>
            <w:ind w:left="849"/>
            <w:rPr>
              <w:rFonts w:ascii="Times New Roman" w:hAnsi="Times New Roman" w:eastAsia="Times New Roman" w:cs="Times New Roman"/>
              <w:sz w:val="20"/>
              <w:szCs w:val="20"/>
            </w:rPr>
          </w:pPr>
          <w:bookmarkStart w:id="171" w:name="bookmark343"/>
          <w:bookmarkEnd w:id="171"/>
          <w:r>
            <w:fldChar w:fldCharType="begin"/>
          </w:r>
          <w:r>
            <w:instrText xml:space="preserve"> HYPERLINK \l "bookmark344" </w:instrText>
          </w:r>
          <w:r>
            <w:fldChar w:fldCharType="separate"/>
          </w:r>
          <w:r>
            <w:rPr>
              <w:rFonts w:ascii="Times New Roman" w:hAnsi="Times New Roman" w:eastAsia="Times New Roman" w:cs="Times New Roman"/>
              <w:spacing w:val="9"/>
              <w:sz w:val="20"/>
              <w:szCs w:val="20"/>
            </w:rPr>
            <w:t xml:space="preserve">6.1.2 </w:t>
          </w:r>
          <w:r>
            <w:rPr>
              <w:rFonts w:ascii="宋体" w:hAnsi="宋体" w:eastAsia="宋体" w:cs="宋体"/>
              <w:spacing w:val="9"/>
              <w:sz w:val="20"/>
              <w:szCs w:val="20"/>
            </w:rPr>
            <w:t>配料、加料、出铁出渣及浇铸、焦炭干燥、锰矿</w:t>
          </w:r>
          <w:r>
            <w:rPr>
              <w:rFonts w:ascii="宋体" w:hAnsi="宋体" w:eastAsia="宋体" w:cs="宋体"/>
              <w:spacing w:val="8"/>
              <w:sz w:val="20"/>
              <w:szCs w:val="20"/>
            </w:rPr>
            <w:t>石干燥等含尘废气防治措施</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244</w:t>
          </w:r>
          <w:r>
            <w:rPr>
              <w:rFonts w:ascii="Times New Roman" w:hAnsi="Times New Roman" w:eastAsia="Times New Roman" w:cs="Times New Roman"/>
              <w:spacing w:val="3"/>
              <w:sz w:val="20"/>
              <w:szCs w:val="20"/>
            </w:rPr>
            <w:fldChar w:fldCharType="end"/>
          </w:r>
        </w:p>
        <w:p w14:paraId="1DBD0E48">
          <w:pPr>
            <w:tabs>
              <w:tab w:val="right" w:leader="dot" w:pos="8720"/>
            </w:tabs>
            <w:spacing w:before="64" w:line="193" w:lineRule="auto"/>
            <w:ind w:left="849"/>
            <w:rPr>
              <w:rFonts w:ascii="Times New Roman" w:hAnsi="Times New Roman" w:eastAsia="Times New Roman" w:cs="Times New Roman"/>
              <w:sz w:val="20"/>
              <w:szCs w:val="20"/>
            </w:rPr>
          </w:pPr>
          <w:bookmarkStart w:id="172" w:name="bookmark345"/>
          <w:bookmarkEnd w:id="172"/>
          <w:r>
            <w:fldChar w:fldCharType="begin"/>
          </w:r>
          <w:r>
            <w:instrText xml:space="preserve"> HYPERLINK \l "bookmark346" </w:instrText>
          </w:r>
          <w:r>
            <w:fldChar w:fldCharType="separate"/>
          </w:r>
          <w:r>
            <w:rPr>
              <w:rFonts w:ascii="Times New Roman" w:hAnsi="Times New Roman" w:eastAsia="Times New Roman" w:cs="Times New Roman"/>
              <w:spacing w:val="7"/>
              <w:sz w:val="20"/>
              <w:szCs w:val="20"/>
            </w:rPr>
            <w:t xml:space="preserve">6.1.3 </w:t>
          </w:r>
          <w:r>
            <w:rPr>
              <w:rFonts w:ascii="宋体" w:hAnsi="宋体" w:eastAsia="宋体" w:cs="宋体"/>
              <w:spacing w:val="7"/>
              <w:sz w:val="20"/>
              <w:szCs w:val="20"/>
            </w:rPr>
            <w:t>烧结机机头废气防治措施</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70"/>
              <w:sz w:val="20"/>
              <w:szCs w:val="20"/>
            </w:rPr>
            <w:t xml:space="preserve"> </w:t>
          </w:r>
          <w:r>
            <w:rPr>
              <w:rFonts w:ascii="Times New Roman" w:hAnsi="Times New Roman" w:eastAsia="Times New Roman" w:cs="Times New Roman"/>
              <w:spacing w:val="3"/>
              <w:sz w:val="20"/>
              <w:szCs w:val="20"/>
            </w:rPr>
            <w:t>246</w:t>
          </w:r>
          <w:r>
            <w:rPr>
              <w:rFonts w:ascii="Times New Roman" w:hAnsi="Times New Roman" w:eastAsia="Times New Roman" w:cs="Times New Roman"/>
              <w:spacing w:val="3"/>
              <w:sz w:val="20"/>
              <w:szCs w:val="20"/>
            </w:rPr>
            <w:fldChar w:fldCharType="end"/>
          </w:r>
        </w:p>
        <w:p w14:paraId="12880A25">
          <w:pPr>
            <w:tabs>
              <w:tab w:val="right" w:leader="dot" w:pos="8720"/>
            </w:tabs>
            <w:spacing w:before="64" w:line="193" w:lineRule="auto"/>
            <w:ind w:left="849"/>
            <w:rPr>
              <w:rFonts w:ascii="Times New Roman" w:hAnsi="Times New Roman" w:eastAsia="Times New Roman" w:cs="Times New Roman"/>
              <w:sz w:val="20"/>
              <w:szCs w:val="20"/>
            </w:rPr>
          </w:pPr>
          <w:bookmarkStart w:id="173" w:name="bookmark347"/>
          <w:bookmarkEnd w:id="173"/>
          <w:r>
            <w:fldChar w:fldCharType="begin"/>
          </w:r>
          <w:r>
            <w:instrText xml:space="preserve"> HYPERLINK \l "bookmark348" </w:instrText>
          </w:r>
          <w:r>
            <w:fldChar w:fldCharType="separate"/>
          </w:r>
          <w:r>
            <w:rPr>
              <w:rFonts w:ascii="Times New Roman" w:hAnsi="Times New Roman" w:eastAsia="Times New Roman" w:cs="Times New Roman"/>
              <w:spacing w:val="6"/>
              <w:sz w:val="20"/>
              <w:szCs w:val="20"/>
            </w:rPr>
            <w:t xml:space="preserve">6.1.4 </w:t>
          </w:r>
          <w:r>
            <w:rPr>
              <w:rFonts w:ascii="宋体" w:hAnsi="宋体" w:eastAsia="宋体" w:cs="宋体"/>
              <w:spacing w:val="6"/>
              <w:sz w:val="20"/>
              <w:szCs w:val="20"/>
            </w:rPr>
            <w:t>餐厅油烟防治措施</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247</w:t>
          </w:r>
          <w:r>
            <w:rPr>
              <w:rFonts w:ascii="Times New Roman" w:hAnsi="Times New Roman" w:eastAsia="Times New Roman" w:cs="Times New Roman"/>
              <w:spacing w:val="3"/>
              <w:sz w:val="20"/>
              <w:szCs w:val="20"/>
            </w:rPr>
            <w:fldChar w:fldCharType="end"/>
          </w:r>
        </w:p>
        <w:p w14:paraId="56117169">
          <w:pPr>
            <w:tabs>
              <w:tab w:val="right" w:leader="dot" w:pos="8720"/>
            </w:tabs>
            <w:spacing w:before="62" w:line="194" w:lineRule="auto"/>
            <w:ind w:left="849"/>
            <w:rPr>
              <w:rFonts w:ascii="Times New Roman" w:hAnsi="Times New Roman" w:eastAsia="Times New Roman" w:cs="Times New Roman"/>
              <w:sz w:val="20"/>
              <w:szCs w:val="20"/>
            </w:rPr>
          </w:pPr>
          <w:bookmarkStart w:id="174" w:name="bookmark349"/>
          <w:bookmarkEnd w:id="174"/>
          <w:r>
            <w:fldChar w:fldCharType="begin"/>
          </w:r>
          <w:r>
            <w:instrText xml:space="preserve"> HYPERLINK \l "bookmark350" </w:instrText>
          </w:r>
          <w:r>
            <w:fldChar w:fldCharType="separate"/>
          </w:r>
          <w:r>
            <w:rPr>
              <w:rFonts w:ascii="Times New Roman" w:hAnsi="Times New Roman" w:eastAsia="Times New Roman" w:cs="Times New Roman"/>
              <w:spacing w:val="7"/>
              <w:sz w:val="20"/>
              <w:szCs w:val="20"/>
            </w:rPr>
            <w:t xml:space="preserve">6.1.5 </w:t>
          </w:r>
          <w:r>
            <w:rPr>
              <w:rFonts w:ascii="宋体" w:hAnsi="宋体" w:eastAsia="宋体" w:cs="宋体"/>
              <w:spacing w:val="7"/>
              <w:sz w:val="20"/>
              <w:szCs w:val="20"/>
            </w:rPr>
            <w:t>燃气发电锅炉烟气防治措施</w:t>
          </w:r>
          <w:r>
            <w:rPr>
              <w:rFonts w:ascii="宋体" w:hAnsi="宋体" w:eastAsia="宋体" w:cs="宋体"/>
              <w:spacing w:val="-55"/>
              <w:sz w:val="20"/>
              <w:szCs w:val="20"/>
            </w:rPr>
            <w:t xml:space="preserve"> </w:t>
          </w:r>
          <w:r>
            <w:rPr>
              <w:rFonts w:ascii="宋体" w:hAnsi="宋体" w:eastAsia="宋体" w:cs="宋体"/>
              <w:sz w:val="20"/>
              <w:szCs w:val="20"/>
            </w:rPr>
            <w:tab/>
          </w:r>
          <w:r>
            <w:rPr>
              <w:rFonts w:ascii="宋体" w:hAnsi="宋体" w:eastAsia="宋体" w:cs="宋体"/>
              <w:spacing w:val="-70"/>
              <w:sz w:val="20"/>
              <w:szCs w:val="20"/>
            </w:rPr>
            <w:t xml:space="preserve"> </w:t>
          </w:r>
          <w:r>
            <w:rPr>
              <w:rFonts w:ascii="Times New Roman" w:hAnsi="Times New Roman" w:eastAsia="Times New Roman" w:cs="Times New Roman"/>
              <w:spacing w:val="3"/>
              <w:sz w:val="20"/>
              <w:szCs w:val="20"/>
            </w:rPr>
            <w:t>248</w:t>
          </w:r>
          <w:r>
            <w:rPr>
              <w:rFonts w:ascii="Times New Roman" w:hAnsi="Times New Roman" w:eastAsia="Times New Roman" w:cs="Times New Roman"/>
              <w:spacing w:val="3"/>
              <w:sz w:val="20"/>
              <w:szCs w:val="20"/>
            </w:rPr>
            <w:fldChar w:fldCharType="end"/>
          </w:r>
        </w:p>
        <w:p w14:paraId="2792E4F5">
          <w:pPr>
            <w:tabs>
              <w:tab w:val="right" w:leader="dot" w:pos="8720"/>
            </w:tabs>
            <w:spacing w:before="64" w:line="193" w:lineRule="auto"/>
            <w:ind w:left="849"/>
            <w:rPr>
              <w:rFonts w:ascii="Times New Roman" w:hAnsi="Times New Roman" w:eastAsia="Times New Roman" w:cs="Times New Roman"/>
              <w:sz w:val="20"/>
              <w:szCs w:val="20"/>
            </w:rPr>
          </w:pPr>
          <w:bookmarkStart w:id="175" w:name="bookmark351"/>
          <w:bookmarkEnd w:id="175"/>
          <w:r>
            <w:fldChar w:fldCharType="begin"/>
          </w:r>
          <w:r>
            <w:instrText xml:space="preserve"> HYPERLINK \l "bookmark352" </w:instrText>
          </w:r>
          <w:r>
            <w:fldChar w:fldCharType="separate"/>
          </w:r>
          <w:r>
            <w:rPr>
              <w:rFonts w:ascii="Times New Roman" w:hAnsi="Times New Roman" w:eastAsia="Times New Roman" w:cs="Times New Roman"/>
              <w:spacing w:val="7"/>
              <w:sz w:val="20"/>
              <w:szCs w:val="20"/>
            </w:rPr>
            <w:t xml:space="preserve">6.1.6 </w:t>
          </w:r>
          <w:r>
            <w:rPr>
              <w:rFonts w:ascii="宋体" w:hAnsi="宋体" w:eastAsia="宋体" w:cs="宋体"/>
              <w:spacing w:val="7"/>
              <w:sz w:val="20"/>
              <w:szCs w:val="20"/>
            </w:rPr>
            <w:t>运输路线两侧居民的大气污染防治措施</w:t>
          </w:r>
          <w:r>
            <w:rPr>
              <w:rFonts w:ascii="宋体" w:hAnsi="宋体" w:eastAsia="宋体" w:cs="宋体"/>
              <w:spacing w:val="-39"/>
              <w:sz w:val="20"/>
              <w:szCs w:val="20"/>
            </w:rPr>
            <w:t xml:space="preserve"> </w:t>
          </w:r>
          <w:r>
            <w:rPr>
              <w:rFonts w:ascii="宋体" w:hAnsi="宋体" w:eastAsia="宋体" w:cs="宋体"/>
              <w:sz w:val="20"/>
              <w:szCs w:val="20"/>
            </w:rPr>
            <w:tab/>
          </w:r>
          <w:r>
            <w:rPr>
              <w:rFonts w:ascii="Times New Roman" w:hAnsi="Times New Roman" w:eastAsia="Times New Roman" w:cs="Times New Roman"/>
              <w:spacing w:val="9"/>
              <w:sz w:val="20"/>
              <w:szCs w:val="20"/>
            </w:rPr>
            <w:t>250</w:t>
          </w:r>
          <w:r>
            <w:rPr>
              <w:rFonts w:ascii="Times New Roman" w:hAnsi="Times New Roman" w:eastAsia="Times New Roman" w:cs="Times New Roman"/>
              <w:spacing w:val="9"/>
              <w:sz w:val="20"/>
              <w:szCs w:val="20"/>
            </w:rPr>
            <w:fldChar w:fldCharType="end"/>
          </w:r>
        </w:p>
        <w:p w14:paraId="0EDEFB7C">
          <w:pPr>
            <w:tabs>
              <w:tab w:val="right" w:leader="dot" w:pos="8720"/>
            </w:tabs>
            <w:spacing w:before="62" w:line="193" w:lineRule="auto"/>
            <w:ind w:left="849"/>
            <w:rPr>
              <w:rFonts w:ascii="Times New Roman" w:hAnsi="Times New Roman" w:eastAsia="Times New Roman" w:cs="Times New Roman"/>
              <w:sz w:val="20"/>
              <w:szCs w:val="20"/>
            </w:rPr>
          </w:pPr>
          <w:bookmarkStart w:id="176" w:name="bookmark353"/>
          <w:bookmarkEnd w:id="176"/>
          <w:r>
            <w:fldChar w:fldCharType="begin"/>
          </w:r>
          <w:r>
            <w:instrText xml:space="preserve"> HYPERLINK \l "bookmark354" </w:instrText>
          </w:r>
          <w:r>
            <w:fldChar w:fldCharType="separate"/>
          </w:r>
          <w:r>
            <w:rPr>
              <w:rFonts w:ascii="Times New Roman" w:hAnsi="Times New Roman" w:eastAsia="Times New Roman" w:cs="Times New Roman"/>
              <w:spacing w:val="7"/>
              <w:sz w:val="20"/>
              <w:szCs w:val="20"/>
            </w:rPr>
            <w:t xml:space="preserve">6.1.7 </w:t>
          </w:r>
          <w:r>
            <w:rPr>
              <w:rFonts w:ascii="宋体" w:hAnsi="宋体" w:eastAsia="宋体" w:cs="宋体"/>
              <w:spacing w:val="7"/>
              <w:sz w:val="20"/>
              <w:szCs w:val="20"/>
            </w:rPr>
            <w:t>无组织废气污染防治措施</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70"/>
              <w:sz w:val="20"/>
              <w:szCs w:val="20"/>
            </w:rPr>
            <w:t xml:space="preserve"> </w:t>
          </w:r>
          <w:r>
            <w:rPr>
              <w:rFonts w:ascii="Times New Roman" w:hAnsi="Times New Roman" w:eastAsia="Times New Roman" w:cs="Times New Roman"/>
              <w:spacing w:val="3"/>
              <w:sz w:val="20"/>
              <w:szCs w:val="20"/>
            </w:rPr>
            <w:t>250</w:t>
          </w:r>
          <w:r>
            <w:rPr>
              <w:rFonts w:ascii="Times New Roman" w:hAnsi="Times New Roman" w:eastAsia="Times New Roman" w:cs="Times New Roman"/>
              <w:spacing w:val="3"/>
              <w:sz w:val="20"/>
              <w:szCs w:val="20"/>
            </w:rPr>
            <w:fldChar w:fldCharType="end"/>
          </w:r>
        </w:p>
        <w:p w14:paraId="53150F3F">
          <w:pPr>
            <w:tabs>
              <w:tab w:val="right" w:leader="dot" w:pos="8720"/>
            </w:tabs>
            <w:spacing w:before="62" w:line="194" w:lineRule="auto"/>
            <w:ind w:left="429"/>
            <w:rPr>
              <w:rFonts w:ascii="Times New Roman" w:hAnsi="Times New Roman" w:eastAsia="Times New Roman" w:cs="Times New Roman"/>
              <w:sz w:val="20"/>
              <w:szCs w:val="20"/>
            </w:rPr>
          </w:pPr>
          <w:bookmarkStart w:id="177" w:name="bookmark355"/>
          <w:bookmarkEnd w:id="177"/>
          <w:r>
            <w:fldChar w:fldCharType="begin"/>
          </w:r>
          <w:r>
            <w:instrText xml:space="preserve"> HYPERLINK \l "bookmark356" </w:instrText>
          </w:r>
          <w:r>
            <w:fldChar w:fldCharType="separate"/>
          </w:r>
          <w:r>
            <w:rPr>
              <w:rFonts w:ascii="Times New Roman" w:hAnsi="Times New Roman" w:eastAsia="Times New Roman" w:cs="Times New Roman"/>
              <w:spacing w:val="6"/>
              <w:sz w:val="20"/>
              <w:szCs w:val="20"/>
            </w:rPr>
            <w:t xml:space="preserve">6.2 </w:t>
          </w:r>
          <w:r>
            <w:rPr>
              <w:rFonts w:ascii="宋体" w:hAnsi="宋体" w:eastAsia="宋体" w:cs="宋体"/>
              <w:spacing w:val="6"/>
              <w:sz w:val="20"/>
              <w:szCs w:val="20"/>
            </w:rPr>
            <w:t>废水污染防治措施</w:t>
          </w:r>
          <w:r>
            <w:rPr>
              <w:rFonts w:ascii="宋体" w:hAnsi="宋体" w:eastAsia="宋体" w:cs="宋体"/>
              <w:spacing w:val="-47"/>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251</w:t>
          </w:r>
          <w:r>
            <w:rPr>
              <w:rFonts w:ascii="Times New Roman" w:hAnsi="Times New Roman" w:eastAsia="Times New Roman" w:cs="Times New Roman"/>
              <w:spacing w:val="3"/>
              <w:sz w:val="20"/>
              <w:szCs w:val="20"/>
            </w:rPr>
            <w:fldChar w:fldCharType="end"/>
          </w:r>
        </w:p>
        <w:p w14:paraId="5084A857">
          <w:pPr>
            <w:tabs>
              <w:tab w:val="right" w:leader="dot" w:pos="8720"/>
            </w:tabs>
            <w:spacing w:before="64" w:line="193" w:lineRule="auto"/>
            <w:ind w:left="849"/>
            <w:rPr>
              <w:rFonts w:ascii="Times New Roman" w:hAnsi="Times New Roman" w:eastAsia="Times New Roman" w:cs="Times New Roman"/>
              <w:sz w:val="20"/>
              <w:szCs w:val="20"/>
            </w:rPr>
          </w:pPr>
          <w:bookmarkStart w:id="178" w:name="bookmark357"/>
          <w:bookmarkEnd w:id="178"/>
          <w:r>
            <w:fldChar w:fldCharType="begin"/>
          </w:r>
          <w:r>
            <w:instrText xml:space="preserve"> HYPERLINK \l "bookmark358" </w:instrText>
          </w:r>
          <w:r>
            <w:fldChar w:fldCharType="separate"/>
          </w:r>
          <w:r>
            <w:rPr>
              <w:rFonts w:ascii="Times New Roman" w:hAnsi="Times New Roman" w:eastAsia="Times New Roman" w:cs="Times New Roman"/>
              <w:spacing w:val="6"/>
              <w:sz w:val="20"/>
              <w:szCs w:val="20"/>
            </w:rPr>
            <w:t xml:space="preserve">6.2.1 </w:t>
          </w:r>
          <w:r>
            <w:rPr>
              <w:rFonts w:ascii="宋体" w:hAnsi="宋体" w:eastAsia="宋体" w:cs="宋体"/>
              <w:spacing w:val="6"/>
              <w:sz w:val="20"/>
              <w:szCs w:val="20"/>
            </w:rPr>
            <w:t>生产废水处理措施</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251</w:t>
          </w:r>
          <w:r>
            <w:rPr>
              <w:rFonts w:ascii="Times New Roman" w:hAnsi="Times New Roman" w:eastAsia="Times New Roman" w:cs="Times New Roman"/>
              <w:spacing w:val="3"/>
              <w:sz w:val="20"/>
              <w:szCs w:val="20"/>
            </w:rPr>
            <w:fldChar w:fldCharType="end"/>
          </w:r>
        </w:p>
        <w:p w14:paraId="42C6E920">
          <w:pPr>
            <w:tabs>
              <w:tab w:val="right" w:leader="dot" w:pos="8720"/>
            </w:tabs>
            <w:spacing w:before="62" w:line="193" w:lineRule="auto"/>
            <w:ind w:left="849"/>
            <w:rPr>
              <w:rFonts w:ascii="Times New Roman" w:hAnsi="Times New Roman" w:eastAsia="Times New Roman" w:cs="Times New Roman"/>
              <w:sz w:val="20"/>
              <w:szCs w:val="20"/>
            </w:rPr>
          </w:pPr>
          <w:bookmarkStart w:id="179" w:name="bookmark359"/>
          <w:bookmarkEnd w:id="179"/>
          <w:r>
            <w:fldChar w:fldCharType="begin"/>
          </w:r>
          <w:r>
            <w:instrText xml:space="preserve"> HYPERLINK \l "bookmark360" </w:instrText>
          </w:r>
          <w:r>
            <w:fldChar w:fldCharType="separate"/>
          </w:r>
          <w:r>
            <w:rPr>
              <w:rFonts w:ascii="Times New Roman" w:hAnsi="Times New Roman" w:eastAsia="Times New Roman" w:cs="Times New Roman"/>
              <w:spacing w:val="6"/>
              <w:sz w:val="20"/>
              <w:szCs w:val="20"/>
            </w:rPr>
            <w:t xml:space="preserve">6.2.2 </w:t>
          </w:r>
          <w:r>
            <w:rPr>
              <w:rFonts w:ascii="宋体" w:hAnsi="宋体" w:eastAsia="宋体" w:cs="宋体"/>
              <w:spacing w:val="6"/>
              <w:sz w:val="20"/>
              <w:szCs w:val="20"/>
            </w:rPr>
            <w:t>生活污水处理措施</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252</w:t>
          </w:r>
          <w:r>
            <w:rPr>
              <w:rFonts w:ascii="Times New Roman" w:hAnsi="Times New Roman" w:eastAsia="Times New Roman" w:cs="Times New Roman"/>
              <w:spacing w:val="3"/>
              <w:sz w:val="20"/>
              <w:szCs w:val="20"/>
            </w:rPr>
            <w:fldChar w:fldCharType="end"/>
          </w:r>
        </w:p>
        <w:p w14:paraId="715CCFBF">
          <w:pPr>
            <w:tabs>
              <w:tab w:val="right" w:leader="dot" w:pos="8720"/>
            </w:tabs>
            <w:spacing w:before="64" w:line="194" w:lineRule="auto"/>
            <w:ind w:left="429"/>
            <w:rPr>
              <w:rFonts w:ascii="Times New Roman" w:hAnsi="Times New Roman" w:eastAsia="Times New Roman" w:cs="Times New Roman"/>
              <w:sz w:val="20"/>
              <w:szCs w:val="20"/>
            </w:rPr>
          </w:pPr>
          <w:bookmarkStart w:id="180" w:name="bookmark361"/>
          <w:bookmarkEnd w:id="180"/>
          <w:r>
            <w:fldChar w:fldCharType="begin"/>
          </w:r>
          <w:r>
            <w:instrText xml:space="preserve"> HYPERLINK \l "bookmark362" </w:instrText>
          </w:r>
          <w:r>
            <w:fldChar w:fldCharType="separate"/>
          </w:r>
          <w:r>
            <w:rPr>
              <w:rFonts w:ascii="Times New Roman" w:hAnsi="Times New Roman" w:eastAsia="Times New Roman" w:cs="Times New Roman"/>
              <w:spacing w:val="5"/>
              <w:sz w:val="20"/>
              <w:szCs w:val="20"/>
            </w:rPr>
            <w:t>6.3</w:t>
          </w:r>
          <w:r>
            <w:rPr>
              <w:rFonts w:ascii="Times New Roman" w:hAnsi="Times New Roman" w:eastAsia="Times New Roman" w:cs="Times New Roman"/>
              <w:spacing w:val="27"/>
              <w:sz w:val="20"/>
              <w:szCs w:val="20"/>
            </w:rPr>
            <w:t xml:space="preserve"> </w:t>
          </w:r>
          <w:r>
            <w:rPr>
              <w:rFonts w:ascii="宋体" w:hAnsi="宋体" w:eastAsia="宋体" w:cs="宋体"/>
              <w:spacing w:val="5"/>
              <w:sz w:val="20"/>
              <w:szCs w:val="20"/>
            </w:rPr>
            <w:t>噪声污染防治措施</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253</w:t>
          </w:r>
          <w:r>
            <w:rPr>
              <w:rFonts w:ascii="Times New Roman" w:hAnsi="Times New Roman" w:eastAsia="Times New Roman" w:cs="Times New Roman"/>
              <w:spacing w:val="3"/>
              <w:sz w:val="20"/>
              <w:szCs w:val="20"/>
            </w:rPr>
            <w:fldChar w:fldCharType="end"/>
          </w:r>
        </w:p>
        <w:p w14:paraId="6C437A7D">
          <w:pPr>
            <w:tabs>
              <w:tab w:val="right" w:leader="dot" w:pos="8720"/>
            </w:tabs>
            <w:spacing w:before="61" w:line="193" w:lineRule="auto"/>
            <w:ind w:left="429"/>
            <w:rPr>
              <w:rFonts w:ascii="Times New Roman" w:hAnsi="Times New Roman" w:eastAsia="Times New Roman" w:cs="Times New Roman"/>
              <w:sz w:val="20"/>
              <w:szCs w:val="20"/>
            </w:rPr>
          </w:pPr>
          <w:bookmarkStart w:id="181" w:name="bookmark363"/>
          <w:bookmarkEnd w:id="181"/>
          <w:r>
            <w:fldChar w:fldCharType="begin"/>
          </w:r>
          <w:r>
            <w:instrText xml:space="preserve"> HYPERLINK \l "bookmark364" </w:instrText>
          </w:r>
          <w:r>
            <w:fldChar w:fldCharType="separate"/>
          </w:r>
          <w:r>
            <w:rPr>
              <w:rFonts w:ascii="Times New Roman" w:hAnsi="Times New Roman" w:eastAsia="Times New Roman" w:cs="Times New Roman"/>
              <w:spacing w:val="5"/>
              <w:sz w:val="20"/>
              <w:szCs w:val="20"/>
            </w:rPr>
            <w:t>6.4</w:t>
          </w:r>
          <w:r>
            <w:rPr>
              <w:rFonts w:ascii="Times New Roman" w:hAnsi="Times New Roman" w:eastAsia="Times New Roman" w:cs="Times New Roman"/>
              <w:spacing w:val="37"/>
              <w:sz w:val="20"/>
              <w:szCs w:val="20"/>
            </w:rPr>
            <w:t xml:space="preserve"> </w:t>
          </w:r>
          <w:r>
            <w:rPr>
              <w:rFonts w:ascii="宋体" w:hAnsi="宋体" w:eastAsia="宋体" w:cs="宋体"/>
              <w:spacing w:val="5"/>
              <w:sz w:val="20"/>
              <w:szCs w:val="20"/>
            </w:rPr>
            <w:t>固体废物治理措施分析</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255</w:t>
          </w:r>
          <w:r>
            <w:rPr>
              <w:rFonts w:ascii="Times New Roman" w:hAnsi="Times New Roman" w:eastAsia="Times New Roman" w:cs="Times New Roman"/>
              <w:spacing w:val="3"/>
              <w:sz w:val="20"/>
              <w:szCs w:val="20"/>
            </w:rPr>
            <w:fldChar w:fldCharType="end"/>
          </w:r>
        </w:p>
        <w:p w14:paraId="25A27346">
          <w:pPr>
            <w:tabs>
              <w:tab w:val="right" w:leader="dot" w:pos="8720"/>
            </w:tabs>
            <w:spacing w:before="65" w:line="194" w:lineRule="auto"/>
            <w:ind w:left="849"/>
            <w:rPr>
              <w:rFonts w:ascii="Times New Roman" w:hAnsi="Times New Roman" w:eastAsia="Times New Roman" w:cs="Times New Roman"/>
              <w:sz w:val="20"/>
              <w:szCs w:val="20"/>
            </w:rPr>
          </w:pPr>
          <w:bookmarkStart w:id="182" w:name="bookmark365"/>
          <w:bookmarkEnd w:id="182"/>
          <w:r>
            <w:fldChar w:fldCharType="begin"/>
          </w:r>
          <w:r>
            <w:instrText xml:space="preserve"> HYPERLINK \l "bookmark366" </w:instrText>
          </w:r>
          <w:r>
            <w:fldChar w:fldCharType="separate"/>
          </w:r>
          <w:r>
            <w:rPr>
              <w:rFonts w:ascii="Times New Roman" w:hAnsi="Times New Roman" w:eastAsia="Times New Roman" w:cs="Times New Roman"/>
              <w:spacing w:val="7"/>
              <w:sz w:val="20"/>
              <w:szCs w:val="20"/>
            </w:rPr>
            <w:t xml:space="preserve">6.4.1 </w:t>
          </w:r>
          <w:r>
            <w:rPr>
              <w:rFonts w:ascii="宋体" w:hAnsi="宋体" w:eastAsia="宋体" w:cs="宋体"/>
              <w:spacing w:val="7"/>
              <w:sz w:val="20"/>
              <w:szCs w:val="20"/>
            </w:rPr>
            <w:t>一般工业固废治理措施及可行性分析</w:t>
          </w:r>
          <w:r>
            <w:rPr>
              <w:rFonts w:ascii="宋体" w:hAnsi="宋体" w:eastAsia="宋体" w:cs="宋体"/>
              <w:spacing w:val="-43"/>
              <w:sz w:val="20"/>
              <w:szCs w:val="20"/>
            </w:rPr>
            <w:t xml:space="preserve"> </w:t>
          </w:r>
          <w:r>
            <w:rPr>
              <w:rFonts w:ascii="宋体" w:hAnsi="宋体" w:eastAsia="宋体" w:cs="宋体"/>
              <w:sz w:val="20"/>
              <w:szCs w:val="20"/>
            </w:rPr>
            <w:tab/>
          </w:r>
          <w:r>
            <w:rPr>
              <w:rFonts w:ascii="Times New Roman" w:hAnsi="Times New Roman" w:eastAsia="Times New Roman" w:cs="Times New Roman"/>
              <w:spacing w:val="10"/>
              <w:sz w:val="20"/>
              <w:szCs w:val="20"/>
            </w:rPr>
            <w:t>255</w:t>
          </w:r>
          <w:r>
            <w:rPr>
              <w:rFonts w:ascii="Times New Roman" w:hAnsi="Times New Roman" w:eastAsia="Times New Roman" w:cs="Times New Roman"/>
              <w:spacing w:val="10"/>
              <w:sz w:val="20"/>
              <w:szCs w:val="20"/>
            </w:rPr>
            <w:fldChar w:fldCharType="end"/>
          </w:r>
        </w:p>
        <w:p w14:paraId="616C4AE5">
          <w:pPr>
            <w:tabs>
              <w:tab w:val="right" w:leader="dot" w:pos="8720"/>
            </w:tabs>
            <w:spacing w:before="63" w:line="193" w:lineRule="auto"/>
            <w:ind w:left="849"/>
            <w:rPr>
              <w:rFonts w:ascii="Times New Roman" w:hAnsi="Times New Roman" w:eastAsia="Times New Roman" w:cs="Times New Roman"/>
              <w:sz w:val="20"/>
              <w:szCs w:val="20"/>
            </w:rPr>
          </w:pPr>
          <w:bookmarkStart w:id="183" w:name="bookmark367"/>
          <w:bookmarkEnd w:id="183"/>
          <w:r>
            <w:fldChar w:fldCharType="begin"/>
          </w:r>
          <w:r>
            <w:instrText xml:space="preserve"> HYPERLINK \l "bookmark368" </w:instrText>
          </w:r>
          <w:r>
            <w:fldChar w:fldCharType="separate"/>
          </w:r>
          <w:r>
            <w:rPr>
              <w:rFonts w:ascii="Times New Roman" w:hAnsi="Times New Roman" w:eastAsia="Times New Roman" w:cs="Times New Roman"/>
              <w:spacing w:val="7"/>
              <w:sz w:val="20"/>
              <w:szCs w:val="20"/>
            </w:rPr>
            <w:t xml:space="preserve">6.4.2 </w:t>
          </w:r>
          <w:r>
            <w:rPr>
              <w:rFonts w:ascii="宋体" w:hAnsi="宋体" w:eastAsia="宋体" w:cs="宋体"/>
              <w:spacing w:val="7"/>
              <w:sz w:val="20"/>
              <w:szCs w:val="20"/>
            </w:rPr>
            <w:t>危险废物治理措施及可行性分析</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74"/>
              <w:sz w:val="20"/>
              <w:szCs w:val="20"/>
            </w:rPr>
            <w:t xml:space="preserve"> </w:t>
          </w:r>
          <w:r>
            <w:rPr>
              <w:rFonts w:ascii="Times New Roman" w:hAnsi="Times New Roman" w:eastAsia="Times New Roman" w:cs="Times New Roman"/>
              <w:spacing w:val="3"/>
              <w:sz w:val="20"/>
              <w:szCs w:val="20"/>
            </w:rPr>
            <w:t>257</w:t>
          </w:r>
          <w:r>
            <w:rPr>
              <w:rFonts w:ascii="Times New Roman" w:hAnsi="Times New Roman" w:eastAsia="Times New Roman" w:cs="Times New Roman"/>
              <w:spacing w:val="3"/>
              <w:sz w:val="20"/>
              <w:szCs w:val="20"/>
            </w:rPr>
            <w:fldChar w:fldCharType="end"/>
          </w:r>
        </w:p>
        <w:p w14:paraId="05B3764D">
          <w:pPr>
            <w:tabs>
              <w:tab w:val="right" w:leader="dot" w:pos="8720"/>
            </w:tabs>
            <w:spacing w:before="62" w:line="193" w:lineRule="auto"/>
            <w:ind w:left="429"/>
            <w:rPr>
              <w:rFonts w:ascii="Times New Roman" w:hAnsi="Times New Roman" w:eastAsia="Times New Roman" w:cs="Times New Roman"/>
              <w:sz w:val="20"/>
              <w:szCs w:val="20"/>
            </w:rPr>
          </w:pPr>
          <w:bookmarkStart w:id="184" w:name="bookmark369"/>
          <w:bookmarkEnd w:id="184"/>
          <w:r>
            <w:fldChar w:fldCharType="begin"/>
          </w:r>
          <w:r>
            <w:instrText xml:space="preserve"> HYPERLINK \l "bookmark370" </w:instrText>
          </w:r>
          <w:r>
            <w:fldChar w:fldCharType="separate"/>
          </w:r>
          <w:r>
            <w:rPr>
              <w:rFonts w:ascii="Times New Roman" w:hAnsi="Times New Roman" w:eastAsia="Times New Roman" w:cs="Times New Roman"/>
              <w:spacing w:val="7"/>
              <w:sz w:val="20"/>
              <w:szCs w:val="20"/>
            </w:rPr>
            <w:t xml:space="preserve">6.5 </w:t>
          </w:r>
          <w:r>
            <w:rPr>
              <w:rFonts w:ascii="宋体" w:hAnsi="宋体" w:eastAsia="宋体" w:cs="宋体"/>
              <w:spacing w:val="7"/>
              <w:sz w:val="20"/>
              <w:szCs w:val="20"/>
            </w:rPr>
            <w:t>地下水污染防治措施</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59"/>
              <w:sz w:val="20"/>
              <w:szCs w:val="20"/>
            </w:rPr>
            <w:t xml:space="preserve"> </w:t>
          </w:r>
          <w:r>
            <w:rPr>
              <w:rFonts w:ascii="Times New Roman" w:hAnsi="Times New Roman" w:eastAsia="Times New Roman" w:cs="Times New Roman"/>
              <w:spacing w:val="3"/>
              <w:sz w:val="20"/>
              <w:szCs w:val="20"/>
            </w:rPr>
            <w:t>258</w:t>
          </w:r>
          <w:r>
            <w:rPr>
              <w:rFonts w:ascii="Times New Roman" w:hAnsi="Times New Roman" w:eastAsia="Times New Roman" w:cs="Times New Roman"/>
              <w:spacing w:val="3"/>
              <w:sz w:val="20"/>
              <w:szCs w:val="20"/>
            </w:rPr>
            <w:fldChar w:fldCharType="end"/>
          </w:r>
        </w:p>
        <w:p w14:paraId="62233C80">
          <w:pPr>
            <w:tabs>
              <w:tab w:val="right" w:leader="dot" w:pos="8720"/>
            </w:tabs>
            <w:spacing w:before="62" w:line="194" w:lineRule="auto"/>
            <w:ind w:left="849"/>
            <w:rPr>
              <w:rFonts w:ascii="Times New Roman" w:hAnsi="Times New Roman" w:eastAsia="Times New Roman" w:cs="Times New Roman"/>
              <w:sz w:val="20"/>
              <w:szCs w:val="20"/>
            </w:rPr>
          </w:pPr>
          <w:bookmarkStart w:id="185" w:name="bookmark371"/>
          <w:bookmarkEnd w:id="185"/>
          <w:r>
            <w:fldChar w:fldCharType="begin"/>
          </w:r>
          <w:r>
            <w:instrText xml:space="preserve"> HYPERLINK \l "bookmark372" </w:instrText>
          </w:r>
          <w:r>
            <w:fldChar w:fldCharType="separate"/>
          </w:r>
          <w:r>
            <w:rPr>
              <w:rFonts w:ascii="Times New Roman" w:hAnsi="Times New Roman" w:eastAsia="Times New Roman" w:cs="Times New Roman"/>
              <w:spacing w:val="5"/>
              <w:sz w:val="20"/>
              <w:szCs w:val="20"/>
            </w:rPr>
            <w:t xml:space="preserve">6.5.1 </w:t>
          </w:r>
          <w:r>
            <w:rPr>
              <w:rFonts w:ascii="宋体" w:hAnsi="宋体" w:eastAsia="宋体" w:cs="宋体"/>
              <w:spacing w:val="5"/>
              <w:sz w:val="20"/>
              <w:szCs w:val="20"/>
            </w:rPr>
            <w:t>源头控制措施</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258</w:t>
          </w:r>
          <w:r>
            <w:rPr>
              <w:rFonts w:ascii="Times New Roman" w:hAnsi="Times New Roman" w:eastAsia="Times New Roman" w:cs="Times New Roman"/>
              <w:spacing w:val="3"/>
              <w:sz w:val="20"/>
              <w:szCs w:val="20"/>
            </w:rPr>
            <w:fldChar w:fldCharType="end"/>
          </w:r>
        </w:p>
        <w:p w14:paraId="43C4E904">
          <w:pPr>
            <w:tabs>
              <w:tab w:val="right" w:leader="dot" w:pos="8720"/>
            </w:tabs>
            <w:spacing w:before="64" w:line="193" w:lineRule="auto"/>
            <w:ind w:left="849"/>
            <w:rPr>
              <w:rFonts w:ascii="Times New Roman" w:hAnsi="Times New Roman" w:eastAsia="Times New Roman" w:cs="Times New Roman"/>
              <w:sz w:val="20"/>
              <w:szCs w:val="20"/>
            </w:rPr>
          </w:pPr>
          <w:bookmarkStart w:id="186" w:name="bookmark373"/>
          <w:bookmarkEnd w:id="186"/>
          <w:r>
            <w:fldChar w:fldCharType="begin"/>
          </w:r>
          <w:r>
            <w:instrText xml:space="preserve"> HYPERLINK \l "bookmark374" </w:instrText>
          </w:r>
          <w:r>
            <w:fldChar w:fldCharType="separate"/>
          </w:r>
          <w:r>
            <w:rPr>
              <w:rFonts w:ascii="Times New Roman" w:hAnsi="Times New Roman" w:eastAsia="Times New Roman" w:cs="Times New Roman"/>
              <w:spacing w:val="5"/>
              <w:sz w:val="20"/>
              <w:szCs w:val="20"/>
            </w:rPr>
            <w:t xml:space="preserve">6.5.2 </w:t>
          </w:r>
          <w:r>
            <w:rPr>
              <w:rFonts w:ascii="宋体" w:hAnsi="宋体" w:eastAsia="宋体" w:cs="宋体"/>
              <w:spacing w:val="5"/>
              <w:sz w:val="20"/>
              <w:szCs w:val="20"/>
            </w:rPr>
            <w:t>分区防控措施</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259</w:t>
          </w:r>
          <w:r>
            <w:rPr>
              <w:rFonts w:ascii="Times New Roman" w:hAnsi="Times New Roman" w:eastAsia="Times New Roman" w:cs="Times New Roman"/>
              <w:spacing w:val="3"/>
              <w:sz w:val="20"/>
              <w:szCs w:val="20"/>
            </w:rPr>
            <w:fldChar w:fldCharType="end"/>
          </w:r>
        </w:p>
        <w:p w14:paraId="726F4159">
          <w:pPr>
            <w:tabs>
              <w:tab w:val="right" w:leader="dot" w:pos="8720"/>
            </w:tabs>
            <w:spacing w:before="62" w:line="193" w:lineRule="auto"/>
            <w:ind w:left="849"/>
            <w:rPr>
              <w:rFonts w:ascii="Times New Roman" w:hAnsi="Times New Roman" w:eastAsia="Times New Roman" w:cs="Times New Roman"/>
              <w:sz w:val="20"/>
              <w:szCs w:val="20"/>
            </w:rPr>
          </w:pPr>
          <w:bookmarkStart w:id="187" w:name="bookmark375"/>
          <w:bookmarkEnd w:id="187"/>
          <w:r>
            <w:fldChar w:fldCharType="begin"/>
          </w:r>
          <w:r>
            <w:instrText xml:space="preserve"> HYPERLINK \l "bookmark376" </w:instrText>
          </w:r>
          <w:r>
            <w:fldChar w:fldCharType="separate"/>
          </w:r>
          <w:r>
            <w:rPr>
              <w:rFonts w:ascii="Times New Roman" w:hAnsi="Times New Roman" w:eastAsia="Times New Roman" w:cs="Times New Roman"/>
              <w:spacing w:val="4"/>
              <w:sz w:val="20"/>
              <w:szCs w:val="20"/>
            </w:rPr>
            <w:t xml:space="preserve">6.5.3 </w:t>
          </w:r>
          <w:r>
            <w:rPr>
              <w:rFonts w:ascii="宋体" w:hAnsi="宋体" w:eastAsia="宋体" w:cs="宋体"/>
              <w:spacing w:val="4"/>
              <w:sz w:val="20"/>
              <w:szCs w:val="20"/>
            </w:rPr>
            <w:t>污染监控</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259</w:t>
          </w:r>
          <w:r>
            <w:rPr>
              <w:rFonts w:ascii="Times New Roman" w:hAnsi="Times New Roman" w:eastAsia="Times New Roman" w:cs="Times New Roman"/>
              <w:spacing w:val="3"/>
              <w:sz w:val="20"/>
              <w:szCs w:val="20"/>
            </w:rPr>
            <w:fldChar w:fldCharType="end"/>
          </w:r>
        </w:p>
        <w:p w14:paraId="23EFE1A3">
          <w:pPr>
            <w:tabs>
              <w:tab w:val="right" w:leader="dot" w:pos="8720"/>
            </w:tabs>
            <w:spacing w:before="65" w:line="194" w:lineRule="auto"/>
            <w:ind w:left="849"/>
            <w:rPr>
              <w:rFonts w:ascii="Times New Roman" w:hAnsi="Times New Roman" w:eastAsia="Times New Roman" w:cs="Times New Roman"/>
              <w:sz w:val="20"/>
              <w:szCs w:val="20"/>
            </w:rPr>
          </w:pPr>
          <w:bookmarkStart w:id="188" w:name="bookmark377"/>
          <w:bookmarkEnd w:id="188"/>
          <w:r>
            <w:fldChar w:fldCharType="begin"/>
          </w:r>
          <w:r>
            <w:instrText xml:space="preserve"> HYPERLINK \l "bookmark378" </w:instrText>
          </w:r>
          <w:r>
            <w:fldChar w:fldCharType="separate"/>
          </w:r>
          <w:r>
            <w:rPr>
              <w:rFonts w:ascii="Times New Roman" w:hAnsi="Times New Roman" w:eastAsia="Times New Roman" w:cs="Times New Roman"/>
              <w:spacing w:val="4"/>
              <w:sz w:val="20"/>
              <w:szCs w:val="20"/>
            </w:rPr>
            <w:t xml:space="preserve">6.5.4 </w:t>
          </w:r>
          <w:r>
            <w:rPr>
              <w:rFonts w:ascii="宋体" w:hAnsi="宋体" w:eastAsia="宋体" w:cs="宋体"/>
              <w:spacing w:val="4"/>
              <w:sz w:val="20"/>
              <w:szCs w:val="20"/>
            </w:rPr>
            <w:t>应急响应</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260</w:t>
          </w:r>
          <w:r>
            <w:rPr>
              <w:rFonts w:ascii="Times New Roman" w:hAnsi="Times New Roman" w:eastAsia="Times New Roman" w:cs="Times New Roman"/>
              <w:spacing w:val="3"/>
              <w:sz w:val="20"/>
              <w:szCs w:val="20"/>
            </w:rPr>
            <w:fldChar w:fldCharType="end"/>
          </w:r>
        </w:p>
        <w:p w14:paraId="70AEE2F1">
          <w:pPr>
            <w:tabs>
              <w:tab w:val="right" w:leader="dot" w:pos="8720"/>
            </w:tabs>
            <w:spacing w:before="61" w:line="193" w:lineRule="auto"/>
            <w:ind w:left="429"/>
            <w:rPr>
              <w:rFonts w:ascii="Times New Roman" w:hAnsi="Times New Roman" w:eastAsia="Times New Roman" w:cs="Times New Roman"/>
              <w:sz w:val="20"/>
              <w:szCs w:val="20"/>
            </w:rPr>
          </w:pPr>
          <w:bookmarkStart w:id="189" w:name="bookmark379"/>
          <w:bookmarkEnd w:id="189"/>
          <w:r>
            <w:fldChar w:fldCharType="begin"/>
          </w:r>
          <w:r>
            <w:instrText xml:space="preserve"> HYPERLINK \l "bookmark380" </w:instrText>
          </w:r>
          <w:r>
            <w:fldChar w:fldCharType="separate"/>
          </w:r>
          <w:r>
            <w:rPr>
              <w:rFonts w:ascii="Times New Roman" w:hAnsi="Times New Roman" w:eastAsia="Times New Roman" w:cs="Times New Roman"/>
              <w:spacing w:val="6"/>
              <w:sz w:val="20"/>
              <w:szCs w:val="20"/>
            </w:rPr>
            <w:t xml:space="preserve">6.6 </w:t>
          </w:r>
          <w:r>
            <w:rPr>
              <w:rFonts w:ascii="宋体" w:hAnsi="宋体" w:eastAsia="宋体" w:cs="宋体"/>
              <w:spacing w:val="6"/>
              <w:sz w:val="20"/>
              <w:szCs w:val="20"/>
            </w:rPr>
            <w:t>土壤污染治理措施</w:t>
          </w:r>
          <w:r>
            <w:rPr>
              <w:rFonts w:ascii="宋体" w:hAnsi="宋体" w:eastAsia="宋体" w:cs="宋体"/>
              <w:spacing w:val="-47"/>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260</w:t>
          </w:r>
          <w:r>
            <w:rPr>
              <w:rFonts w:ascii="Times New Roman" w:hAnsi="Times New Roman" w:eastAsia="Times New Roman" w:cs="Times New Roman"/>
              <w:spacing w:val="3"/>
              <w:sz w:val="20"/>
              <w:szCs w:val="20"/>
            </w:rPr>
            <w:fldChar w:fldCharType="end"/>
          </w:r>
        </w:p>
        <w:p w14:paraId="049ACC05">
          <w:pPr>
            <w:tabs>
              <w:tab w:val="right" w:leader="dot" w:pos="8720"/>
            </w:tabs>
            <w:spacing w:before="64" w:line="193" w:lineRule="auto"/>
            <w:ind w:left="849"/>
            <w:rPr>
              <w:rFonts w:ascii="Times New Roman" w:hAnsi="Times New Roman" w:eastAsia="Times New Roman" w:cs="Times New Roman"/>
              <w:sz w:val="20"/>
              <w:szCs w:val="20"/>
            </w:rPr>
          </w:pPr>
          <w:bookmarkStart w:id="190" w:name="bookmark381"/>
          <w:bookmarkEnd w:id="190"/>
          <w:r>
            <w:fldChar w:fldCharType="begin"/>
          </w:r>
          <w:r>
            <w:instrText xml:space="preserve"> HYPERLINK \l "bookmark382" </w:instrText>
          </w:r>
          <w:r>
            <w:fldChar w:fldCharType="separate"/>
          </w:r>
          <w:r>
            <w:rPr>
              <w:rFonts w:ascii="Times New Roman" w:hAnsi="Times New Roman" w:eastAsia="Times New Roman" w:cs="Times New Roman"/>
              <w:spacing w:val="5"/>
              <w:sz w:val="20"/>
              <w:szCs w:val="20"/>
            </w:rPr>
            <w:t xml:space="preserve">6.6.1 </w:t>
          </w:r>
          <w:r>
            <w:rPr>
              <w:rFonts w:ascii="宋体" w:hAnsi="宋体" w:eastAsia="宋体" w:cs="宋体"/>
              <w:spacing w:val="5"/>
              <w:sz w:val="20"/>
              <w:szCs w:val="20"/>
            </w:rPr>
            <w:t>源头控制措施</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260</w:t>
          </w:r>
          <w:r>
            <w:rPr>
              <w:rFonts w:ascii="Times New Roman" w:hAnsi="Times New Roman" w:eastAsia="Times New Roman" w:cs="Times New Roman"/>
              <w:spacing w:val="3"/>
              <w:sz w:val="20"/>
              <w:szCs w:val="20"/>
            </w:rPr>
            <w:fldChar w:fldCharType="end"/>
          </w:r>
        </w:p>
        <w:p w14:paraId="4488BBBD">
          <w:pPr>
            <w:tabs>
              <w:tab w:val="right" w:leader="dot" w:pos="8720"/>
            </w:tabs>
            <w:spacing w:before="62" w:line="194" w:lineRule="auto"/>
            <w:ind w:left="849"/>
            <w:rPr>
              <w:rFonts w:ascii="Times New Roman" w:hAnsi="Times New Roman" w:eastAsia="Times New Roman" w:cs="Times New Roman"/>
              <w:sz w:val="20"/>
              <w:szCs w:val="20"/>
            </w:rPr>
          </w:pPr>
          <w:bookmarkStart w:id="191" w:name="bookmark383"/>
          <w:bookmarkEnd w:id="191"/>
          <w:r>
            <w:fldChar w:fldCharType="begin"/>
          </w:r>
          <w:r>
            <w:instrText xml:space="preserve"> HYPERLINK \l "bookmark384" </w:instrText>
          </w:r>
          <w:r>
            <w:fldChar w:fldCharType="separate"/>
          </w:r>
          <w:r>
            <w:rPr>
              <w:rFonts w:ascii="Times New Roman" w:hAnsi="Times New Roman" w:eastAsia="Times New Roman" w:cs="Times New Roman"/>
              <w:spacing w:val="5"/>
              <w:sz w:val="20"/>
              <w:szCs w:val="20"/>
            </w:rPr>
            <w:t xml:space="preserve">6.6.2 </w:t>
          </w:r>
          <w:r>
            <w:rPr>
              <w:rFonts w:ascii="宋体" w:hAnsi="宋体" w:eastAsia="宋体" w:cs="宋体"/>
              <w:spacing w:val="5"/>
              <w:sz w:val="20"/>
              <w:szCs w:val="20"/>
            </w:rPr>
            <w:t>过程控制措施</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261</w:t>
          </w:r>
          <w:r>
            <w:rPr>
              <w:rFonts w:ascii="Times New Roman" w:hAnsi="Times New Roman" w:eastAsia="Times New Roman" w:cs="Times New Roman"/>
              <w:spacing w:val="3"/>
              <w:sz w:val="20"/>
              <w:szCs w:val="20"/>
            </w:rPr>
            <w:fldChar w:fldCharType="end"/>
          </w:r>
        </w:p>
        <w:p w14:paraId="022665D4">
          <w:pPr>
            <w:tabs>
              <w:tab w:val="right" w:leader="dot" w:pos="8720"/>
            </w:tabs>
            <w:spacing w:before="64" w:line="193" w:lineRule="auto"/>
            <w:ind w:left="849"/>
            <w:rPr>
              <w:rFonts w:ascii="Times New Roman" w:hAnsi="Times New Roman" w:eastAsia="Times New Roman" w:cs="Times New Roman"/>
              <w:sz w:val="20"/>
              <w:szCs w:val="20"/>
            </w:rPr>
          </w:pPr>
          <w:bookmarkStart w:id="192" w:name="bookmark385"/>
          <w:bookmarkEnd w:id="192"/>
          <w:r>
            <w:fldChar w:fldCharType="begin"/>
          </w:r>
          <w:r>
            <w:instrText xml:space="preserve"> HYPERLINK \l "bookmark386" </w:instrText>
          </w:r>
          <w:r>
            <w:fldChar w:fldCharType="separate"/>
          </w:r>
          <w:r>
            <w:rPr>
              <w:rFonts w:ascii="Times New Roman" w:hAnsi="Times New Roman" w:eastAsia="Times New Roman" w:cs="Times New Roman"/>
              <w:spacing w:val="5"/>
              <w:sz w:val="20"/>
              <w:szCs w:val="20"/>
            </w:rPr>
            <w:t xml:space="preserve">6.6.3 </w:t>
          </w:r>
          <w:r>
            <w:rPr>
              <w:rFonts w:ascii="宋体" w:hAnsi="宋体" w:eastAsia="宋体" w:cs="宋体"/>
              <w:spacing w:val="5"/>
              <w:sz w:val="20"/>
              <w:szCs w:val="20"/>
            </w:rPr>
            <w:t>跟踪监测计划</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261</w:t>
          </w:r>
          <w:r>
            <w:rPr>
              <w:rFonts w:ascii="Times New Roman" w:hAnsi="Times New Roman" w:eastAsia="Times New Roman" w:cs="Times New Roman"/>
              <w:spacing w:val="3"/>
              <w:sz w:val="20"/>
              <w:szCs w:val="20"/>
            </w:rPr>
            <w:fldChar w:fldCharType="end"/>
          </w:r>
        </w:p>
        <w:p w14:paraId="443F36D0">
          <w:pPr>
            <w:tabs>
              <w:tab w:val="right" w:leader="dot" w:pos="8720"/>
            </w:tabs>
            <w:spacing w:before="62" w:line="193" w:lineRule="auto"/>
            <w:ind w:left="429"/>
            <w:rPr>
              <w:rFonts w:ascii="Times New Roman" w:hAnsi="Times New Roman" w:eastAsia="Times New Roman" w:cs="Times New Roman"/>
              <w:sz w:val="20"/>
              <w:szCs w:val="20"/>
            </w:rPr>
          </w:pPr>
          <w:bookmarkStart w:id="193" w:name="bookmark387"/>
          <w:bookmarkEnd w:id="193"/>
          <w:r>
            <w:fldChar w:fldCharType="begin"/>
          </w:r>
          <w:r>
            <w:instrText xml:space="preserve"> HYPERLINK \l "bookmark388" </w:instrText>
          </w:r>
          <w:r>
            <w:fldChar w:fldCharType="separate"/>
          </w:r>
          <w:r>
            <w:rPr>
              <w:rFonts w:ascii="Times New Roman" w:hAnsi="Times New Roman" w:eastAsia="Times New Roman" w:cs="Times New Roman"/>
              <w:spacing w:val="6"/>
              <w:sz w:val="20"/>
              <w:szCs w:val="20"/>
            </w:rPr>
            <w:t xml:space="preserve">6.7 </w:t>
          </w:r>
          <w:r>
            <w:rPr>
              <w:rFonts w:ascii="宋体" w:hAnsi="宋体" w:eastAsia="宋体" w:cs="宋体"/>
              <w:spacing w:val="6"/>
              <w:sz w:val="20"/>
              <w:szCs w:val="20"/>
            </w:rPr>
            <w:t>生态保护措施</w:t>
          </w:r>
          <w:r>
            <w:rPr>
              <w:rFonts w:ascii="宋体" w:hAnsi="宋体" w:eastAsia="宋体" w:cs="宋体"/>
              <w:spacing w:val="-55"/>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262</w:t>
          </w:r>
          <w:r>
            <w:rPr>
              <w:rFonts w:ascii="Times New Roman" w:hAnsi="Times New Roman" w:eastAsia="Times New Roman" w:cs="Times New Roman"/>
              <w:spacing w:val="3"/>
              <w:sz w:val="20"/>
              <w:szCs w:val="20"/>
            </w:rPr>
            <w:fldChar w:fldCharType="end"/>
          </w:r>
        </w:p>
        <w:p w14:paraId="72235B64">
          <w:pPr>
            <w:tabs>
              <w:tab w:val="right" w:leader="dot" w:pos="8720"/>
            </w:tabs>
            <w:spacing w:before="62" w:line="194" w:lineRule="auto"/>
            <w:ind w:left="429"/>
            <w:rPr>
              <w:rFonts w:ascii="Times New Roman" w:hAnsi="Times New Roman" w:eastAsia="Times New Roman" w:cs="Times New Roman"/>
              <w:sz w:val="20"/>
              <w:szCs w:val="20"/>
            </w:rPr>
          </w:pPr>
          <w:bookmarkStart w:id="194" w:name="bookmark389"/>
          <w:bookmarkEnd w:id="194"/>
          <w:r>
            <w:fldChar w:fldCharType="begin"/>
          </w:r>
          <w:r>
            <w:instrText xml:space="preserve"> HYPERLINK \l "bookmark390" </w:instrText>
          </w:r>
          <w:r>
            <w:fldChar w:fldCharType="separate"/>
          </w:r>
          <w:r>
            <w:rPr>
              <w:rFonts w:ascii="Times New Roman" w:hAnsi="Times New Roman" w:eastAsia="Times New Roman" w:cs="Times New Roman"/>
              <w:spacing w:val="7"/>
              <w:sz w:val="20"/>
              <w:szCs w:val="20"/>
            </w:rPr>
            <w:t xml:space="preserve">6.8 </w:t>
          </w:r>
          <w:r>
            <w:rPr>
              <w:rFonts w:ascii="宋体" w:hAnsi="宋体" w:eastAsia="宋体" w:cs="宋体"/>
              <w:spacing w:val="7"/>
              <w:sz w:val="20"/>
              <w:szCs w:val="20"/>
            </w:rPr>
            <w:t>施工期的环保措施分析</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262</w:t>
          </w:r>
          <w:r>
            <w:rPr>
              <w:rFonts w:ascii="Times New Roman" w:hAnsi="Times New Roman" w:eastAsia="Times New Roman" w:cs="Times New Roman"/>
              <w:spacing w:val="3"/>
              <w:sz w:val="20"/>
              <w:szCs w:val="20"/>
            </w:rPr>
            <w:fldChar w:fldCharType="end"/>
          </w:r>
        </w:p>
        <w:p w14:paraId="5E74FE08">
          <w:pPr>
            <w:tabs>
              <w:tab w:val="right" w:leader="dot" w:pos="8720"/>
            </w:tabs>
            <w:spacing w:before="63" w:line="193" w:lineRule="auto"/>
            <w:ind w:left="849"/>
            <w:rPr>
              <w:rFonts w:ascii="Times New Roman" w:hAnsi="Times New Roman" w:eastAsia="Times New Roman" w:cs="Times New Roman"/>
              <w:sz w:val="20"/>
              <w:szCs w:val="20"/>
            </w:rPr>
          </w:pPr>
          <w:bookmarkStart w:id="195" w:name="bookmark391"/>
          <w:bookmarkEnd w:id="195"/>
          <w:r>
            <w:fldChar w:fldCharType="begin"/>
          </w:r>
          <w:r>
            <w:instrText xml:space="preserve"> HYPERLINK \l "bookmark392" </w:instrText>
          </w:r>
          <w:r>
            <w:fldChar w:fldCharType="separate"/>
          </w:r>
          <w:r>
            <w:rPr>
              <w:rFonts w:ascii="Times New Roman" w:hAnsi="Times New Roman" w:eastAsia="Times New Roman" w:cs="Times New Roman"/>
              <w:spacing w:val="6"/>
              <w:sz w:val="20"/>
              <w:szCs w:val="20"/>
            </w:rPr>
            <w:t xml:space="preserve">6.8.1 </w:t>
          </w:r>
          <w:r>
            <w:rPr>
              <w:rFonts w:ascii="宋体" w:hAnsi="宋体" w:eastAsia="宋体" w:cs="宋体"/>
              <w:spacing w:val="6"/>
              <w:sz w:val="20"/>
              <w:szCs w:val="20"/>
            </w:rPr>
            <w:t>废气防治措施分析</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262</w:t>
          </w:r>
          <w:r>
            <w:rPr>
              <w:rFonts w:ascii="Times New Roman" w:hAnsi="Times New Roman" w:eastAsia="Times New Roman" w:cs="Times New Roman"/>
              <w:spacing w:val="3"/>
              <w:sz w:val="20"/>
              <w:szCs w:val="20"/>
            </w:rPr>
            <w:fldChar w:fldCharType="end"/>
          </w:r>
        </w:p>
        <w:p w14:paraId="5781C593">
          <w:pPr>
            <w:tabs>
              <w:tab w:val="right" w:leader="dot" w:pos="8720"/>
            </w:tabs>
            <w:spacing w:before="65" w:line="193" w:lineRule="auto"/>
            <w:ind w:left="849"/>
            <w:rPr>
              <w:rFonts w:ascii="Times New Roman" w:hAnsi="Times New Roman" w:eastAsia="Times New Roman" w:cs="Times New Roman"/>
              <w:sz w:val="20"/>
              <w:szCs w:val="20"/>
            </w:rPr>
          </w:pPr>
          <w:bookmarkStart w:id="196" w:name="bookmark393"/>
          <w:bookmarkEnd w:id="196"/>
          <w:r>
            <w:fldChar w:fldCharType="begin"/>
          </w:r>
          <w:r>
            <w:instrText xml:space="preserve"> HYPERLINK \l "bookmark394" </w:instrText>
          </w:r>
          <w:r>
            <w:fldChar w:fldCharType="separate"/>
          </w:r>
          <w:r>
            <w:rPr>
              <w:rFonts w:ascii="Times New Roman" w:hAnsi="Times New Roman" w:eastAsia="Times New Roman" w:cs="Times New Roman"/>
              <w:spacing w:val="6"/>
              <w:sz w:val="20"/>
              <w:szCs w:val="20"/>
            </w:rPr>
            <w:t xml:space="preserve">6.8.2 </w:t>
          </w:r>
          <w:r>
            <w:rPr>
              <w:rFonts w:ascii="宋体" w:hAnsi="宋体" w:eastAsia="宋体" w:cs="宋体"/>
              <w:spacing w:val="6"/>
              <w:sz w:val="20"/>
              <w:szCs w:val="20"/>
            </w:rPr>
            <w:t>废水防治措施分析</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263</w:t>
          </w:r>
          <w:r>
            <w:rPr>
              <w:rFonts w:ascii="Times New Roman" w:hAnsi="Times New Roman" w:eastAsia="Times New Roman" w:cs="Times New Roman"/>
              <w:spacing w:val="3"/>
              <w:sz w:val="20"/>
              <w:szCs w:val="20"/>
            </w:rPr>
            <w:fldChar w:fldCharType="end"/>
          </w:r>
        </w:p>
        <w:p w14:paraId="7115534D">
          <w:pPr>
            <w:tabs>
              <w:tab w:val="right" w:leader="dot" w:pos="8720"/>
            </w:tabs>
            <w:spacing w:before="62" w:line="194" w:lineRule="auto"/>
            <w:ind w:left="849"/>
            <w:rPr>
              <w:rFonts w:ascii="Times New Roman" w:hAnsi="Times New Roman" w:eastAsia="Times New Roman" w:cs="Times New Roman"/>
              <w:sz w:val="20"/>
              <w:szCs w:val="20"/>
            </w:rPr>
          </w:pPr>
          <w:bookmarkStart w:id="197" w:name="bookmark395"/>
          <w:bookmarkEnd w:id="197"/>
          <w:r>
            <w:fldChar w:fldCharType="begin"/>
          </w:r>
          <w:r>
            <w:instrText xml:space="preserve"> HYPERLINK \l "bookmark396" </w:instrText>
          </w:r>
          <w:r>
            <w:fldChar w:fldCharType="separate"/>
          </w:r>
          <w:r>
            <w:rPr>
              <w:rFonts w:ascii="Times New Roman" w:hAnsi="Times New Roman" w:eastAsia="Times New Roman" w:cs="Times New Roman"/>
              <w:spacing w:val="5"/>
              <w:sz w:val="20"/>
              <w:szCs w:val="20"/>
            </w:rPr>
            <w:t>6.8.3</w:t>
          </w:r>
          <w:r>
            <w:rPr>
              <w:rFonts w:ascii="Times New Roman" w:hAnsi="Times New Roman" w:eastAsia="Times New Roman" w:cs="Times New Roman"/>
              <w:spacing w:val="23"/>
              <w:sz w:val="20"/>
              <w:szCs w:val="20"/>
            </w:rPr>
            <w:t xml:space="preserve"> </w:t>
          </w:r>
          <w:r>
            <w:rPr>
              <w:rFonts w:ascii="宋体" w:hAnsi="宋体" w:eastAsia="宋体" w:cs="宋体"/>
              <w:spacing w:val="5"/>
              <w:sz w:val="20"/>
              <w:szCs w:val="20"/>
            </w:rPr>
            <w:t>噪声防治措施分析</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264</w:t>
          </w:r>
          <w:r>
            <w:rPr>
              <w:rFonts w:ascii="Times New Roman" w:hAnsi="Times New Roman" w:eastAsia="Times New Roman" w:cs="Times New Roman"/>
              <w:spacing w:val="3"/>
              <w:sz w:val="20"/>
              <w:szCs w:val="20"/>
            </w:rPr>
            <w:fldChar w:fldCharType="end"/>
          </w:r>
        </w:p>
        <w:p w14:paraId="24081AE1">
          <w:pPr>
            <w:tabs>
              <w:tab w:val="right" w:leader="dot" w:pos="8720"/>
            </w:tabs>
            <w:spacing w:before="63" w:line="193" w:lineRule="auto"/>
            <w:ind w:left="849"/>
            <w:rPr>
              <w:rFonts w:ascii="Times New Roman" w:hAnsi="Times New Roman" w:eastAsia="Times New Roman" w:cs="Times New Roman"/>
              <w:sz w:val="20"/>
              <w:szCs w:val="20"/>
            </w:rPr>
          </w:pPr>
          <w:bookmarkStart w:id="198" w:name="bookmark397"/>
          <w:bookmarkEnd w:id="198"/>
          <w:r>
            <w:fldChar w:fldCharType="begin"/>
          </w:r>
          <w:r>
            <w:instrText xml:space="preserve"> HYPERLINK \l "bookmark398" </w:instrText>
          </w:r>
          <w:r>
            <w:fldChar w:fldCharType="separate"/>
          </w:r>
          <w:r>
            <w:rPr>
              <w:rFonts w:ascii="Times New Roman" w:hAnsi="Times New Roman" w:eastAsia="Times New Roman" w:cs="Times New Roman"/>
              <w:spacing w:val="5"/>
              <w:sz w:val="20"/>
              <w:szCs w:val="20"/>
            </w:rPr>
            <w:t>6.8.4</w:t>
          </w:r>
          <w:r>
            <w:rPr>
              <w:rFonts w:ascii="Times New Roman" w:hAnsi="Times New Roman" w:eastAsia="Times New Roman" w:cs="Times New Roman"/>
              <w:spacing w:val="33"/>
              <w:sz w:val="20"/>
              <w:szCs w:val="20"/>
            </w:rPr>
            <w:t xml:space="preserve"> </w:t>
          </w:r>
          <w:r>
            <w:rPr>
              <w:rFonts w:ascii="宋体" w:hAnsi="宋体" w:eastAsia="宋体" w:cs="宋体"/>
              <w:spacing w:val="5"/>
              <w:sz w:val="20"/>
              <w:szCs w:val="20"/>
            </w:rPr>
            <w:t>固体废物处置措施分析</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264</w:t>
          </w:r>
          <w:r>
            <w:rPr>
              <w:rFonts w:ascii="Times New Roman" w:hAnsi="Times New Roman" w:eastAsia="Times New Roman" w:cs="Times New Roman"/>
              <w:spacing w:val="3"/>
              <w:sz w:val="20"/>
              <w:szCs w:val="20"/>
            </w:rPr>
            <w:fldChar w:fldCharType="end"/>
          </w:r>
        </w:p>
        <w:p w14:paraId="12EAD348">
          <w:pPr>
            <w:tabs>
              <w:tab w:val="right" w:leader="dot" w:pos="8720"/>
            </w:tabs>
            <w:spacing w:before="63" w:line="193" w:lineRule="auto"/>
            <w:ind w:left="429"/>
            <w:rPr>
              <w:rFonts w:ascii="Times New Roman" w:hAnsi="Times New Roman" w:eastAsia="Times New Roman" w:cs="Times New Roman"/>
              <w:sz w:val="20"/>
              <w:szCs w:val="20"/>
            </w:rPr>
          </w:pPr>
          <w:bookmarkStart w:id="199" w:name="bookmark399"/>
          <w:bookmarkEnd w:id="199"/>
          <w:r>
            <w:fldChar w:fldCharType="begin"/>
          </w:r>
          <w:r>
            <w:instrText xml:space="preserve"> HYPERLINK \l "bookmark400" </w:instrText>
          </w:r>
          <w:r>
            <w:fldChar w:fldCharType="separate"/>
          </w:r>
          <w:r>
            <w:rPr>
              <w:rFonts w:ascii="Times New Roman" w:hAnsi="Times New Roman" w:eastAsia="Times New Roman" w:cs="Times New Roman"/>
              <w:spacing w:val="5"/>
              <w:sz w:val="20"/>
              <w:szCs w:val="20"/>
            </w:rPr>
            <w:t xml:space="preserve">6.9 </w:t>
          </w:r>
          <w:r>
            <w:rPr>
              <w:rFonts w:ascii="宋体" w:hAnsi="宋体" w:eastAsia="宋体" w:cs="宋体"/>
              <w:spacing w:val="5"/>
              <w:sz w:val="20"/>
              <w:szCs w:val="20"/>
            </w:rPr>
            <w:t>环境管理</w:t>
          </w:r>
          <w:r>
            <w:rPr>
              <w:rFonts w:ascii="宋体" w:hAnsi="宋体" w:eastAsia="宋体" w:cs="宋体"/>
              <w:spacing w:val="-55"/>
              <w:sz w:val="20"/>
              <w:szCs w:val="20"/>
            </w:rPr>
            <w:t xml:space="preserve"> </w:t>
          </w:r>
          <w:r>
            <w:rPr>
              <w:rFonts w:ascii="宋体" w:hAnsi="宋体" w:eastAsia="宋体" w:cs="宋体"/>
              <w:sz w:val="20"/>
              <w:szCs w:val="20"/>
            </w:rPr>
            <w:tab/>
          </w:r>
          <w:r>
            <w:rPr>
              <w:rFonts w:ascii="宋体" w:hAnsi="宋体" w:eastAsia="宋体" w:cs="宋体"/>
              <w:spacing w:val="-50"/>
              <w:sz w:val="20"/>
              <w:szCs w:val="20"/>
            </w:rPr>
            <w:t xml:space="preserve"> </w:t>
          </w:r>
          <w:r>
            <w:rPr>
              <w:rFonts w:ascii="Times New Roman" w:hAnsi="Times New Roman" w:eastAsia="Times New Roman" w:cs="Times New Roman"/>
              <w:spacing w:val="3"/>
              <w:sz w:val="20"/>
              <w:szCs w:val="20"/>
            </w:rPr>
            <w:t>264</w:t>
          </w:r>
          <w:r>
            <w:rPr>
              <w:rFonts w:ascii="Times New Roman" w:hAnsi="Times New Roman" w:eastAsia="Times New Roman" w:cs="Times New Roman"/>
              <w:spacing w:val="3"/>
              <w:sz w:val="20"/>
              <w:szCs w:val="20"/>
            </w:rPr>
            <w:fldChar w:fldCharType="end"/>
          </w:r>
        </w:p>
        <w:p w14:paraId="45147FDE">
          <w:pPr>
            <w:tabs>
              <w:tab w:val="right" w:leader="dot" w:pos="8720"/>
            </w:tabs>
            <w:spacing w:before="62" w:line="194" w:lineRule="auto"/>
            <w:ind w:left="429"/>
            <w:rPr>
              <w:rFonts w:ascii="Times New Roman" w:hAnsi="Times New Roman" w:eastAsia="Times New Roman" w:cs="Times New Roman"/>
              <w:sz w:val="20"/>
              <w:szCs w:val="20"/>
            </w:rPr>
          </w:pPr>
          <w:bookmarkStart w:id="200" w:name="bookmark401"/>
          <w:bookmarkEnd w:id="200"/>
          <w:r>
            <w:fldChar w:fldCharType="begin"/>
          </w:r>
          <w:r>
            <w:instrText xml:space="preserve"> HYPERLINK \l "bookmark402" </w:instrText>
          </w:r>
          <w:r>
            <w:fldChar w:fldCharType="separate"/>
          </w:r>
          <w:r>
            <w:rPr>
              <w:rFonts w:ascii="Times New Roman" w:hAnsi="Times New Roman" w:eastAsia="Times New Roman" w:cs="Times New Roman"/>
              <w:spacing w:val="6"/>
              <w:sz w:val="20"/>
              <w:szCs w:val="20"/>
            </w:rPr>
            <w:t xml:space="preserve">6.10 </w:t>
          </w:r>
          <w:r>
            <w:rPr>
              <w:rFonts w:ascii="宋体" w:hAnsi="宋体" w:eastAsia="宋体" w:cs="宋体"/>
              <w:spacing w:val="6"/>
              <w:sz w:val="20"/>
              <w:szCs w:val="20"/>
            </w:rPr>
            <w:t>环境保护措施汇总</w:t>
          </w:r>
          <w:r>
            <w:rPr>
              <w:rFonts w:ascii="宋体" w:hAnsi="宋体" w:eastAsia="宋体" w:cs="宋体"/>
              <w:spacing w:val="-50"/>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265</w:t>
          </w:r>
          <w:r>
            <w:rPr>
              <w:rFonts w:ascii="Times New Roman" w:hAnsi="Times New Roman" w:eastAsia="Times New Roman" w:cs="Times New Roman"/>
              <w:spacing w:val="3"/>
              <w:sz w:val="20"/>
              <w:szCs w:val="20"/>
            </w:rPr>
            <w:fldChar w:fldCharType="end"/>
          </w:r>
        </w:p>
        <w:p w14:paraId="3A043044">
          <w:pPr>
            <w:tabs>
              <w:tab w:val="right" w:leader="dot" w:pos="8720"/>
            </w:tabs>
            <w:spacing w:before="63" w:line="227" w:lineRule="auto"/>
            <w:ind w:left="8"/>
            <w:rPr>
              <w:rFonts w:ascii="Times New Roman" w:hAnsi="Times New Roman" w:eastAsia="Times New Roman" w:cs="Times New Roman"/>
              <w:sz w:val="20"/>
              <w:szCs w:val="20"/>
            </w:rPr>
          </w:pPr>
          <w:bookmarkStart w:id="201" w:name="bookmark403"/>
          <w:bookmarkEnd w:id="201"/>
          <w:r>
            <w:fldChar w:fldCharType="begin"/>
          </w:r>
          <w:r>
            <w:instrText xml:space="preserve"> HYPERLINK \l "bookmark404" </w:instrText>
          </w:r>
          <w:r>
            <w:fldChar w:fldCharType="separate"/>
          </w:r>
          <w:r>
            <w:rPr>
              <w:rFonts w:ascii="宋体" w:hAnsi="宋体" w:eastAsia="宋体" w:cs="宋体"/>
              <w:b/>
              <w:bCs/>
              <w:spacing w:val="5"/>
              <w:sz w:val="20"/>
              <w:szCs w:val="20"/>
            </w:rPr>
            <w:t>第</w:t>
          </w:r>
          <w:r>
            <w:rPr>
              <w:rFonts w:ascii="宋体" w:hAnsi="宋体" w:eastAsia="宋体" w:cs="宋体"/>
              <w:spacing w:val="-32"/>
              <w:sz w:val="20"/>
              <w:szCs w:val="20"/>
            </w:rPr>
            <w:t xml:space="preserve"> </w:t>
          </w:r>
          <w:r>
            <w:rPr>
              <w:rFonts w:ascii="Times New Roman" w:hAnsi="Times New Roman" w:eastAsia="Times New Roman" w:cs="Times New Roman"/>
              <w:b/>
              <w:bCs/>
              <w:spacing w:val="5"/>
              <w:sz w:val="20"/>
              <w:szCs w:val="20"/>
            </w:rPr>
            <w:t>7</w:t>
          </w:r>
          <w:r>
            <w:rPr>
              <w:rFonts w:ascii="Times New Roman" w:hAnsi="Times New Roman" w:eastAsia="Times New Roman" w:cs="Times New Roman"/>
              <w:b/>
              <w:bCs/>
              <w:spacing w:val="19"/>
              <w:w w:val="101"/>
              <w:sz w:val="20"/>
              <w:szCs w:val="20"/>
            </w:rPr>
            <w:t xml:space="preserve"> </w:t>
          </w:r>
          <w:r>
            <w:rPr>
              <w:rFonts w:ascii="宋体" w:hAnsi="宋体" w:eastAsia="宋体" w:cs="宋体"/>
              <w:b/>
              <w:bCs/>
              <w:spacing w:val="5"/>
              <w:sz w:val="20"/>
              <w:szCs w:val="20"/>
            </w:rPr>
            <w:t>章</w:t>
          </w:r>
          <w:r>
            <w:rPr>
              <w:rFonts w:ascii="宋体" w:hAnsi="宋体" w:eastAsia="宋体" w:cs="宋体"/>
              <w:spacing w:val="5"/>
              <w:sz w:val="20"/>
              <w:szCs w:val="20"/>
            </w:rPr>
            <w:t xml:space="preserve">  </w:t>
          </w:r>
          <w:r>
            <w:rPr>
              <w:rFonts w:ascii="宋体" w:hAnsi="宋体" w:eastAsia="宋体" w:cs="宋体"/>
              <w:b/>
              <w:bCs/>
              <w:spacing w:val="5"/>
              <w:sz w:val="20"/>
              <w:szCs w:val="20"/>
            </w:rPr>
            <w:t>环境影响经济损益分析</w:t>
          </w:r>
          <w:r>
            <w:rPr>
              <w:rFonts w:ascii="宋体" w:hAnsi="宋体" w:eastAsia="宋体" w:cs="宋体"/>
              <w:spacing w:val="-65"/>
              <w:sz w:val="20"/>
              <w:szCs w:val="20"/>
            </w:rPr>
            <w:t xml:space="preserve"> </w:t>
          </w:r>
          <w:r>
            <w:rPr>
              <w:rFonts w:ascii="宋体" w:hAnsi="宋体" w:eastAsia="宋体" w:cs="宋体"/>
              <w:sz w:val="20"/>
              <w:szCs w:val="20"/>
            </w:rPr>
            <w:tab/>
          </w:r>
          <w:r>
            <w:rPr>
              <w:rFonts w:ascii="宋体" w:hAnsi="宋体" w:eastAsia="宋体" w:cs="宋体"/>
              <w:spacing w:val="-71"/>
              <w:sz w:val="20"/>
              <w:szCs w:val="20"/>
            </w:rPr>
            <w:t xml:space="preserve"> </w:t>
          </w:r>
          <w:r>
            <w:rPr>
              <w:rFonts w:ascii="Times New Roman" w:hAnsi="Times New Roman" w:eastAsia="Times New Roman" w:cs="Times New Roman"/>
              <w:b/>
              <w:bCs/>
              <w:spacing w:val="3"/>
              <w:sz w:val="20"/>
              <w:szCs w:val="20"/>
            </w:rPr>
            <w:t>268</w:t>
          </w:r>
          <w:r>
            <w:rPr>
              <w:rFonts w:ascii="Times New Roman" w:hAnsi="Times New Roman" w:eastAsia="Times New Roman" w:cs="Times New Roman"/>
              <w:b/>
              <w:bCs/>
              <w:spacing w:val="3"/>
              <w:sz w:val="20"/>
              <w:szCs w:val="20"/>
            </w:rPr>
            <w:fldChar w:fldCharType="end"/>
          </w:r>
        </w:p>
      </w:sdtContent>
    </w:sdt>
    <w:p w14:paraId="1F39D8C8">
      <w:pPr>
        <w:spacing w:line="227" w:lineRule="auto"/>
        <w:rPr>
          <w:rFonts w:ascii="Times New Roman" w:hAnsi="Times New Roman" w:eastAsia="Times New Roman" w:cs="Times New Roman"/>
          <w:sz w:val="20"/>
          <w:szCs w:val="20"/>
        </w:rPr>
        <w:sectPr>
          <w:footerReference r:id="rId11" w:type="default"/>
          <w:pgSz w:w="11906" w:h="16839"/>
          <w:pgMar w:top="1235" w:right="1587" w:bottom="1086" w:left="1588" w:header="925" w:footer="872" w:gutter="0"/>
          <w:cols w:space="720" w:num="1"/>
        </w:sectPr>
      </w:pPr>
    </w:p>
    <w:sdt>
      <w:sdtPr>
        <w:rPr>
          <w:rFonts w:ascii="Times New Roman" w:hAnsi="Times New Roman" w:eastAsia="Times New Roman" w:cs="Times New Roman"/>
          <w:sz w:val="20"/>
          <w:szCs w:val="20"/>
        </w:rPr>
        <w:id w:val="147479394"/>
        <w:docPartObj>
          <w:docPartGallery w:val="Table of Contents"/>
          <w:docPartUnique/>
        </w:docPartObj>
      </w:sdtPr>
      <w:sdtEndPr>
        <w:rPr>
          <w:rFonts w:ascii="Times New Roman" w:hAnsi="Times New Roman" w:eastAsia="Times New Roman" w:cs="Times New Roman"/>
          <w:sz w:val="20"/>
          <w:szCs w:val="20"/>
        </w:rPr>
      </w:sdtEndPr>
      <w:sdtContent>
        <w:p w14:paraId="1B8CBE95">
          <w:pPr>
            <w:tabs>
              <w:tab w:val="right" w:leader="dot" w:pos="8720"/>
            </w:tabs>
            <w:spacing w:before="212" w:line="193" w:lineRule="auto"/>
            <w:ind w:left="428"/>
            <w:rPr>
              <w:rFonts w:ascii="Times New Roman" w:hAnsi="Times New Roman" w:eastAsia="Times New Roman" w:cs="Times New Roman"/>
              <w:sz w:val="20"/>
              <w:szCs w:val="20"/>
            </w:rPr>
          </w:pPr>
          <w:r>
            <w:pict>
              <v:shape id="_x0000_s1030" o:spid="_x0000_s1030" style="position:absolute;left:0pt;margin-left:79.4pt;margin-top:62.5pt;height:0.75pt;width:436.55pt;mso-position-horizontal-relative:page;mso-position-vertical-relative:page;z-index:251664384;mso-width-relative:page;mso-height-relative:page;" fillcolor="#000000" filled="t" stroked="f" coordsize="8730,15" o:allowincell="f" path="m0,0l8730,0,8730,14,0,14,0,0xe">
                <v:path/>
                <v:fill on="t" focussize="0,0"/>
                <v:stroke on="f"/>
                <v:imagedata o:title=""/>
                <o:lock v:ext="edit"/>
              </v:shape>
            </w:pict>
          </w:r>
          <w:bookmarkStart w:id="202" w:name="bookmark405"/>
          <w:bookmarkEnd w:id="202"/>
          <w:r>
            <w:fldChar w:fldCharType="begin"/>
          </w:r>
          <w:r>
            <w:instrText xml:space="preserve"> HYPERLINK \l "bookmark406" </w:instrText>
          </w:r>
          <w:r>
            <w:fldChar w:fldCharType="separate"/>
          </w:r>
          <w:r>
            <w:rPr>
              <w:rFonts w:ascii="Times New Roman" w:hAnsi="Times New Roman" w:eastAsia="Times New Roman" w:cs="Times New Roman"/>
              <w:spacing w:val="6"/>
              <w:sz w:val="20"/>
              <w:szCs w:val="20"/>
            </w:rPr>
            <w:t xml:space="preserve">7.1 </w:t>
          </w:r>
          <w:r>
            <w:rPr>
              <w:rFonts w:ascii="宋体" w:hAnsi="宋体" w:eastAsia="宋体" w:cs="宋体"/>
              <w:spacing w:val="6"/>
              <w:sz w:val="20"/>
              <w:szCs w:val="20"/>
            </w:rPr>
            <w:t>社会效益分析</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268</w:t>
          </w:r>
          <w:r>
            <w:rPr>
              <w:rFonts w:ascii="Times New Roman" w:hAnsi="Times New Roman" w:eastAsia="Times New Roman" w:cs="Times New Roman"/>
              <w:spacing w:val="3"/>
              <w:sz w:val="20"/>
              <w:szCs w:val="20"/>
            </w:rPr>
            <w:fldChar w:fldCharType="end"/>
          </w:r>
        </w:p>
        <w:p w14:paraId="3821807F">
          <w:pPr>
            <w:tabs>
              <w:tab w:val="right" w:leader="dot" w:pos="8720"/>
            </w:tabs>
            <w:spacing w:before="64" w:line="193" w:lineRule="auto"/>
            <w:ind w:left="428"/>
            <w:rPr>
              <w:rFonts w:ascii="Times New Roman" w:hAnsi="Times New Roman" w:eastAsia="Times New Roman" w:cs="Times New Roman"/>
              <w:sz w:val="20"/>
              <w:szCs w:val="20"/>
            </w:rPr>
          </w:pPr>
          <w:bookmarkStart w:id="203" w:name="bookmark407"/>
          <w:bookmarkEnd w:id="203"/>
          <w:r>
            <w:fldChar w:fldCharType="begin"/>
          </w:r>
          <w:r>
            <w:instrText xml:space="preserve"> HYPERLINK \l "bookmark408" </w:instrText>
          </w:r>
          <w:r>
            <w:fldChar w:fldCharType="separate"/>
          </w:r>
          <w:r>
            <w:rPr>
              <w:rFonts w:ascii="Times New Roman" w:hAnsi="Times New Roman" w:eastAsia="Times New Roman" w:cs="Times New Roman"/>
              <w:spacing w:val="6"/>
              <w:sz w:val="20"/>
              <w:szCs w:val="20"/>
            </w:rPr>
            <w:t xml:space="preserve">7.2 </w:t>
          </w:r>
          <w:r>
            <w:rPr>
              <w:rFonts w:ascii="宋体" w:hAnsi="宋体" w:eastAsia="宋体" w:cs="宋体"/>
              <w:spacing w:val="6"/>
              <w:sz w:val="20"/>
              <w:szCs w:val="20"/>
            </w:rPr>
            <w:t>经济效益分析</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268</w:t>
          </w:r>
          <w:r>
            <w:rPr>
              <w:rFonts w:ascii="Times New Roman" w:hAnsi="Times New Roman" w:eastAsia="Times New Roman" w:cs="Times New Roman"/>
              <w:spacing w:val="3"/>
              <w:sz w:val="20"/>
              <w:szCs w:val="20"/>
            </w:rPr>
            <w:fldChar w:fldCharType="end"/>
          </w:r>
        </w:p>
        <w:p w14:paraId="38B8D1D5">
          <w:pPr>
            <w:tabs>
              <w:tab w:val="right" w:leader="dot" w:pos="8720"/>
            </w:tabs>
            <w:spacing w:before="62" w:line="194" w:lineRule="auto"/>
            <w:ind w:left="428"/>
            <w:rPr>
              <w:rFonts w:ascii="Times New Roman" w:hAnsi="Times New Roman" w:eastAsia="Times New Roman" w:cs="Times New Roman"/>
              <w:sz w:val="20"/>
              <w:szCs w:val="20"/>
            </w:rPr>
          </w:pPr>
          <w:bookmarkStart w:id="204" w:name="bookmark409"/>
          <w:bookmarkEnd w:id="204"/>
          <w:r>
            <w:fldChar w:fldCharType="begin"/>
          </w:r>
          <w:r>
            <w:instrText xml:space="preserve"> HYPERLINK \l "bookmark410" </w:instrText>
          </w:r>
          <w:r>
            <w:fldChar w:fldCharType="separate"/>
          </w:r>
          <w:r>
            <w:rPr>
              <w:rFonts w:ascii="Times New Roman" w:hAnsi="Times New Roman" w:eastAsia="Times New Roman" w:cs="Times New Roman"/>
              <w:spacing w:val="6"/>
              <w:sz w:val="20"/>
              <w:szCs w:val="20"/>
            </w:rPr>
            <w:t xml:space="preserve">7.3 </w:t>
          </w:r>
          <w:r>
            <w:rPr>
              <w:rFonts w:ascii="宋体" w:hAnsi="宋体" w:eastAsia="宋体" w:cs="宋体"/>
              <w:spacing w:val="6"/>
              <w:sz w:val="20"/>
              <w:szCs w:val="20"/>
            </w:rPr>
            <w:t>环境效益分析</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268</w:t>
          </w:r>
          <w:r>
            <w:rPr>
              <w:rFonts w:ascii="Times New Roman" w:hAnsi="Times New Roman" w:eastAsia="Times New Roman" w:cs="Times New Roman"/>
              <w:spacing w:val="3"/>
              <w:sz w:val="20"/>
              <w:szCs w:val="20"/>
            </w:rPr>
            <w:fldChar w:fldCharType="end"/>
          </w:r>
        </w:p>
        <w:p w14:paraId="7403F76E">
          <w:pPr>
            <w:tabs>
              <w:tab w:val="right" w:leader="dot" w:pos="8720"/>
            </w:tabs>
            <w:spacing w:before="63" w:line="193" w:lineRule="auto"/>
            <w:ind w:left="848"/>
            <w:rPr>
              <w:rFonts w:ascii="Times New Roman" w:hAnsi="Times New Roman" w:eastAsia="Times New Roman" w:cs="Times New Roman"/>
              <w:sz w:val="20"/>
              <w:szCs w:val="20"/>
            </w:rPr>
          </w:pPr>
          <w:bookmarkStart w:id="205" w:name="bookmark411"/>
          <w:bookmarkEnd w:id="205"/>
          <w:r>
            <w:fldChar w:fldCharType="begin"/>
          </w:r>
          <w:r>
            <w:instrText xml:space="preserve"> HYPERLINK \l "bookmark412" </w:instrText>
          </w:r>
          <w:r>
            <w:fldChar w:fldCharType="separate"/>
          </w:r>
          <w:r>
            <w:rPr>
              <w:rFonts w:ascii="Times New Roman" w:hAnsi="Times New Roman" w:eastAsia="Times New Roman" w:cs="Times New Roman"/>
              <w:spacing w:val="5"/>
              <w:sz w:val="20"/>
              <w:szCs w:val="20"/>
            </w:rPr>
            <w:t xml:space="preserve">7.3.1 </w:t>
          </w:r>
          <w:r>
            <w:rPr>
              <w:rFonts w:ascii="宋体" w:hAnsi="宋体" w:eastAsia="宋体" w:cs="宋体"/>
              <w:spacing w:val="5"/>
              <w:sz w:val="20"/>
              <w:szCs w:val="20"/>
            </w:rPr>
            <w:t>环保投资估算</w:t>
          </w:r>
          <w:r>
            <w:rPr>
              <w:rFonts w:ascii="宋体" w:hAnsi="宋体" w:eastAsia="宋体" w:cs="宋体"/>
              <w:spacing w:val="-48"/>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268</w:t>
          </w:r>
          <w:r>
            <w:rPr>
              <w:rFonts w:ascii="Times New Roman" w:hAnsi="Times New Roman" w:eastAsia="Times New Roman" w:cs="Times New Roman"/>
              <w:spacing w:val="3"/>
              <w:sz w:val="20"/>
              <w:szCs w:val="20"/>
            </w:rPr>
            <w:fldChar w:fldCharType="end"/>
          </w:r>
        </w:p>
        <w:p w14:paraId="312DC295">
          <w:pPr>
            <w:tabs>
              <w:tab w:val="right" w:leader="dot" w:pos="8720"/>
            </w:tabs>
            <w:spacing w:before="62" w:line="193" w:lineRule="auto"/>
            <w:ind w:left="848"/>
            <w:rPr>
              <w:rFonts w:ascii="Times New Roman" w:hAnsi="Times New Roman" w:eastAsia="Times New Roman" w:cs="Times New Roman"/>
              <w:sz w:val="20"/>
              <w:szCs w:val="20"/>
            </w:rPr>
          </w:pPr>
          <w:bookmarkStart w:id="206" w:name="bookmark413"/>
          <w:bookmarkEnd w:id="206"/>
          <w:r>
            <w:fldChar w:fldCharType="begin"/>
          </w:r>
          <w:r>
            <w:instrText xml:space="preserve"> HYPERLINK \l "bookmark414" </w:instrText>
          </w:r>
          <w:r>
            <w:fldChar w:fldCharType="separate"/>
          </w:r>
          <w:r>
            <w:rPr>
              <w:rFonts w:ascii="Times New Roman" w:hAnsi="Times New Roman" w:eastAsia="Times New Roman" w:cs="Times New Roman"/>
              <w:spacing w:val="5"/>
              <w:sz w:val="20"/>
              <w:szCs w:val="20"/>
            </w:rPr>
            <w:t xml:space="preserve">7.3.2 </w:t>
          </w:r>
          <w:r>
            <w:rPr>
              <w:rFonts w:ascii="宋体" w:hAnsi="宋体" w:eastAsia="宋体" w:cs="宋体"/>
              <w:spacing w:val="5"/>
              <w:sz w:val="20"/>
              <w:szCs w:val="20"/>
            </w:rPr>
            <w:t>环境效益分析</w:t>
          </w:r>
          <w:r>
            <w:rPr>
              <w:rFonts w:ascii="宋体" w:hAnsi="宋体" w:eastAsia="宋体" w:cs="宋体"/>
              <w:spacing w:val="-48"/>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269</w:t>
          </w:r>
          <w:r>
            <w:rPr>
              <w:rFonts w:ascii="Times New Roman" w:hAnsi="Times New Roman" w:eastAsia="Times New Roman" w:cs="Times New Roman"/>
              <w:spacing w:val="3"/>
              <w:sz w:val="20"/>
              <w:szCs w:val="20"/>
            </w:rPr>
            <w:fldChar w:fldCharType="end"/>
          </w:r>
        </w:p>
        <w:p w14:paraId="683A39F6">
          <w:pPr>
            <w:tabs>
              <w:tab w:val="right" w:leader="dot" w:pos="8720"/>
            </w:tabs>
            <w:spacing w:before="62" w:line="194" w:lineRule="auto"/>
            <w:ind w:left="428"/>
            <w:rPr>
              <w:rFonts w:ascii="Times New Roman" w:hAnsi="Times New Roman" w:eastAsia="Times New Roman" w:cs="Times New Roman"/>
              <w:sz w:val="20"/>
              <w:szCs w:val="20"/>
            </w:rPr>
          </w:pPr>
          <w:bookmarkStart w:id="207" w:name="bookmark415"/>
          <w:bookmarkEnd w:id="207"/>
          <w:r>
            <w:fldChar w:fldCharType="begin"/>
          </w:r>
          <w:r>
            <w:instrText xml:space="preserve"> HYPERLINK \l "bookmark416" </w:instrText>
          </w:r>
          <w:r>
            <w:fldChar w:fldCharType="separate"/>
          </w:r>
          <w:r>
            <w:rPr>
              <w:rFonts w:ascii="Times New Roman" w:hAnsi="Times New Roman" w:eastAsia="Times New Roman" w:cs="Times New Roman"/>
              <w:spacing w:val="7"/>
              <w:sz w:val="20"/>
              <w:szCs w:val="20"/>
            </w:rPr>
            <w:t xml:space="preserve">7.4 </w:t>
          </w:r>
          <w:r>
            <w:rPr>
              <w:rFonts w:ascii="宋体" w:hAnsi="宋体" w:eastAsia="宋体" w:cs="宋体"/>
              <w:spacing w:val="7"/>
              <w:sz w:val="20"/>
              <w:szCs w:val="20"/>
            </w:rPr>
            <w:t>环境经济效益综合评述</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269</w:t>
          </w:r>
          <w:r>
            <w:rPr>
              <w:rFonts w:ascii="Times New Roman" w:hAnsi="Times New Roman" w:eastAsia="Times New Roman" w:cs="Times New Roman"/>
              <w:spacing w:val="3"/>
              <w:sz w:val="20"/>
              <w:szCs w:val="20"/>
            </w:rPr>
            <w:fldChar w:fldCharType="end"/>
          </w:r>
        </w:p>
        <w:p w14:paraId="1083DA80">
          <w:pPr>
            <w:tabs>
              <w:tab w:val="right" w:leader="dot" w:pos="8720"/>
            </w:tabs>
            <w:spacing w:before="63" w:line="193" w:lineRule="auto"/>
            <w:ind w:left="8"/>
            <w:rPr>
              <w:rFonts w:ascii="Times New Roman" w:hAnsi="Times New Roman" w:eastAsia="Times New Roman" w:cs="Times New Roman"/>
              <w:sz w:val="20"/>
              <w:szCs w:val="20"/>
            </w:rPr>
          </w:pPr>
          <w:bookmarkStart w:id="208" w:name="bookmark417"/>
          <w:bookmarkEnd w:id="208"/>
          <w:r>
            <w:fldChar w:fldCharType="begin"/>
          </w:r>
          <w:r>
            <w:instrText xml:space="preserve"> HYPERLINK \l "bookmark418" </w:instrText>
          </w:r>
          <w:r>
            <w:fldChar w:fldCharType="separate"/>
          </w:r>
          <w:r>
            <w:rPr>
              <w:rFonts w:ascii="宋体" w:hAnsi="宋体" w:eastAsia="宋体" w:cs="宋体"/>
              <w:b/>
              <w:bCs/>
              <w:spacing w:val="5"/>
              <w:sz w:val="20"/>
              <w:szCs w:val="20"/>
            </w:rPr>
            <w:t>第</w:t>
          </w:r>
          <w:r>
            <w:rPr>
              <w:rFonts w:ascii="宋体" w:hAnsi="宋体" w:eastAsia="宋体" w:cs="宋体"/>
              <w:spacing w:val="-36"/>
              <w:sz w:val="20"/>
              <w:szCs w:val="20"/>
            </w:rPr>
            <w:t xml:space="preserve"> </w:t>
          </w:r>
          <w:r>
            <w:rPr>
              <w:rFonts w:ascii="Times New Roman" w:hAnsi="Times New Roman" w:eastAsia="Times New Roman" w:cs="Times New Roman"/>
              <w:b/>
              <w:bCs/>
              <w:spacing w:val="5"/>
              <w:sz w:val="20"/>
              <w:szCs w:val="20"/>
            </w:rPr>
            <w:t>8</w:t>
          </w:r>
          <w:r>
            <w:rPr>
              <w:rFonts w:ascii="Times New Roman" w:hAnsi="Times New Roman" w:eastAsia="Times New Roman" w:cs="Times New Roman"/>
              <w:b/>
              <w:bCs/>
              <w:spacing w:val="19"/>
              <w:w w:val="101"/>
              <w:sz w:val="20"/>
              <w:szCs w:val="20"/>
            </w:rPr>
            <w:t xml:space="preserve"> </w:t>
          </w:r>
          <w:r>
            <w:rPr>
              <w:rFonts w:ascii="宋体" w:hAnsi="宋体" w:eastAsia="宋体" w:cs="宋体"/>
              <w:b/>
              <w:bCs/>
              <w:spacing w:val="5"/>
              <w:sz w:val="20"/>
              <w:szCs w:val="20"/>
            </w:rPr>
            <w:t>章</w:t>
          </w:r>
          <w:r>
            <w:rPr>
              <w:rFonts w:ascii="宋体" w:hAnsi="宋体" w:eastAsia="宋体" w:cs="宋体"/>
              <w:spacing w:val="5"/>
              <w:sz w:val="20"/>
              <w:szCs w:val="20"/>
            </w:rPr>
            <w:t xml:space="preserve">  </w:t>
          </w:r>
          <w:r>
            <w:rPr>
              <w:rFonts w:ascii="宋体" w:hAnsi="宋体" w:eastAsia="宋体" w:cs="宋体"/>
              <w:b/>
              <w:bCs/>
              <w:spacing w:val="5"/>
              <w:sz w:val="20"/>
              <w:szCs w:val="20"/>
            </w:rPr>
            <w:t>环境管理与监测计划</w:t>
          </w:r>
          <w:r>
            <w:rPr>
              <w:rFonts w:ascii="宋体" w:hAnsi="宋体" w:eastAsia="宋体" w:cs="宋体"/>
              <w:spacing w:val="-62"/>
              <w:sz w:val="20"/>
              <w:szCs w:val="20"/>
            </w:rPr>
            <w:t xml:space="preserve"> </w:t>
          </w:r>
          <w:r>
            <w:rPr>
              <w:rFonts w:ascii="宋体" w:hAnsi="宋体" w:eastAsia="宋体" w:cs="宋体"/>
              <w:sz w:val="20"/>
              <w:szCs w:val="20"/>
            </w:rPr>
            <w:tab/>
          </w:r>
          <w:r>
            <w:rPr>
              <w:rFonts w:ascii="宋体" w:hAnsi="宋体" w:eastAsia="宋体" w:cs="宋体"/>
              <w:spacing w:val="-70"/>
              <w:sz w:val="20"/>
              <w:szCs w:val="20"/>
            </w:rPr>
            <w:t xml:space="preserve"> </w:t>
          </w:r>
          <w:r>
            <w:rPr>
              <w:rFonts w:ascii="Times New Roman" w:hAnsi="Times New Roman" w:eastAsia="Times New Roman" w:cs="Times New Roman"/>
              <w:b/>
              <w:bCs/>
              <w:spacing w:val="3"/>
              <w:sz w:val="20"/>
              <w:szCs w:val="20"/>
            </w:rPr>
            <w:t>270</w:t>
          </w:r>
          <w:r>
            <w:rPr>
              <w:rFonts w:ascii="Times New Roman" w:hAnsi="Times New Roman" w:eastAsia="Times New Roman" w:cs="Times New Roman"/>
              <w:b/>
              <w:bCs/>
              <w:spacing w:val="3"/>
              <w:sz w:val="20"/>
              <w:szCs w:val="20"/>
            </w:rPr>
            <w:fldChar w:fldCharType="end"/>
          </w:r>
        </w:p>
        <w:p w14:paraId="351D7916">
          <w:pPr>
            <w:tabs>
              <w:tab w:val="right" w:leader="dot" w:pos="8720"/>
            </w:tabs>
            <w:spacing w:before="62" w:line="193" w:lineRule="auto"/>
            <w:ind w:left="433"/>
            <w:rPr>
              <w:rFonts w:ascii="Times New Roman" w:hAnsi="Times New Roman" w:eastAsia="Times New Roman" w:cs="Times New Roman"/>
              <w:sz w:val="20"/>
              <w:szCs w:val="20"/>
            </w:rPr>
          </w:pPr>
          <w:bookmarkStart w:id="209" w:name="bookmark419"/>
          <w:bookmarkEnd w:id="209"/>
          <w:r>
            <w:fldChar w:fldCharType="begin"/>
          </w:r>
          <w:r>
            <w:instrText xml:space="preserve"> HYPERLINK \l "bookmark420" </w:instrText>
          </w:r>
          <w:r>
            <w:fldChar w:fldCharType="separate"/>
          </w:r>
          <w:r>
            <w:rPr>
              <w:rFonts w:ascii="Times New Roman" w:hAnsi="Times New Roman" w:eastAsia="Times New Roman" w:cs="Times New Roman"/>
              <w:spacing w:val="4"/>
              <w:sz w:val="20"/>
              <w:szCs w:val="20"/>
            </w:rPr>
            <w:t xml:space="preserve">8.1 </w:t>
          </w:r>
          <w:r>
            <w:rPr>
              <w:rFonts w:ascii="宋体" w:hAnsi="宋体" w:eastAsia="宋体" w:cs="宋体"/>
              <w:spacing w:val="4"/>
              <w:sz w:val="20"/>
              <w:szCs w:val="20"/>
            </w:rPr>
            <w:t>环境管理</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50"/>
              <w:sz w:val="20"/>
              <w:szCs w:val="20"/>
            </w:rPr>
            <w:t xml:space="preserve"> </w:t>
          </w:r>
          <w:r>
            <w:rPr>
              <w:rFonts w:ascii="Times New Roman" w:hAnsi="Times New Roman" w:eastAsia="Times New Roman" w:cs="Times New Roman"/>
              <w:spacing w:val="3"/>
              <w:sz w:val="20"/>
              <w:szCs w:val="20"/>
            </w:rPr>
            <w:t>270</w:t>
          </w:r>
          <w:r>
            <w:rPr>
              <w:rFonts w:ascii="Times New Roman" w:hAnsi="Times New Roman" w:eastAsia="Times New Roman" w:cs="Times New Roman"/>
              <w:spacing w:val="3"/>
              <w:sz w:val="20"/>
              <w:szCs w:val="20"/>
            </w:rPr>
            <w:fldChar w:fldCharType="end"/>
          </w:r>
        </w:p>
        <w:p w14:paraId="2A7E7134">
          <w:pPr>
            <w:tabs>
              <w:tab w:val="right" w:leader="dot" w:pos="8720"/>
            </w:tabs>
            <w:spacing w:before="64" w:line="194" w:lineRule="auto"/>
            <w:ind w:left="853"/>
            <w:rPr>
              <w:rFonts w:ascii="Times New Roman" w:hAnsi="Times New Roman" w:eastAsia="Times New Roman" w:cs="Times New Roman"/>
              <w:sz w:val="20"/>
              <w:szCs w:val="20"/>
            </w:rPr>
          </w:pPr>
          <w:bookmarkStart w:id="210" w:name="bookmark421"/>
          <w:bookmarkEnd w:id="210"/>
          <w:r>
            <w:fldChar w:fldCharType="begin"/>
          </w:r>
          <w:r>
            <w:instrText xml:space="preserve"> HYPERLINK \l "bookmark422" </w:instrText>
          </w:r>
          <w:r>
            <w:fldChar w:fldCharType="separate"/>
          </w:r>
          <w:r>
            <w:rPr>
              <w:rFonts w:ascii="Times New Roman" w:hAnsi="Times New Roman" w:eastAsia="Times New Roman" w:cs="Times New Roman"/>
              <w:spacing w:val="6"/>
              <w:sz w:val="20"/>
              <w:szCs w:val="20"/>
            </w:rPr>
            <w:t xml:space="preserve">8.1.1 </w:t>
          </w:r>
          <w:r>
            <w:rPr>
              <w:rFonts w:ascii="宋体" w:hAnsi="宋体" w:eastAsia="宋体" w:cs="宋体"/>
              <w:spacing w:val="6"/>
              <w:sz w:val="20"/>
              <w:szCs w:val="20"/>
            </w:rPr>
            <w:t>环境管理机构及职责</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270</w:t>
          </w:r>
          <w:r>
            <w:rPr>
              <w:rFonts w:ascii="Times New Roman" w:hAnsi="Times New Roman" w:eastAsia="Times New Roman" w:cs="Times New Roman"/>
              <w:spacing w:val="3"/>
              <w:sz w:val="20"/>
              <w:szCs w:val="20"/>
            </w:rPr>
            <w:fldChar w:fldCharType="end"/>
          </w:r>
        </w:p>
        <w:p w14:paraId="53ABBBF3">
          <w:pPr>
            <w:tabs>
              <w:tab w:val="right" w:leader="dot" w:pos="8720"/>
            </w:tabs>
            <w:spacing w:before="64" w:line="193" w:lineRule="auto"/>
            <w:ind w:left="853"/>
            <w:rPr>
              <w:rFonts w:ascii="Times New Roman" w:hAnsi="Times New Roman" w:eastAsia="Times New Roman" w:cs="Times New Roman"/>
              <w:sz w:val="20"/>
              <w:szCs w:val="20"/>
            </w:rPr>
          </w:pPr>
          <w:bookmarkStart w:id="211" w:name="bookmark423"/>
          <w:bookmarkEnd w:id="211"/>
          <w:r>
            <w:fldChar w:fldCharType="begin"/>
          </w:r>
          <w:r>
            <w:instrText xml:space="preserve"> HYPERLINK \l "bookmark424" </w:instrText>
          </w:r>
          <w:r>
            <w:fldChar w:fldCharType="separate"/>
          </w:r>
          <w:r>
            <w:rPr>
              <w:rFonts w:ascii="Times New Roman" w:hAnsi="Times New Roman" w:eastAsia="Times New Roman" w:cs="Times New Roman"/>
              <w:spacing w:val="2"/>
              <w:sz w:val="20"/>
              <w:szCs w:val="20"/>
            </w:rPr>
            <w:t>8.1.2</w:t>
          </w:r>
          <w:r>
            <w:rPr>
              <w:rFonts w:ascii="Times New Roman" w:hAnsi="Times New Roman" w:eastAsia="Times New Roman" w:cs="Times New Roman"/>
              <w:spacing w:val="26"/>
              <w:sz w:val="20"/>
              <w:szCs w:val="20"/>
            </w:rPr>
            <w:t xml:space="preserve"> </w:t>
          </w:r>
          <w:r>
            <w:rPr>
              <w:rFonts w:ascii="宋体" w:hAnsi="宋体" w:eastAsia="宋体" w:cs="宋体"/>
              <w:spacing w:val="2"/>
              <w:sz w:val="20"/>
              <w:szCs w:val="20"/>
            </w:rPr>
            <w:t>资料建档</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271</w:t>
          </w:r>
          <w:r>
            <w:rPr>
              <w:rFonts w:ascii="Times New Roman" w:hAnsi="Times New Roman" w:eastAsia="Times New Roman" w:cs="Times New Roman"/>
              <w:spacing w:val="3"/>
              <w:sz w:val="20"/>
              <w:szCs w:val="20"/>
            </w:rPr>
            <w:fldChar w:fldCharType="end"/>
          </w:r>
        </w:p>
        <w:p w14:paraId="743B6648">
          <w:pPr>
            <w:tabs>
              <w:tab w:val="right" w:leader="dot" w:pos="8720"/>
            </w:tabs>
            <w:spacing w:before="62" w:line="193" w:lineRule="auto"/>
            <w:ind w:left="853"/>
            <w:rPr>
              <w:rFonts w:ascii="Times New Roman" w:hAnsi="Times New Roman" w:eastAsia="Times New Roman" w:cs="Times New Roman"/>
              <w:sz w:val="20"/>
              <w:szCs w:val="20"/>
            </w:rPr>
          </w:pPr>
          <w:bookmarkStart w:id="212" w:name="bookmark425"/>
          <w:bookmarkEnd w:id="212"/>
          <w:r>
            <w:fldChar w:fldCharType="begin"/>
          </w:r>
          <w:r>
            <w:instrText xml:space="preserve"> HYPERLINK \l "bookmark426" </w:instrText>
          </w:r>
          <w:r>
            <w:fldChar w:fldCharType="separate"/>
          </w:r>
          <w:r>
            <w:rPr>
              <w:rFonts w:ascii="Times New Roman" w:hAnsi="Times New Roman" w:eastAsia="Times New Roman" w:cs="Times New Roman"/>
              <w:spacing w:val="4"/>
              <w:sz w:val="20"/>
              <w:szCs w:val="20"/>
            </w:rPr>
            <w:t xml:space="preserve">8.1.3 </w:t>
          </w:r>
          <w:r>
            <w:rPr>
              <w:rFonts w:ascii="宋体" w:hAnsi="宋体" w:eastAsia="宋体" w:cs="宋体"/>
              <w:spacing w:val="4"/>
              <w:sz w:val="20"/>
              <w:szCs w:val="20"/>
            </w:rPr>
            <w:t>培训计划</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271</w:t>
          </w:r>
          <w:r>
            <w:rPr>
              <w:rFonts w:ascii="Times New Roman" w:hAnsi="Times New Roman" w:eastAsia="Times New Roman" w:cs="Times New Roman"/>
              <w:spacing w:val="3"/>
              <w:sz w:val="20"/>
              <w:szCs w:val="20"/>
            </w:rPr>
            <w:fldChar w:fldCharType="end"/>
          </w:r>
        </w:p>
        <w:p w14:paraId="24B4AC77">
          <w:pPr>
            <w:tabs>
              <w:tab w:val="right" w:leader="dot" w:pos="8720"/>
            </w:tabs>
            <w:spacing w:before="62" w:line="194" w:lineRule="auto"/>
            <w:ind w:left="853"/>
            <w:rPr>
              <w:rFonts w:ascii="Times New Roman" w:hAnsi="Times New Roman" w:eastAsia="Times New Roman" w:cs="Times New Roman"/>
              <w:sz w:val="20"/>
              <w:szCs w:val="20"/>
            </w:rPr>
          </w:pPr>
          <w:bookmarkStart w:id="213" w:name="bookmark427"/>
          <w:bookmarkEnd w:id="213"/>
          <w:r>
            <w:fldChar w:fldCharType="begin"/>
          </w:r>
          <w:r>
            <w:instrText xml:space="preserve"> HYPERLINK \l "bookmark428" </w:instrText>
          </w:r>
          <w:r>
            <w:fldChar w:fldCharType="separate"/>
          </w:r>
          <w:r>
            <w:rPr>
              <w:rFonts w:ascii="Times New Roman" w:hAnsi="Times New Roman" w:eastAsia="Times New Roman" w:cs="Times New Roman"/>
              <w:spacing w:val="4"/>
              <w:sz w:val="20"/>
              <w:szCs w:val="20"/>
            </w:rPr>
            <w:t>8.1.4</w:t>
          </w:r>
          <w:r>
            <w:rPr>
              <w:rFonts w:ascii="Times New Roman" w:hAnsi="Times New Roman" w:eastAsia="Times New Roman" w:cs="Times New Roman"/>
              <w:spacing w:val="21"/>
              <w:sz w:val="20"/>
              <w:szCs w:val="20"/>
            </w:rPr>
            <w:t xml:space="preserve"> </w:t>
          </w:r>
          <w:r>
            <w:rPr>
              <w:rFonts w:ascii="宋体" w:hAnsi="宋体" w:eastAsia="宋体" w:cs="宋体"/>
              <w:spacing w:val="4"/>
              <w:sz w:val="20"/>
              <w:szCs w:val="20"/>
            </w:rPr>
            <w:t>费用保障计划</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271</w:t>
          </w:r>
          <w:r>
            <w:rPr>
              <w:rFonts w:ascii="Times New Roman" w:hAnsi="Times New Roman" w:eastAsia="Times New Roman" w:cs="Times New Roman"/>
              <w:spacing w:val="3"/>
              <w:sz w:val="20"/>
              <w:szCs w:val="20"/>
            </w:rPr>
            <w:fldChar w:fldCharType="end"/>
          </w:r>
        </w:p>
        <w:p w14:paraId="6C243462">
          <w:pPr>
            <w:tabs>
              <w:tab w:val="right" w:leader="dot" w:pos="8720"/>
            </w:tabs>
            <w:spacing w:before="64" w:line="193" w:lineRule="auto"/>
            <w:ind w:left="853"/>
            <w:rPr>
              <w:rFonts w:ascii="Times New Roman" w:hAnsi="Times New Roman" w:eastAsia="Times New Roman" w:cs="Times New Roman"/>
              <w:sz w:val="20"/>
              <w:szCs w:val="20"/>
            </w:rPr>
          </w:pPr>
          <w:bookmarkStart w:id="214" w:name="bookmark429"/>
          <w:bookmarkEnd w:id="214"/>
          <w:r>
            <w:fldChar w:fldCharType="begin"/>
          </w:r>
          <w:r>
            <w:instrText xml:space="preserve"> HYPERLINK \l "bookmark430" </w:instrText>
          </w:r>
          <w:r>
            <w:fldChar w:fldCharType="separate"/>
          </w:r>
          <w:r>
            <w:rPr>
              <w:rFonts w:ascii="Times New Roman" w:hAnsi="Times New Roman" w:eastAsia="Times New Roman" w:cs="Times New Roman"/>
              <w:spacing w:val="6"/>
              <w:sz w:val="20"/>
              <w:szCs w:val="20"/>
            </w:rPr>
            <w:t xml:space="preserve">8.1.5 </w:t>
          </w:r>
          <w:r>
            <w:rPr>
              <w:rFonts w:ascii="宋体" w:hAnsi="宋体" w:eastAsia="宋体" w:cs="宋体"/>
              <w:spacing w:val="6"/>
              <w:sz w:val="20"/>
              <w:szCs w:val="20"/>
            </w:rPr>
            <w:t>施工期环境管理要求</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272</w:t>
          </w:r>
          <w:r>
            <w:rPr>
              <w:rFonts w:ascii="Times New Roman" w:hAnsi="Times New Roman" w:eastAsia="Times New Roman" w:cs="Times New Roman"/>
              <w:spacing w:val="3"/>
              <w:sz w:val="20"/>
              <w:szCs w:val="20"/>
            </w:rPr>
            <w:fldChar w:fldCharType="end"/>
          </w:r>
        </w:p>
        <w:p w14:paraId="24D8CD59">
          <w:pPr>
            <w:tabs>
              <w:tab w:val="right" w:leader="dot" w:pos="8720"/>
            </w:tabs>
            <w:spacing w:before="62" w:line="193" w:lineRule="auto"/>
            <w:ind w:left="853"/>
            <w:rPr>
              <w:rFonts w:ascii="Times New Roman" w:hAnsi="Times New Roman" w:eastAsia="Times New Roman" w:cs="Times New Roman"/>
              <w:sz w:val="20"/>
              <w:szCs w:val="20"/>
            </w:rPr>
          </w:pPr>
          <w:bookmarkStart w:id="215" w:name="bookmark431"/>
          <w:bookmarkEnd w:id="215"/>
          <w:r>
            <w:fldChar w:fldCharType="begin"/>
          </w:r>
          <w:r>
            <w:instrText xml:space="preserve"> HYPERLINK \l "bookmark432" </w:instrText>
          </w:r>
          <w:r>
            <w:fldChar w:fldCharType="separate"/>
          </w:r>
          <w:r>
            <w:rPr>
              <w:rFonts w:ascii="Times New Roman" w:hAnsi="Times New Roman" w:eastAsia="Times New Roman" w:cs="Times New Roman"/>
              <w:spacing w:val="6"/>
              <w:sz w:val="20"/>
              <w:szCs w:val="20"/>
            </w:rPr>
            <w:t xml:space="preserve">8.1.6 </w:t>
          </w:r>
          <w:r>
            <w:rPr>
              <w:rFonts w:ascii="宋体" w:hAnsi="宋体" w:eastAsia="宋体" w:cs="宋体"/>
              <w:spacing w:val="6"/>
              <w:sz w:val="20"/>
              <w:szCs w:val="20"/>
            </w:rPr>
            <w:t>运营期环境管理要求</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272</w:t>
          </w:r>
          <w:r>
            <w:rPr>
              <w:rFonts w:ascii="Times New Roman" w:hAnsi="Times New Roman" w:eastAsia="Times New Roman" w:cs="Times New Roman"/>
              <w:spacing w:val="3"/>
              <w:sz w:val="20"/>
              <w:szCs w:val="20"/>
            </w:rPr>
            <w:fldChar w:fldCharType="end"/>
          </w:r>
        </w:p>
        <w:p w14:paraId="75A303E7">
          <w:pPr>
            <w:tabs>
              <w:tab w:val="right" w:leader="dot" w:pos="8720"/>
            </w:tabs>
            <w:spacing w:before="64" w:line="194" w:lineRule="auto"/>
            <w:ind w:left="433"/>
            <w:rPr>
              <w:rFonts w:ascii="Times New Roman" w:hAnsi="Times New Roman" w:eastAsia="Times New Roman" w:cs="Times New Roman"/>
              <w:sz w:val="20"/>
              <w:szCs w:val="20"/>
            </w:rPr>
          </w:pPr>
          <w:bookmarkStart w:id="216" w:name="bookmark433"/>
          <w:bookmarkEnd w:id="216"/>
          <w:r>
            <w:fldChar w:fldCharType="begin"/>
          </w:r>
          <w:r>
            <w:instrText xml:space="preserve"> HYPERLINK \l "bookmark434" </w:instrText>
          </w:r>
          <w:r>
            <w:fldChar w:fldCharType="separate"/>
          </w:r>
          <w:r>
            <w:rPr>
              <w:rFonts w:ascii="Times New Roman" w:hAnsi="Times New Roman" w:eastAsia="Times New Roman" w:cs="Times New Roman"/>
              <w:spacing w:val="5"/>
              <w:sz w:val="20"/>
              <w:szCs w:val="20"/>
            </w:rPr>
            <w:t xml:space="preserve">8.2 </w:t>
          </w:r>
          <w:r>
            <w:rPr>
              <w:rFonts w:ascii="宋体" w:hAnsi="宋体" w:eastAsia="宋体" w:cs="宋体"/>
              <w:spacing w:val="5"/>
              <w:sz w:val="20"/>
              <w:szCs w:val="20"/>
            </w:rPr>
            <w:t>环境监测计划</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272</w:t>
          </w:r>
          <w:r>
            <w:rPr>
              <w:rFonts w:ascii="Times New Roman" w:hAnsi="Times New Roman" w:eastAsia="Times New Roman" w:cs="Times New Roman"/>
              <w:spacing w:val="3"/>
              <w:sz w:val="20"/>
              <w:szCs w:val="20"/>
            </w:rPr>
            <w:fldChar w:fldCharType="end"/>
          </w:r>
        </w:p>
        <w:p w14:paraId="027851AB">
          <w:pPr>
            <w:tabs>
              <w:tab w:val="right" w:leader="dot" w:pos="8720"/>
            </w:tabs>
            <w:spacing w:before="61" w:line="193" w:lineRule="auto"/>
            <w:ind w:left="853"/>
            <w:rPr>
              <w:rFonts w:ascii="Times New Roman" w:hAnsi="Times New Roman" w:eastAsia="Times New Roman" w:cs="Times New Roman"/>
              <w:sz w:val="20"/>
              <w:szCs w:val="20"/>
            </w:rPr>
          </w:pPr>
          <w:bookmarkStart w:id="217" w:name="bookmark435"/>
          <w:bookmarkEnd w:id="217"/>
          <w:r>
            <w:fldChar w:fldCharType="begin"/>
          </w:r>
          <w:r>
            <w:instrText xml:space="preserve"> HYPERLINK \l "bookmark436" </w:instrText>
          </w:r>
          <w:r>
            <w:fldChar w:fldCharType="separate"/>
          </w:r>
          <w:r>
            <w:rPr>
              <w:rFonts w:ascii="Times New Roman" w:hAnsi="Times New Roman" w:eastAsia="Times New Roman" w:cs="Times New Roman"/>
              <w:spacing w:val="5"/>
              <w:sz w:val="20"/>
              <w:szCs w:val="20"/>
            </w:rPr>
            <w:t xml:space="preserve">8.2.1 </w:t>
          </w:r>
          <w:r>
            <w:rPr>
              <w:rFonts w:ascii="宋体" w:hAnsi="宋体" w:eastAsia="宋体" w:cs="宋体"/>
              <w:spacing w:val="5"/>
              <w:sz w:val="20"/>
              <w:szCs w:val="20"/>
            </w:rPr>
            <w:t>废气排放监测</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273</w:t>
          </w:r>
          <w:r>
            <w:rPr>
              <w:rFonts w:ascii="Times New Roman" w:hAnsi="Times New Roman" w:eastAsia="Times New Roman" w:cs="Times New Roman"/>
              <w:spacing w:val="3"/>
              <w:sz w:val="20"/>
              <w:szCs w:val="20"/>
            </w:rPr>
            <w:fldChar w:fldCharType="end"/>
          </w:r>
        </w:p>
        <w:p w14:paraId="3AEA0728">
          <w:pPr>
            <w:tabs>
              <w:tab w:val="right" w:leader="dot" w:pos="8720"/>
            </w:tabs>
            <w:spacing w:before="65" w:line="193" w:lineRule="auto"/>
            <w:ind w:left="853"/>
            <w:rPr>
              <w:rFonts w:ascii="Times New Roman" w:hAnsi="Times New Roman" w:eastAsia="Times New Roman" w:cs="Times New Roman"/>
              <w:sz w:val="20"/>
              <w:szCs w:val="20"/>
            </w:rPr>
          </w:pPr>
          <w:bookmarkStart w:id="218" w:name="bookmark437"/>
          <w:bookmarkEnd w:id="218"/>
          <w:r>
            <w:fldChar w:fldCharType="begin"/>
          </w:r>
          <w:r>
            <w:instrText xml:space="preserve"> HYPERLINK \l "bookmark438" </w:instrText>
          </w:r>
          <w:r>
            <w:fldChar w:fldCharType="separate"/>
          </w:r>
          <w:r>
            <w:rPr>
              <w:rFonts w:ascii="Times New Roman" w:hAnsi="Times New Roman" w:eastAsia="Times New Roman" w:cs="Times New Roman"/>
              <w:spacing w:val="5"/>
              <w:sz w:val="20"/>
              <w:szCs w:val="20"/>
            </w:rPr>
            <w:t xml:space="preserve">8.2.2 </w:t>
          </w:r>
          <w:r>
            <w:rPr>
              <w:rFonts w:ascii="宋体" w:hAnsi="宋体" w:eastAsia="宋体" w:cs="宋体"/>
              <w:spacing w:val="5"/>
              <w:sz w:val="20"/>
              <w:szCs w:val="20"/>
            </w:rPr>
            <w:t>地下水监测</w:t>
          </w:r>
          <w:r>
            <w:rPr>
              <w:rFonts w:ascii="宋体" w:hAnsi="宋体" w:eastAsia="宋体" w:cs="宋体"/>
              <w:spacing w:val="-56"/>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274</w:t>
          </w:r>
          <w:r>
            <w:rPr>
              <w:rFonts w:ascii="Times New Roman" w:hAnsi="Times New Roman" w:eastAsia="Times New Roman" w:cs="Times New Roman"/>
              <w:spacing w:val="3"/>
              <w:sz w:val="20"/>
              <w:szCs w:val="20"/>
            </w:rPr>
            <w:fldChar w:fldCharType="end"/>
          </w:r>
        </w:p>
        <w:p w14:paraId="2BAC2362">
          <w:pPr>
            <w:tabs>
              <w:tab w:val="right" w:leader="dot" w:pos="8720"/>
            </w:tabs>
            <w:spacing w:before="62" w:line="194" w:lineRule="auto"/>
            <w:ind w:left="853"/>
            <w:rPr>
              <w:rFonts w:ascii="Times New Roman" w:hAnsi="Times New Roman" w:eastAsia="Times New Roman" w:cs="Times New Roman"/>
              <w:sz w:val="20"/>
              <w:szCs w:val="20"/>
            </w:rPr>
          </w:pPr>
          <w:bookmarkStart w:id="219" w:name="bookmark439"/>
          <w:bookmarkEnd w:id="219"/>
          <w:r>
            <w:fldChar w:fldCharType="begin"/>
          </w:r>
          <w:r>
            <w:instrText xml:space="preserve"> HYPERLINK \l "bookmark440" </w:instrText>
          </w:r>
          <w:r>
            <w:fldChar w:fldCharType="separate"/>
          </w:r>
          <w:r>
            <w:rPr>
              <w:rFonts w:ascii="Times New Roman" w:hAnsi="Times New Roman" w:eastAsia="Times New Roman" w:cs="Times New Roman"/>
              <w:spacing w:val="6"/>
              <w:sz w:val="20"/>
              <w:szCs w:val="20"/>
            </w:rPr>
            <w:t xml:space="preserve">8.2.3 </w:t>
          </w:r>
          <w:r>
            <w:rPr>
              <w:rFonts w:ascii="宋体" w:hAnsi="宋体" w:eastAsia="宋体" w:cs="宋体"/>
              <w:spacing w:val="6"/>
              <w:sz w:val="20"/>
              <w:szCs w:val="20"/>
            </w:rPr>
            <w:t>厂界环境噪声监测</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275</w:t>
          </w:r>
          <w:r>
            <w:rPr>
              <w:rFonts w:ascii="Times New Roman" w:hAnsi="Times New Roman" w:eastAsia="Times New Roman" w:cs="Times New Roman"/>
              <w:spacing w:val="3"/>
              <w:sz w:val="20"/>
              <w:szCs w:val="20"/>
            </w:rPr>
            <w:fldChar w:fldCharType="end"/>
          </w:r>
        </w:p>
        <w:p w14:paraId="54A7F701">
          <w:pPr>
            <w:tabs>
              <w:tab w:val="right" w:leader="dot" w:pos="8720"/>
            </w:tabs>
            <w:spacing w:before="63" w:line="193" w:lineRule="auto"/>
            <w:ind w:left="853"/>
            <w:rPr>
              <w:rFonts w:ascii="Times New Roman" w:hAnsi="Times New Roman" w:eastAsia="Times New Roman" w:cs="Times New Roman"/>
              <w:sz w:val="20"/>
              <w:szCs w:val="20"/>
            </w:rPr>
          </w:pPr>
          <w:bookmarkStart w:id="220" w:name="bookmark441"/>
          <w:bookmarkEnd w:id="220"/>
          <w:r>
            <w:fldChar w:fldCharType="begin"/>
          </w:r>
          <w:r>
            <w:instrText xml:space="preserve"> HYPERLINK \l "bookmark442" </w:instrText>
          </w:r>
          <w:r>
            <w:fldChar w:fldCharType="separate"/>
          </w:r>
          <w:r>
            <w:rPr>
              <w:rFonts w:ascii="Times New Roman" w:hAnsi="Times New Roman" w:eastAsia="Times New Roman" w:cs="Times New Roman"/>
              <w:spacing w:val="6"/>
              <w:sz w:val="20"/>
              <w:szCs w:val="20"/>
            </w:rPr>
            <w:t xml:space="preserve">8.2.5 </w:t>
          </w:r>
          <w:r>
            <w:rPr>
              <w:rFonts w:ascii="宋体" w:hAnsi="宋体" w:eastAsia="宋体" w:cs="宋体"/>
              <w:spacing w:val="6"/>
              <w:sz w:val="20"/>
              <w:szCs w:val="20"/>
            </w:rPr>
            <w:t>周边环境质量影响监测</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275</w:t>
          </w:r>
          <w:r>
            <w:rPr>
              <w:rFonts w:ascii="Times New Roman" w:hAnsi="Times New Roman" w:eastAsia="Times New Roman" w:cs="Times New Roman"/>
              <w:spacing w:val="3"/>
              <w:sz w:val="20"/>
              <w:szCs w:val="20"/>
            </w:rPr>
            <w:fldChar w:fldCharType="end"/>
          </w:r>
        </w:p>
        <w:p w14:paraId="63376213">
          <w:pPr>
            <w:tabs>
              <w:tab w:val="right" w:leader="dot" w:pos="8720"/>
            </w:tabs>
            <w:spacing w:before="62" w:line="193" w:lineRule="auto"/>
            <w:ind w:left="433"/>
            <w:rPr>
              <w:rFonts w:ascii="Times New Roman" w:hAnsi="Times New Roman" w:eastAsia="Times New Roman" w:cs="Times New Roman"/>
              <w:sz w:val="20"/>
              <w:szCs w:val="20"/>
            </w:rPr>
          </w:pPr>
          <w:bookmarkStart w:id="221" w:name="bookmark443"/>
          <w:bookmarkEnd w:id="221"/>
          <w:r>
            <w:fldChar w:fldCharType="begin"/>
          </w:r>
          <w:r>
            <w:instrText xml:space="preserve"> HYPERLINK \l "bookmark444" </w:instrText>
          </w:r>
          <w:r>
            <w:fldChar w:fldCharType="separate"/>
          </w:r>
          <w:r>
            <w:rPr>
              <w:rFonts w:ascii="Times New Roman" w:hAnsi="Times New Roman" w:eastAsia="Times New Roman" w:cs="Times New Roman"/>
              <w:spacing w:val="5"/>
              <w:sz w:val="20"/>
              <w:szCs w:val="20"/>
            </w:rPr>
            <w:t xml:space="preserve">8.3 </w:t>
          </w:r>
          <w:r>
            <w:rPr>
              <w:rFonts w:ascii="宋体" w:hAnsi="宋体" w:eastAsia="宋体" w:cs="宋体"/>
              <w:spacing w:val="5"/>
              <w:sz w:val="20"/>
              <w:szCs w:val="20"/>
            </w:rPr>
            <w:t>排污口规范化</w:t>
          </w:r>
          <w:r>
            <w:rPr>
              <w:rFonts w:ascii="宋体" w:hAnsi="宋体" w:eastAsia="宋体" w:cs="宋体"/>
              <w:spacing w:val="-49"/>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275</w:t>
          </w:r>
          <w:r>
            <w:rPr>
              <w:rFonts w:ascii="Times New Roman" w:hAnsi="Times New Roman" w:eastAsia="Times New Roman" w:cs="Times New Roman"/>
              <w:spacing w:val="3"/>
              <w:sz w:val="20"/>
              <w:szCs w:val="20"/>
            </w:rPr>
            <w:fldChar w:fldCharType="end"/>
          </w:r>
        </w:p>
        <w:p w14:paraId="6A5DD001">
          <w:pPr>
            <w:tabs>
              <w:tab w:val="right" w:leader="dot" w:pos="8720"/>
            </w:tabs>
            <w:spacing w:before="62" w:line="194" w:lineRule="auto"/>
            <w:ind w:left="433"/>
            <w:rPr>
              <w:rFonts w:ascii="Times New Roman" w:hAnsi="Times New Roman" w:eastAsia="Times New Roman" w:cs="Times New Roman"/>
              <w:sz w:val="20"/>
              <w:szCs w:val="20"/>
            </w:rPr>
          </w:pPr>
          <w:bookmarkStart w:id="222" w:name="bookmark445"/>
          <w:bookmarkEnd w:id="222"/>
          <w:r>
            <w:fldChar w:fldCharType="begin"/>
          </w:r>
          <w:r>
            <w:instrText xml:space="preserve"> HYPERLINK \l "bookmark446" </w:instrText>
          </w:r>
          <w:r>
            <w:fldChar w:fldCharType="separate"/>
          </w:r>
          <w:r>
            <w:rPr>
              <w:rFonts w:ascii="Times New Roman" w:hAnsi="Times New Roman" w:eastAsia="Times New Roman" w:cs="Times New Roman"/>
              <w:spacing w:val="6"/>
              <w:sz w:val="20"/>
              <w:szCs w:val="20"/>
            </w:rPr>
            <w:t xml:space="preserve">8.4 </w:t>
          </w:r>
          <w:r>
            <w:rPr>
              <w:rFonts w:ascii="宋体" w:hAnsi="宋体" w:eastAsia="宋体" w:cs="宋体"/>
              <w:spacing w:val="6"/>
              <w:sz w:val="20"/>
              <w:szCs w:val="20"/>
            </w:rPr>
            <w:t>污染物排放清单</w:t>
          </w:r>
          <w:r>
            <w:rPr>
              <w:rFonts w:ascii="宋体" w:hAnsi="宋体" w:eastAsia="宋体" w:cs="宋体"/>
              <w:spacing w:val="-56"/>
              <w:sz w:val="20"/>
              <w:szCs w:val="20"/>
            </w:rPr>
            <w:t xml:space="preserve"> </w:t>
          </w:r>
          <w:r>
            <w:rPr>
              <w:rFonts w:ascii="宋体" w:hAnsi="宋体" w:eastAsia="宋体" w:cs="宋体"/>
              <w:sz w:val="20"/>
              <w:szCs w:val="20"/>
            </w:rPr>
            <w:tab/>
          </w:r>
          <w:r>
            <w:rPr>
              <w:rFonts w:ascii="宋体" w:hAnsi="宋体" w:eastAsia="宋体" w:cs="宋体"/>
              <w:spacing w:val="-55"/>
              <w:sz w:val="20"/>
              <w:szCs w:val="20"/>
            </w:rPr>
            <w:t xml:space="preserve"> </w:t>
          </w:r>
          <w:r>
            <w:rPr>
              <w:rFonts w:ascii="Times New Roman" w:hAnsi="Times New Roman" w:eastAsia="Times New Roman" w:cs="Times New Roman"/>
              <w:spacing w:val="3"/>
              <w:sz w:val="20"/>
              <w:szCs w:val="20"/>
            </w:rPr>
            <w:t>276</w:t>
          </w:r>
          <w:r>
            <w:rPr>
              <w:rFonts w:ascii="Times New Roman" w:hAnsi="Times New Roman" w:eastAsia="Times New Roman" w:cs="Times New Roman"/>
              <w:spacing w:val="3"/>
              <w:sz w:val="20"/>
              <w:szCs w:val="20"/>
            </w:rPr>
            <w:fldChar w:fldCharType="end"/>
          </w:r>
        </w:p>
        <w:p w14:paraId="1F15EDC3">
          <w:pPr>
            <w:tabs>
              <w:tab w:val="right" w:leader="dot" w:pos="8720"/>
            </w:tabs>
            <w:spacing w:before="64" w:line="193" w:lineRule="auto"/>
            <w:ind w:left="8"/>
            <w:rPr>
              <w:rFonts w:ascii="Times New Roman" w:hAnsi="Times New Roman" w:eastAsia="Times New Roman" w:cs="Times New Roman"/>
              <w:sz w:val="20"/>
              <w:szCs w:val="20"/>
            </w:rPr>
          </w:pPr>
          <w:bookmarkStart w:id="223" w:name="bookmark447"/>
          <w:bookmarkEnd w:id="223"/>
          <w:r>
            <w:fldChar w:fldCharType="begin"/>
          </w:r>
          <w:r>
            <w:instrText xml:space="preserve"> HYPERLINK \l "bookmark448" </w:instrText>
          </w:r>
          <w:r>
            <w:fldChar w:fldCharType="separate"/>
          </w:r>
          <w:r>
            <w:rPr>
              <w:rFonts w:ascii="宋体" w:hAnsi="宋体" w:eastAsia="宋体" w:cs="宋体"/>
              <w:b/>
              <w:bCs/>
              <w:spacing w:val="4"/>
              <w:sz w:val="20"/>
              <w:szCs w:val="20"/>
            </w:rPr>
            <w:t>第</w:t>
          </w:r>
          <w:r>
            <w:rPr>
              <w:rFonts w:ascii="宋体" w:hAnsi="宋体" w:eastAsia="宋体" w:cs="宋体"/>
              <w:spacing w:val="-41"/>
              <w:sz w:val="20"/>
              <w:szCs w:val="20"/>
            </w:rPr>
            <w:t xml:space="preserve"> </w:t>
          </w:r>
          <w:r>
            <w:rPr>
              <w:rFonts w:ascii="Times New Roman" w:hAnsi="Times New Roman" w:eastAsia="Times New Roman" w:cs="Times New Roman"/>
              <w:b/>
              <w:bCs/>
              <w:spacing w:val="4"/>
              <w:sz w:val="20"/>
              <w:szCs w:val="20"/>
            </w:rPr>
            <w:t>9</w:t>
          </w:r>
          <w:r>
            <w:rPr>
              <w:rFonts w:ascii="Times New Roman" w:hAnsi="Times New Roman" w:eastAsia="Times New Roman" w:cs="Times New Roman"/>
              <w:b/>
              <w:bCs/>
              <w:spacing w:val="19"/>
              <w:sz w:val="20"/>
              <w:szCs w:val="20"/>
            </w:rPr>
            <w:t xml:space="preserve"> </w:t>
          </w:r>
          <w:r>
            <w:rPr>
              <w:rFonts w:ascii="宋体" w:hAnsi="宋体" w:eastAsia="宋体" w:cs="宋体"/>
              <w:b/>
              <w:bCs/>
              <w:spacing w:val="4"/>
              <w:sz w:val="20"/>
              <w:szCs w:val="20"/>
            </w:rPr>
            <w:t>章</w:t>
          </w:r>
          <w:r>
            <w:rPr>
              <w:rFonts w:ascii="宋体" w:hAnsi="宋体" w:eastAsia="宋体" w:cs="宋体"/>
              <w:spacing w:val="4"/>
              <w:sz w:val="20"/>
              <w:szCs w:val="20"/>
            </w:rPr>
            <w:t xml:space="preserve">  </w:t>
          </w:r>
          <w:r>
            <w:rPr>
              <w:rFonts w:ascii="宋体" w:hAnsi="宋体" w:eastAsia="宋体" w:cs="宋体"/>
              <w:b/>
              <w:bCs/>
              <w:spacing w:val="4"/>
              <w:sz w:val="20"/>
              <w:szCs w:val="20"/>
            </w:rPr>
            <w:t>碳排放评价</w:t>
          </w:r>
          <w:r>
            <w:rPr>
              <w:rFonts w:ascii="宋体" w:hAnsi="宋体" w:eastAsia="宋体" w:cs="宋体"/>
              <w:spacing w:val="-63"/>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b/>
              <w:bCs/>
              <w:spacing w:val="3"/>
              <w:sz w:val="20"/>
              <w:szCs w:val="20"/>
            </w:rPr>
            <w:t>279</w:t>
          </w:r>
          <w:r>
            <w:rPr>
              <w:rFonts w:ascii="Times New Roman" w:hAnsi="Times New Roman" w:eastAsia="Times New Roman" w:cs="Times New Roman"/>
              <w:b/>
              <w:bCs/>
              <w:spacing w:val="3"/>
              <w:sz w:val="20"/>
              <w:szCs w:val="20"/>
            </w:rPr>
            <w:fldChar w:fldCharType="end"/>
          </w:r>
        </w:p>
        <w:p w14:paraId="63017397">
          <w:pPr>
            <w:tabs>
              <w:tab w:val="right" w:leader="dot" w:pos="8720"/>
            </w:tabs>
            <w:spacing w:before="64" w:line="193" w:lineRule="auto"/>
            <w:ind w:left="429"/>
            <w:rPr>
              <w:rFonts w:ascii="Times New Roman" w:hAnsi="Times New Roman" w:eastAsia="Times New Roman" w:cs="Times New Roman"/>
              <w:sz w:val="20"/>
              <w:szCs w:val="20"/>
            </w:rPr>
          </w:pPr>
          <w:bookmarkStart w:id="224" w:name="bookmark449"/>
          <w:bookmarkEnd w:id="224"/>
          <w:r>
            <w:fldChar w:fldCharType="begin"/>
          </w:r>
          <w:r>
            <w:instrText xml:space="preserve"> HYPERLINK \l "bookmark450" </w:instrText>
          </w:r>
          <w:r>
            <w:fldChar w:fldCharType="separate"/>
          </w:r>
          <w:r>
            <w:rPr>
              <w:rFonts w:ascii="Times New Roman" w:hAnsi="Times New Roman" w:eastAsia="Times New Roman" w:cs="Times New Roman"/>
              <w:spacing w:val="7"/>
              <w:sz w:val="20"/>
              <w:szCs w:val="20"/>
            </w:rPr>
            <w:t xml:space="preserve">9.1 </w:t>
          </w:r>
          <w:r>
            <w:rPr>
              <w:rFonts w:ascii="宋体" w:hAnsi="宋体" w:eastAsia="宋体" w:cs="宋体"/>
              <w:spacing w:val="7"/>
              <w:sz w:val="20"/>
              <w:szCs w:val="20"/>
            </w:rPr>
            <w:t>管理规定与技术指南、规范</w:t>
          </w:r>
          <w:r>
            <w:rPr>
              <w:rFonts w:ascii="宋体" w:hAnsi="宋体" w:eastAsia="宋体" w:cs="宋体"/>
              <w:spacing w:val="-46"/>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279</w:t>
          </w:r>
          <w:r>
            <w:rPr>
              <w:rFonts w:ascii="Times New Roman" w:hAnsi="Times New Roman" w:eastAsia="Times New Roman" w:cs="Times New Roman"/>
              <w:spacing w:val="3"/>
              <w:sz w:val="20"/>
              <w:szCs w:val="20"/>
            </w:rPr>
            <w:fldChar w:fldCharType="end"/>
          </w:r>
        </w:p>
        <w:p w14:paraId="327E3715">
          <w:pPr>
            <w:tabs>
              <w:tab w:val="right" w:leader="dot" w:pos="8720"/>
            </w:tabs>
            <w:spacing w:before="62" w:line="194" w:lineRule="auto"/>
            <w:ind w:left="429"/>
            <w:rPr>
              <w:rFonts w:ascii="Times New Roman" w:hAnsi="Times New Roman" w:eastAsia="Times New Roman" w:cs="Times New Roman"/>
              <w:sz w:val="20"/>
              <w:szCs w:val="20"/>
            </w:rPr>
          </w:pPr>
          <w:bookmarkStart w:id="225" w:name="bookmark451"/>
          <w:bookmarkEnd w:id="225"/>
          <w:r>
            <w:fldChar w:fldCharType="begin"/>
          </w:r>
          <w:r>
            <w:instrText xml:space="preserve"> HYPERLINK \l "bookmark452" </w:instrText>
          </w:r>
          <w:r>
            <w:fldChar w:fldCharType="separate"/>
          </w:r>
          <w:r>
            <w:rPr>
              <w:rFonts w:ascii="Times New Roman" w:hAnsi="Times New Roman" w:eastAsia="Times New Roman" w:cs="Times New Roman"/>
              <w:spacing w:val="6"/>
              <w:sz w:val="20"/>
              <w:szCs w:val="20"/>
            </w:rPr>
            <w:t xml:space="preserve">9.2 </w:t>
          </w:r>
          <w:r>
            <w:rPr>
              <w:rFonts w:ascii="宋体" w:hAnsi="宋体" w:eastAsia="宋体" w:cs="宋体"/>
              <w:spacing w:val="6"/>
              <w:sz w:val="20"/>
              <w:szCs w:val="20"/>
            </w:rPr>
            <w:t>本项目碳排放概述</w:t>
          </w:r>
          <w:r>
            <w:rPr>
              <w:rFonts w:ascii="宋体" w:hAnsi="宋体" w:eastAsia="宋体" w:cs="宋体"/>
              <w:spacing w:val="-46"/>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279</w:t>
          </w:r>
          <w:r>
            <w:rPr>
              <w:rFonts w:ascii="Times New Roman" w:hAnsi="Times New Roman" w:eastAsia="Times New Roman" w:cs="Times New Roman"/>
              <w:spacing w:val="3"/>
              <w:sz w:val="20"/>
              <w:szCs w:val="20"/>
            </w:rPr>
            <w:fldChar w:fldCharType="end"/>
          </w:r>
        </w:p>
        <w:p w14:paraId="6D065C63">
          <w:pPr>
            <w:tabs>
              <w:tab w:val="right" w:leader="dot" w:pos="8720"/>
            </w:tabs>
            <w:spacing w:before="64" w:line="193" w:lineRule="auto"/>
            <w:ind w:left="429"/>
            <w:rPr>
              <w:rFonts w:ascii="Times New Roman" w:hAnsi="Times New Roman" w:eastAsia="Times New Roman" w:cs="Times New Roman"/>
              <w:sz w:val="20"/>
              <w:szCs w:val="20"/>
            </w:rPr>
          </w:pPr>
          <w:bookmarkStart w:id="226" w:name="bookmark453"/>
          <w:bookmarkEnd w:id="226"/>
          <w:r>
            <w:fldChar w:fldCharType="begin"/>
          </w:r>
          <w:r>
            <w:instrText xml:space="preserve"> HYPERLINK \l "bookmark454" </w:instrText>
          </w:r>
          <w:r>
            <w:fldChar w:fldCharType="separate"/>
          </w:r>
          <w:r>
            <w:rPr>
              <w:rFonts w:ascii="Times New Roman" w:hAnsi="Times New Roman" w:eastAsia="Times New Roman" w:cs="Times New Roman"/>
              <w:spacing w:val="6"/>
              <w:sz w:val="20"/>
              <w:szCs w:val="20"/>
            </w:rPr>
            <w:t xml:space="preserve">9.3 </w:t>
          </w:r>
          <w:r>
            <w:rPr>
              <w:rFonts w:ascii="宋体" w:hAnsi="宋体" w:eastAsia="宋体" w:cs="宋体"/>
              <w:spacing w:val="6"/>
              <w:sz w:val="20"/>
              <w:szCs w:val="20"/>
            </w:rPr>
            <w:t>碳排放预测与评价</w:t>
          </w:r>
          <w:r>
            <w:rPr>
              <w:rFonts w:ascii="宋体" w:hAnsi="宋体" w:eastAsia="宋体" w:cs="宋体"/>
              <w:spacing w:val="-46"/>
              <w:sz w:val="20"/>
              <w:szCs w:val="20"/>
            </w:rPr>
            <w:t xml:space="preserve"> </w:t>
          </w:r>
          <w:r>
            <w:rPr>
              <w:rFonts w:ascii="宋体" w:hAnsi="宋体" w:eastAsia="宋体" w:cs="宋体"/>
              <w:sz w:val="20"/>
              <w:szCs w:val="20"/>
            </w:rPr>
            <w:tab/>
          </w:r>
          <w:r>
            <w:rPr>
              <w:rFonts w:ascii="宋体" w:hAnsi="宋体" w:eastAsia="宋体" w:cs="宋体"/>
              <w:spacing w:val="-58"/>
              <w:sz w:val="20"/>
              <w:szCs w:val="20"/>
            </w:rPr>
            <w:t xml:space="preserve"> </w:t>
          </w:r>
          <w:r>
            <w:rPr>
              <w:rFonts w:ascii="Times New Roman" w:hAnsi="Times New Roman" w:eastAsia="Times New Roman" w:cs="Times New Roman"/>
              <w:spacing w:val="3"/>
              <w:sz w:val="20"/>
              <w:szCs w:val="20"/>
            </w:rPr>
            <w:t>280</w:t>
          </w:r>
          <w:r>
            <w:rPr>
              <w:rFonts w:ascii="Times New Roman" w:hAnsi="Times New Roman" w:eastAsia="Times New Roman" w:cs="Times New Roman"/>
              <w:spacing w:val="3"/>
              <w:sz w:val="20"/>
              <w:szCs w:val="20"/>
            </w:rPr>
            <w:fldChar w:fldCharType="end"/>
          </w:r>
        </w:p>
        <w:p w14:paraId="67D92826">
          <w:pPr>
            <w:tabs>
              <w:tab w:val="right" w:leader="dot" w:pos="8720"/>
            </w:tabs>
            <w:spacing w:before="62" w:line="193" w:lineRule="auto"/>
            <w:ind w:left="849"/>
            <w:rPr>
              <w:rFonts w:ascii="Times New Roman" w:hAnsi="Times New Roman" w:eastAsia="Times New Roman" w:cs="Times New Roman"/>
              <w:sz w:val="20"/>
              <w:szCs w:val="20"/>
            </w:rPr>
          </w:pPr>
          <w:bookmarkStart w:id="227" w:name="bookmark455"/>
          <w:bookmarkEnd w:id="227"/>
          <w:r>
            <w:fldChar w:fldCharType="begin"/>
          </w:r>
          <w:r>
            <w:instrText xml:space="preserve"> HYPERLINK \l "bookmark456" </w:instrText>
          </w:r>
          <w:r>
            <w:fldChar w:fldCharType="separate"/>
          </w:r>
          <w:r>
            <w:rPr>
              <w:rFonts w:ascii="Times New Roman" w:hAnsi="Times New Roman" w:eastAsia="Times New Roman" w:cs="Times New Roman"/>
              <w:spacing w:val="4"/>
              <w:sz w:val="20"/>
              <w:szCs w:val="20"/>
            </w:rPr>
            <w:t xml:space="preserve">9.3.1 </w:t>
          </w:r>
          <w:r>
            <w:rPr>
              <w:rFonts w:ascii="宋体" w:hAnsi="宋体" w:eastAsia="宋体" w:cs="宋体"/>
              <w:spacing w:val="4"/>
              <w:sz w:val="20"/>
              <w:szCs w:val="20"/>
            </w:rPr>
            <w:t>排放源</w:t>
          </w:r>
          <w:r>
            <w:rPr>
              <w:rFonts w:ascii="宋体" w:hAnsi="宋体" w:eastAsia="宋体" w:cs="宋体"/>
              <w:spacing w:val="-53"/>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280</w:t>
          </w:r>
          <w:r>
            <w:rPr>
              <w:rFonts w:ascii="Times New Roman" w:hAnsi="Times New Roman" w:eastAsia="Times New Roman" w:cs="Times New Roman"/>
              <w:spacing w:val="3"/>
              <w:sz w:val="20"/>
              <w:szCs w:val="20"/>
            </w:rPr>
            <w:fldChar w:fldCharType="end"/>
          </w:r>
        </w:p>
        <w:p w14:paraId="74E3E05D">
          <w:pPr>
            <w:tabs>
              <w:tab w:val="right" w:leader="dot" w:pos="8720"/>
            </w:tabs>
            <w:spacing w:before="62" w:line="194" w:lineRule="auto"/>
            <w:ind w:left="849"/>
            <w:rPr>
              <w:rFonts w:ascii="Times New Roman" w:hAnsi="Times New Roman" w:eastAsia="Times New Roman" w:cs="Times New Roman"/>
              <w:sz w:val="20"/>
              <w:szCs w:val="20"/>
            </w:rPr>
          </w:pPr>
          <w:bookmarkStart w:id="228" w:name="bookmark457"/>
          <w:bookmarkEnd w:id="228"/>
          <w:r>
            <w:fldChar w:fldCharType="begin"/>
          </w:r>
          <w:r>
            <w:instrText xml:space="preserve"> HYPERLINK \l "bookmark458" </w:instrText>
          </w:r>
          <w:r>
            <w:fldChar w:fldCharType="separate"/>
          </w:r>
          <w:r>
            <w:rPr>
              <w:rFonts w:ascii="Times New Roman" w:hAnsi="Times New Roman" w:eastAsia="Times New Roman" w:cs="Times New Roman"/>
              <w:spacing w:val="6"/>
              <w:sz w:val="20"/>
              <w:szCs w:val="20"/>
            </w:rPr>
            <w:t xml:space="preserve">9.3.2 </w:t>
          </w:r>
          <w:r>
            <w:rPr>
              <w:rFonts w:ascii="宋体" w:hAnsi="宋体" w:eastAsia="宋体" w:cs="宋体"/>
              <w:spacing w:val="6"/>
              <w:sz w:val="20"/>
              <w:szCs w:val="20"/>
            </w:rPr>
            <w:t>碳排放总量和强度测算</w:t>
          </w:r>
          <w:r>
            <w:rPr>
              <w:rFonts w:ascii="宋体" w:hAnsi="宋体" w:eastAsia="宋体" w:cs="宋体"/>
              <w:spacing w:val="-44"/>
              <w:sz w:val="20"/>
              <w:szCs w:val="20"/>
            </w:rPr>
            <w:t xml:space="preserve"> </w:t>
          </w:r>
          <w:r>
            <w:rPr>
              <w:rFonts w:ascii="宋体" w:hAnsi="宋体" w:eastAsia="宋体" w:cs="宋体"/>
              <w:sz w:val="20"/>
              <w:szCs w:val="20"/>
            </w:rPr>
            <w:tab/>
          </w:r>
          <w:r>
            <w:rPr>
              <w:rFonts w:ascii="宋体" w:hAnsi="宋体" w:eastAsia="宋体" w:cs="宋体"/>
              <w:spacing w:val="-66"/>
              <w:sz w:val="20"/>
              <w:szCs w:val="20"/>
            </w:rPr>
            <w:t xml:space="preserve"> </w:t>
          </w:r>
          <w:r>
            <w:rPr>
              <w:rFonts w:ascii="Times New Roman" w:hAnsi="Times New Roman" w:eastAsia="Times New Roman" w:cs="Times New Roman"/>
              <w:spacing w:val="3"/>
              <w:sz w:val="20"/>
              <w:szCs w:val="20"/>
            </w:rPr>
            <w:t>281</w:t>
          </w:r>
          <w:r>
            <w:rPr>
              <w:rFonts w:ascii="Times New Roman" w:hAnsi="Times New Roman" w:eastAsia="Times New Roman" w:cs="Times New Roman"/>
              <w:spacing w:val="3"/>
              <w:sz w:val="20"/>
              <w:szCs w:val="20"/>
            </w:rPr>
            <w:fldChar w:fldCharType="end"/>
          </w:r>
        </w:p>
        <w:p w14:paraId="3276FDA0">
          <w:pPr>
            <w:tabs>
              <w:tab w:val="right" w:leader="dot" w:pos="8720"/>
            </w:tabs>
            <w:spacing w:before="64" w:line="193" w:lineRule="auto"/>
            <w:ind w:left="429"/>
            <w:rPr>
              <w:rFonts w:ascii="Times New Roman" w:hAnsi="Times New Roman" w:eastAsia="Times New Roman" w:cs="Times New Roman"/>
              <w:sz w:val="20"/>
              <w:szCs w:val="20"/>
            </w:rPr>
          </w:pPr>
          <w:bookmarkStart w:id="229" w:name="bookmark459"/>
          <w:bookmarkEnd w:id="229"/>
          <w:r>
            <w:fldChar w:fldCharType="begin"/>
          </w:r>
          <w:r>
            <w:instrText xml:space="preserve"> HYPERLINK \l "bookmark460" </w:instrText>
          </w:r>
          <w:r>
            <w:fldChar w:fldCharType="separate"/>
          </w:r>
          <w:r>
            <w:rPr>
              <w:rFonts w:ascii="Times New Roman" w:hAnsi="Times New Roman" w:eastAsia="Times New Roman" w:cs="Times New Roman"/>
              <w:spacing w:val="7"/>
              <w:sz w:val="20"/>
              <w:szCs w:val="20"/>
            </w:rPr>
            <w:t xml:space="preserve">9.4 </w:t>
          </w:r>
          <w:r>
            <w:rPr>
              <w:rFonts w:ascii="宋体" w:hAnsi="宋体" w:eastAsia="宋体" w:cs="宋体"/>
              <w:spacing w:val="7"/>
              <w:sz w:val="20"/>
              <w:szCs w:val="20"/>
            </w:rPr>
            <w:t>碳减排潜力分析与建议</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62"/>
              <w:sz w:val="20"/>
              <w:szCs w:val="20"/>
            </w:rPr>
            <w:t xml:space="preserve"> </w:t>
          </w:r>
          <w:r>
            <w:rPr>
              <w:rFonts w:ascii="Times New Roman" w:hAnsi="Times New Roman" w:eastAsia="Times New Roman" w:cs="Times New Roman"/>
              <w:spacing w:val="3"/>
              <w:sz w:val="20"/>
              <w:szCs w:val="20"/>
            </w:rPr>
            <w:t>285</w:t>
          </w:r>
          <w:r>
            <w:rPr>
              <w:rFonts w:ascii="Times New Roman" w:hAnsi="Times New Roman" w:eastAsia="Times New Roman" w:cs="Times New Roman"/>
              <w:spacing w:val="3"/>
              <w:sz w:val="20"/>
              <w:szCs w:val="20"/>
            </w:rPr>
            <w:fldChar w:fldCharType="end"/>
          </w:r>
        </w:p>
        <w:p w14:paraId="38B0C65F">
          <w:pPr>
            <w:tabs>
              <w:tab w:val="right" w:leader="dot" w:pos="8720"/>
            </w:tabs>
            <w:spacing w:before="62" w:line="193" w:lineRule="auto"/>
            <w:ind w:left="429"/>
            <w:rPr>
              <w:rFonts w:ascii="Times New Roman" w:hAnsi="Times New Roman" w:eastAsia="Times New Roman" w:cs="Times New Roman"/>
              <w:sz w:val="20"/>
              <w:szCs w:val="20"/>
            </w:rPr>
          </w:pPr>
          <w:bookmarkStart w:id="230" w:name="bookmark461"/>
          <w:bookmarkEnd w:id="230"/>
          <w:r>
            <w:fldChar w:fldCharType="begin"/>
          </w:r>
          <w:r>
            <w:instrText xml:space="preserve"> HYPERLINK \l "bookmark462" </w:instrText>
          </w:r>
          <w:r>
            <w:fldChar w:fldCharType="separate"/>
          </w:r>
          <w:r>
            <w:rPr>
              <w:rFonts w:ascii="Times New Roman" w:hAnsi="Times New Roman" w:eastAsia="Times New Roman" w:cs="Times New Roman"/>
              <w:spacing w:val="1"/>
              <w:sz w:val="20"/>
              <w:szCs w:val="20"/>
            </w:rPr>
            <w:t>9.5</w:t>
          </w:r>
          <w:r>
            <w:rPr>
              <w:rFonts w:ascii="Times New Roman" w:hAnsi="Times New Roman" w:eastAsia="Times New Roman" w:cs="Times New Roman"/>
              <w:spacing w:val="17"/>
              <w:w w:val="101"/>
              <w:sz w:val="20"/>
              <w:szCs w:val="20"/>
            </w:rPr>
            <w:t xml:space="preserve"> </w:t>
          </w:r>
          <w:r>
            <w:rPr>
              <w:rFonts w:ascii="宋体" w:hAnsi="宋体" w:eastAsia="宋体" w:cs="宋体"/>
              <w:spacing w:val="1"/>
              <w:sz w:val="20"/>
              <w:szCs w:val="20"/>
            </w:rPr>
            <w:t>结论</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46"/>
              <w:sz w:val="20"/>
              <w:szCs w:val="20"/>
            </w:rPr>
            <w:t xml:space="preserve"> </w:t>
          </w:r>
          <w:r>
            <w:rPr>
              <w:rFonts w:ascii="Times New Roman" w:hAnsi="Times New Roman" w:eastAsia="Times New Roman" w:cs="Times New Roman"/>
              <w:spacing w:val="3"/>
              <w:sz w:val="20"/>
              <w:szCs w:val="20"/>
            </w:rPr>
            <w:t>287</w:t>
          </w:r>
          <w:r>
            <w:rPr>
              <w:rFonts w:ascii="Times New Roman" w:hAnsi="Times New Roman" w:eastAsia="Times New Roman" w:cs="Times New Roman"/>
              <w:spacing w:val="3"/>
              <w:sz w:val="20"/>
              <w:szCs w:val="20"/>
            </w:rPr>
            <w:fldChar w:fldCharType="end"/>
          </w:r>
        </w:p>
        <w:p w14:paraId="476B3894">
          <w:pPr>
            <w:tabs>
              <w:tab w:val="right" w:leader="dot" w:pos="8720"/>
            </w:tabs>
            <w:spacing w:before="64" w:line="194" w:lineRule="auto"/>
            <w:ind w:left="8"/>
            <w:rPr>
              <w:rFonts w:ascii="Times New Roman" w:hAnsi="Times New Roman" w:eastAsia="Times New Roman" w:cs="Times New Roman"/>
              <w:sz w:val="20"/>
              <w:szCs w:val="20"/>
            </w:rPr>
          </w:pPr>
          <w:bookmarkStart w:id="231" w:name="bookmark463"/>
          <w:bookmarkEnd w:id="231"/>
          <w:r>
            <w:fldChar w:fldCharType="begin"/>
          </w:r>
          <w:r>
            <w:instrText xml:space="preserve"> HYPERLINK \l "bookmark464" </w:instrText>
          </w:r>
          <w:r>
            <w:fldChar w:fldCharType="separate"/>
          </w:r>
          <w:r>
            <w:rPr>
              <w:rFonts w:ascii="宋体" w:hAnsi="宋体" w:eastAsia="宋体" w:cs="宋体"/>
              <w:b/>
              <w:bCs/>
              <w:spacing w:val="4"/>
              <w:sz w:val="20"/>
              <w:szCs w:val="20"/>
            </w:rPr>
            <w:t>第</w:t>
          </w:r>
          <w:r>
            <w:rPr>
              <w:rFonts w:ascii="宋体" w:hAnsi="宋体" w:eastAsia="宋体" w:cs="宋体"/>
              <w:spacing w:val="-23"/>
              <w:sz w:val="20"/>
              <w:szCs w:val="20"/>
            </w:rPr>
            <w:t xml:space="preserve"> </w:t>
          </w:r>
          <w:r>
            <w:rPr>
              <w:rFonts w:ascii="Times New Roman" w:hAnsi="Times New Roman" w:eastAsia="Times New Roman" w:cs="Times New Roman"/>
              <w:b/>
              <w:bCs/>
              <w:spacing w:val="4"/>
              <w:sz w:val="20"/>
              <w:szCs w:val="20"/>
            </w:rPr>
            <w:t>10</w:t>
          </w:r>
          <w:r>
            <w:rPr>
              <w:rFonts w:ascii="Times New Roman" w:hAnsi="Times New Roman" w:eastAsia="Times New Roman" w:cs="Times New Roman"/>
              <w:b/>
              <w:bCs/>
              <w:spacing w:val="17"/>
              <w:sz w:val="20"/>
              <w:szCs w:val="20"/>
            </w:rPr>
            <w:t xml:space="preserve"> </w:t>
          </w:r>
          <w:r>
            <w:rPr>
              <w:rFonts w:ascii="宋体" w:hAnsi="宋体" w:eastAsia="宋体" w:cs="宋体"/>
              <w:b/>
              <w:bCs/>
              <w:spacing w:val="4"/>
              <w:sz w:val="20"/>
              <w:szCs w:val="20"/>
            </w:rPr>
            <w:t>章</w:t>
          </w:r>
          <w:r>
            <w:rPr>
              <w:rFonts w:ascii="宋体" w:hAnsi="宋体" w:eastAsia="宋体" w:cs="宋体"/>
              <w:spacing w:val="4"/>
              <w:sz w:val="20"/>
              <w:szCs w:val="20"/>
            </w:rPr>
            <w:t xml:space="preserve">  </w:t>
          </w:r>
          <w:r>
            <w:rPr>
              <w:rFonts w:ascii="宋体" w:hAnsi="宋体" w:eastAsia="宋体" w:cs="宋体"/>
              <w:b/>
              <w:bCs/>
              <w:spacing w:val="4"/>
              <w:sz w:val="20"/>
              <w:szCs w:val="20"/>
            </w:rPr>
            <w:t>环境影响评价结论</w:t>
          </w:r>
          <w:r>
            <w:rPr>
              <w:rFonts w:ascii="宋体" w:hAnsi="宋体" w:eastAsia="宋体" w:cs="宋体"/>
              <w:spacing w:val="-62"/>
              <w:sz w:val="20"/>
              <w:szCs w:val="20"/>
            </w:rPr>
            <w:t xml:space="preserve"> </w:t>
          </w:r>
          <w:r>
            <w:rPr>
              <w:rFonts w:ascii="宋体" w:hAnsi="宋体" w:eastAsia="宋体" w:cs="宋体"/>
              <w:sz w:val="20"/>
              <w:szCs w:val="20"/>
            </w:rPr>
            <w:tab/>
          </w:r>
          <w:r>
            <w:rPr>
              <w:rFonts w:ascii="宋体" w:hAnsi="宋体" w:eastAsia="宋体" w:cs="宋体"/>
              <w:spacing w:val="-69"/>
              <w:sz w:val="20"/>
              <w:szCs w:val="20"/>
            </w:rPr>
            <w:t xml:space="preserve"> </w:t>
          </w:r>
          <w:r>
            <w:rPr>
              <w:rFonts w:ascii="Times New Roman" w:hAnsi="Times New Roman" w:eastAsia="Times New Roman" w:cs="Times New Roman"/>
              <w:b/>
              <w:bCs/>
              <w:spacing w:val="3"/>
              <w:sz w:val="20"/>
              <w:szCs w:val="20"/>
            </w:rPr>
            <w:t>288</w:t>
          </w:r>
          <w:r>
            <w:rPr>
              <w:rFonts w:ascii="Times New Roman" w:hAnsi="Times New Roman" w:eastAsia="Times New Roman" w:cs="Times New Roman"/>
              <w:b/>
              <w:bCs/>
              <w:spacing w:val="3"/>
              <w:sz w:val="20"/>
              <w:szCs w:val="20"/>
            </w:rPr>
            <w:fldChar w:fldCharType="end"/>
          </w:r>
        </w:p>
        <w:p w14:paraId="1E6C0701">
          <w:pPr>
            <w:tabs>
              <w:tab w:val="right" w:leader="dot" w:pos="8720"/>
            </w:tabs>
            <w:spacing w:before="61" w:line="193" w:lineRule="auto"/>
            <w:ind w:left="445"/>
            <w:rPr>
              <w:rFonts w:ascii="Times New Roman" w:hAnsi="Times New Roman" w:eastAsia="Times New Roman" w:cs="Times New Roman"/>
              <w:sz w:val="20"/>
              <w:szCs w:val="20"/>
            </w:rPr>
          </w:pPr>
          <w:bookmarkStart w:id="232" w:name="bookmark465"/>
          <w:bookmarkEnd w:id="232"/>
          <w:r>
            <w:fldChar w:fldCharType="begin"/>
          </w:r>
          <w:r>
            <w:instrText xml:space="preserve"> HYPERLINK \l "bookmark466" </w:instrText>
          </w:r>
          <w:r>
            <w:fldChar w:fldCharType="separate"/>
          </w:r>
          <w:r>
            <w:rPr>
              <w:rFonts w:ascii="Times New Roman" w:hAnsi="Times New Roman" w:eastAsia="Times New Roman" w:cs="Times New Roman"/>
              <w:spacing w:val="2"/>
              <w:sz w:val="20"/>
              <w:szCs w:val="20"/>
            </w:rPr>
            <w:t>10.1</w:t>
          </w:r>
          <w:r>
            <w:rPr>
              <w:rFonts w:ascii="Times New Roman" w:hAnsi="Times New Roman" w:eastAsia="Times New Roman" w:cs="Times New Roman"/>
              <w:spacing w:val="16"/>
              <w:sz w:val="20"/>
              <w:szCs w:val="20"/>
            </w:rPr>
            <w:t xml:space="preserve"> </w:t>
          </w:r>
          <w:r>
            <w:rPr>
              <w:rFonts w:ascii="宋体" w:hAnsi="宋体" w:eastAsia="宋体" w:cs="宋体"/>
              <w:spacing w:val="2"/>
              <w:sz w:val="20"/>
              <w:szCs w:val="20"/>
            </w:rPr>
            <w:t>项目概况</w:t>
          </w:r>
          <w:r>
            <w:rPr>
              <w:rFonts w:ascii="宋体" w:hAnsi="宋体" w:eastAsia="宋体" w:cs="宋体"/>
              <w:spacing w:val="-59"/>
              <w:sz w:val="20"/>
              <w:szCs w:val="20"/>
            </w:rPr>
            <w:t xml:space="preserve"> </w:t>
          </w:r>
          <w:r>
            <w:rPr>
              <w:rFonts w:ascii="宋体" w:hAnsi="宋体" w:eastAsia="宋体" w:cs="宋体"/>
              <w:sz w:val="20"/>
              <w:szCs w:val="20"/>
            </w:rPr>
            <w:tab/>
          </w:r>
          <w:r>
            <w:rPr>
              <w:rFonts w:ascii="宋体" w:hAnsi="宋体" w:eastAsia="宋体" w:cs="宋体"/>
              <w:spacing w:val="-50"/>
              <w:sz w:val="20"/>
              <w:szCs w:val="20"/>
            </w:rPr>
            <w:t xml:space="preserve"> </w:t>
          </w:r>
          <w:r>
            <w:rPr>
              <w:rFonts w:ascii="Times New Roman" w:hAnsi="Times New Roman" w:eastAsia="Times New Roman" w:cs="Times New Roman"/>
              <w:spacing w:val="3"/>
              <w:sz w:val="20"/>
              <w:szCs w:val="20"/>
            </w:rPr>
            <w:t>288</w:t>
          </w:r>
          <w:r>
            <w:rPr>
              <w:rFonts w:ascii="Times New Roman" w:hAnsi="Times New Roman" w:eastAsia="Times New Roman" w:cs="Times New Roman"/>
              <w:spacing w:val="3"/>
              <w:sz w:val="20"/>
              <w:szCs w:val="20"/>
            </w:rPr>
            <w:fldChar w:fldCharType="end"/>
          </w:r>
        </w:p>
        <w:p w14:paraId="702C129A">
          <w:pPr>
            <w:tabs>
              <w:tab w:val="right" w:leader="dot" w:pos="8720"/>
            </w:tabs>
            <w:spacing w:before="65" w:line="194" w:lineRule="auto"/>
            <w:ind w:left="445"/>
            <w:rPr>
              <w:rFonts w:ascii="Times New Roman" w:hAnsi="Times New Roman" w:eastAsia="Times New Roman" w:cs="Times New Roman"/>
              <w:sz w:val="20"/>
              <w:szCs w:val="20"/>
            </w:rPr>
          </w:pPr>
          <w:bookmarkStart w:id="233" w:name="bookmark467"/>
          <w:bookmarkEnd w:id="233"/>
          <w:r>
            <w:fldChar w:fldCharType="begin"/>
          </w:r>
          <w:r>
            <w:instrText xml:space="preserve"> HYPERLINK \l "bookmark468" </w:instrText>
          </w:r>
          <w:r>
            <w:fldChar w:fldCharType="separate"/>
          </w:r>
          <w:r>
            <w:rPr>
              <w:rFonts w:ascii="Times New Roman" w:hAnsi="Times New Roman" w:eastAsia="Times New Roman" w:cs="Times New Roman"/>
              <w:spacing w:val="4"/>
              <w:sz w:val="20"/>
              <w:szCs w:val="20"/>
            </w:rPr>
            <w:t xml:space="preserve">10.2 </w:t>
          </w:r>
          <w:r>
            <w:rPr>
              <w:rFonts w:ascii="宋体" w:hAnsi="宋体" w:eastAsia="宋体" w:cs="宋体"/>
              <w:spacing w:val="4"/>
              <w:sz w:val="20"/>
              <w:szCs w:val="20"/>
            </w:rPr>
            <w:t>符合性分析</w:t>
          </w:r>
          <w:r>
            <w:rPr>
              <w:rFonts w:ascii="宋体" w:hAnsi="宋体" w:eastAsia="宋体" w:cs="宋体"/>
              <w:spacing w:val="-56"/>
              <w:sz w:val="20"/>
              <w:szCs w:val="20"/>
            </w:rPr>
            <w:t xml:space="preserve"> </w:t>
          </w:r>
          <w:r>
            <w:rPr>
              <w:rFonts w:ascii="宋体" w:hAnsi="宋体" w:eastAsia="宋体" w:cs="宋体"/>
              <w:sz w:val="20"/>
              <w:szCs w:val="20"/>
            </w:rPr>
            <w:tab/>
          </w:r>
          <w:r>
            <w:rPr>
              <w:rFonts w:ascii="宋体" w:hAnsi="宋体" w:eastAsia="宋体" w:cs="宋体"/>
              <w:spacing w:val="-53"/>
              <w:sz w:val="20"/>
              <w:szCs w:val="20"/>
            </w:rPr>
            <w:t xml:space="preserve"> </w:t>
          </w:r>
          <w:r>
            <w:rPr>
              <w:rFonts w:ascii="Times New Roman" w:hAnsi="Times New Roman" w:eastAsia="Times New Roman" w:cs="Times New Roman"/>
              <w:spacing w:val="3"/>
              <w:sz w:val="20"/>
              <w:szCs w:val="20"/>
            </w:rPr>
            <w:t>288</w:t>
          </w:r>
          <w:r>
            <w:rPr>
              <w:rFonts w:ascii="Times New Roman" w:hAnsi="Times New Roman" w:eastAsia="Times New Roman" w:cs="Times New Roman"/>
              <w:spacing w:val="3"/>
              <w:sz w:val="20"/>
              <w:szCs w:val="20"/>
            </w:rPr>
            <w:fldChar w:fldCharType="end"/>
          </w:r>
        </w:p>
        <w:p w14:paraId="0F400B18">
          <w:pPr>
            <w:tabs>
              <w:tab w:val="right" w:leader="dot" w:pos="8720"/>
            </w:tabs>
            <w:spacing w:before="63" w:line="193" w:lineRule="auto"/>
            <w:ind w:left="445"/>
            <w:rPr>
              <w:rFonts w:ascii="Times New Roman" w:hAnsi="Times New Roman" w:eastAsia="Times New Roman" w:cs="Times New Roman"/>
              <w:sz w:val="20"/>
              <w:szCs w:val="20"/>
            </w:rPr>
          </w:pPr>
          <w:bookmarkStart w:id="234" w:name="bookmark469"/>
          <w:bookmarkEnd w:id="234"/>
          <w:r>
            <w:fldChar w:fldCharType="begin"/>
          </w:r>
          <w:r>
            <w:instrText xml:space="preserve"> HYPERLINK \l "bookmark470" </w:instrText>
          </w:r>
          <w:r>
            <w:fldChar w:fldCharType="separate"/>
          </w:r>
          <w:r>
            <w:rPr>
              <w:rFonts w:ascii="Times New Roman" w:hAnsi="Times New Roman" w:eastAsia="Times New Roman" w:cs="Times New Roman"/>
              <w:spacing w:val="4"/>
              <w:sz w:val="20"/>
              <w:szCs w:val="20"/>
            </w:rPr>
            <w:t xml:space="preserve">10.3 </w:t>
          </w:r>
          <w:r>
            <w:rPr>
              <w:rFonts w:ascii="宋体" w:hAnsi="宋体" w:eastAsia="宋体" w:cs="宋体"/>
              <w:spacing w:val="4"/>
              <w:sz w:val="20"/>
              <w:szCs w:val="20"/>
            </w:rPr>
            <w:t>环境质量现状</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288</w:t>
          </w:r>
          <w:r>
            <w:rPr>
              <w:rFonts w:ascii="Times New Roman" w:hAnsi="Times New Roman" w:eastAsia="Times New Roman" w:cs="Times New Roman"/>
              <w:spacing w:val="3"/>
              <w:sz w:val="20"/>
              <w:szCs w:val="20"/>
            </w:rPr>
            <w:fldChar w:fldCharType="end"/>
          </w:r>
        </w:p>
        <w:p w14:paraId="4690BAD8">
          <w:pPr>
            <w:tabs>
              <w:tab w:val="right" w:leader="dot" w:pos="8720"/>
            </w:tabs>
            <w:spacing w:before="62" w:line="193" w:lineRule="auto"/>
            <w:ind w:left="445"/>
            <w:rPr>
              <w:rFonts w:ascii="Times New Roman" w:hAnsi="Times New Roman" w:eastAsia="Times New Roman" w:cs="Times New Roman"/>
              <w:sz w:val="20"/>
              <w:szCs w:val="20"/>
            </w:rPr>
          </w:pPr>
          <w:bookmarkStart w:id="235" w:name="bookmark471"/>
          <w:bookmarkEnd w:id="235"/>
          <w:r>
            <w:fldChar w:fldCharType="begin"/>
          </w:r>
          <w:r>
            <w:instrText xml:space="preserve"> HYPERLINK \l "bookmark472" </w:instrText>
          </w:r>
          <w:r>
            <w:fldChar w:fldCharType="separate"/>
          </w:r>
          <w:r>
            <w:rPr>
              <w:rFonts w:ascii="Times New Roman" w:hAnsi="Times New Roman" w:eastAsia="Times New Roman" w:cs="Times New Roman"/>
              <w:spacing w:val="6"/>
              <w:sz w:val="20"/>
              <w:szCs w:val="20"/>
            </w:rPr>
            <w:t xml:space="preserve">10.4 </w:t>
          </w:r>
          <w:r>
            <w:rPr>
              <w:rFonts w:ascii="宋体" w:hAnsi="宋体" w:eastAsia="宋体" w:cs="宋体"/>
              <w:spacing w:val="6"/>
              <w:sz w:val="20"/>
              <w:szCs w:val="20"/>
            </w:rPr>
            <w:t>环境影响分析与评价</w:t>
          </w:r>
          <w:r>
            <w:rPr>
              <w:rFonts w:ascii="宋体" w:hAnsi="宋体" w:eastAsia="宋体" w:cs="宋体"/>
              <w:spacing w:val="-59"/>
              <w:sz w:val="20"/>
              <w:szCs w:val="20"/>
            </w:rPr>
            <w:t xml:space="preserve"> </w:t>
          </w:r>
          <w:r>
            <w:rPr>
              <w:rFonts w:ascii="宋体" w:hAnsi="宋体" w:eastAsia="宋体" w:cs="宋体"/>
              <w:sz w:val="20"/>
              <w:szCs w:val="20"/>
            </w:rPr>
            <w:tab/>
          </w:r>
          <w:r>
            <w:rPr>
              <w:rFonts w:ascii="宋体" w:hAnsi="宋体" w:eastAsia="宋体" w:cs="宋体"/>
              <w:spacing w:val="-61"/>
              <w:sz w:val="20"/>
              <w:szCs w:val="20"/>
            </w:rPr>
            <w:t xml:space="preserve"> </w:t>
          </w:r>
          <w:r>
            <w:rPr>
              <w:rFonts w:ascii="Times New Roman" w:hAnsi="Times New Roman" w:eastAsia="Times New Roman" w:cs="Times New Roman"/>
              <w:spacing w:val="3"/>
              <w:sz w:val="20"/>
              <w:szCs w:val="20"/>
            </w:rPr>
            <w:t>289</w:t>
          </w:r>
          <w:r>
            <w:rPr>
              <w:rFonts w:ascii="Times New Roman" w:hAnsi="Times New Roman" w:eastAsia="Times New Roman" w:cs="Times New Roman"/>
              <w:spacing w:val="3"/>
              <w:sz w:val="20"/>
              <w:szCs w:val="20"/>
            </w:rPr>
            <w:fldChar w:fldCharType="end"/>
          </w:r>
        </w:p>
        <w:p w14:paraId="4F7066E9">
          <w:pPr>
            <w:tabs>
              <w:tab w:val="right" w:leader="dot" w:pos="8720"/>
            </w:tabs>
            <w:spacing w:before="62" w:line="194" w:lineRule="auto"/>
            <w:ind w:left="445"/>
            <w:rPr>
              <w:rFonts w:ascii="Times New Roman" w:hAnsi="Times New Roman" w:eastAsia="Times New Roman" w:cs="Times New Roman"/>
              <w:sz w:val="20"/>
              <w:szCs w:val="20"/>
            </w:rPr>
          </w:pPr>
          <w:bookmarkStart w:id="236" w:name="bookmark473"/>
          <w:bookmarkEnd w:id="236"/>
          <w:r>
            <w:fldChar w:fldCharType="begin"/>
          </w:r>
          <w:r>
            <w:instrText xml:space="preserve"> HYPERLINK \l "bookmark474" </w:instrText>
          </w:r>
          <w:r>
            <w:fldChar w:fldCharType="separate"/>
          </w:r>
          <w:r>
            <w:rPr>
              <w:rFonts w:ascii="Times New Roman" w:hAnsi="Times New Roman" w:eastAsia="Times New Roman" w:cs="Times New Roman"/>
              <w:spacing w:val="6"/>
              <w:sz w:val="20"/>
              <w:szCs w:val="20"/>
            </w:rPr>
            <w:t xml:space="preserve">10.5 </w:t>
          </w:r>
          <w:r>
            <w:rPr>
              <w:rFonts w:ascii="宋体" w:hAnsi="宋体" w:eastAsia="宋体" w:cs="宋体"/>
              <w:spacing w:val="6"/>
              <w:sz w:val="20"/>
              <w:szCs w:val="20"/>
            </w:rPr>
            <w:t>污染防治措施及达标分析</w:t>
          </w:r>
          <w:r>
            <w:rPr>
              <w:rFonts w:ascii="宋体" w:hAnsi="宋体" w:eastAsia="宋体" w:cs="宋体"/>
              <w:spacing w:val="-52"/>
              <w:sz w:val="20"/>
              <w:szCs w:val="20"/>
            </w:rPr>
            <w:t xml:space="preserve"> </w:t>
          </w:r>
          <w:r>
            <w:rPr>
              <w:rFonts w:ascii="宋体" w:hAnsi="宋体" w:eastAsia="宋体" w:cs="宋体"/>
              <w:sz w:val="20"/>
              <w:szCs w:val="20"/>
            </w:rPr>
            <w:tab/>
          </w:r>
          <w:r>
            <w:rPr>
              <w:rFonts w:ascii="宋体" w:hAnsi="宋体" w:eastAsia="宋体" w:cs="宋体"/>
              <w:spacing w:val="-65"/>
              <w:sz w:val="20"/>
              <w:szCs w:val="20"/>
            </w:rPr>
            <w:t xml:space="preserve"> </w:t>
          </w:r>
          <w:r>
            <w:rPr>
              <w:rFonts w:ascii="Times New Roman" w:hAnsi="Times New Roman" w:eastAsia="Times New Roman" w:cs="Times New Roman"/>
              <w:spacing w:val="3"/>
              <w:sz w:val="20"/>
              <w:szCs w:val="20"/>
            </w:rPr>
            <w:t>291</w:t>
          </w:r>
          <w:r>
            <w:rPr>
              <w:rFonts w:ascii="Times New Roman" w:hAnsi="Times New Roman" w:eastAsia="Times New Roman" w:cs="Times New Roman"/>
              <w:spacing w:val="3"/>
              <w:sz w:val="20"/>
              <w:szCs w:val="20"/>
            </w:rPr>
            <w:fldChar w:fldCharType="end"/>
          </w:r>
        </w:p>
        <w:p w14:paraId="6738B4A8">
          <w:pPr>
            <w:tabs>
              <w:tab w:val="right" w:leader="dot" w:pos="8720"/>
            </w:tabs>
            <w:spacing w:before="64" w:line="193" w:lineRule="auto"/>
            <w:ind w:left="445"/>
            <w:rPr>
              <w:rFonts w:ascii="Times New Roman" w:hAnsi="Times New Roman" w:eastAsia="Times New Roman" w:cs="Times New Roman"/>
              <w:sz w:val="20"/>
              <w:szCs w:val="20"/>
            </w:rPr>
          </w:pPr>
          <w:bookmarkStart w:id="237" w:name="bookmark475"/>
          <w:bookmarkEnd w:id="237"/>
          <w:r>
            <w:fldChar w:fldCharType="begin"/>
          </w:r>
          <w:r>
            <w:instrText xml:space="preserve"> HYPERLINK \l "bookmark476" </w:instrText>
          </w:r>
          <w:r>
            <w:fldChar w:fldCharType="separate"/>
          </w:r>
          <w:r>
            <w:rPr>
              <w:rFonts w:ascii="Times New Roman" w:hAnsi="Times New Roman" w:eastAsia="Times New Roman" w:cs="Times New Roman"/>
              <w:spacing w:val="4"/>
              <w:sz w:val="20"/>
              <w:szCs w:val="20"/>
            </w:rPr>
            <w:t xml:space="preserve">10.6 </w:t>
          </w:r>
          <w:r>
            <w:rPr>
              <w:rFonts w:ascii="宋体" w:hAnsi="宋体" w:eastAsia="宋体" w:cs="宋体"/>
              <w:spacing w:val="4"/>
              <w:sz w:val="20"/>
              <w:szCs w:val="20"/>
            </w:rPr>
            <w:t>环境风险评价</w:t>
          </w:r>
          <w:r>
            <w:rPr>
              <w:rFonts w:ascii="宋体" w:hAnsi="宋体" w:eastAsia="宋体" w:cs="宋体"/>
              <w:spacing w:val="-51"/>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293</w:t>
          </w:r>
          <w:r>
            <w:rPr>
              <w:rFonts w:ascii="Times New Roman" w:hAnsi="Times New Roman" w:eastAsia="Times New Roman" w:cs="Times New Roman"/>
              <w:spacing w:val="3"/>
              <w:sz w:val="20"/>
              <w:szCs w:val="20"/>
            </w:rPr>
            <w:fldChar w:fldCharType="end"/>
          </w:r>
        </w:p>
        <w:p w14:paraId="1B299F69">
          <w:pPr>
            <w:tabs>
              <w:tab w:val="right" w:leader="dot" w:pos="8720"/>
            </w:tabs>
            <w:spacing w:before="62" w:line="193" w:lineRule="auto"/>
            <w:ind w:left="445"/>
            <w:rPr>
              <w:rFonts w:ascii="Times New Roman" w:hAnsi="Times New Roman" w:eastAsia="Times New Roman" w:cs="Times New Roman"/>
              <w:sz w:val="20"/>
              <w:szCs w:val="20"/>
            </w:rPr>
          </w:pPr>
          <w:bookmarkStart w:id="238" w:name="bookmark477"/>
          <w:bookmarkEnd w:id="238"/>
          <w:r>
            <w:fldChar w:fldCharType="begin"/>
          </w:r>
          <w:r>
            <w:instrText xml:space="preserve"> HYPERLINK \l "bookmark478" </w:instrText>
          </w:r>
          <w:r>
            <w:fldChar w:fldCharType="separate"/>
          </w:r>
          <w:r>
            <w:rPr>
              <w:rFonts w:ascii="Times New Roman" w:hAnsi="Times New Roman" w:eastAsia="Times New Roman" w:cs="Times New Roman"/>
              <w:spacing w:val="2"/>
              <w:sz w:val="20"/>
              <w:szCs w:val="20"/>
            </w:rPr>
            <w:t>10.7</w:t>
          </w:r>
          <w:r>
            <w:rPr>
              <w:rFonts w:ascii="Times New Roman" w:hAnsi="Times New Roman" w:eastAsia="Times New Roman" w:cs="Times New Roman"/>
              <w:spacing w:val="16"/>
              <w:sz w:val="20"/>
              <w:szCs w:val="20"/>
            </w:rPr>
            <w:t xml:space="preserve"> </w:t>
          </w:r>
          <w:r>
            <w:rPr>
              <w:rFonts w:ascii="宋体" w:hAnsi="宋体" w:eastAsia="宋体" w:cs="宋体"/>
              <w:spacing w:val="2"/>
              <w:sz w:val="20"/>
              <w:szCs w:val="20"/>
            </w:rPr>
            <w:t>总量控制</w:t>
          </w:r>
          <w:r>
            <w:rPr>
              <w:rFonts w:ascii="宋体" w:hAnsi="宋体" w:eastAsia="宋体" w:cs="宋体"/>
              <w:spacing w:val="-59"/>
              <w:sz w:val="20"/>
              <w:szCs w:val="20"/>
            </w:rPr>
            <w:t xml:space="preserve"> </w:t>
          </w:r>
          <w:r>
            <w:rPr>
              <w:rFonts w:ascii="宋体" w:hAnsi="宋体" w:eastAsia="宋体" w:cs="宋体"/>
              <w:sz w:val="20"/>
              <w:szCs w:val="20"/>
            </w:rPr>
            <w:tab/>
          </w:r>
          <w:r>
            <w:rPr>
              <w:rFonts w:ascii="宋体" w:hAnsi="宋体" w:eastAsia="宋体" w:cs="宋体"/>
              <w:spacing w:val="-50"/>
              <w:sz w:val="20"/>
              <w:szCs w:val="20"/>
            </w:rPr>
            <w:t xml:space="preserve"> </w:t>
          </w:r>
          <w:r>
            <w:rPr>
              <w:rFonts w:ascii="Times New Roman" w:hAnsi="Times New Roman" w:eastAsia="Times New Roman" w:cs="Times New Roman"/>
              <w:spacing w:val="3"/>
              <w:sz w:val="20"/>
              <w:szCs w:val="20"/>
            </w:rPr>
            <w:t>293</w:t>
          </w:r>
          <w:r>
            <w:rPr>
              <w:rFonts w:ascii="Times New Roman" w:hAnsi="Times New Roman" w:eastAsia="Times New Roman" w:cs="Times New Roman"/>
              <w:spacing w:val="3"/>
              <w:sz w:val="20"/>
              <w:szCs w:val="20"/>
            </w:rPr>
            <w:fldChar w:fldCharType="end"/>
          </w:r>
        </w:p>
        <w:p w14:paraId="4109F27C">
          <w:pPr>
            <w:tabs>
              <w:tab w:val="right" w:leader="dot" w:pos="8720"/>
            </w:tabs>
            <w:spacing w:before="65" w:line="194" w:lineRule="auto"/>
            <w:ind w:left="445"/>
            <w:rPr>
              <w:rFonts w:ascii="Times New Roman" w:hAnsi="Times New Roman" w:eastAsia="Times New Roman" w:cs="Times New Roman"/>
              <w:sz w:val="20"/>
              <w:szCs w:val="20"/>
            </w:rPr>
          </w:pPr>
          <w:bookmarkStart w:id="239" w:name="bookmark479"/>
          <w:bookmarkEnd w:id="239"/>
          <w:r>
            <w:fldChar w:fldCharType="begin"/>
          </w:r>
          <w:r>
            <w:instrText xml:space="preserve"> HYPERLINK \l "bookmark480" </w:instrText>
          </w:r>
          <w:r>
            <w:fldChar w:fldCharType="separate"/>
          </w:r>
          <w:r>
            <w:rPr>
              <w:rFonts w:ascii="Times New Roman" w:hAnsi="Times New Roman" w:eastAsia="Times New Roman" w:cs="Times New Roman"/>
              <w:spacing w:val="4"/>
              <w:sz w:val="20"/>
              <w:szCs w:val="20"/>
            </w:rPr>
            <w:t xml:space="preserve">10.8 </w:t>
          </w:r>
          <w:r>
            <w:rPr>
              <w:rFonts w:ascii="宋体" w:hAnsi="宋体" w:eastAsia="宋体" w:cs="宋体"/>
              <w:spacing w:val="4"/>
              <w:sz w:val="20"/>
              <w:szCs w:val="20"/>
            </w:rPr>
            <w:t>碳排放评价</w:t>
          </w:r>
          <w:r>
            <w:rPr>
              <w:rFonts w:ascii="宋体" w:hAnsi="宋体" w:eastAsia="宋体" w:cs="宋体"/>
              <w:spacing w:val="-56"/>
              <w:sz w:val="20"/>
              <w:szCs w:val="20"/>
            </w:rPr>
            <w:t xml:space="preserve"> </w:t>
          </w:r>
          <w:r>
            <w:rPr>
              <w:rFonts w:ascii="宋体" w:hAnsi="宋体" w:eastAsia="宋体" w:cs="宋体"/>
              <w:sz w:val="20"/>
              <w:szCs w:val="20"/>
            </w:rPr>
            <w:tab/>
          </w:r>
          <w:r>
            <w:rPr>
              <w:rFonts w:ascii="宋体" w:hAnsi="宋体" w:eastAsia="宋体" w:cs="宋体"/>
              <w:spacing w:val="-53"/>
              <w:sz w:val="20"/>
              <w:szCs w:val="20"/>
            </w:rPr>
            <w:t xml:space="preserve"> </w:t>
          </w:r>
          <w:r>
            <w:rPr>
              <w:rFonts w:ascii="Times New Roman" w:hAnsi="Times New Roman" w:eastAsia="Times New Roman" w:cs="Times New Roman"/>
              <w:spacing w:val="3"/>
              <w:sz w:val="20"/>
              <w:szCs w:val="20"/>
            </w:rPr>
            <w:t>293</w:t>
          </w:r>
          <w:r>
            <w:rPr>
              <w:rFonts w:ascii="Times New Roman" w:hAnsi="Times New Roman" w:eastAsia="Times New Roman" w:cs="Times New Roman"/>
              <w:spacing w:val="3"/>
              <w:sz w:val="20"/>
              <w:szCs w:val="20"/>
            </w:rPr>
            <w:fldChar w:fldCharType="end"/>
          </w:r>
        </w:p>
        <w:p w14:paraId="5B32D391">
          <w:pPr>
            <w:tabs>
              <w:tab w:val="right" w:leader="dot" w:pos="8720"/>
            </w:tabs>
            <w:spacing w:before="61" w:line="193" w:lineRule="auto"/>
            <w:ind w:left="445"/>
            <w:rPr>
              <w:rFonts w:ascii="Times New Roman" w:hAnsi="Times New Roman" w:eastAsia="Times New Roman" w:cs="Times New Roman"/>
              <w:sz w:val="20"/>
              <w:szCs w:val="20"/>
            </w:rPr>
          </w:pPr>
          <w:bookmarkStart w:id="240" w:name="bookmark481"/>
          <w:bookmarkEnd w:id="240"/>
          <w:r>
            <w:fldChar w:fldCharType="begin"/>
          </w:r>
          <w:r>
            <w:instrText xml:space="preserve"> HYPERLINK \l "bookmark482" </w:instrText>
          </w:r>
          <w:r>
            <w:fldChar w:fldCharType="separate"/>
          </w:r>
          <w:r>
            <w:rPr>
              <w:rFonts w:ascii="Times New Roman" w:hAnsi="Times New Roman" w:eastAsia="Times New Roman" w:cs="Times New Roman"/>
              <w:spacing w:val="2"/>
              <w:sz w:val="20"/>
              <w:szCs w:val="20"/>
            </w:rPr>
            <w:t>10.9</w:t>
          </w:r>
          <w:r>
            <w:rPr>
              <w:rFonts w:ascii="Times New Roman" w:hAnsi="Times New Roman" w:eastAsia="Times New Roman" w:cs="Times New Roman"/>
              <w:spacing w:val="16"/>
              <w:sz w:val="20"/>
              <w:szCs w:val="20"/>
            </w:rPr>
            <w:t xml:space="preserve"> </w:t>
          </w:r>
          <w:r>
            <w:rPr>
              <w:rFonts w:ascii="宋体" w:hAnsi="宋体" w:eastAsia="宋体" w:cs="宋体"/>
              <w:spacing w:val="2"/>
              <w:sz w:val="20"/>
              <w:szCs w:val="20"/>
            </w:rPr>
            <w:t>公众参与</w:t>
          </w:r>
          <w:r>
            <w:rPr>
              <w:rFonts w:ascii="宋体" w:hAnsi="宋体" w:eastAsia="宋体" w:cs="宋体"/>
              <w:spacing w:val="-59"/>
              <w:sz w:val="20"/>
              <w:szCs w:val="20"/>
            </w:rPr>
            <w:t xml:space="preserve"> </w:t>
          </w:r>
          <w:r>
            <w:rPr>
              <w:rFonts w:ascii="宋体" w:hAnsi="宋体" w:eastAsia="宋体" w:cs="宋体"/>
              <w:sz w:val="20"/>
              <w:szCs w:val="20"/>
            </w:rPr>
            <w:tab/>
          </w:r>
          <w:r>
            <w:rPr>
              <w:rFonts w:ascii="宋体" w:hAnsi="宋体" w:eastAsia="宋体" w:cs="宋体"/>
              <w:spacing w:val="-50"/>
              <w:sz w:val="20"/>
              <w:szCs w:val="20"/>
            </w:rPr>
            <w:t xml:space="preserve"> </w:t>
          </w:r>
          <w:r>
            <w:rPr>
              <w:rFonts w:ascii="Times New Roman" w:hAnsi="Times New Roman" w:eastAsia="Times New Roman" w:cs="Times New Roman"/>
              <w:spacing w:val="3"/>
              <w:sz w:val="20"/>
              <w:szCs w:val="20"/>
            </w:rPr>
            <w:t>293</w:t>
          </w:r>
          <w:r>
            <w:rPr>
              <w:rFonts w:ascii="Times New Roman" w:hAnsi="Times New Roman" w:eastAsia="Times New Roman" w:cs="Times New Roman"/>
              <w:spacing w:val="3"/>
              <w:sz w:val="20"/>
              <w:szCs w:val="20"/>
            </w:rPr>
            <w:fldChar w:fldCharType="end"/>
          </w:r>
        </w:p>
        <w:p w14:paraId="4701FFC2">
          <w:pPr>
            <w:tabs>
              <w:tab w:val="right" w:leader="dot" w:pos="8720"/>
            </w:tabs>
            <w:spacing w:before="65" w:line="226" w:lineRule="auto"/>
            <w:ind w:left="445"/>
            <w:rPr>
              <w:rFonts w:ascii="Times New Roman" w:hAnsi="Times New Roman" w:eastAsia="Times New Roman" w:cs="Times New Roman"/>
              <w:sz w:val="20"/>
              <w:szCs w:val="20"/>
            </w:rPr>
          </w:pPr>
          <w:bookmarkStart w:id="241" w:name="bookmark483"/>
          <w:bookmarkEnd w:id="241"/>
          <w:r>
            <w:fldChar w:fldCharType="begin"/>
          </w:r>
          <w:r>
            <w:instrText xml:space="preserve"> HYPERLINK \l "bookmark484" </w:instrText>
          </w:r>
          <w:r>
            <w:fldChar w:fldCharType="separate"/>
          </w:r>
          <w:r>
            <w:rPr>
              <w:rFonts w:ascii="Times New Roman" w:hAnsi="Times New Roman" w:eastAsia="Times New Roman" w:cs="Times New Roman"/>
              <w:spacing w:val="4"/>
              <w:sz w:val="20"/>
              <w:szCs w:val="20"/>
            </w:rPr>
            <w:t xml:space="preserve">10.10 </w:t>
          </w:r>
          <w:r>
            <w:rPr>
              <w:rFonts w:ascii="宋体" w:hAnsi="宋体" w:eastAsia="宋体" w:cs="宋体"/>
              <w:spacing w:val="4"/>
              <w:sz w:val="20"/>
              <w:szCs w:val="20"/>
            </w:rPr>
            <w:t>评价总结论</w:t>
          </w:r>
          <w:r>
            <w:rPr>
              <w:rFonts w:ascii="宋体" w:hAnsi="宋体" w:eastAsia="宋体" w:cs="宋体"/>
              <w:spacing w:val="-54"/>
              <w:sz w:val="20"/>
              <w:szCs w:val="20"/>
            </w:rPr>
            <w:t xml:space="preserve"> </w:t>
          </w:r>
          <w:r>
            <w:rPr>
              <w:rFonts w:ascii="宋体" w:hAnsi="宋体" w:eastAsia="宋体" w:cs="宋体"/>
              <w:sz w:val="20"/>
              <w:szCs w:val="20"/>
            </w:rPr>
            <w:tab/>
          </w:r>
          <w:r>
            <w:rPr>
              <w:rFonts w:ascii="宋体" w:hAnsi="宋体" w:eastAsia="宋体" w:cs="宋体"/>
              <w:spacing w:val="-54"/>
              <w:sz w:val="20"/>
              <w:szCs w:val="20"/>
            </w:rPr>
            <w:t xml:space="preserve"> </w:t>
          </w:r>
          <w:r>
            <w:rPr>
              <w:rFonts w:ascii="Times New Roman" w:hAnsi="Times New Roman" w:eastAsia="Times New Roman" w:cs="Times New Roman"/>
              <w:spacing w:val="3"/>
              <w:sz w:val="20"/>
              <w:szCs w:val="20"/>
            </w:rPr>
            <w:t>293</w:t>
          </w:r>
          <w:r>
            <w:rPr>
              <w:rFonts w:ascii="Times New Roman" w:hAnsi="Times New Roman" w:eastAsia="Times New Roman" w:cs="Times New Roman"/>
              <w:spacing w:val="3"/>
              <w:sz w:val="20"/>
              <w:szCs w:val="20"/>
            </w:rPr>
            <w:fldChar w:fldCharType="end"/>
          </w:r>
        </w:p>
        <w:p w14:paraId="1739872A">
          <w:pPr>
            <w:spacing w:before="272" w:line="219" w:lineRule="auto"/>
            <w:ind w:left="28"/>
            <w:rPr>
              <w:rFonts w:ascii="宋体" w:hAnsi="宋体" w:eastAsia="宋体" w:cs="宋体"/>
              <w:sz w:val="24"/>
              <w:szCs w:val="24"/>
            </w:rPr>
          </w:pPr>
          <w:bookmarkStart w:id="242" w:name="bookmark485"/>
          <w:bookmarkEnd w:id="242"/>
          <w:r>
            <w:fldChar w:fldCharType="begin"/>
          </w:r>
          <w:r>
            <w:instrText xml:space="preserve"> HYPERLINK \l "bookmark485" </w:instrText>
          </w:r>
          <w:r>
            <w:fldChar w:fldCharType="separate"/>
          </w:r>
          <w:r>
            <w:rPr>
              <w:rFonts w:ascii="宋体" w:hAnsi="宋体" w:eastAsia="宋体" w:cs="宋体"/>
              <w:b/>
              <w:bCs/>
              <w:spacing w:val="-17"/>
              <w:sz w:val="24"/>
              <w:szCs w:val="24"/>
            </w:rPr>
            <w:t>附件</w:t>
          </w:r>
          <w:r>
            <w:rPr>
              <w:rFonts w:ascii="宋体" w:hAnsi="宋体" w:eastAsia="宋体" w:cs="宋体"/>
              <w:b/>
              <w:bCs/>
              <w:spacing w:val="-17"/>
              <w:sz w:val="24"/>
              <w:szCs w:val="24"/>
            </w:rPr>
            <w:fldChar w:fldCharType="end"/>
          </w:r>
        </w:p>
        <w:p w14:paraId="0C7F3840">
          <w:pPr>
            <w:tabs>
              <w:tab w:val="right" w:leader="dot" w:pos="8720"/>
            </w:tabs>
            <w:spacing w:before="263" w:line="194" w:lineRule="auto"/>
            <w:ind w:left="25"/>
            <w:rPr>
              <w:rFonts w:ascii="Times New Roman" w:hAnsi="Times New Roman" w:eastAsia="Times New Roman" w:cs="Times New Roman"/>
              <w:sz w:val="20"/>
              <w:szCs w:val="20"/>
            </w:rPr>
          </w:pPr>
          <w:bookmarkStart w:id="243" w:name="bookmark486"/>
          <w:bookmarkEnd w:id="243"/>
          <w:r>
            <w:fldChar w:fldCharType="begin"/>
          </w:r>
          <w:r>
            <w:instrText xml:space="preserve"> HYPERLINK \l "bookmark487" </w:instrText>
          </w:r>
          <w:r>
            <w:fldChar w:fldCharType="separate"/>
          </w:r>
          <w:r>
            <w:rPr>
              <w:rFonts w:ascii="宋体" w:hAnsi="宋体" w:eastAsia="宋体" w:cs="宋体"/>
              <w:spacing w:val="1"/>
              <w:sz w:val="20"/>
              <w:szCs w:val="20"/>
            </w:rPr>
            <w:t>附件</w:t>
          </w:r>
          <w:r>
            <w:rPr>
              <w:rFonts w:ascii="宋体" w:hAnsi="宋体" w:eastAsia="宋体" w:cs="宋体"/>
              <w:spacing w:val="-19"/>
              <w:sz w:val="20"/>
              <w:szCs w:val="20"/>
            </w:rPr>
            <w:t xml:space="preserve"> </w:t>
          </w:r>
          <w:r>
            <w:rPr>
              <w:rFonts w:ascii="Times New Roman" w:hAnsi="Times New Roman" w:eastAsia="Times New Roman" w:cs="Times New Roman"/>
              <w:spacing w:val="1"/>
              <w:sz w:val="20"/>
              <w:szCs w:val="20"/>
            </w:rPr>
            <w:t>1</w:t>
          </w:r>
          <w:r>
            <w:rPr>
              <w:rFonts w:ascii="宋体" w:hAnsi="宋体" w:eastAsia="宋体" w:cs="宋体"/>
              <w:spacing w:val="1"/>
              <w:sz w:val="20"/>
              <w:szCs w:val="20"/>
            </w:rPr>
            <w:t>：委托书</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48"/>
              <w:sz w:val="20"/>
              <w:szCs w:val="20"/>
            </w:rPr>
            <w:t xml:space="preserve"> </w:t>
          </w:r>
          <w:r>
            <w:rPr>
              <w:rFonts w:ascii="Times New Roman" w:hAnsi="Times New Roman" w:eastAsia="Times New Roman" w:cs="Times New Roman"/>
              <w:spacing w:val="3"/>
              <w:sz w:val="20"/>
              <w:szCs w:val="20"/>
            </w:rPr>
            <w:t>294</w:t>
          </w:r>
          <w:r>
            <w:rPr>
              <w:rFonts w:ascii="Times New Roman" w:hAnsi="Times New Roman" w:eastAsia="Times New Roman" w:cs="Times New Roman"/>
              <w:spacing w:val="3"/>
              <w:sz w:val="20"/>
              <w:szCs w:val="20"/>
            </w:rPr>
            <w:fldChar w:fldCharType="end"/>
          </w:r>
        </w:p>
        <w:p w14:paraId="540ED195">
          <w:pPr>
            <w:tabs>
              <w:tab w:val="right" w:leader="dot" w:pos="8720"/>
            </w:tabs>
            <w:spacing w:before="64" w:line="193" w:lineRule="auto"/>
            <w:ind w:left="25"/>
            <w:rPr>
              <w:rFonts w:ascii="Times New Roman" w:hAnsi="Times New Roman" w:eastAsia="Times New Roman" w:cs="Times New Roman"/>
              <w:sz w:val="20"/>
              <w:szCs w:val="20"/>
            </w:rPr>
          </w:pPr>
          <w:bookmarkStart w:id="244" w:name="bookmark488"/>
          <w:bookmarkEnd w:id="244"/>
          <w:r>
            <w:fldChar w:fldCharType="begin"/>
          </w:r>
          <w:r>
            <w:instrText xml:space="preserve"> HYPERLINK \l "bookmark489" </w:instrText>
          </w:r>
          <w:r>
            <w:fldChar w:fldCharType="separate"/>
          </w:r>
          <w:r>
            <w:rPr>
              <w:rFonts w:ascii="宋体" w:hAnsi="宋体" w:eastAsia="宋体" w:cs="宋体"/>
              <w:spacing w:val="6"/>
              <w:sz w:val="20"/>
              <w:szCs w:val="20"/>
            </w:rPr>
            <w:t>附件</w:t>
          </w:r>
          <w:r>
            <w:rPr>
              <w:rFonts w:ascii="宋体" w:hAnsi="宋体" w:eastAsia="宋体" w:cs="宋体"/>
              <w:spacing w:val="-38"/>
              <w:sz w:val="20"/>
              <w:szCs w:val="20"/>
            </w:rPr>
            <w:t xml:space="preserve"> </w:t>
          </w:r>
          <w:r>
            <w:rPr>
              <w:rFonts w:ascii="Times New Roman" w:hAnsi="Times New Roman" w:eastAsia="Times New Roman" w:cs="Times New Roman"/>
              <w:spacing w:val="6"/>
              <w:sz w:val="20"/>
              <w:szCs w:val="20"/>
            </w:rPr>
            <w:t>2</w:t>
          </w:r>
          <w:r>
            <w:rPr>
              <w:rFonts w:ascii="宋体" w:hAnsi="宋体" w:eastAsia="宋体" w:cs="宋体"/>
              <w:spacing w:val="6"/>
              <w:sz w:val="20"/>
              <w:szCs w:val="20"/>
            </w:rPr>
            <w:t>：项目备案告知书</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56"/>
              <w:sz w:val="20"/>
              <w:szCs w:val="20"/>
            </w:rPr>
            <w:t xml:space="preserve"> </w:t>
          </w:r>
          <w:r>
            <w:rPr>
              <w:rFonts w:ascii="Times New Roman" w:hAnsi="Times New Roman" w:eastAsia="Times New Roman" w:cs="Times New Roman"/>
              <w:spacing w:val="3"/>
              <w:sz w:val="20"/>
              <w:szCs w:val="20"/>
            </w:rPr>
            <w:t>295</w:t>
          </w:r>
          <w:r>
            <w:rPr>
              <w:rFonts w:ascii="Times New Roman" w:hAnsi="Times New Roman" w:eastAsia="Times New Roman" w:cs="Times New Roman"/>
              <w:spacing w:val="3"/>
              <w:sz w:val="20"/>
              <w:szCs w:val="20"/>
            </w:rPr>
            <w:fldChar w:fldCharType="end"/>
          </w:r>
        </w:p>
        <w:p w14:paraId="67EE6C65">
          <w:pPr>
            <w:tabs>
              <w:tab w:val="right" w:leader="dot" w:pos="8720"/>
            </w:tabs>
            <w:spacing w:before="62" w:line="193" w:lineRule="auto"/>
            <w:ind w:left="25"/>
            <w:rPr>
              <w:rFonts w:ascii="Times New Roman" w:hAnsi="Times New Roman" w:eastAsia="Times New Roman" w:cs="Times New Roman"/>
              <w:sz w:val="20"/>
              <w:szCs w:val="20"/>
            </w:rPr>
          </w:pPr>
          <w:bookmarkStart w:id="245" w:name="bookmark490"/>
          <w:bookmarkEnd w:id="245"/>
          <w:r>
            <w:fldChar w:fldCharType="begin"/>
          </w:r>
          <w:r>
            <w:instrText xml:space="preserve"> HYPERLINK \l "bookmark491" </w:instrText>
          </w:r>
          <w:r>
            <w:fldChar w:fldCharType="separate"/>
          </w:r>
          <w:r>
            <w:rPr>
              <w:rFonts w:ascii="宋体" w:hAnsi="宋体" w:eastAsia="宋体" w:cs="宋体"/>
              <w:spacing w:val="5"/>
              <w:sz w:val="20"/>
              <w:szCs w:val="20"/>
            </w:rPr>
            <w:t>附件</w:t>
          </w:r>
          <w:r>
            <w:rPr>
              <w:rFonts w:ascii="宋体" w:hAnsi="宋体" w:eastAsia="宋体" w:cs="宋体"/>
              <w:spacing w:val="-37"/>
              <w:sz w:val="20"/>
              <w:szCs w:val="20"/>
            </w:rPr>
            <w:t xml:space="preserve"> </w:t>
          </w:r>
          <w:r>
            <w:rPr>
              <w:rFonts w:ascii="Times New Roman" w:hAnsi="Times New Roman" w:eastAsia="Times New Roman" w:cs="Times New Roman"/>
              <w:spacing w:val="5"/>
              <w:sz w:val="20"/>
              <w:szCs w:val="20"/>
            </w:rPr>
            <w:t>3</w:t>
          </w:r>
          <w:r>
            <w:rPr>
              <w:rFonts w:ascii="宋体" w:hAnsi="宋体" w:eastAsia="宋体" w:cs="宋体"/>
              <w:spacing w:val="5"/>
              <w:sz w:val="20"/>
              <w:szCs w:val="20"/>
            </w:rPr>
            <w:t>：不动产权证</w:t>
          </w:r>
          <w:r>
            <w:rPr>
              <w:rFonts w:ascii="宋体" w:hAnsi="宋体" w:eastAsia="宋体" w:cs="宋体"/>
              <w:spacing w:val="-57"/>
              <w:sz w:val="20"/>
              <w:szCs w:val="20"/>
            </w:rPr>
            <w:t xml:space="preserve"> </w:t>
          </w:r>
          <w:r>
            <w:rPr>
              <w:rFonts w:ascii="宋体" w:hAnsi="宋体" w:eastAsia="宋体" w:cs="宋体"/>
              <w:sz w:val="20"/>
              <w:szCs w:val="20"/>
            </w:rPr>
            <w:tab/>
          </w:r>
          <w:r>
            <w:rPr>
              <w:rFonts w:ascii="宋体" w:hAnsi="宋体" w:eastAsia="宋体" w:cs="宋体"/>
              <w:spacing w:val="-52"/>
              <w:sz w:val="20"/>
              <w:szCs w:val="20"/>
            </w:rPr>
            <w:t xml:space="preserve"> </w:t>
          </w:r>
          <w:r>
            <w:rPr>
              <w:rFonts w:ascii="Times New Roman" w:hAnsi="Times New Roman" w:eastAsia="Times New Roman" w:cs="Times New Roman"/>
              <w:spacing w:val="3"/>
              <w:sz w:val="20"/>
              <w:szCs w:val="20"/>
            </w:rPr>
            <w:t>296</w:t>
          </w:r>
          <w:r>
            <w:rPr>
              <w:rFonts w:ascii="Times New Roman" w:hAnsi="Times New Roman" w:eastAsia="Times New Roman" w:cs="Times New Roman"/>
              <w:spacing w:val="3"/>
              <w:sz w:val="20"/>
              <w:szCs w:val="20"/>
            </w:rPr>
            <w:fldChar w:fldCharType="end"/>
          </w:r>
        </w:p>
        <w:p w14:paraId="7C7BFB57">
          <w:pPr>
            <w:tabs>
              <w:tab w:val="right" w:leader="dot" w:pos="8720"/>
            </w:tabs>
            <w:spacing w:before="62" w:line="226" w:lineRule="auto"/>
            <w:ind w:left="25"/>
            <w:rPr>
              <w:rFonts w:ascii="Times New Roman" w:hAnsi="Times New Roman" w:eastAsia="Times New Roman" w:cs="Times New Roman"/>
              <w:sz w:val="20"/>
              <w:szCs w:val="20"/>
            </w:rPr>
          </w:pPr>
          <w:bookmarkStart w:id="246" w:name="bookmark492"/>
          <w:bookmarkEnd w:id="246"/>
          <w:r>
            <w:fldChar w:fldCharType="begin"/>
          </w:r>
          <w:r>
            <w:instrText xml:space="preserve"> HYPERLINK \l "bookmark493" </w:instrText>
          </w:r>
          <w:r>
            <w:fldChar w:fldCharType="separate"/>
          </w:r>
          <w:r>
            <w:rPr>
              <w:rFonts w:ascii="宋体" w:hAnsi="宋体" w:eastAsia="宋体" w:cs="宋体"/>
              <w:spacing w:val="7"/>
              <w:sz w:val="20"/>
              <w:szCs w:val="20"/>
            </w:rPr>
            <w:t>附件</w:t>
          </w:r>
          <w:r>
            <w:rPr>
              <w:rFonts w:ascii="宋体" w:hAnsi="宋体" w:eastAsia="宋体" w:cs="宋体"/>
              <w:spacing w:val="-39"/>
              <w:sz w:val="20"/>
              <w:szCs w:val="20"/>
            </w:rPr>
            <w:t xml:space="preserve"> </w:t>
          </w:r>
          <w:r>
            <w:rPr>
              <w:rFonts w:ascii="Times New Roman" w:hAnsi="Times New Roman" w:eastAsia="Times New Roman" w:cs="Times New Roman"/>
              <w:spacing w:val="7"/>
              <w:sz w:val="20"/>
              <w:szCs w:val="20"/>
            </w:rPr>
            <w:t>4</w:t>
          </w:r>
          <w:r>
            <w:rPr>
              <w:rFonts w:ascii="宋体" w:hAnsi="宋体" w:eastAsia="宋体" w:cs="宋体"/>
              <w:spacing w:val="7"/>
              <w:sz w:val="20"/>
              <w:szCs w:val="20"/>
            </w:rPr>
            <w:t>：环境质量现状检测报告</w:t>
          </w:r>
          <w:r>
            <w:rPr>
              <w:rFonts w:ascii="宋体" w:hAnsi="宋体" w:eastAsia="宋体" w:cs="宋体"/>
              <w:spacing w:val="-59"/>
              <w:sz w:val="20"/>
              <w:szCs w:val="20"/>
            </w:rPr>
            <w:t xml:space="preserve"> </w:t>
          </w:r>
          <w:r>
            <w:rPr>
              <w:rFonts w:ascii="宋体" w:hAnsi="宋体" w:eastAsia="宋体" w:cs="宋体"/>
              <w:sz w:val="20"/>
              <w:szCs w:val="20"/>
            </w:rPr>
            <w:tab/>
          </w:r>
          <w:r>
            <w:rPr>
              <w:rFonts w:ascii="宋体" w:hAnsi="宋体" w:eastAsia="宋体" w:cs="宋体"/>
              <w:spacing w:val="-61"/>
              <w:sz w:val="20"/>
              <w:szCs w:val="20"/>
            </w:rPr>
            <w:t xml:space="preserve"> </w:t>
          </w:r>
          <w:r>
            <w:rPr>
              <w:rFonts w:ascii="Times New Roman" w:hAnsi="Times New Roman" w:eastAsia="Times New Roman" w:cs="Times New Roman"/>
              <w:spacing w:val="3"/>
              <w:sz w:val="20"/>
              <w:szCs w:val="20"/>
            </w:rPr>
            <w:t>298</w:t>
          </w:r>
          <w:r>
            <w:rPr>
              <w:rFonts w:ascii="Times New Roman" w:hAnsi="Times New Roman" w:eastAsia="Times New Roman" w:cs="Times New Roman"/>
              <w:spacing w:val="3"/>
              <w:sz w:val="20"/>
              <w:szCs w:val="20"/>
            </w:rPr>
            <w:fldChar w:fldCharType="end"/>
          </w:r>
        </w:p>
      </w:sdtContent>
    </w:sdt>
    <w:p w14:paraId="191A6248">
      <w:pPr>
        <w:spacing w:line="226" w:lineRule="auto"/>
        <w:rPr>
          <w:rFonts w:ascii="Times New Roman" w:hAnsi="Times New Roman" w:eastAsia="Times New Roman" w:cs="Times New Roman"/>
          <w:sz w:val="20"/>
          <w:szCs w:val="20"/>
        </w:rPr>
        <w:sectPr>
          <w:footerReference r:id="rId12" w:type="default"/>
          <w:pgSz w:w="11906" w:h="16839"/>
          <w:pgMar w:top="1235" w:right="1587" w:bottom="1086" w:left="1588" w:header="925" w:footer="872" w:gutter="0"/>
          <w:cols w:space="720" w:num="1"/>
        </w:sectPr>
      </w:pPr>
    </w:p>
    <w:p w14:paraId="75FBD3DE">
      <w:pPr>
        <w:spacing w:before="291" w:line="226" w:lineRule="auto"/>
        <w:ind w:left="4004"/>
        <w:outlineLvl w:val="0"/>
        <w:rPr>
          <w:rFonts w:ascii="黑体" w:hAnsi="黑体" w:eastAsia="黑体" w:cs="黑体"/>
          <w:sz w:val="35"/>
          <w:szCs w:val="35"/>
        </w:rPr>
      </w:pPr>
      <w:r>
        <w:pict>
          <v:shape id="_x0000_s1031" o:spid="_x0000_s1031" style="position:absolute;left:0pt;margin-left:70.85pt;margin-top:59.65pt;height:0.75pt;width:453.65pt;mso-position-horizontal-relative:page;mso-position-vertical-relative:page;z-index:251665408;mso-width-relative:page;mso-height-relative:page;" fillcolor="#000000" filled="t" stroked="f" coordsize="9072,15" o:allowincell="f" path="m0,0l9072,0,9072,14,0,14,0,0xe">
            <v:path/>
            <v:fill on="t" focussize="0,0"/>
            <v:stroke on="f"/>
            <v:imagedata o:title=""/>
            <o:lock v:ext="edit"/>
          </v:shape>
        </w:pict>
      </w:r>
      <w:bookmarkStart w:id="247" w:name="bookmark2"/>
      <w:bookmarkEnd w:id="247"/>
      <w:bookmarkStart w:id="248" w:name="bookmark4"/>
      <w:bookmarkEnd w:id="248"/>
      <w:bookmarkStart w:id="249" w:name="bookmark1"/>
      <w:bookmarkEnd w:id="249"/>
      <w:r>
        <w:rPr>
          <w:rFonts w:ascii="黑体" w:hAnsi="黑体" w:eastAsia="黑体" w:cs="黑体"/>
          <w:b/>
          <w:bCs/>
          <w:spacing w:val="-4"/>
          <w:sz w:val="35"/>
          <w:szCs w:val="35"/>
        </w:rPr>
        <w:t>概</w:t>
      </w:r>
      <w:r>
        <w:rPr>
          <w:rFonts w:ascii="黑体" w:hAnsi="黑体" w:eastAsia="黑体" w:cs="黑体"/>
          <w:spacing w:val="10"/>
          <w:sz w:val="35"/>
          <w:szCs w:val="35"/>
        </w:rPr>
        <w:t xml:space="preserve">  </w:t>
      </w:r>
      <w:r>
        <w:rPr>
          <w:rFonts w:ascii="黑体" w:hAnsi="黑体" w:eastAsia="黑体" w:cs="黑体"/>
          <w:b/>
          <w:bCs/>
          <w:spacing w:val="-4"/>
          <w:sz w:val="35"/>
          <w:szCs w:val="35"/>
        </w:rPr>
        <w:t>述</w:t>
      </w:r>
    </w:p>
    <w:p w14:paraId="6F5635C9">
      <w:pPr>
        <w:spacing w:before="262" w:line="222" w:lineRule="auto"/>
        <w:ind w:left="34"/>
        <w:outlineLvl w:val="1"/>
        <w:rPr>
          <w:rFonts w:ascii="黑体" w:hAnsi="黑体" w:eastAsia="黑体" w:cs="黑体"/>
          <w:sz w:val="30"/>
          <w:szCs w:val="30"/>
        </w:rPr>
      </w:pPr>
      <w:bookmarkStart w:id="250" w:name="bookmark3"/>
      <w:bookmarkEnd w:id="250"/>
      <w:r>
        <w:rPr>
          <w:rFonts w:ascii="Times New Roman" w:hAnsi="Times New Roman" w:eastAsia="Times New Roman" w:cs="Times New Roman"/>
          <w:spacing w:val="-4"/>
          <w:sz w:val="30"/>
          <w:szCs w:val="30"/>
        </w:rPr>
        <w:t>1.</w:t>
      </w:r>
      <w:r>
        <w:rPr>
          <w:rFonts w:ascii="黑体" w:hAnsi="黑体" w:eastAsia="黑体" w:cs="黑体"/>
          <w:spacing w:val="-4"/>
          <w:sz w:val="30"/>
          <w:szCs w:val="30"/>
        </w:rPr>
        <w:t>项目由来及特点</w:t>
      </w:r>
    </w:p>
    <w:p w14:paraId="0B8358BE">
      <w:pPr>
        <w:spacing w:before="214" w:line="345" w:lineRule="auto"/>
        <w:ind w:left="8" w:right="80" w:firstLine="509"/>
        <w:rPr>
          <w:rFonts w:ascii="宋体" w:hAnsi="宋体" w:eastAsia="宋体" w:cs="宋体"/>
          <w:sz w:val="24"/>
          <w:szCs w:val="24"/>
        </w:rPr>
      </w:pPr>
      <w:r>
        <w:rPr>
          <w:rFonts w:ascii="宋体" w:hAnsi="宋体" w:eastAsia="宋体" w:cs="宋体"/>
          <w:sz w:val="24"/>
          <w:szCs w:val="24"/>
        </w:rPr>
        <w:t>内蒙古新创发展科技有限公司，成立于</w:t>
      </w:r>
      <w:r>
        <w:rPr>
          <w:rFonts w:ascii="宋体" w:hAnsi="宋体" w:eastAsia="宋体" w:cs="宋体"/>
          <w:spacing w:val="-52"/>
          <w:sz w:val="24"/>
          <w:szCs w:val="24"/>
        </w:rPr>
        <w:t xml:space="preserve"> </w:t>
      </w:r>
      <w:r>
        <w:rPr>
          <w:rFonts w:ascii="Times New Roman" w:hAnsi="Times New Roman" w:eastAsia="Times New Roman" w:cs="Times New Roman"/>
          <w:sz w:val="24"/>
          <w:szCs w:val="24"/>
        </w:rPr>
        <w:t xml:space="preserve">2023 </w:t>
      </w:r>
      <w:r>
        <w:rPr>
          <w:rFonts w:ascii="宋体" w:hAnsi="宋体" w:eastAsia="宋体" w:cs="宋体"/>
          <w:sz w:val="24"/>
          <w:szCs w:val="24"/>
        </w:rPr>
        <w:t>年</w:t>
      </w:r>
      <w:r>
        <w:rPr>
          <w:rFonts w:ascii="宋体" w:hAnsi="宋体" w:eastAsia="宋体" w:cs="宋体"/>
          <w:spacing w:val="-51"/>
          <w:sz w:val="24"/>
          <w:szCs w:val="24"/>
        </w:rPr>
        <w:t xml:space="preserve"> </w:t>
      </w:r>
      <w:r>
        <w:rPr>
          <w:rFonts w:ascii="Times New Roman" w:hAnsi="Times New Roman" w:eastAsia="Times New Roman" w:cs="Times New Roman"/>
          <w:sz w:val="24"/>
          <w:szCs w:val="24"/>
        </w:rPr>
        <w:t>9</w:t>
      </w:r>
      <w:r>
        <w:rPr>
          <w:rFonts w:ascii="Times New Roman" w:hAnsi="Times New Roman" w:eastAsia="Times New Roman" w:cs="Times New Roman"/>
          <w:spacing w:val="18"/>
          <w:sz w:val="24"/>
          <w:szCs w:val="24"/>
        </w:rPr>
        <w:t xml:space="preserve"> </w:t>
      </w:r>
      <w:r>
        <w:rPr>
          <w:rFonts w:ascii="宋体" w:hAnsi="宋体" w:eastAsia="宋体" w:cs="宋体"/>
          <w:sz w:val="24"/>
          <w:szCs w:val="24"/>
        </w:rPr>
        <w:t>月，位于内蒙古自治区锡</w:t>
      </w:r>
      <w:r>
        <w:rPr>
          <w:rFonts w:ascii="宋体" w:hAnsi="宋体" w:eastAsia="宋体" w:cs="宋体"/>
          <w:spacing w:val="-1"/>
          <w:sz w:val="24"/>
          <w:szCs w:val="24"/>
        </w:rPr>
        <w:t>林郭勒</w:t>
      </w:r>
      <w:r>
        <w:rPr>
          <w:rFonts w:ascii="宋体" w:hAnsi="宋体" w:eastAsia="宋体" w:cs="宋体"/>
          <w:sz w:val="24"/>
          <w:szCs w:val="24"/>
        </w:rPr>
        <w:t xml:space="preserve"> 盟苏尼特右旗朱日和镇，是一家以从事有色金属冶炼和</w:t>
      </w:r>
      <w:r>
        <w:rPr>
          <w:rFonts w:ascii="宋体" w:hAnsi="宋体" w:eastAsia="宋体" w:cs="宋体"/>
          <w:spacing w:val="-1"/>
          <w:sz w:val="24"/>
          <w:szCs w:val="24"/>
        </w:rPr>
        <w:t>压延加工业为主的企业。</w:t>
      </w:r>
    </w:p>
    <w:p w14:paraId="274235A1">
      <w:pPr>
        <w:spacing w:before="35" w:line="357" w:lineRule="auto"/>
        <w:ind w:left="4" w:firstLine="483"/>
        <w:rPr>
          <w:rFonts w:ascii="宋体" w:hAnsi="宋体" w:eastAsia="宋体" w:cs="宋体"/>
          <w:sz w:val="24"/>
          <w:szCs w:val="24"/>
        </w:rPr>
      </w:pPr>
      <w:r>
        <w:rPr>
          <w:rFonts w:ascii="宋体" w:hAnsi="宋体" w:eastAsia="宋体" w:cs="宋体"/>
          <w:spacing w:val="-2"/>
          <w:sz w:val="24"/>
          <w:szCs w:val="24"/>
        </w:rPr>
        <w:t>铁合金是指炼钢时作为脱氧剂、元素添加剂等加入铁水中使钢具备某种特性或达到</w:t>
      </w:r>
      <w:r>
        <w:rPr>
          <w:rFonts w:ascii="宋体" w:hAnsi="宋体" w:eastAsia="宋体" w:cs="宋体"/>
          <w:spacing w:val="14"/>
          <w:sz w:val="24"/>
          <w:szCs w:val="24"/>
        </w:rPr>
        <w:t xml:space="preserve"> </w:t>
      </w:r>
      <w:r>
        <w:rPr>
          <w:rFonts w:ascii="宋体" w:hAnsi="宋体" w:eastAsia="宋体" w:cs="宋体"/>
          <w:spacing w:val="-1"/>
          <w:sz w:val="24"/>
          <w:szCs w:val="24"/>
        </w:rPr>
        <w:t>某种要求的一种产品，是由铁与一种或几种元素</w:t>
      </w:r>
      <w:r>
        <w:rPr>
          <w:rFonts w:ascii="宋体" w:hAnsi="宋体" w:eastAsia="宋体" w:cs="宋体"/>
          <w:spacing w:val="-2"/>
          <w:sz w:val="24"/>
          <w:szCs w:val="24"/>
        </w:rPr>
        <w:t>组成的合金。铁合金的品种很多，一般</w:t>
      </w:r>
      <w:r>
        <w:rPr>
          <w:rFonts w:ascii="宋体" w:hAnsi="宋体" w:eastAsia="宋体" w:cs="宋体"/>
          <w:sz w:val="24"/>
          <w:szCs w:val="24"/>
        </w:rPr>
        <w:t xml:space="preserve"> </w:t>
      </w:r>
      <w:r>
        <w:rPr>
          <w:rFonts w:ascii="宋体" w:hAnsi="宋体" w:eastAsia="宋体" w:cs="宋体"/>
          <w:spacing w:val="-1"/>
          <w:sz w:val="24"/>
          <w:szCs w:val="24"/>
        </w:rPr>
        <w:t>按照其所含元素可分为硅铁、锰铁、硅锰、铬铁</w:t>
      </w:r>
      <w:r>
        <w:rPr>
          <w:rFonts w:ascii="宋体" w:hAnsi="宋体" w:eastAsia="宋体" w:cs="宋体"/>
          <w:spacing w:val="-2"/>
          <w:sz w:val="24"/>
          <w:szCs w:val="24"/>
        </w:rPr>
        <w:t>、镍铁等，其中硅锰合金是铁合金产品</w:t>
      </w:r>
      <w:r>
        <w:rPr>
          <w:rFonts w:ascii="宋体" w:hAnsi="宋体" w:eastAsia="宋体" w:cs="宋体"/>
          <w:sz w:val="24"/>
          <w:szCs w:val="24"/>
        </w:rPr>
        <w:t xml:space="preserve"> </w:t>
      </w:r>
      <w:r>
        <w:rPr>
          <w:rFonts w:ascii="宋体" w:hAnsi="宋体" w:eastAsia="宋体" w:cs="宋体"/>
          <w:spacing w:val="-1"/>
          <w:sz w:val="24"/>
          <w:szCs w:val="24"/>
        </w:rPr>
        <w:t>中用量大、用途广的产品之一，主要用于炼钢、</w:t>
      </w:r>
      <w:r>
        <w:rPr>
          <w:rFonts w:ascii="宋体" w:hAnsi="宋体" w:eastAsia="宋体" w:cs="宋体"/>
          <w:spacing w:val="-2"/>
          <w:sz w:val="24"/>
          <w:szCs w:val="24"/>
        </w:rPr>
        <w:t>机械及铸造业中的脱氧剂与添加剂，以</w:t>
      </w:r>
      <w:r>
        <w:rPr>
          <w:rFonts w:ascii="宋体" w:hAnsi="宋体" w:eastAsia="宋体" w:cs="宋体"/>
          <w:sz w:val="24"/>
          <w:szCs w:val="24"/>
        </w:rPr>
        <w:t xml:space="preserve"> </w:t>
      </w:r>
      <w:r>
        <w:rPr>
          <w:rFonts w:ascii="宋体" w:hAnsi="宋体" w:eastAsia="宋体" w:cs="宋体"/>
          <w:spacing w:val="-1"/>
          <w:sz w:val="24"/>
          <w:szCs w:val="24"/>
        </w:rPr>
        <w:t>提高钢材和铸件质量，还用作冶炼特种钢。随着</w:t>
      </w:r>
      <w:r>
        <w:rPr>
          <w:rFonts w:ascii="宋体" w:hAnsi="宋体" w:eastAsia="宋体" w:cs="宋体"/>
          <w:spacing w:val="-2"/>
          <w:sz w:val="24"/>
          <w:szCs w:val="24"/>
        </w:rPr>
        <w:t>我国工业化建设步伐的加快，对铁合金</w:t>
      </w:r>
      <w:r>
        <w:rPr>
          <w:rFonts w:ascii="宋体" w:hAnsi="宋体" w:eastAsia="宋体" w:cs="宋体"/>
          <w:sz w:val="24"/>
          <w:szCs w:val="24"/>
        </w:rPr>
        <w:t xml:space="preserve"> </w:t>
      </w:r>
      <w:r>
        <w:rPr>
          <w:rFonts w:ascii="宋体" w:hAnsi="宋体" w:eastAsia="宋体" w:cs="宋体"/>
          <w:spacing w:val="-4"/>
          <w:sz w:val="24"/>
          <w:szCs w:val="24"/>
        </w:rPr>
        <w:t>的需求也在日益增加，市场前景非常广阔。为此内蒙古新创发展科技有限公司</w:t>
      </w:r>
      <w:r>
        <w:rPr>
          <w:rFonts w:ascii="宋体" w:hAnsi="宋体" w:eastAsia="宋体" w:cs="宋体"/>
          <w:spacing w:val="-5"/>
          <w:sz w:val="24"/>
          <w:szCs w:val="24"/>
        </w:rPr>
        <w:t>特提出</w:t>
      </w:r>
      <w:r>
        <w:rPr>
          <w:rFonts w:ascii="Times New Roman" w:hAnsi="Times New Roman" w:eastAsia="Times New Roman" w:cs="Times New Roman"/>
          <w:spacing w:val="-5"/>
          <w:sz w:val="24"/>
          <w:szCs w:val="24"/>
        </w:rPr>
        <w:t>“</w:t>
      </w:r>
      <w:r>
        <w:rPr>
          <w:rFonts w:ascii="宋体" w:hAnsi="宋体" w:eastAsia="宋体" w:cs="宋体"/>
          <w:spacing w:val="-5"/>
          <w:sz w:val="24"/>
          <w:szCs w:val="24"/>
        </w:rPr>
        <w:t>内</w:t>
      </w:r>
      <w:r>
        <w:rPr>
          <w:rFonts w:ascii="宋体" w:hAnsi="宋体" w:eastAsia="宋体" w:cs="宋体"/>
          <w:sz w:val="24"/>
          <w:szCs w:val="24"/>
        </w:rPr>
        <w:t xml:space="preserve"> </w:t>
      </w:r>
      <w:r>
        <w:rPr>
          <w:rFonts w:ascii="宋体" w:hAnsi="宋体" w:eastAsia="宋体" w:cs="宋体"/>
          <w:spacing w:val="-1"/>
          <w:sz w:val="24"/>
          <w:szCs w:val="24"/>
        </w:rPr>
        <w:t>蒙古新创发展科技有限公司一期</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 xml:space="preserve">6×36MW </w:t>
      </w:r>
      <w:r>
        <w:rPr>
          <w:rFonts w:ascii="宋体" w:hAnsi="宋体" w:eastAsia="宋体" w:cs="宋体"/>
          <w:spacing w:val="-1"/>
          <w:sz w:val="24"/>
          <w:szCs w:val="24"/>
        </w:rPr>
        <w:t>直流锰硅合金</w:t>
      </w:r>
      <w:r>
        <w:rPr>
          <w:rFonts w:ascii="宋体" w:hAnsi="宋体" w:eastAsia="宋体" w:cs="宋体"/>
          <w:spacing w:val="-2"/>
          <w:sz w:val="24"/>
          <w:szCs w:val="24"/>
        </w:rPr>
        <w:t>全密闭电炉项目</w:t>
      </w:r>
      <w:r>
        <w:rPr>
          <w:rFonts w:ascii="Times New Roman" w:hAnsi="Times New Roman" w:eastAsia="Times New Roman" w:cs="Times New Roman"/>
          <w:spacing w:val="-2"/>
          <w:sz w:val="24"/>
          <w:szCs w:val="24"/>
        </w:rPr>
        <w:t>”</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，该项目已于</w:t>
      </w:r>
      <w:r>
        <w:rPr>
          <w:rFonts w:ascii="宋体" w:hAnsi="宋体" w:eastAsia="宋体" w:cs="宋体"/>
          <w:sz w:val="24"/>
          <w:szCs w:val="24"/>
        </w:rPr>
        <w:t xml:space="preserve"> </w:t>
      </w:r>
      <w:r>
        <w:rPr>
          <w:rFonts w:ascii="Times New Roman" w:hAnsi="Times New Roman" w:eastAsia="Times New Roman" w:cs="Times New Roman"/>
          <w:spacing w:val="-2"/>
          <w:sz w:val="24"/>
          <w:szCs w:val="24"/>
        </w:rPr>
        <w:t xml:space="preserve">2024 </w:t>
      </w:r>
      <w:r>
        <w:rPr>
          <w:rFonts w:ascii="宋体" w:hAnsi="宋体" w:eastAsia="宋体" w:cs="宋体"/>
          <w:spacing w:val="-2"/>
          <w:sz w:val="24"/>
          <w:szCs w:val="24"/>
        </w:rPr>
        <w:t>年</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9</w:t>
      </w:r>
      <w:r>
        <w:rPr>
          <w:rFonts w:ascii="Times New Roman" w:hAnsi="Times New Roman" w:eastAsia="Times New Roman" w:cs="Times New Roman"/>
          <w:spacing w:val="17"/>
          <w:w w:val="101"/>
          <w:sz w:val="24"/>
          <w:szCs w:val="24"/>
        </w:rPr>
        <w:t xml:space="preserve"> </w:t>
      </w:r>
      <w:r>
        <w:rPr>
          <w:rFonts w:ascii="宋体" w:hAnsi="宋体" w:eastAsia="宋体" w:cs="宋体"/>
          <w:spacing w:val="-2"/>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 xml:space="preserve">10  </w:t>
      </w:r>
      <w:r>
        <w:rPr>
          <w:rFonts w:ascii="宋体" w:hAnsi="宋体" w:eastAsia="宋体" w:cs="宋体"/>
          <w:spacing w:val="-2"/>
          <w:sz w:val="24"/>
          <w:szCs w:val="24"/>
        </w:rPr>
        <w:t>日取得苏尼特右</w:t>
      </w:r>
      <w:r>
        <w:rPr>
          <w:rFonts w:ascii="宋体" w:hAnsi="宋体" w:eastAsia="宋体" w:cs="宋体"/>
          <w:spacing w:val="-3"/>
          <w:sz w:val="24"/>
          <w:szCs w:val="24"/>
        </w:rPr>
        <w:t>旗发展和改革委员会的变更项目备案告知书，项目代码</w:t>
      </w:r>
      <w:r>
        <w:rPr>
          <w:rFonts w:ascii="宋体" w:hAnsi="宋体" w:eastAsia="宋体" w:cs="宋体"/>
          <w:sz w:val="24"/>
          <w:szCs w:val="24"/>
        </w:rPr>
        <w:t xml:space="preserve"> </w:t>
      </w:r>
      <w:r>
        <w:rPr>
          <w:rFonts w:ascii="宋体" w:hAnsi="宋体" w:eastAsia="宋体" w:cs="宋体"/>
          <w:spacing w:val="-2"/>
          <w:sz w:val="24"/>
          <w:szCs w:val="24"/>
        </w:rPr>
        <w:t>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2405-152524-04-01-407023</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，主要建设内容为：拟建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6</w:t>
      </w:r>
      <w:r>
        <w:rPr>
          <w:rFonts w:ascii="Times New Roman" w:hAnsi="Times New Roman" w:eastAsia="Times New Roman" w:cs="Times New Roman"/>
          <w:spacing w:val="28"/>
          <w:sz w:val="24"/>
          <w:szCs w:val="24"/>
        </w:rPr>
        <w:t xml:space="preserve"> </w:t>
      </w:r>
      <w:r>
        <w:rPr>
          <w:rFonts w:ascii="宋体" w:hAnsi="宋体" w:eastAsia="宋体" w:cs="宋体"/>
          <w:spacing w:val="-2"/>
          <w:sz w:val="24"/>
          <w:szCs w:val="24"/>
        </w:rPr>
        <w:t>台</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36</w:t>
      </w:r>
      <w:r>
        <w:rPr>
          <w:rFonts w:ascii="Times New Roman" w:hAnsi="Times New Roman" w:eastAsia="Times New Roman" w:cs="Times New Roman"/>
          <w:spacing w:val="-3"/>
          <w:sz w:val="24"/>
          <w:szCs w:val="24"/>
        </w:rPr>
        <w:t xml:space="preserve">MW </w:t>
      </w:r>
      <w:r>
        <w:rPr>
          <w:rFonts w:ascii="宋体" w:hAnsi="宋体" w:eastAsia="宋体" w:cs="宋体"/>
          <w:spacing w:val="-3"/>
          <w:sz w:val="24"/>
          <w:szCs w:val="24"/>
        </w:rPr>
        <w:t>直流锰硅合金全密闭</w:t>
      </w:r>
      <w:r>
        <w:rPr>
          <w:rFonts w:ascii="宋体" w:hAnsi="宋体" w:eastAsia="宋体" w:cs="宋体"/>
          <w:sz w:val="24"/>
          <w:szCs w:val="24"/>
        </w:rPr>
        <w:t xml:space="preserve"> </w:t>
      </w:r>
      <w:r>
        <w:rPr>
          <w:rFonts w:ascii="宋体" w:hAnsi="宋体" w:eastAsia="宋体" w:cs="宋体"/>
          <w:spacing w:val="-8"/>
          <w:sz w:val="24"/>
          <w:szCs w:val="24"/>
        </w:rPr>
        <w:t>电炉装置，年产</w:t>
      </w:r>
      <w:r>
        <w:rPr>
          <w:rFonts w:ascii="宋体" w:hAnsi="宋体" w:eastAsia="宋体" w:cs="宋体"/>
          <w:spacing w:val="-45"/>
          <w:sz w:val="24"/>
          <w:szCs w:val="24"/>
        </w:rPr>
        <w:t xml:space="preserve"> </w:t>
      </w:r>
      <w:r>
        <w:rPr>
          <w:rFonts w:ascii="Times New Roman" w:hAnsi="Times New Roman" w:eastAsia="Times New Roman" w:cs="Times New Roman"/>
          <w:spacing w:val="-8"/>
          <w:sz w:val="24"/>
          <w:szCs w:val="24"/>
        </w:rPr>
        <w:t>45</w:t>
      </w:r>
      <w:r>
        <w:rPr>
          <w:rFonts w:ascii="Times New Roman" w:hAnsi="Times New Roman" w:eastAsia="Times New Roman" w:cs="Times New Roman"/>
          <w:spacing w:val="15"/>
          <w:sz w:val="24"/>
          <w:szCs w:val="24"/>
        </w:rPr>
        <w:t xml:space="preserve"> </w:t>
      </w:r>
      <w:r>
        <w:rPr>
          <w:rFonts w:ascii="宋体" w:hAnsi="宋体" w:eastAsia="宋体" w:cs="宋体"/>
          <w:spacing w:val="-8"/>
          <w:sz w:val="24"/>
          <w:szCs w:val="24"/>
        </w:rPr>
        <w:t>万吨锰硅合金产品，配套</w:t>
      </w:r>
      <w:r>
        <w:rPr>
          <w:rFonts w:ascii="宋体" w:hAnsi="宋体" w:eastAsia="宋体" w:cs="宋体"/>
          <w:spacing w:val="-32"/>
          <w:sz w:val="24"/>
          <w:szCs w:val="24"/>
        </w:rPr>
        <w:t xml:space="preserve"> </w:t>
      </w:r>
      <w:r>
        <w:rPr>
          <w:rFonts w:ascii="Times New Roman" w:hAnsi="Times New Roman" w:eastAsia="Times New Roman" w:cs="Times New Roman"/>
          <w:spacing w:val="-8"/>
          <w:sz w:val="24"/>
          <w:szCs w:val="24"/>
        </w:rPr>
        <w:t>1</w:t>
      </w:r>
      <w:r>
        <w:rPr>
          <w:rFonts w:ascii="Times New Roman" w:hAnsi="Times New Roman" w:eastAsia="Times New Roman" w:cs="Times New Roman"/>
          <w:spacing w:val="28"/>
          <w:w w:val="101"/>
          <w:sz w:val="24"/>
          <w:szCs w:val="24"/>
        </w:rPr>
        <w:t xml:space="preserve"> </w:t>
      </w:r>
      <w:r>
        <w:rPr>
          <w:rFonts w:ascii="宋体" w:hAnsi="宋体" w:eastAsia="宋体" w:cs="宋体"/>
          <w:spacing w:val="-8"/>
          <w:sz w:val="24"/>
          <w:szCs w:val="24"/>
        </w:rPr>
        <w:t>台</w:t>
      </w:r>
      <w:r>
        <w:rPr>
          <w:rFonts w:ascii="宋体" w:hAnsi="宋体" w:eastAsia="宋体" w:cs="宋体"/>
          <w:spacing w:val="-50"/>
          <w:sz w:val="24"/>
          <w:szCs w:val="24"/>
        </w:rPr>
        <w:t xml:space="preserve"> </w:t>
      </w:r>
      <w:r>
        <w:rPr>
          <w:rFonts w:ascii="Times New Roman" w:hAnsi="Times New Roman" w:eastAsia="Times New Roman" w:cs="Times New Roman"/>
          <w:spacing w:val="-8"/>
          <w:sz w:val="24"/>
          <w:szCs w:val="24"/>
        </w:rPr>
        <w:t>60m</w:t>
      </w:r>
      <w:r>
        <w:rPr>
          <w:rFonts w:ascii="Times New Roman" w:hAnsi="Times New Roman" w:eastAsia="Times New Roman" w:cs="Times New Roman"/>
          <w:spacing w:val="-8"/>
          <w:position w:val="8"/>
          <w:sz w:val="15"/>
          <w:szCs w:val="15"/>
        </w:rPr>
        <w:t>2</w:t>
      </w:r>
      <w:r>
        <w:rPr>
          <w:rFonts w:ascii="Times New Roman" w:hAnsi="Times New Roman" w:eastAsia="Times New Roman" w:cs="Times New Roman"/>
          <w:spacing w:val="18"/>
          <w:w w:val="101"/>
          <w:position w:val="8"/>
          <w:sz w:val="15"/>
          <w:szCs w:val="15"/>
        </w:rPr>
        <w:t xml:space="preserve"> </w:t>
      </w:r>
      <w:r>
        <w:rPr>
          <w:rFonts w:ascii="宋体" w:hAnsi="宋体" w:eastAsia="宋体" w:cs="宋体"/>
          <w:spacing w:val="-8"/>
          <w:sz w:val="24"/>
          <w:szCs w:val="24"/>
        </w:rPr>
        <w:t>带式烧结机、一套锰矿烘干系统、</w:t>
      </w:r>
      <w:r>
        <w:rPr>
          <w:rFonts w:ascii="宋体" w:hAnsi="宋体" w:eastAsia="宋体" w:cs="宋体"/>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16"/>
          <w:sz w:val="24"/>
          <w:szCs w:val="24"/>
        </w:rPr>
        <w:t xml:space="preserve"> </w:t>
      </w:r>
      <w:r>
        <w:rPr>
          <w:rFonts w:ascii="宋体" w:hAnsi="宋体" w:eastAsia="宋体" w:cs="宋体"/>
          <w:spacing w:val="-3"/>
          <w:sz w:val="24"/>
          <w:szCs w:val="24"/>
        </w:rPr>
        <w:t>台</w:t>
      </w:r>
      <w:r>
        <w:rPr>
          <w:rFonts w:ascii="宋体" w:hAnsi="宋体" w:eastAsia="宋体" w:cs="宋体"/>
          <w:spacing w:val="-67"/>
          <w:sz w:val="24"/>
          <w:szCs w:val="24"/>
        </w:rPr>
        <w:t xml:space="preserve"> </w:t>
      </w:r>
      <w:r>
        <w:rPr>
          <w:rFonts w:ascii="Times New Roman" w:hAnsi="Times New Roman" w:eastAsia="Times New Roman" w:cs="Times New Roman"/>
          <w:spacing w:val="-3"/>
          <w:sz w:val="24"/>
          <w:szCs w:val="24"/>
        </w:rPr>
        <w:t xml:space="preserve">200t/h </w:t>
      </w:r>
      <w:r>
        <w:rPr>
          <w:rFonts w:ascii="宋体" w:hAnsi="宋体" w:eastAsia="宋体" w:cs="宋体"/>
          <w:spacing w:val="-3"/>
          <w:sz w:val="24"/>
          <w:szCs w:val="24"/>
        </w:rPr>
        <w:t>高温超高压带一次再热废气锅炉</w:t>
      </w:r>
      <w:r>
        <w:rPr>
          <w:rFonts w:ascii="宋体" w:hAnsi="宋体" w:eastAsia="宋体" w:cs="宋体"/>
          <w:spacing w:val="-4"/>
          <w:sz w:val="24"/>
          <w:szCs w:val="24"/>
        </w:rPr>
        <w:t>和</w:t>
      </w:r>
      <w:r>
        <w:rPr>
          <w:rFonts w:ascii="宋体" w:hAnsi="宋体" w:eastAsia="宋体" w:cs="宋体"/>
          <w:spacing w:val="-44"/>
          <w:sz w:val="24"/>
          <w:szCs w:val="24"/>
        </w:rPr>
        <w:t xml:space="preserve"> </w:t>
      </w:r>
      <w:r>
        <w:rPr>
          <w:rFonts w:ascii="Times New Roman" w:hAnsi="Times New Roman" w:eastAsia="Times New Roman" w:cs="Times New Roman"/>
          <w:spacing w:val="-4"/>
          <w:sz w:val="24"/>
          <w:szCs w:val="24"/>
        </w:rPr>
        <w:t>1</w:t>
      </w:r>
      <w:r>
        <w:rPr>
          <w:rFonts w:ascii="Times New Roman" w:hAnsi="Times New Roman" w:eastAsia="Times New Roman" w:cs="Times New Roman"/>
          <w:spacing w:val="19"/>
          <w:sz w:val="24"/>
          <w:szCs w:val="24"/>
        </w:rPr>
        <w:t xml:space="preserve"> </w:t>
      </w:r>
      <w:r>
        <w:rPr>
          <w:rFonts w:ascii="宋体" w:hAnsi="宋体" w:eastAsia="宋体" w:cs="宋体"/>
          <w:spacing w:val="-4"/>
          <w:sz w:val="24"/>
          <w:szCs w:val="24"/>
        </w:rPr>
        <w:t>台</w:t>
      </w:r>
      <w:r>
        <w:rPr>
          <w:rFonts w:ascii="宋体" w:hAnsi="宋体" w:eastAsia="宋体" w:cs="宋体"/>
          <w:spacing w:val="-62"/>
          <w:sz w:val="24"/>
          <w:szCs w:val="24"/>
        </w:rPr>
        <w:t xml:space="preserve"> </w:t>
      </w:r>
      <w:r>
        <w:rPr>
          <w:rFonts w:ascii="Times New Roman" w:hAnsi="Times New Roman" w:eastAsia="Times New Roman" w:cs="Times New Roman"/>
          <w:spacing w:val="-4"/>
          <w:sz w:val="24"/>
          <w:szCs w:val="24"/>
        </w:rPr>
        <w:t>60MW</w:t>
      </w:r>
      <w:r>
        <w:rPr>
          <w:rFonts w:ascii="Times New Roman" w:hAnsi="Times New Roman" w:eastAsia="Times New Roman" w:cs="Times New Roman"/>
          <w:spacing w:val="19"/>
          <w:w w:val="101"/>
          <w:sz w:val="24"/>
          <w:szCs w:val="24"/>
        </w:rPr>
        <w:t xml:space="preserve"> </w:t>
      </w:r>
      <w:r>
        <w:rPr>
          <w:rFonts w:ascii="宋体" w:hAnsi="宋体" w:eastAsia="宋体" w:cs="宋体"/>
          <w:spacing w:val="-4"/>
          <w:sz w:val="24"/>
          <w:szCs w:val="24"/>
        </w:rPr>
        <w:t>中间一次再热凝汽式汽轮发电</w:t>
      </w:r>
      <w:r>
        <w:rPr>
          <w:rFonts w:ascii="宋体" w:hAnsi="宋体" w:eastAsia="宋体" w:cs="宋体"/>
          <w:sz w:val="24"/>
          <w:szCs w:val="24"/>
        </w:rPr>
        <w:t xml:space="preserve"> </w:t>
      </w:r>
      <w:r>
        <w:rPr>
          <w:rFonts w:ascii="宋体" w:hAnsi="宋体" w:eastAsia="宋体" w:cs="宋体"/>
          <w:spacing w:val="-1"/>
          <w:sz w:val="24"/>
          <w:szCs w:val="24"/>
        </w:rPr>
        <w:t>机组及配套辅助设施。</w:t>
      </w:r>
    </w:p>
    <w:p w14:paraId="5767A3F6">
      <w:pPr>
        <w:spacing w:before="44" w:line="222" w:lineRule="auto"/>
        <w:ind w:left="5"/>
        <w:outlineLvl w:val="1"/>
        <w:rPr>
          <w:rFonts w:ascii="黑体" w:hAnsi="黑体" w:eastAsia="黑体" w:cs="黑体"/>
          <w:sz w:val="30"/>
          <w:szCs w:val="30"/>
        </w:rPr>
      </w:pPr>
      <w:bookmarkStart w:id="251" w:name="bookmark5"/>
      <w:bookmarkEnd w:id="251"/>
      <w:bookmarkStart w:id="252" w:name="bookmark6"/>
      <w:bookmarkEnd w:id="252"/>
      <w:r>
        <w:rPr>
          <w:rFonts w:ascii="Times New Roman" w:hAnsi="Times New Roman" w:eastAsia="Times New Roman" w:cs="Times New Roman"/>
          <w:spacing w:val="-1"/>
          <w:sz w:val="30"/>
          <w:szCs w:val="30"/>
        </w:rPr>
        <w:t>2.</w:t>
      </w:r>
      <w:r>
        <w:rPr>
          <w:rFonts w:ascii="黑体" w:hAnsi="黑体" w:eastAsia="黑体" w:cs="黑体"/>
          <w:spacing w:val="-1"/>
          <w:sz w:val="30"/>
          <w:szCs w:val="30"/>
        </w:rPr>
        <w:t>环境影响评价工作过程</w:t>
      </w:r>
    </w:p>
    <w:p w14:paraId="15D529A3">
      <w:pPr>
        <w:spacing w:before="216" w:line="355" w:lineRule="auto"/>
        <w:ind w:left="10" w:right="28" w:firstLine="478"/>
        <w:jc w:val="both"/>
        <w:rPr>
          <w:rFonts w:ascii="宋体" w:hAnsi="宋体" w:eastAsia="宋体" w:cs="宋体"/>
          <w:sz w:val="24"/>
          <w:szCs w:val="24"/>
        </w:rPr>
      </w:pPr>
      <w:r>
        <w:rPr>
          <w:rFonts w:ascii="宋体" w:hAnsi="宋体" w:eastAsia="宋体" w:cs="宋体"/>
          <w:spacing w:val="-3"/>
          <w:sz w:val="24"/>
          <w:szCs w:val="24"/>
        </w:rPr>
        <w:t>根据《中华人民共和国环境影响评价法》（</w:t>
      </w:r>
      <w:r>
        <w:rPr>
          <w:rFonts w:ascii="Times New Roman" w:hAnsi="Times New Roman" w:eastAsia="Times New Roman" w:cs="Times New Roman"/>
          <w:spacing w:val="-3"/>
          <w:sz w:val="24"/>
          <w:szCs w:val="24"/>
        </w:rPr>
        <w:t xml:space="preserve">2018 </w:t>
      </w:r>
      <w:r>
        <w:rPr>
          <w:rFonts w:ascii="宋体" w:hAnsi="宋体" w:eastAsia="宋体" w:cs="宋体"/>
          <w:spacing w:val="-3"/>
          <w:sz w:val="24"/>
          <w:szCs w:val="24"/>
        </w:rPr>
        <w:t>年修订）、《建设项目环境保</w:t>
      </w:r>
      <w:r>
        <w:rPr>
          <w:rFonts w:ascii="宋体" w:hAnsi="宋体" w:eastAsia="宋体" w:cs="宋体"/>
          <w:spacing w:val="-4"/>
          <w:sz w:val="24"/>
          <w:szCs w:val="24"/>
        </w:rPr>
        <w:t>护管</w:t>
      </w:r>
      <w:r>
        <w:rPr>
          <w:rFonts w:ascii="宋体" w:hAnsi="宋体" w:eastAsia="宋体" w:cs="宋体"/>
          <w:sz w:val="24"/>
          <w:szCs w:val="24"/>
        </w:rPr>
        <w:t xml:space="preserve"> </w:t>
      </w:r>
      <w:r>
        <w:rPr>
          <w:rFonts w:ascii="宋体" w:hAnsi="宋体" w:eastAsia="宋体" w:cs="宋体"/>
          <w:spacing w:val="-3"/>
          <w:sz w:val="24"/>
          <w:szCs w:val="24"/>
        </w:rPr>
        <w:t>理条例》（国务院令第</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682</w:t>
      </w:r>
      <w:r>
        <w:rPr>
          <w:rFonts w:ascii="Times New Roman" w:hAnsi="Times New Roman" w:eastAsia="Times New Roman" w:cs="Times New Roman"/>
          <w:spacing w:val="15"/>
          <w:w w:val="101"/>
          <w:sz w:val="24"/>
          <w:szCs w:val="24"/>
        </w:rPr>
        <w:t xml:space="preserve"> </w:t>
      </w:r>
      <w:r>
        <w:rPr>
          <w:rFonts w:ascii="宋体" w:hAnsi="宋体" w:eastAsia="宋体" w:cs="宋体"/>
          <w:spacing w:val="-3"/>
          <w:sz w:val="24"/>
          <w:szCs w:val="24"/>
        </w:rPr>
        <w:t>号）有关规定，内蒙古新创发展科技有限公司</w:t>
      </w:r>
      <w:r>
        <w:rPr>
          <w:rFonts w:ascii="宋体" w:hAnsi="宋体" w:eastAsia="宋体" w:cs="宋体"/>
          <w:spacing w:val="-4"/>
          <w:sz w:val="24"/>
          <w:szCs w:val="24"/>
        </w:rPr>
        <w:t>一期</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6×36MW</w:t>
      </w:r>
      <w:r>
        <w:rPr>
          <w:rFonts w:ascii="Times New Roman" w:hAnsi="Times New Roman" w:eastAsia="Times New Roman" w:cs="Times New Roman"/>
          <w:sz w:val="24"/>
          <w:szCs w:val="24"/>
        </w:rPr>
        <w:t xml:space="preserve">  </w:t>
      </w:r>
      <w:r>
        <w:rPr>
          <w:rFonts w:ascii="宋体" w:hAnsi="宋体" w:eastAsia="宋体" w:cs="宋体"/>
          <w:spacing w:val="-2"/>
          <w:sz w:val="24"/>
          <w:szCs w:val="24"/>
        </w:rPr>
        <w:t>直流锰硅合金全密闭电炉项目需进行环境影响评价，因此，内蒙古新创发展科技有限公</w:t>
      </w:r>
      <w:r>
        <w:rPr>
          <w:rFonts w:ascii="宋体" w:hAnsi="宋体" w:eastAsia="宋体" w:cs="宋体"/>
          <w:spacing w:val="15"/>
          <w:sz w:val="24"/>
          <w:szCs w:val="24"/>
        </w:rPr>
        <w:t xml:space="preserve"> </w:t>
      </w:r>
      <w:r>
        <w:rPr>
          <w:rFonts w:ascii="宋体" w:hAnsi="宋体" w:eastAsia="宋体" w:cs="宋体"/>
          <w:spacing w:val="-2"/>
          <w:sz w:val="24"/>
          <w:szCs w:val="24"/>
        </w:rPr>
        <w:t>司委托锡林郭勒盟格林蓝环境科技有限公司承担本项目的环境影响评价工作。根据《建</w:t>
      </w:r>
      <w:r>
        <w:rPr>
          <w:rFonts w:ascii="宋体" w:hAnsi="宋体" w:eastAsia="宋体" w:cs="宋体"/>
          <w:spacing w:val="15"/>
          <w:sz w:val="24"/>
          <w:szCs w:val="24"/>
        </w:rPr>
        <w:t xml:space="preserve"> </w:t>
      </w:r>
      <w:r>
        <w:rPr>
          <w:rFonts w:ascii="宋体" w:hAnsi="宋体" w:eastAsia="宋体" w:cs="宋体"/>
          <w:sz w:val="24"/>
          <w:szCs w:val="24"/>
        </w:rPr>
        <w:t>设项目环境影响评价分类管理名录》（</w:t>
      </w:r>
      <w:r>
        <w:rPr>
          <w:rFonts w:ascii="Times New Roman" w:hAnsi="Times New Roman" w:eastAsia="Times New Roman" w:cs="Times New Roman"/>
          <w:sz w:val="24"/>
          <w:szCs w:val="24"/>
        </w:rPr>
        <w:t>2021</w:t>
      </w:r>
      <w:r>
        <w:rPr>
          <w:rFonts w:ascii="宋体" w:hAnsi="宋体" w:eastAsia="宋体" w:cs="宋体"/>
          <w:sz w:val="24"/>
          <w:szCs w:val="24"/>
        </w:rPr>
        <w:t>年</w:t>
      </w:r>
      <w:r>
        <w:rPr>
          <w:rFonts w:ascii="宋体" w:hAnsi="宋体" w:eastAsia="宋体" w:cs="宋体"/>
          <w:spacing w:val="-1"/>
          <w:sz w:val="24"/>
          <w:szCs w:val="24"/>
        </w:rPr>
        <w:t>版</w:t>
      </w:r>
      <w:r>
        <w:rPr>
          <w:rFonts w:ascii="宋体" w:hAnsi="宋体" w:eastAsia="宋体" w:cs="宋体"/>
          <w:spacing w:val="-23"/>
          <w:sz w:val="24"/>
          <w:szCs w:val="24"/>
        </w:rPr>
        <w:t>），</w:t>
      </w:r>
      <w:r>
        <w:rPr>
          <w:rFonts w:ascii="宋体" w:hAnsi="宋体" w:eastAsia="宋体" w:cs="宋体"/>
          <w:spacing w:val="-1"/>
          <w:sz w:val="24"/>
          <w:szCs w:val="24"/>
        </w:rPr>
        <w:t>本项目建设内容中的锰硅合金生产</w:t>
      </w:r>
      <w:r>
        <w:rPr>
          <w:rFonts w:ascii="宋体" w:hAnsi="宋体" w:eastAsia="宋体" w:cs="宋体"/>
          <w:spacing w:val="1"/>
          <w:sz w:val="24"/>
          <w:szCs w:val="24"/>
        </w:rPr>
        <w:t xml:space="preserve"> </w:t>
      </w:r>
      <w:r>
        <w:rPr>
          <w:rFonts w:ascii="宋体" w:hAnsi="宋体" w:eastAsia="宋体" w:cs="宋体"/>
          <w:sz w:val="24"/>
          <w:szCs w:val="24"/>
        </w:rPr>
        <w:t>属于</w:t>
      </w:r>
      <w:r>
        <w:rPr>
          <w:rFonts w:ascii="Times New Roman" w:hAnsi="Times New Roman" w:eastAsia="Times New Roman" w:cs="Times New Roman"/>
          <w:sz w:val="24"/>
          <w:szCs w:val="24"/>
        </w:rPr>
        <w:t>“</w:t>
      </w:r>
      <w:r>
        <w:rPr>
          <w:rFonts w:ascii="宋体" w:hAnsi="宋体" w:eastAsia="宋体" w:cs="宋体"/>
          <w:sz w:val="24"/>
          <w:szCs w:val="24"/>
        </w:rPr>
        <w:t>二十八、黑色金属冶炼和压延加工业</w:t>
      </w:r>
      <w:r>
        <w:rPr>
          <w:rFonts w:ascii="宋体" w:hAnsi="宋体" w:eastAsia="宋体" w:cs="宋体"/>
          <w:spacing w:val="-50"/>
          <w:sz w:val="24"/>
          <w:szCs w:val="24"/>
        </w:rPr>
        <w:t xml:space="preserve"> </w:t>
      </w:r>
      <w:r>
        <w:rPr>
          <w:rFonts w:ascii="Times New Roman" w:hAnsi="Times New Roman" w:eastAsia="Times New Roman" w:cs="Times New Roman"/>
          <w:sz w:val="24"/>
          <w:szCs w:val="24"/>
        </w:rPr>
        <w:t>31</w:t>
      </w:r>
      <w:r>
        <w:rPr>
          <w:rFonts w:ascii="Times New Roman" w:hAnsi="Times New Roman" w:eastAsia="Times New Roman" w:cs="Times New Roman"/>
          <w:spacing w:val="-29"/>
          <w:sz w:val="24"/>
          <w:szCs w:val="24"/>
        </w:rPr>
        <w:t xml:space="preserve"> </w:t>
      </w:r>
      <w:r>
        <w:rPr>
          <w:rFonts w:ascii="宋体" w:hAnsi="宋体" w:eastAsia="宋体" w:cs="宋体"/>
          <w:sz w:val="24"/>
          <w:szCs w:val="24"/>
        </w:rPr>
        <w:t>，</w:t>
      </w:r>
      <w:r>
        <w:rPr>
          <w:rFonts w:ascii="Times New Roman" w:hAnsi="Times New Roman" w:eastAsia="Times New Roman" w:cs="Times New Roman"/>
          <w:sz w:val="24"/>
          <w:szCs w:val="24"/>
        </w:rPr>
        <w:t>62</w:t>
      </w:r>
      <w:r>
        <w:rPr>
          <w:rFonts w:ascii="Times New Roman" w:hAnsi="Times New Roman" w:eastAsia="Times New Roman" w:cs="Times New Roman"/>
          <w:spacing w:val="-31"/>
          <w:sz w:val="24"/>
          <w:szCs w:val="24"/>
        </w:rPr>
        <w:t xml:space="preserve"> </w:t>
      </w:r>
      <w:r>
        <w:rPr>
          <w:rFonts w:ascii="宋体" w:hAnsi="宋体" w:eastAsia="宋体" w:cs="宋体"/>
          <w:sz w:val="24"/>
          <w:szCs w:val="24"/>
        </w:rPr>
        <w:t>、炼钢</w:t>
      </w:r>
      <w:r>
        <w:rPr>
          <w:rFonts w:ascii="宋体" w:hAnsi="宋体" w:eastAsia="宋体" w:cs="宋体"/>
          <w:spacing w:val="-50"/>
          <w:sz w:val="24"/>
          <w:szCs w:val="24"/>
        </w:rPr>
        <w:t xml:space="preserve"> </w:t>
      </w:r>
      <w:r>
        <w:rPr>
          <w:rFonts w:ascii="Times New Roman" w:hAnsi="Times New Roman" w:eastAsia="Times New Roman" w:cs="Times New Roman"/>
          <w:sz w:val="24"/>
          <w:szCs w:val="24"/>
        </w:rPr>
        <w:t>31</w:t>
      </w:r>
      <w:r>
        <w:rPr>
          <w:rFonts w:ascii="Times New Roman" w:hAnsi="Times New Roman" w:eastAsia="Times New Roman" w:cs="Times New Roman"/>
          <w:spacing w:val="-1"/>
          <w:sz w:val="24"/>
          <w:szCs w:val="24"/>
        </w:rPr>
        <w:t>2</w:t>
      </w:r>
      <w:r>
        <w:rPr>
          <w:rFonts w:ascii="宋体" w:hAnsi="宋体" w:eastAsia="宋体" w:cs="宋体"/>
          <w:spacing w:val="-1"/>
          <w:sz w:val="24"/>
          <w:szCs w:val="24"/>
        </w:rPr>
        <w:t>；铁合金冶炼</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314</w:t>
      </w:r>
      <w:r>
        <w:rPr>
          <w:rFonts w:ascii="宋体" w:hAnsi="宋体" w:eastAsia="宋体" w:cs="宋体"/>
          <w:spacing w:val="-1"/>
          <w:sz w:val="24"/>
          <w:szCs w:val="24"/>
        </w:rPr>
        <w:t>；全部</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 xml:space="preserve"> </w:t>
      </w:r>
      <w:r>
        <w:rPr>
          <w:rFonts w:ascii="宋体" w:hAnsi="宋体" w:eastAsia="宋体" w:cs="宋体"/>
          <w:spacing w:val="-2"/>
          <w:sz w:val="24"/>
          <w:szCs w:val="24"/>
        </w:rPr>
        <w:t>需编制报告书的类别。</w:t>
      </w:r>
    </w:p>
    <w:p w14:paraId="440428DE">
      <w:pPr>
        <w:spacing w:before="36" w:line="352" w:lineRule="auto"/>
        <w:ind w:left="9" w:right="80" w:firstLine="478"/>
        <w:jc w:val="both"/>
        <w:rPr>
          <w:rFonts w:ascii="宋体" w:hAnsi="宋体" w:eastAsia="宋体" w:cs="宋体"/>
          <w:sz w:val="24"/>
          <w:szCs w:val="24"/>
        </w:rPr>
      </w:pPr>
      <w:r>
        <w:rPr>
          <w:rFonts w:ascii="宋体" w:hAnsi="宋体" w:eastAsia="宋体" w:cs="宋体"/>
          <w:spacing w:val="-2"/>
          <w:sz w:val="24"/>
          <w:szCs w:val="24"/>
        </w:rPr>
        <w:t>在接受委托后，我公司环评技术人员严格按照国家的有关法规，内蒙古自治区、锡</w:t>
      </w:r>
      <w:r>
        <w:rPr>
          <w:rFonts w:ascii="宋体" w:hAnsi="宋体" w:eastAsia="宋体" w:cs="宋体"/>
          <w:spacing w:val="14"/>
          <w:sz w:val="24"/>
          <w:szCs w:val="24"/>
        </w:rPr>
        <w:t xml:space="preserve"> </w:t>
      </w:r>
      <w:r>
        <w:rPr>
          <w:rFonts w:ascii="宋体" w:hAnsi="宋体" w:eastAsia="宋体" w:cs="宋体"/>
          <w:spacing w:val="-2"/>
          <w:sz w:val="24"/>
          <w:szCs w:val="24"/>
        </w:rPr>
        <w:t>林郭勒盟及苏尼特右旗生态环境部门的相关要求，认真研究该项目的有关文件，并进行</w:t>
      </w:r>
      <w:r>
        <w:rPr>
          <w:rFonts w:ascii="宋体" w:hAnsi="宋体" w:eastAsia="宋体" w:cs="宋体"/>
          <w:spacing w:val="16"/>
          <w:sz w:val="24"/>
          <w:szCs w:val="24"/>
        </w:rPr>
        <w:t xml:space="preserve"> </w:t>
      </w:r>
      <w:r>
        <w:rPr>
          <w:rFonts w:ascii="宋体" w:hAnsi="宋体" w:eastAsia="宋体" w:cs="宋体"/>
          <w:spacing w:val="-2"/>
          <w:sz w:val="24"/>
          <w:szCs w:val="24"/>
        </w:rPr>
        <w:t>实地踏勘和调研，收集和核实了有关材料，根据有关工程资料，在现场调查、预测计算</w:t>
      </w:r>
      <w:r>
        <w:rPr>
          <w:rFonts w:ascii="宋体" w:hAnsi="宋体" w:eastAsia="宋体" w:cs="宋体"/>
          <w:spacing w:val="16"/>
          <w:sz w:val="24"/>
          <w:szCs w:val="24"/>
        </w:rPr>
        <w:t xml:space="preserve"> </w:t>
      </w:r>
      <w:r>
        <w:rPr>
          <w:rFonts w:ascii="宋体" w:hAnsi="宋体" w:eastAsia="宋体" w:cs="宋体"/>
          <w:spacing w:val="-1"/>
          <w:sz w:val="24"/>
          <w:szCs w:val="24"/>
        </w:rPr>
        <w:t>分析等环节工作的基础上，编制完成了本报告书。环境影响评价工作程序详见</w:t>
      </w:r>
      <w:r>
        <w:rPr>
          <w:rFonts w:ascii="宋体" w:hAnsi="宋体" w:eastAsia="宋体" w:cs="宋体"/>
          <w:spacing w:val="-2"/>
          <w:sz w:val="24"/>
          <w:szCs w:val="24"/>
        </w:rPr>
        <w:t>图</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w:t>
      </w:r>
      <w:r>
        <w:rPr>
          <w:rFonts w:ascii="宋体" w:hAnsi="宋体" w:eastAsia="宋体" w:cs="宋体"/>
          <w:spacing w:val="-2"/>
          <w:sz w:val="24"/>
          <w:szCs w:val="24"/>
        </w:rPr>
        <w:t>。</w:t>
      </w:r>
    </w:p>
    <w:p w14:paraId="7CC4399B">
      <w:pPr>
        <w:spacing w:line="352" w:lineRule="auto"/>
        <w:rPr>
          <w:rFonts w:ascii="宋体" w:hAnsi="宋体" w:eastAsia="宋体" w:cs="宋体"/>
          <w:sz w:val="24"/>
          <w:szCs w:val="24"/>
        </w:rPr>
        <w:sectPr>
          <w:headerReference r:id="rId13" w:type="default"/>
          <w:footerReference r:id="rId14" w:type="default"/>
          <w:pgSz w:w="11906" w:h="16839"/>
          <w:pgMar w:top="1178" w:right="1337" w:bottom="1212" w:left="1417" w:header="870" w:footer="1025" w:gutter="0"/>
          <w:cols w:space="720" w:num="1"/>
        </w:sectPr>
      </w:pPr>
    </w:p>
    <w:p w14:paraId="5CE17D98">
      <w:pPr>
        <w:pStyle w:val="2"/>
        <w:spacing w:line="269" w:lineRule="auto"/>
      </w:pPr>
      <w:r>
        <w:pict>
          <v:shape id="_x0000_s1032" o:spid="_x0000_s1032" style="position:absolute;left:0pt;margin-left:0pt;margin-top:0.7pt;height:0.75pt;width:453.65pt;z-index:251666432;mso-width-relative:page;mso-height-relative:page;" fillcolor="#000000" filled="t" stroked="f" coordsize="9072,15" path="m0,0l9072,0,9072,14,0,14,0,0xe">
            <v:path/>
            <v:fill on="t" focussize="0,0"/>
            <v:stroke on="f"/>
            <v:imagedata o:title=""/>
            <o:lock v:ext="edit"/>
          </v:shape>
        </w:pict>
      </w:r>
    </w:p>
    <w:p w14:paraId="4D263BFC">
      <w:pPr>
        <w:spacing w:line="10195" w:lineRule="exact"/>
        <w:ind w:firstLine="106"/>
      </w:pPr>
      <w:r>
        <w:rPr>
          <w:position w:val="-203"/>
        </w:rPr>
        <w:drawing>
          <wp:inline distT="0" distB="0" distL="0" distR="0">
            <wp:extent cx="5394325" cy="647382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580"/>
                    <a:stretch>
                      <a:fillRect/>
                    </a:stretch>
                  </pic:blipFill>
                  <pic:spPr>
                    <a:xfrm>
                      <a:off x="0" y="0"/>
                      <a:ext cx="5394959" cy="6473952"/>
                    </a:xfrm>
                    <a:prstGeom prst="rect">
                      <a:avLst/>
                    </a:prstGeom>
                  </pic:spPr>
                </pic:pic>
              </a:graphicData>
            </a:graphic>
          </wp:inline>
        </w:drawing>
      </w:r>
    </w:p>
    <w:p w14:paraId="6C17FD40">
      <w:pPr>
        <w:spacing w:before="167" w:line="226" w:lineRule="auto"/>
        <w:ind w:left="2588"/>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16"/>
          <w:sz w:val="20"/>
          <w:szCs w:val="20"/>
        </w:rPr>
        <w:t xml:space="preserve"> </w:t>
      </w:r>
      <w:r>
        <w:rPr>
          <w:rFonts w:ascii="Times New Roman" w:hAnsi="Times New Roman" w:eastAsia="Times New Roman" w:cs="Times New Roman"/>
          <w:b/>
          <w:bCs/>
          <w:spacing w:val="4"/>
          <w:sz w:val="20"/>
          <w:szCs w:val="20"/>
        </w:rPr>
        <w:t xml:space="preserve">1        </w:t>
      </w:r>
      <w:r>
        <w:rPr>
          <w:rFonts w:ascii="宋体" w:hAnsi="宋体" w:eastAsia="宋体" w:cs="宋体"/>
          <w:b/>
          <w:bCs/>
          <w:spacing w:val="4"/>
          <w:sz w:val="20"/>
          <w:szCs w:val="20"/>
        </w:rPr>
        <w:t>建设项目环境影响评价工作程序图</w:t>
      </w:r>
    </w:p>
    <w:p w14:paraId="74CCABE5">
      <w:pPr>
        <w:spacing w:before="298" w:line="228" w:lineRule="auto"/>
        <w:ind w:left="12"/>
        <w:outlineLvl w:val="1"/>
        <w:rPr>
          <w:rFonts w:ascii="黑体" w:hAnsi="黑体" w:eastAsia="黑体" w:cs="黑体"/>
          <w:sz w:val="31"/>
          <w:szCs w:val="31"/>
        </w:rPr>
      </w:pPr>
      <w:bookmarkStart w:id="253" w:name="bookmark7"/>
      <w:bookmarkEnd w:id="253"/>
      <w:bookmarkStart w:id="254" w:name="bookmark8"/>
      <w:bookmarkEnd w:id="254"/>
      <w:r>
        <w:rPr>
          <w:rFonts w:ascii="Times New Roman" w:hAnsi="Times New Roman" w:eastAsia="Times New Roman" w:cs="Times New Roman"/>
          <w:spacing w:val="7"/>
          <w:sz w:val="31"/>
          <w:szCs w:val="31"/>
        </w:rPr>
        <w:t>3.</w:t>
      </w:r>
      <w:r>
        <w:rPr>
          <w:rFonts w:ascii="黑体" w:hAnsi="黑体" w:eastAsia="黑体" w:cs="黑体"/>
          <w:spacing w:val="7"/>
          <w:sz w:val="31"/>
          <w:szCs w:val="31"/>
        </w:rPr>
        <w:t>分析判定相关情况</w:t>
      </w:r>
    </w:p>
    <w:p w14:paraId="073ECD73">
      <w:pPr>
        <w:pStyle w:val="2"/>
        <w:spacing w:line="258" w:lineRule="auto"/>
      </w:pPr>
    </w:p>
    <w:p w14:paraId="39092F23">
      <w:pPr>
        <w:spacing w:before="98" w:line="222" w:lineRule="auto"/>
        <w:ind w:left="11"/>
        <w:outlineLvl w:val="2"/>
        <w:rPr>
          <w:rFonts w:ascii="黑体" w:hAnsi="黑体" w:eastAsia="黑体" w:cs="黑体"/>
          <w:sz w:val="30"/>
          <w:szCs w:val="30"/>
        </w:rPr>
      </w:pPr>
      <w:bookmarkStart w:id="255" w:name="bookmark10"/>
      <w:bookmarkEnd w:id="255"/>
      <w:bookmarkStart w:id="256" w:name="bookmark9"/>
      <w:bookmarkEnd w:id="256"/>
      <w:r>
        <w:rPr>
          <w:rFonts w:ascii="Times New Roman" w:hAnsi="Times New Roman" w:eastAsia="Times New Roman" w:cs="Times New Roman"/>
          <w:spacing w:val="-1"/>
          <w:sz w:val="30"/>
          <w:szCs w:val="30"/>
        </w:rPr>
        <w:t xml:space="preserve">3.1 </w:t>
      </w:r>
      <w:r>
        <w:rPr>
          <w:rFonts w:ascii="黑体" w:hAnsi="黑体" w:eastAsia="黑体" w:cs="黑体"/>
          <w:spacing w:val="-1"/>
          <w:sz w:val="30"/>
          <w:szCs w:val="30"/>
        </w:rPr>
        <w:t>产业政策符合性分析</w:t>
      </w:r>
    </w:p>
    <w:p w14:paraId="0A16A79F">
      <w:pPr>
        <w:spacing w:before="210" w:line="353" w:lineRule="auto"/>
        <w:ind w:left="8" w:firstLine="480"/>
        <w:rPr>
          <w:rFonts w:ascii="宋体" w:hAnsi="宋体" w:eastAsia="宋体" w:cs="宋体"/>
          <w:sz w:val="24"/>
          <w:szCs w:val="24"/>
        </w:rPr>
      </w:pPr>
      <w:r>
        <w:rPr>
          <w:rFonts w:ascii="宋体" w:hAnsi="宋体" w:eastAsia="宋体" w:cs="宋体"/>
          <w:spacing w:val="-2"/>
          <w:sz w:val="24"/>
          <w:szCs w:val="24"/>
        </w:rPr>
        <w:t>根据《产业结构调整指导目录（</w:t>
      </w:r>
      <w:r>
        <w:rPr>
          <w:rFonts w:ascii="Times New Roman" w:hAnsi="Times New Roman" w:eastAsia="Times New Roman" w:cs="Times New Roman"/>
          <w:spacing w:val="-2"/>
          <w:sz w:val="24"/>
          <w:szCs w:val="24"/>
        </w:rPr>
        <w:t>2024</w:t>
      </w:r>
      <w:r>
        <w:rPr>
          <w:rFonts w:ascii="宋体" w:hAnsi="宋体" w:eastAsia="宋体" w:cs="宋体"/>
          <w:spacing w:val="-2"/>
          <w:sz w:val="24"/>
          <w:szCs w:val="24"/>
        </w:rPr>
        <w:t>年本）》本项目不属于鼓励类、限制类和淘汰</w:t>
      </w:r>
      <w:r>
        <w:rPr>
          <w:rFonts w:ascii="宋体" w:hAnsi="宋体" w:eastAsia="宋体" w:cs="宋体"/>
          <w:spacing w:val="17"/>
          <w:sz w:val="24"/>
          <w:szCs w:val="24"/>
        </w:rPr>
        <w:t xml:space="preserve"> </w:t>
      </w:r>
      <w:r>
        <w:rPr>
          <w:rFonts w:ascii="宋体" w:hAnsi="宋体" w:eastAsia="宋体" w:cs="宋体"/>
          <w:spacing w:val="-2"/>
          <w:sz w:val="24"/>
          <w:szCs w:val="24"/>
        </w:rPr>
        <w:t>类，属于允许类项目，同时项目取得了苏尼特右旗发展和改革委员会出具的项目备案告</w:t>
      </w:r>
      <w:r>
        <w:rPr>
          <w:rFonts w:ascii="宋体" w:hAnsi="宋体" w:eastAsia="宋体" w:cs="宋体"/>
          <w:spacing w:val="17"/>
          <w:sz w:val="24"/>
          <w:szCs w:val="24"/>
        </w:rPr>
        <w:t xml:space="preserve"> </w:t>
      </w:r>
      <w:r>
        <w:rPr>
          <w:rFonts w:ascii="宋体" w:hAnsi="宋体" w:eastAsia="宋体" w:cs="宋体"/>
          <w:sz w:val="24"/>
          <w:szCs w:val="24"/>
        </w:rPr>
        <w:t>知书，项目代码为：</w:t>
      </w:r>
      <w:r>
        <w:rPr>
          <w:rFonts w:ascii="Times New Roman" w:hAnsi="Times New Roman" w:eastAsia="Times New Roman" w:cs="Times New Roman"/>
          <w:sz w:val="24"/>
          <w:szCs w:val="24"/>
        </w:rPr>
        <w:t>2405-152524-04-01-407023</w:t>
      </w:r>
      <w:r>
        <w:rPr>
          <w:rFonts w:ascii="Times New Roman" w:hAnsi="Times New Roman" w:eastAsia="Times New Roman" w:cs="Times New Roman"/>
          <w:spacing w:val="-27"/>
          <w:sz w:val="24"/>
          <w:szCs w:val="24"/>
        </w:rPr>
        <w:t xml:space="preserve"> </w:t>
      </w:r>
      <w:r>
        <w:rPr>
          <w:rFonts w:ascii="宋体" w:hAnsi="宋体" w:eastAsia="宋体" w:cs="宋体"/>
          <w:spacing w:val="-1"/>
          <w:sz w:val="24"/>
          <w:szCs w:val="24"/>
        </w:rPr>
        <w:t>。由表</w:t>
      </w:r>
      <w:r>
        <w:rPr>
          <w:rFonts w:ascii="Times New Roman" w:hAnsi="Times New Roman" w:eastAsia="Times New Roman" w:cs="Times New Roman"/>
          <w:spacing w:val="-1"/>
          <w:sz w:val="24"/>
          <w:szCs w:val="24"/>
        </w:rPr>
        <w:t>1</w:t>
      </w:r>
      <w:r>
        <w:rPr>
          <w:rFonts w:ascii="宋体" w:hAnsi="宋体" w:eastAsia="宋体" w:cs="宋体"/>
          <w:spacing w:val="-1"/>
          <w:sz w:val="24"/>
          <w:szCs w:val="24"/>
        </w:rPr>
        <w:t>可以看出，项目符合产业政策、</w:t>
      </w:r>
      <w:r>
        <w:rPr>
          <w:rFonts w:ascii="宋体" w:hAnsi="宋体" w:eastAsia="宋体" w:cs="宋体"/>
          <w:sz w:val="24"/>
          <w:szCs w:val="24"/>
        </w:rPr>
        <w:t xml:space="preserve"> </w:t>
      </w:r>
      <w:r>
        <w:rPr>
          <w:rFonts w:ascii="宋体" w:hAnsi="宋体" w:eastAsia="宋体" w:cs="宋体"/>
          <w:spacing w:val="-3"/>
          <w:sz w:val="24"/>
          <w:szCs w:val="24"/>
        </w:rPr>
        <w:t>产业结构调整指导目录等相关产业政策要求。本项目与相关产业政策符合性分析见表</w:t>
      </w:r>
      <w:r>
        <w:rPr>
          <w:rFonts w:ascii="Times New Roman" w:hAnsi="Times New Roman" w:eastAsia="Times New Roman" w:cs="Times New Roman"/>
          <w:spacing w:val="-3"/>
          <w:sz w:val="24"/>
          <w:szCs w:val="24"/>
        </w:rPr>
        <w:t>1</w:t>
      </w:r>
      <w:r>
        <w:rPr>
          <w:rFonts w:ascii="宋体" w:hAnsi="宋体" w:eastAsia="宋体" w:cs="宋体"/>
          <w:spacing w:val="-3"/>
          <w:sz w:val="24"/>
          <w:szCs w:val="24"/>
        </w:rPr>
        <w:t>。</w:t>
      </w:r>
    </w:p>
    <w:p w14:paraId="1805A62B">
      <w:pPr>
        <w:spacing w:line="353" w:lineRule="auto"/>
        <w:rPr>
          <w:rFonts w:ascii="宋体" w:hAnsi="宋体" w:eastAsia="宋体" w:cs="宋体"/>
          <w:sz w:val="24"/>
          <w:szCs w:val="24"/>
        </w:rPr>
        <w:sectPr>
          <w:footerReference r:id="rId15" w:type="default"/>
          <w:pgSz w:w="11906" w:h="16839"/>
          <w:pgMar w:top="1178" w:right="1337" w:bottom="1212" w:left="1417" w:header="870" w:footer="1025" w:gutter="0"/>
          <w:cols w:space="720" w:num="1"/>
        </w:sectPr>
      </w:pPr>
    </w:p>
    <w:p w14:paraId="737EB650">
      <w:pPr>
        <w:spacing w:before="269" w:line="227" w:lineRule="auto"/>
        <w:ind w:left="1698"/>
        <w:rPr>
          <w:rFonts w:ascii="宋体" w:hAnsi="宋体" w:eastAsia="宋体" w:cs="宋体"/>
          <w:sz w:val="20"/>
          <w:szCs w:val="20"/>
        </w:rPr>
      </w:pPr>
      <w:r>
        <w:pict>
          <v:shape id="_x0000_s1033" o:spid="_x0000_s1033" style="position:absolute;left:0pt;margin-left:70.85pt;margin-top:59.65pt;height:0.75pt;width:453.65pt;mso-position-horizontal-relative:page;mso-position-vertical-relative:page;z-index:25166745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6"/>
          <w:sz w:val="20"/>
          <w:szCs w:val="20"/>
        </w:rPr>
        <w:t>表</w:t>
      </w:r>
      <w:r>
        <w:rPr>
          <w:rFonts w:ascii="宋体" w:hAnsi="宋体" w:eastAsia="宋体" w:cs="宋体"/>
          <w:spacing w:val="-31"/>
          <w:sz w:val="20"/>
          <w:szCs w:val="20"/>
        </w:rPr>
        <w:t xml:space="preserve"> </w:t>
      </w:r>
      <w:r>
        <w:rPr>
          <w:rFonts w:ascii="Times New Roman" w:hAnsi="Times New Roman" w:eastAsia="Times New Roman" w:cs="Times New Roman"/>
          <w:b/>
          <w:bCs/>
          <w:spacing w:val="6"/>
          <w:sz w:val="20"/>
          <w:szCs w:val="20"/>
        </w:rPr>
        <w:t xml:space="preserve">1        </w:t>
      </w:r>
      <w:r>
        <w:rPr>
          <w:rFonts w:ascii="宋体" w:hAnsi="宋体" w:eastAsia="宋体" w:cs="宋体"/>
          <w:b/>
          <w:bCs/>
          <w:spacing w:val="6"/>
          <w:sz w:val="20"/>
          <w:szCs w:val="20"/>
        </w:rPr>
        <w:t>项目与产业结构调整指导目录（</w:t>
      </w:r>
      <w:r>
        <w:rPr>
          <w:rFonts w:ascii="Times New Roman" w:hAnsi="Times New Roman" w:eastAsia="Times New Roman" w:cs="Times New Roman"/>
          <w:b/>
          <w:bCs/>
          <w:spacing w:val="6"/>
          <w:sz w:val="20"/>
          <w:szCs w:val="20"/>
        </w:rPr>
        <w:t xml:space="preserve">2024 </w:t>
      </w:r>
      <w:r>
        <w:rPr>
          <w:rFonts w:ascii="宋体" w:hAnsi="宋体" w:eastAsia="宋体" w:cs="宋体"/>
          <w:b/>
          <w:bCs/>
          <w:spacing w:val="6"/>
          <w:sz w:val="20"/>
          <w:szCs w:val="20"/>
        </w:rPr>
        <w:t>年本）</w:t>
      </w:r>
      <w:r>
        <w:rPr>
          <w:rFonts w:ascii="宋体" w:hAnsi="宋体" w:eastAsia="宋体" w:cs="宋体"/>
          <w:b/>
          <w:bCs/>
          <w:spacing w:val="5"/>
          <w:sz w:val="20"/>
          <w:szCs w:val="20"/>
        </w:rPr>
        <w:t>的符合性</w:t>
      </w:r>
    </w:p>
    <w:p w14:paraId="02804726">
      <w:pPr>
        <w:spacing w:line="132" w:lineRule="exact"/>
      </w:pPr>
    </w:p>
    <w:tbl>
      <w:tblPr>
        <w:tblStyle w:val="5"/>
        <w:tblW w:w="9067"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61"/>
        <w:gridCol w:w="4999"/>
        <w:gridCol w:w="2355"/>
        <w:gridCol w:w="952"/>
      </w:tblGrid>
      <w:tr w14:paraId="2DABE3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1" w:type="dxa"/>
            <w:tcBorders>
              <w:top w:val="single" w:color="000000" w:sz="10" w:space="0"/>
              <w:left w:val="nil"/>
            </w:tcBorders>
            <w:vAlign w:val="top"/>
          </w:tcPr>
          <w:p w14:paraId="2220A495">
            <w:pPr>
              <w:pStyle w:val="6"/>
              <w:spacing w:before="59" w:line="220" w:lineRule="auto"/>
              <w:ind w:left="166"/>
            </w:pPr>
            <w:r>
              <w:rPr>
                <w:spacing w:val="-4"/>
              </w:rPr>
              <w:t>类别</w:t>
            </w:r>
          </w:p>
        </w:tc>
        <w:tc>
          <w:tcPr>
            <w:tcW w:w="4999" w:type="dxa"/>
            <w:tcBorders>
              <w:top w:val="single" w:color="000000" w:sz="10" w:space="0"/>
            </w:tcBorders>
            <w:vAlign w:val="top"/>
          </w:tcPr>
          <w:p w14:paraId="317CF732">
            <w:pPr>
              <w:pStyle w:val="6"/>
              <w:spacing w:before="59" w:line="221" w:lineRule="auto"/>
              <w:ind w:left="2064"/>
            </w:pPr>
            <w:r>
              <w:rPr>
                <w:spacing w:val="-2"/>
              </w:rPr>
              <w:t>相关要求</w:t>
            </w:r>
          </w:p>
        </w:tc>
        <w:tc>
          <w:tcPr>
            <w:tcW w:w="2355" w:type="dxa"/>
            <w:tcBorders>
              <w:top w:val="single" w:color="000000" w:sz="10" w:space="0"/>
            </w:tcBorders>
            <w:vAlign w:val="top"/>
          </w:tcPr>
          <w:p w14:paraId="7BA45ADF">
            <w:pPr>
              <w:pStyle w:val="6"/>
              <w:spacing w:before="59" w:line="219" w:lineRule="auto"/>
              <w:ind w:left="632"/>
            </w:pPr>
            <w:r>
              <w:rPr>
                <w:spacing w:val="-2"/>
              </w:rPr>
              <w:t>本项目情况</w:t>
            </w:r>
          </w:p>
        </w:tc>
        <w:tc>
          <w:tcPr>
            <w:tcW w:w="952" w:type="dxa"/>
            <w:tcBorders>
              <w:top w:val="single" w:color="000000" w:sz="10" w:space="0"/>
              <w:right w:val="nil"/>
            </w:tcBorders>
            <w:vAlign w:val="top"/>
          </w:tcPr>
          <w:p w14:paraId="16939BFC">
            <w:pPr>
              <w:pStyle w:val="6"/>
              <w:spacing w:before="59" w:line="221" w:lineRule="auto"/>
              <w:ind w:left="49"/>
            </w:pPr>
            <w:r>
              <w:rPr>
                <w:spacing w:val="-3"/>
              </w:rPr>
              <w:t>是否属于</w:t>
            </w:r>
          </w:p>
        </w:tc>
      </w:tr>
      <w:tr w14:paraId="7D7E34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761" w:type="dxa"/>
            <w:tcBorders>
              <w:left w:val="nil"/>
            </w:tcBorders>
            <w:vAlign w:val="top"/>
          </w:tcPr>
          <w:p w14:paraId="6CD05F68">
            <w:pPr>
              <w:pStyle w:val="6"/>
              <w:spacing w:before="56" w:line="220" w:lineRule="auto"/>
              <w:ind w:left="57"/>
            </w:pPr>
            <w:r>
              <w:rPr>
                <w:spacing w:val="-3"/>
              </w:rPr>
              <w:t>鼓励类</w:t>
            </w:r>
          </w:p>
        </w:tc>
        <w:tc>
          <w:tcPr>
            <w:tcW w:w="4999" w:type="dxa"/>
            <w:vAlign w:val="top"/>
          </w:tcPr>
          <w:p w14:paraId="05790434">
            <w:pPr>
              <w:pStyle w:val="6"/>
              <w:spacing w:before="56" w:line="221" w:lineRule="auto"/>
              <w:ind w:left="1955"/>
            </w:pPr>
            <w:r>
              <w:rPr>
                <w:spacing w:val="-2"/>
              </w:rPr>
              <w:t>无相关要求</w:t>
            </w:r>
          </w:p>
        </w:tc>
        <w:tc>
          <w:tcPr>
            <w:tcW w:w="2355" w:type="dxa"/>
            <w:vAlign w:val="top"/>
          </w:tcPr>
          <w:p w14:paraId="647EC0D3">
            <w:pPr>
              <w:spacing w:before="90" w:line="193" w:lineRule="auto"/>
              <w:ind w:left="1144"/>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952" w:type="dxa"/>
            <w:tcBorders>
              <w:right w:val="nil"/>
            </w:tcBorders>
            <w:vAlign w:val="top"/>
          </w:tcPr>
          <w:p w14:paraId="0ADD9B86">
            <w:pPr>
              <w:pStyle w:val="6"/>
              <w:spacing w:before="56" w:line="221" w:lineRule="auto"/>
              <w:ind w:left="381"/>
            </w:pPr>
            <w:r>
              <w:t>否</w:t>
            </w:r>
          </w:p>
        </w:tc>
      </w:tr>
      <w:tr w14:paraId="7D9592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761" w:type="dxa"/>
            <w:vMerge w:val="restart"/>
            <w:tcBorders>
              <w:left w:val="nil"/>
              <w:bottom w:val="nil"/>
            </w:tcBorders>
            <w:vAlign w:val="top"/>
          </w:tcPr>
          <w:p w14:paraId="555E72DB">
            <w:pPr>
              <w:spacing w:line="263" w:lineRule="auto"/>
              <w:rPr>
                <w:rFonts w:ascii="Arial"/>
                <w:sz w:val="21"/>
              </w:rPr>
            </w:pPr>
          </w:p>
          <w:p w14:paraId="44849B64">
            <w:pPr>
              <w:spacing w:line="264" w:lineRule="auto"/>
              <w:rPr>
                <w:rFonts w:ascii="Arial"/>
                <w:sz w:val="21"/>
              </w:rPr>
            </w:pPr>
          </w:p>
          <w:p w14:paraId="643628A9">
            <w:pPr>
              <w:spacing w:line="264" w:lineRule="auto"/>
              <w:rPr>
                <w:rFonts w:ascii="Arial"/>
                <w:sz w:val="21"/>
              </w:rPr>
            </w:pPr>
          </w:p>
          <w:p w14:paraId="06591B9D">
            <w:pPr>
              <w:spacing w:line="264" w:lineRule="auto"/>
              <w:rPr>
                <w:rFonts w:ascii="Arial"/>
                <w:sz w:val="21"/>
              </w:rPr>
            </w:pPr>
          </w:p>
          <w:p w14:paraId="373FA7B6">
            <w:pPr>
              <w:spacing w:line="264" w:lineRule="auto"/>
              <w:rPr>
                <w:rFonts w:ascii="Arial"/>
                <w:sz w:val="21"/>
              </w:rPr>
            </w:pPr>
          </w:p>
          <w:p w14:paraId="69190C01">
            <w:pPr>
              <w:pStyle w:val="6"/>
              <w:spacing w:before="72" w:line="220" w:lineRule="auto"/>
              <w:ind w:left="71"/>
            </w:pPr>
            <w:r>
              <w:rPr>
                <w:spacing w:val="-8"/>
              </w:rPr>
              <w:t>限制类</w:t>
            </w:r>
          </w:p>
        </w:tc>
        <w:tc>
          <w:tcPr>
            <w:tcW w:w="4999" w:type="dxa"/>
            <w:vAlign w:val="top"/>
          </w:tcPr>
          <w:p w14:paraId="72B6C6E4">
            <w:pPr>
              <w:pStyle w:val="6"/>
              <w:spacing w:before="59" w:line="233" w:lineRule="auto"/>
              <w:ind w:left="60" w:right="14" w:firstLine="11"/>
              <w:jc w:val="both"/>
            </w:pPr>
            <w:r>
              <w:rPr>
                <w:spacing w:val="-4"/>
              </w:rPr>
              <w:t>铁合金、铸造生铁用步进式烧结机，</w:t>
            </w:r>
            <w:r>
              <w:rPr>
                <w:rFonts w:ascii="Times New Roman" w:hAnsi="Times New Roman" w:eastAsia="Times New Roman" w:cs="Times New Roman"/>
                <w:spacing w:val="-4"/>
              </w:rPr>
              <w:t xml:space="preserve">180 </w:t>
            </w:r>
            <w:r>
              <w:rPr>
                <w:spacing w:val="-4"/>
              </w:rPr>
              <w:t>平方米以下</w:t>
            </w:r>
            <w:r>
              <w:rPr>
                <w:spacing w:val="1"/>
              </w:rPr>
              <w:t xml:space="preserve"> </w:t>
            </w:r>
            <w:r>
              <w:rPr>
                <w:spacing w:val="3"/>
              </w:rPr>
              <w:t>带式烧结机（铁合金烧结机、铸造用生铁烧结机除</w:t>
            </w:r>
            <w:r>
              <w:rPr>
                <w:spacing w:val="9"/>
              </w:rPr>
              <w:t xml:space="preserve"> </w:t>
            </w:r>
            <w:r>
              <w:rPr>
                <w:spacing w:val="-7"/>
              </w:rPr>
              <w:t>外）</w:t>
            </w:r>
          </w:p>
        </w:tc>
        <w:tc>
          <w:tcPr>
            <w:tcW w:w="2355" w:type="dxa"/>
            <w:vMerge w:val="restart"/>
            <w:tcBorders>
              <w:bottom w:val="nil"/>
            </w:tcBorders>
            <w:vAlign w:val="top"/>
          </w:tcPr>
          <w:p w14:paraId="21E235F9">
            <w:pPr>
              <w:spacing w:line="305" w:lineRule="auto"/>
              <w:rPr>
                <w:rFonts w:ascii="Arial"/>
                <w:sz w:val="21"/>
              </w:rPr>
            </w:pPr>
          </w:p>
          <w:p w14:paraId="2631ABD7">
            <w:pPr>
              <w:spacing w:line="305" w:lineRule="auto"/>
              <w:rPr>
                <w:rFonts w:ascii="Arial"/>
                <w:sz w:val="21"/>
              </w:rPr>
            </w:pPr>
          </w:p>
          <w:p w14:paraId="285E702F">
            <w:pPr>
              <w:pStyle w:val="6"/>
              <w:spacing w:before="72" w:line="236" w:lineRule="auto"/>
              <w:ind w:left="55" w:right="15" w:firstLine="18"/>
              <w:jc w:val="both"/>
            </w:pPr>
            <w:r>
              <w:rPr>
                <w:spacing w:val="-5"/>
              </w:rPr>
              <w:t>本次新建</w:t>
            </w:r>
            <w:r>
              <w:rPr>
                <w:spacing w:val="-44"/>
              </w:rPr>
              <w:t xml:space="preserve"> </w:t>
            </w:r>
            <w:r>
              <w:rPr>
                <w:rFonts w:ascii="Times New Roman" w:hAnsi="Times New Roman" w:eastAsia="Times New Roman" w:cs="Times New Roman"/>
                <w:spacing w:val="-5"/>
              </w:rPr>
              <w:t>6</w:t>
            </w:r>
            <w:r>
              <w:rPr>
                <w:rFonts w:ascii="Times New Roman" w:hAnsi="Times New Roman" w:eastAsia="Times New Roman" w:cs="Times New Roman"/>
                <w:spacing w:val="26"/>
                <w:w w:val="101"/>
              </w:rPr>
              <w:t xml:space="preserve"> </w:t>
            </w:r>
            <w:r>
              <w:rPr>
                <w:spacing w:val="-5"/>
              </w:rPr>
              <w:t>台</w:t>
            </w:r>
            <w:r>
              <w:rPr>
                <w:spacing w:val="-49"/>
              </w:rPr>
              <w:t xml:space="preserve"> </w:t>
            </w:r>
            <w:r>
              <w:rPr>
                <w:rFonts w:ascii="Times New Roman" w:hAnsi="Times New Roman" w:eastAsia="Times New Roman" w:cs="Times New Roman"/>
                <w:spacing w:val="-5"/>
              </w:rPr>
              <w:t xml:space="preserve">36MW </w:t>
            </w:r>
            <w:r>
              <w:rPr>
                <w:spacing w:val="-5"/>
              </w:rPr>
              <w:t>全</w:t>
            </w:r>
            <w:r>
              <w:t xml:space="preserve"> </w:t>
            </w:r>
            <w:r>
              <w:rPr>
                <w:spacing w:val="7"/>
              </w:rPr>
              <w:t>密闭式矿热电炉生产锰</w:t>
            </w:r>
            <w:r>
              <w:rPr>
                <w:spacing w:val="6"/>
              </w:rPr>
              <w:t xml:space="preserve"> </w:t>
            </w:r>
            <w:r>
              <w:rPr>
                <w:spacing w:val="7"/>
              </w:rPr>
              <w:t>硅合金，项目已获得苏</w:t>
            </w:r>
            <w:r>
              <w:rPr>
                <w:spacing w:val="8"/>
              </w:rPr>
              <w:t xml:space="preserve"> </w:t>
            </w:r>
            <w:r>
              <w:rPr>
                <w:spacing w:val="7"/>
              </w:rPr>
              <w:t>尼特右旗发展和改革委</w:t>
            </w:r>
            <w:r>
              <w:rPr>
                <w:spacing w:val="6"/>
              </w:rPr>
              <w:t xml:space="preserve"> </w:t>
            </w:r>
            <w:r>
              <w:rPr>
                <w:spacing w:val="7"/>
              </w:rPr>
              <w:t>员会出具的项目备案告</w:t>
            </w:r>
            <w:r>
              <w:rPr>
                <w:spacing w:val="6"/>
              </w:rPr>
              <w:t xml:space="preserve"> </w:t>
            </w:r>
            <w:r>
              <w:rPr>
                <w:spacing w:val="-2"/>
              </w:rPr>
              <w:t>知书。</w:t>
            </w:r>
          </w:p>
        </w:tc>
        <w:tc>
          <w:tcPr>
            <w:tcW w:w="952" w:type="dxa"/>
            <w:vMerge w:val="restart"/>
            <w:tcBorders>
              <w:bottom w:val="nil"/>
              <w:right w:val="nil"/>
            </w:tcBorders>
            <w:vAlign w:val="top"/>
          </w:tcPr>
          <w:p w14:paraId="6BE65A9E">
            <w:pPr>
              <w:spacing w:line="263" w:lineRule="auto"/>
              <w:rPr>
                <w:rFonts w:ascii="Arial"/>
                <w:sz w:val="21"/>
              </w:rPr>
            </w:pPr>
          </w:p>
          <w:p w14:paraId="690A7B65">
            <w:pPr>
              <w:spacing w:line="264" w:lineRule="auto"/>
              <w:rPr>
                <w:rFonts w:ascii="Arial"/>
                <w:sz w:val="21"/>
              </w:rPr>
            </w:pPr>
          </w:p>
          <w:p w14:paraId="7470D536">
            <w:pPr>
              <w:spacing w:line="264" w:lineRule="auto"/>
              <w:rPr>
                <w:rFonts w:ascii="Arial"/>
                <w:sz w:val="21"/>
              </w:rPr>
            </w:pPr>
          </w:p>
          <w:p w14:paraId="4EEFB3A2">
            <w:pPr>
              <w:spacing w:line="264" w:lineRule="auto"/>
              <w:rPr>
                <w:rFonts w:ascii="Arial"/>
                <w:sz w:val="21"/>
              </w:rPr>
            </w:pPr>
          </w:p>
          <w:p w14:paraId="5F70BF25">
            <w:pPr>
              <w:spacing w:line="264" w:lineRule="auto"/>
              <w:rPr>
                <w:rFonts w:ascii="Arial"/>
                <w:sz w:val="21"/>
              </w:rPr>
            </w:pPr>
          </w:p>
          <w:p w14:paraId="757709BE">
            <w:pPr>
              <w:pStyle w:val="6"/>
              <w:spacing w:before="71" w:line="221" w:lineRule="auto"/>
              <w:ind w:left="395"/>
            </w:pPr>
            <w:r>
              <w:t>否</w:t>
            </w:r>
          </w:p>
        </w:tc>
      </w:tr>
      <w:tr w14:paraId="1FF24A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4" w:hRule="atLeast"/>
        </w:trPr>
        <w:tc>
          <w:tcPr>
            <w:tcW w:w="761" w:type="dxa"/>
            <w:vMerge w:val="continue"/>
            <w:tcBorders>
              <w:top w:val="nil"/>
              <w:left w:val="nil"/>
              <w:bottom w:val="nil"/>
            </w:tcBorders>
            <w:vAlign w:val="top"/>
          </w:tcPr>
          <w:p w14:paraId="1E4FF6CA">
            <w:pPr>
              <w:rPr>
                <w:rFonts w:ascii="Arial"/>
                <w:sz w:val="21"/>
              </w:rPr>
            </w:pPr>
          </w:p>
        </w:tc>
        <w:tc>
          <w:tcPr>
            <w:tcW w:w="4999" w:type="dxa"/>
            <w:vAlign w:val="top"/>
          </w:tcPr>
          <w:p w14:paraId="426849B8">
            <w:pPr>
              <w:pStyle w:val="6"/>
              <w:spacing w:before="63" w:line="235" w:lineRule="auto"/>
              <w:ind w:left="54" w:right="17" w:firstLine="13"/>
              <w:jc w:val="both"/>
            </w:pPr>
            <w:r>
              <w:rPr>
                <w:rFonts w:ascii="Times New Roman" w:hAnsi="Times New Roman" w:eastAsia="Times New Roman" w:cs="Times New Roman"/>
                <w:spacing w:val="-2"/>
              </w:rPr>
              <w:t>2×2.5</w:t>
            </w:r>
            <w:r>
              <w:rPr>
                <w:rFonts w:ascii="Times New Roman" w:hAnsi="Times New Roman" w:eastAsia="Times New Roman" w:cs="Times New Roman"/>
                <w:spacing w:val="27"/>
                <w:w w:val="101"/>
              </w:rPr>
              <w:t xml:space="preserve"> </w:t>
            </w:r>
            <w:r>
              <w:rPr>
                <w:spacing w:val="-2"/>
              </w:rPr>
              <w:t>万千伏安（总容量</w:t>
            </w:r>
            <w:r>
              <w:rPr>
                <w:spacing w:val="-47"/>
              </w:rPr>
              <w:t xml:space="preserve"> </w:t>
            </w:r>
            <w:r>
              <w:rPr>
                <w:rFonts w:ascii="Times New Roman" w:hAnsi="Times New Roman" w:eastAsia="Times New Roman" w:cs="Times New Roman"/>
                <w:spacing w:val="-2"/>
              </w:rPr>
              <w:t>5.0</w:t>
            </w:r>
            <w:r>
              <w:rPr>
                <w:rFonts w:ascii="Times New Roman" w:hAnsi="Times New Roman" w:eastAsia="Times New Roman" w:cs="Times New Roman"/>
                <w:spacing w:val="14"/>
                <w:w w:val="101"/>
              </w:rPr>
              <w:t xml:space="preserve"> </w:t>
            </w:r>
            <w:r>
              <w:rPr>
                <w:spacing w:val="-2"/>
              </w:rPr>
              <w:t>万千伏安）及以下普通</w:t>
            </w:r>
            <w:r>
              <w:t xml:space="preserve"> </w:t>
            </w:r>
            <w:r>
              <w:rPr>
                <w:spacing w:val="-1"/>
              </w:rPr>
              <w:t>铁合金矿热电炉；</w:t>
            </w:r>
            <w:r>
              <w:rPr>
                <w:rFonts w:ascii="Times New Roman" w:hAnsi="Times New Roman" w:eastAsia="Times New Roman" w:cs="Times New Roman"/>
                <w:spacing w:val="-1"/>
              </w:rPr>
              <w:t>2×2.5</w:t>
            </w:r>
            <w:r>
              <w:rPr>
                <w:rFonts w:ascii="Times New Roman" w:hAnsi="Times New Roman" w:eastAsia="Times New Roman" w:cs="Times New Roman"/>
                <w:spacing w:val="14"/>
              </w:rPr>
              <w:t xml:space="preserve"> </w:t>
            </w:r>
            <w:r>
              <w:rPr>
                <w:spacing w:val="-1"/>
              </w:rPr>
              <w:t>万千伏安（总容量</w:t>
            </w:r>
            <w:r>
              <w:rPr>
                <w:spacing w:val="-45"/>
              </w:rPr>
              <w:t xml:space="preserve"> </w:t>
            </w:r>
            <w:r>
              <w:rPr>
                <w:rFonts w:ascii="Times New Roman" w:hAnsi="Times New Roman" w:eastAsia="Times New Roman" w:cs="Times New Roman"/>
                <w:spacing w:val="-1"/>
              </w:rPr>
              <w:t>5.0</w:t>
            </w:r>
            <w:r>
              <w:rPr>
                <w:rFonts w:ascii="Times New Roman" w:hAnsi="Times New Roman" w:eastAsia="Times New Roman" w:cs="Times New Roman"/>
                <w:spacing w:val="14"/>
              </w:rPr>
              <w:t xml:space="preserve"> </w:t>
            </w:r>
            <w:r>
              <w:rPr>
                <w:spacing w:val="-1"/>
              </w:rPr>
              <w:t>万千</w:t>
            </w:r>
            <w:r>
              <w:t xml:space="preserve"> </w:t>
            </w:r>
            <w:r>
              <w:rPr>
                <w:spacing w:val="3"/>
              </w:rPr>
              <w:t>伏安）以上，没有明确固废及危废处理工艺及设施</w:t>
            </w:r>
            <w:r>
              <w:rPr>
                <w:spacing w:val="14"/>
              </w:rPr>
              <w:t xml:space="preserve"> </w:t>
            </w:r>
            <w:r>
              <w:rPr>
                <w:spacing w:val="3"/>
              </w:rPr>
              <w:t>的新建、扩建铁合金电炉（含所有矿热电炉及精炼</w:t>
            </w:r>
            <w:r>
              <w:rPr>
                <w:spacing w:val="14"/>
              </w:rPr>
              <w:t xml:space="preserve"> </w:t>
            </w:r>
            <w:r>
              <w:rPr>
                <w:spacing w:val="-2"/>
              </w:rPr>
              <w:t>电炉）</w:t>
            </w:r>
          </w:p>
        </w:tc>
        <w:tc>
          <w:tcPr>
            <w:tcW w:w="2355" w:type="dxa"/>
            <w:vMerge w:val="continue"/>
            <w:tcBorders>
              <w:top w:val="nil"/>
              <w:bottom w:val="nil"/>
            </w:tcBorders>
            <w:vAlign w:val="top"/>
          </w:tcPr>
          <w:p w14:paraId="23FC62CF">
            <w:pPr>
              <w:rPr>
                <w:rFonts w:ascii="Arial"/>
                <w:sz w:val="21"/>
              </w:rPr>
            </w:pPr>
          </w:p>
        </w:tc>
        <w:tc>
          <w:tcPr>
            <w:tcW w:w="952" w:type="dxa"/>
            <w:vMerge w:val="continue"/>
            <w:tcBorders>
              <w:top w:val="nil"/>
              <w:bottom w:val="nil"/>
              <w:right w:val="nil"/>
            </w:tcBorders>
            <w:vAlign w:val="top"/>
          </w:tcPr>
          <w:p w14:paraId="3563D173">
            <w:pPr>
              <w:rPr>
                <w:rFonts w:ascii="Arial"/>
                <w:sz w:val="21"/>
              </w:rPr>
            </w:pPr>
          </w:p>
        </w:tc>
      </w:tr>
      <w:tr w14:paraId="506123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761" w:type="dxa"/>
            <w:vMerge w:val="continue"/>
            <w:tcBorders>
              <w:top w:val="nil"/>
              <w:left w:val="nil"/>
            </w:tcBorders>
            <w:vAlign w:val="top"/>
          </w:tcPr>
          <w:p w14:paraId="27ADCB1C">
            <w:pPr>
              <w:rPr>
                <w:rFonts w:ascii="Arial"/>
                <w:sz w:val="21"/>
              </w:rPr>
            </w:pPr>
          </w:p>
        </w:tc>
        <w:tc>
          <w:tcPr>
            <w:tcW w:w="4999" w:type="dxa"/>
            <w:vAlign w:val="top"/>
          </w:tcPr>
          <w:p w14:paraId="1409A23C">
            <w:pPr>
              <w:pStyle w:val="6"/>
              <w:spacing w:before="68" w:line="227" w:lineRule="auto"/>
              <w:ind w:left="58" w:right="17" w:firstLine="17"/>
            </w:pPr>
            <w:r>
              <w:rPr>
                <w:spacing w:val="2"/>
              </w:rPr>
              <w:t>半封闭式锰硅合金、镍铁、高碳铬铁、高碳锰铁电</w:t>
            </w:r>
            <w:r>
              <w:rPr>
                <w:spacing w:val="15"/>
              </w:rPr>
              <w:t xml:space="preserve"> </w:t>
            </w:r>
            <w:r>
              <w:t>炉</w:t>
            </w:r>
          </w:p>
        </w:tc>
        <w:tc>
          <w:tcPr>
            <w:tcW w:w="2355" w:type="dxa"/>
            <w:vMerge w:val="continue"/>
            <w:tcBorders>
              <w:top w:val="nil"/>
            </w:tcBorders>
            <w:vAlign w:val="top"/>
          </w:tcPr>
          <w:p w14:paraId="00EE4616">
            <w:pPr>
              <w:rPr>
                <w:rFonts w:ascii="Arial"/>
                <w:sz w:val="21"/>
              </w:rPr>
            </w:pPr>
          </w:p>
        </w:tc>
        <w:tc>
          <w:tcPr>
            <w:tcW w:w="952" w:type="dxa"/>
            <w:vMerge w:val="continue"/>
            <w:tcBorders>
              <w:top w:val="nil"/>
              <w:right w:val="nil"/>
            </w:tcBorders>
            <w:vAlign w:val="top"/>
          </w:tcPr>
          <w:p w14:paraId="30719F40">
            <w:pPr>
              <w:rPr>
                <w:rFonts w:ascii="Arial"/>
                <w:sz w:val="21"/>
              </w:rPr>
            </w:pPr>
          </w:p>
        </w:tc>
      </w:tr>
      <w:tr w14:paraId="6805E2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0" w:hRule="atLeast"/>
        </w:trPr>
        <w:tc>
          <w:tcPr>
            <w:tcW w:w="761" w:type="dxa"/>
            <w:vMerge w:val="restart"/>
            <w:tcBorders>
              <w:left w:val="nil"/>
              <w:bottom w:val="nil"/>
            </w:tcBorders>
            <w:vAlign w:val="top"/>
          </w:tcPr>
          <w:p w14:paraId="64C2AFEE">
            <w:pPr>
              <w:spacing w:line="255" w:lineRule="auto"/>
              <w:rPr>
                <w:rFonts w:ascii="Arial"/>
                <w:sz w:val="21"/>
              </w:rPr>
            </w:pPr>
          </w:p>
          <w:p w14:paraId="13314FEA">
            <w:pPr>
              <w:spacing w:line="255" w:lineRule="auto"/>
              <w:rPr>
                <w:rFonts w:ascii="Arial"/>
                <w:sz w:val="21"/>
              </w:rPr>
            </w:pPr>
          </w:p>
          <w:p w14:paraId="5E2A9BD8">
            <w:pPr>
              <w:spacing w:line="255" w:lineRule="auto"/>
              <w:rPr>
                <w:rFonts w:ascii="Arial"/>
                <w:sz w:val="21"/>
              </w:rPr>
            </w:pPr>
          </w:p>
          <w:p w14:paraId="65AA4BC4">
            <w:pPr>
              <w:spacing w:line="256" w:lineRule="auto"/>
              <w:rPr>
                <w:rFonts w:ascii="Arial"/>
                <w:sz w:val="21"/>
              </w:rPr>
            </w:pPr>
          </w:p>
          <w:p w14:paraId="45808440">
            <w:pPr>
              <w:pStyle w:val="6"/>
              <w:spacing w:before="72" w:line="220" w:lineRule="auto"/>
              <w:ind w:left="57"/>
            </w:pPr>
            <w:r>
              <w:rPr>
                <w:spacing w:val="-3"/>
              </w:rPr>
              <w:t>淘汰类</w:t>
            </w:r>
          </w:p>
        </w:tc>
        <w:tc>
          <w:tcPr>
            <w:tcW w:w="4999" w:type="dxa"/>
            <w:vAlign w:val="top"/>
          </w:tcPr>
          <w:p w14:paraId="3528A3DE">
            <w:pPr>
              <w:pStyle w:val="6"/>
              <w:spacing w:before="74" w:line="232" w:lineRule="auto"/>
              <w:ind w:left="54" w:right="17" w:firstLine="15"/>
              <w:jc w:val="both"/>
            </w:pPr>
            <w:r>
              <w:rPr>
                <w:spacing w:val="-3"/>
              </w:rPr>
              <w:t>钢铁生产用环形烧结机，步进式烧结机（</w:t>
            </w:r>
            <w:r>
              <w:rPr>
                <w:rFonts w:ascii="Times New Roman" w:hAnsi="Times New Roman" w:eastAsia="Times New Roman" w:cs="Times New Roman"/>
                <w:spacing w:val="-3"/>
              </w:rPr>
              <w:t xml:space="preserve">2025 </w:t>
            </w:r>
            <w:r>
              <w:rPr>
                <w:spacing w:val="-3"/>
              </w:rPr>
              <w:t>年</w:t>
            </w:r>
            <w:r>
              <w:rPr>
                <w:spacing w:val="-22"/>
              </w:rPr>
              <w:t xml:space="preserve"> </w:t>
            </w:r>
            <w:r>
              <w:rPr>
                <w:rFonts w:ascii="Times New Roman" w:hAnsi="Times New Roman" w:eastAsia="Times New Roman" w:cs="Times New Roman"/>
                <w:spacing w:val="-3"/>
              </w:rPr>
              <w:t>12</w:t>
            </w:r>
            <w:r>
              <w:rPr>
                <w:rFonts w:ascii="Times New Roman" w:hAnsi="Times New Roman" w:eastAsia="Times New Roman" w:cs="Times New Roman"/>
              </w:rPr>
              <w:t xml:space="preserve"> </w:t>
            </w:r>
            <w:r>
              <w:rPr>
                <w:spacing w:val="-2"/>
              </w:rPr>
              <w:t>月</w:t>
            </w:r>
            <w:r>
              <w:rPr>
                <w:spacing w:val="-45"/>
              </w:rPr>
              <w:t xml:space="preserve"> </w:t>
            </w:r>
            <w:r>
              <w:rPr>
                <w:rFonts w:ascii="Times New Roman" w:hAnsi="Times New Roman" w:eastAsia="Times New Roman" w:cs="Times New Roman"/>
                <w:spacing w:val="-2"/>
              </w:rPr>
              <w:t>31</w:t>
            </w:r>
            <w:r>
              <w:rPr>
                <w:rFonts w:ascii="Times New Roman" w:hAnsi="Times New Roman" w:eastAsia="Times New Roman" w:cs="Times New Roman"/>
                <w:spacing w:val="45"/>
              </w:rPr>
              <w:t xml:space="preserve"> </w:t>
            </w:r>
            <w:r>
              <w:rPr>
                <w:spacing w:val="-2"/>
              </w:rPr>
              <w:t>日</w:t>
            </w:r>
            <w:r>
              <w:rPr>
                <w:spacing w:val="-18"/>
              </w:rPr>
              <w:t>），</w:t>
            </w:r>
            <w:r>
              <w:rPr>
                <w:rFonts w:ascii="Times New Roman" w:hAnsi="Times New Roman" w:eastAsia="Times New Roman" w:cs="Times New Roman"/>
                <w:spacing w:val="-2"/>
              </w:rPr>
              <w:t xml:space="preserve">90 </w:t>
            </w:r>
            <w:r>
              <w:rPr>
                <w:spacing w:val="-2"/>
              </w:rPr>
              <w:t>平方米以下烧结机，</w:t>
            </w:r>
            <w:r>
              <w:rPr>
                <w:rFonts w:ascii="Times New Roman" w:hAnsi="Times New Roman" w:eastAsia="Times New Roman" w:cs="Times New Roman"/>
                <w:spacing w:val="-2"/>
              </w:rPr>
              <w:t xml:space="preserve">8 </w:t>
            </w:r>
            <w:r>
              <w:rPr>
                <w:spacing w:val="-2"/>
              </w:rPr>
              <w:t>平方米以下球</w:t>
            </w:r>
            <w:r>
              <w:t xml:space="preserve"> </w:t>
            </w:r>
            <w:r>
              <w:rPr>
                <w:spacing w:val="1"/>
              </w:rPr>
              <w:t>团竖炉，铁合金生产用</w:t>
            </w:r>
            <w:r>
              <w:rPr>
                <w:rFonts w:ascii="Times New Roman" w:hAnsi="Times New Roman" w:eastAsia="Times New Roman" w:cs="Times New Roman"/>
                <w:spacing w:val="1"/>
              </w:rPr>
              <w:t xml:space="preserve">24 </w:t>
            </w:r>
            <w:r>
              <w:rPr>
                <w:spacing w:val="1"/>
              </w:rPr>
              <w:t>平方米以下带式锰矿、铬</w:t>
            </w:r>
            <w:r>
              <w:rPr>
                <w:spacing w:val="2"/>
              </w:rPr>
              <w:t xml:space="preserve"> 矿烧结机，铸造生铁生产用</w:t>
            </w:r>
            <w:r>
              <w:rPr>
                <w:rFonts w:ascii="Times New Roman" w:hAnsi="Times New Roman" w:eastAsia="Times New Roman" w:cs="Times New Roman"/>
                <w:spacing w:val="2"/>
              </w:rPr>
              <w:t xml:space="preserve">24 </w:t>
            </w:r>
            <w:r>
              <w:rPr>
                <w:spacing w:val="2"/>
              </w:rPr>
              <w:t>平方米以下烧结机</w:t>
            </w:r>
          </w:p>
        </w:tc>
        <w:tc>
          <w:tcPr>
            <w:tcW w:w="2355" w:type="dxa"/>
            <w:vAlign w:val="top"/>
          </w:tcPr>
          <w:p w14:paraId="1C786FB1">
            <w:pPr>
              <w:spacing w:line="283" w:lineRule="auto"/>
              <w:rPr>
                <w:rFonts w:ascii="Arial"/>
                <w:sz w:val="21"/>
              </w:rPr>
            </w:pPr>
          </w:p>
          <w:p w14:paraId="5AB54F57">
            <w:pPr>
              <w:pStyle w:val="6"/>
              <w:spacing w:before="72" w:line="229" w:lineRule="auto"/>
              <w:ind w:left="61" w:right="15" w:firstLine="12"/>
            </w:pPr>
            <w:r>
              <w:rPr>
                <w:spacing w:val="6"/>
              </w:rPr>
              <w:t>本项目不设置竖炉，烧</w:t>
            </w:r>
            <w:r>
              <w:t xml:space="preserve"> </w:t>
            </w:r>
            <w:r>
              <w:rPr>
                <w:spacing w:val="-2"/>
              </w:rPr>
              <w:t>结采用带式烧结机。</w:t>
            </w:r>
          </w:p>
        </w:tc>
        <w:tc>
          <w:tcPr>
            <w:tcW w:w="952" w:type="dxa"/>
            <w:tcBorders>
              <w:right w:val="nil"/>
            </w:tcBorders>
            <w:vAlign w:val="top"/>
          </w:tcPr>
          <w:p w14:paraId="77322BFB">
            <w:pPr>
              <w:spacing w:line="425" w:lineRule="auto"/>
              <w:rPr>
                <w:rFonts w:ascii="Arial"/>
                <w:sz w:val="21"/>
              </w:rPr>
            </w:pPr>
          </w:p>
          <w:p w14:paraId="641997AD">
            <w:pPr>
              <w:pStyle w:val="6"/>
              <w:spacing w:before="71" w:line="221" w:lineRule="auto"/>
              <w:ind w:left="395"/>
            </w:pPr>
            <w:r>
              <w:t>否</w:t>
            </w:r>
          </w:p>
        </w:tc>
      </w:tr>
      <w:tr w14:paraId="5F0D03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3" w:hRule="atLeast"/>
        </w:trPr>
        <w:tc>
          <w:tcPr>
            <w:tcW w:w="761" w:type="dxa"/>
            <w:vMerge w:val="continue"/>
            <w:tcBorders>
              <w:top w:val="nil"/>
              <w:left w:val="nil"/>
              <w:bottom w:val="single" w:color="000000" w:sz="10" w:space="0"/>
            </w:tcBorders>
            <w:vAlign w:val="top"/>
          </w:tcPr>
          <w:p w14:paraId="0074A042">
            <w:pPr>
              <w:rPr>
                <w:rFonts w:ascii="Arial"/>
                <w:sz w:val="21"/>
              </w:rPr>
            </w:pPr>
          </w:p>
        </w:tc>
        <w:tc>
          <w:tcPr>
            <w:tcW w:w="4999" w:type="dxa"/>
            <w:tcBorders>
              <w:bottom w:val="single" w:color="000000" w:sz="10" w:space="0"/>
            </w:tcBorders>
            <w:vAlign w:val="top"/>
          </w:tcPr>
          <w:p w14:paraId="4E2811A4">
            <w:pPr>
              <w:pStyle w:val="6"/>
              <w:spacing w:before="73" w:line="235" w:lineRule="auto"/>
              <w:ind w:left="58" w:right="17" w:firstLine="31"/>
              <w:jc w:val="both"/>
            </w:pPr>
            <w:r>
              <w:rPr>
                <w:rFonts w:ascii="Times New Roman" w:hAnsi="Times New Roman" w:eastAsia="Times New Roman" w:cs="Times New Roman"/>
                <w:spacing w:val="-2"/>
              </w:rPr>
              <w:t xml:space="preserve">12500 </w:t>
            </w:r>
            <w:r>
              <w:rPr>
                <w:spacing w:val="-2"/>
              </w:rPr>
              <w:t>千伏安以下普通铁合金矿热电炉（</w:t>
            </w:r>
            <w:r>
              <w:rPr>
                <w:rFonts w:ascii="Times New Roman" w:hAnsi="Times New Roman" w:eastAsia="Times New Roman" w:cs="Times New Roman"/>
                <w:spacing w:val="-2"/>
              </w:rPr>
              <w:t xml:space="preserve">2025 </w:t>
            </w:r>
            <w:r>
              <w:rPr>
                <w:spacing w:val="-3"/>
              </w:rPr>
              <w:t xml:space="preserve">年 </w:t>
            </w:r>
            <w:r>
              <w:rPr>
                <w:rFonts w:ascii="Times New Roman" w:hAnsi="Times New Roman" w:eastAsia="Times New Roman" w:cs="Times New Roman"/>
                <w:spacing w:val="-3"/>
              </w:rPr>
              <w:t>12</w:t>
            </w:r>
            <w:r>
              <w:rPr>
                <w:rFonts w:ascii="Times New Roman" w:hAnsi="Times New Roman" w:eastAsia="Times New Roman" w:cs="Times New Roman"/>
              </w:rPr>
              <w:t xml:space="preserve"> </w:t>
            </w:r>
            <w:r>
              <w:rPr>
                <w:spacing w:val="1"/>
              </w:rPr>
              <w:t>月</w:t>
            </w:r>
            <w:r>
              <w:rPr>
                <w:spacing w:val="-44"/>
              </w:rPr>
              <w:t xml:space="preserve"> </w:t>
            </w:r>
            <w:r>
              <w:rPr>
                <w:rFonts w:ascii="Times New Roman" w:hAnsi="Times New Roman" w:eastAsia="Times New Roman" w:cs="Times New Roman"/>
                <w:spacing w:val="1"/>
              </w:rPr>
              <w:t>31</w:t>
            </w:r>
            <w:r>
              <w:rPr>
                <w:rFonts w:ascii="Times New Roman" w:hAnsi="Times New Roman" w:eastAsia="Times New Roman" w:cs="Times New Roman"/>
                <w:spacing w:val="52"/>
              </w:rPr>
              <w:t xml:space="preserve"> </w:t>
            </w:r>
            <w:r>
              <w:rPr>
                <w:spacing w:val="1"/>
              </w:rPr>
              <w:t>日</w:t>
            </w:r>
            <w:r>
              <w:rPr>
                <w:spacing w:val="-5"/>
              </w:rPr>
              <w:t>），</w:t>
            </w:r>
            <w:r>
              <w:rPr>
                <w:rFonts w:ascii="Times New Roman" w:hAnsi="Times New Roman" w:eastAsia="Times New Roman" w:cs="Times New Roman"/>
                <w:spacing w:val="1"/>
              </w:rPr>
              <w:t xml:space="preserve">3000  </w:t>
            </w:r>
            <w:r>
              <w:rPr>
                <w:spacing w:val="1"/>
              </w:rPr>
              <w:t>千伏安以下铁合金半封闭直流电</w:t>
            </w:r>
            <w:r>
              <w:t xml:space="preserve"> </w:t>
            </w:r>
            <w:r>
              <w:rPr>
                <w:spacing w:val="3"/>
              </w:rPr>
              <w:t>炉、铁合金精炼电炉（钨铁、钒铁等特殊品种的电</w:t>
            </w:r>
            <w:r>
              <w:rPr>
                <w:spacing w:val="11"/>
              </w:rPr>
              <w:t xml:space="preserve"> </w:t>
            </w:r>
            <w:r>
              <w:rPr>
                <w:spacing w:val="-3"/>
              </w:rPr>
              <w:t>炉除外）</w:t>
            </w:r>
          </w:p>
        </w:tc>
        <w:tc>
          <w:tcPr>
            <w:tcW w:w="2355" w:type="dxa"/>
            <w:tcBorders>
              <w:bottom w:val="single" w:color="000000" w:sz="10" w:space="0"/>
            </w:tcBorders>
            <w:vAlign w:val="top"/>
          </w:tcPr>
          <w:p w14:paraId="5B15C831">
            <w:pPr>
              <w:pStyle w:val="6"/>
              <w:spacing w:before="217" w:line="234" w:lineRule="auto"/>
              <w:ind w:left="55" w:right="17" w:firstLine="18"/>
              <w:jc w:val="both"/>
            </w:pPr>
            <w:r>
              <w:rPr>
                <w:spacing w:val="-5"/>
              </w:rPr>
              <w:t>本次新建</w:t>
            </w:r>
            <w:r>
              <w:rPr>
                <w:spacing w:val="-44"/>
              </w:rPr>
              <w:t xml:space="preserve"> </w:t>
            </w:r>
            <w:r>
              <w:rPr>
                <w:rFonts w:ascii="Times New Roman" w:hAnsi="Times New Roman" w:eastAsia="Times New Roman" w:cs="Times New Roman"/>
                <w:spacing w:val="-5"/>
              </w:rPr>
              <w:t>6</w:t>
            </w:r>
            <w:r>
              <w:rPr>
                <w:rFonts w:ascii="Times New Roman" w:hAnsi="Times New Roman" w:eastAsia="Times New Roman" w:cs="Times New Roman"/>
                <w:spacing w:val="26"/>
                <w:w w:val="101"/>
              </w:rPr>
              <w:t xml:space="preserve"> </w:t>
            </w:r>
            <w:r>
              <w:rPr>
                <w:spacing w:val="-5"/>
              </w:rPr>
              <w:t>台</w:t>
            </w:r>
            <w:r>
              <w:rPr>
                <w:spacing w:val="-49"/>
              </w:rPr>
              <w:t xml:space="preserve"> </w:t>
            </w:r>
            <w:r>
              <w:rPr>
                <w:rFonts w:ascii="Times New Roman" w:hAnsi="Times New Roman" w:eastAsia="Times New Roman" w:cs="Times New Roman"/>
                <w:spacing w:val="-5"/>
              </w:rPr>
              <w:t xml:space="preserve">36MW </w:t>
            </w:r>
            <w:r>
              <w:rPr>
                <w:spacing w:val="-5"/>
              </w:rPr>
              <w:t>全</w:t>
            </w:r>
            <w:r>
              <w:t xml:space="preserve"> </w:t>
            </w:r>
            <w:r>
              <w:rPr>
                <w:spacing w:val="7"/>
              </w:rPr>
              <w:t>密闭式矿热电炉生产锰</w:t>
            </w:r>
            <w:r>
              <w:rPr>
                <w:spacing w:val="6"/>
              </w:rPr>
              <w:t xml:space="preserve"> </w:t>
            </w:r>
            <w:r>
              <w:rPr>
                <w:spacing w:val="-2"/>
              </w:rPr>
              <w:t>硅合金。</w:t>
            </w:r>
          </w:p>
        </w:tc>
        <w:tc>
          <w:tcPr>
            <w:tcW w:w="952" w:type="dxa"/>
            <w:tcBorders>
              <w:bottom w:val="single" w:color="000000" w:sz="10" w:space="0"/>
              <w:right w:val="nil"/>
            </w:tcBorders>
            <w:vAlign w:val="top"/>
          </w:tcPr>
          <w:p w14:paraId="6534034F">
            <w:pPr>
              <w:spacing w:line="427" w:lineRule="auto"/>
              <w:rPr>
                <w:rFonts w:ascii="Arial"/>
                <w:sz w:val="21"/>
              </w:rPr>
            </w:pPr>
          </w:p>
          <w:p w14:paraId="19EF2894">
            <w:pPr>
              <w:pStyle w:val="6"/>
              <w:spacing w:before="72" w:line="221" w:lineRule="auto"/>
              <w:ind w:left="395"/>
            </w:pPr>
            <w:r>
              <w:t>否</w:t>
            </w:r>
          </w:p>
        </w:tc>
      </w:tr>
    </w:tbl>
    <w:p w14:paraId="31151E17">
      <w:pPr>
        <w:spacing w:before="44" w:line="222" w:lineRule="auto"/>
        <w:ind w:left="11"/>
        <w:outlineLvl w:val="2"/>
        <w:rPr>
          <w:rFonts w:ascii="黑体" w:hAnsi="黑体" w:eastAsia="黑体" w:cs="黑体"/>
          <w:sz w:val="30"/>
          <w:szCs w:val="30"/>
        </w:rPr>
      </w:pPr>
      <w:bookmarkStart w:id="257" w:name="bookmark12"/>
      <w:bookmarkEnd w:id="257"/>
      <w:bookmarkStart w:id="258" w:name="bookmark11"/>
      <w:bookmarkEnd w:id="258"/>
      <w:r>
        <w:rPr>
          <w:rFonts w:ascii="Times New Roman" w:hAnsi="Times New Roman" w:eastAsia="Times New Roman" w:cs="Times New Roman"/>
          <w:spacing w:val="-1"/>
          <w:sz w:val="30"/>
          <w:szCs w:val="30"/>
        </w:rPr>
        <w:t xml:space="preserve">3.2 </w:t>
      </w:r>
      <w:r>
        <w:rPr>
          <w:rFonts w:ascii="黑体" w:hAnsi="黑体" w:eastAsia="黑体" w:cs="黑体"/>
          <w:spacing w:val="-1"/>
          <w:sz w:val="30"/>
          <w:szCs w:val="30"/>
        </w:rPr>
        <w:t>相关政策符合性分析</w:t>
      </w:r>
    </w:p>
    <w:p w14:paraId="103DE18A">
      <w:pPr>
        <w:spacing w:before="213" w:line="349" w:lineRule="auto"/>
        <w:ind w:left="8" w:right="1" w:firstLine="480"/>
        <w:jc w:val="both"/>
        <w:rPr>
          <w:rFonts w:ascii="宋体" w:hAnsi="宋体" w:eastAsia="宋体" w:cs="宋体"/>
          <w:sz w:val="24"/>
          <w:szCs w:val="24"/>
        </w:rPr>
      </w:pPr>
      <w:r>
        <w:rPr>
          <w:rFonts w:ascii="宋体" w:hAnsi="宋体" w:eastAsia="宋体" w:cs="宋体"/>
          <w:spacing w:val="-3"/>
          <w:sz w:val="24"/>
          <w:szCs w:val="24"/>
        </w:rPr>
        <w:t>本项目与相关政策的符合性分析见表</w:t>
      </w:r>
      <w:r>
        <w:rPr>
          <w:rFonts w:ascii="Times New Roman" w:hAnsi="Times New Roman" w:eastAsia="Times New Roman" w:cs="Times New Roman"/>
          <w:spacing w:val="-3"/>
          <w:sz w:val="24"/>
          <w:szCs w:val="24"/>
        </w:rPr>
        <w:t>2</w:t>
      </w:r>
      <w:r>
        <w:rPr>
          <w:rFonts w:ascii="Times New Roman" w:hAnsi="Times New Roman" w:eastAsia="Times New Roman" w:cs="Times New Roman"/>
          <w:spacing w:val="-9"/>
          <w:sz w:val="24"/>
          <w:szCs w:val="24"/>
        </w:rPr>
        <w:t xml:space="preserve"> </w:t>
      </w:r>
      <w:r>
        <w:rPr>
          <w:rFonts w:ascii="宋体" w:hAnsi="宋体" w:eastAsia="宋体" w:cs="宋体"/>
          <w:spacing w:val="-3"/>
          <w:sz w:val="24"/>
          <w:szCs w:val="24"/>
        </w:rPr>
        <w:t>。由表</w:t>
      </w:r>
      <w:r>
        <w:rPr>
          <w:rFonts w:ascii="Times New Roman" w:hAnsi="Times New Roman" w:eastAsia="Times New Roman" w:cs="Times New Roman"/>
          <w:spacing w:val="-3"/>
          <w:sz w:val="24"/>
          <w:szCs w:val="24"/>
        </w:rPr>
        <w:t>2</w:t>
      </w:r>
      <w:r>
        <w:rPr>
          <w:rFonts w:ascii="宋体" w:hAnsi="宋体" w:eastAsia="宋体" w:cs="宋体"/>
          <w:spacing w:val="-3"/>
          <w:sz w:val="24"/>
          <w:szCs w:val="24"/>
        </w:rPr>
        <w:t>可知，项目与《关于印发〈内蒙古自</w:t>
      </w:r>
      <w:r>
        <w:rPr>
          <w:rFonts w:ascii="宋体" w:hAnsi="宋体" w:eastAsia="宋体" w:cs="宋体"/>
          <w:sz w:val="24"/>
          <w:szCs w:val="24"/>
        </w:rPr>
        <w:t xml:space="preserve"> </w:t>
      </w:r>
      <w:r>
        <w:rPr>
          <w:rFonts w:ascii="宋体" w:hAnsi="宋体" w:eastAsia="宋体" w:cs="宋体"/>
          <w:spacing w:val="-2"/>
          <w:sz w:val="24"/>
          <w:szCs w:val="24"/>
        </w:rPr>
        <w:t>治区促进铁合金产业高质量发展政策措施〉的通知》（内工信发</w:t>
      </w:r>
      <w:r>
        <w:rPr>
          <w:rFonts w:ascii="Times New Roman" w:hAnsi="Times New Roman" w:eastAsia="Times New Roman" w:cs="Times New Roman"/>
          <w:spacing w:val="-2"/>
          <w:sz w:val="24"/>
          <w:szCs w:val="24"/>
        </w:rPr>
        <w:t>[2</w:t>
      </w:r>
      <w:r>
        <w:rPr>
          <w:rFonts w:ascii="Times New Roman" w:hAnsi="Times New Roman" w:eastAsia="Times New Roman" w:cs="Times New Roman"/>
          <w:spacing w:val="-3"/>
          <w:sz w:val="24"/>
          <w:szCs w:val="24"/>
        </w:rPr>
        <w:t>023]134</w:t>
      </w:r>
      <w:r>
        <w:rPr>
          <w:rFonts w:ascii="宋体" w:hAnsi="宋体" w:eastAsia="宋体" w:cs="宋体"/>
          <w:spacing w:val="-3"/>
          <w:sz w:val="24"/>
          <w:szCs w:val="24"/>
        </w:rPr>
        <w:t>号）、《关于</w:t>
      </w:r>
      <w:r>
        <w:rPr>
          <w:rFonts w:ascii="宋体" w:hAnsi="宋体" w:eastAsia="宋体" w:cs="宋体"/>
          <w:sz w:val="24"/>
          <w:szCs w:val="24"/>
        </w:rPr>
        <w:t xml:space="preserve"> </w:t>
      </w:r>
      <w:r>
        <w:rPr>
          <w:rFonts w:ascii="宋体" w:hAnsi="宋体" w:eastAsia="宋体" w:cs="宋体"/>
          <w:spacing w:val="-2"/>
          <w:sz w:val="24"/>
          <w:szCs w:val="24"/>
        </w:rPr>
        <w:t>确保完成</w:t>
      </w:r>
      <w:r>
        <w:rPr>
          <w:rFonts w:ascii="Times New Roman" w:hAnsi="Times New Roman" w:eastAsia="Times New Roman" w:cs="Times New Roman"/>
          <w:spacing w:val="-2"/>
          <w:sz w:val="24"/>
          <w:szCs w:val="24"/>
        </w:rPr>
        <w:t>“</w:t>
      </w:r>
      <w:r>
        <w:rPr>
          <w:rFonts w:ascii="宋体" w:hAnsi="宋体" w:eastAsia="宋体" w:cs="宋体"/>
          <w:spacing w:val="-2"/>
          <w:sz w:val="24"/>
          <w:szCs w:val="24"/>
        </w:rPr>
        <w:t>十四五</w:t>
      </w:r>
      <w:r>
        <w:rPr>
          <w:rFonts w:ascii="Times New Roman" w:hAnsi="Times New Roman" w:eastAsia="Times New Roman" w:cs="Times New Roman"/>
          <w:spacing w:val="-2"/>
          <w:sz w:val="24"/>
          <w:szCs w:val="24"/>
        </w:rPr>
        <w:t>”</w:t>
      </w:r>
      <w:r>
        <w:rPr>
          <w:rFonts w:ascii="宋体" w:hAnsi="宋体" w:eastAsia="宋体" w:cs="宋体"/>
          <w:spacing w:val="-2"/>
          <w:sz w:val="24"/>
          <w:szCs w:val="24"/>
        </w:rPr>
        <w:t>能耗双控目标任务若干保障措施》</w:t>
      </w:r>
      <w:r>
        <w:rPr>
          <w:rFonts w:ascii="Times New Roman" w:hAnsi="Times New Roman" w:eastAsia="Times New Roman" w:cs="Times New Roman"/>
          <w:spacing w:val="-2"/>
          <w:sz w:val="24"/>
          <w:szCs w:val="24"/>
        </w:rPr>
        <w:t>(</w:t>
      </w:r>
      <w:r>
        <w:rPr>
          <w:rFonts w:ascii="宋体" w:hAnsi="宋体" w:eastAsia="宋体" w:cs="宋体"/>
          <w:spacing w:val="-2"/>
          <w:sz w:val="24"/>
          <w:szCs w:val="24"/>
        </w:rPr>
        <w:t>内发改环资字〔</w:t>
      </w:r>
      <w:r>
        <w:rPr>
          <w:rFonts w:ascii="Times New Roman" w:hAnsi="Times New Roman" w:eastAsia="Times New Roman" w:cs="Times New Roman"/>
          <w:spacing w:val="-2"/>
          <w:sz w:val="24"/>
          <w:szCs w:val="24"/>
        </w:rPr>
        <w:t>2021</w:t>
      </w:r>
      <w:r>
        <w:rPr>
          <w:rFonts w:ascii="宋体" w:hAnsi="宋体" w:eastAsia="宋体" w:cs="宋体"/>
          <w:spacing w:val="-2"/>
          <w:sz w:val="24"/>
          <w:szCs w:val="24"/>
        </w:rPr>
        <w:t>〕</w:t>
      </w:r>
      <w:r>
        <w:rPr>
          <w:rFonts w:ascii="Times New Roman" w:hAnsi="Times New Roman" w:eastAsia="Times New Roman" w:cs="Times New Roman"/>
          <w:spacing w:val="-2"/>
          <w:sz w:val="24"/>
          <w:szCs w:val="24"/>
        </w:rPr>
        <w:t>209</w:t>
      </w:r>
      <w:r>
        <w:rPr>
          <w:rFonts w:ascii="宋体" w:hAnsi="宋体" w:eastAsia="宋体" w:cs="宋体"/>
          <w:spacing w:val="-2"/>
          <w:sz w:val="24"/>
          <w:szCs w:val="24"/>
        </w:rPr>
        <w:t>号</w:t>
      </w:r>
      <w:r>
        <w:rPr>
          <w:rFonts w:ascii="Times New Roman" w:hAnsi="Times New Roman" w:eastAsia="Times New Roman" w:cs="Times New Roman"/>
          <w:spacing w:val="-2"/>
          <w:sz w:val="24"/>
          <w:szCs w:val="24"/>
        </w:rPr>
        <w:t>)</w:t>
      </w:r>
      <w:r>
        <w:rPr>
          <w:rFonts w:ascii="宋体" w:hAnsi="宋体" w:eastAsia="宋体" w:cs="宋体"/>
          <w:spacing w:val="-2"/>
          <w:sz w:val="24"/>
          <w:szCs w:val="24"/>
        </w:rPr>
        <w:t>等均</w:t>
      </w:r>
      <w:r>
        <w:rPr>
          <w:rFonts w:ascii="宋体" w:hAnsi="宋体" w:eastAsia="宋体" w:cs="宋体"/>
          <w:spacing w:val="16"/>
          <w:sz w:val="24"/>
          <w:szCs w:val="24"/>
        </w:rPr>
        <w:t xml:space="preserve"> </w:t>
      </w:r>
      <w:r>
        <w:rPr>
          <w:rFonts w:ascii="宋体" w:hAnsi="宋体" w:eastAsia="宋体" w:cs="宋体"/>
          <w:spacing w:val="-4"/>
          <w:sz w:val="24"/>
          <w:szCs w:val="24"/>
        </w:rPr>
        <w:t>相符。</w:t>
      </w:r>
    </w:p>
    <w:p w14:paraId="40CAE482">
      <w:pPr>
        <w:spacing w:line="349" w:lineRule="auto"/>
        <w:rPr>
          <w:rFonts w:ascii="宋体" w:hAnsi="宋体" w:eastAsia="宋体" w:cs="宋体"/>
          <w:sz w:val="24"/>
          <w:szCs w:val="24"/>
        </w:rPr>
        <w:sectPr>
          <w:headerReference r:id="rId16" w:type="default"/>
          <w:footerReference r:id="rId17" w:type="default"/>
          <w:pgSz w:w="11906" w:h="16839"/>
          <w:pgMar w:top="1178" w:right="1416" w:bottom="1212" w:left="1417" w:header="870" w:footer="1025" w:gutter="0"/>
          <w:cols w:space="720" w:num="1"/>
        </w:sectPr>
      </w:pPr>
    </w:p>
    <w:p w14:paraId="3890FF6C">
      <w:pPr>
        <w:spacing w:before="269" w:line="228" w:lineRule="auto"/>
        <w:ind w:left="5242"/>
        <w:rPr>
          <w:rFonts w:ascii="宋体" w:hAnsi="宋体" w:eastAsia="宋体" w:cs="宋体"/>
          <w:sz w:val="20"/>
          <w:szCs w:val="20"/>
        </w:rPr>
      </w:pPr>
      <w:r>
        <w:pict>
          <v:shape id="_x0000_s1034" o:spid="_x0000_s1034" style="position:absolute;left:0pt;margin-left:70.9pt;margin-top:59.65pt;height:0.75pt;width:700.1pt;mso-position-horizontal-relative:page;mso-position-vertical-relative:page;z-index:251668480;mso-width-relative:page;mso-height-relative:page;" fillcolor="#000000" filled="t" stroked="f" coordsize="14001,15" o:allowincell="f" path="m0,0l14001,0,14001,14,0,14,0,0xe">
            <v:path/>
            <v:fill on="t" focussize="0,0"/>
            <v:stroke on="f"/>
            <v:imagedata o:title=""/>
            <o:lock v:ext="edit"/>
          </v:shape>
        </w:pict>
      </w:r>
      <w:r>
        <w:rPr>
          <w:rFonts w:ascii="宋体" w:hAnsi="宋体" w:eastAsia="宋体" w:cs="宋体"/>
          <w:b/>
          <w:bCs/>
          <w:spacing w:val="5"/>
          <w:sz w:val="20"/>
          <w:szCs w:val="20"/>
        </w:rPr>
        <w:t>表</w:t>
      </w:r>
      <w:r>
        <w:rPr>
          <w:rFonts w:ascii="宋体" w:hAnsi="宋体" w:eastAsia="宋体" w:cs="宋体"/>
          <w:spacing w:val="-25"/>
          <w:sz w:val="20"/>
          <w:szCs w:val="20"/>
        </w:rPr>
        <w:t xml:space="preserve"> </w:t>
      </w:r>
      <w:r>
        <w:rPr>
          <w:rFonts w:ascii="Times New Roman" w:hAnsi="Times New Roman" w:eastAsia="Times New Roman" w:cs="Times New Roman"/>
          <w:b/>
          <w:bCs/>
          <w:spacing w:val="5"/>
          <w:sz w:val="20"/>
          <w:szCs w:val="20"/>
        </w:rPr>
        <w:t xml:space="preserve">2        </w:t>
      </w:r>
      <w:r>
        <w:rPr>
          <w:rFonts w:ascii="宋体" w:hAnsi="宋体" w:eastAsia="宋体" w:cs="宋体"/>
          <w:b/>
          <w:bCs/>
          <w:spacing w:val="5"/>
          <w:sz w:val="20"/>
          <w:szCs w:val="20"/>
        </w:rPr>
        <w:t>项目与相关政策的符合性分析</w:t>
      </w:r>
    </w:p>
    <w:p w14:paraId="498160CB">
      <w:pPr>
        <w:spacing w:line="130" w:lineRule="exact"/>
      </w:pPr>
    </w:p>
    <w:tbl>
      <w:tblPr>
        <w:tblStyle w:val="5"/>
        <w:tblW w:w="1400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0"/>
        <w:gridCol w:w="905"/>
        <w:gridCol w:w="6749"/>
        <w:gridCol w:w="4111"/>
        <w:gridCol w:w="677"/>
      </w:tblGrid>
      <w:tr w14:paraId="16268A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1560" w:type="dxa"/>
            <w:tcBorders>
              <w:top w:val="single" w:color="000000" w:sz="10" w:space="0"/>
              <w:left w:val="nil"/>
            </w:tcBorders>
            <w:vAlign w:val="top"/>
          </w:tcPr>
          <w:p w14:paraId="38C3DD02">
            <w:pPr>
              <w:pStyle w:val="6"/>
              <w:spacing w:before="91" w:line="221" w:lineRule="auto"/>
              <w:ind w:left="344"/>
            </w:pPr>
            <w:r>
              <w:rPr>
                <w:spacing w:val="-2"/>
              </w:rPr>
              <w:t>政策名称</w:t>
            </w:r>
          </w:p>
        </w:tc>
        <w:tc>
          <w:tcPr>
            <w:tcW w:w="905" w:type="dxa"/>
            <w:tcBorders>
              <w:top w:val="single" w:color="000000" w:sz="10" w:space="0"/>
            </w:tcBorders>
            <w:vAlign w:val="top"/>
          </w:tcPr>
          <w:p w14:paraId="3D6E8236">
            <w:pPr>
              <w:pStyle w:val="6"/>
              <w:spacing w:before="91" w:line="220" w:lineRule="auto"/>
              <w:ind w:left="236"/>
            </w:pPr>
            <w:r>
              <w:rPr>
                <w:spacing w:val="-4"/>
              </w:rPr>
              <w:t>类别</w:t>
            </w:r>
          </w:p>
        </w:tc>
        <w:tc>
          <w:tcPr>
            <w:tcW w:w="6749" w:type="dxa"/>
            <w:tcBorders>
              <w:top w:val="single" w:color="000000" w:sz="10" w:space="0"/>
            </w:tcBorders>
            <w:vAlign w:val="top"/>
          </w:tcPr>
          <w:p w14:paraId="2EC72D0F">
            <w:pPr>
              <w:pStyle w:val="6"/>
              <w:spacing w:before="91" w:line="221" w:lineRule="auto"/>
              <w:ind w:left="2939"/>
            </w:pPr>
            <w:r>
              <w:rPr>
                <w:spacing w:val="-2"/>
              </w:rPr>
              <w:t>相关要求</w:t>
            </w:r>
          </w:p>
        </w:tc>
        <w:tc>
          <w:tcPr>
            <w:tcW w:w="4111" w:type="dxa"/>
            <w:tcBorders>
              <w:top w:val="single" w:color="000000" w:sz="10" w:space="0"/>
            </w:tcBorders>
            <w:vAlign w:val="top"/>
          </w:tcPr>
          <w:p w14:paraId="5398D737">
            <w:pPr>
              <w:pStyle w:val="6"/>
              <w:spacing w:before="91" w:line="219" w:lineRule="auto"/>
              <w:ind w:left="1511"/>
            </w:pPr>
            <w:r>
              <w:rPr>
                <w:spacing w:val="-2"/>
              </w:rPr>
              <w:t>本项目情况</w:t>
            </w:r>
          </w:p>
        </w:tc>
        <w:tc>
          <w:tcPr>
            <w:tcW w:w="677" w:type="dxa"/>
            <w:tcBorders>
              <w:top w:val="single" w:color="000000" w:sz="10" w:space="0"/>
              <w:right w:val="nil"/>
            </w:tcBorders>
            <w:vAlign w:val="top"/>
          </w:tcPr>
          <w:p w14:paraId="5A46BC3C">
            <w:pPr>
              <w:pStyle w:val="6"/>
              <w:spacing w:before="91" w:line="220" w:lineRule="auto"/>
              <w:ind w:left="17"/>
            </w:pPr>
            <w:r>
              <w:rPr>
                <w:spacing w:val="-3"/>
              </w:rPr>
              <w:t>符合性</w:t>
            </w:r>
          </w:p>
        </w:tc>
      </w:tr>
      <w:tr w14:paraId="60EC75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05" w:hRule="atLeast"/>
        </w:trPr>
        <w:tc>
          <w:tcPr>
            <w:tcW w:w="1560" w:type="dxa"/>
            <w:vMerge w:val="restart"/>
            <w:tcBorders>
              <w:left w:val="nil"/>
              <w:bottom w:val="nil"/>
            </w:tcBorders>
            <w:vAlign w:val="top"/>
          </w:tcPr>
          <w:p w14:paraId="1649AED3">
            <w:pPr>
              <w:spacing w:line="253" w:lineRule="auto"/>
              <w:rPr>
                <w:rFonts w:ascii="Arial"/>
                <w:sz w:val="21"/>
              </w:rPr>
            </w:pPr>
          </w:p>
          <w:p w14:paraId="01ADE8AF">
            <w:pPr>
              <w:spacing w:line="253" w:lineRule="auto"/>
              <w:rPr>
                <w:rFonts w:ascii="Arial"/>
                <w:sz w:val="21"/>
              </w:rPr>
            </w:pPr>
          </w:p>
          <w:p w14:paraId="2BF7B625">
            <w:pPr>
              <w:spacing w:line="253" w:lineRule="auto"/>
              <w:rPr>
                <w:rFonts w:ascii="Arial"/>
                <w:sz w:val="21"/>
              </w:rPr>
            </w:pPr>
          </w:p>
          <w:p w14:paraId="2BBF3768">
            <w:pPr>
              <w:spacing w:line="253" w:lineRule="auto"/>
              <w:rPr>
                <w:rFonts w:ascii="Arial"/>
                <w:sz w:val="21"/>
              </w:rPr>
            </w:pPr>
          </w:p>
          <w:p w14:paraId="44A9B8A0">
            <w:pPr>
              <w:spacing w:line="253" w:lineRule="auto"/>
              <w:rPr>
                <w:rFonts w:ascii="Arial"/>
                <w:sz w:val="21"/>
              </w:rPr>
            </w:pPr>
          </w:p>
          <w:p w14:paraId="59A05BB5">
            <w:pPr>
              <w:spacing w:line="253" w:lineRule="auto"/>
              <w:rPr>
                <w:rFonts w:ascii="Arial"/>
                <w:sz w:val="21"/>
              </w:rPr>
            </w:pPr>
          </w:p>
          <w:p w14:paraId="559ED74F">
            <w:pPr>
              <w:spacing w:line="253" w:lineRule="auto"/>
              <w:rPr>
                <w:rFonts w:ascii="Arial"/>
                <w:sz w:val="21"/>
              </w:rPr>
            </w:pPr>
          </w:p>
          <w:p w14:paraId="3FC524C3">
            <w:pPr>
              <w:spacing w:line="253" w:lineRule="auto"/>
              <w:rPr>
                <w:rFonts w:ascii="Arial"/>
                <w:sz w:val="21"/>
              </w:rPr>
            </w:pPr>
          </w:p>
          <w:p w14:paraId="7B5833BE">
            <w:pPr>
              <w:spacing w:line="253" w:lineRule="auto"/>
              <w:rPr>
                <w:rFonts w:ascii="Arial"/>
                <w:sz w:val="21"/>
              </w:rPr>
            </w:pPr>
          </w:p>
          <w:p w14:paraId="48B6CC6B">
            <w:pPr>
              <w:spacing w:line="253" w:lineRule="auto"/>
              <w:rPr>
                <w:rFonts w:ascii="Arial"/>
                <w:sz w:val="21"/>
              </w:rPr>
            </w:pPr>
          </w:p>
          <w:p w14:paraId="7C6EC680">
            <w:pPr>
              <w:spacing w:line="253" w:lineRule="auto"/>
              <w:rPr>
                <w:rFonts w:ascii="Arial"/>
                <w:sz w:val="21"/>
              </w:rPr>
            </w:pPr>
          </w:p>
          <w:p w14:paraId="2B64E1C7">
            <w:pPr>
              <w:pStyle w:val="6"/>
              <w:spacing w:before="72" w:line="234" w:lineRule="auto"/>
              <w:ind w:left="138" w:right="107" w:firstLine="111"/>
              <w:jc w:val="right"/>
            </w:pPr>
            <w:r>
              <w:rPr>
                <w:spacing w:val="-2"/>
              </w:rPr>
              <w:t>《关于印发</w:t>
            </w:r>
            <w:r>
              <w:t xml:space="preserve">  </w:t>
            </w:r>
            <w:r>
              <w:rPr>
                <w:spacing w:val="-2"/>
              </w:rPr>
              <w:t>〈内蒙古自治</w:t>
            </w:r>
            <w:r>
              <w:rPr>
                <w:spacing w:val="2"/>
              </w:rPr>
              <w:t xml:space="preserve"> </w:t>
            </w:r>
            <w:r>
              <w:rPr>
                <w:spacing w:val="-2"/>
              </w:rPr>
              <w:t>区促进铁合金</w:t>
            </w:r>
            <w:r>
              <w:rPr>
                <w:spacing w:val="2"/>
              </w:rPr>
              <w:t xml:space="preserve"> </w:t>
            </w:r>
            <w:r>
              <w:rPr>
                <w:spacing w:val="-2"/>
              </w:rPr>
              <w:t>产业高质量发</w:t>
            </w:r>
          </w:p>
          <w:p w14:paraId="25597BCD">
            <w:pPr>
              <w:pStyle w:val="6"/>
              <w:spacing w:before="23" w:line="221" w:lineRule="auto"/>
              <w:ind w:left="140"/>
            </w:pPr>
            <w:r>
              <w:rPr>
                <w:spacing w:val="-2"/>
              </w:rPr>
              <w:t>展政策措施〉</w:t>
            </w:r>
          </w:p>
          <w:p w14:paraId="2682313C">
            <w:pPr>
              <w:pStyle w:val="6"/>
              <w:spacing w:before="22" w:line="230" w:lineRule="auto"/>
              <w:ind w:left="469" w:right="107" w:hanging="313"/>
            </w:pPr>
            <w:r>
              <w:rPr>
                <w:spacing w:val="-5"/>
              </w:rPr>
              <w:t>的通知》（内</w:t>
            </w:r>
            <w:r>
              <w:rPr>
                <w:spacing w:val="2"/>
              </w:rPr>
              <w:t xml:space="preserve"> </w:t>
            </w:r>
            <w:r>
              <w:rPr>
                <w:spacing w:val="-4"/>
              </w:rPr>
              <w:t>工信发</w:t>
            </w:r>
          </w:p>
          <w:p w14:paraId="6195359F">
            <w:pPr>
              <w:pStyle w:val="6"/>
              <w:spacing w:before="23" w:line="211" w:lineRule="auto"/>
              <w:ind w:left="128"/>
            </w:pPr>
            <w:r>
              <w:rPr>
                <w:rFonts w:ascii="Times New Roman" w:hAnsi="Times New Roman" w:eastAsia="Times New Roman" w:cs="Times New Roman"/>
                <w:spacing w:val="-2"/>
              </w:rPr>
              <w:t>[2023]134</w:t>
            </w:r>
            <w:r>
              <w:rPr>
                <w:spacing w:val="-2"/>
              </w:rPr>
              <w:t>号）</w:t>
            </w:r>
          </w:p>
        </w:tc>
        <w:tc>
          <w:tcPr>
            <w:tcW w:w="905" w:type="dxa"/>
            <w:vAlign w:val="top"/>
          </w:tcPr>
          <w:p w14:paraId="4E2E33A4">
            <w:pPr>
              <w:spacing w:line="269" w:lineRule="auto"/>
              <w:rPr>
                <w:rFonts w:ascii="Arial"/>
                <w:sz w:val="21"/>
              </w:rPr>
            </w:pPr>
          </w:p>
          <w:p w14:paraId="7D64A002">
            <w:pPr>
              <w:spacing w:line="269" w:lineRule="auto"/>
              <w:rPr>
                <w:rFonts w:ascii="Arial"/>
                <w:sz w:val="21"/>
              </w:rPr>
            </w:pPr>
          </w:p>
          <w:p w14:paraId="5E0D981F">
            <w:pPr>
              <w:spacing w:line="270" w:lineRule="auto"/>
              <w:rPr>
                <w:rFonts w:ascii="Arial"/>
                <w:sz w:val="21"/>
              </w:rPr>
            </w:pPr>
          </w:p>
          <w:p w14:paraId="407C103A">
            <w:pPr>
              <w:spacing w:before="63"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495F7A86">
            <w:pPr>
              <w:pStyle w:val="6"/>
              <w:spacing w:before="29" w:line="246" w:lineRule="auto"/>
              <w:ind w:left="9" w:right="4"/>
              <w:rPr>
                <w:sz w:val="20"/>
                <w:szCs w:val="20"/>
              </w:rPr>
            </w:pPr>
            <w:r>
              <w:rPr>
                <w:spacing w:val="10"/>
                <w:sz w:val="20"/>
                <w:szCs w:val="20"/>
              </w:rPr>
              <w:t>①鼓励自治区内铁合金企业整合重组，提高产业</w:t>
            </w:r>
            <w:r>
              <w:rPr>
                <w:spacing w:val="9"/>
                <w:sz w:val="20"/>
                <w:szCs w:val="20"/>
              </w:rPr>
              <w:t>集中度、技术装备水平和</w:t>
            </w:r>
            <w:r>
              <w:rPr>
                <w:sz w:val="20"/>
                <w:szCs w:val="20"/>
              </w:rPr>
              <w:t xml:space="preserve"> </w:t>
            </w:r>
            <w:r>
              <w:rPr>
                <w:spacing w:val="9"/>
                <w:sz w:val="20"/>
                <w:szCs w:val="20"/>
              </w:rPr>
              <w:t>资源综合利用水平。对整合重组后生产规模达不到</w:t>
            </w:r>
            <w:r>
              <w:rPr>
                <w:rFonts w:ascii="Times New Roman" w:hAnsi="Times New Roman" w:eastAsia="Times New Roman" w:cs="Times New Roman"/>
                <w:spacing w:val="9"/>
                <w:sz w:val="20"/>
                <w:szCs w:val="20"/>
              </w:rPr>
              <w:t>30</w:t>
            </w:r>
            <w:r>
              <w:rPr>
                <w:spacing w:val="9"/>
                <w:sz w:val="20"/>
                <w:szCs w:val="20"/>
              </w:rPr>
              <w:t>万吨的单体企业或生</w:t>
            </w:r>
            <w:r>
              <w:rPr>
                <w:spacing w:val="12"/>
                <w:sz w:val="20"/>
                <w:szCs w:val="20"/>
              </w:rPr>
              <w:t xml:space="preserve"> </w:t>
            </w:r>
            <w:r>
              <w:rPr>
                <w:spacing w:val="8"/>
                <w:sz w:val="20"/>
                <w:szCs w:val="20"/>
              </w:rPr>
              <w:t>产规模达不到</w:t>
            </w:r>
            <w:r>
              <w:rPr>
                <w:rFonts w:ascii="Times New Roman" w:hAnsi="Times New Roman" w:eastAsia="Times New Roman" w:cs="Times New Roman"/>
                <w:spacing w:val="8"/>
                <w:sz w:val="20"/>
                <w:szCs w:val="20"/>
              </w:rPr>
              <w:t>50</w:t>
            </w:r>
            <w:r>
              <w:rPr>
                <w:spacing w:val="8"/>
                <w:sz w:val="20"/>
                <w:szCs w:val="20"/>
              </w:rPr>
              <w:t>万吨的企业集团，被整合装备产能按照</w:t>
            </w:r>
            <w:r>
              <w:rPr>
                <w:rFonts w:ascii="Times New Roman" w:hAnsi="Times New Roman" w:eastAsia="Times New Roman" w:cs="Times New Roman"/>
                <w:spacing w:val="8"/>
                <w:sz w:val="20"/>
                <w:szCs w:val="20"/>
              </w:rPr>
              <w:t>1.25:1</w:t>
            </w:r>
            <w:r>
              <w:rPr>
                <w:spacing w:val="8"/>
                <w:sz w:val="20"/>
                <w:szCs w:val="20"/>
              </w:rPr>
              <w:t>实施减量置  换；生产规模</w:t>
            </w:r>
            <w:r>
              <w:rPr>
                <w:rFonts w:ascii="Times New Roman" w:hAnsi="Times New Roman" w:eastAsia="Times New Roman" w:cs="Times New Roman"/>
                <w:spacing w:val="8"/>
                <w:sz w:val="20"/>
                <w:szCs w:val="20"/>
              </w:rPr>
              <w:t>30-50</w:t>
            </w:r>
            <w:r>
              <w:rPr>
                <w:spacing w:val="8"/>
                <w:sz w:val="20"/>
                <w:szCs w:val="20"/>
              </w:rPr>
              <w:t>万吨</w:t>
            </w:r>
            <w:r>
              <w:rPr>
                <w:rFonts w:ascii="Times New Roman" w:hAnsi="Times New Roman" w:eastAsia="Times New Roman" w:cs="Times New Roman"/>
                <w:spacing w:val="8"/>
                <w:sz w:val="20"/>
                <w:szCs w:val="20"/>
              </w:rPr>
              <w:t>(</w:t>
            </w:r>
            <w:r>
              <w:rPr>
                <w:spacing w:val="8"/>
                <w:sz w:val="20"/>
                <w:szCs w:val="20"/>
              </w:rPr>
              <w:t>不含</w:t>
            </w:r>
            <w:r>
              <w:rPr>
                <w:rFonts w:ascii="Times New Roman" w:hAnsi="Times New Roman" w:eastAsia="Times New Roman" w:cs="Times New Roman"/>
                <w:spacing w:val="8"/>
                <w:sz w:val="20"/>
                <w:szCs w:val="20"/>
              </w:rPr>
              <w:t>50</w:t>
            </w:r>
            <w:r>
              <w:rPr>
                <w:spacing w:val="8"/>
                <w:sz w:val="20"/>
                <w:szCs w:val="20"/>
              </w:rPr>
              <w:t>万吨</w:t>
            </w:r>
            <w:r>
              <w:rPr>
                <w:rFonts w:ascii="Times New Roman" w:hAnsi="Times New Roman" w:eastAsia="Times New Roman" w:cs="Times New Roman"/>
                <w:spacing w:val="8"/>
                <w:sz w:val="20"/>
                <w:szCs w:val="20"/>
              </w:rPr>
              <w:t>)</w:t>
            </w:r>
            <w:r>
              <w:rPr>
                <w:spacing w:val="8"/>
                <w:sz w:val="20"/>
                <w:szCs w:val="20"/>
              </w:rPr>
              <w:t>的单体企业</w:t>
            </w:r>
            <w:r>
              <w:rPr>
                <w:spacing w:val="7"/>
                <w:sz w:val="20"/>
                <w:szCs w:val="20"/>
              </w:rPr>
              <w:t>或生产规模</w:t>
            </w:r>
            <w:r>
              <w:rPr>
                <w:rFonts w:ascii="Times New Roman" w:hAnsi="Times New Roman" w:eastAsia="Times New Roman" w:cs="Times New Roman"/>
                <w:spacing w:val="7"/>
                <w:sz w:val="20"/>
                <w:szCs w:val="20"/>
              </w:rPr>
              <w:t>50-80</w:t>
            </w:r>
            <w:r>
              <w:rPr>
                <w:spacing w:val="7"/>
                <w:sz w:val="20"/>
                <w:szCs w:val="20"/>
              </w:rPr>
              <w:t>万吨</w:t>
            </w:r>
            <w:r>
              <w:rPr>
                <w:rFonts w:ascii="Times New Roman" w:hAnsi="Times New Roman" w:eastAsia="Times New Roman" w:cs="Times New Roman"/>
                <w:spacing w:val="7"/>
                <w:sz w:val="20"/>
                <w:szCs w:val="20"/>
              </w:rPr>
              <w:t>(</w:t>
            </w:r>
            <w:r>
              <w:rPr>
                <w:spacing w:val="7"/>
                <w:sz w:val="20"/>
                <w:szCs w:val="20"/>
              </w:rPr>
              <w:t>不</w:t>
            </w:r>
            <w:r>
              <w:rPr>
                <w:sz w:val="20"/>
                <w:szCs w:val="20"/>
              </w:rPr>
              <w:t xml:space="preserve">  </w:t>
            </w:r>
            <w:r>
              <w:rPr>
                <w:spacing w:val="6"/>
                <w:sz w:val="20"/>
                <w:szCs w:val="20"/>
              </w:rPr>
              <w:t>含</w:t>
            </w:r>
            <w:r>
              <w:rPr>
                <w:rFonts w:ascii="Times New Roman" w:hAnsi="Times New Roman" w:eastAsia="Times New Roman" w:cs="Times New Roman"/>
                <w:spacing w:val="6"/>
                <w:sz w:val="20"/>
                <w:szCs w:val="20"/>
              </w:rPr>
              <w:t>80</w:t>
            </w:r>
            <w:r>
              <w:rPr>
                <w:spacing w:val="6"/>
                <w:sz w:val="20"/>
                <w:szCs w:val="20"/>
              </w:rPr>
              <w:t>万吨</w:t>
            </w:r>
            <w:r>
              <w:rPr>
                <w:rFonts w:ascii="Times New Roman" w:hAnsi="Times New Roman" w:eastAsia="Times New Roman" w:cs="Times New Roman"/>
                <w:spacing w:val="6"/>
                <w:sz w:val="20"/>
                <w:szCs w:val="20"/>
              </w:rPr>
              <w:t>)</w:t>
            </w:r>
            <w:r>
              <w:rPr>
                <w:spacing w:val="6"/>
                <w:sz w:val="20"/>
                <w:szCs w:val="20"/>
              </w:rPr>
              <w:t>的企业集团，被整合装备产能按照</w:t>
            </w: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rFonts w:ascii="Times New Roman" w:hAnsi="Times New Roman" w:eastAsia="Times New Roman" w:cs="Times New Roman"/>
                <w:spacing w:val="6"/>
                <w:sz w:val="20"/>
                <w:szCs w:val="20"/>
              </w:rPr>
              <w:t>1:1</w:t>
            </w:r>
            <w:r>
              <w:rPr>
                <w:spacing w:val="6"/>
                <w:sz w:val="20"/>
                <w:szCs w:val="20"/>
              </w:rPr>
              <w:t>实施减量置换；生产规模</w:t>
            </w:r>
            <w:r>
              <w:rPr>
                <w:sz w:val="20"/>
                <w:szCs w:val="20"/>
              </w:rPr>
              <w:t xml:space="preserve"> </w:t>
            </w:r>
            <w:r>
              <w:rPr>
                <w:rFonts w:ascii="Times New Roman" w:hAnsi="Times New Roman" w:eastAsia="Times New Roman" w:cs="Times New Roman"/>
                <w:spacing w:val="8"/>
                <w:sz w:val="20"/>
                <w:szCs w:val="20"/>
              </w:rPr>
              <w:t>50</w:t>
            </w:r>
            <w:r>
              <w:rPr>
                <w:spacing w:val="8"/>
                <w:sz w:val="20"/>
                <w:szCs w:val="20"/>
              </w:rPr>
              <w:t>万吨</w:t>
            </w:r>
            <w:r>
              <w:rPr>
                <w:rFonts w:ascii="Times New Roman" w:hAnsi="Times New Roman" w:eastAsia="Times New Roman" w:cs="Times New Roman"/>
                <w:spacing w:val="8"/>
                <w:sz w:val="20"/>
                <w:szCs w:val="20"/>
              </w:rPr>
              <w:t>(</w:t>
            </w:r>
            <w:r>
              <w:rPr>
                <w:spacing w:val="8"/>
                <w:sz w:val="20"/>
                <w:szCs w:val="20"/>
              </w:rPr>
              <w:t>含</w:t>
            </w:r>
            <w:r>
              <w:rPr>
                <w:rFonts w:ascii="Times New Roman" w:hAnsi="Times New Roman" w:eastAsia="Times New Roman" w:cs="Times New Roman"/>
                <w:spacing w:val="8"/>
                <w:sz w:val="20"/>
                <w:szCs w:val="20"/>
              </w:rPr>
              <w:t>50</w:t>
            </w:r>
            <w:r>
              <w:rPr>
                <w:spacing w:val="8"/>
                <w:sz w:val="20"/>
                <w:szCs w:val="20"/>
              </w:rPr>
              <w:t>万吨</w:t>
            </w:r>
            <w:r>
              <w:rPr>
                <w:rFonts w:ascii="Times New Roman" w:hAnsi="Times New Roman" w:eastAsia="Times New Roman" w:cs="Times New Roman"/>
                <w:spacing w:val="8"/>
                <w:sz w:val="20"/>
                <w:szCs w:val="20"/>
              </w:rPr>
              <w:t>)</w:t>
            </w:r>
            <w:r>
              <w:rPr>
                <w:spacing w:val="8"/>
                <w:sz w:val="20"/>
                <w:szCs w:val="20"/>
              </w:rPr>
              <w:t>以上的单体企业或生产规模</w:t>
            </w:r>
            <w:r>
              <w:rPr>
                <w:rFonts w:ascii="Times New Roman" w:hAnsi="Times New Roman" w:eastAsia="Times New Roman" w:cs="Times New Roman"/>
                <w:spacing w:val="8"/>
                <w:sz w:val="20"/>
                <w:szCs w:val="20"/>
              </w:rPr>
              <w:t>80</w:t>
            </w:r>
            <w:r>
              <w:rPr>
                <w:spacing w:val="8"/>
                <w:sz w:val="20"/>
                <w:szCs w:val="20"/>
              </w:rPr>
              <w:t>万吨</w:t>
            </w:r>
            <w:r>
              <w:rPr>
                <w:rFonts w:ascii="Times New Roman" w:hAnsi="Times New Roman" w:eastAsia="Times New Roman" w:cs="Times New Roman"/>
                <w:spacing w:val="8"/>
                <w:sz w:val="20"/>
                <w:szCs w:val="20"/>
              </w:rPr>
              <w:t>(</w:t>
            </w:r>
            <w:r>
              <w:rPr>
                <w:spacing w:val="8"/>
                <w:sz w:val="20"/>
                <w:szCs w:val="20"/>
              </w:rPr>
              <w:t>含</w:t>
            </w:r>
            <w:r>
              <w:rPr>
                <w:rFonts w:ascii="Times New Roman" w:hAnsi="Times New Roman" w:eastAsia="Times New Roman" w:cs="Times New Roman"/>
                <w:spacing w:val="8"/>
                <w:sz w:val="20"/>
                <w:szCs w:val="20"/>
              </w:rPr>
              <w:t>80</w:t>
            </w:r>
            <w:r>
              <w:rPr>
                <w:spacing w:val="8"/>
                <w:sz w:val="20"/>
                <w:szCs w:val="20"/>
              </w:rPr>
              <w:t>万吨</w:t>
            </w:r>
            <w:r>
              <w:rPr>
                <w:rFonts w:ascii="Times New Roman" w:hAnsi="Times New Roman" w:eastAsia="Times New Roman" w:cs="Times New Roman"/>
                <w:spacing w:val="8"/>
                <w:sz w:val="20"/>
                <w:szCs w:val="20"/>
              </w:rPr>
              <w:t>)</w:t>
            </w:r>
            <w:r>
              <w:rPr>
                <w:spacing w:val="8"/>
                <w:sz w:val="20"/>
                <w:szCs w:val="20"/>
              </w:rPr>
              <w:t>以</w:t>
            </w:r>
            <w:r>
              <w:rPr>
                <w:spacing w:val="7"/>
                <w:sz w:val="20"/>
                <w:szCs w:val="20"/>
              </w:rPr>
              <w:t>上的企</w:t>
            </w:r>
            <w:r>
              <w:rPr>
                <w:sz w:val="20"/>
                <w:szCs w:val="20"/>
              </w:rPr>
              <w:t xml:space="preserve">  </w:t>
            </w:r>
            <w:r>
              <w:rPr>
                <w:spacing w:val="8"/>
                <w:sz w:val="20"/>
                <w:szCs w:val="20"/>
              </w:rPr>
              <w:t>业集团，被整合装备产能按照</w:t>
            </w:r>
            <w:r>
              <w:rPr>
                <w:rFonts w:ascii="Times New Roman" w:hAnsi="Times New Roman" w:eastAsia="Times New Roman" w:cs="Times New Roman"/>
                <w:spacing w:val="8"/>
                <w:sz w:val="20"/>
                <w:szCs w:val="20"/>
              </w:rPr>
              <w:t>1:1</w:t>
            </w:r>
            <w:r>
              <w:rPr>
                <w:spacing w:val="8"/>
                <w:sz w:val="20"/>
                <w:szCs w:val="20"/>
              </w:rPr>
              <w:t>实施等量置换。</w:t>
            </w:r>
          </w:p>
        </w:tc>
        <w:tc>
          <w:tcPr>
            <w:tcW w:w="4111" w:type="dxa"/>
            <w:vAlign w:val="top"/>
          </w:tcPr>
          <w:p w14:paraId="19FE4B77">
            <w:pPr>
              <w:spacing w:line="259" w:lineRule="auto"/>
              <w:rPr>
                <w:rFonts w:ascii="Arial"/>
                <w:sz w:val="21"/>
              </w:rPr>
            </w:pPr>
          </w:p>
          <w:p w14:paraId="591C630D">
            <w:pPr>
              <w:spacing w:line="259" w:lineRule="auto"/>
              <w:rPr>
                <w:rFonts w:ascii="Arial"/>
                <w:sz w:val="21"/>
              </w:rPr>
            </w:pPr>
          </w:p>
          <w:p w14:paraId="33D8858A">
            <w:pPr>
              <w:spacing w:line="260" w:lineRule="auto"/>
              <w:rPr>
                <w:rFonts w:ascii="Arial"/>
                <w:sz w:val="21"/>
              </w:rPr>
            </w:pPr>
          </w:p>
          <w:p w14:paraId="261035A0">
            <w:pPr>
              <w:pStyle w:val="6"/>
              <w:spacing w:before="65" w:line="227" w:lineRule="auto"/>
              <w:ind w:left="11"/>
              <w:rPr>
                <w:sz w:val="20"/>
                <w:szCs w:val="20"/>
              </w:rPr>
            </w:pPr>
            <w:r>
              <w:rPr>
                <w:spacing w:val="8"/>
                <w:sz w:val="20"/>
                <w:szCs w:val="20"/>
              </w:rPr>
              <w:t>本项目不涉及企业整合重组。</w:t>
            </w:r>
          </w:p>
        </w:tc>
        <w:tc>
          <w:tcPr>
            <w:tcW w:w="677" w:type="dxa"/>
            <w:tcBorders>
              <w:right w:val="nil"/>
            </w:tcBorders>
            <w:vAlign w:val="top"/>
          </w:tcPr>
          <w:p w14:paraId="462D7230">
            <w:pPr>
              <w:spacing w:line="259" w:lineRule="auto"/>
              <w:rPr>
                <w:rFonts w:ascii="Arial"/>
                <w:sz w:val="21"/>
              </w:rPr>
            </w:pPr>
          </w:p>
          <w:p w14:paraId="566BCB4B">
            <w:pPr>
              <w:spacing w:line="259" w:lineRule="auto"/>
              <w:rPr>
                <w:rFonts w:ascii="Arial"/>
                <w:sz w:val="21"/>
              </w:rPr>
            </w:pPr>
          </w:p>
          <w:p w14:paraId="10FEF159">
            <w:pPr>
              <w:spacing w:line="260" w:lineRule="auto"/>
              <w:rPr>
                <w:rFonts w:ascii="Arial"/>
                <w:sz w:val="21"/>
              </w:rPr>
            </w:pPr>
          </w:p>
          <w:p w14:paraId="796FAB58">
            <w:pPr>
              <w:pStyle w:val="6"/>
              <w:spacing w:before="65" w:line="228" w:lineRule="auto"/>
              <w:ind w:left="137"/>
              <w:rPr>
                <w:sz w:val="20"/>
                <w:szCs w:val="20"/>
              </w:rPr>
            </w:pPr>
            <w:r>
              <w:rPr>
                <w:spacing w:val="3"/>
                <w:sz w:val="20"/>
                <w:szCs w:val="20"/>
              </w:rPr>
              <w:t>符合</w:t>
            </w:r>
          </w:p>
        </w:tc>
      </w:tr>
      <w:tr w14:paraId="336D4E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9" w:hRule="atLeast"/>
        </w:trPr>
        <w:tc>
          <w:tcPr>
            <w:tcW w:w="1560" w:type="dxa"/>
            <w:vMerge w:val="continue"/>
            <w:tcBorders>
              <w:top w:val="nil"/>
              <w:left w:val="nil"/>
              <w:bottom w:val="nil"/>
            </w:tcBorders>
            <w:vAlign w:val="top"/>
          </w:tcPr>
          <w:p w14:paraId="2A3DDCD0">
            <w:pPr>
              <w:rPr>
                <w:rFonts w:ascii="Arial"/>
                <w:sz w:val="21"/>
              </w:rPr>
            </w:pPr>
          </w:p>
        </w:tc>
        <w:tc>
          <w:tcPr>
            <w:tcW w:w="905" w:type="dxa"/>
            <w:vAlign w:val="top"/>
          </w:tcPr>
          <w:p w14:paraId="0C32D603">
            <w:pPr>
              <w:spacing w:line="272" w:lineRule="auto"/>
              <w:rPr>
                <w:rFonts w:ascii="Arial"/>
                <w:sz w:val="21"/>
              </w:rPr>
            </w:pPr>
          </w:p>
          <w:p w14:paraId="2BC9CD8C">
            <w:pPr>
              <w:spacing w:before="63"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08D2BF92">
            <w:pPr>
              <w:pStyle w:val="6"/>
              <w:spacing w:before="38" w:line="237" w:lineRule="auto"/>
              <w:ind w:left="8"/>
              <w:jc w:val="both"/>
              <w:rPr>
                <w:sz w:val="20"/>
                <w:szCs w:val="20"/>
              </w:rPr>
            </w:pPr>
            <w:r>
              <w:rPr>
                <w:spacing w:val="15"/>
                <w:sz w:val="20"/>
                <w:szCs w:val="20"/>
              </w:rPr>
              <w:t>②支持铁合金企业通过建设市场化并网新能源项目和绿电市场交易</w:t>
            </w:r>
            <w:r>
              <w:rPr>
                <w:spacing w:val="14"/>
                <w:sz w:val="20"/>
                <w:szCs w:val="20"/>
              </w:rPr>
              <w:t>等方</w:t>
            </w:r>
            <w:r>
              <w:rPr>
                <w:sz w:val="20"/>
                <w:szCs w:val="20"/>
              </w:rPr>
              <w:t xml:space="preserve"> </w:t>
            </w:r>
            <w:r>
              <w:rPr>
                <w:spacing w:val="8"/>
                <w:sz w:val="20"/>
                <w:szCs w:val="20"/>
              </w:rPr>
              <w:t>式，逐步提高铁合金企业可再生能源消纳比例。可再生能源电力使用比例</w:t>
            </w:r>
            <w:r>
              <w:rPr>
                <w:spacing w:val="6"/>
                <w:sz w:val="20"/>
                <w:szCs w:val="20"/>
              </w:rPr>
              <w:t xml:space="preserve"> </w:t>
            </w:r>
            <w:r>
              <w:rPr>
                <w:spacing w:val="5"/>
                <w:sz w:val="20"/>
                <w:szCs w:val="20"/>
              </w:rPr>
              <w:t>达到</w:t>
            </w:r>
            <w:r>
              <w:rPr>
                <w:rFonts w:ascii="Times New Roman" w:hAnsi="Times New Roman" w:eastAsia="Times New Roman" w:cs="Times New Roman"/>
                <w:spacing w:val="5"/>
                <w:sz w:val="20"/>
                <w:szCs w:val="20"/>
              </w:rPr>
              <w:t>60%</w:t>
            </w:r>
            <w:r>
              <w:rPr>
                <w:spacing w:val="5"/>
                <w:sz w:val="20"/>
                <w:szCs w:val="20"/>
              </w:rPr>
              <w:t>以上且能效达到标杆水平的新建铁合金项目，可不进行产</w:t>
            </w:r>
            <w:r>
              <w:rPr>
                <w:spacing w:val="4"/>
                <w:sz w:val="20"/>
                <w:szCs w:val="20"/>
              </w:rPr>
              <w:t>能置换。</w:t>
            </w:r>
          </w:p>
        </w:tc>
        <w:tc>
          <w:tcPr>
            <w:tcW w:w="4111" w:type="dxa"/>
            <w:vAlign w:val="top"/>
          </w:tcPr>
          <w:p w14:paraId="042026BD">
            <w:pPr>
              <w:pStyle w:val="6"/>
              <w:spacing w:before="38" w:line="237" w:lineRule="auto"/>
              <w:ind w:left="10" w:right="4"/>
              <w:jc w:val="both"/>
              <w:rPr>
                <w:sz w:val="20"/>
                <w:szCs w:val="20"/>
              </w:rPr>
            </w:pPr>
            <w:r>
              <w:rPr>
                <w:spacing w:val="10"/>
                <w:sz w:val="20"/>
                <w:szCs w:val="20"/>
              </w:rPr>
              <w:t>本项目拟采用</w:t>
            </w:r>
            <w:r>
              <w:rPr>
                <w:rFonts w:ascii="Times New Roman" w:hAnsi="Times New Roman" w:eastAsia="Times New Roman" w:cs="Times New Roman"/>
                <w:spacing w:val="10"/>
                <w:sz w:val="20"/>
                <w:szCs w:val="20"/>
              </w:rPr>
              <w:t>≥90%</w:t>
            </w:r>
            <w:r>
              <w:rPr>
                <w:spacing w:val="10"/>
                <w:sz w:val="20"/>
                <w:szCs w:val="20"/>
              </w:rPr>
              <w:t>的可再生能源电力，根据</w:t>
            </w:r>
            <w:r>
              <w:rPr>
                <w:spacing w:val="3"/>
                <w:sz w:val="20"/>
                <w:szCs w:val="20"/>
              </w:rPr>
              <w:t xml:space="preserve"> </w:t>
            </w:r>
            <w:r>
              <w:rPr>
                <w:spacing w:val="4"/>
                <w:sz w:val="20"/>
                <w:szCs w:val="20"/>
              </w:rPr>
              <w:t>节能评估报告能效达到标杆水平，因此无需进</w:t>
            </w:r>
            <w:r>
              <w:rPr>
                <w:spacing w:val="10"/>
                <w:sz w:val="20"/>
                <w:szCs w:val="20"/>
              </w:rPr>
              <w:t xml:space="preserve"> </w:t>
            </w:r>
            <w:r>
              <w:rPr>
                <w:spacing w:val="6"/>
                <w:sz w:val="20"/>
                <w:szCs w:val="20"/>
              </w:rPr>
              <w:t>行产能置换。</w:t>
            </w:r>
          </w:p>
        </w:tc>
        <w:tc>
          <w:tcPr>
            <w:tcW w:w="677" w:type="dxa"/>
            <w:tcBorders>
              <w:right w:val="nil"/>
            </w:tcBorders>
            <w:vAlign w:val="top"/>
          </w:tcPr>
          <w:p w14:paraId="6C855F07">
            <w:pPr>
              <w:spacing w:line="244" w:lineRule="auto"/>
              <w:rPr>
                <w:rFonts w:ascii="Arial"/>
                <w:sz w:val="21"/>
              </w:rPr>
            </w:pPr>
          </w:p>
          <w:p w14:paraId="55FB7ACC">
            <w:pPr>
              <w:pStyle w:val="6"/>
              <w:spacing w:before="65" w:line="228" w:lineRule="auto"/>
              <w:ind w:left="137"/>
              <w:rPr>
                <w:sz w:val="20"/>
                <w:szCs w:val="20"/>
              </w:rPr>
            </w:pPr>
            <w:r>
              <w:rPr>
                <w:spacing w:val="3"/>
                <w:sz w:val="20"/>
                <w:szCs w:val="20"/>
              </w:rPr>
              <w:t>符合</w:t>
            </w:r>
          </w:p>
        </w:tc>
      </w:tr>
      <w:tr w14:paraId="1470CE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0" w:hRule="atLeast"/>
        </w:trPr>
        <w:tc>
          <w:tcPr>
            <w:tcW w:w="1560" w:type="dxa"/>
            <w:vMerge w:val="continue"/>
            <w:tcBorders>
              <w:top w:val="nil"/>
              <w:left w:val="nil"/>
              <w:bottom w:val="nil"/>
            </w:tcBorders>
            <w:vAlign w:val="top"/>
          </w:tcPr>
          <w:p w14:paraId="26712BF3">
            <w:pPr>
              <w:rPr>
                <w:rFonts w:ascii="Arial"/>
                <w:sz w:val="21"/>
              </w:rPr>
            </w:pPr>
          </w:p>
        </w:tc>
        <w:tc>
          <w:tcPr>
            <w:tcW w:w="905" w:type="dxa"/>
            <w:vAlign w:val="top"/>
          </w:tcPr>
          <w:p w14:paraId="14BCB2BC">
            <w:pPr>
              <w:spacing w:line="276" w:lineRule="auto"/>
              <w:rPr>
                <w:rFonts w:ascii="Arial"/>
                <w:sz w:val="21"/>
              </w:rPr>
            </w:pPr>
          </w:p>
          <w:p w14:paraId="5D08F8AA">
            <w:pPr>
              <w:spacing w:before="63"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6F62D791">
            <w:pPr>
              <w:pStyle w:val="6"/>
              <w:spacing w:before="42" w:line="236" w:lineRule="auto"/>
              <w:ind w:left="8" w:right="4"/>
              <w:jc w:val="both"/>
              <w:rPr>
                <w:sz w:val="20"/>
                <w:szCs w:val="20"/>
              </w:rPr>
            </w:pPr>
            <w:r>
              <w:rPr>
                <w:spacing w:val="10"/>
                <w:sz w:val="20"/>
                <w:szCs w:val="20"/>
              </w:rPr>
              <w:t>③对已形成铁合金</w:t>
            </w:r>
            <w:r>
              <w:rPr>
                <w:rFonts w:ascii="Times New Roman" w:hAnsi="Times New Roman" w:eastAsia="Times New Roman" w:cs="Times New Roman"/>
                <w:spacing w:val="10"/>
                <w:sz w:val="20"/>
                <w:szCs w:val="20"/>
              </w:rPr>
              <w:t>-</w:t>
            </w:r>
            <w:r>
              <w:rPr>
                <w:spacing w:val="10"/>
                <w:sz w:val="20"/>
                <w:szCs w:val="20"/>
              </w:rPr>
              <w:t>合金钢、铁合金</w:t>
            </w:r>
            <w:r>
              <w:rPr>
                <w:rFonts w:ascii="Times New Roman" w:hAnsi="Times New Roman" w:eastAsia="Times New Roman" w:cs="Times New Roman"/>
                <w:spacing w:val="10"/>
                <w:sz w:val="20"/>
                <w:szCs w:val="20"/>
              </w:rPr>
              <w:t>-</w:t>
            </w:r>
            <w:r>
              <w:rPr>
                <w:spacing w:val="10"/>
                <w:sz w:val="20"/>
                <w:szCs w:val="20"/>
              </w:rPr>
              <w:t>小品种特钢、</w:t>
            </w:r>
            <w:r>
              <w:rPr>
                <w:spacing w:val="9"/>
                <w:sz w:val="20"/>
                <w:szCs w:val="20"/>
              </w:rPr>
              <w:t>铁合金</w:t>
            </w:r>
            <w:r>
              <w:rPr>
                <w:rFonts w:ascii="Times New Roman" w:hAnsi="Times New Roman" w:eastAsia="Times New Roman" w:cs="Times New Roman"/>
                <w:spacing w:val="9"/>
                <w:sz w:val="20"/>
                <w:szCs w:val="20"/>
              </w:rPr>
              <w:t>-</w:t>
            </w:r>
            <w:r>
              <w:rPr>
                <w:spacing w:val="9"/>
                <w:sz w:val="20"/>
                <w:szCs w:val="20"/>
              </w:rPr>
              <w:t>高品质铸件锻件</w:t>
            </w:r>
            <w:r>
              <w:rPr>
                <w:sz w:val="20"/>
                <w:szCs w:val="20"/>
              </w:rPr>
              <w:t xml:space="preserve"> </w:t>
            </w:r>
            <w:r>
              <w:rPr>
                <w:spacing w:val="10"/>
                <w:sz w:val="20"/>
                <w:szCs w:val="20"/>
              </w:rPr>
              <w:t>等一体化发展的企业，为满足企业内部下游合金钢、特种钢、高品质铸件</w:t>
            </w:r>
            <w:r>
              <w:rPr>
                <w:spacing w:val="8"/>
                <w:sz w:val="20"/>
                <w:szCs w:val="20"/>
              </w:rPr>
              <w:t xml:space="preserve"> </w:t>
            </w:r>
            <w:r>
              <w:rPr>
                <w:spacing w:val="9"/>
                <w:sz w:val="20"/>
                <w:szCs w:val="20"/>
              </w:rPr>
              <w:t>锻件等需求，新建</w:t>
            </w:r>
            <w:r>
              <w:rPr>
                <w:rFonts w:ascii="Times New Roman" w:hAnsi="Times New Roman" w:eastAsia="Times New Roman" w:cs="Times New Roman"/>
                <w:spacing w:val="9"/>
                <w:sz w:val="20"/>
                <w:szCs w:val="20"/>
              </w:rPr>
              <w:t>(</w:t>
            </w:r>
            <w:r>
              <w:rPr>
                <w:spacing w:val="9"/>
                <w:sz w:val="20"/>
                <w:szCs w:val="20"/>
              </w:rPr>
              <w:t>改建、扩建</w:t>
            </w:r>
            <w:r>
              <w:rPr>
                <w:rFonts w:ascii="Times New Roman" w:hAnsi="Times New Roman" w:eastAsia="Times New Roman" w:cs="Times New Roman"/>
                <w:spacing w:val="9"/>
                <w:sz w:val="20"/>
                <w:szCs w:val="20"/>
              </w:rPr>
              <w:t>)</w:t>
            </w:r>
            <w:r>
              <w:rPr>
                <w:spacing w:val="9"/>
                <w:sz w:val="20"/>
                <w:szCs w:val="20"/>
              </w:rPr>
              <w:t>铁合金项目，可不进</w:t>
            </w:r>
            <w:r>
              <w:rPr>
                <w:spacing w:val="8"/>
                <w:sz w:val="20"/>
                <w:szCs w:val="20"/>
              </w:rPr>
              <w:t>行产能置换。</w:t>
            </w:r>
          </w:p>
        </w:tc>
        <w:tc>
          <w:tcPr>
            <w:tcW w:w="4111" w:type="dxa"/>
            <w:vAlign w:val="top"/>
          </w:tcPr>
          <w:p w14:paraId="00EBEBB4">
            <w:pPr>
              <w:spacing w:line="246" w:lineRule="auto"/>
              <w:rPr>
                <w:rFonts w:ascii="Arial"/>
                <w:sz w:val="21"/>
              </w:rPr>
            </w:pPr>
          </w:p>
          <w:p w14:paraId="18FD1FF7">
            <w:pPr>
              <w:pStyle w:val="6"/>
              <w:spacing w:before="65" w:line="227" w:lineRule="auto"/>
              <w:ind w:left="11"/>
              <w:rPr>
                <w:sz w:val="20"/>
                <w:szCs w:val="20"/>
              </w:rPr>
            </w:pPr>
            <w:r>
              <w:rPr>
                <w:spacing w:val="6"/>
                <w:sz w:val="20"/>
                <w:szCs w:val="20"/>
              </w:rPr>
              <w:t>本项目不涉及。</w:t>
            </w:r>
          </w:p>
        </w:tc>
        <w:tc>
          <w:tcPr>
            <w:tcW w:w="677" w:type="dxa"/>
            <w:tcBorders>
              <w:right w:val="nil"/>
            </w:tcBorders>
            <w:vAlign w:val="top"/>
          </w:tcPr>
          <w:p w14:paraId="4B0A3630">
            <w:pPr>
              <w:spacing w:line="285" w:lineRule="auto"/>
              <w:rPr>
                <w:rFonts w:ascii="Arial"/>
                <w:sz w:val="21"/>
              </w:rPr>
            </w:pPr>
          </w:p>
          <w:p w14:paraId="5458A026">
            <w:pPr>
              <w:spacing w:before="58" w:line="199"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3AA4C4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4" w:hRule="atLeast"/>
        </w:trPr>
        <w:tc>
          <w:tcPr>
            <w:tcW w:w="1560" w:type="dxa"/>
            <w:vMerge w:val="continue"/>
            <w:tcBorders>
              <w:top w:val="nil"/>
              <w:left w:val="nil"/>
              <w:bottom w:val="nil"/>
            </w:tcBorders>
            <w:vAlign w:val="top"/>
          </w:tcPr>
          <w:p w14:paraId="13AF700C">
            <w:pPr>
              <w:rPr>
                <w:rFonts w:ascii="Arial"/>
                <w:sz w:val="21"/>
              </w:rPr>
            </w:pPr>
          </w:p>
        </w:tc>
        <w:tc>
          <w:tcPr>
            <w:tcW w:w="905" w:type="dxa"/>
            <w:vAlign w:val="top"/>
          </w:tcPr>
          <w:p w14:paraId="137B3696">
            <w:pPr>
              <w:spacing w:line="341" w:lineRule="auto"/>
              <w:rPr>
                <w:rFonts w:ascii="Arial"/>
                <w:sz w:val="21"/>
              </w:rPr>
            </w:pPr>
          </w:p>
          <w:p w14:paraId="7103210B">
            <w:pPr>
              <w:spacing w:line="341" w:lineRule="auto"/>
              <w:rPr>
                <w:rFonts w:ascii="Arial"/>
                <w:sz w:val="21"/>
              </w:rPr>
            </w:pPr>
          </w:p>
          <w:p w14:paraId="1058DB16">
            <w:pPr>
              <w:spacing w:before="63"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635D1BC6">
            <w:pPr>
              <w:pStyle w:val="6"/>
              <w:spacing w:before="44" w:line="243" w:lineRule="auto"/>
              <w:ind w:left="10" w:right="1" w:hanging="2"/>
              <w:jc w:val="both"/>
              <w:rPr>
                <w:sz w:val="20"/>
                <w:szCs w:val="20"/>
              </w:rPr>
            </w:pPr>
            <w:r>
              <w:rPr>
                <w:spacing w:val="8"/>
                <w:sz w:val="20"/>
                <w:szCs w:val="20"/>
              </w:rPr>
              <w:t>④对新认定为国家级、</w:t>
            </w:r>
            <w:r>
              <w:rPr>
                <w:spacing w:val="-40"/>
                <w:sz w:val="20"/>
                <w:szCs w:val="20"/>
              </w:rPr>
              <w:t xml:space="preserve"> </w:t>
            </w:r>
            <w:r>
              <w:rPr>
                <w:spacing w:val="8"/>
                <w:sz w:val="20"/>
                <w:szCs w:val="20"/>
              </w:rPr>
              <w:t>自治区级铁合金制造业创新中心的，分别给予</w:t>
            </w:r>
            <w:r>
              <w:rPr>
                <w:rFonts w:ascii="Times New Roman" w:hAnsi="Times New Roman" w:eastAsia="Times New Roman" w:cs="Times New Roman"/>
                <w:spacing w:val="8"/>
                <w:sz w:val="20"/>
                <w:szCs w:val="20"/>
              </w:rPr>
              <w:t>1000</w:t>
            </w:r>
            <w:r>
              <w:rPr>
                <w:rFonts w:ascii="Times New Roman" w:hAnsi="Times New Roman" w:eastAsia="Times New Roman" w:cs="Times New Roman"/>
                <w:sz w:val="20"/>
                <w:szCs w:val="20"/>
              </w:rPr>
              <w:t xml:space="preserve"> </w:t>
            </w:r>
            <w:r>
              <w:rPr>
                <w:spacing w:val="7"/>
                <w:sz w:val="20"/>
                <w:szCs w:val="20"/>
              </w:rPr>
              <w:t>万元、</w:t>
            </w:r>
            <w:r>
              <w:rPr>
                <w:rFonts w:ascii="Times New Roman" w:hAnsi="Times New Roman" w:eastAsia="Times New Roman" w:cs="Times New Roman"/>
                <w:spacing w:val="7"/>
                <w:sz w:val="20"/>
                <w:szCs w:val="20"/>
              </w:rPr>
              <w:t>500</w:t>
            </w:r>
            <w:r>
              <w:rPr>
                <w:spacing w:val="7"/>
                <w:sz w:val="20"/>
                <w:szCs w:val="20"/>
              </w:rPr>
              <w:t>万元一次性研发经费奖补。对新认定</w:t>
            </w:r>
            <w:r>
              <w:rPr>
                <w:spacing w:val="6"/>
                <w:sz w:val="20"/>
                <w:szCs w:val="20"/>
              </w:rPr>
              <w:t>为国家级、自治区级铁合金</w:t>
            </w:r>
            <w:r>
              <w:rPr>
                <w:sz w:val="20"/>
                <w:szCs w:val="20"/>
              </w:rPr>
              <w:t xml:space="preserve"> </w:t>
            </w:r>
            <w:r>
              <w:rPr>
                <w:spacing w:val="6"/>
                <w:sz w:val="20"/>
                <w:szCs w:val="20"/>
              </w:rPr>
              <w:t>工业设计中心、企业技术中心的，分别给予</w:t>
            </w:r>
            <w:r>
              <w:rPr>
                <w:rFonts w:ascii="Times New Roman" w:hAnsi="Times New Roman" w:eastAsia="Times New Roman" w:cs="Times New Roman"/>
                <w:spacing w:val="6"/>
                <w:sz w:val="20"/>
                <w:szCs w:val="20"/>
              </w:rPr>
              <w:t>100</w:t>
            </w:r>
            <w:r>
              <w:rPr>
                <w:spacing w:val="6"/>
                <w:sz w:val="20"/>
                <w:szCs w:val="20"/>
              </w:rPr>
              <w:t>万元、</w:t>
            </w:r>
            <w:r>
              <w:rPr>
                <w:rFonts w:ascii="Times New Roman" w:hAnsi="Times New Roman" w:eastAsia="Times New Roman" w:cs="Times New Roman"/>
                <w:spacing w:val="6"/>
                <w:sz w:val="20"/>
                <w:szCs w:val="20"/>
              </w:rPr>
              <w:t>50</w:t>
            </w:r>
            <w:r>
              <w:rPr>
                <w:spacing w:val="6"/>
                <w:sz w:val="20"/>
                <w:szCs w:val="20"/>
              </w:rPr>
              <w:t>万元一次性研发经</w:t>
            </w:r>
            <w:r>
              <w:rPr>
                <w:spacing w:val="16"/>
                <w:sz w:val="20"/>
                <w:szCs w:val="20"/>
              </w:rPr>
              <w:t xml:space="preserve"> </w:t>
            </w:r>
            <w:r>
              <w:rPr>
                <w:spacing w:val="7"/>
                <w:sz w:val="20"/>
                <w:szCs w:val="20"/>
              </w:rPr>
              <w:t>费奖补。对批准建设处于创建期的铁合金国家技术创新中心，连</w:t>
            </w:r>
            <w:r>
              <w:rPr>
                <w:spacing w:val="6"/>
                <w:sz w:val="20"/>
                <w:szCs w:val="20"/>
              </w:rPr>
              <w:t>续</w:t>
            </w:r>
            <w:r>
              <w:rPr>
                <w:rFonts w:ascii="Times New Roman" w:hAnsi="Times New Roman" w:eastAsia="Times New Roman" w:cs="Times New Roman"/>
                <w:spacing w:val="6"/>
                <w:sz w:val="20"/>
                <w:szCs w:val="20"/>
              </w:rPr>
              <w:t>5</w:t>
            </w:r>
            <w:r>
              <w:rPr>
                <w:spacing w:val="6"/>
                <w:sz w:val="20"/>
                <w:szCs w:val="20"/>
              </w:rPr>
              <w:t>年每年</w:t>
            </w:r>
            <w:r>
              <w:rPr>
                <w:sz w:val="20"/>
                <w:szCs w:val="20"/>
              </w:rPr>
              <w:t xml:space="preserve"> </w:t>
            </w:r>
            <w:r>
              <w:rPr>
                <w:spacing w:val="10"/>
                <w:sz w:val="20"/>
                <w:szCs w:val="20"/>
              </w:rPr>
              <w:t>给予不低于</w:t>
            </w:r>
            <w:r>
              <w:rPr>
                <w:rFonts w:ascii="Times New Roman" w:hAnsi="Times New Roman" w:eastAsia="Times New Roman" w:cs="Times New Roman"/>
                <w:spacing w:val="10"/>
                <w:sz w:val="20"/>
                <w:szCs w:val="20"/>
              </w:rPr>
              <w:t>3000</w:t>
            </w:r>
            <w:r>
              <w:rPr>
                <w:spacing w:val="10"/>
                <w:sz w:val="20"/>
                <w:szCs w:val="20"/>
              </w:rPr>
              <w:t>万元研发经费奖补；对批</w:t>
            </w:r>
            <w:r>
              <w:rPr>
                <w:spacing w:val="9"/>
                <w:sz w:val="20"/>
                <w:szCs w:val="20"/>
              </w:rPr>
              <w:t>准建设处于创建期的铁合金国家</w:t>
            </w:r>
            <w:r>
              <w:rPr>
                <w:sz w:val="20"/>
                <w:szCs w:val="20"/>
              </w:rPr>
              <w:t xml:space="preserve"> </w:t>
            </w:r>
            <w:r>
              <w:rPr>
                <w:spacing w:val="8"/>
                <w:sz w:val="20"/>
                <w:szCs w:val="20"/>
              </w:rPr>
              <w:t>重点实验室，连续</w:t>
            </w:r>
            <w:r>
              <w:rPr>
                <w:rFonts w:ascii="Times New Roman" w:hAnsi="Times New Roman" w:eastAsia="Times New Roman" w:cs="Times New Roman"/>
                <w:spacing w:val="8"/>
                <w:sz w:val="20"/>
                <w:szCs w:val="20"/>
              </w:rPr>
              <w:t>5</w:t>
            </w:r>
            <w:r>
              <w:rPr>
                <w:spacing w:val="8"/>
                <w:sz w:val="20"/>
                <w:szCs w:val="20"/>
              </w:rPr>
              <w:t>年每年给予不低于</w:t>
            </w:r>
            <w:r>
              <w:rPr>
                <w:rFonts w:ascii="Times New Roman" w:hAnsi="Times New Roman" w:eastAsia="Times New Roman" w:cs="Times New Roman"/>
                <w:spacing w:val="8"/>
                <w:sz w:val="20"/>
                <w:szCs w:val="20"/>
              </w:rPr>
              <w:t>1000</w:t>
            </w:r>
            <w:r>
              <w:rPr>
                <w:spacing w:val="8"/>
                <w:sz w:val="20"/>
                <w:szCs w:val="20"/>
              </w:rPr>
              <w:t>万元研发经费奖补。</w:t>
            </w:r>
          </w:p>
        </w:tc>
        <w:tc>
          <w:tcPr>
            <w:tcW w:w="4111" w:type="dxa"/>
            <w:vAlign w:val="top"/>
          </w:tcPr>
          <w:p w14:paraId="0C67BEB8">
            <w:pPr>
              <w:spacing w:line="327" w:lineRule="auto"/>
              <w:rPr>
                <w:rFonts w:ascii="Arial"/>
                <w:sz w:val="21"/>
              </w:rPr>
            </w:pPr>
          </w:p>
          <w:p w14:paraId="3CC909AB">
            <w:pPr>
              <w:spacing w:line="327" w:lineRule="auto"/>
              <w:rPr>
                <w:rFonts w:ascii="Arial"/>
                <w:sz w:val="21"/>
              </w:rPr>
            </w:pPr>
          </w:p>
          <w:p w14:paraId="0973414A">
            <w:pPr>
              <w:pStyle w:val="6"/>
              <w:spacing w:before="65" w:line="227" w:lineRule="auto"/>
              <w:ind w:left="11"/>
              <w:rPr>
                <w:sz w:val="20"/>
                <w:szCs w:val="20"/>
              </w:rPr>
            </w:pPr>
            <w:r>
              <w:rPr>
                <w:spacing w:val="6"/>
                <w:sz w:val="20"/>
                <w:szCs w:val="20"/>
              </w:rPr>
              <w:t>本项目不涉及。</w:t>
            </w:r>
          </w:p>
        </w:tc>
        <w:tc>
          <w:tcPr>
            <w:tcW w:w="677" w:type="dxa"/>
            <w:tcBorders>
              <w:right w:val="nil"/>
            </w:tcBorders>
            <w:vAlign w:val="top"/>
          </w:tcPr>
          <w:p w14:paraId="2403DE69">
            <w:pPr>
              <w:spacing w:line="347" w:lineRule="auto"/>
              <w:rPr>
                <w:rFonts w:ascii="Arial"/>
                <w:sz w:val="21"/>
              </w:rPr>
            </w:pPr>
          </w:p>
          <w:p w14:paraId="1709584B">
            <w:pPr>
              <w:spacing w:line="347" w:lineRule="auto"/>
              <w:rPr>
                <w:rFonts w:ascii="Arial"/>
                <w:sz w:val="21"/>
              </w:rPr>
            </w:pPr>
          </w:p>
          <w:p w14:paraId="7B0347C0">
            <w:pPr>
              <w:spacing w:before="57" w:line="199"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D9E12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1" w:hRule="atLeast"/>
        </w:trPr>
        <w:tc>
          <w:tcPr>
            <w:tcW w:w="1560" w:type="dxa"/>
            <w:vMerge w:val="continue"/>
            <w:tcBorders>
              <w:top w:val="nil"/>
              <w:left w:val="nil"/>
              <w:bottom w:val="nil"/>
            </w:tcBorders>
            <w:vAlign w:val="top"/>
          </w:tcPr>
          <w:p w14:paraId="2BD7E9CF">
            <w:pPr>
              <w:rPr>
                <w:rFonts w:ascii="Arial"/>
                <w:sz w:val="21"/>
              </w:rPr>
            </w:pPr>
          </w:p>
        </w:tc>
        <w:tc>
          <w:tcPr>
            <w:tcW w:w="905" w:type="dxa"/>
            <w:vAlign w:val="top"/>
          </w:tcPr>
          <w:p w14:paraId="11A29ECD">
            <w:pPr>
              <w:spacing w:line="420" w:lineRule="auto"/>
              <w:rPr>
                <w:rFonts w:ascii="Arial"/>
                <w:sz w:val="21"/>
              </w:rPr>
            </w:pPr>
          </w:p>
          <w:p w14:paraId="17B2C14C">
            <w:pPr>
              <w:spacing w:before="63"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35D919A4">
            <w:pPr>
              <w:pStyle w:val="6"/>
              <w:spacing w:before="49" w:line="238" w:lineRule="auto"/>
              <w:ind w:left="9" w:right="4" w:hanging="1"/>
              <w:jc w:val="both"/>
              <w:rPr>
                <w:sz w:val="20"/>
                <w:szCs w:val="20"/>
              </w:rPr>
            </w:pPr>
            <w:r>
              <w:rPr>
                <w:spacing w:val="10"/>
                <w:sz w:val="20"/>
                <w:szCs w:val="20"/>
              </w:rPr>
              <w:t>⑤采取揭榜挂帅、赛马制等方式，支持铁合金企业联合高等院校、科研院</w:t>
            </w:r>
            <w:r>
              <w:rPr>
                <w:spacing w:val="9"/>
                <w:sz w:val="20"/>
                <w:szCs w:val="20"/>
              </w:rPr>
              <w:t xml:space="preserve"> </w:t>
            </w:r>
            <w:r>
              <w:rPr>
                <w:spacing w:val="10"/>
                <w:sz w:val="20"/>
                <w:szCs w:val="20"/>
              </w:rPr>
              <w:t>所等开展技术攻关。对使用氢冶金、二氧化碳替代气冶炼、直流炉等新技</w:t>
            </w:r>
            <w:r>
              <w:rPr>
                <w:spacing w:val="7"/>
                <w:sz w:val="20"/>
                <w:szCs w:val="20"/>
              </w:rPr>
              <w:t xml:space="preserve"> </w:t>
            </w:r>
            <w:r>
              <w:rPr>
                <w:spacing w:val="10"/>
                <w:sz w:val="20"/>
                <w:szCs w:val="20"/>
              </w:rPr>
              <w:t>术、新装备的铁合金试验示范项目，可不进行产能置换。对首次认定的高</w:t>
            </w:r>
            <w:r>
              <w:rPr>
                <w:spacing w:val="7"/>
                <w:sz w:val="20"/>
                <w:szCs w:val="20"/>
              </w:rPr>
              <w:t xml:space="preserve"> </w:t>
            </w:r>
            <w:r>
              <w:rPr>
                <w:spacing w:val="8"/>
                <w:sz w:val="20"/>
                <w:szCs w:val="20"/>
              </w:rPr>
              <w:t>新技术企业给予一次性</w:t>
            </w:r>
            <w:r>
              <w:rPr>
                <w:rFonts w:ascii="Times New Roman" w:hAnsi="Times New Roman" w:eastAsia="Times New Roman" w:cs="Times New Roman"/>
                <w:spacing w:val="8"/>
                <w:sz w:val="20"/>
                <w:szCs w:val="20"/>
              </w:rPr>
              <w:t>30</w:t>
            </w:r>
            <w:r>
              <w:rPr>
                <w:spacing w:val="8"/>
                <w:sz w:val="20"/>
                <w:szCs w:val="20"/>
              </w:rPr>
              <w:t>万元研发经费奖励。</w:t>
            </w:r>
          </w:p>
        </w:tc>
        <w:tc>
          <w:tcPr>
            <w:tcW w:w="4111" w:type="dxa"/>
            <w:vAlign w:val="top"/>
          </w:tcPr>
          <w:p w14:paraId="161B5802">
            <w:pPr>
              <w:spacing w:line="390" w:lineRule="auto"/>
              <w:rPr>
                <w:rFonts w:ascii="Arial"/>
                <w:sz w:val="21"/>
              </w:rPr>
            </w:pPr>
          </w:p>
          <w:p w14:paraId="19E3FF2C">
            <w:pPr>
              <w:pStyle w:val="6"/>
              <w:spacing w:before="65" w:line="227" w:lineRule="auto"/>
              <w:ind w:left="11"/>
              <w:rPr>
                <w:sz w:val="20"/>
                <w:szCs w:val="20"/>
              </w:rPr>
            </w:pPr>
            <w:r>
              <w:rPr>
                <w:spacing w:val="6"/>
                <w:sz w:val="20"/>
                <w:szCs w:val="20"/>
              </w:rPr>
              <w:t>本项目不涉及。</w:t>
            </w:r>
          </w:p>
        </w:tc>
        <w:tc>
          <w:tcPr>
            <w:tcW w:w="677" w:type="dxa"/>
            <w:tcBorders>
              <w:right w:val="nil"/>
            </w:tcBorders>
            <w:vAlign w:val="top"/>
          </w:tcPr>
          <w:p w14:paraId="0141C911">
            <w:pPr>
              <w:spacing w:line="429" w:lineRule="auto"/>
              <w:rPr>
                <w:rFonts w:ascii="Arial"/>
                <w:sz w:val="21"/>
              </w:rPr>
            </w:pPr>
          </w:p>
          <w:p w14:paraId="2088586A">
            <w:pPr>
              <w:spacing w:before="58" w:line="199"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5AA8A4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0" w:hRule="atLeast"/>
        </w:trPr>
        <w:tc>
          <w:tcPr>
            <w:tcW w:w="1560" w:type="dxa"/>
            <w:vMerge w:val="continue"/>
            <w:tcBorders>
              <w:top w:val="nil"/>
              <w:left w:val="nil"/>
              <w:bottom w:val="nil"/>
            </w:tcBorders>
            <w:vAlign w:val="top"/>
          </w:tcPr>
          <w:p w14:paraId="1B2E90B1">
            <w:pPr>
              <w:rPr>
                <w:rFonts w:ascii="Arial"/>
                <w:sz w:val="21"/>
              </w:rPr>
            </w:pPr>
          </w:p>
        </w:tc>
        <w:tc>
          <w:tcPr>
            <w:tcW w:w="905" w:type="dxa"/>
            <w:vAlign w:val="top"/>
          </w:tcPr>
          <w:p w14:paraId="1E12CED6">
            <w:pPr>
              <w:spacing w:line="287" w:lineRule="auto"/>
              <w:rPr>
                <w:rFonts w:ascii="Arial"/>
                <w:sz w:val="21"/>
              </w:rPr>
            </w:pPr>
          </w:p>
          <w:p w14:paraId="4ECAA4A6">
            <w:pPr>
              <w:spacing w:before="63"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5718BC1F">
            <w:pPr>
              <w:pStyle w:val="6"/>
              <w:spacing w:before="52" w:line="233" w:lineRule="auto"/>
              <w:ind w:left="9" w:right="2" w:hanging="1"/>
              <w:jc w:val="both"/>
              <w:rPr>
                <w:sz w:val="20"/>
                <w:szCs w:val="20"/>
              </w:rPr>
            </w:pPr>
            <w:r>
              <w:rPr>
                <w:spacing w:val="10"/>
                <w:sz w:val="20"/>
                <w:szCs w:val="20"/>
              </w:rPr>
              <w:t>⑥对铁合金企业数字化车间、智能工厂、机器换人等数字化智能化改造项</w:t>
            </w:r>
            <w:r>
              <w:rPr>
                <w:spacing w:val="9"/>
                <w:sz w:val="20"/>
                <w:szCs w:val="20"/>
              </w:rPr>
              <w:t xml:space="preserve"> </w:t>
            </w:r>
            <w:r>
              <w:rPr>
                <w:spacing w:val="11"/>
                <w:sz w:val="20"/>
                <w:szCs w:val="20"/>
              </w:rPr>
              <w:t>目，按实际完成关键设备软硬件投资额的</w:t>
            </w:r>
            <w:r>
              <w:rPr>
                <w:rFonts w:ascii="Times New Roman" w:hAnsi="Times New Roman" w:eastAsia="Times New Roman" w:cs="Times New Roman"/>
                <w:spacing w:val="11"/>
                <w:sz w:val="20"/>
                <w:szCs w:val="20"/>
              </w:rPr>
              <w:t>20%</w:t>
            </w:r>
            <w:r>
              <w:rPr>
                <w:spacing w:val="11"/>
                <w:sz w:val="20"/>
                <w:szCs w:val="20"/>
              </w:rPr>
              <w:t>给予奖补，单个项目最高奖</w:t>
            </w:r>
            <w:r>
              <w:rPr>
                <w:sz w:val="20"/>
                <w:szCs w:val="20"/>
              </w:rPr>
              <w:t xml:space="preserve"> </w:t>
            </w:r>
            <w:r>
              <w:rPr>
                <w:spacing w:val="5"/>
                <w:sz w:val="20"/>
                <w:szCs w:val="20"/>
              </w:rPr>
              <w:t>补</w:t>
            </w:r>
            <w:r>
              <w:rPr>
                <w:rFonts w:ascii="Times New Roman" w:hAnsi="Times New Roman" w:eastAsia="Times New Roman" w:cs="Times New Roman"/>
                <w:spacing w:val="5"/>
                <w:sz w:val="20"/>
                <w:szCs w:val="20"/>
              </w:rPr>
              <w:t>500</w:t>
            </w:r>
            <w:r>
              <w:rPr>
                <w:spacing w:val="5"/>
                <w:sz w:val="20"/>
                <w:szCs w:val="20"/>
              </w:rPr>
              <w:t>万元。</w:t>
            </w:r>
          </w:p>
        </w:tc>
        <w:tc>
          <w:tcPr>
            <w:tcW w:w="4111" w:type="dxa"/>
            <w:vAlign w:val="top"/>
          </w:tcPr>
          <w:p w14:paraId="01118693">
            <w:pPr>
              <w:pStyle w:val="6"/>
              <w:spacing w:before="188"/>
              <w:ind w:left="13" w:right="4" w:hanging="2"/>
              <w:rPr>
                <w:sz w:val="20"/>
                <w:szCs w:val="20"/>
              </w:rPr>
            </w:pPr>
            <w:r>
              <w:rPr>
                <w:spacing w:val="4"/>
                <w:sz w:val="20"/>
                <w:szCs w:val="20"/>
              </w:rPr>
              <w:t>本项目为新建项目，不属于数字化智能化改造</w:t>
            </w:r>
            <w:r>
              <w:rPr>
                <w:spacing w:val="9"/>
                <w:sz w:val="20"/>
                <w:szCs w:val="20"/>
              </w:rPr>
              <w:t xml:space="preserve"> </w:t>
            </w:r>
            <w:r>
              <w:rPr>
                <w:spacing w:val="2"/>
                <w:sz w:val="20"/>
                <w:szCs w:val="20"/>
              </w:rPr>
              <w:t>项目。</w:t>
            </w:r>
          </w:p>
        </w:tc>
        <w:tc>
          <w:tcPr>
            <w:tcW w:w="677" w:type="dxa"/>
            <w:tcBorders>
              <w:right w:val="nil"/>
            </w:tcBorders>
            <w:vAlign w:val="top"/>
          </w:tcPr>
          <w:p w14:paraId="411F8655">
            <w:pPr>
              <w:spacing w:line="257" w:lineRule="auto"/>
              <w:rPr>
                <w:rFonts w:ascii="Arial"/>
                <w:sz w:val="21"/>
              </w:rPr>
            </w:pPr>
          </w:p>
          <w:p w14:paraId="1F0924BF">
            <w:pPr>
              <w:pStyle w:val="6"/>
              <w:spacing w:before="65" w:line="228" w:lineRule="auto"/>
              <w:ind w:left="137"/>
              <w:rPr>
                <w:sz w:val="20"/>
                <w:szCs w:val="20"/>
              </w:rPr>
            </w:pPr>
            <w:r>
              <w:rPr>
                <w:spacing w:val="3"/>
                <w:sz w:val="20"/>
                <w:szCs w:val="20"/>
              </w:rPr>
              <w:t>符合</w:t>
            </w:r>
          </w:p>
        </w:tc>
      </w:tr>
      <w:tr w14:paraId="2ACFC3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1" w:hRule="atLeast"/>
        </w:trPr>
        <w:tc>
          <w:tcPr>
            <w:tcW w:w="1560" w:type="dxa"/>
            <w:vMerge w:val="continue"/>
            <w:tcBorders>
              <w:top w:val="nil"/>
              <w:left w:val="nil"/>
              <w:bottom w:val="single" w:color="000000" w:sz="10" w:space="0"/>
            </w:tcBorders>
            <w:vAlign w:val="top"/>
          </w:tcPr>
          <w:p w14:paraId="2E86776D">
            <w:pPr>
              <w:rPr>
                <w:rFonts w:ascii="Arial"/>
                <w:sz w:val="21"/>
              </w:rPr>
            </w:pPr>
          </w:p>
        </w:tc>
        <w:tc>
          <w:tcPr>
            <w:tcW w:w="905" w:type="dxa"/>
            <w:tcBorders>
              <w:bottom w:val="single" w:color="000000" w:sz="10" w:space="0"/>
            </w:tcBorders>
            <w:vAlign w:val="top"/>
          </w:tcPr>
          <w:p w14:paraId="74EA2D0C">
            <w:pPr>
              <w:spacing w:line="287" w:lineRule="auto"/>
              <w:rPr>
                <w:rFonts w:ascii="Arial"/>
                <w:sz w:val="21"/>
              </w:rPr>
            </w:pPr>
          </w:p>
          <w:p w14:paraId="652665B8">
            <w:pPr>
              <w:spacing w:before="64"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tcBorders>
              <w:bottom w:val="single" w:color="000000" w:sz="10" w:space="0"/>
            </w:tcBorders>
            <w:vAlign w:val="top"/>
          </w:tcPr>
          <w:p w14:paraId="2AB714C1">
            <w:pPr>
              <w:pStyle w:val="6"/>
              <w:spacing w:before="54" w:line="239" w:lineRule="auto"/>
              <w:ind w:left="9" w:right="4" w:hanging="1"/>
              <w:jc w:val="both"/>
              <w:rPr>
                <w:sz w:val="20"/>
                <w:szCs w:val="20"/>
              </w:rPr>
            </w:pPr>
            <w:r>
              <w:rPr>
                <w:spacing w:val="11"/>
                <w:sz w:val="20"/>
                <w:szCs w:val="20"/>
              </w:rPr>
              <w:t>⑦对铁合金企业年节能量</w:t>
            </w:r>
            <w:r>
              <w:rPr>
                <w:rFonts w:ascii="Times New Roman" w:hAnsi="Times New Roman" w:eastAsia="Times New Roman" w:cs="Times New Roman"/>
                <w:spacing w:val="11"/>
                <w:sz w:val="20"/>
                <w:szCs w:val="20"/>
              </w:rPr>
              <w:t>2000</w:t>
            </w:r>
            <w:r>
              <w:rPr>
                <w:spacing w:val="11"/>
                <w:sz w:val="20"/>
                <w:szCs w:val="20"/>
              </w:rPr>
              <w:t>吨标准煤以上</w:t>
            </w:r>
            <w:r>
              <w:rPr>
                <w:rFonts w:ascii="Times New Roman" w:hAnsi="Times New Roman" w:eastAsia="Times New Roman" w:cs="Times New Roman"/>
                <w:spacing w:val="11"/>
                <w:sz w:val="20"/>
                <w:szCs w:val="20"/>
              </w:rPr>
              <w:t>(</w:t>
            </w:r>
            <w:r>
              <w:rPr>
                <w:spacing w:val="11"/>
                <w:sz w:val="20"/>
                <w:szCs w:val="20"/>
              </w:rPr>
              <w:t>含</w:t>
            </w:r>
            <w:r>
              <w:rPr>
                <w:rFonts w:ascii="Times New Roman" w:hAnsi="Times New Roman" w:eastAsia="Times New Roman" w:cs="Times New Roman"/>
                <w:spacing w:val="11"/>
                <w:sz w:val="20"/>
                <w:szCs w:val="20"/>
              </w:rPr>
              <w:t>200</w:t>
            </w:r>
            <w:r>
              <w:rPr>
                <w:rFonts w:ascii="Times New Roman" w:hAnsi="Times New Roman" w:eastAsia="Times New Roman" w:cs="Times New Roman"/>
                <w:spacing w:val="10"/>
                <w:sz w:val="20"/>
                <w:szCs w:val="20"/>
              </w:rPr>
              <w:t>0</w:t>
            </w:r>
            <w:r>
              <w:rPr>
                <w:spacing w:val="10"/>
                <w:sz w:val="20"/>
                <w:szCs w:val="20"/>
              </w:rPr>
              <w:t>吨标准煤</w:t>
            </w:r>
            <w:r>
              <w:rPr>
                <w:rFonts w:ascii="Times New Roman" w:hAnsi="Times New Roman" w:eastAsia="Times New Roman" w:cs="Times New Roman"/>
                <w:spacing w:val="10"/>
                <w:sz w:val="20"/>
                <w:szCs w:val="20"/>
              </w:rPr>
              <w:t>)</w:t>
            </w:r>
            <w:r>
              <w:rPr>
                <w:spacing w:val="10"/>
                <w:sz w:val="20"/>
                <w:szCs w:val="20"/>
              </w:rPr>
              <w:t>的节能技术</w:t>
            </w:r>
            <w:r>
              <w:rPr>
                <w:sz w:val="20"/>
                <w:szCs w:val="20"/>
              </w:rPr>
              <w:t xml:space="preserve"> </w:t>
            </w:r>
            <w:r>
              <w:rPr>
                <w:spacing w:val="6"/>
                <w:sz w:val="20"/>
                <w:szCs w:val="20"/>
              </w:rPr>
              <w:t>改造项目，每节</w:t>
            </w:r>
            <w:r>
              <w:rPr>
                <w:rFonts w:ascii="Times New Roman" w:hAnsi="Times New Roman" w:eastAsia="Times New Roman" w:cs="Times New Roman"/>
                <w:spacing w:val="6"/>
                <w:sz w:val="20"/>
                <w:szCs w:val="20"/>
              </w:rPr>
              <w:t>1</w:t>
            </w:r>
            <w:r>
              <w:rPr>
                <w:spacing w:val="6"/>
                <w:sz w:val="20"/>
                <w:szCs w:val="20"/>
              </w:rPr>
              <w:t>吨标准煤奖补</w:t>
            </w:r>
            <w:r>
              <w:rPr>
                <w:rFonts w:ascii="Times New Roman" w:hAnsi="Times New Roman" w:eastAsia="Times New Roman" w:cs="Times New Roman"/>
                <w:spacing w:val="6"/>
                <w:sz w:val="20"/>
                <w:szCs w:val="20"/>
              </w:rPr>
              <w:t>200</w:t>
            </w:r>
            <w:r>
              <w:rPr>
                <w:spacing w:val="6"/>
                <w:sz w:val="20"/>
                <w:szCs w:val="20"/>
              </w:rPr>
              <w:t>元，单个项目最高奖补</w:t>
            </w:r>
            <w:r>
              <w:rPr>
                <w:rFonts w:ascii="Times New Roman" w:hAnsi="Times New Roman" w:eastAsia="Times New Roman" w:cs="Times New Roman"/>
                <w:spacing w:val="6"/>
                <w:sz w:val="20"/>
                <w:szCs w:val="20"/>
              </w:rPr>
              <w:t>500</w:t>
            </w:r>
            <w:r>
              <w:rPr>
                <w:spacing w:val="6"/>
                <w:sz w:val="20"/>
                <w:szCs w:val="20"/>
              </w:rPr>
              <w:t>万元；对年</w:t>
            </w:r>
            <w:r>
              <w:rPr>
                <w:spacing w:val="11"/>
                <w:sz w:val="20"/>
                <w:szCs w:val="20"/>
              </w:rPr>
              <w:t xml:space="preserve"> </w:t>
            </w:r>
            <w:r>
              <w:rPr>
                <w:spacing w:val="10"/>
                <w:sz w:val="20"/>
                <w:szCs w:val="20"/>
              </w:rPr>
              <w:t>节水量</w:t>
            </w:r>
            <w:r>
              <w:rPr>
                <w:rFonts w:ascii="Times New Roman" w:hAnsi="Times New Roman" w:eastAsia="Times New Roman" w:cs="Times New Roman"/>
                <w:spacing w:val="10"/>
                <w:sz w:val="20"/>
                <w:szCs w:val="20"/>
              </w:rPr>
              <w:t>5</w:t>
            </w:r>
            <w:r>
              <w:rPr>
                <w:spacing w:val="10"/>
                <w:sz w:val="20"/>
                <w:szCs w:val="20"/>
              </w:rPr>
              <w:t>万吨节水技术改造项目每节</w:t>
            </w:r>
            <w:r>
              <w:rPr>
                <w:rFonts w:ascii="Times New Roman" w:hAnsi="Times New Roman" w:eastAsia="Times New Roman" w:cs="Times New Roman"/>
                <w:spacing w:val="10"/>
                <w:sz w:val="20"/>
                <w:szCs w:val="20"/>
              </w:rPr>
              <w:t>1</w:t>
            </w:r>
            <w:r>
              <w:rPr>
                <w:spacing w:val="10"/>
                <w:sz w:val="20"/>
                <w:szCs w:val="20"/>
              </w:rPr>
              <w:t>吨水奖</w:t>
            </w:r>
            <w:r>
              <w:rPr>
                <w:spacing w:val="9"/>
                <w:sz w:val="20"/>
                <w:szCs w:val="20"/>
              </w:rPr>
              <w:t>补</w:t>
            </w:r>
            <w:r>
              <w:rPr>
                <w:rFonts w:ascii="Times New Roman" w:hAnsi="Times New Roman" w:eastAsia="Times New Roman" w:cs="Times New Roman"/>
                <w:spacing w:val="9"/>
                <w:sz w:val="20"/>
                <w:szCs w:val="20"/>
              </w:rPr>
              <w:t>10</w:t>
            </w:r>
            <w:r>
              <w:rPr>
                <w:spacing w:val="9"/>
                <w:sz w:val="20"/>
                <w:szCs w:val="20"/>
              </w:rPr>
              <w:t>元，单个项目最高奖补</w:t>
            </w:r>
          </w:p>
        </w:tc>
        <w:tc>
          <w:tcPr>
            <w:tcW w:w="4111" w:type="dxa"/>
            <w:tcBorders>
              <w:bottom w:val="single" w:color="000000" w:sz="10" w:space="0"/>
            </w:tcBorders>
            <w:vAlign w:val="top"/>
          </w:tcPr>
          <w:p w14:paraId="7A989431">
            <w:pPr>
              <w:pStyle w:val="6"/>
              <w:spacing w:before="191"/>
              <w:ind w:left="50" w:right="4" w:hanging="39"/>
              <w:rPr>
                <w:sz w:val="20"/>
                <w:szCs w:val="20"/>
              </w:rPr>
            </w:pPr>
            <w:r>
              <w:rPr>
                <w:spacing w:val="15"/>
                <w:sz w:val="20"/>
                <w:szCs w:val="20"/>
              </w:rPr>
              <w:t>本项目为新建项目，不属于节能技术改造项</w:t>
            </w:r>
            <w:r>
              <w:rPr>
                <w:spacing w:val="4"/>
                <w:sz w:val="20"/>
                <w:szCs w:val="20"/>
              </w:rPr>
              <w:t xml:space="preserve"> </w:t>
            </w:r>
            <w:r>
              <w:rPr>
                <w:spacing w:val="-20"/>
                <w:sz w:val="20"/>
                <w:szCs w:val="20"/>
              </w:rPr>
              <w:t>目。</w:t>
            </w:r>
          </w:p>
        </w:tc>
        <w:tc>
          <w:tcPr>
            <w:tcW w:w="677" w:type="dxa"/>
            <w:tcBorders>
              <w:bottom w:val="single" w:color="000000" w:sz="10" w:space="0"/>
              <w:right w:val="nil"/>
            </w:tcBorders>
            <w:vAlign w:val="top"/>
          </w:tcPr>
          <w:p w14:paraId="6329110C">
            <w:pPr>
              <w:spacing w:line="260" w:lineRule="auto"/>
              <w:rPr>
                <w:rFonts w:ascii="Arial"/>
                <w:sz w:val="21"/>
              </w:rPr>
            </w:pPr>
          </w:p>
          <w:p w14:paraId="297471B6">
            <w:pPr>
              <w:pStyle w:val="6"/>
              <w:spacing w:before="65" w:line="228" w:lineRule="auto"/>
              <w:ind w:left="137"/>
              <w:rPr>
                <w:sz w:val="20"/>
                <w:szCs w:val="20"/>
              </w:rPr>
            </w:pPr>
            <w:r>
              <w:rPr>
                <w:spacing w:val="3"/>
                <w:sz w:val="20"/>
                <w:szCs w:val="20"/>
              </w:rPr>
              <w:t>符合</w:t>
            </w:r>
          </w:p>
        </w:tc>
      </w:tr>
    </w:tbl>
    <w:p w14:paraId="2B12D6CB">
      <w:pPr>
        <w:pStyle w:val="2"/>
      </w:pPr>
    </w:p>
    <w:p w14:paraId="1A651C62">
      <w:pPr>
        <w:sectPr>
          <w:headerReference r:id="rId18" w:type="default"/>
          <w:footerReference r:id="rId19" w:type="default"/>
          <w:pgSz w:w="16839" w:h="11906"/>
          <w:pgMar w:top="1178" w:right="1418" w:bottom="1212" w:left="1418" w:header="870" w:footer="1025" w:gutter="0"/>
          <w:cols w:space="720" w:num="1"/>
        </w:sectPr>
      </w:pPr>
    </w:p>
    <w:p w14:paraId="4A1E948F">
      <w:pPr>
        <w:spacing w:line="238" w:lineRule="exact"/>
      </w:pPr>
      <w:r>
        <w:pict>
          <v:shape id="_x0000_s1035" o:spid="_x0000_s1035" style="position:absolute;left:0pt;margin-left:70.9pt;margin-top:59.65pt;height:0.75pt;width:700.1pt;mso-position-horizontal-relative:page;mso-position-vertical-relative:page;z-index:251669504;mso-width-relative:page;mso-height-relative:page;" fillcolor="#000000" filled="t" stroked="f" coordsize="14001,15" o:allowincell="f" path="m0,0l14001,0,14001,14,0,14,0,0xe">
            <v:path/>
            <v:fill on="t" focussize="0,0"/>
            <v:stroke on="f"/>
            <v:imagedata o:title=""/>
            <o:lock v:ext="edit"/>
          </v:shape>
        </w:pict>
      </w:r>
    </w:p>
    <w:tbl>
      <w:tblPr>
        <w:tblStyle w:val="5"/>
        <w:tblW w:w="1400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0"/>
        <w:gridCol w:w="905"/>
        <w:gridCol w:w="6749"/>
        <w:gridCol w:w="4111"/>
        <w:gridCol w:w="677"/>
      </w:tblGrid>
      <w:tr w14:paraId="55E41E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4" w:hRule="atLeast"/>
        </w:trPr>
        <w:tc>
          <w:tcPr>
            <w:tcW w:w="1560" w:type="dxa"/>
            <w:vMerge w:val="restart"/>
            <w:tcBorders>
              <w:top w:val="single" w:color="000000" w:sz="10" w:space="0"/>
              <w:left w:val="nil"/>
              <w:bottom w:val="nil"/>
            </w:tcBorders>
            <w:vAlign w:val="top"/>
          </w:tcPr>
          <w:p w14:paraId="50A8EC86">
            <w:pPr>
              <w:rPr>
                <w:rFonts w:ascii="Arial"/>
                <w:sz w:val="21"/>
              </w:rPr>
            </w:pPr>
          </w:p>
        </w:tc>
        <w:tc>
          <w:tcPr>
            <w:tcW w:w="905" w:type="dxa"/>
            <w:tcBorders>
              <w:top w:val="single" w:color="000000" w:sz="10" w:space="0"/>
            </w:tcBorders>
            <w:vAlign w:val="top"/>
          </w:tcPr>
          <w:p w14:paraId="2AF027D6">
            <w:pPr>
              <w:rPr>
                <w:rFonts w:ascii="Arial"/>
                <w:sz w:val="21"/>
              </w:rPr>
            </w:pPr>
          </w:p>
        </w:tc>
        <w:tc>
          <w:tcPr>
            <w:tcW w:w="6749" w:type="dxa"/>
            <w:tcBorders>
              <w:top w:val="single" w:color="000000" w:sz="10" w:space="0"/>
            </w:tcBorders>
            <w:vAlign w:val="top"/>
          </w:tcPr>
          <w:p w14:paraId="115CE1BB">
            <w:pPr>
              <w:pStyle w:val="6"/>
              <w:spacing w:before="16" w:line="228" w:lineRule="auto"/>
              <w:ind w:left="12"/>
              <w:rPr>
                <w:sz w:val="20"/>
                <w:szCs w:val="20"/>
              </w:rPr>
            </w:pPr>
            <w:r>
              <w:rPr>
                <w:rFonts w:ascii="Times New Roman" w:hAnsi="Times New Roman" w:eastAsia="Times New Roman" w:cs="Times New Roman"/>
                <w:spacing w:val="3"/>
                <w:sz w:val="20"/>
                <w:szCs w:val="20"/>
              </w:rPr>
              <w:t>500</w:t>
            </w:r>
            <w:r>
              <w:rPr>
                <w:spacing w:val="3"/>
                <w:sz w:val="20"/>
                <w:szCs w:val="20"/>
              </w:rPr>
              <w:t>万元。</w:t>
            </w:r>
          </w:p>
          <w:p w14:paraId="5D3EDB98">
            <w:pPr>
              <w:pStyle w:val="6"/>
              <w:spacing w:before="23" w:line="234" w:lineRule="auto"/>
              <w:ind w:left="14" w:right="4" w:hanging="5"/>
              <w:rPr>
                <w:sz w:val="20"/>
                <w:szCs w:val="20"/>
              </w:rPr>
            </w:pPr>
            <w:r>
              <w:rPr>
                <w:spacing w:val="10"/>
                <w:sz w:val="20"/>
                <w:szCs w:val="20"/>
              </w:rPr>
              <w:t>对新认定为国家级和自治区级绿色工厂、绿色产品、绿色供应链、能效领</w:t>
            </w:r>
            <w:r>
              <w:rPr>
                <w:spacing w:val="8"/>
                <w:sz w:val="20"/>
                <w:szCs w:val="20"/>
              </w:rPr>
              <w:t xml:space="preserve"> 跑者、水效领跑者的，分别给予</w:t>
            </w:r>
            <w:r>
              <w:rPr>
                <w:rFonts w:ascii="Times New Roman" w:hAnsi="Times New Roman" w:eastAsia="Times New Roman" w:cs="Times New Roman"/>
                <w:spacing w:val="8"/>
                <w:sz w:val="20"/>
                <w:szCs w:val="20"/>
              </w:rPr>
              <w:t>100</w:t>
            </w:r>
            <w:r>
              <w:rPr>
                <w:spacing w:val="8"/>
                <w:sz w:val="20"/>
                <w:szCs w:val="20"/>
              </w:rPr>
              <w:t>万元、</w:t>
            </w:r>
            <w:r>
              <w:rPr>
                <w:rFonts w:ascii="Times New Roman" w:hAnsi="Times New Roman" w:eastAsia="Times New Roman" w:cs="Times New Roman"/>
                <w:spacing w:val="8"/>
                <w:sz w:val="20"/>
                <w:szCs w:val="20"/>
              </w:rPr>
              <w:t>50</w:t>
            </w:r>
            <w:r>
              <w:rPr>
                <w:spacing w:val="8"/>
                <w:sz w:val="20"/>
                <w:szCs w:val="20"/>
              </w:rPr>
              <w:t>万元一次性奖补。</w:t>
            </w:r>
          </w:p>
        </w:tc>
        <w:tc>
          <w:tcPr>
            <w:tcW w:w="4111" w:type="dxa"/>
            <w:tcBorders>
              <w:top w:val="single" w:color="000000" w:sz="10" w:space="0"/>
            </w:tcBorders>
            <w:vAlign w:val="top"/>
          </w:tcPr>
          <w:p w14:paraId="207C7355">
            <w:pPr>
              <w:rPr>
                <w:rFonts w:ascii="Arial"/>
                <w:sz w:val="21"/>
              </w:rPr>
            </w:pPr>
          </w:p>
        </w:tc>
        <w:tc>
          <w:tcPr>
            <w:tcW w:w="677" w:type="dxa"/>
            <w:tcBorders>
              <w:top w:val="single" w:color="000000" w:sz="10" w:space="0"/>
              <w:right w:val="nil"/>
            </w:tcBorders>
            <w:vAlign w:val="top"/>
          </w:tcPr>
          <w:p w14:paraId="7EB3654C">
            <w:pPr>
              <w:rPr>
                <w:rFonts w:ascii="Arial"/>
                <w:sz w:val="21"/>
              </w:rPr>
            </w:pPr>
          </w:p>
        </w:tc>
      </w:tr>
      <w:tr w14:paraId="05C9AE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4" w:hRule="atLeast"/>
        </w:trPr>
        <w:tc>
          <w:tcPr>
            <w:tcW w:w="1560" w:type="dxa"/>
            <w:vMerge w:val="continue"/>
            <w:tcBorders>
              <w:top w:val="nil"/>
              <w:left w:val="nil"/>
              <w:bottom w:val="nil"/>
            </w:tcBorders>
            <w:vAlign w:val="top"/>
          </w:tcPr>
          <w:p w14:paraId="3ED3D99B">
            <w:pPr>
              <w:rPr>
                <w:rFonts w:ascii="Arial"/>
                <w:sz w:val="21"/>
              </w:rPr>
            </w:pPr>
          </w:p>
        </w:tc>
        <w:tc>
          <w:tcPr>
            <w:tcW w:w="905" w:type="dxa"/>
            <w:vAlign w:val="top"/>
          </w:tcPr>
          <w:p w14:paraId="23A4CB2A">
            <w:pPr>
              <w:spacing w:line="247" w:lineRule="auto"/>
              <w:rPr>
                <w:rFonts w:ascii="Arial"/>
                <w:sz w:val="21"/>
              </w:rPr>
            </w:pPr>
          </w:p>
          <w:p w14:paraId="59DA4835">
            <w:pPr>
              <w:spacing w:line="247" w:lineRule="auto"/>
              <w:rPr>
                <w:rFonts w:ascii="Arial"/>
                <w:sz w:val="21"/>
              </w:rPr>
            </w:pPr>
          </w:p>
          <w:p w14:paraId="475EE1CD">
            <w:pPr>
              <w:spacing w:line="248" w:lineRule="auto"/>
              <w:rPr>
                <w:rFonts w:ascii="Arial"/>
                <w:sz w:val="21"/>
              </w:rPr>
            </w:pPr>
          </w:p>
          <w:p w14:paraId="184F67CC">
            <w:pPr>
              <w:spacing w:line="248" w:lineRule="auto"/>
              <w:rPr>
                <w:rFonts w:ascii="Arial"/>
                <w:sz w:val="21"/>
              </w:rPr>
            </w:pPr>
          </w:p>
          <w:p w14:paraId="3C5632A7">
            <w:pPr>
              <w:spacing w:line="248" w:lineRule="auto"/>
              <w:rPr>
                <w:rFonts w:ascii="Arial"/>
                <w:sz w:val="21"/>
              </w:rPr>
            </w:pPr>
          </w:p>
          <w:p w14:paraId="0ACBC7F9">
            <w:pPr>
              <w:spacing w:line="248" w:lineRule="auto"/>
              <w:rPr>
                <w:rFonts w:ascii="Arial"/>
                <w:sz w:val="21"/>
              </w:rPr>
            </w:pPr>
          </w:p>
          <w:p w14:paraId="66DAB833">
            <w:pPr>
              <w:spacing w:before="63"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1AA9A814">
            <w:pPr>
              <w:pStyle w:val="6"/>
              <w:spacing w:before="35" w:line="243" w:lineRule="auto"/>
              <w:ind w:left="8" w:right="4"/>
              <w:jc w:val="both"/>
              <w:rPr>
                <w:sz w:val="20"/>
                <w:szCs w:val="20"/>
              </w:rPr>
            </w:pPr>
            <w:r>
              <w:rPr>
                <w:spacing w:val="10"/>
                <w:sz w:val="20"/>
                <w:szCs w:val="20"/>
              </w:rPr>
              <w:t>⑧鼓励铁合金企业利用炉密余热为周边区域供暖，余热余气余压发电。对</w:t>
            </w:r>
            <w:r>
              <w:rPr>
                <w:spacing w:val="9"/>
                <w:sz w:val="20"/>
                <w:szCs w:val="20"/>
              </w:rPr>
              <w:t xml:space="preserve"> </w:t>
            </w:r>
            <w:r>
              <w:rPr>
                <w:spacing w:val="10"/>
                <w:sz w:val="20"/>
                <w:szCs w:val="20"/>
              </w:rPr>
              <w:t>接入电网的余热、余压、余气发电的自备电厂减半收取政策性交叉补贴和</w:t>
            </w:r>
            <w:r>
              <w:rPr>
                <w:spacing w:val="8"/>
                <w:sz w:val="20"/>
                <w:szCs w:val="20"/>
              </w:rPr>
              <w:t xml:space="preserve"> </w:t>
            </w:r>
            <w:r>
              <w:rPr>
                <w:spacing w:val="6"/>
                <w:sz w:val="20"/>
                <w:szCs w:val="20"/>
              </w:rPr>
              <w:t>系统备用费。</w:t>
            </w:r>
          </w:p>
          <w:p w14:paraId="6787A913">
            <w:pPr>
              <w:pStyle w:val="6"/>
              <w:spacing w:before="27" w:line="245" w:lineRule="auto"/>
              <w:ind w:left="10" w:right="4"/>
              <w:jc w:val="both"/>
              <w:rPr>
                <w:sz w:val="20"/>
                <w:szCs w:val="20"/>
              </w:rPr>
            </w:pPr>
            <w:r>
              <w:rPr>
                <w:spacing w:val="10"/>
                <w:sz w:val="20"/>
                <w:szCs w:val="20"/>
              </w:rPr>
              <w:t>支持铁合金企业矿热炉煤气制备化工产品，支持碳捕集、利用、封存示范</w:t>
            </w:r>
            <w:r>
              <w:rPr>
                <w:spacing w:val="6"/>
                <w:sz w:val="20"/>
                <w:szCs w:val="20"/>
              </w:rPr>
              <w:t xml:space="preserve"> </w:t>
            </w:r>
            <w:r>
              <w:rPr>
                <w:spacing w:val="7"/>
                <w:sz w:val="20"/>
                <w:szCs w:val="20"/>
              </w:rPr>
              <w:t>项目。对合理利用矿热炉煤气中的有效气体成分达到</w:t>
            </w:r>
            <w:r>
              <w:rPr>
                <w:rFonts w:ascii="Times New Roman" w:hAnsi="Times New Roman" w:eastAsia="Times New Roman" w:cs="Times New Roman"/>
                <w:spacing w:val="7"/>
                <w:sz w:val="20"/>
                <w:szCs w:val="20"/>
              </w:rPr>
              <w:t>C0</w:t>
            </w:r>
            <w:r>
              <w:rPr>
                <w:rFonts w:ascii="Times New Roman" w:hAnsi="Times New Roman" w:eastAsia="Times New Roman" w:cs="Times New Roman"/>
                <w:spacing w:val="6"/>
                <w:position w:val="-1"/>
                <w:sz w:val="13"/>
                <w:szCs w:val="13"/>
              </w:rPr>
              <w:t>2</w:t>
            </w:r>
            <w:r>
              <w:rPr>
                <w:spacing w:val="6"/>
                <w:sz w:val="20"/>
                <w:szCs w:val="20"/>
              </w:rPr>
              <w:t>零排放等资源综合</w:t>
            </w:r>
            <w:r>
              <w:rPr>
                <w:sz w:val="20"/>
                <w:szCs w:val="20"/>
              </w:rPr>
              <w:t xml:space="preserve"> </w:t>
            </w:r>
            <w:r>
              <w:rPr>
                <w:spacing w:val="8"/>
                <w:sz w:val="20"/>
                <w:szCs w:val="20"/>
              </w:rPr>
              <w:t>利用产业化项目，自实现销售收入年度起，五年内按销售收入的</w:t>
            </w:r>
            <w:r>
              <w:rPr>
                <w:rFonts w:ascii="Times New Roman" w:hAnsi="Times New Roman" w:eastAsia="Times New Roman" w:cs="Times New Roman"/>
                <w:spacing w:val="8"/>
                <w:sz w:val="20"/>
                <w:szCs w:val="20"/>
              </w:rPr>
              <w:t>5%</w:t>
            </w:r>
            <w:r>
              <w:rPr>
                <w:spacing w:val="7"/>
                <w:sz w:val="20"/>
                <w:szCs w:val="20"/>
              </w:rPr>
              <w:t>给予奖</w:t>
            </w:r>
            <w:r>
              <w:rPr>
                <w:sz w:val="20"/>
                <w:szCs w:val="20"/>
              </w:rPr>
              <w:t xml:space="preserve"> </w:t>
            </w:r>
            <w:r>
              <w:rPr>
                <w:spacing w:val="7"/>
                <w:sz w:val="20"/>
                <w:szCs w:val="20"/>
              </w:rPr>
              <w:t>补，每年最高奖补</w:t>
            </w:r>
            <w:r>
              <w:rPr>
                <w:rFonts w:ascii="Times New Roman" w:hAnsi="Times New Roman" w:eastAsia="Times New Roman" w:cs="Times New Roman"/>
                <w:spacing w:val="7"/>
                <w:sz w:val="20"/>
                <w:szCs w:val="20"/>
              </w:rPr>
              <w:t>500</w:t>
            </w:r>
            <w:r>
              <w:rPr>
                <w:spacing w:val="7"/>
                <w:sz w:val="20"/>
                <w:szCs w:val="20"/>
              </w:rPr>
              <w:t>万元。</w:t>
            </w:r>
          </w:p>
          <w:p w14:paraId="057DAE6A">
            <w:pPr>
              <w:pStyle w:val="6"/>
              <w:spacing w:before="29" w:line="242" w:lineRule="auto"/>
              <w:ind w:left="9"/>
              <w:jc w:val="both"/>
              <w:rPr>
                <w:sz w:val="20"/>
                <w:szCs w:val="20"/>
              </w:rPr>
            </w:pPr>
            <w:r>
              <w:rPr>
                <w:spacing w:val="6"/>
                <w:sz w:val="20"/>
                <w:szCs w:val="20"/>
              </w:rPr>
              <w:t>推进构建冶金渣</w:t>
            </w:r>
            <w:r>
              <w:rPr>
                <w:rFonts w:ascii="Times New Roman" w:hAnsi="Times New Roman" w:eastAsia="Times New Roman" w:cs="Times New Roman"/>
                <w:spacing w:val="6"/>
                <w:sz w:val="20"/>
                <w:szCs w:val="20"/>
              </w:rPr>
              <w:t>-</w:t>
            </w:r>
            <w:r>
              <w:rPr>
                <w:spacing w:val="6"/>
                <w:sz w:val="20"/>
                <w:szCs w:val="20"/>
              </w:rPr>
              <w:t>绿色建材产品的循环产业链，支持铁合金渣应用于</w:t>
            </w:r>
            <w:r>
              <w:rPr>
                <w:spacing w:val="5"/>
                <w:sz w:val="20"/>
                <w:szCs w:val="20"/>
              </w:rPr>
              <w:t>水泥混</w:t>
            </w:r>
            <w:r>
              <w:rPr>
                <w:sz w:val="20"/>
                <w:szCs w:val="20"/>
              </w:rPr>
              <w:t xml:space="preserve"> </w:t>
            </w:r>
            <w:r>
              <w:rPr>
                <w:spacing w:val="4"/>
                <w:sz w:val="20"/>
                <w:szCs w:val="20"/>
              </w:rPr>
              <w:t>合材、混凝土矿物掺合料、建筑砂石骨料、免烧环保砖、矿棉等建材产品。</w:t>
            </w:r>
            <w:r>
              <w:rPr>
                <w:spacing w:val="1"/>
                <w:sz w:val="20"/>
                <w:szCs w:val="20"/>
              </w:rPr>
              <w:t xml:space="preserve"> </w:t>
            </w:r>
            <w:r>
              <w:rPr>
                <w:spacing w:val="9"/>
                <w:sz w:val="20"/>
                <w:szCs w:val="20"/>
              </w:rPr>
              <w:t>对新建工业固废资源综合利用量</w:t>
            </w:r>
            <w:r>
              <w:rPr>
                <w:rFonts w:ascii="Times New Roman" w:hAnsi="Times New Roman" w:eastAsia="Times New Roman" w:cs="Times New Roman"/>
                <w:spacing w:val="9"/>
                <w:sz w:val="20"/>
                <w:szCs w:val="20"/>
              </w:rPr>
              <w:t>1</w:t>
            </w:r>
            <w:r>
              <w:rPr>
                <w:spacing w:val="9"/>
                <w:sz w:val="20"/>
                <w:szCs w:val="20"/>
              </w:rPr>
              <w:t>万吨</w:t>
            </w:r>
            <w:r>
              <w:rPr>
                <w:rFonts w:ascii="Times New Roman" w:hAnsi="Times New Roman" w:eastAsia="Times New Roman" w:cs="Times New Roman"/>
                <w:spacing w:val="9"/>
                <w:sz w:val="20"/>
                <w:szCs w:val="20"/>
              </w:rPr>
              <w:t>/</w:t>
            </w:r>
            <w:r>
              <w:rPr>
                <w:spacing w:val="9"/>
                <w:sz w:val="20"/>
                <w:szCs w:val="20"/>
              </w:rPr>
              <w:t>年以上的采用先进适用技术进行工</w:t>
            </w:r>
            <w:r>
              <w:rPr>
                <w:spacing w:val="10"/>
                <w:sz w:val="20"/>
                <w:szCs w:val="20"/>
              </w:rPr>
              <w:t xml:space="preserve"> </w:t>
            </w:r>
            <w:r>
              <w:rPr>
                <w:spacing w:val="5"/>
                <w:sz w:val="20"/>
                <w:szCs w:val="20"/>
              </w:rPr>
              <w:t>业固废和再生资源高端化绿色化、循环化利用项目，每综合利用</w:t>
            </w:r>
            <w:r>
              <w:rPr>
                <w:rFonts w:ascii="Times New Roman" w:hAnsi="Times New Roman" w:eastAsia="Times New Roman" w:cs="Times New Roman"/>
                <w:spacing w:val="4"/>
                <w:sz w:val="20"/>
                <w:szCs w:val="20"/>
              </w:rPr>
              <w:t>1</w:t>
            </w:r>
            <w:r>
              <w:rPr>
                <w:spacing w:val="4"/>
                <w:sz w:val="20"/>
                <w:szCs w:val="20"/>
              </w:rPr>
              <w:t>吨给予</w:t>
            </w:r>
            <w:r>
              <w:rPr>
                <w:rFonts w:ascii="Times New Roman" w:hAnsi="Times New Roman" w:eastAsia="Times New Roman" w:cs="Times New Roman"/>
                <w:spacing w:val="4"/>
                <w:sz w:val="20"/>
                <w:szCs w:val="20"/>
              </w:rPr>
              <w:t>10</w:t>
            </w:r>
            <w:r>
              <w:rPr>
                <w:rFonts w:ascii="Times New Roman" w:hAnsi="Times New Roman" w:eastAsia="Times New Roman" w:cs="Times New Roman"/>
                <w:sz w:val="20"/>
                <w:szCs w:val="20"/>
              </w:rPr>
              <w:t xml:space="preserve">  </w:t>
            </w:r>
            <w:r>
              <w:rPr>
                <w:spacing w:val="3"/>
                <w:sz w:val="20"/>
                <w:szCs w:val="20"/>
              </w:rPr>
              <w:t>元补助。</w:t>
            </w:r>
          </w:p>
        </w:tc>
        <w:tc>
          <w:tcPr>
            <w:tcW w:w="4111" w:type="dxa"/>
            <w:vAlign w:val="top"/>
          </w:tcPr>
          <w:p w14:paraId="07CB08C1">
            <w:pPr>
              <w:spacing w:line="262" w:lineRule="auto"/>
              <w:rPr>
                <w:rFonts w:ascii="Arial"/>
                <w:sz w:val="21"/>
              </w:rPr>
            </w:pPr>
          </w:p>
          <w:p w14:paraId="21E8578F">
            <w:pPr>
              <w:spacing w:line="262" w:lineRule="auto"/>
              <w:rPr>
                <w:rFonts w:ascii="Arial"/>
                <w:sz w:val="21"/>
              </w:rPr>
            </w:pPr>
          </w:p>
          <w:p w14:paraId="31630A80">
            <w:pPr>
              <w:spacing w:line="263" w:lineRule="auto"/>
              <w:rPr>
                <w:rFonts w:ascii="Arial"/>
                <w:sz w:val="21"/>
              </w:rPr>
            </w:pPr>
          </w:p>
          <w:p w14:paraId="067B7477">
            <w:pPr>
              <w:spacing w:line="263" w:lineRule="auto"/>
              <w:rPr>
                <w:rFonts w:ascii="Arial"/>
                <w:sz w:val="21"/>
              </w:rPr>
            </w:pPr>
          </w:p>
          <w:p w14:paraId="2CE0299A">
            <w:pPr>
              <w:pStyle w:val="6"/>
              <w:spacing w:before="65" w:line="244" w:lineRule="auto"/>
              <w:ind w:left="9" w:right="4" w:firstLine="1"/>
              <w:jc w:val="both"/>
              <w:rPr>
                <w:sz w:val="20"/>
                <w:szCs w:val="20"/>
              </w:rPr>
            </w:pPr>
            <w:r>
              <w:rPr>
                <w:spacing w:val="9"/>
                <w:sz w:val="20"/>
                <w:szCs w:val="20"/>
              </w:rPr>
              <w:t>本项目新建</w:t>
            </w:r>
            <w:r>
              <w:rPr>
                <w:rFonts w:ascii="Times New Roman" w:hAnsi="Times New Roman" w:eastAsia="Times New Roman" w:cs="Times New Roman"/>
                <w:spacing w:val="9"/>
                <w:sz w:val="20"/>
                <w:szCs w:val="20"/>
              </w:rPr>
              <w:t>6×36000</w:t>
            </w:r>
            <w:r>
              <w:rPr>
                <w:rFonts w:ascii="Times New Roman" w:hAnsi="Times New Roman" w:eastAsia="Times New Roman" w:cs="Times New Roman"/>
                <w:sz w:val="20"/>
                <w:szCs w:val="20"/>
              </w:rPr>
              <w:t>kVA</w:t>
            </w:r>
            <w:r>
              <w:rPr>
                <w:spacing w:val="9"/>
                <w:sz w:val="20"/>
                <w:szCs w:val="20"/>
              </w:rPr>
              <w:t>全密闭锰硅合金</w:t>
            </w:r>
            <w:r>
              <w:rPr>
                <w:spacing w:val="8"/>
                <w:sz w:val="20"/>
                <w:szCs w:val="20"/>
              </w:rPr>
              <w:t>矿热</w:t>
            </w:r>
            <w:r>
              <w:rPr>
                <w:sz w:val="20"/>
                <w:szCs w:val="20"/>
              </w:rPr>
              <w:t xml:space="preserve"> </w:t>
            </w:r>
            <w:r>
              <w:rPr>
                <w:spacing w:val="4"/>
                <w:sz w:val="20"/>
                <w:szCs w:val="20"/>
              </w:rPr>
              <w:t>炉产生煤气全部作为配套烧结机、烘干设备以</w:t>
            </w:r>
            <w:r>
              <w:rPr>
                <w:spacing w:val="11"/>
                <w:sz w:val="20"/>
                <w:szCs w:val="20"/>
              </w:rPr>
              <w:t xml:space="preserve"> </w:t>
            </w:r>
            <w:r>
              <w:rPr>
                <w:spacing w:val="8"/>
                <w:sz w:val="20"/>
                <w:szCs w:val="20"/>
              </w:rPr>
              <w:t>及煤气发电装置的燃料。</w:t>
            </w:r>
          </w:p>
          <w:p w14:paraId="243BF9E9">
            <w:pPr>
              <w:pStyle w:val="6"/>
              <w:spacing w:before="26" w:line="227" w:lineRule="auto"/>
              <w:ind w:left="11"/>
              <w:rPr>
                <w:sz w:val="20"/>
                <w:szCs w:val="20"/>
              </w:rPr>
            </w:pPr>
            <w:r>
              <w:rPr>
                <w:spacing w:val="8"/>
                <w:sz w:val="20"/>
                <w:szCs w:val="20"/>
              </w:rPr>
              <w:t>本项目产生矿热炉炉渣全部外售综合利用。</w:t>
            </w:r>
          </w:p>
        </w:tc>
        <w:tc>
          <w:tcPr>
            <w:tcW w:w="677" w:type="dxa"/>
            <w:tcBorders>
              <w:right w:val="nil"/>
            </w:tcBorders>
            <w:vAlign w:val="top"/>
          </w:tcPr>
          <w:p w14:paraId="43A8FD7C">
            <w:pPr>
              <w:spacing w:line="242" w:lineRule="auto"/>
              <w:rPr>
                <w:rFonts w:ascii="Arial"/>
                <w:sz w:val="21"/>
              </w:rPr>
            </w:pPr>
          </w:p>
          <w:p w14:paraId="4E954E2E">
            <w:pPr>
              <w:spacing w:line="242" w:lineRule="auto"/>
              <w:rPr>
                <w:rFonts w:ascii="Arial"/>
                <w:sz w:val="21"/>
              </w:rPr>
            </w:pPr>
          </w:p>
          <w:p w14:paraId="7E27852D">
            <w:pPr>
              <w:spacing w:line="243" w:lineRule="auto"/>
              <w:rPr>
                <w:rFonts w:ascii="Arial"/>
                <w:sz w:val="21"/>
              </w:rPr>
            </w:pPr>
          </w:p>
          <w:p w14:paraId="37BF7770">
            <w:pPr>
              <w:spacing w:line="243" w:lineRule="auto"/>
              <w:rPr>
                <w:rFonts w:ascii="Arial"/>
                <w:sz w:val="21"/>
              </w:rPr>
            </w:pPr>
          </w:p>
          <w:p w14:paraId="0A9429E4">
            <w:pPr>
              <w:spacing w:line="243" w:lineRule="auto"/>
              <w:rPr>
                <w:rFonts w:ascii="Arial"/>
                <w:sz w:val="21"/>
              </w:rPr>
            </w:pPr>
          </w:p>
          <w:p w14:paraId="2614542D">
            <w:pPr>
              <w:spacing w:line="243" w:lineRule="auto"/>
              <w:rPr>
                <w:rFonts w:ascii="Arial"/>
                <w:sz w:val="21"/>
              </w:rPr>
            </w:pPr>
          </w:p>
          <w:p w14:paraId="47A9D689">
            <w:pPr>
              <w:pStyle w:val="6"/>
              <w:spacing w:before="65" w:line="228" w:lineRule="auto"/>
              <w:ind w:left="137"/>
              <w:rPr>
                <w:sz w:val="20"/>
                <w:szCs w:val="20"/>
              </w:rPr>
            </w:pPr>
            <w:r>
              <w:rPr>
                <w:spacing w:val="3"/>
                <w:sz w:val="20"/>
                <w:szCs w:val="20"/>
              </w:rPr>
              <w:t>符合</w:t>
            </w:r>
          </w:p>
        </w:tc>
      </w:tr>
      <w:tr w14:paraId="25B394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2" w:hRule="atLeast"/>
        </w:trPr>
        <w:tc>
          <w:tcPr>
            <w:tcW w:w="1560" w:type="dxa"/>
            <w:vMerge w:val="continue"/>
            <w:tcBorders>
              <w:top w:val="nil"/>
              <w:left w:val="nil"/>
              <w:bottom w:val="nil"/>
            </w:tcBorders>
            <w:vAlign w:val="top"/>
          </w:tcPr>
          <w:p w14:paraId="104F4C00">
            <w:pPr>
              <w:rPr>
                <w:rFonts w:ascii="Arial"/>
                <w:sz w:val="21"/>
              </w:rPr>
            </w:pPr>
          </w:p>
        </w:tc>
        <w:tc>
          <w:tcPr>
            <w:tcW w:w="905" w:type="dxa"/>
            <w:vAlign w:val="top"/>
          </w:tcPr>
          <w:p w14:paraId="41F3A5B6">
            <w:pPr>
              <w:spacing w:line="412" w:lineRule="auto"/>
              <w:rPr>
                <w:rFonts w:ascii="Arial"/>
                <w:sz w:val="21"/>
              </w:rPr>
            </w:pPr>
          </w:p>
          <w:p w14:paraId="13A49D1F">
            <w:pPr>
              <w:spacing w:before="64"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0B0BD453">
            <w:pPr>
              <w:pStyle w:val="6"/>
              <w:spacing w:before="179" w:line="243" w:lineRule="auto"/>
              <w:ind w:left="14" w:right="3" w:hanging="6"/>
              <w:jc w:val="both"/>
              <w:rPr>
                <w:sz w:val="20"/>
                <w:szCs w:val="20"/>
              </w:rPr>
            </w:pPr>
            <w:r>
              <w:rPr>
                <w:spacing w:val="9"/>
                <w:sz w:val="20"/>
                <w:szCs w:val="20"/>
              </w:rPr>
              <w:t>⑨对生产规模</w:t>
            </w:r>
            <w:r>
              <w:rPr>
                <w:rFonts w:ascii="Times New Roman" w:hAnsi="Times New Roman" w:eastAsia="Times New Roman" w:cs="Times New Roman"/>
                <w:spacing w:val="9"/>
                <w:sz w:val="20"/>
                <w:szCs w:val="20"/>
              </w:rPr>
              <w:t>50</w:t>
            </w:r>
            <w:r>
              <w:rPr>
                <w:spacing w:val="9"/>
                <w:sz w:val="20"/>
                <w:szCs w:val="20"/>
              </w:rPr>
              <w:t>万吨以上</w:t>
            </w:r>
            <w:r>
              <w:rPr>
                <w:rFonts w:ascii="Times New Roman" w:hAnsi="Times New Roman" w:eastAsia="Times New Roman" w:cs="Times New Roman"/>
                <w:spacing w:val="9"/>
                <w:sz w:val="20"/>
                <w:szCs w:val="20"/>
              </w:rPr>
              <w:t>(</w:t>
            </w:r>
            <w:r>
              <w:rPr>
                <w:spacing w:val="9"/>
                <w:sz w:val="20"/>
                <w:szCs w:val="20"/>
              </w:rPr>
              <w:t>含</w:t>
            </w:r>
            <w:r>
              <w:rPr>
                <w:rFonts w:ascii="Times New Roman" w:hAnsi="Times New Roman" w:eastAsia="Times New Roman" w:cs="Times New Roman"/>
                <w:spacing w:val="9"/>
                <w:sz w:val="20"/>
                <w:szCs w:val="20"/>
              </w:rPr>
              <w:t>50</w:t>
            </w:r>
            <w:r>
              <w:rPr>
                <w:spacing w:val="9"/>
                <w:sz w:val="20"/>
                <w:szCs w:val="20"/>
              </w:rPr>
              <w:t>万吨</w:t>
            </w:r>
            <w:r>
              <w:rPr>
                <w:rFonts w:ascii="Times New Roman" w:hAnsi="Times New Roman" w:eastAsia="Times New Roman" w:cs="Times New Roman"/>
                <w:spacing w:val="9"/>
                <w:sz w:val="20"/>
                <w:szCs w:val="20"/>
              </w:rPr>
              <w:t>)</w:t>
            </w:r>
            <w:r>
              <w:rPr>
                <w:spacing w:val="9"/>
                <w:sz w:val="20"/>
                <w:szCs w:val="20"/>
              </w:rPr>
              <w:t>的铁合金单体企</w:t>
            </w:r>
            <w:r>
              <w:rPr>
                <w:spacing w:val="8"/>
                <w:sz w:val="20"/>
                <w:szCs w:val="20"/>
              </w:rPr>
              <w:t>业、</w:t>
            </w:r>
            <w:r>
              <w:rPr>
                <w:rFonts w:ascii="Times New Roman" w:hAnsi="Times New Roman" w:eastAsia="Times New Roman" w:cs="Times New Roman"/>
                <w:spacing w:val="8"/>
                <w:sz w:val="20"/>
                <w:szCs w:val="20"/>
              </w:rPr>
              <w:t>80</w:t>
            </w:r>
            <w:r>
              <w:rPr>
                <w:spacing w:val="8"/>
                <w:sz w:val="20"/>
                <w:szCs w:val="20"/>
              </w:rPr>
              <w:t>万吨以上</w:t>
            </w:r>
            <w:r>
              <w:rPr>
                <w:rFonts w:ascii="Times New Roman" w:hAnsi="Times New Roman" w:eastAsia="Times New Roman" w:cs="Times New Roman"/>
                <w:spacing w:val="8"/>
                <w:sz w:val="20"/>
                <w:szCs w:val="20"/>
              </w:rPr>
              <w:t>(</w:t>
            </w:r>
            <w:r>
              <w:rPr>
                <w:spacing w:val="8"/>
                <w:sz w:val="20"/>
                <w:szCs w:val="20"/>
              </w:rPr>
              <w:t>含</w:t>
            </w:r>
            <w:r>
              <w:rPr>
                <w:rFonts w:ascii="Times New Roman" w:hAnsi="Times New Roman" w:eastAsia="Times New Roman" w:cs="Times New Roman"/>
                <w:spacing w:val="8"/>
                <w:sz w:val="20"/>
                <w:szCs w:val="20"/>
              </w:rPr>
              <w:t>80</w:t>
            </w:r>
            <w:r>
              <w:rPr>
                <w:rFonts w:ascii="Times New Roman" w:hAnsi="Times New Roman" w:eastAsia="Times New Roman" w:cs="Times New Roman"/>
                <w:sz w:val="20"/>
                <w:szCs w:val="20"/>
              </w:rPr>
              <w:t xml:space="preserve"> </w:t>
            </w:r>
            <w:r>
              <w:rPr>
                <w:spacing w:val="14"/>
                <w:sz w:val="20"/>
                <w:szCs w:val="20"/>
              </w:rPr>
              <w:t>万吨</w:t>
            </w:r>
            <w:r>
              <w:rPr>
                <w:rFonts w:ascii="Times New Roman" w:hAnsi="Times New Roman" w:eastAsia="Times New Roman" w:cs="Times New Roman"/>
                <w:spacing w:val="14"/>
                <w:sz w:val="20"/>
                <w:szCs w:val="20"/>
              </w:rPr>
              <w:t>)</w:t>
            </w:r>
            <w:r>
              <w:rPr>
                <w:spacing w:val="14"/>
                <w:sz w:val="20"/>
                <w:szCs w:val="20"/>
              </w:rPr>
              <w:t>的铁合金企业集团或能效达到标杆水平的铁合金企业可不列入高耗</w:t>
            </w:r>
            <w:r>
              <w:rPr>
                <w:spacing w:val="8"/>
                <w:sz w:val="20"/>
                <w:szCs w:val="20"/>
              </w:rPr>
              <w:t xml:space="preserve"> </w:t>
            </w:r>
            <w:r>
              <w:rPr>
                <w:spacing w:val="5"/>
                <w:sz w:val="20"/>
                <w:szCs w:val="20"/>
              </w:rPr>
              <w:t>能企业名单。</w:t>
            </w:r>
          </w:p>
        </w:tc>
        <w:tc>
          <w:tcPr>
            <w:tcW w:w="4111" w:type="dxa"/>
            <w:vAlign w:val="top"/>
          </w:tcPr>
          <w:p w14:paraId="5ACE0364">
            <w:pPr>
              <w:pStyle w:val="6"/>
              <w:spacing w:before="42"/>
              <w:ind w:right="3" w:firstLine="46"/>
              <w:jc w:val="both"/>
              <w:rPr>
                <w:sz w:val="20"/>
                <w:szCs w:val="20"/>
              </w:rPr>
            </w:pPr>
            <w:r>
              <w:rPr>
                <w:spacing w:val="12"/>
                <w:sz w:val="20"/>
                <w:szCs w:val="20"/>
              </w:rPr>
              <w:t>本项目建成后，企业一期铁合金规模达到</w:t>
            </w:r>
            <w:r>
              <w:rPr>
                <w:rFonts w:ascii="Times New Roman" w:hAnsi="Times New Roman" w:eastAsia="Times New Roman" w:cs="Times New Roman"/>
                <w:spacing w:val="12"/>
                <w:sz w:val="20"/>
                <w:szCs w:val="20"/>
              </w:rPr>
              <w:t>45</w:t>
            </w:r>
            <w:r>
              <w:rPr>
                <w:rFonts w:ascii="Times New Roman" w:hAnsi="Times New Roman" w:eastAsia="Times New Roman" w:cs="Times New Roman"/>
                <w:spacing w:val="15"/>
                <w:w w:val="101"/>
                <w:sz w:val="20"/>
                <w:szCs w:val="20"/>
              </w:rPr>
              <w:t xml:space="preserve"> </w:t>
            </w:r>
            <w:r>
              <w:rPr>
                <w:spacing w:val="4"/>
                <w:sz w:val="20"/>
                <w:szCs w:val="20"/>
              </w:rPr>
              <w:t>万</w:t>
            </w:r>
            <w:r>
              <w:rPr>
                <w:rFonts w:ascii="Times New Roman" w:hAnsi="Times New Roman" w:eastAsia="Times New Roman" w:cs="Times New Roman"/>
                <w:spacing w:val="4"/>
                <w:sz w:val="20"/>
                <w:szCs w:val="20"/>
              </w:rPr>
              <w:t>t/a</w:t>
            </w:r>
            <w:r>
              <w:rPr>
                <w:spacing w:val="4"/>
                <w:sz w:val="20"/>
                <w:szCs w:val="20"/>
              </w:rPr>
              <w:t>，二期投产后总规模达到</w:t>
            </w:r>
            <w:r>
              <w:rPr>
                <w:rFonts w:ascii="Times New Roman" w:hAnsi="Times New Roman" w:eastAsia="Times New Roman" w:cs="Times New Roman"/>
                <w:spacing w:val="4"/>
                <w:sz w:val="20"/>
                <w:szCs w:val="20"/>
              </w:rPr>
              <w:t>90</w:t>
            </w:r>
            <w:r>
              <w:rPr>
                <w:spacing w:val="4"/>
                <w:sz w:val="20"/>
                <w:szCs w:val="20"/>
              </w:rPr>
              <w:t>万</w:t>
            </w:r>
            <w:r>
              <w:rPr>
                <w:rFonts w:ascii="Times New Roman" w:hAnsi="Times New Roman" w:eastAsia="Times New Roman" w:cs="Times New Roman"/>
                <w:spacing w:val="4"/>
                <w:sz w:val="20"/>
                <w:szCs w:val="20"/>
              </w:rPr>
              <w:t>t/a</w:t>
            </w:r>
            <w:r>
              <w:rPr>
                <w:spacing w:val="4"/>
                <w:sz w:val="20"/>
                <w:szCs w:val="20"/>
              </w:rPr>
              <w:t>，不属于</w:t>
            </w:r>
            <w:r>
              <w:rPr>
                <w:sz w:val="20"/>
                <w:szCs w:val="20"/>
              </w:rPr>
              <w:t xml:space="preserve"> </w:t>
            </w:r>
            <w:r>
              <w:rPr>
                <w:rFonts w:ascii="Times New Roman" w:hAnsi="Times New Roman" w:eastAsia="Times New Roman" w:cs="Times New Roman"/>
                <w:spacing w:val="5"/>
                <w:sz w:val="20"/>
                <w:szCs w:val="20"/>
              </w:rPr>
              <w:t>“</w:t>
            </w:r>
            <w:r>
              <w:rPr>
                <w:spacing w:val="5"/>
                <w:sz w:val="20"/>
                <w:szCs w:val="20"/>
              </w:rPr>
              <w:t>两高</w:t>
            </w:r>
            <w:r>
              <w:rPr>
                <w:rFonts w:ascii="Times New Roman" w:hAnsi="Times New Roman" w:eastAsia="Times New Roman" w:cs="Times New Roman"/>
                <w:spacing w:val="5"/>
                <w:sz w:val="20"/>
                <w:szCs w:val="20"/>
              </w:rPr>
              <w:t>”</w:t>
            </w:r>
            <w:r>
              <w:rPr>
                <w:spacing w:val="5"/>
                <w:sz w:val="20"/>
                <w:szCs w:val="20"/>
              </w:rPr>
              <w:t>项目，但本项目属于重点行业，本次评</w:t>
            </w:r>
            <w:r>
              <w:rPr>
                <w:spacing w:val="18"/>
                <w:sz w:val="20"/>
                <w:szCs w:val="20"/>
              </w:rPr>
              <w:t xml:space="preserve"> </w:t>
            </w:r>
            <w:r>
              <w:rPr>
                <w:spacing w:val="10"/>
                <w:sz w:val="20"/>
                <w:szCs w:val="20"/>
              </w:rPr>
              <w:t>价要求严格执行特别排放限值。</w:t>
            </w:r>
          </w:p>
        </w:tc>
        <w:tc>
          <w:tcPr>
            <w:tcW w:w="677" w:type="dxa"/>
            <w:tcBorders>
              <w:right w:val="nil"/>
            </w:tcBorders>
            <w:vAlign w:val="top"/>
          </w:tcPr>
          <w:p w14:paraId="7842C0E4">
            <w:pPr>
              <w:spacing w:line="382" w:lineRule="auto"/>
              <w:rPr>
                <w:rFonts w:ascii="Arial"/>
                <w:sz w:val="21"/>
              </w:rPr>
            </w:pPr>
          </w:p>
          <w:p w14:paraId="3EA33785">
            <w:pPr>
              <w:pStyle w:val="6"/>
              <w:spacing w:before="65" w:line="228" w:lineRule="auto"/>
              <w:ind w:left="137"/>
              <w:rPr>
                <w:sz w:val="20"/>
                <w:szCs w:val="20"/>
              </w:rPr>
            </w:pPr>
            <w:r>
              <w:rPr>
                <w:spacing w:val="3"/>
                <w:sz w:val="20"/>
                <w:szCs w:val="20"/>
              </w:rPr>
              <w:t>符合</w:t>
            </w:r>
          </w:p>
        </w:tc>
      </w:tr>
      <w:tr w14:paraId="4ED345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1560" w:type="dxa"/>
            <w:vMerge w:val="continue"/>
            <w:tcBorders>
              <w:top w:val="nil"/>
              <w:left w:val="nil"/>
              <w:bottom w:val="nil"/>
            </w:tcBorders>
            <w:vAlign w:val="top"/>
          </w:tcPr>
          <w:p w14:paraId="3004B809">
            <w:pPr>
              <w:rPr>
                <w:rFonts w:ascii="Arial"/>
                <w:sz w:val="21"/>
              </w:rPr>
            </w:pPr>
          </w:p>
        </w:tc>
        <w:tc>
          <w:tcPr>
            <w:tcW w:w="905" w:type="dxa"/>
            <w:vAlign w:val="top"/>
          </w:tcPr>
          <w:p w14:paraId="33C20612">
            <w:pPr>
              <w:spacing w:before="207"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2AA20A2E">
            <w:pPr>
              <w:pStyle w:val="6"/>
              <w:spacing w:before="45" w:line="227" w:lineRule="auto"/>
              <w:ind w:left="17" w:right="4" w:hanging="9"/>
              <w:rPr>
                <w:sz w:val="20"/>
                <w:szCs w:val="20"/>
              </w:rPr>
            </w:pPr>
            <w:r>
              <w:rPr>
                <w:spacing w:val="10"/>
                <w:sz w:val="20"/>
                <w:szCs w:val="20"/>
              </w:rPr>
              <w:t>⑩鼓励金融机构为实施整合重组的铁合金企业以及能效达到标杆水平、新</w:t>
            </w:r>
            <w:r>
              <w:rPr>
                <w:spacing w:val="9"/>
                <w:sz w:val="20"/>
                <w:szCs w:val="20"/>
              </w:rPr>
              <w:t xml:space="preserve"> 能源消纳比例高、资源综合利用水平高的铁合金企业优先融资。</w:t>
            </w:r>
          </w:p>
        </w:tc>
        <w:tc>
          <w:tcPr>
            <w:tcW w:w="4111" w:type="dxa"/>
            <w:vAlign w:val="top"/>
          </w:tcPr>
          <w:p w14:paraId="783A471B">
            <w:pPr>
              <w:pStyle w:val="6"/>
              <w:spacing w:before="181" w:line="227" w:lineRule="auto"/>
              <w:ind w:left="11"/>
              <w:rPr>
                <w:sz w:val="20"/>
                <w:szCs w:val="20"/>
              </w:rPr>
            </w:pPr>
            <w:r>
              <w:rPr>
                <w:spacing w:val="6"/>
                <w:sz w:val="20"/>
                <w:szCs w:val="20"/>
              </w:rPr>
              <w:t>本项目不涉及。</w:t>
            </w:r>
          </w:p>
        </w:tc>
        <w:tc>
          <w:tcPr>
            <w:tcW w:w="677" w:type="dxa"/>
            <w:tcBorders>
              <w:right w:val="nil"/>
            </w:tcBorders>
            <w:vAlign w:val="top"/>
          </w:tcPr>
          <w:p w14:paraId="326D256C">
            <w:pPr>
              <w:spacing w:before="213" w:line="199"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57081A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2" w:hRule="atLeast"/>
        </w:trPr>
        <w:tc>
          <w:tcPr>
            <w:tcW w:w="1560" w:type="dxa"/>
            <w:vMerge w:val="continue"/>
            <w:tcBorders>
              <w:top w:val="nil"/>
              <w:left w:val="nil"/>
            </w:tcBorders>
            <w:vAlign w:val="top"/>
          </w:tcPr>
          <w:p w14:paraId="4C88082A">
            <w:pPr>
              <w:rPr>
                <w:rFonts w:ascii="Arial"/>
                <w:sz w:val="21"/>
              </w:rPr>
            </w:pPr>
          </w:p>
        </w:tc>
        <w:tc>
          <w:tcPr>
            <w:tcW w:w="905" w:type="dxa"/>
            <w:vAlign w:val="top"/>
          </w:tcPr>
          <w:p w14:paraId="093CA705">
            <w:pPr>
              <w:spacing w:line="417" w:lineRule="auto"/>
              <w:rPr>
                <w:rFonts w:ascii="Arial"/>
                <w:sz w:val="21"/>
              </w:rPr>
            </w:pPr>
          </w:p>
          <w:p w14:paraId="65FCD2C9">
            <w:pPr>
              <w:spacing w:before="63"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4E4685A5">
            <w:pPr>
              <w:pStyle w:val="6"/>
              <w:spacing w:before="182" w:line="244" w:lineRule="auto"/>
              <w:ind w:left="9" w:right="4" w:hanging="2"/>
              <w:jc w:val="both"/>
              <w:rPr>
                <w:sz w:val="20"/>
                <w:szCs w:val="20"/>
              </w:rPr>
            </w:pPr>
            <w:r>
              <w:rPr>
                <w:rFonts w:ascii="MS PGothic" w:hAnsi="MS PGothic" w:eastAsia="MS PGothic" w:cs="MS PGothic"/>
                <w:spacing w:val="12"/>
                <w:sz w:val="20"/>
                <w:szCs w:val="20"/>
              </w:rPr>
              <w:t>⑪</w:t>
            </w:r>
            <w:r>
              <w:rPr>
                <w:spacing w:val="12"/>
                <w:sz w:val="20"/>
                <w:szCs w:val="20"/>
              </w:rPr>
              <w:t>新建</w:t>
            </w:r>
            <w:r>
              <w:rPr>
                <w:rFonts w:ascii="Times New Roman" w:hAnsi="Times New Roman" w:eastAsia="Times New Roman" w:cs="Times New Roman"/>
                <w:spacing w:val="12"/>
                <w:sz w:val="20"/>
                <w:szCs w:val="20"/>
              </w:rPr>
              <w:t>(</w:t>
            </w:r>
            <w:r>
              <w:rPr>
                <w:spacing w:val="12"/>
                <w:sz w:val="20"/>
                <w:szCs w:val="20"/>
              </w:rPr>
              <w:t>改建、扩建</w:t>
            </w:r>
            <w:r>
              <w:rPr>
                <w:rFonts w:ascii="Times New Roman" w:hAnsi="Times New Roman" w:eastAsia="Times New Roman" w:cs="Times New Roman"/>
                <w:spacing w:val="12"/>
                <w:sz w:val="20"/>
                <w:szCs w:val="20"/>
              </w:rPr>
              <w:t>)</w:t>
            </w:r>
            <w:r>
              <w:rPr>
                <w:spacing w:val="12"/>
                <w:sz w:val="20"/>
                <w:szCs w:val="20"/>
              </w:rPr>
              <w:t>的锰硅合金、高碳锰铁、高碳铬铁、镍铁等矿热炉应</w:t>
            </w:r>
            <w:r>
              <w:rPr>
                <w:spacing w:val="1"/>
                <w:sz w:val="20"/>
                <w:szCs w:val="20"/>
              </w:rPr>
              <w:t xml:space="preserve"> </w:t>
            </w:r>
            <w:r>
              <w:rPr>
                <w:spacing w:val="11"/>
                <w:sz w:val="20"/>
                <w:szCs w:val="20"/>
              </w:rPr>
              <w:t>采用全密闭型，容量须高于</w:t>
            </w:r>
            <w:r>
              <w:rPr>
                <w:rFonts w:ascii="Times New Roman" w:hAnsi="Times New Roman" w:eastAsia="Times New Roman" w:cs="Times New Roman"/>
                <w:spacing w:val="11"/>
                <w:sz w:val="20"/>
                <w:szCs w:val="20"/>
              </w:rPr>
              <w:t>30000</w:t>
            </w:r>
            <w:r>
              <w:rPr>
                <w:rFonts w:ascii="Times New Roman" w:hAnsi="Times New Roman" w:eastAsia="Times New Roman" w:cs="Times New Roman"/>
                <w:sz w:val="20"/>
                <w:szCs w:val="20"/>
              </w:rPr>
              <w:t>KVA</w:t>
            </w:r>
            <w:r>
              <w:rPr>
                <w:rFonts w:ascii="Times New Roman" w:hAnsi="Times New Roman" w:eastAsia="Times New Roman" w:cs="Times New Roman"/>
                <w:spacing w:val="-7"/>
                <w:sz w:val="20"/>
                <w:szCs w:val="20"/>
              </w:rPr>
              <w:t xml:space="preserve"> </w:t>
            </w:r>
            <w:r>
              <w:rPr>
                <w:spacing w:val="11"/>
                <w:sz w:val="20"/>
                <w:szCs w:val="20"/>
              </w:rPr>
              <w:t>，并配套余热、余气、余压等综合</w:t>
            </w:r>
            <w:r>
              <w:rPr>
                <w:sz w:val="20"/>
                <w:szCs w:val="20"/>
              </w:rPr>
              <w:t xml:space="preserve"> </w:t>
            </w:r>
            <w:r>
              <w:rPr>
                <w:spacing w:val="9"/>
                <w:sz w:val="20"/>
                <w:szCs w:val="20"/>
              </w:rPr>
              <w:t>利用设施，废渣须全部综合处置，能效达到行业标杆水平。</w:t>
            </w:r>
          </w:p>
        </w:tc>
        <w:tc>
          <w:tcPr>
            <w:tcW w:w="4111" w:type="dxa"/>
            <w:vAlign w:val="top"/>
          </w:tcPr>
          <w:p w14:paraId="69DDE447">
            <w:pPr>
              <w:pStyle w:val="6"/>
              <w:spacing w:before="50" w:line="238" w:lineRule="auto"/>
              <w:ind w:left="9" w:firstLine="1"/>
              <w:jc w:val="both"/>
              <w:rPr>
                <w:sz w:val="20"/>
                <w:szCs w:val="20"/>
              </w:rPr>
            </w:pPr>
            <w:r>
              <w:rPr>
                <w:spacing w:val="14"/>
                <w:sz w:val="20"/>
                <w:szCs w:val="20"/>
              </w:rPr>
              <w:t>本项目新建</w:t>
            </w:r>
            <w:r>
              <w:rPr>
                <w:rFonts w:ascii="Times New Roman" w:hAnsi="Times New Roman" w:eastAsia="Times New Roman" w:cs="Times New Roman"/>
                <w:spacing w:val="14"/>
                <w:sz w:val="20"/>
                <w:szCs w:val="20"/>
              </w:rPr>
              <w:t>6×36000</w:t>
            </w:r>
            <w:r>
              <w:rPr>
                <w:rFonts w:ascii="Times New Roman" w:hAnsi="Times New Roman" w:eastAsia="Times New Roman" w:cs="Times New Roman"/>
                <w:sz w:val="20"/>
                <w:szCs w:val="20"/>
              </w:rPr>
              <w:t>KVA</w:t>
            </w:r>
            <w:r>
              <w:rPr>
                <w:spacing w:val="14"/>
                <w:sz w:val="20"/>
                <w:szCs w:val="20"/>
              </w:rPr>
              <w:t>全密闭锰硅合金矿</w:t>
            </w:r>
            <w:r>
              <w:rPr>
                <w:spacing w:val="13"/>
                <w:sz w:val="20"/>
                <w:szCs w:val="20"/>
              </w:rPr>
              <w:t xml:space="preserve"> </w:t>
            </w:r>
            <w:r>
              <w:rPr>
                <w:spacing w:val="-5"/>
                <w:sz w:val="20"/>
                <w:szCs w:val="20"/>
              </w:rPr>
              <w:t>热炉，并配套了余热回收系统、煤气净化装置，</w:t>
            </w:r>
            <w:r>
              <w:rPr>
                <w:sz w:val="20"/>
                <w:szCs w:val="20"/>
              </w:rPr>
              <w:t xml:space="preserve"> </w:t>
            </w:r>
            <w:r>
              <w:rPr>
                <w:spacing w:val="2"/>
                <w:sz w:val="20"/>
                <w:szCs w:val="20"/>
              </w:rPr>
              <w:t>废渣全部外售综合利用，能效达到行业标杆水</w:t>
            </w:r>
            <w:r>
              <w:rPr>
                <w:spacing w:val="1"/>
                <w:sz w:val="20"/>
                <w:szCs w:val="20"/>
              </w:rPr>
              <w:t xml:space="preserve"> </w:t>
            </w:r>
            <w:r>
              <w:rPr>
                <w:spacing w:val="-1"/>
                <w:sz w:val="20"/>
                <w:szCs w:val="20"/>
              </w:rPr>
              <w:t>平。</w:t>
            </w:r>
          </w:p>
        </w:tc>
        <w:tc>
          <w:tcPr>
            <w:tcW w:w="677" w:type="dxa"/>
            <w:tcBorders>
              <w:right w:val="nil"/>
            </w:tcBorders>
            <w:vAlign w:val="top"/>
          </w:tcPr>
          <w:p w14:paraId="36B5CBE6">
            <w:pPr>
              <w:spacing w:line="389" w:lineRule="auto"/>
              <w:rPr>
                <w:rFonts w:ascii="Arial"/>
                <w:sz w:val="21"/>
              </w:rPr>
            </w:pPr>
          </w:p>
          <w:p w14:paraId="3A5EC11B">
            <w:pPr>
              <w:pStyle w:val="6"/>
              <w:spacing w:before="65" w:line="228" w:lineRule="auto"/>
              <w:ind w:left="137"/>
              <w:rPr>
                <w:sz w:val="20"/>
                <w:szCs w:val="20"/>
              </w:rPr>
            </w:pPr>
            <w:r>
              <w:rPr>
                <w:spacing w:val="3"/>
                <w:sz w:val="20"/>
                <w:szCs w:val="20"/>
              </w:rPr>
              <w:t>符合</w:t>
            </w:r>
          </w:p>
        </w:tc>
      </w:tr>
      <w:tr w14:paraId="423C89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53" w:hRule="atLeast"/>
        </w:trPr>
        <w:tc>
          <w:tcPr>
            <w:tcW w:w="1560" w:type="dxa"/>
            <w:tcBorders>
              <w:left w:val="nil"/>
              <w:bottom w:val="single" w:color="000000" w:sz="10" w:space="0"/>
            </w:tcBorders>
            <w:vAlign w:val="top"/>
          </w:tcPr>
          <w:p w14:paraId="497688F4">
            <w:pPr>
              <w:pStyle w:val="6"/>
              <w:spacing w:before="173" w:line="236" w:lineRule="auto"/>
              <w:ind w:left="108" w:right="78" w:firstLine="31"/>
              <w:jc w:val="both"/>
            </w:pPr>
            <w:r>
              <w:rPr>
                <w:spacing w:val="-2"/>
              </w:rPr>
              <w:t>《关于确保完</w:t>
            </w:r>
            <w:r>
              <w:rPr>
                <w:spacing w:val="1"/>
              </w:rPr>
              <w:t xml:space="preserve"> </w:t>
            </w:r>
            <w:r>
              <w:rPr>
                <w:spacing w:val="4"/>
              </w:rPr>
              <w:t>成</w:t>
            </w:r>
            <w:r>
              <w:rPr>
                <w:rFonts w:ascii="Times New Roman" w:hAnsi="Times New Roman" w:eastAsia="Times New Roman" w:cs="Times New Roman"/>
                <w:spacing w:val="4"/>
              </w:rPr>
              <w:t>“</w:t>
            </w:r>
            <w:r>
              <w:rPr>
                <w:spacing w:val="4"/>
              </w:rPr>
              <w:t>十四五</w:t>
            </w:r>
            <w:r>
              <w:rPr>
                <w:rFonts w:ascii="Times New Roman" w:hAnsi="Times New Roman" w:eastAsia="Times New Roman" w:cs="Times New Roman"/>
                <w:spacing w:val="4"/>
              </w:rPr>
              <w:t>”</w:t>
            </w:r>
            <w:r>
              <w:rPr>
                <w:spacing w:val="4"/>
              </w:rPr>
              <w:t xml:space="preserve">能 </w:t>
            </w:r>
            <w:r>
              <w:rPr>
                <w:spacing w:val="3"/>
              </w:rPr>
              <w:t>耗双控目标任</w:t>
            </w:r>
            <w:r>
              <w:rPr>
                <w:spacing w:val="2"/>
              </w:rPr>
              <w:t xml:space="preserve"> </w:t>
            </w:r>
            <w:r>
              <w:rPr>
                <w:spacing w:val="3"/>
              </w:rPr>
              <w:t>务若干保障措</w:t>
            </w:r>
            <w:r>
              <w:rPr>
                <w:spacing w:val="2"/>
              </w:rPr>
              <w:t xml:space="preserve"> </w:t>
            </w:r>
            <w:r>
              <w:rPr>
                <w:spacing w:val="-4"/>
              </w:rPr>
              <w:t>施》</w:t>
            </w:r>
            <w:r>
              <w:rPr>
                <w:rFonts w:ascii="Times New Roman" w:hAnsi="Times New Roman" w:eastAsia="Times New Roman" w:cs="Times New Roman"/>
                <w:spacing w:val="-4"/>
              </w:rPr>
              <w:t>(</w:t>
            </w:r>
            <w:r>
              <w:rPr>
                <w:spacing w:val="-4"/>
              </w:rPr>
              <w:t>内发改环</w:t>
            </w:r>
            <w:r>
              <w:rPr>
                <w:spacing w:val="3"/>
              </w:rPr>
              <w:t xml:space="preserve"> </w:t>
            </w:r>
            <w:r>
              <w:rPr>
                <w:spacing w:val="2"/>
              </w:rPr>
              <w:t>资字〔</w:t>
            </w:r>
            <w:r>
              <w:rPr>
                <w:rFonts w:ascii="Times New Roman" w:hAnsi="Times New Roman" w:eastAsia="Times New Roman" w:cs="Times New Roman"/>
                <w:spacing w:val="2"/>
              </w:rPr>
              <w:t>2021</w:t>
            </w:r>
            <w:r>
              <w:rPr>
                <w:spacing w:val="2"/>
              </w:rPr>
              <w:t>〕</w:t>
            </w:r>
          </w:p>
        </w:tc>
        <w:tc>
          <w:tcPr>
            <w:tcW w:w="905" w:type="dxa"/>
            <w:tcBorders>
              <w:bottom w:val="single" w:color="000000" w:sz="10" w:space="0"/>
            </w:tcBorders>
            <w:vAlign w:val="top"/>
          </w:tcPr>
          <w:p w14:paraId="0440BEF9">
            <w:pPr>
              <w:spacing w:line="327" w:lineRule="auto"/>
              <w:rPr>
                <w:rFonts w:ascii="Arial"/>
                <w:sz w:val="21"/>
              </w:rPr>
            </w:pPr>
          </w:p>
          <w:p w14:paraId="385073D8">
            <w:pPr>
              <w:spacing w:line="327" w:lineRule="auto"/>
              <w:rPr>
                <w:rFonts w:ascii="Arial"/>
                <w:sz w:val="21"/>
              </w:rPr>
            </w:pPr>
          </w:p>
          <w:p w14:paraId="2DA494B6">
            <w:pPr>
              <w:pStyle w:val="6"/>
              <w:spacing w:before="71" w:line="230" w:lineRule="auto"/>
              <w:ind w:left="241" w:right="9" w:hanging="223"/>
            </w:pPr>
            <w:r>
              <w:rPr>
                <w:spacing w:val="-2"/>
              </w:rPr>
              <w:t>节能审查</w:t>
            </w:r>
            <w:r>
              <w:t xml:space="preserve"> </w:t>
            </w:r>
            <w:r>
              <w:rPr>
                <w:spacing w:val="-7"/>
              </w:rPr>
              <w:t>约束</w:t>
            </w:r>
          </w:p>
        </w:tc>
        <w:tc>
          <w:tcPr>
            <w:tcW w:w="6749" w:type="dxa"/>
            <w:tcBorders>
              <w:bottom w:val="single" w:color="000000" w:sz="10" w:space="0"/>
            </w:tcBorders>
            <w:vAlign w:val="top"/>
          </w:tcPr>
          <w:p w14:paraId="4CFC7775">
            <w:pPr>
              <w:pStyle w:val="6"/>
              <w:spacing w:before="290" w:line="230" w:lineRule="auto"/>
              <w:ind w:left="13" w:right="2" w:firstLine="2"/>
            </w:pPr>
            <w:r>
              <w:rPr>
                <w:spacing w:val="5"/>
              </w:rPr>
              <w:t>强化新建高耗能项目对</w:t>
            </w:r>
            <w:r>
              <w:rPr>
                <w:rFonts w:ascii="Times New Roman" w:hAnsi="Times New Roman" w:eastAsia="Times New Roman" w:cs="Times New Roman"/>
                <w:spacing w:val="5"/>
              </w:rPr>
              <w:t>“</w:t>
            </w:r>
            <w:r>
              <w:rPr>
                <w:spacing w:val="5"/>
              </w:rPr>
              <w:t>十四五</w:t>
            </w:r>
            <w:r>
              <w:rPr>
                <w:rFonts w:ascii="Times New Roman" w:hAnsi="Times New Roman" w:eastAsia="Times New Roman" w:cs="Times New Roman"/>
                <w:spacing w:val="5"/>
              </w:rPr>
              <w:t>”</w:t>
            </w:r>
            <w:r>
              <w:rPr>
                <w:spacing w:val="5"/>
              </w:rPr>
              <w:t>能耗双控影响评估和用</w:t>
            </w:r>
            <w:r>
              <w:rPr>
                <w:spacing w:val="4"/>
              </w:rPr>
              <w:t>能指标来源审</w:t>
            </w:r>
            <w:r>
              <w:t xml:space="preserve"> </w:t>
            </w:r>
            <w:r>
              <w:rPr>
                <w:spacing w:val="-1"/>
              </w:rPr>
              <w:t>查，未落实用能指标的高耗能项目，节能审查一律不予批准。</w:t>
            </w:r>
          </w:p>
          <w:p w14:paraId="5D322330">
            <w:pPr>
              <w:pStyle w:val="6"/>
              <w:spacing w:before="47" w:line="233" w:lineRule="auto"/>
              <w:ind w:left="11" w:firstLine="1"/>
              <w:jc w:val="both"/>
            </w:pPr>
            <w:r>
              <w:rPr>
                <w:spacing w:val="-5"/>
              </w:rPr>
              <w:t>完善项目审批和节能审查协调联动机制，对能耗双控形势严峻、用能空</w:t>
            </w:r>
            <w:r>
              <w:rPr>
                <w:spacing w:val="5"/>
              </w:rPr>
              <w:t xml:space="preserve"> </w:t>
            </w:r>
            <w:r>
              <w:rPr>
                <w:spacing w:val="-10"/>
              </w:rPr>
              <w:t>间不足的地区，实行高耗能项目审批、核准、备案和节能审查缓批限批，</w:t>
            </w:r>
            <w:r>
              <w:rPr>
                <w:spacing w:val="11"/>
              </w:rPr>
              <w:t xml:space="preserve"> </w:t>
            </w:r>
            <w:r>
              <w:rPr>
                <w:spacing w:val="-3"/>
              </w:rPr>
              <w:t>确有必要建设的，须实行能耗减量置换。</w:t>
            </w:r>
          </w:p>
        </w:tc>
        <w:tc>
          <w:tcPr>
            <w:tcW w:w="4111" w:type="dxa"/>
            <w:tcBorders>
              <w:bottom w:val="single" w:color="000000" w:sz="10" w:space="0"/>
            </w:tcBorders>
            <w:vAlign w:val="top"/>
          </w:tcPr>
          <w:p w14:paraId="123BC407">
            <w:pPr>
              <w:pStyle w:val="6"/>
              <w:spacing w:before="47" w:line="243" w:lineRule="auto"/>
              <w:ind w:left="9" w:firstLine="4"/>
              <w:rPr>
                <w:sz w:val="20"/>
                <w:szCs w:val="20"/>
              </w:rPr>
            </w:pPr>
            <w:r>
              <w:rPr>
                <w:spacing w:val="-4"/>
              </w:rPr>
              <w:t>项目不属于</w:t>
            </w:r>
            <w:r>
              <w:rPr>
                <w:rFonts w:ascii="Times New Roman" w:hAnsi="Times New Roman" w:eastAsia="Times New Roman" w:cs="Times New Roman"/>
                <w:spacing w:val="-4"/>
              </w:rPr>
              <w:t>“</w:t>
            </w:r>
            <w:r>
              <w:rPr>
                <w:spacing w:val="-4"/>
              </w:rPr>
              <w:t>能耗双控</w:t>
            </w:r>
            <w:r>
              <w:rPr>
                <w:rFonts w:ascii="Times New Roman" w:hAnsi="Times New Roman" w:eastAsia="Times New Roman" w:cs="Times New Roman"/>
                <w:spacing w:val="-4"/>
              </w:rPr>
              <w:t>”</w:t>
            </w:r>
            <w:r>
              <w:rPr>
                <w:spacing w:val="-4"/>
              </w:rPr>
              <w:t>中规定的新建项目，</w:t>
            </w:r>
            <w:r>
              <w:rPr>
                <w:spacing w:val="15"/>
              </w:rPr>
              <w:t xml:space="preserve"> </w:t>
            </w:r>
            <w:r>
              <w:rPr>
                <w:spacing w:val="7"/>
              </w:rPr>
              <w:t>本项目</w:t>
            </w:r>
            <w:r>
              <w:rPr>
                <w:spacing w:val="7"/>
                <w:sz w:val="20"/>
                <w:szCs w:val="20"/>
              </w:rPr>
              <w:t>计划使用</w:t>
            </w:r>
            <w:r>
              <w:rPr>
                <w:rFonts w:ascii="Times New Roman" w:hAnsi="Times New Roman" w:eastAsia="Times New Roman" w:cs="Times New Roman"/>
                <w:spacing w:val="7"/>
                <w:sz w:val="20"/>
                <w:szCs w:val="20"/>
              </w:rPr>
              <w:t>≥80%</w:t>
            </w:r>
            <w:r>
              <w:rPr>
                <w:spacing w:val="7"/>
                <w:sz w:val="20"/>
                <w:szCs w:val="20"/>
              </w:rPr>
              <w:t>可再生能源电力绿电，</w:t>
            </w:r>
            <w:r>
              <w:rPr>
                <w:spacing w:val="12"/>
                <w:sz w:val="20"/>
                <w:szCs w:val="20"/>
              </w:rPr>
              <w:t xml:space="preserve"> </w:t>
            </w:r>
            <w:r>
              <w:rPr>
                <w:spacing w:val="8"/>
                <w:sz w:val="20"/>
                <w:szCs w:val="20"/>
              </w:rPr>
              <w:t>且能效可以达到标杆水平。根据《关于印发</w:t>
            </w:r>
            <w:r>
              <w:rPr>
                <w:rFonts w:ascii="Times New Roman" w:hAnsi="Times New Roman" w:eastAsia="Times New Roman" w:cs="Times New Roman"/>
                <w:spacing w:val="8"/>
                <w:sz w:val="20"/>
                <w:szCs w:val="20"/>
              </w:rPr>
              <w:t>&lt;</w:t>
            </w:r>
            <w:r>
              <w:rPr>
                <w:rFonts w:ascii="Times New Roman" w:hAnsi="Times New Roman" w:eastAsia="Times New Roman" w:cs="Times New Roman"/>
                <w:spacing w:val="14"/>
                <w:w w:val="101"/>
                <w:sz w:val="20"/>
                <w:szCs w:val="20"/>
              </w:rPr>
              <w:t xml:space="preserve"> </w:t>
            </w:r>
            <w:r>
              <w:rPr>
                <w:spacing w:val="9"/>
                <w:sz w:val="20"/>
                <w:szCs w:val="20"/>
              </w:rPr>
              <w:t>内蒙古自治区促进铁合金产业高质量发展政</w:t>
            </w:r>
            <w:r>
              <w:rPr>
                <w:spacing w:val="3"/>
                <w:sz w:val="20"/>
                <w:szCs w:val="20"/>
              </w:rPr>
              <w:t xml:space="preserve">  </w:t>
            </w:r>
            <w:r>
              <w:rPr>
                <w:spacing w:val="4"/>
                <w:sz w:val="20"/>
                <w:szCs w:val="20"/>
              </w:rPr>
              <w:t>策措施</w:t>
            </w:r>
            <w:r>
              <w:rPr>
                <w:rFonts w:ascii="Times New Roman" w:hAnsi="Times New Roman" w:eastAsia="Times New Roman" w:cs="Times New Roman"/>
                <w:spacing w:val="4"/>
                <w:sz w:val="20"/>
                <w:szCs w:val="20"/>
              </w:rPr>
              <w:t>&gt;</w:t>
            </w:r>
            <w:r>
              <w:rPr>
                <w:rFonts w:ascii="Times New Roman" w:hAnsi="Times New Roman" w:eastAsia="Times New Roman" w:cs="Times New Roman"/>
                <w:spacing w:val="-9"/>
                <w:sz w:val="20"/>
                <w:szCs w:val="20"/>
              </w:rPr>
              <w:t xml:space="preserve"> </w:t>
            </w:r>
            <w:r>
              <w:rPr>
                <w:spacing w:val="4"/>
                <w:sz w:val="20"/>
                <w:szCs w:val="20"/>
              </w:rPr>
              <w:t>的通知》（内工信发</w:t>
            </w:r>
            <w:r>
              <w:rPr>
                <w:rFonts w:ascii="Times New Roman" w:hAnsi="Times New Roman" w:eastAsia="Times New Roman" w:cs="Times New Roman"/>
                <w:spacing w:val="4"/>
                <w:sz w:val="20"/>
                <w:szCs w:val="20"/>
              </w:rPr>
              <w:t>[2023]134</w:t>
            </w:r>
            <w:r>
              <w:rPr>
                <w:spacing w:val="4"/>
                <w:sz w:val="20"/>
                <w:szCs w:val="20"/>
              </w:rPr>
              <w:t>号）要</w:t>
            </w:r>
            <w:r>
              <w:rPr>
                <w:sz w:val="20"/>
                <w:szCs w:val="20"/>
              </w:rPr>
              <w:t xml:space="preserve"> </w:t>
            </w:r>
            <w:r>
              <w:rPr>
                <w:spacing w:val="9"/>
                <w:sz w:val="20"/>
                <w:szCs w:val="20"/>
              </w:rPr>
              <w:t>求支持铁合金企业通过建设市场化并网新能</w:t>
            </w:r>
            <w:r>
              <w:rPr>
                <w:spacing w:val="3"/>
                <w:sz w:val="20"/>
                <w:szCs w:val="20"/>
              </w:rPr>
              <w:t xml:space="preserve">  </w:t>
            </w:r>
            <w:r>
              <w:rPr>
                <w:spacing w:val="4"/>
                <w:sz w:val="20"/>
                <w:szCs w:val="20"/>
              </w:rPr>
              <w:t>源项目和绿电市场交易等方式，逐步提高铁合</w:t>
            </w:r>
          </w:p>
        </w:tc>
        <w:tc>
          <w:tcPr>
            <w:tcW w:w="677" w:type="dxa"/>
            <w:tcBorders>
              <w:bottom w:val="single" w:color="000000" w:sz="10" w:space="0"/>
              <w:right w:val="nil"/>
            </w:tcBorders>
            <w:vAlign w:val="top"/>
          </w:tcPr>
          <w:p w14:paraId="0D367211">
            <w:pPr>
              <w:spacing w:line="265" w:lineRule="auto"/>
              <w:rPr>
                <w:rFonts w:ascii="Arial"/>
                <w:sz w:val="21"/>
              </w:rPr>
            </w:pPr>
          </w:p>
          <w:p w14:paraId="7BC019E1">
            <w:pPr>
              <w:spacing w:line="266" w:lineRule="auto"/>
              <w:rPr>
                <w:rFonts w:ascii="Arial"/>
                <w:sz w:val="21"/>
              </w:rPr>
            </w:pPr>
          </w:p>
          <w:p w14:paraId="601A0F2D">
            <w:pPr>
              <w:spacing w:line="266" w:lineRule="auto"/>
              <w:rPr>
                <w:rFonts w:ascii="Arial"/>
                <w:sz w:val="21"/>
              </w:rPr>
            </w:pPr>
          </w:p>
          <w:p w14:paraId="447B6191">
            <w:pPr>
              <w:pStyle w:val="6"/>
              <w:spacing w:before="72" w:line="220" w:lineRule="auto"/>
              <w:ind w:left="128"/>
            </w:pPr>
            <w:r>
              <w:rPr>
                <w:spacing w:val="-5"/>
              </w:rPr>
              <w:t>符合</w:t>
            </w:r>
          </w:p>
        </w:tc>
      </w:tr>
    </w:tbl>
    <w:p w14:paraId="054B8887">
      <w:pPr>
        <w:pStyle w:val="2"/>
      </w:pPr>
    </w:p>
    <w:p w14:paraId="79FB9BBE">
      <w:pPr>
        <w:sectPr>
          <w:footerReference r:id="rId20" w:type="default"/>
          <w:pgSz w:w="16839" w:h="11906"/>
          <w:pgMar w:top="1178" w:right="1418" w:bottom="1212" w:left="1418" w:header="870" w:footer="1025" w:gutter="0"/>
          <w:cols w:space="720" w:num="1"/>
        </w:sectPr>
      </w:pPr>
    </w:p>
    <w:p w14:paraId="6E5AAC78">
      <w:pPr>
        <w:spacing w:line="238" w:lineRule="exact"/>
      </w:pPr>
      <w:r>
        <w:pict>
          <v:shape id="_x0000_s1036" o:spid="_x0000_s1036" style="position:absolute;left:0pt;margin-left:70.9pt;margin-top:59.65pt;height:0.75pt;width:700.1pt;mso-position-horizontal-relative:page;mso-position-vertical-relative:page;z-index:251670528;mso-width-relative:page;mso-height-relative:page;" fillcolor="#000000" filled="t" stroked="f" coordsize="14001,15" o:allowincell="f" path="m0,0l14001,0,14001,14,0,14,0,0xe">
            <v:path/>
            <v:fill on="t" focussize="0,0"/>
            <v:stroke on="f"/>
            <v:imagedata o:title=""/>
            <o:lock v:ext="edit"/>
          </v:shape>
        </w:pict>
      </w:r>
    </w:p>
    <w:tbl>
      <w:tblPr>
        <w:tblStyle w:val="5"/>
        <w:tblW w:w="1400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0"/>
        <w:gridCol w:w="905"/>
        <w:gridCol w:w="6749"/>
        <w:gridCol w:w="4111"/>
        <w:gridCol w:w="677"/>
      </w:tblGrid>
      <w:tr w14:paraId="152BF3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1" w:hRule="atLeast"/>
        </w:trPr>
        <w:tc>
          <w:tcPr>
            <w:tcW w:w="1560" w:type="dxa"/>
            <w:vMerge w:val="restart"/>
            <w:tcBorders>
              <w:top w:val="single" w:color="000000" w:sz="10" w:space="0"/>
              <w:left w:val="nil"/>
              <w:bottom w:val="nil"/>
            </w:tcBorders>
            <w:vAlign w:val="top"/>
          </w:tcPr>
          <w:p w14:paraId="383747D8">
            <w:pPr>
              <w:pStyle w:val="6"/>
              <w:spacing w:before="17" w:line="211" w:lineRule="auto"/>
              <w:ind w:left="482"/>
              <w:rPr>
                <w:rFonts w:ascii="Times New Roman" w:hAnsi="Times New Roman" w:eastAsia="Times New Roman" w:cs="Times New Roman"/>
              </w:rPr>
            </w:pPr>
            <w:r>
              <w:rPr>
                <w:rFonts w:ascii="Times New Roman" w:hAnsi="Times New Roman" w:eastAsia="Times New Roman" w:cs="Times New Roman"/>
                <w:spacing w:val="-1"/>
              </w:rPr>
              <w:t>209</w:t>
            </w:r>
            <w:r>
              <w:rPr>
                <w:spacing w:val="-1"/>
              </w:rPr>
              <w:t>号</w:t>
            </w:r>
            <w:r>
              <w:rPr>
                <w:rFonts w:ascii="Times New Roman" w:hAnsi="Times New Roman" w:eastAsia="Times New Roman" w:cs="Times New Roman"/>
                <w:spacing w:val="-1"/>
              </w:rPr>
              <w:t>)</w:t>
            </w:r>
          </w:p>
        </w:tc>
        <w:tc>
          <w:tcPr>
            <w:tcW w:w="905" w:type="dxa"/>
            <w:tcBorders>
              <w:top w:val="single" w:color="000000" w:sz="10" w:space="0"/>
            </w:tcBorders>
            <w:vAlign w:val="top"/>
          </w:tcPr>
          <w:p w14:paraId="1413D4B7">
            <w:pPr>
              <w:rPr>
                <w:rFonts w:ascii="Arial"/>
                <w:sz w:val="21"/>
              </w:rPr>
            </w:pPr>
          </w:p>
        </w:tc>
        <w:tc>
          <w:tcPr>
            <w:tcW w:w="6749" w:type="dxa"/>
            <w:tcBorders>
              <w:top w:val="single" w:color="000000" w:sz="10" w:space="0"/>
            </w:tcBorders>
            <w:vAlign w:val="top"/>
          </w:tcPr>
          <w:p w14:paraId="589535C0">
            <w:pPr>
              <w:rPr>
                <w:rFonts w:ascii="Arial"/>
                <w:sz w:val="21"/>
              </w:rPr>
            </w:pPr>
          </w:p>
        </w:tc>
        <w:tc>
          <w:tcPr>
            <w:tcW w:w="4111" w:type="dxa"/>
            <w:tcBorders>
              <w:top w:val="single" w:color="000000" w:sz="10" w:space="0"/>
            </w:tcBorders>
            <w:vAlign w:val="top"/>
          </w:tcPr>
          <w:p w14:paraId="5E6C5B9B">
            <w:pPr>
              <w:pStyle w:val="6"/>
              <w:spacing w:before="17" w:line="236" w:lineRule="auto"/>
              <w:ind w:left="11" w:right="4"/>
            </w:pPr>
            <w:r>
              <w:rPr>
                <w:spacing w:val="4"/>
                <w:sz w:val="20"/>
                <w:szCs w:val="20"/>
              </w:rPr>
              <w:t>金企业可再生能源消纳比例。可再生能源电力</w:t>
            </w:r>
            <w:r>
              <w:rPr>
                <w:spacing w:val="8"/>
                <w:sz w:val="20"/>
                <w:szCs w:val="20"/>
              </w:rPr>
              <w:t xml:space="preserve"> 使用比例达到</w:t>
            </w:r>
            <w:r>
              <w:rPr>
                <w:rFonts w:ascii="Times New Roman" w:hAnsi="Times New Roman" w:eastAsia="Times New Roman" w:cs="Times New Roman"/>
                <w:spacing w:val="8"/>
                <w:sz w:val="20"/>
                <w:szCs w:val="20"/>
              </w:rPr>
              <w:t>60%</w:t>
            </w:r>
            <w:r>
              <w:rPr>
                <w:spacing w:val="8"/>
                <w:sz w:val="20"/>
                <w:szCs w:val="20"/>
              </w:rPr>
              <w:t>以上且能效达到标杆水平  的新建铁合金项目，可不进行产能置换</w:t>
            </w:r>
            <w:r>
              <w:rPr>
                <w:spacing w:val="8"/>
              </w:rPr>
              <w:t>，不</w:t>
            </w:r>
            <w:r>
              <w:rPr>
                <w:spacing w:val="11"/>
              </w:rPr>
              <w:t xml:space="preserve"> </w:t>
            </w:r>
            <w:r>
              <w:rPr>
                <w:spacing w:val="-1"/>
              </w:rPr>
              <w:t>属于节能约束项目。</w:t>
            </w:r>
          </w:p>
        </w:tc>
        <w:tc>
          <w:tcPr>
            <w:tcW w:w="677" w:type="dxa"/>
            <w:tcBorders>
              <w:top w:val="single" w:color="000000" w:sz="10" w:space="0"/>
              <w:right w:val="nil"/>
            </w:tcBorders>
            <w:vAlign w:val="top"/>
          </w:tcPr>
          <w:p w14:paraId="375AFF3E">
            <w:pPr>
              <w:rPr>
                <w:rFonts w:ascii="Arial"/>
                <w:sz w:val="21"/>
              </w:rPr>
            </w:pPr>
          </w:p>
        </w:tc>
      </w:tr>
      <w:tr w14:paraId="43C818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1" w:hRule="atLeast"/>
        </w:trPr>
        <w:tc>
          <w:tcPr>
            <w:tcW w:w="1560" w:type="dxa"/>
            <w:vMerge w:val="continue"/>
            <w:tcBorders>
              <w:top w:val="nil"/>
              <w:left w:val="nil"/>
              <w:bottom w:val="nil"/>
            </w:tcBorders>
            <w:vAlign w:val="top"/>
          </w:tcPr>
          <w:p w14:paraId="4EBB57F2">
            <w:pPr>
              <w:rPr>
                <w:rFonts w:ascii="Arial"/>
                <w:sz w:val="21"/>
              </w:rPr>
            </w:pPr>
          </w:p>
        </w:tc>
        <w:tc>
          <w:tcPr>
            <w:tcW w:w="905" w:type="dxa"/>
            <w:vAlign w:val="top"/>
          </w:tcPr>
          <w:p w14:paraId="5B8BE700">
            <w:pPr>
              <w:spacing w:line="261" w:lineRule="auto"/>
              <w:rPr>
                <w:rFonts w:ascii="Arial"/>
                <w:sz w:val="21"/>
              </w:rPr>
            </w:pPr>
          </w:p>
          <w:p w14:paraId="7B398057">
            <w:pPr>
              <w:spacing w:line="262" w:lineRule="auto"/>
              <w:rPr>
                <w:rFonts w:ascii="Arial"/>
                <w:sz w:val="21"/>
              </w:rPr>
            </w:pPr>
          </w:p>
          <w:p w14:paraId="0976A008">
            <w:pPr>
              <w:spacing w:line="262" w:lineRule="auto"/>
              <w:rPr>
                <w:rFonts w:ascii="Arial"/>
                <w:sz w:val="21"/>
              </w:rPr>
            </w:pPr>
          </w:p>
          <w:p w14:paraId="4A6CECC6">
            <w:pPr>
              <w:spacing w:line="262" w:lineRule="auto"/>
              <w:rPr>
                <w:rFonts w:ascii="Arial"/>
                <w:sz w:val="21"/>
              </w:rPr>
            </w:pPr>
          </w:p>
          <w:p w14:paraId="6DEA68B9">
            <w:pPr>
              <w:pStyle w:val="6"/>
              <w:spacing w:before="71" w:line="220" w:lineRule="auto"/>
              <w:ind w:left="17"/>
            </w:pPr>
            <w:r>
              <w:rPr>
                <w:spacing w:val="-2"/>
              </w:rPr>
              <w:t>控制高耗</w:t>
            </w:r>
          </w:p>
          <w:p w14:paraId="431B32CB">
            <w:pPr>
              <w:pStyle w:val="6"/>
              <w:spacing w:before="23" w:line="220" w:lineRule="auto"/>
              <w:ind w:left="27"/>
            </w:pPr>
            <w:r>
              <w:rPr>
                <w:spacing w:val="-5"/>
              </w:rPr>
              <w:t>能行业产</w:t>
            </w:r>
          </w:p>
          <w:p w14:paraId="3261E8EE">
            <w:pPr>
              <w:pStyle w:val="6"/>
              <w:spacing w:before="23" w:line="220" w:lineRule="auto"/>
              <w:ind w:left="137"/>
            </w:pPr>
            <w:r>
              <w:rPr>
                <w:spacing w:val="-6"/>
              </w:rPr>
              <w:t>能规模</w:t>
            </w:r>
          </w:p>
        </w:tc>
        <w:tc>
          <w:tcPr>
            <w:tcW w:w="6749" w:type="dxa"/>
            <w:vAlign w:val="top"/>
          </w:tcPr>
          <w:p w14:paraId="33977A18">
            <w:pPr>
              <w:spacing w:line="475" w:lineRule="auto"/>
              <w:rPr>
                <w:rFonts w:ascii="Arial"/>
                <w:sz w:val="21"/>
              </w:rPr>
            </w:pPr>
          </w:p>
          <w:p w14:paraId="6740A21E">
            <w:pPr>
              <w:pStyle w:val="6"/>
              <w:spacing w:before="72" w:line="237" w:lineRule="auto"/>
              <w:ind w:left="10" w:firstLine="3"/>
              <w:jc w:val="both"/>
            </w:pPr>
            <w:r>
              <w:rPr>
                <w:spacing w:val="-5"/>
              </w:rPr>
              <w:t>从</w:t>
            </w:r>
            <w:r>
              <w:rPr>
                <w:rFonts w:ascii="Times New Roman" w:hAnsi="Times New Roman" w:eastAsia="Times New Roman" w:cs="Times New Roman"/>
                <w:spacing w:val="-5"/>
              </w:rPr>
              <w:t>2021</w:t>
            </w:r>
            <w:r>
              <w:rPr>
                <w:spacing w:val="-5"/>
              </w:rPr>
              <w:t>年起，不再审批焦炭（兰炭）、电石、聚氯乙烯（</w:t>
            </w:r>
            <w:r>
              <w:rPr>
                <w:rFonts w:ascii="Times New Roman" w:hAnsi="Times New Roman" w:eastAsia="Times New Roman" w:cs="Times New Roman"/>
                <w:spacing w:val="-5"/>
              </w:rPr>
              <w:t>PVC</w:t>
            </w:r>
            <w:r>
              <w:rPr>
                <w:spacing w:val="-5"/>
              </w:rPr>
              <w:t>）、合成</w:t>
            </w:r>
            <w:r>
              <w:rPr>
                <w:spacing w:val="16"/>
              </w:rPr>
              <w:t xml:space="preserve"> </w:t>
            </w:r>
            <w:r>
              <w:rPr>
                <w:spacing w:val="-5"/>
              </w:rPr>
              <w:t>氨（尿素）、甲醇、乙二醇、烧碱、纯碱（《西部地区</w:t>
            </w:r>
            <w:r>
              <w:rPr>
                <w:spacing w:val="-6"/>
              </w:rPr>
              <w:t>鼓励类产业目录</w:t>
            </w:r>
            <w:r>
              <w:t xml:space="preserve"> </w:t>
            </w:r>
            <w:r>
              <w:rPr>
                <w:spacing w:val="-15"/>
              </w:rPr>
              <w:t>（</w:t>
            </w:r>
            <w:r>
              <w:rPr>
                <w:rFonts w:ascii="Times New Roman" w:hAnsi="Times New Roman" w:eastAsia="Times New Roman" w:cs="Times New Roman"/>
                <w:spacing w:val="-15"/>
              </w:rPr>
              <w:t>2020</w:t>
            </w:r>
            <w:r>
              <w:rPr>
                <w:spacing w:val="-15"/>
              </w:rPr>
              <w:t>年本）》中内蒙古鼓励类项目除外）、磷铵、黄磷、水泥（熟</w:t>
            </w:r>
            <w:r>
              <w:rPr>
                <w:spacing w:val="-16"/>
              </w:rPr>
              <w:t>料）、</w:t>
            </w:r>
            <w:r>
              <w:t xml:space="preserve"> </w:t>
            </w:r>
            <w:r>
              <w:rPr>
                <w:spacing w:val="-10"/>
              </w:rPr>
              <w:t>平板玻璃、超高功率以下石墨电极、钢铁（已进入产能置换公示阶段的，</w:t>
            </w:r>
            <w:r>
              <w:rPr>
                <w:spacing w:val="12"/>
              </w:rPr>
              <w:t xml:space="preserve"> </w:t>
            </w:r>
            <w:r>
              <w:rPr>
                <w:spacing w:val="-5"/>
              </w:rPr>
              <w:t>按国家规定执行）、铁合金、电解铝、氧化铝（</w:t>
            </w:r>
            <w:r>
              <w:rPr>
                <w:spacing w:val="-6"/>
              </w:rPr>
              <w:t>高铝粉煤灰提取氧化铝</w:t>
            </w:r>
            <w:r>
              <w:t xml:space="preserve"> </w:t>
            </w:r>
            <w:r>
              <w:rPr>
                <w:spacing w:val="-5"/>
              </w:rPr>
              <w:t>除外）、蓝宝石、无下游转化的多晶硅、单晶硅</w:t>
            </w:r>
            <w:r>
              <w:rPr>
                <w:spacing w:val="-6"/>
              </w:rPr>
              <w:t>等新增产能项目，确有</w:t>
            </w:r>
            <w:r>
              <w:t xml:space="preserve"> </w:t>
            </w:r>
            <w:r>
              <w:rPr>
                <w:spacing w:val="-3"/>
              </w:rPr>
              <w:t>必要建设的，须在区内实施产能和能耗减量置换。</w:t>
            </w:r>
          </w:p>
        </w:tc>
        <w:tc>
          <w:tcPr>
            <w:tcW w:w="4111" w:type="dxa"/>
            <w:vAlign w:val="top"/>
          </w:tcPr>
          <w:p w14:paraId="79C640B5">
            <w:pPr>
              <w:pStyle w:val="6"/>
              <w:spacing w:before="34" w:line="244" w:lineRule="auto"/>
              <w:ind w:left="9" w:firstLine="2"/>
              <w:jc w:val="both"/>
              <w:rPr>
                <w:sz w:val="20"/>
                <w:szCs w:val="20"/>
              </w:rPr>
            </w:pPr>
            <w:r>
              <w:rPr>
                <w:spacing w:val="-7"/>
              </w:rPr>
              <w:t>本项目不属于上述铁合金项目，已取得苏尼</w:t>
            </w:r>
            <w:r>
              <w:t xml:space="preserve"> </w:t>
            </w:r>
            <w:r>
              <w:rPr>
                <w:spacing w:val="-5"/>
              </w:rPr>
              <w:t>特右旗发展和改革委员会项目备案告知书。</w:t>
            </w:r>
            <w:r>
              <w:rPr>
                <w:spacing w:val="10"/>
              </w:rPr>
              <w:t xml:space="preserve"> </w:t>
            </w:r>
            <w:r>
              <w:rPr>
                <w:spacing w:val="5"/>
              </w:rPr>
              <w:t>本项目</w:t>
            </w:r>
            <w:r>
              <w:rPr>
                <w:spacing w:val="5"/>
                <w:sz w:val="20"/>
                <w:szCs w:val="20"/>
              </w:rPr>
              <w:t>计划使用</w:t>
            </w:r>
            <w:r>
              <w:rPr>
                <w:rFonts w:ascii="Times New Roman" w:hAnsi="Times New Roman" w:eastAsia="Times New Roman" w:cs="Times New Roman"/>
                <w:spacing w:val="5"/>
                <w:sz w:val="20"/>
                <w:szCs w:val="20"/>
              </w:rPr>
              <w:t>≥,80%</w:t>
            </w:r>
            <w:r>
              <w:rPr>
                <w:spacing w:val="5"/>
                <w:sz w:val="20"/>
                <w:szCs w:val="20"/>
              </w:rPr>
              <w:t>可再生能源电力绿电，</w:t>
            </w:r>
            <w:r>
              <w:rPr>
                <w:sz w:val="20"/>
                <w:szCs w:val="20"/>
              </w:rPr>
              <w:t xml:space="preserve"> </w:t>
            </w:r>
            <w:r>
              <w:rPr>
                <w:spacing w:val="6"/>
                <w:sz w:val="20"/>
                <w:szCs w:val="20"/>
              </w:rPr>
              <w:t>且能效可以达到标杆水平。根据《关于印发</w:t>
            </w:r>
            <w:r>
              <w:rPr>
                <w:rFonts w:ascii="Times New Roman" w:hAnsi="Times New Roman" w:eastAsia="Times New Roman" w:cs="Times New Roman"/>
                <w:spacing w:val="6"/>
                <w:sz w:val="20"/>
                <w:szCs w:val="20"/>
              </w:rPr>
              <w:t xml:space="preserve">&lt;  </w:t>
            </w:r>
            <w:r>
              <w:rPr>
                <w:spacing w:val="13"/>
                <w:sz w:val="20"/>
                <w:szCs w:val="20"/>
              </w:rPr>
              <w:t>内蒙古自治区促进铁合金产业高质量发展政</w:t>
            </w:r>
            <w:r>
              <w:rPr>
                <w:sz w:val="20"/>
                <w:szCs w:val="20"/>
              </w:rPr>
              <w:t xml:space="preserve"> </w:t>
            </w:r>
            <w:r>
              <w:rPr>
                <w:spacing w:val="3"/>
                <w:sz w:val="20"/>
                <w:szCs w:val="20"/>
              </w:rPr>
              <w:t>策措施</w:t>
            </w:r>
            <w:r>
              <w:rPr>
                <w:rFonts w:ascii="Times New Roman" w:hAnsi="Times New Roman" w:eastAsia="Times New Roman" w:cs="Times New Roman"/>
                <w:spacing w:val="3"/>
                <w:sz w:val="20"/>
                <w:szCs w:val="20"/>
              </w:rPr>
              <w:t>&gt;</w:t>
            </w:r>
            <w:r>
              <w:rPr>
                <w:rFonts w:ascii="Times New Roman" w:hAnsi="Times New Roman" w:eastAsia="Times New Roman" w:cs="Times New Roman"/>
                <w:spacing w:val="-25"/>
                <w:sz w:val="20"/>
                <w:szCs w:val="20"/>
              </w:rPr>
              <w:t xml:space="preserve"> </w:t>
            </w:r>
            <w:r>
              <w:rPr>
                <w:spacing w:val="3"/>
                <w:sz w:val="20"/>
                <w:szCs w:val="20"/>
              </w:rPr>
              <w:t>的通知》（内工信发</w:t>
            </w:r>
            <w:r>
              <w:rPr>
                <w:rFonts w:ascii="Times New Roman" w:hAnsi="Times New Roman" w:eastAsia="Times New Roman" w:cs="Times New Roman"/>
                <w:spacing w:val="3"/>
                <w:sz w:val="20"/>
                <w:szCs w:val="20"/>
              </w:rPr>
              <w:t>[2023]134</w:t>
            </w:r>
            <w:r>
              <w:rPr>
                <w:spacing w:val="3"/>
                <w:sz w:val="20"/>
                <w:szCs w:val="20"/>
              </w:rPr>
              <w:t>号）要</w:t>
            </w:r>
            <w:r>
              <w:rPr>
                <w:sz w:val="20"/>
                <w:szCs w:val="20"/>
              </w:rPr>
              <w:t xml:space="preserve"> </w:t>
            </w:r>
            <w:r>
              <w:rPr>
                <w:spacing w:val="13"/>
                <w:sz w:val="20"/>
                <w:szCs w:val="20"/>
              </w:rPr>
              <w:t>求支持铁合金企业通过建设市场化并网新能</w:t>
            </w:r>
            <w:r>
              <w:rPr>
                <w:sz w:val="20"/>
                <w:szCs w:val="20"/>
              </w:rPr>
              <w:t xml:space="preserve"> </w:t>
            </w:r>
            <w:r>
              <w:rPr>
                <w:spacing w:val="2"/>
                <w:sz w:val="20"/>
                <w:szCs w:val="20"/>
              </w:rPr>
              <w:t>源项目和绿电市场交易等方式，逐步提高铁合</w:t>
            </w:r>
            <w:r>
              <w:rPr>
                <w:spacing w:val="6"/>
                <w:sz w:val="20"/>
                <w:szCs w:val="20"/>
              </w:rPr>
              <w:t xml:space="preserve"> </w:t>
            </w:r>
            <w:r>
              <w:rPr>
                <w:spacing w:val="2"/>
                <w:sz w:val="20"/>
                <w:szCs w:val="20"/>
              </w:rPr>
              <w:t>金企业可再生能源消纳比例。可再生能源电力</w:t>
            </w:r>
            <w:r>
              <w:rPr>
                <w:spacing w:val="6"/>
                <w:sz w:val="20"/>
                <w:szCs w:val="20"/>
              </w:rPr>
              <w:t xml:space="preserve"> </w:t>
            </w:r>
            <w:r>
              <w:rPr>
                <w:spacing w:val="14"/>
                <w:sz w:val="20"/>
                <w:szCs w:val="20"/>
              </w:rPr>
              <w:t>使用比例达到</w:t>
            </w:r>
            <w:r>
              <w:rPr>
                <w:rFonts w:ascii="Times New Roman" w:hAnsi="Times New Roman" w:eastAsia="Times New Roman" w:cs="Times New Roman"/>
                <w:spacing w:val="14"/>
                <w:sz w:val="20"/>
                <w:szCs w:val="20"/>
              </w:rPr>
              <w:t>60%</w:t>
            </w:r>
            <w:r>
              <w:rPr>
                <w:spacing w:val="14"/>
                <w:sz w:val="20"/>
                <w:szCs w:val="20"/>
              </w:rPr>
              <w:t>以上且能效达到标杆水平</w:t>
            </w:r>
            <w:r>
              <w:rPr>
                <w:sz w:val="20"/>
                <w:szCs w:val="20"/>
              </w:rPr>
              <w:t xml:space="preserve"> </w:t>
            </w:r>
            <w:r>
              <w:rPr>
                <w:spacing w:val="6"/>
                <w:sz w:val="20"/>
                <w:szCs w:val="20"/>
              </w:rPr>
              <w:t>的新建铁合金项目，可不进行产能置换。</w:t>
            </w:r>
          </w:p>
        </w:tc>
        <w:tc>
          <w:tcPr>
            <w:tcW w:w="677" w:type="dxa"/>
            <w:tcBorders>
              <w:right w:val="nil"/>
            </w:tcBorders>
            <w:vAlign w:val="top"/>
          </w:tcPr>
          <w:p w14:paraId="4AF09AA9">
            <w:pPr>
              <w:spacing w:line="266" w:lineRule="auto"/>
              <w:rPr>
                <w:rFonts w:ascii="Arial"/>
                <w:sz w:val="21"/>
              </w:rPr>
            </w:pPr>
          </w:p>
          <w:p w14:paraId="0ED23504">
            <w:pPr>
              <w:spacing w:line="266" w:lineRule="auto"/>
              <w:rPr>
                <w:rFonts w:ascii="Arial"/>
                <w:sz w:val="21"/>
              </w:rPr>
            </w:pPr>
          </w:p>
          <w:p w14:paraId="7C805E5C">
            <w:pPr>
              <w:spacing w:line="266" w:lineRule="auto"/>
              <w:rPr>
                <w:rFonts w:ascii="Arial"/>
                <w:sz w:val="21"/>
              </w:rPr>
            </w:pPr>
          </w:p>
          <w:p w14:paraId="646CD5C5">
            <w:pPr>
              <w:spacing w:line="266" w:lineRule="auto"/>
              <w:rPr>
                <w:rFonts w:ascii="Arial"/>
                <w:sz w:val="21"/>
              </w:rPr>
            </w:pPr>
          </w:p>
          <w:p w14:paraId="26E0E728">
            <w:pPr>
              <w:spacing w:line="266" w:lineRule="auto"/>
              <w:rPr>
                <w:rFonts w:ascii="Arial"/>
                <w:sz w:val="21"/>
              </w:rPr>
            </w:pPr>
          </w:p>
          <w:p w14:paraId="6615434E">
            <w:pPr>
              <w:pStyle w:val="6"/>
              <w:spacing w:before="72" w:line="220" w:lineRule="auto"/>
              <w:ind w:left="128"/>
            </w:pPr>
            <w:r>
              <w:rPr>
                <w:spacing w:val="-5"/>
              </w:rPr>
              <w:t>符合</w:t>
            </w:r>
          </w:p>
        </w:tc>
      </w:tr>
      <w:tr w14:paraId="195075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6" w:hRule="atLeast"/>
        </w:trPr>
        <w:tc>
          <w:tcPr>
            <w:tcW w:w="1560" w:type="dxa"/>
            <w:vMerge w:val="continue"/>
            <w:tcBorders>
              <w:top w:val="nil"/>
              <w:left w:val="nil"/>
              <w:bottom w:val="nil"/>
            </w:tcBorders>
            <w:vAlign w:val="top"/>
          </w:tcPr>
          <w:p w14:paraId="13168ACD">
            <w:pPr>
              <w:rPr>
                <w:rFonts w:ascii="Arial"/>
                <w:sz w:val="21"/>
              </w:rPr>
            </w:pPr>
          </w:p>
        </w:tc>
        <w:tc>
          <w:tcPr>
            <w:tcW w:w="905" w:type="dxa"/>
            <w:vAlign w:val="top"/>
          </w:tcPr>
          <w:p w14:paraId="36713703">
            <w:pPr>
              <w:spacing w:line="264" w:lineRule="auto"/>
              <w:rPr>
                <w:rFonts w:ascii="Arial"/>
                <w:sz w:val="21"/>
              </w:rPr>
            </w:pPr>
          </w:p>
          <w:p w14:paraId="6391EA1A">
            <w:pPr>
              <w:spacing w:line="264" w:lineRule="auto"/>
              <w:rPr>
                <w:rFonts w:ascii="Arial"/>
                <w:sz w:val="21"/>
              </w:rPr>
            </w:pPr>
          </w:p>
          <w:p w14:paraId="2DD4FE01">
            <w:pPr>
              <w:spacing w:line="264" w:lineRule="auto"/>
              <w:rPr>
                <w:rFonts w:ascii="Arial"/>
                <w:sz w:val="21"/>
              </w:rPr>
            </w:pPr>
          </w:p>
          <w:p w14:paraId="005C12A8">
            <w:pPr>
              <w:spacing w:line="264" w:lineRule="auto"/>
              <w:rPr>
                <w:rFonts w:ascii="Arial"/>
                <w:sz w:val="21"/>
              </w:rPr>
            </w:pPr>
          </w:p>
          <w:p w14:paraId="44350689">
            <w:pPr>
              <w:pStyle w:val="6"/>
              <w:spacing w:before="72" w:line="220" w:lineRule="auto"/>
              <w:ind w:left="18"/>
            </w:pPr>
            <w:r>
              <w:rPr>
                <w:spacing w:val="-2"/>
              </w:rPr>
              <w:t>加快淘汰</w:t>
            </w:r>
          </w:p>
          <w:p w14:paraId="479A61B3">
            <w:pPr>
              <w:pStyle w:val="6"/>
              <w:spacing w:before="23" w:line="221" w:lineRule="auto"/>
              <w:ind w:left="19"/>
            </w:pPr>
            <w:r>
              <w:rPr>
                <w:spacing w:val="-3"/>
              </w:rPr>
              <w:t>化解落后</w:t>
            </w:r>
          </w:p>
          <w:p w14:paraId="68906B70">
            <w:pPr>
              <w:pStyle w:val="6"/>
              <w:spacing w:before="20" w:line="220" w:lineRule="auto"/>
              <w:ind w:left="19"/>
            </w:pPr>
            <w:r>
              <w:rPr>
                <w:spacing w:val="-3"/>
              </w:rPr>
              <w:t>和过剩产</w:t>
            </w:r>
          </w:p>
          <w:p w14:paraId="408D71D0">
            <w:pPr>
              <w:pStyle w:val="6"/>
              <w:spacing w:before="22" w:line="222" w:lineRule="auto"/>
              <w:ind w:left="355"/>
            </w:pPr>
            <w:r>
              <w:t>能</w:t>
            </w:r>
          </w:p>
        </w:tc>
        <w:tc>
          <w:tcPr>
            <w:tcW w:w="6749" w:type="dxa"/>
            <w:vAlign w:val="top"/>
          </w:tcPr>
          <w:p w14:paraId="10E7DD1F">
            <w:pPr>
              <w:spacing w:line="299" w:lineRule="auto"/>
              <w:rPr>
                <w:rFonts w:ascii="Arial"/>
                <w:sz w:val="21"/>
              </w:rPr>
            </w:pPr>
          </w:p>
          <w:p w14:paraId="5F208CCD">
            <w:pPr>
              <w:spacing w:line="299" w:lineRule="auto"/>
              <w:rPr>
                <w:rFonts w:ascii="Arial"/>
                <w:sz w:val="21"/>
              </w:rPr>
            </w:pPr>
          </w:p>
          <w:p w14:paraId="589213B3">
            <w:pPr>
              <w:spacing w:line="299" w:lineRule="auto"/>
              <w:rPr>
                <w:rFonts w:ascii="Arial"/>
                <w:sz w:val="21"/>
              </w:rPr>
            </w:pPr>
          </w:p>
          <w:p w14:paraId="139ACBA3">
            <w:pPr>
              <w:spacing w:line="300" w:lineRule="auto"/>
              <w:rPr>
                <w:rFonts w:ascii="Arial"/>
                <w:sz w:val="21"/>
              </w:rPr>
            </w:pPr>
          </w:p>
          <w:p w14:paraId="28DED222">
            <w:pPr>
              <w:pStyle w:val="6"/>
              <w:spacing w:before="72" w:line="233" w:lineRule="auto"/>
              <w:ind w:left="10"/>
              <w:jc w:val="both"/>
            </w:pPr>
            <w:r>
              <w:rPr>
                <w:spacing w:val="1"/>
              </w:rPr>
              <w:t>铁合金：</w:t>
            </w:r>
            <w:r>
              <w:rPr>
                <w:rFonts w:ascii="Times New Roman" w:hAnsi="Times New Roman" w:eastAsia="Times New Roman" w:cs="Times New Roman"/>
                <w:spacing w:val="1"/>
              </w:rPr>
              <w:t>25000</w:t>
            </w:r>
            <w:r>
              <w:rPr>
                <w:spacing w:val="1"/>
              </w:rPr>
              <w:t>千伏安及以下电炉（特种</w:t>
            </w:r>
            <w:r>
              <w:t xml:space="preserve">铁合金除外，具体特种铁合金 </w:t>
            </w:r>
            <w:r>
              <w:rPr>
                <w:spacing w:val="-2"/>
              </w:rPr>
              <w:t>种类由工信厅认定</w:t>
            </w:r>
            <w:r>
              <w:rPr>
                <w:spacing w:val="-14"/>
              </w:rPr>
              <w:t>），</w:t>
            </w:r>
            <w:r>
              <w:rPr>
                <w:spacing w:val="-2"/>
              </w:rPr>
              <w:t>原则上</w:t>
            </w:r>
            <w:r>
              <w:rPr>
                <w:rFonts w:ascii="Times New Roman" w:hAnsi="Times New Roman" w:eastAsia="Times New Roman" w:cs="Times New Roman"/>
                <w:spacing w:val="-2"/>
              </w:rPr>
              <w:t>2022</w:t>
            </w:r>
            <w:r>
              <w:rPr>
                <w:spacing w:val="-2"/>
              </w:rPr>
              <w:t>年底前全部退出；符合条件的可以按</w:t>
            </w:r>
            <w:r>
              <w:rPr>
                <w:spacing w:val="1"/>
              </w:rPr>
              <w:t xml:space="preserve"> </w:t>
            </w:r>
            <w:r>
              <w:rPr>
                <w:rFonts w:ascii="Times New Roman" w:hAnsi="Times New Roman" w:eastAsia="Times New Roman" w:cs="Times New Roman"/>
                <w:spacing w:val="-1"/>
              </w:rPr>
              <w:t>1.25:1</w:t>
            </w:r>
            <w:r>
              <w:rPr>
                <w:spacing w:val="-1"/>
              </w:rPr>
              <w:t>实施产能减量置换。</w:t>
            </w:r>
          </w:p>
        </w:tc>
        <w:tc>
          <w:tcPr>
            <w:tcW w:w="4111" w:type="dxa"/>
            <w:vAlign w:val="top"/>
          </w:tcPr>
          <w:p w14:paraId="52110D50">
            <w:pPr>
              <w:pStyle w:val="6"/>
              <w:spacing w:before="41" w:line="243" w:lineRule="auto"/>
              <w:ind w:left="9" w:right="1" w:firstLine="2"/>
              <w:jc w:val="both"/>
              <w:rPr>
                <w:sz w:val="20"/>
                <w:szCs w:val="20"/>
              </w:rPr>
            </w:pPr>
            <w:r>
              <w:rPr>
                <w:spacing w:val="3"/>
              </w:rPr>
              <w:t>本次新建</w:t>
            </w:r>
            <w:r>
              <w:rPr>
                <w:rFonts w:ascii="Times New Roman" w:hAnsi="Times New Roman" w:eastAsia="Times New Roman" w:cs="Times New Roman"/>
                <w:spacing w:val="3"/>
              </w:rPr>
              <w:t>6</w:t>
            </w:r>
            <w:r>
              <w:rPr>
                <w:spacing w:val="3"/>
              </w:rPr>
              <w:t>台</w:t>
            </w:r>
            <w:r>
              <w:rPr>
                <w:rFonts w:ascii="Times New Roman" w:hAnsi="Times New Roman" w:eastAsia="Times New Roman" w:cs="Times New Roman"/>
                <w:spacing w:val="3"/>
              </w:rPr>
              <w:t>36</w:t>
            </w:r>
            <w:r>
              <w:rPr>
                <w:rFonts w:ascii="Times New Roman" w:hAnsi="Times New Roman" w:eastAsia="Times New Roman" w:cs="Times New Roman"/>
              </w:rPr>
              <w:t>MW</w:t>
            </w:r>
            <w:r>
              <w:rPr>
                <w:spacing w:val="3"/>
              </w:rPr>
              <w:t xml:space="preserve">全密闭式矿热电炉生产 </w:t>
            </w:r>
            <w:r>
              <w:t>锰硅合金</w:t>
            </w:r>
            <w:r>
              <w:rPr>
                <w:spacing w:val="-19"/>
              </w:rPr>
              <w:t>，＞</w:t>
            </w:r>
            <w:r>
              <w:rPr>
                <w:rFonts w:ascii="Times New Roman" w:hAnsi="Times New Roman" w:eastAsia="Times New Roman" w:cs="Times New Roman"/>
              </w:rPr>
              <w:t>25000KVA</w:t>
            </w:r>
            <w:r>
              <w:rPr>
                <w:rFonts w:ascii="Times New Roman" w:hAnsi="Times New Roman" w:eastAsia="Times New Roman" w:cs="Times New Roman"/>
                <w:spacing w:val="-31"/>
              </w:rPr>
              <w:t xml:space="preserve"> </w:t>
            </w:r>
            <w:r>
              <w:t xml:space="preserve">，已取得苏尼特右 </w:t>
            </w:r>
            <w:r>
              <w:rPr>
                <w:spacing w:val="-5"/>
              </w:rPr>
              <w:t>旗发展和改革委员会项目备案告知书。本项</w:t>
            </w:r>
            <w:r>
              <w:rPr>
                <w:spacing w:val="8"/>
              </w:rPr>
              <w:t xml:space="preserve"> </w:t>
            </w:r>
            <w:r>
              <w:rPr>
                <w:spacing w:val="9"/>
              </w:rPr>
              <w:t>目</w:t>
            </w:r>
            <w:r>
              <w:rPr>
                <w:spacing w:val="9"/>
                <w:sz w:val="20"/>
                <w:szCs w:val="20"/>
              </w:rPr>
              <w:t>计划使用</w:t>
            </w:r>
            <w:r>
              <w:rPr>
                <w:rFonts w:ascii="Times New Roman" w:hAnsi="Times New Roman" w:eastAsia="Times New Roman" w:cs="Times New Roman"/>
                <w:spacing w:val="9"/>
                <w:sz w:val="20"/>
                <w:szCs w:val="20"/>
              </w:rPr>
              <w:t>≥80%</w:t>
            </w:r>
            <w:r>
              <w:rPr>
                <w:spacing w:val="9"/>
                <w:sz w:val="20"/>
                <w:szCs w:val="20"/>
              </w:rPr>
              <w:t>可再生能源电力绿电，且能</w:t>
            </w:r>
            <w:r>
              <w:rPr>
                <w:spacing w:val="5"/>
                <w:sz w:val="20"/>
                <w:szCs w:val="20"/>
              </w:rPr>
              <w:t xml:space="preserve"> </w:t>
            </w:r>
            <w:r>
              <w:rPr>
                <w:spacing w:val="7"/>
                <w:sz w:val="20"/>
                <w:szCs w:val="20"/>
              </w:rPr>
              <w:t>效可以达到标杆水平。根据《关于印发</w:t>
            </w:r>
            <w:r>
              <w:rPr>
                <w:rFonts w:ascii="Times New Roman" w:hAnsi="Times New Roman" w:eastAsia="Times New Roman" w:cs="Times New Roman"/>
                <w:spacing w:val="7"/>
                <w:sz w:val="20"/>
                <w:szCs w:val="20"/>
              </w:rPr>
              <w:t>&lt;</w:t>
            </w:r>
            <w:r>
              <w:rPr>
                <w:rFonts w:ascii="Times New Roman" w:hAnsi="Times New Roman" w:eastAsia="Times New Roman" w:cs="Times New Roman"/>
                <w:spacing w:val="-15"/>
                <w:sz w:val="20"/>
                <w:szCs w:val="20"/>
              </w:rPr>
              <w:t xml:space="preserve"> </w:t>
            </w:r>
            <w:r>
              <w:rPr>
                <w:spacing w:val="7"/>
                <w:sz w:val="20"/>
                <w:szCs w:val="20"/>
              </w:rPr>
              <w:t>内蒙</w:t>
            </w:r>
            <w:r>
              <w:rPr>
                <w:sz w:val="20"/>
                <w:szCs w:val="20"/>
              </w:rPr>
              <w:t xml:space="preserve"> </w:t>
            </w:r>
            <w:r>
              <w:rPr>
                <w:spacing w:val="15"/>
                <w:sz w:val="20"/>
                <w:szCs w:val="20"/>
              </w:rPr>
              <w:t>古自治区促进铁合金产业高质量发展政策措</w:t>
            </w:r>
            <w:r>
              <w:rPr>
                <w:spacing w:val="6"/>
                <w:sz w:val="20"/>
                <w:szCs w:val="20"/>
              </w:rPr>
              <w:t xml:space="preserve"> </w:t>
            </w:r>
            <w:r>
              <w:rPr>
                <w:spacing w:val="5"/>
                <w:sz w:val="20"/>
                <w:szCs w:val="20"/>
              </w:rPr>
              <w:t>施</w:t>
            </w:r>
            <w:r>
              <w:rPr>
                <w:rFonts w:ascii="Times New Roman" w:hAnsi="Times New Roman" w:eastAsia="Times New Roman" w:cs="Times New Roman"/>
                <w:spacing w:val="5"/>
                <w:sz w:val="20"/>
                <w:szCs w:val="20"/>
              </w:rPr>
              <w:t>&gt;</w:t>
            </w:r>
            <w:r>
              <w:rPr>
                <w:rFonts w:ascii="Times New Roman" w:hAnsi="Times New Roman" w:eastAsia="Times New Roman" w:cs="Times New Roman"/>
                <w:spacing w:val="-24"/>
                <w:sz w:val="20"/>
                <w:szCs w:val="20"/>
              </w:rPr>
              <w:t xml:space="preserve"> </w:t>
            </w:r>
            <w:r>
              <w:rPr>
                <w:spacing w:val="5"/>
                <w:sz w:val="20"/>
                <w:szCs w:val="20"/>
              </w:rPr>
              <w:t>的通知》（内工信发</w:t>
            </w:r>
            <w:r>
              <w:rPr>
                <w:rFonts w:ascii="Times New Roman" w:hAnsi="Times New Roman" w:eastAsia="Times New Roman" w:cs="Times New Roman"/>
                <w:spacing w:val="5"/>
                <w:sz w:val="20"/>
                <w:szCs w:val="20"/>
              </w:rPr>
              <w:t>[2023]13</w:t>
            </w:r>
            <w:r>
              <w:rPr>
                <w:rFonts w:ascii="Times New Roman" w:hAnsi="Times New Roman" w:eastAsia="Times New Roman" w:cs="Times New Roman"/>
                <w:spacing w:val="4"/>
                <w:sz w:val="20"/>
                <w:szCs w:val="20"/>
              </w:rPr>
              <w:t>4</w:t>
            </w:r>
            <w:r>
              <w:rPr>
                <w:spacing w:val="4"/>
                <w:sz w:val="20"/>
                <w:szCs w:val="20"/>
              </w:rPr>
              <w:t>号）要求支</w:t>
            </w:r>
            <w:r>
              <w:rPr>
                <w:sz w:val="20"/>
                <w:szCs w:val="20"/>
              </w:rPr>
              <w:t xml:space="preserve"> </w:t>
            </w:r>
            <w:r>
              <w:rPr>
                <w:spacing w:val="15"/>
                <w:sz w:val="20"/>
                <w:szCs w:val="20"/>
              </w:rPr>
              <w:t>持铁合金企业通过建设市场化并网新能源项</w:t>
            </w:r>
            <w:r>
              <w:rPr>
                <w:spacing w:val="6"/>
                <w:sz w:val="20"/>
                <w:szCs w:val="20"/>
              </w:rPr>
              <w:t xml:space="preserve"> </w:t>
            </w:r>
            <w:r>
              <w:rPr>
                <w:spacing w:val="4"/>
                <w:sz w:val="20"/>
                <w:szCs w:val="20"/>
              </w:rPr>
              <w:t>目和绿电市场交易等方式，逐步提高铁合金企</w:t>
            </w:r>
            <w:r>
              <w:rPr>
                <w:spacing w:val="11"/>
                <w:sz w:val="20"/>
                <w:szCs w:val="20"/>
              </w:rPr>
              <w:t xml:space="preserve"> </w:t>
            </w:r>
            <w:r>
              <w:rPr>
                <w:spacing w:val="4"/>
                <w:sz w:val="20"/>
                <w:szCs w:val="20"/>
              </w:rPr>
              <w:t>业可再生能源消纳比例。可再生能源电力使用</w:t>
            </w:r>
            <w:r>
              <w:rPr>
                <w:spacing w:val="11"/>
                <w:sz w:val="20"/>
                <w:szCs w:val="20"/>
              </w:rPr>
              <w:t xml:space="preserve"> </w:t>
            </w:r>
            <w:r>
              <w:rPr>
                <w:spacing w:val="16"/>
                <w:sz w:val="20"/>
                <w:szCs w:val="20"/>
              </w:rPr>
              <w:t>比例达到</w:t>
            </w:r>
            <w:r>
              <w:rPr>
                <w:rFonts w:ascii="Times New Roman" w:hAnsi="Times New Roman" w:eastAsia="Times New Roman" w:cs="Times New Roman"/>
                <w:spacing w:val="16"/>
                <w:sz w:val="20"/>
                <w:szCs w:val="20"/>
              </w:rPr>
              <w:t>60%</w:t>
            </w:r>
            <w:r>
              <w:rPr>
                <w:spacing w:val="16"/>
                <w:sz w:val="20"/>
                <w:szCs w:val="20"/>
              </w:rPr>
              <w:t>以上且能效达到标杆水平的新</w:t>
            </w:r>
            <w:r>
              <w:rPr>
                <w:spacing w:val="4"/>
                <w:sz w:val="20"/>
                <w:szCs w:val="20"/>
              </w:rPr>
              <w:t xml:space="preserve"> </w:t>
            </w:r>
            <w:r>
              <w:rPr>
                <w:spacing w:val="8"/>
                <w:sz w:val="20"/>
                <w:szCs w:val="20"/>
              </w:rPr>
              <w:t>建铁合金项目，可不进行产能置换。</w:t>
            </w:r>
          </w:p>
        </w:tc>
        <w:tc>
          <w:tcPr>
            <w:tcW w:w="677" w:type="dxa"/>
            <w:tcBorders>
              <w:right w:val="nil"/>
            </w:tcBorders>
            <w:vAlign w:val="top"/>
          </w:tcPr>
          <w:p w14:paraId="11A58FAF">
            <w:pPr>
              <w:spacing w:line="246" w:lineRule="auto"/>
              <w:rPr>
                <w:rFonts w:ascii="Arial"/>
                <w:sz w:val="21"/>
              </w:rPr>
            </w:pPr>
          </w:p>
          <w:p w14:paraId="6DD40BB0">
            <w:pPr>
              <w:spacing w:line="247" w:lineRule="auto"/>
              <w:rPr>
                <w:rFonts w:ascii="Arial"/>
                <w:sz w:val="21"/>
              </w:rPr>
            </w:pPr>
          </w:p>
          <w:p w14:paraId="42BC1D2B">
            <w:pPr>
              <w:spacing w:line="247" w:lineRule="auto"/>
              <w:rPr>
                <w:rFonts w:ascii="Arial"/>
                <w:sz w:val="21"/>
              </w:rPr>
            </w:pPr>
          </w:p>
          <w:p w14:paraId="568FD26F">
            <w:pPr>
              <w:spacing w:line="247" w:lineRule="auto"/>
              <w:rPr>
                <w:rFonts w:ascii="Arial"/>
                <w:sz w:val="21"/>
              </w:rPr>
            </w:pPr>
          </w:p>
          <w:p w14:paraId="6D837997">
            <w:pPr>
              <w:spacing w:line="247" w:lineRule="auto"/>
              <w:rPr>
                <w:rFonts w:ascii="Arial"/>
                <w:sz w:val="21"/>
              </w:rPr>
            </w:pPr>
          </w:p>
          <w:p w14:paraId="7D7CAECF">
            <w:pPr>
              <w:spacing w:line="247" w:lineRule="auto"/>
              <w:rPr>
                <w:rFonts w:ascii="Arial"/>
                <w:sz w:val="21"/>
              </w:rPr>
            </w:pPr>
          </w:p>
          <w:p w14:paraId="7EA10CE0">
            <w:pPr>
              <w:pStyle w:val="6"/>
              <w:spacing w:before="71" w:line="220" w:lineRule="auto"/>
              <w:ind w:left="128"/>
            </w:pPr>
            <w:r>
              <w:rPr>
                <w:spacing w:val="-5"/>
              </w:rPr>
              <w:t>符合</w:t>
            </w:r>
          </w:p>
        </w:tc>
      </w:tr>
      <w:tr w14:paraId="2FD82A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22" w:hRule="atLeast"/>
        </w:trPr>
        <w:tc>
          <w:tcPr>
            <w:tcW w:w="1560" w:type="dxa"/>
            <w:vMerge w:val="continue"/>
            <w:tcBorders>
              <w:top w:val="nil"/>
              <w:left w:val="nil"/>
              <w:bottom w:val="single" w:color="000000" w:sz="10" w:space="0"/>
            </w:tcBorders>
            <w:vAlign w:val="top"/>
          </w:tcPr>
          <w:p w14:paraId="0BB0F7A9">
            <w:pPr>
              <w:rPr>
                <w:rFonts w:ascii="Arial"/>
                <w:sz w:val="21"/>
              </w:rPr>
            </w:pPr>
          </w:p>
        </w:tc>
        <w:tc>
          <w:tcPr>
            <w:tcW w:w="905" w:type="dxa"/>
            <w:tcBorders>
              <w:bottom w:val="single" w:color="000000" w:sz="10" w:space="0"/>
            </w:tcBorders>
            <w:vAlign w:val="top"/>
          </w:tcPr>
          <w:p w14:paraId="0DFF0158">
            <w:pPr>
              <w:spacing w:line="443" w:lineRule="auto"/>
              <w:rPr>
                <w:rFonts w:ascii="Arial"/>
                <w:sz w:val="21"/>
              </w:rPr>
            </w:pPr>
          </w:p>
          <w:p w14:paraId="7FA1B494">
            <w:pPr>
              <w:pStyle w:val="6"/>
              <w:spacing w:before="72" w:line="229" w:lineRule="auto"/>
              <w:ind w:left="241" w:right="9" w:hanging="223"/>
            </w:pPr>
            <w:r>
              <w:rPr>
                <w:spacing w:val="-2"/>
              </w:rPr>
              <w:t>节能审查</w:t>
            </w:r>
            <w:r>
              <w:t xml:space="preserve"> </w:t>
            </w:r>
            <w:r>
              <w:rPr>
                <w:spacing w:val="-7"/>
              </w:rPr>
              <w:t>约束</w:t>
            </w:r>
          </w:p>
        </w:tc>
        <w:tc>
          <w:tcPr>
            <w:tcW w:w="6749" w:type="dxa"/>
            <w:tcBorders>
              <w:bottom w:val="single" w:color="000000" w:sz="10" w:space="0"/>
            </w:tcBorders>
            <w:vAlign w:val="top"/>
          </w:tcPr>
          <w:p w14:paraId="5EDE6DF3">
            <w:pPr>
              <w:pStyle w:val="6"/>
              <w:spacing w:before="78" w:line="229" w:lineRule="auto"/>
              <w:ind w:left="13" w:right="2" w:firstLine="2"/>
            </w:pPr>
            <w:r>
              <w:rPr>
                <w:spacing w:val="5"/>
              </w:rPr>
              <w:t>强化新建高耗能项目对</w:t>
            </w:r>
            <w:r>
              <w:rPr>
                <w:rFonts w:ascii="Times New Roman" w:hAnsi="Times New Roman" w:eastAsia="Times New Roman" w:cs="Times New Roman"/>
                <w:spacing w:val="5"/>
              </w:rPr>
              <w:t>“</w:t>
            </w:r>
            <w:r>
              <w:rPr>
                <w:spacing w:val="5"/>
              </w:rPr>
              <w:t>十四五</w:t>
            </w:r>
            <w:r>
              <w:rPr>
                <w:rFonts w:ascii="Times New Roman" w:hAnsi="Times New Roman" w:eastAsia="Times New Roman" w:cs="Times New Roman"/>
                <w:spacing w:val="5"/>
              </w:rPr>
              <w:t>”</w:t>
            </w:r>
            <w:r>
              <w:rPr>
                <w:spacing w:val="5"/>
              </w:rPr>
              <w:t>能耗双控影响评估和用</w:t>
            </w:r>
            <w:r>
              <w:rPr>
                <w:spacing w:val="4"/>
              </w:rPr>
              <w:t>能指标来源审</w:t>
            </w:r>
            <w:r>
              <w:t xml:space="preserve"> </w:t>
            </w:r>
            <w:r>
              <w:rPr>
                <w:spacing w:val="-1"/>
              </w:rPr>
              <w:t>查，未落实用能指标的高耗能项目，节能审查一律不予批准。</w:t>
            </w:r>
          </w:p>
          <w:p w14:paraId="758D3DCB">
            <w:pPr>
              <w:pStyle w:val="6"/>
              <w:spacing w:before="47" w:line="233" w:lineRule="auto"/>
              <w:ind w:left="11" w:firstLine="1"/>
              <w:jc w:val="both"/>
            </w:pPr>
            <w:r>
              <w:rPr>
                <w:spacing w:val="-5"/>
              </w:rPr>
              <w:t>完善项目审批和节能审查协调联动机制，对能耗双控形势严峻、用能空</w:t>
            </w:r>
            <w:r>
              <w:rPr>
                <w:spacing w:val="5"/>
              </w:rPr>
              <w:t xml:space="preserve"> </w:t>
            </w:r>
            <w:r>
              <w:rPr>
                <w:spacing w:val="-10"/>
              </w:rPr>
              <w:t>间不足的地区，实行高耗能项目审批、核准、备案和节能审查缓批限批，</w:t>
            </w:r>
            <w:r>
              <w:rPr>
                <w:spacing w:val="11"/>
              </w:rPr>
              <w:t xml:space="preserve"> </w:t>
            </w:r>
            <w:r>
              <w:rPr>
                <w:spacing w:val="-3"/>
              </w:rPr>
              <w:t>确有必要建设的，须实行能耗减量置换。</w:t>
            </w:r>
          </w:p>
        </w:tc>
        <w:tc>
          <w:tcPr>
            <w:tcW w:w="4111" w:type="dxa"/>
            <w:tcBorders>
              <w:bottom w:val="single" w:color="000000" w:sz="10" w:space="0"/>
            </w:tcBorders>
            <w:vAlign w:val="top"/>
          </w:tcPr>
          <w:p w14:paraId="035AFE7E">
            <w:pPr>
              <w:pStyle w:val="6"/>
              <w:spacing w:before="107" w:line="242" w:lineRule="auto"/>
              <w:ind w:left="4" w:right="4" w:firstLine="6"/>
              <w:rPr>
                <w:sz w:val="20"/>
                <w:szCs w:val="20"/>
              </w:rPr>
            </w:pPr>
            <w:r>
              <w:rPr>
                <w:spacing w:val="-1"/>
              </w:rPr>
              <w:t>本项目不属于</w:t>
            </w:r>
            <w:r>
              <w:rPr>
                <w:rFonts w:ascii="Times New Roman" w:hAnsi="Times New Roman" w:eastAsia="Times New Roman" w:cs="Times New Roman"/>
                <w:spacing w:val="-1"/>
              </w:rPr>
              <w:t>“</w:t>
            </w:r>
            <w:r>
              <w:rPr>
                <w:spacing w:val="-1"/>
              </w:rPr>
              <w:t>能耗双控</w:t>
            </w:r>
            <w:r>
              <w:rPr>
                <w:rFonts w:ascii="Times New Roman" w:hAnsi="Times New Roman" w:eastAsia="Times New Roman" w:cs="Times New Roman"/>
                <w:spacing w:val="-1"/>
              </w:rPr>
              <w:t>”</w:t>
            </w:r>
            <w:r>
              <w:rPr>
                <w:spacing w:val="-1"/>
              </w:rPr>
              <w:t>中规定的新建项</w:t>
            </w:r>
            <w:r>
              <w:rPr>
                <w:spacing w:val="4"/>
              </w:rPr>
              <w:t xml:space="preserve">  </w:t>
            </w:r>
            <w:r>
              <w:rPr>
                <w:spacing w:val="-1"/>
              </w:rPr>
              <w:t>目，不属于节能约束项目。本项目</w:t>
            </w:r>
            <w:r>
              <w:rPr>
                <w:spacing w:val="-1"/>
                <w:sz w:val="20"/>
                <w:szCs w:val="20"/>
              </w:rPr>
              <w:t>计划使用</w:t>
            </w:r>
            <w:r>
              <w:rPr>
                <w:spacing w:val="14"/>
                <w:sz w:val="20"/>
                <w:szCs w:val="20"/>
              </w:rPr>
              <w:t xml:space="preserve"> </w:t>
            </w:r>
            <w:r>
              <w:rPr>
                <w:rFonts w:ascii="Times New Roman" w:hAnsi="Times New Roman" w:eastAsia="Times New Roman" w:cs="Times New Roman"/>
                <w:spacing w:val="9"/>
                <w:sz w:val="20"/>
                <w:szCs w:val="20"/>
              </w:rPr>
              <w:t>≥80%</w:t>
            </w:r>
            <w:r>
              <w:rPr>
                <w:spacing w:val="9"/>
                <w:sz w:val="20"/>
                <w:szCs w:val="20"/>
              </w:rPr>
              <w:t>可再生能源电力绿电，且能效可以达到</w:t>
            </w:r>
            <w:r>
              <w:rPr>
                <w:sz w:val="20"/>
                <w:szCs w:val="20"/>
              </w:rPr>
              <w:t xml:space="preserve"> </w:t>
            </w:r>
            <w:r>
              <w:rPr>
                <w:spacing w:val="7"/>
                <w:sz w:val="20"/>
                <w:szCs w:val="20"/>
              </w:rPr>
              <w:t>标杆水平。根据《关于印发</w:t>
            </w:r>
            <w:r>
              <w:rPr>
                <w:rFonts w:ascii="Times New Roman" w:hAnsi="Times New Roman" w:eastAsia="Times New Roman" w:cs="Times New Roman"/>
                <w:spacing w:val="7"/>
                <w:sz w:val="20"/>
                <w:szCs w:val="20"/>
              </w:rPr>
              <w:t>&lt;</w:t>
            </w:r>
            <w:r>
              <w:rPr>
                <w:rFonts w:ascii="Times New Roman" w:hAnsi="Times New Roman" w:eastAsia="Times New Roman" w:cs="Times New Roman"/>
                <w:spacing w:val="-7"/>
                <w:sz w:val="20"/>
                <w:szCs w:val="20"/>
              </w:rPr>
              <w:t xml:space="preserve"> </w:t>
            </w:r>
            <w:r>
              <w:rPr>
                <w:spacing w:val="7"/>
                <w:sz w:val="20"/>
                <w:szCs w:val="20"/>
              </w:rPr>
              <w:t>内蒙古自治区促</w:t>
            </w:r>
            <w:r>
              <w:rPr>
                <w:sz w:val="20"/>
                <w:szCs w:val="20"/>
              </w:rPr>
              <w:t xml:space="preserve"> </w:t>
            </w:r>
            <w:r>
              <w:rPr>
                <w:spacing w:val="7"/>
                <w:sz w:val="20"/>
                <w:szCs w:val="20"/>
              </w:rPr>
              <w:t>进铁合金产业高质量发展政策措施</w:t>
            </w:r>
            <w:r>
              <w:rPr>
                <w:rFonts w:ascii="Times New Roman" w:hAnsi="Times New Roman" w:eastAsia="Times New Roman" w:cs="Times New Roman"/>
                <w:spacing w:val="7"/>
                <w:sz w:val="20"/>
                <w:szCs w:val="20"/>
              </w:rPr>
              <w:t>&gt;</w:t>
            </w:r>
            <w:r>
              <w:rPr>
                <w:rFonts w:ascii="Times New Roman" w:hAnsi="Times New Roman" w:eastAsia="Times New Roman" w:cs="Times New Roman"/>
                <w:spacing w:val="-9"/>
                <w:sz w:val="20"/>
                <w:szCs w:val="20"/>
              </w:rPr>
              <w:t xml:space="preserve"> </w:t>
            </w:r>
            <w:r>
              <w:rPr>
                <w:spacing w:val="7"/>
                <w:sz w:val="20"/>
                <w:szCs w:val="20"/>
              </w:rPr>
              <w:t>的通知》</w:t>
            </w:r>
          </w:p>
        </w:tc>
        <w:tc>
          <w:tcPr>
            <w:tcW w:w="677" w:type="dxa"/>
            <w:tcBorders>
              <w:bottom w:val="single" w:color="000000" w:sz="10" w:space="0"/>
              <w:right w:val="nil"/>
            </w:tcBorders>
            <w:vAlign w:val="top"/>
          </w:tcPr>
          <w:p w14:paraId="09ADB405">
            <w:pPr>
              <w:spacing w:line="292" w:lineRule="auto"/>
              <w:rPr>
                <w:rFonts w:ascii="Arial"/>
                <w:sz w:val="21"/>
              </w:rPr>
            </w:pPr>
          </w:p>
          <w:p w14:paraId="0B972654">
            <w:pPr>
              <w:spacing w:line="292" w:lineRule="auto"/>
              <w:rPr>
                <w:rFonts w:ascii="Arial"/>
                <w:sz w:val="21"/>
              </w:rPr>
            </w:pPr>
          </w:p>
          <w:p w14:paraId="06C886DE">
            <w:pPr>
              <w:pStyle w:val="6"/>
              <w:spacing w:before="72" w:line="220" w:lineRule="auto"/>
              <w:ind w:left="128"/>
            </w:pPr>
            <w:r>
              <w:rPr>
                <w:spacing w:val="-5"/>
              </w:rPr>
              <w:t>符合</w:t>
            </w:r>
          </w:p>
        </w:tc>
      </w:tr>
    </w:tbl>
    <w:p w14:paraId="696D16DD">
      <w:pPr>
        <w:pStyle w:val="2"/>
        <w:spacing w:line="230" w:lineRule="exact"/>
        <w:rPr>
          <w:sz w:val="20"/>
        </w:rPr>
      </w:pPr>
    </w:p>
    <w:p w14:paraId="62C8FC3A">
      <w:pPr>
        <w:spacing w:line="230" w:lineRule="exact"/>
        <w:rPr>
          <w:sz w:val="20"/>
          <w:szCs w:val="20"/>
        </w:rPr>
        <w:sectPr>
          <w:footerReference r:id="rId21" w:type="default"/>
          <w:pgSz w:w="16839" w:h="11906"/>
          <w:pgMar w:top="1178" w:right="1418" w:bottom="1212" w:left="1418" w:header="870" w:footer="1025" w:gutter="0"/>
          <w:cols w:space="720" w:num="1"/>
        </w:sectPr>
      </w:pPr>
    </w:p>
    <w:p w14:paraId="44386FD9">
      <w:pPr>
        <w:spacing w:line="238" w:lineRule="exact"/>
      </w:pPr>
      <w:r>
        <w:pict>
          <v:shape id="_x0000_s1037" o:spid="_x0000_s1037" style="position:absolute;left:0pt;margin-left:70.9pt;margin-top:59.65pt;height:0.75pt;width:700.1pt;mso-position-horizontal-relative:page;mso-position-vertical-relative:page;z-index:251671552;mso-width-relative:page;mso-height-relative:page;" fillcolor="#000000" filled="t" stroked="f" coordsize="14001,15" o:allowincell="f" path="m0,0l14001,0,14001,14,0,14,0,0xe">
            <v:path/>
            <v:fill on="t" focussize="0,0"/>
            <v:stroke on="f"/>
            <v:imagedata o:title=""/>
            <o:lock v:ext="edit"/>
          </v:shape>
        </w:pict>
      </w:r>
    </w:p>
    <w:tbl>
      <w:tblPr>
        <w:tblStyle w:val="5"/>
        <w:tblW w:w="1400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0"/>
        <w:gridCol w:w="905"/>
        <w:gridCol w:w="6749"/>
        <w:gridCol w:w="4111"/>
        <w:gridCol w:w="677"/>
      </w:tblGrid>
      <w:tr w14:paraId="3CCA0B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19" w:hRule="atLeast"/>
        </w:trPr>
        <w:tc>
          <w:tcPr>
            <w:tcW w:w="1560" w:type="dxa"/>
            <w:tcBorders>
              <w:top w:val="single" w:color="000000" w:sz="10" w:space="0"/>
              <w:left w:val="nil"/>
            </w:tcBorders>
            <w:vAlign w:val="top"/>
          </w:tcPr>
          <w:p w14:paraId="0723C545">
            <w:pPr>
              <w:rPr>
                <w:rFonts w:ascii="Arial"/>
                <w:sz w:val="21"/>
              </w:rPr>
            </w:pPr>
          </w:p>
        </w:tc>
        <w:tc>
          <w:tcPr>
            <w:tcW w:w="905" w:type="dxa"/>
            <w:tcBorders>
              <w:top w:val="single" w:color="000000" w:sz="10" w:space="0"/>
            </w:tcBorders>
            <w:vAlign w:val="top"/>
          </w:tcPr>
          <w:p w14:paraId="4AFD6B08">
            <w:pPr>
              <w:rPr>
                <w:rFonts w:ascii="Arial"/>
                <w:sz w:val="21"/>
              </w:rPr>
            </w:pPr>
          </w:p>
        </w:tc>
        <w:tc>
          <w:tcPr>
            <w:tcW w:w="6749" w:type="dxa"/>
            <w:tcBorders>
              <w:top w:val="single" w:color="000000" w:sz="10" w:space="0"/>
            </w:tcBorders>
            <w:vAlign w:val="top"/>
          </w:tcPr>
          <w:p w14:paraId="3B00CAD8">
            <w:pPr>
              <w:rPr>
                <w:rFonts w:ascii="Arial"/>
                <w:sz w:val="21"/>
              </w:rPr>
            </w:pPr>
          </w:p>
        </w:tc>
        <w:tc>
          <w:tcPr>
            <w:tcW w:w="4111" w:type="dxa"/>
            <w:tcBorders>
              <w:top w:val="single" w:color="000000" w:sz="10" w:space="0"/>
            </w:tcBorders>
            <w:vAlign w:val="top"/>
          </w:tcPr>
          <w:p w14:paraId="4F81001E">
            <w:pPr>
              <w:pStyle w:val="6"/>
              <w:spacing w:before="16" w:line="245" w:lineRule="auto"/>
              <w:ind w:left="9" w:right="4" w:firstLine="10"/>
              <w:rPr>
                <w:sz w:val="20"/>
                <w:szCs w:val="20"/>
              </w:rPr>
            </w:pPr>
            <w:r>
              <w:rPr>
                <w:spacing w:val="7"/>
                <w:sz w:val="20"/>
                <w:szCs w:val="20"/>
              </w:rPr>
              <w:t>（内工信发</w:t>
            </w:r>
            <w:r>
              <w:rPr>
                <w:rFonts w:ascii="Times New Roman" w:hAnsi="Times New Roman" w:eastAsia="Times New Roman" w:cs="Times New Roman"/>
                <w:spacing w:val="7"/>
                <w:sz w:val="20"/>
                <w:szCs w:val="20"/>
              </w:rPr>
              <w:t>[2023]134</w:t>
            </w:r>
            <w:r>
              <w:rPr>
                <w:spacing w:val="7"/>
                <w:sz w:val="20"/>
                <w:szCs w:val="20"/>
              </w:rPr>
              <w:t>号）要求支持铁合金企</w:t>
            </w:r>
            <w:r>
              <w:rPr>
                <w:spacing w:val="2"/>
                <w:sz w:val="20"/>
                <w:szCs w:val="20"/>
              </w:rPr>
              <w:t xml:space="preserve"> </w:t>
            </w:r>
            <w:r>
              <w:rPr>
                <w:spacing w:val="9"/>
                <w:sz w:val="20"/>
                <w:szCs w:val="20"/>
              </w:rPr>
              <w:t>业通过建设市场化并网新能源项目和绿电市</w:t>
            </w:r>
            <w:r>
              <w:rPr>
                <w:spacing w:val="4"/>
                <w:sz w:val="20"/>
                <w:szCs w:val="20"/>
              </w:rPr>
              <w:t xml:space="preserve">  场交易等方式，逐步提高铁合金企业可再生能</w:t>
            </w:r>
            <w:r>
              <w:rPr>
                <w:spacing w:val="10"/>
                <w:sz w:val="20"/>
                <w:szCs w:val="20"/>
              </w:rPr>
              <w:t xml:space="preserve"> </w:t>
            </w:r>
            <w:r>
              <w:rPr>
                <w:spacing w:val="9"/>
                <w:sz w:val="20"/>
                <w:szCs w:val="20"/>
              </w:rPr>
              <w:t>源消纳比例。可再生能源电力使用比例达到</w:t>
            </w:r>
            <w:r>
              <w:rPr>
                <w:spacing w:val="4"/>
                <w:sz w:val="20"/>
                <w:szCs w:val="20"/>
              </w:rPr>
              <w:t xml:space="preserve">  </w:t>
            </w:r>
            <w:r>
              <w:rPr>
                <w:rFonts w:ascii="Times New Roman" w:hAnsi="Times New Roman" w:eastAsia="Times New Roman" w:cs="Times New Roman"/>
                <w:spacing w:val="8"/>
                <w:sz w:val="20"/>
                <w:szCs w:val="20"/>
              </w:rPr>
              <w:t>60%</w:t>
            </w:r>
            <w:r>
              <w:rPr>
                <w:spacing w:val="8"/>
                <w:sz w:val="20"/>
                <w:szCs w:val="20"/>
              </w:rPr>
              <w:t>以上且能效达到标杆水平的新建铁合金  项目，可不进行产能置换。</w:t>
            </w:r>
          </w:p>
        </w:tc>
        <w:tc>
          <w:tcPr>
            <w:tcW w:w="677" w:type="dxa"/>
            <w:tcBorders>
              <w:top w:val="single" w:color="000000" w:sz="10" w:space="0"/>
              <w:right w:val="nil"/>
            </w:tcBorders>
            <w:vAlign w:val="top"/>
          </w:tcPr>
          <w:p w14:paraId="21640BA2">
            <w:pPr>
              <w:rPr>
                <w:rFonts w:ascii="Arial"/>
                <w:sz w:val="21"/>
              </w:rPr>
            </w:pPr>
          </w:p>
        </w:tc>
      </w:tr>
      <w:tr w14:paraId="7DDC06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560" w:type="dxa"/>
            <w:vMerge w:val="restart"/>
            <w:tcBorders>
              <w:left w:val="nil"/>
              <w:bottom w:val="nil"/>
            </w:tcBorders>
            <w:vAlign w:val="top"/>
          </w:tcPr>
          <w:p w14:paraId="3CE5286D">
            <w:pPr>
              <w:spacing w:line="278" w:lineRule="auto"/>
              <w:rPr>
                <w:rFonts w:ascii="Arial"/>
                <w:sz w:val="21"/>
              </w:rPr>
            </w:pPr>
          </w:p>
          <w:p w14:paraId="165743DF">
            <w:pPr>
              <w:pStyle w:val="6"/>
              <w:spacing w:before="71" w:line="235" w:lineRule="auto"/>
              <w:ind w:left="139" w:right="107"/>
              <w:jc w:val="both"/>
            </w:pPr>
            <w:r>
              <w:rPr>
                <w:spacing w:val="-2"/>
              </w:rPr>
              <w:t>《内蒙古自治</w:t>
            </w:r>
            <w:r>
              <w:rPr>
                <w:spacing w:val="1"/>
              </w:rPr>
              <w:t xml:space="preserve"> </w:t>
            </w:r>
            <w:r>
              <w:rPr>
                <w:spacing w:val="-2"/>
              </w:rPr>
              <w:t>区工业和信息</w:t>
            </w:r>
            <w:r>
              <w:rPr>
                <w:spacing w:val="1"/>
              </w:rPr>
              <w:t xml:space="preserve"> </w:t>
            </w:r>
            <w:r>
              <w:rPr>
                <w:spacing w:val="-2"/>
              </w:rPr>
              <w:t>化厅关于进一</w:t>
            </w:r>
            <w:r>
              <w:rPr>
                <w:spacing w:val="1"/>
              </w:rPr>
              <w:t xml:space="preserve"> </w:t>
            </w:r>
            <w:r>
              <w:rPr>
                <w:spacing w:val="-2"/>
              </w:rPr>
              <w:t>步严格高耗能</w:t>
            </w:r>
            <w:r>
              <w:rPr>
                <w:spacing w:val="1"/>
              </w:rPr>
              <w:t xml:space="preserve"> </w:t>
            </w:r>
            <w:r>
              <w:rPr>
                <w:spacing w:val="-2"/>
              </w:rPr>
              <w:t>高污染项目布</w:t>
            </w:r>
          </w:p>
          <w:p w14:paraId="572F4954">
            <w:pPr>
              <w:pStyle w:val="6"/>
              <w:spacing w:before="23" w:line="230" w:lineRule="auto"/>
              <w:ind w:left="361" w:right="78" w:hanging="249"/>
            </w:pPr>
            <w:r>
              <w:rPr>
                <w:spacing w:val="-25"/>
              </w:rPr>
              <w:t>局的通知》（内</w:t>
            </w:r>
            <w:r>
              <w:t xml:space="preserve"> </w:t>
            </w:r>
            <w:r>
              <w:rPr>
                <w:spacing w:val="-3"/>
              </w:rPr>
              <w:t>工信办字</w:t>
            </w:r>
          </w:p>
          <w:p w14:paraId="0C713773">
            <w:pPr>
              <w:pStyle w:val="6"/>
              <w:spacing w:before="23" w:line="213" w:lineRule="auto"/>
              <w:ind w:left="184"/>
            </w:pPr>
            <w:r>
              <w:rPr>
                <w:rFonts w:ascii="Times New Roman" w:hAnsi="Times New Roman" w:eastAsia="Times New Roman" w:cs="Times New Roman"/>
                <w:spacing w:val="-2"/>
              </w:rPr>
              <w:t>[2021]87</w:t>
            </w:r>
            <w:r>
              <w:rPr>
                <w:spacing w:val="-2"/>
              </w:rPr>
              <w:t>号）</w:t>
            </w:r>
          </w:p>
        </w:tc>
        <w:tc>
          <w:tcPr>
            <w:tcW w:w="905" w:type="dxa"/>
            <w:vAlign w:val="top"/>
          </w:tcPr>
          <w:p w14:paraId="7DADF595">
            <w:pPr>
              <w:spacing w:before="247"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57A98472">
            <w:pPr>
              <w:pStyle w:val="6"/>
              <w:spacing w:before="70" w:line="236" w:lineRule="auto"/>
              <w:ind w:left="12" w:right="2"/>
            </w:pPr>
            <w:r>
              <w:rPr>
                <w:spacing w:val="-3"/>
              </w:rPr>
              <w:t>严格项目审核审批，新上重化工项目必须入园，对布局在园区外的现有</w:t>
            </w:r>
            <w:r>
              <w:rPr>
                <w:spacing w:val="1"/>
              </w:rPr>
              <w:t xml:space="preserve"> </w:t>
            </w:r>
            <w:r>
              <w:rPr>
                <w:spacing w:val="-1"/>
              </w:rPr>
              <w:t>重化工企业，严禁在原址审批新增产能项目。</w:t>
            </w:r>
          </w:p>
        </w:tc>
        <w:tc>
          <w:tcPr>
            <w:tcW w:w="4111" w:type="dxa"/>
            <w:vMerge w:val="restart"/>
            <w:tcBorders>
              <w:bottom w:val="nil"/>
            </w:tcBorders>
            <w:vAlign w:val="top"/>
          </w:tcPr>
          <w:p w14:paraId="2D8254FE">
            <w:pPr>
              <w:spacing w:line="281" w:lineRule="auto"/>
              <w:rPr>
                <w:rFonts w:ascii="Arial"/>
                <w:sz w:val="21"/>
              </w:rPr>
            </w:pPr>
          </w:p>
          <w:p w14:paraId="0046AA01">
            <w:pPr>
              <w:spacing w:line="282" w:lineRule="auto"/>
              <w:rPr>
                <w:rFonts w:ascii="Arial"/>
                <w:sz w:val="21"/>
              </w:rPr>
            </w:pPr>
          </w:p>
          <w:p w14:paraId="16394F75">
            <w:pPr>
              <w:spacing w:line="282" w:lineRule="auto"/>
              <w:rPr>
                <w:rFonts w:ascii="Arial"/>
                <w:sz w:val="21"/>
              </w:rPr>
            </w:pPr>
          </w:p>
          <w:p w14:paraId="76568543">
            <w:pPr>
              <w:spacing w:line="282" w:lineRule="auto"/>
              <w:rPr>
                <w:rFonts w:ascii="Arial"/>
                <w:sz w:val="21"/>
              </w:rPr>
            </w:pPr>
          </w:p>
          <w:p w14:paraId="572E27A8">
            <w:pPr>
              <w:pStyle w:val="6"/>
              <w:spacing w:before="72" w:line="255" w:lineRule="auto"/>
              <w:ind w:left="13" w:right="141" w:hanging="2"/>
            </w:pPr>
            <w:r>
              <w:rPr>
                <w:spacing w:val="-1"/>
              </w:rPr>
              <w:t>本项目在苏尼特右旗朱日和工业园区内建</w:t>
            </w:r>
            <w:r>
              <w:rPr>
                <w:spacing w:val="10"/>
              </w:rPr>
              <w:t xml:space="preserve"> </w:t>
            </w:r>
            <w:r>
              <w:rPr>
                <w:spacing w:val="-2"/>
              </w:rPr>
              <w:t>设，不在上述区域。</w:t>
            </w:r>
          </w:p>
        </w:tc>
        <w:tc>
          <w:tcPr>
            <w:tcW w:w="677" w:type="dxa"/>
            <w:vMerge w:val="restart"/>
            <w:tcBorders>
              <w:bottom w:val="nil"/>
              <w:right w:val="nil"/>
            </w:tcBorders>
            <w:vAlign w:val="top"/>
          </w:tcPr>
          <w:p w14:paraId="2EC55A92">
            <w:pPr>
              <w:spacing w:line="257" w:lineRule="auto"/>
              <w:rPr>
                <w:rFonts w:ascii="Arial"/>
                <w:sz w:val="21"/>
              </w:rPr>
            </w:pPr>
          </w:p>
          <w:p w14:paraId="3F3F2EBA">
            <w:pPr>
              <w:spacing w:line="257" w:lineRule="auto"/>
              <w:rPr>
                <w:rFonts w:ascii="Arial"/>
                <w:sz w:val="21"/>
              </w:rPr>
            </w:pPr>
          </w:p>
          <w:p w14:paraId="230BD8A4">
            <w:pPr>
              <w:spacing w:line="258" w:lineRule="auto"/>
              <w:rPr>
                <w:rFonts w:ascii="Arial"/>
                <w:sz w:val="21"/>
              </w:rPr>
            </w:pPr>
          </w:p>
          <w:p w14:paraId="74C032FA">
            <w:pPr>
              <w:spacing w:line="258" w:lineRule="auto"/>
              <w:rPr>
                <w:rFonts w:ascii="Arial"/>
                <w:sz w:val="21"/>
              </w:rPr>
            </w:pPr>
          </w:p>
          <w:p w14:paraId="3A0D0DF2">
            <w:pPr>
              <w:spacing w:line="258" w:lineRule="auto"/>
              <w:rPr>
                <w:rFonts w:ascii="Arial"/>
                <w:sz w:val="21"/>
              </w:rPr>
            </w:pPr>
          </w:p>
          <w:p w14:paraId="74979BD1">
            <w:pPr>
              <w:pStyle w:val="6"/>
              <w:spacing w:before="71" w:line="220" w:lineRule="auto"/>
              <w:ind w:left="128"/>
              <w:outlineLvl w:val="2"/>
            </w:pPr>
            <w:bookmarkStart w:id="259" w:name="bookmark13"/>
            <w:bookmarkEnd w:id="259"/>
            <w:bookmarkStart w:id="260" w:name="bookmark15"/>
            <w:bookmarkEnd w:id="260"/>
            <w:r>
              <w:rPr>
                <w:spacing w:val="-5"/>
              </w:rPr>
              <w:t>符合</w:t>
            </w:r>
          </w:p>
        </w:tc>
      </w:tr>
      <w:tr w14:paraId="3F49D4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560" w:type="dxa"/>
            <w:vMerge w:val="continue"/>
            <w:tcBorders>
              <w:top w:val="nil"/>
              <w:left w:val="nil"/>
              <w:bottom w:val="nil"/>
            </w:tcBorders>
            <w:vAlign w:val="top"/>
          </w:tcPr>
          <w:p w14:paraId="3CABFD99">
            <w:pPr>
              <w:rPr>
                <w:rFonts w:ascii="Arial"/>
                <w:sz w:val="21"/>
              </w:rPr>
            </w:pPr>
          </w:p>
        </w:tc>
        <w:tc>
          <w:tcPr>
            <w:tcW w:w="905" w:type="dxa"/>
            <w:vAlign w:val="top"/>
          </w:tcPr>
          <w:p w14:paraId="2EA5476A">
            <w:pPr>
              <w:spacing w:before="249"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6BC3EE86">
            <w:pPr>
              <w:pStyle w:val="6"/>
              <w:spacing w:before="72" w:line="235" w:lineRule="auto"/>
              <w:ind w:left="11"/>
            </w:pPr>
            <w:r>
              <w:rPr>
                <w:spacing w:val="-3"/>
              </w:rPr>
              <w:t>包头山南地区不再新建高排放，高耗能项目，逐步淘汰低端产能、落后</w:t>
            </w:r>
            <w:r>
              <w:rPr>
                <w:spacing w:val="4"/>
              </w:rPr>
              <w:t xml:space="preserve"> </w:t>
            </w:r>
            <w:r>
              <w:rPr>
                <w:spacing w:val="-1"/>
              </w:rPr>
              <w:t>产能和高污染企业。</w:t>
            </w:r>
          </w:p>
        </w:tc>
        <w:tc>
          <w:tcPr>
            <w:tcW w:w="4111" w:type="dxa"/>
            <w:vMerge w:val="continue"/>
            <w:tcBorders>
              <w:top w:val="nil"/>
              <w:bottom w:val="nil"/>
            </w:tcBorders>
            <w:vAlign w:val="top"/>
          </w:tcPr>
          <w:p w14:paraId="704CCED7">
            <w:pPr>
              <w:rPr>
                <w:rFonts w:ascii="Arial"/>
                <w:sz w:val="21"/>
              </w:rPr>
            </w:pPr>
          </w:p>
        </w:tc>
        <w:tc>
          <w:tcPr>
            <w:tcW w:w="677" w:type="dxa"/>
            <w:vMerge w:val="continue"/>
            <w:tcBorders>
              <w:top w:val="nil"/>
              <w:bottom w:val="nil"/>
              <w:right w:val="nil"/>
            </w:tcBorders>
            <w:vAlign w:val="top"/>
          </w:tcPr>
          <w:p w14:paraId="163DC4DA">
            <w:pPr>
              <w:rPr>
                <w:rFonts w:ascii="Arial"/>
                <w:sz w:val="21"/>
              </w:rPr>
            </w:pPr>
          </w:p>
        </w:tc>
      </w:tr>
      <w:tr w14:paraId="03A509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2" w:hRule="atLeast"/>
        </w:trPr>
        <w:tc>
          <w:tcPr>
            <w:tcW w:w="1560" w:type="dxa"/>
            <w:vMerge w:val="continue"/>
            <w:tcBorders>
              <w:top w:val="nil"/>
              <w:left w:val="nil"/>
              <w:bottom w:val="nil"/>
            </w:tcBorders>
            <w:vAlign w:val="top"/>
          </w:tcPr>
          <w:p w14:paraId="3B215911">
            <w:pPr>
              <w:rPr>
                <w:rFonts w:ascii="Arial"/>
                <w:sz w:val="21"/>
              </w:rPr>
            </w:pPr>
          </w:p>
        </w:tc>
        <w:tc>
          <w:tcPr>
            <w:tcW w:w="905" w:type="dxa"/>
            <w:vAlign w:val="top"/>
          </w:tcPr>
          <w:p w14:paraId="10A364BE">
            <w:pPr>
              <w:spacing w:line="344" w:lineRule="auto"/>
              <w:rPr>
                <w:rFonts w:ascii="Arial"/>
                <w:sz w:val="21"/>
              </w:rPr>
            </w:pPr>
          </w:p>
          <w:p w14:paraId="5555BEDB">
            <w:pPr>
              <w:spacing w:before="64"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0A653C7C">
            <w:pPr>
              <w:pStyle w:val="6"/>
              <w:spacing w:before="76" w:line="245" w:lineRule="auto"/>
              <w:ind w:left="12"/>
              <w:jc w:val="both"/>
            </w:pPr>
            <w:r>
              <w:rPr>
                <w:spacing w:val="-3"/>
              </w:rPr>
              <w:t>严禁乌海及周边地区新增高耗能、高污染产能，海勃湾工业园区、蒙西</w:t>
            </w:r>
            <w:r>
              <w:rPr>
                <w:spacing w:val="3"/>
              </w:rPr>
              <w:t xml:space="preserve"> </w:t>
            </w:r>
            <w:r>
              <w:rPr>
                <w:spacing w:val="-3"/>
              </w:rPr>
              <w:t>高新技术工业园区不得新建重化工项目，阿拉善高新技术产业开发区巴</w:t>
            </w:r>
            <w:r>
              <w:t xml:space="preserve"> </w:t>
            </w:r>
            <w:r>
              <w:rPr>
                <w:spacing w:val="-1"/>
              </w:rPr>
              <w:t>音敖包工业园区不得新上焦化项目。</w:t>
            </w:r>
          </w:p>
        </w:tc>
        <w:tc>
          <w:tcPr>
            <w:tcW w:w="4111" w:type="dxa"/>
            <w:vMerge w:val="continue"/>
            <w:tcBorders>
              <w:top w:val="nil"/>
              <w:bottom w:val="nil"/>
            </w:tcBorders>
            <w:vAlign w:val="top"/>
          </w:tcPr>
          <w:p w14:paraId="3F6A317B">
            <w:pPr>
              <w:rPr>
                <w:rFonts w:ascii="Arial"/>
                <w:sz w:val="21"/>
              </w:rPr>
            </w:pPr>
          </w:p>
        </w:tc>
        <w:tc>
          <w:tcPr>
            <w:tcW w:w="677" w:type="dxa"/>
            <w:vMerge w:val="continue"/>
            <w:tcBorders>
              <w:top w:val="nil"/>
              <w:bottom w:val="nil"/>
              <w:right w:val="nil"/>
            </w:tcBorders>
            <w:vAlign w:val="top"/>
          </w:tcPr>
          <w:p w14:paraId="0CB8832C">
            <w:pPr>
              <w:rPr>
                <w:rFonts w:ascii="Arial"/>
                <w:sz w:val="21"/>
              </w:rPr>
            </w:pPr>
          </w:p>
        </w:tc>
      </w:tr>
      <w:tr w14:paraId="40C216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560" w:type="dxa"/>
            <w:vMerge w:val="continue"/>
            <w:tcBorders>
              <w:top w:val="nil"/>
              <w:left w:val="nil"/>
            </w:tcBorders>
            <w:vAlign w:val="top"/>
          </w:tcPr>
          <w:p w14:paraId="423BD8A6">
            <w:pPr>
              <w:rPr>
                <w:rFonts w:ascii="Arial"/>
                <w:sz w:val="21"/>
              </w:rPr>
            </w:pPr>
          </w:p>
        </w:tc>
        <w:tc>
          <w:tcPr>
            <w:tcW w:w="905" w:type="dxa"/>
            <w:vAlign w:val="top"/>
          </w:tcPr>
          <w:p w14:paraId="1762DAE7">
            <w:pPr>
              <w:spacing w:before="254"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307FE536">
            <w:pPr>
              <w:pStyle w:val="6"/>
              <w:spacing w:before="80" w:line="232" w:lineRule="auto"/>
              <w:ind w:left="16" w:right="2" w:hanging="2"/>
            </w:pPr>
            <w:r>
              <w:rPr>
                <w:spacing w:val="-3"/>
              </w:rPr>
              <w:t>不再审批铁合金、电石、电石法聚氯乙烯（</w:t>
            </w:r>
            <w:r>
              <w:rPr>
                <w:rFonts w:ascii="Times New Roman" w:hAnsi="Times New Roman" w:eastAsia="Times New Roman" w:cs="Times New Roman"/>
                <w:spacing w:val="-3"/>
              </w:rPr>
              <w:t>PVC</w:t>
            </w:r>
            <w:r>
              <w:rPr>
                <w:spacing w:val="-3"/>
              </w:rPr>
              <w:t>）、水泥（熟料）、超</w:t>
            </w:r>
            <w:r>
              <w:rPr>
                <w:spacing w:val="14"/>
              </w:rPr>
              <w:t xml:space="preserve"> </w:t>
            </w:r>
            <w:r>
              <w:rPr>
                <w:spacing w:val="-1"/>
              </w:rPr>
              <w:t>高功率以下石墨电极、普通平板玻璃等新增产能项目。</w:t>
            </w:r>
          </w:p>
        </w:tc>
        <w:tc>
          <w:tcPr>
            <w:tcW w:w="4111" w:type="dxa"/>
            <w:vMerge w:val="continue"/>
            <w:tcBorders>
              <w:top w:val="nil"/>
            </w:tcBorders>
            <w:vAlign w:val="top"/>
          </w:tcPr>
          <w:p w14:paraId="3877377C">
            <w:pPr>
              <w:rPr>
                <w:rFonts w:ascii="Arial"/>
                <w:sz w:val="21"/>
              </w:rPr>
            </w:pPr>
          </w:p>
        </w:tc>
        <w:tc>
          <w:tcPr>
            <w:tcW w:w="677" w:type="dxa"/>
            <w:vMerge w:val="continue"/>
            <w:tcBorders>
              <w:top w:val="nil"/>
              <w:right w:val="nil"/>
            </w:tcBorders>
            <w:vAlign w:val="top"/>
          </w:tcPr>
          <w:p w14:paraId="16A96536">
            <w:pPr>
              <w:rPr>
                <w:rFonts w:ascii="Arial"/>
                <w:sz w:val="21"/>
              </w:rPr>
            </w:pPr>
          </w:p>
        </w:tc>
      </w:tr>
      <w:tr w14:paraId="319593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44" w:hRule="atLeast"/>
        </w:trPr>
        <w:tc>
          <w:tcPr>
            <w:tcW w:w="1560" w:type="dxa"/>
            <w:vMerge w:val="restart"/>
            <w:tcBorders>
              <w:left w:val="nil"/>
              <w:bottom w:val="nil"/>
            </w:tcBorders>
            <w:vAlign w:val="top"/>
          </w:tcPr>
          <w:p w14:paraId="7805DD38">
            <w:pPr>
              <w:spacing w:line="255" w:lineRule="auto"/>
              <w:rPr>
                <w:rFonts w:ascii="Arial"/>
                <w:sz w:val="21"/>
              </w:rPr>
            </w:pPr>
          </w:p>
          <w:p w14:paraId="35FCD22C">
            <w:pPr>
              <w:spacing w:line="255" w:lineRule="auto"/>
              <w:rPr>
                <w:rFonts w:ascii="Arial"/>
                <w:sz w:val="21"/>
              </w:rPr>
            </w:pPr>
          </w:p>
          <w:p w14:paraId="1F1EA2FE">
            <w:pPr>
              <w:spacing w:line="255" w:lineRule="auto"/>
              <w:rPr>
                <w:rFonts w:ascii="Arial"/>
                <w:sz w:val="21"/>
              </w:rPr>
            </w:pPr>
          </w:p>
          <w:p w14:paraId="496D4F6A">
            <w:pPr>
              <w:spacing w:line="255" w:lineRule="auto"/>
              <w:rPr>
                <w:rFonts w:ascii="Arial"/>
                <w:sz w:val="21"/>
              </w:rPr>
            </w:pPr>
          </w:p>
          <w:p w14:paraId="52B8CC1A">
            <w:pPr>
              <w:pStyle w:val="6"/>
              <w:spacing w:before="71" w:line="234" w:lineRule="auto"/>
              <w:ind w:left="138" w:right="107" w:firstLine="1"/>
              <w:jc w:val="both"/>
            </w:pPr>
            <w:r>
              <w:rPr>
                <w:spacing w:val="-2"/>
              </w:rPr>
              <w:t>《关于加强高</w:t>
            </w:r>
            <w:r>
              <w:rPr>
                <w:spacing w:val="1"/>
              </w:rPr>
              <w:t xml:space="preserve"> </w:t>
            </w:r>
            <w:r>
              <w:rPr>
                <w:spacing w:val="-2"/>
              </w:rPr>
              <w:t>耗能、高排放</w:t>
            </w:r>
            <w:r>
              <w:rPr>
                <w:spacing w:val="2"/>
              </w:rPr>
              <w:t xml:space="preserve"> </w:t>
            </w:r>
            <w:r>
              <w:rPr>
                <w:spacing w:val="-2"/>
              </w:rPr>
              <w:t>建设项目生态</w:t>
            </w:r>
            <w:r>
              <w:rPr>
                <w:spacing w:val="2"/>
              </w:rPr>
              <w:t xml:space="preserve"> </w:t>
            </w:r>
            <w:r>
              <w:rPr>
                <w:spacing w:val="-2"/>
              </w:rPr>
              <w:t>环境源头防控</w:t>
            </w:r>
          </w:p>
          <w:p w14:paraId="4273B272">
            <w:pPr>
              <w:pStyle w:val="6"/>
              <w:spacing w:before="25" w:line="220" w:lineRule="auto"/>
              <w:ind w:left="156"/>
            </w:pPr>
            <w:r>
              <w:rPr>
                <w:spacing w:val="-5"/>
              </w:rPr>
              <w:t>的指导意见》</w:t>
            </w:r>
          </w:p>
          <w:p w14:paraId="3DCB97EC">
            <w:pPr>
              <w:pStyle w:val="6"/>
              <w:spacing w:before="20" w:line="221" w:lineRule="auto"/>
              <w:ind w:left="365"/>
            </w:pPr>
            <w:r>
              <w:rPr>
                <w:spacing w:val="-4"/>
              </w:rPr>
              <w:t>（环环评</w:t>
            </w:r>
          </w:p>
          <w:p w14:paraId="6643C0CA">
            <w:pPr>
              <w:pStyle w:val="6"/>
              <w:spacing w:before="22" w:line="213" w:lineRule="auto"/>
              <w:ind w:left="184"/>
            </w:pPr>
            <w:r>
              <w:rPr>
                <w:rFonts w:ascii="Times New Roman" w:hAnsi="Times New Roman" w:eastAsia="Times New Roman" w:cs="Times New Roman"/>
                <w:spacing w:val="-2"/>
              </w:rPr>
              <w:t>[2021]45</w:t>
            </w:r>
            <w:r>
              <w:rPr>
                <w:spacing w:val="-2"/>
              </w:rPr>
              <w:t>号）</w:t>
            </w:r>
          </w:p>
        </w:tc>
        <w:tc>
          <w:tcPr>
            <w:tcW w:w="905" w:type="dxa"/>
            <w:vAlign w:val="top"/>
          </w:tcPr>
          <w:p w14:paraId="60BE409A">
            <w:pPr>
              <w:spacing w:line="297" w:lineRule="auto"/>
              <w:rPr>
                <w:rFonts w:ascii="Arial"/>
                <w:sz w:val="21"/>
              </w:rPr>
            </w:pPr>
          </w:p>
          <w:p w14:paraId="0923A71C">
            <w:pPr>
              <w:spacing w:line="297" w:lineRule="auto"/>
              <w:rPr>
                <w:rFonts w:ascii="Arial"/>
                <w:sz w:val="21"/>
              </w:rPr>
            </w:pPr>
          </w:p>
          <w:p w14:paraId="5B5BC3BB">
            <w:pPr>
              <w:spacing w:line="297" w:lineRule="auto"/>
              <w:rPr>
                <w:rFonts w:ascii="Arial"/>
                <w:sz w:val="21"/>
              </w:rPr>
            </w:pPr>
          </w:p>
          <w:p w14:paraId="0458D6D4">
            <w:pPr>
              <w:spacing w:before="63"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37B2D276">
            <w:pPr>
              <w:pStyle w:val="6"/>
              <w:spacing w:before="65" w:line="236" w:lineRule="auto"/>
              <w:ind w:left="10" w:firstLine="1"/>
              <w:jc w:val="both"/>
            </w:pPr>
            <w:r>
              <w:rPr>
                <w:spacing w:val="-2"/>
              </w:rPr>
              <w:t>提升清洁生产和污染防治水平。新建、扩建</w:t>
            </w:r>
            <w:r>
              <w:rPr>
                <w:rFonts w:ascii="Times New Roman" w:hAnsi="Times New Roman" w:eastAsia="Times New Roman" w:cs="Times New Roman"/>
                <w:spacing w:val="-2"/>
              </w:rPr>
              <w:t>“</w:t>
            </w:r>
            <w:r>
              <w:rPr>
                <w:spacing w:val="-2"/>
              </w:rPr>
              <w:t>两高</w:t>
            </w:r>
            <w:r>
              <w:rPr>
                <w:rFonts w:ascii="Times New Roman" w:hAnsi="Times New Roman" w:eastAsia="Times New Roman" w:cs="Times New Roman"/>
                <w:spacing w:val="-2"/>
              </w:rPr>
              <w:t>”</w:t>
            </w:r>
            <w:r>
              <w:rPr>
                <w:spacing w:val="-2"/>
              </w:rPr>
              <w:t>项目应采用先</w:t>
            </w:r>
            <w:r>
              <w:rPr>
                <w:spacing w:val="-3"/>
              </w:rPr>
              <w:t>进适用</w:t>
            </w:r>
            <w:r>
              <w:t xml:space="preserve"> </w:t>
            </w:r>
            <w:r>
              <w:rPr>
                <w:spacing w:val="-3"/>
              </w:rPr>
              <w:t>的工艺技术和装备，单位产品物耗、能耗、水耗等达到清洁生产先进水</w:t>
            </w:r>
            <w:r>
              <w:rPr>
                <w:spacing w:val="3"/>
              </w:rPr>
              <w:t xml:space="preserve"> </w:t>
            </w:r>
            <w:r>
              <w:rPr>
                <w:spacing w:val="-3"/>
              </w:rPr>
              <w:t>平，依法制定并严格落实防治土壤与地下水污染的措施。国家或地方已</w:t>
            </w:r>
            <w:r>
              <w:rPr>
                <w:spacing w:val="3"/>
              </w:rPr>
              <w:t xml:space="preserve"> </w:t>
            </w:r>
            <w:r>
              <w:rPr>
                <w:spacing w:val="-2"/>
              </w:rPr>
              <w:t>出台超低排放要求的</w:t>
            </w:r>
            <w:r>
              <w:rPr>
                <w:rFonts w:ascii="Times New Roman" w:hAnsi="Times New Roman" w:eastAsia="Times New Roman" w:cs="Times New Roman"/>
                <w:spacing w:val="-2"/>
              </w:rPr>
              <w:t>“</w:t>
            </w:r>
            <w:r>
              <w:rPr>
                <w:spacing w:val="-2"/>
              </w:rPr>
              <w:t>两高</w:t>
            </w:r>
            <w:r>
              <w:rPr>
                <w:rFonts w:ascii="Times New Roman" w:hAnsi="Times New Roman" w:eastAsia="Times New Roman" w:cs="Times New Roman"/>
                <w:spacing w:val="-2"/>
              </w:rPr>
              <w:t>”</w:t>
            </w:r>
            <w:r>
              <w:rPr>
                <w:spacing w:val="-2"/>
              </w:rPr>
              <w:t>行业建设项目应满足超低排放要求。鼓励使</w:t>
            </w:r>
            <w:r>
              <w:t xml:space="preserve"> </w:t>
            </w:r>
            <w:r>
              <w:rPr>
                <w:spacing w:val="-3"/>
              </w:rPr>
              <w:t>用清洁燃料，重点区域建设项目原则上不新建燃煤自备锅炉。鼓励重点</w:t>
            </w:r>
            <w:r>
              <w:rPr>
                <w:spacing w:val="3"/>
              </w:rPr>
              <w:t xml:space="preserve"> </w:t>
            </w:r>
            <w:r>
              <w:rPr>
                <w:spacing w:val="2"/>
              </w:rPr>
              <w:t>区域高炉</w:t>
            </w:r>
            <w:r>
              <w:rPr>
                <w:rFonts w:ascii="Times New Roman" w:hAnsi="Times New Roman" w:eastAsia="Times New Roman" w:cs="Times New Roman"/>
                <w:spacing w:val="2"/>
              </w:rPr>
              <w:t>-</w:t>
            </w:r>
            <w:r>
              <w:rPr>
                <w:spacing w:val="2"/>
              </w:rPr>
              <w:t>转炉长流程钢铁企业转型为电炉短流程企业。大宗物</w:t>
            </w:r>
            <w:r>
              <w:rPr>
                <w:spacing w:val="1"/>
              </w:rPr>
              <w:t>料优先</w:t>
            </w:r>
            <w:r>
              <w:t xml:space="preserve"> 采用铁路、管道或水路运输，短途接驳优先使用</w:t>
            </w:r>
            <w:r>
              <w:rPr>
                <w:spacing w:val="-1"/>
              </w:rPr>
              <w:t>新能源车辆运输。</w:t>
            </w:r>
          </w:p>
        </w:tc>
        <w:tc>
          <w:tcPr>
            <w:tcW w:w="4111" w:type="dxa"/>
            <w:vAlign w:val="top"/>
          </w:tcPr>
          <w:p w14:paraId="74B81475">
            <w:pPr>
              <w:pStyle w:val="6"/>
              <w:spacing w:before="65" w:line="236" w:lineRule="auto"/>
              <w:ind w:left="10" w:right="1" w:firstLine="1"/>
              <w:jc w:val="both"/>
            </w:pPr>
            <w:r>
              <w:rPr>
                <w:spacing w:val="1"/>
              </w:rPr>
              <w:t>本项目属于铁合金冶炼行业，本次新建</w:t>
            </w:r>
            <w:r>
              <w:rPr>
                <w:rFonts w:ascii="Times New Roman" w:hAnsi="Times New Roman" w:eastAsia="Times New Roman" w:cs="Times New Roman"/>
                <w:spacing w:val="1"/>
              </w:rPr>
              <w:t>6</w:t>
            </w:r>
            <w:r>
              <w:rPr>
                <w:spacing w:val="1"/>
              </w:rPr>
              <w:t>台</w:t>
            </w:r>
            <w:r>
              <w:rPr>
                <w:spacing w:val="2"/>
              </w:rPr>
              <w:t xml:space="preserve"> </w:t>
            </w:r>
            <w:r>
              <w:rPr>
                <w:rFonts w:ascii="Times New Roman" w:hAnsi="Times New Roman" w:eastAsia="Times New Roman" w:cs="Times New Roman"/>
                <w:spacing w:val="-3"/>
              </w:rPr>
              <w:t>36MW</w:t>
            </w:r>
            <w:r>
              <w:rPr>
                <w:spacing w:val="-3"/>
              </w:rPr>
              <w:t>全密闭式矿热电炉生产锰硅合金，属</w:t>
            </w:r>
            <w:r>
              <w:rPr>
                <w:spacing w:val="9"/>
              </w:rPr>
              <w:t xml:space="preserve"> </w:t>
            </w:r>
            <w:r>
              <w:rPr>
                <w:spacing w:val="-5"/>
              </w:rPr>
              <w:t>于国内先进工艺技术和装备，各类指标并达</w:t>
            </w:r>
            <w:r>
              <w:rPr>
                <w:spacing w:val="8"/>
              </w:rPr>
              <w:t xml:space="preserve"> </w:t>
            </w:r>
            <w:r>
              <w:rPr>
                <w:spacing w:val="-5"/>
              </w:rPr>
              <w:t>到清洁生产的先进水平。本次评价制定土壤</w:t>
            </w:r>
            <w:r>
              <w:rPr>
                <w:spacing w:val="8"/>
              </w:rPr>
              <w:t xml:space="preserve"> </w:t>
            </w:r>
            <w:r>
              <w:rPr>
                <w:spacing w:val="-5"/>
              </w:rPr>
              <w:t>及地下水污染防治措施；本项目生产车间无</w:t>
            </w:r>
            <w:r>
              <w:rPr>
                <w:spacing w:val="8"/>
              </w:rPr>
              <w:t xml:space="preserve"> </w:t>
            </w:r>
            <w:r>
              <w:rPr>
                <w:spacing w:val="7"/>
              </w:rPr>
              <w:t xml:space="preserve">需采暖，办公生活区供暖依托现有厂区设 </w:t>
            </w:r>
            <w:r>
              <w:rPr>
                <w:spacing w:val="-4"/>
              </w:rPr>
              <w:t>施。</w:t>
            </w:r>
          </w:p>
        </w:tc>
        <w:tc>
          <w:tcPr>
            <w:tcW w:w="677" w:type="dxa"/>
            <w:tcBorders>
              <w:right w:val="nil"/>
            </w:tcBorders>
            <w:vAlign w:val="top"/>
          </w:tcPr>
          <w:p w14:paraId="6FE73CB8">
            <w:pPr>
              <w:spacing w:line="283" w:lineRule="auto"/>
              <w:rPr>
                <w:rFonts w:ascii="Arial"/>
                <w:sz w:val="21"/>
              </w:rPr>
            </w:pPr>
          </w:p>
          <w:p w14:paraId="4278AE6E">
            <w:pPr>
              <w:spacing w:line="283" w:lineRule="auto"/>
              <w:rPr>
                <w:rFonts w:ascii="Arial"/>
                <w:sz w:val="21"/>
              </w:rPr>
            </w:pPr>
          </w:p>
          <w:p w14:paraId="61612DE2">
            <w:pPr>
              <w:spacing w:line="283" w:lineRule="auto"/>
              <w:rPr>
                <w:rFonts w:ascii="Arial"/>
                <w:sz w:val="21"/>
              </w:rPr>
            </w:pPr>
          </w:p>
          <w:p w14:paraId="0EDA480E">
            <w:pPr>
              <w:pStyle w:val="6"/>
              <w:spacing w:before="72" w:line="220" w:lineRule="auto"/>
              <w:ind w:left="128"/>
            </w:pPr>
            <w:r>
              <w:rPr>
                <w:spacing w:val="-5"/>
              </w:rPr>
              <w:t>符合</w:t>
            </w:r>
          </w:p>
        </w:tc>
      </w:tr>
      <w:tr w14:paraId="03A43B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66" w:hRule="atLeast"/>
        </w:trPr>
        <w:tc>
          <w:tcPr>
            <w:tcW w:w="1560" w:type="dxa"/>
            <w:vMerge w:val="continue"/>
            <w:tcBorders>
              <w:top w:val="nil"/>
              <w:left w:val="nil"/>
              <w:bottom w:val="single" w:color="000000" w:sz="10" w:space="0"/>
            </w:tcBorders>
            <w:vAlign w:val="top"/>
          </w:tcPr>
          <w:p w14:paraId="11486DC8">
            <w:pPr>
              <w:rPr>
                <w:rFonts w:ascii="Arial"/>
                <w:sz w:val="21"/>
              </w:rPr>
            </w:pPr>
          </w:p>
        </w:tc>
        <w:tc>
          <w:tcPr>
            <w:tcW w:w="905" w:type="dxa"/>
            <w:tcBorders>
              <w:bottom w:val="single" w:color="000000" w:sz="10" w:space="0"/>
            </w:tcBorders>
            <w:vAlign w:val="top"/>
          </w:tcPr>
          <w:p w14:paraId="6D6A0F2E">
            <w:pPr>
              <w:spacing w:line="298" w:lineRule="auto"/>
              <w:rPr>
                <w:rFonts w:ascii="Arial"/>
                <w:sz w:val="21"/>
              </w:rPr>
            </w:pPr>
          </w:p>
          <w:p w14:paraId="074FD016">
            <w:pPr>
              <w:spacing w:line="299" w:lineRule="auto"/>
              <w:rPr>
                <w:rFonts w:ascii="Arial"/>
                <w:sz w:val="21"/>
              </w:rPr>
            </w:pPr>
          </w:p>
          <w:p w14:paraId="0AE8A473">
            <w:pPr>
              <w:spacing w:line="299" w:lineRule="auto"/>
              <w:rPr>
                <w:rFonts w:ascii="Arial"/>
                <w:sz w:val="21"/>
              </w:rPr>
            </w:pPr>
          </w:p>
          <w:p w14:paraId="2ACAD8C2">
            <w:pPr>
              <w:spacing w:before="63"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tcBorders>
              <w:bottom w:val="single" w:color="000000" w:sz="10" w:space="0"/>
            </w:tcBorders>
            <w:vAlign w:val="top"/>
          </w:tcPr>
          <w:p w14:paraId="5D11EA40">
            <w:pPr>
              <w:pStyle w:val="6"/>
              <w:spacing w:before="80" w:line="236" w:lineRule="auto"/>
              <w:ind w:left="9"/>
              <w:jc w:val="both"/>
            </w:pPr>
            <w:r>
              <w:rPr>
                <w:spacing w:val="-4"/>
              </w:rPr>
              <w:t>将碳排放影响评价纳入环境影响评价体系。</w:t>
            </w:r>
            <w:r>
              <w:rPr>
                <w:spacing w:val="-5"/>
              </w:rPr>
              <w:t>各级生态环境部门和行政审</w:t>
            </w:r>
            <w:r>
              <w:t xml:space="preserve"> </w:t>
            </w:r>
            <w:r>
              <w:rPr>
                <w:spacing w:val="-4"/>
              </w:rPr>
              <w:t>批部门应积极推进</w:t>
            </w:r>
            <w:r>
              <w:rPr>
                <w:rFonts w:ascii="Times New Roman" w:hAnsi="Times New Roman" w:eastAsia="Times New Roman" w:cs="Times New Roman"/>
                <w:spacing w:val="-4"/>
              </w:rPr>
              <w:t>“</w:t>
            </w:r>
            <w:r>
              <w:rPr>
                <w:spacing w:val="-4"/>
              </w:rPr>
              <w:t>两高</w:t>
            </w:r>
            <w:r>
              <w:rPr>
                <w:rFonts w:ascii="Times New Roman" w:hAnsi="Times New Roman" w:eastAsia="Times New Roman" w:cs="Times New Roman"/>
                <w:spacing w:val="-4"/>
              </w:rPr>
              <w:t>”</w:t>
            </w:r>
            <w:r>
              <w:rPr>
                <w:spacing w:val="-4"/>
              </w:rPr>
              <w:t>项目环评开展试点工作，衔接落实有关区域和</w:t>
            </w:r>
            <w:r>
              <w:rPr>
                <w:spacing w:val="16"/>
              </w:rPr>
              <w:t xml:space="preserve"> </w:t>
            </w:r>
            <w:r>
              <w:rPr>
                <w:spacing w:val="-5"/>
              </w:rPr>
              <w:t>行业碳达峰行动方案、清洁能源替代、清洁运输、煤炭消费总量控制等</w:t>
            </w:r>
            <w:r>
              <w:rPr>
                <w:spacing w:val="18"/>
              </w:rPr>
              <w:t xml:space="preserve"> </w:t>
            </w:r>
            <w:r>
              <w:rPr>
                <w:spacing w:val="-4"/>
              </w:rPr>
              <w:t>政策要求。在环评工作中，统筹开展污染物和碳</w:t>
            </w:r>
            <w:r>
              <w:rPr>
                <w:spacing w:val="-5"/>
              </w:rPr>
              <w:t>排放的源项识别、源强</w:t>
            </w:r>
            <w:r>
              <w:t xml:space="preserve"> </w:t>
            </w:r>
            <w:r>
              <w:rPr>
                <w:spacing w:val="-3"/>
              </w:rPr>
              <w:t>核算、减污降碳措施可行性论证及方案比选，提出协同控制最优方案。</w:t>
            </w:r>
            <w:r>
              <w:rPr>
                <w:spacing w:val="5"/>
              </w:rPr>
              <w:t xml:space="preserve"> </w:t>
            </w:r>
            <w:r>
              <w:rPr>
                <w:spacing w:val="-3"/>
              </w:rPr>
              <w:t>鼓励有条件的地区、企业探索实施减污降碳协同治理和碳捕集、封存、</w:t>
            </w:r>
            <w:r>
              <w:rPr>
                <w:spacing w:val="5"/>
              </w:rPr>
              <w:t xml:space="preserve"> </w:t>
            </w:r>
            <w:r>
              <w:rPr>
                <w:spacing w:val="-2"/>
              </w:rPr>
              <w:t>综合利用工程试点、示范。</w:t>
            </w:r>
          </w:p>
        </w:tc>
        <w:tc>
          <w:tcPr>
            <w:tcW w:w="4111" w:type="dxa"/>
            <w:tcBorders>
              <w:bottom w:val="single" w:color="000000" w:sz="10" w:space="0"/>
            </w:tcBorders>
            <w:vAlign w:val="top"/>
          </w:tcPr>
          <w:p w14:paraId="202EF7F0">
            <w:pPr>
              <w:spacing w:line="356" w:lineRule="auto"/>
              <w:rPr>
                <w:rFonts w:ascii="Arial"/>
                <w:sz w:val="21"/>
              </w:rPr>
            </w:pPr>
          </w:p>
          <w:p w14:paraId="5902AEEB">
            <w:pPr>
              <w:spacing w:line="357" w:lineRule="auto"/>
              <w:rPr>
                <w:rFonts w:ascii="Arial"/>
                <w:sz w:val="21"/>
              </w:rPr>
            </w:pPr>
          </w:p>
          <w:p w14:paraId="75B4962D">
            <w:pPr>
              <w:pStyle w:val="6"/>
              <w:spacing w:before="72" w:line="229" w:lineRule="auto"/>
              <w:ind w:left="10"/>
            </w:pPr>
            <w:r>
              <w:rPr>
                <w:spacing w:val="-5"/>
              </w:rPr>
              <w:t>本次评价增加碳排放源项识别、源强核算、</w:t>
            </w:r>
            <w:r>
              <w:rPr>
                <w:spacing w:val="8"/>
              </w:rPr>
              <w:t xml:space="preserve"> </w:t>
            </w:r>
            <w:r>
              <w:rPr>
                <w:spacing w:val="-3"/>
              </w:rPr>
              <w:t>减污降碳措施等内容。</w:t>
            </w:r>
          </w:p>
        </w:tc>
        <w:tc>
          <w:tcPr>
            <w:tcW w:w="677" w:type="dxa"/>
            <w:tcBorders>
              <w:bottom w:val="single" w:color="000000" w:sz="10" w:space="0"/>
              <w:right w:val="nil"/>
            </w:tcBorders>
            <w:vAlign w:val="top"/>
          </w:tcPr>
          <w:p w14:paraId="7F1FAC7D">
            <w:pPr>
              <w:spacing w:line="284" w:lineRule="auto"/>
              <w:rPr>
                <w:rFonts w:ascii="Arial"/>
                <w:sz w:val="21"/>
              </w:rPr>
            </w:pPr>
          </w:p>
          <w:p w14:paraId="73D552DC">
            <w:pPr>
              <w:spacing w:line="285" w:lineRule="auto"/>
              <w:rPr>
                <w:rFonts w:ascii="Arial"/>
                <w:sz w:val="21"/>
              </w:rPr>
            </w:pPr>
          </w:p>
          <w:p w14:paraId="4E7B3E28">
            <w:pPr>
              <w:spacing w:line="285" w:lineRule="auto"/>
              <w:rPr>
                <w:rFonts w:ascii="Arial"/>
                <w:sz w:val="21"/>
              </w:rPr>
            </w:pPr>
          </w:p>
          <w:p w14:paraId="504C57E5">
            <w:pPr>
              <w:pStyle w:val="6"/>
              <w:spacing w:before="72" w:line="220" w:lineRule="auto"/>
              <w:ind w:left="128"/>
            </w:pPr>
            <w:r>
              <w:rPr>
                <w:spacing w:val="-5"/>
              </w:rPr>
              <w:t>符合</w:t>
            </w:r>
          </w:p>
        </w:tc>
      </w:tr>
    </w:tbl>
    <w:p w14:paraId="61956ABD">
      <w:pPr>
        <w:pStyle w:val="2"/>
      </w:pPr>
    </w:p>
    <w:p w14:paraId="3447EC61">
      <w:pPr>
        <w:sectPr>
          <w:footerReference r:id="rId22" w:type="default"/>
          <w:pgSz w:w="16839" w:h="11906"/>
          <w:pgMar w:top="1178" w:right="1418" w:bottom="1212" w:left="1418" w:header="870" w:footer="1025" w:gutter="0"/>
          <w:cols w:space="720" w:num="1"/>
        </w:sectPr>
      </w:pPr>
    </w:p>
    <w:p w14:paraId="27D88236">
      <w:pPr>
        <w:spacing w:line="238" w:lineRule="exact"/>
      </w:pPr>
      <w:r>
        <w:pict>
          <v:shape id="_x0000_s1038" o:spid="_x0000_s1038" style="position:absolute;left:0pt;margin-left:70.9pt;margin-top:59.65pt;height:0.75pt;width:700.1pt;mso-position-horizontal-relative:page;mso-position-vertical-relative:page;z-index:251672576;mso-width-relative:page;mso-height-relative:page;" fillcolor="#000000" filled="t" stroked="f" coordsize="14001,15" o:allowincell="f" path="m0,0l14001,0,14001,14,0,14,0,0xe">
            <v:path/>
            <v:fill on="t" focussize="0,0"/>
            <v:stroke on="f"/>
            <v:imagedata o:title=""/>
            <o:lock v:ext="edit"/>
          </v:shape>
        </w:pict>
      </w:r>
    </w:p>
    <w:tbl>
      <w:tblPr>
        <w:tblStyle w:val="5"/>
        <w:tblW w:w="1400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0"/>
        <w:gridCol w:w="905"/>
        <w:gridCol w:w="6749"/>
        <w:gridCol w:w="4111"/>
        <w:gridCol w:w="677"/>
      </w:tblGrid>
      <w:tr w14:paraId="5F5C52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5" w:hRule="atLeast"/>
        </w:trPr>
        <w:tc>
          <w:tcPr>
            <w:tcW w:w="1560" w:type="dxa"/>
            <w:vMerge w:val="restart"/>
            <w:tcBorders>
              <w:top w:val="single" w:color="000000" w:sz="10" w:space="0"/>
              <w:left w:val="nil"/>
              <w:bottom w:val="nil"/>
            </w:tcBorders>
            <w:vAlign w:val="top"/>
          </w:tcPr>
          <w:p w14:paraId="7A310410">
            <w:pPr>
              <w:spacing w:line="245" w:lineRule="auto"/>
              <w:rPr>
                <w:rFonts w:ascii="Arial"/>
                <w:sz w:val="21"/>
              </w:rPr>
            </w:pPr>
          </w:p>
          <w:p w14:paraId="46209C5B">
            <w:pPr>
              <w:spacing w:line="245" w:lineRule="auto"/>
              <w:rPr>
                <w:rFonts w:ascii="Arial"/>
                <w:sz w:val="21"/>
              </w:rPr>
            </w:pPr>
          </w:p>
          <w:p w14:paraId="6E06FD9E">
            <w:pPr>
              <w:spacing w:line="245" w:lineRule="auto"/>
              <w:rPr>
                <w:rFonts w:ascii="Arial"/>
                <w:sz w:val="21"/>
              </w:rPr>
            </w:pPr>
          </w:p>
          <w:p w14:paraId="7FB5E77B">
            <w:pPr>
              <w:spacing w:line="245" w:lineRule="auto"/>
              <w:rPr>
                <w:rFonts w:ascii="Arial"/>
                <w:sz w:val="21"/>
              </w:rPr>
            </w:pPr>
          </w:p>
          <w:p w14:paraId="5A305694">
            <w:pPr>
              <w:spacing w:line="245" w:lineRule="auto"/>
              <w:rPr>
                <w:rFonts w:ascii="Arial"/>
                <w:sz w:val="21"/>
              </w:rPr>
            </w:pPr>
          </w:p>
          <w:p w14:paraId="6CF77F49">
            <w:pPr>
              <w:pStyle w:val="6"/>
              <w:spacing w:before="72" w:line="233" w:lineRule="auto"/>
              <w:ind w:left="139" w:right="107"/>
              <w:jc w:val="both"/>
            </w:pPr>
            <w:r>
              <w:rPr>
                <w:spacing w:val="-2"/>
              </w:rPr>
              <w:t>《高耗能行业</w:t>
            </w:r>
            <w:r>
              <w:rPr>
                <w:spacing w:val="1"/>
              </w:rPr>
              <w:t xml:space="preserve"> </w:t>
            </w:r>
            <w:r>
              <w:rPr>
                <w:spacing w:val="-2"/>
              </w:rPr>
              <w:t>重点领域节能</w:t>
            </w:r>
            <w:r>
              <w:rPr>
                <w:spacing w:val="1"/>
              </w:rPr>
              <w:t xml:space="preserve"> </w:t>
            </w:r>
            <w:r>
              <w:rPr>
                <w:spacing w:val="-2"/>
              </w:rPr>
              <w:t>降碳改造升级</w:t>
            </w:r>
          </w:p>
          <w:p w14:paraId="1E0C6C2D">
            <w:pPr>
              <w:pStyle w:val="6"/>
              <w:spacing w:before="25" w:line="232" w:lineRule="auto"/>
              <w:ind w:left="175" w:right="152" w:firstLine="189"/>
              <w:jc w:val="both"/>
            </w:pPr>
            <w:r>
              <w:rPr>
                <w:spacing w:val="-4"/>
              </w:rPr>
              <w:t>实施指南</w:t>
            </w:r>
            <w:r>
              <w:rPr>
                <w:spacing w:val="1"/>
              </w:rPr>
              <w:t xml:space="preserve">  </w:t>
            </w:r>
            <w:r>
              <w:rPr>
                <w:rFonts w:ascii="Times New Roman" w:hAnsi="Times New Roman" w:eastAsia="Times New Roman" w:cs="Times New Roman"/>
                <w:spacing w:val="-2"/>
              </w:rPr>
              <w:t>(2022</w:t>
            </w:r>
            <w:r>
              <w:rPr>
                <w:spacing w:val="-2"/>
              </w:rPr>
              <w:t>年版</w:t>
            </w:r>
            <w:r>
              <w:rPr>
                <w:rFonts w:ascii="Times New Roman" w:hAnsi="Times New Roman" w:eastAsia="Times New Roman" w:cs="Times New Roman"/>
                <w:spacing w:val="-2"/>
              </w:rPr>
              <w:t>)</w:t>
            </w:r>
            <w:r>
              <w:rPr>
                <w:spacing w:val="-2"/>
              </w:rPr>
              <w:t>》</w:t>
            </w:r>
            <w:r>
              <w:t xml:space="preserve"> </w:t>
            </w:r>
            <w:r>
              <w:rPr>
                <w:spacing w:val="13"/>
              </w:rPr>
              <w:t>（发改产业</w:t>
            </w:r>
          </w:p>
          <w:p w14:paraId="01DAB5CA">
            <w:pPr>
              <w:pStyle w:val="6"/>
              <w:spacing w:before="22" w:line="231" w:lineRule="auto"/>
              <w:ind w:left="582" w:right="160" w:hanging="363"/>
            </w:pPr>
            <w:r>
              <w:rPr>
                <w:spacing w:val="-4"/>
              </w:rPr>
              <w:t>〔</w:t>
            </w:r>
            <w:r>
              <w:rPr>
                <w:rFonts w:ascii="Times New Roman" w:hAnsi="Times New Roman" w:eastAsia="Times New Roman" w:cs="Times New Roman"/>
                <w:spacing w:val="-4"/>
              </w:rPr>
              <w:t>2022</w:t>
            </w:r>
            <w:r>
              <w:rPr>
                <w:spacing w:val="-4"/>
              </w:rPr>
              <w:t>〕</w:t>
            </w:r>
            <w:r>
              <w:rPr>
                <w:rFonts w:ascii="Times New Roman" w:hAnsi="Times New Roman" w:eastAsia="Times New Roman" w:cs="Times New Roman"/>
                <w:spacing w:val="-4"/>
              </w:rPr>
              <w:t>200</w:t>
            </w:r>
            <w:r>
              <w:rPr>
                <w:rFonts w:ascii="Times New Roman" w:hAnsi="Times New Roman" w:eastAsia="Times New Roman" w:cs="Times New Roman"/>
                <w:spacing w:val="3"/>
              </w:rPr>
              <w:t xml:space="preserve"> </w:t>
            </w:r>
            <w:r>
              <w:rPr>
                <w:spacing w:val="-7"/>
              </w:rPr>
              <w:t>号）</w:t>
            </w:r>
          </w:p>
        </w:tc>
        <w:tc>
          <w:tcPr>
            <w:tcW w:w="905" w:type="dxa"/>
            <w:tcBorders>
              <w:top w:val="single" w:color="000000" w:sz="10" w:space="0"/>
            </w:tcBorders>
            <w:vAlign w:val="top"/>
          </w:tcPr>
          <w:p w14:paraId="1BE95CA6">
            <w:pPr>
              <w:spacing w:line="329" w:lineRule="auto"/>
              <w:rPr>
                <w:rFonts w:ascii="Arial"/>
                <w:sz w:val="21"/>
              </w:rPr>
            </w:pPr>
          </w:p>
          <w:p w14:paraId="471637A0">
            <w:pPr>
              <w:spacing w:line="329" w:lineRule="auto"/>
              <w:rPr>
                <w:rFonts w:ascii="Arial"/>
                <w:sz w:val="21"/>
              </w:rPr>
            </w:pPr>
          </w:p>
          <w:p w14:paraId="26B15E53">
            <w:pPr>
              <w:spacing w:before="64"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tcBorders>
              <w:top w:val="single" w:color="000000" w:sz="10" w:space="0"/>
            </w:tcBorders>
            <w:vAlign w:val="top"/>
          </w:tcPr>
          <w:p w14:paraId="5AAF15F5">
            <w:pPr>
              <w:pStyle w:val="6"/>
              <w:spacing w:before="72" w:line="262" w:lineRule="auto"/>
              <w:ind w:left="11"/>
              <w:jc w:val="both"/>
            </w:pPr>
            <w:r>
              <w:rPr>
                <w:spacing w:val="-3"/>
              </w:rPr>
              <w:t>根据《高耗能行业重点领域能效标杆水平和基准水平（</w:t>
            </w:r>
            <w:r>
              <w:rPr>
                <w:rFonts w:ascii="Times New Roman" w:hAnsi="Times New Roman" w:eastAsia="Times New Roman" w:cs="Times New Roman"/>
                <w:spacing w:val="-3"/>
              </w:rPr>
              <w:t>2021</w:t>
            </w:r>
            <w:r>
              <w:rPr>
                <w:spacing w:val="-3"/>
              </w:rPr>
              <w:t>年版）》，</w:t>
            </w:r>
            <w:r>
              <w:rPr>
                <w:spacing w:val="10"/>
              </w:rPr>
              <w:t xml:space="preserve"> </w:t>
            </w:r>
            <w:r>
              <w:t>硅铁铁合金单位产品能效标杆水平为</w:t>
            </w:r>
            <w:r>
              <w:rPr>
                <w:rFonts w:ascii="Times New Roman" w:hAnsi="Times New Roman" w:eastAsia="Times New Roman" w:cs="Times New Roman"/>
              </w:rPr>
              <w:t>1770</w:t>
            </w:r>
            <w:r>
              <w:t>千克标准煤</w:t>
            </w:r>
            <w:r>
              <w:rPr>
                <w:rFonts w:ascii="Times New Roman" w:hAnsi="Times New Roman" w:eastAsia="Times New Roman" w:cs="Times New Roman"/>
              </w:rPr>
              <w:t>/</w:t>
            </w:r>
            <w:r>
              <w:t xml:space="preserve">吨、基准水平为 </w:t>
            </w:r>
            <w:r>
              <w:rPr>
                <w:rFonts w:ascii="Times New Roman" w:hAnsi="Times New Roman" w:eastAsia="Times New Roman" w:cs="Times New Roman"/>
                <w:spacing w:val="-2"/>
              </w:rPr>
              <w:t>1900</w:t>
            </w:r>
            <w:r>
              <w:rPr>
                <w:spacing w:val="-2"/>
              </w:rPr>
              <w:t>千克标准煤</w:t>
            </w:r>
            <w:r>
              <w:rPr>
                <w:rFonts w:ascii="Times New Roman" w:hAnsi="Times New Roman" w:eastAsia="Times New Roman" w:cs="Times New Roman"/>
                <w:spacing w:val="-2"/>
              </w:rPr>
              <w:t>/</w:t>
            </w:r>
            <w:r>
              <w:rPr>
                <w:spacing w:val="-2"/>
              </w:rPr>
              <w:t>吨；锰硅铁合金单位产品能效标杆水平为</w:t>
            </w:r>
            <w:r>
              <w:rPr>
                <w:rFonts w:ascii="Times New Roman" w:hAnsi="Times New Roman" w:eastAsia="Times New Roman" w:cs="Times New Roman"/>
                <w:spacing w:val="-2"/>
              </w:rPr>
              <w:t>860</w:t>
            </w:r>
            <w:r>
              <w:rPr>
                <w:spacing w:val="-2"/>
              </w:rPr>
              <w:t>千克</w:t>
            </w:r>
            <w:r>
              <w:rPr>
                <w:spacing w:val="-3"/>
              </w:rPr>
              <w:t>标准</w:t>
            </w:r>
            <w:r>
              <w:t xml:space="preserve"> </w:t>
            </w:r>
            <w:r>
              <w:rPr>
                <w:spacing w:val="-4"/>
              </w:rPr>
              <w:t>煤</w:t>
            </w:r>
            <w:r>
              <w:rPr>
                <w:rFonts w:ascii="Times New Roman" w:hAnsi="Times New Roman" w:eastAsia="Times New Roman" w:cs="Times New Roman"/>
                <w:spacing w:val="-4"/>
              </w:rPr>
              <w:t>/</w:t>
            </w:r>
            <w:r>
              <w:rPr>
                <w:spacing w:val="-4"/>
              </w:rPr>
              <w:t>吨、基准水平为</w:t>
            </w:r>
            <w:r>
              <w:rPr>
                <w:rFonts w:ascii="Times New Roman" w:hAnsi="Times New Roman" w:eastAsia="Times New Roman" w:cs="Times New Roman"/>
                <w:spacing w:val="-4"/>
              </w:rPr>
              <w:t>950</w:t>
            </w:r>
            <w:r>
              <w:rPr>
                <w:spacing w:val="-4"/>
              </w:rPr>
              <w:t>千克标准煤</w:t>
            </w:r>
            <w:r>
              <w:rPr>
                <w:rFonts w:ascii="Times New Roman" w:hAnsi="Times New Roman" w:eastAsia="Times New Roman" w:cs="Times New Roman"/>
                <w:spacing w:val="-4"/>
              </w:rPr>
              <w:t>/</w:t>
            </w:r>
            <w:r>
              <w:rPr>
                <w:spacing w:val="-4"/>
              </w:rPr>
              <w:t>吨；高碳铬铁铁合金单位产品能效标</w:t>
            </w:r>
          </w:p>
          <w:p w14:paraId="39807EFE">
            <w:pPr>
              <w:pStyle w:val="6"/>
              <w:spacing w:before="30" w:line="204" w:lineRule="auto"/>
              <w:ind w:left="460"/>
            </w:pPr>
            <w:r>
              <w:t>杆水平为</w:t>
            </w:r>
            <w:r>
              <w:rPr>
                <w:rFonts w:ascii="Times New Roman" w:hAnsi="Times New Roman" w:eastAsia="Times New Roman" w:cs="Times New Roman"/>
              </w:rPr>
              <w:t>710</w:t>
            </w:r>
            <w:r>
              <w:t>千克标准煤</w:t>
            </w:r>
            <w:r>
              <w:rPr>
                <w:rFonts w:ascii="Times New Roman" w:hAnsi="Times New Roman" w:eastAsia="Times New Roman" w:cs="Times New Roman"/>
              </w:rPr>
              <w:t>/</w:t>
            </w:r>
            <w:r>
              <w:t>吨、基准水平</w:t>
            </w:r>
            <w:r>
              <w:rPr>
                <w:spacing w:val="-1"/>
              </w:rPr>
              <w:t>为</w:t>
            </w:r>
            <w:r>
              <w:rPr>
                <w:rFonts w:ascii="Times New Roman" w:hAnsi="Times New Roman" w:eastAsia="Times New Roman" w:cs="Times New Roman"/>
                <w:spacing w:val="-1"/>
              </w:rPr>
              <w:t>800</w:t>
            </w:r>
            <w:r>
              <w:rPr>
                <w:spacing w:val="-1"/>
              </w:rPr>
              <w:t>千克标准煤</w:t>
            </w:r>
            <w:r>
              <w:rPr>
                <w:rFonts w:ascii="Times New Roman" w:hAnsi="Times New Roman" w:eastAsia="Times New Roman" w:cs="Times New Roman"/>
                <w:spacing w:val="-1"/>
              </w:rPr>
              <w:t>/</w:t>
            </w:r>
            <w:r>
              <w:rPr>
                <w:spacing w:val="-1"/>
              </w:rPr>
              <w:t>吨。</w:t>
            </w:r>
          </w:p>
        </w:tc>
        <w:tc>
          <w:tcPr>
            <w:tcW w:w="4111" w:type="dxa"/>
            <w:tcBorders>
              <w:top w:val="single" w:color="000000" w:sz="10" w:space="0"/>
            </w:tcBorders>
            <w:vAlign w:val="top"/>
          </w:tcPr>
          <w:p w14:paraId="2EC28968">
            <w:pPr>
              <w:spacing w:line="478" w:lineRule="auto"/>
              <w:rPr>
                <w:rFonts w:ascii="Arial"/>
                <w:sz w:val="21"/>
              </w:rPr>
            </w:pPr>
          </w:p>
          <w:p w14:paraId="4DA514FB">
            <w:pPr>
              <w:pStyle w:val="6"/>
              <w:spacing w:before="71" w:line="255" w:lineRule="auto"/>
              <w:ind w:left="12" w:right="1" w:firstLine="1"/>
            </w:pPr>
            <w:r>
              <w:t>项目产品能效为</w:t>
            </w:r>
            <w:r>
              <w:rPr>
                <w:rFonts w:ascii="Times New Roman" w:hAnsi="Times New Roman" w:eastAsia="Times New Roman" w:cs="Times New Roman"/>
              </w:rPr>
              <w:t>837.89</w:t>
            </w:r>
            <w:r>
              <w:t>千克</w:t>
            </w:r>
            <w:r>
              <w:rPr>
                <w:rFonts w:ascii="Times New Roman" w:hAnsi="Times New Roman" w:eastAsia="Times New Roman" w:cs="Times New Roman"/>
              </w:rPr>
              <w:t>/</w:t>
            </w:r>
            <w:r>
              <w:t>吨＜</w:t>
            </w:r>
            <w:r>
              <w:rPr>
                <w:rFonts w:ascii="Times New Roman" w:hAnsi="Times New Roman" w:eastAsia="Times New Roman" w:cs="Times New Roman"/>
              </w:rPr>
              <w:t>860</w:t>
            </w:r>
            <w:r>
              <w:t>千克标</w:t>
            </w:r>
            <w:r>
              <w:rPr>
                <w:spacing w:val="12"/>
              </w:rPr>
              <w:t xml:space="preserve"> </w:t>
            </w:r>
            <w:r>
              <w:rPr>
                <w:spacing w:val="-2"/>
              </w:rPr>
              <w:t>准煤</w:t>
            </w:r>
            <w:r>
              <w:rPr>
                <w:rFonts w:ascii="Times New Roman" w:hAnsi="Times New Roman" w:eastAsia="Times New Roman" w:cs="Times New Roman"/>
                <w:spacing w:val="-2"/>
              </w:rPr>
              <w:t>/</w:t>
            </w:r>
            <w:r>
              <w:rPr>
                <w:spacing w:val="-2"/>
              </w:rPr>
              <w:t>吨。</w:t>
            </w:r>
          </w:p>
        </w:tc>
        <w:tc>
          <w:tcPr>
            <w:tcW w:w="677" w:type="dxa"/>
            <w:tcBorders>
              <w:top w:val="single" w:color="000000" w:sz="10" w:space="0"/>
              <w:right w:val="nil"/>
            </w:tcBorders>
            <w:vAlign w:val="top"/>
          </w:tcPr>
          <w:p w14:paraId="71EEDBBA">
            <w:pPr>
              <w:spacing w:line="318" w:lineRule="auto"/>
              <w:rPr>
                <w:rFonts w:ascii="Arial"/>
                <w:sz w:val="21"/>
              </w:rPr>
            </w:pPr>
          </w:p>
          <w:p w14:paraId="0349430D">
            <w:pPr>
              <w:spacing w:line="318" w:lineRule="auto"/>
              <w:rPr>
                <w:rFonts w:ascii="Arial"/>
                <w:sz w:val="21"/>
              </w:rPr>
            </w:pPr>
          </w:p>
          <w:p w14:paraId="0FBC228F">
            <w:pPr>
              <w:pStyle w:val="6"/>
              <w:spacing w:before="71" w:line="220" w:lineRule="auto"/>
              <w:ind w:left="128"/>
              <w:outlineLvl w:val="2"/>
            </w:pPr>
            <w:bookmarkStart w:id="261" w:name="bookmark17"/>
            <w:bookmarkEnd w:id="261"/>
            <w:r>
              <w:rPr>
                <w:spacing w:val="-5"/>
              </w:rPr>
              <w:t>符合</w:t>
            </w:r>
          </w:p>
        </w:tc>
      </w:tr>
      <w:tr w14:paraId="699CF6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1" w:hRule="atLeast"/>
        </w:trPr>
        <w:tc>
          <w:tcPr>
            <w:tcW w:w="1560" w:type="dxa"/>
            <w:vMerge w:val="continue"/>
            <w:tcBorders>
              <w:top w:val="nil"/>
              <w:left w:val="nil"/>
              <w:bottom w:val="nil"/>
            </w:tcBorders>
            <w:vAlign w:val="top"/>
          </w:tcPr>
          <w:p w14:paraId="16BC9AF9">
            <w:pPr>
              <w:rPr>
                <w:rFonts w:ascii="Arial"/>
                <w:sz w:val="21"/>
              </w:rPr>
            </w:pPr>
          </w:p>
        </w:tc>
        <w:tc>
          <w:tcPr>
            <w:tcW w:w="905" w:type="dxa"/>
            <w:vAlign w:val="top"/>
          </w:tcPr>
          <w:p w14:paraId="0BB643E3">
            <w:pPr>
              <w:spacing w:line="249" w:lineRule="auto"/>
              <w:rPr>
                <w:rFonts w:ascii="Arial"/>
                <w:sz w:val="21"/>
              </w:rPr>
            </w:pPr>
          </w:p>
          <w:p w14:paraId="2147288A">
            <w:pPr>
              <w:spacing w:line="250" w:lineRule="auto"/>
              <w:rPr>
                <w:rFonts w:ascii="Arial"/>
                <w:sz w:val="21"/>
              </w:rPr>
            </w:pPr>
          </w:p>
          <w:p w14:paraId="37D6EFA4">
            <w:pPr>
              <w:spacing w:before="63"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4E2101D5">
            <w:pPr>
              <w:pStyle w:val="6"/>
              <w:spacing w:before="69" w:line="252" w:lineRule="auto"/>
              <w:ind w:left="11"/>
              <w:jc w:val="both"/>
            </w:pPr>
            <w:r>
              <w:rPr>
                <w:spacing w:val="-5"/>
              </w:rPr>
              <w:t>加大新技术的推广应用，鼓励采用炉料预处理、原料精料入炉，提高炉</w:t>
            </w:r>
            <w:r>
              <w:rPr>
                <w:spacing w:val="18"/>
              </w:rPr>
              <w:t xml:space="preserve"> </w:t>
            </w:r>
            <w:r>
              <w:rPr>
                <w:spacing w:val="-3"/>
              </w:rPr>
              <w:t>料热熔性能，减少熔渣能源消耗。推广煤气干法除尘、组合式把持器、</w:t>
            </w:r>
            <w:r>
              <w:rPr>
                <w:spacing w:val="4"/>
              </w:rPr>
              <w:t xml:space="preserve"> </w:t>
            </w:r>
            <w:r>
              <w:rPr>
                <w:spacing w:val="-3"/>
              </w:rPr>
              <w:t>无功补偿及电压优化、变频调速等先进适用技术。研究开发熔融还原、</w:t>
            </w:r>
            <w:r>
              <w:rPr>
                <w:spacing w:val="4"/>
              </w:rPr>
              <w:t xml:space="preserve"> </w:t>
            </w:r>
            <w:r>
              <w:rPr>
                <w:spacing w:val="-2"/>
              </w:rPr>
              <w:t>等离子炉冶炼、连铸连破等新技术，提升生产效率、降低能耗。</w:t>
            </w:r>
          </w:p>
        </w:tc>
        <w:tc>
          <w:tcPr>
            <w:tcW w:w="4111" w:type="dxa"/>
            <w:vAlign w:val="top"/>
          </w:tcPr>
          <w:p w14:paraId="3455EC72">
            <w:pPr>
              <w:pStyle w:val="6"/>
              <w:spacing w:before="231" w:line="260" w:lineRule="auto"/>
              <w:ind w:left="10" w:right="1"/>
              <w:jc w:val="both"/>
            </w:pPr>
            <w:r>
              <w:rPr>
                <w:spacing w:val="-1"/>
              </w:rPr>
              <w:t>本次新建</w:t>
            </w:r>
            <w:r>
              <w:rPr>
                <w:rFonts w:ascii="Times New Roman" w:hAnsi="Times New Roman" w:eastAsia="Times New Roman" w:cs="Times New Roman"/>
                <w:spacing w:val="-1"/>
              </w:rPr>
              <w:t>6</w:t>
            </w:r>
            <w:r>
              <w:rPr>
                <w:spacing w:val="-1"/>
              </w:rPr>
              <w:t>台</w:t>
            </w:r>
            <w:r>
              <w:rPr>
                <w:rFonts w:ascii="Times New Roman" w:hAnsi="Times New Roman" w:eastAsia="Times New Roman" w:cs="Times New Roman"/>
                <w:spacing w:val="-1"/>
              </w:rPr>
              <w:t>36MW</w:t>
            </w:r>
            <w:r>
              <w:rPr>
                <w:spacing w:val="-1"/>
              </w:rPr>
              <w:t>全密闭式矿热电炉生产</w:t>
            </w:r>
            <w:r>
              <w:rPr>
                <w:spacing w:val="10"/>
              </w:rPr>
              <w:t xml:space="preserve"> </w:t>
            </w:r>
            <w:r>
              <w:rPr>
                <w:spacing w:val="-5"/>
              </w:rPr>
              <w:t>锰硅合金，同时配套煤气发电装置，电炉煤</w:t>
            </w:r>
            <w:r>
              <w:rPr>
                <w:spacing w:val="7"/>
              </w:rPr>
              <w:t xml:space="preserve"> </w:t>
            </w:r>
            <w:r>
              <w:rPr>
                <w:spacing w:val="-1"/>
              </w:rPr>
              <w:t>气达到</w:t>
            </w:r>
            <w:r>
              <w:rPr>
                <w:rFonts w:ascii="Times New Roman" w:hAnsi="Times New Roman" w:eastAsia="Times New Roman" w:cs="Times New Roman"/>
                <w:spacing w:val="-1"/>
              </w:rPr>
              <w:t>100%</w:t>
            </w:r>
            <w:r>
              <w:rPr>
                <w:spacing w:val="-1"/>
              </w:rPr>
              <w:t>回收利用。</w:t>
            </w:r>
          </w:p>
        </w:tc>
        <w:tc>
          <w:tcPr>
            <w:tcW w:w="677" w:type="dxa"/>
            <w:tcBorders>
              <w:right w:val="nil"/>
            </w:tcBorders>
            <w:vAlign w:val="top"/>
          </w:tcPr>
          <w:p w14:paraId="2BC1E7A2">
            <w:pPr>
              <w:spacing w:line="476" w:lineRule="auto"/>
              <w:rPr>
                <w:rFonts w:ascii="Arial"/>
                <w:sz w:val="21"/>
              </w:rPr>
            </w:pPr>
          </w:p>
          <w:p w14:paraId="2F2B4D29">
            <w:pPr>
              <w:pStyle w:val="6"/>
              <w:spacing w:before="72" w:line="220" w:lineRule="auto"/>
              <w:ind w:left="128"/>
            </w:pPr>
            <w:r>
              <w:rPr>
                <w:spacing w:val="-5"/>
              </w:rPr>
              <w:t>符合</w:t>
            </w:r>
          </w:p>
        </w:tc>
      </w:tr>
      <w:tr w14:paraId="631375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0" w:hRule="atLeast"/>
        </w:trPr>
        <w:tc>
          <w:tcPr>
            <w:tcW w:w="1560" w:type="dxa"/>
            <w:vMerge w:val="continue"/>
            <w:tcBorders>
              <w:top w:val="nil"/>
              <w:left w:val="nil"/>
            </w:tcBorders>
            <w:vAlign w:val="top"/>
          </w:tcPr>
          <w:p w14:paraId="15F8DCCB">
            <w:pPr>
              <w:rPr>
                <w:rFonts w:ascii="Arial"/>
                <w:sz w:val="21"/>
              </w:rPr>
            </w:pPr>
          </w:p>
        </w:tc>
        <w:tc>
          <w:tcPr>
            <w:tcW w:w="905" w:type="dxa"/>
            <w:vAlign w:val="top"/>
          </w:tcPr>
          <w:p w14:paraId="6C08054A">
            <w:pPr>
              <w:spacing w:line="273" w:lineRule="auto"/>
              <w:rPr>
                <w:rFonts w:ascii="Arial"/>
                <w:sz w:val="21"/>
              </w:rPr>
            </w:pPr>
          </w:p>
          <w:p w14:paraId="20FDA239">
            <w:pPr>
              <w:spacing w:line="274" w:lineRule="auto"/>
              <w:rPr>
                <w:rFonts w:ascii="Arial"/>
                <w:sz w:val="21"/>
              </w:rPr>
            </w:pPr>
          </w:p>
          <w:p w14:paraId="160B33AD">
            <w:pPr>
              <w:spacing w:line="274" w:lineRule="auto"/>
              <w:rPr>
                <w:rFonts w:ascii="Arial"/>
                <w:sz w:val="21"/>
              </w:rPr>
            </w:pPr>
          </w:p>
          <w:p w14:paraId="48B29C6F">
            <w:pPr>
              <w:spacing w:before="64" w:line="193" w:lineRule="auto"/>
              <w:ind w:left="432"/>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6749" w:type="dxa"/>
            <w:vAlign w:val="top"/>
          </w:tcPr>
          <w:p w14:paraId="64CA6FB5">
            <w:pPr>
              <w:rPr>
                <w:rFonts w:ascii="Arial"/>
                <w:sz w:val="21"/>
              </w:rPr>
            </w:pPr>
          </w:p>
          <w:p w14:paraId="1AB06450">
            <w:pPr>
              <w:rPr>
                <w:rFonts w:ascii="Arial"/>
                <w:sz w:val="21"/>
              </w:rPr>
            </w:pPr>
          </w:p>
          <w:p w14:paraId="4C5B48E1">
            <w:pPr>
              <w:pStyle w:val="6"/>
              <w:spacing w:before="72" w:line="260" w:lineRule="auto"/>
              <w:ind w:left="12" w:hanging="1"/>
              <w:jc w:val="both"/>
            </w:pPr>
            <w:r>
              <w:rPr>
                <w:spacing w:val="-3"/>
              </w:rPr>
              <w:t>加快推进工艺技术装备升级，新（改、扩）建硅铁、工业硅电炉须采用</w:t>
            </w:r>
            <w:r>
              <w:rPr>
                <w:spacing w:val="2"/>
              </w:rPr>
              <w:t xml:space="preserve"> </w:t>
            </w:r>
            <w:r>
              <w:rPr>
                <w:spacing w:val="-3"/>
              </w:rPr>
              <w:t>矮烟罩半封闭型，锰硅合金、高碳锰铁、高碳铬铁、镍铁电炉采用全封</w:t>
            </w:r>
            <w:r>
              <w:rPr>
                <w:spacing w:val="3"/>
              </w:rPr>
              <w:t xml:space="preserve"> </w:t>
            </w:r>
            <w:r>
              <w:t>闭型，容量</w:t>
            </w:r>
            <w:r>
              <w:rPr>
                <w:rFonts w:ascii="Times New Roman" w:hAnsi="Times New Roman" w:eastAsia="Times New Roman" w:cs="Times New Roman"/>
              </w:rPr>
              <w:t>≥25000</w:t>
            </w:r>
            <w:r>
              <w:t>千伏安，同步配套</w:t>
            </w:r>
            <w:r>
              <w:rPr>
                <w:spacing w:val="-1"/>
              </w:rPr>
              <w:t>余热发电和煤气综合利用设施。</w:t>
            </w:r>
          </w:p>
        </w:tc>
        <w:tc>
          <w:tcPr>
            <w:tcW w:w="4111" w:type="dxa"/>
            <w:vAlign w:val="top"/>
          </w:tcPr>
          <w:p w14:paraId="3FD9596B">
            <w:pPr>
              <w:pStyle w:val="6"/>
              <w:spacing w:before="79" w:line="256" w:lineRule="auto"/>
              <w:ind w:left="10" w:firstLine="1"/>
              <w:jc w:val="both"/>
            </w:pPr>
            <w:r>
              <w:rPr>
                <w:spacing w:val="-7"/>
              </w:rPr>
              <w:t>本项目严格按照国家行业准入标准要求，本</w:t>
            </w:r>
            <w:r>
              <w:rPr>
                <w:spacing w:val="16"/>
              </w:rPr>
              <w:t xml:space="preserve"> </w:t>
            </w:r>
            <w:r>
              <w:rPr>
                <w:spacing w:val="1"/>
              </w:rPr>
              <w:t>次新建</w:t>
            </w:r>
            <w:r>
              <w:rPr>
                <w:rFonts w:ascii="Times New Roman" w:hAnsi="Times New Roman" w:eastAsia="Times New Roman" w:cs="Times New Roman"/>
                <w:spacing w:val="1"/>
              </w:rPr>
              <w:t>6</w:t>
            </w:r>
            <w:r>
              <w:rPr>
                <w:spacing w:val="1"/>
              </w:rPr>
              <w:t>台</w:t>
            </w:r>
            <w:r>
              <w:rPr>
                <w:rFonts w:ascii="Times New Roman" w:hAnsi="Times New Roman" w:eastAsia="Times New Roman" w:cs="Times New Roman"/>
                <w:spacing w:val="1"/>
              </w:rPr>
              <w:t>36</w:t>
            </w:r>
            <w:r>
              <w:rPr>
                <w:rFonts w:ascii="Times New Roman" w:hAnsi="Times New Roman" w:eastAsia="Times New Roman" w:cs="Times New Roman"/>
              </w:rPr>
              <w:t>MW</w:t>
            </w:r>
            <w:r>
              <w:rPr>
                <w:spacing w:val="1"/>
              </w:rPr>
              <w:t>全密闭式矿热电炉生产锰</w:t>
            </w:r>
            <w:r>
              <w:rPr>
                <w:spacing w:val="14"/>
              </w:rPr>
              <w:t xml:space="preserve"> </w:t>
            </w:r>
            <w:r>
              <w:rPr>
                <w:spacing w:val="-3"/>
              </w:rPr>
              <w:t>硅合金，新增电炉均＞</w:t>
            </w:r>
            <w:r>
              <w:rPr>
                <w:rFonts w:ascii="Times New Roman" w:hAnsi="Times New Roman" w:eastAsia="Times New Roman" w:cs="Times New Roman"/>
                <w:spacing w:val="-3"/>
              </w:rPr>
              <w:t>25000KVA</w:t>
            </w:r>
            <w:r>
              <w:rPr>
                <w:rFonts w:ascii="Times New Roman" w:hAnsi="Times New Roman" w:eastAsia="Times New Roman" w:cs="Times New Roman"/>
                <w:spacing w:val="-30"/>
              </w:rPr>
              <w:t xml:space="preserve"> </w:t>
            </w:r>
            <w:r>
              <w:rPr>
                <w:spacing w:val="-3"/>
              </w:rPr>
              <w:t>，电炉产</w:t>
            </w:r>
            <w:r>
              <w:t xml:space="preserve"> </w:t>
            </w:r>
            <w:r>
              <w:rPr>
                <w:spacing w:val="-5"/>
              </w:rPr>
              <w:t>生炉气采用煤气回收技术回收余热及煤气，</w:t>
            </w:r>
            <w:r>
              <w:rPr>
                <w:spacing w:val="9"/>
              </w:rPr>
              <w:t xml:space="preserve"> </w:t>
            </w:r>
            <w:r>
              <w:rPr>
                <w:spacing w:val="5"/>
              </w:rPr>
              <w:t>并配套建设煤气发电装置，电炉煤气达到</w:t>
            </w:r>
            <w:r>
              <w:rPr>
                <w:spacing w:val="15"/>
              </w:rPr>
              <w:t xml:space="preserve"> </w:t>
            </w:r>
            <w:r>
              <w:rPr>
                <w:rFonts w:ascii="Times New Roman" w:hAnsi="Times New Roman" w:eastAsia="Times New Roman" w:cs="Times New Roman"/>
                <w:spacing w:val="-2"/>
              </w:rPr>
              <w:t>100%</w:t>
            </w:r>
            <w:r>
              <w:rPr>
                <w:spacing w:val="-2"/>
              </w:rPr>
              <w:t>回收利用</w:t>
            </w:r>
          </w:p>
        </w:tc>
        <w:tc>
          <w:tcPr>
            <w:tcW w:w="677" w:type="dxa"/>
            <w:tcBorders>
              <w:right w:val="nil"/>
            </w:tcBorders>
            <w:vAlign w:val="top"/>
          </w:tcPr>
          <w:p w14:paraId="5E7CB535">
            <w:pPr>
              <w:spacing w:line="266" w:lineRule="auto"/>
              <w:rPr>
                <w:rFonts w:ascii="Arial"/>
                <w:sz w:val="21"/>
              </w:rPr>
            </w:pPr>
          </w:p>
          <w:p w14:paraId="00440642">
            <w:pPr>
              <w:spacing w:line="266" w:lineRule="auto"/>
              <w:rPr>
                <w:rFonts w:ascii="Arial"/>
                <w:sz w:val="21"/>
              </w:rPr>
            </w:pPr>
          </w:p>
          <w:p w14:paraId="37A0CC6F">
            <w:pPr>
              <w:spacing w:line="267" w:lineRule="auto"/>
              <w:rPr>
                <w:rFonts w:ascii="Arial"/>
                <w:sz w:val="21"/>
              </w:rPr>
            </w:pPr>
          </w:p>
          <w:p w14:paraId="5C40274E">
            <w:pPr>
              <w:pStyle w:val="6"/>
              <w:spacing w:before="71" w:line="220" w:lineRule="auto"/>
              <w:ind w:left="128"/>
            </w:pPr>
            <w:r>
              <w:rPr>
                <w:spacing w:val="-5"/>
              </w:rPr>
              <w:t>符合</w:t>
            </w:r>
          </w:p>
        </w:tc>
      </w:tr>
      <w:tr w14:paraId="5B78DE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1560" w:type="dxa"/>
            <w:vMerge w:val="restart"/>
            <w:tcBorders>
              <w:left w:val="nil"/>
              <w:bottom w:val="nil"/>
            </w:tcBorders>
            <w:vAlign w:val="top"/>
          </w:tcPr>
          <w:p w14:paraId="38A1109B">
            <w:pPr>
              <w:spacing w:line="248" w:lineRule="auto"/>
              <w:rPr>
                <w:rFonts w:ascii="Arial"/>
                <w:sz w:val="21"/>
              </w:rPr>
            </w:pPr>
          </w:p>
          <w:p w14:paraId="4464CE8C">
            <w:pPr>
              <w:spacing w:line="249" w:lineRule="auto"/>
              <w:rPr>
                <w:rFonts w:ascii="Arial"/>
                <w:sz w:val="21"/>
              </w:rPr>
            </w:pPr>
          </w:p>
          <w:p w14:paraId="1450BE45">
            <w:pPr>
              <w:spacing w:line="249" w:lineRule="auto"/>
              <w:rPr>
                <w:rFonts w:ascii="Arial"/>
                <w:sz w:val="21"/>
              </w:rPr>
            </w:pPr>
          </w:p>
          <w:p w14:paraId="125297A2">
            <w:pPr>
              <w:spacing w:line="249" w:lineRule="auto"/>
              <w:rPr>
                <w:rFonts w:ascii="Arial"/>
                <w:sz w:val="21"/>
              </w:rPr>
            </w:pPr>
          </w:p>
          <w:p w14:paraId="53D138EB">
            <w:pPr>
              <w:spacing w:line="249" w:lineRule="auto"/>
              <w:rPr>
                <w:rFonts w:ascii="Arial"/>
                <w:sz w:val="21"/>
              </w:rPr>
            </w:pPr>
          </w:p>
          <w:p w14:paraId="7D7FE4C8">
            <w:pPr>
              <w:pStyle w:val="6"/>
              <w:spacing w:before="72" w:line="234" w:lineRule="auto"/>
              <w:ind w:left="8" w:right="1" w:firstLine="2"/>
              <w:jc w:val="both"/>
            </w:pPr>
            <w:r>
              <w:t>《关于印发＜工</w:t>
            </w:r>
            <w:r>
              <w:rPr>
                <w:spacing w:val="4"/>
              </w:rPr>
              <w:t xml:space="preserve"> </w:t>
            </w:r>
            <w:r>
              <w:rPr>
                <w:spacing w:val="1"/>
              </w:rPr>
              <w:t>业窑炉大气污染</w:t>
            </w:r>
            <w:r>
              <w:t xml:space="preserve"> </w:t>
            </w:r>
            <w:r>
              <w:rPr>
                <w:spacing w:val="-3"/>
              </w:rPr>
              <w:t>综合治理方案＞</w:t>
            </w:r>
            <w:r>
              <w:t xml:space="preserve"> </w:t>
            </w:r>
            <w:r>
              <w:rPr>
                <w:spacing w:val="1"/>
              </w:rPr>
              <w:t>的通知》（环大</w:t>
            </w:r>
            <w:r>
              <w:t xml:space="preserve"> </w:t>
            </w:r>
            <w:r>
              <w:rPr>
                <w:spacing w:val="-1"/>
              </w:rPr>
              <w:t>气</w:t>
            </w:r>
            <w:r>
              <w:rPr>
                <w:rFonts w:ascii="Times New Roman" w:hAnsi="Times New Roman" w:eastAsia="Times New Roman" w:cs="Times New Roman"/>
                <w:spacing w:val="-1"/>
              </w:rPr>
              <w:t>[2019]56</w:t>
            </w:r>
            <w:r>
              <w:rPr>
                <w:spacing w:val="-1"/>
              </w:rPr>
              <w:t>号）</w:t>
            </w:r>
          </w:p>
        </w:tc>
        <w:tc>
          <w:tcPr>
            <w:tcW w:w="905" w:type="dxa"/>
            <w:vMerge w:val="restart"/>
            <w:tcBorders>
              <w:bottom w:val="nil"/>
            </w:tcBorders>
            <w:vAlign w:val="top"/>
          </w:tcPr>
          <w:p w14:paraId="1DC24CD5">
            <w:pPr>
              <w:pStyle w:val="6"/>
              <w:spacing w:before="307" w:line="235" w:lineRule="auto"/>
              <w:ind w:left="141" w:right="78" w:hanging="23"/>
              <w:jc w:val="both"/>
            </w:pPr>
            <w:r>
              <w:rPr>
                <w:spacing w:val="-17"/>
              </w:rPr>
              <w:t>（</w:t>
            </w:r>
            <w:r>
              <w:rPr>
                <w:rFonts w:ascii="Times New Roman" w:hAnsi="Times New Roman" w:eastAsia="Times New Roman" w:cs="Times New Roman"/>
                <w:spacing w:val="-17"/>
              </w:rPr>
              <w:t>1</w:t>
            </w:r>
            <w:r>
              <w:rPr>
                <w:spacing w:val="-17"/>
              </w:rPr>
              <w:t>）加</w:t>
            </w:r>
            <w:r>
              <w:t xml:space="preserve"> </w:t>
            </w:r>
            <w:r>
              <w:rPr>
                <w:spacing w:val="-4"/>
              </w:rPr>
              <w:t>大产业</w:t>
            </w:r>
            <w:r>
              <w:rPr>
                <w:spacing w:val="1"/>
              </w:rPr>
              <w:t xml:space="preserve"> </w:t>
            </w:r>
            <w:r>
              <w:rPr>
                <w:spacing w:val="-4"/>
              </w:rPr>
              <w:t>结构调</w:t>
            </w:r>
            <w:r>
              <w:rPr>
                <w:spacing w:val="1"/>
              </w:rPr>
              <w:t xml:space="preserve"> </w:t>
            </w:r>
            <w:r>
              <w:rPr>
                <w:spacing w:val="-3"/>
              </w:rPr>
              <w:t>整力度</w:t>
            </w:r>
          </w:p>
        </w:tc>
        <w:tc>
          <w:tcPr>
            <w:tcW w:w="6749" w:type="dxa"/>
            <w:vAlign w:val="top"/>
          </w:tcPr>
          <w:p w14:paraId="577EEB5A">
            <w:pPr>
              <w:pStyle w:val="6"/>
              <w:spacing w:before="44" w:line="218" w:lineRule="auto"/>
              <w:ind w:left="27" w:right="2" w:hanging="17"/>
            </w:pPr>
            <w:r>
              <w:rPr>
                <w:spacing w:val="-3"/>
              </w:rPr>
              <w:t>①严格建设项目环境准入。新建涉工业炉窑的建设项目，原则上要入园</w:t>
            </w:r>
            <w:r>
              <w:rPr>
                <w:spacing w:val="3"/>
              </w:rPr>
              <w:t xml:space="preserve"> </w:t>
            </w:r>
            <w:r>
              <w:rPr>
                <w:spacing w:val="-2"/>
              </w:rPr>
              <w:t>区，配套建设高效环保治理设施。</w:t>
            </w:r>
          </w:p>
        </w:tc>
        <w:tc>
          <w:tcPr>
            <w:tcW w:w="4111" w:type="dxa"/>
            <w:vAlign w:val="top"/>
          </w:tcPr>
          <w:p w14:paraId="61E63EF5">
            <w:pPr>
              <w:pStyle w:val="6"/>
              <w:spacing w:before="44" w:line="218" w:lineRule="auto"/>
              <w:ind w:left="11" w:right="1"/>
            </w:pPr>
            <w:r>
              <w:rPr>
                <w:spacing w:val="-5"/>
              </w:rPr>
              <w:t>本项目位于工业集中区内，电炉等工业窑炉</w:t>
            </w:r>
            <w:r>
              <w:rPr>
                <w:spacing w:val="6"/>
              </w:rPr>
              <w:t xml:space="preserve"> </w:t>
            </w:r>
            <w:r>
              <w:rPr>
                <w:spacing w:val="-1"/>
              </w:rPr>
              <w:t>均配套建设了高效环保治理设施</w:t>
            </w:r>
          </w:p>
        </w:tc>
        <w:tc>
          <w:tcPr>
            <w:tcW w:w="677" w:type="dxa"/>
            <w:tcBorders>
              <w:right w:val="nil"/>
            </w:tcBorders>
            <w:vAlign w:val="top"/>
          </w:tcPr>
          <w:p w14:paraId="2C527D2B">
            <w:pPr>
              <w:pStyle w:val="6"/>
              <w:spacing w:before="205" w:line="220" w:lineRule="auto"/>
              <w:ind w:left="128"/>
            </w:pPr>
            <w:r>
              <w:rPr>
                <w:spacing w:val="-5"/>
              </w:rPr>
              <w:t>符合</w:t>
            </w:r>
          </w:p>
        </w:tc>
      </w:tr>
      <w:tr w14:paraId="43E112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1" w:hRule="atLeast"/>
        </w:trPr>
        <w:tc>
          <w:tcPr>
            <w:tcW w:w="1560" w:type="dxa"/>
            <w:vMerge w:val="continue"/>
            <w:tcBorders>
              <w:top w:val="nil"/>
              <w:left w:val="nil"/>
              <w:bottom w:val="nil"/>
            </w:tcBorders>
            <w:vAlign w:val="top"/>
          </w:tcPr>
          <w:p w14:paraId="6A1D236F">
            <w:pPr>
              <w:rPr>
                <w:rFonts w:ascii="Arial"/>
                <w:sz w:val="21"/>
              </w:rPr>
            </w:pPr>
          </w:p>
        </w:tc>
        <w:tc>
          <w:tcPr>
            <w:tcW w:w="905" w:type="dxa"/>
            <w:vMerge w:val="continue"/>
            <w:tcBorders>
              <w:top w:val="nil"/>
            </w:tcBorders>
            <w:vAlign w:val="top"/>
          </w:tcPr>
          <w:p w14:paraId="271CE2AF">
            <w:pPr>
              <w:rPr>
                <w:rFonts w:ascii="Arial"/>
                <w:sz w:val="21"/>
              </w:rPr>
            </w:pPr>
          </w:p>
        </w:tc>
        <w:tc>
          <w:tcPr>
            <w:tcW w:w="6749" w:type="dxa"/>
            <w:vAlign w:val="top"/>
          </w:tcPr>
          <w:p w14:paraId="53F14439">
            <w:pPr>
              <w:pStyle w:val="6"/>
              <w:spacing w:before="45" w:line="239" w:lineRule="auto"/>
              <w:ind w:left="10" w:hanging="2"/>
              <w:jc w:val="both"/>
              <w:rPr>
                <w:sz w:val="20"/>
                <w:szCs w:val="20"/>
              </w:rPr>
            </w:pPr>
            <w:r>
              <w:rPr>
                <w:spacing w:val="8"/>
                <w:sz w:val="20"/>
                <w:szCs w:val="20"/>
              </w:rPr>
              <w:t>②加大落后产能和不达标工业炉窑淘汰力度。分行业清理《产业结构调整</w:t>
            </w:r>
            <w:r>
              <w:rPr>
                <w:spacing w:val="7"/>
                <w:sz w:val="20"/>
                <w:szCs w:val="20"/>
              </w:rPr>
              <w:t xml:space="preserve"> </w:t>
            </w:r>
            <w:r>
              <w:rPr>
                <w:spacing w:val="4"/>
                <w:sz w:val="20"/>
                <w:szCs w:val="20"/>
              </w:rPr>
              <w:t>指导目录》淘汰类工业炉窑。对热效率低下、敞开未封闭，装备简易落后、</w:t>
            </w:r>
            <w:r>
              <w:rPr>
                <w:sz w:val="20"/>
                <w:szCs w:val="20"/>
              </w:rPr>
              <w:t xml:space="preserve"> </w:t>
            </w:r>
            <w:r>
              <w:rPr>
                <w:spacing w:val="8"/>
                <w:sz w:val="20"/>
                <w:szCs w:val="20"/>
              </w:rPr>
              <w:t>自动化程度低，无组织排放突出，以及无治理设施或治理设施工艺落后等</w:t>
            </w:r>
            <w:r>
              <w:rPr>
                <w:spacing w:val="5"/>
                <w:sz w:val="20"/>
                <w:szCs w:val="20"/>
              </w:rPr>
              <w:t xml:space="preserve"> </w:t>
            </w:r>
            <w:r>
              <w:rPr>
                <w:spacing w:val="7"/>
                <w:sz w:val="20"/>
                <w:szCs w:val="20"/>
              </w:rPr>
              <w:t>严重污染环境的工业炉窑，依法责令停业关闭。</w:t>
            </w:r>
          </w:p>
        </w:tc>
        <w:tc>
          <w:tcPr>
            <w:tcW w:w="4111" w:type="dxa"/>
            <w:vAlign w:val="top"/>
          </w:tcPr>
          <w:p w14:paraId="7290A318">
            <w:pPr>
              <w:pStyle w:val="6"/>
              <w:spacing w:before="163" w:line="233" w:lineRule="auto"/>
              <w:ind w:left="11"/>
              <w:jc w:val="both"/>
            </w:pPr>
            <w:r>
              <w:rPr>
                <w:spacing w:val="-5"/>
              </w:rPr>
              <w:t>本项目涉及到的工业窑炉均属于达标炉窑，</w:t>
            </w:r>
            <w:r>
              <w:rPr>
                <w:spacing w:val="8"/>
              </w:rPr>
              <w:t xml:space="preserve"> </w:t>
            </w:r>
            <w:r>
              <w:rPr>
                <w:spacing w:val="-7"/>
              </w:rPr>
              <w:t>新建烧结机、全密闭电炉等设备，在采取高</w:t>
            </w:r>
            <w:r>
              <w:rPr>
                <w:spacing w:val="16"/>
              </w:rPr>
              <w:t xml:space="preserve"> </w:t>
            </w:r>
            <w:r>
              <w:rPr>
                <w:spacing w:val="-2"/>
              </w:rPr>
              <w:t>效的治理措施下，无组织排放量很小</w:t>
            </w:r>
          </w:p>
        </w:tc>
        <w:tc>
          <w:tcPr>
            <w:tcW w:w="677" w:type="dxa"/>
            <w:tcBorders>
              <w:right w:val="nil"/>
            </w:tcBorders>
            <w:vAlign w:val="top"/>
          </w:tcPr>
          <w:p w14:paraId="18F560F8">
            <w:pPr>
              <w:spacing w:line="393" w:lineRule="auto"/>
              <w:rPr>
                <w:rFonts w:ascii="Arial"/>
                <w:sz w:val="21"/>
              </w:rPr>
            </w:pPr>
          </w:p>
          <w:p w14:paraId="32F12C31">
            <w:pPr>
              <w:pStyle w:val="6"/>
              <w:spacing w:before="71" w:line="220" w:lineRule="auto"/>
              <w:ind w:left="128"/>
            </w:pPr>
            <w:r>
              <w:rPr>
                <w:spacing w:val="-5"/>
              </w:rPr>
              <w:t>符合</w:t>
            </w:r>
          </w:p>
        </w:tc>
      </w:tr>
      <w:tr w14:paraId="03A74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8" w:hRule="atLeast"/>
        </w:trPr>
        <w:tc>
          <w:tcPr>
            <w:tcW w:w="1560" w:type="dxa"/>
            <w:vMerge w:val="continue"/>
            <w:tcBorders>
              <w:top w:val="nil"/>
              <w:left w:val="nil"/>
              <w:bottom w:val="nil"/>
            </w:tcBorders>
            <w:vAlign w:val="top"/>
          </w:tcPr>
          <w:p w14:paraId="6659E200">
            <w:pPr>
              <w:rPr>
                <w:rFonts w:ascii="Arial"/>
                <w:sz w:val="21"/>
              </w:rPr>
            </w:pPr>
          </w:p>
        </w:tc>
        <w:tc>
          <w:tcPr>
            <w:tcW w:w="905" w:type="dxa"/>
            <w:vMerge w:val="restart"/>
            <w:tcBorders>
              <w:bottom w:val="nil"/>
            </w:tcBorders>
            <w:vAlign w:val="top"/>
          </w:tcPr>
          <w:p w14:paraId="77713B2D">
            <w:pPr>
              <w:spacing w:line="416" w:lineRule="auto"/>
              <w:rPr>
                <w:rFonts w:ascii="Arial"/>
                <w:sz w:val="21"/>
              </w:rPr>
            </w:pPr>
          </w:p>
          <w:p w14:paraId="5E1753B6">
            <w:pPr>
              <w:pStyle w:val="6"/>
              <w:spacing w:before="71" w:line="234" w:lineRule="auto"/>
              <w:ind w:left="140" w:right="78" w:hanging="22"/>
              <w:jc w:val="both"/>
            </w:pPr>
            <w:r>
              <w:rPr>
                <w:spacing w:val="-17"/>
              </w:rPr>
              <w:t>（</w:t>
            </w:r>
            <w:r>
              <w:rPr>
                <w:rFonts w:ascii="Times New Roman" w:hAnsi="Times New Roman" w:eastAsia="Times New Roman" w:cs="Times New Roman"/>
                <w:spacing w:val="-17"/>
              </w:rPr>
              <w:t>2</w:t>
            </w:r>
            <w:r>
              <w:rPr>
                <w:spacing w:val="-17"/>
              </w:rPr>
              <w:t>）加</w:t>
            </w:r>
            <w:r>
              <w:t xml:space="preserve"> </w:t>
            </w:r>
            <w:r>
              <w:rPr>
                <w:spacing w:val="-3"/>
              </w:rPr>
              <w:t>快燃料</w:t>
            </w:r>
            <w:r>
              <w:t xml:space="preserve"> </w:t>
            </w:r>
            <w:r>
              <w:rPr>
                <w:spacing w:val="-3"/>
              </w:rPr>
              <w:t>清洁低</w:t>
            </w:r>
            <w:r>
              <w:t xml:space="preserve"> </w:t>
            </w:r>
            <w:r>
              <w:rPr>
                <w:spacing w:val="-3"/>
              </w:rPr>
              <w:t>碳化替</w:t>
            </w:r>
          </w:p>
          <w:p w14:paraId="007BE5EC">
            <w:pPr>
              <w:pStyle w:val="6"/>
              <w:spacing w:before="23" w:line="220" w:lineRule="auto"/>
              <w:ind w:left="360"/>
            </w:pPr>
            <w:r>
              <w:t>代</w:t>
            </w:r>
          </w:p>
        </w:tc>
        <w:tc>
          <w:tcPr>
            <w:tcW w:w="6749" w:type="dxa"/>
            <w:vAlign w:val="top"/>
          </w:tcPr>
          <w:p w14:paraId="7DAAE6BF">
            <w:pPr>
              <w:pStyle w:val="6"/>
              <w:spacing w:before="50" w:line="223" w:lineRule="auto"/>
              <w:ind w:left="13" w:right="2" w:hanging="4"/>
              <w:jc w:val="both"/>
            </w:pPr>
            <w:r>
              <w:rPr>
                <w:spacing w:val="-3"/>
              </w:rPr>
              <w:t>③加快燃料清洁低碳化替代。对以煤、石油焦、渣油、重油等为燃料的</w:t>
            </w:r>
            <w:r>
              <w:rPr>
                <w:spacing w:val="4"/>
              </w:rPr>
              <w:t xml:space="preserve"> </w:t>
            </w:r>
            <w:r>
              <w:rPr>
                <w:spacing w:val="-3"/>
              </w:rPr>
              <w:t>工业炉窑，加快使用清洁低碳能源以及利用工厂余热、电厂热力等进行</w:t>
            </w:r>
            <w:r>
              <w:t xml:space="preserve"> </w:t>
            </w:r>
            <w:r>
              <w:rPr>
                <w:spacing w:val="-4"/>
              </w:rPr>
              <w:t>替代。</w:t>
            </w:r>
          </w:p>
        </w:tc>
        <w:tc>
          <w:tcPr>
            <w:tcW w:w="4111" w:type="dxa"/>
            <w:vAlign w:val="top"/>
          </w:tcPr>
          <w:p w14:paraId="3811A7CD">
            <w:pPr>
              <w:pStyle w:val="6"/>
              <w:spacing w:before="193" w:line="229" w:lineRule="auto"/>
              <w:ind w:left="35" w:right="1" w:hanging="24"/>
            </w:pPr>
            <w:r>
              <w:rPr>
                <w:spacing w:val="7"/>
              </w:rPr>
              <w:t>本项目新建带式烧结机及烘干设备等使用</w:t>
            </w:r>
            <w:r>
              <w:rPr>
                <w:spacing w:val="5"/>
              </w:rPr>
              <w:t xml:space="preserve"> </w:t>
            </w:r>
            <w:r>
              <w:rPr>
                <w:spacing w:val="-3"/>
              </w:rPr>
              <w:t>电炉回收煤气为点火燃料</w:t>
            </w:r>
          </w:p>
        </w:tc>
        <w:tc>
          <w:tcPr>
            <w:tcW w:w="677" w:type="dxa"/>
            <w:tcBorders>
              <w:right w:val="nil"/>
            </w:tcBorders>
            <w:vAlign w:val="top"/>
          </w:tcPr>
          <w:p w14:paraId="5CC2D2F7">
            <w:pPr>
              <w:spacing w:line="279" w:lineRule="auto"/>
              <w:rPr>
                <w:rFonts w:ascii="Arial"/>
                <w:sz w:val="21"/>
              </w:rPr>
            </w:pPr>
          </w:p>
          <w:p w14:paraId="6665F083">
            <w:pPr>
              <w:pStyle w:val="6"/>
              <w:spacing w:before="71" w:line="220" w:lineRule="auto"/>
              <w:ind w:left="128"/>
            </w:pPr>
            <w:r>
              <w:rPr>
                <w:spacing w:val="-5"/>
              </w:rPr>
              <w:t>符合</w:t>
            </w:r>
          </w:p>
        </w:tc>
      </w:tr>
      <w:tr w14:paraId="34E945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9" w:hRule="atLeast"/>
        </w:trPr>
        <w:tc>
          <w:tcPr>
            <w:tcW w:w="1560" w:type="dxa"/>
            <w:vMerge w:val="continue"/>
            <w:tcBorders>
              <w:top w:val="nil"/>
              <w:left w:val="nil"/>
              <w:bottom w:val="nil"/>
            </w:tcBorders>
            <w:vAlign w:val="top"/>
          </w:tcPr>
          <w:p w14:paraId="3DE1FA3B">
            <w:pPr>
              <w:rPr>
                <w:rFonts w:ascii="Arial"/>
                <w:sz w:val="21"/>
              </w:rPr>
            </w:pPr>
          </w:p>
        </w:tc>
        <w:tc>
          <w:tcPr>
            <w:tcW w:w="905" w:type="dxa"/>
            <w:vMerge w:val="continue"/>
            <w:tcBorders>
              <w:top w:val="nil"/>
              <w:bottom w:val="nil"/>
            </w:tcBorders>
            <w:vAlign w:val="top"/>
          </w:tcPr>
          <w:p w14:paraId="591B46EF">
            <w:pPr>
              <w:rPr>
                <w:rFonts w:ascii="Arial"/>
                <w:sz w:val="21"/>
              </w:rPr>
            </w:pPr>
          </w:p>
        </w:tc>
        <w:tc>
          <w:tcPr>
            <w:tcW w:w="6749" w:type="dxa"/>
            <w:vAlign w:val="top"/>
          </w:tcPr>
          <w:p w14:paraId="0AFC7C9C">
            <w:pPr>
              <w:pStyle w:val="6"/>
              <w:spacing w:before="51" w:line="223" w:lineRule="auto"/>
              <w:ind w:left="12" w:hanging="3"/>
              <w:jc w:val="both"/>
            </w:pPr>
            <w:r>
              <w:rPr>
                <w:spacing w:val="1"/>
              </w:rPr>
              <w:t>②加大煤气发生炉淘汰力度。</w:t>
            </w:r>
            <w:r>
              <w:rPr>
                <w:rFonts w:ascii="Times New Roman" w:hAnsi="Times New Roman" w:eastAsia="Times New Roman" w:cs="Times New Roman"/>
                <w:spacing w:val="1"/>
              </w:rPr>
              <w:t>2020</w:t>
            </w:r>
            <w:r>
              <w:rPr>
                <w:spacing w:val="1"/>
              </w:rPr>
              <w:t>年底前，</w:t>
            </w:r>
            <w:r>
              <w:t>重点区域淘汰炉膛直径</w:t>
            </w:r>
            <w:r>
              <w:rPr>
                <w:rFonts w:ascii="Times New Roman" w:hAnsi="Times New Roman" w:eastAsia="Times New Roman" w:cs="Times New Roman"/>
              </w:rPr>
              <w:t>3</w:t>
            </w:r>
            <w:r>
              <w:t xml:space="preserve">米 </w:t>
            </w:r>
            <w:r>
              <w:rPr>
                <w:spacing w:val="-3"/>
              </w:rPr>
              <w:t>以下燃料类煤气发生炉；集中使用煤气发生炉的工业园区，暂不具备改</w:t>
            </w:r>
            <w:r>
              <w:rPr>
                <w:spacing w:val="3"/>
              </w:rPr>
              <w:t xml:space="preserve"> </w:t>
            </w:r>
            <w:r>
              <w:rPr>
                <w:spacing w:val="-1"/>
              </w:rPr>
              <w:t>用天然气条件的，原则上应建设统一的清洁煤制气中心。</w:t>
            </w:r>
          </w:p>
        </w:tc>
        <w:tc>
          <w:tcPr>
            <w:tcW w:w="4111" w:type="dxa"/>
            <w:vAlign w:val="top"/>
          </w:tcPr>
          <w:p w14:paraId="1EE30694">
            <w:pPr>
              <w:spacing w:line="263" w:lineRule="auto"/>
              <w:rPr>
                <w:rFonts w:ascii="Arial"/>
                <w:sz w:val="21"/>
              </w:rPr>
            </w:pPr>
          </w:p>
          <w:p w14:paraId="1DE1CFD7">
            <w:pPr>
              <w:pStyle w:val="6"/>
              <w:spacing w:before="72" w:line="219" w:lineRule="auto"/>
              <w:ind w:left="523"/>
            </w:pPr>
            <w:r>
              <w:rPr>
                <w:spacing w:val="-1"/>
              </w:rPr>
              <w:t>本项目拟建厂址不属于重点区域</w:t>
            </w:r>
          </w:p>
        </w:tc>
        <w:tc>
          <w:tcPr>
            <w:tcW w:w="677" w:type="dxa"/>
            <w:tcBorders>
              <w:right w:val="nil"/>
            </w:tcBorders>
            <w:vAlign w:val="top"/>
          </w:tcPr>
          <w:p w14:paraId="382C9F3B">
            <w:pPr>
              <w:spacing w:line="282" w:lineRule="auto"/>
              <w:rPr>
                <w:rFonts w:ascii="Arial"/>
                <w:sz w:val="21"/>
              </w:rPr>
            </w:pPr>
          </w:p>
          <w:p w14:paraId="0E2A1B70">
            <w:pPr>
              <w:pStyle w:val="6"/>
              <w:spacing w:before="72" w:line="220" w:lineRule="auto"/>
              <w:ind w:left="128"/>
            </w:pPr>
            <w:r>
              <w:rPr>
                <w:spacing w:val="-5"/>
              </w:rPr>
              <w:t>符合</w:t>
            </w:r>
          </w:p>
        </w:tc>
      </w:tr>
      <w:tr w14:paraId="7A7D00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6" w:hRule="atLeast"/>
        </w:trPr>
        <w:tc>
          <w:tcPr>
            <w:tcW w:w="1560" w:type="dxa"/>
            <w:vMerge w:val="continue"/>
            <w:tcBorders>
              <w:top w:val="nil"/>
              <w:left w:val="nil"/>
              <w:bottom w:val="single" w:color="000000" w:sz="10" w:space="0"/>
            </w:tcBorders>
            <w:vAlign w:val="top"/>
          </w:tcPr>
          <w:p w14:paraId="13F39AAF">
            <w:pPr>
              <w:rPr>
                <w:rFonts w:ascii="Arial"/>
                <w:sz w:val="21"/>
              </w:rPr>
            </w:pPr>
          </w:p>
        </w:tc>
        <w:tc>
          <w:tcPr>
            <w:tcW w:w="905" w:type="dxa"/>
            <w:vMerge w:val="continue"/>
            <w:tcBorders>
              <w:top w:val="nil"/>
              <w:bottom w:val="single" w:color="000000" w:sz="10" w:space="0"/>
            </w:tcBorders>
            <w:vAlign w:val="top"/>
          </w:tcPr>
          <w:p w14:paraId="1BF63006">
            <w:pPr>
              <w:rPr>
                <w:rFonts w:ascii="Arial"/>
                <w:sz w:val="21"/>
              </w:rPr>
            </w:pPr>
          </w:p>
        </w:tc>
        <w:tc>
          <w:tcPr>
            <w:tcW w:w="6749" w:type="dxa"/>
            <w:tcBorders>
              <w:bottom w:val="single" w:color="000000" w:sz="10" w:space="0"/>
            </w:tcBorders>
            <w:vAlign w:val="top"/>
          </w:tcPr>
          <w:p w14:paraId="77A30A4F">
            <w:pPr>
              <w:pStyle w:val="6"/>
              <w:spacing w:before="56" w:line="222" w:lineRule="auto"/>
              <w:ind w:left="10" w:right="2" w:hanging="1"/>
            </w:pPr>
            <w:r>
              <w:rPr>
                <w:spacing w:val="-3"/>
              </w:rPr>
              <w:t>③加快淘汰燃煤工业炉窑。重点区域取缔燃煤热风炉，基本淘汰热电联</w:t>
            </w:r>
            <w:r>
              <w:rPr>
                <w:spacing w:val="4"/>
              </w:rPr>
              <w:t xml:space="preserve"> </w:t>
            </w:r>
            <w:r>
              <w:rPr>
                <w:spacing w:val="-1"/>
              </w:rPr>
              <w:t>产供热管网覆盖范围内的燃煤加热、烘干炉（窑）。</w:t>
            </w:r>
          </w:p>
        </w:tc>
        <w:tc>
          <w:tcPr>
            <w:tcW w:w="4111" w:type="dxa"/>
            <w:tcBorders>
              <w:bottom w:val="single" w:color="000000" w:sz="10" w:space="0"/>
            </w:tcBorders>
            <w:vAlign w:val="top"/>
          </w:tcPr>
          <w:p w14:paraId="67F07B47">
            <w:pPr>
              <w:pStyle w:val="6"/>
              <w:spacing w:before="197" w:line="219" w:lineRule="auto"/>
              <w:ind w:left="523"/>
            </w:pPr>
            <w:r>
              <w:rPr>
                <w:spacing w:val="-1"/>
              </w:rPr>
              <w:t>本项目拟建厂址不属于重点区域</w:t>
            </w:r>
          </w:p>
        </w:tc>
        <w:tc>
          <w:tcPr>
            <w:tcW w:w="677" w:type="dxa"/>
            <w:tcBorders>
              <w:bottom w:val="single" w:color="000000" w:sz="10" w:space="0"/>
              <w:right w:val="nil"/>
            </w:tcBorders>
            <w:vAlign w:val="top"/>
          </w:tcPr>
          <w:p w14:paraId="1EF7E945">
            <w:pPr>
              <w:pStyle w:val="6"/>
              <w:spacing w:before="214" w:line="220" w:lineRule="auto"/>
              <w:ind w:left="128"/>
            </w:pPr>
            <w:r>
              <w:rPr>
                <w:spacing w:val="-5"/>
              </w:rPr>
              <w:t>符合</w:t>
            </w:r>
          </w:p>
        </w:tc>
      </w:tr>
    </w:tbl>
    <w:p w14:paraId="183B23DD">
      <w:pPr>
        <w:pStyle w:val="2"/>
      </w:pPr>
    </w:p>
    <w:p w14:paraId="30948226">
      <w:pPr>
        <w:sectPr>
          <w:footerReference r:id="rId23" w:type="default"/>
          <w:pgSz w:w="16839" w:h="11906"/>
          <w:pgMar w:top="1178" w:right="1418" w:bottom="1209" w:left="1418" w:header="870" w:footer="1025" w:gutter="0"/>
          <w:cols w:space="720" w:num="1"/>
        </w:sectPr>
      </w:pPr>
    </w:p>
    <w:p w14:paraId="44973841">
      <w:pPr>
        <w:spacing w:line="238" w:lineRule="exact"/>
      </w:pPr>
      <w:r>
        <w:pict>
          <v:shape id="_x0000_s1039" o:spid="_x0000_s1039" style="position:absolute;left:0pt;margin-left:70.9pt;margin-top:59.65pt;height:0.75pt;width:700.1pt;mso-position-horizontal-relative:page;mso-position-vertical-relative:page;z-index:251673600;mso-width-relative:page;mso-height-relative:page;" fillcolor="#000000" filled="t" stroked="f" coordsize="14001,15" o:allowincell="f" path="m0,0l14001,0,14001,14,0,14,0,0xe">
            <v:path/>
            <v:fill on="t" focussize="0,0"/>
            <v:stroke on="f"/>
            <v:imagedata o:title=""/>
            <o:lock v:ext="edit"/>
          </v:shape>
        </w:pict>
      </w:r>
    </w:p>
    <w:tbl>
      <w:tblPr>
        <w:tblStyle w:val="5"/>
        <w:tblW w:w="1400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0"/>
        <w:gridCol w:w="905"/>
        <w:gridCol w:w="6749"/>
        <w:gridCol w:w="4111"/>
        <w:gridCol w:w="677"/>
      </w:tblGrid>
      <w:tr w14:paraId="1A2099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1560" w:type="dxa"/>
            <w:vMerge w:val="restart"/>
            <w:tcBorders>
              <w:top w:val="single" w:color="000000" w:sz="10" w:space="0"/>
              <w:left w:val="nil"/>
              <w:bottom w:val="nil"/>
            </w:tcBorders>
            <w:vAlign w:val="top"/>
          </w:tcPr>
          <w:p w14:paraId="14DADF92">
            <w:pPr>
              <w:rPr>
                <w:rFonts w:ascii="Arial"/>
                <w:sz w:val="21"/>
              </w:rPr>
            </w:pPr>
          </w:p>
        </w:tc>
        <w:tc>
          <w:tcPr>
            <w:tcW w:w="905" w:type="dxa"/>
            <w:vMerge w:val="restart"/>
            <w:tcBorders>
              <w:top w:val="single" w:color="000000" w:sz="10" w:space="0"/>
              <w:bottom w:val="nil"/>
            </w:tcBorders>
            <w:vAlign w:val="top"/>
          </w:tcPr>
          <w:p w14:paraId="32441A06">
            <w:pPr>
              <w:spacing w:line="247" w:lineRule="auto"/>
              <w:rPr>
                <w:rFonts w:ascii="Arial"/>
                <w:sz w:val="21"/>
              </w:rPr>
            </w:pPr>
          </w:p>
          <w:p w14:paraId="69721750">
            <w:pPr>
              <w:spacing w:line="247" w:lineRule="auto"/>
              <w:rPr>
                <w:rFonts w:ascii="Arial"/>
                <w:sz w:val="21"/>
              </w:rPr>
            </w:pPr>
          </w:p>
          <w:p w14:paraId="54F15EFE">
            <w:pPr>
              <w:spacing w:line="247" w:lineRule="auto"/>
              <w:rPr>
                <w:rFonts w:ascii="Arial"/>
                <w:sz w:val="21"/>
              </w:rPr>
            </w:pPr>
          </w:p>
          <w:p w14:paraId="626C0531">
            <w:pPr>
              <w:spacing w:line="247" w:lineRule="auto"/>
              <w:rPr>
                <w:rFonts w:ascii="Arial"/>
                <w:sz w:val="21"/>
              </w:rPr>
            </w:pPr>
          </w:p>
          <w:p w14:paraId="5333EF78">
            <w:pPr>
              <w:spacing w:line="248" w:lineRule="auto"/>
              <w:rPr>
                <w:rFonts w:ascii="Arial"/>
                <w:sz w:val="21"/>
              </w:rPr>
            </w:pPr>
          </w:p>
          <w:p w14:paraId="74FF8B79">
            <w:pPr>
              <w:spacing w:line="248" w:lineRule="auto"/>
              <w:rPr>
                <w:rFonts w:ascii="Arial"/>
                <w:sz w:val="21"/>
              </w:rPr>
            </w:pPr>
          </w:p>
          <w:p w14:paraId="1CE1400B">
            <w:pPr>
              <w:spacing w:line="248" w:lineRule="auto"/>
              <w:rPr>
                <w:rFonts w:ascii="Arial"/>
                <w:sz w:val="21"/>
              </w:rPr>
            </w:pPr>
          </w:p>
          <w:p w14:paraId="149B7908">
            <w:pPr>
              <w:pStyle w:val="6"/>
              <w:spacing w:before="71" w:line="233" w:lineRule="auto"/>
              <w:ind w:left="139" w:right="78" w:hanging="21"/>
              <w:jc w:val="both"/>
            </w:pPr>
            <w:r>
              <w:rPr>
                <w:spacing w:val="-17"/>
              </w:rPr>
              <w:t>（</w:t>
            </w:r>
            <w:r>
              <w:rPr>
                <w:rFonts w:ascii="Times New Roman" w:hAnsi="Times New Roman" w:eastAsia="Times New Roman" w:cs="Times New Roman"/>
                <w:spacing w:val="-17"/>
              </w:rPr>
              <w:t>3</w:t>
            </w:r>
            <w:r>
              <w:rPr>
                <w:spacing w:val="-17"/>
              </w:rPr>
              <w:t>）实</w:t>
            </w:r>
            <w:r>
              <w:t xml:space="preserve"> </w:t>
            </w:r>
            <w:r>
              <w:rPr>
                <w:spacing w:val="-3"/>
              </w:rPr>
              <w:t>施污染</w:t>
            </w:r>
            <w:r>
              <w:t xml:space="preserve"> </w:t>
            </w:r>
            <w:r>
              <w:rPr>
                <w:spacing w:val="-2"/>
              </w:rPr>
              <w:t>深度治</w:t>
            </w:r>
          </w:p>
          <w:p w14:paraId="04954CB1">
            <w:pPr>
              <w:pStyle w:val="6"/>
              <w:spacing w:before="22" w:line="230" w:lineRule="auto"/>
              <w:ind w:left="364"/>
            </w:pPr>
            <w:r>
              <w:t>理</w:t>
            </w:r>
          </w:p>
        </w:tc>
        <w:tc>
          <w:tcPr>
            <w:tcW w:w="6749" w:type="dxa"/>
            <w:tcBorders>
              <w:top w:val="single" w:color="000000" w:sz="10" w:space="0"/>
            </w:tcBorders>
            <w:vAlign w:val="top"/>
          </w:tcPr>
          <w:p w14:paraId="78315C3D">
            <w:pPr>
              <w:pStyle w:val="6"/>
              <w:spacing w:before="36" w:line="233" w:lineRule="auto"/>
              <w:ind w:left="9"/>
              <w:jc w:val="both"/>
            </w:pPr>
            <w:r>
              <w:rPr>
                <w:spacing w:val="-5"/>
              </w:rPr>
              <w:t>④已有行业排放标准的工业炉窑，严格执行行业排</w:t>
            </w:r>
            <w:r>
              <w:rPr>
                <w:spacing w:val="-6"/>
              </w:rPr>
              <w:t>放标准相关规定，配</w:t>
            </w:r>
            <w:r>
              <w:t xml:space="preserve"> </w:t>
            </w:r>
            <w:r>
              <w:rPr>
                <w:spacing w:val="-10"/>
              </w:rPr>
              <w:t>套建设高效脱硫脱硝除尘设施（铁合金回转窑、烧结机应配备覆膜袋式、</w:t>
            </w:r>
            <w:r>
              <w:rPr>
                <w:spacing w:val="12"/>
              </w:rPr>
              <w:t xml:space="preserve"> </w:t>
            </w:r>
            <w:r>
              <w:rPr>
                <w:spacing w:val="-5"/>
              </w:rPr>
              <w:t>滤筒等高效除尘设施，重点区域应配备脱硫设施；全封</w:t>
            </w:r>
            <w:r>
              <w:rPr>
                <w:spacing w:val="-6"/>
              </w:rPr>
              <w:t>闭矿热炉、锰铁</w:t>
            </w:r>
            <w:r>
              <w:t xml:space="preserve"> </w:t>
            </w:r>
            <w:r>
              <w:rPr>
                <w:spacing w:val="-5"/>
              </w:rPr>
              <w:t>高炉及富锰渣高炉应设置煤气净化系统，对煤气</w:t>
            </w:r>
            <w:r>
              <w:rPr>
                <w:spacing w:val="-6"/>
              </w:rPr>
              <w:t>进行回收利用；半封闭</w:t>
            </w:r>
            <w:r>
              <w:t xml:space="preserve"> </w:t>
            </w:r>
            <w:r>
              <w:rPr>
                <w:spacing w:val="-5"/>
              </w:rPr>
              <w:t>矿热炉、精炼炉、中频感应炉应配备袋式等高效除尘设施</w:t>
            </w:r>
            <w:r>
              <w:rPr>
                <w:spacing w:val="-10"/>
              </w:rPr>
              <w:t>），</w:t>
            </w:r>
            <w:r>
              <w:rPr>
                <w:spacing w:val="-5"/>
              </w:rPr>
              <w:t>确保稳定</w:t>
            </w:r>
            <w:r>
              <w:t xml:space="preserve"> </w:t>
            </w:r>
            <w:r>
              <w:rPr>
                <w:spacing w:val="-4"/>
              </w:rPr>
              <w:t>达标排放。</w:t>
            </w:r>
          </w:p>
        </w:tc>
        <w:tc>
          <w:tcPr>
            <w:tcW w:w="4111" w:type="dxa"/>
            <w:tcBorders>
              <w:top w:val="single" w:color="000000" w:sz="10" w:space="0"/>
            </w:tcBorders>
            <w:vAlign w:val="top"/>
          </w:tcPr>
          <w:p w14:paraId="7CDD5ACE">
            <w:pPr>
              <w:spacing w:line="388" w:lineRule="auto"/>
              <w:rPr>
                <w:rFonts w:ascii="Arial"/>
                <w:sz w:val="21"/>
              </w:rPr>
            </w:pPr>
          </w:p>
          <w:p w14:paraId="6FA422A2">
            <w:pPr>
              <w:pStyle w:val="6"/>
              <w:spacing w:before="72" w:line="233" w:lineRule="auto"/>
              <w:ind w:left="9" w:right="1" w:firstLine="2"/>
              <w:jc w:val="both"/>
            </w:pPr>
            <w:r>
              <w:rPr>
                <w:spacing w:val="7"/>
              </w:rPr>
              <w:t>本项目新建烧结机配置了布袋除尘器和脱</w:t>
            </w:r>
            <w:r>
              <w:rPr>
                <w:spacing w:val="5"/>
              </w:rPr>
              <w:t xml:space="preserve"> </w:t>
            </w:r>
            <w:r>
              <w:rPr>
                <w:spacing w:val="-5"/>
              </w:rPr>
              <w:t>硫设施；全密闭电炉配套建设了煤气净化装</w:t>
            </w:r>
            <w:r>
              <w:rPr>
                <w:spacing w:val="8"/>
              </w:rPr>
              <w:t xml:space="preserve"> </w:t>
            </w:r>
            <w:r>
              <w:rPr>
                <w:spacing w:val="-1"/>
              </w:rPr>
              <w:t>置，可以实现污染物排放的稳定达标排放</w:t>
            </w:r>
          </w:p>
        </w:tc>
        <w:tc>
          <w:tcPr>
            <w:tcW w:w="677" w:type="dxa"/>
            <w:tcBorders>
              <w:top w:val="single" w:color="000000" w:sz="10" w:space="0"/>
              <w:right w:val="nil"/>
            </w:tcBorders>
            <w:vAlign w:val="top"/>
          </w:tcPr>
          <w:p w14:paraId="6B663CDA">
            <w:pPr>
              <w:spacing w:line="345" w:lineRule="auto"/>
              <w:rPr>
                <w:rFonts w:ascii="Arial"/>
                <w:sz w:val="21"/>
              </w:rPr>
            </w:pPr>
          </w:p>
          <w:p w14:paraId="52307C4E">
            <w:pPr>
              <w:spacing w:line="346" w:lineRule="auto"/>
              <w:rPr>
                <w:rFonts w:ascii="Arial"/>
                <w:sz w:val="21"/>
              </w:rPr>
            </w:pPr>
          </w:p>
          <w:p w14:paraId="7067409A">
            <w:pPr>
              <w:pStyle w:val="6"/>
              <w:spacing w:before="71" w:line="220" w:lineRule="auto"/>
              <w:ind w:left="128"/>
            </w:pPr>
            <w:r>
              <w:rPr>
                <w:spacing w:val="-5"/>
              </w:rPr>
              <w:t>符合</w:t>
            </w:r>
          </w:p>
        </w:tc>
      </w:tr>
      <w:tr w14:paraId="6266C8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59" w:hRule="atLeast"/>
        </w:trPr>
        <w:tc>
          <w:tcPr>
            <w:tcW w:w="1560" w:type="dxa"/>
            <w:vMerge w:val="continue"/>
            <w:tcBorders>
              <w:top w:val="nil"/>
              <w:left w:val="nil"/>
              <w:bottom w:val="nil"/>
            </w:tcBorders>
            <w:vAlign w:val="top"/>
          </w:tcPr>
          <w:p w14:paraId="240B7276">
            <w:pPr>
              <w:rPr>
                <w:rFonts w:ascii="Arial"/>
                <w:sz w:val="21"/>
              </w:rPr>
            </w:pPr>
          </w:p>
        </w:tc>
        <w:tc>
          <w:tcPr>
            <w:tcW w:w="905" w:type="dxa"/>
            <w:vMerge w:val="continue"/>
            <w:tcBorders>
              <w:top w:val="nil"/>
              <w:bottom w:val="nil"/>
            </w:tcBorders>
            <w:vAlign w:val="top"/>
          </w:tcPr>
          <w:p w14:paraId="2B26231B">
            <w:pPr>
              <w:rPr>
                <w:rFonts w:ascii="Arial"/>
                <w:sz w:val="21"/>
              </w:rPr>
            </w:pPr>
          </w:p>
        </w:tc>
        <w:tc>
          <w:tcPr>
            <w:tcW w:w="6749" w:type="dxa"/>
            <w:vAlign w:val="top"/>
          </w:tcPr>
          <w:p w14:paraId="32938B74">
            <w:pPr>
              <w:pStyle w:val="6"/>
              <w:spacing w:before="39" w:line="234" w:lineRule="auto"/>
              <w:ind w:left="9"/>
              <w:jc w:val="both"/>
            </w:pPr>
            <w:r>
              <w:rPr>
                <w:spacing w:val="-5"/>
              </w:rPr>
              <w:t>⑤全面加强无组织排放管理。严格控制工业炉窑生</w:t>
            </w:r>
            <w:r>
              <w:rPr>
                <w:spacing w:val="-6"/>
              </w:rPr>
              <w:t>产工艺过程及相关物</w:t>
            </w:r>
            <w:r>
              <w:t xml:space="preserve"> </w:t>
            </w:r>
            <w:r>
              <w:rPr>
                <w:spacing w:val="-5"/>
              </w:rPr>
              <w:t>料储存、输送等无组织排放，在保障生产安全的</w:t>
            </w:r>
            <w:r>
              <w:rPr>
                <w:spacing w:val="-6"/>
              </w:rPr>
              <w:t>前提下，采取密闭、封</w:t>
            </w:r>
            <w:r>
              <w:t xml:space="preserve"> </w:t>
            </w:r>
            <w:r>
              <w:rPr>
                <w:spacing w:val="-5"/>
              </w:rPr>
              <w:t>闭等有效措施，有效提高废气收集率，产尘点及车间不</w:t>
            </w:r>
            <w:r>
              <w:rPr>
                <w:spacing w:val="-6"/>
              </w:rPr>
              <w:t>得有可见烟粉尘</w:t>
            </w:r>
            <w:r>
              <w:t xml:space="preserve"> </w:t>
            </w:r>
            <w:r>
              <w:rPr>
                <w:spacing w:val="-10"/>
              </w:rPr>
              <w:t>外逸。生产工艺产尘点（装置）应采取密闭、封闭或设置集气罩等措施。</w:t>
            </w:r>
            <w:r>
              <w:rPr>
                <w:spacing w:val="12"/>
              </w:rPr>
              <w:t xml:space="preserve"> </w:t>
            </w:r>
            <w:r>
              <w:rPr>
                <w:spacing w:val="-3"/>
              </w:rPr>
              <w:t>煤粉、粉煤灰、石灰、除尘灰、脱硫灰等粉状物料应密闭或封闭储存，</w:t>
            </w:r>
            <w:r>
              <w:rPr>
                <w:spacing w:val="5"/>
              </w:rPr>
              <w:t xml:space="preserve"> </w:t>
            </w:r>
            <w:r>
              <w:rPr>
                <w:spacing w:val="-5"/>
              </w:rPr>
              <w:t>采用密闭皮带、封闭通廊、管状带式输送机或密</w:t>
            </w:r>
            <w:r>
              <w:rPr>
                <w:spacing w:val="-6"/>
              </w:rPr>
              <w:t>闭车厢、真空罐车、气</w:t>
            </w:r>
            <w:r>
              <w:t xml:space="preserve"> </w:t>
            </w:r>
            <w:r>
              <w:rPr>
                <w:spacing w:val="-5"/>
              </w:rPr>
              <w:t>力输送等方式输送。粒状、块状物料应采用入棚</w:t>
            </w:r>
            <w:r>
              <w:rPr>
                <w:spacing w:val="-6"/>
              </w:rPr>
              <w:t>入仓或建设防风抑尘网</w:t>
            </w:r>
            <w:r>
              <w:t xml:space="preserve"> </w:t>
            </w:r>
            <w:r>
              <w:rPr>
                <w:spacing w:val="-5"/>
              </w:rPr>
              <w:t>等方式进行储存，粒状物料采用密闭、封闭等方</w:t>
            </w:r>
            <w:r>
              <w:rPr>
                <w:spacing w:val="-6"/>
              </w:rPr>
              <w:t>式输送。物料输送过程</w:t>
            </w:r>
            <w:r>
              <w:t xml:space="preserve"> </w:t>
            </w:r>
            <w:r>
              <w:rPr>
                <w:spacing w:val="-3"/>
              </w:rPr>
              <w:t>中产尘点应采取有效抑尘措施。</w:t>
            </w:r>
          </w:p>
        </w:tc>
        <w:tc>
          <w:tcPr>
            <w:tcW w:w="4111" w:type="dxa"/>
            <w:vAlign w:val="top"/>
          </w:tcPr>
          <w:p w14:paraId="7D128929">
            <w:pPr>
              <w:spacing w:line="339" w:lineRule="auto"/>
              <w:rPr>
                <w:rFonts w:ascii="Arial"/>
                <w:sz w:val="21"/>
              </w:rPr>
            </w:pPr>
          </w:p>
          <w:p w14:paraId="32729869">
            <w:pPr>
              <w:spacing w:line="340" w:lineRule="auto"/>
              <w:rPr>
                <w:rFonts w:ascii="Arial"/>
                <w:sz w:val="21"/>
              </w:rPr>
            </w:pPr>
          </w:p>
          <w:p w14:paraId="19F6975C">
            <w:pPr>
              <w:pStyle w:val="6"/>
              <w:spacing w:before="71" w:line="234" w:lineRule="auto"/>
              <w:ind w:left="10" w:right="1" w:firstLine="1"/>
              <w:jc w:val="both"/>
            </w:pPr>
            <w:r>
              <w:rPr>
                <w:spacing w:val="-5"/>
              </w:rPr>
              <w:t>本项目新建全封闭原料大棚、配料库等，对</w:t>
            </w:r>
            <w:r>
              <w:rPr>
                <w:spacing w:val="6"/>
              </w:rPr>
              <w:t xml:space="preserve"> </w:t>
            </w:r>
            <w:r>
              <w:rPr>
                <w:spacing w:val="7"/>
              </w:rPr>
              <w:t xml:space="preserve">各产尘点进行封闭或配置集气设施和高效 </w:t>
            </w:r>
            <w:r>
              <w:rPr>
                <w:spacing w:val="-5"/>
              </w:rPr>
              <w:t>除尘装置，皮带输送采用封闭廊道，对皮带</w:t>
            </w:r>
            <w:r>
              <w:rPr>
                <w:spacing w:val="8"/>
              </w:rPr>
              <w:t xml:space="preserve"> </w:t>
            </w:r>
            <w:r>
              <w:rPr>
                <w:spacing w:val="-1"/>
              </w:rPr>
              <w:t>输送落料点产生的粉尘进行收集处理</w:t>
            </w:r>
          </w:p>
        </w:tc>
        <w:tc>
          <w:tcPr>
            <w:tcW w:w="677" w:type="dxa"/>
            <w:tcBorders>
              <w:right w:val="nil"/>
            </w:tcBorders>
            <w:vAlign w:val="top"/>
          </w:tcPr>
          <w:p w14:paraId="063338B9">
            <w:pPr>
              <w:spacing w:line="280" w:lineRule="auto"/>
              <w:rPr>
                <w:rFonts w:ascii="Arial"/>
                <w:sz w:val="21"/>
              </w:rPr>
            </w:pPr>
          </w:p>
          <w:p w14:paraId="1FC3016B">
            <w:pPr>
              <w:spacing w:line="280" w:lineRule="auto"/>
              <w:rPr>
                <w:rFonts w:ascii="Arial"/>
                <w:sz w:val="21"/>
              </w:rPr>
            </w:pPr>
          </w:p>
          <w:p w14:paraId="647F038D">
            <w:pPr>
              <w:spacing w:line="280" w:lineRule="auto"/>
              <w:rPr>
                <w:rFonts w:ascii="Arial"/>
                <w:sz w:val="21"/>
              </w:rPr>
            </w:pPr>
          </w:p>
          <w:p w14:paraId="794CCA9F">
            <w:pPr>
              <w:spacing w:line="281" w:lineRule="auto"/>
              <w:rPr>
                <w:rFonts w:ascii="Arial"/>
                <w:sz w:val="21"/>
              </w:rPr>
            </w:pPr>
          </w:p>
          <w:p w14:paraId="76608C46">
            <w:pPr>
              <w:pStyle w:val="6"/>
              <w:spacing w:before="72" w:line="220" w:lineRule="auto"/>
              <w:ind w:left="128"/>
            </w:pPr>
            <w:r>
              <w:rPr>
                <w:spacing w:val="-5"/>
              </w:rPr>
              <w:t>符合</w:t>
            </w:r>
          </w:p>
        </w:tc>
      </w:tr>
      <w:tr w14:paraId="14CDE7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1560" w:type="dxa"/>
            <w:vMerge w:val="continue"/>
            <w:tcBorders>
              <w:top w:val="nil"/>
              <w:left w:val="nil"/>
              <w:bottom w:val="single" w:color="000000" w:sz="10" w:space="0"/>
            </w:tcBorders>
            <w:vAlign w:val="top"/>
          </w:tcPr>
          <w:p w14:paraId="166726EC">
            <w:pPr>
              <w:rPr>
                <w:rFonts w:ascii="Arial"/>
                <w:sz w:val="21"/>
              </w:rPr>
            </w:pPr>
          </w:p>
        </w:tc>
        <w:tc>
          <w:tcPr>
            <w:tcW w:w="905" w:type="dxa"/>
            <w:vMerge w:val="continue"/>
            <w:tcBorders>
              <w:top w:val="nil"/>
              <w:bottom w:val="single" w:color="000000" w:sz="10" w:space="0"/>
            </w:tcBorders>
            <w:vAlign w:val="top"/>
          </w:tcPr>
          <w:p w14:paraId="191D6B8E">
            <w:pPr>
              <w:rPr>
                <w:rFonts w:ascii="Arial"/>
                <w:sz w:val="21"/>
              </w:rPr>
            </w:pPr>
          </w:p>
        </w:tc>
        <w:tc>
          <w:tcPr>
            <w:tcW w:w="6749" w:type="dxa"/>
            <w:tcBorders>
              <w:bottom w:val="single" w:color="000000" w:sz="10" w:space="0"/>
            </w:tcBorders>
            <w:vAlign w:val="top"/>
          </w:tcPr>
          <w:p w14:paraId="2DF999A8">
            <w:pPr>
              <w:pStyle w:val="6"/>
              <w:spacing w:before="109" w:line="220" w:lineRule="auto"/>
              <w:ind w:left="11"/>
            </w:pPr>
            <w:r>
              <w:rPr>
                <w:spacing w:val="-1"/>
              </w:rPr>
              <w:t>加大煤气发生炉</w:t>
            </w:r>
            <w:r>
              <w:rPr>
                <w:rFonts w:ascii="Times New Roman" w:hAnsi="Times New Roman" w:eastAsia="Times New Roman" w:cs="Times New Roman"/>
                <w:spacing w:val="-1"/>
              </w:rPr>
              <w:t>VOCs</w:t>
            </w:r>
            <w:r>
              <w:rPr>
                <w:spacing w:val="-1"/>
              </w:rPr>
              <w:t>治理力度。</w:t>
            </w:r>
          </w:p>
        </w:tc>
        <w:tc>
          <w:tcPr>
            <w:tcW w:w="4111" w:type="dxa"/>
            <w:tcBorders>
              <w:bottom w:val="single" w:color="000000" w:sz="10" w:space="0"/>
            </w:tcBorders>
            <w:vAlign w:val="top"/>
          </w:tcPr>
          <w:p w14:paraId="18DABD68">
            <w:pPr>
              <w:pStyle w:val="6"/>
              <w:spacing w:before="110" w:line="219" w:lineRule="auto"/>
              <w:ind w:left="1072"/>
            </w:pPr>
            <w:r>
              <w:rPr>
                <w:spacing w:val="-1"/>
              </w:rPr>
              <w:t>本项目无煤气发生炉</w:t>
            </w:r>
          </w:p>
        </w:tc>
        <w:tc>
          <w:tcPr>
            <w:tcW w:w="677" w:type="dxa"/>
            <w:tcBorders>
              <w:bottom w:val="single" w:color="000000" w:sz="10" w:space="0"/>
              <w:right w:val="nil"/>
            </w:tcBorders>
            <w:vAlign w:val="top"/>
          </w:tcPr>
          <w:p w14:paraId="3BB917F2">
            <w:pPr>
              <w:pStyle w:val="6"/>
              <w:spacing w:before="129" w:line="220" w:lineRule="auto"/>
              <w:ind w:left="128"/>
            </w:pPr>
            <w:r>
              <w:rPr>
                <w:spacing w:val="-5"/>
              </w:rPr>
              <w:t>符合</w:t>
            </w:r>
          </w:p>
        </w:tc>
      </w:tr>
    </w:tbl>
    <w:p w14:paraId="525F701B">
      <w:pPr>
        <w:pStyle w:val="2"/>
      </w:pPr>
    </w:p>
    <w:p w14:paraId="1CE34877">
      <w:pPr>
        <w:sectPr>
          <w:footerReference r:id="rId24" w:type="default"/>
          <w:pgSz w:w="16839" w:h="11906"/>
          <w:pgMar w:top="1178" w:right="1418" w:bottom="1212" w:left="1418" w:header="870" w:footer="1025" w:gutter="0"/>
          <w:cols w:space="720" w:num="1"/>
        </w:sectPr>
      </w:pPr>
    </w:p>
    <w:p w14:paraId="58EC699F">
      <w:pPr>
        <w:spacing w:before="284" w:line="222" w:lineRule="auto"/>
        <w:ind w:left="11"/>
        <w:outlineLvl w:val="2"/>
        <w:rPr>
          <w:rFonts w:ascii="黑体" w:hAnsi="黑体" w:eastAsia="黑体" w:cs="黑体"/>
          <w:sz w:val="30"/>
          <w:szCs w:val="30"/>
        </w:rPr>
      </w:pPr>
      <w:r>
        <w:pict>
          <v:shape id="_x0000_s1040" o:spid="_x0000_s1040" style="position:absolute;left:0pt;margin-left:70.85pt;margin-top:59.65pt;height:0.75pt;width:453.65pt;mso-position-horizontal-relative:page;mso-position-vertical-relative:page;z-index:251674624;mso-width-relative:page;mso-height-relative:page;" fillcolor="#000000" filled="t" stroked="f" coordsize="9072,15" o:allowincell="f" path="m0,0l9072,0,9072,14,0,14,0,0xe">
            <v:path/>
            <v:fill on="t" focussize="0,0"/>
            <v:stroke on="f"/>
            <v:imagedata o:title=""/>
            <o:lock v:ext="edit"/>
          </v:shape>
        </w:pict>
      </w:r>
      <w:bookmarkStart w:id="262" w:name="bookmark14"/>
      <w:bookmarkEnd w:id="262"/>
      <w:r>
        <w:rPr>
          <w:rFonts w:ascii="Times New Roman" w:hAnsi="Times New Roman" w:eastAsia="Times New Roman" w:cs="Times New Roman"/>
          <w:spacing w:val="-1"/>
          <w:sz w:val="30"/>
          <w:szCs w:val="30"/>
        </w:rPr>
        <w:t>3.3“</w:t>
      </w:r>
      <w:r>
        <w:rPr>
          <w:rFonts w:ascii="黑体" w:hAnsi="黑体" w:eastAsia="黑体" w:cs="黑体"/>
          <w:spacing w:val="-1"/>
          <w:sz w:val="30"/>
          <w:szCs w:val="30"/>
        </w:rPr>
        <w:t>两高</w:t>
      </w:r>
      <w:r>
        <w:rPr>
          <w:rFonts w:ascii="Times New Roman" w:hAnsi="Times New Roman" w:eastAsia="Times New Roman" w:cs="Times New Roman"/>
          <w:spacing w:val="-1"/>
          <w:sz w:val="30"/>
          <w:szCs w:val="30"/>
        </w:rPr>
        <w:t>”</w:t>
      </w:r>
      <w:r>
        <w:rPr>
          <w:rFonts w:ascii="黑体" w:hAnsi="黑体" w:eastAsia="黑体" w:cs="黑体"/>
          <w:spacing w:val="-1"/>
          <w:sz w:val="30"/>
          <w:szCs w:val="30"/>
        </w:rPr>
        <w:t>项目政策符合性分析</w:t>
      </w:r>
    </w:p>
    <w:p w14:paraId="7E73FF43">
      <w:pPr>
        <w:spacing w:before="210" w:line="355" w:lineRule="auto"/>
        <w:ind w:left="7" w:right="37" w:firstLine="481"/>
        <w:jc w:val="both"/>
        <w:rPr>
          <w:rFonts w:ascii="宋体" w:hAnsi="宋体" w:eastAsia="宋体" w:cs="宋体"/>
          <w:sz w:val="24"/>
          <w:szCs w:val="24"/>
        </w:rPr>
      </w:pPr>
      <w:r>
        <w:rPr>
          <w:rFonts w:ascii="宋体" w:hAnsi="宋体" w:eastAsia="宋体" w:cs="宋体"/>
          <w:spacing w:val="-2"/>
          <w:sz w:val="24"/>
          <w:szCs w:val="24"/>
        </w:rPr>
        <w:t>本项目为内蒙古新创发展科技有限公司一期项目，二期项目投产后建成后内蒙古新</w:t>
      </w:r>
      <w:r>
        <w:rPr>
          <w:rFonts w:ascii="宋体" w:hAnsi="宋体" w:eastAsia="宋体" w:cs="宋体"/>
          <w:spacing w:val="12"/>
          <w:sz w:val="24"/>
          <w:szCs w:val="24"/>
        </w:rPr>
        <w:t xml:space="preserve"> </w:t>
      </w:r>
      <w:r>
        <w:rPr>
          <w:rFonts w:ascii="宋体" w:hAnsi="宋体" w:eastAsia="宋体" w:cs="宋体"/>
          <w:spacing w:val="1"/>
          <w:sz w:val="24"/>
          <w:szCs w:val="24"/>
        </w:rPr>
        <w:t>创发展科技有限公司在苏尼特经济开发区朱日和产业园内铁合金总产量为年</w:t>
      </w:r>
      <w:r>
        <w:rPr>
          <w:rFonts w:ascii="宋体" w:hAnsi="宋体" w:eastAsia="宋体" w:cs="宋体"/>
          <w:sz w:val="24"/>
          <w:szCs w:val="24"/>
        </w:rPr>
        <w:t>产</w:t>
      </w:r>
      <w:r>
        <w:rPr>
          <w:rFonts w:ascii="宋体" w:hAnsi="宋体" w:eastAsia="宋体" w:cs="宋体"/>
          <w:spacing w:val="-46"/>
          <w:sz w:val="24"/>
          <w:szCs w:val="24"/>
        </w:rPr>
        <w:t xml:space="preserve"> </w:t>
      </w:r>
      <w:r>
        <w:rPr>
          <w:rFonts w:ascii="Times New Roman" w:hAnsi="Times New Roman" w:eastAsia="Times New Roman" w:cs="Times New Roman"/>
          <w:sz w:val="24"/>
          <w:szCs w:val="24"/>
        </w:rPr>
        <w:t>90</w:t>
      </w:r>
      <w:r>
        <w:rPr>
          <w:rFonts w:ascii="Times New Roman" w:hAnsi="Times New Roman" w:eastAsia="Times New Roman" w:cs="Times New Roman"/>
          <w:spacing w:val="17"/>
          <w:w w:val="101"/>
          <w:sz w:val="24"/>
          <w:szCs w:val="24"/>
        </w:rPr>
        <w:t xml:space="preserve"> </w:t>
      </w:r>
      <w:r>
        <w:rPr>
          <w:rFonts w:ascii="宋体" w:hAnsi="宋体" w:eastAsia="宋体" w:cs="宋体"/>
          <w:sz w:val="24"/>
          <w:szCs w:val="24"/>
        </w:rPr>
        <w:t xml:space="preserve">万吨 </w:t>
      </w:r>
      <w:r>
        <w:rPr>
          <w:rFonts w:ascii="宋体" w:hAnsi="宋体" w:eastAsia="宋体" w:cs="宋体"/>
          <w:spacing w:val="-3"/>
          <w:sz w:val="24"/>
          <w:szCs w:val="24"/>
        </w:rPr>
        <w:t>（一期、二期年产量各为</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45</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万吨</w:t>
      </w:r>
      <w:r>
        <w:rPr>
          <w:rFonts w:ascii="宋体" w:hAnsi="宋体" w:eastAsia="宋体" w:cs="宋体"/>
          <w:spacing w:val="-10"/>
          <w:sz w:val="24"/>
          <w:szCs w:val="24"/>
        </w:rPr>
        <w:t>），</w:t>
      </w:r>
      <w:r>
        <w:rPr>
          <w:rFonts w:ascii="宋体" w:hAnsi="宋体" w:eastAsia="宋体" w:cs="宋体"/>
          <w:spacing w:val="-3"/>
          <w:sz w:val="24"/>
          <w:szCs w:val="24"/>
        </w:rPr>
        <w:t>根据《关于印发</w:t>
      </w:r>
      <w:r>
        <w:rPr>
          <w:rFonts w:ascii="Times New Roman" w:hAnsi="Times New Roman" w:eastAsia="Times New Roman" w:cs="Times New Roman"/>
          <w:spacing w:val="-3"/>
          <w:sz w:val="24"/>
          <w:szCs w:val="24"/>
        </w:rPr>
        <w:t>&lt;</w:t>
      </w:r>
      <w:r>
        <w:rPr>
          <w:rFonts w:ascii="Times New Roman" w:hAnsi="Times New Roman" w:eastAsia="Times New Roman" w:cs="Times New Roman"/>
          <w:spacing w:val="-22"/>
          <w:sz w:val="24"/>
          <w:szCs w:val="24"/>
        </w:rPr>
        <w:t xml:space="preserve"> </w:t>
      </w:r>
      <w:r>
        <w:rPr>
          <w:rFonts w:ascii="宋体" w:hAnsi="宋体" w:eastAsia="宋体" w:cs="宋体"/>
          <w:spacing w:val="-3"/>
          <w:sz w:val="24"/>
          <w:szCs w:val="24"/>
        </w:rPr>
        <w:t>内蒙古自治区促进铁合金产业高</w:t>
      </w:r>
      <w:r>
        <w:rPr>
          <w:rFonts w:ascii="宋体" w:hAnsi="宋体" w:eastAsia="宋体" w:cs="宋体"/>
          <w:sz w:val="24"/>
          <w:szCs w:val="24"/>
        </w:rPr>
        <w:t xml:space="preserve"> </w:t>
      </w:r>
      <w:r>
        <w:rPr>
          <w:rFonts w:ascii="宋体" w:hAnsi="宋体" w:eastAsia="宋体" w:cs="宋体"/>
          <w:spacing w:val="-2"/>
          <w:sz w:val="24"/>
          <w:szCs w:val="24"/>
        </w:rPr>
        <w:t>质量发展政策措施</w:t>
      </w:r>
      <w:r>
        <w:rPr>
          <w:rFonts w:ascii="Times New Roman" w:hAnsi="Times New Roman" w:eastAsia="Times New Roman" w:cs="Times New Roman"/>
          <w:spacing w:val="-2"/>
          <w:sz w:val="24"/>
          <w:szCs w:val="24"/>
        </w:rPr>
        <w:t>&gt;</w:t>
      </w:r>
      <w:r>
        <w:rPr>
          <w:rFonts w:ascii="Times New Roman" w:hAnsi="Times New Roman" w:eastAsia="Times New Roman" w:cs="Times New Roman"/>
          <w:spacing w:val="-25"/>
          <w:sz w:val="24"/>
          <w:szCs w:val="24"/>
        </w:rPr>
        <w:t xml:space="preserve"> </w:t>
      </w:r>
      <w:r>
        <w:rPr>
          <w:rFonts w:ascii="宋体" w:hAnsi="宋体" w:eastAsia="宋体" w:cs="宋体"/>
          <w:spacing w:val="-2"/>
          <w:sz w:val="24"/>
          <w:szCs w:val="24"/>
        </w:rPr>
        <w:t>的通知》（内工信发</w:t>
      </w:r>
      <w:r>
        <w:rPr>
          <w:rFonts w:ascii="Times New Roman" w:hAnsi="Times New Roman" w:eastAsia="Times New Roman" w:cs="Times New Roman"/>
          <w:spacing w:val="-2"/>
          <w:sz w:val="24"/>
          <w:szCs w:val="24"/>
        </w:rPr>
        <w:t xml:space="preserve">[2023]134 </w:t>
      </w:r>
      <w:r>
        <w:rPr>
          <w:rFonts w:ascii="宋体" w:hAnsi="宋体" w:eastAsia="宋体" w:cs="宋体"/>
          <w:spacing w:val="-2"/>
          <w:sz w:val="24"/>
          <w:szCs w:val="24"/>
        </w:rPr>
        <w:t>号）文件“九、实施差别化电价交易</w:t>
      </w:r>
      <w:r>
        <w:rPr>
          <w:rFonts w:ascii="宋体" w:hAnsi="宋体" w:eastAsia="宋体" w:cs="宋体"/>
          <w:sz w:val="24"/>
          <w:szCs w:val="24"/>
        </w:rPr>
        <w:t xml:space="preserve"> </w:t>
      </w:r>
      <w:r>
        <w:rPr>
          <w:rFonts w:ascii="宋体" w:hAnsi="宋体" w:eastAsia="宋体" w:cs="宋体"/>
          <w:spacing w:val="-1"/>
          <w:sz w:val="24"/>
          <w:szCs w:val="24"/>
        </w:rPr>
        <w:t>政策  对生产规模</w:t>
      </w:r>
      <w:r>
        <w:rPr>
          <w:rFonts w:ascii="宋体" w:hAnsi="宋体" w:eastAsia="宋体" w:cs="宋体"/>
          <w:spacing w:val="-38"/>
          <w:sz w:val="24"/>
          <w:szCs w:val="24"/>
        </w:rPr>
        <w:t xml:space="preserve"> </w:t>
      </w:r>
      <w:r>
        <w:rPr>
          <w:rFonts w:ascii="Times New Roman" w:hAnsi="Times New Roman" w:eastAsia="Times New Roman" w:cs="Times New Roman"/>
          <w:spacing w:val="-1"/>
          <w:sz w:val="24"/>
          <w:szCs w:val="24"/>
        </w:rPr>
        <w:t>50</w:t>
      </w:r>
      <w:r>
        <w:rPr>
          <w:rFonts w:ascii="Times New Roman" w:hAnsi="Times New Roman" w:eastAsia="Times New Roman" w:cs="Times New Roman"/>
          <w:spacing w:val="17"/>
          <w:w w:val="101"/>
          <w:sz w:val="24"/>
          <w:szCs w:val="24"/>
        </w:rPr>
        <w:t xml:space="preserve"> </w:t>
      </w:r>
      <w:r>
        <w:rPr>
          <w:rFonts w:ascii="宋体" w:hAnsi="宋体" w:eastAsia="宋体" w:cs="宋体"/>
          <w:spacing w:val="-1"/>
          <w:sz w:val="24"/>
          <w:szCs w:val="24"/>
        </w:rPr>
        <w:t>万吨以上（含</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50</w:t>
      </w:r>
      <w:r>
        <w:rPr>
          <w:rFonts w:ascii="Times New Roman" w:hAnsi="Times New Roman" w:eastAsia="Times New Roman" w:cs="Times New Roman"/>
          <w:spacing w:val="17"/>
          <w:w w:val="101"/>
          <w:sz w:val="24"/>
          <w:szCs w:val="24"/>
        </w:rPr>
        <w:t xml:space="preserve"> </w:t>
      </w:r>
      <w:r>
        <w:rPr>
          <w:rFonts w:ascii="宋体" w:hAnsi="宋体" w:eastAsia="宋体" w:cs="宋体"/>
          <w:spacing w:val="-1"/>
          <w:sz w:val="24"/>
          <w:szCs w:val="24"/>
        </w:rPr>
        <w:t>万吨）的铁合金单体企业、</w:t>
      </w:r>
      <w:r>
        <w:rPr>
          <w:rFonts w:ascii="Times New Roman" w:hAnsi="Times New Roman" w:eastAsia="Times New Roman" w:cs="Times New Roman"/>
          <w:spacing w:val="-1"/>
          <w:sz w:val="24"/>
          <w:szCs w:val="24"/>
        </w:rPr>
        <w:t>80</w:t>
      </w:r>
      <w:r>
        <w:rPr>
          <w:rFonts w:ascii="Times New Roman" w:hAnsi="Times New Roman" w:eastAsia="Times New Roman" w:cs="Times New Roman"/>
          <w:spacing w:val="15"/>
          <w:sz w:val="24"/>
          <w:szCs w:val="24"/>
        </w:rPr>
        <w:t xml:space="preserve"> </w:t>
      </w:r>
      <w:r>
        <w:rPr>
          <w:rFonts w:ascii="宋体" w:hAnsi="宋体" w:eastAsia="宋体" w:cs="宋体"/>
          <w:spacing w:val="-1"/>
          <w:sz w:val="24"/>
          <w:szCs w:val="24"/>
        </w:rPr>
        <w:t>万吨以上（含</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80</w:t>
      </w:r>
      <w:r>
        <w:rPr>
          <w:rFonts w:ascii="Times New Roman" w:hAnsi="Times New Roman" w:eastAsia="Times New Roman" w:cs="Times New Roman"/>
          <w:sz w:val="24"/>
          <w:szCs w:val="24"/>
        </w:rPr>
        <w:t xml:space="preserve">  </w:t>
      </w:r>
      <w:r>
        <w:rPr>
          <w:rFonts w:ascii="宋体" w:hAnsi="宋体" w:eastAsia="宋体" w:cs="宋体"/>
          <w:spacing w:val="-7"/>
          <w:sz w:val="24"/>
          <w:szCs w:val="24"/>
        </w:rPr>
        <w:t>万吨）的铁合金企业集团或能效达到标杆水平的铁合金企业可不列入高耗能企业名单</w:t>
      </w:r>
      <w:r>
        <w:rPr>
          <w:rFonts w:ascii="宋体" w:hAnsi="宋体" w:eastAsia="宋体" w:cs="宋体"/>
          <w:spacing w:val="-83"/>
          <w:sz w:val="24"/>
          <w:szCs w:val="24"/>
        </w:rPr>
        <w:t xml:space="preserve"> </w:t>
      </w:r>
      <w:r>
        <w:rPr>
          <w:rFonts w:ascii="宋体" w:hAnsi="宋体" w:eastAsia="宋体" w:cs="宋体"/>
          <w:spacing w:val="-7"/>
          <w:sz w:val="24"/>
          <w:szCs w:val="24"/>
        </w:rPr>
        <w:t>”，</w:t>
      </w:r>
      <w:r>
        <w:rPr>
          <w:rFonts w:ascii="宋体" w:hAnsi="宋体" w:eastAsia="宋体" w:cs="宋体"/>
          <w:sz w:val="24"/>
          <w:szCs w:val="24"/>
        </w:rPr>
        <w:t xml:space="preserve"> </w:t>
      </w:r>
      <w:r>
        <w:rPr>
          <w:rFonts w:ascii="宋体" w:hAnsi="宋体" w:eastAsia="宋体" w:cs="宋体"/>
          <w:spacing w:val="-3"/>
          <w:sz w:val="24"/>
          <w:szCs w:val="24"/>
        </w:rPr>
        <w:t>因此本项目不列入“两高</w:t>
      </w:r>
      <w:r>
        <w:rPr>
          <w:rFonts w:ascii="宋体" w:hAnsi="宋体" w:eastAsia="宋体" w:cs="宋体"/>
          <w:spacing w:val="-85"/>
          <w:sz w:val="24"/>
          <w:szCs w:val="24"/>
        </w:rPr>
        <w:t xml:space="preserve"> </w:t>
      </w:r>
      <w:r>
        <w:rPr>
          <w:rFonts w:ascii="宋体" w:hAnsi="宋体" w:eastAsia="宋体" w:cs="宋体"/>
          <w:spacing w:val="-3"/>
          <w:sz w:val="24"/>
          <w:szCs w:val="24"/>
        </w:rPr>
        <w:t>”项目。</w:t>
      </w:r>
    </w:p>
    <w:p w14:paraId="1CBB2B99">
      <w:pPr>
        <w:spacing w:before="39" w:line="350" w:lineRule="auto"/>
        <w:ind w:left="6" w:right="99" w:firstLine="477"/>
        <w:jc w:val="both"/>
        <w:rPr>
          <w:rFonts w:ascii="宋体" w:hAnsi="宋体" w:eastAsia="宋体" w:cs="宋体"/>
          <w:sz w:val="24"/>
          <w:szCs w:val="24"/>
        </w:rPr>
      </w:pPr>
      <w:r>
        <w:rPr>
          <w:rFonts w:ascii="Times New Roman" w:hAnsi="Times New Roman" w:eastAsia="Times New Roman" w:cs="Times New Roman"/>
          <w:spacing w:val="-4"/>
          <w:sz w:val="24"/>
          <w:szCs w:val="24"/>
        </w:rPr>
        <w:t xml:space="preserve">2024 </w:t>
      </w:r>
      <w:r>
        <w:rPr>
          <w:rFonts w:ascii="宋体" w:hAnsi="宋体" w:eastAsia="宋体" w:cs="宋体"/>
          <w:spacing w:val="-4"/>
          <w:sz w:val="24"/>
          <w:szCs w:val="24"/>
        </w:rPr>
        <w:t>年</w:t>
      </w:r>
      <w:r>
        <w:rPr>
          <w:rFonts w:ascii="宋体" w:hAnsi="宋体" w:eastAsia="宋体" w:cs="宋体"/>
          <w:spacing w:val="-34"/>
          <w:sz w:val="24"/>
          <w:szCs w:val="24"/>
        </w:rPr>
        <w:t xml:space="preserve"> </w:t>
      </w:r>
      <w:r>
        <w:rPr>
          <w:rFonts w:ascii="Times New Roman" w:hAnsi="Times New Roman" w:eastAsia="Times New Roman" w:cs="Times New Roman"/>
          <w:spacing w:val="-4"/>
          <w:sz w:val="24"/>
          <w:szCs w:val="24"/>
        </w:rPr>
        <w:t>6</w:t>
      </w:r>
      <w:r>
        <w:rPr>
          <w:rFonts w:ascii="Times New Roman" w:hAnsi="Times New Roman" w:eastAsia="Times New Roman" w:cs="Times New Roman"/>
          <w:spacing w:val="15"/>
          <w:w w:val="101"/>
          <w:sz w:val="24"/>
          <w:szCs w:val="24"/>
        </w:rPr>
        <w:t xml:space="preserve"> </w:t>
      </w:r>
      <w:r>
        <w:rPr>
          <w:rFonts w:ascii="宋体" w:hAnsi="宋体" w:eastAsia="宋体" w:cs="宋体"/>
          <w:spacing w:val="-4"/>
          <w:sz w:val="24"/>
          <w:szCs w:val="24"/>
        </w:rPr>
        <w:t>月，内蒙古新创发展科技有限公司委托内蒙古中实节能环保有限责任公司</w:t>
      </w:r>
      <w:r>
        <w:rPr>
          <w:rFonts w:ascii="宋体" w:hAnsi="宋体" w:eastAsia="宋体" w:cs="宋体"/>
          <w:sz w:val="24"/>
          <w:szCs w:val="24"/>
        </w:rPr>
        <w:t xml:space="preserve"> </w:t>
      </w:r>
      <w:r>
        <w:rPr>
          <w:rFonts w:ascii="宋体" w:hAnsi="宋体" w:eastAsia="宋体" w:cs="宋体"/>
          <w:spacing w:val="2"/>
          <w:sz w:val="24"/>
          <w:szCs w:val="24"/>
        </w:rPr>
        <w:t>编制《内蒙古新创发展科技有限公司一期</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6×36</w:t>
      </w:r>
      <w:r>
        <w:rPr>
          <w:rFonts w:ascii="Times New Roman" w:hAnsi="Times New Roman" w:eastAsia="Times New Roman" w:cs="Times New Roman"/>
          <w:sz w:val="24"/>
          <w:szCs w:val="24"/>
        </w:rPr>
        <w:t>MW</w:t>
      </w:r>
      <w:r>
        <w:rPr>
          <w:rFonts w:ascii="Times New Roman" w:hAnsi="Times New Roman" w:eastAsia="Times New Roman" w:cs="Times New Roman"/>
          <w:spacing w:val="2"/>
          <w:sz w:val="24"/>
          <w:szCs w:val="24"/>
        </w:rPr>
        <w:t xml:space="preserve"> </w:t>
      </w:r>
      <w:r>
        <w:rPr>
          <w:rFonts w:ascii="宋体" w:hAnsi="宋体" w:eastAsia="宋体" w:cs="宋体"/>
          <w:spacing w:val="2"/>
          <w:sz w:val="24"/>
          <w:szCs w:val="24"/>
        </w:rPr>
        <w:t>直流锰硅合金全密闭电炉项目节能</w:t>
      </w:r>
      <w:r>
        <w:rPr>
          <w:rFonts w:ascii="宋体" w:hAnsi="宋体" w:eastAsia="宋体" w:cs="宋体"/>
          <w:sz w:val="24"/>
          <w:szCs w:val="24"/>
        </w:rPr>
        <w:t xml:space="preserve"> </w:t>
      </w:r>
      <w:r>
        <w:rPr>
          <w:rFonts w:ascii="宋体" w:hAnsi="宋体" w:eastAsia="宋体" w:cs="宋体"/>
          <w:spacing w:val="-2"/>
          <w:sz w:val="24"/>
          <w:szCs w:val="24"/>
        </w:rPr>
        <w:t>报告》。</w:t>
      </w:r>
    </w:p>
    <w:p w14:paraId="458A2A6F">
      <w:pPr>
        <w:spacing w:before="37" w:line="344" w:lineRule="auto"/>
        <w:ind w:left="19" w:firstLine="468"/>
        <w:rPr>
          <w:rFonts w:ascii="宋体" w:hAnsi="宋体" w:eastAsia="宋体" w:cs="宋体"/>
          <w:sz w:val="24"/>
          <w:szCs w:val="24"/>
        </w:rPr>
      </w:pPr>
      <w:r>
        <w:rPr>
          <w:rFonts w:ascii="宋体" w:hAnsi="宋体" w:eastAsia="宋体" w:cs="宋体"/>
          <w:spacing w:val="-3"/>
          <w:sz w:val="24"/>
          <w:szCs w:val="24"/>
        </w:rPr>
        <w:t>根据节能报告，本项目年综合能耗为</w:t>
      </w:r>
      <w:r>
        <w:rPr>
          <w:rFonts w:ascii="宋体" w:hAnsi="宋体" w:eastAsia="宋体" w:cs="宋体"/>
          <w:spacing w:val="-47"/>
          <w:sz w:val="24"/>
          <w:szCs w:val="24"/>
        </w:rPr>
        <w:t xml:space="preserve"> </w:t>
      </w:r>
      <w:r>
        <w:rPr>
          <w:rFonts w:ascii="Times New Roman" w:hAnsi="Times New Roman" w:eastAsia="Times New Roman" w:cs="Times New Roman"/>
          <w:spacing w:val="-3"/>
          <w:sz w:val="24"/>
          <w:szCs w:val="24"/>
        </w:rPr>
        <w:t>551762.24</w:t>
      </w:r>
      <w:r>
        <w:rPr>
          <w:rFonts w:ascii="宋体" w:hAnsi="宋体" w:eastAsia="宋体" w:cs="宋体"/>
          <w:spacing w:val="-3"/>
          <w:sz w:val="24"/>
          <w:szCs w:val="24"/>
        </w:rPr>
        <w:t>（</w:t>
      </w:r>
      <w:r>
        <w:rPr>
          <w:rFonts w:ascii="Times New Roman" w:hAnsi="Times New Roman" w:eastAsia="Times New Roman" w:cs="Times New Roman"/>
          <w:spacing w:val="-3"/>
          <w:sz w:val="24"/>
          <w:szCs w:val="24"/>
        </w:rPr>
        <w:t>tec</w:t>
      </w:r>
      <w:r>
        <w:rPr>
          <w:rFonts w:ascii="宋体" w:hAnsi="宋体" w:eastAsia="宋体" w:cs="宋体"/>
          <w:spacing w:val="-44"/>
          <w:sz w:val="24"/>
          <w:szCs w:val="24"/>
        </w:rPr>
        <w:t>）（</w:t>
      </w:r>
      <w:r>
        <w:rPr>
          <w:rFonts w:ascii="宋体" w:hAnsi="宋体" w:eastAsia="宋体" w:cs="宋体"/>
          <w:spacing w:val="-3"/>
          <w:sz w:val="24"/>
          <w:szCs w:val="24"/>
        </w:rPr>
        <w:t>当量值）、</w:t>
      </w:r>
      <w:r>
        <w:rPr>
          <w:rFonts w:ascii="Times New Roman" w:hAnsi="Times New Roman" w:eastAsia="Times New Roman" w:cs="Times New Roman"/>
          <w:spacing w:val="-3"/>
          <w:sz w:val="24"/>
          <w:szCs w:val="24"/>
        </w:rPr>
        <w:t>922952.84</w:t>
      </w:r>
      <w:r>
        <w:rPr>
          <w:rFonts w:ascii="宋体" w:hAnsi="宋体" w:eastAsia="宋体" w:cs="宋体"/>
          <w:spacing w:val="-3"/>
          <w:sz w:val="24"/>
          <w:szCs w:val="24"/>
        </w:rPr>
        <w:t>（</w:t>
      </w:r>
      <w:r>
        <w:rPr>
          <w:rFonts w:ascii="Times New Roman" w:hAnsi="Times New Roman" w:eastAsia="Times New Roman" w:cs="Times New Roman"/>
          <w:spacing w:val="-3"/>
          <w:sz w:val="24"/>
          <w:szCs w:val="24"/>
        </w:rPr>
        <w:t>tec</w:t>
      </w:r>
      <w:r>
        <w:rPr>
          <w:rFonts w:ascii="宋体" w:hAnsi="宋体" w:eastAsia="宋体" w:cs="宋体"/>
          <w:spacing w:val="-3"/>
          <w:sz w:val="24"/>
          <w:szCs w:val="24"/>
        </w:rPr>
        <w:t>）</w:t>
      </w:r>
      <w:r>
        <w:rPr>
          <w:rFonts w:ascii="宋体" w:hAnsi="宋体" w:eastAsia="宋体" w:cs="宋体"/>
          <w:sz w:val="24"/>
          <w:szCs w:val="24"/>
        </w:rPr>
        <w:t xml:space="preserve"> </w:t>
      </w:r>
      <w:r>
        <w:rPr>
          <w:rFonts w:ascii="宋体" w:hAnsi="宋体" w:eastAsia="宋体" w:cs="宋体"/>
          <w:spacing w:val="-4"/>
          <w:sz w:val="24"/>
          <w:szCs w:val="24"/>
        </w:rPr>
        <w:t>（等价值）。</w:t>
      </w:r>
    </w:p>
    <w:p w14:paraId="19B77F22">
      <w:pPr>
        <w:spacing w:before="39" w:line="352" w:lineRule="auto"/>
        <w:ind w:left="9" w:right="99" w:firstLine="479"/>
        <w:jc w:val="both"/>
        <w:rPr>
          <w:rFonts w:ascii="宋体" w:hAnsi="宋体" w:eastAsia="宋体" w:cs="宋体"/>
          <w:sz w:val="24"/>
          <w:szCs w:val="24"/>
        </w:rPr>
      </w:pPr>
      <w:r>
        <w:rPr>
          <w:rFonts w:ascii="宋体" w:hAnsi="宋体" w:eastAsia="宋体" w:cs="宋体"/>
          <w:spacing w:val="1"/>
          <w:sz w:val="24"/>
          <w:szCs w:val="24"/>
        </w:rPr>
        <w:t>根据节能报告，本项目锰硅合金单位产品综合能耗为</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 xml:space="preserve">837.89 </w:t>
      </w:r>
      <w:r>
        <w:rPr>
          <w:rFonts w:ascii="宋体" w:hAnsi="宋体" w:eastAsia="宋体" w:cs="宋体"/>
          <w:spacing w:val="1"/>
          <w:sz w:val="24"/>
          <w:szCs w:val="24"/>
        </w:rPr>
        <w:t>千克标煤</w:t>
      </w:r>
      <w:r>
        <w:rPr>
          <w:rFonts w:ascii="Times New Roman" w:hAnsi="Times New Roman" w:eastAsia="Times New Roman" w:cs="Times New Roman"/>
          <w:spacing w:val="1"/>
          <w:sz w:val="24"/>
          <w:szCs w:val="24"/>
        </w:rPr>
        <w:t>/</w:t>
      </w:r>
      <w:r>
        <w:rPr>
          <w:rFonts w:ascii="宋体" w:hAnsi="宋体" w:eastAsia="宋体" w:cs="宋体"/>
          <w:spacing w:val="1"/>
          <w:sz w:val="24"/>
          <w:szCs w:val="24"/>
        </w:rPr>
        <w:t>吨，达到了</w:t>
      </w:r>
      <w:r>
        <w:rPr>
          <w:rFonts w:ascii="宋体" w:hAnsi="宋体" w:eastAsia="宋体" w:cs="宋体"/>
          <w:sz w:val="24"/>
          <w:szCs w:val="24"/>
        </w:rPr>
        <w:t xml:space="preserve"> </w:t>
      </w:r>
      <w:r>
        <w:rPr>
          <w:rFonts w:ascii="宋体" w:hAnsi="宋体" w:eastAsia="宋体" w:cs="宋体"/>
          <w:spacing w:val="-1"/>
          <w:sz w:val="24"/>
          <w:szCs w:val="24"/>
        </w:rPr>
        <w:t>《高耗能行业重点领域能效标杆水平和基准水</w:t>
      </w:r>
      <w:r>
        <w:rPr>
          <w:rFonts w:ascii="宋体" w:hAnsi="宋体" w:eastAsia="宋体" w:cs="宋体"/>
          <w:spacing w:val="-2"/>
          <w:sz w:val="24"/>
          <w:szCs w:val="24"/>
        </w:rPr>
        <w:t>平（</w:t>
      </w:r>
      <w:r>
        <w:rPr>
          <w:rFonts w:ascii="Times New Roman" w:hAnsi="Times New Roman" w:eastAsia="Times New Roman" w:cs="Times New Roman"/>
          <w:spacing w:val="-2"/>
          <w:sz w:val="24"/>
          <w:szCs w:val="24"/>
        </w:rPr>
        <w:t>2023</w:t>
      </w:r>
      <w:r>
        <w:rPr>
          <w:rFonts w:ascii="宋体" w:hAnsi="宋体" w:eastAsia="宋体" w:cs="宋体"/>
          <w:spacing w:val="-2"/>
          <w:sz w:val="24"/>
          <w:szCs w:val="24"/>
        </w:rPr>
        <w:t>年版）》及《工业重点领域能效</w:t>
      </w:r>
      <w:r>
        <w:rPr>
          <w:rFonts w:ascii="宋体" w:hAnsi="宋体" w:eastAsia="宋体" w:cs="宋体"/>
          <w:sz w:val="24"/>
          <w:szCs w:val="24"/>
        </w:rPr>
        <w:t xml:space="preserve"> </w:t>
      </w:r>
      <w:r>
        <w:rPr>
          <w:rFonts w:ascii="宋体" w:hAnsi="宋体" w:eastAsia="宋体" w:cs="宋体"/>
          <w:spacing w:val="-1"/>
          <w:sz w:val="24"/>
          <w:szCs w:val="24"/>
        </w:rPr>
        <w:t>标杆水平和基准水平》中铁合金冶炼（</w:t>
      </w:r>
      <w:r>
        <w:rPr>
          <w:rFonts w:ascii="Times New Roman" w:hAnsi="Times New Roman" w:eastAsia="Times New Roman" w:cs="Times New Roman"/>
          <w:spacing w:val="-1"/>
          <w:sz w:val="24"/>
          <w:szCs w:val="24"/>
        </w:rPr>
        <w:t>314</w:t>
      </w:r>
      <w:r>
        <w:rPr>
          <w:rFonts w:ascii="Times New Roman" w:hAnsi="Times New Roman" w:eastAsia="Times New Roman" w:cs="Times New Roman"/>
          <w:spacing w:val="-2"/>
          <w:sz w:val="24"/>
          <w:szCs w:val="24"/>
        </w:rPr>
        <w:t>0</w:t>
      </w:r>
      <w:r>
        <w:rPr>
          <w:rFonts w:ascii="宋体" w:hAnsi="宋体" w:eastAsia="宋体" w:cs="宋体"/>
          <w:spacing w:val="-2"/>
          <w:sz w:val="24"/>
          <w:szCs w:val="24"/>
        </w:rPr>
        <w:t>）标杆水平（锰硅合金单位产品综合能耗标</w:t>
      </w:r>
      <w:r>
        <w:rPr>
          <w:rFonts w:ascii="宋体" w:hAnsi="宋体" w:eastAsia="宋体" w:cs="宋体"/>
          <w:sz w:val="24"/>
          <w:szCs w:val="24"/>
        </w:rPr>
        <w:t xml:space="preserve"> </w:t>
      </w:r>
      <w:r>
        <w:rPr>
          <w:rFonts w:ascii="宋体" w:hAnsi="宋体" w:eastAsia="宋体" w:cs="宋体"/>
          <w:spacing w:val="-2"/>
          <w:sz w:val="24"/>
          <w:szCs w:val="24"/>
        </w:rPr>
        <w:t>杆水平为</w:t>
      </w:r>
      <w:r>
        <w:rPr>
          <w:rFonts w:ascii="宋体" w:hAnsi="宋体" w:eastAsia="宋体" w:cs="宋体"/>
          <w:spacing w:val="-39"/>
          <w:sz w:val="24"/>
          <w:szCs w:val="24"/>
        </w:rPr>
        <w:t xml:space="preserve"> </w:t>
      </w:r>
      <w:r>
        <w:rPr>
          <w:rFonts w:ascii="Times New Roman" w:hAnsi="Times New Roman" w:eastAsia="Times New Roman" w:cs="Times New Roman"/>
          <w:spacing w:val="-2"/>
          <w:sz w:val="24"/>
          <w:szCs w:val="24"/>
        </w:rPr>
        <w:t xml:space="preserve">860 </w:t>
      </w:r>
      <w:r>
        <w:rPr>
          <w:rFonts w:ascii="宋体" w:hAnsi="宋体" w:eastAsia="宋体" w:cs="宋体"/>
          <w:spacing w:val="-2"/>
          <w:sz w:val="24"/>
          <w:szCs w:val="24"/>
        </w:rPr>
        <w:t>千克标准煤</w:t>
      </w:r>
      <w:r>
        <w:rPr>
          <w:rFonts w:ascii="Times New Roman" w:hAnsi="Times New Roman" w:eastAsia="Times New Roman" w:cs="Times New Roman"/>
          <w:spacing w:val="-2"/>
          <w:sz w:val="24"/>
          <w:szCs w:val="24"/>
        </w:rPr>
        <w:t>/</w:t>
      </w:r>
      <w:r>
        <w:rPr>
          <w:rFonts w:ascii="宋体" w:hAnsi="宋体" w:eastAsia="宋体" w:cs="宋体"/>
          <w:spacing w:val="-2"/>
          <w:sz w:val="24"/>
          <w:szCs w:val="24"/>
        </w:rPr>
        <w:t>吨。</w:t>
      </w:r>
    </w:p>
    <w:p w14:paraId="79F614F0">
      <w:pPr>
        <w:spacing w:before="44" w:line="222" w:lineRule="auto"/>
        <w:ind w:left="11"/>
        <w:outlineLvl w:val="2"/>
        <w:rPr>
          <w:rFonts w:ascii="黑体" w:hAnsi="黑体" w:eastAsia="黑体" w:cs="黑体"/>
          <w:sz w:val="30"/>
          <w:szCs w:val="30"/>
        </w:rPr>
      </w:pPr>
      <w:bookmarkStart w:id="263" w:name="bookmark16"/>
      <w:bookmarkEnd w:id="263"/>
      <w:r>
        <w:rPr>
          <w:rFonts w:ascii="Times New Roman" w:hAnsi="Times New Roman" w:eastAsia="Times New Roman" w:cs="Times New Roman"/>
          <w:spacing w:val="-1"/>
          <w:sz w:val="30"/>
          <w:szCs w:val="30"/>
        </w:rPr>
        <w:t xml:space="preserve">3.4 </w:t>
      </w:r>
      <w:r>
        <w:rPr>
          <w:rFonts w:ascii="黑体" w:hAnsi="黑体" w:eastAsia="黑体" w:cs="黑体"/>
          <w:spacing w:val="-1"/>
          <w:sz w:val="30"/>
          <w:szCs w:val="30"/>
        </w:rPr>
        <w:t>规划符合性及选址合理性</w:t>
      </w:r>
    </w:p>
    <w:p w14:paraId="7BD6D818">
      <w:pPr>
        <w:spacing w:before="221" w:line="222" w:lineRule="auto"/>
        <w:ind w:left="10"/>
        <w:outlineLvl w:val="3"/>
        <w:rPr>
          <w:rFonts w:ascii="黑体" w:hAnsi="黑体" w:eastAsia="黑体" w:cs="黑体"/>
          <w:sz w:val="28"/>
          <w:szCs w:val="28"/>
        </w:rPr>
      </w:pPr>
      <w:r>
        <w:rPr>
          <w:rFonts w:ascii="Times New Roman" w:hAnsi="Times New Roman" w:eastAsia="Times New Roman" w:cs="Times New Roman"/>
          <w:spacing w:val="-3"/>
          <w:sz w:val="28"/>
          <w:szCs w:val="28"/>
        </w:rPr>
        <w:t>3.4.1</w:t>
      </w:r>
      <w:r>
        <w:rPr>
          <w:rFonts w:ascii="Times New Roman" w:hAnsi="Times New Roman" w:eastAsia="Times New Roman" w:cs="Times New Roman"/>
          <w:spacing w:val="34"/>
          <w:sz w:val="28"/>
          <w:szCs w:val="28"/>
        </w:rPr>
        <w:t xml:space="preserve"> </w:t>
      </w:r>
      <w:r>
        <w:rPr>
          <w:rFonts w:ascii="黑体" w:hAnsi="黑体" w:eastAsia="黑体" w:cs="黑体"/>
          <w:spacing w:val="-3"/>
          <w:sz w:val="28"/>
          <w:szCs w:val="28"/>
        </w:rPr>
        <w:t>与园区规划符合性分析</w:t>
      </w:r>
    </w:p>
    <w:p w14:paraId="45FCA500">
      <w:pPr>
        <w:spacing w:before="204" w:line="356" w:lineRule="auto"/>
        <w:ind w:left="8" w:right="18" w:firstLine="480"/>
        <w:jc w:val="both"/>
        <w:rPr>
          <w:rFonts w:ascii="宋体" w:hAnsi="宋体" w:eastAsia="宋体" w:cs="宋体"/>
          <w:sz w:val="24"/>
          <w:szCs w:val="24"/>
        </w:rPr>
      </w:pPr>
      <w:r>
        <w:rPr>
          <w:rFonts w:ascii="宋体" w:hAnsi="宋体" w:eastAsia="宋体" w:cs="宋体"/>
          <w:spacing w:val="3"/>
          <w:sz w:val="24"/>
          <w:szCs w:val="24"/>
        </w:rPr>
        <w:t>根据《苏尼特右旗朱日和工业园区总体规划》（</w:t>
      </w:r>
      <w:r>
        <w:rPr>
          <w:rFonts w:ascii="Times New Roman" w:hAnsi="Times New Roman" w:eastAsia="Times New Roman" w:cs="Times New Roman"/>
          <w:spacing w:val="3"/>
          <w:sz w:val="24"/>
          <w:szCs w:val="24"/>
        </w:rPr>
        <w:t>201</w:t>
      </w:r>
      <w:r>
        <w:rPr>
          <w:rFonts w:ascii="Times New Roman" w:hAnsi="Times New Roman" w:eastAsia="Times New Roman" w:cs="Times New Roman"/>
          <w:spacing w:val="2"/>
          <w:sz w:val="24"/>
          <w:szCs w:val="24"/>
        </w:rPr>
        <w:t>3-2030</w:t>
      </w:r>
      <w:r>
        <w:rPr>
          <w:rFonts w:ascii="宋体" w:hAnsi="宋体" w:eastAsia="宋体" w:cs="宋体"/>
          <w:spacing w:val="2"/>
          <w:sz w:val="24"/>
          <w:szCs w:val="24"/>
        </w:rPr>
        <w:t>）及审查意见，朱日和</w:t>
      </w:r>
      <w:r>
        <w:rPr>
          <w:rFonts w:ascii="宋体" w:hAnsi="宋体" w:eastAsia="宋体" w:cs="宋体"/>
          <w:sz w:val="24"/>
          <w:szCs w:val="24"/>
        </w:rPr>
        <w:t xml:space="preserve"> </w:t>
      </w:r>
      <w:r>
        <w:rPr>
          <w:rFonts w:ascii="宋体" w:hAnsi="宋体" w:eastAsia="宋体" w:cs="宋体"/>
          <w:spacing w:val="-2"/>
          <w:sz w:val="24"/>
          <w:szCs w:val="24"/>
        </w:rPr>
        <w:t>工业园区由南区和北区组成。南区为冶金产业园，产业定位与发展方向为：以发展矿产</w:t>
      </w:r>
      <w:r>
        <w:rPr>
          <w:rFonts w:ascii="宋体" w:hAnsi="宋体" w:eastAsia="宋体" w:cs="宋体"/>
          <w:spacing w:val="17"/>
          <w:sz w:val="24"/>
          <w:szCs w:val="24"/>
        </w:rPr>
        <w:t xml:space="preserve"> </w:t>
      </w:r>
      <w:r>
        <w:rPr>
          <w:rFonts w:ascii="宋体" w:hAnsi="宋体" w:eastAsia="宋体" w:cs="宋体"/>
          <w:spacing w:val="-2"/>
          <w:sz w:val="24"/>
          <w:szCs w:val="24"/>
        </w:rPr>
        <w:t>品采选业、金属冶选铸造业、石材加工业、石油化工、清洁能源、装备制造业为主，配</w:t>
      </w:r>
      <w:r>
        <w:rPr>
          <w:rFonts w:ascii="宋体" w:hAnsi="宋体" w:eastAsia="宋体" w:cs="宋体"/>
          <w:spacing w:val="17"/>
          <w:sz w:val="24"/>
          <w:szCs w:val="24"/>
        </w:rPr>
        <w:t xml:space="preserve"> </w:t>
      </w:r>
      <w:r>
        <w:rPr>
          <w:rFonts w:ascii="宋体" w:hAnsi="宋体" w:eastAsia="宋体" w:cs="宋体"/>
          <w:spacing w:val="-2"/>
          <w:sz w:val="24"/>
          <w:szCs w:val="24"/>
        </w:rPr>
        <w:t>备有完善的基础设施与生产设施，是苏尼特右旗重要的冶金产业基地。北区为轻工产业</w:t>
      </w:r>
      <w:r>
        <w:rPr>
          <w:rFonts w:ascii="宋体" w:hAnsi="宋体" w:eastAsia="宋体" w:cs="宋体"/>
          <w:spacing w:val="17"/>
          <w:sz w:val="24"/>
          <w:szCs w:val="24"/>
        </w:rPr>
        <w:t xml:space="preserve"> </w:t>
      </w:r>
      <w:r>
        <w:rPr>
          <w:rFonts w:ascii="宋体" w:hAnsi="宋体" w:eastAsia="宋体" w:cs="宋体"/>
          <w:spacing w:val="-6"/>
          <w:sz w:val="24"/>
          <w:szCs w:val="24"/>
        </w:rPr>
        <w:t>园，产业定位与发展方向为：发展绒毛及羊绒制品系列加工、肉食品加工、皮革深加工、</w:t>
      </w:r>
      <w:r>
        <w:rPr>
          <w:rFonts w:ascii="宋体" w:hAnsi="宋体" w:eastAsia="宋体" w:cs="宋体"/>
          <w:spacing w:val="15"/>
          <w:sz w:val="24"/>
          <w:szCs w:val="24"/>
        </w:rPr>
        <w:t xml:space="preserve"> </w:t>
      </w:r>
      <w:r>
        <w:rPr>
          <w:rFonts w:ascii="宋体" w:hAnsi="宋体" w:eastAsia="宋体" w:cs="宋体"/>
          <w:spacing w:val="-2"/>
          <w:sz w:val="24"/>
          <w:szCs w:val="24"/>
        </w:rPr>
        <w:t>乳制品加工业、生物医药和包装业为主，未来发展为内蒙古中部重要的畜产品加工集散</w:t>
      </w:r>
      <w:r>
        <w:rPr>
          <w:rFonts w:ascii="宋体" w:hAnsi="宋体" w:eastAsia="宋体" w:cs="宋体"/>
          <w:spacing w:val="17"/>
          <w:sz w:val="24"/>
          <w:szCs w:val="24"/>
        </w:rPr>
        <w:t xml:space="preserve"> </w:t>
      </w:r>
      <w:r>
        <w:rPr>
          <w:rFonts w:ascii="宋体" w:hAnsi="宋体" w:eastAsia="宋体" w:cs="宋体"/>
          <w:spacing w:val="-4"/>
          <w:sz w:val="24"/>
          <w:szCs w:val="24"/>
        </w:rPr>
        <w:t>基地。</w:t>
      </w:r>
    </w:p>
    <w:p w14:paraId="13F56E07">
      <w:pPr>
        <w:spacing w:before="27" w:line="345" w:lineRule="auto"/>
        <w:ind w:left="10" w:right="99" w:firstLine="479"/>
        <w:rPr>
          <w:rFonts w:ascii="宋体" w:hAnsi="宋体" w:eastAsia="宋体" w:cs="宋体"/>
          <w:sz w:val="24"/>
          <w:szCs w:val="24"/>
        </w:rPr>
      </w:pPr>
      <w:r>
        <w:rPr>
          <w:rFonts w:ascii="宋体" w:hAnsi="宋体" w:eastAsia="宋体" w:cs="宋体"/>
          <w:spacing w:val="-2"/>
          <w:sz w:val="24"/>
          <w:szCs w:val="24"/>
        </w:rPr>
        <w:t>本项目位于南区冶金产业园，属于铁合金冶炼项目，符合园区现行规划（《苏尼特</w:t>
      </w:r>
      <w:r>
        <w:rPr>
          <w:rFonts w:ascii="宋体" w:hAnsi="宋体" w:eastAsia="宋体" w:cs="宋体"/>
          <w:spacing w:val="12"/>
          <w:sz w:val="24"/>
          <w:szCs w:val="24"/>
        </w:rPr>
        <w:t xml:space="preserve"> </w:t>
      </w:r>
      <w:r>
        <w:rPr>
          <w:rFonts w:ascii="宋体" w:hAnsi="宋体" w:eastAsia="宋体" w:cs="宋体"/>
          <w:spacing w:val="-1"/>
          <w:sz w:val="24"/>
          <w:szCs w:val="24"/>
        </w:rPr>
        <w:t>右旗朱日和工业园区总体规划》（</w:t>
      </w:r>
      <w:r>
        <w:rPr>
          <w:rFonts w:ascii="Times New Roman" w:hAnsi="Times New Roman" w:eastAsia="Times New Roman" w:cs="Times New Roman"/>
          <w:spacing w:val="-1"/>
          <w:sz w:val="24"/>
          <w:szCs w:val="24"/>
        </w:rPr>
        <w:t>2013-2030</w:t>
      </w:r>
      <w:r>
        <w:rPr>
          <w:rFonts w:ascii="宋体" w:hAnsi="宋体" w:eastAsia="宋体" w:cs="宋体"/>
          <w:spacing w:val="6"/>
          <w:sz w:val="24"/>
          <w:szCs w:val="24"/>
        </w:rPr>
        <w:t>））</w:t>
      </w:r>
      <w:r>
        <w:rPr>
          <w:rFonts w:ascii="宋体" w:hAnsi="宋体" w:eastAsia="宋体" w:cs="宋体"/>
          <w:spacing w:val="-1"/>
          <w:sz w:val="24"/>
          <w:szCs w:val="24"/>
        </w:rPr>
        <w:t>要求。</w:t>
      </w:r>
    </w:p>
    <w:p w14:paraId="244B2A68">
      <w:pPr>
        <w:spacing w:line="345" w:lineRule="auto"/>
        <w:rPr>
          <w:rFonts w:ascii="宋体" w:hAnsi="宋体" w:eastAsia="宋体" w:cs="宋体"/>
          <w:sz w:val="24"/>
          <w:szCs w:val="24"/>
        </w:rPr>
        <w:sectPr>
          <w:headerReference r:id="rId25" w:type="default"/>
          <w:footerReference r:id="rId26" w:type="default"/>
          <w:pgSz w:w="11906" w:h="16839"/>
          <w:pgMar w:top="1178" w:right="1318" w:bottom="1209" w:left="1417" w:header="870" w:footer="1025" w:gutter="0"/>
          <w:cols w:space="720" w:num="1"/>
        </w:sectPr>
      </w:pPr>
    </w:p>
    <w:p w14:paraId="07373E35">
      <w:pPr>
        <w:spacing w:before="279" w:line="223" w:lineRule="auto"/>
        <w:ind w:left="10"/>
        <w:outlineLvl w:val="3"/>
        <w:rPr>
          <w:rFonts w:ascii="黑体" w:hAnsi="黑体" w:eastAsia="黑体" w:cs="黑体"/>
          <w:sz w:val="28"/>
          <w:szCs w:val="28"/>
        </w:rPr>
      </w:pPr>
      <w:r>
        <w:pict>
          <v:shape id="_x0000_s1041" o:spid="_x0000_s1041" style="position:absolute;left:0pt;margin-left:70.85pt;margin-top:59.65pt;height:0.75pt;width:453.65pt;mso-position-horizontal-relative:page;mso-position-vertical-relative:page;z-index:251675648;mso-width-relative:page;mso-height-relative:page;" fillcolor="#000000" filled="t" stroked="f" coordsize="9072,15" o:allowincell="f" path="m0,0l9072,0,9072,14,0,14,0,0xe">
            <v:path/>
            <v:fill on="t" focussize="0,0"/>
            <v:stroke on="f"/>
            <v:imagedata o:title=""/>
            <o:lock v:ext="edit"/>
          </v:shape>
        </w:pict>
      </w:r>
      <w:r>
        <w:rPr>
          <w:rFonts w:ascii="Times New Roman" w:hAnsi="Times New Roman" w:eastAsia="Times New Roman" w:cs="Times New Roman"/>
          <w:spacing w:val="-1"/>
          <w:sz w:val="28"/>
          <w:szCs w:val="28"/>
        </w:rPr>
        <w:t xml:space="preserve">3.4.2 </w:t>
      </w:r>
      <w:r>
        <w:rPr>
          <w:rFonts w:ascii="黑体" w:hAnsi="黑体" w:eastAsia="黑体" w:cs="黑体"/>
          <w:spacing w:val="-1"/>
          <w:sz w:val="28"/>
          <w:szCs w:val="28"/>
        </w:rPr>
        <w:t>选址合理性分析</w:t>
      </w:r>
    </w:p>
    <w:p w14:paraId="3CB8112C">
      <w:pPr>
        <w:spacing w:before="204" w:line="355" w:lineRule="auto"/>
        <w:ind w:left="7" w:right="1" w:firstLine="481"/>
        <w:jc w:val="both"/>
        <w:rPr>
          <w:rFonts w:ascii="宋体" w:hAnsi="宋体" w:eastAsia="宋体" w:cs="宋体"/>
          <w:sz w:val="24"/>
          <w:szCs w:val="24"/>
        </w:rPr>
      </w:pPr>
      <w:r>
        <w:rPr>
          <w:rFonts w:ascii="宋体" w:hAnsi="宋体" w:eastAsia="宋体" w:cs="宋体"/>
          <w:spacing w:val="-2"/>
          <w:sz w:val="24"/>
          <w:szCs w:val="24"/>
        </w:rPr>
        <w:t>本项目位于内蒙古锡林郭勒苏尼特经济开发区朱日和产业园冶金产业园区，用地性</w:t>
      </w:r>
      <w:r>
        <w:rPr>
          <w:rFonts w:ascii="宋体" w:hAnsi="宋体" w:eastAsia="宋体" w:cs="宋体"/>
          <w:spacing w:val="12"/>
          <w:sz w:val="24"/>
          <w:szCs w:val="24"/>
        </w:rPr>
        <w:t xml:space="preserve"> </w:t>
      </w:r>
      <w:r>
        <w:rPr>
          <w:rFonts w:ascii="宋体" w:hAnsi="宋体" w:eastAsia="宋体" w:cs="宋体"/>
          <w:spacing w:val="-2"/>
          <w:sz w:val="24"/>
          <w:szCs w:val="24"/>
        </w:rPr>
        <w:t>质属于工业用地；本项目所在园区满足供电、供水、通讯及运输的要求，且建设条件相</w:t>
      </w:r>
      <w:r>
        <w:rPr>
          <w:rFonts w:ascii="宋体" w:hAnsi="宋体" w:eastAsia="宋体" w:cs="宋体"/>
          <w:spacing w:val="18"/>
          <w:sz w:val="24"/>
          <w:szCs w:val="24"/>
        </w:rPr>
        <w:t xml:space="preserve"> </w:t>
      </w:r>
      <w:r>
        <w:rPr>
          <w:rFonts w:ascii="宋体" w:hAnsi="宋体" w:eastAsia="宋体" w:cs="宋体"/>
          <w:spacing w:val="-2"/>
          <w:sz w:val="24"/>
          <w:szCs w:val="24"/>
        </w:rPr>
        <w:t>对较好；项目选址不涉及自然保护区、重点风景名胜区、饮用水水源保护区及其他依法</w:t>
      </w:r>
      <w:r>
        <w:rPr>
          <w:rFonts w:ascii="宋体" w:hAnsi="宋体" w:eastAsia="宋体" w:cs="宋体"/>
          <w:spacing w:val="18"/>
          <w:sz w:val="24"/>
          <w:szCs w:val="24"/>
        </w:rPr>
        <w:t xml:space="preserve"> </w:t>
      </w:r>
      <w:r>
        <w:rPr>
          <w:rFonts w:ascii="宋体" w:hAnsi="宋体" w:eastAsia="宋体" w:cs="宋体"/>
          <w:spacing w:val="-2"/>
          <w:sz w:val="24"/>
          <w:szCs w:val="24"/>
        </w:rPr>
        <w:t>划定需要特别保护的环境敏感区；根据现场调查，项目区周围敏感点较少，环境影响预</w:t>
      </w:r>
      <w:r>
        <w:rPr>
          <w:rFonts w:ascii="宋体" w:hAnsi="宋体" w:eastAsia="宋体" w:cs="宋体"/>
          <w:spacing w:val="18"/>
          <w:sz w:val="24"/>
          <w:szCs w:val="24"/>
        </w:rPr>
        <w:t xml:space="preserve"> </w:t>
      </w:r>
      <w:r>
        <w:rPr>
          <w:rFonts w:ascii="宋体" w:hAnsi="宋体" w:eastAsia="宋体" w:cs="宋体"/>
          <w:spacing w:val="-2"/>
          <w:sz w:val="24"/>
          <w:szCs w:val="24"/>
        </w:rPr>
        <w:t>测结果显示，本项目运营期在严加管理和措施到位情况下，大气、固废及环境风险等对</w:t>
      </w:r>
      <w:r>
        <w:rPr>
          <w:rFonts w:ascii="宋体" w:hAnsi="宋体" w:eastAsia="宋体" w:cs="宋体"/>
          <w:spacing w:val="18"/>
          <w:sz w:val="24"/>
          <w:szCs w:val="24"/>
        </w:rPr>
        <w:t xml:space="preserve"> </w:t>
      </w:r>
      <w:r>
        <w:rPr>
          <w:rFonts w:ascii="宋体" w:hAnsi="宋体" w:eastAsia="宋体" w:cs="宋体"/>
          <w:spacing w:val="-2"/>
          <w:sz w:val="24"/>
          <w:szCs w:val="24"/>
        </w:rPr>
        <w:t>周围环境的影响是可以接受的。综上，本项目在各项环保措施及跟踪监测落实到位的前</w:t>
      </w:r>
      <w:r>
        <w:rPr>
          <w:rFonts w:ascii="宋体" w:hAnsi="宋体" w:eastAsia="宋体" w:cs="宋体"/>
          <w:spacing w:val="18"/>
          <w:sz w:val="24"/>
          <w:szCs w:val="24"/>
        </w:rPr>
        <w:t xml:space="preserve"> </w:t>
      </w:r>
      <w:r>
        <w:rPr>
          <w:rFonts w:ascii="宋体" w:hAnsi="宋体" w:eastAsia="宋体" w:cs="宋体"/>
          <w:spacing w:val="-2"/>
          <w:sz w:val="24"/>
          <w:szCs w:val="24"/>
        </w:rPr>
        <w:t>提下，选址可行。</w:t>
      </w:r>
    </w:p>
    <w:p w14:paraId="40D511F4">
      <w:pPr>
        <w:spacing w:before="43" w:line="219" w:lineRule="auto"/>
        <w:ind w:left="11"/>
        <w:outlineLvl w:val="2"/>
        <w:rPr>
          <w:rFonts w:ascii="黑体" w:hAnsi="黑体" w:eastAsia="黑体" w:cs="黑体"/>
          <w:sz w:val="30"/>
          <w:szCs w:val="30"/>
        </w:rPr>
      </w:pPr>
      <w:bookmarkStart w:id="264" w:name="bookmark18"/>
      <w:bookmarkEnd w:id="264"/>
      <w:r>
        <w:rPr>
          <w:rFonts w:ascii="Times New Roman" w:hAnsi="Times New Roman" w:eastAsia="Times New Roman" w:cs="Times New Roman"/>
          <w:spacing w:val="-2"/>
          <w:sz w:val="30"/>
          <w:szCs w:val="30"/>
        </w:rPr>
        <w:t>3.5“</w:t>
      </w:r>
      <w:r>
        <w:rPr>
          <w:rFonts w:ascii="黑体" w:hAnsi="黑体" w:eastAsia="黑体" w:cs="黑体"/>
          <w:spacing w:val="-2"/>
          <w:sz w:val="30"/>
          <w:szCs w:val="30"/>
        </w:rPr>
        <w:t>三线一单</w:t>
      </w:r>
      <w:r>
        <w:rPr>
          <w:rFonts w:ascii="Times New Roman" w:hAnsi="Times New Roman" w:eastAsia="Times New Roman" w:cs="Times New Roman"/>
          <w:spacing w:val="-2"/>
          <w:sz w:val="30"/>
          <w:szCs w:val="30"/>
        </w:rPr>
        <w:t>”</w:t>
      </w:r>
      <w:r>
        <w:rPr>
          <w:rFonts w:ascii="黑体" w:hAnsi="黑体" w:eastAsia="黑体" w:cs="黑体"/>
          <w:spacing w:val="-2"/>
          <w:sz w:val="30"/>
          <w:szCs w:val="30"/>
        </w:rPr>
        <w:t>符合性</w:t>
      </w:r>
    </w:p>
    <w:p w14:paraId="19F0CB94">
      <w:pPr>
        <w:spacing w:before="218" w:line="353" w:lineRule="auto"/>
        <w:ind w:left="7" w:firstLine="476"/>
        <w:rPr>
          <w:rFonts w:ascii="宋体" w:hAnsi="宋体" w:eastAsia="宋体" w:cs="宋体"/>
          <w:sz w:val="24"/>
          <w:szCs w:val="24"/>
        </w:rPr>
      </w:pPr>
      <w:r>
        <w:rPr>
          <w:rFonts w:ascii="Times New Roman" w:hAnsi="Times New Roman" w:eastAsia="Times New Roman" w:cs="Times New Roman"/>
          <w:spacing w:val="-8"/>
          <w:sz w:val="24"/>
          <w:szCs w:val="24"/>
        </w:rPr>
        <w:t xml:space="preserve">2021 </w:t>
      </w:r>
      <w:r>
        <w:rPr>
          <w:rFonts w:ascii="宋体" w:hAnsi="宋体" w:eastAsia="宋体" w:cs="宋体"/>
          <w:spacing w:val="-8"/>
          <w:sz w:val="24"/>
          <w:szCs w:val="24"/>
        </w:rPr>
        <w:t>年</w:t>
      </w:r>
      <w:r>
        <w:rPr>
          <w:rFonts w:ascii="宋体" w:hAnsi="宋体" w:eastAsia="宋体" w:cs="宋体"/>
          <w:spacing w:val="-32"/>
          <w:sz w:val="24"/>
          <w:szCs w:val="24"/>
        </w:rPr>
        <w:t xml:space="preserve"> </w:t>
      </w:r>
      <w:r>
        <w:rPr>
          <w:rFonts w:ascii="Times New Roman" w:hAnsi="Times New Roman" w:eastAsia="Times New Roman" w:cs="Times New Roman"/>
          <w:spacing w:val="-8"/>
          <w:sz w:val="24"/>
          <w:szCs w:val="24"/>
        </w:rPr>
        <w:t>11</w:t>
      </w:r>
      <w:r>
        <w:rPr>
          <w:rFonts w:ascii="Times New Roman" w:hAnsi="Times New Roman" w:eastAsia="Times New Roman" w:cs="Times New Roman"/>
          <w:spacing w:val="15"/>
          <w:sz w:val="24"/>
          <w:szCs w:val="24"/>
        </w:rPr>
        <w:t xml:space="preserve"> </w:t>
      </w:r>
      <w:r>
        <w:rPr>
          <w:rFonts w:ascii="宋体" w:hAnsi="宋体" w:eastAsia="宋体" w:cs="宋体"/>
          <w:spacing w:val="-8"/>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8"/>
          <w:sz w:val="24"/>
          <w:szCs w:val="24"/>
        </w:rPr>
        <w:t xml:space="preserve">10  </w:t>
      </w:r>
      <w:r>
        <w:rPr>
          <w:rFonts w:ascii="宋体" w:hAnsi="宋体" w:eastAsia="宋体" w:cs="宋体"/>
          <w:spacing w:val="-8"/>
          <w:sz w:val="24"/>
          <w:szCs w:val="24"/>
        </w:rPr>
        <w:t>日，锡林郭勒盟行政公署发布了《锡林郭勒盟行政</w:t>
      </w:r>
      <w:r>
        <w:rPr>
          <w:rFonts w:ascii="宋体" w:hAnsi="宋体" w:eastAsia="宋体" w:cs="宋体"/>
          <w:spacing w:val="-9"/>
          <w:sz w:val="24"/>
          <w:szCs w:val="24"/>
        </w:rPr>
        <w:t>公署关于实施</w:t>
      </w:r>
      <w:r>
        <w:rPr>
          <w:rFonts w:ascii="Times New Roman" w:hAnsi="Times New Roman" w:eastAsia="Times New Roman" w:cs="Times New Roman"/>
          <w:spacing w:val="-9"/>
          <w:sz w:val="24"/>
          <w:szCs w:val="24"/>
        </w:rPr>
        <w:t>“</w:t>
      </w:r>
      <w:r>
        <w:rPr>
          <w:rFonts w:ascii="宋体" w:hAnsi="宋体" w:eastAsia="宋体" w:cs="宋体"/>
          <w:spacing w:val="-9"/>
          <w:sz w:val="24"/>
          <w:szCs w:val="24"/>
        </w:rPr>
        <w:t>三</w:t>
      </w:r>
      <w:r>
        <w:rPr>
          <w:rFonts w:ascii="宋体" w:hAnsi="宋体" w:eastAsia="宋体" w:cs="宋体"/>
          <w:sz w:val="24"/>
          <w:szCs w:val="24"/>
        </w:rPr>
        <w:t xml:space="preserve"> </w:t>
      </w:r>
      <w:r>
        <w:rPr>
          <w:rFonts w:ascii="宋体" w:hAnsi="宋体" w:eastAsia="宋体" w:cs="宋体"/>
          <w:spacing w:val="-5"/>
          <w:sz w:val="24"/>
          <w:szCs w:val="24"/>
        </w:rPr>
        <w:t>线一单</w:t>
      </w:r>
      <w:r>
        <w:rPr>
          <w:rFonts w:ascii="Times New Roman" w:hAnsi="Times New Roman" w:eastAsia="Times New Roman" w:cs="Times New Roman"/>
          <w:spacing w:val="-5"/>
          <w:sz w:val="24"/>
          <w:szCs w:val="24"/>
        </w:rPr>
        <w:t>”</w:t>
      </w:r>
      <w:r>
        <w:rPr>
          <w:rFonts w:ascii="宋体" w:hAnsi="宋体" w:eastAsia="宋体" w:cs="宋体"/>
          <w:spacing w:val="-5"/>
          <w:sz w:val="24"/>
          <w:szCs w:val="24"/>
        </w:rPr>
        <w:t>生态环境分区管控的意见》，</w:t>
      </w:r>
      <w:r>
        <w:rPr>
          <w:rFonts w:ascii="Times New Roman" w:hAnsi="Times New Roman" w:eastAsia="Times New Roman" w:cs="Times New Roman"/>
          <w:spacing w:val="-5"/>
          <w:sz w:val="24"/>
          <w:szCs w:val="24"/>
        </w:rPr>
        <w:t xml:space="preserve">2024 </w:t>
      </w:r>
      <w:r>
        <w:rPr>
          <w:rFonts w:ascii="宋体" w:hAnsi="宋体" w:eastAsia="宋体" w:cs="宋体"/>
          <w:spacing w:val="-5"/>
          <w:sz w:val="24"/>
          <w:szCs w:val="24"/>
        </w:rPr>
        <w:t>年</w:t>
      </w:r>
      <w:r>
        <w:rPr>
          <w:rFonts w:ascii="宋体" w:hAnsi="宋体" w:eastAsia="宋体" w:cs="宋体"/>
          <w:spacing w:val="-29"/>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15"/>
          <w:sz w:val="24"/>
          <w:szCs w:val="24"/>
        </w:rPr>
        <w:t xml:space="preserve"> </w:t>
      </w:r>
      <w:r>
        <w:rPr>
          <w:rFonts w:ascii="宋体" w:hAnsi="宋体" w:eastAsia="宋体" w:cs="宋体"/>
          <w:spacing w:val="-5"/>
          <w:sz w:val="24"/>
          <w:szCs w:val="24"/>
        </w:rPr>
        <w:t>月</w:t>
      </w:r>
      <w:r>
        <w:rPr>
          <w:rFonts w:ascii="宋体" w:hAnsi="宋体" w:eastAsia="宋体" w:cs="宋体"/>
          <w:spacing w:val="-50"/>
          <w:sz w:val="24"/>
          <w:szCs w:val="24"/>
        </w:rPr>
        <w:t xml:space="preserve"> </w:t>
      </w:r>
      <w:r>
        <w:rPr>
          <w:rFonts w:ascii="Times New Roman" w:hAnsi="Times New Roman" w:eastAsia="Times New Roman" w:cs="Times New Roman"/>
          <w:spacing w:val="-5"/>
          <w:sz w:val="24"/>
          <w:szCs w:val="24"/>
        </w:rPr>
        <w:t xml:space="preserve">31  </w:t>
      </w:r>
      <w:r>
        <w:rPr>
          <w:rFonts w:ascii="宋体" w:hAnsi="宋体" w:eastAsia="宋体" w:cs="宋体"/>
          <w:spacing w:val="-5"/>
          <w:sz w:val="24"/>
          <w:szCs w:val="24"/>
        </w:rPr>
        <w:t>日，锡林郭勒盟生态环境保护委员</w:t>
      </w:r>
      <w:r>
        <w:rPr>
          <w:rFonts w:ascii="宋体" w:hAnsi="宋体" w:eastAsia="宋体" w:cs="宋体"/>
          <w:sz w:val="24"/>
          <w:szCs w:val="24"/>
        </w:rPr>
        <w:t xml:space="preserve"> </w:t>
      </w:r>
      <w:r>
        <w:rPr>
          <w:rFonts w:ascii="宋体" w:hAnsi="宋体" w:eastAsia="宋体" w:cs="宋体"/>
          <w:spacing w:val="2"/>
          <w:sz w:val="24"/>
          <w:szCs w:val="24"/>
        </w:rPr>
        <w:t>会办公室发布了《锡林郭勒盟生态环境保护委员会办公室关于印发锡林郭勒盟</w:t>
      </w:r>
      <w:r>
        <w:rPr>
          <w:rFonts w:ascii="Times New Roman" w:hAnsi="Times New Roman" w:eastAsia="Times New Roman" w:cs="Times New Roman"/>
          <w:spacing w:val="2"/>
          <w:sz w:val="24"/>
          <w:szCs w:val="24"/>
        </w:rPr>
        <w:t>“</w:t>
      </w:r>
      <w:r>
        <w:rPr>
          <w:rFonts w:ascii="宋体" w:hAnsi="宋体" w:eastAsia="宋体" w:cs="宋体"/>
          <w:spacing w:val="2"/>
          <w:sz w:val="24"/>
          <w:szCs w:val="24"/>
        </w:rPr>
        <w:t>三线一</w:t>
      </w:r>
      <w:r>
        <w:rPr>
          <w:rFonts w:ascii="宋体" w:hAnsi="宋体" w:eastAsia="宋体" w:cs="宋体"/>
          <w:sz w:val="24"/>
          <w:szCs w:val="24"/>
        </w:rPr>
        <w:t xml:space="preserve"> </w:t>
      </w:r>
      <w:r>
        <w:rPr>
          <w:rFonts w:ascii="宋体" w:hAnsi="宋体" w:eastAsia="宋体" w:cs="宋体"/>
          <w:spacing w:val="2"/>
          <w:sz w:val="24"/>
          <w:szCs w:val="24"/>
        </w:rPr>
        <w:t>单</w:t>
      </w:r>
      <w:r>
        <w:rPr>
          <w:rFonts w:ascii="Times New Roman" w:hAnsi="Times New Roman" w:eastAsia="Times New Roman" w:cs="Times New Roman"/>
          <w:spacing w:val="2"/>
          <w:sz w:val="24"/>
          <w:szCs w:val="24"/>
        </w:rPr>
        <w:t>”</w:t>
      </w:r>
      <w:r>
        <w:rPr>
          <w:rFonts w:ascii="宋体" w:hAnsi="宋体" w:eastAsia="宋体" w:cs="宋体"/>
          <w:spacing w:val="2"/>
          <w:sz w:val="24"/>
          <w:szCs w:val="24"/>
        </w:rPr>
        <w:t>生态环境分区管控意见修改单和锡林郭勒盟生态环境准入清单的通知》（锡环委办</w:t>
      </w:r>
      <w:r>
        <w:rPr>
          <w:rFonts w:ascii="宋体" w:hAnsi="宋体" w:eastAsia="宋体" w:cs="宋体"/>
          <w:sz w:val="24"/>
          <w:szCs w:val="24"/>
        </w:rPr>
        <w:t xml:space="preserve"> </w:t>
      </w:r>
      <w:r>
        <w:rPr>
          <w:rFonts w:ascii="宋体" w:hAnsi="宋体" w:eastAsia="宋体" w:cs="宋体"/>
          <w:spacing w:val="-3"/>
          <w:sz w:val="24"/>
          <w:szCs w:val="24"/>
        </w:rPr>
        <w:t>发</w:t>
      </w:r>
      <w:r>
        <w:rPr>
          <w:rFonts w:ascii="Times New Roman" w:hAnsi="Times New Roman" w:eastAsia="Times New Roman" w:cs="Times New Roman"/>
          <w:spacing w:val="-3"/>
          <w:sz w:val="24"/>
          <w:szCs w:val="24"/>
        </w:rPr>
        <w:t>[2024]1</w:t>
      </w:r>
      <w:r>
        <w:rPr>
          <w:rFonts w:ascii="Times New Roman" w:hAnsi="Times New Roman" w:eastAsia="Times New Roman" w:cs="Times New Roman"/>
          <w:spacing w:val="24"/>
          <w:sz w:val="24"/>
          <w:szCs w:val="24"/>
        </w:rPr>
        <w:t xml:space="preserve"> </w:t>
      </w:r>
      <w:r>
        <w:rPr>
          <w:rFonts w:ascii="宋体" w:hAnsi="宋体" w:eastAsia="宋体" w:cs="宋体"/>
          <w:spacing w:val="-3"/>
          <w:sz w:val="24"/>
          <w:szCs w:val="24"/>
        </w:rPr>
        <w:t>号）。</w:t>
      </w:r>
    </w:p>
    <w:p w14:paraId="6946ADB5">
      <w:pPr>
        <w:spacing w:before="39"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）生态保护红线符合性分析</w:t>
      </w:r>
    </w:p>
    <w:p w14:paraId="0E3EB45C">
      <w:pPr>
        <w:spacing w:before="181" w:line="353" w:lineRule="auto"/>
        <w:ind w:left="4" w:firstLine="484"/>
        <w:rPr>
          <w:rFonts w:ascii="宋体" w:hAnsi="宋体" w:eastAsia="宋体" w:cs="宋体"/>
          <w:sz w:val="24"/>
          <w:szCs w:val="24"/>
        </w:rPr>
      </w:pPr>
      <w:r>
        <w:rPr>
          <w:rFonts w:ascii="宋体" w:hAnsi="宋体" w:eastAsia="宋体" w:cs="宋体"/>
          <w:spacing w:val="-1"/>
          <w:sz w:val="24"/>
          <w:szCs w:val="24"/>
        </w:rPr>
        <w:t>根据《锡林郭勒盟行政公署关于实施</w:t>
      </w:r>
      <w:r>
        <w:rPr>
          <w:rFonts w:ascii="Times New Roman" w:hAnsi="Times New Roman" w:eastAsia="Times New Roman" w:cs="Times New Roman"/>
          <w:spacing w:val="-1"/>
          <w:sz w:val="24"/>
          <w:szCs w:val="24"/>
        </w:rPr>
        <w:t>“</w:t>
      </w:r>
      <w:r>
        <w:rPr>
          <w:rFonts w:ascii="宋体" w:hAnsi="宋体" w:eastAsia="宋体" w:cs="宋体"/>
          <w:spacing w:val="-1"/>
          <w:sz w:val="24"/>
          <w:szCs w:val="24"/>
        </w:rPr>
        <w:t>三线一单</w:t>
      </w:r>
      <w:r>
        <w:rPr>
          <w:rFonts w:ascii="Times New Roman" w:hAnsi="Times New Roman" w:eastAsia="Times New Roman" w:cs="Times New Roman"/>
          <w:spacing w:val="-1"/>
          <w:sz w:val="24"/>
          <w:szCs w:val="24"/>
        </w:rPr>
        <w:t>”</w:t>
      </w:r>
      <w:r>
        <w:rPr>
          <w:rFonts w:ascii="宋体" w:hAnsi="宋体" w:eastAsia="宋体" w:cs="宋体"/>
          <w:spacing w:val="-1"/>
          <w:sz w:val="24"/>
          <w:szCs w:val="24"/>
        </w:rPr>
        <w:t>生态环境分区管控的意见》、《锡</w:t>
      </w:r>
      <w:r>
        <w:rPr>
          <w:rFonts w:ascii="宋体" w:hAnsi="宋体" w:eastAsia="宋体" w:cs="宋体"/>
          <w:spacing w:val="5"/>
          <w:sz w:val="24"/>
          <w:szCs w:val="24"/>
        </w:rPr>
        <w:t xml:space="preserve"> </w:t>
      </w:r>
      <w:r>
        <w:rPr>
          <w:rFonts w:ascii="宋体" w:hAnsi="宋体" w:eastAsia="宋体" w:cs="宋体"/>
          <w:spacing w:val="6"/>
          <w:sz w:val="24"/>
          <w:szCs w:val="24"/>
        </w:rPr>
        <w:t>林郭勒盟生态环境保护委员会办公室关于印发锡林</w:t>
      </w:r>
      <w:r>
        <w:rPr>
          <w:rFonts w:ascii="宋体" w:hAnsi="宋体" w:eastAsia="宋体" w:cs="宋体"/>
          <w:spacing w:val="5"/>
          <w:sz w:val="24"/>
          <w:szCs w:val="24"/>
        </w:rPr>
        <w:t>郭勒盟</w:t>
      </w:r>
      <w:r>
        <w:rPr>
          <w:rFonts w:ascii="Times New Roman" w:hAnsi="Times New Roman" w:eastAsia="Times New Roman" w:cs="Times New Roman"/>
          <w:spacing w:val="5"/>
          <w:sz w:val="24"/>
          <w:szCs w:val="24"/>
        </w:rPr>
        <w:t>“</w:t>
      </w:r>
      <w:r>
        <w:rPr>
          <w:rFonts w:ascii="宋体" w:hAnsi="宋体" w:eastAsia="宋体" w:cs="宋体"/>
          <w:spacing w:val="5"/>
          <w:sz w:val="24"/>
          <w:szCs w:val="24"/>
        </w:rPr>
        <w:t>三线一单</w:t>
      </w:r>
      <w:r>
        <w:rPr>
          <w:rFonts w:ascii="Times New Roman" w:hAnsi="Times New Roman" w:eastAsia="Times New Roman" w:cs="Times New Roman"/>
          <w:spacing w:val="5"/>
          <w:sz w:val="24"/>
          <w:szCs w:val="24"/>
        </w:rPr>
        <w:t>”</w:t>
      </w:r>
      <w:r>
        <w:rPr>
          <w:rFonts w:ascii="宋体" w:hAnsi="宋体" w:eastAsia="宋体" w:cs="宋体"/>
          <w:spacing w:val="5"/>
          <w:sz w:val="24"/>
          <w:szCs w:val="24"/>
        </w:rPr>
        <w:t>生态环境分区管</w:t>
      </w:r>
      <w:r>
        <w:rPr>
          <w:rFonts w:ascii="宋体" w:hAnsi="宋体" w:eastAsia="宋体" w:cs="宋体"/>
          <w:sz w:val="24"/>
          <w:szCs w:val="24"/>
        </w:rPr>
        <w:t xml:space="preserve"> </w:t>
      </w:r>
      <w:r>
        <w:rPr>
          <w:rFonts w:ascii="宋体" w:hAnsi="宋体" w:eastAsia="宋体" w:cs="宋体"/>
          <w:spacing w:val="-1"/>
          <w:sz w:val="24"/>
          <w:szCs w:val="24"/>
        </w:rPr>
        <w:t>控意见修改单和锡林郭勒盟生态环境准入清</w:t>
      </w:r>
      <w:r>
        <w:rPr>
          <w:rFonts w:ascii="宋体" w:hAnsi="宋体" w:eastAsia="宋体" w:cs="宋体"/>
          <w:spacing w:val="-2"/>
          <w:sz w:val="24"/>
          <w:szCs w:val="24"/>
        </w:rPr>
        <w:t>单的通知》（锡环委办发</w:t>
      </w:r>
      <w:r>
        <w:rPr>
          <w:rFonts w:ascii="Times New Roman" w:hAnsi="Times New Roman" w:eastAsia="Times New Roman" w:cs="Times New Roman"/>
          <w:spacing w:val="-2"/>
          <w:sz w:val="24"/>
          <w:szCs w:val="24"/>
        </w:rPr>
        <w:t>[2024]1</w:t>
      </w:r>
      <w:r>
        <w:rPr>
          <w:rFonts w:ascii="宋体" w:hAnsi="宋体" w:eastAsia="宋体" w:cs="宋体"/>
          <w:spacing w:val="-2"/>
          <w:sz w:val="24"/>
          <w:szCs w:val="24"/>
        </w:rPr>
        <w:t>号</w:t>
      </w:r>
      <w:r>
        <w:rPr>
          <w:rFonts w:ascii="宋体" w:hAnsi="宋体" w:eastAsia="宋体" w:cs="宋体"/>
          <w:spacing w:val="-17"/>
          <w:sz w:val="24"/>
          <w:szCs w:val="24"/>
        </w:rPr>
        <w:t>）：</w:t>
      </w:r>
      <w:r>
        <w:rPr>
          <w:rFonts w:ascii="宋体" w:hAnsi="宋体" w:eastAsia="宋体" w:cs="宋体"/>
          <w:spacing w:val="-2"/>
          <w:sz w:val="24"/>
          <w:szCs w:val="24"/>
        </w:rPr>
        <w:t>全盟</w:t>
      </w:r>
      <w:r>
        <w:rPr>
          <w:rFonts w:ascii="宋体" w:hAnsi="宋体" w:eastAsia="宋体" w:cs="宋体"/>
          <w:spacing w:val="1"/>
          <w:sz w:val="24"/>
          <w:szCs w:val="24"/>
        </w:rPr>
        <w:t xml:space="preserve"> </w:t>
      </w:r>
      <w:r>
        <w:rPr>
          <w:rFonts w:ascii="宋体" w:hAnsi="宋体" w:eastAsia="宋体" w:cs="宋体"/>
          <w:spacing w:val="6"/>
          <w:sz w:val="24"/>
          <w:szCs w:val="24"/>
        </w:rPr>
        <w:t>生态保护红线面积</w:t>
      </w:r>
      <w:r>
        <w:rPr>
          <w:rFonts w:ascii="Times New Roman" w:hAnsi="Times New Roman" w:eastAsia="Times New Roman" w:cs="Times New Roman"/>
          <w:spacing w:val="6"/>
          <w:sz w:val="24"/>
          <w:szCs w:val="24"/>
        </w:rPr>
        <w:t>130034.46</w:t>
      </w:r>
      <w:r>
        <w:rPr>
          <w:rFonts w:ascii="宋体" w:hAnsi="宋体" w:eastAsia="宋体" w:cs="宋体"/>
          <w:spacing w:val="6"/>
          <w:sz w:val="24"/>
          <w:szCs w:val="24"/>
        </w:rPr>
        <w:t>平方千米，</w:t>
      </w:r>
      <w:r>
        <w:rPr>
          <w:rFonts w:ascii="宋体" w:hAnsi="宋体" w:eastAsia="宋体" w:cs="宋体"/>
          <w:spacing w:val="-62"/>
          <w:sz w:val="24"/>
          <w:szCs w:val="24"/>
        </w:rPr>
        <w:t xml:space="preserve"> </w:t>
      </w:r>
      <w:r>
        <w:rPr>
          <w:rFonts w:ascii="宋体" w:hAnsi="宋体" w:eastAsia="宋体" w:cs="宋体"/>
          <w:spacing w:val="6"/>
          <w:sz w:val="24"/>
          <w:szCs w:val="24"/>
        </w:rPr>
        <w:t>占全盟总面积的</w:t>
      </w:r>
      <w:r>
        <w:rPr>
          <w:rFonts w:ascii="Times New Roman" w:hAnsi="Times New Roman" w:eastAsia="Times New Roman" w:cs="Times New Roman"/>
          <w:spacing w:val="6"/>
          <w:sz w:val="24"/>
          <w:szCs w:val="24"/>
        </w:rPr>
        <w:t>64.</w:t>
      </w:r>
      <w:r>
        <w:rPr>
          <w:rFonts w:ascii="Times New Roman" w:hAnsi="Times New Roman" w:eastAsia="Times New Roman" w:cs="Times New Roman"/>
          <w:spacing w:val="-31"/>
          <w:sz w:val="24"/>
          <w:szCs w:val="24"/>
        </w:rPr>
        <w:t xml:space="preserve"> </w:t>
      </w:r>
      <w:r>
        <w:rPr>
          <w:rFonts w:ascii="Times New Roman" w:hAnsi="Times New Roman" w:eastAsia="Times New Roman" w:cs="Times New Roman"/>
          <w:spacing w:val="6"/>
          <w:sz w:val="24"/>
          <w:szCs w:val="24"/>
        </w:rPr>
        <w:t>17%</w:t>
      </w:r>
      <w:r>
        <w:rPr>
          <w:rFonts w:ascii="宋体" w:hAnsi="宋体" w:eastAsia="宋体" w:cs="宋体"/>
          <w:spacing w:val="6"/>
          <w:sz w:val="24"/>
          <w:szCs w:val="24"/>
        </w:rPr>
        <w:t>；一般生</w:t>
      </w:r>
      <w:r>
        <w:rPr>
          <w:rFonts w:ascii="宋体" w:hAnsi="宋体" w:eastAsia="宋体" w:cs="宋体"/>
          <w:spacing w:val="5"/>
          <w:sz w:val="24"/>
          <w:szCs w:val="24"/>
        </w:rPr>
        <w:t>态空间面积</w:t>
      </w:r>
      <w:r>
        <w:rPr>
          <w:rFonts w:ascii="宋体" w:hAnsi="宋体" w:eastAsia="宋体" w:cs="宋体"/>
          <w:sz w:val="24"/>
          <w:szCs w:val="24"/>
        </w:rPr>
        <w:t xml:space="preserve"> </w:t>
      </w:r>
      <w:r>
        <w:rPr>
          <w:rFonts w:ascii="Times New Roman" w:hAnsi="Times New Roman" w:eastAsia="Times New Roman" w:cs="Times New Roman"/>
          <w:spacing w:val="-2"/>
          <w:sz w:val="24"/>
          <w:szCs w:val="24"/>
        </w:rPr>
        <w:t>25142.87</w:t>
      </w:r>
      <w:r>
        <w:rPr>
          <w:rFonts w:ascii="宋体" w:hAnsi="宋体" w:eastAsia="宋体" w:cs="宋体"/>
          <w:spacing w:val="-2"/>
          <w:sz w:val="24"/>
          <w:szCs w:val="24"/>
        </w:rPr>
        <w:t>平方千米，</w:t>
      </w:r>
      <w:r>
        <w:rPr>
          <w:rFonts w:ascii="宋体" w:hAnsi="宋体" w:eastAsia="宋体" w:cs="宋体"/>
          <w:spacing w:val="-72"/>
          <w:sz w:val="24"/>
          <w:szCs w:val="24"/>
        </w:rPr>
        <w:t xml:space="preserve"> </w:t>
      </w:r>
      <w:r>
        <w:rPr>
          <w:rFonts w:ascii="宋体" w:hAnsi="宋体" w:eastAsia="宋体" w:cs="宋体"/>
          <w:spacing w:val="-2"/>
          <w:sz w:val="24"/>
          <w:szCs w:val="24"/>
        </w:rPr>
        <w:t>占全盟总面积的</w:t>
      </w:r>
      <w:r>
        <w:rPr>
          <w:rFonts w:ascii="Times New Roman" w:hAnsi="Times New Roman" w:eastAsia="Times New Roman" w:cs="Times New Roman"/>
          <w:spacing w:val="-2"/>
          <w:sz w:val="24"/>
          <w:szCs w:val="24"/>
        </w:rPr>
        <w:t>12.41%</w:t>
      </w:r>
      <w:r>
        <w:rPr>
          <w:rFonts w:ascii="宋体" w:hAnsi="宋体" w:eastAsia="宋体" w:cs="宋体"/>
          <w:spacing w:val="-2"/>
          <w:sz w:val="24"/>
          <w:szCs w:val="24"/>
        </w:rPr>
        <w:t>。</w:t>
      </w:r>
    </w:p>
    <w:p w14:paraId="052A5F40">
      <w:pPr>
        <w:spacing w:before="42" w:line="345" w:lineRule="auto"/>
        <w:ind w:left="12" w:right="1" w:firstLine="477"/>
        <w:rPr>
          <w:rFonts w:ascii="宋体" w:hAnsi="宋体" w:eastAsia="宋体" w:cs="宋体"/>
          <w:sz w:val="24"/>
          <w:szCs w:val="24"/>
        </w:rPr>
      </w:pPr>
      <w:r>
        <w:rPr>
          <w:rFonts w:ascii="宋体" w:hAnsi="宋体" w:eastAsia="宋体" w:cs="宋体"/>
          <w:spacing w:val="-2"/>
          <w:sz w:val="24"/>
          <w:szCs w:val="24"/>
        </w:rPr>
        <w:t>本项目位于内蒙古锡林郭勒苏尼特经济开发区朱日和产业园冶金产业园区，占地属</w:t>
      </w:r>
      <w:r>
        <w:rPr>
          <w:rFonts w:ascii="宋体" w:hAnsi="宋体" w:eastAsia="宋体" w:cs="宋体"/>
          <w:spacing w:val="12"/>
          <w:sz w:val="24"/>
          <w:szCs w:val="24"/>
        </w:rPr>
        <w:t xml:space="preserve"> </w:t>
      </w:r>
      <w:r>
        <w:rPr>
          <w:rFonts w:ascii="宋体" w:hAnsi="宋体" w:eastAsia="宋体" w:cs="宋体"/>
          <w:spacing w:val="-1"/>
          <w:sz w:val="24"/>
          <w:szCs w:val="24"/>
        </w:rPr>
        <w:t>于工业用地，不在生态保护红线范围内。</w:t>
      </w:r>
    </w:p>
    <w:p w14:paraId="0FF162FA">
      <w:pPr>
        <w:spacing w:before="37"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）环境质量底线</w:t>
      </w:r>
    </w:p>
    <w:p w14:paraId="26190B89">
      <w:pPr>
        <w:spacing w:before="182" w:line="353" w:lineRule="auto"/>
        <w:ind w:left="7" w:firstLine="480"/>
        <w:rPr>
          <w:rFonts w:ascii="宋体" w:hAnsi="宋体" w:eastAsia="宋体" w:cs="宋体"/>
          <w:sz w:val="24"/>
          <w:szCs w:val="24"/>
        </w:rPr>
      </w:pPr>
      <w:r>
        <w:rPr>
          <w:rFonts w:ascii="宋体" w:hAnsi="宋体" w:eastAsia="宋体" w:cs="宋体"/>
          <w:spacing w:val="-1"/>
          <w:sz w:val="24"/>
          <w:szCs w:val="24"/>
        </w:rPr>
        <w:t>根据《锡林郭勒盟行政公署关于实施</w:t>
      </w:r>
      <w:r>
        <w:rPr>
          <w:rFonts w:ascii="Times New Roman" w:hAnsi="Times New Roman" w:eastAsia="Times New Roman" w:cs="Times New Roman"/>
          <w:spacing w:val="-1"/>
          <w:sz w:val="24"/>
          <w:szCs w:val="24"/>
        </w:rPr>
        <w:t>“</w:t>
      </w:r>
      <w:r>
        <w:rPr>
          <w:rFonts w:ascii="宋体" w:hAnsi="宋体" w:eastAsia="宋体" w:cs="宋体"/>
          <w:spacing w:val="-1"/>
          <w:sz w:val="24"/>
          <w:szCs w:val="24"/>
        </w:rPr>
        <w:t>三线一单</w:t>
      </w:r>
      <w:r>
        <w:rPr>
          <w:rFonts w:ascii="Times New Roman" w:hAnsi="Times New Roman" w:eastAsia="Times New Roman" w:cs="Times New Roman"/>
          <w:spacing w:val="-1"/>
          <w:sz w:val="24"/>
          <w:szCs w:val="24"/>
        </w:rPr>
        <w:t>”</w:t>
      </w:r>
      <w:r>
        <w:rPr>
          <w:rFonts w:ascii="宋体" w:hAnsi="宋体" w:eastAsia="宋体" w:cs="宋体"/>
          <w:spacing w:val="-1"/>
          <w:sz w:val="24"/>
          <w:szCs w:val="24"/>
        </w:rPr>
        <w:t>生态环境分区管控的意见》、《锡</w:t>
      </w:r>
      <w:r>
        <w:rPr>
          <w:rFonts w:ascii="宋体" w:hAnsi="宋体" w:eastAsia="宋体" w:cs="宋体"/>
          <w:spacing w:val="5"/>
          <w:sz w:val="24"/>
          <w:szCs w:val="24"/>
        </w:rPr>
        <w:t xml:space="preserve"> </w:t>
      </w:r>
      <w:r>
        <w:rPr>
          <w:rFonts w:ascii="宋体" w:hAnsi="宋体" w:eastAsia="宋体" w:cs="宋体"/>
          <w:spacing w:val="6"/>
          <w:sz w:val="24"/>
          <w:szCs w:val="24"/>
        </w:rPr>
        <w:t>林郭勒盟生态环境保护委员会办公室关于印</w:t>
      </w:r>
      <w:r>
        <w:rPr>
          <w:rFonts w:ascii="宋体" w:hAnsi="宋体" w:eastAsia="宋体" w:cs="宋体"/>
          <w:spacing w:val="5"/>
          <w:sz w:val="24"/>
          <w:szCs w:val="24"/>
        </w:rPr>
        <w:t>发锡林郭勒盟</w:t>
      </w:r>
      <w:r>
        <w:rPr>
          <w:rFonts w:ascii="Times New Roman" w:hAnsi="Times New Roman" w:eastAsia="Times New Roman" w:cs="Times New Roman"/>
          <w:spacing w:val="5"/>
          <w:sz w:val="24"/>
          <w:szCs w:val="24"/>
        </w:rPr>
        <w:t>“</w:t>
      </w:r>
      <w:r>
        <w:rPr>
          <w:rFonts w:ascii="宋体" w:hAnsi="宋体" w:eastAsia="宋体" w:cs="宋体"/>
          <w:spacing w:val="5"/>
          <w:sz w:val="24"/>
          <w:szCs w:val="24"/>
        </w:rPr>
        <w:t>三线一单</w:t>
      </w:r>
      <w:r>
        <w:rPr>
          <w:rFonts w:ascii="Times New Roman" w:hAnsi="Times New Roman" w:eastAsia="Times New Roman" w:cs="Times New Roman"/>
          <w:spacing w:val="5"/>
          <w:sz w:val="24"/>
          <w:szCs w:val="24"/>
        </w:rPr>
        <w:t>”</w:t>
      </w:r>
      <w:r>
        <w:rPr>
          <w:rFonts w:ascii="宋体" w:hAnsi="宋体" w:eastAsia="宋体" w:cs="宋体"/>
          <w:spacing w:val="5"/>
          <w:sz w:val="24"/>
          <w:szCs w:val="24"/>
        </w:rPr>
        <w:t>生态环境分区管</w:t>
      </w:r>
      <w:r>
        <w:rPr>
          <w:rFonts w:ascii="宋体" w:hAnsi="宋体" w:eastAsia="宋体" w:cs="宋体"/>
          <w:sz w:val="24"/>
          <w:szCs w:val="24"/>
        </w:rPr>
        <w:t xml:space="preserve"> </w:t>
      </w:r>
      <w:r>
        <w:rPr>
          <w:rFonts w:ascii="宋体" w:hAnsi="宋体" w:eastAsia="宋体" w:cs="宋体"/>
          <w:spacing w:val="-1"/>
          <w:sz w:val="24"/>
          <w:szCs w:val="24"/>
        </w:rPr>
        <w:t>控意见修改单和锡林郭勒盟生态环境准入清单的通知》</w:t>
      </w:r>
      <w:r>
        <w:rPr>
          <w:rFonts w:ascii="宋体" w:hAnsi="宋体" w:eastAsia="宋体" w:cs="宋体"/>
          <w:spacing w:val="-2"/>
          <w:sz w:val="24"/>
          <w:szCs w:val="24"/>
        </w:rPr>
        <w:t>（锡环委办发</w:t>
      </w:r>
      <w:r>
        <w:rPr>
          <w:rFonts w:ascii="Times New Roman" w:hAnsi="Times New Roman" w:eastAsia="Times New Roman" w:cs="Times New Roman"/>
          <w:spacing w:val="-2"/>
          <w:sz w:val="24"/>
          <w:szCs w:val="24"/>
        </w:rPr>
        <w:t>[2024]1</w:t>
      </w:r>
      <w:r>
        <w:rPr>
          <w:rFonts w:ascii="宋体" w:hAnsi="宋体" w:eastAsia="宋体" w:cs="宋体"/>
          <w:spacing w:val="-2"/>
          <w:sz w:val="24"/>
          <w:szCs w:val="24"/>
        </w:rPr>
        <w:t>号</w:t>
      </w:r>
      <w:r>
        <w:rPr>
          <w:rFonts w:ascii="宋体" w:hAnsi="宋体" w:eastAsia="宋体" w:cs="宋体"/>
          <w:spacing w:val="-19"/>
          <w:sz w:val="24"/>
          <w:szCs w:val="24"/>
        </w:rPr>
        <w:t>）：</w:t>
      </w:r>
      <w:r>
        <w:rPr>
          <w:rFonts w:ascii="Times New Roman" w:hAnsi="Times New Roman" w:eastAsia="Times New Roman" w:cs="Times New Roman"/>
          <w:spacing w:val="-2"/>
          <w:sz w:val="24"/>
          <w:szCs w:val="24"/>
        </w:rPr>
        <w:t>2025</w:t>
      </w:r>
      <w:r>
        <w:rPr>
          <w:rFonts w:ascii="Times New Roman" w:hAnsi="Times New Roman" w:eastAsia="Times New Roman" w:cs="Times New Roman"/>
          <w:sz w:val="24"/>
          <w:szCs w:val="24"/>
        </w:rPr>
        <w:t xml:space="preserve"> </w:t>
      </w:r>
      <w:r>
        <w:rPr>
          <w:rFonts w:ascii="宋体" w:hAnsi="宋体" w:eastAsia="宋体" w:cs="宋体"/>
          <w:spacing w:val="1"/>
          <w:sz w:val="24"/>
          <w:szCs w:val="24"/>
        </w:rPr>
        <w:t>年锡林郭勒盟</w:t>
      </w:r>
      <w:r>
        <w:rPr>
          <w:rFonts w:ascii="Times New Roman" w:hAnsi="Times New Roman" w:eastAsia="Times New Roman" w:cs="Times New Roman"/>
          <w:sz w:val="24"/>
          <w:szCs w:val="24"/>
        </w:rPr>
        <w:t>PM</w:t>
      </w:r>
      <w:r>
        <w:rPr>
          <w:rFonts w:ascii="Times New Roman" w:hAnsi="Times New Roman" w:eastAsia="Times New Roman" w:cs="Times New Roman"/>
          <w:spacing w:val="1"/>
          <w:position w:val="-1"/>
          <w:sz w:val="15"/>
          <w:szCs w:val="15"/>
        </w:rPr>
        <w:t>2.5</w:t>
      </w:r>
      <w:r>
        <w:rPr>
          <w:rFonts w:ascii="宋体" w:hAnsi="宋体" w:eastAsia="宋体" w:cs="宋体"/>
          <w:spacing w:val="1"/>
          <w:sz w:val="24"/>
          <w:szCs w:val="24"/>
        </w:rPr>
        <w:t>浓度目标保持在</w:t>
      </w:r>
      <w:r>
        <w:rPr>
          <w:rFonts w:ascii="Times New Roman" w:hAnsi="Times New Roman" w:eastAsia="Times New Roman" w:cs="Times New Roman"/>
          <w:spacing w:val="1"/>
          <w:sz w:val="24"/>
          <w:szCs w:val="24"/>
        </w:rPr>
        <w:t>103μg/m</w:t>
      </w:r>
      <w:r>
        <w:rPr>
          <w:rFonts w:ascii="Times New Roman" w:hAnsi="Times New Roman" w:eastAsia="Times New Roman" w:cs="Times New Roman"/>
          <w:spacing w:val="1"/>
          <w:position w:val="8"/>
          <w:sz w:val="15"/>
          <w:szCs w:val="15"/>
        </w:rPr>
        <w:t xml:space="preserve">3 </w:t>
      </w:r>
      <w:r>
        <w:rPr>
          <w:rFonts w:ascii="宋体" w:hAnsi="宋体" w:eastAsia="宋体" w:cs="宋体"/>
          <w:spacing w:val="1"/>
          <w:sz w:val="24"/>
          <w:szCs w:val="24"/>
        </w:rPr>
        <w:t>，</w:t>
      </w:r>
      <w:r>
        <w:rPr>
          <w:rFonts w:ascii="Times New Roman" w:hAnsi="Times New Roman" w:eastAsia="Times New Roman" w:cs="Times New Roman"/>
          <w:spacing w:val="1"/>
          <w:sz w:val="24"/>
          <w:szCs w:val="24"/>
        </w:rPr>
        <w:t>2035</w:t>
      </w:r>
      <w:r>
        <w:rPr>
          <w:rFonts w:ascii="宋体" w:hAnsi="宋体" w:eastAsia="宋体" w:cs="宋体"/>
          <w:spacing w:val="1"/>
          <w:sz w:val="24"/>
          <w:szCs w:val="24"/>
        </w:rPr>
        <w:t>年</w:t>
      </w:r>
      <w:r>
        <w:rPr>
          <w:rFonts w:ascii="Times New Roman" w:hAnsi="Times New Roman" w:eastAsia="Times New Roman" w:cs="Times New Roman"/>
          <w:sz w:val="24"/>
          <w:szCs w:val="24"/>
        </w:rPr>
        <w:t>PM</w:t>
      </w:r>
      <w:r>
        <w:rPr>
          <w:rFonts w:ascii="Times New Roman" w:hAnsi="Times New Roman" w:eastAsia="Times New Roman" w:cs="Times New Roman"/>
          <w:spacing w:val="1"/>
          <w:position w:val="-1"/>
          <w:sz w:val="15"/>
          <w:szCs w:val="15"/>
        </w:rPr>
        <w:t>2.5</w:t>
      </w:r>
      <w:r>
        <w:rPr>
          <w:rFonts w:ascii="宋体" w:hAnsi="宋体" w:eastAsia="宋体" w:cs="宋体"/>
          <w:spacing w:val="1"/>
          <w:sz w:val="24"/>
          <w:szCs w:val="24"/>
        </w:rPr>
        <w:t>浓度目标以自治区下发指标</w:t>
      </w:r>
      <w:r>
        <w:rPr>
          <w:rFonts w:ascii="宋体" w:hAnsi="宋体" w:eastAsia="宋体" w:cs="宋体"/>
          <w:spacing w:val="13"/>
          <w:sz w:val="24"/>
          <w:szCs w:val="24"/>
        </w:rPr>
        <w:t xml:space="preserve"> </w:t>
      </w:r>
      <w:r>
        <w:rPr>
          <w:rFonts w:ascii="宋体" w:hAnsi="宋体" w:eastAsia="宋体" w:cs="宋体"/>
          <w:spacing w:val="1"/>
          <w:sz w:val="24"/>
          <w:szCs w:val="24"/>
        </w:rPr>
        <w:t>为准；</w:t>
      </w:r>
      <w:r>
        <w:rPr>
          <w:rFonts w:ascii="Times New Roman" w:hAnsi="Times New Roman" w:eastAsia="Times New Roman" w:cs="Times New Roman"/>
          <w:spacing w:val="1"/>
          <w:sz w:val="24"/>
          <w:szCs w:val="24"/>
        </w:rPr>
        <w:t>2025</w:t>
      </w:r>
      <w:r>
        <w:rPr>
          <w:rFonts w:ascii="宋体" w:hAnsi="宋体" w:eastAsia="宋体" w:cs="宋体"/>
          <w:spacing w:val="1"/>
          <w:sz w:val="24"/>
          <w:szCs w:val="24"/>
        </w:rPr>
        <w:t>年，地表水考核断面优良比例</w:t>
      </w:r>
      <w:r>
        <w:rPr>
          <w:rFonts w:ascii="宋体" w:hAnsi="宋体" w:eastAsia="宋体" w:cs="宋体"/>
          <w:sz w:val="24"/>
          <w:szCs w:val="24"/>
        </w:rPr>
        <w:t>达到</w:t>
      </w:r>
      <w:r>
        <w:rPr>
          <w:rFonts w:ascii="Times New Roman" w:hAnsi="Times New Roman" w:eastAsia="Times New Roman" w:cs="Times New Roman"/>
          <w:sz w:val="24"/>
          <w:szCs w:val="24"/>
        </w:rPr>
        <w:t>50%</w:t>
      </w:r>
      <w:r>
        <w:rPr>
          <w:rFonts w:ascii="Times New Roman" w:hAnsi="Times New Roman" w:eastAsia="Times New Roman" w:cs="Times New Roman"/>
          <w:spacing w:val="-31"/>
          <w:sz w:val="24"/>
          <w:szCs w:val="24"/>
        </w:rPr>
        <w:t xml:space="preserve"> </w:t>
      </w:r>
      <w:r>
        <w:rPr>
          <w:rFonts w:ascii="宋体" w:hAnsi="宋体" w:eastAsia="宋体" w:cs="宋体"/>
          <w:sz w:val="24"/>
          <w:szCs w:val="24"/>
        </w:rPr>
        <w:t>，消除劣</w:t>
      </w:r>
      <w:r>
        <w:rPr>
          <w:rFonts w:ascii="Times New Roman" w:hAnsi="Times New Roman" w:eastAsia="Times New Roman" w:cs="Times New Roman"/>
          <w:sz w:val="24"/>
          <w:szCs w:val="24"/>
        </w:rPr>
        <w:t>V</w:t>
      </w:r>
      <w:r>
        <w:rPr>
          <w:rFonts w:ascii="宋体" w:hAnsi="宋体" w:eastAsia="宋体" w:cs="宋体"/>
          <w:sz w:val="24"/>
          <w:szCs w:val="24"/>
        </w:rPr>
        <w:t xml:space="preserve">类水体，地市级集中式饮 </w:t>
      </w:r>
      <w:r>
        <w:rPr>
          <w:rFonts w:ascii="宋体" w:hAnsi="宋体" w:eastAsia="宋体" w:cs="宋体"/>
          <w:spacing w:val="-1"/>
          <w:sz w:val="24"/>
          <w:szCs w:val="24"/>
        </w:rPr>
        <w:t>用水水源地水质保持稳定。</w:t>
      </w:r>
      <w:r>
        <w:rPr>
          <w:rFonts w:ascii="Times New Roman" w:hAnsi="Times New Roman" w:eastAsia="Times New Roman" w:cs="Times New Roman"/>
          <w:spacing w:val="-1"/>
          <w:sz w:val="24"/>
          <w:szCs w:val="24"/>
        </w:rPr>
        <w:t>2035</w:t>
      </w:r>
      <w:r>
        <w:rPr>
          <w:rFonts w:ascii="宋体" w:hAnsi="宋体" w:eastAsia="宋体" w:cs="宋体"/>
          <w:spacing w:val="-1"/>
          <w:sz w:val="24"/>
          <w:szCs w:val="24"/>
        </w:rPr>
        <w:t>年，全盟水生态环境质</w:t>
      </w:r>
      <w:r>
        <w:rPr>
          <w:rFonts w:ascii="宋体" w:hAnsi="宋体" w:eastAsia="宋体" w:cs="宋体"/>
          <w:spacing w:val="-2"/>
          <w:sz w:val="24"/>
          <w:szCs w:val="24"/>
        </w:rPr>
        <w:t>量实现明显好转；到</w:t>
      </w:r>
      <w:r>
        <w:rPr>
          <w:rFonts w:ascii="Times New Roman" w:hAnsi="Times New Roman" w:eastAsia="Times New Roman" w:cs="Times New Roman"/>
          <w:spacing w:val="-2"/>
          <w:sz w:val="24"/>
          <w:szCs w:val="24"/>
        </w:rPr>
        <w:t>2025</w:t>
      </w:r>
      <w:r>
        <w:rPr>
          <w:rFonts w:ascii="宋体" w:hAnsi="宋体" w:eastAsia="宋体" w:cs="宋体"/>
          <w:spacing w:val="-2"/>
          <w:sz w:val="24"/>
          <w:szCs w:val="24"/>
        </w:rPr>
        <w:t>年，受</w:t>
      </w:r>
    </w:p>
    <w:p w14:paraId="5F467F02">
      <w:pPr>
        <w:spacing w:line="353" w:lineRule="auto"/>
        <w:rPr>
          <w:rFonts w:ascii="宋体" w:hAnsi="宋体" w:eastAsia="宋体" w:cs="宋体"/>
          <w:sz w:val="24"/>
          <w:szCs w:val="24"/>
        </w:rPr>
        <w:sectPr>
          <w:headerReference r:id="rId27" w:type="default"/>
          <w:footerReference r:id="rId28" w:type="default"/>
          <w:pgSz w:w="11906" w:h="16839"/>
          <w:pgMar w:top="1178" w:right="1416" w:bottom="1212" w:left="1417" w:header="870" w:footer="1025" w:gutter="0"/>
          <w:cols w:space="720" w:num="1"/>
        </w:sectPr>
      </w:pPr>
    </w:p>
    <w:p w14:paraId="19AB7E40">
      <w:pPr>
        <w:spacing w:before="274" w:line="345" w:lineRule="auto"/>
        <w:ind w:left="8" w:right="80" w:firstLine="1"/>
        <w:rPr>
          <w:rFonts w:ascii="宋体" w:hAnsi="宋体" w:eastAsia="宋体" w:cs="宋体"/>
          <w:sz w:val="24"/>
          <w:szCs w:val="24"/>
        </w:rPr>
      </w:pPr>
      <w:r>
        <w:pict>
          <v:shape id="_x0000_s1042" o:spid="_x0000_s1042" style="position:absolute;left:0pt;margin-left:70.85pt;margin-top:59.65pt;height:0.75pt;width:453.65pt;mso-position-horizontal-relative:page;mso-position-vertical-relative:page;z-index:2516766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spacing w:val="-1"/>
          <w:sz w:val="24"/>
          <w:szCs w:val="24"/>
        </w:rPr>
        <w:t>污染耕地安全利用率达到</w:t>
      </w:r>
      <w:r>
        <w:rPr>
          <w:rFonts w:ascii="Times New Roman" w:hAnsi="Times New Roman" w:eastAsia="Times New Roman" w:cs="Times New Roman"/>
          <w:spacing w:val="-1"/>
          <w:sz w:val="24"/>
          <w:szCs w:val="24"/>
        </w:rPr>
        <w:t>98%</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，重点建设用地得到安全利用。到</w:t>
      </w:r>
      <w:r>
        <w:rPr>
          <w:rFonts w:ascii="Times New Roman" w:hAnsi="Times New Roman" w:eastAsia="Times New Roman" w:cs="Times New Roman"/>
          <w:spacing w:val="-1"/>
          <w:sz w:val="24"/>
          <w:szCs w:val="24"/>
        </w:rPr>
        <w:t>2030</w:t>
      </w:r>
      <w:r>
        <w:rPr>
          <w:rFonts w:ascii="宋体" w:hAnsi="宋体" w:eastAsia="宋体" w:cs="宋体"/>
          <w:spacing w:val="-2"/>
          <w:sz w:val="24"/>
          <w:szCs w:val="24"/>
        </w:rPr>
        <w:t>年；受污染耕地安</w:t>
      </w:r>
      <w:r>
        <w:rPr>
          <w:rFonts w:ascii="宋体" w:hAnsi="宋体" w:eastAsia="宋体" w:cs="宋体"/>
          <w:sz w:val="24"/>
          <w:szCs w:val="24"/>
        </w:rPr>
        <w:t xml:space="preserve"> </w:t>
      </w:r>
      <w:r>
        <w:rPr>
          <w:rFonts w:ascii="宋体" w:hAnsi="宋体" w:eastAsia="宋体" w:cs="宋体"/>
          <w:spacing w:val="-1"/>
          <w:sz w:val="24"/>
          <w:szCs w:val="24"/>
        </w:rPr>
        <w:t>全利用率持续稳定，重点建设用地得到安全利用。</w:t>
      </w:r>
    </w:p>
    <w:p w14:paraId="6ACAE0EC">
      <w:pPr>
        <w:spacing w:before="36" w:line="354" w:lineRule="auto"/>
        <w:ind w:left="8" w:right="79" w:firstLine="483"/>
        <w:rPr>
          <w:rFonts w:ascii="宋体" w:hAnsi="宋体" w:eastAsia="宋体" w:cs="宋体"/>
          <w:sz w:val="24"/>
          <w:szCs w:val="24"/>
        </w:rPr>
      </w:pPr>
      <w:r>
        <w:rPr>
          <w:rFonts w:ascii="宋体" w:hAnsi="宋体" w:eastAsia="宋体" w:cs="宋体"/>
          <w:spacing w:val="-2"/>
          <w:sz w:val="24"/>
          <w:szCs w:val="24"/>
        </w:rPr>
        <w:t>项目位于内蒙古自治区锡林郭勒盟苏尼特右旗。评价基准年为</w:t>
      </w:r>
      <w:r>
        <w:rPr>
          <w:rFonts w:ascii="Times New Roman" w:hAnsi="Times New Roman" w:eastAsia="Times New Roman" w:cs="Times New Roman"/>
          <w:spacing w:val="-2"/>
          <w:sz w:val="24"/>
          <w:szCs w:val="24"/>
        </w:rPr>
        <w:t>2023</w:t>
      </w:r>
      <w:r>
        <w:rPr>
          <w:rFonts w:ascii="宋体" w:hAnsi="宋体" w:eastAsia="宋体" w:cs="宋体"/>
          <w:spacing w:val="-2"/>
          <w:sz w:val="24"/>
          <w:szCs w:val="24"/>
        </w:rPr>
        <w:t>年。根据内蒙古</w:t>
      </w:r>
      <w:r>
        <w:rPr>
          <w:rFonts w:ascii="宋体" w:hAnsi="宋体" w:eastAsia="宋体" w:cs="宋体"/>
          <w:spacing w:val="13"/>
          <w:sz w:val="24"/>
          <w:szCs w:val="24"/>
        </w:rPr>
        <w:t xml:space="preserve"> </w:t>
      </w:r>
      <w:r>
        <w:rPr>
          <w:rFonts w:ascii="宋体" w:hAnsi="宋体" w:eastAsia="宋体" w:cs="宋体"/>
          <w:spacing w:val="-1"/>
          <w:sz w:val="24"/>
          <w:szCs w:val="24"/>
        </w:rPr>
        <w:t>自治区生态环境厅发布的《内蒙古自治区生态环境状</w:t>
      </w:r>
      <w:r>
        <w:rPr>
          <w:rFonts w:ascii="宋体" w:hAnsi="宋体" w:eastAsia="宋体" w:cs="宋体"/>
          <w:spacing w:val="-2"/>
          <w:sz w:val="24"/>
          <w:szCs w:val="24"/>
        </w:rPr>
        <w:t>况公报</w:t>
      </w:r>
      <w:r>
        <w:rPr>
          <w:rFonts w:ascii="Times New Roman" w:hAnsi="Times New Roman" w:eastAsia="Times New Roman" w:cs="Times New Roman"/>
          <w:spacing w:val="-2"/>
          <w:sz w:val="24"/>
          <w:szCs w:val="24"/>
        </w:rPr>
        <w:t>2023</w:t>
      </w:r>
      <w:r>
        <w:rPr>
          <w:rFonts w:ascii="宋体" w:hAnsi="宋体" w:eastAsia="宋体" w:cs="宋体"/>
          <w:spacing w:val="-2"/>
          <w:sz w:val="24"/>
          <w:szCs w:val="24"/>
        </w:rPr>
        <w:t>》，全区</w:t>
      </w:r>
      <w:r>
        <w:rPr>
          <w:rFonts w:ascii="Times New Roman" w:hAnsi="Times New Roman" w:eastAsia="Times New Roman" w:cs="Times New Roman"/>
          <w:spacing w:val="-2"/>
          <w:sz w:val="24"/>
          <w:szCs w:val="24"/>
        </w:rPr>
        <w:t>12</w:t>
      </w:r>
      <w:r>
        <w:rPr>
          <w:rFonts w:ascii="宋体" w:hAnsi="宋体" w:eastAsia="宋体" w:cs="宋体"/>
          <w:spacing w:val="-2"/>
          <w:sz w:val="24"/>
          <w:szCs w:val="24"/>
        </w:rPr>
        <w:t>盟市中，除</w:t>
      </w:r>
      <w:r>
        <w:rPr>
          <w:rFonts w:ascii="宋体" w:hAnsi="宋体" w:eastAsia="宋体" w:cs="宋体"/>
          <w:sz w:val="24"/>
          <w:szCs w:val="24"/>
        </w:rPr>
        <w:t xml:space="preserve"> </w:t>
      </w:r>
      <w:r>
        <w:rPr>
          <w:rFonts w:ascii="宋体" w:hAnsi="宋体" w:eastAsia="宋体" w:cs="宋体"/>
          <w:spacing w:val="-1"/>
          <w:sz w:val="24"/>
          <w:szCs w:val="24"/>
        </w:rPr>
        <w:t>乌海市，其他</w:t>
      </w:r>
      <w:r>
        <w:rPr>
          <w:rFonts w:ascii="Times New Roman" w:hAnsi="Times New Roman" w:eastAsia="Times New Roman" w:cs="Times New Roman"/>
          <w:spacing w:val="-1"/>
          <w:sz w:val="24"/>
          <w:szCs w:val="24"/>
        </w:rPr>
        <w:t>11</w:t>
      </w:r>
      <w:r>
        <w:rPr>
          <w:rFonts w:ascii="宋体" w:hAnsi="宋体" w:eastAsia="宋体" w:cs="宋体"/>
          <w:spacing w:val="-1"/>
          <w:sz w:val="24"/>
          <w:szCs w:val="24"/>
        </w:rPr>
        <w:t>个盟市环境空气质量均达标</w:t>
      </w:r>
      <w:r>
        <w:rPr>
          <w:rFonts w:ascii="宋体" w:hAnsi="宋体" w:eastAsia="宋体" w:cs="宋体"/>
          <w:spacing w:val="-2"/>
          <w:sz w:val="24"/>
          <w:szCs w:val="24"/>
        </w:rPr>
        <w:t>，故项目所在区域为环境空气质量达标区，</w:t>
      </w:r>
      <w:r>
        <w:rPr>
          <w:rFonts w:ascii="宋体" w:hAnsi="宋体" w:eastAsia="宋体" w:cs="宋体"/>
          <w:sz w:val="24"/>
          <w:szCs w:val="24"/>
        </w:rPr>
        <w:t xml:space="preserve"> </w:t>
      </w:r>
      <w:r>
        <w:rPr>
          <w:rFonts w:ascii="宋体" w:hAnsi="宋体" w:eastAsia="宋体" w:cs="宋体"/>
          <w:spacing w:val="2"/>
          <w:sz w:val="24"/>
          <w:szCs w:val="24"/>
        </w:rPr>
        <w:t>根据现状检测结果本项目特征因子</w:t>
      </w:r>
      <w:r>
        <w:rPr>
          <w:rFonts w:ascii="Times New Roman" w:hAnsi="Times New Roman" w:eastAsia="Times New Roman" w:cs="Times New Roman"/>
          <w:sz w:val="24"/>
          <w:szCs w:val="24"/>
        </w:rPr>
        <w:t>TSP</w:t>
      </w:r>
      <w:r>
        <w:rPr>
          <w:rFonts w:ascii="宋体" w:hAnsi="宋体" w:eastAsia="宋体" w:cs="宋体"/>
          <w:spacing w:val="2"/>
          <w:sz w:val="24"/>
          <w:szCs w:val="24"/>
        </w:rPr>
        <w:t>满足《环境空气质量标准》（</w:t>
      </w:r>
      <w:r>
        <w:rPr>
          <w:rFonts w:ascii="Times New Roman" w:hAnsi="Times New Roman" w:eastAsia="Times New Roman" w:cs="Times New Roman"/>
          <w:sz w:val="24"/>
          <w:szCs w:val="24"/>
        </w:rPr>
        <w:t>GB</w:t>
      </w:r>
      <w:r>
        <w:rPr>
          <w:rFonts w:ascii="Times New Roman" w:hAnsi="Times New Roman" w:eastAsia="Times New Roman" w:cs="Times New Roman"/>
          <w:spacing w:val="2"/>
          <w:sz w:val="24"/>
          <w:szCs w:val="24"/>
        </w:rPr>
        <w:t>3095-20</w:t>
      </w:r>
      <w:r>
        <w:rPr>
          <w:rFonts w:ascii="Times New Roman" w:hAnsi="Times New Roman" w:eastAsia="Times New Roman" w:cs="Times New Roman"/>
          <w:spacing w:val="1"/>
          <w:sz w:val="24"/>
          <w:szCs w:val="24"/>
        </w:rPr>
        <w:t>12</w:t>
      </w:r>
      <w:r>
        <w:rPr>
          <w:rFonts w:ascii="宋体" w:hAnsi="宋体" w:eastAsia="宋体" w:cs="宋体"/>
          <w:spacing w:val="1"/>
          <w:sz w:val="24"/>
          <w:szCs w:val="24"/>
        </w:rPr>
        <w:t>）中</w:t>
      </w:r>
      <w:r>
        <w:rPr>
          <w:rFonts w:ascii="宋体" w:hAnsi="宋体" w:eastAsia="宋体" w:cs="宋体"/>
          <w:sz w:val="24"/>
          <w:szCs w:val="24"/>
        </w:rPr>
        <w:t xml:space="preserve"> </w:t>
      </w:r>
      <w:r>
        <w:rPr>
          <w:rFonts w:ascii="宋体" w:hAnsi="宋体" w:eastAsia="宋体" w:cs="宋体"/>
          <w:spacing w:val="-12"/>
          <w:sz w:val="24"/>
          <w:szCs w:val="24"/>
        </w:rPr>
        <w:t>二级标准限值，锰及其化合物、氨满足《环境影响评价技术导则大气环境》（</w:t>
      </w:r>
      <w:r>
        <w:rPr>
          <w:rFonts w:ascii="Times New Roman" w:hAnsi="Times New Roman" w:eastAsia="Times New Roman" w:cs="Times New Roman"/>
          <w:spacing w:val="-12"/>
          <w:sz w:val="24"/>
          <w:szCs w:val="24"/>
        </w:rPr>
        <w:t>HJ2.2-2018</w:t>
      </w:r>
      <w:r>
        <w:rPr>
          <w:rFonts w:ascii="宋体" w:hAnsi="宋体" w:eastAsia="宋体" w:cs="宋体"/>
          <w:spacing w:val="-12"/>
          <w:sz w:val="24"/>
          <w:szCs w:val="24"/>
        </w:rPr>
        <w:t>）</w:t>
      </w:r>
      <w:r>
        <w:rPr>
          <w:rFonts w:ascii="Times New Roman" w:hAnsi="Times New Roman" w:eastAsia="Times New Roman" w:cs="Times New Roman"/>
          <w:spacing w:val="-12"/>
          <w:sz w:val="24"/>
          <w:szCs w:val="24"/>
        </w:rPr>
        <w:t>)</w:t>
      </w:r>
      <w:r>
        <w:rPr>
          <w:rFonts w:ascii="Times New Roman" w:hAnsi="Times New Roman" w:eastAsia="Times New Roman" w:cs="Times New Roman"/>
          <w:spacing w:val="7"/>
          <w:sz w:val="24"/>
          <w:szCs w:val="24"/>
        </w:rPr>
        <w:t xml:space="preserve"> </w:t>
      </w:r>
      <w:r>
        <w:rPr>
          <w:rFonts w:ascii="宋体" w:hAnsi="宋体" w:eastAsia="宋体" w:cs="宋体"/>
          <w:spacing w:val="-1"/>
          <w:sz w:val="24"/>
          <w:szCs w:val="24"/>
        </w:rPr>
        <w:t>附录</w:t>
      </w:r>
      <w:r>
        <w:rPr>
          <w:rFonts w:ascii="Times New Roman" w:hAnsi="Times New Roman" w:eastAsia="Times New Roman" w:cs="Times New Roman"/>
          <w:spacing w:val="-1"/>
          <w:sz w:val="24"/>
          <w:szCs w:val="24"/>
        </w:rPr>
        <w:t>D</w:t>
      </w:r>
      <w:r>
        <w:rPr>
          <w:rFonts w:ascii="宋体" w:hAnsi="宋体" w:eastAsia="宋体" w:cs="宋体"/>
          <w:spacing w:val="-1"/>
          <w:sz w:val="24"/>
          <w:szCs w:val="24"/>
        </w:rPr>
        <w:t>其他污染物空气质量浓度参考限值。</w:t>
      </w:r>
    </w:p>
    <w:p w14:paraId="688A6B46">
      <w:pPr>
        <w:spacing w:before="42" w:line="346" w:lineRule="auto"/>
        <w:ind w:left="8" w:right="80" w:firstLine="480"/>
        <w:jc w:val="both"/>
        <w:rPr>
          <w:rFonts w:ascii="宋体" w:hAnsi="宋体" w:eastAsia="宋体" w:cs="宋体"/>
          <w:sz w:val="24"/>
          <w:szCs w:val="24"/>
        </w:rPr>
      </w:pPr>
      <w:r>
        <w:rPr>
          <w:rFonts w:ascii="宋体" w:hAnsi="宋体" w:eastAsia="宋体" w:cs="宋体"/>
          <w:spacing w:val="-2"/>
          <w:sz w:val="24"/>
          <w:szCs w:val="24"/>
        </w:rPr>
        <w:t>根据地下水现状监测结果可知，总硬度、氟化物、溶解性总固体、钠、</w:t>
      </w:r>
      <w:r>
        <w:rPr>
          <w:rFonts w:ascii="Times New Roman" w:hAnsi="Times New Roman" w:eastAsia="Times New Roman" w:cs="Times New Roman"/>
          <w:spacing w:val="-3"/>
          <w:sz w:val="24"/>
          <w:szCs w:val="24"/>
        </w:rPr>
        <w:t>SO</w:t>
      </w:r>
      <w:r>
        <w:rPr>
          <w:rFonts w:ascii="Times New Roman" w:hAnsi="Times New Roman" w:eastAsia="Times New Roman" w:cs="Times New Roman"/>
          <w:spacing w:val="-3"/>
          <w:position w:val="-1"/>
          <w:sz w:val="15"/>
          <w:szCs w:val="15"/>
        </w:rPr>
        <w:t>4</w:t>
      </w:r>
      <w:r>
        <w:rPr>
          <w:rFonts w:ascii="Times New Roman" w:hAnsi="Times New Roman" w:eastAsia="Times New Roman" w:cs="Times New Roman"/>
          <w:spacing w:val="-3"/>
          <w:sz w:val="15"/>
          <w:szCs w:val="15"/>
        </w:rPr>
        <w:t>2-</w:t>
      </w:r>
      <w:r>
        <w:rPr>
          <w:rFonts w:ascii="宋体" w:hAnsi="宋体" w:eastAsia="宋体" w:cs="宋体"/>
          <w:spacing w:val="-3"/>
          <w:sz w:val="24"/>
          <w:szCs w:val="24"/>
        </w:rPr>
        <w:t>出现超</w:t>
      </w:r>
      <w:r>
        <w:rPr>
          <w:rFonts w:ascii="宋体" w:hAnsi="宋体" w:eastAsia="宋体" w:cs="宋体"/>
          <w:sz w:val="24"/>
          <w:szCs w:val="24"/>
        </w:rPr>
        <w:t xml:space="preserve"> 标，其余监测因子均达到《地下水质量标准》</w:t>
      </w:r>
      <w:r>
        <w:rPr>
          <w:rFonts w:ascii="Times New Roman" w:hAnsi="Times New Roman" w:eastAsia="Times New Roman" w:cs="Times New Roman"/>
          <w:sz w:val="24"/>
          <w:szCs w:val="24"/>
        </w:rPr>
        <w:t>(GB/T14848-2017)</w:t>
      </w:r>
      <w:r>
        <w:rPr>
          <w:rFonts w:ascii="宋体" w:hAnsi="宋体" w:eastAsia="宋体" w:cs="宋体"/>
          <w:sz w:val="24"/>
          <w:szCs w:val="24"/>
        </w:rPr>
        <w:t>中</w:t>
      </w:r>
      <w:r>
        <w:rPr>
          <w:rFonts w:ascii="Times New Roman" w:hAnsi="Times New Roman" w:eastAsia="Times New Roman" w:cs="Times New Roman"/>
          <w:sz w:val="24"/>
          <w:szCs w:val="24"/>
        </w:rPr>
        <w:t>Ⅲ</w:t>
      </w:r>
      <w:r>
        <w:rPr>
          <w:rFonts w:ascii="宋体" w:hAnsi="宋体" w:eastAsia="宋体" w:cs="宋体"/>
          <w:sz w:val="24"/>
          <w:szCs w:val="24"/>
        </w:rPr>
        <w:t>类标准的要求，上</w:t>
      </w:r>
      <w:r>
        <w:rPr>
          <w:rFonts w:ascii="宋体" w:hAnsi="宋体" w:eastAsia="宋体" w:cs="宋体"/>
          <w:spacing w:val="4"/>
          <w:sz w:val="24"/>
          <w:szCs w:val="24"/>
        </w:rPr>
        <w:t xml:space="preserve"> </w:t>
      </w:r>
      <w:r>
        <w:rPr>
          <w:rFonts w:ascii="宋体" w:hAnsi="宋体" w:eastAsia="宋体" w:cs="宋体"/>
          <w:spacing w:val="-1"/>
          <w:sz w:val="24"/>
          <w:szCs w:val="24"/>
        </w:rPr>
        <w:t>述指标超标是由于环境本底值过高导致。</w:t>
      </w:r>
    </w:p>
    <w:p w14:paraId="55B99DFB">
      <w:pPr>
        <w:spacing w:before="50" w:line="335" w:lineRule="auto"/>
        <w:ind w:left="10" w:firstLine="479"/>
        <w:rPr>
          <w:rFonts w:ascii="宋体" w:hAnsi="宋体" w:eastAsia="宋体" w:cs="宋体"/>
          <w:sz w:val="24"/>
          <w:szCs w:val="24"/>
        </w:rPr>
      </w:pPr>
      <w:r>
        <w:rPr>
          <w:rFonts w:ascii="宋体" w:hAnsi="宋体" w:eastAsia="宋体" w:cs="宋体"/>
          <w:spacing w:val="-3"/>
          <w:sz w:val="24"/>
          <w:szCs w:val="24"/>
        </w:rPr>
        <w:t>本项目厂界声环境质量监测点的噪声值昼间在</w:t>
      </w:r>
      <w:r>
        <w:rPr>
          <w:rFonts w:ascii="宋体" w:hAnsi="宋体" w:eastAsia="宋体" w:cs="宋体"/>
          <w:spacing w:val="-64"/>
          <w:sz w:val="24"/>
          <w:szCs w:val="24"/>
        </w:rPr>
        <w:t xml:space="preserve"> </w:t>
      </w:r>
      <w:r>
        <w:rPr>
          <w:rFonts w:ascii="Times New Roman" w:hAnsi="Times New Roman" w:eastAsia="Times New Roman" w:cs="Times New Roman"/>
          <w:spacing w:val="-3"/>
          <w:sz w:val="24"/>
          <w:szCs w:val="24"/>
        </w:rPr>
        <w:t>44~46dB(A)</w:t>
      </w:r>
      <w:r>
        <w:rPr>
          <w:rFonts w:ascii="宋体" w:hAnsi="宋体" w:eastAsia="宋体" w:cs="宋体"/>
          <w:spacing w:val="-3"/>
          <w:sz w:val="24"/>
          <w:szCs w:val="24"/>
        </w:rPr>
        <w:t>之间，夜间在</w:t>
      </w:r>
      <w:r>
        <w:rPr>
          <w:rFonts w:ascii="宋体" w:hAnsi="宋体" w:eastAsia="宋体" w:cs="宋体"/>
          <w:spacing w:val="-64"/>
          <w:sz w:val="24"/>
          <w:szCs w:val="24"/>
        </w:rPr>
        <w:t xml:space="preserve"> </w:t>
      </w:r>
      <w:r>
        <w:rPr>
          <w:rFonts w:ascii="Times New Roman" w:hAnsi="Times New Roman" w:eastAsia="Times New Roman" w:cs="Times New Roman"/>
          <w:spacing w:val="-3"/>
          <w:sz w:val="24"/>
          <w:szCs w:val="24"/>
        </w:rPr>
        <w:t>43~45dB(A)</w:t>
      </w:r>
      <w:r>
        <w:rPr>
          <w:rFonts w:ascii="Times New Roman" w:hAnsi="Times New Roman" w:eastAsia="Times New Roman" w:cs="Times New Roman"/>
          <w:sz w:val="24"/>
          <w:szCs w:val="24"/>
        </w:rPr>
        <w:t xml:space="preserve"> </w:t>
      </w:r>
      <w:r>
        <w:rPr>
          <w:rFonts w:ascii="宋体" w:hAnsi="宋体" w:eastAsia="宋体" w:cs="宋体"/>
          <w:sz w:val="24"/>
          <w:szCs w:val="24"/>
        </w:rPr>
        <w:t>之间，监测值能够满足《声环境质量标准》</w:t>
      </w:r>
      <w:r>
        <w:rPr>
          <w:rFonts w:ascii="宋体" w:hAnsi="宋体" w:eastAsia="宋体" w:cs="宋体"/>
          <w:spacing w:val="-1"/>
          <w:sz w:val="24"/>
          <w:szCs w:val="24"/>
        </w:rPr>
        <w:t>（</w:t>
      </w:r>
      <w:r>
        <w:rPr>
          <w:rFonts w:ascii="Times New Roman" w:hAnsi="Times New Roman" w:eastAsia="Times New Roman" w:cs="Times New Roman"/>
          <w:spacing w:val="-1"/>
          <w:sz w:val="24"/>
          <w:szCs w:val="24"/>
        </w:rPr>
        <w:t>GB3096-2008</w:t>
      </w:r>
      <w:r>
        <w:rPr>
          <w:rFonts w:ascii="宋体" w:hAnsi="宋体" w:eastAsia="宋体" w:cs="宋体"/>
          <w:spacing w:val="-1"/>
          <w:sz w:val="24"/>
          <w:szCs w:val="24"/>
        </w:rPr>
        <w:t>）中的</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 xml:space="preserve">3 </w:t>
      </w:r>
      <w:r>
        <w:rPr>
          <w:rFonts w:ascii="宋体" w:hAnsi="宋体" w:eastAsia="宋体" w:cs="宋体"/>
          <w:spacing w:val="-1"/>
          <w:sz w:val="24"/>
          <w:szCs w:val="24"/>
        </w:rPr>
        <w:t>类标准限值。</w:t>
      </w:r>
    </w:p>
    <w:p w14:paraId="672BE56E">
      <w:pPr>
        <w:spacing w:before="63" w:line="350" w:lineRule="auto"/>
        <w:ind w:left="9" w:right="80" w:firstLine="481"/>
        <w:rPr>
          <w:rFonts w:ascii="宋体" w:hAnsi="宋体" w:eastAsia="宋体" w:cs="宋体"/>
          <w:sz w:val="24"/>
          <w:szCs w:val="24"/>
        </w:rPr>
      </w:pPr>
      <w:r>
        <w:rPr>
          <w:rFonts w:ascii="宋体" w:hAnsi="宋体" w:eastAsia="宋体" w:cs="宋体"/>
          <w:spacing w:val="2"/>
          <w:sz w:val="24"/>
          <w:szCs w:val="24"/>
        </w:rPr>
        <w:t>各土壤环境质量现状监测点的监测指标均满足《土</w:t>
      </w:r>
      <w:r>
        <w:rPr>
          <w:rFonts w:ascii="宋体" w:hAnsi="宋体" w:eastAsia="宋体" w:cs="宋体"/>
          <w:spacing w:val="1"/>
          <w:sz w:val="24"/>
          <w:szCs w:val="24"/>
        </w:rPr>
        <w:t>壤环境质量 建设用地土壤污染</w:t>
      </w:r>
      <w:r>
        <w:rPr>
          <w:rFonts w:ascii="宋体" w:hAnsi="宋体" w:eastAsia="宋体" w:cs="宋体"/>
          <w:sz w:val="24"/>
          <w:szCs w:val="24"/>
        </w:rPr>
        <w:t xml:space="preserve"> 风险管控标准》（</w:t>
      </w:r>
      <w:r>
        <w:rPr>
          <w:rFonts w:ascii="Times New Roman" w:hAnsi="Times New Roman" w:eastAsia="Times New Roman" w:cs="Times New Roman"/>
          <w:sz w:val="24"/>
          <w:szCs w:val="24"/>
        </w:rPr>
        <w:t>GB36600-2018</w:t>
      </w:r>
      <w:r>
        <w:rPr>
          <w:rFonts w:ascii="宋体" w:hAnsi="宋体" w:eastAsia="宋体" w:cs="宋体"/>
          <w:sz w:val="24"/>
          <w:szCs w:val="24"/>
        </w:rPr>
        <w:t>）表</w:t>
      </w:r>
      <w:r>
        <w:rPr>
          <w:rFonts w:ascii="宋体" w:hAnsi="宋体" w:eastAsia="宋体" w:cs="宋体"/>
          <w:spacing w:val="-32"/>
          <w:sz w:val="24"/>
          <w:szCs w:val="24"/>
        </w:rPr>
        <w:t xml:space="preserve"> </w:t>
      </w:r>
      <w:r>
        <w:rPr>
          <w:rFonts w:ascii="Times New Roman" w:hAnsi="Times New Roman" w:eastAsia="Times New Roman" w:cs="Times New Roman"/>
          <w:sz w:val="24"/>
          <w:szCs w:val="24"/>
        </w:rPr>
        <w:t xml:space="preserve">1 </w:t>
      </w:r>
      <w:r>
        <w:rPr>
          <w:rFonts w:ascii="宋体" w:hAnsi="宋体" w:eastAsia="宋体" w:cs="宋体"/>
          <w:spacing w:val="-1"/>
          <w:sz w:val="24"/>
          <w:szCs w:val="24"/>
        </w:rPr>
        <w:t>第二类用地筛选值标准以及《土壤质量标准 农</w:t>
      </w:r>
      <w:r>
        <w:rPr>
          <w:rFonts w:ascii="宋体" w:hAnsi="宋体" w:eastAsia="宋体" w:cs="宋体"/>
          <w:sz w:val="24"/>
          <w:szCs w:val="24"/>
        </w:rPr>
        <w:t xml:space="preserve"> 用地土壤污染风险管控标准</w:t>
      </w:r>
      <w:r>
        <w:rPr>
          <w:rFonts w:hint="eastAsia" w:ascii="宋体" w:hAnsi="宋体" w:eastAsia="宋体" w:cs="宋体"/>
          <w:sz w:val="24"/>
          <w:szCs w:val="24"/>
        </w:rPr>
        <w:t>（试行）》</w:t>
      </w:r>
      <w:r>
        <w:rPr>
          <w:rFonts w:ascii="宋体" w:hAnsi="宋体" w:eastAsia="宋体" w:cs="宋体"/>
          <w:spacing w:val="-17"/>
          <w:sz w:val="24"/>
          <w:szCs w:val="24"/>
        </w:rPr>
        <w:t>（</w:t>
      </w:r>
      <w:r>
        <w:rPr>
          <w:rFonts w:ascii="Times New Roman" w:hAnsi="Times New Roman" w:eastAsia="Times New Roman" w:cs="Times New Roman"/>
          <w:sz w:val="24"/>
          <w:szCs w:val="24"/>
        </w:rPr>
        <w:t>GB15618-2018</w:t>
      </w:r>
      <w:r>
        <w:rPr>
          <w:rFonts w:ascii="宋体" w:hAnsi="宋体" w:eastAsia="宋体" w:cs="宋体"/>
          <w:sz w:val="24"/>
          <w:szCs w:val="24"/>
        </w:rPr>
        <w:t>）表</w:t>
      </w:r>
      <w:r>
        <w:rPr>
          <w:rFonts w:ascii="宋体" w:hAnsi="宋体" w:eastAsia="宋体" w:cs="宋体"/>
          <w:spacing w:val="-32"/>
          <w:sz w:val="24"/>
          <w:szCs w:val="24"/>
        </w:rPr>
        <w:t xml:space="preserve"> </w:t>
      </w:r>
      <w:r>
        <w:rPr>
          <w:rFonts w:ascii="Times New Roman" w:hAnsi="Times New Roman" w:eastAsia="Times New Roman" w:cs="Times New Roman"/>
          <w:sz w:val="24"/>
          <w:szCs w:val="24"/>
        </w:rPr>
        <w:t xml:space="preserve">1 </w:t>
      </w:r>
      <w:r>
        <w:rPr>
          <w:rFonts w:ascii="宋体" w:hAnsi="宋体" w:eastAsia="宋体" w:cs="宋体"/>
          <w:sz w:val="24"/>
          <w:szCs w:val="24"/>
        </w:rPr>
        <w:t>农用地</w:t>
      </w:r>
      <w:r>
        <w:rPr>
          <w:rFonts w:ascii="宋体" w:hAnsi="宋体" w:eastAsia="宋体" w:cs="宋体"/>
          <w:spacing w:val="-1"/>
          <w:sz w:val="24"/>
          <w:szCs w:val="24"/>
        </w:rPr>
        <w:t>筛选值标准。</w:t>
      </w:r>
    </w:p>
    <w:p w14:paraId="5BFBD81A">
      <w:pPr>
        <w:spacing w:before="40" w:line="355" w:lineRule="auto"/>
        <w:ind w:left="7" w:right="78" w:firstLine="481"/>
        <w:rPr>
          <w:rFonts w:ascii="宋体" w:hAnsi="宋体" w:eastAsia="宋体" w:cs="宋体"/>
          <w:sz w:val="24"/>
          <w:szCs w:val="24"/>
        </w:rPr>
      </w:pPr>
      <w:r>
        <w:rPr>
          <w:rFonts w:ascii="宋体" w:hAnsi="宋体" w:eastAsia="宋体" w:cs="宋体"/>
          <w:spacing w:val="-2"/>
          <w:sz w:val="24"/>
          <w:szCs w:val="24"/>
        </w:rPr>
        <w:t>本项目主要大气污染物为颗粒物、二氧化硫、氮氧化物、锰及其化合物及氨等，经</w:t>
      </w:r>
      <w:r>
        <w:rPr>
          <w:rFonts w:ascii="宋体" w:hAnsi="宋体" w:eastAsia="宋体" w:cs="宋体"/>
          <w:spacing w:val="12"/>
          <w:sz w:val="24"/>
          <w:szCs w:val="24"/>
        </w:rPr>
        <w:t xml:space="preserve"> </w:t>
      </w:r>
      <w:r>
        <w:rPr>
          <w:rFonts w:ascii="宋体" w:hAnsi="宋体" w:eastAsia="宋体" w:cs="宋体"/>
          <w:spacing w:val="-2"/>
          <w:sz w:val="24"/>
          <w:szCs w:val="24"/>
        </w:rPr>
        <w:t>采取相应治理措施后可达标排放；运营期生活污水、化验室废水经一体化污水处理设施</w:t>
      </w:r>
      <w:r>
        <w:rPr>
          <w:rFonts w:ascii="宋体" w:hAnsi="宋体" w:eastAsia="宋体" w:cs="宋体"/>
          <w:spacing w:val="18"/>
          <w:sz w:val="24"/>
          <w:szCs w:val="24"/>
        </w:rPr>
        <w:t xml:space="preserve"> </w:t>
      </w:r>
      <w:r>
        <w:rPr>
          <w:rFonts w:ascii="宋体" w:hAnsi="宋体" w:eastAsia="宋体" w:cs="宋体"/>
          <w:spacing w:val="-2"/>
          <w:sz w:val="24"/>
          <w:szCs w:val="24"/>
        </w:rPr>
        <w:t>处理后由罐车运至苏尼特右旗赛汉塔拉镇污水处理厂进一步处理；生产废水经处理后全</w:t>
      </w:r>
      <w:r>
        <w:rPr>
          <w:rFonts w:ascii="宋体" w:hAnsi="宋体" w:eastAsia="宋体" w:cs="宋体"/>
          <w:spacing w:val="18"/>
          <w:sz w:val="24"/>
          <w:szCs w:val="24"/>
        </w:rPr>
        <w:t xml:space="preserve"> </w:t>
      </w:r>
      <w:r>
        <w:rPr>
          <w:rFonts w:ascii="宋体" w:hAnsi="宋体" w:eastAsia="宋体" w:cs="宋体"/>
          <w:spacing w:val="-2"/>
          <w:sz w:val="24"/>
          <w:szCs w:val="24"/>
        </w:rPr>
        <w:t>部回用，不外排；一般固体废物全部进行综合利用或由生产厂家回收，不能综合利用的</w:t>
      </w:r>
      <w:r>
        <w:rPr>
          <w:rFonts w:ascii="宋体" w:hAnsi="宋体" w:eastAsia="宋体" w:cs="宋体"/>
          <w:spacing w:val="18"/>
          <w:sz w:val="24"/>
          <w:szCs w:val="24"/>
        </w:rPr>
        <w:t xml:space="preserve"> </w:t>
      </w:r>
      <w:r>
        <w:rPr>
          <w:rFonts w:ascii="宋体" w:hAnsi="宋体" w:eastAsia="宋体" w:cs="宋体"/>
          <w:spacing w:val="-4"/>
          <w:sz w:val="24"/>
          <w:szCs w:val="24"/>
        </w:rPr>
        <w:t>外售综合利用，危险废物委托有资质单位处理，生活垃圾委托环卫部门</w:t>
      </w:r>
      <w:r>
        <w:rPr>
          <w:rFonts w:ascii="宋体" w:hAnsi="宋体" w:eastAsia="宋体" w:cs="宋体"/>
          <w:spacing w:val="-5"/>
          <w:sz w:val="24"/>
          <w:szCs w:val="24"/>
        </w:rPr>
        <w:t>清理。项目的</w:t>
      </w:r>
      <w:r>
        <w:rPr>
          <w:rFonts w:ascii="Times New Roman" w:hAnsi="Times New Roman" w:eastAsia="Times New Roman" w:cs="Times New Roman"/>
          <w:spacing w:val="-5"/>
          <w:sz w:val="24"/>
          <w:szCs w:val="24"/>
        </w:rPr>
        <w:t>“</w:t>
      </w:r>
      <w:r>
        <w:rPr>
          <w:rFonts w:ascii="宋体" w:hAnsi="宋体" w:eastAsia="宋体" w:cs="宋体"/>
          <w:spacing w:val="-5"/>
          <w:sz w:val="24"/>
          <w:szCs w:val="24"/>
        </w:rPr>
        <w:t>三</w:t>
      </w:r>
      <w:r>
        <w:rPr>
          <w:rFonts w:ascii="宋体" w:hAnsi="宋体" w:eastAsia="宋体" w:cs="宋体"/>
          <w:sz w:val="24"/>
          <w:szCs w:val="24"/>
        </w:rPr>
        <w:t xml:space="preserve"> </w:t>
      </w:r>
      <w:r>
        <w:rPr>
          <w:rFonts w:ascii="宋体" w:hAnsi="宋体" w:eastAsia="宋体" w:cs="宋体"/>
          <w:spacing w:val="2"/>
          <w:sz w:val="24"/>
          <w:szCs w:val="24"/>
        </w:rPr>
        <w:t>废</w:t>
      </w:r>
      <w:r>
        <w:rPr>
          <w:rFonts w:ascii="Times New Roman" w:hAnsi="Times New Roman" w:eastAsia="Times New Roman" w:cs="Times New Roman"/>
          <w:spacing w:val="2"/>
          <w:sz w:val="24"/>
          <w:szCs w:val="24"/>
        </w:rPr>
        <w:t>”</w:t>
      </w:r>
      <w:r>
        <w:rPr>
          <w:rFonts w:ascii="宋体" w:hAnsi="宋体" w:eastAsia="宋体" w:cs="宋体"/>
          <w:spacing w:val="2"/>
          <w:sz w:val="24"/>
          <w:szCs w:val="24"/>
        </w:rPr>
        <w:t xml:space="preserve">均得到合理处置，各污染物达标排放，因此本项目的建设不会对当地环境质量底线 </w:t>
      </w:r>
      <w:r>
        <w:rPr>
          <w:rFonts w:ascii="宋体" w:hAnsi="宋体" w:eastAsia="宋体" w:cs="宋体"/>
          <w:spacing w:val="-2"/>
          <w:sz w:val="24"/>
          <w:szCs w:val="24"/>
        </w:rPr>
        <w:t>造成冲击。</w:t>
      </w:r>
    </w:p>
    <w:p w14:paraId="7DE1F02E">
      <w:pPr>
        <w:spacing w:before="31"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）资源利用上线</w:t>
      </w:r>
    </w:p>
    <w:p w14:paraId="20DC9481">
      <w:pPr>
        <w:spacing w:before="185" w:line="354" w:lineRule="auto"/>
        <w:ind w:left="4" w:firstLine="480"/>
        <w:rPr>
          <w:rFonts w:ascii="宋体" w:hAnsi="宋体" w:eastAsia="宋体" w:cs="宋体"/>
          <w:sz w:val="24"/>
          <w:szCs w:val="24"/>
        </w:rPr>
      </w:pPr>
      <w:r>
        <w:rPr>
          <w:rFonts w:ascii="Times New Roman" w:hAnsi="Times New Roman" w:eastAsia="Times New Roman" w:cs="Times New Roman"/>
          <w:sz w:val="24"/>
          <w:szCs w:val="24"/>
        </w:rPr>
        <w:t>2015</w:t>
      </w:r>
      <w:r>
        <w:rPr>
          <w:rFonts w:ascii="宋体" w:hAnsi="宋体" w:eastAsia="宋体" w:cs="宋体"/>
          <w:sz w:val="24"/>
          <w:szCs w:val="24"/>
        </w:rPr>
        <w:t>年、</w:t>
      </w:r>
      <w:r>
        <w:rPr>
          <w:rFonts w:ascii="Times New Roman" w:hAnsi="Times New Roman" w:eastAsia="Times New Roman" w:cs="Times New Roman"/>
          <w:sz w:val="24"/>
          <w:szCs w:val="24"/>
        </w:rPr>
        <w:t>2020</w:t>
      </w:r>
      <w:r>
        <w:rPr>
          <w:rFonts w:ascii="宋体" w:hAnsi="宋体" w:eastAsia="宋体" w:cs="宋体"/>
          <w:sz w:val="24"/>
          <w:szCs w:val="24"/>
        </w:rPr>
        <w:t>年和</w:t>
      </w:r>
      <w:r>
        <w:rPr>
          <w:rFonts w:ascii="Times New Roman" w:hAnsi="Times New Roman" w:eastAsia="Times New Roman" w:cs="Times New Roman"/>
          <w:sz w:val="24"/>
          <w:szCs w:val="24"/>
        </w:rPr>
        <w:t>2030</w:t>
      </w:r>
      <w:r>
        <w:rPr>
          <w:rFonts w:ascii="宋体" w:hAnsi="宋体" w:eastAsia="宋体" w:cs="宋体"/>
          <w:sz w:val="24"/>
          <w:szCs w:val="24"/>
        </w:rPr>
        <w:t>年锡林郭勒盟用水总量红线控制目标分别为</w:t>
      </w:r>
      <w:r>
        <w:rPr>
          <w:rFonts w:ascii="Times New Roman" w:hAnsi="Times New Roman" w:eastAsia="Times New Roman" w:cs="Times New Roman"/>
          <w:sz w:val="24"/>
          <w:szCs w:val="24"/>
        </w:rPr>
        <w:t>6.95</w:t>
      </w:r>
      <w:r>
        <w:rPr>
          <w:rFonts w:ascii="宋体" w:hAnsi="宋体" w:eastAsia="宋体" w:cs="宋体"/>
          <w:sz w:val="24"/>
          <w:szCs w:val="24"/>
        </w:rPr>
        <w:t>亿</w:t>
      </w:r>
      <w:r>
        <w:rPr>
          <w:rFonts w:ascii="Times New Roman" w:hAnsi="Times New Roman" w:eastAsia="Times New Roman" w:cs="Times New Roman"/>
          <w:sz w:val="24"/>
          <w:szCs w:val="24"/>
        </w:rPr>
        <w:t>m</w:t>
      </w:r>
      <w:r>
        <w:rPr>
          <w:rFonts w:ascii="Times New Roman" w:hAnsi="Times New Roman" w:eastAsia="Times New Roman" w:cs="Times New Roman"/>
          <w:position w:val="8"/>
          <w:sz w:val="15"/>
          <w:szCs w:val="15"/>
        </w:rPr>
        <w:t>3</w:t>
      </w:r>
      <w:r>
        <w:rPr>
          <w:rFonts w:ascii="Times New Roman" w:hAnsi="Times New Roman" w:eastAsia="Times New Roman" w:cs="Times New Roman"/>
          <w:spacing w:val="6"/>
          <w:position w:val="8"/>
          <w:sz w:val="15"/>
          <w:szCs w:val="15"/>
        </w:rPr>
        <w:t xml:space="preserve"> </w:t>
      </w:r>
      <w:r>
        <w:rPr>
          <w:rFonts w:ascii="宋体" w:hAnsi="宋体" w:eastAsia="宋体" w:cs="宋体"/>
          <w:sz w:val="24"/>
          <w:szCs w:val="24"/>
        </w:rPr>
        <w:t>、</w:t>
      </w:r>
      <w:r>
        <w:rPr>
          <w:rFonts w:ascii="Times New Roman" w:hAnsi="Times New Roman" w:eastAsia="Times New Roman" w:cs="Times New Roman"/>
          <w:sz w:val="24"/>
          <w:szCs w:val="24"/>
        </w:rPr>
        <w:t xml:space="preserve">8.08  </w:t>
      </w:r>
      <w:r>
        <w:rPr>
          <w:rFonts w:ascii="宋体" w:hAnsi="宋体" w:eastAsia="宋体" w:cs="宋体"/>
          <w:spacing w:val="-1"/>
          <w:sz w:val="24"/>
          <w:szCs w:val="24"/>
        </w:rPr>
        <w:t>亿</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8"/>
          <w:sz w:val="15"/>
          <w:szCs w:val="15"/>
        </w:rPr>
        <w:t>3</w:t>
      </w:r>
      <w:r>
        <w:rPr>
          <w:rFonts w:ascii="宋体" w:hAnsi="宋体" w:eastAsia="宋体" w:cs="宋体"/>
          <w:spacing w:val="-1"/>
          <w:sz w:val="24"/>
          <w:szCs w:val="24"/>
        </w:rPr>
        <w:t>和</w:t>
      </w:r>
      <w:r>
        <w:rPr>
          <w:rFonts w:ascii="Times New Roman" w:hAnsi="Times New Roman" w:eastAsia="Times New Roman" w:cs="Times New Roman"/>
          <w:spacing w:val="-1"/>
          <w:sz w:val="24"/>
          <w:szCs w:val="24"/>
        </w:rPr>
        <w:t>8.37</w:t>
      </w:r>
      <w:r>
        <w:rPr>
          <w:rFonts w:ascii="宋体" w:hAnsi="宋体" w:eastAsia="宋体" w:cs="宋体"/>
          <w:spacing w:val="-1"/>
          <w:sz w:val="24"/>
          <w:szCs w:val="24"/>
        </w:rPr>
        <w:t>亿</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0"/>
          <w:position w:val="8"/>
          <w:sz w:val="15"/>
          <w:szCs w:val="15"/>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2025</w:t>
      </w:r>
      <w:r>
        <w:rPr>
          <w:rFonts w:ascii="宋体" w:hAnsi="宋体" w:eastAsia="宋体" w:cs="宋体"/>
          <w:spacing w:val="-1"/>
          <w:sz w:val="24"/>
          <w:szCs w:val="24"/>
        </w:rPr>
        <w:t>年用水总量控制指标为</w:t>
      </w:r>
      <w:r>
        <w:rPr>
          <w:rFonts w:ascii="Times New Roman" w:hAnsi="Times New Roman" w:eastAsia="Times New Roman" w:cs="Times New Roman"/>
          <w:spacing w:val="-1"/>
          <w:sz w:val="24"/>
          <w:szCs w:val="24"/>
        </w:rPr>
        <w:t>4.73</w:t>
      </w:r>
      <w:r>
        <w:rPr>
          <w:rFonts w:ascii="宋体" w:hAnsi="宋体" w:eastAsia="宋体" w:cs="宋体"/>
          <w:spacing w:val="-1"/>
          <w:sz w:val="24"/>
          <w:szCs w:val="24"/>
        </w:rPr>
        <w:t>亿</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8"/>
          <w:sz w:val="15"/>
          <w:szCs w:val="15"/>
        </w:rPr>
        <w:t xml:space="preserve">3 </w:t>
      </w:r>
      <w:r>
        <w:rPr>
          <w:rFonts w:ascii="宋体" w:hAnsi="宋体" w:eastAsia="宋体" w:cs="宋体"/>
          <w:spacing w:val="-1"/>
          <w:sz w:val="24"/>
          <w:szCs w:val="24"/>
        </w:rPr>
        <w:t>。</w:t>
      </w:r>
      <w:r>
        <w:rPr>
          <w:rFonts w:ascii="Times New Roman" w:hAnsi="Times New Roman" w:eastAsia="Times New Roman" w:cs="Times New Roman"/>
          <w:spacing w:val="-1"/>
          <w:sz w:val="24"/>
          <w:szCs w:val="24"/>
        </w:rPr>
        <w:t>20</w:t>
      </w:r>
      <w:r>
        <w:rPr>
          <w:rFonts w:ascii="Times New Roman" w:hAnsi="Times New Roman" w:eastAsia="Times New Roman" w:cs="Times New Roman"/>
          <w:spacing w:val="-2"/>
          <w:sz w:val="24"/>
          <w:szCs w:val="24"/>
        </w:rPr>
        <w:t>25</w:t>
      </w:r>
      <w:r>
        <w:rPr>
          <w:rFonts w:ascii="宋体" w:hAnsi="宋体" w:eastAsia="宋体" w:cs="宋体"/>
          <w:spacing w:val="-2"/>
          <w:sz w:val="24"/>
          <w:szCs w:val="24"/>
        </w:rPr>
        <w:t>年包括万元</w:t>
      </w:r>
      <w:r>
        <w:rPr>
          <w:rFonts w:ascii="Times New Roman" w:hAnsi="Times New Roman" w:eastAsia="Times New Roman" w:cs="Times New Roman"/>
          <w:spacing w:val="-2"/>
          <w:sz w:val="24"/>
          <w:szCs w:val="24"/>
        </w:rPr>
        <w:t>GDP</w:t>
      </w:r>
      <w:r>
        <w:rPr>
          <w:rFonts w:ascii="宋体" w:hAnsi="宋体" w:eastAsia="宋体" w:cs="宋体"/>
          <w:spacing w:val="-2"/>
          <w:sz w:val="24"/>
          <w:szCs w:val="24"/>
        </w:rPr>
        <w:t>用水量较</w:t>
      </w:r>
      <w:r>
        <w:rPr>
          <w:rFonts w:ascii="宋体" w:hAnsi="宋体" w:eastAsia="宋体" w:cs="宋体"/>
          <w:sz w:val="24"/>
          <w:szCs w:val="24"/>
        </w:rPr>
        <w:t xml:space="preserve"> </w:t>
      </w:r>
      <w:r>
        <w:rPr>
          <w:rFonts w:ascii="Times New Roman" w:hAnsi="Times New Roman" w:eastAsia="Times New Roman" w:cs="Times New Roman"/>
          <w:spacing w:val="-3"/>
          <w:sz w:val="24"/>
          <w:szCs w:val="24"/>
        </w:rPr>
        <w:t>2020</w:t>
      </w:r>
      <w:r>
        <w:rPr>
          <w:rFonts w:ascii="宋体" w:hAnsi="宋体" w:eastAsia="宋体" w:cs="宋体"/>
          <w:spacing w:val="-3"/>
          <w:sz w:val="24"/>
          <w:szCs w:val="24"/>
        </w:rPr>
        <w:t>年下降</w:t>
      </w:r>
      <w:r>
        <w:rPr>
          <w:rFonts w:ascii="Times New Roman" w:hAnsi="Times New Roman" w:eastAsia="Times New Roman" w:cs="Times New Roman"/>
          <w:spacing w:val="-3"/>
          <w:sz w:val="24"/>
          <w:szCs w:val="24"/>
        </w:rPr>
        <w:t>5.2%</w:t>
      </w:r>
      <w:r>
        <w:rPr>
          <w:rFonts w:ascii="宋体" w:hAnsi="宋体" w:eastAsia="宋体" w:cs="宋体"/>
          <w:spacing w:val="-3"/>
          <w:sz w:val="24"/>
          <w:szCs w:val="24"/>
        </w:rPr>
        <w:t>、万元工业增加值用水量较</w:t>
      </w:r>
      <w:r>
        <w:rPr>
          <w:rFonts w:ascii="Times New Roman" w:hAnsi="Times New Roman" w:eastAsia="Times New Roman" w:cs="Times New Roman"/>
          <w:spacing w:val="-3"/>
          <w:sz w:val="24"/>
          <w:szCs w:val="24"/>
        </w:rPr>
        <w:t>2020</w:t>
      </w:r>
      <w:r>
        <w:rPr>
          <w:rFonts w:ascii="宋体" w:hAnsi="宋体" w:eastAsia="宋体" w:cs="宋体"/>
          <w:spacing w:val="-3"/>
          <w:sz w:val="24"/>
          <w:szCs w:val="24"/>
        </w:rPr>
        <w:t>年下降</w:t>
      </w:r>
      <w:r>
        <w:rPr>
          <w:rFonts w:ascii="Times New Roman" w:hAnsi="Times New Roman" w:eastAsia="Times New Roman" w:cs="Times New Roman"/>
          <w:spacing w:val="-3"/>
          <w:sz w:val="24"/>
          <w:szCs w:val="24"/>
        </w:rPr>
        <w:t>5%</w:t>
      </w:r>
      <w:r>
        <w:rPr>
          <w:rFonts w:ascii="宋体" w:hAnsi="宋体" w:eastAsia="宋体" w:cs="宋体"/>
          <w:spacing w:val="-3"/>
          <w:sz w:val="24"/>
          <w:szCs w:val="24"/>
        </w:rPr>
        <w:t>、灌溉水有效利用系数</w:t>
      </w:r>
      <w:r>
        <w:rPr>
          <w:rFonts w:ascii="Times New Roman" w:hAnsi="Times New Roman" w:eastAsia="Times New Roman" w:cs="Times New Roman"/>
          <w:spacing w:val="-3"/>
          <w:sz w:val="24"/>
          <w:szCs w:val="24"/>
        </w:rPr>
        <w:t>0.765</w:t>
      </w:r>
      <w:r>
        <w:rPr>
          <w:rFonts w:ascii="宋体" w:hAnsi="宋体" w:eastAsia="宋体" w:cs="宋体"/>
          <w:spacing w:val="-3"/>
          <w:sz w:val="24"/>
          <w:szCs w:val="24"/>
        </w:rPr>
        <w:t>。</w:t>
      </w:r>
      <w:r>
        <w:rPr>
          <w:rFonts w:ascii="宋体" w:hAnsi="宋体" w:eastAsia="宋体" w:cs="宋体"/>
          <w:spacing w:val="10"/>
          <w:sz w:val="24"/>
          <w:szCs w:val="24"/>
        </w:rPr>
        <w:t xml:space="preserve"> </w:t>
      </w:r>
      <w:r>
        <w:rPr>
          <w:rFonts w:ascii="宋体" w:hAnsi="宋体" w:eastAsia="宋体" w:cs="宋体"/>
          <w:spacing w:val="1"/>
          <w:sz w:val="24"/>
          <w:szCs w:val="24"/>
        </w:rPr>
        <w:t>到</w:t>
      </w:r>
      <w:r>
        <w:rPr>
          <w:rFonts w:ascii="Times New Roman" w:hAnsi="Times New Roman" w:eastAsia="Times New Roman" w:cs="Times New Roman"/>
          <w:spacing w:val="1"/>
          <w:sz w:val="24"/>
          <w:szCs w:val="24"/>
        </w:rPr>
        <w:t>2035</w:t>
      </w:r>
      <w:r>
        <w:rPr>
          <w:rFonts w:ascii="宋体" w:hAnsi="宋体" w:eastAsia="宋体" w:cs="宋体"/>
          <w:spacing w:val="1"/>
          <w:sz w:val="24"/>
          <w:szCs w:val="24"/>
        </w:rPr>
        <w:t>年生态保护红线面积不低于</w:t>
      </w:r>
      <w:r>
        <w:rPr>
          <w:rFonts w:ascii="Times New Roman" w:hAnsi="Times New Roman" w:eastAsia="Times New Roman" w:cs="Times New Roman"/>
          <w:spacing w:val="1"/>
          <w:sz w:val="24"/>
          <w:szCs w:val="24"/>
        </w:rPr>
        <w:t>130034.4</w:t>
      </w:r>
      <w:r>
        <w:rPr>
          <w:rFonts w:ascii="Times New Roman" w:hAnsi="Times New Roman" w:eastAsia="Times New Roman" w:cs="Times New Roman"/>
          <w:sz w:val="24"/>
          <w:szCs w:val="24"/>
        </w:rPr>
        <w:t>7m</w:t>
      </w:r>
      <w:r>
        <w:rPr>
          <w:rFonts w:ascii="Times New Roman" w:hAnsi="Times New Roman" w:eastAsia="Times New Roman" w:cs="Times New Roman"/>
          <w:spacing w:val="-25"/>
          <w:sz w:val="24"/>
          <w:szCs w:val="24"/>
        </w:rPr>
        <w:t xml:space="preserve"> </w:t>
      </w:r>
      <w:r>
        <w:rPr>
          <w:rFonts w:ascii="宋体" w:hAnsi="宋体" w:eastAsia="宋体" w:cs="宋体"/>
          <w:sz w:val="24"/>
          <w:szCs w:val="24"/>
        </w:rPr>
        <w:t>，林地保有量不低于</w:t>
      </w:r>
      <w:r>
        <w:rPr>
          <w:rFonts w:ascii="Times New Roman" w:hAnsi="Times New Roman" w:eastAsia="Times New Roman" w:cs="Times New Roman"/>
          <w:sz w:val="24"/>
          <w:szCs w:val="24"/>
        </w:rPr>
        <w:t>115.05</w:t>
      </w:r>
      <w:r>
        <w:rPr>
          <w:rFonts w:ascii="宋体" w:hAnsi="宋体" w:eastAsia="宋体" w:cs="宋体"/>
          <w:sz w:val="24"/>
          <w:szCs w:val="24"/>
        </w:rPr>
        <w:t>万</w:t>
      </w:r>
      <w:r>
        <w:rPr>
          <w:rFonts w:ascii="Times New Roman" w:hAnsi="Times New Roman" w:eastAsia="Times New Roman" w:cs="Times New Roman"/>
          <w:sz w:val="24"/>
          <w:szCs w:val="24"/>
        </w:rPr>
        <w:t>hm</w:t>
      </w:r>
      <w:r>
        <w:rPr>
          <w:rFonts w:ascii="Times New Roman" w:hAnsi="Times New Roman" w:eastAsia="Times New Roman" w:cs="Times New Roman"/>
          <w:position w:val="7"/>
          <w:sz w:val="15"/>
          <w:szCs w:val="15"/>
        </w:rPr>
        <w:t xml:space="preserve">2 </w:t>
      </w:r>
      <w:r>
        <w:rPr>
          <w:rFonts w:ascii="宋体" w:hAnsi="宋体" w:eastAsia="宋体" w:cs="宋体"/>
          <w:sz w:val="24"/>
          <w:szCs w:val="24"/>
        </w:rPr>
        <w:t xml:space="preserve">，基本 </w:t>
      </w:r>
      <w:r>
        <w:rPr>
          <w:rFonts w:ascii="宋体" w:hAnsi="宋体" w:eastAsia="宋体" w:cs="宋体"/>
          <w:spacing w:val="1"/>
          <w:sz w:val="24"/>
          <w:szCs w:val="24"/>
        </w:rPr>
        <w:t>草原面积不低于</w:t>
      </w:r>
      <w:r>
        <w:rPr>
          <w:rFonts w:ascii="Times New Roman" w:hAnsi="Times New Roman" w:eastAsia="Times New Roman" w:cs="Times New Roman"/>
          <w:spacing w:val="1"/>
          <w:sz w:val="24"/>
          <w:szCs w:val="24"/>
        </w:rPr>
        <w:t>24384.84</w:t>
      </w:r>
      <w:r>
        <w:rPr>
          <w:rFonts w:ascii="宋体" w:hAnsi="宋体" w:eastAsia="宋体" w:cs="宋体"/>
          <w:spacing w:val="1"/>
          <w:sz w:val="24"/>
          <w:szCs w:val="24"/>
        </w:rPr>
        <w:t>万亩，耕地保有量保持在</w:t>
      </w:r>
      <w:r>
        <w:rPr>
          <w:rFonts w:ascii="Times New Roman" w:hAnsi="Times New Roman" w:eastAsia="Times New Roman" w:cs="Times New Roman"/>
          <w:spacing w:val="1"/>
          <w:sz w:val="24"/>
          <w:szCs w:val="24"/>
        </w:rPr>
        <w:t>461.</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1"/>
          <w:sz w:val="24"/>
          <w:szCs w:val="24"/>
        </w:rPr>
        <w:t>17</w:t>
      </w:r>
      <w:r>
        <w:rPr>
          <w:rFonts w:ascii="宋体" w:hAnsi="宋体" w:eastAsia="宋体" w:cs="宋体"/>
          <w:spacing w:val="1"/>
          <w:sz w:val="24"/>
          <w:szCs w:val="24"/>
        </w:rPr>
        <w:t>万亩，永久</w:t>
      </w:r>
      <w:r>
        <w:rPr>
          <w:rFonts w:ascii="宋体" w:hAnsi="宋体" w:eastAsia="宋体" w:cs="宋体"/>
          <w:sz w:val="24"/>
          <w:szCs w:val="24"/>
        </w:rPr>
        <w:t xml:space="preserve">基本农田保护面积 </w:t>
      </w:r>
      <w:r>
        <w:rPr>
          <w:rFonts w:ascii="宋体" w:hAnsi="宋体" w:eastAsia="宋体" w:cs="宋体"/>
          <w:spacing w:val="-1"/>
          <w:sz w:val="24"/>
          <w:szCs w:val="24"/>
        </w:rPr>
        <w:t>保持在</w:t>
      </w:r>
      <w:r>
        <w:rPr>
          <w:rFonts w:ascii="Times New Roman" w:hAnsi="Times New Roman" w:eastAsia="Times New Roman" w:cs="Times New Roman"/>
          <w:spacing w:val="-1"/>
          <w:sz w:val="24"/>
          <w:szCs w:val="24"/>
        </w:rPr>
        <w:t>289.21</w:t>
      </w:r>
      <w:r>
        <w:rPr>
          <w:rFonts w:ascii="宋体" w:hAnsi="宋体" w:eastAsia="宋体" w:cs="宋体"/>
          <w:spacing w:val="-1"/>
          <w:sz w:val="24"/>
          <w:szCs w:val="24"/>
        </w:rPr>
        <w:t>万</w:t>
      </w:r>
      <w:r>
        <w:rPr>
          <w:rFonts w:ascii="Times New Roman" w:hAnsi="Times New Roman" w:eastAsia="Times New Roman" w:cs="Times New Roman"/>
          <w:spacing w:val="-1"/>
          <w:sz w:val="24"/>
          <w:szCs w:val="24"/>
        </w:rPr>
        <w:t>hm</w:t>
      </w:r>
      <w:r>
        <w:rPr>
          <w:rFonts w:ascii="Times New Roman" w:hAnsi="Times New Roman" w:eastAsia="Times New Roman" w:cs="Times New Roman"/>
          <w:spacing w:val="-1"/>
          <w:position w:val="7"/>
          <w:sz w:val="15"/>
          <w:szCs w:val="15"/>
        </w:rPr>
        <w:t>2</w:t>
      </w:r>
      <w:r>
        <w:rPr>
          <w:rFonts w:ascii="Times New Roman" w:hAnsi="Times New Roman" w:eastAsia="Times New Roman" w:cs="Times New Roman"/>
          <w:spacing w:val="-3"/>
          <w:position w:val="7"/>
          <w:sz w:val="15"/>
          <w:szCs w:val="15"/>
        </w:rPr>
        <w:t xml:space="preserve"> </w:t>
      </w:r>
      <w:r>
        <w:rPr>
          <w:rFonts w:ascii="宋体" w:hAnsi="宋体" w:eastAsia="宋体" w:cs="宋体"/>
          <w:spacing w:val="-1"/>
          <w:sz w:val="24"/>
          <w:szCs w:val="24"/>
        </w:rPr>
        <w:t>，新增国土修复面积达</w:t>
      </w:r>
      <w:r>
        <w:rPr>
          <w:rFonts w:ascii="Times New Roman" w:hAnsi="Times New Roman" w:eastAsia="Times New Roman" w:cs="Times New Roman"/>
          <w:spacing w:val="-1"/>
          <w:sz w:val="24"/>
          <w:szCs w:val="24"/>
        </w:rPr>
        <w:t>351.38</w:t>
      </w:r>
      <w:r>
        <w:rPr>
          <w:rFonts w:ascii="宋体" w:hAnsi="宋体" w:eastAsia="宋体" w:cs="宋体"/>
          <w:spacing w:val="-1"/>
          <w:sz w:val="24"/>
          <w:szCs w:val="24"/>
        </w:rPr>
        <w:t>万</w:t>
      </w:r>
      <w:r>
        <w:rPr>
          <w:rFonts w:ascii="Times New Roman" w:hAnsi="Times New Roman" w:eastAsia="Times New Roman" w:cs="Times New Roman"/>
          <w:spacing w:val="-1"/>
          <w:sz w:val="24"/>
          <w:szCs w:val="24"/>
        </w:rPr>
        <w:t>hm</w:t>
      </w:r>
      <w:r>
        <w:rPr>
          <w:rFonts w:ascii="Times New Roman" w:hAnsi="Times New Roman" w:eastAsia="Times New Roman" w:cs="Times New Roman"/>
          <w:spacing w:val="-1"/>
          <w:position w:val="7"/>
          <w:sz w:val="15"/>
          <w:szCs w:val="15"/>
        </w:rPr>
        <w:t xml:space="preserve">2 </w:t>
      </w:r>
      <w:r>
        <w:rPr>
          <w:rFonts w:ascii="宋体" w:hAnsi="宋体" w:eastAsia="宋体" w:cs="宋体"/>
          <w:spacing w:val="-1"/>
          <w:sz w:val="24"/>
          <w:szCs w:val="24"/>
        </w:rPr>
        <w:t>。到</w:t>
      </w:r>
      <w:r>
        <w:rPr>
          <w:rFonts w:ascii="Times New Roman" w:hAnsi="Times New Roman" w:eastAsia="Times New Roman" w:cs="Times New Roman"/>
          <w:spacing w:val="-1"/>
          <w:sz w:val="24"/>
          <w:szCs w:val="24"/>
        </w:rPr>
        <w:t>2035</w:t>
      </w:r>
      <w:r>
        <w:rPr>
          <w:rFonts w:ascii="宋体" w:hAnsi="宋体" w:eastAsia="宋体" w:cs="宋体"/>
          <w:spacing w:val="-1"/>
          <w:sz w:val="24"/>
          <w:szCs w:val="24"/>
        </w:rPr>
        <w:t>年，全盟国土开发强度</w:t>
      </w:r>
    </w:p>
    <w:p w14:paraId="3083B45A">
      <w:pPr>
        <w:spacing w:line="354" w:lineRule="auto"/>
        <w:rPr>
          <w:rFonts w:ascii="宋体" w:hAnsi="宋体" w:eastAsia="宋体" w:cs="宋体"/>
          <w:sz w:val="24"/>
          <w:szCs w:val="24"/>
        </w:rPr>
        <w:sectPr>
          <w:headerReference r:id="rId29" w:type="default"/>
          <w:footerReference r:id="rId30" w:type="default"/>
          <w:pgSz w:w="11906" w:h="16839"/>
          <w:pgMar w:top="1178" w:right="1337" w:bottom="1212" w:left="1417" w:header="870" w:footer="1025" w:gutter="0"/>
          <w:cols w:space="720" w:num="1"/>
        </w:sectPr>
      </w:pPr>
    </w:p>
    <w:p w14:paraId="7DE01A89">
      <w:pPr>
        <w:spacing w:before="273" w:line="353" w:lineRule="auto"/>
        <w:ind w:left="7" w:right="61"/>
        <w:jc w:val="both"/>
        <w:rPr>
          <w:rFonts w:ascii="宋体" w:hAnsi="宋体" w:eastAsia="宋体" w:cs="宋体"/>
          <w:sz w:val="24"/>
          <w:szCs w:val="24"/>
        </w:rPr>
      </w:pPr>
      <w:r>
        <w:pict>
          <v:shape id="_x0000_s1043" o:spid="_x0000_s1043" style="position:absolute;left:0pt;margin-left:70.85pt;margin-top:59.65pt;height:0.75pt;width:453.65pt;mso-position-horizontal-relative:page;mso-position-vertical-relative:page;z-index:25167769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spacing w:val="-1"/>
          <w:sz w:val="24"/>
          <w:szCs w:val="24"/>
        </w:rPr>
        <w:t>控制在</w:t>
      </w:r>
      <w:r>
        <w:rPr>
          <w:rFonts w:ascii="Times New Roman" w:hAnsi="Times New Roman" w:eastAsia="Times New Roman" w:cs="Times New Roman"/>
          <w:spacing w:val="-1"/>
          <w:sz w:val="24"/>
          <w:szCs w:val="24"/>
        </w:rPr>
        <w:t>0.77%</w:t>
      </w:r>
      <w:r>
        <w:rPr>
          <w:rFonts w:ascii="宋体" w:hAnsi="宋体" w:eastAsia="宋体" w:cs="宋体"/>
          <w:spacing w:val="-1"/>
          <w:sz w:val="24"/>
          <w:szCs w:val="24"/>
        </w:rPr>
        <w:t>以内，城乡建设用地总规模控制在</w:t>
      </w:r>
      <w:r>
        <w:rPr>
          <w:rFonts w:ascii="Times New Roman" w:hAnsi="Times New Roman" w:eastAsia="Times New Roman" w:cs="Times New Roman"/>
          <w:spacing w:val="-1"/>
          <w:sz w:val="24"/>
          <w:szCs w:val="24"/>
        </w:rPr>
        <w:t>660</w:t>
      </w:r>
      <w:r>
        <w:rPr>
          <w:rFonts w:ascii="Times New Roman" w:hAnsi="Times New Roman" w:eastAsia="Times New Roman" w:cs="Times New Roman"/>
          <w:spacing w:val="-2"/>
          <w:sz w:val="24"/>
          <w:szCs w:val="24"/>
        </w:rPr>
        <w:t>.82</w:t>
      </w:r>
      <w:r>
        <w:rPr>
          <w:rFonts w:ascii="宋体" w:hAnsi="宋体" w:eastAsia="宋体" w:cs="宋体"/>
          <w:spacing w:val="-2"/>
          <w:sz w:val="24"/>
          <w:szCs w:val="24"/>
        </w:rPr>
        <w:t>万</w:t>
      </w:r>
      <w:r>
        <w:rPr>
          <w:rFonts w:ascii="Times New Roman" w:hAnsi="Times New Roman" w:eastAsia="Times New Roman" w:cs="Times New Roman"/>
          <w:spacing w:val="-2"/>
          <w:sz w:val="24"/>
          <w:szCs w:val="24"/>
        </w:rPr>
        <w:t>hm</w:t>
      </w:r>
      <w:r>
        <w:rPr>
          <w:rFonts w:ascii="Times New Roman" w:hAnsi="Times New Roman" w:eastAsia="Times New Roman" w:cs="Times New Roman"/>
          <w:spacing w:val="-2"/>
          <w:position w:val="8"/>
          <w:sz w:val="15"/>
          <w:szCs w:val="15"/>
        </w:rPr>
        <w:t>2</w:t>
      </w:r>
      <w:r>
        <w:rPr>
          <w:rFonts w:ascii="Times New Roman" w:hAnsi="Times New Roman" w:eastAsia="Times New Roman" w:cs="Times New Roman"/>
          <w:spacing w:val="-9"/>
          <w:position w:val="8"/>
          <w:sz w:val="15"/>
          <w:szCs w:val="15"/>
        </w:rPr>
        <w:t xml:space="preserve"> </w:t>
      </w:r>
      <w:r>
        <w:rPr>
          <w:rFonts w:ascii="宋体" w:hAnsi="宋体" w:eastAsia="宋体" w:cs="宋体"/>
          <w:spacing w:val="-2"/>
          <w:sz w:val="24"/>
          <w:szCs w:val="24"/>
        </w:rPr>
        <w:t>；到</w:t>
      </w:r>
      <w:r>
        <w:rPr>
          <w:rFonts w:ascii="Times New Roman" w:hAnsi="Times New Roman" w:eastAsia="Times New Roman" w:cs="Times New Roman"/>
          <w:spacing w:val="-2"/>
          <w:sz w:val="24"/>
          <w:szCs w:val="24"/>
        </w:rPr>
        <w:t>2025</w:t>
      </w:r>
      <w:r>
        <w:rPr>
          <w:rFonts w:ascii="宋体" w:hAnsi="宋体" w:eastAsia="宋体" w:cs="宋体"/>
          <w:spacing w:val="-2"/>
          <w:sz w:val="24"/>
          <w:szCs w:val="24"/>
        </w:rPr>
        <w:t>年，新能源发电装</w:t>
      </w:r>
      <w:r>
        <w:rPr>
          <w:rFonts w:ascii="宋体" w:hAnsi="宋体" w:eastAsia="宋体" w:cs="宋体"/>
          <w:sz w:val="24"/>
          <w:szCs w:val="24"/>
        </w:rPr>
        <w:t xml:space="preserve"> </w:t>
      </w:r>
      <w:r>
        <w:rPr>
          <w:rFonts w:ascii="宋体" w:hAnsi="宋体" w:eastAsia="宋体" w:cs="宋体"/>
          <w:spacing w:val="-1"/>
          <w:sz w:val="24"/>
          <w:szCs w:val="24"/>
        </w:rPr>
        <w:t>机容量达到</w:t>
      </w:r>
      <w:r>
        <w:rPr>
          <w:rFonts w:ascii="Times New Roman" w:hAnsi="Times New Roman" w:eastAsia="Times New Roman" w:cs="Times New Roman"/>
          <w:spacing w:val="-1"/>
          <w:sz w:val="24"/>
          <w:szCs w:val="24"/>
        </w:rPr>
        <w:t>2300</w:t>
      </w:r>
      <w:r>
        <w:rPr>
          <w:rFonts w:ascii="宋体" w:hAnsi="宋体" w:eastAsia="宋体" w:cs="宋体"/>
          <w:spacing w:val="-1"/>
          <w:sz w:val="24"/>
          <w:szCs w:val="24"/>
        </w:rPr>
        <w:t>万千瓦左右，非石化能源消费</w:t>
      </w:r>
      <w:r>
        <w:rPr>
          <w:rFonts w:ascii="宋体" w:hAnsi="宋体" w:eastAsia="宋体" w:cs="宋体"/>
          <w:spacing w:val="-2"/>
          <w:sz w:val="24"/>
          <w:szCs w:val="24"/>
        </w:rPr>
        <w:t>比重超过自治区平均水平，全盟单位地区</w:t>
      </w:r>
      <w:r>
        <w:rPr>
          <w:rFonts w:ascii="宋体" w:hAnsi="宋体" w:eastAsia="宋体" w:cs="宋体"/>
          <w:sz w:val="24"/>
          <w:szCs w:val="24"/>
        </w:rPr>
        <w:t xml:space="preserve"> </w:t>
      </w:r>
      <w:r>
        <w:rPr>
          <w:rFonts w:ascii="宋体" w:hAnsi="宋体" w:eastAsia="宋体" w:cs="宋体"/>
          <w:spacing w:val="5"/>
          <w:sz w:val="24"/>
          <w:szCs w:val="24"/>
        </w:rPr>
        <w:t>生产总值能源消耗和单位地区生产总值二氧化碳排放下降率完成自治区约束性</w:t>
      </w:r>
      <w:r>
        <w:rPr>
          <w:rFonts w:ascii="宋体" w:hAnsi="宋体" w:eastAsia="宋体" w:cs="宋体"/>
          <w:spacing w:val="4"/>
          <w:sz w:val="24"/>
          <w:szCs w:val="24"/>
        </w:rPr>
        <w:t>目标任</w:t>
      </w:r>
      <w:r>
        <w:rPr>
          <w:rFonts w:ascii="宋体" w:hAnsi="宋体" w:eastAsia="宋体" w:cs="宋体"/>
          <w:sz w:val="24"/>
          <w:szCs w:val="24"/>
        </w:rPr>
        <w:t xml:space="preserve"> </w:t>
      </w:r>
      <w:r>
        <w:rPr>
          <w:rFonts w:ascii="宋体" w:hAnsi="宋体" w:eastAsia="宋体" w:cs="宋体"/>
          <w:spacing w:val="-5"/>
          <w:sz w:val="24"/>
          <w:szCs w:val="24"/>
        </w:rPr>
        <w:t>务。</w:t>
      </w:r>
    </w:p>
    <w:p w14:paraId="291D84F2">
      <w:pPr>
        <w:spacing w:before="30" w:line="353" w:lineRule="auto"/>
        <w:ind w:left="12" w:right="61" w:firstLine="480"/>
        <w:rPr>
          <w:rFonts w:ascii="宋体" w:hAnsi="宋体" w:eastAsia="宋体" w:cs="宋体"/>
          <w:sz w:val="24"/>
          <w:szCs w:val="24"/>
        </w:rPr>
      </w:pPr>
      <w:r>
        <w:rPr>
          <w:rFonts w:ascii="宋体" w:hAnsi="宋体" w:eastAsia="宋体" w:cs="宋体"/>
          <w:spacing w:val="-1"/>
          <w:sz w:val="24"/>
          <w:szCs w:val="24"/>
        </w:rPr>
        <w:t>项目资源利用包括水、电，由园区基础设施及</w:t>
      </w:r>
      <w:r>
        <w:rPr>
          <w:rFonts w:ascii="Times New Roman" w:hAnsi="Times New Roman" w:eastAsia="Times New Roman" w:cs="Times New Roman"/>
          <w:spacing w:val="-1"/>
          <w:sz w:val="24"/>
          <w:szCs w:val="24"/>
        </w:rPr>
        <w:t>“</w:t>
      </w:r>
      <w:r>
        <w:rPr>
          <w:rFonts w:ascii="宋体" w:hAnsi="宋体" w:eastAsia="宋体" w:cs="宋体"/>
          <w:spacing w:val="-1"/>
          <w:sz w:val="24"/>
          <w:szCs w:val="24"/>
        </w:rPr>
        <w:t>源网荷储一体化</w:t>
      </w:r>
      <w:r>
        <w:rPr>
          <w:rFonts w:ascii="Times New Roman" w:hAnsi="Times New Roman" w:eastAsia="Times New Roman" w:cs="Times New Roman"/>
          <w:spacing w:val="-1"/>
          <w:sz w:val="24"/>
          <w:szCs w:val="24"/>
        </w:rPr>
        <w:t>”</w:t>
      </w:r>
      <w:r>
        <w:rPr>
          <w:rFonts w:ascii="宋体" w:hAnsi="宋体" w:eastAsia="宋体" w:cs="宋体"/>
          <w:spacing w:val="-1"/>
          <w:sz w:val="24"/>
          <w:szCs w:val="24"/>
        </w:rPr>
        <w:t>项目等提供，本项</w:t>
      </w:r>
      <w:r>
        <w:rPr>
          <w:rFonts w:ascii="宋体" w:hAnsi="宋体" w:eastAsia="宋体" w:cs="宋体"/>
          <w:spacing w:val="1"/>
          <w:sz w:val="24"/>
          <w:szCs w:val="24"/>
        </w:rPr>
        <w:t xml:space="preserve"> </w:t>
      </w:r>
      <w:r>
        <w:rPr>
          <w:rFonts w:ascii="宋体" w:hAnsi="宋体" w:eastAsia="宋体" w:cs="宋体"/>
          <w:spacing w:val="-2"/>
          <w:sz w:val="24"/>
          <w:szCs w:val="24"/>
        </w:rPr>
        <w:t>目建成运行后通过内部管理、设备选择、原辅材料的选用和管理、废物回收利用及污染</w:t>
      </w:r>
      <w:r>
        <w:rPr>
          <w:rFonts w:ascii="宋体" w:hAnsi="宋体" w:eastAsia="宋体" w:cs="宋体"/>
          <w:spacing w:val="13"/>
          <w:sz w:val="24"/>
          <w:szCs w:val="24"/>
        </w:rPr>
        <w:t xml:space="preserve"> </w:t>
      </w:r>
      <w:r>
        <w:rPr>
          <w:rFonts w:ascii="宋体" w:hAnsi="宋体" w:eastAsia="宋体" w:cs="宋体"/>
          <w:spacing w:val="-1"/>
          <w:sz w:val="24"/>
          <w:szCs w:val="24"/>
        </w:rPr>
        <w:t>治理等多方面采取可行的防治措施，以</w:t>
      </w:r>
      <w:r>
        <w:rPr>
          <w:rFonts w:ascii="Times New Roman" w:hAnsi="Times New Roman" w:eastAsia="Times New Roman" w:cs="Times New Roman"/>
          <w:spacing w:val="-1"/>
          <w:sz w:val="24"/>
          <w:szCs w:val="24"/>
        </w:rPr>
        <w:t>“</w:t>
      </w:r>
      <w:r>
        <w:rPr>
          <w:rFonts w:ascii="宋体" w:hAnsi="宋体" w:eastAsia="宋体" w:cs="宋体"/>
          <w:spacing w:val="-1"/>
          <w:sz w:val="24"/>
          <w:szCs w:val="24"/>
        </w:rPr>
        <w:t>节能、降耗、减污</w:t>
      </w:r>
      <w:r>
        <w:rPr>
          <w:rFonts w:ascii="Times New Roman" w:hAnsi="Times New Roman" w:eastAsia="Times New Roman" w:cs="Times New Roman"/>
          <w:spacing w:val="-1"/>
          <w:sz w:val="24"/>
          <w:szCs w:val="24"/>
        </w:rPr>
        <w:t>”</w:t>
      </w:r>
      <w:r>
        <w:rPr>
          <w:rFonts w:ascii="宋体" w:hAnsi="宋体" w:eastAsia="宋体" w:cs="宋体"/>
          <w:spacing w:val="-1"/>
          <w:sz w:val="24"/>
          <w:szCs w:val="24"/>
        </w:rPr>
        <w:t>为目标，有效的控制污染，</w:t>
      </w:r>
      <w:r>
        <w:rPr>
          <w:rFonts w:ascii="宋体" w:hAnsi="宋体" w:eastAsia="宋体" w:cs="宋体"/>
          <w:spacing w:val="3"/>
          <w:sz w:val="24"/>
          <w:szCs w:val="24"/>
        </w:rPr>
        <w:t xml:space="preserve"> </w:t>
      </w:r>
      <w:r>
        <w:rPr>
          <w:rFonts w:ascii="宋体" w:hAnsi="宋体" w:eastAsia="宋体" w:cs="宋体"/>
          <w:spacing w:val="-1"/>
          <w:sz w:val="24"/>
          <w:szCs w:val="24"/>
        </w:rPr>
        <w:t>项目的水、电等资源不会突破区域的资源利用上线</w:t>
      </w:r>
    </w:p>
    <w:p w14:paraId="67DAD45A">
      <w:pPr>
        <w:spacing w:before="33"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）环境准入清单</w:t>
      </w:r>
    </w:p>
    <w:p w14:paraId="7111206E">
      <w:pPr>
        <w:spacing w:before="182" w:line="354" w:lineRule="auto"/>
        <w:ind w:left="7" w:firstLine="480"/>
        <w:rPr>
          <w:rFonts w:ascii="宋体" w:hAnsi="宋体" w:eastAsia="宋体" w:cs="宋体"/>
          <w:sz w:val="24"/>
          <w:szCs w:val="24"/>
        </w:rPr>
      </w:pPr>
      <w:r>
        <w:rPr>
          <w:rFonts w:ascii="宋体" w:hAnsi="宋体" w:eastAsia="宋体" w:cs="宋体"/>
          <w:spacing w:val="-6"/>
          <w:sz w:val="24"/>
          <w:szCs w:val="24"/>
        </w:rPr>
        <w:t>根据《锡林郭勒盟生态环境准入清单》中锡林郭勒</w:t>
      </w:r>
      <w:r>
        <w:rPr>
          <w:rFonts w:ascii="宋体" w:hAnsi="宋体" w:eastAsia="宋体" w:cs="宋体"/>
          <w:spacing w:val="-7"/>
          <w:sz w:val="24"/>
          <w:szCs w:val="24"/>
        </w:rPr>
        <w:t>盟苏尼特右旗生态环境准入清单，</w:t>
      </w:r>
      <w:r>
        <w:rPr>
          <w:rFonts w:ascii="宋体" w:hAnsi="宋体" w:eastAsia="宋体" w:cs="宋体"/>
          <w:sz w:val="24"/>
          <w:szCs w:val="24"/>
        </w:rPr>
        <w:t xml:space="preserve"> </w:t>
      </w:r>
      <w:r>
        <w:rPr>
          <w:rFonts w:ascii="宋体" w:hAnsi="宋体" w:eastAsia="宋体" w:cs="宋体"/>
          <w:spacing w:val="-2"/>
          <w:sz w:val="24"/>
          <w:szCs w:val="24"/>
        </w:rPr>
        <w:t>本项目位于内蒙古锡林郭勒苏尼特经济开发区朱日和产业园冶金产业园区（环境管控单</w:t>
      </w:r>
      <w:r>
        <w:rPr>
          <w:rFonts w:ascii="宋体" w:hAnsi="宋体" w:eastAsia="宋体" w:cs="宋体"/>
          <w:spacing w:val="18"/>
          <w:sz w:val="24"/>
          <w:szCs w:val="24"/>
        </w:rPr>
        <w:t xml:space="preserve"> </w:t>
      </w:r>
      <w:r>
        <w:rPr>
          <w:rFonts w:ascii="宋体" w:hAnsi="宋体" w:eastAsia="宋体" w:cs="宋体"/>
          <w:spacing w:val="-1"/>
          <w:sz w:val="24"/>
          <w:szCs w:val="24"/>
        </w:rPr>
        <w:t>元编码</w:t>
      </w:r>
      <w:r>
        <w:rPr>
          <w:rFonts w:ascii="Times New Roman" w:hAnsi="Times New Roman" w:eastAsia="Times New Roman" w:cs="Times New Roman"/>
          <w:spacing w:val="-1"/>
          <w:sz w:val="24"/>
          <w:szCs w:val="24"/>
        </w:rPr>
        <w:t>ZH15252420004</w:t>
      </w:r>
      <w:r>
        <w:rPr>
          <w:rFonts w:ascii="宋体" w:hAnsi="宋体" w:eastAsia="宋体" w:cs="宋体"/>
          <w:spacing w:val="12"/>
          <w:sz w:val="24"/>
          <w:szCs w:val="24"/>
        </w:rPr>
        <w:t>），</w:t>
      </w:r>
      <w:r>
        <w:rPr>
          <w:rFonts w:ascii="宋体" w:hAnsi="宋体" w:eastAsia="宋体" w:cs="宋体"/>
          <w:spacing w:val="-1"/>
          <w:sz w:val="24"/>
          <w:szCs w:val="24"/>
        </w:rPr>
        <w:t>属于重点管控单元，本项目建设满足朱日和工业园区管控要</w:t>
      </w:r>
      <w:r>
        <w:rPr>
          <w:rFonts w:ascii="宋体" w:hAnsi="宋体" w:eastAsia="宋体" w:cs="宋体"/>
          <w:sz w:val="24"/>
          <w:szCs w:val="24"/>
        </w:rPr>
        <w:t xml:space="preserve"> </w:t>
      </w:r>
      <w:r>
        <w:rPr>
          <w:rFonts w:ascii="宋体" w:hAnsi="宋体" w:eastAsia="宋体" w:cs="宋体"/>
          <w:spacing w:val="-2"/>
          <w:sz w:val="24"/>
          <w:szCs w:val="24"/>
        </w:rPr>
        <w:t>求中空间布局约束、污染物排放管控、环境风险防控、资源利用效率要求，具体分析见</w:t>
      </w:r>
      <w:r>
        <w:rPr>
          <w:rFonts w:ascii="宋体" w:hAnsi="宋体" w:eastAsia="宋体" w:cs="宋体"/>
          <w:spacing w:val="18"/>
          <w:sz w:val="24"/>
          <w:szCs w:val="24"/>
        </w:rPr>
        <w:t xml:space="preserve"> </w:t>
      </w:r>
      <w:r>
        <w:rPr>
          <w:rFonts w:ascii="宋体" w:hAnsi="宋体" w:eastAsia="宋体" w:cs="宋体"/>
          <w:spacing w:val="-3"/>
          <w:sz w:val="24"/>
          <w:szCs w:val="24"/>
        </w:rPr>
        <w:t>表</w:t>
      </w:r>
      <w:r>
        <w:rPr>
          <w:rFonts w:ascii="Times New Roman" w:hAnsi="Times New Roman" w:eastAsia="Times New Roman" w:cs="Times New Roman"/>
          <w:spacing w:val="-3"/>
          <w:sz w:val="24"/>
          <w:szCs w:val="24"/>
        </w:rPr>
        <w:t>3</w:t>
      </w:r>
      <w:r>
        <w:rPr>
          <w:rFonts w:ascii="宋体" w:hAnsi="宋体" w:eastAsia="宋体" w:cs="宋体"/>
          <w:spacing w:val="-3"/>
          <w:sz w:val="24"/>
          <w:szCs w:val="24"/>
        </w:rPr>
        <w:t>。</w:t>
      </w:r>
    </w:p>
    <w:p w14:paraId="017EE4F2">
      <w:pPr>
        <w:spacing w:before="33" w:line="219" w:lineRule="auto"/>
        <w:ind w:left="488"/>
        <w:rPr>
          <w:rFonts w:ascii="宋体" w:hAnsi="宋体" w:eastAsia="宋体" w:cs="宋体"/>
          <w:sz w:val="24"/>
          <w:szCs w:val="24"/>
        </w:rPr>
      </w:pPr>
      <w:r>
        <w:rPr>
          <w:rFonts w:ascii="宋体" w:hAnsi="宋体" w:eastAsia="宋体" w:cs="宋体"/>
          <w:spacing w:val="-2"/>
          <w:sz w:val="24"/>
          <w:szCs w:val="24"/>
        </w:rPr>
        <w:t>根据表</w:t>
      </w:r>
      <w:r>
        <w:rPr>
          <w:rFonts w:ascii="Times New Roman" w:hAnsi="Times New Roman" w:eastAsia="Times New Roman" w:cs="Times New Roman"/>
          <w:spacing w:val="-2"/>
          <w:sz w:val="24"/>
          <w:szCs w:val="24"/>
        </w:rPr>
        <w:t>3</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，本项目总体上能够符合</w:t>
      </w:r>
      <w:r>
        <w:rPr>
          <w:rFonts w:ascii="Times New Roman" w:hAnsi="Times New Roman" w:eastAsia="Times New Roman" w:cs="Times New Roman"/>
          <w:spacing w:val="-2"/>
          <w:sz w:val="24"/>
          <w:szCs w:val="24"/>
        </w:rPr>
        <w:t>“</w:t>
      </w:r>
      <w:r>
        <w:rPr>
          <w:rFonts w:ascii="宋体" w:hAnsi="宋体" w:eastAsia="宋体" w:cs="宋体"/>
          <w:spacing w:val="-2"/>
          <w:sz w:val="24"/>
          <w:szCs w:val="24"/>
        </w:rPr>
        <w:t>三线一单</w:t>
      </w:r>
      <w:r>
        <w:rPr>
          <w:rFonts w:ascii="Times New Roman" w:hAnsi="Times New Roman" w:eastAsia="Times New Roman" w:cs="Times New Roman"/>
          <w:spacing w:val="-2"/>
          <w:sz w:val="24"/>
          <w:szCs w:val="24"/>
        </w:rPr>
        <w:t>”</w:t>
      </w:r>
      <w:r>
        <w:rPr>
          <w:rFonts w:ascii="宋体" w:hAnsi="宋体" w:eastAsia="宋体" w:cs="宋体"/>
          <w:spacing w:val="-2"/>
          <w:sz w:val="24"/>
          <w:szCs w:val="24"/>
        </w:rPr>
        <w:t>的管理要求。</w:t>
      </w:r>
    </w:p>
    <w:p w14:paraId="6BCB5D64">
      <w:pPr>
        <w:spacing w:line="219" w:lineRule="auto"/>
        <w:rPr>
          <w:rFonts w:ascii="宋体" w:hAnsi="宋体" w:eastAsia="宋体" w:cs="宋体"/>
          <w:sz w:val="24"/>
          <w:szCs w:val="24"/>
        </w:rPr>
        <w:sectPr>
          <w:headerReference r:id="rId31" w:type="default"/>
          <w:footerReference r:id="rId32" w:type="default"/>
          <w:pgSz w:w="11906" w:h="16839"/>
          <w:pgMar w:top="1178" w:right="1356" w:bottom="1212" w:left="1417" w:header="870" w:footer="1025" w:gutter="0"/>
          <w:cols w:space="720" w:num="1"/>
        </w:sectPr>
      </w:pPr>
    </w:p>
    <w:p w14:paraId="177CE543">
      <w:pPr>
        <w:pStyle w:val="2"/>
        <w:spacing w:line="315" w:lineRule="auto"/>
      </w:pPr>
      <w:r>
        <w:pict>
          <v:shape id="_x0000_s1044" o:spid="_x0000_s1044" style="position:absolute;left:0pt;margin-left:5.4pt;margin-top:0.7pt;height:0.75pt;width:700.1pt;z-index:251678720;mso-width-relative:page;mso-height-relative:page;" fillcolor="#000000" filled="t" stroked="f" coordsize="14001,15" path="m0,0l14001,0,14001,14,0,14,0,0xe">
            <v:path/>
            <v:fill on="t" focussize="0,0"/>
            <v:stroke on="f"/>
            <v:imagedata o:title=""/>
            <o:lock v:ext="edit"/>
          </v:shape>
        </w:pict>
      </w:r>
    </w:p>
    <w:p w14:paraId="68ACAFBA">
      <w:pPr>
        <w:spacing w:before="65" w:line="228" w:lineRule="auto"/>
        <w:ind w:left="5719"/>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5"/>
          <w:sz w:val="20"/>
          <w:szCs w:val="20"/>
        </w:rPr>
        <w:t xml:space="preserve"> </w:t>
      </w:r>
      <w:r>
        <w:rPr>
          <w:rFonts w:ascii="Times New Roman" w:hAnsi="Times New Roman" w:eastAsia="Times New Roman" w:cs="Times New Roman"/>
          <w:b/>
          <w:bCs/>
          <w:spacing w:val="4"/>
          <w:sz w:val="20"/>
          <w:szCs w:val="20"/>
        </w:rPr>
        <w:t xml:space="preserve">3          </w:t>
      </w:r>
      <w:r>
        <w:rPr>
          <w:rFonts w:ascii="宋体" w:hAnsi="宋体" w:eastAsia="宋体" w:cs="宋体"/>
          <w:b/>
          <w:bCs/>
          <w:spacing w:val="4"/>
          <w:sz w:val="20"/>
          <w:szCs w:val="20"/>
        </w:rPr>
        <w:t>生态环境准入符合性</w:t>
      </w:r>
    </w:p>
    <w:p w14:paraId="372379C9">
      <w:pPr>
        <w:spacing w:line="131" w:lineRule="exact"/>
      </w:pPr>
    </w:p>
    <w:tbl>
      <w:tblPr>
        <w:tblStyle w:val="5"/>
        <w:tblW w:w="142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7"/>
        <w:gridCol w:w="1112"/>
        <w:gridCol w:w="650"/>
        <w:gridCol w:w="7263"/>
        <w:gridCol w:w="3451"/>
        <w:gridCol w:w="685"/>
      </w:tblGrid>
      <w:tr w14:paraId="7E4044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atLeast"/>
        </w:trPr>
        <w:tc>
          <w:tcPr>
            <w:tcW w:w="1057" w:type="dxa"/>
            <w:tcBorders>
              <w:top w:val="single" w:color="000000" w:sz="10" w:space="0"/>
              <w:left w:val="nil"/>
            </w:tcBorders>
            <w:vAlign w:val="top"/>
          </w:tcPr>
          <w:p w14:paraId="2FD4B38E">
            <w:pPr>
              <w:pStyle w:val="6"/>
              <w:spacing w:before="48" w:line="234" w:lineRule="auto"/>
              <w:ind w:left="127" w:right="96" w:hanging="1"/>
              <w:rPr>
                <w:sz w:val="20"/>
                <w:szCs w:val="20"/>
              </w:rPr>
            </w:pPr>
            <w:r>
              <w:rPr>
                <w:spacing w:val="7"/>
                <w:sz w:val="20"/>
                <w:szCs w:val="20"/>
              </w:rPr>
              <w:t>环境管控</w:t>
            </w:r>
            <w:r>
              <w:rPr>
                <w:sz w:val="20"/>
                <w:szCs w:val="20"/>
              </w:rPr>
              <w:t xml:space="preserve"> </w:t>
            </w:r>
            <w:r>
              <w:rPr>
                <w:spacing w:val="6"/>
                <w:sz w:val="20"/>
                <w:szCs w:val="20"/>
              </w:rPr>
              <w:t>单元编码</w:t>
            </w:r>
          </w:p>
        </w:tc>
        <w:tc>
          <w:tcPr>
            <w:tcW w:w="1112" w:type="dxa"/>
            <w:tcBorders>
              <w:top w:val="single" w:color="000000" w:sz="10" w:space="0"/>
            </w:tcBorders>
            <w:vAlign w:val="top"/>
          </w:tcPr>
          <w:p w14:paraId="1B80ECC8">
            <w:pPr>
              <w:pStyle w:val="6"/>
              <w:spacing w:before="48" w:line="234" w:lineRule="auto"/>
              <w:ind w:left="149" w:right="123" w:hanging="1"/>
              <w:rPr>
                <w:sz w:val="20"/>
                <w:szCs w:val="20"/>
              </w:rPr>
            </w:pPr>
            <w:r>
              <w:rPr>
                <w:spacing w:val="7"/>
                <w:sz w:val="20"/>
                <w:szCs w:val="20"/>
              </w:rPr>
              <w:t>环境管控</w:t>
            </w:r>
            <w:r>
              <w:rPr>
                <w:sz w:val="20"/>
                <w:szCs w:val="20"/>
              </w:rPr>
              <w:t xml:space="preserve"> </w:t>
            </w:r>
            <w:r>
              <w:rPr>
                <w:spacing w:val="6"/>
                <w:sz w:val="20"/>
                <w:szCs w:val="20"/>
              </w:rPr>
              <w:t>单元名称</w:t>
            </w:r>
          </w:p>
        </w:tc>
        <w:tc>
          <w:tcPr>
            <w:tcW w:w="7913" w:type="dxa"/>
            <w:gridSpan w:val="2"/>
            <w:tcBorders>
              <w:top w:val="single" w:color="000000" w:sz="10" w:space="0"/>
            </w:tcBorders>
            <w:vAlign w:val="top"/>
          </w:tcPr>
          <w:p w14:paraId="590B4B26">
            <w:pPr>
              <w:pStyle w:val="6"/>
              <w:spacing w:before="182" w:line="228" w:lineRule="auto"/>
              <w:ind w:left="3553"/>
              <w:rPr>
                <w:sz w:val="20"/>
                <w:szCs w:val="20"/>
              </w:rPr>
            </w:pPr>
            <w:r>
              <w:rPr>
                <w:spacing w:val="6"/>
                <w:sz w:val="20"/>
                <w:szCs w:val="20"/>
              </w:rPr>
              <w:t>管控要求</w:t>
            </w:r>
          </w:p>
        </w:tc>
        <w:tc>
          <w:tcPr>
            <w:tcW w:w="3451" w:type="dxa"/>
            <w:tcBorders>
              <w:top w:val="single" w:color="000000" w:sz="10" w:space="0"/>
            </w:tcBorders>
            <w:vAlign w:val="top"/>
          </w:tcPr>
          <w:p w14:paraId="44CE0C49">
            <w:pPr>
              <w:pStyle w:val="6"/>
              <w:spacing w:before="182" w:line="227" w:lineRule="auto"/>
              <w:ind w:left="1003"/>
              <w:rPr>
                <w:sz w:val="20"/>
                <w:szCs w:val="20"/>
              </w:rPr>
            </w:pPr>
            <w:r>
              <w:rPr>
                <w:spacing w:val="8"/>
                <w:sz w:val="20"/>
                <w:szCs w:val="20"/>
              </w:rPr>
              <w:t>本项目实际情况</w:t>
            </w:r>
          </w:p>
        </w:tc>
        <w:tc>
          <w:tcPr>
            <w:tcW w:w="685" w:type="dxa"/>
            <w:tcBorders>
              <w:top w:val="single" w:color="000000" w:sz="10" w:space="0"/>
              <w:right w:val="nil"/>
            </w:tcBorders>
            <w:vAlign w:val="top"/>
          </w:tcPr>
          <w:p w14:paraId="00525F03">
            <w:pPr>
              <w:pStyle w:val="6"/>
              <w:spacing w:before="48" w:line="234" w:lineRule="auto"/>
              <w:ind w:left="251" w:right="124" w:hanging="104"/>
              <w:rPr>
                <w:sz w:val="20"/>
                <w:szCs w:val="20"/>
              </w:rPr>
            </w:pPr>
            <w:r>
              <w:rPr>
                <w:spacing w:val="3"/>
                <w:sz w:val="20"/>
                <w:szCs w:val="20"/>
              </w:rPr>
              <w:t>符合</w:t>
            </w:r>
            <w:r>
              <w:rPr>
                <w:sz w:val="20"/>
                <w:szCs w:val="20"/>
              </w:rPr>
              <w:t xml:space="preserve"> 性</w:t>
            </w:r>
          </w:p>
        </w:tc>
      </w:tr>
      <w:tr w14:paraId="5D795D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0" w:hRule="atLeast"/>
        </w:trPr>
        <w:tc>
          <w:tcPr>
            <w:tcW w:w="1057" w:type="dxa"/>
            <w:vMerge w:val="restart"/>
            <w:tcBorders>
              <w:left w:val="nil"/>
              <w:bottom w:val="nil"/>
            </w:tcBorders>
            <w:vAlign w:val="top"/>
          </w:tcPr>
          <w:p w14:paraId="0A54A787">
            <w:pPr>
              <w:spacing w:line="251" w:lineRule="auto"/>
              <w:rPr>
                <w:rFonts w:ascii="Arial"/>
                <w:sz w:val="21"/>
              </w:rPr>
            </w:pPr>
          </w:p>
          <w:p w14:paraId="6C76B25E">
            <w:pPr>
              <w:spacing w:line="251" w:lineRule="auto"/>
              <w:rPr>
                <w:rFonts w:ascii="Arial"/>
                <w:sz w:val="21"/>
              </w:rPr>
            </w:pPr>
          </w:p>
          <w:p w14:paraId="21A9753F">
            <w:pPr>
              <w:spacing w:line="252" w:lineRule="auto"/>
              <w:rPr>
                <w:rFonts w:ascii="Arial"/>
                <w:sz w:val="21"/>
              </w:rPr>
            </w:pPr>
          </w:p>
          <w:p w14:paraId="01B9A743">
            <w:pPr>
              <w:spacing w:line="252" w:lineRule="auto"/>
              <w:rPr>
                <w:rFonts w:ascii="Arial"/>
                <w:sz w:val="21"/>
              </w:rPr>
            </w:pPr>
          </w:p>
          <w:p w14:paraId="70E5182F">
            <w:pPr>
              <w:spacing w:line="252" w:lineRule="auto"/>
              <w:rPr>
                <w:rFonts w:ascii="Arial"/>
                <w:sz w:val="21"/>
              </w:rPr>
            </w:pPr>
          </w:p>
          <w:p w14:paraId="59147097">
            <w:pPr>
              <w:spacing w:line="252" w:lineRule="auto"/>
              <w:rPr>
                <w:rFonts w:ascii="Arial"/>
                <w:sz w:val="21"/>
              </w:rPr>
            </w:pPr>
          </w:p>
          <w:p w14:paraId="3D501FEF">
            <w:pPr>
              <w:spacing w:line="252" w:lineRule="auto"/>
              <w:rPr>
                <w:rFonts w:ascii="Arial"/>
                <w:sz w:val="21"/>
              </w:rPr>
            </w:pPr>
          </w:p>
          <w:p w14:paraId="1C96E091">
            <w:pPr>
              <w:spacing w:line="252" w:lineRule="auto"/>
              <w:rPr>
                <w:rFonts w:ascii="Arial"/>
                <w:sz w:val="21"/>
              </w:rPr>
            </w:pPr>
          </w:p>
          <w:p w14:paraId="355539C1">
            <w:pPr>
              <w:spacing w:line="252" w:lineRule="auto"/>
              <w:rPr>
                <w:rFonts w:ascii="Arial"/>
                <w:sz w:val="21"/>
              </w:rPr>
            </w:pPr>
          </w:p>
          <w:p w14:paraId="72CE94D4">
            <w:pPr>
              <w:spacing w:line="252" w:lineRule="auto"/>
              <w:rPr>
                <w:rFonts w:ascii="Arial"/>
                <w:sz w:val="21"/>
              </w:rPr>
            </w:pPr>
          </w:p>
          <w:p w14:paraId="237946FE">
            <w:pPr>
              <w:spacing w:line="252" w:lineRule="auto"/>
              <w:rPr>
                <w:rFonts w:ascii="Arial"/>
                <w:sz w:val="21"/>
              </w:rPr>
            </w:pPr>
          </w:p>
          <w:p w14:paraId="3DBEC991">
            <w:pPr>
              <w:spacing w:line="252" w:lineRule="auto"/>
              <w:rPr>
                <w:rFonts w:ascii="Arial"/>
                <w:sz w:val="21"/>
              </w:rPr>
            </w:pPr>
          </w:p>
          <w:p w14:paraId="00603F4E">
            <w:pPr>
              <w:spacing w:line="252" w:lineRule="auto"/>
              <w:rPr>
                <w:rFonts w:ascii="Arial"/>
                <w:sz w:val="21"/>
              </w:rPr>
            </w:pPr>
          </w:p>
          <w:p w14:paraId="5D5C363E">
            <w:pPr>
              <w:spacing w:line="252" w:lineRule="auto"/>
              <w:rPr>
                <w:rFonts w:ascii="Arial"/>
                <w:sz w:val="21"/>
              </w:rPr>
            </w:pPr>
          </w:p>
          <w:p w14:paraId="4EFD52D7">
            <w:pPr>
              <w:spacing w:before="58" w:line="261" w:lineRule="auto"/>
              <w:ind w:left="175" w:right="145" w:firstLine="15"/>
              <w:rPr>
                <w:rFonts w:ascii="Times New Roman" w:hAnsi="Times New Roman" w:eastAsia="Times New Roman" w:cs="Times New Roman"/>
                <w:sz w:val="20"/>
                <w:szCs w:val="20"/>
              </w:rPr>
            </w:pPr>
            <w:r>
              <w:rPr>
                <w:rFonts w:ascii="Times New Roman" w:hAnsi="Times New Roman" w:eastAsia="Times New Roman" w:cs="Times New Roman"/>
                <w:sz w:val="20"/>
                <w:szCs w:val="20"/>
              </w:rPr>
              <w:t>ZH</w:t>
            </w:r>
            <w:r>
              <w:rPr>
                <w:rFonts w:ascii="Times New Roman" w:hAnsi="Times New Roman" w:eastAsia="Times New Roman" w:cs="Times New Roman"/>
                <w:spacing w:val="7"/>
                <w:sz w:val="20"/>
                <w:szCs w:val="20"/>
              </w:rPr>
              <w:t>1525</w:t>
            </w:r>
            <w:r>
              <w:rPr>
                <w:rFonts w:ascii="Times New Roman" w:hAnsi="Times New Roman" w:eastAsia="Times New Roman" w:cs="Times New Roman"/>
                <w:spacing w:val="1"/>
                <w:sz w:val="20"/>
                <w:szCs w:val="20"/>
              </w:rPr>
              <w:t xml:space="preserve"> </w:t>
            </w:r>
            <w:r>
              <w:rPr>
                <w:rFonts w:ascii="Times New Roman" w:hAnsi="Times New Roman" w:eastAsia="Times New Roman" w:cs="Times New Roman"/>
                <w:spacing w:val="4"/>
                <w:sz w:val="20"/>
                <w:szCs w:val="20"/>
              </w:rPr>
              <w:t>2420004</w:t>
            </w:r>
          </w:p>
        </w:tc>
        <w:tc>
          <w:tcPr>
            <w:tcW w:w="1112" w:type="dxa"/>
            <w:vMerge w:val="restart"/>
            <w:tcBorders>
              <w:bottom w:val="nil"/>
            </w:tcBorders>
            <w:vAlign w:val="top"/>
          </w:tcPr>
          <w:p w14:paraId="330FCD37">
            <w:pPr>
              <w:spacing w:line="254" w:lineRule="auto"/>
              <w:rPr>
                <w:rFonts w:ascii="Arial"/>
                <w:sz w:val="21"/>
              </w:rPr>
            </w:pPr>
          </w:p>
          <w:p w14:paraId="13FB97EB">
            <w:pPr>
              <w:spacing w:line="254" w:lineRule="auto"/>
              <w:rPr>
                <w:rFonts w:ascii="Arial"/>
                <w:sz w:val="21"/>
              </w:rPr>
            </w:pPr>
          </w:p>
          <w:p w14:paraId="3642C695">
            <w:pPr>
              <w:spacing w:line="254" w:lineRule="auto"/>
              <w:rPr>
                <w:rFonts w:ascii="Arial"/>
                <w:sz w:val="21"/>
              </w:rPr>
            </w:pPr>
          </w:p>
          <w:p w14:paraId="3825F925">
            <w:pPr>
              <w:spacing w:line="254" w:lineRule="auto"/>
              <w:rPr>
                <w:rFonts w:ascii="Arial"/>
                <w:sz w:val="21"/>
              </w:rPr>
            </w:pPr>
          </w:p>
          <w:p w14:paraId="507750C5">
            <w:pPr>
              <w:spacing w:line="254" w:lineRule="auto"/>
              <w:rPr>
                <w:rFonts w:ascii="Arial"/>
                <w:sz w:val="21"/>
              </w:rPr>
            </w:pPr>
          </w:p>
          <w:p w14:paraId="51D5259D">
            <w:pPr>
              <w:spacing w:line="254" w:lineRule="auto"/>
              <w:rPr>
                <w:rFonts w:ascii="Arial"/>
                <w:sz w:val="21"/>
              </w:rPr>
            </w:pPr>
          </w:p>
          <w:p w14:paraId="636B29F0">
            <w:pPr>
              <w:spacing w:line="254" w:lineRule="auto"/>
              <w:rPr>
                <w:rFonts w:ascii="Arial"/>
                <w:sz w:val="21"/>
              </w:rPr>
            </w:pPr>
          </w:p>
          <w:p w14:paraId="672CBAA9">
            <w:pPr>
              <w:spacing w:line="254" w:lineRule="auto"/>
              <w:rPr>
                <w:rFonts w:ascii="Arial"/>
                <w:sz w:val="21"/>
              </w:rPr>
            </w:pPr>
          </w:p>
          <w:p w14:paraId="0FD40665">
            <w:pPr>
              <w:spacing w:line="255" w:lineRule="auto"/>
              <w:rPr>
                <w:rFonts w:ascii="Arial"/>
                <w:sz w:val="21"/>
              </w:rPr>
            </w:pPr>
          </w:p>
          <w:p w14:paraId="6549E919">
            <w:pPr>
              <w:spacing w:line="255" w:lineRule="auto"/>
              <w:rPr>
                <w:rFonts w:ascii="Arial"/>
                <w:sz w:val="21"/>
              </w:rPr>
            </w:pPr>
          </w:p>
          <w:p w14:paraId="3E90B93F">
            <w:pPr>
              <w:spacing w:line="255" w:lineRule="auto"/>
              <w:rPr>
                <w:rFonts w:ascii="Arial"/>
                <w:sz w:val="21"/>
              </w:rPr>
            </w:pPr>
          </w:p>
          <w:p w14:paraId="1E6B1836">
            <w:pPr>
              <w:pStyle w:val="6"/>
              <w:spacing w:before="65" w:line="248" w:lineRule="auto"/>
              <w:ind w:left="149" w:right="121" w:firstLine="24"/>
              <w:jc w:val="both"/>
              <w:rPr>
                <w:sz w:val="20"/>
                <w:szCs w:val="20"/>
              </w:rPr>
            </w:pPr>
            <w:r>
              <w:rPr>
                <w:spacing w:val="1"/>
                <w:sz w:val="20"/>
                <w:szCs w:val="20"/>
              </w:rPr>
              <w:t>内蒙古锡</w:t>
            </w:r>
            <w:r>
              <w:rPr>
                <w:sz w:val="20"/>
                <w:szCs w:val="20"/>
              </w:rPr>
              <w:t xml:space="preserve"> </w:t>
            </w:r>
            <w:r>
              <w:rPr>
                <w:spacing w:val="7"/>
                <w:sz w:val="20"/>
                <w:szCs w:val="20"/>
              </w:rPr>
              <w:t>林郭勒苏</w:t>
            </w:r>
            <w:r>
              <w:rPr>
                <w:sz w:val="20"/>
                <w:szCs w:val="20"/>
              </w:rPr>
              <w:t xml:space="preserve"> </w:t>
            </w:r>
            <w:r>
              <w:rPr>
                <w:spacing w:val="7"/>
                <w:sz w:val="20"/>
                <w:szCs w:val="20"/>
              </w:rPr>
              <w:t>尼特经济</w:t>
            </w:r>
            <w:r>
              <w:rPr>
                <w:sz w:val="20"/>
                <w:szCs w:val="20"/>
              </w:rPr>
              <w:t xml:space="preserve"> </w:t>
            </w:r>
            <w:r>
              <w:rPr>
                <w:spacing w:val="7"/>
                <w:sz w:val="20"/>
                <w:szCs w:val="20"/>
              </w:rPr>
              <w:t>开发区朱</w:t>
            </w:r>
            <w:r>
              <w:rPr>
                <w:sz w:val="20"/>
                <w:szCs w:val="20"/>
              </w:rPr>
              <w:t xml:space="preserve"> </w:t>
            </w:r>
            <w:r>
              <w:rPr>
                <w:spacing w:val="7"/>
                <w:sz w:val="20"/>
                <w:szCs w:val="20"/>
              </w:rPr>
              <w:t>日和产业</w:t>
            </w:r>
            <w:r>
              <w:rPr>
                <w:sz w:val="20"/>
                <w:szCs w:val="20"/>
              </w:rPr>
              <w:t xml:space="preserve"> </w:t>
            </w:r>
            <w:r>
              <w:rPr>
                <w:spacing w:val="7"/>
                <w:sz w:val="20"/>
                <w:szCs w:val="20"/>
              </w:rPr>
              <w:t>园冶金产</w:t>
            </w:r>
            <w:r>
              <w:rPr>
                <w:spacing w:val="2"/>
                <w:sz w:val="20"/>
                <w:szCs w:val="20"/>
              </w:rPr>
              <w:t xml:space="preserve"> </w:t>
            </w:r>
            <w:r>
              <w:rPr>
                <w:spacing w:val="41"/>
                <w:sz w:val="20"/>
                <w:szCs w:val="20"/>
              </w:rPr>
              <w:t>业园区</w:t>
            </w:r>
          </w:p>
        </w:tc>
        <w:tc>
          <w:tcPr>
            <w:tcW w:w="650" w:type="dxa"/>
            <w:vAlign w:val="top"/>
          </w:tcPr>
          <w:p w14:paraId="1E1FB1EA">
            <w:pPr>
              <w:spacing w:line="311" w:lineRule="auto"/>
              <w:rPr>
                <w:rFonts w:ascii="Arial"/>
                <w:sz w:val="21"/>
              </w:rPr>
            </w:pPr>
          </w:p>
          <w:p w14:paraId="28B2A52E">
            <w:pPr>
              <w:pStyle w:val="6"/>
              <w:spacing w:before="65" w:line="243" w:lineRule="auto"/>
              <w:ind w:left="128" w:right="101" w:firstLine="6"/>
              <w:jc w:val="both"/>
              <w:rPr>
                <w:sz w:val="20"/>
                <w:szCs w:val="20"/>
              </w:rPr>
            </w:pPr>
            <w:r>
              <w:rPr>
                <w:spacing w:val="1"/>
                <w:sz w:val="20"/>
                <w:szCs w:val="20"/>
              </w:rPr>
              <w:t>空间</w:t>
            </w:r>
            <w:r>
              <w:rPr>
                <w:sz w:val="20"/>
                <w:szCs w:val="20"/>
              </w:rPr>
              <w:t xml:space="preserve"> </w:t>
            </w:r>
            <w:r>
              <w:rPr>
                <w:spacing w:val="4"/>
                <w:sz w:val="20"/>
                <w:szCs w:val="20"/>
              </w:rPr>
              <w:t>布局</w:t>
            </w:r>
            <w:r>
              <w:rPr>
                <w:sz w:val="20"/>
                <w:szCs w:val="20"/>
              </w:rPr>
              <w:t xml:space="preserve"> </w:t>
            </w:r>
            <w:r>
              <w:rPr>
                <w:spacing w:val="4"/>
                <w:sz w:val="20"/>
                <w:szCs w:val="20"/>
              </w:rPr>
              <w:t>约束</w:t>
            </w:r>
          </w:p>
        </w:tc>
        <w:tc>
          <w:tcPr>
            <w:tcW w:w="7263" w:type="dxa"/>
            <w:vAlign w:val="top"/>
          </w:tcPr>
          <w:p w14:paraId="38D5F7CA">
            <w:pPr>
              <w:pStyle w:val="6"/>
              <w:spacing w:before="60" w:line="227" w:lineRule="auto"/>
              <w:ind w:left="110"/>
              <w:rPr>
                <w:sz w:val="20"/>
                <w:szCs w:val="20"/>
              </w:rPr>
            </w:pPr>
            <w:r>
              <w:rPr>
                <w:spacing w:val="5"/>
                <w:sz w:val="20"/>
                <w:szCs w:val="20"/>
              </w:rPr>
              <w:t>执行锡林郭勒盟总体准入要求第一条关于空间布局约束的准入要求。</w:t>
            </w:r>
          </w:p>
          <w:p w14:paraId="362FAE9E">
            <w:pPr>
              <w:pStyle w:val="6"/>
              <w:spacing w:before="54" w:line="262" w:lineRule="auto"/>
              <w:ind w:left="110" w:right="99"/>
              <w:rPr>
                <w:sz w:val="20"/>
                <w:szCs w:val="20"/>
              </w:rPr>
            </w:pPr>
            <w:r>
              <w:rPr>
                <w:spacing w:val="7"/>
                <w:sz w:val="20"/>
                <w:szCs w:val="20"/>
              </w:rPr>
              <w:t>禁止不符合园区产业定位及规划环评等要求的项目入园；国家明令淘汰的落后</w:t>
            </w:r>
            <w:r>
              <w:rPr>
                <w:spacing w:val="4"/>
                <w:sz w:val="20"/>
                <w:szCs w:val="20"/>
              </w:rPr>
              <w:t xml:space="preserve"> </w:t>
            </w:r>
            <w:r>
              <w:rPr>
                <w:spacing w:val="5"/>
                <w:sz w:val="20"/>
                <w:szCs w:val="20"/>
              </w:rPr>
              <w:t>产能和不符合国家产业政策的项目，禁止向园区转移。</w:t>
            </w:r>
          </w:p>
          <w:p w14:paraId="6BA4F050">
            <w:pPr>
              <w:pStyle w:val="6"/>
              <w:spacing w:before="32" w:line="244" w:lineRule="auto"/>
              <w:ind w:left="110" w:right="1207"/>
              <w:rPr>
                <w:sz w:val="20"/>
                <w:szCs w:val="20"/>
              </w:rPr>
            </w:pPr>
            <w:r>
              <w:rPr>
                <w:spacing w:val="4"/>
                <w:sz w:val="20"/>
                <w:szCs w:val="20"/>
              </w:rPr>
              <w:t>禁止新扩建未纳入规划的火电项目（包括抽凝式燃煤热电项目）。</w:t>
            </w:r>
            <w:r>
              <w:rPr>
                <w:spacing w:val="18"/>
                <w:sz w:val="20"/>
                <w:szCs w:val="20"/>
              </w:rPr>
              <w:t xml:space="preserve"> </w:t>
            </w:r>
            <w:r>
              <w:rPr>
                <w:spacing w:val="5"/>
                <w:sz w:val="20"/>
                <w:szCs w:val="20"/>
              </w:rPr>
              <w:t>禁止工艺落后、设备陈旧、污染严重的项目入区。</w:t>
            </w:r>
          </w:p>
        </w:tc>
        <w:tc>
          <w:tcPr>
            <w:tcW w:w="3451" w:type="dxa"/>
            <w:vAlign w:val="top"/>
          </w:tcPr>
          <w:p w14:paraId="3A517830">
            <w:pPr>
              <w:pStyle w:val="6"/>
              <w:spacing w:before="244" w:line="245" w:lineRule="auto"/>
              <w:ind w:left="115" w:right="89" w:firstLine="1"/>
              <w:jc w:val="both"/>
              <w:rPr>
                <w:sz w:val="20"/>
                <w:szCs w:val="20"/>
              </w:rPr>
            </w:pPr>
            <w:r>
              <w:rPr>
                <w:spacing w:val="15"/>
                <w:sz w:val="20"/>
                <w:szCs w:val="20"/>
              </w:rPr>
              <w:t>本项目在朱日和产业园冶金产业园</w:t>
            </w:r>
            <w:r>
              <w:rPr>
                <w:spacing w:val="7"/>
                <w:sz w:val="20"/>
                <w:szCs w:val="20"/>
              </w:rPr>
              <w:t xml:space="preserve"> </w:t>
            </w:r>
            <w:r>
              <w:rPr>
                <w:spacing w:val="15"/>
                <w:sz w:val="20"/>
                <w:szCs w:val="20"/>
              </w:rPr>
              <w:t>区内建设，建设符合园区产业定位</w:t>
            </w:r>
            <w:r>
              <w:rPr>
                <w:spacing w:val="9"/>
                <w:sz w:val="20"/>
                <w:szCs w:val="20"/>
              </w:rPr>
              <w:t xml:space="preserve"> </w:t>
            </w:r>
            <w:r>
              <w:rPr>
                <w:spacing w:val="15"/>
                <w:sz w:val="20"/>
                <w:szCs w:val="20"/>
              </w:rPr>
              <w:t>及功能区规划；本项目未建设余热</w:t>
            </w:r>
            <w:r>
              <w:rPr>
                <w:spacing w:val="9"/>
                <w:sz w:val="20"/>
                <w:szCs w:val="20"/>
              </w:rPr>
              <w:t xml:space="preserve"> </w:t>
            </w:r>
            <w:r>
              <w:rPr>
                <w:spacing w:val="8"/>
                <w:sz w:val="20"/>
                <w:szCs w:val="20"/>
              </w:rPr>
              <w:t>发电、尾气发电设施。</w:t>
            </w:r>
          </w:p>
        </w:tc>
        <w:tc>
          <w:tcPr>
            <w:tcW w:w="685" w:type="dxa"/>
            <w:tcBorders>
              <w:right w:val="nil"/>
            </w:tcBorders>
            <w:vAlign w:val="top"/>
          </w:tcPr>
          <w:p w14:paraId="0D177DBA">
            <w:pPr>
              <w:spacing w:line="290" w:lineRule="auto"/>
              <w:rPr>
                <w:rFonts w:ascii="Arial"/>
                <w:sz w:val="21"/>
              </w:rPr>
            </w:pPr>
          </w:p>
          <w:p w14:paraId="4CB08C57">
            <w:pPr>
              <w:spacing w:line="291" w:lineRule="auto"/>
              <w:rPr>
                <w:rFonts w:ascii="Arial"/>
                <w:sz w:val="21"/>
              </w:rPr>
            </w:pPr>
          </w:p>
          <w:p w14:paraId="4DE64D4E">
            <w:pPr>
              <w:pStyle w:val="6"/>
              <w:spacing w:before="65" w:line="228" w:lineRule="auto"/>
              <w:ind w:left="147"/>
              <w:rPr>
                <w:sz w:val="20"/>
                <w:szCs w:val="20"/>
              </w:rPr>
            </w:pPr>
            <w:r>
              <w:rPr>
                <w:spacing w:val="3"/>
                <w:sz w:val="20"/>
                <w:szCs w:val="20"/>
              </w:rPr>
              <w:t>符合</w:t>
            </w:r>
          </w:p>
        </w:tc>
      </w:tr>
      <w:tr w14:paraId="43946F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13" w:hRule="atLeast"/>
        </w:trPr>
        <w:tc>
          <w:tcPr>
            <w:tcW w:w="1057" w:type="dxa"/>
            <w:vMerge w:val="continue"/>
            <w:tcBorders>
              <w:top w:val="nil"/>
              <w:left w:val="nil"/>
              <w:bottom w:val="nil"/>
            </w:tcBorders>
            <w:vAlign w:val="top"/>
          </w:tcPr>
          <w:p w14:paraId="669CA7A2">
            <w:pPr>
              <w:rPr>
                <w:rFonts w:ascii="Arial"/>
                <w:sz w:val="21"/>
              </w:rPr>
            </w:pPr>
          </w:p>
        </w:tc>
        <w:tc>
          <w:tcPr>
            <w:tcW w:w="1112" w:type="dxa"/>
            <w:vMerge w:val="continue"/>
            <w:tcBorders>
              <w:top w:val="nil"/>
              <w:bottom w:val="nil"/>
            </w:tcBorders>
            <w:vAlign w:val="top"/>
          </w:tcPr>
          <w:p w14:paraId="0F42AF03">
            <w:pPr>
              <w:rPr>
                <w:rFonts w:ascii="Arial"/>
                <w:sz w:val="21"/>
              </w:rPr>
            </w:pPr>
          </w:p>
        </w:tc>
        <w:tc>
          <w:tcPr>
            <w:tcW w:w="650" w:type="dxa"/>
            <w:vAlign w:val="top"/>
          </w:tcPr>
          <w:p w14:paraId="18817E1A">
            <w:pPr>
              <w:spacing w:line="322" w:lineRule="auto"/>
              <w:rPr>
                <w:rFonts w:ascii="Arial"/>
                <w:sz w:val="21"/>
              </w:rPr>
            </w:pPr>
          </w:p>
          <w:p w14:paraId="0CCFD689">
            <w:pPr>
              <w:spacing w:line="323" w:lineRule="auto"/>
              <w:rPr>
                <w:rFonts w:ascii="Arial"/>
                <w:sz w:val="21"/>
              </w:rPr>
            </w:pPr>
          </w:p>
          <w:p w14:paraId="0B746CCF">
            <w:pPr>
              <w:pStyle w:val="6"/>
              <w:spacing w:before="65" w:line="245" w:lineRule="auto"/>
              <w:ind w:left="128" w:right="101" w:firstLine="1"/>
              <w:jc w:val="both"/>
              <w:rPr>
                <w:sz w:val="20"/>
                <w:szCs w:val="20"/>
              </w:rPr>
            </w:pPr>
            <w:r>
              <w:rPr>
                <w:spacing w:val="3"/>
                <w:sz w:val="20"/>
                <w:szCs w:val="20"/>
              </w:rPr>
              <w:t>污染</w:t>
            </w:r>
            <w:r>
              <w:rPr>
                <w:sz w:val="20"/>
                <w:szCs w:val="20"/>
              </w:rPr>
              <w:t xml:space="preserve"> </w:t>
            </w:r>
            <w:r>
              <w:rPr>
                <w:spacing w:val="4"/>
                <w:sz w:val="20"/>
                <w:szCs w:val="20"/>
              </w:rPr>
              <w:t>物排</w:t>
            </w:r>
            <w:r>
              <w:rPr>
                <w:sz w:val="20"/>
                <w:szCs w:val="20"/>
              </w:rPr>
              <w:t xml:space="preserve"> </w:t>
            </w:r>
            <w:r>
              <w:rPr>
                <w:spacing w:val="4"/>
                <w:sz w:val="20"/>
                <w:szCs w:val="20"/>
              </w:rPr>
              <w:t>放管</w:t>
            </w:r>
            <w:r>
              <w:rPr>
                <w:sz w:val="20"/>
                <w:szCs w:val="20"/>
              </w:rPr>
              <w:t xml:space="preserve"> </w:t>
            </w:r>
            <w:r>
              <w:rPr>
                <w:spacing w:val="28"/>
                <w:w w:val="138"/>
                <w:sz w:val="20"/>
                <w:szCs w:val="20"/>
              </w:rPr>
              <w:t>控</w:t>
            </w:r>
          </w:p>
        </w:tc>
        <w:tc>
          <w:tcPr>
            <w:tcW w:w="7263" w:type="dxa"/>
            <w:vAlign w:val="top"/>
          </w:tcPr>
          <w:p w14:paraId="2315BAE3">
            <w:pPr>
              <w:pStyle w:val="6"/>
              <w:spacing w:before="81" w:line="227" w:lineRule="auto"/>
              <w:ind w:left="110"/>
              <w:rPr>
                <w:sz w:val="20"/>
                <w:szCs w:val="20"/>
              </w:rPr>
            </w:pPr>
            <w:r>
              <w:rPr>
                <w:spacing w:val="5"/>
                <w:sz w:val="20"/>
                <w:szCs w:val="20"/>
              </w:rPr>
              <w:t>执行锡林郭勒盟总体准入要求第二条关于污染物排放管控的准入要求。</w:t>
            </w:r>
          </w:p>
          <w:p w14:paraId="6145F890">
            <w:pPr>
              <w:pStyle w:val="6"/>
              <w:spacing w:before="52" w:line="270" w:lineRule="auto"/>
              <w:ind w:left="109" w:right="102" w:firstLine="1"/>
              <w:rPr>
                <w:sz w:val="20"/>
                <w:szCs w:val="20"/>
              </w:rPr>
            </w:pPr>
            <w:r>
              <w:rPr>
                <w:spacing w:val="6"/>
                <w:sz w:val="20"/>
                <w:szCs w:val="20"/>
              </w:rPr>
              <w:t>新建排放重金属污染物的建设项目全面执行重金属重点污染物排放限值要求。</w:t>
            </w:r>
            <w:r>
              <w:rPr>
                <w:spacing w:val="11"/>
                <w:sz w:val="20"/>
                <w:szCs w:val="20"/>
              </w:rPr>
              <w:t xml:space="preserve"> </w:t>
            </w:r>
            <w:r>
              <w:rPr>
                <w:spacing w:val="7"/>
                <w:sz w:val="20"/>
                <w:szCs w:val="20"/>
              </w:rPr>
              <w:t>入区企业必须采用先进的、密封性能好的生产设备、化学物料存贮容器和输送</w:t>
            </w:r>
            <w:r>
              <w:rPr>
                <w:spacing w:val="2"/>
                <w:sz w:val="20"/>
                <w:szCs w:val="20"/>
              </w:rPr>
              <w:t xml:space="preserve"> </w:t>
            </w:r>
            <w:r>
              <w:rPr>
                <w:spacing w:val="7"/>
                <w:sz w:val="20"/>
                <w:szCs w:val="20"/>
              </w:rPr>
              <w:t>管道，最大限度减少无组织废气排放；同时还要采用先进的治理和回收技术，</w:t>
            </w:r>
            <w:r>
              <w:rPr>
                <w:spacing w:val="2"/>
                <w:sz w:val="20"/>
                <w:szCs w:val="20"/>
              </w:rPr>
              <w:t xml:space="preserve"> </w:t>
            </w:r>
            <w:r>
              <w:rPr>
                <w:spacing w:val="5"/>
                <w:sz w:val="20"/>
                <w:szCs w:val="20"/>
              </w:rPr>
              <w:t>严格按照有关规定，实现达标排放。</w:t>
            </w:r>
          </w:p>
          <w:p w14:paraId="327ED222">
            <w:pPr>
              <w:pStyle w:val="6"/>
              <w:spacing w:before="31" w:line="228" w:lineRule="auto"/>
              <w:ind w:left="109"/>
              <w:rPr>
                <w:sz w:val="20"/>
                <w:szCs w:val="20"/>
              </w:rPr>
            </w:pPr>
            <w:r>
              <w:rPr>
                <w:spacing w:val="5"/>
                <w:sz w:val="20"/>
                <w:szCs w:val="20"/>
              </w:rPr>
              <w:t>优先引进污染轻、技术先进、生产规模大的项目。</w:t>
            </w:r>
          </w:p>
          <w:p w14:paraId="5F2D9371">
            <w:pPr>
              <w:pStyle w:val="6"/>
              <w:spacing w:before="52" w:line="241" w:lineRule="auto"/>
              <w:ind w:left="109" w:right="102"/>
              <w:rPr>
                <w:sz w:val="20"/>
                <w:szCs w:val="20"/>
              </w:rPr>
            </w:pPr>
            <w:r>
              <w:rPr>
                <w:spacing w:val="7"/>
                <w:sz w:val="20"/>
                <w:szCs w:val="20"/>
              </w:rPr>
              <w:t>入区企业提出明确的废气污染源治理要求，必须确保其达标排放后才可批准生</w:t>
            </w:r>
            <w:r>
              <w:rPr>
                <w:spacing w:val="2"/>
                <w:sz w:val="20"/>
                <w:szCs w:val="20"/>
              </w:rPr>
              <w:t xml:space="preserve"> </w:t>
            </w:r>
            <w:r>
              <w:rPr>
                <w:spacing w:val="5"/>
                <w:sz w:val="20"/>
                <w:szCs w:val="20"/>
              </w:rPr>
              <w:t>产。同时确保“三同时</w:t>
            </w:r>
            <w:r>
              <w:rPr>
                <w:spacing w:val="-74"/>
                <w:sz w:val="20"/>
                <w:szCs w:val="20"/>
              </w:rPr>
              <w:t xml:space="preserve"> </w:t>
            </w:r>
            <w:r>
              <w:rPr>
                <w:spacing w:val="5"/>
                <w:sz w:val="20"/>
                <w:szCs w:val="20"/>
              </w:rPr>
              <w:t>”制度的执行，对污染物排放量进行全过</w:t>
            </w:r>
            <w:r>
              <w:rPr>
                <w:spacing w:val="4"/>
                <w:sz w:val="20"/>
                <w:szCs w:val="20"/>
              </w:rPr>
              <w:t>程控制。</w:t>
            </w:r>
          </w:p>
        </w:tc>
        <w:tc>
          <w:tcPr>
            <w:tcW w:w="3451" w:type="dxa"/>
            <w:vAlign w:val="top"/>
          </w:tcPr>
          <w:p w14:paraId="61A45F6C">
            <w:pPr>
              <w:pStyle w:val="6"/>
              <w:spacing w:before="155" w:line="227" w:lineRule="auto"/>
              <w:ind w:left="112"/>
              <w:rPr>
                <w:sz w:val="20"/>
                <w:szCs w:val="20"/>
              </w:rPr>
            </w:pPr>
            <w:r>
              <w:rPr>
                <w:spacing w:val="4"/>
                <w:sz w:val="20"/>
                <w:szCs w:val="20"/>
              </w:rPr>
              <w:t>本项目为新建项目；</w:t>
            </w:r>
          </w:p>
          <w:p w14:paraId="067718C6">
            <w:pPr>
              <w:pStyle w:val="6"/>
              <w:spacing w:before="25" w:line="227" w:lineRule="auto"/>
              <w:ind w:left="112"/>
              <w:rPr>
                <w:sz w:val="20"/>
                <w:szCs w:val="20"/>
              </w:rPr>
            </w:pPr>
            <w:r>
              <w:rPr>
                <w:spacing w:val="5"/>
                <w:sz w:val="20"/>
                <w:szCs w:val="20"/>
              </w:rPr>
              <w:t>本项目不属于排放重金属行业；</w:t>
            </w:r>
          </w:p>
          <w:p w14:paraId="5C199D88">
            <w:pPr>
              <w:pStyle w:val="6"/>
              <w:spacing w:before="26" w:line="247" w:lineRule="auto"/>
              <w:ind w:left="111" w:right="99"/>
              <w:rPr>
                <w:sz w:val="20"/>
                <w:szCs w:val="20"/>
              </w:rPr>
            </w:pPr>
            <w:r>
              <w:rPr>
                <w:spacing w:val="1"/>
                <w:sz w:val="20"/>
                <w:szCs w:val="20"/>
              </w:rPr>
              <w:t>本项目料棚全部采用全封闭库房，物</w:t>
            </w:r>
            <w:r>
              <w:rPr>
                <w:spacing w:val="11"/>
                <w:sz w:val="20"/>
                <w:szCs w:val="20"/>
              </w:rPr>
              <w:t xml:space="preserve"> </w:t>
            </w:r>
            <w:r>
              <w:rPr>
                <w:spacing w:val="1"/>
                <w:sz w:val="20"/>
                <w:szCs w:val="20"/>
              </w:rPr>
              <w:t>料输送采用全封闭廊道，料棚内采用</w:t>
            </w:r>
            <w:r>
              <w:rPr>
                <w:spacing w:val="10"/>
                <w:sz w:val="20"/>
                <w:szCs w:val="20"/>
              </w:rPr>
              <w:t xml:space="preserve"> </w:t>
            </w:r>
            <w:r>
              <w:rPr>
                <w:spacing w:val="1"/>
                <w:sz w:val="20"/>
                <w:szCs w:val="20"/>
              </w:rPr>
              <w:t>喷雾抑尘装置，可最大限度减少无组</w:t>
            </w:r>
            <w:r>
              <w:rPr>
                <w:spacing w:val="12"/>
                <w:sz w:val="20"/>
                <w:szCs w:val="20"/>
              </w:rPr>
              <w:t xml:space="preserve"> </w:t>
            </w:r>
            <w:r>
              <w:rPr>
                <w:spacing w:val="1"/>
                <w:sz w:val="20"/>
                <w:szCs w:val="20"/>
              </w:rPr>
              <w:t>织排放；有组织排放执行特别排放限</w:t>
            </w:r>
            <w:r>
              <w:rPr>
                <w:spacing w:val="12"/>
                <w:sz w:val="20"/>
                <w:szCs w:val="20"/>
              </w:rPr>
              <w:t xml:space="preserve"> </w:t>
            </w:r>
            <w:r>
              <w:rPr>
                <w:sz w:val="20"/>
                <w:szCs w:val="20"/>
              </w:rPr>
              <w:t>制；</w:t>
            </w:r>
          </w:p>
          <w:p w14:paraId="1D509FBE">
            <w:pPr>
              <w:pStyle w:val="6"/>
              <w:spacing w:before="35" w:line="227" w:lineRule="auto"/>
              <w:jc w:val="right"/>
              <w:rPr>
                <w:sz w:val="20"/>
                <w:szCs w:val="20"/>
              </w:rPr>
            </w:pPr>
            <w:r>
              <w:rPr>
                <w:spacing w:val="-9"/>
                <w:sz w:val="20"/>
                <w:szCs w:val="20"/>
              </w:rPr>
              <w:t>本项目“三废</w:t>
            </w:r>
            <w:r>
              <w:rPr>
                <w:spacing w:val="-65"/>
                <w:sz w:val="20"/>
                <w:szCs w:val="20"/>
              </w:rPr>
              <w:t xml:space="preserve"> </w:t>
            </w:r>
            <w:r>
              <w:rPr>
                <w:spacing w:val="-9"/>
                <w:sz w:val="20"/>
                <w:szCs w:val="20"/>
              </w:rPr>
              <w:t>”采用“三同时</w:t>
            </w:r>
            <w:r>
              <w:rPr>
                <w:spacing w:val="-77"/>
                <w:sz w:val="20"/>
                <w:szCs w:val="20"/>
              </w:rPr>
              <w:t xml:space="preserve"> </w:t>
            </w:r>
            <w:r>
              <w:rPr>
                <w:spacing w:val="-9"/>
                <w:sz w:val="20"/>
                <w:szCs w:val="20"/>
              </w:rPr>
              <w:t>”制度。</w:t>
            </w:r>
          </w:p>
        </w:tc>
        <w:tc>
          <w:tcPr>
            <w:tcW w:w="685" w:type="dxa"/>
            <w:tcBorders>
              <w:right w:val="nil"/>
            </w:tcBorders>
            <w:vAlign w:val="top"/>
          </w:tcPr>
          <w:p w14:paraId="03169DAF">
            <w:pPr>
              <w:spacing w:line="262" w:lineRule="auto"/>
              <w:rPr>
                <w:rFonts w:ascii="Arial"/>
                <w:sz w:val="21"/>
              </w:rPr>
            </w:pPr>
          </w:p>
          <w:p w14:paraId="34B89D78">
            <w:pPr>
              <w:spacing w:line="262" w:lineRule="auto"/>
              <w:rPr>
                <w:rFonts w:ascii="Arial"/>
                <w:sz w:val="21"/>
              </w:rPr>
            </w:pPr>
          </w:p>
          <w:p w14:paraId="51BEB6DB">
            <w:pPr>
              <w:spacing w:line="262" w:lineRule="auto"/>
              <w:rPr>
                <w:rFonts w:ascii="Arial"/>
                <w:sz w:val="21"/>
              </w:rPr>
            </w:pPr>
          </w:p>
          <w:p w14:paraId="6051B347">
            <w:pPr>
              <w:spacing w:line="262" w:lineRule="auto"/>
              <w:rPr>
                <w:rFonts w:ascii="Arial"/>
                <w:sz w:val="21"/>
              </w:rPr>
            </w:pPr>
          </w:p>
          <w:p w14:paraId="452DE43B">
            <w:pPr>
              <w:pStyle w:val="6"/>
              <w:spacing w:before="65" w:line="228" w:lineRule="auto"/>
              <w:ind w:left="147"/>
              <w:rPr>
                <w:sz w:val="20"/>
                <w:szCs w:val="20"/>
              </w:rPr>
            </w:pPr>
            <w:r>
              <w:rPr>
                <w:spacing w:val="3"/>
                <w:sz w:val="20"/>
                <w:szCs w:val="20"/>
              </w:rPr>
              <w:t>符合</w:t>
            </w:r>
          </w:p>
        </w:tc>
      </w:tr>
      <w:tr w14:paraId="41B75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11" w:hRule="atLeast"/>
        </w:trPr>
        <w:tc>
          <w:tcPr>
            <w:tcW w:w="1057" w:type="dxa"/>
            <w:vMerge w:val="continue"/>
            <w:tcBorders>
              <w:top w:val="nil"/>
              <w:left w:val="nil"/>
              <w:bottom w:val="nil"/>
            </w:tcBorders>
            <w:vAlign w:val="top"/>
          </w:tcPr>
          <w:p w14:paraId="16D45E5E">
            <w:pPr>
              <w:rPr>
                <w:rFonts w:ascii="Arial"/>
                <w:sz w:val="21"/>
              </w:rPr>
            </w:pPr>
          </w:p>
        </w:tc>
        <w:tc>
          <w:tcPr>
            <w:tcW w:w="1112" w:type="dxa"/>
            <w:vMerge w:val="continue"/>
            <w:tcBorders>
              <w:top w:val="nil"/>
              <w:bottom w:val="nil"/>
            </w:tcBorders>
            <w:vAlign w:val="top"/>
          </w:tcPr>
          <w:p w14:paraId="10EF19EA">
            <w:pPr>
              <w:rPr>
                <w:rFonts w:ascii="Arial"/>
                <w:sz w:val="21"/>
              </w:rPr>
            </w:pPr>
          </w:p>
        </w:tc>
        <w:tc>
          <w:tcPr>
            <w:tcW w:w="650" w:type="dxa"/>
            <w:vAlign w:val="top"/>
          </w:tcPr>
          <w:p w14:paraId="7165D2B6">
            <w:pPr>
              <w:spacing w:line="270" w:lineRule="auto"/>
              <w:rPr>
                <w:rFonts w:ascii="Arial"/>
                <w:sz w:val="21"/>
              </w:rPr>
            </w:pPr>
          </w:p>
          <w:p w14:paraId="2A65171D">
            <w:pPr>
              <w:spacing w:line="270" w:lineRule="auto"/>
              <w:rPr>
                <w:rFonts w:ascii="Arial"/>
                <w:sz w:val="21"/>
              </w:rPr>
            </w:pPr>
          </w:p>
          <w:p w14:paraId="6B54BE57">
            <w:pPr>
              <w:spacing w:line="271" w:lineRule="auto"/>
              <w:rPr>
                <w:rFonts w:ascii="Arial"/>
                <w:sz w:val="21"/>
              </w:rPr>
            </w:pPr>
          </w:p>
          <w:p w14:paraId="318B2A6D">
            <w:pPr>
              <w:spacing w:line="271" w:lineRule="auto"/>
              <w:rPr>
                <w:rFonts w:ascii="Arial"/>
                <w:sz w:val="21"/>
              </w:rPr>
            </w:pPr>
          </w:p>
          <w:p w14:paraId="729828F4">
            <w:pPr>
              <w:pStyle w:val="6"/>
              <w:spacing w:before="65" w:line="244" w:lineRule="auto"/>
              <w:ind w:left="128" w:right="101"/>
              <w:jc w:val="both"/>
              <w:rPr>
                <w:sz w:val="20"/>
                <w:szCs w:val="20"/>
              </w:rPr>
            </w:pPr>
            <w:r>
              <w:rPr>
                <w:spacing w:val="4"/>
                <w:sz w:val="20"/>
                <w:szCs w:val="20"/>
              </w:rPr>
              <w:t>环境</w:t>
            </w:r>
            <w:r>
              <w:rPr>
                <w:sz w:val="20"/>
                <w:szCs w:val="20"/>
              </w:rPr>
              <w:t xml:space="preserve"> </w:t>
            </w:r>
            <w:r>
              <w:rPr>
                <w:spacing w:val="4"/>
                <w:sz w:val="20"/>
                <w:szCs w:val="20"/>
              </w:rPr>
              <w:t>风险</w:t>
            </w:r>
            <w:r>
              <w:rPr>
                <w:sz w:val="20"/>
                <w:szCs w:val="20"/>
              </w:rPr>
              <w:t xml:space="preserve"> </w:t>
            </w:r>
            <w:r>
              <w:rPr>
                <w:spacing w:val="4"/>
                <w:sz w:val="20"/>
                <w:szCs w:val="20"/>
              </w:rPr>
              <w:t>防控</w:t>
            </w:r>
          </w:p>
        </w:tc>
        <w:tc>
          <w:tcPr>
            <w:tcW w:w="7263" w:type="dxa"/>
            <w:vAlign w:val="top"/>
          </w:tcPr>
          <w:p w14:paraId="18280BAE">
            <w:pPr>
              <w:pStyle w:val="6"/>
              <w:spacing w:before="87" w:line="262" w:lineRule="auto"/>
              <w:ind w:left="127" w:right="797" w:hanging="17"/>
              <w:rPr>
                <w:sz w:val="20"/>
                <w:szCs w:val="20"/>
              </w:rPr>
            </w:pPr>
            <w:r>
              <w:rPr>
                <w:spacing w:val="5"/>
                <w:sz w:val="20"/>
                <w:szCs w:val="20"/>
              </w:rPr>
              <w:t>执行锡林郭勒盟总体准入要求中第三条关于环</w:t>
            </w:r>
            <w:r>
              <w:rPr>
                <w:spacing w:val="4"/>
                <w:sz w:val="20"/>
                <w:szCs w:val="20"/>
              </w:rPr>
              <w:t>境风险防控的准入要求。</w:t>
            </w:r>
            <w:r>
              <w:rPr>
                <w:sz w:val="20"/>
                <w:szCs w:val="20"/>
              </w:rPr>
              <w:t xml:space="preserve"> </w:t>
            </w:r>
            <w:r>
              <w:rPr>
                <w:spacing w:val="4"/>
                <w:sz w:val="20"/>
                <w:szCs w:val="20"/>
              </w:rPr>
              <w:t>园区应建立突发环境事件应急防控体系，增强突发环境事件处置能力。</w:t>
            </w:r>
          </w:p>
          <w:p w14:paraId="101ED3A5">
            <w:pPr>
              <w:pStyle w:val="6"/>
              <w:spacing w:before="32" w:line="262" w:lineRule="auto"/>
              <w:ind w:left="110" w:right="102"/>
              <w:rPr>
                <w:sz w:val="20"/>
                <w:szCs w:val="20"/>
              </w:rPr>
            </w:pPr>
            <w:r>
              <w:rPr>
                <w:spacing w:val="7"/>
                <w:sz w:val="20"/>
                <w:szCs w:val="20"/>
              </w:rPr>
              <w:t>严格落实工业集聚区环境风险各项防控措施。对高风险化学品生产、使用进行</w:t>
            </w:r>
            <w:r>
              <w:rPr>
                <w:sz w:val="20"/>
                <w:szCs w:val="20"/>
              </w:rPr>
              <w:t xml:space="preserve"> </w:t>
            </w:r>
            <w:r>
              <w:rPr>
                <w:spacing w:val="5"/>
                <w:sz w:val="20"/>
                <w:szCs w:val="20"/>
              </w:rPr>
              <w:t>严格限制，并逐步淘汰替代。</w:t>
            </w:r>
          </w:p>
          <w:p w14:paraId="775AB344">
            <w:pPr>
              <w:pStyle w:val="6"/>
              <w:spacing w:before="32" w:line="262" w:lineRule="auto"/>
              <w:ind w:left="110" w:right="193"/>
              <w:rPr>
                <w:sz w:val="20"/>
                <w:szCs w:val="20"/>
              </w:rPr>
            </w:pPr>
            <w:r>
              <w:rPr>
                <w:spacing w:val="4"/>
                <w:sz w:val="20"/>
                <w:szCs w:val="20"/>
              </w:rPr>
              <w:t>开展涉危涉化企业、有风险隐患渣场等风险排查和整改工作，及时消除隐患，</w:t>
            </w:r>
            <w:r>
              <w:rPr>
                <w:spacing w:val="11"/>
                <w:sz w:val="20"/>
                <w:szCs w:val="20"/>
              </w:rPr>
              <w:t xml:space="preserve"> </w:t>
            </w:r>
            <w:r>
              <w:rPr>
                <w:spacing w:val="5"/>
                <w:sz w:val="20"/>
                <w:szCs w:val="20"/>
              </w:rPr>
              <w:t>按要求建设园区隔离带、绿化防护带等设施。</w:t>
            </w:r>
          </w:p>
          <w:p w14:paraId="37753F35">
            <w:pPr>
              <w:pStyle w:val="6"/>
              <w:spacing w:before="32" w:line="262" w:lineRule="auto"/>
              <w:ind w:left="111" w:right="102" w:hanging="1"/>
              <w:rPr>
                <w:sz w:val="20"/>
                <w:szCs w:val="20"/>
              </w:rPr>
            </w:pPr>
            <w:r>
              <w:rPr>
                <w:spacing w:val="7"/>
                <w:sz w:val="20"/>
                <w:szCs w:val="20"/>
              </w:rPr>
              <w:t>加强消防和风险事故防范意识和应急措施，特别是使用易燃、易爆、有毒有害</w:t>
            </w:r>
            <w:r>
              <w:rPr>
                <w:spacing w:val="1"/>
                <w:sz w:val="20"/>
                <w:szCs w:val="20"/>
              </w:rPr>
              <w:t xml:space="preserve"> </w:t>
            </w:r>
            <w:r>
              <w:rPr>
                <w:spacing w:val="5"/>
                <w:sz w:val="20"/>
                <w:szCs w:val="20"/>
              </w:rPr>
              <w:t>等危险化学品的企业，必须有相应的危险品管理制度。</w:t>
            </w:r>
          </w:p>
          <w:p w14:paraId="3DE2CFCF">
            <w:pPr>
              <w:pStyle w:val="6"/>
              <w:spacing w:before="32" w:line="237" w:lineRule="auto"/>
              <w:ind w:left="109" w:right="99" w:firstLine="3"/>
              <w:rPr>
                <w:sz w:val="20"/>
                <w:szCs w:val="20"/>
              </w:rPr>
            </w:pPr>
            <w:r>
              <w:rPr>
                <w:spacing w:val="7"/>
                <w:sz w:val="20"/>
                <w:szCs w:val="20"/>
              </w:rPr>
              <w:t>建立完备的事故废水调储系统。厂区分区防渗；建立区域土壤及地下水监测监</w:t>
            </w:r>
            <w:r>
              <w:rPr>
                <w:spacing w:val="1"/>
                <w:sz w:val="20"/>
                <w:szCs w:val="20"/>
              </w:rPr>
              <w:t xml:space="preserve"> </w:t>
            </w:r>
            <w:r>
              <w:rPr>
                <w:spacing w:val="3"/>
                <w:sz w:val="20"/>
                <w:szCs w:val="20"/>
              </w:rPr>
              <w:t>控体系。</w:t>
            </w:r>
          </w:p>
        </w:tc>
        <w:tc>
          <w:tcPr>
            <w:tcW w:w="3451" w:type="dxa"/>
            <w:vAlign w:val="top"/>
          </w:tcPr>
          <w:p w14:paraId="7FEA166D">
            <w:pPr>
              <w:spacing w:line="394" w:lineRule="auto"/>
              <w:rPr>
                <w:rFonts w:ascii="Arial"/>
                <w:sz w:val="21"/>
              </w:rPr>
            </w:pPr>
          </w:p>
          <w:p w14:paraId="5D777B45">
            <w:pPr>
              <w:pStyle w:val="6"/>
              <w:spacing w:before="65" w:line="244" w:lineRule="auto"/>
              <w:ind w:left="111" w:right="99" w:firstLine="1"/>
              <w:jc w:val="both"/>
              <w:rPr>
                <w:sz w:val="20"/>
                <w:szCs w:val="20"/>
              </w:rPr>
            </w:pPr>
            <w:r>
              <w:rPr>
                <w:spacing w:val="15"/>
                <w:sz w:val="20"/>
                <w:szCs w:val="20"/>
              </w:rPr>
              <w:t>本项目建设符合锡林郭勒盟总体准</w:t>
            </w:r>
            <w:r>
              <w:rPr>
                <w:sz w:val="20"/>
                <w:szCs w:val="20"/>
              </w:rPr>
              <w:t xml:space="preserve"> </w:t>
            </w:r>
            <w:r>
              <w:rPr>
                <w:spacing w:val="15"/>
                <w:sz w:val="20"/>
                <w:szCs w:val="20"/>
              </w:rPr>
              <w:t>入要求中第三条关于环境风险防控</w:t>
            </w:r>
            <w:r>
              <w:rPr>
                <w:spacing w:val="4"/>
                <w:sz w:val="20"/>
                <w:szCs w:val="20"/>
              </w:rPr>
              <w:t xml:space="preserve"> 的准入要求；</w:t>
            </w:r>
          </w:p>
          <w:p w14:paraId="093EAC89">
            <w:pPr>
              <w:pStyle w:val="6"/>
              <w:spacing w:before="25" w:line="227" w:lineRule="auto"/>
              <w:ind w:left="112"/>
              <w:rPr>
                <w:sz w:val="20"/>
                <w:szCs w:val="20"/>
              </w:rPr>
            </w:pPr>
            <w:r>
              <w:rPr>
                <w:spacing w:val="5"/>
                <w:sz w:val="20"/>
                <w:szCs w:val="20"/>
              </w:rPr>
              <w:t>本项目建设不涉及高风险化学品；</w:t>
            </w:r>
          </w:p>
          <w:p w14:paraId="1DA4FAE0">
            <w:pPr>
              <w:pStyle w:val="6"/>
              <w:spacing w:before="25" w:line="239" w:lineRule="auto"/>
              <w:ind w:left="118" w:right="99" w:hanging="7"/>
              <w:rPr>
                <w:sz w:val="20"/>
                <w:szCs w:val="20"/>
              </w:rPr>
            </w:pPr>
            <w:r>
              <w:rPr>
                <w:spacing w:val="15"/>
                <w:sz w:val="20"/>
                <w:szCs w:val="20"/>
              </w:rPr>
              <w:t>评价要求建设单位编制环境风险应</w:t>
            </w:r>
            <w:r>
              <w:rPr>
                <w:spacing w:val="4"/>
                <w:sz w:val="20"/>
                <w:szCs w:val="20"/>
              </w:rPr>
              <w:t xml:space="preserve"> 急预案，并在相关部门备案；</w:t>
            </w:r>
          </w:p>
          <w:p w14:paraId="6D11492C">
            <w:pPr>
              <w:pStyle w:val="6"/>
              <w:spacing w:before="38" w:line="239" w:lineRule="auto"/>
              <w:ind w:left="117" w:right="88" w:hanging="1"/>
              <w:rPr>
                <w:sz w:val="20"/>
                <w:szCs w:val="20"/>
              </w:rPr>
            </w:pPr>
            <w:r>
              <w:rPr>
                <w:spacing w:val="7"/>
                <w:sz w:val="20"/>
                <w:szCs w:val="20"/>
              </w:rPr>
              <w:t>配置</w:t>
            </w:r>
            <w:r>
              <w:rPr>
                <w:spacing w:val="-9"/>
                <w:sz w:val="20"/>
                <w:szCs w:val="20"/>
              </w:rPr>
              <w:t xml:space="preserve"> </w:t>
            </w:r>
            <w:r>
              <w:rPr>
                <w:rFonts w:ascii="Times New Roman" w:hAnsi="Times New Roman" w:eastAsia="Times New Roman" w:cs="Times New Roman"/>
                <w:spacing w:val="7"/>
                <w:sz w:val="20"/>
                <w:szCs w:val="20"/>
              </w:rPr>
              <w:t>1</w:t>
            </w:r>
            <w:r>
              <w:rPr>
                <w:rFonts w:ascii="Times New Roman" w:hAnsi="Times New Roman" w:eastAsia="Times New Roman" w:cs="Times New Roman"/>
                <w:spacing w:val="23"/>
                <w:w w:val="101"/>
                <w:sz w:val="20"/>
                <w:szCs w:val="20"/>
              </w:rPr>
              <w:t xml:space="preserve"> </w:t>
            </w:r>
            <w:r>
              <w:rPr>
                <w:spacing w:val="7"/>
                <w:sz w:val="20"/>
                <w:szCs w:val="20"/>
              </w:rPr>
              <w:t>座</w:t>
            </w:r>
            <w:r>
              <w:rPr>
                <w:spacing w:val="-29"/>
                <w:sz w:val="20"/>
                <w:szCs w:val="20"/>
              </w:rPr>
              <w:t xml:space="preserve"> </w:t>
            </w:r>
            <w:r>
              <w:rPr>
                <w:rFonts w:ascii="Times New Roman" w:hAnsi="Times New Roman" w:eastAsia="Times New Roman" w:cs="Times New Roman"/>
                <w:spacing w:val="7"/>
                <w:sz w:val="20"/>
                <w:szCs w:val="20"/>
              </w:rPr>
              <w:t>3200m</w:t>
            </w:r>
            <w:r>
              <w:rPr>
                <w:rFonts w:ascii="Times New Roman" w:hAnsi="Times New Roman" w:eastAsia="Times New Roman" w:cs="Times New Roman"/>
                <w:spacing w:val="7"/>
                <w:position w:val="6"/>
                <w:sz w:val="13"/>
                <w:szCs w:val="13"/>
              </w:rPr>
              <w:t>3</w:t>
            </w:r>
            <w:r>
              <w:rPr>
                <w:rFonts w:ascii="Times New Roman" w:hAnsi="Times New Roman" w:eastAsia="Times New Roman" w:cs="Times New Roman"/>
                <w:spacing w:val="19"/>
                <w:w w:val="103"/>
                <w:position w:val="6"/>
                <w:sz w:val="13"/>
                <w:szCs w:val="13"/>
              </w:rPr>
              <w:t xml:space="preserve"> </w:t>
            </w:r>
            <w:r>
              <w:rPr>
                <w:spacing w:val="7"/>
                <w:sz w:val="20"/>
                <w:szCs w:val="20"/>
              </w:rPr>
              <w:t>应急事故水池，</w:t>
            </w:r>
            <w:r>
              <w:rPr>
                <w:rFonts w:ascii="Times New Roman" w:hAnsi="Times New Roman" w:eastAsia="Times New Roman" w:cs="Times New Roman"/>
                <w:spacing w:val="7"/>
                <w:sz w:val="20"/>
                <w:szCs w:val="20"/>
              </w:rPr>
              <w:t>1</w:t>
            </w:r>
            <w:r>
              <w:rPr>
                <w:rFonts w:ascii="Times New Roman" w:hAnsi="Times New Roman" w:eastAsia="Times New Roman" w:cs="Times New Roman"/>
                <w:sz w:val="20"/>
                <w:szCs w:val="20"/>
              </w:rPr>
              <w:t xml:space="preserve"> </w:t>
            </w:r>
            <w:r>
              <w:rPr>
                <w:spacing w:val="3"/>
                <w:sz w:val="20"/>
                <w:szCs w:val="20"/>
              </w:rPr>
              <w:t>座</w:t>
            </w:r>
            <w:r>
              <w:rPr>
                <w:spacing w:val="-39"/>
                <w:sz w:val="20"/>
                <w:szCs w:val="20"/>
              </w:rPr>
              <w:t xml:space="preserve"> </w:t>
            </w:r>
            <w:r>
              <w:rPr>
                <w:rFonts w:ascii="Times New Roman" w:hAnsi="Times New Roman" w:eastAsia="Times New Roman" w:cs="Times New Roman"/>
                <w:spacing w:val="3"/>
                <w:sz w:val="20"/>
                <w:szCs w:val="20"/>
              </w:rPr>
              <w:t>3200m</w:t>
            </w:r>
            <w:r>
              <w:rPr>
                <w:rFonts w:ascii="Times New Roman" w:hAnsi="Times New Roman" w:eastAsia="Times New Roman" w:cs="Times New Roman"/>
                <w:spacing w:val="3"/>
                <w:position w:val="6"/>
                <w:sz w:val="13"/>
                <w:szCs w:val="13"/>
              </w:rPr>
              <w:t xml:space="preserve">3 </w:t>
            </w:r>
            <w:r>
              <w:rPr>
                <w:spacing w:val="3"/>
                <w:sz w:val="20"/>
                <w:szCs w:val="20"/>
              </w:rPr>
              <w:t>初期雨水收集池。</w:t>
            </w:r>
          </w:p>
        </w:tc>
        <w:tc>
          <w:tcPr>
            <w:tcW w:w="685" w:type="dxa"/>
            <w:tcBorders>
              <w:right w:val="nil"/>
            </w:tcBorders>
            <w:vAlign w:val="top"/>
          </w:tcPr>
          <w:p w14:paraId="0734ECFE">
            <w:pPr>
              <w:spacing w:line="270" w:lineRule="auto"/>
              <w:rPr>
                <w:rFonts w:ascii="Arial"/>
                <w:sz w:val="21"/>
              </w:rPr>
            </w:pPr>
          </w:p>
          <w:p w14:paraId="5BE6E5A5">
            <w:pPr>
              <w:spacing w:line="270" w:lineRule="auto"/>
              <w:rPr>
                <w:rFonts w:ascii="Arial"/>
                <w:sz w:val="21"/>
              </w:rPr>
            </w:pPr>
          </w:p>
          <w:p w14:paraId="03C7B517">
            <w:pPr>
              <w:spacing w:line="270" w:lineRule="auto"/>
              <w:rPr>
                <w:rFonts w:ascii="Arial"/>
                <w:sz w:val="21"/>
              </w:rPr>
            </w:pPr>
          </w:p>
          <w:p w14:paraId="445BACD9">
            <w:pPr>
              <w:spacing w:line="271" w:lineRule="auto"/>
              <w:rPr>
                <w:rFonts w:ascii="Arial"/>
                <w:sz w:val="21"/>
              </w:rPr>
            </w:pPr>
          </w:p>
          <w:p w14:paraId="6B42088F">
            <w:pPr>
              <w:spacing w:line="271" w:lineRule="auto"/>
              <w:rPr>
                <w:rFonts w:ascii="Arial"/>
                <w:sz w:val="21"/>
              </w:rPr>
            </w:pPr>
          </w:p>
          <w:p w14:paraId="02589C0E">
            <w:pPr>
              <w:pStyle w:val="6"/>
              <w:spacing w:before="65" w:line="228" w:lineRule="auto"/>
              <w:ind w:left="147"/>
              <w:rPr>
                <w:sz w:val="20"/>
                <w:szCs w:val="20"/>
              </w:rPr>
            </w:pPr>
            <w:r>
              <w:rPr>
                <w:spacing w:val="3"/>
                <w:sz w:val="20"/>
                <w:szCs w:val="20"/>
              </w:rPr>
              <w:t>符合</w:t>
            </w:r>
          </w:p>
        </w:tc>
      </w:tr>
      <w:tr w14:paraId="03D98B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7" w:hRule="atLeast"/>
        </w:trPr>
        <w:tc>
          <w:tcPr>
            <w:tcW w:w="1057" w:type="dxa"/>
            <w:vMerge w:val="continue"/>
            <w:tcBorders>
              <w:top w:val="nil"/>
              <w:left w:val="nil"/>
              <w:bottom w:val="single" w:color="000000" w:sz="10" w:space="0"/>
            </w:tcBorders>
            <w:vAlign w:val="top"/>
          </w:tcPr>
          <w:p w14:paraId="5D8A5312">
            <w:pPr>
              <w:rPr>
                <w:rFonts w:ascii="Arial"/>
                <w:sz w:val="21"/>
              </w:rPr>
            </w:pPr>
          </w:p>
        </w:tc>
        <w:tc>
          <w:tcPr>
            <w:tcW w:w="1112" w:type="dxa"/>
            <w:vMerge w:val="continue"/>
            <w:tcBorders>
              <w:top w:val="nil"/>
              <w:bottom w:val="single" w:color="000000" w:sz="10" w:space="0"/>
            </w:tcBorders>
            <w:vAlign w:val="top"/>
          </w:tcPr>
          <w:p w14:paraId="3F4997AB">
            <w:pPr>
              <w:rPr>
                <w:rFonts w:ascii="Arial"/>
                <w:sz w:val="21"/>
              </w:rPr>
            </w:pPr>
          </w:p>
        </w:tc>
        <w:tc>
          <w:tcPr>
            <w:tcW w:w="650" w:type="dxa"/>
            <w:tcBorders>
              <w:bottom w:val="single" w:color="000000" w:sz="10" w:space="0"/>
            </w:tcBorders>
            <w:vAlign w:val="top"/>
          </w:tcPr>
          <w:p w14:paraId="512AFC66">
            <w:pPr>
              <w:pStyle w:val="6"/>
              <w:spacing w:before="99" w:line="241" w:lineRule="auto"/>
              <w:ind w:left="129" w:right="101" w:firstLine="8"/>
              <w:rPr>
                <w:sz w:val="20"/>
                <w:szCs w:val="20"/>
              </w:rPr>
            </w:pPr>
            <w:r>
              <w:rPr>
                <w:sz w:val="20"/>
                <w:szCs w:val="20"/>
              </w:rPr>
              <w:t xml:space="preserve">资源 </w:t>
            </w:r>
            <w:r>
              <w:rPr>
                <w:spacing w:val="4"/>
                <w:sz w:val="20"/>
                <w:szCs w:val="20"/>
              </w:rPr>
              <w:t>利用</w:t>
            </w:r>
          </w:p>
        </w:tc>
        <w:tc>
          <w:tcPr>
            <w:tcW w:w="7263" w:type="dxa"/>
            <w:tcBorders>
              <w:bottom w:val="single" w:color="000000" w:sz="10" w:space="0"/>
            </w:tcBorders>
            <w:vAlign w:val="top"/>
          </w:tcPr>
          <w:p w14:paraId="6BF099EA">
            <w:pPr>
              <w:pStyle w:val="6"/>
              <w:spacing w:before="97" w:line="227" w:lineRule="auto"/>
              <w:ind w:left="110"/>
              <w:rPr>
                <w:sz w:val="20"/>
                <w:szCs w:val="20"/>
              </w:rPr>
            </w:pPr>
            <w:r>
              <w:rPr>
                <w:spacing w:val="5"/>
                <w:sz w:val="20"/>
                <w:szCs w:val="20"/>
              </w:rPr>
              <w:t>执行锡林郭勒盟总体准入要求中第四条关于资源开发效率的准入要求。</w:t>
            </w:r>
          </w:p>
          <w:p w14:paraId="7B7B40F9">
            <w:pPr>
              <w:pStyle w:val="6"/>
              <w:spacing w:before="53" w:line="228" w:lineRule="auto"/>
              <w:ind w:right="2"/>
              <w:jc w:val="right"/>
              <w:rPr>
                <w:sz w:val="20"/>
                <w:szCs w:val="20"/>
              </w:rPr>
            </w:pPr>
            <w:r>
              <w:rPr>
                <w:spacing w:val="5"/>
                <w:sz w:val="20"/>
                <w:szCs w:val="20"/>
              </w:rPr>
              <w:t>实行地下水</w:t>
            </w:r>
            <w:r>
              <w:rPr>
                <w:rFonts w:ascii="Times New Roman" w:hAnsi="Times New Roman" w:eastAsia="Times New Roman" w:cs="Times New Roman"/>
                <w:spacing w:val="5"/>
                <w:sz w:val="20"/>
                <w:szCs w:val="20"/>
              </w:rPr>
              <w:t>“</w:t>
            </w:r>
            <w:r>
              <w:rPr>
                <w:spacing w:val="5"/>
                <w:sz w:val="20"/>
                <w:szCs w:val="20"/>
              </w:rPr>
              <w:t>五控</w:t>
            </w:r>
            <w:r>
              <w:rPr>
                <w:rFonts w:ascii="Times New Roman" w:hAnsi="Times New Roman" w:eastAsia="Times New Roman" w:cs="Times New Roman"/>
                <w:spacing w:val="5"/>
                <w:sz w:val="20"/>
                <w:szCs w:val="20"/>
              </w:rPr>
              <w:t>”</w:t>
            </w:r>
            <w:r>
              <w:rPr>
                <w:spacing w:val="5"/>
                <w:sz w:val="20"/>
                <w:szCs w:val="20"/>
              </w:rPr>
              <w:t>制度。</w:t>
            </w:r>
            <w:r>
              <w:rPr>
                <w:rFonts w:ascii="Times New Roman" w:hAnsi="Times New Roman" w:eastAsia="Times New Roman" w:cs="Times New Roman"/>
                <w:spacing w:val="5"/>
                <w:sz w:val="20"/>
                <w:szCs w:val="20"/>
              </w:rPr>
              <w:t>“</w:t>
            </w:r>
            <w:r>
              <w:rPr>
                <w:spacing w:val="5"/>
                <w:sz w:val="20"/>
                <w:szCs w:val="20"/>
              </w:rPr>
              <w:t>五控</w:t>
            </w:r>
            <w:r>
              <w:rPr>
                <w:rFonts w:ascii="Times New Roman" w:hAnsi="Times New Roman" w:eastAsia="Times New Roman" w:cs="Times New Roman"/>
                <w:spacing w:val="5"/>
                <w:sz w:val="20"/>
                <w:szCs w:val="20"/>
              </w:rPr>
              <w:t>”</w:t>
            </w:r>
            <w:r>
              <w:rPr>
                <w:spacing w:val="5"/>
                <w:sz w:val="20"/>
                <w:szCs w:val="20"/>
              </w:rPr>
              <w:t>即严格管控地下水开发利用总量</w:t>
            </w:r>
            <w:r>
              <w:rPr>
                <w:spacing w:val="4"/>
                <w:sz w:val="20"/>
                <w:szCs w:val="20"/>
              </w:rPr>
              <w:t>、水位、用途、</w:t>
            </w:r>
          </w:p>
        </w:tc>
        <w:tc>
          <w:tcPr>
            <w:tcW w:w="3451" w:type="dxa"/>
            <w:tcBorders>
              <w:bottom w:val="single" w:color="000000" w:sz="10" w:space="0"/>
            </w:tcBorders>
            <w:vAlign w:val="top"/>
          </w:tcPr>
          <w:p w14:paraId="68ED9225">
            <w:pPr>
              <w:pStyle w:val="6"/>
              <w:spacing w:before="99"/>
              <w:ind w:left="133" w:right="87"/>
              <w:rPr>
                <w:sz w:val="20"/>
                <w:szCs w:val="20"/>
              </w:rPr>
            </w:pPr>
            <w:r>
              <w:rPr>
                <w:rFonts w:ascii="Times New Roman" w:hAnsi="Times New Roman" w:eastAsia="Times New Roman" w:cs="Times New Roman"/>
                <w:spacing w:val="5"/>
                <w:sz w:val="20"/>
                <w:szCs w:val="20"/>
              </w:rPr>
              <w:t>1</w:t>
            </w:r>
            <w:r>
              <w:rPr>
                <w:rFonts w:ascii="Times New Roman" w:hAnsi="Times New Roman" w:eastAsia="Times New Roman" w:cs="Times New Roman"/>
                <w:spacing w:val="-11"/>
                <w:sz w:val="20"/>
                <w:szCs w:val="20"/>
              </w:rPr>
              <w:t xml:space="preserve"> </w:t>
            </w:r>
            <w:r>
              <w:rPr>
                <w:spacing w:val="5"/>
                <w:sz w:val="20"/>
                <w:szCs w:val="20"/>
              </w:rPr>
              <w:t>、本项目生产用水来自园区中水管</w:t>
            </w:r>
            <w:r>
              <w:rPr>
                <w:sz w:val="20"/>
                <w:szCs w:val="20"/>
              </w:rPr>
              <w:t xml:space="preserve"> </w:t>
            </w:r>
            <w:r>
              <w:rPr>
                <w:spacing w:val="2"/>
                <w:sz w:val="20"/>
                <w:szCs w:val="20"/>
              </w:rPr>
              <w:t>网，不开采地下水；</w:t>
            </w:r>
          </w:p>
        </w:tc>
        <w:tc>
          <w:tcPr>
            <w:tcW w:w="685" w:type="dxa"/>
            <w:tcBorders>
              <w:bottom w:val="single" w:color="000000" w:sz="10" w:space="0"/>
              <w:right w:val="nil"/>
            </w:tcBorders>
            <w:vAlign w:val="top"/>
          </w:tcPr>
          <w:p w14:paraId="5F3FD1CE">
            <w:pPr>
              <w:pStyle w:val="6"/>
              <w:spacing w:before="236" w:line="228" w:lineRule="auto"/>
              <w:ind w:left="147"/>
              <w:rPr>
                <w:sz w:val="20"/>
                <w:szCs w:val="20"/>
              </w:rPr>
            </w:pPr>
            <w:r>
              <w:rPr>
                <w:spacing w:val="3"/>
                <w:sz w:val="20"/>
                <w:szCs w:val="20"/>
              </w:rPr>
              <w:t>符合</w:t>
            </w:r>
          </w:p>
        </w:tc>
      </w:tr>
    </w:tbl>
    <w:p w14:paraId="6FB52352">
      <w:pPr>
        <w:pStyle w:val="2"/>
      </w:pPr>
    </w:p>
    <w:p w14:paraId="2BCE6BE3">
      <w:pPr>
        <w:sectPr>
          <w:headerReference r:id="rId33" w:type="default"/>
          <w:footerReference r:id="rId34" w:type="default"/>
          <w:pgSz w:w="16839" w:h="11906"/>
          <w:pgMar w:top="1235" w:right="1310" w:bottom="1269" w:left="1310" w:header="925" w:footer="1083" w:gutter="0"/>
          <w:cols w:space="720" w:num="1"/>
        </w:sectPr>
      </w:pPr>
    </w:p>
    <w:p w14:paraId="1B91BA7D">
      <w:pPr>
        <w:spacing w:before="110"/>
      </w:pPr>
      <w:r>
        <w:pict>
          <v:shape id="_x0000_s1045" o:spid="_x0000_s1045" style="position:absolute;left:0pt;margin-left:70.9pt;margin-top:62.5pt;height:0.75pt;width:700.1pt;mso-position-horizontal-relative:page;mso-position-vertical-relative:page;z-index:251679744;mso-width-relative:page;mso-height-relative:page;" fillcolor="#000000" filled="t" stroked="f" coordsize="14001,15" o:allowincell="f" path="m0,0l14001,0,14001,14,0,14,0,0xe">
            <v:path/>
            <v:fill on="t" focussize="0,0"/>
            <v:stroke on="f"/>
            <v:imagedata o:title=""/>
            <o:lock v:ext="edit"/>
          </v:shape>
        </w:pict>
      </w:r>
    </w:p>
    <w:tbl>
      <w:tblPr>
        <w:tblStyle w:val="5"/>
        <w:tblW w:w="142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7"/>
        <w:gridCol w:w="1112"/>
        <w:gridCol w:w="650"/>
        <w:gridCol w:w="7263"/>
        <w:gridCol w:w="3451"/>
        <w:gridCol w:w="685"/>
      </w:tblGrid>
      <w:tr w14:paraId="162F33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3" w:hRule="atLeast"/>
        </w:trPr>
        <w:tc>
          <w:tcPr>
            <w:tcW w:w="1057" w:type="dxa"/>
            <w:tcBorders>
              <w:left w:val="nil"/>
              <w:bottom w:val="single" w:color="000000" w:sz="10" w:space="0"/>
            </w:tcBorders>
            <w:vAlign w:val="top"/>
          </w:tcPr>
          <w:p w14:paraId="186A837E">
            <w:pPr>
              <w:rPr>
                <w:rFonts w:ascii="Arial"/>
                <w:sz w:val="21"/>
              </w:rPr>
            </w:pPr>
          </w:p>
        </w:tc>
        <w:tc>
          <w:tcPr>
            <w:tcW w:w="1112" w:type="dxa"/>
            <w:tcBorders>
              <w:bottom w:val="single" w:color="000000" w:sz="10" w:space="0"/>
            </w:tcBorders>
            <w:vAlign w:val="top"/>
          </w:tcPr>
          <w:p w14:paraId="14B1A836">
            <w:pPr>
              <w:rPr>
                <w:rFonts w:ascii="Arial"/>
                <w:sz w:val="21"/>
              </w:rPr>
            </w:pPr>
          </w:p>
        </w:tc>
        <w:tc>
          <w:tcPr>
            <w:tcW w:w="650" w:type="dxa"/>
            <w:tcBorders>
              <w:bottom w:val="single" w:color="000000" w:sz="10" w:space="0"/>
            </w:tcBorders>
            <w:vAlign w:val="top"/>
          </w:tcPr>
          <w:p w14:paraId="6E889DD6">
            <w:pPr>
              <w:pStyle w:val="6"/>
              <w:spacing w:before="51"/>
              <w:ind w:left="129" w:right="101" w:firstLine="4"/>
              <w:rPr>
                <w:sz w:val="20"/>
                <w:szCs w:val="20"/>
              </w:rPr>
            </w:pPr>
            <w:r>
              <w:rPr>
                <w:spacing w:val="2"/>
                <w:sz w:val="20"/>
                <w:szCs w:val="20"/>
              </w:rPr>
              <w:t>效率</w:t>
            </w:r>
            <w:r>
              <w:rPr>
                <w:sz w:val="20"/>
                <w:szCs w:val="20"/>
              </w:rPr>
              <w:t xml:space="preserve"> </w:t>
            </w:r>
            <w:r>
              <w:rPr>
                <w:spacing w:val="4"/>
                <w:sz w:val="20"/>
                <w:szCs w:val="20"/>
              </w:rPr>
              <w:t>要求</w:t>
            </w:r>
          </w:p>
        </w:tc>
        <w:tc>
          <w:tcPr>
            <w:tcW w:w="7263" w:type="dxa"/>
            <w:tcBorders>
              <w:bottom w:val="single" w:color="000000" w:sz="10" w:space="0"/>
            </w:tcBorders>
            <w:vAlign w:val="top"/>
          </w:tcPr>
          <w:p w14:paraId="6291DCB5">
            <w:pPr>
              <w:pStyle w:val="6"/>
              <w:spacing w:before="80" w:line="227" w:lineRule="auto"/>
              <w:ind w:left="112"/>
              <w:outlineLvl w:val="2"/>
              <w:rPr>
                <w:sz w:val="20"/>
                <w:szCs w:val="20"/>
              </w:rPr>
            </w:pPr>
            <w:bookmarkStart w:id="265" w:name="bookmark27"/>
            <w:bookmarkEnd w:id="265"/>
            <w:r>
              <w:rPr>
                <w:spacing w:val="4"/>
                <w:sz w:val="20"/>
                <w:szCs w:val="20"/>
              </w:rPr>
              <w:t>水质及机电井数量。</w:t>
            </w:r>
          </w:p>
          <w:p w14:paraId="4093D4CD">
            <w:pPr>
              <w:pStyle w:val="6"/>
              <w:spacing w:before="54" w:line="262" w:lineRule="auto"/>
              <w:ind w:left="115" w:right="150" w:firstLine="12"/>
              <w:rPr>
                <w:sz w:val="20"/>
                <w:szCs w:val="20"/>
              </w:rPr>
            </w:pPr>
            <w:r>
              <w:rPr>
                <w:spacing w:val="5"/>
                <w:sz w:val="20"/>
                <w:szCs w:val="20"/>
              </w:rPr>
              <w:t>园区严禁高耗水项目入驻，合理控制产业发展规模；鼓励企业内部中水回用，</w:t>
            </w:r>
            <w:r>
              <w:rPr>
                <w:spacing w:val="3"/>
                <w:sz w:val="20"/>
                <w:szCs w:val="20"/>
              </w:rPr>
              <w:t xml:space="preserve"> </w:t>
            </w:r>
            <w:r>
              <w:rPr>
                <w:spacing w:val="5"/>
                <w:sz w:val="20"/>
                <w:szCs w:val="20"/>
              </w:rPr>
              <w:t>并使其工艺用水重复利用率达到国家规定的要求。</w:t>
            </w:r>
          </w:p>
          <w:p w14:paraId="2A1D01D1">
            <w:pPr>
              <w:pStyle w:val="6"/>
              <w:spacing w:before="32" w:line="271" w:lineRule="auto"/>
              <w:ind w:left="110" w:right="102"/>
              <w:jc w:val="both"/>
              <w:rPr>
                <w:sz w:val="20"/>
                <w:szCs w:val="20"/>
              </w:rPr>
            </w:pPr>
            <w:r>
              <w:rPr>
                <w:spacing w:val="7"/>
                <w:sz w:val="20"/>
                <w:szCs w:val="20"/>
              </w:rPr>
              <w:t>加强工业取用水管理。淘汰落后产能，加快企业改造升级、提高工业用水的循</w:t>
            </w:r>
            <w:r>
              <w:rPr>
                <w:spacing w:val="1"/>
                <w:sz w:val="20"/>
                <w:szCs w:val="20"/>
              </w:rPr>
              <w:t xml:space="preserve"> </w:t>
            </w:r>
            <w:r>
              <w:rPr>
                <w:spacing w:val="7"/>
                <w:sz w:val="20"/>
                <w:szCs w:val="20"/>
              </w:rPr>
              <w:t>环利用率，加强再生水等非常规水源利用。新建项目的用水定额必须符合《内</w:t>
            </w:r>
            <w:r>
              <w:rPr>
                <w:spacing w:val="1"/>
                <w:sz w:val="20"/>
                <w:szCs w:val="20"/>
              </w:rPr>
              <w:t xml:space="preserve"> </w:t>
            </w:r>
            <w:r>
              <w:rPr>
                <w:spacing w:val="7"/>
                <w:sz w:val="20"/>
                <w:szCs w:val="20"/>
              </w:rPr>
              <w:t>蒙古自治区行业用水定额标准》。强化用水监控管理，对纳入取水许可管理的</w:t>
            </w:r>
            <w:r>
              <w:rPr>
                <w:spacing w:val="1"/>
                <w:sz w:val="20"/>
                <w:szCs w:val="20"/>
              </w:rPr>
              <w:t xml:space="preserve"> </w:t>
            </w:r>
            <w:r>
              <w:rPr>
                <w:spacing w:val="7"/>
                <w:sz w:val="20"/>
                <w:szCs w:val="20"/>
              </w:rPr>
              <w:t>单位实行计划用水管理。对各类取用水户定期开展水平衡测试工作，促进取用</w:t>
            </w:r>
            <w:r>
              <w:rPr>
                <w:spacing w:val="1"/>
                <w:sz w:val="20"/>
                <w:szCs w:val="20"/>
              </w:rPr>
              <w:t xml:space="preserve"> </w:t>
            </w:r>
            <w:r>
              <w:rPr>
                <w:spacing w:val="5"/>
                <w:sz w:val="20"/>
                <w:szCs w:val="20"/>
              </w:rPr>
              <w:t>水户节水水平和用水效率的提高。</w:t>
            </w:r>
          </w:p>
          <w:p w14:paraId="5833BC5B">
            <w:pPr>
              <w:pStyle w:val="6"/>
              <w:spacing w:before="31" w:line="214" w:lineRule="auto"/>
              <w:ind w:left="112"/>
              <w:rPr>
                <w:sz w:val="20"/>
                <w:szCs w:val="20"/>
              </w:rPr>
            </w:pPr>
            <w:r>
              <w:rPr>
                <w:spacing w:val="5"/>
                <w:sz w:val="20"/>
                <w:szCs w:val="20"/>
              </w:rPr>
              <w:t>大力推进节水企业、节水工业园区建设。</w:t>
            </w:r>
          </w:p>
        </w:tc>
        <w:tc>
          <w:tcPr>
            <w:tcW w:w="3451" w:type="dxa"/>
            <w:tcBorders>
              <w:bottom w:val="single" w:color="000000" w:sz="10" w:space="0"/>
            </w:tcBorders>
            <w:vAlign w:val="top"/>
          </w:tcPr>
          <w:p w14:paraId="19E79FFA">
            <w:pPr>
              <w:pStyle w:val="6"/>
              <w:spacing w:before="64" w:line="227" w:lineRule="auto"/>
              <w:ind w:left="112"/>
              <w:rPr>
                <w:sz w:val="20"/>
                <w:szCs w:val="20"/>
              </w:rPr>
            </w:pPr>
            <w:r>
              <w:rPr>
                <w:rFonts w:ascii="Times New Roman" w:hAnsi="Times New Roman" w:eastAsia="Times New Roman" w:cs="Times New Roman"/>
                <w:spacing w:val="6"/>
                <w:sz w:val="20"/>
                <w:szCs w:val="20"/>
              </w:rPr>
              <w:t>2</w:t>
            </w:r>
            <w:r>
              <w:rPr>
                <w:rFonts w:ascii="Times New Roman" w:hAnsi="Times New Roman" w:eastAsia="Times New Roman" w:cs="Times New Roman"/>
                <w:spacing w:val="-19"/>
                <w:sz w:val="20"/>
                <w:szCs w:val="20"/>
              </w:rPr>
              <w:t xml:space="preserve"> </w:t>
            </w:r>
            <w:r>
              <w:rPr>
                <w:spacing w:val="6"/>
                <w:sz w:val="20"/>
                <w:szCs w:val="20"/>
              </w:rPr>
              <w:t>、本项目不属于高耗水项目；</w:t>
            </w:r>
          </w:p>
          <w:p w14:paraId="1BD6EFE9">
            <w:pPr>
              <w:pStyle w:val="6"/>
              <w:spacing w:before="37" w:line="227" w:lineRule="auto"/>
              <w:ind w:left="117"/>
              <w:rPr>
                <w:sz w:val="20"/>
                <w:szCs w:val="20"/>
              </w:rPr>
            </w:pPr>
            <w:r>
              <w:rPr>
                <w:rFonts w:ascii="Times New Roman" w:hAnsi="Times New Roman" w:eastAsia="Times New Roman" w:cs="Times New Roman"/>
                <w:spacing w:val="6"/>
                <w:sz w:val="20"/>
                <w:szCs w:val="20"/>
              </w:rPr>
              <w:t>3</w:t>
            </w:r>
            <w:r>
              <w:rPr>
                <w:rFonts w:ascii="Times New Roman" w:hAnsi="Times New Roman" w:eastAsia="Times New Roman" w:cs="Times New Roman"/>
                <w:spacing w:val="-23"/>
                <w:sz w:val="20"/>
                <w:szCs w:val="20"/>
              </w:rPr>
              <w:t xml:space="preserve"> </w:t>
            </w:r>
            <w:r>
              <w:rPr>
                <w:spacing w:val="6"/>
                <w:sz w:val="20"/>
                <w:szCs w:val="20"/>
              </w:rPr>
              <w:t>、本项目生产用水循环利用。</w:t>
            </w:r>
          </w:p>
        </w:tc>
        <w:tc>
          <w:tcPr>
            <w:tcW w:w="685" w:type="dxa"/>
            <w:tcBorders>
              <w:bottom w:val="single" w:color="000000" w:sz="10" w:space="0"/>
              <w:right w:val="nil"/>
            </w:tcBorders>
            <w:vAlign w:val="top"/>
          </w:tcPr>
          <w:p w14:paraId="43F9C843">
            <w:pPr>
              <w:rPr>
                <w:rFonts w:ascii="Arial"/>
                <w:sz w:val="21"/>
              </w:rPr>
            </w:pPr>
          </w:p>
        </w:tc>
      </w:tr>
    </w:tbl>
    <w:p w14:paraId="6D593445">
      <w:pPr>
        <w:pStyle w:val="2"/>
      </w:pPr>
    </w:p>
    <w:p w14:paraId="6669E6DE">
      <w:pPr>
        <w:sectPr>
          <w:footerReference r:id="rId35" w:type="default"/>
          <w:pgSz w:w="16839" w:h="11906"/>
          <w:pgMar w:top="1235" w:right="1310" w:bottom="1269" w:left="1310" w:header="925" w:footer="1083" w:gutter="0"/>
          <w:cols w:space="720" w:num="1"/>
        </w:sectPr>
      </w:pPr>
    </w:p>
    <w:p w14:paraId="46DDB510">
      <w:pPr>
        <w:spacing w:before="288" w:line="227" w:lineRule="auto"/>
        <w:ind w:left="7"/>
        <w:outlineLvl w:val="1"/>
        <w:rPr>
          <w:rFonts w:ascii="黑体" w:hAnsi="黑体" w:eastAsia="黑体" w:cs="黑体"/>
          <w:sz w:val="31"/>
          <w:szCs w:val="31"/>
        </w:rPr>
      </w:pPr>
      <w:r>
        <w:pict>
          <v:shape id="_x0000_s1046" o:spid="_x0000_s1046" style="position:absolute;left:0pt;margin-left:70.85pt;margin-top:59.65pt;height:0.75pt;width:453.65pt;mso-position-horizontal-relative:page;mso-position-vertical-relative:page;z-index:251680768;mso-width-relative:page;mso-height-relative:page;" fillcolor="#000000" filled="t" stroked="f" coordsize="9072,15" o:allowincell="f" path="m0,0l9072,0,9072,14,0,14,0,0xe">
            <v:path/>
            <v:fill on="t" focussize="0,0"/>
            <v:stroke on="f"/>
            <v:imagedata o:title=""/>
            <o:lock v:ext="edit"/>
          </v:shape>
        </w:pict>
      </w:r>
      <w:bookmarkStart w:id="266" w:name="bookmark20"/>
      <w:bookmarkEnd w:id="266"/>
      <w:r>
        <w:rPr>
          <w:rFonts w:ascii="Times New Roman" w:hAnsi="Times New Roman" w:eastAsia="Times New Roman" w:cs="Times New Roman"/>
          <w:spacing w:val="8"/>
          <w:sz w:val="31"/>
          <w:szCs w:val="31"/>
        </w:rPr>
        <w:t>4.</w:t>
      </w:r>
      <w:r>
        <w:rPr>
          <w:rFonts w:ascii="黑体" w:hAnsi="黑体" w:eastAsia="黑体" w:cs="黑体"/>
          <w:spacing w:val="8"/>
          <w:sz w:val="31"/>
          <w:szCs w:val="31"/>
        </w:rPr>
        <w:t>关注的主要环境问题</w:t>
      </w:r>
    </w:p>
    <w:p w14:paraId="60AC9744">
      <w:pPr>
        <w:spacing w:before="228" w:line="354" w:lineRule="auto"/>
        <w:ind w:left="12" w:right="21" w:firstLine="483"/>
        <w:rPr>
          <w:rFonts w:ascii="宋体" w:hAnsi="宋体" w:eastAsia="宋体" w:cs="宋体"/>
          <w:sz w:val="24"/>
          <w:szCs w:val="24"/>
        </w:rPr>
      </w:pPr>
      <w:r>
        <w:rPr>
          <w:rFonts w:ascii="宋体" w:hAnsi="宋体" w:eastAsia="宋体" w:cs="宋体"/>
          <w:spacing w:val="-2"/>
          <w:sz w:val="24"/>
          <w:szCs w:val="24"/>
        </w:rPr>
        <w:t>项目建设施工过程中施工扬尘、物料运输扬尘及施工机械产生的尾气对大气环境质</w:t>
      </w:r>
      <w:r>
        <w:rPr>
          <w:rFonts w:ascii="宋体" w:hAnsi="宋体" w:eastAsia="宋体" w:cs="宋体"/>
          <w:spacing w:val="9"/>
          <w:sz w:val="24"/>
          <w:szCs w:val="24"/>
        </w:rPr>
        <w:t xml:space="preserve"> </w:t>
      </w:r>
      <w:r>
        <w:rPr>
          <w:rFonts w:ascii="宋体" w:hAnsi="宋体" w:eastAsia="宋体" w:cs="宋体"/>
          <w:spacing w:val="-2"/>
          <w:sz w:val="24"/>
          <w:szCs w:val="24"/>
        </w:rPr>
        <w:t>量产生的影响；施工造成、物料运输过程产生的造成对运输道路及厂址周边居民点的办</w:t>
      </w:r>
      <w:r>
        <w:rPr>
          <w:rFonts w:ascii="宋体" w:hAnsi="宋体" w:eastAsia="宋体" w:cs="宋体"/>
          <w:spacing w:val="17"/>
          <w:sz w:val="24"/>
          <w:szCs w:val="24"/>
        </w:rPr>
        <w:t xml:space="preserve"> </w:t>
      </w:r>
      <w:r>
        <w:rPr>
          <w:rFonts w:ascii="宋体" w:hAnsi="宋体" w:eastAsia="宋体" w:cs="宋体"/>
          <w:spacing w:val="-2"/>
          <w:sz w:val="24"/>
          <w:szCs w:val="24"/>
        </w:rPr>
        <w:t>公生活、休息造成影响；施工废水及施工人员产生的生活污水未妥善处理对区域水环境</w:t>
      </w:r>
      <w:r>
        <w:rPr>
          <w:rFonts w:ascii="宋体" w:hAnsi="宋体" w:eastAsia="宋体" w:cs="宋体"/>
          <w:spacing w:val="17"/>
          <w:sz w:val="24"/>
          <w:szCs w:val="24"/>
        </w:rPr>
        <w:t xml:space="preserve"> </w:t>
      </w:r>
      <w:r>
        <w:rPr>
          <w:rFonts w:ascii="宋体" w:hAnsi="宋体" w:eastAsia="宋体" w:cs="宋体"/>
          <w:spacing w:val="-6"/>
          <w:sz w:val="24"/>
          <w:szCs w:val="24"/>
        </w:rPr>
        <w:t>产生的影响；挖方弃土、建筑垃圾等为合理处置对土壤、景观生态及水环境</w:t>
      </w:r>
      <w:r>
        <w:rPr>
          <w:rFonts w:ascii="宋体" w:hAnsi="宋体" w:eastAsia="宋体" w:cs="宋体"/>
          <w:spacing w:val="-7"/>
          <w:sz w:val="24"/>
          <w:szCs w:val="24"/>
        </w:rPr>
        <w:t>产生的影响；</w:t>
      </w:r>
      <w:r>
        <w:rPr>
          <w:rFonts w:ascii="宋体" w:hAnsi="宋体" w:eastAsia="宋体" w:cs="宋体"/>
          <w:sz w:val="24"/>
          <w:szCs w:val="24"/>
        </w:rPr>
        <w:t xml:space="preserve"> 土地平整、挖填方及临时占地等造成的水土流失、生物</w:t>
      </w:r>
      <w:r>
        <w:rPr>
          <w:rFonts w:ascii="宋体" w:hAnsi="宋体" w:eastAsia="宋体" w:cs="宋体"/>
          <w:spacing w:val="-1"/>
          <w:sz w:val="24"/>
          <w:szCs w:val="24"/>
        </w:rPr>
        <w:t>量损失等生态环境影响。</w:t>
      </w:r>
    </w:p>
    <w:p w14:paraId="6F3BF30A">
      <w:pPr>
        <w:spacing w:before="31" w:line="355" w:lineRule="auto"/>
        <w:ind w:firstLine="492"/>
        <w:rPr>
          <w:rFonts w:ascii="宋体" w:hAnsi="宋体" w:eastAsia="宋体" w:cs="宋体"/>
          <w:sz w:val="24"/>
          <w:szCs w:val="24"/>
        </w:rPr>
      </w:pPr>
      <w:r>
        <w:rPr>
          <w:rFonts w:ascii="宋体" w:hAnsi="宋体" w:eastAsia="宋体" w:cs="宋体"/>
          <w:spacing w:val="-2"/>
          <w:sz w:val="24"/>
          <w:szCs w:val="24"/>
        </w:rPr>
        <w:t>运营期生产过程排放的焦炭、锰矿石干燥废气、烧结机头、机尾废气、燃气锅炉烟</w:t>
      </w:r>
      <w:r>
        <w:rPr>
          <w:rFonts w:ascii="宋体" w:hAnsi="宋体" w:eastAsia="宋体" w:cs="宋体"/>
          <w:spacing w:val="13"/>
          <w:sz w:val="24"/>
          <w:szCs w:val="24"/>
        </w:rPr>
        <w:t xml:space="preserve"> </w:t>
      </w:r>
      <w:r>
        <w:rPr>
          <w:rFonts w:ascii="宋体" w:hAnsi="宋体" w:eastAsia="宋体" w:cs="宋体"/>
          <w:spacing w:val="2"/>
          <w:sz w:val="24"/>
          <w:szCs w:val="24"/>
        </w:rPr>
        <w:t>气、污水处理臭气和各环节粉尘等排放废气的中颗粒物、</w:t>
      </w:r>
      <w:r>
        <w:rPr>
          <w:rFonts w:ascii="Times New Roman" w:hAnsi="Times New Roman" w:eastAsia="Times New Roman" w:cs="Times New Roman"/>
          <w:sz w:val="24"/>
          <w:szCs w:val="24"/>
        </w:rPr>
        <w:t>SO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z w:val="24"/>
          <w:szCs w:val="24"/>
        </w:rPr>
        <w:t>NO</w:t>
      </w:r>
      <w:r>
        <w:rPr>
          <w:rFonts w:ascii="Times New Roman" w:hAnsi="Times New Roman" w:eastAsia="Times New Roman" w:cs="Times New Roman"/>
          <w:position w:val="-1"/>
          <w:sz w:val="15"/>
          <w:szCs w:val="15"/>
        </w:rPr>
        <w:t>x</w:t>
      </w:r>
      <w:r>
        <w:rPr>
          <w:rFonts w:ascii="Times New Roman" w:hAnsi="Times New Roman" w:eastAsia="Times New Roman" w:cs="Times New Roman"/>
          <w:spacing w:val="-8"/>
          <w:position w:val="-1"/>
          <w:sz w:val="15"/>
          <w:szCs w:val="15"/>
        </w:rPr>
        <w:t xml:space="preserve"> </w:t>
      </w:r>
      <w:r>
        <w:rPr>
          <w:rFonts w:ascii="宋体" w:hAnsi="宋体" w:eastAsia="宋体" w:cs="宋体"/>
          <w:spacing w:val="2"/>
          <w:sz w:val="24"/>
          <w:szCs w:val="24"/>
        </w:rPr>
        <w:t>、锰及其化合物、</w:t>
      </w:r>
      <w:r>
        <w:rPr>
          <w:rFonts w:ascii="宋体" w:hAnsi="宋体" w:eastAsia="宋体" w:cs="宋体"/>
          <w:sz w:val="24"/>
          <w:szCs w:val="24"/>
        </w:rPr>
        <w:t xml:space="preserve"> </w:t>
      </w:r>
      <w:r>
        <w:rPr>
          <w:rFonts w:ascii="Times New Roman" w:hAnsi="Times New Roman" w:eastAsia="Times New Roman" w:cs="Times New Roman"/>
          <w:spacing w:val="-4"/>
          <w:sz w:val="24"/>
          <w:szCs w:val="24"/>
        </w:rPr>
        <w:t>NH</w:t>
      </w:r>
      <w:r>
        <w:rPr>
          <w:rFonts w:ascii="Times New Roman" w:hAnsi="Times New Roman" w:eastAsia="Times New Roman" w:cs="Times New Roman"/>
          <w:spacing w:val="-4"/>
          <w:position w:val="-1"/>
          <w:sz w:val="15"/>
          <w:szCs w:val="15"/>
        </w:rPr>
        <w:t>3</w:t>
      </w:r>
      <w:r>
        <w:rPr>
          <w:rFonts w:ascii="Times New Roman" w:hAnsi="Times New Roman" w:eastAsia="Times New Roman" w:cs="Times New Roman"/>
          <w:spacing w:val="-10"/>
          <w:position w:val="-1"/>
          <w:sz w:val="15"/>
          <w:szCs w:val="15"/>
        </w:rPr>
        <w:t xml:space="preserve"> </w:t>
      </w:r>
      <w:r>
        <w:rPr>
          <w:rFonts w:ascii="宋体" w:hAnsi="宋体" w:eastAsia="宋体" w:cs="宋体"/>
          <w:spacing w:val="-4"/>
          <w:sz w:val="24"/>
          <w:szCs w:val="24"/>
        </w:rPr>
        <w:t>，以及无组织排放的颗粒物、锰及其化合物等对</w:t>
      </w:r>
      <w:r>
        <w:rPr>
          <w:rFonts w:ascii="宋体" w:hAnsi="宋体" w:eastAsia="宋体" w:cs="宋体"/>
          <w:spacing w:val="-5"/>
          <w:sz w:val="24"/>
          <w:szCs w:val="24"/>
        </w:rPr>
        <w:t>环境空气质量的影响；厂区内生产、</w:t>
      </w:r>
      <w:r>
        <w:rPr>
          <w:rFonts w:ascii="宋体" w:hAnsi="宋体" w:eastAsia="宋体" w:cs="宋体"/>
          <w:sz w:val="24"/>
          <w:szCs w:val="24"/>
        </w:rPr>
        <w:t xml:space="preserve"> </w:t>
      </w:r>
      <w:r>
        <w:rPr>
          <w:rFonts w:ascii="宋体" w:hAnsi="宋体" w:eastAsia="宋体" w:cs="宋体"/>
          <w:spacing w:val="-1"/>
          <w:sz w:val="24"/>
          <w:szCs w:val="24"/>
        </w:rPr>
        <w:t>生活废水因防渗层破裂下渗导致的对地下水水质的影响；设备运转</w:t>
      </w:r>
      <w:r>
        <w:rPr>
          <w:rFonts w:ascii="宋体" w:hAnsi="宋体" w:eastAsia="宋体" w:cs="宋体"/>
          <w:spacing w:val="-2"/>
          <w:sz w:val="24"/>
          <w:szCs w:val="24"/>
        </w:rPr>
        <w:t>噪声、物料运输噪声</w:t>
      </w:r>
      <w:r>
        <w:rPr>
          <w:rFonts w:ascii="宋体" w:hAnsi="宋体" w:eastAsia="宋体" w:cs="宋体"/>
          <w:sz w:val="24"/>
          <w:szCs w:val="24"/>
        </w:rPr>
        <w:t xml:space="preserve"> </w:t>
      </w:r>
      <w:r>
        <w:rPr>
          <w:rFonts w:ascii="宋体" w:hAnsi="宋体" w:eastAsia="宋体" w:cs="宋体"/>
          <w:spacing w:val="-1"/>
          <w:sz w:val="24"/>
          <w:szCs w:val="24"/>
        </w:rPr>
        <w:t>等周边村庄的影响；产生的工业固废因处置不当对土壤、地下水环</w:t>
      </w:r>
      <w:r>
        <w:rPr>
          <w:rFonts w:ascii="宋体" w:hAnsi="宋体" w:eastAsia="宋体" w:cs="宋体"/>
          <w:spacing w:val="-2"/>
          <w:sz w:val="24"/>
          <w:szCs w:val="24"/>
        </w:rPr>
        <w:t>境、景观生态环境造</w:t>
      </w:r>
      <w:r>
        <w:rPr>
          <w:rFonts w:ascii="宋体" w:hAnsi="宋体" w:eastAsia="宋体" w:cs="宋体"/>
          <w:sz w:val="24"/>
          <w:szCs w:val="24"/>
        </w:rPr>
        <w:t xml:space="preserve"> 成的影响；环境风险事故对大气环境、水环境、土壤环境等造成的污染影响。</w:t>
      </w:r>
    </w:p>
    <w:p w14:paraId="48287C76">
      <w:pPr>
        <w:spacing w:before="33" w:line="219" w:lineRule="auto"/>
        <w:ind w:left="492"/>
        <w:rPr>
          <w:rFonts w:ascii="宋体" w:hAnsi="宋体" w:eastAsia="宋体" w:cs="宋体"/>
          <w:sz w:val="24"/>
          <w:szCs w:val="24"/>
        </w:rPr>
      </w:pPr>
      <w:r>
        <w:rPr>
          <w:rFonts w:ascii="宋体" w:hAnsi="宋体" w:eastAsia="宋体" w:cs="宋体"/>
          <w:spacing w:val="-1"/>
          <w:sz w:val="24"/>
          <w:szCs w:val="24"/>
        </w:rPr>
        <w:t>根据项目的产排污特点，需关注的主要环境问题及环境影响：</w:t>
      </w:r>
    </w:p>
    <w:p w14:paraId="05172130">
      <w:pPr>
        <w:spacing w:before="183" w:line="324" w:lineRule="auto"/>
        <w:ind w:left="11"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）生产各环节粉尘、烧结机头、机尾废气、焦炭及锰矿石干燥废气等大气污染</w:t>
      </w:r>
      <w:r>
        <w:rPr>
          <w:rFonts w:ascii="宋体" w:hAnsi="宋体" w:eastAsia="宋体" w:cs="宋体"/>
          <w:spacing w:val="13"/>
          <w:sz w:val="24"/>
          <w:szCs w:val="24"/>
        </w:rPr>
        <w:t xml:space="preserve"> </w:t>
      </w:r>
      <w:r>
        <w:rPr>
          <w:rFonts w:ascii="宋体" w:hAnsi="宋体" w:eastAsia="宋体" w:cs="宋体"/>
          <w:spacing w:val="-6"/>
          <w:sz w:val="24"/>
          <w:szCs w:val="24"/>
        </w:rPr>
        <w:t>源的产生与排放情况，以及对周围环境的影响。原辅料中粉料比例较高，其装卸、转运、</w:t>
      </w:r>
      <w:r>
        <w:rPr>
          <w:rFonts w:ascii="宋体" w:hAnsi="宋体" w:eastAsia="宋体" w:cs="宋体"/>
          <w:spacing w:val="16"/>
          <w:sz w:val="24"/>
          <w:szCs w:val="24"/>
        </w:rPr>
        <w:t xml:space="preserve"> </w:t>
      </w:r>
      <w:r>
        <w:rPr>
          <w:rFonts w:ascii="宋体" w:hAnsi="宋体" w:eastAsia="宋体" w:cs="宋体"/>
          <w:spacing w:val="-2"/>
          <w:sz w:val="24"/>
          <w:szCs w:val="24"/>
        </w:rPr>
        <w:t>贮存等过程中无组织粉尘排放量较大，重点关注，物料的全封闭贮存库的建设及各无组</w:t>
      </w:r>
      <w:r>
        <w:rPr>
          <w:rFonts w:ascii="宋体" w:hAnsi="宋体" w:eastAsia="宋体" w:cs="宋体"/>
          <w:spacing w:val="18"/>
          <w:sz w:val="24"/>
          <w:szCs w:val="24"/>
        </w:rPr>
        <w:t xml:space="preserve"> </w:t>
      </w:r>
      <w:r>
        <w:rPr>
          <w:rFonts w:ascii="宋体" w:hAnsi="宋体" w:eastAsia="宋体" w:cs="宋体"/>
          <w:spacing w:val="-1"/>
          <w:sz w:val="24"/>
          <w:szCs w:val="24"/>
        </w:rPr>
        <w:t>织颗粒物排放点的控制措施。</w:t>
      </w:r>
    </w:p>
    <w:p w14:paraId="4D28615F">
      <w:pPr>
        <w:spacing w:before="179" w:line="325" w:lineRule="auto"/>
        <w:ind w:left="12" w:right="80"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）本项目生活污水、化验室废水经一体化污水处理设施处理后由罐车运至苏尼</w:t>
      </w:r>
      <w:r>
        <w:rPr>
          <w:rFonts w:ascii="宋体" w:hAnsi="宋体" w:eastAsia="宋体" w:cs="宋体"/>
          <w:spacing w:val="14"/>
          <w:sz w:val="24"/>
          <w:szCs w:val="24"/>
        </w:rPr>
        <w:t xml:space="preserve"> </w:t>
      </w:r>
      <w:r>
        <w:rPr>
          <w:rFonts w:ascii="宋体" w:hAnsi="宋体" w:eastAsia="宋体" w:cs="宋体"/>
          <w:spacing w:val="-2"/>
          <w:sz w:val="24"/>
          <w:szCs w:val="24"/>
        </w:rPr>
        <w:t>特右旗赛汉塔拉镇污水处理厂进一步处理，生产废水全部处理后综合利用，重点关注废</w:t>
      </w:r>
      <w:r>
        <w:rPr>
          <w:rFonts w:ascii="宋体" w:hAnsi="宋体" w:eastAsia="宋体" w:cs="宋体"/>
          <w:spacing w:val="17"/>
          <w:sz w:val="24"/>
          <w:szCs w:val="24"/>
        </w:rPr>
        <w:t xml:space="preserve"> </w:t>
      </w:r>
      <w:r>
        <w:rPr>
          <w:rFonts w:ascii="宋体" w:hAnsi="宋体" w:eastAsia="宋体" w:cs="宋体"/>
          <w:spacing w:val="-2"/>
          <w:sz w:val="24"/>
          <w:szCs w:val="24"/>
        </w:rPr>
        <w:t>水综合利用的可行性及生活污水、化验室废水经一体化污水处理设施处理达标排放的可</w:t>
      </w:r>
      <w:r>
        <w:rPr>
          <w:rFonts w:ascii="宋体" w:hAnsi="宋体" w:eastAsia="宋体" w:cs="宋体"/>
          <w:spacing w:val="17"/>
          <w:sz w:val="24"/>
          <w:szCs w:val="24"/>
        </w:rPr>
        <w:t xml:space="preserve"> </w:t>
      </w:r>
      <w:r>
        <w:rPr>
          <w:rFonts w:ascii="宋体" w:hAnsi="宋体" w:eastAsia="宋体" w:cs="宋体"/>
          <w:spacing w:val="-4"/>
          <w:sz w:val="24"/>
          <w:szCs w:val="24"/>
        </w:rPr>
        <w:t>行性。</w:t>
      </w:r>
    </w:p>
    <w:p w14:paraId="69C5E180">
      <w:pPr>
        <w:spacing w:before="180" w:line="288" w:lineRule="auto"/>
        <w:ind w:left="41" w:right="80" w:firstLine="46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）本项目建设对地下水环境的影响，包括正常工况及事故工况下的影响，以及</w:t>
      </w:r>
      <w:r>
        <w:rPr>
          <w:rFonts w:ascii="宋体" w:hAnsi="宋体" w:eastAsia="宋体" w:cs="宋体"/>
          <w:spacing w:val="13"/>
          <w:sz w:val="24"/>
          <w:szCs w:val="24"/>
        </w:rPr>
        <w:t xml:space="preserve"> </w:t>
      </w:r>
      <w:r>
        <w:rPr>
          <w:rFonts w:ascii="宋体" w:hAnsi="宋体" w:eastAsia="宋体" w:cs="宋体"/>
          <w:spacing w:val="-1"/>
          <w:sz w:val="24"/>
          <w:szCs w:val="24"/>
        </w:rPr>
        <w:t>由此提出的相应防渗措施及事故风险防范设施，是</w:t>
      </w:r>
      <w:r>
        <w:rPr>
          <w:rFonts w:ascii="宋体" w:hAnsi="宋体" w:eastAsia="宋体" w:cs="宋体"/>
          <w:spacing w:val="-2"/>
          <w:sz w:val="24"/>
          <w:szCs w:val="24"/>
        </w:rPr>
        <w:t>本项目的关注重点。</w:t>
      </w:r>
    </w:p>
    <w:p w14:paraId="3061B640">
      <w:pPr>
        <w:spacing w:before="184" w:line="295" w:lineRule="auto"/>
        <w:ind w:left="12" w:right="80"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）固体废物厂区内的临时贮存情况、外运处置情况及综合利用途径的可行性论</w:t>
      </w:r>
      <w:r>
        <w:rPr>
          <w:rFonts w:ascii="宋体" w:hAnsi="宋体" w:eastAsia="宋体" w:cs="宋体"/>
          <w:spacing w:val="13"/>
          <w:sz w:val="24"/>
          <w:szCs w:val="24"/>
        </w:rPr>
        <w:t xml:space="preserve"> </w:t>
      </w:r>
      <w:r>
        <w:rPr>
          <w:rFonts w:ascii="宋体" w:hAnsi="宋体" w:eastAsia="宋体" w:cs="宋体"/>
          <w:spacing w:val="-5"/>
          <w:sz w:val="24"/>
          <w:szCs w:val="24"/>
        </w:rPr>
        <w:t>证。</w:t>
      </w:r>
    </w:p>
    <w:p w14:paraId="577D6D99">
      <w:pPr>
        <w:spacing w:before="169" w:line="312" w:lineRule="auto"/>
        <w:ind w:left="17" w:right="80" w:firstLine="485"/>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）电炉回收煤气属于有毒有害易燃易爆物质，重点关注生产装置、气柜等单元</w:t>
      </w:r>
      <w:r>
        <w:rPr>
          <w:rFonts w:ascii="宋体" w:hAnsi="宋体" w:eastAsia="宋体" w:cs="宋体"/>
          <w:spacing w:val="13"/>
          <w:sz w:val="24"/>
          <w:szCs w:val="24"/>
        </w:rPr>
        <w:t xml:space="preserve"> </w:t>
      </w:r>
      <w:r>
        <w:rPr>
          <w:rFonts w:ascii="宋体" w:hAnsi="宋体" w:eastAsia="宋体" w:cs="宋体"/>
          <w:spacing w:val="-2"/>
          <w:sz w:val="24"/>
          <w:szCs w:val="24"/>
        </w:rPr>
        <w:t>并进行风险识别的及源项分析，预测事故状态下的影响程度和范围，提出切实可行的风</w:t>
      </w:r>
      <w:r>
        <w:rPr>
          <w:rFonts w:ascii="宋体" w:hAnsi="宋体" w:eastAsia="宋体" w:cs="宋体"/>
          <w:spacing w:val="11"/>
          <w:sz w:val="24"/>
          <w:szCs w:val="24"/>
        </w:rPr>
        <w:t xml:space="preserve"> </w:t>
      </w:r>
      <w:r>
        <w:rPr>
          <w:rFonts w:ascii="宋体" w:hAnsi="宋体" w:eastAsia="宋体" w:cs="宋体"/>
          <w:spacing w:val="-1"/>
          <w:sz w:val="24"/>
          <w:szCs w:val="24"/>
        </w:rPr>
        <w:t>险防控和减缓措施及风险应急预案。</w:t>
      </w:r>
    </w:p>
    <w:p w14:paraId="28853668">
      <w:pPr>
        <w:spacing w:line="312" w:lineRule="auto"/>
        <w:rPr>
          <w:rFonts w:ascii="宋体" w:hAnsi="宋体" w:eastAsia="宋体" w:cs="宋体"/>
          <w:sz w:val="24"/>
          <w:szCs w:val="24"/>
        </w:rPr>
        <w:sectPr>
          <w:headerReference r:id="rId36" w:type="default"/>
          <w:footerReference r:id="rId37" w:type="default"/>
          <w:pgSz w:w="11906" w:h="16839"/>
          <w:pgMar w:top="1178" w:right="1337" w:bottom="1212" w:left="1413" w:header="870" w:footer="1025" w:gutter="0"/>
          <w:cols w:space="720" w:num="1"/>
        </w:sectPr>
      </w:pPr>
    </w:p>
    <w:p w14:paraId="17375ED1">
      <w:pPr>
        <w:spacing w:before="288" w:line="227" w:lineRule="auto"/>
        <w:ind w:left="14"/>
        <w:outlineLvl w:val="1"/>
        <w:rPr>
          <w:rFonts w:ascii="黑体" w:hAnsi="黑体" w:eastAsia="黑体" w:cs="黑体"/>
          <w:sz w:val="31"/>
          <w:szCs w:val="31"/>
        </w:rPr>
      </w:pPr>
      <w:r>
        <w:pict>
          <v:shape id="_x0000_s1047" o:spid="_x0000_s1047" style="position:absolute;left:0pt;margin-left:70.85pt;margin-top:59.65pt;height:0.75pt;width:453.65pt;mso-position-horizontal-relative:page;mso-position-vertical-relative:page;z-index:251681792;mso-width-relative:page;mso-height-relative:page;" fillcolor="#000000" filled="t" stroked="f" coordsize="9072,15" o:allowincell="f" path="m0,0l9072,0,9072,14,0,14,0,0xe">
            <v:path/>
            <v:fill on="t" focussize="0,0"/>
            <v:stroke on="f"/>
            <v:imagedata o:title=""/>
            <o:lock v:ext="edit"/>
          </v:shape>
        </w:pict>
      </w:r>
      <w:bookmarkStart w:id="267" w:name="bookmark37"/>
      <w:bookmarkEnd w:id="267"/>
      <w:bookmarkStart w:id="268" w:name="bookmark22"/>
      <w:bookmarkEnd w:id="268"/>
      <w:bookmarkStart w:id="269" w:name="bookmark35"/>
      <w:bookmarkEnd w:id="269"/>
      <w:bookmarkStart w:id="270" w:name="bookmark31"/>
      <w:bookmarkEnd w:id="270"/>
      <w:bookmarkStart w:id="271" w:name="bookmark33"/>
      <w:bookmarkEnd w:id="271"/>
      <w:r>
        <w:rPr>
          <w:rFonts w:ascii="Times New Roman" w:hAnsi="Times New Roman" w:eastAsia="Times New Roman" w:cs="Times New Roman"/>
          <w:spacing w:val="8"/>
          <w:sz w:val="31"/>
          <w:szCs w:val="31"/>
        </w:rPr>
        <w:t>5.</w:t>
      </w:r>
      <w:r>
        <w:rPr>
          <w:rFonts w:ascii="黑体" w:hAnsi="黑体" w:eastAsia="黑体" w:cs="黑体"/>
          <w:spacing w:val="8"/>
          <w:sz w:val="31"/>
          <w:szCs w:val="31"/>
        </w:rPr>
        <w:t>环境影响评价报告书的主要结论</w:t>
      </w:r>
    </w:p>
    <w:p w14:paraId="7B242BF5">
      <w:pPr>
        <w:spacing w:before="229" w:line="355" w:lineRule="auto"/>
        <w:ind w:left="7" w:firstLine="481"/>
        <w:rPr>
          <w:rFonts w:ascii="宋体" w:hAnsi="宋体" w:eastAsia="宋体" w:cs="宋体"/>
          <w:sz w:val="24"/>
          <w:szCs w:val="24"/>
        </w:rPr>
      </w:pPr>
      <w:r>
        <w:rPr>
          <w:rFonts w:ascii="宋体" w:hAnsi="宋体" w:eastAsia="宋体" w:cs="宋体"/>
          <w:spacing w:val="4"/>
          <w:sz w:val="24"/>
          <w:szCs w:val="24"/>
        </w:rPr>
        <w:t>本项目符合苏尼特经济开发区</w:t>
      </w:r>
      <w:r>
        <w:rPr>
          <w:rFonts w:ascii="Times New Roman" w:hAnsi="Times New Roman" w:eastAsia="Times New Roman" w:cs="Times New Roman"/>
          <w:spacing w:val="4"/>
          <w:sz w:val="24"/>
          <w:szCs w:val="24"/>
        </w:rPr>
        <w:t>-</w:t>
      </w:r>
      <w:r>
        <w:rPr>
          <w:rFonts w:ascii="宋体" w:hAnsi="宋体" w:eastAsia="宋体" w:cs="宋体"/>
          <w:spacing w:val="4"/>
          <w:sz w:val="24"/>
          <w:szCs w:val="24"/>
        </w:rPr>
        <w:t>朱日和产业园总体规划、</w:t>
      </w:r>
      <w:r>
        <w:rPr>
          <w:rFonts w:ascii="宋体" w:hAnsi="宋体" w:eastAsia="宋体" w:cs="宋体"/>
          <w:spacing w:val="3"/>
          <w:sz w:val="24"/>
          <w:szCs w:val="24"/>
        </w:rPr>
        <w:t>规划环评及其审查意见。</w:t>
      </w:r>
      <w:r>
        <w:rPr>
          <w:rFonts w:ascii="宋体" w:hAnsi="宋体" w:eastAsia="宋体" w:cs="宋体"/>
          <w:sz w:val="24"/>
          <w:szCs w:val="24"/>
        </w:rPr>
        <w:t xml:space="preserve"> </w:t>
      </w:r>
      <w:r>
        <w:rPr>
          <w:rFonts w:ascii="宋体" w:hAnsi="宋体" w:eastAsia="宋体" w:cs="宋体"/>
          <w:spacing w:val="-2"/>
          <w:sz w:val="24"/>
          <w:szCs w:val="24"/>
        </w:rPr>
        <w:t>在设计中采取了清洁生产、节水减排和各项环保措施，项目实施后经济效益、社会效益</w:t>
      </w:r>
      <w:r>
        <w:rPr>
          <w:rFonts w:ascii="宋体" w:hAnsi="宋体" w:eastAsia="宋体" w:cs="宋体"/>
          <w:spacing w:val="18"/>
          <w:sz w:val="24"/>
          <w:szCs w:val="24"/>
        </w:rPr>
        <w:t xml:space="preserve"> </w:t>
      </w:r>
      <w:r>
        <w:rPr>
          <w:rFonts w:ascii="宋体" w:hAnsi="宋体" w:eastAsia="宋体" w:cs="宋体"/>
          <w:spacing w:val="-2"/>
          <w:sz w:val="24"/>
          <w:szCs w:val="24"/>
        </w:rPr>
        <w:t>和环境效益明显。项目建设对周围环境敏感目标的影响不大，不会改变区域环境空气功</w:t>
      </w:r>
      <w:r>
        <w:rPr>
          <w:rFonts w:ascii="宋体" w:hAnsi="宋体" w:eastAsia="宋体" w:cs="宋体"/>
          <w:spacing w:val="18"/>
          <w:sz w:val="24"/>
          <w:szCs w:val="24"/>
        </w:rPr>
        <w:t xml:space="preserve"> </w:t>
      </w:r>
      <w:r>
        <w:rPr>
          <w:rFonts w:ascii="宋体" w:hAnsi="宋体" w:eastAsia="宋体" w:cs="宋体"/>
          <w:spacing w:val="-2"/>
          <w:sz w:val="24"/>
          <w:szCs w:val="24"/>
        </w:rPr>
        <w:t>能现状，在采取合理可行的防渗措施后对地下水水质影响较小，在采取相应环境风险防</w:t>
      </w:r>
      <w:r>
        <w:rPr>
          <w:rFonts w:ascii="宋体" w:hAnsi="宋体" w:eastAsia="宋体" w:cs="宋体"/>
          <w:spacing w:val="18"/>
          <w:sz w:val="24"/>
          <w:szCs w:val="24"/>
        </w:rPr>
        <w:t xml:space="preserve"> </w:t>
      </w:r>
      <w:r>
        <w:rPr>
          <w:rFonts w:ascii="宋体" w:hAnsi="宋体" w:eastAsia="宋体" w:cs="宋体"/>
          <w:spacing w:val="-6"/>
          <w:sz w:val="24"/>
          <w:szCs w:val="24"/>
        </w:rPr>
        <w:t>范和应急管理措施后，环境风险程度处于可接受水平。项目建设满足当地环境质量底线、</w:t>
      </w:r>
      <w:r>
        <w:rPr>
          <w:rFonts w:ascii="宋体" w:hAnsi="宋体" w:eastAsia="宋体" w:cs="宋体"/>
          <w:spacing w:val="16"/>
          <w:sz w:val="24"/>
          <w:szCs w:val="24"/>
        </w:rPr>
        <w:t xml:space="preserve"> </w:t>
      </w:r>
      <w:r>
        <w:rPr>
          <w:rFonts w:ascii="宋体" w:hAnsi="宋体" w:eastAsia="宋体" w:cs="宋体"/>
          <w:spacing w:val="-2"/>
          <w:sz w:val="24"/>
          <w:szCs w:val="24"/>
        </w:rPr>
        <w:t>资源利用上线、生态保护红线及环境准入负面清单。因此，项目在落实环境影响报告书</w:t>
      </w:r>
      <w:r>
        <w:rPr>
          <w:rFonts w:ascii="宋体" w:hAnsi="宋体" w:eastAsia="宋体" w:cs="宋体"/>
          <w:spacing w:val="18"/>
          <w:sz w:val="24"/>
          <w:szCs w:val="24"/>
        </w:rPr>
        <w:t xml:space="preserve"> </w:t>
      </w:r>
      <w:r>
        <w:rPr>
          <w:rFonts w:ascii="宋体" w:hAnsi="宋体" w:eastAsia="宋体" w:cs="宋体"/>
          <w:sz w:val="24"/>
          <w:szCs w:val="24"/>
        </w:rPr>
        <w:t>提出的环境保护措施、环境风险防范及应急管理措施后，项目的</w:t>
      </w:r>
      <w:r>
        <w:rPr>
          <w:rFonts w:ascii="宋体" w:hAnsi="宋体" w:eastAsia="宋体" w:cs="宋体"/>
          <w:spacing w:val="-1"/>
          <w:sz w:val="24"/>
          <w:szCs w:val="24"/>
        </w:rPr>
        <w:t>建设具有环境可行性。</w:t>
      </w:r>
    </w:p>
    <w:p w14:paraId="4EA99064">
      <w:pPr>
        <w:spacing w:line="355" w:lineRule="auto"/>
        <w:rPr>
          <w:rFonts w:ascii="宋体" w:hAnsi="宋体" w:eastAsia="宋体" w:cs="宋体"/>
          <w:sz w:val="24"/>
          <w:szCs w:val="24"/>
        </w:rPr>
        <w:sectPr>
          <w:headerReference r:id="rId38" w:type="default"/>
          <w:footerReference r:id="rId39" w:type="default"/>
          <w:pgSz w:w="11906" w:h="16839"/>
          <w:pgMar w:top="1178" w:right="1337" w:bottom="1212" w:left="1417" w:header="870" w:footer="1025" w:gutter="0"/>
          <w:cols w:space="720" w:num="1"/>
        </w:sectPr>
      </w:pPr>
    </w:p>
    <w:p w14:paraId="475E9DD2">
      <w:pPr>
        <w:spacing w:before="291" w:line="227" w:lineRule="auto"/>
        <w:ind w:left="3377"/>
        <w:outlineLvl w:val="0"/>
        <w:rPr>
          <w:rFonts w:ascii="黑体" w:hAnsi="黑体" w:eastAsia="黑体" w:cs="黑体"/>
          <w:sz w:val="35"/>
          <w:szCs w:val="35"/>
        </w:rPr>
      </w:pPr>
      <w:r>
        <w:pict>
          <v:shape id="_x0000_s1048" o:spid="_x0000_s1048" style="position:absolute;left:0pt;margin-left:70.85pt;margin-top:59.65pt;height:0.75pt;width:453.65pt;mso-position-horizontal-relative:page;mso-position-vertical-relative:page;z-index:251682816;mso-width-relative:page;mso-height-relative:page;" fillcolor="#000000" filled="t" stroked="f" coordsize="9072,15" o:allowincell="f" path="m0,0l9072,0,9072,14,0,14,0,0xe">
            <v:path/>
            <v:fill on="t" focussize="0,0"/>
            <v:stroke on="f"/>
            <v:imagedata o:title=""/>
            <o:lock v:ext="edit"/>
          </v:shape>
        </w:pict>
      </w:r>
      <w:bookmarkStart w:id="272" w:name="bookmark24"/>
      <w:bookmarkEnd w:id="272"/>
      <w:bookmarkStart w:id="273" w:name="bookmark26"/>
      <w:bookmarkEnd w:id="273"/>
      <w:bookmarkStart w:id="274" w:name="bookmark28"/>
      <w:bookmarkEnd w:id="274"/>
      <w:r>
        <w:rPr>
          <w:rFonts w:ascii="黑体" w:hAnsi="黑体" w:eastAsia="黑体" w:cs="黑体"/>
          <w:b/>
          <w:bCs/>
          <w:sz w:val="35"/>
          <w:szCs w:val="35"/>
        </w:rPr>
        <w:t>第一章</w:t>
      </w:r>
      <w:r>
        <w:rPr>
          <w:rFonts w:ascii="黑体" w:hAnsi="黑体" w:eastAsia="黑体" w:cs="黑体"/>
          <w:spacing w:val="12"/>
          <w:sz w:val="35"/>
          <w:szCs w:val="35"/>
        </w:rPr>
        <w:t xml:space="preserve">   </w:t>
      </w:r>
      <w:r>
        <w:rPr>
          <w:rFonts w:ascii="黑体" w:hAnsi="黑体" w:eastAsia="黑体" w:cs="黑体"/>
          <w:b/>
          <w:bCs/>
          <w:sz w:val="35"/>
          <w:szCs w:val="35"/>
        </w:rPr>
        <w:t>总则</w:t>
      </w:r>
    </w:p>
    <w:p w14:paraId="2B5A1349">
      <w:pPr>
        <w:pStyle w:val="2"/>
        <w:spacing w:line="260" w:lineRule="auto"/>
      </w:pPr>
    </w:p>
    <w:p w14:paraId="1CD2993A">
      <w:pPr>
        <w:pStyle w:val="2"/>
        <w:spacing w:line="261" w:lineRule="auto"/>
      </w:pPr>
    </w:p>
    <w:p w14:paraId="6ADD51F8">
      <w:pPr>
        <w:spacing w:before="101" w:line="226" w:lineRule="auto"/>
        <w:ind w:left="36"/>
        <w:outlineLvl w:val="1"/>
        <w:rPr>
          <w:rFonts w:ascii="黑体" w:hAnsi="黑体" w:eastAsia="黑体" w:cs="黑体"/>
          <w:sz w:val="31"/>
          <w:szCs w:val="31"/>
        </w:rPr>
      </w:pPr>
      <w:r>
        <w:rPr>
          <w:rFonts w:ascii="Times New Roman" w:hAnsi="Times New Roman" w:eastAsia="Times New Roman" w:cs="Times New Roman"/>
          <w:spacing w:val="2"/>
          <w:sz w:val="31"/>
          <w:szCs w:val="31"/>
        </w:rPr>
        <w:t xml:space="preserve">1.1 </w:t>
      </w:r>
      <w:r>
        <w:rPr>
          <w:rFonts w:ascii="黑体" w:hAnsi="黑体" w:eastAsia="黑体" w:cs="黑体"/>
          <w:spacing w:val="2"/>
          <w:sz w:val="31"/>
          <w:szCs w:val="31"/>
        </w:rPr>
        <w:t>编制依据</w:t>
      </w:r>
    </w:p>
    <w:p w14:paraId="566D63C6">
      <w:pPr>
        <w:spacing w:before="238" w:line="221" w:lineRule="auto"/>
        <w:ind w:left="34"/>
        <w:outlineLvl w:val="2"/>
        <w:rPr>
          <w:rFonts w:ascii="黑体" w:hAnsi="黑体" w:eastAsia="黑体" w:cs="黑体"/>
          <w:sz w:val="30"/>
          <w:szCs w:val="30"/>
        </w:rPr>
      </w:pPr>
      <w:bookmarkStart w:id="275" w:name="bookmark43"/>
      <w:bookmarkEnd w:id="275"/>
      <w:bookmarkStart w:id="276" w:name="bookmark45"/>
      <w:bookmarkEnd w:id="276"/>
      <w:bookmarkStart w:id="277" w:name="bookmark39"/>
      <w:bookmarkEnd w:id="277"/>
      <w:r>
        <w:rPr>
          <w:rFonts w:ascii="Times New Roman" w:hAnsi="Times New Roman" w:eastAsia="Times New Roman" w:cs="Times New Roman"/>
          <w:spacing w:val="-4"/>
          <w:sz w:val="30"/>
          <w:szCs w:val="30"/>
        </w:rPr>
        <w:t xml:space="preserve">1.1.1 </w:t>
      </w:r>
      <w:r>
        <w:rPr>
          <w:rFonts w:ascii="黑体" w:hAnsi="黑体" w:eastAsia="黑体" w:cs="黑体"/>
          <w:spacing w:val="-4"/>
          <w:sz w:val="30"/>
          <w:szCs w:val="30"/>
        </w:rPr>
        <w:t>任务依据</w:t>
      </w:r>
    </w:p>
    <w:p w14:paraId="1A89C2C7">
      <w:pPr>
        <w:spacing w:before="215"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）项目环评委托书，</w:t>
      </w:r>
      <w:r>
        <w:rPr>
          <w:rFonts w:ascii="Times New Roman" w:hAnsi="Times New Roman" w:eastAsia="Times New Roman" w:cs="Times New Roman"/>
          <w:spacing w:val="-2"/>
          <w:sz w:val="24"/>
          <w:szCs w:val="24"/>
        </w:rPr>
        <w:t>2024</w:t>
      </w:r>
      <w:r>
        <w:rPr>
          <w:rFonts w:ascii="宋体" w:hAnsi="宋体" w:eastAsia="宋体" w:cs="宋体"/>
          <w:spacing w:val="-2"/>
          <w:sz w:val="24"/>
          <w:szCs w:val="24"/>
        </w:rPr>
        <w:t>年</w:t>
      </w:r>
      <w:r>
        <w:rPr>
          <w:rFonts w:ascii="Times New Roman" w:hAnsi="Times New Roman" w:eastAsia="Times New Roman" w:cs="Times New Roman"/>
          <w:spacing w:val="-2"/>
          <w:sz w:val="24"/>
          <w:szCs w:val="24"/>
        </w:rPr>
        <w:t>4</w:t>
      </w:r>
      <w:r>
        <w:rPr>
          <w:rFonts w:ascii="宋体" w:hAnsi="宋体" w:eastAsia="宋体" w:cs="宋体"/>
          <w:spacing w:val="-2"/>
          <w:sz w:val="24"/>
          <w:szCs w:val="24"/>
        </w:rPr>
        <w:t>月；</w:t>
      </w:r>
    </w:p>
    <w:p w14:paraId="1BABD65A">
      <w:pPr>
        <w:spacing w:before="192" w:line="223" w:lineRule="auto"/>
        <w:ind w:left="34"/>
        <w:outlineLvl w:val="1"/>
        <w:rPr>
          <w:rFonts w:ascii="黑体" w:hAnsi="黑体" w:eastAsia="黑体" w:cs="黑体"/>
          <w:sz w:val="30"/>
          <w:szCs w:val="30"/>
        </w:rPr>
      </w:pPr>
      <w:bookmarkStart w:id="278" w:name="bookmark30"/>
      <w:bookmarkEnd w:id="278"/>
      <w:bookmarkStart w:id="279" w:name="bookmark41"/>
      <w:bookmarkEnd w:id="279"/>
      <w:r>
        <w:rPr>
          <w:rFonts w:ascii="Times New Roman" w:hAnsi="Times New Roman" w:eastAsia="Times New Roman" w:cs="Times New Roman"/>
          <w:spacing w:val="-3"/>
          <w:sz w:val="30"/>
          <w:szCs w:val="30"/>
        </w:rPr>
        <w:t xml:space="preserve">1.1.2 </w:t>
      </w:r>
      <w:r>
        <w:rPr>
          <w:rFonts w:ascii="黑体" w:hAnsi="黑体" w:eastAsia="黑体" w:cs="黑体"/>
          <w:spacing w:val="-3"/>
          <w:sz w:val="30"/>
          <w:szCs w:val="30"/>
        </w:rPr>
        <w:t>环保法规及规定</w:t>
      </w:r>
    </w:p>
    <w:p w14:paraId="2506226D">
      <w:pPr>
        <w:spacing w:before="210" w:line="219" w:lineRule="auto"/>
        <w:ind w:left="499"/>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1</w:t>
      </w:r>
      <w:r>
        <w:rPr>
          <w:rFonts w:ascii="宋体" w:hAnsi="宋体" w:eastAsia="宋体" w:cs="宋体"/>
          <w:spacing w:val="-5"/>
          <w:sz w:val="24"/>
          <w:szCs w:val="24"/>
        </w:rPr>
        <w:t>）《中华人民共和国环境保护法》，</w:t>
      </w:r>
      <w:r>
        <w:rPr>
          <w:rFonts w:ascii="Times New Roman" w:hAnsi="Times New Roman" w:eastAsia="Times New Roman" w:cs="Times New Roman"/>
          <w:spacing w:val="-5"/>
          <w:sz w:val="24"/>
          <w:szCs w:val="24"/>
        </w:rPr>
        <w:t xml:space="preserve">2015 </w:t>
      </w:r>
      <w:r>
        <w:rPr>
          <w:rFonts w:ascii="宋体" w:hAnsi="宋体" w:eastAsia="宋体" w:cs="宋体"/>
          <w:spacing w:val="-5"/>
          <w:sz w:val="24"/>
          <w:szCs w:val="24"/>
        </w:rPr>
        <w:t>年</w:t>
      </w:r>
      <w:r>
        <w:rPr>
          <w:rFonts w:ascii="宋体" w:hAnsi="宋体" w:eastAsia="宋体" w:cs="宋体"/>
          <w:spacing w:val="-31"/>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16"/>
          <w:sz w:val="24"/>
          <w:szCs w:val="24"/>
        </w:rPr>
        <w:t xml:space="preserve"> </w:t>
      </w:r>
      <w:r>
        <w:rPr>
          <w:rFonts w:ascii="宋体" w:hAnsi="宋体" w:eastAsia="宋体" w:cs="宋体"/>
          <w:spacing w:val="-5"/>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 xml:space="preserve">1  </w:t>
      </w:r>
      <w:r>
        <w:rPr>
          <w:rFonts w:ascii="宋体" w:hAnsi="宋体" w:eastAsia="宋体" w:cs="宋体"/>
          <w:spacing w:val="-5"/>
          <w:sz w:val="24"/>
          <w:szCs w:val="24"/>
        </w:rPr>
        <w:t>日；</w:t>
      </w:r>
    </w:p>
    <w:p w14:paraId="3F22527E">
      <w:pPr>
        <w:spacing w:before="183" w:line="219"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2</w:t>
      </w:r>
      <w:r>
        <w:rPr>
          <w:rFonts w:ascii="宋体" w:hAnsi="宋体" w:eastAsia="宋体" w:cs="宋体"/>
          <w:spacing w:val="-4"/>
          <w:sz w:val="24"/>
          <w:szCs w:val="24"/>
        </w:rPr>
        <w:t>）《中华人民共和国水土保持法》，</w:t>
      </w:r>
      <w:r>
        <w:rPr>
          <w:rFonts w:ascii="Times New Roman" w:hAnsi="Times New Roman" w:eastAsia="Times New Roman" w:cs="Times New Roman"/>
          <w:spacing w:val="-4"/>
          <w:sz w:val="24"/>
          <w:szCs w:val="24"/>
        </w:rPr>
        <w:t xml:space="preserve">2010 </w:t>
      </w:r>
      <w:r>
        <w:rPr>
          <w:rFonts w:ascii="宋体" w:hAnsi="宋体" w:eastAsia="宋体" w:cs="宋体"/>
          <w:spacing w:val="-4"/>
          <w:sz w:val="24"/>
          <w:szCs w:val="24"/>
        </w:rPr>
        <w:t>年</w:t>
      </w:r>
      <w:r>
        <w:rPr>
          <w:rFonts w:ascii="宋体" w:hAnsi="宋体" w:eastAsia="宋体" w:cs="宋体"/>
          <w:spacing w:val="-23"/>
          <w:sz w:val="24"/>
          <w:szCs w:val="24"/>
        </w:rPr>
        <w:t xml:space="preserve"> </w:t>
      </w:r>
      <w:r>
        <w:rPr>
          <w:rFonts w:ascii="Times New Roman" w:hAnsi="Times New Roman" w:eastAsia="Times New Roman" w:cs="Times New Roman"/>
          <w:spacing w:val="-4"/>
          <w:sz w:val="24"/>
          <w:szCs w:val="24"/>
        </w:rPr>
        <w:t>12</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25  </w:t>
      </w:r>
      <w:r>
        <w:rPr>
          <w:rFonts w:ascii="宋体" w:hAnsi="宋体" w:eastAsia="宋体" w:cs="宋体"/>
          <w:spacing w:val="-4"/>
          <w:sz w:val="24"/>
          <w:szCs w:val="24"/>
        </w:rPr>
        <w:t>日修订；</w:t>
      </w:r>
    </w:p>
    <w:p w14:paraId="1830088E">
      <w:pPr>
        <w:spacing w:before="183" w:line="218"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3</w:t>
      </w:r>
      <w:r>
        <w:rPr>
          <w:rFonts w:ascii="宋体" w:hAnsi="宋体" w:eastAsia="宋体" w:cs="宋体"/>
          <w:spacing w:val="-4"/>
          <w:sz w:val="24"/>
          <w:szCs w:val="24"/>
        </w:rPr>
        <w:t>）《中华人民共和国环境影响评价法》，</w:t>
      </w:r>
      <w:r>
        <w:rPr>
          <w:rFonts w:ascii="Times New Roman" w:hAnsi="Times New Roman" w:eastAsia="Times New Roman" w:cs="Times New Roman"/>
          <w:spacing w:val="-4"/>
          <w:sz w:val="24"/>
          <w:szCs w:val="24"/>
        </w:rPr>
        <w:t xml:space="preserve">2018 </w:t>
      </w:r>
      <w:r>
        <w:rPr>
          <w:rFonts w:ascii="宋体" w:hAnsi="宋体" w:eastAsia="宋体" w:cs="宋体"/>
          <w:spacing w:val="-4"/>
          <w:sz w:val="24"/>
          <w:szCs w:val="24"/>
        </w:rPr>
        <w:t>年</w:t>
      </w:r>
      <w:r>
        <w:rPr>
          <w:rFonts w:ascii="宋体" w:hAnsi="宋体" w:eastAsia="宋体" w:cs="宋体"/>
          <w:spacing w:val="-23"/>
          <w:sz w:val="24"/>
          <w:szCs w:val="24"/>
        </w:rPr>
        <w:t xml:space="preserve"> </w:t>
      </w:r>
      <w:r>
        <w:rPr>
          <w:rFonts w:ascii="Times New Roman" w:hAnsi="Times New Roman" w:eastAsia="Times New Roman" w:cs="Times New Roman"/>
          <w:spacing w:val="-4"/>
          <w:sz w:val="24"/>
          <w:szCs w:val="24"/>
        </w:rPr>
        <w:t>12</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29  </w:t>
      </w:r>
      <w:r>
        <w:rPr>
          <w:rFonts w:ascii="宋体" w:hAnsi="宋体" w:eastAsia="宋体" w:cs="宋体"/>
          <w:spacing w:val="-4"/>
          <w:sz w:val="24"/>
          <w:szCs w:val="24"/>
        </w:rPr>
        <w:t>日；</w:t>
      </w:r>
    </w:p>
    <w:p w14:paraId="43BE3DD7">
      <w:pPr>
        <w:spacing w:before="182" w:line="219"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4</w:t>
      </w:r>
      <w:r>
        <w:rPr>
          <w:rFonts w:ascii="宋体" w:hAnsi="宋体" w:eastAsia="宋体" w:cs="宋体"/>
          <w:spacing w:val="-4"/>
          <w:sz w:val="24"/>
          <w:szCs w:val="24"/>
        </w:rPr>
        <w:t>）《中华人民共和国大气污染防治法》，</w:t>
      </w:r>
      <w:r>
        <w:rPr>
          <w:rFonts w:ascii="Times New Roman" w:hAnsi="Times New Roman" w:eastAsia="Times New Roman" w:cs="Times New Roman"/>
          <w:spacing w:val="-4"/>
          <w:sz w:val="24"/>
          <w:szCs w:val="24"/>
        </w:rPr>
        <w:t xml:space="preserve">2018 </w:t>
      </w:r>
      <w:r>
        <w:rPr>
          <w:rFonts w:ascii="宋体" w:hAnsi="宋体" w:eastAsia="宋体" w:cs="宋体"/>
          <w:spacing w:val="-4"/>
          <w:sz w:val="24"/>
          <w:szCs w:val="24"/>
        </w:rPr>
        <w:t>年</w:t>
      </w:r>
      <w:r>
        <w:rPr>
          <w:rFonts w:ascii="宋体" w:hAnsi="宋体" w:eastAsia="宋体" w:cs="宋体"/>
          <w:spacing w:val="-23"/>
          <w:sz w:val="24"/>
          <w:szCs w:val="24"/>
        </w:rPr>
        <w:t xml:space="preserve"> </w:t>
      </w:r>
      <w:r>
        <w:rPr>
          <w:rFonts w:ascii="Times New Roman" w:hAnsi="Times New Roman" w:eastAsia="Times New Roman" w:cs="Times New Roman"/>
          <w:spacing w:val="-4"/>
          <w:sz w:val="24"/>
          <w:szCs w:val="24"/>
        </w:rPr>
        <w:t>10</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26  </w:t>
      </w:r>
      <w:r>
        <w:rPr>
          <w:rFonts w:ascii="宋体" w:hAnsi="宋体" w:eastAsia="宋体" w:cs="宋体"/>
          <w:spacing w:val="-4"/>
          <w:sz w:val="24"/>
          <w:szCs w:val="24"/>
        </w:rPr>
        <w:t>日；</w:t>
      </w:r>
    </w:p>
    <w:p w14:paraId="6B0F82C5">
      <w:pPr>
        <w:spacing w:before="184" w:line="219" w:lineRule="auto"/>
        <w:ind w:left="499"/>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5</w:t>
      </w:r>
      <w:r>
        <w:rPr>
          <w:rFonts w:ascii="宋体" w:hAnsi="宋体" w:eastAsia="宋体" w:cs="宋体"/>
          <w:spacing w:val="-5"/>
          <w:sz w:val="24"/>
          <w:szCs w:val="24"/>
        </w:rPr>
        <w:t>）《中华人民共和国水污染防治法》，</w:t>
      </w:r>
      <w:r>
        <w:rPr>
          <w:rFonts w:ascii="Times New Roman" w:hAnsi="Times New Roman" w:eastAsia="Times New Roman" w:cs="Times New Roman"/>
          <w:spacing w:val="-5"/>
          <w:sz w:val="24"/>
          <w:szCs w:val="24"/>
        </w:rPr>
        <w:t xml:space="preserve">2018 </w:t>
      </w:r>
      <w:r>
        <w:rPr>
          <w:rFonts w:ascii="宋体" w:hAnsi="宋体" w:eastAsia="宋体" w:cs="宋体"/>
          <w:spacing w:val="-5"/>
          <w:sz w:val="24"/>
          <w:szCs w:val="24"/>
        </w:rPr>
        <w:t>年</w:t>
      </w:r>
      <w:r>
        <w:rPr>
          <w:rFonts w:ascii="宋体" w:hAnsi="宋体" w:eastAsia="宋体" w:cs="宋体"/>
          <w:spacing w:val="-26"/>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16"/>
          <w:sz w:val="24"/>
          <w:szCs w:val="24"/>
        </w:rPr>
        <w:t xml:space="preserve"> </w:t>
      </w:r>
      <w:r>
        <w:rPr>
          <w:rFonts w:ascii="宋体" w:hAnsi="宋体" w:eastAsia="宋体" w:cs="宋体"/>
          <w:spacing w:val="-5"/>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 xml:space="preserve">1  </w:t>
      </w:r>
      <w:r>
        <w:rPr>
          <w:rFonts w:ascii="宋体" w:hAnsi="宋体" w:eastAsia="宋体" w:cs="宋体"/>
          <w:spacing w:val="-5"/>
          <w:sz w:val="24"/>
          <w:szCs w:val="24"/>
        </w:rPr>
        <w:t>日；</w:t>
      </w:r>
    </w:p>
    <w:p w14:paraId="17634A31">
      <w:pPr>
        <w:spacing w:before="181" w:line="219"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6</w:t>
      </w:r>
      <w:r>
        <w:rPr>
          <w:rFonts w:ascii="宋体" w:hAnsi="宋体" w:eastAsia="宋体" w:cs="宋体"/>
          <w:spacing w:val="-4"/>
          <w:sz w:val="24"/>
          <w:szCs w:val="24"/>
        </w:rPr>
        <w:t>）《中华人民共和国噪声污染防治法》，</w:t>
      </w:r>
      <w:r>
        <w:rPr>
          <w:rFonts w:ascii="Times New Roman" w:hAnsi="Times New Roman" w:eastAsia="Times New Roman" w:cs="Times New Roman"/>
          <w:spacing w:val="-4"/>
          <w:sz w:val="24"/>
          <w:szCs w:val="24"/>
        </w:rPr>
        <w:t xml:space="preserve">2022 </w:t>
      </w:r>
      <w:r>
        <w:rPr>
          <w:rFonts w:ascii="宋体" w:hAnsi="宋体" w:eastAsia="宋体" w:cs="宋体"/>
          <w:spacing w:val="-4"/>
          <w:sz w:val="24"/>
          <w:szCs w:val="24"/>
        </w:rPr>
        <w:t>年</w:t>
      </w:r>
      <w:r>
        <w:rPr>
          <w:rFonts w:ascii="宋体" w:hAnsi="宋体" w:eastAsia="宋体" w:cs="宋体"/>
          <w:spacing w:val="-37"/>
          <w:sz w:val="24"/>
          <w:szCs w:val="24"/>
        </w:rPr>
        <w:t xml:space="preserve"> </w:t>
      </w:r>
      <w:r>
        <w:rPr>
          <w:rFonts w:ascii="Times New Roman" w:hAnsi="Times New Roman" w:eastAsia="Times New Roman" w:cs="Times New Roman"/>
          <w:spacing w:val="-4"/>
          <w:sz w:val="24"/>
          <w:szCs w:val="24"/>
        </w:rPr>
        <w:t>6</w:t>
      </w:r>
      <w:r>
        <w:rPr>
          <w:rFonts w:ascii="Times New Roman" w:hAnsi="Times New Roman" w:eastAsia="Times New Roman" w:cs="Times New Roman"/>
          <w:spacing w:val="15"/>
          <w:w w:val="101"/>
          <w:sz w:val="24"/>
          <w:szCs w:val="24"/>
        </w:rPr>
        <w:t xml:space="preserve"> </w:t>
      </w:r>
      <w:r>
        <w:rPr>
          <w:rFonts w:ascii="宋体" w:hAnsi="宋体" w:eastAsia="宋体" w:cs="宋体"/>
          <w:spacing w:val="-4"/>
          <w:sz w:val="24"/>
          <w:szCs w:val="24"/>
        </w:rPr>
        <w:t>月</w:t>
      </w:r>
      <w:r>
        <w:rPr>
          <w:rFonts w:ascii="宋体" w:hAnsi="宋体" w:eastAsia="宋体" w:cs="宋体"/>
          <w:spacing w:val="-49"/>
          <w:sz w:val="24"/>
          <w:szCs w:val="24"/>
        </w:rPr>
        <w:t xml:space="preserve"> </w:t>
      </w:r>
      <w:r>
        <w:rPr>
          <w:rFonts w:ascii="Times New Roman" w:hAnsi="Times New Roman" w:eastAsia="Times New Roman" w:cs="Times New Roman"/>
          <w:spacing w:val="-4"/>
          <w:sz w:val="24"/>
          <w:szCs w:val="24"/>
        </w:rPr>
        <w:t xml:space="preserve">5  </w:t>
      </w:r>
      <w:r>
        <w:rPr>
          <w:rFonts w:ascii="宋体" w:hAnsi="宋体" w:eastAsia="宋体" w:cs="宋体"/>
          <w:spacing w:val="-4"/>
          <w:sz w:val="24"/>
          <w:szCs w:val="24"/>
        </w:rPr>
        <w:t>日；</w:t>
      </w:r>
    </w:p>
    <w:p w14:paraId="3D88CFFA">
      <w:pPr>
        <w:spacing w:before="183" w:line="219"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7</w:t>
      </w:r>
      <w:r>
        <w:rPr>
          <w:rFonts w:ascii="宋体" w:hAnsi="宋体" w:eastAsia="宋体" w:cs="宋体"/>
          <w:spacing w:val="-4"/>
          <w:sz w:val="24"/>
          <w:szCs w:val="24"/>
        </w:rPr>
        <w:t>）《中华人民共和国固体废物污染环境防治法》，</w:t>
      </w:r>
      <w:r>
        <w:rPr>
          <w:rFonts w:ascii="Times New Roman" w:hAnsi="Times New Roman" w:eastAsia="Times New Roman" w:cs="Times New Roman"/>
          <w:spacing w:val="-4"/>
          <w:sz w:val="24"/>
          <w:szCs w:val="24"/>
        </w:rPr>
        <w:t xml:space="preserve">2020 </w:t>
      </w:r>
      <w:r>
        <w:rPr>
          <w:rFonts w:ascii="宋体" w:hAnsi="宋体" w:eastAsia="宋体" w:cs="宋体"/>
          <w:spacing w:val="-4"/>
          <w:sz w:val="24"/>
          <w:szCs w:val="24"/>
        </w:rPr>
        <w:t>年</w:t>
      </w:r>
      <w:r>
        <w:rPr>
          <w:rFonts w:ascii="宋体" w:hAnsi="宋体" w:eastAsia="宋体" w:cs="宋体"/>
          <w:spacing w:val="-38"/>
          <w:sz w:val="24"/>
          <w:szCs w:val="24"/>
        </w:rPr>
        <w:t xml:space="preserve"> </w:t>
      </w:r>
      <w:r>
        <w:rPr>
          <w:rFonts w:ascii="Times New Roman" w:hAnsi="Times New Roman" w:eastAsia="Times New Roman" w:cs="Times New Roman"/>
          <w:spacing w:val="-4"/>
          <w:sz w:val="24"/>
          <w:szCs w:val="24"/>
        </w:rPr>
        <w:t>9</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  </w:t>
      </w:r>
      <w:r>
        <w:rPr>
          <w:rFonts w:ascii="宋体" w:hAnsi="宋体" w:eastAsia="宋体" w:cs="宋体"/>
          <w:spacing w:val="-4"/>
          <w:sz w:val="24"/>
          <w:szCs w:val="24"/>
        </w:rPr>
        <w:t>日；</w:t>
      </w:r>
    </w:p>
    <w:p w14:paraId="6B707DF1">
      <w:pPr>
        <w:spacing w:before="183" w:line="219" w:lineRule="auto"/>
        <w:ind w:left="499"/>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8</w:t>
      </w:r>
      <w:r>
        <w:rPr>
          <w:rFonts w:ascii="宋体" w:hAnsi="宋体" w:eastAsia="宋体" w:cs="宋体"/>
          <w:spacing w:val="-5"/>
          <w:sz w:val="24"/>
          <w:szCs w:val="24"/>
        </w:rPr>
        <w:t>）《中华人民共和国土壤污染防治法》</w:t>
      </w:r>
      <w:r>
        <w:rPr>
          <w:rFonts w:ascii="Times New Roman" w:hAnsi="Times New Roman" w:eastAsia="Times New Roman" w:cs="Times New Roman"/>
          <w:spacing w:val="-5"/>
          <w:sz w:val="24"/>
          <w:szCs w:val="24"/>
        </w:rPr>
        <w:t xml:space="preserve">2019 </w:t>
      </w:r>
      <w:r>
        <w:rPr>
          <w:rFonts w:ascii="宋体" w:hAnsi="宋体" w:eastAsia="宋体" w:cs="宋体"/>
          <w:spacing w:val="-5"/>
          <w:sz w:val="24"/>
          <w:szCs w:val="24"/>
        </w:rPr>
        <w:t>年</w:t>
      </w:r>
      <w:r>
        <w:rPr>
          <w:rFonts w:ascii="宋体" w:hAnsi="宋体" w:eastAsia="宋体" w:cs="宋体"/>
          <w:spacing w:val="-26"/>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16"/>
          <w:sz w:val="24"/>
          <w:szCs w:val="24"/>
        </w:rPr>
        <w:t xml:space="preserve"> </w:t>
      </w:r>
      <w:r>
        <w:rPr>
          <w:rFonts w:ascii="宋体" w:hAnsi="宋体" w:eastAsia="宋体" w:cs="宋体"/>
          <w:spacing w:val="-5"/>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 xml:space="preserve">1  </w:t>
      </w:r>
      <w:r>
        <w:rPr>
          <w:rFonts w:ascii="宋体" w:hAnsi="宋体" w:eastAsia="宋体" w:cs="宋体"/>
          <w:spacing w:val="-5"/>
          <w:sz w:val="24"/>
          <w:szCs w:val="24"/>
        </w:rPr>
        <w:t>日；</w:t>
      </w:r>
    </w:p>
    <w:p w14:paraId="323C85A8">
      <w:pPr>
        <w:spacing w:before="180" w:line="219"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9</w:t>
      </w:r>
      <w:r>
        <w:rPr>
          <w:rFonts w:ascii="宋体" w:hAnsi="宋体" w:eastAsia="宋体" w:cs="宋体"/>
          <w:spacing w:val="-4"/>
          <w:sz w:val="24"/>
          <w:szCs w:val="24"/>
        </w:rPr>
        <w:t>）《中华人民共和国清洁生产促进法》，</w:t>
      </w:r>
      <w:r>
        <w:rPr>
          <w:rFonts w:ascii="Times New Roman" w:hAnsi="Times New Roman" w:eastAsia="Times New Roman" w:cs="Times New Roman"/>
          <w:spacing w:val="-4"/>
          <w:sz w:val="24"/>
          <w:szCs w:val="24"/>
        </w:rPr>
        <w:t xml:space="preserve">2012 </w:t>
      </w:r>
      <w:r>
        <w:rPr>
          <w:rFonts w:ascii="宋体" w:hAnsi="宋体" w:eastAsia="宋体" w:cs="宋体"/>
          <w:spacing w:val="-4"/>
          <w:sz w:val="24"/>
          <w:szCs w:val="24"/>
        </w:rPr>
        <w:t>年</w:t>
      </w:r>
      <w:r>
        <w:rPr>
          <w:rFonts w:ascii="宋体" w:hAnsi="宋体" w:eastAsia="宋体" w:cs="宋体"/>
          <w:spacing w:val="-52"/>
          <w:sz w:val="24"/>
          <w:szCs w:val="24"/>
        </w:rPr>
        <w:t xml:space="preserve"> </w:t>
      </w:r>
      <w:r>
        <w:rPr>
          <w:rFonts w:ascii="Times New Roman" w:hAnsi="Times New Roman" w:eastAsia="Times New Roman" w:cs="Times New Roman"/>
          <w:spacing w:val="-4"/>
          <w:sz w:val="24"/>
          <w:szCs w:val="24"/>
        </w:rPr>
        <w:t>7</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  </w:t>
      </w:r>
      <w:r>
        <w:rPr>
          <w:rFonts w:ascii="宋体" w:hAnsi="宋体" w:eastAsia="宋体" w:cs="宋体"/>
          <w:spacing w:val="-5"/>
          <w:sz w:val="24"/>
          <w:szCs w:val="24"/>
        </w:rPr>
        <w:t>日；</w:t>
      </w:r>
    </w:p>
    <w:p w14:paraId="4CC4692D">
      <w:pPr>
        <w:spacing w:before="182" w:line="219"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10</w:t>
      </w:r>
      <w:r>
        <w:rPr>
          <w:rFonts w:ascii="宋体" w:hAnsi="宋体" w:eastAsia="宋体" w:cs="宋体"/>
          <w:spacing w:val="-4"/>
          <w:sz w:val="24"/>
          <w:szCs w:val="24"/>
        </w:rPr>
        <w:t>）《中华人民共和国土地管理法》，</w:t>
      </w:r>
      <w:r>
        <w:rPr>
          <w:rFonts w:ascii="Times New Roman" w:hAnsi="Times New Roman" w:eastAsia="Times New Roman" w:cs="Times New Roman"/>
          <w:spacing w:val="-4"/>
          <w:sz w:val="24"/>
          <w:szCs w:val="24"/>
        </w:rPr>
        <w:t xml:space="preserve">2019 </w:t>
      </w:r>
      <w:r>
        <w:rPr>
          <w:rFonts w:ascii="宋体" w:hAnsi="宋体" w:eastAsia="宋体" w:cs="宋体"/>
          <w:spacing w:val="-4"/>
          <w:sz w:val="24"/>
          <w:szCs w:val="24"/>
        </w:rPr>
        <w:t>年</w:t>
      </w:r>
      <w:r>
        <w:rPr>
          <w:rFonts w:ascii="宋体" w:hAnsi="宋体" w:eastAsia="宋体" w:cs="宋体"/>
          <w:spacing w:val="-31"/>
          <w:sz w:val="24"/>
          <w:szCs w:val="24"/>
        </w:rPr>
        <w:t xml:space="preserve"> </w:t>
      </w:r>
      <w:r>
        <w:rPr>
          <w:rFonts w:ascii="Times New Roman" w:hAnsi="Times New Roman" w:eastAsia="Times New Roman" w:cs="Times New Roman"/>
          <w:spacing w:val="-4"/>
          <w:sz w:val="24"/>
          <w:szCs w:val="24"/>
        </w:rPr>
        <w:t>8</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26  </w:t>
      </w:r>
      <w:r>
        <w:rPr>
          <w:rFonts w:ascii="宋体" w:hAnsi="宋体" w:eastAsia="宋体" w:cs="宋体"/>
          <w:spacing w:val="-4"/>
          <w:sz w:val="24"/>
          <w:szCs w:val="24"/>
        </w:rPr>
        <w:t>日；</w:t>
      </w:r>
    </w:p>
    <w:p w14:paraId="4F814FB5">
      <w:pPr>
        <w:spacing w:before="182" w:line="219"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11</w:t>
      </w:r>
      <w:r>
        <w:rPr>
          <w:rFonts w:ascii="宋体" w:hAnsi="宋体" w:eastAsia="宋体" w:cs="宋体"/>
          <w:spacing w:val="-4"/>
          <w:sz w:val="24"/>
          <w:szCs w:val="24"/>
        </w:rPr>
        <w:t>）《中华人民共和国循环经济促进法》，</w:t>
      </w:r>
      <w:r>
        <w:rPr>
          <w:rFonts w:ascii="Times New Roman" w:hAnsi="Times New Roman" w:eastAsia="Times New Roman" w:cs="Times New Roman"/>
          <w:spacing w:val="-4"/>
          <w:sz w:val="24"/>
          <w:szCs w:val="24"/>
        </w:rPr>
        <w:t xml:space="preserve">2018 </w:t>
      </w:r>
      <w:r>
        <w:rPr>
          <w:rFonts w:ascii="宋体" w:hAnsi="宋体" w:eastAsia="宋体" w:cs="宋体"/>
          <w:spacing w:val="-4"/>
          <w:sz w:val="24"/>
          <w:szCs w:val="24"/>
        </w:rPr>
        <w:t>年</w:t>
      </w:r>
      <w:r>
        <w:rPr>
          <w:rFonts w:ascii="宋体" w:hAnsi="宋体" w:eastAsia="宋体" w:cs="宋体"/>
          <w:spacing w:val="-18"/>
          <w:sz w:val="24"/>
          <w:szCs w:val="24"/>
        </w:rPr>
        <w:t xml:space="preserve"> </w:t>
      </w:r>
      <w:r>
        <w:rPr>
          <w:rFonts w:ascii="Times New Roman" w:hAnsi="Times New Roman" w:eastAsia="Times New Roman" w:cs="Times New Roman"/>
          <w:spacing w:val="-4"/>
          <w:sz w:val="24"/>
          <w:szCs w:val="24"/>
        </w:rPr>
        <w:t>10</w:t>
      </w:r>
      <w:r>
        <w:rPr>
          <w:rFonts w:ascii="Times New Roman" w:hAnsi="Times New Roman" w:eastAsia="Times New Roman" w:cs="Times New Roman"/>
          <w:spacing w:val="15"/>
          <w:w w:val="101"/>
          <w:sz w:val="24"/>
          <w:szCs w:val="24"/>
        </w:rPr>
        <w:t xml:space="preserve"> </w:t>
      </w:r>
      <w:r>
        <w:rPr>
          <w:rFonts w:ascii="宋体" w:hAnsi="宋体" w:eastAsia="宋体" w:cs="宋体"/>
          <w:spacing w:val="-4"/>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26  </w:t>
      </w:r>
      <w:r>
        <w:rPr>
          <w:rFonts w:ascii="宋体" w:hAnsi="宋体" w:eastAsia="宋体" w:cs="宋体"/>
          <w:spacing w:val="-4"/>
          <w:sz w:val="24"/>
          <w:szCs w:val="24"/>
        </w:rPr>
        <w:t>日修订；</w:t>
      </w:r>
    </w:p>
    <w:p w14:paraId="5ACF4592">
      <w:pPr>
        <w:spacing w:before="182" w:line="219"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12</w:t>
      </w:r>
      <w:r>
        <w:rPr>
          <w:rFonts w:ascii="宋体" w:hAnsi="宋体" w:eastAsia="宋体" w:cs="宋体"/>
          <w:spacing w:val="-4"/>
          <w:sz w:val="24"/>
          <w:szCs w:val="24"/>
        </w:rPr>
        <w:t>）《中华人民共和国节约能源法》，</w:t>
      </w:r>
      <w:r>
        <w:rPr>
          <w:rFonts w:ascii="Times New Roman" w:hAnsi="Times New Roman" w:eastAsia="Times New Roman" w:cs="Times New Roman"/>
          <w:spacing w:val="-4"/>
          <w:sz w:val="24"/>
          <w:szCs w:val="24"/>
        </w:rPr>
        <w:t xml:space="preserve">2018 </w:t>
      </w:r>
      <w:r>
        <w:rPr>
          <w:rFonts w:ascii="宋体" w:hAnsi="宋体" w:eastAsia="宋体" w:cs="宋体"/>
          <w:spacing w:val="-4"/>
          <w:sz w:val="24"/>
          <w:szCs w:val="24"/>
        </w:rPr>
        <w:t>年</w:t>
      </w:r>
      <w:r>
        <w:rPr>
          <w:rFonts w:ascii="宋体" w:hAnsi="宋体" w:eastAsia="宋体" w:cs="宋体"/>
          <w:spacing w:val="-19"/>
          <w:sz w:val="24"/>
          <w:szCs w:val="24"/>
        </w:rPr>
        <w:t xml:space="preserve"> </w:t>
      </w:r>
      <w:r>
        <w:rPr>
          <w:rFonts w:ascii="Times New Roman" w:hAnsi="Times New Roman" w:eastAsia="Times New Roman" w:cs="Times New Roman"/>
          <w:spacing w:val="-4"/>
          <w:sz w:val="24"/>
          <w:szCs w:val="24"/>
        </w:rPr>
        <w:t>10</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26  </w:t>
      </w:r>
      <w:r>
        <w:rPr>
          <w:rFonts w:ascii="宋体" w:hAnsi="宋体" w:eastAsia="宋体" w:cs="宋体"/>
          <w:spacing w:val="-4"/>
          <w:sz w:val="24"/>
          <w:szCs w:val="24"/>
        </w:rPr>
        <w:t>日修订；</w:t>
      </w:r>
    </w:p>
    <w:p w14:paraId="483F37A5">
      <w:pPr>
        <w:spacing w:before="183" w:line="219"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13</w:t>
      </w:r>
      <w:r>
        <w:rPr>
          <w:rFonts w:ascii="宋体" w:hAnsi="宋体" w:eastAsia="宋体" w:cs="宋体"/>
          <w:spacing w:val="-4"/>
          <w:sz w:val="24"/>
          <w:szCs w:val="24"/>
        </w:rPr>
        <w:t>）《中华人民共和国水法》，</w:t>
      </w:r>
      <w:r>
        <w:rPr>
          <w:rFonts w:ascii="Times New Roman" w:hAnsi="Times New Roman" w:eastAsia="Times New Roman" w:cs="Times New Roman"/>
          <w:spacing w:val="-4"/>
          <w:sz w:val="24"/>
          <w:szCs w:val="24"/>
        </w:rPr>
        <w:t xml:space="preserve">2016 </w:t>
      </w:r>
      <w:r>
        <w:rPr>
          <w:rFonts w:ascii="宋体" w:hAnsi="宋体" w:eastAsia="宋体" w:cs="宋体"/>
          <w:spacing w:val="-4"/>
          <w:sz w:val="24"/>
          <w:szCs w:val="24"/>
        </w:rPr>
        <w:t>年</w:t>
      </w:r>
      <w:r>
        <w:rPr>
          <w:rFonts w:ascii="宋体" w:hAnsi="宋体" w:eastAsia="宋体" w:cs="宋体"/>
          <w:spacing w:val="-39"/>
          <w:sz w:val="24"/>
          <w:szCs w:val="24"/>
        </w:rPr>
        <w:t xml:space="preserve"> </w:t>
      </w:r>
      <w:r>
        <w:rPr>
          <w:rFonts w:ascii="Times New Roman" w:hAnsi="Times New Roman" w:eastAsia="Times New Roman" w:cs="Times New Roman"/>
          <w:spacing w:val="-4"/>
          <w:sz w:val="24"/>
          <w:szCs w:val="24"/>
        </w:rPr>
        <w:t>7</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  </w:t>
      </w:r>
      <w:r>
        <w:rPr>
          <w:rFonts w:ascii="宋体" w:hAnsi="宋体" w:eastAsia="宋体" w:cs="宋体"/>
          <w:spacing w:val="-4"/>
          <w:sz w:val="24"/>
          <w:szCs w:val="24"/>
        </w:rPr>
        <w:t>日修订；</w:t>
      </w:r>
    </w:p>
    <w:p w14:paraId="31EB7A80">
      <w:pPr>
        <w:spacing w:before="184" w:line="219"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14</w:t>
      </w:r>
      <w:r>
        <w:rPr>
          <w:rFonts w:ascii="宋体" w:hAnsi="宋体" w:eastAsia="宋体" w:cs="宋体"/>
          <w:spacing w:val="-4"/>
          <w:sz w:val="24"/>
          <w:szCs w:val="24"/>
        </w:rPr>
        <w:t>）《建设项目环境保护管理条例》，</w:t>
      </w:r>
      <w:r>
        <w:rPr>
          <w:rFonts w:ascii="Times New Roman" w:hAnsi="Times New Roman" w:eastAsia="Times New Roman" w:cs="Times New Roman"/>
          <w:spacing w:val="-4"/>
          <w:sz w:val="24"/>
          <w:szCs w:val="24"/>
        </w:rPr>
        <w:t xml:space="preserve">2017 </w:t>
      </w:r>
      <w:r>
        <w:rPr>
          <w:rFonts w:ascii="宋体" w:hAnsi="宋体" w:eastAsia="宋体" w:cs="宋体"/>
          <w:spacing w:val="-4"/>
          <w:sz w:val="24"/>
          <w:szCs w:val="24"/>
        </w:rPr>
        <w:t>年</w:t>
      </w:r>
      <w:r>
        <w:rPr>
          <w:rFonts w:ascii="宋体" w:hAnsi="宋体" w:eastAsia="宋体" w:cs="宋体"/>
          <w:spacing w:val="-46"/>
          <w:sz w:val="24"/>
          <w:szCs w:val="24"/>
        </w:rPr>
        <w:t xml:space="preserve"> </w:t>
      </w:r>
      <w:r>
        <w:rPr>
          <w:rFonts w:ascii="Times New Roman" w:hAnsi="Times New Roman" w:eastAsia="Times New Roman" w:cs="Times New Roman"/>
          <w:spacing w:val="-4"/>
          <w:sz w:val="24"/>
          <w:szCs w:val="24"/>
        </w:rPr>
        <w:t>7</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16  </w:t>
      </w:r>
      <w:r>
        <w:rPr>
          <w:rFonts w:ascii="宋体" w:hAnsi="宋体" w:eastAsia="宋体" w:cs="宋体"/>
          <w:spacing w:val="-4"/>
          <w:sz w:val="24"/>
          <w:szCs w:val="24"/>
        </w:rPr>
        <w:t>日修订；</w:t>
      </w:r>
    </w:p>
    <w:p w14:paraId="38682F73">
      <w:pPr>
        <w:spacing w:before="180" w:line="212"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15</w:t>
      </w:r>
      <w:r>
        <w:rPr>
          <w:rFonts w:ascii="宋体" w:hAnsi="宋体" w:eastAsia="宋体" w:cs="宋体"/>
          <w:spacing w:val="-4"/>
          <w:sz w:val="24"/>
          <w:szCs w:val="24"/>
        </w:rPr>
        <w:t>）《内蒙古自治区环境保护条例》</w:t>
      </w:r>
      <w:r>
        <w:rPr>
          <w:rFonts w:ascii="Times New Roman" w:hAnsi="Times New Roman" w:eastAsia="Times New Roman" w:cs="Times New Roman"/>
          <w:spacing w:val="-4"/>
          <w:sz w:val="24"/>
          <w:szCs w:val="24"/>
        </w:rPr>
        <w:t xml:space="preserve">(2018 </w:t>
      </w:r>
      <w:r>
        <w:rPr>
          <w:rFonts w:ascii="宋体" w:hAnsi="宋体" w:eastAsia="宋体" w:cs="宋体"/>
          <w:spacing w:val="-4"/>
          <w:sz w:val="24"/>
          <w:szCs w:val="24"/>
        </w:rPr>
        <w:t>年</w:t>
      </w:r>
      <w:r>
        <w:rPr>
          <w:rFonts w:ascii="宋体" w:hAnsi="宋体" w:eastAsia="宋体" w:cs="宋体"/>
          <w:spacing w:val="-25"/>
          <w:sz w:val="24"/>
          <w:szCs w:val="24"/>
        </w:rPr>
        <w:t xml:space="preserve"> </w:t>
      </w:r>
      <w:r>
        <w:rPr>
          <w:rFonts w:ascii="Times New Roman" w:hAnsi="Times New Roman" w:eastAsia="Times New Roman" w:cs="Times New Roman"/>
          <w:spacing w:val="-4"/>
          <w:sz w:val="24"/>
          <w:szCs w:val="24"/>
        </w:rPr>
        <w:t>12</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月</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 xml:space="preserve">6  </w:t>
      </w:r>
      <w:r>
        <w:rPr>
          <w:rFonts w:ascii="宋体" w:hAnsi="宋体" w:eastAsia="宋体" w:cs="宋体"/>
          <w:spacing w:val="-4"/>
          <w:sz w:val="24"/>
          <w:szCs w:val="24"/>
        </w:rPr>
        <w:t>日修正</w:t>
      </w:r>
      <w:r>
        <w:rPr>
          <w:rFonts w:ascii="Times New Roman" w:hAnsi="Times New Roman" w:eastAsia="Times New Roman" w:cs="Times New Roman"/>
          <w:spacing w:val="-4"/>
          <w:sz w:val="24"/>
          <w:szCs w:val="24"/>
        </w:rPr>
        <w:t>)</w:t>
      </w:r>
      <w:r>
        <w:rPr>
          <w:rFonts w:ascii="宋体" w:hAnsi="宋体" w:eastAsia="宋体" w:cs="宋体"/>
          <w:spacing w:val="-4"/>
          <w:sz w:val="24"/>
          <w:szCs w:val="24"/>
        </w:rPr>
        <w:t>；</w:t>
      </w:r>
    </w:p>
    <w:p w14:paraId="3A9AEA0D">
      <w:pPr>
        <w:spacing w:before="193" w:line="219" w:lineRule="auto"/>
        <w:ind w:left="49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16</w:t>
      </w:r>
      <w:r>
        <w:rPr>
          <w:rFonts w:ascii="宋体" w:hAnsi="宋体" w:eastAsia="宋体" w:cs="宋体"/>
          <w:spacing w:val="-4"/>
          <w:sz w:val="24"/>
          <w:szCs w:val="24"/>
        </w:rPr>
        <w:t>）《内蒙古自治区大气污染防治条例》（</w:t>
      </w:r>
      <w:r>
        <w:rPr>
          <w:rFonts w:ascii="Times New Roman" w:hAnsi="Times New Roman" w:eastAsia="Times New Roman" w:cs="Times New Roman"/>
          <w:spacing w:val="-4"/>
          <w:sz w:val="24"/>
          <w:szCs w:val="24"/>
        </w:rPr>
        <w:t xml:space="preserve">2019 </w:t>
      </w:r>
      <w:r>
        <w:rPr>
          <w:rFonts w:ascii="宋体" w:hAnsi="宋体" w:eastAsia="宋体" w:cs="宋体"/>
          <w:spacing w:val="-4"/>
          <w:sz w:val="24"/>
          <w:szCs w:val="24"/>
        </w:rPr>
        <w:t>年</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3</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  </w:t>
      </w:r>
      <w:r>
        <w:rPr>
          <w:rFonts w:ascii="宋体" w:hAnsi="宋体" w:eastAsia="宋体" w:cs="宋体"/>
          <w:spacing w:val="-4"/>
          <w:sz w:val="24"/>
          <w:szCs w:val="24"/>
        </w:rPr>
        <w:t>日实施</w:t>
      </w:r>
      <w:r>
        <w:rPr>
          <w:rFonts w:ascii="宋体" w:hAnsi="宋体" w:eastAsia="宋体" w:cs="宋体"/>
          <w:spacing w:val="2"/>
          <w:sz w:val="24"/>
          <w:szCs w:val="24"/>
        </w:rPr>
        <w:t>）；</w:t>
      </w:r>
    </w:p>
    <w:p w14:paraId="12D7D7AB">
      <w:pPr>
        <w:spacing w:before="181" w:line="219" w:lineRule="auto"/>
        <w:ind w:left="499"/>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17</w:t>
      </w:r>
      <w:r>
        <w:rPr>
          <w:rFonts w:ascii="宋体" w:hAnsi="宋体" w:eastAsia="宋体" w:cs="宋体"/>
          <w:spacing w:val="-5"/>
          <w:sz w:val="24"/>
          <w:szCs w:val="24"/>
        </w:rPr>
        <w:t>）《内蒙古自治区水污染防治条例》</w:t>
      </w:r>
      <w:r>
        <w:rPr>
          <w:rFonts w:ascii="Times New Roman" w:hAnsi="Times New Roman" w:eastAsia="Times New Roman" w:cs="Times New Roman"/>
          <w:spacing w:val="-5"/>
          <w:sz w:val="24"/>
          <w:szCs w:val="24"/>
        </w:rPr>
        <w:t xml:space="preserve">2020 </w:t>
      </w:r>
      <w:r>
        <w:rPr>
          <w:rFonts w:ascii="宋体" w:hAnsi="宋体" w:eastAsia="宋体" w:cs="宋体"/>
          <w:spacing w:val="-5"/>
          <w:sz w:val="24"/>
          <w:szCs w:val="24"/>
        </w:rPr>
        <w:t>年</w:t>
      </w:r>
      <w:r>
        <w:rPr>
          <w:rFonts w:ascii="宋体" w:hAnsi="宋体" w:eastAsia="宋体" w:cs="宋体"/>
          <w:spacing w:val="-26"/>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16"/>
          <w:sz w:val="24"/>
          <w:szCs w:val="24"/>
        </w:rPr>
        <w:t xml:space="preserve"> </w:t>
      </w:r>
      <w:r>
        <w:rPr>
          <w:rFonts w:ascii="宋体" w:hAnsi="宋体" w:eastAsia="宋体" w:cs="宋体"/>
          <w:spacing w:val="-5"/>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 xml:space="preserve">1  </w:t>
      </w:r>
      <w:r>
        <w:rPr>
          <w:rFonts w:ascii="宋体" w:hAnsi="宋体" w:eastAsia="宋体" w:cs="宋体"/>
          <w:spacing w:val="-5"/>
          <w:sz w:val="24"/>
          <w:szCs w:val="24"/>
        </w:rPr>
        <w:t>日；</w:t>
      </w:r>
    </w:p>
    <w:p w14:paraId="38AE160A">
      <w:pPr>
        <w:spacing w:before="182" w:line="289" w:lineRule="auto"/>
        <w:ind w:left="12" w:right="58" w:firstLine="487"/>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18</w:t>
      </w:r>
      <w:r>
        <w:rPr>
          <w:rFonts w:ascii="宋体" w:hAnsi="宋体" w:eastAsia="宋体" w:cs="宋体"/>
          <w:spacing w:val="1"/>
          <w:sz w:val="24"/>
          <w:szCs w:val="24"/>
        </w:rPr>
        <w:t>）《内蒙古自治区国民经济和社会发展第十四个五年规划和</w:t>
      </w:r>
      <w:r>
        <w:rPr>
          <w:rFonts w:ascii="宋体" w:hAnsi="宋体" w:eastAsia="宋体" w:cs="宋体"/>
          <w:spacing w:val="-47"/>
          <w:sz w:val="24"/>
          <w:szCs w:val="24"/>
        </w:rPr>
        <w:t xml:space="preserve"> </w:t>
      </w:r>
      <w:r>
        <w:rPr>
          <w:rFonts w:ascii="Times New Roman" w:hAnsi="Times New Roman" w:eastAsia="Times New Roman" w:cs="Times New Roman"/>
          <w:spacing w:val="1"/>
          <w:sz w:val="24"/>
          <w:szCs w:val="24"/>
        </w:rPr>
        <w:t xml:space="preserve">2035 </w:t>
      </w:r>
      <w:r>
        <w:rPr>
          <w:rFonts w:ascii="宋体" w:hAnsi="宋体" w:eastAsia="宋体" w:cs="宋体"/>
          <w:spacing w:val="1"/>
          <w:sz w:val="24"/>
          <w:szCs w:val="24"/>
        </w:rPr>
        <w:t>年远景目标</w:t>
      </w:r>
      <w:r>
        <w:rPr>
          <w:rFonts w:ascii="宋体" w:hAnsi="宋体" w:eastAsia="宋体" w:cs="宋体"/>
          <w:sz w:val="24"/>
          <w:szCs w:val="24"/>
        </w:rPr>
        <w:t xml:space="preserve"> </w:t>
      </w:r>
      <w:r>
        <w:rPr>
          <w:rFonts w:ascii="宋体" w:hAnsi="宋体" w:eastAsia="宋体" w:cs="宋体"/>
          <w:spacing w:val="-6"/>
          <w:sz w:val="24"/>
          <w:szCs w:val="24"/>
        </w:rPr>
        <w:t>纲要》（</w:t>
      </w:r>
      <w:r>
        <w:rPr>
          <w:rFonts w:ascii="Times New Roman" w:hAnsi="Times New Roman" w:eastAsia="Times New Roman" w:cs="Times New Roman"/>
          <w:spacing w:val="-6"/>
          <w:sz w:val="24"/>
          <w:szCs w:val="24"/>
        </w:rPr>
        <w:t xml:space="preserve">2021 </w:t>
      </w:r>
      <w:r>
        <w:rPr>
          <w:rFonts w:ascii="宋体" w:hAnsi="宋体" w:eastAsia="宋体" w:cs="宋体"/>
          <w:spacing w:val="-6"/>
          <w:sz w:val="24"/>
          <w:szCs w:val="24"/>
        </w:rPr>
        <w:t>年</w:t>
      </w:r>
      <w:r>
        <w:rPr>
          <w:rFonts w:ascii="宋体" w:hAnsi="宋体" w:eastAsia="宋体" w:cs="宋体"/>
          <w:spacing w:val="-55"/>
          <w:sz w:val="24"/>
          <w:szCs w:val="24"/>
        </w:rPr>
        <w:t xml:space="preserve"> </w:t>
      </w:r>
      <w:r>
        <w:rPr>
          <w:rFonts w:ascii="Times New Roman" w:hAnsi="Times New Roman" w:eastAsia="Times New Roman" w:cs="Times New Roman"/>
          <w:spacing w:val="-6"/>
          <w:sz w:val="24"/>
          <w:szCs w:val="24"/>
        </w:rPr>
        <w:t>2</w:t>
      </w:r>
      <w:r>
        <w:rPr>
          <w:rFonts w:ascii="Times New Roman" w:hAnsi="Times New Roman" w:eastAsia="Times New Roman" w:cs="Times New Roman"/>
          <w:spacing w:val="15"/>
          <w:w w:val="101"/>
          <w:sz w:val="24"/>
          <w:szCs w:val="24"/>
        </w:rPr>
        <w:t xml:space="preserve"> </w:t>
      </w:r>
      <w:r>
        <w:rPr>
          <w:rFonts w:ascii="宋体" w:hAnsi="宋体" w:eastAsia="宋体" w:cs="宋体"/>
          <w:spacing w:val="-6"/>
          <w:sz w:val="24"/>
          <w:szCs w:val="24"/>
        </w:rPr>
        <w:t>月</w:t>
      </w:r>
      <w:r>
        <w:rPr>
          <w:rFonts w:ascii="宋体" w:hAnsi="宋体" w:eastAsia="宋体" w:cs="宋体"/>
          <w:spacing w:val="-51"/>
          <w:sz w:val="24"/>
          <w:szCs w:val="24"/>
        </w:rPr>
        <w:t xml:space="preserve"> </w:t>
      </w:r>
      <w:r>
        <w:rPr>
          <w:rFonts w:ascii="Times New Roman" w:hAnsi="Times New Roman" w:eastAsia="Times New Roman" w:cs="Times New Roman"/>
          <w:spacing w:val="-6"/>
          <w:sz w:val="24"/>
          <w:szCs w:val="24"/>
        </w:rPr>
        <w:t xml:space="preserve">7  </w:t>
      </w:r>
      <w:r>
        <w:rPr>
          <w:rFonts w:ascii="宋体" w:hAnsi="宋体" w:eastAsia="宋体" w:cs="宋体"/>
          <w:spacing w:val="-6"/>
          <w:sz w:val="24"/>
          <w:szCs w:val="24"/>
        </w:rPr>
        <w:t>日实施</w:t>
      </w:r>
      <w:r>
        <w:rPr>
          <w:rFonts w:ascii="宋体" w:hAnsi="宋体" w:eastAsia="宋体" w:cs="宋体"/>
          <w:spacing w:val="2"/>
          <w:sz w:val="24"/>
          <w:szCs w:val="24"/>
        </w:rPr>
        <w:t>）；</w:t>
      </w:r>
    </w:p>
    <w:p w14:paraId="69C3481E">
      <w:pPr>
        <w:spacing w:before="183"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19</w:t>
      </w:r>
      <w:r>
        <w:rPr>
          <w:rFonts w:ascii="宋体" w:hAnsi="宋体" w:eastAsia="宋体" w:cs="宋体"/>
          <w:spacing w:val="-3"/>
          <w:sz w:val="24"/>
          <w:szCs w:val="24"/>
        </w:rPr>
        <w:t>）《内蒙古自治区</w:t>
      </w:r>
      <w:r>
        <w:rPr>
          <w:rFonts w:ascii="Times New Roman" w:hAnsi="Times New Roman" w:eastAsia="Times New Roman" w:cs="Times New Roman"/>
          <w:spacing w:val="-3"/>
          <w:sz w:val="24"/>
          <w:szCs w:val="24"/>
        </w:rPr>
        <w:t>“</w:t>
      </w:r>
      <w:r>
        <w:rPr>
          <w:rFonts w:ascii="宋体" w:hAnsi="宋体" w:eastAsia="宋体" w:cs="宋体"/>
          <w:spacing w:val="-3"/>
          <w:sz w:val="24"/>
          <w:szCs w:val="24"/>
        </w:rPr>
        <w:t>十四五</w:t>
      </w:r>
      <w:r>
        <w:rPr>
          <w:rFonts w:ascii="Times New Roman" w:hAnsi="Times New Roman" w:eastAsia="Times New Roman" w:cs="Times New Roman"/>
          <w:spacing w:val="-3"/>
          <w:sz w:val="24"/>
          <w:szCs w:val="24"/>
        </w:rPr>
        <w:t>”</w:t>
      </w:r>
      <w:r>
        <w:rPr>
          <w:rFonts w:ascii="宋体" w:hAnsi="宋体" w:eastAsia="宋体" w:cs="宋体"/>
          <w:spacing w:val="-3"/>
          <w:sz w:val="24"/>
          <w:szCs w:val="24"/>
        </w:rPr>
        <w:t>生态环境保护规划》（</w:t>
      </w:r>
      <w:r>
        <w:rPr>
          <w:rFonts w:ascii="Times New Roman" w:hAnsi="Times New Roman" w:eastAsia="Times New Roman" w:cs="Times New Roman"/>
          <w:spacing w:val="-3"/>
          <w:sz w:val="24"/>
          <w:szCs w:val="24"/>
        </w:rPr>
        <w:t xml:space="preserve">2021 </w:t>
      </w:r>
      <w:r>
        <w:rPr>
          <w:rFonts w:ascii="宋体" w:hAnsi="宋体" w:eastAsia="宋体" w:cs="宋体"/>
          <w:spacing w:val="-3"/>
          <w:sz w:val="24"/>
          <w:szCs w:val="24"/>
        </w:rPr>
        <w:t>年</w:t>
      </w:r>
      <w:r>
        <w:rPr>
          <w:rFonts w:ascii="宋体" w:hAnsi="宋体" w:eastAsia="宋体" w:cs="宋体"/>
          <w:spacing w:val="-49"/>
          <w:sz w:val="24"/>
          <w:szCs w:val="24"/>
        </w:rPr>
        <w:t xml:space="preserve"> </w:t>
      </w:r>
      <w:r>
        <w:rPr>
          <w:rFonts w:ascii="Times New Roman" w:hAnsi="Times New Roman" w:eastAsia="Times New Roman" w:cs="Times New Roman"/>
          <w:spacing w:val="-3"/>
          <w:sz w:val="24"/>
          <w:szCs w:val="24"/>
        </w:rPr>
        <w:t>9</w:t>
      </w:r>
      <w:r>
        <w:rPr>
          <w:rFonts w:ascii="Times New Roman" w:hAnsi="Times New Roman" w:eastAsia="Times New Roman" w:cs="Times New Roman"/>
          <w:spacing w:val="15"/>
          <w:w w:val="101"/>
          <w:sz w:val="24"/>
          <w:szCs w:val="24"/>
        </w:rPr>
        <w:t xml:space="preserve"> </w:t>
      </w:r>
      <w:r>
        <w:rPr>
          <w:rFonts w:ascii="宋体" w:hAnsi="宋体" w:eastAsia="宋体" w:cs="宋体"/>
          <w:spacing w:val="-3"/>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 xml:space="preserve">26  </w:t>
      </w:r>
      <w:r>
        <w:rPr>
          <w:rFonts w:ascii="宋体" w:hAnsi="宋体" w:eastAsia="宋体" w:cs="宋体"/>
          <w:spacing w:val="-3"/>
          <w:sz w:val="24"/>
          <w:szCs w:val="24"/>
        </w:rPr>
        <w:t>日实施</w:t>
      </w:r>
      <w:r>
        <w:rPr>
          <w:rFonts w:ascii="宋体" w:hAnsi="宋体" w:eastAsia="宋体" w:cs="宋体"/>
          <w:spacing w:val="5"/>
          <w:sz w:val="24"/>
          <w:szCs w:val="24"/>
        </w:rPr>
        <w:t>）；</w:t>
      </w:r>
    </w:p>
    <w:p w14:paraId="73282C4A">
      <w:pPr>
        <w:spacing w:before="181" w:line="218" w:lineRule="auto"/>
        <w:jc w:val="right"/>
        <w:rPr>
          <w:rFonts w:ascii="宋体" w:hAnsi="宋体" w:eastAsia="宋体" w:cs="宋体"/>
          <w:sz w:val="24"/>
          <w:szCs w:val="24"/>
        </w:rPr>
      </w:pPr>
      <w:r>
        <w:rPr>
          <w:rFonts w:ascii="宋体" w:hAnsi="宋体" w:eastAsia="宋体" w:cs="宋体"/>
          <w:spacing w:val="-6"/>
          <w:sz w:val="24"/>
          <w:szCs w:val="24"/>
        </w:rPr>
        <w:t>（</w:t>
      </w:r>
      <w:r>
        <w:rPr>
          <w:rFonts w:ascii="Times New Roman" w:hAnsi="Times New Roman" w:eastAsia="Times New Roman" w:cs="Times New Roman"/>
          <w:spacing w:val="-6"/>
          <w:sz w:val="24"/>
          <w:szCs w:val="24"/>
        </w:rPr>
        <w:t>20</w:t>
      </w:r>
      <w:r>
        <w:rPr>
          <w:rFonts w:ascii="宋体" w:hAnsi="宋体" w:eastAsia="宋体" w:cs="宋体"/>
          <w:spacing w:val="-6"/>
          <w:sz w:val="24"/>
          <w:szCs w:val="24"/>
        </w:rPr>
        <w:t>）《建设项目环境影响评价分类管理名录》（</w:t>
      </w:r>
      <w:r>
        <w:rPr>
          <w:rFonts w:ascii="Times New Roman" w:hAnsi="Times New Roman" w:eastAsia="Times New Roman" w:cs="Times New Roman"/>
          <w:spacing w:val="-6"/>
          <w:sz w:val="24"/>
          <w:szCs w:val="24"/>
        </w:rPr>
        <w:t xml:space="preserve">2021 </w:t>
      </w:r>
      <w:r>
        <w:rPr>
          <w:rFonts w:ascii="宋体" w:hAnsi="宋体" w:eastAsia="宋体" w:cs="宋体"/>
          <w:spacing w:val="-6"/>
          <w:sz w:val="24"/>
          <w:szCs w:val="24"/>
        </w:rPr>
        <w:t>年版</w:t>
      </w:r>
      <w:r>
        <w:rPr>
          <w:rFonts w:ascii="宋体" w:hAnsi="宋体" w:eastAsia="宋体" w:cs="宋体"/>
          <w:spacing w:val="-1"/>
          <w:sz w:val="24"/>
          <w:szCs w:val="24"/>
        </w:rPr>
        <w:t>），</w:t>
      </w:r>
      <w:r>
        <w:rPr>
          <w:rFonts w:ascii="Times New Roman" w:hAnsi="Times New Roman" w:eastAsia="Times New Roman" w:cs="Times New Roman"/>
          <w:spacing w:val="-6"/>
          <w:sz w:val="24"/>
          <w:szCs w:val="24"/>
        </w:rPr>
        <w:t xml:space="preserve">2021 </w:t>
      </w:r>
      <w:r>
        <w:rPr>
          <w:rFonts w:ascii="宋体" w:hAnsi="宋体" w:eastAsia="宋体" w:cs="宋体"/>
          <w:spacing w:val="-6"/>
          <w:sz w:val="24"/>
          <w:szCs w:val="24"/>
        </w:rPr>
        <w:t>年</w:t>
      </w:r>
      <w:r>
        <w:rPr>
          <w:rFonts w:ascii="宋体" w:hAnsi="宋体" w:eastAsia="宋体" w:cs="宋体"/>
          <w:spacing w:val="-32"/>
          <w:sz w:val="24"/>
          <w:szCs w:val="24"/>
        </w:rPr>
        <w:t xml:space="preserve"> </w:t>
      </w:r>
      <w:r>
        <w:rPr>
          <w:rFonts w:ascii="Times New Roman" w:hAnsi="Times New Roman" w:eastAsia="Times New Roman" w:cs="Times New Roman"/>
          <w:spacing w:val="-6"/>
          <w:sz w:val="24"/>
          <w:szCs w:val="24"/>
        </w:rPr>
        <w:t>1</w:t>
      </w:r>
      <w:r>
        <w:rPr>
          <w:rFonts w:ascii="Times New Roman" w:hAnsi="Times New Roman" w:eastAsia="Times New Roman" w:cs="Times New Roman"/>
          <w:spacing w:val="15"/>
          <w:sz w:val="24"/>
          <w:szCs w:val="24"/>
        </w:rPr>
        <w:t xml:space="preserve"> </w:t>
      </w:r>
      <w:r>
        <w:rPr>
          <w:rFonts w:ascii="宋体" w:hAnsi="宋体" w:eastAsia="宋体" w:cs="宋体"/>
          <w:spacing w:val="-6"/>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6"/>
          <w:sz w:val="24"/>
          <w:szCs w:val="24"/>
        </w:rPr>
        <w:t xml:space="preserve">1  </w:t>
      </w:r>
      <w:r>
        <w:rPr>
          <w:rFonts w:ascii="宋体" w:hAnsi="宋体" w:eastAsia="宋体" w:cs="宋体"/>
          <w:spacing w:val="-6"/>
          <w:sz w:val="24"/>
          <w:szCs w:val="24"/>
        </w:rPr>
        <w:t>日；</w:t>
      </w:r>
    </w:p>
    <w:p w14:paraId="70905D24">
      <w:pPr>
        <w:spacing w:before="184"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21</w:t>
      </w:r>
      <w:r>
        <w:rPr>
          <w:rFonts w:ascii="宋体" w:hAnsi="宋体" w:eastAsia="宋体" w:cs="宋体"/>
          <w:spacing w:val="-1"/>
          <w:sz w:val="24"/>
          <w:szCs w:val="24"/>
        </w:rPr>
        <w:t>）《产业结构调整指导目录（</w:t>
      </w:r>
      <w:r>
        <w:rPr>
          <w:rFonts w:ascii="Times New Roman" w:hAnsi="Times New Roman" w:eastAsia="Times New Roman" w:cs="Times New Roman"/>
          <w:spacing w:val="-1"/>
          <w:sz w:val="24"/>
          <w:szCs w:val="24"/>
        </w:rPr>
        <w:t xml:space="preserve">2024 </w:t>
      </w:r>
      <w:r>
        <w:rPr>
          <w:rFonts w:ascii="宋体" w:hAnsi="宋体" w:eastAsia="宋体" w:cs="宋体"/>
          <w:spacing w:val="-1"/>
          <w:sz w:val="24"/>
          <w:szCs w:val="24"/>
        </w:rPr>
        <w:t>年本）》；</w:t>
      </w:r>
    </w:p>
    <w:p w14:paraId="7BC2B48B">
      <w:pPr>
        <w:spacing w:before="181" w:line="212" w:lineRule="auto"/>
        <w:ind w:left="499"/>
        <w:rPr>
          <w:rFonts w:ascii="Times New Roman" w:hAnsi="Times New Roman" w:eastAsia="Times New Roman" w:cs="Times New Roman"/>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23</w:t>
      </w:r>
      <w:r>
        <w:rPr>
          <w:rFonts w:ascii="宋体" w:hAnsi="宋体" w:eastAsia="宋体" w:cs="宋体"/>
          <w:spacing w:val="4"/>
          <w:sz w:val="24"/>
          <w:szCs w:val="24"/>
        </w:rPr>
        <w:t>）《关于进一步加强环境影响评价管理防范环境风险的通知》</w:t>
      </w:r>
      <w:r>
        <w:rPr>
          <w:rFonts w:ascii="Times New Roman" w:hAnsi="Times New Roman" w:eastAsia="Times New Roman" w:cs="Times New Roman"/>
          <w:spacing w:val="4"/>
          <w:sz w:val="24"/>
          <w:szCs w:val="24"/>
        </w:rPr>
        <w:t>(</w:t>
      </w:r>
      <w:r>
        <w:rPr>
          <w:rFonts w:ascii="宋体" w:hAnsi="宋体" w:eastAsia="宋体" w:cs="宋体"/>
          <w:spacing w:val="4"/>
          <w:sz w:val="24"/>
          <w:szCs w:val="24"/>
        </w:rPr>
        <w:t>环发</w:t>
      </w:r>
      <w:r>
        <w:rPr>
          <w:rFonts w:ascii="Times New Roman" w:hAnsi="Times New Roman" w:eastAsia="Times New Roman" w:cs="Times New Roman"/>
          <w:spacing w:val="4"/>
          <w:sz w:val="24"/>
          <w:szCs w:val="24"/>
        </w:rPr>
        <w:t>[2012]77</w:t>
      </w:r>
    </w:p>
    <w:p w14:paraId="02C7D1EE">
      <w:pPr>
        <w:spacing w:line="212" w:lineRule="auto"/>
        <w:rPr>
          <w:rFonts w:ascii="Times New Roman" w:hAnsi="Times New Roman" w:eastAsia="Times New Roman" w:cs="Times New Roman"/>
          <w:sz w:val="24"/>
          <w:szCs w:val="24"/>
        </w:rPr>
        <w:sectPr>
          <w:headerReference r:id="rId40" w:type="default"/>
          <w:footerReference r:id="rId41" w:type="default"/>
          <w:pgSz w:w="11907" w:h="16840"/>
          <w:pgMar w:top="1178" w:right="1357" w:bottom="1038" w:left="1417" w:header="870" w:footer="876" w:gutter="0"/>
          <w:cols w:space="720" w:num="1"/>
        </w:sectPr>
      </w:pPr>
    </w:p>
    <w:p w14:paraId="2A9D8236">
      <w:pPr>
        <w:spacing w:before="274" w:line="210" w:lineRule="auto"/>
        <w:ind w:left="14"/>
        <w:rPr>
          <w:rFonts w:ascii="宋体" w:hAnsi="宋体" w:eastAsia="宋体" w:cs="宋体"/>
          <w:sz w:val="24"/>
          <w:szCs w:val="24"/>
        </w:rPr>
      </w:pPr>
      <w:r>
        <w:pict>
          <v:shape id="_x0000_s1049" o:spid="_x0000_s1049" style="position:absolute;left:0pt;margin-left:70.85pt;margin-top:59.65pt;height:0.75pt;width:453.65pt;mso-position-horizontal-relative:page;mso-position-vertical-relative:page;z-index:25168384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spacing w:val="-7"/>
          <w:sz w:val="24"/>
          <w:szCs w:val="24"/>
        </w:rPr>
        <w:t>号，</w:t>
      </w:r>
      <w:r>
        <w:rPr>
          <w:rFonts w:ascii="Times New Roman" w:hAnsi="Times New Roman" w:eastAsia="Times New Roman" w:cs="Times New Roman"/>
          <w:spacing w:val="-7"/>
          <w:sz w:val="24"/>
          <w:szCs w:val="24"/>
        </w:rPr>
        <w:t xml:space="preserve">2012 </w:t>
      </w:r>
      <w:r>
        <w:rPr>
          <w:rFonts w:ascii="宋体" w:hAnsi="宋体" w:eastAsia="宋体" w:cs="宋体"/>
          <w:spacing w:val="-7"/>
          <w:sz w:val="24"/>
          <w:szCs w:val="24"/>
        </w:rPr>
        <w:t>年</w:t>
      </w:r>
      <w:r>
        <w:rPr>
          <w:rFonts w:ascii="宋体" w:hAnsi="宋体" w:eastAsia="宋体" w:cs="宋体"/>
          <w:spacing w:val="-50"/>
          <w:sz w:val="24"/>
          <w:szCs w:val="24"/>
        </w:rPr>
        <w:t xml:space="preserve"> </w:t>
      </w:r>
      <w:r>
        <w:rPr>
          <w:rFonts w:ascii="Times New Roman" w:hAnsi="Times New Roman" w:eastAsia="Times New Roman" w:cs="Times New Roman"/>
          <w:spacing w:val="-7"/>
          <w:sz w:val="24"/>
          <w:szCs w:val="24"/>
        </w:rPr>
        <w:t>7</w:t>
      </w:r>
      <w:r>
        <w:rPr>
          <w:rFonts w:ascii="Times New Roman" w:hAnsi="Times New Roman" w:eastAsia="Times New Roman" w:cs="Times New Roman"/>
          <w:spacing w:val="16"/>
          <w:sz w:val="24"/>
          <w:szCs w:val="24"/>
        </w:rPr>
        <w:t xml:space="preserve"> </w:t>
      </w:r>
      <w:r>
        <w:rPr>
          <w:rFonts w:ascii="宋体" w:hAnsi="宋体" w:eastAsia="宋体" w:cs="宋体"/>
          <w:spacing w:val="-7"/>
          <w:sz w:val="24"/>
          <w:szCs w:val="24"/>
        </w:rPr>
        <w:t>月</w:t>
      </w:r>
      <w:r>
        <w:rPr>
          <w:rFonts w:ascii="宋体" w:hAnsi="宋体" w:eastAsia="宋体" w:cs="宋体"/>
          <w:spacing w:val="-51"/>
          <w:sz w:val="24"/>
          <w:szCs w:val="24"/>
        </w:rPr>
        <w:t xml:space="preserve"> </w:t>
      </w:r>
      <w:r>
        <w:rPr>
          <w:rFonts w:ascii="Times New Roman" w:hAnsi="Times New Roman" w:eastAsia="Times New Roman" w:cs="Times New Roman"/>
          <w:spacing w:val="-7"/>
          <w:sz w:val="24"/>
          <w:szCs w:val="24"/>
        </w:rPr>
        <w:t xml:space="preserve">3  </w:t>
      </w:r>
      <w:r>
        <w:rPr>
          <w:rFonts w:ascii="宋体" w:hAnsi="宋体" w:eastAsia="宋体" w:cs="宋体"/>
          <w:spacing w:val="-7"/>
          <w:sz w:val="24"/>
          <w:szCs w:val="24"/>
        </w:rPr>
        <w:t>日</w:t>
      </w:r>
      <w:r>
        <w:rPr>
          <w:rFonts w:ascii="Times New Roman" w:hAnsi="Times New Roman" w:eastAsia="Times New Roman" w:cs="Times New Roman"/>
          <w:spacing w:val="-7"/>
          <w:sz w:val="24"/>
          <w:szCs w:val="24"/>
        </w:rPr>
        <w:t>)</w:t>
      </w:r>
      <w:r>
        <w:rPr>
          <w:rFonts w:ascii="宋体" w:hAnsi="宋体" w:eastAsia="宋体" w:cs="宋体"/>
          <w:spacing w:val="-7"/>
          <w:sz w:val="24"/>
          <w:szCs w:val="24"/>
        </w:rPr>
        <w:t>；</w:t>
      </w:r>
    </w:p>
    <w:p w14:paraId="7DBF9130">
      <w:pPr>
        <w:spacing w:before="192" w:line="285" w:lineRule="auto"/>
        <w:ind w:left="4" w:right="58" w:firstLine="495"/>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24</w:t>
      </w:r>
      <w:r>
        <w:rPr>
          <w:rFonts w:ascii="宋体" w:hAnsi="宋体" w:eastAsia="宋体" w:cs="宋体"/>
          <w:spacing w:val="-2"/>
          <w:sz w:val="24"/>
          <w:szCs w:val="24"/>
        </w:rPr>
        <w:t>）《关于切实加强风险防范严格环境影响评价管理的通知》</w:t>
      </w:r>
      <w:r>
        <w:rPr>
          <w:rFonts w:ascii="Times New Roman" w:hAnsi="Times New Roman" w:eastAsia="Times New Roman" w:cs="Times New Roman"/>
          <w:spacing w:val="-2"/>
          <w:sz w:val="24"/>
          <w:szCs w:val="24"/>
        </w:rPr>
        <w:t>(</w:t>
      </w:r>
      <w:r>
        <w:rPr>
          <w:rFonts w:ascii="宋体" w:hAnsi="宋体" w:eastAsia="宋体" w:cs="宋体"/>
          <w:spacing w:val="-3"/>
          <w:sz w:val="24"/>
          <w:szCs w:val="24"/>
        </w:rPr>
        <w:t>环发</w:t>
      </w:r>
      <w:r>
        <w:rPr>
          <w:rFonts w:ascii="Times New Roman" w:hAnsi="Times New Roman" w:eastAsia="Times New Roman" w:cs="Times New Roman"/>
          <w:spacing w:val="-3"/>
          <w:sz w:val="24"/>
          <w:szCs w:val="24"/>
        </w:rPr>
        <w:t>[2012]98</w:t>
      </w:r>
      <w:r>
        <w:rPr>
          <w:rFonts w:ascii="Times New Roman" w:hAnsi="Times New Roman" w:eastAsia="Times New Roman" w:cs="Times New Roman"/>
          <w:spacing w:val="15"/>
          <w:w w:val="101"/>
          <w:sz w:val="24"/>
          <w:szCs w:val="24"/>
        </w:rPr>
        <w:t xml:space="preserve"> </w:t>
      </w:r>
      <w:r>
        <w:rPr>
          <w:rFonts w:ascii="宋体" w:hAnsi="宋体" w:eastAsia="宋体" w:cs="宋体"/>
          <w:spacing w:val="-3"/>
          <w:sz w:val="24"/>
          <w:szCs w:val="24"/>
        </w:rPr>
        <w:t>号，</w:t>
      </w:r>
      <w:r>
        <w:rPr>
          <w:rFonts w:ascii="宋体" w:hAnsi="宋体" w:eastAsia="宋体" w:cs="宋体"/>
          <w:sz w:val="24"/>
          <w:szCs w:val="24"/>
        </w:rPr>
        <w:t xml:space="preserve"> </w:t>
      </w:r>
      <w:r>
        <w:rPr>
          <w:rFonts w:ascii="Times New Roman" w:hAnsi="Times New Roman" w:eastAsia="Times New Roman" w:cs="Times New Roman"/>
          <w:spacing w:val="-11"/>
          <w:sz w:val="24"/>
          <w:szCs w:val="24"/>
        </w:rPr>
        <w:t>2012</w:t>
      </w:r>
      <w:r>
        <w:rPr>
          <w:rFonts w:ascii="Times New Roman" w:hAnsi="Times New Roman" w:eastAsia="Times New Roman" w:cs="Times New Roman"/>
          <w:spacing w:val="9"/>
          <w:sz w:val="24"/>
          <w:szCs w:val="24"/>
        </w:rPr>
        <w:t xml:space="preserve">  </w:t>
      </w:r>
      <w:r>
        <w:rPr>
          <w:rFonts w:ascii="宋体" w:hAnsi="宋体" w:eastAsia="宋体" w:cs="宋体"/>
          <w:spacing w:val="-11"/>
          <w:sz w:val="24"/>
          <w:szCs w:val="24"/>
        </w:rPr>
        <w:t>年</w:t>
      </w:r>
      <w:r>
        <w:rPr>
          <w:rFonts w:ascii="宋体" w:hAnsi="宋体" w:eastAsia="宋体" w:cs="宋体"/>
          <w:spacing w:val="16"/>
          <w:sz w:val="24"/>
          <w:szCs w:val="24"/>
        </w:rPr>
        <w:t xml:space="preserve"> </w:t>
      </w:r>
      <w:r>
        <w:rPr>
          <w:rFonts w:ascii="Times New Roman" w:hAnsi="Times New Roman" w:eastAsia="Times New Roman" w:cs="Times New Roman"/>
          <w:spacing w:val="-11"/>
          <w:sz w:val="24"/>
          <w:szCs w:val="24"/>
        </w:rPr>
        <w:t>8</w:t>
      </w:r>
      <w:r>
        <w:rPr>
          <w:rFonts w:ascii="Times New Roman" w:hAnsi="Times New Roman" w:eastAsia="Times New Roman" w:cs="Times New Roman"/>
          <w:spacing w:val="15"/>
          <w:w w:val="101"/>
          <w:sz w:val="24"/>
          <w:szCs w:val="24"/>
        </w:rPr>
        <w:t xml:space="preserve"> </w:t>
      </w:r>
      <w:r>
        <w:rPr>
          <w:rFonts w:ascii="宋体" w:hAnsi="宋体" w:eastAsia="宋体" w:cs="宋体"/>
          <w:spacing w:val="-11"/>
          <w:sz w:val="24"/>
          <w:szCs w:val="24"/>
        </w:rPr>
        <w:t>月</w:t>
      </w:r>
      <w:r>
        <w:rPr>
          <w:rFonts w:ascii="宋体" w:hAnsi="宋体" w:eastAsia="宋体" w:cs="宋体"/>
          <w:spacing w:val="-46"/>
          <w:sz w:val="24"/>
          <w:szCs w:val="24"/>
        </w:rPr>
        <w:t xml:space="preserve"> </w:t>
      </w:r>
      <w:r>
        <w:rPr>
          <w:rFonts w:ascii="Times New Roman" w:hAnsi="Times New Roman" w:eastAsia="Times New Roman" w:cs="Times New Roman"/>
          <w:spacing w:val="-11"/>
          <w:sz w:val="24"/>
          <w:szCs w:val="24"/>
        </w:rPr>
        <w:t>8</w:t>
      </w:r>
      <w:r>
        <w:rPr>
          <w:rFonts w:ascii="Times New Roman" w:hAnsi="Times New Roman" w:eastAsia="Times New Roman" w:cs="Times New Roman"/>
          <w:spacing w:val="51"/>
          <w:sz w:val="24"/>
          <w:szCs w:val="24"/>
        </w:rPr>
        <w:t xml:space="preserve"> </w:t>
      </w:r>
      <w:r>
        <w:rPr>
          <w:rFonts w:ascii="宋体" w:hAnsi="宋体" w:eastAsia="宋体" w:cs="宋体"/>
          <w:spacing w:val="-11"/>
          <w:sz w:val="24"/>
          <w:szCs w:val="24"/>
        </w:rPr>
        <w:t>日</w:t>
      </w:r>
      <w:r>
        <w:rPr>
          <w:rFonts w:ascii="Times New Roman" w:hAnsi="Times New Roman" w:eastAsia="Times New Roman" w:cs="Times New Roman"/>
          <w:spacing w:val="-11"/>
          <w:sz w:val="24"/>
          <w:szCs w:val="24"/>
        </w:rPr>
        <w:t>)</w:t>
      </w:r>
      <w:r>
        <w:rPr>
          <w:rFonts w:ascii="宋体" w:hAnsi="宋体" w:eastAsia="宋体" w:cs="宋体"/>
          <w:spacing w:val="-11"/>
          <w:sz w:val="24"/>
          <w:szCs w:val="24"/>
        </w:rPr>
        <w:t>；</w:t>
      </w:r>
    </w:p>
    <w:p w14:paraId="1564D114">
      <w:pPr>
        <w:spacing w:before="192" w:line="285" w:lineRule="auto"/>
        <w:ind w:left="8" w:right="105" w:firstLine="49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25</w:t>
      </w:r>
      <w:r>
        <w:rPr>
          <w:rFonts w:ascii="宋体" w:hAnsi="宋体" w:eastAsia="宋体" w:cs="宋体"/>
          <w:spacing w:val="-2"/>
          <w:sz w:val="24"/>
          <w:szCs w:val="24"/>
        </w:rPr>
        <w:t>）《关于落实大气污染防治行动计划严格环境影响评价准入的通知》（环保部</w:t>
      </w:r>
      <w:r>
        <w:rPr>
          <w:rFonts w:ascii="宋体" w:hAnsi="宋体" w:eastAsia="宋体" w:cs="宋体"/>
          <w:spacing w:val="6"/>
          <w:sz w:val="24"/>
          <w:szCs w:val="24"/>
        </w:rPr>
        <w:t xml:space="preserve"> </w:t>
      </w:r>
      <w:r>
        <w:rPr>
          <w:rFonts w:ascii="宋体" w:hAnsi="宋体" w:eastAsia="宋体" w:cs="宋体"/>
          <w:spacing w:val="-5"/>
          <w:sz w:val="24"/>
          <w:szCs w:val="24"/>
        </w:rPr>
        <w:t>环办</w:t>
      </w:r>
      <w:r>
        <w:rPr>
          <w:rFonts w:ascii="Times New Roman" w:hAnsi="Times New Roman" w:eastAsia="Times New Roman" w:cs="Times New Roman"/>
          <w:spacing w:val="-5"/>
          <w:sz w:val="24"/>
          <w:szCs w:val="24"/>
        </w:rPr>
        <w:t>[2014]30</w:t>
      </w:r>
      <w:r>
        <w:rPr>
          <w:rFonts w:ascii="Times New Roman" w:hAnsi="Times New Roman" w:eastAsia="Times New Roman" w:cs="Times New Roman"/>
          <w:spacing w:val="16"/>
          <w:sz w:val="24"/>
          <w:szCs w:val="24"/>
        </w:rPr>
        <w:t xml:space="preserve"> </w:t>
      </w:r>
      <w:r>
        <w:rPr>
          <w:rFonts w:ascii="宋体" w:hAnsi="宋体" w:eastAsia="宋体" w:cs="宋体"/>
          <w:spacing w:val="-5"/>
          <w:sz w:val="24"/>
          <w:szCs w:val="24"/>
        </w:rPr>
        <w:t>号文</w:t>
      </w:r>
      <w:r>
        <w:rPr>
          <w:rFonts w:ascii="宋体" w:hAnsi="宋体" w:eastAsia="宋体" w:cs="宋体"/>
          <w:spacing w:val="7"/>
          <w:sz w:val="24"/>
          <w:szCs w:val="24"/>
        </w:rPr>
        <w:t>），</w:t>
      </w:r>
      <w:r>
        <w:rPr>
          <w:rFonts w:ascii="Times New Roman" w:hAnsi="Times New Roman" w:eastAsia="Times New Roman" w:cs="Times New Roman"/>
          <w:spacing w:val="-5"/>
          <w:sz w:val="24"/>
          <w:szCs w:val="24"/>
        </w:rPr>
        <w:t xml:space="preserve">2014 </w:t>
      </w:r>
      <w:r>
        <w:rPr>
          <w:rFonts w:ascii="宋体" w:hAnsi="宋体" w:eastAsia="宋体" w:cs="宋体"/>
          <w:spacing w:val="-5"/>
          <w:sz w:val="24"/>
          <w:szCs w:val="24"/>
        </w:rPr>
        <w:t>年</w:t>
      </w:r>
      <w:r>
        <w:rPr>
          <w:rFonts w:ascii="宋体" w:hAnsi="宋体" w:eastAsia="宋体" w:cs="宋体"/>
          <w:spacing w:val="-50"/>
          <w:sz w:val="24"/>
          <w:szCs w:val="24"/>
        </w:rPr>
        <w:t xml:space="preserve"> </w:t>
      </w:r>
      <w:r>
        <w:rPr>
          <w:rFonts w:ascii="Times New Roman" w:hAnsi="Times New Roman" w:eastAsia="Times New Roman" w:cs="Times New Roman"/>
          <w:spacing w:val="-5"/>
          <w:sz w:val="24"/>
          <w:szCs w:val="24"/>
        </w:rPr>
        <w:t>3</w:t>
      </w:r>
      <w:r>
        <w:rPr>
          <w:rFonts w:ascii="Times New Roman" w:hAnsi="Times New Roman" w:eastAsia="Times New Roman" w:cs="Times New Roman"/>
          <w:spacing w:val="15"/>
          <w:sz w:val="24"/>
          <w:szCs w:val="24"/>
        </w:rPr>
        <w:t xml:space="preserve"> </w:t>
      </w:r>
      <w:r>
        <w:rPr>
          <w:rFonts w:ascii="宋体" w:hAnsi="宋体" w:eastAsia="宋体" w:cs="宋体"/>
          <w:spacing w:val="-5"/>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5"/>
          <w:sz w:val="24"/>
          <w:szCs w:val="24"/>
        </w:rPr>
        <w:t xml:space="preserve">25  </w:t>
      </w:r>
      <w:r>
        <w:rPr>
          <w:rFonts w:ascii="宋体" w:hAnsi="宋体" w:eastAsia="宋体" w:cs="宋体"/>
          <w:spacing w:val="-5"/>
          <w:sz w:val="24"/>
          <w:szCs w:val="24"/>
        </w:rPr>
        <w:t>日；</w:t>
      </w:r>
    </w:p>
    <w:p w14:paraId="0617EAD2">
      <w:pPr>
        <w:spacing w:before="191" w:line="290" w:lineRule="auto"/>
        <w:ind w:left="9" w:right="105"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26</w:t>
      </w:r>
      <w:r>
        <w:rPr>
          <w:rFonts w:ascii="宋体" w:hAnsi="宋体" w:eastAsia="宋体" w:cs="宋体"/>
          <w:spacing w:val="-1"/>
          <w:sz w:val="24"/>
          <w:szCs w:val="24"/>
        </w:rPr>
        <w:t>）《国务院关于印发水污染防治行动计划的通知》（国发</w:t>
      </w:r>
      <w:r>
        <w:rPr>
          <w:rFonts w:ascii="Times New Roman" w:hAnsi="Times New Roman" w:eastAsia="Times New Roman" w:cs="Times New Roman"/>
          <w:spacing w:val="-1"/>
          <w:sz w:val="24"/>
          <w:szCs w:val="24"/>
        </w:rPr>
        <w:t xml:space="preserve">[2015]17 </w:t>
      </w:r>
      <w:r>
        <w:rPr>
          <w:rFonts w:ascii="宋体" w:hAnsi="宋体" w:eastAsia="宋体" w:cs="宋体"/>
          <w:spacing w:val="-1"/>
          <w:sz w:val="24"/>
          <w:szCs w:val="24"/>
        </w:rPr>
        <w:t>号），</w:t>
      </w:r>
      <w:r>
        <w:rPr>
          <w:rFonts w:ascii="Times New Roman" w:hAnsi="Times New Roman" w:eastAsia="Times New Roman" w:cs="Times New Roman"/>
          <w:spacing w:val="-2"/>
          <w:sz w:val="24"/>
          <w:szCs w:val="24"/>
        </w:rPr>
        <w:t>2015</w:t>
      </w:r>
      <w:r>
        <w:rPr>
          <w:rFonts w:ascii="Times New Roman" w:hAnsi="Times New Roman" w:eastAsia="Times New Roman" w:cs="Times New Roman"/>
          <w:sz w:val="24"/>
          <w:szCs w:val="24"/>
        </w:rPr>
        <w:t xml:space="preserve"> </w:t>
      </w:r>
      <w:r>
        <w:rPr>
          <w:rFonts w:ascii="宋体" w:hAnsi="宋体" w:eastAsia="宋体" w:cs="宋体"/>
          <w:spacing w:val="-14"/>
          <w:sz w:val="24"/>
          <w:szCs w:val="24"/>
        </w:rPr>
        <w:t>年</w:t>
      </w:r>
      <w:r>
        <w:rPr>
          <w:rFonts w:ascii="宋体" w:hAnsi="宋体" w:eastAsia="宋体" w:cs="宋体"/>
          <w:spacing w:val="-49"/>
          <w:sz w:val="24"/>
          <w:szCs w:val="24"/>
        </w:rPr>
        <w:t xml:space="preserve"> </w:t>
      </w:r>
      <w:r>
        <w:rPr>
          <w:rFonts w:ascii="Times New Roman" w:hAnsi="Times New Roman" w:eastAsia="Times New Roman" w:cs="Times New Roman"/>
          <w:spacing w:val="-14"/>
          <w:sz w:val="24"/>
          <w:szCs w:val="24"/>
        </w:rPr>
        <w:t>4</w:t>
      </w:r>
      <w:r>
        <w:rPr>
          <w:rFonts w:ascii="Times New Roman" w:hAnsi="Times New Roman" w:eastAsia="Times New Roman" w:cs="Times New Roman"/>
          <w:spacing w:val="15"/>
          <w:w w:val="101"/>
          <w:sz w:val="24"/>
          <w:szCs w:val="24"/>
        </w:rPr>
        <w:t xml:space="preserve"> </w:t>
      </w:r>
      <w:r>
        <w:rPr>
          <w:rFonts w:ascii="宋体" w:hAnsi="宋体" w:eastAsia="宋体" w:cs="宋体"/>
          <w:spacing w:val="-14"/>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14"/>
          <w:sz w:val="24"/>
          <w:szCs w:val="24"/>
        </w:rPr>
        <w:t xml:space="preserve">16  </w:t>
      </w:r>
      <w:r>
        <w:rPr>
          <w:rFonts w:ascii="宋体" w:hAnsi="宋体" w:eastAsia="宋体" w:cs="宋体"/>
          <w:spacing w:val="-14"/>
          <w:sz w:val="24"/>
          <w:szCs w:val="24"/>
        </w:rPr>
        <w:t>日；</w:t>
      </w:r>
    </w:p>
    <w:p w14:paraId="28CC4A99">
      <w:pPr>
        <w:spacing w:before="179" w:line="290" w:lineRule="auto"/>
        <w:ind w:left="9" w:right="105" w:firstLine="490"/>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27</w:t>
      </w:r>
      <w:r>
        <w:rPr>
          <w:rFonts w:ascii="宋体" w:hAnsi="宋体" w:eastAsia="宋体" w:cs="宋体"/>
          <w:spacing w:val="-5"/>
          <w:sz w:val="24"/>
          <w:szCs w:val="24"/>
        </w:rPr>
        <w:t>）《国务院关于印发土壤污染防治行动计划的通知》（国发</w:t>
      </w:r>
      <w:r>
        <w:rPr>
          <w:rFonts w:ascii="Times New Roman" w:hAnsi="Times New Roman" w:eastAsia="Times New Roman" w:cs="Times New Roman"/>
          <w:spacing w:val="-5"/>
          <w:sz w:val="24"/>
          <w:szCs w:val="24"/>
        </w:rPr>
        <w:t xml:space="preserve">[2016]31 </w:t>
      </w:r>
      <w:r>
        <w:rPr>
          <w:rFonts w:ascii="宋体" w:hAnsi="宋体" w:eastAsia="宋体" w:cs="宋体"/>
          <w:spacing w:val="-5"/>
          <w:sz w:val="24"/>
          <w:szCs w:val="24"/>
        </w:rPr>
        <w:t>号</w:t>
      </w:r>
      <w:r>
        <w:rPr>
          <w:rFonts w:ascii="宋体" w:hAnsi="宋体" w:eastAsia="宋体" w:cs="宋体"/>
          <w:spacing w:val="-37"/>
          <w:sz w:val="24"/>
          <w:szCs w:val="24"/>
        </w:rPr>
        <w:t>），</w:t>
      </w:r>
      <w:r>
        <w:rPr>
          <w:rFonts w:ascii="Times New Roman" w:hAnsi="Times New Roman" w:eastAsia="Times New Roman" w:cs="Times New Roman"/>
          <w:spacing w:val="-5"/>
          <w:sz w:val="24"/>
          <w:szCs w:val="24"/>
        </w:rPr>
        <w:t>2016</w:t>
      </w:r>
      <w:r>
        <w:rPr>
          <w:rFonts w:ascii="Times New Roman" w:hAnsi="Times New Roman" w:eastAsia="Times New Roman" w:cs="Times New Roman"/>
          <w:spacing w:val="1"/>
          <w:sz w:val="24"/>
          <w:szCs w:val="24"/>
        </w:rPr>
        <w:t xml:space="preserve"> </w:t>
      </w:r>
      <w:r>
        <w:rPr>
          <w:rFonts w:ascii="宋体" w:hAnsi="宋体" w:eastAsia="宋体" w:cs="宋体"/>
          <w:spacing w:val="-14"/>
          <w:sz w:val="24"/>
          <w:szCs w:val="24"/>
        </w:rPr>
        <w:t>年</w:t>
      </w:r>
      <w:r>
        <w:rPr>
          <w:rFonts w:ascii="宋体" w:hAnsi="宋体" w:eastAsia="宋体" w:cs="宋体"/>
          <w:spacing w:val="-45"/>
          <w:sz w:val="24"/>
          <w:szCs w:val="24"/>
        </w:rPr>
        <w:t xml:space="preserve"> </w:t>
      </w:r>
      <w:r>
        <w:rPr>
          <w:rFonts w:ascii="Times New Roman" w:hAnsi="Times New Roman" w:eastAsia="Times New Roman" w:cs="Times New Roman"/>
          <w:spacing w:val="-14"/>
          <w:sz w:val="24"/>
          <w:szCs w:val="24"/>
        </w:rPr>
        <w:t>5</w:t>
      </w:r>
      <w:r>
        <w:rPr>
          <w:rFonts w:ascii="Times New Roman" w:hAnsi="Times New Roman" w:eastAsia="Times New Roman" w:cs="Times New Roman"/>
          <w:spacing w:val="16"/>
          <w:sz w:val="24"/>
          <w:szCs w:val="24"/>
        </w:rPr>
        <w:t xml:space="preserve"> </w:t>
      </w:r>
      <w:r>
        <w:rPr>
          <w:rFonts w:ascii="宋体" w:hAnsi="宋体" w:eastAsia="宋体" w:cs="宋体"/>
          <w:spacing w:val="-14"/>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14"/>
          <w:sz w:val="24"/>
          <w:szCs w:val="24"/>
        </w:rPr>
        <w:t>28</w:t>
      </w:r>
      <w:r>
        <w:rPr>
          <w:rFonts w:ascii="Times New Roman" w:hAnsi="Times New Roman" w:eastAsia="Times New Roman" w:cs="Times New Roman"/>
          <w:spacing w:val="50"/>
          <w:w w:val="101"/>
          <w:sz w:val="24"/>
          <w:szCs w:val="24"/>
        </w:rPr>
        <w:t xml:space="preserve"> </w:t>
      </w:r>
      <w:r>
        <w:rPr>
          <w:rFonts w:ascii="宋体" w:hAnsi="宋体" w:eastAsia="宋体" w:cs="宋体"/>
          <w:spacing w:val="-14"/>
          <w:sz w:val="24"/>
          <w:szCs w:val="24"/>
        </w:rPr>
        <w:t>日；</w:t>
      </w:r>
    </w:p>
    <w:p w14:paraId="6D6C1B86">
      <w:pPr>
        <w:spacing w:before="181" w:line="285" w:lineRule="auto"/>
        <w:ind w:left="47" w:right="105" w:firstLine="452"/>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28</w:t>
      </w:r>
      <w:r>
        <w:rPr>
          <w:rFonts w:ascii="宋体" w:hAnsi="宋体" w:eastAsia="宋体" w:cs="宋体"/>
          <w:spacing w:val="2"/>
          <w:sz w:val="24"/>
          <w:szCs w:val="24"/>
        </w:rPr>
        <w:t>）《内蒙古自治区人民政府关于自治区主体功能区规划的实施意见》</w:t>
      </w:r>
      <w:r>
        <w:rPr>
          <w:rFonts w:ascii="Times New Roman" w:hAnsi="Times New Roman" w:eastAsia="Times New Roman" w:cs="Times New Roman"/>
          <w:spacing w:val="2"/>
          <w:sz w:val="24"/>
          <w:szCs w:val="24"/>
        </w:rPr>
        <w:t>(</w:t>
      </w:r>
      <w:r>
        <w:rPr>
          <w:rFonts w:ascii="宋体" w:hAnsi="宋体" w:eastAsia="宋体" w:cs="宋体"/>
          <w:spacing w:val="2"/>
          <w:sz w:val="24"/>
          <w:szCs w:val="24"/>
        </w:rPr>
        <w:t>内蒙古</w:t>
      </w:r>
      <w:r>
        <w:rPr>
          <w:rFonts w:ascii="宋体" w:hAnsi="宋体" w:eastAsia="宋体" w:cs="宋体"/>
          <w:spacing w:val="18"/>
          <w:sz w:val="24"/>
          <w:szCs w:val="24"/>
        </w:rPr>
        <w:t xml:space="preserve"> </w:t>
      </w:r>
      <w:r>
        <w:rPr>
          <w:rFonts w:ascii="宋体" w:hAnsi="宋体" w:eastAsia="宋体" w:cs="宋体"/>
          <w:spacing w:val="-7"/>
          <w:sz w:val="24"/>
          <w:szCs w:val="24"/>
        </w:rPr>
        <w:t>自治区人民政府，</w:t>
      </w:r>
      <w:r>
        <w:rPr>
          <w:rFonts w:ascii="Times New Roman" w:hAnsi="Times New Roman" w:eastAsia="Times New Roman" w:cs="Times New Roman"/>
          <w:spacing w:val="-7"/>
          <w:sz w:val="24"/>
          <w:szCs w:val="24"/>
        </w:rPr>
        <w:t xml:space="preserve">2015 </w:t>
      </w:r>
      <w:r>
        <w:rPr>
          <w:rFonts w:ascii="宋体" w:hAnsi="宋体" w:eastAsia="宋体" w:cs="宋体"/>
          <w:spacing w:val="-7"/>
          <w:sz w:val="24"/>
          <w:szCs w:val="24"/>
        </w:rPr>
        <w:t>年</w:t>
      </w:r>
      <w:r>
        <w:rPr>
          <w:rFonts w:ascii="宋体" w:hAnsi="宋体" w:eastAsia="宋体" w:cs="宋体"/>
          <w:spacing w:val="-29"/>
          <w:sz w:val="24"/>
          <w:szCs w:val="24"/>
        </w:rPr>
        <w:t xml:space="preserve"> </w:t>
      </w:r>
      <w:r>
        <w:rPr>
          <w:rFonts w:ascii="Times New Roman" w:hAnsi="Times New Roman" w:eastAsia="Times New Roman" w:cs="Times New Roman"/>
          <w:spacing w:val="-7"/>
          <w:sz w:val="24"/>
          <w:szCs w:val="24"/>
        </w:rPr>
        <w:t>1</w:t>
      </w:r>
      <w:r>
        <w:rPr>
          <w:rFonts w:ascii="Times New Roman" w:hAnsi="Times New Roman" w:eastAsia="Times New Roman" w:cs="Times New Roman"/>
          <w:spacing w:val="15"/>
          <w:sz w:val="24"/>
          <w:szCs w:val="24"/>
        </w:rPr>
        <w:t xml:space="preserve"> </w:t>
      </w:r>
      <w:r>
        <w:rPr>
          <w:rFonts w:ascii="宋体" w:hAnsi="宋体" w:eastAsia="宋体" w:cs="宋体"/>
          <w:spacing w:val="-7"/>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7"/>
          <w:sz w:val="24"/>
          <w:szCs w:val="24"/>
        </w:rPr>
        <w:t xml:space="preserve">26  </w:t>
      </w:r>
      <w:r>
        <w:rPr>
          <w:rFonts w:ascii="宋体" w:hAnsi="宋体" w:eastAsia="宋体" w:cs="宋体"/>
          <w:spacing w:val="-7"/>
          <w:sz w:val="24"/>
          <w:szCs w:val="24"/>
        </w:rPr>
        <w:t>日</w:t>
      </w:r>
      <w:r>
        <w:rPr>
          <w:rFonts w:ascii="Times New Roman" w:hAnsi="Times New Roman" w:eastAsia="Times New Roman" w:cs="Times New Roman"/>
          <w:spacing w:val="-7"/>
          <w:sz w:val="24"/>
          <w:szCs w:val="24"/>
        </w:rPr>
        <w:t>)</w:t>
      </w:r>
      <w:r>
        <w:rPr>
          <w:rFonts w:ascii="宋体" w:hAnsi="宋体" w:eastAsia="宋体" w:cs="宋体"/>
          <w:spacing w:val="-7"/>
          <w:sz w:val="24"/>
          <w:szCs w:val="24"/>
        </w:rPr>
        <w:t>；</w:t>
      </w:r>
    </w:p>
    <w:p w14:paraId="1B789835">
      <w:pPr>
        <w:spacing w:before="193" w:line="286" w:lineRule="auto"/>
        <w:ind w:left="8" w:right="105" w:firstLine="49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29</w:t>
      </w:r>
      <w:r>
        <w:rPr>
          <w:rFonts w:ascii="宋体" w:hAnsi="宋体" w:eastAsia="宋体" w:cs="宋体"/>
          <w:spacing w:val="-3"/>
          <w:sz w:val="24"/>
          <w:szCs w:val="24"/>
        </w:rPr>
        <w:t>）《部分工业行业淘汰落后生产工艺装备和产品指导目录（</w:t>
      </w:r>
      <w:r>
        <w:rPr>
          <w:rFonts w:ascii="Times New Roman" w:hAnsi="Times New Roman" w:eastAsia="Times New Roman" w:cs="Times New Roman"/>
          <w:spacing w:val="-3"/>
          <w:sz w:val="24"/>
          <w:szCs w:val="24"/>
        </w:rPr>
        <w:t>201</w:t>
      </w:r>
      <w:r>
        <w:rPr>
          <w:rFonts w:ascii="Times New Roman" w:hAnsi="Times New Roman" w:eastAsia="Times New Roman" w:cs="Times New Roman"/>
          <w:spacing w:val="-4"/>
          <w:sz w:val="24"/>
          <w:szCs w:val="24"/>
        </w:rPr>
        <w:t xml:space="preserve">0 </w:t>
      </w:r>
      <w:r>
        <w:rPr>
          <w:rFonts w:ascii="宋体" w:hAnsi="宋体" w:eastAsia="宋体" w:cs="宋体"/>
          <w:spacing w:val="-4"/>
          <w:sz w:val="24"/>
          <w:szCs w:val="24"/>
        </w:rPr>
        <w:t>年本）》（工</w:t>
      </w:r>
      <w:r>
        <w:rPr>
          <w:rFonts w:ascii="宋体" w:hAnsi="宋体" w:eastAsia="宋体" w:cs="宋体"/>
          <w:sz w:val="24"/>
          <w:szCs w:val="24"/>
        </w:rPr>
        <w:t xml:space="preserve"> </w:t>
      </w:r>
      <w:r>
        <w:rPr>
          <w:rFonts w:ascii="宋体" w:hAnsi="宋体" w:eastAsia="宋体" w:cs="宋体"/>
          <w:spacing w:val="-7"/>
          <w:sz w:val="24"/>
          <w:szCs w:val="24"/>
        </w:rPr>
        <w:t>产业</w:t>
      </w:r>
      <w:r>
        <w:rPr>
          <w:rFonts w:ascii="Times New Roman" w:hAnsi="Times New Roman" w:eastAsia="Times New Roman" w:cs="Times New Roman"/>
          <w:spacing w:val="-7"/>
          <w:sz w:val="24"/>
          <w:szCs w:val="24"/>
        </w:rPr>
        <w:t>[2010]</w:t>
      </w:r>
      <w:r>
        <w:rPr>
          <w:rFonts w:ascii="宋体" w:hAnsi="宋体" w:eastAsia="宋体" w:cs="宋体"/>
          <w:spacing w:val="-7"/>
          <w:sz w:val="24"/>
          <w:szCs w:val="24"/>
        </w:rPr>
        <w:t>第</w:t>
      </w:r>
      <w:r>
        <w:rPr>
          <w:rFonts w:ascii="宋体" w:hAnsi="宋体" w:eastAsia="宋体" w:cs="宋体"/>
          <w:spacing w:val="-32"/>
          <w:sz w:val="24"/>
          <w:szCs w:val="24"/>
        </w:rPr>
        <w:t xml:space="preserve"> </w:t>
      </w:r>
      <w:r>
        <w:rPr>
          <w:rFonts w:ascii="Times New Roman" w:hAnsi="Times New Roman" w:eastAsia="Times New Roman" w:cs="Times New Roman"/>
          <w:spacing w:val="-7"/>
          <w:sz w:val="24"/>
          <w:szCs w:val="24"/>
        </w:rPr>
        <w:t>122</w:t>
      </w:r>
      <w:r>
        <w:rPr>
          <w:rFonts w:ascii="Times New Roman" w:hAnsi="Times New Roman" w:eastAsia="Times New Roman" w:cs="Times New Roman"/>
          <w:spacing w:val="15"/>
          <w:sz w:val="24"/>
          <w:szCs w:val="24"/>
        </w:rPr>
        <w:t xml:space="preserve"> </w:t>
      </w:r>
      <w:r>
        <w:rPr>
          <w:rFonts w:ascii="宋体" w:hAnsi="宋体" w:eastAsia="宋体" w:cs="宋体"/>
          <w:spacing w:val="-7"/>
          <w:sz w:val="24"/>
          <w:szCs w:val="24"/>
        </w:rPr>
        <w:t>号</w:t>
      </w:r>
      <w:r>
        <w:rPr>
          <w:rFonts w:ascii="宋体" w:hAnsi="宋体" w:eastAsia="宋体" w:cs="宋体"/>
          <w:spacing w:val="6"/>
          <w:sz w:val="24"/>
          <w:szCs w:val="24"/>
        </w:rPr>
        <w:t>），</w:t>
      </w:r>
      <w:r>
        <w:rPr>
          <w:rFonts w:ascii="Times New Roman" w:hAnsi="Times New Roman" w:eastAsia="Times New Roman" w:cs="Times New Roman"/>
          <w:spacing w:val="-7"/>
          <w:sz w:val="24"/>
          <w:szCs w:val="24"/>
        </w:rPr>
        <w:t xml:space="preserve">2010 </w:t>
      </w:r>
      <w:r>
        <w:rPr>
          <w:rFonts w:ascii="宋体" w:hAnsi="宋体" w:eastAsia="宋体" w:cs="宋体"/>
          <w:spacing w:val="-7"/>
          <w:sz w:val="24"/>
          <w:szCs w:val="24"/>
        </w:rPr>
        <w:t>年</w:t>
      </w:r>
      <w:r>
        <w:rPr>
          <w:rFonts w:ascii="宋体" w:hAnsi="宋体" w:eastAsia="宋体" w:cs="宋体"/>
          <w:spacing w:val="-32"/>
          <w:sz w:val="24"/>
          <w:szCs w:val="24"/>
        </w:rPr>
        <w:t xml:space="preserve"> </w:t>
      </w:r>
      <w:r>
        <w:rPr>
          <w:rFonts w:ascii="Times New Roman" w:hAnsi="Times New Roman" w:eastAsia="Times New Roman" w:cs="Times New Roman"/>
          <w:spacing w:val="-7"/>
          <w:sz w:val="24"/>
          <w:szCs w:val="24"/>
        </w:rPr>
        <w:t>10</w:t>
      </w:r>
      <w:r>
        <w:rPr>
          <w:rFonts w:ascii="Times New Roman" w:hAnsi="Times New Roman" w:eastAsia="Times New Roman" w:cs="Times New Roman"/>
          <w:spacing w:val="15"/>
          <w:sz w:val="24"/>
          <w:szCs w:val="24"/>
        </w:rPr>
        <w:t xml:space="preserve"> </w:t>
      </w:r>
      <w:r>
        <w:rPr>
          <w:rFonts w:ascii="宋体" w:hAnsi="宋体" w:eastAsia="宋体" w:cs="宋体"/>
          <w:spacing w:val="-7"/>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7"/>
          <w:sz w:val="24"/>
          <w:szCs w:val="24"/>
        </w:rPr>
        <w:t xml:space="preserve">13  </w:t>
      </w:r>
      <w:r>
        <w:rPr>
          <w:rFonts w:ascii="宋体" w:hAnsi="宋体" w:eastAsia="宋体" w:cs="宋体"/>
          <w:spacing w:val="-7"/>
          <w:sz w:val="24"/>
          <w:szCs w:val="24"/>
        </w:rPr>
        <w:t>日；</w:t>
      </w:r>
    </w:p>
    <w:p w14:paraId="1780B22C">
      <w:pPr>
        <w:spacing w:before="193" w:line="288" w:lineRule="auto"/>
        <w:ind w:left="14" w:right="105" w:firstLine="485"/>
        <w:rPr>
          <w:rFonts w:ascii="宋体" w:hAnsi="宋体" w:eastAsia="宋体" w:cs="宋体"/>
          <w:sz w:val="24"/>
          <w:szCs w:val="24"/>
        </w:rPr>
      </w:pPr>
      <w:r>
        <w:rPr>
          <w:rFonts w:ascii="宋体" w:hAnsi="宋体" w:eastAsia="宋体" w:cs="宋体"/>
          <w:spacing w:val="-8"/>
          <w:sz w:val="24"/>
          <w:szCs w:val="24"/>
        </w:rPr>
        <w:t>（</w:t>
      </w:r>
      <w:r>
        <w:rPr>
          <w:rFonts w:ascii="Times New Roman" w:hAnsi="Times New Roman" w:eastAsia="Times New Roman" w:cs="Times New Roman"/>
          <w:spacing w:val="-8"/>
          <w:sz w:val="24"/>
          <w:szCs w:val="24"/>
        </w:rPr>
        <w:t>30</w:t>
      </w:r>
      <w:r>
        <w:rPr>
          <w:rFonts w:ascii="宋体" w:hAnsi="宋体" w:eastAsia="宋体" w:cs="宋体"/>
          <w:spacing w:val="-8"/>
          <w:sz w:val="24"/>
          <w:szCs w:val="24"/>
        </w:rPr>
        <w:t>）《工业和信息化部关于进一步加强工业节水工作的意见》，工信部节</w:t>
      </w:r>
      <w:r>
        <w:rPr>
          <w:rFonts w:ascii="Times New Roman" w:hAnsi="Times New Roman" w:eastAsia="Times New Roman" w:cs="Times New Roman"/>
          <w:spacing w:val="-8"/>
          <w:sz w:val="24"/>
          <w:szCs w:val="24"/>
        </w:rPr>
        <w:t>[2010</w:t>
      </w:r>
      <w:r>
        <w:rPr>
          <w:rFonts w:ascii="Times New Roman" w:hAnsi="Times New Roman" w:eastAsia="Times New Roman" w:cs="Times New Roman"/>
          <w:spacing w:val="-9"/>
          <w:sz w:val="24"/>
          <w:szCs w:val="24"/>
        </w:rPr>
        <w:t>]218</w:t>
      </w:r>
      <w:r>
        <w:rPr>
          <w:rFonts w:ascii="Times New Roman" w:hAnsi="Times New Roman" w:eastAsia="Times New Roman" w:cs="Times New Roman"/>
          <w:sz w:val="24"/>
          <w:szCs w:val="24"/>
        </w:rPr>
        <w:t xml:space="preserve"> </w:t>
      </w:r>
      <w:r>
        <w:rPr>
          <w:rFonts w:ascii="宋体" w:hAnsi="宋体" w:eastAsia="宋体" w:cs="宋体"/>
          <w:spacing w:val="-7"/>
          <w:sz w:val="24"/>
          <w:szCs w:val="24"/>
        </w:rPr>
        <w:t>号，</w:t>
      </w:r>
      <w:r>
        <w:rPr>
          <w:rFonts w:ascii="Times New Roman" w:hAnsi="Times New Roman" w:eastAsia="Times New Roman" w:cs="Times New Roman"/>
          <w:spacing w:val="-7"/>
          <w:sz w:val="24"/>
          <w:szCs w:val="24"/>
        </w:rPr>
        <w:t xml:space="preserve">2010 </w:t>
      </w:r>
      <w:r>
        <w:rPr>
          <w:rFonts w:ascii="宋体" w:hAnsi="宋体" w:eastAsia="宋体" w:cs="宋体"/>
          <w:spacing w:val="-7"/>
          <w:sz w:val="24"/>
          <w:szCs w:val="24"/>
        </w:rPr>
        <w:t>年</w:t>
      </w:r>
      <w:r>
        <w:rPr>
          <w:rFonts w:ascii="宋体" w:hAnsi="宋体" w:eastAsia="宋体" w:cs="宋体"/>
          <w:spacing w:val="-37"/>
          <w:sz w:val="24"/>
          <w:szCs w:val="24"/>
        </w:rPr>
        <w:t xml:space="preserve"> </w:t>
      </w:r>
      <w:r>
        <w:rPr>
          <w:rFonts w:ascii="Times New Roman" w:hAnsi="Times New Roman" w:eastAsia="Times New Roman" w:cs="Times New Roman"/>
          <w:spacing w:val="-7"/>
          <w:sz w:val="24"/>
          <w:szCs w:val="24"/>
        </w:rPr>
        <w:t>5</w:t>
      </w:r>
      <w:r>
        <w:rPr>
          <w:rFonts w:ascii="Times New Roman" w:hAnsi="Times New Roman" w:eastAsia="Times New Roman" w:cs="Times New Roman"/>
          <w:spacing w:val="16"/>
          <w:sz w:val="24"/>
          <w:szCs w:val="24"/>
        </w:rPr>
        <w:t xml:space="preserve"> </w:t>
      </w:r>
      <w:r>
        <w:rPr>
          <w:rFonts w:ascii="宋体" w:hAnsi="宋体" w:eastAsia="宋体" w:cs="宋体"/>
          <w:spacing w:val="-7"/>
          <w:sz w:val="24"/>
          <w:szCs w:val="24"/>
        </w:rPr>
        <w:t>月</w:t>
      </w:r>
      <w:r>
        <w:rPr>
          <w:rFonts w:ascii="宋体" w:hAnsi="宋体" w:eastAsia="宋体" w:cs="宋体"/>
          <w:spacing w:val="-57"/>
          <w:sz w:val="24"/>
          <w:szCs w:val="24"/>
        </w:rPr>
        <w:t xml:space="preserve"> </w:t>
      </w:r>
      <w:r>
        <w:rPr>
          <w:rFonts w:ascii="Times New Roman" w:hAnsi="Times New Roman" w:eastAsia="Times New Roman" w:cs="Times New Roman"/>
          <w:spacing w:val="-7"/>
          <w:sz w:val="24"/>
          <w:szCs w:val="24"/>
        </w:rPr>
        <w:t xml:space="preserve">4  </w:t>
      </w:r>
      <w:r>
        <w:rPr>
          <w:rFonts w:ascii="宋体" w:hAnsi="宋体" w:eastAsia="宋体" w:cs="宋体"/>
          <w:spacing w:val="-7"/>
          <w:sz w:val="24"/>
          <w:szCs w:val="24"/>
        </w:rPr>
        <w:t>日发布；</w:t>
      </w:r>
    </w:p>
    <w:p w14:paraId="457ECBE2">
      <w:pPr>
        <w:spacing w:before="184" w:line="285" w:lineRule="auto"/>
        <w:ind w:left="7" w:right="105" w:firstLine="492"/>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31</w:t>
      </w:r>
      <w:r>
        <w:rPr>
          <w:rFonts w:ascii="宋体" w:hAnsi="宋体" w:eastAsia="宋体" w:cs="宋体"/>
          <w:spacing w:val="-2"/>
          <w:sz w:val="24"/>
          <w:szCs w:val="24"/>
        </w:rPr>
        <w:t>）《关于加强高耗能、高排放建设项目生态环境源头防控的指导意见》（环环</w:t>
      </w:r>
      <w:r>
        <w:rPr>
          <w:rFonts w:ascii="宋体" w:hAnsi="宋体" w:eastAsia="宋体" w:cs="宋体"/>
          <w:spacing w:val="6"/>
          <w:sz w:val="24"/>
          <w:szCs w:val="24"/>
        </w:rPr>
        <w:t xml:space="preserve"> </w:t>
      </w:r>
      <w:r>
        <w:rPr>
          <w:rFonts w:ascii="宋体" w:hAnsi="宋体" w:eastAsia="宋体" w:cs="宋体"/>
          <w:spacing w:val="-6"/>
          <w:sz w:val="24"/>
          <w:szCs w:val="24"/>
        </w:rPr>
        <w:t>评</w:t>
      </w:r>
      <w:r>
        <w:rPr>
          <w:rFonts w:ascii="Times New Roman" w:hAnsi="Times New Roman" w:eastAsia="Times New Roman" w:cs="Times New Roman"/>
          <w:spacing w:val="-6"/>
          <w:sz w:val="24"/>
          <w:szCs w:val="24"/>
        </w:rPr>
        <w:t>[2021]45</w:t>
      </w:r>
      <w:r>
        <w:rPr>
          <w:rFonts w:ascii="Times New Roman" w:hAnsi="Times New Roman" w:eastAsia="Times New Roman" w:cs="Times New Roman"/>
          <w:spacing w:val="17"/>
          <w:sz w:val="24"/>
          <w:szCs w:val="24"/>
        </w:rPr>
        <w:t xml:space="preserve"> </w:t>
      </w:r>
      <w:r>
        <w:rPr>
          <w:rFonts w:ascii="宋体" w:hAnsi="宋体" w:eastAsia="宋体" w:cs="宋体"/>
          <w:spacing w:val="-6"/>
          <w:sz w:val="24"/>
          <w:szCs w:val="24"/>
        </w:rPr>
        <w:t>号</w:t>
      </w:r>
      <w:r>
        <w:rPr>
          <w:rFonts w:ascii="宋体" w:hAnsi="宋体" w:eastAsia="宋体" w:cs="宋体"/>
          <w:spacing w:val="11"/>
          <w:sz w:val="24"/>
          <w:szCs w:val="24"/>
        </w:rPr>
        <w:t>），</w:t>
      </w:r>
      <w:r>
        <w:rPr>
          <w:rFonts w:ascii="Times New Roman" w:hAnsi="Times New Roman" w:eastAsia="Times New Roman" w:cs="Times New Roman"/>
          <w:spacing w:val="-6"/>
          <w:sz w:val="24"/>
          <w:szCs w:val="24"/>
        </w:rPr>
        <w:t xml:space="preserve">2021 </w:t>
      </w:r>
      <w:r>
        <w:rPr>
          <w:rFonts w:ascii="宋体" w:hAnsi="宋体" w:eastAsia="宋体" w:cs="宋体"/>
          <w:spacing w:val="-6"/>
          <w:sz w:val="24"/>
          <w:szCs w:val="24"/>
        </w:rPr>
        <w:t>年</w:t>
      </w:r>
      <w:r>
        <w:rPr>
          <w:rFonts w:ascii="宋体" w:hAnsi="宋体" w:eastAsia="宋体" w:cs="宋体"/>
          <w:spacing w:val="-49"/>
          <w:sz w:val="24"/>
          <w:szCs w:val="24"/>
        </w:rPr>
        <w:t xml:space="preserve"> </w:t>
      </w:r>
      <w:r>
        <w:rPr>
          <w:rFonts w:ascii="Times New Roman" w:hAnsi="Times New Roman" w:eastAsia="Times New Roman" w:cs="Times New Roman"/>
          <w:spacing w:val="-6"/>
          <w:sz w:val="24"/>
          <w:szCs w:val="24"/>
        </w:rPr>
        <w:t>5</w:t>
      </w:r>
      <w:r>
        <w:rPr>
          <w:rFonts w:ascii="Times New Roman" w:hAnsi="Times New Roman" w:eastAsia="Times New Roman" w:cs="Times New Roman"/>
          <w:spacing w:val="15"/>
          <w:w w:val="101"/>
          <w:sz w:val="24"/>
          <w:szCs w:val="24"/>
        </w:rPr>
        <w:t xml:space="preserve"> </w:t>
      </w:r>
      <w:r>
        <w:rPr>
          <w:rFonts w:ascii="宋体" w:hAnsi="宋体" w:eastAsia="宋体" w:cs="宋体"/>
          <w:spacing w:val="-6"/>
          <w:sz w:val="24"/>
          <w:szCs w:val="24"/>
        </w:rPr>
        <w:t>月</w:t>
      </w:r>
      <w:r>
        <w:rPr>
          <w:rFonts w:ascii="宋体" w:hAnsi="宋体" w:eastAsia="宋体" w:cs="宋体"/>
          <w:spacing w:val="-51"/>
          <w:sz w:val="24"/>
          <w:szCs w:val="24"/>
        </w:rPr>
        <w:t xml:space="preserve"> </w:t>
      </w:r>
      <w:r>
        <w:rPr>
          <w:rFonts w:ascii="Times New Roman" w:hAnsi="Times New Roman" w:eastAsia="Times New Roman" w:cs="Times New Roman"/>
          <w:spacing w:val="-6"/>
          <w:sz w:val="24"/>
          <w:szCs w:val="24"/>
        </w:rPr>
        <w:t xml:space="preserve">30  </w:t>
      </w:r>
      <w:r>
        <w:rPr>
          <w:rFonts w:ascii="宋体" w:hAnsi="宋体" w:eastAsia="宋体" w:cs="宋体"/>
          <w:spacing w:val="-6"/>
          <w:sz w:val="24"/>
          <w:szCs w:val="24"/>
        </w:rPr>
        <w:t>日；</w:t>
      </w:r>
    </w:p>
    <w:p w14:paraId="1452D3A0">
      <w:pPr>
        <w:spacing w:before="189" w:line="290" w:lineRule="auto"/>
        <w:ind w:left="7" w:right="105" w:firstLine="492"/>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32</w:t>
      </w:r>
      <w:r>
        <w:rPr>
          <w:rFonts w:ascii="宋体" w:hAnsi="宋体" w:eastAsia="宋体" w:cs="宋体"/>
          <w:spacing w:val="-2"/>
          <w:sz w:val="24"/>
          <w:szCs w:val="24"/>
        </w:rPr>
        <w:t>）《内蒙古自治区人民政府关于贯彻落实大气污染防治行动计划的意见》，内</w:t>
      </w:r>
      <w:r>
        <w:rPr>
          <w:rFonts w:ascii="宋体" w:hAnsi="宋体" w:eastAsia="宋体" w:cs="宋体"/>
          <w:spacing w:val="6"/>
          <w:sz w:val="24"/>
          <w:szCs w:val="24"/>
        </w:rPr>
        <w:t xml:space="preserve"> </w:t>
      </w:r>
      <w:r>
        <w:rPr>
          <w:rFonts w:ascii="宋体" w:hAnsi="宋体" w:eastAsia="宋体" w:cs="宋体"/>
          <w:spacing w:val="-5"/>
          <w:sz w:val="24"/>
          <w:szCs w:val="24"/>
        </w:rPr>
        <w:t>政发【</w:t>
      </w:r>
      <w:r>
        <w:rPr>
          <w:rFonts w:ascii="Times New Roman" w:hAnsi="Times New Roman" w:eastAsia="Times New Roman" w:cs="Times New Roman"/>
          <w:spacing w:val="-5"/>
          <w:sz w:val="24"/>
          <w:szCs w:val="24"/>
        </w:rPr>
        <w:t>2013</w:t>
      </w:r>
      <w:r>
        <w:rPr>
          <w:rFonts w:ascii="宋体" w:hAnsi="宋体" w:eastAsia="宋体" w:cs="宋体"/>
          <w:spacing w:val="-5"/>
          <w:sz w:val="24"/>
          <w:szCs w:val="24"/>
        </w:rPr>
        <w:t>】</w:t>
      </w:r>
      <w:r>
        <w:rPr>
          <w:rFonts w:ascii="Times New Roman" w:hAnsi="Times New Roman" w:eastAsia="Times New Roman" w:cs="Times New Roman"/>
          <w:spacing w:val="-5"/>
          <w:sz w:val="24"/>
          <w:szCs w:val="24"/>
        </w:rPr>
        <w:t>126</w:t>
      </w:r>
      <w:r>
        <w:rPr>
          <w:rFonts w:ascii="Times New Roman" w:hAnsi="Times New Roman" w:eastAsia="Times New Roman" w:cs="Times New Roman"/>
          <w:spacing w:val="17"/>
          <w:sz w:val="24"/>
          <w:szCs w:val="24"/>
        </w:rPr>
        <w:t xml:space="preserve"> </w:t>
      </w:r>
      <w:r>
        <w:rPr>
          <w:rFonts w:ascii="宋体" w:hAnsi="宋体" w:eastAsia="宋体" w:cs="宋体"/>
          <w:spacing w:val="-5"/>
          <w:sz w:val="24"/>
          <w:szCs w:val="24"/>
        </w:rPr>
        <w:t>号，</w:t>
      </w:r>
      <w:r>
        <w:rPr>
          <w:rFonts w:ascii="Times New Roman" w:hAnsi="Times New Roman" w:eastAsia="Times New Roman" w:cs="Times New Roman"/>
          <w:spacing w:val="-5"/>
          <w:sz w:val="24"/>
          <w:szCs w:val="24"/>
        </w:rPr>
        <w:t xml:space="preserve">2013 </w:t>
      </w:r>
      <w:r>
        <w:rPr>
          <w:rFonts w:ascii="宋体" w:hAnsi="宋体" w:eastAsia="宋体" w:cs="宋体"/>
          <w:spacing w:val="-5"/>
          <w:sz w:val="24"/>
          <w:szCs w:val="24"/>
        </w:rPr>
        <w:t>年</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12</w:t>
      </w:r>
      <w:r>
        <w:rPr>
          <w:rFonts w:ascii="Times New Roman" w:hAnsi="Times New Roman" w:eastAsia="Times New Roman" w:cs="Times New Roman"/>
          <w:spacing w:val="15"/>
          <w:w w:val="101"/>
          <w:sz w:val="24"/>
          <w:szCs w:val="24"/>
        </w:rPr>
        <w:t xml:space="preserve"> </w:t>
      </w:r>
      <w:r>
        <w:rPr>
          <w:rFonts w:ascii="宋体" w:hAnsi="宋体" w:eastAsia="宋体" w:cs="宋体"/>
          <w:spacing w:val="-5"/>
          <w:sz w:val="24"/>
          <w:szCs w:val="24"/>
        </w:rPr>
        <w:t>月</w:t>
      </w:r>
      <w:r>
        <w:rPr>
          <w:rFonts w:ascii="宋体" w:hAnsi="宋体" w:eastAsia="宋体" w:cs="宋体"/>
          <w:spacing w:val="-51"/>
          <w:sz w:val="24"/>
          <w:szCs w:val="24"/>
        </w:rPr>
        <w:t xml:space="preserve"> </w:t>
      </w:r>
      <w:r>
        <w:rPr>
          <w:rFonts w:ascii="Times New Roman" w:hAnsi="Times New Roman" w:eastAsia="Times New Roman" w:cs="Times New Roman"/>
          <w:spacing w:val="-5"/>
          <w:sz w:val="24"/>
          <w:szCs w:val="24"/>
        </w:rPr>
        <w:t xml:space="preserve">31  </w:t>
      </w:r>
      <w:r>
        <w:rPr>
          <w:rFonts w:ascii="宋体" w:hAnsi="宋体" w:eastAsia="宋体" w:cs="宋体"/>
          <w:spacing w:val="-5"/>
          <w:sz w:val="24"/>
          <w:szCs w:val="24"/>
        </w:rPr>
        <w:t>日；</w:t>
      </w:r>
    </w:p>
    <w:p w14:paraId="24E25BC0">
      <w:pPr>
        <w:spacing w:before="183" w:line="285" w:lineRule="auto"/>
        <w:ind w:left="19" w:firstLine="480"/>
        <w:rPr>
          <w:rFonts w:ascii="宋体" w:hAnsi="宋体" w:eastAsia="宋体" w:cs="宋体"/>
          <w:sz w:val="24"/>
          <w:szCs w:val="24"/>
        </w:rPr>
      </w:pPr>
      <w:r>
        <w:rPr>
          <w:rFonts w:ascii="宋体" w:hAnsi="宋体" w:eastAsia="宋体" w:cs="宋体"/>
          <w:spacing w:val="-6"/>
          <w:sz w:val="24"/>
          <w:szCs w:val="24"/>
        </w:rPr>
        <w:t>（</w:t>
      </w:r>
      <w:r>
        <w:rPr>
          <w:rFonts w:ascii="Times New Roman" w:hAnsi="Times New Roman" w:eastAsia="Times New Roman" w:cs="Times New Roman"/>
          <w:spacing w:val="-6"/>
          <w:sz w:val="24"/>
          <w:szCs w:val="24"/>
        </w:rPr>
        <w:t>33</w:t>
      </w:r>
      <w:r>
        <w:rPr>
          <w:rFonts w:ascii="宋体" w:hAnsi="宋体" w:eastAsia="宋体" w:cs="宋体"/>
          <w:spacing w:val="-6"/>
          <w:sz w:val="24"/>
          <w:szCs w:val="24"/>
        </w:rPr>
        <w:t>）《关于印发</w:t>
      </w:r>
      <w:r>
        <w:rPr>
          <w:rFonts w:ascii="Times New Roman" w:hAnsi="Times New Roman" w:eastAsia="Times New Roman" w:cs="Times New Roman"/>
          <w:spacing w:val="-6"/>
          <w:sz w:val="24"/>
          <w:szCs w:val="24"/>
        </w:rPr>
        <w:t>&lt;</w:t>
      </w:r>
      <w:r>
        <w:rPr>
          <w:rFonts w:ascii="宋体" w:hAnsi="宋体" w:eastAsia="宋体" w:cs="宋体"/>
          <w:spacing w:val="-6"/>
          <w:sz w:val="24"/>
          <w:szCs w:val="24"/>
        </w:rPr>
        <w:t>关于确保完成</w:t>
      </w:r>
      <w:r>
        <w:rPr>
          <w:rFonts w:ascii="Times New Roman" w:hAnsi="Times New Roman" w:eastAsia="Times New Roman" w:cs="Times New Roman"/>
          <w:spacing w:val="-6"/>
          <w:sz w:val="24"/>
          <w:szCs w:val="24"/>
        </w:rPr>
        <w:t>“</w:t>
      </w:r>
      <w:r>
        <w:rPr>
          <w:rFonts w:ascii="宋体" w:hAnsi="宋体" w:eastAsia="宋体" w:cs="宋体"/>
          <w:spacing w:val="-6"/>
          <w:sz w:val="24"/>
          <w:szCs w:val="24"/>
        </w:rPr>
        <w:t>十四五</w:t>
      </w:r>
      <w:r>
        <w:rPr>
          <w:rFonts w:ascii="Times New Roman" w:hAnsi="Times New Roman" w:eastAsia="Times New Roman" w:cs="Times New Roman"/>
          <w:spacing w:val="-6"/>
          <w:sz w:val="24"/>
          <w:szCs w:val="24"/>
        </w:rPr>
        <w:t>”</w:t>
      </w:r>
      <w:r>
        <w:rPr>
          <w:rFonts w:ascii="宋体" w:hAnsi="宋体" w:eastAsia="宋体" w:cs="宋体"/>
          <w:spacing w:val="-6"/>
          <w:sz w:val="24"/>
          <w:szCs w:val="24"/>
        </w:rPr>
        <w:t>能耗双控目标任务若干保障措施</w:t>
      </w:r>
      <w:r>
        <w:rPr>
          <w:rFonts w:ascii="Times New Roman" w:hAnsi="Times New Roman" w:eastAsia="Times New Roman" w:cs="Times New Roman"/>
          <w:spacing w:val="-6"/>
          <w:sz w:val="24"/>
          <w:szCs w:val="24"/>
        </w:rPr>
        <w:t>&gt;</w:t>
      </w:r>
      <w:r>
        <w:rPr>
          <w:rFonts w:ascii="Times New Roman" w:hAnsi="Times New Roman" w:eastAsia="Times New Roman" w:cs="Times New Roman"/>
          <w:spacing w:val="-26"/>
          <w:sz w:val="24"/>
          <w:szCs w:val="24"/>
        </w:rPr>
        <w:t xml:space="preserve"> </w:t>
      </w:r>
      <w:r>
        <w:rPr>
          <w:rFonts w:ascii="宋体" w:hAnsi="宋体" w:eastAsia="宋体" w:cs="宋体"/>
          <w:spacing w:val="-6"/>
          <w:sz w:val="24"/>
          <w:szCs w:val="24"/>
        </w:rPr>
        <w:t>的通知》</w:t>
      </w:r>
      <w:r>
        <w:rPr>
          <w:rFonts w:ascii="宋体" w:hAnsi="宋体" w:eastAsia="宋体" w:cs="宋体"/>
          <w:sz w:val="24"/>
          <w:szCs w:val="24"/>
        </w:rPr>
        <w:t xml:space="preserve"> </w:t>
      </w:r>
      <w:r>
        <w:rPr>
          <w:rFonts w:ascii="宋体" w:hAnsi="宋体" w:eastAsia="宋体" w:cs="宋体"/>
          <w:spacing w:val="-5"/>
          <w:sz w:val="24"/>
          <w:szCs w:val="24"/>
        </w:rPr>
        <w:t>（内发改环资字</w:t>
      </w:r>
      <w:r>
        <w:rPr>
          <w:rFonts w:ascii="Times New Roman" w:hAnsi="Times New Roman" w:eastAsia="Times New Roman" w:cs="Times New Roman"/>
          <w:spacing w:val="-5"/>
          <w:sz w:val="24"/>
          <w:szCs w:val="24"/>
        </w:rPr>
        <w:t>[2021]209</w:t>
      </w:r>
      <w:r>
        <w:rPr>
          <w:rFonts w:ascii="Times New Roman" w:hAnsi="Times New Roman" w:eastAsia="Times New Roman" w:cs="Times New Roman"/>
          <w:spacing w:val="16"/>
          <w:sz w:val="24"/>
          <w:szCs w:val="24"/>
        </w:rPr>
        <w:t xml:space="preserve"> </w:t>
      </w:r>
      <w:r>
        <w:rPr>
          <w:rFonts w:ascii="宋体" w:hAnsi="宋体" w:eastAsia="宋体" w:cs="宋体"/>
          <w:spacing w:val="-5"/>
          <w:sz w:val="24"/>
          <w:szCs w:val="24"/>
        </w:rPr>
        <w:t>号</w:t>
      </w:r>
      <w:r>
        <w:rPr>
          <w:rFonts w:ascii="宋体" w:hAnsi="宋体" w:eastAsia="宋体" w:cs="宋体"/>
          <w:spacing w:val="9"/>
          <w:sz w:val="24"/>
          <w:szCs w:val="24"/>
        </w:rPr>
        <w:t>），</w:t>
      </w:r>
      <w:r>
        <w:rPr>
          <w:rFonts w:ascii="Times New Roman" w:hAnsi="Times New Roman" w:eastAsia="Times New Roman" w:cs="Times New Roman"/>
          <w:spacing w:val="-5"/>
          <w:sz w:val="24"/>
          <w:szCs w:val="24"/>
        </w:rPr>
        <w:t xml:space="preserve">2021 </w:t>
      </w:r>
      <w:r>
        <w:rPr>
          <w:rFonts w:ascii="宋体" w:hAnsi="宋体" w:eastAsia="宋体" w:cs="宋体"/>
          <w:spacing w:val="-5"/>
          <w:sz w:val="24"/>
          <w:szCs w:val="24"/>
        </w:rPr>
        <w:t>年</w:t>
      </w:r>
      <w:r>
        <w:rPr>
          <w:rFonts w:ascii="宋体" w:hAnsi="宋体" w:eastAsia="宋体" w:cs="宋体"/>
          <w:spacing w:val="-50"/>
          <w:sz w:val="24"/>
          <w:szCs w:val="24"/>
        </w:rPr>
        <w:t xml:space="preserve"> </w:t>
      </w:r>
      <w:r>
        <w:rPr>
          <w:rFonts w:ascii="Times New Roman" w:hAnsi="Times New Roman" w:eastAsia="Times New Roman" w:cs="Times New Roman"/>
          <w:spacing w:val="-5"/>
          <w:sz w:val="24"/>
          <w:szCs w:val="24"/>
        </w:rPr>
        <w:t>3</w:t>
      </w:r>
      <w:r>
        <w:rPr>
          <w:rFonts w:ascii="Times New Roman" w:hAnsi="Times New Roman" w:eastAsia="Times New Roman" w:cs="Times New Roman"/>
          <w:spacing w:val="15"/>
          <w:sz w:val="24"/>
          <w:szCs w:val="24"/>
        </w:rPr>
        <w:t xml:space="preserve"> </w:t>
      </w:r>
      <w:r>
        <w:rPr>
          <w:rFonts w:ascii="宋体" w:hAnsi="宋体" w:eastAsia="宋体" w:cs="宋体"/>
          <w:spacing w:val="-5"/>
          <w:sz w:val="24"/>
          <w:szCs w:val="24"/>
        </w:rPr>
        <w:t>月</w:t>
      </w:r>
      <w:r>
        <w:rPr>
          <w:rFonts w:ascii="宋体" w:hAnsi="宋体" w:eastAsia="宋体" w:cs="宋体"/>
          <w:spacing w:val="-50"/>
          <w:sz w:val="24"/>
          <w:szCs w:val="24"/>
        </w:rPr>
        <w:t xml:space="preserve"> </w:t>
      </w:r>
      <w:r>
        <w:rPr>
          <w:rFonts w:ascii="Times New Roman" w:hAnsi="Times New Roman" w:eastAsia="Times New Roman" w:cs="Times New Roman"/>
          <w:spacing w:val="-5"/>
          <w:sz w:val="24"/>
          <w:szCs w:val="24"/>
        </w:rPr>
        <w:t xml:space="preserve">9  </w:t>
      </w:r>
      <w:r>
        <w:rPr>
          <w:rFonts w:ascii="宋体" w:hAnsi="宋体" w:eastAsia="宋体" w:cs="宋体"/>
          <w:spacing w:val="-5"/>
          <w:sz w:val="24"/>
          <w:szCs w:val="24"/>
        </w:rPr>
        <w:t>日；</w:t>
      </w:r>
    </w:p>
    <w:p w14:paraId="62E288E6">
      <w:pPr>
        <w:spacing w:before="193" w:line="285" w:lineRule="auto"/>
        <w:ind w:left="40" w:right="247" w:firstLine="45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34</w:t>
      </w:r>
      <w:r>
        <w:rPr>
          <w:rFonts w:ascii="宋体" w:hAnsi="宋体" w:eastAsia="宋体" w:cs="宋体"/>
          <w:spacing w:val="-1"/>
          <w:sz w:val="24"/>
          <w:szCs w:val="24"/>
        </w:rPr>
        <w:t>）《关于确保完成</w:t>
      </w:r>
      <w:r>
        <w:rPr>
          <w:rFonts w:ascii="Times New Roman" w:hAnsi="Times New Roman" w:eastAsia="Times New Roman" w:cs="Times New Roman"/>
          <w:spacing w:val="-1"/>
          <w:sz w:val="24"/>
          <w:szCs w:val="24"/>
        </w:rPr>
        <w:t>“</w:t>
      </w:r>
      <w:r>
        <w:rPr>
          <w:rFonts w:ascii="宋体" w:hAnsi="宋体" w:eastAsia="宋体" w:cs="宋体"/>
          <w:spacing w:val="-1"/>
          <w:sz w:val="24"/>
          <w:szCs w:val="24"/>
        </w:rPr>
        <w:t>十四五</w:t>
      </w:r>
      <w:r>
        <w:rPr>
          <w:rFonts w:ascii="Times New Roman" w:hAnsi="Times New Roman" w:eastAsia="Times New Roman" w:cs="Times New Roman"/>
          <w:spacing w:val="-1"/>
          <w:sz w:val="24"/>
          <w:szCs w:val="24"/>
        </w:rPr>
        <w:t>”</w:t>
      </w:r>
      <w:r>
        <w:rPr>
          <w:rFonts w:ascii="宋体" w:hAnsi="宋体" w:eastAsia="宋体" w:cs="宋体"/>
          <w:spacing w:val="-1"/>
          <w:sz w:val="24"/>
          <w:szCs w:val="24"/>
        </w:rPr>
        <w:t>能耗双控目标任务若干保障措施》</w:t>
      </w:r>
      <w:r>
        <w:rPr>
          <w:rFonts w:ascii="Times New Roman" w:hAnsi="Times New Roman" w:eastAsia="Times New Roman" w:cs="Times New Roman"/>
          <w:spacing w:val="-1"/>
          <w:sz w:val="24"/>
          <w:szCs w:val="24"/>
        </w:rPr>
        <w:t>(</w:t>
      </w:r>
      <w:r>
        <w:rPr>
          <w:rFonts w:ascii="宋体" w:hAnsi="宋体" w:eastAsia="宋体" w:cs="宋体"/>
          <w:spacing w:val="-1"/>
          <w:sz w:val="24"/>
          <w:szCs w:val="24"/>
        </w:rPr>
        <w:t>内发改环资字</w:t>
      </w:r>
      <w:r>
        <w:rPr>
          <w:rFonts w:ascii="宋体" w:hAnsi="宋体" w:eastAsia="宋体" w:cs="宋体"/>
          <w:spacing w:val="15"/>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2021</w:t>
      </w:r>
      <w:r>
        <w:rPr>
          <w:rFonts w:ascii="宋体" w:hAnsi="宋体" w:eastAsia="宋体" w:cs="宋体"/>
          <w:spacing w:val="-5"/>
          <w:sz w:val="24"/>
          <w:szCs w:val="24"/>
        </w:rPr>
        <w:t>〕</w:t>
      </w:r>
      <w:r>
        <w:rPr>
          <w:rFonts w:ascii="Times New Roman" w:hAnsi="Times New Roman" w:eastAsia="Times New Roman" w:cs="Times New Roman"/>
          <w:spacing w:val="-5"/>
          <w:sz w:val="24"/>
          <w:szCs w:val="24"/>
        </w:rPr>
        <w:t>209</w:t>
      </w:r>
      <w:r>
        <w:rPr>
          <w:rFonts w:ascii="Times New Roman" w:hAnsi="Times New Roman" w:eastAsia="Times New Roman" w:cs="Times New Roman"/>
          <w:spacing w:val="17"/>
          <w:sz w:val="24"/>
          <w:szCs w:val="24"/>
        </w:rPr>
        <w:t xml:space="preserve"> </w:t>
      </w:r>
      <w:r>
        <w:rPr>
          <w:rFonts w:ascii="宋体" w:hAnsi="宋体" w:eastAsia="宋体" w:cs="宋体"/>
          <w:spacing w:val="-5"/>
          <w:sz w:val="24"/>
          <w:szCs w:val="24"/>
        </w:rPr>
        <w:t>号</w:t>
      </w:r>
      <w:r>
        <w:rPr>
          <w:rFonts w:ascii="Times New Roman" w:hAnsi="Times New Roman" w:eastAsia="Times New Roman" w:cs="Times New Roman"/>
          <w:spacing w:val="-5"/>
          <w:sz w:val="24"/>
          <w:szCs w:val="24"/>
        </w:rPr>
        <w:t>)</w:t>
      </w:r>
      <w:r>
        <w:rPr>
          <w:rFonts w:ascii="宋体" w:hAnsi="宋体" w:eastAsia="宋体" w:cs="宋体"/>
          <w:spacing w:val="-5"/>
          <w:sz w:val="24"/>
          <w:szCs w:val="24"/>
        </w:rPr>
        <w:t>；</w:t>
      </w:r>
    </w:p>
    <w:p w14:paraId="4DA31CD6">
      <w:pPr>
        <w:spacing w:before="191" w:line="290" w:lineRule="auto"/>
        <w:ind w:left="19" w:right="74" w:firstLine="48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35</w:t>
      </w:r>
      <w:r>
        <w:rPr>
          <w:rFonts w:ascii="宋体" w:hAnsi="宋体" w:eastAsia="宋体" w:cs="宋体"/>
          <w:spacing w:val="-1"/>
          <w:sz w:val="24"/>
          <w:szCs w:val="24"/>
        </w:rPr>
        <w:t>）《关于落实能耗双控保障措施做好产能置换和限制类装备退出工作的通知》</w:t>
      </w:r>
      <w:r>
        <w:rPr>
          <w:rFonts w:ascii="宋体" w:hAnsi="宋体" w:eastAsia="宋体" w:cs="宋体"/>
          <w:sz w:val="24"/>
          <w:szCs w:val="24"/>
        </w:rPr>
        <w:t xml:space="preserve"> </w:t>
      </w:r>
      <w:r>
        <w:rPr>
          <w:rFonts w:ascii="宋体" w:hAnsi="宋体" w:eastAsia="宋体" w:cs="宋体"/>
          <w:spacing w:val="-2"/>
          <w:sz w:val="24"/>
          <w:szCs w:val="24"/>
        </w:rPr>
        <w:t>（内工信冶建工字〔</w:t>
      </w:r>
      <w:r>
        <w:rPr>
          <w:rFonts w:ascii="Times New Roman" w:hAnsi="Times New Roman" w:eastAsia="Times New Roman" w:cs="Times New Roman"/>
          <w:spacing w:val="-2"/>
          <w:sz w:val="24"/>
          <w:szCs w:val="24"/>
        </w:rPr>
        <w:t>2021</w:t>
      </w:r>
      <w:r>
        <w:rPr>
          <w:rFonts w:ascii="宋体" w:hAnsi="宋体" w:eastAsia="宋体" w:cs="宋体"/>
          <w:spacing w:val="-2"/>
          <w:sz w:val="24"/>
          <w:szCs w:val="24"/>
        </w:rPr>
        <w:t>〕</w:t>
      </w:r>
      <w:r>
        <w:rPr>
          <w:rFonts w:ascii="Times New Roman" w:hAnsi="Times New Roman" w:eastAsia="Times New Roman" w:cs="Times New Roman"/>
          <w:spacing w:val="-2"/>
          <w:sz w:val="24"/>
          <w:szCs w:val="24"/>
        </w:rPr>
        <w:t>280</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号</w:t>
      </w:r>
      <w:r>
        <w:rPr>
          <w:rFonts w:ascii="宋体" w:hAnsi="宋体" w:eastAsia="宋体" w:cs="宋体"/>
          <w:sz w:val="24"/>
          <w:szCs w:val="24"/>
        </w:rPr>
        <w:t>）；</w:t>
      </w:r>
    </w:p>
    <w:p w14:paraId="00CA19C0">
      <w:pPr>
        <w:spacing w:before="181" w:line="285" w:lineRule="auto"/>
        <w:ind w:left="13" w:right="105" w:firstLine="486"/>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36</w:t>
      </w:r>
      <w:r>
        <w:rPr>
          <w:rFonts w:ascii="宋体" w:hAnsi="宋体" w:eastAsia="宋体" w:cs="宋体"/>
          <w:spacing w:val="-2"/>
          <w:sz w:val="24"/>
          <w:szCs w:val="24"/>
        </w:rPr>
        <w:t>）《内蒙古自治区工业和信息化厅关于进一步严格高耗能高污染项目布局的通</w:t>
      </w:r>
      <w:r>
        <w:rPr>
          <w:rFonts w:ascii="宋体" w:hAnsi="宋体" w:eastAsia="宋体" w:cs="宋体"/>
          <w:spacing w:val="6"/>
          <w:sz w:val="24"/>
          <w:szCs w:val="24"/>
        </w:rPr>
        <w:t xml:space="preserve"> </w:t>
      </w:r>
      <w:r>
        <w:rPr>
          <w:rFonts w:ascii="宋体" w:hAnsi="宋体" w:eastAsia="宋体" w:cs="宋体"/>
          <w:spacing w:val="-2"/>
          <w:sz w:val="24"/>
          <w:szCs w:val="24"/>
        </w:rPr>
        <w:t>知》（内工信办字</w:t>
      </w:r>
      <w:r>
        <w:rPr>
          <w:rFonts w:ascii="Times New Roman" w:hAnsi="Times New Roman" w:eastAsia="Times New Roman" w:cs="Times New Roman"/>
          <w:spacing w:val="-2"/>
          <w:sz w:val="24"/>
          <w:szCs w:val="24"/>
        </w:rPr>
        <w:t>[2021]87</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号</w:t>
      </w:r>
      <w:r>
        <w:rPr>
          <w:rFonts w:ascii="宋体" w:hAnsi="宋体" w:eastAsia="宋体" w:cs="宋体"/>
          <w:spacing w:val="2"/>
          <w:sz w:val="24"/>
          <w:szCs w:val="24"/>
        </w:rPr>
        <w:t>）；</w:t>
      </w:r>
    </w:p>
    <w:p w14:paraId="5D719B5F">
      <w:pPr>
        <w:spacing w:before="193" w:line="285" w:lineRule="auto"/>
        <w:ind w:left="7" w:right="105" w:firstLine="492"/>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37</w:t>
      </w:r>
      <w:r>
        <w:rPr>
          <w:rFonts w:ascii="宋体" w:hAnsi="宋体" w:eastAsia="宋体" w:cs="宋体"/>
          <w:spacing w:val="-2"/>
          <w:sz w:val="24"/>
          <w:szCs w:val="24"/>
        </w:rPr>
        <w:t>）《内蒙古自治区发展改革委 生态环境厅印发</w:t>
      </w:r>
      <w:r>
        <w:rPr>
          <w:rFonts w:ascii="Times New Roman" w:hAnsi="Times New Roman" w:eastAsia="Times New Roman" w:cs="Times New Roman"/>
          <w:spacing w:val="-2"/>
          <w:sz w:val="24"/>
          <w:szCs w:val="24"/>
        </w:rPr>
        <w:t>&lt;</w:t>
      </w:r>
      <w:r>
        <w:rPr>
          <w:rFonts w:ascii="宋体" w:hAnsi="宋体" w:eastAsia="宋体" w:cs="宋体"/>
          <w:spacing w:val="-2"/>
          <w:sz w:val="24"/>
          <w:szCs w:val="24"/>
        </w:rPr>
        <w:t>关于加强高耗</w:t>
      </w:r>
      <w:r>
        <w:rPr>
          <w:rFonts w:ascii="宋体" w:hAnsi="宋体" w:eastAsia="宋体" w:cs="宋体"/>
          <w:spacing w:val="-3"/>
          <w:sz w:val="24"/>
          <w:szCs w:val="24"/>
        </w:rPr>
        <w:t>能高排放项目准</w:t>
      </w:r>
      <w:r>
        <w:rPr>
          <w:rFonts w:ascii="宋体" w:hAnsi="宋体" w:eastAsia="宋体" w:cs="宋体"/>
          <w:sz w:val="24"/>
          <w:szCs w:val="24"/>
        </w:rPr>
        <w:t xml:space="preserve"> </w:t>
      </w:r>
      <w:r>
        <w:rPr>
          <w:rFonts w:ascii="宋体" w:hAnsi="宋体" w:eastAsia="宋体" w:cs="宋体"/>
          <w:spacing w:val="-3"/>
          <w:sz w:val="24"/>
          <w:szCs w:val="24"/>
        </w:rPr>
        <w:t>入管理的意见的通知</w:t>
      </w:r>
      <w:r>
        <w:rPr>
          <w:rFonts w:ascii="Times New Roman" w:hAnsi="Times New Roman" w:eastAsia="Times New Roman" w:cs="Times New Roman"/>
          <w:spacing w:val="-3"/>
          <w:sz w:val="24"/>
          <w:szCs w:val="24"/>
        </w:rPr>
        <w:t>&gt;</w:t>
      </w:r>
      <w:r>
        <w:rPr>
          <w:rFonts w:ascii="Times New Roman" w:hAnsi="Times New Roman" w:eastAsia="Times New Roman" w:cs="Times New Roman"/>
          <w:spacing w:val="-28"/>
          <w:sz w:val="24"/>
          <w:szCs w:val="24"/>
        </w:rPr>
        <w:t xml:space="preserve"> </w:t>
      </w:r>
      <w:r>
        <w:rPr>
          <w:rFonts w:ascii="宋体" w:hAnsi="宋体" w:eastAsia="宋体" w:cs="宋体"/>
          <w:spacing w:val="-3"/>
          <w:sz w:val="24"/>
          <w:szCs w:val="24"/>
        </w:rPr>
        <w:t>的通知》（内发改环资字</w:t>
      </w:r>
      <w:r>
        <w:rPr>
          <w:rFonts w:ascii="Times New Roman" w:hAnsi="Times New Roman" w:eastAsia="Times New Roman" w:cs="Times New Roman"/>
          <w:spacing w:val="-3"/>
          <w:sz w:val="24"/>
          <w:szCs w:val="24"/>
        </w:rPr>
        <w:t>[202</w:t>
      </w:r>
      <w:r>
        <w:rPr>
          <w:rFonts w:ascii="Times New Roman" w:hAnsi="Times New Roman" w:eastAsia="Times New Roman" w:cs="Times New Roman"/>
          <w:spacing w:val="-4"/>
          <w:sz w:val="24"/>
          <w:szCs w:val="24"/>
        </w:rPr>
        <w:t xml:space="preserve">1]262 </w:t>
      </w:r>
      <w:r>
        <w:rPr>
          <w:rFonts w:ascii="宋体" w:hAnsi="宋体" w:eastAsia="宋体" w:cs="宋体"/>
          <w:spacing w:val="-4"/>
          <w:sz w:val="24"/>
          <w:szCs w:val="24"/>
        </w:rPr>
        <w:t>号</w:t>
      </w:r>
      <w:r>
        <w:rPr>
          <w:rFonts w:ascii="宋体" w:hAnsi="宋体" w:eastAsia="宋体" w:cs="宋体"/>
          <w:spacing w:val="2"/>
          <w:sz w:val="24"/>
          <w:szCs w:val="24"/>
        </w:rPr>
        <w:t>），</w:t>
      </w:r>
      <w:r>
        <w:rPr>
          <w:rFonts w:ascii="Times New Roman" w:hAnsi="Times New Roman" w:eastAsia="Times New Roman" w:cs="Times New Roman"/>
          <w:spacing w:val="-4"/>
          <w:sz w:val="24"/>
          <w:szCs w:val="24"/>
        </w:rPr>
        <w:t xml:space="preserve">2021 </w:t>
      </w:r>
      <w:r>
        <w:rPr>
          <w:rFonts w:ascii="宋体" w:hAnsi="宋体" w:eastAsia="宋体" w:cs="宋体"/>
          <w:spacing w:val="-4"/>
          <w:sz w:val="24"/>
          <w:szCs w:val="24"/>
        </w:rPr>
        <w:t>年</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3</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19  </w:t>
      </w:r>
      <w:r>
        <w:rPr>
          <w:rFonts w:ascii="宋体" w:hAnsi="宋体" w:eastAsia="宋体" w:cs="宋体"/>
          <w:spacing w:val="-4"/>
          <w:sz w:val="24"/>
          <w:szCs w:val="24"/>
        </w:rPr>
        <w:t>日；</w:t>
      </w:r>
    </w:p>
    <w:p w14:paraId="7199AB91">
      <w:pPr>
        <w:spacing w:before="192" w:line="212"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38</w:t>
      </w:r>
      <w:r>
        <w:rPr>
          <w:rFonts w:ascii="宋体" w:hAnsi="宋体" w:eastAsia="宋体" w:cs="宋体"/>
          <w:spacing w:val="-1"/>
          <w:sz w:val="24"/>
          <w:szCs w:val="24"/>
        </w:rPr>
        <w:t>）《高耗能行业重点领域节能降碳改造升级实施指南</w:t>
      </w:r>
      <w:r>
        <w:rPr>
          <w:rFonts w:ascii="Times New Roman" w:hAnsi="Times New Roman" w:eastAsia="Times New Roman" w:cs="Times New Roman"/>
          <w:spacing w:val="-1"/>
          <w:sz w:val="24"/>
          <w:szCs w:val="24"/>
        </w:rPr>
        <w:t xml:space="preserve">(2022 </w:t>
      </w:r>
      <w:r>
        <w:rPr>
          <w:rFonts w:ascii="宋体" w:hAnsi="宋体" w:eastAsia="宋体" w:cs="宋体"/>
          <w:spacing w:val="-1"/>
          <w:sz w:val="24"/>
          <w:szCs w:val="24"/>
        </w:rPr>
        <w:t>年版</w:t>
      </w:r>
      <w:r>
        <w:rPr>
          <w:rFonts w:ascii="Times New Roman" w:hAnsi="Times New Roman" w:eastAsia="Times New Roman" w:cs="Times New Roman"/>
          <w:spacing w:val="-2"/>
          <w:sz w:val="24"/>
          <w:szCs w:val="24"/>
        </w:rPr>
        <w:t>)</w:t>
      </w:r>
      <w:r>
        <w:rPr>
          <w:rFonts w:ascii="宋体" w:hAnsi="宋体" w:eastAsia="宋体" w:cs="宋体"/>
          <w:spacing w:val="-2"/>
          <w:sz w:val="24"/>
          <w:szCs w:val="24"/>
        </w:rPr>
        <w:t>》（发改产业</w:t>
      </w:r>
    </w:p>
    <w:p w14:paraId="14207C30">
      <w:pPr>
        <w:spacing w:line="212" w:lineRule="auto"/>
        <w:rPr>
          <w:rFonts w:ascii="宋体" w:hAnsi="宋体" w:eastAsia="宋体" w:cs="宋体"/>
          <w:sz w:val="24"/>
          <w:szCs w:val="24"/>
        </w:rPr>
        <w:sectPr>
          <w:headerReference r:id="rId42" w:type="default"/>
          <w:footerReference r:id="rId43" w:type="default"/>
          <w:pgSz w:w="11907" w:h="16840"/>
          <w:pgMar w:top="1178" w:right="1310" w:bottom="1038" w:left="1417" w:header="870" w:footer="876" w:gutter="0"/>
          <w:cols w:space="720" w:num="1"/>
        </w:sectPr>
      </w:pPr>
    </w:p>
    <w:p w14:paraId="01933865">
      <w:pPr>
        <w:spacing w:before="274" w:line="219" w:lineRule="auto"/>
        <w:ind w:left="40"/>
        <w:rPr>
          <w:rFonts w:ascii="宋体" w:hAnsi="宋体" w:eastAsia="宋体" w:cs="宋体"/>
          <w:sz w:val="24"/>
          <w:szCs w:val="24"/>
        </w:rPr>
      </w:pPr>
      <w:r>
        <w:pict>
          <v:shape id="_x0000_s1050" o:spid="_x0000_s1050" style="position:absolute;left:0pt;margin-left:70.85pt;margin-top:59.65pt;height:0.75pt;width:453.65pt;mso-position-horizontal-relative:page;mso-position-vertical-relative:page;z-index:25168486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spacing w:val="-7"/>
          <w:sz w:val="24"/>
          <w:szCs w:val="24"/>
        </w:rPr>
        <w:t>〔</w:t>
      </w:r>
      <w:r>
        <w:rPr>
          <w:rFonts w:ascii="Times New Roman" w:hAnsi="Times New Roman" w:eastAsia="Times New Roman" w:cs="Times New Roman"/>
          <w:spacing w:val="-7"/>
          <w:sz w:val="24"/>
          <w:szCs w:val="24"/>
        </w:rPr>
        <w:t>2022</w:t>
      </w:r>
      <w:r>
        <w:rPr>
          <w:rFonts w:ascii="宋体" w:hAnsi="宋体" w:eastAsia="宋体" w:cs="宋体"/>
          <w:spacing w:val="-7"/>
          <w:sz w:val="24"/>
          <w:szCs w:val="24"/>
        </w:rPr>
        <w:t>〕</w:t>
      </w:r>
      <w:r>
        <w:rPr>
          <w:rFonts w:ascii="Times New Roman" w:hAnsi="Times New Roman" w:eastAsia="Times New Roman" w:cs="Times New Roman"/>
          <w:spacing w:val="-7"/>
          <w:sz w:val="24"/>
          <w:szCs w:val="24"/>
        </w:rPr>
        <w:t>200</w:t>
      </w:r>
      <w:r>
        <w:rPr>
          <w:rFonts w:ascii="Times New Roman" w:hAnsi="Times New Roman" w:eastAsia="Times New Roman" w:cs="Times New Roman"/>
          <w:spacing w:val="16"/>
          <w:sz w:val="24"/>
          <w:szCs w:val="24"/>
        </w:rPr>
        <w:t xml:space="preserve"> </w:t>
      </w:r>
      <w:r>
        <w:rPr>
          <w:rFonts w:ascii="宋体" w:hAnsi="宋体" w:eastAsia="宋体" w:cs="宋体"/>
          <w:spacing w:val="-7"/>
          <w:sz w:val="24"/>
          <w:szCs w:val="24"/>
        </w:rPr>
        <w:t>号</w:t>
      </w:r>
      <w:r>
        <w:rPr>
          <w:rFonts w:ascii="宋体" w:hAnsi="宋体" w:eastAsia="宋体" w:cs="宋体"/>
          <w:spacing w:val="6"/>
          <w:sz w:val="24"/>
          <w:szCs w:val="24"/>
        </w:rPr>
        <w:t>），</w:t>
      </w:r>
      <w:r>
        <w:rPr>
          <w:rFonts w:ascii="Times New Roman" w:hAnsi="Times New Roman" w:eastAsia="Times New Roman" w:cs="Times New Roman"/>
          <w:spacing w:val="-7"/>
          <w:sz w:val="24"/>
          <w:szCs w:val="24"/>
        </w:rPr>
        <w:t xml:space="preserve">2022 </w:t>
      </w:r>
      <w:r>
        <w:rPr>
          <w:rFonts w:ascii="宋体" w:hAnsi="宋体" w:eastAsia="宋体" w:cs="宋体"/>
          <w:spacing w:val="-7"/>
          <w:sz w:val="24"/>
          <w:szCs w:val="24"/>
        </w:rPr>
        <w:t>年</w:t>
      </w:r>
      <w:r>
        <w:rPr>
          <w:rFonts w:ascii="宋体" w:hAnsi="宋体" w:eastAsia="宋体" w:cs="宋体"/>
          <w:spacing w:val="-55"/>
          <w:sz w:val="24"/>
          <w:szCs w:val="24"/>
        </w:rPr>
        <w:t xml:space="preserve"> </w:t>
      </w:r>
      <w:r>
        <w:rPr>
          <w:rFonts w:ascii="Times New Roman" w:hAnsi="Times New Roman" w:eastAsia="Times New Roman" w:cs="Times New Roman"/>
          <w:spacing w:val="-7"/>
          <w:sz w:val="24"/>
          <w:szCs w:val="24"/>
        </w:rPr>
        <w:t>2</w:t>
      </w:r>
      <w:r>
        <w:rPr>
          <w:rFonts w:ascii="Times New Roman" w:hAnsi="Times New Roman" w:eastAsia="Times New Roman" w:cs="Times New Roman"/>
          <w:spacing w:val="15"/>
          <w:w w:val="101"/>
          <w:sz w:val="24"/>
          <w:szCs w:val="24"/>
        </w:rPr>
        <w:t xml:space="preserve"> </w:t>
      </w:r>
      <w:r>
        <w:rPr>
          <w:rFonts w:ascii="宋体" w:hAnsi="宋体" w:eastAsia="宋体" w:cs="宋体"/>
          <w:spacing w:val="-7"/>
          <w:sz w:val="24"/>
          <w:szCs w:val="24"/>
        </w:rPr>
        <w:t>月</w:t>
      </w:r>
      <w:r>
        <w:rPr>
          <w:rFonts w:ascii="宋体" w:hAnsi="宋体" w:eastAsia="宋体" w:cs="宋体"/>
          <w:spacing w:val="-51"/>
          <w:sz w:val="24"/>
          <w:szCs w:val="24"/>
        </w:rPr>
        <w:t xml:space="preserve"> </w:t>
      </w:r>
      <w:r>
        <w:rPr>
          <w:rFonts w:ascii="Times New Roman" w:hAnsi="Times New Roman" w:eastAsia="Times New Roman" w:cs="Times New Roman"/>
          <w:spacing w:val="-7"/>
          <w:sz w:val="24"/>
          <w:szCs w:val="24"/>
        </w:rPr>
        <w:t xml:space="preserve">3  </w:t>
      </w:r>
      <w:r>
        <w:rPr>
          <w:rFonts w:ascii="宋体" w:hAnsi="宋体" w:eastAsia="宋体" w:cs="宋体"/>
          <w:spacing w:val="-7"/>
          <w:sz w:val="24"/>
          <w:szCs w:val="24"/>
        </w:rPr>
        <w:t>日；</w:t>
      </w:r>
    </w:p>
    <w:p w14:paraId="28AFE006">
      <w:pPr>
        <w:spacing w:before="179" w:line="347" w:lineRule="auto"/>
        <w:ind w:left="11" w:right="80" w:firstLine="488"/>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39</w:t>
      </w:r>
      <w:r>
        <w:rPr>
          <w:rFonts w:ascii="宋体" w:hAnsi="宋体" w:eastAsia="宋体" w:cs="宋体"/>
          <w:spacing w:val="-2"/>
          <w:sz w:val="24"/>
          <w:szCs w:val="24"/>
        </w:rPr>
        <w:t>）关于印发《内蒙古自治区促进铁合金产业高质量发展政策措施》的通知，内</w:t>
      </w:r>
      <w:r>
        <w:rPr>
          <w:rFonts w:ascii="宋体" w:hAnsi="宋体" w:eastAsia="宋体" w:cs="宋体"/>
          <w:spacing w:val="6"/>
          <w:sz w:val="24"/>
          <w:szCs w:val="24"/>
        </w:rPr>
        <w:t xml:space="preserve"> </w:t>
      </w:r>
      <w:r>
        <w:rPr>
          <w:rFonts w:ascii="宋体" w:hAnsi="宋体" w:eastAsia="宋体" w:cs="宋体"/>
          <w:spacing w:val="-2"/>
          <w:sz w:val="24"/>
          <w:szCs w:val="24"/>
        </w:rPr>
        <w:t>工信发〔</w:t>
      </w:r>
      <w:r>
        <w:rPr>
          <w:rFonts w:ascii="Times New Roman" w:hAnsi="Times New Roman" w:eastAsia="Times New Roman" w:cs="Times New Roman"/>
          <w:spacing w:val="-2"/>
          <w:sz w:val="24"/>
          <w:szCs w:val="24"/>
        </w:rPr>
        <w:t>2023</w:t>
      </w:r>
      <w:r>
        <w:rPr>
          <w:rFonts w:ascii="宋体" w:hAnsi="宋体" w:eastAsia="宋体" w:cs="宋体"/>
          <w:spacing w:val="-2"/>
          <w:sz w:val="24"/>
          <w:szCs w:val="24"/>
        </w:rPr>
        <w:t>〕</w:t>
      </w:r>
      <w:r>
        <w:rPr>
          <w:rFonts w:ascii="Times New Roman" w:hAnsi="Times New Roman" w:eastAsia="Times New Roman" w:cs="Times New Roman"/>
          <w:spacing w:val="-2"/>
          <w:sz w:val="24"/>
          <w:szCs w:val="24"/>
        </w:rPr>
        <w:t>134</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号。</w:t>
      </w:r>
    </w:p>
    <w:p w14:paraId="48DA2A69">
      <w:pPr>
        <w:spacing w:before="42" w:line="222" w:lineRule="auto"/>
        <w:ind w:left="34"/>
        <w:outlineLvl w:val="2"/>
        <w:rPr>
          <w:rFonts w:ascii="黑体" w:hAnsi="黑体" w:eastAsia="黑体" w:cs="黑体"/>
          <w:sz w:val="30"/>
          <w:szCs w:val="30"/>
        </w:rPr>
      </w:pPr>
      <w:bookmarkStart w:id="280" w:name="bookmark32"/>
      <w:bookmarkEnd w:id="280"/>
      <w:r>
        <w:rPr>
          <w:rFonts w:ascii="Times New Roman" w:hAnsi="Times New Roman" w:eastAsia="Times New Roman" w:cs="Times New Roman"/>
          <w:spacing w:val="-3"/>
          <w:sz w:val="30"/>
          <w:szCs w:val="30"/>
        </w:rPr>
        <w:t xml:space="preserve">1.1.3 </w:t>
      </w:r>
      <w:r>
        <w:rPr>
          <w:rFonts w:ascii="黑体" w:hAnsi="黑体" w:eastAsia="黑体" w:cs="黑体"/>
          <w:spacing w:val="-3"/>
          <w:sz w:val="30"/>
          <w:szCs w:val="30"/>
        </w:rPr>
        <w:t>技术导则及规范</w:t>
      </w:r>
    </w:p>
    <w:p w14:paraId="65654AD0">
      <w:pPr>
        <w:spacing w:before="212" w:line="218"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）《建设项目环境影响评价技术导则 总纲》（</w:t>
      </w:r>
      <w:r>
        <w:rPr>
          <w:rFonts w:ascii="Times New Roman" w:hAnsi="Times New Roman" w:eastAsia="Times New Roman" w:cs="Times New Roman"/>
          <w:spacing w:val="-2"/>
          <w:sz w:val="24"/>
          <w:szCs w:val="24"/>
        </w:rPr>
        <w:t>HJ2.</w:t>
      </w:r>
      <w:r>
        <w:rPr>
          <w:rFonts w:ascii="Times New Roman" w:hAnsi="Times New Roman" w:eastAsia="Times New Roman" w:cs="Times New Roman"/>
          <w:spacing w:val="-31"/>
          <w:sz w:val="24"/>
          <w:szCs w:val="24"/>
        </w:rPr>
        <w:t xml:space="preserve"> </w:t>
      </w:r>
      <w:r>
        <w:rPr>
          <w:rFonts w:ascii="Times New Roman" w:hAnsi="Times New Roman" w:eastAsia="Times New Roman" w:cs="Times New Roman"/>
          <w:spacing w:val="-2"/>
          <w:sz w:val="24"/>
          <w:szCs w:val="24"/>
        </w:rPr>
        <w:t>1-2016</w:t>
      </w:r>
      <w:r>
        <w:rPr>
          <w:rFonts w:ascii="宋体" w:hAnsi="宋体" w:eastAsia="宋体" w:cs="宋体"/>
          <w:spacing w:val="8"/>
          <w:sz w:val="24"/>
          <w:szCs w:val="24"/>
        </w:rPr>
        <w:t>）；</w:t>
      </w:r>
    </w:p>
    <w:p w14:paraId="130C4278">
      <w:pPr>
        <w:spacing w:before="184" w:line="218"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）《环境影响评价技术导则 大气环境》（</w:t>
      </w:r>
      <w:r>
        <w:rPr>
          <w:rFonts w:ascii="Times New Roman" w:hAnsi="Times New Roman" w:eastAsia="Times New Roman" w:cs="Times New Roman"/>
          <w:spacing w:val="-1"/>
          <w:sz w:val="24"/>
          <w:szCs w:val="24"/>
        </w:rPr>
        <w:t>HJ2.2-2018</w:t>
      </w:r>
      <w:r>
        <w:rPr>
          <w:rFonts w:ascii="宋体" w:hAnsi="宋体" w:eastAsia="宋体" w:cs="宋体"/>
          <w:spacing w:val="5"/>
          <w:sz w:val="24"/>
          <w:szCs w:val="24"/>
        </w:rPr>
        <w:t>）；</w:t>
      </w:r>
    </w:p>
    <w:p w14:paraId="32AB5FDC">
      <w:pPr>
        <w:spacing w:before="182" w:line="218"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）《环境影响评价技术导则 地表水环境》（</w:t>
      </w:r>
      <w:r>
        <w:rPr>
          <w:rFonts w:ascii="Times New Roman" w:hAnsi="Times New Roman" w:eastAsia="Times New Roman" w:cs="Times New Roman"/>
          <w:spacing w:val="-1"/>
          <w:sz w:val="24"/>
          <w:szCs w:val="24"/>
        </w:rPr>
        <w:t>HJ2.3-2018</w:t>
      </w:r>
      <w:r>
        <w:rPr>
          <w:rFonts w:ascii="宋体" w:hAnsi="宋体" w:eastAsia="宋体" w:cs="宋体"/>
          <w:spacing w:val="5"/>
          <w:sz w:val="24"/>
          <w:szCs w:val="24"/>
        </w:rPr>
        <w:t>）；</w:t>
      </w:r>
    </w:p>
    <w:p w14:paraId="610F1E56">
      <w:pPr>
        <w:spacing w:before="185" w:line="218"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）《环境影响评价技术导则 地下水环境》（</w:t>
      </w:r>
      <w:r>
        <w:rPr>
          <w:rFonts w:ascii="Times New Roman" w:hAnsi="Times New Roman" w:eastAsia="Times New Roman" w:cs="Times New Roman"/>
          <w:spacing w:val="-1"/>
          <w:sz w:val="24"/>
          <w:szCs w:val="24"/>
        </w:rPr>
        <w:t>HJ610-2016</w:t>
      </w:r>
      <w:r>
        <w:rPr>
          <w:rFonts w:ascii="宋体" w:hAnsi="宋体" w:eastAsia="宋体" w:cs="宋体"/>
          <w:spacing w:val="5"/>
          <w:sz w:val="24"/>
          <w:szCs w:val="24"/>
        </w:rPr>
        <w:t>）；</w:t>
      </w:r>
    </w:p>
    <w:p w14:paraId="52D0904B">
      <w:pPr>
        <w:spacing w:before="182" w:line="218"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）《环境影响评价技术导则 声环境》（</w:t>
      </w:r>
      <w:r>
        <w:rPr>
          <w:rFonts w:ascii="Times New Roman" w:hAnsi="Times New Roman" w:eastAsia="Times New Roman" w:cs="Times New Roman"/>
          <w:spacing w:val="-1"/>
          <w:sz w:val="24"/>
          <w:szCs w:val="24"/>
        </w:rPr>
        <w:t>HJ2.4-2021</w:t>
      </w:r>
      <w:r>
        <w:rPr>
          <w:rFonts w:ascii="宋体" w:hAnsi="宋体" w:eastAsia="宋体" w:cs="宋体"/>
          <w:spacing w:val="4"/>
          <w:sz w:val="24"/>
          <w:szCs w:val="24"/>
        </w:rPr>
        <w:t>）；</w:t>
      </w:r>
    </w:p>
    <w:p w14:paraId="50C25897">
      <w:pPr>
        <w:spacing w:before="185" w:line="218"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6</w:t>
      </w:r>
      <w:r>
        <w:rPr>
          <w:rFonts w:ascii="宋体" w:hAnsi="宋体" w:eastAsia="宋体" w:cs="宋体"/>
          <w:spacing w:val="-1"/>
          <w:sz w:val="24"/>
          <w:szCs w:val="24"/>
        </w:rPr>
        <w:t>）《环境影响评价技术导则 生态影响》（</w:t>
      </w:r>
      <w:r>
        <w:rPr>
          <w:rFonts w:ascii="Times New Roman" w:hAnsi="Times New Roman" w:eastAsia="Times New Roman" w:cs="Times New Roman"/>
          <w:spacing w:val="-1"/>
          <w:sz w:val="24"/>
          <w:szCs w:val="24"/>
        </w:rPr>
        <w:t>HJ19-2022</w:t>
      </w:r>
      <w:r>
        <w:rPr>
          <w:rFonts w:ascii="宋体" w:hAnsi="宋体" w:eastAsia="宋体" w:cs="宋体"/>
          <w:spacing w:val="4"/>
          <w:sz w:val="24"/>
          <w:szCs w:val="24"/>
        </w:rPr>
        <w:t>）；</w:t>
      </w:r>
    </w:p>
    <w:p w14:paraId="0C6AC959">
      <w:pPr>
        <w:spacing w:before="184" w:line="218"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7</w:t>
      </w:r>
      <w:r>
        <w:rPr>
          <w:rFonts w:ascii="宋体" w:hAnsi="宋体" w:eastAsia="宋体" w:cs="宋体"/>
          <w:spacing w:val="-1"/>
          <w:sz w:val="24"/>
          <w:szCs w:val="24"/>
        </w:rPr>
        <w:t>）《环境影响评价技术导则 土壤环境（试行）》（</w:t>
      </w:r>
      <w:r>
        <w:rPr>
          <w:rFonts w:ascii="Times New Roman" w:hAnsi="Times New Roman" w:eastAsia="Times New Roman" w:cs="Times New Roman"/>
          <w:spacing w:val="-1"/>
          <w:sz w:val="24"/>
          <w:szCs w:val="24"/>
        </w:rPr>
        <w:t>HJ964-2018</w:t>
      </w:r>
      <w:r>
        <w:rPr>
          <w:rFonts w:ascii="宋体" w:hAnsi="宋体" w:eastAsia="宋体" w:cs="宋体"/>
          <w:spacing w:val="7"/>
          <w:sz w:val="24"/>
          <w:szCs w:val="24"/>
        </w:rPr>
        <w:t>）；</w:t>
      </w:r>
    </w:p>
    <w:p w14:paraId="6622D702">
      <w:pPr>
        <w:spacing w:before="183" w:line="218"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8</w:t>
      </w:r>
      <w:r>
        <w:rPr>
          <w:rFonts w:ascii="宋体" w:hAnsi="宋体" w:eastAsia="宋体" w:cs="宋体"/>
          <w:spacing w:val="-1"/>
          <w:sz w:val="24"/>
          <w:szCs w:val="24"/>
        </w:rPr>
        <w:t>）《建设项目环境风险评价技术导则》（</w:t>
      </w:r>
      <w:r>
        <w:rPr>
          <w:rFonts w:ascii="Times New Roman" w:hAnsi="Times New Roman" w:eastAsia="Times New Roman" w:cs="Times New Roman"/>
          <w:spacing w:val="-1"/>
          <w:sz w:val="24"/>
          <w:szCs w:val="24"/>
        </w:rPr>
        <w:t>HJ169-2018</w:t>
      </w:r>
      <w:r>
        <w:rPr>
          <w:rFonts w:ascii="宋体" w:hAnsi="宋体" w:eastAsia="宋体" w:cs="宋体"/>
          <w:spacing w:val="4"/>
          <w:sz w:val="24"/>
          <w:szCs w:val="24"/>
        </w:rPr>
        <w:t>）；</w:t>
      </w:r>
    </w:p>
    <w:p w14:paraId="5A06D572">
      <w:pPr>
        <w:spacing w:before="185" w:line="210"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9</w:t>
      </w:r>
      <w:r>
        <w:rPr>
          <w:rFonts w:ascii="宋体" w:hAnsi="宋体" w:eastAsia="宋体" w:cs="宋体"/>
          <w:spacing w:val="-1"/>
          <w:sz w:val="24"/>
          <w:szCs w:val="24"/>
        </w:rPr>
        <w:t>）《内蒙古自治区行业用水定额标准》</w:t>
      </w:r>
      <w:r>
        <w:rPr>
          <w:rFonts w:ascii="Times New Roman" w:hAnsi="Times New Roman" w:eastAsia="Times New Roman" w:cs="Times New Roman"/>
          <w:spacing w:val="-1"/>
          <w:sz w:val="24"/>
          <w:szCs w:val="24"/>
        </w:rPr>
        <w:t>(DB15/T385-2020)</w:t>
      </w:r>
      <w:r>
        <w:rPr>
          <w:rFonts w:ascii="宋体" w:hAnsi="宋体" w:eastAsia="宋体" w:cs="宋体"/>
          <w:spacing w:val="-1"/>
          <w:sz w:val="24"/>
          <w:szCs w:val="24"/>
        </w:rPr>
        <w:t>；</w:t>
      </w:r>
    </w:p>
    <w:p w14:paraId="3328F1C0">
      <w:pPr>
        <w:spacing w:before="192"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10</w:t>
      </w:r>
      <w:r>
        <w:rPr>
          <w:rFonts w:ascii="宋体" w:hAnsi="宋体" w:eastAsia="宋体" w:cs="宋体"/>
          <w:spacing w:val="-1"/>
          <w:sz w:val="24"/>
          <w:szCs w:val="24"/>
        </w:rPr>
        <w:t>）《污染源源强核算技术指南 准则》（</w:t>
      </w:r>
      <w:r>
        <w:rPr>
          <w:rFonts w:ascii="Times New Roman" w:hAnsi="Times New Roman" w:eastAsia="Times New Roman" w:cs="Times New Roman"/>
          <w:spacing w:val="-1"/>
          <w:sz w:val="24"/>
          <w:szCs w:val="24"/>
        </w:rPr>
        <w:t>HJ884-2018</w:t>
      </w:r>
      <w:r>
        <w:rPr>
          <w:rFonts w:ascii="宋体" w:hAnsi="宋体" w:eastAsia="宋体" w:cs="宋体"/>
          <w:spacing w:val="5"/>
          <w:sz w:val="24"/>
          <w:szCs w:val="24"/>
        </w:rPr>
        <w:t>）；</w:t>
      </w:r>
    </w:p>
    <w:p w14:paraId="630ACCFE">
      <w:pPr>
        <w:spacing w:before="181"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11</w:t>
      </w:r>
      <w:r>
        <w:rPr>
          <w:rFonts w:ascii="宋体" w:hAnsi="宋体" w:eastAsia="宋体" w:cs="宋体"/>
          <w:spacing w:val="-1"/>
          <w:sz w:val="24"/>
          <w:szCs w:val="24"/>
        </w:rPr>
        <w:t>）《排污单位自行监测技术指南 总则》（</w:t>
      </w:r>
      <w:r>
        <w:rPr>
          <w:rFonts w:ascii="Times New Roman" w:hAnsi="Times New Roman" w:eastAsia="Times New Roman" w:cs="Times New Roman"/>
          <w:spacing w:val="-1"/>
          <w:sz w:val="24"/>
          <w:szCs w:val="24"/>
        </w:rPr>
        <w:t>HJ 819-2017</w:t>
      </w:r>
      <w:r>
        <w:rPr>
          <w:rFonts w:ascii="宋体" w:hAnsi="宋体" w:eastAsia="宋体" w:cs="宋体"/>
          <w:sz w:val="24"/>
          <w:szCs w:val="24"/>
        </w:rPr>
        <w:t>）；</w:t>
      </w:r>
    </w:p>
    <w:p w14:paraId="5DA86CE7">
      <w:pPr>
        <w:spacing w:before="184" w:line="219" w:lineRule="auto"/>
        <w:jc w:val="right"/>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12</w:t>
      </w:r>
      <w:r>
        <w:rPr>
          <w:rFonts w:ascii="宋体" w:hAnsi="宋体" w:eastAsia="宋体" w:cs="宋体"/>
          <w:spacing w:val="-3"/>
          <w:sz w:val="24"/>
          <w:szCs w:val="24"/>
        </w:rPr>
        <w:t>）《排污许可证申请与核发技术规范 铁合金、电</w:t>
      </w:r>
      <w:r>
        <w:rPr>
          <w:rFonts w:ascii="宋体" w:hAnsi="宋体" w:eastAsia="宋体" w:cs="宋体"/>
          <w:spacing w:val="-4"/>
          <w:sz w:val="24"/>
          <w:szCs w:val="24"/>
        </w:rPr>
        <w:t>解锰工业》（</w:t>
      </w:r>
      <w:r>
        <w:rPr>
          <w:rFonts w:ascii="Times New Roman" w:hAnsi="Times New Roman" w:eastAsia="Times New Roman" w:cs="Times New Roman"/>
          <w:spacing w:val="-4"/>
          <w:sz w:val="24"/>
          <w:szCs w:val="24"/>
        </w:rPr>
        <w:t>HJ1117-2020</w:t>
      </w:r>
      <w:r>
        <w:rPr>
          <w:rFonts w:ascii="宋体" w:hAnsi="宋体" w:eastAsia="宋体" w:cs="宋体"/>
          <w:spacing w:val="-47"/>
          <w:sz w:val="24"/>
          <w:szCs w:val="24"/>
        </w:rPr>
        <w:t>）；</w:t>
      </w:r>
    </w:p>
    <w:p w14:paraId="04EB7BA1">
      <w:pPr>
        <w:spacing w:before="146" w:line="466" w:lineRule="exact"/>
        <w:jc w:val="right"/>
        <w:rPr>
          <w:rFonts w:ascii="宋体" w:hAnsi="宋体" w:eastAsia="宋体" w:cs="宋体"/>
          <w:sz w:val="24"/>
          <w:szCs w:val="24"/>
        </w:rPr>
      </w:pPr>
      <w:r>
        <w:rPr>
          <w:rFonts w:ascii="宋体" w:hAnsi="宋体" w:eastAsia="宋体" w:cs="宋体"/>
          <w:spacing w:val="-4"/>
          <w:position w:val="5"/>
          <w:sz w:val="24"/>
          <w:szCs w:val="24"/>
        </w:rPr>
        <w:t>（</w:t>
      </w:r>
      <w:r>
        <w:rPr>
          <w:rFonts w:ascii="Times New Roman" w:hAnsi="Times New Roman" w:eastAsia="Times New Roman" w:cs="Times New Roman"/>
          <w:spacing w:val="-4"/>
          <w:position w:val="5"/>
          <w:sz w:val="24"/>
          <w:szCs w:val="24"/>
        </w:rPr>
        <w:t>13</w:t>
      </w:r>
      <w:r>
        <w:rPr>
          <w:rFonts w:ascii="宋体" w:hAnsi="宋体" w:eastAsia="宋体" w:cs="宋体"/>
          <w:spacing w:val="-4"/>
          <w:position w:val="5"/>
          <w:sz w:val="24"/>
          <w:szCs w:val="24"/>
        </w:rPr>
        <w:t>）《排污单位自行监测技术指南 钢铁工业及炼焦化学工业》</w:t>
      </w:r>
      <w:r>
        <w:fldChar w:fldCharType="begin"/>
      </w:r>
      <w:r>
        <w:instrText xml:space="preserve"> HYPERLINK "https://www.mee.gov.cn/ywgz/fgbz/bz/bzwb/jcffbz/201712/W020171227582910464368.pdf" </w:instrText>
      </w:r>
      <w:r>
        <w:fldChar w:fldCharType="separate"/>
      </w:r>
      <w:r>
        <w:rPr>
          <w:rFonts w:ascii="宋体" w:hAnsi="宋体" w:eastAsia="宋体" w:cs="宋体"/>
          <w:spacing w:val="-4"/>
          <w:position w:val="5"/>
          <w:sz w:val="24"/>
          <w:szCs w:val="24"/>
        </w:rPr>
        <w:t>（</w:t>
      </w:r>
      <w:r>
        <w:rPr>
          <w:rFonts w:ascii="Times New Roman" w:hAnsi="Times New Roman" w:eastAsia="Times New Roman" w:cs="Times New Roman"/>
          <w:spacing w:val="-4"/>
          <w:position w:val="5"/>
          <w:sz w:val="24"/>
          <w:szCs w:val="24"/>
        </w:rPr>
        <w:t>HJ</w:t>
      </w:r>
      <w:r>
        <w:rPr>
          <w:rFonts w:ascii="Times New Roman" w:hAnsi="Times New Roman" w:eastAsia="Times New Roman" w:cs="Times New Roman"/>
          <w:spacing w:val="32"/>
          <w:position w:val="5"/>
          <w:sz w:val="24"/>
          <w:szCs w:val="24"/>
        </w:rPr>
        <w:t xml:space="preserve"> </w:t>
      </w:r>
      <w:r>
        <w:rPr>
          <w:rFonts w:ascii="Times New Roman" w:hAnsi="Times New Roman" w:eastAsia="Times New Roman" w:cs="Times New Roman"/>
          <w:spacing w:val="-4"/>
          <w:position w:val="5"/>
          <w:sz w:val="24"/>
          <w:szCs w:val="24"/>
        </w:rPr>
        <w:t>878-2017</w:t>
      </w:r>
      <w:r>
        <w:rPr>
          <w:rFonts w:ascii="宋体" w:hAnsi="宋体" w:eastAsia="宋体" w:cs="宋体"/>
          <w:spacing w:val="-4"/>
          <w:position w:val="5"/>
          <w:sz w:val="24"/>
          <w:szCs w:val="24"/>
        </w:rPr>
        <w:t>）</w:t>
      </w:r>
      <w:r>
        <w:rPr>
          <w:rFonts w:ascii="宋体" w:hAnsi="宋体" w:eastAsia="宋体" w:cs="宋体"/>
          <w:spacing w:val="-4"/>
          <w:position w:val="5"/>
          <w:sz w:val="24"/>
          <w:szCs w:val="24"/>
        </w:rPr>
        <w:fldChar w:fldCharType="end"/>
      </w:r>
      <w:r>
        <w:rPr>
          <w:rFonts w:ascii="宋体" w:hAnsi="宋体" w:eastAsia="宋体" w:cs="宋体"/>
          <w:spacing w:val="-4"/>
          <w:position w:val="5"/>
          <w:sz w:val="24"/>
          <w:szCs w:val="24"/>
        </w:rPr>
        <w:t>。</w:t>
      </w:r>
    </w:p>
    <w:p w14:paraId="56FC313C">
      <w:pPr>
        <w:spacing w:before="46" w:line="222" w:lineRule="auto"/>
        <w:ind w:left="34"/>
        <w:outlineLvl w:val="2"/>
        <w:rPr>
          <w:rFonts w:ascii="黑体" w:hAnsi="黑体" w:eastAsia="黑体" w:cs="黑体"/>
          <w:sz w:val="30"/>
          <w:szCs w:val="30"/>
        </w:rPr>
      </w:pPr>
      <w:bookmarkStart w:id="281" w:name="bookmark34"/>
      <w:bookmarkEnd w:id="281"/>
      <w:r>
        <w:rPr>
          <w:rFonts w:ascii="Times New Roman" w:hAnsi="Times New Roman" w:eastAsia="Times New Roman" w:cs="Times New Roman"/>
          <w:spacing w:val="-2"/>
          <w:sz w:val="30"/>
          <w:szCs w:val="30"/>
        </w:rPr>
        <w:t xml:space="preserve">1.1.4 </w:t>
      </w:r>
      <w:r>
        <w:rPr>
          <w:rFonts w:ascii="黑体" w:hAnsi="黑体" w:eastAsia="黑体" w:cs="黑体"/>
          <w:spacing w:val="-2"/>
          <w:sz w:val="30"/>
          <w:szCs w:val="30"/>
        </w:rPr>
        <w:t>项目文件、技术与工程资料</w:t>
      </w:r>
    </w:p>
    <w:p w14:paraId="06775315">
      <w:pPr>
        <w:spacing w:before="215" w:line="219" w:lineRule="auto"/>
        <w:ind w:left="499"/>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1</w:t>
      </w:r>
      <w:r>
        <w:rPr>
          <w:rFonts w:ascii="宋体" w:hAnsi="宋体" w:eastAsia="宋体" w:cs="宋体"/>
          <w:sz w:val="24"/>
          <w:szCs w:val="24"/>
        </w:rPr>
        <w:t>）变更项目备案文件，备案编号：</w:t>
      </w:r>
      <w:r>
        <w:rPr>
          <w:rFonts w:ascii="Times New Roman" w:hAnsi="Times New Roman" w:eastAsia="Times New Roman" w:cs="Times New Roman"/>
          <w:sz w:val="24"/>
          <w:szCs w:val="24"/>
        </w:rPr>
        <w:t>24</w:t>
      </w:r>
      <w:r>
        <w:rPr>
          <w:rFonts w:ascii="Times New Roman" w:hAnsi="Times New Roman" w:eastAsia="Times New Roman" w:cs="Times New Roman"/>
          <w:spacing w:val="-1"/>
          <w:sz w:val="24"/>
          <w:szCs w:val="24"/>
        </w:rPr>
        <w:t>05-152524-04-01-407023</w:t>
      </w:r>
      <w:r>
        <w:rPr>
          <w:rFonts w:ascii="宋体" w:hAnsi="宋体" w:eastAsia="宋体" w:cs="宋体"/>
          <w:spacing w:val="-1"/>
          <w:sz w:val="24"/>
          <w:szCs w:val="24"/>
        </w:rPr>
        <w:t>；</w:t>
      </w:r>
    </w:p>
    <w:p w14:paraId="07A4FF63">
      <w:pPr>
        <w:spacing w:before="181" w:line="288" w:lineRule="auto"/>
        <w:ind w:left="10" w:right="82" w:firstLine="48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）《内蒙古新创发展科技有限公司一期</w:t>
      </w:r>
      <w:r>
        <w:rPr>
          <w:rFonts w:ascii="Times New Roman" w:hAnsi="Times New Roman" w:eastAsia="Times New Roman" w:cs="Times New Roman"/>
          <w:spacing w:val="2"/>
          <w:sz w:val="24"/>
          <w:szCs w:val="24"/>
        </w:rPr>
        <w:t>6×36</w:t>
      </w:r>
      <w:r>
        <w:rPr>
          <w:rFonts w:ascii="Times New Roman" w:hAnsi="Times New Roman" w:eastAsia="Times New Roman" w:cs="Times New Roman"/>
          <w:sz w:val="24"/>
          <w:szCs w:val="24"/>
        </w:rPr>
        <w:t>MW</w:t>
      </w:r>
      <w:r>
        <w:rPr>
          <w:rFonts w:ascii="宋体" w:hAnsi="宋体" w:eastAsia="宋体" w:cs="宋体"/>
          <w:spacing w:val="2"/>
          <w:sz w:val="24"/>
          <w:szCs w:val="24"/>
        </w:rPr>
        <w:t xml:space="preserve">直流锰硅合金全密闭电炉项目 </w:t>
      </w:r>
      <w:r>
        <w:rPr>
          <w:rFonts w:ascii="宋体" w:hAnsi="宋体" w:eastAsia="宋体" w:cs="宋体"/>
          <w:spacing w:val="-1"/>
          <w:sz w:val="24"/>
          <w:szCs w:val="24"/>
        </w:rPr>
        <w:t>可行性研究报告》，</w:t>
      </w:r>
      <w:r>
        <w:rPr>
          <w:rFonts w:ascii="Times New Roman" w:hAnsi="Times New Roman" w:eastAsia="Times New Roman" w:cs="Times New Roman"/>
          <w:spacing w:val="-1"/>
          <w:sz w:val="24"/>
          <w:szCs w:val="24"/>
        </w:rPr>
        <w:t>2024</w:t>
      </w:r>
      <w:r>
        <w:rPr>
          <w:rFonts w:ascii="宋体" w:hAnsi="宋体" w:eastAsia="宋体" w:cs="宋体"/>
          <w:spacing w:val="-1"/>
          <w:sz w:val="24"/>
          <w:szCs w:val="24"/>
        </w:rPr>
        <w:t>年</w:t>
      </w:r>
      <w:r>
        <w:rPr>
          <w:rFonts w:ascii="Times New Roman" w:hAnsi="Times New Roman" w:eastAsia="Times New Roman" w:cs="Times New Roman"/>
          <w:spacing w:val="-1"/>
          <w:sz w:val="24"/>
          <w:szCs w:val="24"/>
        </w:rPr>
        <w:t>9</w:t>
      </w:r>
      <w:r>
        <w:rPr>
          <w:rFonts w:ascii="宋体" w:hAnsi="宋体" w:eastAsia="宋体" w:cs="宋体"/>
          <w:spacing w:val="-1"/>
          <w:sz w:val="24"/>
          <w:szCs w:val="24"/>
        </w:rPr>
        <w:t>月；</w:t>
      </w:r>
    </w:p>
    <w:p w14:paraId="5D078031">
      <w:pPr>
        <w:spacing w:before="184"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）建设单位提供的其他相关资料。</w:t>
      </w:r>
    </w:p>
    <w:p w14:paraId="6CA616A4">
      <w:pPr>
        <w:spacing w:before="195" w:line="227" w:lineRule="auto"/>
        <w:ind w:left="36"/>
        <w:outlineLvl w:val="1"/>
        <w:rPr>
          <w:rFonts w:ascii="黑体" w:hAnsi="黑体" w:eastAsia="黑体" w:cs="黑体"/>
          <w:sz w:val="31"/>
          <w:szCs w:val="31"/>
        </w:rPr>
      </w:pPr>
      <w:bookmarkStart w:id="282" w:name="bookmark36"/>
      <w:bookmarkEnd w:id="282"/>
      <w:r>
        <w:rPr>
          <w:rFonts w:ascii="Times New Roman" w:hAnsi="Times New Roman" w:eastAsia="Times New Roman" w:cs="Times New Roman"/>
          <w:spacing w:val="5"/>
          <w:sz w:val="31"/>
          <w:szCs w:val="31"/>
        </w:rPr>
        <w:t xml:space="preserve">1.2 </w:t>
      </w:r>
      <w:r>
        <w:rPr>
          <w:rFonts w:ascii="黑体" w:hAnsi="黑体" w:eastAsia="黑体" w:cs="黑体"/>
          <w:spacing w:val="5"/>
          <w:sz w:val="31"/>
          <w:szCs w:val="31"/>
        </w:rPr>
        <w:t>评价目的与评价原则</w:t>
      </w:r>
    </w:p>
    <w:p w14:paraId="79E68A02">
      <w:pPr>
        <w:spacing w:before="237" w:line="222" w:lineRule="auto"/>
        <w:ind w:left="34"/>
        <w:outlineLvl w:val="2"/>
        <w:rPr>
          <w:rFonts w:ascii="黑体" w:hAnsi="黑体" w:eastAsia="黑体" w:cs="黑体"/>
          <w:sz w:val="30"/>
          <w:szCs w:val="30"/>
        </w:rPr>
      </w:pPr>
      <w:bookmarkStart w:id="283" w:name="bookmark38"/>
      <w:bookmarkEnd w:id="283"/>
      <w:r>
        <w:rPr>
          <w:rFonts w:ascii="Times New Roman" w:hAnsi="Times New Roman" w:eastAsia="Times New Roman" w:cs="Times New Roman"/>
          <w:spacing w:val="-4"/>
          <w:sz w:val="30"/>
          <w:szCs w:val="30"/>
        </w:rPr>
        <w:t xml:space="preserve">1.2.1 </w:t>
      </w:r>
      <w:r>
        <w:rPr>
          <w:rFonts w:ascii="黑体" w:hAnsi="黑体" w:eastAsia="黑体" w:cs="黑体"/>
          <w:spacing w:val="-4"/>
          <w:sz w:val="30"/>
          <w:szCs w:val="30"/>
        </w:rPr>
        <w:t>评价目的</w:t>
      </w:r>
    </w:p>
    <w:p w14:paraId="3A1A0F65">
      <w:pPr>
        <w:spacing w:before="217" w:line="324" w:lineRule="auto"/>
        <w:ind w:left="8" w:right="80"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）从本项目的生产工艺、生产规模、环保设施、厂址选择及污染物排放控制等</w:t>
      </w:r>
      <w:r>
        <w:rPr>
          <w:rFonts w:ascii="宋体" w:hAnsi="宋体" w:eastAsia="宋体" w:cs="宋体"/>
          <w:spacing w:val="16"/>
          <w:sz w:val="24"/>
          <w:szCs w:val="24"/>
        </w:rPr>
        <w:t xml:space="preserve"> </w:t>
      </w:r>
      <w:r>
        <w:rPr>
          <w:rFonts w:ascii="宋体" w:hAnsi="宋体" w:eastAsia="宋体" w:cs="宋体"/>
          <w:spacing w:val="-1"/>
          <w:sz w:val="24"/>
          <w:szCs w:val="24"/>
        </w:rPr>
        <w:t>方面进行分析，并对照国家、自治区相关产业</w:t>
      </w:r>
      <w:r>
        <w:rPr>
          <w:rFonts w:ascii="宋体" w:hAnsi="宋体" w:eastAsia="宋体" w:cs="宋体"/>
          <w:spacing w:val="-2"/>
          <w:sz w:val="24"/>
          <w:szCs w:val="24"/>
        </w:rPr>
        <w:t>政策，以及当地环境质量底线、资源利用</w:t>
      </w:r>
      <w:r>
        <w:rPr>
          <w:rFonts w:ascii="宋体" w:hAnsi="宋体" w:eastAsia="宋体" w:cs="宋体"/>
          <w:sz w:val="24"/>
          <w:szCs w:val="24"/>
        </w:rPr>
        <w:t xml:space="preserve"> </w:t>
      </w:r>
      <w:r>
        <w:rPr>
          <w:rFonts w:ascii="宋体" w:hAnsi="宋体" w:eastAsia="宋体" w:cs="宋体"/>
          <w:spacing w:val="-2"/>
          <w:sz w:val="24"/>
          <w:szCs w:val="24"/>
        </w:rPr>
        <w:t>上线、生态保护红线及环境准入负面清单，明确回答本项目是否符合国家、自治区及当</w:t>
      </w:r>
      <w:r>
        <w:rPr>
          <w:rFonts w:ascii="宋体" w:hAnsi="宋体" w:eastAsia="宋体" w:cs="宋体"/>
          <w:spacing w:val="17"/>
          <w:sz w:val="24"/>
          <w:szCs w:val="24"/>
        </w:rPr>
        <w:t xml:space="preserve"> </w:t>
      </w:r>
      <w:r>
        <w:rPr>
          <w:rFonts w:ascii="宋体" w:hAnsi="宋体" w:eastAsia="宋体" w:cs="宋体"/>
          <w:spacing w:val="-1"/>
          <w:sz w:val="24"/>
          <w:szCs w:val="24"/>
        </w:rPr>
        <w:t>地相关产业政策的要求。</w:t>
      </w:r>
    </w:p>
    <w:p w14:paraId="317D1F08">
      <w:pPr>
        <w:spacing w:before="180"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）通过实地调查，搞清项目所处地区环境特征、环境现状以及污染源分布状况</w:t>
      </w:r>
    </w:p>
    <w:p w14:paraId="350AB81E">
      <w:pPr>
        <w:spacing w:line="219" w:lineRule="auto"/>
        <w:rPr>
          <w:rFonts w:ascii="宋体" w:hAnsi="宋体" w:eastAsia="宋体" w:cs="宋体"/>
          <w:sz w:val="24"/>
          <w:szCs w:val="24"/>
        </w:rPr>
        <w:sectPr>
          <w:headerReference r:id="rId44" w:type="default"/>
          <w:footerReference r:id="rId45" w:type="default"/>
          <w:pgSz w:w="11907" w:h="16840"/>
          <w:pgMar w:top="1178" w:right="1336" w:bottom="1038" w:left="1417" w:header="870" w:footer="876" w:gutter="0"/>
          <w:cols w:space="720" w:num="1"/>
        </w:sectPr>
      </w:pPr>
    </w:p>
    <w:p w14:paraId="21EFAA85">
      <w:pPr>
        <w:spacing w:before="275" w:line="345" w:lineRule="auto"/>
        <w:ind w:left="8" w:right="77"/>
        <w:rPr>
          <w:rFonts w:ascii="宋体" w:hAnsi="宋体" w:eastAsia="宋体" w:cs="宋体"/>
          <w:sz w:val="24"/>
          <w:szCs w:val="24"/>
        </w:rPr>
      </w:pPr>
      <w:r>
        <w:pict>
          <v:shape id="_x0000_s1051" o:spid="_x0000_s1051" style="position:absolute;left:0pt;margin-left:70.85pt;margin-top:59.65pt;height:0.75pt;width:453.65pt;mso-position-horizontal-relative:page;mso-position-vertical-relative:page;z-index:25168588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spacing w:val="-1"/>
          <w:sz w:val="24"/>
          <w:szCs w:val="24"/>
        </w:rPr>
        <w:t>和特征，结合工程排污特点、环境保护措施</w:t>
      </w:r>
      <w:r>
        <w:rPr>
          <w:rFonts w:ascii="宋体" w:hAnsi="宋体" w:eastAsia="宋体" w:cs="宋体"/>
          <w:spacing w:val="-2"/>
          <w:sz w:val="24"/>
          <w:szCs w:val="24"/>
        </w:rPr>
        <w:t>和污染物排放状况，回答工程建设污染物排</w:t>
      </w:r>
      <w:r>
        <w:rPr>
          <w:rFonts w:ascii="宋体" w:hAnsi="宋体" w:eastAsia="宋体" w:cs="宋体"/>
          <w:sz w:val="24"/>
          <w:szCs w:val="24"/>
        </w:rPr>
        <w:t xml:space="preserve"> </w:t>
      </w:r>
      <w:r>
        <w:rPr>
          <w:rFonts w:ascii="宋体" w:hAnsi="宋体" w:eastAsia="宋体" w:cs="宋体"/>
          <w:spacing w:val="-1"/>
          <w:sz w:val="24"/>
          <w:szCs w:val="24"/>
        </w:rPr>
        <w:t>放是否超出环境质量底线，分析对当地环境质量的影响程度。</w:t>
      </w:r>
    </w:p>
    <w:p w14:paraId="445DCA2A">
      <w:pPr>
        <w:spacing w:before="35" w:line="289" w:lineRule="auto"/>
        <w:ind w:left="8" w:right="78"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）本次评价将根据产业政策、评价区环境质量底线要求、生态保护红线、区域</w:t>
      </w:r>
      <w:r>
        <w:rPr>
          <w:rFonts w:ascii="宋体" w:hAnsi="宋体" w:eastAsia="宋体" w:cs="宋体"/>
          <w:spacing w:val="16"/>
          <w:sz w:val="24"/>
          <w:szCs w:val="24"/>
        </w:rPr>
        <w:t xml:space="preserve"> </w:t>
      </w:r>
      <w:r>
        <w:rPr>
          <w:rFonts w:ascii="宋体" w:hAnsi="宋体" w:eastAsia="宋体" w:cs="宋体"/>
          <w:sz w:val="24"/>
          <w:szCs w:val="24"/>
        </w:rPr>
        <w:t>城市建设规划管理部门要求等情况进行综合分析，明</w:t>
      </w:r>
      <w:r>
        <w:rPr>
          <w:rFonts w:ascii="宋体" w:hAnsi="宋体" w:eastAsia="宋体" w:cs="宋体"/>
          <w:spacing w:val="-1"/>
          <w:sz w:val="24"/>
          <w:szCs w:val="24"/>
        </w:rPr>
        <w:t>确回答厂址选择可行性。</w:t>
      </w:r>
    </w:p>
    <w:p w14:paraId="2B92FC1F">
      <w:pPr>
        <w:spacing w:before="183" w:line="288" w:lineRule="auto"/>
        <w:ind w:left="9" w:right="78"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）根据企业对当地公众进行调查结果，了解公众对项目的支持程度，从而从公</w:t>
      </w:r>
      <w:r>
        <w:rPr>
          <w:rFonts w:ascii="宋体" w:hAnsi="宋体" w:eastAsia="宋体" w:cs="宋体"/>
          <w:spacing w:val="16"/>
          <w:sz w:val="24"/>
          <w:szCs w:val="24"/>
        </w:rPr>
        <w:t xml:space="preserve"> </w:t>
      </w:r>
      <w:r>
        <w:rPr>
          <w:rFonts w:ascii="宋体" w:hAnsi="宋体" w:eastAsia="宋体" w:cs="宋体"/>
          <w:spacing w:val="-1"/>
          <w:sz w:val="24"/>
          <w:szCs w:val="24"/>
        </w:rPr>
        <w:t>众参与的角度为环保主管部门提出管理依据。</w:t>
      </w:r>
    </w:p>
    <w:p w14:paraId="2208D3CB">
      <w:pPr>
        <w:spacing w:before="183" w:line="324" w:lineRule="auto"/>
        <w:ind w:left="7" w:right="77"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）综合产业政策、当地社会经济发展规划、环境质量底线、生态保护红线、资</w:t>
      </w:r>
      <w:r>
        <w:rPr>
          <w:rFonts w:ascii="宋体" w:hAnsi="宋体" w:eastAsia="宋体" w:cs="宋体"/>
          <w:spacing w:val="16"/>
          <w:sz w:val="24"/>
          <w:szCs w:val="24"/>
        </w:rPr>
        <w:t xml:space="preserve"> </w:t>
      </w:r>
      <w:r>
        <w:rPr>
          <w:rFonts w:ascii="宋体" w:hAnsi="宋体" w:eastAsia="宋体" w:cs="宋体"/>
          <w:spacing w:val="-1"/>
          <w:sz w:val="24"/>
          <w:szCs w:val="24"/>
        </w:rPr>
        <w:t>源利用上线、环境准入负面清单等部分的分析</w:t>
      </w:r>
      <w:r>
        <w:rPr>
          <w:rFonts w:ascii="宋体" w:hAnsi="宋体" w:eastAsia="宋体" w:cs="宋体"/>
          <w:spacing w:val="-2"/>
          <w:sz w:val="24"/>
          <w:szCs w:val="24"/>
        </w:rPr>
        <w:t>结论，从环保角度明确回答本项目建设的</w:t>
      </w:r>
      <w:r>
        <w:rPr>
          <w:rFonts w:ascii="宋体" w:hAnsi="宋体" w:eastAsia="宋体" w:cs="宋体"/>
          <w:sz w:val="24"/>
          <w:szCs w:val="24"/>
        </w:rPr>
        <w:t xml:space="preserve"> </w:t>
      </w:r>
      <w:r>
        <w:rPr>
          <w:rFonts w:ascii="宋体" w:hAnsi="宋体" w:eastAsia="宋体" w:cs="宋体"/>
          <w:spacing w:val="-1"/>
          <w:sz w:val="24"/>
          <w:szCs w:val="24"/>
        </w:rPr>
        <w:t>可行性，为项目建设审批、环境保护、工程设</w:t>
      </w:r>
      <w:r>
        <w:rPr>
          <w:rFonts w:ascii="宋体" w:hAnsi="宋体" w:eastAsia="宋体" w:cs="宋体"/>
          <w:spacing w:val="-2"/>
          <w:sz w:val="24"/>
          <w:szCs w:val="24"/>
        </w:rPr>
        <w:t>计、建设管理、生产运行等提供科学的依</w:t>
      </w:r>
      <w:r>
        <w:rPr>
          <w:rFonts w:ascii="宋体" w:hAnsi="宋体" w:eastAsia="宋体" w:cs="宋体"/>
          <w:sz w:val="24"/>
          <w:szCs w:val="24"/>
        </w:rPr>
        <w:t xml:space="preserve"> </w:t>
      </w:r>
      <w:r>
        <w:rPr>
          <w:rFonts w:ascii="宋体" w:hAnsi="宋体" w:eastAsia="宋体" w:cs="宋体"/>
          <w:spacing w:val="-5"/>
          <w:sz w:val="24"/>
          <w:szCs w:val="24"/>
        </w:rPr>
        <w:t>据。</w:t>
      </w:r>
    </w:p>
    <w:p w14:paraId="6C4ECDAF">
      <w:pPr>
        <w:spacing w:before="190" w:line="222" w:lineRule="auto"/>
        <w:ind w:left="34"/>
        <w:outlineLvl w:val="2"/>
        <w:rPr>
          <w:rFonts w:ascii="黑体" w:hAnsi="黑体" w:eastAsia="黑体" w:cs="黑体"/>
          <w:sz w:val="30"/>
          <w:szCs w:val="30"/>
        </w:rPr>
      </w:pPr>
      <w:bookmarkStart w:id="284" w:name="bookmark40"/>
      <w:bookmarkEnd w:id="284"/>
      <w:r>
        <w:rPr>
          <w:rFonts w:ascii="Times New Roman" w:hAnsi="Times New Roman" w:eastAsia="Times New Roman" w:cs="Times New Roman"/>
          <w:spacing w:val="-4"/>
          <w:sz w:val="30"/>
          <w:szCs w:val="30"/>
        </w:rPr>
        <w:t xml:space="preserve">1.2.2 </w:t>
      </w:r>
      <w:r>
        <w:rPr>
          <w:rFonts w:ascii="黑体" w:hAnsi="黑体" w:eastAsia="黑体" w:cs="黑体"/>
          <w:spacing w:val="-4"/>
          <w:sz w:val="30"/>
          <w:szCs w:val="30"/>
        </w:rPr>
        <w:t>评价原则</w:t>
      </w:r>
    </w:p>
    <w:p w14:paraId="4ECF2DD0">
      <w:pPr>
        <w:spacing w:before="212" w:line="324" w:lineRule="auto"/>
        <w:ind w:left="7" w:right="77"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）依据国家和内蒙古自治区有关环保法律法规、产业政策以及环境影响评价技</w:t>
      </w:r>
      <w:r>
        <w:rPr>
          <w:rFonts w:ascii="宋体" w:hAnsi="宋体" w:eastAsia="宋体" w:cs="宋体"/>
          <w:spacing w:val="16"/>
          <w:sz w:val="24"/>
          <w:szCs w:val="24"/>
        </w:rPr>
        <w:t xml:space="preserve"> </w:t>
      </w:r>
      <w:r>
        <w:rPr>
          <w:rFonts w:ascii="宋体" w:hAnsi="宋体" w:eastAsia="宋体" w:cs="宋体"/>
          <w:spacing w:val="-1"/>
          <w:sz w:val="24"/>
          <w:szCs w:val="24"/>
        </w:rPr>
        <w:t>术规定，以预防为主、防治结合、全过程控制</w:t>
      </w:r>
      <w:r>
        <w:rPr>
          <w:rFonts w:ascii="宋体" w:hAnsi="宋体" w:eastAsia="宋体" w:cs="宋体"/>
          <w:spacing w:val="-2"/>
          <w:sz w:val="24"/>
          <w:szCs w:val="24"/>
        </w:rPr>
        <w:t>的现代环境管理思想和循环经济理念为指</w:t>
      </w:r>
      <w:r>
        <w:rPr>
          <w:rFonts w:ascii="宋体" w:hAnsi="宋体" w:eastAsia="宋体" w:cs="宋体"/>
          <w:sz w:val="24"/>
          <w:szCs w:val="24"/>
        </w:rPr>
        <w:t xml:space="preserve"> </w:t>
      </w:r>
      <w:r>
        <w:rPr>
          <w:rFonts w:ascii="宋体" w:hAnsi="宋体" w:eastAsia="宋体" w:cs="宋体"/>
          <w:spacing w:val="-1"/>
          <w:sz w:val="24"/>
          <w:szCs w:val="24"/>
        </w:rPr>
        <w:t>导，密切结合项目工程特点和所在区域的环境</w:t>
      </w:r>
      <w:r>
        <w:rPr>
          <w:rFonts w:ascii="宋体" w:hAnsi="宋体" w:eastAsia="宋体" w:cs="宋体"/>
          <w:spacing w:val="-2"/>
          <w:sz w:val="24"/>
          <w:szCs w:val="24"/>
        </w:rPr>
        <w:t>特征，在区域总体发展规划和环境功能区</w:t>
      </w:r>
      <w:r>
        <w:rPr>
          <w:rFonts w:ascii="宋体" w:hAnsi="宋体" w:eastAsia="宋体" w:cs="宋体"/>
          <w:sz w:val="24"/>
          <w:szCs w:val="24"/>
        </w:rPr>
        <w:t xml:space="preserve"> </w:t>
      </w:r>
      <w:r>
        <w:rPr>
          <w:rFonts w:ascii="宋体" w:hAnsi="宋体" w:eastAsia="宋体" w:cs="宋体"/>
          <w:spacing w:val="-1"/>
          <w:sz w:val="24"/>
          <w:szCs w:val="24"/>
        </w:rPr>
        <w:t>划的总原则下，科学、客观的进行环境影响评价。</w:t>
      </w:r>
    </w:p>
    <w:p w14:paraId="27AED919">
      <w:pPr>
        <w:spacing w:before="187" w:line="312" w:lineRule="auto"/>
        <w:ind w:left="8" w:right="77"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）环境影响报告书的编制力求条理清楚、论据充分、重点突出、内容全面、客</w:t>
      </w:r>
      <w:r>
        <w:rPr>
          <w:rFonts w:ascii="宋体" w:hAnsi="宋体" w:eastAsia="宋体" w:cs="宋体"/>
          <w:spacing w:val="16"/>
          <w:sz w:val="24"/>
          <w:szCs w:val="24"/>
        </w:rPr>
        <w:t xml:space="preserve"> </w:t>
      </w:r>
      <w:r>
        <w:rPr>
          <w:rFonts w:ascii="宋体" w:hAnsi="宋体" w:eastAsia="宋体" w:cs="宋体"/>
          <w:spacing w:val="-1"/>
          <w:sz w:val="24"/>
          <w:szCs w:val="24"/>
        </w:rPr>
        <w:t>观地反映实际情况，环保对策实用可行、可操</w:t>
      </w:r>
      <w:r>
        <w:rPr>
          <w:rFonts w:ascii="宋体" w:hAnsi="宋体" w:eastAsia="宋体" w:cs="宋体"/>
          <w:spacing w:val="-2"/>
          <w:sz w:val="24"/>
          <w:szCs w:val="24"/>
        </w:rPr>
        <w:t>作性强，从而使本次评价真正起到为项目</w:t>
      </w:r>
      <w:r>
        <w:rPr>
          <w:rFonts w:ascii="宋体" w:hAnsi="宋体" w:eastAsia="宋体" w:cs="宋体"/>
          <w:sz w:val="24"/>
          <w:szCs w:val="24"/>
        </w:rPr>
        <w:t xml:space="preserve"> </w:t>
      </w:r>
      <w:r>
        <w:rPr>
          <w:rFonts w:ascii="宋体" w:hAnsi="宋体" w:eastAsia="宋体" w:cs="宋体"/>
          <w:spacing w:val="-1"/>
          <w:sz w:val="24"/>
          <w:szCs w:val="24"/>
        </w:rPr>
        <w:t>审批、环境管理、工程建设服务的作用。</w:t>
      </w:r>
    </w:p>
    <w:p w14:paraId="1ECAF034">
      <w:pPr>
        <w:spacing w:before="183" w:line="289" w:lineRule="auto"/>
        <w:ind w:left="9" w:right="78"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）本次评价中将对项目存在的现有环境问题进行深入分析，开展环境质量现状</w:t>
      </w:r>
      <w:r>
        <w:rPr>
          <w:rFonts w:ascii="宋体" w:hAnsi="宋体" w:eastAsia="宋体" w:cs="宋体"/>
          <w:spacing w:val="16"/>
          <w:sz w:val="24"/>
          <w:szCs w:val="24"/>
        </w:rPr>
        <w:t xml:space="preserve"> </w:t>
      </w:r>
      <w:r>
        <w:rPr>
          <w:rFonts w:ascii="宋体" w:hAnsi="宋体" w:eastAsia="宋体" w:cs="宋体"/>
          <w:sz w:val="24"/>
          <w:szCs w:val="24"/>
        </w:rPr>
        <w:t>监测、污染源和环保设施的调查工作，分析环保设施的可</w:t>
      </w:r>
      <w:r>
        <w:rPr>
          <w:rFonts w:ascii="宋体" w:hAnsi="宋体" w:eastAsia="宋体" w:cs="宋体"/>
          <w:spacing w:val="-1"/>
          <w:sz w:val="24"/>
          <w:szCs w:val="24"/>
        </w:rPr>
        <w:t>行性，提出针对性的措施。</w:t>
      </w:r>
    </w:p>
    <w:p w14:paraId="122ADDCA">
      <w:pPr>
        <w:spacing w:before="196" w:line="227" w:lineRule="auto"/>
        <w:ind w:left="36"/>
        <w:outlineLvl w:val="1"/>
        <w:rPr>
          <w:rFonts w:ascii="黑体" w:hAnsi="黑体" w:eastAsia="黑体" w:cs="黑体"/>
          <w:sz w:val="31"/>
          <w:szCs w:val="31"/>
        </w:rPr>
      </w:pPr>
      <w:bookmarkStart w:id="285" w:name="bookmark42"/>
      <w:bookmarkEnd w:id="285"/>
      <w:r>
        <w:rPr>
          <w:rFonts w:ascii="Times New Roman" w:hAnsi="Times New Roman" w:eastAsia="Times New Roman" w:cs="Times New Roman"/>
          <w:spacing w:val="5"/>
          <w:sz w:val="31"/>
          <w:szCs w:val="31"/>
        </w:rPr>
        <w:t xml:space="preserve">1.3 </w:t>
      </w:r>
      <w:r>
        <w:rPr>
          <w:rFonts w:ascii="黑体" w:hAnsi="黑体" w:eastAsia="黑体" w:cs="黑体"/>
          <w:spacing w:val="5"/>
          <w:sz w:val="31"/>
          <w:szCs w:val="31"/>
        </w:rPr>
        <w:t>评价内容及评价重点</w:t>
      </w:r>
    </w:p>
    <w:p w14:paraId="6A98575F">
      <w:pPr>
        <w:spacing w:before="236" w:line="222" w:lineRule="auto"/>
        <w:ind w:left="34"/>
        <w:outlineLvl w:val="2"/>
        <w:rPr>
          <w:rFonts w:ascii="黑体" w:hAnsi="黑体" w:eastAsia="黑体" w:cs="黑体"/>
          <w:sz w:val="30"/>
          <w:szCs w:val="30"/>
        </w:rPr>
      </w:pPr>
      <w:bookmarkStart w:id="286" w:name="bookmark44"/>
      <w:bookmarkEnd w:id="286"/>
      <w:r>
        <w:rPr>
          <w:rFonts w:ascii="Times New Roman" w:hAnsi="Times New Roman" w:eastAsia="Times New Roman" w:cs="Times New Roman"/>
          <w:spacing w:val="-4"/>
          <w:sz w:val="30"/>
          <w:szCs w:val="30"/>
        </w:rPr>
        <w:t xml:space="preserve">1.3.1 </w:t>
      </w:r>
      <w:r>
        <w:rPr>
          <w:rFonts w:ascii="黑体" w:hAnsi="黑体" w:eastAsia="黑体" w:cs="黑体"/>
          <w:spacing w:val="-4"/>
          <w:sz w:val="30"/>
          <w:szCs w:val="30"/>
        </w:rPr>
        <w:t>评价内容</w:t>
      </w:r>
    </w:p>
    <w:p w14:paraId="685E3AD6">
      <w:pPr>
        <w:spacing w:before="213" w:line="351" w:lineRule="auto"/>
        <w:ind w:left="10" w:right="72" w:firstLine="478"/>
        <w:jc w:val="both"/>
        <w:rPr>
          <w:rFonts w:ascii="宋体" w:hAnsi="宋体" w:eastAsia="宋体" w:cs="宋体"/>
          <w:sz w:val="24"/>
          <w:szCs w:val="24"/>
        </w:rPr>
      </w:pPr>
      <w:r>
        <w:rPr>
          <w:rFonts w:ascii="宋体" w:hAnsi="宋体" w:eastAsia="宋体" w:cs="宋体"/>
          <w:spacing w:val="-1"/>
          <w:sz w:val="24"/>
          <w:szCs w:val="24"/>
        </w:rPr>
        <w:t>根据工程环境影响因素分析和评价因子筛选，本</w:t>
      </w:r>
      <w:r>
        <w:rPr>
          <w:rFonts w:ascii="宋体" w:hAnsi="宋体" w:eastAsia="宋体" w:cs="宋体"/>
          <w:spacing w:val="-2"/>
          <w:sz w:val="24"/>
          <w:szCs w:val="24"/>
        </w:rPr>
        <w:t>次评价工作的主要内容为：概述、</w:t>
      </w:r>
      <w:r>
        <w:rPr>
          <w:rFonts w:ascii="宋体" w:hAnsi="宋体" w:eastAsia="宋体" w:cs="宋体"/>
          <w:sz w:val="24"/>
          <w:szCs w:val="24"/>
        </w:rPr>
        <w:t xml:space="preserve"> </w:t>
      </w:r>
      <w:r>
        <w:rPr>
          <w:rFonts w:ascii="宋体" w:hAnsi="宋体" w:eastAsia="宋体" w:cs="宋体"/>
          <w:spacing w:val="-2"/>
          <w:sz w:val="24"/>
          <w:szCs w:val="24"/>
        </w:rPr>
        <w:t>总则、现有工程概况、改扩建项目工程概况、项目工程分析、区域环境现状、环境影响</w:t>
      </w:r>
      <w:r>
        <w:rPr>
          <w:rFonts w:ascii="宋体" w:hAnsi="宋体" w:eastAsia="宋体" w:cs="宋体"/>
          <w:spacing w:val="18"/>
          <w:sz w:val="24"/>
          <w:szCs w:val="24"/>
        </w:rPr>
        <w:t xml:space="preserve"> </w:t>
      </w:r>
      <w:r>
        <w:rPr>
          <w:rFonts w:ascii="宋体" w:hAnsi="宋体" w:eastAsia="宋体" w:cs="宋体"/>
          <w:spacing w:val="-1"/>
          <w:sz w:val="24"/>
          <w:szCs w:val="24"/>
        </w:rPr>
        <w:t>预测与分析、污染防治对策及可行性分析、环境管理</w:t>
      </w:r>
      <w:r>
        <w:rPr>
          <w:rFonts w:ascii="宋体" w:hAnsi="宋体" w:eastAsia="宋体" w:cs="宋体"/>
          <w:spacing w:val="-2"/>
          <w:sz w:val="24"/>
          <w:szCs w:val="24"/>
        </w:rPr>
        <w:t>与环境监测计划、结论与建议等。</w:t>
      </w:r>
    </w:p>
    <w:p w14:paraId="7BA607D1">
      <w:pPr>
        <w:spacing w:before="40" w:line="222" w:lineRule="auto"/>
        <w:ind w:left="34"/>
        <w:outlineLvl w:val="2"/>
        <w:rPr>
          <w:rFonts w:ascii="黑体" w:hAnsi="黑体" w:eastAsia="黑体" w:cs="黑体"/>
          <w:sz w:val="30"/>
          <w:szCs w:val="30"/>
        </w:rPr>
      </w:pPr>
      <w:bookmarkStart w:id="287" w:name="bookmark46"/>
      <w:bookmarkEnd w:id="287"/>
      <w:r>
        <w:rPr>
          <w:rFonts w:ascii="Times New Roman" w:hAnsi="Times New Roman" w:eastAsia="Times New Roman" w:cs="Times New Roman"/>
          <w:spacing w:val="-4"/>
          <w:sz w:val="30"/>
          <w:szCs w:val="30"/>
        </w:rPr>
        <w:t xml:space="preserve">1.3.2 </w:t>
      </w:r>
      <w:r>
        <w:rPr>
          <w:rFonts w:ascii="黑体" w:hAnsi="黑体" w:eastAsia="黑体" w:cs="黑体"/>
          <w:spacing w:val="-4"/>
          <w:sz w:val="30"/>
          <w:szCs w:val="30"/>
        </w:rPr>
        <w:t>评价重点</w:t>
      </w:r>
    </w:p>
    <w:p w14:paraId="61918A51">
      <w:pPr>
        <w:spacing w:before="216" w:line="350" w:lineRule="auto"/>
        <w:ind w:left="11" w:firstLine="477"/>
        <w:jc w:val="both"/>
        <w:rPr>
          <w:rFonts w:ascii="宋体" w:hAnsi="宋体" w:eastAsia="宋体" w:cs="宋体"/>
          <w:sz w:val="24"/>
          <w:szCs w:val="24"/>
        </w:rPr>
      </w:pPr>
      <w:r>
        <w:rPr>
          <w:rFonts w:ascii="宋体" w:hAnsi="宋体" w:eastAsia="宋体" w:cs="宋体"/>
          <w:spacing w:val="-2"/>
          <w:sz w:val="24"/>
          <w:szCs w:val="24"/>
        </w:rPr>
        <w:t>针对本工程主要环境污染特点，本次评价在加强工程分析的基础上，确定评价重点</w:t>
      </w:r>
      <w:r>
        <w:rPr>
          <w:rFonts w:ascii="宋体" w:hAnsi="宋体" w:eastAsia="宋体" w:cs="宋体"/>
          <w:spacing w:val="16"/>
          <w:sz w:val="24"/>
          <w:szCs w:val="24"/>
        </w:rPr>
        <w:t xml:space="preserve"> </w:t>
      </w:r>
      <w:r>
        <w:rPr>
          <w:rFonts w:ascii="宋体" w:hAnsi="宋体" w:eastAsia="宋体" w:cs="宋体"/>
          <w:spacing w:val="-2"/>
          <w:sz w:val="24"/>
          <w:szCs w:val="24"/>
        </w:rPr>
        <w:t>为：环境空气、生态环境、水环境和固体废物、土壤环境评价，对噪声影响及其它评价</w:t>
      </w:r>
      <w:r>
        <w:rPr>
          <w:rFonts w:ascii="宋体" w:hAnsi="宋体" w:eastAsia="宋体" w:cs="宋体"/>
          <w:spacing w:val="17"/>
          <w:sz w:val="24"/>
          <w:szCs w:val="24"/>
        </w:rPr>
        <w:t xml:space="preserve"> </w:t>
      </w:r>
      <w:r>
        <w:rPr>
          <w:rFonts w:ascii="宋体" w:hAnsi="宋体" w:eastAsia="宋体" w:cs="宋体"/>
          <w:spacing w:val="-6"/>
          <w:sz w:val="24"/>
          <w:szCs w:val="24"/>
        </w:rPr>
        <w:t>内容进行一般性分析，同时突出污染物达标排放、生态环境恢复与治理、污染防治对策、</w:t>
      </w:r>
    </w:p>
    <w:p w14:paraId="3A363532">
      <w:pPr>
        <w:spacing w:line="350" w:lineRule="auto"/>
        <w:rPr>
          <w:rFonts w:ascii="宋体" w:hAnsi="宋体" w:eastAsia="宋体" w:cs="宋体"/>
          <w:sz w:val="24"/>
          <w:szCs w:val="24"/>
        </w:rPr>
        <w:sectPr>
          <w:headerReference r:id="rId46" w:type="default"/>
          <w:footerReference r:id="rId47" w:type="default"/>
          <w:pgSz w:w="11907" w:h="16840"/>
          <w:pgMar w:top="1178" w:right="1338" w:bottom="1038" w:left="1417" w:header="870" w:footer="876" w:gutter="0"/>
          <w:cols w:space="720" w:num="1"/>
        </w:sectPr>
      </w:pPr>
    </w:p>
    <w:p w14:paraId="2B44FBBE">
      <w:pPr>
        <w:spacing w:before="274" w:line="219" w:lineRule="auto"/>
        <w:ind w:left="20"/>
        <w:rPr>
          <w:rFonts w:ascii="宋体" w:hAnsi="宋体" w:eastAsia="宋体" w:cs="宋体"/>
          <w:sz w:val="24"/>
          <w:szCs w:val="24"/>
        </w:rPr>
      </w:pPr>
      <w:r>
        <w:pict>
          <v:shape id="_x0000_s1052" o:spid="_x0000_s1052" style="position:absolute;left:0pt;margin-left:70.85pt;margin-top:59.65pt;height:0.75pt;width:453.65pt;mso-position-horizontal-relative:page;mso-position-vertical-relative:page;z-index:25168691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spacing w:val="-1"/>
          <w:sz w:val="24"/>
          <w:szCs w:val="24"/>
        </w:rPr>
        <w:t>环境风险分析等内容。</w:t>
      </w:r>
    </w:p>
    <w:p w14:paraId="5E9D3E04">
      <w:pPr>
        <w:spacing w:before="194" w:line="227" w:lineRule="auto"/>
        <w:ind w:left="48"/>
        <w:outlineLvl w:val="1"/>
        <w:rPr>
          <w:rFonts w:ascii="黑体" w:hAnsi="黑体" w:eastAsia="黑体" w:cs="黑体"/>
          <w:sz w:val="31"/>
          <w:szCs w:val="31"/>
        </w:rPr>
      </w:pPr>
      <w:bookmarkStart w:id="288" w:name="bookmark48"/>
      <w:bookmarkEnd w:id="288"/>
      <w:r>
        <w:rPr>
          <w:rFonts w:ascii="Times New Roman" w:hAnsi="Times New Roman" w:eastAsia="Times New Roman" w:cs="Times New Roman"/>
          <w:spacing w:val="6"/>
          <w:sz w:val="31"/>
          <w:szCs w:val="31"/>
        </w:rPr>
        <w:t xml:space="preserve">1.4 </w:t>
      </w:r>
      <w:r>
        <w:rPr>
          <w:rFonts w:ascii="黑体" w:hAnsi="黑体" w:eastAsia="黑体" w:cs="黑体"/>
          <w:spacing w:val="6"/>
          <w:sz w:val="31"/>
          <w:szCs w:val="31"/>
        </w:rPr>
        <w:t>环境影响因子识别和评价因子筛选</w:t>
      </w:r>
    </w:p>
    <w:p w14:paraId="3BE36273">
      <w:pPr>
        <w:spacing w:before="229" w:line="344" w:lineRule="auto"/>
        <w:ind w:left="23" w:firstLine="477"/>
        <w:rPr>
          <w:rFonts w:ascii="宋体" w:hAnsi="宋体" w:eastAsia="宋体" w:cs="宋体"/>
          <w:sz w:val="24"/>
          <w:szCs w:val="24"/>
        </w:rPr>
      </w:pPr>
      <w:r>
        <w:rPr>
          <w:rFonts w:ascii="宋体" w:hAnsi="宋体" w:eastAsia="宋体" w:cs="宋体"/>
          <w:spacing w:val="-2"/>
          <w:sz w:val="24"/>
          <w:szCs w:val="24"/>
        </w:rPr>
        <w:t>根据项目的性质，判别项目在不同阶段对环境产生影响的因素和程度，确定项目施</w:t>
      </w:r>
      <w:r>
        <w:rPr>
          <w:rFonts w:ascii="宋体" w:hAnsi="宋体" w:eastAsia="宋体" w:cs="宋体"/>
          <w:spacing w:val="16"/>
          <w:sz w:val="24"/>
          <w:szCs w:val="24"/>
        </w:rPr>
        <w:t xml:space="preserve"> </w:t>
      </w:r>
      <w:r>
        <w:rPr>
          <w:rFonts w:ascii="宋体" w:hAnsi="宋体" w:eastAsia="宋体" w:cs="宋体"/>
          <w:spacing w:val="-6"/>
          <w:sz w:val="24"/>
          <w:szCs w:val="24"/>
        </w:rPr>
        <w:t>工期和运行期可能产生的主要环境问题，并筛选出主要评价因子，为预测评价提供依据。</w:t>
      </w:r>
    </w:p>
    <w:p w14:paraId="7A720F04">
      <w:pPr>
        <w:spacing w:before="200" w:line="220" w:lineRule="auto"/>
        <w:ind w:left="29"/>
        <w:outlineLvl w:val="2"/>
        <w:rPr>
          <w:rFonts w:ascii="宋体" w:hAnsi="宋体" w:eastAsia="宋体" w:cs="宋体"/>
          <w:sz w:val="28"/>
          <w:szCs w:val="28"/>
        </w:rPr>
      </w:pPr>
      <w:bookmarkStart w:id="289" w:name="bookmark50"/>
      <w:bookmarkEnd w:id="289"/>
      <w:r>
        <w:rPr>
          <w:rFonts w:ascii="Times New Roman" w:hAnsi="Times New Roman" w:eastAsia="Times New Roman" w:cs="Times New Roman"/>
          <w:b/>
          <w:bCs/>
          <w:spacing w:val="-3"/>
          <w:sz w:val="28"/>
          <w:szCs w:val="28"/>
        </w:rPr>
        <w:t xml:space="preserve">1.4.1 </w:t>
      </w:r>
      <w:r>
        <w:rPr>
          <w:rFonts w:ascii="宋体" w:hAnsi="宋体" w:eastAsia="宋体" w:cs="宋体"/>
          <w:b/>
          <w:bCs/>
          <w:spacing w:val="-3"/>
          <w:sz w:val="28"/>
          <w:szCs w:val="28"/>
        </w:rPr>
        <w:t>工程排污特征分析</w:t>
      </w:r>
    </w:p>
    <w:p w14:paraId="4ED00E67">
      <w:pPr>
        <w:pStyle w:val="2"/>
        <w:spacing w:line="278" w:lineRule="auto"/>
      </w:pPr>
    </w:p>
    <w:p w14:paraId="731235D1">
      <w:pPr>
        <w:spacing w:before="78" w:line="219" w:lineRule="auto"/>
        <w:ind w:left="501"/>
        <w:rPr>
          <w:rFonts w:ascii="宋体" w:hAnsi="宋体" w:eastAsia="宋体" w:cs="宋体"/>
          <w:sz w:val="24"/>
          <w:szCs w:val="24"/>
        </w:rPr>
      </w:pPr>
      <w:r>
        <w:rPr>
          <w:rFonts w:ascii="宋体" w:hAnsi="宋体" w:eastAsia="宋体" w:cs="宋体"/>
          <w:spacing w:val="-2"/>
          <w:sz w:val="24"/>
          <w:szCs w:val="24"/>
        </w:rPr>
        <w:t>本项目的主要污染特征分析见表</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1.4-1</w:t>
      </w:r>
      <w:r>
        <w:rPr>
          <w:rFonts w:ascii="宋体" w:hAnsi="宋体" w:eastAsia="宋体" w:cs="宋体"/>
          <w:spacing w:val="-2"/>
          <w:sz w:val="24"/>
          <w:szCs w:val="24"/>
        </w:rPr>
        <w:t>。</w:t>
      </w:r>
    </w:p>
    <w:p w14:paraId="4AEE52B0">
      <w:pPr>
        <w:spacing w:before="180" w:line="228" w:lineRule="auto"/>
        <w:ind w:left="2413"/>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2"/>
          <w:sz w:val="20"/>
          <w:szCs w:val="20"/>
        </w:rPr>
        <w:t xml:space="preserve"> </w:t>
      </w:r>
      <w:r>
        <w:rPr>
          <w:rFonts w:ascii="Times New Roman" w:hAnsi="Times New Roman" w:eastAsia="Times New Roman" w:cs="Times New Roman"/>
          <w:b/>
          <w:bCs/>
          <w:spacing w:val="5"/>
          <w:sz w:val="20"/>
          <w:szCs w:val="20"/>
        </w:rPr>
        <w:t xml:space="preserve">1.4-1        </w:t>
      </w:r>
      <w:r>
        <w:rPr>
          <w:rFonts w:ascii="宋体" w:hAnsi="宋体" w:eastAsia="宋体" w:cs="宋体"/>
          <w:b/>
          <w:bCs/>
          <w:spacing w:val="5"/>
          <w:sz w:val="20"/>
          <w:szCs w:val="20"/>
        </w:rPr>
        <w:t>项目各污染源主要污染因子一览表</w:t>
      </w:r>
    </w:p>
    <w:p w14:paraId="03870D1E">
      <w:pPr>
        <w:spacing w:line="130" w:lineRule="exact"/>
      </w:pPr>
    </w:p>
    <w:tbl>
      <w:tblPr>
        <w:tblStyle w:val="5"/>
        <w:tblW w:w="909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22"/>
        <w:gridCol w:w="2165"/>
        <w:gridCol w:w="3124"/>
        <w:gridCol w:w="3384"/>
      </w:tblGrid>
      <w:tr w14:paraId="475EC6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trPr>
        <w:tc>
          <w:tcPr>
            <w:tcW w:w="422" w:type="dxa"/>
            <w:tcBorders>
              <w:top w:val="single" w:color="000000" w:sz="10" w:space="0"/>
              <w:left w:val="nil"/>
            </w:tcBorders>
            <w:vAlign w:val="top"/>
          </w:tcPr>
          <w:p w14:paraId="5D1BF541">
            <w:pPr>
              <w:pStyle w:val="6"/>
              <w:spacing w:before="76" w:line="219" w:lineRule="auto"/>
              <w:ind w:left="37"/>
              <w:rPr>
                <w:sz w:val="18"/>
                <w:szCs w:val="18"/>
              </w:rPr>
            </w:pPr>
            <w:r>
              <w:rPr>
                <w:b/>
                <w:bCs/>
                <w:spacing w:val="-6"/>
                <w:sz w:val="18"/>
                <w:szCs w:val="18"/>
              </w:rPr>
              <w:t>类别</w:t>
            </w:r>
          </w:p>
        </w:tc>
        <w:tc>
          <w:tcPr>
            <w:tcW w:w="2165" w:type="dxa"/>
            <w:tcBorders>
              <w:top w:val="single" w:color="000000" w:sz="10" w:space="0"/>
            </w:tcBorders>
            <w:vAlign w:val="top"/>
          </w:tcPr>
          <w:p w14:paraId="4186AD46">
            <w:pPr>
              <w:pStyle w:val="6"/>
              <w:spacing w:before="75" w:line="220" w:lineRule="auto"/>
              <w:ind w:left="636"/>
              <w:rPr>
                <w:sz w:val="18"/>
                <w:szCs w:val="18"/>
              </w:rPr>
            </w:pPr>
            <w:r>
              <w:rPr>
                <w:b/>
                <w:bCs/>
                <w:spacing w:val="-4"/>
                <w:sz w:val="18"/>
                <w:szCs w:val="18"/>
              </w:rPr>
              <w:t>污染源名称</w:t>
            </w:r>
          </w:p>
        </w:tc>
        <w:tc>
          <w:tcPr>
            <w:tcW w:w="3124" w:type="dxa"/>
            <w:tcBorders>
              <w:top w:val="single" w:color="000000" w:sz="10" w:space="0"/>
            </w:tcBorders>
            <w:vAlign w:val="top"/>
          </w:tcPr>
          <w:p w14:paraId="15C55B75">
            <w:pPr>
              <w:pStyle w:val="6"/>
              <w:spacing w:before="76" w:line="219" w:lineRule="auto"/>
              <w:ind w:left="1206"/>
              <w:rPr>
                <w:sz w:val="18"/>
                <w:szCs w:val="18"/>
              </w:rPr>
            </w:pPr>
            <w:r>
              <w:rPr>
                <w:b/>
                <w:bCs/>
                <w:spacing w:val="-4"/>
                <w:sz w:val="18"/>
                <w:szCs w:val="18"/>
              </w:rPr>
              <w:t>产生位置</w:t>
            </w:r>
          </w:p>
        </w:tc>
        <w:tc>
          <w:tcPr>
            <w:tcW w:w="3384" w:type="dxa"/>
            <w:tcBorders>
              <w:top w:val="single" w:color="000000" w:sz="10" w:space="0"/>
              <w:right w:val="nil"/>
            </w:tcBorders>
            <w:vAlign w:val="top"/>
          </w:tcPr>
          <w:p w14:paraId="2F56F1C8">
            <w:pPr>
              <w:pStyle w:val="6"/>
              <w:spacing w:before="75" w:line="220" w:lineRule="auto"/>
              <w:ind w:left="1246"/>
              <w:rPr>
                <w:sz w:val="18"/>
                <w:szCs w:val="18"/>
              </w:rPr>
            </w:pPr>
            <w:r>
              <w:rPr>
                <w:b/>
                <w:bCs/>
                <w:spacing w:val="-4"/>
                <w:sz w:val="18"/>
                <w:szCs w:val="18"/>
              </w:rPr>
              <w:t>主要污染物</w:t>
            </w:r>
          </w:p>
        </w:tc>
      </w:tr>
      <w:tr w14:paraId="59FAC4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trPr>
        <w:tc>
          <w:tcPr>
            <w:tcW w:w="422" w:type="dxa"/>
            <w:tcBorders>
              <w:left w:val="nil"/>
              <w:bottom w:val="nil"/>
            </w:tcBorders>
            <w:vAlign w:val="top"/>
          </w:tcPr>
          <w:p w14:paraId="523782FC">
            <w:pPr>
              <w:rPr>
                <w:rFonts w:ascii="Arial"/>
                <w:sz w:val="21"/>
              </w:rPr>
            </w:pPr>
          </w:p>
        </w:tc>
        <w:tc>
          <w:tcPr>
            <w:tcW w:w="2165" w:type="dxa"/>
            <w:vAlign w:val="top"/>
          </w:tcPr>
          <w:p w14:paraId="168A67EF">
            <w:pPr>
              <w:pStyle w:val="6"/>
              <w:spacing w:before="68" w:line="219" w:lineRule="auto"/>
              <w:ind w:left="97"/>
              <w:rPr>
                <w:sz w:val="18"/>
                <w:szCs w:val="18"/>
              </w:rPr>
            </w:pPr>
            <w:r>
              <w:rPr>
                <w:spacing w:val="-1"/>
                <w:sz w:val="18"/>
                <w:szCs w:val="18"/>
              </w:rPr>
              <w:t>焦炭烘干、筛分出料废气</w:t>
            </w:r>
          </w:p>
        </w:tc>
        <w:tc>
          <w:tcPr>
            <w:tcW w:w="3124" w:type="dxa"/>
            <w:vAlign w:val="top"/>
          </w:tcPr>
          <w:p w14:paraId="148F39CF">
            <w:pPr>
              <w:pStyle w:val="6"/>
              <w:spacing w:before="68" w:line="219" w:lineRule="auto"/>
              <w:ind w:left="581"/>
              <w:rPr>
                <w:sz w:val="18"/>
                <w:szCs w:val="18"/>
              </w:rPr>
            </w:pPr>
            <w:r>
              <w:rPr>
                <w:spacing w:val="-2"/>
                <w:sz w:val="18"/>
                <w:szCs w:val="18"/>
              </w:rPr>
              <w:t>原料烘干车间焦炭烘干机</w:t>
            </w:r>
          </w:p>
        </w:tc>
        <w:tc>
          <w:tcPr>
            <w:tcW w:w="3384" w:type="dxa"/>
            <w:tcBorders>
              <w:right w:val="nil"/>
            </w:tcBorders>
            <w:vAlign w:val="top"/>
          </w:tcPr>
          <w:p w14:paraId="021E1F9E">
            <w:pPr>
              <w:pStyle w:val="6"/>
              <w:spacing w:before="73" w:line="220" w:lineRule="auto"/>
              <w:ind w:left="944"/>
              <w:rPr>
                <w:rFonts w:ascii="Times New Roman" w:hAnsi="Times New Roman" w:eastAsia="Times New Roman" w:cs="Times New Roman"/>
                <w:sz w:val="11"/>
                <w:szCs w:val="11"/>
              </w:rPr>
            </w:pPr>
            <w:r>
              <w:rPr>
                <w:spacing w:val="-3"/>
                <w:sz w:val="18"/>
                <w:szCs w:val="18"/>
              </w:rPr>
              <w:t>颗粒物、</w:t>
            </w: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r>
              <w:rPr>
                <w:rFonts w:ascii="Times New Roman" w:hAnsi="Times New Roman" w:eastAsia="Times New Roman" w:cs="Times New Roman"/>
                <w:spacing w:val="2"/>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NO</w:t>
            </w:r>
            <w:r>
              <w:rPr>
                <w:rFonts w:ascii="Times New Roman" w:hAnsi="Times New Roman" w:eastAsia="Times New Roman" w:cs="Times New Roman"/>
                <w:spacing w:val="-3"/>
                <w:position w:val="-1"/>
                <w:sz w:val="11"/>
                <w:szCs w:val="11"/>
              </w:rPr>
              <w:t>x</w:t>
            </w:r>
          </w:p>
        </w:tc>
      </w:tr>
      <w:tr w14:paraId="79D439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trPr>
        <w:tc>
          <w:tcPr>
            <w:tcW w:w="422" w:type="dxa"/>
            <w:tcBorders>
              <w:top w:val="nil"/>
              <w:left w:val="nil"/>
              <w:bottom w:val="nil"/>
            </w:tcBorders>
            <w:vAlign w:val="top"/>
          </w:tcPr>
          <w:p w14:paraId="66E1B4C5">
            <w:pPr>
              <w:rPr>
                <w:rFonts w:ascii="Arial"/>
                <w:sz w:val="21"/>
              </w:rPr>
            </w:pPr>
          </w:p>
        </w:tc>
        <w:tc>
          <w:tcPr>
            <w:tcW w:w="2165" w:type="dxa"/>
            <w:vAlign w:val="top"/>
          </w:tcPr>
          <w:p w14:paraId="2F0F3551">
            <w:pPr>
              <w:pStyle w:val="6"/>
              <w:spacing w:before="69" w:line="219" w:lineRule="auto"/>
              <w:ind w:left="186"/>
              <w:rPr>
                <w:sz w:val="18"/>
                <w:szCs w:val="18"/>
              </w:rPr>
            </w:pPr>
            <w:r>
              <w:rPr>
                <w:spacing w:val="-1"/>
                <w:sz w:val="18"/>
                <w:szCs w:val="18"/>
              </w:rPr>
              <w:t>锰矿石烘干、出料废气</w:t>
            </w:r>
          </w:p>
        </w:tc>
        <w:tc>
          <w:tcPr>
            <w:tcW w:w="3124" w:type="dxa"/>
            <w:vAlign w:val="top"/>
          </w:tcPr>
          <w:p w14:paraId="70CC4DBF">
            <w:pPr>
              <w:pStyle w:val="6"/>
              <w:spacing w:before="69" w:line="219" w:lineRule="auto"/>
              <w:ind w:left="490"/>
              <w:rPr>
                <w:sz w:val="18"/>
                <w:szCs w:val="18"/>
              </w:rPr>
            </w:pPr>
            <w:r>
              <w:rPr>
                <w:spacing w:val="-1"/>
                <w:sz w:val="18"/>
                <w:szCs w:val="18"/>
              </w:rPr>
              <w:t>原料烘干车间锰矿石烘干机</w:t>
            </w:r>
          </w:p>
        </w:tc>
        <w:tc>
          <w:tcPr>
            <w:tcW w:w="3384" w:type="dxa"/>
            <w:tcBorders>
              <w:right w:val="nil"/>
            </w:tcBorders>
            <w:vAlign w:val="top"/>
          </w:tcPr>
          <w:p w14:paraId="42BD6C31">
            <w:pPr>
              <w:pStyle w:val="6"/>
              <w:spacing w:before="74" w:line="220" w:lineRule="auto"/>
              <w:ind w:left="1426"/>
              <w:rPr>
                <w:sz w:val="18"/>
                <w:szCs w:val="18"/>
              </w:rPr>
            </w:pPr>
            <w:r>
              <w:rPr>
                <w:spacing w:val="-3"/>
                <w:sz w:val="18"/>
                <w:szCs w:val="18"/>
              </w:rPr>
              <w:t>颗粒物</w:t>
            </w:r>
          </w:p>
        </w:tc>
      </w:tr>
      <w:tr w14:paraId="2B61C7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trPr>
        <w:tc>
          <w:tcPr>
            <w:tcW w:w="422" w:type="dxa"/>
            <w:tcBorders>
              <w:top w:val="nil"/>
              <w:left w:val="nil"/>
              <w:bottom w:val="nil"/>
            </w:tcBorders>
            <w:vAlign w:val="top"/>
          </w:tcPr>
          <w:p w14:paraId="59253DD4">
            <w:pPr>
              <w:rPr>
                <w:rFonts w:ascii="Arial"/>
                <w:sz w:val="21"/>
              </w:rPr>
            </w:pPr>
          </w:p>
        </w:tc>
        <w:tc>
          <w:tcPr>
            <w:tcW w:w="2165" w:type="dxa"/>
            <w:vAlign w:val="top"/>
          </w:tcPr>
          <w:p w14:paraId="6684E3D8">
            <w:pPr>
              <w:pStyle w:val="6"/>
              <w:spacing w:before="75" w:line="219" w:lineRule="auto"/>
              <w:ind w:left="456"/>
              <w:rPr>
                <w:sz w:val="18"/>
                <w:szCs w:val="18"/>
              </w:rPr>
            </w:pPr>
            <w:r>
              <w:rPr>
                <w:spacing w:val="-1"/>
                <w:sz w:val="18"/>
                <w:szCs w:val="18"/>
              </w:rPr>
              <w:t>烧结配料站粉尘</w:t>
            </w:r>
          </w:p>
        </w:tc>
        <w:tc>
          <w:tcPr>
            <w:tcW w:w="3124" w:type="dxa"/>
            <w:vAlign w:val="top"/>
          </w:tcPr>
          <w:p w14:paraId="76325BA5">
            <w:pPr>
              <w:pStyle w:val="6"/>
              <w:spacing w:before="75" w:line="219" w:lineRule="auto"/>
              <w:ind w:left="756"/>
              <w:rPr>
                <w:sz w:val="18"/>
                <w:szCs w:val="18"/>
              </w:rPr>
            </w:pPr>
            <w:r>
              <w:rPr>
                <w:spacing w:val="-1"/>
                <w:sz w:val="18"/>
                <w:szCs w:val="18"/>
              </w:rPr>
              <w:t>烧结系统烧结机配料</w:t>
            </w:r>
          </w:p>
        </w:tc>
        <w:tc>
          <w:tcPr>
            <w:tcW w:w="3384" w:type="dxa"/>
            <w:tcBorders>
              <w:right w:val="nil"/>
            </w:tcBorders>
            <w:vAlign w:val="top"/>
          </w:tcPr>
          <w:p w14:paraId="6353A8BE">
            <w:pPr>
              <w:pStyle w:val="6"/>
              <w:spacing w:before="75" w:line="220" w:lineRule="auto"/>
              <w:ind w:left="795"/>
              <w:rPr>
                <w:sz w:val="18"/>
                <w:szCs w:val="18"/>
              </w:rPr>
            </w:pPr>
            <w:r>
              <w:rPr>
                <w:spacing w:val="-1"/>
                <w:sz w:val="18"/>
                <w:szCs w:val="18"/>
              </w:rPr>
              <w:t>颗粒物、锰及其化合物</w:t>
            </w:r>
          </w:p>
        </w:tc>
      </w:tr>
      <w:tr w14:paraId="5BC93D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trPr>
        <w:tc>
          <w:tcPr>
            <w:tcW w:w="422" w:type="dxa"/>
            <w:tcBorders>
              <w:top w:val="nil"/>
              <w:left w:val="nil"/>
              <w:bottom w:val="nil"/>
            </w:tcBorders>
            <w:vAlign w:val="top"/>
          </w:tcPr>
          <w:p w14:paraId="2C235AF7">
            <w:pPr>
              <w:rPr>
                <w:rFonts w:ascii="Arial"/>
                <w:sz w:val="21"/>
              </w:rPr>
            </w:pPr>
          </w:p>
        </w:tc>
        <w:tc>
          <w:tcPr>
            <w:tcW w:w="2165" w:type="dxa"/>
            <w:vAlign w:val="top"/>
          </w:tcPr>
          <w:p w14:paraId="1AC8233A">
            <w:pPr>
              <w:pStyle w:val="6"/>
              <w:spacing w:before="76" w:line="219" w:lineRule="auto"/>
              <w:ind w:left="545"/>
              <w:rPr>
                <w:sz w:val="18"/>
                <w:szCs w:val="18"/>
              </w:rPr>
            </w:pPr>
            <w:r>
              <w:rPr>
                <w:spacing w:val="-2"/>
                <w:sz w:val="18"/>
                <w:szCs w:val="18"/>
              </w:rPr>
              <w:t>烧结机头废气</w:t>
            </w:r>
          </w:p>
        </w:tc>
        <w:tc>
          <w:tcPr>
            <w:tcW w:w="3124" w:type="dxa"/>
            <w:vAlign w:val="top"/>
          </w:tcPr>
          <w:p w14:paraId="1357C99A">
            <w:pPr>
              <w:pStyle w:val="6"/>
              <w:spacing w:before="76" w:line="219" w:lineRule="auto"/>
              <w:ind w:left="36"/>
              <w:rPr>
                <w:sz w:val="18"/>
                <w:szCs w:val="18"/>
              </w:rPr>
            </w:pPr>
            <w:r>
              <w:rPr>
                <w:spacing w:val="-1"/>
                <w:sz w:val="18"/>
                <w:szCs w:val="18"/>
              </w:rPr>
              <w:t>烧结系统烧结机烧结过程及烧结矿冷却</w:t>
            </w:r>
          </w:p>
        </w:tc>
        <w:tc>
          <w:tcPr>
            <w:tcW w:w="3384" w:type="dxa"/>
            <w:tcBorders>
              <w:right w:val="nil"/>
            </w:tcBorders>
            <w:vAlign w:val="top"/>
          </w:tcPr>
          <w:p w14:paraId="1010006D">
            <w:pPr>
              <w:pStyle w:val="6"/>
              <w:spacing w:before="76" w:line="220" w:lineRule="auto"/>
              <w:ind w:left="313"/>
              <w:rPr>
                <w:rFonts w:ascii="Times New Roman" w:hAnsi="Times New Roman" w:eastAsia="Times New Roman" w:cs="Times New Roman"/>
                <w:sz w:val="11"/>
                <w:szCs w:val="11"/>
              </w:rPr>
            </w:pPr>
            <w:r>
              <w:rPr>
                <w:spacing w:val="-2"/>
                <w:sz w:val="18"/>
                <w:szCs w:val="18"/>
              </w:rPr>
              <w:t>颗粒物、锰及其化合物、</w:t>
            </w:r>
            <w:r>
              <w:rPr>
                <w:rFonts w:ascii="Times New Roman" w:hAnsi="Times New Roman" w:eastAsia="Times New Roman" w:cs="Times New Roman"/>
                <w:spacing w:val="-2"/>
                <w:sz w:val="18"/>
                <w:szCs w:val="18"/>
              </w:rPr>
              <w:t>SO</w:t>
            </w:r>
            <w:r>
              <w:rPr>
                <w:rFonts w:ascii="Times New Roman" w:hAnsi="Times New Roman" w:eastAsia="Times New Roman" w:cs="Times New Roman"/>
                <w:spacing w:val="-2"/>
                <w:position w:val="-1"/>
                <w:sz w:val="11"/>
                <w:szCs w:val="11"/>
              </w:rPr>
              <w:t>2</w:t>
            </w:r>
            <w:r>
              <w:rPr>
                <w:rFonts w:ascii="Times New Roman" w:hAnsi="Times New Roman" w:eastAsia="Times New Roman" w:cs="Times New Roman"/>
                <w:spacing w:val="5"/>
                <w:position w:val="-1"/>
                <w:sz w:val="11"/>
                <w:szCs w:val="11"/>
              </w:rPr>
              <w:t xml:space="preserve"> </w:t>
            </w:r>
            <w:r>
              <w:rPr>
                <w:spacing w:val="-2"/>
                <w:sz w:val="18"/>
                <w:szCs w:val="18"/>
              </w:rPr>
              <w:t>、</w:t>
            </w:r>
            <w:r>
              <w:rPr>
                <w:rFonts w:ascii="Times New Roman" w:hAnsi="Times New Roman" w:eastAsia="Times New Roman" w:cs="Times New Roman"/>
                <w:spacing w:val="-2"/>
                <w:sz w:val="18"/>
                <w:szCs w:val="18"/>
              </w:rPr>
              <w:t>NO</w:t>
            </w:r>
            <w:r>
              <w:rPr>
                <w:rFonts w:ascii="Times New Roman" w:hAnsi="Times New Roman" w:eastAsia="Times New Roman" w:cs="Times New Roman"/>
                <w:spacing w:val="-2"/>
                <w:position w:val="-1"/>
                <w:sz w:val="11"/>
                <w:szCs w:val="11"/>
              </w:rPr>
              <w:t>x</w:t>
            </w:r>
          </w:p>
        </w:tc>
      </w:tr>
      <w:tr w14:paraId="0EF84D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1" w:hRule="atLeast"/>
        </w:trPr>
        <w:tc>
          <w:tcPr>
            <w:tcW w:w="422" w:type="dxa"/>
            <w:tcBorders>
              <w:top w:val="nil"/>
              <w:left w:val="nil"/>
              <w:bottom w:val="nil"/>
            </w:tcBorders>
            <w:vAlign w:val="top"/>
          </w:tcPr>
          <w:p w14:paraId="10E3DE47">
            <w:pPr>
              <w:rPr>
                <w:rFonts w:ascii="Arial"/>
                <w:sz w:val="21"/>
              </w:rPr>
            </w:pPr>
          </w:p>
        </w:tc>
        <w:tc>
          <w:tcPr>
            <w:tcW w:w="2165" w:type="dxa"/>
            <w:vAlign w:val="top"/>
          </w:tcPr>
          <w:p w14:paraId="252AC643">
            <w:pPr>
              <w:pStyle w:val="6"/>
              <w:spacing w:before="180" w:line="219" w:lineRule="auto"/>
              <w:ind w:left="545"/>
              <w:rPr>
                <w:sz w:val="18"/>
                <w:szCs w:val="18"/>
              </w:rPr>
            </w:pPr>
            <w:r>
              <w:rPr>
                <w:spacing w:val="-2"/>
                <w:sz w:val="18"/>
                <w:szCs w:val="18"/>
              </w:rPr>
              <w:t>烧结机尾粉尘</w:t>
            </w:r>
          </w:p>
        </w:tc>
        <w:tc>
          <w:tcPr>
            <w:tcW w:w="3124" w:type="dxa"/>
            <w:vAlign w:val="top"/>
          </w:tcPr>
          <w:p w14:paraId="1CA9C2B7">
            <w:pPr>
              <w:pStyle w:val="6"/>
              <w:spacing w:before="60" w:line="226" w:lineRule="auto"/>
              <w:ind w:left="1206" w:right="28" w:hanging="1170"/>
              <w:rPr>
                <w:sz w:val="18"/>
                <w:szCs w:val="18"/>
              </w:rPr>
            </w:pPr>
            <w:r>
              <w:rPr>
                <w:spacing w:val="-1"/>
                <w:sz w:val="18"/>
                <w:szCs w:val="18"/>
              </w:rPr>
              <w:t>烧结系统烧结机头部、尾部与冷却段的</w:t>
            </w:r>
            <w:r>
              <w:rPr>
                <w:spacing w:val="9"/>
                <w:sz w:val="18"/>
                <w:szCs w:val="18"/>
              </w:rPr>
              <w:t xml:space="preserve"> </w:t>
            </w:r>
            <w:r>
              <w:rPr>
                <w:spacing w:val="-2"/>
                <w:sz w:val="18"/>
                <w:szCs w:val="18"/>
              </w:rPr>
              <w:t>给、卸料</w:t>
            </w:r>
          </w:p>
        </w:tc>
        <w:tc>
          <w:tcPr>
            <w:tcW w:w="3384" w:type="dxa"/>
            <w:tcBorders>
              <w:right w:val="nil"/>
            </w:tcBorders>
            <w:vAlign w:val="top"/>
          </w:tcPr>
          <w:p w14:paraId="63EE6877">
            <w:pPr>
              <w:pStyle w:val="6"/>
              <w:spacing w:before="180" w:line="220" w:lineRule="auto"/>
              <w:ind w:left="795"/>
              <w:rPr>
                <w:sz w:val="18"/>
                <w:szCs w:val="18"/>
              </w:rPr>
            </w:pPr>
            <w:r>
              <w:rPr>
                <w:spacing w:val="-1"/>
                <w:sz w:val="18"/>
                <w:szCs w:val="18"/>
              </w:rPr>
              <w:t>颗粒物、锰及其化合物</w:t>
            </w:r>
          </w:p>
        </w:tc>
      </w:tr>
      <w:tr w14:paraId="4D819A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422" w:type="dxa"/>
            <w:tcBorders>
              <w:top w:val="nil"/>
              <w:left w:val="nil"/>
              <w:bottom w:val="nil"/>
            </w:tcBorders>
            <w:vAlign w:val="top"/>
          </w:tcPr>
          <w:p w14:paraId="532A5CEB">
            <w:pPr>
              <w:rPr>
                <w:rFonts w:ascii="Arial"/>
                <w:sz w:val="21"/>
              </w:rPr>
            </w:pPr>
          </w:p>
        </w:tc>
        <w:tc>
          <w:tcPr>
            <w:tcW w:w="2165" w:type="dxa"/>
            <w:vAlign w:val="top"/>
          </w:tcPr>
          <w:p w14:paraId="54C07366">
            <w:pPr>
              <w:pStyle w:val="6"/>
              <w:spacing w:before="70" w:line="214" w:lineRule="auto"/>
              <w:ind w:left="366"/>
              <w:rPr>
                <w:sz w:val="18"/>
                <w:szCs w:val="18"/>
              </w:rPr>
            </w:pPr>
            <w:r>
              <w:rPr>
                <w:spacing w:val="-1"/>
                <w:sz w:val="18"/>
                <w:szCs w:val="18"/>
              </w:rPr>
              <w:t>锰硅电炉配料粉尘</w:t>
            </w:r>
          </w:p>
        </w:tc>
        <w:tc>
          <w:tcPr>
            <w:tcW w:w="3124" w:type="dxa"/>
            <w:vAlign w:val="top"/>
          </w:tcPr>
          <w:p w14:paraId="151E1B01">
            <w:pPr>
              <w:pStyle w:val="6"/>
              <w:spacing w:before="70" w:line="214" w:lineRule="auto"/>
              <w:ind w:left="867"/>
              <w:rPr>
                <w:sz w:val="18"/>
                <w:szCs w:val="18"/>
              </w:rPr>
            </w:pPr>
            <w:r>
              <w:rPr>
                <w:spacing w:val="-4"/>
                <w:sz w:val="18"/>
                <w:szCs w:val="18"/>
              </w:rPr>
              <w:t>电炉车间电炉配料</w:t>
            </w:r>
          </w:p>
        </w:tc>
        <w:tc>
          <w:tcPr>
            <w:tcW w:w="3384" w:type="dxa"/>
            <w:tcBorders>
              <w:right w:val="nil"/>
            </w:tcBorders>
            <w:vAlign w:val="top"/>
          </w:tcPr>
          <w:p w14:paraId="08EF48CF">
            <w:pPr>
              <w:pStyle w:val="6"/>
              <w:spacing w:before="70" w:line="214" w:lineRule="auto"/>
              <w:ind w:left="795"/>
              <w:rPr>
                <w:sz w:val="18"/>
                <w:szCs w:val="18"/>
              </w:rPr>
            </w:pPr>
            <w:r>
              <w:rPr>
                <w:spacing w:val="-1"/>
                <w:sz w:val="18"/>
                <w:szCs w:val="18"/>
              </w:rPr>
              <w:t>颗粒物、锰及其化合物</w:t>
            </w:r>
          </w:p>
        </w:tc>
      </w:tr>
      <w:tr w14:paraId="58A7D2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422" w:type="dxa"/>
            <w:tcBorders>
              <w:top w:val="nil"/>
              <w:left w:val="nil"/>
              <w:bottom w:val="nil"/>
            </w:tcBorders>
            <w:vAlign w:val="top"/>
          </w:tcPr>
          <w:p w14:paraId="1FB690BB">
            <w:pPr>
              <w:rPr>
                <w:rFonts w:ascii="Arial"/>
                <w:sz w:val="21"/>
              </w:rPr>
            </w:pPr>
          </w:p>
        </w:tc>
        <w:tc>
          <w:tcPr>
            <w:tcW w:w="2165" w:type="dxa"/>
            <w:vAlign w:val="top"/>
          </w:tcPr>
          <w:p w14:paraId="660CD16B">
            <w:pPr>
              <w:pStyle w:val="6"/>
              <w:spacing w:before="86" w:line="219" w:lineRule="auto"/>
              <w:ind w:left="366"/>
              <w:rPr>
                <w:sz w:val="18"/>
                <w:szCs w:val="18"/>
              </w:rPr>
            </w:pPr>
            <w:r>
              <w:rPr>
                <w:spacing w:val="-1"/>
                <w:sz w:val="18"/>
                <w:szCs w:val="18"/>
              </w:rPr>
              <w:t>锰硅电炉加料粉尘</w:t>
            </w:r>
          </w:p>
        </w:tc>
        <w:tc>
          <w:tcPr>
            <w:tcW w:w="3124" w:type="dxa"/>
            <w:vAlign w:val="top"/>
          </w:tcPr>
          <w:p w14:paraId="17D22230">
            <w:pPr>
              <w:pStyle w:val="6"/>
              <w:spacing w:before="86" w:line="219" w:lineRule="auto"/>
              <w:ind w:left="867"/>
              <w:rPr>
                <w:sz w:val="18"/>
                <w:szCs w:val="18"/>
              </w:rPr>
            </w:pPr>
            <w:r>
              <w:rPr>
                <w:spacing w:val="-4"/>
                <w:sz w:val="18"/>
                <w:szCs w:val="18"/>
              </w:rPr>
              <w:t>电炉车间电炉加料</w:t>
            </w:r>
          </w:p>
        </w:tc>
        <w:tc>
          <w:tcPr>
            <w:tcW w:w="3384" w:type="dxa"/>
            <w:tcBorders>
              <w:right w:val="nil"/>
            </w:tcBorders>
            <w:vAlign w:val="top"/>
          </w:tcPr>
          <w:p w14:paraId="39EF684F">
            <w:pPr>
              <w:pStyle w:val="6"/>
              <w:spacing w:before="85" w:line="220" w:lineRule="auto"/>
              <w:ind w:left="795"/>
              <w:rPr>
                <w:sz w:val="18"/>
                <w:szCs w:val="18"/>
              </w:rPr>
            </w:pPr>
            <w:r>
              <w:rPr>
                <w:spacing w:val="-1"/>
                <w:sz w:val="18"/>
                <w:szCs w:val="18"/>
              </w:rPr>
              <w:t>颗粒物、锰及其化合物</w:t>
            </w:r>
          </w:p>
        </w:tc>
      </w:tr>
      <w:tr w14:paraId="596908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1" w:hRule="atLeast"/>
        </w:trPr>
        <w:tc>
          <w:tcPr>
            <w:tcW w:w="422" w:type="dxa"/>
            <w:tcBorders>
              <w:top w:val="nil"/>
              <w:left w:val="nil"/>
              <w:bottom w:val="nil"/>
            </w:tcBorders>
            <w:vAlign w:val="top"/>
          </w:tcPr>
          <w:p w14:paraId="2B6D11DD">
            <w:pPr>
              <w:pStyle w:val="6"/>
              <w:spacing w:before="280" w:line="220" w:lineRule="auto"/>
              <w:ind w:left="36"/>
              <w:rPr>
                <w:sz w:val="18"/>
                <w:szCs w:val="18"/>
              </w:rPr>
            </w:pPr>
            <w:r>
              <w:rPr>
                <w:spacing w:val="-4"/>
                <w:sz w:val="18"/>
                <w:szCs w:val="18"/>
              </w:rPr>
              <w:t>废气</w:t>
            </w:r>
          </w:p>
        </w:tc>
        <w:tc>
          <w:tcPr>
            <w:tcW w:w="2165" w:type="dxa"/>
            <w:vAlign w:val="top"/>
          </w:tcPr>
          <w:p w14:paraId="49FDA25D">
            <w:pPr>
              <w:pStyle w:val="6"/>
              <w:spacing w:before="198" w:line="220" w:lineRule="auto"/>
              <w:ind w:left="97"/>
              <w:rPr>
                <w:sz w:val="18"/>
                <w:szCs w:val="18"/>
              </w:rPr>
            </w:pPr>
            <w:r>
              <w:rPr>
                <w:spacing w:val="-1"/>
                <w:sz w:val="18"/>
                <w:szCs w:val="18"/>
              </w:rPr>
              <w:t>锰硅出铁出渣及浇铸烟气</w:t>
            </w:r>
          </w:p>
        </w:tc>
        <w:tc>
          <w:tcPr>
            <w:tcW w:w="3124" w:type="dxa"/>
            <w:vAlign w:val="top"/>
          </w:tcPr>
          <w:p w14:paraId="570A3B14">
            <w:pPr>
              <w:pStyle w:val="6"/>
              <w:spacing w:before="78" w:line="232" w:lineRule="auto"/>
              <w:ind w:left="1117" w:right="28" w:hanging="1059"/>
              <w:rPr>
                <w:sz w:val="18"/>
                <w:szCs w:val="18"/>
              </w:rPr>
            </w:pPr>
            <w:r>
              <w:rPr>
                <w:spacing w:val="-2"/>
                <w:sz w:val="18"/>
                <w:szCs w:val="18"/>
              </w:rPr>
              <w:t>电炉车间硅锰电炉出铁、出渣口及浇铸</w:t>
            </w:r>
            <w:r>
              <w:rPr>
                <w:spacing w:val="4"/>
                <w:sz w:val="18"/>
                <w:szCs w:val="18"/>
              </w:rPr>
              <w:t xml:space="preserve"> </w:t>
            </w:r>
            <w:r>
              <w:rPr>
                <w:spacing w:val="-2"/>
                <w:sz w:val="18"/>
                <w:szCs w:val="18"/>
              </w:rPr>
              <w:t>和浇铸场地</w:t>
            </w:r>
          </w:p>
        </w:tc>
        <w:tc>
          <w:tcPr>
            <w:tcW w:w="3384" w:type="dxa"/>
            <w:tcBorders>
              <w:right w:val="nil"/>
            </w:tcBorders>
            <w:vAlign w:val="top"/>
          </w:tcPr>
          <w:p w14:paraId="4B933C1E">
            <w:pPr>
              <w:pStyle w:val="6"/>
              <w:spacing w:before="198" w:line="220" w:lineRule="auto"/>
              <w:ind w:left="795"/>
              <w:rPr>
                <w:sz w:val="18"/>
                <w:szCs w:val="18"/>
              </w:rPr>
            </w:pPr>
            <w:r>
              <w:rPr>
                <w:spacing w:val="-1"/>
                <w:sz w:val="18"/>
                <w:szCs w:val="18"/>
              </w:rPr>
              <w:t>颗粒物、锰及其化合物</w:t>
            </w:r>
          </w:p>
        </w:tc>
      </w:tr>
      <w:tr w14:paraId="49DDAA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2BF02367">
            <w:pPr>
              <w:rPr>
                <w:rFonts w:ascii="Arial"/>
                <w:sz w:val="21"/>
              </w:rPr>
            </w:pPr>
          </w:p>
        </w:tc>
        <w:tc>
          <w:tcPr>
            <w:tcW w:w="2165" w:type="dxa"/>
            <w:vAlign w:val="top"/>
          </w:tcPr>
          <w:p w14:paraId="3DB09B26">
            <w:pPr>
              <w:pStyle w:val="6"/>
              <w:spacing w:before="68" w:line="204" w:lineRule="auto"/>
              <w:ind w:left="549"/>
              <w:rPr>
                <w:sz w:val="18"/>
                <w:szCs w:val="18"/>
              </w:rPr>
            </w:pPr>
            <w:r>
              <w:rPr>
                <w:spacing w:val="-2"/>
                <w:sz w:val="18"/>
                <w:szCs w:val="18"/>
              </w:rPr>
              <w:t>发电机组烟气</w:t>
            </w:r>
          </w:p>
        </w:tc>
        <w:tc>
          <w:tcPr>
            <w:tcW w:w="3124" w:type="dxa"/>
            <w:vAlign w:val="top"/>
          </w:tcPr>
          <w:p w14:paraId="375A8E54">
            <w:pPr>
              <w:pStyle w:val="6"/>
              <w:spacing w:before="68" w:line="204" w:lineRule="auto"/>
              <w:ind w:left="1026"/>
              <w:rPr>
                <w:sz w:val="18"/>
                <w:szCs w:val="18"/>
              </w:rPr>
            </w:pPr>
            <w:r>
              <w:rPr>
                <w:spacing w:val="-2"/>
                <w:sz w:val="18"/>
                <w:szCs w:val="18"/>
              </w:rPr>
              <w:t>煤气发电机组</w:t>
            </w:r>
          </w:p>
        </w:tc>
        <w:tc>
          <w:tcPr>
            <w:tcW w:w="3384" w:type="dxa"/>
            <w:tcBorders>
              <w:right w:val="nil"/>
            </w:tcBorders>
            <w:vAlign w:val="top"/>
          </w:tcPr>
          <w:p w14:paraId="78D9D584">
            <w:pPr>
              <w:pStyle w:val="6"/>
              <w:spacing w:before="68" w:line="204" w:lineRule="auto"/>
              <w:ind w:left="63"/>
              <w:rPr>
                <w:rFonts w:ascii="Times New Roman" w:hAnsi="Times New Roman" w:eastAsia="Times New Roman" w:cs="Times New Roman"/>
                <w:sz w:val="11"/>
                <w:szCs w:val="11"/>
              </w:rPr>
            </w:pPr>
            <w:r>
              <w:rPr>
                <w:spacing w:val="-2"/>
                <w:sz w:val="18"/>
                <w:szCs w:val="18"/>
              </w:rPr>
              <w:t>颗粒物、锰及其化合物、</w:t>
            </w:r>
            <w:r>
              <w:rPr>
                <w:rFonts w:ascii="Times New Roman" w:hAnsi="Times New Roman" w:eastAsia="Times New Roman" w:cs="Times New Roman"/>
                <w:spacing w:val="-2"/>
                <w:sz w:val="18"/>
                <w:szCs w:val="18"/>
              </w:rPr>
              <w:t>SO</w:t>
            </w:r>
            <w:r>
              <w:rPr>
                <w:rFonts w:ascii="Times New Roman" w:hAnsi="Times New Roman" w:eastAsia="Times New Roman" w:cs="Times New Roman"/>
                <w:spacing w:val="-2"/>
                <w:position w:val="-1"/>
                <w:sz w:val="11"/>
                <w:szCs w:val="11"/>
              </w:rPr>
              <w:t xml:space="preserve">2 </w:t>
            </w:r>
            <w:r>
              <w:rPr>
                <w:spacing w:val="-2"/>
                <w:sz w:val="18"/>
                <w:szCs w:val="18"/>
              </w:rPr>
              <w:t>、</w:t>
            </w:r>
            <w:r>
              <w:rPr>
                <w:rFonts w:ascii="Times New Roman" w:hAnsi="Times New Roman" w:eastAsia="Times New Roman" w:cs="Times New Roman"/>
                <w:spacing w:val="-2"/>
                <w:sz w:val="18"/>
                <w:szCs w:val="18"/>
              </w:rPr>
              <w:t>NO</w:t>
            </w:r>
            <w:r>
              <w:rPr>
                <w:rFonts w:ascii="Times New Roman" w:hAnsi="Times New Roman" w:eastAsia="Times New Roman" w:cs="Times New Roman"/>
                <w:spacing w:val="-2"/>
                <w:position w:val="-1"/>
                <w:sz w:val="11"/>
                <w:szCs w:val="11"/>
              </w:rPr>
              <w:t>x</w:t>
            </w:r>
            <w:r>
              <w:rPr>
                <w:rFonts w:ascii="Times New Roman" w:hAnsi="Times New Roman" w:eastAsia="Times New Roman" w:cs="Times New Roman"/>
                <w:spacing w:val="-8"/>
                <w:position w:val="-1"/>
                <w:sz w:val="11"/>
                <w:szCs w:val="11"/>
              </w:rPr>
              <w:t xml:space="preserve"> </w:t>
            </w:r>
            <w:r>
              <w:rPr>
                <w:spacing w:val="-2"/>
                <w:sz w:val="18"/>
                <w:szCs w:val="18"/>
              </w:rPr>
              <w:t>、</w:t>
            </w:r>
            <w:r>
              <w:rPr>
                <w:rFonts w:ascii="Times New Roman" w:hAnsi="Times New Roman" w:eastAsia="Times New Roman" w:cs="Times New Roman"/>
                <w:spacing w:val="-2"/>
                <w:sz w:val="18"/>
                <w:szCs w:val="18"/>
              </w:rPr>
              <w:t>NH</w:t>
            </w:r>
            <w:r>
              <w:rPr>
                <w:rFonts w:ascii="Times New Roman" w:hAnsi="Times New Roman" w:eastAsia="Times New Roman" w:cs="Times New Roman"/>
                <w:spacing w:val="-2"/>
                <w:position w:val="-1"/>
                <w:sz w:val="11"/>
                <w:szCs w:val="11"/>
              </w:rPr>
              <w:t>3</w:t>
            </w:r>
          </w:p>
        </w:tc>
      </w:tr>
      <w:tr w14:paraId="21A428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422" w:type="dxa"/>
            <w:tcBorders>
              <w:top w:val="nil"/>
              <w:left w:val="nil"/>
              <w:bottom w:val="nil"/>
            </w:tcBorders>
            <w:vAlign w:val="top"/>
          </w:tcPr>
          <w:p w14:paraId="1624773D">
            <w:pPr>
              <w:rPr>
                <w:rFonts w:ascii="Arial"/>
                <w:sz w:val="21"/>
              </w:rPr>
            </w:pPr>
          </w:p>
        </w:tc>
        <w:tc>
          <w:tcPr>
            <w:tcW w:w="2165" w:type="dxa"/>
            <w:vAlign w:val="top"/>
          </w:tcPr>
          <w:p w14:paraId="7DF1325E">
            <w:pPr>
              <w:pStyle w:val="6"/>
              <w:spacing w:before="69" w:line="204" w:lineRule="auto"/>
              <w:ind w:left="727"/>
              <w:rPr>
                <w:sz w:val="18"/>
                <w:szCs w:val="18"/>
              </w:rPr>
            </w:pPr>
            <w:r>
              <w:rPr>
                <w:spacing w:val="-3"/>
                <w:sz w:val="18"/>
                <w:szCs w:val="18"/>
              </w:rPr>
              <w:t>餐厅油烟</w:t>
            </w:r>
          </w:p>
        </w:tc>
        <w:tc>
          <w:tcPr>
            <w:tcW w:w="3124" w:type="dxa"/>
            <w:vAlign w:val="top"/>
          </w:tcPr>
          <w:p w14:paraId="7F89D5B9">
            <w:pPr>
              <w:pStyle w:val="6"/>
              <w:spacing w:before="69" w:line="204" w:lineRule="auto"/>
              <w:ind w:left="940"/>
              <w:rPr>
                <w:sz w:val="18"/>
                <w:szCs w:val="18"/>
              </w:rPr>
            </w:pPr>
            <w:r>
              <w:rPr>
                <w:spacing w:val="-2"/>
                <w:sz w:val="18"/>
                <w:szCs w:val="18"/>
              </w:rPr>
              <w:t>办公区餐厅厨房</w:t>
            </w:r>
          </w:p>
        </w:tc>
        <w:tc>
          <w:tcPr>
            <w:tcW w:w="3384" w:type="dxa"/>
            <w:tcBorders>
              <w:right w:val="nil"/>
            </w:tcBorders>
            <w:vAlign w:val="top"/>
          </w:tcPr>
          <w:p w14:paraId="74B78C89">
            <w:pPr>
              <w:pStyle w:val="6"/>
              <w:spacing w:before="69" w:line="204" w:lineRule="auto"/>
              <w:ind w:left="1519"/>
              <w:rPr>
                <w:sz w:val="18"/>
                <w:szCs w:val="18"/>
              </w:rPr>
            </w:pPr>
            <w:r>
              <w:rPr>
                <w:spacing w:val="-5"/>
                <w:sz w:val="18"/>
                <w:szCs w:val="18"/>
              </w:rPr>
              <w:t>油烟</w:t>
            </w:r>
          </w:p>
        </w:tc>
      </w:tr>
      <w:tr w14:paraId="7B9FDD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698579A7">
            <w:pPr>
              <w:rPr>
                <w:rFonts w:ascii="Arial"/>
                <w:sz w:val="21"/>
              </w:rPr>
            </w:pPr>
          </w:p>
        </w:tc>
        <w:tc>
          <w:tcPr>
            <w:tcW w:w="2165" w:type="dxa"/>
            <w:vAlign w:val="top"/>
          </w:tcPr>
          <w:p w14:paraId="62E01532">
            <w:pPr>
              <w:pStyle w:val="6"/>
              <w:spacing w:before="69" w:line="203" w:lineRule="auto"/>
              <w:ind w:left="461"/>
              <w:rPr>
                <w:sz w:val="18"/>
                <w:szCs w:val="18"/>
              </w:rPr>
            </w:pPr>
            <w:r>
              <w:rPr>
                <w:spacing w:val="-2"/>
                <w:sz w:val="18"/>
                <w:szCs w:val="18"/>
              </w:rPr>
              <w:t>原料大棚无组织</w:t>
            </w:r>
          </w:p>
        </w:tc>
        <w:tc>
          <w:tcPr>
            <w:tcW w:w="3124" w:type="dxa"/>
            <w:vAlign w:val="top"/>
          </w:tcPr>
          <w:p w14:paraId="4B126838">
            <w:pPr>
              <w:pStyle w:val="6"/>
              <w:spacing w:before="69" w:line="203" w:lineRule="auto"/>
              <w:ind w:left="761"/>
              <w:rPr>
                <w:sz w:val="18"/>
                <w:szCs w:val="18"/>
              </w:rPr>
            </w:pPr>
            <w:r>
              <w:rPr>
                <w:spacing w:val="-3"/>
                <w:sz w:val="18"/>
                <w:szCs w:val="18"/>
              </w:rPr>
              <w:t>原料大棚（</w:t>
            </w:r>
            <w:r>
              <w:rPr>
                <w:rFonts w:ascii="Times New Roman" w:hAnsi="Times New Roman" w:eastAsia="Times New Roman" w:cs="Times New Roman"/>
                <w:spacing w:val="-3"/>
                <w:sz w:val="18"/>
                <w:szCs w:val="18"/>
              </w:rPr>
              <w:t>1#</w:t>
            </w:r>
            <w:r>
              <w:rPr>
                <w:rFonts w:ascii="Times New Roman" w:hAnsi="Times New Roman" w:eastAsia="Times New Roman" w:cs="Times New Roman"/>
                <w:spacing w:val="-24"/>
                <w:sz w:val="18"/>
                <w:szCs w:val="18"/>
              </w:rPr>
              <w:t xml:space="preserve"> </w:t>
            </w:r>
            <w:r>
              <w:rPr>
                <w:spacing w:val="-3"/>
                <w:sz w:val="18"/>
                <w:szCs w:val="18"/>
              </w:rPr>
              <w:t>、</w:t>
            </w:r>
            <w:r>
              <w:rPr>
                <w:rFonts w:ascii="Times New Roman" w:hAnsi="Times New Roman" w:eastAsia="Times New Roman" w:cs="Times New Roman"/>
                <w:spacing w:val="-3"/>
                <w:sz w:val="18"/>
                <w:szCs w:val="18"/>
              </w:rPr>
              <w:t>2#</w:t>
            </w:r>
            <w:r>
              <w:rPr>
                <w:spacing w:val="-3"/>
                <w:sz w:val="18"/>
                <w:szCs w:val="18"/>
              </w:rPr>
              <w:t>）</w:t>
            </w:r>
          </w:p>
        </w:tc>
        <w:tc>
          <w:tcPr>
            <w:tcW w:w="3384" w:type="dxa"/>
            <w:tcBorders>
              <w:right w:val="nil"/>
            </w:tcBorders>
            <w:vAlign w:val="top"/>
          </w:tcPr>
          <w:p w14:paraId="4DB8201E">
            <w:pPr>
              <w:pStyle w:val="6"/>
              <w:spacing w:before="69" w:line="203" w:lineRule="auto"/>
              <w:ind w:left="1426"/>
              <w:rPr>
                <w:sz w:val="18"/>
                <w:szCs w:val="18"/>
              </w:rPr>
            </w:pPr>
            <w:r>
              <w:rPr>
                <w:spacing w:val="-3"/>
                <w:sz w:val="18"/>
                <w:szCs w:val="18"/>
              </w:rPr>
              <w:t>颗粒物</w:t>
            </w:r>
          </w:p>
        </w:tc>
      </w:tr>
      <w:tr w14:paraId="5768ED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58BCA40B">
            <w:pPr>
              <w:rPr>
                <w:rFonts w:ascii="Arial"/>
                <w:sz w:val="21"/>
              </w:rPr>
            </w:pPr>
          </w:p>
        </w:tc>
        <w:tc>
          <w:tcPr>
            <w:tcW w:w="2165" w:type="dxa"/>
            <w:vAlign w:val="top"/>
          </w:tcPr>
          <w:p w14:paraId="0CED3416">
            <w:pPr>
              <w:pStyle w:val="6"/>
              <w:spacing w:before="65" w:line="207" w:lineRule="auto"/>
              <w:ind w:left="277"/>
              <w:rPr>
                <w:sz w:val="18"/>
                <w:szCs w:val="18"/>
              </w:rPr>
            </w:pPr>
            <w:r>
              <w:rPr>
                <w:spacing w:val="-1"/>
                <w:sz w:val="18"/>
                <w:szCs w:val="18"/>
              </w:rPr>
              <w:t>焦炭烘干车间无组织</w:t>
            </w:r>
          </w:p>
        </w:tc>
        <w:tc>
          <w:tcPr>
            <w:tcW w:w="3124" w:type="dxa"/>
            <w:vAlign w:val="top"/>
          </w:tcPr>
          <w:p w14:paraId="67A99FDD">
            <w:pPr>
              <w:pStyle w:val="6"/>
              <w:spacing w:before="70" w:line="202" w:lineRule="auto"/>
              <w:ind w:left="1026"/>
              <w:rPr>
                <w:sz w:val="18"/>
                <w:szCs w:val="18"/>
              </w:rPr>
            </w:pPr>
            <w:r>
              <w:rPr>
                <w:spacing w:val="-2"/>
                <w:sz w:val="18"/>
                <w:szCs w:val="18"/>
              </w:rPr>
              <w:t>焦炭烘干车间</w:t>
            </w:r>
          </w:p>
        </w:tc>
        <w:tc>
          <w:tcPr>
            <w:tcW w:w="3384" w:type="dxa"/>
            <w:tcBorders>
              <w:right w:val="nil"/>
            </w:tcBorders>
            <w:vAlign w:val="top"/>
          </w:tcPr>
          <w:p w14:paraId="5C4105EF">
            <w:pPr>
              <w:pStyle w:val="6"/>
              <w:spacing w:before="70" w:line="202" w:lineRule="auto"/>
              <w:ind w:left="1426"/>
              <w:rPr>
                <w:sz w:val="18"/>
                <w:szCs w:val="18"/>
              </w:rPr>
            </w:pPr>
            <w:r>
              <w:rPr>
                <w:spacing w:val="-3"/>
                <w:sz w:val="18"/>
                <w:szCs w:val="18"/>
              </w:rPr>
              <w:t>颗粒物</w:t>
            </w:r>
          </w:p>
        </w:tc>
      </w:tr>
      <w:tr w14:paraId="395B7A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63F3BE8D">
            <w:pPr>
              <w:rPr>
                <w:rFonts w:ascii="Arial"/>
                <w:sz w:val="21"/>
              </w:rPr>
            </w:pPr>
          </w:p>
        </w:tc>
        <w:tc>
          <w:tcPr>
            <w:tcW w:w="2165" w:type="dxa"/>
            <w:vAlign w:val="top"/>
          </w:tcPr>
          <w:p w14:paraId="6D4CF8FC">
            <w:pPr>
              <w:pStyle w:val="6"/>
              <w:spacing w:before="67" w:line="205" w:lineRule="auto"/>
              <w:ind w:left="186"/>
              <w:rPr>
                <w:sz w:val="18"/>
                <w:szCs w:val="18"/>
              </w:rPr>
            </w:pPr>
            <w:r>
              <w:rPr>
                <w:spacing w:val="-1"/>
                <w:sz w:val="18"/>
                <w:szCs w:val="18"/>
              </w:rPr>
              <w:t>锰矿石烘干车间无组织</w:t>
            </w:r>
          </w:p>
        </w:tc>
        <w:tc>
          <w:tcPr>
            <w:tcW w:w="3124" w:type="dxa"/>
            <w:vAlign w:val="top"/>
          </w:tcPr>
          <w:p w14:paraId="45306A65">
            <w:pPr>
              <w:pStyle w:val="6"/>
              <w:spacing w:before="69" w:line="203" w:lineRule="auto"/>
              <w:ind w:left="937"/>
              <w:rPr>
                <w:sz w:val="18"/>
                <w:szCs w:val="18"/>
              </w:rPr>
            </w:pPr>
            <w:r>
              <w:rPr>
                <w:spacing w:val="-2"/>
                <w:sz w:val="18"/>
                <w:szCs w:val="18"/>
              </w:rPr>
              <w:t>锰矿石烘干车间</w:t>
            </w:r>
          </w:p>
        </w:tc>
        <w:tc>
          <w:tcPr>
            <w:tcW w:w="3384" w:type="dxa"/>
            <w:tcBorders>
              <w:right w:val="nil"/>
            </w:tcBorders>
            <w:vAlign w:val="top"/>
          </w:tcPr>
          <w:p w14:paraId="7680E9D3">
            <w:pPr>
              <w:pStyle w:val="6"/>
              <w:spacing w:before="69" w:line="203" w:lineRule="auto"/>
              <w:ind w:left="1426"/>
              <w:rPr>
                <w:sz w:val="18"/>
                <w:szCs w:val="18"/>
              </w:rPr>
            </w:pPr>
            <w:r>
              <w:rPr>
                <w:spacing w:val="-3"/>
                <w:sz w:val="18"/>
                <w:szCs w:val="18"/>
              </w:rPr>
              <w:t>颗粒物</w:t>
            </w:r>
          </w:p>
        </w:tc>
      </w:tr>
      <w:tr w14:paraId="62258C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422" w:type="dxa"/>
            <w:tcBorders>
              <w:top w:val="nil"/>
              <w:left w:val="nil"/>
              <w:bottom w:val="nil"/>
            </w:tcBorders>
            <w:vAlign w:val="top"/>
          </w:tcPr>
          <w:p w14:paraId="0C67C2FD">
            <w:pPr>
              <w:rPr>
                <w:rFonts w:ascii="Arial"/>
                <w:sz w:val="21"/>
              </w:rPr>
            </w:pPr>
          </w:p>
        </w:tc>
        <w:tc>
          <w:tcPr>
            <w:tcW w:w="2165" w:type="dxa"/>
            <w:vAlign w:val="top"/>
          </w:tcPr>
          <w:p w14:paraId="3AB5CE6D">
            <w:pPr>
              <w:pStyle w:val="6"/>
              <w:spacing w:before="70" w:line="203" w:lineRule="auto"/>
              <w:ind w:left="365"/>
              <w:rPr>
                <w:sz w:val="18"/>
                <w:szCs w:val="18"/>
              </w:rPr>
            </w:pPr>
            <w:r>
              <w:rPr>
                <w:spacing w:val="-1"/>
                <w:sz w:val="18"/>
                <w:szCs w:val="18"/>
              </w:rPr>
              <w:t>烧结原料库无组织</w:t>
            </w:r>
          </w:p>
        </w:tc>
        <w:tc>
          <w:tcPr>
            <w:tcW w:w="3124" w:type="dxa"/>
            <w:vAlign w:val="top"/>
          </w:tcPr>
          <w:p w14:paraId="4291A4E7">
            <w:pPr>
              <w:pStyle w:val="6"/>
              <w:spacing w:before="70" w:line="203" w:lineRule="auto"/>
              <w:ind w:left="756"/>
              <w:rPr>
                <w:sz w:val="18"/>
                <w:szCs w:val="18"/>
              </w:rPr>
            </w:pPr>
            <w:r>
              <w:rPr>
                <w:spacing w:val="-1"/>
                <w:sz w:val="18"/>
                <w:szCs w:val="18"/>
              </w:rPr>
              <w:t>烧结系统烧结原料库</w:t>
            </w:r>
          </w:p>
        </w:tc>
        <w:tc>
          <w:tcPr>
            <w:tcW w:w="3384" w:type="dxa"/>
            <w:tcBorders>
              <w:right w:val="nil"/>
            </w:tcBorders>
            <w:vAlign w:val="top"/>
          </w:tcPr>
          <w:p w14:paraId="27D8DA07">
            <w:pPr>
              <w:pStyle w:val="6"/>
              <w:spacing w:before="70" w:line="203" w:lineRule="auto"/>
              <w:ind w:left="795"/>
              <w:rPr>
                <w:sz w:val="18"/>
                <w:szCs w:val="18"/>
              </w:rPr>
            </w:pPr>
            <w:r>
              <w:rPr>
                <w:spacing w:val="-1"/>
                <w:sz w:val="18"/>
                <w:szCs w:val="18"/>
              </w:rPr>
              <w:t>颗粒物、锰及其化合物</w:t>
            </w:r>
          </w:p>
        </w:tc>
      </w:tr>
      <w:tr w14:paraId="3C048C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10216078">
            <w:pPr>
              <w:rPr>
                <w:rFonts w:ascii="Arial"/>
                <w:sz w:val="21"/>
              </w:rPr>
            </w:pPr>
          </w:p>
        </w:tc>
        <w:tc>
          <w:tcPr>
            <w:tcW w:w="2165" w:type="dxa"/>
            <w:vAlign w:val="top"/>
          </w:tcPr>
          <w:p w14:paraId="6D6E9089">
            <w:pPr>
              <w:pStyle w:val="6"/>
              <w:spacing w:before="71" w:line="201" w:lineRule="auto"/>
              <w:ind w:left="276"/>
              <w:rPr>
                <w:sz w:val="18"/>
                <w:szCs w:val="18"/>
              </w:rPr>
            </w:pPr>
            <w:r>
              <w:rPr>
                <w:spacing w:val="-1"/>
                <w:sz w:val="18"/>
                <w:szCs w:val="18"/>
              </w:rPr>
              <w:t>烧结生产车间无组织</w:t>
            </w:r>
          </w:p>
        </w:tc>
        <w:tc>
          <w:tcPr>
            <w:tcW w:w="3124" w:type="dxa"/>
            <w:vAlign w:val="top"/>
          </w:tcPr>
          <w:p w14:paraId="250CCF38">
            <w:pPr>
              <w:pStyle w:val="6"/>
              <w:spacing w:before="71" w:line="201" w:lineRule="auto"/>
              <w:ind w:left="665"/>
              <w:rPr>
                <w:sz w:val="18"/>
                <w:szCs w:val="18"/>
              </w:rPr>
            </w:pPr>
            <w:r>
              <w:rPr>
                <w:spacing w:val="-1"/>
                <w:sz w:val="18"/>
                <w:szCs w:val="18"/>
              </w:rPr>
              <w:t>烧结系统烧结生产车间</w:t>
            </w:r>
          </w:p>
        </w:tc>
        <w:tc>
          <w:tcPr>
            <w:tcW w:w="3384" w:type="dxa"/>
            <w:tcBorders>
              <w:right w:val="nil"/>
            </w:tcBorders>
            <w:vAlign w:val="top"/>
          </w:tcPr>
          <w:p w14:paraId="72C233D2">
            <w:pPr>
              <w:pStyle w:val="6"/>
              <w:spacing w:before="71" w:line="201" w:lineRule="auto"/>
              <w:ind w:left="795"/>
              <w:rPr>
                <w:sz w:val="18"/>
                <w:szCs w:val="18"/>
              </w:rPr>
            </w:pPr>
            <w:r>
              <w:rPr>
                <w:spacing w:val="-1"/>
                <w:sz w:val="18"/>
                <w:szCs w:val="18"/>
              </w:rPr>
              <w:t>颗粒物、锰及其化合物</w:t>
            </w:r>
          </w:p>
        </w:tc>
      </w:tr>
      <w:tr w14:paraId="2AA933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27CD1F03">
            <w:pPr>
              <w:rPr>
                <w:rFonts w:ascii="Arial"/>
                <w:sz w:val="21"/>
              </w:rPr>
            </w:pPr>
          </w:p>
        </w:tc>
        <w:tc>
          <w:tcPr>
            <w:tcW w:w="2165" w:type="dxa"/>
            <w:vAlign w:val="top"/>
          </w:tcPr>
          <w:p w14:paraId="5DB25D88">
            <w:pPr>
              <w:pStyle w:val="6"/>
              <w:spacing w:before="72" w:line="200" w:lineRule="auto"/>
              <w:ind w:left="387"/>
              <w:rPr>
                <w:sz w:val="18"/>
                <w:szCs w:val="18"/>
              </w:rPr>
            </w:pPr>
            <w:r>
              <w:rPr>
                <w:spacing w:val="-4"/>
                <w:sz w:val="18"/>
                <w:szCs w:val="18"/>
              </w:rPr>
              <w:t>电炉配料站无组织</w:t>
            </w:r>
          </w:p>
        </w:tc>
        <w:tc>
          <w:tcPr>
            <w:tcW w:w="3124" w:type="dxa"/>
            <w:vAlign w:val="top"/>
          </w:tcPr>
          <w:p w14:paraId="0099E20F">
            <w:pPr>
              <w:pStyle w:val="6"/>
              <w:spacing w:before="72" w:line="200" w:lineRule="auto"/>
              <w:ind w:left="867"/>
              <w:rPr>
                <w:sz w:val="18"/>
                <w:szCs w:val="18"/>
              </w:rPr>
            </w:pPr>
            <w:r>
              <w:rPr>
                <w:spacing w:val="-4"/>
                <w:sz w:val="18"/>
                <w:szCs w:val="18"/>
              </w:rPr>
              <w:t>电炉生产区配料站</w:t>
            </w:r>
          </w:p>
        </w:tc>
        <w:tc>
          <w:tcPr>
            <w:tcW w:w="3384" w:type="dxa"/>
            <w:tcBorders>
              <w:right w:val="nil"/>
            </w:tcBorders>
            <w:vAlign w:val="top"/>
          </w:tcPr>
          <w:p w14:paraId="37C9E662">
            <w:pPr>
              <w:pStyle w:val="6"/>
              <w:spacing w:before="72" w:line="200" w:lineRule="auto"/>
              <w:ind w:left="795"/>
              <w:rPr>
                <w:sz w:val="18"/>
                <w:szCs w:val="18"/>
              </w:rPr>
            </w:pPr>
            <w:r>
              <w:rPr>
                <w:spacing w:val="-1"/>
                <w:sz w:val="18"/>
                <w:szCs w:val="18"/>
              </w:rPr>
              <w:t>颗粒物、锰及其化合物</w:t>
            </w:r>
          </w:p>
        </w:tc>
      </w:tr>
      <w:tr w14:paraId="159102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422" w:type="dxa"/>
            <w:tcBorders>
              <w:top w:val="nil"/>
              <w:left w:val="nil"/>
            </w:tcBorders>
            <w:vAlign w:val="top"/>
          </w:tcPr>
          <w:p w14:paraId="459EB28E">
            <w:pPr>
              <w:rPr>
                <w:rFonts w:ascii="Arial"/>
                <w:sz w:val="21"/>
              </w:rPr>
            </w:pPr>
          </w:p>
        </w:tc>
        <w:tc>
          <w:tcPr>
            <w:tcW w:w="2165" w:type="dxa"/>
            <w:vAlign w:val="top"/>
          </w:tcPr>
          <w:p w14:paraId="07BEDF9E">
            <w:pPr>
              <w:pStyle w:val="6"/>
              <w:spacing w:before="72" w:line="200" w:lineRule="auto"/>
              <w:ind w:left="478"/>
              <w:rPr>
                <w:sz w:val="18"/>
                <w:szCs w:val="18"/>
              </w:rPr>
            </w:pPr>
            <w:r>
              <w:rPr>
                <w:spacing w:val="-5"/>
                <w:sz w:val="18"/>
                <w:szCs w:val="18"/>
              </w:rPr>
              <w:t>电炉车间无组织</w:t>
            </w:r>
          </w:p>
        </w:tc>
        <w:tc>
          <w:tcPr>
            <w:tcW w:w="3124" w:type="dxa"/>
            <w:vAlign w:val="top"/>
          </w:tcPr>
          <w:p w14:paraId="73B110F4">
            <w:pPr>
              <w:pStyle w:val="6"/>
              <w:spacing w:before="72" w:line="200" w:lineRule="auto"/>
              <w:ind w:left="1025"/>
              <w:rPr>
                <w:sz w:val="18"/>
                <w:szCs w:val="18"/>
              </w:rPr>
            </w:pPr>
            <w:r>
              <w:rPr>
                <w:spacing w:val="-2"/>
                <w:sz w:val="18"/>
                <w:szCs w:val="18"/>
              </w:rPr>
              <w:t>硅锰电炉车间</w:t>
            </w:r>
          </w:p>
        </w:tc>
        <w:tc>
          <w:tcPr>
            <w:tcW w:w="3384" w:type="dxa"/>
            <w:tcBorders>
              <w:right w:val="nil"/>
            </w:tcBorders>
            <w:vAlign w:val="top"/>
          </w:tcPr>
          <w:p w14:paraId="4EFE5AC2">
            <w:pPr>
              <w:pStyle w:val="6"/>
              <w:spacing w:before="72" w:line="200" w:lineRule="auto"/>
              <w:ind w:left="795"/>
              <w:rPr>
                <w:sz w:val="18"/>
                <w:szCs w:val="18"/>
              </w:rPr>
            </w:pPr>
            <w:r>
              <w:rPr>
                <w:spacing w:val="-1"/>
                <w:sz w:val="18"/>
                <w:szCs w:val="18"/>
              </w:rPr>
              <w:t>颗粒物、锰及其化合物</w:t>
            </w:r>
          </w:p>
        </w:tc>
      </w:tr>
      <w:tr w14:paraId="393F4B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422" w:type="dxa"/>
            <w:tcBorders>
              <w:left w:val="nil"/>
              <w:bottom w:val="nil"/>
            </w:tcBorders>
            <w:vAlign w:val="top"/>
          </w:tcPr>
          <w:p w14:paraId="6F602CB4">
            <w:pPr>
              <w:rPr>
                <w:rFonts w:ascii="Arial"/>
                <w:sz w:val="21"/>
              </w:rPr>
            </w:pPr>
          </w:p>
        </w:tc>
        <w:tc>
          <w:tcPr>
            <w:tcW w:w="2165" w:type="dxa"/>
            <w:vAlign w:val="top"/>
          </w:tcPr>
          <w:p w14:paraId="06D6A46F">
            <w:pPr>
              <w:pStyle w:val="6"/>
              <w:spacing w:before="90" w:line="219" w:lineRule="auto"/>
              <w:ind w:left="727"/>
              <w:rPr>
                <w:sz w:val="18"/>
                <w:szCs w:val="18"/>
              </w:rPr>
            </w:pPr>
            <w:r>
              <w:rPr>
                <w:spacing w:val="-2"/>
                <w:sz w:val="18"/>
                <w:szCs w:val="18"/>
              </w:rPr>
              <w:t>脱硫废水</w:t>
            </w:r>
          </w:p>
        </w:tc>
        <w:tc>
          <w:tcPr>
            <w:tcW w:w="3124" w:type="dxa"/>
            <w:vAlign w:val="top"/>
          </w:tcPr>
          <w:p w14:paraId="594C28E7">
            <w:pPr>
              <w:pStyle w:val="6"/>
              <w:spacing w:before="94" w:line="220" w:lineRule="auto"/>
              <w:ind w:left="1026"/>
              <w:rPr>
                <w:sz w:val="18"/>
                <w:szCs w:val="18"/>
              </w:rPr>
            </w:pPr>
            <w:r>
              <w:rPr>
                <w:spacing w:val="-2"/>
                <w:sz w:val="18"/>
                <w:szCs w:val="18"/>
              </w:rPr>
              <w:t>烟气脱硫系统</w:t>
            </w:r>
          </w:p>
        </w:tc>
        <w:tc>
          <w:tcPr>
            <w:tcW w:w="3384" w:type="dxa"/>
            <w:tcBorders>
              <w:right w:val="nil"/>
            </w:tcBorders>
            <w:vAlign w:val="top"/>
          </w:tcPr>
          <w:p w14:paraId="5D851F46">
            <w:pPr>
              <w:pStyle w:val="6"/>
              <w:spacing w:before="121" w:line="180" w:lineRule="auto"/>
              <w:ind w:left="112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pH</w:t>
            </w:r>
            <w:r>
              <w:rPr>
                <w:spacing w:val="-3"/>
                <w:sz w:val="18"/>
                <w:szCs w:val="18"/>
              </w:rPr>
              <w:t>、</w:t>
            </w:r>
            <w:r>
              <w:rPr>
                <w:rFonts w:ascii="Times New Roman" w:hAnsi="Times New Roman" w:eastAsia="Times New Roman" w:cs="Times New Roman"/>
                <w:spacing w:val="-3"/>
                <w:sz w:val="18"/>
                <w:szCs w:val="18"/>
              </w:rPr>
              <w:t>TDS</w:t>
            </w:r>
            <w:r>
              <w:rPr>
                <w:rFonts w:ascii="Times New Roman" w:hAnsi="Times New Roman" w:eastAsia="Times New Roman" w:cs="Times New Roman"/>
                <w:spacing w:val="-19"/>
                <w:sz w:val="18"/>
                <w:szCs w:val="18"/>
              </w:rPr>
              <w:t xml:space="preserve"> </w:t>
            </w:r>
            <w:r>
              <w:rPr>
                <w:spacing w:val="-3"/>
                <w:sz w:val="18"/>
                <w:szCs w:val="18"/>
              </w:rPr>
              <w:t>、</w:t>
            </w:r>
            <w:r>
              <w:rPr>
                <w:rFonts w:ascii="Times New Roman" w:hAnsi="Times New Roman" w:eastAsia="Times New Roman" w:cs="Times New Roman"/>
                <w:spacing w:val="-3"/>
                <w:sz w:val="18"/>
                <w:szCs w:val="18"/>
              </w:rPr>
              <w:t>SS</w:t>
            </w:r>
          </w:p>
        </w:tc>
      </w:tr>
      <w:tr w14:paraId="2DFD4E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422" w:type="dxa"/>
            <w:tcBorders>
              <w:top w:val="nil"/>
              <w:left w:val="nil"/>
              <w:bottom w:val="nil"/>
            </w:tcBorders>
            <w:vAlign w:val="top"/>
          </w:tcPr>
          <w:p w14:paraId="308C9290">
            <w:pPr>
              <w:rPr>
                <w:rFonts w:ascii="Arial"/>
                <w:sz w:val="21"/>
              </w:rPr>
            </w:pPr>
          </w:p>
        </w:tc>
        <w:tc>
          <w:tcPr>
            <w:tcW w:w="2165" w:type="dxa"/>
            <w:vAlign w:val="top"/>
          </w:tcPr>
          <w:p w14:paraId="5D89B756">
            <w:pPr>
              <w:pStyle w:val="6"/>
              <w:spacing w:before="92" w:line="219" w:lineRule="auto"/>
              <w:ind w:left="547"/>
              <w:rPr>
                <w:sz w:val="18"/>
                <w:szCs w:val="18"/>
              </w:rPr>
            </w:pPr>
            <w:r>
              <w:rPr>
                <w:spacing w:val="-2"/>
                <w:sz w:val="18"/>
                <w:szCs w:val="18"/>
              </w:rPr>
              <w:t>煤气冷凝废水</w:t>
            </w:r>
          </w:p>
        </w:tc>
        <w:tc>
          <w:tcPr>
            <w:tcW w:w="3124" w:type="dxa"/>
            <w:vAlign w:val="top"/>
          </w:tcPr>
          <w:p w14:paraId="333886F4">
            <w:pPr>
              <w:pStyle w:val="6"/>
              <w:spacing w:before="95" w:line="219" w:lineRule="auto"/>
              <w:ind w:left="1026"/>
              <w:rPr>
                <w:sz w:val="18"/>
                <w:szCs w:val="18"/>
              </w:rPr>
            </w:pPr>
            <w:r>
              <w:rPr>
                <w:spacing w:val="-2"/>
                <w:sz w:val="18"/>
                <w:szCs w:val="18"/>
              </w:rPr>
              <w:t>煤气净化车间</w:t>
            </w:r>
          </w:p>
        </w:tc>
        <w:tc>
          <w:tcPr>
            <w:tcW w:w="3384" w:type="dxa"/>
            <w:tcBorders>
              <w:right w:val="nil"/>
            </w:tcBorders>
            <w:vAlign w:val="top"/>
          </w:tcPr>
          <w:p w14:paraId="19786014">
            <w:pPr>
              <w:pStyle w:val="6"/>
              <w:spacing w:before="92" w:line="210" w:lineRule="auto"/>
              <w:ind w:left="395"/>
              <w:rPr>
                <w:sz w:val="18"/>
                <w:szCs w:val="18"/>
              </w:rPr>
            </w:pPr>
            <w:r>
              <w:rPr>
                <w:rFonts w:ascii="Times New Roman" w:hAnsi="Times New Roman" w:eastAsia="Times New Roman" w:cs="Times New Roman"/>
                <w:spacing w:val="-3"/>
                <w:sz w:val="18"/>
                <w:szCs w:val="18"/>
              </w:rPr>
              <w:t>pH</w:t>
            </w:r>
            <w:r>
              <w:rPr>
                <w:spacing w:val="-3"/>
                <w:sz w:val="18"/>
                <w:szCs w:val="18"/>
              </w:rPr>
              <w:t>、</w:t>
            </w:r>
            <w:r>
              <w:rPr>
                <w:rFonts w:ascii="Times New Roman" w:hAnsi="Times New Roman" w:eastAsia="Times New Roman" w:cs="Times New Roman"/>
                <w:spacing w:val="-3"/>
                <w:sz w:val="18"/>
                <w:szCs w:val="18"/>
              </w:rPr>
              <w:t>COD</w:t>
            </w:r>
            <w:r>
              <w:rPr>
                <w:rFonts w:ascii="Times New Roman" w:hAnsi="Times New Roman" w:eastAsia="Times New Roman" w:cs="Times New Roman"/>
                <w:spacing w:val="-3"/>
                <w:position w:val="-1"/>
                <w:sz w:val="11"/>
                <w:szCs w:val="11"/>
              </w:rPr>
              <w:t>cr</w:t>
            </w:r>
            <w:r>
              <w:rPr>
                <w:rFonts w:ascii="Times New Roman" w:hAnsi="Times New Roman" w:eastAsia="Times New Roman" w:cs="Times New Roman"/>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BOD</w:t>
            </w:r>
            <w:r>
              <w:rPr>
                <w:rFonts w:ascii="Times New Roman" w:hAnsi="Times New Roman" w:eastAsia="Times New Roman" w:cs="Times New Roman"/>
                <w:spacing w:val="-3"/>
                <w:position w:val="-1"/>
                <w:sz w:val="11"/>
                <w:szCs w:val="11"/>
              </w:rPr>
              <w:t>5</w:t>
            </w:r>
            <w:r>
              <w:rPr>
                <w:rFonts w:ascii="Times New Roman" w:hAnsi="Times New Roman" w:eastAsia="Times New Roman" w:cs="Times New Roman"/>
                <w:spacing w:val="-8"/>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SS</w:t>
            </w:r>
            <w:r>
              <w:rPr>
                <w:rFonts w:ascii="Times New Roman" w:hAnsi="Times New Roman" w:eastAsia="Times New Roman" w:cs="Times New Roman"/>
                <w:spacing w:val="-24"/>
                <w:sz w:val="18"/>
                <w:szCs w:val="18"/>
              </w:rPr>
              <w:t xml:space="preserve"> </w:t>
            </w:r>
            <w:r>
              <w:rPr>
                <w:spacing w:val="-3"/>
                <w:sz w:val="18"/>
                <w:szCs w:val="18"/>
              </w:rPr>
              <w:t>、石油类</w:t>
            </w:r>
          </w:p>
        </w:tc>
      </w:tr>
      <w:tr w14:paraId="319ABD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422" w:type="dxa"/>
            <w:tcBorders>
              <w:top w:val="nil"/>
              <w:left w:val="nil"/>
              <w:bottom w:val="nil"/>
            </w:tcBorders>
            <w:vAlign w:val="top"/>
          </w:tcPr>
          <w:p w14:paraId="0A3807DB">
            <w:pPr>
              <w:rPr>
                <w:rFonts w:ascii="Arial"/>
                <w:sz w:val="21"/>
              </w:rPr>
            </w:pPr>
          </w:p>
        </w:tc>
        <w:tc>
          <w:tcPr>
            <w:tcW w:w="2165" w:type="dxa"/>
            <w:vAlign w:val="top"/>
          </w:tcPr>
          <w:p w14:paraId="41A5F3DE">
            <w:pPr>
              <w:pStyle w:val="6"/>
              <w:spacing w:before="92" w:line="219" w:lineRule="auto"/>
              <w:ind w:left="547"/>
              <w:rPr>
                <w:sz w:val="18"/>
                <w:szCs w:val="18"/>
              </w:rPr>
            </w:pPr>
            <w:r>
              <w:rPr>
                <w:spacing w:val="-2"/>
                <w:sz w:val="18"/>
                <w:szCs w:val="18"/>
              </w:rPr>
              <w:t>化水车间排污</w:t>
            </w:r>
          </w:p>
        </w:tc>
        <w:tc>
          <w:tcPr>
            <w:tcW w:w="3124" w:type="dxa"/>
            <w:vAlign w:val="top"/>
          </w:tcPr>
          <w:p w14:paraId="57F7D8FF">
            <w:pPr>
              <w:pStyle w:val="6"/>
              <w:spacing w:before="97" w:line="217" w:lineRule="auto"/>
              <w:ind w:left="1206"/>
              <w:rPr>
                <w:sz w:val="18"/>
                <w:szCs w:val="18"/>
              </w:rPr>
            </w:pPr>
            <w:r>
              <w:rPr>
                <w:spacing w:val="-2"/>
                <w:sz w:val="18"/>
                <w:szCs w:val="18"/>
              </w:rPr>
              <w:t>化水车间</w:t>
            </w:r>
          </w:p>
        </w:tc>
        <w:tc>
          <w:tcPr>
            <w:tcW w:w="3384" w:type="dxa"/>
            <w:tcBorders>
              <w:right w:val="nil"/>
            </w:tcBorders>
            <w:vAlign w:val="top"/>
          </w:tcPr>
          <w:p w14:paraId="1D40AEBA">
            <w:pPr>
              <w:pStyle w:val="6"/>
              <w:spacing w:before="123" w:line="180" w:lineRule="auto"/>
              <w:ind w:left="1334"/>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TDS</w:t>
            </w:r>
            <w:r>
              <w:rPr>
                <w:rFonts w:ascii="Times New Roman" w:hAnsi="Times New Roman" w:eastAsia="Times New Roman" w:cs="Times New Roman"/>
                <w:spacing w:val="-20"/>
                <w:sz w:val="18"/>
                <w:szCs w:val="18"/>
              </w:rPr>
              <w:t xml:space="preserve"> </w:t>
            </w:r>
            <w:r>
              <w:rPr>
                <w:spacing w:val="-5"/>
                <w:sz w:val="18"/>
                <w:szCs w:val="18"/>
              </w:rPr>
              <w:t>、</w:t>
            </w:r>
            <w:r>
              <w:rPr>
                <w:rFonts w:ascii="Times New Roman" w:hAnsi="Times New Roman" w:eastAsia="Times New Roman" w:cs="Times New Roman"/>
                <w:spacing w:val="-5"/>
                <w:sz w:val="18"/>
                <w:szCs w:val="18"/>
              </w:rPr>
              <w:t>SS</w:t>
            </w:r>
          </w:p>
        </w:tc>
      </w:tr>
      <w:tr w14:paraId="0634B5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422" w:type="dxa"/>
            <w:tcBorders>
              <w:top w:val="nil"/>
              <w:left w:val="nil"/>
              <w:bottom w:val="nil"/>
            </w:tcBorders>
            <w:vAlign w:val="top"/>
          </w:tcPr>
          <w:p w14:paraId="414BC082">
            <w:pPr>
              <w:rPr>
                <w:rFonts w:ascii="Arial"/>
                <w:sz w:val="21"/>
              </w:rPr>
            </w:pPr>
          </w:p>
        </w:tc>
        <w:tc>
          <w:tcPr>
            <w:tcW w:w="2165" w:type="dxa"/>
            <w:vAlign w:val="top"/>
          </w:tcPr>
          <w:p w14:paraId="5716FDE6">
            <w:pPr>
              <w:pStyle w:val="6"/>
              <w:spacing w:before="92" w:line="220" w:lineRule="auto"/>
              <w:ind w:left="547"/>
              <w:rPr>
                <w:sz w:val="18"/>
                <w:szCs w:val="18"/>
              </w:rPr>
            </w:pPr>
            <w:r>
              <w:rPr>
                <w:spacing w:val="-2"/>
                <w:sz w:val="18"/>
                <w:szCs w:val="18"/>
              </w:rPr>
              <w:t>燃气锅炉排污</w:t>
            </w:r>
          </w:p>
        </w:tc>
        <w:tc>
          <w:tcPr>
            <w:tcW w:w="3124" w:type="dxa"/>
            <w:vAlign w:val="top"/>
          </w:tcPr>
          <w:p w14:paraId="6B2AABFA">
            <w:pPr>
              <w:pStyle w:val="6"/>
              <w:spacing w:before="97" w:line="217" w:lineRule="auto"/>
              <w:ind w:left="1026"/>
              <w:rPr>
                <w:sz w:val="18"/>
                <w:szCs w:val="18"/>
              </w:rPr>
            </w:pPr>
            <w:r>
              <w:rPr>
                <w:spacing w:val="-2"/>
                <w:sz w:val="18"/>
                <w:szCs w:val="18"/>
              </w:rPr>
              <w:t>燃气发电锅炉</w:t>
            </w:r>
          </w:p>
        </w:tc>
        <w:tc>
          <w:tcPr>
            <w:tcW w:w="3384" w:type="dxa"/>
            <w:tcBorders>
              <w:right w:val="nil"/>
            </w:tcBorders>
            <w:vAlign w:val="top"/>
          </w:tcPr>
          <w:p w14:paraId="1830A5E9">
            <w:pPr>
              <w:pStyle w:val="6"/>
              <w:spacing w:before="123" w:line="180" w:lineRule="auto"/>
              <w:ind w:left="1334"/>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TDS</w:t>
            </w:r>
            <w:r>
              <w:rPr>
                <w:rFonts w:ascii="Times New Roman" w:hAnsi="Times New Roman" w:eastAsia="Times New Roman" w:cs="Times New Roman"/>
                <w:spacing w:val="-20"/>
                <w:sz w:val="18"/>
                <w:szCs w:val="18"/>
              </w:rPr>
              <w:t xml:space="preserve"> </w:t>
            </w:r>
            <w:r>
              <w:rPr>
                <w:spacing w:val="-5"/>
                <w:sz w:val="18"/>
                <w:szCs w:val="18"/>
              </w:rPr>
              <w:t>、</w:t>
            </w:r>
            <w:r>
              <w:rPr>
                <w:rFonts w:ascii="Times New Roman" w:hAnsi="Times New Roman" w:eastAsia="Times New Roman" w:cs="Times New Roman"/>
                <w:spacing w:val="-5"/>
                <w:sz w:val="18"/>
                <w:szCs w:val="18"/>
              </w:rPr>
              <w:t>SS</w:t>
            </w:r>
          </w:p>
        </w:tc>
      </w:tr>
      <w:tr w14:paraId="00AB63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422" w:type="dxa"/>
            <w:tcBorders>
              <w:top w:val="nil"/>
              <w:left w:val="nil"/>
              <w:bottom w:val="nil"/>
            </w:tcBorders>
            <w:vAlign w:val="top"/>
          </w:tcPr>
          <w:p w14:paraId="07765195">
            <w:pPr>
              <w:pStyle w:val="6"/>
              <w:spacing w:before="87" w:line="219" w:lineRule="auto"/>
              <w:ind w:left="36"/>
              <w:rPr>
                <w:sz w:val="18"/>
                <w:szCs w:val="18"/>
              </w:rPr>
            </w:pPr>
            <w:r>
              <w:rPr>
                <w:spacing w:val="-4"/>
                <w:sz w:val="18"/>
                <w:szCs w:val="18"/>
              </w:rPr>
              <w:t>废水</w:t>
            </w:r>
          </w:p>
        </w:tc>
        <w:tc>
          <w:tcPr>
            <w:tcW w:w="2165" w:type="dxa"/>
            <w:vAlign w:val="top"/>
          </w:tcPr>
          <w:p w14:paraId="35BCEC40">
            <w:pPr>
              <w:pStyle w:val="6"/>
              <w:spacing w:before="94" w:line="219" w:lineRule="auto"/>
              <w:ind w:left="187"/>
              <w:rPr>
                <w:sz w:val="18"/>
                <w:szCs w:val="18"/>
              </w:rPr>
            </w:pPr>
            <w:r>
              <w:rPr>
                <w:spacing w:val="-1"/>
                <w:sz w:val="18"/>
                <w:szCs w:val="18"/>
              </w:rPr>
              <w:t>辅机冷却循环水站排污</w:t>
            </w:r>
          </w:p>
        </w:tc>
        <w:tc>
          <w:tcPr>
            <w:tcW w:w="3124" w:type="dxa"/>
            <w:vAlign w:val="top"/>
          </w:tcPr>
          <w:p w14:paraId="24A2BC63">
            <w:pPr>
              <w:pStyle w:val="6"/>
              <w:spacing w:before="97" w:line="217" w:lineRule="auto"/>
              <w:ind w:left="1208"/>
              <w:rPr>
                <w:sz w:val="18"/>
                <w:szCs w:val="18"/>
              </w:rPr>
            </w:pPr>
            <w:r>
              <w:rPr>
                <w:spacing w:val="-3"/>
                <w:sz w:val="18"/>
                <w:szCs w:val="18"/>
              </w:rPr>
              <w:t>发电机组</w:t>
            </w:r>
          </w:p>
        </w:tc>
        <w:tc>
          <w:tcPr>
            <w:tcW w:w="3384" w:type="dxa"/>
            <w:tcBorders>
              <w:right w:val="nil"/>
            </w:tcBorders>
            <w:vAlign w:val="top"/>
          </w:tcPr>
          <w:p w14:paraId="0B9AA816">
            <w:pPr>
              <w:pStyle w:val="6"/>
              <w:spacing w:before="123" w:line="183" w:lineRule="auto"/>
              <w:ind w:left="1334"/>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TDS</w:t>
            </w:r>
            <w:r>
              <w:rPr>
                <w:rFonts w:ascii="Times New Roman" w:hAnsi="Times New Roman" w:eastAsia="Times New Roman" w:cs="Times New Roman"/>
                <w:spacing w:val="-20"/>
                <w:sz w:val="18"/>
                <w:szCs w:val="18"/>
              </w:rPr>
              <w:t xml:space="preserve"> </w:t>
            </w:r>
            <w:r>
              <w:rPr>
                <w:spacing w:val="-5"/>
                <w:sz w:val="18"/>
                <w:szCs w:val="18"/>
              </w:rPr>
              <w:t>、</w:t>
            </w:r>
            <w:r>
              <w:rPr>
                <w:rFonts w:ascii="Times New Roman" w:hAnsi="Times New Roman" w:eastAsia="Times New Roman" w:cs="Times New Roman"/>
                <w:spacing w:val="-5"/>
                <w:sz w:val="18"/>
                <w:szCs w:val="18"/>
              </w:rPr>
              <w:t>SS</w:t>
            </w:r>
          </w:p>
        </w:tc>
      </w:tr>
      <w:tr w14:paraId="365833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422" w:type="dxa"/>
            <w:tcBorders>
              <w:top w:val="nil"/>
              <w:left w:val="nil"/>
              <w:bottom w:val="nil"/>
            </w:tcBorders>
            <w:vAlign w:val="top"/>
          </w:tcPr>
          <w:p w14:paraId="681860C6">
            <w:pPr>
              <w:rPr>
                <w:rFonts w:ascii="Arial"/>
                <w:sz w:val="21"/>
              </w:rPr>
            </w:pPr>
          </w:p>
        </w:tc>
        <w:tc>
          <w:tcPr>
            <w:tcW w:w="2165" w:type="dxa"/>
            <w:vAlign w:val="top"/>
          </w:tcPr>
          <w:p w14:paraId="29215D5C">
            <w:pPr>
              <w:pStyle w:val="6"/>
              <w:spacing w:before="95" w:line="219" w:lineRule="auto"/>
              <w:ind w:left="727"/>
              <w:rPr>
                <w:sz w:val="18"/>
                <w:szCs w:val="18"/>
              </w:rPr>
            </w:pPr>
            <w:r>
              <w:rPr>
                <w:spacing w:val="-3"/>
                <w:sz w:val="18"/>
                <w:szCs w:val="18"/>
              </w:rPr>
              <w:t>生活污水</w:t>
            </w:r>
          </w:p>
        </w:tc>
        <w:tc>
          <w:tcPr>
            <w:tcW w:w="3124" w:type="dxa"/>
            <w:vAlign w:val="top"/>
          </w:tcPr>
          <w:p w14:paraId="401A7B81">
            <w:pPr>
              <w:pStyle w:val="6"/>
              <w:spacing w:before="99" w:line="215" w:lineRule="auto"/>
              <w:ind w:left="848"/>
              <w:rPr>
                <w:sz w:val="18"/>
                <w:szCs w:val="18"/>
              </w:rPr>
            </w:pPr>
            <w:r>
              <w:rPr>
                <w:spacing w:val="-2"/>
                <w:sz w:val="18"/>
                <w:szCs w:val="18"/>
              </w:rPr>
              <w:t>厂区职工生活产生</w:t>
            </w:r>
          </w:p>
        </w:tc>
        <w:tc>
          <w:tcPr>
            <w:tcW w:w="3384" w:type="dxa"/>
            <w:tcBorders>
              <w:right w:val="nil"/>
            </w:tcBorders>
            <w:vAlign w:val="top"/>
          </w:tcPr>
          <w:p w14:paraId="3611DEB3">
            <w:pPr>
              <w:pStyle w:val="6"/>
              <w:spacing w:before="99" w:line="210" w:lineRule="auto"/>
              <w:ind w:left="395"/>
              <w:rPr>
                <w:sz w:val="18"/>
                <w:szCs w:val="18"/>
              </w:rPr>
            </w:pPr>
            <w:r>
              <w:rPr>
                <w:rFonts w:ascii="Times New Roman" w:hAnsi="Times New Roman" w:eastAsia="Times New Roman" w:cs="Times New Roman"/>
                <w:spacing w:val="-3"/>
                <w:sz w:val="18"/>
                <w:szCs w:val="18"/>
              </w:rPr>
              <w:t>pH</w:t>
            </w:r>
            <w:r>
              <w:rPr>
                <w:spacing w:val="-3"/>
                <w:sz w:val="18"/>
                <w:szCs w:val="18"/>
              </w:rPr>
              <w:t>、</w:t>
            </w:r>
            <w:r>
              <w:rPr>
                <w:rFonts w:ascii="Times New Roman" w:hAnsi="Times New Roman" w:eastAsia="Times New Roman" w:cs="Times New Roman"/>
                <w:spacing w:val="-3"/>
                <w:sz w:val="18"/>
                <w:szCs w:val="18"/>
              </w:rPr>
              <w:t>COD</w:t>
            </w:r>
            <w:r>
              <w:rPr>
                <w:rFonts w:ascii="Times New Roman" w:hAnsi="Times New Roman" w:eastAsia="Times New Roman" w:cs="Times New Roman"/>
                <w:spacing w:val="-3"/>
                <w:position w:val="-1"/>
                <w:sz w:val="11"/>
                <w:szCs w:val="11"/>
              </w:rPr>
              <w:t>cr</w:t>
            </w:r>
            <w:r>
              <w:rPr>
                <w:rFonts w:ascii="Times New Roman" w:hAnsi="Times New Roman" w:eastAsia="Times New Roman" w:cs="Times New Roman"/>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BOD</w:t>
            </w:r>
            <w:r>
              <w:rPr>
                <w:rFonts w:ascii="Times New Roman" w:hAnsi="Times New Roman" w:eastAsia="Times New Roman" w:cs="Times New Roman"/>
                <w:spacing w:val="-3"/>
                <w:position w:val="-1"/>
                <w:sz w:val="11"/>
                <w:szCs w:val="11"/>
              </w:rPr>
              <w:t>5</w:t>
            </w:r>
            <w:r>
              <w:rPr>
                <w:rFonts w:ascii="Times New Roman" w:hAnsi="Times New Roman" w:eastAsia="Times New Roman" w:cs="Times New Roman"/>
                <w:spacing w:val="-8"/>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SS</w:t>
            </w:r>
            <w:r>
              <w:rPr>
                <w:rFonts w:ascii="Times New Roman" w:hAnsi="Times New Roman" w:eastAsia="Times New Roman" w:cs="Times New Roman"/>
                <w:spacing w:val="-24"/>
                <w:sz w:val="18"/>
                <w:szCs w:val="18"/>
              </w:rPr>
              <w:t xml:space="preserve"> </w:t>
            </w:r>
            <w:r>
              <w:rPr>
                <w:spacing w:val="-3"/>
                <w:sz w:val="18"/>
                <w:szCs w:val="18"/>
              </w:rPr>
              <w:t>、氨氮等</w:t>
            </w:r>
          </w:p>
        </w:tc>
      </w:tr>
      <w:tr w14:paraId="434A93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7" w:hRule="atLeast"/>
        </w:trPr>
        <w:tc>
          <w:tcPr>
            <w:tcW w:w="422" w:type="dxa"/>
            <w:tcBorders>
              <w:top w:val="nil"/>
              <w:left w:val="nil"/>
              <w:bottom w:val="nil"/>
            </w:tcBorders>
            <w:vAlign w:val="top"/>
          </w:tcPr>
          <w:p w14:paraId="70F7C949">
            <w:pPr>
              <w:rPr>
                <w:rFonts w:ascii="Arial"/>
                <w:sz w:val="21"/>
              </w:rPr>
            </w:pPr>
          </w:p>
        </w:tc>
        <w:tc>
          <w:tcPr>
            <w:tcW w:w="2165" w:type="dxa"/>
            <w:vAlign w:val="top"/>
          </w:tcPr>
          <w:p w14:paraId="25975A93">
            <w:pPr>
              <w:pStyle w:val="6"/>
              <w:spacing w:before="85" w:line="207" w:lineRule="auto"/>
              <w:ind w:left="100"/>
              <w:rPr>
                <w:sz w:val="18"/>
                <w:szCs w:val="18"/>
              </w:rPr>
            </w:pPr>
            <w:r>
              <w:rPr>
                <w:spacing w:val="-1"/>
                <w:sz w:val="18"/>
                <w:szCs w:val="18"/>
              </w:rPr>
              <w:t>设备冷却循环水系统排污</w:t>
            </w:r>
          </w:p>
        </w:tc>
        <w:tc>
          <w:tcPr>
            <w:tcW w:w="3124" w:type="dxa"/>
            <w:vAlign w:val="top"/>
          </w:tcPr>
          <w:p w14:paraId="0D6C41EB">
            <w:pPr>
              <w:pStyle w:val="6"/>
              <w:spacing w:before="90" w:line="202" w:lineRule="auto"/>
              <w:ind w:left="1206"/>
              <w:rPr>
                <w:sz w:val="18"/>
                <w:szCs w:val="18"/>
              </w:rPr>
            </w:pPr>
            <w:r>
              <w:rPr>
                <w:spacing w:val="-2"/>
                <w:sz w:val="18"/>
                <w:szCs w:val="18"/>
              </w:rPr>
              <w:t>循环水站</w:t>
            </w:r>
          </w:p>
        </w:tc>
        <w:tc>
          <w:tcPr>
            <w:tcW w:w="3384" w:type="dxa"/>
            <w:tcBorders>
              <w:right w:val="nil"/>
            </w:tcBorders>
            <w:vAlign w:val="top"/>
          </w:tcPr>
          <w:p w14:paraId="6201E37C">
            <w:pPr>
              <w:pStyle w:val="6"/>
              <w:spacing w:before="116" w:line="175" w:lineRule="auto"/>
              <w:ind w:left="1334"/>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TDS</w:t>
            </w:r>
            <w:r>
              <w:rPr>
                <w:rFonts w:ascii="Times New Roman" w:hAnsi="Times New Roman" w:eastAsia="Times New Roman" w:cs="Times New Roman"/>
                <w:spacing w:val="-20"/>
                <w:sz w:val="18"/>
                <w:szCs w:val="18"/>
              </w:rPr>
              <w:t xml:space="preserve"> </w:t>
            </w:r>
            <w:r>
              <w:rPr>
                <w:spacing w:val="-5"/>
                <w:sz w:val="18"/>
                <w:szCs w:val="18"/>
              </w:rPr>
              <w:t>、</w:t>
            </w:r>
            <w:r>
              <w:rPr>
                <w:rFonts w:ascii="Times New Roman" w:hAnsi="Times New Roman" w:eastAsia="Times New Roman" w:cs="Times New Roman"/>
                <w:spacing w:val="-5"/>
                <w:sz w:val="18"/>
                <w:szCs w:val="18"/>
              </w:rPr>
              <w:t>SS</w:t>
            </w:r>
          </w:p>
        </w:tc>
      </w:tr>
      <w:tr w14:paraId="20848A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422" w:type="dxa"/>
            <w:tcBorders>
              <w:top w:val="nil"/>
              <w:left w:val="nil"/>
              <w:bottom w:val="nil"/>
            </w:tcBorders>
            <w:vAlign w:val="top"/>
          </w:tcPr>
          <w:p w14:paraId="13DBE066">
            <w:pPr>
              <w:rPr>
                <w:rFonts w:ascii="Arial"/>
                <w:sz w:val="21"/>
              </w:rPr>
            </w:pPr>
          </w:p>
        </w:tc>
        <w:tc>
          <w:tcPr>
            <w:tcW w:w="2165" w:type="dxa"/>
            <w:vAlign w:val="top"/>
          </w:tcPr>
          <w:p w14:paraId="17122F19">
            <w:pPr>
              <w:pStyle w:val="6"/>
              <w:spacing w:before="97" w:line="218" w:lineRule="auto"/>
              <w:ind w:left="548"/>
              <w:rPr>
                <w:sz w:val="18"/>
                <w:szCs w:val="18"/>
              </w:rPr>
            </w:pPr>
            <w:r>
              <w:rPr>
                <w:spacing w:val="-2"/>
                <w:sz w:val="18"/>
                <w:szCs w:val="18"/>
              </w:rPr>
              <w:t>软水制备排污</w:t>
            </w:r>
          </w:p>
        </w:tc>
        <w:tc>
          <w:tcPr>
            <w:tcW w:w="3124" w:type="dxa"/>
            <w:vAlign w:val="top"/>
          </w:tcPr>
          <w:p w14:paraId="148A8240">
            <w:pPr>
              <w:pStyle w:val="6"/>
              <w:spacing w:before="102" w:line="213" w:lineRule="auto"/>
              <w:ind w:left="1028"/>
              <w:rPr>
                <w:sz w:val="18"/>
                <w:szCs w:val="18"/>
              </w:rPr>
            </w:pPr>
            <w:r>
              <w:rPr>
                <w:spacing w:val="-2"/>
                <w:sz w:val="18"/>
                <w:szCs w:val="18"/>
              </w:rPr>
              <w:t>软水制备设备</w:t>
            </w:r>
          </w:p>
        </w:tc>
        <w:tc>
          <w:tcPr>
            <w:tcW w:w="3384" w:type="dxa"/>
            <w:tcBorders>
              <w:right w:val="nil"/>
            </w:tcBorders>
            <w:vAlign w:val="top"/>
          </w:tcPr>
          <w:p w14:paraId="752864F6">
            <w:pPr>
              <w:pStyle w:val="6"/>
              <w:spacing w:before="125" w:line="183" w:lineRule="auto"/>
              <w:ind w:left="1334"/>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TDS</w:t>
            </w:r>
            <w:r>
              <w:rPr>
                <w:rFonts w:ascii="Times New Roman" w:hAnsi="Times New Roman" w:eastAsia="Times New Roman" w:cs="Times New Roman"/>
                <w:spacing w:val="-20"/>
                <w:sz w:val="18"/>
                <w:szCs w:val="18"/>
              </w:rPr>
              <w:t xml:space="preserve"> </w:t>
            </w:r>
            <w:r>
              <w:rPr>
                <w:spacing w:val="-5"/>
                <w:sz w:val="18"/>
                <w:szCs w:val="18"/>
              </w:rPr>
              <w:t>、</w:t>
            </w:r>
            <w:r>
              <w:rPr>
                <w:rFonts w:ascii="Times New Roman" w:hAnsi="Times New Roman" w:eastAsia="Times New Roman" w:cs="Times New Roman"/>
                <w:spacing w:val="-5"/>
                <w:sz w:val="18"/>
                <w:szCs w:val="18"/>
              </w:rPr>
              <w:t>SS</w:t>
            </w:r>
          </w:p>
        </w:tc>
      </w:tr>
      <w:tr w14:paraId="48EEFF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422" w:type="dxa"/>
            <w:tcBorders>
              <w:top w:val="nil"/>
              <w:left w:val="nil"/>
            </w:tcBorders>
            <w:vAlign w:val="top"/>
          </w:tcPr>
          <w:p w14:paraId="456D1A19">
            <w:pPr>
              <w:rPr>
                <w:rFonts w:ascii="Arial"/>
                <w:sz w:val="21"/>
              </w:rPr>
            </w:pPr>
          </w:p>
        </w:tc>
        <w:tc>
          <w:tcPr>
            <w:tcW w:w="2165" w:type="dxa"/>
            <w:vAlign w:val="top"/>
          </w:tcPr>
          <w:p w14:paraId="6D9B605B">
            <w:pPr>
              <w:pStyle w:val="6"/>
              <w:spacing w:before="99" w:line="215" w:lineRule="auto"/>
              <w:ind w:left="638"/>
              <w:rPr>
                <w:sz w:val="18"/>
                <w:szCs w:val="18"/>
              </w:rPr>
            </w:pPr>
            <w:r>
              <w:rPr>
                <w:spacing w:val="-2"/>
                <w:sz w:val="18"/>
                <w:szCs w:val="18"/>
              </w:rPr>
              <w:t>化验室废水</w:t>
            </w:r>
          </w:p>
        </w:tc>
        <w:tc>
          <w:tcPr>
            <w:tcW w:w="3124" w:type="dxa"/>
            <w:vAlign w:val="top"/>
          </w:tcPr>
          <w:p w14:paraId="6864BD21">
            <w:pPr>
              <w:pStyle w:val="6"/>
              <w:spacing w:before="101" w:line="213" w:lineRule="auto"/>
              <w:ind w:left="1298"/>
              <w:rPr>
                <w:sz w:val="18"/>
                <w:szCs w:val="18"/>
              </w:rPr>
            </w:pPr>
            <w:r>
              <w:rPr>
                <w:spacing w:val="-3"/>
                <w:sz w:val="18"/>
                <w:szCs w:val="18"/>
              </w:rPr>
              <w:t>化验室</w:t>
            </w:r>
          </w:p>
        </w:tc>
        <w:tc>
          <w:tcPr>
            <w:tcW w:w="3384" w:type="dxa"/>
            <w:tcBorders>
              <w:right w:val="nil"/>
            </w:tcBorders>
            <w:vAlign w:val="top"/>
          </w:tcPr>
          <w:p w14:paraId="532BB576">
            <w:pPr>
              <w:pStyle w:val="6"/>
              <w:spacing w:before="127" w:line="180" w:lineRule="auto"/>
              <w:ind w:left="755"/>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pH</w:t>
            </w:r>
            <w:r>
              <w:rPr>
                <w:spacing w:val="-3"/>
                <w:sz w:val="18"/>
                <w:szCs w:val="18"/>
              </w:rPr>
              <w:t>、</w:t>
            </w:r>
            <w:r>
              <w:rPr>
                <w:rFonts w:ascii="Times New Roman" w:hAnsi="Times New Roman" w:eastAsia="Times New Roman" w:cs="Times New Roman"/>
                <w:spacing w:val="-3"/>
                <w:sz w:val="18"/>
                <w:szCs w:val="18"/>
              </w:rPr>
              <w:t>COD</w:t>
            </w:r>
            <w:r>
              <w:rPr>
                <w:rFonts w:ascii="Times New Roman" w:hAnsi="Times New Roman" w:eastAsia="Times New Roman" w:cs="Times New Roman"/>
                <w:spacing w:val="-3"/>
                <w:position w:val="-1"/>
                <w:sz w:val="11"/>
                <w:szCs w:val="11"/>
              </w:rPr>
              <w:t>cr</w:t>
            </w:r>
            <w:r>
              <w:rPr>
                <w:rFonts w:ascii="Times New Roman" w:hAnsi="Times New Roman" w:eastAsia="Times New Roman" w:cs="Times New Roman"/>
                <w:spacing w:val="8"/>
                <w:w w:val="101"/>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BOD</w:t>
            </w:r>
            <w:r>
              <w:rPr>
                <w:rFonts w:ascii="Times New Roman" w:hAnsi="Times New Roman" w:eastAsia="Times New Roman" w:cs="Times New Roman"/>
                <w:spacing w:val="-3"/>
                <w:position w:val="-1"/>
                <w:sz w:val="11"/>
                <w:szCs w:val="11"/>
              </w:rPr>
              <w:t>5</w:t>
            </w:r>
            <w:r>
              <w:rPr>
                <w:rFonts w:ascii="Times New Roman" w:hAnsi="Times New Roman" w:eastAsia="Times New Roman" w:cs="Times New Roman"/>
                <w:spacing w:val="-8"/>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SS</w:t>
            </w:r>
          </w:p>
        </w:tc>
      </w:tr>
      <w:tr w14:paraId="491DE4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3" w:hRule="atLeast"/>
        </w:trPr>
        <w:tc>
          <w:tcPr>
            <w:tcW w:w="422" w:type="dxa"/>
            <w:tcBorders>
              <w:left w:val="nil"/>
              <w:bottom w:val="nil"/>
            </w:tcBorders>
            <w:vAlign w:val="top"/>
          </w:tcPr>
          <w:p w14:paraId="6045CCAA">
            <w:pPr>
              <w:rPr>
                <w:rFonts w:ascii="Arial"/>
                <w:sz w:val="21"/>
              </w:rPr>
            </w:pPr>
          </w:p>
        </w:tc>
        <w:tc>
          <w:tcPr>
            <w:tcW w:w="2165" w:type="dxa"/>
            <w:vAlign w:val="top"/>
          </w:tcPr>
          <w:p w14:paraId="5505CB12">
            <w:pPr>
              <w:pStyle w:val="6"/>
              <w:spacing w:before="69" w:line="188" w:lineRule="auto"/>
              <w:ind w:left="97"/>
              <w:rPr>
                <w:sz w:val="18"/>
                <w:szCs w:val="18"/>
              </w:rPr>
            </w:pPr>
            <w:r>
              <w:rPr>
                <w:spacing w:val="-1"/>
                <w:sz w:val="18"/>
                <w:szCs w:val="18"/>
              </w:rPr>
              <w:t>焦炭烘干布袋除尘器收尘</w:t>
            </w:r>
          </w:p>
        </w:tc>
        <w:tc>
          <w:tcPr>
            <w:tcW w:w="3124" w:type="dxa"/>
            <w:vAlign w:val="top"/>
          </w:tcPr>
          <w:p w14:paraId="26FDFE0B">
            <w:pPr>
              <w:pStyle w:val="6"/>
              <w:spacing w:before="74" w:line="183" w:lineRule="auto"/>
              <w:ind w:left="1026"/>
              <w:rPr>
                <w:sz w:val="18"/>
                <w:szCs w:val="18"/>
              </w:rPr>
            </w:pPr>
            <w:r>
              <w:rPr>
                <w:spacing w:val="-2"/>
                <w:sz w:val="18"/>
                <w:szCs w:val="18"/>
              </w:rPr>
              <w:t>焦炭烘干车间</w:t>
            </w:r>
          </w:p>
        </w:tc>
        <w:tc>
          <w:tcPr>
            <w:tcW w:w="3384" w:type="dxa"/>
            <w:tcBorders>
              <w:right w:val="nil"/>
            </w:tcBorders>
            <w:vAlign w:val="top"/>
          </w:tcPr>
          <w:p w14:paraId="123126A2">
            <w:pPr>
              <w:pStyle w:val="6"/>
              <w:spacing w:before="69" w:line="188" w:lineRule="auto"/>
              <w:ind w:left="1438"/>
              <w:rPr>
                <w:sz w:val="18"/>
                <w:szCs w:val="18"/>
              </w:rPr>
            </w:pPr>
            <w:r>
              <w:rPr>
                <w:spacing w:val="-6"/>
                <w:sz w:val="18"/>
                <w:szCs w:val="18"/>
              </w:rPr>
              <w:t>除尘灰</w:t>
            </w:r>
          </w:p>
        </w:tc>
      </w:tr>
      <w:tr w14:paraId="38C7A3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 w:hRule="atLeast"/>
        </w:trPr>
        <w:tc>
          <w:tcPr>
            <w:tcW w:w="422" w:type="dxa"/>
            <w:tcBorders>
              <w:top w:val="nil"/>
              <w:left w:val="nil"/>
              <w:bottom w:val="nil"/>
            </w:tcBorders>
            <w:vAlign w:val="top"/>
          </w:tcPr>
          <w:p w14:paraId="058A4A5F">
            <w:pPr>
              <w:spacing w:line="243" w:lineRule="auto"/>
              <w:rPr>
                <w:rFonts w:ascii="Arial"/>
                <w:sz w:val="21"/>
              </w:rPr>
            </w:pPr>
          </w:p>
          <w:p w14:paraId="22BE9E3C">
            <w:pPr>
              <w:pStyle w:val="6"/>
              <w:spacing w:before="58" w:line="177" w:lineRule="auto"/>
              <w:ind w:left="52"/>
              <w:rPr>
                <w:sz w:val="18"/>
                <w:szCs w:val="18"/>
              </w:rPr>
            </w:pPr>
            <w:r>
              <w:rPr>
                <w:spacing w:val="-12"/>
                <w:sz w:val="18"/>
                <w:szCs w:val="18"/>
              </w:rPr>
              <w:t>固废</w:t>
            </w:r>
          </w:p>
        </w:tc>
        <w:tc>
          <w:tcPr>
            <w:tcW w:w="2165" w:type="dxa"/>
            <w:vAlign w:val="top"/>
          </w:tcPr>
          <w:p w14:paraId="50F5DF54">
            <w:pPr>
              <w:pStyle w:val="6"/>
              <w:spacing w:before="66" w:line="210" w:lineRule="auto"/>
              <w:ind w:left="998" w:right="89" w:hanging="901"/>
              <w:rPr>
                <w:sz w:val="18"/>
                <w:szCs w:val="18"/>
              </w:rPr>
            </w:pPr>
            <w:r>
              <w:rPr>
                <w:spacing w:val="-1"/>
                <w:sz w:val="18"/>
                <w:szCs w:val="18"/>
              </w:rPr>
              <w:t>锰矿石烘干布袋除尘器收</w:t>
            </w:r>
            <w:r>
              <w:rPr>
                <w:spacing w:val="2"/>
                <w:sz w:val="18"/>
                <w:szCs w:val="18"/>
              </w:rPr>
              <w:t xml:space="preserve"> </w:t>
            </w:r>
            <w:r>
              <w:rPr>
                <w:sz w:val="18"/>
                <w:szCs w:val="18"/>
              </w:rPr>
              <w:t>尘</w:t>
            </w:r>
          </w:p>
        </w:tc>
        <w:tc>
          <w:tcPr>
            <w:tcW w:w="3124" w:type="dxa"/>
            <w:vAlign w:val="top"/>
          </w:tcPr>
          <w:p w14:paraId="0192A729">
            <w:pPr>
              <w:pStyle w:val="6"/>
              <w:spacing w:before="185" w:line="219" w:lineRule="auto"/>
              <w:ind w:left="937"/>
              <w:rPr>
                <w:sz w:val="18"/>
                <w:szCs w:val="18"/>
              </w:rPr>
            </w:pPr>
            <w:r>
              <w:rPr>
                <w:spacing w:val="-2"/>
                <w:sz w:val="18"/>
                <w:szCs w:val="18"/>
              </w:rPr>
              <w:t>锰矿石烘干车间</w:t>
            </w:r>
          </w:p>
        </w:tc>
        <w:tc>
          <w:tcPr>
            <w:tcW w:w="3384" w:type="dxa"/>
            <w:tcBorders>
              <w:right w:val="nil"/>
            </w:tcBorders>
            <w:vAlign w:val="top"/>
          </w:tcPr>
          <w:p w14:paraId="70C449C8">
            <w:pPr>
              <w:pStyle w:val="6"/>
              <w:spacing w:before="181" w:line="219" w:lineRule="auto"/>
              <w:ind w:left="1438"/>
              <w:rPr>
                <w:sz w:val="18"/>
                <w:szCs w:val="18"/>
              </w:rPr>
            </w:pPr>
            <w:r>
              <w:rPr>
                <w:spacing w:val="-6"/>
                <w:sz w:val="18"/>
                <w:szCs w:val="18"/>
              </w:rPr>
              <w:t>除尘灰</w:t>
            </w:r>
          </w:p>
        </w:tc>
      </w:tr>
      <w:tr w14:paraId="0C2958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1" w:hRule="atLeast"/>
        </w:trPr>
        <w:tc>
          <w:tcPr>
            <w:tcW w:w="422" w:type="dxa"/>
            <w:tcBorders>
              <w:top w:val="nil"/>
              <w:left w:val="nil"/>
              <w:bottom w:val="single" w:color="000000" w:sz="10" w:space="0"/>
            </w:tcBorders>
            <w:vAlign w:val="top"/>
          </w:tcPr>
          <w:p w14:paraId="02E5452B">
            <w:pPr>
              <w:rPr>
                <w:rFonts w:ascii="Arial"/>
                <w:sz w:val="21"/>
              </w:rPr>
            </w:pPr>
          </w:p>
        </w:tc>
        <w:tc>
          <w:tcPr>
            <w:tcW w:w="2165" w:type="dxa"/>
            <w:tcBorders>
              <w:bottom w:val="single" w:color="000000" w:sz="10" w:space="0"/>
            </w:tcBorders>
            <w:vAlign w:val="top"/>
          </w:tcPr>
          <w:p w14:paraId="563AC4EE">
            <w:pPr>
              <w:pStyle w:val="6"/>
              <w:spacing w:before="194" w:line="219" w:lineRule="auto"/>
              <w:ind w:left="636"/>
              <w:rPr>
                <w:sz w:val="18"/>
                <w:szCs w:val="18"/>
              </w:rPr>
            </w:pPr>
            <w:r>
              <w:rPr>
                <w:spacing w:val="-2"/>
                <w:sz w:val="18"/>
                <w:szCs w:val="18"/>
              </w:rPr>
              <w:t>废耐火材料</w:t>
            </w:r>
          </w:p>
        </w:tc>
        <w:tc>
          <w:tcPr>
            <w:tcW w:w="3124" w:type="dxa"/>
            <w:tcBorders>
              <w:bottom w:val="single" w:color="000000" w:sz="10" w:space="0"/>
            </w:tcBorders>
            <w:vAlign w:val="top"/>
          </w:tcPr>
          <w:p w14:paraId="6E7318F5">
            <w:pPr>
              <w:pStyle w:val="6"/>
              <w:spacing w:before="74" w:line="224" w:lineRule="auto"/>
              <w:ind w:left="1298" w:right="28" w:hanging="1262"/>
              <w:rPr>
                <w:sz w:val="18"/>
                <w:szCs w:val="18"/>
              </w:rPr>
            </w:pPr>
            <w:r>
              <w:rPr>
                <w:spacing w:val="-1"/>
                <w:sz w:val="18"/>
                <w:szCs w:val="18"/>
              </w:rPr>
              <w:t>烧结机、电炉、铁水包等耐火材料检修</w:t>
            </w:r>
            <w:r>
              <w:rPr>
                <w:spacing w:val="9"/>
                <w:sz w:val="18"/>
                <w:szCs w:val="18"/>
              </w:rPr>
              <w:t xml:space="preserve"> </w:t>
            </w:r>
            <w:r>
              <w:rPr>
                <w:spacing w:val="-4"/>
                <w:sz w:val="18"/>
                <w:szCs w:val="18"/>
              </w:rPr>
              <w:t>更换等</w:t>
            </w:r>
          </w:p>
        </w:tc>
        <w:tc>
          <w:tcPr>
            <w:tcW w:w="3384" w:type="dxa"/>
            <w:tcBorders>
              <w:bottom w:val="single" w:color="000000" w:sz="10" w:space="0"/>
              <w:right w:val="nil"/>
            </w:tcBorders>
            <w:vAlign w:val="top"/>
          </w:tcPr>
          <w:p w14:paraId="52F396E1">
            <w:pPr>
              <w:pStyle w:val="6"/>
              <w:spacing w:before="194" w:line="219" w:lineRule="auto"/>
              <w:ind w:left="1246"/>
              <w:rPr>
                <w:sz w:val="18"/>
                <w:szCs w:val="18"/>
              </w:rPr>
            </w:pPr>
            <w:r>
              <w:rPr>
                <w:spacing w:val="-2"/>
                <w:sz w:val="18"/>
                <w:szCs w:val="18"/>
              </w:rPr>
              <w:t>废耐火材料</w:t>
            </w:r>
          </w:p>
        </w:tc>
      </w:tr>
    </w:tbl>
    <w:p w14:paraId="42F50595">
      <w:pPr>
        <w:pStyle w:val="2"/>
      </w:pPr>
    </w:p>
    <w:p w14:paraId="59707FBA">
      <w:pPr>
        <w:sectPr>
          <w:headerReference r:id="rId48" w:type="default"/>
          <w:footerReference r:id="rId49" w:type="default"/>
          <w:pgSz w:w="11907" w:h="16840"/>
          <w:pgMar w:top="1178" w:right="1336" w:bottom="1038" w:left="1405" w:header="870" w:footer="876" w:gutter="0"/>
          <w:cols w:space="720" w:num="1"/>
        </w:sectPr>
      </w:pPr>
    </w:p>
    <w:p w14:paraId="21FEE5B5">
      <w:pPr>
        <w:spacing w:line="238" w:lineRule="exact"/>
      </w:pPr>
      <w:r>
        <w:pict>
          <v:shape id="_x0000_s1053" o:spid="_x0000_s1053" style="position:absolute;left:0pt;margin-left:70.85pt;margin-top:59.65pt;height:0.75pt;width:453.65pt;mso-position-horizontal-relative:page;mso-position-vertical-relative:page;z-index:251687936;mso-width-relative:page;mso-height-relative:page;" fillcolor="#000000" filled="t" stroked="f" coordsize="9072,15" o:allowincell="f" path="m0,0l9072,0,9072,14,0,14,0,0xe">
            <v:path/>
            <v:fill on="t" focussize="0,0"/>
            <v:stroke on="f"/>
            <v:imagedata o:title=""/>
            <o:lock v:ext="edit"/>
          </v:shape>
        </w:pict>
      </w:r>
    </w:p>
    <w:tbl>
      <w:tblPr>
        <w:tblStyle w:val="5"/>
        <w:tblW w:w="9096"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22"/>
        <w:gridCol w:w="2165"/>
        <w:gridCol w:w="3125"/>
        <w:gridCol w:w="3384"/>
      </w:tblGrid>
      <w:tr w14:paraId="78EB8F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trPr>
        <w:tc>
          <w:tcPr>
            <w:tcW w:w="422" w:type="dxa"/>
            <w:tcBorders>
              <w:top w:val="single" w:color="000000" w:sz="10" w:space="0"/>
              <w:left w:val="nil"/>
            </w:tcBorders>
            <w:vAlign w:val="top"/>
          </w:tcPr>
          <w:p w14:paraId="4668A354">
            <w:pPr>
              <w:pStyle w:val="6"/>
              <w:spacing w:before="75" w:line="219" w:lineRule="auto"/>
              <w:ind w:left="37"/>
              <w:rPr>
                <w:sz w:val="18"/>
                <w:szCs w:val="18"/>
              </w:rPr>
            </w:pPr>
            <w:r>
              <w:rPr>
                <w:b/>
                <w:bCs/>
                <w:spacing w:val="-6"/>
                <w:sz w:val="18"/>
                <w:szCs w:val="18"/>
              </w:rPr>
              <w:t>类别</w:t>
            </w:r>
          </w:p>
        </w:tc>
        <w:tc>
          <w:tcPr>
            <w:tcW w:w="2165" w:type="dxa"/>
            <w:tcBorders>
              <w:top w:val="single" w:color="000000" w:sz="10" w:space="0"/>
            </w:tcBorders>
            <w:vAlign w:val="top"/>
          </w:tcPr>
          <w:p w14:paraId="6FDB9924">
            <w:pPr>
              <w:pStyle w:val="6"/>
              <w:spacing w:before="74" w:line="220" w:lineRule="auto"/>
              <w:ind w:left="636"/>
              <w:rPr>
                <w:sz w:val="18"/>
                <w:szCs w:val="18"/>
              </w:rPr>
            </w:pPr>
            <w:r>
              <w:rPr>
                <w:b/>
                <w:bCs/>
                <w:spacing w:val="-4"/>
                <w:sz w:val="18"/>
                <w:szCs w:val="18"/>
              </w:rPr>
              <w:t>污染源名称</w:t>
            </w:r>
          </w:p>
        </w:tc>
        <w:tc>
          <w:tcPr>
            <w:tcW w:w="3125" w:type="dxa"/>
            <w:tcBorders>
              <w:top w:val="single" w:color="000000" w:sz="10" w:space="0"/>
            </w:tcBorders>
            <w:vAlign w:val="top"/>
          </w:tcPr>
          <w:p w14:paraId="676228F5">
            <w:pPr>
              <w:pStyle w:val="6"/>
              <w:spacing w:before="75" w:line="219" w:lineRule="auto"/>
              <w:ind w:left="1206"/>
              <w:rPr>
                <w:sz w:val="18"/>
                <w:szCs w:val="18"/>
              </w:rPr>
            </w:pPr>
            <w:r>
              <w:rPr>
                <w:b/>
                <w:bCs/>
                <w:spacing w:val="-4"/>
                <w:sz w:val="18"/>
                <w:szCs w:val="18"/>
              </w:rPr>
              <w:t>产生位置</w:t>
            </w:r>
          </w:p>
        </w:tc>
        <w:tc>
          <w:tcPr>
            <w:tcW w:w="3384" w:type="dxa"/>
            <w:tcBorders>
              <w:top w:val="single" w:color="000000" w:sz="10" w:space="0"/>
              <w:right w:val="nil"/>
            </w:tcBorders>
            <w:vAlign w:val="top"/>
          </w:tcPr>
          <w:p w14:paraId="6F780344">
            <w:pPr>
              <w:pStyle w:val="6"/>
              <w:spacing w:before="74" w:line="220" w:lineRule="auto"/>
              <w:ind w:left="1245"/>
              <w:rPr>
                <w:sz w:val="18"/>
                <w:szCs w:val="18"/>
              </w:rPr>
            </w:pPr>
            <w:r>
              <w:rPr>
                <w:b/>
                <w:bCs/>
                <w:spacing w:val="-4"/>
                <w:sz w:val="18"/>
                <w:szCs w:val="18"/>
              </w:rPr>
              <w:t>主要污染物</w:t>
            </w:r>
          </w:p>
        </w:tc>
      </w:tr>
      <w:tr w14:paraId="5B7941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left w:val="nil"/>
              <w:bottom w:val="nil"/>
            </w:tcBorders>
            <w:vAlign w:val="top"/>
          </w:tcPr>
          <w:p w14:paraId="55D67411">
            <w:pPr>
              <w:rPr>
                <w:rFonts w:ascii="Arial"/>
                <w:sz w:val="21"/>
              </w:rPr>
            </w:pPr>
          </w:p>
        </w:tc>
        <w:tc>
          <w:tcPr>
            <w:tcW w:w="2165" w:type="dxa"/>
            <w:vAlign w:val="top"/>
          </w:tcPr>
          <w:p w14:paraId="3A059829">
            <w:pPr>
              <w:pStyle w:val="6"/>
              <w:spacing w:before="61" w:line="211" w:lineRule="auto"/>
              <w:ind w:left="727"/>
              <w:rPr>
                <w:sz w:val="18"/>
                <w:szCs w:val="18"/>
              </w:rPr>
            </w:pPr>
            <w:r>
              <w:rPr>
                <w:spacing w:val="-2"/>
                <w:sz w:val="18"/>
                <w:szCs w:val="18"/>
              </w:rPr>
              <w:t>脱硫石膏</w:t>
            </w:r>
          </w:p>
        </w:tc>
        <w:tc>
          <w:tcPr>
            <w:tcW w:w="3125" w:type="dxa"/>
            <w:vAlign w:val="top"/>
          </w:tcPr>
          <w:p w14:paraId="229B9563">
            <w:pPr>
              <w:pStyle w:val="6"/>
              <w:spacing w:before="61" w:line="211" w:lineRule="auto"/>
              <w:ind w:left="756"/>
              <w:rPr>
                <w:sz w:val="18"/>
                <w:szCs w:val="18"/>
              </w:rPr>
            </w:pPr>
            <w:r>
              <w:rPr>
                <w:spacing w:val="-1"/>
                <w:sz w:val="18"/>
                <w:szCs w:val="18"/>
              </w:rPr>
              <w:t>烧结机烟气脱硫装置</w:t>
            </w:r>
          </w:p>
        </w:tc>
        <w:tc>
          <w:tcPr>
            <w:tcW w:w="3384" w:type="dxa"/>
            <w:tcBorders>
              <w:right w:val="nil"/>
            </w:tcBorders>
            <w:vAlign w:val="top"/>
          </w:tcPr>
          <w:p w14:paraId="25584077">
            <w:pPr>
              <w:spacing w:before="104" w:line="189" w:lineRule="auto"/>
              <w:ind w:left="121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CaSO</w:t>
            </w:r>
            <w:r>
              <w:rPr>
                <w:rFonts w:ascii="Times New Roman" w:hAnsi="Times New Roman" w:eastAsia="Times New Roman" w:cs="Times New Roman"/>
                <w:spacing w:val="-1"/>
                <w:position w:val="-1"/>
                <w:sz w:val="11"/>
                <w:szCs w:val="11"/>
              </w:rPr>
              <w:t>4</w:t>
            </w:r>
            <w:r>
              <w:rPr>
                <w:rFonts w:ascii="Times New Roman" w:hAnsi="Times New Roman" w:eastAsia="Times New Roman" w:cs="Times New Roman"/>
                <w:spacing w:val="-1"/>
                <w:sz w:val="18"/>
                <w:szCs w:val="18"/>
              </w:rPr>
              <w:t>·2H</w:t>
            </w:r>
            <w:r>
              <w:rPr>
                <w:rFonts w:ascii="Times New Roman" w:hAnsi="Times New Roman" w:eastAsia="Times New Roman" w:cs="Times New Roman"/>
                <w:spacing w:val="-1"/>
                <w:position w:val="-1"/>
                <w:sz w:val="11"/>
                <w:szCs w:val="11"/>
              </w:rPr>
              <w:t>2</w:t>
            </w:r>
            <w:r>
              <w:rPr>
                <w:rFonts w:ascii="Times New Roman" w:hAnsi="Times New Roman" w:eastAsia="Times New Roman" w:cs="Times New Roman"/>
                <w:spacing w:val="-1"/>
                <w:sz w:val="18"/>
                <w:szCs w:val="18"/>
              </w:rPr>
              <w:t>O</w:t>
            </w:r>
          </w:p>
        </w:tc>
      </w:tr>
      <w:tr w14:paraId="637AA3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422" w:type="dxa"/>
            <w:tcBorders>
              <w:top w:val="nil"/>
              <w:left w:val="nil"/>
              <w:bottom w:val="nil"/>
            </w:tcBorders>
            <w:vAlign w:val="top"/>
          </w:tcPr>
          <w:p w14:paraId="31A78D50">
            <w:pPr>
              <w:rPr>
                <w:rFonts w:ascii="Arial"/>
                <w:sz w:val="21"/>
              </w:rPr>
            </w:pPr>
          </w:p>
        </w:tc>
        <w:tc>
          <w:tcPr>
            <w:tcW w:w="2165" w:type="dxa"/>
            <w:vAlign w:val="top"/>
          </w:tcPr>
          <w:p w14:paraId="47F82D33">
            <w:pPr>
              <w:pStyle w:val="6"/>
              <w:spacing w:before="60" w:line="211" w:lineRule="auto"/>
              <w:ind w:left="546"/>
              <w:rPr>
                <w:sz w:val="18"/>
                <w:szCs w:val="18"/>
              </w:rPr>
            </w:pPr>
            <w:r>
              <w:rPr>
                <w:spacing w:val="-2"/>
                <w:sz w:val="18"/>
                <w:szCs w:val="18"/>
              </w:rPr>
              <w:t>锰硅冶炼炉渣</w:t>
            </w:r>
          </w:p>
        </w:tc>
        <w:tc>
          <w:tcPr>
            <w:tcW w:w="3125" w:type="dxa"/>
            <w:vAlign w:val="top"/>
          </w:tcPr>
          <w:p w14:paraId="7D841D16">
            <w:pPr>
              <w:pStyle w:val="6"/>
              <w:spacing w:before="60" w:line="211" w:lineRule="auto"/>
              <w:ind w:left="1025"/>
              <w:rPr>
                <w:sz w:val="18"/>
                <w:szCs w:val="18"/>
              </w:rPr>
            </w:pPr>
            <w:r>
              <w:rPr>
                <w:spacing w:val="-2"/>
                <w:sz w:val="18"/>
                <w:szCs w:val="18"/>
              </w:rPr>
              <w:t>硅锰电炉冶炼</w:t>
            </w:r>
          </w:p>
        </w:tc>
        <w:tc>
          <w:tcPr>
            <w:tcW w:w="3384" w:type="dxa"/>
            <w:tcBorders>
              <w:right w:val="nil"/>
            </w:tcBorders>
            <w:vAlign w:val="top"/>
          </w:tcPr>
          <w:p w14:paraId="177B106E">
            <w:pPr>
              <w:pStyle w:val="6"/>
              <w:spacing w:before="60" w:line="211" w:lineRule="auto"/>
              <w:ind w:left="292"/>
              <w:rPr>
                <w:sz w:val="18"/>
                <w:szCs w:val="18"/>
              </w:rPr>
            </w:pPr>
            <w:r>
              <w:rPr>
                <w:rFonts w:ascii="Times New Roman" w:hAnsi="Times New Roman" w:eastAsia="Times New Roman" w:cs="Times New Roman"/>
                <w:spacing w:val="-2"/>
                <w:sz w:val="18"/>
                <w:szCs w:val="18"/>
              </w:rPr>
              <w:t>MnO</w:t>
            </w:r>
            <w:r>
              <w:rPr>
                <w:spacing w:val="-2"/>
                <w:sz w:val="18"/>
                <w:szCs w:val="18"/>
              </w:rPr>
              <w:t>、</w:t>
            </w:r>
            <w:r>
              <w:rPr>
                <w:rFonts w:ascii="Times New Roman" w:hAnsi="Times New Roman" w:eastAsia="Times New Roman" w:cs="Times New Roman"/>
                <w:spacing w:val="-2"/>
                <w:sz w:val="18"/>
                <w:szCs w:val="18"/>
              </w:rPr>
              <w:t>SiO</w:t>
            </w:r>
            <w:r>
              <w:rPr>
                <w:rFonts w:ascii="Times New Roman" w:hAnsi="Times New Roman" w:eastAsia="Times New Roman" w:cs="Times New Roman"/>
                <w:spacing w:val="-2"/>
                <w:position w:val="-1"/>
                <w:sz w:val="11"/>
                <w:szCs w:val="11"/>
              </w:rPr>
              <w:t>2</w:t>
            </w:r>
            <w:r>
              <w:rPr>
                <w:rFonts w:ascii="Times New Roman" w:hAnsi="Times New Roman" w:eastAsia="Times New Roman" w:cs="Times New Roman"/>
                <w:spacing w:val="-6"/>
                <w:position w:val="-1"/>
                <w:sz w:val="11"/>
                <w:szCs w:val="11"/>
              </w:rPr>
              <w:t xml:space="preserve"> </w:t>
            </w:r>
            <w:r>
              <w:rPr>
                <w:spacing w:val="-2"/>
                <w:sz w:val="18"/>
                <w:szCs w:val="18"/>
              </w:rPr>
              <w:t>、</w:t>
            </w:r>
            <w:r>
              <w:rPr>
                <w:rFonts w:ascii="Times New Roman" w:hAnsi="Times New Roman" w:eastAsia="Times New Roman" w:cs="Times New Roman"/>
                <w:spacing w:val="-2"/>
                <w:sz w:val="18"/>
                <w:szCs w:val="18"/>
              </w:rPr>
              <w:t>Al</w:t>
            </w:r>
            <w:r>
              <w:rPr>
                <w:rFonts w:ascii="Times New Roman" w:hAnsi="Times New Roman" w:eastAsia="Times New Roman" w:cs="Times New Roman"/>
                <w:spacing w:val="-2"/>
                <w:position w:val="-1"/>
                <w:sz w:val="11"/>
                <w:szCs w:val="11"/>
              </w:rPr>
              <w:t>2</w:t>
            </w:r>
            <w:r>
              <w:rPr>
                <w:rFonts w:ascii="Times New Roman" w:hAnsi="Times New Roman" w:eastAsia="Times New Roman" w:cs="Times New Roman"/>
                <w:spacing w:val="-2"/>
                <w:sz w:val="18"/>
                <w:szCs w:val="18"/>
              </w:rPr>
              <w:t>O</w:t>
            </w:r>
            <w:r>
              <w:rPr>
                <w:rFonts w:ascii="Times New Roman" w:hAnsi="Times New Roman" w:eastAsia="Times New Roman" w:cs="Times New Roman"/>
                <w:spacing w:val="-2"/>
                <w:position w:val="-1"/>
                <w:sz w:val="11"/>
                <w:szCs w:val="11"/>
              </w:rPr>
              <w:t>3</w:t>
            </w:r>
            <w:r>
              <w:rPr>
                <w:rFonts w:ascii="Times New Roman" w:hAnsi="Times New Roman" w:eastAsia="Times New Roman" w:cs="Times New Roman"/>
                <w:spacing w:val="-8"/>
                <w:position w:val="-1"/>
                <w:sz w:val="11"/>
                <w:szCs w:val="11"/>
              </w:rPr>
              <w:t xml:space="preserve"> </w:t>
            </w:r>
            <w:r>
              <w:rPr>
                <w:spacing w:val="-2"/>
                <w:sz w:val="18"/>
                <w:szCs w:val="18"/>
              </w:rPr>
              <w:t>、</w:t>
            </w:r>
            <w:r>
              <w:rPr>
                <w:rFonts w:ascii="Times New Roman" w:hAnsi="Times New Roman" w:eastAsia="Times New Roman" w:cs="Times New Roman"/>
                <w:spacing w:val="-2"/>
                <w:sz w:val="18"/>
                <w:szCs w:val="18"/>
              </w:rPr>
              <w:t>MgO</w:t>
            </w:r>
            <w:r>
              <w:rPr>
                <w:rFonts w:ascii="Times New Roman" w:hAnsi="Times New Roman" w:eastAsia="Times New Roman" w:cs="Times New Roman"/>
                <w:spacing w:val="-26"/>
                <w:sz w:val="18"/>
                <w:szCs w:val="18"/>
              </w:rPr>
              <w:t xml:space="preserve"> </w:t>
            </w:r>
            <w:r>
              <w:rPr>
                <w:spacing w:val="-2"/>
                <w:sz w:val="18"/>
                <w:szCs w:val="18"/>
              </w:rPr>
              <w:t>、</w:t>
            </w:r>
            <w:r>
              <w:rPr>
                <w:rFonts w:ascii="Times New Roman" w:hAnsi="Times New Roman" w:eastAsia="Times New Roman" w:cs="Times New Roman"/>
                <w:spacing w:val="-2"/>
                <w:sz w:val="18"/>
                <w:szCs w:val="18"/>
              </w:rPr>
              <w:t xml:space="preserve">CaO </w:t>
            </w:r>
            <w:r>
              <w:rPr>
                <w:spacing w:val="-2"/>
                <w:sz w:val="18"/>
                <w:szCs w:val="18"/>
              </w:rPr>
              <w:t>等</w:t>
            </w:r>
          </w:p>
        </w:tc>
      </w:tr>
      <w:tr w14:paraId="2FCEFF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422" w:type="dxa"/>
            <w:tcBorders>
              <w:top w:val="nil"/>
              <w:left w:val="nil"/>
              <w:bottom w:val="nil"/>
            </w:tcBorders>
            <w:vAlign w:val="top"/>
          </w:tcPr>
          <w:p w14:paraId="31B20FA8">
            <w:pPr>
              <w:rPr>
                <w:rFonts w:ascii="Arial"/>
                <w:sz w:val="21"/>
              </w:rPr>
            </w:pPr>
          </w:p>
        </w:tc>
        <w:tc>
          <w:tcPr>
            <w:tcW w:w="2165" w:type="dxa"/>
            <w:vAlign w:val="top"/>
          </w:tcPr>
          <w:p w14:paraId="6A2B0AA8">
            <w:pPr>
              <w:pStyle w:val="6"/>
              <w:spacing w:before="62" w:line="209" w:lineRule="auto"/>
              <w:ind w:left="638"/>
              <w:rPr>
                <w:sz w:val="18"/>
                <w:szCs w:val="18"/>
              </w:rPr>
            </w:pPr>
            <w:r>
              <w:rPr>
                <w:spacing w:val="-2"/>
                <w:sz w:val="18"/>
                <w:szCs w:val="18"/>
              </w:rPr>
              <w:t>车间沉降灰</w:t>
            </w:r>
          </w:p>
        </w:tc>
        <w:tc>
          <w:tcPr>
            <w:tcW w:w="3125" w:type="dxa"/>
            <w:vAlign w:val="top"/>
          </w:tcPr>
          <w:p w14:paraId="7C777337">
            <w:pPr>
              <w:pStyle w:val="6"/>
              <w:spacing w:before="62" w:line="209" w:lineRule="auto"/>
              <w:ind w:left="217"/>
              <w:rPr>
                <w:sz w:val="18"/>
                <w:szCs w:val="18"/>
              </w:rPr>
            </w:pPr>
            <w:r>
              <w:rPr>
                <w:spacing w:val="-1"/>
                <w:sz w:val="18"/>
                <w:szCs w:val="18"/>
              </w:rPr>
              <w:t>烘干车间、烧结系统、电炉车间等</w:t>
            </w:r>
          </w:p>
        </w:tc>
        <w:tc>
          <w:tcPr>
            <w:tcW w:w="3384" w:type="dxa"/>
            <w:tcBorders>
              <w:right w:val="nil"/>
            </w:tcBorders>
            <w:vAlign w:val="top"/>
          </w:tcPr>
          <w:p w14:paraId="403388FE">
            <w:pPr>
              <w:pStyle w:val="6"/>
              <w:spacing w:before="62" w:line="209" w:lineRule="auto"/>
              <w:ind w:left="1335"/>
              <w:rPr>
                <w:sz w:val="18"/>
                <w:szCs w:val="18"/>
              </w:rPr>
            </w:pPr>
            <w:r>
              <w:rPr>
                <w:spacing w:val="-2"/>
                <w:sz w:val="18"/>
                <w:szCs w:val="18"/>
              </w:rPr>
              <w:t>沉降下灰</w:t>
            </w:r>
          </w:p>
        </w:tc>
      </w:tr>
      <w:tr w14:paraId="5D05DB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2732915A">
            <w:pPr>
              <w:rPr>
                <w:rFonts w:ascii="Arial"/>
                <w:sz w:val="21"/>
              </w:rPr>
            </w:pPr>
          </w:p>
        </w:tc>
        <w:tc>
          <w:tcPr>
            <w:tcW w:w="2165" w:type="dxa"/>
            <w:vAlign w:val="top"/>
          </w:tcPr>
          <w:p w14:paraId="45E16200">
            <w:pPr>
              <w:pStyle w:val="6"/>
              <w:spacing w:before="64" w:line="208" w:lineRule="auto"/>
              <w:ind w:left="547"/>
              <w:rPr>
                <w:sz w:val="18"/>
                <w:szCs w:val="18"/>
              </w:rPr>
            </w:pPr>
            <w:r>
              <w:rPr>
                <w:spacing w:val="-2"/>
                <w:sz w:val="18"/>
                <w:szCs w:val="18"/>
              </w:rPr>
              <w:t>煤气净化收尘</w:t>
            </w:r>
          </w:p>
        </w:tc>
        <w:tc>
          <w:tcPr>
            <w:tcW w:w="3125" w:type="dxa"/>
            <w:vAlign w:val="top"/>
          </w:tcPr>
          <w:p w14:paraId="395AE69A">
            <w:pPr>
              <w:pStyle w:val="6"/>
              <w:spacing w:before="64" w:line="208" w:lineRule="auto"/>
              <w:ind w:left="1026"/>
              <w:rPr>
                <w:sz w:val="18"/>
                <w:szCs w:val="18"/>
              </w:rPr>
            </w:pPr>
            <w:r>
              <w:rPr>
                <w:spacing w:val="-2"/>
                <w:sz w:val="18"/>
                <w:szCs w:val="18"/>
              </w:rPr>
              <w:t>煤气净化车间</w:t>
            </w:r>
          </w:p>
        </w:tc>
        <w:tc>
          <w:tcPr>
            <w:tcW w:w="3384" w:type="dxa"/>
            <w:tcBorders>
              <w:right w:val="nil"/>
            </w:tcBorders>
            <w:vAlign w:val="top"/>
          </w:tcPr>
          <w:p w14:paraId="422970F1">
            <w:pPr>
              <w:pStyle w:val="6"/>
              <w:spacing w:before="64" w:line="208" w:lineRule="auto"/>
              <w:ind w:left="1437"/>
              <w:rPr>
                <w:sz w:val="18"/>
                <w:szCs w:val="18"/>
              </w:rPr>
            </w:pPr>
            <w:r>
              <w:rPr>
                <w:spacing w:val="-6"/>
                <w:sz w:val="18"/>
                <w:szCs w:val="18"/>
              </w:rPr>
              <w:t>除尘灰</w:t>
            </w:r>
          </w:p>
        </w:tc>
      </w:tr>
      <w:tr w14:paraId="351663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01C2F05E">
            <w:pPr>
              <w:rPr>
                <w:rFonts w:ascii="Arial"/>
                <w:sz w:val="21"/>
              </w:rPr>
            </w:pPr>
          </w:p>
        </w:tc>
        <w:tc>
          <w:tcPr>
            <w:tcW w:w="2165" w:type="dxa"/>
            <w:vAlign w:val="top"/>
          </w:tcPr>
          <w:p w14:paraId="2F4544B6">
            <w:pPr>
              <w:pStyle w:val="6"/>
              <w:spacing w:before="66" w:line="206" w:lineRule="auto"/>
              <w:ind w:left="98"/>
              <w:rPr>
                <w:sz w:val="18"/>
                <w:szCs w:val="18"/>
              </w:rPr>
            </w:pPr>
            <w:r>
              <w:rPr>
                <w:spacing w:val="-1"/>
                <w:sz w:val="18"/>
                <w:szCs w:val="18"/>
              </w:rPr>
              <w:t>煤气冷凝废水隔油池浮渣</w:t>
            </w:r>
          </w:p>
        </w:tc>
        <w:tc>
          <w:tcPr>
            <w:tcW w:w="3125" w:type="dxa"/>
            <w:vAlign w:val="top"/>
          </w:tcPr>
          <w:p w14:paraId="63A01B9A">
            <w:pPr>
              <w:pStyle w:val="6"/>
              <w:spacing w:before="66" w:line="206" w:lineRule="auto"/>
              <w:ind w:left="1026"/>
              <w:rPr>
                <w:sz w:val="18"/>
                <w:szCs w:val="18"/>
              </w:rPr>
            </w:pPr>
            <w:r>
              <w:rPr>
                <w:spacing w:val="-2"/>
                <w:sz w:val="18"/>
                <w:szCs w:val="18"/>
              </w:rPr>
              <w:t>煤气净化车间</w:t>
            </w:r>
          </w:p>
        </w:tc>
        <w:tc>
          <w:tcPr>
            <w:tcW w:w="3384" w:type="dxa"/>
            <w:tcBorders>
              <w:right w:val="nil"/>
            </w:tcBorders>
            <w:vAlign w:val="top"/>
          </w:tcPr>
          <w:p w14:paraId="5A92EE94">
            <w:pPr>
              <w:pStyle w:val="6"/>
              <w:spacing w:before="66" w:line="206" w:lineRule="auto"/>
              <w:ind w:left="1515"/>
              <w:rPr>
                <w:sz w:val="18"/>
                <w:szCs w:val="18"/>
              </w:rPr>
            </w:pPr>
            <w:r>
              <w:rPr>
                <w:spacing w:val="-4"/>
                <w:sz w:val="18"/>
                <w:szCs w:val="18"/>
              </w:rPr>
              <w:t>焦油</w:t>
            </w:r>
          </w:p>
        </w:tc>
      </w:tr>
      <w:tr w14:paraId="742737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3213ABFC">
            <w:pPr>
              <w:rPr>
                <w:rFonts w:ascii="Arial"/>
                <w:sz w:val="21"/>
              </w:rPr>
            </w:pPr>
          </w:p>
        </w:tc>
        <w:tc>
          <w:tcPr>
            <w:tcW w:w="2165" w:type="dxa"/>
            <w:vAlign w:val="top"/>
          </w:tcPr>
          <w:p w14:paraId="2A5CD570">
            <w:pPr>
              <w:pStyle w:val="6"/>
              <w:spacing w:before="67" w:line="205" w:lineRule="auto"/>
              <w:ind w:left="726"/>
              <w:rPr>
                <w:sz w:val="18"/>
                <w:szCs w:val="18"/>
              </w:rPr>
            </w:pPr>
            <w:r>
              <w:rPr>
                <w:spacing w:val="-2"/>
                <w:sz w:val="18"/>
                <w:szCs w:val="18"/>
              </w:rPr>
              <w:t>焦油杂质</w:t>
            </w:r>
          </w:p>
        </w:tc>
        <w:tc>
          <w:tcPr>
            <w:tcW w:w="3125" w:type="dxa"/>
            <w:vAlign w:val="top"/>
          </w:tcPr>
          <w:p w14:paraId="26405801">
            <w:pPr>
              <w:pStyle w:val="6"/>
              <w:spacing w:before="67" w:line="205" w:lineRule="auto"/>
              <w:ind w:left="1026"/>
              <w:rPr>
                <w:sz w:val="18"/>
                <w:szCs w:val="18"/>
              </w:rPr>
            </w:pPr>
            <w:r>
              <w:rPr>
                <w:spacing w:val="-2"/>
                <w:sz w:val="18"/>
                <w:szCs w:val="18"/>
              </w:rPr>
              <w:t>煤气净化车间</w:t>
            </w:r>
          </w:p>
        </w:tc>
        <w:tc>
          <w:tcPr>
            <w:tcW w:w="3384" w:type="dxa"/>
            <w:tcBorders>
              <w:right w:val="nil"/>
            </w:tcBorders>
            <w:vAlign w:val="top"/>
          </w:tcPr>
          <w:p w14:paraId="70BF5F04">
            <w:pPr>
              <w:pStyle w:val="6"/>
              <w:spacing w:before="67" w:line="205" w:lineRule="auto"/>
              <w:ind w:left="1246"/>
              <w:rPr>
                <w:sz w:val="18"/>
                <w:szCs w:val="18"/>
              </w:rPr>
            </w:pPr>
            <w:r>
              <w:rPr>
                <w:spacing w:val="-2"/>
                <w:sz w:val="18"/>
                <w:szCs w:val="18"/>
              </w:rPr>
              <w:t>焦油、灰尘</w:t>
            </w:r>
          </w:p>
        </w:tc>
      </w:tr>
      <w:tr w14:paraId="2371A7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75F3B182">
            <w:pPr>
              <w:rPr>
                <w:rFonts w:ascii="Arial"/>
                <w:sz w:val="21"/>
              </w:rPr>
            </w:pPr>
          </w:p>
        </w:tc>
        <w:tc>
          <w:tcPr>
            <w:tcW w:w="2165" w:type="dxa"/>
            <w:vAlign w:val="top"/>
          </w:tcPr>
          <w:p w14:paraId="378277D8">
            <w:pPr>
              <w:pStyle w:val="6"/>
              <w:spacing w:before="68" w:line="204" w:lineRule="auto"/>
              <w:ind w:left="727"/>
              <w:rPr>
                <w:sz w:val="18"/>
                <w:szCs w:val="18"/>
              </w:rPr>
            </w:pPr>
            <w:r>
              <w:rPr>
                <w:spacing w:val="-2"/>
                <w:sz w:val="18"/>
                <w:szCs w:val="18"/>
              </w:rPr>
              <w:t>过滤杂质</w:t>
            </w:r>
          </w:p>
        </w:tc>
        <w:tc>
          <w:tcPr>
            <w:tcW w:w="3125" w:type="dxa"/>
            <w:vAlign w:val="top"/>
          </w:tcPr>
          <w:p w14:paraId="62BB229F">
            <w:pPr>
              <w:pStyle w:val="6"/>
              <w:spacing w:before="68" w:line="204" w:lineRule="auto"/>
              <w:ind w:left="1026"/>
              <w:rPr>
                <w:sz w:val="18"/>
                <w:szCs w:val="18"/>
              </w:rPr>
            </w:pPr>
            <w:r>
              <w:rPr>
                <w:spacing w:val="-2"/>
                <w:sz w:val="18"/>
                <w:szCs w:val="18"/>
              </w:rPr>
              <w:t>煤气净化车间</w:t>
            </w:r>
          </w:p>
        </w:tc>
        <w:tc>
          <w:tcPr>
            <w:tcW w:w="3384" w:type="dxa"/>
            <w:tcBorders>
              <w:right w:val="nil"/>
            </w:tcBorders>
            <w:vAlign w:val="top"/>
          </w:tcPr>
          <w:p w14:paraId="633BCE5F">
            <w:pPr>
              <w:pStyle w:val="6"/>
              <w:spacing w:before="68" w:line="204" w:lineRule="auto"/>
              <w:ind w:left="1246"/>
              <w:rPr>
                <w:sz w:val="18"/>
                <w:szCs w:val="18"/>
              </w:rPr>
            </w:pPr>
            <w:r>
              <w:rPr>
                <w:spacing w:val="-2"/>
                <w:sz w:val="18"/>
                <w:szCs w:val="18"/>
              </w:rPr>
              <w:t>焦油、灰尘</w:t>
            </w:r>
          </w:p>
        </w:tc>
      </w:tr>
      <w:tr w14:paraId="285262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422" w:type="dxa"/>
            <w:tcBorders>
              <w:top w:val="nil"/>
              <w:left w:val="nil"/>
              <w:bottom w:val="nil"/>
            </w:tcBorders>
            <w:vAlign w:val="top"/>
          </w:tcPr>
          <w:p w14:paraId="75757CD8">
            <w:pPr>
              <w:rPr>
                <w:rFonts w:ascii="Arial"/>
                <w:sz w:val="21"/>
              </w:rPr>
            </w:pPr>
          </w:p>
        </w:tc>
        <w:tc>
          <w:tcPr>
            <w:tcW w:w="2165" w:type="dxa"/>
            <w:vAlign w:val="top"/>
          </w:tcPr>
          <w:p w14:paraId="0BBFD84D">
            <w:pPr>
              <w:pStyle w:val="6"/>
              <w:spacing w:before="69" w:line="202" w:lineRule="auto"/>
              <w:ind w:left="725"/>
              <w:rPr>
                <w:sz w:val="18"/>
                <w:szCs w:val="18"/>
              </w:rPr>
            </w:pPr>
            <w:r>
              <w:rPr>
                <w:spacing w:val="-2"/>
                <w:sz w:val="18"/>
                <w:szCs w:val="18"/>
              </w:rPr>
              <w:t>废矿物油</w:t>
            </w:r>
          </w:p>
        </w:tc>
        <w:tc>
          <w:tcPr>
            <w:tcW w:w="3125" w:type="dxa"/>
            <w:vAlign w:val="top"/>
          </w:tcPr>
          <w:p w14:paraId="63533FCE">
            <w:pPr>
              <w:pStyle w:val="6"/>
              <w:spacing w:before="69" w:line="202" w:lineRule="auto"/>
              <w:ind w:left="667"/>
              <w:rPr>
                <w:sz w:val="18"/>
                <w:szCs w:val="18"/>
              </w:rPr>
            </w:pPr>
            <w:r>
              <w:rPr>
                <w:spacing w:val="-1"/>
                <w:sz w:val="18"/>
                <w:szCs w:val="18"/>
              </w:rPr>
              <w:t>生产设备维护检修产生</w:t>
            </w:r>
          </w:p>
        </w:tc>
        <w:tc>
          <w:tcPr>
            <w:tcW w:w="3384" w:type="dxa"/>
            <w:tcBorders>
              <w:right w:val="nil"/>
            </w:tcBorders>
            <w:vAlign w:val="top"/>
          </w:tcPr>
          <w:p w14:paraId="5A452FE0">
            <w:pPr>
              <w:pStyle w:val="6"/>
              <w:spacing w:before="69" w:line="202" w:lineRule="auto"/>
              <w:ind w:left="885"/>
              <w:rPr>
                <w:sz w:val="18"/>
                <w:szCs w:val="18"/>
              </w:rPr>
            </w:pPr>
            <w:r>
              <w:rPr>
                <w:spacing w:val="-1"/>
                <w:sz w:val="18"/>
                <w:szCs w:val="18"/>
              </w:rPr>
              <w:t>废润滑油、液压油等</w:t>
            </w:r>
          </w:p>
        </w:tc>
      </w:tr>
      <w:tr w14:paraId="0BEF83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422" w:type="dxa"/>
            <w:tcBorders>
              <w:top w:val="nil"/>
              <w:left w:val="nil"/>
              <w:bottom w:val="nil"/>
            </w:tcBorders>
            <w:vAlign w:val="top"/>
          </w:tcPr>
          <w:p w14:paraId="382C1479">
            <w:pPr>
              <w:rPr>
                <w:rFonts w:ascii="Arial"/>
                <w:sz w:val="21"/>
              </w:rPr>
            </w:pPr>
          </w:p>
        </w:tc>
        <w:tc>
          <w:tcPr>
            <w:tcW w:w="2165" w:type="dxa"/>
            <w:vAlign w:val="top"/>
          </w:tcPr>
          <w:p w14:paraId="65D7022F">
            <w:pPr>
              <w:pStyle w:val="6"/>
              <w:spacing w:before="71" w:line="199" w:lineRule="auto"/>
              <w:ind w:left="727"/>
              <w:rPr>
                <w:sz w:val="18"/>
                <w:szCs w:val="18"/>
              </w:rPr>
            </w:pPr>
            <w:r>
              <w:rPr>
                <w:spacing w:val="-3"/>
                <w:sz w:val="18"/>
                <w:szCs w:val="18"/>
              </w:rPr>
              <w:t>生活垃圾</w:t>
            </w:r>
          </w:p>
        </w:tc>
        <w:tc>
          <w:tcPr>
            <w:tcW w:w="3125" w:type="dxa"/>
            <w:vAlign w:val="top"/>
          </w:tcPr>
          <w:p w14:paraId="72106A1F">
            <w:pPr>
              <w:pStyle w:val="6"/>
              <w:spacing w:before="71" w:line="199" w:lineRule="auto"/>
              <w:ind w:left="1026"/>
              <w:rPr>
                <w:sz w:val="18"/>
                <w:szCs w:val="18"/>
              </w:rPr>
            </w:pPr>
            <w:r>
              <w:rPr>
                <w:spacing w:val="-2"/>
                <w:sz w:val="18"/>
                <w:szCs w:val="18"/>
              </w:rPr>
              <w:t>职工日常生活</w:t>
            </w:r>
          </w:p>
        </w:tc>
        <w:tc>
          <w:tcPr>
            <w:tcW w:w="3384" w:type="dxa"/>
            <w:tcBorders>
              <w:right w:val="nil"/>
            </w:tcBorders>
            <w:vAlign w:val="top"/>
          </w:tcPr>
          <w:p w14:paraId="4B72A7E5">
            <w:pPr>
              <w:pStyle w:val="6"/>
              <w:spacing w:before="71" w:line="199" w:lineRule="auto"/>
              <w:ind w:left="976"/>
              <w:rPr>
                <w:sz w:val="18"/>
                <w:szCs w:val="18"/>
              </w:rPr>
            </w:pPr>
            <w:r>
              <w:rPr>
                <w:spacing w:val="-2"/>
                <w:sz w:val="18"/>
                <w:szCs w:val="18"/>
              </w:rPr>
              <w:t>纸张、食物残渣等</w:t>
            </w:r>
          </w:p>
        </w:tc>
      </w:tr>
      <w:tr w14:paraId="297765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5410F692">
            <w:pPr>
              <w:rPr>
                <w:rFonts w:ascii="Arial"/>
                <w:sz w:val="21"/>
              </w:rPr>
            </w:pPr>
          </w:p>
        </w:tc>
        <w:tc>
          <w:tcPr>
            <w:tcW w:w="2165" w:type="dxa"/>
            <w:vAlign w:val="top"/>
          </w:tcPr>
          <w:p w14:paraId="463A74BF">
            <w:pPr>
              <w:pStyle w:val="6"/>
              <w:spacing w:before="73" w:line="198" w:lineRule="auto"/>
              <w:ind w:left="456"/>
              <w:rPr>
                <w:sz w:val="18"/>
                <w:szCs w:val="18"/>
              </w:rPr>
            </w:pPr>
            <w:r>
              <w:rPr>
                <w:spacing w:val="-1"/>
                <w:sz w:val="18"/>
                <w:szCs w:val="18"/>
              </w:rPr>
              <w:t>废反渗透膜组件</w:t>
            </w:r>
          </w:p>
        </w:tc>
        <w:tc>
          <w:tcPr>
            <w:tcW w:w="3125" w:type="dxa"/>
            <w:vAlign w:val="top"/>
          </w:tcPr>
          <w:p w14:paraId="793CECAA">
            <w:pPr>
              <w:pStyle w:val="6"/>
              <w:spacing w:before="73" w:line="198" w:lineRule="auto"/>
              <w:ind w:left="1206"/>
              <w:rPr>
                <w:sz w:val="18"/>
                <w:szCs w:val="18"/>
              </w:rPr>
            </w:pPr>
            <w:r>
              <w:rPr>
                <w:spacing w:val="-2"/>
                <w:sz w:val="18"/>
                <w:szCs w:val="18"/>
              </w:rPr>
              <w:t>化水车间</w:t>
            </w:r>
          </w:p>
        </w:tc>
        <w:tc>
          <w:tcPr>
            <w:tcW w:w="3384" w:type="dxa"/>
            <w:tcBorders>
              <w:right w:val="nil"/>
            </w:tcBorders>
            <w:vAlign w:val="top"/>
          </w:tcPr>
          <w:p w14:paraId="1ADFA3BD">
            <w:pPr>
              <w:pStyle w:val="6"/>
              <w:spacing w:before="69" w:line="203" w:lineRule="auto"/>
              <w:ind w:left="1065"/>
              <w:rPr>
                <w:sz w:val="18"/>
                <w:szCs w:val="18"/>
              </w:rPr>
            </w:pPr>
            <w:r>
              <w:rPr>
                <w:spacing w:val="-1"/>
                <w:sz w:val="18"/>
                <w:szCs w:val="18"/>
              </w:rPr>
              <w:t>废反渗透膜组件</w:t>
            </w:r>
          </w:p>
        </w:tc>
      </w:tr>
      <w:tr w14:paraId="687771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4B1D2114">
            <w:pPr>
              <w:rPr>
                <w:rFonts w:ascii="Arial"/>
                <w:sz w:val="21"/>
              </w:rPr>
            </w:pPr>
          </w:p>
        </w:tc>
        <w:tc>
          <w:tcPr>
            <w:tcW w:w="2165" w:type="dxa"/>
            <w:vAlign w:val="top"/>
          </w:tcPr>
          <w:p w14:paraId="3699AA01">
            <w:pPr>
              <w:pStyle w:val="6"/>
              <w:spacing w:before="74" w:line="197" w:lineRule="auto"/>
              <w:ind w:left="171"/>
              <w:rPr>
                <w:sz w:val="18"/>
                <w:szCs w:val="18"/>
              </w:rPr>
            </w:pPr>
            <w:r>
              <w:rPr>
                <w:spacing w:val="-1"/>
                <w:sz w:val="18"/>
                <w:szCs w:val="18"/>
              </w:rPr>
              <w:t>废</w:t>
            </w:r>
            <w:r>
              <w:rPr>
                <w:spacing w:val="-41"/>
                <w:sz w:val="18"/>
                <w:szCs w:val="18"/>
              </w:rPr>
              <w:t xml:space="preserve"> </w:t>
            </w:r>
            <w:r>
              <w:rPr>
                <w:rFonts w:ascii="Times New Roman" w:hAnsi="Times New Roman" w:eastAsia="Times New Roman" w:cs="Times New Roman"/>
                <w:spacing w:val="-1"/>
                <w:sz w:val="18"/>
                <w:szCs w:val="18"/>
              </w:rPr>
              <w:t xml:space="preserve">EDI </w:t>
            </w:r>
            <w:r>
              <w:rPr>
                <w:spacing w:val="-1"/>
                <w:sz w:val="18"/>
                <w:szCs w:val="18"/>
              </w:rPr>
              <w:t>离子交换膜组件</w:t>
            </w:r>
          </w:p>
        </w:tc>
        <w:tc>
          <w:tcPr>
            <w:tcW w:w="3125" w:type="dxa"/>
            <w:vAlign w:val="top"/>
          </w:tcPr>
          <w:p w14:paraId="18CF6AA2">
            <w:pPr>
              <w:pStyle w:val="6"/>
              <w:spacing w:before="74" w:line="197" w:lineRule="auto"/>
              <w:ind w:left="1206"/>
              <w:rPr>
                <w:sz w:val="18"/>
                <w:szCs w:val="18"/>
              </w:rPr>
            </w:pPr>
            <w:r>
              <w:rPr>
                <w:spacing w:val="-2"/>
                <w:sz w:val="18"/>
                <w:szCs w:val="18"/>
              </w:rPr>
              <w:t>化水车间</w:t>
            </w:r>
          </w:p>
        </w:tc>
        <w:tc>
          <w:tcPr>
            <w:tcW w:w="3384" w:type="dxa"/>
            <w:tcBorders>
              <w:right w:val="nil"/>
            </w:tcBorders>
            <w:vAlign w:val="top"/>
          </w:tcPr>
          <w:p w14:paraId="33F544B4">
            <w:pPr>
              <w:pStyle w:val="6"/>
              <w:spacing w:before="70" w:line="202" w:lineRule="auto"/>
              <w:ind w:left="780"/>
              <w:rPr>
                <w:sz w:val="18"/>
                <w:szCs w:val="18"/>
              </w:rPr>
            </w:pPr>
            <w:r>
              <w:rPr>
                <w:spacing w:val="-1"/>
                <w:sz w:val="18"/>
                <w:szCs w:val="18"/>
              </w:rPr>
              <w:t>废</w:t>
            </w:r>
            <w:r>
              <w:rPr>
                <w:spacing w:val="-41"/>
                <w:sz w:val="18"/>
                <w:szCs w:val="18"/>
              </w:rPr>
              <w:t xml:space="preserve"> </w:t>
            </w:r>
            <w:r>
              <w:rPr>
                <w:rFonts w:ascii="Times New Roman" w:hAnsi="Times New Roman" w:eastAsia="Times New Roman" w:cs="Times New Roman"/>
                <w:spacing w:val="-1"/>
                <w:sz w:val="18"/>
                <w:szCs w:val="18"/>
              </w:rPr>
              <w:t xml:space="preserve">EDI </w:t>
            </w:r>
            <w:r>
              <w:rPr>
                <w:spacing w:val="-1"/>
                <w:sz w:val="18"/>
                <w:szCs w:val="18"/>
              </w:rPr>
              <w:t>离子交换膜组件</w:t>
            </w:r>
          </w:p>
        </w:tc>
      </w:tr>
      <w:tr w14:paraId="281126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70B70744">
            <w:pPr>
              <w:rPr>
                <w:rFonts w:ascii="Arial"/>
                <w:sz w:val="21"/>
              </w:rPr>
            </w:pPr>
          </w:p>
        </w:tc>
        <w:tc>
          <w:tcPr>
            <w:tcW w:w="2165" w:type="dxa"/>
            <w:vAlign w:val="top"/>
          </w:tcPr>
          <w:p w14:paraId="1299E2B0">
            <w:pPr>
              <w:pStyle w:val="6"/>
              <w:spacing w:before="75" w:line="196" w:lineRule="auto"/>
              <w:ind w:left="545"/>
              <w:rPr>
                <w:sz w:val="18"/>
                <w:szCs w:val="18"/>
              </w:rPr>
            </w:pPr>
            <w:r>
              <w:rPr>
                <w:spacing w:val="-2"/>
                <w:sz w:val="18"/>
                <w:szCs w:val="18"/>
              </w:rPr>
              <w:t>废脱硝催化剂</w:t>
            </w:r>
          </w:p>
        </w:tc>
        <w:tc>
          <w:tcPr>
            <w:tcW w:w="3125" w:type="dxa"/>
            <w:vAlign w:val="top"/>
          </w:tcPr>
          <w:p w14:paraId="1FD8DB33">
            <w:pPr>
              <w:pStyle w:val="6"/>
              <w:spacing w:before="75" w:line="196" w:lineRule="auto"/>
              <w:ind w:left="1206"/>
              <w:rPr>
                <w:sz w:val="18"/>
                <w:szCs w:val="18"/>
              </w:rPr>
            </w:pPr>
            <w:r>
              <w:rPr>
                <w:spacing w:val="-2"/>
                <w:sz w:val="18"/>
                <w:szCs w:val="18"/>
              </w:rPr>
              <w:t>脱硝装置</w:t>
            </w:r>
          </w:p>
        </w:tc>
        <w:tc>
          <w:tcPr>
            <w:tcW w:w="3384" w:type="dxa"/>
            <w:tcBorders>
              <w:right w:val="nil"/>
            </w:tcBorders>
            <w:vAlign w:val="top"/>
          </w:tcPr>
          <w:p w14:paraId="47469F83">
            <w:pPr>
              <w:pStyle w:val="6"/>
              <w:spacing w:before="99" w:line="172" w:lineRule="auto"/>
              <w:ind w:left="970"/>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V</w:t>
            </w:r>
            <w:r>
              <w:rPr>
                <w:rFonts w:ascii="Times New Roman" w:hAnsi="Times New Roman" w:eastAsia="Times New Roman" w:cs="Times New Roman"/>
                <w:spacing w:val="-3"/>
                <w:sz w:val="11"/>
                <w:szCs w:val="11"/>
              </w:rPr>
              <w:t>2</w:t>
            </w:r>
            <w:r>
              <w:rPr>
                <w:rFonts w:ascii="Times New Roman" w:hAnsi="Times New Roman" w:eastAsia="Times New Roman" w:cs="Times New Roman"/>
                <w:spacing w:val="-3"/>
                <w:sz w:val="18"/>
                <w:szCs w:val="18"/>
              </w:rPr>
              <w:t>O</w:t>
            </w:r>
            <w:r>
              <w:rPr>
                <w:rFonts w:ascii="Times New Roman" w:hAnsi="Times New Roman" w:eastAsia="Times New Roman" w:cs="Times New Roman"/>
                <w:spacing w:val="-3"/>
                <w:sz w:val="11"/>
                <w:szCs w:val="11"/>
              </w:rPr>
              <w:t>5</w:t>
            </w:r>
            <w:r>
              <w:rPr>
                <w:rFonts w:ascii="Times New Roman" w:hAnsi="Times New Roman" w:eastAsia="Times New Roman" w:cs="Times New Roman"/>
                <w:spacing w:val="-1"/>
                <w:sz w:val="11"/>
                <w:szCs w:val="11"/>
              </w:rPr>
              <w:t xml:space="preserve"> </w:t>
            </w:r>
            <w:r>
              <w:rPr>
                <w:spacing w:val="-3"/>
                <w:sz w:val="18"/>
                <w:szCs w:val="18"/>
              </w:rPr>
              <w:t>、</w:t>
            </w:r>
            <w:r>
              <w:rPr>
                <w:rFonts w:ascii="Times New Roman" w:hAnsi="Times New Roman" w:eastAsia="Times New Roman" w:cs="Times New Roman"/>
                <w:spacing w:val="-3"/>
                <w:sz w:val="18"/>
                <w:szCs w:val="18"/>
              </w:rPr>
              <w:t>TiO</w:t>
            </w:r>
            <w:r>
              <w:rPr>
                <w:rFonts w:ascii="Times New Roman" w:hAnsi="Times New Roman" w:eastAsia="Times New Roman" w:cs="Times New Roman"/>
                <w:spacing w:val="-3"/>
                <w:sz w:val="11"/>
                <w:szCs w:val="11"/>
              </w:rPr>
              <w:t>2</w:t>
            </w:r>
            <w:r>
              <w:rPr>
                <w:rFonts w:ascii="Times New Roman" w:hAnsi="Times New Roman" w:eastAsia="Times New Roman" w:cs="Times New Roman"/>
                <w:spacing w:val="-8"/>
                <w:sz w:val="11"/>
                <w:szCs w:val="11"/>
              </w:rPr>
              <w:t xml:space="preserve"> </w:t>
            </w:r>
            <w:r>
              <w:rPr>
                <w:spacing w:val="-3"/>
                <w:sz w:val="18"/>
                <w:szCs w:val="18"/>
              </w:rPr>
              <w:t>、</w:t>
            </w:r>
            <w:r>
              <w:rPr>
                <w:rFonts w:ascii="Times New Roman" w:hAnsi="Times New Roman" w:eastAsia="Times New Roman" w:cs="Times New Roman"/>
                <w:spacing w:val="-3"/>
                <w:sz w:val="18"/>
                <w:szCs w:val="18"/>
              </w:rPr>
              <w:t>WO</w:t>
            </w:r>
            <w:r>
              <w:rPr>
                <w:rFonts w:ascii="Times New Roman" w:hAnsi="Times New Roman" w:eastAsia="Times New Roman" w:cs="Times New Roman"/>
                <w:spacing w:val="-3"/>
                <w:sz w:val="11"/>
                <w:szCs w:val="11"/>
              </w:rPr>
              <w:t>3</w:t>
            </w:r>
          </w:p>
        </w:tc>
      </w:tr>
      <w:tr w14:paraId="7D4F59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58A55787">
            <w:pPr>
              <w:rPr>
                <w:rFonts w:ascii="Arial"/>
                <w:sz w:val="21"/>
              </w:rPr>
            </w:pPr>
          </w:p>
        </w:tc>
        <w:tc>
          <w:tcPr>
            <w:tcW w:w="2165" w:type="dxa"/>
            <w:vAlign w:val="top"/>
          </w:tcPr>
          <w:p w14:paraId="4F4464FD">
            <w:pPr>
              <w:pStyle w:val="6"/>
              <w:spacing w:before="77" w:line="194" w:lineRule="auto"/>
              <w:ind w:left="456"/>
              <w:rPr>
                <w:sz w:val="18"/>
                <w:szCs w:val="18"/>
              </w:rPr>
            </w:pPr>
            <w:r>
              <w:rPr>
                <w:spacing w:val="-1"/>
                <w:sz w:val="18"/>
                <w:szCs w:val="18"/>
              </w:rPr>
              <w:t>废离子交换树脂</w:t>
            </w:r>
          </w:p>
        </w:tc>
        <w:tc>
          <w:tcPr>
            <w:tcW w:w="3125" w:type="dxa"/>
            <w:vAlign w:val="top"/>
          </w:tcPr>
          <w:p w14:paraId="7CC2EE80">
            <w:pPr>
              <w:pStyle w:val="6"/>
              <w:spacing w:before="77" w:line="194" w:lineRule="auto"/>
              <w:ind w:left="1208"/>
              <w:rPr>
                <w:sz w:val="18"/>
                <w:szCs w:val="18"/>
              </w:rPr>
            </w:pPr>
            <w:r>
              <w:rPr>
                <w:spacing w:val="-3"/>
                <w:sz w:val="18"/>
                <w:szCs w:val="18"/>
              </w:rPr>
              <w:t>软水制备</w:t>
            </w:r>
          </w:p>
        </w:tc>
        <w:tc>
          <w:tcPr>
            <w:tcW w:w="3384" w:type="dxa"/>
            <w:tcBorders>
              <w:right w:val="nil"/>
            </w:tcBorders>
            <w:vAlign w:val="top"/>
          </w:tcPr>
          <w:p w14:paraId="7956261A">
            <w:pPr>
              <w:pStyle w:val="6"/>
              <w:spacing w:before="72" w:line="199" w:lineRule="auto"/>
              <w:ind w:left="1065"/>
              <w:rPr>
                <w:sz w:val="18"/>
                <w:szCs w:val="18"/>
              </w:rPr>
            </w:pPr>
            <w:r>
              <w:rPr>
                <w:spacing w:val="-1"/>
                <w:sz w:val="18"/>
                <w:szCs w:val="18"/>
              </w:rPr>
              <w:t>废离子交换树脂</w:t>
            </w:r>
          </w:p>
        </w:tc>
      </w:tr>
      <w:tr w14:paraId="2BF28B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422" w:type="dxa"/>
            <w:tcBorders>
              <w:top w:val="nil"/>
              <w:left w:val="nil"/>
              <w:bottom w:val="nil"/>
            </w:tcBorders>
            <w:vAlign w:val="top"/>
          </w:tcPr>
          <w:p w14:paraId="6C10008C">
            <w:pPr>
              <w:rPr>
                <w:rFonts w:ascii="Arial"/>
                <w:sz w:val="21"/>
              </w:rPr>
            </w:pPr>
          </w:p>
        </w:tc>
        <w:tc>
          <w:tcPr>
            <w:tcW w:w="2165" w:type="dxa"/>
            <w:vAlign w:val="top"/>
          </w:tcPr>
          <w:p w14:paraId="3F68F9C1">
            <w:pPr>
              <w:pStyle w:val="6"/>
              <w:spacing w:before="75" w:line="196" w:lineRule="auto"/>
              <w:ind w:left="725"/>
              <w:rPr>
                <w:sz w:val="18"/>
                <w:szCs w:val="18"/>
              </w:rPr>
            </w:pPr>
            <w:r>
              <w:rPr>
                <w:spacing w:val="-2"/>
                <w:sz w:val="18"/>
                <w:szCs w:val="18"/>
              </w:rPr>
              <w:t>废分子筛</w:t>
            </w:r>
          </w:p>
        </w:tc>
        <w:tc>
          <w:tcPr>
            <w:tcW w:w="3125" w:type="dxa"/>
            <w:vAlign w:val="top"/>
          </w:tcPr>
          <w:p w14:paraId="5DD133CC">
            <w:pPr>
              <w:pStyle w:val="6"/>
              <w:spacing w:before="75" w:line="196" w:lineRule="auto"/>
              <w:ind w:left="1211"/>
              <w:rPr>
                <w:sz w:val="18"/>
                <w:szCs w:val="18"/>
              </w:rPr>
            </w:pPr>
            <w:r>
              <w:rPr>
                <w:spacing w:val="-4"/>
                <w:sz w:val="18"/>
                <w:szCs w:val="18"/>
              </w:rPr>
              <w:t>空压制氮</w:t>
            </w:r>
          </w:p>
        </w:tc>
        <w:tc>
          <w:tcPr>
            <w:tcW w:w="3384" w:type="dxa"/>
            <w:tcBorders>
              <w:right w:val="nil"/>
            </w:tcBorders>
            <w:vAlign w:val="top"/>
          </w:tcPr>
          <w:p w14:paraId="62A685B3">
            <w:pPr>
              <w:pStyle w:val="6"/>
              <w:spacing w:before="73" w:line="198" w:lineRule="auto"/>
              <w:ind w:left="1427"/>
              <w:rPr>
                <w:sz w:val="18"/>
                <w:szCs w:val="18"/>
              </w:rPr>
            </w:pPr>
            <w:r>
              <w:rPr>
                <w:spacing w:val="-3"/>
                <w:sz w:val="18"/>
                <w:szCs w:val="18"/>
              </w:rPr>
              <w:t>沸石等</w:t>
            </w:r>
          </w:p>
        </w:tc>
      </w:tr>
      <w:tr w14:paraId="2542EA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6" w:hRule="atLeast"/>
        </w:trPr>
        <w:tc>
          <w:tcPr>
            <w:tcW w:w="422" w:type="dxa"/>
            <w:tcBorders>
              <w:top w:val="nil"/>
              <w:left w:val="nil"/>
            </w:tcBorders>
            <w:vAlign w:val="top"/>
          </w:tcPr>
          <w:p w14:paraId="1C302CC9">
            <w:pPr>
              <w:rPr>
                <w:rFonts w:ascii="Arial"/>
                <w:sz w:val="21"/>
              </w:rPr>
            </w:pPr>
          </w:p>
        </w:tc>
        <w:tc>
          <w:tcPr>
            <w:tcW w:w="2165" w:type="dxa"/>
            <w:vAlign w:val="top"/>
          </w:tcPr>
          <w:p w14:paraId="1C077263">
            <w:pPr>
              <w:spacing w:line="250" w:lineRule="auto"/>
              <w:rPr>
                <w:rFonts w:ascii="Arial"/>
                <w:sz w:val="21"/>
              </w:rPr>
            </w:pPr>
          </w:p>
          <w:p w14:paraId="58831AF5">
            <w:pPr>
              <w:pStyle w:val="6"/>
              <w:spacing w:before="58" w:line="220" w:lineRule="auto"/>
              <w:ind w:left="638"/>
              <w:rPr>
                <w:sz w:val="18"/>
                <w:szCs w:val="18"/>
              </w:rPr>
            </w:pPr>
            <w:r>
              <w:rPr>
                <w:spacing w:val="-2"/>
                <w:sz w:val="18"/>
                <w:szCs w:val="18"/>
              </w:rPr>
              <w:t>化验室废液</w:t>
            </w:r>
          </w:p>
        </w:tc>
        <w:tc>
          <w:tcPr>
            <w:tcW w:w="3125" w:type="dxa"/>
            <w:vAlign w:val="top"/>
          </w:tcPr>
          <w:p w14:paraId="0F90F61F">
            <w:pPr>
              <w:spacing w:line="249" w:lineRule="auto"/>
              <w:rPr>
                <w:rFonts w:ascii="Arial"/>
                <w:sz w:val="21"/>
              </w:rPr>
            </w:pPr>
          </w:p>
          <w:p w14:paraId="33B1FF4F">
            <w:pPr>
              <w:pStyle w:val="6"/>
              <w:spacing w:before="59" w:line="221" w:lineRule="auto"/>
              <w:ind w:left="1298"/>
              <w:rPr>
                <w:sz w:val="18"/>
                <w:szCs w:val="18"/>
              </w:rPr>
            </w:pPr>
            <w:r>
              <w:rPr>
                <w:spacing w:val="-3"/>
                <w:sz w:val="18"/>
                <w:szCs w:val="18"/>
              </w:rPr>
              <w:t>化验室</w:t>
            </w:r>
          </w:p>
        </w:tc>
        <w:tc>
          <w:tcPr>
            <w:tcW w:w="3384" w:type="dxa"/>
            <w:tcBorders>
              <w:right w:val="nil"/>
            </w:tcBorders>
            <w:vAlign w:val="top"/>
          </w:tcPr>
          <w:p w14:paraId="229ACDB2">
            <w:pPr>
              <w:pStyle w:val="6"/>
              <w:spacing w:before="69" w:line="216" w:lineRule="auto"/>
              <w:ind w:left="20"/>
              <w:rPr>
                <w:sz w:val="18"/>
                <w:szCs w:val="18"/>
              </w:rPr>
            </w:pPr>
            <w:r>
              <w:rPr>
                <w:spacing w:val="-4"/>
                <w:sz w:val="18"/>
                <w:szCs w:val="18"/>
              </w:rPr>
              <w:t>检验废液（包含各种化学废液、含有化学试</w:t>
            </w:r>
          </w:p>
          <w:p w14:paraId="72B9027C">
            <w:pPr>
              <w:pStyle w:val="6"/>
              <w:spacing w:before="29" w:line="219" w:lineRule="auto"/>
              <w:ind w:left="21"/>
              <w:rPr>
                <w:sz w:val="18"/>
                <w:szCs w:val="18"/>
              </w:rPr>
            </w:pPr>
            <w:r>
              <w:rPr>
                <w:spacing w:val="-4"/>
                <w:sz w:val="18"/>
                <w:szCs w:val="18"/>
              </w:rPr>
              <w:t>剂的废水）、含重金属清洗废水及高浓度清</w:t>
            </w:r>
          </w:p>
          <w:p w14:paraId="02D9074E">
            <w:pPr>
              <w:pStyle w:val="6"/>
              <w:spacing w:before="27" w:line="180" w:lineRule="auto"/>
              <w:ind w:left="1425"/>
              <w:rPr>
                <w:sz w:val="18"/>
                <w:szCs w:val="18"/>
              </w:rPr>
            </w:pPr>
            <w:r>
              <w:rPr>
                <w:spacing w:val="-3"/>
                <w:sz w:val="18"/>
                <w:szCs w:val="18"/>
              </w:rPr>
              <w:t>洗废水</w:t>
            </w:r>
          </w:p>
        </w:tc>
      </w:tr>
      <w:tr w14:paraId="00805D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2" w:hRule="atLeast"/>
        </w:trPr>
        <w:tc>
          <w:tcPr>
            <w:tcW w:w="422" w:type="dxa"/>
            <w:tcBorders>
              <w:left w:val="nil"/>
              <w:bottom w:val="single" w:color="000000" w:sz="10" w:space="0"/>
            </w:tcBorders>
            <w:vAlign w:val="top"/>
          </w:tcPr>
          <w:p w14:paraId="76A76329">
            <w:pPr>
              <w:pStyle w:val="6"/>
              <w:spacing w:before="73" w:line="204" w:lineRule="auto"/>
              <w:ind w:left="45"/>
              <w:rPr>
                <w:sz w:val="18"/>
                <w:szCs w:val="18"/>
              </w:rPr>
            </w:pPr>
            <w:r>
              <w:rPr>
                <w:spacing w:val="-8"/>
                <w:sz w:val="18"/>
                <w:szCs w:val="18"/>
              </w:rPr>
              <w:t>噪声</w:t>
            </w:r>
          </w:p>
        </w:tc>
        <w:tc>
          <w:tcPr>
            <w:tcW w:w="2165" w:type="dxa"/>
            <w:tcBorders>
              <w:bottom w:val="single" w:color="000000" w:sz="10" w:space="0"/>
            </w:tcBorders>
            <w:vAlign w:val="top"/>
          </w:tcPr>
          <w:p w14:paraId="14ABEFE4">
            <w:pPr>
              <w:pStyle w:val="6"/>
              <w:spacing w:before="73" w:line="204" w:lineRule="auto"/>
              <w:ind w:left="914"/>
              <w:rPr>
                <w:sz w:val="18"/>
                <w:szCs w:val="18"/>
              </w:rPr>
            </w:pPr>
            <w:r>
              <w:rPr>
                <w:spacing w:val="-8"/>
                <w:sz w:val="18"/>
                <w:szCs w:val="18"/>
              </w:rPr>
              <w:t>噪声</w:t>
            </w:r>
          </w:p>
        </w:tc>
        <w:tc>
          <w:tcPr>
            <w:tcW w:w="3125" w:type="dxa"/>
            <w:tcBorders>
              <w:bottom w:val="single" w:color="000000" w:sz="10" w:space="0"/>
            </w:tcBorders>
            <w:vAlign w:val="top"/>
          </w:tcPr>
          <w:p w14:paraId="4A1F9E9D">
            <w:pPr>
              <w:pStyle w:val="6"/>
              <w:spacing w:before="73" w:line="204" w:lineRule="auto"/>
              <w:ind w:left="760"/>
              <w:rPr>
                <w:sz w:val="18"/>
                <w:szCs w:val="18"/>
              </w:rPr>
            </w:pPr>
            <w:r>
              <w:rPr>
                <w:spacing w:val="-2"/>
                <w:sz w:val="18"/>
                <w:szCs w:val="18"/>
              </w:rPr>
              <w:t>设备运转、运输噪声</w:t>
            </w:r>
          </w:p>
        </w:tc>
        <w:tc>
          <w:tcPr>
            <w:tcW w:w="3384" w:type="dxa"/>
            <w:tcBorders>
              <w:bottom w:val="single" w:color="000000" w:sz="10" w:space="0"/>
              <w:right w:val="nil"/>
            </w:tcBorders>
            <w:vAlign w:val="top"/>
          </w:tcPr>
          <w:p w14:paraId="4AF7E0C3">
            <w:pPr>
              <w:pStyle w:val="6"/>
              <w:spacing w:before="73" w:line="204" w:lineRule="auto"/>
              <w:ind w:left="868"/>
              <w:rPr>
                <w:sz w:val="18"/>
                <w:szCs w:val="18"/>
              </w:rPr>
            </w:pPr>
            <w:r>
              <w:rPr>
                <w:spacing w:val="-1"/>
                <w:sz w:val="18"/>
                <w:szCs w:val="18"/>
              </w:rPr>
              <w:t>连续等效噪声</w:t>
            </w:r>
            <w:r>
              <w:rPr>
                <w:spacing w:val="-46"/>
                <w:sz w:val="18"/>
                <w:szCs w:val="18"/>
              </w:rPr>
              <w:t xml:space="preserve"> </w:t>
            </w:r>
            <w:r>
              <w:rPr>
                <w:rFonts w:ascii="Times New Roman" w:hAnsi="Times New Roman" w:eastAsia="Times New Roman" w:cs="Times New Roman"/>
                <w:spacing w:val="-1"/>
                <w:sz w:val="18"/>
                <w:szCs w:val="18"/>
              </w:rPr>
              <w:t xml:space="preserve">A </w:t>
            </w:r>
            <w:r>
              <w:rPr>
                <w:spacing w:val="-1"/>
                <w:sz w:val="18"/>
                <w:szCs w:val="18"/>
              </w:rPr>
              <w:t>声级</w:t>
            </w:r>
          </w:p>
        </w:tc>
      </w:tr>
    </w:tbl>
    <w:p w14:paraId="3794C739">
      <w:pPr>
        <w:spacing w:before="102" w:line="219" w:lineRule="auto"/>
        <w:ind w:left="29"/>
        <w:outlineLvl w:val="2"/>
        <w:rPr>
          <w:rFonts w:ascii="宋体" w:hAnsi="宋体" w:eastAsia="宋体" w:cs="宋体"/>
          <w:sz w:val="28"/>
          <w:szCs w:val="28"/>
        </w:rPr>
      </w:pPr>
      <w:bookmarkStart w:id="290" w:name="bookmark52"/>
      <w:bookmarkEnd w:id="290"/>
      <w:r>
        <w:rPr>
          <w:rFonts w:ascii="Times New Roman" w:hAnsi="Times New Roman" w:eastAsia="Times New Roman" w:cs="Times New Roman"/>
          <w:b/>
          <w:bCs/>
          <w:spacing w:val="-3"/>
          <w:sz w:val="28"/>
          <w:szCs w:val="28"/>
        </w:rPr>
        <w:t xml:space="preserve">1.4.2 </w:t>
      </w:r>
      <w:r>
        <w:rPr>
          <w:rFonts w:ascii="宋体" w:hAnsi="宋体" w:eastAsia="宋体" w:cs="宋体"/>
          <w:b/>
          <w:bCs/>
          <w:spacing w:val="-3"/>
          <w:sz w:val="28"/>
          <w:szCs w:val="28"/>
        </w:rPr>
        <w:t>环境影响评价因子识别</w:t>
      </w:r>
    </w:p>
    <w:p w14:paraId="65838991">
      <w:pPr>
        <w:spacing w:before="266" w:line="346" w:lineRule="auto"/>
        <w:ind w:left="41" w:right="80" w:firstLine="459"/>
        <w:rPr>
          <w:rFonts w:ascii="宋体" w:hAnsi="宋体" w:eastAsia="宋体" w:cs="宋体"/>
          <w:sz w:val="24"/>
          <w:szCs w:val="24"/>
        </w:rPr>
      </w:pPr>
      <w:r>
        <w:rPr>
          <w:rFonts w:ascii="宋体" w:hAnsi="宋体" w:eastAsia="宋体" w:cs="宋体"/>
          <w:spacing w:val="-2"/>
          <w:sz w:val="24"/>
          <w:szCs w:val="24"/>
        </w:rPr>
        <w:t>根据生产运行期对环境影响分析及区域环境制约因素分析结果，结合工程分析，给</w:t>
      </w:r>
      <w:r>
        <w:rPr>
          <w:rFonts w:ascii="宋体" w:hAnsi="宋体" w:eastAsia="宋体" w:cs="宋体"/>
          <w:spacing w:val="16"/>
          <w:sz w:val="24"/>
          <w:szCs w:val="24"/>
        </w:rPr>
        <w:t xml:space="preserve"> </w:t>
      </w:r>
      <w:r>
        <w:rPr>
          <w:rFonts w:ascii="宋体" w:hAnsi="宋体" w:eastAsia="宋体" w:cs="宋体"/>
          <w:spacing w:val="-2"/>
          <w:sz w:val="24"/>
          <w:szCs w:val="24"/>
        </w:rPr>
        <w:t>出本项目建设与生产运营期对环境影响的性质分析，见表</w:t>
      </w:r>
      <w:r>
        <w:rPr>
          <w:rFonts w:ascii="宋体" w:hAnsi="宋体" w:eastAsia="宋体" w:cs="宋体"/>
          <w:spacing w:val="-24"/>
          <w:sz w:val="24"/>
          <w:szCs w:val="24"/>
        </w:rPr>
        <w:t xml:space="preserve"> </w:t>
      </w:r>
      <w:r>
        <w:rPr>
          <w:rFonts w:ascii="Times New Roman" w:hAnsi="Times New Roman" w:eastAsia="Times New Roman" w:cs="Times New Roman"/>
          <w:spacing w:val="-2"/>
          <w:sz w:val="24"/>
          <w:szCs w:val="24"/>
        </w:rPr>
        <w:t xml:space="preserve">1.4-2 </w:t>
      </w:r>
      <w:r>
        <w:rPr>
          <w:rFonts w:ascii="宋体" w:hAnsi="宋体" w:eastAsia="宋体" w:cs="宋体"/>
          <w:spacing w:val="-2"/>
          <w:sz w:val="24"/>
          <w:szCs w:val="24"/>
        </w:rPr>
        <w:t>所示。</w:t>
      </w:r>
    </w:p>
    <w:p w14:paraId="55191CF5">
      <w:pPr>
        <w:spacing w:before="30" w:line="227" w:lineRule="auto"/>
        <w:ind w:left="1782"/>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4"/>
          <w:sz w:val="20"/>
          <w:szCs w:val="20"/>
        </w:rPr>
        <w:t xml:space="preserve"> </w:t>
      </w:r>
      <w:r>
        <w:rPr>
          <w:rFonts w:ascii="Times New Roman" w:hAnsi="Times New Roman" w:eastAsia="Times New Roman" w:cs="Times New Roman"/>
          <w:b/>
          <w:bCs/>
          <w:spacing w:val="6"/>
          <w:sz w:val="20"/>
          <w:szCs w:val="20"/>
        </w:rPr>
        <w:t xml:space="preserve">1.4-2        </w:t>
      </w:r>
      <w:r>
        <w:rPr>
          <w:rFonts w:ascii="宋体" w:hAnsi="宋体" w:eastAsia="宋体" w:cs="宋体"/>
          <w:b/>
          <w:bCs/>
          <w:spacing w:val="6"/>
          <w:sz w:val="20"/>
          <w:szCs w:val="20"/>
        </w:rPr>
        <w:t>本项目建设施工期、运营期对环境影响</w:t>
      </w:r>
      <w:r>
        <w:rPr>
          <w:rFonts w:ascii="宋体" w:hAnsi="宋体" w:eastAsia="宋体" w:cs="宋体"/>
          <w:b/>
          <w:bCs/>
          <w:spacing w:val="5"/>
          <w:sz w:val="20"/>
          <w:szCs w:val="20"/>
        </w:rPr>
        <w:t>性质分析</w:t>
      </w:r>
    </w:p>
    <w:p w14:paraId="45EB7164">
      <w:pPr>
        <w:spacing w:line="130" w:lineRule="exact"/>
      </w:pPr>
    </w:p>
    <w:tbl>
      <w:tblPr>
        <w:tblStyle w:val="5"/>
        <w:tblW w:w="9072" w:type="dxa"/>
        <w:tblInd w:w="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40"/>
        <w:gridCol w:w="1428"/>
        <w:gridCol w:w="757"/>
        <w:gridCol w:w="756"/>
        <w:gridCol w:w="757"/>
        <w:gridCol w:w="905"/>
        <w:gridCol w:w="1060"/>
        <w:gridCol w:w="907"/>
        <w:gridCol w:w="878"/>
        <w:gridCol w:w="784"/>
      </w:tblGrid>
      <w:tr w14:paraId="442D0F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40" w:type="dxa"/>
            <w:vMerge w:val="restart"/>
            <w:tcBorders>
              <w:top w:val="single" w:color="000000" w:sz="10" w:space="0"/>
              <w:left w:val="nil"/>
              <w:bottom w:val="nil"/>
            </w:tcBorders>
            <w:vAlign w:val="top"/>
          </w:tcPr>
          <w:p w14:paraId="6CC787E5">
            <w:pPr>
              <w:pStyle w:val="6"/>
              <w:spacing w:before="38" w:line="233" w:lineRule="auto"/>
              <w:ind w:left="224" w:right="209" w:hanging="5"/>
              <w:rPr>
                <w:sz w:val="20"/>
                <w:szCs w:val="20"/>
              </w:rPr>
            </w:pPr>
            <w:r>
              <w:rPr>
                <w:b/>
                <w:bCs/>
                <w:spacing w:val="2"/>
                <w:sz w:val="20"/>
                <w:szCs w:val="20"/>
              </w:rPr>
              <w:t>项目</w:t>
            </w:r>
            <w:r>
              <w:rPr>
                <w:sz w:val="20"/>
                <w:szCs w:val="20"/>
              </w:rPr>
              <w:t xml:space="preserve"> </w:t>
            </w:r>
            <w:r>
              <w:rPr>
                <w:b/>
                <w:bCs/>
                <w:spacing w:val="-1"/>
                <w:sz w:val="20"/>
                <w:szCs w:val="20"/>
              </w:rPr>
              <w:t>阶段</w:t>
            </w:r>
          </w:p>
        </w:tc>
        <w:tc>
          <w:tcPr>
            <w:tcW w:w="1428" w:type="dxa"/>
            <w:vMerge w:val="restart"/>
            <w:tcBorders>
              <w:top w:val="single" w:color="000000" w:sz="10" w:space="0"/>
              <w:bottom w:val="nil"/>
            </w:tcBorders>
            <w:vAlign w:val="top"/>
          </w:tcPr>
          <w:p w14:paraId="39C7FE4A">
            <w:pPr>
              <w:pStyle w:val="6"/>
              <w:spacing w:before="174" w:line="228" w:lineRule="auto"/>
              <w:ind w:left="297"/>
              <w:rPr>
                <w:sz w:val="20"/>
                <w:szCs w:val="20"/>
              </w:rPr>
            </w:pPr>
            <w:r>
              <w:rPr>
                <w:b/>
                <w:bCs/>
                <w:spacing w:val="6"/>
                <w:sz w:val="20"/>
                <w:szCs w:val="20"/>
              </w:rPr>
              <w:t>影响行动</w:t>
            </w:r>
          </w:p>
        </w:tc>
        <w:tc>
          <w:tcPr>
            <w:tcW w:w="4235" w:type="dxa"/>
            <w:gridSpan w:val="5"/>
            <w:tcBorders>
              <w:top w:val="single" w:color="000000" w:sz="10" w:space="0"/>
            </w:tcBorders>
            <w:vAlign w:val="top"/>
          </w:tcPr>
          <w:p w14:paraId="2C8403F3">
            <w:pPr>
              <w:pStyle w:val="6"/>
              <w:spacing w:before="35" w:line="214" w:lineRule="auto"/>
              <w:ind w:left="1735"/>
              <w:rPr>
                <w:sz w:val="20"/>
                <w:szCs w:val="20"/>
              </w:rPr>
            </w:pPr>
            <w:r>
              <w:rPr>
                <w:b/>
                <w:bCs/>
                <w:spacing w:val="-3"/>
                <w:sz w:val="20"/>
                <w:szCs w:val="20"/>
              </w:rPr>
              <w:t>自然环境</w:t>
            </w:r>
          </w:p>
        </w:tc>
        <w:tc>
          <w:tcPr>
            <w:tcW w:w="2569" w:type="dxa"/>
            <w:gridSpan w:val="3"/>
            <w:tcBorders>
              <w:top w:val="single" w:color="000000" w:sz="10" w:space="0"/>
              <w:right w:val="nil"/>
            </w:tcBorders>
            <w:vAlign w:val="top"/>
          </w:tcPr>
          <w:p w14:paraId="76865FC7">
            <w:pPr>
              <w:pStyle w:val="6"/>
              <w:spacing w:before="35" w:line="214" w:lineRule="auto"/>
              <w:ind w:left="871"/>
              <w:rPr>
                <w:sz w:val="20"/>
                <w:szCs w:val="20"/>
              </w:rPr>
            </w:pPr>
            <w:r>
              <w:rPr>
                <w:b/>
                <w:bCs/>
                <w:spacing w:val="6"/>
                <w:sz w:val="20"/>
                <w:szCs w:val="20"/>
              </w:rPr>
              <w:t>生态环境</w:t>
            </w:r>
          </w:p>
        </w:tc>
      </w:tr>
      <w:tr w14:paraId="32E726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840" w:type="dxa"/>
            <w:vMerge w:val="continue"/>
            <w:tcBorders>
              <w:top w:val="nil"/>
              <w:left w:val="nil"/>
            </w:tcBorders>
            <w:vAlign w:val="top"/>
          </w:tcPr>
          <w:p w14:paraId="5D059430">
            <w:pPr>
              <w:rPr>
                <w:rFonts w:ascii="Arial"/>
                <w:sz w:val="21"/>
              </w:rPr>
            </w:pPr>
          </w:p>
        </w:tc>
        <w:tc>
          <w:tcPr>
            <w:tcW w:w="1428" w:type="dxa"/>
            <w:vMerge w:val="continue"/>
            <w:tcBorders>
              <w:top w:val="nil"/>
            </w:tcBorders>
            <w:vAlign w:val="top"/>
          </w:tcPr>
          <w:p w14:paraId="4BA89D3A">
            <w:pPr>
              <w:rPr>
                <w:rFonts w:ascii="Arial"/>
                <w:sz w:val="21"/>
              </w:rPr>
            </w:pPr>
          </w:p>
        </w:tc>
        <w:tc>
          <w:tcPr>
            <w:tcW w:w="757" w:type="dxa"/>
            <w:vAlign w:val="top"/>
          </w:tcPr>
          <w:p w14:paraId="71FDB250">
            <w:pPr>
              <w:pStyle w:val="6"/>
              <w:spacing w:before="31" w:line="212" w:lineRule="auto"/>
              <w:ind w:left="175"/>
              <w:rPr>
                <w:sz w:val="20"/>
                <w:szCs w:val="20"/>
              </w:rPr>
            </w:pPr>
            <w:r>
              <w:rPr>
                <w:b/>
                <w:bCs/>
                <w:spacing w:val="2"/>
                <w:sz w:val="20"/>
                <w:szCs w:val="20"/>
              </w:rPr>
              <w:t>大气</w:t>
            </w:r>
          </w:p>
        </w:tc>
        <w:tc>
          <w:tcPr>
            <w:tcW w:w="756" w:type="dxa"/>
            <w:vAlign w:val="top"/>
          </w:tcPr>
          <w:p w14:paraId="4612CDB3">
            <w:pPr>
              <w:pStyle w:val="6"/>
              <w:spacing w:before="31" w:line="212" w:lineRule="auto"/>
              <w:ind w:left="68"/>
              <w:rPr>
                <w:sz w:val="20"/>
                <w:szCs w:val="20"/>
              </w:rPr>
            </w:pPr>
            <w:r>
              <w:rPr>
                <w:b/>
                <w:bCs/>
                <w:spacing w:val="5"/>
                <w:sz w:val="20"/>
                <w:szCs w:val="20"/>
              </w:rPr>
              <w:t>地表水</w:t>
            </w:r>
          </w:p>
        </w:tc>
        <w:tc>
          <w:tcPr>
            <w:tcW w:w="757" w:type="dxa"/>
            <w:vAlign w:val="top"/>
          </w:tcPr>
          <w:p w14:paraId="4CD9C203">
            <w:pPr>
              <w:pStyle w:val="6"/>
              <w:spacing w:before="31" w:line="212" w:lineRule="auto"/>
              <w:ind w:left="68"/>
              <w:rPr>
                <w:sz w:val="20"/>
                <w:szCs w:val="20"/>
              </w:rPr>
            </w:pPr>
            <w:r>
              <w:rPr>
                <w:b/>
                <w:bCs/>
                <w:spacing w:val="5"/>
                <w:sz w:val="20"/>
                <w:szCs w:val="20"/>
              </w:rPr>
              <w:t>地下水</w:t>
            </w:r>
          </w:p>
        </w:tc>
        <w:tc>
          <w:tcPr>
            <w:tcW w:w="905" w:type="dxa"/>
            <w:vAlign w:val="top"/>
          </w:tcPr>
          <w:p w14:paraId="1711E3D6">
            <w:pPr>
              <w:pStyle w:val="6"/>
              <w:spacing w:before="31" w:line="212" w:lineRule="auto"/>
              <w:ind w:left="146"/>
              <w:rPr>
                <w:sz w:val="20"/>
                <w:szCs w:val="20"/>
              </w:rPr>
            </w:pPr>
            <w:r>
              <w:rPr>
                <w:b/>
                <w:bCs/>
                <w:spacing w:val="4"/>
                <w:sz w:val="20"/>
                <w:szCs w:val="20"/>
              </w:rPr>
              <w:t>声环境</w:t>
            </w:r>
          </w:p>
        </w:tc>
        <w:tc>
          <w:tcPr>
            <w:tcW w:w="1060" w:type="dxa"/>
            <w:vAlign w:val="top"/>
          </w:tcPr>
          <w:p w14:paraId="3B2452F8">
            <w:pPr>
              <w:pStyle w:val="6"/>
              <w:spacing w:before="31" w:line="212" w:lineRule="auto"/>
              <w:ind w:left="117"/>
              <w:rPr>
                <w:sz w:val="20"/>
                <w:szCs w:val="20"/>
              </w:rPr>
            </w:pPr>
            <w:r>
              <w:rPr>
                <w:b/>
                <w:bCs/>
                <w:spacing w:val="5"/>
                <w:sz w:val="20"/>
                <w:szCs w:val="20"/>
              </w:rPr>
              <w:t>水土流失</w:t>
            </w:r>
          </w:p>
        </w:tc>
        <w:tc>
          <w:tcPr>
            <w:tcW w:w="907" w:type="dxa"/>
            <w:vAlign w:val="top"/>
          </w:tcPr>
          <w:p w14:paraId="4D7961B9">
            <w:pPr>
              <w:pStyle w:val="6"/>
              <w:spacing w:before="31" w:line="212" w:lineRule="auto"/>
              <w:ind w:left="248"/>
              <w:rPr>
                <w:sz w:val="20"/>
                <w:szCs w:val="20"/>
              </w:rPr>
            </w:pPr>
            <w:r>
              <w:rPr>
                <w:b/>
                <w:bCs/>
                <w:spacing w:val="3"/>
                <w:sz w:val="20"/>
                <w:szCs w:val="20"/>
              </w:rPr>
              <w:t>植被</w:t>
            </w:r>
          </w:p>
        </w:tc>
        <w:tc>
          <w:tcPr>
            <w:tcW w:w="878" w:type="dxa"/>
            <w:vAlign w:val="top"/>
          </w:tcPr>
          <w:p w14:paraId="6078106E">
            <w:pPr>
              <w:pStyle w:val="6"/>
              <w:spacing w:before="31" w:line="212" w:lineRule="auto"/>
              <w:ind w:left="234"/>
              <w:rPr>
                <w:sz w:val="20"/>
                <w:szCs w:val="20"/>
              </w:rPr>
            </w:pPr>
            <w:r>
              <w:rPr>
                <w:b/>
                <w:bCs/>
                <w:spacing w:val="3"/>
                <w:sz w:val="20"/>
                <w:szCs w:val="20"/>
              </w:rPr>
              <w:t>土壤</w:t>
            </w:r>
          </w:p>
        </w:tc>
        <w:tc>
          <w:tcPr>
            <w:tcW w:w="784" w:type="dxa"/>
            <w:tcBorders>
              <w:right w:val="nil"/>
            </w:tcBorders>
            <w:vAlign w:val="top"/>
          </w:tcPr>
          <w:p w14:paraId="30E5814F">
            <w:pPr>
              <w:pStyle w:val="6"/>
              <w:spacing w:before="31" w:line="212" w:lineRule="auto"/>
              <w:ind w:left="83"/>
              <w:rPr>
                <w:sz w:val="20"/>
                <w:szCs w:val="20"/>
              </w:rPr>
            </w:pPr>
            <w:r>
              <w:rPr>
                <w:b/>
                <w:bCs/>
                <w:spacing w:val="5"/>
                <w:sz w:val="20"/>
                <w:szCs w:val="20"/>
              </w:rPr>
              <w:t>农作物</w:t>
            </w:r>
          </w:p>
        </w:tc>
      </w:tr>
      <w:tr w14:paraId="442AF5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840" w:type="dxa"/>
            <w:vMerge w:val="restart"/>
            <w:tcBorders>
              <w:left w:val="nil"/>
              <w:bottom w:val="nil"/>
            </w:tcBorders>
            <w:textDirection w:val="tbRlV"/>
            <w:vAlign w:val="top"/>
          </w:tcPr>
          <w:p w14:paraId="393379DE">
            <w:pPr>
              <w:rPr>
                <w:rFonts w:ascii="Arial"/>
                <w:sz w:val="21"/>
              </w:rPr>
            </w:pPr>
          </w:p>
          <w:p w14:paraId="0924B9C1">
            <w:pPr>
              <w:pStyle w:val="6"/>
              <w:spacing w:before="67" w:line="214" w:lineRule="auto"/>
              <w:ind w:left="312"/>
              <w:rPr>
                <w:sz w:val="20"/>
                <w:szCs w:val="20"/>
              </w:rPr>
            </w:pPr>
            <w:r>
              <w:rPr>
                <w:spacing w:val="8"/>
                <w:sz w:val="20"/>
                <w:szCs w:val="20"/>
              </w:rPr>
              <w:t>建</w:t>
            </w:r>
            <w:r>
              <w:rPr>
                <w:spacing w:val="-34"/>
                <w:sz w:val="20"/>
                <w:szCs w:val="20"/>
              </w:rPr>
              <w:t xml:space="preserve"> </w:t>
            </w:r>
            <w:r>
              <w:rPr>
                <w:spacing w:val="8"/>
                <w:sz w:val="20"/>
                <w:szCs w:val="20"/>
              </w:rPr>
              <w:t>设</w:t>
            </w:r>
            <w:r>
              <w:rPr>
                <w:spacing w:val="-38"/>
                <w:sz w:val="20"/>
                <w:szCs w:val="20"/>
              </w:rPr>
              <w:t xml:space="preserve"> </w:t>
            </w:r>
            <w:r>
              <w:rPr>
                <w:spacing w:val="8"/>
                <w:sz w:val="20"/>
                <w:szCs w:val="20"/>
              </w:rPr>
              <w:t>期</w:t>
            </w:r>
          </w:p>
        </w:tc>
        <w:tc>
          <w:tcPr>
            <w:tcW w:w="1428" w:type="dxa"/>
            <w:vAlign w:val="top"/>
          </w:tcPr>
          <w:p w14:paraId="211E95BC">
            <w:pPr>
              <w:pStyle w:val="6"/>
              <w:spacing w:before="31" w:line="211" w:lineRule="auto"/>
              <w:ind w:left="299"/>
              <w:rPr>
                <w:sz w:val="20"/>
                <w:szCs w:val="20"/>
              </w:rPr>
            </w:pPr>
            <w:r>
              <w:rPr>
                <w:spacing w:val="7"/>
                <w:sz w:val="20"/>
                <w:szCs w:val="20"/>
              </w:rPr>
              <w:t>清理场地</w:t>
            </w:r>
          </w:p>
        </w:tc>
        <w:tc>
          <w:tcPr>
            <w:tcW w:w="757" w:type="dxa"/>
            <w:vAlign w:val="top"/>
          </w:tcPr>
          <w:p w14:paraId="5C738254">
            <w:pPr>
              <w:spacing w:before="67" w:line="195"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756" w:type="dxa"/>
            <w:vAlign w:val="top"/>
          </w:tcPr>
          <w:p w14:paraId="7FC7355B">
            <w:pPr>
              <w:spacing w:before="67" w:line="195" w:lineRule="auto"/>
              <w:ind w:left="2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757" w:type="dxa"/>
            <w:vAlign w:val="top"/>
          </w:tcPr>
          <w:p w14:paraId="775C6661">
            <w:pPr>
              <w:rPr>
                <w:rFonts w:ascii="Arial"/>
                <w:sz w:val="21"/>
              </w:rPr>
            </w:pPr>
          </w:p>
        </w:tc>
        <w:tc>
          <w:tcPr>
            <w:tcW w:w="905" w:type="dxa"/>
            <w:vAlign w:val="top"/>
          </w:tcPr>
          <w:p w14:paraId="29F0BB1C">
            <w:pPr>
              <w:rPr>
                <w:rFonts w:ascii="Arial"/>
                <w:sz w:val="21"/>
              </w:rPr>
            </w:pPr>
          </w:p>
        </w:tc>
        <w:tc>
          <w:tcPr>
            <w:tcW w:w="1060" w:type="dxa"/>
            <w:vAlign w:val="top"/>
          </w:tcPr>
          <w:p w14:paraId="3483E4B5">
            <w:pPr>
              <w:rPr>
                <w:rFonts w:ascii="Arial"/>
                <w:sz w:val="21"/>
              </w:rPr>
            </w:pPr>
          </w:p>
        </w:tc>
        <w:tc>
          <w:tcPr>
            <w:tcW w:w="907" w:type="dxa"/>
            <w:vAlign w:val="top"/>
          </w:tcPr>
          <w:p w14:paraId="3F36AB7A">
            <w:pPr>
              <w:spacing w:before="67"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878" w:type="dxa"/>
            <w:vAlign w:val="top"/>
          </w:tcPr>
          <w:p w14:paraId="77E7B962">
            <w:pPr>
              <w:spacing w:before="67"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784" w:type="dxa"/>
            <w:tcBorders>
              <w:right w:val="nil"/>
            </w:tcBorders>
            <w:vAlign w:val="top"/>
          </w:tcPr>
          <w:p w14:paraId="3D7652D3">
            <w:pPr>
              <w:rPr>
                <w:rFonts w:ascii="Arial"/>
                <w:sz w:val="21"/>
              </w:rPr>
            </w:pPr>
          </w:p>
        </w:tc>
      </w:tr>
      <w:tr w14:paraId="27ACE8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840" w:type="dxa"/>
            <w:vMerge w:val="continue"/>
            <w:tcBorders>
              <w:top w:val="nil"/>
              <w:left w:val="nil"/>
              <w:bottom w:val="nil"/>
            </w:tcBorders>
            <w:textDirection w:val="tbRlV"/>
            <w:vAlign w:val="top"/>
          </w:tcPr>
          <w:p w14:paraId="0564785E">
            <w:pPr>
              <w:rPr>
                <w:rFonts w:ascii="Arial"/>
                <w:sz w:val="21"/>
              </w:rPr>
            </w:pPr>
          </w:p>
        </w:tc>
        <w:tc>
          <w:tcPr>
            <w:tcW w:w="1428" w:type="dxa"/>
            <w:vAlign w:val="top"/>
          </w:tcPr>
          <w:p w14:paraId="054F9DB5">
            <w:pPr>
              <w:pStyle w:val="6"/>
              <w:spacing w:before="34" w:line="208" w:lineRule="auto"/>
              <w:ind w:left="300"/>
              <w:rPr>
                <w:sz w:val="20"/>
                <w:szCs w:val="20"/>
              </w:rPr>
            </w:pPr>
            <w:r>
              <w:rPr>
                <w:spacing w:val="7"/>
                <w:sz w:val="20"/>
                <w:szCs w:val="20"/>
              </w:rPr>
              <w:t>开挖地面</w:t>
            </w:r>
          </w:p>
        </w:tc>
        <w:tc>
          <w:tcPr>
            <w:tcW w:w="757" w:type="dxa"/>
            <w:vAlign w:val="top"/>
          </w:tcPr>
          <w:p w14:paraId="2FC7DBB6">
            <w:pPr>
              <w:spacing w:before="70" w:line="195"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756" w:type="dxa"/>
            <w:vAlign w:val="top"/>
          </w:tcPr>
          <w:p w14:paraId="3CDE73C3">
            <w:pPr>
              <w:spacing w:before="70" w:line="195" w:lineRule="auto"/>
              <w:ind w:left="2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757" w:type="dxa"/>
            <w:vAlign w:val="top"/>
          </w:tcPr>
          <w:p w14:paraId="79CD9E8F">
            <w:pPr>
              <w:rPr>
                <w:rFonts w:ascii="Arial"/>
                <w:sz w:val="21"/>
              </w:rPr>
            </w:pPr>
          </w:p>
        </w:tc>
        <w:tc>
          <w:tcPr>
            <w:tcW w:w="905" w:type="dxa"/>
            <w:vAlign w:val="top"/>
          </w:tcPr>
          <w:p w14:paraId="2E3DC194">
            <w:pPr>
              <w:spacing w:before="70" w:line="195" w:lineRule="auto"/>
              <w:ind w:left="31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1060" w:type="dxa"/>
            <w:vAlign w:val="top"/>
          </w:tcPr>
          <w:p w14:paraId="5507D551">
            <w:pPr>
              <w:spacing w:before="70" w:line="195" w:lineRule="auto"/>
              <w:ind w:left="391"/>
              <w:rPr>
                <w:rFonts w:ascii="Times New Roman" w:hAnsi="Times New Roman" w:eastAsia="Times New Roman" w:cs="Times New Roman"/>
                <w:sz w:val="20"/>
                <w:szCs w:val="20"/>
              </w:rPr>
            </w:pPr>
            <w:r>
              <w:rPr>
                <w:rFonts w:ascii="Times New Roman" w:hAnsi="Times New Roman" w:eastAsia="Times New Roman" w:cs="Times New Roman"/>
                <w:sz w:val="20"/>
                <w:szCs w:val="20"/>
              </w:rPr>
              <w:t>-1S</w:t>
            </w:r>
          </w:p>
        </w:tc>
        <w:tc>
          <w:tcPr>
            <w:tcW w:w="907" w:type="dxa"/>
            <w:vAlign w:val="top"/>
          </w:tcPr>
          <w:p w14:paraId="77F0A036">
            <w:pPr>
              <w:spacing w:before="70"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878" w:type="dxa"/>
            <w:vAlign w:val="top"/>
          </w:tcPr>
          <w:p w14:paraId="6033FC93">
            <w:pPr>
              <w:spacing w:before="70"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784" w:type="dxa"/>
            <w:tcBorders>
              <w:right w:val="nil"/>
            </w:tcBorders>
            <w:vAlign w:val="top"/>
          </w:tcPr>
          <w:p w14:paraId="493FE70A">
            <w:pPr>
              <w:rPr>
                <w:rFonts w:ascii="Arial"/>
                <w:sz w:val="21"/>
              </w:rPr>
            </w:pPr>
          </w:p>
        </w:tc>
      </w:tr>
      <w:tr w14:paraId="7F19EE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840" w:type="dxa"/>
            <w:vMerge w:val="continue"/>
            <w:tcBorders>
              <w:top w:val="nil"/>
              <w:left w:val="nil"/>
              <w:bottom w:val="nil"/>
            </w:tcBorders>
            <w:textDirection w:val="tbRlV"/>
            <w:vAlign w:val="top"/>
          </w:tcPr>
          <w:p w14:paraId="2F4C7CC6">
            <w:pPr>
              <w:rPr>
                <w:rFonts w:ascii="Arial"/>
                <w:sz w:val="21"/>
              </w:rPr>
            </w:pPr>
          </w:p>
        </w:tc>
        <w:tc>
          <w:tcPr>
            <w:tcW w:w="1428" w:type="dxa"/>
            <w:vAlign w:val="top"/>
          </w:tcPr>
          <w:p w14:paraId="4CC7C121">
            <w:pPr>
              <w:pStyle w:val="6"/>
              <w:spacing w:before="38" w:line="205" w:lineRule="auto"/>
              <w:ind w:left="299"/>
              <w:rPr>
                <w:sz w:val="20"/>
                <w:szCs w:val="20"/>
              </w:rPr>
            </w:pPr>
            <w:r>
              <w:rPr>
                <w:spacing w:val="1"/>
                <w:sz w:val="20"/>
                <w:szCs w:val="20"/>
              </w:rPr>
              <w:t>运</w:t>
            </w:r>
            <w:r>
              <w:rPr>
                <w:spacing w:val="6"/>
                <w:sz w:val="20"/>
                <w:szCs w:val="20"/>
              </w:rPr>
              <w:t xml:space="preserve">    </w:t>
            </w:r>
            <w:r>
              <w:rPr>
                <w:spacing w:val="1"/>
                <w:sz w:val="20"/>
                <w:szCs w:val="20"/>
              </w:rPr>
              <w:t>输</w:t>
            </w:r>
          </w:p>
        </w:tc>
        <w:tc>
          <w:tcPr>
            <w:tcW w:w="757" w:type="dxa"/>
            <w:vAlign w:val="top"/>
          </w:tcPr>
          <w:p w14:paraId="12B56AAA">
            <w:pPr>
              <w:spacing w:before="74" w:line="195"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-2S</w:t>
            </w:r>
          </w:p>
        </w:tc>
        <w:tc>
          <w:tcPr>
            <w:tcW w:w="756" w:type="dxa"/>
            <w:vAlign w:val="top"/>
          </w:tcPr>
          <w:p w14:paraId="0A66128C">
            <w:pPr>
              <w:rPr>
                <w:rFonts w:ascii="Arial"/>
                <w:sz w:val="21"/>
              </w:rPr>
            </w:pPr>
          </w:p>
        </w:tc>
        <w:tc>
          <w:tcPr>
            <w:tcW w:w="757" w:type="dxa"/>
            <w:vAlign w:val="top"/>
          </w:tcPr>
          <w:p w14:paraId="5575E183">
            <w:pPr>
              <w:rPr>
                <w:rFonts w:ascii="Arial"/>
                <w:sz w:val="21"/>
              </w:rPr>
            </w:pPr>
          </w:p>
        </w:tc>
        <w:tc>
          <w:tcPr>
            <w:tcW w:w="905" w:type="dxa"/>
            <w:vAlign w:val="top"/>
          </w:tcPr>
          <w:p w14:paraId="2588B9F6">
            <w:pPr>
              <w:spacing w:before="74" w:line="195" w:lineRule="auto"/>
              <w:ind w:left="31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1060" w:type="dxa"/>
            <w:vAlign w:val="top"/>
          </w:tcPr>
          <w:p w14:paraId="2922B5D8">
            <w:pPr>
              <w:rPr>
                <w:rFonts w:ascii="Arial"/>
                <w:sz w:val="21"/>
              </w:rPr>
            </w:pPr>
          </w:p>
        </w:tc>
        <w:tc>
          <w:tcPr>
            <w:tcW w:w="907" w:type="dxa"/>
            <w:vAlign w:val="top"/>
          </w:tcPr>
          <w:p w14:paraId="5ECECEB4">
            <w:pPr>
              <w:rPr>
                <w:rFonts w:ascii="Arial"/>
                <w:sz w:val="21"/>
              </w:rPr>
            </w:pPr>
          </w:p>
        </w:tc>
        <w:tc>
          <w:tcPr>
            <w:tcW w:w="878" w:type="dxa"/>
            <w:vAlign w:val="top"/>
          </w:tcPr>
          <w:p w14:paraId="3073B034">
            <w:pPr>
              <w:rPr>
                <w:rFonts w:ascii="Arial"/>
                <w:sz w:val="21"/>
              </w:rPr>
            </w:pPr>
          </w:p>
        </w:tc>
        <w:tc>
          <w:tcPr>
            <w:tcW w:w="784" w:type="dxa"/>
            <w:tcBorders>
              <w:right w:val="nil"/>
            </w:tcBorders>
            <w:vAlign w:val="top"/>
          </w:tcPr>
          <w:p w14:paraId="06FD644A">
            <w:pPr>
              <w:rPr>
                <w:rFonts w:ascii="Arial"/>
                <w:sz w:val="21"/>
              </w:rPr>
            </w:pPr>
          </w:p>
        </w:tc>
      </w:tr>
      <w:tr w14:paraId="779589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840" w:type="dxa"/>
            <w:vMerge w:val="continue"/>
            <w:tcBorders>
              <w:top w:val="nil"/>
              <w:left w:val="nil"/>
              <w:bottom w:val="nil"/>
            </w:tcBorders>
            <w:textDirection w:val="tbRlV"/>
            <w:vAlign w:val="top"/>
          </w:tcPr>
          <w:p w14:paraId="34588BE9">
            <w:pPr>
              <w:rPr>
                <w:rFonts w:ascii="Arial"/>
                <w:sz w:val="21"/>
              </w:rPr>
            </w:pPr>
          </w:p>
        </w:tc>
        <w:tc>
          <w:tcPr>
            <w:tcW w:w="1428" w:type="dxa"/>
            <w:vAlign w:val="top"/>
          </w:tcPr>
          <w:p w14:paraId="0DF9A99B">
            <w:pPr>
              <w:pStyle w:val="6"/>
              <w:spacing w:before="38" w:line="204" w:lineRule="auto"/>
              <w:ind w:left="302"/>
              <w:rPr>
                <w:sz w:val="20"/>
                <w:szCs w:val="20"/>
              </w:rPr>
            </w:pPr>
            <w:r>
              <w:rPr>
                <w:spacing w:val="6"/>
                <w:sz w:val="20"/>
                <w:szCs w:val="20"/>
              </w:rPr>
              <w:t>建设安装</w:t>
            </w:r>
          </w:p>
        </w:tc>
        <w:tc>
          <w:tcPr>
            <w:tcW w:w="757" w:type="dxa"/>
            <w:vAlign w:val="top"/>
          </w:tcPr>
          <w:p w14:paraId="36A3B090">
            <w:pPr>
              <w:rPr>
                <w:rFonts w:ascii="Arial"/>
                <w:sz w:val="21"/>
              </w:rPr>
            </w:pPr>
          </w:p>
        </w:tc>
        <w:tc>
          <w:tcPr>
            <w:tcW w:w="756" w:type="dxa"/>
            <w:vAlign w:val="top"/>
          </w:tcPr>
          <w:p w14:paraId="50434DE8">
            <w:pPr>
              <w:spacing w:before="74" w:line="194" w:lineRule="auto"/>
              <w:ind w:left="2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757" w:type="dxa"/>
            <w:vAlign w:val="top"/>
          </w:tcPr>
          <w:p w14:paraId="325636AF">
            <w:pPr>
              <w:rPr>
                <w:rFonts w:ascii="Arial"/>
                <w:sz w:val="21"/>
              </w:rPr>
            </w:pPr>
          </w:p>
        </w:tc>
        <w:tc>
          <w:tcPr>
            <w:tcW w:w="905" w:type="dxa"/>
            <w:vAlign w:val="top"/>
          </w:tcPr>
          <w:p w14:paraId="02F1BE4E">
            <w:pPr>
              <w:spacing w:before="74" w:line="194" w:lineRule="auto"/>
              <w:ind w:left="31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1060" w:type="dxa"/>
            <w:vAlign w:val="top"/>
          </w:tcPr>
          <w:p w14:paraId="32A95593">
            <w:pPr>
              <w:rPr>
                <w:rFonts w:ascii="Arial"/>
                <w:sz w:val="21"/>
              </w:rPr>
            </w:pPr>
          </w:p>
        </w:tc>
        <w:tc>
          <w:tcPr>
            <w:tcW w:w="907" w:type="dxa"/>
            <w:vAlign w:val="top"/>
          </w:tcPr>
          <w:p w14:paraId="5AD8B51A">
            <w:pPr>
              <w:rPr>
                <w:rFonts w:ascii="Arial"/>
                <w:sz w:val="21"/>
              </w:rPr>
            </w:pPr>
          </w:p>
        </w:tc>
        <w:tc>
          <w:tcPr>
            <w:tcW w:w="878" w:type="dxa"/>
            <w:vAlign w:val="top"/>
          </w:tcPr>
          <w:p w14:paraId="4A2D1EC5">
            <w:pPr>
              <w:rPr>
                <w:rFonts w:ascii="Arial"/>
                <w:sz w:val="21"/>
              </w:rPr>
            </w:pPr>
          </w:p>
        </w:tc>
        <w:tc>
          <w:tcPr>
            <w:tcW w:w="784" w:type="dxa"/>
            <w:tcBorders>
              <w:right w:val="nil"/>
            </w:tcBorders>
            <w:vAlign w:val="top"/>
          </w:tcPr>
          <w:p w14:paraId="699C5BB2">
            <w:pPr>
              <w:rPr>
                <w:rFonts w:ascii="Arial"/>
                <w:sz w:val="21"/>
              </w:rPr>
            </w:pPr>
          </w:p>
        </w:tc>
      </w:tr>
      <w:tr w14:paraId="02D926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840" w:type="dxa"/>
            <w:vMerge w:val="continue"/>
            <w:tcBorders>
              <w:top w:val="nil"/>
              <w:left w:val="nil"/>
            </w:tcBorders>
            <w:textDirection w:val="tbRlV"/>
            <w:vAlign w:val="top"/>
          </w:tcPr>
          <w:p w14:paraId="35E8D1E8">
            <w:pPr>
              <w:rPr>
                <w:rFonts w:ascii="Arial"/>
                <w:sz w:val="21"/>
              </w:rPr>
            </w:pPr>
          </w:p>
        </w:tc>
        <w:tc>
          <w:tcPr>
            <w:tcW w:w="1428" w:type="dxa"/>
            <w:vAlign w:val="top"/>
          </w:tcPr>
          <w:p w14:paraId="7A29DDC1">
            <w:pPr>
              <w:pStyle w:val="6"/>
              <w:spacing w:before="42" w:line="201" w:lineRule="auto"/>
              <w:ind w:left="299"/>
              <w:rPr>
                <w:sz w:val="20"/>
                <w:szCs w:val="20"/>
              </w:rPr>
            </w:pPr>
            <w:r>
              <w:rPr>
                <w:spacing w:val="7"/>
                <w:sz w:val="20"/>
                <w:szCs w:val="20"/>
              </w:rPr>
              <w:t>材料堆存</w:t>
            </w:r>
          </w:p>
        </w:tc>
        <w:tc>
          <w:tcPr>
            <w:tcW w:w="757" w:type="dxa"/>
            <w:vAlign w:val="top"/>
          </w:tcPr>
          <w:p w14:paraId="612E75CF">
            <w:pPr>
              <w:spacing w:before="77" w:line="190"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756" w:type="dxa"/>
            <w:vAlign w:val="top"/>
          </w:tcPr>
          <w:p w14:paraId="3A40B9CA">
            <w:pPr>
              <w:rPr>
                <w:rFonts w:ascii="Arial"/>
                <w:sz w:val="21"/>
              </w:rPr>
            </w:pPr>
          </w:p>
        </w:tc>
        <w:tc>
          <w:tcPr>
            <w:tcW w:w="757" w:type="dxa"/>
            <w:vAlign w:val="top"/>
          </w:tcPr>
          <w:p w14:paraId="2E156AB3">
            <w:pPr>
              <w:spacing w:before="77" w:line="190"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905" w:type="dxa"/>
            <w:vAlign w:val="top"/>
          </w:tcPr>
          <w:p w14:paraId="145460C4">
            <w:pPr>
              <w:rPr>
                <w:rFonts w:ascii="Arial"/>
                <w:sz w:val="21"/>
              </w:rPr>
            </w:pPr>
          </w:p>
        </w:tc>
        <w:tc>
          <w:tcPr>
            <w:tcW w:w="1060" w:type="dxa"/>
            <w:vAlign w:val="top"/>
          </w:tcPr>
          <w:p w14:paraId="702E9400">
            <w:pPr>
              <w:rPr>
                <w:rFonts w:ascii="Arial"/>
                <w:sz w:val="21"/>
              </w:rPr>
            </w:pPr>
          </w:p>
        </w:tc>
        <w:tc>
          <w:tcPr>
            <w:tcW w:w="907" w:type="dxa"/>
            <w:vAlign w:val="top"/>
          </w:tcPr>
          <w:p w14:paraId="70CE3927">
            <w:pPr>
              <w:spacing w:before="77" w:line="190"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878" w:type="dxa"/>
            <w:vAlign w:val="top"/>
          </w:tcPr>
          <w:p w14:paraId="19784C75">
            <w:pPr>
              <w:spacing w:before="77" w:line="190"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-1S</w:t>
            </w:r>
          </w:p>
        </w:tc>
        <w:tc>
          <w:tcPr>
            <w:tcW w:w="784" w:type="dxa"/>
            <w:tcBorders>
              <w:right w:val="nil"/>
            </w:tcBorders>
            <w:vAlign w:val="top"/>
          </w:tcPr>
          <w:p w14:paraId="38A1AE60">
            <w:pPr>
              <w:rPr>
                <w:rFonts w:ascii="Arial"/>
                <w:sz w:val="21"/>
              </w:rPr>
            </w:pPr>
          </w:p>
        </w:tc>
      </w:tr>
      <w:tr w14:paraId="6DA2D4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840" w:type="dxa"/>
            <w:vMerge w:val="restart"/>
            <w:tcBorders>
              <w:left w:val="nil"/>
              <w:bottom w:val="nil"/>
            </w:tcBorders>
            <w:textDirection w:val="tbRlV"/>
            <w:vAlign w:val="top"/>
          </w:tcPr>
          <w:p w14:paraId="48083AF1">
            <w:pPr>
              <w:spacing w:line="241" w:lineRule="auto"/>
              <w:rPr>
                <w:rFonts w:ascii="Arial"/>
                <w:sz w:val="21"/>
              </w:rPr>
            </w:pPr>
          </w:p>
          <w:p w14:paraId="15344BDE">
            <w:pPr>
              <w:pStyle w:val="6"/>
              <w:spacing w:before="66" w:line="216" w:lineRule="auto"/>
              <w:ind w:left="323"/>
              <w:rPr>
                <w:sz w:val="20"/>
                <w:szCs w:val="20"/>
              </w:rPr>
            </w:pPr>
            <w:r>
              <w:rPr>
                <w:spacing w:val="8"/>
                <w:sz w:val="20"/>
                <w:szCs w:val="20"/>
              </w:rPr>
              <w:t>运</w:t>
            </w:r>
            <w:r>
              <w:rPr>
                <w:spacing w:val="-34"/>
                <w:sz w:val="20"/>
                <w:szCs w:val="20"/>
              </w:rPr>
              <w:t xml:space="preserve"> </w:t>
            </w:r>
            <w:r>
              <w:rPr>
                <w:spacing w:val="8"/>
                <w:sz w:val="20"/>
                <w:szCs w:val="20"/>
              </w:rPr>
              <w:t>行</w:t>
            </w:r>
            <w:r>
              <w:rPr>
                <w:spacing w:val="-38"/>
                <w:sz w:val="20"/>
                <w:szCs w:val="20"/>
              </w:rPr>
              <w:t xml:space="preserve"> </w:t>
            </w:r>
            <w:r>
              <w:rPr>
                <w:spacing w:val="8"/>
                <w:sz w:val="20"/>
                <w:szCs w:val="20"/>
              </w:rPr>
              <w:t>期</w:t>
            </w:r>
          </w:p>
        </w:tc>
        <w:tc>
          <w:tcPr>
            <w:tcW w:w="1428" w:type="dxa"/>
            <w:vAlign w:val="top"/>
          </w:tcPr>
          <w:p w14:paraId="3FF0DCC1">
            <w:pPr>
              <w:pStyle w:val="6"/>
              <w:spacing w:before="43" w:line="201" w:lineRule="auto"/>
              <w:ind w:left="298"/>
              <w:rPr>
                <w:sz w:val="20"/>
                <w:szCs w:val="20"/>
              </w:rPr>
            </w:pPr>
            <w:r>
              <w:rPr>
                <w:sz w:val="20"/>
                <w:szCs w:val="20"/>
              </w:rPr>
              <w:t>废</w:t>
            </w:r>
            <w:r>
              <w:rPr>
                <w:spacing w:val="7"/>
                <w:sz w:val="20"/>
                <w:szCs w:val="20"/>
              </w:rPr>
              <w:t xml:space="preserve">    </w:t>
            </w:r>
            <w:r>
              <w:rPr>
                <w:sz w:val="20"/>
                <w:szCs w:val="20"/>
              </w:rPr>
              <w:t>气</w:t>
            </w:r>
          </w:p>
        </w:tc>
        <w:tc>
          <w:tcPr>
            <w:tcW w:w="757" w:type="dxa"/>
            <w:vAlign w:val="top"/>
          </w:tcPr>
          <w:p w14:paraId="3F773348">
            <w:pPr>
              <w:spacing w:before="78" w:line="190" w:lineRule="auto"/>
              <w:ind w:left="23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-2L</w:t>
            </w:r>
          </w:p>
        </w:tc>
        <w:tc>
          <w:tcPr>
            <w:tcW w:w="756" w:type="dxa"/>
            <w:vAlign w:val="top"/>
          </w:tcPr>
          <w:p w14:paraId="3D21443F">
            <w:pPr>
              <w:rPr>
                <w:rFonts w:ascii="Arial"/>
                <w:sz w:val="21"/>
              </w:rPr>
            </w:pPr>
          </w:p>
        </w:tc>
        <w:tc>
          <w:tcPr>
            <w:tcW w:w="757" w:type="dxa"/>
            <w:vAlign w:val="top"/>
          </w:tcPr>
          <w:p w14:paraId="032D5C64">
            <w:pPr>
              <w:rPr>
                <w:rFonts w:ascii="Arial"/>
                <w:sz w:val="21"/>
              </w:rPr>
            </w:pPr>
          </w:p>
        </w:tc>
        <w:tc>
          <w:tcPr>
            <w:tcW w:w="905" w:type="dxa"/>
            <w:vAlign w:val="top"/>
          </w:tcPr>
          <w:p w14:paraId="0C96A2FC">
            <w:pPr>
              <w:rPr>
                <w:rFonts w:ascii="Arial"/>
                <w:sz w:val="21"/>
              </w:rPr>
            </w:pPr>
          </w:p>
        </w:tc>
        <w:tc>
          <w:tcPr>
            <w:tcW w:w="1060" w:type="dxa"/>
            <w:vAlign w:val="top"/>
          </w:tcPr>
          <w:p w14:paraId="734EEDD5">
            <w:pPr>
              <w:rPr>
                <w:rFonts w:ascii="Arial"/>
                <w:sz w:val="21"/>
              </w:rPr>
            </w:pPr>
          </w:p>
        </w:tc>
        <w:tc>
          <w:tcPr>
            <w:tcW w:w="907" w:type="dxa"/>
            <w:vAlign w:val="top"/>
          </w:tcPr>
          <w:p w14:paraId="0D19C93E">
            <w:pPr>
              <w:spacing w:before="78" w:line="190" w:lineRule="auto"/>
              <w:ind w:left="30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-1L</w:t>
            </w:r>
          </w:p>
        </w:tc>
        <w:tc>
          <w:tcPr>
            <w:tcW w:w="878" w:type="dxa"/>
            <w:vAlign w:val="top"/>
          </w:tcPr>
          <w:p w14:paraId="6DB9B970">
            <w:pPr>
              <w:spacing w:before="78" w:line="190" w:lineRule="auto"/>
              <w:ind w:left="29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-1L</w:t>
            </w:r>
          </w:p>
        </w:tc>
        <w:tc>
          <w:tcPr>
            <w:tcW w:w="784" w:type="dxa"/>
            <w:tcBorders>
              <w:right w:val="nil"/>
            </w:tcBorders>
            <w:vAlign w:val="top"/>
          </w:tcPr>
          <w:p w14:paraId="480D71EC">
            <w:pPr>
              <w:spacing w:before="78" w:line="190" w:lineRule="auto"/>
              <w:ind w:left="249"/>
              <w:rPr>
                <w:rFonts w:ascii="Times New Roman" w:hAnsi="Times New Roman" w:eastAsia="Times New Roman" w:cs="Times New Roman"/>
                <w:sz w:val="20"/>
                <w:szCs w:val="20"/>
              </w:rPr>
            </w:pPr>
            <w:r>
              <w:rPr>
                <w:rFonts w:ascii="Times New Roman" w:hAnsi="Times New Roman" w:eastAsia="Times New Roman" w:cs="Times New Roman"/>
                <w:sz w:val="20"/>
                <w:szCs w:val="20"/>
              </w:rPr>
              <w:t>-1L</w:t>
            </w:r>
          </w:p>
        </w:tc>
      </w:tr>
      <w:tr w14:paraId="72306C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840" w:type="dxa"/>
            <w:vMerge w:val="continue"/>
            <w:tcBorders>
              <w:top w:val="nil"/>
              <w:left w:val="nil"/>
              <w:bottom w:val="nil"/>
            </w:tcBorders>
            <w:textDirection w:val="tbRlV"/>
            <w:vAlign w:val="top"/>
          </w:tcPr>
          <w:p w14:paraId="1E0D73C1">
            <w:pPr>
              <w:rPr>
                <w:rFonts w:ascii="Arial"/>
                <w:sz w:val="21"/>
              </w:rPr>
            </w:pPr>
          </w:p>
        </w:tc>
        <w:tc>
          <w:tcPr>
            <w:tcW w:w="1428" w:type="dxa"/>
            <w:vAlign w:val="top"/>
          </w:tcPr>
          <w:p w14:paraId="0D32BBF4">
            <w:pPr>
              <w:pStyle w:val="6"/>
              <w:spacing w:before="45" w:line="198" w:lineRule="auto"/>
              <w:ind w:left="298"/>
              <w:rPr>
                <w:sz w:val="20"/>
                <w:szCs w:val="20"/>
              </w:rPr>
            </w:pPr>
            <w:r>
              <w:rPr>
                <w:sz w:val="20"/>
                <w:szCs w:val="20"/>
              </w:rPr>
              <w:t>废</w:t>
            </w:r>
            <w:r>
              <w:rPr>
                <w:spacing w:val="7"/>
                <w:sz w:val="20"/>
                <w:szCs w:val="20"/>
              </w:rPr>
              <w:t xml:space="preserve">    </w:t>
            </w:r>
            <w:r>
              <w:rPr>
                <w:sz w:val="20"/>
                <w:szCs w:val="20"/>
              </w:rPr>
              <w:t>水</w:t>
            </w:r>
          </w:p>
        </w:tc>
        <w:tc>
          <w:tcPr>
            <w:tcW w:w="757" w:type="dxa"/>
            <w:vAlign w:val="top"/>
          </w:tcPr>
          <w:p w14:paraId="00FBCECE">
            <w:pPr>
              <w:rPr>
                <w:rFonts w:ascii="Arial"/>
                <w:sz w:val="21"/>
              </w:rPr>
            </w:pPr>
          </w:p>
        </w:tc>
        <w:tc>
          <w:tcPr>
            <w:tcW w:w="756" w:type="dxa"/>
            <w:vAlign w:val="top"/>
          </w:tcPr>
          <w:p w14:paraId="24A85819">
            <w:pPr>
              <w:rPr>
                <w:rFonts w:ascii="Arial"/>
                <w:sz w:val="21"/>
              </w:rPr>
            </w:pPr>
          </w:p>
        </w:tc>
        <w:tc>
          <w:tcPr>
            <w:tcW w:w="757" w:type="dxa"/>
            <w:vAlign w:val="top"/>
          </w:tcPr>
          <w:p w14:paraId="7B5201A0">
            <w:pPr>
              <w:spacing w:before="81" w:line="186" w:lineRule="auto"/>
              <w:ind w:left="234"/>
              <w:rPr>
                <w:rFonts w:ascii="Times New Roman" w:hAnsi="Times New Roman" w:eastAsia="Times New Roman" w:cs="Times New Roman"/>
                <w:sz w:val="20"/>
                <w:szCs w:val="20"/>
              </w:rPr>
            </w:pPr>
            <w:r>
              <w:rPr>
                <w:rFonts w:ascii="Times New Roman" w:hAnsi="Times New Roman" w:eastAsia="Times New Roman" w:cs="Times New Roman"/>
                <w:sz w:val="20"/>
                <w:szCs w:val="20"/>
              </w:rPr>
              <w:t>-1L</w:t>
            </w:r>
          </w:p>
        </w:tc>
        <w:tc>
          <w:tcPr>
            <w:tcW w:w="905" w:type="dxa"/>
            <w:vAlign w:val="top"/>
          </w:tcPr>
          <w:p w14:paraId="74560A7D">
            <w:pPr>
              <w:rPr>
                <w:rFonts w:ascii="Arial"/>
                <w:sz w:val="21"/>
              </w:rPr>
            </w:pPr>
          </w:p>
        </w:tc>
        <w:tc>
          <w:tcPr>
            <w:tcW w:w="1060" w:type="dxa"/>
            <w:vAlign w:val="top"/>
          </w:tcPr>
          <w:p w14:paraId="474E6D7B">
            <w:pPr>
              <w:rPr>
                <w:rFonts w:ascii="Arial"/>
                <w:sz w:val="21"/>
              </w:rPr>
            </w:pPr>
          </w:p>
        </w:tc>
        <w:tc>
          <w:tcPr>
            <w:tcW w:w="907" w:type="dxa"/>
            <w:vAlign w:val="top"/>
          </w:tcPr>
          <w:p w14:paraId="6765011D">
            <w:pPr>
              <w:rPr>
                <w:rFonts w:ascii="Arial"/>
                <w:sz w:val="21"/>
              </w:rPr>
            </w:pPr>
          </w:p>
        </w:tc>
        <w:tc>
          <w:tcPr>
            <w:tcW w:w="878" w:type="dxa"/>
            <w:vAlign w:val="top"/>
          </w:tcPr>
          <w:p w14:paraId="172A09A4">
            <w:pPr>
              <w:rPr>
                <w:rFonts w:ascii="Arial"/>
                <w:sz w:val="21"/>
              </w:rPr>
            </w:pPr>
          </w:p>
        </w:tc>
        <w:tc>
          <w:tcPr>
            <w:tcW w:w="784" w:type="dxa"/>
            <w:tcBorders>
              <w:right w:val="nil"/>
            </w:tcBorders>
            <w:vAlign w:val="top"/>
          </w:tcPr>
          <w:p w14:paraId="5B434E6D">
            <w:pPr>
              <w:rPr>
                <w:rFonts w:ascii="Arial"/>
                <w:sz w:val="21"/>
              </w:rPr>
            </w:pPr>
          </w:p>
        </w:tc>
      </w:tr>
      <w:tr w14:paraId="01B4B2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840" w:type="dxa"/>
            <w:vMerge w:val="continue"/>
            <w:tcBorders>
              <w:top w:val="nil"/>
              <w:left w:val="nil"/>
              <w:bottom w:val="nil"/>
            </w:tcBorders>
            <w:textDirection w:val="tbRlV"/>
            <w:vAlign w:val="top"/>
          </w:tcPr>
          <w:p w14:paraId="03691AB0">
            <w:pPr>
              <w:rPr>
                <w:rFonts w:ascii="Arial"/>
                <w:sz w:val="21"/>
              </w:rPr>
            </w:pPr>
          </w:p>
        </w:tc>
        <w:tc>
          <w:tcPr>
            <w:tcW w:w="1428" w:type="dxa"/>
            <w:vAlign w:val="top"/>
          </w:tcPr>
          <w:p w14:paraId="1BF2F484">
            <w:pPr>
              <w:pStyle w:val="6"/>
              <w:spacing w:before="46" w:line="197" w:lineRule="auto"/>
              <w:ind w:left="298"/>
              <w:rPr>
                <w:sz w:val="20"/>
                <w:szCs w:val="20"/>
              </w:rPr>
            </w:pPr>
            <w:r>
              <w:rPr>
                <w:spacing w:val="1"/>
                <w:sz w:val="20"/>
                <w:szCs w:val="20"/>
              </w:rPr>
              <w:t>废</w:t>
            </w:r>
            <w:r>
              <w:rPr>
                <w:spacing w:val="6"/>
                <w:sz w:val="20"/>
                <w:szCs w:val="20"/>
              </w:rPr>
              <w:t xml:space="preserve">    </w:t>
            </w:r>
            <w:r>
              <w:rPr>
                <w:spacing w:val="1"/>
                <w:sz w:val="20"/>
                <w:szCs w:val="20"/>
              </w:rPr>
              <w:t>渣</w:t>
            </w:r>
          </w:p>
        </w:tc>
        <w:tc>
          <w:tcPr>
            <w:tcW w:w="757" w:type="dxa"/>
            <w:vAlign w:val="top"/>
          </w:tcPr>
          <w:p w14:paraId="5A3069B2">
            <w:pPr>
              <w:rPr>
                <w:rFonts w:ascii="Arial"/>
                <w:sz w:val="21"/>
              </w:rPr>
            </w:pPr>
          </w:p>
        </w:tc>
        <w:tc>
          <w:tcPr>
            <w:tcW w:w="756" w:type="dxa"/>
            <w:vAlign w:val="top"/>
          </w:tcPr>
          <w:p w14:paraId="015BA663">
            <w:pPr>
              <w:rPr>
                <w:rFonts w:ascii="Arial"/>
                <w:sz w:val="21"/>
              </w:rPr>
            </w:pPr>
          </w:p>
        </w:tc>
        <w:tc>
          <w:tcPr>
            <w:tcW w:w="757" w:type="dxa"/>
            <w:vAlign w:val="top"/>
          </w:tcPr>
          <w:p w14:paraId="0CFB894F">
            <w:pPr>
              <w:spacing w:before="82" w:line="185" w:lineRule="auto"/>
              <w:ind w:left="234"/>
              <w:rPr>
                <w:rFonts w:ascii="Times New Roman" w:hAnsi="Times New Roman" w:eastAsia="Times New Roman" w:cs="Times New Roman"/>
                <w:sz w:val="20"/>
                <w:szCs w:val="20"/>
              </w:rPr>
            </w:pPr>
            <w:r>
              <w:rPr>
                <w:rFonts w:ascii="Times New Roman" w:hAnsi="Times New Roman" w:eastAsia="Times New Roman" w:cs="Times New Roman"/>
                <w:sz w:val="20"/>
                <w:szCs w:val="20"/>
              </w:rPr>
              <w:t>-1L</w:t>
            </w:r>
          </w:p>
        </w:tc>
        <w:tc>
          <w:tcPr>
            <w:tcW w:w="905" w:type="dxa"/>
            <w:vAlign w:val="top"/>
          </w:tcPr>
          <w:p w14:paraId="7354A824">
            <w:pPr>
              <w:rPr>
                <w:rFonts w:ascii="Arial"/>
                <w:sz w:val="21"/>
              </w:rPr>
            </w:pPr>
          </w:p>
        </w:tc>
        <w:tc>
          <w:tcPr>
            <w:tcW w:w="1060" w:type="dxa"/>
            <w:vAlign w:val="top"/>
          </w:tcPr>
          <w:p w14:paraId="6F4A7A42">
            <w:pPr>
              <w:rPr>
                <w:rFonts w:ascii="Arial"/>
                <w:sz w:val="21"/>
              </w:rPr>
            </w:pPr>
          </w:p>
        </w:tc>
        <w:tc>
          <w:tcPr>
            <w:tcW w:w="907" w:type="dxa"/>
            <w:vAlign w:val="top"/>
          </w:tcPr>
          <w:p w14:paraId="2659317A">
            <w:pPr>
              <w:rPr>
                <w:rFonts w:ascii="Arial"/>
                <w:sz w:val="21"/>
              </w:rPr>
            </w:pPr>
          </w:p>
        </w:tc>
        <w:tc>
          <w:tcPr>
            <w:tcW w:w="878" w:type="dxa"/>
            <w:vAlign w:val="top"/>
          </w:tcPr>
          <w:p w14:paraId="07265F8D">
            <w:pPr>
              <w:rPr>
                <w:rFonts w:ascii="Arial"/>
                <w:sz w:val="21"/>
              </w:rPr>
            </w:pPr>
          </w:p>
        </w:tc>
        <w:tc>
          <w:tcPr>
            <w:tcW w:w="784" w:type="dxa"/>
            <w:tcBorders>
              <w:right w:val="nil"/>
            </w:tcBorders>
            <w:vAlign w:val="top"/>
          </w:tcPr>
          <w:p w14:paraId="21BE9144">
            <w:pPr>
              <w:rPr>
                <w:rFonts w:ascii="Arial"/>
                <w:sz w:val="21"/>
              </w:rPr>
            </w:pPr>
          </w:p>
        </w:tc>
      </w:tr>
      <w:tr w14:paraId="7FAC63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840" w:type="dxa"/>
            <w:vMerge w:val="continue"/>
            <w:tcBorders>
              <w:top w:val="nil"/>
              <w:left w:val="nil"/>
              <w:bottom w:val="nil"/>
            </w:tcBorders>
            <w:textDirection w:val="tbRlV"/>
            <w:vAlign w:val="top"/>
          </w:tcPr>
          <w:p w14:paraId="4CE47A28">
            <w:pPr>
              <w:rPr>
                <w:rFonts w:ascii="Arial"/>
                <w:sz w:val="21"/>
              </w:rPr>
            </w:pPr>
          </w:p>
        </w:tc>
        <w:tc>
          <w:tcPr>
            <w:tcW w:w="1428" w:type="dxa"/>
            <w:vAlign w:val="top"/>
          </w:tcPr>
          <w:p w14:paraId="02BD9604">
            <w:pPr>
              <w:pStyle w:val="6"/>
              <w:spacing w:before="49" w:line="195" w:lineRule="auto"/>
              <w:ind w:left="309"/>
              <w:rPr>
                <w:sz w:val="20"/>
                <w:szCs w:val="20"/>
              </w:rPr>
            </w:pPr>
            <w:r>
              <w:rPr>
                <w:spacing w:val="-5"/>
                <w:sz w:val="20"/>
                <w:szCs w:val="20"/>
              </w:rPr>
              <w:t>噪</w:t>
            </w:r>
            <w:r>
              <w:rPr>
                <w:spacing w:val="8"/>
                <w:sz w:val="20"/>
                <w:szCs w:val="20"/>
              </w:rPr>
              <w:t xml:space="preserve">    </w:t>
            </w:r>
            <w:r>
              <w:rPr>
                <w:spacing w:val="-5"/>
                <w:sz w:val="20"/>
                <w:szCs w:val="20"/>
              </w:rPr>
              <w:t>声</w:t>
            </w:r>
          </w:p>
        </w:tc>
        <w:tc>
          <w:tcPr>
            <w:tcW w:w="757" w:type="dxa"/>
            <w:vAlign w:val="top"/>
          </w:tcPr>
          <w:p w14:paraId="407633BF">
            <w:pPr>
              <w:rPr>
                <w:rFonts w:ascii="Arial"/>
                <w:sz w:val="21"/>
              </w:rPr>
            </w:pPr>
          </w:p>
        </w:tc>
        <w:tc>
          <w:tcPr>
            <w:tcW w:w="756" w:type="dxa"/>
            <w:vAlign w:val="top"/>
          </w:tcPr>
          <w:p w14:paraId="743FC5B3">
            <w:pPr>
              <w:rPr>
                <w:rFonts w:ascii="Arial"/>
                <w:sz w:val="21"/>
              </w:rPr>
            </w:pPr>
          </w:p>
        </w:tc>
        <w:tc>
          <w:tcPr>
            <w:tcW w:w="757" w:type="dxa"/>
            <w:vAlign w:val="top"/>
          </w:tcPr>
          <w:p w14:paraId="2157CEAC">
            <w:pPr>
              <w:rPr>
                <w:rFonts w:ascii="Arial"/>
                <w:sz w:val="21"/>
              </w:rPr>
            </w:pPr>
          </w:p>
        </w:tc>
        <w:tc>
          <w:tcPr>
            <w:tcW w:w="905" w:type="dxa"/>
            <w:vAlign w:val="top"/>
          </w:tcPr>
          <w:p w14:paraId="1C1C7F84">
            <w:pPr>
              <w:spacing w:before="85" w:line="183" w:lineRule="auto"/>
              <w:ind w:left="3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-1L</w:t>
            </w:r>
          </w:p>
        </w:tc>
        <w:tc>
          <w:tcPr>
            <w:tcW w:w="1060" w:type="dxa"/>
            <w:vAlign w:val="top"/>
          </w:tcPr>
          <w:p w14:paraId="2AA5CF76">
            <w:pPr>
              <w:rPr>
                <w:rFonts w:ascii="Arial"/>
                <w:sz w:val="21"/>
              </w:rPr>
            </w:pPr>
          </w:p>
        </w:tc>
        <w:tc>
          <w:tcPr>
            <w:tcW w:w="907" w:type="dxa"/>
            <w:vAlign w:val="top"/>
          </w:tcPr>
          <w:p w14:paraId="7384E433">
            <w:pPr>
              <w:rPr>
                <w:rFonts w:ascii="Arial"/>
                <w:sz w:val="21"/>
              </w:rPr>
            </w:pPr>
          </w:p>
        </w:tc>
        <w:tc>
          <w:tcPr>
            <w:tcW w:w="878" w:type="dxa"/>
            <w:vAlign w:val="top"/>
          </w:tcPr>
          <w:p w14:paraId="14C37F20">
            <w:pPr>
              <w:rPr>
                <w:rFonts w:ascii="Arial"/>
                <w:sz w:val="21"/>
              </w:rPr>
            </w:pPr>
          </w:p>
        </w:tc>
        <w:tc>
          <w:tcPr>
            <w:tcW w:w="784" w:type="dxa"/>
            <w:tcBorders>
              <w:right w:val="nil"/>
            </w:tcBorders>
            <w:vAlign w:val="top"/>
          </w:tcPr>
          <w:p w14:paraId="5F04DE7B">
            <w:pPr>
              <w:rPr>
                <w:rFonts w:ascii="Arial"/>
                <w:sz w:val="21"/>
              </w:rPr>
            </w:pPr>
          </w:p>
        </w:tc>
      </w:tr>
      <w:tr w14:paraId="433FD0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840" w:type="dxa"/>
            <w:vMerge w:val="continue"/>
            <w:tcBorders>
              <w:top w:val="nil"/>
              <w:left w:val="nil"/>
            </w:tcBorders>
            <w:textDirection w:val="tbRlV"/>
            <w:vAlign w:val="top"/>
          </w:tcPr>
          <w:p w14:paraId="419832FB">
            <w:pPr>
              <w:rPr>
                <w:rFonts w:ascii="Arial"/>
                <w:sz w:val="21"/>
              </w:rPr>
            </w:pPr>
          </w:p>
        </w:tc>
        <w:tc>
          <w:tcPr>
            <w:tcW w:w="1428" w:type="dxa"/>
            <w:vAlign w:val="top"/>
          </w:tcPr>
          <w:p w14:paraId="2228A1B4">
            <w:pPr>
              <w:pStyle w:val="6"/>
              <w:spacing w:before="49" w:line="194" w:lineRule="auto"/>
              <w:ind w:left="299"/>
              <w:rPr>
                <w:sz w:val="20"/>
                <w:szCs w:val="20"/>
              </w:rPr>
            </w:pPr>
            <w:r>
              <w:rPr>
                <w:spacing w:val="7"/>
                <w:sz w:val="20"/>
                <w:szCs w:val="20"/>
              </w:rPr>
              <w:t>环境风险</w:t>
            </w:r>
          </w:p>
        </w:tc>
        <w:tc>
          <w:tcPr>
            <w:tcW w:w="757" w:type="dxa"/>
            <w:vAlign w:val="top"/>
          </w:tcPr>
          <w:p w14:paraId="6C384F8C">
            <w:pPr>
              <w:spacing w:before="85" w:line="182" w:lineRule="auto"/>
              <w:ind w:left="23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-2L</w:t>
            </w:r>
          </w:p>
        </w:tc>
        <w:tc>
          <w:tcPr>
            <w:tcW w:w="756" w:type="dxa"/>
            <w:vAlign w:val="top"/>
          </w:tcPr>
          <w:p w14:paraId="2E1DB18A">
            <w:pPr>
              <w:rPr>
                <w:rFonts w:ascii="Arial"/>
                <w:sz w:val="21"/>
              </w:rPr>
            </w:pPr>
          </w:p>
        </w:tc>
        <w:tc>
          <w:tcPr>
            <w:tcW w:w="757" w:type="dxa"/>
            <w:vAlign w:val="top"/>
          </w:tcPr>
          <w:p w14:paraId="67625FBA">
            <w:pPr>
              <w:spacing w:before="85" w:line="182" w:lineRule="auto"/>
              <w:ind w:left="234"/>
              <w:rPr>
                <w:rFonts w:ascii="Times New Roman" w:hAnsi="Times New Roman" w:eastAsia="Times New Roman" w:cs="Times New Roman"/>
                <w:sz w:val="20"/>
                <w:szCs w:val="20"/>
              </w:rPr>
            </w:pPr>
            <w:r>
              <w:rPr>
                <w:rFonts w:ascii="Times New Roman" w:hAnsi="Times New Roman" w:eastAsia="Times New Roman" w:cs="Times New Roman"/>
                <w:sz w:val="20"/>
                <w:szCs w:val="20"/>
              </w:rPr>
              <w:t>-2L</w:t>
            </w:r>
          </w:p>
        </w:tc>
        <w:tc>
          <w:tcPr>
            <w:tcW w:w="905" w:type="dxa"/>
            <w:vAlign w:val="top"/>
          </w:tcPr>
          <w:p w14:paraId="1BFF49CB">
            <w:pPr>
              <w:rPr>
                <w:rFonts w:ascii="Arial"/>
                <w:sz w:val="21"/>
              </w:rPr>
            </w:pPr>
          </w:p>
        </w:tc>
        <w:tc>
          <w:tcPr>
            <w:tcW w:w="1060" w:type="dxa"/>
            <w:vAlign w:val="top"/>
          </w:tcPr>
          <w:p w14:paraId="2A56B27E">
            <w:pPr>
              <w:rPr>
                <w:rFonts w:ascii="Arial"/>
                <w:sz w:val="21"/>
              </w:rPr>
            </w:pPr>
          </w:p>
        </w:tc>
        <w:tc>
          <w:tcPr>
            <w:tcW w:w="907" w:type="dxa"/>
            <w:vAlign w:val="top"/>
          </w:tcPr>
          <w:p w14:paraId="76FACCA8">
            <w:pPr>
              <w:rPr>
                <w:rFonts w:ascii="Arial"/>
                <w:sz w:val="21"/>
              </w:rPr>
            </w:pPr>
          </w:p>
        </w:tc>
        <w:tc>
          <w:tcPr>
            <w:tcW w:w="878" w:type="dxa"/>
            <w:vAlign w:val="top"/>
          </w:tcPr>
          <w:p w14:paraId="55E67DF7">
            <w:pPr>
              <w:rPr>
                <w:rFonts w:ascii="Arial"/>
                <w:sz w:val="21"/>
              </w:rPr>
            </w:pPr>
          </w:p>
        </w:tc>
        <w:tc>
          <w:tcPr>
            <w:tcW w:w="784" w:type="dxa"/>
            <w:tcBorders>
              <w:right w:val="nil"/>
            </w:tcBorders>
            <w:vAlign w:val="top"/>
          </w:tcPr>
          <w:p w14:paraId="5BA5C65E">
            <w:pPr>
              <w:rPr>
                <w:rFonts w:ascii="Arial"/>
                <w:sz w:val="21"/>
              </w:rPr>
            </w:pPr>
          </w:p>
        </w:tc>
      </w:tr>
      <w:tr w14:paraId="0F298E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7" w:hRule="atLeast"/>
        </w:trPr>
        <w:tc>
          <w:tcPr>
            <w:tcW w:w="840" w:type="dxa"/>
            <w:tcBorders>
              <w:left w:val="nil"/>
              <w:bottom w:val="single" w:color="000000" w:sz="10" w:space="0"/>
            </w:tcBorders>
            <w:vAlign w:val="top"/>
          </w:tcPr>
          <w:p w14:paraId="3959552F">
            <w:pPr>
              <w:pStyle w:val="6"/>
              <w:spacing w:before="53" w:line="216" w:lineRule="auto"/>
              <w:ind w:left="215"/>
              <w:rPr>
                <w:sz w:val="20"/>
                <w:szCs w:val="20"/>
              </w:rPr>
            </w:pPr>
            <w:r>
              <w:rPr>
                <w:spacing w:val="4"/>
                <w:sz w:val="20"/>
                <w:szCs w:val="20"/>
              </w:rPr>
              <w:t>注释</w:t>
            </w:r>
          </w:p>
        </w:tc>
        <w:tc>
          <w:tcPr>
            <w:tcW w:w="8232" w:type="dxa"/>
            <w:gridSpan w:val="9"/>
            <w:tcBorders>
              <w:bottom w:val="single" w:color="000000" w:sz="10" w:space="0"/>
              <w:right w:val="nil"/>
            </w:tcBorders>
            <w:vAlign w:val="top"/>
          </w:tcPr>
          <w:p w14:paraId="5974302B">
            <w:pPr>
              <w:pStyle w:val="6"/>
              <w:spacing w:before="53" w:line="216" w:lineRule="auto"/>
              <w:ind w:left="463"/>
              <w:rPr>
                <w:sz w:val="20"/>
                <w:szCs w:val="20"/>
              </w:rPr>
            </w:pPr>
            <w:r>
              <w:rPr>
                <w:rFonts w:ascii="Times New Roman" w:hAnsi="Times New Roman" w:eastAsia="Times New Roman" w:cs="Times New Roman"/>
                <w:spacing w:val="6"/>
                <w:sz w:val="20"/>
                <w:szCs w:val="20"/>
              </w:rPr>
              <w:t>+</w:t>
            </w:r>
            <w:r>
              <w:rPr>
                <w:spacing w:val="6"/>
                <w:sz w:val="20"/>
                <w:szCs w:val="20"/>
              </w:rPr>
              <w:t>有利影响；</w:t>
            </w:r>
            <w:r>
              <w:rPr>
                <w:rFonts w:ascii="Times New Roman" w:hAnsi="Times New Roman" w:eastAsia="Times New Roman" w:cs="Times New Roman"/>
                <w:spacing w:val="6"/>
                <w:sz w:val="20"/>
                <w:szCs w:val="20"/>
              </w:rPr>
              <w:t>-</w:t>
            </w:r>
            <w:r>
              <w:rPr>
                <w:spacing w:val="6"/>
                <w:sz w:val="20"/>
                <w:szCs w:val="20"/>
              </w:rPr>
              <w:t>不利影响；</w:t>
            </w:r>
            <w:r>
              <w:rPr>
                <w:rFonts w:ascii="Times New Roman" w:hAnsi="Times New Roman" w:eastAsia="Times New Roman" w:cs="Times New Roman"/>
                <w:spacing w:val="6"/>
                <w:sz w:val="20"/>
                <w:szCs w:val="20"/>
              </w:rPr>
              <w:t>S</w:t>
            </w:r>
            <w:r>
              <w:rPr>
                <w:rFonts w:ascii="Times New Roman" w:hAnsi="Times New Roman" w:eastAsia="Times New Roman" w:cs="Times New Roman"/>
                <w:spacing w:val="27"/>
                <w:sz w:val="20"/>
                <w:szCs w:val="20"/>
              </w:rPr>
              <w:t xml:space="preserve"> </w:t>
            </w:r>
            <w:r>
              <w:rPr>
                <w:spacing w:val="6"/>
                <w:sz w:val="20"/>
                <w:szCs w:val="20"/>
              </w:rPr>
              <w:t>短期影响</w:t>
            </w:r>
            <w:r>
              <w:rPr>
                <w:spacing w:val="31"/>
                <w:sz w:val="20"/>
                <w:szCs w:val="20"/>
              </w:rPr>
              <w:t xml:space="preserve"> </w:t>
            </w:r>
            <w:r>
              <w:rPr>
                <w:spacing w:val="6"/>
                <w:sz w:val="20"/>
                <w:szCs w:val="20"/>
              </w:rPr>
              <w:t>；</w:t>
            </w:r>
            <w:r>
              <w:rPr>
                <w:rFonts w:ascii="Times New Roman" w:hAnsi="Times New Roman" w:eastAsia="Times New Roman" w:cs="Times New Roman"/>
                <w:spacing w:val="6"/>
                <w:sz w:val="20"/>
                <w:szCs w:val="20"/>
              </w:rPr>
              <w:t xml:space="preserve">L </w:t>
            </w:r>
            <w:r>
              <w:rPr>
                <w:spacing w:val="6"/>
                <w:sz w:val="20"/>
                <w:szCs w:val="20"/>
              </w:rPr>
              <w:t>长期影响；</w:t>
            </w:r>
            <w:r>
              <w:rPr>
                <w:rFonts w:ascii="Times New Roman" w:hAnsi="Times New Roman" w:eastAsia="Times New Roman" w:cs="Times New Roman"/>
                <w:spacing w:val="6"/>
                <w:sz w:val="20"/>
                <w:szCs w:val="20"/>
              </w:rPr>
              <w:t>1</w:t>
            </w:r>
            <w:r>
              <w:rPr>
                <w:rFonts w:ascii="Times New Roman" w:hAnsi="Times New Roman" w:eastAsia="Times New Roman" w:cs="Times New Roman"/>
                <w:spacing w:val="-26"/>
                <w:sz w:val="20"/>
                <w:szCs w:val="20"/>
              </w:rPr>
              <w:t xml:space="preserve"> </w:t>
            </w:r>
            <w:r>
              <w:rPr>
                <w:spacing w:val="6"/>
                <w:sz w:val="20"/>
                <w:szCs w:val="20"/>
              </w:rPr>
              <w:t>、</w:t>
            </w:r>
            <w:r>
              <w:rPr>
                <w:rFonts w:ascii="Times New Roman" w:hAnsi="Times New Roman" w:eastAsia="Times New Roman" w:cs="Times New Roman"/>
                <w:spacing w:val="6"/>
                <w:sz w:val="20"/>
                <w:szCs w:val="20"/>
              </w:rPr>
              <w:t>2</w:t>
            </w:r>
            <w:r>
              <w:rPr>
                <w:rFonts w:ascii="Times New Roman" w:hAnsi="Times New Roman" w:eastAsia="Times New Roman" w:cs="Times New Roman"/>
                <w:spacing w:val="-26"/>
                <w:sz w:val="20"/>
                <w:szCs w:val="20"/>
              </w:rPr>
              <w:t xml:space="preserve"> </w:t>
            </w:r>
            <w:r>
              <w:rPr>
                <w:spacing w:val="6"/>
                <w:sz w:val="20"/>
                <w:szCs w:val="20"/>
              </w:rPr>
              <w:t>、</w:t>
            </w:r>
            <w:r>
              <w:rPr>
                <w:rFonts w:ascii="Times New Roman" w:hAnsi="Times New Roman" w:eastAsia="Times New Roman" w:cs="Times New Roman"/>
                <w:spacing w:val="6"/>
                <w:sz w:val="20"/>
                <w:szCs w:val="20"/>
              </w:rPr>
              <w:t xml:space="preserve">3 </w:t>
            </w:r>
            <w:r>
              <w:rPr>
                <w:spacing w:val="6"/>
                <w:sz w:val="20"/>
                <w:szCs w:val="20"/>
              </w:rPr>
              <w:t>影响程度由小到大</w:t>
            </w:r>
          </w:p>
        </w:tc>
      </w:tr>
    </w:tbl>
    <w:p w14:paraId="73A4B4E3">
      <w:pPr>
        <w:spacing w:before="36" w:line="350" w:lineRule="auto"/>
        <w:ind w:left="20" w:firstLine="479"/>
        <w:jc w:val="both"/>
        <w:rPr>
          <w:rFonts w:ascii="宋体" w:hAnsi="宋体" w:eastAsia="宋体" w:cs="宋体"/>
          <w:sz w:val="24"/>
          <w:szCs w:val="24"/>
        </w:rPr>
      </w:pPr>
      <w:r>
        <w:rPr>
          <w:rFonts w:ascii="宋体" w:hAnsi="宋体" w:eastAsia="宋体" w:cs="宋体"/>
          <w:spacing w:val="-1"/>
          <w:sz w:val="24"/>
          <w:szCs w:val="24"/>
        </w:rPr>
        <w:t>表</w:t>
      </w:r>
      <w:r>
        <w:rPr>
          <w:rFonts w:ascii="宋体" w:hAnsi="宋体" w:eastAsia="宋体" w:cs="宋体"/>
          <w:spacing w:val="-12"/>
          <w:sz w:val="24"/>
          <w:szCs w:val="24"/>
        </w:rPr>
        <w:t xml:space="preserve"> </w:t>
      </w:r>
      <w:r>
        <w:rPr>
          <w:rFonts w:ascii="Times New Roman" w:hAnsi="Times New Roman" w:eastAsia="Times New Roman" w:cs="Times New Roman"/>
          <w:spacing w:val="-1"/>
          <w:sz w:val="24"/>
          <w:szCs w:val="24"/>
        </w:rPr>
        <w:t>1.4-2</w:t>
      </w:r>
      <w:r>
        <w:rPr>
          <w:rFonts w:ascii="Times New Roman" w:hAnsi="Times New Roman" w:eastAsia="Times New Roman" w:cs="Times New Roman"/>
          <w:spacing w:val="34"/>
          <w:w w:val="101"/>
          <w:sz w:val="24"/>
          <w:szCs w:val="24"/>
        </w:rPr>
        <w:t xml:space="preserve"> </w:t>
      </w:r>
      <w:r>
        <w:rPr>
          <w:rFonts w:ascii="宋体" w:hAnsi="宋体" w:eastAsia="宋体" w:cs="宋体"/>
          <w:spacing w:val="-1"/>
          <w:sz w:val="24"/>
          <w:szCs w:val="24"/>
        </w:rPr>
        <w:t>中可知，项目运行期对环境的不利影响主要是大气环境、地下水环境、土</w:t>
      </w:r>
      <w:r>
        <w:rPr>
          <w:rFonts w:ascii="宋体" w:hAnsi="宋体" w:eastAsia="宋体" w:cs="宋体"/>
          <w:sz w:val="24"/>
          <w:szCs w:val="24"/>
        </w:rPr>
        <w:t xml:space="preserve"> </w:t>
      </w:r>
      <w:r>
        <w:rPr>
          <w:rFonts w:ascii="宋体" w:hAnsi="宋体" w:eastAsia="宋体" w:cs="宋体"/>
          <w:spacing w:val="-1"/>
          <w:sz w:val="24"/>
          <w:szCs w:val="24"/>
        </w:rPr>
        <w:t>壤环境以及环境风险影响最大。运行期的影响</w:t>
      </w:r>
      <w:r>
        <w:rPr>
          <w:rFonts w:ascii="宋体" w:hAnsi="宋体" w:eastAsia="宋体" w:cs="宋体"/>
          <w:spacing w:val="-2"/>
          <w:sz w:val="24"/>
          <w:szCs w:val="24"/>
        </w:rPr>
        <w:t>为长期的直接影响，因此进行评价的主要</w:t>
      </w:r>
      <w:r>
        <w:rPr>
          <w:rFonts w:ascii="宋体" w:hAnsi="宋体" w:eastAsia="宋体" w:cs="宋体"/>
          <w:sz w:val="24"/>
          <w:szCs w:val="24"/>
        </w:rPr>
        <w:t xml:space="preserve"> </w:t>
      </w:r>
      <w:r>
        <w:rPr>
          <w:rFonts w:ascii="宋体" w:hAnsi="宋体" w:eastAsia="宋体" w:cs="宋体"/>
          <w:spacing w:val="-6"/>
          <w:sz w:val="24"/>
          <w:szCs w:val="24"/>
        </w:rPr>
        <w:t>时段是运行期，评价重点应为大气环境、地下水环境、土壤环境以及环境风险影响评价。</w:t>
      </w:r>
    </w:p>
    <w:p w14:paraId="3F5640A2">
      <w:pPr>
        <w:spacing w:before="103" w:line="219" w:lineRule="auto"/>
        <w:ind w:left="29"/>
        <w:outlineLvl w:val="2"/>
        <w:rPr>
          <w:rFonts w:ascii="宋体" w:hAnsi="宋体" w:eastAsia="宋体" w:cs="宋体"/>
          <w:sz w:val="28"/>
          <w:szCs w:val="28"/>
        </w:rPr>
      </w:pPr>
      <w:bookmarkStart w:id="291" w:name="bookmark54"/>
      <w:bookmarkEnd w:id="291"/>
      <w:r>
        <w:rPr>
          <w:rFonts w:ascii="Times New Roman" w:hAnsi="Times New Roman" w:eastAsia="Times New Roman" w:cs="Times New Roman"/>
          <w:b/>
          <w:bCs/>
          <w:spacing w:val="-3"/>
          <w:sz w:val="28"/>
          <w:szCs w:val="28"/>
        </w:rPr>
        <w:t xml:space="preserve">1.4.3 </w:t>
      </w:r>
      <w:r>
        <w:rPr>
          <w:rFonts w:ascii="宋体" w:hAnsi="宋体" w:eastAsia="宋体" w:cs="宋体"/>
          <w:b/>
          <w:bCs/>
          <w:spacing w:val="-3"/>
          <w:sz w:val="28"/>
          <w:szCs w:val="28"/>
        </w:rPr>
        <w:t>评价因子筛选</w:t>
      </w:r>
    </w:p>
    <w:p w14:paraId="36294F0F">
      <w:pPr>
        <w:spacing w:before="265" w:line="218" w:lineRule="auto"/>
        <w:ind w:left="499"/>
        <w:rPr>
          <w:rFonts w:ascii="宋体" w:hAnsi="宋体" w:eastAsia="宋体" w:cs="宋体"/>
          <w:sz w:val="24"/>
          <w:szCs w:val="24"/>
        </w:rPr>
      </w:pPr>
      <w:r>
        <w:rPr>
          <w:rFonts w:ascii="宋体" w:hAnsi="宋体" w:eastAsia="宋体" w:cs="宋体"/>
          <w:spacing w:val="-1"/>
          <w:sz w:val="24"/>
          <w:szCs w:val="24"/>
        </w:rPr>
        <w:t>对环境影响因素的识别并结合项目排污特点，确定本次评价因子见表</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1.4</w:t>
      </w:r>
      <w:r>
        <w:rPr>
          <w:rFonts w:ascii="Times New Roman" w:hAnsi="Times New Roman" w:eastAsia="Times New Roman" w:cs="Times New Roman"/>
          <w:spacing w:val="-2"/>
          <w:sz w:val="24"/>
          <w:szCs w:val="24"/>
        </w:rPr>
        <w:t>-3</w:t>
      </w:r>
      <w:r>
        <w:rPr>
          <w:rFonts w:ascii="宋体" w:hAnsi="宋体" w:eastAsia="宋体" w:cs="宋体"/>
          <w:spacing w:val="-2"/>
          <w:sz w:val="24"/>
          <w:szCs w:val="24"/>
        </w:rPr>
        <w:t>。</w:t>
      </w:r>
    </w:p>
    <w:p w14:paraId="6C821A6B">
      <w:pPr>
        <w:spacing w:before="181" w:line="226" w:lineRule="auto"/>
        <w:ind w:left="3047"/>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4"/>
          <w:sz w:val="20"/>
          <w:szCs w:val="20"/>
        </w:rPr>
        <w:t xml:space="preserve"> </w:t>
      </w:r>
      <w:r>
        <w:rPr>
          <w:rFonts w:ascii="Times New Roman" w:hAnsi="Times New Roman" w:eastAsia="Times New Roman" w:cs="Times New Roman"/>
          <w:b/>
          <w:bCs/>
          <w:spacing w:val="4"/>
          <w:sz w:val="20"/>
          <w:szCs w:val="20"/>
        </w:rPr>
        <w:t xml:space="preserve">1.4-3        </w:t>
      </w:r>
      <w:r>
        <w:rPr>
          <w:rFonts w:ascii="宋体" w:hAnsi="宋体" w:eastAsia="宋体" w:cs="宋体"/>
          <w:b/>
          <w:bCs/>
          <w:spacing w:val="4"/>
          <w:sz w:val="20"/>
          <w:szCs w:val="20"/>
        </w:rPr>
        <w:t>评价因子识别结果表</w:t>
      </w:r>
    </w:p>
    <w:p w14:paraId="404E8E1C">
      <w:pPr>
        <w:spacing w:line="226" w:lineRule="auto"/>
        <w:rPr>
          <w:rFonts w:ascii="宋体" w:hAnsi="宋体" w:eastAsia="宋体" w:cs="宋体"/>
          <w:sz w:val="20"/>
          <w:szCs w:val="20"/>
        </w:rPr>
        <w:sectPr>
          <w:footerReference r:id="rId50" w:type="default"/>
          <w:pgSz w:w="11907" w:h="16840"/>
          <w:pgMar w:top="1178" w:right="1336" w:bottom="1038" w:left="1405" w:header="870" w:footer="876" w:gutter="0"/>
          <w:cols w:space="720" w:num="1"/>
        </w:sectPr>
      </w:pPr>
    </w:p>
    <w:p w14:paraId="21C1DD97">
      <w:pPr>
        <w:spacing w:line="238" w:lineRule="exact"/>
      </w:pPr>
      <w:r>
        <w:pict>
          <v:shape id="_x0000_s1054" o:spid="_x0000_s1054" style="position:absolute;left:0pt;margin-left:70.85pt;margin-top:59.65pt;height:0.75pt;width:453.65pt;mso-position-horizontal-relative:page;mso-position-vertical-relative:page;z-index:251688960;mso-width-relative:page;mso-height-relative:page;" fillcolor="#000000" filled="t" stroked="f" coordsize="9072,15" o:allowincell="f" path="m0,0l9072,0,9072,14,0,14,0,0xe">
            <v:path/>
            <v:fill on="t" focussize="0,0"/>
            <v:stroke on="f"/>
            <v:imagedata o:title=""/>
            <o:lock v:ext="edit"/>
          </v:shape>
        </w:pict>
      </w:r>
    </w:p>
    <w:tbl>
      <w:tblPr>
        <w:tblStyle w:val="5"/>
        <w:tblW w:w="9071" w:type="dxa"/>
        <w:tblInd w:w="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4"/>
        <w:gridCol w:w="1178"/>
        <w:gridCol w:w="6759"/>
      </w:tblGrid>
      <w:tr w14:paraId="7587A5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 w:hRule="atLeast"/>
        </w:trPr>
        <w:tc>
          <w:tcPr>
            <w:tcW w:w="1134" w:type="dxa"/>
            <w:tcBorders>
              <w:top w:val="single" w:color="000000" w:sz="10" w:space="0"/>
              <w:left w:val="nil"/>
            </w:tcBorders>
            <w:vAlign w:val="top"/>
          </w:tcPr>
          <w:p w14:paraId="62BA2275">
            <w:pPr>
              <w:pStyle w:val="6"/>
              <w:spacing w:before="35" w:line="219" w:lineRule="auto"/>
              <w:ind w:left="150"/>
              <w:rPr>
                <w:sz w:val="20"/>
                <w:szCs w:val="20"/>
              </w:rPr>
            </w:pPr>
            <w:r>
              <w:rPr>
                <w:b/>
                <w:bCs/>
                <w:spacing w:val="6"/>
                <w:sz w:val="20"/>
                <w:szCs w:val="20"/>
              </w:rPr>
              <w:t>环境要素</w:t>
            </w:r>
          </w:p>
        </w:tc>
        <w:tc>
          <w:tcPr>
            <w:tcW w:w="1178" w:type="dxa"/>
            <w:tcBorders>
              <w:top w:val="single" w:color="000000" w:sz="10" w:space="0"/>
            </w:tcBorders>
            <w:vAlign w:val="top"/>
          </w:tcPr>
          <w:p w14:paraId="082E87F8">
            <w:pPr>
              <w:pStyle w:val="6"/>
              <w:spacing w:before="35" w:line="219" w:lineRule="auto"/>
              <w:ind w:left="169"/>
              <w:rPr>
                <w:sz w:val="20"/>
                <w:szCs w:val="20"/>
              </w:rPr>
            </w:pPr>
            <w:r>
              <w:rPr>
                <w:b/>
                <w:bCs/>
                <w:spacing w:val="6"/>
                <w:sz w:val="20"/>
                <w:szCs w:val="20"/>
              </w:rPr>
              <w:t>评价类别</w:t>
            </w:r>
          </w:p>
        </w:tc>
        <w:tc>
          <w:tcPr>
            <w:tcW w:w="6759" w:type="dxa"/>
            <w:tcBorders>
              <w:top w:val="single" w:color="000000" w:sz="10" w:space="0"/>
              <w:right w:val="nil"/>
            </w:tcBorders>
            <w:vAlign w:val="top"/>
          </w:tcPr>
          <w:p w14:paraId="5C63B157">
            <w:pPr>
              <w:pStyle w:val="6"/>
              <w:spacing w:before="35" w:line="219" w:lineRule="auto"/>
              <w:ind w:left="2963"/>
              <w:rPr>
                <w:sz w:val="20"/>
                <w:szCs w:val="20"/>
              </w:rPr>
            </w:pPr>
            <w:r>
              <w:rPr>
                <w:b/>
                <w:bCs/>
                <w:spacing w:val="6"/>
                <w:sz w:val="20"/>
                <w:szCs w:val="20"/>
              </w:rPr>
              <w:t>评价因子</w:t>
            </w:r>
          </w:p>
        </w:tc>
      </w:tr>
      <w:tr w14:paraId="47BD16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6" w:hRule="atLeast"/>
        </w:trPr>
        <w:tc>
          <w:tcPr>
            <w:tcW w:w="1134" w:type="dxa"/>
            <w:vMerge w:val="restart"/>
            <w:tcBorders>
              <w:left w:val="nil"/>
              <w:bottom w:val="nil"/>
            </w:tcBorders>
            <w:vAlign w:val="top"/>
          </w:tcPr>
          <w:p w14:paraId="1D897CFE">
            <w:pPr>
              <w:pStyle w:val="6"/>
              <w:spacing w:before="294" w:line="228" w:lineRule="auto"/>
              <w:ind w:left="152"/>
              <w:rPr>
                <w:sz w:val="20"/>
                <w:szCs w:val="20"/>
              </w:rPr>
            </w:pPr>
            <w:r>
              <w:rPr>
                <w:spacing w:val="6"/>
                <w:sz w:val="20"/>
                <w:szCs w:val="20"/>
              </w:rPr>
              <w:t>大气环境</w:t>
            </w:r>
          </w:p>
        </w:tc>
        <w:tc>
          <w:tcPr>
            <w:tcW w:w="1178" w:type="dxa"/>
            <w:vAlign w:val="top"/>
          </w:tcPr>
          <w:p w14:paraId="58F582E1">
            <w:pPr>
              <w:pStyle w:val="6"/>
              <w:spacing w:before="150" w:line="226" w:lineRule="auto"/>
              <w:ind w:left="174"/>
              <w:rPr>
                <w:sz w:val="20"/>
                <w:szCs w:val="20"/>
              </w:rPr>
            </w:pPr>
            <w:r>
              <w:rPr>
                <w:spacing w:val="6"/>
                <w:sz w:val="20"/>
                <w:szCs w:val="20"/>
              </w:rPr>
              <w:t>现状评价</w:t>
            </w:r>
          </w:p>
        </w:tc>
        <w:tc>
          <w:tcPr>
            <w:tcW w:w="6759" w:type="dxa"/>
            <w:tcBorders>
              <w:right w:val="nil"/>
            </w:tcBorders>
            <w:vAlign w:val="top"/>
          </w:tcPr>
          <w:p w14:paraId="5C57F15C">
            <w:pPr>
              <w:pStyle w:val="6"/>
              <w:spacing w:before="30" w:line="233" w:lineRule="auto"/>
              <w:ind w:left="3156" w:hanging="3148"/>
              <w:rPr>
                <w:rFonts w:ascii="Times New Roman" w:hAnsi="Times New Roman" w:eastAsia="Times New Roman" w:cs="Times New Roman"/>
                <w:sz w:val="13"/>
                <w:szCs w:val="13"/>
              </w:rPr>
            </w:pPr>
            <w:r>
              <w:rPr>
                <w:rFonts w:ascii="Times New Roman" w:hAnsi="Times New Roman" w:eastAsia="Times New Roman" w:cs="Times New Roman"/>
                <w:sz w:val="20"/>
                <w:szCs w:val="20"/>
              </w:rPr>
              <w:t>TSP</w:t>
            </w:r>
            <w:r>
              <w:rPr>
                <w:rFonts w:ascii="Times New Roman" w:hAnsi="Times New Roman" w:eastAsia="Times New Roman" w:cs="Times New Roman"/>
                <w:spacing w:val="-21"/>
                <w:sz w:val="20"/>
                <w:szCs w:val="20"/>
              </w:rPr>
              <w:t xml:space="preserve"> </w:t>
            </w:r>
            <w:r>
              <w:rPr>
                <w:spacing w:val="1"/>
                <w:sz w:val="20"/>
                <w:szCs w:val="20"/>
              </w:rPr>
              <w:t>、</w:t>
            </w:r>
            <w:r>
              <w:rPr>
                <w:rFonts w:ascii="Times New Roman" w:hAnsi="Times New Roman" w:eastAsia="Times New Roman" w:cs="Times New Roman"/>
                <w:sz w:val="20"/>
                <w:szCs w:val="20"/>
              </w:rPr>
              <w:t>PM</w:t>
            </w:r>
            <w:r>
              <w:rPr>
                <w:rFonts w:ascii="Times New Roman" w:hAnsi="Times New Roman" w:eastAsia="Times New Roman" w:cs="Times New Roman"/>
                <w:spacing w:val="1"/>
                <w:position w:val="-1"/>
                <w:sz w:val="13"/>
                <w:szCs w:val="13"/>
              </w:rPr>
              <w:t>10</w:t>
            </w:r>
            <w:r>
              <w:rPr>
                <w:rFonts w:ascii="Times New Roman" w:hAnsi="Times New Roman" w:eastAsia="Times New Roman" w:cs="Times New Roman"/>
                <w:spacing w:val="-14"/>
                <w:position w:val="-1"/>
                <w:sz w:val="13"/>
                <w:szCs w:val="13"/>
              </w:rPr>
              <w:t xml:space="preserve"> </w:t>
            </w:r>
            <w:r>
              <w:rPr>
                <w:spacing w:val="1"/>
                <w:sz w:val="20"/>
                <w:szCs w:val="20"/>
              </w:rPr>
              <w:t>、</w:t>
            </w:r>
            <w:r>
              <w:rPr>
                <w:rFonts w:ascii="Times New Roman" w:hAnsi="Times New Roman" w:eastAsia="Times New Roman" w:cs="Times New Roman"/>
                <w:sz w:val="20"/>
                <w:szCs w:val="20"/>
              </w:rPr>
              <w:t>PM</w:t>
            </w:r>
            <w:r>
              <w:rPr>
                <w:rFonts w:ascii="Times New Roman" w:hAnsi="Times New Roman" w:eastAsia="Times New Roman" w:cs="Times New Roman"/>
                <w:spacing w:val="1"/>
                <w:position w:val="-1"/>
                <w:sz w:val="13"/>
                <w:szCs w:val="13"/>
              </w:rPr>
              <w:t>2.5</w:t>
            </w:r>
            <w:r>
              <w:rPr>
                <w:rFonts w:ascii="Times New Roman" w:hAnsi="Times New Roman" w:eastAsia="Times New Roman" w:cs="Times New Roman"/>
                <w:spacing w:val="-11"/>
                <w:position w:val="-1"/>
                <w:sz w:val="13"/>
                <w:szCs w:val="13"/>
              </w:rPr>
              <w:t xml:space="preserve"> </w:t>
            </w:r>
            <w:r>
              <w:rPr>
                <w:spacing w:val="1"/>
                <w:sz w:val="20"/>
                <w:szCs w:val="20"/>
              </w:rPr>
              <w:t>、</w:t>
            </w: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r>
              <w:rPr>
                <w:rFonts w:ascii="Times New Roman" w:hAnsi="Times New Roman" w:eastAsia="Times New Roman" w:cs="Times New Roman"/>
                <w:spacing w:val="-9"/>
                <w:position w:val="-1"/>
                <w:sz w:val="13"/>
                <w:szCs w:val="13"/>
              </w:rPr>
              <w:t xml:space="preserve"> </w:t>
            </w:r>
            <w:r>
              <w:rPr>
                <w:spacing w:val="1"/>
                <w:sz w:val="20"/>
                <w:szCs w:val="20"/>
              </w:rPr>
              <w:t>、</w:t>
            </w:r>
            <w:r>
              <w:rPr>
                <w:rFonts w:ascii="Times New Roman" w:hAnsi="Times New Roman" w:eastAsia="Times New Roman" w:cs="Times New Roman"/>
                <w:sz w:val="20"/>
                <w:szCs w:val="20"/>
              </w:rPr>
              <w:t>NO</w:t>
            </w:r>
            <w:r>
              <w:rPr>
                <w:rFonts w:ascii="Times New Roman" w:hAnsi="Times New Roman" w:eastAsia="Times New Roman" w:cs="Times New Roman"/>
                <w:spacing w:val="1"/>
                <w:position w:val="-1"/>
                <w:sz w:val="13"/>
                <w:szCs w:val="13"/>
              </w:rPr>
              <w:t>2</w:t>
            </w:r>
            <w:r>
              <w:rPr>
                <w:rFonts w:ascii="Times New Roman" w:hAnsi="Times New Roman" w:eastAsia="Times New Roman" w:cs="Times New Roman"/>
                <w:spacing w:val="-11"/>
                <w:position w:val="-1"/>
                <w:sz w:val="13"/>
                <w:szCs w:val="13"/>
              </w:rPr>
              <w:t xml:space="preserve"> </w:t>
            </w:r>
            <w:r>
              <w:rPr>
                <w:spacing w:val="1"/>
                <w:sz w:val="20"/>
                <w:szCs w:val="20"/>
              </w:rPr>
              <w:t>、</w:t>
            </w:r>
            <w:r>
              <w:rPr>
                <w:rFonts w:ascii="Times New Roman" w:hAnsi="Times New Roman" w:eastAsia="Times New Roman" w:cs="Times New Roman"/>
                <w:sz w:val="20"/>
                <w:szCs w:val="20"/>
              </w:rPr>
              <w:t>CO</w:t>
            </w:r>
            <w:r>
              <w:rPr>
                <w:rFonts w:ascii="Times New Roman" w:hAnsi="Times New Roman" w:eastAsia="Times New Roman" w:cs="Times New Roman"/>
                <w:spacing w:val="-25"/>
                <w:sz w:val="20"/>
                <w:szCs w:val="20"/>
              </w:rPr>
              <w:t xml:space="preserve"> </w:t>
            </w:r>
            <w:r>
              <w:rPr>
                <w:spacing w:val="1"/>
                <w:sz w:val="20"/>
                <w:szCs w:val="20"/>
              </w:rPr>
              <w:t>、</w:t>
            </w:r>
            <w:r>
              <w:rPr>
                <w:rFonts w:ascii="Times New Roman" w:hAnsi="Times New Roman" w:eastAsia="Times New Roman" w:cs="Times New Roman"/>
                <w:spacing w:val="1"/>
                <w:sz w:val="20"/>
                <w:szCs w:val="20"/>
              </w:rPr>
              <w:t>O</w:t>
            </w:r>
            <w:r>
              <w:rPr>
                <w:rFonts w:ascii="Times New Roman" w:hAnsi="Times New Roman" w:eastAsia="Times New Roman" w:cs="Times New Roman"/>
                <w:spacing w:val="1"/>
                <w:position w:val="-1"/>
                <w:sz w:val="13"/>
                <w:szCs w:val="13"/>
              </w:rPr>
              <w:t>3</w:t>
            </w:r>
            <w:r>
              <w:rPr>
                <w:rFonts w:ascii="Times New Roman" w:hAnsi="Times New Roman" w:eastAsia="Times New Roman" w:cs="Times New Roman"/>
                <w:spacing w:val="-11"/>
                <w:position w:val="-1"/>
                <w:sz w:val="13"/>
                <w:szCs w:val="13"/>
              </w:rPr>
              <w:t xml:space="preserve"> </w:t>
            </w:r>
            <w:r>
              <w:rPr>
                <w:spacing w:val="1"/>
                <w:sz w:val="20"/>
                <w:szCs w:val="20"/>
              </w:rPr>
              <w:t>、锰及其化合物（以</w:t>
            </w:r>
            <w:r>
              <w:rPr>
                <w:spacing w:val="-42"/>
                <w:sz w:val="20"/>
                <w:szCs w:val="20"/>
              </w:rPr>
              <w:t xml:space="preserve"> </w:t>
            </w:r>
            <w:r>
              <w:rPr>
                <w:rFonts w:ascii="Times New Roman" w:hAnsi="Times New Roman" w:eastAsia="Times New Roman" w:cs="Times New Roman"/>
                <w:sz w:val="20"/>
                <w:szCs w:val="20"/>
              </w:rPr>
              <w:t>MnO</w:t>
            </w:r>
            <w:r>
              <w:rPr>
                <w:rFonts w:ascii="Times New Roman" w:hAnsi="Times New Roman" w:eastAsia="Times New Roman" w:cs="Times New Roman"/>
                <w:spacing w:val="1"/>
                <w:position w:val="-1"/>
                <w:sz w:val="13"/>
                <w:szCs w:val="13"/>
              </w:rPr>
              <w:t xml:space="preserve">2 </w:t>
            </w:r>
            <w:r>
              <w:rPr>
                <w:spacing w:val="1"/>
                <w:sz w:val="20"/>
                <w:szCs w:val="20"/>
              </w:rPr>
              <w:t>计）、</w:t>
            </w:r>
            <w:r>
              <w:rPr>
                <w:sz w:val="20"/>
                <w:szCs w:val="20"/>
              </w:rPr>
              <w:t xml:space="preserve"> </w:t>
            </w:r>
            <w:r>
              <w:rPr>
                <w:rFonts w:ascii="Times New Roman" w:hAnsi="Times New Roman" w:eastAsia="Times New Roman" w:cs="Times New Roman"/>
                <w:sz w:val="20"/>
                <w:szCs w:val="20"/>
              </w:rPr>
              <w:t>NH</w:t>
            </w:r>
            <w:r>
              <w:rPr>
                <w:rFonts w:ascii="Times New Roman" w:hAnsi="Times New Roman" w:eastAsia="Times New Roman" w:cs="Times New Roman"/>
                <w:spacing w:val="15"/>
                <w:position w:val="-1"/>
                <w:sz w:val="13"/>
                <w:szCs w:val="13"/>
              </w:rPr>
              <w:t>3</w:t>
            </w:r>
          </w:p>
        </w:tc>
      </w:tr>
      <w:tr w14:paraId="55E6B5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1134" w:type="dxa"/>
            <w:vMerge w:val="continue"/>
            <w:tcBorders>
              <w:top w:val="nil"/>
              <w:left w:val="nil"/>
            </w:tcBorders>
            <w:vAlign w:val="top"/>
          </w:tcPr>
          <w:p w14:paraId="10821913">
            <w:pPr>
              <w:rPr>
                <w:rFonts w:ascii="Arial"/>
                <w:sz w:val="21"/>
              </w:rPr>
            </w:pPr>
          </w:p>
        </w:tc>
        <w:tc>
          <w:tcPr>
            <w:tcW w:w="1178" w:type="dxa"/>
            <w:vAlign w:val="top"/>
          </w:tcPr>
          <w:p w14:paraId="0640139D">
            <w:pPr>
              <w:pStyle w:val="6"/>
              <w:spacing w:before="31" w:line="216" w:lineRule="auto"/>
              <w:ind w:left="172"/>
              <w:rPr>
                <w:sz w:val="20"/>
                <w:szCs w:val="20"/>
              </w:rPr>
            </w:pPr>
            <w:r>
              <w:rPr>
                <w:spacing w:val="7"/>
                <w:sz w:val="20"/>
                <w:szCs w:val="20"/>
              </w:rPr>
              <w:t>影响预测</w:t>
            </w:r>
          </w:p>
        </w:tc>
        <w:tc>
          <w:tcPr>
            <w:tcW w:w="6759" w:type="dxa"/>
            <w:tcBorders>
              <w:right w:val="nil"/>
            </w:tcBorders>
            <w:vAlign w:val="top"/>
          </w:tcPr>
          <w:p w14:paraId="54558C8E">
            <w:pPr>
              <w:pStyle w:val="6"/>
              <w:spacing w:before="31" w:line="216" w:lineRule="auto"/>
              <w:ind w:left="569"/>
              <w:rPr>
                <w:rFonts w:ascii="Times New Roman" w:hAnsi="Times New Roman" w:eastAsia="Times New Roman" w:cs="Times New Roman"/>
                <w:sz w:val="13"/>
                <w:szCs w:val="13"/>
              </w:rPr>
            </w:pPr>
            <w:r>
              <w:rPr>
                <w:rFonts w:ascii="Times New Roman" w:hAnsi="Times New Roman" w:eastAsia="Times New Roman" w:cs="Times New Roman"/>
                <w:sz w:val="20"/>
                <w:szCs w:val="20"/>
              </w:rPr>
              <w:t>TSP</w:t>
            </w:r>
            <w:r>
              <w:rPr>
                <w:rFonts w:ascii="Times New Roman" w:hAnsi="Times New Roman" w:eastAsia="Times New Roman" w:cs="Times New Roman"/>
                <w:spacing w:val="-8"/>
                <w:sz w:val="20"/>
                <w:szCs w:val="20"/>
              </w:rPr>
              <w:t xml:space="preserve"> </w:t>
            </w:r>
            <w:r>
              <w:rPr>
                <w:spacing w:val="7"/>
                <w:sz w:val="20"/>
                <w:szCs w:val="20"/>
              </w:rPr>
              <w:t>、</w:t>
            </w:r>
            <w:r>
              <w:rPr>
                <w:rFonts w:ascii="Times New Roman" w:hAnsi="Times New Roman" w:eastAsia="Times New Roman" w:cs="Times New Roman"/>
                <w:sz w:val="20"/>
                <w:szCs w:val="20"/>
              </w:rPr>
              <w:t>PM</w:t>
            </w:r>
            <w:r>
              <w:rPr>
                <w:rFonts w:ascii="Times New Roman" w:hAnsi="Times New Roman" w:eastAsia="Times New Roman" w:cs="Times New Roman"/>
                <w:spacing w:val="7"/>
                <w:position w:val="-1"/>
                <w:sz w:val="13"/>
                <w:szCs w:val="13"/>
              </w:rPr>
              <w:t>10</w:t>
            </w:r>
            <w:r>
              <w:rPr>
                <w:rFonts w:ascii="Times New Roman" w:hAnsi="Times New Roman" w:eastAsia="Times New Roman" w:cs="Times New Roman"/>
                <w:spacing w:val="-13"/>
                <w:position w:val="-1"/>
                <w:sz w:val="13"/>
                <w:szCs w:val="13"/>
              </w:rPr>
              <w:t xml:space="preserve"> </w:t>
            </w:r>
            <w:r>
              <w:rPr>
                <w:spacing w:val="7"/>
                <w:sz w:val="20"/>
                <w:szCs w:val="20"/>
              </w:rPr>
              <w:t>、</w:t>
            </w:r>
            <w:r>
              <w:rPr>
                <w:rFonts w:ascii="Times New Roman" w:hAnsi="Times New Roman" w:eastAsia="Times New Roman" w:cs="Times New Roman"/>
                <w:sz w:val="20"/>
                <w:szCs w:val="20"/>
              </w:rPr>
              <w:t>SO</w:t>
            </w:r>
            <w:r>
              <w:rPr>
                <w:rFonts w:ascii="Times New Roman" w:hAnsi="Times New Roman" w:eastAsia="Times New Roman" w:cs="Times New Roman"/>
                <w:spacing w:val="7"/>
                <w:position w:val="-1"/>
                <w:sz w:val="13"/>
                <w:szCs w:val="13"/>
              </w:rPr>
              <w:t>2</w:t>
            </w:r>
            <w:r>
              <w:rPr>
                <w:rFonts w:ascii="Times New Roman" w:hAnsi="Times New Roman" w:eastAsia="Times New Roman" w:cs="Times New Roman"/>
                <w:spacing w:val="-11"/>
                <w:position w:val="-1"/>
                <w:sz w:val="13"/>
                <w:szCs w:val="13"/>
              </w:rPr>
              <w:t xml:space="preserve"> </w:t>
            </w:r>
            <w:r>
              <w:rPr>
                <w:spacing w:val="7"/>
                <w:sz w:val="20"/>
                <w:szCs w:val="20"/>
              </w:rPr>
              <w:t>、</w:t>
            </w:r>
            <w:r>
              <w:rPr>
                <w:rFonts w:ascii="Times New Roman" w:hAnsi="Times New Roman" w:eastAsia="Times New Roman" w:cs="Times New Roman"/>
                <w:sz w:val="20"/>
                <w:szCs w:val="20"/>
              </w:rPr>
              <w:t>NO</w:t>
            </w:r>
            <w:r>
              <w:rPr>
                <w:rFonts w:ascii="Times New Roman" w:hAnsi="Times New Roman" w:eastAsia="Times New Roman" w:cs="Times New Roman"/>
                <w:position w:val="-1"/>
                <w:sz w:val="13"/>
                <w:szCs w:val="13"/>
              </w:rPr>
              <w:t>x</w:t>
            </w:r>
            <w:r>
              <w:rPr>
                <w:rFonts w:ascii="Times New Roman" w:hAnsi="Times New Roman" w:eastAsia="Times New Roman" w:cs="Times New Roman"/>
                <w:spacing w:val="-11"/>
                <w:position w:val="-1"/>
                <w:sz w:val="13"/>
                <w:szCs w:val="13"/>
              </w:rPr>
              <w:t xml:space="preserve"> </w:t>
            </w:r>
            <w:r>
              <w:rPr>
                <w:spacing w:val="7"/>
                <w:sz w:val="20"/>
                <w:szCs w:val="20"/>
              </w:rPr>
              <w:t>、锰及其化合物（以</w:t>
            </w:r>
            <w:r>
              <w:rPr>
                <w:spacing w:val="-42"/>
                <w:sz w:val="20"/>
                <w:szCs w:val="20"/>
              </w:rPr>
              <w:t xml:space="preserve"> </w:t>
            </w:r>
            <w:r>
              <w:rPr>
                <w:rFonts w:ascii="Times New Roman" w:hAnsi="Times New Roman" w:eastAsia="Times New Roman" w:cs="Times New Roman"/>
                <w:sz w:val="20"/>
                <w:szCs w:val="20"/>
              </w:rPr>
              <w:t>MnO</w:t>
            </w:r>
            <w:r>
              <w:rPr>
                <w:rFonts w:ascii="Times New Roman" w:hAnsi="Times New Roman" w:eastAsia="Times New Roman" w:cs="Times New Roman"/>
                <w:spacing w:val="7"/>
                <w:position w:val="-1"/>
                <w:sz w:val="13"/>
                <w:szCs w:val="13"/>
              </w:rPr>
              <w:t xml:space="preserve">2 </w:t>
            </w:r>
            <w:r>
              <w:rPr>
                <w:spacing w:val="7"/>
                <w:sz w:val="20"/>
                <w:szCs w:val="20"/>
              </w:rPr>
              <w:t>计）、</w:t>
            </w:r>
            <w:r>
              <w:rPr>
                <w:rFonts w:ascii="Times New Roman" w:hAnsi="Times New Roman" w:eastAsia="Times New Roman" w:cs="Times New Roman"/>
                <w:sz w:val="20"/>
                <w:szCs w:val="20"/>
              </w:rPr>
              <w:t>NH</w:t>
            </w:r>
            <w:r>
              <w:rPr>
                <w:rFonts w:ascii="Times New Roman" w:hAnsi="Times New Roman" w:eastAsia="Times New Roman" w:cs="Times New Roman"/>
                <w:spacing w:val="7"/>
                <w:position w:val="-1"/>
                <w:sz w:val="13"/>
                <w:szCs w:val="13"/>
              </w:rPr>
              <w:t>3</w:t>
            </w:r>
          </w:p>
        </w:tc>
      </w:tr>
      <w:tr w14:paraId="60A28F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1134" w:type="dxa"/>
            <w:tcBorders>
              <w:left w:val="nil"/>
            </w:tcBorders>
            <w:vAlign w:val="top"/>
          </w:tcPr>
          <w:p w14:paraId="4421F0E3">
            <w:pPr>
              <w:pStyle w:val="6"/>
              <w:spacing w:before="34" w:line="213" w:lineRule="auto"/>
              <w:ind w:left="46"/>
              <w:rPr>
                <w:sz w:val="20"/>
                <w:szCs w:val="20"/>
              </w:rPr>
            </w:pPr>
            <w:r>
              <w:rPr>
                <w:spacing w:val="8"/>
                <w:sz w:val="20"/>
                <w:szCs w:val="20"/>
              </w:rPr>
              <w:t>地表水环境</w:t>
            </w:r>
          </w:p>
        </w:tc>
        <w:tc>
          <w:tcPr>
            <w:tcW w:w="1178" w:type="dxa"/>
            <w:vAlign w:val="top"/>
          </w:tcPr>
          <w:p w14:paraId="05B96602">
            <w:pPr>
              <w:pStyle w:val="6"/>
              <w:spacing w:before="34" w:line="213" w:lineRule="auto"/>
              <w:ind w:left="68"/>
              <w:rPr>
                <w:sz w:val="20"/>
                <w:szCs w:val="20"/>
              </w:rPr>
            </w:pPr>
            <w:r>
              <w:rPr>
                <w:spacing w:val="7"/>
                <w:sz w:val="20"/>
                <w:szCs w:val="20"/>
              </w:rPr>
              <w:t>现状及评价</w:t>
            </w:r>
          </w:p>
        </w:tc>
        <w:tc>
          <w:tcPr>
            <w:tcW w:w="6759" w:type="dxa"/>
            <w:tcBorders>
              <w:right w:val="nil"/>
            </w:tcBorders>
            <w:vAlign w:val="top"/>
          </w:tcPr>
          <w:p w14:paraId="7DC96FC9">
            <w:pPr>
              <w:pStyle w:val="6"/>
              <w:spacing w:before="34" w:line="213" w:lineRule="auto"/>
              <w:ind w:left="1710"/>
              <w:rPr>
                <w:sz w:val="20"/>
                <w:szCs w:val="20"/>
              </w:rPr>
            </w:pPr>
            <w:r>
              <w:rPr>
                <w:spacing w:val="9"/>
                <w:sz w:val="20"/>
                <w:szCs w:val="20"/>
              </w:rPr>
              <w:t>不向外环境排放废水，简单影响分析</w:t>
            </w:r>
          </w:p>
        </w:tc>
      </w:tr>
      <w:tr w14:paraId="7B182D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8" w:hRule="atLeast"/>
        </w:trPr>
        <w:tc>
          <w:tcPr>
            <w:tcW w:w="1134" w:type="dxa"/>
            <w:vMerge w:val="restart"/>
            <w:tcBorders>
              <w:left w:val="nil"/>
              <w:bottom w:val="nil"/>
            </w:tcBorders>
            <w:vAlign w:val="top"/>
          </w:tcPr>
          <w:p w14:paraId="6CE1DAE2">
            <w:pPr>
              <w:spacing w:line="382" w:lineRule="auto"/>
              <w:rPr>
                <w:rFonts w:ascii="Arial"/>
                <w:sz w:val="21"/>
              </w:rPr>
            </w:pPr>
          </w:p>
          <w:p w14:paraId="1C580798">
            <w:pPr>
              <w:pStyle w:val="6"/>
              <w:spacing w:before="65" w:line="228" w:lineRule="auto"/>
              <w:ind w:left="8"/>
              <w:rPr>
                <w:sz w:val="20"/>
                <w:szCs w:val="20"/>
              </w:rPr>
            </w:pPr>
            <w:r>
              <w:rPr>
                <w:spacing w:val="8"/>
                <w:sz w:val="20"/>
                <w:szCs w:val="20"/>
              </w:rPr>
              <w:t>地下水环境</w:t>
            </w:r>
          </w:p>
        </w:tc>
        <w:tc>
          <w:tcPr>
            <w:tcW w:w="1178" w:type="dxa"/>
            <w:vAlign w:val="top"/>
          </w:tcPr>
          <w:p w14:paraId="5027296D">
            <w:pPr>
              <w:spacing w:line="242" w:lineRule="auto"/>
              <w:rPr>
                <w:rFonts w:ascii="Arial"/>
                <w:sz w:val="21"/>
              </w:rPr>
            </w:pPr>
          </w:p>
          <w:p w14:paraId="247E6B24">
            <w:pPr>
              <w:pStyle w:val="6"/>
              <w:spacing w:before="65" w:line="226" w:lineRule="auto"/>
              <w:ind w:left="174"/>
              <w:rPr>
                <w:sz w:val="20"/>
                <w:szCs w:val="20"/>
              </w:rPr>
            </w:pPr>
            <w:r>
              <w:rPr>
                <w:spacing w:val="6"/>
                <w:sz w:val="20"/>
                <w:szCs w:val="20"/>
              </w:rPr>
              <w:t>现状评价</w:t>
            </w:r>
          </w:p>
        </w:tc>
        <w:tc>
          <w:tcPr>
            <w:tcW w:w="6759" w:type="dxa"/>
            <w:tcBorders>
              <w:right w:val="nil"/>
            </w:tcBorders>
            <w:vAlign w:val="top"/>
          </w:tcPr>
          <w:p w14:paraId="4B8B2D07">
            <w:pPr>
              <w:pStyle w:val="6"/>
              <w:spacing w:before="37" w:line="237" w:lineRule="auto"/>
              <w:ind w:left="9" w:hanging="8"/>
              <w:jc w:val="both"/>
              <w:rPr>
                <w:sz w:val="20"/>
                <w:szCs w:val="20"/>
              </w:rPr>
            </w:pPr>
            <w:r>
              <w:rPr>
                <w:rFonts w:ascii="Times New Roman" w:hAnsi="Times New Roman" w:eastAsia="Times New Roman" w:cs="Times New Roman"/>
                <w:sz w:val="20"/>
                <w:szCs w:val="20"/>
              </w:rPr>
              <w:t>pH</w:t>
            </w:r>
            <w:r>
              <w:rPr>
                <w:rFonts w:ascii="Times New Roman" w:hAnsi="Times New Roman" w:eastAsia="Times New Roman" w:cs="Times New Roman"/>
                <w:spacing w:val="-21"/>
                <w:sz w:val="20"/>
                <w:szCs w:val="20"/>
              </w:rPr>
              <w:t xml:space="preserve"> </w:t>
            </w:r>
            <w:r>
              <w:rPr>
                <w:spacing w:val="3"/>
                <w:sz w:val="20"/>
                <w:szCs w:val="20"/>
              </w:rPr>
              <w:t>、溶解性总固体、</w:t>
            </w:r>
            <w:r>
              <w:rPr>
                <w:rFonts w:ascii="Times New Roman" w:hAnsi="Times New Roman" w:eastAsia="Times New Roman" w:cs="Times New Roman"/>
                <w:spacing w:val="3"/>
                <w:sz w:val="20"/>
                <w:szCs w:val="20"/>
              </w:rPr>
              <w:t>K</w:t>
            </w:r>
            <w:r>
              <w:rPr>
                <w:rFonts w:ascii="Times New Roman" w:hAnsi="Times New Roman" w:eastAsia="Times New Roman" w:cs="Times New Roman"/>
                <w:spacing w:val="3"/>
                <w:position w:val="6"/>
                <w:sz w:val="13"/>
                <w:szCs w:val="13"/>
              </w:rPr>
              <w:t>+</w:t>
            </w:r>
            <w:r>
              <w:rPr>
                <w:rFonts w:ascii="Times New Roman" w:hAnsi="Times New Roman" w:eastAsia="Times New Roman" w:cs="Times New Roman"/>
                <w:spacing w:val="-11"/>
                <w:position w:val="6"/>
                <w:sz w:val="13"/>
                <w:szCs w:val="13"/>
              </w:rPr>
              <w:t xml:space="preserve"> </w:t>
            </w:r>
            <w:r>
              <w:rPr>
                <w:spacing w:val="3"/>
                <w:sz w:val="20"/>
                <w:szCs w:val="20"/>
              </w:rPr>
              <w:t>、</w:t>
            </w:r>
            <w:r>
              <w:rPr>
                <w:rFonts w:ascii="Times New Roman" w:hAnsi="Times New Roman" w:eastAsia="Times New Roman" w:cs="Times New Roman"/>
                <w:sz w:val="20"/>
                <w:szCs w:val="20"/>
              </w:rPr>
              <w:t>Na</w:t>
            </w:r>
            <w:r>
              <w:rPr>
                <w:rFonts w:ascii="Times New Roman" w:hAnsi="Times New Roman" w:eastAsia="Times New Roman" w:cs="Times New Roman"/>
                <w:spacing w:val="3"/>
                <w:position w:val="6"/>
                <w:sz w:val="13"/>
                <w:szCs w:val="13"/>
              </w:rPr>
              <w:t>+</w:t>
            </w:r>
            <w:r>
              <w:rPr>
                <w:rFonts w:ascii="Times New Roman" w:hAnsi="Times New Roman" w:eastAsia="Times New Roman" w:cs="Times New Roman"/>
                <w:spacing w:val="-7"/>
                <w:position w:val="6"/>
                <w:sz w:val="13"/>
                <w:szCs w:val="13"/>
              </w:rPr>
              <w:t xml:space="preserve"> </w:t>
            </w:r>
            <w:r>
              <w:rPr>
                <w:spacing w:val="3"/>
                <w:sz w:val="20"/>
                <w:szCs w:val="20"/>
              </w:rPr>
              <w:t>、</w:t>
            </w:r>
            <w:r>
              <w:rPr>
                <w:rFonts w:ascii="Times New Roman" w:hAnsi="Times New Roman" w:eastAsia="Times New Roman" w:cs="Times New Roman"/>
                <w:sz w:val="20"/>
                <w:szCs w:val="20"/>
              </w:rPr>
              <w:t>Ca</w:t>
            </w:r>
            <w:r>
              <w:rPr>
                <w:rFonts w:ascii="Times New Roman" w:hAnsi="Times New Roman" w:eastAsia="Times New Roman" w:cs="Times New Roman"/>
                <w:spacing w:val="3"/>
                <w:position w:val="6"/>
                <w:sz w:val="13"/>
                <w:szCs w:val="13"/>
              </w:rPr>
              <w:t>2+</w:t>
            </w:r>
            <w:r>
              <w:rPr>
                <w:rFonts w:ascii="Times New Roman" w:hAnsi="Times New Roman" w:eastAsia="Times New Roman" w:cs="Times New Roman"/>
                <w:spacing w:val="-11"/>
                <w:position w:val="6"/>
                <w:sz w:val="13"/>
                <w:szCs w:val="13"/>
              </w:rPr>
              <w:t xml:space="preserve"> </w:t>
            </w:r>
            <w:r>
              <w:rPr>
                <w:spacing w:val="3"/>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3"/>
                <w:position w:val="6"/>
                <w:sz w:val="13"/>
                <w:szCs w:val="13"/>
              </w:rPr>
              <w:t>2+</w:t>
            </w:r>
            <w:r>
              <w:rPr>
                <w:rFonts w:ascii="Times New Roman" w:hAnsi="Times New Roman" w:eastAsia="Times New Roman" w:cs="Times New Roman"/>
                <w:spacing w:val="-10"/>
                <w:position w:val="6"/>
                <w:sz w:val="13"/>
                <w:szCs w:val="13"/>
              </w:rPr>
              <w:t xml:space="preserve"> </w:t>
            </w:r>
            <w:r>
              <w:rPr>
                <w:spacing w:val="3"/>
                <w:sz w:val="20"/>
                <w:szCs w:val="20"/>
              </w:rPr>
              <w:t>、</w:t>
            </w:r>
            <w:r>
              <w:rPr>
                <w:rFonts w:ascii="Times New Roman" w:hAnsi="Times New Roman" w:eastAsia="Times New Roman" w:cs="Times New Roman"/>
                <w:sz w:val="20"/>
                <w:szCs w:val="20"/>
              </w:rPr>
              <w:t>CO</w:t>
            </w:r>
            <w:r>
              <w:rPr>
                <w:rFonts w:ascii="Times New Roman" w:hAnsi="Times New Roman" w:eastAsia="Times New Roman" w:cs="Times New Roman"/>
                <w:spacing w:val="3"/>
                <w:position w:val="-2"/>
                <w:sz w:val="13"/>
                <w:szCs w:val="13"/>
              </w:rPr>
              <w:t>3</w:t>
            </w:r>
            <w:r>
              <w:rPr>
                <w:rFonts w:ascii="Times New Roman" w:hAnsi="Times New Roman" w:eastAsia="Times New Roman" w:cs="Times New Roman"/>
                <w:spacing w:val="3"/>
                <w:position w:val="6"/>
                <w:sz w:val="13"/>
                <w:szCs w:val="13"/>
              </w:rPr>
              <w:t>2-</w:t>
            </w:r>
            <w:r>
              <w:rPr>
                <w:rFonts w:ascii="Times New Roman" w:hAnsi="Times New Roman" w:eastAsia="Times New Roman" w:cs="Times New Roman"/>
                <w:spacing w:val="-10"/>
                <w:position w:val="6"/>
                <w:sz w:val="13"/>
                <w:szCs w:val="13"/>
              </w:rPr>
              <w:t xml:space="preserve"> </w:t>
            </w:r>
            <w:r>
              <w:rPr>
                <w:spacing w:val="3"/>
                <w:sz w:val="20"/>
                <w:szCs w:val="20"/>
              </w:rPr>
              <w:t>、</w:t>
            </w:r>
            <w:r>
              <w:rPr>
                <w:rFonts w:ascii="Times New Roman" w:hAnsi="Times New Roman" w:eastAsia="Times New Roman" w:cs="Times New Roman"/>
                <w:sz w:val="20"/>
                <w:szCs w:val="20"/>
              </w:rPr>
              <w:t>HCO</w:t>
            </w:r>
            <w:r>
              <w:rPr>
                <w:rFonts w:ascii="Times New Roman" w:hAnsi="Times New Roman" w:eastAsia="Times New Roman" w:cs="Times New Roman"/>
                <w:spacing w:val="3"/>
                <w:position w:val="-2"/>
                <w:sz w:val="13"/>
                <w:szCs w:val="13"/>
              </w:rPr>
              <w:t>3</w:t>
            </w:r>
            <w:r>
              <w:rPr>
                <w:rFonts w:ascii="Times New Roman" w:hAnsi="Times New Roman" w:eastAsia="Times New Roman" w:cs="Times New Roman"/>
                <w:spacing w:val="3"/>
                <w:position w:val="6"/>
                <w:sz w:val="13"/>
                <w:szCs w:val="13"/>
              </w:rPr>
              <w:t>-</w:t>
            </w:r>
            <w:r>
              <w:rPr>
                <w:rFonts w:ascii="Times New Roman" w:hAnsi="Times New Roman" w:eastAsia="Times New Roman" w:cs="Times New Roman"/>
                <w:spacing w:val="-10"/>
                <w:position w:val="6"/>
                <w:sz w:val="13"/>
                <w:szCs w:val="13"/>
              </w:rPr>
              <w:t xml:space="preserve"> </w:t>
            </w:r>
            <w:r>
              <w:rPr>
                <w:spacing w:val="3"/>
                <w:sz w:val="20"/>
                <w:szCs w:val="20"/>
              </w:rPr>
              <w:t>、</w:t>
            </w:r>
            <w:r>
              <w:rPr>
                <w:rFonts w:ascii="Times New Roman" w:hAnsi="Times New Roman" w:eastAsia="Times New Roman" w:cs="Times New Roman"/>
                <w:sz w:val="20"/>
                <w:szCs w:val="20"/>
              </w:rPr>
              <w:t>Cl</w:t>
            </w:r>
            <w:r>
              <w:rPr>
                <w:rFonts w:ascii="Times New Roman" w:hAnsi="Times New Roman" w:eastAsia="Times New Roman" w:cs="Times New Roman"/>
                <w:spacing w:val="3"/>
                <w:position w:val="6"/>
                <w:sz w:val="13"/>
                <w:szCs w:val="13"/>
              </w:rPr>
              <w:t>-</w:t>
            </w:r>
            <w:r>
              <w:rPr>
                <w:rFonts w:ascii="Times New Roman" w:hAnsi="Times New Roman" w:eastAsia="Times New Roman" w:cs="Times New Roman"/>
                <w:spacing w:val="-10"/>
                <w:position w:val="6"/>
                <w:sz w:val="13"/>
                <w:szCs w:val="13"/>
              </w:rPr>
              <w:t xml:space="preserve"> </w:t>
            </w:r>
            <w:r>
              <w:rPr>
                <w:spacing w:val="3"/>
                <w:sz w:val="20"/>
                <w:szCs w:val="20"/>
              </w:rPr>
              <w:t>、</w:t>
            </w:r>
            <w:r>
              <w:rPr>
                <w:rFonts w:ascii="Times New Roman" w:hAnsi="Times New Roman" w:eastAsia="Times New Roman" w:cs="Times New Roman"/>
                <w:sz w:val="20"/>
                <w:szCs w:val="20"/>
              </w:rPr>
              <w:t>SO</w:t>
            </w:r>
            <w:r>
              <w:rPr>
                <w:rFonts w:ascii="Times New Roman" w:hAnsi="Times New Roman" w:eastAsia="Times New Roman" w:cs="Times New Roman"/>
                <w:spacing w:val="3"/>
                <w:position w:val="-2"/>
                <w:sz w:val="13"/>
                <w:szCs w:val="13"/>
              </w:rPr>
              <w:t>4</w:t>
            </w:r>
            <w:r>
              <w:rPr>
                <w:rFonts w:ascii="Times New Roman" w:hAnsi="Times New Roman" w:eastAsia="Times New Roman" w:cs="Times New Roman"/>
                <w:spacing w:val="3"/>
                <w:position w:val="6"/>
                <w:sz w:val="13"/>
                <w:szCs w:val="13"/>
              </w:rPr>
              <w:t>2-</w:t>
            </w:r>
            <w:r>
              <w:rPr>
                <w:rFonts w:ascii="Times New Roman" w:hAnsi="Times New Roman" w:eastAsia="Times New Roman" w:cs="Times New Roman"/>
                <w:spacing w:val="-8"/>
                <w:position w:val="6"/>
                <w:sz w:val="13"/>
                <w:szCs w:val="13"/>
              </w:rPr>
              <w:t xml:space="preserve"> </w:t>
            </w:r>
            <w:r>
              <w:rPr>
                <w:spacing w:val="3"/>
                <w:sz w:val="20"/>
                <w:szCs w:val="20"/>
              </w:rPr>
              <w:t>、</w:t>
            </w:r>
            <w:r>
              <w:rPr>
                <w:sz w:val="20"/>
                <w:szCs w:val="20"/>
              </w:rPr>
              <w:t xml:space="preserve"> </w:t>
            </w:r>
            <w:r>
              <w:rPr>
                <w:spacing w:val="-2"/>
                <w:sz w:val="20"/>
                <w:szCs w:val="20"/>
              </w:rPr>
              <w:t>氨氮、硝酸盐氮、亚硝酸盐氮、挥发性酚类、氰化物、砷、汞、铬（六价）、</w:t>
            </w:r>
            <w:r>
              <w:rPr>
                <w:spacing w:val="11"/>
                <w:sz w:val="20"/>
                <w:szCs w:val="20"/>
              </w:rPr>
              <w:t xml:space="preserve"> </w:t>
            </w:r>
            <w:r>
              <w:rPr>
                <w:spacing w:val="4"/>
                <w:sz w:val="20"/>
                <w:szCs w:val="20"/>
              </w:rPr>
              <w:t>总硬度、铅、氟、镉、铁、锰、硫化物、耗氧量、总大肠菌群、细菌总数。</w:t>
            </w:r>
          </w:p>
        </w:tc>
      </w:tr>
      <w:tr w14:paraId="3040F4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1134" w:type="dxa"/>
            <w:vMerge w:val="continue"/>
            <w:tcBorders>
              <w:top w:val="nil"/>
              <w:left w:val="nil"/>
            </w:tcBorders>
            <w:vAlign w:val="top"/>
          </w:tcPr>
          <w:p w14:paraId="5D211B8A">
            <w:pPr>
              <w:rPr>
                <w:rFonts w:ascii="Arial"/>
                <w:sz w:val="21"/>
              </w:rPr>
            </w:pPr>
          </w:p>
        </w:tc>
        <w:tc>
          <w:tcPr>
            <w:tcW w:w="1178" w:type="dxa"/>
            <w:vAlign w:val="top"/>
          </w:tcPr>
          <w:p w14:paraId="0B7CC344">
            <w:pPr>
              <w:pStyle w:val="6"/>
              <w:spacing w:before="39" w:line="208" w:lineRule="auto"/>
              <w:ind w:left="172"/>
              <w:rPr>
                <w:sz w:val="20"/>
                <w:szCs w:val="20"/>
              </w:rPr>
            </w:pPr>
            <w:r>
              <w:rPr>
                <w:spacing w:val="7"/>
                <w:sz w:val="20"/>
                <w:szCs w:val="20"/>
              </w:rPr>
              <w:t>影响预测</w:t>
            </w:r>
          </w:p>
        </w:tc>
        <w:tc>
          <w:tcPr>
            <w:tcW w:w="6759" w:type="dxa"/>
            <w:tcBorders>
              <w:right w:val="nil"/>
            </w:tcBorders>
            <w:vAlign w:val="top"/>
          </w:tcPr>
          <w:p w14:paraId="54AA4143">
            <w:pPr>
              <w:pStyle w:val="6"/>
              <w:spacing w:before="39" w:line="208" w:lineRule="auto"/>
              <w:ind w:left="2848"/>
              <w:rPr>
                <w:sz w:val="20"/>
                <w:szCs w:val="20"/>
              </w:rPr>
            </w:pPr>
            <w:r>
              <w:rPr>
                <w:rFonts w:ascii="Times New Roman" w:hAnsi="Times New Roman" w:eastAsia="Times New Roman" w:cs="Times New Roman"/>
                <w:sz w:val="20"/>
                <w:szCs w:val="20"/>
              </w:rPr>
              <w:t>COD</w:t>
            </w:r>
            <w:r>
              <w:rPr>
                <w:rFonts w:ascii="Times New Roman" w:hAnsi="Times New Roman" w:eastAsia="Times New Roman" w:cs="Times New Roman"/>
                <w:spacing w:val="-23"/>
                <w:sz w:val="20"/>
                <w:szCs w:val="20"/>
              </w:rPr>
              <w:t xml:space="preserve"> </w:t>
            </w:r>
            <w:r>
              <w:rPr>
                <w:spacing w:val="5"/>
                <w:sz w:val="20"/>
                <w:szCs w:val="20"/>
              </w:rPr>
              <w:t>、氨氮</w:t>
            </w:r>
          </w:p>
        </w:tc>
      </w:tr>
      <w:tr w14:paraId="0D1047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1134" w:type="dxa"/>
            <w:tcBorders>
              <w:left w:val="nil"/>
            </w:tcBorders>
            <w:vAlign w:val="top"/>
          </w:tcPr>
          <w:p w14:paraId="68A5F74B">
            <w:pPr>
              <w:pStyle w:val="6"/>
              <w:spacing w:before="42" w:line="206" w:lineRule="auto"/>
              <w:ind w:left="259"/>
              <w:rPr>
                <w:sz w:val="20"/>
                <w:szCs w:val="20"/>
              </w:rPr>
            </w:pPr>
            <w:r>
              <w:rPr>
                <w:spacing w:val="5"/>
                <w:sz w:val="20"/>
                <w:szCs w:val="20"/>
              </w:rPr>
              <w:t>声环境</w:t>
            </w:r>
          </w:p>
        </w:tc>
        <w:tc>
          <w:tcPr>
            <w:tcW w:w="1178" w:type="dxa"/>
            <w:vAlign w:val="top"/>
          </w:tcPr>
          <w:p w14:paraId="5CAC8EE3">
            <w:pPr>
              <w:pStyle w:val="6"/>
              <w:spacing w:before="42" w:line="206" w:lineRule="auto"/>
              <w:ind w:left="68"/>
              <w:rPr>
                <w:sz w:val="20"/>
                <w:szCs w:val="20"/>
              </w:rPr>
            </w:pPr>
            <w:r>
              <w:rPr>
                <w:spacing w:val="7"/>
                <w:sz w:val="20"/>
                <w:szCs w:val="20"/>
              </w:rPr>
              <w:t>现状及预测</w:t>
            </w:r>
          </w:p>
        </w:tc>
        <w:tc>
          <w:tcPr>
            <w:tcW w:w="6759" w:type="dxa"/>
            <w:tcBorders>
              <w:right w:val="nil"/>
            </w:tcBorders>
            <w:vAlign w:val="top"/>
          </w:tcPr>
          <w:p w14:paraId="090386EB">
            <w:pPr>
              <w:pStyle w:val="6"/>
              <w:spacing w:before="42" w:line="206" w:lineRule="auto"/>
              <w:ind w:left="2363"/>
              <w:rPr>
                <w:rFonts w:ascii="Times New Roman" w:hAnsi="Times New Roman" w:eastAsia="Times New Roman" w:cs="Times New Roman"/>
                <w:sz w:val="20"/>
                <w:szCs w:val="20"/>
              </w:rPr>
            </w:pPr>
            <w:r>
              <w:rPr>
                <w:spacing w:val="7"/>
                <w:sz w:val="20"/>
                <w:szCs w:val="20"/>
              </w:rPr>
              <w:t>等效连续</w:t>
            </w:r>
            <w:r>
              <w:rPr>
                <w:spacing w:val="-39"/>
                <w:sz w:val="20"/>
                <w:szCs w:val="20"/>
              </w:rPr>
              <w:t xml:space="preserve"> </w:t>
            </w:r>
            <w:r>
              <w:rPr>
                <w:rFonts w:ascii="Times New Roman" w:hAnsi="Times New Roman" w:eastAsia="Times New Roman" w:cs="Times New Roman"/>
                <w:spacing w:val="7"/>
                <w:sz w:val="20"/>
                <w:szCs w:val="20"/>
              </w:rPr>
              <w:t>A</w:t>
            </w:r>
            <w:r>
              <w:rPr>
                <w:rFonts w:ascii="Times New Roman" w:hAnsi="Times New Roman" w:eastAsia="Times New Roman" w:cs="Times New Roman"/>
                <w:spacing w:val="16"/>
                <w:sz w:val="20"/>
                <w:szCs w:val="20"/>
              </w:rPr>
              <w:t xml:space="preserve"> </w:t>
            </w:r>
            <w:r>
              <w:rPr>
                <w:spacing w:val="7"/>
                <w:sz w:val="20"/>
                <w:szCs w:val="20"/>
              </w:rPr>
              <w:t>声级</w:t>
            </w:r>
            <w:r>
              <w:rPr>
                <w:spacing w:val="-41"/>
                <w:sz w:val="20"/>
                <w:szCs w:val="20"/>
              </w:rPr>
              <w:t xml:space="preserve"> </w:t>
            </w:r>
            <w:r>
              <w:rPr>
                <w:rFonts w:ascii="Times New Roman" w:hAnsi="Times New Roman" w:eastAsia="Times New Roman" w:cs="Times New Roman"/>
                <w:sz w:val="20"/>
                <w:szCs w:val="20"/>
              </w:rPr>
              <w:t>LAeq</w:t>
            </w:r>
          </w:p>
        </w:tc>
      </w:tr>
      <w:tr w14:paraId="7EE273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1134" w:type="dxa"/>
            <w:tcBorders>
              <w:left w:val="nil"/>
            </w:tcBorders>
            <w:vAlign w:val="top"/>
          </w:tcPr>
          <w:p w14:paraId="09BA7645">
            <w:pPr>
              <w:pStyle w:val="6"/>
              <w:spacing w:before="45" w:line="203" w:lineRule="auto"/>
              <w:ind w:left="168"/>
              <w:rPr>
                <w:sz w:val="20"/>
                <w:szCs w:val="20"/>
              </w:rPr>
            </w:pPr>
            <w:r>
              <w:rPr>
                <w:spacing w:val="2"/>
                <w:sz w:val="20"/>
                <w:szCs w:val="20"/>
              </w:rPr>
              <w:t>固体废物</w:t>
            </w:r>
          </w:p>
        </w:tc>
        <w:tc>
          <w:tcPr>
            <w:tcW w:w="1178" w:type="dxa"/>
            <w:vAlign w:val="top"/>
          </w:tcPr>
          <w:p w14:paraId="05880787">
            <w:pPr>
              <w:pStyle w:val="6"/>
              <w:spacing w:before="45" w:line="203" w:lineRule="auto"/>
              <w:ind w:left="172"/>
              <w:rPr>
                <w:sz w:val="20"/>
                <w:szCs w:val="20"/>
              </w:rPr>
            </w:pPr>
            <w:r>
              <w:rPr>
                <w:spacing w:val="7"/>
                <w:sz w:val="20"/>
                <w:szCs w:val="20"/>
              </w:rPr>
              <w:t>影响分析</w:t>
            </w:r>
          </w:p>
        </w:tc>
        <w:tc>
          <w:tcPr>
            <w:tcW w:w="6759" w:type="dxa"/>
            <w:tcBorders>
              <w:right w:val="nil"/>
            </w:tcBorders>
            <w:vAlign w:val="top"/>
          </w:tcPr>
          <w:p w14:paraId="309B47DD">
            <w:pPr>
              <w:pStyle w:val="6"/>
              <w:spacing w:before="45" w:line="203" w:lineRule="auto"/>
              <w:ind w:left="1498"/>
              <w:rPr>
                <w:sz w:val="20"/>
                <w:szCs w:val="20"/>
              </w:rPr>
            </w:pPr>
            <w:r>
              <w:rPr>
                <w:spacing w:val="9"/>
                <w:sz w:val="20"/>
                <w:szCs w:val="20"/>
              </w:rPr>
              <w:t>一般工业固体废物、危险废物、生活垃圾</w:t>
            </w:r>
          </w:p>
        </w:tc>
      </w:tr>
      <w:tr w14:paraId="4C85D4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1134" w:type="dxa"/>
            <w:tcBorders>
              <w:left w:val="nil"/>
            </w:tcBorders>
            <w:vAlign w:val="top"/>
          </w:tcPr>
          <w:p w14:paraId="1DC0E565">
            <w:pPr>
              <w:pStyle w:val="6"/>
              <w:spacing w:before="45" w:line="203" w:lineRule="auto"/>
              <w:ind w:left="151"/>
              <w:rPr>
                <w:sz w:val="20"/>
                <w:szCs w:val="20"/>
              </w:rPr>
            </w:pPr>
            <w:r>
              <w:rPr>
                <w:spacing w:val="6"/>
                <w:sz w:val="20"/>
                <w:szCs w:val="20"/>
              </w:rPr>
              <w:t>生态环境</w:t>
            </w:r>
          </w:p>
        </w:tc>
        <w:tc>
          <w:tcPr>
            <w:tcW w:w="1178" w:type="dxa"/>
            <w:vAlign w:val="top"/>
          </w:tcPr>
          <w:p w14:paraId="316DC114">
            <w:pPr>
              <w:pStyle w:val="6"/>
              <w:spacing w:before="45" w:line="203" w:lineRule="auto"/>
              <w:ind w:left="68"/>
              <w:rPr>
                <w:sz w:val="20"/>
                <w:szCs w:val="20"/>
              </w:rPr>
            </w:pPr>
            <w:r>
              <w:rPr>
                <w:spacing w:val="7"/>
                <w:sz w:val="20"/>
                <w:szCs w:val="20"/>
              </w:rPr>
              <w:t>现状及评价</w:t>
            </w:r>
          </w:p>
        </w:tc>
        <w:tc>
          <w:tcPr>
            <w:tcW w:w="6759" w:type="dxa"/>
            <w:tcBorders>
              <w:right w:val="nil"/>
            </w:tcBorders>
            <w:vAlign w:val="top"/>
          </w:tcPr>
          <w:p w14:paraId="60B93C7D">
            <w:pPr>
              <w:pStyle w:val="6"/>
              <w:spacing w:before="45" w:line="203" w:lineRule="auto"/>
              <w:ind w:left="2863"/>
              <w:rPr>
                <w:sz w:val="20"/>
                <w:szCs w:val="20"/>
              </w:rPr>
            </w:pPr>
            <w:r>
              <w:rPr>
                <w:spacing w:val="7"/>
                <w:sz w:val="20"/>
                <w:szCs w:val="20"/>
              </w:rPr>
              <w:t>水土流失等</w:t>
            </w:r>
          </w:p>
        </w:tc>
      </w:tr>
      <w:tr w14:paraId="288577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7" w:hRule="atLeast"/>
        </w:trPr>
        <w:tc>
          <w:tcPr>
            <w:tcW w:w="1134" w:type="dxa"/>
            <w:vMerge w:val="restart"/>
            <w:tcBorders>
              <w:left w:val="nil"/>
              <w:bottom w:val="nil"/>
            </w:tcBorders>
            <w:vAlign w:val="top"/>
          </w:tcPr>
          <w:p w14:paraId="4F7DD297">
            <w:pPr>
              <w:spacing w:line="263" w:lineRule="auto"/>
              <w:rPr>
                <w:rFonts w:ascii="Arial"/>
                <w:sz w:val="21"/>
              </w:rPr>
            </w:pPr>
          </w:p>
          <w:p w14:paraId="3B05FBE5">
            <w:pPr>
              <w:pStyle w:val="6"/>
              <w:spacing w:before="65" w:line="228" w:lineRule="auto"/>
              <w:ind w:left="150"/>
              <w:rPr>
                <w:sz w:val="20"/>
                <w:szCs w:val="20"/>
              </w:rPr>
            </w:pPr>
            <w:r>
              <w:rPr>
                <w:spacing w:val="7"/>
                <w:sz w:val="20"/>
                <w:szCs w:val="20"/>
              </w:rPr>
              <w:t>土壤环境</w:t>
            </w:r>
          </w:p>
        </w:tc>
        <w:tc>
          <w:tcPr>
            <w:tcW w:w="1178" w:type="dxa"/>
            <w:vAlign w:val="top"/>
          </w:tcPr>
          <w:p w14:paraId="192D3D30">
            <w:pPr>
              <w:pStyle w:val="6"/>
              <w:spacing w:before="185" w:line="226" w:lineRule="auto"/>
              <w:ind w:left="174"/>
              <w:rPr>
                <w:sz w:val="20"/>
                <w:szCs w:val="20"/>
              </w:rPr>
            </w:pPr>
            <w:r>
              <w:rPr>
                <w:spacing w:val="6"/>
                <w:sz w:val="20"/>
                <w:szCs w:val="20"/>
              </w:rPr>
              <w:t>现状评价</w:t>
            </w:r>
          </w:p>
        </w:tc>
        <w:tc>
          <w:tcPr>
            <w:tcW w:w="6759" w:type="dxa"/>
            <w:tcBorders>
              <w:right w:val="nil"/>
            </w:tcBorders>
            <w:vAlign w:val="top"/>
          </w:tcPr>
          <w:p w14:paraId="0967261E">
            <w:pPr>
              <w:pStyle w:val="6"/>
              <w:spacing w:before="48" w:line="228" w:lineRule="auto"/>
              <w:ind w:left="13"/>
              <w:rPr>
                <w:sz w:val="20"/>
                <w:szCs w:val="20"/>
              </w:rPr>
            </w:pPr>
            <w:r>
              <w:rPr>
                <w:spacing w:val="3"/>
                <w:sz w:val="20"/>
                <w:szCs w:val="20"/>
              </w:rPr>
              <w:t>背景点：</w:t>
            </w:r>
            <w:r>
              <w:rPr>
                <w:rFonts w:ascii="Times New Roman" w:hAnsi="Times New Roman" w:eastAsia="Times New Roman" w:cs="Times New Roman"/>
                <w:sz w:val="20"/>
                <w:szCs w:val="20"/>
              </w:rPr>
              <w:t>GB</w:t>
            </w:r>
            <w:r>
              <w:rPr>
                <w:rFonts w:ascii="Times New Roman" w:hAnsi="Times New Roman" w:eastAsia="Times New Roman" w:cs="Times New Roman"/>
                <w:spacing w:val="3"/>
                <w:sz w:val="20"/>
                <w:szCs w:val="20"/>
              </w:rPr>
              <w:t xml:space="preserve">36600-2018 </w:t>
            </w:r>
            <w:r>
              <w:rPr>
                <w:spacing w:val="3"/>
                <w:sz w:val="20"/>
                <w:szCs w:val="20"/>
              </w:rPr>
              <w:t>表</w:t>
            </w:r>
            <w:r>
              <w:rPr>
                <w:spacing w:val="-12"/>
                <w:sz w:val="20"/>
                <w:szCs w:val="20"/>
              </w:rPr>
              <w:t xml:space="preserve"> </w:t>
            </w:r>
            <w:r>
              <w:rPr>
                <w:rFonts w:ascii="Times New Roman" w:hAnsi="Times New Roman" w:eastAsia="Times New Roman" w:cs="Times New Roman"/>
                <w:spacing w:val="3"/>
                <w:sz w:val="20"/>
                <w:szCs w:val="20"/>
              </w:rPr>
              <w:t>1</w:t>
            </w:r>
            <w:r>
              <w:rPr>
                <w:rFonts w:ascii="Times New Roman" w:hAnsi="Times New Roman" w:eastAsia="Times New Roman" w:cs="Times New Roman"/>
                <w:spacing w:val="31"/>
                <w:w w:val="101"/>
                <w:sz w:val="20"/>
                <w:szCs w:val="20"/>
              </w:rPr>
              <w:t xml:space="preserve"> </w:t>
            </w:r>
            <w:r>
              <w:rPr>
                <w:spacing w:val="3"/>
                <w:sz w:val="20"/>
                <w:szCs w:val="20"/>
              </w:rPr>
              <w:t>中全</w:t>
            </w:r>
            <w:r>
              <w:rPr>
                <w:spacing w:val="-42"/>
                <w:sz w:val="20"/>
                <w:szCs w:val="20"/>
              </w:rPr>
              <w:t xml:space="preserve"> </w:t>
            </w:r>
            <w:r>
              <w:rPr>
                <w:rFonts w:ascii="Times New Roman" w:hAnsi="Times New Roman" w:eastAsia="Times New Roman" w:cs="Times New Roman"/>
                <w:spacing w:val="3"/>
                <w:sz w:val="20"/>
                <w:szCs w:val="20"/>
              </w:rPr>
              <w:t>45</w:t>
            </w:r>
            <w:r>
              <w:rPr>
                <w:rFonts w:ascii="Times New Roman" w:hAnsi="Times New Roman" w:eastAsia="Times New Roman" w:cs="Times New Roman"/>
                <w:spacing w:val="16"/>
                <w:sz w:val="20"/>
                <w:szCs w:val="20"/>
              </w:rPr>
              <w:t xml:space="preserve"> </w:t>
            </w:r>
            <w:r>
              <w:rPr>
                <w:spacing w:val="3"/>
                <w:sz w:val="20"/>
                <w:szCs w:val="20"/>
              </w:rPr>
              <w:t>项</w:t>
            </w:r>
          </w:p>
          <w:p w14:paraId="7A94712F">
            <w:pPr>
              <w:pStyle w:val="6"/>
              <w:spacing w:before="27" w:line="198" w:lineRule="auto"/>
              <w:ind w:left="10"/>
              <w:rPr>
                <w:sz w:val="20"/>
                <w:szCs w:val="20"/>
              </w:rPr>
            </w:pPr>
            <w:r>
              <w:rPr>
                <w:spacing w:val="9"/>
                <w:sz w:val="20"/>
                <w:szCs w:val="20"/>
              </w:rPr>
              <w:t>其余监测点：砷、镉、铜、铅、汞、镍、铬（六价）</w:t>
            </w:r>
          </w:p>
        </w:tc>
      </w:tr>
      <w:tr w14:paraId="6AFE24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1134" w:type="dxa"/>
            <w:vMerge w:val="continue"/>
            <w:tcBorders>
              <w:top w:val="nil"/>
              <w:left w:val="nil"/>
            </w:tcBorders>
            <w:vAlign w:val="top"/>
          </w:tcPr>
          <w:p w14:paraId="18DEDA42">
            <w:pPr>
              <w:rPr>
                <w:rFonts w:ascii="Arial"/>
                <w:sz w:val="21"/>
              </w:rPr>
            </w:pPr>
          </w:p>
        </w:tc>
        <w:tc>
          <w:tcPr>
            <w:tcW w:w="1178" w:type="dxa"/>
            <w:vAlign w:val="top"/>
          </w:tcPr>
          <w:p w14:paraId="5839C952">
            <w:pPr>
              <w:pStyle w:val="6"/>
              <w:spacing w:before="50" w:line="199" w:lineRule="auto"/>
              <w:ind w:left="172"/>
              <w:rPr>
                <w:sz w:val="20"/>
                <w:szCs w:val="20"/>
              </w:rPr>
            </w:pPr>
            <w:r>
              <w:rPr>
                <w:spacing w:val="7"/>
                <w:sz w:val="20"/>
                <w:szCs w:val="20"/>
              </w:rPr>
              <w:t>影响分析</w:t>
            </w:r>
          </w:p>
        </w:tc>
        <w:tc>
          <w:tcPr>
            <w:tcW w:w="6759" w:type="dxa"/>
            <w:tcBorders>
              <w:right w:val="nil"/>
            </w:tcBorders>
            <w:vAlign w:val="top"/>
          </w:tcPr>
          <w:p w14:paraId="416EDBBA">
            <w:pPr>
              <w:spacing w:before="82" w:line="191" w:lineRule="auto"/>
              <w:ind w:left="33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1282A6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8" w:hRule="atLeast"/>
        </w:trPr>
        <w:tc>
          <w:tcPr>
            <w:tcW w:w="1134" w:type="dxa"/>
            <w:tcBorders>
              <w:left w:val="nil"/>
              <w:bottom w:val="single" w:color="000000" w:sz="10" w:space="0"/>
            </w:tcBorders>
            <w:vAlign w:val="top"/>
          </w:tcPr>
          <w:p w14:paraId="038E61B4">
            <w:pPr>
              <w:pStyle w:val="6"/>
              <w:spacing w:before="52" w:line="217" w:lineRule="auto"/>
              <w:ind w:left="150"/>
              <w:rPr>
                <w:sz w:val="20"/>
                <w:szCs w:val="20"/>
              </w:rPr>
            </w:pPr>
            <w:r>
              <w:rPr>
                <w:spacing w:val="7"/>
                <w:sz w:val="20"/>
                <w:szCs w:val="20"/>
              </w:rPr>
              <w:t>环境风险</w:t>
            </w:r>
          </w:p>
        </w:tc>
        <w:tc>
          <w:tcPr>
            <w:tcW w:w="1178" w:type="dxa"/>
            <w:tcBorders>
              <w:bottom w:val="single" w:color="000000" w:sz="10" w:space="0"/>
            </w:tcBorders>
            <w:vAlign w:val="top"/>
          </w:tcPr>
          <w:p w14:paraId="6D258FFD">
            <w:pPr>
              <w:pStyle w:val="6"/>
              <w:spacing w:before="52" w:line="217" w:lineRule="auto"/>
              <w:ind w:left="172"/>
              <w:rPr>
                <w:sz w:val="20"/>
                <w:szCs w:val="20"/>
              </w:rPr>
            </w:pPr>
            <w:r>
              <w:rPr>
                <w:spacing w:val="7"/>
                <w:sz w:val="20"/>
                <w:szCs w:val="20"/>
              </w:rPr>
              <w:t>影响预测</w:t>
            </w:r>
          </w:p>
        </w:tc>
        <w:tc>
          <w:tcPr>
            <w:tcW w:w="6759" w:type="dxa"/>
            <w:tcBorders>
              <w:bottom w:val="single" w:color="000000" w:sz="10" w:space="0"/>
              <w:right w:val="nil"/>
            </w:tcBorders>
            <w:vAlign w:val="top"/>
          </w:tcPr>
          <w:p w14:paraId="2EA46FA9">
            <w:pPr>
              <w:pStyle w:val="6"/>
              <w:spacing w:before="52" w:line="217" w:lineRule="auto"/>
              <w:ind w:left="2401"/>
              <w:rPr>
                <w:sz w:val="20"/>
                <w:szCs w:val="20"/>
              </w:rPr>
            </w:pPr>
            <w:r>
              <w:rPr>
                <w:spacing w:val="10"/>
                <w:sz w:val="20"/>
                <w:szCs w:val="20"/>
              </w:rPr>
              <w:t>煤气（</w:t>
            </w:r>
            <w:r>
              <w:rPr>
                <w:rFonts w:ascii="Times New Roman" w:hAnsi="Times New Roman" w:eastAsia="Times New Roman" w:cs="Times New Roman"/>
                <w:sz w:val="20"/>
                <w:szCs w:val="20"/>
              </w:rPr>
              <w:t>CO</w:t>
            </w:r>
            <w:r>
              <w:rPr>
                <w:spacing w:val="10"/>
                <w:sz w:val="20"/>
                <w:szCs w:val="20"/>
              </w:rPr>
              <w:t>）、石油类</w:t>
            </w:r>
          </w:p>
        </w:tc>
      </w:tr>
    </w:tbl>
    <w:p w14:paraId="4164AB5B">
      <w:pPr>
        <w:spacing w:before="35" w:line="356" w:lineRule="auto"/>
        <w:ind w:left="36" w:right="27" w:firstLine="485"/>
        <w:rPr>
          <w:rFonts w:ascii="宋体" w:hAnsi="宋体" w:eastAsia="宋体" w:cs="宋体"/>
          <w:sz w:val="24"/>
          <w:szCs w:val="24"/>
        </w:rPr>
      </w:pPr>
      <w:r>
        <w:rPr>
          <w:rFonts w:ascii="宋体" w:hAnsi="宋体" w:eastAsia="宋体" w:cs="宋体"/>
          <w:sz w:val="24"/>
          <w:szCs w:val="24"/>
        </w:rPr>
        <w:t>《钢铁烧结、球团工业大气污染物排放标准》（</w:t>
      </w:r>
      <w:r>
        <w:rPr>
          <w:rFonts w:ascii="Times New Roman" w:hAnsi="Times New Roman" w:eastAsia="Times New Roman" w:cs="Times New Roman"/>
          <w:sz w:val="24"/>
          <w:szCs w:val="24"/>
        </w:rPr>
        <w:t>GB28662-2012</w:t>
      </w:r>
      <w:r>
        <w:rPr>
          <w:rFonts w:ascii="宋体" w:hAnsi="宋体" w:eastAsia="宋体" w:cs="宋体"/>
          <w:sz w:val="24"/>
          <w:szCs w:val="24"/>
        </w:rPr>
        <w:t>）表</w:t>
      </w:r>
      <w:r>
        <w:rPr>
          <w:rFonts w:ascii="Times New Roman" w:hAnsi="Times New Roman" w:eastAsia="Times New Roman" w:cs="Times New Roman"/>
          <w:sz w:val="24"/>
          <w:szCs w:val="24"/>
        </w:rPr>
        <w:t>3</w:t>
      </w:r>
      <w:r>
        <w:rPr>
          <w:rFonts w:ascii="宋体" w:hAnsi="宋体" w:eastAsia="宋体" w:cs="宋体"/>
          <w:sz w:val="24"/>
          <w:szCs w:val="24"/>
        </w:rPr>
        <w:t>中污染物中包</w:t>
      </w:r>
      <w:r>
        <w:rPr>
          <w:rFonts w:ascii="宋体" w:hAnsi="宋体" w:eastAsia="宋体" w:cs="宋体"/>
          <w:spacing w:val="2"/>
          <w:sz w:val="24"/>
          <w:szCs w:val="24"/>
        </w:rPr>
        <w:t xml:space="preserve"> </w:t>
      </w:r>
      <w:r>
        <w:rPr>
          <w:rFonts w:ascii="宋体" w:hAnsi="宋体" w:eastAsia="宋体" w:cs="宋体"/>
          <w:spacing w:val="-1"/>
          <w:sz w:val="24"/>
          <w:szCs w:val="24"/>
        </w:rPr>
        <w:t>含二噁英，钢铁烧结、球团工艺中二噁英在烧</w:t>
      </w:r>
      <w:r>
        <w:rPr>
          <w:rFonts w:ascii="宋体" w:hAnsi="宋体" w:eastAsia="宋体" w:cs="宋体"/>
          <w:spacing w:val="-2"/>
          <w:sz w:val="24"/>
          <w:szCs w:val="24"/>
        </w:rPr>
        <w:t>结料层中生成的，由于钢铁行业球团及烧</w:t>
      </w:r>
      <w:r>
        <w:rPr>
          <w:rFonts w:ascii="宋体" w:hAnsi="宋体" w:eastAsia="宋体" w:cs="宋体"/>
          <w:sz w:val="24"/>
          <w:szCs w:val="24"/>
        </w:rPr>
        <w:t xml:space="preserve"> </w:t>
      </w:r>
      <w:r>
        <w:rPr>
          <w:rFonts w:ascii="宋体" w:hAnsi="宋体" w:eastAsia="宋体" w:cs="宋体"/>
          <w:spacing w:val="-2"/>
          <w:sz w:val="24"/>
          <w:szCs w:val="24"/>
        </w:rPr>
        <w:t>结过程具有“从头合成</w:t>
      </w:r>
      <w:r>
        <w:rPr>
          <w:rFonts w:ascii="宋体" w:hAnsi="宋体" w:eastAsia="宋体" w:cs="宋体"/>
          <w:spacing w:val="-88"/>
          <w:sz w:val="24"/>
          <w:szCs w:val="24"/>
        </w:rPr>
        <w:t xml:space="preserve"> </w:t>
      </w:r>
      <w:r>
        <w:rPr>
          <w:rFonts w:ascii="宋体" w:hAnsi="宋体" w:eastAsia="宋体" w:cs="宋体"/>
          <w:spacing w:val="-2"/>
          <w:sz w:val="24"/>
          <w:szCs w:val="24"/>
        </w:rPr>
        <w:t>”产生二噁英的各种条件，如带有变</w:t>
      </w:r>
      <w:r>
        <w:rPr>
          <w:rFonts w:ascii="宋体" w:hAnsi="宋体" w:eastAsia="宋体" w:cs="宋体"/>
          <w:spacing w:val="-3"/>
          <w:sz w:val="24"/>
          <w:szCs w:val="24"/>
        </w:rPr>
        <w:t>形和缺位的石墨结构碳源，</w:t>
      </w:r>
      <w:r>
        <w:rPr>
          <w:rFonts w:ascii="宋体" w:hAnsi="宋体" w:eastAsia="宋体" w:cs="宋体"/>
          <w:sz w:val="24"/>
          <w:szCs w:val="24"/>
        </w:rPr>
        <w:t xml:space="preserve"> </w:t>
      </w:r>
      <w:r>
        <w:rPr>
          <w:rFonts w:ascii="宋体" w:hAnsi="宋体" w:eastAsia="宋体" w:cs="宋体"/>
          <w:spacing w:val="-1"/>
          <w:sz w:val="24"/>
          <w:szCs w:val="24"/>
        </w:rPr>
        <w:t>无机氯化物，铜和铁金属离子，氧化性气氛，温度在</w:t>
      </w:r>
      <w:r>
        <w:rPr>
          <w:rFonts w:ascii="Times New Roman" w:hAnsi="Times New Roman" w:eastAsia="Times New Roman" w:cs="Times New Roman"/>
          <w:spacing w:val="-1"/>
          <w:sz w:val="24"/>
          <w:szCs w:val="24"/>
        </w:rPr>
        <w:t>250~450</w:t>
      </w:r>
      <w:r>
        <w:rPr>
          <w:rFonts w:ascii="宋体" w:hAnsi="宋体" w:eastAsia="宋体" w:cs="宋体"/>
          <w:spacing w:val="-1"/>
          <w:sz w:val="24"/>
          <w:szCs w:val="24"/>
        </w:rPr>
        <w:t>℃</w:t>
      </w:r>
      <w:r>
        <w:rPr>
          <w:rFonts w:ascii="宋体" w:hAnsi="宋体" w:eastAsia="宋体" w:cs="宋体"/>
          <w:spacing w:val="-89"/>
          <w:sz w:val="24"/>
          <w:szCs w:val="24"/>
        </w:rPr>
        <w:t xml:space="preserve"> </w:t>
      </w:r>
      <w:r>
        <w:rPr>
          <w:rFonts w:ascii="宋体" w:hAnsi="宋体" w:eastAsia="宋体" w:cs="宋体"/>
          <w:spacing w:val="-1"/>
          <w:sz w:val="24"/>
          <w:szCs w:val="24"/>
        </w:rPr>
        <w:t>,</w:t>
      </w:r>
      <w:r>
        <w:rPr>
          <w:rFonts w:ascii="宋体" w:hAnsi="宋体" w:eastAsia="宋体" w:cs="宋体"/>
          <w:spacing w:val="67"/>
          <w:sz w:val="24"/>
          <w:szCs w:val="24"/>
        </w:rPr>
        <w:t xml:space="preserve"> </w:t>
      </w:r>
      <w:r>
        <w:rPr>
          <w:rFonts w:ascii="宋体" w:hAnsi="宋体" w:eastAsia="宋体" w:cs="宋体"/>
          <w:spacing w:val="-1"/>
          <w:sz w:val="24"/>
          <w:szCs w:val="24"/>
        </w:rPr>
        <w:t>其中碳来源于</w:t>
      </w:r>
      <w:r>
        <w:rPr>
          <w:rFonts w:ascii="宋体" w:hAnsi="宋体" w:eastAsia="宋体" w:cs="宋体"/>
          <w:spacing w:val="-2"/>
          <w:sz w:val="24"/>
          <w:szCs w:val="24"/>
        </w:rPr>
        <w:t>烧结原</w:t>
      </w:r>
      <w:r>
        <w:rPr>
          <w:rFonts w:ascii="宋体" w:hAnsi="宋体" w:eastAsia="宋体" w:cs="宋体"/>
          <w:sz w:val="24"/>
          <w:szCs w:val="24"/>
        </w:rPr>
        <w:t xml:space="preserve"> </w:t>
      </w:r>
      <w:r>
        <w:rPr>
          <w:rFonts w:ascii="宋体" w:hAnsi="宋体" w:eastAsia="宋体" w:cs="宋体"/>
          <w:spacing w:val="-1"/>
          <w:sz w:val="24"/>
          <w:szCs w:val="24"/>
        </w:rPr>
        <w:t>料中的焦炭，而氯来源于氯化物和一些无机氯</w:t>
      </w:r>
      <w:r>
        <w:rPr>
          <w:rFonts w:ascii="宋体" w:hAnsi="宋体" w:eastAsia="宋体" w:cs="宋体"/>
          <w:spacing w:val="-2"/>
          <w:sz w:val="24"/>
          <w:szCs w:val="24"/>
        </w:rPr>
        <w:t>化物载体，并且认为物料被加热后形成的</w:t>
      </w:r>
      <w:r>
        <w:rPr>
          <w:rFonts w:ascii="宋体" w:hAnsi="宋体" w:eastAsia="宋体" w:cs="宋体"/>
          <w:sz w:val="24"/>
          <w:szCs w:val="24"/>
        </w:rPr>
        <w:t xml:space="preserve"> </w:t>
      </w:r>
      <w:r>
        <w:rPr>
          <w:rFonts w:ascii="宋体" w:hAnsi="宋体" w:eastAsia="宋体" w:cs="宋体"/>
          <w:spacing w:val="1"/>
          <w:sz w:val="24"/>
          <w:szCs w:val="24"/>
        </w:rPr>
        <w:t>气态</w:t>
      </w:r>
      <w:r>
        <w:rPr>
          <w:rFonts w:ascii="Times New Roman" w:hAnsi="Times New Roman" w:eastAsia="Times New Roman" w:cs="Times New Roman"/>
          <w:sz w:val="24"/>
          <w:szCs w:val="24"/>
        </w:rPr>
        <w:t>HCl</w:t>
      </w:r>
      <w:r>
        <w:rPr>
          <w:rFonts w:ascii="宋体" w:hAnsi="宋体" w:eastAsia="宋体" w:cs="宋体"/>
          <w:spacing w:val="1"/>
          <w:sz w:val="24"/>
          <w:szCs w:val="24"/>
        </w:rPr>
        <w:t>是烧结过程中形成二噁英的重要源头。本项目烧</w:t>
      </w:r>
      <w:r>
        <w:rPr>
          <w:rFonts w:ascii="宋体" w:hAnsi="宋体" w:eastAsia="宋体" w:cs="宋体"/>
          <w:sz w:val="24"/>
          <w:szCs w:val="24"/>
        </w:rPr>
        <w:t xml:space="preserve">结机采用原料中含氯化合物极 </w:t>
      </w:r>
      <w:r>
        <w:rPr>
          <w:rFonts w:ascii="宋体" w:hAnsi="宋体" w:eastAsia="宋体" w:cs="宋体"/>
          <w:spacing w:val="-1"/>
          <w:sz w:val="24"/>
          <w:szCs w:val="24"/>
        </w:rPr>
        <w:t>少，很难在加热后形成气态</w:t>
      </w:r>
      <w:r>
        <w:rPr>
          <w:rFonts w:ascii="Times New Roman" w:hAnsi="Times New Roman" w:eastAsia="Times New Roman" w:cs="Times New Roman"/>
          <w:spacing w:val="-1"/>
          <w:sz w:val="24"/>
          <w:szCs w:val="24"/>
        </w:rPr>
        <w:t>HCl</w:t>
      </w:r>
      <w:r>
        <w:rPr>
          <w:rFonts w:ascii="Times New Roman" w:hAnsi="Times New Roman" w:eastAsia="Times New Roman" w:cs="Times New Roman"/>
          <w:spacing w:val="-22"/>
          <w:sz w:val="24"/>
          <w:szCs w:val="24"/>
        </w:rPr>
        <w:t xml:space="preserve"> </w:t>
      </w:r>
      <w:r>
        <w:rPr>
          <w:rFonts w:ascii="宋体" w:hAnsi="宋体" w:eastAsia="宋体" w:cs="宋体"/>
          <w:spacing w:val="-1"/>
          <w:sz w:val="24"/>
          <w:szCs w:val="24"/>
        </w:rPr>
        <w:t>，且焙烧温度在</w:t>
      </w:r>
      <w:r>
        <w:rPr>
          <w:rFonts w:ascii="Times New Roman" w:hAnsi="Times New Roman" w:eastAsia="Times New Roman" w:cs="Times New Roman"/>
          <w:spacing w:val="-1"/>
          <w:sz w:val="24"/>
          <w:szCs w:val="24"/>
        </w:rPr>
        <w:t>1250</w:t>
      </w:r>
      <w:r>
        <w:rPr>
          <w:rFonts w:ascii="宋体" w:hAnsi="宋体" w:eastAsia="宋体" w:cs="宋体"/>
          <w:spacing w:val="-1"/>
          <w:sz w:val="24"/>
          <w:szCs w:val="24"/>
        </w:rPr>
        <w:t>℃</w:t>
      </w:r>
      <w:r>
        <w:rPr>
          <w:rFonts w:ascii="Times New Roman" w:hAnsi="Times New Roman" w:eastAsia="Times New Roman" w:cs="Times New Roman"/>
          <w:spacing w:val="-1"/>
          <w:sz w:val="24"/>
          <w:szCs w:val="24"/>
        </w:rPr>
        <w:t>~</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1"/>
          <w:sz w:val="24"/>
          <w:szCs w:val="24"/>
        </w:rPr>
        <w:t>1350</w:t>
      </w:r>
      <w:r>
        <w:rPr>
          <w:rFonts w:ascii="宋体" w:hAnsi="宋体" w:eastAsia="宋体" w:cs="宋体"/>
          <w:spacing w:val="-1"/>
          <w:sz w:val="24"/>
          <w:szCs w:val="24"/>
        </w:rPr>
        <w:t>℃</w:t>
      </w:r>
      <w:r>
        <w:rPr>
          <w:rFonts w:ascii="宋体" w:hAnsi="宋体" w:eastAsia="宋体" w:cs="宋体"/>
          <w:spacing w:val="-86"/>
          <w:sz w:val="24"/>
          <w:szCs w:val="24"/>
        </w:rPr>
        <w:t xml:space="preserve"> </w:t>
      </w:r>
      <w:r>
        <w:rPr>
          <w:rFonts w:ascii="宋体" w:hAnsi="宋体" w:eastAsia="宋体" w:cs="宋体"/>
          <w:spacing w:val="-1"/>
          <w:sz w:val="24"/>
          <w:szCs w:val="24"/>
        </w:rPr>
        <w:t>,</w:t>
      </w:r>
      <w:r>
        <w:rPr>
          <w:rFonts w:ascii="宋体" w:hAnsi="宋体" w:eastAsia="宋体" w:cs="宋体"/>
          <w:spacing w:val="74"/>
          <w:sz w:val="24"/>
          <w:szCs w:val="24"/>
        </w:rPr>
        <w:t xml:space="preserve"> </w:t>
      </w:r>
      <w:r>
        <w:rPr>
          <w:rFonts w:ascii="宋体" w:hAnsi="宋体" w:eastAsia="宋体" w:cs="宋体"/>
          <w:spacing w:val="-1"/>
          <w:sz w:val="24"/>
          <w:szCs w:val="24"/>
        </w:rPr>
        <w:t>高于二噁英分解温度</w:t>
      </w:r>
      <w:r>
        <w:rPr>
          <w:rFonts w:ascii="宋体" w:hAnsi="宋体" w:eastAsia="宋体" w:cs="宋体"/>
          <w:sz w:val="24"/>
          <w:szCs w:val="24"/>
        </w:rPr>
        <w:t xml:space="preserve"> </w:t>
      </w:r>
      <w:r>
        <w:rPr>
          <w:rFonts w:ascii="Times New Roman" w:hAnsi="Times New Roman" w:eastAsia="Times New Roman" w:cs="Times New Roman"/>
          <w:spacing w:val="-3"/>
          <w:sz w:val="24"/>
          <w:szCs w:val="24"/>
        </w:rPr>
        <w:t>1200</w:t>
      </w:r>
      <w:r>
        <w:rPr>
          <w:rFonts w:ascii="宋体" w:hAnsi="宋体" w:eastAsia="宋体" w:cs="宋体"/>
          <w:spacing w:val="-3"/>
          <w:sz w:val="24"/>
          <w:szCs w:val="24"/>
        </w:rPr>
        <w:t>℃</w:t>
      </w:r>
      <w:r>
        <w:rPr>
          <w:rFonts w:ascii="宋体" w:hAnsi="宋体" w:eastAsia="宋体" w:cs="宋体"/>
          <w:spacing w:val="-91"/>
          <w:sz w:val="24"/>
          <w:szCs w:val="24"/>
        </w:rPr>
        <w:t xml:space="preserve"> </w:t>
      </w:r>
      <w:r>
        <w:rPr>
          <w:rFonts w:ascii="宋体" w:hAnsi="宋体" w:eastAsia="宋体" w:cs="宋体"/>
          <w:spacing w:val="-3"/>
          <w:sz w:val="24"/>
          <w:szCs w:val="24"/>
        </w:rPr>
        <w:t>,</w:t>
      </w:r>
      <w:r>
        <w:rPr>
          <w:rFonts w:ascii="宋体" w:hAnsi="宋体" w:eastAsia="宋体" w:cs="宋体"/>
          <w:spacing w:val="54"/>
          <w:sz w:val="24"/>
          <w:szCs w:val="24"/>
        </w:rPr>
        <w:t xml:space="preserve"> </w:t>
      </w:r>
      <w:r>
        <w:rPr>
          <w:rFonts w:ascii="宋体" w:hAnsi="宋体" w:eastAsia="宋体" w:cs="宋体"/>
          <w:spacing w:val="-3"/>
          <w:sz w:val="24"/>
          <w:szCs w:val="24"/>
        </w:rPr>
        <w:t>综上本项目烧结不具备产生二噁英</w:t>
      </w:r>
      <w:r>
        <w:rPr>
          <w:rFonts w:ascii="宋体" w:hAnsi="宋体" w:eastAsia="宋体" w:cs="宋体"/>
          <w:spacing w:val="-4"/>
          <w:sz w:val="24"/>
          <w:szCs w:val="24"/>
        </w:rPr>
        <w:t>的条件，同时，本项目不产生氟化物，因此</w:t>
      </w:r>
      <w:r>
        <w:rPr>
          <w:rFonts w:ascii="宋体" w:hAnsi="宋体" w:eastAsia="宋体" w:cs="宋体"/>
          <w:sz w:val="24"/>
          <w:szCs w:val="24"/>
        </w:rPr>
        <w:t xml:space="preserve"> </w:t>
      </w:r>
      <w:r>
        <w:rPr>
          <w:rFonts w:ascii="宋体" w:hAnsi="宋体" w:eastAsia="宋体" w:cs="宋体"/>
          <w:spacing w:val="-1"/>
          <w:sz w:val="24"/>
          <w:szCs w:val="24"/>
        </w:rPr>
        <w:t>本次评价不将氟化物、二噁英作为特征因子进行评价。</w:t>
      </w:r>
    </w:p>
    <w:p w14:paraId="4C2BEF61">
      <w:pPr>
        <w:spacing w:before="171" w:line="227" w:lineRule="auto"/>
        <w:ind w:left="64"/>
        <w:outlineLvl w:val="1"/>
        <w:rPr>
          <w:rFonts w:ascii="黑体" w:hAnsi="黑体" w:eastAsia="黑体" w:cs="黑体"/>
          <w:sz w:val="31"/>
          <w:szCs w:val="31"/>
        </w:rPr>
      </w:pPr>
      <w:bookmarkStart w:id="292" w:name="bookmark56"/>
      <w:bookmarkEnd w:id="292"/>
      <w:r>
        <w:rPr>
          <w:rFonts w:ascii="Times New Roman" w:hAnsi="Times New Roman" w:eastAsia="Times New Roman" w:cs="Times New Roman"/>
          <w:spacing w:val="5"/>
          <w:sz w:val="31"/>
          <w:szCs w:val="31"/>
        </w:rPr>
        <w:t xml:space="preserve">1.5 </w:t>
      </w:r>
      <w:r>
        <w:rPr>
          <w:rFonts w:ascii="黑体" w:hAnsi="黑体" w:eastAsia="黑体" w:cs="黑体"/>
          <w:spacing w:val="5"/>
          <w:sz w:val="31"/>
          <w:szCs w:val="31"/>
        </w:rPr>
        <w:t>环境功能区划及评价标准</w:t>
      </w:r>
    </w:p>
    <w:p w14:paraId="2F6829BE">
      <w:pPr>
        <w:spacing w:before="236" w:line="222" w:lineRule="auto"/>
        <w:ind w:left="62"/>
        <w:outlineLvl w:val="2"/>
        <w:rPr>
          <w:rFonts w:ascii="黑体" w:hAnsi="黑体" w:eastAsia="黑体" w:cs="黑体"/>
          <w:sz w:val="30"/>
          <w:szCs w:val="30"/>
        </w:rPr>
      </w:pPr>
      <w:bookmarkStart w:id="293" w:name="bookmark58"/>
      <w:bookmarkEnd w:id="293"/>
      <w:r>
        <w:rPr>
          <w:rFonts w:ascii="Times New Roman" w:hAnsi="Times New Roman" w:eastAsia="Times New Roman" w:cs="Times New Roman"/>
          <w:spacing w:val="-3"/>
          <w:sz w:val="30"/>
          <w:szCs w:val="30"/>
        </w:rPr>
        <w:t xml:space="preserve">1.5.1 </w:t>
      </w:r>
      <w:r>
        <w:rPr>
          <w:rFonts w:ascii="黑体" w:hAnsi="黑体" w:eastAsia="黑体" w:cs="黑体"/>
          <w:spacing w:val="-3"/>
          <w:sz w:val="30"/>
          <w:szCs w:val="30"/>
        </w:rPr>
        <w:t>环境功能区划</w:t>
      </w:r>
    </w:p>
    <w:p w14:paraId="6C5F15BF">
      <w:pPr>
        <w:spacing w:before="211" w:line="347" w:lineRule="auto"/>
        <w:ind w:left="35" w:right="27" w:firstLine="481"/>
        <w:rPr>
          <w:rFonts w:ascii="宋体" w:hAnsi="宋体" w:eastAsia="宋体" w:cs="宋体"/>
          <w:sz w:val="24"/>
          <w:szCs w:val="24"/>
        </w:rPr>
      </w:pPr>
      <w:r>
        <w:rPr>
          <w:rFonts w:ascii="宋体" w:hAnsi="宋体" w:eastAsia="宋体" w:cs="宋体"/>
          <w:spacing w:val="-2"/>
          <w:sz w:val="24"/>
          <w:szCs w:val="24"/>
        </w:rPr>
        <w:t>本项目位于苏尼特右旗朱日和工业园区的冶金产业园，项目所在区域的环境功能区</w:t>
      </w:r>
      <w:r>
        <w:rPr>
          <w:rFonts w:ascii="宋体" w:hAnsi="宋体" w:eastAsia="宋体" w:cs="宋体"/>
          <w:spacing w:val="15"/>
          <w:sz w:val="24"/>
          <w:szCs w:val="24"/>
        </w:rPr>
        <w:t xml:space="preserve"> </w:t>
      </w:r>
      <w:r>
        <w:rPr>
          <w:rFonts w:ascii="宋体" w:hAnsi="宋体" w:eastAsia="宋体" w:cs="宋体"/>
          <w:spacing w:val="-1"/>
          <w:sz w:val="24"/>
          <w:szCs w:val="24"/>
        </w:rPr>
        <w:t>划分情况见表</w:t>
      </w:r>
      <w:r>
        <w:rPr>
          <w:rFonts w:ascii="Times New Roman" w:hAnsi="Times New Roman" w:eastAsia="Times New Roman" w:cs="Times New Roman"/>
          <w:spacing w:val="-1"/>
          <w:sz w:val="24"/>
          <w:szCs w:val="24"/>
        </w:rPr>
        <w:t>1.5-1</w:t>
      </w:r>
      <w:r>
        <w:rPr>
          <w:rFonts w:ascii="宋体" w:hAnsi="宋体" w:eastAsia="宋体" w:cs="宋体"/>
          <w:spacing w:val="-1"/>
          <w:sz w:val="24"/>
          <w:szCs w:val="24"/>
        </w:rPr>
        <w:t>。</w:t>
      </w:r>
    </w:p>
    <w:p w14:paraId="6080EAC0">
      <w:pPr>
        <w:spacing w:before="30" w:line="228" w:lineRule="auto"/>
        <w:ind w:left="2455"/>
        <w:rPr>
          <w:rFonts w:ascii="宋体" w:hAnsi="宋体" w:eastAsia="宋体" w:cs="宋体"/>
          <w:sz w:val="20"/>
          <w:szCs w:val="20"/>
        </w:rPr>
      </w:pPr>
      <w:r>
        <w:rPr>
          <w:rFonts w:ascii="宋体" w:hAnsi="宋体" w:eastAsia="宋体" w:cs="宋体"/>
          <w:b/>
          <w:bCs/>
          <w:spacing w:val="6"/>
          <w:sz w:val="20"/>
          <w:szCs w:val="20"/>
        </w:rPr>
        <w:t>表</w:t>
      </w:r>
      <w:r>
        <w:rPr>
          <w:rFonts w:ascii="Times New Roman" w:hAnsi="Times New Roman" w:eastAsia="Times New Roman" w:cs="Times New Roman"/>
          <w:b/>
          <w:bCs/>
          <w:spacing w:val="6"/>
          <w:sz w:val="20"/>
          <w:szCs w:val="20"/>
        </w:rPr>
        <w:t xml:space="preserve">1.5-1        </w:t>
      </w:r>
      <w:r>
        <w:rPr>
          <w:rFonts w:ascii="宋体" w:hAnsi="宋体" w:eastAsia="宋体" w:cs="宋体"/>
          <w:b/>
          <w:bCs/>
          <w:spacing w:val="6"/>
          <w:sz w:val="20"/>
          <w:szCs w:val="20"/>
        </w:rPr>
        <w:t>项目所在区域环境功能区</w:t>
      </w:r>
      <w:r>
        <w:rPr>
          <w:rFonts w:ascii="宋体" w:hAnsi="宋体" w:eastAsia="宋体" w:cs="宋体"/>
          <w:b/>
          <w:bCs/>
          <w:spacing w:val="5"/>
          <w:sz w:val="20"/>
          <w:szCs w:val="20"/>
        </w:rPr>
        <w:t>划分情况</w:t>
      </w:r>
    </w:p>
    <w:p w14:paraId="2BBD7BAE">
      <w:pPr>
        <w:spacing w:line="130" w:lineRule="exact"/>
      </w:pPr>
    </w:p>
    <w:tbl>
      <w:tblPr>
        <w:tblStyle w:val="5"/>
        <w:tblW w:w="912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26"/>
        <w:gridCol w:w="1278"/>
        <w:gridCol w:w="5925"/>
      </w:tblGrid>
      <w:tr w14:paraId="120EC4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1926" w:type="dxa"/>
            <w:tcBorders>
              <w:top w:val="single" w:color="000000" w:sz="10" w:space="0"/>
              <w:left w:val="nil"/>
            </w:tcBorders>
            <w:vAlign w:val="top"/>
          </w:tcPr>
          <w:p w14:paraId="75BEC8B4">
            <w:pPr>
              <w:pStyle w:val="6"/>
              <w:spacing w:before="97" w:line="228" w:lineRule="auto"/>
              <w:ind w:left="448"/>
              <w:rPr>
                <w:sz w:val="20"/>
                <w:szCs w:val="20"/>
              </w:rPr>
            </w:pPr>
            <w:r>
              <w:rPr>
                <w:spacing w:val="7"/>
                <w:sz w:val="20"/>
                <w:szCs w:val="20"/>
              </w:rPr>
              <w:t>功能区类别</w:t>
            </w:r>
          </w:p>
        </w:tc>
        <w:tc>
          <w:tcPr>
            <w:tcW w:w="1278" w:type="dxa"/>
            <w:tcBorders>
              <w:top w:val="single" w:color="000000" w:sz="10" w:space="0"/>
            </w:tcBorders>
            <w:vAlign w:val="top"/>
          </w:tcPr>
          <w:p w14:paraId="2A3B4A06">
            <w:pPr>
              <w:pStyle w:val="6"/>
              <w:spacing w:before="97" w:line="228" w:lineRule="auto"/>
              <w:ind w:left="437"/>
              <w:rPr>
                <w:sz w:val="20"/>
                <w:szCs w:val="20"/>
              </w:rPr>
            </w:pPr>
            <w:r>
              <w:rPr>
                <w:spacing w:val="3"/>
                <w:sz w:val="20"/>
                <w:szCs w:val="20"/>
              </w:rPr>
              <w:t>级别</w:t>
            </w:r>
          </w:p>
        </w:tc>
        <w:tc>
          <w:tcPr>
            <w:tcW w:w="5925" w:type="dxa"/>
            <w:tcBorders>
              <w:top w:val="single" w:color="000000" w:sz="10" w:space="0"/>
              <w:right w:val="nil"/>
            </w:tcBorders>
            <w:vAlign w:val="top"/>
          </w:tcPr>
          <w:p w14:paraId="18966F50">
            <w:pPr>
              <w:pStyle w:val="6"/>
              <w:spacing w:before="97" w:line="228" w:lineRule="auto"/>
              <w:ind w:left="2759"/>
              <w:rPr>
                <w:sz w:val="20"/>
                <w:szCs w:val="20"/>
              </w:rPr>
            </w:pPr>
            <w:r>
              <w:rPr>
                <w:spacing w:val="3"/>
                <w:sz w:val="20"/>
                <w:szCs w:val="20"/>
              </w:rPr>
              <w:t>说明</w:t>
            </w:r>
          </w:p>
        </w:tc>
      </w:tr>
      <w:tr w14:paraId="5B93A7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8" w:hRule="atLeast"/>
        </w:trPr>
        <w:tc>
          <w:tcPr>
            <w:tcW w:w="1926" w:type="dxa"/>
            <w:tcBorders>
              <w:left w:val="nil"/>
            </w:tcBorders>
            <w:vAlign w:val="top"/>
          </w:tcPr>
          <w:p w14:paraId="790153E0">
            <w:pPr>
              <w:pStyle w:val="6"/>
              <w:spacing w:before="98" w:line="228" w:lineRule="auto"/>
              <w:ind w:left="551"/>
              <w:rPr>
                <w:sz w:val="20"/>
                <w:szCs w:val="20"/>
              </w:rPr>
            </w:pPr>
            <w:r>
              <w:rPr>
                <w:spacing w:val="7"/>
                <w:sz w:val="20"/>
                <w:szCs w:val="20"/>
              </w:rPr>
              <w:t>环境空气</w:t>
            </w:r>
          </w:p>
        </w:tc>
        <w:tc>
          <w:tcPr>
            <w:tcW w:w="1278" w:type="dxa"/>
            <w:vAlign w:val="top"/>
          </w:tcPr>
          <w:p w14:paraId="68777FDF">
            <w:pPr>
              <w:pStyle w:val="6"/>
              <w:spacing w:before="98" w:line="228" w:lineRule="auto"/>
              <w:ind w:left="437"/>
              <w:rPr>
                <w:sz w:val="20"/>
                <w:szCs w:val="20"/>
              </w:rPr>
            </w:pPr>
            <w:r>
              <w:rPr>
                <w:spacing w:val="3"/>
                <w:sz w:val="20"/>
                <w:szCs w:val="20"/>
              </w:rPr>
              <w:t>二类</w:t>
            </w:r>
          </w:p>
        </w:tc>
        <w:tc>
          <w:tcPr>
            <w:tcW w:w="5925" w:type="dxa"/>
            <w:tcBorders>
              <w:right w:val="nil"/>
            </w:tcBorders>
            <w:vAlign w:val="top"/>
          </w:tcPr>
          <w:p w14:paraId="36645FDC">
            <w:pPr>
              <w:pStyle w:val="6"/>
              <w:spacing w:before="98" w:line="227" w:lineRule="auto"/>
              <w:ind w:left="2130"/>
              <w:rPr>
                <w:sz w:val="20"/>
                <w:szCs w:val="20"/>
              </w:rPr>
            </w:pPr>
            <w:r>
              <w:rPr>
                <w:spacing w:val="8"/>
                <w:sz w:val="20"/>
                <w:szCs w:val="20"/>
              </w:rPr>
              <w:t>工业区和农村地区</w:t>
            </w:r>
          </w:p>
        </w:tc>
      </w:tr>
      <w:tr w14:paraId="3BD67A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926" w:type="dxa"/>
            <w:tcBorders>
              <w:left w:val="nil"/>
            </w:tcBorders>
            <w:vAlign w:val="top"/>
          </w:tcPr>
          <w:p w14:paraId="29C4FC38">
            <w:pPr>
              <w:pStyle w:val="6"/>
              <w:spacing w:before="175" w:line="228" w:lineRule="auto"/>
              <w:ind w:left="656"/>
              <w:rPr>
                <w:sz w:val="20"/>
                <w:szCs w:val="20"/>
              </w:rPr>
            </w:pPr>
            <w:r>
              <w:rPr>
                <w:spacing w:val="6"/>
                <w:sz w:val="20"/>
                <w:szCs w:val="20"/>
              </w:rPr>
              <w:t>地下水</w:t>
            </w:r>
          </w:p>
        </w:tc>
        <w:tc>
          <w:tcPr>
            <w:tcW w:w="1278" w:type="dxa"/>
            <w:vAlign w:val="top"/>
          </w:tcPr>
          <w:p w14:paraId="24EA1F1B">
            <w:pPr>
              <w:pStyle w:val="6"/>
              <w:spacing w:before="175" w:line="228" w:lineRule="auto"/>
              <w:ind w:left="436"/>
              <w:rPr>
                <w:sz w:val="20"/>
                <w:szCs w:val="20"/>
              </w:rPr>
            </w:pPr>
            <w:r>
              <w:rPr>
                <w:rFonts w:ascii="Times New Roman" w:hAnsi="Times New Roman" w:eastAsia="Times New Roman" w:cs="Times New Roman"/>
                <w:spacing w:val="5"/>
                <w:sz w:val="20"/>
                <w:szCs w:val="20"/>
              </w:rPr>
              <w:t>Ⅲ</w:t>
            </w:r>
            <w:r>
              <w:rPr>
                <w:spacing w:val="5"/>
                <w:sz w:val="20"/>
                <w:szCs w:val="20"/>
              </w:rPr>
              <w:t>类</w:t>
            </w:r>
          </w:p>
        </w:tc>
        <w:tc>
          <w:tcPr>
            <w:tcW w:w="5925" w:type="dxa"/>
            <w:tcBorders>
              <w:right w:val="nil"/>
            </w:tcBorders>
            <w:vAlign w:val="top"/>
          </w:tcPr>
          <w:p w14:paraId="32523F6D">
            <w:pPr>
              <w:pStyle w:val="6"/>
              <w:spacing w:before="37" w:line="229" w:lineRule="auto"/>
              <w:ind w:left="2334" w:right="29" w:hanging="2299"/>
              <w:rPr>
                <w:sz w:val="20"/>
                <w:szCs w:val="20"/>
              </w:rPr>
            </w:pPr>
            <w:r>
              <w:rPr>
                <w:spacing w:val="9"/>
                <w:sz w:val="20"/>
                <w:szCs w:val="20"/>
              </w:rPr>
              <w:t>是以人体健康基准值为依据，主要适用于集中式生活饮用水水源</w:t>
            </w:r>
            <w:r>
              <w:rPr>
                <w:spacing w:val="3"/>
                <w:sz w:val="20"/>
                <w:szCs w:val="20"/>
              </w:rPr>
              <w:t xml:space="preserve"> </w:t>
            </w:r>
            <w:r>
              <w:rPr>
                <w:spacing w:val="8"/>
                <w:sz w:val="20"/>
                <w:szCs w:val="20"/>
              </w:rPr>
              <w:t>及工农业用水</w:t>
            </w:r>
          </w:p>
        </w:tc>
      </w:tr>
      <w:tr w14:paraId="195443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1926" w:type="dxa"/>
            <w:tcBorders>
              <w:left w:val="nil"/>
            </w:tcBorders>
            <w:vAlign w:val="top"/>
          </w:tcPr>
          <w:p w14:paraId="5A50D43B">
            <w:pPr>
              <w:pStyle w:val="6"/>
              <w:spacing w:before="181" w:line="228" w:lineRule="auto"/>
              <w:ind w:left="660"/>
              <w:rPr>
                <w:sz w:val="20"/>
                <w:szCs w:val="20"/>
              </w:rPr>
            </w:pPr>
            <w:r>
              <w:rPr>
                <w:spacing w:val="5"/>
                <w:sz w:val="20"/>
                <w:szCs w:val="20"/>
              </w:rPr>
              <w:t>声环境</w:t>
            </w:r>
          </w:p>
        </w:tc>
        <w:tc>
          <w:tcPr>
            <w:tcW w:w="1278" w:type="dxa"/>
            <w:vAlign w:val="top"/>
          </w:tcPr>
          <w:p w14:paraId="7BF9BA8A">
            <w:pPr>
              <w:pStyle w:val="6"/>
              <w:spacing w:before="180" w:line="228" w:lineRule="auto"/>
              <w:ind w:left="487"/>
              <w:rPr>
                <w:sz w:val="20"/>
                <w:szCs w:val="20"/>
              </w:rPr>
            </w:pPr>
            <w:r>
              <w:rPr>
                <w:rFonts w:ascii="Times New Roman" w:hAnsi="Times New Roman" w:eastAsia="Times New Roman" w:cs="Times New Roman"/>
                <w:spacing w:val="1"/>
                <w:sz w:val="20"/>
                <w:szCs w:val="20"/>
              </w:rPr>
              <w:t>3</w:t>
            </w:r>
            <w:r>
              <w:rPr>
                <w:spacing w:val="1"/>
                <w:sz w:val="20"/>
                <w:szCs w:val="20"/>
              </w:rPr>
              <w:t>类</w:t>
            </w:r>
          </w:p>
        </w:tc>
        <w:tc>
          <w:tcPr>
            <w:tcW w:w="5925" w:type="dxa"/>
            <w:tcBorders>
              <w:right w:val="nil"/>
            </w:tcBorders>
            <w:vAlign w:val="top"/>
          </w:tcPr>
          <w:p w14:paraId="607C23A7">
            <w:pPr>
              <w:pStyle w:val="6"/>
              <w:spacing w:before="45" w:line="225" w:lineRule="auto"/>
              <w:ind w:left="1812" w:right="29" w:hanging="1777"/>
              <w:rPr>
                <w:sz w:val="20"/>
                <w:szCs w:val="20"/>
              </w:rPr>
            </w:pPr>
            <w:r>
              <w:rPr>
                <w:spacing w:val="9"/>
                <w:sz w:val="20"/>
                <w:szCs w:val="20"/>
              </w:rPr>
              <w:t>是以工业生产、仓储物流为主要功能，需要防止工业噪声对周围</w:t>
            </w:r>
            <w:r>
              <w:rPr>
                <w:spacing w:val="3"/>
                <w:sz w:val="20"/>
                <w:szCs w:val="20"/>
              </w:rPr>
              <w:t xml:space="preserve"> </w:t>
            </w:r>
            <w:r>
              <w:rPr>
                <w:spacing w:val="9"/>
                <w:sz w:val="20"/>
                <w:szCs w:val="20"/>
              </w:rPr>
              <w:t>环境产生严重影响的区域</w:t>
            </w:r>
          </w:p>
        </w:tc>
      </w:tr>
      <w:tr w14:paraId="66AA14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1" w:hRule="atLeast"/>
        </w:trPr>
        <w:tc>
          <w:tcPr>
            <w:tcW w:w="1926" w:type="dxa"/>
            <w:tcBorders>
              <w:left w:val="nil"/>
              <w:bottom w:val="single" w:color="000000" w:sz="10" w:space="0"/>
            </w:tcBorders>
            <w:vAlign w:val="top"/>
          </w:tcPr>
          <w:p w14:paraId="6D26F169">
            <w:pPr>
              <w:pStyle w:val="6"/>
              <w:spacing w:before="115" w:line="229" w:lineRule="auto"/>
              <w:ind w:left="760"/>
              <w:rPr>
                <w:sz w:val="20"/>
                <w:szCs w:val="20"/>
              </w:rPr>
            </w:pPr>
            <w:r>
              <w:rPr>
                <w:spacing w:val="4"/>
                <w:sz w:val="20"/>
                <w:szCs w:val="20"/>
              </w:rPr>
              <w:t>土壤</w:t>
            </w:r>
          </w:p>
        </w:tc>
        <w:tc>
          <w:tcPr>
            <w:tcW w:w="1278" w:type="dxa"/>
            <w:tcBorders>
              <w:bottom w:val="single" w:color="000000" w:sz="10" w:space="0"/>
            </w:tcBorders>
            <w:vAlign w:val="top"/>
          </w:tcPr>
          <w:p w14:paraId="24EA5D13">
            <w:pPr>
              <w:pStyle w:val="6"/>
              <w:spacing w:before="114" w:line="228" w:lineRule="auto"/>
              <w:ind w:left="330"/>
              <w:rPr>
                <w:sz w:val="20"/>
                <w:szCs w:val="20"/>
              </w:rPr>
            </w:pPr>
            <w:r>
              <w:rPr>
                <w:spacing w:val="6"/>
                <w:sz w:val="20"/>
                <w:szCs w:val="20"/>
              </w:rPr>
              <w:t>筛选值</w:t>
            </w:r>
          </w:p>
        </w:tc>
        <w:tc>
          <w:tcPr>
            <w:tcW w:w="5925" w:type="dxa"/>
            <w:tcBorders>
              <w:bottom w:val="single" w:color="000000" w:sz="10" w:space="0"/>
              <w:right w:val="nil"/>
            </w:tcBorders>
            <w:vAlign w:val="top"/>
          </w:tcPr>
          <w:p w14:paraId="257180F4">
            <w:pPr>
              <w:pStyle w:val="6"/>
              <w:spacing w:before="114" w:line="228" w:lineRule="auto"/>
              <w:ind w:left="1813"/>
              <w:rPr>
                <w:sz w:val="20"/>
                <w:szCs w:val="20"/>
              </w:rPr>
            </w:pPr>
            <w:r>
              <w:rPr>
                <w:spacing w:val="8"/>
                <w:sz w:val="20"/>
                <w:szCs w:val="20"/>
              </w:rPr>
              <w:t>第二类用地（工业用地）</w:t>
            </w:r>
          </w:p>
        </w:tc>
      </w:tr>
    </w:tbl>
    <w:p w14:paraId="4CF2CA6F">
      <w:pPr>
        <w:pStyle w:val="2"/>
      </w:pPr>
    </w:p>
    <w:p w14:paraId="213E8A7E">
      <w:pPr>
        <w:sectPr>
          <w:headerReference r:id="rId51" w:type="default"/>
          <w:footerReference r:id="rId52" w:type="default"/>
          <w:pgSz w:w="11907" w:h="16840"/>
          <w:pgMar w:top="1178" w:right="1388" w:bottom="1038" w:left="1389" w:header="870" w:footer="876" w:gutter="0"/>
          <w:cols w:space="720" w:num="1"/>
        </w:sectPr>
      </w:pPr>
    </w:p>
    <w:p w14:paraId="3082D1E3">
      <w:pPr>
        <w:spacing w:before="282" w:line="222" w:lineRule="auto"/>
        <w:ind w:left="34"/>
        <w:outlineLvl w:val="2"/>
        <w:rPr>
          <w:rFonts w:ascii="黑体" w:hAnsi="黑体" w:eastAsia="黑体" w:cs="黑体"/>
          <w:sz w:val="30"/>
          <w:szCs w:val="30"/>
        </w:rPr>
      </w:pPr>
      <w:r>
        <w:pict>
          <v:shape id="_x0000_s1055" o:spid="_x0000_s1055" style="position:absolute;left:0pt;margin-left:70.85pt;margin-top:59.65pt;height:0.75pt;width:453.65pt;mso-position-horizontal-relative:page;mso-position-vertical-relative:page;z-index:251689984;mso-width-relative:page;mso-height-relative:page;" fillcolor="#000000" filled="t" stroked="f" coordsize="9072,15" o:allowincell="f" path="m0,0l9072,0,9072,14,0,14,0,0xe">
            <v:path/>
            <v:fill on="t" focussize="0,0"/>
            <v:stroke on="f"/>
            <v:imagedata o:title=""/>
            <o:lock v:ext="edit"/>
          </v:shape>
        </w:pict>
      </w:r>
      <w:r>
        <w:rPr>
          <w:rFonts w:ascii="Times New Roman" w:hAnsi="Times New Roman" w:eastAsia="Times New Roman" w:cs="Times New Roman"/>
          <w:spacing w:val="-3"/>
          <w:sz w:val="30"/>
          <w:szCs w:val="30"/>
        </w:rPr>
        <w:t xml:space="preserve">1.5.2 </w:t>
      </w:r>
      <w:r>
        <w:rPr>
          <w:rFonts w:ascii="黑体" w:hAnsi="黑体" w:eastAsia="黑体" w:cs="黑体"/>
          <w:spacing w:val="-3"/>
          <w:sz w:val="30"/>
          <w:szCs w:val="30"/>
        </w:rPr>
        <w:t>环境质量标准</w:t>
      </w:r>
    </w:p>
    <w:p w14:paraId="4163941C">
      <w:pPr>
        <w:spacing w:before="214" w:line="220" w:lineRule="auto"/>
        <w:ind w:left="494"/>
        <w:rPr>
          <w:rFonts w:ascii="宋体" w:hAnsi="宋体" w:eastAsia="宋体" w:cs="宋体"/>
          <w:sz w:val="24"/>
          <w:szCs w:val="24"/>
        </w:rPr>
      </w:pPr>
      <w:bookmarkStart w:id="294" w:name="bookmark60"/>
      <w:bookmarkEnd w:id="294"/>
      <w:r>
        <w:rPr>
          <w:rFonts w:ascii="Times New Roman" w:hAnsi="Times New Roman" w:eastAsia="Times New Roman" w:cs="Times New Roman"/>
          <w:b/>
          <w:bCs/>
          <w:spacing w:val="-6"/>
          <w:sz w:val="24"/>
          <w:szCs w:val="24"/>
        </w:rPr>
        <w:t>1</w:t>
      </w:r>
      <w:r>
        <w:rPr>
          <w:rFonts w:ascii="Times New Roman" w:hAnsi="Times New Roman" w:eastAsia="Times New Roman" w:cs="Times New Roman"/>
          <w:b/>
          <w:bCs/>
          <w:spacing w:val="-33"/>
          <w:sz w:val="24"/>
          <w:szCs w:val="24"/>
        </w:rPr>
        <w:t xml:space="preserve"> </w:t>
      </w:r>
      <w:r>
        <w:rPr>
          <w:rFonts w:ascii="宋体" w:hAnsi="宋体" w:eastAsia="宋体" w:cs="宋体"/>
          <w:b/>
          <w:bCs/>
          <w:spacing w:val="-6"/>
          <w:sz w:val="24"/>
          <w:szCs w:val="24"/>
        </w:rPr>
        <w:t>、环境空气质量标准</w:t>
      </w:r>
    </w:p>
    <w:p w14:paraId="3176726D">
      <w:pPr>
        <w:spacing w:before="180" w:line="350" w:lineRule="auto"/>
        <w:ind w:left="3" w:firstLine="489"/>
        <w:jc w:val="both"/>
        <w:rPr>
          <w:rFonts w:ascii="宋体" w:hAnsi="宋体" w:eastAsia="宋体" w:cs="宋体"/>
          <w:sz w:val="24"/>
          <w:szCs w:val="24"/>
        </w:rPr>
      </w:pPr>
      <w:r>
        <w:rPr>
          <w:rFonts w:ascii="宋体" w:hAnsi="宋体" w:eastAsia="宋体" w:cs="宋体"/>
          <w:sz w:val="24"/>
          <w:szCs w:val="24"/>
        </w:rPr>
        <w:t>项目所在地执行《环境空气质量标准》（</w:t>
      </w:r>
      <w:r>
        <w:rPr>
          <w:rFonts w:ascii="Times New Roman" w:hAnsi="Times New Roman" w:eastAsia="Times New Roman" w:cs="Times New Roman"/>
          <w:sz w:val="24"/>
          <w:szCs w:val="24"/>
        </w:rPr>
        <w:t>GB3095-2012</w:t>
      </w:r>
      <w:r>
        <w:rPr>
          <w:rFonts w:ascii="宋体" w:hAnsi="宋体" w:eastAsia="宋体" w:cs="宋体"/>
          <w:spacing w:val="-23"/>
          <w:sz w:val="24"/>
          <w:szCs w:val="24"/>
        </w:rPr>
        <w:t>）（</w:t>
      </w:r>
      <w:r>
        <w:rPr>
          <w:rFonts w:ascii="Times New Roman" w:hAnsi="Times New Roman" w:eastAsia="Times New Roman" w:cs="Times New Roman"/>
          <w:sz w:val="24"/>
          <w:szCs w:val="24"/>
        </w:rPr>
        <w:t>2018</w:t>
      </w:r>
      <w:r>
        <w:rPr>
          <w:rFonts w:ascii="Times New Roman" w:hAnsi="Times New Roman" w:eastAsia="Times New Roman" w:cs="Times New Roman"/>
          <w:spacing w:val="-1"/>
          <w:sz w:val="24"/>
          <w:szCs w:val="24"/>
        </w:rPr>
        <w:t xml:space="preserve"> </w:t>
      </w:r>
      <w:r>
        <w:rPr>
          <w:rFonts w:ascii="宋体" w:hAnsi="宋体" w:eastAsia="宋体" w:cs="宋体"/>
          <w:spacing w:val="-1"/>
          <w:sz w:val="24"/>
          <w:szCs w:val="24"/>
        </w:rPr>
        <w:t>年修改单）二级标</w:t>
      </w:r>
      <w:r>
        <w:rPr>
          <w:rFonts w:ascii="宋体" w:hAnsi="宋体" w:eastAsia="宋体" w:cs="宋体"/>
          <w:spacing w:val="1"/>
          <w:sz w:val="24"/>
          <w:szCs w:val="24"/>
        </w:rPr>
        <w:t xml:space="preserve"> </w:t>
      </w:r>
      <w:r>
        <w:rPr>
          <w:rFonts w:ascii="宋体" w:hAnsi="宋体" w:eastAsia="宋体" w:cs="宋体"/>
          <w:spacing w:val="-3"/>
          <w:sz w:val="24"/>
          <w:szCs w:val="24"/>
        </w:rPr>
        <w:t>准，</w:t>
      </w:r>
      <w:r>
        <w:rPr>
          <w:rFonts w:ascii="Times New Roman" w:hAnsi="Times New Roman" w:eastAsia="Times New Roman" w:cs="Times New Roman"/>
          <w:spacing w:val="-3"/>
          <w:sz w:val="24"/>
          <w:szCs w:val="24"/>
        </w:rPr>
        <w:t>NH</w:t>
      </w:r>
      <w:r>
        <w:rPr>
          <w:rFonts w:ascii="Times New Roman" w:hAnsi="Times New Roman" w:eastAsia="Times New Roman" w:cs="Times New Roman"/>
          <w:spacing w:val="-3"/>
          <w:position w:val="-1"/>
          <w:sz w:val="15"/>
          <w:szCs w:val="15"/>
        </w:rPr>
        <w:t>3</w:t>
      </w:r>
      <w:r>
        <w:rPr>
          <w:rFonts w:ascii="Times New Roman" w:hAnsi="Times New Roman" w:eastAsia="Times New Roman" w:cs="Times New Roman"/>
          <w:spacing w:val="1"/>
          <w:position w:val="-1"/>
          <w:sz w:val="15"/>
          <w:szCs w:val="15"/>
        </w:rPr>
        <w:t xml:space="preserve"> </w:t>
      </w:r>
      <w:r>
        <w:rPr>
          <w:rFonts w:ascii="宋体" w:hAnsi="宋体" w:eastAsia="宋体" w:cs="宋体"/>
          <w:spacing w:val="-3"/>
          <w:sz w:val="24"/>
          <w:szCs w:val="24"/>
        </w:rPr>
        <w:t>、锰及其化合物参照《环境影响评价技术导则 大气环境》（</w:t>
      </w:r>
      <w:r>
        <w:rPr>
          <w:rFonts w:ascii="Times New Roman" w:hAnsi="Times New Roman" w:eastAsia="Times New Roman" w:cs="Times New Roman"/>
          <w:spacing w:val="-3"/>
          <w:sz w:val="24"/>
          <w:szCs w:val="24"/>
        </w:rPr>
        <w:t>HJ 2.2-2018</w:t>
      </w:r>
      <w:r>
        <w:rPr>
          <w:rFonts w:ascii="宋体" w:hAnsi="宋体" w:eastAsia="宋体" w:cs="宋体"/>
          <w:spacing w:val="-3"/>
          <w:sz w:val="24"/>
          <w:szCs w:val="24"/>
        </w:rPr>
        <w:t>）附录</w:t>
      </w:r>
      <w:r>
        <w:rPr>
          <w:rFonts w:ascii="宋体" w:hAnsi="宋体" w:eastAsia="宋体" w:cs="宋体"/>
          <w:sz w:val="24"/>
          <w:szCs w:val="24"/>
        </w:rPr>
        <w:t xml:space="preserve"> </w:t>
      </w:r>
      <w:r>
        <w:rPr>
          <w:rFonts w:ascii="Times New Roman" w:hAnsi="Times New Roman" w:eastAsia="Times New Roman" w:cs="Times New Roman"/>
          <w:spacing w:val="-1"/>
          <w:sz w:val="24"/>
          <w:szCs w:val="24"/>
        </w:rPr>
        <w:t xml:space="preserve">D </w:t>
      </w:r>
      <w:r>
        <w:rPr>
          <w:rFonts w:ascii="宋体" w:hAnsi="宋体" w:eastAsia="宋体" w:cs="宋体"/>
          <w:spacing w:val="-1"/>
          <w:sz w:val="24"/>
          <w:szCs w:val="24"/>
        </w:rPr>
        <w:t>其他污染物空气质量浓度参考限值，详细标准值见表</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1.5-2~</w:t>
      </w:r>
      <w:r>
        <w:rPr>
          <w:rFonts w:ascii="Times New Roman" w:hAnsi="Times New Roman" w:eastAsia="Times New Roman" w:cs="Times New Roman"/>
          <w:spacing w:val="-2"/>
          <w:sz w:val="24"/>
          <w:szCs w:val="24"/>
        </w:rPr>
        <w:t>4</w:t>
      </w:r>
      <w:r>
        <w:rPr>
          <w:rFonts w:ascii="宋体" w:hAnsi="宋体" w:eastAsia="宋体" w:cs="宋体"/>
          <w:spacing w:val="-2"/>
          <w:sz w:val="24"/>
          <w:szCs w:val="24"/>
        </w:rPr>
        <w:t>。</w:t>
      </w:r>
    </w:p>
    <w:p w14:paraId="7DD707BB">
      <w:pPr>
        <w:spacing w:before="31" w:line="228" w:lineRule="auto"/>
        <w:ind w:left="2084"/>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1"/>
          <w:sz w:val="20"/>
          <w:szCs w:val="20"/>
        </w:rPr>
        <w:t xml:space="preserve"> </w:t>
      </w:r>
      <w:r>
        <w:rPr>
          <w:rFonts w:ascii="Times New Roman" w:hAnsi="Times New Roman" w:eastAsia="Times New Roman" w:cs="Times New Roman"/>
          <w:b/>
          <w:bCs/>
          <w:spacing w:val="5"/>
          <w:sz w:val="20"/>
          <w:szCs w:val="20"/>
        </w:rPr>
        <w:t xml:space="preserve">1.5-2        </w:t>
      </w:r>
      <w:r>
        <w:rPr>
          <w:rFonts w:ascii="宋体" w:hAnsi="宋体" w:eastAsia="宋体" w:cs="宋体"/>
          <w:b/>
          <w:bCs/>
          <w:spacing w:val="5"/>
          <w:sz w:val="20"/>
          <w:szCs w:val="20"/>
        </w:rPr>
        <w:t>环境空气质量标准（</w:t>
      </w:r>
      <w:r>
        <w:rPr>
          <w:rFonts w:ascii="Times New Roman" w:hAnsi="Times New Roman" w:eastAsia="Times New Roman" w:cs="Times New Roman"/>
          <w:b/>
          <w:bCs/>
          <w:sz w:val="20"/>
          <w:szCs w:val="20"/>
        </w:rPr>
        <w:t>GB</w:t>
      </w:r>
      <w:r>
        <w:rPr>
          <w:rFonts w:ascii="Times New Roman" w:hAnsi="Times New Roman" w:eastAsia="Times New Roman" w:cs="Times New Roman"/>
          <w:b/>
          <w:bCs/>
          <w:spacing w:val="5"/>
          <w:sz w:val="20"/>
          <w:szCs w:val="20"/>
        </w:rPr>
        <w:t xml:space="preserve">3095-2012 </w:t>
      </w:r>
      <w:r>
        <w:rPr>
          <w:rFonts w:ascii="宋体" w:hAnsi="宋体" w:eastAsia="宋体" w:cs="宋体"/>
          <w:b/>
          <w:bCs/>
          <w:spacing w:val="4"/>
          <w:sz w:val="20"/>
          <w:szCs w:val="20"/>
        </w:rPr>
        <w:t>二级）</w:t>
      </w:r>
    </w:p>
    <w:p w14:paraId="68506EC1">
      <w:pPr>
        <w:spacing w:line="130"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99"/>
        <w:gridCol w:w="2075"/>
        <w:gridCol w:w="3152"/>
        <w:gridCol w:w="1846"/>
      </w:tblGrid>
      <w:tr w14:paraId="42C674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 w:hRule="atLeast"/>
        </w:trPr>
        <w:tc>
          <w:tcPr>
            <w:tcW w:w="1999" w:type="dxa"/>
            <w:tcBorders>
              <w:top w:val="single" w:color="000000" w:sz="10" w:space="0"/>
              <w:left w:val="nil"/>
            </w:tcBorders>
            <w:vAlign w:val="top"/>
          </w:tcPr>
          <w:p w14:paraId="65273A83">
            <w:pPr>
              <w:pStyle w:val="6"/>
              <w:spacing w:before="36" w:line="216" w:lineRule="auto"/>
              <w:ind w:left="479"/>
              <w:rPr>
                <w:sz w:val="20"/>
                <w:szCs w:val="20"/>
              </w:rPr>
            </w:pPr>
            <w:r>
              <w:rPr>
                <w:b/>
                <w:bCs/>
                <w:spacing w:val="6"/>
                <w:sz w:val="20"/>
                <w:szCs w:val="20"/>
              </w:rPr>
              <w:t>污染物名称</w:t>
            </w:r>
          </w:p>
        </w:tc>
        <w:tc>
          <w:tcPr>
            <w:tcW w:w="2075" w:type="dxa"/>
            <w:tcBorders>
              <w:top w:val="single" w:color="000000" w:sz="10" w:space="0"/>
            </w:tcBorders>
            <w:vAlign w:val="top"/>
          </w:tcPr>
          <w:p w14:paraId="55F7F08C">
            <w:pPr>
              <w:pStyle w:val="6"/>
              <w:spacing w:before="36" w:line="216" w:lineRule="auto"/>
              <w:ind w:left="624"/>
              <w:rPr>
                <w:sz w:val="20"/>
                <w:szCs w:val="20"/>
              </w:rPr>
            </w:pPr>
            <w:r>
              <w:rPr>
                <w:b/>
                <w:bCs/>
                <w:spacing w:val="5"/>
                <w:sz w:val="20"/>
                <w:szCs w:val="20"/>
              </w:rPr>
              <w:t>取值时间</w:t>
            </w:r>
          </w:p>
        </w:tc>
        <w:tc>
          <w:tcPr>
            <w:tcW w:w="3152" w:type="dxa"/>
            <w:tcBorders>
              <w:top w:val="single" w:color="000000" w:sz="10" w:space="0"/>
            </w:tcBorders>
            <w:vAlign w:val="top"/>
          </w:tcPr>
          <w:p w14:paraId="5C485B0F">
            <w:pPr>
              <w:pStyle w:val="6"/>
              <w:spacing w:before="36" w:line="216" w:lineRule="auto"/>
              <w:ind w:left="741"/>
              <w:rPr>
                <w:sz w:val="20"/>
                <w:szCs w:val="20"/>
              </w:rPr>
            </w:pPr>
            <w:r>
              <w:rPr>
                <w:b/>
                <w:bCs/>
                <w:spacing w:val="7"/>
                <w:sz w:val="20"/>
                <w:szCs w:val="20"/>
              </w:rPr>
              <w:t>二级标准浓度限值</w:t>
            </w:r>
          </w:p>
        </w:tc>
        <w:tc>
          <w:tcPr>
            <w:tcW w:w="1846" w:type="dxa"/>
            <w:tcBorders>
              <w:top w:val="single" w:color="000000" w:sz="10" w:space="0"/>
              <w:right w:val="nil"/>
            </w:tcBorders>
            <w:vAlign w:val="top"/>
          </w:tcPr>
          <w:p w14:paraId="4FFA435D">
            <w:pPr>
              <w:pStyle w:val="6"/>
              <w:spacing w:before="36" w:line="216" w:lineRule="auto"/>
              <w:ind w:left="721"/>
              <w:rPr>
                <w:sz w:val="20"/>
                <w:szCs w:val="20"/>
              </w:rPr>
            </w:pPr>
            <w:r>
              <w:rPr>
                <w:b/>
                <w:bCs/>
                <w:spacing w:val="3"/>
                <w:sz w:val="20"/>
                <w:szCs w:val="20"/>
              </w:rPr>
              <w:t>单位</w:t>
            </w:r>
          </w:p>
        </w:tc>
      </w:tr>
      <w:tr w14:paraId="243347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restart"/>
            <w:tcBorders>
              <w:left w:val="nil"/>
              <w:bottom w:val="nil"/>
            </w:tcBorders>
            <w:vAlign w:val="top"/>
          </w:tcPr>
          <w:p w14:paraId="388DC685">
            <w:pPr>
              <w:spacing w:before="209" w:line="195" w:lineRule="auto"/>
              <w:ind w:left="8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TSP</w:t>
            </w:r>
          </w:p>
        </w:tc>
        <w:tc>
          <w:tcPr>
            <w:tcW w:w="2075" w:type="dxa"/>
            <w:vAlign w:val="top"/>
          </w:tcPr>
          <w:p w14:paraId="6FA9B261">
            <w:pPr>
              <w:pStyle w:val="6"/>
              <w:spacing w:before="31" w:line="216" w:lineRule="auto"/>
              <w:ind w:left="730"/>
              <w:rPr>
                <w:sz w:val="20"/>
                <w:szCs w:val="20"/>
              </w:rPr>
            </w:pPr>
            <w:r>
              <w:rPr>
                <w:spacing w:val="6"/>
                <w:sz w:val="20"/>
                <w:szCs w:val="20"/>
              </w:rPr>
              <w:t>年平均</w:t>
            </w:r>
          </w:p>
        </w:tc>
        <w:tc>
          <w:tcPr>
            <w:tcW w:w="3152" w:type="dxa"/>
            <w:vAlign w:val="top"/>
          </w:tcPr>
          <w:p w14:paraId="5D769907">
            <w:pPr>
              <w:spacing w:before="67" w:line="195" w:lineRule="auto"/>
              <w:ind w:left="14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846" w:type="dxa"/>
            <w:vMerge w:val="restart"/>
            <w:tcBorders>
              <w:bottom w:val="nil"/>
              <w:right w:val="nil"/>
            </w:tcBorders>
            <w:vAlign w:val="top"/>
          </w:tcPr>
          <w:p w14:paraId="41C6C52E">
            <w:pPr>
              <w:spacing w:before="189" w:line="218" w:lineRule="auto"/>
              <w:ind w:left="68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6"/>
                <w:sz w:val="13"/>
                <w:szCs w:val="13"/>
              </w:rPr>
              <w:t>3</w:t>
            </w:r>
          </w:p>
        </w:tc>
      </w:tr>
      <w:tr w14:paraId="4C2EDA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continue"/>
            <w:tcBorders>
              <w:top w:val="nil"/>
              <w:left w:val="nil"/>
            </w:tcBorders>
            <w:vAlign w:val="top"/>
          </w:tcPr>
          <w:p w14:paraId="69AFE1B5">
            <w:pPr>
              <w:rPr>
                <w:rFonts w:ascii="Arial"/>
                <w:sz w:val="21"/>
              </w:rPr>
            </w:pPr>
          </w:p>
        </w:tc>
        <w:tc>
          <w:tcPr>
            <w:tcW w:w="2075" w:type="dxa"/>
            <w:vAlign w:val="top"/>
          </w:tcPr>
          <w:p w14:paraId="54C9B72D">
            <w:pPr>
              <w:pStyle w:val="6"/>
              <w:spacing w:before="34" w:line="214" w:lineRule="auto"/>
              <w:ind w:left="488"/>
              <w:rPr>
                <w:sz w:val="20"/>
                <w:szCs w:val="20"/>
              </w:rPr>
            </w:pPr>
            <w:r>
              <w:rPr>
                <w:rFonts w:ascii="Times New Roman" w:hAnsi="Times New Roman" w:eastAsia="Times New Roman" w:cs="Times New Roman"/>
                <w:spacing w:val="4"/>
                <w:sz w:val="20"/>
                <w:szCs w:val="20"/>
              </w:rPr>
              <w:t>24</w:t>
            </w:r>
            <w:r>
              <w:rPr>
                <w:rFonts w:ascii="Times New Roman" w:hAnsi="Times New Roman" w:eastAsia="Times New Roman" w:cs="Times New Roman"/>
                <w:spacing w:val="19"/>
                <w:w w:val="101"/>
                <w:sz w:val="20"/>
                <w:szCs w:val="20"/>
              </w:rPr>
              <w:t xml:space="preserve"> </w:t>
            </w:r>
            <w:r>
              <w:rPr>
                <w:spacing w:val="4"/>
                <w:sz w:val="20"/>
                <w:szCs w:val="20"/>
              </w:rPr>
              <w:t>小时平均</w:t>
            </w:r>
          </w:p>
        </w:tc>
        <w:tc>
          <w:tcPr>
            <w:tcW w:w="3152" w:type="dxa"/>
            <w:vAlign w:val="top"/>
          </w:tcPr>
          <w:p w14:paraId="5BA58325">
            <w:pPr>
              <w:spacing w:before="70" w:line="195" w:lineRule="auto"/>
              <w:ind w:left="14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1846" w:type="dxa"/>
            <w:vMerge w:val="continue"/>
            <w:tcBorders>
              <w:top w:val="nil"/>
              <w:right w:val="nil"/>
            </w:tcBorders>
            <w:vAlign w:val="top"/>
          </w:tcPr>
          <w:p w14:paraId="11248870">
            <w:pPr>
              <w:rPr>
                <w:rFonts w:ascii="Arial"/>
                <w:sz w:val="21"/>
              </w:rPr>
            </w:pPr>
          </w:p>
        </w:tc>
      </w:tr>
      <w:tr w14:paraId="4B8EC7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restart"/>
            <w:tcBorders>
              <w:left w:val="nil"/>
              <w:bottom w:val="nil"/>
            </w:tcBorders>
            <w:vAlign w:val="top"/>
          </w:tcPr>
          <w:p w14:paraId="1BD77245">
            <w:pPr>
              <w:spacing w:before="214" w:line="199" w:lineRule="auto"/>
              <w:ind w:left="780"/>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8"/>
                <w:position w:val="-1"/>
                <w:sz w:val="13"/>
                <w:szCs w:val="13"/>
              </w:rPr>
              <w:t>10</w:t>
            </w:r>
          </w:p>
        </w:tc>
        <w:tc>
          <w:tcPr>
            <w:tcW w:w="2075" w:type="dxa"/>
            <w:vAlign w:val="top"/>
          </w:tcPr>
          <w:p w14:paraId="49CBA84C">
            <w:pPr>
              <w:pStyle w:val="6"/>
              <w:spacing w:before="36" w:line="212" w:lineRule="auto"/>
              <w:ind w:left="730"/>
              <w:rPr>
                <w:sz w:val="20"/>
                <w:szCs w:val="20"/>
              </w:rPr>
            </w:pPr>
            <w:r>
              <w:rPr>
                <w:spacing w:val="6"/>
                <w:sz w:val="20"/>
                <w:szCs w:val="20"/>
              </w:rPr>
              <w:t>年平均</w:t>
            </w:r>
          </w:p>
        </w:tc>
        <w:tc>
          <w:tcPr>
            <w:tcW w:w="3152" w:type="dxa"/>
            <w:vAlign w:val="top"/>
          </w:tcPr>
          <w:p w14:paraId="5D3A5CAD">
            <w:pPr>
              <w:spacing w:before="72" w:line="195" w:lineRule="auto"/>
              <w:ind w:left="147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1846" w:type="dxa"/>
            <w:vMerge w:val="restart"/>
            <w:tcBorders>
              <w:bottom w:val="nil"/>
              <w:right w:val="nil"/>
            </w:tcBorders>
            <w:vAlign w:val="top"/>
          </w:tcPr>
          <w:p w14:paraId="2FC46F2D">
            <w:pPr>
              <w:spacing w:before="194" w:line="215" w:lineRule="auto"/>
              <w:ind w:left="68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5"/>
                <w:sz w:val="13"/>
                <w:szCs w:val="13"/>
              </w:rPr>
              <w:t>3</w:t>
            </w:r>
          </w:p>
        </w:tc>
      </w:tr>
      <w:tr w14:paraId="6FC255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1999" w:type="dxa"/>
            <w:vMerge w:val="continue"/>
            <w:tcBorders>
              <w:top w:val="nil"/>
              <w:left w:val="nil"/>
            </w:tcBorders>
            <w:vAlign w:val="top"/>
          </w:tcPr>
          <w:p w14:paraId="3262AD36">
            <w:pPr>
              <w:rPr>
                <w:rFonts w:ascii="Arial"/>
                <w:sz w:val="21"/>
              </w:rPr>
            </w:pPr>
          </w:p>
        </w:tc>
        <w:tc>
          <w:tcPr>
            <w:tcW w:w="2075" w:type="dxa"/>
            <w:vAlign w:val="top"/>
          </w:tcPr>
          <w:p w14:paraId="5EDEBFDE">
            <w:pPr>
              <w:pStyle w:val="6"/>
              <w:spacing w:before="36" w:line="211" w:lineRule="auto"/>
              <w:ind w:left="488"/>
              <w:rPr>
                <w:sz w:val="20"/>
                <w:szCs w:val="20"/>
              </w:rPr>
            </w:pPr>
            <w:r>
              <w:rPr>
                <w:rFonts w:ascii="Times New Roman" w:hAnsi="Times New Roman" w:eastAsia="Times New Roman" w:cs="Times New Roman"/>
                <w:spacing w:val="4"/>
                <w:sz w:val="20"/>
                <w:szCs w:val="20"/>
              </w:rPr>
              <w:t>24</w:t>
            </w:r>
            <w:r>
              <w:rPr>
                <w:rFonts w:ascii="Times New Roman" w:hAnsi="Times New Roman" w:eastAsia="Times New Roman" w:cs="Times New Roman"/>
                <w:spacing w:val="19"/>
                <w:w w:val="101"/>
                <w:sz w:val="20"/>
                <w:szCs w:val="20"/>
              </w:rPr>
              <w:t xml:space="preserve"> </w:t>
            </w:r>
            <w:r>
              <w:rPr>
                <w:spacing w:val="4"/>
                <w:sz w:val="20"/>
                <w:szCs w:val="20"/>
              </w:rPr>
              <w:t>小时平均</w:t>
            </w:r>
          </w:p>
        </w:tc>
        <w:tc>
          <w:tcPr>
            <w:tcW w:w="3152" w:type="dxa"/>
            <w:vAlign w:val="top"/>
          </w:tcPr>
          <w:p w14:paraId="3387AB77">
            <w:pPr>
              <w:spacing w:before="72" w:line="195" w:lineRule="auto"/>
              <w:ind w:left="14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150</w:t>
            </w:r>
          </w:p>
        </w:tc>
        <w:tc>
          <w:tcPr>
            <w:tcW w:w="1846" w:type="dxa"/>
            <w:vMerge w:val="continue"/>
            <w:tcBorders>
              <w:top w:val="nil"/>
              <w:right w:val="nil"/>
            </w:tcBorders>
            <w:vAlign w:val="top"/>
          </w:tcPr>
          <w:p w14:paraId="6AE6606F">
            <w:pPr>
              <w:rPr>
                <w:rFonts w:ascii="Arial"/>
                <w:sz w:val="21"/>
              </w:rPr>
            </w:pPr>
          </w:p>
        </w:tc>
      </w:tr>
      <w:tr w14:paraId="58B51C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restart"/>
            <w:tcBorders>
              <w:left w:val="nil"/>
              <w:bottom w:val="nil"/>
            </w:tcBorders>
            <w:vAlign w:val="top"/>
          </w:tcPr>
          <w:p w14:paraId="3190673A">
            <w:pPr>
              <w:spacing w:before="219" w:line="199" w:lineRule="auto"/>
              <w:ind w:left="763"/>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6"/>
                <w:position w:val="-1"/>
                <w:sz w:val="13"/>
                <w:szCs w:val="13"/>
              </w:rPr>
              <w:t>2.5</w:t>
            </w:r>
          </w:p>
        </w:tc>
        <w:tc>
          <w:tcPr>
            <w:tcW w:w="2075" w:type="dxa"/>
            <w:vAlign w:val="top"/>
          </w:tcPr>
          <w:p w14:paraId="46504B97">
            <w:pPr>
              <w:pStyle w:val="6"/>
              <w:spacing w:before="39" w:line="209" w:lineRule="auto"/>
              <w:ind w:left="730"/>
              <w:rPr>
                <w:sz w:val="20"/>
                <w:szCs w:val="20"/>
              </w:rPr>
            </w:pPr>
            <w:r>
              <w:rPr>
                <w:spacing w:val="6"/>
                <w:sz w:val="20"/>
                <w:szCs w:val="20"/>
              </w:rPr>
              <w:t>年平均</w:t>
            </w:r>
          </w:p>
        </w:tc>
        <w:tc>
          <w:tcPr>
            <w:tcW w:w="3152" w:type="dxa"/>
            <w:vAlign w:val="top"/>
          </w:tcPr>
          <w:p w14:paraId="1731DD3A">
            <w:pPr>
              <w:spacing w:before="75" w:line="195" w:lineRule="auto"/>
              <w:ind w:left="1477"/>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1846" w:type="dxa"/>
            <w:vMerge w:val="restart"/>
            <w:tcBorders>
              <w:bottom w:val="nil"/>
              <w:right w:val="nil"/>
            </w:tcBorders>
            <w:vAlign w:val="top"/>
          </w:tcPr>
          <w:p w14:paraId="01B11191">
            <w:pPr>
              <w:spacing w:before="196" w:line="218" w:lineRule="auto"/>
              <w:ind w:left="68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6"/>
                <w:sz w:val="13"/>
                <w:szCs w:val="13"/>
              </w:rPr>
              <w:t>3</w:t>
            </w:r>
          </w:p>
        </w:tc>
      </w:tr>
      <w:tr w14:paraId="08C8E3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1999" w:type="dxa"/>
            <w:vMerge w:val="continue"/>
            <w:tcBorders>
              <w:top w:val="nil"/>
              <w:left w:val="nil"/>
            </w:tcBorders>
            <w:vAlign w:val="top"/>
          </w:tcPr>
          <w:p w14:paraId="36F66EAB">
            <w:pPr>
              <w:rPr>
                <w:rFonts w:ascii="Arial"/>
                <w:sz w:val="21"/>
              </w:rPr>
            </w:pPr>
          </w:p>
        </w:tc>
        <w:tc>
          <w:tcPr>
            <w:tcW w:w="2075" w:type="dxa"/>
            <w:vAlign w:val="top"/>
          </w:tcPr>
          <w:p w14:paraId="49992E2B">
            <w:pPr>
              <w:pStyle w:val="6"/>
              <w:spacing w:before="39" w:line="208" w:lineRule="auto"/>
              <w:ind w:left="488"/>
              <w:rPr>
                <w:sz w:val="20"/>
                <w:szCs w:val="20"/>
              </w:rPr>
            </w:pPr>
            <w:r>
              <w:rPr>
                <w:rFonts w:ascii="Times New Roman" w:hAnsi="Times New Roman" w:eastAsia="Times New Roman" w:cs="Times New Roman"/>
                <w:spacing w:val="4"/>
                <w:sz w:val="20"/>
                <w:szCs w:val="20"/>
              </w:rPr>
              <w:t>24</w:t>
            </w:r>
            <w:r>
              <w:rPr>
                <w:rFonts w:ascii="Times New Roman" w:hAnsi="Times New Roman" w:eastAsia="Times New Roman" w:cs="Times New Roman"/>
                <w:spacing w:val="19"/>
                <w:w w:val="101"/>
                <w:sz w:val="20"/>
                <w:szCs w:val="20"/>
              </w:rPr>
              <w:t xml:space="preserve"> </w:t>
            </w:r>
            <w:r>
              <w:rPr>
                <w:spacing w:val="4"/>
                <w:sz w:val="20"/>
                <w:szCs w:val="20"/>
              </w:rPr>
              <w:t>小时平均</w:t>
            </w:r>
          </w:p>
        </w:tc>
        <w:tc>
          <w:tcPr>
            <w:tcW w:w="3152" w:type="dxa"/>
            <w:vAlign w:val="top"/>
          </w:tcPr>
          <w:p w14:paraId="448247D9">
            <w:pPr>
              <w:spacing w:before="78" w:line="192" w:lineRule="auto"/>
              <w:ind w:left="147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75</w:t>
            </w:r>
          </w:p>
        </w:tc>
        <w:tc>
          <w:tcPr>
            <w:tcW w:w="1846" w:type="dxa"/>
            <w:vMerge w:val="continue"/>
            <w:tcBorders>
              <w:top w:val="nil"/>
              <w:right w:val="nil"/>
            </w:tcBorders>
            <w:vAlign w:val="top"/>
          </w:tcPr>
          <w:p w14:paraId="5B5D97E5">
            <w:pPr>
              <w:rPr>
                <w:rFonts w:ascii="Arial"/>
                <w:sz w:val="21"/>
              </w:rPr>
            </w:pPr>
          </w:p>
        </w:tc>
      </w:tr>
      <w:tr w14:paraId="1D732F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restart"/>
            <w:tcBorders>
              <w:left w:val="nil"/>
              <w:bottom w:val="nil"/>
            </w:tcBorders>
            <w:vAlign w:val="top"/>
          </w:tcPr>
          <w:p w14:paraId="4E09738A">
            <w:pPr>
              <w:spacing w:line="302" w:lineRule="auto"/>
              <w:rPr>
                <w:rFonts w:ascii="Arial"/>
                <w:sz w:val="21"/>
              </w:rPr>
            </w:pPr>
          </w:p>
          <w:p w14:paraId="69F9D191">
            <w:pPr>
              <w:spacing w:before="57" w:line="202" w:lineRule="auto"/>
              <w:ind w:left="84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2075" w:type="dxa"/>
            <w:vAlign w:val="top"/>
          </w:tcPr>
          <w:p w14:paraId="38C8876E">
            <w:pPr>
              <w:pStyle w:val="6"/>
              <w:spacing w:before="42" w:line="206" w:lineRule="auto"/>
              <w:ind w:left="730"/>
              <w:rPr>
                <w:sz w:val="20"/>
                <w:szCs w:val="20"/>
              </w:rPr>
            </w:pPr>
            <w:r>
              <w:rPr>
                <w:spacing w:val="6"/>
                <w:sz w:val="20"/>
                <w:szCs w:val="20"/>
              </w:rPr>
              <w:t>年平均</w:t>
            </w:r>
          </w:p>
        </w:tc>
        <w:tc>
          <w:tcPr>
            <w:tcW w:w="3152" w:type="dxa"/>
            <w:vAlign w:val="top"/>
          </w:tcPr>
          <w:p w14:paraId="728BF28E">
            <w:pPr>
              <w:spacing w:before="78" w:line="195" w:lineRule="auto"/>
              <w:ind w:left="1477"/>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846" w:type="dxa"/>
            <w:vMerge w:val="restart"/>
            <w:tcBorders>
              <w:bottom w:val="nil"/>
              <w:right w:val="nil"/>
            </w:tcBorders>
            <w:vAlign w:val="top"/>
          </w:tcPr>
          <w:p w14:paraId="09F7CACA">
            <w:pPr>
              <w:spacing w:line="282" w:lineRule="auto"/>
              <w:rPr>
                <w:rFonts w:ascii="Arial"/>
                <w:sz w:val="21"/>
              </w:rPr>
            </w:pPr>
          </w:p>
          <w:p w14:paraId="732169A2">
            <w:pPr>
              <w:spacing w:before="57" w:line="218" w:lineRule="auto"/>
              <w:ind w:left="68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6"/>
                <w:sz w:val="13"/>
                <w:szCs w:val="13"/>
              </w:rPr>
              <w:t>3</w:t>
            </w:r>
          </w:p>
        </w:tc>
      </w:tr>
      <w:tr w14:paraId="14EEA7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continue"/>
            <w:tcBorders>
              <w:top w:val="nil"/>
              <w:left w:val="nil"/>
              <w:bottom w:val="nil"/>
            </w:tcBorders>
            <w:vAlign w:val="top"/>
          </w:tcPr>
          <w:p w14:paraId="0704A72F">
            <w:pPr>
              <w:rPr>
                <w:rFonts w:ascii="Arial"/>
                <w:sz w:val="21"/>
              </w:rPr>
            </w:pPr>
          </w:p>
        </w:tc>
        <w:tc>
          <w:tcPr>
            <w:tcW w:w="2075" w:type="dxa"/>
            <w:vAlign w:val="top"/>
          </w:tcPr>
          <w:p w14:paraId="6E72543D">
            <w:pPr>
              <w:pStyle w:val="6"/>
              <w:spacing w:before="44" w:line="204" w:lineRule="auto"/>
              <w:ind w:left="488"/>
              <w:rPr>
                <w:sz w:val="20"/>
                <w:szCs w:val="20"/>
              </w:rPr>
            </w:pPr>
            <w:r>
              <w:rPr>
                <w:rFonts w:ascii="Times New Roman" w:hAnsi="Times New Roman" w:eastAsia="Times New Roman" w:cs="Times New Roman"/>
                <w:spacing w:val="4"/>
                <w:sz w:val="20"/>
                <w:szCs w:val="20"/>
              </w:rPr>
              <w:t>24</w:t>
            </w:r>
            <w:r>
              <w:rPr>
                <w:rFonts w:ascii="Times New Roman" w:hAnsi="Times New Roman" w:eastAsia="Times New Roman" w:cs="Times New Roman"/>
                <w:spacing w:val="19"/>
                <w:w w:val="101"/>
                <w:sz w:val="20"/>
                <w:szCs w:val="20"/>
              </w:rPr>
              <w:t xml:space="preserve"> </w:t>
            </w:r>
            <w:r>
              <w:rPr>
                <w:spacing w:val="4"/>
                <w:sz w:val="20"/>
                <w:szCs w:val="20"/>
              </w:rPr>
              <w:t>小时平均</w:t>
            </w:r>
          </w:p>
        </w:tc>
        <w:tc>
          <w:tcPr>
            <w:tcW w:w="3152" w:type="dxa"/>
            <w:vAlign w:val="top"/>
          </w:tcPr>
          <w:p w14:paraId="68C850D5">
            <w:pPr>
              <w:spacing w:before="81" w:line="193" w:lineRule="auto"/>
              <w:ind w:left="14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150</w:t>
            </w:r>
          </w:p>
        </w:tc>
        <w:tc>
          <w:tcPr>
            <w:tcW w:w="1846" w:type="dxa"/>
            <w:vMerge w:val="continue"/>
            <w:tcBorders>
              <w:top w:val="nil"/>
              <w:bottom w:val="nil"/>
              <w:right w:val="nil"/>
            </w:tcBorders>
            <w:vAlign w:val="top"/>
          </w:tcPr>
          <w:p w14:paraId="493A2F04">
            <w:pPr>
              <w:rPr>
                <w:rFonts w:ascii="Arial"/>
                <w:sz w:val="21"/>
              </w:rPr>
            </w:pPr>
          </w:p>
        </w:tc>
      </w:tr>
      <w:tr w14:paraId="163CCA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continue"/>
            <w:tcBorders>
              <w:top w:val="nil"/>
              <w:left w:val="nil"/>
            </w:tcBorders>
            <w:vAlign w:val="top"/>
          </w:tcPr>
          <w:p w14:paraId="504DDBA6">
            <w:pPr>
              <w:rPr>
                <w:rFonts w:ascii="Arial"/>
                <w:sz w:val="21"/>
              </w:rPr>
            </w:pPr>
          </w:p>
        </w:tc>
        <w:tc>
          <w:tcPr>
            <w:tcW w:w="2075" w:type="dxa"/>
            <w:vAlign w:val="top"/>
          </w:tcPr>
          <w:p w14:paraId="07AFB82C">
            <w:pPr>
              <w:pStyle w:val="6"/>
              <w:spacing w:before="44" w:line="204" w:lineRule="auto"/>
              <w:ind w:left="56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18"/>
                <w:sz w:val="20"/>
                <w:szCs w:val="20"/>
              </w:rPr>
              <w:t xml:space="preserve"> </w:t>
            </w:r>
            <w:r>
              <w:rPr>
                <w:sz w:val="20"/>
                <w:szCs w:val="20"/>
              </w:rPr>
              <w:t>小时平均</w:t>
            </w:r>
          </w:p>
        </w:tc>
        <w:tc>
          <w:tcPr>
            <w:tcW w:w="3152" w:type="dxa"/>
            <w:vAlign w:val="top"/>
          </w:tcPr>
          <w:p w14:paraId="344E7CDD">
            <w:pPr>
              <w:spacing w:before="81" w:line="193" w:lineRule="auto"/>
              <w:ind w:left="142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500</w:t>
            </w:r>
          </w:p>
        </w:tc>
        <w:tc>
          <w:tcPr>
            <w:tcW w:w="1846" w:type="dxa"/>
            <w:vMerge w:val="continue"/>
            <w:tcBorders>
              <w:top w:val="nil"/>
              <w:right w:val="nil"/>
            </w:tcBorders>
            <w:vAlign w:val="top"/>
          </w:tcPr>
          <w:p w14:paraId="5DCCF7F4">
            <w:pPr>
              <w:rPr>
                <w:rFonts w:ascii="Arial"/>
                <w:sz w:val="21"/>
              </w:rPr>
            </w:pPr>
          </w:p>
        </w:tc>
      </w:tr>
      <w:tr w14:paraId="7B144F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restart"/>
            <w:tcBorders>
              <w:left w:val="nil"/>
              <w:bottom w:val="nil"/>
            </w:tcBorders>
            <w:vAlign w:val="top"/>
          </w:tcPr>
          <w:p w14:paraId="166DCF74">
            <w:pPr>
              <w:spacing w:line="306" w:lineRule="auto"/>
              <w:rPr>
                <w:rFonts w:ascii="Arial"/>
                <w:sz w:val="21"/>
              </w:rPr>
            </w:pPr>
          </w:p>
          <w:p w14:paraId="7BCB293B">
            <w:pPr>
              <w:spacing w:before="57" w:line="202" w:lineRule="auto"/>
              <w:ind w:left="810"/>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2</w:t>
            </w:r>
          </w:p>
        </w:tc>
        <w:tc>
          <w:tcPr>
            <w:tcW w:w="2075" w:type="dxa"/>
            <w:vAlign w:val="top"/>
          </w:tcPr>
          <w:p w14:paraId="1CEED664">
            <w:pPr>
              <w:pStyle w:val="6"/>
              <w:spacing w:before="47" w:line="202" w:lineRule="auto"/>
              <w:ind w:left="730"/>
              <w:rPr>
                <w:sz w:val="20"/>
                <w:szCs w:val="20"/>
              </w:rPr>
            </w:pPr>
            <w:r>
              <w:rPr>
                <w:spacing w:val="6"/>
                <w:sz w:val="20"/>
                <w:szCs w:val="20"/>
              </w:rPr>
              <w:t>年平均</w:t>
            </w:r>
          </w:p>
        </w:tc>
        <w:tc>
          <w:tcPr>
            <w:tcW w:w="3152" w:type="dxa"/>
            <w:vAlign w:val="top"/>
          </w:tcPr>
          <w:p w14:paraId="2CBC542E">
            <w:pPr>
              <w:spacing w:before="82" w:line="191" w:lineRule="auto"/>
              <w:ind w:left="147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1846" w:type="dxa"/>
            <w:vMerge w:val="restart"/>
            <w:tcBorders>
              <w:bottom w:val="nil"/>
              <w:right w:val="nil"/>
            </w:tcBorders>
            <w:vAlign w:val="top"/>
          </w:tcPr>
          <w:p w14:paraId="722CD2E7">
            <w:pPr>
              <w:spacing w:line="286" w:lineRule="auto"/>
              <w:rPr>
                <w:rFonts w:ascii="Arial"/>
                <w:sz w:val="21"/>
              </w:rPr>
            </w:pPr>
          </w:p>
          <w:p w14:paraId="02D092F6">
            <w:pPr>
              <w:spacing w:before="57" w:line="218" w:lineRule="auto"/>
              <w:ind w:left="68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6"/>
                <w:sz w:val="13"/>
                <w:szCs w:val="13"/>
              </w:rPr>
              <w:t>3</w:t>
            </w:r>
          </w:p>
        </w:tc>
      </w:tr>
      <w:tr w14:paraId="6D277E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continue"/>
            <w:tcBorders>
              <w:top w:val="nil"/>
              <w:left w:val="nil"/>
              <w:bottom w:val="nil"/>
            </w:tcBorders>
            <w:vAlign w:val="top"/>
          </w:tcPr>
          <w:p w14:paraId="3534B477">
            <w:pPr>
              <w:rPr>
                <w:rFonts w:ascii="Arial"/>
                <w:sz w:val="21"/>
              </w:rPr>
            </w:pPr>
          </w:p>
        </w:tc>
        <w:tc>
          <w:tcPr>
            <w:tcW w:w="2075" w:type="dxa"/>
            <w:vAlign w:val="top"/>
          </w:tcPr>
          <w:p w14:paraId="53315D83">
            <w:pPr>
              <w:pStyle w:val="6"/>
              <w:spacing w:before="49" w:line="200" w:lineRule="auto"/>
              <w:ind w:left="488"/>
              <w:rPr>
                <w:sz w:val="20"/>
                <w:szCs w:val="20"/>
              </w:rPr>
            </w:pPr>
            <w:r>
              <w:rPr>
                <w:rFonts w:ascii="Times New Roman" w:hAnsi="Times New Roman" w:eastAsia="Times New Roman" w:cs="Times New Roman"/>
                <w:spacing w:val="4"/>
                <w:sz w:val="20"/>
                <w:szCs w:val="20"/>
              </w:rPr>
              <w:t>24</w:t>
            </w:r>
            <w:r>
              <w:rPr>
                <w:rFonts w:ascii="Times New Roman" w:hAnsi="Times New Roman" w:eastAsia="Times New Roman" w:cs="Times New Roman"/>
                <w:spacing w:val="19"/>
                <w:w w:val="101"/>
                <w:sz w:val="20"/>
                <w:szCs w:val="20"/>
              </w:rPr>
              <w:t xml:space="preserve"> </w:t>
            </w:r>
            <w:r>
              <w:rPr>
                <w:spacing w:val="4"/>
                <w:sz w:val="20"/>
                <w:szCs w:val="20"/>
              </w:rPr>
              <w:t>小时平均</w:t>
            </w:r>
          </w:p>
        </w:tc>
        <w:tc>
          <w:tcPr>
            <w:tcW w:w="3152" w:type="dxa"/>
            <w:vAlign w:val="top"/>
          </w:tcPr>
          <w:p w14:paraId="52388FCA">
            <w:pPr>
              <w:spacing w:before="84" w:line="189" w:lineRule="auto"/>
              <w:ind w:left="148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w:t>
            </w:r>
          </w:p>
        </w:tc>
        <w:tc>
          <w:tcPr>
            <w:tcW w:w="1846" w:type="dxa"/>
            <w:vMerge w:val="continue"/>
            <w:tcBorders>
              <w:top w:val="nil"/>
              <w:bottom w:val="nil"/>
              <w:right w:val="nil"/>
            </w:tcBorders>
            <w:vAlign w:val="top"/>
          </w:tcPr>
          <w:p w14:paraId="01EFF5C1">
            <w:pPr>
              <w:rPr>
                <w:rFonts w:ascii="Arial"/>
                <w:sz w:val="21"/>
              </w:rPr>
            </w:pPr>
          </w:p>
        </w:tc>
      </w:tr>
      <w:tr w14:paraId="4563A9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continue"/>
            <w:tcBorders>
              <w:top w:val="nil"/>
              <w:left w:val="nil"/>
            </w:tcBorders>
            <w:vAlign w:val="top"/>
          </w:tcPr>
          <w:p w14:paraId="34506B27">
            <w:pPr>
              <w:rPr>
                <w:rFonts w:ascii="Arial"/>
                <w:sz w:val="21"/>
              </w:rPr>
            </w:pPr>
          </w:p>
        </w:tc>
        <w:tc>
          <w:tcPr>
            <w:tcW w:w="2075" w:type="dxa"/>
            <w:vAlign w:val="top"/>
          </w:tcPr>
          <w:p w14:paraId="6CF8489A">
            <w:pPr>
              <w:pStyle w:val="6"/>
              <w:spacing w:before="48" w:line="201" w:lineRule="auto"/>
              <w:ind w:left="56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18"/>
                <w:sz w:val="20"/>
                <w:szCs w:val="20"/>
              </w:rPr>
              <w:t xml:space="preserve"> </w:t>
            </w:r>
            <w:r>
              <w:rPr>
                <w:sz w:val="20"/>
                <w:szCs w:val="20"/>
              </w:rPr>
              <w:t>小时平均</w:t>
            </w:r>
          </w:p>
        </w:tc>
        <w:tc>
          <w:tcPr>
            <w:tcW w:w="3152" w:type="dxa"/>
            <w:vAlign w:val="top"/>
          </w:tcPr>
          <w:p w14:paraId="5AF29B07">
            <w:pPr>
              <w:spacing w:before="84" w:line="189" w:lineRule="auto"/>
              <w:ind w:left="14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846" w:type="dxa"/>
            <w:vMerge w:val="continue"/>
            <w:tcBorders>
              <w:top w:val="nil"/>
              <w:right w:val="nil"/>
            </w:tcBorders>
            <w:vAlign w:val="top"/>
          </w:tcPr>
          <w:p w14:paraId="48EB4503">
            <w:pPr>
              <w:rPr>
                <w:rFonts w:ascii="Arial"/>
                <w:sz w:val="21"/>
              </w:rPr>
            </w:pPr>
          </w:p>
        </w:tc>
      </w:tr>
      <w:tr w14:paraId="3979DB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restart"/>
            <w:tcBorders>
              <w:left w:val="nil"/>
              <w:bottom w:val="nil"/>
            </w:tcBorders>
            <w:vAlign w:val="top"/>
          </w:tcPr>
          <w:p w14:paraId="4BA6AB66">
            <w:pPr>
              <w:spacing w:before="228" w:line="195" w:lineRule="auto"/>
              <w:ind w:left="8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CO</w:t>
            </w:r>
          </w:p>
        </w:tc>
        <w:tc>
          <w:tcPr>
            <w:tcW w:w="2075" w:type="dxa"/>
            <w:vAlign w:val="top"/>
          </w:tcPr>
          <w:p w14:paraId="5D663459">
            <w:pPr>
              <w:pStyle w:val="6"/>
              <w:spacing w:before="50" w:line="199" w:lineRule="auto"/>
              <w:ind w:left="488"/>
              <w:rPr>
                <w:sz w:val="20"/>
                <w:szCs w:val="20"/>
              </w:rPr>
            </w:pPr>
            <w:r>
              <w:rPr>
                <w:rFonts w:ascii="Times New Roman" w:hAnsi="Times New Roman" w:eastAsia="Times New Roman" w:cs="Times New Roman"/>
                <w:spacing w:val="4"/>
                <w:sz w:val="20"/>
                <w:szCs w:val="20"/>
              </w:rPr>
              <w:t>24</w:t>
            </w:r>
            <w:r>
              <w:rPr>
                <w:rFonts w:ascii="Times New Roman" w:hAnsi="Times New Roman" w:eastAsia="Times New Roman" w:cs="Times New Roman"/>
                <w:spacing w:val="19"/>
                <w:w w:val="101"/>
                <w:sz w:val="20"/>
                <w:szCs w:val="20"/>
              </w:rPr>
              <w:t xml:space="preserve"> </w:t>
            </w:r>
            <w:r>
              <w:rPr>
                <w:spacing w:val="4"/>
                <w:sz w:val="20"/>
                <w:szCs w:val="20"/>
              </w:rPr>
              <w:t>小时平均</w:t>
            </w:r>
          </w:p>
        </w:tc>
        <w:tc>
          <w:tcPr>
            <w:tcW w:w="3152" w:type="dxa"/>
            <w:vAlign w:val="top"/>
          </w:tcPr>
          <w:p w14:paraId="2DE99477">
            <w:pPr>
              <w:spacing w:before="86" w:line="187" w:lineRule="auto"/>
              <w:ind w:left="152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846" w:type="dxa"/>
            <w:vMerge w:val="restart"/>
            <w:tcBorders>
              <w:bottom w:val="nil"/>
              <w:right w:val="nil"/>
            </w:tcBorders>
            <w:vAlign w:val="top"/>
          </w:tcPr>
          <w:p w14:paraId="08D6C4F6">
            <w:pPr>
              <w:spacing w:before="208" w:line="218" w:lineRule="auto"/>
              <w:ind w:left="646"/>
              <w:rPr>
                <w:rFonts w:ascii="Times New Roman" w:hAnsi="Times New Roman" w:eastAsia="Times New Roman" w:cs="Times New Roman"/>
                <w:sz w:val="13"/>
                <w:szCs w:val="13"/>
              </w:rPr>
            </w:pP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/m</w:t>
            </w:r>
            <w:r>
              <w:rPr>
                <w:rFonts w:ascii="Times New Roman" w:hAnsi="Times New Roman" w:eastAsia="Times New Roman" w:cs="Times New Roman"/>
                <w:spacing w:val="8"/>
                <w:position w:val="6"/>
                <w:sz w:val="13"/>
                <w:szCs w:val="13"/>
              </w:rPr>
              <w:t>3</w:t>
            </w:r>
          </w:p>
        </w:tc>
      </w:tr>
      <w:tr w14:paraId="7CCE32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continue"/>
            <w:tcBorders>
              <w:top w:val="nil"/>
              <w:left w:val="nil"/>
            </w:tcBorders>
            <w:vAlign w:val="top"/>
          </w:tcPr>
          <w:p w14:paraId="5F533EBE">
            <w:pPr>
              <w:rPr>
                <w:rFonts w:ascii="Arial"/>
                <w:sz w:val="21"/>
              </w:rPr>
            </w:pPr>
          </w:p>
        </w:tc>
        <w:tc>
          <w:tcPr>
            <w:tcW w:w="2075" w:type="dxa"/>
            <w:vAlign w:val="top"/>
          </w:tcPr>
          <w:p w14:paraId="2F0A3C0B">
            <w:pPr>
              <w:pStyle w:val="6"/>
              <w:spacing w:before="52" w:line="197" w:lineRule="auto"/>
              <w:ind w:left="56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18"/>
                <w:sz w:val="20"/>
                <w:szCs w:val="20"/>
              </w:rPr>
              <w:t xml:space="preserve"> </w:t>
            </w:r>
            <w:r>
              <w:rPr>
                <w:sz w:val="20"/>
                <w:szCs w:val="20"/>
              </w:rPr>
              <w:t>小时平均</w:t>
            </w:r>
          </w:p>
        </w:tc>
        <w:tc>
          <w:tcPr>
            <w:tcW w:w="3152" w:type="dxa"/>
            <w:vAlign w:val="top"/>
          </w:tcPr>
          <w:p w14:paraId="6CBDDF73">
            <w:pPr>
              <w:spacing w:before="89" w:line="184" w:lineRule="auto"/>
              <w:ind w:left="149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846" w:type="dxa"/>
            <w:vMerge w:val="continue"/>
            <w:tcBorders>
              <w:top w:val="nil"/>
              <w:right w:val="nil"/>
            </w:tcBorders>
            <w:vAlign w:val="top"/>
          </w:tcPr>
          <w:p w14:paraId="608613B4">
            <w:pPr>
              <w:rPr>
                <w:rFonts w:ascii="Arial"/>
                <w:sz w:val="21"/>
              </w:rPr>
            </w:pPr>
          </w:p>
        </w:tc>
      </w:tr>
      <w:tr w14:paraId="1C57E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999" w:type="dxa"/>
            <w:vMerge w:val="restart"/>
            <w:tcBorders>
              <w:left w:val="nil"/>
              <w:bottom w:val="nil"/>
            </w:tcBorders>
            <w:vAlign w:val="top"/>
          </w:tcPr>
          <w:p w14:paraId="68F657B1">
            <w:pPr>
              <w:spacing w:before="230" w:line="202" w:lineRule="auto"/>
              <w:ind w:left="894"/>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O</w:t>
            </w:r>
            <w:r>
              <w:rPr>
                <w:rFonts w:ascii="Times New Roman" w:hAnsi="Times New Roman" w:eastAsia="Times New Roman" w:cs="Times New Roman"/>
                <w:spacing w:val="1"/>
                <w:position w:val="-1"/>
                <w:sz w:val="13"/>
                <w:szCs w:val="13"/>
              </w:rPr>
              <w:t>3</w:t>
            </w:r>
          </w:p>
        </w:tc>
        <w:tc>
          <w:tcPr>
            <w:tcW w:w="2075" w:type="dxa"/>
            <w:vAlign w:val="top"/>
          </w:tcPr>
          <w:p w14:paraId="3C4F4184">
            <w:pPr>
              <w:pStyle w:val="6"/>
              <w:spacing w:before="52" w:line="197" w:lineRule="auto"/>
              <w:ind w:left="239"/>
              <w:rPr>
                <w:sz w:val="20"/>
                <w:szCs w:val="20"/>
              </w:rPr>
            </w:pPr>
            <w:r>
              <w:rPr>
                <w:sz w:val="20"/>
                <w:szCs w:val="20"/>
              </w:rPr>
              <w:t>日最大</w:t>
            </w:r>
            <w:r>
              <w:rPr>
                <w:spacing w:val="-35"/>
                <w:sz w:val="20"/>
                <w:szCs w:val="20"/>
              </w:rPr>
              <w:t xml:space="preserve"> </w:t>
            </w:r>
            <w:r>
              <w:rPr>
                <w:rFonts w:ascii="Times New Roman" w:hAnsi="Times New Roman" w:eastAsia="Times New Roman" w:cs="Times New Roman"/>
                <w:sz w:val="20"/>
                <w:szCs w:val="20"/>
              </w:rPr>
              <w:t>8</w:t>
            </w:r>
            <w:r>
              <w:rPr>
                <w:rFonts w:ascii="Times New Roman" w:hAnsi="Times New Roman" w:eastAsia="Times New Roman" w:cs="Times New Roman"/>
                <w:spacing w:val="17"/>
                <w:w w:val="101"/>
                <w:sz w:val="20"/>
                <w:szCs w:val="20"/>
              </w:rPr>
              <w:t xml:space="preserve"> </w:t>
            </w:r>
            <w:r>
              <w:rPr>
                <w:sz w:val="20"/>
                <w:szCs w:val="20"/>
              </w:rPr>
              <w:t>小时平均</w:t>
            </w:r>
          </w:p>
        </w:tc>
        <w:tc>
          <w:tcPr>
            <w:tcW w:w="3152" w:type="dxa"/>
            <w:vAlign w:val="top"/>
          </w:tcPr>
          <w:p w14:paraId="1647244C">
            <w:pPr>
              <w:spacing w:before="88" w:line="185" w:lineRule="auto"/>
              <w:ind w:left="14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160</w:t>
            </w:r>
          </w:p>
        </w:tc>
        <w:tc>
          <w:tcPr>
            <w:tcW w:w="1846" w:type="dxa"/>
            <w:vMerge w:val="restart"/>
            <w:tcBorders>
              <w:bottom w:val="nil"/>
              <w:right w:val="nil"/>
            </w:tcBorders>
            <w:vAlign w:val="top"/>
          </w:tcPr>
          <w:p w14:paraId="7CDEE139">
            <w:pPr>
              <w:spacing w:before="210" w:line="218" w:lineRule="auto"/>
              <w:ind w:left="68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6"/>
                <w:sz w:val="13"/>
                <w:szCs w:val="13"/>
              </w:rPr>
              <w:t>3</w:t>
            </w:r>
          </w:p>
        </w:tc>
      </w:tr>
      <w:tr w14:paraId="2C316D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9" w:hRule="atLeast"/>
        </w:trPr>
        <w:tc>
          <w:tcPr>
            <w:tcW w:w="1999" w:type="dxa"/>
            <w:vMerge w:val="continue"/>
            <w:tcBorders>
              <w:top w:val="nil"/>
              <w:left w:val="nil"/>
              <w:bottom w:val="single" w:color="000000" w:sz="10" w:space="0"/>
            </w:tcBorders>
            <w:vAlign w:val="top"/>
          </w:tcPr>
          <w:p w14:paraId="3B0EBD06">
            <w:pPr>
              <w:rPr>
                <w:rFonts w:ascii="Arial"/>
                <w:sz w:val="21"/>
              </w:rPr>
            </w:pPr>
          </w:p>
        </w:tc>
        <w:tc>
          <w:tcPr>
            <w:tcW w:w="2075" w:type="dxa"/>
            <w:tcBorders>
              <w:bottom w:val="single" w:color="000000" w:sz="10" w:space="0"/>
            </w:tcBorders>
            <w:vAlign w:val="top"/>
          </w:tcPr>
          <w:p w14:paraId="77633C8D">
            <w:pPr>
              <w:pStyle w:val="6"/>
              <w:spacing w:before="55" w:line="216" w:lineRule="auto"/>
              <w:ind w:left="56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18"/>
                <w:sz w:val="20"/>
                <w:szCs w:val="20"/>
              </w:rPr>
              <w:t xml:space="preserve"> </w:t>
            </w:r>
            <w:r>
              <w:rPr>
                <w:sz w:val="20"/>
                <w:szCs w:val="20"/>
              </w:rPr>
              <w:t>小时平均</w:t>
            </w:r>
          </w:p>
        </w:tc>
        <w:tc>
          <w:tcPr>
            <w:tcW w:w="3152" w:type="dxa"/>
            <w:tcBorders>
              <w:bottom w:val="single" w:color="000000" w:sz="10" w:space="0"/>
            </w:tcBorders>
            <w:vAlign w:val="top"/>
          </w:tcPr>
          <w:p w14:paraId="20E1D716">
            <w:pPr>
              <w:spacing w:before="90" w:line="195" w:lineRule="auto"/>
              <w:ind w:left="14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846" w:type="dxa"/>
            <w:vMerge w:val="continue"/>
            <w:tcBorders>
              <w:top w:val="nil"/>
              <w:bottom w:val="single" w:color="000000" w:sz="10" w:space="0"/>
              <w:right w:val="nil"/>
            </w:tcBorders>
            <w:vAlign w:val="top"/>
          </w:tcPr>
          <w:p w14:paraId="45A0F3CE">
            <w:pPr>
              <w:rPr>
                <w:rFonts w:ascii="Arial"/>
                <w:sz w:val="21"/>
              </w:rPr>
            </w:pPr>
          </w:p>
        </w:tc>
      </w:tr>
    </w:tbl>
    <w:p w14:paraId="45F4B190">
      <w:pPr>
        <w:spacing w:before="33" w:line="226" w:lineRule="auto"/>
        <w:ind w:left="1367"/>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1"/>
          <w:sz w:val="20"/>
          <w:szCs w:val="20"/>
        </w:rPr>
        <w:t xml:space="preserve"> </w:t>
      </w:r>
      <w:r>
        <w:rPr>
          <w:rFonts w:ascii="Times New Roman" w:hAnsi="Times New Roman" w:eastAsia="Times New Roman" w:cs="Times New Roman"/>
          <w:b/>
          <w:bCs/>
          <w:spacing w:val="5"/>
          <w:sz w:val="20"/>
          <w:szCs w:val="20"/>
        </w:rPr>
        <w:t xml:space="preserve">1.5-3        </w:t>
      </w:r>
      <w:r>
        <w:rPr>
          <w:rFonts w:ascii="宋体" w:hAnsi="宋体" w:eastAsia="宋体" w:cs="宋体"/>
          <w:b/>
          <w:bCs/>
          <w:spacing w:val="5"/>
          <w:sz w:val="20"/>
          <w:szCs w:val="20"/>
        </w:rPr>
        <w:t>环境影响评价技术导则</w:t>
      </w:r>
      <w:r>
        <w:rPr>
          <w:rFonts w:ascii="宋体" w:hAnsi="宋体" w:eastAsia="宋体" w:cs="宋体"/>
          <w:spacing w:val="5"/>
          <w:sz w:val="20"/>
          <w:szCs w:val="20"/>
        </w:rPr>
        <w:t xml:space="preserve"> </w:t>
      </w:r>
      <w:r>
        <w:rPr>
          <w:rFonts w:ascii="宋体" w:hAnsi="宋体" w:eastAsia="宋体" w:cs="宋体"/>
          <w:b/>
          <w:bCs/>
          <w:spacing w:val="5"/>
          <w:sz w:val="20"/>
          <w:szCs w:val="20"/>
        </w:rPr>
        <w:t>大气环境（</w:t>
      </w:r>
      <w:r>
        <w:rPr>
          <w:rFonts w:ascii="Times New Roman" w:hAnsi="Times New Roman" w:eastAsia="Times New Roman" w:cs="Times New Roman"/>
          <w:b/>
          <w:bCs/>
          <w:sz w:val="20"/>
          <w:szCs w:val="20"/>
        </w:rPr>
        <w:t>HJ</w:t>
      </w:r>
      <w:r>
        <w:rPr>
          <w:rFonts w:ascii="Times New Roman" w:hAnsi="Times New Roman" w:eastAsia="Times New Roman" w:cs="Times New Roman"/>
          <w:b/>
          <w:bCs/>
          <w:spacing w:val="5"/>
          <w:sz w:val="20"/>
          <w:szCs w:val="20"/>
        </w:rPr>
        <w:t xml:space="preserve"> 2</w:t>
      </w:r>
      <w:r>
        <w:rPr>
          <w:rFonts w:ascii="Times New Roman" w:hAnsi="Times New Roman" w:eastAsia="Times New Roman" w:cs="Times New Roman"/>
          <w:b/>
          <w:bCs/>
          <w:spacing w:val="4"/>
          <w:sz w:val="20"/>
          <w:szCs w:val="20"/>
        </w:rPr>
        <w:t>.2-2018</w:t>
      </w:r>
      <w:r>
        <w:rPr>
          <w:rFonts w:ascii="Times New Roman" w:hAnsi="Times New Roman" w:eastAsia="Times New Roman" w:cs="Times New Roman"/>
          <w:b/>
          <w:bCs/>
          <w:spacing w:val="29"/>
          <w:sz w:val="20"/>
          <w:szCs w:val="20"/>
        </w:rPr>
        <w:t xml:space="preserve"> </w:t>
      </w:r>
      <w:r>
        <w:rPr>
          <w:rFonts w:ascii="宋体" w:hAnsi="宋体" w:eastAsia="宋体" w:cs="宋体"/>
          <w:b/>
          <w:bCs/>
          <w:spacing w:val="4"/>
          <w:sz w:val="20"/>
          <w:szCs w:val="20"/>
        </w:rPr>
        <w:t>附录</w:t>
      </w:r>
      <w:r>
        <w:rPr>
          <w:rFonts w:ascii="宋体" w:hAnsi="宋体" w:eastAsia="宋体" w:cs="宋体"/>
          <w:spacing w:val="-45"/>
          <w:sz w:val="20"/>
          <w:szCs w:val="20"/>
        </w:rPr>
        <w:t xml:space="preserve"> </w:t>
      </w:r>
      <w:r>
        <w:rPr>
          <w:rFonts w:ascii="Times New Roman" w:hAnsi="Times New Roman" w:eastAsia="Times New Roman" w:cs="Times New Roman"/>
          <w:b/>
          <w:bCs/>
          <w:spacing w:val="4"/>
          <w:sz w:val="20"/>
          <w:szCs w:val="20"/>
        </w:rPr>
        <w:t>D</w:t>
      </w:r>
      <w:r>
        <w:rPr>
          <w:rFonts w:ascii="宋体" w:hAnsi="宋体" w:eastAsia="宋体" w:cs="宋体"/>
          <w:b/>
          <w:bCs/>
          <w:spacing w:val="4"/>
          <w:sz w:val="20"/>
          <w:szCs w:val="20"/>
        </w:rPr>
        <w:t>）</w:t>
      </w:r>
    </w:p>
    <w:p w14:paraId="32F27E8C">
      <w:pPr>
        <w:spacing w:line="132"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958"/>
        <w:gridCol w:w="2987"/>
        <w:gridCol w:w="2224"/>
        <w:gridCol w:w="903"/>
      </w:tblGrid>
      <w:tr w14:paraId="044B6D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2958" w:type="dxa"/>
            <w:tcBorders>
              <w:top w:val="single" w:color="000000" w:sz="10" w:space="0"/>
              <w:left w:val="nil"/>
            </w:tcBorders>
            <w:vAlign w:val="top"/>
          </w:tcPr>
          <w:p w14:paraId="17EB4FA2">
            <w:pPr>
              <w:pStyle w:val="6"/>
              <w:spacing w:before="34" w:line="211" w:lineRule="auto"/>
              <w:ind w:left="959"/>
              <w:rPr>
                <w:sz w:val="20"/>
                <w:szCs w:val="20"/>
              </w:rPr>
            </w:pPr>
            <w:r>
              <w:rPr>
                <w:b/>
                <w:bCs/>
                <w:spacing w:val="6"/>
                <w:sz w:val="20"/>
                <w:szCs w:val="20"/>
              </w:rPr>
              <w:t>污染物名称</w:t>
            </w:r>
          </w:p>
        </w:tc>
        <w:tc>
          <w:tcPr>
            <w:tcW w:w="2987" w:type="dxa"/>
            <w:tcBorders>
              <w:top w:val="single" w:color="000000" w:sz="10" w:space="0"/>
            </w:tcBorders>
            <w:vAlign w:val="top"/>
          </w:tcPr>
          <w:p w14:paraId="22BBFF89">
            <w:pPr>
              <w:pStyle w:val="6"/>
              <w:spacing w:before="34" w:line="211" w:lineRule="auto"/>
              <w:ind w:left="1081"/>
              <w:rPr>
                <w:sz w:val="20"/>
                <w:szCs w:val="20"/>
              </w:rPr>
            </w:pPr>
            <w:r>
              <w:rPr>
                <w:b/>
                <w:bCs/>
                <w:spacing w:val="5"/>
                <w:sz w:val="20"/>
                <w:szCs w:val="20"/>
              </w:rPr>
              <w:t>取值时间</w:t>
            </w:r>
          </w:p>
        </w:tc>
        <w:tc>
          <w:tcPr>
            <w:tcW w:w="2224" w:type="dxa"/>
            <w:tcBorders>
              <w:top w:val="single" w:color="000000" w:sz="10" w:space="0"/>
            </w:tcBorders>
            <w:vAlign w:val="top"/>
          </w:tcPr>
          <w:p w14:paraId="78EFF156">
            <w:pPr>
              <w:pStyle w:val="6"/>
              <w:spacing w:before="34" w:line="211" w:lineRule="auto"/>
              <w:ind w:left="278"/>
              <w:rPr>
                <w:sz w:val="20"/>
                <w:szCs w:val="20"/>
              </w:rPr>
            </w:pPr>
            <w:r>
              <w:rPr>
                <w:b/>
                <w:bCs/>
                <w:spacing w:val="7"/>
                <w:sz w:val="20"/>
                <w:szCs w:val="20"/>
              </w:rPr>
              <w:t>二级标准浓度限值</w:t>
            </w:r>
          </w:p>
        </w:tc>
        <w:tc>
          <w:tcPr>
            <w:tcW w:w="903" w:type="dxa"/>
            <w:tcBorders>
              <w:top w:val="single" w:color="000000" w:sz="10" w:space="0"/>
              <w:right w:val="nil"/>
            </w:tcBorders>
            <w:vAlign w:val="top"/>
          </w:tcPr>
          <w:p w14:paraId="1F1EFBE0">
            <w:pPr>
              <w:pStyle w:val="6"/>
              <w:spacing w:before="34" w:line="211" w:lineRule="auto"/>
              <w:ind w:left="251"/>
              <w:rPr>
                <w:sz w:val="20"/>
                <w:szCs w:val="20"/>
              </w:rPr>
            </w:pPr>
            <w:r>
              <w:rPr>
                <w:b/>
                <w:bCs/>
                <w:spacing w:val="3"/>
                <w:sz w:val="20"/>
                <w:szCs w:val="20"/>
              </w:rPr>
              <w:t>单位</w:t>
            </w:r>
          </w:p>
        </w:tc>
      </w:tr>
      <w:tr w14:paraId="34FBE8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2958" w:type="dxa"/>
            <w:tcBorders>
              <w:left w:val="nil"/>
            </w:tcBorders>
            <w:vAlign w:val="top"/>
          </w:tcPr>
          <w:p w14:paraId="302115E7">
            <w:pPr>
              <w:spacing w:before="78" w:line="189" w:lineRule="auto"/>
              <w:ind w:left="1287"/>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NH</w:t>
            </w:r>
            <w:r>
              <w:rPr>
                <w:rFonts w:ascii="Times New Roman" w:hAnsi="Times New Roman" w:eastAsia="Times New Roman" w:cs="Times New Roman"/>
                <w:spacing w:val="7"/>
                <w:position w:val="-1"/>
                <w:sz w:val="13"/>
                <w:szCs w:val="13"/>
              </w:rPr>
              <w:t>3</w:t>
            </w:r>
          </w:p>
        </w:tc>
        <w:tc>
          <w:tcPr>
            <w:tcW w:w="2987" w:type="dxa"/>
            <w:vAlign w:val="top"/>
          </w:tcPr>
          <w:p w14:paraId="7DDF6736">
            <w:pPr>
              <w:pStyle w:val="6"/>
              <w:spacing w:before="38" w:line="204" w:lineRule="auto"/>
              <w:ind w:left="1015"/>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18"/>
                <w:sz w:val="20"/>
                <w:szCs w:val="20"/>
              </w:rPr>
              <w:t xml:space="preserve"> </w:t>
            </w:r>
            <w:r>
              <w:rPr>
                <w:sz w:val="20"/>
                <w:szCs w:val="20"/>
              </w:rPr>
              <w:t>小时平均</w:t>
            </w:r>
          </w:p>
        </w:tc>
        <w:tc>
          <w:tcPr>
            <w:tcW w:w="2224" w:type="dxa"/>
            <w:vAlign w:val="top"/>
          </w:tcPr>
          <w:p w14:paraId="6C7E5109">
            <w:pPr>
              <w:spacing w:before="76" w:line="192" w:lineRule="auto"/>
              <w:ind w:left="95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903" w:type="dxa"/>
            <w:tcBorders>
              <w:right w:val="nil"/>
            </w:tcBorders>
            <w:vAlign w:val="top"/>
          </w:tcPr>
          <w:p w14:paraId="1204BC7E">
            <w:pPr>
              <w:spacing w:before="57" w:line="211" w:lineRule="auto"/>
              <w:ind w:left="210"/>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5"/>
                <w:sz w:val="13"/>
                <w:szCs w:val="13"/>
              </w:rPr>
              <w:t>3</w:t>
            </w:r>
          </w:p>
        </w:tc>
      </w:tr>
      <w:tr w14:paraId="706690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2" w:hRule="atLeast"/>
        </w:trPr>
        <w:tc>
          <w:tcPr>
            <w:tcW w:w="2958" w:type="dxa"/>
            <w:tcBorders>
              <w:left w:val="nil"/>
              <w:bottom w:val="single" w:color="000000" w:sz="10" w:space="0"/>
            </w:tcBorders>
            <w:vAlign w:val="top"/>
          </w:tcPr>
          <w:p w14:paraId="7D541389">
            <w:pPr>
              <w:pStyle w:val="6"/>
              <w:spacing w:before="48" w:line="216" w:lineRule="auto"/>
              <w:ind w:left="134"/>
              <w:rPr>
                <w:sz w:val="20"/>
                <w:szCs w:val="20"/>
              </w:rPr>
            </w:pPr>
            <w:r>
              <w:rPr>
                <w:spacing w:val="8"/>
                <w:sz w:val="20"/>
                <w:szCs w:val="20"/>
              </w:rPr>
              <w:t>锰及其化合物（以</w:t>
            </w:r>
            <w:r>
              <w:rPr>
                <w:spacing w:val="-39"/>
                <w:sz w:val="20"/>
                <w:szCs w:val="20"/>
              </w:rPr>
              <w:t xml:space="preserve"> </w:t>
            </w:r>
            <w:r>
              <w:rPr>
                <w:rFonts w:ascii="Times New Roman" w:hAnsi="Times New Roman" w:eastAsia="Times New Roman" w:cs="Times New Roman"/>
                <w:sz w:val="20"/>
                <w:szCs w:val="20"/>
              </w:rPr>
              <w:t>MnO</w:t>
            </w:r>
            <w:r>
              <w:rPr>
                <w:rFonts w:ascii="Times New Roman" w:hAnsi="Times New Roman" w:eastAsia="Times New Roman" w:cs="Times New Roman"/>
                <w:spacing w:val="8"/>
                <w:position w:val="-1"/>
                <w:sz w:val="13"/>
                <w:szCs w:val="13"/>
              </w:rPr>
              <w:t xml:space="preserve">2 </w:t>
            </w:r>
            <w:r>
              <w:rPr>
                <w:spacing w:val="8"/>
                <w:sz w:val="20"/>
                <w:szCs w:val="20"/>
              </w:rPr>
              <w:t>计）</w:t>
            </w:r>
          </w:p>
        </w:tc>
        <w:tc>
          <w:tcPr>
            <w:tcW w:w="2987" w:type="dxa"/>
            <w:tcBorders>
              <w:bottom w:val="single" w:color="000000" w:sz="10" w:space="0"/>
            </w:tcBorders>
            <w:vAlign w:val="top"/>
          </w:tcPr>
          <w:p w14:paraId="53DA1992">
            <w:pPr>
              <w:pStyle w:val="6"/>
              <w:spacing w:before="48" w:line="216" w:lineRule="auto"/>
              <w:ind w:left="1220"/>
              <w:rPr>
                <w:sz w:val="20"/>
                <w:szCs w:val="20"/>
              </w:rPr>
            </w:pPr>
            <w:r>
              <w:rPr>
                <w:spacing w:val="-6"/>
                <w:sz w:val="20"/>
                <w:szCs w:val="20"/>
              </w:rPr>
              <w:t>日平均</w:t>
            </w:r>
          </w:p>
        </w:tc>
        <w:tc>
          <w:tcPr>
            <w:tcW w:w="2224" w:type="dxa"/>
            <w:tcBorders>
              <w:bottom w:val="single" w:color="000000" w:sz="10" w:space="0"/>
            </w:tcBorders>
            <w:vAlign w:val="top"/>
          </w:tcPr>
          <w:p w14:paraId="04EA1603">
            <w:pPr>
              <w:spacing w:before="83" w:line="195" w:lineRule="auto"/>
              <w:ind w:left="102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903" w:type="dxa"/>
            <w:tcBorders>
              <w:bottom w:val="single" w:color="000000" w:sz="10" w:space="0"/>
              <w:right w:val="nil"/>
            </w:tcBorders>
            <w:vAlign w:val="top"/>
          </w:tcPr>
          <w:p w14:paraId="4C226655">
            <w:pPr>
              <w:spacing w:before="63" w:line="218" w:lineRule="auto"/>
              <w:ind w:left="210"/>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6"/>
                <w:sz w:val="13"/>
                <w:szCs w:val="13"/>
              </w:rPr>
              <w:t>3</w:t>
            </w:r>
          </w:p>
        </w:tc>
      </w:tr>
    </w:tbl>
    <w:p w14:paraId="28913146">
      <w:pPr>
        <w:spacing w:before="38" w:line="219" w:lineRule="auto"/>
        <w:ind w:left="484"/>
        <w:rPr>
          <w:rFonts w:ascii="宋体" w:hAnsi="宋体" w:eastAsia="宋体" w:cs="宋体"/>
          <w:sz w:val="24"/>
          <w:szCs w:val="24"/>
        </w:rPr>
      </w:pPr>
      <w:r>
        <w:rPr>
          <w:rFonts w:ascii="Times New Roman" w:hAnsi="Times New Roman" w:eastAsia="Times New Roman" w:cs="Times New Roman"/>
          <w:b/>
          <w:bCs/>
          <w:spacing w:val="-5"/>
          <w:sz w:val="24"/>
          <w:szCs w:val="24"/>
        </w:rPr>
        <w:t>2</w:t>
      </w:r>
      <w:r>
        <w:rPr>
          <w:rFonts w:ascii="Times New Roman" w:hAnsi="Times New Roman" w:eastAsia="Times New Roman" w:cs="Times New Roman"/>
          <w:b/>
          <w:bCs/>
          <w:spacing w:val="-28"/>
          <w:sz w:val="24"/>
          <w:szCs w:val="24"/>
        </w:rPr>
        <w:t xml:space="preserve"> </w:t>
      </w:r>
      <w:r>
        <w:rPr>
          <w:rFonts w:ascii="宋体" w:hAnsi="宋体" w:eastAsia="宋体" w:cs="宋体"/>
          <w:b/>
          <w:bCs/>
          <w:spacing w:val="-5"/>
          <w:sz w:val="24"/>
          <w:szCs w:val="24"/>
        </w:rPr>
        <w:t>、地下水环境质量标准</w:t>
      </w:r>
    </w:p>
    <w:p w14:paraId="24C535C8">
      <w:pPr>
        <w:spacing w:before="180" w:line="219" w:lineRule="auto"/>
        <w:ind w:left="488"/>
        <w:rPr>
          <w:rFonts w:ascii="宋体" w:hAnsi="宋体" w:eastAsia="宋体" w:cs="宋体"/>
          <w:sz w:val="24"/>
          <w:szCs w:val="24"/>
        </w:rPr>
      </w:pPr>
      <w:r>
        <w:rPr>
          <w:rFonts w:ascii="宋体" w:hAnsi="宋体" w:eastAsia="宋体" w:cs="宋体"/>
          <w:spacing w:val="-1"/>
          <w:sz w:val="24"/>
          <w:szCs w:val="24"/>
        </w:rPr>
        <w:t>地下水执行《地下水质量标准》（</w:t>
      </w:r>
      <w:r>
        <w:rPr>
          <w:rFonts w:ascii="Times New Roman" w:hAnsi="Times New Roman" w:eastAsia="Times New Roman" w:cs="Times New Roman"/>
          <w:spacing w:val="-1"/>
          <w:sz w:val="24"/>
          <w:szCs w:val="24"/>
        </w:rPr>
        <w:t>GB/T14848-2017</w:t>
      </w:r>
      <w:r>
        <w:rPr>
          <w:rFonts w:ascii="宋体" w:hAnsi="宋体" w:eastAsia="宋体" w:cs="宋体"/>
          <w:spacing w:val="-1"/>
          <w:sz w:val="24"/>
          <w:szCs w:val="24"/>
        </w:rPr>
        <w:t>）</w:t>
      </w:r>
      <w:r>
        <w:rPr>
          <w:rFonts w:ascii="Times New Roman" w:hAnsi="Times New Roman" w:eastAsia="Times New Roman" w:cs="Times New Roman"/>
          <w:spacing w:val="-1"/>
          <w:sz w:val="24"/>
          <w:szCs w:val="24"/>
        </w:rPr>
        <w:t>Ⅲ</w:t>
      </w:r>
      <w:r>
        <w:rPr>
          <w:rFonts w:ascii="宋体" w:hAnsi="宋体" w:eastAsia="宋体" w:cs="宋体"/>
          <w:spacing w:val="-1"/>
          <w:sz w:val="24"/>
          <w:szCs w:val="24"/>
        </w:rPr>
        <w:t>类标准，详见表</w:t>
      </w:r>
      <w:r>
        <w:rPr>
          <w:rFonts w:ascii="宋体" w:hAnsi="宋体" w:eastAsia="宋体" w:cs="宋体"/>
          <w:spacing w:val="-28"/>
          <w:sz w:val="24"/>
          <w:szCs w:val="24"/>
        </w:rPr>
        <w:t xml:space="preserve"> </w:t>
      </w:r>
      <w:r>
        <w:rPr>
          <w:rFonts w:ascii="Times New Roman" w:hAnsi="Times New Roman" w:eastAsia="Times New Roman" w:cs="Times New Roman"/>
          <w:spacing w:val="-1"/>
          <w:sz w:val="24"/>
          <w:szCs w:val="24"/>
        </w:rPr>
        <w:t>1.5-4</w:t>
      </w:r>
      <w:r>
        <w:rPr>
          <w:rFonts w:ascii="宋体" w:hAnsi="宋体" w:eastAsia="宋体" w:cs="宋体"/>
          <w:spacing w:val="-1"/>
          <w:sz w:val="24"/>
          <w:szCs w:val="24"/>
        </w:rPr>
        <w:t>。</w:t>
      </w:r>
    </w:p>
    <w:p w14:paraId="77F3CB8B">
      <w:pPr>
        <w:spacing w:before="178" w:line="228" w:lineRule="auto"/>
        <w:ind w:left="161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1"/>
          <w:sz w:val="20"/>
          <w:szCs w:val="20"/>
        </w:rPr>
        <w:t xml:space="preserve"> </w:t>
      </w:r>
      <w:r>
        <w:rPr>
          <w:rFonts w:ascii="Times New Roman" w:hAnsi="Times New Roman" w:eastAsia="Times New Roman" w:cs="Times New Roman"/>
          <w:b/>
          <w:bCs/>
          <w:spacing w:val="5"/>
          <w:sz w:val="20"/>
          <w:szCs w:val="20"/>
        </w:rPr>
        <w:t xml:space="preserve">1.5-4        </w:t>
      </w:r>
      <w:r>
        <w:rPr>
          <w:rFonts w:ascii="宋体" w:hAnsi="宋体" w:eastAsia="宋体" w:cs="宋体"/>
          <w:b/>
          <w:bCs/>
          <w:spacing w:val="5"/>
          <w:sz w:val="20"/>
          <w:szCs w:val="20"/>
        </w:rPr>
        <w:t>《地下水质量标准》（</w:t>
      </w:r>
      <w:r>
        <w:rPr>
          <w:rFonts w:ascii="Times New Roman" w:hAnsi="Times New Roman" w:eastAsia="Times New Roman" w:cs="Times New Roman"/>
          <w:b/>
          <w:bCs/>
          <w:sz w:val="20"/>
          <w:szCs w:val="20"/>
        </w:rPr>
        <w:t>GB</w:t>
      </w:r>
      <w:r>
        <w:rPr>
          <w:rFonts w:ascii="Times New Roman" w:hAnsi="Times New Roman" w:eastAsia="Times New Roman" w:cs="Times New Roman"/>
          <w:b/>
          <w:bCs/>
          <w:spacing w:val="5"/>
          <w:sz w:val="20"/>
          <w:szCs w:val="20"/>
        </w:rPr>
        <w:t>/T</w:t>
      </w:r>
      <w:r>
        <w:rPr>
          <w:rFonts w:ascii="Times New Roman" w:hAnsi="Times New Roman" w:eastAsia="Times New Roman" w:cs="Times New Roman"/>
          <w:b/>
          <w:bCs/>
          <w:spacing w:val="16"/>
          <w:w w:val="101"/>
          <w:sz w:val="20"/>
          <w:szCs w:val="20"/>
        </w:rPr>
        <w:t xml:space="preserve"> </w:t>
      </w:r>
      <w:r>
        <w:rPr>
          <w:rFonts w:ascii="Times New Roman" w:hAnsi="Times New Roman" w:eastAsia="Times New Roman" w:cs="Times New Roman"/>
          <w:b/>
          <w:bCs/>
          <w:spacing w:val="5"/>
          <w:sz w:val="20"/>
          <w:szCs w:val="20"/>
        </w:rPr>
        <w:t>14848-2017</w:t>
      </w:r>
      <w:r>
        <w:rPr>
          <w:rFonts w:ascii="宋体" w:hAnsi="宋体" w:eastAsia="宋体" w:cs="宋体"/>
          <w:b/>
          <w:bCs/>
          <w:spacing w:val="2"/>
          <w:sz w:val="20"/>
          <w:szCs w:val="20"/>
        </w:rPr>
        <w:t>）（</w:t>
      </w:r>
      <w:r>
        <w:rPr>
          <w:rFonts w:ascii="宋体" w:hAnsi="宋体" w:eastAsia="宋体" w:cs="宋体"/>
          <w:b/>
          <w:bCs/>
          <w:spacing w:val="5"/>
          <w:sz w:val="20"/>
          <w:szCs w:val="20"/>
        </w:rPr>
        <w:t>摘录）</w:t>
      </w:r>
    </w:p>
    <w:p w14:paraId="5EF432FD">
      <w:pPr>
        <w:spacing w:line="131"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5"/>
        <w:gridCol w:w="2723"/>
        <w:gridCol w:w="1167"/>
        <w:gridCol w:w="790"/>
        <w:gridCol w:w="2579"/>
        <w:gridCol w:w="1058"/>
      </w:tblGrid>
      <w:tr w14:paraId="1732B8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78" w:hRule="atLeast"/>
        </w:trPr>
        <w:tc>
          <w:tcPr>
            <w:tcW w:w="755" w:type="dxa"/>
            <w:tcBorders>
              <w:top w:val="single" w:color="000000" w:sz="10" w:space="0"/>
              <w:left w:val="nil"/>
            </w:tcBorders>
            <w:vAlign w:val="top"/>
          </w:tcPr>
          <w:p w14:paraId="77DDD950">
            <w:pPr>
              <w:pStyle w:val="6"/>
              <w:spacing w:before="37" w:line="213" w:lineRule="auto"/>
              <w:ind w:left="171"/>
              <w:rPr>
                <w:sz w:val="20"/>
                <w:szCs w:val="20"/>
              </w:rPr>
            </w:pPr>
            <w:r>
              <w:rPr>
                <w:b/>
                <w:bCs/>
                <w:spacing w:val="4"/>
                <w:sz w:val="20"/>
                <w:szCs w:val="20"/>
              </w:rPr>
              <w:t>序号</w:t>
            </w:r>
          </w:p>
        </w:tc>
        <w:tc>
          <w:tcPr>
            <w:tcW w:w="2723" w:type="dxa"/>
            <w:tcBorders>
              <w:top w:val="single" w:color="000000" w:sz="10" w:space="0"/>
            </w:tcBorders>
            <w:vAlign w:val="top"/>
          </w:tcPr>
          <w:p w14:paraId="42C4CB26">
            <w:pPr>
              <w:pStyle w:val="6"/>
              <w:spacing w:before="37" w:line="213" w:lineRule="auto"/>
              <w:ind w:left="1052"/>
              <w:rPr>
                <w:sz w:val="20"/>
                <w:szCs w:val="20"/>
              </w:rPr>
            </w:pPr>
            <w:r>
              <w:rPr>
                <w:b/>
                <w:bCs/>
                <w:spacing w:val="-4"/>
                <w:sz w:val="20"/>
                <w:szCs w:val="20"/>
              </w:rPr>
              <w:t>项</w:t>
            </w:r>
            <w:r>
              <w:rPr>
                <w:spacing w:val="29"/>
                <w:sz w:val="20"/>
                <w:szCs w:val="20"/>
              </w:rPr>
              <w:t xml:space="preserve">  </w:t>
            </w:r>
            <w:r>
              <w:rPr>
                <w:b/>
                <w:bCs/>
                <w:spacing w:val="-4"/>
                <w:sz w:val="20"/>
                <w:szCs w:val="20"/>
              </w:rPr>
              <w:t>目</w:t>
            </w:r>
          </w:p>
        </w:tc>
        <w:tc>
          <w:tcPr>
            <w:tcW w:w="1167" w:type="dxa"/>
            <w:tcBorders>
              <w:top w:val="single" w:color="000000" w:sz="10" w:space="0"/>
            </w:tcBorders>
            <w:vAlign w:val="top"/>
          </w:tcPr>
          <w:p w14:paraId="4DD81E7D">
            <w:pPr>
              <w:pStyle w:val="6"/>
              <w:spacing w:before="37" w:line="213" w:lineRule="auto"/>
              <w:ind w:left="273"/>
              <w:rPr>
                <w:sz w:val="20"/>
                <w:szCs w:val="20"/>
              </w:rPr>
            </w:pPr>
            <w:r>
              <w:rPr>
                <w:b/>
                <w:bCs/>
                <w:spacing w:val="5"/>
                <w:sz w:val="20"/>
                <w:szCs w:val="20"/>
              </w:rPr>
              <w:t>标准值</w:t>
            </w:r>
          </w:p>
        </w:tc>
        <w:tc>
          <w:tcPr>
            <w:tcW w:w="790" w:type="dxa"/>
            <w:tcBorders>
              <w:top w:val="single" w:color="000000" w:sz="10" w:space="0"/>
            </w:tcBorders>
            <w:vAlign w:val="top"/>
          </w:tcPr>
          <w:p w14:paraId="2391DA9F">
            <w:pPr>
              <w:pStyle w:val="6"/>
              <w:spacing w:before="37" w:line="213" w:lineRule="auto"/>
              <w:ind w:left="187"/>
              <w:rPr>
                <w:sz w:val="20"/>
                <w:szCs w:val="20"/>
              </w:rPr>
            </w:pPr>
            <w:r>
              <w:rPr>
                <w:b/>
                <w:bCs/>
                <w:spacing w:val="4"/>
                <w:sz w:val="20"/>
                <w:szCs w:val="20"/>
              </w:rPr>
              <w:t>序号</w:t>
            </w:r>
          </w:p>
        </w:tc>
        <w:tc>
          <w:tcPr>
            <w:tcW w:w="2579" w:type="dxa"/>
            <w:tcBorders>
              <w:top w:val="single" w:color="000000" w:sz="10" w:space="0"/>
            </w:tcBorders>
            <w:vAlign w:val="top"/>
          </w:tcPr>
          <w:p w14:paraId="579A035F">
            <w:pPr>
              <w:pStyle w:val="6"/>
              <w:spacing w:before="37" w:line="213" w:lineRule="auto"/>
              <w:ind w:left="1088"/>
              <w:rPr>
                <w:sz w:val="20"/>
                <w:szCs w:val="20"/>
              </w:rPr>
            </w:pPr>
            <w:r>
              <w:rPr>
                <w:b/>
                <w:bCs/>
                <w:spacing w:val="2"/>
                <w:sz w:val="20"/>
                <w:szCs w:val="20"/>
              </w:rPr>
              <w:t>项目</w:t>
            </w:r>
          </w:p>
        </w:tc>
        <w:tc>
          <w:tcPr>
            <w:tcW w:w="1058" w:type="dxa"/>
            <w:tcBorders>
              <w:top w:val="single" w:color="000000" w:sz="10" w:space="0"/>
              <w:right w:val="nil"/>
            </w:tcBorders>
            <w:vAlign w:val="top"/>
          </w:tcPr>
          <w:p w14:paraId="6896114A">
            <w:pPr>
              <w:pStyle w:val="6"/>
              <w:spacing w:before="37" w:line="213" w:lineRule="auto"/>
              <w:ind w:left="221"/>
              <w:rPr>
                <w:sz w:val="20"/>
                <w:szCs w:val="20"/>
              </w:rPr>
            </w:pPr>
            <w:r>
              <w:rPr>
                <w:b/>
                <w:bCs/>
                <w:spacing w:val="5"/>
                <w:sz w:val="20"/>
                <w:szCs w:val="20"/>
              </w:rPr>
              <w:t>标准值</w:t>
            </w:r>
          </w:p>
        </w:tc>
      </w:tr>
      <w:tr w14:paraId="12B828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55" w:type="dxa"/>
            <w:tcBorders>
              <w:left w:val="nil"/>
            </w:tcBorders>
            <w:vAlign w:val="top"/>
          </w:tcPr>
          <w:p w14:paraId="3E26B106">
            <w:pPr>
              <w:spacing w:before="65" w:line="195" w:lineRule="auto"/>
              <w:ind w:left="347"/>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723" w:type="dxa"/>
            <w:vAlign w:val="top"/>
          </w:tcPr>
          <w:p w14:paraId="19D9D171">
            <w:pPr>
              <w:pStyle w:val="6"/>
              <w:spacing w:before="30" w:line="212" w:lineRule="auto"/>
              <w:ind w:left="705"/>
              <w:rPr>
                <w:sz w:val="20"/>
                <w:szCs w:val="20"/>
              </w:rPr>
            </w:pPr>
            <w:r>
              <w:rPr>
                <w:rFonts w:ascii="Times New Roman" w:hAnsi="Times New Roman" w:eastAsia="Times New Roman" w:cs="Times New Roman"/>
                <w:sz w:val="20"/>
                <w:szCs w:val="20"/>
              </w:rPr>
              <w:t>pH</w:t>
            </w:r>
            <w:r>
              <w:rPr>
                <w:spacing w:val="10"/>
                <w:sz w:val="20"/>
                <w:szCs w:val="20"/>
              </w:rPr>
              <w:t>（无量纲）</w:t>
            </w:r>
          </w:p>
        </w:tc>
        <w:tc>
          <w:tcPr>
            <w:tcW w:w="1167" w:type="dxa"/>
            <w:vAlign w:val="top"/>
          </w:tcPr>
          <w:p w14:paraId="3CE3FCE8">
            <w:pPr>
              <w:spacing w:before="65" w:line="195" w:lineRule="auto"/>
              <w:ind w:left="2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6.5~8.5</w:t>
            </w:r>
          </w:p>
        </w:tc>
        <w:tc>
          <w:tcPr>
            <w:tcW w:w="790" w:type="dxa"/>
            <w:vAlign w:val="top"/>
          </w:tcPr>
          <w:p w14:paraId="64BB5D7A">
            <w:pPr>
              <w:spacing w:before="65" w:line="195" w:lineRule="auto"/>
              <w:ind w:left="31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2579" w:type="dxa"/>
            <w:vAlign w:val="top"/>
          </w:tcPr>
          <w:p w14:paraId="6832F7D1">
            <w:pPr>
              <w:pStyle w:val="6"/>
              <w:spacing w:before="30" w:line="212" w:lineRule="auto"/>
              <w:ind w:left="227"/>
              <w:rPr>
                <w:sz w:val="20"/>
                <w:szCs w:val="20"/>
              </w:rPr>
            </w:pPr>
            <w:r>
              <w:rPr>
                <w:spacing w:val="6"/>
                <w:sz w:val="20"/>
                <w:szCs w:val="20"/>
              </w:rPr>
              <w:t>总硬度（以</w:t>
            </w:r>
            <w:r>
              <w:rPr>
                <w:spacing w:val="-34"/>
                <w:sz w:val="20"/>
                <w:szCs w:val="20"/>
              </w:rPr>
              <w:t xml:space="preserve"> </w:t>
            </w:r>
            <w:r>
              <w:rPr>
                <w:rFonts w:ascii="Times New Roman" w:hAnsi="Times New Roman" w:eastAsia="Times New Roman" w:cs="Times New Roman"/>
                <w:sz w:val="20"/>
                <w:szCs w:val="20"/>
              </w:rPr>
              <w:t>CaCO</w:t>
            </w:r>
            <w:r>
              <w:rPr>
                <w:rFonts w:ascii="Times New Roman" w:hAnsi="Times New Roman" w:eastAsia="Times New Roman" w:cs="Times New Roman"/>
                <w:spacing w:val="6"/>
                <w:position w:val="-1"/>
                <w:sz w:val="13"/>
                <w:szCs w:val="13"/>
              </w:rPr>
              <w:t>3</w:t>
            </w:r>
            <w:r>
              <w:rPr>
                <w:rFonts w:ascii="Times New Roman" w:hAnsi="Times New Roman" w:eastAsia="Times New Roman" w:cs="Times New Roman"/>
                <w:spacing w:val="10"/>
                <w:w w:val="102"/>
                <w:position w:val="-1"/>
                <w:sz w:val="13"/>
                <w:szCs w:val="13"/>
              </w:rPr>
              <w:t xml:space="preserve"> </w:t>
            </w:r>
            <w:r>
              <w:rPr>
                <w:spacing w:val="6"/>
                <w:sz w:val="20"/>
                <w:szCs w:val="20"/>
              </w:rPr>
              <w:t>计）</w:t>
            </w:r>
          </w:p>
        </w:tc>
        <w:tc>
          <w:tcPr>
            <w:tcW w:w="1058" w:type="dxa"/>
            <w:tcBorders>
              <w:right w:val="nil"/>
            </w:tcBorders>
            <w:vAlign w:val="top"/>
          </w:tcPr>
          <w:p w14:paraId="69012259">
            <w:pPr>
              <w:spacing w:before="66" w:line="195"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≤450</w:t>
            </w:r>
          </w:p>
        </w:tc>
      </w:tr>
      <w:tr w14:paraId="30D09F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55" w:type="dxa"/>
            <w:tcBorders>
              <w:left w:val="nil"/>
            </w:tcBorders>
            <w:vAlign w:val="top"/>
          </w:tcPr>
          <w:p w14:paraId="52E47F70">
            <w:pPr>
              <w:spacing w:before="69" w:line="195"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723" w:type="dxa"/>
            <w:vAlign w:val="top"/>
          </w:tcPr>
          <w:p w14:paraId="74F64B76">
            <w:pPr>
              <w:pStyle w:val="6"/>
              <w:spacing w:before="33" w:line="209" w:lineRule="auto"/>
              <w:ind w:left="608"/>
              <w:rPr>
                <w:sz w:val="20"/>
                <w:szCs w:val="20"/>
              </w:rPr>
            </w:pPr>
            <w:r>
              <w:rPr>
                <w:spacing w:val="6"/>
                <w:sz w:val="20"/>
                <w:szCs w:val="20"/>
              </w:rPr>
              <w:t>氨氮（以</w:t>
            </w:r>
            <w:r>
              <w:rPr>
                <w:spacing w:val="-46"/>
                <w:sz w:val="20"/>
                <w:szCs w:val="20"/>
              </w:rPr>
              <w:t xml:space="preserve"> </w:t>
            </w:r>
            <w:r>
              <w:rPr>
                <w:rFonts w:ascii="Times New Roman" w:hAnsi="Times New Roman" w:eastAsia="Times New Roman" w:cs="Times New Roman"/>
                <w:spacing w:val="6"/>
                <w:sz w:val="20"/>
                <w:szCs w:val="20"/>
              </w:rPr>
              <w:t xml:space="preserve">N </w:t>
            </w:r>
            <w:r>
              <w:rPr>
                <w:spacing w:val="6"/>
                <w:sz w:val="20"/>
                <w:szCs w:val="20"/>
              </w:rPr>
              <w:t>计）</w:t>
            </w:r>
          </w:p>
        </w:tc>
        <w:tc>
          <w:tcPr>
            <w:tcW w:w="1167" w:type="dxa"/>
            <w:vAlign w:val="top"/>
          </w:tcPr>
          <w:p w14:paraId="5CC8114D">
            <w:pPr>
              <w:spacing w:before="69" w:line="195" w:lineRule="auto"/>
              <w:ind w:left="3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≤0.5</w:t>
            </w:r>
          </w:p>
        </w:tc>
        <w:tc>
          <w:tcPr>
            <w:tcW w:w="790" w:type="dxa"/>
            <w:vAlign w:val="top"/>
          </w:tcPr>
          <w:p w14:paraId="01F1DF15">
            <w:pPr>
              <w:spacing w:before="69" w:line="195" w:lineRule="auto"/>
              <w:ind w:left="31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16</w:t>
            </w:r>
          </w:p>
        </w:tc>
        <w:tc>
          <w:tcPr>
            <w:tcW w:w="2579" w:type="dxa"/>
            <w:vAlign w:val="top"/>
          </w:tcPr>
          <w:p w14:paraId="032A1F5C">
            <w:pPr>
              <w:pStyle w:val="6"/>
              <w:spacing w:before="33" w:line="209" w:lineRule="auto"/>
              <w:ind w:left="983"/>
              <w:rPr>
                <w:sz w:val="20"/>
                <w:szCs w:val="20"/>
              </w:rPr>
            </w:pPr>
            <w:r>
              <w:rPr>
                <w:spacing w:val="5"/>
                <w:sz w:val="20"/>
                <w:szCs w:val="20"/>
              </w:rPr>
              <w:t>氯化物</w:t>
            </w:r>
          </w:p>
        </w:tc>
        <w:tc>
          <w:tcPr>
            <w:tcW w:w="1058" w:type="dxa"/>
            <w:tcBorders>
              <w:right w:val="nil"/>
            </w:tcBorders>
            <w:vAlign w:val="top"/>
          </w:tcPr>
          <w:p w14:paraId="22D5F5A5">
            <w:pPr>
              <w:spacing w:before="69" w:line="195"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≤250</w:t>
            </w:r>
          </w:p>
        </w:tc>
      </w:tr>
      <w:tr w14:paraId="5EF56E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55" w:type="dxa"/>
            <w:tcBorders>
              <w:left w:val="nil"/>
            </w:tcBorders>
            <w:vAlign w:val="top"/>
          </w:tcPr>
          <w:p w14:paraId="57EF9665">
            <w:pPr>
              <w:spacing w:before="70" w:line="195" w:lineRule="auto"/>
              <w:ind w:left="331"/>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723" w:type="dxa"/>
            <w:vAlign w:val="top"/>
          </w:tcPr>
          <w:p w14:paraId="4DCECCD9">
            <w:pPr>
              <w:pStyle w:val="6"/>
              <w:spacing w:before="34" w:line="209" w:lineRule="auto"/>
              <w:ind w:left="504"/>
              <w:rPr>
                <w:sz w:val="20"/>
                <w:szCs w:val="20"/>
              </w:rPr>
            </w:pPr>
            <w:r>
              <w:rPr>
                <w:spacing w:val="6"/>
                <w:sz w:val="20"/>
                <w:szCs w:val="20"/>
              </w:rPr>
              <w:t>硝酸盐（以</w:t>
            </w:r>
            <w:r>
              <w:rPr>
                <w:spacing w:val="-43"/>
                <w:sz w:val="20"/>
                <w:szCs w:val="20"/>
              </w:rPr>
              <w:t xml:space="preserve"> </w:t>
            </w:r>
            <w:r>
              <w:rPr>
                <w:rFonts w:ascii="Times New Roman" w:hAnsi="Times New Roman" w:eastAsia="Times New Roman" w:cs="Times New Roman"/>
                <w:spacing w:val="6"/>
                <w:sz w:val="20"/>
                <w:szCs w:val="20"/>
              </w:rPr>
              <w:t xml:space="preserve">N </w:t>
            </w:r>
            <w:r>
              <w:rPr>
                <w:spacing w:val="6"/>
                <w:sz w:val="20"/>
                <w:szCs w:val="20"/>
              </w:rPr>
              <w:t>计）</w:t>
            </w:r>
          </w:p>
        </w:tc>
        <w:tc>
          <w:tcPr>
            <w:tcW w:w="1167" w:type="dxa"/>
            <w:vAlign w:val="top"/>
          </w:tcPr>
          <w:p w14:paraId="5B2F65C1">
            <w:pPr>
              <w:spacing w:before="70" w:line="195" w:lineRule="auto"/>
              <w:ind w:left="42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w:t>
            </w:r>
          </w:p>
        </w:tc>
        <w:tc>
          <w:tcPr>
            <w:tcW w:w="790" w:type="dxa"/>
            <w:vAlign w:val="top"/>
          </w:tcPr>
          <w:p w14:paraId="377045C9">
            <w:pPr>
              <w:spacing w:before="70" w:line="195" w:lineRule="auto"/>
              <w:ind w:left="31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17</w:t>
            </w:r>
          </w:p>
        </w:tc>
        <w:tc>
          <w:tcPr>
            <w:tcW w:w="2579" w:type="dxa"/>
            <w:vAlign w:val="top"/>
          </w:tcPr>
          <w:p w14:paraId="2DDCEF06">
            <w:pPr>
              <w:pStyle w:val="6"/>
              <w:spacing w:before="34" w:line="209" w:lineRule="auto"/>
              <w:ind w:left="980"/>
              <w:rPr>
                <w:sz w:val="20"/>
                <w:szCs w:val="20"/>
              </w:rPr>
            </w:pPr>
            <w:r>
              <w:rPr>
                <w:spacing w:val="6"/>
                <w:sz w:val="20"/>
                <w:szCs w:val="20"/>
              </w:rPr>
              <w:t>氟化物</w:t>
            </w:r>
          </w:p>
        </w:tc>
        <w:tc>
          <w:tcPr>
            <w:tcW w:w="1058" w:type="dxa"/>
            <w:tcBorders>
              <w:right w:val="nil"/>
            </w:tcBorders>
            <w:vAlign w:val="top"/>
          </w:tcPr>
          <w:p w14:paraId="61D9C634">
            <w:pPr>
              <w:spacing w:before="70" w:line="195" w:lineRule="auto"/>
              <w:ind w:left="3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w:t>
            </w:r>
          </w:p>
        </w:tc>
      </w:tr>
      <w:tr w14:paraId="3800E2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55" w:type="dxa"/>
            <w:tcBorders>
              <w:left w:val="nil"/>
            </w:tcBorders>
            <w:vAlign w:val="top"/>
          </w:tcPr>
          <w:p w14:paraId="0FF85CA9">
            <w:pPr>
              <w:spacing w:before="72" w:line="195" w:lineRule="auto"/>
              <w:ind w:left="32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723" w:type="dxa"/>
            <w:vAlign w:val="top"/>
          </w:tcPr>
          <w:p w14:paraId="15D6B155">
            <w:pPr>
              <w:pStyle w:val="6"/>
              <w:spacing w:before="36" w:line="206" w:lineRule="auto"/>
              <w:ind w:left="400"/>
              <w:rPr>
                <w:sz w:val="20"/>
                <w:szCs w:val="20"/>
              </w:rPr>
            </w:pPr>
            <w:r>
              <w:rPr>
                <w:spacing w:val="6"/>
                <w:sz w:val="20"/>
                <w:szCs w:val="20"/>
              </w:rPr>
              <w:t>亚硝酸盐（以</w:t>
            </w:r>
            <w:r>
              <w:rPr>
                <w:spacing w:val="-42"/>
                <w:sz w:val="20"/>
                <w:szCs w:val="20"/>
              </w:rPr>
              <w:t xml:space="preserve"> </w:t>
            </w:r>
            <w:r>
              <w:rPr>
                <w:rFonts w:ascii="Times New Roman" w:hAnsi="Times New Roman" w:eastAsia="Times New Roman" w:cs="Times New Roman"/>
                <w:spacing w:val="6"/>
                <w:sz w:val="20"/>
                <w:szCs w:val="20"/>
              </w:rPr>
              <w:t xml:space="preserve">N </w:t>
            </w:r>
            <w:r>
              <w:rPr>
                <w:spacing w:val="6"/>
                <w:sz w:val="20"/>
                <w:szCs w:val="20"/>
              </w:rPr>
              <w:t>计）</w:t>
            </w:r>
          </w:p>
        </w:tc>
        <w:tc>
          <w:tcPr>
            <w:tcW w:w="1167" w:type="dxa"/>
            <w:vAlign w:val="top"/>
          </w:tcPr>
          <w:p w14:paraId="5813D400">
            <w:pPr>
              <w:spacing w:before="73" w:line="195" w:lineRule="auto"/>
              <w:ind w:left="3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w:t>
            </w:r>
          </w:p>
        </w:tc>
        <w:tc>
          <w:tcPr>
            <w:tcW w:w="790" w:type="dxa"/>
            <w:vAlign w:val="top"/>
          </w:tcPr>
          <w:p w14:paraId="1F72EB14">
            <w:pPr>
              <w:spacing w:before="72" w:line="195" w:lineRule="auto"/>
              <w:ind w:left="31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18</w:t>
            </w:r>
          </w:p>
        </w:tc>
        <w:tc>
          <w:tcPr>
            <w:tcW w:w="2579" w:type="dxa"/>
            <w:vAlign w:val="top"/>
          </w:tcPr>
          <w:p w14:paraId="3ABCDEDB">
            <w:pPr>
              <w:pStyle w:val="6"/>
              <w:spacing w:before="36" w:line="206" w:lineRule="auto"/>
              <w:ind w:left="979"/>
              <w:rPr>
                <w:sz w:val="20"/>
                <w:szCs w:val="20"/>
              </w:rPr>
            </w:pPr>
            <w:r>
              <w:rPr>
                <w:spacing w:val="7"/>
                <w:sz w:val="20"/>
                <w:szCs w:val="20"/>
              </w:rPr>
              <w:t>氰化物</w:t>
            </w:r>
          </w:p>
        </w:tc>
        <w:tc>
          <w:tcPr>
            <w:tcW w:w="1058" w:type="dxa"/>
            <w:tcBorders>
              <w:right w:val="nil"/>
            </w:tcBorders>
            <w:vAlign w:val="top"/>
          </w:tcPr>
          <w:p w14:paraId="138E0183">
            <w:pPr>
              <w:spacing w:before="73"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≤0.05</w:t>
            </w:r>
          </w:p>
        </w:tc>
      </w:tr>
      <w:tr w14:paraId="1077B5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55" w:type="dxa"/>
            <w:tcBorders>
              <w:left w:val="nil"/>
            </w:tcBorders>
            <w:vAlign w:val="top"/>
          </w:tcPr>
          <w:p w14:paraId="0A536294">
            <w:pPr>
              <w:spacing w:before="76" w:line="191" w:lineRule="auto"/>
              <w:ind w:left="333"/>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723" w:type="dxa"/>
            <w:vAlign w:val="top"/>
          </w:tcPr>
          <w:p w14:paraId="28B89331">
            <w:pPr>
              <w:pStyle w:val="6"/>
              <w:spacing w:before="37" w:line="205" w:lineRule="auto"/>
              <w:ind w:left="211"/>
              <w:rPr>
                <w:sz w:val="20"/>
                <w:szCs w:val="20"/>
              </w:rPr>
            </w:pPr>
            <w:r>
              <w:rPr>
                <w:spacing w:val="8"/>
                <w:sz w:val="20"/>
                <w:szCs w:val="20"/>
              </w:rPr>
              <w:t>挥发性酚类（以苯酚计）</w:t>
            </w:r>
          </w:p>
        </w:tc>
        <w:tc>
          <w:tcPr>
            <w:tcW w:w="1167" w:type="dxa"/>
            <w:vAlign w:val="top"/>
          </w:tcPr>
          <w:p w14:paraId="523CBEFC">
            <w:pPr>
              <w:spacing w:before="74" w:line="194"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≤0.002</w:t>
            </w:r>
          </w:p>
        </w:tc>
        <w:tc>
          <w:tcPr>
            <w:tcW w:w="790" w:type="dxa"/>
            <w:vAlign w:val="top"/>
          </w:tcPr>
          <w:p w14:paraId="1108B4BE">
            <w:pPr>
              <w:spacing w:before="74" w:line="194" w:lineRule="auto"/>
              <w:ind w:left="31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19</w:t>
            </w:r>
          </w:p>
        </w:tc>
        <w:tc>
          <w:tcPr>
            <w:tcW w:w="2579" w:type="dxa"/>
            <w:vAlign w:val="top"/>
          </w:tcPr>
          <w:p w14:paraId="19912901">
            <w:pPr>
              <w:pStyle w:val="6"/>
              <w:spacing w:before="37" w:line="205" w:lineRule="auto"/>
              <w:ind w:left="979"/>
              <w:rPr>
                <w:sz w:val="20"/>
                <w:szCs w:val="20"/>
              </w:rPr>
            </w:pPr>
            <w:r>
              <w:rPr>
                <w:spacing w:val="7"/>
                <w:sz w:val="20"/>
                <w:szCs w:val="20"/>
              </w:rPr>
              <w:t>硫酸盐</w:t>
            </w:r>
          </w:p>
        </w:tc>
        <w:tc>
          <w:tcPr>
            <w:tcW w:w="1058" w:type="dxa"/>
            <w:tcBorders>
              <w:right w:val="nil"/>
            </w:tcBorders>
            <w:vAlign w:val="top"/>
          </w:tcPr>
          <w:p w14:paraId="15E29268">
            <w:pPr>
              <w:spacing w:before="74" w:line="194"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≤250</w:t>
            </w:r>
          </w:p>
        </w:tc>
      </w:tr>
      <w:tr w14:paraId="6B2985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55" w:type="dxa"/>
            <w:tcBorders>
              <w:left w:val="nil"/>
            </w:tcBorders>
            <w:vAlign w:val="top"/>
          </w:tcPr>
          <w:p w14:paraId="59E8FEDD">
            <w:pPr>
              <w:spacing w:before="76" w:line="191" w:lineRule="auto"/>
              <w:ind w:left="331"/>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723" w:type="dxa"/>
            <w:vAlign w:val="top"/>
          </w:tcPr>
          <w:p w14:paraId="06ECEA34">
            <w:pPr>
              <w:pStyle w:val="6"/>
              <w:spacing w:before="41" w:line="202" w:lineRule="auto"/>
              <w:ind w:left="1052"/>
              <w:rPr>
                <w:sz w:val="20"/>
                <w:szCs w:val="20"/>
              </w:rPr>
            </w:pPr>
            <w:r>
              <w:rPr>
                <w:spacing w:val="6"/>
                <w:sz w:val="20"/>
                <w:szCs w:val="20"/>
              </w:rPr>
              <w:t>耗氧量</w:t>
            </w:r>
          </w:p>
        </w:tc>
        <w:tc>
          <w:tcPr>
            <w:tcW w:w="1167" w:type="dxa"/>
            <w:vAlign w:val="top"/>
          </w:tcPr>
          <w:p w14:paraId="24D232AA">
            <w:pPr>
              <w:spacing w:before="76" w:line="191" w:lineRule="auto"/>
              <w:ind w:left="3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w:t>
            </w:r>
          </w:p>
        </w:tc>
        <w:tc>
          <w:tcPr>
            <w:tcW w:w="790" w:type="dxa"/>
            <w:vAlign w:val="top"/>
          </w:tcPr>
          <w:p w14:paraId="72731457">
            <w:pPr>
              <w:spacing w:before="76" w:line="191"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2579" w:type="dxa"/>
            <w:vAlign w:val="top"/>
          </w:tcPr>
          <w:p w14:paraId="6DCCAE81">
            <w:pPr>
              <w:pStyle w:val="6"/>
              <w:spacing w:before="41" w:line="202" w:lineRule="auto"/>
              <w:ind w:left="668"/>
              <w:rPr>
                <w:sz w:val="20"/>
                <w:szCs w:val="20"/>
              </w:rPr>
            </w:pPr>
            <w:r>
              <w:rPr>
                <w:spacing w:val="7"/>
                <w:sz w:val="20"/>
                <w:szCs w:val="20"/>
              </w:rPr>
              <w:t>溶解性总固体</w:t>
            </w:r>
          </w:p>
        </w:tc>
        <w:tc>
          <w:tcPr>
            <w:tcW w:w="1058" w:type="dxa"/>
            <w:tcBorders>
              <w:right w:val="nil"/>
            </w:tcBorders>
            <w:vAlign w:val="top"/>
          </w:tcPr>
          <w:p w14:paraId="59022A00">
            <w:pPr>
              <w:spacing w:before="76" w:line="191" w:lineRule="auto"/>
              <w:ind w:left="26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≤1000</w:t>
            </w:r>
          </w:p>
        </w:tc>
      </w:tr>
      <w:tr w14:paraId="20CD9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55" w:type="dxa"/>
            <w:tcBorders>
              <w:left w:val="nil"/>
            </w:tcBorders>
            <w:vAlign w:val="top"/>
          </w:tcPr>
          <w:p w14:paraId="097B1504">
            <w:pPr>
              <w:spacing w:before="83" w:line="184" w:lineRule="auto"/>
              <w:ind w:left="330"/>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723" w:type="dxa"/>
            <w:vAlign w:val="top"/>
          </w:tcPr>
          <w:p w14:paraId="6BC071BF">
            <w:pPr>
              <w:pStyle w:val="6"/>
              <w:spacing w:before="44" w:line="199" w:lineRule="auto"/>
              <w:ind w:left="1259"/>
              <w:rPr>
                <w:sz w:val="20"/>
                <w:szCs w:val="20"/>
              </w:rPr>
            </w:pPr>
            <w:r>
              <w:rPr>
                <w:spacing w:val="1"/>
                <w:sz w:val="20"/>
                <w:szCs w:val="20"/>
              </w:rPr>
              <w:t>砷</w:t>
            </w:r>
          </w:p>
        </w:tc>
        <w:tc>
          <w:tcPr>
            <w:tcW w:w="1167" w:type="dxa"/>
            <w:vAlign w:val="top"/>
          </w:tcPr>
          <w:p w14:paraId="78A6B8B2">
            <w:pPr>
              <w:spacing w:before="80" w:line="187" w:lineRule="auto"/>
              <w:ind w:left="3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≤0.01</w:t>
            </w:r>
          </w:p>
        </w:tc>
        <w:tc>
          <w:tcPr>
            <w:tcW w:w="790" w:type="dxa"/>
            <w:vAlign w:val="top"/>
          </w:tcPr>
          <w:p w14:paraId="447AF9AA">
            <w:pPr>
              <w:spacing w:before="80" w:line="187"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21</w:t>
            </w:r>
          </w:p>
        </w:tc>
        <w:tc>
          <w:tcPr>
            <w:tcW w:w="2579" w:type="dxa"/>
            <w:vAlign w:val="top"/>
          </w:tcPr>
          <w:p w14:paraId="57A2AD95">
            <w:pPr>
              <w:pStyle w:val="6"/>
              <w:spacing w:before="44" w:line="199" w:lineRule="auto"/>
              <w:ind w:left="136"/>
              <w:rPr>
                <w:rFonts w:ascii="Times New Roman" w:hAnsi="Times New Roman" w:eastAsia="Times New Roman" w:cs="Times New Roman"/>
                <w:sz w:val="20"/>
                <w:szCs w:val="20"/>
              </w:rPr>
            </w:pPr>
            <w:r>
              <w:rPr>
                <w:spacing w:val="9"/>
                <w:sz w:val="20"/>
                <w:szCs w:val="20"/>
              </w:rPr>
              <w:t>总大肠菌群，</w:t>
            </w:r>
            <w:r>
              <w:rPr>
                <w:rFonts w:ascii="Times New Roman" w:hAnsi="Times New Roman" w:eastAsia="Times New Roman" w:cs="Times New Roman"/>
                <w:sz w:val="20"/>
                <w:szCs w:val="20"/>
              </w:rPr>
              <w:t>CFU</w:t>
            </w:r>
            <w:r>
              <w:rPr>
                <w:rFonts w:ascii="Times New Roman" w:hAnsi="Times New Roman" w:eastAsia="Times New Roman" w:cs="Times New Roman"/>
                <w:spacing w:val="9"/>
                <w:sz w:val="20"/>
                <w:szCs w:val="20"/>
              </w:rPr>
              <w:t>/100</w:t>
            </w:r>
            <w:r>
              <w:rPr>
                <w:rFonts w:ascii="Times New Roman" w:hAnsi="Times New Roman" w:eastAsia="Times New Roman" w:cs="Times New Roman"/>
                <w:sz w:val="20"/>
                <w:szCs w:val="20"/>
              </w:rPr>
              <w:t>mL</w:t>
            </w:r>
          </w:p>
        </w:tc>
        <w:tc>
          <w:tcPr>
            <w:tcW w:w="1058" w:type="dxa"/>
            <w:tcBorders>
              <w:right w:val="nil"/>
            </w:tcBorders>
            <w:vAlign w:val="top"/>
          </w:tcPr>
          <w:p w14:paraId="140550EF">
            <w:pPr>
              <w:spacing w:before="80" w:line="187" w:lineRule="auto"/>
              <w:ind w:left="3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w:t>
            </w:r>
          </w:p>
        </w:tc>
      </w:tr>
      <w:tr w14:paraId="6EE6BD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55" w:type="dxa"/>
            <w:tcBorders>
              <w:left w:val="nil"/>
            </w:tcBorders>
            <w:vAlign w:val="top"/>
          </w:tcPr>
          <w:p w14:paraId="3EFBCF74">
            <w:pPr>
              <w:spacing w:before="81" w:line="186" w:lineRule="auto"/>
              <w:ind w:left="335"/>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723" w:type="dxa"/>
            <w:vAlign w:val="top"/>
          </w:tcPr>
          <w:p w14:paraId="56DE4B13">
            <w:pPr>
              <w:pStyle w:val="6"/>
              <w:spacing w:before="45" w:line="198" w:lineRule="auto"/>
              <w:ind w:left="1261"/>
              <w:rPr>
                <w:sz w:val="20"/>
                <w:szCs w:val="20"/>
              </w:rPr>
            </w:pPr>
            <w:r>
              <w:rPr>
                <w:sz w:val="20"/>
                <w:szCs w:val="20"/>
              </w:rPr>
              <w:t>汞</w:t>
            </w:r>
          </w:p>
        </w:tc>
        <w:tc>
          <w:tcPr>
            <w:tcW w:w="1167" w:type="dxa"/>
            <w:vAlign w:val="top"/>
          </w:tcPr>
          <w:p w14:paraId="3D515559">
            <w:pPr>
              <w:spacing w:before="81" w:line="186"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≤0.001</w:t>
            </w:r>
          </w:p>
        </w:tc>
        <w:tc>
          <w:tcPr>
            <w:tcW w:w="790" w:type="dxa"/>
            <w:vAlign w:val="top"/>
          </w:tcPr>
          <w:p w14:paraId="3188D735">
            <w:pPr>
              <w:spacing w:before="81" w:line="186"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2579" w:type="dxa"/>
            <w:vAlign w:val="top"/>
          </w:tcPr>
          <w:p w14:paraId="1BB23301">
            <w:pPr>
              <w:pStyle w:val="6"/>
              <w:spacing w:before="45" w:line="198" w:lineRule="auto"/>
              <w:ind w:left="237"/>
              <w:rPr>
                <w:rFonts w:ascii="Times New Roman" w:hAnsi="Times New Roman" w:eastAsia="Times New Roman" w:cs="Times New Roman"/>
                <w:sz w:val="20"/>
                <w:szCs w:val="20"/>
              </w:rPr>
            </w:pPr>
            <w:r>
              <w:rPr>
                <w:spacing w:val="9"/>
                <w:sz w:val="20"/>
                <w:szCs w:val="20"/>
              </w:rPr>
              <w:t>菌落总数，</w:t>
            </w:r>
            <w:r>
              <w:rPr>
                <w:rFonts w:ascii="Times New Roman" w:hAnsi="Times New Roman" w:eastAsia="Times New Roman" w:cs="Times New Roman"/>
                <w:sz w:val="20"/>
                <w:szCs w:val="20"/>
              </w:rPr>
              <w:t>CFU</w:t>
            </w:r>
            <w:r>
              <w:rPr>
                <w:rFonts w:ascii="Times New Roman" w:hAnsi="Times New Roman" w:eastAsia="Times New Roman" w:cs="Times New Roman"/>
                <w:spacing w:val="9"/>
                <w:sz w:val="20"/>
                <w:szCs w:val="20"/>
              </w:rPr>
              <w:t>/100</w:t>
            </w:r>
            <w:r>
              <w:rPr>
                <w:rFonts w:ascii="Times New Roman" w:hAnsi="Times New Roman" w:eastAsia="Times New Roman" w:cs="Times New Roman"/>
                <w:sz w:val="20"/>
                <w:szCs w:val="20"/>
              </w:rPr>
              <w:t>mL</w:t>
            </w:r>
          </w:p>
        </w:tc>
        <w:tc>
          <w:tcPr>
            <w:tcW w:w="1058" w:type="dxa"/>
            <w:tcBorders>
              <w:right w:val="nil"/>
            </w:tcBorders>
            <w:vAlign w:val="top"/>
          </w:tcPr>
          <w:p w14:paraId="2C1CF3C2">
            <w:pPr>
              <w:spacing w:before="81" w:line="186"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≤100</w:t>
            </w:r>
          </w:p>
        </w:tc>
      </w:tr>
      <w:tr w14:paraId="62D135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55" w:type="dxa"/>
            <w:tcBorders>
              <w:left w:val="nil"/>
            </w:tcBorders>
            <w:vAlign w:val="top"/>
          </w:tcPr>
          <w:p w14:paraId="71BEA653">
            <w:pPr>
              <w:spacing w:before="84" w:line="184" w:lineRule="auto"/>
              <w:ind w:left="331"/>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2723" w:type="dxa"/>
            <w:vAlign w:val="top"/>
          </w:tcPr>
          <w:p w14:paraId="63217D90">
            <w:pPr>
              <w:pStyle w:val="6"/>
              <w:spacing w:before="48" w:line="196" w:lineRule="auto"/>
              <w:ind w:left="839"/>
              <w:rPr>
                <w:sz w:val="20"/>
                <w:szCs w:val="20"/>
              </w:rPr>
            </w:pPr>
            <w:r>
              <w:rPr>
                <w:spacing w:val="6"/>
                <w:sz w:val="20"/>
                <w:szCs w:val="20"/>
              </w:rPr>
              <w:t>铬（六价）</w:t>
            </w:r>
          </w:p>
        </w:tc>
        <w:tc>
          <w:tcPr>
            <w:tcW w:w="1167" w:type="dxa"/>
            <w:vAlign w:val="top"/>
          </w:tcPr>
          <w:p w14:paraId="27FC0176">
            <w:pPr>
              <w:spacing w:before="84" w:line="184" w:lineRule="auto"/>
              <w:ind w:left="3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≤0.05</w:t>
            </w:r>
          </w:p>
        </w:tc>
        <w:tc>
          <w:tcPr>
            <w:tcW w:w="790" w:type="dxa"/>
            <w:vAlign w:val="top"/>
          </w:tcPr>
          <w:p w14:paraId="094F28CB">
            <w:pPr>
              <w:spacing w:before="84" w:line="184"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w:t>
            </w:r>
          </w:p>
        </w:tc>
        <w:tc>
          <w:tcPr>
            <w:tcW w:w="2579" w:type="dxa"/>
            <w:vAlign w:val="top"/>
          </w:tcPr>
          <w:p w14:paraId="755CED38">
            <w:pPr>
              <w:spacing w:before="64" w:line="200" w:lineRule="auto"/>
              <w:ind w:left="1058"/>
              <w:rPr>
                <w:rFonts w:ascii="Times New Roman" w:hAnsi="Times New Roman" w:eastAsia="Times New Roman" w:cs="Times New Roman"/>
                <w:sz w:val="13"/>
                <w:szCs w:val="13"/>
              </w:rPr>
            </w:pPr>
            <w:r>
              <w:rPr>
                <w:rFonts w:ascii="Times New Roman" w:hAnsi="Times New Roman" w:eastAsia="Times New Roman" w:cs="Times New Roman"/>
                <w:sz w:val="20"/>
                <w:szCs w:val="20"/>
              </w:rPr>
              <w:t>CO</w:t>
            </w:r>
            <w:r>
              <w:rPr>
                <w:rFonts w:ascii="Times New Roman" w:hAnsi="Times New Roman" w:eastAsia="Times New Roman" w:cs="Times New Roman"/>
                <w:spacing w:val="5"/>
                <w:position w:val="-2"/>
                <w:sz w:val="13"/>
                <w:szCs w:val="13"/>
              </w:rPr>
              <w:t>3</w:t>
            </w:r>
            <w:r>
              <w:rPr>
                <w:rFonts w:ascii="Times New Roman" w:hAnsi="Times New Roman" w:eastAsia="Times New Roman" w:cs="Times New Roman"/>
                <w:spacing w:val="5"/>
                <w:position w:val="6"/>
                <w:sz w:val="13"/>
                <w:szCs w:val="13"/>
              </w:rPr>
              <w:t>2-</w:t>
            </w:r>
          </w:p>
        </w:tc>
        <w:tc>
          <w:tcPr>
            <w:tcW w:w="1058" w:type="dxa"/>
            <w:tcBorders>
              <w:right w:val="nil"/>
            </w:tcBorders>
            <w:vAlign w:val="top"/>
          </w:tcPr>
          <w:p w14:paraId="0F6CCABD">
            <w:pPr>
              <w:spacing w:before="80" w:line="188" w:lineRule="auto"/>
              <w:ind w:left="5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5D790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55" w:type="dxa"/>
            <w:tcBorders>
              <w:left w:val="nil"/>
            </w:tcBorders>
            <w:vAlign w:val="top"/>
          </w:tcPr>
          <w:p w14:paraId="029273F1">
            <w:pPr>
              <w:spacing w:before="84" w:line="183" w:lineRule="auto"/>
              <w:ind w:left="294"/>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2723" w:type="dxa"/>
            <w:vAlign w:val="top"/>
          </w:tcPr>
          <w:p w14:paraId="747F9298">
            <w:pPr>
              <w:pStyle w:val="6"/>
              <w:spacing w:before="48" w:line="195" w:lineRule="auto"/>
              <w:ind w:left="1260"/>
              <w:rPr>
                <w:sz w:val="20"/>
                <w:szCs w:val="20"/>
              </w:rPr>
            </w:pPr>
            <w:r>
              <w:rPr>
                <w:sz w:val="20"/>
                <w:szCs w:val="20"/>
              </w:rPr>
              <w:t>铅</w:t>
            </w:r>
          </w:p>
        </w:tc>
        <w:tc>
          <w:tcPr>
            <w:tcW w:w="1167" w:type="dxa"/>
            <w:vAlign w:val="top"/>
          </w:tcPr>
          <w:p w14:paraId="317B8C18">
            <w:pPr>
              <w:spacing w:before="84" w:line="183" w:lineRule="auto"/>
              <w:ind w:left="3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≤0.01</w:t>
            </w:r>
          </w:p>
        </w:tc>
        <w:tc>
          <w:tcPr>
            <w:tcW w:w="790" w:type="dxa"/>
            <w:vAlign w:val="top"/>
          </w:tcPr>
          <w:p w14:paraId="2D93FE9A">
            <w:pPr>
              <w:spacing w:before="84" w:line="183"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2579" w:type="dxa"/>
            <w:vAlign w:val="top"/>
          </w:tcPr>
          <w:p w14:paraId="34F2001A">
            <w:pPr>
              <w:spacing w:before="64" w:line="204" w:lineRule="auto"/>
              <w:ind w:left="1013"/>
              <w:rPr>
                <w:rFonts w:ascii="Times New Roman" w:hAnsi="Times New Roman" w:eastAsia="Times New Roman" w:cs="Times New Roman"/>
                <w:sz w:val="13"/>
                <w:szCs w:val="13"/>
              </w:rPr>
            </w:pPr>
            <w:r>
              <w:rPr>
                <w:rFonts w:ascii="Times New Roman" w:hAnsi="Times New Roman" w:eastAsia="Times New Roman" w:cs="Times New Roman"/>
                <w:sz w:val="20"/>
                <w:szCs w:val="20"/>
              </w:rPr>
              <w:t>HCO</w:t>
            </w:r>
            <w:r>
              <w:rPr>
                <w:rFonts w:ascii="Times New Roman" w:hAnsi="Times New Roman" w:eastAsia="Times New Roman" w:cs="Times New Roman"/>
                <w:spacing w:val="11"/>
                <w:position w:val="6"/>
                <w:sz w:val="13"/>
                <w:szCs w:val="13"/>
              </w:rPr>
              <w:t>3-</w:t>
            </w:r>
          </w:p>
        </w:tc>
        <w:tc>
          <w:tcPr>
            <w:tcW w:w="1058" w:type="dxa"/>
            <w:tcBorders>
              <w:right w:val="nil"/>
            </w:tcBorders>
            <w:vAlign w:val="top"/>
          </w:tcPr>
          <w:p w14:paraId="506CF480">
            <w:pPr>
              <w:spacing w:before="80" w:line="187" w:lineRule="auto"/>
              <w:ind w:left="5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6113E5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4" w:hRule="atLeast"/>
        </w:trPr>
        <w:tc>
          <w:tcPr>
            <w:tcW w:w="755" w:type="dxa"/>
            <w:tcBorders>
              <w:left w:val="nil"/>
              <w:bottom w:val="single" w:color="000000" w:sz="10" w:space="0"/>
            </w:tcBorders>
            <w:vAlign w:val="top"/>
          </w:tcPr>
          <w:p w14:paraId="1C763B81">
            <w:pPr>
              <w:spacing w:before="88"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10"/>
                <w:sz w:val="20"/>
                <w:szCs w:val="20"/>
              </w:rPr>
              <w:t>11</w:t>
            </w:r>
          </w:p>
        </w:tc>
        <w:tc>
          <w:tcPr>
            <w:tcW w:w="2723" w:type="dxa"/>
            <w:tcBorders>
              <w:bottom w:val="single" w:color="000000" w:sz="10" w:space="0"/>
            </w:tcBorders>
            <w:vAlign w:val="top"/>
          </w:tcPr>
          <w:p w14:paraId="4CEBC22F">
            <w:pPr>
              <w:pStyle w:val="6"/>
              <w:spacing w:before="52" w:line="214" w:lineRule="auto"/>
              <w:ind w:left="1259"/>
              <w:rPr>
                <w:sz w:val="20"/>
                <w:szCs w:val="20"/>
              </w:rPr>
            </w:pPr>
            <w:r>
              <w:rPr>
                <w:spacing w:val="2"/>
                <w:sz w:val="20"/>
                <w:szCs w:val="20"/>
              </w:rPr>
              <w:t>镉</w:t>
            </w:r>
          </w:p>
        </w:tc>
        <w:tc>
          <w:tcPr>
            <w:tcW w:w="1167" w:type="dxa"/>
            <w:tcBorders>
              <w:bottom w:val="single" w:color="000000" w:sz="10" w:space="0"/>
            </w:tcBorders>
            <w:vAlign w:val="top"/>
          </w:tcPr>
          <w:p w14:paraId="3575E33E">
            <w:pPr>
              <w:spacing w:before="88"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≤0.005</w:t>
            </w:r>
          </w:p>
        </w:tc>
        <w:tc>
          <w:tcPr>
            <w:tcW w:w="790" w:type="dxa"/>
            <w:tcBorders>
              <w:bottom w:val="single" w:color="000000" w:sz="10" w:space="0"/>
            </w:tcBorders>
            <w:vAlign w:val="top"/>
          </w:tcPr>
          <w:p w14:paraId="265EF4C3">
            <w:pPr>
              <w:spacing w:before="88"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2579" w:type="dxa"/>
            <w:tcBorders>
              <w:bottom w:val="single" w:color="000000" w:sz="10" w:space="0"/>
            </w:tcBorders>
            <w:vAlign w:val="top"/>
          </w:tcPr>
          <w:p w14:paraId="2BADAC90">
            <w:pPr>
              <w:spacing w:before="79" w:line="204" w:lineRule="auto"/>
              <w:ind w:left="1177"/>
              <w:rPr>
                <w:rFonts w:ascii="Times New Roman" w:hAnsi="Times New Roman" w:eastAsia="Times New Roman" w:cs="Times New Roman"/>
                <w:sz w:val="13"/>
                <w:szCs w:val="13"/>
              </w:rPr>
            </w:pPr>
            <w:r>
              <w:rPr>
                <w:rFonts w:ascii="Times New Roman" w:hAnsi="Times New Roman" w:eastAsia="Times New Roman" w:cs="Times New Roman"/>
                <w:spacing w:val="3"/>
                <w:position w:val="-1"/>
                <w:sz w:val="20"/>
                <w:szCs w:val="20"/>
              </w:rPr>
              <w:t>K</w:t>
            </w:r>
            <w:r>
              <w:rPr>
                <w:rFonts w:ascii="Times New Roman" w:hAnsi="Times New Roman" w:eastAsia="Times New Roman" w:cs="Times New Roman"/>
                <w:spacing w:val="3"/>
                <w:position w:val="5"/>
                <w:sz w:val="13"/>
                <w:szCs w:val="13"/>
              </w:rPr>
              <w:t>+</w:t>
            </w:r>
          </w:p>
        </w:tc>
        <w:tc>
          <w:tcPr>
            <w:tcW w:w="1058" w:type="dxa"/>
            <w:tcBorders>
              <w:bottom w:val="single" w:color="000000" w:sz="10" w:space="0"/>
              <w:right w:val="nil"/>
            </w:tcBorders>
            <w:vAlign w:val="top"/>
          </w:tcPr>
          <w:p w14:paraId="73C87325">
            <w:pPr>
              <w:spacing w:before="84" w:line="199" w:lineRule="auto"/>
              <w:ind w:left="5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bl>
    <w:p w14:paraId="4D3A7092">
      <w:pPr>
        <w:pStyle w:val="2"/>
      </w:pPr>
    </w:p>
    <w:p w14:paraId="5C6E3D54">
      <w:pPr>
        <w:sectPr>
          <w:headerReference r:id="rId53" w:type="default"/>
          <w:footerReference r:id="rId54" w:type="default"/>
          <w:pgSz w:w="11907" w:h="16840"/>
          <w:pgMar w:top="1178" w:right="1416" w:bottom="1038" w:left="1417" w:header="870" w:footer="876" w:gutter="0"/>
          <w:cols w:space="720" w:num="1"/>
        </w:sectPr>
      </w:pPr>
    </w:p>
    <w:p w14:paraId="7784E964">
      <w:pPr>
        <w:spacing w:line="238" w:lineRule="exact"/>
      </w:pPr>
      <w:r>
        <w:pict>
          <v:shape id="_x0000_s1056" o:spid="_x0000_s1056" style="position:absolute;left:0pt;margin-left:70.85pt;margin-top:59.65pt;height:0.75pt;width:453.65pt;mso-position-horizontal-relative:page;mso-position-vertical-relative:page;z-index:251691008;mso-width-relative:page;mso-height-relative:page;" fillcolor="#000000" filled="t" stroked="f" coordsize="9072,15" o:allowincell="f" path="m0,0l9072,0,9072,14,0,14,0,0xe">
            <v:path/>
            <v:fill on="t" focussize="0,0"/>
            <v:stroke on="f"/>
            <v:imagedata o:title=""/>
            <o:lock v:ext="edit"/>
          </v:shape>
        </w:pict>
      </w:r>
    </w:p>
    <w:tbl>
      <w:tblPr>
        <w:tblStyle w:val="5"/>
        <w:tblW w:w="9073" w:type="dxa"/>
        <w:tblInd w:w="10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5"/>
        <w:gridCol w:w="2723"/>
        <w:gridCol w:w="1167"/>
        <w:gridCol w:w="791"/>
        <w:gridCol w:w="2579"/>
        <w:gridCol w:w="1058"/>
      </w:tblGrid>
      <w:tr w14:paraId="71BAFC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755" w:type="dxa"/>
            <w:tcBorders>
              <w:top w:val="single" w:color="000000" w:sz="10" w:space="0"/>
              <w:left w:val="nil"/>
            </w:tcBorders>
            <w:vAlign w:val="top"/>
          </w:tcPr>
          <w:p w14:paraId="4FBEFE44">
            <w:pPr>
              <w:pStyle w:val="6"/>
              <w:spacing w:before="35" w:line="209" w:lineRule="auto"/>
              <w:ind w:left="171"/>
              <w:rPr>
                <w:sz w:val="20"/>
                <w:szCs w:val="20"/>
              </w:rPr>
            </w:pPr>
            <w:r>
              <w:rPr>
                <w:b/>
                <w:bCs/>
                <w:spacing w:val="4"/>
                <w:sz w:val="20"/>
                <w:szCs w:val="20"/>
              </w:rPr>
              <w:t>序号</w:t>
            </w:r>
          </w:p>
        </w:tc>
        <w:tc>
          <w:tcPr>
            <w:tcW w:w="2723" w:type="dxa"/>
            <w:tcBorders>
              <w:top w:val="single" w:color="000000" w:sz="10" w:space="0"/>
            </w:tcBorders>
            <w:vAlign w:val="top"/>
          </w:tcPr>
          <w:p w14:paraId="4CA6AAAD">
            <w:pPr>
              <w:pStyle w:val="6"/>
              <w:spacing w:before="35" w:line="209" w:lineRule="auto"/>
              <w:ind w:left="1052"/>
              <w:rPr>
                <w:sz w:val="20"/>
                <w:szCs w:val="20"/>
              </w:rPr>
            </w:pPr>
            <w:r>
              <w:rPr>
                <w:b/>
                <w:bCs/>
                <w:spacing w:val="-4"/>
                <w:sz w:val="20"/>
                <w:szCs w:val="20"/>
              </w:rPr>
              <w:t>项</w:t>
            </w:r>
            <w:r>
              <w:rPr>
                <w:spacing w:val="29"/>
                <w:sz w:val="20"/>
                <w:szCs w:val="20"/>
              </w:rPr>
              <w:t xml:space="preserve">  </w:t>
            </w:r>
            <w:r>
              <w:rPr>
                <w:b/>
                <w:bCs/>
                <w:spacing w:val="-4"/>
                <w:sz w:val="20"/>
                <w:szCs w:val="20"/>
              </w:rPr>
              <w:t>目</w:t>
            </w:r>
          </w:p>
        </w:tc>
        <w:tc>
          <w:tcPr>
            <w:tcW w:w="1167" w:type="dxa"/>
            <w:tcBorders>
              <w:top w:val="single" w:color="000000" w:sz="10" w:space="0"/>
            </w:tcBorders>
            <w:vAlign w:val="top"/>
          </w:tcPr>
          <w:p w14:paraId="087B582B">
            <w:pPr>
              <w:pStyle w:val="6"/>
              <w:spacing w:before="35" w:line="209" w:lineRule="auto"/>
              <w:ind w:left="273"/>
              <w:rPr>
                <w:sz w:val="20"/>
                <w:szCs w:val="20"/>
              </w:rPr>
            </w:pPr>
            <w:r>
              <w:rPr>
                <w:b/>
                <w:bCs/>
                <w:spacing w:val="5"/>
                <w:sz w:val="20"/>
                <w:szCs w:val="20"/>
              </w:rPr>
              <w:t>标准值</w:t>
            </w:r>
          </w:p>
        </w:tc>
        <w:tc>
          <w:tcPr>
            <w:tcW w:w="791" w:type="dxa"/>
            <w:tcBorders>
              <w:top w:val="single" w:color="000000" w:sz="10" w:space="0"/>
            </w:tcBorders>
            <w:vAlign w:val="top"/>
          </w:tcPr>
          <w:p w14:paraId="3FF66D47">
            <w:pPr>
              <w:pStyle w:val="6"/>
              <w:spacing w:before="35" w:line="209" w:lineRule="auto"/>
              <w:ind w:left="187"/>
              <w:rPr>
                <w:sz w:val="20"/>
                <w:szCs w:val="20"/>
              </w:rPr>
            </w:pPr>
            <w:r>
              <w:rPr>
                <w:b/>
                <w:bCs/>
                <w:spacing w:val="4"/>
                <w:sz w:val="20"/>
                <w:szCs w:val="20"/>
              </w:rPr>
              <w:t>序号</w:t>
            </w:r>
          </w:p>
        </w:tc>
        <w:tc>
          <w:tcPr>
            <w:tcW w:w="2579" w:type="dxa"/>
            <w:tcBorders>
              <w:top w:val="single" w:color="000000" w:sz="10" w:space="0"/>
            </w:tcBorders>
            <w:vAlign w:val="top"/>
          </w:tcPr>
          <w:p w14:paraId="1149DE3E">
            <w:pPr>
              <w:pStyle w:val="6"/>
              <w:spacing w:before="35" w:line="209" w:lineRule="auto"/>
              <w:ind w:left="1087"/>
              <w:rPr>
                <w:sz w:val="20"/>
                <w:szCs w:val="20"/>
              </w:rPr>
            </w:pPr>
            <w:r>
              <w:rPr>
                <w:b/>
                <w:bCs/>
                <w:spacing w:val="2"/>
                <w:sz w:val="20"/>
                <w:szCs w:val="20"/>
              </w:rPr>
              <w:t>项目</w:t>
            </w:r>
          </w:p>
        </w:tc>
        <w:tc>
          <w:tcPr>
            <w:tcW w:w="1058" w:type="dxa"/>
            <w:tcBorders>
              <w:top w:val="single" w:color="000000" w:sz="10" w:space="0"/>
              <w:right w:val="nil"/>
            </w:tcBorders>
            <w:vAlign w:val="top"/>
          </w:tcPr>
          <w:p w14:paraId="3B6C0FC2">
            <w:pPr>
              <w:pStyle w:val="6"/>
              <w:spacing w:before="35" w:line="209" w:lineRule="auto"/>
              <w:ind w:left="220"/>
              <w:rPr>
                <w:sz w:val="20"/>
                <w:szCs w:val="20"/>
              </w:rPr>
            </w:pPr>
            <w:r>
              <w:rPr>
                <w:b/>
                <w:bCs/>
                <w:spacing w:val="5"/>
                <w:sz w:val="20"/>
                <w:szCs w:val="20"/>
              </w:rPr>
              <w:t>标准值</w:t>
            </w:r>
          </w:p>
        </w:tc>
      </w:tr>
      <w:tr w14:paraId="6541DA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755" w:type="dxa"/>
            <w:tcBorders>
              <w:left w:val="nil"/>
            </w:tcBorders>
            <w:vAlign w:val="top"/>
          </w:tcPr>
          <w:p w14:paraId="57967AC1">
            <w:pPr>
              <w:spacing w:before="73" w:line="192" w:lineRule="auto"/>
              <w:ind w:left="294"/>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2723" w:type="dxa"/>
            <w:vAlign w:val="top"/>
          </w:tcPr>
          <w:p w14:paraId="4D5CBCD5">
            <w:pPr>
              <w:pStyle w:val="6"/>
              <w:spacing w:before="37" w:line="203" w:lineRule="auto"/>
              <w:ind w:left="1259"/>
              <w:rPr>
                <w:sz w:val="20"/>
                <w:szCs w:val="20"/>
              </w:rPr>
            </w:pPr>
            <w:r>
              <w:rPr>
                <w:spacing w:val="1"/>
                <w:sz w:val="20"/>
                <w:szCs w:val="20"/>
              </w:rPr>
              <w:t>铁</w:t>
            </w:r>
          </w:p>
        </w:tc>
        <w:tc>
          <w:tcPr>
            <w:tcW w:w="1167" w:type="dxa"/>
            <w:vAlign w:val="top"/>
          </w:tcPr>
          <w:p w14:paraId="2366337F">
            <w:pPr>
              <w:spacing w:before="73" w:line="192" w:lineRule="auto"/>
              <w:ind w:left="3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≤0.3</w:t>
            </w:r>
          </w:p>
        </w:tc>
        <w:tc>
          <w:tcPr>
            <w:tcW w:w="791" w:type="dxa"/>
            <w:vAlign w:val="top"/>
          </w:tcPr>
          <w:p w14:paraId="2A8990E7">
            <w:pPr>
              <w:spacing w:before="73" w:line="192"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26</w:t>
            </w:r>
          </w:p>
        </w:tc>
        <w:tc>
          <w:tcPr>
            <w:tcW w:w="2579" w:type="dxa"/>
            <w:vAlign w:val="top"/>
          </w:tcPr>
          <w:p w14:paraId="271F2373">
            <w:pPr>
              <w:spacing w:before="64" w:line="201" w:lineRule="auto"/>
              <w:ind w:left="1121"/>
              <w:rPr>
                <w:rFonts w:ascii="Times New Roman" w:hAnsi="Times New Roman" w:eastAsia="Times New Roman" w:cs="Times New Roman"/>
                <w:sz w:val="13"/>
                <w:szCs w:val="13"/>
              </w:rPr>
            </w:pPr>
            <w:r>
              <w:rPr>
                <w:rFonts w:ascii="Times New Roman" w:hAnsi="Times New Roman" w:eastAsia="Times New Roman" w:cs="Times New Roman"/>
                <w:position w:val="-1"/>
                <w:sz w:val="20"/>
                <w:szCs w:val="20"/>
              </w:rPr>
              <w:t>Na</w:t>
            </w:r>
            <w:r>
              <w:rPr>
                <w:rFonts w:ascii="Times New Roman" w:hAnsi="Times New Roman" w:eastAsia="Times New Roman" w:cs="Times New Roman"/>
                <w:spacing w:val="17"/>
                <w:position w:val="5"/>
                <w:sz w:val="13"/>
                <w:szCs w:val="13"/>
              </w:rPr>
              <w:t>+</w:t>
            </w:r>
          </w:p>
        </w:tc>
        <w:tc>
          <w:tcPr>
            <w:tcW w:w="1058" w:type="dxa"/>
            <w:tcBorders>
              <w:right w:val="nil"/>
            </w:tcBorders>
            <w:vAlign w:val="top"/>
          </w:tcPr>
          <w:p w14:paraId="2C5C2AE0">
            <w:pPr>
              <w:spacing w:before="69" w:line="196" w:lineRule="auto"/>
              <w:ind w:left="4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66EBF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6" w:hRule="atLeast"/>
        </w:trPr>
        <w:tc>
          <w:tcPr>
            <w:tcW w:w="755" w:type="dxa"/>
            <w:tcBorders>
              <w:left w:val="nil"/>
            </w:tcBorders>
            <w:vAlign w:val="top"/>
          </w:tcPr>
          <w:p w14:paraId="30E0E87B">
            <w:pPr>
              <w:spacing w:before="76" w:line="187" w:lineRule="auto"/>
              <w:ind w:left="294"/>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13</w:t>
            </w:r>
          </w:p>
        </w:tc>
        <w:tc>
          <w:tcPr>
            <w:tcW w:w="2723" w:type="dxa"/>
            <w:vAlign w:val="top"/>
          </w:tcPr>
          <w:p w14:paraId="34ACC548">
            <w:pPr>
              <w:pStyle w:val="6"/>
              <w:spacing w:before="40" w:line="199" w:lineRule="auto"/>
              <w:ind w:left="1260"/>
              <w:rPr>
                <w:sz w:val="20"/>
                <w:szCs w:val="20"/>
              </w:rPr>
            </w:pPr>
            <w:r>
              <w:rPr>
                <w:sz w:val="20"/>
                <w:szCs w:val="20"/>
              </w:rPr>
              <w:t>锰</w:t>
            </w:r>
          </w:p>
        </w:tc>
        <w:tc>
          <w:tcPr>
            <w:tcW w:w="1167" w:type="dxa"/>
            <w:vAlign w:val="top"/>
          </w:tcPr>
          <w:p w14:paraId="66C3234C">
            <w:pPr>
              <w:spacing w:before="76" w:line="187" w:lineRule="auto"/>
              <w:ind w:left="3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2"/>
                <w:sz w:val="20"/>
                <w:szCs w:val="20"/>
              </w:rPr>
              <w:t>1</w:t>
            </w:r>
          </w:p>
        </w:tc>
        <w:tc>
          <w:tcPr>
            <w:tcW w:w="791" w:type="dxa"/>
            <w:vAlign w:val="top"/>
          </w:tcPr>
          <w:p w14:paraId="6ED19021">
            <w:pPr>
              <w:spacing w:before="76" w:line="187"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27</w:t>
            </w:r>
          </w:p>
        </w:tc>
        <w:tc>
          <w:tcPr>
            <w:tcW w:w="2579" w:type="dxa"/>
            <w:vAlign w:val="top"/>
          </w:tcPr>
          <w:p w14:paraId="0CBF258B">
            <w:pPr>
              <w:spacing w:before="56" w:line="208" w:lineRule="auto"/>
              <w:ind w:left="1105"/>
              <w:rPr>
                <w:rFonts w:ascii="Times New Roman" w:hAnsi="Times New Roman" w:eastAsia="Times New Roman" w:cs="Times New Roman"/>
                <w:sz w:val="13"/>
                <w:szCs w:val="13"/>
              </w:rPr>
            </w:pPr>
            <w:r>
              <w:rPr>
                <w:rFonts w:ascii="Times New Roman" w:hAnsi="Times New Roman" w:eastAsia="Times New Roman" w:cs="Times New Roman"/>
                <w:position w:val="-2"/>
                <w:sz w:val="20"/>
                <w:szCs w:val="20"/>
              </w:rPr>
              <w:t>Ca</w:t>
            </w:r>
            <w:r>
              <w:rPr>
                <w:rFonts w:ascii="Times New Roman" w:hAnsi="Times New Roman" w:eastAsia="Times New Roman" w:cs="Times New Roman"/>
                <w:spacing w:val="5"/>
                <w:position w:val="4"/>
                <w:sz w:val="13"/>
                <w:szCs w:val="13"/>
              </w:rPr>
              <w:t>2+</w:t>
            </w:r>
          </w:p>
        </w:tc>
        <w:tc>
          <w:tcPr>
            <w:tcW w:w="1058" w:type="dxa"/>
            <w:tcBorders>
              <w:right w:val="nil"/>
            </w:tcBorders>
            <w:vAlign w:val="top"/>
          </w:tcPr>
          <w:p w14:paraId="361B77A1">
            <w:pPr>
              <w:spacing w:before="72" w:line="191" w:lineRule="auto"/>
              <w:ind w:left="4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CBFA3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2" w:hRule="atLeast"/>
        </w:trPr>
        <w:tc>
          <w:tcPr>
            <w:tcW w:w="755" w:type="dxa"/>
            <w:tcBorders>
              <w:left w:val="nil"/>
              <w:bottom w:val="single" w:color="000000" w:sz="10" w:space="0"/>
            </w:tcBorders>
            <w:vAlign w:val="top"/>
          </w:tcPr>
          <w:p w14:paraId="2A342C0C">
            <w:pPr>
              <w:spacing w:before="84" w:line="195" w:lineRule="auto"/>
              <w:ind w:left="294"/>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14</w:t>
            </w:r>
          </w:p>
        </w:tc>
        <w:tc>
          <w:tcPr>
            <w:tcW w:w="2723" w:type="dxa"/>
            <w:tcBorders>
              <w:bottom w:val="single" w:color="000000" w:sz="10" w:space="0"/>
            </w:tcBorders>
            <w:vAlign w:val="top"/>
          </w:tcPr>
          <w:p w14:paraId="1488E8E7">
            <w:pPr>
              <w:pStyle w:val="6"/>
              <w:spacing w:before="47" w:line="216" w:lineRule="auto"/>
              <w:ind w:left="1051"/>
              <w:rPr>
                <w:sz w:val="20"/>
                <w:szCs w:val="20"/>
              </w:rPr>
            </w:pPr>
            <w:r>
              <w:rPr>
                <w:spacing w:val="7"/>
                <w:sz w:val="20"/>
                <w:szCs w:val="20"/>
              </w:rPr>
              <w:t>硫化物</w:t>
            </w:r>
          </w:p>
        </w:tc>
        <w:tc>
          <w:tcPr>
            <w:tcW w:w="1167" w:type="dxa"/>
            <w:tcBorders>
              <w:bottom w:val="single" w:color="000000" w:sz="10" w:space="0"/>
            </w:tcBorders>
            <w:vAlign w:val="top"/>
          </w:tcPr>
          <w:p w14:paraId="6AF9E61B">
            <w:pPr>
              <w:spacing w:before="84" w:line="195" w:lineRule="auto"/>
              <w:ind w:left="3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≤0.02</w:t>
            </w:r>
          </w:p>
        </w:tc>
        <w:tc>
          <w:tcPr>
            <w:tcW w:w="791" w:type="dxa"/>
            <w:tcBorders>
              <w:bottom w:val="single" w:color="000000" w:sz="10" w:space="0"/>
            </w:tcBorders>
            <w:vAlign w:val="top"/>
          </w:tcPr>
          <w:p w14:paraId="6848C34D">
            <w:pPr>
              <w:spacing w:before="84"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2579" w:type="dxa"/>
            <w:tcBorders>
              <w:bottom w:val="single" w:color="000000" w:sz="10" w:space="0"/>
            </w:tcBorders>
            <w:vAlign w:val="top"/>
          </w:tcPr>
          <w:p w14:paraId="0121D5E2">
            <w:pPr>
              <w:spacing w:before="63" w:line="218" w:lineRule="auto"/>
              <w:ind w:left="1072"/>
              <w:rPr>
                <w:rFonts w:ascii="Times New Roman" w:hAnsi="Times New Roman" w:eastAsia="Times New Roman" w:cs="Times New Roman"/>
                <w:sz w:val="13"/>
                <w:szCs w:val="13"/>
              </w:rPr>
            </w:pPr>
            <w:r>
              <w:rPr>
                <w:rFonts w:ascii="Times New Roman" w:hAnsi="Times New Roman" w:eastAsia="Times New Roman" w:cs="Times New Roman"/>
                <w:position w:val="-1"/>
                <w:sz w:val="20"/>
                <w:szCs w:val="20"/>
              </w:rPr>
              <w:t>Mg</w:t>
            </w:r>
            <w:r>
              <w:rPr>
                <w:rFonts w:ascii="Times New Roman" w:hAnsi="Times New Roman" w:eastAsia="Times New Roman" w:cs="Times New Roman"/>
                <w:spacing w:val="8"/>
                <w:position w:val="5"/>
                <w:sz w:val="13"/>
                <w:szCs w:val="13"/>
              </w:rPr>
              <w:t>2+</w:t>
            </w:r>
          </w:p>
        </w:tc>
        <w:tc>
          <w:tcPr>
            <w:tcW w:w="1058" w:type="dxa"/>
            <w:tcBorders>
              <w:bottom w:val="single" w:color="000000" w:sz="10" w:space="0"/>
              <w:right w:val="nil"/>
            </w:tcBorders>
            <w:vAlign w:val="top"/>
          </w:tcPr>
          <w:p w14:paraId="137CD958">
            <w:pPr>
              <w:spacing w:before="80" w:line="199" w:lineRule="auto"/>
              <w:ind w:left="4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bl>
    <w:p w14:paraId="24499F6A">
      <w:pPr>
        <w:spacing w:before="37" w:line="220" w:lineRule="auto"/>
        <w:ind w:left="590"/>
        <w:rPr>
          <w:rFonts w:ascii="宋体" w:hAnsi="宋体" w:eastAsia="宋体" w:cs="宋体"/>
          <w:sz w:val="24"/>
          <w:szCs w:val="24"/>
        </w:rPr>
      </w:pPr>
      <w:r>
        <w:rPr>
          <w:rFonts w:ascii="Times New Roman" w:hAnsi="Times New Roman" w:eastAsia="Times New Roman" w:cs="Times New Roman"/>
          <w:b/>
          <w:bCs/>
          <w:spacing w:val="-5"/>
          <w:sz w:val="24"/>
          <w:szCs w:val="24"/>
        </w:rPr>
        <w:t>3</w:t>
      </w:r>
      <w:r>
        <w:rPr>
          <w:rFonts w:ascii="Times New Roman" w:hAnsi="Times New Roman" w:eastAsia="Times New Roman" w:cs="Times New Roman"/>
          <w:b/>
          <w:bCs/>
          <w:spacing w:val="-33"/>
          <w:sz w:val="24"/>
          <w:szCs w:val="24"/>
        </w:rPr>
        <w:t xml:space="preserve"> </w:t>
      </w:r>
      <w:r>
        <w:rPr>
          <w:rFonts w:ascii="宋体" w:hAnsi="宋体" w:eastAsia="宋体" w:cs="宋体"/>
          <w:b/>
          <w:bCs/>
          <w:spacing w:val="-5"/>
          <w:sz w:val="24"/>
          <w:szCs w:val="24"/>
        </w:rPr>
        <w:t>、声环境质量标准</w:t>
      </w:r>
    </w:p>
    <w:p w14:paraId="5BA93DCB">
      <w:pPr>
        <w:spacing w:before="179" w:line="219" w:lineRule="auto"/>
        <w:ind w:left="601"/>
        <w:rPr>
          <w:rFonts w:ascii="宋体" w:hAnsi="宋体" w:eastAsia="宋体" w:cs="宋体"/>
          <w:sz w:val="24"/>
          <w:szCs w:val="24"/>
        </w:rPr>
      </w:pPr>
      <w:r>
        <w:rPr>
          <w:rFonts w:ascii="宋体" w:hAnsi="宋体" w:eastAsia="宋体" w:cs="宋体"/>
          <w:spacing w:val="-1"/>
          <w:sz w:val="24"/>
          <w:szCs w:val="24"/>
        </w:rPr>
        <w:t>声环境执行《声环境质量标准》（</w:t>
      </w:r>
      <w:r>
        <w:rPr>
          <w:rFonts w:ascii="Times New Roman" w:hAnsi="Times New Roman" w:eastAsia="Times New Roman" w:cs="Times New Roman"/>
          <w:spacing w:val="-1"/>
          <w:sz w:val="24"/>
          <w:szCs w:val="24"/>
        </w:rPr>
        <w:t>GB3096-2008</w:t>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3 </w:t>
      </w:r>
      <w:r>
        <w:rPr>
          <w:rFonts w:ascii="宋体" w:hAnsi="宋体" w:eastAsia="宋体" w:cs="宋体"/>
          <w:spacing w:val="-1"/>
          <w:sz w:val="24"/>
          <w:szCs w:val="24"/>
        </w:rPr>
        <w:t>类标准，标准值详见表</w:t>
      </w:r>
      <w:r>
        <w:rPr>
          <w:rFonts w:ascii="宋体" w:hAnsi="宋体" w:eastAsia="宋体" w:cs="宋体"/>
          <w:spacing w:val="-30"/>
          <w:sz w:val="24"/>
          <w:szCs w:val="24"/>
        </w:rPr>
        <w:t xml:space="preserve"> </w:t>
      </w:r>
      <w:r>
        <w:rPr>
          <w:rFonts w:ascii="Times New Roman" w:hAnsi="Times New Roman" w:eastAsia="Times New Roman" w:cs="Times New Roman"/>
          <w:spacing w:val="-1"/>
          <w:sz w:val="24"/>
          <w:szCs w:val="24"/>
        </w:rPr>
        <w:t>1.5-5</w:t>
      </w:r>
      <w:r>
        <w:rPr>
          <w:rFonts w:ascii="宋体" w:hAnsi="宋体" w:eastAsia="宋体" w:cs="宋体"/>
          <w:spacing w:val="-1"/>
          <w:sz w:val="24"/>
          <w:szCs w:val="24"/>
        </w:rPr>
        <w:t>。</w:t>
      </w:r>
    </w:p>
    <w:p w14:paraId="35D1BD58">
      <w:pPr>
        <w:spacing w:before="178" w:line="228" w:lineRule="auto"/>
        <w:ind w:left="3354"/>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34"/>
          <w:sz w:val="20"/>
          <w:szCs w:val="20"/>
        </w:rPr>
        <w:t xml:space="preserve"> </w:t>
      </w:r>
      <w:r>
        <w:rPr>
          <w:rFonts w:ascii="Times New Roman" w:hAnsi="Times New Roman" w:eastAsia="Times New Roman" w:cs="Times New Roman"/>
          <w:b/>
          <w:bCs/>
          <w:spacing w:val="4"/>
          <w:sz w:val="20"/>
          <w:szCs w:val="20"/>
        </w:rPr>
        <w:t xml:space="preserve">1.5-5        </w:t>
      </w:r>
      <w:r>
        <w:rPr>
          <w:rFonts w:ascii="宋体" w:hAnsi="宋体" w:eastAsia="宋体" w:cs="宋体"/>
          <w:b/>
          <w:bCs/>
          <w:spacing w:val="4"/>
          <w:sz w:val="20"/>
          <w:szCs w:val="20"/>
        </w:rPr>
        <w:t>声环境质量标准</w:t>
      </w:r>
    </w:p>
    <w:p w14:paraId="35B0BDB3">
      <w:pPr>
        <w:spacing w:line="130" w:lineRule="exact"/>
      </w:pPr>
    </w:p>
    <w:tbl>
      <w:tblPr>
        <w:tblStyle w:val="5"/>
        <w:tblW w:w="92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924"/>
        <w:gridCol w:w="2924"/>
        <w:gridCol w:w="3441"/>
      </w:tblGrid>
      <w:tr w14:paraId="1D3FDC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trPr>
        <w:tc>
          <w:tcPr>
            <w:tcW w:w="2924" w:type="dxa"/>
            <w:tcBorders>
              <w:top w:val="single" w:color="000000" w:sz="10" w:space="0"/>
              <w:left w:val="nil"/>
            </w:tcBorders>
            <w:vAlign w:val="top"/>
          </w:tcPr>
          <w:p w14:paraId="34BA4B1A">
            <w:pPr>
              <w:pStyle w:val="6"/>
              <w:spacing w:before="53" w:line="225" w:lineRule="auto"/>
              <w:ind w:left="1259"/>
              <w:rPr>
                <w:sz w:val="20"/>
                <w:szCs w:val="20"/>
              </w:rPr>
            </w:pPr>
            <w:r>
              <w:rPr>
                <w:spacing w:val="4"/>
                <w:sz w:val="20"/>
                <w:szCs w:val="20"/>
              </w:rPr>
              <w:t>类别</w:t>
            </w:r>
          </w:p>
        </w:tc>
        <w:tc>
          <w:tcPr>
            <w:tcW w:w="2924" w:type="dxa"/>
            <w:tcBorders>
              <w:top w:val="single" w:color="000000" w:sz="10" w:space="0"/>
            </w:tcBorders>
            <w:vAlign w:val="top"/>
          </w:tcPr>
          <w:p w14:paraId="24B0FACA">
            <w:pPr>
              <w:pStyle w:val="6"/>
              <w:spacing w:before="53" w:line="225" w:lineRule="auto"/>
              <w:ind w:left="1255"/>
              <w:rPr>
                <w:sz w:val="20"/>
                <w:szCs w:val="20"/>
              </w:rPr>
            </w:pPr>
            <w:r>
              <w:rPr>
                <w:spacing w:val="5"/>
                <w:sz w:val="20"/>
                <w:szCs w:val="20"/>
              </w:rPr>
              <w:t>昼间</w:t>
            </w:r>
          </w:p>
        </w:tc>
        <w:tc>
          <w:tcPr>
            <w:tcW w:w="3441" w:type="dxa"/>
            <w:tcBorders>
              <w:top w:val="single" w:color="000000" w:sz="10" w:space="0"/>
              <w:right w:val="nil"/>
            </w:tcBorders>
            <w:vAlign w:val="top"/>
          </w:tcPr>
          <w:p w14:paraId="0A062A70">
            <w:pPr>
              <w:pStyle w:val="6"/>
              <w:spacing w:before="53" w:line="225" w:lineRule="auto"/>
              <w:ind w:left="1518"/>
              <w:rPr>
                <w:sz w:val="20"/>
                <w:szCs w:val="20"/>
              </w:rPr>
            </w:pPr>
            <w:r>
              <w:rPr>
                <w:spacing w:val="3"/>
                <w:sz w:val="20"/>
                <w:szCs w:val="20"/>
              </w:rPr>
              <w:t>夜间</w:t>
            </w:r>
          </w:p>
        </w:tc>
      </w:tr>
      <w:tr w14:paraId="384490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2924" w:type="dxa"/>
            <w:tcBorders>
              <w:left w:val="nil"/>
              <w:bottom w:val="single" w:color="000000" w:sz="10" w:space="0"/>
            </w:tcBorders>
            <w:vAlign w:val="top"/>
          </w:tcPr>
          <w:p w14:paraId="4EC393B8">
            <w:pPr>
              <w:spacing w:before="108" w:line="195" w:lineRule="auto"/>
              <w:ind w:left="1416"/>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924" w:type="dxa"/>
            <w:tcBorders>
              <w:bottom w:val="single" w:color="000000" w:sz="10" w:space="0"/>
            </w:tcBorders>
            <w:vAlign w:val="top"/>
          </w:tcPr>
          <w:p w14:paraId="51E73767">
            <w:pPr>
              <w:spacing w:before="108" w:line="195" w:lineRule="auto"/>
              <w:ind w:left="1363"/>
              <w:rPr>
                <w:rFonts w:ascii="Times New Roman" w:hAnsi="Times New Roman" w:eastAsia="Times New Roman" w:cs="Times New Roman"/>
                <w:sz w:val="20"/>
                <w:szCs w:val="20"/>
              </w:rPr>
            </w:pPr>
            <w:r>
              <w:rPr>
                <w:rFonts w:ascii="Times New Roman" w:hAnsi="Times New Roman" w:eastAsia="Times New Roman" w:cs="Times New Roman"/>
                <w:sz w:val="20"/>
                <w:szCs w:val="20"/>
              </w:rPr>
              <w:t>65</w:t>
            </w:r>
          </w:p>
        </w:tc>
        <w:tc>
          <w:tcPr>
            <w:tcW w:w="3441" w:type="dxa"/>
            <w:tcBorders>
              <w:bottom w:val="single" w:color="000000" w:sz="10" w:space="0"/>
              <w:right w:val="nil"/>
            </w:tcBorders>
            <w:vAlign w:val="top"/>
          </w:tcPr>
          <w:p w14:paraId="621E0449">
            <w:pPr>
              <w:spacing w:before="111" w:line="192" w:lineRule="auto"/>
              <w:ind w:left="1622"/>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r>
    </w:tbl>
    <w:p w14:paraId="5947EC9C">
      <w:pPr>
        <w:spacing w:before="157" w:line="220" w:lineRule="auto"/>
        <w:ind w:left="593"/>
        <w:rPr>
          <w:rFonts w:ascii="宋体" w:hAnsi="宋体" w:eastAsia="宋体" w:cs="宋体"/>
          <w:sz w:val="24"/>
          <w:szCs w:val="24"/>
        </w:rPr>
      </w:pPr>
      <w:r>
        <w:rPr>
          <w:rFonts w:ascii="Times New Roman" w:hAnsi="Times New Roman" w:eastAsia="Times New Roman" w:cs="Times New Roman"/>
          <w:b/>
          <w:bCs/>
          <w:spacing w:val="-5"/>
          <w:sz w:val="24"/>
          <w:szCs w:val="24"/>
        </w:rPr>
        <w:t>4</w:t>
      </w:r>
      <w:r>
        <w:rPr>
          <w:rFonts w:ascii="Times New Roman" w:hAnsi="Times New Roman" w:eastAsia="Times New Roman" w:cs="Times New Roman"/>
          <w:b/>
          <w:bCs/>
          <w:spacing w:val="-33"/>
          <w:sz w:val="24"/>
          <w:szCs w:val="24"/>
        </w:rPr>
        <w:t xml:space="preserve"> </w:t>
      </w:r>
      <w:r>
        <w:rPr>
          <w:rFonts w:ascii="宋体" w:hAnsi="宋体" w:eastAsia="宋体" w:cs="宋体"/>
          <w:b/>
          <w:bCs/>
          <w:spacing w:val="-5"/>
          <w:sz w:val="24"/>
          <w:szCs w:val="24"/>
        </w:rPr>
        <w:t>、土壤环境质量标准</w:t>
      </w:r>
    </w:p>
    <w:p w14:paraId="6DF16812">
      <w:pPr>
        <w:spacing w:before="178" w:line="353" w:lineRule="auto"/>
        <w:ind w:left="117" w:right="67" w:firstLine="480"/>
        <w:rPr>
          <w:rFonts w:ascii="宋体" w:hAnsi="宋体" w:eastAsia="宋体" w:cs="宋体"/>
          <w:sz w:val="24"/>
          <w:szCs w:val="24"/>
        </w:rPr>
      </w:pPr>
      <w:r>
        <w:rPr>
          <w:rFonts w:ascii="宋体" w:hAnsi="宋体" w:eastAsia="宋体" w:cs="宋体"/>
          <w:spacing w:val="9"/>
          <w:sz w:val="24"/>
          <w:szCs w:val="24"/>
        </w:rPr>
        <w:t>土壤环境质量执行《土壤环境质量 建设用地土壤污染风险管控标准（试行）》</w:t>
      </w:r>
      <w:r>
        <w:rPr>
          <w:rFonts w:ascii="宋体" w:hAnsi="宋体" w:eastAsia="宋体" w:cs="宋体"/>
          <w:spacing w:val="10"/>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GB36600-2018</w:t>
      </w:r>
      <w:r>
        <w:rPr>
          <w:rFonts w:ascii="宋体" w:hAnsi="宋体" w:eastAsia="宋体" w:cs="宋体"/>
          <w:spacing w:val="-1"/>
          <w:sz w:val="24"/>
          <w:szCs w:val="24"/>
        </w:rPr>
        <w:t>）表</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w:t>
      </w:r>
      <w:r>
        <w:rPr>
          <w:rFonts w:ascii="Times New Roman" w:hAnsi="Times New Roman" w:eastAsia="Times New Roman" w:cs="Times New Roman"/>
          <w:spacing w:val="34"/>
          <w:w w:val="101"/>
          <w:sz w:val="24"/>
          <w:szCs w:val="24"/>
        </w:rPr>
        <w:t xml:space="preserve"> </w:t>
      </w:r>
      <w:r>
        <w:rPr>
          <w:rFonts w:ascii="宋体" w:hAnsi="宋体" w:eastAsia="宋体" w:cs="宋体"/>
          <w:spacing w:val="-1"/>
          <w:sz w:val="24"/>
          <w:szCs w:val="24"/>
        </w:rPr>
        <w:t>中第二类用地土壤污染风险标准限值及《土</w:t>
      </w:r>
      <w:r>
        <w:rPr>
          <w:rFonts w:ascii="宋体" w:hAnsi="宋体" w:eastAsia="宋体" w:cs="宋体"/>
          <w:spacing w:val="-2"/>
          <w:sz w:val="24"/>
          <w:szCs w:val="24"/>
        </w:rPr>
        <w:t>壤环境质量 农用地</w:t>
      </w:r>
      <w:r>
        <w:rPr>
          <w:rFonts w:ascii="宋体" w:hAnsi="宋体" w:eastAsia="宋体" w:cs="宋体"/>
          <w:sz w:val="24"/>
          <w:szCs w:val="24"/>
        </w:rPr>
        <w:t xml:space="preserve"> </w:t>
      </w:r>
      <w:r>
        <w:rPr>
          <w:rFonts w:ascii="宋体" w:hAnsi="宋体" w:eastAsia="宋体" w:cs="宋体"/>
          <w:spacing w:val="-1"/>
          <w:sz w:val="24"/>
          <w:szCs w:val="24"/>
        </w:rPr>
        <w:t>土壤污染风险管控标准（试行）》（</w:t>
      </w:r>
      <w:r>
        <w:rPr>
          <w:rFonts w:ascii="Times New Roman" w:hAnsi="Times New Roman" w:eastAsia="Times New Roman" w:cs="Times New Roman"/>
          <w:spacing w:val="-1"/>
          <w:sz w:val="24"/>
          <w:szCs w:val="24"/>
        </w:rPr>
        <w:t>GB15618-2018</w:t>
      </w:r>
      <w:r>
        <w:rPr>
          <w:rFonts w:ascii="宋体" w:hAnsi="宋体" w:eastAsia="宋体" w:cs="宋体"/>
          <w:spacing w:val="-1"/>
          <w:sz w:val="24"/>
          <w:szCs w:val="24"/>
        </w:rPr>
        <w:t>）中表</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 xml:space="preserve">1 </w:t>
      </w:r>
      <w:r>
        <w:rPr>
          <w:rFonts w:ascii="宋体" w:hAnsi="宋体" w:eastAsia="宋体" w:cs="宋体"/>
          <w:spacing w:val="-1"/>
          <w:sz w:val="24"/>
          <w:szCs w:val="24"/>
        </w:rPr>
        <w:t>风险筛选值标准（其他</w:t>
      </w:r>
      <w:r>
        <w:rPr>
          <w:rFonts w:ascii="宋体" w:hAnsi="宋体" w:eastAsia="宋体" w:cs="宋体"/>
          <w:spacing w:val="-28"/>
          <w:sz w:val="24"/>
          <w:szCs w:val="24"/>
        </w:rPr>
        <w:t>），</w:t>
      </w:r>
      <w:r>
        <w:rPr>
          <w:rFonts w:ascii="宋体" w:hAnsi="宋体" w:eastAsia="宋体" w:cs="宋体"/>
          <w:sz w:val="24"/>
          <w:szCs w:val="24"/>
        </w:rPr>
        <w:t xml:space="preserve"> </w:t>
      </w:r>
      <w:r>
        <w:rPr>
          <w:rFonts w:ascii="宋体" w:hAnsi="宋体" w:eastAsia="宋体" w:cs="宋体"/>
          <w:spacing w:val="-3"/>
          <w:sz w:val="24"/>
          <w:szCs w:val="24"/>
        </w:rPr>
        <w:t>标准值详见表</w:t>
      </w:r>
      <w:r>
        <w:rPr>
          <w:rFonts w:ascii="宋体" w:hAnsi="宋体" w:eastAsia="宋体" w:cs="宋体"/>
          <w:spacing w:val="-31"/>
          <w:sz w:val="24"/>
          <w:szCs w:val="24"/>
        </w:rPr>
        <w:t xml:space="preserve"> </w:t>
      </w:r>
      <w:r>
        <w:rPr>
          <w:rFonts w:ascii="Times New Roman" w:hAnsi="Times New Roman" w:eastAsia="Times New Roman" w:cs="Times New Roman"/>
          <w:spacing w:val="-3"/>
          <w:sz w:val="24"/>
          <w:szCs w:val="24"/>
        </w:rPr>
        <w:t>1.5-6~7</w:t>
      </w:r>
      <w:r>
        <w:rPr>
          <w:rFonts w:ascii="宋体" w:hAnsi="宋体" w:eastAsia="宋体" w:cs="宋体"/>
          <w:spacing w:val="-3"/>
          <w:sz w:val="24"/>
          <w:szCs w:val="24"/>
        </w:rPr>
        <w:t>。</w:t>
      </w:r>
    </w:p>
    <w:p w14:paraId="791BD8BD">
      <w:pPr>
        <w:spacing w:before="31" w:line="221" w:lineRule="auto"/>
        <w:ind w:left="2651"/>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0"/>
          <w:sz w:val="20"/>
          <w:szCs w:val="20"/>
        </w:rPr>
        <w:t xml:space="preserve"> </w:t>
      </w:r>
      <w:r>
        <w:rPr>
          <w:rFonts w:ascii="Times New Roman" w:hAnsi="Times New Roman" w:eastAsia="Times New Roman" w:cs="Times New Roman"/>
          <w:b/>
          <w:bCs/>
          <w:spacing w:val="5"/>
          <w:sz w:val="20"/>
          <w:szCs w:val="20"/>
        </w:rPr>
        <w:t xml:space="preserve">1.5-6        </w:t>
      </w:r>
      <w:r>
        <w:rPr>
          <w:rFonts w:ascii="宋体" w:hAnsi="宋体" w:eastAsia="宋体" w:cs="宋体"/>
          <w:b/>
          <w:bCs/>
          <w:spacing w:val="5"/>
          <w:sz w:val="20"/>
          <w:szCs w:val="20"/>
        </w:rPr>
        <w:t>土壤质量标准（单位：</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5"/>
          <w:sz w:val="20"/>
          <w:szCs w:val="20"/>
        </w:rPr>
        <w:t>/</w:t>
      </w:r>
      <w:r>
        <w:rPr>
          <w:rFonts w:ascii="Times New Roman" w:hAnsi="Times New Roman" w:eastAsia="Times New Roman" w:cs="Times New Roman"/>
          <w:b/>
          <w:bCs/>
          <w:sz w:val="20"/>
          <w:szCs w:val="20"/>
        </w:rPr>
        <w:t>kg</w:t>
      </w:r>
      <w:r>
        <w:rPr>
          <w:rFonts w:ascii="宋体" w:hAnsi="宋体" w:eastAsia="宋体" w:cs="宋体"/>
          <w:b/>
          <w:bCs/>
          <w:spacing w:val="5"/>
          <w:sz w:val="20"/>
          <w:szCs w:val="20"/>
        </w:rPr>
        <w:t>）</w:t>
      </w:r>
    </w:p>
    <w:p w14:paraId="24867F17">
      <w:pPr>
        <w:spacing w:line="137" w:lineRule="exact"/>
      </w:pPr>
    </w:p>
    <w:tbl>
      <w:tblPr>
        <w:tblStyle w:val="5"/>
        <w:tblW w:w="92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0"/>
        <w:gridCol w:w="2154"/>
        <w:gridCol w:w="1858"/>
        <w:gridCol w:w="1858"/>
        <w:gridCol w:w="1859"/>
      </w:tblGrid>
      <w:tr w14:paraId="03496C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1560" w:type="dxa"/>
            <w:tcBorders>
              <w:top w:val="single" w:color="000000" w:sz="10" w:space="0"/>
              <w:left w:val="nil"/>
            </w:tcBorders>
            <w:vAlign w:val="top"/>
          </w:tcPr>
          <w:p w14:paraId="333305CE">
            <w:pPr>
              <w:pStyle w:val="6"/>
              <w:spacing w:before="68" w:line="229" w:lineRule="auto"/>
              <w:ind w:left="577"/>
              <w:rPr>
                <w:sz w:val="20"/>
                <w:szCs w:val="20"/>
              </w:rPr>
            </w:pPr>
            <w:r>
              <w:rPr>
                <w:spacing w:val="5"/>
                <w:sz w:val="20"/>
                <w:szCs w:val="20"/>
              </w:rPr>
              <w:t>序号</w:t>
            </w:r>
          </w:p>
        </w:tc>
        <w:tc>
          <w:tcPr>
            <w:tcW w:w="2154" w:type="dxa"/>
            <w:tcBorders>
              <w:top w:val="single" w:color="000000" w:sz="10" w:space="0"/>
            </w:tcBorders>
            <w:vAlign w:val="top"/>
          </w:tcPr>
          <w:p w14:paraId="5C2A06AF">
            <w:pPr>
              <w:pStyle w:val="6"/>
              <w:spacing w:before="68" w:line="228" w:lineRule="auto"/>
              <w:ind w:left="558"/>
              <w:rPr>
                <w:sz w:val="20"/>
                <w:szCs w:val="20"/>
              </w:rPr>
            </w:pPr>
            <w:r>
              <w:rPr>
                <w:spacing w:val="7"/>
                <w:sz w:val="20"/>
                <w:szCs w:val="20"/>
              </w:rPr>
              <w:t>污染物项目</w:t>
            </w:r>
          </w:p>
        </w:tc>
        <w:tc>
          <w:tcPr>
            <w:tcW w:w="1858" w:type="dxa"/>
            <w:tcBorders>
              <w:top w:val="single" w:color="000000" w:sz="10" w:space="0"/>
            </w:tcBorders>
            <w:vAlign w:val="top"/>
          </w:tcPr>
          <w:p w14:paraId="44F38554">
            <w:pPr>
              <w:pStyle w:val="6"/>
              <w:spacing w:before="67" w:line="228" w:lineRule="auto"/>
              <w:ind w:left="492"/>
              <w:rPr>
                <w:sz w:val="20"/>
                <w:szCs w:val="20"/>
              </w:rPr>
            </w:pPr>
            <w:r>
              <w:rPr>
                <w:rFonts w:ascii="Times New Roman" w:hAnsi="Times New Roman" w:eastAsia="Times New Roman" w:cs="Times New Roman"/>
                <w:sz w:val="20"/>
                <w:szCs w:val="20"/>
              </w:rPr>
              <w:t>CAS</w:t>
            </w:r>
            <w:r>
              <w:rPr>
                <w:rFonts w:ascii="Times New Roman" w:hAnsi="Times New Roman" w:eastAsia="Times New Roman" w:cs="Times New Roman"/>
                <w:spacing w:val="14"/>
                <w:w w:val="101"/>
                <w:sz w:val="20"/>
                <w:szCs w:val="20"/>
              </w:rPr>
              <w:t xml:space="preserve"> </w:t>
            </w:r>
            <w:r>
              <w:rPr>
                <w:spacing w:val="8"/>
                <w:sz w:val="20"/>
                <w:szCs w:val="20"/>
              </w:rPr>
              <w:t>编号</w:t>
            </w:r>
          </w:p>
        </w:tc>
        <w:tc>
          <w:tcPr>
            <w:tcW w:w="1858" w:type="dxa"/>
            <w:tcBorders>
              <w:top w:val="single" w:color="000000" w:sz="10" w:space="0"/>
            </w:tcBorders>
            <w:vAlign w:val="top"/>
          </w:tcPr>
          <w:p w14:paraId="3758CB81">
            <w:pPr>
              <w:pStyle w:val="6"/>
              <w:spacing w:before="67" w:line="228" w:lineRule="auto"/>
              <w:ind w:left="203"/>
              <w:rPr>
                <w:sz w:val="20"/>
                <w:szCs w:val="20"/>
              </w:rPr>
            </w:pPr>
            <w:r>
              <w:rPr>
                <w:spacing w:val="8"/>
                <w:sz w:val="20"/>
                <w:szCs w:val="20"/>
              </w:rPr>
              <w:t>二类用地筛选值</w:t>
            </w:r>
          </w:p>
        </w:tc>
        <w:tc>
          <w:tcPr>
            <w:tcW w:w="1859" w:type="dxa"/>
            <w:tcBorders>
              <w:top w:val="single" w:color="000000" w:sz="10" w:space="0"/>
              <w:right w:val="nil"/>
            </w:tcBorders>
            <w:vAlign w:val="top"/>
          </w:tcPr>
          <w:p w14:paraId="262E0C1B">
            <w:pPr>
              <w:pStyle w:val="6"/>
              <w:spacing w:before="67" w:line="228" w:lineRule="auto"/>
              <w:ind w:left="202"/>
              <w:rPr>
                <w:sz w:val="20"/>
                <w:szCs w:val="20"/>
              </w:rPr>
            </w:pPr>
            <w:r>
              <w:rPr>
                <w:spacing w:val="8"/>
                <w:sz w:val="20"/>
                <w:szCs w:val="20"/>
              </w:rPr>
              <w:t>二类用地管制值</w:t>
            </w:r>
          </w:p>
        </w:tc>
      </w:tr>
    </w:tbl>
    <w:p w14:paraId="4453E3A5">
      <w:pPr>
        <w:spacing w:before="64" w:line="227" w:lineRule="auto"/>
        <w:ind w:left="3917"/>
        <w:rPr>
          <w:rFonts w:ascii="宋体" w:hAnsi="宋体" w:eastAsia="宋体" w:cs="宋体"/>
          <w:sz w:val="20"/>
          <w:szCs w:val="20"/>
        </w:rPr>
      </w:pPr>
      <w:r>
        <w:rPr>
          <w:rFonts w:ascii="宋体" w:hAnsi="宋体" w:eastAsia="宋体" w:cs="宋体"/>
          <w:spacing w:val="8"/>
          <w:sz w:val="20"/>
          <w:szCs w:val="20"/>
        </w:rPr>
        <w:t>重金属和无机物</w:t>
      </w:r>
    </w:p>
    <w:p w14:paraId="70A2C75C">
      <w:pPr>
        <w:spacing w:line="31" w:lineRule="exact"/>
      </w:pPr>
    </w:p>
    <w:tbl>
      <w:tblPr>
        <w:tblStyle w:val="5"/>
        <w:tblW w:w="92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0"/>
        <w:gridCol w:w="2154"/>
        <w:gridCol w:w="1858"/>
        <w:gridCol w:w="1858"/>
        <w:gridCol w:w="1859"/>
      </w:tblGrid>
      <w:tr w14:paraId="63723F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1560" w:type="dxa"/>
            <w:tcBorders>
              <w:left w:val="nil"/>
            </w:tcBorders>
            <w:vAlign w:val="top"/>
          </w:tcPr>
          <w:p w14:paraId="7F1A9E05">
            <w:pPr>
              <w:spacing w:before="105" w:line="195" w:lineRule="auto"/>
              <w:ind w:left="750"/>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154" w:type="dxa"/>
            <w:vAlign w:val="top"/>
          </w:tcPr>
          <w:p w14:paraId="3A384C13">
            <w:pPr>
              <w:pStyle w:val="6"/>
              <w:spacing w:before="69" w:line="228" w:lineRule="auto"/>
              <w:ind w:left="975"/>
              <w:rPr>
                <w:sz w:val="20"/>
                <w:szCs w:val="20"/>
              </w:rPr>
            </w:pPr>
            <w:r>
              <w:rPr>
                <w:spacing w:val="1"/>
                <w:sz w:val="20"/>
                <w:szCs w:val="20"/>
              </w:rPr>
              <w:t>砷</w:t>
            </w:r>
          </w:p>
        </w:tc>
        <w:tc>
          <w:tcPr>
            <w:tcW w:w="1858" w:type="dxa"/>
            <w:vAlign w:val="top"/>
          </w:tcPr>
          <w:p w14:paraId="3D015B4A">
            <w:pPr>
              <w:spacing w:before="104"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7440-38-2</w:t>
            </w:r>
          </w:p>
        </w:tc>
        <w:tc>
          <w:tcPr>
            <w:tcW w:w="1858" w:type="dxa"/>
            <w:vAlign w:val="top"/>
          </w:tcPr>
          <w:p w14:paraId="24D0360D">
            <w:pPr>
              <w:pStyle w:val="6"/>
              <w:spacing w:before="52" w:line="235" w:lineRule="auto"/>
              <w:ind w:left="776"/>
              <w:rPr>
                <w:sz w:val="10"/>
                <w:szCs w:val="10"/>
              </w:rPr>
            </w:pPr>
            <w:r>
              <w:rPr>
                <w:rFonts w:ascii="Times New Roman" w:hAnsi="Times New Roman" w:eastAsia="Times New Roman" w:cs="Times New Roman"/>
                <w:spacing w:val="2"/>
                <w:position w:val="-2"/>
                <w:sz w:val="20"/>
                <w:szCs w:val="20"/>
              </w:rPr>
              <w:t>60</w:t>
            </w:r>
            <w:r>
              <w:rPr>
                <w:spacing w:val="2"/>
                <w:position w:val="8"/>
                <w:sz w:val="10"/>
                <w:szCs w:val="10"/>
              </w:rPr>
              <w:t>①</w:t>
            </w:r>
          </w:p>
        </w:tc>
        <w:tc>
          <w:tcPr>
            <w:tcW w:w="1859" w:type="dxa"/>
            <w:tcBorders>
              <w:right w:val="nil"/>
            </w:tcBorders>
            <w:vAlign w:val="top"/>
          </w:tcPr>
          <w:p w14:paraId="34FDC9C9">
            <w:pPr>
              <w:spacing w:before="104"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140</w:t>
            </w:r>
          </w:p>
        </w:tc>
      </w:tr>
      <w:tr w14:paraId="7A9F7A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560" w:type="dxa"/>
            <w:tcBorders>
              <w:left w:val="nil"/>
            </w:tcBorders>
            <w:vAlign w:val="top"/>
          </w:tcPr>
          <w:p w14:paraId="050F1849">
            <w:pPr>
              <w:spacing w:before="101" w:line="195" w:lineRule="auto"/>
              <w:ind w:left="730"/>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154" w:type="dxa"/>
            <w:vAlign w:val="top"/>
          </w:tcPr>
          <w:p w14:paraId="49C056C9">
            <w:pPr>
              <w:pStyle w:val="6"/>
              <w:spacing w:before="64" w:line="231" w:lineRule="auto"/>
              <w:ind w:left="974"/>
              <w:rPr>
                <w:sz w:val="20"/>
                <w:szCs w:val="20"/>
              </w:rPr>
            </w:pPr>
            <w:r>
              <w:rPr>
                <w:spacing w:val="2"/>
                <w:sz w:val="20"/>
                <w:szCs w:val="20"/>
              </w:rPr>
              <w:t>镉</w:t>
            </w:r>
          </w:p>
        </w:tc>
        <w:tc>
          <w:tcPr>
            <w:tcW w:w="1858" w:type="dxa"/>
            <w:vAlign w:val="top"/>
          </w:tcPr>
          <w:p w14:paraId="36A90D7C">
            <w:pPr>
              <w:spacing w:before="101"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7440-43-9</w:t>
            </w:r>
          </w:p>
        </w:tc>
        <w:tc>
          <w:tcPr>
            <w:tcW w:w="1858" w:type="dxa"/>
            <w:vAlign w:val="top"/>
          </w:tcPr>
          <w:p w14:paraId="7BC1E998">
            <w:pPr>
              <w:spacing w:before="101" w:line="195" w:lineRule="auto"/>
              <w:ind w:left="829"/>
              <w:rPr>
                <w:rFonts w:ascii="Times New Roman" w:hAnsi="Times New Roman" w:eastAsia="Times New Roman" w:cs="Times New Roman"/>
                <w:sz w:val="20"/>
                <w:szCs w:val="20"/>
              </w:rPr>
            </w:pPr>
            <w:r>
              <w:rPr>
                <w:rFonts w:ascii="Times New Roman" w:hAnsi="Times New Roman" w:eastAsia="Times New Roman" w:cs="Times New Roman"/>
                <w:sz w:val="20"/>
                <w:szCs w:val="20"/>
              </w:rPr>
              <w:t>65</w:t>
            </w:r>
          </w:p>
        </w:tc>
        <w:tc>
          <w:tcPr>
            <w:tcW w:w="1859" w:type="dxa"/>
            <w:tcBorders>
              <w:right w:val="nil"/>
            </w:tcBorders>
            <w:vAlign w:val="top"/>
          </w:tcPr>
          <w:p w14:paraId="2CB93F7F">
            <w:pPr>
              <w:spacing w:before="101"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172</w:t>
            </w:r>
          </w:p>
        </w:tc>
      </w:tr>
      <w:tr w14:paraId="3A4C11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560" w:type="dxa"/>
            <w:tcBorders>
              <w:left w:val="nil"/>
            </w:tcBorders>
            <w:vAlign w:val="top"/>
          </w:tcPr>
          <w:p w14:paraId="49FCC4D3">
            <w:pPr>
              <w:spacing w:before="102" w:line="195" w:lineRule="auto"/>
              <w:ind w:left="734"/>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154" w:type="dxa"/>
            <w:vAlign w:val="top"/>
          </w:tcPr>
          <w:p w14:paraId="41C2FFFC">
            <w:pPr>
              <w:pStyle w:val="6"/>
              <w:spacing w:before="64" w:line="226" w:lineRule="auto"/>
              <w:ind w:left="555"/>
              <w:rPr>
                <w:sz w:val="20"/>
                <w:szCs w:val="20"/>
              </w:rPr>
            </w:pPr>
            <w:r>
              <w:rPr>
                <w:spacing w:val="6"/>
                <w:sz w:val="20"/>
                <w:szCs w:val="20"/>
              </w:rPr>
              <w:t>铬（六价）</w:t>
            </w:r>
          </w:p>
        </w:tc>
        <w:tc>
          <w:tcPr>
            <w:tcW w:w="1858" w:type="dxa"/>
            <w:vAlign w:val="top"/>
          </w:tcPr>
          <w:p w14:paraId="26C9AF92">
            <w:pPr>
              <w:spacing w:before="102" w:line="195" w:lineRule="auto"/>
              <w:ind w:left="4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18540-29-9</w:t>
            </w:r>
          </w:p>
        </w:tc>
        <w:tc>
          <w:tcPr>
            <w:tcW w:w="1858" w:type="dxa"/>
            <w:vAlign w:val="top"/>
          </w:tcPr>
          <w:p w14:paraId="29F1FB44">
            <w:pPr>
              <w:spacing w:before="105" w:line="192" w:lineRule="auto"/>
              <w:ind w:left="804"/>
              <w:rPr>
                <w:rFonts w:ascii="Times New Roman" w:hAnsi="Times New Roman" w:eastAsia="Times New Roman" w:cs="Times New Roman"/>
                <w:sz w:val="20"/>
                <w:szCs w:val="20"/>
              </w:rPr>
            </w:pPr>
            <w:r>
              <w:rPr>
                <w:rFonts w:ascii="Times New Roman" w:hAnsi="Times New Roman" w:eastAsia="Times New Roman" w:cs="Times New Roman"/>
                <w:sz w:val="20"/>
                <w:szCs w:val="20"/>
              </w:rPr>
              <w:t>5.7</w:t>
            </w:r>
          </w:p>
        </w:tc>
        <w:tc>
          <w:tcPr>
            <w:tcW w:w="1859" w:type="dxa"/>
            <w:tcBorders>
              <w:right w:val="nil"/>
            </w:tcBorders>
            <w:vAlign w:val="top"/>
          </w:tcPr>
          <w:p w14:paraId="44BF5606">
            <w:pPr>
              <w:spacing w:before="102" w:line="195" w:lineRule="auto"/>
              <w:ind w:left="83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78</w:t>
            </w:r>
          </w:p>
        </w:tc>
      </w:tr>
      <w:tr w14:paraId="4BBD6C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560" w:type="dxa"/>
            <w:tcBorders>
              <w:left w:val="nil"/>
            </w:tcBorders>
            <w:vAlign w:val="top"/>
          </w:tcPr>
          <w:p w14:paraId="0FE0E6FD">
            <w:pPr>
              <w:spacing w:before="104" w:line="195" w:lineRule="auto"/>
              <w:ind w:left="72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154" w:type="dxa"/>
            <w:vAlign w:val="top"/>
          </w:tcPr>
          <w:p w14:paraId="0512639D">
            <w:pPr>
              <w:pStyle w:val="6"/>
              <w:spacing w:before="65" w:line="229" w:lineRule="auto"/>
              <w:ind w:left="976"/>
              <w:rPr>
                <w:sz w:val="20"/>
                <w:szCs w:val="20"/>
              </w:rPr>
            </w:pPr>
            <w:r>
              <w:rPr>
                <w:sz w:val="20"/>
                <w:szCs w:val="20"/>
              </w:rPr>
              <w:t>铜</w:t>
            </w:r>
          </w:p>
        </w:tc>
        <w:tc>
          <w:tcPr>
            <w:tcW w:w="1858" w:type="dxa"/>
            <w:vAlign w:val="top"/>
          </w:tcPr>
          <w:p w14:paraId="3BC49A94">
            <w:pPr>
              <w:spacing w:before="104"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7440-50-8</w:t>
            </w:r>
          </w:p>
        </w:tc>
        <w:tc>
          <w:tcPr>
            <w:tcW w:w="1858" w:type="dxa"/>
            <w:vAlign w:val="top"/>
          </w:tcPr>
          <w:p w14:paraId="1D62423B">
            <w:pPr>
              <w:spacing w:before="104" w:line="195" w:lineRule="auto"/>
              <w:ind w:left="688"/>
              <w:rPr>
                <w:rFonts w:ascii="Times New Roman" w:hAnsi="Times New Roman" w:eastAsia="Times New Roman" w:cs="Times New Roman"/>
                <w:sz w:val="20"/>
                <w:szCs w:val="20"/>
              </w:rPr>
            </w:pPr>
            <w:r>
              <w:rPr>
                <w:rFonts w:ascii="Times New Roman" w:hAnsi="Times New Roman" w:eastAsia="Times New Roman" w:cs="Times New Roman"/>
                <w:sz w:val="20"/>
                <w:szCs w:val="20"/>
              </w:rPr>
              <w:t>18000</w:t>
            </w:r>
          </w:p>
        </w:tc>
        <w:tc>
          <w:tcPr>
            <w:tcW w:w="1859" w:type="dxa"/>
            <w:tcBorders>
              <w:right w:val="nil"/>
            </w:tcBorders>
            <w:vAlign w:val="top"/>
          </w:tcPr>
          <w:p w14:paraId="0DE1B820">
            <w:pPr>
              <w:spacing w:before="104" w:line="195" w:lineRule="auto"/>
              <w:ind w:left="67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36000</w:t>
            </w:r>
          </w:p>
        </w:tc>
      </w:tr>
      <w:tr w14:paraId="6B24CA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560" w:type="dxa"/>
            <w:tcBorders>
              <w:left w:val="nil"/>
            </w:tcBorders>
            <w:vAlign w:val="top"/>
          </w:tcPr>
          <w:p w14:paraId="475923F5">
            <w:pPr>
              <w:spacing w:before="106" w:line="192" w:lineRule="auto"/>
              <w:ind w:left="736"/>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154" w:type="dxa"/>
            <w:vAlign w:val="top"/>
          </w:tcPr>
          <w:p w14:paraId="2E060DF8">
            <w:pPr>
              <w:pStyle w:val="6"/>
              <w:spacing w:before="67" w:line="232" w:lineRule="auto"/>
              <w:ind w:left="976"/>
              <w:rPr>
                <w:sz w:val="20"/>
                <w:szCs w:val="20"/>
              </w:rPr>
            </w:pPr>
            <w:r>
              <w:rPr>
                <w:sz w:val="20"/>
                <w:szCs w:val="20"/>
              </w:rPr>
              <w:t>铅</w:t>
            </w:r>
          </w:p>
        </w:tc>
        <w:tc>
          <w:tcPr>
            <w:tcW w:w="1858" w:type="dxa"/>
            <w:vAlign w:val="top"/>
          </w:tcPr>
          <w:p w14:paraId="48895A4E">
            <w:pPr>
              <w:spacing w:before="103"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7439-92-1</w:t>
            </w:r>
          </w:p>
        </w:tc>
        <w:tc>
          <w:tcPr>
            <w:tcW w:w="1858" w:type="dxa"/>
            <w:vAlign w:val="top"/>
          </w:tcPr>
          <w:p w14:paraId="59490459">
            <w:pPr>
              <w:spacing w:before="103" w:line="195" w:lineRule="auto"/>
              <w:ind w:left="780"/>
              <w:rPr>
                <w:rFonts w:ascii="Times New Roman" w:hAnsi="Times New Roman" w:eastAsia="Times New Roman" w:cs="Times New Roman"/>
                <w:sz w:val="20"/>
                <w:szCs w:val="20"/>
              </w:rPr>
            </w:pPr>
            <w:r>
              <w:rPr>
                <w:rFonts w:ascii="Times New Roman" w:hAnsi="Times New Roman" w:eastAsia="Times New Roman" w:cs="Times New Roman"/>
                <w:sz w:val="20"/>
                <w:szCs w:val="20"/>
              </w:rPr>
              <w:t>800</w:t>
            </w:r>
          </w:p>
        </w:tc>
        <w:tc>
          <w:tcPr>
            <w:tcW w:w="1859" w:type="dxa"/>
            <w:tcBorders>
              <w:right w:val="nil"/>
            </w:tcBorders>
            <w:vAlign w:val="top"/>
          </w:tcPr>
          <w:p w14:paraId="2CA27CA9">
            <w:pPr>
              <w:spacing w:before="103" w:line="195" w:lineRule="auto"/>
              <w:ind w:left="72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2500</w:t>
            </w:r>
          </w:p>
        </w:tc>
      </w:tr>
      <w:tr w14:paraId="4ADC58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51BADAE3">
            <w:pPr>
              <w:spacing w:before="104" w:line="195" w:lineRule="auto"/>
              <w:ind w:left="735"/>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154" w:type="dxa"/>
            <w:vAlign w:val="top"/>
          </w:tcPr>
          <w:p w14:paraId="284667DE">
            <w:pPr>
              <w:pStyle w:val="6"/>
              <w:spacing w:before="69" w:line="228" w:lineRule="auto"/>
              <w:ind w:left="977"/>
              <w:rPr>
                <w:sz w:val="20"/>
                <w:szCs w:val="20"/>
              </w:rPr>
            </w:pPr>
            <w:r>
              <w:rPr>
                <w:sz w:val="20"/>
                <w:szCs w:val="20"/>
              </w:rPr>
              <w:t>汞</w:t>
            </w:r>
          </w:p>
        </w:tc>
        <w:tc>
          <w:tcPr>
            <w:tcW w:w="1858" w:type="dxa"/>
            <w:vAlign w:val="top"/>
          </w:tcPr>
          <w:p w14:paraId="75DFDCF0">
            <w:pPr>
              <w:spacing w:before="104"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7439-97-6</w:t>
            </w:r>
          </w:p>
        </w:tc>
        <w:tc>
          <w:tcPr>
            <w:tcW w:w="1858" w:type="dxa"/>
            <w:vAlign w:val="top"/>
          </w:tcPr>
          <w:p w14:paraId="3179C1CE">
            <w:pPr>
              <w:spacing w:before="104" w:line="195" w:lineRule="auto"/>
              <w:ind w:left="829"/>
              <w:rPr>
                <w:rFonts w:ascii="Times New Roman" w:hAnsi="Times New Roman" w:eastAsia="Times New Roman" w:cs="Times New Roman"/>
                <w:sz w:val="20"/>
                <w:szCs w:val="20"/>
              </w:rPr>
            </w:pPr>
            <w:r>
              <w:rPr>
                <w:rFonts w:ascii="Times New Roman" w:hAnsi="Times New Roman" w:eastAsia="Times New Roman" w:cs="Times New Roman"/>
                <w:sz w:val="20"/>
                <w:szCs w:val="20"/>
              </w:rPr>
              <w:t>38</w:t>
            </w:r>
          </w:p>
        </w:tc>
        <w:tc>
          <w:tcPr>
            <w:tcW w:w="1859" w:type="dxa"/>
            <w:tcBorders>
              <w:right w:val="nil"/>
            </w:tcBorders>
            <w:vAlign w:val="top"/>
          </w:tcPr>
          <w:p w14:paraId="12A2EE46">
            <w:pPr>
              <w:spacing w:before="104" w:line="195" w:lineRule="auto"/>
              <w:ind w:left="8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82</w:t>
            </w:r>
          </w:p>
        </w:tc>
      </w:tr>
      <w:tr w14:paraId="45DD03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1560" w:type="dxa"/>
            <w:tcBorders>
              <w:left w:val="nil"/>
            </w:tcBorders>
            <w:vAlign w:val="top"/>
          </w:tcPr>
          <w:p w14:paraId="4252C11F">
            <w:pPr>
              <w:spacing w:before="107" w:line="192" w:lineRule="auto"/>
              <w:ind w:left="733"/>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154" w:type="dxa"/>
            <w:vAlign w:val="top"/>
          </w:tcPr>
          <w:p w14:paraId="411D2F3B">
            <w:pPr>
              <w:pStyle w:val="6"/>
              <w:spacing w:before="69" w:line="228" w:lineRule="auto"/>
              <w:ind w:left="975"/>
              <w:rPr>
                <w:sz w:val="20"/>
                <w:szCs w:val="20"/>
              </w:rPr>
            </w:pPr>
            <w:r>
              <w:rPr>
                <w:spacing w:val="1"/>
                <w:sz w:val="20"/>
                <w:szCs w:val="20"/>
              </w:rPr>
              <w:t>镍</w:t>
            </w:r>
          </w:p>
        </w:tc>
        <w:tc>
          <w:tcPr>
            <w:tcW w:w="1858" w:type="dxa"/>
            <w:vAlign w:val="top"/>
          </w:tcPr>
          <w:p w14:paraId="09774CA8">
            <w:pPr>
              <w:spacing w:before="104"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7440-02-0</w:t>
            </w:r>
          </w:p>
        </w:tc>
        <w:tc>
          <w:tcPr>
            <w:tcW w:w="1858" w:type="dxa"/>
            <w:vAlign w:val="top"/>
          </w:tcPr>
          <w:p w14:paraId="28F687A3">
            <w:pPr>
              <w:spacing w:before="104" w:line="195" w:lineRule="auto"/>
              <w:ind w:left="7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900</w:t>
            </w:r>
          </w:p>
        </w:tc>
        <w:tc>
          <w:tcPr>
            <w:tcW w:w="1859" w:type="dxa"/>
            <w:tcBorders>
              <w:right w:val="nil"/>
            </w:tcBorders>
            <w:vAlign w:val="top"/>
          </w:tcPr>
          <w:p w14:paraId="07A3A7C5">
            <w:pPr>
              <w:spacing w:before="104" w:line="195" w:lineRule="auto"/>
              <w:ind w:left="72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2000</w:t>
            </w:r>
          </w:p>
        </w:tc>
      </w:tr>
    </w:tbl>
    <w:p w14:paraId="02BFE30B">
      <w:pPr>
        <w:spacing w:before="65" w:line="227" w:lineRule="auto"/>
        <w:ind w:left="4021"/>
        <w:rPr>
          <w:rFonts w:ascii="宋体" w:hAnsi="宋体" w:eastAsia="宋体" w:cs="宋体"/>
          <w:sz w:val="20"/>
          <w:szCs w:val="20"/>
        </w:rPr>
      </w:pPr>
      <w:r>
        <w:rPr>
          <w:rFonts w:ascii="宋体" w:hAnsi="宋体" w:eastAsia="宋体" w:cs="宋体"/>
          <w:spacing w:val="8"/>
          <w:sz w:val="20"/>
          <w:szCs w:val="20"/>
        </w:rPr>
        <w:t>挥发性有机物</w:t>
      </w:r>
    </w:p>
    <w:p w14:paraId="1E255092">
      <w:pPr>
        <w:spacing w:line="29" w:lineRule="exact"/>
      </w:pPr>
    </w:p>
    <w:tbl>
      <w:tblPr>
        <w:tblStyle w:val="5"/>
        <w:tblW w:w="92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0"/>
        <w:gridCol w:w="2154"/>
        <w:gridCol w:w="1858"/>
        <w:gridCol w:w="1858"/>
        <w:gridCol w:w="1859"/>
      </w:tblGrid>
      <w:tr w14:paraId="377B82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1560" w:type="dxa"/>
            <w:tcBorders>
              <w:left w:val="nil"/>
            </w:tcBorders>
            <w:vAlign w:val="top"/>
          </w:tcPr>
          <w:p w14:paraId="37D76192">
            <w:pPr>
              <w:spacing w:before="105" w:line="195" w:lineRule="auto"/>
              <w:ind w:left="738"/>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154" w:type="dxa"/>
            <w:vAlign w:val="top"/>
          </w:tcPr>
          <w:p w14:paraId="7E1F3C2A">
            <w:pPr>
              <w:pStyle w:val="6"/>
              <w:spacing w:before="67" w:line="228" w:lineRule="auto"/>
              <w:ind w:left="681"/>
              <w:rPr>
                <w:sz w:val="20"/>
                <w:szCs w:val="20"/>
              </w:rPr>
            </w:pPr>
            <w:r>
              <w:rPr>
                <w:spacing w:val="2"/>
                <w:sz w:val="20"/>
                <w:szCs w:val="20"/>
              </w:rPr>
              <w:t>四氯化碳</w:t>
            </w:r>
          </w:p>
        </w:tc>
        <w:tc>
          <w:tcPr>
            <w:tcW w:w="1858" w:type="dxa"/>
            <w:vAlign w:val="top"/>
          </w:tcPr>
          <w:p w14:paraId="35CCD9F6">
            <w:pPr>
              <w:spacing w:before="105" w:line="195" w:lineRule="auto"/>
              <w:ind w:left="6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56-23-5</w:t>
            </w:r>
          </w:p>
        </w:tc>
        <w:tc>
          <w:tcPr>
            <w:tcW w:w="1858" w:type="dxa"/>
            <w:vAlign w:val="top"/>
          </w:tcPr>
          <w:p w14:paraId="7206DBE4">
            <w:pPr>
              <w:spacing w:before="105" w:line="195" w:lineRule="auto"/>
              <w:ind w:left="79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1859" w:type="dxa"/>
            <w:tcBorders>
              <w:right w:val="nil"/>
            </w:tcBorders>
            <w:vAlign w:val="top"/>
          </w:tcPr>
          <w:p w14:paraId="37D83677">
            <w:pPr>
              <w:spacing w:before="105" w:line="195" w:lineRule="auto"/>
              <w:ind w:left="831"/>
              <w:rPr>
                <w:rFonts w:ascii="Times New Roman" w:hAnsi="Times New Roman" w:eastAsia="Times New Roman" w:cs="Times New Roman"/>
                <w:sz w:val="20"/>
                <w:szCs w:val="20"/>
              </w:rPr>
            </w:pPr>
            <w:r>
              <w:rPr>
                <w:rFonts w:ascii="Times New Roman" w:hAnsi="Times New Roman" w:eastAsia="Times New Roman" w:cs="Times New Roman"/>
                <w:sz w:val="20"/>
                <w:szCs w:val="20"/>
              </w:rPr>
              <w:t>36</w:t>
            </w:r>
          </w:p>
        </w:tc>
      </w:tr>
      <w:tr w14:paraId="697947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560" w:type="dxa"/>
            <w:tcBorders>
              <w:left w:val="nil"/>
            </w:tcBorders>
            <w:vAlign w:val="top"/>
          </w:tcPr>
          <w:p w14:paraId="46946A85">
            <w:pPr>
              <w:spacing w:before="104" w:line="195" w:lineRule="auto"/>
              <w:ind w:left="734"/>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2154" w:type="dxa"/>
            <w:vAlign w:val="top"/>
          </w:tcPr>
          <w:p w14:paraId="104FC514">
            <w:pPr>
              <w:pStyle w:val="6"/>
              <w:spacing w:before="66" w:line="228" w:lineRule="auto"/>
              <w:ind w:left="876"/>
              <w:rPr>
                <w:sz w:val="20"/>
                <w:szCs w:val="20"/>
              </w:rPr>
            </w:pPr>
            <w:r>
              <w:rPr>
                <w:spacing w:val="3"/>
                <w:sz w:val="20"/>
                <w:szCs w:val="20"/>
              </w:rPr>
              <w:t>氯仿</w:t>
            </w:r>
          </w:p>
        </w:tc>
        <w:tc>
          <w:tcPr>
            <w:tcW w:w="1858" w:type="dxa"/>
            <w:vAlign w:val="top"/>
          </w:tcPr>
          <w:p w14:paraId="1D3194AA">
            <w:pPr>
              <w:spacing w:before="104" w:line="195" w:lineRule="auto"/>
              <w:ind w:left="60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67-66-3</w:t>
            </w:r>
          </w:p>
        </w:tc>
        <w:tc>
          <w:tcPr>
            <w:tcW w:w="1858" w:type="dxa"/>
            <w:vAlign w:val="top"/>
          </w:tcPr>
          <w:p w14:paraId="7301662E">
            <w:pPr>
              <w:spacing w:before="104" w:line="195" w:lineRule="auto"/>
              <w:ind w:left="80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0.9</w:t>
            </w:r>
          </w:p>
        </w:tc>
        <w:tc>
          <w:tcPr>
            <w:tcW w:w="1859" w:type="dxa"/>
            <w:tcBorders>
              <w:right w:val="nil"/>
            </w:tcBorders>
            <w:vAlign w:val="top"/>
          </w:tcPr>
          <w:p w14:paraId="77A8812F">
            <w:pPr>
              <w:spacing w:before="104" w:line="195" w:lineRule="auto"/>
              <w:ind w:left="84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r>
      <w:tr w14:paraId="378CEC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560" w:type="dxa"/>
            <w:tcBorders>
              <w:left w:val="nil"/>
            </w:tcBorders>
            <w:vAlign w:val="top"/>
          </w:tcPr>
          <w:p w14:paraId="2D7046A7">
            <w:pPr>
              <w:spacing w:before="104" w:line="195" w:lineRule="auto"/>
              <w:ind w:left="70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2154" w:type="dxa"/>
            <w:vAlign w:val="top"/>
          </w:tcPr>
          <w:p w14:paraId="248D15EB">
            <w:pPr>
              <w:pStyle w:val="6"/>
              <w:spacing w:before="68" w:line="228" w:lineRule="auto"/>
              <w:ind w:left="771"/>
              <w:rPr>
                <w:sz w:val="20"/>
                <w:szCs w:val="20"/>
              </w:rPr>
            </w:pPr>
            <w:r>
              <w:rPr>
                <w:spacing w:val="5"/>
                <w:sz w:val="20"/>
                <w:szCs w:val="20"/>
              </w:rPr>
              <w:t>氯甲烷</w:t>
            </w:r>
          </w:p>
        </w:tc>
        <w:tc>
          <w:tcPr>
            <w:tcW w:w="1858" w:type="dxa"/>
            <w:vAlign w:val="top"/>
          </w:tcPr>
          <w:p w14:paraId="3DA588CB">
            <w:pPr>
              <w:spacing w:before="104"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74-87-3</w:t>
            </w:r>
          </w:p>
        </w:tc>
        <w:tc>
          <w:tcPr>
            <w:tcW w:w="1858" w:type="dxa"/>
            <w:vAlign w:val="top"/>
          </w:tcPr>
          <w:p w14:paraId="6579961B">
            <w:pPr>
              <w:spacing w:before="104" w:line="195" w:lineRule="auto"/>
              <w:ind w:left="829"/>
              <w:rPr>
                <w:rFonts w:ascii="Times New Roman" w:hAnsi="Times New Roman" w:eastAsia="Times New Roman" w:cs="Times New Roman"/>
                <w:sz w:val="20"/>
                <w:szCs w:val="20"/>
              </w:rPr>
            </w:pPr>
            <w:r>
              <w:rPr>
                <w:rFonts w:ascii="Times New Roman" w:hAnsi="Times New Roman" w:eastAsia="Times New Roman" w:cs="Times New Roman"/>
                <w:sz w:val="20"/>
                <w:szCs w:val="20"/>
              </w:rPr>
              <w:t>37</w:t>
            </w:r>
          </w:p>
        </w:tc>
        <w:tc>
          <w:tcPr>
            <w:tcW w:w="1859" w:type="dxa"/>
            <w:tcBorders>
              <w:right w:val="nil"/>
            </w:tcBorders>
            <w:vAlign w:val="top"/>
          </w:tcPr>
          <w:p w14:paraId="431C6D20">
            <w:pPr>
              <w:spacing w:before="104"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120</w:t>
            </w:r>
          </w:p>
        </w:tc>
      </w:tr>
      <w:tr w14:paraId="3526BA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560" w:type="dxa"/>
            <w:tcBorders>
              <w:left w:val="nil"/>
            </w:tcBorders>
            <w:vAlign w:val="top"/>
          </w:tcPr>
          <w:p w14:paraId="2B1C9859">
            <w:pPr>
              <w:spacing w:before="106" w:line="195" w:lineRule="auto"/>
              <w:ind w:left="702"/>
              <w:rPr>
                <w:rFonts w:ascii="Times New Roman" w:hAnsi="Times New Roman" w:eastAsia="Times New Roman" w:cs="Times New Roman"/>
                <w:sz w:val="20"/>
                <w:szCs w:val="20"/>
              </w:rPr>
            </w:pPr>
            <w:r>
              <w:rPr>
                <w:rFonts w:ascii="Times New Roman" w:hAnsi="Times New Roman" w:eastAsia="Times New Roman" w:cs="Times New Roman"/>
                <w:spacing w:val="-10"/>
                <w:sz w:val="20"/>
                <w:szCs w:val="20"/>
              </w:rPr>
              <w:t>11</w:t>
            </w:r>
          </w:p>
        </w:tc>
        <w:tc>
          <w:tcPr>
            <w:tcW w:w="2154" w:type="dxa"/>
            <w:vAlign w:val="top"/>
          </w:tcPr>
          <w:p w14:paraId="4EE44A8D">
            <w:pPr>
              <w:pStyle w:val="6"/>
              <w:spacing w:before="70" w:line="221" w:lineRule="auto"/>
              <w:ind w:left="512"/>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z w:val="20"/>
                <w:szCs w:val="20"/>
              </w:rPr>
              <w:t>1-</w:t>
            </w:r>
            <w:r>
              <w:rPr>
                <w:sz w:val="20"/>
                <w:szCs w:val="20"/>
              </w:rPr>
              <w:t>二氯乙烷</w:t>
            </w:r>
          </w:p>
        </w:tc>
        <w:tc>
          <w:tcPr>
            <w:tcW w:w="1858" w:type="dxa"/>
            <w:vAlign w:val="top"/>
          </w:tcPr>
          <w:p w14:paraId="6AADE7C5">
            <w:pPr>
              <w:spacing w:before="106"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75-34-3</w:t>
            </w:r>
          </w:p>
        </w:tc>
        <w:tc>
          <w:tcPr>
            <w:tcW w:w="1858" w:type="dxa"/>
            <w:vAlign w:val="top"/>
          </w:tcPr>
          <w:p w14:paraId="0E8D50C1">
            <w:pPr>
              <w:spacing w:before="106" w:line="195" w:lineRule="auto"/>
              <w:ind w:left="881"/>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1859" w:type="dxa"/>
            <w:tcBorders>
              <w:right w:val="nil"/>
            </w:tcBorders>
            <w:vAlign w:val="top"/>
          </w:tcPr>
          <w:p w14:paraId="204B399A">
            <w:pPr>
              <w:spacing w:before="106"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r>
      <w:tr w14:paraId="0DCAFF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560" w:type="dxa"/>
            <w:tcBorders>
              <w:left w:val="nil"/>
            </w:tcBorders>
            <w:vAlign w:val="top"/>
          </w:tcPr>
          <w:p w14:paraId="556CA478">
            <w:pPr>
              <w:spacing w:before="109" w:line="195" w:lineRule="auto"/>
              <w:ind w:left="70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2154" w:type="dxa"/>
            <w:vAlign w:val="top"/>
          </w:tcPr>
          <w:p w14:paraId="6A90ADD8">
            <w:pPr>
              <w:pStyle w:val="6"/>
              <w:spacing w:before="72" w:line="221" w:lineRule="auto"/>
              <w:ind w:left="512"/>
              <w:rPr>
                <w:sz w:val="20"/>
                <w:szCs w:val="20"/>
              </w:rPr>
            </w:pPr>
            <w:r>
              <w:rPr>
                <w:rFonts w:ascii="Times New Roman" w:hAnsi="Times New Roman" w:eastAsia="Times New Roman" w:cs="Times New Roman"/>
                <w:spacing w:val="3"/>
                <w:sz w:val="20"/>
                <w:szCs w:val="20"/>
              </w:rPr>
              <w:t>1,2-</w:t>
            </w:r>
            <w:r>
              <w:rPr>
                <w:spacing w:val="3"/>
                <w:sz w:val="20"/>
                <w:szCs w:val="20"/>
              </w:rPr>
              <w:t>二氯乙烷</w:t>
            </w:r>
          </w:p>
        </w:tc>
        <w:tc>
          <w:tcPr>
            <w:tcW w:w="1858" w:type="dxa"/>
            <w:vAlign w:val="top"/>
          </w:tcPr>
          <w:p w14:paraId="6E798313">
            <w:pPr>
              <w:spacing w:before="108" w:line="195"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107-06-2</w:t>
            </w:r>
          </w:p>
        </w:tc>
        <w:tc>
          <w:tcPr>
            <w:tcW w:w="1858" w:type="dxa"/>
            <w:vAlign w:val="top"/>
          </w:tcPr>
          <w:p w14:paraId="055A10A0">
            <w:pPr>
              <w:spacing w:before="111" w:line="192" w:lineRule="auto"/>
              <w:ind w:left="883"/>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859" w:type="dxa"/>
            <w:tcBorders>
              <w:right w:val="nil"/>
            </w:tcBorders>
            <w:vAlign w:val="top"/>
          </w:tcPr>
          <w:p w14:paraId="124CD732">
            <w:pPr>
              <w:spacing w:before="109" w:line="195" w:lineRule="auto"/>
              <w:ind w:left="82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21</w:t>
            </w:r>
          </w:p>
        </w:tc>
      </w:tr>
      <w:tr w14:paraId="6E9D1A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560" w:type="dxa"/>
            <w:tcBorders>
              <w:left w:val="nil"/>
            </w:tcBorders>
            <w:vAlign w:val="top"/>
          </w:tcPr>
          <w:p w14:paraId="655B5FE6">
            <w:pPr>
              <w:spacing w:before="111" w:line="195" w:lineRule="auto"/>
              <w:ind w:left="70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13</w:t>
            </w:r>
          </w:p>
        </w:tc>
        <w:tc>
          <w:tcPr>
            <w:tcW w:w="2154" w:type="dxa"/>
            <w:vAlign w:val="top"/>
          </w:tcPr>
          <w:p w14:paraId="6EAA957A">
            <w:pPr>
              <w:pStyle w:val="6"/>
              <w:spacing w:before="75" w:line="221" w:lineRule="auto"/>
              <w:ind w:left="512"/>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z w:val="20"/>
                <w:szCs w:val="20"/>
              </w:rPr>
              <w:t>1-</w:t>
            </w:r>
            <w:r>
              <w:rPr>
                <w:sz w:val="20"/>
                <w:szCs w:val="20"/>
              </w:rPr>
              <w:t>二氯乙烯</w:t>
            </w:r>
          </w:p>
        </w:tc>
        <w:tc>
          <w:tcPr>
            <w:tcW w:w="1858" w:type="dxa"/>
            <w:vAlign w:val="top"/>
          </w:tcPr>
          <w:p w14:paraId="13B68066">
            <w:pPr>
              <w:spacing w:before="111"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75-35-4</w:t>
            </w:r>
          </w:p>
        </w:tc>
        <w:tc>
          <w:tcPr>
            <w:tcW w:w="1858" w:type="dxa"/>
            <w:vAlign w:val="top"/>
          </w:tcPr>
          <w:p w14:paraId="695A231A">
            <w:pPr>
              <w:spacing w:before="111" w:line="195" w:lineRule="auto"/>
              <w:ind w:left="829"/>
              <w:rPr>
                <w:rFonts w:ascii="Times New Roman" w:hAnsi="Times New Roman" w:eastAsia="Times New Roman" w:cs="Times New Roman"/>
                <w:sz w:val="20"/>
                <w:szCs w:val="20"/>
              </w:rPr>
            </w:pPr>
            <w:r>
              <w:rPr>
                <w:rFonts w:ascii="Times New Roman" w:hAnsi="Times New Roman" w:eastAsia="Times New Roman" w:cs="Times New Roman"/>
                <w:sz w:val="20"/>
                <w:szCs w:val="20"/>
              </w:rPr>
              <w:t>66</w:t>
            </w:r>
          </w:p>
        </w:tc>
        <w:tc>
          <w:tcPr>
            <w:tcW w:w="1859" w:type="dxa"/>
            <w:tcBorders>
              <w:right w:val="nil"/>
            </w:tcBorders>
            <w:vAlign w:val="top"/>
          </w:tcPr>
          <w:p w14:paraId="405D1AA4">
            <w:pPr>
              <w:spacing w:before="111" w:line="195" w:lineRule="auto"/>
              <w:ind w:left="77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r>
      <w:tr w14:paraId="304F14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560" w:type="dxa"/>
            <w:tcBorders>
              <w:left w:val="nil"/>
            </w:tcBorders>
            <w:vAlign w:val="top"/>
          </w:tcPr>
          <w:p w14:paraId="5355C05B">
            <w:pPr>
              <w:spacing w:before="113" w:line="195" w:lineRule="auto"/>
              <w:ind w:left="70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14</w:t>
            </w:r>
          </w:p>
        </w:tc>
        <w:tc>
          <w:tcPr>
            <w:tcW w:w="2154" w:type="dxa"/>
            <w:vAlign w:val="top"/>
          </w:tcPr>
          <w:p w14:paraId="2FA5D240">
            <w:pPr>
              <w:pStyle w:val="6"/>
              <w:spacing w:before="75" w:line="221" w:lineRule="auto"/>
              <w:ind w:left="358"/>
              <w:rPr>
                <w:sz w:val="20"/>
                <w:szCs w:val="20"/>
              </w:rPr>
            </w:pPr>
            <w:r>
              <w:rPr>
                <w:spacing w:val="5"/>
                <w:sz w:val="20"/>
                <w:szCs w:val="20"/>
              </w:rPr>
              <w:t>顺</w:t>
            </w:r>
            <w:r>
              <w:rPr>
                <w:rFonts w:ascii="Times New Roman" w:hAnsi="Times New Roman" w:eastAsia="Times New Roman" w:cs="Times New Roman"/>
                <w:spacing w:val="5"/>
                <w:sz w:val="20"/>
                <w:szCs w:val="20"/>
              </w:rPr>
              <w:t>-1,2-</w:t>
            </w:r>
            <w:r>
              <w:rPr>
                <w:spacing w:val="5"/>
                <w:sz w:val="20"/>
                <w:szCs w:val="20"/>
              </w:rPr>
              <w:t>二氯乙烯</w:t>
            </w:r>
          </w:p>
        </w:tc>
        <w:tc>
          <w:tcPr>
            <w:tcW w:w="1858" w:type="dxa"/>
            <w:vAlign w:val="top"/>
          </w:tcPr>
          <w:p w14:paraId="12391FE3">
            <w:pPr>
              <w:spacing w:before="113" w:line="195"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156-59-2</w:t>
            </w:r>
          </w:p>
        </w:tc>
        <w:tc>
          <w:tcPr>
            <w:tcW w:w="1858" w:type="dxa"/>
            <w:vAlign w:val="top"/>
          </w:tcPr>
          <w:p w14:paraId="275D8EFC">
            <w:pPr>
              <w:spacing w:before="113" w:line="195" w:lineRule="auto"/>
              <w:ind w:left="77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596</w:t>
            </w:r>
          </w:p>
        </w:tc>
        <w:tc>
          <w:tcPr>
            <w:tcW w:w="1859" w:type="dxa"/>
            <w:tcBorders>
              <w:right w:val="nil"/>
            </w:tcBorders>
            <w:vAlign w:val="top"/>
          </w:tcPr>
          <w:p w14:paraId="61AA636B">
            <w:pPr>
              <w:spacing w:before="113" w:line="195" w:lineRule="auto"/>
              <w:ind w:left="72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2000</w:t>
            </w:r>
          </w:p>
        </w:tc>
      </w:tr>
      <w:tr w14:paraId="225E87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560" w:type="dxa"/>
            <w:tcBorders>
              <w:left w:val="nil"/>
            </w:tcBorders>
            <w:vAlign w:val="top"/>
          </w:tcPr>
          <w:p w14:paraId="737EEB52">
            <w:pPr>
              <w:spacing w:before="116" w:line="195" w:lineRule="auto"/>
              <w:ind w:left="70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2154" w:type="dxa"/>
            <w:vAlign w:val="top"/>
          </w:tcPr>
          <w:p w14:paraId="6E140956">
            <w:pPr>
              <w:pStyle w:val="6"/>
              <w:spacing w:before="77" w:line="221" w:lineRule="auto"/>
              <w:ind w:left="358"/>
              <w:rPr>
                <w:sz w:val="20"/>
                <w:szCs w:val="20"/>
              </w:rPr>
            </w:pPr>
            <w:r>
              <w:rPr>
                <w:spacing w:val="5"/>
                <w:sz w:val="20"/>
                <w:szCs w:val="20"/>
              </w:rPr>
              <w:t>反</w:t>
            </w:r>
            <w:r>
              <w:rPr>
                <w:rFonts w:ascii="Times New Roman" w:hAnsi="Times New Roman" w:eastAsia="Times New Roman" w:cs="Times New Roman"/>
                <w:spacing w:val="5"/>
                <w:sz w:val="20"/>
                <w:szCs w:val="20"/>
              </w:rPr>
              <w:t>-1,2-</w:t>
            </w:r>
            <w:r>
              <w:rPr>
                <w:spacing w:val="5"/>
                <w:sz w:val="20"/>
                <w:szCs w:val="20"/>
              </w:rPr>
              <w:t>二氯乙烯</w:t>
            </w:r>
          </w:p>
        </w:tc>
        <w:tc>
          <w:tcPr>
            <w:tcW w:w="1858" w:type="dxa"/>
            <w:vAlign w:val="top"/>
          </w:tcPr>
          <w:p w14:paraId="13402425">
            <w:pPr>
              <w:spacing w:before="116" w:line="195"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156-60-5</w:t>
            </w:r>
          </w:p>
        </w:tc>
        <w:tc>
          <w:tcPr>
            <w:tcW w:w="1858" w:type="dxa"/>
            <w:vAlign w:val="top"/>
          </w:tcPr>
          <w:p w14:paraId="40AC25DD">
            <w:pPr>
              <w:spacing w:before="116" w:line="195" w:lineRule="auto"/>
              <w:ind w:left="830"/>
              <w:rPr>
                <w:rFonts w:ascii="Times New Roman" w:hAnsi="Times New Roman" w:eastAsia="Times New Roman" w:cs="Times New Roman"/>
                <w:sz w:val="20"/>
                <w:szCs w:val="20"/>
              </w:rPr>
            </w:pPr>
            <w:r>
              <w:rPr>
                <w:rFonts w:ascii="Times New Roman" w:hAnsi="Times New Roman" w:eastAsia="Times New Roman" w:cs="Times New Roman"/>
                <w:sz w:val="20"/>
                <w:szCs w:val="20"/>
              </w:rPr>
              <w:t>54</w:t>
            </w:r>
          </w:p>
        </w:tc>
        <w:tc>
          <w:tcPr>
            <w:tcW w:w="1859" w:type="dxa"/>
            <w:tcBorders>
              <w:right w:val="nil"/>
            </w:tcBorders>
            <w:vAlign w:val="top"/>
          </w:tcPr>
          <w:p w14:paraId="0FEC6195">
            <w:pPr>
              <w:spacing w:before="116"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163</w:t>
            </w:r>
          </w:p>
        </w:tc>
      </w:tr>
      <w:tr w14:paraId="788F79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560" w:type="dxa"/>
            <w:tcBorders>
              <w:left w:val="nil"/>
            </w:tcBorders>
            <w:vAlign w:val="top"/>
          </w:tcPr>
          <w:p w14:paraId="3FAC87B1">
            <w:pPr>
              <w:spacing w:before="116" w:line="195" w:lineRule="auto"/>
              <w:ind w:left="70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16</w:t>
            </w:r>
          </w:p>
        </w:tc>
        <w:tc>
          <w:tcPr>
            <w:tcW w:w="2154" w:type="dxa"/>
            <w:vAlign w:val="top"/>
          </w:tcPr>
          <w:p w14:paraId="4D0E096B">
            <w:pPr>
              <w:pStyle w:val="6"/>
              <w:spacing w:before="80" w:line="228" w:lineRule="auto"/>
              <w:ind w:left="665"/>
              <w:rPr>
                <w:sz w:val="20"/>
                <w:szCs w:val="20"/>
              </w:rPr>
            </w:pPr>
            <w:r>
              <w:rPr>
                <w:spacing w:val="6"/>
                <w:sz w:val="20"/>
                <w:szCs w:val="20"/>
              </w:rPr>
              <w:t>二氯甲烷</w:t>
            </w:r>
          </w:p>
        </w:tc>
        <w:tc>
          <w:tcPr>
            <w:tcW w:w="1858" w:type="dxa"/>
            <w:vAlign w:val="top"/>
          </w:tcPr>
          <w:p w14:paraId="452BE7E2">
            <w:pPr>
              <w:spacing w:before="116"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75-09-2</w:t>
            </w:r>
          </w:p>
        </w:tc>
        <w:tc>
          <w:tcPr>
            <w:tcW w:w="1858" w:type="dxa"/>
            <w:vAlign w:val="top"/>
          </w:tcPr>
          <w:p w14:paraId="77337665">
            <w:pPr>
              <w:spacing w:before="116" w:line="195" w:lineRule="auto"/>
              <w:ind w:left="7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616</w:t>
            </w:r>
          </w:p>
        </w:tc>
        <w:tc>
          <w:tcPr>
            <w:tcW w:w="1859" w:type="dxa"/>
            <w:tcBorders>
              <w:right w:val="nil"/>
            </w:tcBorders>
            <w:vAlign w:val="top"/>
          </w:tcPr>
          <w:p w14:paraId="346E89C6">
            <w:pPr>
              <w:spacing w:before="116" w:line="195" w:lineRule="auto"/>
              <w:ind w:left="72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2000</w:t>
            </w:r>
          </w:p>
        </w:tc>
      </w:tr>
      <w:tr w14:paraId="498320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560" w:type="dxa"/>
            <w:tcBorders>
              <w:left w:val="nil"/>
            </w:tcBorders>
            <w:vAlign w:val="top"/>
          </w:tcPr>
          <w:p w14:paraId="10C2767D">
            <w:pPr>
              <w:spacing w:before="118" w:line="195" w:lineRule="auto"/>
              <w:ind w:left="70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17</w:t>
            </w:r>
          </w:p>
        </w:tc>
        <w:tc>
          <w:tcPr>
            <w:tcW w:w="2154" w:type="dxa"/>
            <w:vAlign w:val="top"/>
          </w:tcPr>
          <w:p w14:paraId="2B81CB9E">
            <w:pPr>
              <w:pStyle w:val="6"/>
              <w:spacing w:before="82" w:line="221" w:lineRule="auto"/>
              <w:ind w:left="512"/>
              <w:rPr>
                <w:sz w:val="20"/>
                <w:szCs w:val="20"/>
              </w:rPr>
            </w:pPr>
            <w:r>
              <w:rPr>
                <w:rFonts w:ascii="Times New Roman" w:hAnsi="Times New Roman" w:eastAsia="Times New Roman" w:cs="Times New Roman"/>
                <w:spacing w:val="3"/>
                <w:sz w:val="20"/>
                <w:szCs w:val="20"/>
              </w:rPr>
              <w:t>1,2-</w:t>
            </w:r>
            <w:r>
              <w:rPr>
                <w:spacing w:val="3"/>
                <w:sz w:val="20"/>
                <w:szCs w:val="20"/>
              </w:rPr>
              <w:t>二氯丙烷</w:t>
            </w:r>
          </w:p>
        </w:tc>
        <w:tc>
          <w:tcPr>
            <w:tcW w:w="1858" w:type="dxa"/>
            <w:vAlign w:val="top"/>
          </w:tcPr>
          <w:p w14:paraId="76497B4B">
            <w:pPr>
              <w:spacing w:before="118"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78-87-5</w:t>
            </w:r>
          </w:p>
        </w:tc>
        <w:tc>
          <w:tcPr>
            <w:tcW w:w="1858" w:type="dxa"/>
            <w:vAlign w:val="top"/>
          </w:tcPr>
          <w:p w14:paraId="0D199A2B">
            <w:pPr>
              <w:spacing w:before="121" w:line="192" w:lineRule="auto"/>
              <w:ind w:left="883"/>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859" w:type="dxa"/>
            <w:tcBorders>
              <w:right w:val="nil"/>
            </w:tcBorders>
            <w:vAlign w:val="top"/>
          </w:tcPr>
          <w:p w14:paraId="5C20ABFA">
            <w:pPr>
              <w:spacing w:before="118" w:line="195" w:lineRule="auto"/>
              <w:ind w:left="82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w:t>
            </w:r>
          </w:p>
        </w:tc>
      </w:tr>
      <w:tr w14:paraId="1ED710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560" w:type="dxa"/>
            <w:tcBorders>
              <w:left w:val="nil"/>
            </w:tcBorders>
            <w:vAlign w:val="top"/>
          </w:tcPr>
          <w:p w14:paraId="76F5C30E">
            <w:pPr>
              <w:spacing w:before="120" w:line="195" w:lineRule="auto"/>
              <w:ind w:left="70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18</w:t>
            </w:r>
          </w:p>
        </w:tc>
        <w:tc>
          <w:tcPr>
            <w:tcW w:w="2154" w:type="dxa"/>
            <w:vAlign w:val="top"/>
          </w:tcPr>
          <w:p w14:paraId="43AA3F2C">
            <w:pPr>
              <w:pStyle w:val="6"/>
              <w:spacing w:before="84" w:line="221" w:lineRule="auto"/>
              <w:ind w:left="354"/>
              <w:rPr>
                <w:sz w:val="20"/>
                <w:szCs w:val="20"/>
              </w:rPr>
            </w:pPr>
            <w:r>
              <w:rPr>
                <w:rFonts w:ascii="Times New Roman" w:hAnsi="Times New Roman" w:eastAsia="Times New Roman" w:cs="Times New Roman"/>
                <w:spacing w:val="-1"/>
                <w:sz w:val="20"/>
                <w:szCs w:val="20"/>
              </w:rPr>
              <w:t>1,</w:t>
            </w:r>
            <w:r>
              <w:rPr>
                <w:rFonts w:ascii="Times New Roman" w:hAnsi="Times New Roman" w:eastAsia="Times New Roman" w:cs="Times New Roman"/>
                <w:spacing w:val="-20"/>
                <w:sz w:val="20"/>
                <w:szCs w:val="20"/>
              </w:rPr>
              <w:t xml:space="preserve"> </w:t>
            </w:r>
            <w:r>
              <w:rPr>
                <w:rFonts w:ascii="Times New Roman" w:hAnsi="Times New Roman" w:eastAsia="Times New Roman" w:cs="Times New Roman"/>
                <w:spacing w:val="-1"/>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1,2-</w:t>
            </w:r>
            <w:r>
              <w:rPr>
                <w:spacing w:val="-1"/>
                <w:sz w:val="20"/>
                <w:szCs w:val="20"/>
              </w:rPr>
              <w:t>四氯乙烷</w:t>
            </w:r>
          </w:p>
        </w:tc>
        <w:tc>
          <w:tcPr>
            <w:tcW w:w="1858" w:type="dxa"/>
            <w:vAlign w:val="top"/>
          </w:tcPr>
          <w:p w14:paraId="68E251A4">
            <w:pPr>
              <w:spacing w:before="120" w:line="195" w:lineRule="auto"/>
              <w:ind w:left="55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630-20-6</w:t>
            </w:r>
          </w:p>
        </w:tc>
        <w:tc>
          <w:tcPr>
            <w:tcW w:w="1858" w:type="dxa"/>
            <w:vAlign w:val="top"/>
          </w:tcPr>
          <w:p w14:paraId="2F063EFF">
            <w:pPr>
              <w:spacing w:before="120" w:line="195" w:lineRule="auto"/>
              <w:ind w:left="844"/>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859" w:type="dxa"/>
            <w:tcBorders>
              <w:right w:val="nil"/>
            </w:tcBorders>
            <w:vAlign w:val="top"/>
          </w:tcPr>
          <w:p w14:paraId="4CFD6418">
            <w:pPr>
              <w:spacing w:before="120"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r>
      <w:tr w14:paraId="207B6C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560" w:type="dxa"/>
            <w:tcBorders>
              <w:left w:val="nil"/>
              <w:bottom w:val="single" w:color="000000" w:sz="10" w:space="0"/>
            </w:tcBorders>
            <w:vAlign w:val="top"/>
          </w:tcPr>
          <w:p w14:paraId="45AC53C0">
            <w:pPr>
              <w:spacing w:before="123" w:line="195" w:lineRule="auto"/>
              <w:ind w:left="70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19</w:t>
            </w:r>
          </w:p>
        </w:tc>
        <w:tc>
          <w:tcPr>
            <w:tcW w:w="2154" w:type="dxa"/>
            <w:tcBorders>
              <w:bottom w:val="single" w:color="000000" w:sz="10" w:space="0"/>
            </w:tcBorders>
            <w:vAlign w:val="top"/>
          </w:tcPr>
          <w:p w14:paraId="00A2DF05">
            <w:pPr>
              <w:pStyle w:val="6"/>
              <w:spacing w:before="87" w:line="221" w:lineRule="auto"/>
              <w:ind w:left="354"/>
              <w:rPr>
                <w:sz w:val="20"/>
                <w:szCs w:val="20"/>
              </w:rPr>
            </w:pPr>
            <w:r>
              <w:rPr>
                <w:rFonts w:ascii="Times New Roman" w:hAnsi="Times New Roman" w:eastAsia="Times New Roman" w:cs="Times New Roman"/>
                <w:spacing w:val="1"/>
                <w:sz w:val="20"/>
                <w:szCs w:val="20"/>
              </w:rPr>
              <w:t>1,</w:t>
            </w:r>
            <w:r>
              <w:rPr>
                <w:rFonts w:ascii="Times New Roman" w:hAnsi="Times New Roman" w:eastAsia="Times New Roman" w:cs="Times New Roman"/>
                <w:spacing w:val="-19"/>
                <w:sz w:val="20"/>
                <w:szCs w:val="20"/>
              </w:rPr>
              <w:t xml:space="preserve"> </w:t>
            </w:r>
            <w:r>
              <w:rPr>
                <w:rFonts w:ascii="Times New Roman" w:hAnsi="Times New Roman" w:eastAsia="Times New Roman" w:cs="Times New Roman"/>
                <w:spacing w:val="1"/>
                <w:sz w:val="20"/>
                <w:szCs w:val="20"/>
              </w:rPr>
              <w:t>1,2,2-</w:t>
            </w:r>
            <w:r>
              <w:rPr>
                <w:spacing w:val="1"/>
                <w:sz w:val="20"/>
                <w:szCs w:val="20"/>
              </w:rPr>
              <w:t>四氯乙烷</w:t>
            </w:r>
          </w:p>
        </w:tc>
        <w:tc>
          <w:tcPr>
            <w:tcW w:w="1858" w:type="dxa"/>
            <w:tcBorders>
              <w:bottom w:val="single" w:color="000000" w:sz="10" w:space="0"/>
            </w:tcBorders>
            <w:vAlign w:val="top"/>
          </w:tcPr>
          <w:p w14:paraId="16B59462">
            <w:pPr>
              <w:spacing w:before="123"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79-34-5</w:t>
            </w:r>
          </w:p>
        </w:tc>
        <w:tc>
          <w:tcPr>
            <w:tcW w:w="1858" w:type="dxa"/>
            <w:tcBorders>
              <w:bottom w:val="single" w:color="000000" w:sz="10" w:space="0"/>
            </w:tcBorders>
            <w:vAlign w:val="top"/>
          </w:tcPr>
          <w:p w14:paraId="58A65AED">
            <w:pPr>
              <w:spacing w:before="123" w:line="195" w:lineRule="auto"/>
              <w:ind w:left="80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6.8</w:t>
            </w:r>
          </w:p>
        </w:tc>
        <w:tc>
          <w:tcPr>
            <w:tcW w:w="1859" w:type="dxa"/>
            <w:tcBorders>
              <w:bottom w:val="single" w:color="000000" w:sz="10" w:space="0"/>
              <w:right w:val="nil"/>
            </w:tcBorders>
            <w:vAlign w:val="top"/>
          </w:tcPr>
          <w:p w14:paraId="7F1BEAD8">
            <w:pPr>
              <w:spacing w:before="123" w:line="195" w:lineRule="auto"/>
              <w:ind w:left="832"/>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r>
    </w:tbl>
    <w:p w14:paraId="346B4410">
      <w:pPr>
        <w:pStyle w:val="2"/>
      </w:pPr>
    </w:p>
    <w:p w14:paraId="7C7F4FAF">
      <w:pPr>
        <w:sectPr>
          <w:headerReference r:id="rId55" w:type="default"/>
          <w:footerReference r:id="rId56" w:type="default"/>
          <w:pgSz w:w="11907" w:h="16840"/>
          <w:pgMar w:top="1178" w:right="1308" w:bottom="1038" w:left="1309" w:header="870" w:footer="876" w:gutter="0"/>
          <w:cols w:space="720" w:num="1"/>
        </w:sectPr>
      </w:pPr>
    </w:p>
    <w:p w14:paraId="506EE2CE">
      <w:pPr>
        <w:spacing w:line="238" w:lineRule="exact"/>
      </w:pPr>
      <w:r>
        <w:pict>
          <v:shape id="_x0000_s1057" o:spid="_x0000_s1057" style="position:absolute;left:0pt;margin-left:70.85pt;margin-top:59.65pt;height:0.75pt;width:453.65pt;mso-position-horizontal-relative:page;mso-position-vertical-relative:page;z-index:251692032;mso-width-relative:page;mso-height-relative:page;" fillcolor="#000000" filled="t" stroked="f" coordsize="9072,15" o:allowincell="f" path="m0,0l9072,0,9072,14,0,14,0,0xe">
            <v:path/>
            <v:fill on="t" focussize="0,0"/>
            <v:stroke on="f"/>
            <v:imagedata o:title=""/>
            <o:lock v:ext="edit"/>
          </v:shape>
        </w:pict>
      </w:r>
    </w:p>
    <w:tbl>
      <w:tblPr>
        <w:tblStyle w:val="5"/>
        <w:tblW w:w="92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0"/>
        <w:gridCol w:w="2154"/>
        <w:gridCol w:w="1858"/>
        <w:gridCol w:w="1858"/>
        <w:gridCol w:w="1859"/>
      </w:tblGrid>
      <w:tr w14:paraId="0BE976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1560" w:type="dxa"/>
            <w:tcBorders>
              <w:top w:val="single" w:color="000000" w:sz="10" w:space="0"/>
              <w:left w:val="nil"/>
            </w:tcBorders>
            <w:vAlign w:val="top"/>
          </w:tcPr>
          <w:p w14:paraId="04408E51">
            <w:pPr>
              <w:spacing w:before="107" w:line="195"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2154" w:type="dxa"/>
            <w:tcBorders>
              <w:top w:val="single" w:color="000000" w:sz="10" w:space="0"/>
            </w:tcBorders>
            <w:vAlign w:val="top"/>
          </w:tcPr>
          <w:p w14:paraId="1ADDBAEF">
            <w:pPr>
              <w:pStyle w:val="6"/>
              <w:spacing w:before="68" w:line="228" w:lineRule="auto"/>
              <w:ind w:left="681"/>
              <w:rPr>
                <w:sz w:val="20"/>
                <w:szCs w:val="20"/>
              </w:rPr>
            </w:pPr>
            <w:r>
              <w:rPr>
                <w:spacing w:val="2"/>
                <w:sz w:val="20"/>
                <w:szCs w:val="20"/>
              </w:rPr>
              <w:t>四氯乙烯</w:t>
            </w:r>
          </w:p>
        </w:tc>
        <w:tc>
          <w:tcPr>
            <w:tcW w:w="1858" w:type="dxa"/>
            <w:tcBorders>
              <w:top w:val="single" w:color="000000" w:sz="10" w:space="0"/>
            </w:tcBorders>
            <w:vAlign w:val="top"/>
          </w:tcPr>
          <w:p w14:paraId="1BA06041">
            <w:pPr>
              <w:spacing w:before="107" w:line="195"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127-18-4</w:t>
            </w:r>
          </w:p>
        </w:tc>
        <w:tc>
          <w:tcPr>
            <w:tcW w:w="1858" w:type="dxa"/>
            <w:tcBorders>
              <w:top w:val="single" w:color="000000" w:sz="10" w:space="0"/>
            </w:tcBorders>
            <w:vAlign w:val="top"/>
          </w:tcPr>
          <w:p w14:paraId="3296A0FC">
            <w:pPr>
              <w:spacing w:before="107" w:line="195" w:lineRule="auto"/>
              <w:ind w:left="830"/>
              <w:rPr>
                <w:rFonts w:ascii="Times New Roman" w:hAnsi="Times New Roman" w:eastAsia="Times New Roman" w:cs="Times New Roman"/>
                <w:sz w:val="20"/>
                <w:szCs w:val="20"/>
              </w:rPr>
            </w:pPr>
            <w:r>
              <w:rPr>
                <w:rFonts w:ascii="Times New Roman" w:hAnsi="Times New Roman" w:eastAsia="Times New Roman" w:cs="Times New Roman"/>
                <w:sz w:val="20"/>
                <w:szCs w:val="20"/>
              </w:rPr>
              <w:t>53</w:t>
            </w:r>
          </w:p>
        </w:tc>
        <w:tc>
          <w:tcPr>
            <w:tcW w:w="1859" w:type="dxa"/>
            <w:tcBorders>
              <w:top w:val="single" w:color="000000" w:sz="10" w:space="0"/>
              <w:right w:val="nil"/>
            </w:tcBorders>
            <w:vAlign w:val="top"/>
          </w:tcPr>
          <w:p w14:paraId="3CA46C30">
            <w:pPr>
              <w:spacing w:before="107"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183</w:t>
            </w:r>
          </w:p>
        </w:tc>
      </w:tr>
      <w:tr w14:paraId="68B1FE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560" w:type="dxa"/>
            <w:tcBorders>
              <w:left w:val="nil"/>
            </w:tcBorders>
            <w:vAlign w:val="top"/>
          </w:tcPr>
          <w:p w14:paraId="76FB8F4B">
            <w:pPr>
              <w:spacing w:before="101" w:line="195"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21</w:t>
            </w:r>
          </w:p>
        </w:tc>
        <w:tc>
          <w:tcPr>
            <w:tcW w:w="2154" w:type="dxa"/>
            <w:vAlign w:val="top"/>
          </w:tcPr>
          <w:p w14:paraId="14427DE7">
            <w:pPr>
              <w:pStyle w:val="6"/>
              <w:spacing w:before="65" w:line="221" w:lineRule="auto"/>
              <w:ind w:left="433"/>
              <w:rPr>
                <w:sz w:val="20"/>
                <w:szCs w:val="20"/>
              </w:rPr>
            </w:pPr>
            <w:r>
              <w:rPr>
                <w:rFonts w:ascii="Times New Roman" w:hAnsi="Times New Roman" w:eastAsia="Times New Roman" w:cs="Times New Roman"/>
                <w:spacing w:val="-2"/>
                <w:sz w:val="20"/>
                <w:szCs w:val="20"/>
              </w:rPr>
              <w:t>1,</w:t>
            </w:r>
            <w:r>
              <w:rPr>
                <w:rFonts w:ascii="Times New Roman" w:hAnsi="Times New Roman" w:eastAsia="Times New Roman" w:cs="Times New Roman"/>
                <w:spacing w:val="-20"/>
                <w:sz w:val="20"/>
                <w:szCs w:val="20"/>
              </w:rPr>
              <w:t xml:space="preserve"> </w:t>
            </w:r>
            <w:r>
              <w:rPr>
                <w:rFonts w:ascii="Times New Roman" w:hAnsi="Times New Roman" w:eastAsia="Times New Roman" w:cs="Times New Roman"/>
                <w:spacing w:val="-2"/>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2"/>
                <w:sz w:val="20"/>
                <w:szCs w:val="20"/>
              </w:rPr>
              <w:t>1-</w:t>
            </w:r>
            <w:r>
              <w:rPr>
                <w:spacing w:val="-2"/>
                <w:sz w:val="20"/>
                <w:szCs w:val="20"/>
              </w:rPr>
              <w:t>三氯乙烷</w:t>
            </w:r>
          </w:p>
        </w:tc>
        <w:tc>
          <w:tcPr>
            <w:tcW w:w="1858" w:type="dxa"/>
            <w:vAlign w:val="top"/>
          </w:tcPr>
          <w:p w14:paraId="1B3DE673">
            <w:pPr>
              <w:spacing w:before="101"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71-55-6</w:t>
            </w:r>
          </w:p>
        </w:tc>
        <w:tc>
          <w:tcPr>
            <w:tcW w:w="1858" w:type="dxa"/>
            <w:vAlign w:val="top"/>
          </w:tcPr>
          <w:p w14:paraId="02FB543C">
            <w:pPr>
              <w:spacing w:before="101" w:line="195" w:lineRule="auto"/>
              <w:ind w:left="780"/>
              <w:rPr>
                <w:rFonts w:ascii="Times New Roman" w:hAnsi="Times New Roman" w:eastAsia="Times New Roman" w:cs="Times New Roman"/>
                <w:sz w:val="20"/>
                <w:szCs w:val="20"/>
              </w:rPr>
            </w:pPr>
            <w:r>
              <w:rPr>
                <w:rFonts w:ascii="Times New Roman" w:hAnsi="Times New Roman" w:eastAsia="Times New Roman" w:cs="Times New Roman"/>
                <w:sz w:val="20"/>
                <w:szCs w:val="20"/>
              </w:rPr>
              <w:t>840</w:t>
            </w:r>
          </w:p>
        </w:tc>
        <w:tc>
          <w:tcPr>
            <w:tcW w:w="1859" w:type="dxa"/>
            <w:tcBorders>
              <w:right w:val="nil"/>
            </w:tcBorders>
            <w:vAlign w:val="top"/>
          </w:tcPr>
          <w:p w14:paraId="6E045892">
            <w:pPr>
              <w:spacing w:before="101" w:line="195" w:lineRule="auto"/>
              <w:ind w:left="782"/>
              <w:rPr>
                <w:rFonts w:ascii="Times New Roman" w:hAnsi="Times New Roman" w:eastAsia="Times New Roman" w:cs="Times New Roman"/>
                <w:sz w:val="20"/>
                <w:szCs w:val="20"/>
              </w:rPr>
            </w:pPr>
            <w:r>
              <w:rPr>
                <w:rFonts w:ascii="Times New Roman" w:hAnsi="Times New Roman" w:eastAsia="Times New Roman" w:cs="Times New Roman"/>
                <w:sz w:val="20"/>
                <w:szCs w:val="20"/>
              </w:rPr>
              <w:t>840</w:t>
            </w:r>
          </w:p>
        </w:tc>
      </w:tr>
      <w:tr w14:paraId="4AF1B0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560" w:type="dxa"/>
            <w:tcBorders>
              <w:left w:val="nil"/>
            </w:tcBorders>
            <w:vAlign w:val="top"/>
          </w:tcPr>
          <w:p w14:paraId="64CC6630">
            <w:pPr>
              <w:spacing w:before="102" w:line="195"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2154" w:type="dxa"/>
            <w:vAlign w:val="top"/>
          </w:tcPr>
          <w:p w14:paraId="0CB1EC8C">
            <w:pPr>
              <w:pStyle w:val="6"/>
              <w:spacing w:before="66" w:line="221" w:lineRule="auto"/>
              <w:ind w:left="433"/>
              <w:rPr>
                <w:sz w:val="20"/>
                <w:szCs w:val="20"/>
              </w:rPr>
            </w:pPr>
            <w:r>
              <w:rPr>
                <w:rFonts w:ascii="Times New Roman" w:hAnsi="Times New Roman" w:eastAsia="Times New Roman" w:cs="Times New Roman"/>
                <w:spacing w:val="1"/>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1,2-</w:t>
            </w:r>
            <w:r>
              <w:rPr>
                <w:spacing w:val="1"/>
                <w:sz w:val="20"/>
                <w:szCs w:val="20"/>
              </w:rPr>
              <w:t>三氯乙烷</w:t>
            </w:r>
          </w:p>
        </w:tc>
        <w:tc>
          <w:tcPr>
            <w:tcW w:w="1858" w:type="dxa"/>
            <w:vAlign w:val="top"/>
          </w:tcPr>
          <w:p w14:paraId="14AB322B">
            <w:pPr>
              <w:spacing w:before="102"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79-00-5</w:t>
            </w:r>
          </w:p>
        </w:tc>
        <w:tc>
          <w:tcPr>
            <w:tcW w:w="1858" w:type="dxa"/>
            <w:vAlign w:val="top"/>
          </w:tcPr>
          <w:p w14:paraId="4E3DD03D">
            <w:pPr>
              <w:spacing w:before="102" w:line="195" w:lineRule="auto"/>
              <w:ind w:left="79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1859" w:type="dxa"/>
            <w:tcBorders>
              <w:right w:val="nil"/>
            </w:tcBorders>
            <w:vAlign w:val="top"/>
          </w:tcPr>
          <w:p w14:paraId="15A14C29">
            <w:pPr>
              <w:spacing w:before="102" w:line="195" w:lineRule="auto"/>
              <w:ind w:left="84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r>
      <w:tr w14:paraId="3BBFD9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560" w:type="dxa"/>
            <w:tcBorders>
              <w:left w:val="nil"/>
            </w:tcBorders>
            <w:vAlign w:val="top"/>
          </w:tcPr>
          <w:p w14:paraId="236DC10D">
            <w:pPr>
              <w:spacing w:before="104" w:line="195"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w:t>
            </w:r>
          </w:p>
        </w:tc>
        <w:tc>
          <w:tcPr>
            <w:tcW w:w="2154" w:type="dxa"/>
            <w:vAlign w:val="top"/>
          </w:tcPr>
          <w:p w14:paraId="3F437403">
            <w:pPr>
              <w:pStyle w:val="6"/>
              <w:spacing w:before="67" w:line="228" w:lineRule="auto"/>
              <w:ind w:left="662"/>
              <w:rPr>
                <w:sz w:val="20"/>
                <w:szCs w:val="20"/>
              </w:rPr>
            </w:pPr>
            <w:r>
              <w:rPr>
                <w:spacing w:val="7"/>
                <w:sz w:val="20"/>
                <w:szCs w:val="20"/>
              </w:rPr>
              <w:t>三氯乙烯</w:t>
            </w:r>
          </w:p>
        </w:tc>
        <w:tc>
          <w:tcPr>
            <w:tcW w:w="1858" w:type="dxa"/>
            <w:vAlign w:val="top"/>
          </w:tcPr>
          <w:p w14:paraId="04B3BA8E">
            <w:pPr>
              <w:spacing w:before="104"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79-01-6</w:t>
            </w:r>
          </w:p>
        </w:tc>
        <w:tc>
          <w:tcPr>
            <w:tcW w:w="1858" w:type="dxa"/>
            <w:vAlign w:val="top"/>
          </w:tcPr>
          <w:p w14:paraId="1BA15923">
            <w:pPr>
              <w:spacing w:before="104" w:line="195" w:lineRule="auto"/>
              <w:ind w:left="79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1859" w:type="dxa"/>
            <w:tcBorders>
              <w:right w:val="nil"/>
            </w:tcBorders>
            <w:vAlign w:val="top"/>
          </w:tcPr>
          <w:p w14:paraId="3F5B0A02">
            <w:pPr>
              <w:spacing w:before="104" w:line="195" w:lineRule="auto"/>
              <w:ind w:left="82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r>
      <w:tr w14:paraId="67A664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5C6A849A">
            <w:pPr>
              <w:spacing w:before="105" w:line="195"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2154" w:type="dxa"/>
            <w:vAlign w:val="top"/>
          </w:tcPr>
          <w:p w14:paraId="208390A2">
            <w:pPr>
              <w:pStyle w:val="6"/>
              <w:spacing w:before="66" w:line="221" w:lineRule="auto"/>
              <w:ind w:left="433"/>
              <w:rPr>
                <w:sz w:val="20"/>
                <w:szCs w:val="20"/>
              </w:rPr>
            </w:pPr>
            <w:r>
              <w:rPr>
                <w:rFonts w:ascii="Times New Roman" w:hAnsi="Times New Roman" w:eastAsia="Times New Roman" w:cs="Times New Roman"/>
                <w:spacing w:val="3"/>
                <w:sz w:val="20"/>
                <w:szCs w:val="20"/>
              </w:rPr>
              <w:t>1,2,3-</w:t>
            </w:r>
            <w:r>
              <w:rPr>
                <w:spacing w:val="3"/>
                <w:sz w:val="20"/>
                <w:szCs w:val="20"/>
              </w:rPr>
              <w:t>三氯丙烷</w:t>
            </w:r>
          </w:p>
        </w:tc>
        <w:tc>
          <w:tcPr>
            <w:tcW w:w="1858" w:type="dxa"/>
            <w:vAlign w:val="top"/>
          </w:tcPr>
          <w:p w14:paraId="6812DB75">
            <w:pPr>
              <w:spacing w:before="105" w:line="195" w:lineRule="auto"/>
              <w:ind w:left="60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96-18-4</w:t>
            </w:r>
          </w:p>
        </w:tc>
        <w:tc>
          <w:tcPr>
            <w:tcW w:w="1858" w:type="dxa"/>
            <w:vAlign w:val="top"/>
          </w:tcPr>
          <w:p w14:paraId="350016CF">
            <w:pPr>
              <w:spacing w:before="105" w:line="195" w:lineRule="auto"/>
              <w:ind w:left="80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1859" w:type="dxa"/>
            <w:tcBorders>
              <w:right w:val="nil"/>
            </w:tcBorders>
            <w:vAlign w:val="top"/>
          </w:tcPr>
          <w:p w14:paraId="0AA65008">
            <w:pPr>
              <w:spacing w:before="108" w:line="192" w:lineRule="auto"/>
              <w:ind w:left="885"/>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r>
      <w:tr w14:paraId="05DFA3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40A07C5B">
            <w:pPr>
              <w:spacing w:before="105" w:line="195"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2154" w:type="dxa"/>
            <w:vAlign w:val="top"/>
          </w:tcPr>
          <w:p w14:paraId="068F9181">
            <w:pPr>
              <w:pStyle w:val="6"/>
              <w:spacing w:before="67" w:line="228" w:lineRule="auto"/>
              <w:ind w:left="771"/>
              <w:rPr>
                <w:sz w:val="20"/>
                <w:szCs w:val="20"/>
              </w:rPr>
            </w:pPr>
            <w:r>
              <w:rPr>
                <w:spacing w:val="5"/>
                <w:sz w:val="20"/>
                <w:szCs w:val="20"/>
              </w:rPr>
              <w:t>氯乙烯</w:t>
            </w:r>
          </w:p>
        </w:tc>
        <w:tc>
          <w:tcPr>
            <w:tcW w:w="1858" w:type="dxa"/>
            <w:vAlign w:val="top"/>
          </w:tcPr>
          <w:p w14:paraId="5658BE74">
            <w:pPr>
              <w:spacing w:before="105"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75-01-4</w:t>
            </w:r>
          </w:p>
        </w:tc>
        <w:tc>
          <w:tcPr>
            <w:tcW w:w="1858" w:type="dxa"/>
            <w:vAlign w:val="top"/>
          </w:tcPr>
          <w:p w14:paraId="080460AD">
            <w:pPr>
              <w:spacing w:before="105" w:line="195" w:lineRule="auto"/>
              <w:ind w:left="7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0.43</w:t>
            </w:r>
          </w:p>
        </w:tc>
        <w:tc>
          <w:tcPr>
            <w:tcW w:w="1859" w:type="dxa"/>
            <w:tcBorders>
              <w:right w:val="nil"/>
            </w:tcBorders>
            <w:vAlign w:val="top"/>
          </w:tcPr>
          <w:p w14:paraId="46E33581">
            <w:pPr>
              <w:spacing w:before="105" w:line="195" w:lineRule="auto"/>
              <w:ind w:left="79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w:t>
            </w:r>
          </w:p>
        </w:tc>
      </w:tr>
      <w:tr w14:paraId="4A87D8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3F56EBF4">
            <w:pPr>
              <w:spacing w:before="106" w:line="195"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26</w:t>
            </w:r>
          </w:p>
        </w:tc>
        <w:tc>
          <w:tcPr>
            <w:tcW w:w="2154" w:type="dxa"/>
            <w:vAlign w:val="top"/>
          </w:tcPr>
          <w:p w14:paraId="11FEA8F0">
            <w:pPr>
              <w:pStyle w:val="6"/>
              <w:spacing w:before="67" w:line="227" w:lineRule="auto"/>
              <w:ind w:left="979"/>
              <w:rPr>
                <w:sz w:val="20"/>
                <w:szCs w:val="20"/>
              </w:rPr>
            </w:pPr>
            <w:r>
              <w:rPr>
                <w:sz w:val="20"/>
                <w:szCs w:val="20"/>
              </w:rPr>
              <w:t>苯</w:t>
            </w:r>
          </w:p>
        </w:tc>
        <w:tc>
          <w:tcPr>
            <w:tcW w:w="1858" w:type="dxa"/>
            <w:vAlign w:val="top"/>
          </w:tcPr>
          <w:p w14:paraId="7EDDCCF1">
            <w:pPr>
              <w:spacing w:before="106"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71-43-2</w:t>
            </w:r>
          </w:p>
        </w:tc>
        <w:tc>
          <w:tcPr>
            <w:tcW w:w="1858" w:type="dxa"/>
            <w:vAlign w:val="top"/>
          </w:tcPr>
          <w:p w14:paraId="3250C921">
            <w:pPr>
              <w:spacing w:before="106" w:line="195" w:lineRule="auto"/>
              <w:ind w:left="79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1859" w:type="dxa"/>
            <w:tcBorders>
              <w:right w:val="nil"/>
            </w:tcBorders>
            <w:vAlign w:val="top"/>
          </w:tcPr>
          <w:p w14:paraId="5A17F9D2">
            <w:pPr>
              <w:spacing w:before="106" w:line="195" w:lineRule="auto"/>
              <w:ind w:left="82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r>
      <w:tr w14:paraId="135012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6783A65C">
            <w:pPr>
              <w:spacing w:before="104" w:line="195"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27</w:t>
            </w:r>
          </w:p>
        </w:tc>
        <w:tc>
          <w:tcPr>
            <w:tcW w:w="2154" w:type="dxa"/>
            <w:vAlign w:val="top"/>
          </w:tcPr>
          <w:p w14:paraId="65FB400D">
            <w:pPr>
              <w:pStyle w:val="6"/>
              <w:spacing w:before="68" w:line="227" w:lineRule="auto"/>
              <w:ind w:left="876"/>
              <w:rPr>
                <w:sz w:val="20"/>
                <w:szCs w:val="20"/>
              </w:rPr>
            </w:pPr>
            <w:r>
              <w:rPr>
                <w:spacing w:val="3"/>
                <w:sz w:val="20"/>
                <w:szCs w:val="20"/>
              </w:rPr>
              <w:t>氯苯</w:t>
            </w:r>
          </w:p>
        </w:tc>
        <w:tc>
          <w:tcPr>
            <w:tcW w:w="1858" w:type="dxa"/>
            <w:vAlign w:val="top"/>
          </w:tcPr>
          <w:p w14:paraId="65C063EA">
            <w:pPr>
              <w:spacing w:before="104" w:line="195"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108-90-7</w:t>
            </w:r>
          </w:p>
        </w:tc>
        <w:tc>
          <w:tcPr>
            <w:tcW w:w="1858" w:type="dxa"/>
            <w:vAlign w:val="top"/>
          </w:tcPr>
          <w:p w14:paraId="19C0FF28">
            <w:pPr>
              <w:spacing w:before="104" w:line="195" w:lineRule="auto"/>
              <w:ind w:left="77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270</w:t>
            </w:r>
          </w:p>
        </w:tc>
        <w:tc>
          <w:tcPr>
            <w:tcW w:w="1859" w:type="dxa"/>
            <w:tcBorders>
              <w:right w:val="nil"/>
            </w:tcBorders>
            <w:vAlign w:val="top"/>
          </w:tcPr>
          <w:p w14:paraId="0EBAAA3A">
            <w:pPr>
              <w:spacing w:before="104" w:line="195" w:lineRule="auto"/>
              <w:ind w:left="7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1000</w:t>
            </w:r>
          </w:p>
        </w:tc>
      </w:tr>
      <w:tr w14:paraId="7EA94D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0F121BEE">
            <w:pPr>
              <w:spacing w:before="104" w:line="195"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2154" w:type="dxa"/>
            <w:vAlign w:val="top"/>
          </w:tcPr>
          <w:p w14:paraId="701E566D">
            <w:pPr>
              <w:pStyle w:val="6"/>
              <w:spacing w:before="68" w:line="221" w:lineRule="auto"/>
              <w:ind w:left="618"/>
              <w:rPr>
                <w:sz w:val="20"/>
                <w:szCs w:val="20"/>
              </w:rPr>
            </w:pPr>
            <w:r>
              <w:rPr>
                <w:rFonts w:ascii="Times New Roman" w:hAnsi="Times New Roman" w:eastAsia="Times New Roman" w:cs="Times New Roman"/>
                <w:spacing w:val="2"/>
                <w:sz w:val="20"/>
                <w:szCs w:val="20"/>
              </w:rPr>
              <w:t>1,2-</w:t>
            </w:r>
            <w:r>
              <w:rPr>
                <w:spacing w:val="2"/>
                <w:sz w:val="20"/>
                <w:szCs w:val="20"/>
              </w:rPr>
              <w:t>二氯苯</w:t>
            </w:r>
          </w:p>
        </w:tc>
        <w:tc>
          <w:tcPr>
            <w:tcW w:w="1858" w:type="dxa"/>
            <w:vAlign w:val="top"/>
          </w:tcPr>
          <w:p w14:paraId="51779695">
            <w:pPr>
              <w:spacing w:before="104" w:line="195" w:lineRule="auto"/>
              <w:ind w:left="60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95-50-1</w:t>
            </w:r>
          </w:p>
        </w:tc>
        <w:tc>
          <w:tcPr>
            <w:tcW w:w="1858" w:type="dxa"/>
            <w:vAlign w:val="top"/>
          </w:tcPr>
          <w:p w14:paraId="6AC06DF3">
            <w:pPr>
              <w:spacing w:before="104" w:line="195" w:lineRule="auto"/>
              <w:ind w:left="77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560</w:t>
            </w:r>
          </w:p>
        </w:tc>
        <w:tc>
          <w:tcPr>
            <w:tcW w:w="1859" w:type="dxa"/>
            <w:tcBorders>
              <w:right w:val="nil"/>
            </w:tcBorders>
            <w:vAlign w:val="top"/>
          </w:tcPr>
          <w:p w14:paraId="59CF12AA">
            <w:pPr>
              <w:spacing w:before="104" w:line="195" w:lineRule="auto"/>
              <w:ind w:left="77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560</w:t>
            </w:r>
          </w:p>
        </w:tc>
      </w:tr>
      <w:tr w14:paraId="0490BF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385E9E3B">
            <w:pPr>
              <w:spacing w:before="105" w:line="195"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2154" w:type="dxa"/>
            <w:vAlign w:val="top"/>
          </w:tcPr>
          <w:p w14:paraId="1C4F4EBA">
            <w:pPr>
              <w:pStyle w:val="6"/>
              <w:spacing w:before="68" w:line="221" w:lineRule="auto"/>
              <w:ind w:left="618"/>
              <w:rPr>
                <w:sz w:val="20"/>
                <w:szCs w:val="20"/>
              </w:rPr>
            </w:pPr>
            <w:r>
              <w:rPr>
                <w:rFonts w:ascii="Times New Roman" w:hAnsi="Times New Roman" w:eastAsia="Times New Roman" w:cs="Times New Roman"/>
                <w:spacing w:val="2"/>
                <w:sz w:val="20"/>
                <w:szCs w:val="20"/>
              </w:rPr>
              <w:t>1,4-</w:t>
            </w:r>
            <w:r>
              <w:rPr>
                <w:spacing w:val="2"/>
                <w:sz w:val="20"/>
                <w:szCs w:val="20"/>
              </w:rPr>
              <w:t>二氯苯</w:t>
            </w:r>
          </w:p>
        </w:tc>
        <w:tc>
          <w:tcPr>
            <w:tcW w:w="1858" w:type="dxa"/>
            <w:vAlign w:val="top"/>
          </w:tcPr>
          <w:p w14:paraId="10F882B5">
            <w:pPr>
              <w:spacing w:before="105" w:line="195"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106-46-7</w:t>
            </w:r>
          </w:p>
        </w:tc>
        <w:tc>
          <w:tcPr>
            <w:tcW w:w="1858" w:type="dxa"/>
            <w:vAlign w:val="top"/>
          </w:tcPr>
          <w:p w14:paraId="5CECE1F4">
            <w:pPr>
              <w:spacing w:before="105" w:line="195" w:lineRule="auto"/>
              <w:ind w:left="8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1859" w:type="dxa"/>
            <w:tcBorders>
              <w:right w:val="nil"/>
            </w:tcBorders>
            <w:vAlign w:val="top"/>
          </w:tcPr>
          <w:p w14:paraId="6D28AFE3">
            <w:pPr>
              <w:spacing w:before="105" w:line="195" w:lineRule="auto"/>
              <w:ind w:left="77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r>
      <w:tr w14:paraId="093FFE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40B575A3">
            <w:pPr>
              <w:spacing w:before="105" w:line="195" w:lineRule="auto"/>
              <w:ind w:left="684"/>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2154" w:type="dxa"/>
            <w:vAlign w:val="top"/>
          </w:tcPr>
          <w:p w14:paraId="05625292">
            <w:pPr>
              <w:pStyle w:val="6"/>
              <w:spacing w:before="67" w:line="227" w:lineRule="auto"/>
              <w:ind w:left="893"/>
              <w:rPr>
                <w:sz w:val="20"/>
                <w:szCs w:val="20"/>
              </w:rPr>
            </w:pPr>
            <w:r>
              <w:rPr>
                <w:spacing w:val="-6"/>
                <w:sz w:val="20"/>
                <w:szCs w:val="20"/>
              </w:rPr>
              <w:t>乙苯</w:t>
            </w:r>
          </w:p>
        </w:tc>
        <w:tc>
          <w:tcPr>
            <w:tcW w:w="1858" w:type="dxa"/>
            <w:vAlign w:val="top"/>
          </w:tcPr>
          <w:p w14:paraId="260F1F58">
            <w:pPr>
              <w:spacing w:before="105" w:line="195"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100-41-4</w:t>
            </w:r>
          </w:p>
        </w:tc>
        <w:tc>
          <w:tcPr>
            <w:tcW w:w="1858" w:type="dxa"/>
            <w:vAlign w:val="top"/>
          </w:tcPr>
          <w:p w14:paraId="69A23DC6">
            <w:pPr>
              <w:spacing w:before="105" w:line="195" w:lineRule="auto"/>
              <w:ind w:left="8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1859" w:type="dxa"/>
            <w:tcBorders>
              <w:right w:val="nil"/>
            </w:tcBorders>
            <w:vAlign w:val="top"/>
          </w:tcPr>
          <w:p w14:paraId="3B61F040">
            <w:pPr>
              <w:spacing w:before="105" w:line="195" w:lineRule="auto"/>
              <w:ind w:left="77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280</w:t>
            </w:r>
          </w:p>
        </w:tc>
      </w:tr>
      <w:tr w14:paraId="3B24E4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300A13B2">
            <w:pPr>
              <w:spacing w:before="105" w:line="195" w:lineRule="auto"/>
              <w:ind w:left="684"/>
              <w:rPr>
                <w:rFonts w:ascii="Times New Roman" w:hAnsi="Times New Roman" w:eastAsia="Times New Roman" w:cs="Times New Roman"/>
                <w:sz w:val="20"/>
                <w:szCs w:val="20"/>
              </w:rPr>
            </w:pPr>
            <w:r>
              <w:rPr>
                <w:rFonts w:ascii="Times New Roman" w:hAnsi="Times New Roman" w:eastAsia="Times New Roman" w:cs="Times New Roman"/>
                <w:sz w:val="20"/>
                <w:szCs w:val="20"/>
              </w:rPr>
              <w:t>31</w:t>
            </w:r>
          </w:p>
        </w:tc>
        <w:tc>
          <w:tcPr>
            <w:tcW w:w="2154" w:type="dxa"/>
            <w:vAlign w:val="top"/>
          </w:tcPr>
          <w:p w14:paraId="07A875C2">
            <w:pPr>
              <w:pStyle w:val="6"/>
              <w:spacing w:before="67" w:line="227" w:lineRule="auto"/>
              <w:ind w:left="770"/>
              <w:rPr>
                <w:sz w:val="20"/>
                <w:szCs w:val="20"/>
              </w:rPr>
            </w:pPr>
            <w:r>
              <w:rPr>
                <w:spacing w:val="6"/>
                <w:sz w:val="20"/>
                <w:szCs w:val="20"/>
              </w:rPr>
              <w:t>苯乙烯</w:t>
            </w:r>
          </w:p>
        </w:tc>
        <w:tc>
          <w:tcPr>
            <w:tcW w:w="1858" w:type="dxa"/>
            <w:vAlign w:val="top"/>
          </w:tcPr>
          <w:p w14:paraId="3E3204C5">
            <w:pPr>
              <w:spacing w:before="105" w:line="195"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100-42-5</w:t>
            </w:r>
          </w:p>
        </w:tc>
        <w:tc>
          <w:tcPr>
            <w:tcW w:w="1858" w:type="dxa"/>
            <w:vAlign w:val="top"/>
          </w:tcPr>
          <w:p w14:paraId="702F62CC">
            <w:pPr>
              <w:spacing w:before="105" w:line="195" w:lineRule="auto"/>
              <w:ind w:left="7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1290</w:t>
            </w:r>
          </w:p>
        </w:tc>
        <w:tc>
          <w:tcPr>
            <w:tcW w:w="1859" w:type="dxa"/>
            <w:tcBorders>
              <w:right w:val="nil"/>
            </w:tcBorders>
            <w:vAlign w:val="top"/>
          </w:tcPr>
          <w:p w14:paraId="4E942DF0">
            <w:pPr>
              <w:spacing w:before="105" w:line="195" w:lineRule="auto"/>
              <w:ind w:left="7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1290</w:t>
            </w:r>
          </w:p>
        </w:tc>
      </w:tr>
      <w:tr w14:paraId="04765E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4E17B4DC">
            <w:pPr>
              <w:spacing w:before="106" w:line="195" w:lineRule="auto"/>
              <w:ind w:left="684"/>
              <w:rPr>
                <w:rFonts w:ascii="Times New Roman" w:hAnsi="Times New Roman" w:eastAsia="Times New Roman" w:cs="Times New Roman"/>
                <w:sz w:val="20"/>
                <w:szCs w:val="20"/>
              </w:rPr>
            </w:pPr>
            <w:r>
              <w:rPr>
                <w:rFonts w:ascii="Times New Roman" w:hAnsi="Times New Roman" w:eastAsia="Times New Roman" w:cs="Times New Roman"/>
                <w:sz w:val="20"/>
                <w:szCs w:val="20"/>
              </w:rPr>
              <w:t>32</w:t>
            </w:r>
          </w:p>
        </w:tc>
        <w:tc>
          <w:tcPr>
            <w:tcW w:w="2154" w:type="dxa"/>
            <w:vAlign w:val="top"/>
          </w:tcPr>
          <w:p w14:paraId="1304255D">
            <w:pPr>
              <w:pStyle w:val="6"/>
              <w:spacing w:before="67" w:line="227" w:lineRule="auto"/>
              <w:ind w:left="900"/>
              <w:rPr>
                <w:sz w:val="20"/>
                <w:szCs w:val="20"/>
              </w:rPr>
            </w:pPr>
            <w:r>
              <w:rPr>
                <w:spacing w:val="-9"/>
                <w:sz w:val="20"/>
                <w:szCs w:val="20"/>
              </w:rPr>
              <w:t>甲苯</w:t>
            </w:r>
          </w:p>
        </w:tc>
        <w:tc>
          <w:tcPr>
            <w:tcW w:w="1858" w:type="dxa"/>
            <w:vAlign w:val="top"/>
          </w:tcPr>
          <w:p w14:paraId="1357A458">
            <w:pPr>
              <w:spacing w:before="106" w:line="195"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108-88-3</w:t>
            </w:r>
          </w:p>
        </w:tc>
        <w:tc>
          <w:tcPr>
            <w:tcW w:w="1858" w:type="dxa"/>
            <w:vAlign w:val="top"/>
          </w:tcPr>
          <w:p w14:paraId="649E2F5B">
            <w:pPr>
              <w:spacing w:before="106" w:line="195" w:lineRule="auto"/>
              <w:ind w:left="7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1200</w:t>
            </w:r>
          </w:p>
        </w:tc>
        <w:tc>
          <w:tcPr>
            <w:tcW w:w="1859" w:type="dxa"/>
            <w:tcBorders>
              <w:right w:val="nil"/>
            </w:tcBorders>
            <w:vAlign w:val="top"/>
          </w:tcPr>
          <w:p w14:paraId="7A4B0F92">
            <w:pPr>
              <w:spacing w:before="106" w:line="195" w:lineRule="auto"/>
              <w:ind w:left="7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1200</w:t>
            </w:r>
          </w:p>
        </w:tc>
      </w:tr>
      <w:tr w14:paraId="673CBD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1560" w:type="dxa"/>
            <w:tcBorders>
              <w:left w:val="nil"/>
            </w:tcBorders>
            <w:vAlign w:val="top"/>
          </w:tcPr>
          <w:p w14:paraId="4AC07B91">
            <w:pPr>
              <w:spacing w:before="176" w:line="195" w:lineRule="auto"/>
              <w:ind w:left="684"/>
              <w:rPr>
                <w:rFonts w:ascii="Times New Roman" w:hAnsi="Times New Roman" w:eastAsia="Times New Roman" w:cs="Times New Roman"/>
                <w:sz w:val="20"/>
                <w:szCs w:val="20"/>
              </w:rPr>
            </w:pPr>
            <w:r>
              <w:rPr>
                <w:rFonts w:ascii="Times New Roman" w:hAnsi="Times New Roman" w:eastAsia="Times New Roman" w:cs="Times New Roman"/>
                <w:sz w:val="20"/>
                <w:szCs w:val="20"/>
              </w:rPr>
              <w:t>33</w:t>
            </w:r>
          </w:p>
        </w:tc>
        <w:tc>
          <w:tcPr>
            <w:tcW w:w="2154" w:type="dxa"/>
            <w:vAlign w:val="top"/>
          </w:tcPr>
          <w:p w14:paraId="09C1E929">
            <w:pPr>
              <w:pStyle w:val="6"/>
              <w:spacing w:before="140" w:line="227" w:lineRule="auto"/>
              <w:ind w:left="200"/>
              <w:rPr>
                <w:sz w:val="20"/>
                <w:szCs w:val="20"/>
              </w:rPr>
            </w:pPr>
            <w:r>
              <w:rPr>
                <w:spacing w:val="6"/>
                <w:sz w:val="20"/>
                <w:szCs w:val="20"/>
              </w:rPr>
              <w:t>间二甲苯</w:t>
            </w:r>
            <w:r>
              <w:rPr>
                <w:rFonts w:ascii="Times New Roman" w:hAnsi="Times New Roman" w:eastAsia="Times New Roman" w:cs="Times New Roman"/>
                <w:spacing w:val="6"/>
                <w:sz w:val="20"/>
                <w:szCs w:val="20"/>
              </w:rPr>
              <w:t>+</w:t>
            </w:r>
            <w:r>
              <w:rPr>
                <w:spacing w:val="6"/>
                <w:sz w:val="20"/>
                <w:szCs w:val="20"/>
              </w:rPr>
              <w:t>对二甲苯</w:t>
            </w:r>
          </w:p>
        </w:tc>
        <w:tc>
          <w:tcPr>
            <w:tcW w:w="1858" w:type="dxa"/>
            <w:vAlign w:val="top"/>
          </w:tcPr>
          <w:p w14:paraId="0742ED13">
            <w:pPr>
              <w:spacing w:before="56" w:line="195"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108-38-3</w:t>
            </w:r>
          </w:p>
          <w:p w14:paraId="749D6400">
            <w:pPr>
              <w:spacing w:before="53" w:line="188"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106-42-3</w:t>
            </w:r>
          </w:p>
        </w:tc>
        <w:tc>
          <w:tcPr>
            <w:tcW w:w="1858" w:type="dxa"/>
            <w:vAlign w:val="top"/>
          </w:tcPr>
          <w:p w14:paraId="1FE3AD71">
            <w:pPr>
              <w:spacing w:before="176" w:line="195" w:lineRule="auto"/>
              <w:ind w:left="77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570</w:t>
            </w:r>
          </w:p>
        </w:tc>
        <w:tc>
          <w:tcPr>
            <w:tcW w:w="1859" w:type="dxa"/>
            <w:tcBorders>
              <w:right w:val="nil"/>
            </w:tcBorders>
            <w:vAlign w:val="top"/>
          </w:tcPr>
          <w:p w14:paraId="389B44DF">
            <w:pPr>
              <w:spacing w:before="176" w:line="195" w:lineRule="auto"/>
              <w:ind w:left="77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570</w:t>
            </w:r>
          </w:p>
        </w:tc>
      </w:tr>
      <w:tr w14:paraId="55A3BA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1560" w:type="dxa"/>
            <w:tcBorders>
              <w:left w:val="nil"/>
            </w:tcBorders>
            <w:vAlign w:val="top"/>
          </w:tcPr>
          <w:p w14:paraId="1A418920">
            <w:pPr>
              <w:spacing w:before="104" w:line="195" w:lineRule="auto"/>
              <w:ind w:left="684"/>
              <w:rPr>
                <w:rFonts w:ascii="Times New Roman" w:hAnsi="Times New Roman" w:eastAsia="Times New Roman" w:cs="Times New Roman"/>
                <w:sz w:val="20"/>
                <w:szCs w:val="20"/>
              </w:rPr>
            </w:pPr>
            <w:r>
              <w:rPr>
                <w:rFonts w:ascii="Times New Roman" w:hAnsi="Times New Roman" w:eastAsia="Times New Roman" w:cs="Times New Roman"/>
                <w:sz w:val="20"/>
                <w:szCs w:val="20"/>
              </w:rPr>
              <w:t>34</w:t>
            </w:r>
          </w:p>
        </w:tc>
        <w:tc>
          <w:tcPr>
            <w:tcW w:w="2154" w:type="dxa"/>
            <w:vAlign w:val="top"/>
          </w:tcPr>
          <w:p w14:paraId="652FD282">
            <w:pPr>
              <w:pStyle w:val="6"/>
              <w:spacing w:before="68" w:line="227" w:lineRule="auto"/>
              <w:ind w:left="661"/>
              <w:rPr>
                <w:sz w:val="20"/>
                <w:szCs w:val="20"/>
              </w:rPr>
            </w:pPr>
            <w:r>
              <w:rPr>
                <w:spacing w:val="7"/>
                <w:sz w:val="20"/>
                <w:szCs w:val="20"/>
              </w:rPr>
              <w:t>邻二甲苯</w:t>
            </w:r>
          </w:p>
        </w:tc>
        <w:tc>
          <w:tcPr>
            <w:tcW w:w="1858" w:type="dxa"/>
            <w:vAlign w:val="top"/>
          </w:tcPr>
          <w:p w14:paraId="7C5999E2">
            <w:pPr>
              <w:spacing w:before="104" w:line="195" w:lineRule="auto"/>
              <w:ind w:left="60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95-47-6</w:t>
            </w:r>
          </w:p>
        </w:tc>
        <w:tc>
          <w:tcPr>
            <w:tcW w:w="1858" w:type="dxa"/>
            <w:vAlign w:val="top"/>
          </w:tcPr>
          <w:p w14:paraId="59E555FC">
            <w:pPr>
              <w:spacing w:before="104" w:line="195" w:lineRule="auto"/>
              <w:ind w:left="7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640</w:t>
            </w:r>
          </w:p>
        </w:tc>
        <w:tc>
          <w:tcPr>
            <w:tcW w:w="1859" w:type="dxa"/>
            <w:tcBorders>
              <w:right w:val="nil"/>
            </w:tcBorders>
            <w:vAlign w:val="top"/>
          </w:tcPr>
          <w:p w14:paraId="31CC8508">
            <w:pPr>
              <w:spacing w:before="104" w:line="195" w:lineRule="auto"/>
              <w:ind w:left="7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640</w:t>
            </w:r>
          </w:p>
        </w:tc>
      </w:tr>
    </w:tbl>
    <w:p w14:paraId="68640630">
      <w:pPr>
        <w:spacing w:before="64" w:line="227" w:lineRule="auto"/>
        <w:ind w:left="3920"/>
        <w:rPr>
          <w:rFonts w:ascii="宋体" w:hAnsi="宋体" w:eastAsia="宋体" w:cs="宋体"/>
          <w:sz w:val="20"/>
          <w:szCs w:val="20"/>
        </w:rPr>
      </w:pPr>
      <w:r>
        <w:rPr>
          <w:rFonts w:ascii="宋体" w:hAnsi="宋体" w:eastAsia="宋体" w:cs="宋体"/>
          <w:spacing w:val="8"/>
          <w:sz w:val="20"/>
          <w:szCs w:val="20"/>
        </w:rPr>
        <w:t>半挥发性有机物</w:t>
      </w:r>
    </w:p>
    <w:p w14:paraId="304B09B1">
      <w:pPr>
        <w:spacing w:line="30" w:lineRule="exact"/>
      </w:pPr>
    </w:p>
    <w:tbl>
      <w:tblPr>
        <w:tblStyle w:val="5"/>
        <w:tblW w:w="92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0"/>
        <w:gridCol w:w="2154"/>
        <w:gridCol w:w="1858"/>
        <w:gridCol w:w="1858"/>
        <w:gridCol w:w="1859"/>
      </w:tblGrid>
      <w:tr w14:paraId="5AB7AE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1560" w:type="dxa"/>
            <w:tcBorders>
              <w:left w:val="nil"/>
            </w:tcBorders>
            <w:vAlign w:val="top"/>
          </w:tcPr>
          <w:p w14:paraId="4D1B771E">
            <w:pPr>
              <w:spacing w:before="105" w:line="195" w:lineRule="auto"/>
              <w:ind w:left="684"/>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2154" w:type="dxa"/>
            <w:vAlign w:val="top"/>
          </w:tcPr>
          <w:p w14:paraId="751F7B6C">
            <w:pPr>
              <w:pStyle w:val="6"/>
              <w:spacing w:before="69" w:line="227" w:lineRule="auto"/>
              <w:ind w:left="769"/>
              <w:rPr>
                <w:sz w:val="20"/>
                <w:szCs w:val="20"/>
              </w:rPr>
            </w:pPr>
            <w:r>
              <w:rPr>
                <w:spacing w:val="6"/>
                <w:sz w:val="20"/>
                <w:szCs w:val="20"/>
              </w:rPr>
              <w:t>硝基苯</w:t>
            </w:r>
          </w:p>
        </w:tc>
        <w:tc>
          <w:tcPr>
            <w:tcW w:w="1858" w:type="dxa"/>
            <w:vAlign w:val="top"/>
          </w:tcPr>
          <w:p w14:paraId="6685ED70">
            <w:pPr>
              <w:spacing w:before="105" w:line="195" w:lineRule="auto"/>
              <w:ind w:left="60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98-95-3</w:t>
            </w:r>
          </w:p>
        </w:tc>
        <w:tc>
          <w:tcPr>
            <w:tcW w:w="1858" w:type="dxa"/>
            <w:vAlign w:val="top"/>
          </w:tcPr>
          <w:p w14:paraId="064B3681">
            <w:pPr>
              <w:spacing w:before="105" w:line="195" w:lineRule="auto"/>
              <w:ind w:left="82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76</w:t>
            </w:r>
          </w:p>
        </w:tc>
        <w:tc>
          <w:tcPr>
            <w:tcW w:w="1859" w:type="dxa"/>
            <w:tcBorders>
              <w:right w:val="nil"/>
            </w:tcBorders>
            <w:vAlign w:val="top"/>
          </w:tcPr>
          <w:p w14:paraId="798DB527">
            <w:pPr>
              <w:spacing w:before="105" w:line="195" w:lineRule="auto"/>
              <w:ind w:left="7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760</w:t>
            </w:r>
          </w:p>
        </w:tc>
      </w:tr>
      <w:tr w14:paraId="0E3C32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560" w:type="dxa"/>
            <w:tcBorders>
              <w:left w:val="nil"/>
            </w:tcBorders>
            <w:vAlign w:val="top"/>
          </w:tcPr>
          <w:p w14:paraId="7EA7AED6">
            <w:pPr>
              <w:spacing w:before="101" w:line="195" w:lineRule="auto"/>
              <w:ind w:left="684"/>
              <w:rPr>
                <w:rFonts w:ascii="Times New Roman" w:hAnsi="Times New Roman" w:eastAsia="Times New Roman" w:cs="Times New Roman"/>
                <w:sz w:val="20"/>
                <w:szCs w:val="20"/>
              </w:rPr>
            </w:pPr>
            <w:r>
              <w:rPr>
                <w:rFonts w:ascii="Times New Roman" w:hAnsi="Times New Roman" w:eastAsia="Times New Roman" w:cs="Times New Roman"/>
                <w:sz w:val="20"/>
                <w:szCs w:val="20"/>
              </w:rPr>
              <w:t>36</w:t>
            </w:r>
          </w:p>
        </w:tc>
        <w:tc>
          <w:tcPr>
            <w:tcW w:w="2154" w:type="dxa"/>
            <w:vAlign w:val="top"/>
          </w:tcPr>
          <w:p w14:paraId="53C222B9">
            <w:pPr>
              <w:pStyle w:val="6"/>
              <w:spacing w:before="63" w:line="227" w:lineRule="auto"/>
              <w:ind w:left="875"/>
              <w:rPr>
                <w:sz w:val="20"/>
                <w:szCs w:val="20"/>
              </w:rPr>
            </w:pPr>
            <w:r>
              <w:rPr>
                <w:spacing w:val="3"/>
                <w:sz w:val="20"/>
                <w:szCs w:val="20"/>
              </w:rPr>
              <w:t>苯胺</w:t>
            </w:r>
          </w:p>
        </w:tc>
        <w:tc>
          <w:tcPr>
            <w:tcW w:w="1858" w:type="dxa"/>
            <w:vAlign w:val="top"/>
          </w:tcPr>
          <w:p w14:paraId="3CD902CF">
            <w:pPr>
              <w:spacing w:before="101" w:line="195" w:lineRule="auto"/>
              <w:ind w:left="60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62-53-3</w:t>
            </w:r>
          </w:p>
        </w:tc>
        <w:tc>
          <w:tcPr>
            <w:tcW w:w="1858" w:type="dxa"/>
            <w:vAlign w:val="top"/>
          </w:tcPr>
          <w:p w14:paraId="4F757CE0">
            <w:pPr>
              <w:spacing w:before="101" w:line="195" w:lineRule="auto"/>
              <w:ind w:left="77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260</w:t>
            </w:r>
          </w:p>
        </w:tc>
        <w:tc>
          <w:tcPr>
            <w:tcW w:w="1859" w:type="dxa"/>
            <w:tcBorders>
              <w:right w:val="nil"/>
            </w:tcBorders>
            <w:vAlign w:val="top"/>
          </w:tcPr>
          <w:p w14:paraId="6441D4FC">
            <w:pPr>
              <w:spacing w:before="101" w:line="195" w:lineRule="auto"/>
              <w:ind w:left="7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663</w:t>
            </w:r>
          </w:p>
        </w:tc>
      </w:tr>
      <w:tr w14:paraId="567A30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560" w:type="dxa"/>
            <w:tcBorders>
              <w:left w:val="nil"/>
            </w:tcBorders>
            <w:vAlign w:val="top"/>
          </w:tcPr>
          <w:p w14:paraId="663CED7A">
            <w:pPr>
              <w:spacing w:before="102" w:line="195" w:lineRule="auto"/>
              <w:ind w:left="684"/>
              <w:rPr>
                <w:rFonts w:ascii="Times New Roman" w:hAnsi="Times New Roman" w:eastAsia="Times New Roman" w:cs="Times New Roman"/>
                <w:sz w:val="20"/>
                <w:szCs w:val="20"/>
              </w:rPr>
            </w:pPr>
            <w:r>
              <w:rPr>
                <w:rFonts w:ascii="Times New Roman" w:hAnsi="Times New Roman" w:eastAsia="Times New Roman" w:cs="Times New Roman"/>
                <w:sz w:val="20"/>
                <w:szCs w:val="20"/>
              </w:rPr>
              <w:t>37</w:t>
            </w:r>
          </w:p>
        </w:tc>
        <w:tc>
          <w:tcPr>
            <w:tcW w:w="2154" w:type="dxa"/>
            <w:vAlign w:val="top"/>
          </w:tcPr>
          <w:p w14:paraId="7B1C1CEB">
            <w:pPr>
              <w:pStyle w:val="6"/>
              <w:spacing w:before="64" w:line="229" w:lineRule="auto"/>
              <w:ind w:left="780"/>
              <w:rPr>
                <w:sz w:val="20"/>
                <w:szCs w:val="20"/>
              </w:rPr>
            </w:pPr>
            <w:r>
              <w:rPr>
                <w:rFonts w:ascii="Times New Roman" w:hAnsi="Times New Roman" w:eastAsia="Times New Roman" w:cs="Times New Roman"/>
                <w:spacing w:val="4"/>
                <w:sz w:val="20"/>
                <w:szCs w:val="20"/>
              </w:rPr>
              <w:t>2-</w:t>
            </w:r>
            <w:r>
              <w:rPr>
                <w:spacing w:val="4"/>
                <w:sz w:val="20"/>
                <w:szCs w:val="20"/>
              </w:rPr>
              <w:t>氯酚</w:t>
            </w:r>
          </w:p>
        </w:tc>
        <w:tc>
          <w:tcPr>
            <w:tcW w:w="1858" w:type="dxa"/>
            <w:vAlign w:val="top"/>
          </w:tcPr>
          <w:p w14:paraId="1EA412EB">
            <w:pPr>
              <w:spacing w:before="102" w:line="195" w:lineRule="auto"/>
              <w:ind w:left="60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95-57-8</w:t>
            </w:r>
          </w:p>
        </w:tc>
        <w:tc>
          <w:tcPr>
            <w:tcW w:w="1858" w:type="dxa"/>
            <w:vAlign w:val="top"/>
          </w:tcPr>
          <w:p w14:paraId="6FAEB1EB">
            <w:pPr>
              <w:spacing w:before="102" w:line="195" w:lineRule="auto"/>
              <w:ind w:left="7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2256</w:t>
            </w:r>
          </w:p>
        </w:tc>
        <w:tc>
          <w:tcPr>
            <w:tcW w:w="1859" w:type="dxa"/>
            <w:tcBorders>
              <w:right w:val="nil"/>
            </w:tcBorders>
            <w:vAlign w:val="top"/>
          </w:tcPr>
          <w:p w14:paraId="623CFA57">
            <w:pPr>
              <w:spacing w:before="102" w:line="195" w:lineRule="auto"/>
              <w:ind w:left="72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4500</w:t>
            </w:r>
          </w:p>
        </w:tc>
      </w:tr>
      <w:tr w14:paraId="795619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560" w:type="dxa"/>
            <w:tcBorders>
              <w:left w:val="nil"/>
            </w:tcBorders>
            <w:vAlign w:val="top"/>
          </w:tcPr>
          <w:p w14:paraId="56629D35">
            <w:pPr>
              <w:spacing w:before="104" w:line="195" w:lineRule="auto"/>
              <w:ind w:left="684"/>
              <w:rPr>
                <w:rFonts w:ascii="Times New Roman" w:hAnsi="Times New Roman" w:eastAsia="Times New Roman" w:cs="Times New Roman"/>
                <w:sz w:val="20"/>
                <w:szCs w:val="20"/>
              </w:rPr>
            </w:pPr>
            <w:r>
              <w:rPr>
                <w:rFonts w:ascii="Times New Roman" w:hAnsi="Times New Roman" w:eastAsia="Times New Roman" w:cs="Times New Roman"/>
                <w:sz w:val="20"/>
                <w:szCs w:val="20"/>
              </w:rPr>
              <w:t>38</w:t>
            </w:r>
          </w:p>
        </w:tc>
        <w:tc>
          <w:tcPr>
            <w:tcW w:w="2154" w:type="dxa"/>
            <w:vAlign w:val="top"/>
          </w:tcPr>
          <w:p w14:paraId="152F7BBC">
            <w:pPr>
              <w:pStyle w:val="6"/>
              <w:spacing w:before="65" w:line="221" w:lineRule="auto"/>
              <w:ind w:left="652"/>
              <w:rPr>
                <w:sz w:val="20"/>
                <w:szCs w:val="20"/>
              </w:rPr>
            </w:pPr>
            <w:r>
              <w:rPr>
                <w:spacing w:val="4"/>
                <w:sz w:val="20"/>
                <w:szCs w:val="20"/>
              </w:rPr>
              <w:t>苯并</w:t>
            </w:r>
            <w:r>
              <w:rPr>
                <w:rFonts w:ascii="Times New Roman" w:hAnsi="Times New Roman" w:eastAsia="Times New Roman" w:cs="Times New Roman"/>
                <w:spacing w:val="4"/>
                <w:sz w:val="20"/>
                <w:szCs w:val="20"/>
              </w:rPr>
              <w:t>[a]</w:t>
            </w:r>
            <w:r>
              <w:rPr>
                <w:spacing w:val="4"/>
                <w:sz w:val="20"/>
                <w:szCs w:val="20"/>
              </w:rPr>
              <w:t>蒽</w:t>
            </w:r>
          </w:p>
        </w:tc>
        <w:tc>
          <w:tcPr>
            <w:tcW w:w="1858" w:type="dxa"/>
            <w:vAlign w:val="top"/>
          </w:tcPr>
          <w:p w14:paraId="66EF6E35">
            <w:pPr>
              <w:spacing w:before="104" w:line="195" w:lineRule="auto"/>
              <w:ind w:left="6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56-55-3</w:t>
            </w:r>
          </w:p>
        </w:tc>
        <w:tc>
          <w:tcPr>
            <w:tcW w:w="1858" w:type="dxa"/>
            <w:vAlign w:val="top"/>
          </w:tcPr>
          <w:p w14:paraId="0D535D1E">
            <w:pPr>
              <w:spacing w:before="104" w:line="195" w:lineRule="auto"/>
              <w:ind w:left="844"/>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1859" w:type="dxa"/>
            <w:tcBorders>
              <w:right w:val="nil"/>
            </w:tcBorders>
            <w:vAlign w:val="top"/>
          </w:tcPr>
          <w:p w14:paraId="4B510794">
            <w:pPr>
              <w:spacing w:before="104"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151</w:t>
            </w:r>
          </w:p>
        </w:tc>
      </w:tr>
      <w:tr w14:paraId="23AA26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4E724BC6">
            <w:pPr>
              <w:spacing w:before="103" w:line="195" w:lineRule="auto"/>
              <w:ind w:left="684"/>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2154" w:type="dxa"/>
            <w:vAlign w:val="top"/>
          </w:tcPr>
          <w:p w14:paraId="2DA45E1A">
            <w:pPr>
              <w:pStyle w:val="6"/>
              <w:spacing w:before="67" w:line="221" w:lineRule="auto"/>
              <w:ind w:left="652"/>
              <w:rPr>
                <w:sz w:val="20"/>
                <w:szCs w:val="20"/>
              </w:rPr>
            </w:pPr>
            <w:r>
              <w:rPr>
                <w:spacing w:val="4"/>
                <w:sz w:val="20"/>
                <w:szCs w:val="20"/>
              </w:rPr>
              <w:t>苯并</w:t>
            </w:r>
            <w:r>
              <w:rPr>
                <w:rFonts w:ascii="Times New Roman" w:hAnsi="Times New Roman" w:eastAsia="Times New Roman" w:cs="Times New Roman"/>
                <w:spacing w:val="4"/>
                <w:sz w:val="20"/>
                <w:szCs w:val="20"/>
              </w:rPr>
              <w:t>[a]</w:t>
            </w:r>
            <w:r>
              <w:rPr>
                <w:spacing w:val="4"/>
                <w:sz w:val="20"/>
                <w:szCs w:val="20"/>
              </w:rPr>
              <w:t>芘</w:t>
            </w:r>
          </w:p>
        </w:tc>
        <w:tc>
          <w:tcPr>
            <w:tcW w:w="1858" w:type="dxa"/>
            <w:vAlign w:val="top"/>
          </w:tcPr>
          <w:p w14:paraId="7A48DF3E">
            <w:pPr>
              <w:spacing w:before="103" w:line="195" w:lineRule="auto"/>
              <w:ind w:left="6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50-32-8</w:t>
            </w:r>
          </w:p>
        </w:tc>
        <w:tc>
          <w:tcPr>
            <w:tcW w:w="1858" w:type="dxa"/>
            <w:vAlign w:val="top"/>
          </w:tcPr>
          <w:p w14:paraId="6FD8FEAC">
            <w:pPr>
              <w:spacing w:before="103" w:line="195" w:lineRule="auto"/>
              <w:ind w:left="81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1.5</w:t>
            </w:r>
          </w:p>
        </w:tc>
        <w:tc>
          <w:tcPr>
            <w:tcW w:w="1859" w:type="dxa"/>
            <w:tcBorders>
              <w:right w:val="nil"/>
            </w:tcBorders>
            <w:vAlign w:val="top"/>
          </w:tcPr>
          <w:p w14:paraId="5DB21D83">
            <w:pPr>
              <w:spacing w:before="103" w:line="195" w:lineRule="auto"/>
              <w:ind w:left="84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r>
      <w:tr w14:paraId="7C2973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21CA3DFB">
            <w:pPr>
              <w:spacing w:before="103" w:line="195" w:lineRule="auto"/>
              <w:ind w:left="6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2154" w:type="dxa"/>
            <w:vAlign w:val="top"/>
          </w:tcPr>
          <w:p w14:paraId="1336CA5C">
            <w:pPr>
              <w:pStyle w:val="6"/>
              <w:spacing w:before="67" w:line="221" w:lineRule="auto"/>
              <w:ind w:left="542"/>
              <w:rPr>
                <w:sz w:val="20"/>
                <w:szCs w:val="20"/>
              </w:rPr>
            </w:pPr>
            <w:r>
              <w:rPr>
                <w:spacing w:val="5"/>
                <w:sz w:val="20"/>
                <w:szCs w:val="20"/>
              </w:rPr>
              <w:t>苯并</w:t>
            </w:r>
            <w:r>
              <w:rPr>
                <w:rFonts w:ascii="Times New Roman" w:hAnsi="Times New Roman" w:eastAsia="Times New Roman" w:cs="Times New Roman"/>
                <w:spacing w:val="5"/>
                <w:sz w:val="20"/>
                <w:szCs w:val="20"/>
              </w:rPr>
              <w:t>[b]</w:t>
            </w:r>
            <w:r>
              <w:rPr>
                <w:spacing w:val="5"/>
                <w:sz w:val="20"/>
                <w:szCs w:val="20"/>
              </w:rPr>
              <w:t>荧蒽</w:t>
            </w:r>
          </w:p>
        </w:tc>
        <w:tc>
          <w:tcPr>
            <w:tcW w:w="1858" w:type="dxa"/>
            <w:vAlign w:val="top"/>
          </w:tcPr>
          <w:p w14:paraId="01C00742">
            <w:pPr>
              <w:spacing w:before="103" w:line="195" w:lineRule="auto"/>
              <w:ind w:left="54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205-99-2</w:t>
            </w:r>
          </w:p>
        </w:tc>
        <w:tc>
          <w:tcPr>
            <w:tcW w:w="1858" w:type="dxa"/>
            <w:vAlign w:val="top"/>
          </w:tcPr>
          <w:p w14:paraId="6E03F6BB">
            <w:pPr>
              <w:spacing w:before="103" w:line="195" w:lineRule="auto"/>
              <w:ind w:left="844"/>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1859" w:type="dxa"/>
            <w:tcBorders>
              <w:right w:val="nil"/>
            </w:tcBorders>
            <w:vAlign w:val="top"/>
          </w:tcPr>
          <w:p w14:paraId="2DDD7F52">
            <w:pPr>
              <w:spacing w:before="103"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151</w:t>
            </w:r>
          </w:p>
        </w:tc>
      </w:tr>
      <w:tr w14:paraId="36B82E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2F95E3FE">
            <w:pPr>
              <w:spacing w:before="104" w:line="195" w:lineRule="auto"/>
              <w:ind w:left="6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w:t>
            </w:r>
          </w:p>
        </w:tc>
        <w:tc>
          <w:tcPr>
            <w:tcW w:w="2154" w:type="dxa"/>
            <w:vAlign w:val="top"/>
          </w:tcPr>
          <w:p w14:paraId="6F5940F8">
            <w:pPr>
              <w:pStyle w:val="6"/>
              <w:spacing w:before="68" w:line="221" w:lineRule="auto"/>
              <w:ind w:left="542"/>
              <w:rPr>
                <w:sz w:val="20"/>
                <w:szCs w:val="20"/>
              </w:rPr>
            </w:pPr>
            <w:r>
              <w:rPr>
                <w:spacing w:val="5"/>
                <w:sz w:val="20"/>
                <w:szCs w:val="20"/>
              </w:rPr>
              <w:t>苯并</w:t>
            </w:r>
            <w:r>
              <w:rPr>
                <w:rFonts w:ascii="Times New Roman" w:hAnsi="Times New Roman" w:eastAsia="Times New Roman" w:cs="Times New Roman"/>
                <w:spacing w:val="5"/>
                <w:sz w:val="20"/>
                <w:szCs w:val="20"/>
              </w:rPr>
              <w:t>[k]</w:t>
            </w:r>
            <w:r>
              <w:rPr>
                <w:spacing w:val="5"/>
                <w:sz w:val="20"/>
                <w:szCs w:val="20"/>
              </w:rPr>
              <w:t>荧蒽</w:t>
            </w:r>
          </w:p>
        </w:tc>
        <w:tc>
          <w:tcPr>
            <w:tcW w:w="1858" w:type="dxa"/>
            <w:vAlign w:val="top"/>
          </w:tcPr>
          <w:p w14:paraId="50F2210A">
            <w:pPr>
              <w:spacing w:before="104" w:line="195" w:lineRule="auto"/>
              <w:ind w:left="54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207-08-9</w:t>
            </w:r>
          </w:p>
        </w:tc>
        <w:tc>
          <w:tcPr>
            <w:tcW w:w="1858" w:type="dxa"/>
            <w:vAlign w:val="top"/>
          </w:tcPr>
          <w:p w14:paraId="5150BFF7">
            <w:pPr>
              <w:spacing w:before="104" w:line="195" w:lineRule="auto"/>
              <w:ind w:left="7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151</w:t>
            </w:r>
          </w:p>
        </w:tc>
        <w:tc>
          <w:tcPr>
            <w:tcW w:w="1859" w:type="dxa"/>
            <w:tcBorders>
              <w:right w:val="nil"/>
            </w:tcBorders>
            <w:vAlign w:val="top"/>
          </w:tcPr>
          <w:p w14:paraId="1BCC3B25">
            <w:pPr>
              <w:spacing w:before="104" w:line="195" w:lineRule="auto"/>
              <w:ind w:left="7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1500</w:t>
            </w:r>
          </w:p>
        </w:tc>
      </w:tr>
      <w:tr w14:paraId="2C6A50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5C04C8FD">
            <w:pPr>
              <w:spacing w:before="104" w:line="195" w:lineRule="auto"/>
              <w:ind w:left="6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w:t>
            </w:r>
          </w:p>
        </w:tc>
        <w:tc>
          <w:tcPr>
            <w:tcW w:w="2154" w:type="dxa"/>
            <w:vAlign w:val="top"/>
          </w:tcPr>
          <w:p w14:paraId="22693515">
            <w:pPr>
              <w:pStyle w:val="6"/>
              <w:spacing w:before="66" w:line="229" w:lineRule="auto"/>
              <w:ind w:left="974"/>
              <w:rPr>
                <w:sz w:val="20"/>
                <w:szCs w:val="20"/>
              </w:rPr>
            </w:pPr>
            <w:r>
              <w:rPr>
                <w:spacing w:val="2"/>
                <w:sz w:val="20"/>
                <w:szCs w:val="20"/>
              </w:rPr>
              <w:t>䓛</w:t>
            </w:r>
          </w:p>
        </w:tc>
        <w:tc>
          <w:tcPr>
            <w:tcW w:w="1858" w:type="dxa"/>
            <w:vAlign w:val="top"/>
          </w:tcPr>
          <w:p w14:paraId="3CC11B1A">
            <w:pPr>
              <w:spacing w:before="104" w:line="195" w:lineRule="auto"/>
              <w:ind w:left="54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218-01-9</w:t>
            </w:r>
          </w:p>
        </w:tc>
        <w:tc>
          <w:tcPr>
            <w:tcW w:w="1858" w:type="dxa"/>
            <w:vAlign w:val="top"/>
          </w:tcPr>
          <w:p w14:paraId="7B1C6B28">
            <w:pPr>
              <w:spacing w:before="104" w:line="195" w:lineRule="auto"/>
              <w:ind w:left="7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1293</w:t>
            </w:r>
          </w:p>
        </w:tc>
        <w:tc>
          <w:tcPr>
            <w:tcW w:w="1859" w:type="dxa"/>
            <w:tcBorders>
              <w:right w:val="nil"/>
            </w:tcBorders>
            <w:vAlign w:val="top"/>
          </w:tcPr>
          <w:p w14:paraId="1B22DD1A">
            <w:pPr>
              <w:spacing w:before="104" w:line="195" w:lineRule="auto"/>
              <w:ind w:left="688"/>
              <w:rPr>
                <w:rFonts w:ascii="Times New Roman" w:hAnsi="Times New Roman" w:eastAsia="Times New Roman" w:cs="Times New Roman"/>
                <w:sz w:val="20"/>
                <w:szCs w:val="20"/>
              </w:rPr>
            </w:pPr>
            <w:r>
              <w:rPr>
                <w:rFonts w:ascii="Times New Roman" w:hAnsi="Times New Roman" w:eastAsia="Times New Roman" w:cs="Times New Roman"/>
                <w:sz w:val="20"/>
                <w:szCs w:val="20"/>
              </w:rPr>
              <w:t>12900</w:t>
            </w:r>
          </w:p>
        </w:tc>
      </w:tr>
      <w:tr w14:paraId="67B4D4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560" w:type="dxa"/>
            <w:tcBorders>
              <w:left w:val="nil"/>
            </w:tcBorders>
            <w:vAlign w:val="top"/>
          </w:tcPr>
          <w:p w14:paraId="2CEE4DCF">
            <w:pPr>
              <w:spacing w:before="104" w:line="195" w:lineRule="auto"/>
              <w:ind w:left="6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w:t>
            </w:r>
          </w:p>
        </w:tc>
        <w:tc>
          <w:tcPr>
            <w:tcW w:w="2154" w:type="dxa"/>
            <w:vAlign w:val="top"/>
          </w:tcPr>
          <w:p w14:paraId="770137FB">
            <w:pPr>
              <w:pStyle w:val="6"/>
              <w:spacing w:before="66" w:line="221" w:lineRule="auto"/>
              <w:ind w:left="468"/>
              <w:rPr>
                <w:sz w:val="20"/>
                <w:szCs w:val="20"/>
              </w:rPr>
            </w:pPr>
            <w:r>
              <w:rPr>
                <w:spacing w:val="5"/>
                <w:sz w:val="20"/>
                <w:szCs w:val="20"/>
              </w:rPr>
              <w:t>二苯并</w:t>
            </w:r>
            <w:r>
              <w:rPr>
                <w:rFonts w:ascii="Times New Roman" w:hAnsi="Times New Roman" w:eastAsia="Times New Roman" w:cs="Times New Roman"/>
                <w:spacing w:val="5"/>
                <w:sz w:val="20"/>
                <w:szCs w:val="20"/>
              </w:rPr>
              <w:t>[a,h]</w:t>
            </w:r>
            <w:r>
              <w:rPr>
                <w:spacing w:val="5"/>
                <w:sz w:val="20"/>
                <w:szCs w:val="20"/>
              </w:rPr>
              <w:t>蒽</w:t>
            </w:r>
          </w:p>
        </w:tc>
        <w:tc>
          <w:tcPr>
            <w:tcW w:w="1858" w:type="dxa"/>
            <w:vAlign w:val="top"/>
          </w:tcPr>
          <w:p w14:paraId="553A3D77">
            <w:pPr>
              <w:spacing w:before="104" w:line="195" w:lineRule="auto"/>
              <w:ind w:left="6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53-70-3</w:t>
            </w:r>
          </w:p>
        </w:tc>
        <w:tc>
          <w:tcPr>
            <w:tcW w:w="1858" w:type="dxa"/>
            <w:vAlign w:val="top"/>
          </w:tcPr>
          <w:p w14:paraId="645E3F93">
            <w:pPr>
              <w:spacing w:before="104" w:line="195" w:lineRule="auto"/>
              <w:ind w:left="81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1.5</w:t>
            </w:r>
          </w:p>
        </w:tc>
        <w:tc>
          <w:tcPr>
            <w:tcW w:w="1859" w:type="dxa"/>
            <w:tcBorders>
              <w:right w:val="nil"/>
            </w:tcBorders>
            <w:vAlign w:val="top"/>
          </w:tcPr>
          <w:p w14:paraId="311D30E2">
            <w:pPr>
              <w:spacing w:before="104" w:line="195" w:lineRule="auto"/>
              <w:ind w:left="84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r>
      <w:tr w14:paraId="50AC51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560" w:type="dxa"/>
            <w:tcBorders>
              <w:left w:val="nil"/>
            </w:tcBorders>
            <w:vAlign w:val="top"/>
          </w:tcPr>
          <w:p w14:paraId="2639D15D">
            <w:pPr>
              <w:spacing w:before="106" w:line="195" w:lineRule="auto"/>
              <w:ind w:left="6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w:t>
            </w:r>
          </w:p>
        </w:tc>
        <w:tc>
          <w:tcPr>
            <w:tcW w:w="2154" w:type="dxa"/>
            <w:vAlign w:val="top"/>
          </w:tcPr>
          <w:p w14:paraId="1D32DF67">
            <w:pPr>
              <w:pStyle w:val="6"/>
              <w:spacing w:before="67" w:line="221" w:lineRule="auto"/>
              <w:ind w:left="356"/>
              <w:rPr>
                <w:sz w:val="20"/>
                <w:szCs w:val="20"/>
              </w:rPr>
            </w:pPr>
            <w:r>
              <w:rPr>
                <w:spacing w:val="5"/>
                <w:sz w:val="20"/>
                <w:szCs w:val="20"/>
              </w:rPr>
              <w:t>茚并</w:t>
            </w:r>
            <w:r>
              <w:rPr>
                <w:rFonts w:ascii="Times New Roman" w:hAnsi="Times New Roman" w:eastAsia="Times New Roman" w:cs="Times New Roman"/>
                <w:spacing w:val="5"/>
                <w:sz w:val="20"/>
                <w:szCs w:val="20"/>
              </w:rPr>
              <w:t>[1,2,3-</w:t>
            </w:r>
            <w:r>
              <w:rPr>
                <w:rFonts w:ascii="Times New Roman" w:hAnsi="Times New Roman" w:eastAsia="Times New Roman" w:cs="Times New Roman"/>
                <w:sz w:val="20"/>
                <w:szCs w:val="20"/>
              </w:rPr>
              <w:t>cd</w:t>
            </w:r>
            <w:r>
              <w:rPr>
                <w:rFonts w:ascii="Times New Roman" w:hAnsi="Times New Roman" w:eastAsia="Times New Roman" w:cs="Times New Roman"/>
                <w:spacing w:val="5"/>
                <w:sz w:val="20"/>
                <w:szCs w:val="20"/>
              </w:rPr>
              <w:t>]</w:t>
            </w:r>
            <w:r>
              <w:rPr>
                <w:spacing w:val="5"/>
                <w:sz w:val="20"/>
                <w:szCs w:val="20"/>
              </w:rPr>
              <w:t>芘</w:t>
            </w:r>
          </w:p>
        </w:tc>
        <w:tc>
          <w:tcPr>
            <w:tcW w:w="1858" w:type="dxa"/>
            <w:vAlign w:val="top"/>
          </w:tcPr>
          <w:p w14:paraId="35B67071">
            <w:pPr>
              <w:spacing w:before="106" w:line="195"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193-39-5</w:t>
            </w:r>
          </w:p>
        </w:tc>
        <w:tc>
          <w:tcPr>
            <w:tcW w:w="1858" w:type="dxa"/>
            <w:vAlign w:val="top"/>
          </w:tcPr>
          <w:p w14:paraId="605ED28F">
            <w:pPr>
              <w:spacing w:before="106" w:line="195" w:lineRule="auto"/>
              <w:ind w:left="844"/>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1859" w:type="dxa"/>
            <w:tcBorders>
              <w:right w:val="nil"/>
            </w:tcBorders>
            <w:vAlign w:val="top"/>
          </w:tcPr>
          <w:p w14:paraId="7D818578">
            <w:pPr>
              <w:spacing w:before="106"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151</w:t>
            </w:r>
          </w:p>
        </w:tc>
      </w:tr>
      <w:tr w14:paraId="77240A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1560" w:type="dxa"/>
            <w:tcBorders>
              <w:left w:val="nil"/>
            </w:tcBorders>
            <w:vAlign w:val="top"/>
          </w:tcPr>
          <w:p w14:paraId="7CE15EBA">
            <w:pPr>
              <w:spacing w:before="104" w:line="195" w:lineRule="auto"/>
              <w:ind w:left="6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2154" w:type="dxa"/>
            <w:vAlign w:val="top"/>
          </w:tcPr>
          <w:p w14:paraId="6F957942">
            <w:pPr>
              <w:pStyle w:val="6"/>
              <w:spacing w:before="68" w:line="228" w:lineRule="auto"/>
              <w:ind w:left="977"/>
              <w:rPr>
                <w:sz w:val="20"/>
                <w:szCs w:val="20"/>
              </w:rPr>
            </w:pPr>
            <w:r>
              <w:rPr>
                <w:sz w:val="20"/>
                <w:szCs w:val="20"/>
              </w:rPr>
              <w:t>萘</w:t>
            </w:r>
          </w:p>
        </w:tc>
        <w:tc>
          <w:tcPr>
            <w:tcW w:w="1858" w:type="dxa"/>
            <w:vAlign w:val="top"/>
          </w:tcPr>
          <w:p w14:paraId="432969A8">
            <w:pPr>
              <w:spacing w:before="104" w:line="195" w:lineRule="auto"/>
              <w:ind w:left="60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91-20-3</w:t>
            </w:r>
          </w:p>
        </w:tc>
        <w:tc>
          <w:tcPr>
            <w:tcW w:w="1858" w:type="dxa"/>
            <w:vAlign w:val="top"/>
          </w:tcPr>
          <w:p w14:paraId="2D786D7F">
            <w:pPr>
              <w:spacing w:before="104" w:line="195" w:lineRule="auto"/>
              <w:ind w:left="82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1859" w:type="dxa"/>
            <w:tcBorders>
              <w:right w:val="nil"/>
            </w:tcBorders>
            <w:vAlign w:val="top"/>
          </w:tcPr>
          <w:p w14:paraId="6A2D1E0C">
            <w:pPr>
              <w:spacing w:before="104" w:line="195" w:lineRule="auto"/>
              <w:ind w:left="7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700</w:t>
            </w:r>
          </w:p>
        </w:tc>
      </w:tr>
    </w:tbl>
    <w:p w14:paraId="7A32AA81">
      <w:pPr>
        <w:spacing w:before="30" w:line="242" w:lineRule="auto"/>
        <w:ind w:left="116" w:right="110" w:hanging="1"/>
        <w:rPr>
          <w:rFonts w:ascii="宋体" w:hAnsi="宋体" w:eastAsia="宋体" w:cs="宋体"/>
          <w:sz w:val="20"/>
          <w:szCs w:val="20"/>
        </w:rPr>
      </w:pPr>
      <w:r>
        <w:rPr>
          <w:rFonts w:ascii="宋体" w:hAnsi="宋体" w:eastAsia="宋体" w:cs="宋体"/>
          <w:spacing w:val="11"/>
          <w:sz w:val="20"/>
          <w:szCs w:val="20"/>
        </w:rPr>
        <w:t>注：①具体地块土壤中污染物检测含量超过筛选值，但等于或低于土地环</w:t>
      </w:r>
      <w:r>
        <w:rPr>
          <w:rFonts w:ascii="宋体" w:hAnsi="宋体" w:eastAsia="宋体" w:cs="宋体"/>
          <w:spacing w:val="10"/>
          <w:sz w:val="20"/>
          <w:szCs w:val="20"/>
        </w:rPr>
        <w:t>境背景值水平的，不纳入</w:t>
      </w:r>
      <w:r>
        <w:rPr>
          <w:rFonts w:ascii="宋体" w:hAnsi="宋体" w:eastAsia="宋体" w:cs="宋体"/>
          <w:sz w:val="20"/>
          <w:szCs w:val="20"/>
        </w:rPr>
        <w:t xml:space="preserve"> </w:t>
      </w:r>
      <w:r>
        <w:rPr>
          <w:rFonts w:ascii="宋体" w:hAnsi="宋体" w:eastAsia="宋体" w:cs="宋体"/>
          <w:spacing w:val="17"/>
          <w:sz w:val="20"/>
          <w:szCs w:val="20"/>
        </w:rPr>
        <w:t>污染地块管理。土地环境背景值见《土壤环境质量 建设用地土壤污染风险管控标准（试行）</w:t>
      </w:r>
      <w:r>
        <w:rPr>
          <w:rFonts w:ascii="宋体" w:hAnsi="宋体" w:eastAsia="宋体" w:cs="宋体"/>
          <w:spacing w:val="-53"/>
          <w:sz w:val="20"/>
          <w:szCs w:val="20"/>
        </w:rPr>
        <w:t xml:space="preserve"> </w:t>
      </w:r>
      <w:r>
        <w:rPr>
          <w:rFonts w:ascii="宋体" w:hAnsi="宋体" w:eastAsia="宋体" w:cs="宋体"/>
          <w:spacing w:val="17"/>
          <w:sz w:val="20"/>
          <w:szCs w:val="20"/>
        </w:rPr>
        <w:t>》</w:t>
      </w:r>
      <w:r>
        <w:rPr>
          <w:rFonts w:ascii="宋体" w:hAnsi="宋体" w:eastAsia="宋体" w:cs="宋体"/>
          <w:sz w:val="20"/>
          <w:szCs w:val="20"/>
        </w:rPr>
        <w:t xml:space="preserve"> </w:t>
      </w:r>
      <w:r>
        <w:rPr>
          <w:rFonts w:ascii="宋体" w:hAnsi="宋体" w:eastAsia="宋体" w:cs="宋体"/>
          <w:spacing w:val="6"/>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36600-2018</w:t>
      </w:r>
      <w:r>
        <w:rPr>
          <w:rFonts w:ascii="宋体" w:hAnsi="宋体" w:eastAsia="宋体" w:cs="宋体"/>
          <w:spacing w:val="6"/>
          <w:sz w:val="20"/>
          <w:szCs w:val="20"/>
        </w:rPr>
        <w:t>）附录</w:t>
      </w:r>
      <w:r>
        <w:rPr>
          <w:rFonts w:ascii="宋体" w:hAnsi="宋体" w:eastAsia="宋体" w:cs="宋体"/>
          <w:spacing w:val="-44"/>
          <w:sz w:val="20"/>
          <w:szCs w:val="20"/>
        </w:rPr>
        <w:t xml:space="preserve"> </w:t>
      </w:r>
      <w:r>
        <w:rPr>
          <w:rFonts w:ascii="Times New Roman" w:hAnsi="Times New Roman" w:eastAsia="Times New Roman" w:cs="Times New Roman"/>
          <w:spacing w:val="6"/>
          <w:sz w:val="20"/>
          <w:szCs w:val="20"/>
        </w:rPr>
        <w:t>A</w:t>
      </w:r>
      <w:r>
        <w:rPr>
          <w:rFonts w:ascii="宋体" w:hAnsi="宋体" w:eastAsia="宋体" w:cs="宋体"/>
          <w:spacing w:val="6"/>
          <w:sz w:val="20"/>
          <w:szCs w:val="20"/>
        </w:rPr>
        <w:t>。</w:t>
      </w:r>
    </w:p>
    <w:p w14:paraId="5BB3C22D">
      <w:pPr>
        <w:spacing w:line="28" w:lineRule="exact"/>
      </w:pPr>
      <w:r>
        <w:pict>
          <v:shape id="_x0000_s1058" o:spid="_x0000_s1058" style="height:1.45pt;width:464.5pt;" filled="f" stroked="t" coordsize="9290,29" path="m0,14l9289,14e">
            <v:fill on="f" focussize="0,0"/>
            <v:stroke weight="1.44pt" color="#000000" miterlimit="2" joinstyle="bevel"/>
            <v:imagedata o:title=""/>
            <o:lock v:ext="edit"/>
            <w10:wrap type="none"/>
            <w10:anchorlock/>
          </v:shape>
        </w:pict>
      </w:r>
    </w:p>
    <w:p w14:paraId="55FA559E">
      <w:pPr>
        <w:spacing w:before="31" w:line="228" w:lineRule="auto"/>
        <w:ind w:left="250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2"/>
          <w:sz w:val="20"/>
          <w:szCs w:val="20"/>
        </w:rPr>
        <w:t xml:space="preserve"> </w:t>
      </w:r>
      <w:r>
        <w:rPr>
          <w:rFonts w:ascii="Times New Roman" w:hAnsi="Times New Roman" w:eastAsia="Times New Roman" w:cs="Times New Roman"/>
          <w:b/>
          <w:bCs/>
          <w:spacing w:val="5"/>
          <w:sz w:val="20"/>
          <w:szCs w:val="20"/>
        </w:rPr>
        <w:t xml:space="preserve">1.5-7        </w:t>
      </w:r>
      <w:r>
        <w:rPr>
          <w:rFonts w:ascii="宋体" w:hAnsi="宋体" w:eastAsia="宋体" w:cs="宋体"/>
          <w:b/>
          <w:bCs/>
          <w:spacing w:val="5"/>
          <w:sz w:val="20"/>
          <w:szCs w:val="20"/>
        </w:rPr>
        <w:t>土壤环境质量标准限值（农用</w:t>
      </w:r>
      <w:r>
        <w:rPr>
          <w:rFonts w:ascii="宋体" w:hAnsi="宋体" w:eastAsia="宋体" w:cs="宋体"/>
          <w:b/>
          <w:bCs/>
          <w:spacing w:val="4"/>
          <w:sz w:val="20"/>
          <w:szCs w:val="20"/>
        </w:rPr>
        <w:t>地）</w:t>
      </w:r>
    </w:p>
    <w:p w14:paraId="767B538A">
      <w:pPr>
        <w:spacing w:line="132" w:lineRule="exact"/>
      </w:pPr>
    </w:p>
    <w:tbl>
      <w:tblPr>
        <w:tblStyle w:val="5"/>
        <w:tblW w:w="9069" w:type="dxa"/>
        <w:tblInd w:w="11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90"/>
        <w:gridCol w:w="2129"/>
        <w:gridCol w:w="1571"/>
        <w:gridCol w:w="1432"/>
        <w:gridCol w:w="1542"/>
        <w:gridCol w:w="1405"/>
      </w:tblGrid>
      <w:tr w14:paraId="5F39E9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90" w:type="dxa"/>
            <w:vMerge w:val="restart"/>
            <w:tcBorders>
              <w:top w:val="single" w:color="000000" w:sz="10" w:space="0"/>
              <w:left w:val="nil"/>
              <w:bottom w:val="nil"/>
            </w:tcBorders>
            <w:vAlign w:val="top"/>
          </w:tcPr>
          <w:p w14:paraId="57FF8188">
            <w:pPr>
              <w:pStyle w:val="6"/>
              <w:spacing w:before="172" w:line="229" w:lineRule="auto"/>
              <w:ind w:left="292"/>
              <w:rPr>
                <w:sz w:val="20"/>
                <w:szCs w:val="20"/>
              </w:rPr>
            </w:pPr>
            <w:r>
              <w:rPr>
                <w:spacing w:val="5"/>
                <w:sz w:val="20"/>
                <w:szCs w:val="20"/>
              </w:rPr>
              <w:t>序号</w:t>
            </w:r>
          </w:p>
        </w:tc>
        <w:tc>
          <w:tcPr>
            <w:tcW w:w="2129" w:type="dxa"/>
            <w:vMerge w:val="restart"/>
            <w:tcBorders>
              <w:top w:val="single" w:color="000000" w:sz="10" w:space="0"/>
              <w:bottom w:val="nil"/>
            </w:tcBorders>
            <w:vAlign w:val="top"/>
          </w:tcPr>
          <w:p w14:paraId="0193D8AE">
            <w:pPr>
              <w:pStyle w:val="6"/>
              <w:spacing w:before="172" w:line="228" w:lineRule="auto"/>
              <w:ind w:left="125"/>
              <w:rPr>
                <w:sz w:val="20"/>
                <w:szCs w:val="20"/>
              </w:rPr>
            </w:pPr>
            <w:r>
              <w:rPr>
                <w:spacing w:val="7"/>
                <w:sz w:val="20"/>
                <w:szCs w:val="20"/>
              </w:rPr>
              <w:t>污染物项目（其他）</w:t>
            </w:r>
          </w:p>
        </w:tc>
        <w:tc>
          <w:tcPr>
            <w:tcW w:w="5950" w:type="dxa"/>
            <w:gridSpan w:val="4"/>
            <w:tcBorders>
              <w:top w:val="single" w:color="000000" w:sz="10" w:space="0"/>
              <w:right w:val="nil"/>
            </w:tcBorders>
            <w:vAlign w:val="top"/>
          </w:tcPr>
          <w:p w14:paraId="65447399">
            <w:pPr>
              <w:pStyle w:val="6"/>
              <w:spacing w:before="35" w:line="214" w:lineRule="auto"/>
              <w:ind w:left="2669"/>
              <w:rPr>
                <w:sz w:val="20"/>
                <w:szCs w:val="20"/>
              </w:rPr>
            </w:pPr>
            <w:r>
              <w:rPr>
                <w:spacing w:val="6"/>
                <w:sz w:val="20"/>
                <w:szCs w:val="20"/>
              </w:rPr>
              <w:t>筛选值</w:t>
            </w:r>
          </w:p>
        </w:tc>
      </w:tr>
      <w:tr w14:paraId="2CB262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 w:hRule="atLeast"/>
        </w:trPr>
        <w:tc>
          <w:tcPr>
            <w:tcW w:w="990" w:type="dxa"/>
            <w:vMerge w:val="continue"/>
            <w:tcBorders>
              <w:top w:val="nil"/>
              <w:left w:val="nil"/>
            </w:tcBorders>
            <w:vAlign w:val="top"/>
          </w:tcPr>
          <w:p w14:paraId="4286D948">
            <w:pPr>
              <w:rPr>
                <w:rFonts w:ascii="Arial"/>
                <w:sz w:val="21"/>
              </w:rPr>
            </w:pPr>
          </w:p>
        </w:tc>
        <w:tc>
          <w:tcPr>
            <w:tcW w:w="2129" w:type="dxa"/>
            <w:vMerge w:val="continue"/>
            <w:tcBorders>
              <w:top w:val="nil"/>
            </w:tcBorders>
            <w:vAlign w:val="top"/>
          </w:tcPr>
          <w:p w14:paraId="6D53E893">
            <w:pPr>
              <w:rPr>
                <w:rFonts w:ascii="Arial"/>
                <w:sz w:val="21"/>
              </w:rPr>
            </w:pPr>
          </w:p>
        </w:tc>
        <w:tc>
          <w:tcPr>
            <w:tcW w:w="1571" w:type="dxa"/>
            <w:vAlign w:val="top"/>
          </w:tcPr>
          <w:p w14:paraId="10ABFE0E">
            <w:pPr>
              <w:spacing w:before="68" w:line="194" w:lineRule="auto"/>
              <w:ind w:left="465"/>
              <w:rPr>
                <w:rFonts w:ascii="Times New Roman" w:hAnsi="Times New Roman" w:eastAsia="Times New Roman" w:cs="Times New Roman"/>
                <w:sz w:val="20"/>
                <w:szCs w:val="20"/>
              </w:rPr>
            </w:pPr>
            <w:r>
              <w:rPr>
                <w:rFonts w:ascii="Times New Roman" w:hAnsi="Times New Roman" w:eastAsia="Times New Roman" w:cs="Times New Roman"/>
                <w:sz w:val="20"/>
                <w:szCs w:val="20"/>
              </w:rPr>
              <w:t>pH</w:t>
            </w:r>
            <w:r>
              <w:rPr>
                <w:rFonts w:ascii="Times New Roman" w:hAnsi="Times New Roman" w:eastAsia="Times New Roman" w:cs="Times New Roman"/>
                <w:spacing w:val="7"/>
                <w:sz w:val="20"/>
                <w:szCs w:val="20"/>
              </w:rPr>
              <w:t>≤5.5</w:t>
            </w:r>
          </w:p>
        </w:tc>
        <w:tc>
          <w:tcPr>
            <w:tcW w:w="1432" w:type="dxa"/>
            <w:vAlign w:val="top"/>
          </w:tcPr>
          <w:p w14:paraId="1BFADEB8">
            <w:pPr>
              <w:pStyle w:val="6"/>
              <w:spacing w:before="29" w:line="212" w:lineRule="auto"/>
              <w:ind w:left="169"/>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5.5</w:t>
            </w:r>
            <w:r>
              <w:rPr>
                <w:spacing w:val="5"/>
                <w:sz w:val="20"/>
                <w:szCs w:val="20"/>
              </w:rPr>
              <w:t>＜</w:t>
            </w:r>
            <w:r>
              <w:rPr>
                <w:rFonts w:ascii="Times New Roman" w:hAnsi="Times New Roman" w:eastAsia="Times New Roman" w:cs="Times New Roman"/>
                <w:sz w:val="20"/>
                <w:szCs w:val="20"/>
              </w:rPr>
              <w:t>pH</w:t>
            </w:r>
            <w:r>
              <w:rPr>
                <w:rFonts w:ascii="Times New Roman" w:hAnsi="Times New Roman" w:eastAsia="Times New Roman" w:cs="Times New Roman"/>
                <w:spacing w:val="5"/>
                <w:sz w:val="20"/>
                <w:szCs w:val="20"/>
              </w:rPr>
              <w:t>≤6.5</w:t>
            </w:r>
          </w:p>
        </w:tc>
        <w:tc>
          <w:tcPr>
            <w:tcW w:w="1542" w:type="dxa"/>
            <w:vAlign w:val="top"/>
          </w:tcPr>
          <w:p w14:paraId="78E0225A">
            <w:pPr>
              <w:pStyle w:val="6"/>
              <w:spacing w:before="29" w:line="212" w:lineRule="auto"/>
              <w:ind w:left="222"/>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6.5</w:t>
            </w:r>
            <w:r>
              <w:rPr>
                <w:spacing w:val="5"/>
                <w:sz w:val="20"/>
                <w:szCs w:val="20"/>
              </w:rPr>
              <w:t>＜</w:t>
            </w:r>
            <w:r>
              <w:rPr>
                <w:rFonts w:ascii="Times New Roman" w:hAnsi="Times New Roman" w:eastAsia="Times New Roman" w:cs="Times New Roman"/>
                <w:sz w:val="20"/>
                <w:szCs w:val="20"/>
              </w:rPr>
              <w:t>pH</w:t>
            </w:r>
            <w:r>
              <w:rPr>
                <w:rFonts w:ascii="Times New Roman" w:hAnsi="Times New Roman" w:eastAsia="Times New Roman" w:cs="Times New Roman"/>
                <w:spacing w:val="5"/>
                <w:sz w:val="20"/>
                <w:szCs w:val="20"/>
              </w:rPr>
              <w:t>≤7.5</w:t>
            </w:r>
          </w:p>
        </w:tc>
        <w:tc>
          <w:tcPr>
            <w:tcW w:w="1405" w:type="dxa"/>
            <w:tcBorders>
              <w:right w:val="nil"/>
            </w:tcBorders>
            <w:vAlign w:val="top"/>
          </w:tcPr>
          <w:p w14:paraId="748B6F29">
            <w:pPr>
              <w:pStyle w:val="6"/>
              <w:spacing w:before="29" w:line="212" w:lineRule="auto"/>
              <w:ind w:left="336"/>
              <w:rPr>
                <w:rFonts w:ascii="Times New Roman" w:hAnsi="Times New Roman" w:eastAsia="Times New Roman" w:cs="Times New Roman"/>
                <w:sz w:val="20"/>
                <w:szCs w:val="20"/>
              </w:rPr>
            </w:pPr>
            <w:r>
              <w:rPr>
                <w:rFonts w:ascii="Times New Roman" w:hAnsi="Times New Roman" w:eastAsia="Times New Roman" w:cs="Times New Roman"/>
                <w:sz w:val="20"/>
                <w:szCs w:val="20"/>
              </w:rPr>
              <w:t>pH</w:t>
            </w:r>
            <w:r>
              <w:rPr>
                <w:spacing w:val="8"/>
                <w:sz w:val="20"/>
                <w:szCs w:val="20"/>
              </w:rPr>
              <w:t>＞</w:t>
            </w:r>
            <w:r>
              <w:rPr>
                <w:rFonts w:ascii="Times New Roman" w:hAnsi="Times New Roman" w:eastAsia="Times New Roman" w:cs="Times New Roman"/>
                <w:spacing w:val="8"/>
                <w:sz w:val="20"/>
                <w:szCs w:val="20"/>
              </w:rPr>
              <w:t>7.5</w:t>
            </w:r>
          </w:p>
        </w:tc>
      </w:tr>
      <w:tr w14:paraId="2900B9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990" w:type="dxa"/>
            <w:tcBorders>
              <w:left w:val="nil"/>
            </w:tcBorders>
            <w:vAlign w:val="top"/>
          </w:tcPr>
          <w:p w14:paraId="27046C2B">
            <w:pPr>
              <w:spacing w:before="70" w:line="195" w:lineRule="auto"/>
              <w:ind w:left="465"/>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129" w:type="dxa"/>
            <w:vAlign w:val="top"/>
          </w:tcPr>
          <w:p w14:paraId="7A7AE87D">
            <w:pPr>
              <w:pStyle w:val="6"/>
              <w:spacing w:before="33" w:line="209" w:lineRule="auto"/>
              <w:ind w:left="484"/>
              <w:rPr>
                <w:sz w:val="20"/>
                <w:szCs w:val="20"/>
              </w:rPr>
            </w:pPr>
            <w:r>
              <w:rPr>
                <w:spacing w:val="9"/>
                <w:sz w:val="20"/>
                <w:szCs w:val="20"/>
              </w:rPr>
              <w:t>镉（</w:t>
            </w:r>
            <w:r>
              <w:rPr>
                <w:rFonts w:ascii="Times New Roman" w:hAnsi="Times New Roman" w:eastAsia="Times New Roman" w:cs="Times New Roman"/>
                <w:sz w:val="20"/>
                <w:szCs w:val="20"/>
              </w:rPr>
              <w:t>mg</w:t>
            </w:r>
            <w:r>
              <w:rPr>
                <w:rFonts w:ascii="Times New Roman" w:hAnsi="Times New Roman" w:eastAsia="Times New Roman" w:cs="Times New Roman"/>
                <w:spacing w:val="9"/>
                <w:sz w:val="20"/>
                <w:szCs w:val="20"/>
              </w:rPr>
              <w:t>/</w:t>
            </w:r>
            <w:r>
              <w:rPr>
                <w:rFonts w:ascii="Times New Roman" w:hAnsi="Times New Roman" w:eastAsia="Times New Roman" w:cs="Times New Roman"/>
                <w:sz w:val="20"/>
                <w:szCs w:val="20"/>
              </w:rPr>
              <w:t>kg</w:t>
            </w:r>
            <w:r>
              <w:rPr>
                <w:spacing w:val="9"/>
                <w:sz w:val="20"/>
                <w:szCs w:val="20"/>
              </w:rPr>
              <w:t>）</w:t>
            </w:r>
          </w:p>
        </w:tc>
        <w:tc>
          <w:tcPr>
            <w:tcW w:w="1571" w:type="dxa"/>
            <w:vAlign w:val="top"/>
          </w:tcPr>
          <w:p w14:paraId="6F4BCCB0">
            <w:pPr>
              <w:spacing w:before="69" w:line="195" w:lineRule="auto"/>
              <w:ind w:left="65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0.3</w:t>
            </w:r>
          </w:p>
        </w:tc>
        <w:tc>
          <w:tcPr>
            <w:tcW w:w="1432" w:type="dxa"/>
            <w:vAlign w:val="top"/>
          </w:tcPr>
          <w:p w14:paraId="33F2154D">
            <w:pPr>
              <w:spacing w:before="69" w:line="195" w:lineRule="auto"/>
              <w:ind w:left="5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0.3</w:t>
            </w:r>
          </w:p>
        </w:tc>
        <w:tc>
          <w:tcPr>
            <w:tcW w:w="1542" w:type="dxa"/>
            <w:vAlign w:val="top"/>
          </w:tcPr>
          <w:p w14:paraId="314A2609">
            <w:pPr>
              <w:spacing w:before="69" w:line="195" w:lineRule="auto"/>
              <w:ind w:left="64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0.3</w:t>
            </w:r>
          </w:p>
        </w:tc>
        <w:tc>
          <w:tcPr>
            <w:tcW w:w="1405" w:type="dxa"/>
            <w:tcBorders>
              <w:right w:val="nil"/>
            </w:tcBorders>
            <w:vAlign w:val="top"/>
          </w:tcPr>
          <w:p w14:paraId="6785EE1E">
            <w:pPr>
              <w:spacing w:before="69" w:line="195" w:lineRule="auto"/>
              <w:ind w:left="57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0.6</w:t>
            </w:r>
          </w:p>
        </w:tc>
      </w:tr>
      <w:tr w14:paraId="6C6107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 w:hRule="atLeast"/>
        </w:trPr>
        <w:tc>
          <w:tcPr>
            <w:tcW w:w="990" w:type="dxa"/>
            <w:tcBorders>
              <w:left w:val="nil"/>
            </w:tcBorders>
            <w:vAlign w:val="top"/>
          </w:tcPr>
          <w:p w14:paraId="4D2461A7">
            <w:pPr>
              <w:spacing w:before="74" w:line="193" w:lineRule="auto"/>
              <w:ind w:left="445"/>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129" w:type="dxa"/>
            <w:vAlign w:val="top"/>
          </w:tcPr>
          <w:p w14:paraId="0C413DFA">
            <w:pPr>
              <w:pStyle w:val="6"/>
              <w:spacing w:before="37" w:line="204" w:lineRule="auto"/>
              <w:ind w:left="487"/>
              <w:rPr>
                <w:sz w:val="20"/>
                <w:szCs w:val="20"/>
              </w:rPr>
            </w:pPr>
            <w:r>
              <w:rPr>
                <w:spacing w:val="8"/>
                <w:sz w:val="20"/>
                <w:szCs w:val="20"/>
              </w:rPr>
              <w:t>汞（</w:t>
            </w: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kg</w:t>
            </w:r>
            <w:r>
              <w:rPr>
                <w:spacing w:val="8"/>
                <w:sz w:val="20"/>
                <w:szCs w:val="20"/>
              </w:rPr>
              <w:t>）</w:t>
            </w:r>
          </w:p>
        </w:tc>
        <w:tc>
          <w:tcPr>
            <w:tcW w:w="1571" w:type="dxa"/>
            <w:vAlign w:val="top"/>
          </w:tcPr>
          <w:p w14:paraId="04D0D197">
            <w:pPr>
              <w:spacing w:before="74" w:line="193" w:lineRule="auto"/>
              <w:ind w:left="67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1.3</w:t>
            </w:r>
          </w:p>
        </w:tc>
        <w:tc>
          <w:tcPr>
            <w:tcW w:w="1432" w:type="dxa"/>
            <w:vAlign w:val="top"/>
          </w:tcPr>
          <w:p w14:paraId="1B521DA0">
            <w:pPr>
              <w:spacing w:before="74" w:line="193" w:lineRule="auto"/>
              <w:ind w:left="60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1.8</w:t>
            </w:r>
          </w:p>
        </w:tc>
        <w:tc>
          <w:tcPr>
            <w:tcW w:w="1542" w:type="dxa"/>
            <w:vAlign w:val="top"/>
          </w:tcPr>
          <w:p w14:paraId="4A255797">
            <w:pPr>
              <w:spacing w:before="74" w:line="193" w:lineRule="auto"/>
              <w:ind w:left="6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1405" w:type="dxa"/>
            <w:tcBorders>
              <w:right w:val="nil"/>
            </w:tcBorders>
            <w:vAlign w:val="top"/>
          </w:tcPr>
          <w:p w14:paraId="4F36C825">
            <w:pPr>
              <w:spacing w:before="74" w:line="193" w:lineRule="auto"/>
              <w:ind w:left="57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w:t>
            </w:r>
          </w:p>
        </w:tc>
      </w:tr>
      <w:tr w14:paraId="40D0C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990" w:type="dxa"/>
            <w:tcBorders>
              <w:left w:val="nil"/>
            </w:tcBorders>
            <w:vAlign w:val="top"/>
          </w:tcPr>
          <w:p w14:paraId="64A94C29">
            <w:pPr>
              <w:spacing w:before="76" w:line="192" w:lineRule="auto"/>
              <w:ind w:left="449"/>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129" w:type="dxa"/>
            <w:vAlign w:val="top"/>
          </w:tcPr>
          <w:p w14:paraId="4B9BDCF9">
            <w:pPr>
              <w:pStyle w:val="6"/>
              <w:spacing w:before="38" w:line="204" w:lineRule="auto"/>
              <w:ind w:left="485"/>
              <w:rPr>
                <w:sz w:val="20"/>
                <w:szCs w:val="20"/>
              </w:rPr>
            </w:pPr>
            <w:r>
              <w:rPr>
                <w:spacing w:val="8"/>
                <w:sz w:val="20"/>
                <w:szCs w:val="20"/>
              </w:rPr>
              <w:t>砷（</w:t>
            </w: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kg</w:t>
            </w:r>
            <w:r>
              <w:rPr>
                <w:spacing w:val="8"/>
                <w:sz w:val="20"/>
                <w:szCs w:val="20"/>
              </w:rPr>
              <w:t>）</w:t>
            </w:r>
          </w:p>
        </w:tc>
        <w:tc>
          <w:tcPr>
            <w:tcW w:w="1571" w:type="dxa"/>
            <w:vAlign w:val="top"/>
          </w:tcPr>
          <w:p w14:paraId="657244D5">
            <w:pPr>
              <w:spacing w:before="76" w:line="192"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1432" w:type="dxa"/>
            <w:vAlign w:val="top"/>
          </w:tcPr>
          <w:p w14:paraId="7561C047">
            <w:pPr>
              <w:spacing w:before="76" w:line="192" w:lineRule="auto"/>
              <w:ind w:left="61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1542" w:type="dxa"/>
            <w:vAlign w:val="top"/>
          </w:tcPr>
          <w:p w14:paraId="29547E14">
            <w:pPr>
              <w:spacing w:before="76" w:line="192" w:lineRule="auto"/>
              <w:ind w:left="673"/>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1405" w:type="dxa"/>
            <w:tcBorders>
              <w:right w:val="nil"/>
            </w:tcBorders>
            <w:vAlign w:val="top"/>
          </w:tcPr>
          <w:p w14:paraId="4AE7C48C">
            <w:pPr>
              <w:spacing w:before="76" w:line="192"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r>
      <w:tr w14:paraId="7CCE6D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990" w:type="dxa"/>
            <w:tcBorders>
              <w:left w:val="nil"/>
            </w:tcBorders>
            <w:vAlign w:val="top"/>
          </w:tcPr>
          <w:p w14:paraId="7967C3F9">
            <w:pPr>
              <w:spacing w:before="78" w:line="189" w:lineRule="auto"/>
              <w:ind w:left="44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129" w:type="dxa"/>
            <w:vAlign w:val="top"/>
          </w:tcPr>
          <w:p w14:paraId="1C0BA924">
            <w:pPr>
              <w:pStyle w:val="6"/>
              <w:spacing w:before="43" w:line="200" w:lineRule="auto"/>
              <w:ind w:left="486"/>
              <w:rPr>
                <w:sz w:val="20"/>
                <w:szCs w:val="20"/>
              </w:rPr>
            </w:pPr>
            <w:r>
              <w:rPr>
                <w:spacing w:val="8"/>
                <w:sz w:val="20"/>
                <w:szCs w:val="20"/>
              </w:rPr>
              <w:t>铅（</w:t>
            </w: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kg</w:t>
            </w:r>
            <w:r>
              <w:rPr>
                <w:spacing w:val="8"/>
                <w:sz w:val="20"/>
                <w:szCs w:val="20"/>
              </w:rPr>
              <w:t>）</w:t>
            </w:r>
          </w:p>
        </w:tc>
        <w:tc>
          <w:tcPr>
            <w:tcW w:w="1571" w:type="dxa"/>
            <w:vAlign w:val="top"/>
          </w:tcPr>
          <w:p w14:paraId="253B2164">
            <w:pPr>
              <w:spacing w:before="78" w:line="189"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1432" w:type="dxa"/>
            <w:vAlign w:val="top"/>
          </w:tcPr>
          <w:p w14:paraId="0817D55B">
            <w:pPr>
              <w:spacing w:before="78" w:line="189" w:lineRule="auto"/>
              <w:ind w:left="616"/>
              <w:rPr>
                <w:rFonts w:ascii="Times New Roman" w:hAnsi="Times New Roman" w:eastAsia="Times New Roman" w:cs="Times New Roman"/>
                <w:sz w:val="20"/>
                <w:szCs w:val="20"/>
              </w:rPr>
            </w:pPr>
            <w:r>
              <w:rPr>
                <w:rFonts w:ascii="Times New Roman" w:hAnsi="Times New Roman" w:eastAsia="Times New Roman" w:cs="Times New Roman"/>
                <w:sz w:val="20"/>
                <w:szCs w:val="20"/>
              </w:rPr>
              <w:t>90</w:t>
            </w:r>
          </w:p>
        </w:tc>
        <w:tc>
          <w:tcPr>
            <w:tcW w:w="1542" w:type="dxa"/>
            <w:vAlign w:val="top"/>
          </w:tcPr>
          <w:p w14:paraId="194027B3">
            <w:pPr>
              <w:spacing w:before="78" w:line="189" w:lineRule="auto"/>
              <w:ind w:left="6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120</w:t>
            </w:r>
          </w:p>
        </w:tc>
        <w:tc>
          <w:tcPr>
            <w:tcW w:w="1405" w:type="dxa"/>
            <w:tcBorders>
              <w:right w:val="nil"/>
            </w:tcBorders>
            <w:vAlign w:val="top"/>
          </w:tcPr>
          <w:p w14:paraId="61228F9B">
            <w:pPr>
              <w:spacing w:before="78" w:line="189" w:lineRule="auto"/>
              <w:ind w:left="56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170</w:t>
            </w:r>
          </w:p>
        </w:tc>
      </w:tr>
      <w:tr w14:paraId="3A9E1C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990" w:type="dxa"/>
            <w:tcBorders>
              <w:left w:val="nil"/>
            </w:tcBorders>
            <w:vAlign w:val="top"/>
          </w:tcPr>
          <w:p w14:paraId="0D4A8C74">
            <w:pPr>
              <w:spacing w:before="82" w:line="185" w:lineRule="auto"/>
              <w:ind w:left="451"/>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129" w:type="dxa"/>
            <w:vAlign w:val="top"/>
          </w:tcPr>
          <w:p w14:paraId="27E01D64">
            <w:pPr>
              <w:pStyle w:val="6"/>
              <w:spacing w:before="43" w:line="200" w:lineRule="auto"/>
              <w:ind w:left="485"/>
              <w:rPr>
                <w:sz w:val="20"/>
                <w:szCs w:val="20"/>
              </w:rPr>
            </w:pPr>
            <w:r>
              <w:rPr>
                <w:spacing w:val="8"/>
                <w:sz w:val="20"/>
                <w:szCs w:val="20"/>
              </w:rPr>
              <w:t>铬（</w:t>
            </w: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kg</w:t>
            </w:r>
            <w:r>
              <w:rPr>
                <w:spacing w:val="8"/>
                <w:sz w:val="20"/>
                <w:szCs w:val="20"/>
              </w:rPr>
              <w:t>）</w:t>
            </w:r>
          </w:p>
        </w:tc>
        <w:tc>
          <w:tcPr>
            <w:tcW w:w="1571" w:type="dxa"/>
            <w:vAlign w:val="top"/>
          </w:tcPr>
          <w:p w14:paraId="7B7AE217">
            <w:pPr>
              <w:spacing w:before="79" w:line="188" w:lineRule="auto"/>
              <w:ind w:left="6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150</w:t>
            </w:r>
          </w:p>
        </w:tc>
        <w:tc>
          <w:tcPr>
            <w:tcW w:w="1432" w:type="dxa"/>
            <w:vAlign w:val="top"/>
          </w:tcPr>
          <w:p w14:paraId="52F5197F">
            <w:pPr>
              <w:spacing w:before="79" w:line="188" w:lineRule="auto"/>
              <w:ind w:left="5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150</w:t>
            </w:r>
          </w:p>
        </w:tc>
        <w:tc>
          <w:tcPr>
            <w:tcW w:w="1542" w:type="dxa"/>
            <w:vAlign w:val="top"/>
          </w:tcPr>
          <w:p w14:paraId="737EA57B">
            <w:pPr>
              <w:spacing w:before="79" w:line="188" w:lineRule="auto"/>
              <w:ind w:left="6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405" w:type="dxa"/>
            <w:tcBorders>
              <w:right w:val="nil"/>
            </w:tcBorders>
            <w:vAlign w:val="top"/>
          </w:tcPr>
          <w:p w14:paraId="134B7C3A">
            <w:pPr>
              <w:spacing w:before="79" w:line="188" w:lineRule="auto"/>
              <w:ind w:left="5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r>
      <w:tr w14:paraId="44CB2F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990" w:type="dxa"/>
            <w:tcBorders>
              <w:left w:val="nil"/>
            </w:tcBorders>
            <w:vAlign w:val="top"/>
          </w:tcPr>
          <w:p w14:paraId="1E0EBB1D">
            <w:pPr>
              <w:spacing w:before="83" w:line="184" w:lineRule="auto"/>
              <w:ind w:left="449"/>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129" w:type="dxa"/>
            <w:vAlign w:val="top"/>
          </w:tcPr>
          <w:p w14:paraId="4B8D1584">
            <w:pPr>
              <w:pStyle w:val="6"/>
              <w:spacing w:before="47" w:line="196" w:lineRule="auto"/>
              <w:ind w:left="486"/>
              <w:rPr>
                <w:sz w:val="20"/>
                <w:szCs w:val="20"/>
              </w:rPr>
            </w:pPr>
            <w:r>
              <w:rPr>
                <w:spacing w:val="8"/>
                <w:sz w:val="20"/>
                <w:szCs w:val="20"/>
              </w:rPr>
              <w:t>铜（</w:t>
            </w: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kg</w:t>
            </w:r>
            <w:r>
              <w:rPr>
                <w:spacing w:val="8"/>
                <w:sz w:val="20"/>
                <w:szCs w:val="20"/>
              </w:rPr>
              <w:t>）</w:t>
            </w:r>
          </w:p>
        </w:tc>
        <w:tc>
          <w:tcPr>
            <w:tcW w:w="1571" w:type="dxa"/>
            <w:vAlign w:val="top"/>
          </w:tcPr>
          <w:p w14:paraId="1BF5D01B">
            <w:pPr>
              <w:spacing w:before="83" w:line="184" w:lineRule="auto"/>
              <w:ind w:left="687"/>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1432" w:type="dxa"/>
            <w:vAlign w:val="top"/>
          </w:tcPr>
          <w:p w14:paraId="703A838D">
            <w:pPr>
              <w:spacing w:before="83" w:line="184" w:lineRule="auto"/>
              <w:ind w:left="618"/>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1542" w:type="dxa"/>
            <w:vAlign w:val="top"/>
          </w:tcPr>
          <w:p w14:paraId="68E57F46">
            <w:pPr>
              <w:spacing w:before="83" w:line="184" w:lineRule="auto"/>
              <w:ind w:left="6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1405" w:type="dxa"/>
            <w:tcBorders>
              <w:right w:val="nil"/>
            </w:tcBorders>
            <w:vAlign w:val="top"/>
          </w:tcPr>
          <w:p w14:paraId="58A4F85F">
            <w:pPr>
              <w:spacing w:before="83" w:line="184" w:lineRule="auto"/>
              <w:ind w:left="56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r>
      <w:tr w14:paraId="501037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990" w:type="dxa"/>
            <w:tcBorders>
              <w:left w:val="nil"/>
            </w:tcBorders>
            <w:vAlign w:val="top"/>
          </w:tcPr>
          <w:p w14:paraId="015F1B4A">
            <w:pPr>
              <w:spacing w:before="87" w:line="180" w:lineRule="auto"/>
              <w:ind w:left="448"/>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129" w:type="dxa"/>
            <w:vAlign w:val="top"/>
          </w:tcPr>
          <w:p w14:paraId="43597BD2">
            <w:pPr>
              <w:pStyle w:val="6"/>
              <w:spacing w:before="48" w:line="195" w:lineRule="auto"/>
              <w:ind w:left="485"/>
              <w:rPr>
                <w:sz w:val="20"/>
                <w:szCs w:val="20"/>
              </w:rPr>
            </w:pPr>
            <w:r>
              <w:rPr>
                <w:spacing w:val="8"/>
                <w:sz w:val="20"/>
                <w:szCs w:val="20"/>
              </w:rPr>
              <w:t>镍（</w:t>
            </w: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kg</w:t>
            </w:r>
            <w:r>
              <w:rPr>
                <w:spacing w:val="8"/>
                <w:sz w:val="20"/>
                <w:szCs w:val="20"/>
              </w:rPr>
              <w:t>）</w:t>
            </w:r>
          </w:p>
        </w:tc>
        <w:tc>
          <w:tcPr>
            <w:tcW w:w="1571" w:type="dxa"/>
            <w:vAlign w:val="top"/>
          </w:tcPr>
          <w:p w14:paraId="47630958">
            <w:pPr>
              <w:spacing w:before="84" w:line="183" w:lineRule="auto"/>
              <w:ind w:left="686"/>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432" w:type="dxa"/>
            <w:vAlign w:val="top"/>
          </w:tcPr>
          <w:p w14:paraId="4C1AAA83">
            <w:pPr>
              <w:spacing w:before="84" w:line="183" w:lineRule="auto"/>
              <w:ind w:left="61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1542" w:type="dxa"/>
            <w:vAlign w:val="top"/>
          </w:tcPr>
          <w:p w14:paraId="57622417">
            <w:pPr>
              <w:spacing w:before="84" w:line="183" w:lineRule="auto"/>
              <w:ind w:left="6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1405" w:type="dxa"/>
            <w:tcBorders>
              <w:right w:val="nil"/>
            </w:tcBorders>
            <w:vAlign w:val="top"/>
          </w:tcPr>
          <w:p w14:paraId="42DF37DC">
            <w:pPr>
              <w:spacing w:before="84" w:line="183" w:lineRule="auto"/>
              <w:ind w:left="56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190</w:t>
            </w:r>
          </w:p>
        </w:tc>
      </w:tr>
      <w:tr w14:paraId="5A2BFF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6" w:hRule="atLeast"/>
        </w:trPr>
        <w:tc>
          <w:tcPr>
            <w:tcW w:w="990" w:type="dxa"/>
            <w:tcBorders>
              <w:left w:val="nil"/>
              <w:bottom w:val="single" w:color="000000" w:sz="10" w:space="0"/>
            </w:tcBorders>
            <w:vAlign w:val="top"/>
          </w:tcPr>
          <w:p w14:paraId="258C274E">
            <w:pPr>
              <w:spacing w:before="87" w:line="195" w:lineRule="auto"/>
              <w:ind w:left="453"/>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129" w:type="dxa"/>
            <w:tcBorders>
              <w:bottom w:val="single" w:color="000000" w:sz="10" w:space="0"/>
            </w:tcBorders>
            <w:vAlign w:val="top"/>
          </w:tcPr>
          <w:p w14:paraId="44892283">
            <w:pPr>
              <w:pStyle w:val="6"/>
              <w:spacing w:before="52" w:line="216" w:lineRule="auto"/>
              <w:ind w:left="485"/>
              <w:rPr>
                <w:sz w:val="20"/>
                <w:szCs w:val="20"/>
              </w:rPr>
            </w:pPr>
            <w:r>
              <w:rPr>
                <w:spacing w:val="8"/>
                <w:sz w:val="20"/>
                <w:szCs w:val="20"/>
              </w:rPr>
              <w:t>锌（</w:t>
            </w: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kg</w:t>
            </w:r>
            <w:r>
              <w:rPr>
                <w:spacing w:val="8"/>
                <w:sz w:val="20"/>
                <w:szCs w:val="20"/>
              </w:rPr>
              <w:t>）</w:t>
            </w:r>
          </w:p>
        </w:tc>
        <w:tc>
          <w:tcPr>
            <w:tcW w:w="1571" w:type="dxa"/>
            <w:tcBorders>
              <w:bottom w:val="single" w:color="000000" w:sz="10" w:space="0"/>
            </w:tcBorders>
            <w:vAlign w:val="top"/>
          </w:tcPr>
          <w:p w14:paraId="00DF46C7">
            <w:pPr>
              <w:spacing w:before="87" w:line="195" w:lineRule="auto"/>
              <w:ind w:left="6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432" w:type="dxa"/>
            <w:tcBorders>
              <w:bottom w:val="single" w:color="000000" w:sz="10" w:space="0"/>
            </w:tcBorders>
            <w:vAlign w:val="top"/>
          </w:tcPr>
          <w:p w14:paraId="3C3E0EA4">
            <w:pPr>
              <w:spacing w:before="87" w:line="195" w:lineRule="auto"/>
              <w:ind w:left="56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542" w:type="dxa"/>
            <w:tcBorders>
              <w:bottom w:val="single" w:color="000000" w:sz="10" w:space="0"/>
            </w:tcBorders>
            <w:vAlign w:val="top"/>
          </w:tcPr>
          <w:p w14:paraId="5F2584FC">
            <w:pPr>
              <w:spacing w:before="87" w:line="195" w:lineRule="auto"/>
              <w:ind w:left="6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c>
          <w:tcPr>
            <w:tcW w:w="1405" w:type="dxa"/>
            <w:tcBorders>
              <w:bottom w:val="single" w:color="000000" w:sz="10" w:space="0"/>
              <w:right w:val="nil"/>
            </w:tcBorders>
            <w:vAlign w:val="top"/>
          </w:tcPr>
          <w:p w14:paraId="77E05731">
            <w:pPr>
              <w:spacing w:before="87" w:line="195" w:lineRule="auto"/>
              <w:ind w:left="5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r>
    </w:tbl>
    <w:p w14:paraId="100F0C59">
      <w:pPr>
        <w:pStyle w:val="2"/>
      </w:pPr>
    </w:p>
    <w:p w14:paraId="1D3F0C13">
      <w:pPr>
        <w:sectPr>
          <w:footerReference r:id="rId57" w:type="default"/>
          <w:pgSz w:w="11907" w:h="16840"/>
          <w:pgMar w:top="1178" w:right="1308" w:bottom="1038" w:left="1309" w:header="870" w:footer="876" w:gutter="0"/>
          <w:cols w:space="720" w:num="1"/>
        </w:sectPr>
      </w:pPr>
    </w:p>
    <w:p w14:paraId="6DE2F1D4">
      <w:pPr>
        <w:spacing w:before="282" w:line="222" w:lineRule="auto"/>
        <w:ind w:left="34"/>
        <w:outlineLvl w:val="2"/>
        <w:rPr>
          <w:rFonts w:ascii="黑体" w:hAnsi="黑体" w:eastAsia="黑体" w:cs="黑体"/>
          <w:sz w:val="30"/>
          <w:szCs w:val="30"/>
        </w:rPr>
      </w:pPr>
      <w:r>
        <w:pict>
          <v:shape id="_x0000_s1059" o:spid="_x0000_s1059" style="position:absolute;left:0pt;margin-left:70.85pt;margin-top:59.65pt;height:0.75pt;width:453.65pt;mso-position-horizontal-relative:page;mso-position-vertical-relative:page;z-index:251693056;mso-width-relative:page;mso-height-relative:page;" fillcolor="#000000" filled="t" stroked="f" coordsize="9072,15" o:allowincell="f" path="m0,0l9072,0,9072,14,0,14,0,0xe">
            <v:path/>
            <v:fill on="t" focussize="0,0"/>
            <v:stroke on="f"/>
            <v:imagedata o:title=""/>
            <o:lock v:ext="edit"/>
          </v:shape>
        </w:pict>
      </w:r>
      <w:r>
        <w:rPr>
          <w:rFonts w:ascii="Times New Roman" w:hAnsi="Times New Roman" w:eastAsia="Times New Roman" w:cs="Times New Roman"/>
          <w:spacing w:val="-5"/>
          <w:sz w:val="30"/>
          <w:szCs w:val="30"/>
        </w:rPr>
        <w:t>1.5.3</w:t>
      </w:r>
      <w:r>
        <w:rPr>
          <w:rFonts w:ascii="Times New Roman" w:hAnsi="Times New Roman" w:eastAsia="Times New Roman" w:cs="Times New Roman"/>
          <w:spacing w:val="25"/>
          <w:sz w:val="30"/>
          <w:szCs w:val="30"/>
        </w:rPr>
        <w:t xml:space="preserve"> </w:t>
      </w:r>
      <w:r>
        <w:rPr>
          <w:rFonts w:ascii="黑体" w:hAnsi="黑体" w:eastAsia="黑体" w:cs="黑体"/>
          <w:spacing w:val="-5"/>
          <w:sz w:val="30"/>
          <w:szCs w:val="30"/>
        </w:rPr>
        <w:t>污染物排放标准</w:t>
      </w:r>
    </w:p>
    <w:p w14:paraId="6CE7C3D4">
      <w:pPr>
        <w:spacing w:before="214" w:line="220" w:lineRule="auto"/>
        <w:ind w:left="494"/>
        <w:rPr>
          <w:rFonts w:ascii="宋体" w:hAnsi="宋体" w:eastAsia="宋体" w:cs="宋体"/>
          <w:sz w:val="24"/>
          <w:szCs w:val="24"/>
        </w:rPr>
      </w:pPr>
      <w:bookmarkStart w:id="295" w:name="bookmark62"/>
      <w:bookmarkEnd w:id="295"/>
      <w:r>
        <w:rPr>
          <w:rFonts w:ascii="Times New Roman" w:hAnsi="Times New Roman" w:eastAsia="Times New Roman" w:cs="Times New Roman"/>
          <w:b/>
          <w:bCs/>
          <w:spacing w:val="-12"/>
          <w:sz w:val="24"/>
          <w:szCs w:val="24"/>
        </w:rPr>
        <w:t>1</w:t>
      </w:r>
      <w:r>
        <w:rPr>
          <w:rFonts w:ascii="Times New Roman" w:hAnsi="Times New Roman" w:eastAsia="Times New Roman" w:cs="Times New Roman"/>
          <w:b/>
          <w:bCs/>
          <w:spacing w:val="-34"/>
          <w:sz w:val="24"/>
          <w:szCs w:val="24"/>
        </w:rPr>
        <w:t xml:space="preserve"> </w:t>
      </w:r>
      <w:r>
        <w:rPr>
          <w:rFonts w:ascii="宋体" w:hAnsi="宋体" w:eastAsia="宋体" w:cs="宋体"/>
          <w:b/>
          <w:bCs/>
          <w:spacing w:val="-12"/>
          <w:sz w:val="24"/>
          <w:szCs w:val="24"/>
        </w:rPr>
        <w:t>、废气</w:t>
      </w:r>
    </w:p>
    <w:p w14:paraId="44850896">
      <w:pPr>
        <w:spacing w:before="179" w:line="220" w:lineRule="auto"/>
        <w:ind w:left="499"/>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1</w:t>
      </w:r>
      <w:r>
        <w:rPr>
          <w:rFonts w:ascii="宋体" w:hAnsi="宋体" w:eastAsia="宋体" w:cs="宋体"/>
          <w:spacing w:val="-5"/>
          <w:sz w:val="24"/>
          <w:szCs w:val="24"/>
        </w:rPr>
        <w:t>）废气</w:t>
      </w:r>
    </w:p>
    <w:p w14:paraId="52F038BE">
      <w:pPr>
        <w:spacing w:before="183" w:line="356" w:lineRule="auto"/>
        <w:ind w:left="7" w:firstLine="481"/>
        <w:jc w:val="both"/>
        <w:rPr>
          <w:rFonts w:ascii="宋体" w:hAnsi="宋体" w:eastAsia="宋体" w:cs="宋体"/>
          <w:sz w:val="24"/>
          <w:szCs w:val="24"/>
        </w:rPr>
      </w:pPr>
      <w:r>
        <w:rPr>
          <w:rFonts w:ascii="宋体" w:hAnsi="宋体" w:eastAsia="宋体" w:cs="宋体"/>
          <w:spacing w:val="2"/>
          <w:sz w:val="24"/>
          <w:szCs w:val="24"/>
        </w:rPr>
        <w:t>本项目</w:t>
      </w:r>
      <w:r>
        <w:rPr>
          <w:rFonts w:ascii="Times New Roman" w:hAnsi="Times New Roman" w:eastAsia="Times New Roman" w:cs="Times New Roman"/>
          <w:spacing w:val="2"/>
          <w:sz w:val="24"/>
          <w:szCs w:val="24"/>
        </w:rPr>
        <w:t xml:space="preserve">2 </w:t>
      </w:r>
      <w:r>
        <w:rPr>
          <w:rFonts w:ascii="宋体" w:hAnsi="宋体" w:eastAsia="宋体" w:cs="宋体"/>
          <w:spacing w:val="2"/>
          <w:sz w:val="24"/>
          <w:szCs w:val="24"/>
        </w:rPr>
        <w:t>期工程建成后锰硅合金产量为</w:t>
      </w:r>
      <w:r>
        <w:rPr>
          <w:rFonts w:ascii="宋体" w:hAnsi="宋体" w:eastAsia="宋体" w:cs="宋体"/>
          <w:spacing w:val="-40"/>
          <w:sz w:val="24"/>
          <w:szCs w:val="24"/>
        </w:rPr>
        <w:t xml:space="preserve"> </w:t>
      </w:r>
      <w:r>
        <w:rPr>
          <w:rFonts w:ascii="Times New Roman" w:hAnsi="Times New Roman" w:eastAsia="Times New Roman" w:cs="Times New Roman"/>
          <w:spacing w:val="2"/>
          <w:sz w:val="24"/>
          <w:szCs w:val="24"/>
        </w:rPr>
        <w:t>90</w:t>
      </w:r>
      <w:r>
        <w:rPr>
          <w:rFonts w:ascii="Times New Roman" w:hAnsi="Times New Roman" w:eastAsia="Times New Roman" w:cs="Times New Roman"/>
          <w:spacing w:val="20"/>
          <w:sz w:val="24"/>
          <w:szCs w:val="24"/>
        </w:rPr>
        <w:t xml:space="preserve"> </w:t>
      </w:r>
      <w:r>
        <w:rPr>
          <w:rFonts w:ascii="宋体" w:hAnsi="宋体" w:eastAsia="宋体" w:cs="宋体"/>
          <w:spacing w:val="2"/>
          <w:sz w:val="24"/>
          <w:szCs w:val="24"/>
        </w:rPr>
        <w:t>万吨</w:t>
      </w:r>
      <w:r>
        <w:rPr>
          <w:rFonts w:ascii="Times New Roman" w:hAnsi="Times New Roman" w:eastAsia="Times New Roman" w:cs="Times New Roman"/>
          <w:spacing w:val="2"/>
          <w:sz w:val="24"/>
          <w:szCs w:val="24"/>
        </w:rPr>
        <w:t>/</w:t>
      </w:r>
      <w:r>
        <w:rPr>
          <w:rFonts w:ascii="宋体" w:hAnsi="宋体" w:eastAsia="宋体" w:cs="宋体"/>
          <w:spacing w:val="2"/>
          <w:sz w:val="24"/>
          <w:szCs w:val="24"/>
        </w:rPr>
        <w:t>年，根据《关于印发</w:t>
      </w:r>
      <w:r>
        <w:rPr>
          <w:rFonts w:ascii="Times New Roman" w:hAnsi="Times New Roman" w:eastAsia="Times New Roman" w:cs="Times New Roman"/>
          <w:spacing w:val="2"/>
          <w:sz w:val="24"/>
          <w:szCs w:val="24"/>
        </w:rPr>
        <w:t>&lt;</w:t>
      </w:r>
      <w:r>
        <w:rPr>
          <w:rFonts w:ascii="Times New Roman" w:hAnsi="Times New Roman" w:eastAsia="Times New Roman" w:cs="Times New Roman"/>
          <w:spacing w:val="-18"/>
          <w:sz w:val="24"/>
          <w:szCs w:val="24"/>
        </w:rPr>
        <w:t xml:space="preserve"> </w:t>
      </w:r>
      <w:r>
        <w:rPr>
          <w:rFonts w:ascii="宋体" w:hAnsi="宋体" w:eastAsia="宋体" w:cs="宋体"/>
          <w:spacing w:val="2"/>
          <w:sz w:val="24"/>
          <w:szCs w:val="24"/>
        </w:rPr>
        <w:t>内蒙古自治</w:t>
      </w:r>
      <w:r>
        <w:rPr>
          <w:rFonts w:ascii="宋体" w:hAnsi="宋体" w:eastAsia="宋体" w:cs="宋体"/>
          <w:sz w:val="24"/>
          <w:szCs w:val="24"/>
        </w:rPr>
        <w:t xml:space="preserve"> </w:t>
      </w:r>
      <w:r>
        <w:rPr>
          <w:rFonts w:ascii="宋体" w:hAnsi="宋体" w:eastAsia="宋体" w:cs="宋体"/>
          <w:spacing w:val="-2"/>
          <w:sz w:val="24"/>
          <w:szCs w:val="24"/>
        </w:rPr>
        <w:t>区促进铁合金产业高质量发展政策措施</w:t>
      </w:r>
      <w:r>
        <w:rPr>
          <w:rFonts w:ascii="Times New Roman" w:hAnsi="Times New Roman" w:eastAsia="Times New Roman" w:cs="Times New Roman"/>
          <w:spacing w:val="-2"/>
          <w:sz w:val="24"/>
          <w:szCs w:val="24"/>
        </w:rPr>
        <w:t>&gt;</w:t>
      </w:r>
      <w:r>
        <w:rPr>
          <w:rFonts w:ascii="Times New Roman" w:hAnsi="Times New Roman" w:eastAsia="Times New Roman" w:cs="Times New Roman"/>
          <w:spacing w:val="-29"/>
          <w:sz w:val="24"/>
          <w:szCs w:val="24"/>
        </w:rPr>
        <w:t xml:space="preserve"> </w:t>
      </w:r>
      <w:r>
        <w:rPr>
          <w:rFonts w:ascii="宋体" w:hAnsi="宋体" w:eastAsia="宋体" w:cs="宋体"/>
          <w:spacing w:val="-2"/>
          <w:sz w:val="24"/>
          <w:szCs w:val="24"/>
        </w:rPr>
        <w:t>的通知》（内工信发</w:t>
      </w:r>
      <w:r>
        <w:rPr>
          <w:rFonts w:ascii="Times New Roman" w:hAnsi="Times New Roman" w:eastAsia="Times New Roman" w:cs="Times New Roman"/>
          <w:spacing w:val="-2"/>
          <w:sz w:val="24"/>
          <w:szCs w:val="24"/>
        </w:rPr>
        <w:t>[2023</w:t>
      </w:r>
      <w:r>
        <w:rPr>
          <w:rFonts w:ascii="Times New Roman" w:hAnsi="Times New Roman" w:eastAsia="Times New Roman" w:cs="Times New Roman"/>
          <w:spacing w:val="-3"/>
          <w:sz w:val="24"/>
          <w:szCs w:val="24"/>
        </w:rPr>
        <w:t>]134</w:t>
      </w:r>
      <w:r>
        <w:rPr>
          <w:rFonts w:ascii="Times New Roman" w:hAnsi="Times New Roman" w:eastAsia="Times New Roman" w:cs="Times New Roman"/>
          <w:spacing w:val="15"/>
          <w:w w:val="101"/>
          <w:sz w:val="24"/>
          <w:szCs w:val="24"/>
        </w:rPr>
        <w:t xml:space="preserve"> </w:t>
      </w:r>
      <w:r>
        <w:rPr>
          <w:rFonts w:ascii="宋体" w:hAnsi="宋体" w:eastAsia="宋体" w:cs="宋体"/>
          <w:spacing w:val="-3"/>
          <w:sz w:val="24"/>
          <w:szCs w:val="24"/>
        </w:rPr>
        <w:t>号）文件企业不</w:t>
      </w:r>
      <w:r>
        <w:rPr>
          <w:rFonts w:ascii="宋体" w:hAnsi="宋体" w:eastAsia="宋体" w:cs="宋体"/>
          <w:sz w:val="24"/>
          <w:szCs w:val="24"/>
        </w:rPr>
        <w:t xml:space="preserve"> </w:t>
      </w:r>
      <w:r>
        <w:rPr>
          <w:rFonts w:ascii="宋体" w:hAnsi="宋体" w:eastAsia="宋体" w:cs="宋体"/>
          <w:spacing w:val="-1"/>
          <w:sz w:val="24"/>
          <w:szCs w:val="24"/>
        </w:rPr>
        <w:t>列入高耗能企业名单，但仍属于重点行业，因</w:t>
      </w:r>
      <w:r>
        <w:rPr>
          <w:rFonts w:ascii="宋体" w:hAnsi="宋体" w:eastAsia="宋体" w:cs="宋体"/>
          <w:spacing w:val="-2"/>
          <w:sz w:val="24"/>
          <w:szCs w:val="24"/>
        </w:rPr>
        <w:t>此本次评价污染物排放仍执行特别排放限</w:t>
      </w:r>
      <w:r>
        <w:rPr>
          <w:rFonts w:ascii="宋体" w:hAnsi="宋体" w:eastAsia="宋体" w:cs="宋体"/>
          <w:sz w:val="24"/>
          <w:szCs w:val="24"/>
        </w:rPr>
        <w:t xml:space="preserve"> 值。本项目烧结车间排气筒排放的颗粒物、</w:t>
      </w:r>
      <w:r>
        <w:rPr>
          <w:rFonts w:ascii="Times New Roman" w:hAnsi="Times New Roman" w:eastAsia="Times New Roman" w:cs="Times New Roman"/>
          <w:sz w:val="24"/>
          <w:szCs w:val="24"/>
        </w:rPr>
        <w:t>SO</w:t>
      </w:r>
      <w:r>
        <w:rPr>
          <w:rFonts w:ascii="Times New Roman" w:hAnsi="Times New Roman" w:eastAsia="Times New Roman" w:cs="Times New Roman"/>
          <w:position w:val="-1"/>
          <w:sz w:val="15"/>
          <w:szCs w:val="15"/>
        </w:rPr>
        <w:t>2</w:t>
      </w:r>
      <w:r>
        <w:rPr>
          <w:rFonts w:ascii="Times New Roman" w:hAnsi="Times New Roman" w:eastAsia="Times New Roman" w:cs="Times New Roman"/>
          <w:spacing w:val="-10"/>
          <w:position w:val="-1"/>
          <w:sz w:val="15"/>
          <w:szCs w:val="15"/>
        </w:rPr>
        <w:t xml:space="preserve"> </w:t>
      </w:r>
      <w:r>
        <w:rPr>
          <w:rFonts w:ascii="宋体" w:hAnsi="宋体" w:eastAsia="宋体" w:cs="宋体"/>
          <w:sz w:val="24"/>
          <w:szCs w:val="24"/>
        </w:rPr>
        <w:t>、</w:t>
      </w:r>
      <w:r>
        <w:rPr>
          <w:rFonts w:ascii="Times New Roman" w:hAnsi="Times New Roman" w:eastAsia="Times New Roman" w:cs="Times New Roman"/>
          <w:sz w:val="24"/>
          <w:szCs w:val="24"/>
        </w:rPr>
        <w:t>NO</w:t>
      </w:r>
      <w:r>
        <w:rPr>
          <w:rFonts w:ascii="Times New Roman" w:hAnsi="Times New Roman" w:eastAsia="Times New Roman" w:cs="Times New Roman"/>
          <w:position w:val="-1"/>
          <w:sz w:val="15"/>
          <w:szCs w:val="15"/>
        </w:rPr>
        <w:t>X</w:t>
      </w:r>
      <w:r>
        <w:rPr>
          <w:rFonts w:ascii="Times New Roman" w:hAnsi="Times New Roman" w:eastAsia="Times New Roman" w:cs="Times New Roman"/>
          <w:spacing w:val="13"/>
          <w:position w:val="-1"/>
          <w:sz w:val="15"/>
          <w:szCs w:val="15"/>
        </w:rPr>
        <w:t xml:space="preserve"> </w:t>
      </w:r>
      <w:r>
        <w:rPr>
          <w:rFonts w:ascii="宋体" w:hAnsi="宋体" w:eastAsia="宋体" w:cs="宋体"/>
          <w:sz w:val="24"/>
          <w:szCs w:val="24"/>
        </w:rPr>
        <w:t>排放参照</w:t>
      </w:r>
      <w:r>
        <w:rPr>
          <w:rFonts w:ascii="宋体" w:hAnsi="宋体" w:eastAsia="宋体" w:cs="宋体"/>
          <w:spacing w:val="-1"/>
          <w:sz w:val="24"/>
          <w:szCs w:val="24"/>
        </w:rPr>
        <w:t>执行《钢铁烧结、球团</w:t>
      </w:r>
      <w:r>
        <w:rPr>
          <w:rFonts w:ascii="宋体" w:hAnsi="宋体" w:eastAsia="宋体" w:cs="宋体"/>
          <w:sz w:val="24"/>
          <w:szCs w:val="24"/>
        </w:rPr>
        <w:t xml:space="preserve"> </w:t>
      </w:r>
      <w:r>
        <w:rPr>
          <w:rFonts w:ascii="宋体" w:hAnsi="宋体" w:eastAsia="宋体" w:cs="宋体"/>
          <w:spacing w:val="-1"/>
          <w:sz w:val="24"/>
          <w:szCs w:val="24"/>
        </w:rPr>
        <w:t>工业大气污染物排放标准》（</w:t>
      </w:r>
      <w:r>
        <w:rPr>
          <w:rFonts w:ascii="Times New Roman" w:hAnsi="Times New Roman" w:eastAsia="Times New Roman" w:cs="Times New Roman"/>
          <w:spacing w:val="-1"/>
          <w:sz w:val="24"/>
          <w:szCs w:val="24"/>
        </w:rPr>
        <w:t>GB28662-2012</w:t>
      </w:r>
      <w:r>
        <w:rPr>
          <w:rFonts w:ascii="宋体" w:hAnsi="宋体" w:eastAsia="宋体" w:cs="宋体"/>
          <w:spacing w:val="-1"/>
          <w:sz w:val="24"/>
          <w:szCs w:val="24"/>
        </w:rPr>
        <w:t>）及修改单</w:t>
      </w:r>
      <w:r>
        <w:rPr>
          <w:rFonts w:ascii="宋体" w:hAnsi="宋体" w:eastAsia="宋体" w:cs="宋体"/>
          <w:spacing w:val="-2"/>
          <w:sz w:val="24"/>
          <w:szCs w:val="24"/>
        </w:rPr>
        <w:t>表</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 xml:space="preserve">3 </w:t>
      </w:r>
      <w:r>
        <w:rPr>
          <w:rFonts w:ascii="宋体" w:hAnsi="宋体" w:eastAsia="宋体" w:cs="宋体"/>
          <w:spacing w:val="-2"/>
          <w:sz w:val="24"/>
          <w:szCs w:val="24"/>
        </w:rPr>
        <w:t>大气污染物特别排放限值。</w:t>
      </w:r>
      <w:r>
        <w:rPr>
          <w:rFonts w:ascii="宋体" w:hAnsi="宋体" w:eastAsia="宋体" w:cs="宋体"/>
          <w:sz w:val="24"/>
          <w:szCs w:val="24"/>
        </w:rPr>
        <w:t xml:space="preserve"> </w:t>
      </w:r>
      <w:r>
        <w:rPr>
          <w:rFonts w:ascii="宋体" w:hAnsi="宋体" w:eastAsia="宋体" w:cs="宋体"/>
          <w:spacing w:val="3"/>
          <w:sz w:val="24"/>
          <w:szCs w:val="24"/>
        </w:rPr>
        <w:t>《铁合金工业污染物排放标准》（</w:t>
      </w:r>
      <w:r>
        <w:rPr>
          <w:rFonts w:ascii="Times New Roman" w:hAnsi="Times New Roman" w:eastAsia="Times New Roman" w:cs="Times New Roman"/>
          <w:sz w:val="24"/>
          <w:szCs w:val="24"/>
        </w:rPr>
        <w:t>GB</w:t>
      </w:r>
      <w:r>
        <w:rPr>
          <w:rFonts w:ascii="Times New Roman" w:hAnsi="Times New Roman" w:eastAsia="Times New Roman" w:cs="Times New Roman"/>
          <w:spacing w:val="3"/>
          <w:sz w:val="24"/>
          <w:szCs w:val="24"/>
        </w:rPr>
        <w:t>28666-2012</w:t>
      </w:r>
      <w:r>
        <w:rPr>
          <w:rFonts w:ascii="宋体" w:hAnsi="宋体" w:eastAsia="宋体" w:cs="宋体"/>
          <w:spacing w:val="3"/>
          <w:sz w:val="24"/>
          <w:szCs w:val="24"/>
        </w:rPr>
        <w:t>）中无铁合金矿热炉二氧化硫和氮氧</w:t>
      </w:r>
      <w:r>
        <w:rPr>
          <w:rFonts w:ascii="宋体" w:hAnsi="宋体" w:eastAsia="宋体" w:cs="宋体"/>
          <w:spacing w:val="8"/>
          <w:sz w:val="24"/>
          <w:szCs w:val="24"/>
        </w:rPr>
        <w:t xml:space="preserve"> </w:t>
      </w:r>
      <w:r>
        <w:rPr>
          <w:rFonts w:ascii="宋体" w:hAnsi="宋体" w:eastAsia="宋体" w:cs="宋体"/>
          <w:sz w:val="24"/>
          <w:szCs w:val="24"/>
        </w:rPr>
        <w:t>化物控制指标，《工业窑炉大气污染物排放标准》（</w:t>
      </w:r>
      <w:r>
        <w:rPr>
          <w:rFonts w:ascii="Times New Roman" w:hAnsi="Times New Roman" w:eastAsia="Times New Roman" w:cs="Times New Roman"/>
          <w:sz w:val="24"/>
          <w:szCs w:val="24"/>
        </w:rPr>
        <w:t>GB9078-1996</w:t>
      </w:r>
      <w:r>
        <w:rPr>
          <w:rFonts w:ascii="宋体" w:hAnsi="宋体" w:eastAsia="宋体" w:cs="宋体"/>
          <w:sz w:val="24"/>
          <w:szCs w:val="24"/>
        </w:rPr>
        <w:t>）中也无铁合金矿热</w:t>
      </w:r>
      <w:r>
        <w:rPr>
          <w:rFonts w:ascii="宋体" w:hAnsi="宋体" w:eastAsia="宋体" w:cs="宋体"/>
          <w:spacing w:val="11"/>
          <w:sz w:val="24"/>
          <w:szCs w:val="24"/>
        </w:rPr>
        <w:t xml:space="preserve"> </w:t>
      </w:r>
      <w:r>
        <w:rPr>
          <w:rFonts w:ascii="宋体" w:hAnsi="宋体" w:eastAsia="宋体" w:cs="宋体"/>
          <w:spacing w:val="-1"/>
          <w:sz w:val="24"/>
          <w:szCs w:val="24"/>
        </w:rPr>
        <w:t>炉二氧化硫和氮氧化物排放控制指标，根据《</w:t>
      </w:r>
      <w:r>
        <w:rPr>
          <w:rFonts w:ascii="宋体" w:hAnsi="宋体" w:eastAsia="宋体" w:cs="宋体"/>
          <w:spacing w:val="-2"/>
          <w:sz w:val="24"/>
          <w:szCs w:val="24"/>
        </w:rPr>
        <w:t>工业窑炉大气污染综合治理方案》（环大</w:t>
      </w:r>
      <w:r>
        <w:rPr>
          <w:rFonts w:ascii="宋体" w:hAnsi="宋体" w:eastAsia="宋体" w:cs="宋体"/>
          <w:sz w:val="24"/>
          <w:szCs w:val="24"/>
        </w:rPr>
        <w:t xml:space="preserve"> </w:t>
      </w:r>
      <w:r>
        <w:rPr>
          <w:rFonts w:ascii="宋体" w:hAnsi="宋体" w:eastAsia="宋体" w:cs="宋体"/>
          <w:spacing w:val="1"/>
          <w:sz w:val="24"/>
          <w:szCs w:val="24"/>
        </w:rPr>
        <w:t>气</w:t>
      </w:r>
      <w:r>
        <w:rPr>
          <w:rFonts w:ascii="Times New Roman" w:hAnsi="Times New Roman" w:eastAsia="Times New Roman" w:cs="Times New Roman"/>
          <w:spacing w:val="1"/>
          <w:sz w:val="24"/>
          <w:szCs w:val="24"/>
        </w:rPr>
        <w:t xml:space="preserve">[2019]56 </w:t>
      </w:r>
      <w:r>
        <w:rPr>
          <w:rFonts w:ascii="宋体" w:hAnsi="宋体" w:eastAsia="宋体" w:cs="宋体"/>
          <w:spacing w:val="1"/>
          <w:sz w:val="24"/>
          <w:szCs w:val="24"/>
        </w:rPr>
        <w:t>号）中</w:t>
      </w:r>
      <w:r>
        <w:rPr>
          <w:rFonts w:ascii="Times New Roman" w:hAnsi="Times New Roman" w:eastAsia="Times New Roman" w:cs="Times New Roman"/>
          <w:spacing w:val="1"/>
          <w:sz w:val="24"/>
          <w:szCs w:val="24"/>
        </w:rPr>
        <w:t>“</w:t>
      </w:r>
      <w:r>
        <w:rPr>
          <w:rFonts w:ascii="宋体" w:hAnsi="宋体" w:eastAsia="宋体" w:cs="宋体"/>
          <w:spacing w:val="1"/>
          <w:sz w:val="24"/>
          <w:szCs w:val="24"/>
        </w:rPr>
        <w:t>三、重点任务</w:t>
      </w:r>
      <w:r>
        <w:rPr>
          <w:rFonts w:ascii="宋体" w:hAnsi="宋体" w:eastAsia="宋体" w:cs="宋体"/>
          <w:spacing w:val="-34"/>
          <w:sz w:val="24"/>
          <w:szCs w:val="24"/>
        </w:rPr>
        <w:t>，（</w:t>
      </w:r>
      <w:r>
        <w:rPr>
          <w:rFonts w:ascii="宋体" w:hAnsi="宋体" w:eastAsia="宋体" w:cs="宋体"/>
          <w:spacing w:val="1"/>
          <w:sz w:val="24"/>
          <w:szCs w:val="24"/>
        </w:rPr>
        <w:t>三）实施污染深度治理，</w:t>
      </w:r>
      <w:r>
        <w:rPr>
          <w:rFonts w:ascii="Times New Roman" w:hAnsi="Times New Roman" w:eastAsia="Times New Roman" w:cs="Times New Roman"/>
          <w:spacing w:val="1"/>
          <w:sz w:val="24"/>
          <w:szCs w:val="24"/>
        </w:rPr>
        <w:t>......</w:t>
      </w:r>
      <w:r>
        <w:rPr>
          <w:rFonts w:ascii="宋体" w:hAnsi="宋体" w:eastAsia="宋体" w:cs="宋体"/>
          <w:spacing w:val="1"/>
          <w:sz w:val="24"/>
          <w:szCs w:val="24"/>
        </w:rPr>
        <w:t>重点区域原则上按照</w:t>
      </w:r>
      <w:r>
        <w:rPr>
          <w:rFonts w:ascii="宋体" w:hAnsi="宋体" w:eastAsia="宋体" w:cs="宋体"/>
          <w:sz w:val="24"/>
          <w:szCs w:val="24"/>
        </w:rPr>
        <w:t xml:space="preserve"> </w:t>
      </w:r>
      <w:r>
        <w:rPr>
          <w:rFonts w:ascii="宋体" w:hAnsi="宋体" w:eastAsia="宋体" w:cs="宋体"/>
          <w:spacing w:val="3"/>
          <w:sz w:val="24"/>
          <w:szCs w:val="24"/>
        </w:rPr>
        <w:t>颗粒物、二氧化硫、氮氧化物排放限值分别不高于</w:t>
      </w:r>
      <w:r>
        <w:rPr>
          <w:rFonts w:ascii="宋体" w:hAnsi="宋体" w:eastAsia="宋体" w:cs="宋体"/>
          <w:spacing w:val="-29"/>
          <w:sz w:val="24"/>
          <w:szCs w:val="24"/>
        </w:rPr>
        <w:t xml:space="preserve"> </w:t>
      </w:r>
      <w:r>
        <w:rPr>
          <w:rFonts w:ascii="Times New Roman" w:hAnsi="Times New Roman" w:eastAsia="Times New Roman" w:cs="Times New Roman"/>
          <w:spacing w:val="3"/>
          <w:sz w:val="24"/>
          <w:szCs w:val="24"/>
        </w:rPr>
        <w:t>30</w:t>
      </w:r>
      <w:r>
        <w:rPr>
          <w:rFonts w:ascii="Times New Roman" w:hAnsi="Times New Roman" w:eastAsia="Times New Roman" w:cs="Times New Roman"/>
          <w:spacing w:val="-29"/>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200</w:t>
      </w:r>
      <w:r>
        <w:rPr>
          <w:rFonts w:ascii="Times New Roman" w:hAnsi="Times New Roman" w:eastAsia="Times New Roman" w:cs="Times New Roman"/>
          <w:spacing w:val="-27"/>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300</w:t>
      </w:r>
      <w:r>
        <w:rPr>
          <w:rFonts w:ascii="Times New Roman" w:hAnsi="Times New Roman" w:eastAsia="Times New Roman" w:cs="Times New Roman"/>
          <w:spacing w:val="20"/>
          <w:sz w:val="24"/>
          <w:szCs w:val="24"/>
        </w:rPr>
        <w:t xml:space="preserve"> </w:t>
      </w:r>
      <w:r>
        <w:rPr>
          <w:rFonts w:ascii="宋体" w:hAnsi="宋体" w:eastAsia="宋体" w:cs="宋体"/>
          <w:spacing w:val="3"/>
          <w:sz w:val="24"/>
          <w:szCs w:val="24"/>
        </w:rPr>
        <w:t>毫克</w:t>
      </w:r>
      <w:r>
        <w:rPr>
          <w:rFonts w:ascii="Times New Roman" w:hAnsi="Times New Roman" w:eastAsia="Times New Roman" w:cs="Times New Roman"/>
          <w:spacing w:val="3"/>
          <w:sz w:val="24"/>
          <w:szCs w:val="24"/>
        </w:rPr>
        <w:t>/</w:t>
      </w:r>
      <w:r>
        <w:rPr>
          <w:rFonts w:ascii="宋体" w:hAnsi="宋体" w:eastAsia="宋体" w:cs="宋体"/>
          <w:spacing w:val="3"/>
          <w:sz w:val="24"/>
          <w:szCs w:val="24"/>
        </w:rPr>
        <w:t>立方米实施改</w:t>
      </w:r>
      <w:r>
        <w:rPr>
          <w:rFonts w:ascii="宋体" w:hAnsi="宋体" w:eastAsia="宋体" w:cs="宋体"/>
          <w:sz w:val="24"/>
          <w:szCs w:val="24"/>
        </w:rPr>
        <w:t xml:space="preserve"> </w:t>
      </w:r>
      <w:r>
        <w:rPr>
          <w:rFonts w:ascii="宋体" w:hAnsi="宋体" w:eastAsia="宋体" w:cs="宋体"/>
          <w:spacing w:val="1"/>
          <w:sz w:val="24"/>
          <w:szCs w:val="24"/>
        </w:rPr>
        <w:t>造……</w:t>
      </w:r>
      <w:r>
        <w:rPr>
          <w:rFonts w:ascii="Times New Roman" w:hAnsi="Times New Roman" w:eastAsia="Times New Roman" w:cs="Times New Roman"/>
          <w:spacing w:val="1"/>
          <w:sz w:val="24"/>
          <w:szCs w:val="24"/>
        </w:rPr>
        <w:t>”</w:t>
      </w:r>
      <w:r>
        <w:rPr>
          <w:rFonts w:ascii="Times New Roman" w:hAnsi="Times New Roman" w:eastAsia="Times New Roman" w:cs="Times New Roman"/>
          <w:spacing w:val="-23"/>
          <w:sz w:val="24"/>
          <w:szCs w:val="24"/>
        </w:rPr>
        <w:t xml:space="preserve"> </w:t>
      </w:r>
      <w:r>
        <w:rPr>
          <w:rFonts w:ascii="宋体" w:hAnsi="宋体" w:eastAsia="宋体" w:cs="宋体"/>
          <w:spacing w:val="1"/>
          <w:sz w:val="24"/>
          <w:szCs w:val="24"/>
        </w:rPr>
        <w:t>，本项目锰硅合金矿热炉排放烟囱中及焦炭、锰矿石干燥废气中的氮氧化物和</w:t>
      </w:r>
      <w:r>
        <w:rPr>
          <w:rFonts w:ascii="宋体" w:hAnsi="宋体" w:eastAsia="宋体" w:cs="宋体"/>
          <w:sz w:val="24"/>
          <w:szCs w:val="24"/>
        </w:rPr>
        <w:t xml:space="preserve"> </w:t>
      </w:r>
      <w:r>
        <w:rPr>
          <w:rFonts w:ascii="宋体" w:hAnsi="宋体" w:eastAsia="宋体" w:cs="宋体"/>
          <w:spacing w:val="-1"/>
          <w:sz w:val="24"/>
          <w:szCs w:val="24"/>
        </w:rPr>
        <w:t>二氧化硫排放参照该限值执行。项目生产过程</w:t>
      </w:r>
      <w:r>
        <w:rPr>
          <w:rFonts w:ascii="宋体" w:hAnsi="宋体" w:eastAsia="宋体" w:cs="宋体"/>
          <w:spacing w:val="-2"/>
          <w:sz w:val="24"/>
          <w:szCs w:val="24"/>
        </w:rPr>
        <w:t>中其他环节颗粒物排放执行《铁合金工业</w:t>
      </w:r>
      <w:r>
        <w:rPr>
          <w:rFonts w:ascii="宋体" w:hAnsi="宋体" w:eastAsia="宋体" w:cs="宋体"/>
          <w:sz w:val="24"/>
          <w:szCs w:val="24"/>
        </w:rPr>
        <w:t xml:space="preserve"> </w:t>
      </w:r>
      <w:r>
        <w:rPr>
          <w:rFonts w:ascii="宋体" w:hAnsi="宋体" w:eastAsia="宋体" w:cs="宋体"/>
          <w:spacing w:val="-3"/>
          <w:sz w:val="24"/>
          <w:szCs w:val="24"/>
        </w:rPr>
        <w:t>污染物排放标准》（</w:t>
      </w:r>
      <w:r>
        <w:rPr>
          <w:rFonts w:ascii="Times New Roman" w:hAnsi="Times New Roman" w:eastAsia="Times New Roman" w:cs="Times New Roman"/>
          <w:spacing w:val="-3"/>
          <w:sz w:val="24"/>
          <w:szCs w:val="24"/>
        </w:rPr>
        <w:t>GB28666-2012</w:t>
      </w:r>
      <w:r>
        <w:rPr>
          <w:rFonts w:ascii="宋体" w:hAnsi="宋体" w:eastAsia="宋体" w:cs="宋体"/>
          <w:spacing w:val="-3"/>
          <w:sz w:val="24"/>
          <w:szCs w:val="24"/>
        </w:rPr>
        <w:t>）表</w:t>
      </w:r>
      <w:r>
        <w:rPr>
          <w:rFonts w:ascii="宋体" w:hAnsi="宋体" w:eastAsia="宋体" w:cs="宋体"/>
          <w:spacing w:val="-40"/>
          <w:sz w:val="24"/>
          <w:szCs w:val="24"/>
        </w:rPr>
        <w:t xml:space="preserve"> </w:t>
      </w:r>
      <w:r>
        <w:rPr>
          <w:rFonts w:ascii="Times New Roman" w:hAnsi="Times New Roman" w:eastAsia="Times New Roman" w:cs="Times New Roman"/>
          <w:spacing w:val="-3"/>
          <w:sz w:val="24"/>
          <w:szCs w:val="24"/>
        </w:rPr>
        <w:t xml:space="preserve">6 </w:t>
      </w:r>
      <w:r>
        <w:rPr>
          <w:rFonts w:ascii="宋体" w:hAnsi="宋体" w:eastAsia="宋体" w:cs="宋体"/>
          <w:spacing w:val="-3"/>
          <w:sz w:val="24"/>
          <w:szCs w:val="24"/>
        </w:rPr>
        <w:t>大气污染物特别排放限值、表</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 xml:space="preserve">7 </w:t>
      </w:r>
      <w:r>
        <w:rPr>
          <w:rFonts w:ascii="宋体" w:hAnsi="宋体" w:eastAsia="宋体" w:cs="宋体"/>
          <w:spacing w:val="-3"/>
          <w:sz w:val="24"/>
          <w:szCs w:val="24"/>
        </w:rPr>
        <w:t>企业边界大气</w:t>
      </w:r>
      <w:r>
        <w:rPr>
          <w:rFonts w:ascii="宋体" w:hAnsi="宋体" w:eastAsia="宋体" w:cs="宋体"/>
          <w:sz w:val="24"/>
          <w:szCs w:val="24"/>
        </w:rPr>
        <w:t xml:space="preserve"> </w:t>
      </w:r>
      <w:r>
        <w:rPr>
          <w:rFonts w:ascii="宋体" w:hAnsi="宋体" w:eastAsia="宋体" w:cs="宋体"/>
          <w:spacing w:val="1"/>
          <w:sz w:val="24"/>
          <w:szCs w:val="24"/>
        </w:rPr>
        <w:t>污染物排放标准。发电机组烟气中颗粒物、</w:t>
      </w:r>
      <w:r>
        <w:rPr>
          <w:rFonts w:ascii="Times New Roman" w:hAnsi="Times New Roman" w:eastAsia="Times New Roman" w:cs="Times New Roman"/>
          <w:sz w:val="24"/>
          <w:szCs w:val="24"/>
        </w:rPr>
        <w:t>SO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0"/>
          <w:position w:val="-1"/>
          <w:sz w:val="15"/>
          <w:szCs w:val="15"/>
        </w:rPr>
        <w:t xml:space="preserve"> </w:t>
      </w:r>
      <w:r>
        <w:rPr>
          <w:rFonts w:ascii="宋体" w:hAnsi="宋体" w:eastAsia="宋体" w:cs="宋体"/>
          <w:spacing w:val="1"/>
          <w:sz w:val="24"/>
          <w:szCs w:val="24"/>
        </w:rPr>
        <w:t>、</w:t>
      </w:r>
      <w:r>
        <w:rPr>
          <w:rFonts w:ascii="Times New Roman" w:hAnsi="Times New Roman" w:eastAsia="Times New Roman" w:cs="Times New Roman"/>
          <w:sz w:val="24"/>
          <w:szCs w:val="24"/>
        </w:rPr>
        <w:t>NO</w:t>
      </w:r>
      <w:r>
        <w:rPr>
          <w:rFonts w:ascii="Times New Roman" w:hAnsi="Times New Roman" w:eastAsia="Times New Roman" w:cs="Times New Roman"/>
          <w:position w:val="-1"/>
          <w:sz w:val="15"/>
          <w:szCs w:val="15"/>
        </w:rPr>
        <w:t>x</w:t>
      </w:r>
      <w:r>
        <w:rPr>
          <w:rFonts w:ascii="Times New Roman" w:hAnsi="Times New Roman" w:eastAsia="Times New Roman" w:cs="Times New Roman"/>
          <w:spacing w:val="11"/>
          <w:w w:val="101"/>
          <w:position w:val="-1"/>
          <w:sz w:val="15"/>
          <w:szCs w:val="15"/>
        </w:rPr>
        <w:t xml:space="preserve"> </w:t>
      </w:r>
      <w:r>
        <w:rPr>
          <w:rFonts w:ascii="宋体" w:hAnsi="宋体" w:eastAsia="宋体" w:cs="宋体"/>
          <w:spacing w:val="1"/>
          <w:sz w:val="24"/>
          <w:szCs w:val="24"/>
        </w:rPr>
        <w:t>排放参照</w:t>
      </w:r>
      <w:r>
        <w:rPr>
          <w:rFonts w:ascii="宋体" w:hAnsi="宋体" w:eastAsia="宋体" w:cs="宋体"/>
          <w:sz w:val="24"/>
          <w:szCs w:val="24"/>
        </w:rPr>
        <w:t xml:space="preserve">执行《火电厂大气污染 </w:t>
      </w:r>
      <w:r>
        <w:rPr>
          <w:rFonts w:ascii="宋体" w:hAnsi="宋体" w:eastAsia="宋体" w:cs="宋体"/>
          <w:spacing w:val="-3"/>
          <w:sz w:val="24"/>
          <w:szCs w:val="24"/>
        </w:rPr>
        <w:t>物排放标准》（</w:t>
      </w:r>
      <w:r>
        <w:rPr>
          <w:rFonts w:ascii="Times New Roman" w:hAnsi="Times New Roman" w:eastAsia="Times New Roman" w:cs="Times New Roman"/>
          <w:spacing w:val="-3"/>
          <w:sz w:val="24"/>
          <w:szCs w:val="24"/>
        </w:rPr>
        <w:t>GB13223-2011</w:t>
      </w:r>
      <w:r>
        <w:rPr>
          <w:rFonts w:ascii="宋体" w:hAnsi="宋体" w:eastAsia="宋体" w:cs="宋体"/>
          <w:spacing w:val="-3"/>
          <w:sz w:val="24"/>
          <w:szCs w:val="24"/>
        </w:rPr>
        <w:t>）表</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 xml:space="preserve">2 </w:t>
      </w:r>
      <w:r>
        <w:rPr>
          <w:rFonts w:ascii="宋体" w:hAnsi="宋体" w:eastAsia="宋体" w:cs="宋体"/>
          <w:spacing w:val="-3"/>
          <w:sz w:val="24"/>
          <w:szCs w:val="24"/>
        </w:rPr>
        <w:t>大气污染物特别排放限值（以气体为燃料</w:t>
      </w:r>
      <w:r>
        <w:rPr>
          <w:rFonts w:ascii="宋体" w:hAnsi="宋体" w:eastAsia="宋体" w:cs="宋体"/>
          <w:spacing w:val="-4"/>
          <w:sz w:val="24"/>
          <w:szCs w:val="24"/>
        </w:rPr>
        <w:t>的锅炉</w:t>
      </w:r>
      <w:r>
        <w:rPr>
          <w:rFonts w:ascii="宋体" w:hAnsi="宋体" w:eastAsia="宋体" w:cs="宋体"/>
          <w:spacing w:val="-58"/>
          <w:w w:val="90"/>
          <w:sz w:val="24"/>
          <w:szCs w:val="24"/>
        </w:rPr>
        <w:t>）；</w:t>
      </w:r>
      <w:r>
        <w:rPr>
          <w:rFonts w:ascii="宋体" w:hAnsi="宋体" w:eastAsia="宋体" w:cs="宋体"/>
          <w:sz w:val="24"/>
          <w:szCs w:val="24"/>
        </w:rPr>
        <w:t xml:space="preserve"> </w:t>
      </w:r>
      <w:r>
        <w:rPr>
          <w:rFonts w:ascii="宋体" w:hAnsi="宋体" w:eastAsia="宋体" w:cs="宋体"/>
          <w:spacing w:val="-6"/>
          <w:sz w:val="24"/>
          <w:szCs w:val="24"/>
        </w:rPr>
        <w:t>散逸氨参照执行《火电厂烟气脱硝工程技术规范 选择性催化还原法》（</w:t>
      </w:r>
      <w:r>
        <w:rPr>
          <w:rFonts w:ascii="Times New Roman" w:hAnsi="Times New Roman" w:eastAsia="Times New Roman" w:cs="Times New Roman"/>
          <w:spacing w:val="-6"/>
          <w:sz w:val="24"/>
          <w:szCs w:val="24"/>
        </w:rPr>
        <w:t>HJ562-2010</w:t>
      </w:r>
      <w:r>
        <w:rPr>
          <w:rFonts w:ascii="宋体" w:hAnsi="宋体" w:eastAsia="宋体" w:cs="宋体"/>
          <w:spacing w:val="-6"/>
          <w:sz w:val="24"/>
          <w:szCs w:val="24"/>
        </w:rPr>
        <w:t>）</w:t>
      </w:r>
      <w:r>
        <w:rPr>
          <w:rFonts w:ascii="Times New Roman" w:hAnsi="Times New Roman" w:eastAsia="Times New Roman" w:cs="Times New Roman"/>
          <w:spacing w:val="-6"/>
          <w:sz w:val="24"/>
          <w:szCs w:val="24"/>
        </w:rPr>
        <w:t>“</w:t>
      </w:r>
      <w:r>
        <w:rPr>
          <w:rFonts w:ascii="宋体" w:hAnsi="宋体" w:eastAsia="宋体" w:cs="宋体"/>
          <w:spacing w:val="-6"/>
          <w:sz w:val="24"/>
          <w:szCs w:val="24"/>
        </w:rPr>
        <w:t>氨</w:t>
      </w:r>
      <w:r>
        <w:rPr>
          <w:rFonts w:ascii="宋体" w:hAnsi="宋体" w:eastAsia="宋体" w:cs="宋体"/>
          <w:spacing w:val="1"/>
          <w:sz w:val="24"/>
          <w:szCs w:val="24"/>
        </w:rPr>
        <w:t xml:space="preserve"> </w:t>
      </w:r>
      <w:r>
        <w:rPr>
          <w:rFonts w:ascii="宋体" w:hAnsi="宋体" w:eastAsia="宋体" w:cs="宋体"/>
          <w:sz w:val="24"/>
          <w:szCs w:val="24"/>
        </w:rPr>
        <w:t>逃逸质量浓度宜小于</w:t>
      </w:r>
      <w:r>
        <w:rPr>
          <w:rFonts w:ascii="宋体" w:hAnsi="宋体" w:eastAsia="宋体" w:cs="宋体"/>
          <w:spacing w:val="-50"/>
          <w:sz w:val="24"/>
          <w:szCs w:val="24"/>
        </w:rPr>
        <w:t xml:space="preserve"> </w:t>
      </w:r>
      <w:r>
        <w:rPr>
          <w:rFonts w:ascii="Times New Roman" w:hAnsi="Times New Roman" w:eastAsia="Times New Roman" w:cs="Times New Roman"/>
          <w:sz w:val="24"/>
          <w:szCs w:val="24"/>
        </w:rPr>
        <w:t>2.5mg/m</w:t>
      </w:r>
      <w:r>
        <w:rPr>
          <w:rFonts w:ascii="Times New Roman" w:hAnsi="Times New Roman" w:eastAsia="Times New Roman" w:cs="Times New Roman"/>
          <w:position w:val="5"/>
          <w:sz w:val="15"/>
          <w:szCs w:val="15"/>
        </w:rPr>
        <w:t>3</w:t>
      </w:r>
      <w:r>
        <w:rPr>
          <w:rFonts w:ascii="Times New Roman" w:hAnsi="Times New Roman" w:eastAsia="Times New Roman" w:cs="Times New Roman"/>
          <w:position w:val="5"/>
          <w:sz w:val="24"/>
          <w:szCs w:val="24"/>
        </w:rPr>
        <w:t>”</w:t>
      </w:r>
      <w:r>
        <w:rPr>
          <w:rFonts w:ascii="Times New Roman" w:hAnsi="Times New Roman" w:eastAsia="Times New Roman" w:cs="Times New Roman"/>
          <w:spacing w:val="-27"/>
          <w:position w:val="5"/>
          <w:sz w:val="24"/>
          <w:szCs w:val="24"/>
        </w:rPr>
        <w:t xml:space="preserve"> </w:t>
      </w:r>
      <w:r>
        <w:rPr>
          <w:rFonts w:ascii="宋体" w:hAnsi="宋体" w:eastAsia="宋体" w:cs="宋体"/>
          <w:sz w:val="24"/>
          <w:szCs w:val="24"/>
        </w:rPr>
        <w:t xml:space="preserve">。职工餐厅厨房油烟排放参照《餐厅油烟排放标准（试 </w:t>
      </w:r>
      <w:r>
        <w:rPr>
          <w:rFonts w:ascii="宋体" w:hAnsi="宋体" w:eastAsia="宋体" w:cs="宋体"/>
          <w:spacing w:val="-2"/>
          <w:sz w:val="24"/>
          <w:szCs w:val="24"/>
        </w:rPr>
        <w:t>行）》（</w:t>
      </w:r>
      <w:r>
        <w:rPr>
          <w:rFonts w:ascii="Times New Roman" w:hAnsi="Times New Roman" w:eastAsia="Times New Roman" w:cs="Times New Roman"/>
          <w:spacing w:val="-2"/>
          <w:sz w:val="24"/>
          <w:szCs w:val="24"/>
        </w:rPr>
        <w:t>GB18483-2001</w:t>
      </w:r>
      <w:r>
        <w:rPr>
          <w:rFonts w:ascii="宋体" w:hAnsi="宋体" w:eastAsia="宋体" w:cs="宋体"/>
          <w:spacing w:val="6"/>
          <w:sz w:val="24"/>
          <w:szCs w:val="24"/>
        </w:rPr>
        <w:t>），</w:t>
      </w:r>
      <w:r>
        <w:rPr>
          <w:rFonts w:ascii="宋体" w:hAnsi="宋体" w:eastAsia="宋体" w:cs="宋体"/>
          <w:spacing w:val="-2"/>
          <w:sz w:val="24"/>
          <w:szCs w:val="24"/>
        </w:rPr>
        <w:t>各标准限值详</w:t>
      </w:r>
      <w:r>
        <w:rPr>
          <w:rFonts w:ascii="宋体" w:hAnsi="宋体" w:eastAsia="宋体" w:cs="宋体"/>
          <w:spacing w:val="-3"/>
          <w:sz w:val="24"/>
          <w:szCs w:val="24"/>
        </w:rPr>
        <w:t>见表</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1.5-8~</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13</w:t>
      </w:r>
      <w:r>
        <w:rPr>
          <w:rFonts w:ascii="宋体" w:hAnsi="宋体" w:eastAsia="宋体" w:cs="宋体"/>
          <w:spacing w:val="-3"/>
          <w:sz w:val="24"/>
          <w:szCs w:val="24"/>
        </w:rPr>
        <w:t>。</w:t>
      </w:r>
    </w:p>
    <w:p w14:paraId="29A0E74D">
      <w:pPr>
        <w:spacing w:before="36" w:line="221" w:lineRule="auto"/>
        <w:ind w:left="620"/>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2"/>
          <w:sz w:val="20"/>
          <w:szCs w:val="20"/>
        </w:rPr>
        <w:t xml:space="preserve"> </w:t>
      </w:r>
      <w:r>
        <w:rPr>
          <w:rFonts w:ascii="Times New Roman" w:hAnsi="Times New Roman" w:eastAsia="Times New Roman" w:cs="Times New Roman"/>
          <w:b/>
          <w:bCs/>
          <w:spacing w:val="6"/>
          <w:sz w:val="20"/>
          <w:szCs w:val="20"/>
        </w:rPr>
        <w:t xml:space="preserve">1.5-8        </w:t>
      </w:r>
      <w:r>
        <w:rPr>
          <w:rFonts w:ascii="宋体" w:hAnsi="宋体" w:eastAsia="宋体" w:cs="宋体"/>
          <w:b/>
          <w:bCs/>
          <w:spacing w:val="6"/>
          <w:sz w:val="20"/>
          <w:szCs w:val="20"/>
        </w:rPr>
        <w:t>环大气</w:t>
      </w:r>
      <w:r>
        <w:rPr>
          <w:rFonts w:ascii="Times New Roman" w:hAnsi="Times New Roman" w:eastAsia="Times New Roman" w:cs="Times New Roman"/>
          <w:b/>
          <w:bCs/>
          <w:spacing w:val="6"/>
          <w:sz w:val="20"/>
          <w:szCs w:val="20"/>
        </w:rPr>
        <w:t xml:space="preserve">[2019]56 </w:t>
      </w:r>
      <w:r>
        <w:rPr>
          <w:rFonts w:ascii="宋体" w:hAnsi="宋体" w:eastAsia="宋体" w:cs="宋体"/>
          <w:b/>
          <w:bCs/>
          <w:spacing w:val="6"/>
          <w:sz w:val="20"/>
          <w:szCs w:val="20"/>
        </w:rPr>
        <w:t>号中重点区域工业窑炉排放二氧化硫和氮氧化物排放限值</w:t>
      </w:r>
    </w:p>
    <w:p w14:paraId="22C92D91">
      <w:pPr>
        <w:spacing w:line="137" w:lineRule="exact"/>
      </w:pPr>
    </w:p>
    <w:tbl>
      <w:tblPr>
        <w:tblStyle w:val="5"/>
        <w:tblW w:w="907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103"/>
        <w:gridCol w:w="5968"/>
      </w:tblGrid>
      <w:tr w14:paraId="3666F8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3103" w:type="dxa"/>
            <w:tcBorders>
              <w:top w:val="single" w:color="000000" w:sz="10" w:space="0"/>
              <w:left w:val="nil"/>
            </w:tcBorders>
            <w:vAlign w:val="top"/>
          </w:tcPr>
          <w:p w14:paraId="2EABC472">
            <w:pPr>
              <w:pStyle w:val="6"/>
              <w:spacing w:before="34" w:line="208" w:lineRule="auto"/>
              <w:ind w:left="1243"/>
              <w:rPr>
                <w:sz w:val="20"/>
                <w:szCs w:val="20"/>
              </w:rPr>
            </w:pPr>
            <w:r>
              <w:rPr>
                <w:spacing w:val="6"/>
                <w:sz w:val="20"/>
                <w:szCs w:val="20"/>
              </w:rPr>
              <w:t>污染物</w:t>
            </w:r>
          </w:p>
        </w:tc>
        <w:tc>
          <w:tcPr>
            <w:tcW w:w="5968" w:type="dxa"/>
            <w:tcBorders>
              <w:top w:val="single" w:color="000000" w:sz="10" w:space="0"/>
              <w:right w:val="nil"/>
            </w:tcBorders>
            <w:vAlign w:val="top"/>
          </w:tcPr>
          <w:p w14:paraId="0329482B">
            <w:pPr>
              <w:pStyle w:val="6"/>
              <w:spacing w:before="34" w:line="208" w:lineRule="auto"/>
              <w:ind w:left="2082"/>
              <w:rPr>
                <w:sz w:val="20"/>
                <w:szCs w:val="20"/>
              </w:rPr>
            </w:pPr>
            <w:r>
              <w:rPr>
                <w:spacing w:val="7"/>
                <w:sz w:val="20"/>
                <w:szCs w:val="20"/>
              </w:rPr>
              <w:t>排放限值（</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/m</w:t>
            </w:r>
            <w:r>
              <w:rPr>
                <w:rFonts w:ascii="Times New Roman" w:hAnsi="Times New Roman" w:eastAsia="Times New Roman" w:cs="Times New Roman"/>
                <w:spacing w:val="7"/>
                <w:position w:val="6"/>
                <w:sz w:val="13"/>
                <w:szCs w:val="13"/>
              </w:rPr>
              <w:t>3</w:t>
            </w:r>
            <w:r>
              <w:rPr>
                <w:spacing w:val="7"/>
                <w:sz w:val="20"/>
                <w:szCs w:val="20"/>
              </w:rPr>
              <w:t>）</w:t>
            </w:r>
          </w:p>
        </w:tc>
      </w:tr>
      <w:tr w14:paraId="13B047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4" w:hRule="atLeast"/>
        </w:trPr>
        <w:tc>
          <w:tcPr>
            <w:tcW w:w="3103" w:type="dxa"/>
            <w:tcBorders>
              <w:left w:val="nil"/>
            </w:tcBorders>
            <w:vAlign w:val="top"/>
          </w:tcPr>
          <w:p w14:paraId="6C7B642B">
            <w:pPr>
              <w:pStyle w:val="6"/>
              <w:spacing w:before="38" w:line="199" w:lineRule="auto"/>
              <w:ind w:left="1142"/>
              <w:rPr>
                <w:sz w:val="20"/>
                <w:szCs w:val="20"/>
              </w:rPr>
            </w:pPr>
            <w:r>
              <w:rPr>
                <w:spacing w:val="6"/>
                <w:sz w:val="20"/>
                <w:szCs w:val="20"/>
              </w:rPr>
              <w:t>二氧化硫</w:t>
            </w:r>
          </w:p>
        </w:tc>
        <w:tc>
          <w:tcPr>
            <w:tcW w:w="5968" w:type="dxa"/>
            <w:tcBorders>
              <w:right w:val="nil"/>
            </w:tcBorders>
            <w:vAlign w:val="top"/>
          </w:tcPr>
          <w:p w14:paraId="3ACD580C">
            <w:pPr>
              <w:spacing w:before="74" w:line="187" w:lineRule="auto"/>
              <w:ind w:left="28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r>
      <w:tr w14:paraId="12AA0F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3103" w:type="dxa"/>
            <w:tcBorders>
              <w:left w:val="nil"/>
              <w:bottom w:val="single" w:color="000000" w:sz="10" w:space="0"/>
            </w:tcBorders>
            <w:vAlign w:val="top"/>
          </w:tcPr>
          <w:p w14:paraId="7721D97C">
            <w:pPr>
              <w:pStyle w:val="6"/>
              <w:spacing w:before="45" w:line="217" w:lineRule="auto"/>
              <w:ind w:left="1137"/>
              <w:rPr>
                <w:sz w:val="20"/>
                <w:szCs w:val="20"/>
              </w:rPr>
            </w:pPr>
            <w:r>
              <w:rPr>
                <w:spacing w:val="7"/>
                <w:sz w:val="20"/>
                <w:szCs w:val="20"/>
              </w:rPr>
              <w:t>氮氧化物</w:t>
            </w:r>
          </w:p>
        </w:tc>
        <w:tc>
          <w:tcPr>
            <w:tcW w:w="5968" w:type="dxa"/>
            <w:tcBorders>
              <w:bottom w:val="single" w:color="000000" w:sz="10" w:space="0"/>
              <w:right w:val="nil"/>
            </w:tcBorders>
            <w:vAlign w:val="top"/>
          </w:tcPr>
          <w:p w14:paraId="39FF7ECF">
            <w:pPr>
              <w:spacing w:before="81" w:line="195" w:lineRule="auto"/>
              <w:ind w:left="28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r>
    </w:tbl>
    <w:p w14:paraId="4AA95AAF">
      <w:pPr>
        <w:spacing w:before="31" w:line="227" w:lineRule="auto"/>
        <w:ind w:left="1715"/>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23"/>
          <w:sz w:val="20"/>
          <w:szCs w:val="20"/>
        </w:rPr>
        <w:t xml:space="preserve"> </w:t>
      </w:r>
      <w:r>
        <w:rPr>
          <w:rFonts w:ascii="Times New Roman" w:hAnsi="Times New Roman" w:eastAsia="Times New Roman" w:cs="Times New Roman"/>
          <w:b/>
          <w:bCs/>
          <w:spacing w:val="6"/>
          <w:sz w:val="20"/>
          <w:szCs w:val="20"/>
        </w:rPr>
        <w:t xml:space="preserve">1.5-9      </w:t>
      </w:r>
      <w:r>
        <w:rPr>
          <w:rFonts w:ascii="宋体" w:hAnsi="宋体" w:eastAsia="宋体" w:cs="宋体"/>
          <w:b/>
          <w:bCs/>
          <w:spacing w:val="6"/>
          <w:sz w:val="20"/>
          <w:szCs w:val="20"/>
        </w:rPr>
        <w:t>钢铁烧结、球团工业大气污染物排放标准及修改单</w:t>
      </w:r>
    </w:p>
    <w:p w14:paraId="4AE1E526">
      <w:pPr>
        <w:spacing w:line="133" w:lineRule="exact"/>
      </w:pPr>
    </w:p>
    <w:tbl>
      <w:tblPr>
        <w:tblStyle w:val="5"/>
        <w:tblW w:w="907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071"/>
        <w:gridCol w:w="2100"/>
        <w:gridCol w:w="1449"/>
        <w:gridCol w:w="2453"/>
      </w:tblGrid>
      <w:tr w14:paraId="547084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3071" w:type="dxa"/>
            <w:tcBorders>
              <w:top w:val="single" w:color="000000" w:sz="10" w:space="0"/>
              <w:left w:val="nil"/>
            </w:tcBorders>
            <w:vAlign w:val="top"/>
          </w:tcPr>
          <w:p w14:paraId="6F40585E">
            <w:pPr>
              <w:pStyle w:val="6"/>
              <w:spacing w:before="36" w:line="211" w:lineRule="auto"/>
              <w:ind w:left="709"/>
              <w:rPr>
                <w:sz w:val="20"/>
                <w:szCs w:val="20"/>
              </w:rPr>
            </w:pPr>
            <w:r>
              <w:rPr>
                <w:spacing w:val="32"/>
                <w:sz w:val="20"/>
                <w:szCs w:val="20"/>
              </w:rPr>
              <w:t>生产工序或设施</w:t>
            </w:r>
          </w:p>
        </w:tc>
        <w:tc>
          <w:tcPr>
            <w:tcW w:w="2100" w:type="dxa"/>
            <w:tcBorders>
              <w:top w:val="single" w:color="000000" w:sz="10" w:space="0"/>
            </w:tcBorders>
            <w:vAlign w:val="top"/>
          </w:tcPr>
          <w:p w14:paraId="391B017B">
            <w:pPr>
              <w:pStyle w:val="6"/>
              <w:spacing w:before="36" w:line="211" w:lineRule="auto"/>
              <w:ind w:left="741"/>
              <w:rPr>
                <w:sz w:val="20"/>
                <w:szCs w:val="20"/>
              </w:rPr>
            </w:pPr>
            <w:r>
              <w:rPr>
                <w:spacing w:val="6"/>
                <w:sz w:val="20"/>
                <w:szCs w:val="20"/>
              </w:rPr>
              <w:t>污染物</w:t>
            </w:r>
          </w:p>
        </w:tc>
        <w:tc>
          <w:tcPr>
            <w:tcW w:w="1449" w:type="dxa"/>
            <w:tcBorders>
              <w:top w:val="single" w:color="000000" w:sz="10" w:space="0"/>
            </w:tcBorders>
            <w:vAlign w:val="top"/>
          </w:tcPr>
          <w:p w14:paraId="23D1CAFE">
            <w:pPr>
              <w:pStyle w:val="6"/>
              <w:spacing w:before="36" w:line="211" w:lineRule="auto"/>
              <w:ind w:left="44"/>
              <w:rPr>
                <w:sz w:val="20"/>
                <w:szCs w:val="20"/>
              </w:rPr>
            </w:pPr>
            <w:r>
              <w:rPr>
                <w:spacing w:val="4"/>
                <w:sz w:val="20"/>
                <w:szCs w:val="20"/>
              </w:rPr>
              <w:t>限值（</w:t>
            </w:r>
            <w:r>
              <w:rPr>
                <w:rFonts w:ascii="Times New Roman" w:hAnsi="Times New Roman" w:eastAsia="Times New Roman" w:cs="Times New Roman"/>
                <w:sz w:val="20"/>
                <w:szCs w:val="20"/>
              </w:rPr>
              <w:t>mg</w:t>
            </w:r>
            <w:r>
              <w:rPr>
                <w:rFonts w:ascii="Times New Roman" w:hAnsi="Times New Roman" w:eastAsia="Times New Roman" w:cs="Times New Roman"/>
                <w:spacing w:val="4"/>
                <w:sz w:val="20"/>
                <w:szCs w:val="20"/>
              </w:rPr>
              <w:t>/m</w:t>
            </w:r>
            <w:r>
              <w:rPr>
                <w:rFonts w:ascii="Times New Roman" w:hAnsi="Times New Roman" w:eastAsia="Times New Roman" w:cs="Times New Roman"/>
                <w:spacing w:val="4"/>
                <w:position w:val="6"/>
                <w:sz w:val="13"/>
                <w:szCs w:val="13"/>
              </w:rPr>
              <w:t>3</w:t>
            </w:r>
            <w:r>
              <w:rPr>
                <w:spacing w:val="4"/>
                <w:sz w:val="20"/>
                <w:szCs w:val="20"/>
              </w:rPr>
              <w:t>）</w:t>
            </w:r>
          </w:p>
        </w:tc>
        <w:tc>
          <w:tcPr>
            <w:tcW w:w="2453" w:type="dxa"/>
            <w:tcBorders>
              <w:top w:val="single" w:color="000000" w:sz="10" w:space="0"/>
              <w:right w:val="nil"/>
            </w:tcBorders>
            <w:vAlign w:val="top"/>
          </w:tcPr>
          <w:p w14:paraId="77081D2E">
            <w:pPr>
              <w:pStyle w:val="6"/>
              <w:spacing w:before="36" w:line="211" w:lineRule="auto"/>
              <w:ind w:left="163"/>
              <w:rPr>
                <w:sz w:val="20"/>
                <w:szCs w:val="20"/>
              </w:rPr>
            </w:pPr>
            <w:r>
              <w:rPr>
                <w:spacing w:val="33"/>
                <w:sz w:val="20"/>
                <w:szCs w:val="20"/>
              </w:rPr>
              <w:t>污染物排放监控位置</w:t>
            </w:r>
          </w:p>
        </w:tc>
      </w:tr>
      <w:tr w14:paraId="68587F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3071" w:type="dxa"/>
            <w:vMerge w:val="restart"/>
            <w:tcBorders>
              <w:left w:val="nil"/>
              <w:bottom w:val="nil"/>
            </w:tcBorders>
            <w:vAlign w:val="top"/>
          </w:tcPr>
          <w:p w14:paraId="159597F5">
            <w:pPr>
              <w:pStyle w:val="6"/>
              <w:spacing w:before="173" w:line="227" w:lineRule="auto"/>
              <w:ind w:left="1184"/>
              <w:rPr>
                <w:sz w:val="20"/>
                <w:szCs w:val="20"/>
              </w:rPr>
            </w:pPr>
            <w:r>
              <w:rPr>
                <w:spacing w:val="25"/>
                <w:sz w:val="20"/>
                <w:szCs w:val="20"/>
              </w:rPr>
              <w:t>烧结机</w:t>
            </w:r>
          </w:p>
          <w:p w14:paraId="2ACCA295">
            <w:pPr>
              <w:pStyle w:val="6"/>
              <w:spacing w:before="27" w:line="227" w:lineRule="auto"/>
              <w:ind w:left="827"/>
              <w:rPr>
                <w:sz w:val="20"/>
                <w:szCs w:val="20"/>
              </w:rPr>
            </w:pPr>
            <w:r>
              <w:rPr>
                <w:spacing w:val="32"/>
                <w:sz w:val="20"/>
                <w:szCs w:val="20"/>
              </w:rPr>
              <w:t>球团焙烧设备</w:t>
            </w:r>
          </w:p>
        </w:tc>
        <w:tc>
          <w:tcPr>
            <w:tcW w:w="2100" w:type="dxa"/>
            <w:vAlign w:val="top"/>
          </w:tcPr>
          <w:p w14:paraId="06054578">
            <w:pPr>
              <w:pStyle w:val="6"/>
              <w:spacing w:before="34" w:line="206" w:lineRule="auto"/>
              <w:ind w:left="739"/>
              <w:rPr>
                <w:sz w:val="20"/>
                <w:szCs w:val="20"/>
              </w:rPr>
            </w:pPr>
            <w:r>
              <w:rPr>
                <w:spacing w:val="7"/>
                <w:sz w:val="20"/>
                <w:szCs w:val="20"/>
              </w:rPr>
              <w:t>颗粒物</w:t>
            </w:r>
          </w:p>
        </w:tc>
        <w:tc>
          <w:tcPr>
            <w:tcW w:w="1449" w:type="dxa"/>
            <w:vAlign w:val="top"/>
          </w:tcPr>
          <w:p w14:paraId="186E87DD">
            <w:pPr>
              <w:spacing w:before="70" w:line="195" w:lineRule="auto"/>
              <w:ind w:left="6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2453" w:type="dxa"/>
            <w:vMerge w:val="restart"/>
            <w:tcBorders>
              <w:bottom w:val="nil"/>
              <w:right w:val="nil"/>
            </w:tcBorders>
            <w:vAlign w:val="top"/>
          </w:tcPr>
          <w:p w14:paraId="37082083">
            <w:pPr>
              <w:spacing w:line="257" w:lineRule="auto"/>
              <w:rPr>
                <w:rFonts w:ascii="Arial"/>
                <w:sz w:val="21"/>
              </w:rPr>
            </w:pPr>
          </w:p>
          <w:p w14:paraId="265BC89B">
            <w:pPr>
              <w:spacing w:line="258" w:lineRule="auto"/>
              <w:rPr>
                <w:rFonts w:ascii="Arial"/>
                <w:sz w:val="21"/>
              </w:rPr>
            </w:pPr>
          </w:p>
          <w:p w14:paraId="1BA0268D">
            <w:pPr>
              <w:pStyle w:val="6"/>
              <w:spacing w:before="65" w:line="228" w:lineRule="auto"/>
              <w:ind w:left="43"/>
              <w:rPr>
                <w:sz w:val="20"/>
                <w:szCs w:val="20"/>
              </w:rPr>
            </w:pPr>
            <w:r>
              <w:rPr>
                <w:spacing w:val="34"/>
                <w:sz w:val="20"/>
                <w:szCs w:val="20"/>
              </w:rPr>
              <w:t>车间或生产设施排气筒</w:t>
            </w:r>
          </w:p>
        </w:tc>
      </w:tr>
      <w:tr w14:paraId="5677A4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3071" w:type="dxa"/>
            <w:vMerge w:val="continue"/>
            <w:tcBorders>
              <w:top w:val="nil"/>
              <w:left w:val="nil"/>
              <w:bottom w:val="nil"/>
            </w:tcBorders>
            <w:vAlign w:val="top"/>
          </w:tcPr>
          <w:p w14:paraId="4F7BA06C">
            <w:pPr>
              <w:rPr>
                <w:rFonts w:ascii="Arial"/>
                <w:sz w:val="21"/>
              </w:rPr>
            </w:pPr>
          </w:p>
        </w:tc>
        <w:tc>
          <w:tcPr>
            <w:tcW w:w="2100" w:type="dxa"/>
            <w:vAlign w:val="top"/>
          </w:tcPr>
          <w:p w14:paraId="29003959">
            <w:pPr>
              <w:pStyle w:val="6"/>
              <w:spacing w:before="36" w:line="204" w:lineRule="auto"/>
              <w:ind w:left="637"/>
              <w:rPr>
                <w:sz w:val="20"/>
                <w:szCs w:val="20"/>
              </w:rPr>
            </w:pPr>
            <w:r>
              <w:rPr>
                <w:spacing w:val="6"/>
                <w:sz w:val="20"/>
                <w:szCs w:val="20"/>
              </w:rPr>
              <w:t>二氧化硫</w:t>
            </w:r>
          </w:p>
        </w:tc>
        <w:tc>
          <w:tcPr>
            <w:tcW w:w="1449" w:type="dxa"/>
            <w:vAlign w:val="top"/>
          </w:tcPr>
          <w:p w14:paraId="0C2B1D18">
            <w:pPr>
              <w:spacing w:before="74" w:line="192" w:lineRule="auto"/>
              <w:ind w:left="5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180</w:t>
            </w:r>
          </w:p>
        </w:tc>
        <w:tc>
          <w:tcPr>
            <w:tcW w:w="2453" w:type="dxa"/>
            <w:vMerge w:val="continue"/>
            <w:tcBorders>
              <w:top w:val="nil"/>
              <w:bottom w:val="nil"/>
              <w:right w:val="nil"/>
            </w:tcBorders>
            <w:vAlign w:val="top"/>
          </w:tcPr>
          <w:p w14:paraId="4BC18463">
            <w:pPr>
              <w:rPr>
                <w:rFonts w:ascii="Arial"/>
                <w:sz w:val="21"/>
              </w:rPr>
            </w:pPr>
          </w:p>
        </w:tc>
      </w:tr>
      <w:tr w14:paraId="019DA7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 w:hRule="atLeast"/>
        </w:trPr>
        <w:tc>
          <w:tcPr>
            <w:tcW w:w="3071" w:type="dxa"/>
            <w:vMerge w:val="continue"/>
            <w:tcBorders>
              <w:top w:val="nil"/>
              <w:left w:val="nil"/>
            </w:tcBorders>
            <w:vAlign w:val="top"/>
          </w:tcPr>
          <w:p w14:paraId="48F2BD48">
            <w:pPr>
              <w:rPr>
                <w:rFonts w:ascii="Arial"/>
                <w:sz w:val="21"/>
              </w:rPr>
            </w:pPr>
          </w:p>
        </w:tc>
        <w:tc>
          <w:tcPr>
            <w:tcW w:w="2100" w:type="dxa"/>
            <w:vAlign w:val="top"/>
          </w:tcPr>
          <w:p w14:paraId="0C805F49">
            <w:pPr>
              <w:pStyle w:val="6"/>
              <w:spacing w:before="42" w:line="200" w:lineRule="auto"/>
              <w:jc w:val="right"/>
              <w:rPr>
                <w:sz w:val="20"/>
                <w:szCs w:val="20"/>
              </w:rPr>
            </w:pPr>
            <w:r>
              <w:rPr>
                <w:spacing w:val="5"/>
                <w:sz w:val="20"/>
                <w:szCs w:val="20"/>
              </w:rPr>
              <w:t>氮氧化物（以</w:t>
            </w:r>
            <w:r>
              <w:rPr>
                <w:spacing w:val="-49"/>
                <w:sz w:val="20"/>
                <w:szCs w:val="20"/>
              </w:rPr>
              <w:t xml:space="preserve"> </w:t>
            </w:r>
            <w:r>
              <w:rPr>
                <w:rFonts w:ascii="Times New Roman" w:hAnsi="Times New Roman" w:eastAsia="Times New Roman" w:cs="Times New Roman"/>
                <w:sz w:val="20"/>
                <w:szCs w:val="20"/>
              </w:rPr>
              <w:t>NO</w:t>
            </w:r>
            <w:r>
              <w:rPr>
                <w:rFonts w:ascii="Times New Roman" w:hAnsi="Times New Roman" w:eastAsia="Times New Roman" w:cs="Times New Roman"/>
                <w:spacing w:val="5"/>
                <w:position w:val="-1"/>
                <w:sz w:val="13"/>
                <w:szCs w:val="13"/>
              </w:rPr>
              <w:t xml:space="preserve">2 </w:t>
            </w:r>
            <w:r>
              <w:rPr>
                <w:spacing w:val="5"/>
                <w:sz w:val="20"/>
                <w:szCs w:val="20"/>
              </w:rPr>
              <w:t>计）</w:t>
            </w:r>
          </w:p>
        </w:tc>
        <w:tc>
          <w:tcPr>
            <w:tcW w:w="1449" w:type="dxa"/>
            <w:vAlign w:val="top"/>
          </w:tcPr>
          <w:p w14:paraId="00A94452">
            <w:pPr>
              <w:spacing w:before="78" w:line="188" w:lineRule="auto"/>
              <w:ind w:left="5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2453" w:type="dxa"/>
            <w:vMerge w:val="continue"/>
            <w:tcBorders>
              <w:top w:val="nil"/>
              <w:bottom w:val="nil"/>
              <w:right w:val="nil"/>
            </w:tcBorders>
            <w:vAlign w:val="top"/>
          </w:tcPr>
          <w:p w14:paraId="448C2986">
            <w:pPr>
              <w:rPr>
                <w:rFonts w:ascii="Arial"/>
                <w:sz w:val="21"/>
              </w:rPr>
            </w:pPr>
          </w:p>
        </w:tc>
      </w:tr>
      <w:tr w14:paraId="3A177C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2" w:hRule="atLeast"/>
        </w:trPr>
        <w:tc>
          <w:tcPr>
            <w:tcW w:w="3071" w:type="dxa"/>
            <w:tcBorders>
              <w:left w:val="nil"/>
              <w:bottom w:val="single" w:color="000000" w:sz="10" w:space="0"/>
            </w:tcBorders>
            <w:vAlign w:val="top"/>
          </w:tcPr>
          <w:p w14:paraId="058F6DBD">
            <w:pPr>
              <w:pStyle w:val="6"/>
              <w:spacing w:before="44" w:line="234" w:lineRule="auto"/>
              <w:ind w:left="819" w:hanging="813"/>
              <w:rPr>
                <w:sz w:val="20"/>
                <w:szCs w:val="20"/>
              </w:rPr>
            </w:pPr>
            <w:r>
              <w:rPr>
                <w:spacing w:val="12"/>
                <w:sz w:val="20"/>
                <w:szCs w:val="20"/>
              </w:rPr>
              <w:t>烧结机机尾、带</w:t>
            </w:r>
            <w:r>
              <w:rPr>
                <w:spacing w:val="-49"/>
                <w:sz w:val="20"/>
                <w:szCs w:val="20"/>
              </w:rPr>
              <w:t xml:space="preserve"> </w:t>
            </w:r>
            <w:r>
              <w:rPr>
                <w:spacing w:val="12"/>
                <w:sz w:val="20"/>
                <w:szCs w:val="20"/>
              </w:rPr>
              <w:t>式烧</w:t>
            </w:r>
            <w:r>
              <w:rPr>
                <w:spacing w:val="-58"/>
                <w:sz w:val="20"/>
                <w:szCs w:val="20"/>
              </w:rPr>
              <w:t xml:space="preserve"> </w:t>
            </w:r>
            <w:r>
              <w:rPr>
                <w:spacing w:val="12"/>
                <w:sz w:val="20"/>
                <w:szCs w:val="20"/>
              </w:rPr>
              <w:t>结机机尾、</w:t>
            </w:r>
            <w:r>
              <w:rPr>
                <w:sz w:val="20"/>
                <w:szCs w:val="20"/>
              </w:rPr>
              <w:t xml:space="preserve"> </w:t>
            </w:r>
            <w:r>
              <w:rPr>
                <w:spacing w:val="29"/>
                <w:sz w:val="20"/>
                <w:szCs w:val="20"/>
              </w:rPr>
              <w:t>其他生产设备</w:t>
            </w:r>
          </w:p>
        </w:tc>
        <w:tc>
          <w:tcPr>
            <w:tcW w:w="2100" w:type="dxa"/>
            <w:tcBorders>
              <w:bottom w:val="single" w:color="000000" w:sz="10" w:space="0"/>
            </w:tcBorders>
            <w:vAlign w:val="top"/>
          </w:tcPr>
          <w:p w14:paraId="20E1E010">
            <w:pPr>
              <w:pStyle w:val="6"/>
              <w:spacing w:before="179" w:line="228" w:lineRule="auto"/>
              <w:ind w:left="739"/>
              <w:rPr>
                <w:sz w:val="20"/>
                <w:szCs w:val="20"/>
              </w:rPr>
            </w:pPr>
            <w:r>
              <w:rPr>
                <w:spacing w:val="7"/>
                <w:sz w:val="20"/>
                <w:szCs w:val="20"/>
              </w:rPr>
              <w:t>颗粒物</w:t>
            </w:r>
          </w:p>
        </w:tc>
        <w:tc>
          <w:tcPr>
            <w:tcW w:w="1449" w:type="dxa"/>
            <w:tcBorders>
              <w:bottom w:val="single" w:color="000000" w:sz="10" w:space="0"/>
            </w:tcBorders>
            <w:vAlign w:val="top"/>
          </w:tcPr>
          <w:p w14:paraId="43D7906F">
            <w:pPr>
              <w:spacing w:before="217" w:line="195" w:lineRule="auto"/>
              <w:ind w:left="62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2453" w:type="dxa"/>
            <w:vMerge w:val="continue"/>
            <w:tcBorders>
              <w:top w:val="nil"/>
              <w:bottom w:val="single" w:color="000000" w:sz="10" w:space="0"/>
              <w:right w:val="nil"/>
            </w:tcBorders>
            <w:vAlign w:val="top"/>
          </w:tcPr>
          <w:p w14:paraId="69F5E87D">
            <w:pPr>
              <w:rPr>
                <w:rFonts w:ascii="Arial"/>
                <w:sz w:val="21"/>
              </w:rPr>
            </w:pPr>
          </w:p>
        </w:tc>
      </w:tr>
    </w:tbl>
    <w:p w14:paraId="12E81500">
      <w:pPr>
        <w:pStyle w:val="2"/>
      </w:pPr>
    </w:p>
    <w:p w14:paraId="0FFB674B">
      <w:pPr>
        <w:sectPr>
          <w:headerReference r:id="rId58" w:type="default"/>
          <w:footerReference r:id="rId59" w:type="default"/>
          <w:pgSz w:w="11907" w:h="16840"/>
          <w:pgMar w:top="1178" w:right="1357" w:bottom="1038" w:left="1417" w:header="870" w:footer="876" w:gutter="0"/>
          <w:cols w:space="720" w:num="1"/>
        </w:sectPr>
      </w:pPr>
    </w:p>
    <w:p w14:paraId="2BE5B441">
      <w:pPr>
        <w:spacing w:before="269" w:line="228" w:lineRule="auto"/>
        <w:ind w:left="2401"/>
        <w:rPr>
          <w:rFonts w:ascii="宋体" w:hAnsi="宋体" w:eastAsia="宋体" w:cs="宋体"/>
          <w:sz w:val="20"/>
          <w:szCs w:val="20"/>
        </w:rPr>
      </w:pPr>
      <w:r>
        <w:pict>
          <v:shape id="_x0000_s1060" o:spid="_x0000_s1060" style="position:absolute;left:0pt;margin-left:70.85pt;margin-top:59.65pt;height:0.75pt;width:453.65pt;mso-position-horizontal-relative:page;mso-position-vertical-relative:page;z-index:25169408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5"/>
          <w:sz w:val="20"/>
          <w:szCs w:val="20"/>
        </w:rPr>
        <w:t>表</w:t>
      </w:r>
      <w:r>
        <w:rPr>
          <w:rFonts w:ascii="宋体" w:hAnsi="宋体" w:eastAsia="宋体" w:cs="宋体"/>
          <w:spacing w:val="-32"/>
          <w:sz w:val="20"/>
          <w:szCs w:val="20"/>
        </w:rPr>
        <w:t xml:space="preserve"> </w:t>
      </w:r>
      <w:r>
        <w:rPr>
          <w:rFonts w:ascii="Times New Roman" w:hAnsi="Times New Roman" w:eastAsia="Times New Roman" w:cs="Times New Roman"/>
          <w:b/>
          <w:bCs/>
          <w:spacing w:val="5"/>
          <w:sz w:val="20"/>
          <w:szCs w:val="20"/>
        </w:rPr>
        <w:t xml:space="preserve">1.5-10          </w:t>
      </w:r>
      <w:r>
        <w:rPr>
          <w:rFonts w:ascii="宋体" w:hAnsi="宋体" w:eastAsia="宋体" w:cs="宋体"/>
          <w:b/>
          <w:bCs/>
          <w:spacing w:val="5"/>
          <w:sz w:val="20"/>
          <w:szCs w:val="20"/>
        </w:rPr>
        <w:t>火电厂大气污染物排放浓度限值</w:t>
      </w:r>
    </w:p>
    <w:p w14:paraId="3E753EA7">
      <w:pPr>
        <w:spacing w:line="130" w:lineRule="exact"/>
      </w:pPr>
    </w:p>
    <w:tbl>
      <w:tblPr>
        <w:tblStyle w:val="5"/>
        <w:tblW w:w="9068"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02"/>
        <w:gridCol w:w="3297"/>
        <w:gridCol w:w="1473"/>
        <w:gridCol w:w="1116"/>
        <w:gridCol w:w="1480"/>
      </w:tblGrid>
      <w:tr w14:paraId="141E5F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6" w:hRule="atLeast"/>
        </w:trPr>
        <w:tc>
          <w:tcPr>
            <w:tcW w:w="1702" w:type="dxa"/>
            <w:tcBorders>
              <w:top w:val="single" w:color="000000" w:sz="10" w:space="0"/>
              <w:left w:val="nil"/>
            </w:tcBorders>
            <w:vAlign w:val="top"/>
          </w:tcPr>
          <w:p w14:paraId="530A622C">
            <w:pPr>
              <w:pStyle w:val="6"/>
              <w:spacing w:before="35" w:line="231" w:lineRule="auto"/>
              <w:ind w:left="540" w:right="12" w:hanging="523"/>
              <w:rPr>
                <w:sz w:val="20"/>
                <w:szCs w:val="20"/>
              </w:rPr>
            </w:pPr>
            <w:r>
              <w:rPr>
                <w:spacing w:val="8"/>
                <w:sz w:val="20"/>
                <w:szCs w:val="20"/>
              </w:rPr>
              <w:t>燃料和热能转化设</w:t>
            </w:r>
            <w:r>
              <w:rPr>
                <w:spacing w:val="3"/>
                <w:sz w:val="20"/>
                <w:szCs w:val="20"/>
              </w:rPr>
              <w:t xml:space="preserve"> </w:t>
            </w:r>
            <w:r>
              <w:rPr>
                <w:spacing w:val="7"/>
                <w:sz w:val="20"/>
                <w:szCs w:val="20"/>
              </w:rPr>
              <w:t>施类型</w:t>
            </w:r>
          </w:p>
        </w:tc>
        <w:tc>
          <w:tcPr>
            <w:tcW w:w="3297" w:type="dxa"/>
            <w:tcBorders>
              <w:top w:val="single" w:color="000000" w:sz="10" w:space="0"/>
            </w:tcBorders>
            <w:vAlign w:val="top"/>
          </w:tcPr>
          <w:p w14:paraId="03AB3B5F">
            <w:pPr>
              <w:pStyle w:val="6"/>
              <w:spacing w:before="171" w:line="228" w:lineRule="auto"/>
              <w:ind w:left="1131"/>
              <w:rPr>
                <w:sz w:val="20"/>
                <w:szCs w:val="20"/>
              </w:rPr>
            </w:pPr>
            <w:r>
              <w:rPr>
                <w:spacing w:val="7"/>
                <w:sz w:val="20"/>
                <w:szCs w:val="20"/>
              </w:rPr>
              <w:t>污染物项目</w:t>
            </w:r>
          </w:p>
        </w:tc>
        <w:tc>
          <w:tcPr>
            <w:tcW w:w="1473" w:type="dxa"/>
            <w:tcBorders>
              <w:top w:val="single" w:color="000000" w:sz="10" w:space="0"/>
            </w:tcBorders>
            <w:vAlign w:val="top"/>
          </w:tcPr>
          <w:p w14:paraId="0F239629">
            <w:pPr>
              <w:pStyle w:val="6"/>
              <w:spacing w:before="170" w:line="228" w:lineRule="auto"/>
              <w:ind w:left="322"/>
              <w:rPr>
                <w:sz w:val="20"/>
                <w:szCs w:val="20"/>
              </w:rPr>
            </w:pPr>
            <w:r>
              <w:rPr>
                <w:spacing w:val="7"/>
                <w:sz w:val="20"/>
                <w:szCs w:val="20"/>
              </w:rPr>
              <w:t>使用条件</w:t>
            </w:r>
          </w:p>
        </w:tc>
        <w:tc>
          <w:tcPr>
            <w:tcW w:w="1116" w:type="dxa"/>
            <w:tcBorders>
              <w:top w:val="single" w:color="000000" w:sz="10" w:space="0"/>
            </w:tcBorders>
            <w:vAlign w:val="top"/>
          </w:tcPr>
          <w:p w14:paraId="75D29C4E">
            <w:pPr>
              <w:pStyle w:val="6"/>
              <w:spacing w:before="35" w:line="231" w:lineRule="auto"/>
              <w:ind w:left="85" w:right="84" w:firstLine="282"/>
              <w:rPr>
                <w:sz w:val="20"/>
                <w:szCs w:val="20"/>
              </w:rPr>
            </w:pPr>
            <w:r>
              <w:rPr>
                <w:spacing w:val="-3"/>
                <w:sz w:val="20"/>
                <w:szCs w:val="20"/>
              </w:rPr>
              <w:t>限值</w:t>
            </w:r>
            <w:r>
              <w:rPr>
                <w:sz w:val="20"/>
                <w:szCs w:val="20"/>
              </w:rPr>
              <w:t xml:space="preserve">   </w:t>
            </w:r>
            <w:r>
              <w:rPr>
                <w:spacing w:val="1"/>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1"/>
                <w:sz w:val="20"/>
                <w:szCs w:val="20"/>
              </w:rPr>
              <w:t>/m</w:t>
            </w:r>
            <w:r>
              <w:rPr>
                <w:rFonts w:ascii="Times New Roman" w:hAnsi="Times New Roman" w:eastAsia="Times New Roman" w:cs="Times New Roman"/>
                <w:spacing w:val="1"/>
                <w:position w:val="6"/>
                <w:sz w:val="13"/>
                <w:szCs w:val="13"/>
              </w:rPr>
              <w:t>3</w:t>
            </w:r>
            <w:r>
              <w:rPr>
                <w:spacing w:val="1"/>
                <w:sz w:val="20"/>
                <w:szCs w:val="20"/>
              </w:rPr>
              <w:t>）</w:t>
            </w:r>
          </w:p>
        </w:tc>
        <w:tc>
          <w:tcPr>
            <w:tcW w:w="1480" w:type="dxa"/>
            <w:tcBorders>
              <w:top w:val="single" w:color="000000" w:sz="10" w:space="0"/>
              <w:right w:val="nil"/>
            </w:tcBorders>
            <w:vAlign w:val="top"/>
          </w:tcPr>
          <w:p w14:paraId="76A9D228">
            <w:pPr>
              <w:pStyle w:val="6"/>
              <w:spacing w:before="35" w:line="231" w:lineRule="auto"/>
              <w:ind w:left="537" w:right="3" w:hanging="523"/>
              <w:rPr>
                <w:sz w:val="20"/>
                <w:szCs w:val="20"/>
              </w:rPr>
            </w:pPr>
            <w:r>
              <w:rPr>
                <w:spacing w:val="8"/>
                <w:sz w:val="20"/>
                <w:szCs w:val="20"/>
              </w:rPr>
              <w:t>污染物排放监控</w:t>
            </w:r>
            <w:r>
              <w:rPr>
                <w:spacing w:val="2"/>
                <w:sz w:val="20"/>
                <w:szCs w:val="20"/>
              </w:rPr>
              <w:t xml:space="preserve"> </w:t>
            </w:r>
            <w:r>
              <w:rPr>
                <w:spacing w:val="4"/>
                <w:sz w:val="20"/>
                <w:szCs w:val="20"/>
              </w:rPr>
              <w:t>位置</w:t>
            </w:r>
          </w:p>
        </w:tc>
      </w:tr>
      <w:tr w14:paraId="69E8BD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2" w:hRule="atLeast"/>
        </w:trPr>
        <w:tc>
          <w:tcPr>
            <w:tcW w:w="1702" w:type="dxa"/>
            <w:vMerge w:val="restart"/>
            <w:tcBorders>
              <w:left w:val="nil"/>
              <w:bottom w:val="nil"/>
            </w:tcBorders>
            <w:vAlign w:val="top"/>
          </w:tcPr>
          <w:p w14:paraId="28C2E106">
            <w:pPr>
              <w:spacing w:line="312" w:lineRule="auto"/>
              <w:rPr>
                <w:rFonts w:ascii="Arial"/>
                <w:sz w:val="21"/>
              </w:rPr>
            </w:pPr>
          </w:p>
          <w:p w14:paraId="6EBDFD60">
            <w:pPr>
              <w:pStyle w:val="6"/>
              <w:spacing w:before="65"/>
              <w:ind w:left="755" w:right="10" w:hanging="715"/>
              <w:rPr>
                <w:sz w:val="20"/>
                <w:szCs w:val="20"/>
              </w:rPr>
            </w:pPr>
            <w:r>
              <w:rPr>
                <w:spacing w:val="6"/>
                <w:sz w:val="20"/>
                <w:szCs w:val="20"/>
              </w:rPr>
              <w:t>以气体为燃料的锅</w:t>
            </w:r>
            <w:r>
              <w:rPr>
                <w:sz w:val="20"/>
                <w:szCs w:val="20"/>
              </w:rPr>
              <w:t xml:space="preserve"> 炉</w:t>
            </w:r>
          </w:p>
        </w:tc>
        <w:tc>
          <w:tcPr>
            <w:tcW w:w="3297" w:type="dxa"/>
            <w:vAlign w:val="top"/>
          </w:tcPr>
          <w:p w14:paraId="7791A6D5">
            <w:pPr>
              <w:pStyle w:val="6"/>
              <w:spacing w:before="47" w:line="216" w:lineRule="auto"/>
              <w:ind w:left="1445"/>
              <w:rPr>
                <w:sz w:val="20"/>
                <w:szCs w:val="20"/>
              </w:rPr>
            </w:pPr>
            <w:r>
              <w:rPr>
                <w:spacing w:val="4"/>
                <w:sz w:val="20"/>
                <w:szCs w:val="20"/>
              </w:rPr>
              <w:t>烟尘</w:t>
            </w:r>
          </w:p>
        </w:tc>
        <w:tc>
          <w:tcPr>
            <w:tcW w:w="1473" w:type="dxa"/>
            <w:vAlign w:val="top"/>
          </w:tcPr>
          <w:p w14:paraId="330F337D">
            <w:pPr>
              <w:pStyle w:val="6"/>
              <w:spacing w:before="47" w:line="216" w:lineRule="auto"/>
              <w:ind w:left="533"/>
              <w:rPr>
                <w:sz w:val="20"/>
                <w:szCs w:val="20"/>
              </w:rPr>
            </w:pPr>
            <w:r>
              <w:rPr>
                <w:spacing w:val="4"/>
                <w:sz w:val="20"/>
                <w:szCs w:val="20"/>
              </w:rPr>
              <w:t>全部</w:t>
            </w:r>
          </w:p>
        </w:tc>
        <w:tc>
          <w:tcPr>
            <w:tcW w:w="1116" w:type="dxa"/>
            <w:vAlign w:val="top"/>
          </w:tcPr>
          <w:p w14:paraId="44DD1F34">
            <w:pPr>
              <w:spacing w:before="88" w:line="192" w:lineRule="auto"/>
              <w:ind w:left="514"/>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480" w:type="dxa"/>
            <w:vMerge w:val="restart"/>
            <w:tcBorders>
              <w:bottom w:val="nil"/>
              <w:right w:val="nil"/>
            </w:tcBorders>
            <w:vAlign w:val="top"/>
          </w:tcPr>
          <w:p w14:paraId="2CC1224C">
            <w:pPr>
              <w:spacing w:line="283" w:lineRule="auto"/>
              <w:rPr>
                <w:rFonts w:ascii="Arial"/>
                <w:sz w:val="21"/>
              </w:rPr>
            </w:pPr>
          </w:p>
          <w:p w14:paraId="388B37AF">
            <w:pPr>
              <w:pStyle w:val="6"/>
              <w:spacing w:before="65" w:line="229" w:lineRule="auto"/>
              <w:ind w:left="222"/>
              <w:rPr>
                <w:sz w:val="20"/>
                <w:szCs w:val="20"/>
              </w:rPr>
            </w:pPr>
            <w:r>
              <w:rPr>
                <w:spacing w:val="7"/>
                <w:sz w:val="20"/>
                <w:szCs w:val="20"/>
              </w:rPr>
              <w:t>烟囱或烟道</w:t>
            </w:r>
          </w:p>
        </w:tc>
      </w:tr>
      <w:tr w14:paraId="12D676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3" w:hRule="atLeast"/>
        </w:trPr>
        <w:tc>
          <w:tcPr>
            <w:tcW w:w="1702" w:type="dxa"/>
            <w:vMerge w:val="continue"/>
            <w:tcBorders>
              <w:top w:val="nil"/>
              <w:left w:val="nil"/>
              <w:bottom w:val="nil"/>
            </w:tcBorders>
            <w:vAlign w:val="top"/>
          </w:tcPr>
          <w:p w14:paraId="229B0C99">
            <w:pPr>
              <w:rPr>
                <w:rFonts w:ascii="Arial"/>
                <w:sz w:val="21"/>
              </w:rPr>
            </w:pPr>
          </w:p>
        </w:tc>
        <w:tc>
          <w:tcPr>
            <w:tcW w:w="3297" w:type="dxa"/>
            <w:vAlign w:val="top"/>
          </w:tcPr>
          <w:p w14:paraId="2F85CB05">
            <w:pPr>
              <w:pStyle w:val="6"/>
              <w:spacing w:before="53" w:line="212" w:lineRule="auto"/>
              <w:ind w:left="1236"/>
              <w:rPr>
                <w:sz w:val="20"/>
                <w:szCs w:val="20"/>
              </w:rPr>
            </w:pPr>
            <w:r>
              <w:rPr>
                <w:spacing w:val="6"/>
                <w:sz w:val="20"/>
                <w:szCs w:val="20"/>
              </w:rPr>
              <w:t>二氧化硫</w:t>
            </w:r>
          </w:p>
        </w:tc>
        <w:tc>
          <w:tcPr>
            <w:tcW w:w="1473" w:type="dxa"/>
            <w:vAlign w:val="top"/>
          </w:tcPr>
          <w:p w14:paraId="20775B2F">
            <w:pPr>
              <w:pStyle w:val="6"/>
              <w:spacing w:before="53" w:line="212" w:lineRule="auto"/>
              <w:ind w:left="533"/>
              <w:rPr>
                <w:sz w:val="20"/>
                <w:szCs w:val="20"/>
              </w:rPr>
            </w:pPr>
            <w:r>
              <w:rPr>
                <w:spacing w:val="4"/>
                <w:sz w:val="20"/>
                <w:szCs w:val="20"/>
              </w:rPr>
              <w:t>全部</w:t>
            </w:r>
          </w:p>
        </w:tc>
        <w:tc>
          <w:tcPr>
            <w:tcW w:w="1116" w:type="dxa"/>
            <w:vAlign w:val="top"/>
          </w:tcPr>
          <w:p w14:paraId="24417AB8">
            <w:pPr>
              <w:spacing w:before="91" w:line="195" w:lineRule="auto"/>
              <w:ind w:left="459"/>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1480" w:type="dxa"/>
            <w:vMerge w:val="continue"/>
            <w:tcBorders>
              <w:top w:val="nil"/>
              <w:bottom w:val="nil"/>
              <w:right w:val="nil"/>
            </w:tcBorders>
            <w:vAlign w:val="top"/>
          </w:tcPr>
          <w:p w14:paraId="39FD8C06">
            <w:pPr>
              <w:rPr>
                <w:rFonts w:ascii="Arial"/>
                <w:sz w:val="21"/>
              </w:rPr>
            </w:pPr>
          </w:p>
        </w:tc>
      </w:tr>
      <w:tr w14:paraId="412F58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3" w:hRule="atLeast"/>
        </w:trPr>
        <w:tc>
          <w:tcPr>
            <w:tcW w:w="1702" w:type="dxa"/>
            <w:vMerge w:val="continue"/>
            <w:tcBorders>
              <w:top w:val="nil"/>
              <w:left w:val="nil"/>
              <w:bottom w:val="nil"/>
            </w:tcBorders>
            <w:vAlign w:val="top"/>
          </w:tcPr>
          <w:p w14:paraId="2AE2CC53">
            <w:pPr>
              <w:rPr>
                <w:rFonts w:ascii="Arial"/>
                <w:sz w:val="21"/>
              </w:rPr>
            </w:pPr>
          </w:p>
        </w:tc>
        <w:tc>
          <w:tcPr>
            <w:tcW w:w="3297" w:type="dxa"/>
            <w:vAlign w:val="top"/>
          </w:tcPr>
          <w:p w14:paraId="299B8038">
            <w:pPr>
              <w:pStyle w:val="6"/>
              <w:spacing w:before="57" w:line="208" w:lineRule="auto"/>
              <w:ind w:left="583"/>
              <w:rPr>
                <w:sz w:val="20"/>
                <w:szCs w:val="20"/>
              </w:rPr>
            </w:pPr>
            <w:r>
              <w:rPr>
                <w:spacing w:val="7"/>
                <w:sz w:val="20"/>
                <w:szCs w:val="20"/>
              </w:rPr>
              <w:t>氮氧化物（以</w:t>
            </w:r>
            <w:r>
              <w:rPr>
                <w:spacing w:val="-39"/>
                <w:sz w:val="20"/>
                <w:szCs w:val="20"/>
              </w:rPr>
              <w:t xml:space="preserve"> </w:t>
            </w:r>
            <w:r>
              <w:rPr>
                <w:rFonts w:ascii="Times New Roman" w:hAnsi="Times New Roman" w:eastAsia="Times New Roman" w:cs="Times New Roman"/>
                <w:sz w:val="20"/>
                <w:szCs w:val="20"/>
              </w:rPr>
              <w:t>NO</w:t>
            </w:r>
            <w:r>
              <w:rPr>
                <w:rFonts w:ascii="Times New Roman" w:hAnsi="Times New Roman" w:eastAsia="Times New Roman" w:cs="Times New Roman"/>
                <w:spacing w:val="7"/>
                <w:position w:val="-1"/>
                <w:sz w:val="13"/>
                <w:szCs w:val="13"/>
              </w:rPr>
              <w:t xml:space="preserve">2 </w:t>
            </w:r>
            <w:r>
              <w:rPr>
                <w:spacing w:val="7"/>
                <w:sz w:val="20"/>
                <w:szCs w:val="20"/>
              </w:rPr>
              <w:t>计）</w:t>
            </w:r>
          </w:p>
        </w:tc>
        <w:tc>
          <w:tcPr>
            <w:tcW w:w="1473" w:type="dxa"/>
            <w:vAlign w:val="top"/>
          </w:tcPr>
          <w:p w14:paraId="5867E74E">
            <w:pPr>
              <w:pStyle w:val="6"/>
              <w:spacing w:before="57" w:line="208" w:lineRule="auto"/>
              <w:ind w:left="322"/>
              <w:rPr>
                <w:sz w:val="20"/>
                <w:szCs w:val="20"/>
              </w:rPr>
            </w:pPr>
            <w:r>
              <w:rPr>
                <w:spacing w:val="7"/>
                <w:sz w:val="20"/>
                <w:szCs w:val="20"/>
              </w:rPr>
              <w:t>燃气锅炉</w:t>
            </w:r>
          </w:p>
        </w:tc>
        <w:tc>
          <w:tcPr>
            <w:tcW w:w="1116" w:type="dxa"/>
            <w:vAlign w:val="top"/>
          </w:tcPr>
          <w:p w14:paraId="2064091C">
            <w:pPr>
              <w:spacing w:before="93" w:line="195" w:lineRule="auto"/>
              <w:ind w:left="4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1480" w:type="dxa"/>
            <w:vMerge w:val="continue"/>
            <w:tcBorders>
              <w:top w:val="nil"/>
              <w:right w:val="nil"/>
            </w:tcBorders>
            <w:vAlign w:val="top"/>
          </w:tcPr>
          <w:p w14:paraId="701B946B">
            <w:pPr>
              <w:rPr>
                <w:rFonts w:ascii="Arial"/>
                <w:sz w:val="21"/>
              </w:rPr>
            </w:pPr>
          </w:p>
        </w:tc>
      </w:tr>
      <w:tr w14:paraId="49D2D1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702" w:type="dxa"/>
            <w:vMerge w:val="continue"/>
            <w:tcBorders>
              <w:top w:val="nil"/>
              <w:left w:val="nil"/>
              <w:bottom w:val="single" w:color="000000" w:sz="10" w:space="0"/>
            </w:tcBorders>
            <w:vAlign w:val="top"/>
          </w:tcPr>
          <w:p w14:paraId="30851640">
            <w:pPr>
              <w:rPr>
                <w:rFonts w:ascii="Arial"/>
                <w:sz w:val="21"/>
              </w:rPr>
            </w:pPr>
          </w:p>
        </w:tc>
        <w:tc>
          <w:tcPr>
            <w:tcW w:w="3297" w:type="dxa"/>
            <w:tcBorders>
              <w:bottom w:val="single" w:color="000000" w:sz="10" w:space="0"/>
            </w:tcBorders>
            <w:vAlign w:val="top"/>
          </w:tcPr>
          <w:p w14:paraId="24454574">
            <w:pPr>
              <w:pStyle w:val="6"/>
              <w:spacing w:before="75" w:line="228" w:lineRule="auto"/>
              <w:ind w:left="291"/>
              <w:rPr>
                <w:sz w:val="20"/>
                <w:szCs w:val="20"/>
              </w:rPr>
            </w:pPr>
            <w:r>
              <w:rPr>
                <w:spacing w:val="8"/>
                <w:sz w:val="20"/>
                <w:szCs w:val="20"/>
              </w:rPr>
              <w:t>烟气黑度（林格曼黑度，级）</w:t>
            </w:r>
          </w:p>
        </w:tc>
        <w:tc>
          <w:tcPr>
            <w:tcW w:w="1473" w:type="dxa"/>
            <w:tcBorders>
              <w:bottom w:val="single" w:color="000000" w:sz="10" w:space="0"/>
            </w:tcBorders>
            <w:vAlign w:val="top"/>
          </w:tcPr>
          <w:p w14:paraId="330EB8A9">
            <w:pPr>
              <w:pStyle w:val="6"/>
              <w:spacing w:before="75" w:line="228" w:lineRule="auto"/>
              <w:ind w:left="533"/>
              <w:rPr>
                <w:sz w:val="20"/>
                <w:szCs w:val="20"/>
              </w:rPr>
            </w:pPr>
            <w:r>
              <w:rPr>
                <w:spacing w:val="4"/>
                <w:sz w:val="20"/>
                <w:szCs w:val="20"/>
              </w:rPr>
              <w:t>全部</w:t>
            </w:r>
          </w:p>
        </w:tc>
        <w:tc>
          <w:tcPr>
            <w:tcW w:w="1116" w:type="dxa"/>
            <w:tcBorders>
              <w:bottom w:val="single" w:color="000000" w:sz="10" w:space="0"/>
            </w:tcBorders>
            <w:vAlign w:val="top"/>
          </w:tcPr>
          <w:p w14:paraId="2CC909F0">
            <w:pPr>
              <w:spacing w:before="112" w:line="195" w:lineRule="auto"/>
              <w:ind w:left="528"/>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480" w:type="dxa"/>
            <w:tcBorders>
              <w:bottom w:val="single" w:color="000000" w:sz="10" w:space="0"/>
              <w:right w:val="nil"/>
            </w:tcBorders>
            <w:vAlign w:val="top"/>
          </w:tcPr>
          <w:p w14:paraId="19E363C6">
            <w:pPr>
              <w:pStyle w:val="6"/>
              <w:spacing w:before="76" w:line="229" w:lineRule="auto"/>
              <w:ind w:left="222"/>
              <w:rPr>
                <w:sz w:val="20"/>
                <w:szCs w:val="20"/>
              </w:rPr>
            </w:pPr>
            <w:r>
              <w:rPr>
                <w:spacing w:val="7"/>
                <w:sz w:val="20"/>
                <w:szCs w:val="20"/>
              </w:rPr>
              <w:t>烟囱排放口</w:t>
            </w:r>
          </w:p>
        </w:tc>
      </w:tr>
    </w:tbl>
    <w:p w14:paraId="40908B53">
      <w:pPr>
        <w:spacing w:before="33" w:line="228" w:lineRule="auto"/>
        <w:ind w:left="222"/>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3"/>
          <w:sz w:val="20"/>
          <w:szCs w:val="20"/>
        </w:rPr>
        <w:t xml:space="preserve"> </w:t>
      </w:r>
      <w:r>
        <w:rPr>
          <w:rFonts w:ascii="Times New Roman" w:hAnsi="Times New Roman" w:eastAsia="Times New Roman" w:cs="Times New Roman"/>
          <w:b/>
          <w:bCs/>
          <w:spacing w:val="6"/>
          <w:sz w:val="20"/>
          <w:szCs w:val="20"/>
        </w:rPr>
        <w:t xml:space="preserve">1.5-11        </w:t>
      </w:r>
      <w:r>
        <w:rPr>
          <w:rFonts w:ascii="宋体" w:hAnsi="宋体" w:eastAsia="宋体" w:cs="宋体"/>
          <w:b/>
          <w:bCs/>
          <w:spacing w:val="6"/>
          <w:sz w:val="20"/>
          <w:szCs w:val="20"/>
        </w:rPr>
        <w:t>铁合金生产大</w:t>
      </w:r>
      <w:r>
        <w:rPr>
          <w:rFonts w:ascii="宋体" w:hAnsi="宋体" w:eastAsia="宋体" w:cs="宋体"/>
          <w:b/>
          <w:bCs/>
          <w:spacing w:val="5"/>
          <w:sz w:val="20"/>
          <w:szCs w:val="20"/>
        </w:rPr>
        <w:t>气污染物排放浓度限值（</w:t>
      </w:r>
      <w:r>
        <w:rPr>
          <w:rFonts w:ascii="Times New Roman" w:hAnsi="Times New Roman" w:eastAsia="Times New Roman" w:cs="Times New Roman"/>
          <w:b/>
          <w:bCs/>
          <w:sz w:val="20"/>
          <w:szCs w:val="20"/>
        </w:rPr>
        <w:t>GB</w:t>
      </w:r>
      <w:r>
        <w:rPr>
          <w:rFonts w:ascii="Times New Roman" w:hAnsi="Times New Roman" w:eastAsia="Times New Roman" w:cs="Times New Roman"/>
          <w:b/>
          <w:bCs/>
          <w:spacing w:val="5"/>
          <w:sz w:val="20"/>
          <w:szCs w:val="20"/>
        </w:rPr>
        <w:t xml:space="preserve">28666-2012 </w:t>
      </w: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6 </w:t>
      </w:r>
      <w:r>
        <w:rPr>
          <w:rFonts w:ascii="宋体" w:hAnsi="宋体" w:eastAsia="宋体" w:cs="宋体"/>
          <w:b/>
          <w:bCs/>
          <w:spacing w:val="5"/>
          <w:sz w:val="20"/>
          <w:szCs w:val="20"/>
        </w:rPr>
        <w:t>特别排放限值、表</w:t>
      </w:r>
      <w:r>
        <w:rPr>
          <w:rFonts w:ascii="宋体" w:hAnsi="宋体" w:eastAsia="宋体" w:cs="宋体"/>
          <w:spacing w:val="-38"/>
          <w:sz w:val="20"/>
          <w:szCs w:val="20"/>
        </w:rPr>
        <w:t xml:space="preserve"> </w:t>
      </w:r>
      <w:r>
        <w:rPr>
          <w:rFonts w:ascii="Times New Roman" w:hAnsi="Times New Roman" w:eastAsia="Times New Roman" w:cs="Times New Roman"/>
          <w:b/>
          <w:bCs/>
          <w:spacing w:val="5"/>
          <w:sz w:val="20"/>
          <w:szCs w:val="20"/>
        </w:rPr>
        <w:t>7</w:t>
      </w:r>
      <w:r>
        <w:rPr>
          <w:rFonts w:ascii="宋体" w:hAnsi="宋体" w:eastAsia="宋体" w:cs="宋体"/>
          <w:b/>
          <w:bCs/>
          <w:spacing w:val="5"/>
          <w:sz w:val="20"/>
          <w:szCs w:val="20"/>
        </w:rPr>
        <w:t>）</w:t>
      </w:r>
    </w:p>
    <w:p w14:paraId="20AEF106">
      <w:pPr>
        <w:spacing w:line="129" w:lineRule="exact"/>
      </w:pPr>
    </w:p>
    <w:tbl>
      <w:tblPr>
        <w:tblStyle w:val="5"/>
        <w:tblW w:w="9067"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67"/>
        <w:gridCol w:w="2014"/>
        <w:gridCol w:w="2192"/>
        <w:gridCol w:w="2494"/>
      </w:tblGrid>
      <w:tr w14:paraId="29D0CA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2" w:hRule="atLeast"/>
        </w:trPr>
        <w:tc>
          <w:tcPr>
            <w:tcW w:w="2367" w:type="dxa"/>
            <w:tcBorders>
              <w:top w:val="single" w:color="000000" w:sz="10" w:space="0"/>
              <w:left w:val="nil"/>
            </w:tcBorders>
            <w:vAlign w:val="top"/>
          </w:tcPr>
          <w:p w14:paraId="2EB76389">
            <w:pPr>
              <w:pStyle w:val="6"/>
              <w:spacing w:before="35" w:line="191" w:lineRule="auto"/>
              <w:ind w:left="875"/>
              <w:rPr>
                <w:sz w:val="20"/>
                <w:szCs w:val="20"/>
              </w:rPr>
            </w:pPr>
            <w:r>
              <w:rPr>
                <w:b/>
                <w:bCs/>
                <w:spacing w:val="5"/>
                <w:sz w:val="20"/>
                <w:szCs w:val="20"/>
              </w:rPr>
              <w:t>污染物</w:t>
            </w:r>
          </w:p>
        </w:tc>
        <w:tc>
          <w:tcPr>
            <w:tcW w:w="2014" w:type="dxa"/>
            <w:tcBorders>
              <w:top w:val="single" w:color="000000" w:sz="10" w:space="0"/>
            </w:tcBorders>
            <w:vAlign w:val="top"/>
          </w:tcPr>
          <w:p w14:paraId="33A2FA85">
            <w:pPr>
              <w:pStyle w:val="6"/>
              <w:spacing w:before="35" w:line="191" w:lineRule="auto"/>
              <w:ind w:left="277"/>
              <w:rPr>
                <w:sz w:val="20"/>
                <w:szCs w:val="20"/>
              </w:rPr>
            </w:pPr>
            <w:r>
              <w:rPr>
                <w:b/>
                <w:bCs/>
                <w:spacing w:val="7"/>
                <w:sz w:val="20"/>
                <w:szCs w:val="20"/>
              </w:rPr>
              <w:t>生产工艺或设施</w:t>
            </w:r>
          </w:p>
        </w:tc>
        <w:tc>
          <w:tcPr>
            <w:tcW w:w="2192" w:type="dxa"/>
            <w:tcBorders>
              <w:top w:val="single" w:color="000000" w:sz="10" w:space="0"/>
            </w:tcBorders>
            <w:vAlign w:val="top"/>
          </w:tcPr>
          <w:p w14:paraId="4B57CC66">
            <w:pPr>
              <w:pStyle w:val="6"/>
              <w:spacing w:before="35" w:line="191" w:lineRule="auto"/>
              <w:ind w:left="405"/>
              <w:rPr>
                <w:sz w:val="20"/>
                <w:szCs w:val="20"/>
              </w:rPr>
            </w:pPr>
            <w:r>
              <w:rPr>
                <w:b/>
                <w:bCs/>
                <w:spacing w:val="4"/>
                <w:sz w:val="20"/>
                <w:szCs w:val="20"/>
              </w:rPr>
              <w:t>限值（</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4"/>
                <w:sz w:val="20"/>
                <w:szCs w:val="20"/>
              </w:rPr>
              <w:t>/m</w:t>
            </w:r>
            <w:r>
              <w:rPr>
                <w:rFonts w:ascii="Times New Roman" w:hAnsi="Times New Roman" w:eastAsia="Times New Roman" w:cs="Times New Roman"/>
                <w:b/>
                <w:bCs/>
                <w:spacing w:val="4"/>
                <w:position w:val="6"/>
                <w:sz w:val="13"/>
                <w:szCs w:val="13"/>
              </w:rPr>
              <w:t>3</w:t>
            </w:r>
            <w:r>
              <w:rPr>
                <w:b/>
                <w:bCs/>
                <w:spacing w:val="4"/>
                <w:sz w:val="20"/>
                <w:szCs w:val="20"/>
              </w:rPr>
              <w:t>）</w:t>
            </w:r>
          </w:p>
        </w:tc>
        <w:tc>
          <w:tcPr>
            <w:tcW w:w="2494" w:type="dxa"/>
            <w:tcBorders>
              <w:top w:val="single" w:color="000000" w:sz="10" w:space="0"/>
              <w:right w:val="nil"/>
            </w:tcBorders>
            <w:vAlign w:val="top"/>
          </w:tcPr>
          <w:p w14:paraId="040D5A26">
            <w:pPr>
              <w:pStyle w:val="6"/>
              <w:spacing w:before="35" w:line="191" w:lineRule="auto"/>
              <w:ind w:left="307"/>
              <w:rPr>
                <w:sz w:val="20"/>
                <w:szCs w:val="20"/>
              </w:rPr>
            </w:pPr>
            <w:r>
              <w:rPr>
                <w:b/>
                <w:bCs/>
                <w:spacing w:val="7"/>
                <w:sz w:val="20"/>
                <w:szCs w:val="20"/>
              </w:rPr>
              <w:t>污染物排放监控位置</w:t>
            </w:r>
          </w:p>
        </w:tc>
      </w:tr>
      <w:tr w14:paraId="211A28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2367" w:type="dxa"/>
            <w:tcBorders>
              <w:left w:val="nil"/>
            </w:tcBorders>
            <w:vAlign w:val="top"/>
          </w:tcPr>
          <w:p w14:paraId="4B92D4E0">
            <w:pPr>
              <w:pStyle w:val="6"/>
              <w:spacing w:before="37" w:line="205" w:lineRule="auto"/>
              <w:ind w:left="873"/>
              <w:rPr>
                <w:sz w:val="20"/>
                <w:szCs w:val="20"/>
              </w:rPr>
            </w:pPr>
            <w:r>
              <w:rPr>
                <w:spacing w:val="7"/>
                <w:sz w:val="20"/>
                <w:szCs w:val="20"/>
              </w:rPr>
              <w:t>颗粒物</w:t>
            </w:r>
          </w:p>
        </w:tc>
        <w:tc>
          <w:tcPr>
            <w:tcW w:w="2014" w:type="dxa"/>
            <w:vAlign w:val="top"/>
          </w:tcPr>
          <w:p w14:paraId="7B9A3E50">
            <w:pPr>
              <w:pStyle w:val="6"/>
              <w:spacing w:before="37" w:line="205" w:lineRule="auto"/>
              <w:ind w:left="593"/>
              <w:rPr>
                <w:sz w:val="20"/>
                <w:szCs w:val="20"/>
              </w:rPr>
            </w:pPr>
            <w:r>
              <w:rPr>
                <w:spacing w:val="7"/>
                <w:sz w:val="20"/>
                <w:szCs w:val="20"/>
              </w:rPr>
              <w:t>其他设施</w:t>
            </w:r>
          </w:p>
        </w:tc>
        <w:tc>
          <w:tcPr>
            <w:tcW w:w="2192" w:type="dxa"/>
            <w:vAlign w:val="top"/>
          </w:tcPr>
          <w:p w14:paraId="550BD793">
            <w:pPr>
              <w:spacing w:before="76" w:line="192" w:lineRule="auto"/>
              <w:ind w:left="99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20</w:t>
            </w:r>
          </w:p>
        </w:tc>
        <w:tc>
          <w:tcPr>
            <w:tcW w:w="2494" w:type="dxa"/>
            <w:tcBorders>
              <w:right w:val="nil"/>
            </w:tcBorders>
            <w:vAlign w:val="top"/>
          </w:tcPr>
          <w:p w14:paraId="6D949F44">
            <w:pPr>
              <w:pStyle w:val="6"/>
              <w:spacing w:before="37" w:line="205" w:lineRule="auto"/>
              <w:ind w:left="204"/>
              <w:rPr>
                <w:sz w:val="20"/>
                <w:szCs w:val="20"/>
              </w:rPr>
            </w:pPr>
            <w:r>
              <w:rPr>
                <w:spacing w:val="8"/>
                <w:sz w:val="20"/>
                <w:szCs w:val="20"/>
              </w:rPr>
              <w:t>车间或生产设施排气筒</w:t>
            </w:r>
          </w:p>
        </w:tc>
      </w:tr>
      <w:tr w14:paraId="0C93E5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2367" w:type="dxa"/>
            <w:tcBorders>
              <w:left w:val="nil"/>
              <w:bottom w:val="single" w:color="000000" w:sz="10" w:space="0"/>
            </w:tcBorders>
            <w:vAlign w:val="top"/>
          </w:tcPr>
          <w:p w14:paraId="399339CF">
            <w:pPr>
              <w:pStyle w:val="6"/>
              <w:spacing w:before="45" w:line="221" w:lineRule="auto"/>
              <w:ind w:left="873"/>
              <w:rPr>
                <w:sz w:val="20"/>
                <w:szCs w:val="20"/>
              </w:rPr>
            </w:pPr>
            <w:r>
              <w:rPr>
                <w:spacing w:val="7"/>
                <w:sz w:val="20"/>
                <w:szCs w:val="20"/>
              </w:rPr>
              <w:t>颗粒物</w:t>
            </w:r>
          </w:p>
        </w:tc>
        <w:tc>
          <w:tcPr>
            <w:tcW w:w="2014" w:type="dxa"/>
            <w:tcBorders>
              <w:bottom w:val="single" w:color="000000" w:sz="10" w:space="0"/>
            </w:tcBorders>
            <w:vAlign w:val="top"/>
          </w:tcPr>
          <w:p w14:paraId="2B390106">
            <w:pPr>
              <w:spacing w:before="80" w:line="199" w:lineRule="auto"/>
              <w:ind w:left="9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192" w:type="dxa"/>
            <w:tcBorders>
              <w:bottom w:val="single" w:color="000000" w:sz="10" w:space="0"/>
            </w:tcBorders>
            <w:vAlign w:val="top"/>
          </w:tcPr>
          <w:p w14:paraId="1772149D">
            <w:pPr>
              <w:spacing w:before="83" w:line="195" w:lineRule="auto"/>
              <w:ind w:left="98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c>
          <w:tcPr>
            <w:tcW w:w="2494" w:type="dxa"/>
            <w:tcBorders>
              <w:bottom w:val="single" w:color="000000" w:sz="10" w:space="0"/>
              <w:right w:val="nil"/>
            </w:tcBorders>
            <w:vAlign w:val="top"/>
          </w:tcPr>
          <w:p w14:paraId="51D8F5DA">
            <w:pPr>
              <w:pStyle w:val="6"/>
              <w:spacing w:before="45" w:line="221" w:lineRule="auto"/>
              <w:ind w:left="102"/>
              <w:rPr>
                <w:sz w:val="20"/>
                <w:szCs w:val="20"/>
              </w:rPr>
            </w:pPr>
            <w:r>
              <w:rPr>
                <w:spacing w:val="8"/>
                <w:sz w:val="20"/>
                <w:szCs w:val="20"/>
              </w:rPr>
              <w:t>企业大气污染物浓度限值</w:t>
            </w:r>
          </w:p>
        </w:tc>
      </w:tr>
    </w:tbl>
    <w:p w14:paraId="700DA253">
      <w:pPr>
        <w:spacing w:before="32" w:line="228" w:lineRule="auto"/>
        <w:ind w:left="3087"/>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7"/>
          <w:sz w:val="20"/>
          <w:szCs w:val="20"/>
        </w:rPr>
        <w:t xml:space="preserve"> </w:t>
      </w:r>
      <w:r>
        <w:rPr>
          <w:rFonts w:ascii="Times New Roman" w:hAnsi="Times New Roman" w:eastAsia="Times New Roman" w:cs="Times New Roman"/>
          <w:b/>
          <w:bCs/>
          <w:spacing w:val="4"/>
          <w:sz w:val="20"/>
          <w:szCs w:val="20"/>
        </w:rPr>
        <w:t xml:space="preserve">1.5-12        </w:t>
      </w:r>
      <w:r>
        <w:rPr>
          <w:rFonts w:ascii="宋体" w:hAnsi="宋体" w:eastAsia="宋体" w:cs="宋体"/>
          <w:b/>
          <w:bCs/>
          <w:spacing w:val="4"/>
          <w:sz w:val="20"/>
          <w:szCs w:val="20"/>
        </w:rPr>
        <w:t>餐厅油烟排放标准</w:t>
      </w:r>
    </w:p>
    <w:p w14:paraId="6F6042DB">
      <w:pPr>
        <w:spacing w:line="130"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156"/>
        <w:gridCol w:w="2172"/>
        <w:gridCol w:w="1971"/>
        <w:gridCol w:w="1773"/>
      </w:tblGrid>
      <w:tr w14:paraId="2C3D9B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3156" w:type="dxa"/>
            <w:tcBorders>
              <w:top w:val="single" w:color="000000" w:sz="10" w:space="0"/>
              <w:left w:val="nil"/>
            </w:tcBorders>
            <w:vAlign w:val="top"/>
          </w:tcPr>
          <w:p w14:paraId="533FBDD3">
            <w:pPr>
              <w:pStyle w:val="6"/>
              <w:spacing w:before="36" w:line="207" w:lineRule="auto"/>
              <w:ind w:left="1375"/>
              <w:rPr>
                <w:sz w:val="20"/>
                <w:szCs w:val="20"/>
              </w:rPr>
            </w:pPr>
            <w:r>
              <w:rPr>
                <w:b/>
                <w:bCs/>
                <w:spacing w:val="3"/>
                <w:sz w:val="20"/>
                <w:szCs w:val="20"/>
              </w:rPr>
              <w:t>规模</w:t>
            </w:r>
          </w:p>
        </w:tc>
        <w:tc>
          <w:tcPr>
            <w:tcW w:w="2172" w:type="dxa"/>
            <w:tcBorders>
              <w:top w:val="single" w:color="000000" w:sz="10" w:space="0"/>
            </w:tcBorders>
            <w:vAlign w:val="top"/>
          </w:tcPr>
          <w:p w14:paraId="06DE08B5">
            <w:pPr>
              <w:pStyle w:val="6"/>
              <w:spacing w:before="36" w:line="207" w:lineRule="auto"/>
              <w:ind w:left="886"/>
              <w:rPr>
                <w:sz w:val="20"/>
                <w:szCs w:val="20"/>
              </w:rPr>
            </w:pPr>
            <w:r>
              <w:rPr>
                <w:b/>
                <w:bCs/>
                <w:spacing w:val="1"/>
                <w:sz w:val="20"/>
                <w:szCs w:val="20"/>
              </w:rPr>
              <w:t>小型</w:t>
            </w:r>
          </w:p>
        </w:tc>
        <w:tc>
          <w:tcPr>
            <w:tcW w:w="1971" w:type="dxa"/>
            <w:tcBorders>
              <w:top w:val="single" w:color="000000" w:sz="10" w:space="0"/>
            </w:tcBorders>
            <w:vAlign w:val="top"/>
          </w:tcPr>
          <w:p w14:paraId="2AA4E147">
            <w:pPr>
              <w:pStyle w:val="6"/>
              <w:spacing w:before="36" w:line="207" w:lineRule="auto"/>
              <w:ind w:left="799"/>
              <w:rPr>
                <w:sz w:val="20"/>
                <w:szCs w:val="20"/>
              </w:rPr>
            </w:pPr>
            <w:r>
              <w:rPr>
                <w:b/>
                <w:bCs/>
                <w:spacing w:val="-6"/>
                <w:sz w:val="20"/>
                <w:szCs w:val="20"/>
              </w:rPr>
              <w:t>中型</w:t>
            </w:r>
          </w:p>
        </w:tc>
        <w:tc>
          <w:tcPr>
            <w:tcW w:w="1773" w:type="dxa"/>
            <w:tcBorders>
              <w:top w:val="single" w:color="000000" w:sz="10" w:space="0"/>
              <w:right w:val="nil"/>
            </w:tcBorders>
            <w:vAlign w:val="top"/>
          </w:tcPr>
          <w:p w14:paraId="4FCA110B">
            <w:pPr>
              <w:pStyle w:val="6"/>
              <w:spacing w:before="36" w:line="207" w:lineRule="auto"/>
              <w:ind w:left="685"/>
              <w:rPr>
                <w:sz w:val="20"/>
                <w:szCs w:val="20"/>
              </w:rPr>
            </w:pPr>
            <w:r>
              <w:rPr>
                <w:b/>
                <w:bCs/>
                <w:spacing w:val="2"/>
                <w:sz w:val="20"/>
                <w:szCs w:val="20"/>
              </w:rPr>
              <w:t>大型</w:t>
            </w:r>
          </w:p>
        </w:tc>
      </w:tr>
      <w:tr w14:paraId="400353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4" w:hRule="atLeast"/>
        </w:trPr>
        <w:tc>
          <w:tcPr>
            <w:tcW w:w="3156" w:type="dxa"/>
            <w:tcBorders>
              <w:left w:val="nil"/>
            </w:tcBorders>
            <w:vAlign w:val="top"/>
          </w:tcPr>
          <w:p w14:paraId="40BF3C85">
            <w:pPr>
              <w:pStyle w:val="6"/>
              <w:spacing w:before="37" w:line="200" w:lineRule="auto"/>
              <w:ind w:left="259"/>
              <w:rPr>
                <w:sz w:val="20"/>
                <w:szCs w:val="20"/>
              </w:rPr>
            </w:pPr>
            <w:r>
              <w:rPr>
                <w:spacing w:val="8"/>
                <w:sz w:val="20"/>
                <w:szCs w:val="20"/>
              </w:rPr>
              <w:t>最高允许排放浓度（</w:t>
            </w: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/m</w:t>
            </w:r>
            <w:r>
              <w:rPr>
                <w:rFonts w:ascii="Times New Roman" w:hAnsi="Times New Roman" w:eastAsia="Times New Roman" w:cs="Times New Roman"/>
                <w:spacing w:val="8"/>
                <w:position w:val="6"/>
                <w:sz w:val="13"/>
                <w:szCs w:val="13"/>
              </w:rPr>
              <w:t>3</w:t>
            </w:r>
            <w:r>
              <w:rPr>
                <w:spacing w:val="8"/>
                <w:sz w:val="20"/>
                <w:szCs w:val="20"/>
              </w:rPr>
              <w:t>）</w:t>
            </w:r>
          </w:p>
        </w:tc>
        <w:tc>
          <w:tcPr>
            <w:tcW w:w="5916" w:type="dxa"/>
            <w:gridSpan w:val="3"/>
            <w:tcBorders>
              <w:right w:val="nil"/>
            </w:tcBorders>
            <w:vAlign w:val="top"/>
          </w:tcPr>
          <w:p w14:paraId="03848930">
            <w:pPr>
              <w:spacing w:before="72" w:line="189" w:lineRule="auto"/>
              <w:ind w:left="28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r>
      <w:tr w14:paraId="72DC0C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0" w:hRule="atLeast"/>
        </w:trPr>
        <w:tc>
          <w:tcPr>
            <w:tcW w:w="3156" w:type="dxa"/>
            <w:tcBorders>
              <w:left w:val="nil"/>
              <w:bottom w:val="single" w:color="000000" w:sz="10" w:space="0"/>
            </w:tcBorders>
            <w:vAlign w:val="top"/>
          </w:tcPr>
          <w:p w14:paraId="13197EA9">
            <w:pPr>
              <w:pStyle w:val="6"/>
              <w:spacing w:before="46" w:line="216" w:lineRule="auto"/>
              <w:ind w:left="240"/>
              <w:rPr>
                <w:sz w:val="20"/>
                <w:szCs w:val="20"/>
              </w:rPr>
            </w:pPr>
            <w:r>
              <w:rPr>
                <w:spacing w:val="8"/>
                <w:sz w:val="20"/>
                <w:szCs w:val="20"/>
              </w:rPr>
              <w:t>净化设施最低去除效率（</w:t>
            </w:r>
            <w:r>
              <w:rPr>
                <w:rFonts w:ascii="Times New Roman" w:hAnsi="Times New Roman" w:eastAsia="Times New Roman" w:cs="Times New Roman"/>
                <w:spacing w:val="8"/>
                <w:sz w:val="20"/>
                <w:szCs w:val="20"/>
              </w:rPr>
              <w:t>%</w:t>
            </w:r>
            <w:r>
              <w:rPr>
                <w:spacing w:val="8"/>
                <w:sz w:val="20"/>
                <w:szCs w:val="20"/>
              </w:rPr>
              <w:t>）</w:t>
            </w:r>
          </w:p>
        </w:tc>
        <w:tc>
          <w:tcPr>
            <w:tcW w:w="2172" w:type="dxa"/>
            <w:tcBorders>
              <w:bottom w:val="single" w:color="000000" w:sz="10" w:space="0"/>
            </w:tcBorders>
            <w:vAlign w:val="top"/>
          </w:tcPr>
          <w:p w14:paraId="5E5C97BF">
            <w:pPr>
              <w:spacing w:before="82" w:line="195" w:lineRule="auto"/>
              <w:ind w:left="989"/>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971" w:type="dxa"/>
            <w:tcBorders>
              <w:bottom w:val="single" w:color="000000" w:sz="10" w:space="0"/>
            </w:tcBorders>
            <w:vAlign w:val="top"/>
          </w:tcPr>
          <w:p w14:paraId="56E224E7">
            <w:pPr>
              <w:spacing w:before="85" w:line="192" w:lineRule="auto"/>
              <w:ind w:left="8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75</w:t>
            </w:r>
          </w:p>
        </w:tc>
        <w:tc>
          <w:tcPr>
            <w:tcW w:w="1773" w:type="dxa"/>
            <w:tcBorders>
              <w:bottom w:val="single" w:color="000000" w:sz="10" w:space="0"/>
              <w:right w:val="nil"/>
            </w:tcBorders>
            <w:vAlign w:val="top"/>
          </w:tcPr>
          <w:p w14:paraId="47256D79">
            <w:pPr>
              <w:spacing w:before="82" w:line="195" w:lineRule="auto"/>
              <w:ind w:left="7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w:t>
            </w:r>
          </w:p>
        </w:tc>
      </w:tr>
    </w:tbl>
    <w:p w14:paraId="25F841F1">
      <w:pPr>
        <w:spacing w:before="38" w:line="219" w:lineRule="auto"/>
        <w:ind w:left="484"/>
        <w:rPr>
          <w:rFonts w:ascii="宋体" w:hAnsi="宋体" w:eastAsia="宋体" w:cs="宋体"/>
          <w:sz w:val="24"/>
          <w:szCs w:val="24"/>
        </w:rPr>
      </w:pPr>
      <w:r>
        <w:rPr>
          <w:rFonts w:ascii="Times New Roman" w:hAnsi="Times New Roman" w:eastAsia="Times New Roman" w:cs="Times New Roman"/>
          <w:b/>
          <w:bCs/>
          <w:spacing w:val="-10"/>
          <w:sz w:val="24"/>
          <w:szCs w:val="24"/>
        </w:rPr>
        <w:t>2</w:t>
      </w:r>
      <w:r>
        <w:rPr>
          <w:rFonts w:ascii="Times New Roman" w:hAnsi="Times New Roman" w:eastAsia="Times New Roman" w:cs="Times New Roman"/>
          <w:b/>
          <w:bCs/>
          <w:spacing w:val="-32"/>
          <w:sz w:val="24"/>
          <w:szCs w:val="24"/>
        </w:rPr>
        <w:t xml:space="preserve"> </w:t>
      </w:r>
      <w:r>
        <w:rPr>
          <w:rFonts w:ascii="宋体" w:hAnsi="宋体" w:eastAsia="宋体" w:cs="宋体"/>
          <w:b/>
          <w:bCs/>
          <w:spacing w:val="-10"/>
          <w:sz w:val="24"/>
          <w:szCs w:val="24"/>
        </w:rPr>
        <w:t>、废水</w:t>
      </w:r>
    </w:p>
    <w:p w14:paraId="6AED533E">
      <w:pPr>
        <w:spacing w:before="179" w:line="353" w:lineRule="auto"/>
        <w:ind w:left="9" w:firstLine="480"/>
        <w:jc w:val="both"/>
        <w:rPr>
          <w:rFonts w:ascii="宋体" w:hAnsi="宋体" w:eastAsia="宋体" w:cs="宋体"/>
          <w:sz w:val="24"/>
          <w:szCs w:val="24"/>
        </w:rPr>
      </w:pPr>
      <w:r>
        <w:rPr>
          <w:rFonts w:ascii="宋体" w:hAnsi="宋体" w:eastAsia="宋体" w:cs="宋体"/>
          <w:spacing w:val="-2"/>
          <w:sz w:val="24"/>
          <w:szCs w:val="24"/>
        </w:rPr>
        <w:t>本项目生活污水、化验室废水经地埋式一体化污水处理设施处理后，由罐车运至苏</w:t>
      </w:r>
      <w:r>
        <w:rPr>
          <w:rFonts w:ascii="宋体" w:hAnsi="宋体" w:eastAsia="宋体" w:cs="宋体"/>
          <w:spacing w:val="15"/>
          <w:sz w:val="24"/>
          <w:szCs w:val="24"/>
        </w:rPr>
        <w:t xml:space="preserve"> </w:t>
      </w:r>
      <w:r>
        <w:rPr>
          <w:rFonts w:ascii="宋体" w:hAnsi="宋体" w:eastAsia="宋体" w:cs="宋体"/>
          <w:spacing w:val="-1"/>
          <w:sz w:val="24"/>
          <w:szCs w:val="24"/>
        </w:rPr>
        <w:t>尼特右旗赛汉塔拉镇污水处理厂进一步处理</w:t>
      </w:r>
      <w:r>
        <w:rPr>
          <w:rFonts w:ascii="宋体" w:hAnsi="宋体" w:eastAsia="宋体" w:cs="宋体"/>
          <w:spacing w:val="-2"/>
          <w:sz w:val="24"/>
          <w:szCs w:val="24"/>
        </w:rPr>
        <w:t>，其他生产废水全部回用，厂区总排污口废</w:t>
      </w:r>
      <w:r>
        <w:rPr>
          <w:rFonts w:ascii="宋体" w:hAnsi="宋体" w:eastAsia="宋体" w:cs="宋体"/>
          <w:sz w:val="24"/>
          <w:szCs w:val="24"/>
        </w:rPr>
        <w:t xml:space="preserve"> </w:t>
      </w:r>
      <w:r>
        <w:rPr>
          <w:rFonts w:ascii="宋体" w:hAnsi="宋体" w:eastAsia="宋体" w:cs="宋体"/>
          <w:spacing w:val="-3"/>
          <w:sz w:val="24"/>
          <w:szCs w:val="24"/>
        </w:rPr>
        <w:t>水执行《铁合金工业污染物排放标准》（</w:t>
      </w:r>
      <w:r>
        <w:rPr>
          <w:rFonts w:ascii="Times New Roman" w:hAnsi="Times New Roman" w:eastAsia="Times New Roman" w:cs="Times New Roman"/>
          <w:spacing w:val="-3"/>
          <w:sz w:val="24"/>
          <w:szCs w:val="24"/>
        </w:rPr>
        <w:t>GB28666-20</w:t>
      </w:r>
      <w:r>
        <w:rPr>
          <w:rFonts w:ascii="Times New Roman" w:hAnsi="Times New Roman" w:eastAsia="Times New Roman" w:cs="Times New Roman"/>
          <w:spacing w:val="-4"/>
          <w:sz w:val="24"/>
          <w:szCs w:val="24"/>
        </w:rPr>
        <w:t>12</w:t>
      </w:r>
      <w:r>
        <w:rPr>
          <w:rFonts w:ascii="宋体" w:hAnsi="宋体" w:eastAsia="宋体" w:cs="宋体"/>
          <w:spacing w:val="-4"/>
          <w:sz w:val="24"/>
          <w:szCs w:val="24"/>
        </w:rPr>
        <w:t>）表</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2</w:t>
      </w:r>
      <w:r>
        <w:rPr>
          <w:rFonts w:ascii="Times New Roman" w:hAnsi="Times New Roman" w:eastAsia="Times New Roman" w:cs="Times New Roman"/>
          <w:spacing w:val="32"/>
          <w:w w:val="101"/>
          <w:sz w:val="24"/>
          <w:szCs w:val="24"/>
        </w:rPr>
        <w:t xml:space="preserve"> </w:t>
      </w:r>
      <w:r>
        <w:rPr>
          <w:rFonts w:ascii="宋体" w:hAnsi="宋体" w:eastAsia="宋体" w:cs="宋体"/>
          <w:spacing w:val="-4"/>
          <w:sz w:val="24"/>
          <w:szCs w:val="24"/>
        </w:rPr>
        <w:t>中间接排放标准，标准值</w:t>
      </w:r>
      <w:r>
        <w:rPr>
          <w:rFonts w:ascii="宋体" w:hAnsi="宋体" w:eastAsia="宋体" w:cs="宋体"/>
          <w:sz w:val="24"/>
          <w:szCs w:val="24"/>
        </w:rPr>
        <w:t xml:space="preserve"> </w:t>
      </w:r>
      <w:r>
        <w:rPr>
          <w:rFonts w:ascii="宋体" w:hAnsi="宋体" w:eastAsia="宋体" w:cs="宋体"/>
          <w:spacing w:val="-5"/>
          <w:sz w:val="24"/>
          <w:szCs w:val="24"/>
        </w:rPr>
        <w:t>见表</w:t>
      </w:r>
      <w:r>
        <w:rPr>
          <w:rFonts w:ascii="宋体" w:hAnsi="宋体" w:eastAsia="宋体" w:cs="宋体"/>
          <w:spacing w:val="-28"/>
          <w:sz w:val="24"/>
          <w:szCs w:val="24"/>
        </w:rPr>
        <w:t xml:space="preserve"> </w:t>
      </w:r>
      <w:r>
        <w:rPr>
          <w:rFonts w:ascii="Times New Roman" w:hAnsi="Times New Roman" w:eastAsia="Times New Roman" w:cs="Times New Roman"/>
          <w:spacing w:val="-5"/>
          <w:sz w:val="24"/>
          <w:szCs w:val="24"/>
        </w:rPr>
        <w:t>1.5-14</w:t>
      </w:r>
      <w:r>
        <w:rPr>
          <w:rFonts w:ascii="宋体" w:hAnsi="宋体" w:eastAsia="宋体" w:cs="宋体"/>
          <w:spacing w:val="-5"/>
          <w:sz w:val="24"/>
          <w:szCs w:val="24"/>
        </w:rPr>
        <w:t>。</w:t>
      </w:r>
    </w:p>
    <w:p w14:paraId="680CD8C4">
      <w:pPr>
        <w:spacing w:before="29" w:line="221" w:lineRule="auto"/>
        <w:ind w:left="2111"/>
        <w:rPr>
          <w:rFonts w:ascii="Times New Roman" w:hAnsi="Times New Roman" w:eastAsia="Times New Roman" w:cs="Times New Roman"/>
          <w:sz w:val="20"/>
          <w:szCs w:val="20"/>
        </w:rPr>
      </w:pPr>
      <w:r>
        <w:rPr>
          <w:rFonts w:ascii="宋体" w:hAnsi="宋体" w:eastAsia="宋体" w:cs="宋体"/>
          <w:b/>
          <w:bCs/>
          <w:spacing w:val="5"/>
          <w:sz w:val="20"/>
          <w:szCs w:val="20"/>
        </w:rPr>
        <w:t>表</w:t>
      </w:r>
      <w:r>
        <w:rPr>
          <w:rFonts w:ascii="宋体" w:hAnsi="宋体" w:eastAsia="宋体" w:cs="宋体"/>
          <w:spacing w:val="-18"/>
          <w:sz w:val="20"/>
          <w:szCs w:val="20"/>
        </w:rPr>
        <w:t xml:space="preserve"> </w:t>
      </w:r>
      <w:r>
        <w:rPr>
          <w:rFonts w:ascii="Times New Roman" w:hAnsi="Times New Roman" w:eastAsia="Times New Roman" w:cs="Times New Roman"/>
          <w:b/>
          <w:bCs/>
          <w:spacing w:val="5"/>
          <w:sz w:val="20"/>
          <w:szCs w:val="20"/>
        </w:rPr>
        <w:t xml:space="preserve">1.5-14        </w:t>
      </w:r>
      <w:r>
        <w:rPr>
          <w:rFonts w:ascii="宋体" w:hAnsi="宋体" w:eastAsia="宋体" w:cs="宋体"/>
          <w:b/>
          <w:bCs/>
          <w:spacing w:val="5"/>
          <w:sz w:val="20"/>
          <w:szCs w:val="20"/>
        </w:rPr>
        <w:t>水污染物排放浓度限值</w:t>
      </w:r>
      <w:r>
        <w:rPr>
          <w:rFonts w:ascii="宋体" w:hAnsi="宋体" w:eastAsia="宋体" w:cs="宋体"/>
          <w:spacing w:val="5"/>
          <w:sz w:val="20"/>
          <w:szCs w:val="20"/>
        </w:rPr>
        <w:t xml:space="preserve">    </w:t>
      </w:r>
      <w:r>
        <w:rPr>
          <w:rFonts w:ascii="宋体" w:hAnsi="宋体" w:eastAsia="宋体" w:cs="宋体"/>
          <w:b/>
          <w:bCs/>
          <w:spacing w:val="5"/>
          <w:sz w:val="20"/>
          <w:szCs w:val="20"/>
        </w:rPr>
        <w:t>单位：</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5"/>
          <w:sz w:val="20"/>
          <w:szCs w:val="20"/>
        </w:rPr>
        <w:t>/L</w:t>
      </w:r>
    </w:p>
    <w:p w14:paraId="03DA46AD">
      <w:pPr>
        <w:spacing w:line="139" w:lineRule="exact"/>
      </w:pPr>
    </w:p>
    <w:tbl>
      <w:tblPr>
        <w:tblStyle w:val="5"/>
        <w:tblW w:w="907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7"/>
        <w:gridCol w:w="2272"/>
        <w:gridCol w:w="1664"/>
        <w:gridCol w:w="3780"/>
      </w:tblGrid>
      <w:tr w14:paraId="7FF1FB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1357" w:type="dxa"/>
            <w:tcBorders>
              <w:top w:val="single" w:color="000000" w:sz="10" w:space="0"/>
              <w:left w:val="nil"/>
            </w:tcBorders>
            <w:vAlign w:val="top"/>
          </w:tcPr>
          <w:p w14:paraId="7FDB0152">
            <w:pPr>
              <w:pStyle w:val="6"/>
              <w:spacing w:before="36" w:line="215" w:lineRule="auto"/>
              <w:ind w:left="474"/>
              <w:rPr>
                <w:sz w:val="20"/>
                <w:szCs w:val="20"/>
              </w:rPr>
            </w:pPr>
            <w:r>
              <w:rPr>
                <w:spacing w:val="5"/>
                <w:sz w:val="20"/>
                <w:szCs w:val="20"/>
              </w:rPr>
              <w:t>序号</w:t>
            </w:r>
          </w:p>
        </w:tc>
        <w:tc>
          <w:tcPr>
            <w:tcW w:w="2272" w:type="dxa"/>
            <w:tcBorders>
              <w:top w:val="single" w:color="000000" w:sz="10" w:space="0"/>
            </w:tcBorders>
            <w:vAlign w:val="top"/>
          </w:tcPr>
          <w:p w14:paraId="792C949D">
            <w:pPr>
              <w:pStyle w:val="6"/>
              <w:spacing w:before="36" w:line="215" w:lineRule="auto"/>
              <w:ind w:left="617"/>
              <w:rPr>
                <w:sz w:val="20"/>
                <w:szCs w:val="20"/>
              </w:rPr>
            </w:pPr>
            <w:r>
              <w:rPr>
                <w:spacing w:val="7"/>
                <w:sz w:val="20"/>
                <w:szCs w:val="20"/>
              </w:rPr>
              <w:t>污染物项目</w:t>
            </w:r>
          </w:p>
        </w:tc>
        <w:tc>
          <w:tcPr>
            <w:tcW w:w="1664" w:type="dxa"/>
            <w:tcBorders>
              <w:top w:val="single" w:color="000000" w:sz="10" w:space="0"/>
            </w:tcBorders>
            <w:vAlign w:val="top"/>
          </w:tcPr>
          <w:p w14:paraId="5D7987B1">
            <w:pPr>
              <w:pStyle w:val="6"/>
              <w:spacing w:before="36" w:line="215" w:lineRule="auto"/>
              <w:ind w:left="224"/>
              <w:rPr>
                <w:sz w:val="20"/>
                <w:szCs w:val="20"/>
              </w:rPr>
            </w:pPr>
            <w:r>
              <w:rPr>
                <w:spacing w:val="5"/>
                <w:sz w:val="20"/>
                <w:szCs w:val="20"/>
              </w:rPr>
              <w:t>间接排放限值</w:t>
            </w:r>
          </w:p>
        </w:tc>
        <w:tc>
          <w:tcPr>
            <w:tcW w:w="3780" w:type="dxa"/>
            <w:tcBorders>
              <w:top w:val="single" w:color="000000" w:sz="10" w:space="0"/>
              <w:right w:val="nil"/>
            </w:tcBorders>
            <w:vAlign w:val="top"/>
          </w:tcPr>
          <w:p w14:paraId="21F3625F">
            <w:pPr>
              <w:pStyle w:val="6"/>
              <w:spacing w:before="36" w:line="215" w:lineRule="auto"/>
              <w:ind w:left="953"/>
              <w:rPr>
                <w:sz w:val="20"/>
                <w:szCs w:val="20"/>
              </w:rPr>
            </w:pPr>
            <w:r>
              <w:rPr>
                <w:spacing w:val="8"/>
                <w:sz w:val="20"/>
                <w:szCs w:val="20"/>
              </w:rPr>
              <w:t>污染物排放监控位置</w:t>
            </w:r>
          </w:p>
        </w:tc>
      </w:tr>
      <w:tr w14:paraId="4148BB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1357" w:type="dxa"/>
            <w:tcBorders>
              <w:left w:val="nil"/>
            </w:tcBorders>
            <w:vAlign w:val="top"/>
          </w:tcPr>
          <w:p w14:paraId="1BBA1694">
            <w:pPr>
              <w:spacing w:before="66" w:line="195" w:lineRule="auto"/>
              <w:ind w:left="649"/>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272" w:type="dxa"/>
            <w:vAlign w:val="top"/>
          </w:tcPr>
          <w:p w14:paraId="7DC51987">
            <w:pPr>
              <w:pStyle w:val="6"/>
              <w:spacing w:before="30" w:line="212" w:lineRule="auto"/>
              <w:ind w:left="347"/>
              <w:rPr>
                <w:sz w:val="20"/>
                <w:szCs w:val="20"/>
              </w:rPr>
            </w:pPr>
            <w:r>
              <w:rPr>
                <w:rFonts w:ascii="Times New Roman" w:hAnsi="Times New Roman" w:eastAsia="Times New Roman" w:cs="Times New Roman"/>
                <w:sz w:val="20"/>
                <w:szCs w:val="20"/>
              </w:rPr>
              <w:t>pH</w:t>
            </w:r>
            <w:r>
              <w:rPr>
                <w:rFonts w:ascii="Times New Roman" w:hAnsi="Times New Roman" w:eastAsia="Times New Roman" w:cs="Times New Roman"/>
                <w:spacing w:val="9"/>
                <w:sz w:val="20"/>
                <w:szCs w:val="20"/>
              </w:rPr>
              <w:t xml:space="preserve"> </w:t>
            </w:r>
            <w:r>
              <w:rPr>
                <w:spacing w:val="9"/>
                <w:sz w:val="20"/>
                <w:szCs w:val="20"/>
              </w:rPr>
              <w:t>值（无量纲）</w:t>
            </w:r>
          </w:p>
        </w:tc>
        <w:tc>
          <w:tcPr>
            <w:tcW w:w="1664" w:type="dxa"/>
            <w:vAlign w:val="top"/>
          </w:tcPr>
          <w:p w14:paraId="09EF3870">
            <w:pPr>
              <w:spacing w:before="66" w:line="195" w:lineRule="auto"/>
              <w:ind w:left="67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6~9</w:t>
            </w:r>
          </w:p>
        </w:tc>
        <w:tc>
          <w:tcPr>
            <w:tcW w:w="3780" w:type="dxa"/>
            <w:vMerge w:val="restart"/>
            <w:tcBorders>
              <w:bottom w:val="nil"/>
              <w:right w:val="nil"/>
            </w:tcBorders>
            <w:vAlign w:val="top"/>
          </w:tcPr>
          <w:p w14:paraId="0F653D97">
            <w:pPr>
              <w:spacing w:line="293" w:lineRule="auto"/>
              <w:rPr>
                <w:rFonts w:ascii="Arial"/>
                <w:sz w:val="21"/>
              </w:rPr>
            </w:pPr>
          </w:p>
          <w:p w14:paraId="58BBD78C">
            <w:pPr>
              <w:spacing w:line="293" w:lineRule="auto"/>
              <w:rPr>
                <w:rFonts w:ascii="Arial"/>
                <w:sz w:val="21"/>
              </w:rPr>
            </w:pPr>
          </w:p>
          <w:p w14:paraId="40670FF9">
            <w:pPr>
              <w:spacing w:line="293" w:lineRule="auto"/>
              <w:rPr>
                <w:rFonts w:ascii="Arial"/>
                <w:sz w:val="21"/>
              </w:rPr>
            </w:pPr>
          </w:p>
          <w:p w14:paraId="69BA0AFB">
            <w:pPr>
              <w:spacing w:line="293" w:lineRule="auto"/>
              <w:rPr>
                <w:rFonts w:ascii="Arial"/>
                <w:sz w:val="21"/>
              </w:rPr>
            </w:pPr>
          </w:p>
          <w:p w14:paraId="56B23CD7">
            <w:pPr>
              <w:pStyle w:val="6"/>
              <w:spacing w:before="65" w:line="228" w:lineRule="auto"/>
              <w:ind w:left="1060"/>
              <w:rPr>
                <w:sz w:val="20"/>
                <w:szCs w:val="20"/>
              </w:rPr>
            </w:pPr>
            <w:r>
              <w:rPr>
                <w:spacing w:val="8"/>
                <w:sz w:val="20"/>
                <w:szCs w:val="20"/>
              </w:rPr>
              <w:t>企业废水总排放口</w:t>
            </w:r>
          </w:p>
        </w:tc>
      </w:tr>
      <w:tr w14:paraId="7AD9AE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1357" w:type="dxa"/>
            <w:tcBorders>
              <w:left w:val="nil"/>
            </w:tcBorders>
            <w:vAlign w:val="top"/>
          </w:tcPr>
          <w:p w14:paraId="363BAC45">
            <w:pPr>
              <w:spacing w:before="67" w:line="195" w:lineRule="auto"/>
              <w:ind w:left="629"/>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272" w:type="dxa"/>
            <w:vAlign w:val="top"/>
          </w:tcPr>
          <w:p w14:paraId="5C0B6558">
            <w:pPr>
              <w:pStyle w:val="6"/>
              <w:spacing w:before="31" w:line="211" w:lineRule="auto"/>
              <w:ind w:left="829"/>
              <w:rPr>
                <w:sz w:val="20"/>
                <w:szCs w:val="20"/>
              </w:rPr>
            </w:pPr>
            <w:r>
              <w:rPr>
                <w:spacing w:val="6"/>
                <w:sz w:val="20"/>
                <w:szCs w:val="20"/>
              </w:rPr>
              <w:t>悬浮物</w:t>
            </w:r>
          </w:p>
        </w:tc>
        <w:tc>
          <w:tcPr>
            <w:tcW w:w="1664" w:type="dxa"/>
            <w:vAlign w:val="top"/>
          </w:tcPr>
          <w:p w14:paraId="51FA314C">
            <w:pPr>
              <w:spacing w:before="67" w:line="195" w:lineRule="auto"/>
              <w:ind w:left="6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3780" w:type="dxa"/>
            <w:vMerge w:val="continue"/>
            <w:tcBorders>
              <w:top w:val="nil"/>
              <w:bottom w:val="nil"/>
              <w:right w:val="nil"/>
            </w:tcBorders>
            <w:vAlign w:val="top"/>
          </w:tcPr>
          <w:p w14:paraId="4CA9B64C">
            <w:pPr>
              <w:rPr>
                <w:rFonts w:ascii="Arial"/>
                <w:sz w:val="21"/>
              </w:rPr>
            </w:pPr>
          </w:p>
        </w:tc>
      </w:tr>
      <w:tr w14:paraId="55FA82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 w:hRule="atLeast"/>
        </w:trPr>
        <w:tc>
          <w:tcPr>
            <w:tcW w:w="1357" w:type="dxa"/>
            <w:tcBorders>
              <w:left w:val="nil"/>
            </w:tcBorders>
            <w:vAlign w:val="top"/>
          </w:tcPr>
          <w:p w14:paraId="314B4BD0">
            <w:pPr>
              <w:spacing w:before="56" w:line="181" w:lineRule="auto"/>
              <w:ind w:left="633"/>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272" w:type="dxa"/>
            <w:vAlign w:val="top"/>
          </w:tcPr>
          <w:p w14:paraId="6D3E0783">
            <w:pPr>
              <w:spacing w:before="56" w:line="181" w:lineRule="auto"/>
              <w:ind w:left="850"/>
              <w:rPr>
                <w:rFonts w:ascii="Times New Roman" w:hAnsi="Times New Roman" w:eastAsia="Times New Roman" w:cs="Times New Roman"/>
                <w:sz w:val="13"/>
                <w:szCs w:val="13"/>
              </w:rPr>
            </w:pPr>
            <w:r>
              <w:rPr>
                <w:rFonts w:ascii="Times New Roman" w:hAnsi="Times New Roman" w:eastAsia="Times New Roman" w:cs="Times New Roman"/>
                <w:spacing w:val="4"/>
                <w:sz w:val="20"/>
                <w:szCs w:val="20"/>
              </w:rPr>
              <w:t>COD</w:t>
            </w:r>
            <w:r>
              <w:rPr>
                <w:rFonts w:ascii="Times New Roman" w:hAnsi="Times New Roman" w:eastAsia="Times New Roman" w:cs="Times New Roman"/>
                <w:spacing w:val="4"/>
                <w:position w:val="-1"/>
                <w:sz w:val="13"/>
                <w:szCs w:val="13"/>
              </w:rPr>
              <w:t>Cr</w:t>
            </w:r>
          </w:p>
        </w:tc>
        <w:tc>
          <w:tcPr>
            <w:tcW w:w="1664" w:type="dxa"/>
            <w:vAlign w:val="top"/>
          </w:tcPr>
          <w:p w14:paraId="7C9FF0D5">
            <w:pPr>
              <w:spacing w:before="56" w:line="181" w:lineRule="auto"/>
              <w:ind w:left="6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3780" w:type="dxa"/>
            <w:vMerge w:val="continue"/>
            <w:tcBorders>
              <w:top w:val="nil"/>
              <w:bottom w:val="nil"/>
              <w:right w:val="nil"/>
            </w:tcBorders>
            <w:vAlign w:val="top"/>
          </w:tcPr>
          <w:p w14:paraId="6D7CDB3E">
            <w:pPr>
              <w:rPr>
                <w:rFonts w:ascii="Arial"/>
                <w:sz w:val="21"/>
              </w:rPr>
            </w:pPr>
          </w:p>
        </w:tc>
      </w:tr>
      <w:tr w14:paraId="71A32E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 w:hRule="atLeast"/>
        </w:trPr>
        <w:tc>
          <w:tcPr>
            <w:tcW w:w="1357" w:type="dxa"/>
            <w:tcBorders>
              <w:left w:val="nil"/>
            </w:tcBorders>
            <w:vAlign w:val="top"/>
          </w:tcPr>
          <w:p w14:paraId="41B1B34B">
            <w:pPr>
              <w:spacing w:before="56" w:line="181" w:lineRule="auto"/>
              <w:ind w:left="62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272" w:type="dxa"/>
            <w:vAlign w:val="top"/>
          </w:tcPr>
          <w:p w14:paraId="40150BE3">
            <w:pPr>
              <w:spacing w:before="59" w:line="178" w:lineRule="auto"/>
              <w:ind w:left="832"/>
              <w:rPr>
                <w:rFonts w:ascii="Times New Roman" w:hAnsi="Times New Roman" w:eastAsia="Times New Roman" w:cs="Times New Roman"/>
                <w:sz w:val="20"/>
                <w:szCs w:val="20"/>
              </w:rPr>
            </w:pPr>
            <w:r>
              <w:rPr>
                <w:rFonts w:ascii="Times New Roman" w:hAnsi="Times New Roman" w:eastAsia="Times New Roman" w:cs="Times New Roman"/>
                <w:sz w:val="20"/>
                <w:szCs w:val="20"/>
              </w:rPr>
              <w:t>NH</w:t>
            </w:r>
            <w:r>
              <w:rPr>
                <w:rFonts w:ascii="Times New Roman" w:hAnsi="Times New Roman" w:eastAsia="Times New Roman" w:cs="Times New Roman"/>
                <w:spacing w:val="10"/>
                <w:sz w:val="13"/>
                <w:szCs w:val="13"/>
              </w:rPr>
              <w:t>3</w:t>
            </w:r>
            <w:r>
              <w:rPr>
                <w:rFonts w:ascii="Times New Roman" w:hAnsi="Times New Roman" w:eastAsia="Times New Roman" w:cs="Times New Roman"/>
                <w:spacing w:val="10"/>
                <w:sz w:val="20"/>
                <w:szCs w:val="20"/>
              </w:rPr>
              <w:t>-N</w:t>
            </w:r>
          </w:p>
        </w:tc>
        <w:tc>
          <w:tcPr>
            <w:tcW w:w="1664" w:type="dxa"/>
            <w:vAlign w:val="top"/>
          </w:tcPr>
          <w:p w14:paraId="6E917EFE">
            <w:pPr>
              <w:spacing w:before="56" w:line="181" w:lineRule="auto"/>
              <w:ind w:left="74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3780" w:type="dxa"/>
            <w:vMerge w:val="continue"/>
            <w:tcBorders>
              <w:top w:val="nil"/>
              <w:bottom w:val="nil"/>
              <w:right w:val="nil"/>
            </w:tcBorders>
            <w:vAlign w:val="top"/>
          </w:tcPr>
          <w:p w14:paraId="07A17C60">
            <w:pPr>
              <w:rPr>
                <w:rFonts w:ascii="Arial"/>
                <w:sz w:val="21"/>
              </w:rPr>
            </w:pPr>
          </w:p>
        </w:tc>
      </w:tr>
      <w:tr w14:paraId="4FA91B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1357" w:type="dxa"/>
            <w:tcBorders>
              <w:left w:val="nil"/>
            </w:tcBorders>
            <w:vAlign w:val="top"/>
          </w:tcPr>
          <w:p w14:paraId="06F58226">
            <w:pPr>
              <w:spacing w:before="75" w:line="192" w:lineRule="auto"/>
              <w:ind w:left="635"/>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272" w:type="dxa"/>
            <w:vAlign w:val="top"/>
          </w:tcPr>
          <w:p w14:paraId="5C439F25">
            <w:pPr>
              <w:pStyle w:val="6"/>
              <w:spacing w:before="36" w:line="206" w:lineRule="auto"/>
              <w:ind w:left="938"/>
              <w:rPr>
                <w:sz w:val="20"/>
                <w:szCs w:val="20"/>
              </w:rPr>
            </w:pPr>
            <w:r>
              <w:rPr>
                <w:spacing w:val="2"/>
                <w:sz w:val="20"/>
                <w:szCs w:val="20"/>
              </w:rPr>
              <w:t>总氮</w:t>
            </w:r>
          </w:p>
        </w:tc>
        <w:tc>
          <w:tcPr>
            <w:tcW w:w="1664" w:type="dxa"/>
            <w:vAlign w:val="top"/>
          </w:tcPr>
          <w:p w14:paraId="6C81228B">
            <w:pPr>
              <w:spacing w:before="72" w:line="195" w:lineRule="auto"/>
              <w:ind w:left="72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3780" w:type="dxa"/>
            <w:vMerge w:val="continue"/>
            <w:tcBorders>
              <w:top w:val="nil"/>
              <w:bottom w:val="nil"/>
              <w:right w:val="nil"/>
            </w:tcBorders>
            <w:vAlign w:val="top"/>
          </w:tcPr>
          <w:p w14:paraId="0FCDA102">
            <w:pPr>
              <w:rPr>
                <w:rFonts w:ascii="Arial"/>
                <w:sz w:val="21"/>
              </w:rPr>
            </w:pPr>
          </w:p>
        </w:tc>
      </w:tr>
      <w:tr w14:paraId="32A02E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1357" w:type="dxa"/>
            <w:tcBorders>
              <w:left w:val="nil"/>
            </w:tcBorders>
            <w:vAlign w:val="top"/>
          </w:tcPr>
          <w:p w14:paraId="368ECE1E">
            <w:pPr>
              <w:spacing w:before="76" w:line="193" w:lineRule="auto"/>
              <w:ind w:left="634"/>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272" w:type="dxa"/>
            <w:vAlign w:val="top"/>
          </w:tcPr>
          <w:p w14:paraId="23962849">
            <w:pPr>
              <w:pStyle w:val="6"/>
              <w:spacing w:before="39" w:line="204" w:lineRule="auto"/>
              <w:ind w:left="938"/>
              <w:rPr>
                <w:sz w:val="20"/>
                <w:szCs w:val="20"/>
              </w:rPr>
            </w:pPr>
            <w:r>
              <w:rPr>
                <w:spacing w:val="2"/>
                <w:sz w:val="20"/>
                <w:szCs w:val="20"/>
              </w:rPr>
              <w:t>总磷</w:t>
            </w:r>
          </w:p>
        </w:tc>
        <w:tc>
          <w:tcPr>
            <w:tcW w:w="1664" w:type="dxa"/>
            <w:vAlign w:val="top"/>
          </w:tcPr>
          <w:p w14:paraId="7A3BE657">
            <w:pPr>
              <w:spacing w:before="76" w:line="193" w:lineRule="auto"/>
              <w:ind w:left="70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3780" w:type="dxa"/>
            <w:vMerge w:val="continue"/>
            <w:tcBorders>
              <w:top w:val="nil"/>
              <w:bottom w:val="nil"/>
              <w:right w:val="nil"/>
            </w:tcBorders>
            <w:vAlign w:val="top"/>
          </w:tcPr>
          <w:p w14:paraId="5FED0CAD">
            <w:pPr>
              <w:rPr>
                <w:rFonts w:ascii="Arial"/>
                <w:sz w:val="21"/>
              </w:rPr>
            </w:pPr>
          </w:p>
        </w:tc>
      </w:tr>
      <w:tr w14:paraId="4FC62A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1357" w:type="dxa"/>
            <w:tcBorders>
              <w:left w:val="nil"/>
            </w:tcBorders>
            <w:vAlign w:val="top"/>
          </w:tcPr>
          <w:p w14:paraId="4D0A428D">
            <w:pPr>
              <w:spacing w:before="78" w:line="189" w:lineRule="auto"/>
              <w:ind w:left="633"/>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272" w:type="dxa"/>
            <w:vAlign w:val="top"/>
          </w:tcPr>
          <w:p w14:paraId="5BDFE0FC">
            <w:pPr>
              <w:pStyle w:val="6"/>
              <w:spacing w:before="40" w:line="203" w:lineRule="auto"/>
              <w:ind w:left="827"/>
              <w:rPr>
                <w:sz w:val="20"/>
                <w:szCs w:val="20"/>
              </w:rPr>
            </w:pPr>
            <w:r>
              <w:rPr>
                <w:spacing w:val="6"/>
                <w:sz w:val="20"/>
                <w:szCs w:val="20"/>
              </w:rPr>
              <w:t>石油类</w:t>
            </w:r>
          </w:p>
        </w:tc>
        <w:tc>
          <w:tcPr>
            <w:tcW w:w="1664" w:type="dxa"/>
            <w:vAlign w:val="top"/>
          </w:tcPr>
          <w:p w14:paraId="2C0015D6">
            <w:pPr>
              <w:spacing w:before="76" w:line="192" w:lineRule="auto"/>
              <w:ind w:left="74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3780" w:type="dxa"/>
            <w:vMerge w:val="continue"/>
            <w:tcBorders>
              <w:top w:val="nil"/>
              <w:bottom w:val="nil"/>
              <w:right w:val="nil"/>
            </w:tcBorders>
            <w:vAlign w:val="top"/>
          </w:tcPr>
          <w:p w14:paraId="0641012C">
            <w:pPr>
              <w:rPr>
                <w:rFonts w:ascii="Arial"/>
                <w:sz w:val="21"/>
              </w:rPr>
            </w:pPr>
          </w:p>
        </w:tc>
      </w:tr>
      <w:tr w14:paraId="00D2C8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1357" w:type="dxa"/>
            <w:tcBorders>
              <w:left w:val="nil"/>
            </w:tcBorders>
            <w:vAlign w:val="top"/>
          </w:tcPr>
          <w:p w14:paraId="32617EAA">
            <w:pPr>
              <w:spacing w:before="79" w:line="189" w:lineRule="auto"/>
              <w:ind w:left="638"/>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272" w:type="dxa"/>
            <w:vAlign w:val="top"/>
          </w:tcPr>
          <w:p w14:paraId="4D53222B">
            <w:pPr>
              <w:pStyle w:val="6"/>
              <w:spacing w:before="43" w:line="201" w:lineRule="auto"/>
              <w:ind w:left="825"/>
              <w:rPr>
                <w:sz w:val="20"/>
                <w:szCs w:val="20"/>
              </w:rPr>
            </w:pPr>
            <w:r>
              <w:rPr>
                <w:spacing w:val="7"/>
                <w:sz w:val="20"/>
                <w:szCs w:val="20"/>
              </w:rPr>
              <w:t>挥发酚</w:t>
            </w:r>
          </w:p>
        </w:tc>
        <w:tc>
          <w:tcPr>
            <w:tcW w:w="1664" w:type="dxa"/>
            <w:vAlign w:val="top"/>
          </w:tcPr>
          <w:p w14:paraId="3BE7BAD9">
            <w:pPr>
              <w:spacing w:before="79" w:line="189" w:lineRule="auto"/>
              <w:ind w:left="72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c>
          <w:tcPr>
            <w:tcW w:w="3780" w:type="dxa"/>
            <w:vMerge w:val="continue"/>
            <w:tcBorders>
              <w:top w:val="nil"/>
              <w:bottom w:val="nil"/>
              <w:right w:val="nil"/>
            </w:tcBorders>
            <w:vAlign w:val="top"/>
          </w:tcPr>
          <w:p w14:paraId="41D06B7E">
            <w:pPr>
              <w:rPr>
                <w:rFonts w:ascii="Arial"/>
                <w:sz w:val="21"/>
              </w:rPr>
            </w:pPr>
          </w:p>
        </w:tc>
      </w:tr>
      <w:tr w14:paraId="01F86F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1357" w:type="dxa"/>
            <w:tcBorders>
              <w:left w:val="nil"/>
            </w:tcBorders>
            <w:vAlign w:val="top"/>
          </w:tcPr>
          <w:p w14:paraId="5CF93352">
            <w:pPr>
              <w:spacing w:before="79" w:line="188" w:lineRule="auto"/>
              <w:ind w:left="633"/>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2272" w:type="dxa"/>
            <w:vAlign w:val="top"/>
          </w:tcPr>
          <w:p w14:paraId="44027EC0">
            <w:pPr>
              <w:pStyle w:val="6"/>
              <w:spacing w:before="43" w:line="200" w:lineRule="auto"/>
              <w:ind w:left="726"/>
              <w:rPr>
                <w:sz w:val="20"/>
                <w:szCs w:val="20"/>
              </w:rPr>
            </w:pPr>
            <w:r>
              <w:rPr>
                <w:spacing w:val="5"/>
                <w:sz w:val="20"/>
                <w:szCs w:val="20"/>
              </w:rPr>
              <w:t>总氰化物</w:t>
            </w:r>
          </w:p>
        </w:tc>
        <w:tc>
          <w:tcPr>
            <w:tcW w:w="1664" w:type="dxa"/>
            <w:vAlign w:val="top"/>
          </w:tcPr>
          <w:p w14:paraId="55E8CB74">
            <w:pPr>
              <w:spacing w:before="79" w:line="188" w:lineRule="auto"/>
              <w:ind w:left="70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3780" w:type="dxa"/>
            <w:vMerge w:val="continue"/>
            <w:tcBorders>
              <w:top w:val="nil"/>
              <w:bottom w:val="nil"/>
              <w:right w:val="nil"/>
            </w:tcBorders>
            <w:vAlign w:val="top"/>
          </w:tcPr>
          <w:p w14:paraId="3942720F">
            <w:pPr>
              <w:rPr>
                <w:rFonts w:ascii="Arial"/>
                <w:sz w:val="21"/>
              </w:rPr>
            </w:pPr>
          </w:p>
        </w:tc>
      </w:tr>
      <w:tr w14:paraId="106FBE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1357" w:type="dxa"/>
            <w:tcBorders>
              <w:left w:val="nil"/>
            </w:tcBorders>
            <w:vAlign w:val="top"/>
          </w:tcPr>
          <w:p w14:paraId="1EE81B79">
            <w:pPr>
              <w:spacing w:before="82" w:line="185" w:lineRule="auto"/>
              <w:ind w:left="59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2272" w:type="dxa"/>
            <w:vAlign w:val="top"/>
          </w:tcPr>
          <w:p w14:paraId="0BD37B1C">
            <w:pPr>
              <w:pStyle w:val="6"/>
              <w:spacing w:before="46" w:line="197" w:lineRule="auto"/>
              <w:ind w:left="938"/>
              <w:rPr>
                <w:sz w:val="20"/>
                <w:szCs w:val="20"/>
              </w:rPr>
            </w:pPr>
            <w:r>
              <w:rPr>
                <w:spacing w:val="2"/>
                <w:sz w:val="20"/>
                <w:szCs w:val="20"/>
              </w:rPr>
              <w:t>总锌</w:t>
            </w:r>
          </w:p>
        </w:tc>
        <w:tc>
          <w:tcPr>
            <w:tcW w:w="1664" w:type="dxa"/>
            <w:vAlign w:val="top"/>
          </w:tcPr>
          <w:p w14:paraId="24F28411">
            <w:pPr>
              <w:spacing w:before="82" w:line="185" w:lineRule="auto"/>
              <w:ind w:left="7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3780" w:type="dxa"/>
            <w:vMerge w:val="continue"/>
            <w:tcBorders>
              <w:top w:val="nil"/>
              <w:right w:val="nil"/>
            </w:tcBorders>
            <w:vAlign w:val="top"/>
          </w:tcPr>
          <w:p w14:paraId="22720E5B">
            <w:pPr>
              <w:rPr>
                <w:rFonts w:ascii="Arial"/>
                <w:sz w:val="21"/>
              </w:rPr>
            </w:pPr>
          </w:p>
        </w:tc>
      </w:tr>
      <w:tr w14:paraId="1C1749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1357" w:type="dxa"/>
            <w:tcBorders>
              <w:left w:val="nil"/>
            </w:tcBorders>
            <w:vAlign w:val="top"/>
          </w:tcPr>
          <w:p w14:paraId="4DF0F894">
            <w:pPr>
              <w:spacing w:before="86" w:line="182" w:lineRule="auto"/>
              <w:ind w:left="599"/>
              <w:rPr>
                <w:rFonts w:ascii="Times New Roman" w:hAnsi="Times New Roman" w:eastAsia="Times New Roman" w:cs="Times New Roman"/>
                <w:sz w:val="20"/>
                <w:szCs w:val="20"/>
              </w:rPr>
            </w:pPr>
            <w:r>
              <w:rPr>
                <w:rFonts w:ascii="Times New Roman" w:hAnsi="Times New Roman" w:eastAsia="Times New Roman" w:cs="Times New Roman"/>
                <w:spacing w:val="-10"/>
                <w:sz w:val="20"/>
                <w:szCs w:val="20"/>
              </w:rPr>
              <w:t>11</w:t>
            </w:r>
          </w:p>
        </w:tc>
        <w:tc>
          <w:tcPr>
            <w:tcW w:w="2272" w:type="dxa"/>
            <w:vAlign w:val="top"/>
          </w:tcPr>
          <w:p w14:paraId="72B1A670">
            <w:pPr>
              <w:pStyle w:val="6"/>
              <w:spacing w:before="49" w:line="195" w:lineRule="auto"/>
              <w:ind w:left="828"/>
              <w:rPr>
                <w:sz w:val="20"/>
                <w:szCs w:val="20"/>
              </w:rPr>
            </w:pPr>
            <w:r>
              <w:rPr>
                <w:spacing w:val="6"/>
                <w:sz w:val="20"/>
                <w:szCs w:val="20"/>
              </w:rPr>
              <w:t>六价铬</w:t>
            </w:r>
          </w:p>
        </w:tc>
        <w:tc>
          <w:tcPr>
            <w:tcW w:w="1664" w:type="dxa"/>
            <w:vAlign w:val="top"/>
          </w:tcPr>
          <w:p w14:paraId="40619273">
            <w:pPr>
              <w:spacing w:before="86" w:line="182" w:lineRule="auto"/>
              <w:ind w:left="70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3780" w:type="dxa"/>
            <w:vMerge w:val="restart"/>
            <w:tcBorders>
              <w:bottom w:val="nil"/>
              <w:right w:val="nil"/>
            </w:tcBorders>
            <w:vAlign w:val="top"/>
          </w:tcPr>
          <w:p w14:paraId="02B73AE2">
            <w:pPr>
              <w:pStyle w:val="6"/>
              <w:spacing w:before="186" w:line="228" w:lineRule="auto"/>
              <w:ind w:left="638"/>
              <w:rPr>
                <w:sz w:val="20"/>
                <w:szCs w:val="20"/>
              </w:rPr>
            </w:pPr>
            <w:r>
              <w:rPr>
                <w:spacing w:val="8"/>
                <w:sz w:val="20"/>
                <w:szCs w:val="20"/>
              </w:rPr>
              <w:t>车间或生产设施废水排放口</w:t>
            </w:r>
          </w:p>
        </w:tc>
      </w:tr>
      <w:tr w14:paraId="696536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1357" w:type="dxa"/>
            <w:tcBorders>
              <w:left w:val="nil"/>
            </w:tcBorders>
            <w:vAlign w:val="top"/>
          </w:tcPr>
          <w:p w14:paraId="065E3055">
            <w:pPr>
              <w:spacing w:before="86" w:line="181" w:lineRule="auto"/>
              <w:ind w:left="59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2272" w:type="dxa"/>
            <w:vAlign w:val="top"/>
          </w:tcPr>
          <w:p w14:paraId="69D12A66">
            <w:pPr>
              <w:pStyle w:val="6"/>
              <w:spacing w:before="49" w:line="194" w:lineRule="auto"/>
              <w:ind w:left="938"/>
              <w:rPr>
                <w:sz w:val="20"/>
                <w:szCs w:val="20"/>
              </w:rPr>
            </w:pPr>
            <w:r>
              <w:rPr>
                <w:spacing w:val="2"/>
                <w:sz w:val="20"/>
                <w:szCs w:val="20"/>
              </w:rPr>
              <w:t>总铬</w:t>
            </w:r>
          </w:p>
        </w:tc>
        <w:tc>
          <w:tcPr>
            <w:tcW w:w="1664" w:type="dxa"/>
            <w:vAlign w:val="top"/>
          </w:tcPr>
          <w:p w14:paraId="521C199D">
            <w:pPr>
              <w:spacing w:before="86" w:line="181" w:lineRule="auto"/>
              <w:ind w:left="72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1.5</w:t>
            </w:r>
          </w:p>
        </w:tc>
        <w:tc>
          <w:tcPr>
            <w:tcW w:w="3780" w:type="dxa"/>
            <w:vMerge w:val="continue"/>
            <w:tcBorders>
              <w:top w:val="nil"/>
              <w:right w:val="nil"/>
            </w:tcBorders>
            <w:vAlign w:val="top"/>
          </w:tcPr>
          <w:p w14:paraId="1550702A">
            <w:pPr>
              <w:rPr>
                <w:rFonts w:ascii="Arial"/>
                <w:sz w:val="21"/>
              </w:rPr>
            </w:pPr>
          </w:p>
        </w:tc>
      </w:tr>
      <w:tr w14:paraId="2DD9DE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7" w:hRule="atLeast"/>
        </w:trPr>
        <w:tc>
          <w:tcPr>
            <w:tcW w:w="3629" w:type="dxa"/>
            <w:gridSpan w:val="2"/>
            <w:tcBorders>
              <w:left w:val="nil"/>
              <w:bottom w:val="single" w:color="000000" w:sz="10" w:space="0"/>
            </w:tcBorders>
            <w:vAlign w:val="top"/>
          </w:tcPr>
          <w:p w14:paraId="01845D05">
            <w:pPr>
              <w:pStyle w:val="6"/>
              <w:spacing w:before="50" w:line="218" w:lineRule="auto"/>
              <w:ind w:left="493"/>
              <w:rPr>
                <w:sz w:val="20"/>
                <w:szCs w:val="20"/>
              </w:rPr>
            </w:pPr>
            <w:r>
              <w:rPr>
                <w:spacing w:val="6"/>
                <w:sz w:val="20"/>
                <w:szCs w:val="20"/>
              </w:rPr>
              <w:t>单位产品基准排水量（</w:t>
            </w:r>
            <w:r>
              <w:rPr>
                <w:rFonts w:ascii="Times New Roman" w:hAnsi="Times New Roman" w:eastAsia="Times New Roman" w:cs="Times New Roman"/>
                <w:spacing w:val="6"/>
                <w:sz w:val="20"/>
                <w:szCs w:val="20"/>
              </w:rPr>
              <w:t>m</w:t>
            </w:r>
            <w:r>
              <w:rPr>
                <w:rFonts w:ascii="Times New Roman" w:hAnsi="Times New Roman" w:eastAsia="Times New Roman" w:cs="Times New Roman"/>
                <w:spacing w:val="6"/>
                <w:position w:val="6"/>
                <w:sz w:val="13"/>
                <w:szCs w:val="13"/>
              </w:rPr>
              <w:t>3</w:t>
            </w:r>
            <w:r>
              <w:rPr>
                <w:rFonts w:ascii="Times New Roman" w:hAnsi="Times New Roman" w:eastAsia="Times New Roman" w:cs="Times New Roman"/>
                <w:spacing w:val="6"/>
                <w:sz w:val="20"/>
                <w:szCs w:val="20"/>
              </w:rPr>
              <w:t>/t</w:t>
            </w:r>
            <w:r>
              <w:rPr>
                <w:spacing w:val="6"/>
                <w:sz w:val="20"/>
                <w:szCs w:val="20"/>
              </w:rPr>
              <w:t>）</w:t>
            </w:r>
          </w:p>
        </w:tc>
        <w:tc>
          <w:tcPr>
            <w:tcW w:w="1664" w:type="dxa"/>
            <w:tcBorders>
              <w:bottom w:val="single" w:color="000000" w:sz="10" w:space="0"/>
            </w:tcBorders>
            <w:vAlign w:val="top"/>
          </w:tcPr>
          <w:p w14:paraId="12C37D36">
            <w:pPr>
              <w:spacing w:before="87" w:line="195" w:lineRule="auto"/>
              <w:ind w:left="70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3780" w:type="dxa"/>
            <w:tcBorders>
              <w:bottom w:val="single" w:color="000000" w:sz="10" w:space="0"/>
              <w:right w:val="nil"/>
            </w:tcBorders>
            <w:vAlign w:val="top"/>
          </w:tcPr>
          <w:p w14:paraId="67613F78">
            <w:pPr>
              <w:pStyle w:val="6"/>
              <w:spacing w:before="50" w:line="218" w:lineRule="auto"/>
              <w:ind w:left="217"/>
              <w:rPr>
                <w:sz w:val="20"/>
                <w:szCs w:val="20"/>
              </w:rPr>
            </w:pPr>
            <w:r>
              <w:rPr>
                <w:spacing w:val="9"/>
                <w:sz w:val="20"/>
                <w:szCs w:val="20"/>
              </w:rPr>
              <w:t>排水计量位置与污染物排放监控位置</w:t>
            </w:r>
          </w:p>
        </w:tc>
      </w:tr>
    </w:tbl>
    <w:p w14:paraId="7FB79B0F">
      <w:pPr>
        <w:spacing w:before="37" w:line="220" w:lineRule="auto"/>
        <w:ind w:left="482"/>
        <w:rPr>
          <w:rFonts w:ascii="宋体" w:hAnsi="宋体" w:eastAsia="宋体" w:cs="宋体"/>
          <w:sz w:val="24"/>
          <w:szCs w:val="24"/>
        </w:rPr>
      </w:pPr>
      <w:r>
        <w:rPr>
          <w:rFonts w:ascii="Times New Roman" w:hAnsi="Times New Roman" w:eastAsia="Times New Roman" w:cs="Times New Roman"/>
          <w:b/>
          <w:bCs/>
          <w:spacing w:val="-9"/>
          <w:sz w:val="24"/>
          <w:szCs w:val="24"/>
        </w:rPr>
        <w:t>3</w:t>
      </w:r>
      <w:r>
        <w:rPr>
          <w:rFonts w:ascii="Times New Roman" w:hAnsi="Times New Roman" w:eastAsia="Times New Roman" w:cs="Times New Roman"/>
          <w:b/>
          <w:bCs/>
          <w:spacing w:val="-34"/>
          <w:sz w:val="24"/>
          <w:szCs w:val="24"/>
        </w:rPr>
        <w:t xml:space="preserve"> </w:t>
      </w:r>
      <w:r>
        <w:rPr>
          <w:rFonts w:ascii="宋体" w:hAnsi="宋体" w:eastAsia="宋体" w:cs="宋体"/>
          <w:b/>
          <w:bCs/>
          <w:spacing w:val="-9"/>
          <w:sz w:val="24"/>
          <w:szCs w:val="24"/>
        </w:rPr>
        <w:t>、噪声</w:t>
      </w:r>
    </w:p>
    <w:p w14:paraId="173FA71D">
      <w:pPr>
        <w:spacing w:before="180" w:line="219" w:lineRule="auto"/>
        <w:jc w:val="right"/>
        <w:rPr>
          <w:rFonts w:ascii="宋体" w:hAnsi="宋体" w:eastAsia="宋体" w:cs="宋体"/>
          <w:sz w:val="24"/>
          <w:szCs w:val="24"/>
        </w:rPr>
      </w:pPr>
      <w:r>
        <w:rPr>
          <w:rFonts w:ascii="宋体" w:hAnsi="宋体" w:eastAsia="宋体" w:cs="宋体"/>
          <w:spacing w:val="-1"/>
          <w:sz w:val="24"/>
          <w:szCs w:val="24"/>
        </w:rPr>
        <w:t>项目厂界噪声排放执行《工业企业厂界环境噪声排放标准》（</w:t>
      </w:r>
      <w:r>
        <w:rPr>
          <w:rFonts w:ascii="Times New Roman" w:hAnsi="Times New Roman" w:eastAsia="Times New Roman" w:cs="Times New Roman"/>
          <w:spacing w:val="-1"/>
          <w:sz w:val="24"/>
          <w:szCs w:val="24"/>
        </w:rPr>
        <w:t>GB123</w:t>
      </w:r>
      <w:r>
        <w:rPr>
          <w:rFonts w:ascii="Times New Roman" w:hAnsi="Times New Roman" w:eastAsia="Times New Roman" w:cs="Times New Roman"/>
          <w:spacing w:val="-2"/>
          <w:sz w:val="24"/>
          <w:szCs w:val="24"/>
        </w:rPr>
        <w:t>48-2008</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3 </w:t>
      </w:r>
      <w:r>
        <w:rPr>
          <w:rFonts w:ascii="宋体" w:hAnsi="宋体" w:eastAsia="宋体" w:cs="宋体"/>
          <w:spacing w:val="-2"/>
          <w:sz w:val="24"/>
          <w:szCs w:val="24"/>
        </w:rPr>
        <w:t>类</w:t>
      </w:r>
    </w:p>
    <w:p w14:paraId="421F2CEE">
      <w:pPr>
        <w:spacing w:before="181" w:line="219" w:lineRule="auto"/>
        <w:ind w:left="9"/>
        <w:rPr>
          <w:rFonts w:ascii="宋体" w:hAnsi="宋体" w:eastAsia="宋体" w:cs="宋体"/>
          <w:sz w:val="24"/>
          <w:szCs w:val="24"/>
        </w:rPr>
      </w:pPr>
      <w:r>
        <w:rPr>
          <w:rFonts w:ascii="宋体" w:hAnsi="宋体" w:eastAsia="宋体" w:cs="宋体"/>
          <w:spacing w:val="-3"/>
          <w:sz w:val="24"/>
          <w:szCs w:val="24"/>
        </w:rPr>
        <w:t>标准，标准值见表</w:t>
      </w:r>
      <w:r>
        <w:rPr>
          <w:rFonts w:ascii="宋体" w:hAnsi="宋体" w:eastAsia="宋体" w:cs="宋体"/>
          <w:spacing w:val="-28"/>
          <w:sz w:val="24"/>
          <w:szCs w:val="24"/>
        </w:rPr>
        <w:t xml:space="preserve"> </w:t>
      </w:r>
      <w:r>
        <w:rPr>
          <w:rFonts w:ascii="Times New Roman" w:hAnsi="Times New Roman" w:eastAsia="Times New Roman" w:cs="Times New Roman"/>
          <w:spacing w:val="-3"/>
          <w:sz w:val="24"/>
          <w:szCs w:val="24"/>
        </w:rPr>
        <w:t>1.5-15</w:t>
      </w:r>
      <w:r>
        <w:rPr>
          <w:rFonts w:ascii="宋体" w:hAnsi="宋体" w:eastAsia="宋体" w:cs="宋体"/>
          <w:spacing w:val="-3"/>
          <w:sz w:val="24"/>
          <w:szCs w:val="24"/>
        </w:rPr>
        <w:t>。</w:t>
      </w:r>
    </w:p>
    <w:p w14:paraId="005DEDA7">
      <w:pPr>
        <w:spacing w:line="219" w:lineRule="auto"/>
        <w:rPr>
          <w:rFonts w:ascii="宋体" w:hAnsi="宋体" w:eastAsia="宋体" w:cs="宋体"/>
          <w:sz w:val="24"/>
          <w:szCs w:val="24"/>
        </w:rPr>
        <w:sectPr>
          <w:headerReference r:id="rId60" w:type="default"/>
          <w:footerReference r:id="rId61" w:type="default"/>
          <w:pgSz w:w="11907" w:h="16840"/>
          <w:pgMar w:top="1178" w:right="1416" w:bottom="1038" w:left="1417" w:header="870" w:footer="876" w:gutter="0"/>
          <w:cols w:space="720" w:num="1"/>
        </w:sectPr>
      </w:pPr>
    </w:p>
    <w:p w14:paraId="4CA0B8FD">
      <w:pPr>
        <w:spacing w:before="270" w:line="228" w:lineRule="auto"/>
        <w:ind w:left="2823"/>
        <w:rPr>
          <w:rFonts w:ascii="宋体" w:hAnsi="宋体" w:eastAsia="宋体" w:cs="宋体"/>
          <w:sz w:val="20"/>
          <w:szCs w:val="20"/>
        </w:rPr>
      </w:pPr>
      <w:r>
        <w:pict>
          <v:shape id="_x0000_s1061" o:spid="_x0000_s1061" style="position:absolute;left:0pt;margin-left:70.85pt;margin-top:59.65pt;height:0.75pt;width:453.65pt;mso-position-horizontal-relative:page;mso-position-vertical-relative:page;z-index:25169510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4"/>
          <w:sz w:val="20"/>
          <w:szCs w:val="20"/>
        </w:rPr>
        <w:t>表</w:t>
      </w:r>
      <w:r>
        <w:rPr>
          <w:rFonts w:ascii="宋体" w:hAnsi="宋体" w:eastAsia="宋体" w:cs="宋体"/>
          <w:spacing w:val="-20"/>
          <w:sz w:val="20"/>
          <w:szCs w:val="20"/>
        </w:rPr>
        <w:t xml:space="preserve"> </w:t>
      </w:r>
      <w:r>
        <w:rPr>
          <w:rFonts w:ascii="Times New Roman" w:hAnsi="Times New Roman" w:eastAsia="Times New Roman" w:cs="Times New Roman"/>
          <w:b/>
          <w:bCs/>
          <w:spacing w:val="4"/>
          <w:sz w:val="20"/>
          <w:szCs w:val="20"/>
        </w:rPr>
        <w:t xml:space="preserve">1.5-15          </w:t>
      </w:r>
      <w:r>
        <w:rPr>
          <w:rFonts w:ascii="宋体" w:hAnsi="宋体" w:eastAsia="宋体" w:cs="宋体"/>
          <w:b/>
          <w:bCs/>
          <w:spacing w:val="4"/>
          <w:sz w:val="20"/>
          <w:szCs w:val="20"/>
        </w:rPr>
        <w:t>工业企业厂界噪声标准</w:t>
      </w:r>
    </w:p>
    <w:p w14:paraId="2681268A">
      <w:pPr>
        <w:spacing w:line="129"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579"/>
        <w:gridCol w:w="3541"/>
        <w:gridCol w:w="2952"/>
      </w:tblGrid>
      <w:tr w14:paraId="0E158B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2579" w:type="dxa"/>
            <w:vMerge w:val="restart"/>
            <w:tcBorders>
              <w:top w:val="single" w:color="000000" w:sz="10" w:space="0"/>
              <w:left w:val="nil"/>
              <w:bottom w:val="nil"/>
            </w:tcBorders>
            <w:vAlign w:val="top"/>
          </w:tcPr>
          <w:p w14:paraId="49CF9CE6">
            <w:pPr>
              <w:pStyle w:val="6"/>
              <w:spacing w:before="175" w:line="228" w:lineRule="auto"/>
              <w:ind w:left="873"/>
              <w:rPr>
                <w:sz w:val="20"/>
                <w:szCs w:val="20"/>
              </w:rPr>
            </w:pPr>
            <w:r>
              <w:rPr>
                <w:b/>
                <w:bCs/>
                <w:spacing w:val="-2"/>
                <w:sz w:val="20"/>
                <w:szCs w:val="20"/>
              </w:rPr>
              <w:t>类</w:t>
            </w:r>
            <w:r>
              <w:rPr>
                <w:spacing w:val="8"/>
                <w:sz w:val="20"/>
                <w:szCs w:val="20"/>
              </w:rPr>
              <w:t xml:space="preserve">    </w:t>
            </w:r>
            <w:r>
              <w:rPr>
                <w:b/>
                <w:bCs/>
                <w:spacing w:val="-2"/>
                <w:sz w:val="20"/>
                <w:szCs w:val="20"/>
              </w:rPr>
              <w:t>别</w:t>
            </w:r>
          </w:p>
        </w:tc>
        <w:tc>
          <w:tcPr>
            <w:tcW w:w="6493" w:type="dxa"/>
            <w:gridSpan w:val="2"/>
            <w:tcBorders>
              <w:top w:val="single" w:color="000000" w:sz="10" w:space="0"/>
              <w:right w:val="nil"/>
            </w:tcBorders>
            <w:vAlign w:val="top"/>
          </w:tcPr>
          <w:p w14:paraId="71B811F6">
            <w:pPr>
              <w:pStyle w:val="6"/>
              <w:spacing w:before="34" w:line="211" w:lineRule="auto"/>
              <w:ind w:left="2324"/>
              <w:rPr>
                <w:sz w:val="20"/>
                <w:szCs w:val="20"/>
              </w:rPr>
            </w:pPr>
            <w:r>
              <w:rPr>
                <w:b/>
                <w:bCs/>
                <w:spacing w:val="5"/>
                <w:sz w:val="20"/>
                <w:szCs w:val="20"/>
              </w:rPr>
              <w:t>噪声限值</w:t>
            </w:r>
            <w:r>
              <w:rPr>
                <w:spacing w:val="5"/>
                <w:sz w:val="20"/>
                <w:szCs w:val="20"/>
              </w:rPr>
              <w:t xml:space="preserve">  </w:t>
            </w:r>
            <w:r>
              <w:rPr>
                <w:rFonts w:ascii="Times New Roman" w:hAnsi="Times New Roman" w:eastAsia="Times New Roman" w:cs="Times New Roman"/>
                <w:b/>
                <w:bCs/>
                <w:sz w:val="20"/>
                <w:szCs w:val="20"/>
              </w:rPr>
              <w:t>dB</w:t>
            </w:r>
            <w:r>
              <w:rPr>
                <w:b/>
                <w:bCs/>
                <w:spacing w:val="5"/>
                <w:sz w:val="20"/>
                <w:szCs w:val="20"/>
              </w:rPr>
              <w:t>（</w:t>
            </w:r>
            <w:r>
              <w:rPr>
                <w:rFonts w:ascii="Times New Roman" w:hAnsi="Times New Roman" w:eastAsia="Times New Roman" w:cs="Times New Roman"/>
                <w:b/>
                <w:bCs/>
                <w:spacing w:val="5"/>
                <w:sz w:val="20"/>
                <w:szCs w:val="20"/>
              </w:rPr>
              <w:t>A</w:t>
            </w:r>
            <w:r>
              <w:rPr>
                <w:b/>
                <w:bCs/>
                <w:spacing w:val="5"/>
                <w:sz w:val="20"/>
                <w:szCs w:val="20"/>
              </w:rPr>
              <w:t>）</w:t>
            </w:r>
          </w:p>
        </w:tc>
      </w:tr>
      <w:tr w14:paraId="6E9E98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2579" w:type="dxa"/>
            <w:vMerge w:val="continue"/>
            <w:tcBorders>
              <w:top w:val="nil"/>
              <w:left w:val="nil"/>
            </w:tcBorders>
            <w:vAlign w:val="top"/>
          </w:tcPr>
          <w:p w14:paraId="141F27B7">
            <w:pPr>
              <w:rPr>
                <w:rFonts w:ascii="Arial"/>
                <w:sz w:val="21"/>
              </w:rPr>
            </w:pPr>
          </w:p>
        </w:tc>
        <w:tc>
          <w:tcPr>
            <w:tcW w:w="3541" w:type="dxa"/>
            <w:vAlign w:val="top"/>
          </w:tcPr>
          <w:p w14:paraId="4D6E84FF">
            <w:pPr>
              <w:pStyle w:val="6"/>
              <w:spacing w:before="39" w:line="202" w:lineRule="auto"/>
              <w:ind w:left="1406"/>
              <w:rPr>
                <w:sz w:val="20"/>
                <w:szCs w:val="20"/>
              </w:rPr>
            </w:pPr>
            <w:r>
              <w:rPr>
                <w:b/>
                <w:bCs/>
                <w:spacing w:val="-2"/>
                <w:sz w:val="20"/>
                <w:szCs w:val="20"/>
              </w:rPr>
              <w:t>昼</w:t>
            </w:r>
            <w:r>
              <w:rPr>
                <w:spacing w:val="13"/>
                <w:sz w:val="20"/>
                <w:szCs w:val="20"/>
              </w:rPr>
              <w:t xml:space="preserve">   </w:t>
            </w:r>
            <w:r>
              <w:rPr>
                <w:b/>
                <w:bCs/>
                <w:spacing w:val="-2"/>
                <w:sz w:val="20"/>
                <w:szCs w:val="20"/>
              </w:rPr>
              <w:t>间</w:t>
            </w:r>
          </w:p>
        </w:tc>
        <w:tc>
          <w:tcPr>
            <w:tcW w:w="2952" w:type="dxa"/>
            <w:tcBorders>
              <w:right w:val="nil"/>
            </w:tcBorders>
            <w:vAlign w:val="top"/>
          </w:tcPr>
          <w:p w14:paraId="03986848">
            <w:pPr>
              <w:pStyle w:val="6"/>
              <w:spacing w:before="39" w:line="202" w:lineRule="auto"/>
              <w:ind w:left="1119"/>
              <w:rPr>
                <w:sz w:val="20"/>
                <w:szCs w:val="20"/>
              </w:rPr>
            </w:pPr>
            <w:r>
              <w:rPr>
                <w:b/>
                <w:bCs/>
                <w:spacing w:val="-4"/>
                <w:sz w:val="20"/>
                <w:szCs w:val="20"/>
              </w:rPr>
              <w:t>夜</w:t>
            </w:r>
            <w:r>
              <w:rPr>
                <w:spacing w:val="13"/>
                <w:sz w:val="20"/>
                <w:szCs w:val="20"/>
              </w:rPr>
              <w:t xml:space="preserve">   </w:t>
            </w:r>
            <w:r>
              <w:rPr>
                <w:b/>
                <w:bCs/>
                <w:spacing w:val="-4"/>
                <w:sz w:val="20"/>
                <w:szCs w:val="20"/>
              </w:rPr>
              <w:t>间</w:t>
            </w:r>
          </w:p>
        </w:tc>
      </w:tr>
      <w:tr w14:paraId="14F28C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3" w:hRule="atLeast"/>
        </w:trPr>
        <w:tc>
          <w:tcPr>
            <w:tcW w:w="2579" w:type="dxa"/>
            <w:tcBorders>
              <w:left w:val="nil"/>
              <w:bottom w:val="single" w:color="000000" w:sz="10" w:space="0"/>
            </w:tcBorders>
            <w:vAlign w:val="top"/>
          </w:tcPr>
          <w:p w14:paraId="15EAF157">
            <w:pPr>
              <w:spacing w:before="71" w:line="189" w:lineRule="auto"/>
              <w:ind w:left="1243"/>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3541" w:type="dxa"/>
            <w:tcBorders>
              <w:bottom w:val="single" w:color="000000" w:sz="10" w:space="0"/>
            </w:tcBorders>
            <w:vAlign w:val="top"/>
          </w:tcPr>
          <w:p w14:paraId="22132B67">
            <w:pPr>
              <w:spacing w:before="71" w:line="189" w:lineRule="auto"/>
              <w:ind w:left="1672"/>
              <w:rPr>
                <w:rFonts w:ascii="Times New Roman" w:hAnsi="Times New Roman" w:eastAsia="Times New Roman" w:cs="Times New Roman"/>
                <w:sz w:val="20"/>
                <w:szCs w:val="20"/>
              </w:rPr>
            </w:pPr>
            <w:r>
              <w:rPr>
                <w:rFonts w:ascii="Times New Roman" w:hAnsi="Times New Roman" w:eastAsia="Times New Roman" w:cs="Times New Roman"/>
                <w:sz w:val="20"/>
                <w:szCs w:val="20"/>
              </w:rPr>
              <w:t>65</w:t>
            </w:r>
          </w:p>
        </w:tc>
        <w:tc>
          <w:tcPr>
            <w:tcW w:w="2952" w:type="dxa"/>
            <w:tcBorders>
              <w:bottom w:val="single" w:color="000000" w:sz="10" w:space="0"/>
              <w:right w:val="nil"/>
            </w:tcBorders>
            <w:vAlign w:val="top"/>
          </w:tcPr>
          <w:p w14:paraId="1B504F4B">
            <w:pPr>
              <w:spacing w:before="74" w:line="186" w:lineRule="auto"/>
              <w:ind w:left="1381"/>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r>
    </w:tbl>
    <w:p w14:paraId="489442C4">
      <w:pPr>
        <w:spacing w:before="36" w:line="345" w:lineRule="auto"/>
        <w:ind w:left="19" w:right="82" w:firstLine="472"/>
        <w:rPr>
          <w:rFonts w:ascii="宋体" w:hAnsi="宋体" w:eastAsia="宋体" w:cs="宋体"/>
          <w:sz w:val="24"/>
          <w:szCs w:val="24"/>
        </w:rPr>
      </w:pPr>
      <w:r>
        <w:rPr>
          <w:rFonts w:ascii="宋体" w:hAnsi="宋体" w:eastAsia="宋体" w:cs="宋体"/>
          <w:spacing w:val="17"/>
          <w:sz w:val="24"/>
          <w:szCs w:val="24"/>
        </w:rPr>
        <w:t>项</w:t>
      </w:r>
      <w:r>
        <w:rPr>
          <w:rFonts w:ascii="宋体" w:hAnsi="宋体" w:eastAsia="宋体" w:cs="宋体"/>
          <w:spacing w:val="-38"/>
          <w:sz w:val="24"/>
          <w:szCs w:val="24"/>
        </w:rPr>
        <w:t xml:space="preserve"> </w:t>
      </w:r>
      <w:r>
        <w:rPr>
          <w:rFonts w:ascii="宋体" w:hAnsi="宋体" w:eastAsia="宋体" w:cs="宋体"/>
          <w:spacing w:val="17"/>
          <w:sz w:val="24"/>
          <w:szCs w:val="24"/>
        </w:rPr>
        <w:t>目施工期建筑施工场界噪声排放执行《建筑施工场界环境噪声排放标准》</w:t>
      </w:r>
      <w:r>
        <w:rPr>
          <w:rFonts w:ascii="宋体" w:hAnsi="宋体" w:eastAsia="宋体" w:cs="宋体"/>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GB12523-2011</w:t>
      </w:r>
      <w:r>
        <w:rPr>
          <w:rFonts w:ascii="宋体" w:hAnsi="宋体" w:eastAsia="宋体" w:cs="宋体"/>
          <w:spacing w:val="-2"/>
          <w:sz w:val="24"/>
          <w:szCs w:val="24"/>
        </w:rPr>
        <w:t>）标准限值。标准值见表</w:t>
      </w:r>
      <w:r>
        <w:rPr>
          <w:rFonts w:ascii="宋体" w:hAnsi="宋体" w:eastAsia="宋体" w:cs="宋体"/>
          <w:spacing w:val="-22"/>
          <w:sz w:val="24"/>
          <w:szCs w:val="24"/>
        </w:rPr>
        <w:t xml:space="preserve"> </w:t>
      </w:r>
      <w:r>
        <w:rPr>
          <w:rFonts w:ascii="Times New Roman" w:hAnsi="Times New Roman" w:eastAsia="Times New Roman" w:cs="Times New Roman"/>
          <w:spacing w:val="-2"/>
          <w:sz w:val="24"/>
          <w:szCs w:val="24"/>
        </w:rPr>
        <w:t>1.5-16</w:t>
      </w:r>
      <w:r>
        <w:rPr>
          <w:rFonts w:ascii="宋体" w:hAnsi="宋体" w:eastAsia="宋体" w:cs="宋体"/>
          <w:spacing w:val="-2"/>
          <w:sz w:val="24"/>
          <w:szCs w:val="24"/>
        </w:rPr>
        <w:t>。</w:t>
      </w:r>
    </w:p>
    <w:p w14:paraId="65FCA3AA">
      <w:pPr>
        <w:spacing w:before="31" w:line="228" w:lineRule="auto"/>
        <w:ind w:left="2823"/>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0"/>
          <w:sz w:val="20"/>
          <w:szCs w:val="20"/>
        </w:rPr>
        <w:t xml:space="preserve"> </w:t>
      </w:r>
      <w:r>
        <w:rPr>
          <w:rFonts w:ascii="Times New Roman" w:hAnsi="Times New Roman" w:eastAsia="Times New Roman" w:cs="Times New Roman"/>
          <w:b/>
          <w:bCs/>
          <w:spacing w:val="4"/>
          <w:sz w:val="20"/>
          <w:szCs w:val="20"/>
        </w:rPr>
        <w:t xml:space="preserve">1.5-16          </w:t>
      </w:r>
      <w:r>
        <w:rPr>
          <w:rFonts w:ascii="宋体" w:hAnsi="宋体" w:eastAsia="宋体" w:cs="宋体"/>
          <w:b/>
          <w:bCs/>
          <w:spacing w:val="4"/>
          <w:sz w:val="20"/>
          <w:szCs w:val="20"/>
        </w:rPr>
        <w:t>建筑施工场界噪声限值</w:t>
      </w:r>
    </w:p>
    <w:p w14:paraId="3C8C8138">
      <w:pPr>
        <w:spacing w:line="131" w:lineRule="exact"/>
      </w:pPr>
    </w:p>
    <w:tbl>
      <w:tblPr>
        <w:tblStyle w:val="5"/>
        <w:tblW w:w="907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538"/>
        <w:gridCol w:w="3332"/>
        <w:gridCol w:w="3203"/>
      </w:tblGrid>
      <w:tr w14:paraId="0F0801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2538" w:type="dxa"/>
            <w:vMerge w:val="restart"/>
            <w:tcBorders>
              <w:top w:val="single" w:color="000000" w:sz="10" w:space="0"/>
              <w:left w:val="nil"/>
              <w:bottom w:val="nil"/>
            </w:tcBorders>
            <w:vAlign w:val="top"/>
          </w:tcPr>
          <w:p w14:paraId="0176B1C5">
            <w:pPr>
              <w:pStyle w:val="6"/>
              <w:spacing w:before="301" w:line="228" w:lineRule="auto"/>
              <w:ind w:left="645"/>
              <w:rPr>
                <w:sz w:val="20"/>
                <w:szCs w:val="20"/>
              </w:rPr>
            </w:pPr>
            <w:r>
              <w:rPr>
                <w:spacing w:val="7"/>
                <w:sz w:val="20"/>
                <w:szCs w:val="20"/>
              </w:rPr>
              <w:t>建筑施工场界</w:t>
            </w:r>
          </w:p>
        </w:tc>
        <w:tc>
          <w:tcPr>
            <w:tcW w:w="6535" w:type="dxa"/>
            <w:gridSpan w:val="2"/>
            <w:tcBorders>
              <w:top w:val="single" w:color="000000" w:sz="10" w:space="0"/>
              <w:right w:val="nil"/>
            </w:tcBorders>
            <w:vAlign w:val="top"/>
          </w:tcPr>
          <w:p w14:paraId="71C3B994">
            <w:pPr>
              <w:pStyle w:val="6"/>
              <w:spacing w:before="34" w:line="211" w:lineRule="auto"/>
              <w:ind w:left="2350"/>
              <w:rPr>
                <w:sz w:val="20"/>
                <w:szCs w:val="20"/>
              </w:rPr>
            </w:pPr>
            <w:r>
              <w:rPr>
                <w:spacing w:val="6"/>
                <w:sz w:val="20"/>
                <w:szCs w:val="20"/>
              </w:rPr>
              <w:t xml:space="preserve">噪声限值  </w:t>
            </w:r>
            <w:r>
              <w:rPr>
                <w:rFonts w:ascii="Times New Roman" w:hAnsi="Times New Roman" w:eastAsia="Times New Roman" w:cs="Times New Roman"/>
                <w:sz w:val="20"/>
                <w:szCs w:val="20"/>
              </w:rPr>
              <w:t>dB</w:t>
            </w:r>
            <w:r>
              <w:rPr>
                <w:spacing w:val="6"/>
                <w:sz w:val="20"/>
                <w:szCs w:val="20"/>
              </w:rPr>
              <w:t>（</w:t>
            </w:r>
            <w:r>
              <w:rPr>
                <w:rFonts w:ascii="Times New Roman" w:hAnsi="Times New Roman" w:eastAsia="Times New Roman" w:cs="Times New Roman"/>
                <w:spacing w:val="6"/>
                <w:sz w:val="20"/>
                <w:szCs w:val="20"/>
              </w:rPr>
              <w:t>A</w:t>
            </w:r>
            <w:r>
              <w:rPr>
                <w:spacing w:val="6"/>
                <w:sz w:val="20"/>
                <w:szCs w:val="20"/>
              </w:rPr>
              <w:t>）</w:t>
            </w:r>
          </w:p>
        </w:tc>
      </w:tr>
      <w:tr w14:paraId="4FABF5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 w:hRule="atLeast"/>
        </w:trPr>
        <w:tc>
          <w:tcPr>
            <w:tcW w:w="2538" w:type="dxa"/>
            <w:vMerge w:val="continue"/>
            <w:tcBorders>
              <w:top w:val="nil"/>
              <w:left w:val="nil"/>
              <w:bottom w:val="nil"/>
            </w:tcBorders>
            <w:vAlign w:val="top"/>
          </w:tcPr>
          <w:p w14:paraId="58A112D1">
            <w:pPr>
              <w:rPr>
                <w:rFonts w:ascii="Arial"/>
                <w:sz w:val="21"/>
              </w:rPr>
            </w:pPr>
          </w:p>
        </w:tc>
        <w:tc>
          <w:tcPr>
            <w:tcW w:w="3332" w:type="dxa"/>
            <w:vAlign w:val="top"/>
          </w:tcPr>
          <w:p w14:paraId="55C33DF7">
            <w:pPr>
              <w:pStyle w:val="6"/>
              <w:spacing w:before="40" w:line="202" w:lineRule="auto"/>
              <w:ind w:left="1461"/>
              <w:rPr>
                <w:sz w:val="20"/>
                <w:szCs w:val="20"/>
              </w:rPr>
            </w:pPr>
            <w:r>
              <w:rPr>
                <w:spacing w:val="5"/>
                <w:sz w:val="20"/>
                <w:szCs w:val="20"/>
              </w:rPr>
              <w:t>昼间</w:t>
            </w:r>
          </w:p>
        </w:tc>
        <w:tc>
          <w:tcPr>
            <w:tcW w:w="3203" w:type="dxa"/>
            <w:tcBorders>
              <w:right w:val="nil"/>
            </w:tcBorders>
            <w:vAlign w:val="top"/>
          </w:tcPr>
          <w:p w14:paraId="2C9723AF">
            <w:pPr>
              <w:pStyle w:val="6"/>
              <w:spacing w:before="40" w:line="202" w:lineRule="auto"/>
              <w:ind w:left="1402"/>
              <w:rPr>
                <w:sz w:val="20"/>
                <w:szCs w:val="20"/>
              </w:rPr>
            </w:pPr>
            <w:r>
              <w:rPr>
                <w:spacing w:val="3"/>
                <w:sz w:val="20"/>
                <w:szCs w:val="20"/>
              </w:rPr>
              <w:t>夜间</w:t>
            </w:r>
          </w:p>
        </w:tc>
      </w:tr>
      <w:tr w14:paraId="412614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2" w:hRule="atLeast"/>
        </w:trPr>
        <w:tc>
          <w:tcPr>
            <w:tcW w:w="2538" w:type="dxa"/>
            <w:vMerge w:val="continue"/>
            <w:tcBorders>
              <w:top w:val="nil"/>
              <w:left w:val="nil"/>
              <w:bottom w:val="single" w:color="000000" w:sz="10" w:space="0"/>
            </w:tcBorders>
            <w:vAlign w:val="top"/>
          </w:tcPr>
          <w:p w14:paraId="70321BBD">
            <w:pPr>
              <w:rPr>
                <w:rFonts w:ascii="Arial"/>
                <w:sz w:val="21"/>
              </w:rPr>
            </w:pPr>
          </w:p>
        </w:tc>
        <w:tc>
          <w:tcPr>
            <w:tcW w:w="3332" w:type="dxa"/>
            <w:tcBorders>
              <w:bottom w:val="single" w:color="000000" w:sz="10" w:space="0"/>
            </w:tcBorders>
            <w:vAlign w:val="top"/>
          </w:tcPr>
          <w:p w14:paraId="5895ECA5">
            <w:pPr>
              <w:spacing w:before="70" w:line="189" w:lineRule="auto"/>
              <w:ind w:left="156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3203" w:type="dxa"/>
            <w:tcBorders>
              <w:bottom w:val="single" w:color="000000" w:sz="10" w:space="0"/>
              <w:right w:val="nil"/>
            </w:tcBorders>
            <w:vAlign w:val="top"/>
          </w:tcPr>
          <w:p w14:paraId="4254A430">
            <w:pPr>
              <w:spacing w:before="73" w:line="186" w:lineRule="auto"/>
              <w:ind w:left="1506"/>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r>
    </w:tbl>
    <w:p w14:paraId="054A501C">
      <w:pPr>
        <w:spacing w:before="37" w:line="220" w:lineRule="auto"/>
        <w:ind w:left="485"/>
        <w:rPr>
          <w:rFonts w:ascii="宋体" w:hAnsi="宋体" w:eastAsia="宋体" w:cs="宋体"/>
          <w:sz w:val="24"/>
          <w:szCs w:val="24"/>
        </w:rPr>
      </w:pPr>
      <w:r>
        <w:rPr>
          <w:rFonts w:ascii="Times New Roman" w:hAnsi="Times New Roman" w:eastAsia="Times New Roman" w:cs="Times New Roman"/>
          <w:b/>
          <w:bCs/>
          <w:spacing w:val="-10"/>
          <w:sz w:val="24"/>
          <w:szCs w:val="24"/>
        </w:rPr>
        <w:t>4</w:t>
      </w:r>
      <w:r>
        <w:rPr>
          <w:rFonts w:ascii="Times New Roman" w:hAnsi="Times New Roman" w:eastAsia="Times New Roman" w:cs="Times New Roman"/>
          <w:b/>
          <w:bCs/>
          <w:spacing w:val="-33"/>
          <w:sz w:val="24"/>
          <w:szCs w:val="24"/>
        </w:rPr>
        <w:t xml:space="preserve"> </w:t>
      </w:r>
      <w:r>
        <w:rPr>
          <w:rFonts w:ascii="宋体" w:hAnsi="宋体" w:eastAsia="宋体" w:cs="宋体"/>
          <w:b/>
          <w:bCs/>
          <w:spacing w:val="-10"/>
          <w:sz w:val="24"/>
          <w:szCs w:val="24"/>
        </w:rPr>
        <w:t>、固废</w:t>
      </w:r>
    </w:p>
    <w:p w14:paraId="1ED57BA2">
      <w:pPr>
        <w:spacing w:before="181" w:line="350" w:lineRule="auto"/>
        <w:ind w:left="19" w:right="80" w:firstLine="472"/>
        <w:jc w:val="both"/>
        <w:rPr>
          <w:rFonts w:ascii="宋体" w:hAnsi="宋体" w:eastAsia="宋体" w:cs="宋体"/>
          <w:sz w:val="24"/>
          <w:szCs w:val="24"/>
        </w:rPr>
      </w:pPr>
      <w:r>
        <w:rPr>
          <w:rFonts w:ascii="宋体" w:hAnsi="宋体" w:eastAsia="宋体" w:cs="宋体"/>
          <w:spacing w:val="5"/>
          <w:sz w:val="24"/>
          <w:szCs w:val="24"/>
        </w:rPr>
        <w:t>一般工业固体废物贮存参照执行《一般工业固体废物贮存</w:t>
      </w:r>
      <w:r>
        <w:rPr>
          <w:rFonts w:ascii="宋体" w:hAnsi="宋体" w:eastAsia="宋体" w:cs="宋体"/>
          <w:spacing w:val="4"/>
          <w:sz w:val="24"/>
          <w:szCs w:val="24"/>
        </w:rPr>
        <w:t>和填埋污染控制标准》</w:t>
      </w:r>
      <w:r>
        <w:rPr>
          <w:rFonts w:ascii="宋体" w:hAnsi="宋体" w:eastAsia="宋体" w:cs="宋体"/>
          <w:sz w:val="24"/>
          <w:szCs w:val="24"/>
        </w:rPr>
        <w:t xml:space="preserve"> </w:t>
      </w:r>
      <w:r>
        <w:rPr>
          <w:rFonts w:ascii="宋体" w:hAnsi="宋体" w:eastAsia="宋体" w:cs="宋体"/>
          <w:spacing w:val="12"/>
          <w:sz w:val="24"/>
          <w:szCs w:val="24"/>
        </w:rPr>
        <w:t>（</w:t>
      </w:r>
      <w:r>
        <w:rPr>
          <w:rFonts w:ascii="Times New Roman" w:hAnsi="Times New Roman" w:eastAsia="Times New Roman" w:cs="Times New Roman"/>
          <w:sz w:val="24"/>
          <w:szCs w:val="24"/>
        </w:rPr>
        <w:t>GB</w:t>
      </w:r>
      <w:r>
        <w:rPr>
          <w:rFonts w:ascii="Times New Roman" w:hAnsi="Times New Roman" w:eastAsia="Times New Roman" w:cs="Times New Roman"/>
          <w:spacing w:val="12"/>
          <w:sz w:val="24"/>
          <w:szCs w:val="24"/>
        </w:rPr>
        <w:t xml:space="preserve">18599-2020 </w:t>
      </w:r>
      <w:r>
        <w:rPr>
          <w:rFonts w:ascii="宋体" w:hAnsi="宋体" w:eastAsia="宋体" w:cs="宋体"/>
          <w:spacing w:val="12"/>
          <w:sz w:val="24"/>
          <w:szCs w:val="24"/>
        </w:rPr>
        <w:t>）规定；</w:t>
      </w:r>
      <w:r>
        <w:rPr>
          <w:rFonts w:ascii="宋体" w:hAnsi="宋体" w:eastAsia="宋体" w:cs="宋体"/>
          <w:spacing w:val="-48"/>
          <w:sz w:val="24"/>
          <w:szCs w:val="24"/>
        </w:rPr>
        <w:t xml:space="preserve"> </w:t>
      </w:r>
      <w:r>
        <w:rPr>
          <w:rFonts w:ascii="宋体" w:hAnsi="宋体" w:eastAsia="宋体" w:cs="宋体"/>
          <w:spacing w:val="12"/>
          <w:sz w:val="24"/>
          <w:szCs w:val="24"/>
        </w:rPr>
        <w:t>危</w:t>
      </w:r>
      <w:r>
        <w:rPr>
          <w:rFonts w:ascii="宋体" w:hAnsi="宋体" w:eastAsia="宋体" w:cs="宋体"/>
          <w:spacing w:val="-66"/>
          <w:sz w:val="24"/>
          <w:szCs w:val="24"/>
        </w:rPr>
        <w:t xml:space="preserve"> </w:t>
      </w:r>
      <w:r>
        <w:rPr>
          <w:rFonts w:ascii="宋体" w:hAnsi="宋体" w:eastAsia="宋体" w:cs="宋体"/>
          <w:spacing w:val="12"/>
          <w:sz w:val="24"/>
          <w:szCs w:val="24"/>
        </w:rPr>
        <w:t>险废物</w:t>
      </w:r>
      <w:r>
        <w:rPr>
          <w:rFonts w:ascii="宋体" w:hAnsi="宋体" w:eastAsia="宋体" w:cs="宋体"/>
          <w:spacing w:val="-63"/>
          <w:sz w:val="24"/>
          <w:szCs w:val="24"/>
        </w:rPr>
        <w:t xml:space="preserve"> </w:t>
      </w:r>
      <w:r>
        <w:rPr>
          <w:rFonts w:ascii="宋体" w:hAnsi="宋体" w:eastAsia="宋体" w:cs="宋体"/>
          <w:spacing w:val="12"/>
          <w:sz w:val="24"/>
          <w:szCs w:val="24"/>
        </w:rPr>
        <w:t>的贮存执行《</w:t>
      </w:r>
      <w:r>
        <w:rPr>
          <w:rFonts w:ascii="宋体" w:hAnsi="宋体" w:eastAsia="宋体" w:cs="宋体"/>
          <w:spacing w:val="-53"/>
          <w:sz w:val="24"/>
          <w:szCs w:val="24"/>
        </w:rPr>
        <w:t xml:space="preserve"> </w:t>
      </w:r>
      <w:r>
        <w:rPr>
          <w:rFonts w:ascii="宋体" w:hAnsi="宋体" w:eastAsia="宋体" w:cs="宋体"/>
          <w:spacing w:val="12"/>
          <w:sz w:val="24"/>
          <w:szCs w:val="24"/>
        </w:rPr>
        <w:t>危</w:t>
      </w:r>
      <w:r>
        <w:rPr>
          <w:rFonts w:ascii="宋体" w:hAnsi="宋体" w:eastAsia="宋体" w:cs="宋体"/>
          <w:spacing w:val="-66"/>
          <w:sz w:val="24"/>
          <w:szCs w:val="24"/>
        </w:rPr>
        <w:t xml:space="preserve"> </w:t>
      </w:r>
      <w:r>
        <w:rPr>
          <w:rFonts w:ascii="宋体" w:hAnsi="宋体" w:eastAsia="宋体" w:cs="宋体"/>
          <w:spacing w:val="12"/>
          <w:sz w:val="24"/>
          <w:szCs w:val="24"/>
        </w:rPr>
        <w:t>险废物贮</w:t>
      </w:r>
      <w:r>
        <w:rPr>
          <w:rFonts w:ascii="宋体" w:hAnsi="宋体" w:eastAsia="宋体" w:cs="宋体"/>
          <w:spacing w:val="11"/>
          <w:sz w:val="24"/>
          <w:szCs w:val="24"/>
        </w:rPr>
        <w:t>存污染控制标准》</w:t>
      </w:r>
      <w:r>
        <w:rPr>
          <w:rFonts w:ascii="宋体" w:hAnsi="宋体" w:eastAsia="宋体" w:cs="宋体"/>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GB18597-2023</w:t>
      </w:r>
      <w:r>
        <w:rPr>
          <w:rFonts w:ascii="宋体" w:hAnsi="宋体" w:eastAsia="宋体" w:cs="宋体"/>
          <w:spacing w:val="-2"/>
          <w:sz w:val="24"/>
          <w:szCs w:val="24"/>
        </w:rPr>
        <w:t>）中相关规定。</w:t>
      </w:r>
    </w:p>
    <w:p w14:paraId="1154C632">
      <w:pPr>
        <w:spacing w:before="49" w:line="226" w:lineRule="auto"/>
        <w:ind w:left="36"/>
        <w:outlineLvl w:val="1"/>
        <w:rPr>
          <w:rFonts w:ascii="黑体" w:hAnsi="黑体" w:eastAsia="黑体" w:cs="黑体"/>
          <w:sz w:val="31"/>
          <w:szCs w:val="31"/>
        </w:rPr>
      </w:pPr>
      <w:bookmarkStart w:id="296" w:name="bookmark64"/>
      <w:bookmarkEnd w:id="296"/>
      <w:r>
        <w:rPr>
          <w:rFonts w:ascii="Times New Roman" w:hAnsi="Times New Roman" w:eastAsia="Times New Roman" w:cs="Times New Roman"/>
          <w:spacing w:val="5"/>
          <w:sz w:val="31"/>
          <w:szCs w:val="31"/>
        </w:rPr>
        <w:t xml:space="preserve">1.6 </w:t>
      </w:r>
      <w:r>
        <w:rPr>
          <w:rFonts w:ascii="黑体" w:hAnsi="黑体" w:eastAsia="黑体" w:cs="黑体"/>
          <w:spacing w:val="5"/>
          <w:sz w:val="31"/>
          <w:szCs w:val="31"/>
        </w:rPr>
        <w:t>评价工作等级及评价范围</w:t>
      </w:r>
    </w:p>
    <w:p w14:paraId="5867D2CE">
      <w:pPr>
        <w:spacing w:before="238" w:line="222" w:lineRule="auto"/>
        <w:ind w:left="34"/>
        <w:outlineLvl w:val="2"/>
        <w:rPr>
          <w:rFonts w:ascii="黑体" w:hAnsi="黑体" w:eastAsia="黑体" w:cs="黑体"/>
          <w:sz w:val="30"/>
          <w:szCs w:val="30"/>
        </w:rPr>
      </w:pPr>
      <w:bookmarkStart w:id="297" w:name="bookmark66"/>
      <w:bookmarkEnd w:id="297"/>
      <w:r>
        <w:rPr>
          <w:rFonts w:ascii="Times New Roman" w:hAnsi="Times New Roman" w:eastAsia="Times New Roman" w:cs="Times New Roman"/>
          <w:spacing w:val="-4"/>
          <w:sz w:val="30"/>
          <w:szCs w:val="30"/>
        </w:rPr>
        <w:t xml:space="preserve">1.6.1 </w:t>
      </w:r>
      <w:r>
        <w:rPr>
          <w:rFonts w:ascii="黑体" w:hAnsi="黑体" w:eastAsia="黑体" w:cs="黑体"/>
          <w:spacing w:val="-4"/>
          <w:sz w:val="30"/>
          <w:szCs w:val="30"/>
        </w:rPr>
        <w:t>大气环境</w:t>
      </w:r>
    </w:p>
    <w:p w14:paraId="4C46F590">
      <w:pPr>
        <w:spacing w:before="212"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）判定依据</w:t>
      </w:r>
    </w:p>
    <w:p w14:paraId="713246BF">
      <w:pPr>
        <w:spacing w:before="184" w:line="346" w:lineRule="auto"/>
        <w:ind w:left="9" w:right="65" w:firstLine="480"/>
        <w:rPr>
          <w:rFonts w:ascii="宋体" w:hAnsi="宋体" w:eastAsia="宋体" w:cs="宋体"/>
          <w:sz w:val="24"/>
          <w:szCs w:val="24"/>
        </w:rPr>
      </w:pPr>
      <w:r>
        <w:rPr>
          <w:rFonts w:ascii="宋体" w:hAnsi="宋体" w:eastAsia="宋体" w:cs="宋体"/>
          <w:spacing w:val="-1"/>
          <w:sz w:val="24"/>
          <w:szCs w:val="24"/>
        </w:rPr>
        <w:t>依据《环境影响评价技术导则 大气环境》（</w:t>
      </w:r>
      <w:r>
        <w:rPr>
          <w:rFonts w:ascii="Times New Roman" w:hAnsi="Times New Roman" w:eastAsia="Times New Roman" w:cs="Times New Roman"/>
          <w:spacing w:val="-1"/>
          <w:sz w:val="24"/>
          <w:szCs w:val="24"/>
        </w:rPr>
        <w:t>HJ2.2-2018</w:t>
      </w:r>
      <w:r>
        <w:rPr>
          <w:rFonts w:ascii="宋体" w:hAnsi="宋体" w:eastAsia="宋体" w:cs="宋体"/>
          <w:spacing w:val="-1"/>
          <w:sz w:val="24"/>
          <w:szCs w:val="24"/>
        </w:rPr>
        <w:t>）</w:t>
      </w:r>
      <w:r>
        <w:rPr>
          <w:rFonts w:ascii="宋体" w:hAnsi="宋体" w:eastAsia="宋体" w:cs="宋体"/>
          <w:spacing w:val="-2"/>
          <w:sz w:val="24"/>
          <w:szCs w:val="24"/>
        </w:rPr>
        <w:t>中</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 xml:space="preserve">5.3 </w:t>
      </w:r>
      <w:r>
        <w:rPr>
          <w:rFonts w:ascii="宋体" w:hAnsi="宋体" w:eastAsia="宋体" w:cs="宋体"/>
          <w:spacing w:val="-2"/>
          <w:sz w:val="24"/>
          <w:szCs w:val="24"/>
        </w:rPr>
        <w:t>节评价等级的确定</w:t>
      </w:r>
      <w:r>
        <w:rPr>
          <w:rFonts w:ascii="宋体" w:hAnsi="宋体" w:eastAsia="宋体" w:cs="宋体"/>
          <w:sz w:val="24"/>
          <w:szCs w:val="24"/>
        </w:rPr>
        <w:t xml:space="preserve"> </w:t>
      </w:r>
      <w:r>
        <w:rPr>
          <w:rFonts w:ascii="宋体" w:hAnsi="宋体" w:eastAsia="宋体" w:cs="宋体"/>
          <w:spacing w:val="-1"/>
          <w:sz w:val="24"/>
          <w:szCs w:val="24"/>
        </w:rPr>
        <w:t>方法，然后按评价工作评级判据进行分级。</w:t>
      </w:r>
    </w:p>
    <w:p w14:paraId="453F58BB">
      <w:pPr>
        <w:spacing w:before="34" w:line="218" w:lineRule="auto"/>
        <w:ind w:left="491"/>
        <w:rPr>
          <w:rFonts w:ascii="宋体" w:hAnsi="宋体" w:eastAsia="宋体" w:cs="宋体"/>
          <w:sz w:val="24"/>
          <w:szCs w:val="24"/>
        </w:rPr>
      </w:pPr>
      <w:r>
        <w:rPr>
          <w:rFonts w:ascii="宋体" w:hAnsi="宋体" w:eastAsia="宋体" w:cs="宋体"/>
          <w:spacing w:val="-2"/>
          <w:sz w:val="24"/>
          <w:szCs w:val="24"/>
        </w:rPr>
        <w:t>大气环境影响评价工作等级判定依据见表</w:t>
      </w:r>
      <w:r>
        <w:rPr>
          <w:rFonts w:ascii="宋体" w:hAnsi="宋体" w:eastAsia="宋体" w:cs="宋体"/>
          <w:spacing w:val="-26"/>
          <w:sz w:val="24"/>
          <w:szCs w:val="24"/>
        </w:rPr>
        <w:t xml:space="preserve"> </w:t>
      </w:r>
      <w:r>
        <w:rPr>
          <w:rFonts w:ascii="Times New Roman" w:hAnsi="Times New Roman" w:eastAsia="Times New Roman" w:cs="Times New Roman"/>
          <w:spacing w:val="-2"/>
          <w:sz w:val="24"/>
          <w:szCs w:val="24"/>
        </w:rPr>
        <w:t>1.6-1</w:t>
      </w:r>
      <w:r>
        <w:rPr>
          <w:rFonts w:ascii="宋体" w:hAnsi="宋体" w:eastAsia="宋体" w:cs="宋体"/>
          <w:spacing w:val="-2"/>
          <w:sz w:val="24"/>
          <w:szCs w:val="24"/>
        </w:rPr>
        <w:t>。</w:t>
      </w:r>
    </w:p>
    <w:p w14:paraId="46222D1F">
      <w:pPr>
        <w:spacing w:before="180" w:line="226" w:lineRule="auto"/>
        <w:ind w:left="3246"/>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34"/>
          <w:sz w:val="20"/>
          <w:szCs w:val="20"/>
        </w:rPr>
        <w:t xml:space="preserve"> </w:t>
      </w:r>
      <w:r>
        <w:rPr>
          <w:rFonts w:ascii="Times New Roman" w:hAnsi="Times New Roman" w:eastAsia="Times New Roman" w:cs="Times New Roman"/>
          <w:b/>
          <w:bCs/>
          <w:spacing w:val="4"/>
          <w:sz w:val="20"/>
          <w:szCs w:val="20"/>
        </w:rPr>
        <w:t xml:space="preserve">1.6-1        </w:t>
      </w:r>
      <w:r>
        <w:rPr>
          <w:rFonts w:ascii="宋体" w:hAnsi="宋体" w:eastAsia="宋体" w:cs="宋体"/>
          <w:b/>
          <w:bCs/>
          <w:spacing w:val="4"/>
          <w:sz w:val="20"/>
          <w:szCs w:val="20"/>
        </w:rPr>
        <w:t>评价工作等级表</w:t>
      </w:r>
    </w:p>
    <w:p w14:paraId="077362E9">
      <w:pPr>
        <w:spacing w:line="132"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65"/>
        <w:gridCol w:w="6807"/>
      </w:tblGrid>
      <w:tr w14:paraId="1850B9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2265" w:type="dxa"/>
            <w:tcBorders>
              <w:top w:val="single" w:color="000000" w:sz="10" w:space="0"/>
              <w:left w:val="nil"/>
            </w:tcBorders>
            <w:vAlign w:val="top"/>
          </w:tcPr>
          <w:p w14:paraId="2A75F23F">
            <w:pPr>
              <w:pStyle w:val="6"/>
              <w:spacing w:before="53" w:line="226" w:lineRule="auto"/>
              <w:ind w:left="507"/>
              <w:rPr>
                <w:sz w:val="20"/>
                <w:szCs w:val="20"/>
              </w:rPr>
            </w:pPr>
            <w:r>
              <w:rPr>
                <w:spacing w:val="8"/>
                <w:sz w:val="20"/>
                <w:szCs w:val="20"/>
              </w:rPr>
              <w:t>评价工作等级</w:t>
            </w:r>
          </w:p>
        </w:tc>
        <w:tc>
          <w:tcPr>
            <w:tcW w:w="6807" w:type="dxa"/>
            <w:tcBorders>
              <w:top w:val="single" w:color="000000" w:sz="10" w:space="0"/>
              <w:right w:val="nil"/>
            </w:tcBorders>
            <w:vAlign w:val="top"/>
          </w:tcPr>
          <w:p w14:paraId="29D472C1">
            <w:pPr>
              <w:pStyle w:val="6"/>
              <w:spacing w:before="53" w:line="226" w:lineRule="auto"/>
              <w:ind w:left="2569"/>
              <w:rPr>
                <w:sz w:val="20"/>
                <w:szCs w:val="20"/>
              </w:rPr>
            </w:pPr>
            <w:r>
              <w:rPr>
                <w:spacing w:val="8"/>
                <w:sz w:val="20"/>
                <w:szCs w:val="20"/>
              </w:rPr>
              <w:t>评价工作分级判据</w:t>
            </w:r>
          </w:p>
        </w:tc>
      </w:tr>
      <w:tr w14:paraId="422AF5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2265" w:type="dxa"/>
            <w:tcBorders>
              <w:left w:val="nil"/>
            </w:tcBorders>
            <w:vAlign w:val="top"/>
          </w:tcPr>
          <w:p w14:paraId="1F4D4447">
            <w:pPr>
              <w:pStyle w:val="6"/>
              <w:spacing w:before="64" w:line="230" w:lineRule="auto"/>
              <w:ind w:left="932"/>
              <w:rPr>
                <w:sz w:val="20"/>
                <w:szCs w:val="20"/>
              </w:rPr>
            </w:pPr>
            <w:r>
              <w:rPr>
                <w:spacing w:val="3"/>
                <w:sz w:val="20"/>
                <w:szCs w:val="20"/>
              </w:rPr>
              <w:t>一级</w:t>
            </w:r>
          </w:p>
        </w:tc>
        <w:tc>
          <w:tcPr>
            <w:tcW w:w="6807" w:type="dxa"/>
            <w:tcBorders>
              <w:right w:val="nil"/>
            </w:tcBorders>
            <w:vAlign w:val="top"/>
          </w:tcPr>
          <w:p w14:paraId="24CB929F">
            <w:pPr>
              <w:spacing w:before="102" w:line="197" w:lineRule="auto"/>
              <w:ind w:left="2981"/>
              <w:rPr>
                <w:rFonts w:ascii="Times New Roman" w:hAnsi="Times New Roman" w:eastAsia="Times New Roman" w:cs="Times New Roman"/>
                <w:sz w:val="20"/>
                <w:szCs w:val="20"/>
              </w:rPr>
            </w:pPr>
            <w:r>
              <w:rPr>
                <w:rFonts w:ascii="Times New Roman" w:hAnsi="Times New Roman" w:eastAsia="Times New Roman" w:cs="Times New Roman"/>
                <w:sz w:val="20"/>
                <w:szCs w:val="20"/>
              </w:rPr>
              <w:t>P</w:t>
            </w:r>
            <w:r>
              <w:rPr>
                <w:rFonts w:ascii="Times New Roman" w:hAnsi="Times New Roman" w:eastAsia="Times New Roman" w:cs="Times New Roman"/>
                <w:position w:val="-1"/>
                <w:sz w:val="13"/>
                <w:szCs w:val="13"/>
              </w:rPr>
              <w:t>max</w:t>
            </w:r>
            <w:r>
              <w:rPr>
                <w:rFonts w:ascii="Times New Roman" w:hAnsi="Times New Roman" w:eastAsia="Times New Roman" w:cs="Times New Roman"/>
                <w:spacing w:val="8"/>
                <w:sz w:val="20"/>
                <w:szCs w:val="20"/>
              </w:rPr>
              <w:t>≥10%</w:t>
            </w:r>
          </w:p>
        </w:tc>
      </w:tr>
      <w:tr w14:paraId="36F989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2265" w:type="dxa"/>
            <w:tcBorders>
              <w:left w:val="nil"/>
            </w:tcBorders>
            <w:vAlign w:val="top"/>
          </w:tcPr>
          <w:p w14:paraId="3D03BD26">
            <w:pPr>
              <w:pStyle w:val="6"/>
              <w:spacing w:before="70" w:line="229" w:lineRule="auto"/>
              <w:ind w:left="932"/>
              <w:rPr>
                <w:sz w:val="20"/>
                <w:szCs w:val="20"/>
              </w:rPr>
            </w:pPr>
            <w:r>
              <w:rPr>
                <w:spacing w:val="3"/>
                <w:sz w:val="20"/>
                <w:szCs w:val="20"/>
              </w:rPr>
              <w:t>二级</w:t>
            </w:r>
          </w:p>
        </w:tc>
        <w:tc>
          <w:tcPr>
            <w:tcW w:w="6807" w:type="dxa"/>
            <w:tcBorders>
              <w:right w:val="nil"/>
            </w:tcBorders>
            <w:vAlign w:val="top"/>
          </w:tcPr>
          <w:p w14:paraId="19BD3B5B">
            <w:pPr>
              <w:pStyle w:val="6"/>
              <w:spacing w:before="70" w:line="229" w:lineRule="auto"/>
              <w:ind w:left="2757"/>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1%≤</w:t>
            </w:r>
            <w:r>
              <w:rPr>
                <w:rFonts w:ascii="Times New Roman" w:hAnsi="Times New Roman" w:eastAsia="Times New Roman" w:cs="Times New Roman"/>
                <w:sz w:val="20"/>
                <w:szCs w:val="20"/>
              </w:rPr>
              <w:t>P</w:t>
            </w:r>
            <w:r>
              <w:rPr>
                <w:rFonts w:ascii="Times New Roman" w:hAnsi="Times New Roman" w:eastAsia="Times New Roman" w:cs="Times New Roman"/>
                <w:position w:val="-1"/>
                <w:sz w:val="13"/>
                <w:szCs w:val="13"/>
              </w:rPr>
              <w:t>max</w:t>
            </w:r>
            <w:r>
              <w:rPr>
                <w:spacing w:val="5"/>
                <w:sz w:val="20"/>
                <w:szCs w:val="20"/>
              </w:rPr>
              <w:t>＜</w:t>
            </w:r>
            <w:r>
              <w:rPr>
                <w:rFonts w:ascii="Times New Roman" w:hAnsi="Times New Roman" w:eastAsia="Times New Roman" w:cs="Times New Roman"/>
                <w:spacing w:val="5"/>
                <w:sz w:val="20"/>
                <w:szCs w:val="20"/>
              </w:rPr>
              <w:t>10%</w:t>
            </w:r>
          </w:p>
        </w:tc>
      </w:tr>
      <w:tr w14:paraId="07A183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2" w:hRule="atLeast"/>
        </w:trPr>
        <w:tc>
          <w:tcPr>
            <w:tcW w:w="2265" w:type="dxa"/>
            <w:tcBorders>
              <w:left w:val="nil"/>
              <w:bottom w:val="single" w:color="000000" w:sz="10" w:space="0"/>
            </w:tcBorders>
            <w:vAlign w:val="top"/>
          </w:tcPr>
          <w:p w14:paraId="72D500FD">
            <w:pPr>
              <w:pStyle w:val="6"/>
              <w:spacing w:before="77" w:line="230" w:lineRule="auto"/>
              <w:ind w:left="928"/>
              <w:rPr>
                <w:sz w:val="20"/>
                <w:szCs w:val="20"/>
              </w:rPr>
            </w:pPr>
            <w:r>
              <w:rPr>
                <w:spacing w:val="4"/>
                <w:sz w:val="20"/>
                <w:szCs w:val="20"/>
              </w:rPr>
              <w:t>三级</w:t>
            </w:r>
          </w:p>
        </w:tc>
        <w:tc>
          <w:tcPr>
            <w:tcW w:w="6807" w:type="dxa"/>
            <w:tcBorders>
              <w:bottom w:val="single" w:color="000000" w:sz="10" w:space="0"/>
              <w:right w:val="nil"/>
            </w:tcBorders>
            <w:vAlign w:val="top"/>
          </w:tcPr>
          <w:p w14:paraId="3E332998">
            <w:pPr>
              <w:pStyle w:val="6"/>
              <w:spacing w:before="78" w:line="236" w:lineRule="auto"/>
              <w:ind w:left="2986"/>
              <w:rPr>
                <w:rFonts w:ascii="Times New Roman" w:hAnsi="Times New Roman" w:eastAsia="Times New Roman" w:cs="Times New Roman"/>
                <w:sz w:val="20"/>
                <w:szCs w:val="20"/>
              </w:rPr>
            </w:pPr>
            <w:r>
              <w:rPr>
                <w:rFonts w:ascii="Times New Roman" w:hAnsi="Times New Roman" w:eastAsia="Times New Roman" w:cs="Times New Roman"/>
                <w:sz w:val="20"/>
                <w:szCs w:val="20"/>
              </w:rPr>
              <w:t>P</w:t>
            </w:r>
            <w:r>
              <w:rPr>
                <w:rFonts w:ascii="Times New Roman" w:hAnsi="Times New Roman" w:eastAsia="Times New Roman" w:cs="Times New Roman"/>
                <w:position w:val="-1"/>
                <w:sz w:val="13"/>
                <w:szCs w:val="13"/>
              </w:rPr>
              <w:t>max</w:t>
            </w:r>
            <w:r>
              <w:rPr>
                <w:spacing w:val="12"/>
                <w:sz w:val="20"/>
                <w:szCs w:val="20"/>
              </w:rPr>
              <w:t>＜</w:t>
            </w:r>
            <w:r>
              <w:rPr>
                <w:rFonts w:ascii="Times New Roman" w:hAnsi="Times New Roman" w:eastAsia="Times New Roman" w:cs="Times New Roman"/>
                <w:spacing w:val="12"/>
                <w:sz w:val="20"/>
                <w:szCs w:val="20"/>
              </w:rPr>
              <w:t>1%</w:t>
            </w:r>
          </w:p>
        </w:tc>
      </w:tr>
    </w:tbl>
    <w:p w14:paraId="625E5448">
      <w:pPr>
        <w:spacing w:before="157" w:line="219" w:lineRule="auto"/>
        <w:ind w:left="489"/>
        <w:rPr>
          <w:rFonts w:ascii="宋体" w:hAnsi="宋体" w:eastAsia="宋体" w:cs="宋体"/>
          <w:sz w:val="24"/>
          <w:szCs w:val="24"/>
        </w:rPr>
      </w:pPr>
      <w:r>
        <w:rPr>
          <w:rFonts w:ascii="宋体" w:hAnsi="宋体" w:eastAsia="宋体" w:cs="宋体"/>
          <w:spacing w:val="-2"/>
          <w:sz w:val="24"/>
          <w:szCs w:val="24"/>
        </w:rPr>
        <w:t>其中最大地面浓度占标率</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P</w:t>
      </w:r>
      <w:r>
        <w:rPr>
          <w:rFonts w:ascii="Times New Roman" w:hAnsi="Times New Roman" w:eastAsia="Times New Roman" w:cs="Times New Roman"/>
          <w:spacing w:val="-2"/>
          <w:position w:val="-1"/>
          <w:sz w:val="15"/>
          <w:szCs w:val="15"/>
        </w:rPr>
        <w:t>i</w:t>
      </w:r>
      <w:r>
        <w:rPr>
          <w:rFonts w:ascii="Times New Roman" w:hAnsi="Times New Roman" w:eastAsia="Times New Roman" w:cs="Times New Roman"/>
          <w:spacing w:val="16"/>
          <w:position w:val="-1"/>
          <w:sz w:val="15"/>
          <w:szCs w:val="15"/>
        </w:rPr>
        <w:t xml:space="preserve"> </w:t>
      </w:r>
      <w:r>
        <w:rPr>
          <w:rFonts w:ascii="宋体" w:hAnsi="宋体" w:eastAsia="宋体" w:cs="宋体"/>
          <w:spacing w:val="-2"/>
          <w:sz w:val="24"/>
          <w:szCs w:val="24"/>
        </w:rPr>
        <w:t>定义为：</w:t>
      </w:r>
    </w:p>
    <w:p w14:paraId="404DACA4">
      <w:pPr>
        <w:pStyle w:val="2"/>
        <w:spacing w:before="218" w:line="199" w:lineRule="auto"/>
        <w:ind w:left="4024"/>
        <w:rPr>
          <w:rFonts w:ascii="Times New Roman" w:hAnsi="Times New Roman" w:eastAsia="Times New Roman" w:cs="Times New Roman"/>
          <w:sz w:val="13"/>
          <w:szCs w:val="13"/>
        </w:rPr>
      </w:pPr>
      <w:r>
        <w:rPr>
          <w:rFonts w:ascii="Times New Roman" w:hAnsi="Times New Roman" w:eastAsia="Times New Roman" w:cs="Times New Roman"/>
          <w:position w:val="1"/>
          <w:sz w:val="23"/>
          <w:szCs w:val="23"/>
        </w:rPr>
        <w:t xml:space="preserve">P </w:t>
      </w:r>
      <w:r>
        <w:rPr>
          <w:position w:val="1"/>
          <w:sz w:val="23"/>
          <w:szCs w:val="23"/>
        </w:rPr>
        <w:t xml:space="preserve">= </w:t>
      </w:r>
      <w:r>
        <w:rPr>
          <w:rFonts w:ascii="Times New Roman" w:hAnsi="Times New Roman" w:eastAsia="Times New Roman" w:cs="Times New Roman"/>
          <w:position w:val="1"/>
          <w:sz w:val="23"/>
          <w:szCs w:val="23"/>
        </w:rPr>
        <w:t>C</w:t>
      </w:r>
      <w:r>
        <w:rPr>
          <w:rFonts w:ascii="Times New Roman" w:hAnsi="Times New Roman" w:eastAsia="Times New Roman" w:cs="Times New Roman"/>
          <w:position w:val="-4"/>
          <w:sz w:val="13"/>
          <w:szCs w:val="13"/>
        </w:rPr>
        <w:t xml:space="preserve">i  </w:t>
      </w:r>
      <w:r>
        <w:rPr>
          <w:rFonts w:ascii="Times New Roman" w:hAnsi="Times New Roman" w:eastAsia="Times New Roman" w:cs="Times New Roman"/>
          <w:position w:val="1"/>
          <w:sz w:val="23"/>
          <w:szCs w:val="23"/>
        </w:rPr>
        <w:t>/</w:t>
      </w:r>
      <w:r>
        <w:rPr>
          <w:rFonts w:ascii="Times New Roman" w:hAnsi="Times New Roman" w:eastAsia="Times New Roman" w:cs="Times New Roman"/>
          <w:spacing w:val="-6"/>
          <w:position w:val="1"/>
          <w:sz w:val="23"/>
          <w:szCs w:val="23"/>
        </w:rPr>
        <w:t xml:space="preserve"> </w:t>
      </w:r>
      <w:r>
        <w:rPr>
          <w:rFonts w:ascii="Times New Roman" w:hAnsi="Times New Roman" w:eastAsia="Times New Roman" w:cs="Times New Roman"/>
          <w:position w:val="1"/>
          <w:sz w:val="23"/>
          <w:szCs w:val="23"/>
        </w:rPr>
        <w:t>C</w:t>
      </w:r>
      <w:r>
        <w:rPr>
          <w:rFonts w:ascii="Times New Roman" w:hAnsi="Times New Roman" w:eastAsia="Times New Roman" w:cs="Times New Roman"/>
          <w:position w:val="-4"/>
          <w:sz w:val="13"/>
          <w:szCs w:val="13"/>
        </w:rPr>
        <w:t>0i</w:t>
      </w:r>
    </w:p>
    <w:p w14:paraId="2BCA4DD7">
      <w:pPr>
        <w:spacing w:before="204" w:line="219" w:lineRule="auto"/>
        <w:ind w:left="493"/>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spacing w:val="-1"/>
          <w:sz w:val="24"/>
          <w:szCs w:val="24"/>
        </w:rPr>
        <w:t>P</w:t>
      </w:r>
      <w:r>
        <w:rPr>
          <w:rFonts w:ascii="Times New Roman" w:hAnsi="Times New Roman" w:eastAsia="Times New Roman" w:cs="Times New Roman"/>
          <w:spacing w:val="-1"/>
          <w:sz w:val="15"/>
          <w:szCs w:val="15"/>
        </w:rPr>
        <w:t>i</w:t>
      </w:r>
      <w:r>
        <w:rPr>
          <w:rFonts w:ascii="Times New Roman" w:hAnsi="Times New Roman" w:eastAsia="Times New Roman" w:cs="Times New Roman"/>
          <w:spacing w:val="-1"/>
          <w:sz w:val="24"/>
          <w:szCs w:val="24"/>
        </w:rPr>
        <w:t>—</w:t>
      </w:r>
      <w:r>
        <w:rPr>
          <w:rFonts w:ascii="宋体" w:hAnsi="宋体" w:eastAsia="宋体" w:cs="宋体"/>
          <w:spacing w:val="-1"/>
          <w:sz w:val="24"/>
          <w:szCs w:val="24"/>
        </w:rPr>
        <w:t>第</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 xml:space="preserve">i </w:t>
      </w:r>
      <w:r>
        <w:rPr>
          <w:rFonts w:ascii="宋体" w:hAnsi="宋体" w:eastAsia="宋体" w:cs="宋体"/>
          <w:spacing w:val="-1"/>
          <w:sz w:val="24"/>
          <w:szCs w:val="24"/>
        </w:rPr>
        <w:t>个污染物的最大地面空气质量浓度占标率，</w:t>
      </w:r>
      <w:r>
        <w:rPr>
          <w:rFonts w:ascii="Times New Roman" w:hAnsi="Times New Roman" w:eastAsia="Times New Roman" w:cs="Times New Roman"/>
          <w:spacing w:val="-1"/>
          <w:sz w:val="24"/>
          <w:szCs w:val="24"/>
        </w:rPr>
        <w:t>%</w:t>
      </w:r>
      <w:r>
        <w:rPr>
          <w:rFonts w:ascii="宋体" w:hAnsi="宋体" w:eastAsia="宋体" w:cs="宋体"/>
          <w:spacing w:val="-1"/>
          <w:sz w:val="24"/>
          <w:szCs w:val="24"/>
        </w:rPr>
        <w:t>；</w:t>
      </w:r>
    </w:p>
    <w:p w14:paraId="46317AEF">
      <w:pPr>
        <w:spacing w:before="183" w:line="210" w:lineRule="auto"/>
        <w:ind w:left="1207"/>
        <w:rPr>
          <w:rFonts w:ascii="宋体" w:hAnsi="宋体" w:eastAsia="宋体" w:cs="宋体"/>
          <w:sz w:val="24"/>
          <w:szCs w:val="24"/>
        </w:rPr>
      </w:pPr>
      <w:r>
        <w:rPr>
          <w:rFonts w:ascii="Times New Roman" w:hAnsi="Times New Roman" w:eastAsia="Times New Roman" w:cs="Times New Roman"/>
          <w:spacing w:val="-1"/>
          <w:sz w:val="24"/>
          <w:szCs w:val="24"/>
        </w:rPr>
        <w:t>C</w:t>
      </w:r>
      <w:r>
        <w:rPr>
          <w:rFonts w:ascii="Times New Roman" w:hAnsi="Times New Roman" w:eastAsia="Times New Roman" w:cs="Times New Roman"/>
          <w:spacing w:val="-1"/>
          <w:position w:val="-1"/>
          <w:sz w:val="15"/>
          <w:szCs w:val="15"/>
        </w:rPr>
        <w:t>i</w:t>
      </w:r>
      <w:r>
        <w:rPr>
          <w:rFonts w:ascii="Times New Roman" w:hAnsi="Times New Roman" w:eastAsia="Times New Roman" w:cs="Times New Roman"/>
          <w:spacing w:val="-1"/>
          <w:sz w:val="24"/>
          <w:szCs w:val="24"/>
        </w:rPr>
        <w:t>—</w:t>
      </w:r>
      <w:r>
        <w:rPr>
          <w:rFonts w:ascii="宋体" w:hAnsi="宋体" w:eastAsia="宋体" w:cs="宋体"/>
          <w:spacing w:val="-1"/>
          <w:sz w:val="24"/>
          <w:szCs w:val="24"/>
        </w:rPr>
        <w:t>采用估算模型计算出的第</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 xml:space="preserve">i </w:t>
      </w:r>
      <w:r>
        <w:rPr>
          <w:rFonts w:ascii="宋体" w:hAnsi="宋体" w:eastAsia="宋体" w:cs="宋体"/>
          <w:spacing w:val="-1"/>
          <w:sz w:val="24"/>
          <w:szCs w:val="24"/>
        </w:rPr>
        <w:t>个污染物的</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 xml:space="preserve">1h </w:t>
      </w:r>
      <w:r>
        <w:rPr>
          <w:rFonts w:ascii="宋体" w:hAnsi="宋体" w:eastAsia="宋体" w:cs="宋体"/>
          <w:spacing w:val="-1"/>
          <w:sz w:val="24"/>
          <w:szCs w:val="24"/>
        </w:rPr>
        <w:t>最大地面浓度，</w:t>
      </w:r>
      <w:r>
        <w:rPr>
          <w:rFonts w:ascii="Times New Roman" w:hAnsi="Times New Roman" w:eastAsia="Times New Roman" w:cs="Times New Roman"/>
          <w:spacing w:val="-1"/>
          <w:sz w:val="24"/>
          <w:szCs w:val="24"/>
        </w:rPr>
        <w:t>μg/</w:t>
      </w:r>
      <w:r>
        <w:rPr>
          <w:rFonts w:ascii="Times New Roman" w:hAnsi="Times New Roman" w:eastAsia="Times New Roman" w:cs="Times New Roman"/>
          <w:spacing w:val="-2"/>
          <w:sz w:val="24"/>
          <w:szCs w:val="24"/>
        </w:rPr>
        <w:t>m</w:t>
      </w:r>
      <w:r>
        <w:rPr>
          <w:rFonts w:ascii="Times New Roman" w:hAnsi="Times New Roman" w:eastAsia="Times New Roman" w:cs="Times New Roman"/>
          <w:spacing w:val="-2"/>
          <w:position w:val="8"/>
          <w:sz w:val="15"/>
          <w:szCs w:val="15"/>
        </w:rPr>
        <w:t>3</w:t>
      </w:r>
      <w:r>
        <w:rPr>
          <w:rFonts w:ascii="宋体" w:hAnsi="宋体" w:eastAsia="宋体" w:cs="宋体"/>
          <w:spacing w:val="-2"/>
          <w:sz w:val="24"/>
          <w:szCs w:val="24"/>
        </w:rPr>
        <w:t>；</w:t>
      </w:r>
    </w:p>
    <w:p w14:paraId="4F9FFC62">
      <w:pPr>
        <w:spacing w:before="191" w:line="351" w:lineRule="auto"/>
        <w:ind w:left="7" w:firstLine="1200"/>
        <w:rPr>
          <w:rFonts w:ascii="宋体" w:hAnsi="宋体" w:eastAsia="宋体" w:cs="宋体"/>
          <w:sz w:val="24"/>
          <w:szCs w:val="24"/>
        </w:rPr>
      </w:pPr>
      <w:r>
        <w:rPr>
          <w:rFonts w:ascii="Times New Roman" w:hAnsi="Times New Roman" w:eastAsia="Times New Roman" w:cs="Times New Roman"/>
          <w:spacing w:val="-2"/>
          <w:sz w:val="24"/>
          <w:szCs w:val="24"/>
        </w:rPr>
        <w:t>C</w:t>
      </w:r>
      <w:r>
        <w:rPr>
          <w:rFonts w:ascii="Times New Roman" w:hAnsi="Times New Roman" w:eastAsia="Times New Roman" w:cs="Times New Roman"/>
          <w:spacing w:val="-2"/>
          <w:position w:val="-1"/>
          <w:sz w:val="15"/>
          <w:szCs w:val="15"/>
        </w:rPr>
        <w:t>0i</w:t>
      </w:r>
      <w:r>
        <w:rPr>
          <w:rFonts w:ascii="Times New Roman" w:hAnsi="Times New Roman" w:eastAsia="Times New Roman" w:cs="Times New Roman"/>
          <w:spacing w:val="-2"/>
          <w:sz w:val="24"/>
          <w:szCs w:val="24"/>
        </w:rPr>
        <w:t>—</w:t>
      </w:r>
      <w:r>
        <w:rPr>
          <w:rFonts w:ascii="宋体" w:hAnsi="宋体" w:eastAsia="宋体" w:cs="宋体"/>
          <w:spacing w:val="-2"/>
          <w:sz w:val="24"/>
          <w:szCs w:val="24"/>
        </w:rPr>
        <w:t>第</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 xml:space="preserve">i </w:t>
      </w:r>
      <w:r>
        <w:rPr>
          <w:rFonts w:ascii="宋体" w:hAnsi="宋体" w:eastAsia="宋体" w:cs="宋体"/>
          <w:spacing w:val="-2"/>
          <w:sz w:val="24"/>
          <w:szCs w:val="24"/>
        </w:rPr>
        <w:t>个污染物的环境质量标准，</w:t>
      </w:r>
      <w:r>
        <w:rPr>
          <w:rFonts w:ascii="Times New Roman" w:hAnsi="Times New Roman" w:eastAsia="Times New Roman" w:cs="Times New Roman"/>
          <w:spacing w:val="-2"/>
          <w:sz w:val="24"/>
          <w:szCs w:val="24"/>
        </w:rPr>
        <w:t>μg/</w:t>
      </w:r>
      <w:r>
        <w:rPr>
          <w:rFonts w:ascii="Times New Roman" w:hAnsi="Times New Roman" w:eastAsia="Times New Roman" w:cs="Times New Roman"/>
          <w:spacing w:val="-3"/>
          <w:sz w:val="24"/>
          <w:szCs w:val="24"/>
        </w:rPr>
        <w:t>m</w:t>
      </w:r>
      <w:r>
        <w:rPr>
          <w:rFonts w:ascii="Times New Roman" w:hAnsi="Times New Roman" w:eastAsia="Times New Roman" w:cs="Times New Roman"/>
          <w:spacing w:val="-3"/>
          <w:position w:val="7"/>
          <w:sz w:val="15"/>
          <w:szCs w:val="15"/>
        </w:rPr>
        <w:t xml:space="preserve">3 </w:t>
      </w:r>
      <w:r>
        <w:rPr>
          <w:rFonts w:ascii="宋体" w:hAnsi="宋体" w:eastAsia="宋体" w:cs="宋体"/>
          <w:spacing w:val="-3"/>
          <w:sz w:val="24"/>
          <w:szCs w:val="24"/>
        </w:rPr>
        <w:t>。一般选用</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GB3095</w:t>
      </w:r>
      <w:r>
        <w:rPr>
          <w:rFonts w:ascii="Times New Roman" w:hAnsi="Times New Roman" w:eastAsia="Times New Roman" w:cs="Times New Roman"/>
          <w:spacing w:val="34"/>
          <w:w w:val="101"/>
          <w:sz w:val="24"/>
          <w:szCs w:val="24"/>
        </w:rPr>
        <w:t xml:space="preserve"> </w:t>
      </w:r>
      <w:r>
        <w:rPr>
          <w:rFonts w:ascii="宋体" w:hAnsi="宋体" w:eastAsia="宋体" w:cs="宋体"/>
          <w:spacing w:val="-3"/>
          <w:sz w:val="24"/>
          <w:szCs w:val="24"/>
        </w:rPr>
        <w:t>中</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1h </w:t>
      </w:r>
      <w:r>
        <w:rPr>
          <w:rFonts w:ascii="宋体" w:hAnsi="宋体" w:eastAsia="宋体" w:cs="宋体"/>
          <w:spacing w:val="-3"/>
          <w:sz w:val="24"/>
          <w:szCs w:val="24"/>
        </w:rPr>
        <w:t>平均质</w:t>
      </w:r>
      <w:r>
        <w:rPr>
          <w:rFonts w:ascii="宋体" w:hAnsi="宋体" w:eastAsia="宋体" w:cs="宋体"/>
          <w:sz w:val="24"/>
          <w:szCs w:val="24"/>
        </w:rPr>
        <w:t xml:space="preserve"> </w:t>
      </w:r>
      <w:r>
        <w:rPr>
          <w:rFonts w:ascii="宋体" w:hAnsi="宋体" w:eastAsia="宋体" w:cs="宋体"/>
          <w:spacing w:val="-6"/>
          <w:sz w:val="24"/>
          <w:szCs w:val="24"/>
        </w:rPr>
        <w:t>量浓度的二级浓度限值，如项目位于一类环境空气功能区，应选择相应的一级浓度限值；</w:t>
      </w:r>
      <w:r>
        <w:rPr>
          <w:rFonts w:ascii="宋体" w:hAnsi="宋体" w:eastAsia="宋体" w:cs="宋体"/>
          <w:spacing w:val="4"/>
          <w:sz w:val="24"/>
          <w:szCs w:val="24"/>
        </w:rPr>
        <w:t xml:space="preserve"> </w:t>
      </w:r>
      <w:r>
        <w:rPr>
          <w:rFonts w:ascii="宋体" w:hAnsi="宋体" w:eastAsia="宋体" w:cs="宋体"/>
          <w:spacing w:val="-4"/>
          <w:sz w:val="24"/>
          <w:szCs w:val="24"/>
        </w:rPr>
        <w:t>对该标准中未包含的污染物，使用</w:t>
      </w:r>
      <w:r>
        <w:rPr>
          <w:rFonts w:ascii="宋体" w:hAnsi="宋体" w:eastAsia="宋体" w:cs="宋体"/>
          <w:spacing w:val="-36"/>
          <w:sz w:val="24"/>
          <w:szCs w:val="24"/>
        </w:rPr>
        <w:t xml:space="preserve"> </w:t>
      </w:r>
      <w:r>
        <w:rPr>
          <w:rFonts w:ascii="Times New Roman" w:hAnsi="Times New Roman" w:eastAsia="Times New Roman" w:cs="Times New Roman"/>
          <w:spacing w:val="-4"/>
          <w:sz w:val="24"/>
          <w:szCs w:val="24"/>
        </w:rPr>
        <w:t xml:space="preserve">5.2 </w:t>
      </w:r>
      <w:r>
        <w:rPr>
          <w:rFonts w:ascii="宋体" w:hAnsi="宋体" w:eastAsia="宋体" w:cs="宋体"/>
          <w:spacing w:val="-4"/>
          <w:sz w:val="24"/>
          <w:szCs w:val="24"/>
        </w:rPr>
        <w:t>确定的各评价因子</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1h </w:t>
      </w:r>
      <w:r>
        <w:rPr>
          <w:rFonts w:ascii="宋体" w:hAnsi="宋体" w:eastAsia="宋体" w:cs="宋体"/>
          <w:spacing w:val="-4"/>
          <w:sz w:val="24"/>
          <w:szCs w:val="24"/>
        </w:rPr>
        <w:t>平均质量浓度限值。对仅有</w:t>
      </w:r>
      <w:r>
        <w:rPr>
          <w:rFonts w:ascii="宋体" w:hAnsi="宋体" w:eastAsia="宋体" w:cs="宋体"/>
          <w:sz w:val="24"/>
          <w:szCs w:val="24"/>
        </w:rPr>
        <w:t xml:space="preserve"> </w:t>
      </w:r>
      <w:r>
        <w:rPr>
          <w:rFonts w:ascii="Times New Roman" w:hAnsi="Times New Roman" w:eastAsia="Times New Roman" w:cs="Times New Roman"/>
          <w:spacing w:val="-3"/>
          <w:sz w:val="24"/>
          <w:szCs w:val="24"/>
        </w:rPr>
        <w:t xml:space="preserve">8h </w:t>
      </w:r>
      <w:r>
        <w:rPr>
          <w:rFonts w:ascii="宋体" w:hAnsi="宋体" w:eastAsia="宋体" w:cs="宋体"/>
          <w:spacing w:val="-3"/>
          <w:sz w:val="24"/>
          <w:szCs w:val="24"/>
        </w:rPr>
        <w:t>平均质量浓度限值、</w:t>
      </w:r>
      <w:r>
        <w:rPr>
          <w:rFonts w:ascii="宋体" w:hAnsi="宋体" w:eastAsia="宋体" w:cs="宋体"/>
          <w:spacing w:val="-52"/>
          <w:sz w:val="24"/>
          <w:szCs w:val="24"/>
        </w:rPr>
        <w:t xml:space="preserve"> </w:t>
      </w:r>
      <w:r>
        <w:rPr>
          <w:rFonts w:ascii="宋体" w:hAnsi="宋体" w:eastAsia="宋体" w:cs="宋体"/>
          <w:spacing w:val="-3"/>
          <w:sz w:val="24"/>
          <w:szCs w:val="24"/>
        </w:rPr>
        <w:t>日平均质量浓度限值或年平均质量浓度限值的，可分别按</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 xml:space="preserve">2 </w:t>
      </w:r>
      <w:r>
        <w:rPr>
          <w:rFonts w:ascii="宋体" w:hAnsi="宋体" w:eastAsia="宋体" w:cs="宋体"/>
          <w:spacing w:val="-3"/>
          <w:sz w:val="24"/>
          <w:szCs w:val="24"/>
        </w:rPr>
        <w:t>倍、</w:t>
      </w:r>
    </w:p>
    <w:p w14:paraId="2F5231B4">
      <w:pPr>
        <w:spacing w:line="351" w:lineRule="auto"/>
        <w:rPr>
          <w:rFonts w:ascii="宋体" w:hAnsi="宋体" w:eastAsia="宋体" w:cs="宋体"/>
          <w:sz w:val="24"/>
          <w:szCs w:val="24"/>
        </w:rPr>
        <w:sectPr>
          <w:headerReference r:id="rId62" w:type="default"/>
          <w:footerReference r:id="rId63" w:type="default"/>
          <w:pgSz w:w="11907" w:h="16840"/>
          <w:pgMar w:top="1178" w:right="1350" w:bottom="1038" w:left="1417" w:header="870" w:footer="876" w:gutter="0"/>
          <w:cols w:space="720" w:num="1"/>
        </w:sectPr>
      </w:pPr>
    </w:p>
    <w:p w14:paraId="79A9A277">
      <w:pPr>
        <w:spacing w:before="274" w:line="219" w:lineRule="auto"/>
        <w:ind w:left="116"/>
        <w:rPr>
          <w:rFonts w:ascii="宋体" w:hAnsi="宋体" w:eastAsia="宋体" w:cs="宋体"/>
          <w:sz w:val="24"/>
          <w:szCs w:val="24"/>
        </w:rPr>
      </w:pPr>
      <w:r>
        <w:pict>
          <v:shape id="_x0000_s1062" o:spid="_x0000_s1062" style="position:absolute;left:0pt;margin-left:70.85pt;margin-top:59.65pt;height:0.75pt;width:453.65pt;mso-position-horizontal-relative:page;mso-position-vertical-relative:page;z-index:251696128;mso-width-relative:page;mso-height-relative:page;" fillcolor="#000000" filled="t" stroked="f" coordsize="9072,15" o:allowincell="f" path="m0,0l9072,0,9072,14,0,14,0,0xe">
            <v:path/>
            <v:fill on="t" focussize="0,0"/>
            <v:stroke on="f"/>
            <v:imagedata o:title=""/>
            <o:lock v:ext="edit"/>
          </v:shape>
        </w:pict>
      </w:r>
      <w:r>
        <w:rPr>
          <w:rFonts w:ascii="Times New Roman" w:hAnsi="Times New Roman" w:eastAsia="Times New Roman" w:cs="Times New Roman"/>
          <w:spacing w:val="-2"/>
          <w:sz w:val="24"/>
          <w:szCs w:val="24"/>
        </w:rPr>
        <w:t xml:space="preserve">3 </w:t>
      </w:r>
      <w:r>
        <w:rPr>
          <w:rFonts w:ascii="宋体" w:hAnsi="宋体" w:eastAsia="宋体" w:cs="宋体"/>
          <w:spacing w:val="-2"/>
          <w:sz w:val="24"/>
          <w:szCs w:val="24"/>
        </w:rPr>
        <w:t>倍、</w:t>
      </w:r>
      <w:r>
        <w:rPr>
          <w:rFonts w:ascii="Times New Roman" w:hAnsi="Times New Roman" w:eastAsia="Times New Roman" w:cs="Times New Roman"/>
          <w:spacing w:val="-2"/>
          <w:sz w:val="24"/>
          <w:szCs w:val="24"/>
        </w:rPr>
        <w:t xml:space="preserve">6 </w:t>
      </w:r>
      <w:r>
        <w:rPr>
          <w:rFonts w:ascii="宋体" w:hAnsi="宋体" w:eastAsia="宋体" w:cs="宋体"/>
          <w:spacing w:val="-2"/>
          <w:sz w:val="24"/>
          <w:szCs w:val="24"/>
        </w:rPr>
        <w:t>倍折算为</w:t>
      </w:r>
      <w:r>
        <w:rPr>
          <w:rFonts w:ascii="宋体" w:hAnsi="宋体" w:eastAsia="宋体" w:cs="宋体"/>
          <w:spacing w:val="-27"/>
          <w:sz w:val="24"/>
          <w:szCs w:val="24"/>
        </w:rPr>
        <w:t xml:space="preserve"> </w:t>
      </w:r>
      <w:r>
        <w:rPr>
          <w:rFonts w:ascii="Times New Roman" w:hAnsi="Times New Roman" w:eastAsia="Times New Roman" w:cs="Times New Roman"/>
          <w:spacing w:val="-2"/>
          <w:sz w:val="24"/>
          <w:szCs w:val="24"/>
        </w:rPr>
        <w:t xml:space="preserve">1h </w:t>
      </w:r>
      <w:r>
        <w:rPr>
          <w:rFonts w:ascii="宋体" w:hAnsi="宋体" w:eastAsia="宋体" w:cs="宋体"/>
          <w:spacing w:val="-2"/>
          <w:sz w:val="24"/>
          <w:szCs w:val="24"/>
        </w:rPr>
        <w:t>平均质量浓度限值。</w:t>
      </w:r>
    </w:p>
    <w:p w14:paraId="571DEA14">
      <w:pPr>
        <w:spacing w:before="180" w:line="219" w:lineRule="auto"/>
        <w:ind w:left="607"/>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）执行标准</w:t>
      </w:r>
    </w:p>
    <w:p w14:paraId="22B92D88">
      <w:pPr>
        <w:spacing w:before="183" w:line="350" w:lineRule="auto"/>
        <w:ind w:left="116" w:right="107" w:firstLine="479"/>
        <w:jc w:val="both"/>
        <w:rPr>
          <w:rFonts w:ascii="宋体" w:hAnsi="宋体" w:eastAsia="宋体" w:cs="宋体"/>
          <w:sz w:val="24"/>
          <w:szCs w:val="24"/>
        </w:rPr>
      </w:pPr>
      <w:r>
        <w:rPr>
          <w:rFonts w:ascii="宋体" w:hAnsi="宋体" w:eastAsia="宋体" w:cs="宋体"/>
          <w:sz w:val="24"/>
          <w:szCs w:val="24"/>
        </w:rPr>
        <w:t>选用《环境空气质量标准》（</w:t>
      </w:r>
      <w:r>
        <w:rPr>
          <w:rFonts w:ascii="Times New Roman" w:hAnsi="Times New Roman" w:eastAsia="Times New Roman" w:cs="Times New Roman"/>
          <w:sz w:val="24"/>
          <w:szCs w:val="24"/>
        </w:rPr>
        <w:t>GB 3095-2012</w:t>
      </w:r>
      <w:r>
        <w:rPr>
          <w:rFonts w:ascii="宋体" w:hAnsi="宋体" w:eastAsia="宋体" w:cs="宋体"/>
          <w:sz w:val="24"/>
          <w:szCs w:val="24"/>
        </w:rPr>
        <w:t>）及</w:t>
      </w:r>
      <w:r>
        <w:rPr>
          <w:rFonts w:ascii="宋体" w:hAnsi="宋体" w:eastAsia="宋体" w:cs="宋体"/>
          <w:spacing w:val="-1"/>
          <w:sz w:val="24"/>
          <w:szCs w:val="24"/>
        </w:rPr>
        <w:t>导则附录</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 xml:space="preserve">D </w:t>
      </w:r>
      <w:r>
        <w:rPr>
          <w:rFonts w:ascii="宋体" w:hAnsi="宋体" w:eastAsia="宋体" w:cs="宋体"/>
          <w:spacing w:val="-1"/>
          <w:sz w:val="24"/>
          <w:szCs w:val="24"/>
        </w:rPr>
        <w:t>等标准中</w:t>
      </w:r>
      <w:r>
        <w:rPr>
          <w:rFonts w:ascii="宋体" w:hAnsi="宋体" w:eastAsia="宋体" w:cs="宋体"/>
          <w:spacing w:val="-29"/>
          <w:sz w:val="24"/>
          <w:szCs w:val="24"/>
        </w:rPr>
        <w:t xml:space="preserve"> </w:t>
      </w:r>
      <w:r>
        <w:rPr>
          <w:rFonts w:ascii="Times New Roman" w:hAnsi="Times New Roman" w:eastAsia="Times New Roman" w:cs="Times New Roman"/>
          <w:spacing w:val="-1"/>
          <w:sz w:val="24"/>
          <w:szCs w:val="24"/>
        </w:rPr>
        <w:t xml:space="preserve">1h </w:t>
      </w:r>
      <w:r>
        <w:rPr>
          <w:rFonts w:ascii="宋体" w:hAnsi="宋体" w:eastAsia="宋体" w:cs="宋体"/>
          <w:spacing w:val="-1"/>
          <w:sz w:val="24"/>
          <w:szCs w:val="24"/>
        </w:rPr>
        <w:t>平均质量</w:t>
      </w:r>
      <w:r>
        <w:rPr>
          <w:rFonts w:ascii="宋体" w:hAnsi="宋体" w:eastAsia="宋体" w:cs="宋体"/>
          <w:sz w:val="24"/>
          <w:szCs w:val="24"/>
        </w:rPr>
        <w:t xml:space="preserve"> </w:t>
      </w:r>
      <w:r>
        <w:rPr>
          <w:rFonts w:ascii="宋体" w:hAnsi="宋体" w:eastAsia="宋体" w:cs="宋体"/>
          <w:spacing w:val="1"/>
          <w:sz w:val="24"/>
          <w:szCs w:val="24"/>
        </w:rPr>
        <w:t>浓度的限值，对仅有</w:t>
      </w:r>
      <w:r>
        <w:rPr>
          <w:rFonts w:ascii="宋体" w:hAnsi="宋体" w:eastAsia="宋体" w:cs="宋体"/>
          <w:spacing w:val="-40"/>
          <w:sz w:val="24"/>
          <w:szCs w:val="24"/>
        </w:rPr>
        <w:t xml:space="preserve"> </w:t>
      </w:r>
      <w:r>
        <w:rPr>
          <w:rFonts w:ascii="Times New Roman" w:hAnsi="Times New Roman" w:eastAsia="Times New Roman" w:cs="Times New Roman"/>
          <w:spacing w:val="1"/>
          <w:sz w:val="24"/>
          <w:szCs w:val="24"/>
        </w:rPr>
        <w:t xml:space="preserve">8h </w:t>
      </w:r>
      <w:r>
        <w:rPr>
          <w:rFonts w:ascii="宋体" w:hAnsi="宋体" w:eastAsia="宋体" w:cs="宋体"/>
          <w:spacing w:val="1"/>
          <w:sz w:val="24"/>
          <w:szCs w:val="24"/>
        </w:rPr>
        <w:t>平均质量浓度、</w:t>
      </w:r>
      <w:r>
        <w:rPr>
          <w:rFonts w:ascii="宋体" w:hAnsi="宋体" w:eastAsia="宋体" w:cs="宋体"/>
          <w:spacing w:val="-65"/>
          <w:sz w:val="24"/>
          <w:szCs w:val="24"/>
        </w:rPr>
        <w:t xml:space="preserve"> </w:t>
      </w:r>
      <w:r>
        <w:rPr>
          <w:rFonts w:ascii="宋体" w:hAnsi="宋体" w:eastAsia="宋体" w:cs="宋体"/>
          <w:spacing w:val="1"/>
          <w:sz w:val="24"/>
          <w:szCs w:val="24"/>
        </w:rPr>
        <w:t>日平均质量浓度、年平均质量浓度的分</w:t>
      </w:r>
      <w:r>
        <w:rPr>
          <w:rFonts w:ascii="宋体" w:hAnsi="宋体" w:eastAsia="宋体" w:cs="宋体"/>
          <w:sz w:val="24"/>
          <w:szCs w:val="24"/>
        </w:rPr>
        <w:t>别按</w:t>
      </w:r>
      <w:r>
        <w:rPr>
          <w:rFonts w:ascii="宋体" w:hAnsi="宋体" w:eastAsia="宋体" w:cs="宋体"/>
          <w:spacing w:val="-50"/>
          <w:sz w:val="24"/>
          <w:szCs w:val="24"/>
        </w:rPr>
        <w:t xml:space="preserve"> </w:t>
      </w:r>
      <w:r>
        <w:rPr>
          <w:rFonts w:ascii="Times New Roman" w:hAnsi="Times New Roman" w:eastAsia="Times New Roman" w:cs="Times New Roman"/>
          <w:sz w:val="24"/>
          <w:szCs w:val="24"/>
        </w:rPr>
        <w:t xml:space="preserve">2 </w:t>
      </w:r>
      <w:r>
        <w:rPr>
          <w:rFonts w:ascii="宋体" w:hAnsi="宋体" w:eastAsia="宋体" w:cs="宋体"/>
          <w:spacing w:val="-2"/>
          <w:sz w:val="24"/>
          <w:szCs w:val="24"/>
        </w:rPr>
        <w:t>倍、</w:t>
      </w:r>
      <w:r>
        <w:rPr>
          <w:rFonts w:ascii="Times New Roman" w:hAnsi="Times New Roman" w:eastAsia="Times New Roman" w:cs="Times New Roman"/>
          <w:spacing w:val="-2"/>
          <w:sz w:val="24"/>
          <w:szCs w:val="24"/>
        </w:rPr>
        <w:t xml:space="preserve">3 </w:t>
      </w:r>
      <w:r>
        <w:rPr>
          <w:rFonts w:ascii="宋体" w:hAnsi="宋体" w:eastAsia="宋体" w:cs="宋体"/>
          <w:spacing w:val="-2"/>
          <w:sz w:val="24"/>
          <w:szCs w:val="24"/>
        </w:rPr>
        <w:t>倍、</w:t>
      </w:r>
      <w:r>
        <w:rPr>
          <w:rFonts w:ascii="Times New Roman" w:hAnsi="Times New Roman" w:eastAsia="Times New Roman" w:cs="Times New Roman"/>
          <w:spacing w:val="-2"/>
          <w:sz w:val="24"/>
          <w:szCs w:val="24"/>
        </w:rPr>
        <w:t xml:space="preserve">6 </w:t>
      </w:r>
      <w:r>
        <w:rPr>
          <w:rFonts w:ascii="宋体" w:hAnsi="宋体" w:eastAsia="宋体" w:cs="宋体"/>
          <w:spacing w:val="-2"/>
          <w:sz w:val="24"/>
          <w:szCs w:val="24"/>
        </w:rPr>
        <w:t>倍折算</w:t>
      </w:r>
      <w:r>
        <w:rPr>
          <w:rFonts w:ascii="宋体" w:hAnsi="宋体" w:eastAsia="宋体" w:cs="宋体"/>
          <w:spacing w:val="-25"/>
          <w:sz w:val="24"/>
          <w:szCs w:val="24"/>
        </w:rPr>
        <w:t xml:space="preserve"> </w:t>
      </w:r>
      <w:r>
        <w:rPr>
          <w:rFonts w:ascii="Times New Roman" w:hAnsi="Times New Roman" w:eastAsia="Times New Roman" w:cs="Times New Roman"/>
          <w:spacing w:val="-2"/>
          <w:sz w:val="24"/>
          <w:szCs w:val="24"/>
        </w:rPr>
        <w:t xml:space="preserve">1h </w:t>
      </w:r>
      <w:r>
        <w:rPr>
          <w:rFonts w:ascii="宋体" w:hAnsi="宋体" w:eastAsia="宋体" w:cs="宋体"/>
          <w:spacing w:val="-2"/>
          <w:sz w:val="24"/>
          <w:szCs w:val="24"/>
        </w:rPr>
        <w:t>平均质量浓度限值。</w:t>
      </w:r>
    </w:p>
    <w:p w14:paraId="27EA4BEC">
      <w:pPr>
        <w:spacing w:before="33" w:line="350" w:lineRule="auto"/>
        <w:ind w:left="115" w:right="8" w:firstLine="481"/>
        <w:jc w:val="both"/>
        <w:rPr>
          <w:rFonts w:ascii="宋体" w:hAnsi="宋体" w:eastAsia="宋体" w:cs="宋体"/>
          <w:sz w:val="24"/>
          <w:szCs w:val="24"/>
        </w:rPr>
      </w:pPr>
      <w:r>
        <w:rPr>
          <w:rFonts w:ascii="宋体" w:hAnsi="宋体" w:eastAsia="宋体" w:cs="宋体"/>
          <w:spacing w:val="-1"/>
          <w:sz w:val="24"/>
          <w:szCs w:val="24"/>
        </w:rPr>
        <w:t>本项目</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TSP</w:t>
      </w:r>
      <w:r>
        <w:rPr>
          <w:rFonts w:ascii="Times New Roman" w:hAnsi="Times New Roman" w:eastAsia="Times New Roman" w:cs="Times New Roman"/>
          <w:spacing w:val="-33"/>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PM</w:t>
      </w:r>
      <w:r>
        <w:rPr>
          <w:rFonts w:ascii="Times New Roman" w:hAnsi="Times New Roman" w:eastAsia="Times New Roman" w:cs="Times New Roman"/>
          <w:spacing w:val="-1"/>
          <w:position w:val="-1"/>
          <w:sz w:val="15"/>
          <w:szCs w:val="15"/>
        </w:rPr>
        <w:t>10</w:t>
      </w:r>
      <w:r>
        <w:rPr>
          <w:rFonts w:ascii="Times New Roman" w:hAnsi="Times New Roman" w:eastAsia="Times New Roman" w:cs="Times New Roman"/>
          <w:spacing w:val="11"/>
          <w:position w:val="-1"/>
          <w:sz w:val="15"/>
          <w:szCs w:val="15"/>
        </w:rPr>
        <w:t xml:space="preserve"> </w:t>
      </w:r>
      <w:r>
        <w:rPr>
          <w:rFonts w:ascii="宋体" w:hAnsi="宋体" w:eastAsia="宋体" w:cs="宋体"/>
          <w:spacing w:val="-1"/>
          <w:sz w:val="24"/>
          <w:szCs w:val="24"/>
        </w:rPr>
        <w:t>按《环境空气质量标准》（</w:t>
      </w:r>
      <w:r>
        <w:rPr>
          <w:rFonts w:ascii="Times New Roman" w:hAnsi="Times New Roman" w:eastAsia="Times New Roman" w:cs="Times New Roman"/>
          <w:spacing w:val="-1"/>
          <w:sz w:val="24"/>
          <w:szCs w:val="24"/>
        </w:rPr>
        <w:t>GB 3095-2012</w:t>
      </w:r>
      <w:r>
        <w:rPr>
          <w:rFonts w:ascii="宋体" w:hAnsi="宋体" w:eastAsia="宋体" w:cs="宋体"/>
          <w:spacing w:val="-1"/>
          <w:sz w:val="24"/>
          <w:szCs w:val="24"/>
        </w:rPr>
        <w:t>）中二级标</w:t>
      </w:r>
      <w:r>
        <w:rPr>
          <w:rFonts w:ascii="宋体" w:hAnsi="宋体" w:eastAsia="宋体" w:cs="宋体"/>
          <w:spacing w:val="-2"/>
          <w:sz w:val="24"/>
          <w:szCs w:val="24"/>
        </w:rPr>
        <w:t>准</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24</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小时</w:t>
      </w:r>
      <w:r>
        <w:rPr>
          <w:rFonts w:ascii="宋体" w:hAnsi="宋体" w:eastAsia="宋体" w:cs="宋体"/>
          <w:sz w:val="24"/>
          <w:szCs w:val="24"/>
        </w:rPr>
        <w:t xml:space="preserve">  </w:t>
      </w:r>
      <w:r>
        <w:rPr>
          <w:rFonts w:ascii="宋体" w:hAnsi="宋体" w:eastAsia="宋体" w:cs="宋体"/>
          <w:spacing w:val="-11"/>
          <w:sz w:val="24"/>
          <w:szCs w:val="24"/>
        </w:rPr>
        <w:t>平均浓度</w:t>
      </w:r>
      <w:r>
        <w:rPr>
          <w:rFonts w:ascii="宋体" w:hAnsi="宋体" w:eastAsia="宋体" w:cs="宋体"/>
          <w:spacing w:val="-67"/>
          <w:sz w:val="24"/>
          <w:szCs w:val="24"/>
        </w:rPr>
        <w:t xml:space="preserve"> </w:t>
      </w:r>
      <w:r>
        <w:rPr>
          <w:rFonts w:ascii="Times New Roman" w:hAnsi="Times New Roman" w:eastAsia="Times New Roman" w:cs="Times New Roman"/>
          <w:spacing w:val="-11"/>
          <w:sz w:val="24"/>
          <w:szCs w:val="24"/>
        </w:rPr>
        <w:t xml:space="preserve">3 </w:t>
      </w:r>
      <w:r>
        <w:rPr>
          <w:rFonts w:ascii="宋体" w:hAnsi="宋体" w:eastAsia="宋体" w:cs="宋体"/>
          <w:spacing w:val="-11"/>
          <w:sz w:val="24"/>
          <w:szCs w:val="24"/>
        </w:rPr>
        <w:t>倍限值，锰及其化合物执行《环境影响评价技术导则 大气环境》（</w:t>
      </w:r>
      <w:r>
        <w:rPr>
          <w:rFonts w:ascii="Times New Roman" w:hAnsi="Times New Roman" w:eastAsia="Times New Roman" w:cs="Times New Roman"/>
          <w:spacing w:val="-11"/>
          <w:sz w:val="24"/>
          <w:szCs w:val="24"/>
        </w:rPr>
        <w:t>HJ 2</w:t>
      </w:r>
      <w:r>
        <w:rPr>
          <w:rFonts w:ascii="Times New Roman" w:hAnsi="Times New Roman" w:eastAsia="Times New Roman" w:cs="Times New Roman"/>
          <w:spacing w:val="-12"/>
          <w:sz w:val="24"/>
          <w:szCs w:val="24"/>
        </w:rPr>
        <w:t>.2-2018</w:t>
      </w:r>
      <w:r>
        <w:rPr>
          <w:rFonts w:ascii="宋体" w:hAnsi="宋体" w:eastAsia="宋体" w:cs="宋体"/>
          <w:spacing w:val="-12"/>
          <w:sz w:val="24"/>
          <w:szCs w:val="24"/>
        </w:rPr>
        <w:t>）</w:t>
      </w:r>
      <w:r>
        <w:rPr>
          <w:rFonts w:ascii="宋体" w:hAnsi="宋体" w:eastAsia="宋体" w:cs="宋体"/>
          <w:sz w:val="24"/>
          <w:szCs w:val="24"/>
        </w:rPr>
        <w:t xml:space="preserve"> </w:t>
      </w:r>
      <w:r>
        <w:rPr>
          <w:rFonts w:ascii="宋体" w:hAnsi="宋体" w:eastAsia="宋体" w:cs="宋体"/>
          <w:spacing w:val="-1"/>
          <w:sz w:val="24"/>
          <w:szCs w:val="24"/>
        </w:rPr>
        <w:t>附录</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 xml:space="preserve">D  </w:t>
      </w:r>
      <w:r>
        <w:rPr>
          <w:rFonts w:ascii="宋体" w:hAnsi="宋体" w:eastAsia="宋体" w:cs="宋体"/>
          <w:spacing w:val="-1"/>
          <w:sz w:val="24"/>
          <w:szCs w:val="24"/>
        </w:rPr>
        <w:t>表</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 xml:space="preserve">D.1  </w:t>
      </w:r>
      <w:r>
        <w:rPr>
          <w:rFonts w:ascii="宋体" w:hAnsi="宋体" w:eastAsia="宋体" w:cs="宋体"/>
          <w:spacing w:val="-1"/>
          <w:sz w:val="24"/>
          <w:szCs w:val="24"/>
        </w:rPr>
        <w:t>其他污染物空气质量浓度参考限值。</w:t>
      </w:r>
    </w:p>
    <w:p w14:paraId="543963D6">
      <w:pPr>
        <w:spacing w:before="37" w:line="218" w:lineRule="auto"/>
        <w:ind w:left="597"/>
        <w:rPr>
          <w:rFonts w:ascii="宋体" w:hAnsi="宋体" w:eastAsia="宋体" w:cs="宋体"/>
          <w:sz w:val="24"/>
          <w:szCs w:val="24"/>
        </w:rPr>
      </w:pPr>
      <w:r>
        <w:rPr>
          <w:rFonts w:ascii="宋体" w:hAnsi="宋体" w:eastAsia="宋体" w:cs="宋体"/>
          <w:spacing w:val="-2"/>
          <w:sz w:val="24"/>
          <w:szCs w:val="24"/>
        </w:rPr>
        <w:t>本项目估算模式采用的评价因子和评价标准见表</w:t>
      </w:r>
      <w:r>
        <w:rPr>
          <w:rFonts w:ascii="宋体" w:hAnsi="宋体" w:eastAsia="宋体" w:cs="宋体"/>
          <w:spacing w:val="-19"/>
          <w:sz w:val="24"/>
          <w:szCs w:val="24"/>
        </w:rPr>
        <w:t xml:space="preserve"> </w:t>
      </w:r>
      <w:r>
        <w:rPr>
          <w:rFonts w:ascii="Times New Roman" w:hAnsi="Times New Roman" w:eastAsia="Times New Roman" w:cs="Times New Roman"/>
          <w:spacing w:val="-2"/>
          <w:sz w:val="24"/>
          <w:szCs w:val="24"/>
        </w:rPr>
        <w:t>1.6-2</w:t>
      </w:r>
      <w:r>
        <w:rPr>
          <w:rFonts w:ascii="宋体" w:hAnsi="宋体" w:eastAsia="宋体" w:cs="宋体"/>
          <w:spacing w:val="-2"/>
          <w:sz w:val="24"/>
          <w:szCs w:val="24"/>
        </w:rPr>
        <w:t>。</w:t>
      </w:r>
    </w:p>
    <w:p w14:paraId="09CA975E">
      <w:pPr>
        <w:spacing w:before="178" w:line="226" w:lineRule="auto"/>
        <w:ind w:left="3354"/>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34"/>
          <w:sz w:val="20"/>
          <w:szCs w:val="20"/>
        </w:rPr>
        <w:t xml:space="preserve"> </w:t>
      </w:r>
      <w:r>
        <w:rPr>
          <w:rFonts w:ascii="Times New Roman" w:hAnsi="Times New Roman" w:eastAsia="Times New Roman" w:cs="Times New Roman"/>
          <w:b/>
          <w:bCs/>
          <w:spacing w:val="4"/>
          <w:sz w:val="20"/>
          <w:szCs w:val="20"/>
        </w:rPr>
        <w:t xml:space="preserve">1.6-2        </w:t>
      </w:r>
      <w:r>
        <w:rPr>
          <w:rFonts w:ascii="宋体" w:hAnsi="宋体" w:eastAsia="宋体" w:cs="宋体"/>
          <w:b/>
          <w:bCs/>
          <w:spacing w:val="4"/>
          <w:sz w:val="20"/>
          <w:szCs w:val="20"/>
        </w:rPr>
        <w:t>评价工作等级表</w:t>
      </w:r>
    </w:p>
    <w:p w14:paraId="4A0B063A">
      <w:pPr>
        <w:spacing w:line="133" w:lineRule="exact"/>
      </w:pPr>
    </w:p>
    <w:tbl>
      <w:tblPr>
        <w:tblStyle w:val="5"/>
        <w:tblW w:w="92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25"/>
        <w:gridCol w:w="1536"/>
        <w:gridCol w:w="2243"/>
        <w:gridCol w:w="3885"/>
      </w:tblGrid>
      <w:tr w14:paraId="555F33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1625" w:type="dxa"/>
            <w:tcBorders>
              <w:top w:val="single" w:color="000000" w:sz="10" w:space="0"/>
              <w:left w:val="nil"/>
            </w:tcBorders>
            <w:vAlign w:val="top"/>
          </w:tcPr>
          <w:p w14:paraId="601DB6E5">
            <w:pPr>
              <w:pStyle w:val="6"/>
              <w:spacing w:before="55" w:line="226" w:lineRule="auto"/>
              <w:ind w:left="399"/>
              <w:rPr>
                <w:sz w:val="20"/>
                <w:szCs w:val="20"/>
              </w:rPr>
            </w:pPr>
            <w:r>
              <w:rPr>
                <w:spacing w:val="7"/>
                <w:sz w:val="20"/>
                <w:szCs w:val="20"/>
              </w:rPr>
              <w:t>评价因子</w:t>
            </w:r>
          </w:p>
        </w:tc>
        <w:tc>
          <w:tcPr>
            <w:tcW w:w="1536" w:type="dxa"/>
            <w:tcBorders>
              <w:top w:val="single" w:color="000000" w:sz="10" w:space="0"/>
            </w:tcBorders>
            <w:vAlign w:val="top"/>
          </w:tcPr>
          <w:p w14:paraId="0A516287">
            <w:pPr>
              <w:pStyle w:val="6"/>
              <w:spacing w:before="55" w:line="228" w:lineRule="auto"/>
              <w:ind w:left="351"/>
              <w:rPr>
                <w:sz w:val="20"/>
                <w:szCs w:val="20"/>
              </w:rPr>
            </w:pPr>
            <w:r>
              <w:rPr>
                <w:spacing w:val="7"/>
                <w:sz w:val="20"/>
                <w:szCs w:val="20"/>
              </w:rPr>
              <w:t>平均时段</w:t>
            </w:r>
          </w:p>
        </w:tc>
        <w:tc>
          <w:tcPr>
            <w:tcW w:w="2243" w:type="dxa"/>
            <w:tcBorders>
              <w:top w:val="single" w:color="000000" w:sz="10" w:space="0"/>
            </w:tcBorders>
            <w:vAlign w:val="top"/>
          </w:tcPr>
          <w:p w14:paraId="1F594386">
            <w:pPr>
              <w:pStyle w:val="6"/>
              <w:spacing w:before="55" w:line="221" w:lineRule="auto"/>
              <w:ind w:left="528"/>
              <w:rPr>
                <w:rFonts w:ascii="Times New Roman" w:hAnsi="Times New Roman" w:eastAsia="Times New Roman" w:cs="Times New Roman"/>
                <w:sz w:val="13"/>
                <w:szCs w:val="13"/>
              </w:rPr>
            </w:pPr>
            <w:r>
              <w:rPr>
                <w:spacing w:val="5"/>
                <w:sz w:val="20"/>
                <w:szCs w:val="20"/>
              </w:rPr>
              <w:t>标准值</w:t>
            </w:r>
            <w:r>
              <w:rPr>
                <w:rFonts w:ascii="Times New Roman" w:hAnsi="Times New Roman" w:eastAsia="Times New Roman" w:cs="Times New Roman"/>
                <w:spacing w:val="5"/>
                <w:sz w:val="20"/>
                <w:szCs w:val="20"/>
              </w:rPr>
              <w:t>/μg/m</w:t>
            </w:r>
            <w:r>
              <w:rPr>
                <w:rFonts w:ascii="Times New Roman" w:hAnsi="Times New Roman" w:eastAsia="Times New Roman" w:cs="Times New Roman"/>
                <w:spacing w:val="5"/>
                <w:position w:val="6"/>
                <w:sz w:val="13"/>
                <w:szCs w:val="13"/>
              </w:rPr>
              <w:t>3</w:t>
            </w:r>
          </w:p>
        </w:tc>
        <w:tc>
          <w:tcPr>
            <w:tcW w:w="3885" w:type="dxa"/>
            <w:tcBorders>
              <w:top w:val="single" w:color="000000" w:sz="10" w:space="0"/>
              <w:right w:val="nil"/>
            </w:tcBorders>
            <w:vAlign w:val="top"/>
          </w:tcPr>
          <w:p w14:paraId="07162E4E">
            <w:pPr>
              <w:pStyle w:val="6"/>
              <w:spacing w:before="54" w:line="228" w:lineRule="auto"/>
              <w:ind w:left="1527"/>
              <w:rPr>
                <w:sz w:val="20"/>
                <w:szCs w:val="20"/>
              </w:rPr>
            </w:pPr>
            <w:r>
              <w:rPr>
                <w:spacing w:val="7"/>
                <w:sz w:val="20"/>
                <w:szCs w:val="20"/>
              </w:rPr>
              <w:t>标准来源</w:t>
            </w:r>
          </w:p>
        </w:tc>
      </w:tr>
      <w:tr w14:paraId="20E0CF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1625" w:type="dxa"/>
            <w:tcBorders>
              <w:left w:val="nil"/>
            </w:tcBorders>
            <w:vAlign w:val="top"/>
          </w:tcPr>
          <w:p w14:paraId="1FEC3337">
            <w:pPr>
              <w:spacing w:before="102" w:line="202" w:lineRule="auto"/>
              <w:ind w:left="657"/>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536" w:type="dxa"/>
            <w:vAlign w:val="top"/>
          </w:tcPr>
          <w:p w14:paraId="4A9CF8CA">
            <w:pPr>
              <w:pStyle w:val="6"/>
              <w:spacing w:before="64" w:line="228" w:lineRule="auto"/>
              <w:ind w:left="2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18"/>
                <w:sz w:val="20"/>
                <w:szCs w:val="20"/>
              </w:rPr>
              <w:t xml:space="preserve"> </w:t>
            </w:r>
            <w:r>
              <w:rPr>
                <w:sz w:val="20"/>
                <w:szCs w:val="20"/>
              </w:rPr>
              <w:t>小时平均</w:t>
            </w:r>
          </w:p>
        </w:tc>
        <w:tc>
          <w:tcPr>
            <w:tcW w:w="2243" w:type="dxa"/>
            <w:vAlign w:val="top"/>
          </w:tcPr>
          <w:p w14:paraId="3D0FAF59">
            <w:pPr>
              <w:spacing w:before="102" w:line="195" w:lineRule="auto"/>
              <w:ind w:left="97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500</w:t>
            </w:r>
          </w:p>
        </w:tc>
        <w:tc>
          <w:tcPr>
            <w:tcW w:w="3885" w:type="dxa"/>
            <w:vMerge w:val="restart"/>
            <w:tcBorders>
              <w:bottom w:val="nil"/>
              <w:right w:val="nil"/>
            </w:tcBorders>
            <w:vAlign w:val="top"/>
          </w:tcPr>
          <w:p w14:paraId="0AB52A6C">
            <w:pPr>
              <w:spacing w:line="338" w:lineRule="auto"/>
              <w:rPr>
                <w:rFonts w:ascii="Arial"/>
                <w:sz w:val="21"/>
              </w:rPr>
            </w:pPr>
          </w:p>
          <w:p w14:paraId="7C60867E">
            <w:pPr>
              <w:spacing w:line="338" w:lineRule="auto"/>
              <w:rPr>
                <w:rFonts w:ascii="Arial"/>
                <w:sz w:val="21"/>
              </w:rPr>
            </w:pPr>
          </w:p>
          <w:p w14:paraId="6EFD5317">
            <w:pPr>
              <w:pStyle w:val="6"/>
              <w:spacing w:before="65" w:line="228" w:lineRule="auto"/>
              <w:ind w:left="65"/>
              <w:rPr>
                <w:sz w:val="20"/>
                <w:szCs w:val="20"/>
              </w:rPr>
            </w:pPr>
            <w:r>
              <w:rPr>
                <w:spacing w:val="7"/>
                <w:sz w:val="20"/>
                <w:szCs w:val="20"/>
              </w:rPr>
              <w:t>《环境空气质量标准》（</w:t>
            </w:r>
            <w:r>
              <w:rPr>
                <w:rFonts w:ascii="Times New Roman" w:hAnsi="Times New Roman" w:eastAsia="Times New Roman" w:cs="Times New Roman"/>
                <w:sz w:val="20"/>
                <w:szCs w:val="20"/>
              </w:rPr>
              <w:t>GB</w:t>
            </w:r>
            <w:r>
              <w:rPr>
                <w:rFonts w:ascii="Times New Roman" w:hAnsi="Times New Roman" w:eastAsia="Times New Roman" w:cs="Times New Roman"/>
                <w:spacing w:val="7"/>
                <w:sz w:val="20"/>
                <w:szCs w:val="20"/>
              </w:rPr>
              <w:t xml:space="preserve"> 3095-2012</w:t>
            </w:r>
            <w:r>
              <w:rPr>
                <w:spacing w:val="7"/>
                <w:sz w:val="20"/>
                <w:szCs w:val="20"/>
              </w:rPr>
              <w:t>）</w:t>
            </w:r>
          </w:p>
        </w:tc>
      </w:tr>
      <w:tr w14:paraId="3FA256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1625" w:type="dxa"/>
            <w:tcBorders>
              <w:left w:val="nil"/>
            </w:tcBorders>
            <w:vAlign w:val="top"/>
          </w:tcPr>
          <w:p w14:paraId="521B7AD6">
            <w:pPr>
              <w:spacing w:before="104" w:line="202" w:lineRule="auto"/>
              <w:ind w:left="625"/>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2</w:t>
            </w:r>
          </w:p>
        </w:tc>
        <w:tc>
          <w:tcPr>
            <w:tcW w:w="1536" w:type="dxa"/>
            <w:vAlign w:val="top"/>
          </w:tcPr>
          <w:p w14:paraId="0854F6EF">
            <w:pPr>
              <w:pStyle w:val="6"/>
              <w:spacing w:before="69" w:line="228" w:lineRule="auto"/>
              <w:ind w:left="2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18"/>
                <w:sz w:val="20"/>
                <w:szCs w:val="20"/>
              </w:rPr>
              <w:t xml:space="preserve"> </w:t>
            </w:r>
            <w:r>
              <w:rPr>
                <w:sz w:val="20"/>
                <w:szCs w:val="20"/>
              </w:rPr>
              <w:t>小时平均</w:t>
            </w:r>
          </w:p>
        </w:tc>
        <w:tc>
          <w:tcPr>
            <w:tcW w:w="2243" w:type="dxa"/>
            <w:vAlign w:val="top"/>
          </w:tcPr>
          <w:p w14:paraId="0267E8D2">
            <w:pPr>
              <w:spacing w:before="104" w:line="195" w:lineRule="auto"/>
              <w:ind w:left="96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3885" w:type="dxa"/>
            <w:vMerge w:val="continue"/>
            <w:tcBorders>
              <w:top w:val="nil"/>
              <w:bottom w:val="nil"/>
              <w:right w:val="nil"/>
            </w:tcBorders>
            <w:vAlign w:val="top"/>
          </w:tcPr>
          <w:p w14:paraId="3BABF5EA">
            <w:pPr>
              <w:rPr>
                <w:rFonts w:ascii="Arial"/>
                <w:sz w:val="21"/>
              </w:rPr>
            </w:pPr>
          </w:p>
        </w:tc>
      </w:tr>
      <w:tr w14:paraId="546E59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1625" w:type="dxa"/>
            <w:tcBorders>
              <w:left w:val="nil"/>
            </w:tcBorders>
            <w:vAlign w:val="top"/>
          </w:tcPr>
          <w:p w14:paraId="242384D3">
            <w:pPr>
              <w:spacing w:before="109" w:line="195" w:lineRule="auto"/>
              <w:ind w:left="6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TSP</w:t>
            </w:r>
          </w:p>
        </w:tc>
        <w:tc>
          <w:tcPr>
            <w:tcW w:w="1536" w:type="dxa"/>
            <w:vAlign w:val="top"/>
          </w:tcPr>
          <w:p w14:paraId="14BFACBF">
            <w:pPr>
              <w:pStyle w:val="6"/>
              <w:spacing w:before="73" w:line="228" w:lineRule="auto"/>
              <w:ind w:left="2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18"/>
                <w:sz w:val="20"/>
                <w:szCs w:val="20"/>
              </w:rPr>
              <w:t xml:space="preserve"> </w:t>
            </w:r>
            <w:r>
              <w:rPr>
                <w:sz w:val="20"/>
                <w:szCs w:val="20"/>
              </w:rPr>
              <w:t>小时平均</w:t>
            </w:r>
          </w:p>
        </w:tc>
        <w:tc>
          <w:tcPr>
            <w:tcW w:w="2243" w:type="dxa"/>
            <w:vAlign w:val="top"/>
          </w:tcPr>
          <w:p w14:paraId="2ADC2655">
            <w:pPr>
              <w:pStyle w:val="6"/>
              <w:spacing w:before="73" w:line="228" w:lineRule="auto"/>
              <w:ind w:left="340"/>
              <w:rPr>
                <w:sz w:val="20"/>
                <w:szCs w:val="20"/>
              </w:rPr>
            </w:pPr>
            <w:r>
              <w:rPr>
                <w:rFonts w:ascii="Times New Roman" w:hAnsi="Times New Roman" w:eastAsia="Times New Roman" w:cs="Times New Roman"/>
                <w:spacing w:val="3"/>
                <w:sz w:val="20"/>
                <w:szCs w:val="20"/>
              </w:rPr>
              <w:t>900</w:t>
            </w:r>
            <w:r>
              <w:rPr>
                <w:spacing w:val="3"/>
                <w:sz w:val="20"/>
                <w:szCs w:val="20"/>
              </w:rPr>
              <w:t>（取</w:t>
            </w:r>
            <w:r>
              <w:rPr>
                <w:spacing w:val="-29"/>
                <w:sz w:val="20"/>
                <w:szCs w:val="20"/>
              </w:rPr>
              <w:t xml:space="preserve"> </w:t>
            </w:r>
            <w:r>
              <w:rPr>
                <w:rFonts w:ascii="Times New Roman" w:hAnsi="Times New Roman" w:eastAsia="Times New Roman" w:cs="Times New Roman"/>
                <w:spacing w:val="3"/>
                <w:sz w:val="20"/>
                <w:szCs w:val="20"/>
              </w:rPr>
              <w:t xml:space="preserve">3 </w:t>
            </w:r>
            <w:r>
              <w:rPr>
                <w:spacing w:val="3"/>
                <w:sz w:val="20"/>
                <w:szCs w:val="20"/>
              </w:rPr>
              <w:t>倍值）</w:t>
            </w:r>
          </w:p>
        </w:tc>
        <w:tc>
          <w:tcPr>
            <w:tcW w:w="3885" w:type="dxa"/>
            <w:vMerge w:val="continue"/>
            <w:tcBorders>
              <w:top w:val="nil"/>
              <w:bottom w:val="nil"/>
              <w:right w:val="nil"/>
            </w:tcBorders>
            <w:vAlign w:val="top"/>
          </w:tcPr>
          <w:p w14:paraId="03D0E013">
            <w:pPr>
              <w:rPr>
                <w:rFonts w:ascii="Arial"/>
                <w:sz w:val="21"/>
              </w:rPr>
            </w:pPr>
          </w:p>
        </w:tc>
      </w:tr>
      <w:tr w14:paraId="33BD9F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1625" w:type="dxa"/>
            <w:tcBorders>
              <w:left w:val="nil"/>
            </w:tcBorders>
            <w:vAlign w:val="top"/>
          </w:tcPr>
          <w:p w14:paraId="29D1CE6E">
            <w:pPr>
              <w:spacing w:before="117" w:line="199" w:lineRule="auto"/>
              <w:ind w:left="578"/>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6"/>
                <w:position w:val="-1"/>
                <w:sz w:val="13"/>
                <w:szCs w:val="13"/>
              </w:rPr>
              <w:t>2.5</w:t>
            </w:r>
          </w:p>
        </w:tc>
        <w:tc>
          <w:tcPr>
            <w:tcW w:w="1536" w:type="dxa"/>
            <w:vAlign w:val="top"/>
          </w:tcPr>
          <w:p w14:paraId="2BC2B042">
            <w:pPr>
              <w:pStyle w:val="6"/>
              <w:spacing w:before="76" w:line="226" w:lineRule="auto"/>
              <w:ind w:left="2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18"/>
                <w:sz w:val="20"/>
                <w:szCs w:val="20"/>
              </w:rPr>
              <w:t xml:space="preserve"> </w:t>
            </w:r>
            <w:r>
              <w:rPr>
                <w:sz w:val="20"/>
                <w:szCs w:val="20"/>
              </w:rPr>
              <w:t>小时平均</w:t>
            </w:r>
          </w:p>
        </w:tc>
        <w:tc>
          <w:tcPr>
            <w:tcW w:w="2243" w:type="dxa"/>
            <w:vAlign w:val="top"/>
          </w:tcPr>
          <w:p w14:paraId="1D5553C8">
            <w:pPr>
              <w:pStyle w:val="6"/>
              <w:spacing w:before="76" w:line="226" w:lineRule="auto"/>
              <w:ind w:left="336"/>
              <w:rPr>
                <w:sz w:val="20"/>
                <w:szCs w:val="20"/>
              </w:rPr>
            </w:pPr>
            <w:r>
              <w:rPr>
                <w:rFonts w:ascii="Times New Roman" w:hAnsi="Times New Roman" w:eastAsia="Times New Roman" w:cs="Times New Roman"/>
                <w:spacing w:val="4"/>
                <w:sz w:val="20"/>
                <w:szCs w:val="20"/>
              </w:rPr>
              <w:t>225</w:t>
            </w:r>
            <w:r>
              <w:rPr>
                <w:spacing w:val="4"/>
                <w:sz w:val="20"/>
                <w:szCs w:val="20"/>
              </w:rPr>
              <w:t>（取</w:t>
            </w:r>
            <w:r>
              <w:rPr>
                <w:spacing w:val="-35"/>
                <w:sz w:val="20"/>
                <w:szCs w:val="20"/>
              </w:rPr>
              <w:t xml:space="preserve"> </w:t>
            </w:r>
            <w:r>
              <w:rPr>
                <w:rFonts w:ascii="Times New Roman" w:hAnsi="Times New Roman" w:eastAsia="Times New Roman" w:cs="Times New Roman"/>
                <w:spacing w:val="4"/>
                <w:sz w:val="20"/>
                <w:szCs w:val="20"/>
              </w:rPr>
              <w:t xml:space="preserve">3 </w:t>
            </w:r>
            <w:r>
              <w:rPr>
                <w:spacing w:val="4"/>
                <w:sz w:val="20"/>
                <w:szCs w:val="20"/>
              </w:rPr>
              <w:t>倍值）</w:t>
            </w:r>
          </w:p>
        </w:tc>
        <w:tc>
          <w:tcPr>
            <w:tcW w:w="3885" w:type="dxa"/>
            <w:vMerge w:val="continue"/>
            <w:tcBorders>
              <w:top w:val="nil"/>
              <w:bottom w:val="nil"/>
              <w:right w:val="nil"/>
            </w:tcBorders>
            <w:vAlign w:val="top"/>
          </w:tcPr>
          <w:p w14:paraId="6DAB682E">
            <w:pPr>
              <w:rPr>
                <w:rFonts w:ascii="Arial"/>
                <w:sz w:val="21"/>
              </w:rPr>
            </w:pPr>
          </w:p>
        </w:tc>
      </w:tr>
      <w:tr w14:paraId="22C27B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1625" w:type="dxa"/>
            <w:tcBorders>
              <w:left w:val="nil"/>
              <w:bottom w:val="single" w:color="000000" w:sz="10" w:space="0"/>
            </w:tcBorders>
            <w:vAlign w:val="top"/>
          </w:tcPr>
          <w:p w14:paraId="2797C766">
            <w:pPr>
              <w:spacing w:before="119" w:line="199" w:lineRule="auto"/>
              <w:ind w:left="595"/>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8"/>
                <w:position w:val="-1"/>
                <w:sz w:val="13"/>
                <w:szCs w:val="13"/>
              </w:rPr>
              <w:t>10</w:t>
            </w:r>
          </w:p>
        </w:tc>
        <w:tc>
          <w:tcPr>
            <w:tcW w:w="1536" w:type="dxa"/>
            <w:tcBorders>
              <w:bottom w:val="single" w:color="000000" w:sz="10" w:space="0"/>
            </w:tcBorders>
            <w:vAlign w:val="top"/>
          </w:tcPr>
          <w:p w14:paraId="3BE0D044">
            <w:pPr>
              <w:pStyle w:val="6"/>
              <w:spacing w:before="81" w:line="228" w:lineRule="auto"/>
              <w:ind w:left="2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18"/>
                <w:sz w:val="20"/>
                <w:szCs w:val="20"/>
              </w:rPr>
              <w:t xml:space="preserve"> </w:t>
            </w:r>
            <w:r>
              <w:rPr>
                <w:sz w:val="20"/>
                <w:szCs w:val="20"/>
              </w:rPr>
              <w:t>小时平均</w:t>
            </w:r>
          </w:p>
        </w:tc>
        <w:tc>
          <w:tcPr>
            <w:tcW w:w="2243" w:type="dxa"/>
            <w:tcBorders>
              <w:bottom w:val="single" w:color="000000" w:sz="10" w:space="0"/>
            </w:tcBorders>
            <w:vAlign w:val="top"/>
          </w:tcPr>
          <w:p w14:paraId="339F4965">
            <w:pPr>
              <w:pStyle w:val="6"/>
              <w:spacing w:before="80" w:line="228" w:lineRule="auto"/>
              <w:ind w:left="335"/>
              <w:rPr>
                <w:sz w:val="20"/>
                <w:szCs w:val="20"/>
              </w:rPr>
            </w:pPr>
            <w:r>
              <w:rPr>
                <w:rFonts w:ascii="Times New Roman" w:hAnsi="Times New Roman" w:eastAsia="Times New Roman" w:cs="Times New Roman"/>
                <w:spacing w:val="4"/>
                <w:sz w:val="20"/>
                <w:szCs w:val="20"/>
              </w:rPr>
              <w:t>450</w:t>
            </w:r>
            <w:r>
              <w:rPr>
                <w:spacing w:val="4"/>
                <w:sz w:val="20"/>
                <w:szCs w:val="20"/>
              </w:rPr>
              <w:t>（取</w:t>
            </w:r>
            <w:r>
              <w:rPr>
                <w:spacing w:val="-34"/>
                <w:sz w:val="20"/>
                <w:szCs w:val="20"/>
              </w:rPr>
              <w:t xml:space="preserve"> </w:t>
            </w:r>
            <w:r>
              <w:rPr>
                <w:rFonts w:ascii="Times New Roman" w:hAnsi="Times New Roman" w:eastAsia="Times New Roman" w:cs="Times New Roman"/>
                <w:spacing w:val="4"/>
                <w:sz w:val="20"/>
                <w:szCs w:val="20"/>
              </w:rPr>
              <w:t xml:space="preserve">3 </w:t>
            </w:r>
            <w:r>
              <w:rPr>
                <w:spacing w:val="4"/>
                <w:sz w:val="20"/>
                <w:szCs w:val="20"/>
              </w:rPr>
              <w:t>倍值）</w:t>
            </w:r>
          </w:p>
        </w:tc>
        <w:tc>
          <w:tcPr>
            <w:tcW w:w="3885" w:type="dxa"/>
            <w:vMerge w:val="continue"/>
            <w:tcBorders>
              <w:top w:val="nil"/>
              <w:bottom w:val="single" w:color="000000" w:sz="10" w:space="0"/>
              <w:right w:val="nil"/>
            </w:tcBorders>
            <w:vAlign w:val="top"/>
          </w:tcPr>
          <w:p w14:paraId="66968B8A">
            <w:pPr>
              <w:rPr>
                <w:rFonts w:ascii="Arial"/>
                <w:sz w:val="21"/>
              </w:rPr>
            </w:pPr>
          </w:p>
        </w:tc>
      </w:tr>
    </w:tbl>
    <w:p w14:paraId="66CA55FC">
      <w:pPr>
        <w:spacing w:before="37" w:line="218" w:lineRule="auto"/>
        <w:ind w:left="607"/>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）估算模型参数</w:t>
      </w:r>
    </w:p>
    <w:p w14:paraId="2EE57470">
      <w:pPr>
        <w:spacing w:before="184" w:line="218" w:lineRule="auto"/>
        <w:ind w:left="596"/>
        <w:rPr>
          <w:rFonts w:ascii="宋体" w:hAnsi="宋体" w:eastAsia="宋体" w:cs="宋体"/>
          <w:sz w:val="24"/>
          <w:szCs w:val="24"/>
        </w:rPr>
      </w:pPr>
      <w:r>
        <w:rPr>
          <w:rFonts w:ascii="宋体" w:hAnsi="宋体" w:eastAsia="宋体" w:cs="宋体"/>
          <w:spacing w:val="-3"/>
          <w:sz w:val="24"/>
          <w:szCs w:val="24"/>
        </w:rPr>
        <w:t>估算模型参数如下表</w:t>
      </w:r>
      <w:r>
        <w:rPr>
          <w:rFonts w:ascii="宋体" w:hAnsi="宋体" w:eastAsia="宋体" w:cs="宋体"/>
          <w:spacing w:val="-18"/>
          <w:sz w:val="24"/>
          <w:szCs w:val="24"/>
        </w:rPr>
        <w:t xml:space="preserve"> </w:t>
      </w:r>
      <w:r>
        <w:rPr>
          <w:rFonts w:ascii="Times New Roman" w:hAnsi="Times New Roman" w:eastAsia="Times New Roman" w:cs="Times New Roman"/>
          <w:spacing w:val="-3"/>
          <w:sz w:val="24"/>
          <w:szCs w:val="24"/>
        </w:rPr>
        <w:t xml:space="preserve">1.6-3 </w:t>
      </w:r>
      <w:r>
        <w:rPr>
          <w:rFonts w:ascii="宋体" w:hAnsi="宋体" w:eastAsia="宋体" w:cs="宋体"/>
          <w:spacing w:val="-3"/>
          <w:sz w:val="24"/>
          <w:szCs w:val="24"/>
        </w:rPr>
        <w:t>所示。</w:t>
      </w:r>
    </w:p>
    <w:p w14:paraId="57B17D9D">
      <w:pPr>
        <w:spacing w:before="178" w:line="226" w:lineRule="auto"/>
        <w:ind w:left="3354"/>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34"/>
          <w:sz w:val="20"/>
          <w:szCs w:val="20"/>
        </w:rPr>
        <w:t xml:space="preserve"> </w:t>
      </w:r>
      <w:r>
        <w:rPr>
          <w:rFonts w:ascii="Times New Roman" w:hAnsi="Times New Roman" w:eastAsia="Times New Roman" w:cs="Times New Roman"/>
          <w:b/>
          <w:bCs/>
          <w:spacing w:val="4"/>
          <w:sz w:val="20"/>
          <w:szCs w:val="20"/>
        </w:rPr>
        <w:t xml:space="preserve">1.6-3        </w:t>
      </w:r>
      <w:r>
        <w:rPr>
          <w:rFonts w:ascii="宋体" w:hAnsi="宋体" w:eastAsia="宋体" w:cs="宋体"/>
          <w:b/>
          <w:bCs/>
          <w:spacing w:val="4"/>
          <w:sz w:val="20"/>
          <w:szCs w:val="20"/>
        </w:rPr>
        <w:t>估算模型参数表</w:t>
      </w:r>
    </w:p>
    <w:p w14:paraId="2741802F">
      <w:pPr>
        <w:spacing w:line="134" w:lineRule="exact"/>
      </w:pPr>
    </w:p>
    <w:tbl>
      <w:tblPr>
        <w:tblStyle w:val="5"/>
        <w:tblW w:w="92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19"/>
        <w:gridCol w:w="4466"/>
        <w:gridCol w:w="2604"/>
      </w:tblGrid>
      <w:tr w14:paraId="26DAD1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6685" w:type="dxa"/>
            <w:gridSpan w:val="2"/>
            <w:tcBorders>
              <w:top w:val="single" w:color="000000" w:sz="10" w:space="0"/>
              <w:left w:val="nil"/>
            </w:tcBorders>
            <w:vAlign w:val="top"/>
          </w:tcPr>
          <w:p w14:paraId="2EA6FB1E">
            <w:pPr>
              <w:pStyle w:val="6"/>
              <w:spacing w:before="70" w:line="219" w:lineRule="auto"/>
              <w:ind w:left="3170"/>
              <w:rPr>
                <w:sz w:val="18"/>
                <w:szCs w:val="18"/>
              </w:rPr>
            </w:pPr>
            <w:r>
              <w:rPr>
                <w:spacing w:val="-5"/>
                <w:sz w:val="18"/>
                <w:szCs w:val="18"/>
              </w:rPr>
              <w:t>参数</w:t>
            </w:r>
          </w:p>
        </w:tc>
        <w:tc>
          <w:tcPr>
            <w:tcW w:w="2604" w:type="dxa"/>
            <w:tcBorders>
              <w:top w:val="single" w:color="000000" w:sz="10" w:space="0"/>
              <w:right w:val="nil"/>
            </w:tcBorders>
            <w:vAlign w:val="top"/>
          </w:tcPr>
          <w:p w14:paraId="1948D585">
            <w:pPr>
              <w:pStyle w:val="6"/>
              <w:spacing w:before="70" w:line="219" w:lineRule="auto"/>
              <w:ind w:left="1127"/>
              <w:rPr>
                <w:sz w:val="18"/>
                <w:szCs w:val="18"/>
              </w:rPr>
            </w:pPr>
            <w:r>
              <w:rPr>
                <w:spacing w:val="-5"/>
                <w:sz w:val="18"/>
                <w:szCs w:val="18"/>
              </w:rPr>
              <w:t>取值</w:t>
            </w:r>
          </w:p>
        </w:tc>
      </w:tr>
      <w:tr w14:paraId="7955E0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2219" w:type="dxa"/>
            <w:vMerge w:val="restart"/>
            <w:tcBorders>
              <w:left w:val="nil"/>
              <w:bottom w:val="nil"/>
            </w:tcBorders>
            <w:vAlign w:val="top"/>
          </w:tcPr>
          <w:p w14:paraId="1EB988C3">
            <w:pPr>
              <w:pStyle w:val="6"/>
              <w:spacing w:before="283" w:line="219" w:lineRule="auto"/>
              <w:ind w:left="550"/>
              <w:rPr>
                <w:sz w:val="18"/>
                <w:szCs w:val="18"/>
              </w:rPr>
            </w:pPr>
            <w:r>
              <w:rPr>
                <w:spacing w:val="-1"/>
                <w:sz w:val="18"/>
                <w:szCs w:val="18"/>
              </w:rPr>
              <w:t>城市</w:t>
            </w:r>
            <w:r>
              <w:rPr>
                <w:rFonts w:ascii="Times New Roman" w:hAnsi="Times New Roman" w:eastAsia="Times New Roman" w:cs="Times New Roman"/>
                <w:spacing w:val="-1"/>
                <w:sz w:val="18"/>
                <w:szCs w:val="18"/>
              </w:rPr>
              <w:t>/</w:t>
            </w:r>
            <w:r>
              <w:rPr>
                <w:spacing w:val="-1"/>
                <w:sz w:val="18"/>
                <w:szCs w:val="18"/>
              </w:rPr>
              <w:t>农村选项</w:t>
            </w:r>
          </w:p>
        </w:tc>
        <w:tc>
          <w:tcPr>
            <w:tcW w:w="4466" w:type="dxa"/>
            <w:vAlign w:val="top"/>
          </w:tcPr>
          <w:p w14:paraId="45BEE5C4">
            <w:pPr>
              <w:pStyle w:val="6"/>
              <w:spacing w:before="115" w:line="213" w:lineRule="auto"/>
              <w:ind w:left="1852"/>
              <w:rPr>
                <w:sz w:val="18"/>
                <w:szCs w:val="18"/>
              </w:rPr>
            </w:pPr>
            <w:r>
              <w:rPr>
                <w:spacing w:val="-2"/>
                <w:sz w:val="18"/>
                <w:szCs w:val="18"/>
              </w:rPr>
              <w:t>城市</w:t>
            </w:r>
            <w:r>
              <w:rPr>
                <w:rFonts w:ascii="Times New Roman" w:hAnsi="Times New Roman" w:eastAsia="Times New Roman" w:cs="Times New Roman"/>
                <w:spacing w:val="-2"/>
                <w:sz w:val="18"/>
                <w:szCs w:val="18"/>
              </w:rPr>
              <w:t>/</w:t>
            </w:r>
            <w:r>
              <w:rPr>
                <w:spacing w:val="-2"/>
                <w:sz w:val="18"/>
                <w:szCs w:val="18"/>
              </w:rPr>
              <w:t>农村</w:t>
            </w:r>
          </w:p>
        </w:tc>
        <w:tc>
          <w:tcPr>
            <w:tcW w:w="2604" w:type="dxa"/>
            <w:tcBorders>
              <w:right w:val="nil"/>
            </w:tcBorders>
            <w:vAlign w:val="top"/>
          </w:tcPr>
          <w:p w14:paraId="233D598E">
            <w:pPr>
              <w:pStyle w:val="6"/>
              <w:spacing w:before="115" w:line="213" w:lineRule="auto"/>
              <w:ind w:left="1125"/>
              <w:rPr>
                <w:sz w:val="18"/>
                <w:szCs w:val="18"/>
              </w:rPr>
            </w:pPr>
            <w:r>
              <w:rPr>
                <w:spacing w:val="-4"/>
                <w:sz w:val="18"/>
                <w:szCs w:val="18"/>
              </w:rPr>
              <w:t>农村</w:t>
            </w:r>
          </w:p>
        </w:tc>
      </w:tr>
      <w:tr w14:paraId="64E478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2219" w:type="dxa"/>
            <w:vMerge w:val="continue"/>
            <w:tcBorders>
              <w:top w:val="nil"/>
              <w:left w:val="nil"/>
            </w:tcBorders>
            <w:vAlign w:val="top"/>
          </w:tcPr>
          <w:p w14:paraId="7894C322">
            <w:pPr>
              <w:rPr>
                <w:rFonts w:ascii="Arial"/>
                <w:sz w:val="21"/>
              </w:rPr>
            </w:pPr>
          </w:p>
        </w:tc>
        <w:tc>
          <w:tcPr>
            <w:tcW w:w="4466" w:type="dxa"/>
            <w:vAlign w:val="top"/>
          </w:tcPr>
          <w:p w14:paraId="590FBF2B">
            <w:pPr>
              <w:pStyle w:val="6"/>
              <w:spacing w:before="115" w:line="213" w:lineRule="auto"/>
              <w:ind w:left="1337"/>
              <w:rPr>
                <w:sz w:val="18"/>
                <w:szCs w:val="18"/>
              </w:rPr>
            </w:pPr>
            <w:r>
              <w:rPr>
                <w:spacing w:val="-1"/>
                <w:sz w:val="18"/>
                <w:szCs w:val="18"/>
              </w:rPr>
              <w:t>人口数（城市选项时）</w:t>
            </w:r>
          </w:p>
        </w:tc>
        <w:tc>
          <w:tcPr>
            <w:tcW w:w="2604" w:type="dxa"/>
            <w:tcBorders>
              <w:right w:val="nil"/>
            </w:tcBorders>
            <w:vAlign w:val="top"/>
          </w:tcPr>
          <w:p w14:paraId="6E345AFB">
            <w:pPr>
              <w:spacing w:before="222" w:line="87" w:lineRule="exact"/>
              <w:ind w:left="1217"/>
              <w:rPr>
                <w:rFonts w:ascii="Times New Roman" w:hAnsi="Times New Roman" w:eastAsia="Times New Roman" w:cs="Times New Roman"/>
                <w:sz w:val="18"/>
                <w:szCs w:val="18"/>
              </w:rPr>
            </w:pPr>
            <w:r>
              <w:rPr>
                <w:rFonts w:ascii="Times New Roman" w:hAnsi="Times New Roman" w:eastAsia="Times New Roman" w:cs="Times New Roman"/>
                <w:position w:val="-1"/>
                <w:sz w:val="18"/>
                <w:szCs w:val="18"/>
              </w:rPr>
              <w:t>---</w:t>
            </w:r>
          </w:p>
        </w:tc>
      </w:tr>
      <w:tr w14:paraId="5BD0FA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6685" w:type="dxa"/>
            <w:gridSpan w:val="2"/>
            <w:tcBorders>
              <w:left w:val="nil"/>
            </w:tcBorders>
            <w:vAlign w:val="top"/>
          </w:tcPr>
          <w:p w14:paraId="4E02D012">
            <w:pPr>
              <w:pStyle w:val="6"/>
              <w:spacing w:before="118" w:line="210" w:lineRule="auto"/>
              <w:ind w:left="2693"/>
              <w:rPr>
                <w:rFonts w:ascii="Times New Roman" w:hAnsi="Times New Roman" w:eastAsia="Times New Roman" w:cs="Times New Roman"/>
                <w:sz w:val="18"/>
                <w:szCs w:val="18"/>
              </w:rPr>
            </w:pPr>
            <w:r>
              <w:rPr>
                <w:spacing w:val="-2"/>
                <w:sz w:val="18"/>
                <w:szCs w:val="18"/>
              </w:rPr>
              <w:t>最高环境温度</w:t>
            </w:r>
            <w:r>
              <w:rPr>
                <w:rFonts w:ascii="Times New Roman" w:hAnsi="Times New Roman" w:eastAsia="Times New Roman" w:cs="Times New Roman"/>
                <w:spacing w:val="-2"/>
                <w:sz w:val="18"/>
                <w:szCs w:val="18"/>
              </w:rPr>
              <w:t>/℃</w:t>
            </w:r>
          </w:p>
        </w:tc>
        <w:tc>
          <w:tcPr>
            <w:tcW w:w="2604" w:type="dxa"/>
            <w:tcBorders>
              <w:right w:val="nil"/>
            </w:tcBorders>
            <w:vAlign w:val="top"/>
          </w:tcPr>
          <w:p w14:paraId="343E2B01">
            <w:pPr>
              <w:spacing w:before="147" w:line="188" w:lineRule="auto"/>
              <w:ind w:left="114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39.9</w:t>
            </w:r>
          </w:p>
        </w:tc>
      </w:tr>
      <w:tr w14:paraId="3ACB34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6685" w:type="dxa"/>
            <w:gridSpan w:val="2"/>
            <w:tcBorders>
              <w:left w:val="nil"/>
            </w:tcBorders>
            <w:vAlign w:val="top"/>
          </w:tcPr>
          <w:p w14:paraId="6E1C817E">
            <w:pPr>
              <w:pStyle w:val="6"/>
              <w:spacing w:before="121" w:line="207" w:lineRule="auto"/>
              <w:ind w:left="2693"/>
              <w:rPr>
                <w:rFonts w:ascii="Times New Roman" w:hAnsi="Times New Roman" w:eastAsia="Times New Roman" w:cs="Times New Roman"/>
                <w:sz w:val="18"/>
                <w:szCs w:val="18"/>
              </w:rPr>
            </w:pPr>
            <w:r>
              <w:rPr>
                <w:spacing w:val="-2"/>
                <w:sz w:val="18"/>
                <w:szCs w:val="18"/>
              </w:rPr>
              <w:t>最低环境温度</w:t>
            </w:r>
            <w:r>
              <w:rPr>
                <w:rFonts w:ascii="Times New Roman" w:hAnsi="Times New Roman" w:eastAsia="Times New Roman" w:cs="Times New Roman"/>
                <w:spacing w:val="-2"/>
                <w:sz w:val="18"/>
                <w:szCs w:val="18"/>
              </w:rPr>
              <w:t>/℃</w:t>
            </w:r>
          </w:p>
        </w:tc>
        <w:tc>
          <w:tcPr>
            <w:tcW w:w="2604" w:type="dxa"/>
            <w:tcBorders>
              <w:right w:val="nil"/>
            </w:tcBorders>
            <w:vAlign w:val="top"/>
          </w:tcPr>
          <w:p w14:paraId="4BA0CED9">
            <w:pPr>
              <w:spacing w:before="150" w:line="188" w:lineRule="auto"/>
              <w:ind w:left="111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-34.9</w:t>
            </w:r>
          </w:p>
        </w:tc>
      </w:tr>
      <w:tr w14:paraId="11495A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6685" w:type="dxa"/>
            <w:gridSpan w:val="2"/>
            <w:tcBorders>
              <w:left w:val="nil"/>
            </w:tcBorders>
            <w:vAlign w:val="top"/>
          </w:tcPr>
          <w:p w14:paraId="57CCE3E8">
            <w:pPr>
              <w:pStyle w:val="6"/>
              <w:spacing w:before="122" w:line="206" w:lineRule="auto"/>
              <w:ind w:left="2809"/>
              <w:rPr>
                <w:sz w:val="18"/>
                <w:szCs w:val="18"/>
              </w:rPr>
            </w:pPr>
            <w:r>
              <w:rPr>
                <w:spacing w:val="-2"/>
                <w:sz w:val="18"/>
                <w:szCs w:val="18"/>
              </w:rPr>
              <w:t>土地利用类型</w:t>
            </w:r>
          </w:p>
        </w:tc>
        <w:tc>
          <w:tcPr>
            <w:tcW w:w="2604" w:type="dxa"/>
            <w:tcBorders>
              <w:right w:val="nil"/>
            </w:tcBorders>
            <w:vAlign w:val="top"/>
          </w:tcPr>
          <w:p w14:paraId="16AD43E0">
            <w:pPr>
              <w:pStyle w:val="6"/>
              <w:spacing w:before="122" w:line="206" w:lineRule="auto"/>
              <w:ind w:left="1127"/>
              <w:rPr>
                <w:sz w:val="18"/>
                <w:szCs w:val="18"/>
              </w:rPr>
            </w:pPr>
            <w:r>
              <w:rPr>
                <w:spacing w:val="-5"/>
                <w:sz w:val="18"/>
                <w:szCs w:val="18"/>
              </w:rPr>
              <w:t>草地</w:t>
            </w:r>
          </w:p>
        </w:tc>
      </w:tr>
      <w:tr w14:paraId="59C96E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6685" w:type="dxa"/>
            <w:gridSpan w:val="2"/>
            <w:tcBorders>
              <w:left w:val="nil"/>
            </w:tcBorders>
            <w:vAlign w:val="top"/>
          </w:tcPr>
          <w:p w14:paraId="558BB594">
            <w:pPr>
              <w:pStyle w:val="6"/>
              <w:spacing w:before="124" w:line="204" w:lineRule="auto"/>
              <w:ind w:left="2822"/>
              <w:rPr>
                <w:sz w:val="18"/>
                <w:szCs w:val="18"/>
              </w:rPr>
            </w:pPr>
            <w:r>
              <w:rPr>
                <w:spacing w:val="-4"/>
                <w:sz w:val="18"/>
                <w:szCs w:val="18"/>
              </w:rPr>
              <w:t>区域湿度条件</w:t>
            </w:r>
          </w:p>
        </w:tc>
        <w:tc>
          <w:tcPr>
            <w:tcW w:w="2604" w:type="dxa"/>
            <w:tcBorders>
              <w:right w:val="nil"/>
            </w:tcBorders>
            <w:vAlign w:val="top"/>
          </w:tcPr>
          <w:p w14:paraId="6997B67D">
            <w:pPr>
              <w:pStyle w:val="6"/>
              <w:spacing w:before="124" w:line="204" w:lineRule="auto"/>
              <w:ind w:left="1124"/>
              <w:rPr>
                <w:sz w:val="18"/>
                <w:szCs w:val="18"/>
              </w:rPr>
            </w:pPr>
            <w:r>
              <w:rPr>
                <w:spacing w:val="-4"/>
                <w:sz w:val="18"/>
                <w:szCs w:val="18"/>
              </w:rPr>
              <w:t>干燥</w:t>
            </w:r>
          </w:p>
        </w:tc>
      </w:tr>
      <w:tr w14:paraId="558958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2219" w:type="dxa"/>
            <w:vMerge w:val="restart"/>
            <w:tcBorders>
              <w:left w:val="nil"/>
              <w:bottom w:val="nil"/>
            </w:tcBorders>
            <w:vAlign w:val="top"/>
          </w:tcPr>
          <w:p w14:paraId="76B4E7CE">
            <w:pPr>
              <w:pStyle w:val="6"/>
              <w:spacing w:before="295" w:line="219" w:lineRule="auto"/>
              <w:ind w:left="577"/>
              <w:rPr>
                <w:sz w:val="18"/>
                <w:szCs w:val="18"/>
              </w:rPr>
            </w:pPr>
            <w:r>
              <w:rPr>
                <w:spacing w:val="-2"/>
                <w:sz w:val="18"/>
                <w:szCs w:val="18"/>
              </w:rPr>
              <w:t>是否考虑地形</w:t>
            </w:r>
          </w:p>
        </w:tc>
        <w:tc>
          <w:tcPr>
            <w:tcW w:w="4466" w:type="dxa"/>
            <w:vAlign w:val="top"/>
          </w:tcPr>
          <w:p w14:paraId="68E9C880">
            <w:pPr>
              <w:pStyle w:val="6"/>
              <w:spacing w:before="127" w:line="201" w:lineRule="auto"/>
              <w:ind w:left="1876"/>
              <w:rPr>
                <w:sz w:val="18"/>
                <w:szCs w:val="18"/>
              </w:rPr>
            </w:pPr>
            <w:r>
              <w:rPr>
                <w:spacing w:val="-2"/>
                <w:sz w:val="18"/>
                <w:szCs w:val="18"/>
              </w:rPr>
              <w:t>考虑地形</w:t>
            </w:r>
          </w:p>
        </w:tc>
        <w:tc>
          <w:tcPr>
            <w:tcW w:w="2604" w:type="dxa"/>
            <w:tcBorders>
              <w:right w:val="nil"/>
            </w:tcBorders>
            <w:vAlign w:val="top"/>
          </w:tcPr>
          <w:p w14:paraId="2711F191">
            <w:pPr>
              <w:pStyle w:val="6"/>
              <w:spacing w:before="127" w:line="201" w:lineRule="auto"/>
              <w:ind w:left="910"/>
              <w:rPr>
                <w:sz w:val="18"/>
                <w:szCs w:val="18"/>
              </w:rPr>
            </w:pPr>
            <w:r>
              <w:rPr>
                <w:sz w:val="18"/>
                <w:szCs w:val="18"/>
              </w:rPr>
              <w:drawing>
                <wp:inline distT="0" distB="0" distL="0" distR="0">
                  <wp:extent cx="92075" cy="88265"/>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81"/>
                          <a:stretch>
                            <a:fillRect/>
                          </a:stretch>
                        </pic:blipFill>
                        <pic:spPr>
                          <a:xfrm>
                            <a:off x="0" y="0"/>
                            <a:ext cx="92240" cy="88353"/>
                          </a:xfrm>
                          <a:prstGeom prst="rect">
                            <a:avLst/>
                          </a:prstGeom>
                        </pic:spPr>
                      </pic:pic>
                    </a:graphicData>
                  </a:graphic>
                </wp:inline>
              </w:drawing>
            </w:r>
            <w:r>
              <w:rPr>
                <w:spacing w:val="-5"/>
                <w:sz w:val="18"/>
                <w:szCs w:val="18"/>
              </w:rPr>
              <w:t>是</w:t>
            </w:r>
            <w:r>
              <w:rPr>
                <w:spacing w:val="6"/>
                <w:sz w:val="18"/>
                <w:szCs w:val="18"/>
              </w:rPr>
              <w:t xml:space="preserve">  </w:t>
            </w:r>
            <w:r>
              <w:rPr>
                <w:rFonts w:ascii="Times New Roman" w:hAnsi="Times New Roman" w:eastAsia="Times New Roman" w:cs="Times New Roman"/>
                <w:spacing w:val="-5"/>
                <w:sz w:val="18"/>
                <w:szCs w:val="18"/>
              </w:rPr>
              <w:t>□</w:t>
            </w:r>
            <w:r>
              <w:rPr>
                <w:spacing w:val="-5"/>
                <w:sz w:val="18"/>
                <w:szCs w:val="18"/>
              </w:rPr>
              <w:t>否</w:t>
            </w:r>
          </w:p>
        </w:tc>
      </w:tr>
      <w:tr w14:paraId="128718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2219" w:type="dxa"/>
            <w:vMerge w:val="continue"/>
            <w:tcBorders>
              <w:top w:val="nil"/>
              <w:left w:val="nil"/>
            </w:tcBorders>
            <w:vAlign w:val="top"/>
          </w:tcPr>
          <w:p w14:paraId="53275B08">
            <w:pPr>
              <w:rPr>
                <w:rFonts w:ascii="Arial"/>
                <w:sz w:val="21"/>
              </w:rPr>
            </w:pPr>
          </w:p>
        </w:tc>
        <w:tc>
          <w:tcPr>
            <w:tcW w:w="4466" w:type="dxa"/>
            <w:vAlign w:val="top"/>
          </w:tcPr>
          <w:p w14:paraId="6B520143">
            <w:pPr>
              <w:pStyle w:val="6"/>
              <w:spacing w:before="127" w:line="200" w:lineRule="auto"/>
              <w:ind w:left="1511"/>
              <w:rPr>
                <w:rFonts w:ascii="Times New Roman" w:hAnsi="Times New Roman" w:eastAsia="Times New Roman" w:cs="Times New Roman"/>
                <w:sz w:val="18"/>
                <w:szCs w:val="18"/>
              </w:rPr>
            </w:pPr>
            <w:r>
              <w:rPr>
                <w:spacing w:val="-1"/>
                <w:sz w:val="18"/>
                <w:szCs w:val="18"/>
              </w:rPr>
              <w:t>地形数据分辨率</w:t>
            </w:r>
            <w:r>
              <w:rPr>
                <w:rFonts w:ascii="Times New Roman" w:hAnsi="Times New Roman" w:eastAsia="Times New Roman" w:cs="Times New Roman"/>
                <w:spacing w:val="-1"/>
                <w:sz w:val="18"/>
                <w:szCs w:val="18"/>
              </w:rPr>
              <w:t>/m</w:t>
            </w:r>
          </w:p>
        </w:tc>
        <w:tc>
          <w:tcPr>
            <w:tcW w:w="2604" w:type="dxa"/>
            <w:tcBorders>
              <w:right w:val="nil"/>
            </w:tcBorders>
            <w:vAlign w:val="top"/>
          </w:tcPr>
          <w:p w14:paraId="6ECA66B9">
            <w:pPr>
              <w:spacing w:before="159" w:line="188" w:lineRule="auto"/>
              <w:ind w:left="114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90m</w:t>
            </w:r>
          </w:p>
        </w:tc>
      </w:tr>
      <w:tr w14:paraId="620010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2219" w:type="dxa"/>
            <w:vMerge w:val="restart"/>
            <w:tcBorders>
              <w:left w:val="nil"/>
              <w:bottom w:val="nil"/>
            </w:tcBorders>
            <w:vAlign w:val="top"/>
          </w:tcPr>
          <w:p w14:paraId="60F7AE55">
            <w:pPr>
              <w:spacing w:line="409" w:lineRule="auto"/>
              <w:rPr>
                <w:rFonts w:ascii="Arial"/>
                <w:sz w:val="21"/>
              </w:rPr>
            </w:pPr>
          </w:p>
          <w:p w14:paraId="7507F58C">
            <w:pPr>
              <w:pStyle w:val="6"/>
              <w:spacing w:before="59" w:line="219" w:lineRule="auto"/>
              <w:ind w:left="397"/>
              <w:rPr>
                <w:sz w:val="18"/>
                <w:szCs w:val="18"/>
              </w:rPr>
            </w:pPr>
            <w:r>
              <w:rPr>
                <w:spacing w:val="-2"/>
                <w:sz w:val="18"/>
                <w:szCs w:val="18"/>
              </w:rPr>
              <w:t>是否考虑岸线熏烟</w:t>
            </w:r>
          </w:p>
        </w:tc>
        <w:tc>
          <w:tcPr>
            <w:tcW w:w="4466" w:type="dxa"/>
            <w:vAlign w:val="top"/>
          </w:tcPr>
          <w:p w14:paraId="2933B3BB">
            <w:pPr>
              <w:pStyle w:val="6"/>
              <w:spacing w:before="130" w:line="197" w:lineRule="auto"/>
              <w:ind w:left="1696"/>
              <w:rPr>
                <w:sz w:val="18"/>
                <w:szCs w:val="18"/>
              </w:rPr>
            </w:pPr>
            <w:r>
              <w:rPr>
                <w:spacing w:val="-2"/>
                <w:sz w:val="18"/>
                <w:szCs w:val="18"/>
              </w:rPr>
              <w:t>考虑岸线熏烟</w:t>
            </w:r>
          </w:p>
        </w:tc>
        <w:tc>
          <w:tcPr>
            <w:tcW w:w="2604" w:type="dxa"/>
            <w:tcBorders>
              <w:right w:val="nil"/>
            </w:tcBorders>
            <w:vAlign w:val="top"/>
          </w:tcPr>
          <w:p w14:paraId="4D1CF0D0">
            <w:pPr>
              <w:pStyle w:val="6"/>
              <w:spacing w:before="130" w:line="197" w:lineRule="auto"/>
              <w:ind w:left="908"/>
              <w:rPr>
                <w:sz w:val="18"/>
                <w:szCs w:val="18"/>
              </w:rPr>
            </w:pPr>
            <w:r>
              <w:rPr>
                <w:rFonts w:ascii="Times New Roman" w:hAnsi="Times New Roman" w:eastAsia="Times New Roman" w:cs="Times New Roman"/>
                <w:spacing w:val="-5"/>
                <w:sz w:val="18"/>
                <w:szCs w:val="18"/>
              </w:rPr>
              <w:t>□</w:t>
            </w:r>
            <w:r>
              <w:rPr>
                <w:spacing w:val="-5"/>
                <w:sz w:val="18"/>
                <w:szCs w:val="18"/>
              </w:rPr>
              <w:t>是</w:t>
            </w:r>
            <w:r>
              <w:rPr>
                <w:spacing w:val="7"/>
                <w:sz w:val="18"/>
                <w:szCs w:val="18"/>
              </w:rPr>
              <w:t xml:space="preserve">  </w:t>
            </w:r>
            <w:r>
              <w:rPr>
                <w:sz w:val="18"/>
                <w:szCs w:val="18"/>
              </w:rPr>
              <w:drawing>
                <wp:inline distT="0" distB="0" distL="0" distR="0">
                  <wp:extent cx="92075" cy="88265"/>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582"/>
                          <a:stretch>
                            <a:fillRect/>
                          </a:stretch>
                        </pic:blipFill>
                        <pic:spPr>
                          <a:xfrm>
                            <a:off x="0" y="0"/>
                            <a:ext cx="92240" cy="88353"/>
                          </a:xfrm>
                          <a:prstGeom prst="rect">
                            <a:avLst/>
                          </a:prstGeom>
                        </pic:spPr>
                      </pic:pic>
                    </a:graphicData>
                  </a:graphic>
                </wp:inline>
              </w:drawing>
            </w:r>
            <w:r>
              <w:rPr>
                <w:spacing w:val="-5"/>
                <w:sz w:val="18"/>
                <w:szCs w:val="18"/>
              </w:rPr>
              <w:t>否</w:t>
            </w:r>
          </w:p>
        </w:tc>
      </w:tr>
      <w:tr w14:paraId="1DAF4D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2219" w:type="dxa"/>
            <w:vMerge w:val="continue"/>
            <w:tcBorders>
              <w:top w:val="nil"/>
              <w:left w:val="nil"/>
              <w:bottom w:val="nil"/>
            </w:tcBorders>
            <w:vAlign w:val="top"/>
          </w:tcPr>
          <w:p w14:paraId="60078C4D">
            <w:pPr>
              <w:rPr>
                <w:rFonts w:ascii="Arial"/>
                <w:sz w:val="21"/>
              </w:rPr>
            </w:pPr>
          </w:p>
        </w:tc>
        <w:tc>
          <w:tcPr>
            <w:tcW w:w="4466" w:type="dxa"/>
            <w:vAlign w:val="top"/>
          </w:tcPr>
          <w:p w14:paraId="20F4D936">
            <w:pPr>
              <w:pStyle w:val="6"/>
              <w:spacing w:before="133" w:line="194" w:lineRule="auto"/>
              <w:ind w:left="1737"/>
              <w:rPr>
                <w:rFonts w:ascii="Times New Roman" w:hAnsi="Times New Roman" w:eastAsia="Times New Roman" w:cs="Times New Roman"/>
                <w:sz w:val="18"/>
                <w:szCs w:val="18"/>
              </w:rPr>
            </w:pPr>
            <w:r>
              <w:rPr>
                <w:spacing w:val="-1"/>
                <w:sz w:val="18"/>
                <w:szCs w:val="18"/>
              </w:rPr>
              <w:t>岸线距离</w:t>
            </w:r>
            <w:r>
              <w:rPr>
                <w:rFonts w:ascii="Times New Roman" w:hAnsi="Times New Roman" w:eastAsia="Times New Roman" w:cs="Times New Roman"/>
                <w:spacing w:val="-1"/>
                <w:sz w:val="18"/>
                <w:szCs w:val="18"/>
              </w:rPr>
              <w:t>/km</w:t>
            </w:r>
          </w:p>
        </w:tc>
        <w:tc>
          <w:tcPr>
            <w:tcW w:w="2604" w:type="dxa"/>
            <w:tcBorders>
              <w:right w:val="nil"/>
            </w:tcBorders>
            <w:vAlign w:val="top"/>
          </w:tcPr>
          <w:p w14:paraId="58214AB6">
            <w:pPr>
              <w:spacing w:before="237" w:line="85" w:lineRule="exact"/>
              <w:ind w:left="1186"/>
              <w:rPr>
                <w:rFonts w:ascii="Times New Roman" w:hAnsi="Times New Roman" w:eastAsia="Times New Roman" w:cs="Times New Roman"/>
                <w:sz w:val="18"/>
                <w:szCs w:val="18"/>
              </w:rPr>
            </w:pPr>
            <w:r>
              <w:rPr>
                <w:rFonts w:ascii="Times New Roman" w:hAnsi="Times New Roman" w:eastAsia="Times New Roman" w:cs="Times New Roman"/>
                <w:position w:val="-1"/>
                <w:sz w:val="18"/>
                <w:szCs w:val="18"/>
              </w:rPr>
              <w:t>----</w:t>
            </w:r>
          </w:p>
        </w:tc>
      </w:tr>
      <w:tr w14:paraId="72E9CA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 w:hRule="atLeast"/>
        </w:trPr>
        <w:tc>
          <w:tcPr>
            <w:tcW w:w="2219" w:type="dxa"/>
            <w:vMerge w:val="continue"/>
            <w:tcBorders>
              <w:top w:val="nil"/>
              <w:left w:val="nil"/>
              <w:bottom w:val="single" w:color="000000" w:sz="10" w:space="0"/>
            </w:tcBorders>
            <w:vAlign w:val="top"/>
          </w:tcPr>
          <w:p w14:paraId="0C3AC231">
            <w:pPr>
              <w:rPr>
                <w:rFonts w:ascii="Arial"/>
                <w:sz w:val="21"/>
              </w:rPr>
            </w:pPr>
          </w:p>
        </w:tc>
        <w:tc>
          <w:tcPr>
            <w:tcW w:w="4466" w:type="dxa"/>
            <w:tcBorders>
              <w:bottom w:val="single" w:color="000000" w:sz="10" w:space="0"/>
            </w:tcBorders>
            <w:vAlign w:val="top"/>
          </w:tcPr>
          <w:p w14:paraId="2F148312">
            <w:pPr>
              <w:pStyle w:val="6"/>
              <w:spacing w:before="133" w:line="218" w:lineRule="auto"/>
              <w:ind w:left="1816"/>
              <w:rPr>
                <w:rFonts w:ascii="Times New Roman" w:hAnsi="Times New Roman" w:eastAsia="Times New Roman" w:cs="Times New Roman"/>
                <w:sz w:val="18"/>
                <w:szCs w:val="18"/>
              </w:rPr>
            </w:pPr>
            <w:r>
              <w:rPr>
                <w:spacing w:val="-2"/>
                <w:sz w:val="18"/>
                <w:szCs w:val="18"/>
              </w:rPr>
              <w:t>岸线方向</w:t>
            </w:r>
            <w:r>
              <w:rPr>
                <w:rFonts w:ascii="Times New Roman" w:hAnsi="Times New Roman" w:eastAsia="Times New Roman" w:cs="Times New Roman"/>
                <w:spacing w:val="-2"/>
                <w:sz w:val="18"/>
                <w:szCs w:val="18"/>
              </w:rPr>
              <w:t>/°</w:t>
            </w:r>
          </w:p>
        </w:tc>
        <w:tc>
          <w:tcPr>
            <w:tcW w:w="2604" w:type="dxa"/>
            <w:tcBorders>
              <w:bottom w:val="single" w:color="000000" w:sz="10" w:space="0"/>
              <w:right w:val="nil"/>
            </w:tcBorders>
            <w:vAlign w:val="top"/>
          </w:tcPr>
          <w:p w14:paraId="41C07A98">
            <w:pPr>
              <w:spacing w:before="240" w:line="87" w:lineRule="exact"/>
              <w:ind w:left="1186"/>
              <w:rPr>
                <w:rFonts w:ascii="Times New Roman" w:hAnsi="Times New Roman" w:eastAsia="Times New Roman" w:cs="Times New Roman"/>
                <w:sz w:val="18"/>
                <w:szCs w:val="18"/>
              </w:rPr>
            </w:pPr>
            <w:r>
              <w:rPr>
                <w:rFonts w:ascii="Times New Roman" w:hAnsi="Times New Roman" w:eastAsia="Times New Roman" w:cs="Times New Roman"/>
                <w:position w:val="-1"/>
                <w:sz w:val="18"/>
                <w:szCs w:val="18"/>
              </w:rPr>
              <w:t>----</w:t>
            </w:r>
          </w:p>
        </w:tc>
      </w:tr>
    </w:tbl>
    <w:p w14:paraId="4FC041CA">
      <w:pPr>
        <w:pStyle w:val="2"/>
      </w:pPr>
    </w:p>
    <w:p w14:paraId="5A326DB7">
      <w:pPr>
        <w:sectPr>
          <w:headerReference r:id="rId64" w:type="default"/>
          <w:footerReference r:id="rId65" w:type="default"/>
          <w:pgSz w:w="11907" w:h="16840"/>
          <w:pgMar w:top="1178" w:right="1308" w:bottom="1038" w:left="1309" w:header="870" w:footer="876" w:gutter="0"/>
          <w:cols w:space="720" w:num="1"/>
        </w:sectPr>
      </w:pPr>
    </w:p>
    <w:p w14:paraId="18B30FA8">
      <w:pPr>
        <w:spacing w:before="274" w:line="218" w:lineRule="auto"/>
        <w:ind w:left="488"/>
        <w:rPr>
          <w:rFonts w:ascii="Times New Roman" w:hAnsi="Times New Roman" w:eastAsia="Times New Roman" w:cs="Times New Roman"/>
          <w:sz w:val="24"/>
          <w:szCs w:val="24"/>
        </w:rPr>
      </w:pPr>
      <w:r>
        <w:pict>
          <v:shape id="_x0000_s1063" o:spid="_x0000_s1063" style="position:absolute;left:0pt;margin-left:70.85pt;margin-top:59.65pt;height:0.75pt;width:700.35pt;mso-position-horizontal-relative:page;mso-position-vertical-relative:page;z-index:251697152;mso-width-relative:page;mso-height-relative:page;" fillcolor="#000000" filled="t" stroked="f" coordsize="14006,15" o:allowincell="f" path="m0,0l14006,0,14006,14,0,14,0,0xe">
            <v:path/>
            <v:fill on="t" focussize="0,0"/>
            <v:stroke on="f"/>
            <v:imagedata o:title=""/>
            <o:lock v:ext="edit"/>
          </v:shape>
        </w:pict>
      </w:r>
      <w:r>
        <w:rPr>
          <w:rFonts w:ascii="宋体" w:hAnsi="宋体" w:eastAsia="宋体" w:cs="宋体"/>
          <w:spacing w:val="-1"/>
          <w:sz w:val="24"/>
          <w:szCs w:val="24"/>
        </w:rPr>
        <w:t>根据对项目的工程分析结果，本次大气环境评价工作等级及范围判定采用的大气污染源排放参数见表</w:t>
      </w:r>
      <w:r>
        <w:rPr>
          <w:rFonts w:ascii="宋体" w:hAnsi="宋体" w:eastAsia="宋体" w:cs="宋体"/>
          <w:spacing w:val="-22"/>
          <w:sz w:val="24"/>
          <w:szCs w:val="24"/>
        </w:rPr>
        <w:t xml:space="preserve"> </w:t>
      </w:r>
      <w:r>
        <w:rPr>
          <w:rFonts w:ascii="Times New Roman" w:hAnsi="Times New Roman" w:eastAsia="Times New Roman" w:cs="Times New Roman"/>
          <w:spacing w:val="-1"/>
          <w:sz w:val="24"/>
          <w:szCs w:val="24"/>
        </w:rPr>
        <w:t>1.6-4</w:t>
      </w:r>
    </w:p>
    <w:p w14:paraId="2C658316">
      <w:pPr>
        <w:spacing w:before="177" w:line="227" w:lineRule="auto"/>
        <w:ind w:left="507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3"/>
          <w:sz w:val="20"/>
          <w:szCs w:val="20"/>
        </w:rPr>
        <w:t xml:space="preserve"> </w:t>
      </w:r>
      <w:r>
        <w:rPr>
          <w:rFonts w:ascii="Times New Roman" w:hAnsi="Times New Roman" w:eastAsia="Times New Roman" w:cs="Times New Roman"/>
          <w:b/>
          <w:bCs/>
          <w:spacing w:val="5"/>
          <w:sz w:val="20"/>
          <w:szCs w:val="20"/>
        </w:rPr>
        <w:t xml:space="preserve">1.6-4        </w:t>
      </w:r>
      <w:r>
        <w:rPr>
          <w:rFonts w:ascii="宋体" w:hAnsi="宋体" w:eastAsia="宋体" w:cs="宋体"/>
          <w:b/>
          <w:bCs/>
          <w:spacing w:val="5"/>
          <w:sz w:val="20"/>
          <w:szCs w:val="20"/>
        </w:rPr>
        <w:t>本项目点源排放源参数统计表</w:t>
      </w:r>
    </w:p>
    <w:p w14:paraId="4D3A6DE2">
      <w:pPr>
        <w:spacing w:line="131" w:lineRule="exact"/>
      </w:pPr>
    </w:p>
    <w:tbl>
      <w:tblPr>
        <w:tblStyle w:val="5"/>
        <w:tblW w:w="13995" w:type="dxa"/>
        <w:tblInd w:w="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35"/>
        <w:gridCol w:w="2445"/>
        <w:gridCol w:w="714"/>
        <w:gridCol w:w="683"/>
        <w:gridCol w:w="1045"/>
        <w:gridCol w:w="776"/>
        <w:gridCol w:w="647"/>
        <w:gridCol w:w="832"/>
        <w:gridCol w:w="759"/>
        <w:gridCol w:w="882"/>
        <w:gridCol w:w="552"/>
        <w:gridCol w:w="877"/>
        <w:gridCol w:w="826"/>
        <w:gridCol w:w="812"/>
        <w:gridCol w:w="851"/>
        <w:gridCol w:w="759"/>
      </w:tblGrid>
      <w:tr w14:paraId="6B3E0F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535" w:type="dxa"/>
            <w:vMerge w:val="restart"/>
            <w:tcBorders>
              <w:top w:val="single" w:color="000000" w:sz="10" w:space="0"/>
              <w:left w:val="nil"/>
              <w:bottom w:val="nil"/>
            </w:tcBorders>
            <w:vAlign w:val="top"/>
          </w:tcPr>
          <w:p w14:paraId="7F653F2D">
            <w:pPr>
              <w:pStyle w:val="6"/>
              <w:spacing w:before="270" w:line="219" w:lineRule="auto"/>
              <w:ind w:left="93"/>
              <w:rPr>
                <w:sz w:val="18"/>
                <w:szCs w:val="18"/>
              </w:rPr>
            </w:pPr>
            <w:r>
              <w:rPr>
                <w:spacing w:val="-5"/>
                <w:sz w:val="18"/>
                <w:szCs w:val="18"/>
              </w:rPr>
              <w:t>编号</w:t>
            </w:r>
          </w:p>
        </w:tc>
        <w:tc>
          <w:tcPr>
            <w:tcW w:w="2445" w:type="dxa"/>
            <w:vMerge w:val="restart"/>
            <w:tcBorders>
              <w:top w:val="single" w:color="000000" w:sz="10" w:space="0"/>
              <w:bottom w:val="nil"/>
            </w:tcBorders>
            <w:vAlign w:val="top"/>
          </w:tcPr>
          <w:p w14:paraId="3243771F">
            <w:pPr>
              <w:pStyle w:val="6"/>
              <w:spacing w:before="270" w:line="221" w:lineRule="auto"/>
              <w:ind w:left="1049"/>
              <w:rPr>
                <w:sz w:val="18"/>
                <w:szCs w:val="18"/>
              </w:rPr>
            </w:pPr>
            <w:r>
              <w:rPr>
                <w:spacing w:val="-5"/>
                <w:sz w:val="18"/>
                <w:szCs w:val="18"/>
              </w:rPr>
              <w:t>名称</w:t>
            </w:r>
          </w:p>
        </w:tc>
        <w:tc>
          <w:tcPr>
            <w:tcW w:w="1397" w:type="dxa"/>
            <w:gridSpan w:val="2"/>
            <w:tcBorders>
              <w:top w:val="single" w:color="000000" w:sz="10" w:space="0"/>
            </w:tcBorders>
            <w:vAlign w:val="top"/>
          </w:tcPr>
          <w:p w14:paraId="77297BD6">
            <w:pPr>
              <w:pStyle w:val="6"/>
              <w:spacing w:before="33" w:line="221" w:lineRule="auto"/>
              <w:ind w:left="426" w:right="67" w:hanging="355"/>
              <w:rPr>
                <w:rFonts w:ascii="Times New Roman" w:hAnsi="Times New Roman" w:eastAsia="Times New Roman" w:cs="Times New Roman"/>
                <w:sz w:val="18"/>
                <w:szCs w:val="18"/>
              </w:rPr>
            </w:pPr>
            <w:r>
              <w:rPr>
                <w:spacing w:val="-2"/>
                <w:sz w:val="18"/>
                <w:szCs w:val="18"/>
              </w:rPr>
              <w:t>排气筒底部中心</w:t>
            </w:r>
            <w:r>
              <w:rPr>
                <w:spacing w:val="5"/>
                <w:sz w:val="18"/>
                <w:szCs w:val="18"/>
              </w:rPr>
              <w:t xml:space="preserve"> </w:t>
            </w:r>
            <w:r>
              <w:rPr>
                <w:spacing w:val="-2"/>
                <w:sz w:val="18"/>
                <w:szCs w:val="18"/>
              </w:rPr>
              <w:t>坐标</w:t>
            </w:r>
            <w:r>
              <w:rPr>
                <w:rFonts w:ascii="Times New Roman" w:hAnsi="Times New Roman" w:eastAsia="Times New Roman" w:cs="Times New Roman"/>
                <w:spacing w:val="-2"/>
                <w:sz w:val="18"/>
                <w:szCs w:val="18"/>
              </w:rPr>
              <w:t>/m</w:t>
            </w:r>
          </w:p>
        </w:tc>
        <w:tc>
          <w:tcPr>
            <w:tcW w:w="1045" w:type="dxa"/>
            <w:vMerge w:val="restart"/>
            <w:tcBorders>
              <w:top w:val="single" w:color="000000" w:sz="10" w:space="0"/>
              <w:bottom w:val="nil"/>
            </w:tcBorders>
            <w:vAlign w:val="top"/>
          </w:tcPr>
          <w:p w14:paraId="47EF2575">
            <w:pPr>
              <w:pStyle w:val="6"/>
              <w:spacing w:before="152" w:line="229" w:lineRule="auto"/>
              <w:ind w:left="70" w:right="65" w:firstLine="5"/>
              <w:rPr>
                <w:rFonts w:ascii="Times New Roman" w:hAnsi="Times New Roman" w:eastAsia="Times New Roman" w:cs="Times New Roman"/>
                <w:sz w:val="18"/>
                <w:szCs w:val="18"/>
              </w:rPr>
            </w:pPr>
            <w:r>
              <w:rPr>
                <w:spacing w:val="-2"/>
                <w:sz w:val="18"/>
                <w:szCs w:val="18"/>
              </w:rPr>
              <w:t>排气筒底部</w:t>
            </w:r>
            <w:r>
              <w:rPr>
                <w:spacing w:val="1"/>
                <w:sz w:val="18"/>
                <w:szCs w:val="18"/>
              </w:rPr>
              <w:t xml:space="preserve"> </w:t>
            </w:r>
            <w:r>
              <w:rPr>
                <w:spacing w:val="-2"/>
                <w:sz w:val="18"/>
                <w:szCs w:val="18"/>
              </w:rPr>
              <w:t>海拔高度</w:t>
            </w:r>
            <w:r>
              <w:rPr>
                <w:rFonts w:ascii="Times New Roman" w:hAnsi="Times New Roman" w:eastAsia="Times New Roman" w:cs="Times New Roman"/>
                <w:spacing w:val="-2"/>
                <w:sz w:val="18"/>
                <w:szCs w:val="18"/>
              </w:rPr>
              <w:t>/m</w:t>
            </w:r>
          </w:p>
        </w:tc>
        <w:tc>
          <w:tcPr>
            <w:tcW w:w="776" w:type="dxa"/>
            <w:vMerge w:val="restart"/>
            <w:tcBorders>
              <w:top w:val="single" w:color="000000" w:sz="10" w:space="0"/>
              <w:bottom w:val="nil"/>
            </w:tcBorders>
            <w:vAlign w:val="top"/>
          </w:tcPr>
          <w:p w14:paraId="158F1F7A">
            <w:pPr>
              <w:pStyle w:val="6"/>
              <w:spacing w:before="152" w:line="229" w:lineRule="auto"/>
              <w:ind w:left="122" w:right="109"/>
              <w:rPr>
                <w:rFonts w:ascii="Times New Roman" w:hAnsi="Times New Roman" w:eastAsia="Times New Roman" w:cs="Times New Roman"/>
                <w:sz w:val="18"/>
                <w:szCs w:val="18"/>
              </w:rPr>
            </w:pPr>
            <w:r>
              <w:rPr>
                <w:spacing w:val="-3"/>
                <w:sz w:val="18"/>
                <w:szCs w:val="18"/>
              </w:rPr>
              <w:t>排气筒</w:t>
            </w:r>
            <w:r>
              <w:rPr>
                <w:sz w:val="18"/>
                <w:szCs w:val="18"/>
              </w:rPr>
              <w:t xml:space="preserve"> </w:t>
            </w:r>
            <w:r>
              <w:rPr>
                <w:spacing w:val="-3"/>
                <w:sz w:val="18"/>
                <w:szCs w:val="18"/>
              </w:rPr>
              <w:t>高度</w:t>
            </w:r>
            <w:r>
              <w:rPr>
                <w:rFonts w:ascii="Times New Roman" w:hAnsi="Times New Roman" w:eastAsia="Times New Roman" w:cs="Times New Roman"/>
                <w:spacing w:val="-3"/>
                <w:sz w:val="18"/>
                <w:szCs w:val="18"/>
              </w:rPr>
              <w:t>/m</w:t>
            </w:r>
          </w:p>
        </w:tc>
        <w:tc>
          <w:tcPr>
            <w:tcW w:w="647" w:type="dxa"/>
            <w:vMerge w:val="restart"/>
            <w:tcBorders>
              <w:top w:val="single" w:color="000000" w:sz="10" w:space="0"/>
              <w:bottom w:val="nil"/>
            </w:tcBorders>
            <w:vAlign w:val="top"/>
          </w:tcPr>
          <w:p w14:paraId="67ABA419">
            <w:pPr>
              <w:pStyle w:val="6"/>
              <w:spacing w:before="152" w:line="229" w:lineRule="auto"/>
              <w:ind w:left="73" w:right="46" w:hanging="16"/>
              <w:rPr>
                <w:rFonts w:ascii="Times New Roman" w:hAnsi="Times New Roman" w:eastAsia="Times New Roman" w:cs="Times New Roman"/>
                <w:sz w:val="18"/>
                <w:szCs w:val="18"/>
              </w:rPr>
            </w:pPr>
            <w:r>
              <w:rPr>
                <w:spacing w:val="-3"/>
                <w:sz w:val="18"/>
                <w:szCs w:val="18"/>
              </w:rPr>
              <w:t>排气筒</w:t>
            </w:r>
            <w:r>
              <w:rPr>
                <w:sz w:val="18"/>
                <w:szCs w:val="18"/>
              </w:rPr>
              <w:t xml:space="preserve"> </w:t>
            </w:r>
            <w:r>
              <w:rPr>
                <w:spacing w:val="-8"/>
                <w:sz w:val="18"/>
                <w:szCs w:val="18"/>
              </w:rPr>
              <w:t>内径</w:t>
            </w:r>
            <w:r>
              <w:rPr>
                <w:rFonts w:ascii="Times New Roman" w:hAnsi="Times New Roman" w:eastAsia="Times New Roman" w:cs="Times New Roman"/>
                <w:spacing w:val="-8"/>
                <w:sz w:val="18"/>
                <w:szCs w:val="18"/>
              </w:rPr>
              <w:t>/m</w:t>
            </w:r>
          </w:p>
        </w:tc>
        <w:tc>
          <w:tcPr>
            <w:tcW w:w="832" w:type="dxa"/>
            <w:vMerge w:val="restart"/>
            <w:tcBorders>
              <w:top w:val="single" w:color="000000" w:sz="10" w:space="0"/>
              <w:bottom w:val="nil"/>
            </w:tcBorders>
            <w:vAlign w:val="top"/>
          </w:tcPr>
          <w:p w14:paraId="75A3B441">
            <w:pPr>
              <w:pStyle w:val="6"/>
              <w:spacing w:before="152" w:line="235" w:lineRule="auto"/>
              <w:ind w:left="80" w:right="29" w:hanging="45"/>
              <w:rPr>
                <w:sz w:val="18"/>
                <w:szCs w:val="18"/>
              </w:rPr>
            </w:pPr>
            <w:r>
              <w:rPr>
                <w:spacing w:val="-2"/>
                <w:sz w:val="18"/>
                <w:szCs w:val="18"/>
              </w:rPr>
              <w:t>烟气流量</w:t>
            </w:r>
            <w:r>
              <w:rPr>
                <w:rFonts w:ascii="Times New Roman" w:hAnsi="Times New Roman" w:eastAsia="Times New Roman" w:cs="Times New Roman"/>
                <w:spacing w:val="-2"/>
                <w:sz w:val="18"/>
                <w:szCs w:val="18"/>
              </w:rPr>
              <w:t>/</w:t>
            </w:r>
            <w:r>
              <w:rPr>
                <w:rFonts w:ascii="Times New Roman" w:hAnsi="Times New Roman" w:eastAsia="Times New Roman" w:cs="Times New Roman"/>
                <w:spacing w:val="1"/>
                <w:sz w:val="18"/>
                <w:szCs w:val="18"/>
              </w:rPr>
              <w:t xml:space="preserve"> </w:t>
            </w:r>
            <w:r>
              <w:rPr>
                <w:spacing w:val="-3"/>
                <w:sz w:val="18"/>
                <w:szCs w:val="18"/>
              </w:rPr>
              <w:t>（</w:t>
            </w:r>
            <w:r>
              <w:rPr>
                <w:rFonts w:ascii="Times New Roman" w:hAnsi="Times New Roman" w:eastAsia="Times New Roman" w:cs="Times New Roman"/>
                <w:spacing w:val="-3"/>
                <w:sz w:val="18"/>
                <w:szCs w:val="18"/>
              </w:rPr>
              <w:t>m</w:t>
            </w:r>
            <w:r>
              <w:rPr>
                <w:rFonts w:ascii="Times New Roman" w:hAnsi="Times New Roman" w:eastAsia="Times New Roman" w:cs="Times New Roman"/>
                <w:spacing w:val="-3"/>
                <w:position w:val="5"/>
                <w:sz w:val="11"/>
                <w:szCs w:val="11"/>
              </w:rPr>
              <w:t>3</w:t>
            </w:r>
            <w:r>
              <w:rPr>
                <w:rFonts w:ascii="Times New Roman" w:hAnsi="Times New Roman" w:eastAsia="Times New Roman" w:cs="Times New Roman"/>
                <w:spacing w:val="-3"/>
                <w:sz w:val="18"/>
                <w:szCs w:val="18"/>
              </w:rPr>
              <w:t>/h</w:t>
            </w:r>
            <w:r>
              <w:rPr>
                <w:spacing w:val="-3"/>
                <w:sz w:val="18"/>
                <w:szCs w:val="18"/>
              </w:rPr>
              <w:t>）</w:t>
            </w:r>
          </w:p>
        </w:tc>
        <w:tc>
          <w:tcPr>
            <w:tcW w:w="759" w:type="dxa"/>
            <w:vMerge w:val="restart"/>
            <w:tcBorders>
              <w:top w:val="single" w:color="000000" w:sz="10" w:space="0"/>
              <w:bottom w:val="nil"/>
            </w:tcBorders>
            <w:vAlign w:val="top"/>
          </w:tcPr>
          <w:p w14:paraId="47E20723">
            <w:pPr>
              <w:pStyle w:val="6"/>
              <w:spacing w:before="166" w:line="230" w:lineRule="auto"/>
              <w:ind w:left="257" w:right="17" w:hanging="234"/>
              <w:rPr>
                <w:rFonts w:ascii="Times New Roman" w:hAnsi="Times New Roman" w:eastAsia="Times New Roman" w:cs="Times New Roman"/>
                <w:sz w:val="18"/>
                <w:szCs w:val="18"/>
              </w:rPr>
            </w:pPr>
            <w:r>
              <w:rPr>
                <w:spacing w:val="-2"/>
                <w:sz w:val="18"/>
                <w:szCs w:val="18"/>
              </w:rPr>
              <w:t>烟气温度</w:t>
            </w:r>
            <w:r>
              <w:rPr>
                <w:sz w:val="18"/>
                <w:szCs w:val="18"/>
              </w:rPr>
              <w:t xml:space="preserve"> </w:t>
            </w:r>
            <w:r>
              <w:rPr>
                <w:rFonts w:ascii="Times New Roman" w:hAnsi="Times New Roman" w:eastAsia="Times New Roman" w:cs="Times New Roman"/>
                <w:sz w:val="18"/>
                <w:szCs w:val="18"/>
              </w:rPr>
              <w:t>/℃</w:t>
            </w:r>
          </w:p>
        </w:tc>
        <w:tc>
          <w:tcPr>
            <w:tcW w:w="882" w:type="dxa"/>
            <w:vMerge w:val="restart"/>
            <w:tcBorders>
              <w:top w:val="single" w:color="000000" w:sz="10" w:space="0"/>
              <w:bottom w:val="nil"/>
            </w:tcBorders>
            <w:vAlign w:val="top"/>
          </w:tcPr>
          <w:p w14:paraId="02698BFA">
            <w:pPr>
              <w:pStyle w:val="6"/>
              <w:spacing w:before="152" w:line="229" w:lineRule="auto"/>
              <w:ind w:left="203" w:right="79" w:hanging="118"/>
              <w:rPr>
                <w:rFonts w:ascii="Times New Roman" w:hAnsi="Times New Roman" w:eastAsia="Times New Roman" w:cs="Times New Roman"/>
                <w:sz w:val="18"/>
                <w:szCs w:val="18"/>
              </w:rPr>
            </w:pPr>
            <w:r>
              <w:rPr>
                <w:spacing w:val="-2"/>
                <w:sz w:val="18"/>
                <w:szCs w:val="18"/>
              </w:rPr>
              <w:t>年排放小</w:t>
            </w:r>
            <w:r>
              <w:rPr>
                <w:sz w:val="18"/>
                <w:szCs w:val="18"/>
              </w:rPr>
              <w:t xml:space="preserve"> </w:t>
            </w:r>
            <w:r>
              <w:rPr>
                <w:spacing w:val="-4"/>
                <w:sz w:val="18"/>
                <w:szCs w:val="18"/>
              </w:rPr>
              <w:t>时数</w:t>
            </w:r>
            <w:r>
              <w:rPr>
                <w:rFonts w:ascii="Times New Roman" w:hAnsi="Times New Roman" w:eastAsia="Times New Roman" w:cs="Times New Roman"/>
                <w:spacing w:val="-4"/>
                <w:sz w:val="18"/>
                <w:szCs w:val="18"/>
              </w:rPr>
              <w:t>/h</w:t>
            </w:r>
          </w:p>
        </w:tc>
        <w:tc>
          <w:tcPr>
            <w:tcW w:w="552" w:type="dxa"/>
            <w:vMerge w:val="restart"/>
            <w:tcBorders>
              <w:top w:val="single" w:color="000000" w:sz="10" w:space="0"/>
              <w:bottom w:val="nil"/>
            </w:tcBorders>
            <w:vAlign w:val="top"/>
          </w:tcPr>
          <w:p w14:paraId="6F6AFDA7">
            <w:pPr>
              <w:pStyle w:val="6"/>
              <w:spacing w:before="153" w:line="229" w:lineRule="auto"/>
              <w:ind w:left="102" w:right="93" w:hanging="2"/>
              <w:rPr>
                <w:sz w:val="18"/>
                <w:szCs w:val="18"/>
              </w:rPr>
            </w:pPr>
            <w:r>
              <w:rPr>
                <w:spacing w:val="-4"/>
                <w:sz w:val="18"/>
                <w:szCs w:val="18"/>
              </w:rPr>
              <w:t>排放</w:t>
            </w:r>
            <w:r>
              <w:rPr>
                <w:sz w:val="18"/>
                <w:szCs w:val="18"/>
              </w:rPr>
              <w:t xml:space="preserve"> </w:t>
            </w:r>
            <w:r>
              <w:rPr>
                <w:spacing w:val="-5"/>
                <w:sz w:val="18"/>
                <w:szCs w:val="18"/>
              </w:rPr>
              <w:t>工况</w:t>
            </w:r>
          </w:p>
        </w:tc>
        <w:tc>
          <w:tcPr>
            <w:tcW w:w="4125" w:type="dxa"/>
            <w:gridSpan w:val="5"/>
            <w:tcBorders>
              <w:top w:val="single" w:color="000000" w:sz="10" w:space="0"/>
              <w:right w:val="nil"/>
            </w:tcBorders>
            <w:vAlign w:val="top"/>
          </w:tcPr>
          <w:p w14:paraId="5ED59AA6">
            <w:pPr>
              <w:pStyle w:val="6"/>
              <w:spacing w:before="147" w:line="212" w:lineRule="auto"/>
              <w:ind w:left="1076"/>
              <w:rPr>
                <w:sz w:val="18"/>
                <w:szCs w:val="18"/>
              </w:rPr>
            </w:pPr>
            <w:r>
              <w:rPr>
                <w:spacing w:val="-1"/>
                <w:sz w:val="18"/>
                <w:szCs w:val="18"/>
              </w:rPr>
              <w:t>污染物排放速率</w:t>
            </w:r>
            <w:r>
              <w:rPr>
                <w:rFonts w:ascii="Times New Roman" w:hAnsi="Times New Roman" w:eastAsia="Times New Roman" w:cs="Times New Roman"/>
                <w:spacing w:val="-1"/>
                <w:sz w:val="18"/>
                <w:szCs w:val="18"/>
              </w:rPr>
              <w:t>/</w:t>
            </w:r>
            <w:r>
              <w:rPr>
                <w:spacing w:val="-1"/>
                <w:sz w:val="18"/>
                <w:szCs w:val="18"/>
              </w:rPr>
              <w:t>（</w:t>
            </w:r>
            <w:r>
              <w:rPr>
                <w:rFonts w:ascii="Times New Roman" w:hAnsi="Times New Roman" w:eastAsia="Times New Roman" w:cs="Times New Roman"/>
                <w:spacing w:val="-1"/>
                <w:sz w:val="18"/>
                <w:szCs w:val="18"/>
              </w:rPr>
              <w:t>kg/h</w:t>
            </w:r>
            <w:r>
              <w:rPr>
                <w:spacing w:val="-1"/>
                <w:sz w:val="18"/>
                <w:szCs w:val="18"/>
              </w:rPr>
              <w:t>）</w:t>
            </w:r>
          </w:p>
        </w:tc>
      </w:tr>
      <w:tr w14:paraId="060666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535" w:type="dxa"/>
            <w:vMerge w:val="continue"/>
            <w:tcBorders>
              <w:top w:val="nil"/>
              <w:left w:val="nil"/>
            </w:tcBorders>
            <w:vAlign w:val="top"/>
          </w:tcPr>
          <w:p w14:paraId="51CD8F03">
            <w:pPr>
              <w:rPr>
                <w:rFonts w:ascii="Arial"/>
                <w:sz w:val="21"/>
              </w:rPr>
            </w:pPr>
          </w:p>
        </w:tc>
        <w:tc>
          <w:tcPr>
            <w:tcW w:w="2445" w:type="dxa"/>
            <w:vMerge w:val="continue"/>
            <w:tcBorders>
              <w:top w:val="nil"/>
            </w:tcBorders>
            <w:vAlign w:val="top"/>
          </w:tcPr>
          <w:p w14:paraId="21EECA7F">
            <w:pPr>
              <w:rPr>
                <w:rFonts w:ascii="Arial"/>
                <w:sz w:val="21"/>
              </w:rPr>
            </w:pPr>
          </w:p>
        </w:tc>
        <w:tc>
          <w:tcPr>
            <w:tcW w:w="714" w:type="dxa"/>
            <w:vAlign w:val="top"/>
          </w:tcPr>
          <w:p w14:paraId="66EBE091">
            <w:pPr>
              <w:spacing w:before="62" w:line="185" w:lineRule="auto"/>
              <w:ind w:left="291"/>
              <w:rPr>
                <w:rFonts w:ascii="Times New Roman" w:hAnsi="Times New Roman" w:eastAsia="Times New Roman" w:cs="Times New Roman"/>
                <w:sz w:val="18"/>
                <w:szCs w:val="18"/>
              </w:rPr>
            </w:pPr>
            <w:r>
              <w:rPr>
                <w:rFonts w:ascii="Times New Roman" w:hAnsi="Times New Roman" w:eastAsia="Times New Roman" w:cs="Times New Roman"/>
                <w:sz w:val="18"/>
                <w:szCs w:val="18"/>
              </w:rPr>
              <w:t>X</w:t>
            </w:r>
          </w:p>
        </w:tc>
        <w:tc>
          <w:tcPr>
            <w:tcW w:w="683" w:type="dxa"/>
            <w:vAlign w:val="top"/>
          </w:tcPr>
          <w:p w14:paraId="1F8C11EC">
            <w:pPr>
              <w:spacing w:before="62" w:line="185" w:lineRule="auto"/>
              <w:ind w:left="275"/>
              <w:rPr>
                <w:rFonts w:ascii="Times New Roman" w:hAnsi="Times New Roman" w:eastAsia="Times New Roman" w:cs="Times New Roman"/>
                <w:sz w:val="18"/>
                <w:szCs w:val="18"/>
              </w:rPr>
            </w:pPr>
            <w:r>
              <w:rPr>
                <w:rFonts w:ascii="Times New Roman" w:hAnsi="Times New Roman" w:eastAsia="Times New Roman" w:cs="Times New Roman"/>
                <w:sz w:val="18"/>
                <w:szCs w:val="18"/>
              </w:rPr>
              <w:t>Y</w:t>
            </w:r>
          </w:p>
        </w:tc>
        <w:tc>
          <w:tcPr>
            <w:tcW w:w="1045" w:type="dxa"/>
            <w:vMerge w:val="continue"/>
            <w:tcBorders>
              <w:top w:val="nil"/>
            </w:tcBorders>
            <w:vAlign w:val="top"/>
          </w:tcPr>
          <w:p w14:paraId="70664E5E">
            <w:pPr>
              <w:rPr>
                <w:rFonts w:ascii="Arial"/>
                <w:sz w:val="21"/>
              </w:rPr>
            </w:pPr>
          </w:p>
        </w:tc>
        <w:tc>
          <w:tcPr>
            <w:tcW w:w="776" w:type="dxa"/>
            <w:vMerge w:val="continue"/>
            <w:tcBorders>
              <w:top w:val="nil"/>
            </w:tcBorders>
            <w:vAlign w:val="top"/>
          </w:tcPr>
          <w:p w14:paraId="7C0A2430">
            <w:pPr>
              <w:rPr>
                <w:rFonts w:ascii="Arial"/>
                <w:sz w:val="21"/>
              </w:rPr>
            </w:pPr>
          </w:p>
        </w:tc>
        <w:tc>
          <w:tcPr>
            <w:tcW w:w="647" w:type="dxa"/>
            <w:vMerge w:val="continue"/>
            <w:tcBorders>
              <w:top w:val="nil"/>
            </w:tcBorders>
            <w:vAlign w:val="top"/>
          </w:tcPr>
          <w:p w14:paraId="7797164E">
            <w:pPr>
              <w:rPr>
                <w:rFonts w:ascii="Arial"/>
                <w:sz w:val="21"/>
              </w:rPr>
            </w:pPr>
          </w:p>
        </w:tc>
        <w:tc>
          <w:tcPr>
            <w:tcW w:w="832" w:type="dxa"/>
            <w:vMerge w:val="continue"/>
            <w:tcBorders>
              <w:top w:val="nil"/>
            </w:tcBorders>
            <w:vAlign w:val="top"/>
          </w:tcPr>
          <w:p w14:paraId="0BA65888">
            <w:pPr>
              <w:rPr>
                <w:rFonts w:ascii="Arial"/>
                <w:sz w:val="21"/>
              </w:rPr>
            </w:pPr>
          </w:p>
        </w:tc>
        <w:tc>
          <w:tcPr>
            <w:tcW w:w="759" w:type="dxa"/>
            <w:vMerge w:val="continue"/>
            <w:tcBorders>
              <w:top w:val="nil"/>
            </w:tcBorders>
            <w:vAlign w:val="top"/>
          </w:tcPr>
          <w:p w14:paraId="5330C356">
            <w:pPr>
              <w:rPr>
                <w:rFonts w:ascii="Arial"/>
                <w:sz w:val="21"/>
              </w:rPr>
            </w:pPr>
          </w:p>
        </w:tc>
        <w:tc>
          <w:tcPr>
            <w:tcW w:w="882" w:type="dxa"/>
            <w:vMerge w:val="continue"/>
            <w:tcBorders>
              <w:top w:val="nil"/>
            </w:tcBorders>
            <w:vAlign w:val="top"/>
          </w:tcPr>
          <w:p w14:paraId="6AED842B">
            <w:pPr>
              <w:rPr>
                <w:rFonts w:ascii="Arial"/>
                <w:sz w:val="21"/>
              </w:rPr>
            </w:pPr>
          </w:p>
        </w:tc>
        <w:tc>
          <w:tcPr>
            <w:tcW w:w="552" w:type="dxa"/>
            <w:vMerge w:val="continue"/>
            <w:tcBorders>
              <w:top w:val="nil"/>
            </w:tcBorders>
            <w:vAlign w:val="top"/>
          </w:tcPr>
          <w:p w14:paraId="35ACAB1A">
            <w:pPr>
              <w:rPr>
                <w:rFonts w:ascii="Arial"/>
                <w:sz w:val="21"/>
              </w:rPr>
            </w:pPr>
          </w:p>
        </w:tc>
        <w:tc>
          <w:tcPr>
            <w:tcW w:w="877" w:type="dxa"/>
            <w:vAlign w:val="top"/>
          </w:tcPr>
          <w:p w14:paraId="519EA641">
            <w:pPr>
              <w:pStyle w:val="6"/>
              <w:spacing w:before="31" w:line="202" w:lineRule="auto"/>
              <w:ind w:left="171"/>
              <w:rPr>
                <w:sz w:val="18"/>
                <w:szCs w:val="18"/>
              </w:rPr>
            </w:pPr>
            <w:r>
              <w:rPr>
                <w:spacing w:val="-3"/>
                <w:sz w:val="18"/>
                <w:szCs w:val="18"/>
              </w:rPr>
              <w:t>颗粒物</w:t>
            </w:r>
          </w:p>
        </w:tc>
        <w:tc>
          <w:tcPr>
            <w:tcW w:w="826" w:type="dxa"/>
            <w:vAlign w:val="top"/>
          </w:tcPr>
          <w:p w14:paraId="18390355">
            <w:pPr>
              <w:spacing w:before="59" w:line="194" w:lineRule="auto"/>
              <w:ind w:left="276"/>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tc>
        <w:tc>
          <w:tcPr>
            <w:tcW w:w="812" w:type="dxa"/>
            <w:vAlign w:val="top"/>
          </w:tcPr>
          <w:p w14:paraId="3479CE6B">
            <w:pPr>
              <w:spacing w:before="59" w:line="194" w:lineRule="auto"/>
              <w:ind w:left="241"/>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851" w:type="dxa"/>
            <w:vAlign w:val="top"/>
          </w:tcPr>
          <w:p w14:paraId="3D7AD7B4">
            <w:pPr>
              <w:spacing w:before="62" w:line="190" w:lineRule="auto"/>
              <w:ind w:left="223"/>
              <w:rPr>
                <w:rFonts w:ascii="Times New Roman" w:hAnsi="Times New Roman" w:eastAsia="Times New Roman" w:cs="Times New Roman"/>
                <w:sz w:val="11"/>
                <w:szCs w:val="11"/>
              </w:rPr>
            </w:pPr>
            <w:r>
              <w:rPr>
                <w:rFonts w:ascii="Times New Roman" w:hAnsi="Times New Roman" w:eastAsia="Times New Roman" w:cs="Times New Roman"/>
                <w:sz w:val="18"/>
                <w:szCs w:val="18"/>
              </w:rPr>
              <w:t>PM</w:t>
            </w:r>
            <w:r>
              <w:rPr>
                <w:rFonts w:ascii="Times New Roman" w:hAnsi="Times New Roman" w:eastAsia="Times New Roman" w:cs="Times New Roman"/>
                <w:position w:val="-1"/>
                <w:sz w:val="11"/>
                <w:szCs w:val="11"/>
              </w:rPr>
              <w:t>2.5</w:t>
            </w:r>
          </w:p>
        </w:tc>
        <w:tc>
          <w:tcPr>
            <w:tcW w:w="759" w:type="dxa"/>
            <w:tcBorders>
              <w:right w:val="nil"/>
            </w:tcBorders>
            <w:vAlign w:val="top"/>
          </w:tcPr>
          <w:p w14:paraId="4D21F113">
            <w:pPr>
              <w:spacing w:before="62" w:line="190" w:lineRule="auto"/>
              <w:ind w:left="217"/>
              <w:rPr>
                <w:rFonts w:ascii="Times New Roman" w:hAnsi="Times New Roman" w:eastAsia="Times New Roman" w:cs="Times New Roman"/>
                <w:sz w:val="11"/>
                <w:szCs w:val="11"/>
              </w:rPr>
            </w:pPr>
            <w:r>
              <w:rPr>
                <w:rFonts w:ascii="Times New Roman" w:hAnsi="Times New Roman" w:eastAsia="Times New Roman" w:cs="Times New Roman"/>
                <w:sz w:val="18"/>
                <w:szCs w:val="18"/>
              </w:rPr>
              <w:t>NH</w:t>
            </w:r>
            <w:r>
              <w:rPr>
                <w:rFonts w:ascii="Times New Roman" w:hAnsi="Times New Roman" w:eastAsia="Times New Roman" w:cs="Times New Roman"/>
                <w:spacing w:val="3"/>
                <w:position w:val="-1"/>
                <w:sz w:val="11"/>
                <w:szCs w:val="11"/>
              </w:rPr>
              <w:t>3</w:t>
            </w:r>
          </w:p>
        </w:tc>
      </w:tr>
      <w:tr w14:paraId="391E94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7" w:hRule="atLeast"/>
        </w:trPr>
        <w:tc>
          <w:tcPr>
            <w:tcW w:w="535" w:type="dxa"/>
            <w:tcBorders>
              <w:left w:val="nil"/>
            </w:tcBorders>
            <w:vAlign w:val="top"/>
          </w:tcPr>
          <w:p w14:paraId="2F1CC7CB">
            <w:pPr>
              <w:spacing w:before="59"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DA001</w:t>
            </w:r>
          </w:p>
        </w:tc>
        <w:tc>
          <w:tcPr>
            <w:tcW w:w="2445" w:type="dxa"/>
            <w:vAlign w:val="top"/>
          </w:tcPr>
          <w:p w14:paraId="6AD60B37">
            <w:pPr>
              <w:pStyle w:val="6"/>
              <w:spacing w:before="31" w:line="201" w:lineRule="auto"/>
              <w:ind w:left="236"/>
              <w:rPr>
                <w:sz w:val="18"/>
                <w:szCs w:val="18"/>
              </w:rPr>
            </w:pPr>
            <w:r>
              <w:rPr>
                <w:spacing w:val="-1"/>
                <w:sz w:val="18"/>
                <w:szCs w:val="18"/>
              </w:rPr>
              <w:t>焦炭烘干、筛分出料废气</w:t>
            </w:r>
          </w:p>
        </w:tc>
        <w:tc>
          <w:tcPr>
            <w:tcW w:w="714" w:type="dxa"/>
            <w:vAlign w:val="top"/>
          </w:tcPr>
          <w:p w14:paraId="3D010222">
            <w:pPr>
              <w:spacing w:before="59" w:line="188" w:lineRule="auto"/>
              <w:ind w:left="22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428</w:t>
            </w:r>
          </w:p>
        </w:tc>
        <w:tc>
          <w:tcPr>
            <w:tcW w:w="683" w:type="dxa"/>
            <w:vAlign w:val="top"/>
          </w:tcPr>
          <w:p w14:paraId="35C93EB1">
            <w:pPr>
              <w:spacing w:before="59"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-420</w:t>
            </w:r>
          </w:p>
        </w:tc>
        <w:tc>
          <w:tcPr>
            <w:tcW w:w="1045" w:type="dxa"/>
            <w:vAlign w:val="top"/>
          </w:tcPr>
          <w:p w14:paraId="5DF34883">
            <w:pPr>
              <w:spacing w:before="59"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1144</w:t>
            </w:r>
          </w:p>
        </w:tc>
        <w:tc>
          <w:tcPr>
            <w:tcW w:w="776" w:type="dxa"/>
            <w:vAlign w:val="top"/>
          </w:tcPr>
          <w:p w14:paraId="307B2CE4">
            <w:pPr>
              <w:spacing w:before="59"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30</w:t>
            </w:r>
          </w:p>
        </w:tc>
        <w:tc>
          <w:tcPr>
            <w:tcW w:w="647" w:type="dxa"/>
            <w:vAlign w:val="top"/>
          </w:tcPr>
          <w:p w14:paraId="590B965E">
            <w:pPr>
              <w:spacing w:before="59" w:line="188" w:lineRule="auto"/>
              <w:ind w:left="21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w:t>
            </w:r>
          </w:p>
        </w:tc>
        <w:tc>
          <w:tcPr>
            <w:tcW w:w="832" w:type="dxa"/>
            <w:vAlign w:val="top"/>
          </w:tcPr>
          <w:p w14:paraId="34BCAFBE">
            <w:pPr>
              <w:spacing w:before="59" w:line="188" w:lineRule="auto"/>
              <w:ind w:left="96"/>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13196.59</w:t>
            </w:r>
          </w:p>
        </w:tc>
        <w:tc>
          <w:tcPr>
            <w:tcW w:w="759" w:type="dxa"/>
            <w:vAlign w:val="top"/>
          </w:tcPr>
          <w:p w14:paraId="424D73C1">
            <w:pPr>
              <w:spacing w:before="59" w:line="188" w:lineRule="auto"/>
              <w:ind w:left="26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1B7ED4AB">
            <w:pPr>
              <w:spacing w:before="59" w:line="188" w:lineRule="auto"/>
              <w:ind w:left="2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5C64C2F4">
            <w:pPr>
              <w:pStyle w:val="6"/>
              <w:spacing w:before="31" w:line="201" w:lineRule="auto"/>
              <w:ind w:left="104"/>
              <w:rPr>
                <w:sz w:val="18"/>
                <w:szCs w:val="18"/>
              </w:rPr>
            </w:pPr>
            <w:r>
              <w:rPr>
                <w:spacing w:val="-6"/>
                <w:sz w:val="18"/>
                <w:szCs w:val="18"/>
              </w:rPr>
              <w:t>正常</w:t>
            </w:r>
          </w:p>
        </w:tc>
        <w:tc>
          <w:tcPr>
            <w:tcW w:w="877" w:type="dxa"/>
            <w:vAlign w:val="top"/>
          </w:tcPr>
          <w:p w14:paraId="3575B7AB">
            <w:pPr>
              <w:spacing w:before="59"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0.15</w:t>
            </w:r>
          </w:p>
        </w:tc>
        <w:tc>
          <w:tcPr>
            <w:tcW w:w="826" w:type="dxa"/>
            <w:vAlign w:val="top"/>
          </w:tcPr>
          <w:p w14:paraId="189C7114">
            <w:pPr>
              <w:spacing w:before="59" w:line="188" w:lineRule="auto"/>
              <w:ind w:left="25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0.36</w:t>
            </w:r>
          </w:p>
        </w:tc>
        <w:tc>
          <w:tcPr>
            <w:tcW w:w="812" w:type="dxa"/>
            <w:vAlign w:val="top"/>
          </w:tcPr>
          <w:p w14:paraId="2EB22841">
            <w:pPr>
              <w:spacing w:before="59" w:line="188" w:lineRule="auto"/>
              <w:ind w:left="25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0.16</w:t>
            </w:r>
          </w:p>
        </w:tc>
        <w:tc>
          <w:tcPr>
            <w:tcW w:w="851" w:type="dxa"/>
            <w:vAlign w:val="top"/>
          </w:tcPr>
          <w:p w14:paraId="06840B24">
            <w:pPr>
              <w:spacing w:before="59" w:line="188" w:lineRule="auto"/>
              <w:ind w:left="27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0.28</w:t>
            </w:r>
          </w:p>
        </w:tc>
        <w:tc>
          <w:tcPr>
            <w:tcW w:w="759" w:type="dxa"/>
            <w:tcBorders>
              <w:right w:val="nil"/>
            </w:tcBorders>
            <w:vAlign w:val="top"/>
          </w:tcPr>
          <w:p w14:paraId="3F1E6B66">
            <w:pPr>
              <w:spacing w:line="227" w:lineRule="exact"/>
              <w:rPr>
                <w:rFonts w:ascii="Arial"/>
                <w:sz w:val="19"/>
              </w:rPr>
            </w:pPr>
          </w:p>
        </w:tc>
      </w:tr>
      <w:tr w14:paraId="7BBB17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35" w:type="dxa"/>
            <w:tcBorders>
              <w:left w:val="nil"/>
            </w:tcBorders>
            <w:vAlign w:val="top"/>
          </w:tcPr>
          <w:p w14:paraId="51D0FBC6">
            <w:pPr>
              <w:spacing w:before="81"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DA002</w:t>
            </w:r>
          </w:p>
        </w:tc>
        <w:tc>
          <w:tcPr>
            <w:tcW w:w="2445" w:type="dxa"/>
            <w:vAlign w:val="top"/>
          </w:tcPr>
          <w:p w14:paraId="618B2C1C">
            <w:pPr>
              <w:pStyle w:val="6"/>
              <w:spacing w:before="52" w:line="219" w:lineRule="auto"/>
              <w:ind w:left="147"/>
              <w:rPr>
                <w:sz w:val="18"/>
                <w:szCs w:val="18"/>
              </w:rPr>
            </w:pPr>
            <w:r>
              <w:rPr>
                <w:spacing w:val="-1"/>
                <w:sz w:val="18"/>
                <w:szCs w:val="18"/>
              </w:rPr>
              <w:t>锰矿石烘干筛分、出料废气</w:t>
            </w:r>
          </w:p>
        </w:tc>
        <w:tc>
          <w:tcPr>
            <w:tcW w:w="714" w:type="dxa"/>
            <w:vAlign w:val="top"/>
          </w:tcPr>
          <w:p w14:paraId="69F3254B">
            <w:pPr>
              <w:spacing w:before="81" w:line="188" w:lineRule="auto"/>
              <w:ind w:left="22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437</w:t>
            </w:r>
          </w:p>
        </w:tc>
        <w:tc>
          <w:tcPr>
            <w:tcW w:w="683" w:type="dxa"/>
            <w:vAlign w:val="top"/>
          </w:tcPr>
          <w:p w14:paraId="5103DA99">
            <w:pPr>
              <w:spacing w:before="81"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-528</w:t>
            </w:r>
          </w:p>
        </w:tc>
        <w:tc>
          <w:tcPr>
            <w:tcW w:w="1045" w:type="dxa"/>
            <w:vAlign w:val="top"/>
          </w:tcPr>
          <w:p w14:paraId="07232970">
            <w:pPr>
              <w:spacing w:before="81"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1148</w:t>
            </w:r>
          </w:p>
        </w:tc>
        <w:tc>
          <w:tcPr>
            <w:tcW w:w="776" w:type="dxa"/>
            <w:vAlign w:val="top"/>
          </w:tcPr>
          <w:p w14:paraId="22486E27">
            <w:pPr>
              <w:spacing w:before="81"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7369C375">
            <w:pPr>
              <w:spacing w:before="81" w:line="188" w:lineRule="auto"/>
              <w:ind w:left="21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w:t>
            </w:r>
          </w:p>
        </w:tc>
        <w:tc>
          <w:tcPr>
            <w:tcW w:w="832" w:type="dxa"/>
            <w:vAlign w:val="top"/>
          </w:tcPr>
          <w:p w14:paraId="4DE3F259">
            <w:pPr>
              <w:spacing w:before="81" w:line="188" w:lineRule="auto"/>
              <w:ind w:left="14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205000</w:t>
            </w:r>
          </w:p>
        </w:tc>
        <w:tc>
          <w:tcPr>
            <w:tcW w:w="759" w:type="dxa"/>
            <w:vAlign w:val="top"/>
          </w:tcPr>
          <w:p w14:paraId="006C5D7E">
            <w:pPr>
              <w:spacing w:before="81" w:line="188" w:lineRule="auto"/>
              <w:ind w:left="26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0AF31FA8">
            <w:pPr>
              <w:spacing w:before="81" w:line="188" w:lineRule="auto"/>
              <w:ind w:left="2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2AC53BBD">
            <w:pPr>
              <w:pStyle w:val="6"/>
              <w:spacing w:before="52" w:line="220" w:lineRule="auto"/>
              <w:ind w:left="104"/>
              <w:rPr>
                <w:sz w:val="18"/>
                <w:szCs w:val="18"/>
              </w:rPr>
            </w:pPr>
            <w:r>
              <w:rPr>
                <w:spacing w:val="-6"/>
                <w:sz w:val="18"/>
                <w:szCs w:val="18"/>
              </w:rPr>
              <w:t>正常</w:t>
            </w:r>
          </w:p>
        </w:tc>
        <w:tc>
          <w:tcPr>
            <w:tcW w:w="877" w:type="dxa"/>
            <w:vAlign w:val="top"/>
          </w:tcPr>
          <w:p w14:paraId="4397CFF7">
            <w:pPr>
              <w:spacing w:before="81" w:line="188" w:lineRule="auto"/>
              <w:ind w:left="299"/>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1.55</w:t>
            </w:r>
          </w:p>
        </w:tc>
        <w:tc>
          <w:tcPr>
            <w:tcW w:w="826" w:type="dxa"/>
            <w:vAlign w:val="top"/>
          </w:tcPr>
          <w:p w14:paraId="1504CA9F">
            <w:pPr>
              <w:spacing w:before="81" w:line="188" w:lineRule="auto"/>
              <w:ind w:left="25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0.59</w:t>
            </w:r>
          </w:p>
        </w:tc>
        <w:tc>
          <w:tcPr>
            <w:tcW w:w="812" w:type="dxa"/>
            <w:vAlign w:val="top"/>
          </w:tcPr>
          <w:p w14:paraId="62AC1AEA">
            <w:pPr>
              <w:spacing w:before="81" w:line="188" w:lineRule="auto"/>
              <w:ind w:left="25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0.70</w:t>
            </w:r>
          </w:p>
        </w:tc>
        <w:tc>
          <w:tcPr>
            <w:tcW w:w="851" w:type="dxa"/>
            <w:vAlign w:val="top"/>
          </w:tcPr>
          <w:p w14:paraId="40F9B37F">
            <w:pPr>
              <w:spacing w:before="81" w:line="188" w:lineRule="auto"/>
              <w:ind w:left="27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0.65</w:t>
            </w:r>
          </w:p>
        </w:tc>
        <w:tc>
          <w:tcPr>
            <w:tcW w:w="759" w:type="dxa"/>
            <w:tcBorders>
              <w:right w:val="nil"/>
            </w:tcBorders>
            <w:vAlign w:val="top"/>
          </w:tcPr>
          <w:p w14:paraId="6AD38EDC">
            <w:pPr>
              <w:rPr>
                <w:rFonts w:ascii="Arial"/>
                <w:sz w:val="21"/>
              </w:rPr>
            </w:pPr>
          </w:p>
        </w:tc>
      </w:tr>
      <w:tr w14:paraId="764C79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535" w:type="dxa"/>
            <w:tcBorders>
              <w:left w:val="nil"/>
            </w:tcBorders>
            <w:vAlign w:val="top"/>
          </w:tcPr>
          <w:p w14:paraId="42FF04A4">
            <w:pPr>
              <w:spacing w:before="63"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DA003</w:t>
            </w:r>
          </w:p>
        </w:tc>
        <w:tc>
          <w:tcPr>
            <w:tcW w:w="2445" w:type="dxa"/>
            <w:vAlign w:val="top"/>
          </w:tcPr>
          <w:p w14:paraId="3A357EF8">
            <w:pPr>
              <w:pStyle w:val="6"/>
              <w:spacing w:before="34" w:line="198" w:lineRule="auto"/>
              <w:ind w:left="595"/>
              <w:rPr>
                <w:sz w:val="18"/>
                <w:szCs w:val="18"/>
              </w:rPr>
            </w:pPr>
            <w:r>
              <w:rPr>
                <w:spacing w:val="-1"/>
                <w:sz w:val="18"/>
                <w:szCs w:val="18"/>
              </w:rPr>
              <w:t>烧结机配料粉尘</w:t>
            </w:r>
          </w:p>
        </w:tc>
        <w:tc>
          <w:tcPr>
            <w:tcW w:w="714" w:type="dxa"/>
            <w:vAlign w:val="top"/>
          </w:tcPr>
          <w:p w14:paraId="3F529F7E">
            <w:pPr>
              <w:spacing w:before="63"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509</w:t>
            </w:r>
          </w:p>
        </w:tc>
        <w:tc>
          <w:tcPr>
            <w:tcW w:w="683" w:type="dxa"/>
            <w:vAlign w:val="top"/>
          </w:tcPr>
          <w:p w14:paraId="1E6566E9">
            <w:pPr>
              <w:spacing w:before="63"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-471</w:t>
            </w:r>
          </w:p>
        </w:tc>
        <w:tc>
          <w:tcPr>
            <w:tcW w:w="1045" w:type="dxa"/>
            <w:vAlign w:val="top"/>
          </w:tcPr>
          <w:p w14:paraId="76ED6A07">
            <w:pPr>
              <w:spacing w:before="63"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1145</w:t>
            </w:r>
          </w:p>
        </w:tc>
        <w:tc>
          <w:tcPr>
            <w:tcW w:w="776" w:type="dxa"/>
            <w:vAlign w:val="top"/>
          </w:tcPr>
          <w:p w14:paraId="40524D2C">
            <w:pPr>
              <w:spacing w:before="63"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33</w:t>
            </w:r>
          </w:p>
        </w:tc>
        <w:tc>
          <w:tcPr>
            <w:tcW w:w="647" w:type="dxa"/>
            <w:vAlign w:val="top"/>
          </w:tcPr>
          <w:p w14:paraId="74E8F073">
            <w:pPr>
              <w:spacing w:before="63" w:line="188" w:lineRule="auto"/>
              <w:ind w:left="21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w:t>
            </w:r>
          </w:p>
        </w:tc>
        <w:tc>
          <w:tcPr>
            <w:tcW w:w="832" w:type="dxa"/>
            <w:vAlign w:val="top"/>
          </w:tcPr>
          <w:p w14:paraId="0B3E4BBB">
            <w:pPr>
              <w:spacing w:before="63" w:line="188" w:lineRule="auto"/>
              <w:ind w:left="19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25000</w:t>
            </w:r>
          </w:p>
        </w:tc>
        <w:tc>
          <w:tcPr>
            <w:tcW w:w="759" w:type="dxa"/>
            <w:vAlign w:val="top"/>
          </w:tcPr>
          <w:p w14:paraId="0B7414E0">
            <w:pPr>
              <w:pStyle w:val="6"/>
              <w:spacing w:before="34" w:line="198" w:lineRule="auto"/>
              <w:ind w:left="207"/>
              <w:rPr>
                <w:sz w:val="18"/>
                <w:szCs w:val="18"/>
              </w:rPr>
            </w:pPr>
            <w:r>
              <w:rPr>
                <w:spacing w:val="-6"/>
                <w:sz w:val="18"/>
                <w:szCs w:val="18"/>
              </w:rPr>
              <w:t>常温</w:t>
            </w:r>
          </w:p>
        </w:tc>
        <w:tc>
          <w:tcPr>
            <w:tcW w:w="882" w:type="dxa"/>
            <w:vAlign w:val="top"/>
          </w:tcPr>
          <w:p w14:paraId="787F5847">
            <w:pPr>
              <w:spacing w:before="63" w:line="188" w:lineRule="auto"/>
              <w:ind w:left="2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165BC905">
            <w:pPr>
              <w:pStyle w:val="6"/>
              <w:spacing w:before="34" w:line="198" w:lineRule="auto"/>
              <w:ind w:left="104"/>
              <w:rPr>
                <w:sz w:val="18"/>
                <w:szCs w:val="18"/>
              </w:rPr>
            </w:pPr>
            <w:r>
              <w:rPr>
                <w:spacing w:val="-6"/>
                <w:sz w:val="18"/>
                <w:szCs w:val="18"/>
              </w:rPr>
              <w:t>正常</w:t>
            </w:r>
          </w:p>
        </w:tc>
        <w:tc>
          <w:tcPr>
            <w:tcW w:w="877" w:type="dxa"/>
            <w:vAlign w:val="top"/>
          </w:tcPr>
          <w:p w14:paraId="0B518A0D">
            <w:pPr>
              <w:spacing w:before="63"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0.20</w:t>
            </w:r>
          </w:p>
        </w:tc>
        <w:tc>
          <w:tcPr>
            <w:tcW w:w="826" w:type="dxa"/>
            <w:vAlign w:val="top"/>
          </w:tcPr>
          <w:p w14:paraId="72917CE0">
            <w:pPr>
              <w:spacing w:line="227" w:lineRule="exact"/>
              <w:rPr>
                <w:rFonts w:ascii="Arial"/>
                <w:sz w:val="19"/>
              </w:rPr>
            </w:pPr>
          </w:p>
        </w:tc>
        <w:tc>
          <w:tcPr>
            <w:tcW w:w="812" w:type="dxa"/>
            <w:vAlign w:val="top"/>
          </w:tcPr>
          <w:p w14:paraId="555C3E90">
            <w:pPr>
              <w:spacing w:line="227" w:lineRule="exact"/>
              <w:rPr>
                <w:rFonts w:ascii="Arial"/>
                <w:sz w:val="19"/>
              </w:rPr>
            </w:pPr>
          </w:p>
        </w:tc>
        <w:tc>
          <w:tcPr>
            <w:tcW w:w="851" w:type="dxa"/>
            <w:vAlign w:val="top"/>
          </w:tcPr>
          <w:p w14:paraId="22E1A8B2">
            <w:pPr>
              <w:spacing w:before="63" w:line="188" w:lineRule="auto"/>
              <w:ind w:left="27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0.04</w:t>
            </w:r>
          </w:p>
        </w:tc>
        <w:tc>
          <w:tcPr>
            <w:tcW w:w="759" w:type="dxa"/>
            <w:tcBorders>
              <w:right w:val="nil"/>
            </w:tcBorders>
            <w:vAlign w:val="top"/>
          </w:tcPr>
          <w:p w14:paraId="72B788F9">
            <w:pPr>
              <w:spacing w:line="227" w:lineRule="exact"/>
              <w:rPr>
                <w:rFonts w:ascii="Arial"/>
                <w:sz w:val="19"/>
              </w:rPr>
            </w:pPr>
          </w:p>
        </w:tc>
      </w:tr>
      <w:tr w14:paraId="4DD730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35" w:type="dxa"/>
            <w:tcBorders>
              <w:left w:val="nil"/>
            </w:tcBorders>
            <w:vAlign w:val="top"/>
          </w:tcPr>
          <w:p w14:paraId="4E15F5B4">
            <w:pPr>
              <w:spacing w:before="84"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DA004</w:t>
            </w:r>
          </w:p>
        </w:tc>
        <w:tc>
          <w:tcPr>
            <w:tcW w:w="2445" w:type="dxa"/>
            <w:vAlign w:val="top"/>
          </w:tcPr>
          <w:p w14:paraId="34217D9F">
            <w:pPr>
              <w:pStyle w:val="6"/>
              <w:spacing w:before="53" w:line="216" w:lineRule="auto"/>
              <w:ind w:left="415"/>
              <w:rPr>
                <w:sz w:val="18"/>
                <w:szCs w:val="18"/>
              </w:rPr>
            </w:pPr>
            <w:r>
              <w:rPr>
                <w:spacing w:val="-1"/>
                <w:sz w:val="18"/>
                <w:szCs w:val="18"/>
              </w:rPr>
              <w:t>烧结机头、机尾废气</w:t>
            </w:r>
          </w:p>
        </w:tc>
        <w:tc>
          <w:tcPr>
            <w:tcW w:w="714" w:type="dxa"/>
            <w:vAlign w:val="top"/>
          </w:tcPr>
          <w:p w14:paraId="69458C88">
            <w:pPr>
              <w:spacing w:before="84"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516</w:t>
            </w:r>
          </w:p>
        </w:tc>
        <w:tc>
          <w:tcPr>
            <w:tcW w:w="683" w:type="dxa"/>
            <w:vAlign w:val="top"/>
          </w:tcPr>
          <w:p w14:paraId="48B82250">
            <w:pPr>
              <w:spacing w:before="84"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-552</w:t>
            </w:r>
          </w:p>
        </w:tc>
        <w:tc>
          <w:tcPr>
            <w:tcW w:w="1045" w:type="dxa"/>
            <w:vAlign w:val="top"/>
          </w:tcPr>
          <w:p w14:paraId="0469F1B7">
            <w:pPr>
              <w:spacing w:before="84"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1145</w:t>
            </w:r>
          </w:p>
        </w:tc>
        <w:tc>
          <w:tcPr>
            <w:tcW w:w="776" w:type="dxa"/>
            <w:vAlign w:val="top"/>
          </w:tcPr>
          <w:p w14:paraId="54A9D072">
            <w:pPr>
              <w:spacing w:before="84"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30</w:t>
            </w:r>
          </w:p>
        </w:tc>
        <w:tc>
          <w:tcPr>
            <w:tcW w:w="647" w:type="dxa"/>
            <w:vAlign w:val="top"/>
          </w:tcPr>
          <w:p w14:paraId="1560823E">
            <w:pPr>
              <w:spacing w:before="84" w:line="188" w:lineRule="auto"/>
              <w:ind w:left="22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w:t>
            </w:r>
          </w:p>
        </w:tc>
        <w:tc>
          <w:tcPr>
            <w:tcW w:w="832" w:type="dxa"/>
            <w:vAlign w:val="top"/>
          </w:tcPr>
          <w:p w14:paraId="37D8774E">
            <w:pPr>
              <w:spacing w:before="84" w:line="188" w:lineRule="auto"/>
              <w:ind w:left="3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299673.39</w:t>
            </w:r>
          </w:p>
        </w:tc>
        <w:tc>
          <w:tcPr>
            <w:tcW w:w="759" w:type="dxa"/>
            <w:vAlign w:val="top"/>
          </w:tcPr>
          <w:p w14:paraId="27DC8185">
            <w:pPr>
              <w:spacing w:before="84" w:line="188" w:lineRule="auto"/>
              <w:ind w:left="293"/>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70</w:t>
            </w:r>
          </w:p>
        </w:tc>
        <w:tc>
          <w:tcPr>
            <w:tcW w:w="882" w:type="dxa"/>
            <w:vAlign w:val="top"/>
          </w:tcPr>
          <w:p w14:paraId="4D9D48B1">
            <w:pPr>
              <w:spacing w:before="84" w:line="188" w:lineRule="auto"/>
              <w:ind w:left="2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73FA809D">
            <w:pPr>
              <w:pStyle w:val="6"/>
              <w:spacing w:before="53" w:line="219" w:lineRule="auto"/>
              <w:ind w:left="104"/>
              <w:rPr>
                <w:sz w:val="18"/>
                <w:szCs w:val="18"/>
              </w:rPr>
            </w:pPr>
            <w:r>
              <w:rPr>
                <w:spacing w:val="-6"/>
                <w:sz w:val="18"/>
                <w:szCs w:val="18"/>
              </w:rPr>
              <w:t>正常</w:t>
            </w:r>
          </w:p>
        </w:tc>
        <w:tc>
          <w:tcPr>
            <w:tcW w:w="877" w:type="dxa"/>
            <w:vAlign w:val="top"/>
          </w:tcPr>
          <w:p w14:paraId="43FA2C61">
            <w:pPr>
              <w:spacing w:before="84" w:line="188" w:lineRule="auto"/>
              <w:ind w:left="28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3.19</w:t>
            </w:r>
          </w:p>
        </w:tc>
        <w:tc>
          <w:tcPr>
            <w:tcW w:w="826" w:type="dxa"/>
            <w:vAlign w:val="top"/>
          </w:tcPr>
          <w:p w14:paraId="48B96501">
            <w:pPr>
              <w:spacing w:before="84" w:line="188" w:lineRule="auto"/>
              <w:ind w:left="2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8.29</w:t>
            </w:r>
          </w:p>
        </w:tc>
        <w:tc>
          <w:tcPr>
            <w:tcW w:w="812" w:type="dxa"/>
            <w:vAlign w:val="top"/>
          </w:tcPr>
          <w:p w14:paraId="536D3713">
            <w:pPr>
              <w:spacing w:before="84" w:line="188" w:lineRule="auto"/>
              <w:ind w:left="20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41.53</w:t>
            </w:r>
          </w:p>
        </w:tc>
        <w:tc>
          <w:tcPr>
            <w:tcW w:w="851" w:type="dxa"/>
            <w:vAlign w:val="top"/>
          </w:tcPr>
          <w:p w14:paraId="506838D2">
            <w:pPr>
              <w:spacing w:before="84" w:line="188" w:lineRule="auto"/>
              <w:ind w:left="22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23.08</w:t>
            </w:r>
          </w:p>
        </w:tc>
        <w:tc>
          <w:tcPr>
            <w:tcW w:w="759" w:type="dxa"/>
            <w:tcBorders>
              <w:right w:val="nil"/>
            </w:tcBorders>
            <w:vAlign w:val="top"/>
          </w:tcPr>
          <w:p w14:paraId="36FE95B9">
            <w:pPr>
              <w:rPr>
                <w:rFonts w:ascii="Arial"/>
                <w:sz w:val="21"/>
              </w:rPr>
            </w:pPr>
          </w:p>
        </w:tc>
      </w:tr>
      <w:tr w14:paraId="05F471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35" w:type="dxa"/>
            <w:tcBorders>
              <w:left w:val="nil"/>
            </w:tcBorders>
            <w:vAlign w:val="top"/>
          </w:tcPr>
          <w:p w14:paraId="1EB69170">
            <w:pPr>
              <w:spacing w:before="85"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DA005</w:t>
            </w:r>
          </w:p>
        </w:tc>
        <w:tc>
          <w:tcPr>
            <w:tcW w:w="2445" w:type="dxa"/>
            <w:vAlign w:val="top"/>
          </w:tcPr>
          <w:p w14:paraId="4A4506E5">
            <w:pPr>
              <w:pStyle w:val="6"/>
              <w:spacing w:before="56" w:line="216" w:lineRule="auto"/>
              <w:ind w:left="236"/>
              <w:rPr>
                <w:sz w:val="18"/>
                <w:szCs w:val="18"/>
              </w:rPr>
            </w:pPr>
            <w:r>
              <w:rPr>
                <w:spacing w:val="-1"/>
                <w:sz w:val="18"/>
                <w:szCs w:val="18"/>
              </w:rPr>
              <w:t>锰硅电炉配料、加料粉尘</w:t>
            </w:r>
          </w:p>
        </w:tc>
        <w:tc>
          <w:tcPr>
            <w:tcW w:w="714" w:type="dxa"/>
            <w:vAlign w:val="top"/>
          </w:tcPr>
          <w:p w14:paraId="1C8AB8C8">
            <w:pPr>
              <w:spacing w:before="85"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359</w:t>
            </w:r>
          </w:p>
        </w:tc>
        <w:tc>
          <w:tcPr>
            <w:tcW w:w="683" w:type="dxa"/>
            <w:vAlign w:val="top"/>
          </w:tcPr>
          <w:p w14:paraId="4DCCF84A">
            <w:pPr>
              <w:spacing w:before="85"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-493</w:t>
            </w:r>
          </w:p>
        </w:tc>
        <w:tc>
          <w:tcPr>
            <w:tcW w:w="1045" w:type="dxa"/>
            <w:vAlign w:val="top"/>
          </w:tcPr>
          <w:p w14:paraId="3959E731">
            <w:pPr>
              <w:spacing w:before="85"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1147</w:t>
            </w:r>
          </w:p>
        </w:tc>
        <w:tc>
          <w:tcPr>
            <w:tcW w:w="776" w:type="dxa"/>
            <w:vAlign w:val="top"/>
          </w:tcPr>
          <w:p w14:paraId="56D3D96C">
            <w:pPr>
              <w:spacing w:before="85"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352F8382">
            <w:pPr>
              <w:spacing w:before="85" w:line="188" w:lineRule="auto"/>
              <w:ind w:left="22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w:t>
            </w:r>
          </w:p>
        </w:tc>
        <w:tc>
          <w:tcPr>
            <w:tcW w:w="832" w:type="dxa"/>
            <w:vAlign w:val="top"/>
          </w:tcPr>
          <w:p w14:paraId="3280F4E6">
            <w:pPr>
              <w:spacing w:before="85" w:line="188" w:lineRule="auto"/>
              <w:ind w:left="9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3×60000</w:t>
            </w:r>
          </w:p>
        </w:tc>
        <w:tc>
          <w:tcPr>
            <w:tcW w:w="759" w:type="dxa"/>
            <w:vAlign w:val="top"/>
          </w:tcPr>
          <w:p w14:paraId="3D4604CB">
            <w:pPr>
              <w:pStyle w:val="6"/>
              <w:spacing w:before="56" w:line="216" w:lineRule="auto"/>
              <w:ind w:left="207"/>
              <w:rPr>
                <w:sz w:val="18"/>
                <w:szCs w:val="18"/>
              </w:rPr>
            </w:pPr>
            <w:r>
              <w:rPr>
                <w:spacing w:val="-6"/>
                <w:sz w:val="18"/>
                <w:szCs w:val="18"/>
              </w:rPr>
              <w:t>常温</w:t>
            </w:r>
          </w:p>
        </w:tc>
        <w:tc>
          <w:tcPr>
            <w:tcW w:w="882" w:type="dxa"/>
            <w:vAlign w:val="top"/>
          </w:tcPr>
          <w:p w14:paraId="558F9134">
            <w:pPr>
              <w:spacing w:before="85" w:line="188" w:lineRule="auto"/>
              <w:ind w:left="2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62548DAD">
            <w:pPr>
              <w:pStyle w:val="6"/>
              <w:spacing w:before="56" w:line="216" w:lineRule="auto"/>
              <w:ind w:left="104"/>
              <w:rPr>
                <w:sz w:val="18"/>
                <w:szCs w:val="18"/>
              </w:rPr>
            </w:pPr>
            <w:r>
              <w:rPr>
                <w:spacing w:val="-6"/>
                <w:sz w:val="18"/>
                <w:szCs w:val="18"/>
              </w:rPr>
              <w:t>正常</w:t>
            </w:r>
          </w:p>
        </w:tc>
        <w:tc>
          <w:tcPr>
            <w:tcW w:w="877" w:type="dxa"/>
            <w:vAlign w:val="top"/>
          </w:tcPr>
          <w:p w14:paraId="38CC6BCC">
            <w:pPr>
              <w:spacing w:before="85"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2C4BDEB0">
            <w:pPr>
              <w:rPr>
                <w:rFonts w:ascii="Arial"/>
                <w:sz w:val="21"/>
              </w:rPr>
            </w:pPr>
          </w:p>
        </w:tc>
        <w:tc>
          <w:tcPr>
            <w:tcW w:w="812" w:type="dxa"/>
            <w:vAlign w:val="top"/>
          </w:tcPr>
          <w:p w14:paraId="0DFB8AB3">
            <w:pPr>
              <w:rPr>
                <w:rFonts w:ascii="Arial"/>
                <w:sz w:val="21"/>
              </w:rPr>
            </w:pPr>
          </w:p>
        </w:tc>
        <w:tc>
          <w:tcPr>
            <w:tcW w:w="851" w:type="dxa"/>
            <w:vAlign w:val="top"/>
          </w:tcPr>
          <w:p w14:paraId="230BF3C0">
            <w:pPr>
              <w:spacing w:before="85"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00967E56">
            <w:pPr>
              <w:rPr>
                <w:rFonts w:ascii="Arial"/>
                <w:sz w:val="21"/>
              </w:rPr>
            </w:pPr>
          </w:p>
        </w:tc>
      </w:tr>
      <w:tr w14:paraId="6BE97B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35" w:type="dxa"/>
            <w:tcBorders>
              <w:left w:val="nil"/>
            </w:tcBorders>
            <w:vAlign w:val="top"/>
          </w:tcPr>
          <w:p w14:paraId="04316B82">
            <w:pPr>
              <w:spacing w:before="89"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DA006</w:t>
            </w:r>
          </w:p>
        </w:tc>
        <w:tc>
          <w:tcPr>
            <w:tcW w:w="2445" w:type="dxa"/>
            <w:vAlign w:val="top"/>
          </w:tcPr>
          <w:p w14:paraId="7E609188">
            <w:pPr>
              <w:pStyle w:val="6"/>
              <w:spacing w:before="58" w:line="214" w:lineRule="auto"/>
              <w:ind w:left="236"/>
              <w:rPr>
                <w:sz w:val="18"/>
                <w:szCs w:val="18"/>
              </w:rPr>
            </w:pPr>
            <w:r>
              <w:rPr>
                <w:spacing w:val="-1"/>
                <w:sz w:val="18"/>
                <w:szCs w:val="18"/>
              </w:rPr>
              <w:t>锰硅电炉配料、加料粉尘</w:t>
            </w:r>
          </w:p>
        </w:tc>
        <w:tc>
          <w:tcPr>
            <w:tcW w:w="714" w:type="dxa"/>
            <w:vAlign w:val="top"/>
          </w:tcPr>
          <w:p w14:paraId="066356D2">
            <w:pPr>
              <w:spacing w:before="89"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363</w:t>
            </w:r>
          </w:p>
        </w:tc>
        <w:tc>
          <w:tcPr>
            <w:tcW w:w="683" w:type="dxa"/>
            <w:vAlign w:val="top"/>
          </w:tcPr>
          <w:p w14:paraId="1C2AEFF5">
            <w:pPr>
              <w:spacing w:before="89"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-552</w:t>
            </w:r>
          </w:p>
        </w:tc>
        <w:tc>
          <w:tcPr>
            <w:tcW w:w="1045" w:type="dxa"/>
            <w:vAlign w:val="top"/>
          </w:tcPr>
          <w:p w14:paraId="23CC2F4C">
            <w:pPr>
              <w:spacing w:before="89"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1147</w:t>
            </w:r>
          </w:p>
        </w:tc>
        <w:tc>
          <w:tcPr>
            <w:tcW w:w="776" w:type="dxa"/>
            <w:vAlign w:val="top"/>
          </w:tcPr>
          <w:p w14:paraId="05F4CA21">
            <w:pPr>
              <w:spacing w:before="89"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0522C02F">
            <w:pPr>
              <w:spacing w:before="89" w:line="188" w:lineRule="auto"/>
              <w:ind w:left="22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w:t>
            </w:r>
          </w:p>
        </w:tc>
        <w:tc>
          <w:tcPr>
            <w:tcW w:w="832" w:type="dxa"/>
            <w:vAlign w:val="top"/>
          </w:tcPr>
          <w:p w14:paraId="045E595A">
            <w:pPr>
              <w:spacing w:before="89" w:line="188" w:lineRule="auto"/>
              <w:ind w:left="9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3×60000</w:t>
            </w:r>
          </w:p>
        </w:tc>
        <w:tc>
          <w:tcPr>
            <w:tcW w:w="759" w:type="dxa"/>
            <w:vAlign w:val="top"/>
          </w:tcPr>
          <w:p w14:paraId="3EB2BC22">
            <w:pPr>
              <w:pStyle w:val="6"/>
              <w:spacing w:before="58" w:line="214" w:lineRule="auto"/>
              <w:ind w:left="207"/>
              <w:rPr>
                <w:sz w:val="18"/>
                <w:szCs w:val="18"/>
              </w:rPr>
            </w:pPr>
            <w:r>
              <w:rPr>
                <w:spacing w:val="-6"/>
                <w:sz w:val="18"/>
                <w:szCs w:val="18"/>
              </w:rPr>
              <w:t>常温</w:t>
            </w:r>
          </w:p>
        </w:tc>
        <w:tc>
          <w:tcPr>
            <w:tcW w:w="882" w:type="dxa"/>
            <w:vAlign w:val="top"/>
          </w:tcPr>
          <w:p w14:paraId="63504288">
            <w:pPr>
              <w:spacing w:before="89" w:line="188" w:lineRule="auto"/>
              <w:ind w:left="2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23B9EA36">
            <w:pPr>
              <w:pStyle w:val="6"/>
              <w:spacing w:before="58" w:line="214" w:lineRule="auto"/>
              <w:ind w:left="104"/>
              <w:rPr>
                <w:sz w:val="18"/>
                <w:szCs w:val="18"/>
              </w:rPr>
            </w:pPr>
            <w:r>
              <w:rPr>
                <w:spacing w:val="-6"/>
                <w:sz w:val="18"/>
                <w:szCs w:val="18"/>
              </w:rPr>
              <w:t>正常</w:t>
            </w:r>
          </w:p>
        </w:tc>
        <w:tc>
          <w:tcPr>
            <w:tcW w:w="877" w:type="dxa"/>
            <w:vAlign w:val="top"/>
          </w:tcPr>
          <w:p w14:paraId="0C9B413C">
            <w:pPr>
              <w:spacing w:before="89"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37F29F07">
            <w:pPr>
              <w:rPr>
                <w:rFonts w:ascii="Arial"/>
                <w:sz w:val="21"/>
              </w:rPr>
            </w:pPr>
          </w:p>
        </w:tc>
        <w:tc>
          <w:tcPr>
            <w:tcW w:w="812" w:type="dxa"/>
            <w:vAlign w:val="top"/>
          </w:tcPr>
          <w:p w14:paraId="7B8534F4">
            <w:pPr>
              <w:rPr>
                <w:rFonts w:ascii="Arial"/>
                <w:sz w:val="21"/>
              </w:rPr>
            </w:pPr>
          </w:p>
        </w:tc>
        <w:tc>
          <w:tcPr>
            <w:tcW w:w="851" w:type="dxa"/>
            <w:vAlign w:val="top"/>
          </w:tcPr>
          <w:p w14:paraId="7F3D6801">
            <w:pPr>
              <w:spacing w:before="89"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30B29096">
            <w:pPr>
              <w:rPr>
                <w:rFonts w:ascii="Arial"/>
                <w:sz w:val="21"/>
              </w:rPr>
            </w:pPr>
          </w:p>
        </w:tc>
      </w:tr>
      <w:tr w14:paraId="5922DA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35" w:type="dxa"/>
            <w:tcBorders>
              <w:left w:val="nil"/>
            </w:tcBorders>
            <w:vAlign w:val="top"/>
          </w:tcPr>
          <w:p w14:paraId="2BFB35D5">
            <w:pPr>
              <w:spacing w:before="90"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DA007</w:t>
            </w:r>
          </w:p>
        </w:tc>
        <w:tc>
          <w:tcPr>
            <w:tcW w:w="2445" w:type="dxa"/>
            <w:vAlign w:val="top"/>
          </w:tcPr>
          <w:p w14:paraId="7D10F1C8">
            <w:pPr>
              <w:pStyle w:val="6"/>
              <w:spacing w:before="59" w:line="213" w:lineRule="auto"/>
              <w:ind w:left="236"/>
              <w:rPr>
                <w:sz w:val="18"/>
                <w:szCs w:val="18"/>
              </w:rPr>
            </w:pPr>
            <w:r>
              <w:rPr>
                <w:spacing w:val="-1"/>
                <w:sz w:val="18"/>
                <w:szCs w:val="18"/>
              </w:rPr>
              <w:t>锰硅电炉配料、加料粉尘</w:t>
            </w:r>
          </w:p>
        </w:tc>
        <w:tc>
          <w:tcPr>
            <w:tcW w:w="714" w:type="dxa"/>
            <w:vAlign w:val="top"/>
          </w:tcPr>
          <w:p w14:paraId="0A4A66EE">
            <w:pPr>
              <w:spacing w:before="90"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376</w:t>
            </w:r>
          </w:p>
        </w:tc>
        <w:tc>
          <w:tcPr>
            <w:tcW w:w="683" w:type="dxa"/>
            <w:vAlign w:val="top"/>
          </w:tcPr>
          <w:p w14:paraId="47917C03">
            <w:pPr>
              <w:spacing w:before="90"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-621</w:t>
            </w:r>
          </w:p>
        </w:tc>
        <w:tc>
          <w:tcPr>
            <w:tcW w:w="1045" w:type="dxa"/>
            <w:vAlign w:val="top"/>
          </w:tcPr>
          <w:p w14:paraId="6ABB1F45">
            <w:pPr>
              <w:spacing w:before="90"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1146</w:t>
            </w:r>
          </w:p>
        </w:tc>
        <w:tc>
          <w:tcPr>
            <w:tcW w:w="776" w:type="dxa"/>
            <w:vAlign w:val="top"/>
          </w:tcPr>
          <w:p w14:paraId="7632673D">
            <w:pPr>
              <w:spacing w:before="90"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155C44DB">
            <w:pPr>
              <w:spacing w:before="90" w:line="188" w:lineRule="auto"/>
              <w:ind w:left="22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w:t>
            </w:r>
          </w:p>
        </w:tc>
        <w:tc>
          <w:tcPr>
            <w:tcW w:w="832" w:type="dxa"/>
            <w:vAlign w:val="top"/>
          </w:tcPr>
          <w:p w14:paraId="607C33B7">
            <w:pPr>
              <w:spacing w:before="90" w:line="188" w:lineRule="auto"/>
              <w:ind w:left="9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3×60000</w:t>
            </w:r>
          </w:p>
        </w:tc>
        <w:tc>
          <w:tcPr>
            <w:tcW w:w="759" w:type="dxa"/>
            <w:vAlign w:val="top"/>
          </w:tcPr>
          <w:p w14:paraId="0FF53D30">
            <w:pPr>
              <w:pStyle w:val="6"/>
              <w:spacing w:before="59" w:line="213" w:lineRule="auto"/>
              <w:ind w:left="207"/>
              <w:rPr>
                <w:sz w:val="18"/>
                <w:szCs w:val="18"/>
              </w:rPr>
            </w:pPr>
            <w:r>
              <w:rPr>
                <w:spacing w:val="-6"/>
                <w:sz w:val="18"/>
                <w:szCs w:val="18"/>
              </w:rPr>
              <w:t>常温</w:t>
            </w:r>
          </w:p>
        </w:tc>
        <w:tc>
          <w:tcPr>
            <w:tcW w:w="882" w:type="dxa"/>
            <w:vAlign w:val="top"/>
          </w:tcPr>
          <w:p w14:paraId="377CA085">
            <w:pPr>
              <w:spacing w:before="90" w:line="188" w:lineRule="auto"/>
              <w:ind w:left="2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109D25E5">
            <w:pPr>
              <w:pStyle w:val="6"/>
              <w:spacing w:before="59" w:line="213" w:lineRule="auto"/>
              <w:ind w:left="104"/>
              <w:rPr>
                <w:sz w:val="18"/>
                <w:szCs w:val="18"/>
              </w:rPr>
            </w:pPr>
            <w:r>
              <w:rPr>
                <w:spacing w:val="-6"/>
                <w:sz w:val="18"/>
                <w:szCs w:val="18"/>
              </w:rPr>
              <w:t>正常</w:t>
            </w:r>
          </w:p>
        </w:tc>
        <w:tc>
          <w:tcPr>
            <w:tcW w:w="877" w:type="dxa"/>
            <w:vAlign w:val="top"/>
          </w:tcPr>
          <w:p w14:paraId="475AA67E">
            <w:pPr>
              <w:spacing w:before="90"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7D751F16">
            <w:pPr>
              <w:rPr>
                <w:rFonts w:ascii="Arial"/>
                <w:sz w:val="21"/>
              </w:rPr>
            </w:pPr>
          </w:p>
        </w:tc>
        <w:tc>
          <w:tcPr>
            <w:tcW w:w="812" w:type="dxa"/>
            <w:vAlign w:val="top"/>
          </w:tcPr>
          <w:p w14:paraId="29CCFB56">
            <w:pPr>
              <w:rPr>
                <w:rFonts w:ascii="Arial"/>
                <w:sz w:val="21"/>
              </w:rPr>
            </w:pPr>
          </w:p>
        </w:tc>
        <w:tc>
          <w:tcPr>
            <w:tcW w:w="851" w:type="dxa"/>
            <w:vAlign w:val="top"/>
          </w:tcPr>
          <w:p w14:paraId="4EB0071A">
            <w:pPr>
              <w:spacing w:before="90"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2F3D81A2">
            <w:pPr>
              <w:rPr>
                <w:rFonts w:ascii="Arial"/>
                <w:sz w:val="21"/>
              </w:rPr>
            </w:pPr>
          </w:p>
        </w:tc>
      </w:tr>
      <w:tr w14:paraId="3428C1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535" w:type="dxa"/>
            <w:tcBorders>
              <w:left w:val="nil"/>
            </w:tcBorders>
            <w:vAlign w:val="top"/>
          </w:tcPr>
          <w:p w14:paraId="64D71853">
            <w:pPr>
              <w:spacing w:before="91"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DA008</w:t>
            </w:r>
          </w:p>
        </w:tc>
        <w:tc>
          <w:tcPr>
            <w:tcW w:w="2445" w:type="dxa"/>
            <w:vAlign w:val="top"/>
          </w:tcPr>
          <w:p w14:paraId="287920AB">
            <w:pPr>
              <w:pStyle w:val="6"/>
              <w:spacing w:before="62" w:line="211" w:lineRule="auto"/>
              <w:ind w:left="236"/>
              <w:rPr>
                <w:sz w:val="18"/>
                <w:szCs w:val="18"/>
              </w:rPr>
            </w:pPr>
            <w:r>
              <w:rPr>
                <w:spacing w:val="-1"/>
                <w:sz w:val="18"/>
                <w:szCs w:val="18"/>
              </w:rPr>
              <w:t>锰硅出铁出渣及浇铸烟气</w:t>
            </w:r>
          </w:p>
        </w:tc>
        <w:tc>
          <w:tcPr>
            <w:tcW w:w="714" w:type="dxa"/>
            <w:vAlign w:val="top"/>
          </w:tcPr>
          <w:p w14:paraId="33FE9148">
            <w:pPr>
              <w:spacing w:before="91"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124</w:t>
            </w:r>
          </w:p>
        </w:tc>
        <w:tc>
          <w:tcPr>
            <w:tcW w:w="683" w:type="dxa"/>
            <w:vAlign w:val="top"/>
          </w:tcPr>
          <w:p w14:paraId="252DB9B8">
            <w:pPr>
              <w:spacing w:before="91"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-420</w:t>
            </w:r>
          </w:p>
        </w:tc>
        <w:tc>
          <w:tcPr>
            <w:tcW w:w="1045" w:type="dxa"/>
            <w:vAlign w:val="top"/>
          </w:tcPr>
          <w:p w14:paraId="12D9E442">
            <w:pPr>
              <w:spacing w:before="91"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1150</w:t>
            </w:r>
          </w:p>
        </w:tc>
        <w:tc>
          <w:tcPr>
            <w:tcW w:w="776" w:type="dxa"/>
            <w:vAlign w:val="top"/>
          </w:tcPr>
          <w:p w14:paraId="7AEE8738">
            <w:pPr>
              <w:spacing w:before="91"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15FBB61A">
            <w:pPr>
              <w:spacing w:before="91" w:line="188" w:lineRule="auto"/>
              <w:ind w:left="22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7B15047E">
            <w:pPr>
              <w:spacing w:before="91" w:line="188" w:lineRule="auto"/>
              <w:ind w:left="9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6×50000</w:t>
            </w:r>
          </w:p>
        </w:tc>
        <w:tc>
          <w:tcPr>
            <w:tcW w:w="759" w:type="dxa"/>
            <w:vAlign w:val="top"/>
          </w:tcPr>
          <w:p w14:paraId="571CBB7D">
            <w:pPr>
              <w:spacing w:before="91" w:line="188" w:lineRule="auto"/>
              <w:ind w:left="26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5C75346D">
            <w:pPr>
              <w:spacing w:before="91" w:line="188" w:lineRule="auto"/>
              <w:ind w:left="27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4E8BC27C">
            <w:pPr>
              <w:pStyle w:val="6"/>
              <w:spacing w:before="62" w:line="211" w:lineRule="auto"/>
              <w:ind w:left="104"/>
              <w:rPr>
                <w:sz w:val="18"/>
                <w:szCs w:val="18"/>
              </w:rPr>
            </w:pPr>
            <w:r>
              <w:rPr>
                <w:spacing w:val="-6"/>
                <w:sz w:val="18"/>
                <w:szCs w:val="18"/>
              </w:rPr>
              <w:t>正常</w:t>
            </w:r>
          </w:p>
        </w:tc>
        <w:tc>
          <w:tcPr>
            <w:tcW w:w="877" w:type="dxa"/>
            <w:vAlign w:val="top"/>
          </w:tcPr>
          <w:p w14:paraId="367F032F">
            <w:pPr>
              <w:spacing w:before="91"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154F8A65">
            <w:pPr>
              <w:rPr>
                <w:rFonts w:ascii="Arial"/>
                <w:sz w:val="21"/>
              </w:rPr>
            </w:pPr>
          </w:p>
        </w:tc>
        <w:tc>
          <w:tcPr>
            <w:tcW w:w="812" w:type="dxa"/>
            <w:vAlign w:val="top"/>
          </w:tcPr>
          <w:p w14:paraId="7903A4AB">
            <w:pPr>
              <w:rPr>
                <w:rFonts w:ascii="Arial"/>
                <w:sz w:val="21"/>
              </w:rPr>
            </w:pPr>
          </w:p>
        </w:tc>
        <w:tc>
          <w:tcPr>
            <w:tcW w:w="851" w:type="dxa"/>
            <w:vAlign w:val="top"/>
          </w:tcPr>
          <w:p w14:paraId="4B5ECF57">
            <w:pPr>
              <w:spacing w:before="91"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33901684">
            <w:pPr>
              <w:rPr>
                <w:rFonts w:ascii="Arial"/>
                <w:sz w:val="21"/>
              </w:rPr>
            </w:pPr>
          </w:p>
        </w:tc>
      </w:tr>
      <w:tr w14:paraId="74DA03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535" w:type="dxa"/>
            <w:tcBorders>
              <w:left w:val="nil"/>
            </w:tcBorders>
            <w:vAlign w:val="top"/>
          </w:tcPr>
          <w:p w14:paraId="7389E180">
            <w:pPr>
              <w:spacing w:before="94"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DA009</w:t>
            </w:r>
          </w:p>
        </w:tc>
        <w:tc>
          <w:tcPr>
            <w:tcW w:w="2445" w:type="dxa"/>
            <w:vAlign w:val="top"/>
          </w:tcPr>
          <w:p w14:paraId="3A54FE59">
            <w:pPr>
              <w:pStyle w:val="6"/>
              <w:spacing w:before="63" w:line="210" w:lineRule="auto"/>
              <w:ind w:left="236"/>
              <w:rPr>
                <w:sz w:val="18"/>
                <w:szCs w:val="18"/>
              </w:rPr>
            </w:pPr>
            <w:r>
              <w:rPr>
                <w:spacing w:val="-1"/>
                <w:sz w:val="18"/>
                <w:szCs w:val="18"/>
              </w:rPr>
              <w:t>锰硅出铁出渣及浇铸烟气</w:t>
            </w:r>
          </w:p>
        </w:tc>
        <w:tc>
          <w:tcPr>
            <w:tcW w:w="714" w:type="dxa"/>
            <w:vAlign w:val="top"/>
          </w:tcPr>
          <w:p w14:paraId="0CCCE604">
            <w:pPr>
              <w:spacing w:before="94"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126</w:t>
            </w:r>
          </w:p>
        </w:tc>
        <w:tc>
          <w:tcPr>
            <w:tcW w:w="683" w:type="dxa"/>
            <w:vAlign w:val="top"/>
          </w:tcPr>
          <w:p w14:paraId="2ECA02B6">
            <w:pPr>
              <w:spacing w:before="94"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-459</w:t>
            </w:r>
          </w:p>
        </w:tc>
        <w:tc>
          <w:tcPr>
            <w:tcW w:w="1045" w:type="dxa"/>
            <w:vAlign w:val="top"/>
          </w:tcPr>
          <w:p w14:paraId="665D3A2D">
            <w:pPr>
              <w:spacing w:before="94"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1149</w:t>
            </w:r>
          </w:p>
        </w:tc>
        <w:tc>
          <w:tcPr>
            <w:tcW w:w="776" w:type="dxa"/>
            <w:vAlign w:val="top"/>
          </w:tcPr>
          <w:p w14:paraId="0DA7CC0F">
            <w:pPr>
              <w:spacing w:before="94"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1A682FB7">
            <w:pPr>
              <w:spacing w:before="94" w:line="188" w:lineRule="auto"/>
              <w:ind w:left="22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0EBDC302">
            <w:pPr>
              <w:spacing w:before="94" w:line="188" w:lineRule="auto"/>
              <w:ind w:left="9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6×50000</w:t>
            </w:r>
          </w:p>
        </w:tc>
        <w:tc>
          <w:tcPr>
            <w:tcW w:w="759" w:type="dxa"/>
            <w:vAlign w:val="top"/>
          </w:tcPr>
          <w:p w14:paraId="2A9D5A71">
            <w:pPr>
              <w:spacing w:before="94" w:line="188" w:lineRule="auto"/>
              <w:ind w:left="26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6C017B01">
            <w:pPr>
              <w:spacing w:before="94" w:line="188" w:lineRule="auto"/>
              <w:ind w:left="27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0C578477">
            <w:pPr>
              <w:pStyle w:val="6"/>
              <w:spacing w:before="63" w:line="210" w:lineRule="auto"/>
              <w:ind w:left="104"/>
              <w:rPr>
                <w:sz w:val="18"/>
                <w:szCs w:val="18"/>
              </w:rPr>
            </w:pPr>
            <w:r>
              <w:rPr>
                <w:spacing w:val="-6"/>
                <w:sz w:val="18"/>
                <w:szCs w:val="18"/>
              </w:rPr>
              <w:t>正常</w:t>
            </w:r>
          </w:p>
        </w:tc>
        <w:tc>
          <w:tcPr>
            <w:tcW w:w="877" w:type="dxa"/>
            <w:vAlign w:val="top"/>
          </w:tcPr>
          <w:p w14:paraId="5E1C41E6">
            <w:pPr>
              <w:spacing w:before="94"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4D057001">
            <w:pPr>
              <w:rPr>
                <w:rFonts w:ascii="Arial"/>
                <w:sz w:val="21"/>
              </w:rPr>
            </w:pPr>
          </w:p>
        </w:tc>
        <w:tc>
          <w:tcPr>
            <w:tcW w:w="812" w:type="dxa"/>
            <w:vAlign w:val="top"/>
          </w:tcPr>
          <w:p w14:paraId="3AB7CE16">
            <w:pPr>
              <w:rPr>
                <w:rFonts w:ascii="Arial"/>
                <w:sz w:val="21"/>
              </w:rPr>
            </w:pPr>
          </w:p>
        </w:tc>
        <w:tc>
          <w:tcPr>
            <w:tcW w:w="851" w:type="dxa"/>
            <w:vAlign w:val="top"/>
          </w:tcPr>
          <w:p w14:paraId="61300E7A">
            <w:pPr>
              <w:spacing w:before="94"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71547C1E">
            <w:pPr>
              <w:rPr>
                <w:rFonts w:ascii="Arial"/>
                <w:sz w:val="21"/>
              </w:rPr>
            </w:pPr>
          </w:p>
        </w:tc>
      </w:tr>
      <w:tr w14:paraId="62D36E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35" w:type="dxa"/>
            <w:tcBorders>
              <w:left w:val="nil"/>
            </w:tcBorders>
            <w:vAlign w:val="top"/>
          </w:tcPr>
          <w:p w14:paraId="0A34BEB9">
            <w:pPr>
              <w:spacing w:before="94"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DA010</w:t>
            </w:r>
          </w:p>
        </w:tc>
        <w:tc>
          <w:tcPr>
            <w:tcW w:w="2445" w:type="dxa"/>
            <w:vAlign w:val="top"/>
          </w:tcPr>
          <w:p w14:paraId="6B6E41B6">
            <w:pPr>
              <w:pStyle w:val="6"/>
              <w:spacing w:before="63" w:line="209" w:lineRule="auto"/>
              <w:ind w:left="236"/>
              <w:rPr>
                <w:sz w:val="18"/>
                <w:szCs w:val="18"/>
              </w:rPr>
            </w:pPr>
            <w:r>
              <w:rPr>
                <w:spacing w:val="-1"/>
                <w:sz w:val="18"/>
                <w:szCs w:val="18"/>
              </w:rPr>
              <w:t>锰硅出铁出渣及浇铸烟气</w:t>
            </w:r>
          </w:p>
        </w:tc>
        <w:tc>
          <w:tcPr>
            <w:tcW w:w="714" w:type="dxa"/>
            <w:vAlign w:val="top"/>
          </w:tcPr>
          <w:p w14:paraId="765AA8BD">
            <w:pPr>
              <w:spacing w:before="94"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131</w:t>
            </w:r>
          </w:p>
        </w:tc>
        <w:tc>
          <w:tcPr>
            <w:tcW w:w="683" w:type="dxa"/>
            <w:vAlign w:val="top"/>
          </w:tcPr>
          <w:p w14:paraId="651DB207">
            <w:pPr>
              <w:spacing w:before="94"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-521</w:t>
            </w:r>
          </w:p>
        </w:tc>
        <w:tc>
          <w:tcPr>
            <w:tcW w:w="1045" w:type="dxa"/>
            <w:vAlign w:val="top"/>
          </w:tcPr>
          <w:p w14:paraId="10A4453B">
            <w:pPr>
              <w:spacing w:before="94"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1146</w:t>
            </w:r>
          </w:p>
        </w:tc>
        <w:tc>
          <w:tcPr>
            <w:tcW w:w="776" w:type="dxa"/>
            <w:vAlign w:val="top"/>
          </w:tcPr>
          <w:p w14:paraId="4F804118">
            <w:pPr>
              <w:spacing w:before="94"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07ECF9E1">
            <w:pPr>
              <w:spacing w:before="94" w:line="188" w:lineRule="auto"/>
              <w:ind w:left="22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3C4769D7">
            <w:pPr>
              <w:spacing w:before="94" w:line="188" w:lineRule="auto"/>
              <w:ind w:left="9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6×50000</w:t>
            </w:r>
          </w:p>
        </w:tc>
        <w:tc>
          <w:tcPr>
            <w:tcW w:w="759" w:type="dxa"/>
            <w:vAlign w:val="top"/>
          </w:tcPr>
          <w:p w14:paraId="226ED81B">
            <w:pPr>
              <w:spacing w:before="94" w:line="188" w:lineRule="auto"/>
              <w:ind w:left="26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362EFA5B">
            <w:pPr>
              <w:spacing w:before="94" w:line="188" w:lineRule="auto"/>
              <w:ind w:left="27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17E99893">
            <w:pPr>
              <w:pStyle w:val="6"/>
              <w:spacing w:before="63" w:line="209" w:lineRule="auto"/>
              <w:ind w:left="104"/>
              <w:rPr>
                <w:sz w:val="18"/>
                <w:szCs w:val="18"/>
              </w:rPr>
            </w:pPr>
            <w:r>
              <w:rPr>
                <w:spacing w:val="-6"/>
                <w:sz w:val="18"/>
                <w:szCs w:val="18"/>
              </w:rPr>
              <w:t>正常</w:t>
            </w:r>
          </w:p>
        </w:tc>
        <w:tc>
          <w:tcPr>
            <w:tcW w:w="877" w:type="dxa"/>
            <w:vAlign w:val="top"/>
          </w:tcPr>
          <w:p w14:paraId="31274D6D">
            <w:pPr>
              <w:spacing w:before="94"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7F498427">
            <w:pPr>
              <w:rPr>
                <w:rFonts w:ascii="Arial"/>
                <w:sz w:val="21"/>
              </w:rPr>
            </w:pPr>
          </w:p>
        </w:tc>
        <w:tc>
          <w:tcPr>
            <w:tcW w:w="812" w:type="dxa"/>
            <w:vAlign w:val="top"/>
          </w:tcPr>
          <w:p w14:paraId="0199CFA7">
            <w:pPr>
              <w:rPr>
                <w:rFonts w:ascii="Arial"/>
                <w:sz w:val="21"/>
              </w:rPr>
            </w:pPr>
          </w:p>
        </w:tc>
        <w:tc>
          <w:tcPr>
            <w:tcW w:w="851" w:type="dxa"/>
            <w:vAlign w:val="top"/>
          </w:tcPr>
          <w:p w14:paraId="2867595D">
            <w:pPr>
              <w:spacing w:before="94"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49193F61">
            <w:pPr>
              <w:rPr>
                <w:rFonts w:ascii="Arial"/>
                <w:sz w:val="21"/>
              </w:rPr>
            </w:pPr>
          </w:p>
        </w:tc>
      </w:tr>
      <w:tr w14:paraId="4097D4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535" w:type="dxa"/>
            <w:tcBorders>
              <w:left w:val="nil"/>
            </w:tcBorders>
            <w:vAlign w:val="top"/>
          </w:tcPr>
          <w:p w14:paraId="6D865B4E">
            <w:pPr>
              <w:spacing w:before="95" w:line="188" w:lineRule="auto"/>
              <w:jc w:val="right"/>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DA011</w:t>
            </w:r>
          </w:p>
        </w:tc>
        <w:tc>
          <w:tcPr>
            <w:tcW w:w="2445" w:type="dxa"/>
            <w:vAlign w:val="top"/>
          </w:tcPr>
          <w:p w14:paraId="1EAC8B9D">
            <w:pPr>
              <w:pStyle w:val="6"/>
              <w:spacing w:before="67" w:line="206" w:lineRule="auto"/>
              <w:ind w:left="236"/>
              <w:rPr>
                <w:sz w:val="18"/>
                <w:szCs w:val="18"/>
              </w:rPr>
            </w:pPr>
            <w:r>
              <w:rPr>
                <w:spacing w:val="-1"/>
                <w:sz w:val="18"/>
                <w:szCs w:val="18"/>
              </w:rPr>
              <w:t>锰硅出铁出渣及浇铸烟气</w:t>
            </w:r>
          </w:p>
        </w:tc>
        <w:tc>
          <w:tcPr>
            <w:tcW w:w="714" w:type="dxa"/>
            <w:vAlign w:val="top"/>
          </w:tcPr>
          <w:p w14:paraId="5C561DA8">
            <w:pPr>
              <w:spacing w:before="95"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137</w:t>
            </w:r>
          </w:p>
        </w:tc>
        <w:tc>
          <w:tcPr>
            <w:tcW w:w="683" w:type="dxa"/>
            <w:vAlign w:val="top"/>
          </w:tcPr>
          <w:p w14:paraId="0ADBFDD4">
            <w:pPr>
              <w:spacing w:before="95"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-566</w:t>
            </w:r>
          </w:p>
        </w:tc>
        <w:tc>
          <w:tcPr>
            <w:tcW w:w="1045" w:type="dxa"/>
            <w:vAlign w:val="top"/>
          </w:tcPr>
          <w:p w14:paraId="62C95F00">
            <w:pPr>
              <w:spacing w:before="95"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1147</w:t>
            </w:r>
          </w:p>
        </w:tc>
        <w:tc>
          <w:tcPr>
            <w:tcW w:w="776" w:type="dxa"/>
            <w:vAlign w:val="top"/>
          </w:tcPr>
          <w:p w14:paraId="60A0A3E7">
            <w:pPr>
              <w:spacing w:before="95"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103A10D2">
            <w:pPr>
              <w:spacing w:before="95" w:line="188" w:lineRule="auto"/>
              <w:ind w:left="22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4C9E405C">
            <w:pPr>
              <w:spacing w:before="95" w:line="188" w:lineRule="auto"/>
              <w:ind w:left="9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6×50000</w:t>
            </w:r>
          </w:p>
        </w:tc>
        <w:tc>
          <w:tcPr>
            <w:tcW w:w="759" w:type="dxa"/>
            <w:vAlign w:val="top"/>
          </w:tcPr>
          <w:p w14:paraId="52DD3C58">
            <w:pPr>
              <w:spacing w:before="95" w:line="188" w:lineRule="auto"/>
              <w:ind w:left="26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7FFEF865">
            <w:pPr>
              <w:spacing w:before="95" w:line="188" w:lineRule="auto"/>
              <w:ind w:left="27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7690195B">
            <w:pPr>
              <w:pStyle w:val="6"/>
              <w:spacing w:before="67" w:line="206" w:lineRule="auto"/>
              <w:ind w:left="104"/>
              <w:rPr>
                <w:sz w:val="18"/>
                <w:szCs w:val="18"/>
              </w:rPr>
            </w:pPr>
            <w:r>
              <w:rPr>
                <w:spacing w:val="-6"/>
                <w:sz w:val="18"/>
                <w:szCs w:val="18"/>
              </w:rPr>
              <w:t>正常</w:t>
            </w:r>
          </w:p>
        </w:tc>
        <w:tc>
          <w:tcPr>
            <w:tcW w:w="877" w:type="dxa"/>
            <w:vAlign w:val="top"/>
          </w:tcPr>
          <w:p w14:paraId="5B1FEC51">
            <w:pPr>
              <w:spacing w:before="95"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4CAB4C46">
            <w:pPr>
              <w:rPr>
                <w:rFonts w:ascii="Arial"/>
                <w:sz w:val="21"/>
              </w:rPr>
            </w:pPr>
          </w:p>
        </w:tc>
        <w:tc>
          <w:tcPr>
            <w:tcW w:w="812" w:type="dxa"/>
            <w:vAlign w:val="top"/>
          </w:tcPr>
          <w:p w14:paraId="6A91D6ED">
            <w:pPr>
              <w:rPr>
                <w:rFonts w:ascii="Arial"/>
                <w:sz w:val="21"/>
              </w:rPr>
            </w:pPr>
          </w:p>
        </w:tc>
        <w:tc>
          <w:tcPr>
            <w:tcW w:w="851" w:type="dxa"/>
            <w:vAlign w:val="top"/>
          </w:tcPr>
          <w:p w14:paraId="69D09468">
            <w:pPr>
              <w:spacing w:before="95"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4ECD9806">
            <w:pPr>
              <w:rPr>
                <w:rFonts w:ascii="Arial"/>
                <w:sz w:val="21"/>
              </w:rPr>
            </w:pPr>
          </w:p>
        </w:tc>
      </w:tr>
      <w:tr w14:paraId="1CABA1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535" w:type="dxa"/>
            <w:tcBorders>
              <w:left w:val="nil"/>
            </w:tcBorders>
            <w:vAlign w:val="top"/>
          </w:tcPr>
          <w:p w14:paraId="608A0C46">
            <w:pPr>
              <w:spacing w:before="98"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DA012</w:t>
            </w:r>
          </w:p>
        </w:tc>
        <w:tc>
          <w:tcPr>
            <w:tcW w:w="2445" w:type="dxa"/>
            <w:vAlign w:val="top"/>
          </w:tcPr>
          <w:p w14:paraId="43B6938C">
            <w:pPr>
              <w:pStyle w:val="6"/>
              <w:spacing w:before="67" w:line="206" w:lineRule="auto"/>
              <w:ind w:left="236"/>
              <w:rPr>
                <w:sz w:val="18"/>
                <w:szCs w:val="18"/>
              </w:rPr>
            </w:pPr>
            <w:r>
              <w:rPr>
                <w:spacing w:val="-1"/>
                <w:sz w:val="18"/>
                <w:szCs w:val="18"/>
              </w:rPr>
              <w:t>锰硅出铁出渣及浇铸烟气</w:t>
            </w:r>
          </w:p>
        </w:tc>
        <w:tc>
          <w:tcPr>
            <w:tcW w:w="714" w:type="dxa"/>
            <w:vAlign w:val="top"/>
          </w:tcPr>
          <w:p w14:paraId="1B73478C">
            <w:pPr>
              <w:spacing w:before="98"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140</w:t>
            </w:r>
          </w:p>
        </w:tc>
        <w:tc>
          <w:tcPr>
            <w:tcW w:w="683" w:type="dxa"/>
            <w:vAlign w:val="top"/>
          </w:tcPr>
          <w:p w14:paraId="28EE19DE">
            <w:pPr>
              <w:spacing w:before="98"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-605</w:t>
            </w:r>
          </w:p>
        </w:tc>
        <w:tc>
          <w:tcPr>
            <w:tcW w:w="1045" w:type="dxa"/>
            <w:vAlign w:val="top"/>
          </w:tcPr>
          <w:p w14:paraId="2A83C77D">
            <w:pPr>
              <w:spacing w:before="98"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1147</w:t>
            </w:r>
          </w:p>
        </w:tc>
        <w:tc>
          <w:tcPr>
            <w:tcW w:w="776" w:type="dxa"/>
            <w:vAlign w:val="top"/>
          </w:tcPr>
          <w:p w14:paraId="5BDF1854">
            <w:pPr>
              <w:spacing w:before="98"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256D1BDA">
            <w:pPr>
              <w:spacing w:before="98" w:line="188" w:lineRule="auto"/>
              <w:ind w:left="22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4A94E1DE">
            <w:pPr>
              <w:spacing w:before="98" w:line="188" w:lineRule="auto"/>
              <w:ind w:left="9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6×50000</w:t>
            </w:r>
          </w:p>
        </w:tc>
        <w:tc>
          <w:tcPr>
            <w:tcW w:w="759" w:type="dxa"/>
            <w:vAlign w:val="top"/>
          </w:tcPr>
          <w:p w14:paraId="1BAB0B33">
            <w:pPr>
              <w:spacing w:before="98" w:line="188" w:lineRule="auto"/>
              <w:ind w:left="26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57BD244A">
            <w:pPr>
              <w:spacing w:before="98" w:line="188" w:lineRule="auto"/>
              <w:ind w:left="27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024094DA">
            <w:pPr>
              <w:pStyle w:val="6"/>
              <w:spacing w:before="67" w:line="206" w:lineRule="auto"/>
              <w:ind w:left="104"/>
              <w:rPr>
                <w:sz w:val="18"/>
                <w:szCs w:val="18"/>
              </w:rPr>
            </w:pPr>
            <w:r>
              <w:rPr>
                <w:spacing w:val="-6"/>
                <w:sz w:val="18"/>
                <w:szCs w:val="18"/>
              </w:rPr>
              <w:t>正常</w:t>
            </w:r>
          </w:p>
        </w:tc>
        <w:tc>
          <w:tcPr>
            <w:tcW w:w="877" w:type="dxa"/>
            <w:vAlign w:val="top"/>
          </w:tcPr>
          <w:p w14:paraId="37F012F0">
            <w:pPr>
              <w:spacing w:before="98"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3AFC218B">
            <w:pPr>
              <w:rPr>
                <w:rFonts w:ascii="Arial"/>
                <w:sz w:val="21"/>
              </w:rPr>
            </w:pPr>
          </w:p>
        </w:tc>
        <w:tc>
          <w:tcPr>
            <w:tcW w:w="812" w:type="dxa"/>
            <w:vAlign w:val="top"/>
          </w:tcPr>
          <w:p w14:paraId="726EF3E6">
            <w:pPr>
              <w:rPr>
                <w:rFonts w:ascii="Arial"/>
                <w:sz w:val="21"/>
              </w:rPr>
            </w:pPr>
          </w:p>
        </w:tc>
        <w:tc>
          <w:tcPr>
            <w:tcW w:w="851" w:type="dxa"/>
            <w:vAlign w:val="top"/>
          </w:tcPr>
          <w:p w14:paraId="68D315D7">
            <w:pPr>
              <w:spacing w:before="98"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2E1339A0">
            <w:pPr>
              <w:rPr>
                <w:rFonts w:ascii="Arial"/>
                <w:sz w:val="21"/>
              </w:rPr>
            </w:pPr>
          </w:p>
        </w:tc>
      </w:tr>
      <w:tr w14:paraId="0D5279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35" w:type="dxa"/>
            <w:tcBorders>
              <w:left w:val="nil"/>
            </w:tcBorders>
            <w:vAlign w:val="top"/>
          </w:tcPr>
          <w:p w14:paraId="111AFA7A">
            <w:pPr>
              <w:spacing w:before="98"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DA013</w:t>
            </w:r>
          </w:p>
        </w:tc>
        <w:tc>
          <w:tcPr>
            <w:tcW w:w="2445" w:type="dxa"/>
            <w:vAlign w:val="top"/>
          </w:tcPr>
          <w:p w14:paraId="24269D9A">
            <w:pPr>
              <w:pStyle w:val="6"/>
              <w:spacing w:before="67" w:line="205" w:lineRule="auto"/>
              <w:ind w:left="236"/>
              <w:rPr>
                <w:sz w:val="18"/>
                <w:szCs w:val="18"/>
              </w:rPr>
            </w:pPr>
            <w:r>
              <w:rPr>
                <w:spacing w:val="-1"/>
                <w:sz w:val="18"/>
                <w:szCs w:val="18"/>
              </w:rPr>
              <w:t>锰硅出铁出渣及浇铸烟气</w:t>
            </w:r>
          </w:p>
        </w:tc>
        <w:tc>
          <w:tcPr>
            <w:tcW w:w="714" w:type="dxa"/>
            <w:vAlign w:val="top"/>
          </w:tcPr>
          <w:p w14:paraId="22626670">
            <w:pPr>
              <w:spacing w:before="98"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144</w:t>
            </w:r>
          </w:p>
        </w:tc>
        <w:tc>
          <w:tcPr>
            <w:tcW w:w="683" w:type="dxa"/>
            <w:vAlign w:val="top"/>
          </w:tcPr>
          <w:p w14:paraId="37677F91">
            <w:pPr>
              <w:spacing w:before="98"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-636</w:t>
            </w:r>
          </w:p>
        </w:tc>
        <w:tc>
          <w:tcPr>
            <w:tcW w:w="1045" w:type="dxa"/>
            <w:vAlign w:val="top"/>
          </w:tcPr>
          <w:p w14:paraId="5567A502">
            <w:pPr>
              <w:spacing w:before="98"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1147</w:t>
            </w:r>
          </w:p>
        </w:tc>
        <w:tc>
          <w:tcPr>
            <w:tcW w:w="776" w:type="dxa"/>
            <w:vAlign w:val="top"/>
          </w:tcPr>
          <w:p w14:paraId="482F8001">
            <w:pPr>
              <w:spacing w:before="98"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73AECC0F">
            <w:pPr>
              <w:spacing w:before="98" w:line="188" w:lineRule="auto"/>
              <w:ind w:left="22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47FA46D5">
            <w:pPr>
              <w:spacing w:before="98" w:line="188" w:lineRule="auto"/>
              <w:ind w:left="9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6×50000</w:t>
            </w:r>
          </w:p>
        </w:tc>
        <w:tc>
          <w:tcPr>
            <w:tcW w:w="759" w:type="dxa"/>
            <w:vAlign w:val="top"/>
          </w:tcPr>
          <w:p w14:paraId="341C27ED">
            <w:pPr>
              <w:spacing w:before="98" w:line="188" w:lineRule="auto"/>
              <w:ind w:left="26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21BAE341">
            <w:pPr>
              <w:spacing w:before="98" w:line="188" w:lineRule="auto"/>
              <w:ind w:left="27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5EA3B394">
            <w:pPr>
              <w:pStyle w:val="6"/>
              <w:spacing w:before="67" w:line="205" w:lineRule="auto"/>
              <w:ind w:left="104"/>
              <w:rPr>
                <w:sz w:val="18"/>
                <w:szCs w:val="18"/>
              </w:rPr>
            </w:pPr>
            <w:r>
              <w:rPr>
                <w:spacing w:val="-6"/>
                <w:sz w:val="18"/>
                <w:szCs w:val="18"/>
              </w:rPr>
              <w:t>正常</w:t>
            </w:r>
          </w:p>
        </w:tc>
        <w:tc>
          <w:tcPr>
            <w:tcW w:w="877" w:type="dxa"/>
            <w:vAlign w:val="top"/>
          </w:tcPr>
          <w:p w14:paraId="7F76120C">
            <w:pPr>
              <w:spacing w:before="98"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491EC32F">
            <w:pPr>
              <w:rPr>
                <w:rFonts w:ascii="Arial"/>
                <w:sz w:val="21"/>
              </w:rPr>
            </w:pPr>
          </w:p>
        </w:tc>
        <w:tc>
          <w:tcPr>
            <w:tcW w:w="812" w:type="dxa"/>
            <w:vAlign w:val="top"/>
          </w:tcPr>
          <w:p w14:paraId="4BC8E049">
            <w:pPr>
              <w:rPr>
                <w:rFonts w:ascii="Arial"/>
                <w:sz w:val="21"/>
              </w:rPr>
            </w:pPr>
          </w:p>
        </w:tc>
        <w:tc>
          <w:tcPr>
            <w:tcW w:w="851" w:type="dxa"/>
            <w:vAlign w:val="top"/>
          </w:tcPr>
          <w:p w14:paraId="639236FB">
            <w:pPr>
              <w:spacing w:before="98"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0BF53E6A">
            <w:pPr>
              <w:rPr>
                <w:rFonts w:ascii="Arial"/>
                <w:sz w:val="21"/>
              </w:rPr>
            </w:pPr>
          </w:p>
        </w:tc>
      </w:tr>
      <w:tr w14:paraId="08AEB4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1" w:hRule="atLeast"/>
        </w:trPr>
        <w:tc>
          <w:tcPr>
            <w:tcW w:w="535" w:type="dxa"/>
            <w:tcBorders>
              <w:left w:val="nil"/>
              <w:bottom w:val="single" w:color="000000" w:sz="10" w:space="0"/>
            </w:tcBorders>
            <w:vAlign w:val="top"/>
          </w:tcPr>
          <w:p w14:paraId="1E431701">
            <w:pPr>
              <w:spacing w:before="99"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DA014</w:t>
            </w:r>
          </w:p>
        </w:tc>
        <w:tc>
          <w:tcPr>
            <w:tcW w:w="2445" w:type="dxa"/>
            <w:tcBorders>
              <w:bottom w:val="single" w:color="000000" w:sz="10" w:space="0"/>
            </w:tcBorders>
            <w:vAlign w:val="top"/>
          </w:tcPr>
          <w:p w14:paraId="5DEE6721">
            <w:pPr>
              <w:pStyle w:val="6"/>
              <w:spacing w:before="70" w:line="218" w:lineRule="auto"/>
              <w:ind w:left="688"/>
              <w:rPr>
                <w:sz w:val="18"/>
                <w:szCs w:val="18"/>
              </w:rPr>
            </w:pPr>
            <w:r>
              <w:rPr>
                <w:spacing w:val="-2"/>
                <w:sz w:val="18"/>
                <w:szCs w:val="18"/>
              </w:rPr>
              <w:t>燃气锅炉废气</w:t>
            </w:r>
          </w:p>
        </w:tc>
        <w:tc>
          <w:tcPr>
            <w:tcW w:w="714" w:type="dxa"/>
            <w:tcBorders>
              <w:bottom w:val="single" w:color="000000" w:sz="10" w:space="0"/>
            </w:tcBorders>
            <w:vAlign w:val="top"/>
          </w:tcPr>
          <w:p w14:paraId="0E735E6F">
            <w:pPr>
              <w:spacing w:before="99"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398</w:t>
            </w:r>
          </w:p>
        </w:tc>
        <w:tc>
          <w:tcPr>
            <w:tcW w:w="683" w:type="dxa"/>
            <w:tcBorders>
              <w:bottom w:val="single" w:color="000000" w:sz="10" w:space="0"/>
            </w:tcBorders>
            <w:vAlign w:val="top"/>
          </w:tcPr>
          <w:p w14:paraId="5E3C1CCB">
            <w:pPr>
              <w:spacing w:before="99"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-192</w:t>
            </w:r>
          </w:p>
        </w:tc>
        <w:tc>
          <w:tcPr>
            <w:tcW w:w="1045" w:type="dxa"/>
            <w:tcBorders>
              <w:bottom w:val="single" w:color="000000" w:sz="10" w:space="0"/>
            </w:tcBorders>
            <w:vAlign w:val="top"/>
          </w:tcPr>
          <w:p w14:paraId="2B07F3C6">
            <w:pPr>
              <w:spacing w:before="99"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1143</w:t>
            </w:r>
          </w:p>
        </w:tc>
        <w:tc>
          <w:tcPr>
            <w:tcW w:w="776" w:type="dxa"/>
            <w:tcBorders>
              <w:bottom w:val="single" w:color="000000" w:sz="10" w:space="0"/>
            </w:tcBorders>
            <w:vAlign w:val="top"/>
          </w:tcPr>
          <w:p w14:paraId="14F2371E">
            <w:pPr>
              <w:spacing w:before="99" w:line="188" w:lineRule="auto"/>
              <w:ind w:left="29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25</w:t>
            </w:r>
          </w:p>
        </w:tc>
        <w:tc>
          <w:tcPr>
            <w:tcW w:w="647" w:type="dxa"/>
            <w:tcBorders>
              <w:bottom w:val="single" w:color="000000" w:sz="10" w:space="0"/>
            </w:tcBorders>
            <w:vAlign w:val="top"/>
          </w:tcPr>
          <w:p w14:paraId="30226AA1">
            <w:pPr>
              <w:spacing w:before="99" w:line="188" w:lineRule="auto"/>
              <w:ind w:left="21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w:t>
            </w:r>
          </w:p>
        </w:tc>
        <w:tc>
          <w:tcPr>
            <w:tcW w:w="832" w:type="dxa"/>
            <w:tcBorders>
              <w:bottom w:val="single" w:color="000000" w:sz="10" w:space="0"/>
            </w:tcBorders>
            <w:vAlign w:val="top"/>
          </w:tcPr>
          <w:p w14:paraId="23757E56">
            <w:pPr>
              <w:spacing w:before="99" w:line="188" w:lineRule="auto"/>
              <w:ind w:left="3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222223.10</w:t>
            </w:r>
          </w:p>
        </w:tc>
        <w:tc>
          <w:tcPr>
            <w:tcW w:w="759" w:type="dxa"/>
            <w:tcBorders>
              <w:bottom w:val="single" w:color="000000" w:sz="10" w:space="0"/>
            </w:tcBorders>
            <w:vAlign w:val="top"/>
          </w:tcPr>
          <w:p w14:paraId="2B3FDB87">
            <w:pPr>
              <w:spacing w:before="99" w:line="188" w:lineRule="auto"/>
              <w:ind w:left="26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tcBorders>
              <w:bottom w:val="single" w:color="000000" w:sz="10" w:space="0"/>
            </w:tcBorders>
            <w:vAlign w:val="top"/>
          </w:tcPr>
          <w:p w14:paraId="5B6048E4">
            <w:pPr>
              <w:spacing w:before="99" w:line="188" w:lineRule="auto"/>
              <w:ind w:left="2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tcBorders>
              <w:bottom w:val="single" w:color="000000" w:sz="10" w:space="0"/>
            </w:tcBorders>
            <w:vAlign w:val="top"/>
          </w:tcPr>
          <w:p w14:paraId="29C9C25A">
            <w:pPr>
              <w:pStyle w:val="6"/>
              <w:spacing w:before="70" w:line="220" w:lineRule="auto"/>
              <w:ind w:left="104"/>
              <w:rPr>
                <w:sz w:val="18"/>
                <w:szCs w:val="18"/>
              </w:rPr>
            </w:pPr>
            <w:r>
              <w:rPr>
                <w:spacing w:val="-6"/>
                <w:sz w:val="18"/>
                <w:szCs w:val="18"/>
              </w:rPr>
              <w:t>正常</w:t>
            </w:r>
          </w:p>
        </w:tc>
        <w:tc>
          <w:tcPr>
            <w:tcW w:w="877" w:type="dxa"/>
            <w:tcBorders>
              <w:bottom w:val="single" w:color="000000" w:sz="10" w:space="0"/>
            </w:tcBorders>
            <w:vAlign w:val="top"/>
          </w:tcPr>
          <w:p w14:paraId="0C2C1BB9">
            <w:pPr>
              <w:spacing w:before="99"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0.58</w:t>
            </w:r>
          </w:p>
        </w:tc>
        <w:tc>
          <w:tcPr>
            <w:tcW w:w="826" w:type="dxa"/>
            <w:tcBorders>
              <w:bottom w:val="single" w:color="000000" w:sz="10" w:space="0"/>
            </w:tcBorders>
            <w:vAlign w:val="top"/>
          </w:tcPr>
          <w:p w14:paraId="3558A91E">
            <w:pPr>
              <w:spacing w:before="99" w:line="188" w:lineRule="auto"/>
              <w:ind w:left="25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4.42</w:t>
            </w:r>
          </w:p>
        </w:tc>
        <w:tc>
          <w:tcPr>
            <w:tcW w:w="812" w:type="dxa"/>
            <w:tcBorders>
              <w:bottom w:val="single" w:color="000000" w:sz="10" w:space="0"/>
            </w:tcBorders>
            <w:vAlign w:val="top"/>
          </w:tcPr>
          <w:p w14:paraId="11466D72">
            <w:pPr>
              <w:spacing w:before="99" w:line="188" w:lineRule="auto"/>
              <w:ind w:left="22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17.33</w:t>
            </w:r>
          </w:p>
        </w:tc>
        <w:tc>
          <w:tcPr>
            <w:tcW w:w="851" w:type="dxa"/>
            <w:tcBorders>
              <w:bottom w:val="single" w:color="000000" w:sz="10" w:space="0"/>
            </w:tcBorders>
            <w:vAlign w:val="top"/>
          </w:tcPr>
          <w:p w14:paraId="08A4740B">
            <w:pPr>
              <w:spacing w:before="99"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10.19</w:t>
            </w:r>
          </w:p>
        </w:tc>
        <w:tc>
          <w:tcPr>
            <w:tcW w:w="759" w:type="dxa"/>
            <w:tcBorders>
              <w:bottom w:val="single" w:color="000000" w:sz="10" w:space="0"/>
              <w:right w:val="nil"/>
            </w:tcBorders>
            <w:vAlign w:val="top"/>
          </w:tcPr>
          <w:p w14:paraId="568A7BF3">
            <w:pPr>
              <w:spacing w:before="99"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0.56</w:t>
            </w:r>
          </w:p>
        </w:tc>
      </w:tr>
    </w:tbl>
    <w:p w14:paraId="65139734">
      <w:pPr>
        <w:spacing w:before="30" w:line="227" w:lineRule="auto"/>
        <w:ind w:left="5605"/>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7"/>
          <w:sz w:val="20"/>
          <w:szCs w:val="20"/>
        </w:rPr>
        <w:t xml:space="preserve"> </w:t>
      </w:r>
      <w:r>
        <w:rPr>
          <w:rFonts w:ascii="Times New Roman" w:hAnsi="Times New Roman" w:eastAsia="Times New Roman" w:cs="Times New Roman"/>
          <w:b/>
          <w:bCs/>
          <w:spacing w:val="4"/>
          <w:sz w:val="20"/>
          <w:szCs w:val="20"/>
        </w:rPr>
        <w:t xml:space="preserve">1.6-5        </w:t>
      </w:r>
      <w:r>
        <w:rPr>
          <w:rFonts w:ascii="宋体" w:hAnsi="宋体" w:eastAsia="宋体" w:cs="宋体"/>
          <w:b/>
          <w:bCs/>
          <w:spacing w:val="4"/>
          <w:sz w:val="20"/>
          <w:szCs w:val="20"/>
        </w:rPr>
        <w:t>本项目面源参数表</w:t>
      </w:r>
    </w:p>
    <w:p w14:paraId="71C3D5B3">
      <w:pPr>
        <w:spacing w:line="133" w:lineRule="exact"/>
      </w:pPr>
    </w:p>
    <w:tbl>
      <w:tblPr>
        <w:tblStyle w:val="5"/>
        <w:tblW w:w="13998"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0"/>
        <w:gridCol w:w="2367"/>
        <w:gridCol w:w="882"/>
        <w:gridCol w:w="835"/>
        <w:gridCol w:w="955"/>
        <w:gridCol w:w="899"/>
        <w:gridCol w:w="936"/>
        <w:gridCol w:w="882"/>
        <w:gridCol w:w="1151"/>
        <w:gridCol w:w="899"/>
        <w:gridCol w:w="650"/>
        <w:gridCol w:w="871"/>
        <w:gridCol w:w="1502"/>
        <w:gridCol w:w="939"/>
      </w:tblGrid>
      <w:tr w14:paraId="536DAD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230" w:type="dxa"/>
            <w:vMerge w:val="restart"/>
            <w:tcBorders>
              <w:top w:val="single" w:color="000000" w:sz="10" w:space="0"/>
              <w:left w:val="nil"/>
              <w:bottom w:val="nil"/>
            </w:tcBorders>
            <w:textDirection w:val="tbRlV"/>
            <w:vAlign w:val="top"/>
          </w:tcPr>
          <w:p w14:paraId="5CBEAADF">
            <w:pPr>
              <w:pStyle w:val="6"/>
              <w:spacing w:before="11" w:line="214" w:lineRule="auto"/>
              <w:ind w:left="40"/>
              <w:rPr>
                <w:sz w:val="20"/>
                <w:szCs w:val="20"/>
              </w:rPr>
            </w:pPr>
            <w:r>
              <w:rPr>
                <w:spacing w:val="8"/>
                <w:sz w:val="20"/>
                <w:szCs w:val="20"/>
              </w:rPr>
              <w:t>编</w:t>
            </w:r>
            <w:r>
              <w:rPr>
                <w:spacing w:val="-37"/>
                <w:sz w:val="20"/>
                <w:szCs w:val="20"/>
              </w:rPr>
              <w:t xml:space="preserve"> </w:t>
            </w:r>
            <w:r>
              <w:rPr>
                <w:spacing w:val="8"/>
                <w:sz w:val="20"/>
                <w:szCs w:val="20"/>
              </w:rPr>
              <w:t>号</w:t>
            </w:r>
          </w:p>
        </w:tc>
        <w:tc>
          <w:tcPr>
            <w:tcW w:w="2367" w:type="dxa"/>
            <w:vMerge w:val="restart"/>
            <w:tcBorders>
              <w:top w:val="single" w:color="000000" w:sz="10" w:space="0"/>
              <w:bottom w:val="nil"/>
            </w:tcBorders>
            <w:vAlign w:val="top"/>
          </w:tcPr>
          <w:p w14:paraId="33DA473D">
            <w:pPr>
              <w:pStyle w:val="6"/>
              <w:spacing w:before="175" w:line="230" w:lineRule="auto"/>
              <w:ind w:left="980"/>
              <w:rPr>
                <w:sz w:val="20"/>
                <w:szCs w:val="20"/>
              </w:rPr>
            </w:pPr>
            <w:r>
              <w:rPr>
                <w:spacing w:val="3"/>
                <w:sz w:val="20"/>
                <w:szCs w:val="20"/>
              </w:rPr>
              <w:t>名称</w:t>
            </w:r>
          </w:p>
        </w:tc>
        <w:tc>
          <w:tcPr>
            <w:tcW w:w="1717" w:type="dxa"/>
            <w:gridSpan w:val="2"/>
            <w:tcBorders>
              <w:top w:val="single" w:color="000000" w:sz="10" w:space="0"/>
            </w:tcBorders>
            <w:vAlign w:val="top"/>
          </w:tcPr>
          <w:p w14:paraId="4042123F">
            <w:pPr>
              <w:pStyle w:val="6"/>
              <w:spacing w:before="36" w:line="215" w:lineRule="auto"/>
              <w:ind w:left="18"/>
              <w:rPr>
                <w:rFonts w:ascii="Times New Roman" w:hAnsi="Times New Roman" w:eastAsia="Times New Roman" w:cs="Times New Roman"/>
                <w:sz w:val="20"/>
                <w:szCs w:val="20"/>
              </w:rPr>
            </w:pPr>
            <w:r>
              <w:rPr>
                <w:spacing w:val="7"/>
                <w:sz w:val="20"/>
                <w:szCs w:val="20"/>
              </w:rPr>
              <w:t>面源中心点坐标</w:t>
            </w:r>
            <w:r>
              <w:rPr>
                <w:rFonts w:ascii="Times New Roman" w:hAnsi="Times New Roman" w:eastAsia="Times New Roman" w:cs="Times New Roman"/>
                <w:spacing w:val="7"/>
                <w:sz w:val="20"/>
                <w:szCs w:val="20"/>
              </w:rPr>
              <w:t>/m</w:t>
            </w:r>
          </w:p>
        </w:tc>
        <w:tc>
          <w:tcPr>
            <w:tcW w:w="955" w:type="dxa"/>
            <w:vMerge w:val="restart"/>
            <w:tcBorders>
              <w:top w:val="single" w:color="000000" w:sz="10" w:space="0"/>
              <w:bottom w:val="nil"/>
            </w:tcBorders>
            <w:vAlign w:val="top"/>
          </w:tcPr>
          <w:p w14:paraId="7807C4F0">
            <w:pPr>
              <w:pStyle w:val="6"/>
              <w:spacing w:before="39" w:line="235" w:lineRule="auto"/>
              <w:ind w:left="167" w:right="58" w:hanging="105"/>
              <w:rPr>
                <w:rFonts w:ascii="Times New Roman" w:hAnsi="Times New Roman" w:eastAsia="Times New Roman" w:cs="Times New Roman"/>
                <w:sz w:val="20"/>
                <w:szCs w:val="20"/>
              </w:rPr>
            </w:pPr>
            <w:r>
              <w:rPr>
                <w:spacing w:val="7"/>
                <w:sz w:val="20"/>
                <w:szCs w:val="20"/>
              </w:rPr>
              <w:t>面源海拔</w:t>
            </w:r>
            <w:r>
              <w:rPr>
                <w:sz w:val="20"/>
                <w:szCs w:val="20"/>
              </w:rPr>
              <w:t xml:space="preserve"> </w:t>
            </w:r>
            <w:r>
              <w:rPr>
                <w:spacing w:val="3"/>
                <w:sz w:val="20"/>
                <w:szCs w:val="20"/>
              </w:rPr>
              <w:t>高度</w:t>
            </w:r>
            <w:r>
              <w:rPr>
                <w:rFonts w:ascii="Times New Roman" w:hAnsi="Times New Roman" w:eastAsia="Times New Roman" w:cs="Times New Roman"/>
                <w:spacing w:val="3"/>
                <w:sz w:val="20"/>
                <w:szCs w:val="20"/>
              </w:rPr>
              <w:t>/m</w:t>
            </w:r>
          </w:p>
        </w:tc>
        <w:tc>
          <w:tcPr>
            <w:tcW w:w="899" w:type="dxa"/>
            <w:vMerge w:val="restart"/>
            <w:tcBorders>
              <w:top w:val="single" w:color="000000" w:sz="10" w:space="0"/>
              <w:bottom w:val="nil"/>
            </w:tcBorders>
            <w:vAlign w:val="top"/>
          </w:tcPr>
          <w:p w14:paraId="6DDBA764">
            <w:pPr>
              <w:pStyle w:val="6"/>
              <w:spacing w:before="54" w:line="242" w:lineRule="auto"/>
              <w:ind w:left="334" w:right="28" w:hanging="298"/>
              <w:rPr>
                <w:rFonts w:ascii="Times New Roman" w:hAnsi="Times New Roman" w:eastAsia="Times New Roman" w:cs="Times New Roman"/>
                <w:sz w:val="20"/>
                <w:szCs w:val="20"/>
              </w:rPr>
            </w:pPr>
            <w:r>
              <w:rPr>
                <w:spacing w:val="7"/>
                <w:sz w:val="20"/>
                <w:szCs w:val="20"/>
              </w:rPr>
              <w:t>面源长度</w:t>
            </w:r>
            <w:r>
              <w:rPr>
                <w:sz w:val="20"/>
                <w:szCs w:val="20"/>
              </w:rPr>
              <w:t xml:space="preserve"> </w:t>
            </w:r>
            <w:r>
              <w:rPr>
                <w:rFonts w:ascii="Times New Roman" w:hAnsi="Times New Roman" w:eastAsia="Times New Roman" w:cs="Times New Roman"/>
                <w:spacing w:val="4"/>
                <w:sz w:val="20"/>
                <w:szCs w:val="20"/>
              </w:rPr>
              <w:t>/m</w:t>
            </w:r>
          </w:p>
        </w:tc>
        <w:tc>
          <w:tcPr>
            <w:tcW w:w="936" w:type="dxa"/>
            <w:vMerge w:val="restart"/>
            <w:tcBorders>
              <w:top w:val="single" w:color="000000" w:sz="10" w:space="0"/>
              <w:bottom w:val="nil"/>
            </w:tcBorders>
            <w:vAlign w:val="top"/>
          </w:tcPr>
          <w:p w14:paraId="4CB4DCBE">
            <w:pPr>
              <w:pStyle w:val="6"/>
              <w:spacing w:before="54" w:line="242" w:lineRule="auto"/>
              <w:ind w:left="354" w:right="47" w:hanging="300"/>
              <w:rPr>
                <w:rFonts w:ascii="Times New Roman" w:hAnsi="Times New Roman" w:eastAsia="Times New Roman" w:cs="Times New Roman"/>
                <w:sz w:val="20"/>
                <w:szCs w:val="20"/>
              </w:rPr>
            </w:pPr>
            <w:r>
              <w:rPr>
                <w:spacing w:val="7"/>
                <w:sz w:val="20"/>
                <w:szCs w:val="20"/>
              </w:rPr>
              <w:t>面源宽度</w:t>
            </w:r>
            <w:r>
              <w:rPr>
                <w:sz w:val="20"/>
                <w:szCs w:val="20"/>
              </w:rPr>
              <w:t xml:space="preserve"> </w:t>
            </w:r>
            <w:r>
              <w:rPr>
                <w:rFonts w:ascii="Times New Roman" w:hAnsi="Times New Roman" w:eastAsia="Times New Roman" w:cs="Times New Roman"/>
                <w:spacing w:val="4"/>
                <w:sz w:val="20"/>
                <w:szCs w:val="20"/>
              </w:rPr>
              <w:t>/m</w:t>
            </w:r>
          </w:p>
        </w:tc>
        <w:tc>
          <w:tcPr>
            <w:tcW w:w="882" w:type="dxa"/>
            <w:vMerge w:val="restart"/>
            <w:tcBorders>
              <w:top w:val="single" w:color="000000" w:sz="10" w:space="0"/>
              <w:bottom w:val="nil"/>
            </w:tcBorders>
            <w:vAlign w:val="top"/>
          </w:tcPr>
          <w:p w14:paraId="7A5B874D">
            <w:pPr>
              <w:pStyle w:val="6"/>
              <w:spacing w:before="39" w:line="235" w:lineRule="auto"/>
              <w:ind w:left="167" w:right="20" w:hanging="136"/>
              <w:rPr>
                <w:rFonts w:ascii="Times New Roman" w:hAnsi="Times New Roman" w:eastAsia="Times New Roman" w:cs="Times New Roman"/>
                <w:sz w:val="20"/>
                <w:szCs w:val="20"/>
              </w:rPr>
            </w:pPr>
            <w:r>
              <w:rPr>
                <w:spacing w:val="6"/>
                <w:sz w:val="20"/>
                <w:szCs w:val="20"/>
              </w:rPr>
              <w:t>与正北向</w:t>
            </w:r>
            <w:r>
              <w:rPr>
                <w:sz w:val="20"/>
                <w:szCs w:val="20"/>
              </w:rPr>
              <w:t xml:space="preserve"> </w:t>
            </w:r>
            <w:r>
              <w:rPr>
                <w:spacing w:val="3"/>
                <w:sz w:val="20"/>
                <w:szCs w:val="20"/>
              </w:rPr>
              <w:t>夹角</w:t>
            </w:r>
            <w:r>
              <w:rPr>
                <w:rFonts w:ascii="Times New Roman" w:hAnsi="Times New Roman" w:eastAsia="Times New Roman" w:cs="Times New Roman"/>
                <w:spacing w:val="3"/>
                <w:sz w:val="20"/>
                <w:szCs w:val="20"/>
              </w:rPr>
              <w:t>/°</w:t>
            </w:r>
          </w:p>
        </w:tc>
        <w:tc>
          <w:tcPr>
            <w:tcW w:w="1151" w:type="dxa"/>
            <w:vMerge w:val="restart"/>
            <w:tcBorders>
              <w:top w:val="single" w:color="000000" w:sz="10" w:space="0"/>
              <w:bottom w:val="nil"/>
            </w:tcBorders>
            <w:vAlign w:val="top"/>
          </w:tcPr>
          <w:p w14:paraId="68772890">
            <w:pPr>
              <w:pStyle w:val="6"/>
              <w:spacing w:before="39" w:line="235" w:lineRule="auto"/>
              <w:ind w:left="154" w:right="50" w:hanging="99"/>
              <w:rPr>
                <w:rFonts w:ascii="Times New Roman" w:hAnsi="Times New Roman" w:eastAsia="Times New Roman" w:cs="Times New Roman"/>
                <w:sz w:val="20"/>
                <w:szCs w:val="20"/>
              </w:rPr>
            </w:pPr>
            <w:r>
              <w:rPr>
                <w:spacing w:val="7"/>
                <w:sz w:val="20"/>
                <w:szCs w:val="20"/>
              </w:rPr>
              <w:t>面源有效排</w:t>
            </w:r>
            <w:r>
              <w:rPr>
                <w:spacing w:val="3"/>
                <w:sz w:val="20"/>
                <w:szCs w:val="20"/>
              </w:rPr>
              <w:t xml:space="preserve"> </w:t>
            </w:r>
            <w:r>
              <w:rPr>
                <w:spacing w:val="5"/>
                <w:sz w:val="20"/>
                <w:szCs w:val="20"/>
              </w:rPr>
              <w:t>放高度</w:t>
            </w:r>
            <w:r>
              <w:rPr>
                <w:rFonts w:ascii="Times New Roman" w:hAnsi="Times New Roman" w:eastAsia="Times New Roman" w:cs="Times New Roman"/>
                <w:spacing w:val="5"/>
                <w:sz w:val="20"/>
                <w:szCs w:val="20"/>
              </w:rPr>
              <w:t>/m</w:t>
            </w:r>
          </w:p>
        </w:tc>
        <w:tc>
          <w:tcPr>
            <w:tcW w:w="899" w:type="dxa"/>
            <w:vMerge w:val="restart"/>
            <w:tcBorders>
              <w:top w:val="single" w:color="000000" w:sz="10" w:space="0"/>
              <w:bottom w:val="nil"/>
            </w:tcBorders>
            <w:vAlign w:val="top"/>
          </w:tcPr>
          <w:p w14:paraId="657C2273">
            <w:pPr>
              <w:pStyle w:val="6"/>
              <w:spacing w:before="39" w:line="235" w:lineRule="auto"/>
              <w:ind w:left="172" w:right="30" w:hanging="138"/>
              <w:rPr>
                <w:rFonts w:ascii="Times New Roman" w:hAnsi="Times New Roman" w:eastAsia="Times New Roman" w:cs="Times New Roman"/>
                <w:sz w:val="20"/>
                <w:szCs w:val="20"/>
              </w:rPr>
            </w:pPr>
            <w:r>
              <w:rPr>
                <w:spacing w:val="7"/>
                <w:sz w:val="20"/>
                <w:szCs w:val="20"/>
              </w:rPr>
              <w:t>年排放小</w:t>
            </w:r>
            <w:r>
              <w:rPr>
                <w:sz w:val="20"/>
                <w:szCs w:val="20"/>
              </w:rPr>
              <w:t xml:space="preserve"> </w:t>
            </w:r>
            <w:r>
              <w:rPr>
                <w:spacing w:val="2"/>
                <w:sz w:val="20"/>
                <w:szCs w:val="20"/>
              </w:rPr>
              <w:t>时数</w:t>
            </w:r>
            <w:r>
              <w:rPr>
                <w:rFonts w:ascii="Times New Roman" w:hAnsi="Times New Roman" w:eastAsia="Times New Roman" w:cs="Times New Roman"/>
                <w:spacing w:val="2"/>
                <w:sz w:val="20"/>
                <w:szCs w:val="20"/>
              </w:rPr>
              <w:t>/h</w:t>
            </w:r>
          </w:p>
        </w:tc>
        <w:tc>
          <w:tcPr>
            <w:tcW w:w="650" w:type="dxa"/>
            <w:vMerge w:val="restart"/>
            <w:tcBorders>
              <w:top w:val="single" w:color="000000" w:sz="10" w:space="0"/>
              <w:bottom w:val="nil"/>
            </w:tcBorders>
            <w:vAlign w:val="top"/>
          </w:tcPr>
          <w:p w14:paraId="0ECF8110">
            <w:pPr>
              <w:pStyle w:val="6"/>
              <w:spacing w:before="39" w:line="235" w:lineRule="auto"/>
              <w:ind w:left="123" w:right="113" w:hanging="2"/>
              <w:rPr>
                <w:sz w:val="20"/>
                <w:szCs w:val="20"/>
              </w:rPr>
            </w:pPr>
            <w:r>
              <w:rPr>
                <w:spacing w:val="4"/>
                <w:sz w:val="20"/>
                <w:szCs w:val="20"/>
              </w:rPr>
              <w:t>排放</w:t>
            </w:r>
            <w:r>
              <w:rPr>
                <w:sz w:val="20"/>
                <w:szCs w:val="20"/>
              </w:rPr>
              <w:t xml:space="preserve"> </w:t>
            </w:r>
            <w:r>
              <w:rPr>
                <w:spacing w:val="3"/>
                <w:sz w:val="20"/>
                <w:szCs w:val="20"/>
              </w:rPr>
              <w:t>工况</w:t>
            </w:r>
          </w:p>
        </w:tc>
        <w:tc>
          <w:tcPr>
            <w:tcW w:w="3312" w:type="dxa"/>
            <w:gridSpan w:val="3"/>
            <w:tcBorders>
              <w:top w:val="single" w:color="000000" w:sz="10" w:space="0"/>
              <w:right w:val="nil"/>
            </w:tcBorders>
            <w:vAlign w:val="top"/>
          </w:tcPr>
          <w:p w14:paraId="6C20092E">
            <w:pPr>
              <w:pStyle w:val="6"/>
              <w:spacing w:before="36" w:line="215" w:lineRule="auto"/>
              <w:ind w:left="505"/>
              <w:rPr>
                <w:sz w:val="20"/>
                <w:szCs w:val="20"/>
              </w:rPr>
            </w:pPr>
            <w:r>
              <w:rPr>
                <w:spacing w:val="7"/>
                <w:sz w:val="20"/>
                <w:szCs w:val="20"/>
              </w:rPr>
              <w:t>污染物排放速率</w:t>
            </w:r>
            <w:r>
              <w:rPr>
                <w:rFonts w:ascii="Times New Roman" w:hAnsi="Times New Roman" w:eastAsia="Times New Roman" w:cs="Times New Roman"/>
                <w:spacing w:val="7"/>
                <w:sz w:val="20"/>
                <w:szCs w:val="20"/>
              </w:rPr>
              <w:t>/</w:t>
            </w:r>
            <w:r>
              <w:rPr>
                <w:spacing w:val="7"/>
                <w:sz w:val="20"/>
                <w:szCs w:val="20"/>
              </w:rPr>
              <w:t>（</w:t>
            </w:r>
            <w:r>
              <w:rPr>
                <w:rFonts w:ascii="Times New Roman" w:hAnsi="Times New Roman" w:eastAsia="Times New Roman" w:cs="Times New Roman"/>
                <w:sz w:val="20"/>
                <w:szCs w:val="20"/>
              </w:rPr>
              <w:t>kg</w:t>
            </w:r>
            <w:r>
              <w:rPr>
                <w:rFonts w:ascii="Times New Roman" w:hAnsi="Times New Roman" w:eastAsia="Times New Roman" w:cs="Times New Roman"/>
                <w:spacing w:val="7"/>
                <w:sz w:val="20"/>
                <w:szCs w:val="20"/>
              </w:rPr>
              <w:t>/h</w:t>
            </w:r>
            <w:r>
              <w:rPr>
                <w:spacing w:val="7"/>
                <w:sz w:val="20"/>
                <w:szCs w:val="20"/>
              </w:rPr>
              <w:t>）</w:t>
            </w:r>
          </w:p>
        </w:tc>
      </w:tr>
      <w:tr w14:paraId="186E3D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30" w:type="dxa"/>
            <w:vMerge w:val="continue"/>
            <w:tcBorders>
              <w:top w:val="nil"/>
              <w:left w:val="nil"/>
            </w:tcBorders>
            <w:textDirection w:val="tbRlV"/>
            <w:vAlign w:val="top"/>
          </w:tcPr>
          <w:p w14:paraId="71C204EE">
            <w:pPr>
              <w:spacing w:line="227" w:lineRule="exact"/>
              <w:rPr>
                <w:rFonts w:ascii="Arial"/>
                <w:sz w:val="19"/>
              </w:rPr>
            </w:pPr>
          </w:p>
        </w:tc>
        <w:tc>
          <w:tcPr>
            <w:tcW w:w="2367" w:type="dxa"/>
            <w:vMerge w:val="continue"/>
            <w:tcBorders>
              <w:top w:val="nil"/>
            </w:tcBorders>
            <w:vAlign w:val="top"/>
          </w:tcPr>
          <w:p w14:paraId="07036FE6">
            <w:pPr>
              <w:rPr>
                <w:rFonts w:ascii="Arial"/>
                <w:sz w:val="21"/>
              </w:rPr>
            </w:pPr>
          </w:p>
        </w:tc>
        <w:tc>
          <w:tcPr>
            <w:tcW w:w="882" w:type="dxa"/>
            <w:vAlign w:val="top"/>
          </w:tcPr>
          <w:p w14:paraId="6C02B441">
            <w:pPr>
              <w:spacing w:before="74" w:line="192"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X</w:t>
            </w:r>
          </w:p>
        </w:tc>
        <w:tc>
          <w:tcPr>
            <w:tcW w:w="835" w:type="dxa"/>
            <w:vAlign w:val="top"/>
          </w:tcPr>
          <w:p w14:paraId="6CA3D397">
            <w:pPr>
              <w:spacing w:before="74" w:line="192" w:lineRule="auto"/>
              <w:ind w:left="34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Y</w:t>
            </w:r>
          </w:p>
        </w:tc>
        <w:tc>
          <w:tcPr>
            <w:tcW w:w="955" w:type="dxa"/>
            <w:vMerge w:val="continue"/>
            <w:tcBorders>
              <w:top w:val="nil"/>
            </w:tcBorders>
            <w:vAlign w:val="top"/>
          </w:tcPr>
          <w:p w14:paraId="2F703920">
            <w:pPr>
              <w:rPr>
                <w:rFonts w:ascii="Arial"/>
                <w:sz w:val="21"/>
              </w:rPr>
            </w:pPr>
          </w:p>
        </w:tc>
        <w:tc>
          <w:tcPr>
            <w:tcW w:w="899" w:type="dxa"/>
            <w:vMerge w:val="continue"/>
            <w:tcBorders>
              <w:top w:val="nil"/>
            </w:tcBorders>
            <w:vAlign w:val="top"/>
          </w:tcPr>
          <w:p w14:paraId="4787D90E">
            <w:pPr>
              <w:rPr>
                <w:rFonts w:ascii="Arial"/>
                <w:sz w:val="21"/>
              </w:rPr>
            </w:pPr>
          </w:p>
        </w:tc>
        <w:tc>
          <w:tcPr>
            <w:tcW w:w="936" w:type="dxa"/>
            <w:vMerge w:val="continue"/>
            <w:tcBorders>
              <w:top w:val="nil"/>
            </w:tcBorders>
            <w:vAlign w:val="top"/>
          </w:tcPr>
          <w:p w14:paraId="4EE4E292">
            <w:pPr>
              <w:rPr>
                <w:rFonts w:ascii="Arial"/>
                <w:sz w:val="21"/>
              </w:rPr>
            </w:pPr>
          </w:p>
        </w:tc>
        <w:tc>
          <w:tcPr>
            <w:tcW w:w="882" w:type="dxa"/>
            <w:vMerge w:val="continue"/>
            <w:tcBorders>
              <w:top w:val="nil"/>
            </w:tcBorders>
            <w:vAlign w:val="top"/>
          </w:tcPr>
          <w:p w14:paraId="61FB6FA0">
            <w:pPr>
              <w:rPr>
                <w:rFonts w:ascii="Arial"/>
                <w:sz w:val="21"/>
              </w:rPr>
            </w:pPr>
          </w:p>
        </w:tc>
        <w:tc>
          <w:tcPr>
            <w:tcW w:w="1151" w:type="dxa"/>
            <w:vMerge w:val="continue"/>
            <w:tcBorders>
              <w:top w:val="nil"/>
            </w:tcBorders>
            <w:vAlign w:val="top"/>
          </w:tcPr>
          <w:p w14:paraId="0643538B">
            <w:pPr>
              <w:rPr>
                <w:rFonts w:ascii="Arial"/>
                <w:sz w:val="21"/>
              </w:rPr>
            </w:pPr>
          </w:p>
        </w:tc>
        <w:tc>
          <w:tcPr>
            <w:tcW w:w="899" w:type="dxa"/>
            <w:vMerge w:val="continue"/>
            <w:tcBorders>
              <w:top w:val="nil"/>
            </w:tcBorders>
            <w:vAlign w:val="top"/>
          </w:tcPr>
          <w:p w14:paraId="5148199B">
            <w:pPr>
              <w:rPr>
                <w:rFonts w:ascii="Arial"/>
                <w:sz w:val="21"/>
              </w:rPr>
            </w:pPr>
          </w:p>
        </w:tc>
        <w:tc>
          <w:tcPr>
            <w:tcW w:w="650" w:type="dxa"/>
            <w:vMerge w:val="continue"/>
            <w:tcBorders>
              <w:top w:val="nil"/>
            </w:tcBorders>
            <w:vAlign w:val="top"/>
          </w:tcPr>
          <w:p w14:paraId="53299F2E">
            <w:pPr>
              <w:rPr>
                <w:rFonts w:ascii="Arial"/>
                <w:sz w:val="21"/>
              </w:rPr>
            </w:pPr>
          </w:p>
        </w:tc>
        <w:tc>
          <w:tcPr>
            <w:tcW w:w="871" w:type="dxa"/>
            <w:vAlign w:val="top"/>
          </w:tcPr>
          <w:p w14:paraId="37CB742C">
            <w:pPr>
              <w:pStyle w:val="6"/>
              <w:spacing w:before="35" w:line="212" w:lineRule="auto"/>
              <w:ind w:left="125"/>
              <w:rPr>
                <w:sz w:val="20"/>
                <w:szCs w:val="20"/>
              </w:rPr>
            </w:pPr>
            <w:r>
              <w:rPr>
                <w:spacing w:val="7"/>
                <w:sz w:val="20"/>
                <w:szCs w:val="20"/>
              </w:rPr>
              <w:t>颗粒物</w:t>
            </w:r>
          </w:p>
        </w:tc>
        <w:tc>
          <w:tcPr>
            <w:tcW w:w="1502" w:type="dxa"/>
            <w:vAlign w:val="top"/>
          </w:tcPr>
          <w:p w14:paraId="4DBD5C53">
            <w:pPr>
              <w:pStyle w:val="6"/>
              <w:spacing w:before="35" w:line="212" w:lineRule="auto"/>
              <w:ind w:left="126"/>
              <w:rPr>
                <w:sz w:val="20"/>
                <w:szCs w:val="20"/>
              </w:rPr>
            </w:pPr>
            <w:r>
              <w:rPr>
                <w:spacing w:val="8"/>
                <w:sz w:val="20"/>
                <w:szCs w:val="20"/>
              </w:rPr>
              <w:t>锰及其化合物</w:t>
            </w:r>
          </w:p>
        </w:tc>
        <w:tc>
          <w:tcPr>
            <w:tcW w:w="939" w:type="dxa"/>
            <w:tcBorders>
              <w:right w:val="nil"/>
            </w:tcBorders>
            <w:vAlign w:val="top"/>
          </w:tcPr>
          <w:p w14:paraId="2A052500">
            <w:pPr>
              <w:spacing w:before="82" w:line="190" w:lineRule="auto"/>
              <w:ind w:left="268"/>
              <w:rPr>
                <w:rFonts w:ascii="Times New Roman" w:hAnsi="Times New Roman" w:eastAsia="Times New Roman" w:cs="Times New Roman"/>
                <w:sz w:val="11"/>
                <w:szCs w:val="11"/>
              </w:rPr>
            </w:pPr>
            <w:r>
              <w:rPr>
                <w:rFonts w:ascii="Times New Roman" w:hAnsi="Times New Roman" w:eastAsia="Times New Roman" w:cs="Times New Roman"/>
                <w:sz w:val="18"/>
                <w:szCs w:val="18"/>
              </w:rPr>
              <w:t>PM</w:t>
            </w:r>
            <w:r>
              <w:rPr>
                <w:rFonts w:ascii="Times New Roman" w:hAnsi="Times New Roman" w:eastAsia="Times New Roman" w:cs="Times New Roman"/>
                <w:spacing w:val="1"/>
                <w:position w:val="-1"/>
                <w:sz w:val="11"/>
                <w:szCs w:val="11"/>
              </w:rPr>
              <w:t>2.5</w:t>
            </w:r>
          </w:p>
        </w:tc>
      </w:tr>
      <w:tr w14:paraId="19A6FC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30" w:type="dxa"/>
            <w:tcBorders>
              <w:left w:val="nil"/>
            </w:tcBorders>
            <w:vAlign w:val="top"/>
          </w:tcPr>
          <w:p w14:paraId="7D377EAF">
            <w:pPr>
              <w:spacing w:before="72" w:line="195" w:lineRule="auto"/>
              <w:ind w:left="84"/>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367" w:type="dxa"/>
            <w:vAlign w:val="top"/>
          </w:tcPr>
          <w:p w14:paraId="30A63941">
            <w:pPr>
              <w:pStyle w:val="6"/>
              <w:spacing w:before="36" w:line="211" w:lineRule="auto"/>
              <w:ind w:left="459"/>
              <w:rPr>
                <w:sz w:val="20"/>
                <w:szCs w:val="20"/>
              </w:rPr>
            </w:pPr>
            <w:r>
              <w:rPr>
                <w:spacing w:val="7"/>
                <w:sz w:val="20"/>
                <w:szCs w:val="20"/>
              </w:rPr>
              <w:t>原料大棚无组织</w:t>
            </w:r>
          </w:p>
        </w:tc>
        <w:tc>
          <w:tcPr>
            <w:tcW w:w="882" w:type="dxa"/>
            <w:vAlign w:val="top"/>
          </w:tcPr>
          <w:p w14:paraId="7812C9EF">
            <w:pPr>
              <w:spacing w:before="71" w:line="195"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471</w:t>
            </w:r>
          </w:p>
        </w:tc>
        <w:tc>
          <w:tcPr>
            <w:tcW w:w="835" w:type="dxa"/>
            <w:vAlign w:val="top"/>
          </w:tcPr>
          <w:p w14:paraId="7072FE6F">
            <w:pPr>
              <w:spacing w:before="71"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-378</w:t>
            </w:r>
          </w:p>
        </w:tc>
        <w:tc>
          <w:tcPr>
            <w:tcW w:w="955" w:type="dxa"/>
            <w:vAlign w:val="top"/>
          </w:tcPr>
          <w:p w14:paraId="7B58131D">
            <w:pPr>
              <w:spacing w:before="72"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1141</w:t>
            </w:r>
          </w:p>
        </w:tc>
        <w:tc>
          <w:tcPr>
            <w:tcW w:w="899" w:type="dxa"/>
            <w:vAlign w:val="top"/>
          </w:tcPr>
          <w:p w14:paraId="76D0EE27">
            <w:pPr>
              <w:spacing w:before="71" w:line="195" w:lineRule="auto"/>
              <w:ind w:left="16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623.</w:t>
            </w:r>
            <w:r>
              <w:rPr>
                <w:rFonts w:ascii="Times New Roman" w:hAnsi="Times New Roman" w:eastAsia="Times New Roman" w:cs="Times New Roman"/>
                <w:spacing w:val="-21"/>
                <w:sz w:val="20"/>
                <w:szCs w:val="20"/>
              </w:rPr>
              <w:t xml:space="preserve"> </w:t>
            </w:r>
            <w:r>
              <w:rPr>
                <w:rFonts w:ascii="Times New Roman" w:hAnsi="Times New Roman" w:eastAsia="Times New Roman" w:cs="Times New Roman"/>
                <w:spacing w:val="-2"/>
                <w:sz w:val="20"/>
                <w:szCs w:val="20"/>
              </w:rPr>
              <w:t>12</w:t>
            </w:r>
          </w:p>
        </w:tc>
        <w:tc>
          <w:tcPr>
            <w:tcW w:w="936" w:type="dxa"/>
            <w:vAlign w:val="top"/>
          </w:tcPr>
          <w:p w14:paraId="331E8B47">
            <w:pPr>
              <w:spacing w:before="71" w:line="195" w:lineRule="auto"/>
              <w:ind w:left="369"/>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882" w:type="dxa"/>
            <w:vAlign w:val="top"/>
          </w:tcPr>
          <w:p w14:paraId="29B9C258">
            <w:pPr>
              <w:spacing w:before="71" w:line="195"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6A427484">
            <w:pPr>
              <w:spacing w:before="71" w:line="195" w:lineRule="auto"/>
              <w:ind w:left="3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24.3</w:t>
            </w:r>
          </w:p>
        </w:tc>
        <w:tc>
          <w:tcPr>
            <w:tcW w:w="899" w:type="dxa"/>
            <w:vAlign w:val="top"/>
          </w:tcPr>
          <w:p w14:paraId="076C17E1">
            <w:pPr>
              <w:spacing w:before="71"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8000</w:t>
            </w:r>
          </w:p>
        </w:tc>
        <w:tc>
          <w:tcPr>
            <w:tcW w:w="650" w:type="dxa"/>
            <w:vAlign w:val="top"/>
          </w:tcPr>
          <w:p w14:paraId="4813FEE1">
            <w:pPr>
              <w:pStyle w:val="6"/>
              <w:spacing w:before="36" w:line="211" w:lineRule="auto"/>
              <w:ind w:left="125"/>
              <w:rPr>
                <w:sz w:val="20"/>
                <w:szCs w:val="20"/>
              </w:rPr>
            </w:pPr>
            <w:r>
              <w:rPr>
                <w:spacing w:val="2"/>
                <w:sz w:val="20"/>
                <w:szCs w:val="20"/>
              </w:rPr>
              <w:t>正常</w:t>
            </w:r>
          </w:p>
        </w:tc>
        <w:tc>
          <w:tcPr>
            <w:tcW w:w="871" w:type="dxa"/>
            <w:vAlign w:val="top"/>
          </w:tcPr>
          <w:p w14:paraId="345616EF">
            <w:pPr>
              <w:spacing w:before="71"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0.42</w:t>
            </w:r>
          </w:p>
        </w:tc>
        <w:tc>
          <w:tcPr>
            <w:tcW w:w="1502" w:type="dxa"/>
            <w:vAlign w:val="top"/>
          </w:tcPr>
          <w:p w14:paraId="1E1880C9">
            <w:pPr>
              <w:spacing w:before="68" w:line="199" w:lineRule="auto"/>
              <w:ind w:left="7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39" w:type="dxa"/>
            <w:tcBorders>
              <w:right w:val="nil"/>
            </w:tcBorders>
            <w:vAlign w:val="top"/>
          </w:tcPr>
          <w:p w14:paraId="5CF8755A">
            <w:pPr>
              <w:spacing w:before="71"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0.008</w:t>
            </w:r>
          </w:p>
        </w:tc>
      </w:tr>
      <w:tr w14:paraId="05691A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30" w:type="dxa"/>
            <w:tcBorders>
              <w:left w:val="nil"/>
            </w:tcBorders>
            <w:vAlign w:val="top"/>
          </w:tcPr>
          <w:p w14:paraId="28AB5703">
            <w:pPr>
              <w:spacing w:before="75" w:line="195" w:lineRule="auto"/>
              <w:ind w:left="6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367" w:type="dxa"/>
            <w:vAlign w:val="top"/>
          </w:tcPr>
          <w:p w14:paraId="6D921521">
            <w:pPr>
              <w:pStyle w:val="6"/>
              <w:spacing w:before="39" w:line="208" w:lineRule="auto"/>
              <w:ind w:left="243"/>
              <w:rPr>
                <w:sz w:val="20"/>
                <w:szCs w:val="20"/>
              </w:rPr>
            </w:pPr>
            <w:r>
              <w:rPr>
                <w:spacing w:val="8"/>
                <w:sz w:val="20"/>
                <w:szCs w:val="20"/>
              </w:rPr>
              <w:t>焦炭烘干车间无组织</w:t>
            </w:r>
          </w:p>
        </w:tc>
        <w:tc>
          <w:tcPr>
            <w:tcW w:w="882" w:type="dxa"/>
            <w:vAlign w:val="top"/>
          </w:tcPr>
          <w:p w14:paraId="19CD15E8">
            <w:pPr>
              <w:spacing w:before="75" w:line="195"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401</w:t>
            </w:r>
          </w:p>
        </w:tc>
        <w:tc>
          <w:tcPr>
            <w:tcW w:w="835" w:type="dxa"/>
            <w:vAlign w:val="top"/>
          </w:tcPr>
          <w:p w14:paraId="43910E73">
            <w:pPr>
              <w:spacing w:before="75"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-380</w:t>
            </w:r>
          </w:p>
        </w:tc>
        <w:tc>
          <w:tcPr>
            <w:tcW w:w="955" w:type="dxa"/>
            <w:vAlign w:val="top"/>
          </w:tcPr>
          <w:p w14:paraId="2AF4888F">
            <w:pPr>
              <w:spacing w:before="75"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1144</w:t>
            </w:r>
          </w:p>
        </w:tc>
        <w:tc>
          <w:tcPr>
            <w:tcW w:w="899" w:type="dxa"/>
            <w:vAlign w:val="top"/>
          </w:tcPr>
          <w:p w14:paraId="49CF4FC7">
            <w:pPr>
              <w:spacing w:before="75" w:line="195" w:lineRule="auto"/>
              <w:ind w:left="3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936" w:type="dxa"/>
            <w:vAlign w:val="top"/>
          </w:tcPr>
          <w:p w14:paraId="328217BF">
            <w:pPr>
              <w:spacing w:before="75"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50.4</w:t>
            </w:r>
          </w:p>
        </w:tc>
        <w:tc>
          <w:tcPr>
            <w:tcW w:w="882" w:type="dxa"/>
            <w:vAlign w:val="top"/>
          </w:tcPr>
          <w:p w14:paraId="747D8E86">
            <w:pPr>
              <w:spacing w:before="75" w:line="195"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630BF8E0">
            <w:pPr>
              <w:spacing w:before="75" w:line="195" w:lineRule="auto"/>
              <w:ind w:left="41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17.9</w:t>
            </w:r>
          </w:p>
        </w:tc>
        <w:tc>
          <w:tcPr>
            <w:tcW w:w="899" w:type="dxa"/>
            <w:vAlign w:val="top"/>
          </w:tcPr>
          <w:p w14:paraId="3EE1D22B">
            <w:pPr>
              <w:spacing w:before="75"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8000</w:t>
            </w:r>
          </w:p>
        </w:tc>
        <w:tc>
          <w:tcPr>
            <w:tcW w:w="650" w:type="dxa"/>
            <w:vAlign w:val="top"/>
          </w:tcPr>
          <w:p w14:paraId="362FF82C">
            <w:pPr>
              <w:pStyle w:val="6"/>
              <w:spacing w:before="39" w:line="208" w:lineRule="auto"/>
              <w:ind w:left="125"/>
              <w:rPr>
                <w:sz w:val="20"/>
                <w:szCs w:val="20"/>
              </w:rPr>
            </w:pPr>
            <w:r>
              <w:rPr>
                <w:spacing w:val="2"/>
                <w:sz w:val="20"/>
                <w:szCs w:val="20"/>
              </w:rPr>
              <w:t>正常</w:t>
            </w:r>
          </w:p>
        </w:tc>
        <w:tc>
          <w:tcPr>
            <w:tcW w:w="871" w:type="dxa"/>
            <w:vAlign w:val="top"/>
          </w:tcPr>
          <w:p w14:paraId="511EB899">
            <w:pPr>
              <w:spacing w:before="75"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1502" w:type="dxa"/>
            <w:vAlign w:val="top"/>
          </w:tcPr>
          <w:p w14:paraId="4E0CF167">
            <w:pPr>
              <w:spacing w:before="71" w:line="199" w:lineRule="auto"/>
              <w:ind w:left="7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39" w:type="dxa"/>
            <w:tcBorders>
              <w:right w:val="nil"/>
            </w:tcBorders>
            <w:vAlign w:val="top"/>
          </w:tcPr>
          <w:p w14:paraId="641FC74D">
            <w:pPr>
              <w:spacing w:before="75"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w:t>
            </w:r>
          </w:p>
        </w:tc>
      </w:tr>
      <w:tr w14:paraId="568014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trPr>
        <w:tc>
          <w:tcPr>
            <w:tcW w:w="230" w:type="dxa"/>
            <w:tcBorders>
              <w:left w:val="nil"/>
            </w:tcBorders>
            <w:vAlign w:val="top"/>
          </w:tcPr>
          <w:p w14:paraId="7C1497DA">
            <w:pPr>
              <w:spacing w:before="80" w:line="195" w:lineRule="auto"/>
              <w:ind w:left="68"/>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367" w:type="dxa"/>
            <w:vAlign w:val="top"/>
          </w:tcPr>
          <w:p w14:paraId="6CCB5099">
            <w:pPr>
              <w:pStyle w:val="6"/>
              <w:spacing w:before="44" w:line="209" w:lineRule="auto"/>
              <w:ind w:left="137"/>
              <w:rPr>
                <w:sz w:val="20"/>
                <w:szCs w:val="20"/>
              </w:rPr>
            </w:pPr>
            <w:r>
              <w:rPr>
                <w:spacing w:val="8"/>
                <w:sz w:val="20"/>
                <w:szCs w:val="20"/>
              </w:rPr>
              <w:t>锰矿石烘干车间无组织</w:t>
            </w:r>
          </w:p>
        </w:tc>
        <w:tc>
          <w:tcPr>
            <w:tcW w:w="882" w:type="dxa"/>
            <w:vAlign w:val="top"/>
          </w:tcPr>
          <w:p w14:paraId="7EE453E8">
            <w:pPr>
              <w:spacing w:before="80" w:line="195"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432</w:t>
            </w:r>
          </w:p>
        </w:tc>
        <w:tc>
          <w:tcPr>
            <w:tcW w:w="835" w:type="dxa"/>
            <w:vAlign w:val="top"/>
          </w:tcPr>
          <w:p w14:paraId="5CBE7B67">
            <w:pPr>
              <w:spacing w:before="80"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-539</w:t>
            </w:r>
          </w:p>
        </w:tc>
        <w:tc>
          <w:tcPr>
            <w:tcW w:w="955" w:type="dxa"/>
            <w:vAlign w:val="top"/>
          </w:tcPr>
          <w:p w14:paraId="745F4348">
            <w:pPr>
              <w:spacing w:before="80"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1148</w:t>
            </w:r>
          </w:p>
        </w:tc>
        <w:tc>
          <w:tcPr>
            <w:tcW w:w="899" w:type="dxa"/>
            <w:vAlign w:val="top"/>
          </w:tcPr>
          <w:p w14:paraId="39FB3DBB">
            <w:pPr>
              <w:spacing w:before="80" w:line="195" w:lineRule="auto"/>
              <w:ind w:left="3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936" w:type="dxa"/>
            <w:vAlign w:val="top"/>
          </w:tcPr>
          <w:p w14:paraId="414DDD6D">
            <w:pPr>
              <w:spacing w:before="80"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50.4</w:t>
            </w:r>
          </w:p>
        </w:tc>
        <w:tc>
          <w:tcPr>
            <w:tcW w:w="882" w:type="dxa"/>
            <w:vAlign w:val="top"/>
          </w:tcPr>
          <w:p w14:paraId="4FD2302E">
            <w:pPr>
              <w:spacing w:before="80" w:line="195"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7789CAA6">
            <w:pPr>
              <w:spacing w:before="80" w:line="195" w:lineRule="auto"/>
              <w:ind w:left="41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17.9</w:t>
            </w:r>
          </w:p>
        </w:tc>
        <w:tc>
          <w:tcPr>
            <w:tcW w:w="899" w:type="dxa"/>
            <w:vAlign w:val="top"/>
          </w:tcPr>
          <w:p w14:paraId="778AE5DA">
            <w:pPr>
              <w:spacing w:before="80"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8000</w:t>
            </w:r>
          </w:p>
        </w:tc>
        <w:tc>
          <w:tcPr>
            <w:tcW w:w="650" w:type="dxa"/>
            <w:vAlign w:val="top"/>
          </w:tcPr>
          <w:p w14:paraId="4945F4C1">
            <w:pPr>
              <w:pStyle w:val="6"/>
              <w:spacing w:before="44" w:line="209" w:lineRule="auto"/>
              <w:ind w:left="125"/>
              <w:rPr>
                <w:sz w:val="20"/>
                <w:szCs w:val="20"/>
              </w:rPr>
            </w:pPr>
            <w:r>
              <w:rPr>
                <w:spacing w:val="2"/>
                <w:sz w:val="20"/>
                <w:szCs w:val="20"/>
              </w:rPr>
              <w:t>正常</w:t>
            </w:r>
          </w:p>
        </w:tc>
        <w:tc>
          <w:tcPr>
            <w:tcW w:w="871" w:type="dxa"/>
            <w:vAlign w:val="top"/>
          </w:tcPr>
          <w:p w14:paraId="34954413">
            <w:pPr>
              <w:spacing w:before="80" w:line="195" w:lineRule="auto"/>
              <w:ind w:left="20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0.009</w:t>
            </w:r>
          </w:p>
        </w:tc>
        <w:tc>
          <w:tcPr>
            <w:tcW w:w="1502" w:type="dxa"/>
            <w:vAlign w:val="top"/>
          </w:tcPr>
          <w:p w14:paraId="18872CFA">
            <w:pPr>
              <w:spacing w:before="76" w:line="199" w:lineRule="auto"/>
              <w:ind w:left="7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39" w:type="dxa"/>
            <w:tcBorders>
              <w:right w:val="nil"/>
            </w:tcBorders>
            <w:vAlign w:val="top"/>
          </w:tcPr>
          <w:p w14:paraId="2ABE0EBA">
            <w:pPr>
              <w:spacing w:before="80" w:line="195" w:lineRule="auto"/>
              <w:ind w:left="1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0.0002</w:t>
            </w:r>
          </w:p>
        </w:tc>
      </w:tr>
      <w:tr w14:paraId="09DABD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30" w:type="dxa"/>
            <w:tcBorders>
              <w:left w:val="nil"/>
            </w:tcBorders>
            <w:vAlign w:val="top"/>
          </w:tcPr>
          <w:p w14:paraId="263C761E">
            <w:pPr>
              <w:spacing w:before="81" w:line="192" w:lineRule="auto"/>
              <w:ind w:left="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367" w:type="dxa"/>
            <w:vAlign w:val="top"/>
          </w:tcPr>
          <w:p w14:paraId="5D9567E6">
            <w:pPr>
              <w:pStyle w:val="6"/>
              <w:spacing w:before="43" w:line="204" w:lineRule="auto"/>
              <w:ind w:left="348"/>
              <w:rPr>
                <w:sz w:val="20"/>
                <w:szCs w:val="20"/>
              </w:rPr>
            </w:pPr>
            <w:r>
              <w:rPr>
                <w:spacing w:val="8"/>
                <w:sz w:val="20"/>
                <w:szCs w:val="20"/>
              </w:rPr>
              <w:t>烧结原料库无组织</w:t>
            </w:r>
          </w:p>
        </w:tc>
        <w:tc>
          <w:tcPr>
            <w:tcW w:w="882" w:type="dxa"/>
            <w:vAlign w:val="top"/>
          </w:tcPr>
          <w:p w14:paraId="5550606A">
            <w:pPr>
              <w:spacing w:before="81" w:line="192"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494</w:t>
            </w:r>
          </w:p>
        </w:tc>
        <w:tc>
          <w:tcPr>
            <w:tcW w:w="835" w:type="dxa"/>
            <w:vAlign w:val="top"/>
          </w:tcPr>
          <w:p w14:paraId="5BD65C2D">
            <w:pPr>
              <w:spacing w:before="81" w:line="192"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-517</w:t>
            </w:r>
          </w:p>
        </w:tc>
        <w:tc>
          <w:tcPr>
            <w:tcW w:w="955" w:type="dxa"/>
            <w:vAlign w:val="top"/>
          </w:tcPr>
          <w:p w14:paraId="0C4B5E95">
            <w:pPr>
              <w:spacing w:before="81" w:line="192"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1147</w:t>
            </w:r>
          </w:p>
        </w:tc>
        <w:tc>
          <w:tcPr>
            <w:tcW w:w="899" w:type="dxa"/>
            <w:vAlign w:val="top"/>
          </w:tcPr>
          <w:p w14:paraId="36444976">
            <w:pPr>
              <w:spacing w:before="81" w:line="192"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165</w:t>
            </w:r>
          </w:p>
        </w:tc>
        <w:tc>
          <w:tcPr>
            <w:tcW w:w="936" w:type="dxa"/>
            <w:vAlign w:val="top"/>
          </w:tcPr>
          <w:p w14:paraId="40C92B78">
            <w:pPr>
              <w:spacing w:before="81" w:line="192"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60.6</w:t>
            </w:r>
          </w:p>
        </w:tc>
        <w:tc>
          <w:tcPr>
            <w:tcW w:w="882" w:type="dxa"/>
            <w:vAlign w:val="top"/>
          </w:tcPr>
          <w:p w14:paraId="53B49255">
            <w:pPr>
              <w:spacing w:before="81" w:line="192"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0589D308">
            <w:pPr>
              <w:spacing w:before="81" w:line="192" w:lineRule="auto"/>
              <w:ind w:left="3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21.5</w:t>
            </w:r>
          </w:p>
        </w:tc>
        <w:tc>
          <w:tcPr>
            <w:tcW w:w="899" w:type="dxa"/>
            <w:vAlign w:val="top"/>
          </w:tcPr>
          <w:p w14:paraId="157A05DD">
            <w:pPr>
              <w:spacing w:before="81" w:line="192"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8000</w:t>
            </w:r>
          </w:p>
        </w:tc>
        <w:tc>
          <w:tcPr>
            <w:tcW w:w="650" w:type="dxa"/>
            <w:vAlign w:val="top"/>
          </w:tcPr>
          <w:p w14:paraId="32309444">
            <w:pPr>
              <w:pStyle w:val="6"/>
              <w:spacing w:before="43" w:line="204" w:lineRule="auto"/>
              <w:ind w:left="125"/>
              <w:rPr>
                <w:sz w:val="20"/>
                <w:szCs w:val="20"/>
              </w:rPr>
            </w:pPr>
            <w:r>
              <w:rPr>
                <w:spacing w:val="2"/>
                <w:sz w:val="20"/>
                <w:szCs w:val="20"/>
              </w:rPr>
              <w:t>正常</w:t>
            </w:r>
          </w:p>
        </w:tc>
        <w:tc>
          <w:tcPr>
            <w:tcW w:w="871" w:type="dxa"/>
            <w:vAlign w:val="top"/>
          </w:tcPr>
          <w:p w14:paraId="511906AC">
            <w:pPr>
              <w:spacing w:before="81" w:line="192"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0.39</w:t>
            </w:r>
          </w:p>
        </w:tc>
        <w:tc>
          <w:tcPr>
            <w:tcW w:w="1502" w:type="dxa"/>
            <w:vAlign w:val="top"/>
          </w:tcPr>
          <w:p w14:paraId="7822B448">
            <w:pPr>
              <w:spacing w:before="81" w:line="192" w:lineRule="auto"/>
              <w:ind w:left="5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939" w:type="dxa"/>
            <w:tcBorders>
              <w:right w:val="nil"/>
            </w:tcBorders>
            <w:vAlign w:val="top"/>
          </w:tcPr>
          <w:p w14:paraId="28AFEB7C">
            <w:pPr>
              <w:spacing w:before="81" w:line="192"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0.008</w:t>
            </w:r>
          </w:p>
        </w:tc>
      </w:tr>
      <w:tr w14:paraId="179764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230" w:type="dxa"/>
            <w:tcBorders>
              <w:left w:val="nil"/>
            </w:tcBorders>
            <w:vAlign w:val="top"/>
          </w:tcPr>
          <w:p w14:paraId="21D631EE">
            <w:pPr>
              <w:spacing w:before="83" w:line="190" w:lineRule="auto"/>
              <w:ind w:left="69"/>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367" w:type="dxa"/>
            <w:vAlign w:val="top"/>
          </w:tcPr>
          <w:p w14:paraId="1CCC1C12">
            <w:pPr>
              <w:pStyle w:val="6"/>
              <w:spacing w:before="45" w:line="204" w:lineRule="auto"/>
              <w:ind w:left="453"/>
              <w:rPr>
                <w:sz w:val="20"/>
                <w:szCs w:val="20"/>
              </w:rPr>
            </w:pPr>
            <w:r>
              <w:rPr>
                <w:spacing w:val="8"/>
                <w:sz w:val="20"/>
                <w:szCs w:val="20"/>
              </w:rPr>
              <w:t>烧结系统无组织</w:t>
            </w:r>
          </w:p>
        </w:tc>
        <w:tc>
          <w:tcPr>
            <w:tcW w:w="882" w:type="dxa"/>
            <w:vAlign w:val="top"/>
          </w:tcPr>
          <w:p w14:paraId="4BBAD358">
            <w:pPr>
              <w:spacing w:before="81" w:line="193"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502</w:t>
            </w:r>
          </w:p>
        </w:tc>
        <w:tc>
          <w:tcPr>
            <w:tcW w:w="835" w:type="dxa"/>
            <w:vAlign w:val="top"/>
          </w:tcPr>
          <w:p w14:paraId="3E3A7676">
            <w:pPr>
              <w:spacing w:before="81" w:line="193"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-563</w:t>
            </w:r>
          </w:p>
        </w:tc>
        <w:tc>
          <w:tcPr>
            <w:tcW w:w="955" w:type="dxa"/>
            <w:vAlign w:val="top"/>
          </w:tcPr>
          <w:p w14:paraId="4BD500AB">
            <w:pPr>
              <w:spacing w:before="81" w:line="193"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1145</w:t>
            </w:r>
          </w:p>
        </w:tc>
        <w:tc>
          <w:tcPr>
            <w:tcW w:w="899" w:type="dxa"/>
            <w:vAlign w:val="top"/>
          </w:tcPr>
          <w:p w14:paraId="48D8D22F">
            <w:pPr>
              <w:spacing w:before="81" w:line="193"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165</w:t>
            </w:r>
          </w:p>
        </w:tc>
        <w:tc>
          <w:tcPr>
            <w:tcW w:w="936" w:type="dxa"/>
            <w:vAlign w:val="top"/>
          </w:tcPr>
          <w:p w14:paraId="25EA408B">
            <w:pPr>
              <w:spacing w:before="81" w:line="193" w:lineRule="auto"/>
              <w:ind w:left="3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160</w:t>
            </w:r>
          </w:p>
        </w:tc>
        <w:tc>
          <w:tcPr>
            <w:tcW w:w="882" w:type="dxa"/>
            <w:vAlign w:val="top"/>
          </w:tcPr>
          <w:p w14:paraId="0FF2FB6F">
            <w:pPr>
              <w:spacing w:before="81" w:line="193"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613CD738">
            <w:pPr>
              <w:spacing w:before="81" w:line="193" w:lineRule="auto"/>
              <w:ind w:left="3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28.5</w:t>
            </w:r>
          </w:p>
        </w:tc>
        <w:tc>
          <w:tcPr>
            <w:tcW w:w="899" w:type="dxa"/>
            <w:vAlign w:val="top"/>
          </w:tcPr>
          <w:p w14:paraId="30DDE980">
            <w:pPr>
              <w:spacing w:before="81" w:line="193"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8000</w:t>
            </w:r>
          </w:p>
        </w:tc>
        <w:tc>
          <w:tcPr>
            <w:tcW w:w="650" w:type="dxa"/>
            <w:vAlign w:val="top"/>
          </w:tcPr>
          <w:p w14:paraId="12F2A898">
            <w:pPr>
              <w:pStyle w:val="6"/>
              <w:spacing w:before="45" w:line="204" w:lineRule="auto"/>
              <w:ind w:left="125"/>
              <w:rPr>
                <w:sz w:val="20"/>
                <w:szCs w:val="20"/>
              </w:rPr>
            </w:pPr>
            <w:r>
              <w:rPr>
                <w:spacing w:val="2"/>
                <w:sz w:val="20"/>
                <w:szCs w:val="20"/>
              </w:rPr>
              <w:t>正常</w:t>
            </w:r>
          </w:p>
        </w:tc>
        <w:tc>
          <w:tcPr>
            <w:tcW w:w="871" w:type="dxa"/>
            <w:vAlign w:val="top"/>
          </w:tcPr>
          <w:p w14:paraId="6F6E203B">
            <w:pPr>
              <w:spacing w:before="81" w:line="193"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0.80</w:t>
            </w:r>
          </w:p>
        </w:tc>
        <w:tc>
          <w:tcPr>
            <w:tcW w:w="1502" w:type="dxa"/>
            <w:vAlign w:val="top"/>
          </w:tcPr>
          <w:p w14:paraId="73FBD326">
            <w:pPr>
              <w:spacing w:before="81" w:line="193" w:lineRule="auto"/>
              <w:ind w:left="5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0.13</w:t>
            </w:r>
          </w:p>
        </w:tc>
        <w:tc>
          <w:tcPr>
            <w:tcW w:w="939" w:type="dxa"/>
            <w:tcBorders>
              <w:right w:val="nil"/>
            </w:tcBorders>
            <w:vAlign w:val="top"/>
          </w:tcPr>
          <w:p w14:paraId="6B98A049">
            <w:pPr>
              <w:spacing w:before="81" w:line="193"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0.016</w:t>
            </w:r>
          </w:p>
        </w:tc>
      </w:tr>
      <w:tr w14:paraId="094D89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30" w:type="dxa"/>
            <w:tcBorders>
              <w:left w:val="nil"/>
            </w:tcBorders>
            <w:vAlign w:val="top"/>
          </w:tcPr>
          <w:p w14:paraId="66A4024F">
            <w:pPr>
              <w:spacing w:before="83" w:line="189" w:lineRule="auto"/>
              <w:ind w:left="68"/>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367" w:type="dxa"/>
            <w:vAlign w:val="top"/>
          </w:tcPr>
          <w:p w14:paraId="062645A7">
            <w:pPr>
              <w:pStyle w:val="6"/>
              <w:spacing w:before="47" w:line="201" w:lineRule="auto"/>
              <w:ind w:left="59"/>
              <w:rPr>
                <w:sz w:val="20"/>
                <w:szCs w:val="20"/>
              </w:rPr>
            </w:pPr>
            <w:r>
              <w:rPr>
                <w:spacing w:val="6"/>
                <w:sz w:val="20"/>
                <w:szCs w:val="20"/>
              </w:rPr>
              <w:t>电炉生产区配料站无组织</w:t>
            </w:r>
          </w:p>
        </w:tc>
        <w:tc>
          <w:tcPr>
            <w:tcW w:w="882" w:type="dxa"/>
            <w:vAlign w:val="top"/>
          </w:tcPr>
          <w:p w14:paraId="2C3A0C67">
            <w:pPr>
              <w:spacing w:before="83" w:line="189" w:lineRule="auto"/>
              <w:ind w:left="2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376</w:t>
            </w:r>
          </w:p>
        </w:tc>
        <w:tc>
          <w:tcPr>
            <w:tcW w:w="835" w:type="dxa"/>
            <w:vAlign w:val="top"/>
          </w:tcPr>
          <w:p w14:paraId="62B5B9CF">
            <w:pPr>
              <w:spacing w:before="83" w:line="189"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-535</w:t>
            </w:r>
          </w:p>
        </w:tc>
        <w:tc>
          <w:tcPr>
            <w:tcW w:w="955" w:type="dxa"/>
            <w:vAlign w:val="top"/>
          </w:tcPr>
          <w:p w14:paraId="3AAB6546">
            <w:pPr>
              <w:spacing w:before="83" w:line="189"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1148</w:t>
            </w:r>
          </w:p>
        </w:tc>
        <w:tc>
          <w:tcPr>
            <w:tcW w:w="899" w:type="dxa"/>
            <w:vAlign w:val="top"/>
          </w:tcPr>
          <w:p w14:paraId="77DE42F5">
            <w:pPr>
              <w:spacing w:before="83" w:line="189"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110</w:t>
            </w:r>
          </w:p>
        </w:tc>
        <w:tc>
          <w:tcPr>
            <w:tcW w:w="936" w:type="dxa"/>
            <w:vAlign w:val="top"/>
          </w:tcPr>
          <w:p w14:paraId="6FB0832B">
            <w:pPr>
              <w:spacing w:before="83" w:line="189" w:lineRule="auto"/>
              <w:ind w:left="3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882" w:type="dxa"/>
            <w:vAlign w:val="top"/>
          </w:tcPr>
          <w:p w14:paraId="0063A42A">
            <w:pPr>
              <w:spacing w:before="83" w:line="189"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594B2AB7">
            <w:pPr>
              <w:spacing w:before="83" w:line="189" w:lineRule="auto"/>
              <w:ind w:left="4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899" w:type="dxa"/>
            <w:vAlign w:val="top"/>
          </w:tcPr>
          <w:p w14:paraId="2D1E07D4">
            <w:pPr>
              <w:spacing w:before="83" w:line="189"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8000</w:t>
            </w:r>
          </w:p>
        </w:tc>
        <w:tc>
          <w:tcPr>
            <w:tcW w:w="650" w:type="dxa"/>
            <w:vAlign w:val="top"/>
          </w:tcPr>
          <w:p w14:paraId="101FD71C">
            <w:pPr>
              <w:pStyle w:val="6"/>
              <w:spacing w:before="47" w:line="201" w:lineRule="auto"/>
              <w:ind w:left="125"/>
              <w:rPr>
                <w:sz w:val="20"/>
                <w:szCs w:val="20"/>
              </w:rPr>
            </w:pPr>
            <w:r>
              <w:rPr>
                <w:spacing w:val="2"/>
                <w:sz w:val="20"/>
                <w:szCs w:val="20"/>
              </w:rPr>
              <w:t>正常</w:t>
            </w:r>
          </w:p>
        </w:tc>
        <w:tc>
          <w:tcPr>
            <w:tcW w:w="871" w:type="dxa"/>
            <w:vAlign w:val="top"/>
          </w:tcPr>
          <w:p w14:paraId="7F977666">
            <w:pPr>
              <w:spacing w:before="83" w:line="189"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0.17</w:t>
            </w:r>
          </w:p>
        </w:tc>
        <w:tc>
          <w:tcPr>
            <w:tcW w:w="1502" w:type="dxa"/>
            <w:vAlign w:val="top"/>
          </w:tcPr>
          <w:p w14:paraId="2F93F444">
            <w:pPr>
              <w:spacing w:before="83" w:line="189" w:lineRule="auto"/>
              <w:ind w:left="5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9" w:type="dxa"/>
            <w:tcBorders>
              <w:right w:val="nil"/>
            </w:tcBorders>
            <w:vAlign w:val="top"/>
          </w:tcPr>
          <w:p w14:paraId="744412F5">
            <w:pPr>
              <w:spacing w:before="83" w:line="189"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w:t>
            </w:r>
          </w:p>
        </w:tc>
      </w:tr>
      <w:tr w14:paraId="0A8694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230" w:type="dxa"/>
            <w:tcBorders>
              <w:left w:val="nil"/>
            </w:tcBorders>
            <w:vAlign w:val="top"/>
          </w:tcPr>
          <w:p w14:paraId="28FE3734">
            <w:pPr>
              <w:spacing w:before="89" w:line="184" w:lineRule="auto"/>
              <w:ind w:left="67"/>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367" w:type="dxa"/>
            <w:vAlign w:val="top"/>
          </w:tcPr>
          <w:p w14:paraId="1174C9E9">
            <w:pPr>
              <w:pStyle w:val="6"/>
              <w:spacing w:before="50" w:line="199" w:lineRule="auto"/>
              <w:ind w:left="59"/>
              <w:rPr>
                <w:sz w:val="20"/>
                <w:szCs w:val="20"/>
              </w:rPr>
            </w:pPr>
            <w:r>
              <w:rPr>
                <w:spacing w:val="6"/>
                <w:sz w:val="20"/>
                <w:szCs w:val="20"/>
              </w:rPr>
              <w:t>电炉生产区配料站无组织</w:t>
            </w:r>
          </w:p>
        </w:tc>
        <w:tc>
          <w:tcPr>
            <w:tcW w:w="882" w:type="dxa"/>
            <w:vAlign w:val="top"/>
          </w:tcPr>
          <w:p w14:paraId="77F86A51">
            <w:pPr>
              <w:spacing w:before="86" w:line="187" w:lineRule="auto"/>
              <w:ind w:left="2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379</w:t>
            </w:r>
          </w:p>
        </w:tc>
        <w:tc>
          <w:tcPr>
            <w:tcW w:w="835" w:type="dxa"/>
            <w:vAlign w:val="top"/>
          </w:tcPr>
          <w:p w14:paraId="0EB54739">
            <w:pPr>
              <w:spacing w:before="86" w:line="187"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-525</w:t>
            </w:r>
          </w:p>
        </w:tc>
        <w:tc>
          <w:tcPr>
            <w:tcW w:w="955" w:type="dxa"/>
            <w:vAlign w:val="top"/>
          </w:tcPr>
          <w:p w14:paraId="4874D29F">
            <w:pPr>
              <w:spacing w:before="86" w:line="187"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1148</w:t>
            </w:r>
          </w:p>
        </w:tc>
        <w:tc>
          <w:tcPr>
            <w:tcW w:w="899" w:type="dxa"/>
            <w:vAlign w:val="top"/>
          </w:tcPr>
          <w:p w14:paraId="765E79A1">
            <w:pPr>
              <w:spacing w:before="86" w:line="187"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110</w:t>
            </w:r>
          </w:p>
        </w:tc>
        <w:tc>
          <w:tcPr>
            <w:tcW w:w="936" w:type="dxa"/>
            <w:vAlign w:val="top"/>
          </w:tcPr>
          <w:p w14:paraId="06943342">
            <w:pPr>
              <w:spacing w:before="86" w:line="187" w:lineRule="auto"/>
              <w:ind w:left="3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882" w:type="dxa"/>
            <w:vAlign w:val="top"/>
          </w:tcPr>
          <w:p w14:paraId="49753DC4">
            <w:pPr>
              <w:spacing w:before="86" w:line="187"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64F1E5C5">
            <w:pPr>
              <w:spacing w:before="86" w:line="187" w:lineRule="auto"/>
              <w:ind w:left="4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899" w:type="dxa"/>
            <w:vAlign w:val="top"/>
          </w:tcPr>
          <w:p w14:paraId="724B99F1">
            <w:pPr>
              <w:spacing w:before="86" w:line="187"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8000</w:t>
            </w:r>
          </w:p>
        </w:tc>
        <w:tc>
          <w:tcPr>
            <w:tcW w:w="650" w:type="dxa"/>
            <w:vAlign w:val="top"/>
          </w:tcPr>
          <w:p w14:paraId="311F540F">
            <w:pPr>
              <w:pStyle w:val="6"/>
              <w:spacing w:before="50" w:line="199" w:lineRule="auto"/>
              <w:ind w:left="125"/>
              <w:rPr>
                <w:sz w:val="20"/>
                <w:szCs w:val="20"/>
              </w:rPr>
            </w:pPr>
            <w:r>
              <w:rPr>
                <w:spacing w:val="2"/>
                <w:sz w:val="20"/>
                <w:szCs w:val="20"/>
              </w:rPr>
              <w:t>正常</w:t>
            </w:r>
          </w:p>
        </w:tc>
        <w:tc>
          <w:tcPr>
            <w:tcW w:w="871" w:type="dxa"/>
            <w:vAlign w:val="top"/>
          </w:tcPr>
          <w:p w14:paraId="2930826F">
            <w:pPr>
              <w:spacing w:before="86" w:line="187"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0.17</w:t>
            </w:r>
          </w:p>
        </w:tc>
        <w:tc>
          <w:tcPr>
            <w:tcW w:w="1502" w:type="dxa"/>
            <w:vAlign w:val="top"/>
          </w:tcPr>
          <w:p w14:paraId="221745DE">
            <w:pPr>
              <w:spacing w:before="86" w:line="187" w:lineRule="auto"/>
              <w:ind w:left="5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9" w:type="dxa"/>
            <w:tcBorders>
              <w:right w:val="nil"/>
            </w:tcBorders>
            <w:vAlign w:val="top"/>
          </w:tcPr>
          <w:p w14:paraId="03F5DC4A">
            <w:pPr>
              <w:spacing w:before="86" w:line="187"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w:t>
            </w:r>
          </w:p>
        </w:tc>
      </w:tr>
      <w:tr w14:paraId="50B3DF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7" w:hRule="atLeast"/>
        </w:trPr>
        <w:tc>
          <w:tcPr>
            <w:tcW w:w="230" w:type="dxa"/>
            <w:tcBorders>
              <w:left w:val="nil"/>
              <w:bottom w:val="single" w:color="000000" w:sz="10" w:space="0"/>
            </w:tcBorders>
            <w:vAlign w:val="top"/>
          </w:tcPr>
          <w:p w14:paraId="76562A17">
            <w:pPr>
              <w:spacing w:before="88" w:line="195" w:lineRule="auto"/>
              <w:ind w:left="72"/>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367" w:type="dxa"/>
            <w:tcBorders>
              <w:bottom w:val="single" w:color="000000" w:sz="10" w:space="0"/>
            </w:tcBorders>
            <w:vAlign w:val="top"/>
          </w:tcPr>
          <w:p w14:paraId="69EAF4AF">
            <w:pPr>
              <w:pStyle w:val="6"/>
              <w:spacing w:before="52" w:line="216" w:lineRule="auto"/>
              <w:ind w:left="59"/>
              <w:rPr>
                <w:sz w:val="20"/>
                <w:szCs w:val="20"/>
              </w:rPr>
            </w:pPr>
            <w:r>
              <w:rPr>
                <w:spacing w:val="6"/>
                <w:sz w:val="20"/>
                <w:szCs w:val="20"/>
              </w:rPr>
              <w:t>电炉生产区配料站无组织</w:t>
            </w:r>
          </w:p>
        </w:tc>
        <w:tc>
          <w:tcPr>
            <w:tcW w:w="882" w:type="dxa"/>
            <w:tcBorders>
              <w:bottom w:val="single" w:color="000000" w:sz="10" w:space="0"/>
            </w:tcBorders>
            <w:vAlign w:val="top"/>
          </w:tcPr>
          <w:p w14:paraId="7571FECD">
            <w:pPr>
              <w:spacing w:before="88" w:line="195" w:lineRule="auto"/>
              <w:ind w:left="2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385</w:t>
            </w:r>
          </w:p>
        </w:tc>
        <w:tc>
          <w:tcPr>
            <w:tcW w:w="835" w:type="dxa"/>
            <w:tcBorders>
              <w:bottom w:val="single" w:color="000000" w:sz="10" w:space="0"/>
            </w:tcBorders>
            <w:vAlign w:val="top"/>
          </w:tcPr>
          <w:p w14:paraId="38B9F2DE">
            <w:pPr>
              <w:spacing w:before="88"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-605</w:t>
            </w:r>
          </w:p>
        </w:tc>
        <w:tc>
          <w:tcPr>
            <w:tcW w:w="955" w:type="dxa"/>
            <w:tcBorders>
              <w:bottom w:val="single" w:color="000000" w:sz="10" w:space="0"/>
            </w:tcBorders>
            <w:vAlign w:val="top"/>
          </w:tcPr>
          <w:p w14:paraId="476D9816">
            <w:pPr>
              <w:spacing w:before="88"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1147</w:t>
            </w:r>
          </w:p>
        </w:tc>
        <w:tc>
          <w:tcPr>
            <w:tcW w:w="899" w:type="dxa"/>
            <w:tcBorders>
              <w:bottom w:val="single" w:color="000000" w:sz="10" w:space="0"/>
            </w:tcBorders>
            <w:vAlign w:val="top"/>
          </w:tcPr>
          <w:p w14:paraId="67A2D2B7">
            <w:pPr>
              <w:spacing w:before="88"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110</w:t>
            </w:r>
          </w:p>
        </w:tc>
        <w:tc>
          <w:tcPr>
            <w:tcW w:w="936" w:type="dxa"/>
            <w:tcBorders>
              <w:bottom w:val="single" w:color="000000" w:sz="10" w:space="0"/>
            </w:tcBorders>
            <w:vAlign w:val="top"/>
          </w:tcPr>
          <w:p w14:paraId="741CC484">
            <w:pPr>
              <w:spacing w:before="88" w:line="195" w:lineRule="auto"/>
              <w:ind w:left="3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882" w:type="dxa"/>
            <w:tcBorders>
              <w:bottom w:val="single" w:color="000000" w:sz="10" w:space="0"/>
            </w:tcBorders>
            <w:vAlign w:val="top"/>
          </w:tcPr>
          <w:p w14:paraId="61A5C686">
            <w:pPr>
              <w:spacing w:before="88" w:line="195"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tcBorders>
              <w:bottom w:val="single" w:color="000000" w:sz="10" w:space="0"/>
            </w:tcBorders>
            <w:vAlign w:val="top"/>
          </w:tcPr>
          <w:p w14:paraId="21995B21">
            <w:pPr>
              <w:spacing w:before="88" w:line="195" w:lineRule="auto"/>
              <w:ind w:left="4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899" w:type="dxa"/>
            <w:tcBorders>
              <w:bottom w:val="single" w:color="000000" w:sz="10" w:space="0"/>
            </w:tcBorders>
            <w:vAlign w:val="top"/>
          </w:tcPr>
          <w:p w14:paraId="5A31ED5D">
            <w:pPr>
              <w:spacing w:before="88"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8000</w:t>
            </w:r>
          </w:p>
        </w:tc>
        <w:tc>
          <w:tcPr>
            <w:tcW w:w="650" w:type="dxa"/>
            <w:tcBorders>
              <w:bottom w:val="single" w:color="000000" w:sz="10" w:space="0"/>
            </w:tcBorders>
            <w:vAlign w:val="top"/>
          </w:tcPr>
          <w:p w14:paraId="19398E02">
            <w:pPr>
              <w:pStyle w:val="6"/>
              <w:spacing w:before="52" w:line="216" w:lineRule="auto"/>
              <w:ind w:left="125"/>
              <w:rPr>
                <w:sz w:val="20"/>
                <w:szCs w:val="20"/>
              </w:rPr>
            </w:pPr>
            <w:r>
              <w:rPr>
                <w:spacing w:val="2"/>
                <w:sz w:val="20"/>
                <w:szCs w:val="20"/>
              </w:rPr>
              <w:t>正常</w:t>
            </w:r>
          </w:p>
        </w:tc>
        <w:tc>
          <w:tcPr>
            <w:tcW w:w="871" w:type="dxa"/>
            <w:tcBorders>
              <w:bottom w:val="single" w:color="000000" w:sz="10" w:space="0"/>
            </w:tcBorders>
            <w:vAlign w:val="top"/>
          </w:tcPr>
          <w:p w14:paraId="7D76B6A5">
            <w:pPr>
              <w:spacing w:before="88"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0.17</w:t>
            </w:r>
          </w:p>
        </w:tc>
        <w:tc>
          <w:tcPr>
            <w:tcW w:w="1502" w:type="dxa"/>
            <w:tcBorders>
              <w:bottom w:val="single" w:color="000000" w:sz="10" w:space="0"/>
            </w:tcBorders>
            <w:vAlign w:val="top"/>
          </w:tcPr>
          <w:p w14:paraId="2ABCAB72">
            <w:pPr>
              <w:spacing w:before="88" w:line="195" w:lineRule="auto"/>
              <w:ind w:left="5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9" w:type="dxa"/>
            <w:tcBorders>
              <w:bottom w:val="single" w:color="000000" w:sz="10" w:space="0"/>
              <w:right w:val="nil"/>
            </w:tcBorders>
            <w:vAlign w:val="top"/>
          </w:tcPr>
          <w:p w14:paraId="07BC7101">
            <w:pPr>
              <w:spacing w:before="88"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w:t>
            </w:r>
          </w:p>
        </w:tc>
      </w:tr>
    </w:tbl>
    <w:p w14:paraId="55B689B2">
      <w:pPr>
        <w:pStyle w:val="2"/>
      </w:pPr>
    </w:p>
    <w:p w14:paraId="77245242">
      <w:pPr>
        <w:sectPr>
          <w:headerReference r:id="rId66" w:type="default"/>
          <w:footerReference r:id="rId67" w:type="default"/>
          <w:pgSz w:w="16840" w:h="11907"/>
          <w:pgMar w:top="1178" w:right="1416" w:bottom="1039" w:left="1417" w:header="870" w:footer="877" w:gutter="0"/>
          <w:cols w:space="720" w:num="1"/>
        </w:sectPr>
      </w:pPr>
    </w:p>
    <w:p w14:paraId="05C0FDAC">
      <w:pPr>
        <w:spacing w:line="238" w:lineRule="exact"/>
      </w:pPr>
      <w:r>
        <w:pict>
          <v:shape id="_x0000_s1064" o:spid="_x0000_s1064" style="position:absolute;left:0pt;margin-left:70.85pt;margin-top:59.65pt;height:0.75pt;width:700.35pt;mso-position-horizontal-relative:page;mso-position-vertical-relative:page;z-index:251698176;mso-width-relative:page;mso-height-relative:page;" fillcolor="#000000" filled="t" stroked="f" coordsize="14006,15" o:allowincell="f" path="m0,0l14006,0,14006,14,0,14,0,0xe">
            <v:path/>
            <v:fill on="t" focussize="0,0"/>
            <v:stroke on="f"/>
            <v:imagedata o:title=""/>
            <o:lock v:ext="edit"/>
          </v:shape>
        </w:pict>
      </w:r>
    </w:p>
    <w:tbl>
      <w:tblPr>
        <w:tblStyle w:val="5"/>
        <w:tblW w:w="13998" w:type="dxa"/>
        <w:tblInd w:w="11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0"/>
        <w:gridCol w:w="2367"/>
        <w:gridCol w:w="882"/>
        <w:gridCol w:w="835"/>
        <w:gridCol w:w="955"/>
        <w:gridCol w:w="899"/>
        <w:gridCol w:w="936"/>
        <w:gridCol w:w="882"/>
        <w:gridCol w:w="1151"/>
        <w:gridCol w:w="899"/>
        <w:gridCol w:w="650"/>
        <w:gridCol w:w="871"/>
        <w:gridCol w:w="1502"/>
        <w:gridCol w:w="939"/>
      </w:tblGrid>
      <w:tr w14:paraId="42826B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230" w:type="dxa"/>
            <w:vMerge w:val="restart"/>
            <w:tcBorders>
              <w:top w:val="single" w:color="000000" w:sz="10" w:space="0"/>
              <w:left w:val="nil"/>
              <w:bottom w:val="nil"/>
            </w:tcBorders>
            <w:textDirection w:val="tbRlV"/>
            <w:vAlign w:val="top"/>
          </w:tcPr>
          <w:p w14:paraId="0F9A8FB3">
            <w:pPr>
              <w:pStyle w:val="6"/>
              <w:spacing w:before="11" w:line="214" w:lineRule="auto"/>
              <w:ind w:left="40"/>
              <w:rPr>
                <w:sz w:val="20"/>
                <w:szCs w:val="20"/>
              </w:rPr>
            </w:pPr>
            <w:r>
              <w:rPr>
                <w:spacing w:val="8"/>
                <w:sz w:val="20"/>
                <w:szCs w:val="20"/>
              </w:rPr>
              <w:t>编</w:t>
            </w:r>
            <w:r>
              <w:rPr>
                <w:spacing w:val="-38"/>
                <w:sz w:val="20"/>
                <w:szCs w:val="20"/>
              </w:rPr>
              <w:t xml:space="preserve"> </w:t>
            </w:r>
            <w:r>
              <w:rPr>
                <w:spacing w:val="8"/>
                <w:sz w:val="20"/>
                <w:szCs w:val="20"/>
              </w:rPr>
              <w:t>号</w:t>
            </w:r>
          </w:p>
        </w:tc>
        <w:tc>
          <w:tcPr>
            <w:tcW w:w="2367" w:type="dxa"/>
            <w:vMerge w:val="restart"/>
            <w:tcBorders>
              <w:top w:val="single" w:color="000000" w:sz="10" w:space="0"/>
              <w:bottom w:val="nil"/>
            </w:tcBorders>
            <w:vAlign w:val="top"/>
          </w:tcPr>
          <w:p w14:paraId="0B0A4585">
            <w:pPr>
              <w:pStyle w:val="6"/>
              <w:spacing w:before="176" w:line="230" w:lineRule="auto"/>
              <w:ind w:left="980"/>
              <w:rPr>
                <w:sz w:val="20"/>
                <w:szCs w:val="20"/>
              </w:rPr>
            </w:pPr>
            <w:r>
              <w:rPr>
                <w:spacing w:val="3"/>
                <w:sz w:val="20"/>
                <w:szCs w:val="20"/>
              </w:rPr>
              <w:t>名称</w:t>
            </w:r>
          </w:p>
        </w:tc>
        <w:tc>
          <w:tcPr>
            <w:tcW w:w="1717" w:type="dxa"/>
            <w:gridSpan w:val="2"/>
            <w:tcBorders>
              <w:top w:val="single" w:color="000000" w:sz="10" w:space="0"/>
            </w:tcBorders>
            <w:vAlign w:val="top"/>
          </w:tcPr>
          <w:p w14:paraId="12BBDC24">
            <w:pPr>
              <w:pStyle w:val="6"/>
              <w:spacing w:before="35" w:line="213" w:lineRule="auto"/>
              <w:ind w:left="18"/>
              <w:rPr>
                <w:rFonts w:ascii="Times New Roman" w:hAnsi="Times New Roman" w:eastAsia="Times New Roman" w:cs="Times New Roman"/>
                <w:sz w:val="20"/>
                <w:szCs w:val="20"/>
              </w:rPr>
            </w:pPr>
            <w:r>
              <w:rPr>
                <w:spacing w:val="7"/>
                <w:sz w:val="20"/>
                <w:szCs w:val="20"/>
              </w:rPr>
              <w:t>面源中心点坐标</w:t>
            </w:r>
            <w:r>
              <w:rPr>
                <w:rFonts w:ascii="Times New Roman" w:hAnsi="Times New Roman" w:eastAsia="Times New Roman" w:cs="Times New Roman"/>
                <w:spacing w:val="7"/>
                <w:sz w:val="20"/>
                <w:szCs w:val="20"/>
              </w:rPr>
              <w:t>/m</w:t>
            </w:r>
          </w:p>
        </w:tc>
        <w:tc>
          <w:tcPr>
            <w:tcW w:w="955" w:type="dxa"/>
            <w:vMerge w:val="restart"/>
            <w:tcBorders>
              <w:top w:val="single" w:color="000000" w:sz="10" w:space="0"/>
              <w:bottom w:val="nil"/>
            </w:tcBorders>
            <w:vAlign w:val="top"/>
          </w:tcPr>
          <w:p w14:paraId="7C18230B">
            <w:pPr>
              <w:pStyle w:val="6"/>
              <w:spacing w:before="41" w:line="232" w:lineRule="auto"/>
              <w:ind w:left="167" w:right="58" w:hanging="105"/>
              <w:rPr>
                <w:rFonts w:ascii="Times New Roman" w:hAnsi="Times New Roman" w:eastAsia="Times New Roman" w:cs="Times New Roman"/>
                <w:sz w:val="20"/>
                <w:szCs w:val="20"/>
              </w:rPr>
            </w:pPr>
            <w:r>
              <w:rPr>
                <w:spacing w:val="7"/>
                <w:sz w:val="20"/>
                <w:szCs w:val="20"/>
              </w:rPr>
              <w:t>面源海拔</w:t>
            </w:r>
            <w:r>
              <w:rPr>
                <w:sz w:val="20"/>
                <w:szCs w:val="20"/>
              </w:rPr>
              <w:t xml:space="preserve"> </w:t>
            </w:r>
            <w:r>
              <w:rPr>
                <w:spacing w:val="3"/>
                <w:sz w:val="20"/>
                <w:szCs w:val="20"/>
              </w:rPr>
              <w:t>高度</w:t>
            </w:r>
            <w:r>
              <w:rPr>
                <w:rFonts w:ascii="Times New Roman" w:hAnsi="Times New Roman" w:eastAsia="Times New Roman" w:cs="Times New Roman"/>
                <w:spacing w:val="3"/>
                <w:sz w:val="20"/>
                <w:szCs w:val="20"/>
              </w:rPr>
              <w:t>/m</w:t>
            </w:r>
          </w:p>
        </w:tc>
        <w:tc>
          <w:tcPr>
            <w:tcW w:w="899" w:type="dxa"/>
            <w:vMerge w:val="restart"/>
            <w:tcBorders>
              <w:top w:val="single" w:color="000000" w:sz="10" w:space="0"/>
              <w:bottom w:val="nil"/>
            </w:tcBorders>
            <w:vAlign w:val="top"/>
          </w:tcPr>
          <w:p w14:paraId="5CE38B00">
            <w:pPr>
              <w:pStyle w:val="6"/>
              <w:spacing w:before="56" w:line="239" w:lineRule="auto"/>
              <w:ind w:left="334" w:right="28" w:hanging="298"/>
              <w:rPr>
                <w:rFonts w:ascii="Times New Roman" w:hAnsi="Times New Roman" w:eastAsia="Times New Roman" w:cs="Times New Roman"/>
                <w:sz w:val="20"/>
                <w:szCs w:val="20"/>
              </w:rPr>
            </w:pPr>
            <w:r>
              <w:rPr>
                <w:spacing w:val="7"/>
                <w:sz w:val="20"/>
                <w:szCs w:val="20"/>
              </w:rPr>
              <w:t>面源长度</w:t>
            </w:r>
            <w:r>
              <w:rPr>
                <w:sz w:val="20"/>
                <w:szCs w:val="20"/>
              </w:rPr>
              <w:t xml:space="preserve"> </w:t>
            </w:r>
            <w:r>
              <w:rPr>
                <w:rFonts w:ascii="Times New Roman" w:hAnsi="Times New Roman" w:eastAsia="Times New Roman" w:cs="Times New Roman"/>
                <w:spacing w:val="4"/>
                <w:sz w:val="20"/>
                <w:szCs w:val="20"/>
              </w:rPr>
              <w:t>/m</w:t>
            </w:r>
          </w:p>
        </w:tc>
        <w:tc>
          <w:tcPr>
            <w:tcW w:w="936" w:type="dxa"/>
            <w:vMerge w:val="restart"/>
            <w:tcBorders>
              <w:top w:val="single" w:color="000000" w:sz="10" w:space="0"/>
              <w:bottom w:val="nil"/>
            </w:tcBorders>
            <w:vAlign w:val="top"/>
          </w:tcPr>
          <w:p w14:paraId="13D7D214">
            <w:pPr>
              <w:pStyle w:val="6"/>
              <w:spacing w:before="56" w:line="239" w:lineRule="auto"/>
              <w:ind w:left="354" w:right="47" w:hanging="300"/>
              <w:rPr>
                <w:rFonts w:ascii="Times New Roman" w:hAnsi="Times New Roman" w:eastAsia="Times New Roman" w:cs="Times New Roman"/>
                <w:sz w:val="20"/>
                <w:szCs w:val="20"/>
              </w:rPr>
            </w:pPr>
            <w:r>
              <w:rPr>
                <w:spacing w:val="7"/>
                <w:sz w:val="20"/>
                <w:szCs w:val="20"/>
              </w:rPr>
              <w:t>面源宽度</w:t>
            </w:r>
            <w:r>
              <w:rPr>
                <w:sz w:val="20"/>
                <w:szCs w:val="20"/>
              </w:rPr>
              <w:t xml:space="preserve"> </w:t>
            </w:r>
            <w:r>
              <w:rPr>
                <w:rFonts w:ascii="Times New Roman" w:hAnsi="Times New Roman" w:eastAsia="Times New Roman" w:cs="Times New Roman"/>
                <w:spacing w:val="4"/>
                <w:sz w:val="20"/>
                <w:szCs w:val="20"/>
              </w:rPr>
              <w:t>/m</w:t>
            </w:r>
          </w:p>
        </w:tc>
        <w:tc>
          <w:tcPr>
            <w:tcW w:w="882" w:type="dxa"/>
            <w:vMerge w:val="restart"/>
            <w:tcBorders>
              <w:top w:val="single" w:color="000000" w:sz="10" w:space="0"/>
              <w:bottom w:val="nil"/>
            </w:tcBorders>
            <w:vAlign w:val="top"/>
          </w:tcPr>
          <w:p w14:paraId="3CC2A846">
            <w:pPr>
              <w:pStyle w:val="6"/>
              <w:spacing w:before="41" w:line="232" w:lineRule="auto"/>
              <w:ind w:left="167" w:right="20" w:hanging="136"/>
              <w:rPr>
                <w:rFonts w:ascii="Times New Roman" w:hAnsi="Times New Roman" w:eastAsia="Times New Roman" w:cs="Times New Roman"/>
                <w:sz w:val="20"/>
                <w:szCs w:val="20"/>
              </w:rPr>
            </w:pPr>
            <w:r>
              <w:rPr>
                <w:spacing w:val="6"/>
                <w:sz w:val="20"/>
                <w:szCs w:val="20"/>
              </w:rPr>
              <w:t>与正北向</w:t>
            </w:r>
            <w:r>
              <w:rPr>
                <w:sz w:val="20"/>
                <w:szCs w:val="20"/>
              </w:rPr>
              <w:t xml:space="preserve"> </w:t>
            </w:r>
            <w:r>
              <w:rPr>
                <w:spacing w:val="3"/>
                <w:sz w:val="20"/>
                <w:szCs w:val="20"/>
              </w:rPr>
              <w:t>夹角</w:t>
            </w:r>
            <w:r>
              <w:rPr>
                <w:rFonts w:ascii="Times New Roman" w:hAnsi="Times New Roman" w:eastAsia="Times New Roman" w:cs="Times New Roman"/>
                <w:spacing w:val="3"/>
                <w:sz w:val="20"/>
                <w:szCs w:val="20"/>
              </w:rPr>
              <w:t>/°</w:t>
            </w:r>
          </w:p>
        </w:tc>
        <w:tc>
          <w:tcPr>
            <w:tcW w:w="1151" w:type="dxa"/>
            <w:vMerge w:val="restart"/>
            <w:tcBorders>
              <w:top w:val="single" w:color="000000" w:sz="10" w:space="0"/>
              <w:bottom w:val="nil"/>
            </w:tcBorders>
            <w:vAlign w:val="top"/>
          </w:tcPr>
          <w:p w14:paraId="692D8B90">
            <w:pPr>
              <w:pStyle w:val="6"/>
              <w:spacing w:before="41" w:line="232" w:lineRule="auto"/>
              <w:ind w:left="154" w:right="50" w:hanging="99"/>
              <w:rPr>
                <w:rFonts w:ascii="Times New Roman" w:hAnsi="Times New Roman" w:eastAsia="Times New Roman" w:cs="Times New Roman"/>
                <w:sz w:val="20"/>
                <w:szCs w:val="20"/>
              </w:rPr>
            </w:pPr>
            <w:r>
              <w:rPr>
                <w:spacing w:val="7"/>
                <w:sz w:val="20"/>
                <w:szCs w:val="20"/>
              </w:rPr>
              <w:t>面源有效排</w:t>
            </w:r>
            <w:r>
              <w:rPr>
                <w:spacing w:val="3"/>
                <w:sz w:val="20"/>
                <w:szCs w:val="20"/>
              </w:rPr>
              <w:t xml:space="preserve"> </w:t>
            </w:r>
            <w:r>
              <w:rPr>
                <w:spacing w:val="5"/>
                <w:sz w:val="20"/>
                <w:szCs w:val="20"/>
              </w:rPr>
              <w:t>放高度</w:t>
            </w:r>
            <w:r>
              <w:rPr>
                <w:rFonts w:ascii="Times New Roman" w:hAnsi="Times New Roman" w:eastAsia="Times New Roman" w:cs="Times New Roman"/>
                <w:spacing w:val="5"/>
                <w:sz w:val="20"/>
                <w:szCs w:val="20"/>
              </w:rPr>
              <w:t>/m</w:t>
            </w:r>
          </w:p>
        </w:tc>
        <w:tc>
          <w:tcPr>
            <w:tcW w:w="899" w:type="dxa"/>
            <w:vMerge w:val="restart"/>
            <w:tcBorders>
              <w:top w:val="single" w:color="000000" w:sz="10" w:space="0"/>
              <w:bottom w:val="nil"/>
            </w:tcBorders>
            <w:vAlign w:val="top"/>
          </w:tcPr>
          <w:p w14:paraId="74314440">
            <w:pPr>
              <w:pStyle w:val="6"/>
              <w:spacing w:before="41" w:line="232" w:lineRule="auto"/>
              <w:ind w:left="172" w:right="30" w:hanging="138"/>
              <w:rPr>
                <w:rFonts w:ascii="Times New Roman" w:hAnsi="Times New Roman" w:eastAsia="Times New Roman" w:cs="Times New Roman"/>
                <w:sz w:val="20"/>
                <w:szCs w:val="20"/>
              </w:rPr>
            </w:pPr>
            <w:r>
              <w:rPr>
                <w:spacing w:val="7"/>
                <w:sz w:val="20"/>
                <w:szCs w:val="20"/>
              </w:rPr>
              <w:t>年排放小</w:t>
            </w:r>
            <w:r>
              <w:rPr>
                <w:sz w:val="20"/>
                <w:szCs w:val="20"/>
              </w:rPr>
              <w:t xml:space="preserve"> </w:t>
            </w:r>
            <w:r>
              <w:rPr>
                <w:spacing w:val="2"/>
                <w:sz w:val="20"/>
                <w:szCs w:val="20"/>
              </w:rPr>
              <w:t>时数</w:t>
            </w:r>
            <w:r>
              <w:rPr>
                <w:rFonts w:ascii="Times New Roman" w:hAnsi="Times New Roman" w:eastAsia="Times New Roman" w:cs="Times New Roman"/>
                <w:spacing w:val="2"/>
                <w:sz w:val="20"/>
                <w:szCs w:val="20"/>
              </w:rPr>
              <w:t>/h</w:t>
            </w:r>
          </w:p>
        </w:tc>
        <w:tc>
          <w:tcPr>
            <w:tcW w:w="650" w:type="dxa"/>
            <w:vMerge w:val="restart"/>
            <w:tcBorders>
              <w:top w:val="single" w:color="000000" w:sz="10" w:space="0"/>
              <w:bottom w:val="nil"/>
            </w:tcBorders>
            <w:vAlign w:val="top"/>
          </w:tcPr>
          <w:p w14:paraId="4C8DD2F3">
            <w:pPr>
              <w:pStyle w:val="6"/>
              <w:spacing w:before="41" w:line="232" w:lineRule="auto"/>
              <w:ind w:left="123" w:right="113" w:hanging="2"/>
              <w:rPr>
                <w:sz w:val="20"/>
                <w:szCs w:val="20"/>
              </w:rPr>
            </w:pPr>
            <w:r>
              <w:rPr>
                <w:spacing w:val="4"/>
                <w:sz w:val="20"/>
                <w:szCs w:val="20"/>
              </w:rPr>
              <w:t>排放</w:t>
            </w:r>
            <w:r>
              <w:rPr>
                <w:sz w:val="20"/>
                <w:szCs w:val="20"/>
              </w:rPr>
              <w:t xml:space="preserve"> </w:t>
            </w:r>
            <w:r>
              <w:rPr>
                <w:spacing w:val="3"/>
                <w:sz w:val="20"/>
                <w:szCs w:val="20"/>
              </w:rPr>
              <w:t>工况</w:t>
            </w:r>
          </w:p>
        </w:tc>
        <w:tc>
          <w:tcPr>
            <w:tcW w:w="3312" w:type="dxa"/>
            <w:gridSpan w:val="3"/>
            <w:tcBorders>
              <w:top w:val="single" w:color="000000" w:sz="10" w:space="0"/>
              <w:right w:val="nil"/>
            </w:tcBorders>
            <w:vAlign w:val="top"/>
          </w:tcPr>
          <w:p w14:paraId="7A7EDCAD">
            <w:pPr>
              <w:pStyle w:val="6"/>
              <w:spacing w:before="35" w:line="213" w:lineRule="auto"/>
              <w:ind w:left="505"/>
              <w:rPr>
                <w:sz w:val="20"/>
                <w:szCs w:val="20"/>
              </w:rPr>
            </w:pPr>
            <w:r>
              <w:rPr>
                <w:spacing w:val="7"/>
                <w:sz w:val="20"/>
                <w:szCs w:val="20"/>
              </w:rPr>
              <w:t>污染物排放速率</w:t>
            </w:r>
            <w:r>
              <w:rPr>
                <w:rFonts w:ascii="Times New Roman" w:hAnsi="Times New Roman" w:eastAsia="Times New Roman" w:cs="Times New Roman"/>
                <w:spacing w:val="7"/>
                <w:sz w:val="20"/>
                <w:szCs w:val="20"/>
              </w:rPr>
              <w:t>/</w:t>
            </w:r>
            <w:r>
              <w:rPr>
                <w:spacing w:val="7"/>
                <w:sz w:val="20"/>
                <w:szCs w:val="20"/>
              </w:rPr>
              <w:t>（</w:t>
            </w:r>
            <w:r>
              <w:rPr>
                <w:rFonts w:ascii="Times New Roman" w:hAnsi="Times New Roman" w:eastAsia="Times New Roman" w:cs="Times New Roman"/>
                <w:sz w:val="20"/>
                <w:szCs w:val="20"/>
              </w:rPr>
              <w:t>kg</w:t>
            </w:r>
            <w:r>
              <w:rPr>
                <w:rFonts w:ascii="Times New Roman" w:hAnsi="Times New Roman" w:eastAsia="Times New Roman" w:cs="Times New Roman"/>
                <w:spacing w:val="7"/>
                <w:sz w:val="20"/>
                <w:szCs w:val="20"/>
              </w:rPr>
              <w:t>/h</w:t>
            </w:r>
            <w:r>
              <w:rPr>
                <w:spacing w:val="7"/>
                <w:sz w:val="20"/>
                <w:szCs w:val="20"/>
              </w:rPr>
              <w:t>）</w:t>
            </w:r>
          </w:p>
        </w:tc>
      </w:tr>
      <w:tr w14:paraId="58CC94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230" w:type="dxa"/>
            <w:vMerge w:val="continue"/>
            <w:tcBorders>
              <w:top w:val="nil"/>
              <w:left w:val="nil"/>
            </w:tcBorders>
            <w:textDirection w:val="tbRlV"/>
            <w:vAlign w:val="top"/>
          </w:tcPr>
          <w:p w14:paraId="0D88959C">
            <w:pPr>
              <w:spacing w:line="227" w:lineRule="exact"/>
              <w:rPr>
                <w:rFonts w:ascii="Arial"/>
                <w:sz w:val="19"/>
              </w:rPr>
            </w:pPr>
          </w:p>
        </w:tc>
        <w:tc>
          <w:tcPr>
            <w:tcW w:w="2367" w:type="dxa"/>
            <w:vMerge w:val="continue"/>
            <w:tcBorders>
              <w:top w:val="nil"/>
            </w:tcBorders>
            <w:vAlign w:val="top"/>
          </w:tcPr>
          <w:p w14:paraId="55FD3240">
            <w:pPr>
              <w:rPr>
                <w:rFonts w:ascii="Arial"/>
                <w:sz w:val="21"/>
              </w:rPr>
            </w:pPr>
          </w:p>
        </w:tc>
        <w:tc>
          <w:tcPr>
            <w:tcW w:w="882" w:type="dxa"/>
            <w:vAlign w:val="top"/>
          </w:tcPr>
          <w:p w14:paraId="25724CA6">
            <w:pPr>
              <w:spacing w:before="76" w:line="192"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X</w:t>
            </w:r>
          </w:p>
        </w:tc>
        <w:tc>
          <w:tcPr>
            <w:tcW w:w="835" w:type="dxa"/>
            <w:vAlign w:val="top"/>
          </w:tcPr>
          <w:p w14:paraId="638E0CF9">
            <w:pPr>
              <w:spacing w:before="76" w:line="192" w:lineRule="auto"/>
              <w:ind w:left="34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Y</w:t>
            </w:r>
          </w:p>
        </w:tc>
        <w:tc>
          <w:tcPr>
            <w:tcW w:w="955" w:type="dxa"/>
            <w:vMerge w:val="continue"/>
            <w:tcBorders>
              <w:top w:val="nil"/>
            </w:tcBorders>
            <w:vAlign w:val="top"/>
          </w:tcPr>
          <w:p w14:paraId="7B1D9D21">
            <w:pPr>
              <w:rPr>
                <w:rFonts w:ascii="Arial"/>
                <w:sz w:val="21"/>
              </w:rPr>
            </w:pPr>
          </w:p>
        </w:tc>
        <w:tc>
          <w:tcPr>
            <w:tcW w:w="899" w:type="dxa"/>
            <w:vMerge w:val="continue"/>
            <w:tcBorders>
              <w:top w:val="nil"/>
            </w:tcBorders>
            <w:vAlign w:val="top"/>
          </w:tcPr>
          <w:p w14:paraId="5639691A">
            <w:pPr>
              <w:rPr>
                <w:rFonts w:ascii="Arial"/>
                <w:sz w:val="21"/>
              </w:rPr>
            </w:pPr>
          </w:p>
        </w:tc>
        <w:tc>
          <w:tcPr>
            <w:tcW w:w="936" w:type="dxa"/>
            <w:vMerge w:val="continue"/>
            <w:tcBorders>
              <w:top w:val="nil"/>
            </w:tcBorders>
            <w:vAlign w:val="top"/>
          </w:tcPr>
          <w:p w14:paraId="5AD058EC">
            <w:pPr>
              <w:rPr>
                <w:rFonts w:ascii="Arial"/>
                <w:sz w:val="21"/>
              </w:rPr>
            </w:pPr>
          </w:p>
        </w:tc>
        <w:tc>
          <w:tcPr>
            <w:tcW w:w="882" w:type="dxa"/>
            <w:vMerge w:val="continue"/>
            <w:tcBorders>
              <w:top w:val="nil"/>
            </w:tcBorders>
            <w:vAlign w:val="top"/>
          </w:tcPr>
          <w:p w14:paraId="332C4CF1">
            <w:pPr>
              <w:rPr>
                <w:rFonts w:ascii="Arial"/>
                <w:sz w:val="21"/>
              </w:rPr>
            </w:pPr>
          </w:p>
        </w:tc>
        <w:tc>
          <w:tcPr>
            <w:tcW w:w="1151" w:type="dxa"/>
            <w:vMerge w:val="continue"/>
            <w:tcBorders>
              <w:top w:val="nil"/>
            </w:tcBorders>
            <w:vAlign w:val="top"/>
          </w:tcPr>
          <w:p w14:paraId="2C99E15D">
            <w:pPr>
              <w:rPr>
                <w:rFonts w:ascii="Arial"/>
                <w:sz w:val="21"/>
              </w:rPr>
            </w:pPr>
          </w:p>
        </w:tc>
        <w:tc>
          <w:tcPr>
            <w:tcW w:w="899" w:type="dxa"/>
            <w:vMerge w:val="continue"/>
            <w:tcBorders>
              <w:top w:val="nil"/>
            </w:tcBorders>
            <w:vAlign w:val="top"/>
          </w:tcPr>
          <w:p w14:paraId="5D67CF1B">
            <w:pPr>
              <w:rPr>
                <w:rFonts w:ascii="Arial"/>
                <w:sz w:val="21"/>
              </w:rPr>
            </w:pPr>
          </w:p>
        </w:tc>
        <w:tc>
          <w:tcPr>
            <w:tcW w:w="650" w:type="dxa"/>
            <w:vMerge w:val="continue"/>
            <w:tcBorders>
              <w:top w:val="nil"/>
            </w:tcBorders>
            <w:vAlign w:val="top"/>
          </w:tcPr>
          <w:p w14:paraId="6E1DDD56">
            <w:pPr>
              <w:rPr>
                <w:rFonts w:ascii="Arial"/>
                <w:sz w:val="21"/>
              </w:rPr>
            </w:pPr>
          </w:p>
        </w:tc>
        <w:tc>
          <w:tcPr>
            <w:tcW w:w="871" w:type="dxa"/>
            <w:vAlign w:val="top"/>
          </w:tcPr>
          <w:p w14:paraId="577B86F3">
            <w:pPr>
              <w:pStyle w:val="6"/>
              <w:spacing w:before="37" w:line="208" w:lineRule="auto"/>
              <w:ind w:left="125"/>
              <w:rPr>
                <w:sz w:val="20"/>
                <w:szCs w:val="20"/>
              </w:rPr>
            </w:pPr>
            <w:r>
              <w:rPr>
                <w:spacing w:val="7"/>
                <w:sz w:val="20"/>
                <w:szCs w:val="20"/>
              </w:rPr>
              <w:t>颗粒物</w:t>
            </w:r>
          </w:p>
        </w:tc>
        <w:tc>
          <w:tcPr>
            <w:tcW w:w="1502" w:type="dxa"/>
            <w:vAlign w:val="top"/>
          </w:tcPr>
          <w:p w14:paraId="11FD558B">
            <w:pPr>
              <w:pStyle w:val="6"/>
              <w:spacing w:before="37" w:line="208" w:lineRule="auto"/>
              <w:ind w:left="126"/>
              <w:rPr>
                <w:sz w:val="20"/>
                <w:szCs w:val="20"/>
              </w:rPr>
            </w:pPr>
            <w:r>
              <w:rPr>
                <w:spacing w:val="8"/>
                <w:sz w:val="20"/>
                <w:szCs w:val="20"/>
              </w:rPr>
              <w:t>锰及其化合物</w:t>
            </w:r>
          </w:p>
        </w:tc>
        <w:tc>
          <w:tcPr>
            <w:tcW w:w="939" w:type="dxa"/>
            <w:tcBorders>
              <w:right w:val="nil"/>
            </w:tcBorders>
            <w:vAlign w:val="top"/>
          </w:tcPr>
          <w:p w14:paraId="5FCF5193">
            <w:pPr>
              <w:spacing w:before="83" w:line="191" w:lineRule="auto"/>
              <w:ind w:left="268"/>
              <w:rPr>
                <w:rFonts w:ascii="Times New Roman" w:hAnsi="Times New Roman" w:eastAsia="Times New Roman" w:cs="Times New Roman"/>
                <w:sz w:val="11"/>
                <w:szCs w:val="11"/>
              </w:rPr>
            </w:pPr>
            <w:r>
              <w:rPr>
                <w:rFonts w:ascii="Times New Roman" w:hAnsi="Times New Roman" w:eastAsia="Times New Roman" w:cs="Times New Roman"/>
                <w:sz w:val="18"/>
                <w:szCs w:val="18"/>
              </w:rPr>
              <w:t>PM</w:t>
            </w:r>
            <w:r>
              <w:rPr>
                <w:rFonts w:ascii="Times New Roman" w:hAnsi="Times New Roman" w:eastAsia="Times New Roman" w:cs="Times New Roman"/>
                <w:spacing w:val="1"/>
                <w:position w:val="-1"/>
                <w:sz w:val="11"/>
                <w:szCs w:val="11"/>
              </w:rPr>
              <w:t>2.5</w:t>
            </w:r>
          </w:p>
        </w:tc>
      </w:tr>
      <w:tr w14:paraId="144DF4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230" w:type="dxa"/>
            <w:tcBorders>
              <w:left w:val="nil"/>
            </w:tcBorders>
            <w:vAlign w:val="top"/>
          </w:tcPr>
          <w:p w14:paraId="794979F0">
            <w:pPr>
              <w:spacing w:before="77" w:line="194" w:lineRule="auto"/>
              <w:ind w:left="68"/>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2367" w:type="dxa"/>
            <w:vAlign w:val="top"/>
          </w:tcPr>
          <w:p w14:paraId="3B89DA0A">
            <w:pPr>
              <w:pStyle w:val="6"/>
              <w:spacing w:before="40" w:line="205" w:lineRule="auto"/>
              <w:ind w:left="479"/>
              <w:rPr>
                <w:sz w:val="20"/>
                <w:szCs w:val="20"/>
              </w:rPr>
            </w:pPr>
            <w:r>
              <w:rPr>
                <w:spacing w:val="5"/>
                <w:sz w:val="20"/>
                <w:szCs w:val="20"/>
              </w:rPr>
              <w:t>电炉车间无组织</w:t>
            </w:r>
          </w:p>
        </w:tc>
        <w:tc>
          <w:tcPr>
            <w:tcW w:w="882" w:type="dxa"/>
            <w:vAlign w:val="top"/>
          </w:tcPr>
          <w:p w14:paraId="4B809FA5">
            <w:pPr>
              <w:spacing w:before="77" w:line="194" w:lineRule="auto"/>
              <w:ind w:left="2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210</w:t>
            </w:r>
          </w:p>
        </w:tc>
        <w:tc>
          <w:tcPr>
            <w:tcW w:w="835" w:type="dxa"/>
            <w:vAlign w:val="top"/>
          </w:tcPr>
          <w:p w14:paraId="20AB4B92">
            <w:pPr>
              <w:spacing w:before="77" w:line="194"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-497</w:t>
            </w:r>
          </w:p>
        </w:tc>
        <w:tc>
          <w:tcPr>
            <w:tcW w:w="955" w:type="dxa"/>
            <w:vAlign w:val="top"/>
          </w:tcPr>
          <w:p w14:paraId="3F7727F4">
            <w:pPr>
              <w:spacing w:before="77" w:line="194"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1147</w:t>
            </w:r>
          </w:p>
        </w:tc>
        <w:tc>
          <w:tcPr>
            <w:tcW w:w="899" w:type="dxa"/>
            <w:vAlign w:val="top"/>
          </w:tcPr>
          <w:p w14:paraId="23D824F4">
            <w:pPr>
              <w:spacing w:before="77" w:line="194"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137</w:t>
            </w:r>
          </w:p>
        </w:tc>
        <w:tc>
          <w:tcPr>
            <w:tcW w:w="936" w:type="dxa"/>
            <w:vAlign w:val="top"/>
          </w:tcPr>
          <w:p w14:paraId="58C1C788">
            <w:pPr>
              <w:spacing w:before="77" w:line="194" w:lineRule="auto"/>
              <w:ind w:left="368"/>
              <w:rPr>
                <w:rFonts w:ascii="Times New Roman" w:hAnsi="Times New Roman" w:eastAsia="Times New Roman" w:cs="Times New Roman"/>
                <w:sz w:val="20"/>
                <w:szCs w:val="20"/>
              </w:rPr>
            </w:pPr>
            <w:r>
              <w:rPr>
                <w:rFonts w:ascii="Times New Roman" w:hAnsi="Times New Roman" w:eastAsia="Times New Roman" w:cs="Times New Roman"/>
                <w:sz w:val="20"/>
                <w:szCs w:val="20"/>
              </w:rPr>
              <w:t>93</w:t>
            </w:r>
          </w:p>
        </w:tc>
        <w:tc>
          <w:tcPr>
            <w:tcW w:w="882" w:type="dxa"/>
            <w:vAlign w:val="top"/>
          </w:tcPr>
          <w:p w14:paraId="445E6B37">
            <w:pPr>
              <w:spacing w:before="77" w:line="194"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04E909A2">
            <w:pPr>
              <w:spacing w:before="77" w:line="194" w:lineRule="auto"/>
              <w:ind w:left="475"/>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899" w:type="dxa"/>
            <w:vAlign w:val="top"/>
          </w:tcPr>
          <w:p w14:paraId="0F6C5E00">
            <w:pPr>
              <w:spacing w:before="77" w:line="194"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8000</w:t>
            </w:r>
          </w:p>
        </w:tc>
        <w:tc>
          <w:tcPr>
            <w:tcW w:w="650" w:type="dxa"/>
            <w:vAlign w:val="top"/>
          </w:tcPr>
          <w:p w14:paraId="11870E4C">
            <w:pPr>
              <w:pStyle w:val="6"/>
              <w:spacing w:before="40" w:line="205" w:lineRule="auto"/>
              <w:ind w:left="125"/>
              <w:rPr>
                <w:sz w:val="20"/>
                <w:szCs w:val="20"/>
              </w:rPr>
            </w:pPr>
            <w:r>
              <w:rPr>
                <w:spacing w:val="2"/>
                <w:sz w:val="20"/>
                <w:szCs w:val="20"/>
              </w:rPr>
              <w:t>正常</w:t>
            </w:r>
          </w:p>
        </w:tc>
        <w:tc>
          <w:tcPr>
            <w:tcW w:w="871" w:type="dxa"/>
            <w:vAlign w:val="top"/>
          </w:tcPr>
          <w:p w14:paraId="331187D7">
            <w:pPr>
              <w:spacing w:before="77" w:line="194"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w:t>
            </w:r>
          </w:p>
        </w:tc>
        <w:tc>
          <w:tcPr>
            <w:tcW w:w="1502" w:type="dxa"/>
            <w:vAlign w:val="top"/>
          </w:tcPr>
          <w:p w14:paraId="4D1AD083">
            <w:pPr>
              <w:spacing w:before="77" w:line="194" w:lineRule="auto"/>
              <w:ind w:left="5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9" w:type="dxa"/>
            <w:tcBorders>
              <w:right w:val="nil"/>
            </w:tcBorders>
            <w:vAlign w:val="top"/>
          </w:tcPr>
          <w:p w14:paraId="0278CD6F">
            <w:pPr>
              <w:spacing w:before="77" w:line="194"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w:t>
            </w:r>
          </w:p>
        </w:tc>
      </w:tr>
      <w:tr w14:paraId="61A107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230" w:type="dxa"/>
            <w:tcBorders>
              <w:left w:val="nil"/>
            </w:tcBorders>
            <w:vAlign w:val="top"/>
          </w:tcPr>
          <w:p w14:paraId="63F3E069">
            <w:pPr>
              <w:spacing w:before="81" w:line="189" w:lineRule="auto"/>
              <w:ind w:left="31"/>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2367" w:type="dxa"/>
            <w:vAlign w:val="top"/>
          </w:tcPr>
          <w:p w14:paraId="6AC95709">
            <w:pPr>
              <w:pStyle w:val="6"/>
              <w:spacing w:before="45" w:line="201" w:lineRule="auto"/>
              <w:ind w:left="479"/>
              <w:rPr>
                <w:sz w:val="20"/>
                <w:szCs w:val="20"/>
              </w:rPr>
            </w:pPr>
            <w:r>
              <w:rPr>
                <w:spacing w:val="5"/>
                <w:sz w:val="20"/>
                <w:szCs w:val="20"/>
              </w:rPr>
              <w:t>电炉车间无组织</w:t>
            </w:r>
          </w:p>
        </w:tc>
        <w:tc>
          <w:tcPr>
            <w:tcW w:w="882" w:type="dxa"/>
            <w:vAlign w:val="top"/>
          </w:tcPr>
          <w:p w14:paraId="4F79AAA7">
            <w:pPr>
              <w:spacing w:before="81" w:line="189" w:lineRule="auto"/>
              <w:ind w:left="2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215</w:t>
            </w:r>
          </w:p>
        </w:tc>
        <w:tc>
          <w:tcPr>
            <w:tcW w:w="835" w:type="dxa"/>
            <w:vAlign w:val="top"/>
          </w:tcPr>
          <w:p w14:paraId="7CA8AADA">
            <w:pPr>
              <w:spacing w:before="81" w:line="189"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-550</w:t>
            </w:r>
          </w:p>
        </w:tc>
        <w:tc>
          <w:tcPr>
            <w:tcW w:w="955" w:type="dxa"/>
            <w:vAlign w:val="top"/>
          </w:tcPr>
          <w:p w14:paraId="61BFEF66">
            <w:pPr>
              <w:spacing w:before="81" w:line="189"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1147</w:t>
            </w:r>
          </w:p>
        </w:tc>
        <w:tc>
          <w:tcPr>
            <w:tcW w:w="899" w:type="dxa"/>
            <w:vAlign w:val="top"/>
          </w:tcPr>
          <w:p w14:paraId="2A5D7C88">
            <w:pPr>
              <w:spacing w:before="81" w:line="189"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137</w:t>
            </w:r>
          </w:p>
        </w:tc>
        <w:tc>
          <w:tcPr>
            <w:tcW w:w="936" w:type="dxa"/>
            <w:vAlign w:val="top"/>
          </w:tcPr>
          <w:p w14:paraId="3C24637E">
            <w:pPr>
              <w:spacing w:before="81" w:line="189" w:lineRule="auto"/>
              <w:ind w:left="368"/>
              <w:rPr>
                <w:rFonts w:ascii="Times New Roman" w:hAnsi="Times New Roman" w:eastAsia="Times New Roman" w:cs="Times New Roman"/>
                <w:sz w:val="20"/>
                <w:szCs w:val="20"/>
              </w:rPr>
            </w:pPr>
            <w:r>
              <w:rPr>
                <w:rFonts w:ascii="Times New Roman" w:hAnsi="Times New Roman" w:eastAsia="Times New Roman" w:cs="Times New Roman"/>
                <w:sz w:val="20"/>
                <w:szCs w:val="20"/>
              </w:rPr>
              <w:t>93</w:t>
            </w:r>
          </w:p>
        </w:tc>
        <w:tc>
          <w:tcPr>
            <w:tcW w:w="882" w:type="dxa"/>
            <w:vAlign w:val="top"/>
          </w:tcPr>
          <w:p w14:paraId="2290BF4B">
            <w:pPr>
              <w:spacing w:before="81" w:line="189"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0C20EF9E">
            <w:pPr>
              <w:spacing w:before="81" w:line="189" w:lineRule="auto"/>
              <w:ind w:left="475"/>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899" w:type="dxa"/>
            <w:vAlign w:val="top"/>
          </w:tcPr>
          <w:p w14:paraId="2BFE18F6">
            <w:pPr>
              <w:spacing w:before="81" w:line="189"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8000</w:t>
            </w:r>
          </w:p>
        </w:tc>
        <w:tc>
          <w:tcPr>
            <w:tcW w:w="650" w:type="dxa"/>
            <w:vAlign w:val="top"/>
          </w:tcPr>
          <w:p w14:paraId="19212DA3">
            <w:pPr>
              <w:pStyle w:val="6"/>
              <w:spacing w:before="45" w:line="201" w:lineRule="auto"/>
              <w:ind w:left="125"/>
              <w:rPr>
                <w:sz w:val="20"/>
                <w:szCs w:val="20"/>
              </w:rPr>
            </w:pPr>
            <w:r>
              <w:rPr>
                <w:spacing w:val="2"/>
                <w:sz w:val="20"/>
                <w:szCs w:val="20"/>
              </w:rPr>
              <w:t>正常</w:t>
            </w:r>
          </w:p>
        </w:tc>
        <w:tc>
          <w:tcPr>
            <w:tcW w:w="871" w:type="dxa"/>
            <w:vAlign w:val="top"/>
          </w:tcPr>
          <w:p w14:paraId="0893E68A">
            <w:pPr>
              <w:spacing w:before="81" w:line="189"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w:t>
            </w:r>
          </w:p>
        </w:tc>
        <w:tc>
          <w:tcPr>
            <w:tcW w:w="1502" w:type="dxa"/>
            <w:vAlign w:val="top"/>
          </w:tcPr>
          <w:p w14:paraId="79AC1333">
            <w:pPr>
              <w:spacing w:before="81" w:line="189" w:lineRule="auto"/>
              <w:ind w:left="5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9" w:type="dxa"/>
            <w:tcBorders>
              <w:right w:val="nil"/>
            </w:tcBorders>
            <w:vAlign w:val="top"/>
          </w:tcPr>
          <w:p w14:paraId="2882C0E0">
            <w:pPr>
              <w:spacing w:before="81" w:line="189"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w:t>
            </w:r>
          </w:p>
        </w:tc>
      </w:tr>
      <w:tr w14:paraId="1C8849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7" w:hRule="atLeast"/>
        </w:trPr>
        <w:tc>
          <w:tcPr>
            <w:tcW w:w="230" w:type="dxa"/>
            <w:tcBorders>
              <w:left w:val="nil"/>
              <w:bottom w:val="single" w:color="000000" w:sz="10" w:space="0"/>
            </w:tcBorders>
            <w:vAlign w:val="top"/>
          </w:tcPr>
          <w:p w14:paraId="7F24D301">
            <w:pPr>
              <w:spacing w:before="86" w:line="195" w:lineRule="auto"/>
              <w:ind w:left="31"/>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11</w:t>
            </w:r>
          </w:p>
        </w:tc>
        <w:tc>
          <w:tcPr>
            <w:tcW w:w="2367" w:type="dxa"/>
            <w:tcBorders>
              <w:bottom w:val="single" w:color="000000" w:sz="10" w:space="0"/>
            </w:tcBorders>
            <w:vAlign w:val="top"/>
          </w:tcPr>
          <w:p w14:paraId="5A317873">
            <w:pPr>
              <w:pStyle w:val="6"/>
              <w:spacing w:before="50" w:line="218" w:lineRule="auto"/>
              <w:ind w:left="479"/>
              <w:rPr>
                <w:sz w:val="20"/>
                <w:szCs w:val="20"/>
              </w:rPr>
            </w:pPr>
            <w:r>
              <w:rPr>
                <w:spacing w:val="5"/>
                <w:sz w:val="20"/>
                <w:szCs w:val="20"/>
              </w:rPr>
              <w:t>电炉车间无组织</w:t>
            </w:r>
          </w:p>
        </w:tc>
        <w:tc>
          <w:tcPr>
            <w:tcW w:w="882" w:type="dxa"/>
            <w:tcBorders>
              <w:bottom w:val="single" w:color="000000" w:sz="10" w:space="0"/>
            </w:tcBorders>
            <w:vAlign w:val="top"/>
          </w:tcPr>
          <w:p w14:paraId="6DDC9502">
            <w:pPr>
              <w:spacing w:before="86" w:line="195" w:lineRule="auto"/>
              <w:ind w:left="2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224</w:t>
            </w:r>
          </w:p>
        </w:tc>
        <w:tc>
          <w:tcPr>
            <w:tcW w:w="835" w:type="dxa"/>
            <w:tcBorders>
              <w:bottom w:val="single" w:color="000000" w:sz="10" w:space="0"/>
            </w:tcBorders>
            <w:vAlign w:val="top"/>
          </w:tcPr>
          <w:p w14:paraId="5480B750">
            <w:pPr>
              <w:spacing w:before="86"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-614</w:t>
            </w:r>
          </w:p>
        </w:tc>
        <w:tc>
          <w:tcPr>
            <w:tcW w:w="955" w:type="dxa"/>
            <w:tcBorders>
              <w:bottom w:val="single" w:color="000000" w:sz="10" w:space="0"/>
            </w:tcBorders>
            <w:vAlign w:val="top"/>
          </w:tcPr>
          <w:p w14:paraId="6245228B">
            <w:pPr>
              <w:spacing w:before="86"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1147</w:t>
            </w:r>
          </w:p>
        </w:tc>
        <w:tc>
          <w:tcPr>
            <w:tcW w:w="899" w:type="dxa"/>
            <w:tcBorders>
              <w:bottom w:val="single" w:color="000000" w:sz="10" w:space="0"/>
            </w:tcBorders>
            <w:vAlign w:val="top"/>
          </w:tcPr>
          <w:p w14:paraId="7D4235D6">
            <w:pPr>
              <w:spacing w:before="86"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137</w:t>
            </w:r>
          </w:p>
        </w:tc>
        <w:tc>
          <w:tcPr>
            <w:tcW w:w="936" w:type="dxa"/>
            <w:tcBorders>
              <w:bottom w:val="single" w:color="000000" w:sz="10" w:space="0"/>
            </w:tcBorders>
            <w:vAlign w:val="top"/>
          </w:tcPr>
          <w:p w14:paraId="7C54B260">
            <w:pPr>
              <w:spacing w:before="86" w:line="195" w:lineRule="auto"/>
              <w:ind w:left="368"/>
              <w:rPr>
                <w:rFonts w:ascii="Times New Roman" w:hAnsi="Times New Roman" w:eastAsia="Times New Roman" w:cs="Times New Roman"/>
                <w:sz w:val="20"/>
                <w:szCs w:val="20"/>
              </w:rPr>
            </w:pPr>
            <w:r>
              <w:rPr>
                <w:rFonts w:ascii="Times New Roman" w:hAnsi="Times New Roman" w:eastAsia="Times New Roman" w:cs="Times New Roman"/>
                <w:sz w:val="20"/>
                <w:szCs w:val="20"/>
              </w:rPr>
              <w:t>93</w:t>
            </w:r>
          </w:p>
        </w:tc>
        <w:tc>
          <w:tcPr>
            <w:tcW w:w="882" w:type="dxa"/>
            <w:tcBorders>
              <w:bottom w:val="single" w:color="000000" w:sz="10" w:space="0"/>
            </w:tcBorders>
            <w:vAlign w:val="top"/>
          </w:tcPr>
          <w:p w14:paraId="05D8B572">
            <w:pPr>
              <w:spacing w:before="86" w:line="195"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tcBorders>
              <w:bottom w:val="single" w:color="000000" w:sz="10" w:space="0"/>
            </w:tcBorders>
            <w:vAlign w:val="top"/>
          </w:tcPr>
          <w:p w14:paraId="5C9D01E4">
            <w:pPr>
              <w:spacing w:before="86" w:line="195" w:lineRule="auto"/>
              <w:ind w:left="475"/>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899" w:type="dxa"/>
            <w:tcBorders>
              <w:bottom w:val="single" w:color="000000" w:sz="10" w:space="0"/>
            </w:tcBorders>
            <w:vAlign w:val="top"/>
          </w:tcPr>
          <w:p w14:paraId="7AACDACF">
            <w:pPr>
              <w:spacing w:before="86"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8000</w:t>
            </w:r>
          </w:p>
        </w:tc>
        <w:tc>
          <w:tcPr>
            <w:tcW w:w="650" w:type="dxa"/>
            <w:tcBorders>
              <w:bottom w:val="single" w:color="000000" w:sz="10" w:space="0"/>
            </w:tcBorders>
            <w:vAlign w:val="top"/>
          </w:tcPr>
          <w:p w14:paraId="1F613EB6">
            <w:pPr>
              <w:pStyle w:val="6"/>
              <w:spacing w:before="50" w:line="218" w:lineRule="auto"/>
              <w:ind w:left="125"/>
              <w:rPr>
                <w:sz w:val="20"/>
                <w:szCs w:val="20"/>
              </w:rPr>
            </w:pPr>
            <w:r>
              <w:rPr>
                <w:spacing w:val="2"/>
                <w:sz w:val="20"/>
                <w:szCs w:val="20"/>
              </w:rPr>
              <w:t>正常</w:t>
            </w:r>
          </w:p>
        </w:tc>
        <w:tc>
          <w:tcPr>
            <w:tcW w:w="871" w:type="dxa"/>
            <w:tcBorders>
              <w:bottom w:val="single" w:color="000000" w:sz="10" w:space="0"/>
            </w:tcBorders>
            <w:vAlign w:val="top"/>
          </w:tcPr>
          <w:p w14:paraId="427AC971">
            <w:pPr>
              <w:spacing w:before="86"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w:t>
            </w:r>
          </w:p>
        </w:tc>
        <w:tc>
          <w:tcPr>
            <w:tcW w:w="1502" w:type="dxa"/>
            <w:tcBorders>
              <w:bottom w:val="single" w:color="000000" w:sz="10" w:space="0"/>
            </w:tcBorders>
            <w:vAlign w:val="top"/>
          </w:tcPr>
          <w:p w14:paraId="1FE6C75E">
            <w:pPr>
              <w:spacing w:before="86" w:line="195" w:lineRule="auto"/>
              <w:ind w:left="5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9" w:type="dxa"/>
            <w:tcBorders>
              <w:bottom w:val="single" w:color="000000" w:sz="10" w:space="0"/>
              <w:right w:val="nil"/>
            </w:tcBorders>
            <w:vAlign w:val="top"/>
          </w:tcPr>
          <w:p w14:paraId="38B3D8F5">
            <w:pPr>
              <w:spacing w:before="86"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w:t>
            </w:r>
          </w:p>
        </w:tc>
      </w:tr>
    </w:tbl>
    <w:p w14:paraId="406298E9">
      <w:pPr>
        <w:spacing w:before="30" w:line="221" w:lineRule="auto"/>
        <w:ind w:left="4235"/>
        <w:rPr>
          <w:rFonts w:ascii="Times New Roman" w:hAnsi="Times New Roman" w:eastAsia="Times New Roman" w:cs="Times New Roman"/>
          <w:sz w:val="20"/>
          <w:szCs w:val="20"/>
        </w:rPr>
      </w:pPr>
      <w:r>
        <w:rPr>
          <w:rFonts w:ascii="宋体" w:hAnsi="宋体" w:eastAsia="宋体" w:cs="宋体"/>
          <w:b/>
          <w:bCs/>
          <w:spacing w:val="6"/>
          <w:sz w:val="20"/>
          <w:szCs w:val="20"/>
        </w:rPr>
        <w:t>表</w:t>
      </w:r>
      <w:r>
        <w:rPr>
          <w:rFonts w:ascii="宋体" w:hAnsi="宋体" w:eastAsia="宋体" w:cs="宋体"/>
          <w:spacing w:val="-33"/>
          <w:sz w:val="20"/>
          <w:szCs w:val="20"/>
        </w:rPr>
        <w:t xml:space="preserve"> </w:t>
      </w:r>
      <w:r>
        <w:rPr>
          <w:rFonts w:ascii="Times New Roman" w:hAnsi="Times New Roman" w:eastAsia="Times New Roman" w:cs="Times New Roman"/>
          <w:b/>
          <w:bCs/>
          <w:spacing w:val="6"/>
          <w:sz w:val="20"/>
          <w:szCs w:val="20"/>
        </w:rPr>
        <w:t xml:space="preserve">1.6-6        </w:t>
      </w:r>
      <w:r>
        <w:rPr>
          <w:rFonts w:ascii="宋体" w:hAnsi="宋体" w:eastAsia="宋体" w:cs="宋体"/>
          <w:b/>
          <w:bCs/>
          <w:spacing w:val="6"/>
          <w:sz w:val="20"/>
          <w:szCs w:val="20"/>
        </w:rPr>
        <w:t>项目污染物排放源估算结果</w:t>
      </w:r>
      <w:r>
        <w:rPr>
          <w:rFonts w:ascii="宋体" w:hAnsi="宋体" w:eastAsia="宋体" w:cs="宋体"/>
          <w:b/>
          <w:bCs/>
          <w:spacing w:val="5"/>
          <w:sz w:val="20"/>
          <w:szCs w:val="20"/>
        </w:rPr>
        <w:t>一览表</w:t>
      </w:r>
      <w:r>
        <w:rPr>
          <w:rFonts w:ascii="宋体" w:hAnsi="宋体" w:eastAsia="宋体" w:cs="宋体"/>
          <w:spacing w:val="5"/>
          <w:sz w:val="20"/>
          <w:szCs w:val="20"/>
        </w:rPr>
        <w:t xml:space="preserve">    </w:t>
      </w:r>
      <w:r>
        <w:rPr>
          <w:rFonts w:ascii="宋体" w:hAnsi="宋体" w:eastAsia="宋体" w:cs="宋体"/>
          <w:b/>
          <w:bCs/>
          <w:spacing w:val="5"/>
          <w:sz w:val="20"/>
          <w:szCs w:val="20"/>
        </w:rPr>
        <w:t>单位：</w:t>
      </w:r>
      <w:r>
        <w:rPr>
          <w:rFonts w:ascii="Times New Roman" w:hAnsi="Times New Roman" w:eastAsia="Times New Roman" w:cs="Times New Roman"/>
          <w:b/>
          <w:bCs/>
          <w:spacing w:val="5"/>
          <w:sz w:val="20"/>
          <w:szCs w:val="20"/>
        </w:rPr>
        <w:t>%|m</w:t>
      </w:r>
    </w:p>
    <w:p w14:paraId="4B2C83AA">
      <w:pPr>
        <w:spacing w:line="139" w:lineRule="exact"/>
      </w:pPr>
    </w:p>
    <w:tbl>
      <w:tblPr>
        <w:tblStyle w:val="5"/>
        <w:tblW w:w="1421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7"/>
        <w:gridCol w:w="2993"/>
        <w:gridCol w:w="946"/>
        <w:gridCol w:w="998"/>
        <w:gridCol w:w="1188"/>
        <w:gridCol w:w="1228"/>
        <w:gridCol w:w="1173"/>
        <w:gridCol w:w="1276"/>
        <w:gridCol w:w="1276"/>
        <w:gridCol w:w="1393"/>
        <w:gridCol w:w="1162"/>
      </w:tblGrid>
      <w:tr w14:paraId="25693F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577" w:type="dxa"/>
            <w:tcBorders>
              <w:top w:val="single" w:color="000000" w:sz="10" w:space="0"/>
              <w:left w:val="nil"/>
            </w:tcBorders>
            <w:textDirection w:val="tbRlV"/>
            <w:vAlign w:val="top"/>
          </w:tcPr>
          <w:p w14:paraId="1673B7FA">
            <w:pPr>
              <w:pStyle w:val="6"/>
              <w:spacing w:before="196" w:line="210" w:lineRule="auto"/>
              <w:ind w:left="31"/>
              <w:rPr>
                <w:sz w:val="18"/>
                <w:szCs w:val="18"/>
              </w:rPr>
            </w:pPr>
            <w:r>
              <w:rPr>
                <w:b/>
                <w:bCs/>
                <w:spacing w:val="24"/>
                <w:sz w:val="18"/>
                <w:szCs w:val="18"/>
              </w:rPr>
              <w:t>序号</w:t>
            </w:r>
          </w:p>
        </w:tc>
        <w:tc>
          <w:tcPr>
            <w:tcW w:w="2993" w:type="dxa"/>
            <w:tcBorders>
              <w:top w:val="single" w:color="000000" w:sz="10" w:space="0"/>
            </w:tcBorders>
            <w:vAlign w:val="top"/>
          </w:tcPr>
          <w:p w14:paraId="11A6AECD">
            <w:pPr>
              <w:pStyle w:val="6"/>
              <w:spacing w:before="149" w:line="220" w:lineRule="auto"/>
              <w:ind w:left="1050"/>
              <w:rPr>
                <w:sz w:val="18"/>
                <w:szCs w:val="18"/>
              </w:rPr>
            </w:pPr>
            <w:r>
              <w:rPr>
                <w:b/>
                <w:bCs/>
                <w:spacing w:val="-4"/>
                <w:sz w:val="18"/>
                <w:szCs w:val="18"/>
              </w:rPr>
              <w:t>污染源名称</w:t>
            </w:r>
          </w:p>
        </w:tc>
        <w:tc>
          <w:tcPr>
            <w:tcW w:w="946" w:type="dxa"/>
            <w:tcBorders>
              <w:top w:val="single" w:color="000000" w:sz="10" w:space="0"/>
            </w:tcBorders>
            <w:vAlign w:val="top"/>
          </w:tcPr>
          <w:p w14:paraId="48D2108D">
            <w:pPr>
              <w:pStyle w:val="6"/>
              <w:spacing w:before="43" w:line="220" w:lineRule="auto"/>
              <w:ind w:left="117"/>
              <w:rPr>
                <w:sz w:val="18"/>
                <w:szCs w:val="18"/>
              </w:rPr>
            </w:pPr>
            <w:r>
              <w:rPr>
                <w:b/>
                <w:bCs/>
                <w:spacing w:val="-4"/>
                <w:sz w:val="18"/>
                <w:szCs w:val="18"/>
              </w:rPr>
              <w:t>离源距离</w:t>
            </w:r>
          </w:p>
          <w:p w14:paraId="01C20C24">
            <w:pPr>
              <w:spacing w:before="37" w:line="188" w:lineRule="auto"/>
              <w:ind w:left="343"/>
              <w:rPr>
                <w:rFonts w:ascii="Times New Roman" w:hAnsi="Times New Roman" w:eastAsia="Times New Roman" w:cs="Times New Roman"/>
                <w:sz w:val="18"/>
                <w:szCs w:val="18"/>
              </w:rPr>
            </w:pPr>
            <w:r>
              <w:rPr>
                <w:rFonts w:ascii="Times New Roman" w:hAnsi="Times New Roman" w:eastAsia="Times New Roman" w:cs="Times New Roman"/>
                <w:b/>
                <w:bCs/>
                <w:spacing w:val="-3"/>
                <w:sz w:val="18"/>
                <w:szCs w:val="18"/>
              </w:rPr>
              <w:t>(m)</w:t>
            </w:r>
          </w:p>
        </w:tc>
        <w:tc>
          <w:tcPr>
            <w:tcW w:w="998" w:type="dxa"/>
            <w:tcBorders>
              <w:top w:val="single" w:color="000000" w:sz="10" w:space="0"/>
            </w:tcBorders>
            <w:vAlign w:val="top"/>
          </w:tcPr>
          <w:p w14:paraId="071D088A">
            <w:pPr>
              <w:pStyle w:val="6"/>
              <w:spacing w:before="43" w:line="219" w:lineRule="auto"/>
              <w:ind w:left="141"/>
              <w:rPr>
                <w:sz w:val="18"/>
                <w:szCs w:val="18"/>
              </w:rPr>
            </w:pPr>
            <w:r>
              <w:rPr>
                <w:b/>
                <w:bCs/>
                <w:spacing w:val="-4"/>
                <w:sz w:val="18"/>
                <w:szCs w:val="18"/>
              </w:rPr>
              <w:t>相对源高</w:t>
            </w:r>
          </w:p>
          <w:p w14:paraId="7431C16E">
            <w:pPr>
              <w:spacing w:before="38" w:line="188" w:lineRule="auto"/>
              <w:ind w:left="369"/>
              <w:rPr>
                <w:rFonts w:ascii="Times New Roman" w:hAnsi="Times New Roman" w:eastAsia="Times New Roman" w:cs="Times New Roman"/>
                <w:sz w:val="18"/>
                <w:szCs w:val="18"/>
              </w:rPr>
            </w:pPr>
            <w:r>
              <w:rPr>
                <w:rFonts w:ascii="Times New Roman" w:hAnsi="Times New Roman" w:eastAsia="Times New Roman" w:cs="Times New Roman"/>
                <w:b/>
                <w:bCs/>
                <w:spacing w:val="-3"/>
                <w:sz w:val="18"/>
                <w:szCs w:val="18"/>
              </w:rPr>
              <w:t>(m)</w:t>
            </w:r>
          </w:p>
        </w:tc>
        <w:tc>
          <w:tcPr>
            <w:tcW w:w="1188" w:type="dxa"/>
            <w:tcBorders>
              <w:top w:val="single" w:color="000000" w:sz="10" w:space="0"/>
            </w:tcBorders>
            <w:vAlign w:val="top"/>
          </w:tcPr>
          <w:p w14:paraId="52C8BEA8">
            <w:pPr>
              <w:spacing w:before="178" w:line="188" w:lineRule="auto"/>
              <w:ind w:left="141"/>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SO</w:t>
            </w:r>
            <w:r>
              <w:rPr>
                <w:rFonts w:ascii="Times New Roman" w:hAnsi="Times New Roman" w:eastAsia="Times New Roman" w:cs="Times New Roman"/>
                <w:b/>
                <w:bCs/>
                <w:spacing w:val="-1"/>
                <w:position w:val="-1"/>
                <w:sz w:val="11"/>
                <w:szCs w:val="11"/>
              </w:rPr>
              <w:t>2</w:t>
            </w:r>
            <w:r>
              <w:rPr>
                <w:rFonts w:ascii="Times New Roman" w:hAnsi="Times New Roman" w:eastAsia="Times New Roman" w:cs="Times New Roman"/>
                <w:b/>
                <w:bCs/>
                <w:spacing w:val="-1"/>
                <w:sz w:val="18"/>
                <w:szCs w:val="18"/>
              </w:rPr>
              <w:t>|D10(m)</w:t>
            </w:r>
          </w:p>
        </w:tc>
        <w:tc>
          <w:tcPr>
            <w:tcW w:w="1228" w:type="dxa"/>
            <w:tcBorders>
              <w:top w:val="single" w:color="000000" w:sz="10" w:space="0"/>
            </w:tcBorders>
            <w:vAlign w:val="top"/>
          </w:tcPr>
          <w:p w14:paraId="015C0BFC">
            <w:pPr>
              <w:spacing w:before="178" w:line="188" w:lineRule="auto"/>
              <w:ind w:left="139"/>
              <w:rPr>
                <w:rFonts w:ascii="Times New Roman" w:hAnsi="Times New Roman" w:eastAsia="Times New Roman" w:cs="Times New Roman"/>
                <w:sz w:val="18"/>
                <w:szCs w:val="18"/>
              </w:rPr>
            </w:pPr>
            <w:r>
              <w:rPr>
                <w:rFonts w:ascii="Times New Roman" w:hAnsi="Times New Roman" w:eastAsia="Times New Roman" w:cs="Times New Roman"/>
                <w:b/>
                <w:bCs/>
                <w:sz w:val="18"/>
                <w:szCs w:val="18"/>
              </w:rPr>
              <w:t>NO</w:t>
            </w:r>
            <w:r>
              <w:rPr>
                <w:rFonts w:ascii="Times New Roman" w:hAnsi="Times New Roman" w:eastAsia="Times New Roman" w:cs="Times New Roman"/>
                <w:b/>
                <w:bCs/>
                <w:position w:val="-1"/>
                <w:sz w:val="11"/>
                <w:szCs w:val="11"/>
              </w:rPr>
              <w:t>2</w:t>
            </w:r>
            <w:r>
              <w:rPr>
                <w:rFonts w:ascii="Times New Roman" w:hAnsi="Times New Roman" w:eastAsia="Times New Roman" w:cs="Times New Roman"/>
                <w:b/>
                <w:bCs/>
                <w:sz w:val="18"/>
                <w:szCs w:val="18"/>
              </w:rPr>
              <w:t>|D10(m)</w:t>
            </w:r>
          </w:p>
        </w:tc>
        <w:tc>
          <w:tcPr>
            <w:tcW w:w="1173" w:type="dxa"/>
            <w:tcBorders>
              <w:top w:val="single" w:color="000000" w:sz="10" w:space="0"/>
            </w:tcBorders>
            <w:vAlign w:val="top"/>
          </w:tcPr>
          <w:p w14:paraId="75BD01E3">
            <w:pPr>
              <w:spacing w:before="178" w:line="188" w:lineRule="auto"/>
              <w:ind w:left="115"/>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TSP|D10(m)</w:t>
            </w:r>
          </w:p>
        </w:tc>
        <w:tc>
          <w:tcPr>
            <w:tcW w:w="1276" w:type="dxa"/>
            <w:tcBorders>
              <w:top w:val="single" w:color="000000" w:sz="10" w:space="0"/>
            </w:tcBorders>
            <w:vAlign w:val="top"/>
          </w:tcPr>
          <w:p w14:paraId="6F69F551">
            <w:pPr>
              <w:spacing w:before="178" w:line="188" w:lineRule="auto"/>
              <w:ind w:left="133"/>
              <w:rPr>
                <w:rFonts w:ascii="Times New Roman" w:hAnsi="Times New Roman" w:eastAsia="Times New Roman" w:cs="Times New Roman"/>
                <w:sz w:val="18"/>
                <w:szCs w:val="18"/>
              </w:rPr>
            </w:pPr>
            <w:r>
              <w:rPr>
                <w:rFonts w:ascii="Times New Roman" w:hAnsi="Times New Roman" w:eastAsia="Times New Roman" w:cs="Times New Roman"/>
                <w:b/>
                <w:bCs/>
                <w:sz w:val="18"/>
                <w:szCs w:val="18"/>
              </w:rPr>
              <w:t>PM</w:t>
            </w:r>
            <w:r>
              <w:rPr>
                <w:rFonts w:ascii="Times New Roman" w:hAnsi="Times New Roman" w:eastAsia="Times New Roman" w:cs="Times New Roman"/>
                <w:b/>
                <w:bCs/>
                <w:position w:val="-1"/>
                <w:sz w:val="11"/>
                <w:szCs w:val="11"/>
              </w:rPr>
              <w:t>10</w:t>
            </w:r>
            <w:r>
              <w:rPr>
                <w:rFonts w:ascii="Times New Roman" w:hAnsi="Times New Roman" w:eastAsia="Times New Roman" w:cs="Times New Roman"/>
                <w:b/>
                <w:bCs/>
                <w:sz w:val="18"/>
                <w:szCs w:val="18"/>
              </w:rPr>
              <w:t>|D10(m)</w:t>
            </w:r>
          </w:p>
        </w:tc>
        <w:tc>
          <w:tcPr>
            <w:tcW w:w="1276" w:type="dxa"/>
            <w:tcBorders>
              <w:top w:val="single" w:color="000000" w:sz="10" w:space="0"/>
            </w:tcBorders>
            <w:vAlign w:val="top"/>
          </w:tcPr>
          <w:p w14:paraId="125D80D2">
            <w:pPr>
              <w:spacing w:before="178" w:line="188" w:lineRule="auto"/>
              <w:ind w:left="119"/>
              <w:rPr>
                <w:rFonts w:ascii="Times New Roman" w:hAnsi="Times New Roman" w:eastAsia="Times New Roman" w:cs="Times New Roman"/>
                <w:sz w:val="18"/>
                <w:szCs w:val="18"/>
              </w:rPr>
            </w:pPr>
            <w:r>
              <w:rPr>
                <w:rFonts w:ascii="Times New Roman" w:hAnsi="Times New Roman" w:eastAsia="Times New Roman" w:cs="Times New Roman"/>
                <w:b/>
                <w:bCs/>
                <w:sz w:val="18"/>
                <w:szCs w:val="18"/>
              </w:rPr>
              <w:t>PM</w:t>
            </w:r>
            <w:r>
              <w:rPr>
                <w:rFonts w:ascii="Times New Roman" w:hAnsi="Times New Roman" w:eastAsia="Times New Roman" w:cs="Times New Roman"/>
                <w:b/>
                <w:bCs/>
                <w:position w:val="-1"/>
                <w:sz w:val="11"/>
                <w:szCs w:val="11"/>
              </w:rPr>
              <w:t>2.5</w:t>
            </w:r>
            <w:r>
              <w:rPr>
                <w:rFonts w:ascii="Times New Roman" w:hAnsi="Times New Roman" w:eastAsia="Times New Roman" w:cs="Times New Roman"/>
                <w:b/>
                <w:bCs/>
                <w:sz w:val="18"/>
                <w:szCs w:val="18"/>
              </w:rPr>
              <w:t>|D10(m)</w:t>
            </w:r>
          </w:p>
        </w:tc>
        <w:tc>
          <w:tcPr>
            <w:tcW w:w="1393" w:type="dxa"/>
            <w:tcBorders>
              <w:top w:val="single" w:color="000000" w:sz="10" w:space="0"/>
            </w:tcBorders>
            <w:vAlign w:val="top"/>
          </w:tcPr>
          <w:p w14:paraId="6955F583">
            <w:pPr>
              <w:pStyle w:val="6"/>
              <w:spacing w:before="43" w:line="217" w:lineRule="auto"/>
              <w:ind w:left="158"/>
              <w:rPr>
                <w:sz w:val="18"/>
                <w:szCs w:val="18"/>
              </w:rPr>
            </w:pPr>
            <w:r>
              <w:rPr>
                <w:b/>
                <w:bCs/>
                <w:spacing w:val="-3"/>
                <w:sz w:val="18"/>
                <w:szCs w:val="18"/>
              </w:rPr>
              <w:t>锰及其化合物</w:t>
            </w:r>
          </w:p>
          <w:p w14:paraId="7BD3DFE8">
            <w:pPr>
              <w:spacing w:before="40" w:line="188" w:lineRule="auto"/>
              <w:ind w:left="398"/>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|D10(m)</w:t>
            </w:r>
          </w:p>
        </w:tc>
        <w:tc>
          <w:tcPr>
            <w:tcW w:w="1162" w:type="dxa"/>
            <w:tcBorders>
              <w:top w:val="single" w:color="000000" w:sz="10" w:space="0"/>
              <w:right w:val="nil"/>
            </w:tcBorders>
            <w:vAlign w:val="top"/>
          </w:tcPr>
          <w:p w14:paraId="0F97B688">
            <w:pPr>
              <w:spacing w:before="74" w:line="188" w:lineRule="auto"/>
              <w:ind w:left="139"/>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NH</w:t>
            </w:r>
            <w:r>
              <w:rPr>
                <w:rFonts w:ascii="Times New Roman" w:hAnsi="Times New Roman" w:eastAsia="Times New Roman" w:cs="Times New Roman"/>
                <w:b/>
                <w:bCs/>
                <w:spacing w:val="-1"/>
                <w:position w:val="-1"/>
                <w:sz w:val="11"/>
                <w:szCs w:val="11"/>
              </w:rPr>
              <w:t>3</w:t>
            </w:r>
            <w:r>
              <w:rPr>
                <w:rFonts w:ascii="Times New Roman" w:hAnsi="Times New Roman" w:eastAsia="Times New Roman" w:cs="Times New Roman"/>
                <w:b/>
                <w:bCs/>
                <w:spacing w:val="-1"/>
                <w:sz w:val="18"/>
                <w:szCs w:val="18"/>
              </w:rPr>
              <w:t>|D10(m</w:t>
            </w:r>
          </w:p>
          <w:p w14:paraId="649DD2FF">
            <w:pPr>
              <w:spacing w:before="44" w:line="188" w:lineRule="auto"/>
              <w:ind w:left="551"/>
              <w:rPr>
                <w:rFonts w:ascii="Times New Roman" w:hAnsi="Times New Roman" w:eastAsia="Times New Roman" w:cs="Times New Roman"/>
                <w:sz w:val="18"/>
                <w:szCs w:val="18"/>
              </w:rPr>
            </w:pPr>
            <w:r>
              <w:rPr>
                <w:rFonts w:ascii="Times New Roman" w:hAnsi="Times New Roman" w:eastAsia="Times New Roman" w:cs="Times New Roman"/>
                <w:b/>
                <w:bCs/>
                <w:sz w:val="18"/>
                <w:szCs w:val="18"/>
              </w:rPr>
              <w:t>)</w:t>
            </w:r>
          </w:p>
        </w:tc>
      </w:tr>
      <w:tr w14:paraId="3E08CB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577" w:type="dxa"/>
            <w:tcBorders>
              <w:left w:val="nil"/>
            </w:tcBorders>
            <w:vAlign w:val="top"/>
          </w:tcPr>
          <w:p w14:paraId="703A6117">
            <w:pPr>
              <w:spacing w:before="92" w:line="188" w:lineRule="auto"/>
              <w:ind w:left="264"/>
              <w:rPr>
                <w:rFonts w:ascii="Times New Roman" w:hAnsi="Times New Roman" w:eastAsia="Times New Roman" w:cs="Times New Roman"/>
                <w:sz w:val="18"/>
                <w:szCs w:val="18"/>
              </w:rPr>
            </w:pPr>
            <w:r>
              <w:rPr>
                <w:rFonts w:ascii="Times New Roman" w:hAnsi="Times New Roman" w:eastAsia="Times New Roman" w:cs="Times New Roman"/>
                <w:sz w:val="18"/>
                <w:szCs w:val="18"/>
              </w:rPr>
              <w:t>1</w:t>
            </w:r>
          </w:p>
        </w:tc>
        <w:tc>
          <w:tcPr>
            <w:tcW w:w="2993" w:type="dxa"/>
            <w:vAlign w:val="top"/>
          </w:tcPr>
          <w:p w14:paraId="216CD75E">
            <w:pPr>
              <w:pStyle w:val="6"/>
              <w:spacing w:before="63" w:line="219" w:lineRule="auto"/>
              <w:ind w:left="511"/>
              <w:rPr>
                <w:sz w:val="18"/>
                <w:szCs w:val="18"/>
              </w:rPr>
            </w:pPr>
            <w:r>
              <w:rPr>
                <w:spacing w:val="-1"/>
                <w:sz w:val="18"/>
                <w:szCs w:val="18"/>
              </w:rPr>
              <w:t>焦炭烘干、筛分出料废气</w:t>
            </w:r>
          </w:p>
        </w:tc>
        <w:tc>
          <w:tcPr>
            <w:tcW w:w="946" w:type="dxa"/>
            <w:vAlign w:val="top"/>
          </w:tcPr>
          <w:p w14:paraId="3122476C">
            <w:pPr>
              <w:spacing w:before="92" w:line="188" w:lineRule="auto"/>
              <w:ind w:left="38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44</w:t>
            </w:r>
          </w:p>
        </w:tc>
        <w:tc>
          <w:tcPr>
            <w:tcW w:w="998" w:type="dxa"/>
            <w:vAlign w:val="top"/>
          </w:tcPr>
          <w:p w14:paraId="4FE34DFB">
            <w:pPr>
              <w:spacing w:before="92"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6009EF44">
            <w:pPr>
              <w:spacing w:before="89"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0.40|0</w:t>
            </w:r>
          </w:p>
        </w:tc>
        <w:tc>
          <w:tcPr>
            <w:tcW w:w="1228" w:type="dxa"/>
            <w:vAlign w:val="top"/>
          </w:tcPr>
          <w:p w14:paraId="247EF6B0">
            <w:pPr>
              <w:spacing w:before="89"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0.89|0</w:t>
            </w:r>
          </w:p>
        </w:tc>
        <w:tc>
          <w:tcPr>
            <w:tcW w:w="1173" w:type="dxa"/>
            <w:vAlign w:val="top"/>
          </w:tcPr>
          <w:p w14:paraId="39444EDE">
            <w:pPr>
              <w:spacing w:before="89" w:line="192"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07D3DD6C">
            <w:pPr>
              <w:spacing w:before="89" w:line="192" w:lineRule="auto"/>
              <w:ind w:left="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0.33|0</w:t>
            </w:r>
          </w:p>
        </w:tc>
        <w:tc>
          <w:tcPr>
            <w:tcW w:w="1276" w:type="dxa"/>
            <w:vAlign w:val="top"/>
          </w:tcPr>
          <w:p w14:paraId="3E0E0D7A">
            <w:pPr>
              <w:spacing w:before="89" w:line="192" w:lineRule="auto"/>
              <w:ind w:left="43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1.23|0</w:t>
            </w:r>
          </w:p>
        </w:tc>
        <w:tc>
          <w:tcPr>
            <w:tcW w:w="1393" w:type="dxa"/>
            <w:vAlign w:val="top"/>
          </w:tcPr>
          <w:p w14:paraId="01CB1C26">
            <w:pPr>
              <w:spacing w:before="89" w:line="192"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162" w:type="dxa"/>
            <w:tcBorders>
              <w:right w:val="nil"/>
            </w:tcBorders>
            <w:vAlign w:val="top"/>
          </w:tcPr>
          <w:p w14:paraId="7F0822E0">
            <w:pPr>
              <w:spacing w:before="89"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075BFA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577" w:type="dxa"/>
            <w:tcBorders>
              <w:left w:val="nil"/>
            </w:tcBorders>
            <w:vAlign w:val="top"/>
          </w:tcPr>
          <w:p w14:paraId="79248F73">
            <w:pPr>
              <w:spacing w:before="96" w:line="188" w:lineRule="auto"/>
              <w:ind w:left="247"/>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tc>
        <w:tc>
          <w:tcPr>
            <w:tcW w:w="2993" w:type="dxa"/>
            <w:vAlign w:val="top"/>
          </w:tcPr>
          <w:p w14:paraId="0D2AE1D8">
            <w:pPr>
              <w:pStyle w:val="6"/>
              <w:spacing w:before="65" w:line="219" w:lineRule="auto"/>
              <w:ind w:left="420"/>
              <w:rPr>
                <w:sz w:val="18"/>
                <w:szCs w:val="18"/>
              </w:rPr>
            </w:pPr>
            <w:r>
              <w:rPr>
                <w:spacing w:val="-1"/>
                <w:sz w:val="18"/>
                <w:szCs w:val="18"/>
              </w:rPr>
              <w:t>锰矿石烘干筛分、出料废气</w:t>
            </w:r>
          </w:p>
        </w:tc>
        <w:tc>
          <w:tcPr>
            <w:tcW w:w="946" w:type="dxa"/>
            <w:vAlign w:val="top"/>
          </w:tcPr>
          <w:p w14:paraId="60E05198">
            <w:pPr>
              <w:spacing w:before="96" w:line="188" w:lineRule="auto"/>
              <w:ind w:left="357"/>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167</w:t>
            </w:r>
          </w:p>
        </w:tc>
        <w:tc>
          <w:tcPr>
            <w:tcW w:w="998" w:type="dxa"/>
            <w:vAlign w:val="top"/>
          </w:tcPr>
          <w:p w14:paraId="54B6B174">
            <w:pPr>
              <w:spacing w:before="96"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0CD03AEB">
            <w:pPr>
              <w:spacing w:before="93"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0.20|0</w:t>
            </w:r>
          </w:p>
        </w:tc>
        <w:tc>
          <w:tcPr>
            <w:tcW w:w="1228" w:type="dxa"/>
            <w:vAlign w:val="top"/>
          </w:tcPr>
          <w:p w14:paraId="0636B1E1">
            <w:pPr>
              <w:spacing w:before="93"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0.60|0</w:t>
            </w:r>
          </w:p>
        </w:tc>
        <w:tc>
          <w:tcPr>
            <w:tcW w:w="1173" w:type="dxa"/>
            <w:vAlign w:val="top"/>
          </w:tcPr>
          <w:p w14:paraId="661EF302">
            <w:pPr>
              <w:spacing w:before="93" w:line="192"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16326A87">
            <w:pPr>
              <w:spacing w:before="93" w:line="192" w:lineRule="auto"/>
              <w:ind w:left="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0.59|0</w:t>
            </w:r>
          </w:p>
        </w:tc>
        <w:tc>
          <w:tcPr>
            <w:tcW w:w="1276" w:type="dxa"/>
            <w:vAlign w:val="top"/>
          </w:tcPr>
          <w:p w14:paraId="57435EF9">
            <w:pPr>
              <w:spacing w:before="93" w:line="192"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0.50|0</w:t>
            </w:r>
          </w:p>
        </w:tc>
        <w:tc>
          <w:tcPr>
            <w:tcW w:w="1393" w:type="dxa"/>
            <w:vAlign w:val="top"/>
          </w:tcPr>
          <w:p w14:paraId="21FC1BB9">
            <w:pPr>
              <w:spacing w:before="93" w:line="192"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162" w:type="dxa"/>
            <w:tcBorders>
              <w:right w:val="nil"/>
            </w:tcBorders>
            <w:vAlign w:val="top"/>
          </w:tcPr>
          <w:p w14:paraId="0C98CDA6">
            <w:pPr>
              <w:spacing w:before="93"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18A1F9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trPr>
        <w:tc>
          <w:tcPr>
            <w:tcW w:w="577" w:type="dxa"/>
            <w:tcBorders>
              <w:left w:val="nil"/>
            </w:tcBorders>
            <w:vAlign w:val="top"/>
          </w:tcPr>
          <w:p w14:paraId="1C63D1D4">
            <w:pPr>
              <w:spacing w:before="100" w:line="188" w:lineRule="auto"/>
              <w:ind w:left="251"/>
              <w:rPr>
                <w:rFonts w:ascii="Times New Roman" w:hAnsi="Times New Roman" w:eastAsia="Times New Roman" w:cs="Times New Roman"/>
                <w:sz w:val="18"/>
                <w:szCs w:val="18"/>
              </w:rPr>
            </w:pPr>
            <w:r>
              <w:rPr>
                <w:rFonts w:ascii="Times New Roman" w:hAnsi="Times New Roman" w:eastAsia="Times New Roman" w:cs="Times New Roman"/>
                <w:sz w:val="18"/>
                <w:szCs w:val="18"/>
              </w:rPr>
              <w:t>3</w:t>
            </w:r>
          </w:p>
        </w:tc>
        <w:tc>
          <w:tcPr>
            <w:tcW w:w="2993" w:type="dxa"/>
            <w:vAlign w:val="top"/>
          </w:tcPr>
          <w:p w14:paraId="5B76DD10">
            <w:pPr>
              <w:pStyle w:val="6"/>
              <w:spacing w:before="69" w:line="219" w:lineRule="auto"/>
              <w:ind w:left="870"/>
              <w:rPr>
                <w:sz w:val="18"/>
                <w:szCs w:val="18"/>
              </w:rPr>
            </w:pPr>
            <w:r>
              <w:rPr>
                <w:spacing w:val="-1"/>
                <w:sz w:val="18"/>
                <w:szCs w:val="18"/>
              </w:rPr>
              <w:t>烧结配料站粉尘</w:t>
            </w:r>
          </w:p>
        </w:tc>
        <w:tc>
          <w:tcPr>
            <w:tcW w:w="946" w:type="dxa"/>
            <w:vAlign w:val="top"/>
          </w:tcPr>
          <w:p w14:paraId="328EF803">
            <w:pPr>
              <w:spacing w:before="100" w:line="188" w:lineRule="auto"/>
              <w:ind w:left="33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289</w:t>
            </w:r>
          </w:p>
        </w:tc>
        <w:tc>
          <w:tcPr>
            <w:tcW w:w="998" w:type="dxa"/>
            <w:vAlign w:val="top"/>
          </w:tcPr>
          <w:p w14:paraId="74AA905E">
            <w:pPr>
              <w:spacing w:before="100"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55F05ADD">
            <w:pPr>
              <w:spacing w:before="97"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28" w:type="dxa"/>
            <w:vAlign w:val="top"/>
          </w:tcPr>
          <w:p w14:paraId="4774E115">
            <w:pPr>
              <w:spacing w:before="97"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0.00|0</w:t>
            </w:r>
          </w:p>
        </w:tc>
        <w:tc>
          <w:tcPr>
            <w:tcW w:w="1173" w:type="dxa"/>
            <w:vAlign w:val="top"/>
          </w:tcPr>
          <w:p w14:paraId="6C62B04A">
            <w:pPr>
              <w:spacing w:before="97" w:line="192"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01E453A5">
            <w:pPr>
              <w:spacing w:before="97" w:line="192" w:lineRule="auto"/>
              <w:ind w:left="43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1.69|0</w:t>
            </w:r>
          </w:p>
        </w:tc>
        <w:tc>
          <w:tcPr>
            <w:tcW w:w="1276" w:type="dxa"/>
            <w:vAlign w:val="top"/>
          </w:tcPr>
          <w:p w14:paraId="69238FDB">
            <w:pPr>
              <w:spacing w:before="97" w:line="192"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0.67|0</w:t>
            </w:r>
          </w:p>
        </w:tc>
        <w:tc>
          <w:tcPr>
            <w:tcW w:w="1393" w:type="dxa"/>
            <w:vAlign w:val="top"/>
          </w:tcPr>
          <w:p w14:paraId="0923223D">
            <w:pPr>
              <w:spacing w:before="97" w:line="192" w:lineRule="auto"/>
              <w:ind w:left="48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5.02|0</w:t>
            </w:r>
          </w:p>
        </w:tc>
        <w:tc>
          <w:tcPr>
            <w:tcW w:w="1162" w:type="dxa"/>
            <w:tcBorders>
              <w:right w:val="nil"/>
            </w:tcBorders>
            <w:vAlign w:val="top"/>
          </w:tcPr>
          <w:p w14:paraId="1BA780F4">
            <w:pPr>
              <w:spacing w:before="97"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06A3EC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577" w:type="dxa"/>
            <w:tcBorders>
              <w:left w:val="nil"/>
            </w:tcBorders>
            <w:vAlign w:val="top"/>
          </w:tcPr>
          <w:p w14:paraId="07313448">
            <w:pPr>
              <w:spacing w:before="65" w:line="188" w:lineRule="auto"/>
              <w:ind w:left="246"/>
              <w:rPr>
                <w:rFonts w:ascii="Times New Roman" w:hAnsi="Times New Roman" w:eastAsia="Times New Roman" w:cs="Times New Roman"/>
                <w:sz w:val="18"/>
                <w:szCs w:val="18"/>
              </w:rPr>
            </w:pPr>
            <w:r>
              <w:rPr>
                <w:rFonts w:ascii="Times New Roman" w:hAnsi="Times New Roman" w:eastAsia="Times New Roman" w:cs="Times New Roman"/>
                <w:sz w:val="18"/>
                <w:szCs w:val="18"/>
              </w:rPr>
              <w:t>4</w:t>
            </w:r>
          </w:p>
        </w:tc>
        <w:tc>
          <w:tcPr>
            <w:tcW w:w="2993" w:type="dxa"/>
            <w:vAlign w:val="top"/>
          </w:tcPr>
          <w:p w14:paraId="60C93A74">
            <w:pPr>
              <w:pStyle w:val="6"/>
              <w:spacing w:before="36" w:line="196" w:lineRule="auto"/>
              <w:ind w:left="690"/>
              <w:rPr>
                <w:sz w:val="18"/>
                <w:szCs w:val="18"/>
              </w:rPr>
            </w:pPr>
            <w:r>
              <w:rPr>
                <w:spacing w:val="-1"/>
                <w:sz w:val="18"/>
                <w:szCs w:val="18"/>
              </w:rPr>
              <w:t>烧结机头、机尾废气</w:t>
            </w:r>
          </w:p>
        </w:tc>
        <w:tc>
          <w:tcPr>
            <w:tcW w:w="946" w:type="dxa"/>
            <w:vAlign w:val="top"/>
          </w:tcPr>
          <w:p w14:paraId="58705F42">
            <w:pPr>
              <w:spacing w:before="65" w:line="188" w:lineRule="auto"/>
              <w:ind w:left="33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226</w:t>
            </w:r>
          </w:p>
        </w:tc>
        <w:tc>
          <w:tcPr>
            <w:tcW w:w="998" w:type="dxa"/>
            <w:vAlign w:val="top"/>
          </w:tcPr>
          <w:p w14:paraId="4421EA35">
            <w:pPr>
              <w:spacing w:before="65"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7B39D7AB">
            <w:pPr>
              <w:spacing w:before="62" w:line="192" w:lineRule="auto"/>
              <w:ind w:left="37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3.12|0</w:t>
            </w:r>
          </w:p>
        </w:tc>
        <w:tc>
          <w:tcPr>
            <w:tcW w:w="1228" w:type="dxa"/>
            <w:vAlign w:val="top"/>
          </w:tcPr>
          <w:p w14:paraId="5CC6B4F4">
            <w:pPr>
              <w:spacing w:before="62" w:line="192" w:lineRule="auto"/>
              <w:ind w:left="21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39.08|2050</w:t>
            </w:r>
          </w:p>
        </w:tc>
        <w:tc>
          <w:tcPr>
            <w:tcW w:w="1173" w:type="dxa"/>
            <w:vAlign w:val="top"/>
          </w:tcPr>
          <w:p w14:paraId="62477BEC">
            <w:pPr>
              <w:spacing w:before="62" w:line="192"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0F2D804D">
            <w:pPr>
              <w:spacing w:before="62" w:line="192" w:lineRule="auto"/>
              <w:ind w:left="43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1.33|0</w:t>
            </w:r>
          </w:p>
        </w:tc>
        <w:tc>
          <w:tcPr>
            <w:tcW w:w="1276" w:type="dxa"/>
            <w:vAlign w:val="top"/>
          </w:tcPr>
          <w:p w14:paraId="34CC65C1">
            <w:pPr>
              <w:spacing w:before="62" w:line="192"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19.30|700</w:t>
            </w:r>
          </w:p>
        </w:tc>
        <w:tc>
          <w:tcPr>
            <w:tcW w:w="1393" w:type="dxa"/>
            <w:vAlign w:val="top"/>
          </w:tcPr>
          <w:p w14:paraId="6B335682">
            <w:pPr>
              <w:spacing w:before="62" w:line="192" w:lineRule="auto"/>
              <w:ind w:left="48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5.52|0</w:t>
            </w:r>
          </w:p>
        </w:tc>
        <w:tc>
          <w:tcPr>
            <w:tcW w:w="1162" w:type="dxa"/>
            <w:tcBorders>
              <w:right w:val="nil"/>
            </w:tcBorders>
            <w:vAlign w:val="top"/>
          </w:tcPr>
          <w:p w14:paraId="4B86A8C5">
            <w:pPr>
              <w:spacing w:before="62"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28AB06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577" w:type="dxa"/>
            <w:tcBorders>
              <w:left w:val="nil"/>
            </w:tcBorders>
            <w:vAlign w:val="top"/>
          </w:tcPr>
          <w:p w14:paraId="48E5C852">
            <w:pPr>
              <w:spacing w:before="101" w:line="185" w:lineRule="auto"/>
              <w:ind w:left="252"/>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tc>
        <w:tc>
          <w:tcPr>
            <w:tcW w:w="2993" w:type="dxa"/>
            <w:vAlign w:val="top"/>
          </w:tcPr>
          <w:p w14:paraId="1E71D725">
            <w:pPr>
              <w:pStyle w:val="6"/>
              <w:spacing w:before="70" w:line="219" w:lineRule="auto"/>
              <w:ind w:left="112"/>
              <w:rPr>
                <w:rFonts w:ascii="Times New Roman" w:hAnsi="Times New Roman" w:eastAsia="Times New Roman" w:cs="Times New Roman"/>
                <w:sz w:val="18"/>
                <w:szCs w:val="18"/>
              </w:rPr>
            </w:pPr>
            <w:r>
              <w:rPr>
                <w:spacing w:val="-5"/>
                <w:sz w:val="18"/>
                <w:szCs w:val="18"/>
              </w:rPr>
              <w:t>锰硅矿热炉配料、加料粉尘</w:t>
            </w:r>
            <w:r>
              <w:rPr>
                <w:rFonts w:ascii="Times New Roman" w:hAnsi="Times New Roman" w:eastAsia="Times New Roman" w:cs="Times New Roman"/>
                <w:spacing w:val="-5"/>
                <w:sz w:val="18"/>
                <w:szCs w:val="18"/>
              </w:rPr>
              <w:t>-1</w:t>
            </w:r>
            <w:r>
              <w:rPr>
                <w:spacing w:val="-5"/>
                <w:sz w:val="18"/>
                <w:szCs w:val="18"/>
              </w:rPr>
              <w:t>、</w:t>
            </w:r>
            <w:r>
              <w:rPr>
                <w:rFonts w:ascii="Times New Roman" w:hAnsi="Times New Roman" w:eastAsia="Times New Roman" w:cs="Times New Roman"/>
                <w:spacing w:val="-5"/>
                <w:sz w:val="18"/>
                <w:szCs w:val="18"/>
              </w:rPr>
              <w:t>2</w:t>
            </w:r>
            <w:r>
              <w:rPr>
                <w:spacing w:val="-5"/>
                <w:sz w:val="18"/>
                <w:szCs w:val="18"/>
              </w:rPr>
              <w:t>、</w:t>
            </w:r>
            <w:r>
              <w:rPr>
                <w:rFonts w:ascii="Times New Roman" w:hAnsi="Times New Roman" w:eastAsia="Times New Roman" w:cs="Times New Roman"/>
                <w:spacing w:val="-5"/>
                <w:sz w:val="18"/>
                <w:szCs w:val="18"/>
              </w:rPr>
              <w:t>3</w:t>
            </w:r>
          </w:p>
        </w:tc>
        <w:tc>
          <w:tcPr>
            <w:tcW w:w="946" w:type="dxa"/>
            <w:vAlign w:val="top"/>
          </w:tcPr>
          <w:p w14:paraId="2AAF75A6">
            <w:pPr>
              <w:spacing w:before="98" w:line="188" w:lineRule="auto"/>
              <w:ind w:left="343"/>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311</w:t>
            </w:r>
          </w:p>
        </w:tc>
        <w:tc>
          <w:tcPr>
            <w:tcW w:w="998" w:type="dxa"/>
            <w:vAlign w:val="top"/>
          </w:tcPr>
          <w:p w14:paraId="22B503E1">
            <w:pPr>
              <w:spacing w:before="98"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5D4589C0">
            <w:pPr>
              <w:spacing w:before="95"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28" w:type="dxa"/>
            <w:vAlign w:val="top"/>
          </w:tcPr>
          <w:p w14:paraId="45181E83">
            <w:pPr>
              <w:spacing w:before="95"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0.00|0</w:t>
            </w:r>
          </w:p>
        </w:tc>
        <w:tc>
          <w:tcPr>
            <w:tcW w:w="1173" w:type="dxa"/>
            <w:vAlign w:val="top"/>
          </w:tcPr>
          <w:p w14:paraId="73577870">
            <w:pPr>
              <w:spacing w:before="95" w:line="192"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2C681F3D">
            <w:pPr>
              <w:spacing w:before="95" w:line="192" w:lineRule="auto"/>
              <w:ind w:left="43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1.27|0</w:t>
            </w:r>
          </w:p>
        </w:tc>
        <w:tc>
          <w:tcPr>
            <w:tcW w:w="1276" w:type="dxa"/>
            <w:vAlign w:val="top"/>
          </w:tcPr>
          <w:p w14:paraId="0A134F36">
            <w:pPr>
              <w:spacing w:before="95" w:line="192"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0.51|0</w:t>
            </w:r>
          </w:p>
        </w:tc>
        <w:tc>
          <w:tcPr>
            <w:tcW w:w="1393" w:type="dxa"/>
            <w:vAlign w:val="top"/>
          </w:tcPr>
          <w:p w14:paraId="09DFCFA4">
            <w:pPr>
              <w:spacing w:before="95" w:line="192" w:lineRule="auto"/>
              <w:ind w:left="47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2.24|0</w:t>
            </w:r>
          </w:p>
        </w:tc>
        <w:tc>
          <w:tcPr>
            <w:tcW w:w="1162" w:type="dxa"/>
            <w:tcBorders>
              <w:right w:val="nil"/>
            </w:tcBorders>
            <w:vAlign w:val="top"/>
          </w:tcPr>
          <w:p w14:paraId="71AB9DDC">
            <w:pPr>
              <w:spacing w:before="95"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61273E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577" w:type="dxa"/>
            <w:tcBorders>
              <w:left w:val="nil"/>
            </w:tcBorders>
            <w:vAlign w:val="top"/>
          </w:tcPr>
          <w:p w14:paraId="2B225A7C">
            <w:pPr>
              <w:spacing w:before="102" w:line="188" w:lineRule="auto"/>
              <w:ind w:left="251"/>
              <w:rPr>
                <w:rFonts w:ascii="Times New Roman" w:hAnsi="Times New Roman" w:eastAsia="Times New Roman" w:cs="Times New Roman"/>
                <w:sz w:val="18"/>
                <w:szCs w:val="18"/>
              </w:rPr>
            </w:pPr>
            <w:r>
              <w:rPr>
                <w:rFonts w:ascii="Times New Roman" w:hAnsi="Times New Roman" w:eastAsia="Times New Roman" w:cs="Times New Roman"/>
                <w:sz w:val="18"/>
                <w:szCs w:val="18"/>
              </w:rPr>
              <w:t>6</w:t>
            </w:r>
          </w:p>
        </w:tc>
        <w:tc>
          <w:tcPr>
            <w:tcW w:w="2993" w:type="dxa"/>
            <w:vAlign w:val="top"/>
          </w:tcPr>
          <w:p w14:paraId="2BACA822">
            <w:pPr>
              <w:pStyle w:val="6"/>
              <w:spacing w:before="71" w:line="219" w:lineRule="auto"/>
              <w:ind w:left="343"/>
              <w:rPr>
                <w:rFonts w:ascii="Times New Roman" w:hAnsi="Times New Roman" w:eastAsia="Times New Roman" w:cs="Times New Roman"/>
                <w:sz w:val="18"/>
                <w:szCs w:val="18"/>
              </w:rPr>
            </w:pPr>
            <w:r>
              <w:rPr>
                <w:spacing w:val="-1"/>
                <w:sz w:val="18"/>
                <w:szCs w:val="18"/>
              </w:rPr>
              <w:t>锰硅出铁出渣及浇铸烟气</w:t>
            </w:r>
            <w:r>
              <w:rPr>
                <w:rFonts w:ascii="Times New Roman" w:hAnsi="Times New Roman" w:eastAsia="Times New Roman" w:cs="Times New Roman"/>
                <w:spacing w:val="-1"/>
                <w:sz w:val="18"/>
                <w:szCs w:val="18"/>
              </w:rPr>
              <w:t>-1~6</w:t>
            </w:r>
          </w:p>
        </w:tc>
        <w:tc>
          <w:tcPr>
            <w:tcW w:w="946" w:type="dxa"/>
            <w:vAlign w:val="top"/>
          </w:tcPr>
          <w:p w14:paraId="251883E5">
            <w:pPr>
              <w:spacing w:before="102" w:line="188" w:lineRule="auto"/>
              <w:ind w:left="38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51</w:t>
            </w:r>
          </w:p>
        </w:tc>
        <w:tc>
          <w:tcPr>
            <w:tcW w:w="998" w:type="dxa"/>
            <w:vAlign w:val="top"/>
          </w:tcPr>
          <w:p w14:paraId="57E64D9A">
            <w:pPr>
              <w:spacing w:before="102"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18D9E1C0">
            <w:pPr>
              <w:spacing w:before="99"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28" w:type="dxa"/>
            <w:vAlign w:val="top"/>
          </w:tcPr>
          <w:p w14:paraId="0F576A90">
            <w:pPr>
              <w:spacing w:before="99"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0.00|0</w:t>
            </w:r>
          </w:p>
        </w:tc>
        <w:tc>
          <w:tcPr>
            <w:tcW w:w="1173" w:type="dxa"/>
            <w:vAlign w:val="top"/>
          </w:tcPr>
          <w:p w14:paraId="0E0440BD">
            <w:pPr>
              <w:spacing w:before="99" w:line="192"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362F3D5A">
            <w:pPr>
              <w:spacing w:before="99" w:line="192" w:lineRule="auto"/>
              <w:ind w:left="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0.15|0</w:t>
            </w:r>
          </w:p>
        </w:tc>
        <w:tc>
          <w:tcPr>
            <w:tcW w:w="1276" w:type="dxa"/>
            <w:vAlign w:val="top"/>
          </w:tcPr>
          <w:p w14:paraId="3CC94BA5">
            <w:pPr>
              <w:spacing w:before="99" w:line="192"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0.06|0</w:t>
            </w:r>
          </w:p>
        </w:tc>
        <w:tc>
          <w:tcPr>
            <w:tcW w:w="1393" w:type="dxa"/>
            <w:vAlign w:val="top"/>
          </w:tcPr>
          <w:p w14:paraId="62357CC8">
            <w:pPr>
              <w:spacing w:before="99" w:line="192"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0.66|0</w:t>
            </w:r>
          </w:p>
        </w:tc>
        <w:tc>
          <w:tcPr>
            <w:tcW w:w="1162" w:type="dxa"/>
            <w:tcBorders>
              <w:right w:val="nil"/>
            </w:tcBorders>
            <w:vAlign w:val="top"/>
          </w:tcPr>
          <w:p w14:paraId="13EEBFD0">
            <w:pPr>
              <w:spacing w:before="99"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7E5F83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577" w:type="dxa"/>
            <w:tcBorders>
              <w:left w:val="nil"/>
            </w:tcBorders>
            <w:vAlign w:val="top"/>
          </w:tcPr>
          <w:p w14:paraId="0DCB932B">
            <w:pPr>
              <w:spacing w:before="106" w:line="185" w:lineRule="auto"/>
              <w:ind w:left="250"/>
              <w:rPr>
                <w:rFonts w:ascii="Times New Roman" w:hAnsi="Times New Roman" w:eastAsia="Times New Roman" w:cs="Times New Roman"/>
                <w:sz w:val="18"/>
                <w:szCs w:val="18"/>
              </w:rPr>
            </w:pPr>
            <w:r>
              <w:rPr>
                <w:rFonts w:ascii="Times New Roman" w:hAnsi="Times New Roman" w:eastAsia="Times New Roman" w:cs="Times New Roman"/>
                <w:sz w:val="18"/>
                <w:szCs w:val="18"/>
              </w:rPr>
              <w:t>7</w:t>
            </w:r>
          </w:p>
        </w:tc>
        <w:tc>
          <w:tcPr>
            <w:tcW w:w="2993" w:type="dxa"/>
            <w:vAlign w:val="top"/>
          </w:tcPr>
          <w:p w14:paraId="600BB012">
            <w:pPr>
              <w:pStyle w:val="6"/>
              <w:spacing w:before="72" w:line="218" w:lineRule="auto"/>
              <w:ind w:left="780"/>
              <w:rPr>
                <w:sz w:val="18"/>
                <w:szCs w:val="18"/>
              </w:rPr>
            </w:pPr>
            <w:r>
              <w:rPr>
                <w:spacing w:val="-1"/>
                <w:sz w:val="18"/>
                <w:szCs w:val="18"/>
              </w:rPr>
              <w:t>燃气发电锅炉烟气</w:t>
            </w:r>
          </w:p>
        </w:tc>
        <w:tc>
          <w:tcPr>
            <w:tcW w:w="946" w:type="dxa"/>
            <w:vAlign w:val="top"/>
          </w:tcPr>
          <w:p w14:paraId="158D5832">
            <w:pPr>
              <w:spacing w:before="104" w:line="188" w:lineRule="auto"/>
              <w:ind w:left="33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216</w:t>
            </w:r>
          </w:p>
        </w:tc>
        <w:tc>
          <w:tcPr>
            <w:tcW w:w="998" w:type="dxa"/>
            <w:vAlign w:val="top"/>
          </w:tcPr>
          <w:p w14:paraId="6BC5564C">
            <w:pPr>
              <w:spacing w:before="104"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2C882185">
            <w:pPr>
              <w:spacing w:before="100" w:line="192" w:lineRule="auto"/>
              <w:ind w:left="390"/>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1.14|0</w:t>
            </w:r>
          </w:p>
        </w:tc>
        <w:tc>
          <w:tcPr>
            <w:tcW w:w="1228" w:type="dxa"/>
            <w:vAlign w:val="top"/>
          </w:tcPr>
          <w:p w14:paraId="12DCD6A4">
            <w:pPr>
              <w:spacing w:before="100" w:line="192" w:lineRule="auto"/>
              <w:ind w:left="28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11.15|300</w:t>
            </w:r>
          </w:p>
        </w:tc>
        <w:tc>
          <w:tcPr>
            <w:tcW w:w="1173" w:type="dxa"/>
            <w:vAlign w:val="top"/>
          </w:tcPr>
          <w:p w14:paraId="50CB0A6D">
            <w:pPr>
              <w:spacing w:before="100" w:line="192"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66D6B1FE">
            <w:pPr>
              <w:spacing w:before="100" w:line="192" w:lineRule="auto"/>
              <w:ind w:left="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0.17|0</w:t>
            </w:r>
          </w:p>
        </w:tc>
        <w:tc>
          <w:tcPr>
            <w:tcW w:w="1276" w:type="dxa"/>
            <w:vAlign w:val="top"/>
          </w:tcPr>
          <w:p w14:paraId="7F370DAE">
            <w:pPr>
              <w:spacing w:before="100" w:line="192" w:lineRule="auto"/>
              <w:ind w:left="42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5.83|0</w:t>
            </w:r>
          </w:p>
        </w:tc>
        <w:tc>
          <w:tcPr>
            <w:tcW w:w="1393" w:type="dxa"/>
            <w:vAlign w:val="top"/>
          </w:tcPr>
          <w:p w14:paraId="0CEDDF32">
            <w:pPr>
              <w:spacing w:before="100" w:line="192"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0.21|0</w:t>
            </w:r>
          </w:p>
        </w:tc>
        <w:tc>
          <w:tcPr>
            <w:tcW w:w="1162" w:type="dxa"/>
            <w:tcBorders>
              <w:right w:val="nil"/>
            </w:tcBorders>
            <w:vAlign w:val="top"/>
          </w:tcPr>
          <w:p w14:paraId="7436E35E">
            <w:pPr>
              <w:spacing w:before="100"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0.36|0</w:t>
            </w:r>
          </w:p>
        </w:tc>
      </w:tr>
      <w:tr w14:paraId="678B3A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577" w:type="dxa"/>
            <w:tcBorders>
              <w:left w:val="nil"/>
            </w:tcBorders>
            <w:vAlign w:val="top"/>
          </w:tcPr>
          <w:p w14:paraId="5A7A611D">
            <w:pPr>
              <w:spacing w:before="105" w:line="188" w:lineRule="auto"/>
              <w:ind w:left="254"/>
              <w:rPr>
                <w:rFonts w:ascii="Times New Roman" w:hAnsi="Times New Roman" w:eastAsia="Times New Roman" w:cs="Times New Roman"/>
                <w:sz w:val="18"/>
                <w:szCs w:val="18"/>
              </w:rPr>
            </w:pPr>
            <w:r>
              <w:rPr>
                <w:rFonts w:ascii="Times New Roman" w:hAnsi="Times New Roman" w:eastAsia="Times New Roman" w:cs="Times New Roman"/>
                <w:sz w:val="18"/>
                <w:szCs w:val="18"/>
              </w:rPr>
              <w:t>8</w:t>
            </w:r>
          </w:p>
        </w:tc>
        <w:tc>
          <w:tcPr>
            <w:tcW w:w="2993" w:type="dxa"/>
            <w:vAlign w:val="top"/>
          </w:tcPr>
          <w:p w14:paraId="506DCD27">
            <w:pPr>
              <w:pStyle w:val="6"/>
              <w:spacing w:before="74" w:line="220" w:lineRule="auto"/>
              <w:ind w:left="875"/>
              <w:rPr>
                <w:sz w:val="18"/>
                <w:szCs w:val="18"/>
              </w:rPr>
            </w:pPr>
            <w:r>
              <w:rPr>
                <w:spacing w:val="-2"/>
                <w:sz w:val="18"/>
                <w:szCs w:val="18"/>
              </w:rPr>
              <w:t>原料大棚无组织</w:t>
            </w:r>
          </w:p>
        </w:tc>
        <w:tc>
          <w:tcPr>
            <w:tcW w:w="946" w:type="dxa"/>
            <w:vAlign w:val="top"/>
          </w:tcPr>
          <w:p w14:paraId="182EFD2B">
            <w:pPr>
              <w:spacing w:before="105" w:line="188" w:lineRule="auto"/>
              <w:ind w:left="343"/>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313</w:t>
            </w:r>
          </w:p>
        </w:tc>
        <w:tc>
          <w:tcPr>
            <w:tcW w:w="998" w:type="dxa"/>
            <w:vAlign w:val="top"/>
          </w:tcPr>
          <w:p w14:paraId="45779EEB">
            <w:pPr>
              <w:spacing w:before="105"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08807139">
            <w:pPr>
              <w:spacing w:before="102"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28" w:type="dxa"/>
            <w:vAlign w:val="top"/>
          </w:tcPr>
          <w:p w14:paraId="270F8BF6">
            <w:pPr>
              <w:spacing w:before="102"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0.00|0</w:t>
            </w:r>
          </w:p>
        </w:tc>
        <w:tc>
          <w:tcPr>
            <w:tcW w:w="1173" w:type="dxa"/>
            <w:vAlign w:val="top"/>
          </w:tcPr>
          <w:p w14:paraId="77D094E6">
            <w:pPr>
              <w:spacing w:before="102" w:line="192" w:lineRule="auto"/>
              <w:ind w:left="36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4.53|0</w:t>
            </w:r>
          </w:p>
        </w:tc>
        <w:tc>
          <w:tcPr>
            <w:tcW w:w="1276" w:type="dxa"/>
            <w:vAlign w:val="top"/>
          </w:tcPr>
          <w:p w14:paraId="2FDE6624">
            <w:pPr>
              <w:spacing w:before="102" w:line="192" w:lineRule="auto"/>
              <w:ind w:left="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15022593">
            <w:pPr>
              <w:spacing w:before="102" w:line="192"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0.34|0</w:t>
            </w:r>
          </w:p>
        </w:tc>
        <w:tc>
          <w:tcPr>
            <w:tcW w:w="1393" w:type="dxa"/>
            <w:vAlign w:val="top"/>
          </w:tcPr>
          <w:p w14:paraId="1D1862E6">
            <w:pPr>
              <w:spacing w:before="102" w:line="192"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162" w:type="dxa"/>
            <w:tcBorders>
              <w:right w:val="nil"/>
            </w:tcBorders>
            <w:vAlign w:val="top"/>
          </w:tcPr>
          <w:p w14:paraId="5DC5A6D4">
            <w:pPr>
              <w:spacing w:before="102"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21A7CA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trPr>
        <w:tc>
          <w:tcPr>
            <w:tcW w:w="577" w:type="dxa"/>
            <w:tcBorders>
              <w:left w:val="nil"/>
            </w:tcBorders>
            <w:vAlign w:val="top"/>
          </w:tcPr>
          <w:p w14:paraId="041CE00D">
            <w:pPr>
              <w:spacing w:before="107" w:line="188" w:lineRule="auto"/>
              <w:ind w:left="250"/>
              <w:rPr>
                <w:rFonts w:ascii="Times New Roman" w:hAnsi="Times New Roman" w:eastAsia="Times New Roman" w:cs="Times New Roman"/>
                <w:sz w:val="18"/>
                <w:szCs w:val="18"/>
              </w:rPr>
            </w:pPr>
            <w:r>
              <w:rPr>
                <w:rFonts w:ascii="Times New Roman" w:hAnsi="Times New Roman" w:eastAsia="Times New Roman" w:cs="Times New Roman"/>
                <w:sz w:val="18"/>
                <w:szCs w:val="18"/>
              </w:rPr>
              <w:t>9</w:t>
            </w:r>
          </w:p>
        </w:tc>
        <w:tc>
          <w:tcPr>
            <w:tcW w:w="2993" w:type="dxa"/>
            <w:vAlign w:val="top"/>
          </w:tcPr>
          <w:p w14:paraId="4227F33E">
            <w:pPr>
              <w:pStyle w:val="6"/>
              <w:spacing w:before="75" w:line="219" w:lineRule="auto"/>
              <w:ind w:left="691"/>
              <w:rPr>
                <w:sz w:val="18"/>
                <w:szCs w:val="18"/>
              </w:rPr>
            </w:pPr>
            <w:r>
              <w:rPr>
                <w:spacing w:val="-1"/>
                <w:sz w:val="18"/>
                <w:szCs w:val="18"/>
              </w:rPr>
              <w:t>焦炭烘干车间无组织</w:t>
            </w:r>
          </w:p>
        </w:tc>
        <w:tc>
          <w:tcPr>
            <w:tcW w:w="946" w:type="dxa"/>
            <w:vAlign w:val="top"/>
          </w:tcPr>
          <w:p w14:paraId="61E657D5">
            <w:pPr>
              <w:spacing w:before="107" w:line="188" w:lineRule="auto"/>
              <w:ind w:left="38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97</w:t>
            </w:r>
          </w:p>
        </w:tc>
        <w:tc>
          <w:tcPr>
            <w:tcW w:w="998" w:type="dxa"/>
            <w:vAlign w:val="top"/>
          </w:tcPr>
          <w:p w14:paraId="1C624F01">
            <w:pPr>
              <w:spacing w:before="107"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257B749B">
            <w:pPr>
              <w:spacing w:before="104"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28" w:type="dxa"/>
            <w:vAlign w:val="top"/>
          </w:tcPr>
          <w:p w14:paraId="009B33F4">
            <w:pPr>
              <w:spacing w:before="104"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0.00|0</w:t>
            </w:r>
          </w:p>
        </w:tc>
        <w:tc>
          <w:tcPr>
            <w:tcW w:w="1173" w:type="dxa"/>
            <w:vAlign w:val="top"/>
          </w:tcPr>
          <w:p w14:paraId="325E6444">
            <w:pPr>
              <w:spacing w:before="104" w:line="192" w:lineRule="auto"/>
              <w:ind w:left="36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2.78|0</w:t>
            </w:r>
          </w:p>
        </w:tc>
        <w:tc>
          <w:tcPr>
            <w:tcW w:w="1276" w:type="dxa"/>
            <w:vAlign w:val="top"/>
          </w:tcPr>
          <w:p w14:paraId="3E1A03A8">
            <w:pPr>
              <w:spacing w:before="104" w:line="192" w:lineRule="auto"/>
              <w:ind w:left="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330860CB">
            <w:pPr>
              <w:spacing w:before="104" w:line="192"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0.19|0</w:t>
            </w:r>
          </w:p>
        </w:tc>
        <w:tc>
          <w:tcPr>
            <w:tcW w:w="1393" w:type="dxa"/>
            <w:vAlign w:val="top"/>
          </w:tcPr>
          <w:p w14:paraId="3519748D">
            <w:pPr>
              <w:spacing w:before="104" w:line="192"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162" w:type="dxa"/>
            <w:tcBorders>
              <w:right w:val="nil"/>
            </w:tcBorders>
            <w:vAlign w:val="top"/>
          </w:tcPr>
          <w:p w14:paraId="6AFD042F">
            <w:pPr>
              <w:spacing w:before="104"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26A168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trPr>
        <w:tc>
          <w:tcPr>
            <w:tcW w:w="577" w:type="dxa"/>
            <w:tcBorders>
              <w:left w:val="nil"/>
            </w:tcBorders>
            <w:vAlign w:val="top"/>
          </w:tcPr>
          <w:p w14:paraId="0C25FB2A">
            <w:pPr>
              <w:spacing w:before="108" w:line="188" w:lineRule="auto"/>
              <w:ind w:left="21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10</w:t>
            </w:r>
          </w:p>
        </w:tc>
        <w:tc>
          <w:tcPr>
            <w:tcW w:w="2993" w:type="dxa"/>
            <w:vAlign w:val="top"/>
          </w:tcPr>
          <w:p w14:paraId="70C1E29D">
            <w:pPr>
              <w:pStyle w:val="6"/>
              <w:spacing w:before="78" w:line="219" w:lineRule="auto"/>
              <w:ind w:left="600"/>
              <w:rPr>
                <w:sz w:val="18"/>
                <w:szCs w:val="18"/>
              </w:rPr>
            </w:pPr>
            <w:r>
              <w:rPr>
                <w:spacing w:val="-1"/>
                <w:sz w:val="18"/>
                <w:szCs w:val="18"/>
              </w:rPr>
              <w:t>锰矿石烘干车间无组织</w:t>
            </w:r>
          </w:p>
        </w:tc>
        <w:tc>
          <w:tcPr>
            <w:tcW w:w="946" w:type="dxa"/>
            <w:vAlign w:val="top"/>
          </w:tcPr>
          <w:p w14:paraId="4EB15744">
            <w:pPr>
              <w:spacing w:before="108" w:line="188" w:lineRule="auto"/>
              <w:ind w:left="38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97</w:t>
            </w:r>
          </w:p>
        </w:tc>
        <w:tc>
          <w:tcPr>
            <w:tcW w:w="998" w:type="dxa"/>
            <w:vAlign w:val="top"/>
          </w:tcPr>
          <w:p w14:paraId="6479113D">
            <w:pPr>
              <w:spacing w:before="108"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62A7551E">
            <w:pPr>
              <w:spacing w:before="104"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28" w:type="dxa"/>
            <w:vAlign w:val="top"/>
          </w:tcPr>
          <w:p w14:paraId="632959D3">
            <w:pPr>
              <w:spacing w:before="104"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0.00|0</w:t>
            </w:r>
          </w:p>
        </w:tc>
        <w:tc>
          <w:tcPr>
            <w:tcW w:w="1173" w:type="dxa"/>
            <w:vAlign w:val="top"/>
          </w:tcPr>
          <w:p w14:paraId="49D3E75F">
            <w:pPr>
              <w:spacing w:before="104" w:line="192"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0.21|0</w:t>
            </w:r>
          </w:p>
        </w:tc>
        <w:tc>
          <w:tcPr>
            <w:tcW w:w="1276" w:type="dxa"/>
            <w:vAlign w:val="top"/>
          </w:tcPr>
          <w:p w14:paraId="1B503DAF">
            <w:pPr>
              <w:spacing w:before="104" w:line="192" w:lineRule="auto"/>
              <w:ind w:left="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43577A4D">
            <w:pPr>
              <w:spacing w:before="104" w:line="192"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0.02|0</w:t>
            </w:r>
          </w:p>
        </w:tc>
        <w:tc>
          <w:tcPr>
            <w:tcW w:w="1393" w:type="dxa"/>
            <w:vAlign w:val="top"/>
          </w:tcPr>
          <w:p w14:paraId="4E46D9B5">
            <w:pPr>
              <w:spacing w:before="104" w:line="192"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162" w:type="dxa"/>
            <w:tcBorders>
              <w:right w:val="nil"/>
            </w:tcBorders>
            <w:vAlign w:val="top"/>
          </w:tcPr>
          <w:p w14:paraId="75CF092D">
            <w:pPr>
              <w:spacing w:before="104"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5F124B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trPr>
        <w:tc>
          <w:tcPr>
            <w:tcW w:w="577" w:type="dxa"/>
            <w:tcBorders>
              <w:left w:val="nil"/>
            </w:tcBorders>
            <w:vAlign w:val="top"/>
          </w:tcPr>
          <w:p w14:paraId="78393D81">
            <w:pPr>
              <w:spacing w:before="108" w:line="188" w:lineRule="auto"/>
              <w:ind w:left="224"/>
              <w:rPr>
                <w:rFonts w:ascii="Times New Roman" w:hAnsi="Times New Roman" w:eastAsia="Times New Roman" w:cs="Times New Roman"/>
                <w:sz w:val="18"/>
                <w:szCs w:val="18"/>
              </w:rPr>
            </w:pPr>
            <w:r>
              <w:rPr>
                <w:rFonts w:ascii="Times New Roman" w:hAnsi="Times New Roman" w:eastAsia="Times New Roman" w:cs="Times New Roman"/>
                <w:spacing w:val="-11"/>
                <w:sz w:val="18"/>
                <w:szCs w:val="18"/>
              </w:rPr>
              <w:t>11</w:t>
            </w:r>
          </w:p>
        </w:tc>
        <w:tc>
          <w:tcPr>
            <w:tcW w:w="2993" w:type="dxa"/>
            <w:vAlign w:val="top"/>
          </w:tcPr>
          <w:p w14:paraId="2E5A3942">
            <w:pPr>
              <w:pStyle w:val="6"/>
              <w:spacing w:before="79" w:line="219" w:lineRule="auto"/>
              <w:ind w:left="779"/>
              <w:rPr>
                <w:sz w:val="18"/>
                <w:szCs w:val="18"/>
              </w:rPr>
            </w:pPr>
            <w:r>
              <w:rPr>
                <w:spacing w:val="-1"/>
                <w:sz w:val="18"/>
                <w:szCs w:val="18"/>
              </w:rPr>
              <w:t>烧结原料库无组织</w:t>
            </w:r>
          </w:p>
        </w:tc>
        <w:tc>
          <w:tcPr>
            <w:tcW w:w="946" w:type="dxa"/>
            <w:vAlign w:val="top"/>
          </w:tcPr>
          <w:p w14:paraId="50A0A33A">
            <w:pPr>
              <w:spacing w:before="108" w:line="188" w:lineRule="auto"/>
              <w:ind w:left="357"/>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130</w:t>
            </w:r>
          </w:p>
        </w:tc>
        <w:tc>
          <w:tcPr>
            <w:tcW w:w="998" w:type="dxa"/>
            <w:vAlign w:val="top"/>
          </w:tcPr>
          <w:p w14:paraId="40FABA98">
            <w:pPr>
              <w:spacing w:before="108"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0CA3394D">
            <w:pPr>
              <w:spacing w:before="105"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28" w:type="dxa"/>
            <w:vAlign w:val="top"/>
          </w:tcPr>
          <w:p w14:paraId="42DC1453">
            <w:pPr>
              <w:spacing w:before="105"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0.00|0</w:t>
            </w:r>
          </w:p>
        </w:tc>
        <w:tc>
          <w:tcPr>
            <w:tcW w:w="1173" w:type="dxa"/>
            <w:vAlign w:val="top"/>
          </w:tcPr>
          <w:p w14:paraId="7AF9388D">
            <w:pPr>
              <w:spacing w:before="105" w:line="192"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7.79|0</w:t>
            </w:r>
          </w:p>
        </w:tc>
        <w:tc>
          <w:tcPr>
            <w:tcW w:w="1276" w:type="dxa"/>
            <w:vAlign w:val="top"/>
          </w:tcPr>
          <w:p w14:paraId="56475077">
            <w:pPr>
              <w:spacing w:before="105" w:line="192" w:lineRule="auto"/>
              <w:ind w:left="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745CD264">
            <w:pPr>
              <w:spacing w:before="105" w:line="192"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0.64|0</w:t>
            </w:r>
          </w:p>
        </w:tc>
        <w:tc>
          <w:tcPr>
            <w:tcW w:w="1393" w:type="dxa"/>
            <w:vAlign w:val="top"/>
          </w:tcPr>
          <w:p w14:paraId="4A07383D">
            <w:pPr>
              <w:spacing w:before="105" w:line="192" w:lineRule="auto"/>
              <w:ind w:left="30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90.84|1675</w:t>
            </w:r>
          </w:p>
        </w:tc>
        <w:tc>
          <w:tcPr>
            <w:tcW w:w="1162" w:type="dxa"/>
            <w:tcBorders>
              <w:right w:val="nil"/>
            </w:tcBorders>
            <w:vAlign w:val="top"/>
          </w:tcPr>
          <w:p w14:paraId="05A80E90">
            <w:pPr>
              <w:spacing w:before="105"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459B7A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trPr>
        <w:tc>
          <w:tcPr>
            <w:tcW w:w="577" w:type="dxa"/>
            <w:tcBorders>
              <w:left w:val="nil"/>
            </w:tcBorders>
            <w:vAlign w:val="top"/>
          </w:tcPr>
          <w:p w14:paraId="26DDA885">
            <w:pPr>
              <w:spacing w:before="111" w:line="188" w:lineRule="auto"/>
              <w:ind w:left="21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12</w:t>
            </w:r>
          </w:p>
        </w:tc>
        <w:tc>
          <w:tcPr>
            <w:tcW w:w="2993" w:type="dxa"/>
            <w:vAlign w:val="top"/>
          </w:tcPr>
          <w:p w14:paraId="619E5859">
            <w:pPr>
              <w:pStyle w:val="6"/>
              <w:spacing w:before="80" w:line="219" w:lineRule="auto"/>
              <w:ind w:left="870"/>
              <w:rPr>
                <w:sz w:val="18"/>
                <w:szCs w:val="18"/>
              </w:rPr>
            </w:pPr>
            <w:r>
              <w:rPr>
                <w:spacing w:val="-1"/>
                <w:sz w:val="18"/>
                <w:szCs w:val="18"/>
              </w:rPr>
              <w:t>烧结系统无组织</w:t>
            </w:r>
          </w:p>
        </w:tc>
        <w:tc>
          <w:tcPr>
            <w:tcW w:w="946" w:type="dxa"/>
            <w:vAlign w:val="top"/>
          </w:tcPr>
          <w:p w14:paraId="75149AE3">
            <w:pPr>
              <w:spacing w:before="111" w:line="188" w:lineRule="auto"/>
              <w:ind w:left="33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225</w:t>
            </w:r>
          </w:p>
        </w:tc>
        <w:tc>
          <w:tcPr>
            <w:tcW w:w="998" w:type="dxa"/>
            <w:vAlign w:val="top"/>
          </w:tcPr>
          <w:p w14:paraId="519CEE99">
            <w:pPr>
              <w:spacing w:before="111"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51EEA61B">
            <w:pPr>
              <w:spacing w:before="108"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28" w:type="dxa"/>
            <w:vAlign w:val="top"/>
          </w:tcPr>
          <w:p w14:paraId="373119EC">
            <w:pPr>
              <w:spacing w:before="108"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0.00|0</w:t>
            </w:r>
          </w:p>
        </w:tc>
        <w:tc>
          <w:tcPr>
            <w:tcW w:w="1173" w:type="dxa"/>
            <w:vAlign w:val="top"/>
          </w:tcPr>
          <w:p w14:paraId="6A8D679E">
            <w:pPr>
              <w:spacing w:before="108" w:line="192" w:lineRule="auto"/>
              <w:ind w:left="37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5.17|0</w:t>
            </w:r>
          </w:p>
        </w:tc>
        <w:tc>
          <w:tcPr>
            <w:tcW w:w="1276" w:type="dxa"/>
            <w:vAlign w:val="top"/>
          </w:tcPr>
          <w:p w14:paraId="4864F363">
            <w:pPr>
              <w:spacing w:before="108" w:line="192" w:lineRule="auto"/>
              <w:ind w:left="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47E29D94">
            <w:pPr>
              <w:spacing w:before="108" w:line="192"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0.41|0</w:t>
            </w:r>
          </w:p>
        </w:tc>
        <w:tc>
          <w:tcPr>
            <w:tcW w:w="1393" w:type="dxa"/>
            <w:vAlign w:val="top"/>
          </w:tcPr>
          <w:p w14:paraId="2476DC97">
            <w:pPr>
              <w:spacing w:before="108" w:line="192" w:lineRule="auto"/>
              <w:ind w:left="29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25.14|1125</w:t>
            </w:r>
          </w:p>
        </w:tc>
        <w:tc>
          <w:tcPr>
            <w:tcW w:w="1162" w:type="dxa"/>
            <w:tcBorders>
              <w:right w:val="nil"/>
            </w:tcBorders>
            <w:vAlign w:val="top"/>
          </w:tcPr>
          <w:p w14:paraId="3963FC10">
            <w:pPr>
              <w:spacing w:before="108"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2F53DE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trPr>
        <w:tc>
          <w:tcPr>
            <w:tcW w:w="577" w:type="dxa"/>
            <w:tcBorders>
              <w:left w:val="nil"/>
            </w:tcBorders>
            <w:vAlign w:val="top"/>
          </w:tcPr>
          <w:p w14:paraId="61F3E256">
            <w:pPr>
              <w:spacing w:before="112" w:line="188" w:lineRule="auto"/>
              <w:ind w:left="21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13</w:t>
            </w:r>
          </w:p>
        </w:tc>
        <w:tc>
          <w:tcPr>
            <w:tcW w:w="2993" w:type="dxa"/>
            <w:vAlign w:val="top"/>
          </w:tcPr>
          <w:p w14:paraId="6B81D0E7">
            <w:pPr>
              <w:pStyle w:val="6"/>
              <w:spacing w:before="81" w:line="218" w:lineRule="auto"/>
              <w:ind w:left="186"/>
              <w:rPr>
                <w:rFonts w:ascii="Times New Roman" w:hAnsi="Times New Roman" w:eastAsia="Times New Roman" w:cs="Times New Roman"/>
                <w:sz w:val="18"/>
                <w:szCs w:val="18"/>
              </w:rPr>
            </w:pPr>
            <w:r>
              <w:rPr>
                <w:spacing w:val="-4"/>
                <w:sz w:val="18"/>
                <w:szCs w:val="18"/>
              </w:rPr>
              <w:t>电炉生产区配料站无组织</w:t>
            </w:r>
            <w:r>
              <w:rPr>
                <w:rFonts w:ascii="Times New Roman" w:hAnsi="Times New Roman" w:eastAsia="Times New Roman" w:cs="Times New Roman"/>
                <w:spacing w:val="-4"/>
                <w:sz w:val="18"/>
                <w:szCs w:val="18"/>
              </w:rPr>
              <w:t>-1</w:t>
            </w:r>
            <w:r>
              <w:rPr>
                <w:rFonts w:ascii="Times New Roman" w:hAnsi="Times New Roman" w:eastAsia="Times New Roman" w:cs="Times New Roman"/>
                <w:spacing w:val="-20"/>
                <w:sz w:val="18"/>
                <w:szCs w:val="18"/>
              </w:rPr>
              <w:t xml:space="preserve"> </w:t>
            </w:r>
            <w:r>
              <w:rPr>
                <w:spacing w:val="-4"/>
                <w:sz w:val="18"/>
                <w:szCs w:val="18"/>
              </w:rPr>
              <w:t>、</w:t>
            </w:r>
            <w:r>
              <w:rPr>
                <w:rFonts w:ascii="Times New Roman" w:hAnsi="Times New Roman" w:eastAsia="Times New Roman" w:cs="Times New Roman"/>
                <w:spacing w:val="-4"/>
                <w:sz w:val="18"/>
                <w:szCs w:val="18"/>
              </w:rPr>
              <w:t>2</w:t>
            </w:r>
            <w:r>
              <w:rPr>
                <w:rFonts w:ascii="Times New Roman" w:hAnsi="Times New Roman" w:eastAsia="Times New Roman" w:cs="Times New Roman"/>
                <w:spacing w:val="-27"/>
                <w:sz w:val="18"/>
                <w:szCs w:val="18"/>
              </w:rPr>
              <w:t xml:space="preserve"> </w:t>
            </w:r>
            <w:r>
              <w:rPr>
                <w:spacing w:val="-4"/>
                <w:sz w:val="18"/>
                <w:szCs w:val="18"/>
              </w:rPr>
              <w:t>、</w:t>
            </w:r>
            <w:r>
              <w:rPr>
                <w:rFonts w:ascii="Times New Roman" w:hAnsi="Times New Roman" w:eastAsia="Times New Roman" w:cs="Times New Roman"/>
                <w:spacing w:val="-4"/>
                <w:sz w:val="18"/>
                <w:szCs w:val="18"/>
              </w:rPr>
              <w:t>3</w:t>
            </w:r>
          </w:p>
        </w:tc>
        <w:tc>
          <w:tcPr>
            <w:tcW w:w="946" w:type="dxa"/>
            <w:vAlign w:val="top"/>
          </w:tcPr>
          <w:p w14:paraId="516DAB49">
            <w:pPr>
              <w:spacing w:before="112" w:line="188" w:lineRule="auto"/>
              <w:ind w:left="38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68</w:t>
            </w:r>
          </w:p>
        </w:tc>
        <w:tc>
          <w:tcPr>
            <w:tcW w:w="998" w:type="dxa"/>
            <w:vAlign w:val="top"/>
          </w:tcPr>
          <w:p w14:paraId="28AEA0B0">
            <w:pPr>
              <w:spacing w:before="112"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09CF0F2D">
            <w:pPr>
              <w:spacing w:before="108"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28" w:type="dxa"/>
            <w:vAlign w:val="top"/>
          </w:tcPr>
          <w:p w14:paraId="1E7AE2D9">
            <w:pPr>
              <w:spacing w:before="108"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0.00|0</w:t>
            </w:r>
          </w:p>
        </w:tc>
        <w:tc>
          <w:tcPr>
            <w:tcW w:w="1173" w:type="dxa"/>
            <w:vAlign w:val="top"/>
          </w:tcPr>
          <w:p w14:paraId="56DCFA4F">
            <w:pPr>
              <w:spacing w:before="108" w:line="192" w:lineRule="auto"/>
              <w:ind w:left="36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4.86|0</w:t>
            </w:r>
          </w:p>
        </w:tc>
        <w:tc>
          <w:tcPr>
            <w:tcW w:w="1276" w:type="dxa"/>
            <w:vAlign w:val="top"/>
          </w:tcPr>
          <w:p w14:paraId="512B07CE">
            <w:pPr>
              <w:spacing w:before="108" w:line="192" w:lineRule="auto"/>
              <w:ind w:left="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2B6C79CC">
            <w:pPr>
              <w:spacing w:before="108" w:line="192"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0.34|0</w:t>
            </w:r>
          </w:p>
        </w:tc>
        <w:tc>
          <w:tcPr>
            <w:tcW w:w="1393" w:type="dxa"/>
            <w:vAlign w:val="top"/>
          </w:tcPr>
          <w:p w14:paraId="18A08A9C">
            <w:pPr>
              <w:spacing w:before="108" w:line="192" w:lineRule="auto"/>
              <w:ind w:left="36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17.24|250</w:t>
            </w:r>
          </w:p>
        </w:tc>
        <w:tc>
          <w:tcPr>
            <w:tcW w:w="1162" w:type="dxa"/>
            <w:tcBorders>
              <w:right w:val="nil"/>
            </w:tcBorders>
            <w:vAlign w:val="top"/>
          </w:tcPr>
          <w:p w14:paraId="106BB2E5">
            <w:pPr>
              <w:spacing w:before="108"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598334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trPr>
        <w:tc>
          <w:tcPr>
            <w:tcW w:w="577" w:type="dxa"/>
            <w:tcBorders>
              <w:left w:val="nil"/>
            </w:tcBorders>
            <w:vAlign w:val="top"/>
          </w:tcPr>
          <w:p w14:paraId="77A7C935">
            <w:pPr>
              <w:spacing w:before="112" w:line="188" w:lineRule="auto"/>
              <w:ind w:left="21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14</w:t>
            </w:r>
          </w:p>
        </w:tc>
        <w:tc>
          <w:tcPr>
            <w:tcW w:w="2993" w:type="dxa"/>
            <w:vAlign w:val="top"/>
          </w:tcPr>
          <w:p w14:paraId="1269019E">
            <w:pPr>
              <w:pStyle w:val="6"/>
              <w:spacing w:before="81" w:line="218" w:lineRule="auto"/>
              <w:ind w:left="546"/>
              <w:rPr>
                <w:rFonts w:ascii="Times New Roman" w:hAnsi="Times New Roman" w:eastAsia="Times New Roman" w:cs="Times New Roman"/>
                <w:sz w:val="18"/>
                <w:szCs w:val="18"/>
              </w:rPr>
            </w:pPr>
            <w:r>
              <w:rPr>
                <w:spacing w:val="-5"/>
                <w:sz w:val="18"/>
                <w:szCs w:val="18"/>
              </w:rPr>
              <w:t>电炉车间无组织</w:t>
            </w:r>
            <w:r>
              <w:rPr>
                <w:rFonts w:ascii="Times New Roman" w:hAnsi="Times New Roman" w:eastAsia="Times New Roman" w:cs="Times New Roman"/>
                <w:spacing w:val="-5"/>
                <w:sz w:val="18"/>
                <w:szCs w:val="18"/>
              </w:rPr>
              <w:t>-1</w:t>
            </w:r>
            <w:r>
              <w:rPr>
                <w:rFonts w:ascii="Times New Roman" w:hAnsi="Times New Roman" w:eastAsia="Times New Roman" w:cs="Times New Roman"/>
                <w:spacing w:val="-23"/>
                <w:sz w:val="18"/>
                <w:szCs w:val="18"/>
              </w:rPr>
              <w:t xml:space="preserve"> </w:t>
            </w:r>
            <w:r>
              <w:rPr>
                <w:spacing w:val="-5"/>
                <w:sz w:val="18"/>
                <w:szCs w:val="18"/>
              </w:rPr>
              <w:t>、</w:t>
            </w:r>
            <w:r>
              <w:rPr>
                <w:rFonts w:ascii="Times New Roman" w:hAnsi="Times New Roman" w:eastAsia="Times New Roman" w:cs="Times New Roman"/>
                <w:spacing w:val="-5"/>
                <w:sz w:val="18"/>
                <w:szCs w:val="18"/>
              </w:rPr>
              <w:t>2</w:t>
            </w:r>
            <w:r>
              <w:rPr>
                <w:rFonts w:ascii="Times New Roman" w:hAnsi="Times New Roman" w:eastAsia="Times New Roman" w:cs="Times New Roman"/>
                <w:spacing w:val="-27"/>
                <w:sz w:val="18"/>
                <w:szCs w:val="18"/>
              </w:rPr>
              <w:t xml:space="preserve"> </w:t>
            </w:r>
            <w:r>
              <w:rPr>
                <w:spacing w:val="-5"/>
                <w:sz w:val="18"/>
                <w:szCs w:val="18"/>
              </w:rPr>
              <w:t>、</w:t>
            </w:r>
            <w:r>
              <w:rPr>
                <w:rFonts w:ascii="Times New Roman" w:hAnsi="Times New Roman" w:eastAsia="Times New Roman" w:cs="Times New Roman"/>
                <w:spacing w:val="-5"/>
                <w:sz w:val="18"/>
                <w:szCs w:val="18"/>
              </w:rPr>
              <w:t>3</w:t>
            </w:r>
          </w:p>
        </w:tc>
        <w:tc>
          <w:tcPr>
            <w:tcW w:w="946" w:type="dxa"/>
            <w:vAlign w:val="top"/>
          </w:tcPr>
          <w:p w14:paraId="2451C8A3">
            <w:pPr>
              <w:spacing w:before="112" w:line="188" w:lineRule="auto"/>
              <w:ind w:left="357"/>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186</w:t>
            </w:r>
          </w:p>
        </w:tc>
        <w:tc>
          <w:tcPr>
            <w:tcW w:w="998" w:type="dxa"/>
            <w:vAlign w:val="top"/>
          </w:tcPr>
          <w:p w14:paraId="0FEA0DD0">
            <w:pPr>
              <w:spacing w:before="112" w:line="188" w:lineRule="auto"/>
              <w:ind w:left="457"/>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188" w:type="dxa"/>
            <w:vAlign w:val="top"/>
          </w:tcPr>
          <w:p w14:paraId="6394DC07">
            <w:pPr>
              <w:spacing w:before="109" w:line="192" w:lineRule="auto"/>
              <w:ind w:left="37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28" w:type="dxa"/>
            <w:vAlign w:val="top"/>
          </w:tcPr>
          <w:p w14:paraId="05FDE38C">
            <w:pPr>
              <w:spacing w:before="109" w:line="192"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0.00|0</w:t>
            </w:r>
          </w:p>
        </w:tc>
        <w:tc>
          <w:tcPr>
            <w:tcW w:w="1173" w:type="dxa"/>
            <w:vAlign w:val="top"/>
          </w:tcPr>
          <w:p w14:paraId="0AC2463A">
            <w:pPr>
              <w:spacing w:before="109" w:line="192"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0.68|0</w:t>
            </w:r>
          </w:p>
        </w:tc>
        <w:tc>
          <w:tcPr>
            <w:tcW w:w="1276" w:type="dxa"/>
            <w:vAlign w:val="top"/>
          </w:tcPr>
          <w:p w14:paraId="135257A2">
            <w:pPr>
              <w:spacing w:before="109" w:line="192" w:lineRule="auto"/>
              <w:ind w:left="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c>
          <w:tcPr>
            <w:tcW w:w="1276" w:type="dxa"/>
            <w:vAlign w:val="top"/>
          </w:tcPr>
          <w:p w14:paraId="39EB6268">
            <w:pPr>
              <w:spacing w:before="109" w:line="192"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0.07|0</w:t>
            </w:r>
          </w:p>
        </w:tc>
        <w:tc>
          <w:tcPr>
            <w:tcW w:w="1393" w:type="dxa"/>
            <w:vAlign w:val="top"/>
          </w:tcPr>
          <w:p w14:paraId="52B63825">
            <w:pPr>
              <w:spacing w:before="109" w:line="192" w:lineRule="auto"/>
              <w:ind w:left="48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5.16|0</w:t>
            </w:r>
          </w:p>
        </w:tc>
        <w:tc>
          <w:tcPr>
            <w:tcW w:w="1162" w:type="dxa"/>
            <w:tcBorders>
              <w:right w:val="nil"/>
            </w:tcBorders>
            <w:vAlign w:val="top"/>
          </w:tcPr>
          <w:p w14:paraId="5768630E">
            <w:pPr>
              <w:spacing w:before="109" w:line="192" w:lineRule="auto"/>
              <w:ind w:left="3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p>
        </w:tc>
      </w:tr>
      <w:tr w14:paraId="1061C4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77" w:type="dxa"/>
            <w:tcBorders>
              <w:left w:val="nil"/>
              <w:bottom w:val="single" w:color="000000" w:sz="10" w:space="0"/>
            </w:tcBorders>
            <w:vAlign w:val="top"/>
          </w:tcPr>
          <w:p w14:paraId="1C7A747C">
            <w:pPr>
              <w:spacing w:before="113" w:line="188" w:lineRule="auto"/>
              <w:ind w:left="21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15</w:t>
            </w:r>
          </w:p>
        </w:tc>
        <w:tc>
          <w:tcPr>
            <w:tcW w:w="2993" w:type="dxa"/>
            <w:tcBorders>
              <w:bottom w:val="single" w:color="000000" w:sz="10" w:space="0"/>
            </w:tcBorders>
            <w:vAlign w:val="top"/>
          </w:tcPr>
          <w:p w14:paraId="36BBCF14">
            <w:pPr>
              <w:pStyle w:val="6"/>
              <w:spacing w:before="82" w:line="219" w:lineRule="auto"/>
              <w:ind w:left="1053"/>
              <w:rPr>
                <w:sz w:val="18"/>
                <w:szCs w:val="18"/>
              </w:rPr>
            </w:pPr>
            <w:r>
              <w:rPr>
                <w:spacing w:val="-2"/>
                <w:sz w:val="18"/>
                <w:szCs w:val="18"/>
              </w:rPr>
              <w:t>各源最大值</w:t>
            </w:r>
          </w:p>
        </w:tc>
        <w:tc>
          <w:tcPr>
            <w:tcW w:w="946" w:type="dxa"/>
            <w:tcBorders>
              <w:bottom w:val="single" w:color="000000" w:sz="10" w:space="0"/>
            </w:tcBorders>
            <w:vAlign w:val="top"/>
          </w:tcPr>
          <w:p w14:paraId="3E58CB7E">
            <w:pPr>
              <w:spacing w:before="189" w:line="86" w:lineRule="exact"/>
              <w:ind w:left="417"/>
              <w:rPr>
                <w:rFonts w:ascii="Times New Roman" w:hAnsi="Times New Roman" w:eastAsia="Times New Roman" w:cs="Times New Roman"/>
                <w:sz w:val="18"/>
                <w:szCs w:val="18"/>
              </w:rPr>
            </w:pPr>
            <w:r>
              <w:rPr>
                <w:rFonts w:ascii="Times New Roman" w:hAnsi="Times New Roman" w:eastAsia="Times New Roman" w:cs="Times New Roman"/>
                <w:position w:val="-1"/>
                <w:sz w:val="18"/>
                <w:szCs w:val="18"/>
              </w:rPr>
              <w:t>--</w:t>
            </w:r>
          </w:p>
        </w:tc>
        <w:tc>
          <w:tcPr>
            <w:tcW w:w="998" w:type="dxa"/>
            <w:tcBorders>
              <w:bottom w:val="single" w:color="000000" w:sz="10" w:space="0"/>
            </w:tcBorders>
            <w:vAlign w:val="top"/>
          </w:tcPr>
          <w:p w14:paraId="782561F9">
            <w:pPr>
              <w:spacing w:before="189" w:line="86" w:lineRule="exact"/>
              <w:ind w:left="443"/>
              <w:rPr>
                <w:rFonts w:ascii="Times New Roman" w:hAnsi="Times New Roman" w:eastAsia="Times New Roman" w:cs="Times New Roman"/>
                <w:sz w:val="18"/>
                <w:szCs w:val="18"/>
              </w:rPr>
            </w:pPr>
            <w:r>
              <w:rPr>
                <w:rFonts w:ascii="Times New Roman" w:hAnsi="Times New Roman" w:eastAsia="Times New Roman" w:cs="Times New Roman"/>
                <w:position w:val="-1"/>
                <w:sz w:val="18"/>
                <w:szCs w:val="18"/>
              </w:rPr>
              <w:t>--</w:t>
            </w:r>
          </w:p>
        </w:tc>
        <w:tc>
          <w:tcPr>
            <w:tcW w:w="1188" w:type="dxa"/>
            <w:tcBorders>
              <w:bottom w:val="single" w:color="000000" w:sz="10" w:space="0"/>
            </w:tcBorders>
            <w:vAlign w:val="top"/>
          </w:tcPr>
          <w:p w14:paraId="32D539BE">
            <w:pPr>
              <w:spacing w:before="113" w:line="188" w:lineRule="auto"/>
              <w:ind w:left="44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3.12</w:t>
            </w:r>
          </w:p>
        </w:tc>
        <w:tc>
          <w:tcPr>
            <w:tcW w:w="1228" w:type="dxa"/>
            <w:tcBorders>
              <w:bottom w:val="single" w:color="000000" w:sz="10" w:space="0"/>
            </w:tcBorders>
            <w:vAlign w:val="top"/>
          </w:tcPr>
          <w:p w14:paraId="5E5C9287">
            <w:pPr>
              <w:spacing w:before="110" w:line="192" w:lineRule="auto"/>
              <w:ind w:left="21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39.08|2050</w:t>
            </w:r>
          </w:p>
        </w:tc>
        <w:tc>
          <w:tcPr>
            <w:tcW w:w="1173" w:type="dxa"/>
            <w:tcBorders>
              <w:bottom w:val="single" w:color="000000" w:sz="10" w:space="0"/>
            </w:tcBorders>
            <w:vAlign w:val="top"/>
          </w:tcPr>
          <w:p w14:paraId="50EA4BA6">
            <w:pPr>
              <w:spacing w:before="113" w:line="188" w:lineRule="auto"/>
              <w:ind w:left="43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7.79</w:t>
            </w:r>
          </w:p>
        </w:tc>
        <w:tc>
          <w:tcPr>
            <w:tcW w:w="1276" w:type="dxa"/>
            <w:tcBorders>
              <w:bottom w:val="single" w:color="000000" w:sz="10" w:space="0"/>
            </w:tcBorders>
            <w:shd w:val="clear" w:color="auto" w:fill="BEBEBE"/>
            <w:vAlign w:val="top"/>
          </w:tcPr>
          <w:p w14:paraId="6F1C8590">
            <w:pPr>
              <w:spacing w:before="113" w:line="188" w:lineRule="auto"/>
              <w:ind w:left="500"/>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1.69</w:t>
            </w:r>
          </w:p>
        </w:tc>
        <w:tc>
          <w:tcPr>
            <w:tcW w:w="1276" w:type="dxa"/>
            <w:tcBorders>
              <w:bottom w:val="single" w:color="000000" w:sz="10" w:space="0"/>
            </w:tcBorders>
            <w:vAlign w:val="top"/>
          </w:tcPr>
          <w:p w14:paraId="60EBD64C">
            <w:pPr>
              <w:spacing w:before="110" w:line="192"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19.30|700</w:t>
            </w:r>
          </w:p>
        </w:tc>
        <w:tc>
          <w:tcPr>
            <w:tcW w:w="1393" w:type="dxa"/>
            <w:tcBorders>
              <w:bottom w:val="single" w:color="000000" w:sz="10" w:space="0"/>
            </w:tcBorders>
            <w:vAlign w:val="top"/>
          </w:tcPr>
          <w:p w14:paraId="6D8B19FC">
            <w:pPr>
              <w:spacing w:before="110" w:line="192" w:lineRule="auto"/>
              <w:ind w:left="30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90.84|1675</w:t>
            </w:r>
          </w:p>
        </w:tc>
        <w:tc>
          <w:tcPr>
            <w:tcW w:w="1162" w:type="dxa"/>
            <w:tcBorders>
              <w:bottom w:val="single" w:color="000000" w:sz="10" w:space="0"/>
              <w:right w:val="nil"/>
            </w:tcBorders>
            <w:vAlign w:val="top"/>
          </w:tcPr>
          <w:p w14:paraId="73F4EBEC">
            <w:pPr>
              <w:spacing w:before="113" w:line="188" w:lineRule="auto"/>
              <w:ind w:left="42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0.36</w:t>
            </w:r>
          </w:p>
        </w:tc>
      </w:tr>
    </w:tbl>
    <w:p w14:paraId="49A95D85">
      <w:pPr>
        <w:spacing w:before="36" w:line="330" w:lineRule="auto"/>
        <w:ind w:left="116" w:right="107" w:firstLine="481"/>
        <w:rPr>
          <w:rFonts w:ascii="宋体" w:hAnsi="宋体" w:eastAsia="宋体" w:cs="宋体"/>
          <w:sz w:val="24"/>
          <w:szCs w:val="24"/>
        </w:rPr>
      </w:pPr>
      <w:r>
        <w:rPr>
          <w:rFonts w:ascii="宋体" w:hAnsi="宋体" w:eastAsia="宋体" w:cs="宋体"/>
          <w:spacing w:val="-1"/>
          <w:sz w:val="24"/>
          <w:szCs w:val="24"/>
        </w:rPr>
        <w:t>经估算模式计算得出，本项目污染物有组织排气筒</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 xml:space="preserve">DA004 </w:t>
      </w:r>
      <w:r>
        <w:rPr>
          <w:rFonts w:ascii="宋体" w:hAnsi="宋体" w:eastAsia="宋体" w:cs="宋体"/>
          <w:spacing w:val="-1"/>
          <w:sz w:val="24"/>
          <w:szCs w:val="24"/>
        </w:rPr>
        <w:t>排放的氮氧化物，最大落地浓度</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78.</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1"/>
          <w:sz w:val="24"/>
          <w:szCs w:val="24"/>
        </w:rPr>
        <w:t>1571u</w:t>
      </w:r>
      <w:r>
        <w:rPr>
          <w:rFonts w:ascii="Times New Roman" w:hAnsi="Times New Roman" w:eastAsia="Times New Roman" w:cs="Times New Roman"/>
          <w:spacing w:val="-2"/>
          <w:sz w:val="24"/>
          <w:szCs w:val="24"/>
        </w:rPr>
        <w:t>g/m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9"/>
          <w:position w:val="8"/>
          <w:sz w:val="15"/>
          <w:szCs w:val="15"/>
        </w:rPr>
        <w:t xml:space="preserve"> </w:t>
      </w:r>
      <w:r>
        <w:rPr>
          <w:rFonts w:ascii="宋体" w:hAnsi="宋体" w:eastAsia="宋体" w:cs="宋体"/>
          <w:spacing w:val="-2"/>
          <w:sz w:val="24"/>
          <w:szCs w:val="24"/>
        </w:rPr>
        <w:t>，最大地面浓度占标率为</w:t>
      </w:r>
      <w:r>
        <w:rPr>
          <w:rFonts w:ascii="宋体" w:hAnsi="宋体" w:eastAsia="宋体" w:cs="宋体"/>
          <w:sz w:val="24"/>
          <w:szCs w:val="24"/>
        </w:rPr>
        <w:t xml:space="preserve"> </w:t>
      </w:r>
      <w:r>
        <w:rPr>
          <w:rFonts w:ascii="Times New Roman" w:hAnsi="Times New Roman" w:eastAsia="Times New Roman" w:cs="Times New Roman"/>
          <w:spacing w:val="-2"/>
          <w:sz w:val="24"/>
          <w:szCs w:val="24"/>
        </w:rPr>
        <w:t>39.08%</w:t>
      </w:r>
      <w:r>
        <w:rPr>
          <w:rFonts w:ascii="宋体" w:hAnsi="宋体" w:eastAsia="宋体" w:cs="宋体"/>
          <w:spacing w:val="-2"/>
          <w:sz w:val="24"/>
          <w:szCs w:val="24"/>
        </w:rPr>
        <w:t>。</w:t>
      </w:r>
    </w:p>
    <w:p w14:paraId="43447153">
      <w:pPr>
        <w:spacing w:before="30" w:line="333" w:lineRule="auto"/>
        <w:ind w:left="135" w:right="36" w:firstLine="461"/>
        <w:rPr>
          <w:rFonts w:ascii="宋体" w:hAnsi="宋体" w:eastAsia="宋体" w:cs="宋体"/>
          <w:sz w:val="24"/>
          <w:szCs w:val="24"/>
        </w:rPr>
      </w:pPr>
      <w:r>
        <w:rPr>
          <w:rFonts w:ascii="宋体" w:hAnsi="宋体" w:eastAsia="宋体" w:cs="宋体"/>
          <w:spacing w:val="-6"/>
          <w:sz w:val="24"/>
          <w:szCs w:val="24"/>
        </w:rPr>
        <w:t>根据评价工作等级判定表，本项目</w:t>
      </w:r>
      <w:r>
        <w:rPr>
          <w:rFonts w:ascii="宋体" w:hAnsi="宋体" w:eastAsia="宋体" w:cs="宋体"/>
          <w:spacing w:val="-54"/>
          <w:sz w:val="24"/>
          <w:szCs w:val="24"/>
        </w:rPr>
        <w:t xml:space="preserve"> </w:t>
      </w:r>
      <w:r>
        <w:rPr>
          <w:rFonts w:ascii="Times New Roman" w:hAnsi="Times New Roman" w:eastAsia="Times New Roman" w:cs="Times New Roman"/>
          <w:spacing w:val="-6"/>
          <w:sz w:val="24"/>
          <w:szCs w:val="24"/>
        </w:rPr>
        <w:t>P</w:t>
      </w:r>
      <w:r>
        <w:rPr>
          <w:rFonts w:ascii="Times New Roman" w:hAnsi="Times New Roman" w:eastAsia="Times New Roman" w:cs="Times New Roman"/>
          <w:spacing w:val="-6"/>
          <w:position w:val="-1"/>
          <w:sz w:val="15"/>
          <w:szCs w:val="15"/>
        </w:rPr>
        <w:t>max</w:t>
      </w:r>
      <w:r>
        <w:rPr>
          <w:rFonts w:ascii="Times New Roman" w:hAnsi="Times New Roman" w:eastAsia="Times New Roman" w:cs="Times New Roman"/>
          <w:spacing w:val="-6"/>
          <w:sz w:val="24"/>
          <w:szCs w:val="24"/>
        </w:rPr>
        <w:t>=39.08%</w:t>
      </w:r>
      <w:r>
        <w:rPr>
          <w:rFonts w:ascii="Times New Roman" w:hAnsi="Times New Roman" w:eastAsia="Times New Roman" w:cs="Times New Roman"/>
          <w:spacing w:val="-6"/>
          <w:position w:val="-1"/>
          <w:sz w:val="15"/>
          <w:szCs w:val="15"/>
        </w:rPr>
        <w:t>x</w:t>
      </w:r>
      <w:r>
        <w:rPr>
          <w:rFonts w:ascii="Times New Roman" w:hAnsi="Times New Roman" w:eastAsia="Times New Roman" w:cs="Times New Roman"/>
          <w:spacing w:val="-6"/>
          <w:sz w:val="24"/>
          <w:szCs w:val="24"/>
        </w:rPr>
        <w:t>≥10%</w:t>
      </w:r>
      <w:r>
        <w:rPr>
          <w:rFonts w:ascii="宋体" w:hAnsi="宋体" w:eastAsia="宋体" w:cs="宋体"/>
          <w:spacing w:val="-6"/>
          <w:sz w:val="24"/>
          <w:szCs w:val="24"/>
        </w:rPr>
        <w:t>，因此确定本次大气评价等级为一级。占标率</w:t>
      </w:r>
      <w:r>
        <w:rPr>
          <w:rFonts w:ascii="宋体" w:hAnsi="宋体" w:eastAsia="宋体" w:cs="宋体"/>
          <w:spacing w:val="-32"/>
          <w:sz w:val="24"/>
          <w:szCs w:val="24"/>
        </w:rPr>
        <w:t xml:space="preserve"> </w:t>
      </w:r>
      <w:r>
        <w:rPr>
          <w:rFonts w:ascii="Times New Roman" w:hAnsi="Times New Roman" w:eastAsia="Times New Roman" w:cs="Times New Roman"/>
          <w:spacing w:val="-6"/>
          <w:sz w:val="24"/>
          <w:szCs w:val="24"/>
        </w:rPr>
        <w:t>10%</w:t>
      </w:r>
      <w:r>
        <w:rPr>
          <w:rFonts w:ascii="宋体" w:hAnsi="宋体" w:eastAsia="宋体" w:cs="宋体"/>
          <w:spacing w:val="-6"/>
          <w:sz w:val="24"/>
          <w:szCs w:val="24"/>
        </w:rPr>
        <w:t>的最远距离</w:t>
      </w:r>
      <w:r>
        <w:rPr>
          <w:rFonts w:ascii="宋体" w:hAnsi="宋体" w:eastAsia="宋体" w:cs="宋体"/>
          <w:spacing w:val="-56"/>
          <w:sz w:val="24"/>
          <w:szCs w:val="24"/>
        </w:rPr>
        <w:t xml:space="preserve"> </w:t>
      </w:r>
      <w:r>
        <w:rPr>
          <w:rFonts w:ascii="Times New Roman" w:hAnsi="Times New Roman" w:eastAsia="Times New Roman" w:cs="Times New Roman"/>
          <w:spacing w:val="-6"/>
          <w:sz w:val="24"/>
          <w:szCs w:val="24"/>
        </w:rPr>
        <w:t>D10%</w:t>
      </w:r>
      <w:r>
        <w:rPr>
          <w:rFonts w:ascii="宋体" w:hAnsi="宋体" w:eastAsia="宋体" w:cs="宋体"/>
          <w:spacing w:val="-6"/>
          <w:sz w:val="24"/>
          <w:szCs w:val="24"/>
        </w:rPr>
        <w:t>为</w:t>
      </w:r>
      <w:r>
        <w:rPr>
          <w:rFonts w:ascii="宋体" w:hAnsi="宋体" w:eastAsia="宋体" w:cs="宋体"/>
          <w:spacing w:val="-54"/>
          <w:sz w:val="24"/>
          <w:szCs w:val="24"/>
        </w:rPr>
        <w:t xml:space="preserve"> </w:t>
      </w:r>
      <w:r>
        <w:rPr>
          <w:rFonts w:ascii="Times New Roman" w:hAnsi="Times New Roman" w:eastAsia="Times New Roman" w:cs="Times New Roman"/>
          <w:spacing w:val="-6"/>
          <w:sz w:val="24"/>
          <w:szCs w:val="24"/>
        </w:rPr>
        <w:t>2050m</w:t>
      </w:r>
      <w:r>
        <w:rPr>
          <w:rFonts w:ascii="宋体" w:hAnsi="宋体" w:eastAsia="宋体" w:cs="宋体"/>
          <w:spacing w:val="-6"/>
          <w:sz w:val="24"/>
          <w:szCs w:val="24"/>
        </w:rPr>
        <w:t>，</w:t>
      </w:r>
      <w:r>
        <w:rPr>
          <w:rFonts w:ascii="宋体" w:hAnsi="宋体" w:eastAsia="宋体" w:cs="宋体"/>
          <w:sz w:val="24"/>
          <w:szCs w:val="24"/>
        </w:rPr>
        <w:t xml:space="preserve"> </w:t>
      </w:r>
      <w:r>
        <w:rPr>
          <w:rFonts w:ascii="宋体" w:hAnsi="宋体" w:eastAsia="宋体" w:cs="宋体"/>
          <w:spacing w:val="-1"/>
          <w:sz w:val="24"/>
          <w:szCs w:val="24"/>
        </w:rPr>
        <w:t>因此大气环境影响评价范围是以厂址为中心区域，边长</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5</w:t>
      </w:r>
      <w:r>
        <w:rPr>
          <w:rFonts w:ascii="Times New Roman" w:hAnsi="Times New Roman" w:eastAsia="Times New Roman" w:cs="Times New Roman"/>
          <w:spacing w:val="-2"/>
          <w:sz w:val="24"/>
          <w:szCs w:val="24"/>
        </w:rPr>
        <w:t>×5km</w:t>
      </w:r>
      <w:r>
        <w:rPr>
          <w:rFonts w:ascii="Times New Roman" w:hAnsi="Times New Roman" w:eastAsia="Times New Roman" w:cs="Times New Roman"/>
          <w:spacing w:val="29"/>
          <w:w w:val="101"/>
          <w:sz w:val="24"/>
          <w:szCs w:val="24"/>
        </w:rPr>
        <w:t xml:space="preserve"> </w:t>
      </w:r>
      <w:r>
        <w:rPr>
          <w:rFonts w:ascii="宋体" w:hAnsi="宋体" w:eastAsia="宋体" w:cs="宋体"/>
          <w:spacing w:val="-2"/>
          <w:sz w:val="24"/>
          <w:szCs w:val="24"/>
        </w:rPr>
        <w:t>的矩形区域作为大气环境影响评价范围。</w:t>
      </w:r>
    </w:p>
    <w:p w14:paraId="514E5602">
      <w:pPr>
        <w:spacing w:line="333" w:lineRule="auto"/>
        <w:rPr>
          <w:rFonts w:ascii="宋体" w:hAnsi="宋体" w:eastAsia="宋体" w:cs="宋体"/>
          <w:sz w:val="24"/>
          <w:szCs w:val="24"/>
        </w:rPr>
        <w:sectPr>
          <w:headerReference r:id="rId68" w:type="default"/>
          <w:footerReference r:id="rId69" w:type="default"/>
          <w:pgSz w:w="16840" w:h="11907"/>
          <w:pgMar w:top="1178" w:right="1320" w:bottom="1039" w:left="1309" w:header="870" w:footer="877" w:gutter="0"/>
          <w:cols w:space="720" w:num="1"/>
        </w:sectPr>
      </w:pPr>
    </w:p>
    <w:p w14:paraId="18E340BD">
      <w:pPr>
        <w:spacing w:before="282" w:line="222" w:lineRule="auto"/>
        <w:ind w:left="34"/>
        <w:outlineLvl w:val="2"/>
        <w:rPr>
          <w:rFonts w:ascii="黑体" w:hAnsi="黑体" w:eastAsia="黑体" w:cs="黑体"/>
          <w:sz w:val="30"/>
          <w:szCs w:val="30"/>
        </w:rPr>
      </w:pPr>
      <w:r>
        <w:pict>
          <v:shape id="_x0000_s1065" o:spid="_x0000_s1065" style="position:absolute;left:0pt;margin-left:70.85pt;margin-top:59.65pt;height:0.75pt;width:453.65pt;mso-position-horizontal-relative:page;mso-position-vertical-relative:page;z-index:251699200;mso-width-relative:page;mso-height-relative:page;" fillcolor="#000000" filled="t" stroked="f" coordsize="9072,15" o:allowincell="f" path="m0,0l9072,0,9072,14,0,14,0,0xe">
            <v:path/>
            <v:fill on="t" focussize="0,0"/>
            <v:stroke on="f"/>
            <v:imagedata o:title=""/>
            <o:lock v:ext="edit"/>
          </v:shape>
        </w:pict>
      </w:r>
      <w:bookmarkStart w:id="298" w:name="bookmark68"/>
      <w:bookmarkEnd w:id="298"/>
      <w:r>
        <w:rPr>
          <w:rFonts w:ascii="Times New Roman" w:hAnsi="Times New Roman" w:eastAsia="Times New Roman" w:cs="Times New Roman"/>
          <w:spacing w:val="-4"/>
          <w:sz w:val="30"/>
          <w:szCs w:val="30"/>
        </w:rPr>
        <w:t xml:space="preserve">1.6.2 </w:t>
      </w:r>
      <w:r>
        <w:rPr>
          <w:rFonts w:ascii="黑体" w:hAnsi="黑体" w:eastAsia="黑体" w:cs="黑体"/>
          <w:spacing w:val="-4"/>
          <w:sz w:val="30"/>
          <w:szCs w:val="30"/>
        </w:rPr>
        <w:t>地表水环境</w:t>
      </w:r>
    </w:p>
    <w:p w14:paraId="67A0105C">
      <w:pPr>
        <w:spacing w:before="214" w:line="218" w:lineRule="auto"/>
        <w:ind w:left="488"/>
        <w:rPr>
          <w:rFonts w:ascii="宋体" w:hAnsi="宋体" w:eastAsia="宋体" w:cs="宋体"/>
          <w:sz w:val="24"/>
          <w:szCs w:val="24"/>
        </w:rPr>
      </w:pPr>
      <w:r>
        <w:rPr>
          <w:rFonts w:ascii="宋体" w:hAnsi="宋体" w:eastAsia="宋体" w:cs="宋体"/>
          <w:spacing w:val="2"/>
          <w:sz w:val="24"/>
          <w:szCs w:val="24"/>
        </w:rPr>
        <w:t>根据《环境影响评价技术导则 地表水环境》</w:t>
      </w:r>
      <w:r>
        <w:rPr>
          <w:rFonts w:ascii="宋体" w:hAnsi="宋体" w:eastAsia="宋体" w:cs="宋体"/>
          <w:spacing w:val="1"/>
          <w:sz w:val="24"/>
          <w:szCs w:val="24"/>
        </w:rPr>
        <w:t>（</w:t>
      </w:r>
      <w:r>
        <w:rPr>
          <w:rFonts w:ascii="Times New Roman" w:hAnsi="Times New Roman" w:eastAsia="Times New Roman" w:cs="Times New Roman"/>
          <w:sz w:val="24"/>
          <w:szCs w:val="24"/>
        </w:rPr>
        <w:t>HJ</w:t>
      </w:r>
      <w:r>
        <w:rPr>
          <w:rFonts w:ascii="Times New Roman" w:hAnsi="Times New Roman" w:eastAsia="Times New Roman" w:cs="Times New Roman"/>
          <w:spacing w:val="1"/>
          <w:sz w:val="24"/>
          <w:szCs w:val="24"/>
        </w:rPr>
        <w:t xml:space="preserve"> 2.3-2018</w:t>
      </w:r>
      <w:r>
        <w:rPr>
          <w:rFonts w:ascii="宋体" w:hAnsi="宋体" w:eastAsia="宋体" w:cs="宋体"/>
          <w:spacing w:val="8"/>
          <w:sz w:val="24"/>
          <w:szCs w:val="24"/>
        </w:rPr>
        <w:t>），</w:t>
      </w:r>
      <w:r>
        <w:rPr>
          <w:rFonts w:ascii="宋体" w:hAnsi="宋体" w:eastAsia="宋体" w:cs="宋体"/>
          <w:spacing w:val="1"/>
          <w:sz w:val="24"/>
          <w:szCs w:val="24"/>
        </w:rPr>
        <w:t>地表水水污染影响</w:t>
      </w:r>
    </w:p>
    <w:p w14:paraId="7A07F7B7">
      <w:pPr>
        <w:spacing w:before="182" w:line="218" w:lineRule="auto"/>
        <w:ind w:left="15"/>
        <w:rPr>
          <w:rFonts w:ascii="宋体" w:hAnsi="宋体" w:eastAsia="宋体" w:cs="宋体"/>
          <w:sz w:val="24"/>
          <w:szCs w:val="24"/>
        </w:rPr>
      </w:pPr>
      <w:r>
        <w:rPr>
          <w:rFonts w:ascii="宋体" w:hAnsi="宋体" w:eastAsia="宋体" w:cs="宋体"/>
          <w:spacing w:val="-2"/>
          <w:sz w:val="24"/>
          <w:szCs w:val="24"/>
        </w:rPr>
        <w:t>型建设项目评价等级判定依据详见表</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1.6</w:t>
      </w:r>
      <w:r>
        <w:rPr>
          <w:rFonts w:ascii="Times New Roman" w:hAnsi="Times New Roman" w:eastAsia="Times New Roman" w:cs="Times New Roman"/>
          <w:spacing w:val="-3"/>
          <w:sz w:val="24"/>
          <w:szCs w:val="24"/>
        </w:rPr>
        <w:t>-7</w:t>
      </w:r>
      <w:r>
        <w:rPr>
          <w:rFonts w:ascii="宋体" w:hAnsi="宋体" w:eastAsia="宋体" w:cs="宋体"/>
          <w:spacing w:val="-3"/>
          <w:sz w:val="24"/>
          <w:szCs w:val="24"/>
        </w:rPr>
        <w:t>。</w:t>
      </w:r>
    </w:p>
    <w:p w14:paraId="3F531A4F">
      <w:pPr>
        <w:spacing w:before="180" w:line="226" w:lineRule="auto"/>
        <w:ind w:left="2190"/>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17"/>
          <w:sz w:val="20"/>
          <w:szCs w:val="20"/>
        </w:rPr>
        <w:t xml:space="preserve"> </w:t>
      </w:r>
      <w:r>
        <w:rPr>
          <w:rFonts w:ascii="Times New Roman" w:hAnsi="Times New Roman" w:eastAsia="Times New Roman" w:cs="Times New Roman"/>
          <w:b/>
          <w:bCs/>
          <w:spacing w:val="5"/>
          <w:sz w:val="20"/>
          <w:szCs w:val="20"/>
        </w:rPr>
        <w:t xml:space="preserve">1.6-7        </w:t>
      </w:r>
      <w:r>
        <w:rPr>
          <w:rFonts w:ascii="宋体" w:hAnsi="宋体" w:eastAsia="宋体" w:cs="宋体"/>
          <w:b/>
          <w:bCs/>
          <w:spacing w:val="5"/>
          <w:sz w:val="20"/>
          <w:szCs w:val="20"/>
        </w:rPr>
        <w:t>水污染影响型建设项目评价等级判定表</w:t>
      </w:r>
    </w:p>
    <w:p w14:paraId="78215D1E">
      <w:pPr>
        <w:spacing w:line="132" w:lineRule="exact"/>
      </w:pPr>
    </w:p>
    <w:tbl>
      <w:tblPr>
        <w:tblStyle w:val="5"/>
        <w:tblW w:w="907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66"/>
        <w:gridCol w:w="2723"/>
        <w:gridCol w:w="4084"/>
      </w:tblGrid>
      <w:tr w14:paraId="3247FA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2266" w:type="dxa"/>
            <w:vMerge w:val="restart"/>
            <w:tcBorders>
              <w:top w:val="single" w:color="000000" w:sz="10" w:space="0"/>
              <w:left w:val="nil"/>
              <w:bottom w:val="nil"/>
            </w:tcBorders>
            <w:vAlign w:val="top"/>
          </w:tcPr>
          <w:p w14:paraId="59E2A8A2">
            <w:pPr>
              <w:spacing w:line="243" w:lineRule="auto"/>
              <w:rPr>
                <w:rFonts w:ascii="Arial"/>
                <w:sz w:val="21"/>
              </w:rPr>
            </w:pPr>
          </w:p>
          <w:p w14:paraId="39B60068">
            <w:pPr>
              <w:pStyle w:val="6"/>
              <w:spacing w:before="65" w:line="226" w:lineRule="auto"/>
              <w:ind w:left="716"/>
              <w:outlineLvl w:val="2"/>
              <w:rPr>
                <w:sz w:val="20"/>
                <w:szCs w:val="20"/>
              </w:rPr>
            </w:pPr>
            <w:bookmarkStart w:id="299" w:name="bookmark79"/>
            <w:bookmarkEnd w:id="299"/>
            <w:r>
              <w:rPr>
                <w:b/>
                <w:bCs/>
                <w:spacing w:val="6"/>
                <w:sz w:val="20"/>
                <w:szCs w:val="20"/>
              </w:rPr>
              <w:t>评价等级</w:t>
            </w:r>
          </w:p>
        </w:tc>
        <w:tc>
          <w:tcPr>
            <w:tcW w:w="6807" w:type="dxa"/>
            <w:gridSpan w:val="2"/>
            <w:tcBorders>
              <w:top w:val="single" w:color="000000" w:sz="10" w:space="0"/>
              <w:right w:val="nil"/>
            </w:tcBorders>
            <w:vAlign w:val="top"/>
          </w:tcPr>
          <w:p w14:paraId="346F7D4A">
            <w:pPr>
              <w:pStyle w:val="6"/>
              <w:spacing w:before="34" w:line="214" w:lineRule="auto"/>
              <w:ind w:left="2987"/>
              <w:rPr>
                <w:sz w:val="20"/>
                <w:szCs w:val="20"/>
              </w:rPr>
            </w:pPr>
            <w:r>
              <w:rPr>
                <w:b/>
                <w:bCs/>
                <w:spacing w:val="6"/>
                <w:sz w:val="20"/>
                <w:szCs w:val="20"/>
              </w:rPr>
              <w:t>判定依据</w:t>
            </w:r>
          </w:p>
        </w:tc>
      </w:tr>
      <w:tr w14:paraId="4C406D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2266" w:type="dxa"/>
            <w:vMerge w:val="continue"/>
            <w:tcBorders>
              <w:top w:val="nil"/>
              <w:left w:val="nil"/>
            </w:tcBorders>
            <w:vAlign w:val="top"/>
          </w:tcPr>
          <w:p w14:paraId="040FEEDE">
            <w:pPr>
              <w:rPr>
                <w:rFonts w:ascii="Arial"/>
                <w:sz w:val="21"/>
              </w:rPr>
            </w:pPr>
          </w:p>
        </w:tc>
        <w:tc>
          <w:tcPr>
            <w:tcW w:w="2723" w:type="dxa"/>
            <w:vAlign w:val="top"/>
          </w:tcPr>
          <w:p w14:paraId="7E186570">
            <w:pPr>
              <w:pStyle w:val="6"/>
              <w:spacing w:before="168" w:line="229" w:lineRule="auto"/>
              <w:ind w:left="945"/>
              <w:rPr>
                <w:sz w:val="20"/>
                <w:szCs w:val="20"/>
              </w:rPr>
            </w:pPr>
            <w:r>
              <w:rPr>
                <w:b/>
                <w:bCs/>
                <w:spacing w:val="6"/>
                <w:sz w:val="20"/>
                <w:szCs w:val="20"/>
              </w:rPr>
              <w:t>排放方式</w:t>
            </w:r>
          </w:p>
        </w:tc>
        <w:tc>
          <w:tcPr>
            <w:tcW w:w="4084" w:type="dxa"/>
            <w:tcBorders>
              <w:right w:val="nil"/>
            </w:tcBorders>
            <w:vAlign w:val="top"/>
          </w:tcPr>
          <w:p w14:paraId="39C939BE">
            <w:pPr>
              <w:pStyle w:val="6"/>
              <w:spacing w:before="31" w:line="221" w:lineRule="auto"/>
              <w:ind w:left="964"/>
              <w:rPr>
                <w:sz w:val="20"/>
                <w:szCs w:val="20"/>
              </w:rPr>
            </w:pPr>
            <w:r>
              <w:rPr>
                <w:b/>
                <w:bCs/>
                <w:spacing w:val="1"/>
                <w:sz w:val="20"/>
                <w:szCs w:val="20"/>
              </w:rPr>
              <w:t>废水排放量</w:t>
            </w:r>
            <w:r>
              <w:rPr>
                <w:spacing w:val="-32"/>
                <w:sz w:val="20"/>
                <w:szCs w:val="20"/>
              </w:rPr>
              <w:t xml:space="preserve"> </w:t>
            </w:r>
            <w:r>
              <w:rPr>
                <w:rFonts w:ascii="Times New Roman" w:hAnsi="Times New Roman" w:eastAsia="Times New Roman" w:cs="Times New Roman"/>
                <w:b/>
                <w:bCs/>
                <w:spacing w:val="1"/>
                <w:sz w:val="20"/>
                <w:szCs w:val="20"/>
              </w:rPr>
              <w:t>Q/</w:t>
            </w:r>
            <w:r>
              <w:rPr>
                <w:b/>
                <w:bCs/>
                <w:spacing w:val="1"/>
                <w:sz w:val="20"/>
                <w:szCs w:val="20"/>
              </w:rPr>
              <w:t>（</w:t>
            </w:r>
            <w:r>
              <w:rPr>
                <w:spacing w:val="-59"/>
                <w:sz w:val="20"/>
                <w:szCs w:val="20"/>
              </w:rPr>
              <w:t xml:space="preserve"> </w:t>
            </w:r>
            <w:r>
              <w:rPr>
                <w:rFonts w:ascii="Times New Roman" w:hAnsi="Times New Roman" w:eastAsia="Times New Roman" w:cs="Times New Roman"/>
                <w:b/>
                <w:bCs/>
                <w:spacing w:val="1"/>
                <w:sz w:val="20"/>
                <w:szCs w:val="20"/>
              </w:rPr>
              <w:t>m</w:t>
            </w:r>
            <w:r>
              <w:rPr>
                <w:rFonts w:ascii="Times New Roman" w:hAnsi="Times New Roman" w:eastAsia="Times New Roman" w:cs="Times New Roman"/>
                <w:b/>
                <w:bCs/>
                <w:spacing w:val="1"/>
                <w:position w:val="6"/>
                <w:sz w:val="13"/>
                <w:szCs w:val="13"/>
              </w:rPr>
              <w:t>3</w:t>
            </w:r>
            <w:r>
              <w:rPr>
                <w:rFonts w:ascii="Times New Roman" w:hAnsi="Times New Roman" w:eastAsia="Times New Roman" w:cs="Times New Roman"/>
                <w:b/>
                <w:bCs/>
                <w:spacing w:val="1"/>
                <w:sz w:val="20"/>
                <w:szCs w:val="20"/>
              </w:rPr>
              <w:t>/d</w:t>
            </w:r>
            <w:r>
              <w:rPr>
                <w:b/>
                <w:bCs/>
                <w:spacing w:val="1"/>
                <w:sz w:val="20"/>
                <w:szCs w:val="20"/>
              </w:rPr>
              <w:t>）</w:t>
            </w:r>
          </w:p>
          <w:p w14:paraId="7B10764A">
            <w:pPr>
              <w:pStyle w:val="6"/>
              <w:spacing w:before="34" w:line="206" w:lineRule="auto"/>
              <w:ind w:left="624"/>
              <w:rPr>
                <w:sz w:val="20"/>
                <w:szCs w:val="20"/>
              </w:rPr>
            </w:pPr>
            <w:r>
              <w:rPr>
                <w:b/>
                <w:bCs/>
                <w:spacing w:val="6"/>
                <w:sz w:val="20"/>
                <w:szCs w:val="20"/>
              </w:rPr>
              <w:t>水污染物当量数</w:t>
            </w:r>
            <w:r>
              <w:rPr>
                <w:spacing w:val="-37"/>
                <w:sz w:val="20"/>
                <w:szCs w:val="20"/>
              </w:rPr>
              <w:t xml:space="preserve"> </w:t>
            </w:r>
            <w:r>
              <w:rPr>
                <w:rFonts w:ascii="Times New Roman" w:hAnsi="Times New Roman" w:eastAsia="Times New Roman" w:cs="Times New Roman"/>
                <w:b/>
                <w:bCs/>
                <w:spacing w:val="6"/>
                <w:sz w:val="20"/>
                <w:szCs w:val="20"/>
              </w:rPr>
              <w:t>W/</w:t>
            </w:r>
            <w:r>
              <w:rPr>
                <w:b/>
                <w:bCs/>
                <w:spacing w:val="6"/>
                <w:sz w:val="20"/>
                <w:szCs w:val="20"/>
              </w:rPr>
              <w:t>（无量纲）</w:t>
            </w:r>
          </w:p>
        </w:tc>
      </w:tr>
      <w:tr w14:paraId="44A827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2266" w:type="dxa"/>
            <w:tcBorders>
              <w:left w:val="nil"/>
            </w:tcBorders>
            <w:vAlign w:val="top"/>
          </w:tcPr>
          <w:p w14:paraId="549984DC">
            <w:pPr>
              <w:pStyle w:val="6"/>
              <w:spacing w:before="38" w:line="203" w:lineRule="auto"/>
              <w:ind w:left="934"/>
              <w:rPr>
                <w:sz w:val="20"/>
                <w:szCs w:val="20"/>
              </w:rPr>
            </w:pPr>
            <w:r>
              <w:rPr>
                <w:spacing w:val="3"/>
                <w:sz w:val="20"/>
                <w:szCs w:val="20"/>
              </w:rPr>
              <w:t>一级</w:t>
            </w:r>
          </w:p>
        </w:tc>
        <w:tc>
          <w:tcPr>
            <w:tcW w:w="2723" w:type="dxa"/>
            <w:vAlign w:val="top"/>
          </w:tcPr>
          <w:p w14:paraId="24E3E365">
            <w:pPr>
              <w:pStyle w:val="6"/>
              <w:spacing w:before="38" w:line="203" w:lineRule="auto"/>
              <w:ind w:left="949"/>
              <w:rPr>
                <w:sz w:val="20"/>
                <w:szCs w:val="20"/>
              </w:rPr>
            </w:pPr>
            <w:r>
              <w:rPr>
                <w:spacing w:val="6"/>
                <w:sz w:val="20"/>
                <w:szCs w:val="20"/>
              </w:rPr>
              <w:t>直接排放</w:t>
            </w:r>
          </w:p>
        </w:tc>
        <w:tc>
          <w:tcPr>
            <w:tcW w:w="4084" w:type="dxa"/>
            <w:tcBorders>
              <w:right w:val="nil"/>
            </w:tcBorders>
            <w:vAlign w:val="top"/>
          </w:tcPr>
          <w:p w14:paraId="61DA9930">
            <w:pPr>
              <w:pStyle w:val="6"/>
              <w:spacing w:before="38" w:line="203" w:lineRule="auto"/>
              <w:ind w:left="1021"/>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 xml:space="preserve">Q≥20000 </w:t>
            </w:r>
            <w:r>
              <w:rPr>
                <w:spacing w:val="5"/>
                <w:sz w:val="20"/>
                <w:szCs w:val="20"/>
              </w:rPr>
              <w:t>或</w:t>
            </w:r>
            <w:r>
              <w:rPr>
                <w:spacing w:val="-45"/>
                <w:sz w:val="20"/>
                <w:szCs w:val="20"/>
              </w:rPr>
              <w:t xml:space="preserve"> </w:t>
            </w:r>
            <w:r>
              <w:rPr>
                <w:rFonts w:ascii="Times New Roman" w:hAnsi="Times New Roman" w:eastAsia="Times New Roman" w:cs="Times New Roman"/>
                <w:spacing w:val="5"/>
                <w:sz w:val="20"/>
                <w:szCs w:val="20"/>
              </w:rPr>
              <w:t>W≥600000</w:t>
            </w:r>
          </w:p>
        </w:tc>
      </w:tr>
      <w:tr w14:paraId="1CF328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 w:hRule="atLeast"/>
        </w:trPr>
        <w:tc>
          <w:tcPr>
            <w:tcW w:w="2266" w:type="dxa"/>
            <w:tcBorders>
              <w:left w:val="nil"/>
            </w:tcBorders>
            <w:vAlign w:val="top"/>
          </w:tcPr>
          <w:p w14:paraId="490D9CB3">
            <w:pPr>
              <w:pStyle w:val="6"/>
              <w:spacing w:before="43" w:line="199" w:lineRule="auto"/>
              <w:ind w:left="934"/>
              <w:rPr>
                <w:sz w:val="20"/>
                <w:szCs w:val="20"/>
              </w:rPr>
            </w:pPr>
            <w:r>
              <w:rPr>
                <w:spacing w:val="3"/>
                <w:sz w:val="20"/>
                <w:szCs w:val="20"/>
              </w:rPr>
              <w:t>二级</w:t>
            </w:r>
          </w:p>
        </w:tc>
        <w:tc>
          <w:tcPr>
            <w:tcW w:w="2723" w:type="dxa"/>
            <w:vAlign w:val="top"/>
          </w:tcPr>
          <w:p w14:paraId="3F5C0010">
            <w:pPr>
              <w:pStyle w:val="6"/>
              <w:spacing w:before="43" w:line="199" w:lineRule="auto"/>
              <w:ind w:left="949"/>
              <w:rPr>
                <w:sz w:val="20"/>
                <w:szCs w:val="20"/>
              </w:rPr>
            </w:pPr>
            <w:r>
              <w:rPr>
                <w:spacing w:val="6"/>
                <w:sz w:val="20"/>
                <w:szCs w:val="20"/>
              </w:rPr>
              <w:t>直接排放</w:t>
            </w:r>
          </w:p>
        </w:tc>
        <w:tc>
          <w:tcPr>
            <w:tcW w:w="4084" w:type="dxa"/>
            <w:tcBorders>
              <w:right w:val="nil"/>
            </w:tcBorders>
            <w:vAlign w:val="top"/>
          </w:tcPr>
          <w:p w14:paraId="28766D9C">
            <w:pPr>
              <w:pStyle w:val="6"/>
              <w:spacing w:before="43" w:line="199" w:lineRule="auto"/>
              <w:ind w:left="1839"/>
              <w:rPr>
                <w:sz w:val="20"/>
                <w:szCs w:val="20"/>
              </w:rPr>
            </w:pPr>
            <w:r>
              <w:rPr>
                <w:spacing w:val="4"/>
                <w:sz w:val="20"/>
                <w:szCs w:val="20"/>
              </w:rPr>
              <w:t>其他</w:t>
            </w:r>
          </w:p>
        </w:tc>
      </w:tr>
      <w:tr w14:paraId="1789E5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2266" w:type="dxa"/>
            <w:tcBorders>
              <w:left w:val="nil"/>
            </w:tcBorders>
            <w:vAlign w:val="top"/>
          </w:tcPr>
          <w:p w14:paraId="4299B28E">
            <w:pPr>
              <w:pStyle w:val="6"/>
              <w:spacing w:before="45" w:line="196" w:lineRule="auto"/>
              <w:ind w:left="827"/>
              <w:rPr>
                <w:rFonts w:ascii="Times New Roman" w:hAnsi="Times New Roman" w:eastAsia="Times New Roman" w:cs="Times New Roman"/>
                <w:sz w:val="20"/>
                <w:szCs w:val="20"/>
              </w:rPr>
            </w:pPr>
            <w:r>
              <w:rPr>
                <w:spacing w:val="4"/>
                <w:sz w:val="20"/>
                <w:szCs w:val="20"/>
              </w:rPr>
              <w:t>三级</w:t>
            </w:r>
            <w:r>
              <w:rPr>
                <w:spacing w:val="-42"/>
                <w:sz w:val="20"/>
                <w:szCs w:val="20"/>
              </w:rPr>
              <w:t xml:space="preserve"> </w:t>
            </w:r>
            <w:r>
              <w:rPr>
                <w:rFonts w:ascii="Times New Roman" w:hAnsi="Times New Roman" w:eastAsia="Times New Roman" w:cs="Times New Roman"/>
                <w:spacing w:val="4"/>
                <w:sz w:val="20"/>
                <w:szCs w:val="20"/>
              </w:rPr>
              <w:t>A</w:t>
            </w:r>
          </w:p>
        </w:tc>
        <w:tc>
          <w:tcPr>
            <w:tcW w:w="2723" w:type="dxa"/>
            <w:vAlign w:val="top"/>
          </w:tcPr>
          <w:p w14:paraId="5FF754C3">
            <w:pPr>
              <w:pStyle w:val="6"/>
              <w:spacing w:before="45" w:line="196" w:lineRule="auto"/>
              <w:ind w:left="949"/>
              <w:rPr>
                <w:sz w:val="20"/>
                <w:szCs w:val="20"/>
              </w:rPr>
            </w:pPr>
            <w:r>
              <w:rPr>
                <w:spacing w:val="6"/>
                <w:sz w:val="20"/>
                <w:szCs w:val="20"/>
              </w:rPr>
              <w:t>直接排放</w:t>
            </w:r>
          </w:p>
        </w:tc>
        <w:tc>
          <w:tcPr>
            <w:tcW w:w="4084" w:type="dxa"/>
            <w:tcBorders>
              <w:right w:val="nil"/>
            </w:tcBorders>
            <w:vAlign w:val="top"/>
          </w:tcPr>
          <w:p w14:paraId="600FBB46">
            <w:pPr>
              <w:pStyle w:val="6"/>
              <w:spacing w:before="45" w:line="196" w:lineRule="auto"/>
              <w:ind w:left="1137"/>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Q</w:t>
            </w:r>
            <w:r>
              <w:rPr>
                <w:spacing w:val="5"/>
                <w:sz w:val="20"/>
                <w:szCs w:val="20"/>
              </w:rPr>
              <w:t>＜</w:t>
            </w:r>
            <w:r>
              <w:rPr>
                <w:rFonts w:ascii="Times New Roman" w:hAnsi="Times New Roman" w:eastAsia="Times New Roman" w:cs="Times New Roman"/>
                <w:spacing w:val="5"/>
                <w:sz w:val="20"/>
                <w:szCs w:val="20"/>
              </w:rPr>
              <w:t xml:space="preserve">200 </w:t>
            </w:r>
            <w:r>
              <w:rPr>
                <w:spacing w:val="5"/>
                <w:sz w:val="20"/>
                <w:szCs w:val="20"/>
              </w:rPr>
              <w:t>且</w:t>
            </w:r>
            <w:r>
              <w:rPr>
                <w:spacing w:val="-37"/>
                <w:sz w:val="20"/>
                <w:szCs w:val="20"/>
              </w:rPr>
              <w:t xml:space="preserve"> </w:t>
            </w:r>
            <w:r>
              <w:rPr>
                <w:rFonts w:ascii="Times New Roman" w:hAnsi="Times New Roman" w:eastAsia="Times New Roman" w:cs="Times New Roman"/>
                <w:spacing w:val="5"/>
                <w:sz w:val="20"/>
                <w:szCs w:val="20"/>
              </w:rPr>
              <w:t>W</w:t>
            </w:r>
            <w:r>
              <w:rPr>
                <w:spacing w:val="5"/>
                <w:sz w:val="20"/>
                <w:szCs w:val="20"/>
              </w:rPr>
              <w:t>＜</w:t>
            </w:r>
            <w:r>
              <w:rPr>
                <w:rFonts w:ascii="Times New Roman" w:hAnsi="Times New Roman" w:eastAsia="Times New Roman" w:cs="Times New Roman"/>
                <w:spacing w:val="5"/>
                <w:sz w:val="20"/>
                <w:szCs w:val="20"/>
              </w:rPr>
              <w:t>6000</w:t>
            </w:r>
          </w:p>
        </w:tc>
      </w:tr>
      <w:tr w14:paraId="5525AA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2266" w:type="dxa"/>
            <w:tcBorders>
              <w:left w:val="nil"/>
              <w:bottom w:val="single" w:color="000000" w:sz="10" w:space="0"/>
            </w:tcBorders>
            <w:vAlign w:val="top"/>
          </w:tcPr>
          <w:p w14:paraId="417E64B2">
            <w:pPr>
              <w:pStyle w:val="6"/>
              <w:spacing w:before="51" w:line="216" w:lineRule="auto"/>
              <w:ind w:left="832"/>
              <w:rPr>
                <w:rFonts w:ascii="Times New Roman" w:hAnsi="Times New Roman" w:eastAsia="Times New Roman" w:cs="Times New Roman"/>
                <w:sz w:val="20"/>
                <w:szCs w:val="20"/>
              </w:rPr>
            </w:pPr>
            <w:r>
              <w:rPr>
                <w:spacing w:val="3"/>
                <w:sz w:val="20"/>
                <w:szCs w:val="20"/>
              </w:rPr>
              <w:t>三级</w:t>
            </w:r>
            <w:r>
              <w:rPr>
                <w:spacing w:val="-40"/>
                <w:sz w:val="20"/>
                <w:szCs w:val="20"/>
              </w:rPr>
              <w:t xml:space="preserve"> </w:t>
            </w:r>
            <w:r>
              <w:rPr>
                <w:rFonts w:ascii="Times New Roman" w:hAnsi="Times New Roman" w:eastAsia="Times New Roman" w:cs="Times New Roman"/>
                <w:spacing w:val="3"/>
                <w:sz w:val="20"/>
                <w:szCs w:val="20"/>
              </w:rPr>
              <w:t>B</w:t>
            </w:r>
          </w:p>
        </w:tc>
        <w:tc>
          <w:tcPr>
            <w:tcW w:w="2723" w:type="dxa"/>
            <w:tcBorders>
              <w:bottom w:val="single" w:color="000000" w:sz="10" w:space="0"/>
            </w:tcBorders>
            <w:vAlign w:val="top"/>
          </w:tcPr>
          <w:p w14:paraId="14286F26">
            <w:pPr>
              <w:pStyle w:val="6"/>
              <w:spacing w:before="51" w:line="216" w:lineRule="auto"/>
              <w:ind w:left="963"/>
              <w:rPr>
                <w:sz w:val="20"/>
                <w:szCs w:val="20"/>
              </w:rPr>
            </w:pPr>
            <w:r>
              <w:rPr>
                <w:spacing w:val="3"/>
                <w:sz w:val="20"/>
                <w:szCs w:val="20"/>
              </w:rPr>
              <w:t>间接排放</w:t>
            </w:r>
          </w:p>
        </w:tc>
        <w:tc>
          <w:tcPr>
            <w:tcW w:w="4084" w:type="dxa"/>
            <w:tcBorders>
              <w:bottom w:val="single" w:color="000000" w:sz="10" w:space="0"/>
              <w:right w:val="nil"/>
            </w:tcBorders>
            <w:vAlign w:val="top"/>
          </w:tcPr>
          <w:p w14:paraId="0C67F8BF">
            <w:pPr>
              <w:spacing w:before="176" w:line="95" w:lineRule="exact"/>
              <w:ind w:left="1934"/>
              <w:rPr>
                <w:rFonts w:ascii="Times New Roman" w:hAnsi="Times New Roman" w:eastAsia="Times New Roman" w:cs="Times New Roman"/>
                <w:sz w:val="20"/>
                <w:szCs w:val="20"/>
              </w:rPr>
            </w:pPr>
            <w:r>
              <w:rPr>
                <w:rFonts w:ascii="Times New Roman" w:hAnsi="Times New Roman" w:eastAsia="Times New Roman" w:cs="Times New Roman"/>
                <w:spacing w:val="12"/>
                <w:position w:val="-2"/>
                <w:sz w:val="20"/>
                <w:szCs w:val="20"/>
              </w:rPr>
              <w:t>—</w:t>
            </w:r>
          </w:p>
        </w:tc>
      </w:tr>
    </w:tbl>
    <w:p w14:paraId="2A0A8179">
      <w:pPr>
        <w:spacing w:before="35" w:line="354" w:lineRule="auto"/>
        <w:ind w:left="8" w:right="80" w:firstLine="480"/>
        <w:jc w:val="both"/>
        <w:rPr>
          <w:rFonts w:ascii="宋体" w:hAnsi="宋体" w:eastAsia="宋体" w:cs="宋体"/>
          <w:sz w:val="24"/>
          <w:szCs w:val="24"/>
        </w:rPr>
      </w:pPr>
      <w:r>
        <w:rPr>
          <w:rFonts w:ascii="宋体" w:hAnsi="宋体" w:eastAsia="宋体" w:cs="宋体"/>
          <w:spacing w:val="-2"/>
          <w:sz w:val="24"/>
          <w:szCs w:val="24"/>
        </w:rPr>
        <w:t>本项目产生生活污水、化验室废水排入地埋式一体化污水处理设施处理后由罐车运</w:t>
      </w:r>
      <w:r>
        <w:rPr>
          <w:rFonts w:ascii="宋体" w:hAnsi="宋体" w:eastAsia="宋体" w:cs="宋体"/>
          <w:spacing w:val="15"/>
          <w:sz w:val="24"/>
          <w:szCs w:val="24"/>
        </w:rPr>
        <w:t xml:space="preserve"> </w:t>
      </w:r>
      <w:r>
        <w:rPr>
          <w:rFonts w:ascii="宋体" w:hAnsi="宋体" w:eastAsia="宋体" w:cs="宋体"/>
          <w:spacing w:val="-1"/>
          <w:sz w:val="24"/>
          <w:szCs w:val="24"/>
        </w:rPr>
        <w:t>至苏尼特右旗赛汉塔拉镇污水处理厂进一步处</w:t>
      </w:r>
      <w:r>
        <w:rPr>
          <w:rFonts w:ascii="宋体" w:hAnsi="宋体" w:eastAsia="宋体" w:cs="宋体"/>
          <w:spacing w:val="-2"/>
          <w:sz w:val="24"/>
          <w:szCs w:val="24"/>
        </w:rPr>
        <w:t>理；脱硫废水经三联箱处理后用作浊循环</w:t>
      </w:r>
      <w:r>
        <w:rPr>
          <w:rFonts w:ascii="宋体" w:hAnsi="宋体" w:eastAsia="宋体" w:cs="宋体"/>
          <w:sz w:val="24"/>
          <w:szCs w:val="24"/>
        </w:rPr>
        <w:t xml:space="preserve"> </w:t>
      </w:r>
      <w:r>
        <w:rPr>
          <w:rFonts w:ascii="宋体" w:hAnsi="宋体" w:eastAsia="宋体" w:cs="宋体"/>
          <w:spacing w:val="-1"/>
          <w:sz w:val="24"/>
          <w:szCs w:val="24"/>
        </w:rPr>
        <w:t>水系统补充水；过滤水循环使用；煤气冷凝废</w:t>
      </w:r>
      <w:r>
        <w:rPr>
          <w:rFonts w:ascii="宋体" w:hAnsi="宋体" w:eastAsia="宋体" w:cs="宋体"/>
          <w:spacing w:val="-2"/>
          <w:sz w:val="24"/>
          <w:szCs w:val="24"/>
        </w:rPr>
        <w:t>水经隔油池处理后，作为制作矿热炉开堵</w:t>
      </w:r>
      <w:r>
        <w:rPr>
          <w:rFonts w:ascii="宋体" w:hAnsi="宋体" w:eastAsia="宋体" w:cs="宋体"/>
          <w:sz w:val="24"/>
          <w:szCs w:val="24"/>
        </w:rPr>
        <w:t xml:space="preserve"> </w:t>
      </w:r>
      <w:r>
        <w:rPr>
          <w:rFonts w:ascii="宋体" w:hAnsi="宋体" w:eastAsia="宋体" w:cs="宋体"/>
          <w:spacing w:val="-1"/>
          <w:sz w:val="24"/>
          <w:szCs w:val="24"/>
        </w:rPr>
        <w:t>眼机堵塞泥球用水；化水车间排污、余热锅炉</w:t>
      </w:r>
      <w:r>
        <w:rPr>
          <w:rFonts w:ascii="宋体" w:hAnsi="宋体" w:eastAsia="宋体" w:cs="宋体"/>
          <w:spacing w:val="-2"/>
          <w:sz w:val="24"/>
          <w:szCs w:val="24"/>
        </w:rPr>
        <w:t>排污、辅机冷却循环水站排污、设备冷却</w:t>
      </w:r>
      <w:r>
        <w:rPr>
          <w:rFonts w:ascii="宋体" w:hAnsi="宋体" w:eastAsia="宋体" w:cs="宋体"/>
          <w:sz w:val="24"/>
          <w:szCs w:val="24"/>
        </w:rPr>
        <w:t xml:space="preserve"> 循环水系统排污、软水制备排污全部作为浊循环水系统</w:t>
      </w:r>
      <w:r>
        <w:rPr>
          <w:rFonts w:ascii="宋体" w:hAnsi="宋体" w:eastAsia="宋体" w:cs="宋体"/>
          <w:spacing w:val="-1"/>
          <w:sz w:val="24"/>
          <w:szCs w:val="24"/>
        </w:rPr>
        <w:t>补充水，均不直接外排。</w:t>
      </w:r>
    </w:p>
    <w:p w14:paraId="10B479CA">
      <w:pPr>
        <w:spacing w:before="33" w:line="218" w:lineRule="auto"/>
        <w:jc w:val="right"/>
        <w:rPr>
          <w:rFonts w:ascii="宋体" w:hAnsi="宋体" w:eastAsia="宋体" w:cs="宋体"/>
          <w:sz w:val="24"/>
          <w:szCs w:val="24"/>
        </w:rPr>
      </w:pPr>
      <w:r>
        <w:rPr>
          <w:rFonts w:ascii="宋体" w:hAnsi="宋体" w:eastAsia="宋体" w:cs="宋体"/>
          <w:spacing w:val="-4"/>
          <w:sz w:val="24"/>
          <w:szCs w:val="24"/>
        </w:rPr>
        <w:t>本项目地表水环境影响评价等级确定为三级</w:t>
      </w:r>
      <w:r>
        <w:rPr>
          <w:rFonts w:ascii="Times New Roman" w:hAnsi="Times New Roman" w:eastAsia="Times New Roman" w:cs="Times New Roman"/>
          <w:spacing w:val="-4"/>
          <w:sz w:val="24"/>
          <w:szCs w:val="24"/>
        </w:rPr>
        <w:t>B</w:t>
      </w:r>
      <w:r>
        <w:rPr>
          <w:rFonts w:ascii="宋体" w:hAnsi="宋体" w:eastAsia="宋体" w:cs="宋体"/>
          <w:spacing w:val="-4"/>
          <w:sz w:val="24"/>
          <w:szCs w:val="24"/>
        </w:rPr>
        <w:t>，重点分析项目废水综合利用可行性。</w:t>
      </w:r>
    </w:p>
    <w:p w14:paraId="2D913BF0">
      <w:pPr>
        <w:spacing w:before="193" w:line="222" w:lineRule="auto"/>
        <w:ind w:left="34"/>
        <w:outlineLvl w:val="2"/>
        <w:rPr>
          <w:rFonts w:ascii="黑体" w:hAnsi="黑体" w:eastAsia="黑体" w:cs="黑体"/>
          <w:sz w:val="30"/>
          <w:szCs w:val="30"/>
        </w:rPr>
      </w:pPr>
      <w:bookmarkStart w:id="300" w:name="bookmark70"/>
      <w:bookmarkEnd w:id="300"/>
      <w:r>
        <w:rPr>
          <w:rFonts w:ascii="Times New Roman" w:hAnsi="Times New Roman" w:eastAsia="Times New Roman" w:cs="Times New Roman"/>
          <w:spacing w:val="-4"/>
          <w:sz w:val="30"/>
          <w:szCs w:val="30"/>
        </w:rPr>
        <w:t xml:space="preserve">1.6.3 </w:t>
      </w:r>
      <w:r>
        <w:rPr>
          <w:rFonts w:ascii="黑体" w:hAnsi="黑体" w:eastAsia="黑体" w:cs="黑体"/>
          <w:spacing w:val="-4"/>
          <w:sz w:val="30"/>
          <w:szCs w:val="30"/>
        </w:rPr>
        <w:t>地下水环境</w:t>
      </w:r>
    </w:p>
    <w:p w14:paraId="0BE61BB8">
      <w:pPr>
        <w:spacing w:before="21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）行业分类</w:t>
      </w:r>
    </w:p>
    <w:p w14:paraId="6C2FCB99">
      <w:pPr>
        <w:spacing w:before="180" w:line="346" w:lineRule="auto"/>
        <w:ind w:left="10" w:right="82" w:firstLine="478"/>
        <w:rPr>
          <w:rFonts w:ascii="宋体" w:hAnsi="宋体" w:eastAsia="宋体" w:cs="宋体"/>
          <w:sz w:val="24"/>
          <w:szCs w:val="24"/>
        </w:rPr>
      </w:pPr>
      <w:r>
        <w:rPr>
          <w:rFonts w:ascii="宋体" w:hAnsi="宋体" w:eastAsia="宋体" w:cs="宋体"/>
          <w:spacing w:val="4"/>
          <w:sz w:val="24"/>
          <w:szCs w:val="24"/>
        </w:rPr>
        <w:t>根据《环境影响评价技术导则 地下水环境》（</w:t>
      </w:r>
      <w:r>
        <w:rPr>
          <w:rFonts w:ascii="Times New Roman" w:hAnsi="Times New Roman" w:eastAsia="Times New Roman" w:cs="Times New Roman"/>
          <w:sz w:val="24"/>
          <w:szCs w:val="24"/>
        </w:rPr>
        <w:t>HJ</w:t>
      </w:r>
      <w:r>
        <w:rPr>
          <w:rFonts w:ascii="Times New Roman" w:hAnsi="Times New Roman" w:eastAsia="Times New Roman" w:cs="Times New Roman"/>
          <w:spacing w:val="4"/>
          <w:sz w:val="24"/>
          <w:szCs w:val="24"/>
        </w:rPr>
        <w:t>61020</w:t>
      </w:r>
      <w:r>
        <w:rPr>
          <w:rFonts w:ascii="Times New Roman" w:hAnsi="Times New Roman" w:eastAsia="Times New Roman" w:cs="Times New Roman"/>
          <w:spacing w:val="3"/>
          <w:sz w:val="24"/>
          <w:szCs w:val="24"/>
        </w:rPr>
        <w:t>16</w:t>
      </w:r>
      <w:r>
        <w:rPr>
          <w:rFonts w:ascii="宋体" w:hAnsi="宋体" w:eastAsia="宋体" w:cs="宋体"/>
          <w:spacing w:val="10"/>
          <w:sz w:val="24"/>
          <w:szCs w:val="24"/>
        </w:rPr>
        <w:t>），</w:t>
      </w:r>
      <w:r>
        <w:rPr>
          <w:rFonts w:ascii="宋体" w:hAnsi="宋体" w:eastAsia="宋体" w:cs="宋体"/>
          <w:spacing w:val="3"/>
          <w:sz w:val="24"/>
          <w:szCs w:val="24"/>
        </w:rPr>
        <w:t>本项目铁合金生产</w:t>
      </w:r>
      <w:r>
        <w:rPr>
          <w:rFonts w:ascii="宋体" w:hAnsi="宋体" w:eastAsia="宋体" w:cs="宋体"/>
          <w:sz w:val="24"/>
          <w:szCs w:val="24"/>
        </w:rPr>
        <w:t xml:space="preserve"> </w:t>
      </w:r>
      <w:r>
        <w:rPr>
          <w:rFonts w:ascii="宋体" w:hAnsi="宋体" w:eastAsia="宋体" w:cs="宋体"/>
          <w:spacing w:val="-1"/>
          <w:sz w:val="24"/>
          <w:szCs w:val="24"/>
        </w:rPr>
        <w:t>属于</w:t>
      </w:r>
      <w:r>
        <w:rPr>
          <w:rFonts w:ascii="Times New Roman" w:hAnsi="Times New Roman" w:eastAsia="Times New Roman" w:cs="Times New Roman"/>
          <w:spacing w:val="-1"/>
          <w:sz w:val="24"/>
          <w:szCs w:val="24"/>
        </w:rPr>
        <w:t xml:space="preserve">“G  </w:t>
      </w:r>
      <w:r>
        <w:rPr>
          <w:rFonts w:ascii="宋体" w:hAnsi="宋体" w:eastAsia="宋体" w:cs="宋体"/>
          <w:spacing w:val="-1"/>
          <w:sz w:val="24"/>
          <w:szCs w:val="24"/>
        </w:rPr>
        <w:t>黑色金属，</w:t>
      </w:r>
      <w:r>
        <w:rPr>
          <w:rFonts w:ascii="Times New Roman" w:hAnsi="Times New Roman" w:eastAsia="Times New Roman" w:cs="Times New Roman"/>
          <w:spacing w:val="-1"/>
          <w:sz w:val="24"/>
          <w:szCs w:val="24"/>
        </w:rPr>
        <w:t>45</w:t>
      </w:r>
      <w:r>
        <w:rPr>
          <w:rFonts w:ascii="Times New Roman" w:hAnsi="Times New Roman" w:eastAsia="Times New Roman" w:cs="Times New Roman"/>
          <w:spacing w:val="-34"/>
          <w:sz w:val="24"/>
          <w:szCs w:val="24"/>
        </w:rPr>
        <w:t xml:space="preserve"> </w:t>
      </w:r>
      <w:r>
        <w:rPr>
          <w:rFonts w:ascii="宋体" w:hAnsi="宋体" w:eastAsia="宋体" w:cs="宋体"/>
          <w:spacing w:val="-1"/>
          <w:sz w:val="24"/>
          <w:szCs w:val="24"/>
        </w:rPr>
        <w:t>、铁合金制造</w:t>
      </w:r>
      <w:r>
        <w:rPr>
          <w:rFonts w:ascii="Times New Roman" w:hAnsi="Times New Roman" w:eastAsia="Times New Roman" w:cs="Times New Roman"/>
          <w:spacing w:val="-1"/>
          <w:sz w:val="24"/>
          <w:szCs w:val="24"/>
        </w:rPr>
        <w:t>”</w:t>
      </w:r>
      <w:r>
        <w:rPr>
          <w:rFonts w:ascii="宋体" w:hAnsi="宋体" w:eastAsia="宋体" w:cs="宋体"/>
          <w:spacing w:val="-1"/>
          <w:sz w:val="24"/>
          <w:szCs w:val="24"/>
        </w:rPr>
        <w:t>编制报告书类别，属</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 xml:space="preserve">III </w:t>
      </w:r>
      <w:r>
        <w:rPr>
          <w:rFonts w:ascii="宋体" w:hAnsi="宋体" w:eastAsia="宋体" w:cs="宋体"/>
          <w:spacing w:val="-2"/>
          <w:sz w:val="24"/>
          <w:szCs w:val="24"/>
        </w:rPr>
        <w:t>类建设项目。</w:t>
      </w:r>
    </w:p>
    <w:p w14:paraId="5A41E006">
      <w:pPr>
        <w:spacing w:before="37"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）地下水的敏感程度</w:t>
      </w:r>
    </w:p>
    <w:p w14:paraId="3BF86B39">
      <w:pPr>
        <w:spacing w:before="181" w:line="346" w:lineRule="auto"/>
        <w:ind w:left="9" w:right="80" w:firstLine="480"/>
        <w:rPr>
          <w:rFonts w:ascii="宋体" w:hAnsi="宋体" w:eastAsia="宋体" w:cs="宋体"/>
          <w:sz w:val="24"/>
          <w:szCs w:val="24"/>
        </w:rPr>
      </w:pPr>
      <w:r>
        <w:rPr>
          <w:rFonts w:ascii="宋体" w:hAnsi="宋体" w:eastAsia="宋体" w:cs="宋体"/>
          <w:spacing w:val="-2"/>
          <w:sz w:val="24"/>
          <w:szCs w:val="24"/>
        </w:rPr>
        <w:t>本项目位于苏尼特右旗朱日和工业园区南区冶金产业园内，地下水评价范围内有村</w:t>
      </w:r>
      <w:r>
        <w:rPr>
          <w:rFonts w:ascii="宋体" w:hAnsi="宋体" w:eastAsia="宋体" w:cs="宋体"/>
          <w:spacing w:val="15"/>
          <w:sz w:val="24"/>
          <w:szCs w:val="24"/>
        </w:rPr>
        <w:t xml:space="preserve"> </w:t>
      </w:r>
      <w:r>
        <w:rPr>
          <w:rFonts w:ascii="宋体" w:hAnsi="宋体" w:eastAsia="宋体" w:cs="宋体"/>
          <w:sz w:val="24"/>
          <w:szCs w:val="24"/>
        </w:rPr>
        <w:t>庄，村庄内分布分散居民饮用水水井，地下水环境敏</w:t>
      </w:r>
      <w:r>
        <w:rPr>
          <w:rFonts w:ascii="宋体" w:hAnsi="宋体" w:eastAsia="宋体" w:cs="宋体"/>
          <w:spacing w:val="-1"/>
          <w:sz w:val="24"/>
          <w:szCs w:val="24"/>
        </w:rPr>
        <w:t>感程度属</w:t>
      </w:r>
      <w:r>
        <w:rPr>
          <w:rFonts w:ascii="Times New Roman" w:hAnsi="Times New Roman" w:eastAsia="Times New Roman" w:cs="Times New Roman"/>
          <w:spacing w:val="-1"/>
          <w:sz w:val="24"/>
          <w:szCs w:val="24"/>
        </w:rPr>
        <w:t>“</w:t>
      </w:r>
      <w:r>
        <w:rPr>
          <w:rFonts w:ascii="宋体" w:hAnsi="宋体" w:eastAsia="宋体" w:cs="宋体"/>
          <w:spacing w:val="-1"/>
          <w:sz w:val="24"/>
          <w:szCs w:val="24"/>
        </w:rPr>
        <w:t>较敏感</w:t>
      </w:r>
      <w:r>
        <w:rPr>
          <w:rFonts w:ascii="Times New Roman" w:hAnsi="Times New Roman" w:eastAsia="Times New Roman" w:cs="Times New Roman"/>
          <w:spacing w:val="-1"/>
          <w:sz w:val="24"/>
          <w:szCs w:val="24"/>
        </w:rPr>
        <w:t>”</w:t>
      </w:r>
      <w:r>
        <w:rPr>
          <w:rFonts w:ascii="宋体" w:hAnsi="宋体" w:eastAsia="宋体" w:cs="宋体"/>
          <w:spacing w:val="-1"/>
          <w:sz w:val="24"/>
          <w:szCs w:val="24"/>
        </w:rPr>
        <w:t>。</w:t>
      </w:r>
    </w:p>
    <w:p w14:paraId="43B4130B">
      <w:pPr>
        <w:spacing w:before="33" w:line="218"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）评价等级判定</w:t>
      </w:r>
    </w:p>
    <w:p w14:paraId="14BABC8C">
      <w:pPr>
        <w:spacing w:before="185" w:line="218" w:lineRule="auto"/>
        <w:ind w:left="488"/>
        <w:rPr>
          <w:rFonts w:ascii="宋体" w:hAnsi="宋体" w:eastAsia="宋体" w:cs="宋体"/>
          <w:sz w:val="24"/>
          <w:szCs w:val="24"/>
        </w:rPr>
      </w:pPr>
      <w:r>
        <w:rPr>
          <w:rFonts w:ascii="宋体" w:hAnsi="宋体" w:eastAsia="宋体" w:cs="宋体"/>
          <w:spacing w:val="4"/>
          <w:sz w:val="24"/>
          <w:szCs w:val="24"/>
        </w:rPr>
        <w:t>根据《环境影响评价技术导则 地下水环境》（</w:t>
      </w:r>
      <w:r>
        <w:rPr>
          <w:rFonts w:ascii="Times New Roman" w:hAnsi="Times New Roman" w:eastAsia="Times New Roman" w:cs="Times New Roman"/>
          <w:sz w:val="24"/>
          <w:szCs w:val="24"/>
        </w:rPr>
        <w:t>HJ</w:t>
      </w:r>
      <w:r>
        <w:rPr>
          <w:rFonts w:ascii="Times New Roman" w:hAnsi="Times New Roman" w:eastAsia="Times New Roman" w:cs="Times New Roman"/>
          <w:spacing w:val="4"/>
          <w:sz w:val="24"/>
          <w:szCs w:val="24"/>
        </w:rPr>
        <w:t>6102016</w:t>
      </w:r>
      <w:r>
        <w:rPr>
          <w:rFonts w:ascii="宋体" w:hAnsi="宋体" w:eastAsia="宋体" w:cs="宋体"/>
          <w:spacing w:val="9"/>
          <w:sz w:val="24"/>
          <w:szCs w:val="24"/>
        </w:rPr>
        <w:t>），</w:t>
      </w:r>
      <w:r>
        <w:rPr>
          <w:rFonts w:ascii="宋体" w:hAnsi="宋体" w:eastAsia="宋体" w:cs="宋体"/>
          <w:spacing w:val="4"/>
          <w:sz w:val="24"/>
          <w:szCs w:val="24"/>
        </w:rPr>
        <w:t>地下</w:t>
      </w:r>
      <w:r>
        <w:rPr>
          <w:rFonts w:ascii="宋体" w:hAnsi="宋体" w:eastAsia="宋体" w:cs="宋体"/>
          <w:spacing w:val="3"/>
          <w:sz w:val="24"/>
          <w:szCs w:val="24"/>
        </w:rPr>
        <w:t>水环境影响评</w:t>
      </w:r>
    </w:p>
    <w:p w14:paraId="4C6FF55A">
      <w:pPr>
        <w:spacing w:before="185" w:line="218" w:lineRule="auto"/>
        <w:ind w:left="9"/>
        <w:rPr>
          <w:rFonts w:ascii="宋体" w:hAnsi="宋体" w:eastAsia="宋体" w:cs="宋体"/>
          <w:sz w:val="24"/>
          <w:szCs w:val="24"/>
        </w:rPr>
      </w:pPr>
      <w:r>
        <w:rPr>
          <w:rFonts w:ascii="宋体" w:hAnsi="宋体" w:eastAsia="宋体" w:cs="宋体"/>
          <w:spacing w:val="-4"/>
          <w:sz w:val="24"/>
          <w:szCs w:val="24"/>
        </w:rPr>
        <w:t>价等级确定见表</w:t>
      </w:r>
      <w:r>
        <w:rPr>
          <w:rFonts w:ascii="宋体" w:hAnsi="宋体" w:eastAsia="宋体" w:cs="宋体"/>
          <w:spacing w:val="-21"/>
          <w:sz w:val="24"/>
          <w:szCs w:val="24"/>
        </w:rPr>
        <w:t xml:space="preserve"> </w:t>
      </w:r>
      <w:r>
        <w:rPr>
          <w:rFonts w:ascii="Times New Roman" w:hAnsi="Times New Roman" w:eastAsia="Times New Roman" w:cs="Times New Roman"/>
          <w:spacing w:val="-4"/>
          <w:sz w:val="24"/>
          <w:szCs w:val="24"/>
        </w:rPr>
        <w:t>1.6-8</w:t>
      </w:r>
      <w:r>
        <w:rPr>
          <w:rFonts w:ascii="宋体" w:hAnsi="宋体" w:eastAsia="宋体" w:cs="宋体"/>
          <w:spacing w:val="-4"/>
          <w:sz w:val="24"/>
          <w:szCs w:val="24"/>
        </w:rPr>
        <w:t>。</w:t>
      </w:r>
    </w:p>
    <w:p w14:paraId="2542889F">
      <w:pPr>
        <w:spacing w:before="178" w:line="226" w:lineRule="auto"/>
        <w:ind w:left="2507"/>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6"/>
          <w:sz w:val="20"/>
          <w:szCs w:val="20"/>
        </w:rPr>
        <w:t xml:space="preserve"> </w:t>
      </w:r>
      <w:r>
        <w:rPr>
          <w:rFonts w:ascii="Times New Roman" w:hAnsi="Times New Roman" w:eastAsia="Times New Roman" w:cs="Times New Roman"/>
          <w:b/>
          <w:bCs/>
          <w:spacing w:val="5"/>
          <w:sz w:val="20"/>
          <w:szCs w:val="20"/>
        </w:rPr>
        <w:t xml:space="preserve">1.6-8        </w:t>
      </w:r>
      <w:r>
        <w:rPr>
          <w:rFonts w:ascii="宋体" w:hAnsi="宋体" w:eastAsia="宋体" w:cs="宋体"/>
          <w:b/>
          <w:bCs/>
          <w:spacing w:val="5"/>
          <w:sz w:val="20"/>
          <w:szCs w:val="20"/>
        </w:rPr>
        <w:t>地下水环境影响评价等级分级表</w:t>
      </w:r>
    </w:p>
    <w:p w14:paraId="17FCA1A1">
      <w:pPr>
        <w:spacing w:line="133" w:lineRule="exact"/>
      </w:pPr>
    </w:p>
    <w:tbl>
      <w:tblPr>
        <w:tblStyle w:val="5"/>
        <w:tblW w:w="9069"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179"/>
        <w:gridCol w:w="2127"/>
        <w:gridCol w:w="1918"/>
        <w:gridCol w:w="1845"/>
      </w:tblGrid>
      <w:tr w14:paraId="6003D4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1" w:hRule="atLeast"/>
        </w:trPr>
        <w:tc>
          <w:tcPr>
            <w:tcW w:w="3179" w:type="dxa"/>
            <w:tcBorders>
              <w:top w:val="single" w:color="000000" w:sz="10" w:space="0"/>
              <w:left w:val="nil"/>
              <w:tl2br w:val="single" w:color="000000" w:sz="2" w:space="0"/>
            </w:tcBorders>
            <w:vAlign w:val="top"/>
          </w:tcPr>
          <w:p w14:paraId="6D984AA4">
            <w:pPr>
              <w:pStyle w:val="6"/>
              <w:spacing w:before="35" w:line="228" w:lineRule="auto"/>
              <w:ind w:left="1914"/>
              <w:rPr>
                <w:sz w:val="20"/>
                <w:szCs w:val="20"/>
              </w:rPr>
            </w:pPr>
            <w:r>
              <w:rPr>
                <w:b/>
                <w:bCs/>
                <w:spacing w:val="5"/>
                <w:sz w:val="20"/>
                <w:szCs w:val="20"/>
              </w:rPr>
              <w:t>项目类别</w:t>
            </w:r>
          </w:p>
          <w:p w14:paraId="74E76DDA">
            <w:pPr>
              <w:pStyle w:val="6"/>
              <w:spacing w:before="24" w:line="207" w:lineRule="auto"/>
              <w:ind w:left="113"/>
              <w:rPr>
                <w:sz w:val="20"/>
                <w:szCs w:val="20"/>
              </w:rPr>
            </w:pPr>
            <w:r>
              <w:rPr>
                <w:b/>
                <w:bCs/>
                <w:spacing w:val="6"/>
                <w:sz w:val="20"/>
                <w:szCs w:val="20"/>
              </w:rPr>
              <w:t>环境敏感程度</w:t>
            </w:r>
          </w:p>
        </w:tc>
        <w:tc>
          <w:tcPr>
            <w:tcW w:w="2127" w:type="dxa"/>
            <w:tcBorders>
              <w:top w:val="single" w:color="000000" w:sz="10" w:space="0"/>
            </w:tcBorders>
            <w:vAlign w:val="top"/>
          </w:tcPr>
          <w:p w14:paraId="75810AB8">
            <w:pPr>
              <w:pStyle w:val="6"/>
              <w:spacing w:before="170" w:line="228" w:lineRule="auto"/>
              <w:ind w:left="681"/>
              <w:rPr>
                <w:sz w:val="20"/>
                <w:szCs w:val="20"/>
              </w:rPr>
            </w:pPr>
            <w:r>
              <w:rPr>
                <w:rFonts w:ascii="Times New Roman" w:hAnsi="Times New Roman" w:eastAsia="Times New Roman" w:cs="Times New Roman"/>
                <w:b/>
                <w:bCs/>
                <w:spacing w:val="4"/>
                <w:sz w:val="20"/>
                <w:szCs w:val="20"/>
              </w:rPr>
              <w:t>I</w:t>
            </w:r>
            <w:r>
              <w:rPr>
                <w:rFonts w:ascii="Times New Roman" w:hAnsi="Times New Roman" w:eastAsia="Times New Roman" w:cs="Times New Roman"/>
                <w:b/>
                <w:bCs/>
                <w:spacing w:val="11"/>
                <w:sz w:val="20"/>
                <w:szCs w:val="20"/>
              </w:rPr>
              <w:t xml:space="preserve"> </w:t>
            </w:r>
            <w:r>
              <w:rPr>
                <w:b/>
                <w:bCs/>
                <w:spacing w:val="4"/>
                <w:sz w:val="20"/>
                <w:szCs w:val="20"/>
              </w:rPr>
              <w:t>类项目</w:t>
            </w:r>
          </w:p>
        </w:tc>
        <w:tc>
          <w:tcPr>
            <w:tcW w:w="1918" w:type="dxa"/>
            <w:tcBorders>
              <w:top w:val="single" w:color="000000" w:sz="10" w:space="0"/>
            </w:tcBorders>
            <w:vAlign w:val="top"/>
          </w:tcPr>
          <w:p w14:paraId="36246D1A">
            <w:pPr>
              <w:pStyle w:val="6"/>
              <w:spacing w:before="170" w:line="228" w:lineRule="auto"/>
              <w:ind w:left="536"/>
              <w:rPr>
                <w:sz w:val="20"/>
                <w:szCs w:val="20"/>
              </w:rPr>
            </w:pPr>
            <w:r>
              <w:rPr>
                <w:rFonts w:ascii="Times New Roman" w:hAnsi="Times New Roman" w:eastAsia="Times New Roman" w:cs="Times New Roman"/>
                <w:b/>
                <w:bCs/>
                <w:sz w:val="20"/>
                <w:szCs w:val="20"/>
              </w:rPr>
              <w:t>II</w:t>
            </w:r>
            <w:r>
              <w:rPr>
                <w:rFonts w:ascii="Times New Roman" w:hAnsi="Times New Roman" w:eastAsia="Times New Roman" w:cs="Times New Roman"/>
                <w:b/>
                <w:bCs/>
                <w:spacing w:val="12"/>
                <w:sz w:val="20"/>
                <w:szCs w:val="20"/>
              </w:rPr>
              <w:t xml:space="preserve"> </w:t>
            </w:r>
            <w:r>
              <w:rPr>
                <w:b/>
                <w:bCs/>
                <w:spacing w:val="6"/>
                <w:sz w:val="20"/>
                <w:szCs w:val="20"/>
              </w:rPr>
              <w:t>类项目</w:t>
            </w:r>
          </w:p>
        </w:tc>
        <w:tc>
          <w:tcPr>
            <w:tcW w:w="1845" w:type="dxa"/>
            <w:tcBorders>
              <w:top w:val="single" w:color="000000" w:sz="10" w:space="0"/>
              <w:right w:val="nil"/>
            </w:tcBorders>
            <w:vAlign w:val="top"/>
          </w:tcPr>
          <w:p w14:paraId="19B6B2E9">
            <w:pPr>
              <w:pStyle w:val="6"/>
              <w:spacing w:before="170" w:line="228" w:lineRule="auto"/>
              <w:ind w:left="459"/>
              <w:rPr>
                <w:sz w:val="20"/>
                <w:szCs w:val="20"/>
              </w:rPr>
            </w:pPr>
            <w:r>
              <w:rPr>
                <w:rFonts w:ascii="Times New Roman" w:hAnsi="Times New Roman" w:eastAsia="Times New Roman" w:cs="Times New Roman"/>
                <w:b/>
                <w:bCs/>
                <w:sz w:val="20"/>
                <w:szCs w:val="20"/>
              </w:rPr>
              <w:t>III</w:t>
            </w:r>
            <w:r>
              <w:rPr>
                <w:rFonts w:ascii="Times New Roman" w:hAnsi="Times New Roman" w:eastAsia="Times New Roman" w:cs="Times New Roman"/>
                <w:b/>
                <w:bCs/>
                <w:spacing w:val="12"/>
                <w:w w:val="101"/>
                <w:sz w:val="20"/>
                <w:szCs w:val="20"/>
              </w:rPr>
              <w:t xml:space="preserve"> </w:t>
            </w:r>
            <w:r>
              <w:rPr>
                <w:b/>
                <w:bCs/>
                <w:spacing w:val="7"/>
                <w:sz w:val="20"/>
                <w:szCs w:val="20"/>
              </w:rPr>
              <w:t>类项目</w:t>
            </w:r>
          </w:p>
        </w:tc>
      </w:tr>
      <w:tr w14:paraId="05E1C0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3179" w:type="dxa"/>
            <w:tcBorders>
              <w:left w:val="nil"/>
            </w:tcBorders>
            <w:vAlign w:val="top"/>
          </w:tcPr>
          <w:p w14:paraId="156CA62E">
            <w:pPr>
              <w:pStyle w:val="6"/>
              <w:spacing w:before="39" w:line="202" w:lineRule="auto"/>
              <w:ind w:left="1385"/>
              <w:rPr>
                <w:sz w:val="20"/>
                <w:szCs w:val="20"/>
              </w:rPr>
            </w:pPr>
            <w:r>
              <w:rPr>
                <w:spacing w:val="4"/>
                <w:sz w:val="20"/>
                <w:szCs w:val="20"/>
              </w:rPr>
              <w:t>敏感</w:t>
            </w:r>
          </w:p>
        </w:tc>
        <w:tc>
          <w:tcPr>
            <w:tcW w:w="2127" w:type="dxa"/>
            <w:vAlign w:val="top"/>
          </w:tcPr>
          <w:p w14:paraId="79A69A3C">
            <w:pPr>
              <w:pStyle w:val="6"/>
              <w:spacing w:before="118" w:line="139" w:lineRule="exact"/>
              <w:ind w:left="966"/>
              <w:rPr>
                <w:sz w:val="20"/>
                <w:szCs w:val="20"/>
              </w:rPr>
            </w:pPr>
            <w:r>
              <w:rPr>
                <w:position w:val="-4"/>
                <w:sz w:val="20"/>
                <w:szCs w:val="20"/>
              </w:rPr>
              <w:t>一</w:t>
            </w:r>
          </w:p>
        </w:tc>
        <w:tc>
          <w:tcPr>
            <w:tcW w:w="1918" w:type="dxa"/>
            <w:vAlign w:val="top"/>
          </w:tcPr>
          <w:p w14:paraId="72D505EF">
            <w:pPr>
              <w:pStyle w:val="6"/>
              <w:spacing w:before="118" w:line="139" w:lineRule="exact"/>
              <w:ind w:left="863"/>
              <w:rPr>
                <w:sz w:val="20"/>
                <w:szCs w:val="20"/>
              </w:rPr>
            </w:pPr>
            <w:r>
              <w:rPr>
                <w:position w:val="-4"/>
                <w:sz w:val="20"/>
                <w:szCs w:val="20"/>
              </w:rPr>
              <w:t>一</w:t>
            </w:r>
          </w:p>
        </w:tc>
        <w:tc>
          <w:tcPr>
            <w:tcW w:w="1845" w:type="dxa"/>
            <w:tcBorders>
              <w:right w:val="nil"/>
            </w:tcBorders>
            <w:vAlign w:val="top"/>
          </w:tcPr>
          <w:p w14:paraId="63866EA7">
            <w:pPr>
              <w:pStyle w:val="6"/>
              <w:spacing w:before="78" w:line="166" w:lineRule="auto"/>
              <w:ind w:left="826"/>
              <w:rPr>
                <w:sz w:val="20"/>
                <w:szCs w:val="20"/>
              </w:rPr>
            </w:pPr>
            <w:r>
              <w:rPr>
                <w:sz w:val="20"/>
                <w:szCs w:val="20"/>
              </w:rPr>
              <w:t>二</w:t>
            </w:r>
          </w:p>
        </w:tc>
      </w:tr>
      <w:tr w14:paraId="732EAC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3179" w:type="dxa"/>
            <w:tcBorders>
              <w:left w:val="nil"/>
            </w:tcBorders>
            <w:vAlign w:val="top"/>
          </w:tcPr>
          <w:p w14:paraId="096DAB0B">
            <w:pPr>
              <w:pStyle w:val="6"/>
              <w:spacing w:before="42" w:line="198" w:lineRule="auto"/>
              <w:ind w:left="1281"/>
              <w:rPr>
                <w:sz w:val="20"/>
                <w:szCs w:val="20"/>
              </w:rPr>
            </w:pPr>
            <w:r>
              <w:rPr>
                <w:spacing w:val="6"/>
                <w:sz w:val="20"/>
                <w:szCs w:val="20"/>
              </w:rPr>
              <w:t>较敏感</w:t>
            </w:r>
          </w:p>
        </w:tc>
        <w:tc>
          <w:tcPr>
            <w:tcW w:w="2127" w:type="dxa"/>
            <w:vAlign w:val="top"/>
          </w:tcPr>
          <w:p w14:paraId="13A47F7B">
            <w:pPr>
              <w:pStyle w:val="6"/>
              <w:spacing w:before="121" w:line="135" w:lineRule="exact"/>
              <w:ind w:left="966"/>
              <w:rPr>
                <w:sz w:val="20"/>
                <w:szCs w:val="20"/>
              </w:rPr>
            </w:pPr>
            <w:r>
              <w:rPr>
                <w:position w:val="-4"/>
                <w:sz w:val="20"/>
                <w:szCs w:val="20"/>
              </w:rPr>
              <w:t>一</w:t>
            </w:r>
          </w:p>
        </w:tc>
        <w:tc>
          <w:tcPr>
            <w:tcW w:w="1918" w:type="dxa"/>
            <w:vAlign w:val="top"/>
          </w:tcPr>
          <w:p w14:paraId="02284277">
            <w:pPr>
              <w:pStyle w:val="6"/>
              <w:spacing w:before="81" w:line="162" w:lineRule="auto"/>
              <w:ind w:left="863"/>
              <w:rPr>
                <w:sz w:val="20"/>
                <w:szCs w:val="20"/>
              </w:rPr>
            </w:pPr>
            <w:r>
              <w:rPr>
                <w:sz w:val="20"/>
                <w:szCs w:val="20"/>
              </w:rPr>
              <w:t>二</w:t>
            </w:r>
          </w:p>
        </w:tc>
        <w:tc>
          <w:tcPr>
            <w:tcW w:w="1845" w:type="dxa"/>
            <w:tcBorders>
              <w:right w:val="nil"/>
            </w:tcBorders>
            <w:vAlign w:val="top"/>
          </w:tcPr>
          <w:p w14:paraId="11A1A9EA">
            <w:pPr>
              <w:pStyle w:val="6"/>
              <w:spacing w:before="42" w:line="198" w:lineRule="auto"/>
              <w:ind w:left="823"/>
              <w:rPr>
                <w:sz w:val="20"/>
                <w:szCs w:val="20"/>
              </w:rPr>
            </w:pPr>
            <w:r>
              <w:rPr>
                <w:sz w:val="20"/>
                <w:szCs w:val="20"/>
              </w:rPr>
              <w:t>三</w:t>
            </w:r>
          </w:p>
        </w:tc>
      </w:tr>
      <w:tr w14:paraId="61B504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3" w:hRule="atLeast"/>
        </w:trPr>
        <w:tc>
          <w:tcPr>
            <w:tcW w:w="3179" w:type="dxa"/>
            <w:tcBorders>
              <w:left w:val="nil"/>
              <w:bottom w:val="single" w:color="000000" w:sz="10" w:space="0"/>
            </w:tcBorders>
            <w:vAlign w:val="top"/>
          </w:tcPr>
          <w:p w14:paraId="4FFD1066">
            <w:pPr>
              <w:pStyle w:val="6"/>
              <w:spacing w:before="49" w:line="216" w:lineRule="auto"/>
              <w:ind w:left="1285"/>
              <w:rPr>
                <w:sz w:val="20"/>
                <w:szCs w:val="20"/>
              </w:rPr>
            </w:pPr>
            <w:r>
              <w:rPr>
                <w:spacing w:val="5"/>
                <w:sz w:val="20"/>
                <w:szCs w:val="20"/>
              </w:rPr>
              <w:t>不敏感</w:t>
            </w:r>
          </w:p>
        </w:tc>
        <w:tc>
          <w:tcPr>
            <w:tcW w:w="2127" w:type="dxa"/>
            <w:tcBorders>
              <w:bottom w:val="single" w:color="000000" w:sz="10" w:space="0"/>
            </w:tcBorders>
            <w:vAlign w:val="top"/>
          </w:tcPr>
          <w:p w14:paraId="7FFA7249">
            <w:pPr>
              <w:pStyle w:val="6"/>
              <w:spacing w:before="88" w:line="180" w:lineRule="auto"/>
              <w:ind w:left="966"/>
              <w:rPr>
                <w:sz w:val="20"/>
                <w:szCs w:val="20"/>
              </w:rPr>
            </w:pPr>
            <w:r>
              <w:rPr>
                <w:sz w:val="20"/>
                <w:szCs w:val="20"/>
              </w:rPr>
              <w:t>二</w:t>
            </w:r>
          </w:p>
        </w:tc>
        <w:tc>
          <w:tcPr>
            <w:tcW w:w="1918" w:type="dxa"/>
            <w:tcBorders>
              <w:bottom w:val="single" w:color="000000" w:sz="10" w:space="0"/>
            </w:tcBorders>
            <w:vAlign w:val="top"/>
          </w:tcPr>
          <w:p w14:paraId="4D80BABB">
            <w:pPr>
              <w:pStyle w:val="6"/>
              <w:spacing w:before="49" w:line="216" w:lineRule="auto"/>
              <w:ind w:left="859"/>
              <w:rPr>
                <w:sz w:val="20"/>
                <w:szCs w:val="20"/>
              </w:rPr>
            </w:pPr>
            <w:r>
              <w:rPr>
                <w:sz w:val="20"/>
                <w:szCs w:val="20"/>
              </w:rPr>
              <w:t>三</w:t>
            </w:r>
          </w:p>
        </w:tc>
        <w:tc>
          <w:tcPr>
            <w:tcW w:w="1845" w:type="dxa"/>
            <w:tcBorders>
              <w:bottom w:val="single" w:color="000000" w:sz="10" w:space="0"/>
              <w:right w:val="nil"/>
            </w:tcBorders>
            <w:vAlign w:val="top"/>
          </w:tcPr>
          <w:p w14:paraId="21857639">
            <w:pPr>
              <w:pStyle w:val="6"/>
              <w:spacing w:before="49" w:line="216" w:lineRule="auto"/>
              <w:ind w:left="823"/>
              <w:rPr>
                <w:sz w:val="20"/>
                <w:szCs w:val="20"/>
              </w:rPr>
            </w:pPr>
            <w:r>
              <w:rPr>
                <w:sz w:val="20"/>
                <w:szCs w:val="20"/>
              </w:rPr>
              <w:t>三</w:t>
            </w:r>
          </w:p>
        </w:tc>
      </w:tr>
    </w:tbl>
    <w:p w14:paraId="34792142">
      <w:pPr>
        <w:spacing w:before="36" w:line="219" w:lineRule="auto"/>
        <w:ind w:left="491"/>
        <w:rPr>
          <w:rFonts w:ascii="宋体" w:hAnsi="宋体" w:eastAsia="宋体" w:cs="宋体"/>
          <w:sz w:val="24"/>
          <w:szCs w:val="24"/>
        </w:rPr>
      </w:pPr>
      <w:r>
        <w:rPr>
          <w:rFonts w:ascii="宋体" w:hAnsi="宋体" w:eastAsia="宋体" w:cs="宋体"/>
          <w:spacing w:val="1"/>
          <w:sz w:val="24"/>
          <w:szCs w:val="24"/>
        </w:rPr>
        <w:t>综上，本项目类别为</w:t>
      </w:r>
      <w:r>
        <w:rPr>
          <w:rFonts w:ascii="宋体" w:hAnsi="宋体" w:eastAsia="宋体" w:cs="宋体"/>
          <w:spacing w:val="-51"/>
          <w:sz w:val="24"/>
          <w:szCs w:val="24"/>
        </w:rPr>
        <w:t xml:space="preserve"> </w:t>
      </w:r>
      <w:r>
        <w:rPr>
          <w:rFonts w:ascii="Times New Roman" w:hAnsi="Times New Roman" w:eastAsia="Times New Roman" w:cs="Times New Roman"/>
          <w:sz w:val="24"/>
          <w:szCs w:val="24"/>
        </w:rPr>
        <w:t>III</w:t>
      </w:r>
      <w:r>
        <w:rPr>
          <w:rFonts w:ascii="Times New Roman" w:hAnsi="Times New Roman" w:eastAsia="Times New Roman" w:cs="Times New Roman"/>
          <w:spacing w:val="16"/>
          <w:sz w:val="24"/>
          <w:szCs w:val="24"/>
        </w:rPr>
        <w:t xml:space="preserve"> </w:t>
      </w:r>
      <w:r>
        <w:rPr>
          <w:rFonts w:ascii="宋体" w:hAnsi="宋体" w:eastAsia="宋体" w:cs="宋体"/>
          <w:spacing w:val="1"/>
          <w:sz w:val="24"/>
          <w:szCs w:val="24"/>
        </w:rPr>
        <w:t>类，地下水环境敏感程度属</w:t>
      </w:r>
      <w:r>
        <w:rPr>
          <w:rFonts w:ascii="Times New Roman" w:hAnsi="Times New Roman" w:eastAsia="Times New Roman" w:cs="Times New Roman"/>
          <w:spacing w:val="1"/>
          <w:sz w:val="24"/>
          <w:szCs w:val="24"/>
        </w:rPr>
        <w:t>“</w:t>
      </w:r>
      <w:r>
        <w:rPr>
          <w:rFonts w:ascii="宋体" w:hAnsi="宋体" w:eastAsia="宋体" w:cs="宋体"/>
          <w:spacing w:val="1"/>
          <w:sz w:val="24"/>
          <w:szCs w:val="24"/>
        </w:rPr>
        <w:t>较敏感</w:t>
      </w:r>
      <w:r>
        <w:rPr>
          <w:rFonts w:ascii="Times New Roman" w:hAnsi="Times New Roman" w:eastAsia="Times New Roman" w:cs="Times New Roman"/>
          <w:spacing w:val="1"/>
          <w:sz w:val="24"/>
          <w:szCs w:val="24"/>
        </w:rPr>
        <w:t>”</w:t>
      </w:r>
      <w:r>
        <w:rPr>
          <w:rFonts w:ascii="Times New Roman" w:hAnsi="Times New Roman" w:eastAsia="Times New Roman" w:cs="Times New Roman"/>
          <w:spacing w:val="-27"/>
          <w:sz w:val="24"/>
          <w:szCs w:val="24"/>
        </w:rPr>
        <w:t xml:space="preserve"> </w:t>
      </w:r>
      <w:r>
        <w:rPr>
          <w:rFonts w:ascii="宋体" w:hAnsi="宋体" w:eastAsia="宋体" w:cs="宋体"/>
          <w:spacing w:val="1"/>
          <w:sz w:val="24"/>
          <w:szCs w:val="24"/>
        </w:rPr>
        <w:t>，因此，</w:t>
      </w:r>
      <w:r>
        <w:rPr>
          <w:rFonts w:ascii="宋体" w:hAnsi="宋体" w:eastAsia="宋体" w:cs="宋体"/>
          <w:sz w:val="24"/>
          <w:szCs w:val="24"/>
        </w:rPr>
        <w:t>地下水环境</w:t>
      </w:r>
    </w:p>
    <w:p w14:paraId="7F6DA388">
      <w:pPr>
        <w:spacing w:line="219" w:lineRule="auto"/>
        <w:rPr>
          <w:rFonts w:ascii="宋体" w:hAnsi="宋体" w:eastAsia="宋体" w:cs="宋体"/>
          <w:sz w:val="24"/>
          <w:szCs w:val="24"/>
        </w:rPr>
        <w:sectPr>
          <w:headerReference r:id="rId70" w:type="default"/>
          <w:footerReference r:id="rId71" w:type="default"/>
          <w:pgSz w:w="11907" w:h="16840"/>
          <w:pgMar w:top="1178" w:right="1336" w:bottom="1038" w:left="1417" w:header="870" w:footer="876" w:gutter="0"/>
          <w:cols w:space="720" w:num="1"/>
        </w:sectPr>
      </w:pPr>
    </w:p>
    <w:p w14:paraId="0E2C8A84">
      <w:pPr>
        <w:spacing w:before="274" w:line="218" w:lineRule="auto"/>
        <w:ind w:left="8"/>
        <w:rPr>
          <w:rFonts w:ascii="宋体" w:hAnsi="宋体" w:eastAsia="宋体" w:cs="宋体"/>
          <w:sz w:val="24"/>
          <w:szCs w:val="24"/>
        </w:rPr>
      </w:pPr>
      <w:r>
        <w:pict>
          <v:shape id="_x0000_s1066" o:spid="_x0000_s1066" style="position:absolute;left:0pt;margin-left:70.85pt;margin-top:59.65pt;height:0.75pt;width:453.65pt;mso-position-horizontal-relative:page;mso-position-vertical-relative:page;z-index:25170022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spacing w:val="-1"/>
          <w:sz w:val="24"/>
          <w:szCs w:val="24"/>
        </w:rPr>
        <w:t>影响评价工作级别为三级。</w:t>
      </w:r>
    </w:p>
    <w:p w14:paraId="7988FEFA">
      <w:pPr>
        <w:spacing w:before="182" w:line="218"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4</w:t>
      </w:r>
      <w:r>
        <w:rPr>
          <w:rFonts w:ascii="宋体" w:hAnsi="宋体" w:eastAsia="宋体" w:cs="宋体"/>
          <w:spacing w:val="-2"/>
          <w:sz w:val="24"/>
          <w:szCs w:val="24"/>
        </w:rPr>
        <w:t>）地下水评价范围确定</w:t>
      </w:r>
    </w:p>
    <w:p w14:paraId="23D4AA76">
      <w:pPr>
        <w:spacing w:before="183" w:line="352" w:lineRule="auto"/>
        <w:ind w:left="6" w:firstLine="722"/>
        <w:rPr>
          <w:rFonts w:ascii="宋体" w:hAnsi="宋体" w:eastAsia="宋体" w:cs="宋体"/>
          <w:sz w:val="24"/>
          <w:szCs w:val="24"/>
        </w:rPr>
      </w:pPr>
      <w:r>
        <w:rPr>
          <w:rFonts w:ascii="宋体" w:hAnsi="宋体" w:eastAsia="宋体" w:cs="宋体"/>
          <w:spacing w:val="-2"/>
          <w:sz w:val="24"/>
          <w:szCs w:val="24"/>
        </w:rPr>
        <w:t>本项目地下水环境影响评价范围根据建设项目所在地水文地质条件确定。项目选</w:t>
      </w:r>
      <w:r>
        <w:rPr>
          <w:rFonts w:ascii="宋体" w:hAnsi="宋体" w:eastAsia="宋体" w:cs="宋体"/>
          <w:spacing w:val="13"/>
          <w:sz w:val="24"/>
          <w:szCs w:val="24"/>
        </w:rPr>
        <w:t xml:space="preserve"> </w:t>
      </w:r>
      <w:r>
        <w:rPr>
          <w:rFonts w:ascii="宋体" w:hAnsi="宋体" w:eastAsia="宋体" w:cs="宋体"/>
          <w:spacing w:val="-1"/>
          <w:sz w:val="24"/>
          <w:szCs w:val="24"/>
        </w:rPr>
        <w:t>址区域地下水流向为由西北至东南，地下水评价</w:t>
      </w:r>
      <w:r>
        <w:rPr>
          <w:rFonts w:ascii="宋体" w:hAnsi="宋体" w:eastAsia="宋体" w:cs="宋体"/>
          <w:spacing w:val="-2"/>
          <w:sz w:val="24"/>
          <w:szCs w:val="24"/>
        </w:rPr>
        <w:t>范围为南侧以等水位线为界；西侧以西</w:t>
      </w:r>
      <w:r>
        <w:rPr>
          <w:rFonts w:ascii="宋体" w:hAnsi="宋体" w:eastAsia="宋体" w:cs="宋体"/>
          <w:sz w:val="24"/>
          <w:szCs w:val="24"/>
        </w:rPr>
        <w:t xml:space="preserve"> </w:t>
      </w:r>
      <w:r>
        <w:rPr>
          <w:rFonts w:ascii="宋体" w:hAnsi="宋体" w:eastAsia="宋体" w:cs="宋体"/>
          <w:spacing w:val="-1"/>
          <w:sz w:val="24"/>
          <w:szCs w:val="24"/>
        </w:rPr>
        <w:t>侧山脊分水岭为界，东侧山脊分水岭为界，</w:t>
      </w:r>
      <w:r>
        <w:rPr>
          <w:rFonts w:ascii="宋体" w:hAnsi="宋体" w:eastAsia="宋体" w:cs="宋体"/>
          <w:spacing w:val="-2"/>
          <w:sz w:val="24"/>
          <w:szCs w:val="24"/>
        </w:rPr>
        <w:t>北侧以垂直等水位线的流线为界，划定评价</w:t>
      </w:r>
      <w:r>
        <w:rPr>
          <w:rFonts w:ascii="宋体" w:hAnsi="宋体" w:eastAsia="宋体" w:cs="宋体"/>
          <w:sz w:val="24"/>
          <w:szCs w:val="24"/>
        </w:rPr>
        <w:t xml:space="preserve"> </w:t>
      </w:r>
      <w:r>
        <w:rPr>
          <w:rFonts w:ascii="宋体" w:hAnsi="宋体" w:eastAsia="宋体" w:cs="宋体"/>
          <w:spacing w:val="-2"/>
          <w:sz w:val="24"/>
          <w:szCs w:val="24"/>
        </w:rPr>
        <w:t>范围为</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56.96km</w:t>
      </w:r>
      <w:r>
        <w:rPr>
          <w:rFonts w:ascii="Times New Roman" w:hAnsi="Times New Roman" w:eastAsia="Times New Roman" w:cs="Times New Roman"/>
          <w:spacing w:val="-2"/>
          <w:position w:val="7"/>
          <w:sz w:val="15"/>
          <w:szCs w:val="15"/>
        </w:rPr>
        <w:t>2</w:t>
      </w:r>
      <w:r>
        <w:rPr>
          <w:rFonts w:ascii="Times New Roman" w:hAnsi="Times New Roman" w:eastAsia="Times New Roman" w:cs="Times New Roman"/>
          <w:spacing w:val="28"/>
          <w:w w:val="102"/>
          <w:position w:val="7"/>
          <w:sz w:val="15"/>
          <w:szCs w:val="15"/>
        </w:rPr>
        <w:t xml:space="preserve"> </w:t>
      </w:r>
      <w:r>
        <w:rPr>
          <w:rFonts w:ascii="宋体" w:hAnsi="宋体" w:eastAsia="宋体" w:cs="宋体"/>
          <w:spacing w:val="-2"/>
          <w:sz w:val="24"/>
          <w:szCs w:val="24"/>
        </w:rPr>
        <w:t>的浅层地下水点为评价范围。</w:t>
      </w:r>
    </w:p>
    <w:p w14:paraId="7524BEF3">
      <w:pPr>
        <w:spacing w:before="3" w:line="6974" w:lineRule="exact"/>
        <w:ind w:firstLine="478"/>
      </w:pPr>
      <w:r>
        <w:rPr>
          <w:position w:val="-139"/>
        </w:rPr>
        <w:drawing>
          <wp:inline distT="0" distB="0" distL="0" distR="0">
            <wp:extent cx="5151120" cy="4428490"/>
            <wp:effectExtent l="0" t="0" r="0" b="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583"/>
                    <a:stretch>
                      <a:fillRect/>
                    </a:stretch>
                  </pic:blipFill>
                  <pic:spPr>
                    <a:xfrm>
                      <a:off x="0" y="0"/>
                      <a:ext cx="5151120" cy="4428744"/>
                    </a:xfrm>
                    <a:prstGeom prst="rect">
                      <a:avLst/>
                    </a:prstGeom>
                  </pic:spPr>
                </pic:pic>
              </a:graphicData>
            </a:graphic>
          </wp:inline>
        </w:drawing>
      </w:r>
    </w:p>
    <w:p w14:paraId="399EA2C9">
      <w:pPr>
        <w:spacing w:before="150" w:line="226" w:lineRule="auto"/>
        <w:ind w:left="3267"/>
        <w:rPr>
          <w:rFonts w:ascii="宋体" w:hAnsi="宋体" w:eastAsia="宋体" w:cs="宋体"/>
          <w:sz w:val="20"/>
          <w:szCs w:val="20"/>
        </w:rPr>
      </w:pPr>
      <w:r>
        <w:rPr>
          <w:rFonts w:ascii="宋体" w:hAnsi="宋体" w:eastAsia="宋体" w:cs="宋体"/>
          <w:b/>
          <w:bCs/>
          <w:spacing w:val="3"/>
          <w:sz w:val="20"/>
          <w:szCs w:val="20"/>
        </w:rPr>
        <w:t>图</w:t>
      </w:r>
      <w:r>
        <w:rPr>
          <w:rFonts w:ascii="宋体" w:hAnsi="宋体" w:eastAsia="宋体" w:cs="宋体"/>
          <w:spacing w:val="-34"/>
          <w:sz w:val="20"/>
          <w:szCs w:val="20"/>
        </w:rPr>
        <w:t xml:space="preserve"> </w:t>
      </w:r>
      <w:r>
        <w:rPr>
          <w:rFonts w:ascii="Times New Roman" w:hAnsi="Times New Roman" w:eastAsia="Times New Roman" w:cs="Times New Roman"/>
          <w:b/>
          <w:bCs/>
          <w:spacing w:val="3"/>
          <w:sz w:val="20"/>
          <w:szCs w:val="20"/>
        </w:rPr>
        <w:t xml:space="preserve">1.6-1        </w:t>
      </w:r>
      <w:r>
        <w:rPr>
          <w:rFonts w:ascii="宋体" w:hAnsi="宋体" w:eastAsia="宋体" w:cs="宋体"/>
          <w:b/>
          <w:bCs/>
          <w:spacing w:val="3"/>
          <w:sz w:val="20"/>
          <w:szCs w:val="20"/>
        </w:rPr>
        <w:t>地下水评价范围</w:t>
      </w:r>
    </w:p>
    <w:p w14:paraId="4C3146D2">
      <w:pPr>
        <w:spacing w:before="177" w:line="222" w:lineRule="auto"/>
        <w:ind w:left="34"/>
        <w:outlineLvl w:val="1"/>
        <w:rPr>
          <w:rFonts w:ascii="黑体" w:hAnsi="黑体" w:eastAsia="黑体" w:cs="黑体"/>
          <w:sz w:val="30"/>
          <w:szCs w:val="30"/>
        </w:rPr>
      </w:pPr>
      <w:bookmarkStart w:id="301" w:name="bookmark72"/>
      <w:bookmarkEnd w:id="301"/>
      <w:bookmarkStart w:id="302" w:name="bookmark81"/>
      <w:bookmarkEnd w:id="302"/>
      <w:r>
        <w:rPr>
          <w:rFonts w:ascii="Times New Roman" w:hAnsi="Times New Roman" w:eastAsia="Times New Roman" w:cs="Times New Roman"/>
          <w:spacing w:val="-6"/>
          <w:sz w:val="30"/>
          <w:szCs w:val="30"/>
        </w:rPr>
        <w:t>1.6.3</w:t>
      </w:r>
      <w:r>
        <w:rPr>
          <w:rFonts w:ascii="Times New Roman" w:hAnsi="Times New Roman" w:eastAsia="Times New Roman" w:cs="Times New Roman"/>
          <w:spacing w:val="19"/>
          <w:sz w:val="30"/>
          <w:szCs w:val="30"/>
        </w:rPr>
        <w:t xml:space="preserve"> </w:t>
      </w:r>
      <w:r>
        <w:rPr>
          <w:rFonts w:ascii="黑体" w:hAnsi="黑体" w:eastAsia="黑体" w:cs="黑体"/>
          <w:spacing w:val="-6"/>
          <w:sz w:val="30"/>
          <w:szCs w:val="30"/>
        </w:rPr>
        <w:t>噪声环境</w:t>
      </w:r>
    </w:p>
    <w:p w14:paraId="27AF13B9">
      <w:pPr>
        <w:spacing w:before="210" w:line="351" w:lineRule="auto"/>
        <w:ind w:left="11" w:firstLine="478"/>
        <w:rPr>
          <w:rFonts w:ascii="宋体" w:hAnsi="宋体" w:eastAsia="宋体" w:cs="宋体"/>
          <w:sz w:val="24"/>
          <w:szCs w:val="24"/>
        </w:rPr>
      </w:pPr>
      <w:r>
        <w:rPr>
          <w:rFonts w:ascii="宋体" w:hAnsi="宋体" w:eastAsia="宋体" w:cs="宋体"/>
          <w:spacing w:val="2"/>
          <w:sz w:val="24"/>
          <w:szCs w:val="24"/>
        </w:rPr>
        <w:t>本项目所处的声环境功能区为《声环境质量标准》</w:t>
      </w:r>
      <w:r>
        <w:rPr>
          <w:rFonts w:ascii="Times New Roman" w:hAnsi="Times New Roman" w:eastAsia="Times New Roman" w:cs="Times New Roman"/>
          <w:spacing w:val="2"/>
          <w:sz w:val="24"/>
          <w:szCs w:val="24"/>
        </w:rPr>
        <w:t>(</w:t>
      </w:r>
      <w:r>
        <w:rPr>
          <w:rFonts w:ascii="Times New Roman" w:hAnsi="Times New Roman" w:eastAsia="Times New Roman" w:cs="Times New Roman"/>
          <w:sz w:val="24"/>
          <w:szCs w:val="24"/>
        </w:rPr>
        <w:t>GB</w:t>
      </w:r>
      <w:r>
        <w:rPr>
          <w:rFonts w:ascii="Times New Roman" w:hAnsi="Times New Roman" w:eastAsia="Times New Roman" w:cs="Times New Roman"/>
          <w:spacing w:val="2"/>
          <w:sz w:val="24"/>
          <w:szCs w:val="24"/>
        </w:rPr>
        <w:t>3096-2008)</w:t>
      </w:r>
      <w:r>
        <w:rPr>
          <w:rFonts w:ascii="宋体" w:hAnsi="宋体" w:eastAsia="宋体" w:cs="宋体"/>
          <w:spacing w:val="2"/>
          <w:sz w:val="24"/>
          <w:szCs w:val="24"/>
        </w:rPr>
        <w:t>规定的</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 xml:space="preserve">3 </w:t>
      </w:r>
      <w:r>
        <w:rPr>
          <w:rFonts w:ascii="宋体" w:hAnsi="宋体" w:eastAsia="宋体" w:cs="宋体"/>
          <w:spacing w:val="1"/>
          <w:sz w:val="24"/>
          <w:szCs w:val="24"/>
        </w:rPr>
        <w:t>类区，</w:t>
      </w:r>
      <w:r>
        <w:rPr>
          <w:rFonts w:ascii="宋体" w:hAnsi="宋体" w:eastAsia="宋体" w:cs="宋体"/>
          <w:sz w:val="24"/>
          <w:szCs w:val="24"/>
        </w:rPr>
        <w:t xml:space="preserve"> 建设项目建设前后评价范围内敏感点目标噪声级增高量在</w:t>
      </w:r>
      <w:r>
        <w:rPr>
          <w:rFonts w:ascii="宋体" w:hAnsi="宋体" w:eastAsia="宋体" w:cs="宋体"/>
          <w:spacing w:val="-33"/>
          <w:sz w:val="24"/>
          <w:szCs w:val="24"/>
        </w:rPr>
        <w:t xml:space="preserve"> </w:t>
      </w:r>
      <w:r>
        <w:rPr>
          <w:rFonts w:ascii="Times New Roman" w:hAnsi="Times New Roman" w:eastAsia="Times New Roman" w:cs="Times New Roman"/>
          <w:sz w:val="24"/>
          <w:szCs w:val="24"/>
        </w:rPr>
        <w:t>3dB</w:t>
      </w:r>
      <w:r>
        <w:rPr>
          <w:rFonts w:ascii="宋体" w:hAnsi="宋体" w:eastAsia="宋体" w:cs="宋体"/>
          <w:sz w:val="24"/>
          <w:szCs w:val="24"/>
        </w:rPr>
        <w:t>（</w:t>
      </w:r>
      <w:r>
        <w:rPr>
          <w:rFonts w:ascii="Times New Roman" w:hAnsi="Times New Roman" w:eastAsia="Times New Roman" w:cs="Times New Roman"/>
          <w:sz w:val="24"/>
          <w:szCs w:val="24"/>
        </w:rPr>
        <w:t>A</w:t>
      </w:r>
      <w:r>
        <w:rPr>
          <w:rFonts w:ascii="宋体" w:hAnsi="宋体" w:eastAsia="宋体" w:cs="宋体"/>
          <w:sz w:val="24"/>
          <w:szCs w:val="24"/>
        </w:rPr>
        <w:t>）以下，且受影响人 口数量变化不大。根据《环境影响评价技术导则声环境》（</w:t>
      </w:r>
      <w:r>
        <w:rPr>
          <w:rFonts w:ascii="Times New Roman" w:hAnsi="Times New Roman" w:eastAsia="Times New Roman" w:cs="Times New Roman"/>
          <w:sz w:val="24"/>
          <w:szCs w:val="24"/>
        </w:rPr>
        <w:t>HJ2.4-2021</w:t>
      </w:r>
      <w:r>
        <w:rPr>
          <w:rFonts w:ascii="宋体" w:hAnsi="宋体" w:eastAsia="宋体" w:cs="宋体"/>
          <w:sz w:val="24"/>
          <w:szCs w:val="24"/>
        </w:rPr>
        <w:t>）中评价等级划</w:t>
      </w:r>
      <w:r>
        <w:rPr>
          <w:rFonts w:ascii="宋体" w:hAnsi="宋体" w:eastAsia="宋体" w:cs="宋体"/>
          <w:spacing w:val="12"/>
          <w:sz w:val="24"/>
          <w:szCs w:val="24"/>
        </w:rPr>
        <w:t xml:space="preserve"> </w:t>
      </w:r>
      <w:r>
        <w:rPr>
          <w:rFonts w:ascii="宋体" w:hAnsi="宋体" w:eastAsia="宋体" w:cs="宋体"/>
          <w:spacing w:val="-1"/>
          <w:sz w:val="24"/>
          <w:szCs w:val="24"/>
        </w:rPr>
        <w:t>分规定，确定声环境影响评价工作等级为三级，评价范围为</w:t>
      </w:r>
      <w:r>
        <w:rPr>
          <w:rFonts w:ascii="宋体" w:hAnsi="宋体" w:eastAsia="宋体" w:cs="宋体"/>
          <w:spacing w:val="-2"/>
          <w:sz w:val="24"/>
          <w:szCs w:val="24"/>
        </w:rPr>
        <w:t>厂界外</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200m</w:t>
      </w:r>
      <w:r>
        <w:rPr>
          <w:rFonts w:ascii="Times New Roman" w:hAnsi="Times New Roman" w:eastAsia="Times New Roman" w:cs="Times New Roman"/>
          <w:spacing w:val="28"/>
          <w:sz w:val="24"/>
          <w:szCs w:val="24"/>
        </w:rPr>
        <w:t xml:space="preserve"> </w:t>
      </w:r>
      <w:r>
        <w:rPr>
          <w:rFonts w:ascii="宋体" w:hAnsi="宋体" w:eastAsia="宋体" w:cs="宋体"/>
          <w:spacing w:val="-2"/>
          <w:sz w:val="24"/>
          <w:szCs w:val="24"/>
        </w:rPr>
        <w:t>区域。</w:t>
      </w:r>
    </w:p>
    <w:p w14:paraId="6A5C7CD8">
      <w:pPr>
        <w:spacing w:before="55" w:line="222" w:lineRule="auto"/>
        <w:ind w:left="34"/>
        <w:outlineLvl w:val="2"/>
        <w:rPr>
          <w:rFonts w:ascii="黑体" w:hAnsi="黑体" w:eastAsia="黑体" w:cs="黑体"/>
          <w:sz w:val="30"/>
          <w:szCs w:val="30"/>
        </w:rPr>
      </w:pPr>
      <w:bookmarkStart w:id="303" w:name="bookmark74"/>
      <w:bookmarkEnd w:id="303"/>
      <w:r>
        <w:rPr>
          <w:rFonts w:ascii="Times New Roman" w:hAnsi="Times New Roman" w:eastAsia="Times New Roman" w:cs="Times New Roman"/>
          <w:spacing w:val="-4"/>
          <w:sz w:val="30"/>
          <w:szCs w:val="30"/>
        </w:rPr>
        <w:t xml:space="preserve">1.6.4 </w:t>
      </w:r>
      <w:r>
        <w:rPr>
          <w:rFonts w:ascii="黑体" w:hAnsi="黑体" w:eastAsia="黑体" w:cs="黑体"/>
          <w:spacing w:val="-4"/>
          <w:sz w:val="30"/>
          <w:szCs w:val="30"/>
        </w:rPr>
        <w:t>生态环境</w:t>
      </w:r>
    </w:p>
    <w:p w14:paraId="3766198B">
      <w:pPr>
        <w:spacing w:before="214" w:line="219" w:lineRule="auto"/>
        <w:jc w:val="right"/>
        <w:rPr>
          <w:rFonts w:ascii="宋体" w:hAnsi="宋体" w:eastAsia="宋体" w:cs="宋体"/>
          <w:sz w:val="24"/>
          <w:szCs w:val="24"/>
        </w:rPr>
      </w:pPr>
      <w:r>
        <w:rPr>
          <w:rFonts w:ascii="宋体" w:hAnsi="宋体" w:eastAsia="宋体" w:cs="宋体"/>
          <w:spacing w:val="-2"/>
          <w:sz w:val="24"/>
          <w:szCs w:val="24"/>
        </w:rPr>
        <w:t>本项目属于污染影响类建设项目，位于锡林郭勒盟苏尼特右旗朱日和工业园区南区</w:t>
      </w:r>
    </w:p>
    <w:p w14:paraId="04ED04EF">
      <w:pPr>
        <w:spacing w:line="219" w:lineRule="auto"/>
        <w:rPr>
          <w:rFonts w:ascii="宋体" w:hAnsi="宋体" w:eastAsia="宋体" w:cs="宋体"/>
          <w:sz w:val="24"/>
          <w:szCs w:val="24"/>
        </w:rPr>
        <w:sectPr>
          <w:headerReference r:id="rId72" w:type="default"/>
          <w:footerReference r:id="rId73" w:type="default"/>
          <w:pgSz w:w="11907" w:h="16840"/>
          <w:pgMar w:top="1178" w:right="1416" w:bottom="1038" w:left="1417" w:header="870" w:footer="876" w:gutter="0"/>
          <w:cols w:space="720" w:num="1"/>
        </w:sectPr>
      </w:pPr>
    </w:p>
    <w:p w14:paraId="0E3E54EC">
      <w:pPr>
        <w:spacing w:before="277" w:line="354" w:lineRule="auto"/>
        <w:ind w:left="63" w:right="94" w:firstLine="55"/>
        <w:jc w:val="both"/>
        <w:rPr>
          <w:rFonts w:ascii="宋体" w:hAnsi="宋体" w:eastAsia="宋体" w:cs="宋体"/>
          <w:sz w:val="24"/>
          <w:szCs w:val="24"/>
        </w:rPr>
      </w:pPr>
      <w:r>
        <w:pict>
          <v:shape id="_x0000_s1067" o:spid="_x0000_s1067" style="position:absolute;left:0pt;margin-left:70.85pt;margin-top:59.65pt;height:0.75pt;width:453.65pt;mso-position-horizontal-relative:page;mso-position-vertical-relative:page;z-index:2517012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spacing w:val="-2"/>
          <w:sz w:val="24"/>
          <w:szCs w:val="24"/>
        </w:rPr>
        <w:t>冶金产业园苏尼特右旗新蒙新材料有限公司现有厂区内，属于已经批准规划环评的产业</w:t>
      </w:r>
      <w:r>
        <w:rPr>
          <w:rFonts w:ascii="宋体" w:hAnsi="宋体" w:eastAsia="宋体" w:cs="宋体"/>
          <w:spacing w:val="17"/>
          <w:sz w:val="24"/>
          <w:szCs w:val="24"/>
        </w:rPr>
        <w:t xml:space="preserve"> </w:t>
      </w:r>
      <w:r>
        <w:rPr>
          <w:rFonts w:ascii="宋体" w:hAnsi="宋体" w:eastAsia="宋体" w:cs="宋体"/>
          <w:spacing w:val="1"/>
          <w:sz w:val="24"/>
          <w:szCs w:val="24"/>
        </w:rPr>
        <w:t>园区，且不涉及生态敏感区，根据《环境影响评价</w:t>
      </w:r>
      <w:r>
        <w:rPr>
          <w:rFonts w:ascii="宋体" w:hAnsi="宋体" w:eastAsia="宋体" w:cs="宋体"/>
          <w:sz w:val="24"/>
          <w:szCs w:val="24"/>
        </w:rPr>
        <w:t>技术导则 生态影响》（</w:t>
      </w:r>
      <w:r>
        <w:rPr>
          <w:rFonts w:ascii="Times New Roman" w:hAnsi="Times New Roman" w:eastAsia="Times New Roman" w:cs="Times New Roman"/>
          <w:sz w:val="24"/>
          <w:szCs w:val="24"/>
        </w:rPr>
        <w:t>HJ19-2022</w:t>
      </w:r>
      <w:r>
        <w:rPr>
          <w:rFonts w:ascii="宋体" w:hAnsi="宋体" w:eastAsia="宋体" w:cs="宋体"/>
          <w:sz w:val="24"/>
          <w:szCs w:val="24"/>
        </w:rPr>
        <w:t xml:space="preserve">） </w:t>
      </w:r>
      <w:r>
        <w:rPr>
          <w:rFonts w:ascii="Times New Roman" w:hAnsi="Times New Roman" w:eastAsia="Times New Roman" w:cs="Times New Roman"/>
          <w:spacing w:val="3"/>
          <w:sz w:val="24"/>
          <w:szCs w:val="24"/>
        </w:rPr>
        <w:t xml:space="preserve">“6.1.8    </w:t>
      </w:r>
      <w:r>
        <w:rPr>
          <w:rFonts w:ascii="宋体" w:hAnsi="宋体" w:eastAsia="宋体" w:cs="宋体"/>
          <w:spacing w:val="3"/>
          <w:sz w:val="24"/>
          <w:szCs w:val="24"/>
        </w:rPr>
        <w:t>符合生态环境分区管控要求且位于原厂界（或永久用地）范围内的污染</w:t>
      </w:r>
      <w:r>
        <w:rPr>
          <w:rFonts w:ascii="宋体" w:hAnsi="宋体" w:eastAsia="宋体" w:cs="宋体"/>
          <w:spacing w:val="2"/>
          <w:sz w:val="24"/>
          <w:szCs w:val="24"/>
        </w:rPr>
        <w:t>影响类</w:t>
      </w:r>
      <w:r>
        <w:rPr>
          <w:rFonts w:ascii="宋体" w:hAnsi="宋体" w:eastAsia="宋体" w:cs="宋体"/>
          <w:sz w:val="24"/>
          <w:szCs w:val="24"/>
        </w:rPr>
        <w:t xml:space="preserve"> 改扩建项目，位于已批准规划环评的产业园区内且符合规划环评要求、不涉及</w:t>
      </w:r>
      <w:r>
        <w:rPr>
          <w:rFonts w:ascii="宋体" w:hAnsi="宋体" w:eastAsia="宋体" w:cs="宋体"/>
          <w:spacing w:val="-1"/>
          <w:sz w:val="24"/>
          <w:szCs w:val="24"/>
        </w:rPr>
        <w:t>生态敏感</w:t>
      </w:r>
      <w:r>
        <w:rPr>
          <w:rFonts w:ascii="宋体" w:hAnsi="宋体" w:eastAsia="宋体" w:cs="宋体"/>
          <w:sz w:val="24"/>
          <w:szCs w:val="24"/>
        </w:rPr>
        <w:t xml:space="preserve"> </w:t>
      </w:r>
      <w:r>
        <w:rPr>
          <w:rFonts w:ascii="宋体" w:hAnsi="宋体" w:eastAsia="宋体" w:cs="宋体"/>
          <w:spacing w:val="3"/>
          <w:sz w:val="24"/>
          <w:szCs w:val="24"/>
        </w:rPr>
        <w:t>区的污染影响类建设项目，可不确定评价等级，直接进行生态影响简单分析。</w:t>
      </w:r>
      <w:r>
        <w:rPr>
          <w:rFonts w:ascii="Times New Roman" w:hAnsi="Times New Roman" w:eastAsia="Times New Roman" w:cs="Times New Roman"/>
          <w:spacing w:val="3"/>
          <w:sz w:val="24"/>
          <w:szCs w:val="24"/>
        </w:rPr>
        <w:t>”</w:t>
      </w:r>
      <w:r>
        <w:rPr>
          <w:rFonts w:ascii="宋体" w:hAnsi="宋体" w:eastAsia="宋体" w:cs="宋体"/>
          <w:spacing w:val="3"/>
          <w:sz w:val="24"/>
          <w:szCs w:val="24"/>
        </w:rPr>
        <w:t>本项目</w:t>
      </w:r>
      <w:r>
        <w:rPr>
          <w:rFonts w:ascii="宋体" w:hAnsi="宋体" w:eastAsia="宋体" w:cs="宋体"/>
          <w:spacing w:val="13"/>
          <w:sz w:val="24"/>
          <w:szCs w:val="24"/>
        </w:rPr>
        <w:t xml:space="preserve"> </w:t>
      </w:r>
      <w:r>
        <w:rPr>
          <w:rFonts w:ascii="宋体" w:hAnsi="宋体" w:eastAsia="宋体" w:cs="宋体"/>
          <w:spacing w:val="3"/>
          <w:sz w:val="24"/>
          <w:szCs w:val="24"/>
        </w:rPr>
        <w:t>直接进行生态影响简单分析。</w:t>
      </w:r>
    </w:p>
    <w:p w14:paraId="5C8F6229">
      <w:pPr>
        <w:spacing w:before="44" w:line="222" w:lineRule="auto"/>
        <w:ind w:left="142"/>
        <w:outlineLvl w:val="2"/>
        <w:rPr>
          <w:rFonts w:ascii="黑体" w:hAnsi="黑体" w:eastAsia="黑体" w:cs="黑体"/>
          <w:sz w:val="30"/>
          <w:szCs w:val="30"/>
        </w:rPr>
      </w:pPr>
      <w:bookmarkStart w:id="304" w:name="bookmark76"/>
      <w:bookmarkEnd w:id="304"/>
      <w:r>
        <w:rPr>
          <w:rFonts w:ascii="Times New Roman" w:hAnsi="Times New Roman" w:eastAsia="Times New Roman" w:cs="Times New Roman"/>
          <w:spacing w:val="-4"/>
          <w:sz w:val="30"/>
          <w:szCs w:val="30"/>
        </w:rPr>
        <w:t xml:space="preserve">1.6.5 </w:t>
      </w:r>
      <w:r>
        <w:rPr>
          <w:rFonts w:ascii="黑体" w:hAnsi="黑体" w:eastAsia="黑体" w:cs="黑体"/>
          <w:spacing w:val="-4"/>
          <w:sz w:val="30"/>
          <w:szCs w:val="30"/>
        </w:rPr>
        <w:t>风险评价</w:t>
      </w:r>
    </w:p>
    <w:p w14:paraId="4C957870">
      <w:pPr>
        <w:spacing w:before="214" w:line="218" w:lineRule="auto"/>
        <w:ind w:left="596"/>
        <w:rPr>
          <w:rFonts w:ascii="宋体" w:hAnsi="宋体" w:eastAsia="宋体" w:cs="宋体"/>
          <w:sz w:val="24"/>
          <w:szCs w:val="24"/>
        </w:rPr>
      </w:pPr>
      <w:r>
        <w:rPr>
          <w:rFonts w:ascii="宋体" w:hAnsi="宋体" w:eastAsia="宋体" w:cs="宋体"/>
          <w:spacing w:val="-1"/>
          <w:sz w:val="24"/>
          <w:szCs w:val="24"/>
        </w:rPr>
        <w:t>根据《建设项目环境风险评价技术导则》（</w:t>
      </w:r>
      <w:r>
        <w:rPr>
          <w:rFonts w:ascii="Times New Roman" w:hAnsi="Times New Roman" w:eastAsia="Times New Roman" w:cs="Times New Roman"/>
          <w:spacing w:val="-1"/>
          <w:sz w:val="24"/>
          <w:szCs w:val="24"/>
        </w:rPr>
        <w:t>HJ169-2018</w:t>
      </w:r>
      <w:r>
        <w:rPr>
          <w:rFonts w:ascii="宋体" w:hAnsi="宋体" w:eastAsia="宋体" w:cs="宋体"/>
          <w:spacing w:val="-1"/>
          <w:sz w:val="24"/>
          <w:szCs w:val="24"/>
        </w:rPr>
        <w:t>）的规定，环境风险评</w:t>
      </w:r>
      <w:r>
        <w:rPr>
          <w:rFonts w:ascii="宋体" w:hAnsi="宋体" w:eastAsia="宋体" w:cs="宋体"/>
          <w:spacing w:val="-2"/>
          <w:sz w:val="24"/>
          <w:szCs w:val="24"/>
        </w:rPr>
        <w:t>价工</w:t>
      </w:r>
    </w:p>
    <w:p w14:paraId="14601AB1">
      <w:pPr>
        <w:spacing w:before="182" w:line="219" w:lineRule="auto"/>
        <w:ind w:left="117"/>
        <w:rPr>
          <w:rFonts w:ascii="宋体" w:hAnsi="宋体" w:eastAsia="宋体" w:cs="宋体"/>
          <w:sz w:val="24"/>
          <w:szCs w:val="24"/>
        </w:rPr>
      </w:pPr>
      <w:r>
        <w:rPr>
          <w:rFonts w:ascii="宋体" w:hAnsi="宋体" w:eastAsia="宋体" w:cs="宋体"/>
          <w:spacing w:val="-3"/>
          <w:sz w:val="24"/>
          <w:szCs w:val="24"/>
        </w:rPr>
        <w:t>作等级划分表见表</w:t>
      </w:r>
      <w:r>
        <w:rPr>
          <w:rFonts w:ascii="宋体" w:hAnsi="宋体" w:eastAsia="宋体" w:cs="宋体"/>
          <w:spacing w:val="-31"/>
          <w:sz w:val="24"/>
          <w:szCs w:val="24"/>
        </w:rPr>
        <w:t xml:space="preserve"> </w:t>
      </w:r>
      <w:r>
        <w:rPr>
          <w:rFonts w:ascii="Times New Roman" w:hAnsi="Times New Roman" w:eastAsia="Times New Roman" w:cs="Times New Roman"/>
          <w:spacing w:val="-3"/>
          <w:sz w:val="24"/>
          <w:szCs w:val="24"/>
        </w:rPr>
        <w:t>1.6-9</w:t>
      </w:r>
      <w:r>
        <w:rPr>
          <w:rFonts w:ascii="宋体" w:hAnsi="宋体" w:eastAsia="宋体" w:cs="宋体"/>
          <w:spacing w:val="-3"/>
          <w:sz w:val="24"/>
          <w:szCs w:val="24"/>
        </w:rPr>
        <w:t>。</w:t>
      </w:r>
    </w:p>
    <w:p w14:paraId="763A54D1">
      <w:pPr>
        <w:spacing w:before="178" w:line="226" w:lineRule="auto"/>
        <w:ind w:left="287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0"/>
          <w:sz w:val="20"/>
          <w:szCs w:val="20"/>
        </w:rPr>
        <w:t xml:space="preserve"> </w:t>
      </w:r>
      <w:r>
        <w:rPr>
          <w:rFonts w:ascii="Times New Roman" w:hAnsi="Times New Roman" w:eastAsia="Times New Roman" w:cs="Times New Roman"/>
          <w:b/>
          <w:bCs/>
          <w:spacing w:val="5"/>
          <w:sz w:val="20"/>
          <w:szCs w:val="20"/>
        </w:rPr>
        <w:t xml:space="preserve">1.6-9      </w:t>
      </w:r>
      <w:r>
        <w:rPr>
          <w:rFonts w:ascii="宋体" w:hAnsi="宋体" w:eastAsia="宋体" w:cs="宋体"/>
          <w:b/>
          <w:bCs/>
          <w:spacing w:val="5"/>
          <w:sz w:val="20"/>
          <w:szCs w:val="20"/>
        </w:rPr>
        <w:t>环境风险评价工作等级划分</w:t>
      </w:r>
    </w:p>
    <w:p w14:paraId="0C2B7FA8">
      <w:pPr>
        <w:spacing w:line="133" w:lineRule="exact"/>
      </w:pPr>
    </w:p>
    <w:tbl>
      <w:tblPr>
        <w:tblStyle w:val="5"/>
        <w:tblW w:w="92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26"/>
        <w:gridCol w:w="2112"/>
        <w:gridCol w:w="2400"/>
        <w:gridCol w:w="1588"/>
        <w:gridCol w:w="1563"/>
      </w:tblGrid>
      <w:tr w14:paraId="37B70D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626" w:type="dxa"/>
            <w:tcBorders>
              <w:top w:val="single" w:color="000000" w:sz="10" w:space="0"/>
              <w:left w:val="nil"/>
            </w:tcBorders>
            <w:vAlign w:val="top"/>
          </w:tcPr>
          <w:p w14:paraId="0DAD9751">
            <w:pPr>
              <w:pStyle w:val="6"/>
              <w:spacing w:before="36" w:line="212" w:lineRule="auto"/>
              <w:ind w:left="191"/>
              <w:rPr>
                <w:sz w:val="20"/>
                <w:szCs w:val="20"/>
              </w:rPr>
            </w:pPr>
            <w:r>
              <w:rPr>
                <w:spacing w:val="8"/>
                <w:sz w:val="20"/>
                <w:szCs w:val="20"/>
              </w:rPr>
              <w:t>环境风险潜势</w:t>
            </w:r>
          </w:p>
        </w:tc>
        <w:tc>
          <w:tcPr>
            <w:tcW w:w="2112" w:type="dxa"/>
            <w:tcBorders>
              <w:top w:val="single" w:color="000000" w:sz="10" w:space="0"/>
            </w:tcBorders>
            <w:vAlign w:val="top"/>
          </w:tcPr>
          <w:p w14:paraId="6D8C1530">
            <w:pPr>
              <w:pStyle w:val="6"/>
              <w:spacing w:before="75" w:line="176" w:lineRule="auto"/>
              <w:ind w:left="6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Ⅳ</w:t>
            </w:r>
            <w:r>
              <w:rPr>
                <w:rFonts w:ascii="Times New Roman" w:hAnsi="Times New Roman" w:eastAsia="Times New Roman" w:cs="Times New Roman"/>
                <w:spacing w:val="-27"/>
                <w:sz w:val="20"/>
                <w:szCs w:val="20"/>
              </w:rPr>
              <w:t xml:space="preserve"> </w:t>
            </w:r>
            <w:r>
              <w:rPr>
                <w:spacing w:val="2"/>
                <w:sz w:val="20"/>
                <w:szCs w:val="20"/>
              </w:rPr>
              <w:t>、</w:t>
            </w:r>
            <w:r>
              <w:rPr>
                <w:rFonts w:ascii="Times New Roman" w:hAnsi="Times New Roman" w:eastAsia="Times New Roman" w:cs="Times New Roman"/>
                <w:spacing w:val="2"/>
                <w:sz w:val="20"/>
                <w:szCs w:val="20"/>
              </w:rPr>
              <w:t>Ⅳ+</w:t>
            </w:r>
          </w:p>
        </w:tc>
        <w:tc>
          <w:tcPr>
            <w:tcW w:w="2400" w:type="dxa"/>
            <w:tcBorders>
              <w:top w:val="single" w:color="000000" w:sz="10" w:space="0"/>
            </w:tcBorders>
            <w:vAlign w:val="top"/>
          </w:tcPr>
          <w:p w14:paraId="7B0662FF">
            <w:pPr>
              <w:spacing w:before="60" w:line="192" w:lineRule="auto"/>
              <w:ind w:left="110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Ⅲ</w:t>
            </w:r>
          </w:p>
        </w:tc>
        <w:tc>
          <w:tcPr>
            <w:tcW w:w="1588" w:type="dxa"/>
            <w:tcBorders>
              <w:top w:val="single" w:color="000000" w:sz="10" w:space="0"/>
            </w:tcBorders>
            <w:vAlign w:val="top"/>
          </w:tcPr>
          <w:p w14:paraId="07D14B5E">
            <w:pPr>
              <w:spacing w:before="60" w:line="192" w:lineRule="auto"/>
              <w:ind w:left="727"/>
              <w:rPr>
                <w:rFonts w:ascii="Times New Roman" w:hAnsi="Times New Roman" w:eastAsia="Times New Roman" w:cs="Times New Roman"/>
                <w:sz w:val="20"/>
                <w:szCs w:val="20"/>
              </w:rPr>
            </w:pPr>
            <w:r>
              <w:rPr>
                <w:rFonts w:ascii="Times New Roman" w:hAnsi="Times New Roman" w:eastAsia="Times New Roman" w:cs="Times New Roman"/>
                <w:sz w:val="20"/>
                <w:szCs w:val="20"/>
              </w:rPr>
              <w:t>Ⅱ</w:t>
            </w:r>
          </w:p>
        </w:tc>
        <w:tc>
          <w:tcPr>
            <w:tcW w:w="1563" w:type="dxa"/>
            <w:tcBorders>
              <w:top w:val="single" w:color="000000" w:sz="10" w:space="0"/>
              <w:right w:val="nil"/>
            </w:tcBorders>
            <w:vAlign w:val="top"/>
          </w:tcPr>
          <w:p w14:paraId="0E0308B1">
            <w:pPr>
              <w:spacing w:before="60" w:line="192" w:lineRule="auto"/>
              <w:ind w:left="747"/>
              <w:rPr>
                <w:rFonts w:ascii="Times New Roman" w:hAnsi="Times New Roman" w:eastAsia="Times New Roman" w:cs="Times New Roman"/>
                <w:sz w:val="20"/>
                <w:szCs w:val="20"/>
              </w:rPr>
            </w:pPr>
            <w:r>
              <w:rPr>
                <w:rFonts w:ascii="Times New Roman" w:hAnsi="Times New Roman" w:eastAsia="Times New Roman" w:cs="Times New Roman"/>
                <w:sz w:val="20"/>
                <w:szCs w:val="20"/>
              </w:rPr>
              <w:t>Ⅰ</w:t>
            </w:r>
          </w:p>
        </w:tc>
      </w:tr>
      <w:tr w14:paraId="110DFD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1626" w:type="dxa"/>
            <w:tcBorders>
              <w:left w:val="nil"/>
            </w:tcBorders>
            <w:vAlign w:val="top"/>
          </w:tcPr>
          <w:p w14:paraId="49D41FAB">
            <w:pPr>
              <w:pStyle w:val="6"/>
              <w:spacing w:before="31" w:line="214" w:lineRule="auto"/>
              <w:ind w:left="191"/>
              <w:rPr>
                <w:sz w:val="20"/>
                <w:szCs w:val="20"/>
              </w:rPr>
            </w:pPr>
            <w:r>
              <w:rPr>
                <w:spacing w:val="8"/>
                <w:sz w:val="20"/>
                <w:szCs w:val="20"/>
              </w:rPr>
              <w:t>评价工作等级</w:t>
            </w:r>
          </w:p>
        </w:tc>
        <w:tc>
          <w:tcPr>
            <w:tcW w:w="2112" w:type="dxa"/>
            <w:vAlign w:val="top"/>
          </w:tcPr>
          <w:p w14:paraId="6434DE47">
            <w:pPr>
              <w:pStyle w:val="6"/>
              <w:spacing w:before="109" w:line="153" w:lineRule="exact"/>
              <w:ind w:left="959"/>
              <w:rPr>
                <w:sz w:val="20"/>
                <w:szCs w:val="20"/>
              </w:rPr>
            </w:pPr>
            <w:r>
              <w:rPr>
                <w:position w:val="-4"/>
                <w:sz w:val="20"/>
                <w:szCs w:val="20"/>
              </w:rPr>
              <w:t>一</w:t>
            </w:r>
          </w:p>
        </w:tc>
        <w:tc>
          <w:tcPr>
            <w:tcW w:w="2400" w:type="dxa"/>
            <w:vAlign w:val="top"/>
          </w:tcPr>
          <w:p w14:paraId="6E9D9708">
            <w:pPr>
              <w:pStyle w:val="6"/>
              <w:spacing w:before="70" w:line="178" w:lineRule="auto"/>
              <w:ind w:left="1103"/>
              <w:rPr>
                <w:sz w:val="20"/>
                <w:szCs w:val="20"/>
              </w:rPr>
            </w:pPr>
            <w:r>
              <w:rPr>
                <w:sz w:val="20"/>
                <w:szCs w:val="20"/>
              </w:rPr>
              <w:t>二</w:t>
            </w:r>
          </w:p>
        </w:tc>
        <w:tc>
          <w:tcPr>
            <w:tcW w:w="1588" w:type="dxa"/>
            <w:vAlign w:val="top"/>
          </w:tcPr>
          <w:p w14:paraId="74B3CC6A">
            <w:pPr>
              <w:pStyle w:val="6"/>
              <w:spacing w:before="31" w:line="214" w:lineRule="auto"/>
              <w:ind w:left="694"/>
              <w:rPr>
                <w:sz w:val="20"/>
                <w:szCs w:val="20"/>
              </w:rPr>
            </w:pPr>
            <w:r>
              <w:rPr>
                <w:sz w:val="20"/>
                <w:szCs w:val="20"/>
              </w:rPr>
              <w:t>三</w:t>
            </w:r>
          </w:p>
        </w:tc>
        <w:tc>
          <w:tcPr>
            <w:tcW w:w="1563" w:type="dxa"/>
            <w:tcBorders>
              <w:right w:val="nil"/>
            </w:tcBorders>
            <w:vAlign w:val="top"/>
          </w:tcPr>
          <w:p w14:paraId="0BA8340D">
            <w:pPr>
              <w:pStyle w:val="6"/>
              <w:spacing w:before="31" w:line="214" w:lineRule="auto"/>
              <w:ind w:left="298"/>
              <w:rPr>
                <w:rFonts w:ascii="Times New Roman" w:hAnsi="Times New Roman" w:eastAsia="Times New Roman" w:cs="Times New Roman"/>
                <w:sz w:val="20"/>
                <w:szCs w:val="20"/>
              </w:rPr>
            </w:pPr>
            <w:r>
              <w:rPr>
                <w:spacing w:val="5"/>
                <w:sz w:val="20"/>
                <w:szCs w:val="20"/>
              </w:rPr>
              <w:t>简单分析</w:t>
            </w:r>
            <w:r>
              <w:rPr>
                <w:spacing w:val="-40"/>
                <w:sz w:val="20"/>
                <w:szCs w:val="20"/>
              </w:rPr>
              <w:t xml:space="preserve"> </w:t>
            </w:r>
            <w:r>
              <w:rPr>
                <w:rFonts w:ascii="Times New Roman" w:hAnsi="Times New Roman" w:eastAsia="Times New Roman" w:cs="Times New Roman"/>
                <w:spacing w:val="5"/>
                <w:sz w:val="20"/>
                <w:szCs w:val="20"/>
              </w:rPr>
              <w:t>a</w:t>
            </w:r>
          </w:p>
        </w:tc>
      </w:tr>
    </w:tbl>
    <w:p w14:paraId="0AE865DB">
      <w:pPr>
        <w:spacing w:before="31" w:line="237" w:lineRule="auto"/>
        <w:ind w:left="3497" w:right="109" w:hanging="3383"/>
        <w:rPr>
          <w:rFonts w:ascii="宋体" w:hAnsi="宋体" w:eastAsia="宋体" w:cs="宋体"/>
          <w:sz w:val="20"/>
          <w:szCs w:val="20"/>
        </w:rPr>
      </w:pPr>
      <w:r>
        <w:rPr>
          <w:rFonts w:ascii="Times New Roman" w:hAnsi="Times New Roman" w:eastAsia="Times New Roman" w:cs="Times New Roman"/>
          <w:spacing w:val="7"/>
          <w:sz w:val="20"/>
          <w:szCs w:val="20"/>
        </w:rPr>
        <w:t>a</w:t>
      </w:r>
      <w:r>
        <w:rPr>
          <w:rFonts w:ascii="Times New Roman" w:hAnsi="Times New Roman" w:eastAsia="Times New Roman" w:cs="Times New Roman"/>
          <w:spacing w:val="16"/>
          <w:w w:val="101"/>
          <w:sz w:val="20"/>
          <w:szCs w:val="20"/>
        </w:rPr>
        <w:t xml:space="preserve"> </w:t>
      </w:r>
      <w:r>
        <w:rPr>
          <w:rFonts w:ascii="宋体" w:hAnsi="宋体" w:eastAsia="宋体" w:cs="宋体"/>
          <w:spacing w:val="7"/>
          <w:sz w:val="20"/>
          <w:szCs w:val="20"/>
        </w:rPr>
        <w:t>是相对于详细评价工作内容而言，在描述危险物质、环境影响途径、环境危害后果、风险防范措施</w:t>
      </w:r>
      <w:r>
        <w:rPr>
          <w:rFonts w:ascii="宋体" w:hAnsi="宋体" w:eastAsia="宋体" w:cs="宋体"/>
          <w:sz w:val="20"/>
          <w:szCs w:val="20"/>
        </w:rPr>
        <w:t xml:space="preserve"> </w:t>
      </w:r>
      <w:r>
        <w:rPr>
          <w:rFonts w:ascii="宋体" w:hAnsi="宋体" w:eastAsia="宋体" w:cs="宋体"/>
          <w:spacing w:val="7"/>
          <w:sz w:val="20"/>
          <w:szCs w:val="20"/>
        </w:rPr>
        <w:t>等方面给出定性的说明。</w:t>
      </w:r>
    </w:p>
    <w:p w14:paraId="08555CBF">
      <w:pPr>
        <w:spacing w:line="28" w:lineRule="exact"/>
      </w:pPr>
      <w:r>
        <w:pict>
          <v:shape id="_x0000_s1068" o:spid="_x0000_s1068" style="height:1.45pt;width:464.5pt;" filled="f" stroked="t" coordsize="9290,29" path="m0,14l9289,14e">
            <v:fill on="f" focussize="0,0"/>
            <v:stroke weight="1.44pt" color="#000000" miterlimit="2" joinstyle="bevel"/>
            <v:imagedata o:title=""/>
            <o:lock v:ext="edit"/>
            <w10:wrap type="none"/>
            <w10:anchorlock/>
          </v:shape>
        </w:pict>
      </w:r>
    </w:p>
    <w:p w14:paraId="0DC06700">
      <w:pPr>
        <w:spacing w:before="37" w:line="350" w:lineRule="auto"/>
        <w:ind w:left="118" w:right="46" w:firstLine="480"/>
        <w:jc w:val="both"/>
        <w:rPr>
          <w:rFonts w:ascii="宋体" w:hAnsi="宋体" w:eastAsia="宋体" w:cs="宋体"/>
          <w:sz w:val="24"/>
          <w:szCs w:val="24"/>
        </w:rPr>
      </w:pPr>
      <w:r>
        <w:rPr>
          <w:rFonts w:ascii="宋体" w:hAnsi="宋体" w:eastAsia="宋体" w:cs="宋体"/>
          <w:spacing w:val="-3"/>
          <w:sz w:val="24"/>
          <w:szCs w:val="24"/>
        </w:rPr>
        <w:t>依据</w:t>
      </w:r>
      <w:r>
        <w:rPr>
          <w:rFonts w:ascii="Times New Roman" w:hAnsi="Times New Roman" w:eastAsia="Times New Roman" w:cs="Times New Roman"/>
          <w:spacing w:val="-3"/>
          <w:sz w:val="24"/>
          <w:szCs w:val="24"/>
        </w:rPr>
        <w:t>“5.2.1</w:t>
      </w:r>
      <w:r>
        <w:rPr>
          <w:rFonts w:ascii="Times New Roman" w:hAnsi="Times New Roman" w:eastAsia="Times New Roman" w:cs="Times New Roman"/>
          <w:spacing w:val="17"/>
          <w:w w:val="101"/>
          <w:sz w:val="24"/>
          <w:szCs w:val="24"/>
        </w:rPr>
        <w:t xml:space="preserve"> </w:t>
      </w:r>
      <w:r>
        <w:rPr>
          <w:rFonts w:ascii="宋体" w:hAnsi="宋体" w:eastAsia="宋体" w:cs="宋体"/>
          <w:spacing w:val="-3"/>
          <w:sz w:val="24"/>
          <w:szCs w:val="24"/>
        </w:rPr>
        <w:t>章节环境风险潜势初判</w:t>
      </w:r>
      <w:r>
        <w:rPr>
          <w:rFonts w:ascii="Times New Roman" w:hAnsi="Times New Roman" w:eastAsia="Times New Roman" w:cs="Times New Roman"/>
          <w:spacing w:val="-3"/>
          <w:sz w:val="24"/>
          <w:szCs w:val="24"/>
        </w:rPr>
        <w:t>”</w:t>
      </w:r>
      <w:r>
        <w:rPr>
          <w:rFonts w:ascii="宋体" w:hAnsi="宋体" w:eastAsia="宋体" w:cs="宋体"/>
          <w:spacing w:val="-3"/>
          <w:sz w:val="24"/>
          <w:szCs w:val="24"/>
        </w:rPr>
        <w:t>，本项目危险物质及工艺系统危险性级别为</w:t>
      </w:r>
      <w:r>
        <w:rPr>
          <w:rFonts w:ascii="宋体" w:hAnsi="宋体" w:eastAsia="宋体" w:cs="宋体"/>
          <w:spacing w:val="-56"/>
          <w:sz w:val="24"/>
          <w:szCs w:val="24"/>
        </w:rPr>
        <w:t xml:space="preserve"> </w:t>
      </w:r>
      <w:r>
        <w:rPr>
          <w:rFonts w:ascii="Times New Roman" w:hAnsi="Times New Roman" w:eastAsia="Times New Roman" w:cs="Times New Roman"/>
          <w:spacing w:val="-3"/>
          <w:sz w:val="24"/>
          <w:szCs w:val="24"/>
        </w:rPr>
        <w:t>P</w:t>
      </w:r>
      <w:r>
        <w:rPr>
          <w:rFonts w:ascii="Times New Roman" w:hAnsi="Times New Roman" w:eastAsia="Times New Roman" w:cs="Times New Roman"/>
          <w:spacing w:val="-4"/>
          <w:sz w:val="24"/>
          <w:szCs w:val="24"/>
        </w:rPr>
        <w:t>2</w:t>
      </w:r>
      <w:r>
        <w:rPr>
          <w:rFonts w:ascii="宋体" w:hAnsi="宋体" w:eastAsia="宋体" w:cs="宋体"/>
          <w:spacing w:val="-4"/>
          <w:sz w:val="24"/>
          <w:szCs w:val="24"/>
        </w:rPr>
        <w:t>，</w:t>
      </w:r>
      <w:r>
        <w:rPr>
          <w:rFonts w:ascii="宋体" w:hAnsi="宋体" w:eastAsia="宋体" w:cs="宋体"/>
          <w:sz w:val="24"/>
          <w:szCs w:val="24"/>
        </w:rPr>
        <w:t xml:space="preserve"> </w:t>
      </w:r>
      <w:r>
        <w:rPr>
          <w:rFonts w:ascii="宋体" w:hAnsi="宋体" w:eastAsia="宋体" w:cs="宋体"/>
          <w:spacing w:val="-2"/>
          <w:sz w:val="24"/>
          <w:szCs w:val="24"/>
        </w:rPr>
        <w:t>大气环境敏感程度为</w:t>
      </w:r>
      <w:r>
        <w:rPr>
          <w:rFonts w:ascii="宋体" w:hAnsi="宋体" w:eastAsia="宋体" w:cs="宋体"/>
          <w:spacing w:val="-42"/>
          <w:sz w:val="24"/>
          <w:szCs w:val="24"/>
        </w:rPr>
        <w:t xml:space="preserve"> </w:t>
      </w:r>
      <w:r>
        <w:rPr>
          <w:rFonts w:ascii="Times New Roman" w:hAnsi="Times New Roman" w:eastAsia="Times New Roman" w:cs="Times New Roman"/>
          <w:spacing w:val="-2"/>
          <w:sz w:val="24"/>
          <w:szCs w:val="24"/>
        </w:rPr>
        <w:t>E3</w:t>
      </w:r>
      <w:r>
        <w:rPr>
          <w:rFonts w:ascii="Times New Roman" w:hAnsi="Times New Roman" w:eastAsia="Times New Roman" w:cs="Times New Roman"/>
          <w:spacing w:val="-28"/>
          <w:sz w:val="24"/>
          <w:szCs w:val="24"/>
        </w:rPr>
        <w:t xml:space="preserve"> </w:t>
      </w:r>
      <w:r>
        <w:rPr>
          <w:rFonts w:ascii="宋体" w:hAnsi="宋体" w:eastAsia="宋体" w:cs="宋体"/>
          <w:spacing w:val="-2"/>
          <w:sz w:val="24"/>
          <w:szCs w:val="24"/>
        </w:rPr>
        <w:t>，地下水环境敏感程度为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E1</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，因此，本项目大气环境风险潜势</w:t>
      </w:r>
      <w:r>
        <w:rPr>
          <w:rFonts w:ascii="宋体" w:hAnsi="宋体" w:eastAsia="宋体" w:cs="宋体"/>
          <w:sz w:val="24"/>
          <w:szCs w:val="24"/>
        </w:rPr>
        <w:t xml:space="preserve"> </w:t>
      </w:r>
      <w:r>
        <w:rPr>
          <w:rFonts w:ascii="宋体" w:hAnsi="宋体" w:eastAsia="宋体" w:cs="宋体"/>
          <w:spacing w:val="-1"/>
          <w:sz w:val="24"/>
          <w:szCs w:val="24"/>
        </w:rPr>
        <w:t>等级为</w:t>
      </w:r>
      <w:r>
        <w:rPr>
          <w:rFonts w:ascii="Times New Roman" w:hAnsi="Times New Roman" w:eastAsia="Times New Roman" w:cs="Times New Roman"/>
          <w:spacing w:val="-1"/>
          <w:sz w:val="24"/>
          <w:szCs w:val="24"/>
        </w:rPr>
        <w:t>Ⅲ</w:t>
      </w:r>
      <w:r>
        <w:rPr>
          <w:rFonts w:ascii="宋体" w:hAnsi="宋体" w:eastAsia="宋体" w:cs="宋体"/>
          <w:spacing w:val="-1"/>
          <w:sz w:val="24"/>
          <w:szCs w:val="24"/>
        </w:rPr>
        <w:t>级，地下水环境风险潜势等级为</w:t>
      </w:r>
      <w:r>
        <w:rPr>
          <w:rFonts w:ascii="Times New Roman" w:hAnsi="Times New Roman" w:eastAsia="Times New Roman" w:cs="Times New Roman"/>
          <w:spacing w:val="-1"/>
          <w:sz w:val="24"/>
          <w:szCs w:val="24"/>
        </w:rPr>
        <w:t>Ⅳ</w:t>
      </w:r>
      <w:r>
        <w:rPr>
          <w:rFonts w:ascii="宋体" w:hAnsi="宋体" w:eastAsia="宋体" w:cs="宋体"/>
          <w:spacing w:val="-1"/>
          <w:sz w:val="24"/>
          <w:szCs w:val="24"/>
        </w:rPr>
        <w:t>级。</w:t>
      </w:r>
    </w:p>
    <w:p w14:paraId="24ECF550">
      <w:pPr>
        <w:spacing w:before="36" w:line="218" w:lineRule="auto"/>
        <w:ind w:left="596"/>
        <w:rPr>
          <w:rFonts w:ascii="宋体" w:hAnsi="宋体" w:eastAsia="宋体" w:cs="宋体"/>
          <w:sz w:val="24"/>
          <w:szCs w:val="24"/>
        </w:rPr>
      </w:pPr>
      <w:r>
        <w:rPr>
          <w:rFonts w:ascii="宋体" w:hAnsi="宋体" w:eastAsia="宋体" w:cs="宋体"/>
          <w:spacing w:val="-1"/>
          <w:sz w:val="24"/>
          <w:szCs w:val="24"/>
        </w:rPr>
        <w:t>根据环境风险潜势初判的结果确定本项目的环境风险评价工作等级，见表</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1.6-10</w:t>
      </w:r>
      <w:r>
        <w:rPr>
          <w:rFonts w:ascii="宋体" w:hAnsi="宋体" w:eastAsia="宋体" w:cs="宋体"/>
          <w:spacing w:val="-1"/>
          <w:sz w:val="24"/>
          <w:szCs w:val="24"/>
        </w:rPr>
        <w:t>。</w:t>
      </w:r>
    </w:p>
    <w:p w14:paraId="396B2565">
      <w:pPr>
        <w:spacing w:before="178" w:line="226" w:lineRule="auto"/>
        <w:ind w:left="2562"/>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6"/>
          <w:sz w:val="20"/>
          <w:szCs w:val="20"/>
        </w:rPr>
        <w:t xml:space="preserve"> </w:t>
      </w:r>
      <w:r>
        <w:rPr>
          <w:rFonts w:ascii="Times New Roman" w:hAnsi="Times New Roman" w:eastAsia="Times New Roman" w:cs="Times New Roman"/>
          <w:b/>
          <w:bCs/>
          <w:spacing w:val="5"/>
          <w:sz w:val="20"/>
          <w:szCs w:val="20"/>
        </w:rPr>
        <w:t xml:space="preserve">1.6-10        </w:t>
      </w:r>
      <w:r>
        <w:rPr>
          <w:rFonts w:ascii="宋体" w:hAnsi="宋体" w:eastAsia="宋体" w:cs="宋体"/>
          <w:b/>
          <w:bCs/>
          <w:spacing w:val="5"/>
          <w:sz w:val="20"/>
          <w:szCs w:val="20"/>
        </w:rPr>
        <w:t>本项目环境风险评价工作等级表</w:t>
      </w:r>
    </w:p>
    <w:p w14:paraId="3B4C21EC">
      <w:pPr>
        <w:spacing w:line="134" w:lineRule="exact"/>
      </w:pPr>
    </w:p>
    <w:tbl>
      <w:tblPr>
        <w:tblStyle w:val="5"/>
        <w:tblW w:w="928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83"/>
        <w:gridCol w:w="1986"/>
        <w:gridCol w:w="1561"/>
        <w:gridCol w:w="4358"/>
      </w:tblGrid>
      <w:tr w14:paraId="1A3C65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383" w:type="dxa"/>
            <w:tcBorders>
              <w:top w:val="single" w:color="000000" w:sz="10" w:space="0"/>
              <w:left w:val="nil"/>
            </w:tcBorders>
            <w:vAlign w:val="top"/>
          </w:tcPr>
          <w:p w14:paraId="090A414E">
            <w:pPr>
              <w:pStyle w:val="6"/>
              <w:spacing w:before="35" w:line="215" w:lineRule="auto"/>
              <w:ind w:left="278"/>
              <w:rPr>
                <w:sz w:val="20"/>
                <w:szCs w:val="20"/>
              </w:rPr>
            </w:pPr>
            <w:r>
              <w:rPr>
                <w:spacing w:val="7"/>
                <w:sz w:val="20"/>
                <w:szCs w:val="20"/>
              </w:rPr>
              <w:t>环境要素</w:t>
            </w:r>
          </w:p>
        </w:tc>
        <w:tc>
          <w:tcPr>
            <w:tcW w:w="1986" w:type="dxa"/>
            <w:tcBorders>
              <w:top w:val="single" w:color="000000" w:sz="10" w:space="0"/>
            </w:tcBorders>
            <w:vAlign w:val="top"/>
          </w:tcPr>
          <w:p w14:paraId="645AAA14">
            <w:pPr>
              <w:pStyle w:val="6"/>
              <w:spacing w:before="35" w:line="215" w:lineRule="auto"/>
              <w:ind w:left="157"/>
              <w:rPr>
                <w:sz w:val="20"/>
                <w:szCs w:val="20"/>
              </w:rPr>
            </w:pPr>
            <w:r>
              <w:rPr>
                <w:spacing w:val="8"/>
                <w:sz w:val="20"/>
                <w:szCs w:val="20"/>
              </w:rPr>
              <w:t>环境风险潜势划分</w:t>
            </w:r>
          </w:p>
        </w:tc>
        <w:tc>
          <w:tcPr>
            <w:tcW w:w="1561" w:type="dxa"/>
            <w:tcBorders>
              <w:top w:val="single" w:color="000000" w:sz="10" w:space="0"/>
            </w:tcBorders>
            <w:vAlign w:val="top"/>
          </w:tcPr>
          <w:p w14:paraId="60118C02">
            <w:pPr>
              <w:pStyle w:val="6"/>
              <w:spacing w:before="35" w:line="215" w:lineRule="auto"/>
              <w:ind w:left="155"/>
              <w:rPr>
                <w:sz w:val="20"/>
                <w:szCs w:val="20"/>
              </w:rPr>
            </w:pPr>
            <w:r>
              <w:rPr>
                <w:spacing w:val="8"/>
                <w:sz w:val="20"/>
                <w:szCs w:val="20"/>
              </w:rPr>
              <w:t>评价等级确定</w:t>
            </w:r>
          </w:p>
        </w:tc>
        <w:tc>
          <w:tcPr>
            <w:tcW w:w="4358" w:type="dxa"/>
            <w:tcBorders>
              <w:top w:val="single" w:color="000000" w:sz="10" w:space="0"/>
              <w:right w:val="nil"/>
            </w:tcBorders>
            <w:vAlign w:val="top"/>
          </w:tcPr>
          <w:p w14:paraId="2796EAA6">
            <w:pPr>
              <w:pStyle w:val="6"/>
              <w:spacing w:before="35" w:line="215" w:lineRule="auto"/>
              <w:ind w:left="1764"/>
              <w:rPr>
                <w:sz w:val="20"/>
                <w:szCs w:val="20"/>
              </w:rPr>
            </w:pPr>
            <w:r>
              <w:rPr>
                <w:spacing w:val="7"/>
                <w:sz w:val="20"/>
                <w:szCs w:val="20"/>
              </w:rPr>
              <w:t>评价范围</w:t>
            </w:r>
          </w:p>
        </w:tc>
      </w:tr>
      <w:tr w14:paraId="17E0F3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 w:hRule="atLeast"/>
        </w:trPr>
        <w:tc>
          <w:tcPr>
            <w:tcW w:w="1383" w:type="dxa"/>
            <w:tcBorders>
              <w:left w:val="nil"/>
            </w:tcBorders>
            <w:vAlign w:val="top"/>
          </w:tcPr>
          <w:p w14:paraId="188622F6">
            <w:pPr>
              <w:pStyle w:val="6"/>
              <w:spacing w:before="35" w:line="211" w:lineRule="auto"/>
              <w:ind w:left="492"/>
              <w:rPr>
                <w:sz w:val="20"/>
                <w:szCs w:val="20"/>
              </w:rPr>
            </w:pPr>
            <w:r>
              <w:rPr>
                <w:spacing w:val="3"/>
                <w:sz w:val="20"/>
                <w:szCs w:val="20"/>
              </w:rPr>
              <w:t>大气</w:t>
            </w:r>
          </w:p>
        </w:tc>
        <w:tc>
          <w:tcPr>
            <w:tcW w:w="1986" w:type="dxa"/>
            <w:vAlign w:val="top"/>
          </w:tcPr>
          <w:p w14:paraId="57F02EDC">
            <w:pPr>
              <w:spacing w:before="73" w:line="192" w:lineRule="auto"/>
              <w:ind w:left="89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Ⅲ</w:t>
            </w:r>
          </w:p>
        </w:tc>
        <w:tc>
          <w:tcPr>
            <w:tcW w:w="1561" w:type="dxa"/>
            <w:vAlign w:val="top"/>
          </w:tcPr>
          <w:p w14:paraId="49B74BEB">
            <w:pPr>
              <w:pStyle w:val="6"/>
              <w:spacing w:before="35" w:line="211" w:lineRule="auto"/>
              <w:ind w:left="579"/>
              <w:rPr>
                <w:sz w:val="20"/>
                <w:szCs w:val="20"/>
              </w:rPr>
            </w:pPr>
            <w:r>
              <w:rPr>
                <w:spacing w:val="3"/>
                <w:sz w:val="20"/>
                <w:szCs w:val="20"/>
              </w:rPr>
              <w:t>二级</w:t>
            </w:r>
          </w:p>
        </w:tc>
        <w:tc>
          <w:tcPr>
            <w:tcW w:w="4358" w:type="dxa"/>
            <w:tcBorders>
              <w:right w:val="nil"/>
            </w:tcBorders>
            <w:vAlign w:val="top"/>
          </w:tcPr>
          <w:p w14:paraId="56D2BF11">
            <w:pPr>
              <w:pStyle w:val="6"/>
              <w:spacing w:before="35" w:line="211" w:lineRule="auto"/>
              <w:ind w:left="315"/>
              <w:rPr>
                <w:rFonts w:ascii="Times New Roman" w:hAnsi="Times New Roman" w:eastAsia="Times New Roman" w:cs="Times New Roman"/>
                <w:sz w:val="20"/>
                <w:szCs w:val="20"/>
              </w:rPr>
            </w:pPr>
            <w:r>
              <w:rPr>
                <w:spacing w:val="4"/>
                <w:sz w:val="20"/>
                <w:szCs w:val="20"/>
              </w:rPr>
              <w:t>以项目厂址为中心区域，</w:t>
            </w:r>
            <w:r>
              <w:rPr>
                <w:spacing w:val="-38"/>
                <w:sz w:val="20"/>
                <w:szCs w:val="20"/>
              </w:rPr>
              <w:t xml:space="preserve"> </w:t>
            </w:r>
            <w:r>
              <w:rPr>
                <w:spacing w:val="4"/>
                <w:sz w:val="20"/>
                <w:szCs w:val="20"/>
              </w:rPr>
              <w:t>自厂界外扩</w:t>
            </w:r>
            <w:r>
              <w:rPr>
                <w:spacing w:val="-35"/>
                <w:sz w:val="20"/>
                <w:szCs w:val="20"/>
              </w:rPr>
              <w:t xml:space="preserve"> </w:t>
            </w:r>
            <w:r>
              <w:rPr>
                <w:rFonts w:ascii="Times New Roman" w:hAnsi="Times New Roman" w:eastAsia="Times New Roman" w:cs="Times New Roman"/>
                <w:spacing w:val="4"/>
                <w:sz w:val="20"/>
                <w:szCs w:val="20"/>
              </w:rPr>
              <w:t>5</w:t>
            </w:r>
            <w:r>
              <w:rPr>
                <w:rFonts w:ascii="Times New Roman" w:hAnsi="Times New Roman" w:eastAsia="Times New Roman" w:cs="Times New Roman"/>
                <w:sz w:val="20"/>
                <w:szCs w:val="20"/>
              </w:rPr>
              <w:t>km</w:t>
            </w:r>
          </w:p>
        </w:tc>
      </w:tr>
      <w:tr w14:paraId="14AABA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52" w:hRule="atLeast"/>
        </w:trPr>
        <w:tc>
          <w:tcPr>
            <w:tcW w:w="1383" w:type="dxa"/>
            <w:tcBorders>
              <w:left w:val="nil"/>
            </w:tcBorders>
            <w:vAlign w:val="top"/>
          </w:tcPr>
          <w:p w14:paraId="516037F0">
            <w:pPr>
              <w:spacing w:line="256" w:lineRule="auto"/>
              <w:rPr>
                <w:rFonts w:ascii="Arial"/>
                <w:sz w:val="21"/>
              </w:rPr>
            </w:pPr>
          </w:p>
          <w:p w14:paraId="58F503DC">
            <w:pPr>
              <w:spacing w:line="257" w:lineRule="auto"/>
              <w:rPr>
                <w:rFonts w:ascii="Arial"/>
                <w:sz w:val="21"/>
              </w:rPr>
            </w:pPr>
          </w:p>
          <w:p w14:paraId="44D7792D">
            <w:pPr>
              <w:pStyle w:val="6"/>
              <w:spacing w:before="65" w:line="228" w:lineRule="auto"/>
              <w:ind w:left="383"/>
              <w:rPr>
                <w:sz w:val="20"/>
                <w:szCs w:val="20"/>
              </w:rPr>
            </w:pPr>
            <w:r>
              <w:rPr>
                <w:spacing w:val="6"/>
                <w:sz w:val="20"/>
                <w:szCs w:val="20"/>
              </w:rPr>
              <w:t>地下水</w:t>
            </w:r>
          </w:p>
        </w:tc>
        <w:tc>
          <w:tcPr>
            <w:tcW w:w="1986" w:type="dxa"/>
            <w:vAlign w:val="top"/>
          </w:tcPr>
          <w:p w14:paraId="779ECAFD">
            <w:pPr>
              <w:spacing w:line="279" w:lineRule="auto"/>
              <w:rPr>
                <w:rFonts w:ascii="Arial"/>
                <w:sz w:val="21"/>
              </w:rPr>
            </w:pPr>
          </w:p>
          <w:p w14:paraId="4E63BC8F">
            <w:pPr>
              <w:spacing w:line="280" w:lineRule="auto"/>
              <w:rPr>
                <w:rFonts w:ascii="Arial"/>
                <w:sz w:val="21"/>
              </w:rPr>
            </w:pPr>
          </w:p>
          <w:p w14:paraId="779AD6CB">
            <w:pPr>
              <w:spacing w:before="57" w:line="192" w:lineRule="auto"/>
              <w:ind w:left="88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Ⅳ</w:t>
            </w:r>
          </w:p>
        </w:tc>
        <w:tc>
          <w:tcPr>
            <w:tcW w:w="1561" w:type="dxa"/>
            <w:vAlign w:val="top"/>
          </w:tcPr>
          <w:p w14:paraId="2EDA01EE">
            <w:pPr>
              <w:spacing w:line="256" w:lineRule="auto"/>
              <w:rPr>
                <w:rFonts w:ascii="Arial"/>
                <w:sz w:val="21"/>
              </w:rPr>
            </w:pPr>
          </w:p>
          <w:p w14:paraId="5ACD8BF3">
            <w:pPr>
              <w:spacing w:line="257" w:lineRule="auto"/>
              <w:rPr>
                <w:rFonts w:ascii="Arial"/>
                <w:sz w:val="21"/>
              </w:rPr>
            </w:pPr>
          </w:p>
          <w:p w14:paraId="2AA9B0C6">
            <w:pPr>
              <w:pStyle w:val="6"/>
              <w:spacing w:before="65" w:line="230" w:lineRule="auto"/>
              <w:ind w:left="579"/>
              <w:rPr>
                <w:sz w:val="20"/>
                <w:szCs w:val="20"/>
              </w:rPr>
            </w:pPr>
            <w:r>
              <w:rPr>
                <w:spacing w:val="3"/>
                <w:sz w:val="20"/>
                <w:szCs w:val="20"/>
              </w:rPr>
              <w:t>一级</w:t>
            </w:r>
          </w:p>
        </w:tc>
        <w:tc>
          <w:tcPr>
            <w:tcW w:w="4358" w:type="dxa"/>
            <w:tcBorders>
              <w:right w:val="nil"/>
            </w:tcBorders>
            <w:vAlign w:val="top"/>
          </w:tcPr>
          <w:p w14:paraId="0569D270">
            <w:pPr>
              <w:pStyle w:val="6"/>
              <w:spacing w:before="36" w:line="241" w:lineRule="auto"/>
              <w:ind w:left="117" w:right="102"/>
              <w:jc w:val="both"/>
              <w:rPr>
                <w:sz w:val="20"/>
                <w:szCs w:val="20"/>
              </w:rPr>
            </w:pPr>
            <w:r>
              <w:rPr>
                <w:spacing w:val="6"/>
                <w:sz w:val="20"/>
                <w:szCs w:val="20"/>
              </w:rPr>
              <w:t>项目选址区域地下水流向为由西北至东南，地</w:t>
            </w:r>
            <w:r>
              <w:rPr>
                <w:spacing w:val="7"/>
                <w:sz w:val="20"/>
                <w:szCs w:val="20"/>
              </w:rPr>
              <w:t xml:space="preserve"> </w:t>
            </w:r>
            <w:r>
              <w:rPr>
                <w:spacing w:val="6"/>
                <w:sz w:val="20"/>
                <w:szCs w:val="20"/>
              </w:rPr>
              <w:t>下水评价范围为南侧以等水位线为界；西侧以</w:t>
            </w:r>
            <w:r>
              <w:rPr>
                <w:spacing w:val="7"/>
                <w:sz w:val="20"/>
                <w:szCs w:val="20"/>
              </w:rPr>
              <w:t xml:space="preserve"> </w:t>
            </w:r>
            <w:r>
              <w:rPr>
                <w:spacing w:val="6"/>
                <w:sz w:val="20"/>
                <w:szCs w:val="20"/>
              </w:rPr>
              <w:t>西侧山脊分水岭为界，东侧山脊分水岭为界，</w:t>
            </w:r>
            <w:r>
              <w:rPr>
                <w:spacing w:val="14"/>
                <w:sz w:val="20"/>
                <w:szCs w:val="20"/>
              </w:rPr>
              <w:t xml:space="preserve"> </w:t>
            </w:r>
            <w:r>
              <w:rPr>
                <w:spacing w:val="6"/>
                <w:sz w:val="20"/>
                <w:szCs w:val="20"/>
              </w:rPr>
              <w:t>北侧以垂直等水位线的流线为界，划定评价范</w:t>
            </w:r>
            <w:r>
              <w:rPr>
                <w:spacing w:val="7"/>
                <w:sz w:val="20"/>
                <w:szCs w:val="20"/>
              </w:rPr>
              <w:t xml:space="preserve"> </w:t>
            </w:r>
            <w:r>
              <w:rPr>
                <w:spacing w:val="8"/>
                <w:sz w:val="20"/>
                <w:szCs w:val="20"/>
              </w:rPr>
              <w:t>围为</w:t>
            </w:r>
            <w:r>
              <w:rPr>
                <w:spacing w:val="-31"/>
                <w:sz w:val="20"/>
                <w:szCs w:val="20"/>
              </w:rPr>
              <w:t xml:space="preserve"> </w:t>
            </w:r>
            <w:r>
              <w:rPr>
                <w:rFonts w:ascii="Times New Roman" w:hAnsi="Times New Roman" w:eastAsia="Times New Roman" w:cs="Times New Roman"/>
                <w:spacing w:val="8"/>
                <w:sz w:val="20"/>
                <w:szCs w:val="20"/>
              </w:rPr>
              <w:t>56.96</w:t>
            </w:r>
            <w:r>
              <w:rPr>
                <w:rFonts w:ascii="Times New Roman" w:hAnsi="Times New Roman" w:eastAsia="Times New Roman" w:cs="Times New Roman"/>
                <w:sz w:val="20"/>
                <w:szCs w:val="20"/>
              </w:rPr>
              <w:t>km</w:t>
            </w:r>
            <w:r>
              <w:rPr>
                <w:rFonts w:ascii="Times New Roman" w:hAnsi="Times New Roman" w:eastAsia="Times New Roman" w:cs="Times New Roman"/>
                <w:spacing w:val="8"/>
                <w:position w:val="6"/>
                <w:sz w:val="13"/>
                <w:szCs w:val="13"/>
              </w:rPr>
              <w:t>2</w:t>
            </w:r>
            <w:r>
              <w:rPr>
                <w:rFonts w:ascii="Times New Roman" w:hAnsi="Times New Roman" w:eastAsia="Times New Roman" w:cs="Times New Roman"/>
                <w:spacing w:val="28"/>
                <w:w w:val="101"/>
                <w:position w:val="6"/>
                <w:sz w:val="13"/>
                <w:szCs w:val="13"/>
              </w:rPr>
              <w:t xml:space="preserve"> </w:t>
            </w:r>
            <w:r>
              <w:rPr>
                <w:spacing w:val="8"/>
                <w:sz w:val="20"/>
                <w:szCs w:val="20"/>
              </w:rPr>
              <w:t>的浅层地下水点为评价范围。</w:t>
            </w:r>
          </w:p>
        </w:tc>
      </w:tr>
      <w:tr w14:paraId="744E80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7" w:hRule="atLeast"/>
        </w:trPr>
        <w:tc>
          <w:tcPr>
            <w:tcW w:w="1383" w:type="dxa"/>
            <w:tcBorders>
              <w:left w:val="nil"/>
              <w:bottom w:val="single" w:color="000000" w:sz="10" w:space="0"/>
            </w:tcBorders>
            <w:vAlign w:val="top"/>
          </w:tcPr>
          <w:p w14:paraId="6FD56305">
            <w:pPr>
              <w:pStyle w:val="6"/>
              <w:spacing w:before="53" w:line="216" w:lineRule="auto"/>
              <w:ind w:left="280"/>
              <w:rPr>
                <w:sz w:val="20"/>
                <w:szCs w:val="20"/>
              </w:rPr>
            </w:pPr>
            <w:r>
              <w:rPr>
                <w:spacing w:val="6"/>
                <w:sz w:val="20"/>
                <w:szCs w:val="20"/>
              </w:rPr>
              <w:t>建设项目</w:t>
            </w:r>
          </w:p>
        </w:tc>
        <w:tc>
          <w:tcPr>
            <w:tcW w:w="1986" w:type="dxa"/>
            <w:tcBorders>
              <w:bottom w:val="single" w:color="000000" w:sz="10" w:space="0"/>
            </w:tcBorders>
            <w:vAlign w:val="top"/>
          </w:tcPr>
          <w:p w14:paraId="16716F4C">
            <w:pPr>
              <w:spacing w:before="91" w:line="192" w:lineRule="auto"/>
              <w:ind w:left="88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Ⅳ</w:t>
            </w:r>
          </w:p>
        </w:tc>
        <w:tc>
          <w:tcPr>
            <w:tcW w:w="1561" w:type="dxa"/>
            <w:tcBorders>
              <w:bottom w:val="single" w:color="000000" w:sz="10" w:space="0"/>
            </w:tcBorders>
            <w:vAlign w:val="top"/>
          </w:tcPr>
          <w:p w14:paraId="40789BE9">
            <w:pPr>
              <w:pStyle w:val="6"/>
              <w:spacing w:before="53" w:line="216" w:lineRule="auto"/>
              <w:ind w:left="579"/>
              <w:rPr>
                <w:sz w:val="20"/>
                <w:szCs w:val="20"/>
              </w:rPr>
            </w:pPr>
            <w:r>
              <w:rPr>
                <w:spacing w:val="3"/>
                <w:sz w:val="20"/>
                <w:szCs w:val="20"/>
              </w:rPr>
              <w:t>一级</w:t>
            </w:r>
          </w:p>
        </w:tc>
        <w:tc>
          <w:tcPr>
            <w:tcW w:w="4358" w:type="dxa"/>
            <w:tcBorders>
              <w:bottom w:val="single" w:color="000000" w:sz="10" w:space="0"/>
              <w:right w:val="nil"/>
            </w:tcBorders>
            <w:vAlign w:val="top"/>
          </w:tcPr>
          <w:p w14:paraId="71BE00C0">
            <w:pPr>
              <w:spacing w:before="176" w:line="97" w:lineRule="exact"/>
              <w:ind w:left="2150"/>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r>
    </w:tbl>
    <w:p w14:paraId="7687286F">
      <w:pPr>
        <w:spacing w:before="37" w:line="346" w:lineRule="auto"/>
        <w:ind w:left="118" w:right="101" w:firstLine="507"/>
        <w:rPr>
          <w:rFonts w:ascii="宋体" w:hAnsi="宋体" w:eastAsia="宋体" w:cs="宋体"/>
          <w:sz w:val="24"/>
          <w:szCs w:val="24"/>
        </w:rPr>
      </w:pPr>
      <w:r>
        <w:rPr>
          <w:rFonts w:ascii="宋体" w:hAnsi="宋体" w:eastAsia="宋体" w:cs="宋体"/>
          <w:spacing w:val="-4"/>
          <w:sz w:val="24"/>
          <w:szCs w:val="24"/>
        </w:rPr>
        <w:t>由表</w:t>
      </w:r>
      <w:r>
        <w:rPr>
          <w:rFonts w:ascii="宋体" w:hAnsi="宋体" w:eastAsia="宋体" w:cs="宋体"/>
          <w:spacing w:val="-18"/>
          <w:sz w:val="24"/>
          <w:szCs w:val="24"/>
        </w:rPr>
        <w:t xml:space="preserve"> </w:t>
      </w:r>
      <w:r>
        <w:rPr>
          <w:rFonts w:ascii="Times New Roman" w:hAnsi="Times New Roman" w:eastAsia="Times New Roman" w:cs="Times New Roman"/>
          <w:spacing w:val="-4"/>
          <w:sz w:val="24"/>
          <w:szCs w:val="24"/>
        </w:rPr>
        <w:t xml:space="preserve">1.6-10 </w:t>
      </w:r>
      <w:r>
        <w:rPr>
          <w:rFonts w:ascii="宋体" w:hAnsi="宋体" w:eastAsia="宋体" w:cs="宋体"/>
          <w:spacing w:val="-4"/>
          <w:sz w:val="24"/>
          <w:szCs w:val="24"/>
        </w:rPr>
        <w:t>可知，本项目环境风险潜势综合等级为</w:t>
      </w:r>
      <w:r>
        <w:rPr>
          <w:rFonts w:ascii="Times New Roman" w:hAnsi="Times New Roman" w:eastAsia="Times New Roman" w:cs="Times New Roman"/>
          <w:spacing w:val="-4"/>
          <w:sz w:val="24"/>
          <w:szCs w:val="24"/>
        </w:rPr>
        <w:t>Ⅳ</w:t>
      </w:r>
      <w:r>
        <w:rPr>
          <w:rFonts w:ascii="宋体" w:hAnsi="宋体" w:eastAsia="宋体" w:cs="宋体"/>
          <w:spacing w:val="-4"/>
          <w:sz w:val="24"/>
          <w:szCs w:val="24"/>
        </w:rPr>
        <w:t>级，因此本项目环境风险评价</w:t>
      </w:r>
      <w:r>
        <w:rPr>
          <w:rFonts w:ascii="宋体" w:hAnsi="宋体" w:eastAsia="宋体" w:cs="宋体"/>
          <w:sz w:val="24"/>
          <w:szCs w:val="24"/>
        </w:rPr>
        <w:t xml:space="preserve"> </w:t>
      </w:r>
      <w:r>
        <w:rPr>
          <w:rFonts w:ascii="宋体" w:hAnsi="宋体" w:eastAsia="宋体" w:cs="宋体"/>
          <w:spacing w:val="-1"/>
          <w:sz w:val="24"/>
          <w:szCs w:val="24"/>
        </w:rPr>
        <w:t>等级为一级。其中，大气环境风险评价等级为二级，</w:t>
      </w:r>
      <w:r>
        <w:rPr>
          <w:rFonts w:ascii="宋体" w:hAnsi="宋体" w:eastAsia="宋体" w:cs="宋体"/>
          <w:spacing w:val="-2"/>
          <w:sz w:val="24"/>
          <w:szCs w:val="24"/>
        </w:rPr>
        <w:t>地下水环境风险评价等级为一级。</w:t>
      </w:r>
    </w:p>
    <w:p w14:paraId="15D27128">
      <w:pPr>
        <w:spacing w:before="44" w:line="222" w:lineRule="auto"/>
        <w:ind w:left="142"/>
        <w:outlineLvl w:val="2"/>
        <w:rPr>
          <w:rFonts w:ascii="黑体" w:hAnsi="黑体" w:eastAsia="黑体" w:cs="黑体"/>
          <w:sz w:val="30"/>
          <w:szCs w:val="30"/>
        </w:rPr>
      </w:pPr>
      <w:bookmarkStart w:id="305" w:name="bookmark78"/>
      <w:bookmarkEnd w:id="305"/>
      <w:r>
        <w:rPr>
          <w:rFonts w:ascii="Times New Roman" w:hAnsi="Times New Roman" w:eastAsia="Times New Roman" w:cs="Times New Roman"/>
          <w:spacing w:val="-4"/>
          <w:sz w:val="30"/>
          <w:szCs w:val="30"/>
        </w:rPr>
        <w:t xml:space="preserve">1.6.6 </w:t>
      </w:r>
      <w:r>
        <w:rPr>
          <w:rFonts w:ascii="黑体" w:hAnsi="黑体" w:eastAsia="黑体" w:cs="黑体"/>
          <w:spacing w:val="-4"/>
          <w:sz w:val="30"/>
          <w:szCs w:val="30"/>
        </w:rPr>
        <w:t>土壤评价</w:t>
      </w:r>
    </w:p>
    <w:p w14:paraId="6A32C158">
      <w:pPr>
        <w:spacing w:before="213" w:line="219" w:lineRule="auto"/>
        <w:ind w:left="607"/>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）行业分类</w:t>
      </w:r>
    </w:p>
    <w:p w14:paraId="34645651">
      <w:pPr>
        <w:spacing w:before="182" w:line="345" w:lineRule="auto"/>
        <w:ind w:left="116" w:right="194" w:firstLine="480"/>
        <w:rPr>
          <w:rFonts w:ascii="宋体" w:hAnsi="宋体" w:eastAsia="宋体" w:cs="宋体"/>
          <w:sz w:val="24"/>
          <w:szCs w:val="24"/>
        </w:rPr>
      </w:pPr>
      <w:r>
        <w:rPr>
          <w:rFonts w:ascii="宋体" w:hAnsi="宋体" w:eastAsia="宋体" w:cs="宋体"/>
          <w:sz w:val="24"/>
          <w:szCs w:val="24"/>
        </w:rPr>
        <w:t>本项目生产工序中的锰硅合金冶炼属于</w:t>
      </w:r>
      <w:r>
        <w:rPr>
          <w:rFonts w:ascii="Times New Roman" w:hAnsi="Times New Roman" w:eastAsia="Times New Roman" w:cs="Times New Roman"/>
          <w:sz w:val="24"/>
          <w:szCs w:val="24"/>
        </w:rPr>
        <w:t>“</w:t>
      </w:r>
      <w:r>
        <w:rPr>
          <w:rFonts w:ascii="宋体" w:hAnsi="宋体" w:eastAsia="宋体" w:cs="宋体"/>
          <w:sz w:val="24"/>
          <w:szCs w:val="24"/>
        </w:rPr>
        <w:t>制造业，金属冶炼</w:t>
      </w:r>
      <w:r>
        <w:rPr>
          <w:rFonts w:ascii="宋体" w:hAnsi="宋体" w:eastAsia="宋体" w:cs="宋体"/>
          <w:spacing w:val="-1"/>
          <w:sz w:val="24"/>
          <w:szCs w:val="24"/>
        </w:rPr>
        <w:t>和压延加工及非金属矿</w:t>
      </w:r>
      <w:r>
        <w:rPr>
          <w:rFonts w:ascii="宋体" w:hAnsi="宋体" w:eastAsia="宋体" w:cs="宋体"/>
          <w:sz w:val="24"/>
          <w:szCs w:val="24"/>
        </w:rPr>
        <w:t xml:space="preserve"> </w:t>
      </w:r>
      <w:r>
        <w:rPr>
          <w:rFonts w:ascii="宋体" w:hAnsi="宋体" w:eastAsia="宋体" w:cs="宋体"/>
          <w:spacing w:val="-2"/>
          <w:sz w:val="24"/>
          <w:szCs w:val="24"/>
        </w:rPr>
        <w:t>物制品，有色金属铸造及合金制造</w:t>
      </w:r>
      <w:r>
        <w:rPr>
          <w:rFonts w:ascii="Times New Roman" w:hAnsi="Times New Roman" w:eastAsia="Times New Roman" w:cs="Times New Roman"/>
          <w:spacing w:val="-2"/>
          <w:sz w:val="24"/>
          <w:szCs w:val="24"/>
        </w:rPr>
        <w:t>”</w:t>
      </w:r>
      <w:r>
        <w:rPr>
          <w:rFonts w:ascii="Times New Roman" w:hAnsi="Times New Roman" w:eastAsia="Times New Roman" w:cs="Times New Roman"/>
          <w:spacing w:val="-21"/>
          <w:sz w:val="24"/>
          <w:szCs w:val="24"/>
        </w:rPr>
        <w:t xml:space="preserve"> </w:t>
      </w:r>
      <w:r>
        <w:rPr>
          <w:rFonts w:ascii="宋体" w:hAnsi="宋体" w:eastAsia="宋体" w:cs="宋体"/>
          <w:spacing w:val="-2"/>
          <w:sz w:val="24"/>
          <w:szCs w:val="24"/>
        </w:rPr>
        <w:t>，属</w:t>
      </w:r>
      <w:r>
        <w:rPr>
          <w:rFonts w:ascii="Times New Roman" w:hAnsi="Times New Roman" w:eastAsia="Times New Roman" w:cs="Times New Roman"/>
          <w:spacing w:val="-2"/>
          <w:sz w:val="24"/>
          <w:szCs w:val="24"/>
        </w:rPr>
        <w:t>Ⅱ</w:t>
      </w:r>
      <w:r>
        <w:rPr>
          <w:rFonts w:ascii="宋体" w:hAnsi="宋体" w:eastAsia="宋体" w:cs="宋体"/>
          <w:spacing w:val="-2"/>
          <w:sz w:val="24"/>
          <w:szCs w:val="24"/>
        </w:rPr>
        <w:t>类建设项目。</w:t>
      </w:r>
    </w:p>
    <w:p w14:paraId="553EE86D">
      <w:pPr>
        <w:spacing w:before="38" w:line="219" w:lineRule="auto"/>
        <w:ind w:left="607"/>
        <w:rPr>
          <w:rFonts w:ascii="宋体" w:hAnsi="宋体" w:eastAsia="宋体" w:cs="宋体"/>
          <w:sz w:val="24"/>
          <w:szCs w:val="24"/>
        </w:rPr>
      </w:pPr>
      <w:r>
        <w:rPr>
          <w:rFonts w:ascii="宋体" w:hAnsi="宋体" w:eastAsia="宋体" w:cs="宋体"/>
          <w:spacing w:val="-10"/>
          <w:sz w:val="24"/>
          <w:szCs w:val="24"/>
        </w:rPr>
        <w:t>（</w:t>
      </w:r>
      <w:r>
        <w:rPr>
          <w:rFonts w:ascii="Times New Roman" w:hAnsi="Times New Roman" w:eastAsia="Times New Roman" w:cs="Times New Roman"/>
          <w:spacing w:val="-10"/>
          <w:sz w:val="24"/>
          <w:szCs w:val="24"/>
        </w:rPr>
        <w:t>2</w:t>
      </w:r>
      <w:r>
        <w:rPr>
          <w:rFonts w:ascii="宋体" w:hAnsi="宋体" w:eastAsia="宋体" w:cs="宋体"/>
          <w:spacing w:val="-10"/>
          <w:sz w:val="24"/>
          <w:szCs w:val="24"/>
        </w:rPr>
        <w:t>）</w:t>
      </w:r>
      <w:r>
        <w:rPr>
          <w:rFonts w:ascii="宋体" w:hAnsi="宋体" w:eastAsia="宋体" w:cs="宋体"/>
          <w:spacing w:val="-72"/>
          <w:sz w:val="24"/>
          <w:szCs w:val="24"/>
        </w:rPr>
        <w:t xml:space="preserve"> </w:t>
      </w:r>
      <w:r>
        <w:rPr>
          <w:rFonts w:ascii="宋体" w:hAnsi="宋体" w:eastAsia="宋体" w:cs="宋体"/>
          <w:spacing w:val="-10"/>
          <w:sz w:val="24"/>
          <w:szCs w:val="24"/>
        </w:rPr>
        <w:t>占地规模</w:t>
      </w:r>
    </w:p>
    <w:p w14:paraId="2962D714">
      <w:pPr>
        <w:spacing w:line="219" w:lineRule="auto"/>
        <w:rPr>
          <w:rFonts w:ascii="宋体" w:hAnsi="宋体" w:eastAsia="宋体" w:cs="宋体"/>
          <w:sz w:val="24"/>
          <w:szCs w:val="24"/>
        </w:rPr>
        <w:sectPr>
          <w:headerReference r:id="rId74" w:type="default"/>
          <w:footerReference r:id="rId75" w:type="default"/>
          <w:pgSz w:w="11907" w:h="16840"/>
          <w:pgMar w:top="1178" w:right="1308" w:bottom="1038" w:left="1309" w:header="870" w:footer="876" w:gutter="0"/>
          <w:cols w:space="720" w:num="1"/>
        </w:sectPr>
      </w:pPr>
    </w:p>
    <w:p w14:paraId="2C2B292A">
      <w:pPr>
        <w:spacing w:before="274" w:line="349" w:lineRule="auto"/>
        <w:ind w:left="16" w:right="12" w:firstLine="473"/>
        <w:rPr>
          <w:rFonts w:ascii="宋体" w:hAnsi="宋体" w:eastAsia="宋体" w:cs="宋体"/>
          <w:sz w:val="24"/>
          <w:szCs w:val="24"/>
        </w:rPr>
      </w:pPr>
      <w:r>
        <w:pict>
          <v:shape id="_x0000_s1069" o:spid="_x0000_s1069" style="position:absolute;left:0pt;margin-left:70.85pt;margin-top:59.65pt;height:0.75pt;width:453.65pt;mso-position-horizontal-relative:page;mso-position-vertical-relative:page;z-index:2517022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spacing w:val="-2"/>
          <w:sz w:val="24"/>
          <w:szCs w:val="24"/>
        </w:rPr>
        <w:t>本项目厂区规划总面积为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26.67hm</w:t>
      </w:r>
      <w:r>
        <w:rPr>
          <w:rFonts w:ascii="Times New Roman" w:hAnsi="Times New Roman" w:eastAsia="Times New Roman" w:cs="Times New Roman"/>
          <w:spacing w:val="-2"/>
          <w:position w:val="7"/>
          <w:sz w:val="15"/>
          <w:szCs w:val="15"/>
        </w:rPr>
        <w:t>2</w:t>
      </w:r>
      <w:r>
        <w:rPr>
          <w:rFonts w:ascii="Times New Roman" w:hAnsi="Times New Roman" w:eastAsia="Times New Roman" w:cs="Times New Roman"/>
          <w:spacing w:val="-10"/>
          <w:position w:val="7"/>
          <w:sz w:val="15"/>
          <w:szCs w:val="15"/>
        </w:rPr>
        <w:t xml:space="preserve"> </w:t>
      </w:r>
      <w:r>
        <w:rPr>
          <w:rFonts w:ascii="宋体" w:hAnsi="宋体" w:eastAsia="宋体" w:cs="宋体"/>
          <w:spacing w:val="-2"/>
          <w:sz w:val="24"/>
          <w:szCs w:val="24"/>
        </w:rPr>
        <w:t>，为</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5hm</w:t>
      </w:r>
      <w:r>
        <w:rPr>
          <w:rFonts w:ascii="Times New Roman" w:hAnsi="Times New Roman" w:eastAsia="Times New Roman" w:cs="Times New Roman"/>
          <w:spacing w:val="-2"/>
          <w:position w:val="7"/>
          <w:sz w:val="15"/>
          <w:szCs w:val="15"/>
        </w:rPr>
        <w:t>2</w:t>
      </w:r>
      <w:r>
        <w:rPr>
          <w:rFonts w:ascii="宋体" w:hAnsi="宋体" w:eastAsia="宋体" w:cs="宋体"/>
          <w:spacing w:val="-2"/>
          <w:sz w:val="24"/>
          <w:szCs w:val="24"/>
        </w:rPr>
        <w:t>＜</w:t>
      </w:r>
      <w:r>
        <w:rPr>
          <w:rFonts w:ascii="Times New Roman" w:hAnsi="Times New Roman" w:eastAsia="Times New Roman" w:cs="Times New Roman"/>
          <w:spacing w:val="-2"/>
          <w:sz w:val="24"/>
          <w:szCs w:val="24"/>
        </w:rPr>
        <w:t>26.67hm</w:t>
      </w:r>
      <w:r>
        <w:rPr>
          <w:rFonts w:ascii="Times New Roman" w:hAnsi="Times New Roman" w:eastAsia="Times New Roman" w:cs="Times New Roman"/>
          <w:spacing w:val="-2"/>
          <w:position w:val="7"/>
          <w:sz w:val="15"/>
          <w:szCs w:val="15"/>
        </w:rPr>
        <w:t>2</w:t>
      </w:r>
      <w:r>
        <w:rPr>
          <w:rFonts w:ascii="宋体" w:hAnsi="宋体" w:eastAsia="宋体" w:cs="宋体"/>
          <w:spacing w:val="-2"/>
          <w:sz w:val="24"/>
          <w:szCs w:val="24"/>
        </w:rPr>
        <w:t>＜</w:t>
      </w:r>
      <w:r>
        <w:rPr>
          <w:rFonts w:ascii="Times New Roman" w:hAnsi="Times New Roman" w:eastAsia="Times New Roman" w:cs="Times New Roman"/>
          <w:spacing w:val="-2"/>
          <w:sz w:val="24"/>
          <w:szCs w:val="24"/>
        </w:rPr>
        <w:t>50hm</w:t>
      </w:r>
      <w:r>
        <w:rPr>
          <w:rFonts w:ascii="Times New Roman" w:hAnsi="Times New Roman" w:eastAsia="Times New Roman" w:cs="Times New Roman"/>
          <w:spacing w:val="-2"/>
          <w:position w:val="7"/>
          <w:sz w:val="15"/>
          <w:szCs w:val="15"/>
        </w:rPr>
        <w:t>2</w:t>
      </w:r>
      <w:r>
        <w:rPr>
          <w:rFonts w:ascii="Times New Roman" w:hAnsi="Times New Roman" w:eastAsia="Times New Roman" w:cs="Times New Roman"/>
          <w:spacing w:val="-10"/>
          <w:position w:val="7"/>
          <w:sz w:val="15"/>
          <w:szCs w:val="15"/>
        </w:rPr>
        <w:t xml:space="preserve"> </w:t>
      </w:r>
      <w:r>
        <w:rPr>
          <w:rFonts w:ascii="宋体" w:hAnsi="宋体" w:eastAsia="宋体" w:cs="宋体"/>
          <w:spacing w:val="-2"/>
          <w:sz w:val="24"/>
          <w:szCs w:val="24"/>
        </w:rPr>
        <w:t>，占地规模在为中</w:t>
      </w:r>
      <w:r>
        <w:rPr>
          <w:rFonts w:ascii="宋体" w:hAnsi="宋体" w:eastAsia="宋体" w:cs="宋体"/>
          <w:sz w:val="24"/>
          <w:szCs w:val="24"/>
        </w:rPr>
        <w:t xml:space="preserve"> </w:t>
      </w:r>
      <w:r>
        <w:rPr>
          <w:rFonts w:ascii="宋体" w:hAnsi="宋体" w:eastAsia="宋体" w:cs="宋体"/>
          <w:spacing w:val="-9"/>
          <w:sz w:val="24"/>
          <w:szCs w:val="24"/>
        </w:rPr>
        <w:t>型。</w:t>
      </w:r>
    </w:p>
    <w:p w14:paraId="24C51788">
      <w:pPr>
        <w:spacing w:before="27" w:line="219" w:lineRule="auto"/>
        <w:ind w:left="500"/>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）土壤的敏感程度</w:t>
      </w:r>
    </w:p>
    <w:p w14:paraId="7C332264">
      <w:pPr>
        <w:spacing w:before="179" w:line="219" w:lineRule="auto"/>
        <w:ind w:left="490"/>
        <w:rPr>
          <w:rFonts w:ascii="宋体" w:hAnsi="宋体" w:eastAsia="宋体" w:cs="宋体"/>
          <w:sz w:val="24"/>
          <w:szCs w:val="24"/>
        </w:rPr>
      </w:pPr>
      <w:r>
        <w:rPr>
          <w:rFonts w:ascii="宋体" w:hAnsi="宋体" w:eastAsia="宋体" w:cs="宋体"/>
          <w:spacing w:val="-2"/>
          <w:sz w:val="24"/>
          <w:szCs w:val="24"/>
        </w:rPr>
        <w:t>本项目为污染影响型，土壤的敏感程度判别依据见表标</w:t>
      </w:r>
      <w:r>
        <w:rPr>
          <w:rFonts w:ascii="宋体" w:hAnsi="宋体" w:eastAsia="宋体" w:cs="宋体"/>
          <w:spacing w:val="-18"/>
          <w:sz w:val="24"/>
          <w:szCs w:val="24"/>
        </w:rPr>
        <w:t xml:space="preserve"> </w:t>
      </w:r>
      <w:r>
        <w:rPr>
          <w:rFonts w:ascii="Times New Roman" w:hAnsi="Times New Roman" w:eastAsia="Times New Roman" w:cs="Times New Roman"/>
          <w:spacing w:val="-2"/>
          <w:sz w:val="24"/>
          <w:szCs w:val="24"/>
        </w:rPr>
        <w:t>1.6-11</w:t>
      </w:r>
      <w:r>
        <w:rPr>
          <w:rFonts w:ascii="宋体" w:hAnsi="宋体" w:eastAsia="宋体" w:cs="宋体"/>
          <w:spacing w:val="-2"/>
          <w:sz w:val="24"/>
          <w:szCs w:val="24"/>
        </w:rPr>
        <w:t>。</w:t>
      </w:r>
    </w:p>
    <w:p w14:paraId="24CAAC2F">
      <w:pPr>
        <w:spacing w:before="178" w:line="220" w:lineRule="auto"/>
        <w:ind w:left="2578"/>
        <w:rPr>
          <w:rFonts w:ascii="宋体" w:hAnsi="宋体" w:eastAsia="宋体" w:cs="宋体"/>
          <w:sz w:val="22"/>
          <w:szCs w:val="22"/>
        </w:rPr>
      </w:pPr>
      <w:r>
        <w:rPr>
          <w:rFonts w:ascii="宋体" w:hAnsi="宋体" w:eastAsia="宋体" w:cs="宋体"/>
          <w:b/>
          <w:bCs/>
          <w:spacing w:val="-2"/>
          <w:sz w:val="22"/>
          <w:szCs w:val="22"/>
        </w:rPr>
        <w:t>表</w:t>
      </w:r>
      <w:r>
        <w:rPr>
          <w:rFonts w:ascii="宋体" w:hAnsi="宋体" w:eastAsia="宋体" w:cs="宋体"/>
          <w:spacing w:val="-30"/>
          <w:sz w:val="22"/>
          <w:szCs w:val="22"/>
        </w:rPr>
        <w:t xml:space="preserve"> </w:t>
      </w:r>
      <w:r>
        <w:rPr>
          <w:rFonts w:ascii="Times New Roman" w:hAnsi="Times New Roman" w:eastAsia="Times New Roman" w:cs="Times New Roman"/>
          <w:b/>
          <w:bCs/>
          <w:spacing w:val="-2"/>
          <w:sz w:val="22"/>
          <w:szCs w:val="22"/>
        </w:rPr>
        <w:t xml:space="preserve">1.6-11        </w:t>
      </w:r>
      <w:r>
        <w:rPr>
          <w:rFonts w:ascii="宋体" w:hAnsi="宋体" w:eastAsia="宋体" w:cs="宋体"/>
          <w:b/>
          <w:bCs/>
          <w:spacing w:val="-2"/>
          <w:sz w:val="22"/>
          <w:szCs w:val="22"/>
        </w:rPr>
        <w:t>污染影响型敏感程度分级表</w:t>
      </w:r>
    </w:p>
    <w:p w14:paraId="48384A0F">
      <w:pPr>
        <w:spacing w:line="134" w:lineRule="exact"/>
      </w:pPr>
    </w:p>
    <w:tbl>
      <w:tblPr>
        <w:tblStyle w:val="5"/>
        <w:tblW w:w="9073"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49"/>
        <w:gridCol w:w="7924"/>
      </w:tblGrid>
      <w:tr w14:paraId="626583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1149" w:type="dxa"/>
            <w:tcBorders>
              <w:top w:val="single" w:color="000000" w:sz="10" w:space="0"/>
              <w:left w:val="nil"/>
            </w:tcBorders>
            <w:vAlign w:val="top"/>
          </w:tcPr>
          <w:p w14:paraId="595E2432">
            <w:pPr>
              <w:pStyle w:val="6"/>
              <w:spacing w:before="37" w:line="210" w:lineRule="auto"/>
              <w:ind w:left="161"/>
              <w:rPr>
                <w:sz w:val="20"/>
                <w:szCs w:val="20"/>
              </w:rPr>
            </w:pPr>
            <w:r>
              <w:rPr>
                <w:b/>
                <w:bCs/>
                <w:spacing w:val="6"/>
                <w:sz w:val="20"/>
                <w:szCs w:val="20"/>
              </w:rPr>
              <w:t>敏感程度</w:t>
            </w:r>
          </w:p>
        </w:tc>
        <w:tc>
          <w:tcPr>
            <w:tcW w:w="7924" w:type="dxa"/>
            <w:tcBorders>
              <w:top w:val="single" w:color="000000" w:sz="10" w:space="0"/>
              <w:right w:val="nil"/>
            </w:tcBorders>
            <w:vAlign w:val="top"/>
          </w:tcPr>
          <w:p w14:paraId="178EC2FC">
            <w:pPr>
              <w:pStyle w:val="6"/>
              <w:spacing w:before="37" w:line="210" w:lineRule="auto"/>
              <w:ind w:left="3547"/>
              <w:rPr>
                <w:sz w:val="20"/>
                <w:szCs w:val="20"/>
              </w:rPr>
            </w:pPr>
            <w:r>
              <w:rPr>
                <w:b/>
                <w:bCs/>
                <w:spacing w:val="6"/>
                <w:sz w:val="20"/>
                <w:szCs w:val="20"/>
              </w:rPr>
              <w:t>判别依据</w:t>
            </w:r>
          </w:p>
        </w:tc>
      </w:tr>
      <w:tr w14:paraId="0554BD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5" w:hRule="atLeast"/>
        </w:trPr>
        <w:tc>
          <w:tcPr>
            <w:tcW w:w="1149" w:type="dxa"/>
            <w:tcBorders>
              <w:left w:val="nil"/>
            </w:tcBorders>
            <w:vAlign w:val="top"/>
          </w:tcPr>
          <w:p w14:paraId="47C28D29">
            <w:pPr>
              <w:pStyle w:val="6"/>
              <w:spacing w:before="167" w:line="228" w:lineRule="auto"/>
              <w:ind w:left="372"/>
              <w:rPr>
                <w:sz w:val="20"/>
                <w:szCs w:val="20"/>
              </w:rPr>
            </w:pPr>
            <w:r>
              <w:rPr>
                <w:spacing w:val="4"/>
                <w:sz w:val="20"/>
                <w:szCs w:val="20"/>
              </w:rPr>
              <w:t>敏感</w:t>
            </w:r>
          </w:p>
        </w:tc>
        <w:tc>
          <w:tcPr>
            <w:tcW w:w="7924" w:type="dxa"/>
            <w:tcBorders>
              <w:right w:val="nil"/>
            </w:tcBorders>
            <w:vAlign w:val="top"/>
          </w:tcPr>
          <w:p w14:paraId="7BDD09B2">
            <w:pPr>
              <w:pStyle w:val="6"/>
              <w:spacing w:before="33" w:line="227" w:lineRule="auto"/>
              <w:ind w:left="8" w:firstLine="1"/>
              <w:rPr>
                <w:sz w:val="20"/>
                <w:szCs w:val="20"/>
              </w:rPr>
            </w:pPr>
            <w:r>
              <w:rPr>
                <w:spacing w:val="8"/>
                <w:sz w:val="20"/>
                <w:szCs w:val="20"/>
              </w:rPr>
              <w:t>建设项目周边存在耕地、园地牧草地、饮用水水源地或居民区、学校、医院、疗养院、</w:t>
            </w:r>
            <w:r>
              <w:rPr>
                <w:spacing w:val="6"/>
                <w:sz w:val="20"/>
                <w:szCs w:val="20"/>
              </w:rPr>
              <w:t xml:space="preserve"> </w:t>
            </w:r>
            <w:r>
              <w:rPr>
                <w:spacing w:val="8"/>
                <w:sz w:val="20"/>
                <w:szCs w:val="20"/>
              </w:rPr>
              <w:t>养老院等土壤环境敏感目标的</w:t>
            </w:r>
          </w:p>
        </w:tc>
      </w:tr>
      <w:tr w14:paraId="3B832F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1149" w:type="dxa"/>
            <w:tcBorders>
              <w:left w:val="nil"/>
            </w:tcBorders>
            <w:vAlign w:val="top"/>
          </w:tcPr>
          <w:p w14:paraId="2B852B14">
            <w:pPr>
              <w:pStyle w:val="6"/>
              <w:spacing w:before="42" w:line="198" w:lineRule="auto"/>
              <w:ind w:left="266"/>
              <w:rPr>
                <w:sz w:val="20"/>
                <w:szCs w:val="20"/>
              </w:rPr>
            </w:pPr>
            <w:r>
              <w:rPr>
                <w:spacing w:val="6"/>
                <w:sz w:val="20"/>
                <w:szCs w:val="20"/>
              </w:rPr>
              <w:t>较敏感</w:t>
            </w:r>
          </w:p>
        </w:tc>
        <w:tc>
          <w:tcPr>
            <w:tcW w:w="7924" w:type="dxa"/>
            <w:tcBorders>
              <w:right w:val="nil"/>
            </w:tcBorders>
            <w:vAlign w:val="top"/>
          </w:tcPr>
          <w:p w14:paraId="51209801">
            <w:pPr>
              <w:pStyle w:val="6"/>
              <w:spacing w:before="42" w:line="198" w:lineRule="auto"/>
              <w:ind w:left="10"/>
              <w:rPr>
                <w:sz w:val="20"/>
                <w:szCs w:val="20"/>
              </w:rPr>
            </w:pPr>
            <w:r>
              <w:rPr>
                <w:spacing w:val="9"/>
                <w:sz w:val="20"/>
                <w:szCs w:val="20"/>
              </w:rPr>
              <w:t>建设项目周边存在其他土壤环境敏感目标</w:t>
            </w:r>
          </w:p>
        </w:tc>
      </w:tr>
      <w:tr w14:paraId="319ECD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3" w:hRule="atLeast"/>
        </w:trPr>
        <w:tc>
          <w:tcPr>
            <w:tcW w:w="1149" w:type="dxa"/>
            <w:tcBorders>
              <w:left w:val="nil"/>
              <w:bottom w:val="single" w:color="000000" w:sz="10" w:space="0"/>
            </w:tcBorders>
            <w:vAlign w:val="top"/>
          </w:tcPr>
          <w:p w14:paraId="2A14849B">
            <w:pPr>
              <w:pStyle w:val="6"/>
              <w:spacing w:before="49" w:line="216" w:lineRule="auto"/>
              <w:ind w:left="269"/>
              <w:rPr>
                <w:sz w:val="20"/>
                <w:szCs w:val="20"/>
              </w:rPr>
            </w:pPr>
            <w:r>
              <w:rPr>
                <w:spacing w:val="5"/>
                <w:sz w:val="20"/>
                <w:szCs w:val="20"/>
              </w:rPr>
              <w:t>不敏感</w:t>
            </w:r>
          </w:p>
        </w:tc>
        <w:tc>
          <w:tcPr>
            <w:tcW w:w="7924" w:type="dxa"/>
            <w:tcBorders>
              <w:bottom w:val="single" w:color="000000" w:sz="10" w:space="0"/>
              <w:right w:val="nil"/>
            </w:tcBorders>
            <w:vAlign w:val="top"/>
          </w:tcPr>
          <w:p w14:paraId="06B8BAA0">
            <w:pPr>
              <w:pStyle w:val="6"/>
              <w:spacing w:before="49" w:line="216" w:lineRule="auto"/>
              <w:ind w:left="8"/>
              <w:rPr>
                <w:sz w:val="20"/>
                <w:szCs w:val="20"/>
              </w:rPr>
            </w:pPr>
            <w:r>
              <w:rPr>
                <w:spacing w:val="7"/>
                <w:sz w:val="20"/>
                <w:szCs w:val="20"/>
              </w:rPr>
              <w:t>其他情况</w:t>
            </w:r>
          </w:p>
        </w:tc>
      </w:tr>
    </w:tbl>
    <w:p w14:paraId="5EBB584D">
      <w:pPr>
        <w:spacing w:before="38" w:line="344" w:lineRule="auto"/>
        <w:ind w:left="10" w:right="12" w:firstLine="480"/>
        <w:rPr>
          <w:rFonts w:ascii="宋体" w:hAnsi="宋体" w:eastAsia="宋体" w:cs="宋体"/>
          <w:sz w:val="24"/>
          <w:szCs w:val="24"/>
        </w:rPr>
      </w:pPr>
      <w:r>
        <w:rPr>
          <w:rFonts w:ascii="宋体" w:hAnsi="宋体" w:eastAsia="宋体" w:cs="宋体"/>
          <w:spacing w:val="-2"/>
          <w:sz w:val="24"/>
          <w:szCs w:val="24"/>
        </w:rPr>
        <w:t>本项目位于工业园区内，根据《苏尼特右旗朱日和工业园总体规划》本项目所在区</w:t>
      </w:r>
      <w:r>
        <w:rPr>
          <w:rFonts w:ascii="宋体" w:hAnsi="宋体" w:eastAsia="宋体" w:cs="宋体"/>
          <w:spacing w:val="15"/>
          <w:sz w:val="24"/>
          <w:szCs w:val="24"/>
        </w:rPr>
        <w:t xml:space="preserve"> </w:t>
      </w:r>
      <w:r>
        <w:rPr>
          <w:rFonts w:ascii="宋体" w:hAnsi="宋体" w:eastAsia="宋体" w:cs="宋体"/>
          <w:sz w:val="24"/>
          <w:szCs w:val="24"/>
        </w:rPr>
        <w:t>域为三类工业用地，厂区周边存在牧草地，土壤环境敏感程度</w:t>
      </w:r>
      <w:r>
        <w:rPr>
          <w:rFonts w:ascii="宋体" w:hAnsi="宋体" w:eastAsia="宋体" w:cs="宋体"/>
          <w:spacing w:val="-1"/>
          <w:sz w:val="24"/>
          <w:szCs w:val="24"/>
        </w:rPr>
        <w:t>按照</w:t>
      </w:r>
      <w:r>
        <w:rPr>
          <w:rFonts w:ascii="Times New Roman" w:hAnsi="Times New Roman" w:eastAsia="Times New Roman" w:cs="Times New Roman"/>
          <w:spacing w:val="-1"/>
          <w:sz w:val="24"/>
          <w:szCs w:val="24"/>
        </w:rPr>
        <w:t>“</w:t>
      </w:r>
      <w:r>
        <w:rPr>
          <w:rFonts w:ascii="宋体" w:hAnsi="宋体" w:eastAsia="宋体" w:cs="宋体"/>
          <w:spacing w:val="-1"/>
          <w:sz w:val="24"/>
          <w:szCs w:val="24"/>
        </w:rPr>
        <w:t>敏感</w:t>
      </w:r>
      <w:r>
        <w:rPr>
          <w:rFonts w:ascii="Times New Roman" w:hAnsi="Times New Roman" w:eastAsia="Times New Roman" w:cs="Times New Roman"/>
          <w:spacing w:val="-1"/>
          <w:sz w:val="24"/>
          <w:szCs w:val="24"/>
        </w:rPr>
        <w:t>”</w:t>
      </w:r>
      <w:r>
        <w:rPr>
          <w:rFonts w:ascii="宋体" w:hAnsi="宋体" w:eastAsia="宋体" w:cs="宋体"/>
          <w:spacing w:val="-1"/>
          <w:sz w:val="24"/>
          <w:szCs w:val="24"/>
        </w:rPr>
        <w:t>进行评价。</w:t>
      </w:r>
    </w:p>
    <w:p w14:paraId="09A2FD56">
      <w:pPr>
        <w:spacing w:before="38" w:line="218" w:lineRule="auto"/>
        <w:ind w:left="500"/>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）评价等级判定</w:t>
      </w:r>
    </w:p>
    <w:p w14:paraId="20E5FA26">
      <w:pPr>
        <w:spacing w:before="182" w:line="218" w:lineRule="auto"/>
        <w:ind w:left="491"/>
        <w:rPr>
          <w:rFonts w:ascii="宋体" w:hAnsi="宋体" w:eastAsia="宋体" w:cs="宋体"/>
          <w:sz w:val="24"/>
          <w:szCs w:val="24"/>
        </w:rPr>
      </w:pPr>
      <w:r>
        <w:rPr>
          <w:rFonts w:ascii="宋体" w:hAnsi="宋体" w:eastAsia="宋体" w:cs="宋体"/>
          <w:spacing w:val="-2"/>
          <w:sz w:val="24"/>
          <w:szCs w:val="24"/>
        </w:rPr>
        <w:t>污染影响型项目土壤环境影响评价等级确定见表</w:t>
      </w:r>
      <w:r>
        <w:rPr>
          <w:rFonts w:ascii="宋体" w:hAnsi="宋体" w:eastAsia="宋体" w:cs="宋体"/>
          <w:spacing w:val="-18"/>
          <w:sz w:val="24"/>
          <w:szCs w:val="24"/>
        </w:rPr>
        <w:t xml:space="preserve"> </w:t>
      </w:r>
      <w:r>
        <w:rPr>
          <w:rFonts w:ascii="Times New Roman" w:hAnsi="Times New Roman" w:eastAsia="Times New Roman" w:cs="Times New Roman"/>
          <w:spacing w:val="-2"/>
          <w:sz w:val="24"/>
          <w:szCs w:val="24"/>
        </w:rPr>
        <w:t>1.6-12</w:t>
      </w:r>
      <w:r>
        <w:rPr>
          <w:rFonts w:ascii="宋体" w:hAnsi="宋体" w:eastAsia="宋体" w:cs="宋体"/>
          <w:spacing w:val="-2"/>
          <w:sz w:val="24"/>
          <w:szCs w:val="24"/>
        </w:rPr>
        <w:t>。</w:t>
      </w:r>
    </w:p>
    <w:p w14:paraId="41559BB5">
      <w:pPr>
        <w:spacing w:before="181" w:line="226" w:lineRule="auto"/>
        <w:ind w:left="2561"/>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0"/>
          <w:sz w:val="20"/>
          <w:szCs w:val="20"/>
        </w:rPr>
        <w:t xml:space="preserve"> </w:t>
      </w:r>
      <w:r>
        <w:rPr>
          <w:rFonts w:ascii="Times New Roman" w:hAnsi="Times New Roman" w:eastAsia="Times New Roman" w:cs="Times New Roman"/>
          <w:b/>
          <w:bCs/>
          <w:spacing w:val="5"/>
          <w:sz w:val="20"/>
          <w:szCs w:val="20"/>
        </w:rPr>
        <w:t xml:space="preserve">1.6-12        </w:t>
      </w:r>
      <w:r>
        <w:rPr>
          <w:rFonts w:ascii="宋体" w:hAnsi="宋体" w:eastAsia="宋体" w:cs="宋体"/>
          <w:b/>
          <w:bCs/>
          <w:spacing w:val="5"/>
          <w:sz w:val="20"/>
          <w:szCs w:val="20"/>
        </w:rPr>
        <w:t>土壤环境影响评价等级分级表</w:t>
      </w:r>
    </w:p>
    <w:p w14:paraId="102AC3BB">
      <w:pPr>
        <w:spacing w:line="132" w:lineRule="exact"/>
      </w:pPr>
    </w:p>
    <w:tbl>
      <w:tblPr>
        <w:tblStyle w:val="5"/>
        <w:tblW w:w="9072"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4"/>
        <w:gridCol w:w="1210"/>
        <w:gridCol w:w="797"/>
        <w:gridCol w:w="797"/>
        <w:gridCol w:w="801"/>
        <w:gridCol w:w="719"/>
        <w:gridCol w:w="695"/>
        <w:gridCol w:w="695"/>
        <w:gridCol w:w="697"/>
        <w:gridCol w:w="697"/>
        <w:gridCol w:w="760"/>
      </w:tblGrid>
      <w:tr w14:paraId="10B4C1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2414" w:type="dxa"/>
            <w:gridSpan w:val="2"/>
            <w:tcBorders>
              <w:top w:val="single" w:color="000000" w:sz="10" w:space="0"/>
              <w:left w:val="nil"/>
            </w:tcBorders>
            <w:vAlign w:val="top"/>
          </w:tcPr>
          <w:p w14:paraId="6C85565B">
            <w:pPr>
              <w:pStyle w:val="6"/>
              <w:spacing w:before="37" w:line="214" w:lineRule="auto"/>
              <w:ind w:left="795"/>
              <w:rPr>
                <w:sz w:val="20"/>
                <w:szCs w:val="20"/>
              </w:rPr>
            </w:pPr>
            <w:r>
              <w:rPr>
                <w:b/>
                <w:bCs/>
                <w:spacing w:val="5"/>
                <w:sz w:val="20"/>
                <w:szCs w:val="20"/>
              </w:rPr>
              <w:t>项目类别</w:t>
            </w:r>
          </w:p>
        </w:tc>
        <w:tc>
          <w:tcPr>
            <w:tcW w:w="2395" w:type="dxa"/>
            <w:gridSpan w:val="3"/>
            <w:tcBorders>
              <w:top w:val="single" w:color="000000" w:sz="10" w:space="0"/>
            </w:tcBorders>
            <w:vAlign w:val="top"/>
          </w:tcPr>
          <w:p w14:paraId="1EB39204">
            <w:pPr>
              <w:pStyle w:val="6"/>
              <w:spacing w:before="37" w:line="214" w:lineRule="auto"/>
              <w:ind w:left="814"/>
              <w:rPr>
                <w:sz w:val="20"/>
                <w:szCs w:val="20"/>
              </w:rPr>
            </w:pPr>
            <w:r>
              <w:rPr>
                <w:rFonts w:ascii="Times New Roman" w:hAnsi="Times New Roman" w:eastAsia="Times New Roman" w:cs="Times New Roman"/>
                <w:b/>
                <w:bCs/>
                <w:spacing w:val="4"/>
                <w:sz w:val="20"/>
                <w:szCs w:val="20"/>
              </w:rPr>
              <w:t>I</w:t>
            </w:r>
            <w:r>
              <w:rPr>
                <w:rFonts w:ascii="Times New Roman" w:hAnsi="Times New Roman" w:eastAsia="Times New Roman" w:cs="Times New Roman"/>
                <w:b/>
                <w:bCs/>
                <w:spacing w:val="11"/>
                <w:sz w:val="20"/>
                <w:szCs w:val="20"/>
              </w:rPr>
              <w:t xml:space="preserve"> </w:t>
            </w:r>
            <w:r>
              <w:rPr>
                <w:b/>
                <w:bCs/>
                <w:spacing w:val="4"/>
                <w:sz w:val="20"/>
                <w:szCs w:val="20"/>
              </w:rPr>
              <w:t>类项目</w:t>
            </w:r>
          </w:p>
        </w:tc>
        <w:tc>
          <w:tcPr>
            <w:tcW w:w="2109" w:type="dxa"/>
            <w:gridSpan w:val="3"/>
            <w:tcBorders>
              <w:top w:val="single" w:color="000000" w:sz="10" w:space="0"/>
            </w:tcBorders>
            <w:vAlign w:val="top"/>
          </w:tcPr>
          <w:p w14:paraId="3A5F9861">
            <w:pPr>
              <w:pStyle w:val="6"/>
              <w:spacing w:before="37" w:line="214" w:lineRule="auto"/>
              <w:ind w:left="632"/>
              <w:rPr>
                <w:sz w:val="20"/>
                <w:szCs w:val="20"/>
              </w:rPr>
            </w:pPr>
            <w:r>
              <w:rPr>
                <w:rFonts w:ascii="Times New Roman" w:hAnsi="Times New Roman" w:eastAsia="Times New Roman" w:cs="Times New Roman"/>
                <w:b/>
                <w:bCs/>
                <w:sz w:val="20"/>
                <w:szCs w:val="20"/>
              </w:rPr>
              <w:t>II</w:t>
            </w:r>
            <w:r>
              <w:rPr>
                <w:rFonts w:ascii="Times New Roman" w:hAnsi="Times New Roman" w:eastAsia="Times New Roman" w:cs="Times New Roman"/>
                <w:b/>
                <w:bCs/>
                <w:spacing w:val="12"/>
                <w:sz w:val="20"/>
                <w:szCs w:val="20"/>
              </w:rPr>
              <w:t xml:space="preserve"> </w:t>
            </w:r>
            <w:r>
              <w:rPr>
                <w:b/>
                <w:bCs/>
                <w:spacing w:val="6"/>
                <w:sz w:val="20"/>
                <w:szCs w:val="20"/>
              </w:rPr>
              <w:t>类项目</w:t>
            </w:r>
          </w:p>
        </w:tc>
        <w:tc>
          <w:tcPr>
            <w:tcW w:w="2154" w:type="dxa"/>
            <w:gridSpan w:val="3"/>
            <w:tcBorders>
              <w:top w:val="single" w:color="000000" w:sz="10" w:space="0"/>
              <w:right w:val="nil"/>
            </w:tcBorders>
            <w:vAlign w:val="top"/>
          </w:tcPr>
          <w:p w14:paraId="68D72CAA">
            <w:pPr>
              <w:pStyle w:val="6"/>
              <w:spacing w:before="37" w:line="214" w:lineRule="auto"/>
              <w:ind w:left="616"/>
              <w:rPr>
                <w:sz w:val="20"/>
                <w:szCs w:val="20"/>
              </w:rPr>
            </w:pPr>
            <w:r>
              <w:rPr>
                <w:rFonts w:ascii="Times New Roman" w:hAnsi="Times New Roman" w:eastAsia="Times New Roman" w:cs="Times New Roman"/>
                <w:b/>
                <w:bCs/>
                <w:sz w:val="20"/>
                <w:szCs w:val="20"/>
              </w:rPr>
              <w:t>III</w:t>
            </w:r>
            <w:r>
              <w:rPr>
                <w:rFonts w:ascii="Times New Roman" w:hAnsi="Times New Roman" w:eastAsia="Times New Roman" w:cs="Times New Roman"/>
                <w:b/>
                <w:bCs/>
                <w:spacing w:val="8"/>
                <w:sz w:val="20"/>
                <w:szCs w:val="20"/>
              </w:rPr>
              <w:t xml:space="preserve"> </w:t>
            </w:r>
            <w:r>
              <w:rPr>
                <w:b/>
                <w:bCs/>
                <w:spacing w:val="8"/>
                <w:sz w:val="20"/>
                <w:szCs w:val="20"/>
              </w:rPr>
              <w:t>类项目</w:t>
            </w:r>
          </w:p>
        </w:tc>
      </w:tr>
      <w:tr w14:paraId="0A84F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2414" w:type="dxa"/>
            <w:gridSpan w:val="2"/>
            <w:tcBorders>
              <w:left w:val="nil"/>
            </w:tcBorders>
            <w:vAlign w:val="top"/>
          </w:tcPr>
          <w:p w14:paraId="6A682CEC">
            <w:pPr>
              <w:pStyle w:val="6"/>
              <w:spacing w:before="29" w:line="214" w:lineRule="auto"/>
              <w:ind w:left="828"/>
              <w:rPr>
                <w:sz w:val="20"/>
                <w:szCs w:val="20"/>
              </w:rPr>
            </w:pPr>
            <w:r>
              <w:rPr>
                <w:spacing w:val="-2"/>
                <w:sz w:val="20"/>
                <w:szCs w:val="20"/>
              </w:rPr>
              <w:t>占地规模</w:t>
            </w:r>
          </w:p>
        </w:tc>
        <w:tc>
          <w:tcPr>
            <w:tcW w:w="797" w:type="dxa"/>
            <w:vAlign w:val="top"/>
          </w:tcPr>
          <w:p w14:paraId="17D93D40">
            <w:pPr>
              <w:pStyle w:val="6"/>
              <w:spacing w:before="29" w:line="214" w:lineRule="auto"/>
              <w:ind w:left="300"/>
              <w:rPr>
                <w:sz w:val="20"/>
                <w:szCs w:val="20"/>
              </w:rPr>
            </w:pPr>
            <w:r>
              <w:rPr>
                <w:sz w:val="20"/>
                <w:szCs w:val="20"/>
              </w:rPr>
              <w:t>大</w:t>
            </w:r>
          </w:p>
        </w:tc>
        <w:tc>
          <w:tcPr>
            <w:tcW w:w="797" w:type="dxa"/>
            <w:vAlign w:val="top"/>
          </w:tcPr>
          <w:p w14:paraId="0471CA89">
            <w:pPr>
              <w:pStyle w:val="6"/>
              <w:spacing w:before="29" w:line="214" w:lineRule="auto"/>
              <w:ind w:left="317"/>
              <w:rPr>
                <w:sz w:val="20"/>
                <w:szCs w:val="20"/>
              </w:rPr>
            </w:pPr>
            <w:r>
              <w:rPr>
                <w:sz w:val="20"/>
                <w:szCs w:val="20"/>
              </w:rPr>
              <w:t>中</w:t>
            </w:r>
          </w:p>
        </w:tc>
        <w:tc>
          <w:tcPr>
            <w:tcW w:w="801" w:type="dxa"/>
            <w:vAlign w:val="top"/>
          </w:tcPr>
          <w:p w14:paraId="7FC1D460">
            <w:pPr>
              <w:pStyle w:val="6"/>
              <w:spacing w:before="29" w:line="214" w:lineRule="auto"/>
              <w:ind w:left="307"/>
              <w:rPr>
                <w:sz w:val="20"/>
                <w:szCs w:val="20"/>
              </w:rPr>
            </w:pPr>
            <w:r>
              <w:rPr>
                <w:sz w:val="20"/>
                <w:szCs w:val="20"/>
              </w:rPr>
              <w:t>小</w:t>
            </w:r>
          </w:p>
        </w:tc>
        <w:tc>
          <w:tcPr>
            <w:tcW w:w="719" w:type="dxa"/>
            <w:vAlign w:val="top"/>
          </w:tcPr>
          <w:p w14:paraId="7E77F86D">
            <w:pPr>
              <w:pStyle w:val="6"/>
              <w:spacing w:before="29" w:line="214" w:lineRule="auto"/>
              <w:ind w:left="262"/>
              <w:rPr>
                <w:sz w:val="20"/>
                <w:szCs w:val="20"/>
              </w:rPr>
            </w:pPr>
            <w:r>
              <w:rPr>
                <w:sz w:val="20"/>
                <w:szCs w:val="20"/>
              </w:rPr>
              <w:t>大</w:t>
            </w:r>
          </w:p>
        </w:tc>
        <w:tc>
          <w:tcPr>
            <w:tcW w:w="695" w:type="dxa"/>
            <w:vAlign w:val="top"/>
          </w:tcPr>
          <w:p w14:paraId="029F6642">
            <w:pPr>
              <w:pStyle w:val="6"/>
              <w:spacing w:before="29" w:line="214" w:lineRule="auto"/>
              <w:ind w:left="268"/>
              <w:rPr>
                <w:sz w:val="20"/>
                <w:szCs w:val="20"/>
              </w:rPr>
            </w:pPr>
            <w:r>
              <w:rPr>
                <w:sz w:val="20"/>
                <w:szCs w:val="20"/>
              </w:rPr>
              <w:t>中</w:t>
            </w:r>
          </w:p>
        </w:tc>
        <w:tc>
          <w:tcPr>
            <w:tcW w:w="695" w:type="dxa"/>
            <w:vAlign w:val="top"/>
          </w:tcPr>
          <w:p w14:paraId="54B01893">
            <w:pPr>
              <w:pStyle w:val="6"/>
              <w:spacing w:before="29" w:line="214" w:lineRule="auto"/>
              <w:ind w:left="255"/>
              <w:rPr>
                <w:sz w:val="20"/>
                <w:szCs w:val="20"/>
              </w:rPr>
            </w:pPr>
            <w:r>
              <w:rPr>
                <w:sz w:val="20"/>
                <w:szCs w:val="20"/>
              </w:rPr>
              <w:t>小</w:t>
            </w:r>
          </w:p>
        </w:tc>
        <w:tc>
          <w:tcPr>
            <w:tcW w:w="697" w:type="dxa"/>
            <w:vAlign w:val="top"/>
          </w:tcPr>
          <w:p w14:paraId="5E83678A">
            <w:pPr>
              <w:pStyle w:val="6"/>
              <w:spacing w:before="29" w:line="214" w:lineRule="auto"/>
              <w:ind w:left="253"/>
              <w:rPr>
                <w:sz w:val="20"/>
                <w:szCs w:val="20"/>
              </w:rPr>
            </w:pPr>
            <w:r>
              <w:rPr>
                <w:sz w:val="20"/>
                <w:szCs w:val="20"/>
              </w:rPr>
              <w:t>大</w:t>
            </w:r>
          </w:p>
        </w:tc>
        <w:tc>
          <w:tcPr>
            <w:tcW w:w="697" w:type="dxa"/>
            <w:vAlign w:val="top"/>
          </w:tcPr>
          <w:p w14:paraId="7CED61D7">
            <w:pPr>
              <w:pStyle w:val="6"/>
              <w:spacing w:before="29" w:line="214" w:lineRule="auto"/>
              <w:ind w:left="269"/>
              <w:rPr>
                <w:sz w:val="20"/>
                <w:szCs w:val="20"/>
              </w:rPr>
            </w:pPr>
            <w:r>
              <w:rPr>
                <w:sz w:val="20"/>
                <w:szCs w:val="20"/>
              </w:rPr>
              <w:t>中</w:t>
            </w:r>
          </w:p>
        </w:tc>
        <w:tc>
          <w:tcPr>
            <w:tcW w:w="760" w:type="dxa"/>
            <w:tcBorders>
              <w:right w:val="nil"/>
            </w:tcBorders>
            <w:vAlign w:val="top"/>
          </w:tcPr>
          <w:p w14:paraId="091F6036">
            <w:pPr>
              <w:pStyle w:val="6"/>
              <w:spacing w:before="29" w:line="214" w:lineRule="auto"/>
              <w:ind w:left="287"/>
              <w:rPr>
                <w:sz w:val="20"/>
                <w:szCs w:val="20"/>
              </w:rPr>
            </w:pPr>
            <w:r>
              <w:rPr>
                <w:sz w:val="20"/>
                <w:szCs w:val="20"/>
              </w:rPr>
              <w:t>小</w:t>
            </w:r>
          </w:p>
        </w:tc>
      </w:tr>
      <w:tr w14:paraId="06D5C4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1204" w:type="dxa"/>
            <w:vMerge w:val="restart"/>
            <w:tcBorders>
              <w:left w:val="nil"/>
              <w:bottom w:val="nil"/>
            </w:tcBorders>
            <w:vAlign w:val="top"/>
          </w:tcPr>
          <w:p w14:paraId="05A0A237">
            <w:pPr>
              <w:rPr>
                <w:rFonts w:ascii="Arial"/>
                <w:sz w:val="21"/>
              </w:rPr>
            </w:pPr>
          </w:p>
          <w:p w14:paraId="2D256CCD">
            <w:pPr>
              <w:pStyle w:val="6"/>
              <w:spacing w:before="65" w:line="228" w:lineRule="auto"/>
              <w:ind w:left="190"/>
              <w:rPr>
                <w:sz w:val="20"/>
                <w:szCs w:val="20"/>
              </w:rPr>
            </w:pPr>
            <w:r>
              <w:rPr>
                <w:spacing w:val="7"/>
                <w:sz w:val="20"/>
                <w:szCs w:val="20"/>
              </w:rPr>
              <w:t>敏感程度</w:t>
            </w:r>
          </w:p>
        </w:tc>
        <w:tc>
          <w:tcPr>
            <w:tcW w:w="1210" w:type="dxa"/>
            <w:vAlign w:val="top"/>
          </w:tcPr>
          <w:p w14:paraId="1E0606A9">
            <w:pPr>
              <w:pStyle w:val="6"/>
              <w:spacing w:before="31" w:line="212" w:lineRule="auto"/>
              <w:ind w:left="402"/>
              <w:rPr>
                <w:sz w:val="20"/>
                <w:szCs w:val="20"/>
              </w:rPr>
            </w:pPr>
            <w:r>
              <w:rPr>
                <w:spacing w:val="4"/>
                <w:sz w:val="20"/>
                <w:szCs w:val="20"/>
              </w:rPr>
              <w:t>敏感</w:t>
            </w:r>
          </w:p>
        </w:tc>
        <w:tc>
          <w:tcPr>
            <w:tcW w:w="797" w:type="dxa"/>
            <w:vAlign w:val="top"/>
          </w:tcPr>
          <w:p w14:paraId="3670EABA">
            <w:pPr>
              <w:pStyle w:val="6"/>
              <w:spacing w:before="31" w:line="212" w:lineRule="auto"/>
              <w:ind w:left="197"/>
              <w:rPr>
                <w:sz w:val="20"/>
                <w:szCs w:val="20"/>
              </w:rPr>
            </w:pPr>
            <w:r>
              <w:rPr>
                <w:spacing w:val="3"/>
                <w:sz w:val="20"/>
                <w:szCs w:val="20"/>
              </w:rPr>
              <w:t>一级</w:t>
            </w:r>
          </w:p>
        </w:tc>
        <w:tc>
          <w:tcPr>
            <w:tcW w:w="797" w:type="dxa"/>
            <w:vAlign w:val="top"/>
          </w:tcPr>
          <w:p w14:paraId="66500238">
            <w:pPr>
              <w:pStyle w:val="6"/>
              <w:spacing w:before="31" w:line="212" w:lineRule="auto"/>
              <w:ind w:left="197"/>
              <w:rPr>
                <w:sz w:val="20"/>
                <w:szCs w:val="20"/>
              </w:rPr>
            </w:pPr>
            <w:r>
              <w:rPr>
                <w:spacing w:val="3"/>
                <w:sz w:val="20"/>
                <w:szCs w:val="20"/>
              </w:rPr>
              <w:t>一级</w:t>
            </w:r>
          </w:p>
        </w:tc>
        <w:tc>
          <w:tcPr>
            <w:tcW w:w="801" w:type="dxa"/>
            <w:vAlign w:val="top"/>
          </w:tcPr>
          <w:p w14:paraId="5CA60E81">
            <w:pPr>
              <w:pStyle w:val="6"/>
              <w:spacing w:before="31" w:line="212" w:lineRule="auto"/>
              <w:ind w:left="199"/>
              <w:rPr>
                <w:sz w:val="20"/>
                <w:szCs w:val="20"/>
              </w:rPr>
            </w:pPr>
            <w:r>
              <w:rPr>
                <w:spacing w:val="3"/>
                <w:sz w:val="20"/>
                <w:szCs w:val="20"/>
              </w:rPr>
              <w:t>一级</w:t>
            </w:r>
          </w:p>
        </w:tc>
        <w:tc>
          <w:tcPr>
            <w:tcW w:w="719" w:type="dxa"/>
            <w:vAlign w:val="top"/>
          </w:tcPr>
          <w:p w14:paraId="5A17883B">
            <w:pPr>
              <w:pStyle w:val="6"/>
              <w:spacing w:before="31" w:line="212" w:lineRule="auto"/>
              <w:ind w:left="159"/>
              <w:rPr>
                <w:sz w:val="20"/>
                <w:szCs w:val="20"/>
              </w:rPr>
            </w:pPr>
            <w:r>
              <w:rPr>
                <w:spacing w:val="3"/>
                <w:sz w:val="20"/>
                <w:szCs w:val="20"/>
              </w:rPr>
              <w:t>二级</w:t>
            </w:r>
          </w:p>
        </w:tc>
        <w:tc>
          <w:tcPr>
            <w:tcW w:w="695" w:type="dxa"/>
            <w:shd w:val="clear" w:color="auto" w:fill="E7E6E6"/>
            <w:vAlign w:val="top"/>
          </w:tcPr>
          <w:p w14:paraId="6B28E54C">
            <w:pPr>
              <w:pStyle w:val="6"/>
              <w:spacing w:before="31" w:line="212" w:lineRule="auto"/>
              <w:ind w:left="146"/>
              <w:rPr>
                <w:sz w:val="20"/>
                <w:szCs w:val="20"/>
              </w:rPr>
            </w:pPr>
            <w:r>
              <w:rPr>
                <w:spacing w:val="3"/>
                <w:sz w:val="20"/>
                <w:szCs w:val="20"/>
              </w:rPr>
              <w:t>二级</w:t>
            </w:r>
          </w:p>
        </w:tc>
        <w:tc>
          <w:tcPr>
            <w:tcW w:w="695" w:type="dxa"/>
            <w:vAlign w:val="top"/>
          </w:tcPr>
          <w:p w14:paraId="5DE88508">
            <w:pPr>
              <w:pStyle w:val="6"/>
              <w:spacing w:before="31" w:line="212" w:lineRule="auto"/>
              <w:ind w:left="147"/>
              <w:rPr>
                <w:sz w:val="20"/>
                <w:szCs w:val="20"/>
              </w:rPr>
            </w:pPr>
            <w:r>
              <w:rPr>
                <w:spacing w:val="3"/>
                <w:sz w:val="20"/>
                <w:szCs w:val="20"/>
              </w:rPr>
              <w:t>二级</w:t>
            </w:r>
          </w:p>
        </w:tc>
        <w:tc>
          <w:tcPr>
            <w:tcW w:w="697" w:type="dxa"/>
            <w:vAlign w:val="top"/>
          </w:tcPr>
          <w:p w14:paraId="57F0D3B3">
            <w:pPr>
              <w:pStyle w:val="6"/>
              <w:spacing w:before="31" w:line="212" w:lineRule="auto"/>
              <w:ind w:left="145"/>
              <w:rPr>
                <w:sz w:val="20"/>
                <w:szCs w:val="20"/>
              </w:rPr>
            </w:pPr>
            <w:r>
              <w:rPr>
                <w:spacing w:val="4"/>
                <w:sz w:val="20"/>
                <w:szCs w:val="20"/>
              </w:rPr>
              <w:t>三级</w:t>
            </w:r>
          </w:p>
        </w:tc>
        <w:tc>
          <w:tcPr>
            <w:tcW w:w="697" w:type="dxa"/>
            <w:vAlign w:val="top"/>
          </w:tcPr>
          <w:p w14:paraId="3149CBF7">
            <w:pPr>
              <w:pStyle w:val="6"/>
              <w:spacing w:before="31" w:line="212" w:lineRule="auto"/>
              <w:ind w:left="144"/>
              <w:rPr>
                <w:sz w:val="20"/>
                <w:szCs w:val="20"/>
              </w:rPr>
            </w:pPr>
            <w:r>
              <w:rPr>
                <w:spacing w:val="4"/>
                <w:sz w:val="20"/>
                <w:szCs w:val="20"/>
              </w:rPr>
              <w:t>三级</w:t>
            </w:r>
          </w:p>
        </w:tc>
        <w:tc>
          <w:tcPr>
            <w:tcW w:w="760" w:type="dxa"/>
            <w:tcBorders>
              <w:right w:val="nil"/>
            </w:tcBorders>
            <w:vAlign w:val="top"/>
          </w:tcPr>
          <w:p w14:paraId="0A6ED02F">
            <w:pPr>
              <w:pStyle w:val="6"/>
              <w:spacing w:before="31" w:line="212" w:lineRule="auto"/>
              <w:ind w:left="176"/>
              <w:rPr>
                <w:sz w:val="20"/>
                <w:szCs w:val="20"/>
              </w:rPr>
            </w:pPr>
            <w:r>
              <w:rPr>
                <w:spacing w:val="4"/>
                <w:sz w:val="20"/>
                <w:szCs w:val="20"/>
              </w:rPr>
              <w:t>三级</w:t>
            </w:r>
          </w:p>
        </w:tc>
      </w:tr>
      <w:tr w14:paraId="7390EC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1204" w:type="dxa"/>
            <w:vMerge w:val="continue"/>
            <w:tcBorders>
              <w:top w:val="nil"/>
              <w:left w:val="nil"/>
              <w:bottom w:val="nil"/>
            </w:tcBorders>
            <w:vAlign w:val="top"/>
          </w:tcPr>
          <w:p w14:paraId="2AA376AC">
            <w:pPr>
              <w:rPr>
                <w:rFonts w:ascii="Arial"/>
                <w:sz w:val="21"/>
              </w:rPr>
            </w:pPr>
          </w:p>
        </w:tc>
        <w:tc>
          <w:tcPr>
            <w:tcW w:w="1210" w:type="dxa"/>
            <w:vAlign w:val="top"/>
          </w:tcPr>
          <w:p w14:paraId="4A53B1A3">
            <w:pPr>
              <w:pStyle w:val="6"/>
              <w:spacing w:before="31" w:line="213" w:lineRule="auto"/>
              <w:ind w:left="295"/>
              <w:rPr>
                <w:sz w:val="20"/>
                <w:szCs w:val="20"/>
              </w:rPr>
            </w:pPr>
            <w:r>
              <w:rPr>
                <w:spacing w:val="6"/>
                <w:sz w:val="20"/>
                <w:szCs w:val="20"/>
              </w:rPr>
              <w:t>较敏感</w:t>
            </w:r>
          </w:p>
        </w:tc>
        <w:tc>
          <w:tcPr>
            <w:tcW w:w="797" w:type="dxa"/>
            <w:vAlign w:val="top"/>
          </w:tcPr>
          <w:p w14:paraId="1087A79A">
            <w:pPr>
              <w:pStyle w:val="6"/>
              <w:spacing w:before="31" w:line="213" w:lineRule="auto"/>
              <w:ind w:left="197"/>
              <w:rPr>
                <w:sz w:val="20"/>
                <w:szCs w:val="20"/>
              </w:rPr>
            </w:pPr>
            <w:r>
              <w:rPr>
                <w:spacing w:val="3"/>
                <w:sz w:val="20"/>
                <w:szCs w:val="20"/>
              </w:rPr>
              <w:t>一级</w:t>
            </w:r>
          </w:p>
        </w:tc>
        <w:tc>
          <w:tcPr>
            <w:tcW w:w="797" w:type="dxa"/>
            <w:vAlign w:val="top"/>
          </w:tcPr>
          <w:p w14:paraId="482B3DC2">
            <w:pPr>
              <w:pStyle w:val="6"/>
              <w:spacing w:before="31" w:line="213" w:lineRule="auto"/>
              <w:ind w:left="197"/>
              <w:rPr>
                <w:sz w:val="20"/>
                <w:szCs w:val="20"/>
              </w:rPr>
            </w:pPr>
            <w:r>
              <w:rPr>
                <w:spacing w:val="3"/>
                <w:sz w:val="20"/>
                <w:szCs w:val="20"/>
              </w:rPr>
              <w:t>一级</w:t>
            </w:r>
          </w:p>
        </w:tc>
        <w:tc>
          <w:tcPr>
            <w:tcW w:w="801" w:type="dxa"/>
            <w:vAlign w:val="top"/>
          </w:tcPr>
          <w:p w14:paraId="35A4A28B">
            <w:pPr>
              <w:pStyle w:val="6"/>
              <w:spacing w:before="31" w:line="213" w:lineRule="auto"/>
              <w:ind w:left="199"/>
              <w:rPr>
                <w:sz w:val="20"/>
                <w:szCs w:val="20"/>
              </w:rPr>
            </w:pPr>
            <w:r>
              <w:rPr>
                <w:spacing w:val="3"/>
                <w:sz w:val="20"/>
                <w:szCs w:val="20"/>
              </w:rPr>
              <w:t>二级</w:t>
            </w:r>
          </w:p>
        </w:tc>
        <w:tc>
          <w:tcPr>
            <w:tcW w:w="719" w:type="dxa"/>
            <w:vAlign w:val="top"/>
          </w:tcPr>
          <w:p w14:paraId="5AC6F4BE">
            <w:pPr>
              <w:pStyle w:val="6"/>
              <w:spacing w:before="31" w:line="213" w:lineRule="auto"/>
              <w:ind w:left="159"/>
              <w:rPr>
                <w:sz w:val="20"/>
                <w:szCs w:val="20"/>
              </w:rPr>
            </w:pPr>
            <w:r>
              <w:rPr>
                <w:spacing w:val="3"/>
                <w:sz w:val="20"/>
                <w:szCs w:val="20"/>
              </w:rPr>
              <w:t>二级</w:t>
            </w:r>
          </w:p>
        </w:tc>
        <w:tc>
          <w:tcPr>
            <w:tcW w:w="695" w:type="dxa"/>
            <w:vAlign w:val="top"/>
          </w:tcPr>
          <w:p w14:paraId="7ABFA935">
            <w:pPr>
              <w:pStyle w:val="6"/>
              <w:spacing w:before="31" w:line="213" w:lineRule="auto"/>
              <w:ind w:left="146"/>
              <w:rPr>
                <w:sz w:val="20"/>
                <w:szCs w:val="20"/>
              </w:rPr>
            </w:pPr>
            <w:r>
              <w:rPr>
                <w:spacing w:val="3"/>
                <w:sz w:val="20"/>
                <w:szCs w:val="20"/>
              </w:rPr>
              <w:t>二级</w:t>
            </w:r>
          </w:p>
        </w:tc>
        <w:tc>
          <w:tcPr>
            <w:tcW w:w="695" w:type="dxa"/>
            <w:vAlign w:val="top"/>
          </w:tcPr>
          <w:p w14:paraId="33CA8D56">
            <w:pPr>
              <w:pStyle w:val="6"/>
              <w:spacing w:before="31" w:line="213" w:lineRule="auto"/>
              <w:ind w:left="144"/>
              <w:rPr>
                <w:sz w:val="20"/>
                <w:szCs w:val="20"/>
              </w:rPr>
            </w:pPr>
            <w:r>
              <w:rPr>
                <w:spacing w:val="4"/>
                <w:sz w:val="20"/>
                <w:szCs w:val="20"/>
              </w:rPr>
              <w:t>三级</w:t>
            </w:r>
          </w:p>
        </w:tc>
        <w:tc>
          <w:tcPr>
            <w:tcW w:w="697" w:type="dxa"/>
            <w:vAlign w:val="top"/>
          </w:tcPr>
          <w:p w14:paraId="15EC2BC3">
            <w:pPr>
              <w:pStyle w:val="6"/>
              <w:spacing w:before="31" w:line="213" w:lineRule="auto"/>
              <w:ind w:left="145"/>
              <w:rPr>
                <w:sz w:val="20"/>
                <w:szCs w:val="20"/>
              </w:rPr>
            </w:pPr>
            <w:r>
              <w:rPr>
                <w:spacing w:val="4"/>
                <w:sz w:val="20"/>
                <w:szCs w:val="20"/>
              </w:rPr>
              <w:t>三级</w:t>
            </w:r>
          </w:p>
        </w:tc>
        <w:tc>
          <w:tcPr>
            <w:tcW w:w="697" w:type="dxa"/>
            <w:vAlign w:val="top"/>
          </w:tcPr>
          <w:p w14:paraId="522AC14D">
            <w:pPr>
              <w:pStyle w:val="6"/>
              <w:spacing w:before="31" w:line="213" w:lineRule="auto"/>
              <w:ind w:left="144"/>
              <w:rPr>
                <w:sz w:val="20"/>
                <w:szCs w:val="20"/>
              </w:rPr>
            </w:pPr>
            <w:r>
              <w:rPr>
                <w:spacing w:val="4"/>
                <w:sz w:val="20"/>
                <w:szCs w:val="20"/>
              </w:rPr>
              <w:t>三级</w:t>
            </w:r>
          </w:p>
        </w:tc>
        <w:tc>
          <w:tcPr>
            <w:tcW w:w="760" w:type="dxa"/>
            <w:tcBorders>
              <w:right w:val="nil"/>
            </w:tcBorders>
            <w:vAlign w:val="top"/>
          </w:tcPr>
          <w:p w14:paraId="7DDB7D8A">
            <w:pPr>
              <w:spacing w:before="156" w:line="96" w:lineRule="exact"/>
              <w:ind w:left="272"/>
              <w:rPr>
                <w:rFonts w:ascii="Times New Roman" w:hAnsi="Times New Roman" w:eastAsia="Times New Roman" w:cs="Times New Roman"/>
                <w:sz w:val="20"/>
                <w:szCs w:val="20"/>
              </w:rPr>
            </w:pPr>
            <w:r>
              <w:rPr>
                <w:rFonts w:ascii="Times New Roman" w:hAnsi="Times New Roman" w:eastAsia="Times New Roman" w:cs="Times New Roman"/>
                <w:spacing w:val="12"/>
                <w:position w:val="-2"/>
                <w:sz w:val="20"/>
                <w:szCs w:val="20"/>
              </w:rPr>
              <w:t>—</w:t>
            </w:r>
          </w:p>
        </w:tc>
      </w:tr>
      <w:tr w14:paraId="58D8B0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1204" w:type="dxa"/>
            <w:vMerge w:val="continue"/>
            <w:tcBorders>
              <w:top w:val="nil"/>
              <w:left w:val="nil"/>
            </w:tcBorders>
            <w:vAlign w:val="top"/>
          </w:tcPr>
          <w:p w14:paraId="757E8976">
            <w:pPr>
              <w:rPr>
                <w:rFonts w:ascii="Arial"/>
                <w:sz w:val="21"/>
              </w:rPr>
            </w:pPr>
          </w:p>
        </w:tc>
        <w:tc>
          <w:tcPr>
            <w:tcW w:w="1210" w:type="dxa"/>
            <w:vAlign w:val="top"/>
          </w:tcPr>
          <w:p w14:paraId="292BD3FE">
            <w:pPr>
              <w:pStyle w:val="6"/>
              <w:spacing w:before="33" w:line="212" w:lineRule="auto"/>
              <w:ind w:left="299"/>
              <w:rPr>
                <w:sz w:val="20"/>
                <w:szCs w:val="20"/>
              </w:rPr>
            </w:pPr>
            <w:r>
              <w:rPr>
                <w:spacing w:val="5"/>
                <w:sz w:val="20"/>
                <w:szCs w:val="20"/>
              </w:rPr>
              <w:t>不敏感</w:t>
            </w:r>
          </w:p>
        </w:tc>
        <w:tc>
          <w:tcPr>
            <w:tcW w:w="797" w:type="dxa"/>
            <w:vAlign w:val="top"/>
          </w:tcPr>
          <w:p w14:paraId="78446113">
            <w:pPr>
              <w:pStyle w:val="6"/>
              <w:spacing w:before="33" w:line="212" w:lineRule="auto"/>
              <w:ind w:left="197"/>
              <w:rPr>
                <w:sz w:val="20"/>
                <w:szCs w:val="20"/>
              </w:rPr>
            </w:pPr>
            <w:r>
              <w:rPr>
                <w:spacing w:val="3"/>
                <w:sz w:val="20"/>
                <w:szCs w:val="20"/>
              </w:rPr>
              <w:t>一级</w:t>
            </w:r>
          </w:p>
        </w:tc>
        <w:tc>
          <w:tcPr>
            <w:tcW w:w="797" w:type="dxa"/>
            <w:vAlign w:val="top"/>
          </w:tcPr>
          <w:p w14:paraId="268540BD">
            <w:pPr>
              <w:pStyle w:val="6"/>
              <w:spacing w:before="33" w:line="212" w:lineRule="auto"/>
              <w:ind w:left="197"/>
              <w:rPr>
                <w:sz w:val="20"/>
                <w:szCs w:val="20"/>
              </w:rPr>
            </w:pPr>
            <w:r>
              <w:rPr>
                <w:spacing w:val="3"/>
                <w:sz w:val="20"/>
                <w:szCs w:val="20"/>
              </w:rPr>
              <w:t>二级</w:t>
            </w:r>
          </w:p>
        </w:tc>
        <w:tc>
          <w:tcPr>
            <w:tcW w:w="801" w:type="dxa"/>
            <w:vAlign w:val="top"/>
          </w:tcPr>
          <w:p w14:paraId="4920EC20">
            <w:pPr>
              <w:pStyle w:val="6"/>
              <w:spacing w:before="33" w:line="212" w:lineRule="auto"/>
              <w:ind w:left="199"/>
              <w:rPr>
                <w:sz w:val="20"/>
                <w:szCs w:val="20"/>
              </w:rPr>
            </w:pPr>
            <w:r>
              <w:rPr>
                <w:spacing w:val="3"/>
                <w:sz w:val="20"/>
                <w:szCs w:val="20"/>
              </w:rPr>
              <w:t>二级</w:t>
            </w:r>
          </w:p>
        </w:tc>
        <w:tc>
          <w:tcPr>
            <w:tcW w:w="719" w:type="dxa"/>
            <w:vAlign w:val="top"/>
          </w:tcPr>
          <w:p w14:paraId="501FB2AF">
            <w:pPr>
              <w:pStyle w:val="6"/>
              <w:spacing w:before="33" w:line="212" w:lineRule="auto"/>
              <w:ind w:left="159"/>
              <w:rPr>
                <w:sz w:val="20"/>
                <w:szCs w:val="20"/>
              </w:rPr>
            </w:pPr>
            <w:r>
              <w:rPr>
                <w:spacing w:val="3"/>
                <w:sz w:val="20"/>
                <w:szCs w:val="20"/>
              </w:rPr>
              <w:t>二级</w:t>
            </w:r>
          </w:p>
        </w:tc>
        <w:tc>
          <w:tcPr>
            <w:tcW w:w="695" w:type="dxa"/>
            <w:vAlign w:val="top"/>
          </w:tcPr>
          <w:p w14:paraId="13A35858">
            <w:pPr>
              <w:pStyle w:val="6"/>
              <w:spacing w:before="33" w:line="212" w:lineRule="auto"/>
              <w:ind w:left="143"/>
              <w:rPr>
                <w:sz w:val="20"/>
                <w:szCs w:val="20"/>
              </w:rPr>
            </w:pPr>
            <w:r>
              <w:rPr>
                <w:spacing w:val="4"/>
                <w:sz w:val="20"/>
                <w:szCs w:val="20"/>
              </w:rPr>
              <w:t>三级</w:t>
            </w:r>
          </w:p>
        </w:tc>
        <w:tc>
          <w:tcPr>
            <w:tcW w:w="695" w:type="dxa"/>
            <w:vAlign w:val="top"/>
          </w:tcPr>
          <w:p w14:paraId="40C94DB3">
            <w:pPr>
              <w:pStyle w:val="6"/>
              <w:spacing w:before="33" w:line="212" w:lineRule="auto"/>
              <w:ind w:left="144"/>
              <w:rPr>
                <w:sz w:val="20"/>
                <w:szCs w:val="20"/>
              </w:rPr>
            </w:pPr>
            <w:r>
              <w:rPr>
                <w:spacing w:val="4"/>
                <w:sz w:val="20"/>
                <w:szCs w:val="20"/>
              </w:rPr>
              <w:t>三级</w:t>
            </w:r>
          </w:p>
        </w:tc>
        <w:tc>
          <w:tcPr>
            <w:tcW w:w="697" w:type="dxa"/>
            <w:vAlign w:val="top"/>
          </w:tcPr>
          <w:p w14:paraId="5B9D00C1">
            <w:pPr>
              <w:pStyle w:val="6"/>
              <w:spacing w:before="33" w:line="212" w:lineRule="auto"/>
              <w:ind w:left="145"/>
              <w:rPr>
                <w:sz w:val="20"/>
                <w:szCs w:val="20"/>
              </w:rPr>
            </w:pPr>
            <w:r>
              <w:rPr>
                <w:spacing w:val="4"/>
                <w:sz w:val="20"/>
                <w:szCs w:val="20"/>
              </w:rPr>
              <w:t>三级</w:t>
            </w:r>
          </w:p>
        </w:tc>
        <w:tc>
          <w:tcPr>
            <w:tcW w:w="697" w:type="dxa"/>
            <w:vAlign w:val="top"/>
          </w:tcPr>
          <w:p w14:paraId="55080E46">
            <w:pPr>
              <w:tabs>
                <w:tab w:val="left" w:pos="452"/>
              </w:tabs>
              <w:spacing w:line="205" w:lineRule="auto"/>
              <w:ind w:left="239"/>
              <w:rPr>
                <w:rFonts w:ascii="Arial"/>
                <w:sz w:val="21"/>
              </w:rPr>
            </w:pPr>
            <w:r>
              <w:rPr>
                <w:rFonts w:ascii="Arial" w:hAnsi="Arial" w:eastAsia="Arial" w:cs="Arial"/>
                <w:sz w:val="21"/>
                <w:szCs w:val="21"/>
                <w:u w:val="single" w:color="auto"/>
              </w:rPr>
              <w:tab/>
            </w:r>
          </w:p>
        </w:tc>
        <w:tc>
          <w:tcPr>
            <w:tcW w:w="760" w:type="dxa"/>
            <w:tcBorders>
              <w:right w:val="nil"/>
            </w:tcBorders>
            <w:vAlign w:val="top"/>
          </w:tcPr>
          <w:p w14:paraId="597CCDFC">
            <w:pPr>
              <w:tabs>
                <w:tab w:val="left" w:pos="484"/>
              </w:tabs>
              <w:spacing w:line="205" w:lineRule="auto"/>
              <w:ind w:left="272"/>
              <w:rPr>
                <w:rFonts w:ascii="Arial"/>
                <w:sz w:val="21"/>
              </w:rPr>
            </w:pPr>
            <w:r>
              <w:rPr>
                <w:rFonts w:ascii="Arial" w:hAnsi="Arial" w:eastAsia="Arial" w:cs="Arial"/>
                <w:sz w:val="21"/>
                <w:szCs w:val="21"/>
                <w:u w:val="single" w:color="auto"/>
              </w:rPr>
              <w:tab/>
            </w:r>
          </w:p>
        </w:tc>
      </w:tr>
    </w:tbl>
    <w:p w14:paraId="5442615B">
      <w:pPr>
        <w:spacing w:before="29" w:line="224" w:lineRule="auto"/>
        <w:ind w:left="8"/>
        <w:rPr>
          <w:rFonts w:ascii="宋体" w:hAnsi="宋体" w:eastAsia="宋体" w:cs="宋体"/>
          <w:sz w:val="20"/>
          <w:szCs w:val="20"/>
        </w:rPr>
      </w:pPr>
      <w:r>
        <w:rPr>
          <w:rFonts w:ascii="宋体" w:hAnsi="宋体" w:eastAsia="宋体" w:cs="宋体"/>
          <w:spacing w:val="8"/>
          <w:sz w:val="20"/>
          <w:szCs w:val="20"/>
        </w:rPr>
        <w:t>注：</w:t>
      </w:r>
      <w:r>
        <w:rPr>
          <w:rFonts w:ascii="Times New Roman" w:hAnsi="Times New Roman" w:eastAsia="Times New Roman" w:cs="Times New Roman"/>
          <w:spacing w:val="8"/>
          <w:sz w:val="20"/>
          <w:szCs w:val="20"/>
        </w:rPr>
        <w:t>“—”</w:t>
      </w:r>
      <w:r>
        <w:rPr>
          <w:rFonts w:ascii="宋体" w:hAnsi="宋体" w:eastAsia="宋体" w:cs="宋体"/>
          <w:spacing w:val="8"/>
          <w:sz w:val="20"/>
          <w:szCs w:val="20"/>
        </w:rPr>
        <w:t>表示可不开展土壤环境影响评价工作。</w:t>
      </w:r>
    </w:p>
    <w:p w14:paraId="446F0DC2">
      <w:pPr>
        <w:spacing w:line="29" w:lineRule="exact"/>
        <w:ind w:firstLine="1"/>
      </w:pPr>
      <w:r>
        <w:pict>
          <v:shape id="_x0000_s1070" o:spid="_x0000_s1070" style="height:1.45pt;width:453.65pt;" filled="f" stroked="t" coordsize="9072,29" path="m0,14l9072,14e">
            <v:fill on="f" focussize="0,0"/>
            <v:stroke weight="1.44pt" color="#000000" miterlimit="2" joinstyle="bevel"/>
            <v:imagedata o:title=""/>
            <o:lock v:ext="edit"/>
            <w10:wrap type="none"/>
            <w10:anchorlock/>
          </v:shape>
        </w:pict>
      </w:r>
    </w:p>
    <w:p w14:paraId="6080A9F3">
      <w:pPr>
        <w:spacing w:before="36" w:line="346" w:lineRule="auto"/>
        <w:ind w:left="15" w:right="12" w:firstLine="476"/>
        <w:rPr>
          <w:rFonts w:ascii="宋体" w:hAnsi="宋体" w:eastAsia="宋体" w:cs="宋体"/>
          <w:sz w:val="24"/>
          <w:szCs w:val="24"/>
        </w:rPr>
      </w:pPr>
      <w:r>
        <w:rPr>
          <w:rFonts w:ascii="宋体" w:hAnsi="宋体" w:eastAsia="宋体" w:cs="宋体"/>
          <w:spacing w:val="-1"/>
          <w:sz w:val="24"/>
          <w:szCs w:val="24"/>
        </w:rPr>
        <w:t>综上，本项目厂区类别为</w:t>
      </w:r>
      <w:r>
        <w:rPr>
          <w:rFonts w:ascii="Times New Roman" w:hAnsi="Times New Roman" w:eastAsia="Times New Roman" w:cs="Times New Roman"/>
          <w:spacing w:val="-1"/>
          <w:sz w:val="24"/>
          <w:szCs w:val="24"/>
        </w:rPr>
        <w:t>Ⅱ</w:t>
      </w:r>
      <w:r>
        <w:rPr>
          <w:rFonts w:ascii="宋体" w:hAnsi="宋体" w:eastAsia="宋体" w:cs="宋体"/>
          <w:spacing w:val="-1"/>
          <w:sz w:val="24"/>
          <w:szCs w:val="24"/>
        </w:rPr>
        <w:t>类，</w:t>
      </w:r>
      <w:r>
        <w:rPr>
          <w:rFonts w:ascii="宋体" w:hAnsi="宋体" w:eastAsia="宋体" w:cs="宋体"/>
          <w:spacing w:val="-61"/>
          <w:sz w:val="24"/>
          <w:szCs w:val="24"/>
        </w:rPr>
        <w:t xml:space="preserve"> </w:t>
      </w:r>
      <w:r>
        <w:rPr>
          <w:rFonts w:ascii="宋体" w:hAnsi="宋体" w:eastAsia="宋体" w:cs="宋体"/>
          <w:spacing w:val="-1"/>
          <w:sz w:val="24"/>
          <w:szCs w:val="24"/>
        </w:rPr>
        <w:t>占地规模为中型，土壤环境敏感程度属</w:t>
      </w:r>
      <w:r>
        <w:rPr>
          <w:rFonts w:ascii="Times New Roman" w:hAnsi="Times New Roman" w:eastAsia="Times New Roman" w:cs="Times New Roman"/>
          <w:spacing w:val="-1"/>
          <w:sz w:val="24"/>
          <w:szCs w:val="24"/>
        </w:rPr>
        <w:t>“</w:t>
      </w:r>
      <w:r>
        <w:rPr>
          <w:rFonts w:ascii="宋体" w:hAnsi="宋体" w:eastAsia="宋体" w:cs="宋体"/>
          <w:spacing w:val="-1"/>
          <w:sz w:val="24"/>
          <w:szCs w:val="24"/>
        </w:rPr>
        <w:t>敏感</w:t>
      </w:r>
      <w:r>
        <w:rPr>
          <w:rFonts w:ascii="Times New Roman" w:hAnsi="Times New Roman" w:eastAsia="Times New Roman" w:cs="Times New Roman"/>
          <w:spacing w:val="-1"/>
          <w:sz w:val="24"/>
          <w:szCs w:val="24"/>
        </w:rPr>
        <w:t>”</w:t>
      </w:r>
      <w:r>
        <w:rPr>
          <w:rFonts w:ascii="Times New Roman" w:hAnsi="Times New Roman" w:eastAsia="Times New Roman" w:cs="Times New Roman"/>
          <w:spacing w:val="-30"/>
          <w:sz w:val="24"/>
          <w:szCs w:val="24"/>
        </w:rPr>
        <w:t xml:space="preserve"> </w:t>
      </w:r>
      <w:r>
        <w:rPr>
          <w:rFonts w:ascii="宋体" w:hAnsi="宋体" w:eastAsia="宋体" w:cs="宋体"/>
          <w:spacing w:val="-1"/>
          <w:sz w:val="24"/>
          <w:szCs w:val="24"/>
        </w:rPr>
        <w:t>，本</w:t>
      </w:r>
      <w:r>
        <w:rPr>
          <w:rFonts w:ascii="宋体" w:hAnsi="宋体" w:eastAsia="宋体" w:cs="宋体"/>
          <w:sz w:val="24"/>
          <w:szCs w:val="24"/>
        </w:rPr>
        <w:t xml:space="preserve"> </w:t>
      </w:r>
      <w:r>
        <w:rPr>
          <w:rFonts w:ascii="宋体" w:hAnsi="宋体" w:eastAsia="宋体" w:cs="宋体"/>
          <w:spacing w:val="-2"/>
          <w:sz w:val="24"/>
          <w:szCs w:val="24"/>
        </w:rPr>
        <w:t>次土壤评价确定为二级。</w:t>
      </w:r>
    </w:p>
    <w:p w14:paraId="372E71F3">
      <w:pPr>
        <w:spacing w:before="37" w:line="218" w:lineRule="auto"/>
        <w:ind w:left="500"/>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）评价范围确定</w:t>
      </w:r>
    </w:p>
    <w:p w14:paraId="551155A3">
      <w:pPr>
        <w:spacing w:before="182" w:line="218" w:lineRule="auto"/>
        <w:ind w:left="488"/>
        <w:rPr>
          <w:rFonts w:ascii="宋体" w:hAnsi="宋体" w:eastAsia="宋体" w:cs="宋体"/>
          <w:sz w:val="24"/>
          <w:szCs w:val="24"/>
        </w:rPr>
      </w:pPr>
      <w:r>
        <w:rPr>
          <w:rFonts w:ascii="宋体" w:hAnsi="宋体" w:eastAsia="宋体" w:cs="宋体"/>
          <w:spacing w:val="-1"/>
          <w:sz w:val="24"/>
          <w:szCs w:val="24"/>
        </w:rPr>
        <w:t>评价范围根据导则中现状调查范围表确定，</w:t>
      </w:r>
      <w:r>
        <w:rPr>
          <w:rFonts w:ascii="宋体" w:hAnsi="宋体" w:eastAsia="宋体" w:cs="宋体"/>
          <w:spacing w:val="-2"/>
          <w:sz w:val="24"/>
          <w:szCs w:val="24"/>
        </w:rPr>
        <w:t>详见表</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1.6-13</w:t>
      </w:r>
      <w:r>
        <w:rPr>
          <w:rFonts w:ascii="宋体" w:hAnsi="宋体" w:eastAsia="宋体" w:cs="宋体"/>
          <w:spacing w:val="-2"/>
          <w:sz w:val="24"/>
          <w:szCs w:val="24"/>
        </w:rPr>
        <w:t>。</w:t>
      </w:r>
    </w:p>
    <w:p w14:paraId="50252D51">
      <w:pPr>
        <w:spacing w:before="177" w:line="228" w:lineRule="auto"/>
        <w:ind w:left="3300"/>
        <w:rPr>
          <w:rFonts w:ascii="宋体" w:hAnsi="宋体" w:eastAsia="宋体" w:cs="宋体"/>
          <w:sz w:val="20"/>
          <w:szCs w:val="20"/>
        </w:rPr>
      </w:pPr>
      <w:r>
        <w:rPr>
          <w:rFonts w:ascii="宋体" w:hAnsi="宋体" w:eastAsia="宋体" w:cs="宋体"/>
          <w:b/>
          <w:bCs/>
          <w:spacing w:val="3"/>
          <w:sz w:val="20"/>
          <w:szCs w:val="20"/>
        </w:rPr>
        <w:t>表</w:t>
      </w:r>
      <w:r>
        <w:rPr>
          <w:rFonts w:ascii="宋体" w:hAnsi="宋体" w:eastAsia="宋体" w:cs="宋体"/>
          <w:spacing w:val="-17"/>
          <w:sz w:val="20"/>
          <w:szCs w:val="20"/>
        </w:rPr>
        <w:t xml:space="preserve"> </w:t>
      </w:r>
      <w:r>
        <w:rPr>
          <w:rFonts w:ascii="Times New Roman" w:hAnsi="Times New Roman" w:eastAsia="Times New Roman" w:cs="Times New Roman"/>
          <w:b/>
          <w:bCs/>
          <w:spacing w:val="3"/>
          <w:sz w:val="20"/>
          <w:szCs w:val="20"/>
        </w:rPr>
        <w:t xml:space="preserve">1.6-13        </w:t>
      </w:r>
      <w:r>
        <w:rPr>
          <w:rFonts w:ascii="宋体" w:hAnsi="宋体" w:eastAsia="宋体" w:cs="宋体"/>
          <w:b/>
          <w:bCs/>
          <w:spacing w:val="3"/>
          <w:sz w:val="20"/>
          <w:szCs w:val="20"/>
        </w:rPr>
        <w:t>现状调查范围</w:t>
      </w:r>
    </w:p>
    <w:p w14:paraId="640AAD1B">
      <w:pPr>
        <w:spacing w:line="132" w:lineRule="exact"/>
      </w:pPr>
    </w:p>
    <w:tbl>
      <w:tblPr>
        <w:tblStyle w:val="5"/>
        <w:tblW w:w="9073"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24"/>
        <w:gridCol w:w="2325"/>
        <w:gridCol w:w="2330"/>
        <w:gridCol w:w="2094"/>
      </w:tblGrid>
      <w:tr w14:paraId="08FD88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2324" w:type="dxa"/>
            <w:vMerge w:val="restart"/>
            <w:tcBorders>
              <w:top w:val="single" w:color="000000" w:sz="10" w:space="0"/>
              <w:left w:val="nil"/>
              <w:bottom w:val="nil"/>
            </w:tcBorders>
            <w:vAlign w:val="top"/>
          </w:tcPr>
          <w:p w14:paraId="404E3473">
            <w:pPr>
              <w:pStyle w:val="6"/>
              <w:spacing w:before="175" w:line="226" w:lineRule="auto"/>
              <w:ind w:left="534"/>
              <w:rPr>
                <w:sz w:val="20"/>
                <w:szCs w:val="20"/>
              </w:rPr>
            </w:pPr>
            <w:r>
              <w:rPr>
                <w:b/>
                <w:bCs/>
                <w:spacing w:val="7"/>
                <w:sz w:val="20"/>
                <w:szCs w:val="20"/>
              </w:rPr>
              <w:t>评价工作等级</w:t>
            </w:r>
          </w:p>
        </w:tc>
        <w:tc>
          <w:tcPr>
            <w:tcW w:w="2325" w:type="dxa"/>
            <w:vMerge w:val="restart"/>
            <w:tcBorders>
              <w:top w:val="single" w:color="000000" w:sz="10" w:space="0"/>
              <w:bottom w:val="nil"/>
            </w:tcBorders>
            <w:vAlign w:val="top"/>
          </w:tcPr>
          <w:p w14:paraId="7CB38239">
            <w:pPr>
              <w:pStyle w:val="6"/>
              <w:spacing w:before="174" w:line="228" w:lineRule="auto"/>
              <w:ind w:left="745"/>
              <w:rPr>
                <w:sz w:val="20"/>
                <w:szCs w:val="20"/>
              </w:rPr>
            </w:pPr>
            <w:r>
              <w:rPr>
                <w:b/>
                <w:bCs/>
                <w:spacing w:val="6"/>
                <w:sz w:val="20"/>
                <w:szCs w:val="20"/>
              </w:rPr>
              <w:t>影响类型</w:t>
            </w:r>
          </w:p>
        </w:tc>
        <w:tc>
          <w:tcPr>
            <w:tcW w:w="4424" w:type="dxa"/>
            <w:gridSpan w:val="2"/>
            <w:tcBorders>
              <w:top w:val="single" w:color="000000" w:sz="10" w:space="0"/>
              <w:right w:val="nil"/>
            </w:tcBorders>
            <w:vAlign w:val="top"/>
          </w:tcPr>
          <w:p w14:paraId="230A765F">
            <w:pPr>
              <w:pStyle w:val="6"/>
              <w:spacing w:before="36" w:line="215" w:lineRule="auto"/>
              <w:ind w:left="1738"/>
              <w:rPr>
                <w:rFonts w:ascii="Times New Roman" w:hAnsi="Times New Roman" w:eastAsia="Times New Roman" w:cs="Times New Roman"/>
                <w:sz w:val="13"/>
                <w:szCs w:val="13"/>
              </w:rPr>
            </w:pPr>
            <w:r>
              <w:rPr>
                <w:b/>
                <w:bCs/>
                <w:spacing w:val="4"/>
                <w:sz w:val="20"/>
                <w:szCs w:val="20"/>
              </w:rPr>
              <w:t>调查范围</w:t>
            </w:r>
            <w:r>
              <w:rPr>
                <w:spacing w:val="-38"/>
                <w:sz w:val="20"/>
                <w:szCs w:val="20"/>
              </w:rPr>
              <w:t xml:space="preserve"> </w:t>
            </w:r>
            <w:r>
              <w:rPr>
                <w:rFonts w:ascii="Times New Roman" w:hAnsi="Times New Roman" w:eastAsia="Times New Roman" w:cs="Times New Roman"/>
                <w:b/>
                <w:bCs/>
                <w:spacing w:val="4"/>
                <w:position w:val="6"/>
                <w:sz w:val="13"/>
                <w:szCs w:val="13"/>
              </w:rPr>
              <w:t>a</w:t>
            </w:r>
          </w:p>
        </w:tc>
      </w:tr>
      <w:tr w14:paraId="5E6BC0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2324" w:type="dxa"/>
            <w:vMerge w:val="continue"/>
            <w:tcBorders>
              <w:top w:val="nil"/>
              <w:left w:val="nil"/>
            </w:tcBorders>
            <w:vAlign w:val="top"/>
          </w:tcPr>
          <w:p w14:paraId="634D7012">
            <w:pPr>
              <w:rPr>
                <w:rFonts w:ascii="Arial"/>
                <w:sz w:val="21"/>
              </w:rPr>
            </w:pPr>
          </w:p>
        </w:tc>
        <w:tc>
          <w:tcPr>
            <w:tcW w:w="2325" w:type="dxa"/>
            <w:vMerge w:val="continue"/>
            <w:tcBorders>
              <w:top w:val="nil"/>
            </w:tcBorders>
            <w:vAlign w:val="top"/>
          </w:tcPr>
          <w:p w14:paraId="7F09DFC7">
            <w:pPr>
              <w:rPr>
                <w:rFonts w:ascii="Arial"/>
                <w:sz w:val="21"/>
              </w:rPr>
            </w:pPr>
          </w:p>
        </w:tc>
        <w:tc>
          <w:tcPr>
            <w:tcW w:w="2330" w:type="dxa"/>
            <w:vAlign w:val="top"/>
          </w:tcPr>
          <w:p w14:paraId="5AB56E36">
            <w:pPr>
              <w:pStyle w:val="6"/>
              <w:spacing w:before="30" w:line="213" w:lineRule="auto"/>
              <w:ind w:left="597"/>
              <w:rPr>
                <w:sz w:val="20"/>
                <w:szCs w:val="20"/>
              </w:rPr>
            </w:pPr>
            <w:r>
              <w:rPr>
                <w:b/>
                <w:bCs/>
                <w:spacing w:val="-3"/>
                <w:sz w:val="20"/>
                <w:szCs w:val="20"/>
              </w:rPr>
              <w:t>占地</w:t>
            </w:r>
            <w:r>
              <w:rPr>
                <w:spacing w:val="-42"/>
                <w:sz w:val="20"/>
                <w:szCs w:val="20"/>
              </w:rPr>
              <w:t xml:space="preserve"> </w:t>
            </w:r>
            <w:r>
              <w:rPr>
                <w:rFonts w:ascii="Times New Roman" w:hAnsi="Times New Roman" w:eastAsia="Times New Roman" w:cs="Times New Roman"/>
                <w:b/>
                <w:bCs/>
                <w:spacing w:val="-3"/>
                <w:position w:val="6"/>
                <w:sz w:val="13"/>
                <w:szCs w:val="13"/>
              </w:rPr>
              <w:t>b</w:t>
            </w:r>
            <w:r>
              <w:rPr>
                <w:rFonts w:ascii="Times New Roman" w:hAnsi="Times New Roman" w:eastAsia="Times New Roman" w:cs="Times New Roman"/>
                <w:b/>
                <w:bCs/>
                <w:spacing w:val="13"/>
                <w:w w:val="101"/>
                <w:position w:val="6"/>
                <w:sz w:val="13"/>
                <w:szCs w:val="13"/>
              </w:rPr>
              <w:t xml:space="preserve"> </w:t>
            </w:r>
            <w:r>
              <w:rPr>
                <w:b/>
                <w:bCs/>
                <w:spacing w:val="-3"/>
                <w:sz w:val="20"/>
                <w:szCs w:val="20"/>
              </w:rPr>
              <w:t>范围内</w:t>
            </w:r>
          </w:p>
        </w:tc>
        <w:tc>
          <w:tcPr>
            <w:tcW w:w="2094" w:type="dxa"/>
            <w:tcBorders>
              <w:right w:val="nil"/>
            </w:tcBorders>
            <w:vAlign w:val="top"/>
          </w:tcPr>
          <w:p w14:paraId="04AD7D4A">
            <w:pPr>
              <w:pStyle w:val="6"/>
              <w:spacing w:before="30" w:line="213" w:lineRule="auto"/>
              <w:ind w:left="559"/>
              <w:rPr>
                <w:sz w:val="20"/>
                <w:szCs w:val="20"/>
              </w:rPr>
            </w:pPr>
            <w:r>
              <w:rPr>
                <w:b/>
                <w:bCs/>
                <w:spacing w:val="-1"/>
                <w:sz w:val="20"/>
                <w:szCs w:val="20"/>
              </w:rPr>
              <w:t>占地范围外</w:t>
            </w:r>
          </w:p>
        </w:tc>
      </w:tr>
      <w:tr w14:paraId="3FF1FB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2324" w:type="dxa"/>
            <w:tcBorders>
              <w:left w:val="nil"/>
            </w:tcBorders>
            <w:vAlign w:val="top"/>
          </w:tcPr>
          <w:p w14:paraId="2CDA24E0">
            <w:pPr>
              <w:pStyle w:val="6"/>
              <w:spacing w:before="30" w:line="213" w:lineRule="auto"/>
              <w:ind w:left="963"/>
              <w:rPr>
                <w:sz w:val="20"/>
                <w:szCs w:val="20"/>
              </w:rPr>
            </w:pPr>
            <w:r>
              <w:rPr>
                <w:spacing w:val="3"/>
                <w:sz w:val="20"/>
                <w:szCs w:val="20"/>
              </w:rPr>
              <w:t>一级</w:t>
            </w:r>
          </w:p>
        </w:tc>
        <w:tc>
          <w:tcPr>
            <w:tcW w:w="2325" w:type="dxa"/>
            <w:vMerge w:val="restart"/>
            <w:tcBorders>
              <w:bottom w:val="nil"/>
            </w:tcBorders>
            <w:vAlign w:val="top"/>
          </w:tcPr>
          <w:p w14:paraId="674ABE98">
            <w:pPr>
              <w:spacing w:line="242" w:lineRule="auto"/>
              <w:rPr>
                <w:rFonts w:ascii="Arial"/>
                <w:sz w:val="21"/>
              </w:rPr>
            </w:pPr>
          </w:p>
          <w:p w14:paraId="2B362518">
            <w:pPr>
              <w:pStyle w:val="6"/>
              <w:spacing w:before="65" w:line="228" w:lineRule="auto"/>
              <w:ind w:left="643"/>
              <w:rPr>
                <w:sz w:val="20"/>
                <w:szCs w:val="20"/>
              </w:rPr>
            </w:pPr>
            <w:r>
              <w:rPr>
                <w:spacing w:val="7"/>
                <w:sz w:val="20"/>
                <w:szCs w:val="20"/>
              </w:rPr>
              <w:t>污染影响型</w:t>
            </w:r>
          </w:p>
        </w:tc>
        <w:tc>
          <w:tcPr>
            <w:tcW w:w="2330" w:type="dxa"/>
            <w:vMerge w:val="restart"/>
            <w:tcBorders>
              <w:bottom w:val="nil"/>
            </w:tcBorders>
            <w:vAlign w:val="top"/>
          </w:tcPr>
          <w:p w14:paraId="0233D626">
            <w:pPr>
              <w:spacing w:line="241" w:lineRule="auto"/>
              <w:rPr>
                <w:rFonts w:ascii="Arial"/>
                <w:sz w:val="21"/>
              </w:rPr>
            </w:pPr>
          </w:p>
          <w:p w14:paraId="6268310A">
            <w:pPr>
              <w:pStyle w:val="6"/>
              <w:spacing w:before="65" w:line="228" w:lineRule="auto"/>
              <w:ind w:left="959"/>
              <w:rPr>
                <w:sz w:val="20"/>
                <w:szCs w:val="20"/>
              </w:rPr>
            </w:pPr>
            <w:r>
              <w:rPr>
                <w:spacing w:val="4"/>
                <w:sz w:val="20"/>
                <w:szCs w:val="20"/>
              </w:rPr>
              <w:t>全部</w:t>
            </w:r>
          </w:p>
        </w:tc>
        <w:tc>
          <w:tcPr>
            <w:tcW w:w="2094" w:type="dxa"/>
            <w:tcBorders>
              <w:right w:val="nil"/>
            </w:tcBorders>
            <w:vAlign w:val="top"/>
          </w:tcPr>
          <w:p w14:paraId="793C5022">
            <w:pPr>
              <w:pStyle w:val="6"/>
              <w:spacing w:before="30" w:line="213" w:lineRule="auto"/>
              <w:ind w:left="541"/>
              <w:rPr>
                <w:sz w:val="20"/>
                <w:szCs w:val="20"/>
              </w:rPr>
            </w:pPr>
            <w:r>
              <w:rPr>
                <w:rFonts w:ascii="Times New Roman" w:hAnsi="Times New Roman" w:eastAsia="Times New Roman" w:cs="Times New Roman"/>
                <w:spacing w:val="1"/>
                <w:sz w:val="20"/>
                <w:szCs w:val="20"/>
              </w:rPr>
              <w:t>1</w:t>
            </w:r>
            <w:r>
              <w:rPr>
                <w:rFonts w:ascii="Times New Roman" w:hAnsi="Times New Roman" w:eastAsia="Times New Roman" w:cs="Times New Roman"/>
                <w:sz w:val="20"/>
                <w:szCs w:val="20"/>
              </w:rPr>
              <w:t>km</w:t>
            </w:r>
            <w:r>
              <w:rPr>
                <w:rFonts w:ascii="Times New Roman" w:hAnsi="Times New Roman" w:eastAsia="Times New Roman" w:cs="Times New Roman"/>
                <w:spacing w:val="18"/>
                <w:w w:val="101"/>
                <w:sz w:val="20"/>
                <w:szCs w:val="20"/>
              </w:rPr>
              <w:t xml:space="preserve"> </w:t>
            </w:r>
            <w:r>
              <w:rPr>
                <w:spacing w:val="1"/>
                <w:sz w:val="20"/>
                <w:szCs w:val="20"/>
              </w:rPr>
              <w:t>范围内</w:t>
            </w:r>
          </w:p>
        </w:tc>
      </w:tr>
      <w:tr w14:paraId="0D012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2324" w:type="dxa"/>
            <w:tcBorders>
              <w:left w:val="nil"/>
            </w:tcBorders>
            <w:vAlign w:val="top"/>
          </w:tcPr>
          <w:p w14:paraId="307AD6F4">
            <w:pPr>
              <w:pStyle w:val="6"/>
              <w:spacing w:before="32" w:line="212" w:lineRule="auto"/>
              <w:ind w:left="963"/>
              <w:rPr>
                <w:sz w:val="20"/>
                <w:szCs w:val="20"/>
              </w:rPr>
            </w:pPr>
            <w:r>
              <w:rPr>
                <w:spacing w:val="3"/>
                <w:sz w:val="20"/>
                <w:szCs w:val="20"/>
              </w:rPr>
              <w:t>二级</w:t>
            </w:r>
          </w:p>
        </w:tc>
        <w:tc>
          <w:tcPr>
            <w:tcW w:w="2325" w:type="dxa"/>
            <w:vMerge w:val="continue"/>
            <w:tcBorders>
              <w:top w:val="nil"/>
              <w:bottom w:val="nil"/>
            </w:tcBorders>
            <w:vAlign w:val="top"/>
          </w:tcPr>
          <w:p w14:paraId="6355BEBF">
            <w:pPr>
              <w:rPr>
                <w:rFonts w:ascii="Arial"/>
                <w:sz w:val="21"/>
              </w:rPr>
            </w:pPr>
          </w:p>
        </w:tc>
        <w:tc>
          <w:tcPr>
            <w:tcW w:w="2330" w:type="dxa"/>
            <w:vMerge w:val="continue"/>
            <w:tcBorders>
              <w:top w:val="nil"/>
              <w:bottom w:val="nil"/>
            </w:tcBorders>
            <w:vAlign w:val="top"/>
          </w:tcPr>
          <w:p w14:paraId="76EC349F">
            <w:pPr>
              <w:rPr>
                <w:rFonts w:ascii="Arial"/>
                <w:sz w:val="21"/>
              </w:rPr>
            </w:pPr>
          </w:p>
        </w:tc>
        <w:tc>
          <w:tcPr>
            <w:tcW w:w="2094" w:type="dxa"/>
            <w:tcBorders>
              <w:right w:val="nil"/>
            </w:tcBorders>
            <w:vAlign w:val="top"/>
          </w:tcPr>
          <w:p w14:paraId="0833635C">
            <w:pPr>
              <w:pStyle w:val="6"/>
              <w:spacing w:before="32" w:line="212" w:lineRule="auto"/>
              <w:ind w:left="419"/>
              <w:rPr>
                <w:sz w:val="20"/>
                <w:szCs w:val="20"/>
              </w:rPr>
            </w:pPr>
            <w:r>
              <w:rPr>
                <w:rFonts w:ascii="Times New Roman" w:hAnsi="Times New Roman" w:eastAsia="Times New Roman" w:cs="Times New Roman"/>
                <w:spacing w:val="4"/>
                <w:sz w:val="20"/>
                <w:szCs w:val="20"/>
              </w:rPr>
              <w:t xml:space="preserve">0.2 </w:t>
            </w:r>
            <w:r>
              <w:rPr>
                <w:rFonts w:ascii="Times New Roman" w:hAnsi="Times New Roman" w:eastAsia="Times New Roman" w:cs="Times New Roman"/>
                <w:sz w:val="20"/>
                <w:szCs w:val="20"/>
              </w:rPr>
              <w:t>km</w:t>
            </w:r>
            <w:r>
              <w:rPr>
                <w:rFonts w:ascii="Times New Roman" w:hAnsi="Times New Roman" w:eastAsia="Times New Roman" w:cs="Times New Roman"/>
                <w:spacing w:val="22"/>
                <w:w w:val="101"/>
                <w:sz w:val="20"/>
                <w:szCs w:val="20"/>
              </w:rPr>
              <w:t xml:space="preserve"> </w:t>
            </w:r>
            <w:r>
              <w:rPr>
                <w:spacing w:val="4"/>
                <w:sz w:val="20"/>
                <w:szCs w:val="20"/>
              </w:rPr>
              <w:t>范围内</w:t>
            </w:r>
          </w:p>
        </w:tc>
      </w:tr>
      <w:tr w14:paraId="4AD3F9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2324" w:type="dxa"/>
            <w:tcBorders>
              <w:left w:val="nil"/>
            </w:tcBorders>
            <w:vAlign w:val="top"/>
          </w:tcPr>
          <w:p w14:paraId="732F4E79">
            <w:pPr>
              <w:pStyle w:val="6"/>
              <w:spacing w:before="31" w:line="214" w:lineRule="auto"/>
              <w:ind w:left="959"/>
              <w:rPr>
                <w:sz w:val="20"/>
                <w:szCs w:val="20"/>
              </w:rPr>
            </w:pPr>
            <w:r>
              <w:rPr>
                <w:spacing w:val="4"/>
                <w:sz w:val="20"/>
                <w:szCs w:val="20"/>
              </w:rPr>
              <w:t>三级</w:t>
            </w:r>
          </w:p>
        </w:tc>
        <w:tc>
          <w:tcPr>
            <w:tcW w:w="2325" w:type="dxa"/>
            <w:vMerge w:val="continue"/>
            <w:tcBorders>
              <w:top w:val="nil"/>
            </w:tcBorders>
            <w:vAlign w:val="top"/>
          </w:tcPr>
          <w:p w14:paraId="085A018E">
            <w:pPr>
              <w:rPr>
                <w:rFonts w:ascii="Arial"/>
                <w:sz w:val="21"/>
              </w:rPr>
            </w:pPr>
          </w:p>
        </w:tc>
        <w:tc>
          <w:tcPr>
            <w:tcW w:w="2330" w:type="dxa"/>
            <w:vMerge w:val="continue"/>
            <w:tcBorders>
              <w:top w:val="nil"/>
            </w:tcBorders>
            <w:vAlign w:val="top"/>
          </w:tcPr>
          <w:p w14:paraId="272A1219">
            <w:pPr>
              <w:rPr>
                <w:rFonts w:ascii="Arial"/>
                <w:sz w:val="21"/>
              </w:rPr>
            </w:pPr>
          </w:p>
        </w:tc>
        <w:tc>
          <w:tcPr>
            <w:tcW w:w="2094" w:type="dxa"/>
            <w:tcBorders>
              <w:right w:val="nil"/>
            </w:tcBorders>
            <w:vAlign w:val="top"/>
          </w:tcPr>
          <w:p w14:paraId="31838FE8">
            <w:pPr>
              <w:pStyle w:val="6"/>
              <w:spacing w:before="31" w:line="214" w:lineRule="auto"/>
              <w:ind w:left="366"/>
              <w:rPr>
                <w:sz w:val="20"/>
                <w:szCs w:val="20"/>
              </w:rPr>
            </w:pPr>
            <w:r>
              <w:rPr>
                <w:rFonts w:ascii="Times New Roman" w:hAnsi="Times New Roman" w:eastAsia="Times New Roman" w:cs="Times New Roman"/>
                <w:spacing w:val="4"/>
                <w:sz w:val="20"/>
                <w:szCs w:val="20"/>
              </w:rPr>
              <w:t xml:space="preserve">0.05 </w:t>
            </w:r>
            <w:r>
              <w:rPr>
                <w:rFonts w:ascii="Times New Roman" w:hAnsi="Times New Roman" w:eastAsia="Times New Roman" w:cs="Times New Roman"/>
                <w:sz w:val="20"/>
                <w:szCs w:val="20"/>
              </w:rPr>
              <w:t>km</w:t>
            </w:r>
            <w:r>
              <w:rPr>
                <w:rFonts w:ascii="Times New Roman" w:hAnsi="Times New Roman" w:eastAsia="Times New Roman" w:cs="Times New Roman"/>
                <w:spacing w:val="22"/>
                <w:sz w:val="20"/>
                <w:szCs w:val="20"/>
              </w:rPr>
              <w:t xml:space="preserve"> </w:t>
            </w:r>
            <w:r>
              <w:rPr>
                <w:spacing w:val="4"/>
                <w:sz w:val="20"/>
                <w:szCs w:val="20"/>
              </w:rPr>
              <w:t>范围内</w:t>
            </w:r>
          </w:p>
        </w:tc>
      </w:tr>
    </w:tbl>
    <w:p w14:paraId="1D2E3913">
      <w:pPr>
        <w:spacing w:before="31" w:line="228" w:lineRule="auto"/>
        <w:ind w:left="5"/>
        <w:rPr>
          <w:rFonts w:ascii="宋体" w:hAnsi="宋体" w:eastAsia="宋体" w:cs="宋体"/>
          <w:sz w:val="20"/>
          <w:szCs w:val="20"/>
        </w:rPr>
      </w:pPr>
      <w:r>
        <w:rPr>
          <w:rFonts w:ascii="Times New Roman" w:hAnsi="Times New Roman" w:eastAsia="Times New Roman" w:cs="Times New Roman"/>
          <w:spacing w:val="9"/>
          <w:sz w:val="13"/>
          <w:szCs w:val="13"/>
        </w:rPr>
        <w:t>a</w:t>
      </w:r>
      <w:r>
        <w:rPr>
          <w:rFonts w:ascii="Times New Roman" w:hAnsi="Times New Roman" w:eastAsia="Times New Roman" w:cs="Times New Roman"/>
          <w:spacing w:val="13"/>
          <w:w w:val="101"/>
          <w:sz w:val="13"/>
          <w:szCs w:val="13"/>
        </w:rPr>
        <w:t xml:space="preserve"> </w:t>
      </w:r>
      <w:r>
        <w:rPr>
          <w:rFonts w:ascii="宋体" w:hAnsi="宋体" w:eastAsia="宋体" w:cs="宋体"/>
          <w:spacing w:val="9"/>
          <w:sz w:val="20"/>
          <w:szCs w:val="20"/>
        </w:rPr>
        <w:t>涉及大气沉降途径影响的，可根据主导风向下风向的最大落地浓度点适当调整。</w:t>
      </w:r>
    </w:p>
    <w:p w14:paraId="4F26023D">
      <w:pPr>
        <w:spacing w:before="27" w:line="222" w:lineRule="auto"/>
        <w:rPr>
          <w:rFonts w:ascii="宋体" w:hAnsi="宋体" w:eastAsia="宋体" w:cs="宋体"/>
          <w:sz w:val="20"/>
          <w:szCs w:val="20"/>
        </w:rPr>
      </w:pPr>
      <w:r>
        <w:rPr>
          <w:rFonts w:ascii="Times New Roman" w:hAnsi="Times New Roman" w:eastAsia="Times New Roman" w:cs="Times New Roman"/>
          <w:spacing w:val="9"/>
          <w:position w:val="6"/>
          <w:sz w:val="13"/>
          <w:szCs w:val="13"/>
        </w:rPr>
        <w:t xml:space="preserve">b </w:t>
      </w:r>
      <w:r>
        <w:rPr>
          <w:rFonts w:ascii="宋体" w:hAnsi="宋体" w:eastAsia="宋体" w:cs="宋体"/>
          <w:spacing w:val="9"/>
          <w:sz w:val="20"/>
          <w:szCs w:val="20"/>
        </w:rPr>
        <w:t>矿山类项目指开采区与各场地的占地：改扩建类的指现有工程与拟建工程的占地。</w:t>
      </w:r>
    </w:p>
    <w:p w14:paraId="2EDDA11E">
      <w:pPr>
        <w:spacing w:line="29" w:lineRule="exact"/>
        <w:ind w:firstLine="1"/>
      </w:pPr>
      <w:r>
        <w:pict>
          <v:shape id="_x0000_s1071" o:spid="_x0000_s1071" style="height:1.45pt;width:453.65pt;" filled="f" stroked="t" coordsize="9072,29" path="m0,14l9072,14e">
            <v:fill on="f" focussize="0,0"/>
            <v:stroke weight="1.44pt" color="#000000" miterlimit="2" joinstyle="bevel"/>
            <v:imagedata o:title=""/>
            <o:lock v:ext="edit"/>
            <w10:wrap type="none"/>
            <w10:anchorlock/>
          </v:shape>
        </w:pict>
      </w:r>
    </w:p>
    <w:p w14:paraId="06FA78F6">
      <w:pPr>
        <w:spacing w:before="35" w:line="218" w:lineRule="auto"/>
        <w:jc w:val="right"/>
        <w:rPr>
          <w:rFonts w:ascii="宋体" w:hAnsi="宋体" w:eastAsia="宋体" w:cs="宋体"/>
          <w:sz w:val="24"/>
          <w:szCs w:val="24"/>
        </w:rPr>
      </w:pPr>
      <w:r>
        <w:rPr>
          <w:rFonts w:ascii="宋体" w:hAnsi="宋体" w:eastAsia="宋体" w:cs="宋体"/>
          <w:spacing w:val="-2"/>
          <w:sz w:val="24"/>
          <w:szCs w:val="24"/>
        </w:rPr>
        <w:t>项目厂区土壤环境评价等级为二级，评价范围为厂区及厂界向外延伸</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0.2km</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范</w:t>
      </w:r>
      <w:r>
        <w:rPr>
          <w:rFonts w:ascii="宋体" w:hAnsi="宋体" w:eastAsia="宋体" w:cs="宋体"/>
          <w:spacing w:val="-3"/>
          <w:sz w:val="24"/>
          <w:szCs w:val="24"/>
        </w:rPr>
        <w:t>围。</w:t>
      </w:r>
    </w:p>
    <w:p w14:paraId="6CD7B579">
      <w:pPr>
        <w:spacing w:before="193" w:line="221" w:lineRule="auto"/>
        <w:ind w:left="35"/>
        <w:outlineLvl w:val="2"/>
        <w:rPr>
          <w:rFonts w:ascii="黑体" w:hAnsi="黑体" w:eastAsia="黑体" w:cs="黑体"/>
          <w:sz w:val="30"/>
          <w:szCs w:val="30"/>
        </w:rPr>
      </w:pPr>
      <w:bookmarkStart w:id="306" w:name="bookmark80"/>
      <w:bookmarkEnd w:id="306"/>
      <w:r>
        <w:rPr>
          <w:rFonts w:ascii="Times New Roman" w:hAnsi="Times New Roman" w:eastAsia="Times New Roman" w:cs="Times New Roman"/>
          <w:spacing w:val="-2"/>
          <w:sz w:val="30"/>
          <w:szCs w:val="30"/>
        </w:rPr>
        <w:t xml:space="preserve">1.6.7 </w:t>
      </w:r>
      <w:r>
        <w:rPr>
          <w:rFonts w:ascii="黑体" w:hAnsi="黑体" w:eastAsia="黑体" w:cs="黑体"/>
          <w:spacing w:val="-2"/>
          <w:sz w:val="30"/>
          <w:szCs w:val="30"/>
        </w:rPr>
        <w:t>各环境要素评价等级及评价范围</w:t>
      </w:r>
    </w:p>
    <w:p w14:paraId="34167404">
      <w:pPr>
        <w:spacing w:before="215" w:line="218" w:lineRule="auto"/>
        <w:ind w:left="492"/>
        <w:rPr>
          <w:rFonts w:ascii="宋体" w:hAnsi="宋体" w:eastAsia="宋体" w:cs="宋体"/>
          <w:sz w:val="24"/>
          <w:szCs w:val="24"/>
        </w:rPr>
      </w:pPr>
      <w:r>
        <w:rPr>
          <w:rFonts w:ascii="宋体" w:hAnsi="宋体" w:eastAsia="宋体" w:cs="宋体"/>
          <w:spacing w:val="-2"/>
          <w:sz w:val="24"/>
          <w:szCs w:val="24"/>
        </w:rPr>
        <w:t>各环境要素的评价等级及评价范围见表</w:t>
      </w:r>
      <w:r>
        <w:rPr>
          <w:rFonts w:ascii="宋体" w:hAnsi="宋体" w:eastAsia="宋体" w:cs="宋体"/>
          <w:spacing w:val="-26"/>
          <w:sz w:val="24"/>
          <w:szCs w:val="24"/>
        </w:rPr>
        <w:t xml:space="preserve"> </w:t>
      </w:r>
      <w:r>
        <w:rPr>
          <w:rFonts w:ascii="Times New Roman" w:hAnsi="Times New Roman" w:eastAsia="Times New Roman" w:cs="Times New Roman"/>
          <w:spacing w:val="-2"/>
          <w:sz w:val="24"/>
          <w:szCs w:val="24"/>
        </w:rPr>
        <w:t>1.6-14</w:t>
      </w:r>
      <w:r>
        <w:rPr>
          <w:rFonts w:ascii="宋体" w:hAnsi="宋体" w:eastAsia="宋体" w:cs="宋体"/>
          <w:spacing w:val="-2"/>
          <w:sz w:val="24"/>
          <w:szCs w:val="24"/>
        </w:rPr>
        <w:t>。</w:t>
      </w:r>
    </w:p>
    <w:p w14:paraId="05E4E12E">
      <w:pPr>
        <w:spacing w:line="218" w:lineRule="auto"/>
        <w:rPr>
          <w:rFonts w:ascii="宋体" w:hAnsi="宋体" w:eastAsia="宋体" w:cs="宋体"/>
          <w:sz w:val="24"/>
          <w:szCs w:val="24"/>
        </w:rPr>
        <w:sectPr>
          <w:headerReference r:id="rId76" w:type="default"/>
          <w:footerReference r:id="rId77" w:type="default"/>
          <w:pgSz w:w="11907" w:h="16840"/>
          <w:pgMar w:top="1178" w:right="1403" w:bottom="1038" w:left="1415" w:header="870" w:footer="876" w:gutter="0"/>
          <w:cols w:space="720" w:num="1"/>
        </w:sectPr>
      </w:pPr>
    </w:p>
    <w:p w14:paraId="4A79229B">
      <w:pPr>
        <w:pStyle w:val="2"/>
        <w:spacing w:line="310" w:lineRule="auto"/>
      </w:pPr>
      <w:r>
        <w:pict>
          <v:shape id="_x0000_s1072" o:spid="_x0000_s1072" style="position:absolute;left:0pt;margin-left:5.4pt;margin-top:0.7pt;height:0.75pt;width:453.65pt;z-index:251703296;mso-width-relative:page;mso-height-relative:page;" fillcolor="#000000" filled="t" stroked="f" coordsize="9072,15" path="m0,0l9072,0,9072,14,0,14,0,0xe">
            <v:path/>
            <v:fill on="t" focussize="0,0"/>
            <v:stroke on="f"/>
            <v:imagedata o:title=""/>
            <o:lock v:ext="edit"/>
          </v:shape>
        </w:pict>
      </w:r>
    </w:p>
    <w:p w14:paraId="52A47525">
      <w:pPr>
        <w:spacing w:before="65" w:line="228" w:lineRule="auto"/>
        <w:ind w:left="2773"/>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3"/>
          <w:sz w:val="20"/>
          <w:szCs w:val="20"/>
        </w:rPr>
        <w:t xml:space="preserve"> </w:t>
      </w:r>
      <w:r>
        <w:rPr>
          <w:rFonts w:ascii="Times New Roman" w:hAnsi="Times New Roman" w:eastAsia="Times New Roman" w:cs="Times New Roman"/>
          <w:b/>
          <w:bCs/>
          <w:spacing w:val="5"/>
          <w:sz w:val="20"/>
          <w:szCs w:val="20"/>
        </w:rPr>
        <w:t xml:space="preserve">1.6-14        </w:t>
      </w:r>
      <w:r>
        <w:rPr>
          <w:rFonts w:ascii="宋体" w:hAnsi="宋体" w:eastAsia="宋体" w:cs="宋体"/>
          <w:b/>
          <w:bCs/>
          <w:spacing w:val="5"/>
          <w:sz w:val="20"/>
          <w:szCs w:val="20"/>
        </w:rPr>
        <w:t>污染影响型敏感程度</w:t>
      </w:r>
      <w:r>
        <w:rPr>
          <w:rFonts w:ascii="宋体" w:hAnsi="宋体" w:eastAsia="宋体" w:cs="宋体"/>
          <w:b/>
          <w:bCs/>
          <w:spacing w:val="4"/>
          <w:sz w:val="20"/>
          <w:szCs w:val="20"/>
        </w:rPr>
        <w:t>分级表</w:t>
      </w:r>
    </w:p>
    <w:p w14:paraId="41993260">
      <w:pPr>
        <w:spacing w:line="143" w:lineRule="auto"/>
        <w:rPr>
          <w:rFonts w:ascii="Arial"/>
          <w:sz w:val="2"/>
        </w:rPr>
      </w:pPr>
    </w:p>
    <w:tbl>
      <w:tblPr>
        <w:tblStyle w:val="5"/>
        <w:tblW w:w="92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9"/>
        <w:gridCol w:w="1130"/>
        <w:gridCol w:w="1108"/>
        <w:gridCol w:w="6382"/>
      </w:tblGrid>
      <w:tr w14:paraId="0458B1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669" w:type="dxa"/>
            <w:tcBorders>
              <w:top w:val="single" w:color="000000" w:sz="10" w:space="0"/>
              <w:left w:val="nil"/>
            </w:tcBorders>
            <w:vAlign w:val="top"/>
          </w:tcPr>
          <w:p w14:paraId="3CA56A58">
            <w:pPr>
              <w:pStyle w:val="6"/>
              <w:spacing w:before="55" w:line="229" w:lineRule="auto"/>
              <w:ind w:left="131"/>
              <w:rPr>
                <w:sz w:val="20"/>
                <w:szCs w:val="20"/>
              </w:rPr>
            </w:pPr>
            <w:r>
              <w:rPr>
                <w:spacing w:val="5"/>
                <w:sz w:val="20"/>
                <w:szCs w:val="20"/>
              </w:rPr>
              <w:t>序号</w:t>
            </w:r>
          </w:p>
        </w:tc>
        <w:tc>
          <w:tcPr>
            <w:tcW w:w="1130" w:type="dxa"/>
            <w:tcBorders>
              <w:top w:val="single" w:color="000000" w:sz="10" w:space="0"/>
            </w:tcBorders>
            <w:vAlign w:val="top"/>
          </w:tcPr>
          <w:p w14:paraId="4E2FB775">
            <w:pPr>
              <w:pStyle w:val="6"/>
              <w:spacing w:before="55" w:line="228" w:lineRule="auto"/>
              <w:ind w:left="151"/>
              <w:rPr>
                <w:sz w:val="20"/>
                <w:szCs w:val="20"/>
              </w:rPr>
            </w:pPr>
            <w:r>
              <w:rPr>
                <w:spacing w:val="7"/>
                <w:sz w:val="20"/>
                <w:szCs w:val="20"/>
              </w:rPr>
              <w:t>环境要素</w:t>
            </w:r>
          </w:p>
        </w:tc>
        <w:tc>
          <w:tcPr>
            <w:tcW w:w="1108" w:type="dxa"/>
            <w:tcBorders>
              <w:top w:val="single" w:color="000000" w:sz="10" w:space="0"/>
            </w:tcBorders>
            <w:vAlign w:val="top"/>
          </w:tcPr>
          <w:p w14:paraId="1B339319">
            <w:pPr>
              <w:pStyle w:val="6"/>
              <w:spacing w:before="55" w:line="226" w:lineRule="auto"/>
              <w:ind w:left="139"/>
              <w:rPr>
                <w:sz w:val="20"/>
                <w:szCs w:val="20"/>
              </w:rPr>
            </w:pPr>
            <w:r>
              <w:rPr>
                <w:spacing w:val="7"/>
                <w:sz w:val="20"/>
                <w:szCs w:val="20"/>
              </w:rPr>
              <w:t>评价等级</w:t>
            </w:r>
          </w:p>
        </w:tc>
        <w:tc>
          <w:tcPr>
            <w:tcW w:w="6382" w:type="dxa"/>
            <w:tcBorders>
              <w:top w:val="single" w:color="000000" w:sz="10" w:space="0"/>
              <w:right w:val="nil"/>
            </w:tcBorders>
            <w:vAlign w:val="top"/>
          </w:tcPr>
          <w:p w14:paraId="36322355">
            <w:pPr>
              <w:pStyle w:val="6"/>
              <w:spacing w:before="55" w:line="226" w:lineRule="auto"/>
              <w:ind w:left="2775"/>
              <w:rPr>
                <w:sz w:val="20"/>
                <w:szCs w:val="20"/>
              </w:rPr>
            </w:pPr>
            <w:r>
              <w:rPr>
                <w:spacing w:val="7"/>
                <w:sz w:val="20"/>
                <w:szCs w:val="20"/>
              </w:rPr>
              <w:t>评价范围</w:t>
            </w:r>
          </w:p>
        </w:tc>
      </w:tr>
      <w:tr w14:paraId="6835C8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69" w:type="dxa"/>
            <w:tcBorders>
              <w:left w:val="nil"/>
            </w:tcBorders>
            <w:vAlign w:val="top"/>
          </w:tcPr>
          <w:p w14:paraId="4CC7DD56">
            <w:pPr>
              <w:spacing w:before="98" w:line="195" w:lineRule="auto"/>
              <w:ind w:left="306"/>
              <w:outlineLvl w:val="1"/>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130" w:type="dxa"/>
            <w:vAlign w:val="top"/>
          </w:tcPr>
          <w:p w14:paraId="6D53B845">
            <w:pPr>
              <w:pStyle w:val="6"/>
              <w:spacing w:before="62" w:line="228" w:lineRule="auto"/>
              <w:ind w:left="151"/>
              <w:rPr>
                <w:sz w:val="20"/>
                <w:szCs w:val="20"/>
              </w:rPr>
            </w:pPr>
            <w:r>
              <w:rPr>
                <w:spacing w:val="7"/>
                <w:sz w:val="20"/>
                <w:szCs w:val="20"/>
              </w:rPr>
              <w:t>环境空气</w:t>
            </w:r>
          </w:p>
        </w:tc>
        <w:tc>
          <w:tcPr>
            <w:tcW w:w="1108" w:type="dxa"/>
            <w:vAlign w:val="top"/>
          </w:tcPr>
          <w:p w14:paraId="51B00DD1">
            <w:pPr>
              <w:pStyle w:val="6"/>
              <w:spacing w:before="62" w:line="230" w:lineRule="auto"/>
              <w:ind w:left="352"/>
              <w:rPr>
                <w:sz w:val="20"/>
                <w:szCs w:val="20"/>
              </w:rPr>
            </w:pPr>
            <w:r>
              <w:rPr>
                <w:spacing w:val="3"/>
                <w:sz w:val="20"/>
                <w:szCs w:val="20"/>
              </w:rPr>
              <w:t>一级</w:t>
            </w:r>
          </w:p>
        </w:tc>
        <w:tc>
          <w:tcPr>
            <w:tcW w:w="6382" w:type="dxa"/>
            <w:tcBorders>
              <w:right w:val="nil"/>
            </w:tcBorders>
            <w:vAlign w:val="top"/>
          </w:tcPr>
          <w:p w14:paraId="6EAEED96">
            <w:pPr>
              <w:pStyle w:val="6"/>
              <w:spacing w:before="62" w:line="226" w:lineRule="auto"/>
              <w:ind w:left="663"/>
              <w:rPr>
                <w:sz w:val="20"/>
                <w:szCs w:val="20"/>
              </w:rPr>
            </w:pPr>
            <w:r>
              <w:rPr>
                <w:spacing w:val="7"/>
                <w:sz w:val="20"/>
                <w:szCs w:val="20"/>
              </w:rPr>
              <w:t>以厂址为中心区域，边长</w:t>
            </w:r>
            <w:r>
              <w:rPr>
                <w:spacing w:val="-37"/>
                <w:sz w:val="20"/>
                <w:szCs w:val="20"/>
              </w:rPr>
              <w:t xml:space="preserve"> </w:t>
            </w:r>
            <w:r>
              <w:rPr>
                <w:rFonts w:ascii="Times New Roman" w:hAnsi="Times New Roman" w:eastAsia="Times New Roman" w:cs="Times New Roman"/>
                <w:spacing w:val="7"/>
                <w:sz w:val="20"/>
                <w:szCs w:val="20"/>
              </w:rPr>
              <w:t>5×5</w:t>
            </w:r>
            <w:r>
              <w:rPr>
                <w:rFonts w:ascii="Times New Roman" w:hAnsi="Times New Roman" w:eastAsia="Times New Roman" w:cs="Times New Roman"/>
                <w:sz w:val="20"/>
                <w:szCs w:val="20"/>
              </w:rPr>
              <w:t>km</w:t>
            </w:r>
            <w:r>
              <w:rPr>
                <w:rFonts w:ascii="Times New Roman" w:hAnsi="Times New Roman" w:eastAsia="Times New Roman" w:cs="Times New Roman"/>
                <w:spacing w:val="31"/>
                <w:w w:val="101"/>
                <w:sz w:val="20"/>
                <w:szCs w:val="20"/>
              </w:rPr>
              <w:t xml:space="preserve"> </w:t>
            </w:r>
            <w:r>
              <w:rPr>
                <w:spacing w:val="7"/>
                <w:sz w:val="20"/>
                <w:szCs w:val="20"/>
              </w:rPr>
              <w:t>的矩形区域作</w:t>
            </w:r>
            <w:r>
              <w:rPr>
                <w:spacing w:val="6"/>
                <w:sz w:val="20"/>
                <w:szCs w:val="20"/>
              </w:rPr>
              <w:t>评价范围</w:t>
            </w:r>
          </w:p>
        </w:tc>
      </w:tr>
      <w:tr w14:paraId="6C9104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69" w:type="dxa"/>
            <w:tcBorders>
              <w:left w:val="nil"/>
            </w:tcBorders>
            <w:vAlign w:val="top"/>
          </w:tcPr>
          <w:p w14:paraId="3B2DF55C">
            <w:pPr>
              <w:spacing w:before="102" w:line="195" w:lineRule="auto"/>
              <w:ind w:left="286"/>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130" w:type="dxa"/>
            <w:vAlign w:val="top"/>
          </w:tcPr>
          <w:p w14:paraId="3F94498E">
            <w:pPr>
              <w:pStyle w:val="6"/>
              <w:spacing w:before="65" w:line="228" w:lineRule="auto"/>
              <w:ind w:left="254"/>
              <w:rPr>
                <w:sz w:val="20"/>
                <w:szCs w:val="20"/>
              </w:rPr>
            </w:pPr>
            <w:r>
              <w:rPr>
                <w:spacing w:val="6"/>
                <w:sz w:val="20"/>
                <w:szCs w:val="20"/>
              </w:rPr>
              <w:t>地表水</w:t>
            </w:r>
          </w:p>
        </w:tc>
        <w:tc>
          <w:tcPr>
            <w:tcW w:w="1108" w:type="dxa"/>
            <w:vAlign w:val="top"/>
          </w:tcPr>
          <w:p w14:paraId="008CDB55">
            <w:pPr>
              <w:pStyle w:val="6"/>
              <w:spacing w:before="65" w:line="230" w:lineRule="auto"/>
              <w:ind w:left="252"/>
              <w:rPr>
                <w:rFonts w:ascii="Times New Roman" w:hAnsi="Times New Roman" w:eastAsia="Times New Roman" w:cs="Times New Roman"/>
                <w:sz w:val="20"/>
                <w:szCs w:val="20"/>
              </w:rPr>
            </w:pPr>
            <w:r>
              <w:rPr>
                <w:spacing w:val="3"/>
                <w:sz w:val="20"/>
                <w:szCs w:val="20"/>
              </w:rPr>
              <w:t>三级</w:t>
            </w:r>
            <w:r>
              <w:rPr>
                <w:spacing w:val="-40"/>
                <w:sz w:val="20"/>
                <w:szCs w:val="20"/>
              </w:rPr>
              <w:t xml:space="preserve"> </w:t>
            </w:r>
            <w:r>
              <w:rPr>
                <w:rFonts w:ascii="Times New Roman" w:hAnsi="Times New Roman" w:eastAsia="Times New Roman" w:cs="Times New Roman"/>
                <w:spacing w:val="3"/>
                <w:sz w:val="20"/>
                <w:szCs w:val="20"/>
              </w:rPr>
              <w:t>B</w:t>
            </w:r>
          </w:p>
        </w:tc>
        <w:tc>
          <w:tcPr>
            <w:tcW w:w="6382" w:type="dxa"/>
            <w:tcBorders>
              <w:right w:val="nil"/>
            </w:tcBorders>
            <w:vAlign w:val="top"/>
          </w:tcPr>
          <w:p w14:paraId="114AC9B6">
            <w:pPr>
              <w:spacing w:before="98" w:line="199" w:lineRule="auto"/>
              <w:ind w:left="31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3ECFA4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6" w:hRule="atLeast"/>
        </w:trPr>
        <w:tc>
          <w:tcPr>
            <w:tcW w:w="669" w:type="dxa"/>
            <w:tcBorders>
              <w:left w:val="nil"/>
            </w:tcBorders>
            <w:vAlign w:val="top"/>
          </w:tcPr>
          <w:p w14:paraId="57318817">
            <w:pPr>
              <w:spacing w:line="288" w:lineRule="auto"/>
              <w:rPr>
                <w:rFonts w:ascii="Arial"/>
                <w:sz w:val="21"/>
              </w:rPr>
            </w:pPr>
          </w:p>
          <w:p w14:paraId="64B00FF7">
            <w:pPr>
              <w:spacing w:before="58" w:line="195" w:lineRule="auto"/>
              <w:ind w:left="290"/>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130" w:type="dxa"/>
            <w:vAlign w:val="top"/>
          </w:tcPr>
          <w:p w14:paraId="3B633C4E">
            <w:pPr>
              <w:spacing w:line="245" w:lineRule="auto"/>
              <w:rPr>
                <w:rFonts w:ascii="Arial"/>
                <w:sz w:val="21"/>
              </w:rPr>
            </w:pPr>
          </w:p>
          <w:p w14:paraId="03EDF2A1">
            <w:pPr>
              <w:pStyle w:val="6"/>
              <w:spacing w:before="65" w:line="228" w:lineRule="auto"/>
              <w:ind w:left="254"/>
              <w:rPr>
                <w:sz w:val="20"/>
                <w:szCs w:val="20"/>
              </w:rPr>
            </w:pPr>
            <w:r>
              <w:rPr>
                <w:spacing w:val="6"/>
                <w:sz w:val="20"/>
                <w:szCs w:val="20"/>
              </w:rPr>
              <w:t>地下水</w:t>
            </w:r>
          </w:p>
        </w:tc>
        <w:tc>
          <w:tcPr>
            <w:tcW w:w="1108" w:type="dxa"/>
            <w:vAlign w:val="top"/>
          </w:tcPr>
          <w:p w14:paraId="1B5FB9CA">
            <w:pPr>
              <w:spacing w:line="245" w:lineRule="auto"/>
              <w:rPr>
                <w:rFonts w:ascii="Arial"/>
                <w:sz w:val="21"/>
              </w:rPr>
            </w:pPr>
          </w:p>
          <w:p w14:paraId="2477F4B1">
            <w:pPr>
              <w:pStyle w:val="6"/>
              <w:spacing w:before="65" w:line="230" w:lineRule="auto"/>
              <w:ind w:left="348"/>
              <w:rPr>
                <w:sz w:val="20"/>
                <w:szCs w:val="20"/>
              </w:rPr>
            </w:pPr>
            <w:r>
              <w:rPr>
                <w:spacing w:val="6"/>
                <w:sz w:val="20"/>
                <w:szCs w:val="20"/>
              </w:rPr>
              <w:t>三级</w:t>
            </w:r>
          </w:p>
        </w:tc>
        <w:tc>
          <w:tcPr>
            <w:tcW w:w="6382" w:type="dxa"/>
            <w:tcBorders>
              <w:right w:val="nil"/>
            </w:tcBorders>
            <w:vAlign w:val="top"/>
          </w:tcPr>
          <w:p w14:paraId="5F9D48DC">
            <w:pPr>
              <w:pStyle w:val="6"/>
              <w:spacing w:before="41" w:line="226" w:lineRule="auto"/>
              <w:ind w:left="150"/>
              <w:rPr>
                <w:sz w:val="20"/>
                <w:szCs w:val="20"/>
              </w:rPr>
            </w:pPr>
            <w:r>
              <w:rPr>
                <w:spacing w:val="9"/>
                <w:sz w:val="20"/>
                <w:szCs w:val="20"/>
              </w:rPr>
              <w:t>地下水评价范围为南侧以等水位线为界；西侧以西侧山脊分水岭为</w:t>
            </w:r>
          </w:p>
          <w:p w14:paraId="6DA7DE63">
            <w:pPr>
              <w:pStyle w:val="6"/>
              <w:spacing w:before="26" w:line="227" w:lineRule="auto"/>
              <w:ind w:left="155"/>
              <w:rPr>
                <w:sz w:val="20"/>
                <w:szCs w:val="20"/>
              </w:rPr>
            </w:pPr>
            <w:r>
              <w:rPr>
                <w:spacing w:val="9"/>
                <w:sz w:val="20"/>
                <w:szCs w:val="20"/>
              </w:rPr>
              <w:t>界，东侧山脊分水岭为界，北侧以垂直等水位线的流线为界，划定</w:t>
            </w:r>
          </w:p>
          <w:p w14:paraId="028FCDEA">
            <w:pPr>
              <w:pStyle w:val="6"/>
              <w:spacing w:before="25" w:line="205" w:lineRule="auto"/>
              <w:ind w:left="963"/>
              <w:rPr>
                <w:sz w:val="20"/>
                <w:szCs w:val="20"/>
              </w:rPr>
            </w:pPr>
            <w:r>
              <w:rPr>
                <w:spacing w:val="7"/>
                <w:sz w:val="20"/>
                <w:szCs w:val="20"/>
              </w:rPr>
              <w:t>评价范围为</w:t>
            </w:r>
            <w:r>
              <w:rPr>
                <w:spacing w:val="-36"/>
                <w:sz w:val="20"/>
                <w:szCs w:val="20"/>
              </w:rPr>
              <w:t xml:space="preserve"> </w:t>
            </w:r>
            <w:r>
              <w:rPr>
                <w:rFonts w:ascii="Times New Roman" w:hAnsi="Times New Roman" w:eastAsia="Times New Roman" w:cs="Times New Roman"/>
                <w:spacing w:val="7"/>
                <w:sz w:val="20"/>
                <w:szCs w:val="20"/>
              </w:rPr>
              <w:t>56.96</w:t>
            </w:r>
            <w:r>
              <w:rPr>
                <w:rFonts w:ascii="Times New Roman" w:hAnsi="Times New Roman" w:eastAsia="Times New Roman" w:cs="Times New Roman"/>
                <w:sz w:val="20"/>
                <w:szCs w:val="20"/>
              </w:rPr>
              <w:t>km</w:t>
            </w:r>
            <w:r>
              <w:rPr>
                <w:rFonts w:ascii="Times New Roman" w:hAnsi="Times New Roman" w:eastAsia="Times New Roman" w:cs="Times New Roman"/>
                <w:spacing w:val="7"/>
                <w:position w:val="6"/>
                <w:sz w:val="13"/>
                <w:szCs w:val="13"/>
              </w:rPr>
              <w:t>2</w:t>
            </w:r>
            <w:r>
              <w:rPr>
                <w:rFonts w:ascii="Times New Roman" w:hAnsi="Times New Roman" w:eastAsia="Times New Roman" w:cs="Times New Roman"/>
                <w:spacing w:val="25"/>
                <w:w w:val="101"/>
                <w:position w:val="6"/>
                <w:sz w:val="13"/>
                <w:szCs w:val="13"/>
              </w:rPr>
              <w:t xml:space="preserve"> </w:t>
            </w:r>
            <w:r>
              <w:rPr>
                <w:spacing w:val="7"/>
                <w:sz w:val="20"/>
                <w:szCs w:val="20"/>
              </w:rPr>
              <w:t>的浅层地下水点为评价范围</w:t>
            </w:r>
          </w:p>
        </w:tc>
      </w:tr>
      <w:tr w14:paraId="694BF9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69" w:type="dxa"/>
            <w:tcBorders>
              <w:left w:val="nil"/>
            </w:tcBorders>
            <w:vAlign w:val="top"/>
          </w:tcPr>
          <w:p w14:paraId="75A48439">
            <w:pPr>
              <w:spacing w:before="110" w:line="195" w:lineRule="auto"/>
              <w:ind w:left="2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130" w:type="dxa"/>
            <w:vAlign w:val="top"/>
          </w:tcPr>
          <w:p w14:paraId="7630CCA5">
            <w:pPr>
              <w:pStyle w:val="6"/>
              <w:spacing w:before="74" w:line="228" w:lineRule="auto"/>
              <w:ind w:left="259"/>
              <w:rPr>
                <w:sz w:val="20"/>
                <w:szCs w:val="20"/>
              </w:rPr>
            </w:pPr>
            <w:r>
              <w:rPr>
                <w:spacing w:val="5"/>
                <w:sz w:val="20"/>
                <w:szCs w:val="20"/>
              </w:rPr>
              <w:t>声环境</w:t>
            </w:r>
          </w:p>
        </w:tc>
        <w:tc>
          <w:tcPr>
            <w:tcW w:w="1108" w:type="dxa"/>
            <w:vAlign w:val="top"/>
          </w:tcPr>
          <w:p w14:paraId="29DACA39">
            <w:pPr>
              <w:pStyle w:val="6"/>
              <w:spacing w:before="74" w:line="228" w:lineRule="auto"/>
              <w:ind w:left="348"/>
              <w:rPr>
                <w:sz w:val="20"/>
                <w:szCs w:val="20"/>
              </w:rPr>
            </w:pPr>
            <w:r>
              <w:rPr>
                <w:spacing w:val="4"/>
                <w:sz w:val="20"/>
                <w:szCs w:val="20"/>
              </w:rPr>
              <w:t>三级</w:t>
            </w:r>
          </w:p>
        </w:tc>
        <w:tc>
          <w:tcPr>
            <w:tcW w:w="6382" w:type="dxa"/>
            <w:tcBorders>
              <w:right w:val="nil"/>
            </w:tcBorders>
            <w:vAlign w:val="top"/>
          </w:tcPr>
          <w:p w14:paraId="48D65A16">
            <w:pPr>
              <w:pStyle w:val="6"/>
              <w:spacing w:before="74" w:line="228" w:lineRule="auto"/>
              <w:ind w:left="2382"/>
              <w:rPr>
                <w:sz w:val="20"/>
                <w:szCs w:val="20"/>
              </w:rPr>
            </w:pPr>
            <w:r>
              <w:rPr>
                <w:spacing w:val="3"/>
                <w:sz w:val="20"/>
                <w:szCs w:val="20"/>
              </w:rPr>
              <w:t>厂界外</w:t>
            </w:r>
            <w:r>
              <w:rPr>
                <w:spacing w:val="-40"/>
                <w:sz w:val="20"/>
                <w:szCs w:val="20"/>
              </w:rPr>
              <w:t xml:space="preserve"> </w:t>
            </w:r>
            <w:r>
              <w:rPr>
                <w:rFonts w:ascii="Times New Roman" w:hAnsi="Times New Roman" w:eastAsia="Times New Roman" w:cs="Times New Roman"/>
                <w:spacing w:val="3"/>
                <w:sz w:val="20"/>
                <w:szCs w:val="20"/>
              </w:rPr>
              <w:t>200m</w:t>
            </w:r>
            <w:r>
              <w:rPr>
                <w:rFonts w:ascii="Times New Roman" w:hAnsi="Times New Roman" w:eastAsia="Times New Roman" w:cs="Times New Roman"/>
                <w:spacing w:val="25"/>
                <w:w w:val="101"/>
                <w:sz w:val="20"/>
                <w:szCs w:val="20"/>
              </w:rPr>
              <w:t xml:space="preserve"> </w:t>
            </w:r>
            <w:r>
              <w:rPr>
                <w:spacing w:val="3"/>
                <w:sz w:val="20"/>
                <w:szCs w:val="20"/>
              </w:rPr>
              <w:t>区域</w:t>
            </w:r>
          </w:p>
        </w:tc>
      </w:tr>
      <w:tr w14:paraId="6CB9C2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69" w:type="dxa"/>
            <w:tcBorders>
              <w:left w:val="nil"/>
            </w:tcBorders>
            <w:vAlign w:val="top"/>
          </w:tcPr>
          <w:p w14:paraId="5CE2620F">
            <w:pPr>
              <w:spacing w:before="117" w:line="192" w:lineRule="auto"/>
              <w:ind w:left="292"/>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130" w:type="dxa"/>
            <w:vAlign w:val="top"/>
          </w:tcPr>
          <w:p w14:paraId="7E845A97">
            <w:pPr>
              <w:pStyle w:val="6"/>
              <w:spacing w:before="78" w:line="225" w:lineRule="auto"/>
              <w:ind w:left="153"/>
              <w:rPr>
                <w:sz w:val="20"/>
                <w:szCs w:val="20"/>
              </w:rPr>
            </w:pPr>
            <w:r>
              <w:rPr>
                <w:spacing w:val="6"/>
                <w:sz w:val="20"/>
                <w:szCs w:val="20"/>
              </w:rPr>
              <w:t>生态环境</w:t>
            </w:r>
          </w:p>
        </w:tc>
        <w:tc>
          <w:tcPr>
            <w:tcW w:w="1108" w:type="dxa"/>
            <w:vAlign w:val="top"/>
          </w:tcPr>
          <w:p w14:paraId="6FE7AC4D">
            <w:pPr>
              <w:pStyle w:val="6"/>
              <w:spacing w:before="78" w:line="225" w:lineRule="auto"/>
              <w:ind w:left="144"/>
              <w:rPr>
                <w:sz w:val="20"/>
                <w:szCs w:val="20"/>
              </w:rPr>
            </w:pPr>
            <w:r>
              <w:rPr>
                <w:spacing w:val="6"/>
                <w:sz w:val="20"/>
                <w:szCs w:val="20"/>
              </w:rPr>
              <w:t>简单分析</w:t>
            </w:r>
          </w:p>
        </w:tc>
        <w:tc>
          <w:tcPr>
            <w:tcW w:w="6382" w:type="dxa"/>
            <w:tcBorders>
              <w:right w:val="nil"/>
            </w:tcBorders>
            <w:vAlign w:val="top"/>
          </w:tcPr>
          <w:p w14:paraId="5F8AF51F">
            <w:pPr>
              <w:pStyle w:val="6"/>
              <w:spacing w:before="78" w:line="225" w:lineRule="auto"/>
              <w:ind w:left="2565"/>
              <w:rPr>
                <w:sz w:val="20"/>
                <w:szCs w:val="20"/>
              </w:rPr>
            </w:pPr>
            <w:r>
              <w:rPr>
                <w:spacing w:val="8"/>
                <w:sz w:val="20"/>
                <w:szCs w:val="20"/>
              </w:rPr>
              <w:t>仅作生态分析</w:t>
            </w:r>
          </w:p>
        </w:tc>
      </w:tr>
      <w:tr w14:paraId="618E2E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669" w:type="dxa"/>
            <w:tcBorders>
              <w:left w:val="nil"/>
            </w:tcBorders>
            <w:vAlign w:val="top"/>
          </w:tcPr>
          <w:p w14:paraId="07664F66">
            <w:pPr>
              <w:spacing w:before="117" w:line="195" w:lineRule="auto"/>
              <w:ind w:left="291"/>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130" w:type="dxa"/>
            <w:vAlign w:val="top"/>
          </w:tcPr>
          <w:p w14:paraId="6AF92E00">
            <w:pPr>
              <w:pStyle w:val="6"/>
              <w:spacing w:before="79" w:line="225" w:lineRule="auto"/>
              <w:ind w:left="151"/>
              <w:rPr>
                <w:sz w:val="20"/>
                <w:szCs w:val="20"/>
              </w:rPr>
            </w:pPr>
            <w:r>
              <w:rPr>
                <w:spacing w:val="7"/>
                <w:sz w:val="20"/>
                <w:szCs w:val="20"/>
              </w:rPr>
              <w:t>环境风险</w:t>
            </w:r>
          </w:p>
        </w:tc>
        <w:tc>
          <w:tcPr>
            <w:tcW w:w="1108" w:type="dxa"/>
            <w:vAlign w:val="top"/>
          </w:tcPr>
          <w:p w14:paraId="45E619B0">
            <w:pPr>
              <w:pStyle w:val="6"/>
              <w:spacing w:before="79" w:line="225" w:lineRule="auto"/>
              <w:ind w:left="352"/>
              <w:rPr>
                <w:sz w:val="20"/>
                <w:szCs w:val="20"/>
              </w:rPr>
            </w:pPr>
            <w:r>
              <w:rPr>
                <w:spacing w:val="3"/>
                <w:sz w:val="20"/>
                <w:szCs w:val="20"/>
              </w:rPr>
              <w:t>一级</w:t>
            </w:r>
          </w:p>
        </w:tc>
        <w:tc>
          <w:tcPr>
            <w:tcW w:w="6382" w:type="dxa"/>
            <w:tcBorders>
              <w:right w:val="nil"/>
            </w:tcBorders>
            <w:vAlign w:val="top"/>
          </w:tcPr>
          <w:p w14:paraId="1C32169B">
            <w:pPr>
              <w:pStyle w:val="6"/>
              <w:spacing w:before="79" w:line="225" w:lineRule="auto"/>
              <w:ind w:left="1489"/>
              <w:rPr>
                <w:sz w:val="20"/>
                <w:szCs w:val="20"/>
              </w:rPr>
            </w:pPr>
            <w:r>
              <w:rPr>
                <w:spacing w:val="8"/>
                <w:sz w:val="20"/>
                <w:szCs w:val="20"/>
              </w:rPr>
              <w:t>厂界向外延伸</w:t>
            </w:r>
            <w:r>
              <w:rPr>
                <w:spacing w:val="-30"/>
                <w:sz w:val="20"/>
                <w:szCs w:val="20"/>
              </w:rPr>
              <w:t xml:space="preserve"> </w:t>
            </w:r>
            <w:r>
              <w:rPr>
                <w:rFonts w:ascii="Times New Roman" w:hAnsi="Times New Roman" w:eastAsia="Times New Roman" w:cs="Times New Roman"/>
                <w:spacing w:val="8"/>
                <w:sz w:val="20"/>
                <w:szCs w:val="20"/>
              </w:rPr>
              <w:t>5</w:t>
            </w:r>
            <w:r>
              <w:rPr>
                <w:rFonts w:ascii="Times New Roman" w:hAnsi="Times New Roman" w:eastAsia="Times New Roman" w:cs="Times New Roman"/>
                <w:sz w:val="20"/>
                <w:szCs w:val="20"/>
              </w:rPr>
              <w:t>km</w:t>
            </w:r>
            <w:r>
              <w:rPr>
                <w:rFonts w:ascii="Times New Roman" w:hAnsi="Times New Roman" w:eastAsia="Times New Roman" w:cs="Times New Roman"/>
                <w:spacing w:val="8"/>
                <w:sz w:val="20"/>
                <w:szCs w:val="20"/>
              </w:rPr>
              <w:t xml:space="preserve"> </w:t>
            </w:r>
            <w:r>
              <w:rPr>
                <w:spacing w:val="8"/>
                <w:sz w:val="20"/>
                <w:szCs w:val="20"/>
              </w:rPr>
              <w:t>形成的包络线区域</w:t>
            </w:r>
          </w:p>
        </w:tc>
      </w:tr>
      <w:tr w14:paraId="015BAA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 w:hRule="atLeast"/>
        </w:trPr>
        <w:tc>
          <w:tcPr>
            <w:tcW w:w="669" w:type="dxa"/>
            <w:tcBorders>
              <w:left w:val="nil"/>
              <w:bottom w:val="single" w:color="000000" w:sz="10" w:space="0"/>
            </w:tcBorders>
            <w:vAlign w:val="top"/>
          </w:tcPr>
          <w:p w14:paraId="1D6C91EC">
            <w:pPr>
              <w:spacing w:before="121" w:line="192" w:lineRule="auto"/>
              <w:ind w:left="289"/>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1130" w:type="dxa"/>
            <w:tcBorders>
              <w:bottom w:val="single" w:color="000000" w:sz="10" w:space="0"/>
            </w:tcBorders>
            <w:vAlign w:val="top"/>
          </w:tcPr>
          <w:p w14:paraId="4BB0287D">
            <w:pPr>
              <w:pStyle w:val="6"/>
              <w:spacing w:before="82" w:line="228" w:lineRule="auto"/>
              <w:ind w:left="152"/>
              <w:rPr>
                <w:sz w:val="20"/>
                <w:szCs w:val="20"/>
              </w:rPr>
            </w:pPr>
            <w:r>
              <w:rPr>
                <w:spacing w:val="7"/>
                <w:sz w:val="20"/>
                <w:szCs w:val="20"/>
              </w:rPr>
              <w:t>土壤环境</w:t>
            </w:r>
          </w:p>
        </w:tc>
        <w:tc>
          <w:tcPr>
            <w:tcW w:w="1108" w:type="dxa"/>
            <w:tcBorders>
              <w:bottom w:val="single" w:color="000000" w:sz="10" w:space="0"/>
            </w:tcBorders>
            <w:vAlign w:val="top"/>
          </w:tcPr>
          <w:p w14:paraId="7D25AB11">
            <w:pPr>
              <w:pStyle w:val="6"/>
              <w:spacing w:before="82" w:line="230" w:lineRule="auto"/>
              <w:ind w:left="352"/>
              <w:rPr>
                <w:sz w:val="20"/>
                <w:szCs w:val="20"/>
              </w:rPr>
            </w:pPr>
            <w:r>
              <w:rPr>
                <w:spacing w:val="3"/>
                <w:sz w:val="20"/>
                <w:szCs w:val="20"/>
              </w:rPr>
              <w:t>二级</w:t>
            </w:r>
          </w:p>
        </w:tc>
        <w:tc>
          <w:tcPr>
            <w:tcW w:w="6382" w:type="dxa"/>
            <w:tcBorders>
              <w:bottom w:val="single" w:color="000000" w:sz="10" w:space="0"/>
              <w:right w:val="nil"/>
            </w:tcBorders>
            <w:vAlign w:val="top"/>
          </w:tcPr>
          <w:p w14:paraId="2ABD7F7F">
            <w:pPr>
              <w:pStyle w:val="6"/>
              <w:spacing w:before="82" w:line="228" w:lineRule="auto"/>
              <w:ind w:left="2041"/>
              <w:rPr>
                <w:sz w:val="20"/>
                <w:szCs w:val="20"/>
              </w:rPr>
            </w:pPr>
            <w:r>
              <w:rPr>
                <w:spacing w:val="6"/>
                <w:sz w:val="20"/>
                <w:szCs w:val="20"/>
              </w:rPr>
              <w:t>厂区及厂界外</w:t>
            </w:r>
            <w:r>
              <w:rPr>
                <w:spacing w:val="-39"/>
                <w:sz w:val="20"/>
                <w:szCs w:val="20"/>
              </w:rPr>
              <w:t xml:space="preserve"> </w:t>
            </w:r>
            <w:r>
              <w:rPr>
                <w:rFonts w:ascii="Times New Roman" w:hAnsi="Times New Roman" w:eastAsia="Times New Roman" w:cs="Times New Roman"/>
                <w:spacing w:val="6"/>
                <w:sz w:val="20"/>
                <w:szCs w:val="20"/>
              </w:rPr>
              <w:t>0.2</w:t>
            </w:r>
            <w:r>
              <w:rPr>
                <w:rFonts w:ascii="Times New Roman" w:hAnsi="Times New Roman" w:eastAsia="Times New Roman" w:cs="Times New Roman"/>
                <w:sz w:val="20"/>
                <w:szCs w:val="20"/>
              </w:rPr>
              <w:t>km</w:t>
            </w:r>
            <w:r>
              <w:rPr>
                <w:rFonts w:ascii="Times New Roman" w:hAnsi="Times New Roman" w:eastAsia="Times New Roman" w:cs="Times New Roman"/>
                <w:spacing w:val="17"/>
                <w:sz w:val="20"/>
                <w:szCs w:val="20"/>
              </w:rPr>
              <w:t xml:space="preserve"> </w:t>
            </w:r>
            <w:r>
              <w:rPr>
                <w:spacing w:val="6"/>
                <w:sz w:val="20"/>
                <w:szCs w:val="20"/>
              </w:rPr>
              <w:t>范围</w:t>
            </w:r>
          </w:p>
        </w:tc>
      </w:tr>
    </w:tbl>
    <w:p w14:paraId="67A2A745">
      <w:pPr>
        <w:spacing w:before="50" w:line="227" w:lineRule="auto"/>
        <w:ind w:left="144"/>
        <w:outlineLvl w:val="1"/>
        <w:rPr>
          <w:rFonts w:ascii="黑体" w:hAnsi="黑体" w:eastAsia="黑体" w:cs="黑体"/>
          <w:sz w:val="31"/>
          <w:szCs w:val="31"/>
        </w:rPr>
      </w:pPr>
      <w:bookmarkStart w:id="307" w:name="bookmark82"/>
      <w:bookmarkEnd w:id="307"/>
      <w:r>
        <w:rPr>
          <w:rFonts w:ascii="Times New Roman" w:hAnsi="Times New Roman" w:eastAsia="Times New Roman" w:cs="Times New Roman"/>
          <w:spacing w:val="3"/>
          <w:sz w:val="31"/>
          <w:szCs w:val="31"/>
        </w:rPr>
        <w:t xml:space="preserve">1.7 </w:t>
      </w:r>
      <w:r>
        <w:rPr>
          <w:rFonts w:ascii="黑体" w:hAnsi="黑体" w:eastAsia="黑体" w:cs="黑体"/>
          <w:spacing w:val="3"/>
          <w:sz w:val="31"/>
          <w:szCs w:val="31"/>
        </w:rPr>
        <w:t>环境保护目标</w:t>
      </w:r>
    </w:p>
    <w:p w14:paraId="252F0F12">
      <w:pPr>
        <w:spacing w:before="227" w:line="351" w:lineRule="auto"/>
        <w:ind w:left="115" w:right="107" w:firstLine="481"/>
        <w:jc w:val="both"/>
        <w:rPr>
          <w:rFonts w:ascii="宋体" w:hAnsi="宋体" w:eastAsia="宋体" w:cs="宋体"/>
          <w:sz w:val="24"/>
          <w:szCs w:val="24"/>
        </w:rPr>
      </w:pPr>
      <w:r>
        <w:rPr>
          <w:rFonts w:ascii="宋体" w:hAnsi="宋体" w:eastAsia="宋体" w:cs="宋体"/>
          <w:spacing w:val="-2"/>
          <w:sz w:val="24"/>
          <w:szCs w:val="24"/>
        </w:rPr>
        <w:t>本项目主要环境保护目标为项目评价区域的大气环境、地下水环境、声环境等。根</w:t>
      </w:r>
      <w:r>
        <w:rPr>
          <w:rFonts w:ascii="宋体" w:hAnsi="宋体" w:eastAsia="宋体" w:cs="宋体"/>
          <w:spacing w:val="15"/>
          <w:sz w:val="24"/>
          <w:szCs w:val="24"/>
        </w:rPr>
        <w:t xml:space="preserve"> </w:t>
      </w:r>
      <w:r>
        <w:rPr>
          <w:rFonts w:ascii="宋体" w:hAnsi="宋体" w:eastAsia="宋体" w:cs="宋体"/>
          <w:spacing w:val="-1"/>
          <w:sz w:val="24"/>
          <w:szCs w:val="24"/>
        </w:rPr>
        <w:t>据对项目厂址周边进行环境敏感保护目标排查</w:t>
      </w:r>
      <w:r>
        <w:rPr>
          <w:rFonts w:ascii="宋体" w:hAnsi="宋体" w:eastAsia="宋体" w:cs="宋体"/>
          <w:spacing w:val="-2"/>
          <w:sz w:val="24"/>
          <w:szCs w:val="24"/>
        </w:rPr>
        <w:t>，确定本项目环境保护目标见下表，评价</w:t>
      </w:r>
      <w:r>
        <w:rPr>
          <w:rFonts w:ascii="宋体" w:hAnsi="宋体" w:eastAsia="宋体" w:cs="宋体"/>
          <w:sz w:val="24"/>
          <w:szCs w:val="24"/>
        </w:rPr>
        <w:t xml:space="preserve"> </w:t>
      </w:r>
      <w:r>
        <w:rPr>
          <w:rFonts w:ascii="宋体" w:hAnsi="宋体" w:eastAsia="宋体" w:cs="宋体"/>
          <w:spacing w:val="-2"/>
          <w:sz w:val="24"/>
          <w:szCs w:val="24"/>
        </w:rPr>
        <w:t>范围见下图。</w:t>
      </w:r>
    </w:p>
    <w:p w14:paraId="13BD5162">
      <w:pPr>
        <w:spacing w:before="137" w:line="227" w:lineRule="auto"/>
        <w:ind w:left="3037"/>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16"/>
          <w:sz w:val="20"/>
          <w:szCs w:val="20"/>
        </w:rPr>
        <w:t xml:space="preserve"> </w:t>
      </w:r>
      <w:r>
        <w:rPr>
          <w:rFonts w:ascii="Times New Roman" w:hAnsi="Times New Roman" w:eastAsia="Times New Roman" w:cs="Times New Roman"/>
          <w:b/>
          <w:bCs/>
          <w:spacing w:val="4"/>
          <w:sz w:val="20"/>
          <w:szCs w:val="20"/>
        </w:rPr>
        <w:t xml:space="preserve">1.7-1        </w:t>
      </w:r>
      <w:r>
        <w:rPr>
          <w:rFonts w:ascii="宋体" w:hAnsi="宋体" w:eastAsia="宋体" w:cs="宋体"/>
          <w:b/>
          <w:bCs/>
          <w:spacing w:val="4"/>
          <w:sz w:val="20"/>
          <w:szCs w:val="20"/>
        </w:rPr>
        <w:t>本项目环境保护目标表</w:t>
      </w:r>
    </w:p>
    <w:p w14:paraId="5BC64A2B">
      <w:pPr>
        <w:spacing w:line="134" w:lineRule="auto"/>
        <w:rPr>
          <w:rFonts w:ascii="Arial"/>
          <w:sz w:val="2"/>
        </w:rPr>
      </w:pPr>
    </w:p>
    <w:tbl>
      <w:tblPr>
        <w:tblStyle w:val="5"/>
        <w:tblW w:w="928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0"/>
        <w:gridCol w:w="1537"/>
        <w:gridCol w:w="1530"/>
        <w:gridCol w:w="1099"/>
        <w:gridCol w:w="333"/>
        <w:gridCol w:w="691"/>
        <w:gridCol w:w="853"/>
        <w:gridCol w:w="996"/>
        <w:gridCol w:w="845"/>
        <w:gridCol w:w="734"/>
      </w:tblGrid>
      <w:tr w14:paraId="412F58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670" w:type="dxa"/>
            <w:vMerge w:val="restart"/>
            <w:tcBorders>
              <w:top w:val="single" w:color="000000" w:sz="10" w:space="0"/>
              <w:left w:val="nil"/>
              <w:bottom w:val="nil"/>
            </w:tcBorders>
            <w:vAlign w:val="top"/>
          </w:tcPr>
          <w:p w14:paraId="01C8C59A">
            <w:pPr>
              <w:pStyle w:val="6"/>
              <w:spacing w:before="171" w:line="235" w:lineRule="auto"/>
              <w:ind w:left="131" w:right="125"/>
              <w:rPr>
                <w:sz w:val="20"/>
                <w:szCs w:val="20"/>
              </w:rPr>
            </w:pPr>
            <w:r>
              <w:rPr>
                <w:spacing w:val="4"/>
                <w:sz w:val="20"/>
                <w:szCs w:val="20"/>
              </w:rPr>
              <w:t>环境</w:t>
            </w:r>
            <w:r>
              <w:rPr>
                <w:sz w:val="20"/>
                <w:szCs w:val="20"/>
              </w:rPr>
              <w:t xml:space="preserve"> </w:t>
            </w:r>
            <w:r>
              <w:rPr>
                <w:spacing w:val="4"/>
                <w:sz w:val="20"/>
                <w:szCs w:val="20"/>
              </w:rPr>
              <w:t>要素</w:t>
            </w:r>
          </w:p>
        </w:tc>
        <w:tc>
          <w:tcPr>
            <w:tcW w:w="1537" w:type="dxa"/>
            <w:vMerge w:val="restart"/>
            <w:tcBorders>
              <w:top w:val="single" w:color="000000" w:sz="10" w:space="0"/>
              <w:bottom w:val="nil"/>
            </w:tcBorders>
            <w:vAlign w:val="top"/>
          </w:tcPr>
          <w:p w14:paraId="478EF016">
            <w:pPr>
              <w:pStyle w:val="6"/>
              <w:spacing w:before="304" w:line="230" w:lineRule="auto"/>
              <w:ind w:left="565"/>
              <w:rPr>
                <w:sz w:val="20"/>
                <w:szCs w:val="20"/>
              </w:rPr>
            </w:pPr>
            <w:r>
              <w:rPr>
                <w:spacing w:val="3"/>
                <w:sz w:val="20"/>
                <w:szCs w:val="20"/>
              </w:rPr>
              <w:t>名称</w:t>
            </w:r>
          </w:p>
        </w:tc>
        <w:tc>
          <w:tcPr>
            <w:tcW w:w="2962" w:type="dxa"/>
            <w:gridSpan w:val="3"/>
            <w:tcBorders>
              <w:top w:val="single" w:color="000000" w:sz="10" w:space="0"/>
            </w:tcBorders>
            <w:vAlign w:val="top"/>
          </w:tcPr>
          <w:p w14:paraId="4ABFAADF">
            <w:pPr>
              <w:pStyle w:val="6"/>
              <w:spacing w:before="64" w:line="228" w:lineRule="auto"/>
              <w:ind w:left="1278"/>
              <w:rPr>
                <w:sz w:val="20"/>
                <w:szCs w:val="20"/>
              </w:rPr>
            </w:pPr>
            <w:r>
              <w:rPr>
                <w:spacing w:val="4"/>
                <w:sz w:val="20"/>
                <w:szCs w:val="20"/>
              </w:rPr>
              <w:t>坐标</w:t>
            </w:r>
          </w:p>
        </w:tc>
        <w:tc>
          <w:tcPr>
            <w:tcW w:w="691" w:type="dxa"/>
            <w:vMerge w:val="restart"/>
            <w:tcBorders>
              <w:top w:val="single" w:color="000000" w:sz="10" w:space="0"/>
              <w:bottom w:val="nil"/>
            </w:tcBorders>
            <w:vAlign w:val="top"/>
          </w:tcPr>
          <w:p w14:paraId="6E4900C8">
            <w:pPr>
              <w:pStyle w:val="6"/>
              <w:spacing w:before="171" w:line="235" w:lineRule="auto"/>
              <w:ind w:left="141" w:right="134" w:firstLine="1"/>
              <w:rPr>
                <w:sz w:val="20"/>
                <w:szCs w:val="20"/>
              </w:rPr>
            </w:pPr>
            <w:r>
              <w:rPr>
                <w:spacing w:val="4"/>
                <w:sz w:val="20"/>
                <w:szCs w:val="20"/>
              </w:rPr>
              <w:t>保护</w:t>
            </w:r>
            <w:r>
              <w:rPr>
                <w:sz w:val="20"/>
                <w:szCs w:val="20"/>
              </w:rPr>
              <w:t xml:space="preserve"> </w:t>
            </w:r>
            <w:r>
              <w:rPr>
                <w:spacing w:val="5"/>
                <w:sz w:val="20"/>
                <w:szCs w:val="20"/>
              </w:rPr>
              <w:t>对象</w:t>
            </w:r>
          </w:p>
        </w:tc>
        <w:tc>
          <w:tcPr>
            <w:tcW w:w="853" w:type="dxa"/>
            <w:vMerge w:val="restart"/>
            <w:tcBorders>
              <w:top w:val="single" w:color="000000" w:sz="10" w:space="0"/>
              <w:bottom w:val="nil"/>
            </w:tcBorders>
            <w:vAlign w:val="top"/>
          </w:tcPr>
          <w:p w14:paraId="33DED5D9">
            <w:pPr>
              <w:pStyle w:val="6"/>
              <w:spacing w:before="172" w:line="235" w:lineRule="auto"/>
              <w:ind w:left="329" w:right="108" w:hanging="210"/>
              <w:rPr>
                <w:sz w:val="20"/>
                <w:szCs w:val="20"/>
              </w:rPr>
            </w:pPr>
            <w:r>
              <w:rPr>
                <w:spacing w:val="6"/>
                <w:sz w:val="20"/>
                <w:szCs w:val="20"/>
              </w:rPr>
              <w:t>保护内</w:t>
            </w:r>
            <w:r>
              <w:rPr>
                <w:sz w:val="20"/>
                <w:szCs w:val="20"/>
              </w:rPr>
              <w:t xml:space="preserve"> 容</w:t>
            </w:r>
          </w:p>
        </w:tc>
        <w:tc>
          <w:tcPr>
            <w:tcW w:w="996" w:type="dxa"/>
            <w:vMerge w:val="restart"/>
            <w:tcBorders>
              <w:top w:val="single" w:color="000000" w:sz="10" w:space="0"/>
              <w:bottom w:val="nil"/>
            </w:tcBorders>
            <w:vAlign w:val="top"/>
          </w:tcPr>
          <w:p w14:paraId="65E2A2BD">
            <w:pPr>
              <w:pStyle w:val="6"/>
              <w:spacing w:before="172" w:line="235" w:lineRule="auto"/>
              <w:ind w:left="302" w:right="180" w:hanging="113"/>
              <w:rPr>
                <w:sz w:val="20"/>
                <w:szCs w:val="20"/>
              </w:rPr>
            </w:pPr>
            <w:r>
              <w:rPr>
                <w:spacing w:val="6"/>
                <w:sz w:val="20"/>
                <w:szCs w:val="20"/>
              </w:rPr>
              <w:t>环境功</w:t>
            </w:r>
            <w:r>
              <w:rPr>
                <w:spacing w:val="1"/>
                <w:sz w:val="20"/>
                <w:szCs w:val="20"/>
              </w:rPr>
              <w:t xml:space="preserve"> </w:t>
            </w:r>
            <w:r>
              <w:rPr>
                <w:sz w:val="20"/>
                <w:szCs w:val="20"/>
              </w:rPr>
              <w:t>能区</w:t>
            </w:r>
          </w:p>
        </w:tc>
        <w:tc>
          <w:tcPr>
            <w:tcW w:w="845" w:type="dxa"/>
            <w:vMerge w:val="restart"/>
            <w:tcBorders>
              <w:top w:val="single" w:color="000000" w:sz="10" w:space="0"/>
              <w:bottom w:val="nil"/>
            </w:tcBorders>
            <w:vAlign w:val="top"/>
          </w:tcPr>
          <w:p w14:paraId="6CA112BC">
            <w:pPr>
              <w:pStyle w:val="6"/>
              <w:spacing w:before="41" w:line="232" w:lineRule="auto"/>
              <w:ind w:left="218" w:right="212"/>
              <w:jc w:val="both"/>
              <w:rPr>
                <w:sz w:val="20"/>
                <w:szCs w:val="20"/>
              </w:rPr>
            </w:pPr>
            <w:r>
              <w:rPr>
                <w:spacing w:val="4"/>
                <w:sz w:val="20"/>
                <w:szCs w:val="20"/>
              </w:rPr>
              <w:t>相对</w:t>
            </w:r>
            <w:r>
              <w:rPr>
                <w:sz w:val="20"/>
                <w:szCs w:val="20"/>
              </w:rPr>
              <w:t xml:space="preserve"> </w:t>
            </w:r>
            <w:r>
              <w:rPr>
                <w:spacing w:val="4"/>
                <w:sz w:val="20"/>
                <w:szCs w:val="20"/>
              </w:rPr>
              <w:t>厂址</w:t>
            </w:r>
            <w:r>
              <w:rPr>
                <w:sz w:val="20"/>
                <w:szCs w:val="20"/>
              </w:rPr>
              <w:t xml:space="preserve"> </w:t>
            </w:r>
            <w:r>
              <w:rPr>
                <w:spacing w:val="4"/>
                <w:sz w:val="20"/>
                <w:szCs w:val="20"/>
              </w:rPr>
              <w:t>方位</w:t>
            </w:r>
          </w:p>
        </w:tc>
        <w:tc>
          <w:tcPr>
            <w:tcW w:w="734" w:type="dxa"/>
            <w:vMerge w:val="restart"/>
            <w:tcBorders>
              <w:top w:val="single" w:color="000000" w:sz="10" w:space="0"/>
              <w:bottom w:val="nil"/>
              <w:right w:val="nil"/>
            </w:tcBorders>
            <w:vAlign w:val="top"/>
          </w:tcPr>
          <w:p w14:paraId="7F5D1967">
            <w:pPr>
              <w:pStyle w:val="6"/>
              <w:spacing w:before="41" w:line="239" w:lineRule="auto"/>
              <w:ind w:left="161" w:right="159"/>
              <w:jc w:val="both"/>
              <w:rPr>
                <w:rFonts w:ascii="Times New Roman" w:hAnsi="Times New Roman" w:eastAsia="Times New Roman" w:cs="Times New Roman"/>
                <w:sz w:val="20"/>
                <w:szCs w:val="20"/>
              </w:rPr>
            </w:pPr>
            <w:r>
              <w:rPr>
                <w:spacing w:val="4"/>
                <w:sz w:val="20"/>
                <w:szCs w:val="20"/>
              </w:rPr>
              <w:t>相对</w:t>
            </w:r>
            <w:r>
              <w:rPr>
                <w:sz w:val="20"/>
                <w:szCs w:val="20"/>
              </w:rPr>
              <w:t xml:space="preserve"> </w:t>
            </w:r>
            <w:r>
              <w:rPr>
                <w:spacing w:val="5"/>
                <w:sz w:val="20"/>
                <w:szCs w:val="20"/>
              </w:rPr>
              <w:t>距离</w:t>
            </w:r>
            <w:r>
              <w:rPr>
                <w:sz w:val="20"/>
                <w:szCs w:val="20"/>
              </w:rPr>
              <w:t xml:space="preserve"> </w:t>
            </w:r>
            <w:r>
              <w:rPr>
                <w:rFonts w:ascii="Times New Roman" w:hAnsi="Times New Roman" w:eastAsia="Times New Roman" w:cs="Times New Roman"/>
                <w:spacing w:val="17"/>
                <w:sz w:val="20"/>
                <w:szCs w:val="20"/>
              </w:rPr>
              <w:t>/km</w:t>
            </w:r>
          </w:p>
        </w:tc>
      </w:tr>
      <w:tr w14:paraId="20B18F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 w:hRule="atLeast"/>
        </w:trPr>
        <w:tc>
          <w:tcPr>
            <w:tcW w:w="670" w:type="dxa"/>
            <w:vMerge w:val="continue"/>
            <w:tcBorders>
              <w:top w:val="nil"/>
              <w:left w:val="nil"/>
            </w:tcBorders>
            <w:vAlign w:val="top"/>
          </w:tcPr>
          <w:p w14:paraId="1A4D2768">
            <w:pPr>
              <w:rPr>
                <w:rFonts w:ascii="Arial"/>
                <w:sz w:val="21"/>
              </w:rPr>
            </w:pPr>
          </w:p>
        </w:tc>
        <w:tc>
          <w:tcPr>
            <w:tcW w:w="1537" w:type="dxa"/>
            <w:vMerge w:val="continue"/>
            <w:tcBorders>
              <w:top w:val="nil"/>
            </w:tcBorders>
            <w:vAlign w:val="top"/>
          </w:tcPr>
          <w:p w14:paraId="08107104">
            <w:pPr>
              <w:rPr>
                <w:rFonts w:ascii="Arial"/>
                <w:sz w:val="21"/>
              </w:rPr>
            </w:pPr>
          </w:p>
        </w:tc>
        <w:tc>
          <w:tcPr>
            <w:tcW w:w="1530" w:type="dxa"/>
            <w:vAlign w:val="top"/>
          </w:tcPr>
          <w:p w14:paraId="51588E77">
            <w:pPr>
              <w:pStyle w:val="6"/>
              <w:spacing w:before="131" w:line="228" w:lineRule="auto"/>
              <w:ind w:left="567"/>
              <w:rPr>
                <w:sz w:val="20"/>
                <w:szCs w:val="20"/>
              </w:rPr>
            </w:pPr>
            <w:r>
              <w:rPr>
                <w:spacing w:val="1"/>
                <w:sz w:val="20"/>
                <w:szCs w:val="20"/>
              </w:rPr>
              <w:t>东经</w:t>
            </w:r>
          </w:p>
        </w:tc>
        <w:tc>
          <w:tcPr>
            <w:tcW w:w="1432" w:type="dxa"/>
            <w:gridSpan w:val="2"/>
            <w:vAlign w:val="top"/>
          </w:tcPr>
          <w:p w14:paraId="7279C941">
            <w:pPr>
              <w:pStyle w:val="6"/>
              <w:spacing w:before="132" w:line="228" w:lineRule="auto"/>
              <w:ind w:left="514"/>
              <w:rPr>
                <w:sz w:val="20"/>
                <w:szCs w:val="20"/>
              </w:rPr>
            </w:pPr>
            <w:r>
              <w:rPr>
                <w:spacing w:val="3"/>
                <w:sz w:val="20"/>
                <w:szCs w:val="20"/>
              </w:rPr>
              <w:t>北纬</w:t>
            </w:r>
          </w:p>
        </w:tc>
        <w:tc>
          <w:tcPr>
            <w:tcW w:w="691" w:type="dxa"/>
            <w:vMerge w:val="continue"/>
            <w:tcBorders>
              <w:top w:val="nil"/>
            </w:tcBorders>
            <w:vAlign w:val="top"/>
          </w:tcPr>
          <w:p w14:paraId="51B2E533">
            <w:pPr>
              <w:rPr>
                <w:rFonts w:ascii="Arial"/>
                <w:sz w:val="21"/>
              </w:rPr>
            </w:pPr>
          </w:p>
        </w:tc>
        <w:tc>
          <w:tcPr>
            <w:tcW w:w="853" w:type="dxa"/>
            <w:vMerge w:val="continue"/>
            <w:tcBorders>
              <w:top w:val="nil"/>
            </w:tcBorders>
            <w:vAlign w:val="top"/>
          </w:tcPr>
          <w:p w14:paraId="66C13FE3">
            <w:pPr>
              <w:rPr>
                <w:rFonts w:ascii="Arial"/>
                <w:sz w:val="21"/>
              </w:rPr>
            </w:pPr>
          </w:p>
        </w:tc>
        <w:tc>
          <w:tcPr>
            <w:tcW w:w="996" w:type="dxa"/>
            <w:vMerge w:val="continue"/>
            <w:tcBorders>
              <w:top w:val="nil"/>
            </w:tcBorders>
            <w:vAlign w:val="top"/>
          </w:tcPr>
          <w:p w14:paraId="06189EA5">
            <w:pPr>
              <w:rPr>
                <w:rFonts w:ascii="Arial"/>
                <w:sz w:val="21"/>
              </w:rPr>
            </w:pPr>
          </w:p>
        </w:tc>
        <w:tc>
          <w:tcPr>
            <w:tcW w:w="845" w:type="dxa"/>
            <w:vMerge w:val="continue"/>
            <w:tcBorders>
              <w:top w:val="nil"/>
            </w:tcBorders>
            <w:vAlign w:val="top"/>
          </w:tcPr>
          <w:p w14:paraId="5A1EAB99">
            <w:pPr>
              <w:rPr>
                <w:rFonts w:ascii="Arial"/>
                <w:sz w:val="21"/>
              </w:rPr>
            </w:pPr>
          </w:p>
        </w:tc>
        <w:tc>
          <w:tcPr>
            <w:tcW w:w="734" w:type="dxa"/>
            <w:vMerge w:val="continue"/>
            <w:tcBorders>
              <w:top w:val="nil"/>
              <w:right w:val="nil"/>
            </w:tcBorders>
            <w:vAlign w:val="top"/>
          </w:tcPr>
          <w:p w14:paraId="25F33384">
            <w:pPr>
              <w:rPr>
                <w:rFonts w:ascii="Arial"/>
                <w:sz w:val="21"/>
              </w:rPr>
            </w:pPr>
          </w:p>
        </w:tc>
      </w:tr>
      <w:tr w14:paraId="1B09D9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70" w:type="dxa"/>
            <w:vMerge w:val="restart"/>
            <w:tcBorders>
              <w:left w:val="nil"/>
              <w:bottom w:val="nil"/>
            </w:tcBorders>
            <w:vAlign w:val="top"/>
          </w:tcPr>
          <w:p w14:paraId="7B03A6A7">
            <w:pPr>
              <w:pStyle w:val="6"/>
              <w:spacing w:before="94" w:line="239" w:lineRule="auto"/>
              <w:ind w:left="131" w:right="125" w:firstLine="2"/>
              <w:rPr>
                <w:sz w:val="20"/>
                <w:szCs w:val="20"/>
              </w:rPr>
            </w:pPr>
            <w:r>
              <w:rPr>
                <w:spacing w:val="3"/>
                <w:sz w:val="20"/>
                <w:szCs w:val="20"/>
              </w:rPr>
              <w:t>大气</w:t>
            </w:r>
            <w:r>
              <w:rPr>
                <w:sz w:val="20"/>
                <w:szCs w:val="20"/>
              </w:rPr>
              <w:t xml:space="preserve"> </w:t>
            </w:r>
            <w:r>
              <w:rPr>
                <w:spacing w:val="4"/>
                <w:sz w:val="20"/>
                <w:szCs w:val="20"/>
              </w:rPr>
              <w:t>环境</w:t>
            </w:r>
          </w:p>
        </w:tc>
        <w:tc>
          <w:tcPr>
            <w:tcW w:w="1537" w:type="dxa"/>
            <w:vAlign w:val="top"/>
          </w:tcPr>
          <w:p w14:paraId="7DA67426">
            <w:pPr>
              <w:pStyle w:val="6"/>
              <w:spacing w:before="61" w:line="228" w:lineRule="auto"/>
              <w:ind w:left="356"/>
              <w:rPr>
                <w:sz w:val="20"/>
                <w:szCs w:val="20"/>
              </w:rPr>
            </w:pPr>
            <w:r>
              <w:rPr>
                <w:spacing w:val="6"/>
                <w:sz w:val="20"/>
                <w:szCs w:val="20"/>
              </w:rPr>
              <w:t>温都尔庙</w:t>
            </w:r>
          </w:p>
        </w:tc>
        <w:tc>
          <w:tcPr>
            <w:tcW w:w="1530" w:type="dxa"/>
            <w:vAlign w:val="top"/>
          </w:tcPr>
          <w:p w14:paraId="3D8E4C53">
            <w:pPr>
              <w:spacing w:before="97"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112°55′8.90″</w:t>
            </w:r>
          </w:p>
        </w:tc>
        <w:tc>
          <w:tcPr>
            <w:tcW w:w="1432" w:type="dxa"/>
            <w:gridSpan w:val="2"/>
            <w:vAlign w:val="top"/>
          </w:tcPr>
          <w:p w14:paraId="59904F62">
            <w:pPr>
              <w:spacing w:before="97" w:line="195" w:lineRule="auto"/>
              <w:ind w:left="16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42°26′47.58″</w:t>
            </w:r>
          </w:p>
        </w:tc>
        <w:tc>
          <w:tcPr>
            <w:tcW w:w="691" w:type="dxa"/>
            <w:vAlign w:val="top"/>
          </w:tcPr>
          <w:p w14:paraId="2A9B0E87">
            <w:pPr>
              <w:pStyle w:val="6"/>
              <w:spacing w:before="64" w:line="228" w:lineRule="auto"/>
              <w:ind w:left="143"/>
              <w:rPr>
                <w:sz w:val="20"/>
                <w:szCs w:val="20"/>
              </w:rPr>
            </w:pPr>
            <w:r>
              <w:rPr>
                <w:spacing w:val="3"/>
                <w:sz w:val="20"/>
                <w:szCs w:val="20"/>
              </w:rPr>
              <w:t>居民</w:t>
            </w:r>
          </w:p>
        </w:tc>
        <w:tc>
          <w:tcPr>
            <w:tcW w:w="853" w:type="dxa"/>
            <w:vAlign w:val="top"/>
          </w:tcPr>
          <w:p w14:paraId="16A0C634">
            <w:pPr>
              <w:pStyle w:val="6"/>
              <w:spacing w:before="61" w:line="231" w:lineRule="auto"/>
              <w:ind w:left="276"/>
              <w:rPr>
                <w:sz w:val="20"/>
                <w:szCs w:val="20"/>
              </w:rPr>
            </w:pPr>
            <w:r>
              <w:rPr>
                <w:rFonts w:ascii="Times New Roman" w:hAnsi="Times New Roman" w:eastAsia="Times New Roman" w:cs="Times New Roman"/>
                <w:spacing w:val="2"/>
                <w:sz w:val="20"/>
                <w:szCs w:val="20"/>
              </w:rPr>
              <w:t>7</w:t>
            </w:r>
            <w:r>
              <w:rPr>
                <w:spacing w:val="2"/>
                <w:sz w:val="20"/>
                <w:szCs w:val="20"/>
              </w:rPr>
              <w:t>人</w:t>
            </w:r>
          </w:p>
        </w:tc>
        <w:tc>
          <w:tcPr>
            <w:tcW w:w="996" w:type="dxa"/>
            <w:vAlign w:val="top"/>
          </w:tcPr>
          <w:p w14:paraId="6FC10E5D">
            <w:pPr>
              <w:pStyle w:val="6"/>
              <w:spacing w:before="64" w:line="228" w:lineRule="auto"/>
              <w:ind w:left="298"/>
              <w:rPr>
                <w:sz w:val="20"/>
                <w:szCs w:val="20"/>
              </w:rPr>
            </w:pPr>
            <w:r>
              <w:rPr>
                <w:spacing w:val="3"/>
                <w:sz w:val="20"/>
                <w:szCs w:val="20"/>
              </w:rPr>
              <w:t>二类</w:t>
            </w:r>
          </w:p>
        </w:tc>
        <w:tc>
          <w:tcPr>
            <w:tcW w:w="845" w:type="dxa"/>
            <w:vAlign w:val="top"/>
          </w:tcPr>
          <w:p w14:paraId="2731EAC0">
            <w:pPr>
              <w:pStyle w:val="6"/>
              <w:spacing w:before="61" w:line="228" w:lineRule="auto"/>
              <w:ind w:left="225"/>
              <w:rPr>
                <w:sz w:val="20"/>
                <w:szCs w:val="20"/>
              </w:rPr>
            </w:pPr>
            <w:r>
              <w:rPr>
                <w:spacing w:val="1"/>
                <w:sz w:val="20"/>
                <w:szCs w:val="20"/>
              </w:rPr>
              <w:t>东北</w:t>
            </w:r>
          </w:p>
        </w:tc>
        <w:tc>
          <w:tcPr>
            <w:tcW w:w="734" w:type="dxa"/>
            <w:tcBorders>
              <w:right w:val="nil"/>
            </w:tcBorders>
            <w:vAlign w:val="top"/>
          </w:tcPr>
          <w:p w14:paraId="207D2D18">
            <w:pPr>
              <w:spacing w:before="97"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2.30</w:t>
            </w:r>
          </w:p>
        </w:tc>
      </w:tr>
      <w:tr w14:paraId="5E0B31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70" w:type="dxa"/>
            <w:vMerge w:val="continue"/>
            <w:tcBorders>
              <w:top w:val="nil"/>
              <w:left w:val="nil"/>
            </w:tcBorders>
            <w:vAlign w:val="top"/>
          </w:tcPr>
          <w:p w14:paraId="0E7DF730">
            <w:pPr>
              <w:rPr>
                <w:rFonts w:ascii="Arial"/>
                <w:sz w:val="21"/>
              </w:rPr>
            </w:pPr>
          </w:p>
        </w:tc>
        <w:tc>
          <w:tcPr>
            <w:tcW w:w="1537" w:type="dxa"/>
            <w:vAlign w:val="top"/>
          </w:tcPr>
          <w:p w14:paraId="02DFE6C6">
            <w:pPr>
              <w:pStyle w:val="6"/>
              <w:spacing w:before="62" w:line="228" w:lineRule="auto"/>
              <w:ind w:left="165"/>
              <w:rPr>
                <w:sz w:val="20"/>
                <w:szCs w:val="20"/>
              </w:rPr>
            </w:pPr>
            <w:r>
              <w:rPr>
                <w:spacing w:val="4"/>
                <w:sz w:val="20"/>
                <w:szCs w:val="20"/>
              </w:rPr>
              <w:t>巴润阿木斯尔</w:t>
            </w:r>
          </w:p>
        </w:tc>
        <w:tc>
          <w:tcPr>
            <w:tcW w:w="1530" w:type="dxa"/>
            <w:vAlign w:val="top"/>
          </w:tcPr>
          <w:p w14:paraId="6AC5A9BD">
            <w:pPr>
              <w:spacing w:before="97"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112°54′6.52″</w:t>
            </w:r>
          </w:p>
        </w:tc>
        <w:tc>
          <w:tcPr>
            <w:tcW w:w="1432" w:type="dxa"/>
            <w:gridSpan w:val="2"/>
            <w:vAlign w:val="top"/>
          </w:tcPr>
          <w:p w14:paraId="02DB349E">
            <w:pPr>
              <w:spacing w:before="97" w:line="195" w:lineRule="auto"/>
              <w:ind w:left="16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42°24′53.10″</w:t>
            </w:r>
          </w:p>
        </w:tc>
        <w:tc>
          <w:tcPr>
            <w:tcW w:w="691" w:type="dxa"/>
            <w:vAlign w:val="top"/>
          </w:tcPr>
          <w:p w14:paraId="4D896616">
            <w:pPr>
              <w:pStyle w:val="6"/>
              <w:spacing w:before="66" w:line="228" w:lineRule="auto"/>
              <w:ind w:left="143"/>
              <w:rPr>
                <w:sz w:val="20"/>
                <w:szCs w:val="20"/>
              </w:rPr>
            </w:pPr>
            <w:r>
              <w:rPr>
                <w:spacing w:val="3"/>
                <w:sz w:val="20"/>
                <w:szCs w:val="20"/>
              </w:rPr>
              <w:t>居民</w:t>
            </w:r>
          </w:p>
        </w:tc>
        <w:tc>
          <w:tcPr>
            <w:tcW w:w="853" w:type="dxa"/>
            <w:vAlign w:val="top"/>
          </w:tcPr>
          <w:p w14:paraId="09B9E1B0">
            <w:pPr>
              <w:pStyle w:val="6"/>
              <w:spacing w:before="61" w:line="231" w:lineRule="auto"/>
              <w:ind w:left="276"/>
              <w:rPr>
                <w:sz w:val="20"/>
                <w:szCs w:val="20"/>
              </w:rPr>
            </w:pPr>
            <w:r>
              <w:rPr>
                <w:rFonts w:ascii="Times New Roman" w:hAnsi="Times New Roman" w:eastAsia="Times New Roman" w:cs="Times New Roman"/>
                <w:spacing w:val="1"/>
                <w:sz w:val="20"/>
                <w:szCs w:val="20"/>
              </w:rPr>
              <w:t>9</w:t>
            </w:r>
            <w:r>
              <w:rPr>
                <w:spacing w:val="1"/>
                <w:sz w:val="20"/>
                <w:szCs w:val="20"/>
              </w:rPr>
              <w:t>人</w:t>
            </w:r>
          </w:p>
        </w:tc>
        <w:tc>
          <w:tcPr>
            <w:tcW w:w="996" w:type="dxa"/>
            <w:vAlign w:val="top"/>
          </w:tcPr>
          <w:p w14:paraId="21AC8344">
            <w:pPr>
              <w:pStyle w:val="6"/>
              <w:spacing w:before="66" w:line="228" w:lineRule="auto"/>
              <w:ind w:left="298"/>
              <w:rPr>
                <w:sz w:val="20"/>
                <w:szCs w:val="20"/>
              </w:rPr>
            </w:pPr>
            <w:r>
              <w:rPr>
                <w:spacing w:val="3"/>
                <w:sz w:val="20"/>
                <w:szCs w:val="20"/>
              </w:rPr>
              <w:t>二类</w:t>
            </w:r>
          </w:p>
        </w:tc>
        <w:tc>
          <w:tcPr>
            <w:tcW w:w="845" w:type="dxa"/>
            <w:vAlign w:val="top"/>
          </w:tcPr>
          <w:p w14:paraId="3110CCC2">
            <w:pPr>
              <w:pStyle w:val="6"/>
              <w:spacing w:before="61" w:line="230" w:lineRule="auto"/>
              <w:ind w:left="326"/>
              <w:rPr>
                <w:sz w:val="20"/>
                <w:szCs w:val="20"/>
              </w:rPr>
            </w:pPr>
            <w:r>
              <w:rPr>
                <w:sz w:val="20"/>
                <w:szCs w:val="20"/>
              </w:rPr>
              <w:t>南</w:t>
            </w:r>
          </w:p>
        </w:tc>
        <w:tc>
          <w:tcPr>
            <w:tcW w:w="734" w:type="dxa"/>
            <w:tcBorders>
              <w:right w:val="nil"/>
            </w:tcBorders>
            <w:vAlign w:val="top"/>
          </w:tcPr>
          <w:p w14:paraId="48F65D31">
            <w:pPr>
              <w:spacing w:before="97" w:line="195" w:lineRule="auto"/>
              <w:ind w:left="2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1.59</w:t>
            </w:r>
          </w:p>
        </w:tc>
      </w:tr>
      <w:tr w14:paraId="191E2F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70" w:type="dxa"/>
            <w:vMerge w:val="restart"/>
            <w:tcBorders>
              <w:left w:val="nil"/>
              <w:bottom w:val="nil"/>
            </w:tcBorders>
            <w:vAlign w:val="top"/>
          </w:tcPr>
          <w:p w14:paraId="3CBC9896">
            <w:pPr>
              <w:spacing w:line="288" w:lineRule="auto"/>
              <w:rPr>
                <w:rFonts w:ascii="Arial"/>
                <w:sz w:val="21"/>
              </w:rPr>
            </w:pPr>
          </w:p>
          <w:p w14:paraId="7C5711EC">
            <w:pPr>
              <w:spacing w:line="288" w:lineRule="auto"/>
              <w:rPr>
                <w:rFonts w:ascii="Arial"/>
                <w:sz w:val="21"/>
              </w:rPr>
            </w:pPr>
          </w:p>
          <w:p w14:paraId="4BBE5D78">
            <w:pPr>
              <w:spacing w:line="289" w:lineRule="auto"/>
              <w:rPr>
                <w:rFonts w:ascii="Arial"/>
                <w:sz w:val="21"/>
              </w:rPr>
            </w:pPr>
          </w:p>
          <w:p w14:paraId="6944EBA2">
            <w:pPr>
              <w:pStyle w:val="6"/>
              <w:spacing w:before="65" w:line="246" w:lineRule="auto"/>
              <w:ind w:left="131" w:right="125"/>
              <w:jc w:val="both"/>
              <w:rPr>
                <w:sz w:val="20"/>
                <w:szCs w:val="20"/>
              </w:rPr>
            </w:pPr>
            <w:r>
              <w:rPr>
                <w:spacing w:val="4"/>
                <w:sz w:val="20"/>
                <w:szCs w:val="20"/>
              </w:rPr>
              <w:t>环境</w:t>
            </w:r>
            <w:r>
              <w:rPr>
                <w:sz w:val="20"/>
                <w:szCs w:val="20"/>
              </w:rPr>
              <w:t xml:space="preserve"> </w:t>
            </w:r>
            <w:r>
              <w:rPr>
                <w:spacing w:val="4"/>
                <w:sz w:val="20"/>
                <w:szCs w:val="20"/>
              </w:rPr>
              <w:t>风险</w:t>
            </w:r>
            <w:r>
              <w:rPr>
                <w:sz w:val="20"/>
                <w:szCs w:val="20"/>
              </w:rPr>
              <w:t xml:space="preserve"> </w:t>
            </w:r>
            <w:r>
              <w:rPr>
                <w:spacing w:val="4"/>
                <w:sz w:val="20"/>
                <w:szCs w:val="20"/>
              </w:rPr>
              <w:t>（大</w:t>
            </w:r>
            <w:r>
              <w:rPr>
                <w:sz w:val="20"/>
                <w:szCs w:val="20"/>
              </w:rPr>
              <w:t xml:space="preserve"> 气）</w:t>
            </w:r>
          </w:p>
        </w:tc>
        <w:tc>
          <w:tcPr>
            <w:tcW w:w="1537" w:type="dxa"/>
            <w:vAlign w:val="top"/>
          </w:tcPr>
          <w:p w14:paraId="72411D78">
            <w:pPr>
              <w:pStyle w:val="6"/>
              <w:spacing w:before="64" w:line="228" w:lineRule="auto"/>
              <w:ind w:left="250"/>
              <w:rPr>
                <w:sz w:val="20"/>
                <w:szCs w:val="20"/>
              </w:rPr>
            </w:pPr>
            <w:r>
              <w:rPr>
                <w:spacing w:val="7"/>
                <w:sz w:val="20"/>
                <w:szCs w:val="20"/>
              </w:rPr>
              <w:t>准阿木斯尔</w:t>
            </w:r>
          </w:p>
        </w:tc>
        <w:tc>
          <w:tcPr>
            <w:tcW w:w="1530" w:type="dxa"/>
            <w:vAlign w:val="top"/>
          </w:tcPr>
          <w:p w14:paraId="134A3AD9">
            <w:pPr>
              <w:spacing w:before="99" w:line="195" w:lineRule="auto"/>
              <w:ind w:left="1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112°51′51.39″</w:t>
            </w:r>
          </w:p>
        </w:tc>
        <w:tc>
          <w:tcPr>
            <w:tcW w:w="1432" w:type="dxa"/>
            <w:gridSpan w:val="2"/>
            <w:vAlign w:val="top"/>
          </w:tcPr>
          <w:p w14:paraId="0FC6A236">
            <w:pPr>
              <w:spacing w:before="99" w:line="195" w:lineRule="auto"/>
              <w:ind w:left="2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42°28′3.38″</w:t>
            </w:r>
          </w:p>
        </w:tc>
        <w:tc>
          <w:tcPr>
            <w:tcW w:w="691" w:type="dxa"/>
            <w:vAlign w:val="top"/>
          </w:tcPr>
          <w:p w14:paraId="0ED15E7C">
            <w:pPr>
              <w:pStyle w:val="6"/>
              <w:spacing w:before="66" w:line="228" w:lineRule="auto"/>
              <w:ind w:left="143"/>
              <w:rPr>
                <w:sz w:val="20"/>
                <w:szCs w:val="20"/>
              </w:rPr>
            </w:pPr>
            <w:r>
              <w:rPr>
                <w:spacing w:val="3"/>
                <w:sz w:val="20"/>
                <w:szCs w:val="20"/>
              </w:rPr>
              <w:t>居民</w:t>
            </w:r>
          </w:p>
        </w:tc>
        <w:tc>
          <w:tcPr>
            <w:tcW w:w="853" w:type="dxa"/>
            <w:vAlign w:val="top"/>
          </w:tcPr>
          <w:p w14:paraId="69C1BC85">
            <w:pPr>
              <w:pStyle w:val="6"/>
              <w:spacing w:before="63" w:line="231" w:lineRule="auto"/>
              <w:ind w:left="281"/>
              <w:rPr>
                <w:sz w:val="20"/>
                <w:szCs w:val="20"/>
              </w:rPr>
            </w:pPr>
            <w:r>
              <w:rPr>
                <w:rFonts w:ascii="Times New Roman" w:hAnsi="Times New Roman" w:eastAsia="Times New Roman" w:cs="Times New Roman"/>
                <w:spacing w:val="-1"/>
                <w:sz w:val="20"/>
                <w:szCs w:val="20"/>
              </w:rPr>
              <w:t>8</w:t>
            </w:r>
            <w:r>
              <w:rPr>
                <w:spacing w:val="-1"/>
                <w:sz w:val="20"/>
                <w:szCs w:val="20"/>
              </w:rPr>
              <w:t>人</w:t>
            </w:r>
          </w:p>
        </w:tc>
        <w:tc>
          <w:tcPr>
            <w:tcW w:w="996" w:type="dxa"/>
            <w:vAlign w:val="top"/>
          </w:tcPr>
          <w:p w14:paraId="4D6BC700">
            <w:pPr>
              <w:pStyle w:val="6"/>
              <w:spacing w:before="65" w:line="228" w:lineRule="auto"/>
              <w:ind w:left="298"/>
              <w:rPr>
                <w:sz w:val="20"/>
                <w:szCs w:val="20"/>
              </w:rPr>
            </w:pPr>
            <w:r>
              <w:rPr>
                <w:spacing w:val="3"/>
                <w:sz w:val="20"/>
                <w:szCs w:val="20"/>
              </w:rPr>
              <w:t>二类</w:t>
            </w:r>
          </w:p>
        </w:tc>
        <w:tc>
          <w:tcPr>
            <w:tcW w:w="845" w:type="dxa"/>
            <w:vAlign w:val="top"/>
          </w:tcPr>
          <w:p w14:paraId="1B3C0526">
            <w:pPr>
              <w:pStyle w:val="6"/>
              <w:spacing w:before="63" w:line="231" w:lineRule="auto"/>
              <w:ind w:left="223"/>
              <w:rPr>
                <w:sz w:val="20"/>
                <w:szCs w:val="20"/>
              </w:rPr>
            </w:pPr>
            <w:r>
              <w:rPr>
                <w:spacing w:val="2"/>
                <w:sz w:val="20"/>
                <w:szCs w:val="20"/>
              </w:rPr>
              <w:t>西北</w:t>
            </w:r>
          </w:p>
        </w:tc>
        <w:tc>
          <w:tcPr>
            <w:tcW w:w="734" w:type="dxa"/>
            <w:tcBorders>
              <w:right w:val="nil"/>
            </w:tcBorders>
            <w:vAlign w:val="top"/>
          </w:tcPr>
          <w:p w14:paraId="0C4E565E">
            <w:pPr>
              <w:spacing w:before="99" w:line="195" w:lineRule="auto"/>
              <w:ind w:left="1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4.28</w:t>
            </w:r>
          </w:p>
        </w:tc>
      </w:tr>
      <w:tr w14:paraId="657843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70" w:type="dxa"/>
            <w:vMerge w:val="continue"/>
            <w:tcBorders>
              <w:top w:val="nil"/>
              <w:left w:val="nil"/>
              <w:bottom w:val="nil"/>
            </w:tcBorders>
            <w:vAlign w:val="top"/>
          </w:tcPr>
          <w:p w14:paraId="7F5A3259">
            <w:pPr>
              <w:rPr>
                <w:rFonts w:ascii="Arial"/>
                <w:sz w:val="21"/>
              </w:rPr>
            </w:pPr>
          </w:p>
        </w:tc>
        <w:tc>
          <w:tcPr>
            <w:tcW w:w="1537" w:type="dxa"/>
            <w:vAlign w:val="top"/>
          </w:tcPr>
          <w:p w14:paraId="112DD884">
            <w:pPr>
              <w:pStyle w:val="6"/>
              <w:spacing w:before="62" w:line="228" w:lineRule="auto"/>
              <w:ind w:left="249"/>
              <w:rPr>
                <w:sz w:val="20"/>
                <w:szCs w:val="20"/>
              </w:rPr>
            </w:pPr>
            <w:r>
              <w:rPr>
                <w:spacing w:val="7"/>
                <w:sz w:val="20"/>
                <w:szCs w:val="20"/>
              </w:rPr>
              <w:t>敖包恩浑迪</w:t>
            </w:r>
          </w:p>
        </w:tc>
        <w:tc>
          <w:tcPr>
            <w:tcW w:w="1530" w:type="dxa"/>
            <w:vAlign w:val="top"/>
          </w:tcPr>
          <w:p w14:paraId="5706670C">
            <w:pPr>
              <w:spacing w:before="99" w:line="195" w:lineRule="auto"/>
              <w:ind w:left="1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112°50′</w:t>
            </w:r>
            <w:r>
              <w:rPr>
                <w:rFonts w:ascii="Times New Roman" w:hAnsi="Times New Roman" w:eastAsia="Times New Roman" w:cs="Times New Roman"/>
                <w:spacing w:val="-17"/>
                <w:sz w:val="20"/>
                <w:szCs w:val="20"/>
              </w:rPr>
              <w:t xml:space="preserve"> </w:t>
            </w:r>
            <w:r>
              <w:rPr>
                <w:rFonts w:ascii="Times New Roman" w:hAnsi="Times New Roman" w:eastAsia="Times New Roman" w:cs="Times New Roman"/>
                <w:spacing w:val="-2"/>
                <w:sz w:val="20"/>
                <w:szCs w:val="20"/>
              </w:rPr>
              <w:t>16.</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2"/>
                <w:sz w:val="20"/>
                <w:szCs w:val="20"/>
              </w:rPr>
              <w:t>11″</w:t>
            </w:r>
          </w:p>
        </w:tc>
        <w:tc>
          <w:tcPr>
            <w:tcW w:w="1432" w:type="dxa"/>
            <w:gridSpan w:val="2"/>
            <w:vAlign w:val="top"/>
          </w:tcPr>
          <w:p w14:paraId="19FA7D1F">
            <w:pPr>
              <w:spacing w:before="99" w:line="195" w:lineRule="auto"/>
              <w:ind w:left="21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42°27′</w:t>
            </w:r>
            <w:r>
              <w:rPr>
                <w:rFonts w:ascii="Times New Roman" w:hAnsi="Times New Roman" w:eastAsia="Times New Roman" w:cs="Times New Roman"/>
                <w:spacing w:val="-19"/>
                <w:sz w:val="20"/>
                <w:szCs w:val="20"/>
              </w:rPr>
              <w:t xml:space="preserve"> </w:t>
            </w:r>
            <w:r>
              <w:rPr>
                <w:rFonts w:ascii="Times New Roman" w:hAnsi="Times New Roman" w:eastAsia="Times New Roman" w:cs="Times New Roman"/>
                <w:spacing w:val="1"/>
                <w:sz w:val="20"/>
                <w:szCs w:val="20"/>
              </w:rPr>
              <w:t>1.27″</w:t>
            </w:r>
          </w:p>
        </w:tc>
        <w:tc>
          <w:tcPr>
            <w:tcW w:w="691" w:type="dxa"/>
            <w:vAlign w:val="top"/>
          </w:tcPr>
          <w:p w14:paraId="4D003A23">
            <w:pPr>
              <w:pStyle w:val="6"/>
              <w:spacing w:before="68" w:line="228" w:lineRule="auto"/>
              <w:ind w:left="143"/>
              <w:rPr>
                <w:sz w:val="20"/>
                <w:szCs w:val="20"/>
              </w:rPr>
            </w:pPr>
            <w:r>
              <w:rPr>
                <w:spacing w:val="3"/>
                <w:sz w:val="20"/>
                <w:szCs w:val="20"/>
              </w:rPr>
              <w:t>居民</w:t>
            </w:r>
          </w:p>
        </w:tc>
        <w:tc>
          <w:tcPr>
            <w:tcW w:w="853" w:type="dxa"/>
            <w:vAlign w:val="top"/>
          </w:tcPr>
          <w:p w14:paraId="1658AAE2">
            <w:pPr>
              <w:pStyle w:val="6"/>
              <w:spacing w:before="62" w:line="231" w:lineRule="auto"/>
              <w:ind w:left="237"/>
              <w:rPr>
                <w:sz w:val="20"/>
                <w:szCs w:val="20"/>
              </w:rPr>
            </w:pPr>
            <w:r>
              <w:rPr>
                <w:rFonts w:ascii="Times New Roman" w:hAnsi="Times New Roman" w:eastAsia="Times New Roman" w:cs="Times New Roman"/>
                <w:spacing w:val="-2"/>
                <w:sz w:val="20"/>
                <w:szCs w:val="20"/>
              </w:rPr>
              <w:t>10</w:t>
            </w:r>
            <w:r>
              <w:rPr>
                <w:spacing w:val="-2"/>
                <w:sz w:val="20"/>
                <w:szCs w:val="20"/>
              </w:rPr>
              <w:t>人</w:t>
            </w:r>
          </w:p>
        </w:tc>
        <w:tc>
          <w:tcPr>
            <w:tcW w:w="996" w:type="dxa"/>
            <w:vAlign w:val="top"/>
          </w:tcPr>
          <w:p w14:paraId="7DBC37E0">
            <w:pPr>
              <w:pStyle w:val="6"/>
              <w:spacing w:before="67" w:line="228" w:lineRule="auto"/>
              <w:ind w:left="298"/>
              <w:rPr>
                <w:sz w:val="20"/>
                <w:szCs w:val="20"/>
              </w:rPr>
            </w:pPr>
            <w:r>
              <w:rPr>
                <w:spacing w:val="3"/>
                <w:sz w:val="20"/>
                <w:szCs w:val="20"/>
              </w:rPr>
              <w:t>二类</w:t>
            </w:r>
          </w:p>
        </w:tc>
        <w:tc>
          <w:tcPr>
            <w:tcW w:w="845" w:type="dxa"/>
            <w:vAlign w:val="top"/>
          </w:tcPr>
          <w:p w14:paraId="25A06080">
            <w:pPr>
              <w:pStyle w:val="6"/>
              <w:spacing w:before="63" w:line="231" w:lineRule="auto"/>
              <w:ind w:left="223"/>
              <w:rPr>
                <w:sz w:val="20"/>
                <w:szCs w:val="20"/>
              </w:rPr>
            </w:pPr>
            <w:r>
              <w:rPr>
                <w:spacing w:val="2"/>
                <w:sz w:val="20"/>
                <w:szCs w:val="20"/>
              </w:rPr>
              <w:t>西北</w:t>
            </w:r>
          </w:p>
        </w:tc>
        <w:tc>
          <w:tcPr>
            <w:tcW w:w="734" w:type="dxa"/>
            <w:tcBorders>
              <w:right w:val="nil"/>
            </w:tcBorders>
            <w:vAlign w:val="top"/>
          </w:tcPr>
          <w:p w14:paraId="65FAFBCB">
            <w:pPr>
              <w:spacing w:before="99" w:line="195" w:lineRule="auto"/>
              <w:ind w:left="1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4.68</w:t>
            </w:r>
          </w:p>
        </w:tc>
      </w:tr>
      <w:tr w14:paraId="2BEBDC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70" w:type="dxa"/>
            <w:vMerge w:val="continue"/>
            <w:tcBorders>
              <w:top w:val="nil"/>
              <w:left w:val="nil"/>
              <w:bottom w:val="nil"/>
            </w:tcBorders>
            <w:vAlign w:val="top"/>
          </w:tcPr>
          <w:p w14:paraId="729F8E4B">
            <w:pPr>
              <w:rPr>
                <w:rFonts w:ascii="Arial"/>
                <w:sz w:val="21"/>
              </w:rPr>
            </w:pPr>
          </w:p>
        </w:tc>
        <w:tc>
          <w:tcPr>
            <w:tcW w:w="1537" w:type="dxa"/>
            <w:vAlign w:val="top"/>
          </w:tcPr>
          <w:p w14:paraId="677E5F5D">
            <w:pPr>
              <w:pStyle w:val="6"/>
              <w:spacing w:before="65" w:line="229" w:lineRule="auto"/>
              <w:ind w:left="468"/>
              <w:rPr>
                <w:sz w:val="20"/>
                <w:szCs w:val="20"/>
              </w:rPr>
            </w:pPr>
            <w:r>
              <w:rPr>
                <w:spacing w:val="3"/>
                <w:sz w:val="20"/>
                <w:szCs w:val="20"/>
              </w:rPr>
              <w:t>哈夏图</w:t>
            </w:r>
          </w:p>
        </w:tc>
        <w:tc>
          <w:tcPr>
            <w:tcW w:w="1530" w:type="dxa"/>
            <w:vAlign w:val="top"/>
          </w:tcPr>
          <w:p w14:paraId="7DC54317">
            <w:pPr>
              <w:spacing w:before="101" w:line="195" w:lineRule="auto"/>
              <w:ind w:left="1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112°55′29.35″</w:t>
            </w:r>
          </w:p>
        </w:tc>
        <w:tc>
          <w:tcPr>
            <w:tcW w:w="1432" w:type="dxa"/>
            <w:gridSpan w:val="2"/>
            <w:vAlign w:val="top"/>
          </w:tcPr>
          <w:p w14:paraId="788F7134">
            <w:pPr>
              <w:spacing w:before="101" w:line="195" w:lineRule="auto"/>
              <w:ind w:left="16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42°28′21.51″</w:t>
            </w:r>
          </w:p>
        </w:tc>
        <w:tc>
          <w:tcPr>
            <w:tcW w:w="691" w:type="dxa"/>
            <w:vAlign w:val="top"/>
          </w:tcPr>
          <w:p w14:paraId="2AF7675D">
            <w:pPr>
              <w:pStyle w:val="6"/>
              <w:spacing w:before="68" w:line="228" w:lineRule="auto"/>
              <w:ind w:left="143"/>
              <w:rPr>
                <w:sz w:val="20"/>
                <w:szCs w:val="20"/>
              </w:rPr>
            </w:pPr>
            <w:r>
              <w:rPr>
                <w:spacing w:val="3"/>
                <w:sz w:val="20"/>
                <w:szCs w:val="20"/>
              </w:rPr>
              <w:t>居民</w:t>
            </w:r>
          </w:p>
        </w:tc>
        <w:tc>
          <w:tcPr>
            <w:tcW w:w="853" w:type="dxa"/>
            <w:vAlign w:val="top"/>
          </w:tcPr>
          <w:p w14:paraId="5ECE9419">
            <w:pPr>
              <w:pStyle w:val="6"/>
              <w:spacing w:before="64" w:line="231" w:lineRule="auto"/>
              <w:ind w:left="277"/>
              <w:rPr>
                <w:sz w:val="20"/>
                <w:szCs w:val="20"/>
              </w:rPr>
            </w:pPr>
            <w:r>
              <w:rPr>
                <w:rFonts w:ascii="Times New Roman" w:hAnsi="Times New Roman" w:eastAsia="Times New Roman" w:cs="Times New Roman"/>
                <w:spacing w:val="1"/>
                <w:sz w:val="20"/>
                <w:szCs w:val="20"/>
              </w:rPr>
              <w:t>6</w:t>
            </w:r>
            <w:r>
              <w:rPr>
                <w:spacing w:val="1"/>
                <w:sz w:val="20"/>
                <w:szCs w:val="20"/>
              </w:rPr>
              <w:t>人</w:t>
            </w:r>
          </w:p>
        </w:tc>
        <w:tc>
          <w:tcPr>
            <w:tcW w:w="996" w:type="dxa"/>
            <w:vAlign w:val="top"/>
          </w:tcPr>
          <w:p w14:paraId="5EAE6B9D">
            <w:pPr>
              <w:pStyle w:val="6"/>
              <w:spacing w:before="67" w:line="228" w:lineRule="auto"/>
              <w:ind w:left="298"/>
              <w:rPr>
                <w:sz w:val="20"/>
                <w:szCs w:val="20"/>
              </w:rPr>
            </w:pPr>
            <w:r>
              <w:rPr>
                <w:spacing w:val="3"/>
                <w:sz w:val="20"/>
                <w:szCs w:val="20"/>
              </w:rPr>
              <w:t>二类</w:t>
            </w:r>
          </w:p>
        </w:tc>
        <w:tc>
          <w:tcPr>
            <w:tcW w:w="845" w:type="dxa"/>
            <w:vAlign w:val="top"/>
          </w:tcPr>
          <w:p w14:paraId="6EB128FC">
            <w:pPr>
              <w:pStyle w:val="6"/>
              <w:spacing w:before="64" w:line="228" w:lineRule="auto"/>
              <w:ind w:left="225"/>
              <w:rPr>
                <w:sz w:val="20"/>
                <w:szCs w:val="20"/>
              </w:rPr>
            </w:pPr>
            <w:r>
              <w:rPr>
                <w:spacing w:val="1"/>
                <w:sz w:val="20"/>
                <w:szCs w:val="20"/>
              </w:rPr>
              <w:t>东北</w:t>
            </w:r>
          </w:p>
        </w:tc>
        <w:tc>
          <w:tcPr>
            <w:tcW w:w="734" w:type="dxa"/>
            <w:tcBorders>
              <w:right w:val="nil"/>
            </w:tcBorders>
            <w:vAlign w:val="top"/>
          </w:tcPr>
          <w:p w14:paraId="71D4F4DA">
            <w:pPr>
              <w:spacing w:before="101" w:line="195" w:lineRule="auto"/>
              <w:ind w:left="1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4.84</w:t>
            </w:r>
          </w:p>
        </w:tc>
      </w:tr>
      <w:tr w14:paraId="75583A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70" w:type="dxa"/>
            <w:vMerge w:val="continue"/>
            <w:tcBorders>
              <w:top w:val="nil"/>
              <w:left w:val="nil"/>
              <w:bottom w:val="nil"/>
            </w:tcBorders>
            <w:vAlign w:val="top"/>
          </w:tcPr>
          <w:p w14:paraId="5CB56733">
            <w:pPr>
              <w:rPr>
                <w:rFonts w:ascii="Arial"/>
                <w:sz w:val="21"/>
              </w:rPr>
            </w:pPr>
          </w:p>
        </w:tc>
        <w:tc>
          <w:tcPr>
            <w:tcW w:w="1537" w:type="dxa"/>
            <w:vAlign w:val="top"/>
          </w:tcPr>
          <w:p w14:paraId="34427B9D">
            <w:pPr>
              <w:pStyle w:val="6"/>
              <w:spacing w:before="66" w:line="228" w:lineRule="auto"/>
              <w:ind w:left="143"/>
              <w:rPr>
                <w:sz w:val="20"/>
                <w:szCs w:val="20"/>
              </w:rPr>
            </w:pPr>
            <w:r>
              <w:rPr>
                <w:spacing w:val="8"/>
                <w:sz w:val="20"/>
                <w:szCs w:val="20"/>
              </w:rPr>
              <w:t>那日因呼都嘎</w:t>
            </w:r>
          </w:p>
        </w:tc>
        <w:tc>
          <w:tcPr>
            <w:tcW w:w="1530" w:type="dxa"/>
            <w:vAlign w:val="top"/>
          </w:tcPr>
          <w:p w14:paraId="3675453D">
            <w:pPr>
              <w:spacing w:before="103" w:line="195" w:lineRule="auto"/>
              <w:ind w:left="1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112°55′57.04″</w:t>
            </w:r>
          </w:p>
        </w:tc>
        <w:tc>
          <w:tcPr>
            <w:tcW w:w="1432" w:type="dxa"/>
            <w:gridSpan w:val="2"/>
            <w:vAlign w:val="top"/>
          </w:tcPr>
          <w:p w14:paraId="6069B2DC">
            <w:pPr>
              <w:spacing w:before="103" w:line="195" w:lineRule="auto"/>
              <w:ind w:left="16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42°26′42.03″</w:t>
            </w:r>
          </w:p>
        </w:tc>
        <w:tc>
          <w:tcPr>
            <w:tcW w:w="691" w:type="dxa"/>
            <w:vAlign w:val="top"/>
          </w:tcPr>
          <w:p w14:paraId="3543D287">
            <w:pPr>
              <w:pStyle w:val="6"/>
              <w:spacing w:before="70" w:line="228" w:lineRule="auto"/>
              <w:ind w:left="143"/>
              <w:rPr>
                <w:sz w:val="20"/>
                <w:szCs w:val="20"/>
              </w:rPr>
            </w:pPr>
            <w:r>
              <w:rPr>
                <w:spacing w:val="3"/>
                <w:sz w:val="20"/>
                <w:szCs w:val="20"/>
              </w:rPr>
              <w:t>居民</w:t>
            </w:r>
          </w:p>
        </w:tc>
        <w:tc>
          <w:tcPr>
            <w:tcW w:w="853" w:type="dxa"/>
            <w:vAlign w:val="top"/>
          </w:tcPr>
          <w:p w14:paraId="3C1DD853">
            <w:pPr>
              <w:pStyle w:val="6"/>
              <w:spacing w:before="66" w:line="231" w:lineRule="auto"/>
              <w:ind w:left="217"/>
              <w:rPr>
                <w:sz w:val="20"/>
                <w:szCs w:val="20"/>
              </w:rPr>
            </w:pPr>
            <w:r>
              <w:rPr>
                <w:rFonts w:ascii="Times New Roman" w:hAnsi="Times New Roman" w:eastAsia="Times New Roman" w:cs="Times New Roman"/>
                <w:spacing w:val="5"/>
                <w:sz w:val="20"/>
                <w:szCs w:val="20"/>
              </w:rPr>
              <w:t>25</w:t>
            </w:r>
            <w:r>
              <w:rPr>
                <w:spacing w:val="5"/>
                <w:sz w:val="20"/>
                <w:szCs w:val="20"/>
              </w:rPr>
              <w:t>人</w:t>
            </w:r>
          </w:p>
        </w:tc>
        <w:tc>
          <w:tcPr>
            <w:tcW w:w="996" w:type="dxa"/>
            <w:vAlign w:val="top"/>
          </w:tcPr>
          <w:p w14:paraId="0A97722D">
            <w:pPr>
              <w:pStyle w:val="6"/>
              <w:spacing w:before="69" w:line="228" w:lineRule="auto"/>
              <w:ind w:left="298"/>
              <w:rPr>
                <w:sz w:val="20"/>
                <w:szCs w:val="20"/>
              </w:rPr>
            </w:pPr>
            <w:r>
              <w:rPr>
                <w:spacing w:val="3"/>
                <w:sz w:val="20"/>
                <w:szCs w:val="20"/>
              </w:rPr>
              <w:t>二类</w:t>
            </w:r>
          </w:p>
        </w:tc>
        <w:tc>
          <w:tcPr>
            <w:tcW w:w="845" w:type="dxa"/>
            <w:vAlign w:val="top"/>
          </w:tcPr>
          <w:p w14:paraId="230AFBBD">
            <w:pPr>
              <w:pStyle w:val="6"/>
              <w:spacing w:before="66" w:line="228" w:lineRule="auto"/>
              <w:ind w:left="225"/>
              <w:rPr>
                <w:sz w:val="20"/>
                <w:szCs w:val="20"/>
              </w:rPr>
            </w:pPr>
            <w:r>
              <w:rPr>
                <w:spacing w:val="1"/>
                <w:sz w:val="20"/>
                <w:szCs w:val="20"/>
              </w:rPr>
              <w:t>东北</w:t>
            </w:r>
          </w:p>
        </w:tc>
        <w:tc>
          <w:tcPr>
            <w:tcW w:w="734" w:type="dxa"/>
            <w:tcBorders>
              <w:right w:val="nil"/>
            </w:tcBorders>
            <w:vAlign w:val="top"/>
          </w:tcPr>
          <w:p w14:paraId="3CC04B2D">
            <w:pPr>
              <w:spacing w:before="103" w:line="195" w:lineRule="auto"/>
              <w:ind w:left="1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3.19</w:t>
            </w:r>
          </w:p>
        </w:tc>
      </w:tr>
      <w:tr w14:paraId="0071C3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70" w:type="dxa"/>
            <w:vMerge w:val="continue"/>
            <w:tcBorders>
              <w:top w:val="nil"/>
              <w:left w:val="nil"/>
              <w:bottom w:val="nil"/>
            </w:tcBorders>
            <w:vAlign w:val="top"/>
          </w:tcPr>
          <w:p w14:paraId="3000F9E9">
            <w:pPr>
              <w:rPr>
                <w:rFonts w:ascii="Arial"/>
                <w:sz w:val="21"/>
              </w:rPr>
            </w:pPr>
          </w:p>
        </w:tc>
        <w:tc>
          <w:tcPr>
            <w:tcW w:w="1537" w:type="dxa"/>
            <w:vAlign w:val="top"/>
          </w:tcPr>
          <w:p w14:paraId="08FDEFB9">
            <w:pPr>
              <w:pStyle w:val="6"/>
              <w:spacing w:before="67" w:line="228" w:lineRule="auto"/>
              <w:ind w:left="249"/>
              <w:rPr>
                <w:sz w:val="20"/>
                <w:szCs w:val="20"/>
              </w:rPr>
            </w:pPr>
            <w:r>
              <w:rPr>
                <w:spacing w:val="8"/>
                <w:sz w:val="20"/>
                <w:szCs w:val="20"/>
              </w:rPr>
              <w:t>那日因乌苏</w:t>
            </w:r>
          </w:p>
        </w:tc>
        <w:tc>
          <w:tcPr>
            <w:tcW w:w="1530" w:type="dxa"/>
            <w:vAlign w:val="top"/>
          </w:tcPr>
          <w:p w14:paraId="0275E6AB">
            <w:pPr>
              <w:spacing w:before="102" w:line="195" w:lineRule="auto"/>
              <w:ind w:left="177"/>
              <w:rPr>
                <w:rFonts w:ascii="Times New Roman" w:hAnsi="Times New Roman" w:eastAsia="Times New Roman" w:cs="Times New Roman"/>
                <w:sz w:val="20"/>
                <w:szCs w:val="20"/>
              </w:rPr>
            </w:pPr>
            <w:r>
              <w:rPr>
                <w:rFonts w:ascii="Times New Roman" w:hAnsi="Times New Roman" w:eastAsia="Times New Roman" w:cs="Times New Roman"/>
                <w:sz w:val="20"/>
                <w:szCs w:val="20"/>
              </w:rPr>
              <w:t>112°56′</w:t>
            </w:r>
            <w:r>
              <w:rPr>
                <w:rFonts w:ascii="Times New Roman" w:hAnsi="Times New Roman" w:eastAsia="Times New Roman" w:cs="Times New Roman"/>
                <w:spacing w:val="-18"/>
                <w:sz w:val="20"/>
                <w:szCs w:val="20"/>
              </w:rPr>
              <w:t xml:space="preserve"> </w:t>
            </w:r>
            <w:r>
              <w:rPr>
                <w:rFonts w:ascii="Times New Roman" w:hAnsi="Times New Roman" w:eastAsia="Times New Roman" w:cs="Times New Roman"/>
                <w:sz w:val="20"/>
                <w:szCs w:val="20"/>
              </w:rPr>
              <w:t>17.55″</w:t>
            </w:r>
          </w:p>
        </w:tc>
        <w:tc>
          <w:tcPr>
            <w:tcW w:w="1432" w:type="dxa"/>
            <w:gridSpan w:val="2"/>
            <w:vAlign w:val="top"/>
          </w:tcPr>
          <w:p w14:paraId="22A22F9A">
            <w:pPr>
              <w:spacing w:before="102" w:line="195" w:lineRule="auto"/>
              <w:ind w:left="16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42°25′42.28″</w:t>
            </w:r>
          </w:p>
        </w:tc>
        <w:tc>
          <w:tcPr>
            <w:tcW w:w="691" w:type="dxa"/>
            <w:vAlign w:val="top"/>
          </w:tcPr>
          <w:p w14:paraId="08C5BD89">
            <w:pPr>
              <w:pStyle w:val="6"/>
              <w:spacing w:before="69" w:line="228" w:lineRule="auto"/>
              <w:ind w:left="143"/>
              <w:rPr>
                <w:sz w:val="20"/>
                <w:szCs w:val="20"/>
              </w:rPr>
            </w:pPr>
            <w:r>
              <w:rPr>
                <w:spacing w:val="3"/>
                <w:sz w:val="20"/>
                <w:szCs w:val="20"/>
              </w:rPr>
              <w:t>居民</w:t>
            </w:r>
          </w:p>
        </w:tc>
        <w:tc>
          <w:tcPr>
            <w:tcW w:w="853" w:type="dxa"/>
            <w:vAlign w:val="top"/>
          </w:tcPr>
          <w:p w14:paraId="6257E73B">
            <w:pPr>
              <w:pStyle w:val="6"/>
              <w:spacing w:before="66" w:line="231" w:lineRule="auto"/>
              <w:ind w:left="237"/>
              <w:rPr>
                <w:sz w:val="20"/>
                <w:szCs w:val="20"/>
              </w:rPr>
            </w:pPr>
            <w:r>
              <w:rPr>
                <w:rFonts w:ascii="Times New Roman" w:hAnsi="Times New Roman" w:eastAsia="Times New Roman" w:cs="Times New Roman"/>
                <w:spacing w:val="-2"/>
                <w:sz w:val="20"/>
                <w:szCs w:val="20"/>
              </w:rPr>
              <w:t>12</w:t>
            </w:r>
            <w:r>
              <w:rPr>
                <w:spacing w:val="-2"/>
                <w:sz w:val="20"/>
                <w:szCs w:val="20"/>
              </w:rPr>
              <w:t>人</w:t>
            </w:r>
          </w:p>
        </w:tc>
        <w:tc>
          <w:tcPr>
            <w:tcW w:w="996" w:type="dxa"/>
            <w:vAlign w:val="top"/>
          </w:tcPr>
          <w:p w14:paraId="4EF112DD">
            <w:pPr>
              <w:pStyle w:val="6"/>
              <w:spacing w:before="68" w:line="228" w:lineRule="auto"/>
              <w:ind w:left="298"/>
              <w:rPr>
                <w:sz w:val="20"/>
                <w:szCs w:val="20"/>
              </w:rPr>
            </w:pPr>
            <w:r>
              <w:rPr>
                <w:spacing w:val="3"/>
                <w:sz w:val="20"/>
                <w:szCs w:val="20"/>
              </w:rPr>
              <w:t>二类</w:t>
            </w:r>
          </w:p>
        </w:tc>
        <w:tc>
          <w:tcPr>
            <w:tcW w:w="845" w:type="dxa"/>
            <w:vAlign w:val="top"/>
          </w:tcPr>
          <w:p w14:paraId="7FD69415">
            <w:pPr>
              <w:pStyle w:val="6"/>
              <w:spacing w:before="66" w:line="228" w:lineRule="auto"/>
              <w:ind w:left="330"/>
              <w:rPr>
                <w:sz w:val="20"/>
                <w:szCs w:val="20"/>
              </w:rPr>
            </w:pPr>
            <w:r>
              <w:rPr>
                <w:sz w:val="20"/>
                <w:szCs w:val="20"/>
              </w:rPr>
              <w:t>东</w:t>
            </w:r>
          </w:p>
        </w:tc>
        <w:tc>
          <w:tcPr>
            <w:tcW w:w="734" w:type="dxa"/>
            <w:tcBorders>
              <w:right w:val="nil"/>
            </w:tcBorders>
            <w:vAlign w:val="top"/>
          </w:tcPr>
          <w:p w14:paraId="29A36ABA">
            <w:pPr>
              <w:spacing w:before="102" w:line="195" w:lineRule="auto"/>
              <w:ind w:left="1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3.37</w:t>
            </w:r>
          </w:p>
        </w:tc>
      </w:tr>
      <w:tr w14:paraId="41BEBD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70" w:type="dxa"/>
            <w:vMerge w:val="continue"/>
            <w:tcBorders>
              <w:top w:val="nil"/>
              <w:left w:val="nil"/>
              <w:bottom w:val="nil"/>
            </w:tcBorders>
            <w:vAlign w:val="top"/>
          </w:tcPr>
          <w:p w14:paraId="6F7FDB84">
            <w:pPr>
              <w:rPr>
                <w:rFonts w:ascii="Arial"/>
                <w:sz w:val="21"/>
              </w:rPr>
            </w:pPr>
          </w:p>
        </w:tc>
        <w:tc>
          <w:tcPr>
            <w:tcW w:w="1537" w:type="dxa"/>
            <w:vAlign w:val="top"/>
          </w:tcPr>
          <w:p w14:paraId="7010651F">
            <w:pPr>
              <w:pStyle w:val="6"/>
              <w:spacing w:before="68" w:line="228" w:lineRule="auto"/>
              <w:ind w:left="458"/>
              <w:rPr>
                <w:sz w:val="20"/>
                <w:szCs w:val="20"/>
              </w:rPr>
            </w:pPr>
            <w:r>
              <w:rPr>
                <w:spacing w:val="6"/>
                <w:sz w:val="20"/>
                <w:szCs w:val="20"/>
              </w:rPr>
              <w:t>朱日和</w:t>
            </w:r>
          </w:p>
        </w:tc>
        <w:tc>
          <w:tcPr>
            <w:tcW w:w="1530" w:type="dxa"/>
            <w:vAlign w:val="top"/>
          </w:tcPr>
          <w:p w14:paraId="413F6793">
            <w:pPr>
              <w:spacing w:before="104" w:line="195" w:lineRule="auto"/>
              <w:ind w:left="1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112°53′39.23″</w:t>
            </w:r>
          </w:p>
        </w:tc>
        <w:tc>
          <w:tcPr>
            <w:tcW w:w="1432" w:type="dxa"/>
            <w:gridSpan w:val="2"/>
            <w:vAlign w:val="top"/>
          </w:tcPr>
          <w:p w14:paraId="7ECFA6B4">
            <w:pPr>
              <w:spacing w:before="104" w:line="195" w:lineRule="auto"/>
              <w:ind w:left="16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42°23′53.63″</w:t>
            </w:r>
          </w:p>
        </w:tc>
        <w:tc>
          <w:tcPr>
            <w:tcW w:w="691" w:type="dxa"/>
            <w:vAlign w:val="top"/>
          </w:tcPr>
          <w:p w14:paraId="2383D4C6">
            <w:pPr>
              <w:pStyle w:val="6"/>
              <w:spacing w:before="71" w:line="228" w:lineRule="auto"/>
              <w:ind w:left="143"/>
              <w:rPr>
                <w:sz w:val="20"/>
                <w:szCs w:val="20"/>
              </w:rPr>
            </w:pPr>
            <w:r>
              <w:rPr>
                <w:spacing w:val="3"/>
                <w:sz w:val="20"/>
                <w:szCs w:val="20"/>
              </w:rPr>
              <w:t>居民</w:t>
            </w:r>
          </w:p>
        </w:tc>
        <w:tc>
          <w:tcPr>
            <w:tcW w:w="853" w:type="dxa"/>
            <w:vAlign w:val="top"/>
          </w:tcPr>
          <w:p w14:paraId="7FCE3C8B">
            <w:pPr>
              <w:pStyle w:val="6"/>
              <w:spacing w:before="68" w:line="231" w:lineRule="auto"/>
              <w:ind w:left="120"/>
              <w:rPr>
                <w:sz w:val="20"/>
                <w:szCs w:val="20"/>
              </w:rPr>
            </w:pPr>
            <w:r>
              <w:rPr>
                <w:rFonts w:ascii="Times New Roman" w:hAnsi="Times New Roman" w:eastAsia="Times New Roman" w:cs="Times New Roman"/>
                <w:spacing w:val="3"/>
                <w:sz w:val="20"/>
                <w:szCs w:val="20"/>
              </w:rPr>
              <w:t>5658</w:t>
            </w:r>
            <w:r>
              <w:rPr>
                <w:spacing w:val="3"/>
                <w:sz w:val="20"/>
                <w:szCs w:val="20"/>
              </w:rPr>
              <w:t>人</w:t>
            </w:r>
          </w:p>
        </w:tc>
        <w:tc>
          <w:tcPr>
            <w:tcW w:w="996" w:type="dxa"/>
            <w:vAlign w:val="top"/>
          </w:tcPr>
          <w:p w14:paraId="093D2850">
            <w:pPr>
              <w:pStyle w:val="6"/>
              <w:spacing w:before="70" w:line="228" w:lineRule="auto"/>
              <w:ind w:left="298"/>
              <w:rPr>
                <w:sz w:val="20"/>
                <w:szCs w:val="20"/>
              </w:rPr>
            </w:pPr>
            <w:r>
              <w:rPr>
                <w:spacing w:val="3"/>
                <w:sz w:val="20"/>
                <w:szCs w:val="20"/>
              </w:rPr>
              <w:t>二类</w:t>
            </w:r>
          </w:p>
        </w:tc>
        <w:tc>
          <w:tcPr>
            <w:tcW w:w="845" w:type="dxa"/>
            <w:vAlign w:val="top"/>
          </w:tcPr>
          <w:p w14:paraId="1CBA7AA6">
            <w:pPr>
              <w:pStyle w:val="6"/>
              <w:spacing w:before="68" w:line="230" w:lineRule="auto"/>
              <w:ind w:left="326"/>
              <w:rPr>
                <w:sz w:val="20"/>
                <w:szCs w:val="20"/>
              </w:rPr>
            </w:pPr>
            <w:r>
              <w:rPr>
                <w:sz w:val="20"/>
                <w:szCs w:val="20"/>
              </w:rPr>
              <w:t>南</w:t>
            </w:r>
          </w:p>
        </w:tc>
        <w:tc>
          <w:tcPr>
            <w:tcW w:w="734" w:type="dxa"/>
            <w:tcBorders>
              <w:right w:val="nil"/>
            </w:tcBorders>
            <w:vAlign w:val="top"/>
          </w:tcPr>
          <w:p w14:paraId="74BC7D62">
            <w:pPr>
              <w:spacing w:before="104"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2.76</w:t>
            </w:r>
          </w:p>
        </w:tc>
      </w:tr>
      <w:tr w14:paraId="6CD839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8" w:hRule="atLeast"/>
        </w:trPr>
        <w:tc>
          <w:tcPr>
            <w:tcW w:w="670" w:type="dxa"/>
            <w:vMerge w:val="continue"/>
            <w:tcBorders>
              <w:top w:val="nil"/>
              <w:left w:val="nil"/>
              <w:bottom w:val="nil"/>
            </w:tcBorders>
            <w:vAlign w:val="top"/>
          </w:tcPr>
          <w:p w14:paraId="514BE561">
            <w:pPr>
              <w:rPr>
                <w:rFonts w:ascii="Arial"/>
                <w:sz w:val="21"/>
              </w:rPr>
            </w:pPr>
          </w:p>
        </w:tc>
        <w:tc>
          <w:tcPr>
            <w:tcW w:w="1537" w:type="dxa"/>
            <w:vAlign w:val="top"/>
          </w:tcPr>
          <w:p w14:paraId="705395C8">
            <w:pPr>
              <w:pStyle w:val="6"/>
              <w:spacing w:before="43" w:line="228" w:lineRule="auto"/>
              <w:ind w:left="376" w:right="138" w:hanging="233"/>
              <w:rPr>
                <w:sz w:val="20"/>
                <w:szCs w:val="20"/>
              </w:rPr>
            </w:pPr>
            <w:r>
              <w:rPr>
                <w:spacing w:val="8"/>
                <w:sz w:val="20"/>
                <w:szCs w:val="20"/>
              </w:rPr>
              <w:t>那仁宝拉格音</w:t>
            </w:r>
            <w:r>
              <w:rPr>
                <w:sz w:val="20"/>
                <w:szCs w:val="20"/>
              </w:rPr>
              <w:t xml:space="preserve"> </w:t>
            </w:r>
            <w:r>
              <w:rPr>
                <w:spacing w:val="1"/>
                <w:sz w:val="20"/>
                <w:szCs w:val="20"/>
              </w:rPr>
              <w:t>巴润希热</w:t>
            </w:r>
          </w:p>
        </w:tc>
        <w:tc>
          <w:tcPr>
            <w:tcW w:w="1530" w:type="dxa"/>
            <w:vAlign w:val="top"/>
          </w:tcPr>
          <w:p w14:paraId="7E92EDCB">
            <w:pPr>
              <w:spacing w:before="214"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112°56′5.75″</w:t>
            </w:r>
          </w:p>
        </w:tc>
        <w:tc>
          <w:tcPr>
            <w:tcW w:w="1432" w:type="dxa"/>
            <w:gridSpan w:val="2"/>
            <w:vAlign w:val="top"/>
          </w:tcPr>
          <w:p w14:paraId="540A17AD">
            <w:pPr>
              <w:spacing w:before="214" w:line="195" w:lineRule="auto"/>
              <w:ind w:left="16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42°26′22.01″</w:t>
            </w:r>
          </w:p>
        </w:tc>
        <w:tc>
          <w:tcPr>
            <w:tcW w:w="691" w:type="dxa"/>
            <w:vAlign w:val="top"/>
          </w:tcPr>
          <w:p w14:paraId="08B09CB3">
            <w:pPr>
              <w:pStyle w:val="6"/>
              <w:spacing w:before="181" w:line="228" w:lineRule="auto"/>
              <w:ind w:left="143"/>
              <w:rPr>
                <w:sz w:val="20"/>
                <w:szCs w:val="20"/>
              </w:rPr>
            </w:pPr>
            <w:r>
              <w:rPr>
                <w:spacing w:val="3"/>
                <w:sz w:val="20"/>
                <w:szCs w:val="20"/>
              </w:rPr>
              <w:t>居民</w:t>
            </w:r>
          </w:p>
        </w:tc>
        <w:tc>
          <w:tcPr>
            <w:tcW w:w="853" w:type="dxa"/>
            <w:vAlign w:val="top"/>
          </w:tcPr>
          <w:p w14:paraId="5646B449">
            <w:pPr>
              <w:pStyle w:val="6"/>
              <w:spacing w:before="178" w:line="231" w:lineRule="auto"/>
              <w:ind w:left="237"/>
              <w:rPr>
                <w:sz w:val="20"/>
                <w:szCs w:val="20"/>
              </w:rPr>
            </w:pPr>
            <w:r>
              <w:rPr>
                <w:rFonts w:ascii="Times New Roman" w:hAnsi="Times New Roman" w:eastAsia="Times New Roman" w:cs="Times New Roman"/>
                <w:spacing w:val="-2"/>
                <w:sz w:val="20"/>
                <w:szCs w:val="20"/>
              </w:rPr>
              <w:t>12</w:t>
            </w:r>
            <w:r>
              <w:rPr>
                <w:spacing w:val="-2"/>
                <w:sz w:val="20"/>
                <w:szCs w:val="20"/>
              </w:rPr>
              <w:t>人</w:t>
            </w:r>
          </w:p>
        </w:tc>
        <w:tc>
          <w:tcPr>
            <w:tcW w:w="996" w:type="dxa"/>
            <w:vAlign w:val="top"/>
          </w:tcPr>
          <w:p w14:paraId="0B2FD6C1">
            <w:pPr>
              <w:pStyle w:val="6"/>
              <w:spacing w:before="180" w:line="228" w:lineRule="auto"/>
              <w:ind w:left="298"/>
              <w:rPr>
                <w:sz w:val="20"/>
                <w:szCs w:val="20"/>
              </w:rPr>
            </w:pPr>
            <w:r>
              <w:rPr>
                <w:spacing w:val="3"/>
                <w:sz w:val="20"/>
                <w:szCs w:val="20"/>
              </w:rPr>
              <w:t>二类</w:t>
            </w:r>
          </w:p>
        </w:tc>
        <w:tc>
          <w:tcPr>
            <w:tcW w:w="845" w:type="dxa"/>
            <w:vAlign w:val="top"/>
          </w:tcPr>
          <w:p w14:paraId="452668C4">
            <w:pPr>
              <w:pStyle w:val="6"/>
              <w:spacing w:before="178" w:line="228" w:lineRule="auto"/>
              <w:ind w:left="225"/>
              <w:rPr>
                <w:sz w:val="20"/>
                <w:szCs w:val="20"/>
              </w:rPr>
            </w:pPr>
            <w:r>
              <w:rPr>
                <w:spacing w:val="1"/>
                <w:sz w:val="20"/>
                <w:szCs w:val="20"/>
              </w:rPr>
              <w:t>东北</w:t>
            </w:r>
          </w:p>
        </w:tc>
        <w:tc>
          <w:tcPr>
            <w:tcW w:w="734" w:type="dxa"/>
            <w:tcBorders>
              <w:right w:val="nil"/>
            </w:tcBorders>
            <w:vAlign w:val="top"/>
          </w:tcPr>
          <w:p w14:paraId="404A6C61">
            <w:pPr>
              <w:spacing w:before="214" w:line="195" w:lineRule="auto"/>
              <w:ind w:left="1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3.21</w:t>
            </w:r>
          </w:p>
        </w:tc>
      </w:tr>
      <w:tr w14:paraId="6612FA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70" w:type="dxa"/>
            <w:vMerge w:val="continue"/>
            <w:tcBorders>
              <w:top w:val="nil"/>
              <w:left w:val="nil"/>
            </w:tcBorders>
            <w:vAlign w:val="top"/>
          </w:tcPr>
          <w:p w14:paraId="2A3367AD">
            <w:pPr>
              <w:rPr>
                <w:rFonts w:ascii="Arial"/>
                <w:sz w:val="21"/>
              </w:rPr>
            </w:pPr>
          </w:p>
        </w:tc>
        <w:tc>
          <w:tcPr>
            <w:tcW w:w="1537" w:type="dxa"/>
            <w:vAlign w:val="top"/>
          </w:tcPr>
          <w:p w14:paraId="5EC82353">
            <w:pPr>
              <w:pStyle w:val="6"/>
              <w:spacing w:before="69" w:line="228" w:lineRule="auto"/>
              <w:ind w:left="144"/>
              <w:rPr>
                <w:sz w:val="20"/>
                <w:szCs w:val="20"/>
              </w:rPr>
            </w:pPr>
            <w:r>
              <w:rPr>
                <w:spacing w:val="8"/>
                <w:sz w:val="20"/>
                <w:szCs w:val="20"/>
              </w:rPr>
              <w:t>朱日和镇学校</w:t>
            </w:r>
          </w:p>
        </w:tc>
        <w:tc>
          <w:tcPr>
            <w:tcW w:w="1530" w:type="dxa"/>
            <w:vAlign w:val="top"/>
          </w:tcPr>
          <w:p w14:paraId="252383EE">
            <w:pPr>
              <w:spacing w:before="105" w:line="195" w:lineRule="auto"/>
              <w:ind w:left="1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112°53′53.93″</w:t>
            </w:r>
          </w:p>
        </w:tc>
        <w:tc>
          <w:tcPr>
            <w:tcW w:w="1432" w:type="dxa"/>
            <w:gridSpan w:val="2"/>
            <w:vAlign w:val="top"/>
          </w:tcPr>
          <w:p w14:paraId="701730E0">
            <w:pPr>
              <w:spacing w:before="105" w:line="195" w:lineRule="auto"/>
              <w:ind w:left="16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42°23′38.71″</w:t>
            </w:r>
          </w:p>
        </w:tc>
        <w:tc>
          <w:tcPr>
            <w:tcW w:w="691" w:type="dxa"/>
            <w:vAlign w:val="top"/>
          </w:tcPr>
          <w:p w14:paraId="365D2E18">
            <w:pPr>
              <w:pStyle w:val="6"/>
              <w:spacing w:before="71" w:line="228" w:lineRule="auto"/>
              <w:ind w:left="143"/>
              <w:rPr>
                <w:sz w:val="20"/>
                <w:szCs w:val="20"/>
              </w:rPr>
            </w:pPr>
            <w:r>
              <w:rPr>
                <w:spacing w:val="3"/>
                <w:sz w:val="20"/>
                <w:szCs w:val="20"/>
              </w:rPr>
              <w:t>居民</w:t>
            </w:r>
          </w:p>
        </w:tc>
        <w:tc>
          <w:tcPr>
            <w:tcW w:w="853" w:type="dxa"/>
            <w:vAlign w:val="top"/>
          </w:tcPr>
          <w:p w14:paraId="361278C4">
            <w:pPr>
              <w:pStyle w:val="6"/>
              <w:spacing w:before="69" w:line="230" w:lineRule="auto"/>
              <w:ind w:left="167"/>
              <w:rPr>
                <w:sz w:val="20"/>
                <w:szCs w:val="20"/>
              </w:rPr>
            </w:pPr>
            <w:r>
              <w:rPr>
                <w:rFonts w:ascii="Times New Roman" w:hAnsi="Times New Roman" w:eastAsia="Times New Roman" w:cs="Times New Roman"/>
                <w:spacing w:val="4"/>
                <w:sz w:val="20"/>
                <w:szCs w:val="20"/>
              </w:rPr>
              <w:t>200</w:t>
            </w:r>
            <w:r>
              <w:rPr>
                <w:spacing w:val="4"/>
                <w:sz w:val="20"/>
                <w:szCs w:val="20"/>
              </w:rPr>
              <w:t>人</w:t>
            </w:r>
          </w:p>
        </w:tc>
        <w:tc>
          <w:tcPr>
            <w:tcW w:w="996" w:type="dxa"/>
            <w:vAlign w:val="top"/>
          </w:tcPr>
          <w:p w14:paraId="4ED2E2B8">
            <w:pPr>
              <w:pStyle w:val="6"/>
              <w:spacing w:before="71" w:line="228" w:lineRule="auto"/>
              <w:ind w:left="298"/>
              <w:rPr>
                <w:sz w:val="20"/>
                <w:szCs w:val="20"/>
              </w:rPr>
            </w:pPr>
            <w:r>
              <w:rPr>
                <w:spacing w:val="3"/>
                <w:sz w:val="20"/>
                <w:szCs w:val="20"/>
              </w:rPr>
              <w:t>二类</w:t>
            </w:r>
          </w:p>
        </w:tc>
        <w:tc>
          <w:tcPr>
            <w:tcW w:w="845" w:type="dxa"/>
            <w:vAlign w:val="top"/>
          </w:tcPr>
          <w:p w14:paraId="0F51CFDF">
            <w:pPr>
              <w:pStyle w:val="6"/>
              <w:spacing w:before="69" w:line="230" w:lineRule="auto"/>
              <w:ind w:left="326"/>
              <w:rPr>
                <w:sz w:val="20"/>
                <w:szCs w:val="20"/>
              </w:rPr>
            </w:pPr>
            <w:r>
              <w:rPr>
                <w:sz w:val="20"/>
                <w:szCs w:val="20"/>
              </w:rPr>
              <w:t>南</w:t>
            </w:r>
          </w:p>
        </w:tc>
        <w:tc>
          <w:tcPr>
            <w:tcW w:w="734" w:type="dxa"/>
            <w:tcBorders>
              <w:right w:val="nil"/>
            </w:tcBorders>
            <w:vAlign w:val="top"/>
          </w:tcPr>
          <w:p w14:paraId="3540CA3B">
            <w:pPr>
              <w:spacing w:before="105" w:line="195" w:lineRule="auto"/>
              <w:ind w:left="1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3.88</w:t>
            </w:r>
          </w:p>
        </w:tc>
      </w:tr>
      <w:tr w14:paraId="0C246D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9" w:hRule="atLeast"/>
        </w:trPr>
        <w:tc>
          <w:tcPr>
            <w:tcW w:w="670" w:type="dxa"/>
            <w:tcBorders>
              <w:left w:val="nil"/>
            </w:tcBorders>
            <w:vAlign w:val="top"/>
          </w:tcPr>
          <w:p w14:paraId="230C7B29">
            <w:pPr>
              <w:pStyle w:val="6"/>
              <w:spacing w:before="45" w:line="229" w:lineRule="auto"/>
              <w:ind w:left="131"/>
              <w:rPr>
                <w:sz w:val="20"/>
                <w:szCs w:val="20"/>
              </w:rPr>
            </w:pPr>
            <w:r>
              <w:rPr>
                <w:spacing w:val="4"/>
                <w:sz w:val="20"/>
                <w:szCs w:val="20"/>
              </w:rPr>
              <w:t>地下</w:t>
            </w:r>
          </w:p>
          <w:p w14:paraId="71677053">
            <w:pPr>
              <w:pStyle w:val="6"/>
              <w:spacing w:before="22" w:line="228" w:lineRule="auto"/>
              <w:ind w:left="134"/>
              <w:rPr>
                <w:sz w:val="20"/>
                <w:szCs w:val="20"/>
              </w:rPr>
            </w:pPr>
            <w:r>
              <w:rPr>
                <w:spacing w:val="3"/>
                <w:sz w:val="20"/>
                <w:szCs w:val="20"/>
              </w:rPr>
              <w:t>水环</w:t>
            </w:r>
          </w:p>
          <w:p w14:paraId="4678B4E1">
            <w:pPr>
              <w:pStyle w:val="6"/>
              <w:spacing w:before="26" w:line="202" w:lineRule="auto"/>
              <w:ind w:left="238"/>
              <w:rPr>
                <w:sz w:val="20"/>
                <w:szCs w:val="20"/>
              </w:rPr>
            </w:pPr>
            <w:r>
              <w:rPr>
                <w:sz w:val="20"/>
                <w:szCs w:val="20"/>
              </w:rPr>
              <w:t>境</w:t>
            </w:r>
          </w:p>
        </w:tc>
        <w:tc>
          <w:tcPr>
            <w:tcW w:w="4166" w:type="dxa"/>
            <w:gridSpan w:val="3"/>
            <w:vAlign w:val="top"/>
          </w:tcPr>
          <w:p w14:paraId="267F9E65">
            <w:pPr>
              <w:spacing w:line="250" w:lineRule="auto"/>
              <w:rPr>
                <w:rFonts w:ascii="Arial"/>
                <w:sz w:val="21"/>
              </w:rPr>
            </w:pPr>
          </w:p>
          <w:p w14:paraId="5661ADCE">
            <w:pPr>
              <w:pStyle w:val="6"/>
              <w:spacing w:before="65" w:line="226" w:lineRule="auto"/>
              <w:ind w:left="303"/>
              <w:rPr>
                <w:sz w:val="20"/>
                <w:szCs w:val="20"/>
              </w:rPr>
            </w:pPr>
            <w:r>
              <w:rPr>
                <w:spacing w:val="9"/>
                <w:sz w:val="20"/>
                <w:szCs w:val="20"/>
              </w:rPr>
              <w:t>评价范围内浅层地下水及饮用水水源井</w:t>
            </w:r>
          </w:p>
        </w:tc>
        <w:tc>
          <w:tcPr>
            <w:tcW w:w="2873" w:type="dxa"/>
            <w:gridSpan w:val="4"/>
            <w:vAlign w:val="top"/>
          </w:tcPr>
          <w:p w14:paraId="03179545">
            <w:pPr>
              <w:pStyle w:val="6"/>
              <w:spacing w:before="189" w:line="228" w:lineRule="auto"/>
              <w:ind w:left="501"/>
              <w:rPr>
                <w:sz w:val="20"/>
                <w:szCs w:val="20"/>
              </w:rPr>
            </w:pPr>
            <w:r>
              <w:rPr>
                <w:spacing w:val="7"/>
                <w:sz w:val="20"/>
                <w:szCs w:val="20"/>
              </w:rPr>
              <w:t>《地下水质量标准》</w:t>
            </w:r>
          </w:p>
          <w:p w14:paraId="14940240">
            <w:pPr>
              <w:pStyle w:val="6"/>
              <w:spacing w:before="14" w:line="221" w:lineRule="auto"/>
              <w:ind w:left="350"/>
              <w:rPr>
                <w:sz w:val="20"/>
                <w:szCs w:val="20"/>
              </w:rPr>
            </w:pP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/T14848</w:t>
            </w:r>
            <w:r>
              <w:rPr>
                <w:spacing w:val="5"/>
                <w:sz w:val="20"/>
                <w:szCs w:val="20"/>
              </w:rPr>
              <w:t>－</w:t>
            </w:r>
            <w:r>
              <w:rPr>
                <w:rFonts w:ascii="Times New Roman" w:hAnsi="Times New Roman" w:eastAsia="Times New Roman" w:cs="Times New Roman"/>
                <w:spacing w:val="5"/>
                <w:sz w:val="20"/>
                <w:szCs w:val="20"/>
              </w:rPr>
              <w:t>2017)Ⅲ</w:t>
            </w:r>
            <w:r>
              <w:rPr>
                <w:spacing w:val="5"/>
                <w:sz w:val="20"/>
                <w:szCs w:val="20"/>
              </w:rPr>
              <w:t>类</w:t>
            </w:r>
          </w:p>
        </w:tc>
        <w:tc>
          <w:tcPr>
            <w:tcW w:w="845" w:type="dxa"/>
            <w:vAlign w:val="top"/>
          </w:tcPr>
          <w:p w14:paraId="14CAFEA8">
            <w:pPr>
              <w:spacing w:line="381" w:lineRule="auto"/>
              <w:rPr>
                <w:rFonts w:ascii="Arial"/>
                <w:sz w:val="21"/>
              </w:rPr>
            </w:pPr>
          </w:p>
          <w:p w14:paraId="271B3954">
            <w:pPr>
              <w:spacing w:before="58" w:line="96" w:lineRule="exact"/>
              <w:ind w:left="313"/>
              <w:rPr>
                <w:rFonts w:ascii="Times New Roman" w:hAnsi="Times New Roman" w:eastAsia="Times New Roman" w:cs="Times New Roman"/>
                <w:sz w:val="20"/>
                <w:szCs w:val="20"/>
              </w:rPr>
            </w:pPr>
            <w:r>
              <w:rPr>
                <w:rFonts w:ascii="Times New Roman" w:hAnsi="Times New Roman" w:eastAsia="Times New Roman" w:cs="Times New Roman"/>
                <w:spacing w:val="12"/>
                <w:position w:val="-2"/>
                <w:sz w:val="20"/>
                <w:szCs w:val="20"/>
              </w:rPr>
              <w:t>—</w:t>
            </w:r>
          </w:p>
        </w:tc>
        <w:tc>
          <w:tcPr>
            <w:tcW w:w="734" w:type="dxa"/>
            <w:tcBorders>
              <w:right w:val="nil"/>
            </w:tcBorders>
            <w:vAlign w:val="top"/>
          </w:tcPr>
          <w:p w14:paraId="0070CE2F">
            <w:pPr>
              <w:spacing w:line="381" w:lineRule="auto"/>
              <w:rPr>
                <w:rFonts w:ascii="Arial"/>
                <w:sz w:val="21"/>
              </w:rPr>
            </w:pPr>
          </w:p>
          <w:p w14:paraId="7767D30D">
            <w:pPr>
              <w:spacing w:before="58" w:line="96" w:lineRule="exact"/>
              <w:ind w:left="258"/>
              <w:rPr>
                <w:rFonts w:ascii="Times New Roman" w:hAnsi="Times New Roman" w:eastAsia="Times New Roman" w:cs="Times New Roman"/>
                <w:sz w:val="20"/>
                <w:szCs w:val="20"/>
              </w:rPr>
            </w:pPr>
            <w:r>
              <w:rPr>
                <w:rFonts w:ascii="Times New Roman" w:hAnsi="Times New Roman" w:eastAsia="Times New Roman" w:cs="Times New Roman"/>
                <w:spacing w:val="12"/>
                <w:position w:val="-2"/>
                <w:sz w:val="20"/>
                <w:szCs w:val="20"/>
              </w:rPr>
              <w:t>—</w:t>
            </w:r>
          </w:p>
        </w:tc>
      </w:tr>
      <w:tr w14:paraId="2F285C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8" w:hRule="atLeast"/>
        </w:trPr>
        <w:tc>
          <w:tcPr>
            <w:tcW w:w="670" w:type="dxa"/>
            <w:tcBorders>
              <w:left w:val="nil"/>
            </w:tcBorders>
            <w:vAlign w:val="top"/>
          </w:tcPr>
          <w:p w14:paraId="0A1A8492">
            <w:pPr>
              <w:pStyle w:val="6"/>
              <w:spacing w:before="50" w:line="225" w:lineRule="auto"/>
              <w:ind w:left="131" w:right="125" w:firstLine="1"/>
              <w:rPr>
                <w:sz w:val="20"/>
                <w:szCs w:val="20"/>
              </w:rPr>
            </w:pPr>
            <w:r>
              <w:rPr>
                <w:spacing w:val="3"/>
                <w:sz w:val="20"/>
                <w:szCs w:val="20"/>
              </w:rPr>
              <w:t>生态</w:t>
            </w:r>
            <w:r>
              <w:rPr>
                <w:sz w:val="20"/>
                <w:szCs w:val="20"/>
              </w:rPr>
              <w:t xml:space="preserve"> </w:t>
            </w:r>
            <w:r>
              <w:rPr>
                <w:spacing w:val="4"/>
                <w:sz w:val="20"/>
                <w:szCs w:val="20"/>
              </w:rPr>
              <w:t>环境</w:t>
            </w:r>
          </w:p>
        </w:tc>
        <w:tc>
          <w:tcPr>
            <w:tcW w:w="4166" w:type="dxa"/>
            <w:gridSpan w:val="3"/>
            <w:vAlign w:val="top"/>
          </w:tcPr>
          <w:p w14:paraId="7DB313A2">
            <w:pPr>
              <w:pStyle w:val="6"/>
              <w:spacing w:before="183" w:line="228" w:lineRule="auto"/>
              <w:ind w:left="1146"/>
              <w:rPr>
                <w:sz w:val="20"/>
                <w:szCs w:val="20"/>
              </w:rPr>
            </w:pPr>
            <w:r>
              <w:rPr>
                <w:spacing w:val="8"/>
                <w:sz w:val="20"/>
                <w:szCs w:val="20"/>
              </w:rPr>
              <w:t>厂区范围内生态环境</w:t>
            </w:r>
          </w:p>
        </w:tc>
        <w:tc>
          <w:tcPr>
            <w:tcW w:w="2873" w:type="dxa"/>
            <w:gridSpan w:val="4"/>
            <w:vAlign w:val="top"/>
          </w:tcPr>
          <w:p w14:paraId="5EEAFB43">
            <w:pPr>
              <w:pStyle w:val="6"/>
              <w:spacing w:before="185" w:line="228" w:lineRule="auto"/>
              <w:ind w:left="113"/>
              <w:rPr>
                <w:sz w:val="20"/>
                <w:szCs w:val="20"/>
              </w:rPr>
            </w:pPr>
            <w:r>
              <w:rPr>
                <w:spacing w:val="3"/>
                <w:sz w:val="20"/>
                <w:szCs w:val="20"/>
              </w:rPr>
              <w:t>保护土壤植被，防止水土流失</w:t>
            </w:r>
          </w:p>
        </w:tc>
        <w:tc>
          <w:tcPr>
            <w:tcW w:w="845" w:type="dxa"/>
            <w:vAlign w:val="top"/>
          </w:tcPr>
          <w:p w14:paraId="0888495A">
            <w:pPr>
              <w:spacing w:line="249" w:lineRule="auto"/>
              <w:rPr>
                <w:rFonts w:ascii="Arial"/>
                <w:sz w:val="21"/>
              </w:rPr>
            </w:pPr>
          </w:p>
          <w:p w14:paraId="1B3B7664">
            <w:pPr>
              <w:spacing w:before="58" w:line="96" w:lineRule="exact"/>
              <w:ind w:left="313"/>
              <w:rPr>
                <w:rFonts w:ascii="Times New Roman" w:hAnsi="Times New Roman" w:eastAsia="Times New Roman" w:cs="Times New Roman"/>
                <w:sz w:val="20"/>
                <w:szCs w:val="20"/>
              </w:rPr>
            </w:pPr>
            <w:r>
              <w:rPr>
                <w:rFonts w:ascii="Times New Roman" w:hAnsi="Times New Roman" w:eastAsia="Times New Roman" w:cs="Times New Roman"/>
                <w:spacing w:val="12"/>
                <w:position w:val="-2"/>
                <w:sz w:val="20"/>
                <w:szCs w:val="20"/>
              </w:rPr>
              <w:t>—</w:t>
            </w:r>
          </w:p>
        </w:tc>
        <w:tc>
          <w:tcPr>
            <w:tcW w:w="734" w:type="dxa"/>
            <w:tcBorders>
              <w:right w:val="nil"/>
            </w:tcBorders>
            <w:vAlign w:val="top"/>
          </w:tcPr>
          <w:p w14:paraId="3DA49C1A">
            <w:pPr>
              <w:spacing w:line="249" w:lineRule="auto"/>
              <w:rPr>
                <w:rFonts w:ascii="Arial"/>
                <w:sz w:val="21"/>
              </w:rPr>
            </w:pPr>
          </w:p>
          <w:p w14:paraId="6ED7B00B">
            <w:pPr>
              <w:spacing w:before="58" w:line="96" w:lineRule="exact"/>
              <w:ind w:left="258"/>
              <w:rPr>
                <w:rFonts w:ascii="Times New Roman" w:hAnsi="Times New Roman" w:eastAsia="Times New Roman" w:cs="Times New Roman"/>
                <w:sz w:val="20"/>
                <w:szCs w:val="20"/>
              </w:rPr>
            </w:pPr>
            <w:r>
              <w:rPr>
                <w:rFonts w:ascii="Times New Roman" w:hAnsi="Times New Roman" w:eastAsia="Times New Roman" w:cs="Times New Roman"/>
                <w:spacing w:val="12"/>
                <w:position w:val="-2"/>
                <w:sz w:val="20"/>
                <w:szCs w:val="20"/>
              </w:rPr>
              <w:t>—</w:t>
            </w:r>
          </w:p>
        </w:tc>
      </w:tr>
      <w:tr w14:paraId="492B33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7" w:hRule="atLeast"/>
        </w:trPr>
        <w:tc>
          <w:tcPr>
            <w:tcW w:w="670" w:type="dxa"/>
            <w:tcBorders>
              <w:left w:val="nil"/>
              <w:bottom w:val="single" w:color="000000" w:sz="10" w:space="0"/>
            </w:tcBorders>
            <w:vAlign w:val="top"/>
          </w:tcPr>
          <w:p w14:paraId="70C871AC">
            <w:pPr>
              <w:spacing w:line="265" w:lineRule="auto"/>
              <w:rPr>
                <w:rFonts w:ascii="Arial"/>
                <w:sz w:val="21"/>
              </w:rPr>
            </w:pPr>
          </w:p>
          <w:p w14:paraId="1C66D738">
            <w:pPr>
              <w:spacing w:line="266" w:lineRule="auto"/>
              <w:rPr>
                <w:rFonts w:ascii="Arial"/>
                <w:sz w:val="21"/>
              </w:rPr>
            </w:pPr>
          </w:p>
          <w:p w14:paraId="23283C2A">
            <w:pPr>
              <w:spacing w:line="266" w:lineRule="auto"/>
              <w:rPr>
                <w:rFonts w:ascii="Arial"/>
                <w:sz w:val="21"/>
              </w:rPr>
            </w:pPr>
          </w:p>
          <w:p w14:paraId="63FA8587">
            <w:pPr>
              <w:pStyle w:val="6"/>
              <w:spacing w:before="65" w:line="229" w:lineRule="auto"/>
              <w:ind w:left="132"/>
              <w:rPr>
                <w:sz w:val="20"/>
                <w:szCs w:val="20"/>
              </w:rPr>
            </w:pPr>
            <w:r>
              <w:rPr>
                <w:spacing w:val="4"/>
                <w:sz w:val="20"/>
                <w:szCs w:val="20"/>
              </w:rPr>
              <w:t>土壤</w:t>
            </w:r>
          </w:p>
        </w:tc>
        <w:tc>
          <w:tcPr>
            <w:tcW w:w="4166" w:type="dxa"/>
            <w:gridSpan w:val="3"/>
            <w:tcBorders>
              <w:bottom w:val="single" w:color="000000" w:sz="10" w:space="0"/>
            </w:tcBorders>
            <w:vAlign w:val="top"/>
          </w:tcPr>
          <w:p w14:paraId="0C4ACD8F">
            <w:pPr>
              <w:spacing w:line="265" w:lineRule="auto"/>
              <w:rPr>
                <w:rFonts w:ascii="Arial"/>
                <w:sz w:val="21"/>
              </w:rPr>
            </w:pPr>
          </w:p>
          <w:p w14:paraId="7361DFDC">
            <w:pPr>
              <w:spacing w:line="265" w:lineRule="auto"/>
              <w:rPr>
                <w:rFonts w:ascii="Arial"/>
                <w:sz w:val="21"/>
              </w:rPr>
            </w:pPr>
          </w:p>
          <w:p w14:paraId="4FE99EDF">
            <w:pPr>
              <w:spacing w:line="266" w:lineRule="auto"/>
              <w:rPr>
                <w:rFonts w:ascii="Arial"/>
                <w:sz w:val="21"/>
              </w:rPr>
            </w:pPr>
          </w:p>
          <w:p w14:paraId="5EB716BD">
            <w:pPr>
              <w:pStyle w:val="6"/>
              <w:spacing w:before="65" w:line="228" w:lineRule="auto"/>
              <w:ind w:left="277"/>
              <w:rPr>
                <w:sz w:val="20"/>
                <w:szCs w:val="20"/>
              </w:rPr>
            </w:pPr>
            <w:r>
              <w:rPr>
                <w:spacing w:val="8"/>
                <w:sz w:val="20"/>
                <w:szCs w:val="20"/>
              </w:rPr>
              <w:t>厂区范围内、场界外围</w:t>
            </w:r>
            <w:r>
              <w:rPr>
                <w:rFonts w:ascii="Times New Roman" w:hAnsi="Times New Roman" w:eastAsia="Times New Roman" w:cs="Times New Roman"/>
                <w:spacing w:val="8"/>
                <w:sz w:val="20"/>
                <w:szCs w:val="20"/>
              </w:rPr>
              <w:t>200m</w:t>
            </w:r>
            <w:r>
              <w:rPr>
                <w:spacing w:val="8"/>
                <w:sz w:val="20"/>
                <w:szCs w:val="20"/>
              </w:rPr>
              <w:t>范围内草地</w:t>
            </w:r>
          </w:p>
        </w:tc>
        <w:tc>
          <w:tcPr>
            <w:tcW w:w="2873" w:type="dxa"/>
            <w:gridSpan w:val="4"/>
            <w:tcBorders>
              <w:bottom w:val="single" w:color="000000" w:sz="10" w:space="0"/>
            </w:tcBorders>
            <w:vAlign w:val="top"/>
          </w:tcPr>
          <w:p w14:paraId="1049A621">
            <w:pPr>
              <w:pStyle w:val="6"/>
              <w:spacing w:before="51" w:line="246" w:lineRule="auto"/>
              <w:ind w:left="112" w:right="106"/>
              <w:rPr>
                <w:sz w:val="20"/>
                <w:szCs w:val="20"/>
              </w:rPr>
            </w:pPr>
            <w:r>
              <w:rPr>
                <w:spacing w:val="3"/>
                <w:sz w:val="20"/>
                <w:szCs w:val="20"/>
              </w:rPr>
              <w:t>执行《土壤环境质量建设用地</w:t>
            </w:r>
            <w:r>
              <w:rPr>
                <w:spacing w:val="8"/>
                <w:sz w:val="20"/>
                <w:szCs w:val="20"/>
              </w:rPr>
              <w:t xml:space="preserve"> </w:t>
            </w:r>
            <w:r>
              <w:rPr>
                <w:spacing w:val="20"/>
                <w:sz w:val="20"/>
                <w:szCs w:val="20"/>
              </w:rPr>
              <w:t>土壤污染风险管控标准（试</w:t>
            </w:r>
            <w:r>
              <w:rPr>
                <w:spacing w:val="7"/>
                <w:sz w:val="20"/>
                <w:szCs w:val="20"/>
              </w:rPr>
              <w:t xml:space="preserve"> </w:t>
            </w:r>
            <w:r>
              <w:rPr>
                <w:spacing w:val="6"/>
                <w:sz w:val="20"/>
                <w:szCs w:val="20"/>
              </w:rPr>
              <w:t>行）》（</w:t>
            </w: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36600-2018</w:t>
            </w:r>
            <w:r>
              <w:rPr>
                <w:spacing w:val="6"/>
                <w:sz w:val="20"/>
                <w:szCs w:val="20"/>
              </w:rPr>
              <w:t>）</w:t>
            </w:r>
            <w:r>
              <w:rPr>
                <w:rFonts w:ascii="Times New Roman" w:hAnsi="Times New Roman" w:eastAsia="Times New Roman" w:cs="Times New Roman"/>
                <w:spacing w:val="6"/>
                <w:sz w:val="20"/>
                <w:szCs w:val="20"/>
              </w:rPr>
              <w:t>“</w:t>
            </w:r>
            <w:r>
              <w:rPr>
                <w:spacing w:val="6"/>
                <w:sz w:val="20"/>
                <w:szCs w:val="20"/>
              </w:rPr>
              <w:t>建</w:t>
            </w:r>
            <w:r>
              <w:rPr>
                <w:spacing w:val="12"/>
                <w:sz w:val="20"/>
                <w:szCs w:val="20"/>
              </w:rPr>
              <w:t xml:space="preserve"> </w:t>
            </w:r>
            <w:r>
              <w:rPr>
                <w:spacing w:val="20"/>
                <w:sz w:val="20"/>
                <w:szCs w:val="20"/>
              </w:rPr>
              <w:t>设用地第二类用地土壤污染</w:t>
            </w:r>
            <w:r>
              <w:rPr>
                <w:spacing w:val="7"/>
                <w:sz w:val="20"/>
                <w:szCs w:val="20"/>
              </w:rPr>
              <w:t xml:space="preserve"> </w:t>
            </w:r>
            <w:r>
              <w:rPr>
                <w:spacing w:val="-4"/>
                <w:sz w:val="20"/>
                <w:szCs w:val="20"/>
              </w:rPr>
              <w:t>风</w:t>
            </w:r>
            <w:r>
              <w:rPr>
                <w:spacing w:val="21"/>
                <w:sz w:val="20"/>
                <w:szCs w:val="20"/>
              </w:rPr>
              <w:t xml:space="preserve">  </w:t>
            </w:r>
            <w:r>
              <w:rPr>
                <w:spacing w:val="-4"/>
                <w:sz w:val="20"/>
                <w:szCs w:val="20"/>
              </w:rPr>
              <w:t>险</w:t>
            </w:r>
            <w:r>
              <w:rPr>
                <w:spacing w:val="14"/>
                <w:sz w:val="20"/>
                <w:szCs w:val="20"/>
              </w:rPr>
              <w:t xml:space="preserve">  </w:t>
            </w:r>
            <w:r>
              <w:rPr>
                <w:spacing w:val="-4"/>
                <w:sz w:val="20"/>
                <w:szCs w:val="20"/>
              </w:rPr>
              <w:t>筛</w:t>
            </w:r>
            <w:r>
              <w:rPr>
                <w:spacing w:val="13"/>
                <w:sz w:val="20"/>
                <w:szCs w:val="20"/>
              </w:rPr>
              <w:t xml:space="preserve">  </w:t>
            </w:r>
            <w:r>
              <w:rPr>
                <w:spacing w:val="-4"/>
                <w:sz w:val="20"/>
                <w:szCs w:val="20"/>
              </w:rPr>
              <w:t>选</w:t>
            </w:r>
            <w:r>
              <w:rPr>
                <w:spacing w:val="13"/>
                <w:sz w:val="20"/>
                <w:szCs w:val="20"/>
              </w:rPr>
              <w:t xml:space="preserve">  </w:t>
            </w:r>
            <w:r>
              <w:rPr>
                <w:spacing w:val="-4"/>
                <w:sz w:val="20"/>
                <w:szCs w:val="20"/>
              </w:rPr>
              <w:t>值</w:t>
            </w:r>
            <w:r>
              <w:rPr>
                <w:spacing w:val="14"/>
                <w:sz w:val="20"/>
                <w:szCs w:val="20"/>
              </w:rPr>
              <w:t xml:space="preserve">  </w:t>
            </w:r>
            <w:r>
              <w:rPr>
                <w:rFonts w:ascii="Times New Roman" w:hAnsi="Times New Roman" w:eastAsia="Times New Roman" w:cs="Times New Roman"/>
                <w:spacing w:val="-4"/>
                <w:sz w:val="20"/>
                <w:szCs w:val="20"/>
              </w:rPr>
              <w:t>”</w:t>
            </w:r>
            <w:r>
              <w:rPr>
                <w:rFonts w:ascii="Times New Roman" w:hAnsi="Times New Roman" w:eastAsia="Times New Roman" w:cs="Times New Roman"/>
                <w:spacing w:val="9"/>
                <w:sz w:val="20"/>
                <w:szCs w:val="20"/>
              </w:rPr>
              <w:t xml:space="preserve">    </w:t>
            </w:r>
            <w:r>
              <w:rPr>
                <w:spacing w:val="-4"/>
                <w:sz w:val="20"/>
                <w:szCs w:val="20"/>
              </w:rPr>
              <w:t>、</w:t>
            </w:r>
            <w:r>
              <w:rPr>
                <w:spacing w:val="1"/>
                <w:sz w:val="20"/>
                <w:szCs w:val="20"/>
              </w:rPr>
              <w:t xml:space="preserve"> </w:t>
            </w:r>
            <w:r>
              <w:rPr>
                <w:spacing w:val="4"/>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4"/>
                <w:sz w:val="20"/>
                <w:szCs w:val="20"/>
              </w:rPr>
              <w:t>15618-2018</w:t>
            </w:r>
            <w:r>
              <w:rPr>
                <w:spacing w:val="4"/>
                <w:sz w:val="20"/>
                <w:szCs w:val="20"/>
              </w:rPr>
              <w:t>）</w:t>
            </w:r>
            <w:r>
              <w:rPr>
                <w:spacing w:val="-42"/>
                <w:sz w:val="20"/>
                <w:szCs w:val="20"/>
              </w:rPr>
              <w:t xml:space="preserve"> </w:t>
            </w:r>
            <w:r>
              <w:rPr>
                <w:spacing w:val="4"/>
                <w:sz w:val="20"/>
                <w:szCs w:val="20"/>
              </w:rPr>
              <w:t xml:space="preserve">表 </w:t>
            </w:r>
            <w:r>
              <w:rPr>
                <w:rFonts w:ascii="Times New Roman" w:hAnsi="Times New Roman" w:eastAsia="Times New Roman" w:cs="Times New Roman"/>
                <w:spacing w:val="4"/>
                <w:sz w:val="20"/>
                <w:szCs w:val="20"/>
              </w:rPr>
              <w:t>1</w:t>
            </w:r>
            <w:r>
              <w:rPr>
                <w:rFonts w:ascii="Times New Roman" w:hAnsi="Times New Roman" w:eastAsia="Times New Roman" w:cs="Times New Roman"/>
                <w:spacing w:val="27"/>
                <w:sz w:val="20"/>
                <w:szCs w:val="20"/>
              </w:rPr>
              <w:t xml:space="preserve"> </w:t>
            </w:r>
            <w:r>
              <w:rPr>
                <w:spacing w:val="4"/>
                <w:sz w:val="20"/>
                <w:szCs w:val="20"/>
              </w:rPr>
              <w:t>农用</w:t>
            </w:r>
            <w:r>
              <w:rPr>
                <w:sz w:val="20"/>
                <w:szCs w:val="20"/>
              </w:rPr>
              <w:t xml:space="preserve"> </w:t>
            </w:r>
            <w:r>
              <w:rPr>
                <w:spacing w:val="7"/>
                <w:sz w:val="20"/>
                <w:szCs w:val="20"/>
              </w:rPr>
              <w:t>地（其他）要求。</w:t>
            </w:r>
          </w:p>
        </w:tc>
        <w:tc>
          <w:tcPr>
            <w:tcW w:w="845" w:type="dxa"/>
            <w:tcBorders>
              <w:bottom w:val="single" w:color="000000" w:sz="10" w:space="0"/>
            </w:tcBorders>
            <w:vAlign w:val="top"/>
          </w:tcPr>
          <w:p w14:paraId="03AEC456">
            <w:pPr>
              <w:spacing w:line="244" w:lineRule="auto"/>
              <w:rPr>
                <w:rFonts w:ascii="Arial"/>
                <w:sz w:val="21"/>
              </w:rPr>
            </w:pPr>
          </w:p>
          <w:p w14:paraId="182DF828">
            <w:pPr>
              <w:spacing w:line="245" w:lineRule="auto"/>
              <w:rPr>
                <w:rFonts w:ascii="Arial"/>
                <w:sz w:val="21"/>
              </w:rPr>
            </w:pPr>
          </w:p>
          <w:p w14:paraId="15DC43E9">
            <w:pPr>
              <w:spacing w:line="245" w:lineRule="auto"/>
              <w:rPr>
                <w:rFonts w:ascii="Arial"/>
                <w:sz w:val="21"/>
              </w:rPr>
            </w:pPr>
          </w:p>
          <w:p w14:paraId="65CCBE9D">
            <w:pPr>
              <w:tabs>
                <w:tab w:val="left" w:pos="525"/>
              </w:tabs>
              <w:spacing w:before="60"/>
              <w:ind w:left="313"/>
              <w:rPr>
                <w:rFonts w:ascii="Arial"/>
                <w:sz w:val="21"/>
              </w:rPr>
            </w:pPr>
            <w:r>
              <w:rPr>
                <w:rFonts w:ascii="Arial" w:hAnsi="Arial" w:eastAsia="Arial" w:cs="Arial"/>
                <w:sz w:val="21"/>
                <w:szCs w:val="21"/>
                <w:u w:val="single" w:color="auto"/>
              </w:rPr>
              <w:tab/>
            </w:r>
          </w:p>
        </w:tc>
        <w:tc>
          <w:tcPr>
            <w:tcW w:w="734" w:type="dxa"/>
            <w:tcBorders>
              <w:bottom w:val="single" w:color="000000" w:sz="10" w:space="0"/>
              <w:right w:val="nil"/>
            </w:tcBorders>
            <w:vAlign w:val="top"/>
          </w:tcPr>
          <w:p w14:paraId="236900CF">
            <w:pPr>
              <w:spacing w:line="244" w:lineRule="auto"/>
              <w:rPr>
                <w:rFonts w:ascii="Arial"/>
                <w:sz w:val="21"/>
              </w:rPr>
            </w:pPr>
          </w:p>
          <w:p w14:paraId="342F1F83">
            <w:pPr>
              <w:spacing w:line="245" w:lineRule="auto"/>
              <w:rPr>
                <w:rFonts w:ascii="Arial"/>
                <w:sz w:val="21"/>
              </w:rPr>
            </w:pPr>
          </w:p>
          <w:p w14:paraId="32770227">
            <w:pPr>
              <w:spacing w:line="245" w:lineRule="auto"/>
              <w:rPr>
                <w:rFonts w:ascii="Arial"/>
                <w:sz w:val="21"/>
              </w:rPr>
            </w:pPr>
          </w:p>
          <w:p w14:paraId="26DAD5D9">
            <w:pPr>
              <w:tabs>
                <w:tab w:val="left" w:pos="470"/>
              </w:tabs>
              <w:spacing w:before="60"/>
              <w:ind w:left="258"/>
              <w:rPr>
                <w:rFonts w:ascii="Arial"/>
                <w:sz w:val="21"/>
              </w:rPr>
            </w:pPr>
            <w:r>
              <w:rPr>
                <w:rFonts w:ascii="Arial" w:hAnsi="Arial" w:eastAsia="Arial" w:cs="Arial"/>
                <w:sz w:val="21"/>
                <w:szCs w:val="21"/>
                <w:u w:val="single" w:color="auto"/>
              </w:rPr>
              <w:tab/>
            </w:r>
          </w:p>
        </w:tc>
      </w:tr>
    </w:tbl>
    <w:p w14:paraId="46741020">
      <w:pPr>
        <w:pStyle w:val="2"/>
      </w:pPr>
    </w:p>
    <w:p w14:paraId="18828C84">
      <w:pPr>
        <w:sectPr>
          <w:headerReference r:id="rId78" w:type="default"/>
          <w:footerReference r:id="rId79" w:type="default"/>
          <w:pgSz w:w="11907" w:h="16840"/>
          <w:pgMar w:top="1178" w:right="1308" w:bottom="1038" w:left="1309" w:header="870" w:footer="876" w:gutter="0"/>
          <w:cols w:space="720" w:num="1"/>
        </w:sectPr>
      </w:pPr>
    </w:p>
    <w:p w14:paraId="609BC39F">
      <w:pPr>
        <w:spacing w:line="238" w:lineRule="exact"/>
      </w:pPr>
      <w:r>
        <w:pict>
          <v:shape id="_x0000_s1073" o:spid="_x0000_s1073" style="position:absolute;left:0pt;margin-left:70.85pt;margin-top:59.65pt;height:0.75pt;width:453.65pt;mso-position-horizontal-relative:page;mso-position-vertical-relative:page;z-index:251704320;mso-width-relative:page;mso-height-relative:page;" fillcolor="#000000" filled="t" stroked="f" coordsize="9072,15" o:allowincell="f" path="m0,0l9072,0,9072,14,0,14,0,0xe">
            <v:path/>
            <v:fill on="t" focussize="0,0"/>
            <v:stroke on="f"/>
            <v:imagedata o:title=""/>
            <o:lock v:ext="edit"/>
          </v:shape>
        </w:pict>
      </w:r>
    </w:p>
    <w:tbl>
      <w:tblPr>
        <w:tblStyle w:val="5"/>
        <w:tblW w:w="9289" w:type="dxa"/>
        <w:tblInd w:w="0" w:type="dxa"/>
        <w:tblBorders>
          <w:top w:val="single" w:color="000000" w:sz="10" w:space="0"/>
          <w:left w:val="single" w:color="000000" w:sz="10" w:space="0"/>
          <w:bottom w:val="single" w:color="000000" w:sz="10" w:space="0"/>
          <w:right w:val="single" w:color="000000" w:sz="10" w:space="0"/>
          <w:insideH w:val="single" w:color="000000" w:sz="10" w:space="0"/>
          <w:insideV w:val="single" w:color="000000" w:sz="10" w:space="0"/>
        </w:tblBorders>
        <w:tblLayout w:type="fixed"/>
        <w:tblCellMar>
          <w:top w:w="0" w:type="dxa"/>
          <w:left w:w="0" w:type="dxa"/>
          <w:bottom w:w="0" w:type="dxa"/>
          <w:right w:w="0" w:type="dxa"/>
        </w:tblCellMar>
      </w:tblPr>
      <w:tblGrid>
        <w:gridCol w:w="670"/>
        <w:gridCol w:w="4166"/>
        <w:gridCol w:w="2874"/>
        <w:gridCol w:w="845"/>
        <w:gridCol w:w="734"/>
      </w:tblGrid>
      <w:tr w14:paraId="12EF3C2E">
        <w:tblPrEx>
          <w:tblBorders>
            <w:top w:val="single" w:color="000000" w:sz="10" w:space="0"/>
            <w:left w:val="single" w:color="000000" w:sz="10" w:space="0"/>
            <w:bottom w:val="single" w:color="000000" w:sz="10" w:space="0"/>
            <w:right w:val="single" w:color="000000" w:sz="10" w:space="0"/>
            <w:insideH w:val="single" w:color="000000" w:sz="10" w:space="0"/>
            <w:insideV w:val="single" w:color="000000" w:sz="10" w:space="0"/>
          </w:tblBorders>
          <w:tblCellMar>
            <w:top w:w="0" w:type="dxa"/>
            <w:left w:w="0" w:type="dxa"/>
            <w:bottom w:w="0" w:type="dxa"/>
            <w:right w:w="0" w:type="dxa"/>
          </w:tblCellMar>
        </w:tblPrEx>
        <w:trPr>
          <w:trHeight w:val="553" w:hRule="atLeast"/>
        </w:trPr>
        <w:tc>
          <w:tcPr>
            <w:tcW w:w="670" w:type="dxa"/>
            <w:tcBorders>
              <w:left w:val="nil"/>
              <w:right w:val="single" w:color="000000" w:sz="2" w:space="0"/>
            </w:tcBorders>
            <w:vAlign w:val="top"/>
          </w:tcPr>
          <w:p w14:paraId="59F074C2">
            <w:pPr>
              <w:pStyle w:val="6"/>
              <w:spacing w:before="36" w:line="234" w:lineRule="auto"/>
              <w:ind w:left="238" w:right="125" w:hanging="102"/>
              <w:rPr>
                <w:sz w:val="20"/>
                <w:szCs w:val="20"/>
              </w:rPr>
            </w:pPr>
            <w:r>
              <w:rPr>
                <w:spacing w:val="2"/>
                <w:sz w:val="20"/>
                <w:szCs w:val="20"/>
              </w:rPr>
              <w:t>声环</w:t>
            </w:r>
            <w:r>
              <w:rPr>
                <w:sz w:val="20"/>
                <w:szCs w:val="20"/>
              </w:rPr>
              <w:t xml:space="preserve"> 境</w:t>
            </w:r>
          </w:p>
        </w:tc>
        <w:tc>
          <w:tcPr>
            <w:tcW w:w="4166" w:type="dxa"/>
            <w:tcBorders>
              <w:left w:val="single" w:color="000000" w:sz="2" w:space="0"/>
              <w:right w:val="single" w:color="000000" w:sz="2" w:space="0"/>
            </w:tcBorders>
            <w:vAlign w:val="top"/>
          </w:tcPr>
          <w:p w14:paraId="61398C86">
            <w:pPr>
              <w:pStyle w:val="6"/>
              <w:spacing w:before="171" w:line="228" w:lineRule="auto"/>
              <w:ind w:left="117"/>
              <w:rPr>
                <w:sz w:val="20"/>
                <w:szCs w:val="20"/>
              </w:rPr>
            </w:pPr>
            <w:r>
              <w:rPr>
                <w:spacing w:val="18"/>
                <w:sz w:val="20"/>
                <w:szCs w:val="20"/>
              </w:rPr>
              <w:t>厂</w:t>
            </w:r>
            <w:r>
              <w:rPr>
                <w:spacing w:val="-46"/>
                <w:sz w:val="20"/>
                <w:szCs w:val="20"/>
              </w:rPr>
              <w:t xml:space="preserve"> </w:t>
            </w:r>
            <w:r>
              <w:rPr>
                <w:spacing w:val="18"/>
                <w:sz w:val="20"/>
                <w:szCs w:val="20"/>
              </w:rPr>
              <w:t>界周边</w:t>
            </w:r>
            <w:r>
              <w:rPr>
                <w:spacing w:val="-26"/>
                <w:sz w:val="20"/>
                <w:szCs w:val="20"/>
              </w:rPr>
              <w:t xml:space="preserve"> </w:t>
            </w:r>
            <w:r>
              <w:rPr>
                <w:rFonts w:ascii="Times New Roman" w:hAnsi="Times New Roman" w:eastAsia="Times New Roman" w:cs="Times New Roman"/>
                <w:spacing w:val="18"/>
                <w:sz w:val="20"/>
                <w:szCs w:val="20"/>
              </w:rPr>
              <w:t>200m</w:t>
            </w:r>
            <w:r>
              <w:rPr>
                <w:rFonts w:ascii="Times New Roman" w:hAnsi="Times New Roman" w:eastAsia="Times New Roman" w:cs="Times New Roman"/>
                <w:spacing w:val="32"/>
                <w:w w:val="101"/>
                <w:sz w:val="20"/>
                <w:szCs w:val="20"/>
              </w:rPr>
              <w:t xml:space="preserve"> </w:t>
            </w:r>
            <w:r>
              <w:rPr>
                <w:spacing w:val="18"/>
                <w:sz w:val="20"/>
                <w:szCs w:val="20"/>
              </w:rPr>
              <w:t>区域无</w:t>
            </w:r>
            <w:r>
              <w:rPr>
                <w:spacing w:val="-60"/>
                <w:sz w:val="20"/>
                <w:szCs w:val="20"/>
              </w:rPr>
              <w:t xml:space="preserve"> </w:t>
            </w:r>
            <w:r>
              <w:rPr>
                <w:spacing w:val="18"/>
                <w:sz w:val="20"/>
                <w:szCs w:val="20"/>
              </w:rPr>
              <w:t>声环境敏感</w:t>
            </w:r>
            <w:r>
              <w:rPr>
                <w:spacing w:val="-23"/>
                <w:sz w:val="20"/>
                <w:szCs w:val="20"/>
              </w:rPr>
              <w:t xml:space="preserve"> </w:t>
            </w:r>
            <w:r>
              <w:rPr>
                <w:spacing w:val="18"/>
                <w:sz w:val="20"/>
                <w:szCs w:val="20"/>
              </w:rPr>
              <w:t>目标</w:t>
            </w:r>
          </w:p>
        </w:tc>
        <w:tc>
          <w:tcPr>
            <w:tcW w:w="2874" w:type="dxa"/>
            <w:tcBorders>
              <w:left w:val="single" w:color="000000" w:sz="2" w:space="0"/>
              <w:right w:val="single" w:color="000000" w:sz="2" w:space="0"/>
            </w:tcBorders>
            <w:vAlign w:val="top"/>
          </w:tcPr>
          <w:p w14:paraId="441EC238">
            <w:pPr>
              <w:pStyle w:val="6"/>
              <w:spacing w:before="171" w:line="228" w:lineRule="auto"/>
              <w:ind w:left="458"/>
              <w:rPr>
                <w:sz w:val="20"/>
                <w:szCs w:val="20"/>
              </w:rPr>
            </w:pPr>
            <w:r>
              <w:rPr>
                <w:spacing w:val="5"/>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3096-2008</w:t>
            </w:r>
            <w:r>
              <w:rPr>
                <w:spacing w:val="5"/>
                <w:sz w:val="20"/>
                <w:szCs w:val="20"/>
              </w:rPr>
              <w:t>）</w:t>
            </w:r>
            <w:r>
              <w:rPr>
                <w:rFonts w:ascii="Times New Roman" w:hAnsi="Times New Roman" w:eastAsia="Times New Roman" w:cs="Times New Roman"/>
                <w:spacing w:val="5"/>
                <w:sz w:val="20"/>
                <w:szCs w:val="20"/>
              </w:rPr>
              <w:t xml:space="preserve">3 </w:t>
            </w:r>
            <w:r>
              <w:rPr>
                <w:spacing w:val="5"/>
                <w:sz w:val="20"/>
                <w:szCs w:val="20"/>
              </w:rPr>
              <w:t>类</w:t>
            </w:r>
          </w:p>
        </w:tc>
        <w:tc>
          <w:tcPr>
            <w:tcW w:w="845" w:type="dxa"/>
            <w:tcBorders>
              <w:left w:val="single" w:color="000000" w:sz="2" w:space="0"/>
              <w:right w:val="single" w:color="000000" w:sz="2" w:space="0"/>
            </w:tcBorders>
            <w:vAlign w:val="top"/>
          </w:tcPr>
          <w:p w14:paraId="7225C3B1">
            <w:pPr>
              <w:rPr>
                <w:rFonts w:ascii="Arial"/>
                <w:sz w:val="21"/>
              </w:rPr>
            </w:pPr>
          </w:p>
        </w:tc>
        <w:tc>
          <w:tcPr>
            <w:tcW w:w="734" w:type="dxa"/>
            <w:tcBorders>
              <w:left w:val="single" w:color="000000" w:sz="2" w:space="0"/>
              <w:right w:val="nil"/>
            </w:tcBorders>
            <w:vAlign w:val="top"/>
          </w:tcPr>
          <w:p w14:paraId="433B91E5">
            <w:pPr>
              <w:rPr>
                <w:rFonts w:ascii="Arial"/>
                <w:sz w:val="21"/>
              </w:rPr>
            </w:pPr>
          </w:p>
        </w:tc>
      </w:tr>
    </w:tbl>
    <w:p w14:paraId="086E497E">
      <w:pPr>
        <w:pStyle w:val="2"/>
      </w:pPr>
    </w:p>
    <w:p w14:paraId="5C96302D">
      <w:pPr>
        <w:sectPr>
          <w:footerReference r:id="rId80" w:type="default"/>
          <w:pgSz w:w="11907" w:h="16840"/>
          <w:pgMar w:top="1178" w:right="1308" w:bottom="1038" w:left="1309" w:header="870" w:footer="876" w:gutter="0"/>
          <w:cols w:space="720" w:num="1"/>
        </w:sectPr>
      </w:pPr>
    </w:p>
    <w:p w14:paraId="75263E02">
      <w:pPr>
        <w:pStyle w:val="2"/>
        <w:spacing w:line="351" w:lineRule="auto"/>
      </w:pPr>
    </w:p>
    <w:p w14:paraId="2D76D4B9">
      <w:pPr>
        <w:pStyle w:val="2"/>
        <w:spacing w:line="352" w:lineRule="auto"/>
      </w:pPr>
    </w:p>
    <w:p w14:paraId="458EB3C8">
      <w:pPr>
        <w:spacing w:before="65" w:line="226" w:lineRule="auto"/>
        <w:ind w:left="2924"/>
        <w:rPr>
          <w:rFonts w:ascii="宋体" w:hAnsi="宋体" w:eastAsia="宋体" w:cs="宋体"/>
          <w:sz w:val="20"/>
          <w:szCs w:val="20"/>
        </w:rPr>
      </w:pPr>
      <w:r>
        <w:pict>
          <v:rect id="_x0000_s1074" o:spid="_x0000_s1074" o:spt="1" style="position:absolute;left:0pt;margin-left:0pt;margin-top:16.3pt;height:2.9pt;width:700.35pt;z-index:251705344;mso-width-relative:page;mso-height-relative:page;" fillcolor="#000000" filled="t" stroked="f" coordsize="21600,21600">
            <v:path/>
            <v:fill on="t" focussize="0,0"/>
            <v:stroke on="f"/>
            <v:imagedata o:title=""/>
            <o:lock v:ext="edit"/>
          </v:rect>
        </w:pict>
      </w: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654522B3">
      <w:pPr>
        <w:spacing w:before="77" w:line="8688" w:lineRule="exact"/>
        <w:ind w:firstLine="860"/>
      </w:pPr>
      <w:r>
        <w:drawing>
          <wp:anchor distT="0" distB="0" distL="0" distR="0" simplePos="0" relativeHeight="251706368" behindDoc="0" locked="0" layoutInCell="1" allowOverlap="1">
            <wp:simplePos x="0" y="0"/>
            <wp:positionH relativeFrom="column">
              <wp:posOffset>7223125</wp:posOffset>
            </wp:positionH>
            <wp:positionV relativeFrom="paragraph">
              <wp:posOffset>155575</wp:posOffset>
            </wp:positionV>
            <wp:extent cx="1017905" cy="1022350"/>
            <wp:effectExtent l="0" t="0" r="0" b="0"/>
            <wp:wrapNone/>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584"/>
                    <a:stretch>
                      <a:fillRect/>
                    </a:stretch>
                  </pic:blipFill>
                  <pic:spPr>
                    <a:xfrm>
                      <a:off x="0" y="0"/>
                      <a:ext cx="1018031" cy="1022604"/>
                    </a:xfrm>
                    <a:prstGeom prst="rect">
                      <a:avLst/>
                    </a:prstGeom>
                  </pic:spPr>
                </pic:pic>
              </a:graphicData>
            </a:graphic>
          </wp:anchor>
        </w:drawing>
      </w:r>
      <w:r>
        <w:rPr>
          <w:position w:val="-173"/>
        </w:rPr>
        <w:drawing>
          <wp:inline distT="0" distB="0" distL="0" distR="0">
            <wp:extent cx="7800975" cy="5516245"/>
            <wp:effectExtent l="0" t="0" r="0" b="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585"/>
                    <a:stretch>
                      <a:fillRect/>
                    </a:stretch>
                  </pic:blipFill>
                  <pic:spPr>
                    <a:xfrm>
                      <a:off x="0" y="0"/>
                      <a:ext cx="7801356" cy="5516879"/>
                    </a:xfrm>
                    <a:prstGeom prst="rect">
                      <a:avLst/>
                    </a:prstGeom>
                  </pic:spPr>
                </pic:pic>
              </a:graphicData>
            </a:graphic>
          </wp:inline>
        </w:drawing>
      </w:r>
    </w:p>
    <w:p w14:paraId="01FAC294">
      <w:pPr>
        <w:spacing w:before="30" w:line="226" w:lineRule="auto"/>
        <w:ind w:left="5101"/>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27"/>
          <w:sz w:val="20"/>
          <w:szCs w:val="20"/>
        </w:rPr>
        <w:t xml:space="preserve"> </w:t>
      </w:r>
      <w:r>
        <w:rPr>
          <w:rFonts w:ascii="Times New Roman" w:hAnsi="Times New Roman" w:eastAsia="Times New Roman" w:cs="Times New Roman"/>
          <w:b/>
          <w:bCs/>
          <w:spacing w:val="4"/>
          <w:sz w:val="20"/>
          <w:szCs w:val="20"/>
        </w:rPr>
        <w:t xml:space="preserve">1.7-1        </w:t>
      </w:r>
      <w:r>
        <w:rPr>
          <w:rFonts w:ascii="宋体" w:hAnsi="宋体" w:eastAsia="宋体" w:cs="宋体"/>
          <w:b/>
          <w:bCs/>
          <w:spacing w:val="4"/>
          <w:sz w:val="20"/>
          <w:szCs w:val="20"/>
        </w:rPr>
        <w:t>本项目评价范围及环保目标图</w:t>
      </w:r>
    </w:p>
    <w:p w14:paraId="6E5E1819">
      <w:pPr>
        <w:spacing w:line="226" w:lineRule="auto"/>
        <w:rPr>
          <w:rFonts w:ascii="宋体" w:hAnsi="宋体" w:eastAsia="宋体" w:cs="宋体"/>
          <w:sz w:val="20"/>
          <w:szCs w:val="20"/>
        </w:rPr>
        <w:sectPr>
          <w:headerReference r:id="rId81" w:type="default"/>
          <w:footerReference r:id="rId82" w:type="default"/>
          <w:pgSz w:w="16840" w:h="11907"/>
          <w:pgMar w:top="400" w:right="1416" w:bottom="1181" w:left="1417" w:header="0" w:footer="1019" w:gutter="0"/>
          <w:cols w:space="720" w:num="1"/>
        </w:sectPr>
      </w:pPr>
    </w:p>
    <w:p w14:paraId="365B6D84">
      <w:pPr>
        <w:spacing w:before="234" w:line="227" w:lineRule="auto"/>
        <w:ind w:left="2381"/>
        <w:outlineLvl w:val="0"/>
        <w:rPr>
          <w:rFonts w:ascii="黑体" w:hAnsi="黑体" w:eastAsia="黑体" w:cs="黑体"/>
          <w:sz w:val="35"/>
          <w:szCs w:val="35"/>
        </w:rPr>
      </w:pPr>
      <w:r>
        <w:pict>
          <v:shape id="_x0000_s1075" o:spid="_x0000_s1075" style="position:absolute;left:0pt;margin-left:70.85pt;margin-top:62.5pt;height:0.75pt;width:453.65pt;mso-position-horizontal-relative:page;mso-position-vertical-relative:page;z-index:251707392;mso-width-relative:page;mso-height-relative:page;" fillcolor="#000000" filled="t" stroked="f" coordsize="9072,15" o:allowincell="f" path="m0,0l9072,0,9072,14,0,14,0,0xe">
            <v:path/>
            <v:fill on="t" focussize="0,0"/>
            <v:stroke on="f"/>
            <v:imagedata o:title=""/>
            <o:lock v:ext="edit"/>
          </v:shape>
        </w:pict>
      </w:r>
      <w:bookmarkStart w:id="308" w:name="bookmark86"/>
      <w:bookmarkEnd w:id="308"/>
      <w:bookmarkStart w:id="309" w:name="bookmark84"/>
      <w:bookmarkEnd w:id="309"/>
      <w:r>
        <w:rPr>
          <w:rFonts w:ascii="黑体" w:hAnsi="黑体" w:eastAsia="黑体" w:cs="黑体"/>
          <w:b/>
          <w:bCs/>
          <w:spacing w:val="6"/>
          <w:sz w:val="35"/>
          <w:szCs w:val="35"/>
        </w:rPr>
        <w:t>第二章</w:t>
      </w:r>
      <w:r>
        <w:rPr>
          <w:rFonts w:ascii="黑体" w:hAnsi="黑体" w:eastAsia="黑体" w:cs="黑体"/>
          <w:spacing w:val="6"/>
          <w:sz w:val="35"/>
          <w:szCs w:val="35"/>
        </w:rPr>
        <w:t xml:space="preserve">  </w:t>
      </w:r>
      <w:r>
        <w:rPr>
          <w:rFonts w:ascii="黑体" w:hAnsi="黑体" w:eastAsia="黑体" w:cs="黑体"/>
          <w:b/>
          <w:bCs/>
          <w:spacing w:val="6"/>
          <w:sz w:val="35"/>
          <w:szCs w:val="35"/>
        </w:rPr>
        <w:t>建设项目工程分析</w:t>
      </w:r>
    </w:p>
    <w:p w14:paraId="535B47E2">
      <w:pPr>
        <w:pStyle w:val="2"/>
        <w:spacing w:line="404" w:lineRule="auto"/>
      </w:pPr>
    </w:p>
    <w:p w14:paraId="01BE6C15">
      <w:pPr>
        <w:spacing w:before="101" w:line="226" w:lineRule="auto"/>
        <w:ind w:left="6"/>
        <w:outlineLvl w:val="1"/>
        <w:rPr>
          <w:rFonts w:ascii="黑体" w:hAnsi="黑体" w:eastAsia="黑体" w:cs="黑体"/>
          <w:sz w:val="31"/>
          <w:szCs w:val="31"/>
        </w:rPr>
      </w:pPr>
      <w:bookmarkStart w:id="310" w:name="bookmark88"/>
      <w:bookmarkEnd w:id="310"/>
      <w:r>
        <w:rPr>
          <w:rFonts w:ascii="Times New Roman" w:hAnsi="Times New Roman" w:eastAsia="Times New Roman" w:cs="Times New Roman"/>
          <w:b/>
          <w:bCs/>
          <w:spacing w:val="5"/>
          <w:sz w:val="31"/>
          <w:szCs w:val="31"/>
        </w:rPr>
        <w:t xml:space="preserve">2.1 </w:t>
      </w:r>
      <w:r>
        <w:rPr>
          <w:rFonts w:ascii="黑体" w:hAnsi="黑体" w:eastAsia="黑体" w:cs="黑体"/>
          <w:b/>
          <w:bCs/>
          <w:spacing w:val="5"/>
          <w:sz w:val="31"/>
          <w:szCs w:val="31"/>
        </w:rPr>
        <w:t>建设项目概况</w:t>
      </w:r>
    </w:p>
    <w:p w14:paraId="0F6BD139">
      <w:pPr>
        <w:spacing w:before="235" w:line="222" w:lineRule="auto"/>
        <w:ind w:left="5"/>
        <w:outlineLvl w:val="2"/>
        <w:rPr>
          <w:rFonts w:ascii="黑体" w:hAnsi="黑体" w:eastAsia="黑体" w:cs="黑体"/>
          <w:sz w:val="30"/>
          <w:szCs w:val="30"/>
        </w:rPr>
      </w:pPr>
      <w:r>
        <w:rPr>
          <w:rFonts w:ascii="Times New Roman" w:hAnsi="Times New Roman" w:eastAsia="Times New Roman" w:cs="Times New Roman"/>
          <w:spacing w:val="-1"/>
          <w:sz w:val="30"/>
          <w:szCs w:val="30"/>
        </w:rPr>
        <w:t xml:space="preserve">2.1.1 </w:t>
      </w:r>
      <w:r>
        <w:rPr>
          <w:rFonts w:ascii="黑体" w:hAnsi="黑体" w:eastAsia="黑体" w:cs="黑体"/>
          <w:spacing w:val="-1"/>
          <w:sz w:val="30"/>
          <w:szCs w:val="30"/>
        </w:rPr>
        <w:t>项目基本情况</w:t>
      </w:r>
    </w:p>
    <w:p w14:paraId="11197E98">
      <w:pPr>
        <w:spacing w:before="214" w:line="347" w:lineRule="auto"/>
        <w:ind w:left="12" w:right="1" w:firstLine="480"/>
        <w:rPr>
          <w:rFonts w:ascii="宋体" w:hAnsi="宋体" w:eastAsia="宋体" w:cs="宋体"/>
          <w:sz w:val="24"/>
          <w:szCs w:val="24"/>
        </w:rPr>
      </w:pPr>
      <w:r>
        <w:rPr>
          <w:rFonts w:ascii="宋体" w:hAnsi="宋体" w:eastAsia="宋体" w:cs="宋体"/>
          <w:b/>
          <w:bCs/>
          <w:spacing w:val="1"/>
          <w:sz w:val="24"/>
          <w:szCs w:val="24"/>
        </w:rPr>
        <w:t>项目名称：</w:t>
      </w:r>
      <w:r>
        <w:rPr>
          <w:rFonts w:ascii="宋体" w:hAnsi="宋体" w:eastAsia="宋体" w:cs="宋体"/>
          <w:spacing w:val="1"/>
          <w:sz w:val="24"/>
          <w:szCs w:val="24"/>
        </w:rPr>
        <w:t>内蒙古新创发展科技有限公司一期</w:t>
      </w:r>
      <w:r>
        <w:rPr>
          <w:rFonts w:ascii="宋体" w:hAnsi="宋体" w:eastAsia="宋体" w:cs="宋体"/>
          <w:spacing w:val="-27"/>
          <w:sz w:val="24"/>
          <w:szCs w:val="24"/>
        </w:rPr>
        <w:t xml:space="preserve"> </w:t>
      </w:r>
      <w:r>
        <w:rPr>
          <w:rFonts w:ascii="Times New Roman" w:hAnsi="Times New Roman" w:eastAsia="Times New Roman" w:cs="Times New Roman"/>
          <w:spacing w:val="1"/>
          <w:sz w:val="24"/>
          <w:szCs w:val="24"/>
        </w:rPr>
        <w:t>6×36</w:t>
      </w:r>
      <w:r>
        <w:rPr>
          <w:rFonts w:ascii="Times New Roman" w:hAnsi="Times New Roman" w:eastAsia="Times New Roman" w:cs="Times New Roman"/>
          <w:sz w:val="24"/>
          <w:szCs w:val="24"/>
        </w:rPr>
        <w:t>MW</w:t>
      </w:r>
      <w:r>
        <w:rPr>
          <w:rFonts w:ascii="Times New Roman" w:hAnsi="Times New Roman" w:eastAsia="Times New Roman" w:cs="Times New Roman"/>
          <w:spacing w:val="1"/>
          <w:sz w:val="24"/>
          <w:szCs w:val="24"/>
        </w:rPr>
        <w:t xml:space="preserve"> </w:t>
      </w:r>
      <w:r>
        <w:rPr>
          <w:rFonts w:ascii="宋体" w:hAnsi="宋体" w:eastAsia="宋体" w:cs="宋体"/>
          <w:spacing w:val="1"/>
          <w:sz w:val="24"/>
          <w:szCs w:val="24"/>
        </w:rPr>
        <w:t>直流锰硅合金全密闭电炉</w:t>
      </w:r>
      <w:r>
        <w:rPr>
          <w:rFonts w:ascii="宋体" w:hAnsi="宋体" w:eastAsia="宋体" w:cs="宋体"/>
          <w:sz w:val="24"/>
          <w:szCs w:val="24"/>
        </w:rPr>
        <w:t xml:space="preserve"> </w:t>
      </w:r>
      <w:r>
        <w:rPr>
          <w:rFonts w:ascii="宋体" w:hAnsi="宋体" w:eastAsia="宋体" w:cs="宋体"/>
          <w:spacing w:val="-5"/>
          <w:sz w:val="24"/>
          <w:szCs w:val="24"/>
        </w:rPr>
        <w:t>项目；</w:t>
      </w:r>
    </w:p>
    <w:p w14:paraId="15568162">
      <w:pPr>
        <w:spacing w:before="33" w:line="219" w:lineRule="auto"/>
        <w:ind w:left="491"/>
        <w:rPr>
          <w:rFonts w:ascii="宋体" w:hAnsi="宋体" w:eastAsia="宋体" w:cs="宋体"/>
          <w:sz w:val="24"/>
          <w:szCs w:val="24"/>
        </w:rPr>
      </w:pPr>
      <w:r>
        <w:rPr>
          <w:rFonts w:ascii="宋体" w:hAnsi="宋体" w:eastAsia="宋体" w:cs="宋体"/>
          <w:b/>
          <w:bCs/>
          <w:spacing w:val="-2"/>
          <w:sz w:val="24"/>
          <w:szCs w:val="24"/>
        </w:rPr>
        <w:t>建设单位：</w:t>
      </w:r>
      <w:r>
        <w:rPr>
          <w:rFonts w:ascii="宋体" w:hAnsi="宋体" w:eastAsia="宋体" w:cs="宋体"/>
          <w:spacing w:val="-2"/>
          <w:sz w:val="24"/>
          <w:szCs w:val="24"/>
        </w:rPr>
        <w:t>内蒙古新创发展科技有限公司；</w:t>
      </w:r>
    </w:p>
    <w:p w14:paraId="09067899">
      <w:pPr>
        <w:spacing w:before="182" w:line="350" w:lineRule="auto"/>
        <w:ind w:left="2" w:firstLine="488"/>
        <w:rPr>
          <w:rFonts w:ascii="宋体" w:hAnsi="宋体" w:eastAsia="宋体" w:cs="宋体"/>
          <w:sz w:val="24"/>
          <w:szCs w:val="24"/>
        </w:rPr>
      </w:pPr>
      <w:r>
        <w:rPr>
          <w:rFonts w:ascii="宋体" w:hAnsi="宋体" w:eastAsia="宋体" w:cs="宋体"/>
          <w:b/>
          <w:bCs/>
          <w:spacing w:val="5"/>
          <w:sz w:val="24"/>
          <w:szCs w:val="24"/>
        </w:rPr>
        <w:t>建设地点：</w:t>
      </w:r>
      <w:r>
        <w:rPr>
          <w:rFonts w:ascii="宋体" w:hAnsi="宋体" w:eastAsia="宋体" w:cs="宋体"/>
          <w:spacing w:val="5"/>
          <w:sz w:val="24"/>
          <w:szCs w:val="24"/>
        </w:rPr>
        <w:t>锡林郭勒盟苏尼特右旗朱日和工业园区南区冶金</w:t>
      </w:r>
      <w:r>
        <w:rPr>
          <w:rFonts w:ascii="宋体" w:hAnsi="宋体" w:eastAsia="宋体" w:cs="宋体"/>
          <w:spacing w:val="4"/>
          <w:sz w:val="24"/>
          <w:szCs w:val="24"/>
        </w:rPr>
        <w:t>产业园，中心坐标为</w:t>
      </w:r>
      <w:r>
        <w:rPr>
          <w:rFonts w:ascii="宋体" w:hAnsi="宋体" w:eastAsia="宋体" w:cs="宋体"/>
          <w:sz w:val="24"/>
          <w:szCs w:val="24"/>
        </w:rPr>
        <w:t xml:space="preserve"> </w:t>
      </w:r>
      <w:r>
        <w:rPr>
          <w:rFonts w:ascii="Times New Roman" w:hAnsi="Times New Roman" w:eastAsia="Times New Roman" w:cs="Times New Roman"/>
          <w:spacing w:val="-1"/>
          <w:sz w:val="24"/>
          <w:szCs w:val="24"/>
        </w:rPr>
        <w:t>42°25'53.22"</w:t>
      </w:r>
      <w:r>
        <w:rPr>
          <w:rFonts w:ascii="宋体" w:hAnsi="宋体" w:eastAsia="宋体" w:cs="宋体"/>
          <w:spacing w:val="-1"/>
          <w:sz w:val="24"/>
          <w:szCs w:val="24"/>
        </w:rPr>
        <w:t>北，</w:t>
      </w:r>
      <w:r>
        <w:rPr>
          <w:rFonts w:ascii="Times New Roman" w:hAnsi="Times New Roman" w:eastAsia="Times New Roman" w:cs="Times New Roman"/>
          <w:spacing w:val="-1"/>
          <w:sz w:val="24"/>
          <w:szCs w:val="24"/>
        </w:rPr>
        <w:t>112°53'47.40"</w:t>
      </w:r>
      <w:r>
        <w:rPr>
          <w:rFonts w:ascii="宋体" w:hAnsi="宋体" w:eastAsia="宋体" w:cs="宋体"/>
          <w:spacing w:val="-1"/>
          <w:sz w:val="24"/>
          <w:szCs w:val="24"/>
        </w:rPr>
        <w:t>东。项目厂区南侧紧邻苏尼特右旗新蒙新材料有限公司，</w:t>
      </w:r>
      <w:r>
        <w:rPr>
          <w:rFonts w:ascii="宋体" w:hAnsi="宋体" w:eastAsia="宋体" w:cs="宋体"/>
          <w:spacing w:val="4"/>
          <w:sz w:val="24"/>
          <w:szCs w:val="24"/>
        </w:rPr>
        <w:t xml:space="preserve"> </w:t>
      </w:r>
      <w:r>
        <w:rPr>
          <w:rFonts w:ascii="宋体" w:hAnsi="宋体" w:eastAsia="宋体" w:cs="宋体"/>
          <w:spacing w:val="-2"/>
          <w:sz w:val="24"/>
          <w:szCs w:val="24"/>
        </w:rPr>
        <w:t>东侧为空地，西侧临近</w:t>
      </w:r>
      <w:r>
        <w:rPr>
          <w:rFonts w:ascii="宋体" w:hAnsi="宋体" w:eastAsia="宋体" w:cs="宋体"/>
          <w:spacing w:val="-47"/>
          <w:sz w:val="24"/>
          <w:szCs w:val="24"/>
        </w:rPr>
        <w:t xml:space="preserve"> </w:t>
      </w:r>
      <w:r>
        <w:rPr>
          <w:rFonts w:ascii="Times New Roman" w:hAnsi="Times New Roman" w:eastAsia="Times New Roman" w:cs="Times New Roman"/>
          <w:spacing w:val="-2"/>
          <w:sz w:val="24"/>
          <w:szCs w:val="24"/>
        </w:rPr>
        <w:t>G208</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，北侧为园区变电站。</w:t>
      </w:r>
    </w:p>
    <w:p w14:paraId="749F361C">
      <w:pPr>
        <w:spacing w:before="34" w:line="219" w:lineRule="auto"/>
        <w:ind w:left="492"/>
        <w:rPr>
          <w:rFonts w:ascii="宋体" w:hAnsi="宋体" w:eastAsia="宋体" w:cs="宋体"/>
          <w:sz w:val="24"/>
          <w:szCs w:val="24"/>
        </w:rPr>
      </w:pPr>
      <w:r>
        <w:rPr>
          <w:rFonts w:ascii="宋体" w:hAnsi="宋体" w:eastAsia="宋体" w:cs="宋体"/>
          <w:spacing w:val="-2"/>
          <w:sz w:val="24"/>
          <w:szCs w:val="24"/>
        </w:rPr>
        <w:t>项目地理位置见图</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2.1-1</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，项目四邻位置关系图详见图</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2.1-2</w:t>
      </w:r>
      <w:r>
        <w:rPr>
          <w:rFonts w:ascii="宋体" w:hAnsi="宋体" w:eastAsia="宋体" w:cs="宋体"/>
          <w:spacing w:val="-2"/>
          <w:sz w:val="24"/>
          <w:szCs w:val="24"/>
        </w:rPr>
        <w:t>。</w:t>
      </w:r>
    </w:p>
    <w:p w14:paraId="002BFAE4">
      <w:pPr>
        <w:spacing w:before="182" w:line="353" w:lineRule="auto"/>
        <w:ind w:left="9" w:right="1" w:firstLine="481"/>
        <w:rPr>
          <w:rFonts w:ascii="宋体" w:hAnsi="宋体" w:eastAsia="宋体" w:cs="宋体"/>
          <w:sz w:val="24"/>
          <w:szCs w:val="24"/>
        </w:rPr>
      </w:pPr>
      <w:r>
        <w:rPr>
          <w:rFonts w:ascii="宋体" w:hAnsi="宋体" w:eastAsia="宋体" w:cs="宋体"/>
          <w:b/>
          <w:bCs/>
          <w:spacing w:val="-1"/>
          <w:sz w:val="24"/>
          <w:szCs w:val="24"/>
        </w:rPr>
        <w:t>建设规模：</w:t>
      </w:r>
      <w:r>
        <w:rPr>
          <w:rFonts w:ascii="宋体" w:hAnsi="宋体" w:eastAsia="宋体" w:cs="宋体"/>
          <w:spacing w:val="-1"/>
          <w:sz w:val="24"/>
          <w:szCs w:val="24"/>
        </w:rPr>
        <w:t>拟建</w:t>
      </w:r>
      <w:r>
        <w:rPr>
          <w:rFonts w:ascii="Times New Roman" w:hAnsi="Times New Roman" w:eastAsia="Times New Roman" w:cs="Times New Roman"/>
          <w:spacing w:val="-1"/>
          <w:sz w:val="24"/>
          <w:szCs w:val="24"/>
        </w:rPr>
        <w:t>6</w:t>
      </w:r>
      <w:r>
        <w:rPr>
          <w:rFonts w:ascii="宋体" w:hAnsi="宋体" w:eastAsia="宋体" w:cs="宋体"/>
          <w:spacing w:val="-1"/>
          <w:sz w:val="24"/>
          <w:szCs w:val="24"/>
        </w:rPr>
        <w:t>台</w:t>
      </w:r>
      <w:r>
        <w:rPr>
          <w:rFonts w:ascii="Times New Roman" w:hAnsi="Times New Roman" w:eastAsia="Times New Roman" w:cs="Times New Roman"/>
          <w:spacing w:val="-1"/>
          <w:sz w:val="24"/>
          <w:szCs w:val="24"/>
        </w:rPr>
        <w:t>36MW</w:t>
      </w:r>
      <w:r>
        <w:rPr>
          <w:rFonts w:ascii="宋体" w:hAnsi="宋体" w:eastAsia="宋体" w:cs="宋体"/>
          <w:spacing w:val="-1"/>
          <w:sz w:val="24"/>
          <w:szCs w:val="24"/>
        </w:rPr>
        <w:t>直流锰硅合金全密闭电炉装置，年产</w:t>
      </w:r>
      <w:r>
        <w:rPr>
          <w:rFonts w:ascii="Times New Roman" w:hAnsi="Times New Roman" w:eastAsia="Times New Roman" w:cs="Times New Roman"/>
          <w:spacing w:val="-1"/>
          <w:sz w:val="24"/>
          <w:szCs w:val="24"/>
        </w:rPr>
        <w:t>45</w:t>
      </w:r>
      <w:r>
        <w:rPr>
          <w:rFonts w:ascii="宋体" w:hAnsi="宋体" w:eastAsia="宋体" w:cs="宋体"/>
          <w:spacing w:val="-1"/>
          <w:sz w:val="24"/>
          <w:szCs w:val="24"/>
        </w:rPr>
        <w:t>万吨锰硅合金产</w:t>
      </w:r>
      <w:r>
        <w:rPr>
          <w:rFonts w:ascii="宋体" w:hAnsi="宋体" w:eastAsia="宋体" w:cs="宋体"/>
          <w:spacing w:val="8"/>
          <w:sz w:val="24"/>
          <w:szCs w:val="24"/>
        </w:rPr>
        <w:t xml:space="preserve">  </w:t>
      </w:r>
      <w:r>
        <w:rPr>
          <w:rFonts w:ascii="宋体" w:hAnsi="宋体" w:eastAsia="宋体" w:cs="宋体"/>
          <w:sz w:val="24"/>
          <w:szCs w:val="24"/>
        </w:rPr>
        <w:t>品，配套</w:t>
      </w:r>
      <w:r>
        <w:rPr>
          <w:rFonts w:ascii="Times New Roman" w:hAnsi="Times New Roman" w:eastAsia="Times New Roman" w:cs="Times New Roman"/>
          <w:sz w:val="24"/>
          <w:szCs w:val="24"/>
        </w:rPr>
        <w:t>1</w:t>
      </w:r>
      <w:r>
        <w:rPr>
          <w:rFonts w:ascii="宋体" w:hAnsi="宋体" w:eastAsia="宋体" w:cs="宋体"/>
          <w:sz w:val="24"/>
          <w:szCs w:val="24"/>
        </w:rPr>
        <w:t>台</w:t>
      </w:r>
      <w:r>
        <w:rPr>
          <w:rFonts w:ascii="Times New Roman" w:hAnsi="Times New Roman" w:eastAsia="Times New Roman" w:cs="Times New Roman"/>
          <w:sz w:val="24"/>
          <w:szCs w:val="24"/>
        </w:rPr>
        <w:t>60m</w:t>
      </w:r>
      <w:r>
        <w:rPr>
          <w:rFonts w:ascii="Times New Roman" w:hAnsi="Times New Roman" w:eastAsia="Times New Roman" w:cs="Times New Roman"/>
          <w:position w:val="8"/>
          <w:sz w:val="15"/>
          <w:szCs w:val="15"/>
        </w:rPr>
        <w:t>2</w:t>
      </w:r>
      <w:r>
        <w:rPr>
          <w:rFonts w:ascii="宋体" w:hAnsi="宋体" w:eastAsia="宋体" w:cs="宋体"/>
          <w:sz w:val="24"/>
          <w:szCs w:val="24"/>
        </w:rPr>
        <w:t>带式烧结机、一套锰矿烘干系统、</w:t>
      </w:r>
      <w:r>
        <w:rPr>
          <w:rFonts w:ascii="Times New Roman" w:hAnsi="Times New Roman" w:eastAsia="Times New Roman" w:cs="Times New Roman"/>
          <w:sz w:val="24"/>
          <w:szCs w:val="24"/>
        </w:rPr>
        <w:t>1</w:t>
      </w:r>
      <w:r>
        <w:rPr>
          <w:rFonts w:ascii="宋体" w:hAnsi="宋体" w:eastAsia="宋体" w:cs="宋体"/>
          <w:sz w:val="24"/>
          <w:szCs w:val="24"/>
        </w:rPr>
        <w:t>台</w:t>
      </w:r>
      <w:r>
        <w:rPr>
          <w:rFonts w:ascii="Times New Roman" w:hAnsi="Times New Roman" w:eastAsia="Times New Roman" w:cs="Times New Roman"/>
          <w:sz w:val="24"/>
          <w:szCs w:val="24"/>
        </w:rPr>
        <w:t>200t/h</w:t>
      </w:r>
      <w:r>
        <w:rPr>
          <w:rFonts w:ascii="宋体" w:hAnsi="宋体" w:eastAsia="宋体" w:cs="宋体"/>
          <w:sz w:val="24"/>
          <w:szCs w:val="24"/>
        </w:rPr>
        <w:t>高温超</w:t>
      </w:r>
      <w:r>
        <w:rPr>
          <w:rFonts w:ascii="宋体" w:hAnsi="宋体" w:eastAsia="宋体" w:cs="宋体"/>
          <w:spacing w:val="-1"/>
          <w:sz w:val="24"/>
          <w:szCs w:val="24"/>
        </w:rPr>
        <w:t>高压带一次再热废</w:t>
      </w:r>
      <w:r>
        <w:rPr>
          <w:rFonts w:ascii="宋体" w:hAnsi="宋体" w:eastAsia="宋体" w:cs="宋体"/>
          <w:sz w:val="24"/>
          <w:szCs w:val="24"/>
        </w:rPr>
        <w:t xml:space="preserve"> 气锅炉和</w:t>
      </w:r>
      <w:r>
        <w:rPr>
          <w:rFonts w:ascii="Times New Roman" w:hAnsi="Times New Roman" w:eastAsia="Times New Roman" w:cs="Times New Roman"/>
          <w:sz w:val="24"/>
          <w:szCs w:val="24"/>
        </w:rPr>
        <w:t>1</w:t>
      </w:r>
      <w:r>
        <w:rPr>
          <w:rFonts w:ascii="宋体" w:hAnsi="宋体" w:eastAsia="宋体" w:cs="宋体"/>
          <w:sz w:val="24"/>
          <w:szCs w:val="24"/>
        </w:rPr>
        <w:t>台</w:t>
      </w:r>
      <w:r>
        <w:rPr>
          <w:rFonts w:ascii="Times New Roman" w:hAnsi="Times New Roman" w:eastAsia="Times New Roman" w:cs="Times New Roman"/>
          <w:sz w:val="24"/>
          <w:szCs w:val="24"/>
        </w:rPr>
        <w:t>60MW</w:t>
      </w:r>
      <w:r>
        <w:rPr>
          <w:rFonts w:ascii="宋体" w:hAnsi="宋体" w:eastAsia="宋体" w:cs="宋体"/>
          <w:sz w:val="24"/>
          <w:szCs w:val="24"/>
        </w:rPr>
        <w:t>中间一次再热凝汽式汽轮发</w:t>
      </w:r>
      <w:r>
        <w:rPr>
          <w:rFonts w:ascii="宋体" w:hAnsi="宋体" w:eastAsia="宋体" w:cs="宋体"/>
          <w:spacing w:val="-1"/>
          <w:sz w:val="24"/>
          <w:szCs w:val="24"/>
        </w:rPr>
        <w:t>电机组及配套辅助设施，年发电量</w:t>
      </w:r>
      <w:r>
        <w:rPr>
          <w:rFonts w:ascii="Times New Roman" w:hAnsi="Times New Roman" w:eastAsia="Times New Roman" w:cs="Times New Roman"/>
          <w:spacing w:val="-1"/>
          <w:sz w:val="24"/>
          <w:szCs w:val="24"/>
        </w:rPr>
        <w:t>44000</w:t>
      </w:r>
      <w:r>
        <w:rPr>
          <w:rFonts w:ascii="Times New Roman" w:hAnsi="Times New Roman" w:eastAsia="Times New Roman" w:cs="Times New Roman"/>
          <w:sz w:val="24"/>
          <w:szCs w:val="24"/>
        </w:rPr>
        <w:t xml:space="preserve"> </w:t>
      </w:r>
      <w:r>
        <w:rPr>
          <w:rFonts w:ascii="宋体" w:hAnsi="宋体" w:eastAsia="宋体" w:cs="宋体"/>
          <w:spacing w:val="-2"/>
          <w:sz w:val="24"/>
          <w:szCs w:val="24"/>
        </w:rPr>
        <w:t>万</w:t>
      </w:r>
      <w:r>
        <w:rPr>
          <w:rFonts w:ascii="Times New Roman" w:hAnsi="Times New Roman" w:eastAsia="Times New Roman" w:cs="Times New Roman"/>
          <w:spacing w:val="-2"/>
          <w:sz w:val="24"/>
          <w:szCs w:val="24"/>
        </w:rPr>
        <w:t>kWh</w:t>
      </w:r>
      <w:r>
        <w:rPr>
          <w:rFonts w:ascii="宋体" w:hAnsi="宋体" w:eastAsia="宋体" w:cs="宋体"/>
          <w:spacing w:val="-2"/>
          <w:sz w:val="24"/>
          <w:szCs w:val="24"/>
        </w:rPr>
        <w:t>。</w:t>
      </w:r>
    </w:p>
    <w:p w14:paraId="4BBDB0E3">
      <w:pPr>
        <w:spacing w:before="32" w:line="347" w:lineRule="auto"/>
        <w:ind w:left="491" w:right="448"/>
        <w:rPr>
          <w:rFonts w:ascii="宋体" w:hAnsi="宋体" w:eastAsia="宋体" w:cs="宋体"/>
          <w:sz w:val="24"/>
          <w:szCs w:val="24"/>
        </w:rPr>
      </w:pPr>
      <w:r>
        <w:rPr>
          <w:rFonts w:ascii="宋体" w:hAnsi="宋体" w:eastAsia="宋体" w:cs="宋体"/>
          <w:b/>
          <w:bCs/>
          <w:spacing w:val="-3"/>
          <w:sz w:val="24"/>
          <w:szCs w:val="24"/>
        </w:rPr>
        <w:t>工程投资：</w:t>
      </w:r>
      <w:r>
        <w:rPr>
          <w:rFonts w:ascii="宋体" w:hAnsi="宋体" w:eastAsia="宋体" w:cs="宋体"/>
          <w:spacing w:val="-3"/>
          <w:sz w:val="24"/>
          <w:szCs w:val="24"/>
        </w:rPr>
        <w:t>总投资</w:t>
      </w:r>
      <w:r>
        <w:rPr>
          <w:rFonts w:ascii="Times New Roman" w:hAnsi="Times New Roman" w:eastAsia="Times New Roman" w:cs="Times New Roman"/>
          <w:spacing w:val="-3"/>
          <w:sz w:val="24"/>
          <w:szCs w:val="24"/>
        </w:rPr>
        <w:t>120000</w:t>
      </w:r>
      <w:r>
        <w:rPr>
          <w:rFonts w:ascii="宋体" w:hAnsi="宋体" w:eastAsia="宋体" w:cs="宋体"/>
          <w:spacing w:val="-3"/>
          <w:sz w:val="24"/>
          <w:szCs w:val="24"/>
        </w:rPr>
        <w:t>万元，其中环保投资</w:t>
      </w:r>
      <w:r>
        <w:rPr>
          <w:rFonts w:ascii="Times New Roman" w:hAnsi="Times New Roman" w:eastAsia="Times New Roman" w:cs="Times New Roman"/>
          <w:spacing w:val="-3"/>
          <w:sz w:val="24"/>
          <w:szCs w:val="24"/>
        </w:rPr>
        <w:t>1075</w:t>
      </w:r>
      <w:r>
        <w:rPr>
          <w:rFonts w:ascii="宋体" w:hAnsi="宋体" w:eastAsia="宋体" w:cs="宋体"/>
          <w:spacing w:val="-3"/>
          <w:sz w:val="24"/>
          <w:szCs w:val="24"/>
        </w:rPr>
        <w:t>万元，</w:t>
      </w:r>
      <w:r>
        <w:rPr>
          <w:rFonts w:ascii="宋体" w:hAnsi="宋体" w:eastAsia="宋体" w:cs="宋体"/>
          <w:spacing w:val="-56"/>
          <w:sz w:val="24"/>
          <w:szCs w:val="24"/>
        </w:rPr>
        <w:t xml:space="preserve"> </w:t>
      </w:r>
      <w:r>
        <w:rPr>
          <w:rFonts w:ascii="宋体" w:hAnsi="宋体" w:eastAsia="宋体" w:cs="宋体"/>
          <w:spacing w:val="-3"/>
          <w:sz w:val="24"/>
          <w:szCs w:val="24"/>
        </w:rPr>
        <w:t>占总投资的</w:t>
      </w:r>
      <w:r>
        <w:rPr>
          <w:rFonts w:ascii="Times New Roman" w:hAnsi="Times New Roman" w:eastAsia="Times New Roman" w:cs="Times New Roman"/>
          <w:spacing w:val="-3"/>
          <w:sz w:val="24"/>
          <w:szCs w:val="24"/>
        </w:rPr>
        <w:t>0.896%</w:t>
      </w:r>
      <w:r>
        <w:rPr>
          <w:rFonts w:ascii="宋体" w:hAnsi="宋体" w:eastAsia="宋体" w:cs="宋体"/>
          <w:spacing w:val="-3"/>
          <w:sz w:val="24"/>
          <w:szCs w:val="24"/>
        </w:rPr>
        <w:t>。</w:t>
      </w:r>
      <w:r>
        <w:rPr>
          <w:rFonts w:ascii="宋体" w:hAnsi="宋体" w:eastAsia="宋体" w:cs="宋体"/>
          <w:sz w:val="24"/>
          <w:szCs w:val="24"/>
        </w:rPr>
        <w:t xml:space="preserve"> </w:t>
      </w:r>
      <w:r>
        <w:rPr>
          <w:rFonts w:ascii="宋体" w:hAnsi="宋体" w:eastAsia="宋体" w:cs="宋体"/>
          <w:b/>
          <w:bCs/>
          <w:spacing w:val="-4"/>
          <w:sz w:val="24"/>
          <w:szCs w:val="24"/>
        </w:rPr>
        <w:t>建设周期：</w:t>
      </w:r>
      <w:r>
        <w:rPr>
          <w:rFonts w:ascii="宋体" w:hAnsi="宋体" w:eastAsia="宋体" w:cs="宋体"/>
          <w:spacing w:val="-4"/>
          <w:sz w:val="24"/>
          <w:szCs w:val="24"/>
        </w:rPr>
        <w:t>建设工期</w:t>
      </w:r>
      <w:r>
        <w:rPr>
          <w:rFonts w:ascii="宋体" w:hAnsi="宋体" w:eastAsia="宋体" w:cs="宋体"/>
          <w:spacing w:val="-22"/>
          <w:sz w:val="24"/>
          <w:szCs w:val="24"/>
        </w:rPr>
        <w:t xml:space="preserve"> </w:t>
      </w:r>
      <w:r>
        <w:rPr>
          <w:rFonts w:ascii="Times New Roman" w:hAnsi="Times New Roman" w:eastAsia="Times New Roman" w:cs="Times New Roman"/>
          <w:spacing w:val="-4"/>
          <w:sz w:val="24"/>
          <w:szCs w:val="24"/>
        </w:rPr>
        <w:t xml:space="preserve">12 </w:t>
      </w:r>
      <w:r>
        <w:rPr>
          <w:rFonts w:ascii="宋体" w:hAnsi="宋体" w:eastAsia="宋体" w:cs="宋体"/>
          <w:spacing w:val="-4"/>
          <w:sz w:val="24"/>
          <w:szCs w:val="24"/>
        </w:rPr>
        <w:t>个月。</w:t>
      </w:r>
    </w:p>
    <w:p w14:paraId="35CD0369">
      <w:pPr>
        <w:spacing w:before="33" w:line="346" w:lineRule="auto"/>
        <w:ind w:left="494" w:right="1500" w:firstLine="33"/>
        <w:rPr>
          <w:rFonts w:ascii="宋体" w:hAnsi="宋体" w:eastAsia="宋体" w:cs="宋体"/>
          <w:sz w:val="24"/>
          <w:szCs w:val="24"/>
        </w:rPr>
      </w:pPr>
      <w:r>
        <w:rPr>
          <w:rFonts w:ascii="宋体" w:hAnsi="宋体" w:eastAsia="宋体" w:cs="宋体"/>
          <w:b/>
          <w:bCs/>
          <w:spacing w:val="-4"/>
          <w:sz w:val="24"/>
          <w:szCs w:val="24"/>
        </w:rPr>
        <w:t>占地面积：</w:t>
      </w:r>
      <w:r>
        <w:rPr>
          <w:rFonts w:ascii="宋体" w:hAnsi="宋体" w:eastAsia="宋体" w:cs="宋体"/>
          <w:spacing w:val="-4"/>
          <w:sz w:val="24"/>
          <w:szCs w:val="24"/>
        </w:rPr>
        <w:t>厂区总占地面积</w:t>
      </w:r>
      <w:r>
        <w:rPr>
          <w:rFonts w:ascii="宋体" w:hAnsi="宋体" w:eastAsia="宋体" w:cs="宋体"/>
          <w:spacing w:val="-49"/>
          <w:sz w:val="24"/>
          <w:szCs w:val="24"/>
        </w:rPr>
        <w:t xml:space="preserve"> </w:t>
      </w:r>
      <w:r>
        <w:rPr>
          <w:rFonts w:ascii="Times New Roman" w:hAnsi="Times New Roman" w:eastAsia="Times New Roman" w:cs="Times New Roman"/>
          <w:spacing w:val="-4"/>
          <w:sz w:val="24"/>
          <w:szCs w:val="24"/>
        </w:rPr>
        <w:t>266667.0m</w:t>
      </w:r>
      <w:r>
        <w:rPr>
          <w:rFonts w:ascii="Times New Roman" w:hAnsi="Times New Roman" w:eastAsia="Times New Roman" w:cs="Times New Roman"/>
          <w:spacing w:val="-4"/>
          <w:position w:val="8"/>
          <w:sz w:val="15"/>
          <w:szCs w:val="15"/>
        </w:rPr>
        <w:t>2</w:t>
      </w:r>
      <w:r>
        <w:rPr>
          <w:rFonts w:ascii="Times New Roman" w:hAnsi="Times New Roman" w:eastAsia="Times New Roman" w:cs="Times New Roman"/>
          <w:spacing w:val="-10"/>
          <w:position w:val="8"/>
          <w:sz w:val="15"/>
          <w:szCs w:val="15"/>
        </w:rPr>
        <w:t xml:space="preserve"> </w:t>
      </w:r>
      <w:r>
        <w:rPr>
          <w:rFonts w:ascii="宋体" w:hAnsi="宋体" w:eastAsia="宋体" w:cs="宋体"/>
          <w:spacing w:val="-4"/>
          <w:sz w:val="24"/>
          <w:szCs w:val="24"/>
        </w:rPr>
        <w:t>，总建筑面积</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172875.20m</w:t>
      </w:r>
      <w:r>
        <w:rPr>
          <w:rFonts w:ascii="Times New Roman" w:hAnsi="Times New Roman" w:eastAsia="Times New Roman" w:cs="Times New Roman"/>
          <w:spacing w:val="-4"/>
          <w:position w:val="8"/>
          <w:sz w:val="15"/>
          <w:szCs w:val="15"/>
        </w:rPr>
        <w:t>2</w:t>
      </w:r>
      <w:r>
        <w:rPr>
          <w:rFonts w:ascii="宋体" w:hAnsi="宋体" w:eastAsia="宋体" w:cs="宋体"/>
          <w:spacing w:val="-4"/>
          <w:sz w:val="24"/>
          <w:szCs w:val="24"/>
        </w:rPr>
        <w:t>。</w:t>
      </w:r>
      <w:r>
        <w:rPr>
          <w:rFonts w:ascii="宋体" w:hAnsi="宋体" w:eastAsia="宋体" w:cs="宋体"/>
          <w:sz w:val="24"/>
          <w:szCs w:val="24"/>
        </w:rPr>
        <w:t xml:space="preserve"> </w:t>
      </w:r>
      <w:r>
        <w:rPr>
          <w:rFonts w:ascii="宋体" w:hAnsi="宋体" w:eastAsia="宋体" w:cs="宋体"/>
          <w:b/>
          <w:bCs/>
          <w:spacing w:val="1"/>
          <w:sz w:val="24"/>
          <w:szCs w:val="24"/>
        </w:rPr>
        <w:t>劳动定员：</w:t>
      </w:r>
      <w:r>
        <w:rPr>
          <w:rFonts w:ascii="宋体" w:hAnsi="宋体" w:eastAsia="宋体" w:cs="宋体"/>
          <w:spacing w:val="1"/>
          <w:sz w:val="24"/>
          <w:szCs w:val="24"/>
        </w:rPr>
        <w:t>本项目新增劳动定员</w:t>
      </w:r>
      <w:r>
        <w:rPr>
          <w:rFonts w:ascii="Times New Roman" w:hAnsi="Times New Roman" w:eastAsia="Times New Roman" w:cs="Times New Roman"/>
          <w:spacing w:val="1"/>
          <w:sz w:val="24"/>
          <w:szCs w:val="24"/>
        </w:rPr>
        <w:t xml:space="preserve">700 </w:t>
      </w:r>
      <w:r>
        <w:rPr>
          <w:rFonts w:ascii="宋体" w:hAnsi="宋体" w:eastAsia="宋体" w:cs="宋体"/>
          <w:spacing w:val="1"/>
          <w:sz w:val="24"/>
          <w:szCs w:val="24"/>
        </w:rPr>
        <w:t>人。</w:t>
      </w:r>
    </w:p>
    <w:p w14:paraId="1B1C68BD">
      <w:pPr>
        <w:spacing w:before="33" w:line="347" w:lineRule="auto"/>
        <w:ind w:left="19" w:right="1" w:firstLine="471"/>
        <w:rPr>
          <w:rFonts w:ascii="宋体" w:hAnsi="宋体" w:eastAsia="宋体" w:cs="宋体"/>
          <w:sz w:val="24"/>
          <w:szCs w:val="24"/>
        </w:rPr>
      </w:pPr>
      <w:r>
        <w:rPr>
          <w:rFonts w:ascii="宋体" w:hAnsi="宋体" w:eastAsia="宋体" w:cs="宋体"/>
          <w:b/>
          <w:bCs/>
          <w:sz w:val="24"/>
          <w:szCs w:val="24"/>
        </w:rPr>
        <w:t>工作制度：</w:t>
      </w:r>
      <w:r>
        <w:rPr>
          <w:rFonts w:ascii="宋体" w:hAnsi="宋体" w:eastAsia="宋体" w:cs="宋体"/>
          <w:sz w:val="24"/>
          <w:szCs w:val="24"/>
        </w:rPr>
        <w:t>本项目日工作时间</w:t>
      </w:r>
      <w:r>
        <w:rPr>
          <w:rFonts w:ascii="宋体" w:hAnsi="宋体" w:eastAsia="宋体" w:cs="宋体"/>
          <w:spacing w:val="-53"/>
          <w:sz w:val="24"/>
          <w:szCs w:val="24"/>
        </w:rPr>
        <w:t xml:space="preserve"> </w:t>
      </w:r>
      <w:r>
        <w:rPr>
          <w:rFonts w:ascii="Times New Roman" w:hAnsi="Times New Roman" w:eastAsia="Times New Roman" w:cs="Times New Roman"/>
          <w:sz w:val="24"/>
          <w:szCs w:val="24"/>
        </w:rPr>
        <w:t>24</w:t>
      </w:r>
      <w:r>
        <w:rPr>
          <w:rFonts w:ascii="Times New Roman" w:hAnsi="Times New Roman" w:eastAsia="Times New Roman" w:cs="Times New Roman"/>
          <w:spacing w:val="18"/>
          <w:w w:val="101"/>
          <w:sz w:val="24"/>
          <w:szCs w:val="24"/>
        </w:rPr>
        <w:t xml:space="preserve"> </w:t>
      </w:r>
      <w:r>
        <w:rPr>
          <w:rFonts w:ascii="宋体" w:hAnsi="宋体" w:eastAsia="宋体" w:cs="宋体"/>
          <w:sz w:val="24"/>
          <w:szCs w:val="24"/>
        </w:rPr>
        <w:t>小时，每班</w:t>
      </w:r>
      <w:r>
        <w:rPr>
          <w:rFonts w:ascii="宋体" w:hAnsi="宋体" w:eastAsia="宋体" w:cs="宋体"/>
          <w:spacing w:val="-43"/>
          <w:sz w:val="24"/>
          <w:szCs w:val="24"/>
        </w:rPr>
        <w:t xml:space="preserve"> </w:t>
      </w:r>
      <w:r>
        <w:rPr>
          <w:rFonts w:ascii="Times New Roman" w:hAnsi="Times New Roman" w:eastAsia="Times New Roman" w:cs="Times New Roman"/>
          <w:sz w:val="24"/>
          <w:szCs w:val="24"/>
        </w:rPr>
        <w:t>8</w:t>
      </w:r>
      <w:r>
        <w:rPr>
          <w:rFonts w:ascii="Times New Roman" w:hAnsi="Times New Roman" w:eastAsia="Times New Roman" w:cs="Times New Roman"/>
          <w:spacing w:val="18"/>
          <w:sz w:val="24"/>
          <w:szCs w:val="24"/>
        </w:rPr>
        <w:t xml:space="preserve"> </w:t>
      </w:r>
      <w:r>
        <w:rPr>
          <w:rFonts w:ascii="宋体" w:hAnsi="宋体" w:eastAsia="宋体" w:cs="宋体"/>
          <w:spacing w:val="-1"/>
          <w:sz w:val="24"/>
          <w:szCs w:val="24"/>
        </w:rPr>
        <w:t>小时。执行四班三倒制度，年工作</w:t>
      </w:r>
      <w:r>
        <w:rPr>
          <w:rFonts w:ascii="宋体" w:hAnsi="宋体" w:eastAsia="宋体" w:cs="宋体"/>
          <w:sz w:val="24"/>
          <w:szCs w:val="24"/>
        </w:rPr>
        <w:t xml:space="preserve"> </w:t>
      </w:r>
      <w:r>
        <w:rPr>
          <w:rFonts w:ascii="宋体" w:hAnsi="宋体" w:eastAsia="宋体" w:cs="宋体"/>
          <w:spacing w:val="-5"/>
          <w:sz w:val="24"/>
          <w:szCs w:val="24"/>
        </w:rPr>
        <w:t>时间</w:t>
      </w:r>
      <w:r>
        <w:rPr>
          <w:rFonts w:ascii="宋体" w:hAnsi="宋体" w:eastAsia="宋体" w:cs="宋体"/>
          <w:spacing w:val="-47"/>
          <w:sz w:val="24"/>
          <w:szCs w:val="24"/>
        </w:rPr>
        <w:t xml:space="preserve"> </w:t>
      </w:r>
      <w:r>
        <w:rPr>
          <w:rFonts w:ascii="Times New Roman" w:hAnsi="Times New Roman" w:eastAsia="Times New Roman" w:cs="Times New Roman"/>
          <w:spacing w:val="-5"/>
          <w:sz w:val="24"/>
          <w:szCs w:val="24"/>
        </w:rPr>
        <w:t>333</w:t>
      </w:r>
      <w:r>
        <w:rPr>
          <w:rFonts w:ascii="Times New Roman" w:hAnsi="Times New Roman" w:eastAsia="Times New Roman" w:cs="Times New Roman"/>
          <w:spacing w:val="14"/>
          <w:sz w:val="24"/>
          <w:szCs w:val="24"/>
        </w:rPr>
        <w:t xml:space="preserve"> </w:t>
      </w:r>
      <w:r>
        <w:rPr>
          <w:rFonts w:ascii="宋体" w:hAnsi="宋体" w:eastAsia="宋体" w:cs="宋体"/>
          <w:spacing w:val="-5"/>
          <w:sz w:val="24"/>
          <w:szCs w:val="24"/>
        </w:rPr>
        <w:t>天，以</w:t>
      </w:r>
      <w:r>
        <w:rPr>
          <w:rFonts w:ascii="宋体" w:hAnsi="宋体" w:eastAsia="宋体" w:cs="宋体"/>
          <w:spacing w:val="-45"/>
          <w:sz w:val="24"/>
          <w:szCs w:val="24"/>
        </w:rPr>
        <w:t xml:space="preserve"> </w:t>
      </w:r>
      <w:r>
        <w:rPr>
          <w:rFonts w:ascii="Times New Roman" w:hAnsi="Times New Roman" w:eastAsia="Times New Roman" w:cs="Times New Roman"/>
          <w:spacing w:val="-5"/>
          <w:sz w:val="24"/>
          <w:szCs w:val="24"/>
        </w:rPr>
        <w:t>8000</w:t>
      </w:r>
      <w:r>
        <w:rPr>
          <w:rFonts w:ascii="Times New Roman" w:hAnsi="Times New Roman" w:eastAsia="Times New Roman" w:cs="Times New Roman"/>
          <w:spacing w:val="16"/>
          <w:sz w:val="24"/>
          <w:szCs w:val="24"/>
        </w:rPr>
        <w:t xml:space="preserve"> </w:t>
      </w:r>
      <w:r>
        <w:rPr>
          <w:rFonts w:ascii="宋体" w:hAnsi="宋体" w:eastAsia="宋体" w:cs="宋体"/>
          <w:spacing w:val="-5"/>
          <w:sz w:val="24"/>
          <w:szCs w:val="24"/>
        </w:rPr>
        <w:t>小时计。</w:t>
      </w:r>
    </w:p>
    <w:p w14:paraId="03ABB9E1">
      <w:pPr>
        <w:spacing w:line="347" w:lineRule="auto"/>
        <w:rPr>
          <w:rFonts w:ascii="宋体" w:hAnsi="宋体" w:eastAsia="宋体" w:cs="宋体"/>
          <w:sz w:val="24"/>
          <w:szCs w:val="24"/>
        </w:rPr>
        <w:sectPr>
          <w:headerReference r:id="rId83" w:type="default"/>
          <w:footerReference r:id="rId84" w:type="default"/>
          <w:pgSz w:w="11906" w:h="16839"/>
          <w:pgMar w:top="1235" w:right="1416" w:bottom="1070" w:left="1417" w:header="925" w:footer="907" w:gutter="0"/>
          <w:cols w:space="720" w:num="1"/>
        </w:sectPr>
      </w:pPr>
    </w:p>
    <w:p w14:paraId="11C3F20F">
      <w:pPr>
        <w:spacing w:before="56"/>
      </w:pPr>
      <w:r>
        <w:pict>
          <v:shape id="_x0000_s1076" o:spid="_x0000_s1076" style="position:absolute;left:0pt;margin-left:70.9pt;margin-top:62.5pt;height:0.75pt;width:700.1pt;mso-position-horizontal-relative:page;mso-position-vertical-relative:page;z-index:251718656;mso-width-relative:page;mso-height-relative:page;" fillcolor="#000000" filled="t" stroked="f" coordsize="14001,15" o:allowincell="f" path="m0,0l14001,0,14001,14,0,14,0,0xe">
            <v:path/>
            <v:fill on="t" focussize="0,0"/>
            <v:stroke on="f"/>
            <v:imagedata o:title=""/>
            <o:lock v:ext="edit"/>
          </v:shape>
        </w:pict>
      </w:r>
    </w:p>
    <w:p w14:paraId="74CF19EF">
      <w:pPr>
        <w:spacing w:before="55"/>
      </w:pPr>
    </w:p>
    <w:tbl>
      <w:tblPr>
        <w:tblStyle w:val="5"/>
        <w:tblW w:w="140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051"/>
      </w:tblGrid>
      <w:tr w14:paraId="54E220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5" w:hRule="atLeast"/>
        </w:trPr>
        <w:tc>
          <w:tcPr>
            <w:tcW w:w="14051" w:type="dxa"/>
            <w:tcBorders>
              <w:bottom w:val="nil"/>
            </w:tcBorders>
            <w:vAlign w:val="top"/>
          </w:tcPr>
          <w:p w14:paraId="3929BFB3">
            <w:pPr>
              <w:spacing w:line="369" w:lineRule="auto"/>
              <w:rPr>
                <w:rFonts w:ascii="Arial"/>
                <w:sz w:val="21"/>
              </w:rPr>
            </w:pPr>
            <w:r>
              <w:pict>
                <v:rect id="_x0000_s1077" o:spid="_x0000_s1077" o:spt="1" style="position:absolute;left:0pt;margin-left:646.9pt;margin-top:27.85pt;height:2.15pt;width:4.55pt;mso-position-horizontal-relative:page;mso-position-vertical-relative:page;z-index:251720704;mso-width-relative:page;mso-height-relative:page;" fillcolor="#000000" filled="t" stroked="f" coordsize="21600,21600">
                  <v:path/>
                  <v:fill on="t" focussize="0,0"/>
                  <v:stroke on="f"/>
                  <v:imagedata o:title=""/>
                  <o:lock v:ext="edit"/>
                </v:rect>
              </w:pict>
            </w:r>
            <w:r>
              <w:pict>
                <v:shape id="_x0000_s1078" o:spid="_x0000_s1078" style="position:absolute;left:0pt;margin-left:670.65pt;margin-top:22.1pt;height:25.25pt;width:0pt;mso-position-horizontal-relative:page;mso-position-vertical-relative:page;z-index:251734016;mso-width-relative:page;mso-height-relative:page;" filled="f" stroked="t" coordsize="0,505" path="m0,504l0,0e">
                  <v:fill on="f" focussize="0,0"/>
                  <v:stroke weight="0pt" color="#000000" miterlimit="0" endcap="round"/>
                  <v:imagedata o:title=""/>
                  <o:lock v:ext="edit"/>
                </v:shape>
              </w:pict>
            </w:r>
            <w:r>
              <w:pict>
                <v:shape id="_x0000_s1079" o:spid="_x0000_s1079" style="position:absolute;left:0pt;margin-left:671.45pt;margin-top:33.55pt;height:1.3pt;width:0.7pt;mso-position-horizontal-relative:page;mso-position-vertical-relative:page;z-index:251730944;mso-width-relative:page;mso-height-relative:page;" filled="f" stroked="t" coordsize="13,25" path="m4,25l0,21,0,4,4,0,9,0,13,4,13,21,9,25,4,25e">
                  <v:fill on="f" focussize="0,0"/>
                  <v:stroke weight="0pt" color="#000000" miterlimit="0" endcap="round"/>
                  <v:imagedata o:title=""/>
                  <o:lock v:ext="edit"/>
                </v:shape>
              </w:pict>
            </w:r>
            <w:r>
              <w:pict>
                <v:shape id="_x0000_s1080" o:spid="_x0000_s1080" style="position:absolute;left:0pt;margin-left:670.65pt;margin-top:47.3pt;height:0pt;width:27.05pt;mso-position-horizontal-relative:page;mso-position-vertical-relative:page;z-index:251735040;mso-width-relative:page;mso-height-relative:page;" filled="f" stroked="t" coordsize="540,0" path="m0,0l540,0e">
                  <v:fill on="f" focussize="0,0"/>
                  <v:stroke weight="0pt" color="#000000" miterlimit="0" endcap="round"/>
                  <v:imagedata o:title=""/>
                  <o:lock v:ext="edit"/>
                </v:shape>
              </w:pict>
            </w:r>
            <w:r>
              <w:pict>
                <v:shape id="_x0000_s1081" o:spid="_x0000_s1081" style="position:absolute;left:0pt;margin-left:643.65pt;margin-top:47.3pt;height:0pt;width:27.05pt;mso-position-horizontal-relative:page;mso-position-vertical-relative:page;z-index:251731968;mso-width-relative:page;mso-height-relative:page;" filled="f" stroked="t" coordsize="540,0" path="m540,0l0,0e">
                  <v:fill on="f" focussize="0,0"/>
                  <v:stroke weight="0pt" color="#000000" miterlimit="0" endcap="round"/>
                  <v:imagedata o:title=""/>
                  <o:lock v:ext="edit"/>
                </v:shape>
              </w:pict>
            </w:r>
            <w:r>
              <w:pict>
                <v:shape id="_x0000_s1082" o:spid="_x0000_s1082" style="position:absolute;left:0pt;margin-left:657.9pt;margin-top:47.3pt;height:0pt;width:12.8pt;mso-position-horizontal-relative:page;mso-position-vertical-relative:page;z-index:251736064;mso-width-relative:page;mso-height-relative:page;" filled="f" stroked="t" coordsize="256,0" path="m255,0l0,0e">
                  <v:fill on="f" focussize="0,0"/>
                  <v:stroke weight="0pt" color="#000000" miterlimit="0" endcap="round"/>
                  <v:imagedata o:title=""/>
                  <o:lock v:ext="edit"/>
                </v:shape>
              </w:pict>
            </w:r>
            <w:r>
              <w:pict>
                <v:shape id="_x0000_s1083" o:spid="_x0000_s1083" style="position:absolute;left:0pt;margin-left:651.25pt;margin-top:54.7pt;height:0.1pt;width:11.5pt;mso-position-horizontal-relative:page;mso-position-vertical-relative:page;z-index:-251601920;mso-width-relative:page;mso-height-relative:page;" filled="f" stroked="t" coordsize="230,2" path="m229,0l0,1e">
                  <v:fill on="f" focussize="0,0"/>
                  <v:stroke weight="0pt" color="#000000" miterlimit="0" endcap="round"/>
                  <v:imagedata o:title=""/>
                  <o:lock v:ext="edit"/>
                </v:shape>
              </w:pict>
            </w:r>
            <w:r>
              <w:pict>
                <v:shape id="_x0000_s1084" o:spid="_x0000_s1084" style="position:absolute;left:0pt;margin-left:670.6pt;margin-top:47.25pt;height:0.15pt;width:4.25pt;mso-position-horizontal-relative:page;mso-position-vertical-relative:page;z-index:-251602944;mso-width-relative:page;mso-height-relative:page;" filled="f" stroked="t" coordsize="85,3" path="m83,1l1,1e">
                  <v:fill on="f" focussize="0,0"/>
                  <v:stroke weight="0.12pt" color="#FF0000" miterlimit="2" endcap="round"/>
                  <v:imagedata o:title=""/>
                  <o:lock v:ext="edit"/>
                </v:shape>
              </w:pict>
            </w:r>
            <w:r>
              <w:pict>
                <v:shape id="_x0000_s1085" o:spid="_x0000_s1085" style="position:absolute;left:0pt;margin-left:651.2pt;margin-top:54.65pt;height:0.2pt;width:11.6pt;mso-position-horizontal-relative:page;mso-position-vertical-relative:page;z-index:251729920;mso-width-relative:page;mso-height-relative:page;" filled="f" stroked="t" coordsize="232,4" path="m1,2l230,1e">
                  <v:fill on="f" focussize="0,0"/>
                  <v:stroke weight="0.12pt" color="#FF0000" miterlimit="2" endcap="round"/>
                  <v:imagedata o:title=""/>
                  <o:lock v:ext="edit"/>
                </v:shape>
              </w:pict>
            </w:r>
            <w:r>
              <w:pict>
                <v:shape id="_x0000_s1086" o:spid="_x0000_s1086" style="position:absolute;left:0pt;margin-left:657.85pt;margin-top:47.25pt;height:0.15pt;width:12.9pt;mso-position-horizontal-relative:page;mso-position-vertical-relative:page;z-index:251723776;mso-width-relative:page;mso-height-relative:page;" filled="f" stroked="t" coordsize="257,3" path="m1,1l256,1e">
                  <v:fill on="f" focussize="0,0"/>
                  <v:stroke weight="0.12pt" color="#FF0000" miterlimit="2" endcap="round"/>
                  <v:imagedata o:title=""/>
                  <o:lock v:ext="edit"/>
                </v:shape>
              </w:pict>
            </w:r>
            <w:r>
              <w:pict>
                <v:shape id="_x0000_s1087" o:spid="_x0000_s1087" style="position:absolute;left:0pt;margin-left:657.85pt;margin-top:47.25pt;height:0.15pt;width:12.9pt;mso-position-horizontal-relative:page;mso-position-vertical-relative:page;z-index:251738112;mso-width-relative:page;mso-height-relative:page;" filled="f" stroked="t" coordsize="257,3" path="m256,1l1,1e">
                  <v:fill on="f" focussize="0,0"/>
                  <v:stroke weight="0.12pt" color="#FFFF00" miterlimit="2" endcap="round"/>
                  <v:imagedata o:title=""/>
                  <o:lock v:ext="edit"/>
                </v:shape>
              </w:pict>
            </w:r>
            <w:r>
              <w:pict>
                <v:shape id="_x0000_s1088" o:spid="_x0000_s1088" style="position:absolute;left:0pt;margin-left:670.65pt;margin-top:47.3pt;height:25.25pt;width:0pt;mso-position-horizontal-relative:page;mso-position-vertical-relative:page;z-index:251732992;mso-width-relative:page;mso-height-relative:page;" filled="f" stroked="t" coordsize="0,505" path="m0,0l0,504e">
                  <v:fill on="f" focussize="0,0"/>
                  <v:stroke weight="0pt" color="#000000" miterlimit="0" endcap="round"/>
                  <v:imagedata o:title=""/>
                  <o:lock v:ext="edit"/>
                </v:shape>
              </w:pict>
            </w:r>
            <w:r>
              <w:pict>
                <v:group id="_x0000_s1089" o:spid="_x0000_s1089" o:spt="203" style="position:absolute;left:0pt;margin-left:643.65pt;margin-top:22.1pt;height:50.45pt;width:54.05pt;mso-position-horizontal-relative:page;mso-position-vertical-relative:page;z-index:-251598848;mso-width-relative:page;mso-height-relative:page;" coordsize="1080,1009">
                  <o:lock v:ext="edit"/>
                  <v:shape id="_x0000_s1090" o:spid="_x0000_s1090" style="position:absolute;left:0;top:0;height:1009;width:1080;" filled="f" stroked="t" coordsize="1080,1009" path="m1080,504l1070,405,1039,311,989,223,922,147,840,85,747,38,645,9,540,0,435,9,333,38,240,85,158,147,91,223,41,311,10,405,0,504,10,602,41,696,91,784,158,860,240,923,333,969,435,998,540,1008,645,998,747,969,840,923,922,860,989,784,1039,696,1070,602,1080,504m540,504l1039,311m540,504l922,147m540,504l747,38m540,504l333,38m540,504l158,147m540,504l41,311m540,504l41,696m540,504l158,860m540,504l333,969m540,504l747,969m540,504l922,860m540,504l1039,696m810,504l801,438,774,378,731,325,675,285,610,260,540,252,470,260,405,285,349,325,306,378,279,438,270,504,279,569,306,630,349,682,405,722,470,747,540,756,610,747,675,722,731,682,774,630,801,569,810,504m540,504l696,564m540,504l662,617m540,504l574,581m540,504l381,652m540,504l152,654m540,504l380,442m540,504l439,409m622,504l696,564m508,575l381,652m152,654l285,504m285,504l380,442e">
                    <v:fill on="f" focussize="0,0"/>
                    <v:stroke weight="0pt" color="#000000" miterlimit="0" endcap="round"/>
                    <v:imagedata o:title=""/>
                    <o:lock v:ext="edit"/>
                  </v:shape>
                  <v:shape id="_x0000_s1091" o:spid="_x0000_s1091" style="position:absolute;left:540;top:427;height:138;width:156;" fillcolor="#FF0000" filled="t" stroked="f" coordsize="156,138" path="m20,31l0,0,0,77,20,31em55,55l37,42,0,77,55,55em82,77l0,77,155,137,82,77e">
                    <v:path/>
                    <v:fill on="t" focussize="0,0"/>
                    <v:stroke on="f"/>
                    <v:imagedata o:title=""/>
                    <o:lock v:ext="edit"/>
                  </v:shape>
                  <v:shape id="_x0000_s1092" o:spid="_x0000_s1092" style="position:absolute;left:539;top:502;height:63;width:158;" filled="f" stroked="t" coordsize="158,63" path="m1,1l157,61,83,1e">
                    <v:fill on="f" focussize="0,0"/>
                    <v:stroke weight="0.12pt" color="#FF0000" miterlimit="2" endcap="round"/>
                    <v:imagedata o:title=""/>
                    <o:lock v:ext="edit"/>
                  </v:shape>
                  <v:shape id="_x0000_s1093" o:spid="_x0000_s1093" style="position:absolute;left:540;top:504;height:113;width:123;" fillcolor="#FF0000" filled="t" stroked="f" coordsize="123,113" path="m0,0l34,77,122,113,0,0e">
                    <v:path/>
                    <v:fill on="t" focussize="0,0"/>
                    <v:stroke on="f"/>
                    <v:imagedata o:title=""/>
                    <o:lock v:ext="edit"/>
                  </v:shape>
                  <v:shape id="_x0000_s1094" o:spid="_x0000_s1094" style="position:absolute;left:539;top:502;height:116;width:125;" filled="f" stroked="t" coordsize="125,116" path="m1,1l35,78m123,115l1,1e">
                    <v:fill on="f" focussize="0,0"/>
                    <v:stroke weight="0.12pt" color="#FF0000" miterlimit="2" endcap="round"/>
                    <v:imagedata o:title=""/>
                    <o:lock v:ext="edit"/>
                  </v:shape>
                  <v:shape id="_x0000_s1095" o:spid="_x0000_s1095" style="position:absolute;left:152;top:504;height:151;width:389;" fillcolor="#FF0000" filled="t" stroked="f" coordsize="389,151" path="m388,0l356,71,388,55,388,0em388,0l0,150,229,148,388,0e">
                    <v:path/>
                    <v:fill on="t" focussize="0,0"/>
                    <v:stroke on="f"/>
                    <v:imagedata o:title=""/>
                    <o:lock v:ext="edit"/>
                  </v:shape>
                  <v:shape id="_x0000_s1096" o:spid="_x0000_s1096" style="position:absolute;left:150;top:502;height:153;width:390;" filled="f" stroked="t" coordsize="390,153" path="m389,1l1,151m230,149l389,1e">
                    <v:fill on="f" focussize="0,0"/>
                    <v:stroke weight="0.12pt" color="#FF0000" miterlimit="2" endcap="round"/>
                    <v:imagedata o:title=""/>
                    <o:lock v:ext="edit"/>
                  </v:shape>
                  <v:shape id="_x0000_s1097" o:spid="_x0000_s1097" style="position:absolute;left:285;top:442;height:61;width:256;" fillcolor="#FF0000" filled="t" stroked="f" coordsize="256,61" path="m95,0l0,61,255,61,95,0e">
                    <v:path/>
                    <v:fill on="t" focussize="0,0"/>
                    <v:stroke on="f"/>
                    <v:imagedata o:title=""/>
                    <o:lock v:ext="edit"/>
                  </v:shape>
                  <v:shape id="_x0000_s1098" o:spid="_x0000_s1098" style="position:absolute;left:284;top:441;height:64;width:257;" filled="f" stroked="t" coordsize="257,64" path="m96,1l1,62m256,62l96,1e">
                    <v:fill on="f" focussize="0,0"/>
                    <v:stroke weight="0.12pt" color="#FF0000" miterlimit="2" endcap="round"/>
                    <v:imagedata o:title=""/>
                    <o:lock v:ext="edit"/>
                  </v:shape>
                  <v:shape id="_x0000_s1099" o:spid="_x0000_s1099" style="position:absolute;left:439;top:409;height:95;width:101;" fillcolor="#FF0000" filled="t" stroked="f" coordsize="101,95" path="m67,19l0,0,100,94,67,19e">
                    <v:path/>
                    <v:fill on="t" focussize="0,0"/>
                    <v:stroke on="f"/>
                    <v:imagedata o:title=""/>
                    <o:lock v:ext="edit"/>
                  </v:shape>
                  <v:shape id="_x0000_s1100" o:spid="_x0000_s1100" style="position:absolute;left:438;top:408;height:96;width:103;" filled="f" stroked="t" coordsize="103,96" path="m69,20l1,1,102,95,69,20e">
                    <v:fill on="f" focussize="0,0"/>
                    <v:stroke weight="0.12pt" color="#FF0000" miterlimit="2" endcap="round"/>
                    <v:imagedata o:title=""/>
                    <o:lock v:ext="edit"/>
                  </v:shape>
                  <v:shape id="_x0000_s1101" o:spid="_x0000_s1101" style="position:absolute;left:381;top:427;height:226;width:242;" fillcolor="#FFFF00" filled="t" stroked="f" coordsize="242,226" path="m159,0l126,2,159,77,159,0em196,42l179,31,159,77,196,42em214,55l159,77,241,77,214,55em159,77l0,225,127,148,159,77e">
                    <v:path/>
                    <v:fill on="t" focussize="0,0"/>
                    <v:stroke on="f"/>
                    <v:imagedata o:title=""/>
                    <o:lock v:ext="edit"/>
                  </v:shape>
                  <v:shape id="_x0000_s1102" o:spid="_x0000_s1102" style="position:absolute;left:380;top:502;height:151;width:162;" filled="f" stroked="t" coordsize="162,151" path="m160,1l1,149,128,72e">
                    <v:fill on="f" focussize="0,0"/>
                    <v:stroke weight="0.12pt" color="#FFFF00" miterlimit="2" endcap="round"/>
                    <v:imagedata o:title=""/>
                    <o:lock v:ext="edit"/>
                  </v:shape>
                  <v:shape id="_x0000_s1103" o:spid="_x0000_s1103" style="position:absolute;left:540;top:504;height:113;width:156;" fillcolor="#FFFF00" filled="t" stroked="f" coordsize="156,113" path="m0,0l122,113,155,60,0,0e">
                    <v:path/>
                    <v:fill on="t" focussize="0,0"/>
                    <v:stroke on="f"/>
                    <v:imagedata o:title=""/>
                    <o:lock v:ext="edit"/>
                  </v:shape>
                  <v:shape id="_x0000_s1104" o:spid="_x0000_s1104" style="position:absolute;left:539;top:502;height:116;width:158;" filled="f" stroked="t" coordsize="158,116" path="m1,1l123,115m157,61l1,1e">
                    <v:fill on="f" focussize="0,0"/>
                    <v:stroke weight="0.12pt" color="#FFFF00" miterlimit="2" endcap="round"/>
                    <v:imagedata o:title=""/>
                    <o:lock v:ext="edit"/>
                  </v:shape>
                  <v:shape id="_x0000_s1105" o:spid="_x0000_s1105" style="position:absolute;left:540;top:504;height:78;width:35;" fillcolor="#FFFF00" filled="t" stroked="f" coordsize="35,78" path="m0,0l0,55,34,77,0,0e">
                    <v:path/>
                    <v:fill on="t" focussize="0,0"/>
                    <v:stroke on="f"/>
                    <v:imagedata o:title=""/>
                    <o:lock v:ext="edit"/>
                  </v:shape>
                  <v:shape id="_x0000_s1106" o:spid="_x0000_s1106" style="position:absolute;left:539;top:502;height:80;width:37;" filled="f" stroked="t" coordsize="37,80" path="m1,1l1,57,35,78,1,1e">
                    <v:fill on="f" focussize="0,0"/>
                    <v:stroke weight="0.12pt" color="#FFFF00" miterlimit="2" endcap="round"/>
                    <v:imagedata o:title=""/>
                    <o:lock v:ext="edit"/>
                  </v:shape>
                  <v:shape id="_x0000_s1107" o:spid="_x0000_s1107" style="position:absolute;left:152;top:504;height:151;width:389;" fillcolor="#FFFF00" filled="t" stroked="f" coordsize="389,151" path="m388,0l133,0,0,150,388,0e">
                    <v:path/>
                    <v:fill on="t" focussize="0,0"/>
                    <v:stroke on="f"/>
                    <v:imagedata o:title=""/>
                    <o:lock v:ext="edit"/>
                  </v:shape>
                  <v:shape id="_x0000_s1108" o:spid="_x0000_s1108" style="position:absolute;left:150;top:502;height:153;width:390;" filled="f" stroked="t" coordsize="390,153" path="m134,1l1,151,389,1e">
                    <v:fill on="f" focussize="0,0"/>
                    <v:stroke weight="0.12pt" color="#FFFF00" miterlimit="2" endcap="round"/>
                    <v:imagedata o:title=""/>
                    <o:lock v:ext="edit"/>
                  </v:shape>
                  <v:shape id="_x0000_s1109" o:spid="_x0000_s1109" style="position:absolute;left:380;top:409;height:95;width:160;" fillcolor="#FFFF00" filled="t" stroked="f" coordsize="160,95" path="m58,0l0,32,159,94,58,0e">
                    <v:path/>
                    <v:fill on="t" focussize="0,0"/>
                    <v:stroke on="f"/>
                    <v:imagedata o:title=""/>
                    <o:lock v:ext="edit"/>
                  </v:shape>
                  <v:shape id="_x0000_s1110" o:spid="_x0000_s1110" style="position:absolute;left:379;top:408;height:96;width:162;" filled="f" stroked="t" coordsize="162,96" path="m1,33l160,95,59,1e">
                    <v:fill on="f" focussize="0,0"/>
                    <v:stroke weight="0.12pt" color="#FFFF00" miterlimit="2" endcap="round"/>
                    <v:imagedata o:title=""/>
                    <o:lock v:ext="edit"/>
                  </v:shape>
                </v:group>
              </w:pict>
            </w:r>
            <w:r>
              <w:drawing>
                <wp:anchor distT="0" distB="0" distL="0" distR="0" simplePos="0" relativeHeight="251727872" behindDoc="0" locked="0" layoutInCell="1" allowOverlap="1">
                  <wp:simplePos x="0" y="0"/>
                  <wp:positionH relativeFrom="rightMargin">
                    <wp:posOffset>-49530</wp:posOffset>
                  </wp:positionH>
                  <wp:positionV relativeFrom="topMargin">
                    <wp:posOffset>583565</wp:posOffset>
                  </wp:positionV>
                  <wp:extent cx="19050" cy="26670"/>
                  <wp:effectExtent l="0" t="0" r="0" b="0"/>
                  <wp:wrapNone/>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586"/>
                          <a:stretch>
                            <a:fillRect/>
                          </a:stretch>
                        </pic:blipFill>
                        <pic:spPr>
                          <a:xfrm>
                            <a:off x="0" y="0"/>
                            <a:ext cx="19024" cy="26593"/>
                          </a:xfrm>
                          <a:prstGeom prst="rect">
                            <a:avLst/>
                          </a:prstGeom>
                        </pic:spPr>
                      </pic:pic>
                    </a:graphicData>
                  </a:graphic>
                </wp:anchor>
              </w:drawing>
            </w:r>
            <w:r>
              <w:pict>
                <v:shape id="_x0000_s1111" o:spid="_x0000_s1111" style="position:absolute;left:0pt;margin-left:670.65pt;margin-top:42.5pt;height:4.8pt;width:4.15pt;mso-position-horizontal-relative:page;mso-position-vertical-relative:page;z-index:-251607040;mso-width-relative:page;mso-height-relative:page;" filled="f" stroked="t" coordsize="83,96" path="m0,95l0,0m0,95l0,18m0,95l20,50m0,95l37,61m0,95l55,74m0,95l82,95e">
                  <v:fill on="f" focussize="0,0"/>
                  <v:stroke weight="0pt" color="#000000" miterlimit="0" endcap="round"/>
                  <v:imagedata o:title=""/>
                  <o:lock v:ext="edit"/>
                </v:shape>
              </w:pict>
            </w:r>
            <w:r>
              <w:pict>
                <v:shape id="_x0000_s1112" o:spid="_x0000_s1112" style="position:absolute;left:0pt;margin-left:669.1pt;margin-top:47.3pt;height:3.6pt;width:1.6pt;mso-position-horizontal-relative:page;mso-position-vertical-relative:page;z-index:-251600896;mso-width-relative:page;mso-height-relative:page;" filled="f" stroked="t" coordsize="32,71" path="m31,0l31,55m31,0l0,71e">
                  <v:fill on="f" focussize="0,0"/>
                  <v:stroke weight="0pt" color="#000000" miterlimit="0" endcap="round"/>
                  <v:imagedata o:title=""/>
                  <o:lock v:ext="edit"/>
                </v:shape>
              </w:pict>
            </w:r>
            <w:r>
              <w:pict>
                <v:shape id="_x0000_s1113" o:spid="_x0000_s1113" style="position:absolute;left:0pt;margin-left:669pt;margin-top:43.45pt;height:3.9pt;width:5.8pt;mso-position-horizontal-relative:page;mso-position-vertical-relative:page;z-index:-251606016;mso-width-relative:page;mso-height-relative:page;" filled="f" stroked="t" coordsize="116,78" path="m33,77l0,2m33,0l53,31m53,31l70,42m70,42l88,55m88,55l115,77e">
                  <v:fill on="f" focussize="0,0"/>
                  <v:stroke weight="0pt" color="#000000" miterlimit="0" endcap="round"/>
                  <v:imagedata o:title=""/>
                  <o:lock v:ext="edit"/>
                </v:shape>
              </w:pict>
            </w:r>
            <w:r>
              <w:pict>
                <v:shape id="_x0000_s1114" o:spid="_x0000_s1114" style="position:absolute;left:0pt;margin-left:670.6pt;margin-top:43.4pt;height:4pt;width:1.15pt;mso-position-horizontal-relative:page;mso-position-vertical-relative:page;z-index:-251604992;mso-width-relative:page;mso-height-relative:page;" filled="f" stroked="t" coordsize="22,80" path="m21,32l1,1,1,78,21,32e">
                  <v:fill on="f" focussize="0,0"/>
                  <v:stroke weight="0.12pt" color="#FF0000" miterlimit="2" endcap="round"/>
                  <v:imagedata o:title=""/>
                  <o:lock v:ext="edit"/>
                </v:shape>
              </w:pict>
            </w:r>
            <w:r>
              <w:pict>
                <v:shape id="_x0000_s1115" o:spid="_x0000_s1115" style="position:absolute;left:0pt;margin-left:670.6pt;margin-top:45.5pt;height:1.85pt;width:2.9pt;mso-position-horizontal-relative:page;mso-position-vertical-relative:page;z-index:-251603968;mso-width-relative:page;mso-height-relative:page;" filled="f" stroked="t" coordsize="58,37" path="m56,14l38,1,1,35,56,14e">
                  <v:fill on="f" focussize="0,0"/>
                  <v:stroke weight="0.12pt" color="#FF0000" miterlimit="2" endcap="round"/>
                  <v:imagedata o:title=""/>
                  <o:lock v:ext="edit"/>
                </v:shape>
              </w:pict>
            </w:r>
            <w:r>
              <w:pict>
                <v:shape id="_x0000_s1116" o:spid="_x0000_s1116" style="position:absolute;left:0pt;margin-left:669pt;margin-top:47.25pt;height:3.7pt;width:1.7pt;mso-position-horizontal-relative:page;mso-position-vertical-relative:page;z-index:-251599872;mso-width-relative:page;mso-height-relative:page;" filled="f" stroked="t" coordsize="34,74" path="m32,1l1,72,32,57,32,1e">
                  <v:fill on="f" focussize="0,0"/>
                  <v:stroke weight="0.12pt" color="#FF0000" miterlimit="2" endcap="round"/>
                  <v:imagedata o:title=""/>
                  <o:lock v:ext="edit"/>
                </v:shape>
              </w:pict>
            </w:r>
            <w:r>
              <w:pict>
                <v:shape id="_x0000_s1117" o:spid="_x0000_s1117" style="position:absolute;left:0pt;margin-left:668.95pt;margin-top:43.4pt;height:4pt;width:1.8pt;mso-position-horizontal-relative:page;mso-position-vertical-relative:page;z-index:251724800;mso-width-relative:page;mso-height-relative:page;" filled="f" stroked="t" coordsize="35,80" path="m34,1l1,3,34,78,34,1e">
                  <v:fill on="f" focussize="0,0"/>
                  <v:stroke weight="0.12pt" color="#FFFF00" miterlimit="2" endcap="round"/>
                  <v:imagedata o:title=""/>
                  <o:lock v:ext="edit"/>
                </v:shape>
              </w:pict>
            </w:r>
            <w:r>
              <w:pict>
                <v:shape id="_x0000_s1118" o:spid="_x0000_s1118" style="position:absolute;left:0pt;margin-left:670.6pt;margin-top:44.95pt;height:2.4pt;width:2pt;mso-position-horizontal-relative:page;mso-position-vertical-relative:page;z-index:251725824;mso-width-relative:page;mso-height-relative:page;" filled="f" stroked="t" coordsize="40,48" path="m38,11l21,1,1,46,38,11e">
                  <v:fill on="f" focussize="0,0"/>
                  <v:stroke weight="0.12pt" color="#FFFF00" miterlimit="2" endcap="round"/>
                  <v:imagedata o:title=""/>
                  <o:lock v:ext="edit"/>
                </v:shape>
              </w:pict>
            </w:r>
            <w:r>
              <w:pict>
                <v:shape id="_x0000_s1119" o:spid="_x0000_s1119" style="position:absolute;left:0pt;margin-left:670.6pt;margin-top:46.15pt;height:1.2pt;width:4.25pt;mso-position-horizontal-relative:page;mso-position-vertical-relative:page;z-index:251726848;mso-width-relative:page;mso-height-relative:page;" filled="f" stroked="t" coordsize="85,24" path="m56,1l1,22,83,22,56,1e">
                  <v:fill on="f" focussize="0,0"/>
                  <v:stroke weight="0.12pt" color="#FFFF00" miterlimit="2" endcap="round"/>
                  <v:imagedata o:title=""/>
                  <o:lock v:ext="edit"/>
                </v:shape>
              </w:pict>
            </w:r>
            <w:r>
              <w:pict>
                <v:shape id="_x0000_s1120" o:spid="_x0000_s1120" style="position:absolute;left:0pt;margin-left:669pt;margin-top:47.25pt;height:3.7pt;width:1.7pt;mso-position-horizontal-relative:page;mso-position-vertical-relative:page;z-index:251737088;mso-width-relative:page;mso-height-relative:page;" filled="f" stroked="t" coordsize="34,74" path="m1,72l32,1e">
                  <v:fill on="f" focussize="0,0"/>
                  <v:stroke weight="0.12pt" color="#FFFF00" miterlimit="2" endcap="round"/>
                  <v:imagedata o:title=""/>
                  <o:lock v:ext="edit"/>
                </v:shape>
              </w:pict>
            </w:r>
            <w:r>
              <w:pict>
                <v:shape id="_x0000_s1121" o:spid="_x0000_s1121" style="position:absolute;left:0pt;margin-left:689.7pt;margin-top:65.2pt;height:2.15pt;width:3.8pt;mso-position-horizontal-relative:page;mso-position-vertical-relative:page;z-index:251722752;mso-width-relative:page;mso-height-relative:page;" filled="f" stroked="t" coordsize="75,43" path="m0,34l7,42,22,42,30,34,0,6,7,0,22,0,30,6m45,42l45,0,75,0m45,21l60,21m45,42l75,42e">
                  <v:fill on="f" focussize="0,0"/>
                  <v:stroke weight="0pt" color="#000000" miterlimit="0" endcap="round"/>
                  <v:imagedata o:title=""/>
                  <o:lock v:ext="edit"/>
                </v:shape>
              </w:pict>
            </w:r>
            <w:r>
              <w:pict>
                <v:shape id="_x0000_s1122" o:spid="_x0000_s1122" style="position:absolute;left:0pt;margin-left:672.35pt;margin-top:51.1pt;height:1.95pt;width:4.5pt;mso-position-horizontal-relative:page;mso-position-vertical-relative:page;z-index:251739136;mso-width-relative:page;mso-height-relative:page;" filled="f" stroked="t" coordsize="90,39" path="m1,1l88,37e">
                  <v:fill on="f" focussize="0,0"/>
                  <v:stroke weight="0.12pt" color="#FF0000" miterlimit="2" endcap="round"/>
                  <v:imagedata o:title=""/>
                  <o:lock v:ext="edit"/>
                </v:shape>
              </w:pict>
            </w:r>
            <w:r>
              <w:pict>
                <v:shape id="_x0000_s1123" o:spid="_x0000_s1123" style="position:absolute;left:0pt;margin-left:676.7pt;margin-top:50.25pt;height:2.8pt;width:1.85pt;mso-position-horizontal-relative:page;mso-position-vertical-relative:page;z-index:251740160;mso-width-relative:page;mso-height-relative:page;" filled="f" stroked="t" coordsize="37,55" path="m1,54l35,1e">
                  <v:fill on="f" focussize="0,0"/>
                  <v:stroke weight="0.12pt" color="#FFFF00" miterlimit="2" endcap="round"/>
                  <v:imagedata o:title=""/>
                  <o:lock v:ext="edit"/>
                </v:shape>
              </w:pict>
            </w:r>
            <w:r>
              <w:pict>
                <v:shape id="_x0000_s1124" o:spid="_x0000_s1124" style="position:absolute;left:0pt;margin-left:662.6pt;margin-top:42.55pt;height:1.75pt;width:3.05pt;mso-position-horizontal-relative:page;mso-position-vertical-relative:page;z-index:251741184;mso-width-relative:page;mso-height-relative:page;" filled="f" stroked="t" coordsize="60,35" path="m59,1l1,33e">
                  <v:fill on="f" focussize="0,0"/>
                  <v:stroke weight="0.12pt" color="#FFFF00" miterlimit="2" endcap="round"/>
                  <v:imagedata o:title=""/>
                  <o:lock v:ext="edit"/>
                </v:shape>
              </w:pict>
            </w:r>
            <w:r>
              <w:pict>
                <v:shape id="_x0000_s1125" o:spid="_x0000_s1125" style="position:absolute;left:0pt;margin-left:689.15pt;margin-top:27.65pt;height:2.15pt;width:3.8pt;mso-position-horizontal-relative:page;mso-position-vertical-relative:page;z-index:251721728;mso-width-relative:page;mso-height-relative:page;" filled="f" stroked="t" coordsize="75,43" path="m0,42l0,0,30,42,30,0m45,42l45,0,75,0m45,21l60,21m45,42l75,42e">
                  <v:fill on="f" focussize="0,0"/>
                  <v:stroke weight="0pt" color="#000000" miterlimit="0" endcap="round"/>
                  <v:imagedata o:title=""/>
                  <o:lock v:ext="edit"/>
                </v:shape>
              </w:pict>
            </w:r>
            <w:r>
              <w:pict>
                <v:shape id="_x0000_s1126" o:spid="_x0000_s1126" style="position:absolute;left:0pt;margin-left:662.7pt;margin-top:42.6pt;height:1.65pt;width:8pt;mso-position-horizontal-relative:page;mso-position-vertical-relative:page;z-index:251719680;mso-width-relative:page;mso-height-relative:page;" filled="f" stroked="t" coordsize="160,32" path="m0,32l58,0m58,0l126,19m126,19l159,17e">
                  <v:fill on="f" focussize="0,0"/>
                  <v:stroke weight="0pt" color="#000000" miterlimit="0" endcap="round"/>
                  <v:imagedata o:title=""/>
                  <o:lock v:ext="edit"/>
                </v:shape>
              </w:pict>
            </w:r>
            <w:r>
              <w:pict>
                <v:shape id="_x0000_s1127" o:spid="_x0000_s1127" style="position:absolute;left:0pt;margin-left:668.95pt;margin-top:33.55pt;height:1.3pt;width:2.05pt;mso-position-horizontal-relative:page;mso-position-vertical-relative:page;z-index:251728896;mso-width-relative:page;mso-height-relative:page;" filled="f" stroked="t" coordsize="40,25" path="m0,4l4,0,4,25m0,25l9,25m22,25l18,21,18,4,22,0,27,0,31,4,31,21,27,25,22,25m40,25l40,21e">
                  <v:fill on="f" focussize="0,0"/>
                  <v:stroke weight="0pt" color="#000000" miterlimit="0" endcap="round"/>
                  <v:imagedata o:title=""/>
                  <o:lock v:ext="edit"/>
                </v:shape>
              </w:pict>
            </w:r>
          </w:p>
          <w:p w14:paraId="4D2EDA9C">
            <w:pPr>
              <w:spacing w:line="61" w:lineRule="exact"/>
              <w:ind w:firstLine="13370"/>
            </w:pPr>
            <w:r>
              <w:rPr>
                <w:position w:val="-1"/>
              </w:rPr>
              <w:pict>
                <v:shape id="_x0000_s1128" o:spid="_x0000_s1128" style="height:3.1pt;width:3.6pt;" filled="f" stroked="t" coordsize="71,61" path="m22,41l22,0,52,41,52,0m0,40l4,36,13,36,17,40,17,44,13,48,4,48,0,53,0,61,17,61m31,61l26,57,26,40,31,36,35,36,40,40,40,57,35,61,31,61m49,61l49,57m62,61l58,57,58,40,62,36,67,36,71,40,71,57,67,61,62,61e">
                  <v:fill on="f" focussize="0,0"/>
                  <v:stroke weight="0pt" color="#000000" miterlimit="0" endcap="round"/>
                  <v:imagedata o:title=""/>
                  <o:lock v:ext="edit"/>
                  <w10:wrap type="none"/>
                  <w10:anchorlock/>
                </v:shape>
              </w:pict>
            </w:r>
          </w:p>
          <w:p w14:paraId="16C44A5A">
            <w:pPr>
              <w:spacing w:line="475" w:lineRule="auto"/>
              <w:rPr>
                <w:rFonts w:ascii="Arial"/>
                <w:sz w:val="21"/>
              </w:rPr>
            </w:pPr>
          </w:p>
          <w:p w14:paraId="0B227D19">
            <w:pPr>
              <w:spacing w:before="11" w:line="219" w:lineRule="auto"/>
              <w:ind w:left="12808"/>
              <w:rPr>
                <w:rFonts w:ascii="Arial" w:hAnsi="Arial" w:eastAsia="Arial" w:cs="Arial"/>
                <w:sz w:val="4"/>
                <w:szCs w:val="4"/>
              </w:rPr>
            </w:pPr>
            <w:r>
              <w:drawing>
                <wp:anchor distT="0" distB="0" distL="0" distR="0" simplePos="0" relativeHeight="251708416" behindDoc="1" locked="0" layoutInCell="1" allowOverlap="1">
                  <wp:simplePos x="0" y="0"/>
                  <wp:positionH relativeFrom="column">
                    <wp:posOffset>12700</wp:posOffset>
                  </wp:positionH>
                  <wp:positionV relativeFrom="paragraph">
                    <wp:posOffset>-565150</wp:posOffset>
                  </wp:positionV>
                  <wp:extent cx="8891270" cy="5117465"/>
                  <wp:effectExtent l="0" t="0" r="0" b="0"/>
                  <wp:wrapNone/>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587"/>
                          <a:stretch>
                            <a:fillRect/>
                          </a:stretch>
                        </pic:blipFill>
                        <pic:spPr>
                          <a:xfrm>
                            <a:off x="0" y="0"/>
                            <a:ext cx="8891016" cy="5117591"/>
                          </a:xfrm>
                          <a:prstGeom prst="rect">
                            <a:avLst/>
                          </a:prstGeom>
                        </pic:spPr>
                      </pic:pic>
                    </a:graphicData>
                  </a:graphic>
                </wp:anchor>
              </w:drawing>
            </w:r>
            <w:r>
              <w:rPr>
                <w:rFonts w:ascii="Arial" w:hAnsi="Arial" w:eastAsia="Arial" w:cs="Arial"/>
                <w:spacing w:val="7"/>
                <w:sz w:val="4"/>
                <w:szCs w:val="4"/>
              </w:rPr>
              <w:t>W</w:t>
            </w:r>
          </w:p>
          <w:p w14:paraId="0A78F361">
            <w:pPr>
              <w:spacing w:before="28" w:line="57" w:lineRule="exact"/>
              <w:ind w:firstLine="13376"/>
            </w:pPr>
            <w:r>
              <w:rPr>
                <w:position w:val="-1"/>
              </w:rPr>
              <w:pict>
                <v:shape id="_x0000_s1129" o:spid="_x0000_s1129" style="height:2.9pt;width:9.4pt;" filled="f" stroked="t" coordsize="187,58" path="m187,4l153,57m153,57l66,21m66,21l31,0m31,0l0,15e">
                  <v:fill on="f" focussize="0,0"/>
                  <v:stroke weight="0pt" color="#000000" miterlimit="0" endcap="round"/>
                  <v:imagedata o:title=""/>
                  <o:lock v:ext="edit"/>
                  <w10:wrap type="none"/>
                  <w10:anchorlock/>
                </v:shape>
              </w:pict>
            </w:r>
          </w:p>
          <w:p w14:paraId="4C3D6152">
            <w:pPr>
              <w:spacing w:before="239" w:line="219" w:lineRule="auto"/>
              <w:ind w:left="12926"/>
              <w:rPr>
                <w:rFonts w:ascii="Arial" w:hAnsi="Arial" w:eastAsia="Arial" w:cs="Arial"/>
                <w:sz w:val="4"/>
                <w:szCs w:val="4"/>
              </w:rPr>
            </w:pPr>
            <w:r>
              <w:rPr>
                <w:rFonts w:ascii="Arial" w:hAnsi="Arial" w:eastAsia="Arial" w:cs="Arial"/>
                <w:spacing w:val="5"/>
                <w:sz w:val="4"/>
                <w:szCs w:val="4"/>
              </w:rPr>
              <w:t>S</w:t>
            </w:r>
            <w:r>
              <w:rPr>
                <w:rFonts w:ascii="Arial" w:hAnsi="Arial" w:eastAsia="Arial" w:cs="Arial"/>
                <w:spacing w:val="3"/>
                <w:w w:val="104"/>
                <w:sz w:val="4"/>
                <w:szCs w:val="4"/>
              </w:rPr>
              <w:t xml:space="preserve"> </w:t>
            </w:r>
            <w:r>
              <w:rPr>
                <w:rFonts w:ascii="Arial" w:hAnsi="Arial" w:eastAsia="Arial" w:cs="Arial"/>
                <w:spacing w:val="5"/>
                <w:sz w:val="4"/>
                <w:szCs w:val="4"/>
              </w:rPr>
              <w:t>W</w:t>
            </w:r>
          </w:p>
          <w:p w14:paraId="058E8E89">
            <w:pPr>
              <w:spacing w:before="108" w:line="42" w:lineRule="exact"/>
              <w:ind w:firstLine="13386"/>
            </w:pPr>
            <w:r>
              <w:pict>
                <v:shape id="_x0000_s1130" o:spid="_x0000_s1130" style="height:2.15pt;width:1.5pt;" filled="f" stroked="t" coordsize="30,43" path="m0,34l7,42,22,42,29,34,0,7,7,0,22,0,29,7e">
                  <v:fill on="f" focussize="0,0"/>
                  <v:stroke weight="0pt" color="#000000" miterlimit="0" endcap="round"/>
                  <v:imagedata o:title=""/>
                  <o:lock v:ext="edit"/>
                  <w10:wrap type="none"/>
                  <w10:anchorlock/>
                </v:shape>
              </w:pict>
            </w:r>
          </w:p>
          <w:p w14:paraId="6E36DFCB">
            <w:pPr>
              <w:pStyle w:val="6"/>
              <w:spacing w:before="107" w:line="224" w:lineRule="auto"/>
              <w:ind w:left="13028"/>
              <w:rPr>
                <w:sz w:val="12"/>
                <w:szCs w:val="12"/>
              </w:rPr>
            </w:pPr>
            <w:r>
              <w:rPr>
                <w:spacing w:val="4"/>
                <w:sz w:val="12"/>
                <w:szCs w:val="12"/>
              </w:rPr>
              <w:t>全年(C=18.3%)</w:t>
            </w:r>
          </w:p>
        </w:tc>
      </w:tr>
      <w:tr w14:paraId="632DD4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64" w:hRule="atLeast"/>
        </w:trPr>
        <w:tc>
          <w:tcPr>
            <w:tcW w:w="14051" w:type="dxa"/>
            <w:tcBorders>
              <w:top w:val="nil"/>
            </w:tcBorders>
            <w:vAlign w:val="top"/>
          </w:tcPr>
          <w:p w14:paraId="6C0FC84A">
            <w:pPr>
              <w:spacing w:line="270" w:lineRule="auto"/>
              <w:rPr>
                <w:rFonts w:ascii="Arial"/>
                <w:sz w:val="21"/>
              </w:rPr>
            </w:pPr>
          </w:p>
          <w:p w14:paraId="2BD5991D">
            <w:pPr>
              <w:spacing w:line="270" w:lineRule="auto"/>
              <w:rPr>
                <w:rFonts w:ascii="Arial"/>
                <w:sz w:val="21"/>
              </w:rPr>
            </w:pPr>
          </w:p>
          <w:p w14:paraId="07CA234A">
            <w:pPr>
              <w:spacing w:line="270" w:lineRule="auto"/>
              <w:rPr>
                <w:rFonts w:ascii="Arial"/>
                <w:sz w:val="21"/>
              </w:rPr>
            </w:pPr>
          </w:p>
          <w:p w14:paraId="57F6207A">
            <w:pPr>
              <w:spacing w:line="270" w:lineRule="auto"/>
              <w:rPr>
                <w:rFonts w:ascii="Arial"/>
                <w:sz w:val="21"/>
              </w:rPr>
            </w:pPr>
          </w:p>
          <w:p w14:paraId="733C3E4F">
            <w:pPr>
              <w:spacing w:line="271" w:lineRule="auto"/>
              <w:rPr>
                <w:rFonts w:ascii="Arial"/>
                <w:sz w:val="21"/>
              </w:rPr>
            </w:pPr>
          </w:p>
          <w:p w14:paraId="0B88CF31">
            <w:pPr>
              <w:spacing w:line="271" w:lineRule="auto"/>
              <w:rPr>
                <w:rFonts w:ascii="Arial"/>
                <w:sz w:val="21"/>
              </w:rPr>
            </w:pPr>
          </w:p>
          <w:p w14:paraId="25E0A2FD">
            <w:pPr>
              <w:pStyle w:val="6"/>
              <w:spacing w:line="1071" w:lineRule="exact"/>
              <w:ind w:firstLine="7773"/>
            </w:pPr>
            <w:r>
              <w:rPr>
                <w:position w:val="-21"/>
              </w:rPr>
              <w:pict>
                <v:group id="_x0000_s1131" o:spid="_x0000_s1131" o:spt="203" style="height:53.55pt;width:99pt;" coordsize="1980,1070">
                  <o:lock v:ext="edit"/>
                  <v:shape id="_x0000_s1132" o:spid="_x0000_s1132" o:spt="75" type="#_x0000_t75" style="position:absolute;left:0;top:0;height:1070;width:1980;" filled="f" stroked="f" coordsize="21600,21600">
                    <v:path/>
                    <v:fill on="f" focussize="0,0"/>
                    <v:stroke on="f"/>
                    <v:imagedata r:id="rId588" o:title=""/>
                    <o:lock v:ext="edit" aspectratio="t"/>
                  </v:shape>
                  <v:shape id="_x0000_s1133" o:spid="_x0000_s1133" o:spt="202" type="#_x0000_t202" style="position:absolute;left:-20;top:-20;height:1110;width:2020;" filled="f" stroked="f" coordsize="21600,21600">
                    <v:path/>
                    <v:fill on="f" focussize="0,0"/>
                    <v:stroke on="f"/>
                    <v:imagedata o:title=""/>
                    <o:lock v:ext="edit" aspectratio="f"/>
                    <v:textbox inset="0mm,0mm,0mm,0mm">
                      <w:txbxContent>
                        <w:p w14:paraId="2605E1B6">
                          <w:pPr>
                            <w:spacing w:before="150" w:line="228" w:lineRule="auto"/>
                            <w:ind w:left="630"/>
                            <w:rPr>
                              <w:rFonts w:ascii="宋体" w:hAnsi="宋体" w:eastAsia="宋体" w:cs="宋体"/>
                              <w:sz w:val="20"/>
                              <w:szCs w:val="20"/>
                            </w:rPr>
                          </w:pPr>
                          <w:r>
                            <w:rPr>
                              <w:rFonts w:ascii="宋体" w:hAnsi="宋体" w:eastAsia="宋体" w:cs="宋体"/>
                              <w:b/>
                              <w:bCs/>
                              <w:color w:val="FF0000"/>
                              <w:spacing w:val="5"/>
                              <w:sz w:val="20"/>
                              <w:szCs w:val="20"/>
                            </w:rPr>
                            <w:t>项目所在地</w:t>
                          </w:r>
                        </w:p>
                      </w:txbxContent>
                    </v:textbox>
                  </v:shape>
                  <w10:wrap type="none"/>
                  <w10:anchorlock/>
                </v:group>
              </w:pict>
            </w:r>
          </w:p>
        </w:tc>
      </w:tr>
    </w:tbl>
    <w:p w14:paraId="6CCA451B">
      <w:pPr>
        <w:spacing w:before="31" w:line="227" w:lineRule="auto"/>
        <w:ind w:left="5012"/>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40"/>
          <w:sz w:val="20"/>
          <w:szCs w:val="20"/>
        </w:rPr>
        <w:t xml:space="preserve"> </w:t>
      </w:r>
      <w:r>
        <w:rPr>
          <w:rFonts w:ascii="Times New Roman" w:hAnsi="Times New Roman" w:eastAsia="Times New Roman" w:cs="Times New Roman"/>
          <w:b/>
          <w:bCs/>
          <w:spacing w:val="4"/>
          <w:sz w:val="20"/>
          <w:szCs w:val="20"/>
        </w:rPr>
        <w:t xml:space="preserve">2.1-1        </w:t>
      </w:r>
      <w:r>
        <w:rPr>
          <w:rFonts w:ascii="宋体" w:hAnsi="宋体" w:eastAsia="宋体" w:cs="宋体"/>
          <w:b/>
          <w:bCs/>
          <w:spacing w:val="4"/>
          <w:sz w:val="20"/>
          <w:szCs w:val="20"/>
        </w:rPr>
        <w:t>本项目地理位置图（</w:t>
      </w:r>
      <w:r>
        <w:rPr>
          <w:rFonts w:ascii="Times New Roman" w:hAnsi="Times New Roman" w:eastAsia="Times New Roman" w:cs="Times New Roman"/>
          <w:b/>
          <w:bCs/>
          <w:spacing w:val="4"/>
          <w:sz w:val="20"/>
          <w:szCs w:val="20"/>
        </w:rPr>
        <w:t>1:800000</w:t>
      </w:r>
      <w:r>
        <w:rPr>
          <w:rFonts w:ascii="宋体" w:hAnsi="宋体" w:eastAsia="宋体" w:cs="宋体"/>
          <w:b/>
          <w:bCs/>
          <w:spacing w:val="4"/>
          <w:sz w:val="20"/>
          <w:szCs w:val="20"/>
        </w:rPr>
        <w:t>）</w:t>
      </w:r>
    </w:p>
    <w:p w14:paraId="052812D2">
      <w:pPr>
        <w:spacing w:line="227" w:lineRule="auto"/>
        <w:rPr>
          <w:rFonts w:ascii="宋体" w:hAnsi="宋体" w:eastAsia="宋体" w:cs="宋体"/>
          <w:sz w:val="20"/>
          <w:szCs w:val="20"/>
        </w:rPr>
        <w:sectPr>
          <w:headerReference r:id="rId85" w:type="default"/>
          <w:footerReference r:id="rId86" w:type="default"/>
          <w:pgSz w:w="16839" w:h="11906"/>
          <w:pgMar w:top="1235" w:right="1359" w:bottom="1070" w:left="1417" w:header="925" w:footer="907" w:gutter="0"/>
          <w:cols w:space="720" w:num="1"/>
        </w:sectPr>
      </w:pPr>
    </w:p>
    <w:p w14:paraId="31E4EEB7">
      <w:pPr>
        <w:pStyle w:val="2"/>
      </w:pPr>
      <w:r>
        <w:pict>
          <v:shape id="_x0000_s1134" o:spid="_x0000_s1134" style="position:absolute;left:0pt;margin-left:0pt;margin-top:0.7pt;height:0.75pt;width:700.1pt;z-index:251745280;mso-width-relative:page;mso-height-relative:page;" fillcolor="#000000" filled="t" stroked="f" coordsize="14001,15" path="m0,0l14001,0,14001,14,0,14,0,0xe">
            <v:path/>
            <v:fill on="t" focussize="0,0"/>
            <v:stroke on="f"/>
            <v:imagedata o:title=""/>
            <o:lock v:ext="edit"/>
          </v:shape>
        </w:pict>
      </w:r>
    </w:p>
    <w:p w14:paraId="64E8B2B6">
      <w:pPr>
        <w:pStyle w:val="2"/>
      </w:pPr>
    </w:p>
    <w:p w14:paraId="69D369B5">
      <w:pPr>
        <w:pStyle w:val="2"/>
      </w:pPr>
    </w:p>
    <w:p w14:paraId="7D8BAF99">
      <w:pPr>
        <w:pStyle w:val="2"/>
      </w:pPr>
    </w:p>
    <w:p w14:paraId="2F68CB36">
      <w:pPr>
        <w:pStyle w:val="2"/>
      </w:pPr>
    </w:p>
    <w:p w14:paraId="38730743">
      <w:pPr>
        <w:pStyle w:val="2"/>
      </w:pPr>
    </w:p>
    <w:p w14:paraId="03D59AF9">
      <w:pPr>
        <w:pStyle w:val="2"/>
      </w:pPr>
    </w:p>
    <w:p w14:paraId="39E0AA72">
      <w:pPr>
        <w:pStyle w:val="2"/>
      </w:pPr>
    </w:p>
    <w:p w14:paraId="3D338AE5">
      <w:pPr>
        <w:pStyle w:val="2"/>
      </w:pPr>
    </w:p>
    <w:p w14:paraId="7E4EA25E">
      <w:pPr>
        <w:pStyle w:val="2"/>
      </w:pPr>
    </w:p>
    <w:p w14:paraId="310CBCED">
      <w:pPr>
        <w:pStyle w:val="2"/>
      </w:pPr>
    </w:p>
    <w:p w14:paraId="7D30639D">
      <w:pPr>
        <w:pStyle w:val="2"/>
      </w:pPr>
    </w:p>
    <w:p w14:paraId="795F8389">
      <w:pPr>
        <w:pStyle w:val="2"/>
      </w:pPr>
    </w:p>
    <w:p w14:paraId="1FD295CF">
      <w:pPr>
        <w:pStyle w:val="2"/>
      </w:pPr>
    </w:p>
    <w:p w14:paraId="6EC2B399">
      <w:pPr>
        <w:pStyle w:val="2"/>
      </w:pPr>
    </w:p>
    <w:p w14:paraId="3D3A95B5">
      <w:pPr>
        <w:pStyle w:val="2"/>
        <w:spacing w:line="241" w:lineRule="auto"/>
      </w:pPr>
    </w:p>
    <w:p w14:paraId="4410AFDA">
      <w:pPr>
        <w:pStyle w:val="2"/>
        <w:spacing w:line="241" w:lineRule="auto"/>
      </w:pPr>
    </w:p>
    <w:p w14:paraId="78DA34A9">
      <w:pPr>
        <w:pStyle w:val="2"/>
        <w:spacing w:line="241" w:lineRule="auto"/>
      </w:pPr>
    </w:p>
    <w:p w14:paraId="0B77A8AE">
      <w:pPr>
        <w:spacing w:before="65" w:line="227" w:lineRule="auto"/>
        <w:ind w:left="6719"/>
        <w:outlineLvl w:val="2"/>
        <w:rPr>
          <w:rFonts w:ascii="宋体" w:hAnsi="宋体" w:eastAsia="宋体" w:cs="宋体"/>
          <w:sz w:val="20"/>
          <w:szCs w:val="20"/>
        </w:rPr>
      </w:pPr>
      <w:r>
        <w:drawing>
          <wp:anchor distT="0" distB="0" distL="0" distR="0" simplePos="0" relativeHeight="251742208" behindDoc="1" locked="0" layoutInCell="1" allowOverlap="1">
            <wp:simplePos x="0" y="0"/>
            <wp:positionH relativeFrom="column">
              <wp:posOffset>45720</wp:posOffset>
            </wp:positionH>
            <wp:positionV relativeFrom="paragraph">
              <wp:posOffset>-2537460</wp:posOffset>
            </wp:positionV>
            <wp:extent cx="8799830" cy="5279390"/>
            <wp:effectExtent l="0" t="0" r="0" b="0"/>
            <wp:wrapNone/>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589"/>
                    <a:stretch>
                      <a:fillRect/>
                    </a:stretch>
                  </pic:blipFill>
                  <pic:spPr>
                    <a:xfrm>
                      <a:off x="0" y="0"/>
                      <a:ext cx="8799576" cy="5279135"/>
                    </a:xfrm>
                    <a:prstGeom prst="rect">
                      <a:avLst/>
                    </a:prstGeom>
                  </pic:spPr>
                </pic:pic>
              </a:graphicData>
            </a:graphic>
          </wp:anchor>
        </w:drawing>
      </w:r>
      <w:r>
        <w:rPr>
          <w:rFonts w:ascii="宋体" w:hAnsi="宋体" w:eastAsia="宋体" w:cs="宋体"/>
          <w:b/>
          <w:bCs/>
          <w:spacing w:val="5"/>
          <w:sz w:val="20"/>
          <w:szCs w:val="20"/>
        </w:rPr>
        <w:t>本项目</w:t>
      </w:r>
    </w:p>
    <w:p w14:paraId="7EDCFA5E">
      <w:pPr>
        <w:pStyle w:val="2"/>
        <w:spacing w:line="261" w:lineRule="auto"/>
      </w:pPr>
    </w:p>
    <w:p w14:paraId="6CB2D70C">
      <w:pPr>
        <w:pStyle w:val="2"/>
        <w:spacing w:line="262" w:lineRule="auto"/>
      </w:pPr>
    </w:p>
    <w:p w14:paraId="46E6D1B1">
      <w:pPr>
        <w:pStyle w:val="2"/>
        <w:spacing w:line="262" w:lineRule="auto"/>
      </w:pPr>
    </w:p>
    <w:p w14:paraId="5EC380D3">
      <w:pPr>
        <w:pStyle w:val="2"/>
        <w:spacing w:line="262" w:lineRule="auto"/>
      </w:pPr>
    </w:p>
    <w:p w14:paraId="165ED207">
      <w:pPr>
        <w:pStyle w:val="2"/>
        <w:spacing w:line="262" w:lineRule="auto"/>
      </w:pPr>
    </w:p>
    <w:p w14:paraId="7DA4CF8F">
      <w:pPr>
        <w:spacing w:before="65"/>
        <w:ind w:left="7119" w:right="5627" w:hanging="397"/>
        <w:rPr>
          <w:rFonts w:ascii="宋体" w:hAnsi="宋体" w:eastAsia="宋体" w:cs="宋体"/>
          <w:sz w:val="20"/>
          <w:szCs w:val="20"/>
        </w:rPr>
      </w:pPr>
      <w:r>
        <w:drawing>
          <wp:anchor distT="0" distB="0" distL="0" distR="0" simplePos="0" relativeHeight="251743232" behindDoc="1" locked="0" layoutInCell="1" allowOverlap="1">
            <wp:simplePos x="0" y="0"/>
            <wp:positionH relativeFrom="column">
              <wp:posOffset>3955415</wp:posOffset>
            </wp:positionH>
            <wp:positionV relativeFrom="paragraph">
              <wp:posOffset>-215265</wp:posOffset>
            </wp:positionV>
            <wp:extent cx="1654810" cy="1402080"/>
            <wp:effectExtent l="0" t="0" r="0" b="0"/>
            <wp:wrapNone/>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590"/>
                    <a:stretch>
                      <a:fillRect/>
                    </a:stretch>
                  </pic:blipFill>
                  <pic:spPr>
                    <a:xfrm>
                      <a:off x="0" y="0"/>
                      <a:ext cx="1654771" cy="1401813"/>
                    </a:xfrm>
                    <a:prstGeom prst="rect">
                      <a:avLst/>
                    </a:prstGeom>
                  </pic:spPr>
                </pic:pic>
              </a:graphicData>
            </a:graphic>
          </wp:anchor>
        </w:drawing>
      </w:r>
      <w:r>
        <w:rPr>
          <w:rFonts w:ascii="宋体" w:hAnsi="宋体" w:eastAsia="宋体" w:cs="宋体"/>
          <w:b/>
          <w:bCs/>
          <w:spacing w:val="4"/>
          <w:sz w:val="20"/>
          <w:szCs w:val="20"/>
        </w:rPr>
        <w:t>内蒙古新蒙新科技</w:t>
      </w:r>
      <w:r>
        <w:rPr>
          <w:rFonts w:ascii="宋体" w:hAnsi="宋体" w:eastAsia="宋体" w:cs="宋体"/>
          <w:spacing w:val="1"/>
          <w:sz w:val="20"/>
          <w:szCs w:val="20"/>
        </w:rPr>
        <w:t xml:space="preserve"> </w:t>
      </w:r>
      <w:r>
        <w:rPr>
          <w:rFonts w:ascii="宋体" w:hAnsi="宋体" w:eastAsia="宋体" w:cs="宋体"/>
          <w:b/>
          <w:bCs/>
          <w:spacing w:val="6"/>
          <w:sz w:val="20"/>
          <w:szCs w:val="20"/>
        </w:rPr>
        <w:t>有限公司</w:t>
      </w:r>
    </w:p>
    <w:p w14:paraId="49B7BB44">
      <w:pPr>
        <w:pStyle w:val="2"/>
        <w:spacing w:line="448" w:lineRule="auto"/>
      </w:pPr>
    </w:p>
    <w:p w14:paraId="3C77EE20">
      <w:pPr>
        <w:spacing w:before="65" w:line="239" w:lineRule="auto"/>
        <w:ind w:left="7304" w:right="5443" w:hanging="397"/>
        <w:rPr>
          <w:rFonts w:ascii="宋体" w:hAnsi="宋体" w:eastAsia="宋体" w:cs="宋体"/>
          <w:sz w:val="20"/>
          <w:szCs w:val="20"/>
        </w:rPr>
      </w:pPr>
      <w:r>
        <w:pict>
          <v:group id="_x0000_s1135" o:spid="_x0000_s1135" o:spt="203" style="position:absolute;left:0pt;margin-left:282.4pt;margin-top:23.3pt;height:43.55pt;width:41.4pt;z-index:251744256;mso-width-relative:page;mso-height-relative:page;" coordsize="828,870">
            <o:lock v:ext="edit"/>
            <v:rect id="_x0000_s1136" o:spid="_x0000_s1136" o:spt="1" style="position:absolute;left:9;top:10;height:850;width:775;" fillcolor="#9DC3E6" filled="t" stroked="f" coordsize="21600,21600">
              <v:path/>
              <v:fill on="t" opacity="52429f" focussize="0,0"/>
              <v:stroke on="f"/>
              <v:imagedata o:title=""/>
              <o:lock v:ext="edit"/>
            </v:rect>
            <v:shape id="_x0000_s1137" o:spid="_x0000_s1137" o:spt="202" type="#_x0000_t202" style="position:absolute;left:-20;top:-20;height:910;width:868;" filled="f" stroked="f" coordsize="21600,21600">
              <v:path/>
              <v:fill on="f" focussize="0,0"/>
              <v:stroke on="f"/>
              <v:imagedata o:title=""/>
              <o:lock v:ext="edit" aspectratio="f"/>
              <v:textbox inset="0mm,0mm,0mm,0mm">
                <w:txbxContent>
                  <w:p w14:paraId="3E2A4D08">
                    <w:pPr>
                      <w:spacing w:line="20" w:lineRule="exact"/>
                    </w:pPr>
                  </w:p>
                  <w:tbl>
                    <w:tblPr>
                      <w:tblStyle w:val="5"/>
                      <w:tblW w:w="807" w:type="dxa"/>
                      <w:tblInd w:w="30" w:type="dxa"/>
                      <w:tblBorders>
                        <w:top w:val="single" w:color="9DC3E6" w:sz="8" w:space="0"/>
                        <w:left w:val="single" w:color="9DC3E6" w:sz="8" w:space="0"/>
                        <w:bottom w:val="single" w:color="9DC3E6" w:sz="8" w:space="0"/>
                        <w:right w:val="single" w:color="9DC3E6" w:sz="8" w:space="0"/>
                        <w:insideH w:val="none" w:color="auto" w:sz="0" w:space="0"/>
                        <w:insideV w:val="none" w:color="auto" w:sz="0" w:space="0"/>
                      </w:tblBorders>
                      <w:tblLayout w:type="fixed"/>
                      <w:tblCellMar>
                        <w:top w:w="0" w:type="dxa"/>
                        <w:left w:w="0" w:type="dxa"/>
                        <w:bottom w:w="0" w:type="dxa"/>
                        <w:right w:w="0" w:type="dxa"/>
                      </w:tblCellMar>
                    </w:tblPr>
                    <w:tblGrid>
                      <w:gridCol w:w="807"/>
                    </w:tblGrid>
                    <w:tr w14:paraId="0CBEBA0A">
                      <w:tblPrEx>
                        <w:tblBorders>
                          <w:top w:val="single" w:color="9DC3E6" w:sz="8" w:space="0"/>
                          <w:left w:val="single" w:color="9DC3E6" w:sz="8" w:space="0"/>
                          <w:bottom w:val="single" w:color="9DC3E6" w:sz="8" w:space="0"/>
                          <w:right w:val="single" w:color="9DC3E6" w:sz="8" w:space="0"/>
                          <w:insideH w:val="none" w:color="auto" w:sz="0" w:space="0"/>
                          <w:insideV w:val="none" w:color="auto" w:sz="0" w:space="0"/>
                        </w:tblBorders>
                        <w:tblCellMar>
                          <w:top w:w="0" w:type="dxa"/>
                          <w:left w:w="0" w:type="dxa"/>
                          <w:bottom w:w="0" w:type="dxa"/>
                          <w:right w:w="0" w:type="dxa"/>
                        </w:tblCellMar>
                      </w:tblPrEx>
                      <w:trPr>
                        <w:trHeight w:val="830" w:hRule="atLeast"/>
                      </w:trPr>
                      <w:tc>
                        <w:tcPr>
                          <w:tcW w:w="807" w:type="dxa"/>
                          <w:vAlign w:val="top"/>
                        </w:tcPr>
                        <w:p w14:paraId="36C2F026">
                          <w:pPr>
                            <w:pStyle w:val="6"/>
                            <w:spacing w:before="282" w:line="239" w:lineRule="auto"/>
                            <w:ind w:left="86" w:hanging="87"/>
                            <w:rPr>
                              <w:sz w:val="20"/>
                              <w:szCs w:val="20"/>
                            </w:rPr>
                          </w:pPr>
                          <w:r>
                            <w:rPr>
                              <w:b/>
                              <w:bCs/>
                              <w:spacing w:val="-6"/>
                              <w:sz w:val="20"/>
                              <w:szCs w:val="20"/>
                            </w:rPr>
                            <w:t>园区自来</w:t>
                          </w:r>
                          <w:r>
                            <w:rPr>
                              <w:spacing w:val="1"/>
                              <w:sz w:val="20"/>
                              <w:szCs w:val="20"/>
                            </w:rPr>
                            <w:t xml:space="preserve"> </w:t>
                          </w:r>
                          <w:r>
                            <w:rPr>
                              <w:b/>
                              <w:bCs/>
                              <w:spacing w:val="-3"/>
                              <w:sz w:val="20"/>
                              <w:szCs w:val="20"/>
                            </w:rPr>
                            <w:t>水公司</w:t>
                          </w:r>
                        </w:p>
                      </w:tc>
                    </w:tr>
                  </w:tbl>
                  <w:p w14:paraId="4D290740">
                    <w:pPr>
                      <w:pStyle w:val="2"/>
                    </w:pPr>
                  </w:p>
                </w:txbxContent>
              </v:textbox>
            </v:shape>
          </v:group>
        </w:pict>
      </w:r>
      <w:r>
        <w:rPr>
          <w:rFonts w:ascii="宋体" w:hAnsi="宋体" w:eastAsia="宋体" w:cs="宋体"/>
          <w:b/>
          <w:bCs/>
          <w:spacing w:val="4"/>
          <w:sz w:val="20"/>
          <w:szCs w:val="20"/>
        </w:rPr>
        <w:t>内蒙古新蒙新科技</w:t>
      </w:r>
      <w:r>
        <w:rPr>
          <w:rFonts w:ascii="宋体" w:hAnsi="宋体" w:eastAsia="宋体" w:cs="宋体"/>
          <w:spacing w:val="1"/>
          <w:sz w:val="20"/>
          <w:szCs w:val="20"/>
        </w:rPr>
        <w:t xml:space="preserve"> </w:t>
      </w:r>
      <w:r>
        <w:rPr>
          <w:rFonts w:ascii="宋体" w:hAnsi="宋体" w:eastAsia="宋体" w:cs="宋体"/>
          <w:b/>
          <w:bCs/>
          <w:spacing w:val="6"/>
          <w:sz w:val="20"/>
          <w:szCs w:val="20"/>
        </w:rPr>
        <w:t>有限公司</w:t>
      </w:r>
    </w:p>
    <w:p w14:paraId="3BA66963">
      <w:pPr>
        <w:pStyle w:val="2"/>
        <w:spacing w:before="192" w:line="647" w:lineRule="exact"/>
        <w:ind w:firstLine="8150"/>
      </w:pPr>
      <w:r>
        <w:rPr>
          <w:position w:val="-12"/>
        </w:rPr>
        <w:pict>
          <v:group id="_x0000_s1138" o:spid="_x0000_s1138" o:spt="203" style="height:32.4pt;width:39.75pt;" coordsize="795,648">
            <o:lock v:ext="edit"/>
            <v:shape id="_x0000_s1139" o:spid="_x0000_s1139" o:spt="202" type="#_x0000_t202" style="position:absolute;left:-20;top:-20;height:688;width:835;" filled="f" stroked="f" coordsize="21600,21600">
              <v:path/>
              <v:fill on="f" focussize="0,0"/>
              <v:stroke on="f"/>
              <v:imagedata o:title=""/>
              <o:lock v:ext="edit" aspectratio="f"/>
              <v:textbox inset="0mm,0mm,0mm,0mm">
                <w:txbxContent>
                  <w:p w14:paraId="2D596250">
                    <w:pPr>
                      <w:spacing w:line="20" w:lineRule="exact"/>
                    </w:pPr>
                  </w:p>
                  <w:tbl>
                    <w:tblPr>
                      <w:tblStyle w:val="5"/>
                      <w:tblW w:w="774" w:type="dxa"/>
                      <w:tblInd w:w="30" w:type="dxa"/>
                      <w:tblBorders>
                        <w:top w:val="single" w:color="A9D18E" w:sz="8" w:space="0"/>
                        <w:left w:val="single" w:color="A9D18E" w:sz="8" w:space="0"/>
                        <w:bottom w:val="single" w:color="A9D18E" w:sz="8" w:space="0"/>
                        <w:right w:val="single" w:color="A9D18E" w:sz="8" w:space="0"/>
                        <w:insideH w:val="none" w:color="auto" w:sz="0" w:space="0"/>
                        <w:insideV w:val="none" w:color="auto" w:sz="0" w:space="0"/>
                      </w:tblBorders>
                      <w:tblLayout w:type="fixed"/>
                      <w:tblCellMar>
                        <w:top w:w="0" w:type="dxa"/>
                        <w:left w:w="0" w:type="dxa"/>
                        <w:bottom w:w="0" w:type="dxa"/>
                        <w:right w:w="0" w:type="dxa"/>
                      </w:tblCellMar>
                    </w:tblPr>
                    <w:tblGrid>
                      <w:gridCol w:w="774"/>
                    </w:tblGrid>
                    <w:tr w14:paraId="07165E78">
                      <w:tblPrEx>
                        <w:tblBorders>
                          <w:top w:val="single" w:color="A9D18E" w:sz="8" w:space="0"/>
                          <w:left w:val="single" w:color="A9D18E" w:sz="8" w:space="0"/>
                          <w:bottom w:val="single" w:color="A9D18E" w:sz="8" w:space="0"/>
                          <w:right w:val="single" w:color="A9D18E" w:sz="8" w:space="0"/>
                          <w:insideH w:val="none" w:color="auto" w:sz="0" w:space="0"/>
                          <w:insideV w:val="none" w:color="auto" w:sz="0" w:space="0"/>
                        </w:tblBorders>
                        <w:tblCellMar>
                          <w:top w:w="0" w:type="dxa"/>
                          <w:left w:w="0" w:type="dxa"/>
                          <w:bottom w:w="0" w:type="dxa"/>
                          <w:right w:w="0" w:type="dxa"/>
                        </w:tblCellMar>
                      </w:tblPrEx>
                      <w:trPr>
                        <w:trHeight w:val="607" w:hRule="atLeast"/>
                      </w:trPr>
                      <w:tc>
                        <w:tcPr>
                          <w:tcW w:w="774" w:type="dxa"/>
                          <w:shd w:val="clear" w:color="auto" w:fill="BADAA4"/>
                          <w:vAlign w:val="top"/>
                        </w:tcPr>
                        <w:p w14:paraId="2C23FF70">
                          <w:pPr>
                            <w:spacing w:before="9" w:line="239" w:lineRule="auto"/>
                            <w:ind w:left="171" w:right="170" w:firstLine="19"/>
                            <w:rPr>
                              <w:rFonts w:ascii="宋体" w:hAnsi="宋体" w:eastAsia="宋体" w:cs="宋体"/>
                              <w:sz w:val="20"/>
                              <w:szCs w:val="20"/>
                            </w:rPr>
                          </w:pPr>
                          <w:r>
                            <w:rPr>
                              <w:rFonts w:ascii="宋体" w:hAnsi="宋体" w:eastAsia="宋体" w:cs="宋体"/>
                              <w:b/>
                              <w:bCs/>
                              <w:spacing w:val="-6"/>
                              <w:sz w:val="20"/>
                              <w:szCs w:val="20"/>
                            </w:rPr>
                            <w:t>中天</w:t>
                          </w:r>
                          <w:r>
                            <w:rPr>
                              <w:rFonts w:ascii="宋体" w:hAnsi="宋体" w:eastAsia="宋体" w:cs="宋体"/>
                              <w:sz w:val="20"/>
                              <w:szCs w:val="20"/>
                            </w:rPr>
                            <w:t xml:space="preserve"> </w:t>
                          </w:r>
                          <w:r>
                            <w:rPr>
                              <w:rFonts w:ascii="宋体" w:hAnsi="宋体" w:eastAsia="宋体" w:cs="宋体"/>
                              <w:b/>
                              <w:bCs/>
                              <w:spacing w:val="3"/>
                              <w:sz w:val="20"/>
                              <w:szCs w:val="20"/>
                            </w:rPr>
                            <w:t>材料</w:t>
                          </w:r>
                        </w:p>
                      </w:tc>
                    </w:tr>
                  </w:tbl>
                  <w:p w14:paraId="1E2F89B2">
                    <w:pPr>
                      <w:rPr>
                        <w:rFonts w:ascii="Arial"/>
                        <w:sz w:val="21"/>
                      </w:rPr>
                    </w:pPr>
                  </w:p>
                </w:txbxContent>
              </v:textbox>
            </v:shape>
            <w10:wrap type="none"/>
            <w10:anchorlock/>
          </v:group>
        </w:pict>
      </w:r>
    </w:p>
    <w:p w14:paraId="52B1EE78">
      <w:pPr>
        <w:spacing w:before="259" w:line="227" w:lineRule="auto"/>
        <w:ind w:left="5414"/>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38"/>
          <w:sz w:val="20"/>
          <w:szCs w:val="20"/>
        </w:rPr>
        <w:t xml:space="preserve"> </w:t>
      </w:r>
      <w:r>
        <w:rPr>
          <w:rFonts w:ascii="Times New Roman" w:hAnsi="Times New Roman" w:eastAsia="Times New Roman" w:cs="Times New Roman"/>
          <w:b/>
          <w:bCs/>
          <w:spacing w:val="4"/>
          <w:sz w:val="20"/>
          <w:szCs w:val="20"/>
        </w:rPr>
        <w:t xml:space="preserve">2.1-2        </w:t>
      </w:r>
      <w:r>
        <w:rPr>
          <w:rFonts w:ascii="宋体" w:hAnsi="宋体" w:eastAsia="宋体" w:cs="宋体"/>
          <w:b/>
          <w:bCs/>
          <w:spacing w:val="4"/>
          <w:sz w:val="20"/>
          <w:szCs w:val="20"/>
        </w:rPr>
        <w:t>本项目厂区周边四邻图</w:t>
      </w:r>
    </w:p>
    <w:p w14:paraId="36E7EBAC">
      <w:pPr>
        <w:spacing w:line="227" w:lineRule="auto"/>
        <w:rPr>
          <w:rFonts w:ascii="宋体" w:hAnsi="宋体" w:eastAsia="宋体" w:cs="宋体"/>
          <w:sz w:val="20"/>
          <w:szCs w:val="20"/>
        </w:rPr>
        <w:sectPr>
          <w:headerReference r:id="rId87" w:type="default"/>
          <w:footerReference r:id="rId88" w:type="default"/>
          <w:pgSz w:w="16839" w:h="11906"/>
          <w:pgMar w:top="1235" w:right="1418" w:bottom="1070" w:left="1418" w:header="925" w:footer="907" w:gutter="0"/>
          <w:cols w:space="720" w:num="1"/>
        </w:sectPr>
      </w:pPr>
    </w:p>
    <w:p w14:paraId="13DB9B26">
      <w:pPr>
        <w:spacing w:before="227" w:line="222" w:lineRule="auto"/>
        <w:ind w:left="5"/>
        <w:outlineLvl w:val="2"/>
        <w:rPr>
          <w:rFonts w:ascii="黑体" w:hAnsi="黑体" w:eastAsia="黑体" w:cs="黑体"/>
          <w:sz w:val="30"/>
          <w:szCs w:val="30"/>
        </w:rPr>
      </w:pPr>
      <w:r>
        <w:pict>
          <v:shape id="_x0000_s1140" o:spid="_x0000_s1140" style="position:absolute;left:0pt;margin-left:70.85pt;margin-top:62.5pt;height:0.75pt;width:453.65pt;mso-position-horizontal-relative:page;mso-position-vertical-relative:page;z-index:251757568;mso-width-relative:page;mso-height-relative:page;" fillcolor="#000000" filled="t" stroked="f" coordsize="9072,15" o:allowincell="f" path="m0,0l9072,0,9072,14,0,14,0,0xe">
            <v:path/>
            <v:fill on="t" focussize="0,0"/>
            <v:stroke on="f"/>
            <v:imagedata o:title=""/>
            <o:lock v:ext="edit"/>
          </v:shape>
        </w:pict>
      </w:r>
      <w:bookmarkStart w:id="311" w:name="bookmark90"/>
      <w:bookmarkEnd w:id="311"/>
      <w:r>
        <w:rPr>
          <w:rFonts w:ascii="Times New Roman" w:hAnsi="Times New Roman" w:eastAsia="Times New Roman" w:cs="Times New Roman"/>
          <w:spacing w:val="-1"/>
          <w:sz w:val="30"/>
          <w:szCs w:val="30"/>
        </w:rPr>
        <w:t xml:space="preserve">2.1.2 </w:t>
      </w:r>
      <w:r>
        <w:rPr>
          <w:rFonts w:ascii="黑体" w:hAnsi="黑体" w:eastAsia="黑体" w:cs="黑体"/>
          <w:spacing w:val="-1"/>
          <w:sz w:val="30"/>
          <w:szCs w:val="30"/>
        </w:rPr>
        <w:t>项目建设内容</w:t>
      </w:r>
    </w:p>
    <w:p w14:paraId="2ABE20DC">
      <w:pPr>
        <w:spacing w:before="211" w:line="350" w:lineRule="auto"/>
        <w:ind w:left="10" w:firstLine="479"/>
        <w:jc w:val="both"/>
        <w:rPr>
          <w:rFonts w:ascii="宋体" w:hAnsi="宋体" w:eastAsia="宋体" w:cs="宋体"/>
          <w:sz w:val="24"/>
          <w:szCs w:val="24"/>
        </w:rPr>
      </w:pPr>
      <w:r>
        <w:rPr>
          <w:rFonts w:ascii="宋体" w:hAnsi="宋体" w:eastAsia="宋体" w:cs="宋体"/>
          <w:spacing w:val="-12"/>
          <w:sz w:val="24"/>
          <w:szCs w:val="24"/>
        </w:rPr>
        <w:t>本项目主要包括主体工程、辅助工程、储运工程、公用工程及环保工程。项目建（构）</w:t>
      </w:r>
      <w:r>
        <w:rPr>
          <w:rFonts w:ascii="宋体" w:hAnsi="宋体" w:eastAsia="宋体" w:cs="宋体"/>
          <w:spacing w:val="15"/>
          <w:sz w:val="24"/>
          <w:szCs w:val="24"/>
        </w:rPr>
        <w:t xml:space="preserve"> </w:t>
      </w:r>
      <w:r>
        <w:rPr>
          <w:rFonts w:ascii="宋体" w:hAnsi="宋体" w:eastAsia="宋体" w:cs="宋体"/>
          <w:spacing w:val="5"/>
          <w:sz w:val="24"/>
          <w:szCs w:val="24"/>
        </w:rPr>
        <w:t>筑物与生产设备部分使用现有项目已建成的部分，原有工程部分不满足</w:t>
      </w:r>
      <w:r>
        <w:rPr>
          <w:rFonts w:ascii="宋体" w:hAnsi="宋体" w:eastAsia="宋体" w:cs="宋体"/>
          <w:spacing w:val="4"/>
          <w:sz w:val="24"/>
          <w:szCs w:val="24"/>
        </w:rPr>
        <w:t>环保要求的情</w:t>
      </w:r>
      <w:r>
        <w:rPr>
          <w:rFonts w:ascii="宋体" w:hAnsi="宋体" w:eastAsia="宋体" w:cs="宋体"/>
          <w:sz w:val="24"/>
          <w:szCs w:val="24"/>
        </w:rPr>
        <w:t xml:space="preserve"> </w:t>
      </w:r>
      <w:r>
        <w:rPr>
          <w:rFonts w:ascii="宋体" w:hAnsi="宋体" w:eastAsia="宋体" w:cs="宋体"/>
          <w:spacing w:val="-1"/>
          <w:sz w:val="24"/>
          <w:szCs w:val="24"/>
        </w:rPr>
        <w:t>况，按照本次评价中提出的要求进行整改。</w:t>
      </w:r>
    </w:p>
    <w:p w14:paraId="76F2474A">
      <w:pPr>
        <w:spacing w:before="37" w:line="219" w:lineRule="auto"/>
        <w:ind w:left="489"/>
        <w:rPr>
          <w:rFonts w:ascii="宋体" w:hAnsi="宋体" w:eastAsia="宋体" w:cs="宋体"/>
          <w:sz w:val="24"/>
          <w:szCs w:val="24"/>
        </w:rPr>
      </w:pPr>
      <w:r>
        <w:rPr>
          <w:rFonts w:ascii="宋体" w:hAnsi="宋体" w:eastAsia="宋体" w:cs="宋体"/>
          <w:spacing w:val="-1"/>
          <w:sz w:val="24"/>
          <w:szCs w:val="24"/>
        </w:rPr>
        <w:t>本项目的主要建设内容见表</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2.1-1</w:t>
      </w:r>
      <w:r>
        <w:rPr>
          <w:rFonts w:ascii="宋体" w:hAnsi="宋体" w:eastAsia="宋体" w:cs="宋体"/>
          <w:spacing w:val="-1"/>
          <w:sz w:val="24"/>
          <w:szCs w:val="24"/>
        </w:rPr>
        <w:t>。</w:t>
      </w:r>
    </w:p>
    <w:p w14:paraId="38796332">
      <w:pPr>
        <w:spacing w:before="179" w:line="228" w:lineRule="auto"/>
        <w:ind w:left="3246"/>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34"/>
          <w:sz w:val="20"/>
          <w:szCs w:val="20"/>
        </w:rPr>
        <w:t xml:space="preserve"> </w:t>
      </w:r>
      <w:r>
        <w:rPr>
          <w:rFonts w:ascii="Times New Roman" w:hAnsi="Times New Roman" w:eastAsia="Times New Roman" w:cs="Times New Roman"/>
          <w:b/>
          <w:bCs/>
          <w:spacing w:val="4"/>
          <w:sz w:val="20"/>
          <w:szCs w:val="20"/>
        </w:rPr>
        <w:t xml:space="preserve">2.1-1        </w:t>
      </w:r>
      <w:r>
        <w:rPr>
          <w:rFonts w:ascii="宋体" w:hAnsi="宋体" w:eastAsia="宋体" w:cs="宋体"/>
          <w:b/>
          <w:bCs/>
          <w:spacing w:val="4"/>
          <w:sz w:val="20"/>
          <w:szCs w:val="20"/>
        </w:rPr>
        <w:t>项目组成一览表</w:t>
      </w:r>
    </w:p>
    <w:p w14:paraId="37F9E605">
      <w:pPr>
        <w:spacing w:line="129" w:lineRule="exact"/>
      </w:pPr>
    </w:p>
    <w:tbl>
      <w:tblPr>
        <w:tblStyle w:val="5"/>
        <w:tblW w:w="916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11"/>
        <w:gridCol w:w="988"/>
        <w:gridCol w:w="1281"/>
        <w:gridCol w:w="6281"/>
      </w:tblGrid>
      <w:tr w14:paraId="46D46B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611" w:type="dxa"/>
            <w:tcBorders>
              <w:top w:val="single" w:color="000000" w:sz="10" w:space="0"/>
              <w:left w:val="nil"/>
            </w:tcBorders>
            <w:vAlign w:val="top"/>
          </w:tcPr>
          <w:p w14:paraId="6CD81EC0">
            <w:pPr>
              <w:pStyle w:val="6"/>
              <w:spacing w:before="35" w:line="216" w:lineRule="auto"/>
              <w:ind w:left="100"/>
              <w:rPr>
                <w:sz w:val="20"/>
                <w:szCs w:val="20"/>
              </w:rPr>
            </w:pPr>
            <w:r>
              <w:rPr>
                <w:b/>
                <w:bCs/>
                <w:spacing w:val="3"/>
                <w:sz w:val="20"/>
                <w:szCs w:val="20"/>
              </w:rPr>
              <w:t>类型</w:t>
            </w:r>
          </w:p>
        </w:tc>
        <w:tc>
          <w:tcPr>
            <w:tcW w:w="988" w:type="dxa"/>
            <w:tcBorders>
              <w:top w:val="single" w:color="000000" w:sz="10" w:space="0"/>
            </w:tcBorders>
            <w:vAlign w:val="top"/>
          </w:tcPr>
          <w:p w14:paraId="0834DC6C">
            <w:pPr>
              <w:pStyle w:val="6"/>
              <w:spacing w:before="35" w:line="216" w:lineRule="auto"/>
              <w:ind w:left="80"/>
              <w:rPr>
                <w:sz w:val="20"/>
                <w:szCs w:val="20"/>
              </w:rPr>
            </w:pPr>
            <w:r>
              <w:rPr>
                <w:b/>
                <w:bCs/>
                <w:spacing w:val="5"/>
                <w:sz w:val="20"/>
                <w:szCs w:val="20"/>
              </w:rPr>
              <w:t>项目名称</w:t>
            </w:r>
          </w:p>
        </w:tc>
        <w:tc>
          <w:tcPr>
            <w:tcW w:w="7562" w:type="dxa"/>
            <w:gridSpan w:val="2"/>
            <w:tcBorders>
              <w:top w:val="single" w:color="000000" w:sz="10" w:space="0"/>
              <w:right w:val="nil"/>
            </w:tcBorders>
            <w:vAlign w:val="top"/>
          </w:tcPr>
          <w:p w14:paraId="7CEA11CD">
            <w:pPr>
              <w:pStyle w:val="6"/>
              <w:spacing w:before="35" w:line="216" w:lineRule="auto"/>
              <w:ind w:left="3323"/>
              <w:rPr>
                <w:sz w:val="20"/>
                <w:szCs w:val="20"/>
              </w:rPr>
            </w:pPr>
            <w:r>
              <w:rPr>
                <w:b/>
                <w:bCs/>
                <w:spacing w:val="5"/>
                <w:sz w:val="20"/>
                <w:szCs w:val="20"/>
              </w:rPr>
              <w:t>建设内容</w:t>
            </w:r>
          </w:p>
        </w:tc>
      </w:tr>
      <w:tr w14:paraId="7601D8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611" w:type="dxa"/>
            <w:vMerge w:val="restart"/>
            <w:tcBorders>
              <w:left w:val="nil"/>
              <w:bottom w:val="nil"/>
            </w:tcBorders>
            <w:vAlign w:val="top"/>
          </w:tcPr>
          <w:p w14:paraId="53B71BEB">
            <w:pPr>
              <w:spacing w:line="251" w:lineRule="auto"/>
              <w:rPr>
                <w:rFonts w:ascii="Arial"/>
                <w:sz w:val="21"/>
              </w:rPr>
            </w:pPr>
          </w:p>
          <w:p w14:paraId="3EB13DC2">
            <w:pPr>
              <w:spacing w:line="251" w:lineRule="auto"/>
              <w:rPr>
                <w:rFonts w:ascii="Arial"/>
                <w:sz w:val="21"/>
              </w:rPr>
            </w:pPr>
          </w:p>
          <w:p w14:paraId="4E7D1404">
            <w:pPr>
              <w:spacing w:line="251" w:lineRule="auto"/>
              <w:rPr>
                <w:rFonts w:ascii="Arial"/>
                <w:sz w:val="21"/>
              </w:rPr>
            </w:pPr>
          </w:p>
          <w:p w14:paraId="1EC49267">
            <w:pPr>
              <w:spacing w:line="251" w:lineRule="auto"/>
              <w:rPr>
                <w:rFonts w:ascii="Arial"/>
                <w:sz w:val="21"/>
              </w:rPr>
            </w:pPr>
          </w:p>
          <w:p w14:paraId="578F6714">
            <w:pPr>
              <w:spacing w:line="251" w:lineRule="auto"/>
              <w:rPr>
                <w:rFonts w:ascii="Arial"/>
                <w:sz w:val="21"/>
              </w:rPr>
            </w:pPr>
          </w:p>
          <w:p w14:paraId="3BF034FD">
            <w:pPr>
              <w:spacing w:line="251" w:lineRule="auto"/>
              <w:rPr>
                <w:rFonts w:ascii="Arial"/>
                <w:sz w:val="21"/>
              </w:rPr>
            </w:pPr>
          </w:p>
          <w:p w14:paraId="2545BF5A">
            <w:pPr>
              <w:spacing w:line="251" w:lineRule="auto"/>
              <w:rPr>
                <w:rFonts w:ascii="Arial"/>
                <w:sz w:val="21"/>
              </w:rPr>
            </w:pPr>
          </w:p>
          <w:p w14:paraId="5E8C3AF9">
            <w:pPr>
              <w:spacing w:line="251" w:lineRule="auto"/>
              <w:rPr>
                <w:rFonts w:ascii="Arial"/>
                <w:sz w:val="21"/>
              </w:rPr>
            </w:pPr>
          </w:p>
          <w:p w14:paraId="5C735F60">
            <w:pPr>
              <w:spacing w:line="251" w:lineRule="auto"/>
              <w:rPr>
                <w:rFonts w:ascii="Arial"/>
                <w:sz w:val="21"/>
              </w:rPr>
            </w:pPr>
          </w:p>
          <w:p w14:paraId="5D85CBD3">
            <w:pPr>
              <w:spacing w:line="251" w:lineRule="auto"/>
              <w:rPr>
                <w:rFonts w:ascii="Arial"/>
                <w:sz w:val="21"/>
              </w:rPr>
            </w:pPr>
          </w:p>
          <w:p w14:paraId="24CBD2B1">
            <w:pPr>
              <w:spacing w:line="251" w:lineRule="auto"/>
              <w:rPr>
                <w:rFonts w:ascii="Arial"/>
                <w:sz w:val="21"/>
              </w:rPr>
            </w:pPr>
          </w:p>
          <w:p w14:paraId="677F5625">
            <w:pPr>
              <w:spacing w:line="251" w:lineRule="auto"/>
              <w:rPr>
                <w:rFonts w:ascii="Arial"/>
                <w:sz w:val="21"/>
              </w:rPr>
            </w:pPr>
          </w:p>
          <w:p w14:paraId="46A8443F">
            <w:pPr>
              <w:spacing w:line="251" w:lineRule="auto"/>
              <w:rPr>
                <w:rFonts w:ascii="Arial"/>
                <w:sz w:val="21"/>
              </w:rPr>
            </w:pPr>
          </w:p>
          <w:p w14:paraId="42E95AA7">
            <w:pPr>
              <w:spacing w:line="251" w:lineRule="auto"/>
              <w:rPr>
                <w:rFonts w:ascii="Arial"/>
                <w:sz w:val="21"/>
              </w:rPr>
            </w:pPr>
          </w:p>
          <w:p w14:paraId="7E7CBC4C">
            <w:pPr>
              <w:spacing w:line="251" w:lineRule="auto"/>
              <w:rPr>
                <w:rFonts w:ascii="Arial"/>
                <w:sz w:val="21"/>
              </w:rPr>
            </w:pPr>
          </w:p>
          <w:p w14:paraId="195DF1D6">
            <w:pPr>
              <w:spacing w:line="251" w:lineRule="auto"/>
              <w:rPr>
                <w:rFonts w:ascii="Arial"/>
                <w:sz w:val="21"/>
              </w:rPr>
            </w:pPr>
          </w:p>
          <w:p w14:paraId="71FE6808">
            <w:pPr>
              <w:spacing w:line="251" w:lineRule="auto"/>
              <w:rPr>
                <w:rFonts w:ascii="Arial"/>
                <w:sz w:val="21"/>
              </w:rPr>
            </w:pPr>
          </w:p>
          <w:p w14:paraId="2DA23A04">
            <w:pPr>
              <w:spacing w:line="251" w:lineRule="auto"/>
              <w:rPr>
                <w:rFonts w:ascii="Arial"/>
                <w:sz w:val="21"/>
              </w:rPr>
            </w:pPr>
          </w:p>
          <w:p w14:paraId="6FB89967">
            <w:pPr>
              <w:spacing w:line="251" w:lineRule="auto"/>
              <w:rPr>
                <w:rFonts w:ascii="Arial"/>
                <w:sz w:val="21"/>
              </w:rPr>
            </w:pPr>
          </w:p>
          <w:p w14:paraId="7CE0F1AC">
            <w:pPr>
              <w:spacing w:line="251" w:lineRule="auto"/>
              <w:rPr>
                <w:rFonts w:ascii="Arial"/>
                <w:sz w:val="21"/>
              </w:rPr>
            </w:pPr>
          </w:p>
          <w:p w14:paraId="236A93AC">
            <w:pPr>
              <w:pStyle w:val="6"/>
              <w:spacing w:before="65" w:line="239" w:lineRule="auto"/>
              <w:ind w:left="104" w:right="95"/>
              <w:rPr>
                <w:sz w:val="20"/>
                <w:szCs w:val="20"/>
              </w:rPr>
            </w:pPr>
            <w:r>
              <w:rPr>
                <w:spacing w:val="3"/>
                <w:sz w:val="20"/>
                <w:szCs w:val="20"/>
              </w:rPr>
              <w:t>主体</w:t>
            </w:r>
            <w:r>
              <w:rPr>
                <w:sz w:val="20"/>
                <w:szCs w:val="20"/>
              </w:rPr>
              <w:t xml:space="preserve"> </w:t>
            </w:r>
            <w:r>
              <w:rPr>
                <w:spacing w:val="3"/>
                <w:sz w:val="20"/>
                <w:szCs w:val="20"/>
              </w:rPr>
              <w:t>工程</w:t>
            </w:r>
          </w:p>
        </w:tc>
        <w:tc>
          <w:tcPr>
            <w:tcW w:w="988" w:type="dxa"/>
            <w:vMerge w:val="restart"/>
            <w:tcBorders>
              <w:bottom w:val="nil"/>
            </w:tcBorders>
            <w:vAlign w:val="top"/>
          </w:tcPr>
          <w:p w14:paraId="7EB71234">
            <w:pPr>
              <w:spacing w:line="256" w:lineRule="auto"/>
              <w:rPr>
                <w:rFonts w:ascii="Arial"/>
                <w:sz w:val="21"/>
              </w:rPr>
            </w:pPr>
          </w:p>
          <w:p w14:paraId="50122CB4">
            <w:pPr>
              <w:spacing w:line="256" w:lineRule="auto"/>
              <w:rPr>
                <w:rFonts w:ascii="Arial"/>
                <w:sz w:val="21"/>
              </w:rPr>
            </w:pPr>
          </w:p>
          <w:p w14:paraId="6C2E0D5E">
            <w:pPr>
              <w:spacing w:line="256" w:lineRule="auto"/>
              <w:rPr>
                <w:rFonts w:ascii="Arial"/>
                <w:sz w:val="21"/>
              </w:rPr>
            </w:pPr>
          </w:p>
          <w:p w14:paraId="0B9E4492">
            <w:pPr>
              <w:spacing w:line="256" w:lineRule="auto"/>
              <w:rPr>
                <w:rFonts w:ascii="Arial"/>
                <w:sz w:val="21"/>
              </w:rPr>
            </w:pPr>
          </w:p>
          <w:p w14:paraId="46BFE101">
            <w:pPr>
              <w:spacing w:line="256" w:lineRule="auto"/>
              <w:rPr>
                <w:rFonts w:ascii="Arial"/>
                <w:sz w:val="21"/>
              </w:rPr>
            </w:pPr>
          </w:p>
          <w:p w14:paraId="39AA01DD">
            <w:pPr>
              <w:spacing w:line="257" w:lineRule="auto"/>
              <w:rPr>
                <w:rFonts w:ascii="Arial"/>
                <w:sz w:val="21"/>
              </w:rPr>
            </w:pPr>
          </w:p>
          <w:p w14:paraId="3C9950BD">
            <w:pPr>
              <w:spacing w:line="257" w:lineRule="auto"/>
              <w:rPr>
                <w:rFonts w:ascii="Arial"/>
                <w:sz w:val="21"/>
              </w:rPr>
            </w:pPr>
          </w:p>
          <w:p w14:paraId="78381EF9">
            <w:pPr>
              <w:spacing w:line="257" w:lineRule="auto"/>
              <w:rPr>
                <w:rFonts w:ascii="Arial"/>
                <w:sz w:val="21"/>
              </w:rPr>
            </w:pPr>
          </w:p>
          <w:p w14:paraId="7653C480">
            <w:pPr>
              <w:spacing w:line="257" w:lineRule="auto"/>
              <w:rPr>
                <w:rFonts w:ascii="Arial"/>
                <w:sz w:val="21"/>
              </w:rPr>
            </w:pPr>
          </w:p>
          <w:p w14:paraId="2BF57937">
            <w:pPr>
              <w:spacing w:line="257" w:lineRule="auto"/>
              <w:rPr>
                <w:rFonts w:ascii="Arial"/>
                <w:sz w:val="21"/>
              </w:rPr>
            </w:pPr>
          </w:p>
          <w:p w14:paraId="0CD88997">
            <w:pPr>
              <w:spacing w:line="257" w:lineRule="auto"/>
              <w:rPr>
                <w:rFonts w:ascii="Arial"/>
                <w:sz w:val="21"/>
              </w:rPr>
            </w:pPr>
          </w:p>
          <w:p w14:paraId="7C5EB2CC">
            <w:pPr>
              <w:pStyle w:val="6"/>
              <w:spacing w:before="65" w:line="239" w:lineRule="auto"/>
              <w:ind w:left="290" w:right="73" w:hanging="210"/>
              <w:rPr>
                <w:sz w:val="20"/>
                <w:szCs w:val="20"/>
              </w:rPr>
            </w:pPr>
            <w:r>
              <w:rPr>
                <w:spacing w:val="7"/>
                <w:sz w:val="20"/>
                <w:szCs w:val="20"/>
              </w:rPr>
              <w:t>锰硅合金</w:t>
            </w:r>
            <w:r>
              <w:rPr>
                <w:sz w:val="20"/>
                <w:szCs w:val="20"/>
              </w:rPr>
              <w:t xml:space="preserve"> </w:t>
            </w:r>
            <w:r>
              <w:rPr>
                <w:spacing w:val="3"/>
                <w:sz w:val="20"/>
                <w:szCs w:val="20"/>
              </w:rPr>
              <w:t>生产</w:t>
            </w:r>
          </w:p>
        </w:tc>
        <w:tc>
          <w:tcPr>
            <w:tcW w:w="1281" w:type="dxa"/>
            <w:vAlign w:val="top"/>
          </w:tcPr>
          <w:p w14:paraId="5229EDF3">
            <w:pPr>
              <w:pStyle w:val="6"/>
              <w:spacing w:before="168" w:line="227" w:lineRule="auto"/>
              <w:ind w:left="229"/>
              <w:rPr>
                <w:sz w:val="20"/>
                <w:szCs w:val="20"/>
              </w:rPr>
            </w:pPr>
            <w:r>
              <w:rPr>
                <w:spacing w:val="6"/>
                <w:sz w:val="20"/>
                <w:szCs w:val="20"/>
              </w:rPr>
              <w:t>原料烘干</w:t>
            </w:r>
          </w:p>
        </w:tc>
        <w:tc>
          <w:tcPr>
            <w:tcW w:w="6281" w:type="dxa"/>
            <w:tcBorders>
              <w:right w:val="nil"/>
            </w:tcBorders>
            <w:vAlign w:val="top"/>
          </w:tcPr>
          <w:p w14:paraId="6D79B622">
            <w:pPr>
              <w:pStyle w:val="6"/>
              <w:spacing w:before="34" w:line="232" w:lineRule="auto"/>
              <w:ind w:left="10" w:right="3" w:hanging="7"/>
              <w:rPr>
                <w:sz w:val="20"/>
                <w:szCs w:val="20"/>
              </w:rPr>
            </w:pPr>
            <w:r>
              <w:rPr>
                <w:rFonts w:ascii="Times New Roman" w:hAnsi="Times New Roman" w:eastAsia="Times New Roman" w:cs="Times New Roman"/>
                <w:spacing w:val="7"/>
                <w:sz w:val="20"/>
                <w:szCs w:val="20"/>
              </w:rPr>
              <w:t xml:space="preserve">2 </w:t>
            </w:r>
            <w:r>
              <w:rPr>
                <w:spacing w:val="7"/>
                <w:sz w:val="20"/>
                <w:szCs w:val="20"/>
              </w:rPr>
              <w:t>座，</w:t>
            </w:r>
            <w:r>
              <w:rPr>
                <w:rFonts w:ascii="Times New Roman" w:hAnsi="Times New Roman" w:eastAsia="Times New Roman" w:cs="Times New Roman"/>
                <w:spacing w:val="7"/>
                <w:sz w:val="20"/>
                <w:szCs w:val="20"/>
              </w:rPr>
              <w:t xml:space="preserve">1 </w:t>
            </w:r>
            <w:r>
              <w:rPr>
                <w:spacing w:val="7"/>
                <w:sz w:val="20"/>
                <w:szCs w:val="20"/>
              </w:rPr>
              <w:t>层钢结构建筑，建筑面积均为</w:t>
            </w:r>
            <w:r>
              <w:rPr>
                <w:spacing w:val="-34"/>
                <w:sz w:val="20"/>
                <w:szCs w:val="20"/>
              </w:rPr>
              <w:t xml:space="preserve"> </w:t>
            </w:r>
            <w:r>
              <w:rPr>
                <w:rFonts w:ascii="Times New Roman" w:hAnsi="Times New Roman" w:eastAsia="Times New Roman" w:cs="Times New Roman"/>
                <w:spacing w:val="7"/>
                <w:sz w:val="20"/>
                <w:szCs w:val="20"/>
              </w:rPr>
              <w:t>3528m</w:t>
            </w:r>
            <w:r>
              <w:rPr>
                <w:rFonts w:ascii="Times New Roman" w:hAnsi="Times New Roman" w:eastAsia="Times New Roman" w:cs="Times New Roman"/>
                <w:spacing w:val="6"/>
                <w:position w:val="6"/>
                <w:sz w:val="13"/>
                <w:szCs w:val="13"/>
              </w:rPr>
              <w:t>2</w:t>
            </w:r>
            <w:r>
              <w:rPr>
                <w:rFonts w:ascii="Times New Roman" w:hAnsi="Times New Roman" w:eastAsia="Times New Roman" w:cs="Times New Roman"/>
                <w:spacing w:val="-6"/>
                <w:position w:val="6"/>
                <w:sz w:val="13"/>
                <w:szCs w:val="13"/>
              </w:rPr>
              <w:t xml:space="preserve"> </w:t>
            </w:r>
            <w:r>
              <w:rPr>
                <w:spacing w:val="6"/>
                <w:sz w:val="20"/>
                <w:szCs w:val="20"/>
              </w:rPr>
              <w:t>，高度均为</w:t>
            </w:r>
            <w:r>
              <w:rPr>
                <w:spacing w:val="-20"/>
                <w:sz w:val="20"/>
                <w:szCs w:val="20"/>
              </w:rPr>
              <w:t xml:space="preserve"> </w:t>
            </w:r>
            <w:r>
              <w:rPr>
                <w:rFonts w:ascii="Times New Roman" w:hAnsi="Times New Roman" w:eastAsia="Times New Roman" w:cs="Times New Roman"/>
                <w:spacing w:val="6"/>
                <w:sz w:val="20"/>
                <w:szCs w:val="20"/>
              </w:rPr>
              <w:t>17.9m</w:t>
            </w:r>
            <w:r>
              <w:rPr>
                <w:rFonts w:ascii="Times New Roman" w:hAnsi="Times New Roman" w:eastAsia="Times New Roman" w:cs="Times New Roman"/>
                <w:spacing w:val="-24"/>
                <w:sz w:val="20"/>
                <w:szCs w:val="20"/>
              </w:rPr>
              <w:t xml:space="preserve"> </w:t>
            </w:r>
            <w:r>
              <w:rPr>
                <w:spacing w:val="6"/>
                <w:sz w:val="20"/>
                <w:szCs w:val="20"/>
              </w:rPr>
              <w:t>，各</w:t>
            </w:r>
            <w:r>
              <w:rPr>
                <w:sz w:val="20"/>
                <w:szCs w:val="20"/>
              </w:rPr>
              <w:t xml:space="preserve"> </w:t>
            </w:r>
            <w:r>
              <w:rPr>
                <w:spacing w:val="7"/>
                <w:sz w:val="20"/>
                <w:szCs w:val="20"/>
              </w:rPr>
              <w:t>设</w:t>
            </w:r>
            <w:r>
              <w:rPr>
                <w:spacing w:val="-23"/>
                <w:sz w:val="20"/>
                <w:szCs w:val="20"/>
              </w:rPr>
              <w:t xml:space="preserve"> </w:t>
            </w:r>
            <w:r>
              <w:rPr>
                <w:rFonts w:ascii="Times New Roman" w:hAnsi="Times New Roman" w:eastAsia="Times New Roman" w:cs="Times New Roman"/>
                <w:spacing w:val="7"/>
                <w:sz w:val="20"/>
                <w:szCs w:val="20"/>
              </w:rPr>
              <w:t>1</w:t>
            </w:r>
            <w:r>
              <w:rPr>
                <w:rFonts w:ascii="Times New Roman" w:hAnsi="Times New Roman" w:eastAsia="Times New Roman" w:cs="Times New Roman"/>
                <w:spacing w:val="29"/>
                <w:sz w:val="20"/>
                <w:szCs w:val="20"/>
              </w:rPr>
              <w:t xml:space="preserve"> </w:t>
            </w:r>
            <w:r>
              <w:rPr>
                <w:spacing w:val="7"/>
                <w:sz w:val="20"/>
                <w:szCs w:val="20"/>
              </w:rPr>
              <w:t>台回转圆筒烘干机，用于原料硅锰矿石及焦炭的烘</w:t>
            </w:r>
            <w:r>
              <w:rPr>
                <w:spacing w:val="6"/>
                <w:sz w:val="20"/>
                <w:szCs w:val="20"/>
              </w:rPr>
              <w:t>干。</w:t>
            </w:r>
          </w:p>
        </w:tc>
      </w:tr>
      <w:tr w14:paraId="008B90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5" w:hRule="atLeast"/>
        </w:trPr>
        <w:tc>
          <w:tcPr>
            <w:tcW w:w="611" w:type="dxa"/>
            <w:vMerge w:val="continue"/>
            <w:tcBorders>
              <w:top w:val="nil"/>
              <w:left w:val="nil"/>
              <w:bottom w:val="nil"/>
            </w:tcBorders>
            <w:vAlign w:val="top"/>
          </w:tcPr>
          <w:p w14:paraId="189E6806">
            <w:pPr>
              <w:rPr>
                <w:rFonts w:ascii="Arial"/>
                <w:sz w:val="21"/>
              </w:rPr>
            </w:pPr>
          </w:p>
        </w:tc>
        <w:tc>
          <w:tcPr>
            <w:tcW w:w="988" w:type="dxa"/>
            <w:vMerge w:val="continue"/>
            <w:tcBorders>
              <w:top w:val="nil"/>
              <w:bottom w:val="nil"/>
            </w:tcBorders>
            <w:vAlign w:val="top"/>
          </w:tcPr>
          <w:p w14:paraId="2D3237F2">
            <w:pPr>
              <w:rPr>
                <w:rFonts w:ascii="Arial"/>
                <w:sz w:val="21"/>
              </w:rPr>
            </w:pPr>
          </w:p>
        </w:tc>
        <w:tc>
          <w:tcPr>
            <w:tcW w:w="1281" w:type="dxa"/>
            <w:vMerge w:val="restart"/>
            <w:tcBorders>
              <w:bottom w:val="nil"/>
            </w:tcBorders>
            <w:vAlign w:val="top"/>
          </w:tcPr>
          <w:p w14:paraId="2E74177D">
            <w:pPr>
              <w:spacing w:line="260" w:lineRule="auto"/>
              <w:rPr>
                <w:rFonts w:ascii="Arial"/>
                <w:sz w:val="21"/>
              </w:rPr>
            </w:pPr>
          </w:p>
          <w:p w14:paraId="240F41FB">
            <w:pPr>
              <w:spacing w:line="261" w:lineRule="auto"/>
              <w:rPr>
                <w:rFonts w:ascii="Arial"/>
                <w:sz w:val="21"/>
              </w:rPr>
            </w:pPr>
          </w:p>
          <w:p w14:paraId="48CE5E79">
            <w:pPr>
              <w:spacing w:line="261" w:lineRule="auto"/>
              <w:rPr>
                <w:rFonts w:ascii="Arial"/>
                <w:sz w:val="21"/>
              </w:rPr>
            </w:pPr>
          </w:p>
          <w:p w14:paraId="18964E2D">
            <w:pPr>
              <w:pStyle w:val="6"/>
              <w:spacing w:before="65" w:line="227" w:lineRule="auto"/>
              <w:ind w:left="15"/>
              <w:rPr>
                <w:sz w:val="20"/>
                <w:szCs w:val="20"/>
              </w:rPr>
            </w:pPr>
            <w:r>
              <w:rPr>
                <w:spacing w:val="8"/>
                <w:sz w:val="20"/>
                <w:szCs w:val="20"/>
              </w:rPr>
              <w:t>烧结生产系统</w:t>
            </w:r>
          </w:p>
        </w:tc>
        <w:tc>
          <w:tcPr>
            <w:tcW w:w="6281" w:type="dxa"/>
            <w:tcBorders>
              <w:right w:val="nil"/>
            </w:tcBorders>
            <w:vAlign w:val="top"/>
          </w:tcPr>
          <w:p w14:paraId="438C2A57">
            <w:pPr>
              <w:pStyle w:val="6"/>
              <w:spacing w:before="31" w:line="238" w:lineRule="auto"/>
              <w:ind w:left="6"/>
              <w:rPr>
                <w:sz w:val="20"/>
                <w:szCs w:val="20"/>
              </w:rPr>
            </w:pPr>
            <w:r>
              <w:rPr>
                <w:spacing w:val="1"/>
                <w:sz w:val="20"/>
                <w:szCs w:val="20"/>
              </w:rPr>
              <w:t>烧结生产车间</w:t>
            </w:r>
            <w:r>
              <w:rPr>
                <w:spacing w:val="-21"/>
                <w:sz w:val="20"/>
                <w:szCs w:val="20"/>
              </w:rPr>
              <w:t xml:space="preserve"> </w:t>
            </w:r>
            <w:r>
              <w:rPr>
                <w:rFonts w:ascii="Times New Roman" w:hAnsi="Times New Roman" w:eastAsia="Times New Roman" w:cs="Times New Roman"/>
                <w:spacing w:val="1"/>
                <w:sz w:val="20"/>
                <w:szCs w:val="20"/>
              </w:rPr>
              <w:t>1</w:t>
            </w:r>
            <w:r>
              <w:rPr>
                <w:rFonts w:ascii="Times New Roman" w:hAnsi="Times New Roman" w:eastAsia="Times New Roman" w:cs="Times New Roman"/>
                <w:spacing w:val="13"/>
                <w:w w:val="101"/>
                <w:sz w:val="20"/>
                <w:szCs w:val="20"/>
              </w:rPr>
              <w:t xml:space="preserve"> </w:t>
            </w:r>
            <w:r>
              <w:rPr>
                <w:spacing w:val="1"/>
                <w:sz w:val="20"/>
                <w:szCs w:val="20"/>
              </w:rPr>
              <w:t>座，</w:t>
            </w:r>
            <w:r>
              <w:rPr>
                <w:rFonts w:ascii="Times New Roman" w:hAnsi="Times New Roman" w:eastAsia="Times New Roman" w:cs="Times New Roman"/>
                <w:spacing w:val="1"/>
                <w:sz w:val="20"/>
                <w:szCs w:val="20"/>
              </w:rPr>
              <w:t xml:space="preserve">4 </w:t>
            </w:r>
            <w:r>
              <w:rPr>
                <w:spacing w:val="1"/>
                <w:sz w:val="20"/>
                <w:szCs w:val="20"/>
              </w:rPr>
              <w:t>层钢结构建筑，建筑面积</w:t>
            </w:r>
            <w:r>
              <w:rPr>
                <w:spacing w:val="-44"/>
                <w:sz w:val="20"/>
                <w:szCs w:val="20"/>
              </w:rPr>
              <w:t xml:space="preserve"> </w:t>
            </w:r>
            <w:r>
              <w:rPr>
                <w:rFonts w:ascii="Times New Roman" w:hAnsi="Times New Roman" w:eastAsia="Times New Roman" w:cs="Times New Roman"/>
                <w:spacing w:val="1"/>
                <w:sz w:val="20"/>
                <w:szCs w:val="20"/>
              </w:rPr>
              <w:t>2556m</w:t>
            </w:r>
            <w:r>
              <w:rPr>
                <w:rFonts w:ascii="Times New Roman" w:hAnsi="Times New Roman" w:eastAsia="Times New Roman" w:cs="Times New Roman"/>
                <w:spacing w:val="1"/>
                <w:position w:val="6"/>
                <w:sz w:val="13"/>
                <w:szCs w:val="13"/>
              </w:rPr>
              <w:t>2</w:t>
            </w:r>
            <w:r>
              <w:rPr>
                <w:spacing w:val="1"/>
                <w:sz w:val="20"/>
                <w:szCs w:val="20"/>
              </w:rPr>
              <w:t>，高度</w:t>
            </w:r>
            <w:r>
              <w:rPr>
                <w:spacing w:val="-41"/>
                <w:sz w:val="20"/>
                <w:szCs w:val="20"/>
              </w:rPr>
              <w:t xml:space="preserve"> </w:t>
            </w:r>
            <w:r>
              <w:rPr>
                <w:rFonts w:ascii="Times New Roman" w:hAnsi="Times New Roman" w:eastAsia="Times New Roman" w:cs="Times New Roman"/>
                <w:spacing w:val="1"/>
                <w:sz w:val="20"/>
                <w:szCs w:val="20"/>
              </w:rPr>
              <w:t>28.5m</w:t>
            </w:r>
            <w:r>
              <w:rPr>
                <w:spacing w:val="1"/>
                <w:sz w:val="20"/>
                <w:szCs w:val="20"/>
              </w:rPr>
              <w:t>，</w:t>
            </w:r>
            <w:r>
              <w:rPr>
                <w:sz w:val="20"/>
                <w:szCs w:val="20"/>
              </w:rPr>
              <w:t xml:space="preserve"> </w:t>
            </w:r>
            <w:r>
              <w:rPr>
                <w:spacing w:val="8"/>
                <w:sz w:val="20"/>
                <w:szCs w:val="20"/>
              </w:rPr>
              <w:t>配置</w:t>
            </w:r>
            <w:r>
              <w:rPr>
                <w:spacing w:val="-21"/>
                <w:sz w:val="20"/>
                <w:szCs w:val="20"/>
              </w:rPr>
              <w:t xml:space="preserve"> </w:t>
            </w:r>
            <w:r>
              <w:rPr>
                <w:rFonts w:ascii="Times New Roman" w:hAnsi="Times New Roman" w:eastAsia="Times New Roman" w:cs="Times New Roman"/>
                <w:spacing w:val="8"/>
                <w:sz w:val="20"/>
                <w:szCs w:val="20"/>
              </w:rPr>
              <w:t>1</w:t>
            </w:r>
            <w:r>
              <w:rPr>
                <w:rFonts w:ascii="Times New Roman" w:hAnsi="Times New Roman" w:eastAsia="Times New Roman" w:cs="Times New Roman"/>
                <w:spacing w:val="30"/>
                <w:w w:val="101"/>
                <w:sz w:val="20"/>
                <w:szCs w:val="20"/>
              </w:rPr>
              <w:t xml:space="preserve"> </w:t>
            </w:r>
            <w:r>
              <w:rPr>
                <w:spacing w:val="8"/>
                <w:sz w:val="20"/>
                <w:szCs w:val="20"/>
              </w:rPr>
              <w:t>台</w:t>
            </w:r>
            <w:r>
              <w:rPr>
                <w:spacing w:val="-35"/>
                <w:sz w:val="20"/>
                <w:szCs w:val="20"/>
              </w:rPr>
              <w:t xml:space="preserve"> </w:t>
            </w:r>
            <w:r>
              <w:rPr>
                <w:rFonts w:ascii="Times New Roman" w:hAnsi="Times New Roman" w:eastAsia="Times New Roman" w:cs="Times New Roman"/>
                <w:spacing w:val="8"/>
                <w:sz w:val="20"/>
                <w:szCs w:val="20"/>
              </w:rPr>
              <w:t>60m</w:t>
            </w:r>
            <w:r>
              <w:rPr>
                <w:rFonts w:ascii="Times New Roman" w:hAnsi="Times New Roman" w:eastAsia="Times New Roman" w:cs="Times New Roman"/>
                <w:spacing w:val="8"/>
                <w:position w:val="6"/>
                <w:sz w:val="13"/>
                <w:szCs w:val="13"/>
              </w:rPr>
              <w:t>2</w:t>
            </w:r>
            <w:r>
              <w:rPr>
                <w:rFonts w:ascii="Times New Roman" w:hAnsi="Times New Roman" w:eastAsia="Times New Roman" w:cs="Times New Roman"/>
                <w:spacing w:val="18"/>
                <w:w w:val="103"/>
                <w:position w:val="6"/>
                <w:sz w:val="13"/>
                <w:szCs w:val="13"/>
              </w:rPr>
              <w:t xml:space="preserve"> </w:t>
            </w:r>
            <w:r>
              <w:rPr>
                <w:spacing w:val="8"/>
                <w:sz w:val="20"/>
                <w:szCs w:val="20"/>
              </w:rPr>
              <w:t>带式烧结机，混合制粒后</w:t>
            </w:r>
            <w:r>
              <w:rPr>
                <w:spacing w:val="7"/>
                <w:sz w:val="20"/>
                <w:szCs w:val="20"/>
              </w:rPr>
              <w:t>的进入烧结机内进行焙烧，</w:t>
            </w:r>
            <w:r>
              <w:rPr>
                <w:sz w:val="20"/>
                <w:szCs w:val="20"/>
              </w:rPr>
              <w:t xml:space="preserve"> </w:t>
            </w:r>
            <w:r>
              <w:rPr>
                <w:spacing w:val="6"/>
                <w:sz w:val="20"/>
                <w:szCs w:val="20"/>
              </w:rPr>
              <w:t>烧结机热源为净化后的煤气。</w:t>
            </w:r>
          </w:p>
        </w:tc>
      </w:tr>
      <w:tr w14:paraId="1ED8FD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611" w:type="dxa"/>
            <w:vMerge w:val="continue"/>
            <w:tcBorders>
              <w:top w:val="nil"/>
              <w:left w:val="nil"/>
              <w:bottom w:val="nil"/>
            </w:tcBorders>
            <w:vAlign w:val="top"/>
          </w:tcPr>
          <w:p w14:paraId="072F44B0">
            <w:pPr>
              <w:rPr>
                <w:rFonts w:ascii="Arial"/>
                <w:sz w:val="21"/>
              </w:rPr>
            </w:pPr>
          </w:p>
        </w:tc>
        <w:tc>
          <w:tcPr>
            <w:tcW w:w="988" w:type="dxa"/>
            <w:vMerge w:val="continue"/>
            <w:tcBorders>
              <w:top w:val="nil"/>
              <w:bottom w:val="nil"/>
            </w:tcBorders>
            <w:vAlign w:val="top"/>
          </w:tcPr>
          <w:p w14:paraId="142436DD">
            <w:pPr>
              <w:rPr>
                <w:rFonts w:ascii="Arial"/>
                <w:sz w:val="21"/>
              </w:rPr>
            </w:pPr>
          </w:p>
        </w:tc>
        <w:tc>
          <w:tcPr>
            <w:tcW w:w="1281" w:type="dxa"/>
            <w:vMerge w:val="continue"/>
            <w:tcBorders>
              <w:top w:val="nil"/>
              <w:bottom w:val="nil"/>
            </w:tcBorders>
            <w:vAlign w:val="top"/>
          </w:tcPr>
          <w:p w14:paraId="3EE7AC14">
            <w:pPr>
              <w:rPr>
                <w:rFonts w:ascii="Arial"/>
                <w:sz w:val="21"/>
              </w:rPr>
            </w:pPr>
          </w:p>
        </w:tc>
        <w:tc>
          <w:tcPr>
            <w:tcW w:w="6281" w:type="dxa"/>
            <w:tcBorders>
              <w:right w:val="nil"/>
            </w:tcBorders>
            <w:vAlign w:val="top"/>
          </w:tcPr>
          <w:p w14:paraId="2A739BBA">
            <w:pPr>
              <w:pStyle w:val="6"/>
              <w:spacing w:before="32" w:line="231" w:lineRule="auto"/>
              <w:ind w:left="8" w:right="52" w:hanging="2"/>
              <w:rPr>
                <w:sz w:val="20"/>
                <w:szCs w:val="20"/>
              </w:rPr>
            </w:pPr>
            <w:r>
              <w:rPr>
                <w:spacing w:val="5"/>
                <w:sz w:val="20"/>
                <w:szCs w:val="20"/>
              </w:rPr>
              <w:t>烧结原料库</w:t>
            </w:r>
            <w:r>
              <w:rPr>
                <w:spacing w:val="-21"/>
                <w:sz w:val="20"/>
                <w:szCs w:val="20"/>
              </w:rPr>
              <w:t xml:space="preserve"> </w:t>
            </w:r>
            <w:r>
              <w:rPr>
                <w:rFonts w:ascii="Times New Roman" w:hAnsi="Times New Roman" w:eastAsia="Times New Roman" w:cs="Times New Roman"/>
                <w:spacing w:val="5"/>
                <w:sz w:val="20"/>
                <w:szCs w:val="20"/>
              </w:rPr>
              <w:t xml:space="preserve">1 </w:t>
            </w:r>
            <w:r>
              <w:rPr>
                <w:spacing w:val="5"/>
                <w:sz w:val="20"/>
                <w:szCs w:val="20"/>
              </w:rPr>
              <w:t>座，</w:t>
            </w:r>
            <w:r>
              <w:rPr>
                <w:rFonts w:ascii="Times New Roman" w:hAnsi="Times New Roman" w:eastAsia="Times New Roman" w:cs="Times New Roman"/>
                <w:spacing w:val="5"/>
                <w:sz w:val="20"/>
                <w:szCs w:val="20"/>
              </w:rPr>
              <w:t xml:space="preserve">1 </w:t>
            </w:r>
            <w:r>
              <w:rPr>
                <w:spacing w:val="5"/>
                <w:sz w:val="20"/>
                <w:szCs w:val="20"/>
              </w:rPr>
              <w:t>层钢结构建筑，建筑面</w:t>
            </w:r>
            <w:r>
              <w:rPr>
                <w:spacing w:val="4"/>
                <w:sz w:val="20"/>
                <w:szCs w:val="20"/>
              </w:rPr>
              <w:t>积</w:t>
            </w:r>
            <w:r>
              <w:rPr>
                <w:spacing w:val="-39"/>
                <w:sz w:val="20"/>
                <w:szCs w:val="20"/>
              </w:rPr>
              <w:t xml:space="preserve"> </w:t>
            </w:r>
            <w:r>
              <w:rPr>
                <w:rFonts w:ascii="Times New Roman" w:hAnsi="Times New Roman" w:eastAsia="Times New Roman" w:cs="Times New Roman"/>
                <w:spacing w:val="4"/>
                <w:sz w:val="20"/>
                <w:szCs w:val="20"/>
              </w:rPr>
              <w:t>9166m</w:t>
            </w:r>
            <w:r>
              <w:rPr>
                <w:rFonts w:ascii="Times New Roman" w:hAnsi="Times New Roman" w:eastAsia="Times New Roman" w:cs="Times New Roman"/>
                <w:spacing w:val="4"/>
                <w:position w:val="6"/>
                <w:sz w:val="13"/>
                <w:szCs w:val="13"/>
              </w:rPr>
              <w:t>2</w:t>
            </w:r>
            <w:r>
              <w:rPr>
                <w:rFonts w:ascii="Times New Roman" w:hAnsi="Times New Roman" w:eastAsia="Times New Roman" w:cs="Times New Roman"/>
                <w:spacing w:val="-6"/>
                <w:position w:val="6"/>
                <w:sz w:val="13"/>
                <w:szCs w:val="13"/>
              </w:rPr>
              <w:t xml:space="preserve"> </w:t>
            </w:r>
            <w:r>
              <w:rPr>
                <w:spacing w:val="4"/>
                <w:sz w:val="20"/>
                <w:szCs w:val="20"/>
              </w:rPr>
              <w:t>，高度</w:t>
            </w:r>
            <w:r>
              <w:rPr>
                <w:spacing w:val="-43"/>
                <w:sz w:val="20"/>
                <w:szCs w:val="20"/>
              </w:rPr>
              <w:t xml:space="preserve"> </w:t>
            </w:r>
            <w:r>
              <w:rPr>
                <w:rFonts w:ascii="Times New Roman" w:hAnsi="Times New Roman" w:eastAsia="Times New Roman" w:cs="Times New Roman"/>
                <w:spacing w:val="4"/>
                <w:sz w:val="20"/>
                <w:szCs w:val="20"/>
              </w:rPr>
              <w:t>21.5m</w:t>
            </w:r>
            <w:r>
              <w:rPr>
                <w:spacing w:val="4"/>
                <w:sz w:val="20"/>
                <w:szCs w:val="20"/>
              </w:rPr>
              <w:t>，</w:t>
            </w:r>
            <w:r>
              <w:rPr>
                <w:sz w:val="20"/>
                <w:szCs w:val="20"/>
              </w:rPr>
              <w:t xml:space="preserve"> </w:t>
            </w:r>
            <w:r>
              <w:rPr>
                <w:spacing w:val="7"/>
                <w:sz w:val="20"/>
                <w:szCs w:val="20"/>
              </w:rPr>
              <w:t>用于烧结原料的储存。</w:t>
            </w:r>
          </w:p>
        </w:tc>
      </w:tr>
      <w:tr w14:paraId="69A598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7BA37903">
            <w:pPr>
              <w:rPr>
                <w:rFonts w:ascii="Arial"/>
                <w:sz w:val="21"/>
              </w:rPr>
            </w:pPr>
          </w:p>
        </w:tc>
        <w:tc>
          <w:tcPr>
            <w:tcW w:w="988" w:type="dxa"/>
            <w:vMerge w:val="continue"/>
            <w:tcBorders>
              <w:top w:val="nil"/>
              <w:bottom w:val="nil"/>
            </w:tcBorders>
            <w:vAlign w:val="top"/>
          </w:tcPr>
          <w:p w14:paraId="707222A0">
            <w:pPr>
              <w:rPr>
                <w:rFonts w:ascii="Arial"/>
                <w:sz w:val="21"/>
              </w:rPr>
            </w:pPr>
          </w:p>
        </w:tc>
        <w:tc>
          <w:tcPr>
            <w:tcW w:w="1281" w:type="dxa"/>
            <w:vMerge w:val="continue"/>
            <w:tcBorders>
              <w:top w:val="nil"/>
            </w:tcBorders>
            <w:vAlign w:val="top"/>
          </w:tcPr>
          <w:p w14:paraId="1FDA91B9">
            <w:pPr>
              <w:rPr>
                <w:rFonts w:ascii="Arial"/>
                <w:sz w:val="21"/>
              </w:rPr>
            </w:pPr>
          </w:p>
        </w:tc>
        <w:tc>
          <w:tcPr>
            <w:tcW w:w="6281" w:type="dxa"/>
            <w:tcBorders>
              <w:right w:val="nil"/>
            </w:tcBorders>
            <w:vAlign w:val="top"/>
          </w:tcPr>
          <w:p w14:paraId="4686EADC">
            <w:pPr>
              <w:pStyle w:val="6"/>
              <w:spacing w:before="33" w:line="231" w:lineRule="auto"/>
              <w:ind w:left="8" w:right="52" w:hanging="2"/>
              <w:rPr>
                <w:sz w:val="20"/>
                <w:szCs w:val="20"/>
              </w:rPr>
            </w:pPr>
            <w:r>
              <w:rPr>
                <w:spacing w:val="5"/>
                <w:sz w:val="20"/>
                <w:szCs w:val="20"/>
              </w:rPr>
              <w:t>烧结成品库</w:t>
            </w:r>
            <w:r>
              <w:rPr>
                <w:spacing w:val="-21"/>
                <w:sz w:val="20"/>
                <w:szCs w:val="20"/>
              </w:rPr>
              <w:t xml:space="preserve"> </w:t>
            </w:r>
            <w:r>
              <w:rPr>
                <w:rFonts w:ascii="Times New Roman" w:hAnsi="Times New Roman" w:eastAsia="Times New Roman" w:cs="Times New Roman"/>
                <w:spacing w:val="5"/>
                <w:sz w:val="20"/>
                <w:szCs w:val="20"/>
              </w:rPr>
              <w:t xml:space="preserve">1 </w:t>
            </w:r>
            <w:r>
              <w:rPr>
                <w:spacing w:val="5"/>
                <w:sz w:val="20"/>
                <w:szCs w:val="20"/>
              </w:rPr>
              <w:t>座，</w:t>
            </w:r>
            <w:r>
              <w:rPr>
                <w:rFonts w:ascii="Times New Roman" w:hAnsi="Times New Roman" w:eastAsia="Times New Roman" w:cs="Times New Roman"/>
                <w:spacing w:val="5"/>
                <w:sz w:val="20"/>
                <w:szCs w:val="20"/>
              </w:rPr>
              <w:t xml:space="preserve">1 </w:t>
            </w:r>
            <w:r>
              <w:rPr>
                <w:spacing w:val="5"/>
                <w:sz w:val="20"/>
                <w:szCs w:val="20"/>
              </w:rPr>
              <w:t>层钢结构建筑，建筑面积</w:t>
            </w:r>
            <w:r>
              <w:rPr>
                <w:spacing w:val="-44"/>
                <w:sz w:val="20"/>
                <w:szCs w:val="20"/>
              </w:rPr>
              <w:t xml:space="preserve"> </w:t>
            </w:r>
            <w:r>
              <w:rPr>
                <w:rFonts w:ascii="Times New Roman" w:hAnsi="Times New Roman" w:eastAsia="Times New Roman" w:cs="Times New Roman"/>
                <w:spacing w:val="5"/>
                <w:sz w:val="20"/>
                <w:szCs w:val="20"/>
              </w:rPr>
              <w:t>4222</w:t>
            </w:r>
            <w:r>
              <w:rPr>
                <w:rFonts w:ascii="Times New Roman" w:hAnsi="Times New Roman" w:eastAsia="Times New Roman" w:cs="Times New Roman"/>
                <w:spacing w:val="4"/>
                <w:sz w:val="20"/>
                <w:szCs w:val="20"/>
              </w:rPr>
              <w:t>m</w:t>
            </w:r>
            <w:r>
              <w:rPr>
                <w:rFonts w:ascii="Times New Roman" w:hAnsi="Times New Roman" w:eastAsia="Times New Roman" w:cs="Times New Roman"/>
                <w:spacing w:val="4"/>
                <w:position w:val="6"/>
                <w:sz w:val="13"/>
                <w:szCs w:val="13"/>
              </w:rPr>
              <w:t>2</w:t>
            </w:r>
            <w:r>
              <w:rPr>
                <w:rFonts w:ascii="Times New Roman" w:hAnsi="Times New Roman" w:eastAsia="Times New Roman" w:cs="Times New Roman"/>
                <w:spacing w:val="-6"/>
                <w:position w:val="6"/>
                <w:sz w:val="13"/>
                <w:szCs w:val="13"/>
              </w:rPr>
              <w:t xml:space="preserve"> </w:t>
            </w:r>
            <w:r>
              <w:rPr>
                <w:spacing w:val="4"/>
                <w:sz w:val="20"/>
                <w:szCs w:val="20"/>
              </w:rPr>
              <w:t>，高度</w:t>
            </w:r>
            <w:r>
              <w:rPr>
                <w:spacing w:val="-43"/>
                <w:sz w:val="20"/>
                <w:szCs w:val="20"/>
              </w:rPr>
              <w:t xml:space="preserve"> </w:t>
            </w:r>
            <w:r>
              <w:rPr>
                <w:rFonts w:ascii="Times New Roman" w:hAnsi="Times New Roman" w:eastAsia="Times New Roman" w:cs="Times New Roman"/>
                <w:spacing w:val="4"/>
                <w:sz w:val="20"/>
                <w:szCs w:val="20"/>
              </w:rPr>
              <w:t>21.5m</w:t>
            </w:r>
            <w:r>
              <w:rPr>
                <w:spacing w:val="4"/>
                <w:sz w:val="20"/>
                <w:szCs w:val="20"/>
              </w:rPr>
              <w:t>，</w:t>
            </w:r>
            <w:r>
              <w:rPr>
                <w:sz w:val="20"/>
                <w:szCs w:val="20"/>
              </w:rPr>
              <w:t xml:space="preserve"> </w:t>
            </w:r>
            <w:r>
              <w:rPr>
                <w:spacing w:val="7"/>
                <w:sz w:val="20"/>
                <w:szCs w:val="20"/>
              </w:rPr>
              <w:t>用于成品烧结矿的储存。</w:t>
            </w:r>
          </w:p>
        </w:tc>
      </w:tr>
      <w:tr w14:paraId="0D3F24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74" w:hRule="atLeast"/>
        </w:trPr>
        <w:tc>
          <w:tcPr>
            <w:tcW w:w="611" w:type="dxa"/>
            <w:vMerge w:val="continue"/>
            <w:tcBorders>
              <w:top w:val="nil"/>
              <w:left w:val="nil"/>
              <w:bottom w:val="nil"/>
            </w:tcBorders>
            <w:vAlign w:val="top"/>
          </w:tcPr>
          <w:p w14:paraId="49885F5F">
            <w:pPr>
              <w:rPr>
                <w:rFonts w:ascii="Arial"/>
                <w:sz w:val="21"/>
              </w:rPr>
            </w:pPr>
          </w:p>
        </w:tc>
        <w:tc>
          <w:tcPr>
            <w:tcW w:w="988" w:type="dxa"/>
            <w:vMerge w:val="continue"/>
            <w:tcBorders>
              <w:top w:val="nil"/>
              <w:bottom w:val="nil"/>
            </w:tcBorders>
            <w:vAlign w:val="top"/>
          </w:tcPr>
          <w:p w14:paraId="13FAFC99">
            <w:pPr>
              <w:rPr>
                <w:rFonts w:ascii="Arial"/>
                <w:sz w:val="21"/>
              </w:rPr>
            </w:pPr>
          </w:p>
        </w:tc>
        <w:tc>
          <w:tcPr>
            <w:tcW w:w="1281" w:type="dxa"/>
            <w:vAlign w:val="top"/>
          </w:tcPr>
          <w:p w14:paraId="3C9A970B">
            <w:pPr>
              <w:spacing w:line="305" w:lineRule="auto"/>
              <w:rPr>
                <w:rFonts w:ascii="Arial"/>
                <w:sz w:val="21"/>
              </w:rPr>
            </w:pPr>
          </w:p>
          <w:p w14:paraId="67D3726D">
            <w:pPr>
              <w:spacing w:line="306" w:lineRule="auto"/>
              <w:rPr>
                <w:rFonts w:ascii="Arial"/>
                <w:sz w:val="21"/>
              </w:rPr>
            </w:pPr>
          </w:p>
          <w:p w14:paraId="142ECF1E">
            <w:pPr>
              <w:spacing w:line="306" w:lineRule="auto"/>
              <w:rPr>
                <w:rFonts w:ascii="Arial"/>
                <w:sz w:val="21"/>
              </w:rPr>
            </w:pPr>
          </w:p>
          <w:p w14:paraId="1C154945">
            <w:pPr>
              <w:pStyle w:val="6"/>
              <w:spacing w:before="65" w:line="228" w:lineRule="auto"/>
              <w:ind w:left="16"/>
              <w:rPr>
                <w:sz w:val="20"/>
                <w:szCs w:val="20"/>
              </w:rPr>
            </w:pPr>
            <w:r>
              <w:rPr>
                <w:spacing w:val="8"/>
                <w:sz w:val="20"/>
                <w:szCs w:val="20"/>
              </w:rPr>
              <w:t>锰硅合金冶炼</w:t>
            </w:r>
          </w:p>
        </w:tc>
        <w:tc>
          <w:tcPr>
            <w:tcW w:w="6281" w:type="dxa"/>
            <w:tcBorders>
              <w:right w:val="nil"/>
            </w:tcBorders>
            <w:vAlign w:val="top"/>
          </w:tcPr>
          <w:p w14:paraId="4A0CBE33">
            <w:pPr>
              <w:pStyle w:val="6"/>
              <w:spacing w:before="36" w:line="239" w:lineRule="auto"/>
              <w:ind w:left="24" w:right="32" w:hanging="17"/>
              <w:rPr>
                <w:sz w:val="20"/>
                <w:szCs w:val="20"/>
              </w:rPr>
            </w:pPr>
            <w:r>
              <w:rPr>
                <w:spacing w:val="8"/>
                <w:sz w:val="20"/>
                <w:szCs w:val="20"/>
              </w:rPr>
              <w:t>配料站：</w:t>
            </w:r>
            <w:r>
              <w:rPr>
                <w:rFonts w:ascii="Times New Roman" w:hAnsi="Times New Roman" w:eastAsia="Times New Roman" w:cs="Times New Roman"/>
                <w:spacing w:val="8"/>
                <w:sz w:val="20"/>
                <w:szCs w:val="20"/>
              </w:rPr>
              <w:t xml:space="preserve">6 </w:t>
            </w:r>
            <w:r>
              <w:rPr>
                <w:spacing w:val="8"/>
                <w:sz w:val="20"/>
                <w:szCs w:val="20"/>
              </w:rPr>
              <w:t>座，</w:t>
            </w:r>
            <w:r>
              <w:rPr>
                <w:spacing w:val="-57"/>
                <w:sz w:val="20"/>
                <w:szCs w:val="20"/>
              </w:rPr>
              <w:t xml:space="preserve"> </w:t>
            </w:r>
            <w:r>
              <w:rPr>
                <w:spacing w:val="8"/>
                <w:sz w:val="20"/>
                <w:szCs w:val="20"/>
              </w:rPr>
              <w:t>由配料仓、皮带输送机和自动下料系统组成，</w:t>
            </w:r>
            <w:r>
              <w:rPr>
                <w:spacing w:val="7"/>
                <w:sz w:val="20"/>
                <w:szCs w:val="20"/>
              </w:rPr>
              <w:t>配比好</w:t>
            </w:r>
            <w:r>
              <w:rPr>
                <w:sz w:val="20"/>
                <w:szCs w:val="20"/>
              </w:rPr>
              <w:t xml:space="preserve"> </w:t>
            </w:r>
            <w:r>
              <w:rPr>
                <w:spacing w:val="7"/>
                <w:sz w:val="20"/>
                <w:szCs w:val="20"/>
              </w:rPr>
              <w:t>的原辅料经皮带机输送至炉顶料仓。</w:t>
            </w:r>
          </w:p>
          <w:p w14:paraId="2A1D571C">
            <w:pPr>
              <w:pStyle w:val="6"/>
              <w:spacing w:before="24" w:line="243" w:lineRule="auto"/>
              <w:ind w:left="6" w:firstLine="25"/>
              <w:rPr>
                <w:sz w:val="20"/>
                <w:szCs w:val="20"/>
              </w:rPr>
            </w:pPr>
            <w:r>
              <w:rPr>
                <w:spacing w:val="4"/>
                <w:sz w:val="20"/>
                <w:szCs w:val="20"/>
              </w:rPr>
              <w:t>电炉车间：</w:t>
            </w:r>
            <w:r>
              <w:rPr>
                <w:rFonts w:ascii="Times New Roman" w:hAnsi="Times New Roman" w:eastAsia="Times New Roman" w:cs="Times New Roman"/>
                <w:spacing w:val="4"/>
                <w:sz w:val="20"/>
                <w:szCs w:val="20"/>
              </w:rPr>
              <w:t xml:space="preserve">3 </w:t>
            </w:r>
            <w:r>
              <w:rPr>
                <w:spacing w:val="4"/>
                <w:sz w:val="20"/>
                <w:szCs w:val="20"/>
              </w:rPr>
              <w:t>座，均为</w:t>
            </w:r>
            <w:r>
              <w:rPr>
                <w:spacing w:val="-37"/>
                <w:sz w:val="20"/>
                <w:szCs w:val="20"/>
              </w:rPr>
              <w:t xml:space="preserve"> </w:t>
            </w:r>
            <w:r>
              <w:rPr>
                <w:rFonts w:ascii="Times New Roman" w:hAnsi="Times New Roman" w:eastAsia="Times New Roman" w:cs="Times New Roman"/>
                <w:spacing w:val="4"/>
                <w:sz w:val="20"/>
                <w:szCs w:val="20"/>
              </w:rPr>
              <w:t xml:space="preserve">5 </w:t>
            </w:r>
            <w:r>
              <w:rPr>
                <w:spacing w:val="4"/>
                <w:sz w:val="20"/>
                <w:szCs w:val="20"/>
              </w:rPr>
              <w:t>层钢结构建筑</w:t>
            </w:r>
            <w:r>
              <w:rPr>
                <w:spacing w:val="3"/>
                <w:sz w:val="20"/>
                <w:szCs w:val="20"/>
              </w:rPr>
              <w:t>，建筑面积均为</w:t>
            </w:r>
            <w:r>
              <w:rPr>
                <w:spacing w:val="-43"/>
                <w:sz w:val="20"/>
                <w:szCs w:val="20"/>
              </w:rPr>
              <w:t xml:space="preserve"> </w:t>
            </w:r>
            <w:r>
              <w:rPr>
                <w:rFonts w:ascii="Times New Roman" w:hAnsi="Times New Roman" w:eastAsia="Times New Roman" w:cs="Times New Roman"/>
                <w:spacing w:val="3"/>
                <w:sz w:val="20"/>
                <w:szCs w:val="20"/>
              </w:rPr>
              <w:t>22062.5m</w:t>
            </w:r>
            <w:r>
              <w:rPr>
                <w:rFonts w:ascii="Times New Roman" w:hAnsi="Times New Roman" w:eastAsia="Times New Roman" w:cs="Times New Roman"/>
                <w:spacing w:val="3"/>
                <w:position w:val="6"/>
                <w:sz w:val="13"/>
                <w:szCs w:val="13"/>
              </w:rPr>
              <w:t>2</w:t>
            </w:r>
            <w:r>
              <w:rPr>
                <w:rFonts w:ascii="Times New Roman" w:hAnsi="Times New Roman" w:eastAsia="Times New Roman" w:cs="Times New Roman"/>
                <w:spacing w:val="-9"/>
                <w:position w:val="6"/>
                <w:sz w:val="13"/>
                <w:szCs w:val="13"/>
              </w:rPr>
              <w:t xml:space="preserve"> </w:t>
            </w:r>
            <w:r>
              <w:rPr>
                <w:spacing w:val="3"/>
                <w:sz w:val="20"/>
                <w:szCs w:val="20"/>
              </w:rPr>
              <w:t>，高</w:t>
            </w:r>
            <w:r>
              <w:rPr>
                <w:sz w:val="20"/>
                <w:szCs w:val="20"/>
              </w:rPr>
              <w:t xml:space="preserve"> </w:t>
            </w:r>
            <w:r>
              <w:rPr>
                <w:spacing w:val="5"/>
                <w:sz w:val="20"/>
                <w:szCs w:val="20"/>
              </w:rPr>
              <w:t>度均为</w:t>
            </w:r>
            <w:r>
              <w:rPr>
                <w:spacing w:val="-35"/>
                <w:sz w:val="20"/>
                <w:szCs w:val="20"/>
              </w:rPr>
              <w:t xml:space="preserve"> </w:t>
            </w:r>
            <w:r>
              <w:rPr>
                <w:rFonts w:ascii="Times New Roman" w:hAnsi="Times New Roman" w:eastAsia="Times New Roman" w:cs="Times New Roman"/>
                <w:spacing w:val="5"/>
                <w:sz w:val="20"/>
                <w:szCs w:val="20"/>
              </w:rPr>
              <w:t>39.5m</w:t>
            </w:r>
            <w:r>
              <w:rPr>
                <w:rFonts w:ascii="Times New Roman" w:hAnsi="Times New Roman" w:eastAsia="Times New Roman" w:cs="Times New Roman"/>
                <w:spacing w:val="-24"/>
                <w:sz w:val="20"/>
                <w:szCs w:val="20"/>
              </w:rPr>
              <w:t xml:space="preserve"> </w:t>
            </w:r>
            <w:r>
              <w:rPr>
                <w:spacing w:val="5"/>
                <w:sz w:val="20"/>
                <w:szCs w:val="20"/>
              </w:rPr>
              <w:t>，每座车间各配置</w:t>
            </w:r>
            <w:r>
              <w:rPr>
                <w:spacing w:val="-43"/>
                <w:sz w:val="20"/>
                <w:szCs w:val="20"/>
              </w:rPr>
              <w:t xml:space="preserve"> </w:t>
            </w:r>
            <w:r>
              <w:rPr>
                <w:rFonts w:ascii="Times New Roman" w:hAnsi="Times New Roman" w:eastAsia="Times New Roman" w:cs="Times New Roman"/>
                <w:spacing w:val="5"/>
                <w:sz w:val="20"/>
                <w:szCs w:val="20"/>
              </w:rPr>
              <w:t>2</w:t>
            </w:r>
            <w:r>
              <w:rPr>
                <w:rFonts w:ascii="Times New Roman" w:hAnsi="Times New Roman" w:eastAsia="Times New Roman" w:cs="Times New Roman"/>
                <w:spacing w:val="28"/>
                <w:w w:val="101"/>
                <w:sz w:val="20"/>
                <w:szCs w:val="20"/>
              </w:rPr>
              <w:t xml:space="preserve"> </w:t>
            </w:r>
            <w:r>
              <w:rPr>
                <w:spacing w:val="5"/>
                <w:sz w:val="20"/>
                <w:szCs w:val="20"/>
              </w:rPr>
              <w:t>台</w:t>
            </w:r>
            <w:r>
              <w:rPr>
                <w:spacing w:val="-39"/>
                <w:sz w:val="20"/>
                <w:szCs w:val="20"/>
              </w:rPr>
              <w:t xml:space="preserve"> </w:t>
            </w:r>
            <w:r>
              <w:rPr>
                <w:rFonts w:ascii="Times New Roman" w:hAnsi="Times New Roman" w:eastAsia="Times New Roman" w:cs="Times New Roman"/>
                <w:spacing w:val="5"/>
                <w:sz w:val="20"/>
                <w:szCs w:val="20"/>
              </w:rPr>
              <w:t>36</w:t>
            </w:r>
            <w:r>
              <w:rPr>
                <w:rFonts w:ascii="Times New Roman" w:hAnsi="Times New Roman" w:eastAsia="Times New Roman" w:cs="Times New Roman"/>
                <w:sz w:val="20"/>
                <w:szCs w:val="20"/>
              </w:rPr>
              <w:t>MW</w:t>
            </w:r>
            <w:r>
              <w:rPr>
                <w:rFonts w:ascii="Times New Roman" w:hAnsi="Times New Roman" w:eastAsia="Times New Roman" w:cs="Times New Roman"/>
                <w:spacing w:val="5"/>
                <w:sz w:val="20"/>
                <w:szCs w:val="20"/>
              </w:rPr>
              <w:t xml:space="preserve"> </w:t>
            </w:r>
            <w:r>
              <w:rPr>
                <w:spacing w:val="5"/>
                <w:sz w:val="20"/>
                <w:szCs w:val="20"/>
              </w:rPr>
              <w:t>全密闭锰硅电炉，配套出</w:t>
            </w:r>
            <w:r>
              <w:rPr>
                <w:sz w:val="20"/>
                <w:szCs w:val="20"/>
              </w:rPr>
              <w:t xml:space="preserve"> </w:t>
            </w:r>
            <w:r>
              <w:rPr>
                <w:spacing w:val="9"/>
                <w:sz w:val="20"/>
                <w:szCs w:val="20"/>
              </w:rPr>
              <w:t>铁、浇铸、精整系统等。埋弧连续冶炼，还原剂为焦炭，锰被碳元素</w:t>
            </w:r>
            <w:r>
              <w:rPr>
                <w:sz w:val="20"/>
                <w:szCs w:val="20"/>
              </w:rPr>
              <w:t xml:space="preserve"> </w:t>
            </w:r>
            <w:r>
              <w:rPr>
                <w:spacing w:val="8"/>
                <w:sz w:val="20"/>
                <w:szCs w:val="20"/>
              </w:rPr>
              <w:t>还原得到锰硅合金，同时产生粗煤气。</w:t>
            </w:r>
          </w:p>
          <w:p w14:paraId="19285FD8">
            <w:pPr>
              <w:pStyle w:val="6"/>
              <w:spacing w:before="1" w:line="245" w:lineRule="auto"/>
              <w:ind w:left="6" w:firstLine="1"/>
              <w:rPr>
                <w:sz w:val="20"/>
                <w:szCs w:val="20"/>
              </w:rPr>
            </w:pPr>
            <w:r>
              <w:rPr>
                <w:sz w:val="20"/>
                <w:szCs w:val="20"/>
              </w:rPr>
              <w:t>冲渣水池：</w:t>
            </w:r>
            <w:r>
              <w:rPr>
                <w:rFonts w:ascii="Times New Roman" w:hAnsi="Times New Roman" w:eastAsia="Times New Roman" w:cs="Times New Roman"/>
                <w:sz w:val="20"/>
                <w:szCs w:val="20"/>
              </w:rPr>
              <w:t xml:space="preserve">3 </w:t>
            </w:r>
            <w:r>
              <w:rPr>
                <w:sz w:val="20"/>
                <w:szCs w:val="20"/>
              </w:rPr>
              <w:t>座，规格均为：长×宽</w:t>
            </w:r>
            <w:r>
              <w:rPr>
                <w:rFonts w:ascii="Times New Roman" w:hAnsi="Times New Roman" w:eastAsia="Times New Roman" w:cs="Times New Roman"/>
                <w:sz w:val="20"/>
                <w:szCs w:val="20"/>
              </w:rPr>
              <w:t>=92</w:t>
            </w:r>
            <w:r>
              <w:rPr>
                <w:sz w:val="20"/>
                <w:szCs w:val="20"/>
              </w:rPr>
              <w:t>×</w:t>
            </w:r>
            <w:r>
              <w:rPr>
                <w:rFonts w:ascii="Times New Roman" w:hAnsi="Times New Roman" w:eastAsia="Times New Roman" w:cs="Times New Roman"/>
                <w:sz w:val="20"/>
                <w:szCs w:val="20"/>
              </w:rPr>
              <w:t>12m</w:t>
            </w:r>
            <w:r>
              <w:rPr>
                <w:rFonts w:ascii="Times New Roman" w:hAnsi="Times New Roman" w:eastAsia="Times New Roman" w:cs="Times New Roman"/>
                <w:spacing w:val="-24"/>
                <w:sz w:val="20"/>
                <w:szCs w:val="20"/>
              </w:rPr>
              <w:t xml:space="preserve"> </w:t>
            </w:r>
            <w:r>
              <w:rPr>
                <w:sz w:val="20"/>
                <w:szCs w:val="20"/>
              </w:rPr>
              <w:t>、地下</w:t>
            </w:r>
            <w:r>
              <w:rPr>
                <w:spacing w:val="-36"/>
                <w:sz w:val="20"/>
                <w:szCs w:val="20"/>
              </w:rPr>
              <w:t xml:space="preserve"> </w:t>
            </w:r>
            <w:r>
              <w:rPr>
                <w:rFonts w:ascii="Times New Roman" w:hAnsi="Times New Roman" w:eastAsia="Times New Roman" w:cs="Times New Roman"/>
                <w:sz w:val="20"/>
                <w:szCs w:val="20"/>
              </w:rPr>
              <w:t>6m</w:t>
            </w:r>
            <w:r>
              <w:rPr>
                <w:rFonts w:ascii="Times New Roman" w:hAnsi="Times New Roman" w:eastAsia="Times New Roman" w:cs="Times New Roman"/>
                <w:spacing w:val="-29"/>
                <w:sz w:val="20"/>
                <w:szCs w:val="20"/>
              </w:rPr>
              <w:t xml:space="preserve"> </w:t>
            </w:r>
            <w:r>
              <w:rPr>
                <w:sz w:val="20"/>
                <w:szCs w:val="20"/>
              </w:rPr>
              <w:t>、地上</w:t>
            </w:r>
            <w:r>
              <w:rPr>
                <w:spacing w:val="-21"/>
                <w:sz w:val="20"/>
                <w:szCs w:val="20"/>
              </w:rPr>
              <w:t xml:space="preserve"> </w:t>
            </w:r>
            <w:r>
              <w:rPr>
                <w:rFonts w:ascii="Times New Roman" w:hAnsi="Times New Roman" w:eastAsia="Times New Roman" w:cs="Times New Roman"/>
                <w:sz w:val="20"/>
                <w:szCs w:val="20"/>
              </w:rPr>
              <w:t>1.5m</w:t>
            </w:r>
            <w:r>
              <w:rPr>
                <w:sz w:val="20"/>
                <w:szCs w:val="20"/>
              </w:rPr>
              <w:t xml:space="preserve">， </w:t>
            </w:r>
            <w:r>
              <w:rPr>
                <w:spacing w:val="1"/>
                <w:sz w:val="20"/>
                <w:szCs w:val="20"/>
              </w:rPr>
              <w:t>对应</w:t>
            </w:r>
            <w:r>
              <w:rPr>
                <w:spacing w:val="-37"/>
                <w:sz w:val="20"/>
                <w:szCs w:val="20"/>
              </w:rPr>
              <w:t xml:space="preserve"> </w:t>
            </w:r>
            <w:r>
              <w:rPr>
                <w:rFonts w:ascii="Times New Roman" w:hAnsi="Times New Roman" w:eastAsia="Times New Roman" w:cs="Times New Roman"/>
                <w:spacing w:val="1"/>
                <w:sz w:val="20"/>
                <w:szCs w:val="20"/>
              </w:rPr>
              <w:t>6</w:t>
            </w:r>
            <w:r>
              <w:rPr>
                <w:rFonts w:ascii="Times New Roman" w:hAnsi="Times New Roman" w:eastAsia="Times New Roman" w:cs="Times New Roman"/>
                <w:spacing w:val="27"/>
                <w:w w:val="101"/>
                <w:sz w:val="20"/>
                <w:szCs w:val="20"/>
              </w:rPr>
              <w:t xml:space="preserve"> </w:t>
            </w:r>
            <w:r>
              <w:rPr>
                <w:spacing w:val="1"/>
                <w:sz w:val="20"/>
                <w:szCs w:val="20"/>
              </w:rPr>
              <w:t>台矿热炉。</w:t>
            </w:r>
          </w:p>
        </w:tc>
      </w:tr>
      <w:tr w14:paraId="1DBAFF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0" w:hRule="atLeast"/>
        </w:trPr>
        <w:tc>
          <w:tcPr>
            <w:tcW w:w="611" w:type="dxa"/>
            <w:vMerge w:val="continue"/>
            <w:tcBorders>
              <w:top w:val="nil"/>
              <w:left w:val="nil"/>
              <w:bottom w:val="nil"/>
            </w:tcBorders>
            <w:vAlign w:val="top"/>
          </w:tcPr>
          <w:p w14:paraId="6799CC3F">
            <w:pPr>
              <w:rPr>
                <w:rFonts w:ascii="Arial"/>
                <w:sz w:val="21"/>
              </w:rPr>
            </w:pPr>
          </w:p>
        </w:tc>
        <w:tc>
          <w:tcPr>
            <w:tcW w:w="988" w:type="dxa"/>
            <w:vMerge w:val="continue"/>
            <w:tcBorders>
              <w:top w:val="nil"/>
            </w:tcBorders>
            <w:vAlign w:val="top"/>
          </w:tcPr>
          <w:p w14:paraId="4B0A1E76">
            <w:pPr>
              <w:rPr>
                <w:rFonts w:ascii="Arial"/>
                <w:sz w:val="21"/>
              </w:rPr>
            </w:pPr>
          </w:p>
        </w:tc>
        <w:tc>
          <w:tcPr>
            <w:tcW w:w="1281" w:type="dxa"/>
            <w:vAlign w:val="top"/>
          </w:tcPr>
          <w:p w14:paraId="0A0BB0D0">
            <w:pPr>
              <w:spacing w:line="325" w:lineRule="auto"/>
              <w:rPr>
                <w:rFonts w:ascii="Arial"/>
                <w:sz w:val="21"/>
              </w:rPr>
            </w:pPr>
          </w:p>
          <w:p w14:paraId="1F766D99">
            <w:pPr>
              <w:spacing w:line="325" w:lineRule="auto"/>
              <w:rPr>
                <w:rFonts w:ascii="Arial"/>
                <w:sz w:val="21"/>
              </w:rPr>
            </w:pPr>
          </w:p>
          <w:p w14:paraId="0814C07A">
            <w:pPr>
              <w:pStyle w:val="6"/>
              <w:spacing w:before="65" w:line="228" w:lineRule="auto"/>
              <w:ind w:left="225"/>
              <w:rPr>
                <w:sz w:val="20"/>
                <w:szCs w:val="20"/>
              </w:rPr>
            </w:pPr>
            <w:r>
              <w:rPr>
                <w:spacing w:val="7"/>
                <w:sz w:val="20"/>
                <w:szCs w:val="20"/>
              </w:rPr>
              <w:t>煤气净化</w:t>
            </w:r>
          </w:p>
        </w:tc>
        <w:tc>
          <w:tcPr>
            <w:tcW w:w="6281" w:type="dxa"/>
            <w:tcBorders>
              <w:right w:val="nil"/>
            </w:tcBorders>
            <w:vAlign w:val="top"/>
          </w:tcPr>
          <w:p w14:paraId="44238DF3">
            <w:pPr>
              <w:pStyle w:val="6"/>
              <w:spacing w:before="40" w:line="243" w:lineRule="auto"/>
              <w:ind w:left="5" w:firstLine="2"/>
              <w:jc w:val="both"/>
              <w:rPr>
                <w:sz w:val="20"/>
                <w:szCs w:val="20"/>
              </w:rPr>
            </w:pPr>
            <w:r>
              <w:rPr>
                <w:rFonts w:ascii="Times New Roman" w:hAnsi="Times New Roman" w:eastAsia="Times New Roman" w:cs="Times New Roman"/>
                <w:spacing w:val="-6"/>
                <w:sz w:val="20"/>
                <w:szCs w:val="20"/>
              </w:rPr>
              <w:t>6</w:t>
            </w:r>
            <w:r>
              <w:rPr>
                <w:rFonts w:ascii="Times New Roman" w:hAnsi="Times New Roman" w:eastAsia="Times New Roman" w:cs="Times New Roman"/>
                <w:spacing w:val="21"/>
                <w:sz w:val="20"/>
                <w:szCs w:val="20"/>
              </w:rPr>
              <w:t xml:space="preserve"> </w:t>
            </w:r>
            <w:r>
              <w:rPr>
                <w:spacing w:val="-6"/>
                <w:sz w:val="20"/>
                <w:szCs w:val="20"/>
              </w:rPr>
              <w:t>座，对应</w:t>
            </w:r>
            <w:r>
              <w:rPr>
                <w:spacing w:val="-37"/>
                <w:sz w:val="20"/>
                <w:szCs w:val="20"/>
              </w:rPr>
              <w:t xml:space="preserve"> </w:t>
            </w:r>
            <w:r>
              <w:rPr>
                <w:rFonts w:ascii="Times New Roman" w:hAnsi="Times New Roman" w:eastAsia="Times New Roman" w:cs="Times New Roman"/>
                <w:spacing w:val="-6"/>
                <w:sz w:val="20"/>
                <w:szCs w:val="20"/>
              </w:rPr>
              <w:t>6</w:t>
            </w:r>
            <w:r>
              <w:rPr>
                <w:rFonts w:ascii="Times New Roman" w:hAnsi="Times New Roman" w:eastAsia="Times New Roman" w:cs="Times New Roman"/>
                <w:spacing w:val="27"/>
                <w:w w:val="101"/>
                <w:sz w:val="20"/>
                <w:szCs w:val="20"/>
              </w:rPr>
              <w:t xml:space="preserve"> </w:t>
            </w:r>
            <w:r>
              <w:rPr>
                <w:spacing w:val="-6"/>
                <w:sz w:val="20"/>
                <w:szCs w:val="20"/>
              </w:rPr>
              <w:t>台矿热炉，均为</w:t>
            </w:r>
            <w:r>
              <w:rPr>
                <w:spacing w:val="-37"/>
                <w:sz w:val="20"/>
                <w:szCs w:val="20"/>
              </w:rPr>
              <w:t xml:space="preserve"> </w:t>
            </w:r>
            <w:r>
              <w:rPr>
                <w:rFonts w:ascii="Times New Roman" w:hAnsi="Times New Roman" w:eastAsia="Times New Roman" w:cs="Times New Roman"/>
                <w:spacing w:val="-6"/>
                <w:sz w:val="20"/>
                <w:szCs w:val="20"/>
              </w:rPr>
              <w:t>6</w:t>
            </w:r>
            <w:r>
              <w:rPr>
                <w:rFonts w:ascii="Times New Roman" w:hAnsi="Times New Roman" w:eastAsia="Times New Roman" w:cs="Times New Roman"/>
                <w:spacing w:val="11"/>
                <w:sz w:val="20"/>
                <w:szCs w:val="20"/>
              </w:rPr>
              <w:t xml:space="preserve"> </w:t>
            </w:r>
            <w:r>
              <w:rPr>
                <w:spacing w:val="-6"/>
                <w:sz w:val="20"/>
                <w:szCs w:val="20"/>
              </w:rPr>
              <w:t>层钢结构建筑，建筑面积均为</w:t>
            </w:r>
            <w:r>
              <w:rPr>
                <w:spacing w:val="-21"/>
                <w:sz w:val="20"/>
                <w:szCs w:val="20"/>
              </w:rPr>
              <w:t xml:space="preserve"> </w:t>
            </w:r>
            <w:r>
              <w:rPr>
                <w:rFonts w:ascii="Times New Roman" w:hAnsi="Times New Roman" w:eastAsia="Times New Roman" w:cs="Times New Roman"/>
                <w:spacing w:val="-6"/>
                <w:sz w:val="20"/>
                <w:szCs w:val="20"/>
              </w:rPr>
              <w:t>1530.0m</w:t>
            </w:r>
            <w:r>
              <w:rPr>
                <w:rFonts w:ascii="Times New Roman" w:hAnsi="Times New Roman" w:eastAsia="Times New Roman" w:cs="Times New Roman"/>
                <w:spacing w:val="-6"/>
                <w:position w:val="6"/>
                <w:sz w:val="13"/>
                <w:szCs w:val="13"/>
              </w:rPr>
              <w:t>2</w:t>
            </w:r>
            <w:r>
              <w:rPr>
                <w:spacing w:val="-6"/>
                <w:sz w:val="20"/>
                <w:szCs w:val="20"/>
              </w:rPr>
              <w:t>，</w:t>
            </w:r>
            <w:r>
              <w:rPr>
                <w:sz w:val="20"/>
                <w:szCs w:val="20"/>
              </w:rPr>
              <w:t xml:space="preserve"> </w:t>
            </w:r>
            <w:r>
              <w:rPr>
                <w:spacing w:val="2"/>
                <w:sz w:val="20"/>
                <w:szCs w:val="20"/>
              </w:rPr>
              <w:t>高度均为</w:t>
            </w:r>
            <w:r>
              <w:rPr>
                <w:spacing w:val="-31"/>
                <w:sz w:val="20"/>
                <w:szCs w:val="20"/>
              </w:rPr>
              <w:t xml:space="preserve"> </w:t>
            </w:r>
            <w:r>
              <w:rPr>
                <w:rFonts w:ascii="Times New Roman" w:hAnsi="Times New Roman" w:eastAsia="Times New Roman" w:cs="Times New Roman"/>
                <w:spacing w:val="2"/>
                <w:sz w:val="20"/>
                <w:szCs w:val="20"/>
              </w:rPr>
              <w:t>32.3m</w:t>
            </w:r>
            <w:r>
              <w:rPr>
                <w:spacing w:val="2"/>
                <w:sz w:val="20"/>
                <w:szCs w:val="20"/>
              </w:rPr>
              <w:t>，每台电炉配置</w:t>
            </w:r>
            <w:r>
              <w:rPr>
                <w:spacing w:val="-21"/>
                <w:sz w:val="20"/>
                <w:szCs w:val="20"/>
              </w:rPr>
              <w:t xml:space="preserve"> </w:t>
            </w:r>
            <w:r>
              <w:rPr>
                <w:rFonts w:ascii="Times New Roman" w:hAnsi="Times New Roman" w:eastAsia="Times New Roman" w:cs="Times New Roman"/>
                <w:spacing w:val="2"/>
                <w:sz w:val="20"/>
                <w:szCs w:val="20"/>
              </w:rPr>
              <w:t xml:space="preserve">1 </w:t>
            </w:r>
            <w:r>
              <w:rPr>
                <w:spacing w:val="2"/>
                <w:sz w:val="20"/>
                <w:szCs w:val="20"/>
              </w:rPr>
              <w:t>套干法煤气净化系统，净化流程为：</w:t>
            </w:r>
            <w:r>
              <w:rPr>
                <w:sz w:val="20"/>
                <w:szCs w:val="20"/>
              </w:rPr>
              <w:t xml:space="preserve"> </w:t>
            </w:r>
            <w:r>
              <w:rPr>
                <w:spacing w:val="11"/>
                <w:sz w:val="20"/>
                <w:szCs w:val="20"/>
              </w:rPr>
              <w:t>水冷烟道</w:t>
            </w:r>
            <w:r>
              <w:rPr>
                <w:rFonts w:ascii="Times New Roman" w:hAnsi="Times New Roman" w:eastAsia="Times New Roman" w:cs="Times New Roman"/>
                <w:spacing w:val="11"/>
                <w:sz w:val="20"/>
                <w:szCs w:val="20"/>
              </w:rPr>
              <w:t>+</w:t>
            </w:r>
            <w:r>
              <w:rPr>
                <w:spacing w:val="11"/>
                <w:sz w:val="20"/>
                <w:szCs w:val="20"/>
              </w:rPr>
              <w:t>惯性沉降罐</w:t>
            </w:r>
            <w:r>
              <w:rPr>
                <w:rFonts w:ascii="Times New Roman" w:hAnsi="Times New Roman" w:eastAsia="Times New Roman" w:cs="Times New Roman"/>
                <w:spacing w:val="11"/>
                <w:sz w:val="20"/>
                <w:szCs w:val="20"/>
              </w:rPr>
              <w:t>+</w:t>
            </w:r>
            <w:r>
              <w:rPr>
                <w:spacing w:val="11"/>
                <w:sz w:val="20"/>
                <w:szCs w:val="20"/>
              </w:rPr>
              <w:t>二级风力列管冷却器</w:t>
            </w:r>
            <w:r>
              <w:rPr>
                <w:rFonts w:ascii="Times New Roman" w:hAnsi="Times New Roman" w:eastAsia="Times New Roman" w:cs="Times New Roman"/>
                <w:spacing w:val="11"/>
                <w:sz w:val="20"/>
                <w:szCs w:val="20"/>
              </w:rPr>
              <w:t>+</w:t>
            </w:r>
            <w:r>
              <w:rPr>
                <w:spacing w:val="11"/>
                <w:sz w:val="20"/>
                <w:szCs w:val="20"/>
              </w:rPr>
              <w:t>耐高温布袋除尘器</w:t>
            </w:r>
            <w:r>
              <w:rPr>
                <w:rFonts w:ascii="Times New Roman" w:hAnsi="Times New Roman" w:eastAsia="Times New Roman" w:cs="Times New Roman"/>
                <w:spacing w:val="11"/>
                <w:sz w:val="20"/>
                <w:szCs w:val="20"/>
              </w:rPr>
              <w:t>+</w:t>
            </w:r>
            <w:r>
              <w:rPr>
                <w:spacing w:val="11"/>
                <w:sz w:val="20"/>
                <w:szCs w:val="20"/>
              </w:rPr>
              <w:t>煤</w:t>
            </w:r>
            <w:r>
              <w:rPr>
                <w:spacing w:val="9"/>
                <w:sz w:val="20"/>
                <w:szCs w:val="20"/>
              </w:rPr>
              <w:t xml:space="preserve"> </w:t>
            </w:r>
            <w:r>
              <w:rPr>
                <w:spacing w:val="4"/>
                <w:sz w:val="20"/>
                <w:szCs w:val="20"/>
              </w:rPr>
              <w:t>气风冷器（二级）</w:t>
            </w:r>
            <w:r>
              <w:rPr>
                <w:rFonts w:ascii="Times New Roman" w:hAnsi="Times New Roman" w:eastAsia="Times New Roman" w:cs="Times New Roman"/>
                <w:spacing w:val="4"/>
                <w:sz w:val="20"/>
                <w:szCs w:val="20"/>
              </w:rPr>
              <w:t>+</w:t>
            </w:r>
            <w:r>
              <w:rPr>
                <w:rFonts w:ascii="Times New Roman" w:hAnsi="Times New Roman" w:eastAsia="Times New Roman" w:cs="Times New Roman"/>
                <w:spacing w:val="-15"/>
                <w:sz w:val="20"/>
                <w:szCs w:val="20"/>
              </w:rPr>
              <w:t xml:space="preserve"> </w:t>
            </w:r>
            <w:r>
              <w:rPr>
                <w:spacing w:val="4"/>
                <w:sz w:val="20"/>
                <w:szCs w:val="20"/>
              </w:rPr>
              <w:t>电捕焦油器，净化后的煤气通过煤气柜进行稳压、</w:t>
            </w:r>
            <w:r>
              <w:rPr>
                <w:sz w:val="20"/>
                <w:szCs w:val="20"/>
              </w:rPr>
              <w:t xml:space="preserve"> </w:t>
            </w:r>
            <w:r>
              <w:rPr>
                <w:spacing w:val="6"/>
                <w:sz w:val="20"/>
                <w:szCs w:val="20"/>
              </w:rPr>
              <w:t>缓存，再由气柜出口设置的加压机升压至</w:t>
            </w:r>
            <w:r>
              <w:rPr>
                <w:spacing w:val="-17"/>
                <w:sz w:val="20"/>
                <w:szCs w:val="20"/>
              </w:rPr>
              <w:t xml:space="preserve"> </w:t>
            </w:r>
            <w:r>
              <w:rPr>
                <w:rFonts w:ascii="Times New Roman" w:hAnsi="Times New Roman" w:eastAsia="Times New Roman" w:cs="Times New Roman"/>
                <w:spacing w:val="6"/>
                <w:sz w:val="20"/>
                <w:szCs w:val="20"/>
              </w:rPr>
              <w:t>10±2</w:t>
            </w:r>
            <w:r>
              <w:rPr>
                <w:rFonts w:ascii="Times New Roman" w:hAnsi="Times New Roman" w:eastAsia="Times New Roman" w:cs="Times New Roman"/>
                <w:sz w:val="20"/>
                <w:szCs w:val="20"/>
              </w:rPr>
              <w:t>kPa</w:t>
            </w:r>
            <w:r>
              <w:rPr>
                <w:rFonts w:ascii="Times New Roman" w:hAnsi="Times New Roman" w:eastAsia="Times New Roman" w:cs="Times New Roman"/>
                <w:spacing w:val="-21"/>
                <w:sz w:val="20"/>
                <w:szCs w:val="20"/>
              </w:rPr>
              <w:t xml:space="preserve"> </w:t>
            </w:r>
            <w:r>
              <w:rPr>
                <w:spacing w:val="6"/>
                <w:sz w:val="20"/>
                <w:szCs w:val="20"/>
              </w:rPr>
              <w:t>，再通过精过滤器</w:t>
            </w:r>
            <w:r>
              <w:rPr>
                <w:sz w:val="20"/>
                <w:szCs w:val="20"/>
              </w:rPr>
              <w:t xml:space="preserve"> </w:t>
            </w:r>
            <w:r>
              <w:rPr>
                <w:spacing w:val="6"/>
                <w:sz w:val="20"/>
                <w:szCs w:val="20"/>
              </w:rPr>
              <w:t>进一步过滤后送往用气环节。</w:t>
            </w:r>
          </w:p>
        </w:tc>
      </w:tr>
      <w:tr w14:paraId="1A90E5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5AF10727">
            <w:pPr>
              <w:rPr>
                <w:rFonts w:ascii="Arial"/>
                <w:sz w:val="21"/>
              </w:rPr>
            </w:pPr>
          </w:p>
        </w:tc>
        <w:tc>
          <w:tcPr>
            <w:tcW w:w="988" w:type="dxa"/>
            <w:vMerge w:val="restart"/>
            <w:tcBorders>
              <w:bottom w:val="nil"/>
            </w:tcBorders>
            <w:vAlign w:val="top"/>
          </w:tcPr>
          <w:p w14:paraId="05FE2F67">
            <w:pPr>
              <w:spacing w:line="271" w:lineRule="auto"/>
              <w:rPr>
                <w:rFonts w:ascii="Arial"/>
                <w:sz w:val="21"/>
              </w:rPr>
            </w:pPr>
          </w:p>
          <w:p w14:paraId="6A54A1DF">
            <w:pPr>
              <w:spacing w:line="271" w:lineRule="auto"/>
              <w:rPr>
                <w:rFonts w:ascii="Arial"/>
                <w:sz w:val="21"/>
              </w:rPr>
            </w:pPr>
          </w:p>
          <w:p w14:paraId="50F56898">
            <w:pPr>
              <w:spacing w:line="272" w:lineRule="auto"/>
              <w:rPr>
                <w:rFonts w:ascii="Arial"/>
                <w:sz w:val="21"/>
              </w:rPr>
            </w:pPr>
          </w:p>
          <w:p w14:paraId="65658637">
            <w:pPr>
              <w:spacing w:line="272" w:lineRule="auto"/>
              <w:rPr>
                <w:rFonts w:ascii="Arial"/>
                <w:sz w:val="21"/>
              </w:rPr>
            </w:pPr>
          </w:p>
          <w:p w14:paraId="0F40D547">
            <w:pPr>
              <w:spacing w:line="272" w:lineRule="auto"/>
              <w:rPr>
                <w:rFonts w:ascii="Arial"/>
                <w:sz w:val="21"/>
              </w:rPr>
            </w:pPr>
          </w:p>
          <w:p w14:paraId="2FF5A38A">
            <w:pPr>
              <w:spacing w:line="272" w:lineRule="auto"/>
              <w:rPr>
                <w:rFonts w:ascii="Arial"/>
                <w:sz w:val="21"/>
              </w:rPr>
            </w:pPr>
          </w:p>
          <w:p w14:paraId="0276F844">
            <w:pPr>
              <w:spacing w:line="272" w:lineRule="auto"/>
              <w:rPr>
                <w:rFonts w:ascii="Arial"/>
                <w:sz w:val="21"/>
              </w:rPr>
            </w:pPr>
          </w:p>
          <w:p w14:paraId="29882A5A">
            <w:pPr>
              <w:pStyle w:val="6"/>
              <w:spacing w:before="65" w:line="239" w:lineRule="auto"/>
              <w:ind w:left="287" w:right="73" w:hanging="207"/>
              <w:rPr>
                <w:sz w:val="20"/>
                <w:szCs w:val="20"/>
              </w:rPr>
            </w:pPr>
            <w:r>
              <w:rPr>
                <w:spacing w:val="7"/>
                <w:sz w:val="20"/>
                <w:szCs w:val="20"/>
              </w:rPr>
              <w:t>煤气发电</w:t>
            </w:r>
            <w:r>
              <w:rPr>
                <w:sz w:val="20"/>
                <w:szCs w:val="20"/>
              </w:rPr>
              <w:t xml:space="preserve"> </w:t>
            </w:r>
            <w:r>
              <w:rPr>
                <w:spacing w:val="4"/>
                <w:sz w:val="20"/>
                <w:szCs w:val="20"/>
              </w:rPr>
              <w:t>装置</w:t>
            </w:r>
          </w:p>
        </w:tc>
        <w:tc>
          <w:tcPr>
            <w:tcW w:w="1281" w:type="dxa"/>
            <w:vAlign w:val="top"/>
          </w:tcPr>
          <w:p w14:paraId="3EEA01E2">
            <w:pPr>
              <w:spacing w:before="213" w:line="199" w:lineRule="auto"/>
              <w:ind w:left="6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6281" w:type="dxa"/>
            <w:tcBorders>
              <w:right w:val="nil"/>
            </w:tcBorders>
            <w:vAlign w:val="top"/>
          </w:tcPr>
          <w:p w14:paraId="19701CFA">
            <w:pPr>
              <w:pStyle w:val="6"/>
              <w:spacing w:before="44" w:line="226" w:lineRule="auto"/>
              <w:ind w:left="6" w:right="17" w:firstLine="3"/>
              <w:rPr>
                <w:sz w:val="20"/>
                <w:szCs w:val="20"/>
              </w:rPr>
            </w:pPr>
            <w:r>
              <w:rPr>
                <w:spacing w:val="6"/>
                <w:sz w:val="20"/>
                <w:szCs w:val="20"/>
              </w:rPr>
              <w:t>建设</w:t>
            </w:r>
            <w:r>
              <w:rPr>
                <w:spacing w:val="-9"/>
                <w:sz w:val="20"/>
                <w:szCs w:val="20"/>
              </w:rPr>
              <w:t xml:space="preserve"> </w:t>
            </w:r>
            <w:r>
              <w:rPr>
                <w:rFonts w:ascii="Times New Roman" w:hAnsi="Times New Roman" w:eastAsia="Times New Roman" w:cs="Times New Roman"/>
                <w:spacing w:val="6"/>
                <w:sz w:val="20"/>
                <w:szCs w:val="20"/>
              </w:rPr>
              <w:t xml:space="preserve">1×200t/h </w:t>
            </w:r>
            <w:r>
              <w:rPr>
                <w:spacing w:val="6"/>
                <w:sz w:val="20"/>
                <w:szCs w:val="20"/>
              </w:rPr>
              <w:t>超超高温超高压煤气锅炉</w:t>
            </w:r>
            <w:r>
              <w:rPr>
                <w:rFonts w:ascii="Times New Roman" w:hAnsi="Times New Roman" w:eastAsia="Times New Roman" w:cs="Times New Roman"/>
                <w:spacing w:val="6"/>
                <w:sz w:val="20"/>
                <w:szCs w:val="20"/>
              </w:rPr>
              <w:t>+1×60</w:t>
            </w:r>
            <w:r>
              <w:rPr>
                <w:rFonts w:ascii="Times New Roman" w:hAnsi="Times New Roman" w:eastAsia="Times New Roman" w:cs="Times New Roman"/>
                <w:sz w:val="20"/>
                <w:szCs w:val="20"/>
              </w:rPr>
              <w:t>MW</w:t>
            </w:r>
            <w:r>
              <w:rPr>
                <w:rFonts w:ascii="Times New Roman" w:hAnsi="Times New Roman" w:eastAsia="Times New Roman" w:cs="Times New Roman"/>
                <w:spacing w:val="32"/>
                <w:w w:val="101"/>
                <w:sz w:val="20"/>
                <w:szCs w:val="20"/>
              </w:rPr>
              <w:t xml:space="preserve"> </w:t>
            </w:r>
            <w:r>
              <w:rPr>
                <w:spacing w:val="6"/>
                <w:sz w:val="20"/>
                <w:szCs w:val="20"/>
              </w:rPr>
              <w:t>中间一次再热空冷</w:t>
            </w:r>
            <w:r>
              <w:rPr>
                <w:sz w:val="20"/>
                <w:szCs w:val="20"/>
              </w:rPr>
              <w:t xml:space="preserve"> </w:t>
            </w:r>
            <w:r>
              <w:rPr>
                <w:spacing w:val="8"/>
                <w:sz w:val="20"/>
                <w:szCs w:val="20"/>
              </w:rPr>
              <w:t>凝汽式汽轮机</w:t>
            </w:r>
            <w:r>
              <w:rPr>
                <w:rFonts w:ascii="Times New Roman" w:hAnsi="Times New Roman" w:eastAsia="Times New Roman" w:cs="Times New Roman"/>
                <w:spacing w:val="8"/>
                <w:sz w:val="20"/>
                <w:szCs w:val="20"/>
              </w:rPr>
              <w:t>+1×60</w:t>
            </w:r>
            <w:r>
              <w:rPr>
                <w:rFonts w:ascii="Times New Roman" w:hAnsi="Times New Roman" w:eastAsia="Times New Roman" w:cs="Times New Roman"/>
                <w:sz w:val="20"/>
                <w:szCs w:val="20"/>
              </w:rPr>
              <w:t>MW</w:t>
            </w:r>
            <w:r>
              <w:rPr>
                <w:rFonts w:ascii="Times New Roman" w:hAnsi="Times New Roman" w:eastAsia="Times New Roman" w:cs="Times New Roman"/>
                <w:spacing w:val="23"/>
                <w:w w:val="101"/>
                <w:sz w:val="20"/>
                <w:szCs w:val="20"/>
              </w:rPr>
              <w:t xml:space="preserve"> </w:t>
            </w:r>
            <w:r>
              <w:rPr>
                <w:spacing w:val="8"/>
                <w:sz w:val="20"/>
                <w:szCs w:val="20"/>
              </w:rPr>
              <w:t>发电机组及其配套辅助设施。</w:t>
            </w:r>
          </w:p>
        </w:tc>
      </w:tr>
      <w:tr w14:paraId="062AE1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611" w:type="dxa"/>
            <w:vMerge w:val="continue"/>
            <w:tcBorders>
              <w:top w:val="nil"/>
              <w:left w:val="nil"/>
              <w:bottom w:val="nil"/>
            </w:tcBorders>
            <w:vAlign w:val="top"/>
          </w:tcPr>
          <w:p w14:paraId="67C7AF16">
            <w:pPr>
              <w:rPr>
                <w:rFonts w:ascii="Arial"/>
                <w:sz w:val="21"/>
              </w:rPr>
            </w:pPr>
          </w:p>
        </w:tc>
        <w:tc>
          <w:tcPr>
            <w:tcW w:w="988" w:type="dxa"/>
            <w:vMerge w:val="continue"/>
            <w:tcBorders>
              <w:top w:val="nil"/>
              <w:bottom w:val="nil"/>
            </w:tcBorders>
            <w:vAlign w:val="top"/>
          </w:tcPr>
          <w:p w14:paraId="5E120182">
            <w:pPr>
              <w:rPr>
                <w:rFonts w:ascii="Arial"/>
                <w:sz w:val="21"/>
              </w:rPr>
            </w:pPr>
          </w:p>
        </w:tc>
        <w:tc>
          <w:tcPr>
            <w:tcW w:w="1281" w:type="dxa"/>
            <w:vAlign w:val="top"/>
          </w:tcPr>
          <w:p w14:paraId="5E342DF9">
            <w:pPr>
              <w:pStyle w:val="6"/>
              <w:spacing w:before="196" w:line="228" w:lineRule="auto"/>
              <w:ind w:left="224"/>
              <w:rPr>
                <w:sz w:val="20"/>
                <w:szCs w:val="20"/>
              </w:rPr>
            </w:pPr>
            <w:r>
              <w:rPr>
                <w:spacing w:val="7"/>
                <w:sz w:val="20"/>
                <w:szCs w:val="20"/>
              </w:rPr>
              <w:t>锅炉系统</w:t>
            </w:r>
          </w:p>
        </w:tc>
        <w:tc>
          <w:tcPr>
            <w:tcW w:w="6281" w:type="dxa"/>
            <w:tcBorders>
              <w:right w:val="nil"/>
            </w:tcBorders>
            <w:vAlign w:val="top"/>
          </w:tcPr>
          <w:p w14:paraId="7BCF831D">
            <w:pPr>
              <w:pStyle w:val="6"/>
              <w:spacing w:before="60" w:line="233" w:lineRule="auto"/>
              <w:ind w:left="7" w:firstLine="2"/>
              <w:rPr>
                <w:sz w:val="20"/>
                <w:szCs w:val="20"/>
              </w:rPr>
            </w:pPr>
            <w:r>
              <w:rPr>
                <w:spacing w:val="2"/>
                <w:sz w:val="20"/>
                <w:szCs w:val="20"/>
              </w:rPr>
              <w:t>建筑面积</w:t>
            </w:r>
            <w:r>
              <w:rPr>
                <w:spacing w:val="-42"/>
                <w:sz w:val="20"/>
                <w:szCs w:val="20"/>
              </w:rPr>
              <w:t xml:space="preserve"> </w:t>
            </w:r>
            <w:r>
              <w:rPr>
                <w:rFonts w:ascii="Times New Roman" w:hAnsi="Times New Roman" w:eastAsia="Times New Roman" w:cs="Times New Roman"/>
                <w:spacing w:val="2"/>
                <w:sz w:val="20"/>
                <w:szCs w:val="20"/>
              </w:rPr>
              <w:t>4846.8m</w:t>
            </w:r>
            <w:r>
              <w:rPr>
                <w:rFonts w:ascii="Times New Roman" w:hAnsi="Times New Roman" w:eastAsia="Times New Roman" w:cs="Times New Roman"/>
                <w:spacing w:val="2"/>
                <w:position w:val="6"/>
                <w:sz w:val="13"/>
                <w:szCs w:val="13"/>
              </w:rPr>
              <w:t>2</w:t>
            </w:r>
            <w:r>
              <w:rPr>
                <w:rFonts w:ascii="Times New Roman" w:hAnsi="Times New Roman" w:eastAsia="Times New Roman" w:cs="Times New Roman"/>
                <w:spacing w:val="-9"/>
                <w:position w:val="6"/>
                <w:sz w:val="13"/>
                <w:szCs w:val="13"/>
              </w:rPr>
              <w:t xml:space="preserve"> </w:t>
            </w:r>
            <w:r>
              <w:rPr>
                <w:spacing w:val="2"/>
                <w:sz w:val="20"/>
                <w:szCs w:val="20"/>
              </w:rPr>
              <w:t>，</w:t>
            </w:r>
            <w:r>
              <w:rPr>
                <w:rFonts w:ascii="Times New Roman" w:hAnsi="Times New Roman" w:eastAsia="Times New Roman" w:cs="Times New Roman"/>
                <w:spacing w:val="2"/>
                <w:sz w:val="20"/>
                <w:szCs w:val="20"/>
              </w:rPr>
              <w:t xml:space="preserve">6 </w:t>
            </w:r>
            <w:r>
              <w:rPr>
                <w:spacing w:val="2"/>
                <w:sz w:val="20"/>
                <w:szCs w:val="20"/>
              </w:rPr>
              <w:t>层建筑，配</w:t>
            </w:r>
            <w:r>
              <w:rPr>
                <w:spacing w:val="1"/>
                <w:sz w:val="20"/>
                <w:szCs w:val="20"/>
              </w:rPr>
              <w:t>置</w:t>
            </w:r>
            <w:r>
              <w:rPr>
                <w:spacing w:val="-21"/>
                <w:sz w:val="20"/>
                <w:szCs w:val="20"/>
              </w:rPr>
              <w:t xml:space="preserve"> </w:t>
            </w:r>
            <w:r>
              <w:rPr>
                <w:rFonts w:ascii="Times New Roman" w:hAnsi="Times New Roman" w:eastAsia="Times New Roman" w:cs="Times New Roman"/>
                <w:spacing w:val="1"/>
                <w:sz w:val="20"/>
                <w:szCs w:val="20"/>
              </w:rPr>
              <w:t>1</w:t>
            </w:r>
            <w:r>
              <w:rPr>
                <w:rFonts w:ascii="Times New Roman" w:hAnsi="Times New Roman" w:eastAsia="Times New Roman" w:cs="Times New Roman"/>
                <w:spacing w:val="25"/>
                <w:w w:val="101"/>
                <w:sz w:val="20"/>
                <w:szCs w:val="20"/>
              </w:rPr>
              <w:t xml:space="preserve"> </w:t>
            </w:r>
            <w:r>
              <w:rPr>
                <w:spacing w:val="1"/>
                <w:sz w:val="20"/>
                <w:szCs w:val="20"/>
              </w:rPr>
              <w:t>台</w:t>
            </w:r>
            <w:r>
              <w:rPr>
                <w:spacing w:val="-48"/>
                <w:sz w:val="20"/>
                <w:szCs w:val="20"/>
              </w:rPr>
              <w:t xml:space="preserve"> </w:t>
            </w:r>
            <w:r>
              <w:rPr>
                <w:rFonts w:ascii="Times New Roman" w:hAnsi="Times New Roman" w:eastAsia="Times New Roman" w:cs="Times New Roman"/>
                <w:sz w:val="20"/>
                <w:szCs w:val="20"/>
              </w:rPr>
              <w:t>NG</w:t>
            </w:r>
            <w:r>
              <w:rPr>
                <w:rFonts w:ascii="Times New Roman" w:hAnsi="Times New Roman" w:eastAsia="Times New Roman" w:cs="Times New Roman"/>
                <w:spacing w:val="1"/>
                <w:sz w:val="20"/>
                <w:szCs w:val="20"/>
              </w:rPr>
              <w:t>-200/13.7/571-Q</w:t>
            </w:r>
            <w:r>
              <w:rPr>
                <w:rFonts w:ascii="Times New Roman" w:hAnsi="Times New Roman" w:eastAsia="Times New Roman" w:cs="Times New Roman"/>
                <w:spacing w:val="19"/>
                <w:w w:val="101"/>
                <w:sz w:val="20"/>
                <w:szCs w:val="20"/>
              </w:rPr>
              <w:t xml:space="preserve"> </w:t>
            </w:r>
            <w:r>
              <w:rPr>
                <w:spacing w:val="1"/>
                <w:sz w:val="20"/>
                <w:szCs w:val="20"/>
              </w:rPr>
              <w:t>型锅炉，</w:t>
            </w:r>
            <w:r>
              <w:rPr>
                <w:sz w:val="20"/>
                <w:szCs w:val="20"/>
              </w:rPr>
              <w:t xml:space="preserve"> </w:t>
            </w:r>
            <w:r>
              <w:rPr>
                <w:spacing w:val="5"/>
                <w:sz w:val="20"/>
                <w:szCs w:val="20"/>
              </w:rPr>
              <w:t>额定蒸发量</w:t>
            </w:r>
            <w:r>
              <w:rPr>
                <w:spacing w:val="-43"/>
                <w:sz w:val="20"/>
                <w:szCs w:val="20"/>
              </w:rPr>
              <w:t xml:space="preserve"> </w:t>
            </w:r>
            <w:r>
              <w:rPr>
                <w:rFonts w:ascii="Times New Roman" w:hAnsi="Times New Roman" w:eastAsia="Times New Roman" w:cs="Times New Roman"/>
                <w:spacing w:val="5"/>
                <w:sz w:val="20"/>
                <w:szCs w:val="20"/>
              </w:rPr>
              <w:t>200t/h</w:t>
            </w:r>
            <w:r>
              <w:rPr>
                <w:rFonts w:ascii="Times New Roman" w:hAnsi="Times New Roman" w:eastAsia="Times New Roman" w:cs="Times New Roman"/>
                <w:spacing w:val="-24"/>
                <w:sz w:val="20"/>
                <w:szCs w:val="20"/>
              </w:rPr>
              <w:t xml:space="preserve"> </w:t>
            </w:r>
            <w:r>
              <w:rPr>
                <w:spacing w:val="5"/>
                <w:sz w:val="20"/>
                <w:szCs w:val="20"/>
              </w:rPr>
              <w:t>，燃料采用净化后电炉煤气。</w:t>
            </w:r>
          </w:p>
        </w:tc>
      </w:tr>
      <w:tr w14:paraId="212539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611" w:type="dxa"/>
            <w:vMerge w:val="continue"/>
            <w:tcBorders>
              <w:top w:val="nil"/>
              <w:left w:val="nil"/>
              <w:bottom w:val="nil"/>
            </w:tcBorders>
            <w:vAlign w:val="top"/>
          </w:tcPr>
          <w:p w14:paraId="490F408D">
            <w:pPr>
              <w:rPr>
                <w:rFonts w:ascii="Arial"/>
                <w:sz w:val="21"/>
              </w:rPr>
            </w:pPr>
          </w:p>
        </w:tc>
        <w:tc>
          <w:tcPr>
            <w:tcW w:w="988" w:type="dxa"/>
            <w:vMerge w:val="continue"/>
            <w:tcBorders>
              <w:top w:val="nil"/>
              <w:bottom w:val="nil"/>
            </w:tcBorders>
            <w:vAlign w:val="top"/>
          </w:tcPr>
          <w:p w14:paraId="035B8025">
            <w:pPr>
              <w:rPr>
                <w:rFonts w:ascii="Arial"/>
                <w:sz w:val="21"/>
              </w:rPr>
            </w:pPr>
          </w:p>
        </w:tc>
        <w:tc>
          <w:tcPr>
            <w:tcW w:w="1281" w:type="dxa"/>
            <w:vAlign w:val="top"/>
          </w:tcPr>
          <w:p w14:paraId="18D79E35">
            <w:pPr>
              <w:pStyle w:val="6"/>
              <w:spacing w:before="182" w:line="228" w:lineRule="auto"/>
              <w:ind w:left="124"/>
              <w:rPr>
                <w:sz w:val="20"/>
                <w:szCs w:val="20"/>
              </w:rPr>
            </w:pPr>
            <w:r>
              <w:rPr>
                <w:spacing w:val="7"/>
                <w:sz w:val="20"/>
                <w:szCs w:val="20"/>
              </w:rPr>
              <w:t>发电主厂房</w:t>
            </w:r>
          </w:p>
        </w:tc>
        <w:tc>
          <w:tcPr>
            <w:tcW w:w="6281" w:type="dxa"/>
            <w:tcBorders>
              <w:right w:val="nil"/>
            </w:tcBorders>
            <w:vAlign w:val="top"/>
          </w:tcPr>
          <w:p w14:paraId="5B0FDED7">
            <w:pPr>
              <w:pStyle w:val="6"/>
              <w:spacing w:before="45" w:line="227" w:lineRule="auto"/>
              <w:jc w:val="right"/>
              <w:rPr>
                <w:sz w:val="20"/>
                <w:szCs w:val="20"/>
              </w:rPr>
            </w:pPr>
            <w:r>
              <w:rPr>
                <w:spacing w:val="1"/>
                <w:sz w:val="20"/>
                <w:szCs w:val="20"/>
              </w:rPr>
              <w:t>建筑面积</w:t>
            </w:r>
            <w:r>
              <w:rPr>
                <w:spacing w:val="-37"/>
                <w:sz w:val="20"/>
                <w:szCs w:val="20"/>
              </w:rPr>
              <w:t xml:space="preserve"> </w:t>
            </w:r>
            <w:r>
              <w:rPr>
                <w:rFonts w:ascii="Times New Roman" w:hAnsi="Times New Roman" w:eastAsia="Times New Roman" w:cs="Times New Roman"/>
                <w:spacing w:val="1"/>
                <w:sz w:val="20"/>
                <w:szCs w:val="20"/>
              </w:rPr>
              <w:t>3470m</w:t>
            </w:r>
            <w:r>
              <w:rPr>
                <w:rFonts w:ascii="Times New Roman" w:hAnsi="Times New Roman" w:eastAsia="Times New Roman" w:cs="Times New Roman"/>
                <w:spacing w:val="1"/>
                <w:position w:val="6"/>
                <w:sz w:val="13"/>
                <w:szCs w:val="13"/>
              </w:rPr>
              <w:t>2</w:t>
            </w:r>
            <w:r>
              <w:rPr>
                <w:spacing w:val="1"/>
                <w:sz w:val="20"/>
                <w:szCs w:val="20"/>
              </w:rPr>
              <w:t>，</w:t>
            </w:r>
            <w:r>
              <w:rPr>
                <w:rFonts w:ascii="Times New Roman" w:hAnsi="Times New Roman" w:eastAsia="Times New Roman" w:cs="Times New Roman"/>
                <w:spacing w:val="1"/>
                <w:sz w:val="20"/>
                <w:szCs w:val="20"/>
              </w:rPr>
              <w:t xml:space="preserve">4 </w:t>
            </w:r>
            <w:r>
              <w:rPr>
                <w:spacing w:val="1"/>
                <w:sz w:val="20"/>
                <w:szCs w:val="20"/>
              </w:rPr>
              <w:t>层建筑，配置</w:t>
            </w:r>
            <w:r>
              <w:rPr>
                <w:spacing w:val="-21"/>
                <w:sz w:val="20"/>
                <w:szCs w:val="20"/>
              </w:rPr>
              <w:t xml:space="preserve"> </w:t>
            </w:r>
            <w:r>
              <w:rPr>
                <w:rFonts w:ascii="Times New Roman" w:hAnsi="Times New Roman" w:eastAsia="Times New Roman" w:cs="Times New Roman"/>
                <w:spacing w:val="1"/>
                <w:sz w:val="20"/>
                <w:szCs w:val="20"/>
              </w:rPr>
              <w:t>1</w:t>
            </w:r>
            <w:r>
              <w:rPr>
                <w:rFonts w:ascii="Times New Roman" w:hAnsi="Times New Roman" w:eastAsia="Times New Roman" w:cs="Times New Roman"/>
                <w:spacing w:val="25"/>
                <w:w w:val="101"/>
                <w:sz w:val="20"/>
                <w:szCs w:val="20"/>
              </w:rPr>
              <w:t xml:space="preserve"> </w:t>
            </w:r>
            <w:r>
              <w:rPr>
                <w:spacing w:val="1"/>
                <w:sz w:val="20"/>
                <w:szCs w:val="20"/>
              </w:rPr>
              <w:t>台</w:t>
            </w:r>
            <w:r>
              <w:rPr>
                <w:spacing w:val="-48"/>
                <w:sz w:val="20"/>
                <w:szCs w:val="20"/>
              </w:rPr>
              <w:t xml:space="preserve"> </w:t>
            </w:r>
            <w:r>
              <w:rPr>
                <w:rFonts w:ascii="Times New Roman" w:hAnsi="Times New Roman" w:eastAsia="Times New Roman" w:cs="Times New Roman"/>
                <w:sz w:val="20"/>
                <w:szCs w:val="20"/>
              </w:rPr>
              <w:t>NZK</w:t>
            </w:r>
            <w:r>
              <w:rPr>
                <w:rFonts w:ascii="Times New Roman" w:hAnsi="Times New Roman" w:eastAsia="Times New Roman" w:cs="Times New Roman"/>
                <w:spacing w:val="1"/>
                <w:sz w:val="20"/>
                <w:szCs w:val="20"/>
              </w:rPr>
              <w:t xml:space="preserve">60-13.24/566/566 </w:t>
            </w:r>
            <w:r>
              <w:rPr>
                <w:spacing w:val="1"/>
                <w:sz w:val="20"/>
                <w:szCs w:val="20"/>
              </w:rPr>
              <w:t>汽</w:t>
            </w:r>
            <w:r>
              <w:rPr>
                <w:sz w:val="20"/>
                <w:szCs w:val="20"/>
              </w:rPr>
              <w:t>轮机，</w:t>
            </w:r>
          </w:p>
          <w:p w14:paraId="3C90F703">
            <w:pPr>
              <w:pStyle w:val="6"/>
              <w:spacing w:before="28" w:line="197" w:lineRule="auto"/>
              <w:ind w:left="23"/>
              <w:rPr>
                <w:sz w:val="20"/>
                <w:szCs w:val="20"/>
              </w:rPr>
            </w:pPr>
            <w:r>
              <w:rPr>
                <w:rFonts w:ascii="Times New Roman" w:hAnsi="Times New Roman" w:eastAsia="Times New Roman" w:cs="Times New Roman"/>
                <w:spacing w:val="3"/>
                <w:sz w:val="20"/>
                <w:szCs w:val="20"/>
              </w:rPr>
              <w:t>1</w:t>
            </w:r>
            <w:r>
              <w:rPr>
                <w:rFonts w:ascii="Times New Roman" w:hAnsi="Times New Roman" w:eastAsia="Times New Roman" w:cs="Times New Roman"/>
                <w:spacing w:val="30"/>
                <w:w w:val="101"/>
                <w:sz w:val="20"/>
                <w:szCs w:val="20"/>
              </w:rPr>
              <w:t xml:space="preserve"> </w:t>
            </w:r>
            <w:r>
              <w:rPr>
                <w:spacing w:val="3"/>
                <w:sz w:val="20"/>
                <w:szCs w:val="20"/>
              </w:rPr>
              <w:t>台额定功率</w:t>
            </w:r>
            <w:r>
              <w:rPr>
                <w:spacing w:val="-38"/>
                <w:sz w:val="20"/>
                <w:szCs w:val="20"/>
              </w:rPr>
              <w:t xml:space="preserve"> </w:t>
            </w:r>
            <w:r>
              <w:rPr>
                <w:rFonts w:ascii="Times New Roman" w:hAnsi="Times New Roman" w:eastAsia="Times New Roman" w:cs="Times New Roman"/>
                <w:spacing w:val="3"/>
                <w:sz w:val="20"/>
                <w:szCs w:val="20"/>
              </w:rPr>
              <w:t>60</w:t>
            </w:r>
            <w:r>
              <w:rPr>
                <w:rFonts w:ascii="Times New Roman" w:hAnsi="Times New Roman" w:eastAsia="Times New Roman" w:cs="Times New Roman"/>
                <w:sz w:val="20"/>
                <w:szCs w:val="20"/>
              </w:rPr>
              <w:t>MW</w:t>
            </w:r>
            <w:r>
              <w:rPr>
                <w:rFonts w:ascii="Times New Roman" w:hAnsi="Times New Roman" w:eastAsia="Times New Roman" w:cs="Times New Roman"/>
                <w:spacing w:val="16"/>
                <w:sz w:val="20"/>
                <w:szCs w:val="20"/>
              </w:rPr>
              <w:t xml:space="preserve"> </w:t>
            </w:r>
            <w:r>
              <w:rPr>
                <w:spacing w:val="3"/>
                <w:sz w:val="20"/>
                <w:szCs w:val="20"/>
              </w:rPr>
              <w:t>发电机。</w:t>
            </w:r>
          </w:p>
        </w:tc>
      </w:tr>
      <w:tr w14:paraId="0703B8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41165B04">
            <w:pPr>
              <w:rPr>
                <w:rFonts w:ascii="Arial"/>
                <w:sz w:val="21"/>
              </w:rPr>
            </w:pPr>
          </w:p>
        </w:tc>
        <w:tc>
          <w:tcPr>
            <w:tcW w:w="988" w:type="dxa"/>
            <w:vMerge w:val="continue"/>
            <w:tcBorders>
              <w:top w:val="nil"/>
              <w:bottom w:val="nil"/>
            </w:tcBorders>
            <w:vAlign w:val="top"/>
          </w:tcPr>
          <w:p w14:paraId="05D8FE57">
            <w:pPr>
              <w:rPr>
                <w:rFonts w:ascii="Arial"/>
                <w:sz w:val="21"/>
              </w:rPr>
            </w:pPr>
          </w:p>
        </w:tc>
        <w:tc>
          <w:tcPr>
            <w:tcW w:w="1281" w:type="dxa"/>
            <w:vAlign w:val="top"/>
          </w:tcPr>
          <w:p w14:paraId="342ADCCA">
            <w:pPr>
              <w:pStyle w:val="6"/>
              <w:spacing w:before="183" w:line="228" w:lineRule="auto"/>
              <w:ind w:left="225"/>
              <w:rPr>
                <w:sz w:val="20"/>
                <w:szCs w:val="20"/>
              </w:rPr>
            </w:pPr>
            <w:r>
              <w:rPr>
                <w:spacing w:val="7"/>
                <w:sz w:val="20"/>
                <w:szCs w:val="20"/>
              </w:rPr>
              <w:t>化水车间</w:t>
            </w:r>
          </w:p>
        </w:tc>
        <w:tc>
          <w:tcPr>
            <w:tcW w:w="6281" w:type="dxa"/>
            <w:tcBorders>
              <w:right w:val="nil"/>
            </w:tcBorders>
            <w:vAlign w:val="top"/>
          </w:tcPr>
          <w:p w14:paraId="41DF8AC8">
            <w:pPr>
              <w:pStyle w:val="6"/>
              <w:spacing w:before="46" w:line="225" w:lineRule="auto"/>
              <w:ind w:left="9" w:right="1"/>
              <w:rPr>
                <w:sz w:val="20"/>
                <w:szCs w:val="20"/>
              </w:rPr>
            </w:pPr>
            <w:r>
              <w:rPr>
                <w:spacing w:val="6"/>
                <w:sz w:val="20"/>
                <w:szCs w:val="20"/>
              </w:rPr>
              <w:t>建筑面积</w:t>
            </w:r>
            <w:r>
              <w:rPr>
                <w:spacing w:val="-32"/>
                <w:sz w:val="20"/>
                <w:szCs w:val="20"/>
              </w:rPr>
              <w:t xml:space="preserve"> </w:t>
            </w:r>
            <w:r>
              <w:rPr>
                <w:rFonts w:ascii="Times New Roman" w:hAnsi="Times New Roman" w:eastAsia="Times New Roman" w:cs="Times New Roman"/>
                <w:spacing w:val="6"/>
                <w:sz w:val="20"/>
                <w:szCs w:val="20"/>
              </w:rPr>
              <w:t>864m</w:t>
            </w:r>
            <w:r>
              <w:rPr>
                <w:rFonts w:ascii="Times New Roman" w:hAnsi="Times New Roman" w:eastAsia="Times New Roman" w:cs="Times New Roman"/>
                <w:spacing w:val="6"/>
                <w:position w:val="6"/>
                <w:sz w:val="13"/>
                <w:szCs w:val="13"/>
              </w:rPr>
              <w:t>2</w:t>
            </w:r>
            <w:r>
              <w:rPr>
                <w:spacing w:val="6"/>
                <w:sz w:val="20"/>
                <w:szCs w:val="20"/>
              </w:rPr>
              <w:t>，采用二级反渗透</w:t>
            </w:r>
            <w:r>
              <w:rPr>
                <w:rFonts w:ascii="Times New Roman" w:hAnsi="Times New Roman" w:eastAsia="Times New Roman" w:cs="Times New Roman"/>
                <w:spacing w:val="6"/>
                <w:sz w:val="20"/>
                <w:szCs w:val="20"/>
              </w:rPr>
              <w:t>+</w:t>
            </w:r>
            <w:r>
              <w:rPr>
                <w:rFonts w:ascii="Times New Roman" w:hAnsi="Times New Roman" w:eastAsia="Times New Roman" w:cs="Times New Roman"/>
                <w:sz w:val="20"/>
                <w:szCs w:val="20"/>
              </w:rPr>
              <w:t>EDI</w:t>
            </w:r>
            <w:r>
              <w:rPr>
                <w:rFonts w:ascii="Times New Roman" w:hAnsi="Times New Roman" w:eastAsia="Times New Roman" w:cs="Times New Roman"/>
                <w:spacing w:val="6"/>
                <w:sz w:val="20"/>
                <w:szCs w:val="20"/>
              </w:rPr>
              <w:t xml:space="preserve"> </w:t>
            </w:r>
            <w:r>
              <w:rPr>
                <w:spacing w:val="6"/>
                <w:sz w:val="20"/>
                <w:szCs w:val="20"/>
              </w:rPr>
              <w:t>脱盐水</w:t>
            </w:r>
            <w:r>
              <w:rPr>
                <w:spacing w:val="5"/>
                <w:sz w:val="20"/>
                <w:szCs w:val="20"/>
              </w:rPr>
              <w:t>制备工艺，设计出水能</w:t>
            </w:r>
            <w:r>
              <w:rPr>
                <w:sz w:val="20"/>
                <w:szCs w:val="20"/>
              </w:rPr>
              <w:t xml:space="preserve"> </w:t>
            </w:r>
            <w:r>
              <w:rPr>
                <w:spacing w:val="2"/>
                <w:sz w:val="20"/>
                <w:szCs w:val="20"/>
              </w:rPr>
              <w:t>力为</w:t>
            </w:r>
            <w:r>
              <w:rPr>
                <w:spacing w:val="-34"/>
                <w:sz w:val="20"/>
                <w:szCs w:val="20"/>
              </w:rPr>
              <w:t xml:space="preserve"> </w:t>
            </w:r>
            <w:r>
              <w:rPr>
                <w:rFonts w:ascii="Times New Roman" w:hAnsi="Times New Roman" w:eastAsia="Times New Roman" w:cs="Times New Roman"/>
                <w:spacing w:val="2"/>
                <w:sz w:val="20"/>
                <w:szCs w:val="20"/>
              </w:rPr>
              <w:t>5m</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2"/>
                <w:sz w:val="20"/>
                <w:szCs w:val="20"/>
              </w:rPr>
              <w:t>/h</w:t>
            </w:r>
            <w:r>
              <w:rPr>
                <w:spacing w:val="2"/>
                <w:sz w:val="20"/>
                <w:szCs w:val="20"/>
              </w:rPr>
              <w:t>。</w:t>
            </w:r>
          </w:p>
        </w:tc>
      </w:tr>
      <w:tr w14:paraId="7D543A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5" w:hRule="atLeast"/>
        </w:trPr>
        <w:tc>
          <w:tcPr>
            <w:tcW w:w="611" w:type="dxa"/>
            <w:vMerge w:val="continue"/>
            <w:tcBorders>
              <w:top w:val="nil"/>
              <w:left w:val="nil"/>
              <w:bottom w:val="nil"/>
            </w:tcBorders>
            <w:vAlign w:val="top"/>
          </w:tcPr>
          <w:p w14:paraId="74F2BECF">
            <w:pPr>
              <w:rPr>
                <w:rFonts w:ascii="Arial"/>
                <w:sz w:val="21"/>
              </w:rPr>
            </w:pPr>
          </w:p>
        </w:tc>
        <w:tc>
          <w:tcPr>
            <w:tcW w:w="988" w:type="dxa"/>
            <w:vMerge w:val="continue"/>
            <w:tcBorders>
              <w:top w:val="nil"/>
              <w:bottom w:val="nil"/>
            </w:tcBorders>
            <w:vAlign w:val="top"/>
          </w:tcPr>
          <w:p w14:paraId="1F384CF8">
            <w:pPr>
              <w:rPr>
                <w:rFonts w:ascii="Arial"/>
                <w:sz w:val="21"/>
              </w:rPr>
            </w:pPr>
          </w:p>
        </w:tc>
        <w:tc>
          <w:tcPr>
            <w:tcW w:w="1281" w:type="dxa"/>
            <w:vAlign w:val="top"/>
          </w:tcPr>
          <w:p w14:paraId="1501B1C6">
            <w:pPr>
              <w:spacing w:line="254" w:lineRule="auto"/>
              <w:rPr>
                <w:rFonts w:ascii="Arial"/>
                <w:sz w:val="21"/>
              </w:rPr>
            </w:pPr>
          </w:p>
          <w:p w14:paraId="70807D99">
            <w:pPr>
              <w:pStyle w:val="6"/>
              <w:spacing w:before="65" w:line="228" w:lineRule="auto"/>
              <w:ind w:left="336"/>
              <w:rPr>
                <w:sz w:val="20"/>
                <w:szCs w:val="20"/>
              </w:rPr>
            </w:pPr>
            <w:r>
              <w:rPr>
                <w:spacing w:val="4"/>
                <w:sz w:val="20"/>
                <w:szCs w:val="20"/>
              </w:rPr>
              <w:t>空冷岛</w:t>
            </w:r>
          </w:p>
        </w:tc>
        <w:tc>
          <w:tcPr>
            <w:tcW w:w="6281" w:type="dxa"/>
            <w:tcBorders>
              <w:right w:val="nil"/>
            </w:tcBorders>
            <w:vAlign w:val="top"/>
          </w:tcPr>
          <w:p w14:paraId="44C1F841">
            <w:pPr>
              <w:pStyle w:val="6"/>
              <w:spacing w:before="47" w:line="233" w:lineRule="auto"/>
              <w:ind w:left="8"/>
              <w:jc w:val="both"/>
              <w:rPr>
                <w:sz w:val="20"/>
                <w:szCs w:val="20"/>
              </w:rPr>
            </w:pPr>
            <w:r>
              <w:rPr>
                <w:spacing w:val="2"/>
                <w:sz w:val="20"/>
                <w:szCs w:val="20"/>
              </w:rPr>
              <w:t>建筑面积</w:t>
            </w:r>
            <w:r>
              <w:rPr>
                <w:spacing w:val="-37"/>
                <w:sz w:val="20"/>
                <w:szCs w:val="20"/>
              </w:rPr>
              <w:t xml:space="preserve"> </w:t>
            </w:r>
            <w:r>
              <w:rPr>
                <w:rFonts w:ascii="Times New Roman" w:hAnsi="Times New Roman" w:eastAsia="Times New Roman" w:cs="Times New Roman"/>
                <w:spacing w:val="2"/>
                <w:sz w:val="20"/>
                <w:szCs w:val="20"/>
              </w:rPr>
              <w:t>727m</w:t>
            </w:r>
            <w:r>
              <w:rPr>
                <w:rFonts w:ascii="Times New Roman" w:hAnsi="Times New Roman" w:eastAsia="Times New Roman" w:cs="Times New Roman"/>
                <w:spacing w:val="2"/>
                <w:position w:val="6"/>
                <w:sz w:val="13"/>
                <w:szCs w:val="13"/>
              </w:rPr>
              <w:t>2</w:t>
            </w:r>
            <w:r>
              <w:rPr>
                <w:rFonts w:ascii="Times New Roman" w:hAnsi="Times New Roman" w:eastAsia="Times New Roman" w:cs="Times New Roman"/>
                <w:spacing w:val="-9"/>
                <w:position w:val="6"/>
                <w:sz w:val="13"/>
                <w:szCs w:val="13"/>
              </w:rPr>
              <w:t xml:space="preserve"> </w:t>
            </w:r>
            <w:r>
              <w:rPr>
                <w:spacing w:val="2"/>
                <w:sz w:val="20"/>
                <w:szCs w:val="20"/>
              </w:rPr>
              <w:t>，设计初始温差</w:t>
            </w:r>
            <w:r>
              <w:rPr>
                <w:spacing w:val="-36"/>
                <w:sz w:val="20"/>
                <w:szCs w:val="20"/>
              </w:rPr>
              <w:t xml:space="preserve"> </w:t>
            </w:r>
            <w:r>
              <w:rPr>
                <w:rFonts w:ascii="Times New Roman" w:hAnsi="Times New Roman" w:eastAsia="Times New Roman" w:cs="Times New Roman"/>
                <w:spacing w:val="2"/>
                <w:sz w:val="20"/>
                <w:szCs w:val="20"/>
              </w:rPr>
              <w:t>37℃</w:t>
            </w:r>
            <w:r>
              <w:rPr>
                <w:rFonts w:ascii="Times New Roman" w:hAnsi="Times New Roman" w:eastAsia="Times New Roman" w:cs="Times New Roman"/>
                <w:spacing w:val="-23"/>
                <w:sz w:val="20"/>
                <w:szCs w:val="20"/>
              </w:rPr>
              <w:t xml:space="preserve"> </w:t>
            </w:r>
            <w:r>
              <w:rPr>
                <w:spacing w:val="2"/>
                <w:sz w:val="20"/>
                <w:szCs w:val="20"/>
              </w:rPr>
              <w:t>,</w:t>
            </w:r>
            <w:r>
              <w:rPr>
                <w:spacing w:val="87"/>
                <w:sz w:val="20"/>
                <w:szCs w:val="20"/>
              </w:rPr>
              <w:t xml:space="preserve"> </w:t>
            </w:r>
            <w:r>
              <w:rPr>
                <w:spacing w:val="2"/>
                <w:sz w:val="20"/>
                <w:szCs w:val="20"/>
              </w:rPr>
              <w:t>由</w:t>
            </w:r>
            <w:r>
              <w:rPr>
                <w:spacing w:val="-23"/>
                <w:sz w:val="20"/>
                <w:szCs w:val="20"/>
              </w:rPr>
              <w:t xml:space="preserve"> </w:t>
            </w:r>
            <w:r>
              <w:rPr>
                <w:rFonts w:ascii="Times New Roman" w:hAnsi="Times New Roman" w:eastAsia="Times New Roman" w:cs="Times New Roman"/>
                <w:spacing w:val="2"/>
                <w:sz w:val="20"/>
                <w:szCs w:val="20"/>
              </w:rPr>
              <w:t>1</w:t>
            </w:r>
            <w:r>
              <w:rPr>
                <w:rFonts w:ascii="Times New Roman" w:hAnsi="Times New Roman" w:eastAsia="Times New Roman" w:cs="Times New Roman"/>
                <w:spacing w:val="1"/>
                <w:sz w:val="20"/>
                <w:szCs w:val="20"/>
              </w:rPr>
              <w:t xml:space="preserve">4 </w:t>
            </w:r>
            <w:r>
              <w:rPr>
                <w:spacing w:val="1"/>
                <w:sz w:val="20"/>
                <w:szCs w:val="20"/>
              </w:rPr>
              <w:t>个空冷单元组成</w:t>
            </w:r>
            <w:r>
              <w:rPr>
                <w:spacing w:val="-34"/>
                <w:sz w:val="20"/>
                <w:szCs w:val="20"/>
              </w:rPr>
              <w:t xml:space="preserve"> </w:t>
            </w:r>
            <w:r>
              <w:rPr>
                <w:rFonts w:ascii="Times New Roman" w:hAnsi="Times New Roman" w:eastAsia="Times New Roman" w:cs="Times New Roman"/>
                <w:spacing w:val="1"/>
                <w:sz w:val="20"/>
                <w:szCs w:val="20"/>
              </w:rPr>
              <w:t>8+6</w:t>
            </w:r>
            <w:r>
              <w:rPr>
                <w:rFonts w:ascii="Times New Roman" w:hAnsi="Times New Roman" w:eastAsia="Times New Roman" w:cs="Times New Roman"/>
                <w:spacing w:val="18"/>
                <w:w w:val="101"/>
                <w:sz w:val="20"/>
                <w:szCs w:val="20"/>
              </w:rPr>
              <w:t xml:space="preserve"> </w:t>
            </w:r>
            <w:r>
              <w:rPr>
                <w:spacing w:val="1"/>
                <w:sz w:val="20"/>
                <w:szCs w:val="20"/>
              </w:rPr>
              <w:t>空</w:t>
            </w:r>
            <w:r>
              <w:rPr>
                <w:sz w:val="20"/>
                <w:szCs w:val="20"/>
              </w:rPr>
              <w:t xml:space="preserve"> </w:t>
            </w:r>
            <w:r>
              <w:rPr>
                <w:spacing w:val="9"/>
                <w:sz w:val="20"/>
                <w:szCs w:val="20"/>
              </w:rPr>
              <w:t>冷系统，简称</w:t>
            </w:r>
            <w:r>
              <w:rPr>
                <w:spacing w:val="-21"/>
                <w:sz w:val="20"/>
                <w:szCs w:val="20"/>
              </w:rPr>
              <w:t xml:space="preserve"> </w:t>
            </w:r>
            <w:r>
              <w:rPr>
                <w:rFonts w:ascii="Times New Roman" w:hAnsi="Times New Roman" w:eastAsia="Times New Roman" w:cs="Times New Roman"/>
                <w:spacing w:val="9"/>
                <w:sz w:val="20"/>
                <w:szCs w:val="20"/>
              </w:rPr>
              <w:t xml:space="preserve">8 </w:t>
            </w:r>
            <w:r>
              <w:rPr>
                <w:spacing w:val="9"/>
                <w:sz w:val="20"/>
                <w:szCs w:val="20"/>
              </w:rPr>
              <w:t>单元空冷岛和</w:t>
            </w:r>
            <w:r>
              <w:rPr>
                <w:rFonts w:ascii="Times New Roman" w:hAnsi="Times New Roman" w:eastAsia="Times New Roman" w:cs="Times New Roman"/>
                <w:spacing w:val="9"/>
                <w:sz w:val="20"/>
                <w:szCs w:val="20"/>
              </w:rPr>
              <w:t xml:space="preserve">6 </w:t>
            </w:r>
            <w:r>
              <w:rPr>
                <w:spacing w:val="9"/>
                <w:sz w:val="20"/>
                <w:szCs w:val="20"/>
              </w:rPr>
              <w:t>单元空冷岛，单排管空冷凝汽器，单</w:t>
            </w:r>
            <w:r>
              <w:rPr>
                <w:sz w:val="20"/>
                <w:szCs w:val="20"/>
              </w:rPr>
              <w:t xml:space="preserve"> </w:t>
            </w:r>
            <w:r>
              <w:rPr>
                <w:spacing w:val="5"/>
                <w:sz w:val="20"/>
                <w:szCs w:val="20"/>
              </w:rPr>
              <w:t>台风机额定功率</w:t>
            </w:r>
            <w:r>
              <w:rPr>
                <w:spacing w:val="-16"/>
                <w:sz w:val="20"/>
                <w:szCs w:val="20"/>
              </w:rPr>
              <w:t xml:space="preserve"> </w:t>
            </w:r>
            <w:r>
              <w:rPr>
                <w:rFonts w:ascii="Times New Roman" w:hAnsi="Times New Roman" w:eastAsia="Times New Roman" w:cs="Times New Roman"/>
                <w:spacing w:val="5"/>
                <w:sz w:val="20"/>
                <w:szCs w:val="20"/>
              </w:rPr>
              <w:t>132</w:t>
            </w:r>
            <w:r>
              <w:rPr>
                <w:rFonts w:ascii="Times New Roman" w:hAnsi="Times New Roman" w:eastAsia="Times New Roman" w:cs="Times New Roman"/>
                <w:sz w:val="20"/>
                <w:szCs w:val="20"/>
              </w:rPr>
              <w:t>kW</w:t>
            </w:r>
            <w:r>
              <w:rPr>
                <w:spacing w:val="5"/>
                <w:sz w:val="20"/>
                <w:szCs w:val="20"/>
              </w:rPr>
              <w:t>。</w:t>
            </w:r>
          </w:p>
        </w:tc>
      </w:tr>
      <w:tr w14:paraId="7F9D94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83" w:hRule="atLeast"/>
        </w:trPr>
        <w:tc>
          <w:tcPr>
            <w:tcW w:w="611" w:type="dxa"/>
            <w:vMerge w:val="continue"/>
            <w:tcBorders>
              <w:top w:val="nil"/>
              <w:left w:val="nil"/>
              <w:bottom w:val="single" w:color="000000" w:sz="10" w:space="0"/>
            </w:tcBorders>
            <w:vAlign w:val="top"/>
          </w:tcPr>
          <w:p w14:paraId="234E3B1E">
            <w:pPr>
              <w:rPr>
                <w:rFonts w:ascii="Arial"/>
                <w:sz w:val="21"/>
              </w:rPr>
            </w:pPr>
          </w:p>
        </w:tc>
        <w:tc>
          <w:tcPr>
            <w:tcW w:w="988" w:type="dxa"/>
            <w:vMerge w:val="continue"/>
            <w:tcBorders>
              <w:top w:val="nil"/>
              <w:bottom w:val="single" w:color="000000" w:sz="10" w:space="0"/>
            </w:tcBorders>
            <w:vAlign w:val="top"/>
          </w:tcPr>
          <w:p w14:paraId="0A4828DA">
            <w:pPr>
              <w:rPr>
                <w:rFonts w:ascii="Arial"/>
                <w:sz w:val="21"/>
              </w:rPr>
            </w:pPr>
          </w:p>
        </w:tc>
        <w:tc>
          <w:tcPr>
            <w:tcW w:w="1281" w:type="dxa"/>
            <w:tcBorders>
              <w:bottom w:val="single" w:color="000000" w:sz="10" w:space="0"/>
            </w:tcBorders>
            <w:vAlign w:val="top"/>
          </w:tcPr>
          <w:p w14:paraId="5293C96B">
            <w:pPr>
              <w:spacing w:line="262" w:lineRule="auto"/>
              <w:rPr>
                <w:rFonts w:ascii="Arial"/>
                <w:sz w:val="21"/>
              </w:rPr>
            </w:pPr>
          </w:p>
          <w:p w14:paraId="3CF32A14">
            <w:pPr>
              <w:spacing w:line="263" w:lineRule="auto"/>
              <w:rPr>
                <w:rFonts w:ascii="Arial"/>
                <w:sz w:val="21"/>
              </w:rPr>
            </w:pPr>
          </w:p>
          <w:p w14:paraId="7F139778">
            <w:pPr>
              <w:pStyle w:val="6"/>
              <w:spacing w:before="65" w:line="229" w:lineRule="auto"/>
              <w:ind w:left="16"/>
              <w:rPr>
                <w:sz w:val="20"/>
                <w:szCs w:val="20"/>
              </w:rPr>
            </w:pPr>
            <w:r>
              <w:rPr>
                <w:spacing w:val="8"/>
                <w:sz w:val="20"/>
                <w:szCs w:val="20"/>
              </w:rPr>
              <w:t>烟气处理系统</w:t>
            </w:r>
          </w:p>
        </w:tc>
        <w:tc>
          <w:tcPr>
            <w:tcW w:w="6281" w:type="dxa"/>
            <w:tcBorders>
              <w:bottom w:val="single" w:color="000000" w:sz="10" w:space="0"/>
              <w:right w:val="nil"/>
            </w:tcBorders>
            <w:vAlign w:val="top"/>
          </w:tcPr>
          <w:p w14:paraId="3F93FF3F">
            <w:pPr>
              <w:pStyle w:val="6"/>
              <w:spacing w:before="50" w:line="227" w:lineRule="auto"/>
              <w:ind w:left="6"/>
              <w:rPr>
                <w:sz w:val="20"/>
                <w:szCs w:val="20"/>
              </w:rPr>
            </w:pPr>
            <w:r>
              <w:rPr>
                <w:spacing w:val="9"/>
                <w:sz w:val="20"/>
                <w:szCs w:val="20"/>
              </w:rPr>
              <w:t>采用小苏打干法脱硫+</w:t>
            </w:r>
            <w:r>
              <w:rPr>
                <w:rFonts w:ascii="Times New Roman" w:hAnsi="Times New Roman" w:eastAsia="Times New Roman" w:cs="Times New Roman"/>
                <w:sz w:val="20"/>
                <w:szCs w:val="20"/>
              </w:rPr>
              <w:t>SCR</w:t>
            </w:r>
            <w:r>
              <w:rPr>
                <w:rFonts w:ascii="Times New Roman" w:hAnsi="Times New Roman" w:eastAsia="Times New Roman" w:cs="Times New Roman"/>
                <w:spacing w:val="9"/>
                <w:sz w:val="20"/>
                <w:szCs w:val="20"/>
              </w:rPr>
              <w:t xml:space="preserve"> </w:t>
            </w:r>
            <w:r>
              <w:rPr>
                <w:spacing w:val="9"/>
                <w:sz w:val="20"/>
                <w:szCs w:val="20"/>
              </w:rPr>
              <w:t>脱硝工艺；</w:t>
            </w:r>
          </w:p>
          <w:p w14:paraId="0F7DC403">
            <w:pPr>
              <w:pStyle w:val="6"/>
              <w:spacing w:before="27" w:line="242" w:lineRule="auto"/>
              <w:ind w:left="12" w:right="3"/>
              <w:rPr>
                <w:sz w:val="20"/>
                <w:szCs w:val="20"/>
              </w:rPr>
            </w:pPr>
            <w:r>
              <w:rPr>
                <w:spacing w:val="9"/>
                <w:sz w:val="20"/>
                <w:szCs w:val="20"/>
              </w:rPr>
              <w:t>小苏打干法脱硫装置主要由吸收剂制备系统、喷</w:t>
            </w:r>
            <w:r>
              <w:rPr>
                <w:spacing w:val="8"/>
                <w:sz w:val="20"/>
                <w:szCs w:val="20"/>
              </w:rPr>
              <w:t>射系统及布袋除尘系</w:t>
            </w:r>
            <w:r>
              <w:rPr>
                <w:sz w:val="20"/>
                <w:szCs w:val="20"/>
              </w:rPr>
              <w:t xml:space="preserve"> </w:t>
            </w:r>
            <w:r>
              <w:rPr>
                <w:spacing w:val="11"/>
                <w:sz w:val="20"/>
                <w:szCs w:val="20"/>
              </w:rPr>
              <w:t>统等组成；</w:t>
            </w:r>
            <w:r>
              <w:rPr>
                <w:rFonts w:ascii="Times New Roman" w:hAnsi="Times New Roman" w:eastAsia="Times New Roman" w:cs="Times New Roman"/>
                <w:sz w:val="20"/>
                <w:szCs w:val="20"/>
              </w:rPr>
              <w:t>SCR</w:t>
            </w:r>
            <w:r>
              <w:rPr>
                <w:rFonts w:ascii="Times New Roman" w:hAnsi="Times New Roman" w:eastAsia="Times New Roman" w:cs="Times New Roman"/>
                <w:spacing w:val="11"/>
                <w:sz w:val="20"/>
                <w:szCs w:val="20"/>
              </w:rPr>
              <w:t xml:space="preserve"> </w:t>
            </w:r>
            <w:r>
              <w:rPr>
                <w:spacing w:val="11"/>
                <w:sz w:val="20"/>
                <w:szCs w:val="20"/>
              </w:rPr>
              <w:t>脱硝装置选用</w:t>
            </w:r>
            <w:r>
              <w:rPr>
                <w:rFonts w:ascii="Times New Roman" w:hAnsi="Times New Roman" w:eastAsia="Times New Roman" w:cs="Times New Roman"/>
                <w:spacing w:val="11"/>
                <w:sz w:val="20"/>
                <w:szCs w:val="20"/>
              </w:rPr>
              <w:t>25%</w:t>
            </w:r>
            <w:r>
              <w:rPr>
                <w:spacing w:val="11"/>
                <w:sz w:val="20"/>
                <w:szCs w:val="20"/>
              </w:rPr>
              <w:t>氨水作为脱硝还原剂，主要包括</w:t>
            </w:r>
            <w:r>
              <w:rPr>
                <w:spacing w:val="3"/>
                <w:sz w:val="20"/>
                <w:szCs w:val="20"/>
              </w:rPr>
              <w:t xml:space="preserve">  </w:t>
            </w:r>
            <w:r>
              <w:rPr>
                <w:rFonts w:ascii="Times New Roman" w:hAnsi="Times New Roman" w:eastAsia="Times New Roman" w:cs="Times New Roman"/>
                <w:sz w:val="20"/>
                <w:szCs w:val="20"/>
              </w:rPr>
              <w:t>SCR</w:t>
            </w:r>
            <w:r>
              <w:rPr>
                <w:rFonts w:ascii="Times New Roman" w:hAnsi="Times New Roman" w:eastAsia="Times New Roman" w:cs="Times New Roman"/>
                <w:spacing w:val="8"/>
                <w:sz w:val="20"/>
                <w:szCs w:val="20"/>
              </w:rPr>
              <w:t xml:space="preserve"> </w:t>
            </w:r>
            <w:r>
              <w:rPr>
                <w:spacing w:val="8"/>
                <w:sz w:val="20"/>
                <w:szCs w:val="20"/>
              </w:rPr>
              <w:t>反应器系统、氨混合喷射系统、氨水气化系统和压缩空气吹扫系</w:t>
            </w:r>
            <w:r>
              <w:rPr>
                <w:spacing w:val="1"/>
                <w:sz w:val="20"/>
                <w:szCs w:val="20"/>
              </w:rPr>
              <w:t xml:space="preserve"> </w:t>
            </w:r>
            <w:r>
              <w:rPr>
                <w:spacing w:val="9"/>
                <w:sz w:val="20"/>
                <w:szCs w:val="20"/>
              </w:rPr>
              <w:t>统，</w:t>
            </w:r>
            <w:r>
              <w:rPr>
                <w:rFonts w:ascii="Times New Roman" w:hAnsi="Times New Roman" w:eastAsia="Times New Roman" w:cs="Times New Roman"/>
                <w:sz w:val="20"/>
                <w:szCs w:val="20"/>
              </w:rPr>
              <w:t>SCR</w:t>
            </w:r>
            <w:r>
              <w:rPr>
                <w:rFonts w:ascii="Times New Roman" w:hAnsi="Times New Roman" w:eastAsia="Times New Roman" w:cs="Times New Roman"/>
                <w:spacing w:val="9"/>
                <w:sz w:val="20"/>
                <w:szCs w:val="20"/>
              </w:rPr>
              <w:t xml:space="preserve"> </w:t>
            </w:r>
            <w:r>
              <w:rPr>
                <w:spacing w:val="9"/>
                <w:sz w:val="20"/>
                <w:szCs w:val="20"/>
              </w:rPr>
              <w:t>反应器系统主要设备有</w:t>
            </w:r>
            <w:r>
              <w:rPr>
                <w:spacing w:val="-14"/>
                <w:sz w:val="20"/>
                <w:szCs w:val="20"/>
              </w:rPr>
              <w:t xml:space="preserve"> </w:t>
            </w:r>
            <w:r>
              <w:rPr>
                <w:rFonts w:ascii="Times New Roman" w:hAnsi="Times New Roman" w:eastAsia="Times New Roman" w:cs="Times New Roman"/>
                <w:sz w:val="20"/>
                <w:szCs w:val="20"/>
              </w:rPr>
              <w:t>SCR</w:t>
            </w:r>
            <w:r>
              <w:rPr>
                <w:rFonts w:ascii="Times New Roman" w:hAnsi="Times New Roman" w:eastAsia="Times New Roman" w:cs="Times New Roman"/>
                <w:spacing w:val="9"/>
                <w:sz w:val="20"/>
                <w:szCs w:val="20"/>
              </w:rPr>
              <w:t xml:space="preserve"> </w:t>
            </w:r>
            <w:r>
              <w:rPr>
                <w:spacing w:val="9"/>
                <w:sz w:val="20"/>
                <w:szCs w:val="20"/>
              </w:rPr>
              <w:t>反应器、烟道、催化剂、吹灰</w:t>
            </w:r>
          </w:p>
        </w:tc>
      </w:tr>
    </w:tbl>
    <w:p w14:paraId="7B9A6A8E">
      <w:pPr>
        <w:pStyle w:val="2"/>
      </w:pPr>
    </w:p>
    <w:p w14:paraId="1D9F6BF3">
      <w:pPr>
        <w:sectPr>
          <w:headerReference r:id="rId89" w:type="default"/>
          <w:footerReference r:id="rId90" w:type="default"/>
          <w:pgSz w:w="11906" w:h="16839"/>
          <w:pgMar w:top="1235" w:right="1318" w:bottom="1070" w:left="1417" w:header="925" w:footer="907" w:gutter="0"/>
          <w:cols w:space="720" w:num="1"/>
        </w:sectPr>
      </w:pPr>
    </w:p>
    <w:p w14:paraId="66228837">
      <w:pPr>
        <w:spacing w:line="182" w:lineRule="exact"/>
      </w:pPr>
      <w:r>
        <w:pict>
          <v:shape id="_x0000_s1141" o:spid="_x0000_s1141" style="position:absolute;left:0pt;margin-left:70.85pt;margin-top:62.5pt;height:0.75pt;width:453.65pt;mso-position-horizontal-relative:page;mso-position-vertical-relative:page;z-index:251766784;mso-width-relative:page;mso-height-relative:page;" fillcolor="#000000" filled="t" stroked="f" coordsize="9072,15" o:allowincell="f" path="m0,0l9072,0,9072,14,0,14,0,0xe">
            <v:path/>
            <v:fill on="t" focussize="0,0"/>
            <v:stroke on="f"/>
            <v:imagedata o:title=""/>
            <o:lock v:ext="edit"/>
          </v:shape>
        </w:pict>
      </w:r>
    </w:p>
    <w:tbl>
      <w:tblPr>
        <w:tblStyle w:val="5"/>
        <w:tblW w:w="916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11"/>
        <w:gridCol w:w="988"/>
        <w:gridCol w:w="1281"/>
        <w:gridCol w:w="6281"/>
      </w:tblGrid>
      <w:tr w14:paraId="030536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611" w:type="dxa"/>
            <w:tcBorders>
              <w:top w:val="single" w:color="000000" w:sz="10" w:space="0"/>
              <w:left w:val="nil"/>
            </w:tcBorders>
            <w:vAlign w:val="top"/>
          </w:tcPr>
          <w:p w14:paraId="6AC95261">
            <w:pPr>
              <w:pStyle w:val="6"/>
              <w:spacing w:before="37" w:line="214" w:lineRule="auto"/>
              <w:ind w:left="100"/>
              <w:rPr>
                <w:sz w:val="20"/>
                <w:szCs w:val="20"/>
              </w:rPr>
            </w:pPr>
            <w:r>
              <w:rPr>
                <w:b/>
                <w:bCs/>
                <w:spacing w:val="3"/>
                <w:sz w:val="20"/>
                <w:szCs w:val="20"/>
              </w:rPr>
              <w:t>类型</w:t>
            </w:r>
          </w:p>
        </w:tc>
        <w:tc>
          <w:tcPr>
            <w:tcW w:w="988" w:type="dxa"/>
            <w:tcBorders>
              <w:top w:val="single" w:color="000000" w:sz="10" w:space="0"/>
            </w:tcBorders>
            <w:vAlign w:val="top"/>
          </w:tcPr>
          <w:p w14:paraId="7BA4054D">
            <w:pPr>
              <w:pStyle w:val="6"/>
              <w:spacing w:before="37" w:line="214" w:lineRule="auto"/>
              <w:ind w:left="80"/>
              <w:rPr>
                <w:sz w:val="20"/>
                <w:szCs w:val="20"/>
              </w:rPr>
            </w:pPr>
            <w:r>
              <w:rPr>
                <w:b/>
                <w:bCs/>
                <w:spacing w:val="5"/>
                <w:sz w:val="20"/>
                <w:szCs w:val="20"/>
              </w:rPr>
              <w:t>项目名称</w:t>
            </w:r>
          </w:p>
        </w:tc>
        <w:tc>
          <w:tcPr>
            <w:tcW w:w="7562" w:type="dxa"/>
            <w:gridSpan w:val="2"/>
            <w:tcBorders>
              <w:top w:val="single" w:color="000000" w:sz="10" w:space="0"/>
              <w:right w:val="nil"/>
            </w:tcBorders>
            <w:vAlign w:val="top"/>
          </w:tcPr>
          <w:p w14:paraId="0B16F67E">
            <w:pPr>
              <w:pStyle w:val="6"/>
              <w:spacing w:before="37" w:line="214" w:lineRule="auto"/>
              <w:ind w:left="3323"/>
              <w:rPr>
                <w:sz w:val="20"/>
                <w:szCs w:val="20"/>
              </w:rPr>
            </w:pPr>
            <w:r>
              <w:rPr>
                <w:b/>
                <w:bCs/>
                <w:spacing w:val="5"/>
                <w:sz w:val="20"/>
                <w:szCs w:val="20"/>
              </w:rPr>
              <w:t>建设内容</w:t>
            </w:r>
          </w:p>
        </w:tc>
      </w:tr>
      <w:tr w14:paraId="034A89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tcBorders>
              <w:left w:val="nil"/>
            </w:tcBorders>
            <w:vAlign w:val="top"/>
          </w:tcPr>
          <w:p w14:paraId="439597BE">
            <w:pPr>
              <w:rPr>
                <w:rFonts w:ascii="Arial"/>
                <w:sz w:val="21"/>
              </w:rPr>
            </w:pPr>
          </w:p>
        </w:tc>
        <w:tc>
          <w:tcPr>
            <w:tcW w:w="988" w:type="dxa"/>
            <w:vAlign w:val="top"/>
          </w:tcPr>
          <w:p w14:paraId="4EF51A9C">
            <w:pPr>
              <w:rPr>
                <w:rFonts w:ascii="Arial"/>
                <w:sz w:val="21"/>
              </w:rPr>
            </w:pPr>
          </w:p>
        </w:tc>
        <w:tc>
          <w:tcPr>
            <w:tcW w:w="1281" w:type="dxa"/>
            <w:vAlign w:val="top"/>
          </w:tcPr>
          <w:p w14:paraId="724C2573">
            <w:pPr>
              <w:rPr>
                <w:rFonts w:ascii="Arial"/>
                <w:sz w:val="21"/>
              </w:rPr>
            </w:pPr>
          </w:p>
        </w:tc>
        <w:tc>
          <w:tcPr>
            <w:tcW w:w="6281" w:type="dxa"/>
            <w:tcBorders>
              <w:right w:val="nil"/>
            </w:tcBorders>
            <w:vAlign w:val="top"/>
          </w:tcPr>
          <w:p w14:paraId="38D35AC6">
            <w:pPr>
              <w:pStyle w:val="6"/>
              <w:spacing w:before="29" w:line="233" w:lineRule="auto"/>
              <w:ind w:left="9" w:right="1" w:hanging="2"/>
              <w:rPr>
                <w:sz w:val="20"/>
                <w:szCs w:val="20"/>
              </w:rPr>
            </w:pPr>
            <w:r>
              <w:rPr>
                <w:spacing w:val="9"/>
                <w:sz w:val="20"/>
                <w:szCs w:val="20"/>
              </w:rPr>
              <w:t>器等；氨喷射系统主要设备有喷氨格栅等；氨水气化系统主要包括氨</w:t>
            </w:r>
            <w:r>
              <w:rPr>
                <w:sz w:val="20"/>
                <w:szCs w:val="20"/>
              </w:rPr>
              <w:t xml:space="preserve"> </w:t>
            </w:r>
            <w:r>
              <w:rPr>
                <w:spacing w:val="7"/>
                <w:sz w:val="20"/>
                <w:szCs w:val="20"/>
              </w:rPr>
              <w:t>水蒸发器稀释风机等。</w:t>
            </w:r>
          </w:p>
        </w:tc>
      </w:tr>
      <w:tr w14:paraId="2E83BF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restart"/>
            <w:tcBorders>
              <w:left w:val="nil"/>
              <w:bottom w:val="nil"/>
            </w:tcBorders>
            <w:vAlign w:val="top"/>
          </w:tcPr>
          <w:p w14:paraId="2596F9FD">
            <w:pPr>
              <w:spacing w:line="269" w:lineRule="auto"/>
              <w:rPr>
                <w:rFonts w:ascii="Arial"/>
                <w:sz w:val="21"/>
              </w:rPr>
            </w:pPr>
          </w:p>
          <w:p w14:paraId="357DA451">
            <w:pPr>
              <w:spacing w:line="269" w:lineRule="auto"/>
              <w:rPr>
                <w:rFonts w:ascii="Arial"/>
                <w:sz w:val="21"/>
              </w:rPr>
            </w:pPr>
          </w:p>
          <w:p w14:paraId="6DB1FEF8">
            <w:pPr>
              <w:spacing w:line="269" w:lineRule="auto"/>
              <w:rPr>
                <w:rFonts w:ascii="Arial"/>
                <w:sz w:val="21"/>
              </w:rPr>
            </w:pPr>
          </w:p>
          <w:p w14:paraId="64DF518A">
            <w:pPr>
              <w:spacing w:line="269" w:lineRule="auto"/>
              <w:rPr>
                <w:rFonts w:ascii="Arial"/>
                <w:sz w:val="21"/>
              </w:rPr>
            </w:pPr>
          </w:p>
          <w:p w14:paraId="7CF7ECF7">
            <w:pPr>
              <w:spacing w:line="270" w:lineRule="auto"/>
              <w:rPr>
                <w:rFonts w:ascii="Arial"/>
                <w:sz w:val="21"/>
              </w:rPr>
            </w:pPr>
          </w:p>
          <w:p w14:paraId="2B9D46B8">
            <w:pPr>
              <w:spacing w:line="270" w:lineRule="auto"/>
              <w:rPr>
                <w:rFonts w:ascii="Arial"/>
                <w:sz w:val="21"/>
              </w:rPr>
            </w:pPr>
          </w:p>
          <w:p w14:paraId="7E0420E8">
            <w:pPr>
              <w:pStyle w:val="6"/>
              <w:spacing w:before="65"/>
              <w:ind w:left="104" w:right="95"/>
              <w:rPr>
                <w:sz w:val="20"/>
                <w:szCs w:val="20"/>
              </w:rPr>
            </w:pPr>
            <w:r>
              <w:rPr>
                <w:spacing w:val="3"/>
                <w:sz w:val="20"/>
                <w:szCs w:val="20"/>
              </w:rPr>
              <w:t>辅助</w:t>
            </w:r>
            <w:r>
              <w:rPr>
                <w:sz w:val="20"/>
                <w:szCs w:val="20"/>
              </w:rPr>
              <w:t xml:space="preserve"> </w:t>
            </w:r>
            <w:r>
              <w:rPr>
                <w:spacing w:val="3"/>
                <w:sz w:val="20"/>
                <w:szCs w:val="20"/>
              </w:rPr>
              <w:t>工程</w:t>
            </w:r>
          </w:p>
        </w:tc>
        <w:tc>
          <w:tcPr>
            <w:tcW w:w="988" w:type="dxa"/>
            <w:vAlign w:val="top"/>
          </w:tcPr>
          <w:p w14:paraId="496D2515">
            <w:pPr>
              <w:pStyle w:val="6"/>
              <w:spacing w:before="29" w:line="233" w:lineRule="auto"/>
              <w:ind w:left="187" w:right="73" w:hanging="107"/>
              <w:rPr>
                <w:sz w:val="20"/>
                <w:szCs w:val="20"/>
              </w:rPr>
            </w:pPr>
            <w:r>
              <w:rPr>
                <w:spacing w:val="7"/>
                <w:sz w:val="20"/>
                <w:szCs w:val="20"/>
              </w:rPr>
              <w:t>化学水处</w:t>
            </w:r>
            <w:r>
              <w:rPr>
                <w:sz w:val="20"/>
                <w:szCs w:val="20"/>
              </w:rPr>
              <w:t xml:space="preserve"> </w:t>
            </w:r>
            <w:r>
              <w:rPr>
                <w:spacing w:val="6"/>
                <w:sz w:val="20"/>
                <w:szCs w:val="20"/>
              </w:rPr>
              <w:t>理车间</w:t>
            </w:r>
          </w:p>
        </w:tc>
        <w:tc>
          <w:tcPr>
            <w:tcW w:w="7562" w:type="dxa"/>
            <w:gridSpan w:val="2"/>
            <w:tcBorders>
              <w:right w:val="nil"/>
            </w:tcBorders>
            <w:vAlign w:val="top"/>
          </w:tcPr>
          <w:p w14:paraId="603B07FC">
            <w:pPr>
              <w:pStyle w:val="6"/>
              <w:spacing w:before="29" w:line="233" w:lineRule="auto"/>
              <w:ind w:left="8" w:right="92" w:hanging="2"/>
              <w:rPr>
                <w:sz w:val="20"/>
                <w:szCs w:val="20"/>
              </w:rPr>
            </w:pPr>
            <w:r>
              <w:rPr>
                <w:spacing w:val="9"/>
                <w:sz w:val="20"/>
                <w:szCs w:val="20"/>
              </w:rPr>
              <w:t>位于煤气发电装置区，配置</w:t>
            </w:r>
            <w:r>
              <w:rPr>
                <w:spacing w:val="-11"/>
                <w:sz w:val="20"/>
                <w:szCs w:val="20"/>
              </w:rPr>
              <w:t xml:space="preserve"> </w:t>
            </w:r>
            <w:r>
              <w:rPr>
                <w:rFonts w:ascii="Times New Roman" w:hAnsi="Times New Roman" w:eastAsia="Times New Roman" w:cs="Times New Roman"/>
                <w:spacing w:val="9"/>
                <w:sz w:val="20"/>
                <w:szCs w:val="20"/>
              </w:rPr>
              <w:t xml:space="preserve">1 </w:t>
            </w:r>
            <w:r>
              <w:rPr>
                <w:spacing w:val="9"/>
                <w:sz w:val="20"/>
                <w:szCs w:val="20"/>
              </w:rPr>
              <w:t>套脱盐水制备装置，采用二级反渗透</w:t>
            </w:r>
            <w:r>
              <w:rPr>
                <w:rFonts w:ascii="Times New Roman" w:hAnsi="Times New Roman" w:eastAsia="Times New Roman" w:cs="Times New Roman"/>
                <w:spacing w:val="9"/>
                <w:sz w:val="20"/>
                <w:szCs w:val="20"/>
              </w:rPr>
              <w:t>+</w:t>
            </w:r>
            <w:r>
              <w:rPr>
                <w:rFonts w:ascii="Times New Roman" w:hAnsi="Times New Roman" w:eastAsia="Times New Roman" w:cs="Times New Roman"/>
                <w:sz w:val="20"/>
                <w:szCs w:val="20"/>
              </w:rPr>
              <w:t>EDI</w:t>
            </w:r>
            <w:r>
              <w:rPr>
                <w:rFonts w:ascii="Times New Roman" w:hAnsi="Times New Roman" w:eastAsia="Times New Roman" w:cs="Times New Roman"/>
                <w:spacing w:val="9"/>
                <w:sz w:val="20"/>
                <w:szCs w:val="20"/>
              </w:rPr>
              <w:t xml:space="preserve"> </w:t>
            </w:r>
            <w:r>
              <w:rPr>
                <w:spacing w:val="9"/>
                <w:sz w:val="20"/>
                <w:szCs w:val="20"/>
              </w:rPr>
              <w:t>脱盐水制</w:t>
            </w:r>
            <w:r>
              <w:rPr>
                <w:sz w:val="20"/>
                <w:szCs w:val="20"/>
              </w:rPr>
              <w:t xml:space="preserve"> </w:t>
            </w:r>
            <w:r>
              <w:rPr>
                <w:spacing w:val="6"/>
                <w:sz w:val="20"/>
                <w:szCs w:val="20"/>
              </w:rPr>
              <w:t>备工艺，设计出水能力为</w:t>
            </w:r>
            <w:r>
              <w:rPr>
                <w:spacing w:val="-28"/>
                <w:sz w:val="20"/>
                <w:szCs w:val="20"/>
              </w:rPr>
              <w:t xml:space="preserve"> </w:t>
            </w:r>
            <w:r>
              <w:rPr>
                <w:rFonts w:ascii="Times New Roman" w:hAnsi="Times New Roman" w:eastAsia="Times New Roman" w:cs="Times New Roman"/>
                <w:spacing w:val="6"/>
                <w:sz w:val="20"/>
                <w:szCs w:val="20"/>
              </w:rPr>
              <w:t>5m</w:t>
            </w:r>
            <w:r>
              <w:rPr>
                <w:rFonts w:ascii="Times New Roman" w:hAnsi="Times New Roman" w:eastAsia="Times New Roman" w:cs="Times New Roman"/>
                <w:spacing w:val="6"/>
                <w:position w:val="6"/>
                <w:sz w:val="13"/>
                <w:szCs w:val="13"/>
              </w:rPr>
              <w:t>3</w:t>
            </w:r>
            <w:r>
              <w:rPr>
                <w:rFonts w:ascii="Times New Roman" w:hAnsi="Times New Roman" w:eastAsia="Times New Roman" w:cs="Times New Roman"/>
                <w:spacing w:val="6"/>
                <w:sz w:val="20"/>
                <w:szCs w:val="20"/>
              </w:rPr>
              <w:t>/h</w:t>
            </w:r>
            <w:r>
              <w:rPr>
                <w:spacing w:val="6"/>
                <w:sz w:val="20"/>
                <w:szCs w:val="20"/>
              </w:rPr>
              <w:t>。</w:t>
            </w:r>
          </w:p>
        </w:tc>
      </w:tr>
      <w:tr w14:paraId="2AD84A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611" w:type="dxa"/>
            <w:vMerge w:val="continue"/>
            <w:tcBorders>
              <w:top w:val="nil"/>
              <w:left w:val="nil"/>
              <w:bottom w:val="nil"/>
            </w:tcBorders>
            <w:vAlign w:val="top"/>
          </w:tcPr>
          <w:p w14:paraId="7F8E5079">
            <w:pPr>
              <w:rPr>
                <w:rFonts w:ascii="Arial"/>
                <w:sz w:val="21"/>
              </w:rPr>
            </w:pPr>
          </w:p>
        </w:tc>
        <w:tc>
          <w:tcPr>
            <w:tcW w:w="988" w:type="dxa"/>
            <w:vAlign w:val="top"/>
          </w:tcPr>
          <w:p w14:paraId="13CAF284">
            <w:pPr>
              <w:pStyle w:val="6"/>
              <w:spacing w:before="30" w:line="232" w:lineRule="auto"/>
              <w:ind w:left="80" w:right="73" w:firstLine="1"/>
              <w:rPr>
                <w:sz w:val="20"/>
                <w:szCs w:val="20"/>
              </w:rPr>
            </w:pPr>
            <w:r>
              <w:rPr>
                <w:spacing w:val="6"/>
                <w:sz w:val="20"/>
                <w:szCs w:val="20"/>
              </w:rPr>
              <w:t>辅机冷却</w:t>
            </w:r>
            <w:r>
              <w:rPr>
                <w:spacing w:val="2"/>
                <w:sz w:val="20"/>
                <w:szCs w:val="20"/>
              </w:rPr>
              <w:t xml:space="preserve"> </w:t>
            </w:r>
            <w:r>
              <w:rPr>
                <w:spacing w:val="7"/>
                <w:sz w:val="20"/>
                <w:szCs w:val="20"/>
              </w:rPr>
              <w:t>循环水站</w:t>
            </w:r>
          </w:p>
        </w:tc>
        <w:tc>
          <w:tcPr>
            <w:tcW w:w="7562" w:type="dxa"/>
            <w:gridSpan w:val="2"/>
            <w:tcBorders>
              <w:right w:val="nil"/>
            </w:tcBorders>
            <w:vAlign w:val="top"/>
          </w:tcPr>
          <w:p w14:paraId="7054C9F1">
            <w:pPr>
              <w:pStyle w:val="6"/>
              <w:spacing w:before="30" w:line="232" w:lineRule="auto"/>
              <w:ind w:left="7" w:right="52"/>
              <w:rPr>
                <w:sz w:val="20"/>
                <w:szCs w:val="20"/>
              </w:rPr>
            </w:pPr>
            <w:r>
              <w:rPr>
                <w:spacing w:val="6"/>
                <w:sz w:val="20"/>
                <w:szCs w:val="20"/>
              </w:rPr>
              <w:t>煤气发电装置区配套建设</w:t>
            </w:r>
            <w:r>
              <w:rPr>
                <w:spacing w:val="-9"/>
                <w:sz w:val="20"/>
                <w:szCs w:val="20"/>
              </w:rPr>
              <w:t xml:space="preserve"> </w:t>
            </w:r>
            <w:r>
              <w:rPr>
                <w:rFonts w:ascii="Times New Roman" w:hAnsi="Times New Roman" w:eastAsia="Times New Roman" w:cs="Times New Roman"/>
                <w:spacing w:val="6"/>
                <w:sz w:val="20"/>
                <w:szCs w:val="20"/>
              </w:rPr>
              <w:t xml:space="preserve">1 </w:t>
            </w:r>
            <w:r>
              <w:rPr>
                <w:spacing w:val="6"/>
                <w:sz w:val="20"/>
                <w:szCs w:val="20"/>
              </w:rPr>
              <w:t>座辅机冷却循环水站，配置</w:t>
            </w:r>
            <w:r>
              <w:rPr>
                <w:spacing w:val="-20"/>
                <w:sz w:val="20"/>
                <w:szCs w:val="20"/>
              </w:rPr>
              <w:t xml:space="preserve"> </w:t>
            </w:r>
            <w:r>
              <w:rPr>
                <w:rFonts w:ascii="Times New Roman" w:hAnsi="Times New Roman" w:eastAsia="Times New Roman" w:cs="Times New Roman"/>
                <w:spacing w:val="6"/>
                <w:sz w:val="20"/>
                <w:szCs w:val="20"/>
              </w:rPr>
              <w:t xml:space="preserve">1 </w:t>
            </w:r>
            <w:r>
              <w:rPr>
                <w:spacing w:val="6"/>
                <w:sz w:val="20"/>
                <w:szCs w:val="20"/>
              </w:rPr>
              <w:t>座逆流式钢结构冷却塔，</w:t>
            </w:r>
            <w:r>
              <w:rPr>
                <w:sz w:val="20"/>
                <w:szCs w:val="20"/>
              </w:rPr>
              <w:t xml:space="preserve"> </w:t>
            </w:r>
            <w:r>
              <w:rPr>
                <w:spacing w:val="7"/>
                <w:sz w:val="20"/>
                <w:szCs w:val="20"/>
              </w:rPr>
              <w:t>用作余热发电辅机冷却，采用自然通风冷却，循环水量为</w:t>
            </w:r>
            <w:r>
              <w:rPr>
                <w:spacing w:val="-8"/>
                <w:sz w:val="20"/>
                <w:szCs w:val="20"/>
              </w:rPr>
              <w:t xml:space="preserve"> </w:t>
            </w:r>
            <w:r>
              <w:rPr>
                <w:rFonts w:ascii="Times New Roman" w:hAnsi="Times New Roman" w:eastAsia="Times New Roman" w:cs="Times New Roman"/>
                <w:spacing w:val="7"/>
                <w:sz w:val="20"/>
                <w:szCs w:val="20"/>
              </w:rPr>
              <w:t>160m</w:t>
            </w:r>
            <w:r>
              <w:rPr>
                <w:rFonts w:ascii="Times New Roman" w:hAnsi="Times New Roman" w:eastAsia="Times New Roman" w:cs="Times New Roman"/>
                <w:spacing w:val="7"/>
                <w:position w:val="6"/>
                <w:sz w:val="13"/>
                <w:szCs w:val="13"/>
              </w:rPr>
              <w:t>3</w:t>
            </w:r>
            <w:r>
              <w:rPr>
                <w:rFonts w:ascii="Times New Roman" w:hAnsi="Times New Roman" w:eastAsia="Times New Roman" w:cs="Times New Roman"/>
                <w:spacing w:val="7"/>
                <w:sz w:val="20"/>
                <w:szCs w:val="20"/>
              </w:rPr>
              <w:t>/h</w:t>
            </w:r>
            <w:r>
              <w:rPr>
                <w:spacing w:val="7"/>
                <w:sz w:val="20"/>
                <w:szCs w:val="20"/>
              </w:rPr>
              <w:t>。</w:t>
            </w:r>
          </w:p>
        </w:tc>
      </w:tr>
      <w:tr w14:paraId="155309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0" w:hRule="atLeast"/>
        </w:trPr>
        <w:tc>
          <w:tcPr>
            <w:tcW w:w="611" w:type="dxa"/>
            <w:vMerge w:val="continue"/>
            <w:tcBorders>
              <w:top w:val="nil"/>
              <w:left w:val="nil"/>
              <w:bottom w:val="nil"/>
            </w:tcBorders>
            <w:vAlign w:val="top"/>
          </w:tcPr>
          <w:p w14:paraId="50BF0D98">
            <w:pPr>
              <w:rPr>
                <w:rFonts w:ascii="Arial"/>
                <w:sz w:val="21"/>
              </w:rPr>
            </w:pPr>
          </w:p>
        </w:tc>
        <w:tc>
          <w:tcPr>
            <w:tcW w:w="988" w:type="dxa"/>
            <w:vAlign w:val="top"/>
          </w:tcPr>
          <w:p w14:paraId="52851DC0">
            <w:pPr>
              <w:pStyle w:val="6"/>
              <w:spacing w:before="38" w:line="229" w:lineRule="auto"/>
              <w:ind w:left="83"/>
              <w:rPr>
                <w:sz w:val="20"/>
                <w:szCs w:val="20"/>
              </w:rPr>
            </w:pPr>
            <w:r>
              <w:rPr>
                <w:spacing w:val="6"/>
                <w:sz w:val="20"/>
                <w:szCs w:val="20"/>
              </w:rPr>
              <w:t>设备冷却</w:t>
            </w:r>
          </w:p>
          <w:p w14:paraId="4EC5792C">
            <w:pPr>
              <w:pStyle w:val="6"/>
              <w:spacing w:before="25" w:line="228" w:lineRule="auto"/>
              <w:ind w:left="80"/>
              <w:rPr>
                <w:sz w:val="20"/>
                <w:szCs w:val="20"/>
              </w:rPr>
            </w:pPr>
            <w:r>
              <w:rPr>
                <w:spacing w:val="7"/>
                <w:sz w:val="20"/>
                <w:szCs w:val="20"/>
              </w:rPr>
              <w:t>循环水系</w:t>
            </w:r>
          </w:p>
          <w:p w14:paraId="5E961F3E">
            <w:pPr>
              <w:pStyle w:val="6"/>
              <w:spacing w:before="24" w:line="218" w:lineRule="auto"/>
              <w:ind w:left="399"/>
              <w:rPr>
                <w:sz w:val="20"/>
                <w:szCs w:val="20"/>
              </w:rPr>
            </w:pPr>
            <w:r>
              <w:rPr>
                <w:sz w:val="20"/>
                <w:szCs w:val="20"/>
              </w:rPr>
              <w:t>统</w:t>
            </w:r>
          </w:p>
        </w:tc>
        <w:tc>
          <w:tcPr>
            <w:tcW w:w="7562" w:type="dxa"/>
            <w:gridSpan w:val="2"/>
            <w:tcBorders>
              <w:right w:val="nil"/>
            </w:tcBorders>
            <w:vAlign w:val="top"/>
          </w:tcPr>
          <w:p w14:paraId="7E13807E">
            <w:pPr>
              <w:pStyle w:val="6"/>
              <w:spacing w:before="40"/>
              <w:ind w:left="7" w:right="92" w:hanging="2"/>
              <w:jc w:val="both"/>
              <w:rPr>
                <w:sz w:val="20"/>
                <w:szCs w:val="20"/>
              </w:rPr>
            </w:pPr>
            <w:r>
              <w:rPr>
                <w:spacing w:val="6"/>
                <w:sz w:val="20"/>
                <w:szCs w:val="20"/>
              </w:rPr>
              <w:t>在电炉车间南侧建设</w:t>
            </w:r>
            <w:r>
              <w:rPr>
                <w:spacing w:val="-12"/>
                <w:sz w:val="20"/>
                <w:szCs w:val="20"/>
              </w:rPr>
              <w:t xml:space="preserve"> </w:t>
            </w:r>
            <w:r>
              <w:rPr>
                <w:rFonts w:ascii="Times New Roman" w:hAnsi="Times New Roman" w:eastAsia="Times New Roman" w:cs="Times New Roman"/>
                <w:spacing w:val="6"/>
                <w:sz w:val="20"/>
                <w:szCs w:val="20"/>
              </w:rPr>
              <w:t xml:space="preserve">1 </w:t>
            </w:r>
            <w:r>
              <w:rPr>
                <w:spacing w:val="6"/>
                <w:sz w:val="20"/>
                <w:szCs w:val="20"/>
              </w:rPr>
              <w:t>座设备冷却循环水站，供应全厂生产设施及配套设施循环冷</w:t>
            </w:r>
            <w:r>
              <w:rPr>
                <w:sz w:val="20"/>
                <w:szCs w:val="20"/>
              </w:rPr>
              <w:t xml:space="preserve"> </w:t>
            </w:r>
            <w:r>
              <w:rPr>
                <w:spacing w:val="10"/>
                <w:sz w:val="20"/>
                <w:szCs w:val="20"/>
              </w:rPr>
              <w:t>却水的供给，冷却方式为闭式循环，冷却循环水量为</w:t>
            </w:r>
            <w:r>
              <w:rPr>
                <w:spacing w:val="-32"/>
                <w:sz w:val="20"/>
                <w:szCs w:val="20"/>
              </w:rPr>
              <w:t xml:space="preserve"> </w:t>
            </w:r>
            <w:r>
              <w:rPr>
                <w:rFonts w:ascii="Times New Roman" w:hAnsi="Times New Roman" w:eastAsia="Times New Roman" w:cs="Times New Roman"/>
                <w:spacing w:val="10"/>
                <w:sz w:val="20"/>
                <w:szCs w:val="20"/>
              </w:rPr>
              <w:t>5145m</w:t>
            </w:r>
            <w:r>
              <w:rPr>
                <w:rFonts w:ascii="Times New Roman" w:hAnsi="Times New Roman" w:eastAsia="Times New Roman" w:cs="Times New Roman"/>
                <w:spacing w:val="10"/>
                <w:position w:val="6"/>
                <w:sz w:val="13"/>
                <w:szCs w:val="13"/>
              </w:rPr>
              <w:t>3</w:t>
            </w:r>
            <w:r>
              <w:rPr>
                <w:rFonts w:ascii="Times New Roman" w:hAnsi="Times New Roman" w:eastAsia="Times New Roman" w:cs="Times New Roman"/>
                <w:spacing w:val="10"/>
                <w:sz w:val="20"/>
                <w:szCs w:val="20"/>
              </w:rPr>
              <w:t>/h</w:t>
            </w:r>
            <w:r>
              <w:rPr>
                <w:rFonts w:ascii="Times New Roman" w:hAnsi="Times New Roman" w:eastAsia="Times New Roman" w:cs="Times New Roman"/>
                <w:spacing w:val="-22"/>
                <w:sz w:val="20"/>
                <w:szCs w:val="20"/>
              </w:rPr>
              <w:t xml:space="preserve"> </w:t>
            </w:r>
            <w:r>
              <w:rPr>
                <w:spacing w:val="10"/>
                <w:sz w:val="20"/>
                <w:szCs w:val="20"/>
              </w:rPr>
              <w:t>，冷却</w:t>
            </w:r>
            <w:r>
              <w:rPr>
                <w:spacing w:val="9"/>
                <w:sz w:val="20"/>
                <w:szCs w:val="20"/>
              </w:rPr>
              <w:t>塔内喷淋降</w:t>
            </w:r>
            <w:r>
              <w:rPr>
                <w:sz w:val="20"/>
                <w:szCs w:val="20"/>
              </w:rPr>
              <w:t xml:space="preserve"> </w:t>
            </w:r>
            <w:r>
              <w:rPr>
                <w:spacing w:val="3"/>
                <w:sz w:val="20"/>
                <w:szCs w:val="20"/>
              </w:rPr>
              <w:t>温循环水量为</w:t>
            </w:r>
            <w:r>
              <w:rPr>
                <w:spacing w:val="-7"/>
                <w:sz w:val="20"/>
                <w:szCs w:val="20"/>
              </w:rPr>
              <w:t xml:space="preserve"> </w:t>
            </w:r>
            <w:r>
              <w:rPr>
                <w:rFonts w:ascii="Times New Roman" w:hAnsi="Times New Roman" w:eastAsia="Times New Roman" w:cs="Times New Roman"/>
                <w:spacing w:val="3"/>
                <w:sz w:val="20"/>
                <w:szCs w:val="20"/>
              </w:rPr>
              <w:t>1547m</w:t>
            </w:r>
            <w:r>
              <w:rPr>
                <w:rFonts w:ascii="Times New Roman" w:hAnsi="Times New Roman" w:eastAsia="Times New Roman" w:cs="Times New Roman"/>
                <w:spacing w:val="3"/>
                <w:position w:val="6"/>
                <w:sz w:val="13"/>
                <w:szCs w:val="13"/>
              </w:rPr>
              <w:t>3</w:t>
            </w:r>
            <w:r>
              <w:rPr>
                <w:rFonts w:ascii="Times New Roman" w:hAnsi="Times New Roman" w:eastAsia="Times New Roman" w:cs="Times New Roman"/>
                <w:spacing w:val="3"/>
                <w:sz w:val="20"/>
                <w:szCs w:val="20"/>
              </w:rPr>
              <w:t>/h</w:t>
            </w:r>
            <w:r>
              <w:rPr>
                <w:spacing w:val="3"/>
                <w:sz w:val="20"/>
                <w:szCs w:val="20"/>
              </w:rPr>
              <w:t>。</w:t>
            </w:r>
          </w:p>
        </w:tc>
      </w:tr>
      <w:tr w14:paraId="13BEF0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0" w:hRule="atLeast"/>
        </w:trPr>
        <w:tc>
          <w:tcPr>
            <w:tcW w:w="611" w:type="dxa"/>
            <w:vMerge w:val="continue"/>
            <w:tcBorders>
              <w:top w:val="nil"/>
              <w:left w:val="nil"/>
              <w:bottom w:val="nil"/>
            </w:tcBorders>
            <w:vAlign w:val="top"/>
          </w:tcPr>
          <w:p w14:paraId="424F9ECA">
            <w:pPr>
              <w:rPr>
                <w:rFonts w:ascii="Arial"/>
                <w:sz w:val="21"/>
              </w:rPr>
            </w:pPr>
          </w:p>
        </w:tc>
        <w:tc>
          <w:tcPr>
            <w:tcW w:w="988" w:type="dxa"/>
            <w:vAlign w:val="top"/>
          </w:tcPr>
          <w:p w14:paraId="30AF1C28">
            <w:pPr>
              <w:pStyle w:val="6"/>
              <w:spacing w:before="177"/>
              <w:ind w:left="292" w:right="73" w:hanging="210"/>
              <w:rPr>
                <w:sz w:val="20"/>
                <w:szCs w:val="20"/>
              </w:rPr>
            </w:pPr>
            <w:r>
              <w:rPr>
                <w:spacing w:val="6"/>
                <w:sz w:val="20"/>
                <w:szCs w:val="20"/>
              </w:rPr>
              <w:t>浊循环水</w:t>
            </w:r>
            <w:r>
              <w:rPr>
                <w:spacing w:val="2"/>
                <w:sz w:val="20"/>
                <w:szCs w:val="20"/>
              </w:rPr>
              <w:t xml:space="preserve"> 系统</w:t>
            </w:r>
          </w:p>
        </w:tc>
        <w:tc>
          <w:tcPr>
            <w:tcW w:w="7562" w:type="dxa"/>
            <w:gridSpan w:val="2"/>
            <w:tcBorders>
              <w:right w:val="nil"/>
            </w:tcBorders>
            <w:vAlign w:val="top"/>
          </w:tcPr>
          <w:p w14:paraId="6C376034">
            <w:pPr>
              <w:pStyle w:val="6"/>
              <w:spacing w:before="40"/>
              <w:ind w:left="8" w:right="37"/>
              <w:jc w:val="both"/>
              <w:rPr>
                <w:sz w:val="20"/>
                <w:szCs w:val="20"/>
              </w:rPr>
            </w:pPr>
            <w:r>
              <w:rPr>
                <w:spacing w:val="3"/>
                <w:sz w:val="20"/>
                <w:szCs w:val="20"/>
              </w:rPr>
              <w:t>浊循环水系统供应冲渣用水，使用后的水经沉淀池沉淀处理后，自流入泵站吸水井，</w:t>
            </w:r>
            <w:r>
              <w:rPr>
                <w:sz w:val="20"/>
                <w:szCs w:val="20"/>
              </w:rPr>
              <w:t xml:space="preserve"> </w:t>
            </w:r>
            <w:r>
              <w:rPr>
                <w:spacing w:val="7"/>
                <w:sz w:val="20"/>
                <w:szCs w:val="20"/>
              </w:rPr>
              <w:t>经泵加压后送往用户循环使用。锰硅电炉车间配套建设</w:t>
            </w:r>
            <w:r>
              <w:rPr>
                <w:spacing w:val="-38"/>
                <w:sz w:val="20"/>
                <w:szCs w:val="20"/>
              </w:rPr>
              <w:t xml:space="preserve"> </w:t>
            </w:r>
            <w:r>
              <w:rPr>
                <w:rFonts w:ascii="Times New Roman" w:hAnsi="Times New Roman" w:eastAsia="Times New Roman" w:cs="Times New Roman"/>
                <w:spacing w:val="6"/>
                <w:sz w:val="20"/>
                <w:szCs w:val="20"/>
              </w:rPr>
              <w:t xml:space="preserve">3 </w:t>
            </w:r>
            <w:r>
              <w:rPr>
                <w:spacing w:val="6"/>
                <w:sz w:val="20"/>
                <w:szCs w:val="20"/>
              </w:rPr>
              <w:t>套炉渣水淬系统，炉渣水</w:t>
            </w:r>
            <w:r>
              <w:rPr>
                <w:sz w:val="20"/>
                <w:szCs w:val="20"/>
              </w:rPr>
              <w:t xml:space="preserve"> </w:t>
            </w:r>
            <w:r>
              <w:rPr>
                <w:spacing w:val="5"/>
                <w:sz w:val="20"/>
                <w:szCs w:val="20"/>
              </w:rPr>
              <w:t>淬池规格为</w:t>
            </w:r>
            <w:r>
              <w:rPr>
                <w:spacing w:val="-33"/>
                <w:sz w:val="20"/>
                <w:szCs w:val="20"/>
              </w:rPr>
              <w:t xml:space="preserve"> </w:t>
            </w:r>
            <w:r>
              <w:rPr>
                <w:rFonts w:ascii="Times New Roman" w:hAnsi="Times New Roman" w:eastAsia="Times New Roman" w:cs="Times New Roman"/>
                <w:spacing w:val="5"/>
                <w:sz w:val="20"/>
                <w:szCs w:val="20"/>
              </w:rPr>
              <w:t>92m×12m</w:t>
            </w:r>
            <w:r>
              <w:rPr>
                <w:spacing w:val="5"/>
                <w:sz w:val="20"/>
                <w:szCs w:val="20"/>
              </w:rPr>
              <w:t>。</w:t>
            </w:r>
          </w:p>
        </w:tc>
      </w:tr>
      <w:tr w14:paraId="6F93B9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461F01E7">
            <w:pPr>
              <w:rPr>
                <w:rFonts w:ascii="Arial"/>
                <w:sz w:val="21"/>
              </w:rPr>
            </w:pPr>
          </w:p>
        </w:tc>
        <w:tc>
          <w:tcPr>
            <w:tcW w:w="988" w:type="dxa"/>
            <w:vAlign w:val="top"/>
          </w:tcPr>
          <w:p w14:paraId="5D76E7EE">
            <w:pPr>
              <w:pStyle w:val="6"/>
              <w:spacing w:before="37" w:line="229" w:lineRule="auto"/>
              <w:ind w:left="394" w:right="73" w:hanging="308"/>
              <w:rPr>
                <w:sz w:val="20"/>
                <w:szCs w:val="20"/>
              </w:rPr>
            </w:pPr>
            <w:r>
              <w:rPr>
                <w:spacing w:val="5"/>
                <w:sz w:val="20"/>
                <w:szCs w:val="20"/>
              </w:rPr>
              <w:t>空压制氮</w:t>
            </w:r>
            <w:r>
              <w:rPr>
                <w:spacing w:val="2"/>
                <w:sz w:val="20"/>
                <w:szCs w:val="20"/>
              </w:rPr>
              <w:t xml:space="preserve"> </w:t>
            </w:r>
            <w:r>
              <w:rPr>
                <w:sz w:val="20"/>
                <w:szCs w:val="20"/>
              </w:rPr>
              <w:t>站</w:t>
            </w:r>
          </w:p>
        </w:tc>
        <w:tc>
          <w:tcPr>
            <w:tcW w:w="7562" w:type="dxa"/>
            <w:gridSpan w:val="2"/>
            <w:tcBorders>
              <w:right w:val="nil"/>
            </w:tcBorders>
            <w:vAlign w:val="top"/>
          </w:tcPr>
          <w:p w14:paraId="1B991F7E">
            <w:pPr>
              <w:pStyle w:val="6"/>
              <w:spacing w:before="37" w:line="229" w:lineRule="auto"/>
              <w:ind w:left="4" w:right="92" w:firstLine="4"/>
              <w:rPr>
                <w:sz w:val="20"/>
                <w:szCs w:val="20"/>
              </w:rPr>
            </w:pPr>
            <w:r>
              <w:rPr>
                <w:spacing w:val="7"/>
                <w:sz w:val="20"/>
                <w:szCs w:val="20"/>
              </w:rPr>
              <w:t>厂区配置</w:t>
            </w:r>
            <w:r>
              <w:rPr>
                <w:spacing w:val="-11"/>
                <w:sz w:val="20"/>
                <w:szCs w:val="20"/>
              </w:rPr>
              <w:t xml:space="preserve"> </w:t>
            </w:r>
            <w:r>
              <w:rPr>
                <w:rFonts w:ascii="Times New Roman" w:hAnsi="Times New Roman" w:eastAsia="Times New Roman" w:cs="Times New Roman"/>
                <w:spacing w:val="7"/>
                <w:sz w:val="20"/>
                <w:szCs w:val="20"/>
              </w:rPr>
              <w:t xml:space="preserve">1 </w:t>
            </w:r>
            <w:r>
              <w:rPr>
                <w:spacing w:val="7"/>
                <w:sz w:val="20"/>
                <w:szCs w:val="20"/>
              </w:rPr>
              <w:t>座空压站，建筑面积</w:t>
            </w:r>
            <w:r>
              <w:rPr>
                <w:spacing w:val="-20"/>
                <w:sz w:val="20"/>
                <w:szCs w:val="20"/>
              </w:rPr>
              <w:t xml:space="preserve"> </w:t>
            </w:r>
            <w:r>
              <w:rPr>
                <w:rFonts w:ascii="Times New Roman" w:hAnsi="Times New Roman" w:eastAsia="Times New Roman" w:cs="Times New Roman"/>
                <w:spacing w:val="7"/>
                <w:sz w:val="20"/>
                <w:szCs w:val="20"/>
              </w:rPr>
              <w:t>1196m</w:t>
            </w:r>
            <w:r>
              <w:rPr>
                <w:rFonts w:ascii="Times New Roman" w:hAnsi="Times New Roman" w:eastAsia="Times New Roman" w:cs="Times New Roman"/>
                <w:spacing w:val="7"/>
                <w:position w:val="6"/>
                <w:sz w:val="13"/>
                <w:szCs w:val="13"/>
              </w:rPr>
              <w:t>2</w:t>
            </w:r>
            <w:r>
              <w:rPr>
                <w:rFonts w:ascii="Times New Roman" w:hAnsi="Times New Roman" w:eastAsia="Times New Roman" w:cs="Times New Roman"/>
                <w:spacing w:val="-7"/>
                <w:position w:val="6"/>
                <w:sz w:val="13"/>
                <w:szCs w:val="13"/>
              </w:rPr>
              <w:t xml:space="preserve"> </w:t>
            </w:r>
            <w:r>
              <w:rPr>
                <w:spacing w:val="7"/>
                <w:sz w:val="20"/>
                <w:szCs w:val="20"/>
              </w:rPr>
              <w:t>，为生产提供压缩空气，配套</w:t>
            </w:r>
            <w:r>
              <w:rPr>
                <w:spacing w:val="-38"/>
                <w:sz w:val="20"/>
                <w:szCs w:val="20"/>
              </w:rPr>
              <w:t xml:space="preserve"> </w:t>
            </w:r>
            <w:r>
              <w:rPr>
                <w:rFonts w:ascii="Times New Roman" w:hAnsi="Times New Roman" w:eastAsia="Times New Roman" w:cs="Times New Roman"/>
                <w:spacing w:val="7"/>
                <w:sz w:val="20"/>
                <w:szCs w:val="20"/>
              </w:rPr>
              <w:t xml:space="preserve">3 </w:t>
            </w:r>
            <w:r>
              <w:rPr>
                <w:spacing w:val="7"/>
                <w:sz w:val="20"/>
                <w:szCs w:val="20"/>
              </w:rPr>
              <w:t>套空压制</w:t>
            </w:r>
            <w:r>
              <w:rPr>
                <w:sz w:val="20"/>
                <w:szCs w:val="20"/>
              </w:rPr>
              <w:t xml:space="preserve"> </w:t>
            </w:r>
            <w:r>
              <w:rPr>
                <w:spacing w:val="4"/>
                <w:sz w:val="20"/>
                <w:szCs w:val="20"/>
              </w:rPr>
              <w:t>氮系统，</w:t>
            </w:r>
            <w:r>
              <w:rPr>
                <w:rFonts w:ascii="Times New Roman" w:hAnsi="Times New Roman" w:eastAsia="Times New Roman" w:cs="Times New Roman"/>
                <w:spacing w:val="4"/>
                <w:sz w:val="20"/>
                <w:szCs w:val="20"/>
              </w:rPr>
              <w:t xml:space="preserve">2 </w:t>
            </w:r>
            <w:r>
              <w:rPr>
                <w:spacing w:val="4"/>
                <w:sz w:val="20"/>
                <w:szCs w:val="20"/>
              </w:rPr>
              <w:t>用</w:t>
            </w:r>
            <w:r>
              <w:rPr>
                <w:spacing w:val="-19"/>
                <w:sz w:val="20"/>
                <w:szCs w:val="20"/>
              </w:rPr>
              <w:t xml:space="preserve"> </w:t>
            </w:r>
            <w:r>
              <w:rPr>
                <w:rFonts w:ascii="Times New Roman" w:hAnsi="Times New Roman" w:eastAsia="Times New Roman" w:cs="Times New Roman"/>
                <w:spacing w:val="4"/>
                <w:sz w:val="20"/>
                <w:szCs w:val="20"/>
              </w:rPr>
              <w:t>1</w:t>
            </w:r>
            <w:r>
              <w:rPr>
                <w:rFonts w:ascii="Times New Roman" w:hAnsi="Times New Roman" w:eastAsia="Times New Roman" w:cs="Times New Roman"/>
                <w:spacing w:val="15"/>
                <w:sz w:val="20"/>
                <w:szCs w:val="20"/>
              </w:rPr>
              <w:t xml:space="preserve"> </w:t>
            </w:r>
            <w:r>
              <w:rPr>
                <w:spacing w:val="4"/>
                <w:sz w:val="20"/>
                <w:szCs w:val="20"/>
              </w:rPr>
              <w:t>备，产气量</w:t>
            </w:r>
            <w:r>
              <w:rPr>
                <w:spacing w:val="-23"/>
                <w:sz w:val="20"/>
                <w:szCs w:val="20"/>
              </w:rPr>
              <w:t xml:space="preserve"> </w:t>
            </w:r>
            <w:r>
              <w:rPr>
                <w:rFonts w:ascii="Times New Roman" w:hAnsi="Times New Roman" w:eastAsia="Times New Roman" w:cs="Times New Roman"/>
                <w:spacing w:val="4"/>
                <w:sz w:val="20"/>
                <w:szCs w:val="20"/>
              </w:rPr>
              <w:t>1250m</w:t>
            </w:r>
            <w:r>
              <w:rPr>
                <w:rFonts w:ascii="Times New Roman" w:hAnsi="Times New Roman" w:eastAsia="Times New Roman" w:cs="Times New Roman"/>
                <w:spacing w:val="4"/>
                <w:position w:val="6"/>
                <w:sz w:val="13"/>
                <w:szCs w:val="13"/>
              </w:rPr>
              <w:t>3</w:t>
            </w:r>
            <w:r>
              <w:rPr>
                <w:rFonts w:ascii="Times New Roman" w:hAnsi="Times New Roman" w:eastAsia="Times New Roman" w:cs="Times New Roman"/>
                <w:spacing w:val="4"/>
                <w:sz w:val="20"/>
                <w:szCs w:val="20"/>
              </w:rPr>
              <w:t>/h</w:t>
            </w:r>
            <w:r>
              <w:rPr>
                <w:rFonts w:ascii="Times New Roman" w:hAnsi="Times New Roman" w:eastAsia="Times New Roman" w:cs="Times New Roman"/>
                <w:spacing w:val="-24"/>
                <w:sz w:val="20"/>
                <w:szCs w:val="20"/>
              </w:rPr>
              <w:t xml:space="preserve"> </w:t>
            </w:r>
            <w:r>
              <w:rPr>
                <w:spacing w:val="4"/>
                <w:sz w:val="20"/>
                <w:szCs w:val="20"/>
              </w:rPr>
              <w:t>，同时配置了</w:t>
            </w:r>
            <w:r>
              <w:rPr>
                <w:spacing w:val="-40"/>
                <w:sz w:val="20"/>
                <w:szCs w:val="20"/>
              </w:rPr>
              <w:t xml:space="preserve"> </w:t>
            </w:r>
            <w:r>
              <w:rPr>
                <w:rFonts w:ascii="Times New Roman" w:hAnsi="Times New Roman" w:eastAsia="Times New Roman" w:cs="Times New Roman"/>
                <w:spacing w:val="4"/>
                <w:sz w:val="20"/>
                <w:szCs w:val="20"/>
              </w:rPr>
              <w:t xml:space="preserve">2 </w:t>
            </w:r>
            <w:r>
              <w:rPr>
                <w:spacing w:val="4"/>
                <w:sz w:val="20"/>
                <w:szCs w:val="20"/>
              </w:rPr>
              <w:t>个</w:t>
            </w:r>
            <w:r>
              <w:rPr>
                <w:spacing w:val="-36"/>
                <w:sz w:val="20"/>
                <w:szCs w:val="20"/>
              </w:rPr>
              <w:t xml:space="preserve"> </w:t>
            </w:r>
            <w:r>
              <w:rPr>
                <w:rFonts w:ascii="Times New Roman" w:hAnsi="Times New Roman" w:eastAsia="Times New Roman" w:cs="Times New Roman"/>
                <w:spacing w:val="4"/>
                <w:sz w:val="20"/>
                <w:szCs w:val="20"/>
              </w:rPr>
              <w:t>6m</w:t>
            </w:r>
            <w:r>
              <w:rPr>
                <w:rFonts w:ascii="Times New Roman" w:hAnsi="Times New Roman" w:eastAsia="Times New Roman" w:cs="Times New Roman"/>
                <w:spacing w:val="4"/>
                <w:position w:val="6"/>
                <w:sz w:val="13"/>
                <w:szCs w:val="13"/>
              </w:rPr>
              <w:t>3</w:t>
            </w:r>
            <w:r>
              <w:rPr>
                <w:rFonts w:ascii="Times New Roman" w:hAnsi="Times New Roman" w:eastAsia="Times New Roman" w:cs="Times New Roman"/>
                <w:spacing w:val="9"/>
                <w:w w:val="102"/>
                <w:position w:val="6"/>
                <w:sz w:val="13"/>
                <w:szCs w:val="13"/>
              </w:rPr>
              <w:t xml:space="preserve"> </w:t>
            </w:r>
            <w:r>
              <w:rPr>
                <w:spacing w:val="4"/>
                <w:sz w:val="20"/>
                <w:szCs w:val="20"/>
              </w:rPr>
              <w:t>储气罐。</w:t>
            </w:r>
          </w:p>
        </w:tc>
      </w:tr>
      <w:tr w14:paraId="429443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tcBorders>
            <w:vAlign w:val="top"/>
          </w:tcPr>
          <w:p w14:paraId="509DCF7C">
            <w:pPr>
              <w:rPr>
                <w:rFonts w:ascii="Arial"/>
                <w:sz w:val="21"/>
              </w:rPr>
            </w:pPr>
          </w:p>
        </w:tc>
        <w:tc>
          <w:tcPr>
            <w:tcW w:w="988" w:type="dxa"/>
            <w:vAlign w:val="top"/>
          </w:tcPr>
          <w:p w14:paraId="40620959">
            <w:pPr>
              <w:pStyle w:val="6"/>
              <w:spacing w:before="37" w:line="229" w:lineRule="auto"/>
              <w:ind w:left="409" w:right="73" w:hanging="325"/>
              <w:rPr>
                <w:sz w:val="20"/>
                <w:szCs w:val="20"/>
              </w:rPr>
            </w:pPr>
            <w:r>
              <w:rPr>
                <w:spacing w:val="6"/>
                <w:sz w:val="20"/>
                <w:szCs w:val="20"/>
              </w:rPr>
              <w:t>办公生活</w:t>
            </w:r>
            <w:r>
              <w:rPr>
                <w:sz w:val="20"/>
                <w:szCs w:val="20"/>
              </w:rPr>
              <w:t xml:space="preserve"> 区</w:t>
            </w:r>
          </w:p>
        </w:tc>
        <w:tc>
          <w:tcPr>
            <w:tcW w:w="7562" w:type="dxa"/>
            <w:gridSpan w:val="2"/>
            <w:tcBorders>
              <w:right w:val="nil"/>
            </w:tcBorders>
            <w:vAlign w:val="top"/>
          </w:tcPr>
          <w:p w14:paraId="2BF58D0A">
            <w:pPr>
              <w:pStyle w:val="6"/>
              <w:spacing w:before="37" w:line="229" w:lineRule="auto"/>
              <w:ind w:left="9" w:right="125" w:firstLine="30"/>
              <w:rPr>
                <w:sz w:val="20"/>
                <w:szCs w:val="20"/>
              </w:rPr>
            </w:pPr>
            <w:r>
              <w:rPr>
                <w:spacing w:val="3"/>
                <w:sz w:val="20"/>
                <w:szCs w:val="20"/>
              </w:rPr>
              <w:t>占地面积</w:t>
            </w:r>
            <w:r>
              <w:rPr>
                <w:spacing w:val="-41"/>
                <w:sz w:val="20"/>
                <w:szCs w:val="20"/>
              </w:rPr>
              <w:t xml:space="preserve"> </w:t>
            </w:r>
            <w:r>
              <w:rPr>
                <w:rFonts w:ascii="Times New Roman" w:hAnsi="Times New Roman" w:eastAsia="Times New Roman" w:cs="Times New Roman"/>
                <w:spacing w:val="3"/>
                <w:sz w:val="20"/>
                <w:szCs w:val="20"/>
              </w:rPr>
              <w:t>4483.7m</w:t>
            </w:r>
            <w:r>
              <w:rPr>
                <w:rFonts w:ascii="Times New Roman" w:hAnsi="Times New Roman" w:eastAsia="Times New Roman" w:cs="Times New Roman"/>
                <w:spacing w:val="3"/>
                <w:position w:val="6"/>
                <w:sz w:val="13"/>
                <w:szCs w:val="13"/>
              </w:rPr>
              <w:t>2</w:t>
            </w:r>
            <w:r>
              <w:rPr>
                <w:rFonts w:ascii="Times New Roman" w:hAnsi="Times New Roman" w:eastAsia="Times New Roman" w:cs="Times New Roman"/>
                <w:spacing w:val="-9"/>
                <w:position w:val="6"/>
                <w:sz w:val="13"/>
                <w:szCs w:val="13"/>
              </w:rPr>
              <w:t xml:space="preserve"> </w:t>
            </w:r>
            <w:r>
              <w:rPr>
                <w:spacing w:val="3"/>
                <w:sz w:val="20"/>
                <w:szCs w:val="20"/>
              </w:rPr>
              <w:t>，建筑面积</w:t>
            </w:r>
            <w:r>
              <w:rPr>
                <w:spacing w:val="-23"/>
                <w:sz w:val="20"/>
                <w:szCs w:val="20"/>
              </w:rPr>
              <w:t xml:space="preserve"> </w:t>
            </w:r>
            <w:r>
              <w:rPr>
                <w:rFonts w:ascii="Times New Roman" w:hAnsi="Times New Roman" w:eastAsia="Times New Roman" w:cs="Times New Roman"/>
                <w:spacing w:val="3"/>
                <w:sz w:val="20"/>
                <w:szCs w:val="20"/>
              </w:rPr>
              <w:t>12118.</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3"/>
                <w:sz w:val="20"/>
                <w:szCs w:val="20"/>
              </w:rPr>
              <w:t>1m</w:t>
            </w:r>
            <w:r>
              <w:rPr>
                <w:rFonts w:ascii="Times New Roman" w:hAnsi="Times New Roman" w:eastAsia="Times New Roman" w:cs="Times New Roman"/>
                <w:spacing w:val="3"/>
                <w:position w:val="6"/>
                <w:sz w:val="13"/>
                <w:szCs w:val="13"/>
              </w:rPr>
              <w:t>2</w:t>
            </w:r>
            <w:r>
              <w:rPr>
                <w:rFonts w:ascii="Times New Roman" w:hAnsi="Times New Roman" w:eastAsia="Times New Roman" w:cs="Times New Roman"/>
                <w:spacing w:val="-8"/>
                <w:position w:val="6"/>
                <w:sz w:val="13"/>
                <w:szCs w:val="13"/>
              </w:rPr>
              <w:t xml:space="preserve"> </w:t>
            </w:r>
            <w:r>
              <w:rPr>
                <w:spacing w:val="3"/>
                <w:sz w:val="20"/>
                <w:szCs w:val="20"/>
              </w:rPr>
              <w:t>，包括</w:t>
            </w:r>
            <w:r>
              <w:rPr>
                <w:spacing w:val="-23"/>
                <w:sz w:val="20"/>
                <w:szCs w:val="20"/>
              </w:rPr>
              <w:t xml:space="preserve"> </w:t>
            </w:r>
            <w:r>
              <w:rPr>
                <w:rFonts w:ascii="Times New Roman" w:hAnsi="Times New Roman" w:eastAsia="Times New Roman" w:cs="Times New Roman"/>
                <w:spacing w:val="3"/>
                <w:sz w:val="20"/>
                <w:szCs w:val="20"/>
              </w:rPr>
              <w:t>1</w:t>
            </w:r>
            <w:r>
              <w:rPr>
                <w:rFonts w:ascii="Times New Roman" w:hAnsi="Times New Roman" w:eastAsia="Times New Roman" w:cs="Times New Roman"/>
                <w:spacing w:val="14"/>
                <w:sz w:val="20"/>
                <w:szCs w:val="20"/>
              </w:rPr>
              <w:t xml:space="preserve"> </w:t>
            </w:r>
            <w:r>
              <w:rPr>
                <w:spacing w:val="3"/>
                <w:sz w:val="20"/>
                <w:szCs w:val="20"/>
              </w:rPr>
              <w:t>座</w:t>
            </w:r>
            <w:r>
              <w:rPr>
                <w:spacing w:val="-44"/>
                <w:sz w:val="20"/>
                <w:szCs w:val="20"/>
              </w:rPr>
              <w:t xml:space="preserve"> </w:t>
            </w:r>
            <w:r>
              <w:rPr>
                <w:rFonts w:ascii="Times New Roman" w:hAnsi="Times New Roman" w:eastAsia="Times New Roman" w:cs="Times New Roman"/>
                <w:spacing w:val="3"/>
                <w:sz w:val="20"/>
                <w:szCs w:val="20"/>
              </w:rPr>
              <w:t>4</w:t>
            </w:r>
            <w:r>
              <w:rPr>
                <w:rFonts w:ascii="Times New Roman" w:hAnsi="Times New Roman" w:eastAsia="Times New Roman" w:cs="Times New Roman"/>
                <w:spacing w:val="2"/>
                <w:sz w:val="20"/>
                <w:szCs w:val="20"/>
              </w:rPr>
              <w:t xml:space="preserve"> </w:t>
            </w:r>
            <w:r>
              <w:rPr>
                <w:spacing w:val="2"/>
                <w:sz w:val="20"/>
                <w:szCs w:val="20"/>
              </w:rPr>
              <w:t>层综合办公楼、</w:t>
            </w:r>
            <w:r>
              <w:rPr>
                <w:rFonts w:ascii="Times New Roman" w:hAnsi="Times New Roman" w:eastAsia="Times New Roman" w:cs="Times New Roman"/>
                <w:spacing w:val="2"/>
                <w:sz w:val="20"/>
                <w:szCs w:val="20"/>
              </w:rPr>
              <w:t>1</w:t>
            </w:r>
            <w:r>
              <w:rPr>
                <w:rFonts w:ascii="Times New Roman" w:hAnsi="Times New Roman" w:eastAsia="Times New Roman" w:cs="Times New Roman"/>
                <w:spacing w:val="13"/>
                <w:w w:val="101"/>
                <w:sz w:val="20"/>
                <w:szCs w:val="20"/>
              </w:rPr>
              <w:t xml:space="preserve"> </w:t>
            </w:r>
            <w:r>
              <w:rPr>
                <w:spacing w:val="2"/>
                <w:sz w:val="20"/>
                <w:szCs w:val="20"/>
              </w:rPr>
              <w:t>座</w:t>
            </w:r>
            <w:r>
              <w:rPr>
                <w:spacing w:val="-43"/>
                <w:sz w:val="20"/>
                <w:szCs w:val="20"/>
              </w:rPr>
              <w:t xml:space="preserve"> </w:t>
            </w:r>
            <w:r>
              <w:rPr>
                <w:rFonts w:ascii="Times New Roman" w:hAnsi="Times New Roman" w:eastAsia="Times New Roman" w:cs="Times New Roman"/>
                <w:spacing w:val="2"/>
                <w:sz w:val="20"/>
                <w:szCs w:val="20"/>
              </w:rPr>
              <w:t xml:space="preserve">2 </w:t>
            </w:r>
            <w:r>
              <w:rPr>
                <w:spacing w:val="2"/>
                <w:sz w:val="20"/>
                <w:szCs w:val="20"/>
              </w:rPr>
              <w:t>层餐</w:t>
            </w:r>
            <w:r>
              <w:rPr>
                <w:sz w:val="20"/>
                <w:szCs w:val="20"/>
              </w:rPr>
              <w:t xml:space="preserve"> </w:t>
            </w:r>
            <w:r>
              <w:rPr>
                <w:spacing w:val="7"/>
                <w:sz w:val="20"/>
                <w:szCs w:val="20"/>
              </w:rPr>
              <w:t>厅、</w:t>
            </w:r>
            <w:r>
              <w:rPr>
                <w:rFonts w:ascii="Times New Roman" w:hAnsi="Times New Roman" w:eastAsia="Times New Roman" w:cs="Times New Roman"/>
                <w:spacing w:val="7"/>
                <w:sz w:val="20"/>
                <w:szCs w:val="20"/>
              </w:rPr>
              <w:t xml:space="preserve">3 </w:t>
            </w:r>
            <w:r>
              <w:rPr>
                <w:spacing w:val="7"/>
                <w:sz w:val="20"/>
                <w:szCs w:val="20"/>
              </w:rPr>
              <w:t>座</w:t>
            </w:r>
            <w:r>
              <w:rPr>
                <w:spacing w:val="-22"/>
                <w:sz w:val="20"/>
                <w:szCs w:val="20"/>
              </w:rPr>
              <w:t xml:space="preserve"> </w:t>
            </w:r>
            <w:r>
              <w:rPr>
                <w:rFonts w:ascii="Times New Roman" w:hAnsi="Times New Roman" w:eastAsia="Times New Roman" w:cs="Times New Roman"/>
                <w:spacing w:val="7"/>
                <w:sz w:val="20"/>
                <w:szCs w:val="20"/>
              </w:rPr>
              <w:t xml:space="preserve">3 </w:t>
            </w:r>
            <w:r>
              <w:rPr>
                <w:spacing w:val="7"/>
                <w:sz w:val="20"/>
                <w:szCs w:val="20"/>
              </w:rPr>
              <w:t>层宿舍楼、</w:t>
            </w:r>
            <w:r>
              <w:rPr>
                <w:rFonts w:ascii="Times New Roman" w:hAnsi="Times New Roman" w:eastAsia="Times New Roman" w:cs="Times New Roman"/>
                <w:spacing w:val="7"/>
                <w:sz w:val="20"/>
                <w:szCs w:val="20"/>
              </w:rPr>
              <w:t xml:space="preserve">1 </w:t>
            </w:r>
            <w:r>
              <w:rPr>
                <w:spacing w:val="7"/>
                <w:sz w:val="20"/>
                <w:szCs w:val="20"/>
              </w:rPr>
              <w:t>座</w:t>
            </w:r>
            <w:r>
              <w:rPr>
                <w:spacing w:val="-43"/>
                <w:sz w:val="20"/>
                <w:szCs w:val="20"/>
              </w:rPr>
              <w:t xml:space="preserve"> </w:t>
            </w:r>
            <w:r>
              <w:rPr>
                <w:rFonts w:ascii="Times New Roman" w:hAnsi="Times New Roman" w:eastAsia="Times New Roman" w:cs="Times New Roman"/>
                <w:spacing w:val="7"/>
                <w:sz w:val="20"/>
                <w:szCs w:val="20"/>
              </w:rPr>
              <w:t xml:space="preserve">2 </w:t>
            </w:r>
            <w:r>
              <w:rPr>
                <w:spacing w:val="7"/>
                <w:sz w:val="20"/>
                <w:szCs w:val="20"/>
              </w:rPr>
              <w:t>层自动化中心楼、门卫室、地磅房等。</w:t>
            </w:r>
          </w:p>
        </w:tc>
      </w:tr>
      <w:tr w14:paraId="5F8A41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611" w:type="dxa"/>
            <w:vMerge w:val="restart"/>
            <w:tcBorders>
              <w:left w:val="nil"/>
              <w:bottom w:val="nil"/>
            </w:tcBorders>
            <w:vAlign w:val="top"/>
          </w:tcPr>
          <w:p w14:paraId="50FC1856">
            <w:pPr>
              <w:spacing w:line="250" w:lineRule="auto"/>
              <w:rPr>
                <w:rFonts w:ascii="Arial"/>
                <w:sz w:val="21"/>
              </w:rPr>
            </w:pPr>
          </w:p>
          <w:p w14:paraId="1B9B32A6">
            <w:pPr>
              <w:spacing w:line="250" w:lineRule="auto"/>
              <w:rPr>
                <w:rFonts w:ascii="Arial"/>
                <w:sz w:val="21"/>
              </w:rPr>
            </w:pPr>
          </w:p>
          <w:p w14:paraId="4AC11932">
            <w:pPr>
              <w:spacing w:line="250" w:lineRule="auto"/>
              <w:rPr>
                <w:rFonts w:ascii="Arial"/>
                <w:sz w:val="21"/>
              </w:rPr>
            </w:pPr>
          </w:p>
          <w:p w14:paraId="3C73BFD3">
            <w:pPr>
              <w:spacing w:line="251" w:lineRule="auto"/>
              <w:rPr>
                <w:rFonts w:ascii="Arial"/>
                <w:sz w:val="21"/>
              </w:rPr>
            </w:pPr>
          </w:p>
          <w:p w14:paraId="7E1186BA">
            <w:pPr>
              <w:spacing w:line="251" w:lineRule="auto"/>
              <w:rPr>
                <w:rFonts w:ascii="Arial"/>
                <w:sz w:val="21"/>
              </w:rPr>
            </w:pPr>
          </w:p>
          <w:p w14:paraId="077A60A3">
            <w:pPr>
              <w:spacing w:line="251" w:lineRule="auto"/>
              <w:rPr>
                <w:rFonts w:ascii="Arial"/>
                <w:sz w:val="21"/>
              </w:rPr>
            </w:pPr>
          </w:p>
          <w:p w14:paraId="269158DF">
            <w:pPr>
              <w:pStyle w:val="6"/>
              <w:spacing w:before="65"/>
              <w:ind w:left="104" w:right="95" w:hanging="1"/>
              <w:rPr>
                <w:sz w:val="20"/>
                <w:szCs w:val="20"/>
              </w:rPr>
            </w:pPr>
            <w:r>
              <w:rPr>
                <w:spacing w:val="4"/>
                <w:sz w:val="20"/>
                <w:szCs w:val="20"/>
              </w:rPr>
              <w:t>贮运</w:t>
            </w:r>
            <w:r>
              <w:rPr>
                <w:sz w:val="20"/>
                <w:szCs w:val="20"/>
              </w:rPr>
              <w:t xml:space="preserve"> </w:t>
            </w:r>
            <w:r>
              <w:rPr>
                <w:spacing w:val="3"/>
                <w:sz w:val="20"/>
                <w:szCs w:val="20"/>
              </w:rPr>
              <w:t>工程</w:t>
            </w:r>
          </w:p>
        </w:tc>
        <w:tc>
          <w:tcPr>
            <w:tcW w:w="988" w:type="dxa"/>
            <w:vAlign w:val="top"/>
          </w:tcPr>
          <w:p w14:paraId="5C096182">
            <w:pPr>
              <w:pStyle w:val="6"/>
              <w:spacing w:before="37" w:line="206" w:lineRule="auto"/>
              <w:jc w:val="right"/>
              <w:rPr>
                <w:rFonts w:ascii="Times New Roman" w:hAnsi="Times New Roman" w:eastAsia="Times New Roman" w:cs="Times New Roman"/>
                <w:sz w:val="20"/>
                <w:szCs w:val="20"/>
              </w:rPr>
            </w:pPr>
            <w:r>
              <w:rPr>
                <w:sz w:val="20"/>
                <w:szCs w:val="20"/>
              </w:rPr>
              <w:t>原料大棚</w:t>
            </w:r>
            <w:r>
              <w:rPr>
                <w:spacing w:val="-32"/>
                <w:sz w:val="20"/>
                <w:szCs w:val="20"/>
              </w:rPr>
              <w:t xml:space="preserve"> </w:t>
            </w:r>
            <w:r>
              <w:rPr>
                <w:rFonts w:ascii="Times New Roman" w:hAnsi="Times New Roman" w:eastAsia="Times New Roman" w:cs="Times New Roman"/>
                <w:sz w:val="20"/>
                <w:szCs w:val="20"/>
              </w:rPr>
              <w:t>1</w:t>
            </w:r>
          </w:p>
        </w:tc>
        <w:tc>
          <w:tcPr>
            <w:tcW w:w="7562" w:type="dxa"/>
            <w:gridSpan w:val="2"/>
            <w:tcBorders>
              <w:right w:val="nil"/>
            </w:tcBorders>
            <w:vAlign w:val="top"/>
          </w:tcPr>
          <w:p w14:paraId="4FE30F6E">
            <w:pPr>
              <w:pStyle w:val="6"/>
              <w:spacing w:before="37" w:line="206" w:lineRule="auto"/>
              <w:ind w:left="4"/>
              <w:rPr>
                <w:sz w:val="20"/>
                <w:szCs w:val="20"/>
              </w:rPr>
            </w:pPr>
            <w:r>
              <w:rPr>
                <w:spacing w:val="6"/>
                <w:sz w:val="20"/>
                <w:szCs w:val="20"/>
              </w:rPr>
              <w:t>钢结构，建筑面积</w:t>
            </w:r>
            <w:r>
              <w:rPr>
                <w:spacing w:val="-38"/>
                <w:sz w:val="20"/>
                <w:szCs w:val="20"/>
              </w:rPr>
              <w:t xml:space="preserve"> </w:t>
            </w:r>
            <w:r>
              <w:rPr>
                <w:rFonts w:ascii="Times New Roman" w:hAnsi="Times New Roman" w:eastAsia="Times New Roman" w:cs="Times New Roman"/>
                <w:spacing w:val="6"/>
                <w:sz w:val="20"/>
                <w:szCs w:val="20"/>
              </w:rPr>
              <w:t>25310m</w:t>
            </w:r>
            <w:r>
              <w:rPr>
                <w:rFonts w:ascii="Times New Roman" w:hAnsi="Times New Roman" w:eastAsia="Times New Roman" w:cs="Times New Roman"/>
                <w:spacing w:val="6"/>
                <w:position w:val="6"/>
                <w:sz w:val="13"/>
                <w:szCs w:val="13"/>
              </w:rPr>
              <w:t>2</w:t>
            </w:r>
            <w:r>
              <w:rPr>
                <w:rFonts w:ascii="Times New Roman" w:hAnsi="Times New Roman" w:eastAsia="Times New Roman" w:cs="Times New Roman"/>
                <w:spacing w:val="-8"/>
                <w:position w:val="6"/>
                <w:sz w:val="13"/>
                <w:szCs w:val="13"/>
              </w:rPr>
              <w:t xml:space="preserve"> </w:t>
            </w:r>
            <w:r>
              <w:rPr>
                <w:spacing w:val="6"/>
                <w:sz w:val="20"/>
                <w:szCs w:val="20"/>
              </w:rPr>
              <w:t>，高度</w:t>
            </w:r>
            <w:r>
              <w:rPr>
                <w:spacing w:val="-21"/>
                <w:sz w:val="20"/>
                <w:szCs w:val="20"/>
              </w:rPr>
              <w:t xml:space="preserve"> </w:t>
            </w:r>
            <w:r>
              <w:rPr>
                <w:rFonts w:ascii="Times New Roman" w:hAnsi="Times New Roman" w:eastAsia="Times New Roman" w:cs="Times New Roman"/>
                <w:spacing w:val="6"/>
                <w:sz w:val="20"/>
                <w:szCs w:val="20"/>
              </w:rPr>
              <w:t>17.9m</w:t>
            </w:r>
            <w:r>
              <w:rPr>
                <w:rFonts w:ascii="Times New Roman" w:hAnsi="Times New Roman" w:eastAsia="Times New Roman" w:cs="Times New Roman"/>
                <w:spacing w:val="-24"/>
                <w:sz w:val="20"/>
                <w:szCs w:val="20"/>
              </w:rPr>
              <w:t xml:space="preserve"> </w:t>
            </w:r>
            <w:r>
              <w:rPr>
                <w:spacing w:val="6"/>
                <w:sz w:val="20"/>
                <w:szCs w:val="20"/>
              </w:rPr>
              <w:t>，主要用于储存锰硅矿石、焦炭等原料。</w:t>
            </w:r>
          </w:p>
        </w:tc>
      </w:tr>
      <w:tr w14:paraId="20B959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760916E4">
            <w:pPr>
              <w:rPr>
                <w:rFonts w:ascii="Arial"/>
                <w:sz w:val="21"/>
              </w:rPr>
            </w:pPr>
          </w:p>
        </w:tc>
        <w:tc>
          <w:tcPr>
            <w:tcW w:w="988" w:type="dxa"/>
            <w:vAlign w:val="top"/>
          </w:tcPr>
          <w:p w14:paraId="4E8C4FF7">
            <w:pPr>
              <w:pStyle w:val="6"/>
              <w:spacing w:before="175" w:line="228" w:lineRule="auto"/>
              <w:jc w:val="right"/>
              <w:rPr>
                <w:rFonts w:ascii="Times New Roman" w:hAnsi="Times New Roman" w:eastAsia="Times New Roman" w:cs="Times New Roman"/>
                <w:sz w:val="20"/>
                <w:szCs w:val="20"/>
              </w:rPr>
            </w:pPr>
            <w:r>
              <w:rPr>
                <w:spacing w:val="4"/>
                <w:sz w:val="20"/>
                <w:szCs w:val="20"/>
              </w:rPr>
              <w:t>原料大棚</w:t>
            </w:r>
            <w:r>
              <w:rPr>
                <w:spacing w:val="-52"/>
                <w:sz w:val="20"/>
                <w:szCs w:val="20"/>
              </w:rPr>
              <w:t xml:space="preserve"> </w:t>
            </w:r>
            <w:r>
              <w:rPr>
                <w:rFonts w:ascii="Times New Roman" w:hAnsi="Times New Roman" w:eastAsia="Times New Roman" w:cs="Times New Roman"/>
                <w:spacing w:val="4"/>
                <w:sz w:val="20"/>
                <w:szCs w:val="20"/>
              </w:rPr>
              <w:t>2</w:t>
            </w:r>
          </w:p>
        </w:tc>
        <w:tc>
          <w:tcPr>
            <w:tcW w:w="7562" w:type="dxa"/>
            <w:gridSpan w:val="2"/>
            <w:tcBorders>
              <w:right w:val="nil"/>
            </w:tcBorders>
            <w:vAlign w:val="top"/>
          </w:tcPr>
          <w:p w14:paraId="5DBB9C8B">
            <w:pPr>
              <w:pStyle w:val="6"/>
              <w:spacing w:before="40" w:line="228" w:lineRule="auto"/>
              <w:ind w:left="35" w:right="115" w:hanging="31"/>
              <w:rPr>
                <w:sz w:val="20"/>
                <w:szCs w:val="20"/>
              </w:rPr>
            </w:pPr>
            <w:r>
              <w:rPr>
                <w:spacing w:val="4"/>
                <w:sz w:val="20"/>
                <w:szCs w:val="20"/>
              </w:rPr>
              <w:t>钢结构，建筑面积</w:t>
            </w:r>
            <w:r>
              <w:rPr>
                <w:spacing w:val="-20"/>
                <w:sz w:val="20"/>
                <w:szCs w:val="20"/>
              </w:rPr>
              <w:t xml:space="preserve"> </w:t>
            </w:r>
            <w:r>
              <w:rPr>
                <w:rFonts w:ascii="Times New Roman" w:hAnsi="Times New Roman" w:eastAsia="Times New Roman" w:cs="Times New Roman"/>
                <w:spacing w:val="4"/>
                <w:sz w:val="20"/>
                <w:szCs w:val="20"/>
              </w:rPr>
              <w:t>10060m</w:t>
            </w:r>
            <w:r>
              <w:rPr>
                <w:rFonts w:ascii="Times New Roman" w:hAnsi="Times New Roman" w:eastAsia="Times New Roman" w:cs="Times New Roman"/>
                <w:spacing w:val="4"/>
                <w:position w:val="6"/>
                <w:sz w:val="13"/>
                <w:szCs w:val="13"/>
              </w:rPr>
              <w:t>2</w:t>
            </w:r>
            <w:r>
              <w:rPr>
                <w:rFonts w:ascii="Times New Roman" w:hAnsi="Times New Roman" w:eastAsia="Times New Roman" w:cs="Times New Roman"/>
                <w:spacing w:val="-9"/>
                <w:position w:val="6"/>
                <w:sz w:val="13"/>
                <w:szCs w:val="13"/>
              </w:rPr>
              <w:t xml:space="preserve"> </w:t>
            </w:r>
            <w:r>
              <w:rPr>
                <w:spacing w:val="4"/>
                <w:sz w:val="20"/>
                <w:szCs w:val="20"/>
              </w:rPr>
              <w:t>，高度</w:t>
            </w:r>
            <w:r>
              <w:rPr>
                <w:spacing w:val="-20"/>
                <w:sz w:val="20"/>
                <w:szCs w:val="20"/>
              </w:rPr>
              <w:t xml:space="preserve"> </w:t>
            </w:r>
            <w:r>
              <w:rPr>
                <w:rFonts w:ascii="Times New Roman" w:hAnsi="Times New Roman" w:eastAsia="Times New Roman" w:cs="Times New Roman"/>
                <w:spacing w:val="4"/>
                <w:sz w:val="20"/>
                <w:szCs w:val="20"/>
              </w:rPr>
              <w:t>17.9m</w:t>
            </w:r>
            <w:r>
              <w:rPr>
                <w:rFonts w:ascii="Times New Roman" w:hAnsi="Times New Roman" w:eastAsia="Times New Roman" w:cs="Times New Roman"/>
                <w:spacing w:val="-24"/>
                <w:sz w:val="20"/>
                <w:szCs w:val="20"/>
              </w:rPr>
              <w:t xml:space="preserve"> </w:t>
            </w:r>
            <w:r>
              <w:rPr>
                <w:spacing w:val="4"/>
                <w:sz w:val="20"/>
                <w:szCs w:val="20"/>
              </w:rPr>
              <w:t>，主要用于储存硅石、石灰石、</w:t>
            </w:r>
            <w:r>
              <w:rPr>
                <w:spacing w:val="-59"/>
                <w:sz w:val="20"/>
                <w:szCs w:val="20"/>
              </w:rPr>
              <w:t xml:space="preserve"> </w:t>
            </w:r>
            <w:r>
              <w:rPr>
                <w:spacing w:val="4"/>
                <w:sz w:val="20"/>
                <w:szCs w:val="20"/>
              </w:rPr>
              <w:t>电极</w:t>
            </w:r>
            <w:r>
              <w:rPr>
                <w:spacing w:val="3"/>
                <w:sz w:val="20"/>
                <w:szCs w:val="20"/>
              </w:rPr>
              <w:t>糊、</w:t>
            </w:r>
            <w:r>
              <w:rPr>
                <w:sz w:val="20"/>
                <w:szCs w:val="20"/>
              </w:rPr>
              <w:t xml:space="preserve"> </w:t>
            </w:r>
            <w:r>
              <w:rPr>
                <w:spacing w:val="2"/>
                <w:sz w:val="20"/>
                <w:szCs w:val="20"/>
              </w:rPr>
              <w:t>白云石等原料。</w:t>
            </w:r>
          </w:p>
        </w:tc>
      </w:tr>
      <w:tr w14:paraId="366C98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38469903">
            <w:pPr>
              <w:rPr>
                <w:rFonts w:ascii="Arial"/>
                <w:sz w:val="21"/>
              </w:rPr>
            </w:pPr>
          </w:p>
        </w:tc>
        <w:tc>
          <w:tcPr>
            <w:tcW w:w="988" w:type="dxa"/>
            <w:vAlign w:val="top"/>
          </w:tcPr>
          <w:p w14:paraId="1B18E68F">
            <w:pPr>
              <w:pStyle w:val="6"/>
              <w:spacing w:before="37" w:line="229" w:lineRule="auto"/>
              <w:ind w:left="305" w:right="73" w:hanging="226"/>
              <w:rPr>
                <w:sz w:val="20"/>
                <w:szCs w:val="20"/>
              </w:rPr>
            </w:pPr>
            <w:r>
              <w:rPr>
                <w:spacing w:val="7"/>
                <w:sz w:val="20"/>
                <w:szCs w:val="20"/>
              </w:rPr>
              <w:t>铁合金成</w:t>
            </w:r>
            <w:r>
              <w:rPr>
                <w:spacing w:val="1"/>
                <w:sz w:val="20"/>
                <w:szCs w:val="20"/>
              </w:rPr>
              <w:t xml:space="preserve"> </w:t>
            </w:r>
            <w:r>
              <w:rPr>
                <w:spacing w:val="-4"/>
                <w:sz w:val="20"/>
                <w:szCs w:val="20"/>
              </w:rPr>
              <w:t>品库</w:t>
            </w:r>
          </w:p>
        </w:tc>
        <w:tc>
          <w:tcPr>
            <w:tcW w:w="7562" w:type="dxa"/>
            <w:gridSpan w:val="2"/>
            <w:tcBorders>
              <w:right w:val="nil"/>
            </w:tcBorders>
            <w:vAlign w:val="top"/>
          </w:tcPr>
          <w:p w14:paraId="0A1C0F2C">
            <w:pPr>
              <w:pStyle w:val="6"/>
              <w:spacing w:before="175" w:line="228" w:lineRule="auto"/>
              <w:ind w:left="30"/>
              <w:rPr>
                <w:sz w:val="20"/>
                <w:szCs w:val="20"/>
              </w:rPr>
            </w:pPr>
            <w:r>
              <w:rPr>
                <w:spacing w:val="9"/>
                <w:sz w:val="20"/>
                <w:szCs w:val="20"/>
              </w:rPr>
              <w:t>电炉生产区锰硅合金产品均不单独配置成品库，在各</w:t>
            </w:r>
            <w:r>
              <w:rPr>
                <w:spacing w:val="8"/>
                <w:sz w:val="20"/>
                <w:szCs w:val="20"/>
              </w:rPr>
              <w:t>电炉车间成品跨内储存。</w:t>
            </w:r>
          </w:p>
        </w:tc>
      </w:tr>
      <w:tr w14:paraId="2A062D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611" w:type="dxa"/>
            <w:vMerge w:val="continue"/>
            <w:tcBorders>
              <w:top w:val="nil"/>
              <w:left w:val="nil"/>
              <w:bottom w:val="nil"/>
            </w:tcBorders>
            <w:vAlign w:val="top"/>
          </w:tcPr>
          <w:p w14:paraId="22C78A9A">
            <w:pPr>
              <w:rPr>
                <w:rFonts w:ascii="Arial"/>
                <w:sz w:val="21"/>
              </w:rPr>
            </w:pPr>
          </w:p>
        </w:tc>
        <w:tc>
          <w:tcPr>
            <w:tcW w:w="988" w:type="dxa"/>
            <w:vAlign w:val="top"/>
          </w:tcPr>
          <w:p w14:paraId="532F4E57">
            <w:pPr>
              <w:pStyle w:val="6"/>
              <w:spacing w:before="38" w:line="205" w:lineRule="auto"/>
              <w:ind w:left="79"/>
              <w:rPr>
                <w:sz w:val="20"/>
                <w:szCs w:val="20"/>
              </w:rPr>
            </w:pPr>
            <w:r>
              <w:rPr>
                <w:spacing w:val="7"/>
                <w:sz w:val="20"/>
                <w:szCs w:val="20"/>
              </w:rPr>
              <w:t>干式气柜</w:t>
            </w:r>
          </w:p>
        </w:tc>
        <w:tc>
          <w:tcPr>
            <w:tcW w:w="7562" w:type="dxa"/>
            <w:gridSpan w:val="2"/>
            <w:tcBorders>
              <w:right w:val="nil"/>
            </w:tcBorders>
            <w:vAlign w:val="top"/>
          </w:tcPr>
          <w:p w14:paraId="577B9997">
            <w:pPr>
              <w:pStyle w:val="6"/>
              <w:spacing w:before="38" w:line="205" w:lineRule="auto"/>
              <w:ind w:left="22"/>
              <w:rPr>
                <w:sz w:val="20"/>
                <w:szCs w:val="20"/>
              </w:rPr>
            </w:pPr>
            <w:r>
              <w:rPr>
                <w:rFonts w:ascii="Times New Roman" w:hAnsi="Times New Roman" w:eastAsia="Times New Roman" w:cs="Times New Roman"/>
                <w:spacing w:val="5"/>
                <w:sz w:val="20"/>
                <w:szCs w:val="20"/>
              </w:rPr>
              <w:t xml:space="preserve">1 </w:t>
            </w:r>
            <w:r>
              <w:rPr>
                <w:spacing w:val="5"/>
                <w:sz w:val="20"/>
                <w:szCs w:val="20"/>
              </w:rPr>
              <w:t>座，净化后煤气通过管道输送到</w:t>
            </w:r>
            <w:r>
              <w:rPr>
                <w:spacing w:val="-27"/>
                <w:sz w:val="20"/>
                <w:szCs w:val="20"/>
              </w:rPr>
              <w:t xml:space="preserve"> </w:t>
            </w:r>
            <w:r>
              <w:rPr>
                <w:rFonts w:ascii="Times New Roman" w:hAnsi="Times New Roman" w:eastAsia="Times New Roman" w:cs="Times New Roman"/>
                <w:spacing w:val="5"/>
                <w:sz w:val="20"/>
                <w:szCs w:val="20"/>
              </w:rPr>
              <w:t>30000m</w:t>
            </w:r>
            <w:r>
              <w:rPr>
                <w:rFonts w:ascii="Times New Roman" w:hAnsi="Times New Roman" w:eastAsia="Times New Roman" w:cs="Times New Roman"/>
                <w:spacing w:val="5"/>
                <w:position w:val="6"/>
                <w:sz w:val="13"/>
                <w:szCs w:val="13"/>
              </w:rPr>
              <w:t xml:space="preserve">3  </w:t>
            </w:r>
            <w:r>
              <w:rPr>
                <w:spacing w:val="5"/>
                <w:sz w:val="20"/>
                <w:szCs w:val="20"/>
              </w:rPr>
              <w:t>的干式气柜。</w:t>
            </w:r>
          </w:p>
        </w:tc>
      </w:tr>
      <w:tr w14:paraId="2E2BE5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6DCCBDF0">
            <w:pPr>
              <w:rPr>
                <w:rFonts w:ascii="Arial"/>
                <w:sz w:val="21"/>
              </w:rPr>
            </w:pPr>
          </w:p>
        </w:tc>
        <w:tc>
          <w:tcPr>
            <w:tcW w:w="988" w:type="dxa"/>
            <w:vAlign w:val="top"/>
          </w:tcPr>
          <w:p w14:paraId="189517EC">
            <w:pPr>
              <w:pStyle w:val="6"/>
              <w:spacing w:before="42" w:line="227" w:lineRule="auto"/>
              <w:ind w:left="191" w:right="73" w:hanging="108"/>
              <w:rPr>
                <w:sz w:val="20"/>
                <w:szCs w:val="20"/>
              </w:rPr>
            </w:pPr>
            <w:r>
              <w:rPr>
                <w:spacing w:val="6"/>
                <w:sz w:val="20"/>
                <w:szCs w:val="20"/>
              </w:rPr>
              <w:t>一般固废</w:t>
            </w:r>
            <w:r>
              <w:rPr>
                <w:spacing w:val="1"/>
                <w:sz w:val="20"/>
                <w:szCs w:val="20"/>
              </w:rPr>
              <w:t xml:space="preserve"> </w:t>
            </w:r>
            <w:r>
              <w:rPr>
                <w:spacing w:val="4"/>
                <w:sz w:val="20"/>
                <w:szCs w:val="20"/>
              </w:rPr>
              <w:t>暂存库</w:t>
            </w:r>
          </w:p>
        </w:tc>
        <w:tc>
          <w:tcPr>
            <w:tcW w:w="7562" w:type="dxa"/>
            <w:gridSpan w:val="2"/>
            <w:tcBorders>
              <w:right w:val="nil"/>
            </w:tcBorders>
            <w:vAlign w:val="top"/>
          </w:tcPr>
          <w:p w14:paraId="6B16AE3B">
            <w:pPr>
              <w:pStyle w:val="6"/>
              <w:spacing w:before="175" w:line="228" w:lineRule="auto"/>
              <w:jc w:val="right"/>
              <w:rPr>
                <w:sz w:val="20"/>
                <w:szCs w:val="20"/>
              </w:rPr>
            </w:pPr>
            <w:r>
              <w:rPr>
                <w:rFonts w:ascii="Times New Roman" w:hAnsi="Times New Roman" w:eastAsia="Times New Roman" w:cs="Times New Roman"/>
                <w:spacing w:val="5"/>
                <w:sz w:val="20"/>
                <w:szCs w:val="20"/>
              </w:rPr>
              <w:t xml:space="preserve">1 </w:t>
            </w:r>
            <w:r>
              <w:rPr>
                <w:spacing w:val="5"/>
                <w:sz w:val="20"/>
                <w:szCs w:val="20"/>
              </w:rPr>
              <w:t>座，占地面积</w:t>
            </w:r>
            <w:r>
              <w:rPr>
                <w:spacing w:val="-37"/>
                <w:sz w:val="20"/>
                <w:szCs w:val="20"/>
              </w:rPr>
              <w:t xml:space="preserve"> </w:t>
            </w:r>
            <w:r>
              <w:rPr>
                <w:rFonts w:ascii="Times New Roman" w:hAnsi="Times New Roman" w:eastAsia="Times New Roman" w:cs="Times New Roman"/>
                <w:spacing w:val="5"/>
                <w:sz w:val="20"/>
                <w:szCs w:val="20"/>
              </w:rPr>
              <w:t>300m</w:t>
            </w:r>
            <w:r>
              <w:rPr>
                <w:rFonts w:ascii="Times New Roman" w:hAnsi="Times New Roman" w:eastAsia="Times New Roman" w:cs="Times New Roman"/>
                <w:spacing w:val="5"/>
                <w:position w:val="6"/>
                <w:sz w:val="13"/>
                <w:szCs w:val="13"/>
              </w:rPr>
              <w:t>2</w:t>
            </w:r>
            <w:r>
              <w:rPr>
                <w:spacing w:val="5"/>
                <w:sz w:val="20"/>
                <w:szCs w:val="20"/>
              </w:rPr>
              <w:t>，用暂存厂区内</w:t>
            </w:r>
            <w:r>
              <w:rPr>
                <w:spacing w:val="4"/>
                <w:sz w:val="20"/>
                <w:szCs w:val="20"/>
              </w:rPr>
              <w:t>产生的一般固废，根据固废的种类分隔储存。</w:t>
            </w:r>
          </w:p>
        </w:tc>
      </w:tr>
      <w:tr w14:paraId="4747FF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trPr>
        <w:tc>
          <w:tcPr>
            <w:tcW w:w="611" w:type="dxa"/>
            <w:vMerge w:val="continue"/>
            <w:tcBorders>
              <w:top w:val="nil"/>
              <w:left w:val="nil"/>
              <w:bottom w:val="nil"/>
            </w:tcBorders>
            <w:vAlign w:val="top"/>
          </w:tcPr>
          <w:p w14:paraId="385509A3">
            <w:pPr>
              <w:rPr>
                <w:rFonts w:ascii="Arial"/>
                <w:sz w:val="21"/>
              </w:rPr>
            </w:pPr>
          </w:p>
        </w:tc>
        <w:tc>
          <w:tcPr>
            <w:tcW w:w="988" w:type="dxa"/>
            <w:vAlign w:val="top"/>
          </w:tcPr>
          <w:p w14:paraId="7EB3B775">
            <w:pPr>
              <w:pStyle w:val="6"/>
              <w:spacing w:before="67" w:line="239" w:lineRule="auto"/>
              <w:ind w:left="394" w:right="73" w:hanging="312"/>
              <w:rPr>
                <w:sz w:val="20"/>
                <w:szCs w:val="20"/>
              </w:rPr>
            </w:pPr>
            <w:r>
              <w:rPr>
                <w:spacing w:val="6"/>
                <w:sz w:val="20"/>
                <w:szCs w:val="20"/>
              </w:rPr>
              <w:t>危废暂存</w:t>
            </w:r>
            <w:r>
              <w:rPr>
                <w:spacing w:val="2"/>
                <w:sz w:val="20"/>
                <w:szCs w:val="20"/>
              </w:rPr>
              <w:t xml:space="preserve"> </w:t>
            </w:r>
            <w:r>
              <w:rPr>
                <w:sz w:val="20"/>
                <w:szCs w:val="20"/>
              </w:rPr>
              <w:t>库</w:t>
            </w:r>
          </w:p>
        </w:tc>
        <w:tc>
          <w:tcPr>
            <w:tcW w:w="7562" w:type="dxa"/>
            <w:gridSpan w:val="2"/>
            <w:tcBorders>
              <w:right w:val="nil"/>
            </w:tcBorders>
            <w:vAlign w:val="top"/>
          </w:tcPr>
          <w:p w14:paraId="3DA03F19">
            <w:pPr>
              <w:pStyle w:val="6"/>
              <w:spacing w:before="67" w:line="239" w:lineRule="auto"/>
              <w:ind w:left="5" w:right="92" w:firstLine="17"/>
              <w:rPr>
                <w:sz w:val="20"/>
                <w:szCs w:val="20"/>
              </w:rPr>
            </w:pPr>
            <w:r>
              <w:rPr>
                <w:rFonts w:ascii="Times New Roman" w:hAnsi="Times New Roman" w:eastAsia="Times New Roman" w:cs="Times New Roman"/>
                <w:spacing w:val="6"/>
                <w:sz w:val="20"/>
                <w:szCs w:val="20"/>
              </w:rPr>
              <w:t xml:space="preserve">1 </w:t>
            </w:r>
            <w:r>
              <w:rPr>
                <w:spacing w:val="6"/>
                <w:sz w:val="20"/>
                <w:szCs w:val="20"/>
              </w:rPr>
              <w:t>座全封闭危废暂存库，</w:t>
            </w:r>
            <w:r>
              <w:rPr>
                <w:spacing w:val="-51"/>
                <w:sz w:val="20"/>
                <w:szCs w:val="20"/>
              </w:rPr>
              <w:t xml:space="preserve"> </w:t>
            </w:r>
            <w:r>
              <w:rPr>
                <w:spacing w:val="6"/>
                <w:sz w:val="20"/>
                <w:szCs w:val="20"/>
              </w:rPr>
              <w:t>占地面积</w:t>
            </w:r>
            <w:r>
              <w:rPr>
                <w:spacing w:val="-21"/>
                <w:sz w:val="20"/>
                <w:szCs w:val="20"/>
              </w:rPr>
              <w:t xml:space="preserve"> </w:t>
            </w:r>
            <w:r>
              <w:rPr>
                <w:rFonts w:ascii="Times New Roman" w:hAnsi="Times New Roman" w:eastAsia="Times New Roman" w:cs="Times New Roman"/>
                <w:spacing w:val="6"/>
                <w:sz w:val="20"/>
                <w:szCs w:val="20"/>
              </w:rPr>
              <w:t>100m</w:t>
            </w:r>
            <w:r>
              <w:rPr>
                <w:rFonts w:ascii="Times New Roman" w:hAnsi="Times New Roman" w:eastAsia="Times New Roman" w:cs="Times New Roman"/>
                <w:spacing w:val="6"/>
                <w:position w:val="6"/>
                <w:sz w:val="13"/>
                <w:szCs w:val="13"/>
              </w:rPr>
              <w:t>2</w:t>
            </w:r>
            <w:r>
              <w:rPr>
                <w:rFonts w:ascii="Times New Roman" w:hAnsi="Times New Roman" w:eastAsia="Times New Roman" w:cs="Times New Roman"/>
                <w:spacing w:val="-6"/>
                <w:position w:val="6"/>
                <w:sz w:val="13"/>
                <w:szCs w:val="13"/>
              </w:rPr>
              <w:t xml:space="preserve"> </w:t>
            </w:r>
            <w:r>
              <w:rPr>
                <w:spacing w:val="6"/>
                <w:sz w:val="20"/>
                <w:szCs w:val="20"/>
              </w:rPr>
              <w:t>，用</w:t>
            </w:r>
            <w:r>
              <w:rPr>
                <w:spacing w:val="5"/>
                <w:sz w:val="20"/>
                <w:szCs w:val="20"/>
              </w:rPr>
              <w:t>暂存厂区内产生的危险废物，根据危</w:t>
            </w:r>
            <w:r>
              <w:rPr>
                <w:sz w:val="20"/>
                <w:szCs w:val="20"/>
              </w:rPr>
              <w:t xml:space="preserve"> </w:t>
            </w:r>
            <w:r>
              <w:rPr>
                <w:spacing w:val="7"/>
                <w:sz w:val="20"/>
                <w:szCs w:val="20"/>
              </w:rPr>
              <w:t>废的种类分隔储存。</w:t>
            </w:r>
          </w:p>
        </w:tc>
      </w:tr>
      <w:tr w14:paraId="312AFB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611" w:type="dxa"/>
            <w:vMerge w:val="continue"/>
            <w:tcBorders>
              <w:top w:val="nil"/>
              <w:left w:val="nil"/>
              <w:bottom w:val="nil"/>
            </w:tcBorders>
            <w:vAlign w:val="top"/>
          </w:tcPr>
          <w:p w14:paraId="38289858">
            <w:pPr>
              <w:rPr>
                <w:rFonts w:ascii="Arial"/>
                <w:sz w:val="21"/>
              </w:rPr>
            </w:pPr>
          </w:p>
        </w:tc>
        <w:tc>
          <w:tcPr>
            <w:tcW w:w="988" w:type="dxa"/>
            <w:vMerge w:val="restart"/>
            <w:tcBorders>
              <w:bottom w:val="nil"/>
            </w:tcBorders>
            <w:vAlign w:val="top"/>
          </w:tcPr>
          <w:p w14:paraId="13C13116">
            <w:pPr>
              <w:spacing w:line="251" w:lineRule="auto"/>
              <w:rPr>
                <w:rFonts w:ascii="Arial"/>
                <w:sz w:val="21"/>
              </w:rPr>
            </w:pPr>
          </w:p>
          <w:p w14:paraId="45C17EA9">
            <w:pPr>
              <w:pStyle w:val="6"/>
              <w:spacing w:before="65" w:line="228" w:lineRule="auto"/>
              <w:ind w:left="80"/>
              <w:rPr>
                <w:sz w:val="20"/>
                <w:szCs w:val="20"/>
              </w:rPr>
            </w:pPr>
            <w:r>
              <w:rPr>
                <w:spacing w:val="7"/>
                <w:sz w:val="20"/>
                <w:szCs w:val="20"/>
              </w:rPr>
              <w:t>运输系统</w:t>
            </w:r>
          </w:p>
        </w:tc>
        <w:tc>
          <w:tcPr>
            <w:tcW w:w="7562" w:type="dxa"/>
            <w:gridSpan w:val="2"/>
            <w:tcBorders>
              <w:right w:val="nil"/>
            </w:tcBorders>
            <w:vAlign w:val="top"/>
          </w:tcPr>
          <w:p w14:paraId="2866EF5B">
            <w:pPr>
              <w:pStyle w:val="6"/>
              <w:spacing w:before="42" w:line="202" w:lineRule="auto"/>
              <w:ind w:left="8"/>
              <w:rPr>
                <w:sz w:val="20"/>
                <w:szCs w:val="20"/>
              </w:rPr>
            </w:pPr>
            <w:r>
              <w:rPr>
                <w:spacing w:val="9"/>
                <w:sz w:val="20"/>
                <w:szCs w:val="20"/>
              </w:rPr>
              <w:t>厂外运输全部采用社会车辆公路运输，无自备车</w:t>
            </w:r>
            <w:r>
              <w:rPr>
                <w:spacing w:val="8"/>
                <w:sz w:val="20"/>
                <w:szCs w:val="20"/>
              </w:rPr>
              <w:t>辆。</w:t>
            </w:r>
          </w:p>
        </w:tc>
      </w:tr>
      <w:tr w14:paraId="54B031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tcBorders>
            <w:vAlign w:val="top"/>
          </w:tcPr>
          <w:p w14:paraId="2C432221">
            <w:pPr>
              <w:rPr>
                <w:rFonts w:ascii="Arial"/>
                <w:sz w:val="21"/>
              </w:rPr>
            </w:pPr>
          </w:p>
        </w:tc>
        <w:tc>
          <w:tcPr>
            <w:tcW w:w="988" w:type="dxa"/>
            <w:vMerge w:val="continue"/>
            <w:tcBorders>
              <w:top w:val="nil"/>
            </w:tcBorders>
            <w:vAlign w:val="top"/>
          </w:tcPr>
          <w:p w14:paraId="292D30CD">
            <w:pPr>
              <w:rPr>
                <w:rFonts w:ascii="Arial"/>
                <w:sz w:val="21"/>
              </w:rPr>
            </w:pPr>
          </w:p>
        </w:tc>
        <w:tc>
          <w:tcPr>
            <w:tcW w:w="7562" w:type="dxa"/>
            <w:gridSpan w:val="2"/>
            <w:tcBorders>
              <w:right w:val="nil"/>
            </w:tcBorders>
            <w:vAlign w:val="top"/>
          </w:tcPr>
          <w:p w14:paraId="62A1D9C8">
            <w:pPr>
              <w:pStyle w:val="6"/>
              <w:spacing w:before="44" w:line="226" w:lineRule="auto"/>
              <w:ind w:left="12" w:right="92" w:firstLine="18"/>
              <w:rPr>
                <w:sz w:val="20"/>
                <w:szCs w:val="20"/>
              </w:rPr>
            </w:pPr>
            <w:r>
              <w:rPr>
                <w:spacing w:val="7"/>
                <w:sz w:val="20"/>
                <w:szCs w:val="20"/>
              </w:rPr>
              <w:t>电炉生产区运输采用装载机、小货车和皮带</w:t>
            </w:r>
            <w:r>
              <w:rPr>
                <w:spacing w:val="6"/>
                <w:sz w:val="20"/>
                <w:szCs w:val="20"/>
              </w:rPr>
              <w:t>运输结合的方式，其中皮带均封闭，皮</w:t>
            </w:r>
            <w:r>
              <w:rPr>
                <w:sz w:val="20"/>
                <w:szCs w:val="20"/>
              </w:rPr>
              <w:t xml:space="preserve"> </w:t>
            </w:r>
            <w:r>
              <w:rPr>
                <w:spacing w:val="7"/>
                <w:sz w:val="20"/>
                <w:szCs w:val="20"/>
              </w:rPr>
              <w:t>带设置于封闭的廊道中。</w:t>
            </w:r>
          </w:p>
        </w:tc>
      </w:tr>
      <w:tr w14:paraId="0E4CC1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611" w:type="dxa"/>
            <w:vMerge w:val="restart"/>
            <w:tcBorders>
              <w:left w:val="nil"/>
              <w:bottom w:val="nil"/>
            </w:tcBorders>
            <w:vAlign w:val="top"/>
          </w:tcPr>
          <w:p w14:paraId="6753EE14">
            <w:pPr>
              <w:spacing w:line="268" w:lineRule="auto"/>
              <w:rPr>
                <w:rFonts w:ascii="Arial"/>
                <w:sz w:val="21"/>
              </w:rPr>
            </w:pPr>
          </w:p>
          <w:p w14:paraId="0FE041D3">
            <w:pPr>
              <w:spacing w:line="269" w:lineRule="auto"/>
              <w:rPr>
                <w:rFonts w:ascii="Arial"/>
                <w:sz w:val="21"/>
              </w:rPr>
            </w:pPr>
          </w:p>
          <w:p w14:paraId="43FF64FB">
            <w:pPr>
              <w:spacing w:line="269" w:lineRule="auto"/>
              <w:rPr>
                <w:rFonts w:ascii="Arial"/>
                <w:sz w:val="21"/>
              </w:rPr>
            </w:pPr>
          </w:p>
          <w:p w14:paraId="092368D0">
            <w:pPr>
              <w:spacing w:line="269" w:lineRule="auto"/>
              <w:rPr>
                <w:rFonts w:ascii="Arial"/>
                <w:sz w:val="21"/>
              </w:rPr>
            </w:pPr>
          </w:p>
          <w:p w14:paraId="66E1A4B5">
            <w:pPr>
              <w:spacing w:line="269" w:lineRule="auto"/>
              <w:rPr>
                <w:rFonts w:ascii="Arial"/>
                <w:sz w:val="21"/>
              </w:rPr>
            </w:pPr>
          </w:p>
          <w:p w14:paraId="06BA951E">
            <w:pPr>
              <w:spacing w:line="269" w:lineRule="auto"/>
              <w:rPr>
                <w:rFonts w:ascii="Arial"/>
                <w:sz w:val="21"/>
              </w:rPr>
            </w:pPr>
          </w:p>
          <w:p w14:paraId="10CAA9FA">
            <w:pPr>
              <w:spacing w:line="269" w:lineRule="auto"/>
              <w:rPr>
                <w:rFonts w:ascii="Arial"/>
                <w:sz w:val="21"/>
              </w:rPr>
            </w:pPr>
          </w:p>
          <w:p w14:paraId="2D6020CD">
            <w:pPr>
              <w:pStyle w:val="6"/>
              <w:spacing w:before="65" w:line="239" w:lineRule="auto"/>
              <w:ind w:left="105" w:right="95" w:firstLine="3"/>
              <w:rPr>
                <w:sz w:val="20"/>
                <w:szCs w:val="20"/>
              </w:rPr>
            </w:pPr>
            <w:r>
              <w:rPr>
                <w:spacing w:val="1"/>
                <w:sz w:val="20"/>
                <w:szCs w:val="20"/>
              </w:rPr>
              <w:t>公用</w:t>
            </w:r>
            <w:r>
              <w:rPr>
                <w:sz w:val="20"/>
                <w:szCs w:val="20"/>
              </w:rPr>
              <w:t xml:space="preserve"> </w:t>
            </w:r>
            <w:r>
              <w:rPr>
                <w:spacing w:val="3"/>
                <w:sz w:val="20"/>
                <w:szCs w:val="20"/>
              </w:rPr>
              <w:t>工程</w:t>
            </w:r>
          </w:p>
        </w:tc>
        <w:tc>
          <w:tcPr>
            <w:tcW w:w="988" w:type="dxa"/>
            <w:vAlign w:val="top"/>
          </w:tcPr>
          <w:p w14:paraId="0770E418">
            <w:pPr>
              <w:pStyle w:val="6"/>
              <w:spacing w:before="179" w:line="228" w:lineRule="auto"/>
              <w:ind w:left="289"/>
              <w:rPr>
                <w:sz w:val="20"/>
                <w:szCs w:val="20"/>
              </w:rPr>
            </w:pPr>
            <w:r>
              <w:rPr>
                <w:spacing w:val="4"/>
                <w:sz w:val="20"/>
                <w:szCs w:val="20"/>
              </w:rPr>
              <w:t>给水</w:t>
            </w:r>
          </w:p>
        </w:tc>
        <w:tc>
          <w:tcPr>
            <w:tcW w:w="7562" w:type="dxa"/>
            <w:gridSpan w:val="2"/>
            <w:tcBorders>
              <w:right w:val="nil"/>
            </w:tcBorders>
            <w:vAlign w:val="top"/>
          </w:tcPr>
          <w:p w14:paraId="0C2EDCC2">
            <w:pPr>
              <w:pStyle w:val="6"/>
              <w:spacing w:before="45" w:line="225" w:lineRule="auto"/>
              <w:ind w:left="6" w:right="92"/>
              <w:rPr>
                <w:sz w:val="20"/>
                <w:szCs w:val="20"/>
              </w:rPr>
            </w:pPr>
            <w:r>
              <w:rPr>
                <w:spacing w:val="7"/>
                <w:sz w:val="20"/>
                <w:szCs w:val="20"/>
              </w:rPr>
              <w:t xml:space="preserve">本项目生产、生活用水均由园区集中供给，包括生活消防系统、生产给水系统、循 </w:t>
            </w:r>
            <w:r>
              <w:rPr>
                <w:spacing w:val="8"/>
                <w:sz w:val="20"/>
                <w:szCs w:val="20"/>
              </w:rPr>
              <w:t>环水系统、脱盐水站等。</w:t>
            </w:r>
          </w:p>
        </w:tc>
      </w:tr>
      <w:tr w14:paraId="1C4828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1" w:hRule="atLeast"/>
        </w:trPr>
        <w:tc>
          <w:tcPr>
            <w:tcW w:w="611" w:type="dxa"/>
            <w:vMerge w:val="continue"/>
            <w:tcBorders>
              <w:top w:val="nil"/>
              <w:left w:val="nil"/>
              <w:bottom w:val="nil"/>
            </w:tcBorders>
            <w:vAlign w:val="top"/>
          </w:tcPr>
          <w:p w14:paraId="4EF4550D">
            <w:pPr>
              <w:rPr>
                <w:rFonts w:ascii="Arial"/>
                <w:sz w:val="21"/>
              </w:rPr>
            </w:pPr>
          </w:p>
        </w:tc>
        <w:tc>
          <w:tcPr>
            <w:tcW w:w="988" w:type="dxa"/>
            <w:vAlign w:val="top"/>
          </w:tcPr>
          <w:p w14:paraId="288D0EE4">
            <w:pPr>
              <w:spacing w:line="329" w:lineRule="auto"/>
              <w:rPr>
                <w:rFonts w:ascii="Arial"/>
                <w:sz w:val="21"/>
              </w:rPr>
            </w:pPr>
          </w:p>
          <w:p w14:paraId="415EADB9">
            <w:pPr>
              <w:spacing w:line="330" w:lineRule="auto"/>
              <w:rPr>
                <w:rFonts w:ascii="Arial"/>
                <w:sz w:val="21"/>
              </w:rPr>
            </w:pPr>
          </w:p>
          <w:p w14:paraId="37FE84A9">
            <w:pPr>
              <w:pStyle w:val="6"/>
              <w:spacing w:before="65" w:line="228" w:lineRule="auto"/>
              <w:ind w:left="288"/>
              <w:rPr>
                <w:sz w:val="20"/>
                <w:szCs w:val="20"/>
              </w:rPr>
            </w:pPr>
            <w:r>
              <w:rPr>
                <w:spacing w:val="4"/>
                <w:sz w:val="20"/>
                <w:szCs w:val="20"/>
              </w:rPr>
              <w:t>排水</w:t>
            </w:r>
          </w:p>
        </w:tc>
        <w:tc>
          <w:tcPr>
            <w:tcW w:w="7562" w:type="dxa"/>
            <w:gridSpan w:val="2"/>
            <w:tcBorders>
              <w:right w:val="nil"/>
            </w:tcBorders>
            <w:vAlign w:val="top"/>
          </w:tcPr>
          <w:p w14:paraId="5F05E783">
            <w:pPr>
              <w:pStyle w:val="6"/>
              <w:spacing w:before="48" w:line="242" w:lineRule="auto"/>
              <w:ind w:left="6" w:right="92"/>
              <w:jc w:val="both"/>
              <w:rPr>
                <w:sz w:val="20"/>
                <w:szCs w:val="20"/>
              </w:rPr>
            </w:pPr>
            <w:r>
              <w:rPr>
                <w:spacing w:val="7"/>
                <w:sz w:val="20"/>
                <w:szCs w:val="20"/>
              </w:rPr>
              <w:t>本项目生活污水、化验室废水经地埋式一体化污水处理设施处理后，由罐车运至苏</w:t>
            </w:r>
            <w:r>
              <w:rPr>
                <w:spacing w:val="6"/>
                <w:sz w:val="20"/>
                <w:szCs w:val="20"/>
              </w:rPr>
              <w:t xml:space="preserve"> </w:t>
            </w:r>
            <w:r>
              <w:rPr>
                <w:spacing w:val="7"/>
                <w:sz w:val="20"/>
                <w:szCs w:val="20"/>
              </w:rPr>
              <w:t xml:space="preserve">尼特右旗赛汉塔拉镇污水处理厂进一步处理；脱硫废水采用三联箱工艺处理后补充 到浊循环水系统中；过滤水循环使用；煤气冷凝废水采用隔油池进行隔油处理，出 水用作电炉开堵眼机堵塞泥制作用水；化水车间排污、燃气锅炉排污、辅机冷却循 环水站排污、循环水系统排污及软水制备排污全部作为浊循环水系统补充水，均不 </w:t>
            </w:r>
            <w:r>
              <w:rPr>
                <w:spacing w:val="3"/>
                <w:sz w:val="20"/>
                <w:szCs w:val="20"/>
              </w:rPr>
              <w:t>外排。</w:t>
            </w:r>
          </w:p>
        </w:tc>
      </w:tr>
      <w:tr w14:paraId="401F3D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6" w:hRule="atLeast"/>
        </w:trPr>
        <w:tc>
          <w:tcPr>
            <w:tcW w:w="611" w:type="dxa"/>
            <w:vMerge w:val="continue"/>
            <w:tcBorders>
              <w:top w:val="nil"/>
              <w:left w:val="nil"/>
              <w:bottom w:val="nil"/>
            </w:tcBorders>
            <w:vAlign w:val="top"/>
          </w:tcPr>
          <w:p w14:paraId="361B6456">
            <w:pPr>
              <w:rPr>
                <w:rFonts w:ascii="Arial"/>
                <w:sz w:val="21"/>
              </w:rPr>
            </w:pPr>
          </w:p>
        </w:tc>
        <w:tc>
          <w:tcPr>
            <w:tcW w:w="988" w:type="dxa"/>
            <w:vAlign w:val="top"/>
          </w:tcPr>
          <w:p w14:paraId="5C221287">
            <w:pPr>
              <w:spacing w:line="254" w:lineRule="auto"/>
              <w:rPr>
                <w:rFonts w:ascii="Arial"/>
                <w:sz w:val="21"/>
              </w:rPr>
            </w:pPr>
          </w:p>
          <w:p w14:paraId="09048291">
            <w:pPr>
              <w:pStyle w:val="6"/>
              <w:spacing w:before="65" w:line="227" w:lineRule="auto"/>
              <w:ind w:left="288"/>
              <w:rPr>
                <w:sz w:val="20"/>
                <w:szCs w:val="20"/>
              </w:rPr>
            </w:pPr>
            <w:r>
              <w:rPr>
                <w:spacing w:val="4"/>
                <w:sz w:val="20"/>
                <w:szCs w:val="20"/>
              </w:rPr>
              <w:t>供热</w:t>
            </w:r>
          </w:p>
        </w:tc>
        <w:tc>
          <w:tcPr>
            <w:tcW w:w="7562" w:type="dxa"/>
            <w:gridSpan w:val="2"/>
            <w:tcBorders>
              <w:right w:val="nil"/>
            </w:tcBorders>
            <w:vAlign w:val="top"/>
          </w:tcPr>
          <w:p w14:paraId="01882FA4">
            <w:pPr>
              <w:pStyle w:val="6"/>
              <w:spacing w:before="49" w:line="238" w:lineRule="auto"/>
              <w:ind w:left="6" w:right="92"/>
              <w:rPr>
                <w:sz w:val="20"/>
                <w:szCs w:val="20"/>
              </w:rPr>
            </w:pPr>
            <w:r>
              <w:rPr>
                <w:spacing w:val="7"/>
                <w:sz w:val="20"/>
                <w:szCs w:val="20"/>
              </w:rPr>
              <w:t>利用电炉及煤气冷却循环水余热作为热源，电炉及煤气冷却循环水作为采暖用水供</w:t>
            </w:r>
            <w:r>
              <w:rPr>
                <w:spacing w:val="6"/>
                <w:sz w:val="20"/>
                <w:szCs w:val="20"/>
              </w:rPr>
              <w:t xml:space="preserve"> </w:t>
            </w:r>
            <w:r>
              <w:rPr>
                <w:spacing w:val="9"/>
                <w:sz w:val="20"/>
                <w:szCs w:val="20"/>
              </w:rPr>
              <w:t>应办公生活区采暖系统，回水返回设备冷却循环水站，冷却水回水温度</w:t>
            </w:r>
            <w:r>
              <w:rPr>
                <w:spacing w:val="8"/>
                <w:sz w:val="20"/>
                <w:szCs w:val="20"/>
              </w:rPr>
              <w:t>为</w:t>
            </w:r>
            <w:r>
              <w:rPr>
                <w:spacing w:val="-36"/>
                <w:sz w:val="20"/>
                <w:szCs w:val="20"/>
              </w:rPr>
              <w:t xml:space="preserve"> </w:t>
            </w:r>
            <w:r>
              <w:rPr>
                <w:rFonts w:ascii="Times New Roman" w:hAnsi="Times New Roman" w:eastAsia="Times New Roman" w:cs="Times New Roman"/>
                <w:spacing w:val="8"/>
                <w:sz w:val="20"/>
                <w:szCs w:val="20"/>
              </w:rPr>
              <w:t>60℃</w:t>
            </w:r>
            <w:r>
              <w:rPr>
                <w:rFonts w:ascii="Times New Roman" w:hAnsi="Times New Roman" w:eastAsia="Times New Roman" w:cs="Times New Roman"/>
                <w:spacing w:val="-25"/>
                <w:sz w:val="20"/>
                <w:szCs w:val="20"/>
              </w:rPr>
              <w:t xml:space="preserve"> </w:t>
            </w:r>
            <w:r>
              <w:rPr>
                <w:spacing w:val="8"/>
                <w:sz w:val="20"/>
                <w:szCs w:val="20"/>
              </w:rPr>
              <w:t>,</w:t>
            </w:r>
          </w:p>
          <w:p w14:paraId="6237A8D9">
            <w:pPr>
              <w:pStyle w:val="6"/>
              <w:spacing w:before="30" w:line="195" w:lineRule="auto"/>
              <w:ind w:left="8"/>
              <w:rPr>
                <w:sz w:val="20"/>
                <w:szCs w:val="20"/>
              </w:rPr>
            </w:pPr>
            <w:r>
              <w:rPr>
                <w:spacing w:val="3"/>
                <w:sz w:val="20"/>
                <w:szCs w:val="20"/>
              </w:rPr>
              <w:t>换热后温度为</w:t>
            </w:r>
            <w:r>
              <w:rPr>
                <w:spacing w:val="-31"/>
                <w:sz w:val="20"/>
                <w:szCs w:val="20"/>
              </w:rPr>
              <w:t xml:space="preserve"> </w:t>
            </w:r>
            <w:r>
              <w:rPr>
                <w:rFonts w:ascii="Times New Roman" w:hAnsi="Times New Roman" w:eastAsia="Times New Roman" w:cs="Times New Roman"/>
                <w:spacing w:val="3"/>
                <w:sz w:val="20"/>
                <w:szCs w:val="20"/>
              </w:rPr>
              <w:t>45℃</w:t>
            </w:r>
            <w:r>
              <w:rPr>
                <w:rFonts w:ascii="Times New Roman" w:hAnsi="Times New Roman" w:eastAsia="Times New Roman" w:cs="Times New Roman"/>
                <w:spacing w:val="-25"/>
                <w:sz w:val="20"/>
                <w:szCs w:val="20"/>
              </w:rPr>
              <w:t xml:space="preserve"> </w:t>
            </w:r>
            <w:r>
              <w:rPr>
                <w:spacing w:val="3"/>
                <w:sz w:val="20"/>
                <w:szCs w:val="20"/>
              </w:rPr>
              <w:t>,</w:t>
            </w:r>
            <w:r>
              <w:rPr>
                <w:spacing w:val="59"/>
                <w:sz w:val="20"/>
                <w:szCs w:val="20"/>
              </w:rPr>
              <w:t xml:space="preserve"> </w:t>
            </w:r>
            <w:r>
              <w:rPr>
                <w:spacing w:val="3"/>
                <w:sz w:val="20"/>
                <w:szCs w:val="20"/>
              </w:rPr>
              <w:t>满足厂区采暖需求。</w:t>
            </w:r>
          </w:p>
        </w:tc>
      </w:tr>
      <w:tr w14:paraId="28EA96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60" w:hRule="atLeast"/>
        </w:trPr>
        <w:tc>
          <w:tcPr>
            <w:tcW w:w="611" w:type="dxa"/>
            <w:vMerge w:val="continue"/>
            <w:tcBorders>
              <w:top w:val="nil"/>
              <w:left w:val="nil"/>
            </w:tcBorders>
            <w:vAlign w:val="top"/>
          </w:tcPr>
          <w:p w14:paraId="2F5D540D">
            <w:pPr>
              <w:rPr>
                <w:rFonts w:ascii="Arial"/>
                <w:sz w:val="21"/>
              </w:rPr>
            </w:pPr>
          </w:p>
        </w:tc>
        <w:tc>
          <w:tcPr>
            <w:tcW w:w="988" w:type="dxa"/>
            <w:vAlign w:val="top"/>
          </w:tcPr>
          <w:p w14:paraId="20DC8727">
            <w:pPr>
              <w:spacing w:line="263" w:lineRule="auto"/>
              <w:rPr>
                <w:rFonts w:ascii="Arial"/>
                <w:sz w:val="21"/>
              </w:rPr>
            </w:pPr>
          </w:p>
          <w:p w14:paraId="03E74C6B">
            <w:pPr>
              <w:spacing w:line="263" w:lineRule="auto"/>
              <w:rPr>
                <w:rFonts w:ascii="Arial"/>
                <w:sz w:val="21"/>
              </w:rPr>
            </w:pPr>
          </w:p>
          <w:p w14:paraId="4B5EEB02">
            <w:pPr>
              <w:pStyle w:val="6"/>
              <w:spacing w:before="65" w:line="227" w:lineRule="auto"/>
              <w:ind w:left="288"/>
              <w:rPr>
                <w:sz w:val="20"/>
                <w:szCs w:val="20"/>
              </w:rPr>
            </w:pPr>
            <w:r>
              <w:rPr>
                <w:spacing w:val="4"/>
                <w:sz w:val="20"/>
                <w:szCs w:val="20"/>
              </w:rPr>
              <w:t>供电</w:t>
            </w:r>
          </w:p>
        </w:tc>
        <w:tc>
          <w:tcPr>
            <w:tcW w:w="7562" w:type="dxa"/>
            <w:gridSpan w:val="2"/>
            <w:tcBorders>
              <w:right w:val="nil"/>
            </w:tcBorders>
            <w:vAlign w:val="top"/>
          </w:tcPr>
          <w:p w14:paraId="449A65D3">
            <w:pPr>
              <w:pStyle w:val="6"/>
              <w:spacing w:before="50"/>
              <w:ind w:left="7" w:right="90" w:firstLine="24"/>
              <w:jc w:val="both"/>
              <w:rPr>
                <w:sz w:val="20"/>
                <w:szCs w:val="20"/>
              </w:rPr>
            </w:pPr>
            <w:r>
              <w:rPr>
                <w:spacing w:val="10"/>
                <w:sz w:val="20"/>
                <w:szCs w:val="20"/>
              </w:rPr>
              <w:t>由内蒙古锡林郭勒苏尼特经济开发区朱日和产业园内</w:t>
            </w:r>
            <w:r>
              <w:rPr>
                <w:rFonts w:ascii="Times New Roman" w:hAnsi="Times New Roman" w:eastAsia="Times New Roman" w:cs="Times New Roman"/>
                <w:spacing w:val="10"/>
                <w:sz w:val="20"/>
                <w:szCs w:val="20"/>
              </w:rPr>
              <w:t>220</w:t>
            </w:r>
            <w:r>
              <w:rPr>
                <w:rFonts w:ascii="Times New Roman" w:hAnsi="Times New Roman" w:eastAsia="Times New Roman" w:cs="Times New Roman"/>
                <w:sz w:val="20"/>
                <w:szCs w:val="20"/>
              </w:rPr>
              <w:t>KV</w:t>
            </w:r>
            <w:r>
              <w:rPr>
                <w:rFonts w:ascii="Times New Roman" w:hAnsi="Times New Roman" w:eastAsia="Times New Roman" w:cs="Times New Roman"/>
                <w:spacing w:val="10"/>
                <w:sz w:val="20"/>
                <w:szCs w:val="20"/>
              </w:rPr>
              <w:t xml:space="preserve"> </w:t>
            </w:r>
            <w:r>
              <w:rPr>
                <w:spacing w:val="10"/>
                <w:sz w:val="20"/>
                <w:szCs w:val="20"/>
              </w:rPr>
              <w:t>变电站供给，采用双</w:t>
            </w:r>
            <w:r>
              <w:rPr>
                <w:spacing w:val="9"/>
                <w:sz w:val="20"/>
                <w:szCs w:val="20"/>
              </w:rPr>
              <w:t xml:space="preserve"> </w:t>
            </w:r>
            <w:r>
              <w:rPr>
                <w:spacing w:val="-2"/>
                <w:sz w:val="20"/>
                <w:szCs w:val="20"/>
              </w:rPr>
              <w:t>回路</w:t>
            </w:r>
            <w:r>
              <w:rPr>
                <w:spacing w:val="-20"/>
                <w:sz w:val="20"/>
                <w:szCs w:val="20"/>
              </w:rPr>
              <w:t xml:space="preserve"> </w:t>
            </w:r>
            <w:r>
              <w:rPr>
                <w:rFonts w:ascii="Times New Roman" w:hAnsi="Times New Roman" w:eastAsia="Times New Roman" w:cs="Times New Roman"/>
                <w:spacing w:val="-2"/>
                <w:sz w:val="20"/>
                <w:szCs w:val="20"/>
              </w:rPr>
              <w:t xml:space="preserve">110kV </w:t>
            </w:r>
            <w:r>
              <w:rPr>
                <w:spacing w:val="-2"/>
                <w:sz w:val="20"/>
                <w:szCs w:val="20"/>
              </w:rPr>
              <w:t>供电，接入厂区</w:t>
            </w:r>
            <w:r>
              <w:rPr>
                <w:spacing w:val="-33"/>
                <w:sz w:val="20"/>
                <w:szCs w:val="20"/>
              </w:rPr>
              <w:t xml:space="preserve"> </w:t>
            </w:r>
            <w:r>
              <w:rPr>
                <w:rFonts w:ascii="Times New Roman" w:hAnsi="Times New Roman" w:eastAsia="Times New Roman" w:cs="Times New Roman"/>
                <w:spacing w:val="-2"/>
                <w:sz w:val="20"/>
                <w:szCs w:val="20"/>
              </w:rPr>
              <w:t xml:space="preserve">110kV </w:t>
            </w:r>
            <w:r>
              <w:rPr>
                <w:spacing w:val="-2"/>
                <w:sz w:val="20"/>
                <w:szCs w:val="20"/>
              </w:rPr>
              <w:t>变电站。煤气发电机组出口电压</w:t>
            </w:r>
            <w:r>
              <w:rPr>
                <w:spacing w:val="-32"/>
                <w:sz w:val="20"/>
                <w:szCs w:val="20"/>
              </w:rPr>
              <w:t xml:space="preserve"> </w:t>
            </w:r>
            <w:r>
              <w:rPr>
                <w:rFonts w:ascii="Times New Roman" w:hAnsi="Times New Roman" w:eastAsia="Times New Roman" w:cs="Times New Roman"/>
                <w:spacing w:val="-2"/>
                <w:sz w:val="20"/>
                <w:szCs w:val="20"/>
              </w:rPr>
              <w:t>10.5kV</w:t>
            </w:r>
            <w:r>
              <w:rPr>
                <w:spacing w:val="-2"/>
                <w:sz w:val="20"/>
                <w:szCs w:val="20"/>
              </w:rPr>
              <w:t>，经</w:t>
            </w:r>
            <w:r>
              <w:rPr>
                <w:spacing w:val="-33"/>
                <w:sz w:val="20"/>
                <w:szCs w:val="20"/>
              </w:rPr>
              <w:t xml:space="preserve"> </w:t>
            </w:r>
            <w:r>
              <w:rPr>
                <w:rFonts w:ascii="Times New Roman" w:hAnsi="Times New Roman" w:eastAsia="Times New Roman" w:cs="Times New Roman"/>
                <w:spacing w:val="-2"/>
                <w:sz w:val="20"/>
                <w:szCs w:val="20"/>
              </w:rPr>
              <w:t>10KV</w:t>
            </w:r>
            <w:r>
              <w:rPr>
                <w:rFonts w:ascii="Times New Roman" w:hAnsi="Times New Roman" w:eastAsia="Times New Roman" w:cs="Times New Roman"/>
                <w:sz w:val="20"/>
                <w:szCs w:val="20"/>
              </w:rPr>
              <w:t xml:space="preserve"> </w:t>
            </w:r>
            <w:r>
              <w:rPr>
                <w:spacing w:val="7"/>
                <w:sz w:val="20"/>
                <w:szCs w:val="20"/>
              </w:rPr>
              <w:t>出线柜输出经升压变压器升压至</w:t>
            </w:r>
            <w:r>
              <w:rPr>
                <w:spacing w:val="-21"/>
                <w:sz w:val="20"/>
                <w:szCs w:val="20"/>
              </w:rPr>
              <w:t xml:space="preserve"> </w:t>
            </w:r>
            <w:r>
              <w:rPr>
                <w:rFonts w:ascii="Times New Roman" w:hAnsi="Times New Roman" w:eastAsia="Times New Roman" w:cs="Times New Roman"/>
                <w:spacing w:val="7"/>
                <w:sz w:val="20"/>
                <w:szCs w:val="20"/>
              </w:rPr>
              <w:t>110</w:t>
            </w:r>
            <w:r>
              <w:rPr>
                <w:rFonts w:ascii="Times New Roman" w:hAnsi="Times New Roman" w:eastAsia="Times New Roman" w:cs="Times New Roman"/>
                <w:sz w:val="20"/>
                <w:szCs w:val="20"/>
              </w:rPr>
              <w:t>kV</w:t>
            </w:r>
            <w:r>
              <w:rPr>
                <w:rFonts w:ascii="Times New Roman" w:hAnsi="Times New Roman" w:eastAsia="Times New Roman" w:cs="Times New Roman"/>
                <w:spacing w:val="7"/>
                <w:sz w:val="20"/>
                <w:szCs w:val="20"/>
              </w:rPr>
              <w:t xml:space="preserve"> </w:t>
            </w:r>
            <w:r>
              <w:rPr>
                <w:spacing w:val="7"/>
                <w:sz w:val="20"/>
                <w:szCs w:val="20"/>
              </w:rPr>
              <w:t>后，</w:t>
            </w:r>
            <w:r>
              <w:rPr>
                <w:spacing w:val="-59"/>
                <w:sz w:val="20"/>
                <w:szCs w:val="20"/>
              </w:rPr>
              <w:t xml:space="preserve"> </w:t>
            </w:r>
            <w:r>
              <w:rPr>
                <w:spacing w:val="7"/>
                <w:sz w:val="20"/>
                <w:szCs w:val="20"/>
              </w:rPr>
              <w:t>以二</w:t>
            </w:r>
            <w:r>
              <w:rPr>
                <w:spacing w:val="6"/>
                <w:sz w:val="20"/>
                <w:szCs w:val="20"/>
              </w:rPr>
              <w:t>回路电缆接入厂区内</w:t>
            </w:r>
            <w:r>
              <w:rPr>
                <w:spacing w:val="-21"/>
                <w:sz w:val="20"/>
                <w:szCs w:val="20"/>
              </w:rPr>
              <w:t xml:space="preserve"> </w:t>
            </w:r>
            <w:r>
              <w:rPr>
                <w:rFonts w:ascii="Times New Roman" w:hAnsi="Times New Roman" w:eastAsia="Times New Roman" w:cs="Times New Roman"/>
                <w:spacing w:val="6"/>
                <w:sz w:val="20"/>
                <w:szCs w:val="20"/>
              </w:rPr>
              <w:t>110</w:t>
            </w:r>
            <w:r>
              <w:rPr>
                <w:rFonts w:ascii="Times New Roman" w:hAnsi="Times New Roman" w:eastAsia="Times New Roman" w:cs="Times New Roman"/>
                <w:sz w:val="20"/>
                <w:szCs w:val="20"/>
              </w:rPr>
              <w:t>kV</w:t>
            </w:r>
            <w:r>
              <w:rPr>
                <w:rFonts w:ascii="Times New Roman" w:hAnsi="Times New Roman" w:eastAsia="Times New Roman" w:cs="Times New Roman"/>
                <w:spacing w:val="6"/>
                <w:sz w:val="20"/>
                <w:szCs w:val="20"/>
              </w:rPr>
              <w:t xml:space="preserve"> </w:t>
            </w:r>
            <w:r>
              <w:rPr>
                <w:spacing w:val="6"/>
                <w:sz w:val="20"/>
                <w:szCs w:val="20"/>
              </w:rPr>
              <w:t>开关</w:t>
            </w:r>
            <w:r>
              <w:rPr>
                <w:sz w:val="20"/>
                <w:szCs w:val="20"/>
              </w:rPr>
              <w:t xml:space="preserve"> </w:t>
            </w:r>
            <w:r>
              <w:rPr>
                <w:spacing w:val="9"/>
                <w:sz w:val="20"/>
                <w:szCs w:val="20"/>
              </w:rPr>
              <w:t>站</w:t>
            </w:r>
            <w:r>
              <w:rPr>
                <w:spacing w:val="-20"/>
                <w:sz w:val="20"/>
                <w:szCs w:val="20"/>
              </w:rPr>
              <w:t xml:space="preserve"> </w:t>
            </w:r>
            <w:r>
              <w:rPr>
                <w:rFonts w:ascii="Times New Roman" w:hAnsi="Times New Roman" w:eastAsia="Times New Roman" w:cs="Times New Roman"/>
                <w:spacing w:val="9"/>
                <w:sz w:val="20"/>
                <w:szCs w:val="20"/>
              </w:rPr>
              <w:t>110</w:t>
            </w:r>
            <w:r>
              <w:rPr>
                <w:rFonts w:ascii="Times New Roman" w:hAnsi="Times New Roman" w:eastAsia="Times New Roman" w:cs="Times New Roman"/>
                <w:sz w:val="20"/>
                <w:szCs w:val="20"/>
              </w:rPr>
              <w:t>kV</w:t>
            </w:r>
            <w:r>
              <w:rPr>
                <w:rFonts w:ascii="Times New Roman" w:hAnsi="Times New Roman" w:eastAsia="Times New Roman" w:cs="Times New Roman"/>
                <w:spacing w:val="9"/>
                <w:sz w:val="20"/>
                <w:szCs w:val="20"/>
              </w:rPr>
              <w:t xml:space="preserve"> </w:t>
            </w:r>
            <w:r>
              <w:rPr>
                <w:spacing w:val="9"/>
                <w:sz w:val="20"/>
                <w:szCs w:val="20"/>
              </w:rPr>
              <w:t>侧。本项目发电机组采用并网不上网运行模</w:t>
            </w:r>
            <w:r>
              <w:rPr>
                <w:spacing w:val="8"/>
                <w:sz w:val="20"/>
                <w:szCs w:val="20"/>
              </w:rPr>
              <w:t>式，所发电量全部厂区内部</w:t>
            </w:r>
            <w:r>
              <w:rPr>
                <w:sz w:val="20"/>
                <w:szCs w:val="20"/>
              </w:rPr>
              <w:t xml:space="preserve"> </w:t>
            </w:r>
            <w:r>
              <w:rPr>
                <w:spacing w:val="2"/>
                <w:sz w:val="20"/>
                <w:szCs w:val="20"/>
              </w:rPr>
              <w:t>消耗。</w:t>
            </w:r>
          </w:p>
        </w:tc>
      </w:tr>
      <w:tr w14:paraId="3859DC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6" w:hRule="atLeast"/>
        </w:trPr>
        <w:tc>
          <w:tcPr>
            <w:tcW w:w="611" w:type="dxa"/>
            <w:vMerge w:val="restart"/>
            <w:tcBorders>
              <w:left w:val="nil"/>
              <w:bottom w:val="nil"/>
            </w:tcBorders>
            <w:vAlign w:val="top"/>
          </w:tcPr>
          <w:p w14:paraId="532B9D13">
            <w:pPr>
              <w:spacing w:line="260" w:lineRule="auto"/>
              <w:rPr>
                <w:rFonts w:ascii="Arial"/>
                <w:sz w:val="21"/>
              </w:rPr>
            </w:pPr>
          </w:p>
          <w:p w14:paraId="05E0A831">
            <w:pPr>
              <w:pStyle w:val="6"/>
              <w:spacing w:before="65"/>
              <w:ind w:left="105" w:right="95" w:hanging="2"/>
              <w:rPr>
                <w:sz w:val="20"/>
                <w:szCs w:val="20"/>
              </w:rPr>
            </w:pPr>
            <w:r>
              <w:rPr>
                <w:spacing w:val="4"/>
                <w:sz w:val="20"/>
                <w:szCs w:val="20"/>
              </w:rPr>
              <w:t>环保</w:t>
            </w:r>
            <w:r>
              <w:rPr>
                <w:sz w:val="20"/>
                <w:szCs w:val="20"/>
              </w:rPr>
              <w:t xml:space="preserve"> </w:t>
            </w:r>
            <w:r>
              <w:rPr>
                <w:spacing w:val="3"/>
                <w:sz w:val="20"/>
                <w:szCs w:val="20"/>
              </w:rPr>
              <w:t>工程</w:t>
            </w:r>
          </w:p>
        </w:tc>
        <w:tc>
          <w:tcPr>
            <w:tcW w:w="988" w:type="dxa"/>
            <w:vMerge w:val="restart"/>
            <w:tcBorders>
              <w:bottom w:val="nil"/>
            </w:tcBorders>
            <w:vAlign w:val="top"/>
          </w:tcPr>
          <w:p w14:paraId="0A300A12">
            <w:pPr>
              <w:spacing w:line="396" w:lineRule="auto"/>
              <w:rPr>
                <w:rFonts w:ascii="Arial"/>
                <w:sz w:val="21"/>
              </w:rPr>
            </w:pPr>
          </w:p>
          <w:p w14:paraId="45C79C95">
            <w:pPr>
              <w:pStyle w:val="6"/>
              <w:spacing w:before="65" w:line="228" w:lineRule="auto"/>
              <w:ind w:left="287"/>
              <w:rPr>
                <w:sz w:val="20"/>
                <w:szCs w:val="20"/>
              </w:rPr>
            </w:pPr>
            <w:r>
              <w:rPr>
                <w:spacing w:val="5"/>
                <w:sz w:val="20"/>
                <w:szCs w:val="20"/>
              </w:rPr>
              <w:t>废气</w:t>
            </w:r>
          </w:p>
        </w:tc>
        <w:tc>
          <w:tcPr>
            <w:tcW w:w="1281" w:type="dxa"/>
            <w:vAlign w:val="top"/>
          </w:tcPr>
          <w:p w14:paraId="212F7C00">
            <w:pPr>
              <w:pStyle w:val="6"/>
              <w:spacing w:before="52" w:line="228" w:lineRule="auto"/>
              <w:ind w:left="16"/>
              <w:rPr>
                <w:sz w:val="20"/>
                <w:szCs w:val="20"/>
              </w:rPr>
            </w:pPr>
            <w:r>
              <w:rPr>
                <w:spacing w:val="6"/>
                <w:sz w:val="20"/>
                <w:szCs w:val="20"/>
              </w:rPr>
              <w:t>配料、破碎、</w:t>
            </w:r>
          </w:p>
          <w:p w14:paraId="240571CF">
            <w:pPr>
              <w:pStyle w:val="6"/>
              <w:spacing w:before="27" w:line="221" w:lineRule="auto"/>
              <w:ind w:left="434" w:right="10" w:hanging="417"/>
              <w:rPr>
                <w:sz w:val="20"/>
                <w:szCs w:val="20"/>
              </w:rPr>
            </w:pPr>
            <w:r>
              <w:rPr>
                <w:spacing w:val="7"/>
                <w:sz w:val="20"/>
                <w:szCs w:val="20"/>
              </w:rPr>
              <w:t>筛分及上料等</w:t>
            </w:r>
            <w:r>
              <w:rPr>
                <w:spacing w:val="4"/>
                <w:sz w:val="20"/>
                <w:szCs w:val="20"/>
              </w:rPr>
              <w:t xml:space="preserve"> </w:t>
            </w:r>
            <w:r>
              <w:rPr>
                <w:spacing w:val="5"/>
                <w:sz w:val="20"/>
                <w:szCs w:val="20"/>
              </w:rPr>
              <w:t>粉尘</w:t>
            </w:r>
          </w:p>
        </w:tc>
        <w:tc>
          <w:tcPr>
            <w:tcW w:w="6281" w:type="dxa"/>
            <w:tcBorders>
              <w:right w:val="nil"/>
            </w:tcBorders>
            <w:vAlign w:val="top"/>
          </w:tcPr>
          <w:p w14:paraId="4DD9E6F6">
            <w:pPr>
              <w:pStyle w:val="6"/>
              <w:spacing w:before="52" w:line="232" w:lineRule="auto"/>
              <w:ind w:left="7" w:right="190" w:firstLine="24"/>
              <w:jc w:val="both"/>
              <w:rPr>
                <w:sz w:val="20"/>
                <w:szCs w:val="20"/>
              </w:rPr>
            </w:pPr>
            <w:r>
              <w:rPr>
                <w:spacing w:val="9"/>
                <w:sz w:val="20"/>
                <w:szCs w:val="20"/>
              </w:rPr>
              <w:t>电炉生产区分别在配料、破碎、筛分及上料等产尘处</w:t>
            </w:r>
            <w:r>
              <w:rPr>
                <w:spacing w:val="8"/>
                <w:sz w:val="20"/>
                <w:szCs w:val="20"/>
              </w:rPr>
              <w:t>配置集气罩收</w:t>
            </w:r>
            <w:r>
              <w:rPr>
                <w:sz w:val="20"/>
                <w:szCs w:val="20"/>
              </w:rPr>
              <w:t xml:space="preserve"> </w:t>
            </w:r>
            <w:r>
              <w:rPr>
                <w:spacing w:val="9"/>
                <w:sz w:val="20"/>
                <w:szCs w:val="20"/>
              </w:rPr>
              <w:t>集粉尘后由布袋除尘器进行处理，并对上料皮带进行全封闭，落料</w:t>
            </w:r>
            <w:r>
              <w:rPr>
                <w:spacing w:val="18"/>
                <w:sz w:val="20"/>
                <w:szCs w:val="20"/>
              </w:rPr>
              <w:t xml:space="preserve"> </w:t>
            </w:r>
            <w:r>
              <w:rPr>
                <w:spacing w:val="8"/>
                <w:sz w:val="20"/>
                <w:szCs w:val="20"/>
              </w:rPr>
              <w:t>点、转载点实现散点收尘，全厂共配置</w:t>
            </w:r>
            <w:r>
              <w:rPr>
                <w:spacing w:val="-39"/>
                <w:sz w:val="20"/>
                <w:szCs w:val="20"/>
              </w:rPr>
              <w:t xml:space="preserve"> </w:t>
            </w:r>
            <w:r>
              <w:rPr>
                <w:rFonts w:ascii="Times New Roman" w:hAnsi="Times New Roman" w:eastAsia="Times New Roman" w:cs="Times New Roman"/>
                <w:spacing w:val="8"/>
                <w:sz w:val="20"/>
                <w:szCs w:val="20"/>
              </w:rPr>
              <w:t xml:space="preserve">6 </w:t>
            </w:r>
            <w:r>
              <w:rPr>
                <w:spacing w:val="8"/>
                <w:sz w:val="20"/>
                <w:szCs w:val="20"/>
              </w:rPr>
              <w:t>套。</w:t>
            </w:r>
          </w:p>
        </w:tc>
      </w:tr>
      <w:tr w14:paraId="0230BF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6" w:hRule="atLeast"/>
        </w:trPr>
        <w:tc>
          <w:tcPr>
            <w:tcW w:w="611" w:type="dxa"/>
            <w:vMerge w:val="continue"/>
            <w:tcBorders>
              <w:top w:val="nil"/>
              <w:left w:val="nil"/>
              <w:bottom w:val="single" w:color="000000" w:sz="10" w:space="0"/>
            </w:tcBorders>
            <w:vAlign w:val="top"/>
          </w:tcPr>
          <w:p w14:paraId="6F644900">
            <w:pPr>
              <w:rPr>
                <w:rFonts w:ascii="Arial"/>
                <w:sz w:val="21"/>
              </w:rPr>
            </w:pPr>
          </w:p>
        </w:tc>
        <w:tc>
          <w:tcPr>
            <w:tcW w:w="988" w:type="dxa"/>
            <w:vMerge w:val="continue"/>
            <w:tcBorders>
              <w:top w:val="nil"/>
              <w:bottom w:val="single" w:color="000000" w:sz="10" w:space="0"/>
            </w:tcBorders>
            <w:vAlign w:val="top"/>
          </w:tcPr>
          <w:p w14:paraId="7F003CBC">
            <w:pPr>
              <w:rPr>
                <w:rFonts w:ascii="Arial"/>
                <w:sz w:val="21"/>
              </w:rPr>
            </w:pPr>
          </w:p>
        </w:tc>
        <w:tc>
          <w:tcPr>
            <w:tcW w:w="1281" w:type="dxa"/>
            <w:tcBorders>
              <w:bottom w:val="single" w:color="000000" w:sz="10" w:space="0"/>
            </w:tcBorders>
            <w:vAlign w:val="top"/>
          </w:tcPr>
          <w:p w14:paraId="3838629C">
            <w:pPr>
              <w:pStyle w:val="6"/>
              <w:spacing w:before="55" w:line="213" w:lineRule="auto"/>
              <w:ind w:left="15"/>
              <w:rPr>
                <w:sz w:val="20"/>
                <w:szCs w:val="20"/>
              </w:rPr>
            </w:pPr>
            <w:r>
              <w:rPr>
                <w:spacing w:val="8"/>
                <w:sz w:val="20"/>
                <w:szCs w:val="20"/>
              </w:rPr>
              <w:t>烧结机机头废</w:t>
            </w:r>
          </w:p>
        </w:tc>
        <w:tc>
          <w:tcPr>
            <w:tcW w:w="6281" w:type="dxa"/>
            <w:tcBorders>
              <w:bottom w:val="single" w:color="000000" w:sz="10" w:space="0"/>
              <w:right w:val="nil"/>
            </w:tcBorders>
            <w:vAlign w:val="top"/>
          </w:tcPr>
          <w:p w14:paraId="788B0023">
            <w:pPr>
              <w:pStyle w:val="6"/>
              <w:spacing w:before="55" w:line="213" w:lineRule="auto"/>
              <w:ind w:left="6"/>
              <w:rPr>
                <w:sz w:val="20"/>
                <w:szCs w:val="20"/>
              </w:rPr>
            </w:pPr>
            <w:r>
              <w:rPr>
                <w:spacing w:val="7"/>
                <w:sz w:val="20"/>
                <w:szCs w:val="20"/>
              </w:rPr>
              <w:t>采用旋风</w:t>
            </w:r>
            <w:r>
              <w:rPr>
                <w:rFonts w:ascii="Times New Roman" w:hAnsi="Times New Roman" w:eastAsia="Times New Roman" w:cs="Times New Roman"/>
                <w:spacing w:val="7"/>
                <w:sz w:val="20"/>
                <w:szCs w:val="20"/>
              </w:rPr>
              <w:t>+</w:t>
            </w:r>
            <w:r>
              <w:rPr>
                <w:spacing w:val="7"/>
                <w:sz w:val="20"/>
                <w:szCs w:val="20"/>
              </w:rPr>
              <w:t>布袋除尘器</w:t>
            </w:r>
            <w:r>
              <w:rPr>
                <w:rFonts w:ascii="Times New Roman" w:hAnsi="Times New Roman" w:eastAsia="Times New Roman" w:cs="Times New Roman"/>
                <w:spacing w:val="7"/>
                <w:sz w:val="20"/>
                <w:szCs w:val="20"/>
              </w:rPr>
              <w:t>+</w:t>
            </w:r>
            <w:r>
              <w:rPr>
                <w:spacing w:val="7"/>
                <w:sz w:val="20"/>
                <w:szCs w:val="20"/>
              </w:rPr>
              <w:t>石灰石</w:t>
            </w:r>
            <w:r>
              <w:rPr>
                <w:rFonts w:ascii="Times New Roman" w:hAnsi="Times New Roman" w:eastAsia="Times New Roman" w:cs="Times New Roman"/>
                <w:spacing w:val="7"/>
                <w:sz w:val="20"/>
                <w:szCs w:val="20"/>
              </w:rPr>
              <w:t>-</w:t>
            </w:r>
            <w:r>
              <w:rPr>
                <w:spacing w:val="7"/>
                <w:sz w:val="20"/>
                <w:szCs w:val="20"/>
              </w:rPr>
              <w:t>石膏脱硫塔处理，共配置</w:t>
            </w:r>
            <w:r>
              <w:rPr>
                <w:spacing w:val="-5"/>
                <w:sz w:val="20"/>
                <w:szCs w:val="20"/>
              </w:rPr>
              <w:t xml:space="preserve"> </w:t>
            </w:r>
            <w:r>
              <w:rPr>
                <w:rFonts w:ascii="Times New Roman" w:hAnsi="Times New Roman" w:eastAsia="Times New Roman" w:cs="Times New Roman"/>
                <w:spacing w:val="7"/>
                <w:sz w:val="20"/>
                <w:szCs w:val="20"/>
              </w:rPr>
              <w:t xml:space="preserve">1 </w:t>
            </w:r>
            <w:r>
              <w:rPr>
                <w:spacing w:val="7"/>
                <w:sz w:val="20"/>
                <w:szCs w:val="20"/>
              </w:rPr>
              <w:t>套。</w:t>
            </w:r>
          </w:p>
        </w:tc>
      </w:tr>
    </w:tbl>
    <w:p w14:paraId="7B4A5337">
      <w:pPr>
        <w:pStyle w:val="2"/>
      </w:pPr>
    </w:p>
    <w:p w14:paraId="6E80A9B8">
      <w:pPr>
        <w:sectPr>
          <w:headerReference r:id="rId91" w:type="default"/>
          <w:footerReference r:id="rId92" w:type="default"/>
          <w:pgSz w:w="11906" w:h="16839"/>
          <w:pgMar w:top="1235" w:right="1327" w:bottom="1070" w:left="1417" w:header="925" w:footer="907" w:gutter="0"/>
          <w:cols w:space="720" w:num="1"/>
        </w:sectPr>
      </w:pPr>
    </w:p>
    <w:p w14:paraId="2299E9A8">
      <w:pPr>
        <w:spacing w:line="182" w:lineRule="exact"/>
      </w:pPr>
      <w:r>
        <w:pict>
          <v:shape id="_x0000_s1142" o:spid="_x0000_s1142" style="position:absolute;left:0pt;margin-left:70.85pt;margin-top:62.5pt;height:0.75pt;width:453.65pt;mso-position-horizontal-relative:page;mso-position-vertical-relative:page;z-index:251772928;mso-width-relative:page;mso-height-relative:page;" fillcolor="#000000" filled="t" stroked="f" coordsize="9072,15" o:allowincell="f" path="m0,0l9072,0,9072,14,0,14,0,0xe">
            <v:path/>
            <v:fill on="t" focussize="0,0"/>
            <v:stroke on="f"/>
            <v:imagedata o:title=""/>
            <o:lock v:ext="edit"/>
          </v:shape>
        </w:pict>
      </w:r>
    </w:p>
    <w:tbl>
      <w:tblPr>
        <w:tblStyle w:val="5"/>
        <w:tblW w:w="916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11"/>
        <w:gridCol w:w="988"/>
        <w:gridCol w:w="1281"/>
        <w:gridCol w:w="6281"/>
      </w:tblGrid>
      <w:tr w14:paraId="0273D9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611" w:type="dxa"/>
            <w:tcBorders>
              <w:top w:val="single" w:color="000000" w:sz="10" w:space="0"/>
              <w:left w:val="nil"/>
            </w:tcBorders>
            <w:vAlign w:val="top"/>
          </w:tcPr>
          <w:p w14:paraId="36E107C1">
            <w:pPr>
              <w:pStyle w:val="6"/>
              <w:spacing w:before="37" w:line="214" w:lineRule="auto"/>
              <w:ind w:left="100"/>
              <w:rPr>
                <w:sz w:val="20"/>
                <w:szCs w:val="20"/>
              </w:rPr>
            </w:pPr>
            <w:r>
              <w:rPr>
                <w:b/>
                <w:bCs/>
                <w:spacing w:val="3"/>
                <w:sz w:val="20"/>
                <w:szCs w:val="20"/>
              </w:rPr>
              <w:t>类型</w:t>
            </w:r>
          </w:p>
        </w:tc>
        <w:tc>
          <w:tcPr>
            <w:tcW w:w="988" w:type="dxa"/>
            <w:tcBorders>
              <w:top w:val="single" w:color="000000" w:sz="10" w:space="0"/>
            </w:tcBorders>
            <w:vAlign w:val="top"/>
          </w:tcPr>
          <w:p w14:paraId="50829746">
            <w:pPr>
              <w:pStyle w:val="6"/>
              <w:spacing w:before="37" w:line="214" w:lineRule="auto"/>
              <w:ind w:left="80"/>
              <w:rPr>
                <w:sz w:val="20"/>
                <w:szCs w:val="20"/>
              </w:rPr>
            </w:pPr>
            <w:r>
              <w:rPr>
                <w:b/>
                <w:bCs/>
                <w:spacing w:val="5"/>
                <w:sz w:val="20"/>
                <w:szCs w:val="20"/>
              </w:rPr>
              <w:t>项目名称</w:t>
            </w:r>
          </w:p>
        </w:tc>
        <w:tc>
          <w:tcPr>
            <w:tcW w:w="7562" w:type="dxa"/>
            <w:gridSpan w:val="2"/>
            <w:tcBorders>
              <w:top w:val="single" w:color="000000" w:sz="10" w:space="0"/>
              <w:right w:val="nil"/>
            </w:tcBorders>
            <w:vAlign w:val="top"/>
          </w:tcPr>
          <w:p w14:paraId="152F6711">
            <w:pPr>
              <w:pStyle w:val="6"/>
              <w:spacing w:before="37" w:line="214" w:lineRule="auto"/>
              <w:ind w:left="3323"/>
              <w:rPr>
                <w:sz w:val="20"/>
                <w:szCs w:val="20"/>
              </w:rPr>
            </w:pPr>
            <w:r>
              <w:rPr>
                <w:b/>
                <w:bCs/>
                <w:spacing w:val="5"/>
                <w:sz w:val="20"/>
                <w:szCs w:val="20"/>
              </w:rPr>
              <w:t>建设内容</w:t>
            </w:r>
          </w:p>
        </w:tc>
      </w:tr>
      <w:tr w14:paraId="3F6D5C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611" w:type="dxa"/>
            <w:vMerge w:val="restart"/>
            <w:tcBorders>
              <w:left w:val="nil"/>
              <w:bottom w:val="nil"/>
            </w:tcBorders>
            <w:vAlign w:val="top"/>
          </w:tcPr>
          <w:p w14:paraId="71D83874">
            <w:pPr>
              <w:rPr>
                <w:rFonts w:ascii="Arial"/>
                <w:sz w:val="21"/>
              </w:rPr>
            </w:pPr>
          </w:p>
        </w:tc>
        <w:tc>
          <w:tcPr>
            <w:tcW w:w="988" w:type="dxa"/>
            <w:vMerge w:val="restart"/>
            <w:tcBorders>
              <w:bottom w:val="nil"/>
            </w:tcBorders>
            <w:vAlign w:val="top"/>
          </w:tcPr>
          <w:p w14:paraId="472EDDF8">
            <w:pPr>
              <w:rPr>
                <w:rFonts w:ascii="Arial"/>
                <w:sz w:val="21"/>
              </w:rPr>
            </w:pPr>
          </w:p>
        </w:tc>
        <w:tc>
          <w:tcPr>
            <w:tcW w:w="1281" w:type="dxa"/>
            <w:vAlign w:val="top"/>
          </w:tcPr>
          <w:p w14:paraId="78E85E36">
            <w:pPr>
              <w:pStyle w:val="6"/>
              <w:spacing w:before="29" w:line="215" w:lineRule="auto"/>
              <w:ind w:left="542"/>
              <w:rPr>
                <w:sz w:val="20"/>
                <w:szCs w:val="20"/>
              </w:rPr>
            </w:pPr>
            <w:r>
              <w:rPr>
                <w:sz w:val="20"/>
                <w:szCs w:val="20"/>
              </w:rPr>
              <w:t>气</w:t>
            </w:r>
          </w:p>
        </w:tc>
        <w:tc>
          <w:tcPr>
            <w:tcW w:w="6281" w:type="dxa"/>
            <w:tcBorders>
              <w:right w:val="nil"/>
            </w:tcBorders>
            <w:vAlign w:val="top"/>
          </w:tcPr>
          <w:p w14:paraId="4A5AD042">
            <w:pPr>
              <w:rPr>
                <w:rFonts w:ascii="Arial"/>
                <w:sz w:val="21"/>
              </w:rPr>
            </w:pPr>
          </w:p>
        </w:tc>
      </w:tr>
      <w:tr w14:paraId="1E259D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58" w:hRule="atLeast"/>
        </w:trPr>
        <w:tc>
          <w:tcPr>
            <w:tcW w:w="611" w:type="dxa"/>
            <w:vMerge w:val="continue"/>
            <w:tcBorders>
              <w:top w:val="nil"/>
              <w:left w:val="nil"/>
              <w:bottom w:val="nil"/>
            </w:tcBorders>
            <w:vAlign w:val="top"/>
          </w:tcPr>
          <w:p w14:paraId="238CB994">
            <w:pPr>
              <w:rPr>
                <w:rFonts w:ascii="Arial"/>
                <w:sz w:val="21"/>
              </w:rPr>
            </w:pPr>
          </w:p>
        </w:tc>
        <w:tc>
          <w:tcPr>
            <w:tcW w:w="988" w:type="dxa"/>
            <w:vMerge w:val="continue"/>
            <w:tcBorders>
              <w:top w:val="nil"/>
              <w:bottom w:val="nil"/>
            </w:tcBorders>
            <w:vAlign w:val="top"/>
          </w:tcPr>
          <w:p w14:paraId="7AA88297">
            <w:pPr>
              <w:rPr>
                <w:rFonts w:ascii="Arial"/>
                <w:sz w:val="21"/>
              </w:rPr>
            </w:pPr>
          </w:p>
        </w:tc>
        <w:tc>
          <w:tcPr>
            <w:tcW w:w="1281" w:type="dxa"/>
            <w:vAlign w:val="top"/>
          </w:tcPr>
          <w:p w14:paraId="190A3FE5">
            <w:pPr>
              <w:pStyle w:val="6"/>
              <w:spacing w:before="29" w:line="228" w:lineRule="auto"/>
              <w:ind w:left="16"/>
              <w:rPr>
                <w:sz w:val="20"/>
                <w:szCs w:val="20"/>
              </w:rPr>
            </w:pPr>
            <w:r>
              <w:rPr>
                <w:spacing w:val="8"/>
                <w:sz w:val="20"/>
                <w:szCs w:val="20"/>
              </w:rPr>
              <w:t>焦炭、锰矿石</w:t>
            </w:r>
          </w:p>
          <w:p w14:paraId="08114B8A">
            <w:pPr>
              <w:pStyle w:val="6"/>
              <w:spacing w:before="24" w:line="227" w:lineRule="auto"/>
              <w:ind w:left="15"/>
              <w:rPr>
                <w:sz w:val="20"/>
                <w:szCs w:val="20"/>
              </w:rPr>
            </w:pPr>
            <w:r>
              <w:rPr>
                <w:spacing w:val="8"/>
                <w:sz w:val="20"/>
                <w:szCs w:val="20"/>
              </w:rPr>
              <w:t>干燥废气、烧</w:t>
            </w:r>
          </w:p>
          <w:p w14:paraId="78A6BE63">
            <w:pPr>
              <w:pStyle w:val="6"/>
              <w:spacing w:before="25" w:line="227" w:lineRule="auto"/>
              <w:ind w:left="126"/>
              <w:rPr>
                <w:sz w:val="20"/>
                <w:szCs w:val="20"/>
              </w:rPr>
            </w:pPr>
            <w:r>
              <w:rPr>
                <w:spacing w:val="7"/>
                <w:sz w:val="20"/>
                <w:szCs w:val="20"/>
              </w:rPr>
              <w:t>结机机尾粉</w:t>
            </w:r>
          </w:p>
          <w:p w14:paraId="4E6AC72B">
            <w:pPr>
              <w:pStyle w:val="6"/>
              <w:spacing w:before="27" w:line="229" w:lineRule="auto"/>
              <w:ind w:left="17"/>
              <w:rPr>
                <w:sz w:val="20"/>
                <w:szCs w:val="20"/>
              </w:rPr>
            </w:pPr>
            <w:r>
              <w:rPr>
                <w:spacing w:val="7"/>
                <w:sz w:val="20"/>
                <w:szCs w:val="20"/>
              </w:rPr>
              <w:t>尘、出铁出渣</w:t>
            </w:r>
          </w:p>
          <w:p w14:paraId="019FCAC8">
            <w:pPr>
              <w:pStyle w:val="6"/>
              <w:spacing w:before="23" w:line="213" w:lineRule="auto"/>
              <w:ind w:left="120"/>
              <w:rPr>
                <w:sz w:val="20"/>
                <w:szCs w:val="20"/>
              </w:rPr>
            </w:pPr>
            <w:r>
              <w:rPr>
                <w:spacing w:val="8"/>
                <w:sz w:val="20"/>
                <w:szCs w:val="20"/>
              </w:rPr>
              <w:t>及浇铸烟气</w:t>
            </w:r>
          </w:p>
        </w:tc>
        <w:tc>
          <w:tcPr>
            <w:tcW w:w="6281" w:type="dxa"/>
            <w:tcBorders>
              <w:right w:val="nil"/>
            </w:tcBorders>
            <w:vAlign w:val="top"/>
          </w:tcPr>
          <w:p w14:paraId="62A48C4E">
            <w:pPr>
              <w:spacing w:line="252" w:lineRule="auto"/>
              <w:rPr>
                <w:rFonts w:ascii="Arial"/>
                <w:sz w:val="21"/>
              </w:rPr>
            </w:pPr>
          </w:p>
          <w:p w14:paraId="784A8027">
            <w:pPr>
              <w:spacing w:line="252" w:lineRule="auto"/>
              <w:rPr>
                <w:rFonts w:ascii="Arial"/>
                <w:sz w:val="21"/>
              </w:rPr>
            </w:pPr>
          </w:p>
          <w:p w14:paraId="5A4B72A0">
            <w:pPr>
              <w:pStyle w:val="6"/>
              <w:spacing w:before="65" w:line="227" w:lineRule="auto"/>
              <w:ind w:left="6"/>
              <w:rPr>
                <w:sz w:val="20"/>
                <w:szCs w:val="20"/>
              </w:rPr>
            </w:pPr>
            <w:r>
              <w:rPr>
                <w:spacing w:val="8"/>
                <w:sz w:val="20"/>
                <w:szCs w:val="20"/>
              </w:rPr>
              <w:t>采用旋风除尘器</w:t>
            </w:r>
            <w:r>
              <w:rPr>
                <w:rFonts w:ascii="Times New Roman" w:hAnsi="Times New Roman" w:eastAsia="Times New Roman" w:cs="Times New Roman"/>
                <w:spacing w:val="8"/>
                <w:sz w:val="20"/>
                <w:szCs w:val="20"/>
              </w:rPr>
              <w:t>+</w:t>
            </w:r>
            <w:r>
              <w:rPr>
                <w:spacing w:val="8"/>
                <w:sz w:val="20"/>
                <w:szCs w:val="20"/>
              </w:rPr>
              <w:t>布袋除尘器处理进行处理，共配置</w:t>
            </w:r>
            <w:r>
              <w:rPr>
                <w:spacing w:val="-30"/>
                <w:sz w:val="20"/>
                <w:szCs w:val="20"/>
              </w:rPr>
              <w:t xml:space="preserve"> </w:t>
            </w:r>
            <w:r>
              <w:rPr>
                <w:rFonts w:ascii="Times New Roman" w:hAnsi="Times New Roman" w:eastAsia="Times New Roman" w:cs="Times New Roman"/>
                <w:spacing w:val="8"/>
                <w:sz w:val="20"/>
                <w:szCs w:val="20"/>
              </w:rPr>
              <w:t xml:space="preserve">9 </w:t>
            </w:r>
            <w:r>
              <w:rPr>
                <w:spacing w:val="8"/>
                <w:sz w:val="20"/>
                <w:szCs w:val="20"/>
              </w:rPr>
              <w:t>套。</w:t>
            </w:r>
          </w:p>
        </w:tc>
      </w:tr>
      <w:tr w14:paraId="54F2B1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36A0A99A">
            <w:pPr>
              <w:rPr>
                <w:rFonts w:ascii="Arial"/>
                <w:sz w:val="21"/>
              </w:rPr>
            </w:pPr>
          </w:p>
        </w:tc>
        <w:tc>
          <w:tcPr>
            <w:tcW w:w="988" w:type="dxa"/>
            <w:vMerge w:val="continue"/>
            <w:tcBorders>
              <w:top w:val="nil"/>
              <w:bottom w:val="nil"/>
            </w:tcBorders>
            <w:vAlign w:val="top"/>
          </w:tcPr>
          <w:p w14:paraId="039F4844">
            <w:pPr>
              <w:rPr>
                <w:rFonts w:ascii="Arial"/>
                <w:sz w:val="21"/>
              </w:rPr>
            </w:pPr>
          </w:p>
        </w:tc>
        <w:tc>
          <w:tcPr>
            <w:tcW w:w="1281" w:type="dxa"/>
            <w:vAlign w:val="top"/>
          </w:tcPr>
          <w:p w14:paraId="74A30038">
            <w:pPr>
              <w:pStyle w:val="6"/>
              <w:spacing w:before="167" w:line="227" w:lineRule="auto"/>
              <w:ind w:left="19"/>
              <w:rPr>
                <w:sz w:val="20"/>
                <w:szCs w:val="20"/>
              </w:rPr>
            </w:pPr>
            <w:r>
              <w:rPr>
                <w:spacing w:val="7"/>
                <w:sz w:val="20"/>
                <w:szCs w:val="20"/>
              </w:rPr>
              <w:t>发电机组烟气</w:t>
            </w:r>
          </w:p>
        </w:tc>
        <w:tc>
          <w:tcPr>
            <w:tcW w:w="6281" w:type="dxa"/>
            <w:tcBorders>
              <w:right w:val="nil"/>
            </w:tcBorders>
            <w:vAlign w:val="top"/>
          </w:tcPr>
          <w:p w14:paraId="3A8293D3">
            <w:pPr>
              <w:pStyle w:val="6"/>
              <w:spacing w:before="33" w:line="231" w:lineRule="auto"/>
              <w:ind w:left="3" w:right="92" w:firstLine="7"/>
              <w:rPr>
                <w:sz w:val="20"/>
                <w:szCs w:val="20"/>
              </w:rPr>
            </w:pPr>
            <w:r>
              <w:rPr>
                <w:spacing w:val="6"/>
                <w:sz w:val="20"/>
                <w:szCs w:val="20"/>
              </w:rPr>
              <w:t>发电机组烟气经</w:t>
            </w:r>
            <w:r>
              <w:rPr>
                <w:spacing w:val="-23"/>
                <w:sz w:val="20"/>
                <w:szCs w:val="20"/>
              </w:rPr>
              <w:t xml:space="preserve"> </w:t>
            </w:r>
            <w:r>
              <w:rPr>
                <w:rFonts w:ascii="Times New Roman" w:hAnsi="Times New Roman" w:eastAsia="Times New Roman" w:cs="Times New Roman"/>
                <w:spacing w:val="6"/>
                <w:sz w:val="20"/>
                <w:szCs w:val="20"/>
              </w:rPr>
              <w:t xml:space="preserve">1 </w:t>
            </w:r>
            <w:r>
              <w:rPr>
                <w:spacing w:val="6"/>
                <w:sz w:val="20"/>
                <w:szCs w:val="20"/>
              </w:rPr>
              <w:t>套小苏打脱硫</w:t>
            </w:r>
            <w:r>
              <w:rPr>
                <w:rFonts w:ascii="Times New Roman" w:hAnsi="Times New Roman" w:eastAsia="Times New Roman" w:cs="Times New Roman"/>
                <w:spacing w:val="6"/>
                <w:sz w:val="20"/>
                <w:szCs w:val="20"/>
              </w:rPr>
              <w:t>+</w:t>
            </w:r>
            <w:r>
              <w:rPr>
                <w:rFonts w:ascii="Times New Roman" w:hAnsi="Times New Roman" w:eastAsia="Times New Roman" w:cs="Times New Roman"/>
                <w:sz w:val="20"/>
                <w:szCs w:val="20"/>
              </w:rPr>
              <w:t>SCR</w:t>
            </w:r>
            <w:r>
              <w:rPr>
                <w:rFonts w:ascii="Times New Roman" w:hAnsi="Times New Roman" w:eastAsia="Times New Roman" w:cs="Times New Roman"/>
                <w:spacing w:val="6"/>
                <w:sz w:val="20"/>
                <w:szCs w:val="20"/>
              </w:rPr>
              <w:t xml:space="preserve"> </w:t>
            </w:r>
            <w:r>
              <w:rPr>
                <w:spacing w:val="6"/>
                <w:sz w:val="20"/>
                <w:szCs w:val="20"/>
              </w:rPr>
              <w:t>脱硝装置处</w:t>
            </w:r>
            <w:r>
              <w:rPr>
                <w:spacing w:val="5"/>
                <w:sz w:val="20"/>
                <w:szCs w:val="20"/>
              </w:rPr>
              <w:t>理后，汇集经</w:t>
            </w:r>
            <w:r>
              <w:rPr>
                <w:spacing w:val="-20"/>
                <w:sz w:val="20"/>
                <w:szCs w:val="20"/>
              </w:rPr>
              <w:t xml:space="preserve"> </w:t>
            </w:r>
            <w:r>
              <w:rPr>
                <w:rFonts w:ascii="Times New Roman" w:hAnsi="Times New Roman" w:eastAsia="Times New Roman" w:cs="Times New Roman"/>
                <w:spacing w:val="5"/>
                <w:sz w:val="20"/>
                <w:szCs w:val="20"/>
              </w:rPr>
              <w:t xml:space="preserve">1 </w:t>
            </w:r>
            <w:r>
              <w:rPr>
                <w:spacing w:val="5"/>
                <w:sz w:val="20"/>
                <w:szCs w:val="20"/>
              </w:rPr>
              <w:t>根</w:t>
            </w:r>
            <w:r>
              <w:rPr>
                <w:sz w:val="20"/>
                <w:szCs w:val="20"/>
              </w:rPr>
              <w:t xml:space="preserve"> </w:t>
            </w:r>
            <w:r>
              <w:rPr>
                <w:rFonts w:ascii="Times New Roman" w:hAnsi="Times New Roman" w:eastAsia="Times New Roman" w:cs="Times New Roman"/>
                <w:spacing w:val="10"/>
                <w:sz w:val="20"/>
                <w:szCs w:val="20"/>
              </w:rPr>
              <w:t xml:space="preserve">25m </w:t>
            </w:r>
            <w:r>
              <w:rPr>
                <w:spacing w:val="10"/>
                <w:sz w:val="20"/>
                <w:szCs w:val="20"/>
              </w:rPr>
              <w:t>高烟囱（发电机组排气筒</w:t>
            </w:r>
            <w:r>
              <w:rPr>
                <w:rFonts w:ascii="Times New Roman" w:hAnsi="Times New Roman" w:eastAsia="Times New Roman" w:cs="Times New Roman"/>
                <w:sz w:val="20"/>
                <w:szCs w:val="20"/>
              </w:rPr>
              <w:t>DA</w:t>
            </w:r>
            <w:r>
              <w:rPr>
                <w:rFonts w:ascii="Times New Roman" w:hAnsi="Times New Roman" w:eastAsia="Times New Roman" w:cs="Times New Roman"/>
                <w:spacing w:val="10"/>
                <w:sz w:val="20"/>
                <w:szCs w:val="20"/>
              </w:rPr>
              <w:t>014</w:t>
            </w:r>
            <w:r>
              <w:rPr>
                <w:spacing w:val="10"/>
                <w:sz w:val="20"/>
                <w:szCs w:val="20"/>
              </w:rPr>
              <w:t>）排放。</w:t>
            </w:r>
          </w:p>
        </w:tc>
      </w:tr>
      <w:tr w14:paraId="038E88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611" w:type="dxa"/>
            <w:vMerge w:val="continue"/>
            <w:tcBorders>
              <w:top w:val="nil"/>
              <w:left w:val="nil"/>
              <w:bottom w:val="nil"/>
            </w:tcBorders>
            <w:vAlign w:val="top"/>
          </w:tcPr>
          <w:p w14:paraId="551EB640">
            <w:pPr>
              <w:rPr>
                <w:rFonts w:ascii="Arial"/>
                <w:sz w:val="21"/>
              </w:rPr>
            </w:pPr>
          </w:p>
        </w:tc>
        <w:tc>
          <w:tcPr>
            <w:tcW w:w="988" w:type="dxa"/>
            <w:vMerge w:val="continue"/>
            <w:tcBorders>
              <w:top w:val="nil"/>
              <w:bottom w:val="nil"/>
            </w:tcBorders>
            <w:vAlign w:val="top"/>
          </w:tcPr>
          <w:p w14:paraId="5E97C35F">
            <w:pPr>
              <w:rPr>
                <w:rFonts w:ascii="Arial"/>
                <w:sz w:val="21"/>
              </w:rPr>
            </w:pPr>
          </w:p>
        </w:tc>
        <w:tc>
          <w:tcPr>
            <w:tcW w:w="1281" w:type="dxa"/>
            <w:vAlign w:val="top"/>
          </w:tcPr>
          <w:p w14:paraId="1DE92ED4">
            <w:pPr>
              <w:pStyle w:val="6"/>
              <w:spacing w:before="33" w:line="211" w:lineRule="auto"/>
              <w:ind w:left="439"/>
              <w:rPr>
                <w:sz w:val="20"/>
                <w:szCs w:val="20"/>
              </w:rPr>
            </w:pPr>
            <w:r>
              <w:rPr>
                <w:spacing w:val="3"/>
                <w:sz w:val="20"/>
                <w:szCs w:val="20"/>
              </w:rPr>
              <w:t>油烟</w:t>
            </w:r>
          </w:p>
        </w:tc>
        <w:tc>
          <w:tcPr>
            <w:tcW w:w="6281" w:type="dxa"/>
            <w:tcBorders>
              <w:right w:val="nil"/>
            </w:tcBorders>
            <w:vAlign w:val="top"/>
          </w:tcPr>
          <w:p w14:paraId="72BD0198">
            <w:pPr>
              <w:pStyle w:val="6"/>
              <w:spacing w:before="33" w:line="211" w:lineRule="auto"/>
              <w:ind w:left="7"/>
              <w:rPr>
                <w:rFonts w:ascii="Times New Roman" w:hAnsi="Times New Roman" w:eastAsia="Times New Roman" w:cs="Times New Roman"/>
                <w:sz w:val="20"/>
                <w:szCs w:val="20"/>
              </w:rPr>
            </w:pPr>
            <w:r>
              <w:rPr>
                <w:spacing w:val="8"/>
                <w:sz w:val="20"/>
                <w:szCs w:val="20"/>
              </w:rPr>
              <w:t>配置油烟净化器，处理效率大于</w:t>
            </w:r>
            <w:r>
              <w:rPr>
                <w:spacing w:val="-34"/>
                <w:sz w:val="20"/>
                <w:szCs w:val="20"/>
              </w:rPr>
              <w:t xml:space="preserve"> </w:t>
            </w:r>
            <w:r>
              <w:rPr>
                <w:rFonts w:ascii="Times New Roman" w:hAnsi="Times New Roman" w:eastAsia="Times New Roman" w:cs="Times New Roman"/>
                <w:spacing w:val="8"/>
                <w:sz w:val="20"/>
                <w:szCs w:val="20"/>
              </w:rPr>
              <w:t>60%</w:t>
            </w:r>
          </w:p>
        </w:tc>
      </w:tr>
      <w:tr w14:paraId="0B727C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5D50DA93">
            <w:pPr>
              <w:rPr>
                <w:rFonts w:ascii="Arial"/>
                <w:sz w:val="21"/>
              </w:rPr>
            </w:pPr>
          </w:p>
        </w:tc>
        <w:tc>
          <w:tcPr>
            <w:tcW w:w="988" w:type="dxa"/>
            <w:vMerge w:val="continue"/>
            <w:tcBorders>
              <w:top w:val="nil"/>
            </w:tcBorders>
            <w:vAlign w:val="top"/>
          </w:tcPr>
          <w:p w14:paraId="31DAC7FE">
            <w:pPr>
              <w:rPr>
                <w:rFonts w:ascii="Arial"/>
                <w:sz w:val="21"/>
              </w:rPr>
            </w:pPr>
          </w:p>
        </w:tc>
        <w:tc>
          <w:tcPr>
            <w:tcW w:w="1281" w:type="dxa"/>
            <w:vAlign w:val="top"/>
          </w:tcPr>
          <w:p w14:paraId="170D07AA">
            <w:pPr>
              <w:pStyle w:val="6"/>
              <w:spacing w:before="168" w:line="228" w:lineRule="auto"/>
              <w:ind w:left="123"/>
              <w:rPr>
                <w:sz w:val="20"/>
                <w:szCs w:val="20"/>
              </w:rPr>
            </w:pPr>
            <w:r>
              <w:rPr>
                <w:spacing w:val="7"/>
                <w:sz w:val="20"/>
                <w:szCs w:val="20"/>
              </w:rPr>
              <w:t>无组织粉尘</w:t>
            </w:r>
          </w:p>
        </w:tc>
        <w:tc>
          <w:tcPr>
            <w:tcW w:w="6281" w:type="dxa"/>
            <w:tcBorders>
              <w:right w:val="nil"/>
            </w:tcBorders>
            <w:vAlign w:val="top"/>
          </w:tcPr>
          <w:p w14:paraId="6EEDB2EA">
            <w:pPr>
              <w:pStyle w:val="6"/>
              <w:spacing w:before="35" w:line="230" w:lineRule="auto"/>
              <w:ind w:left="9" w:right="3"/>
              <w:rPr>
                <w:sz w:val="20"/>
                <w:szCs w:val="20"/>
              </w:rPr>
            </w:pPr>
            <w:r>
              <w:rPr>
                <w:spacing w:val="9"/>
                <w:sz w:val="20"/>
                <w:szCs w:val="20"/>
              </w:rPr>
              <w:t>厂区厂房、原料大棚、配料站及输送廊道等封闭处理，</w:t>
            </w:r>
            <w:r>
              <w:rPr>
                <w:spacing w:val="8"/>
                <w:sz w:val="20"/>
                <w:szCs w:val="20"/>
              </w:rPr>
              <w:t>配置洒水抑尘</w:t>
            </w:r>
            <w:r>
              <w:rPr>
                <w:sz w:val="20"/>
                <w:szCs w:val="20"/>
              </w:rPr>
              <w:t xml:space="preserve"> </w:t>
            </w:r>
            <w:r>
              <w:rPr>
                <w:spacing w:val="8"/>
                <w:sz w:val="20"/>
                <w:szCs w:val="20"/>
              </w:rPr>
              <w:t>设施，提高有组织废气集气设施集气效率等。</w:t>
            </w:r>
          </w:p>
        </w:tc>
      </w:tr>
      <w:tr w14:paraId="61951D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6E922E4F">
            <w:pPr>
              <w:rPr>
                <w:rFonts w:ascii="Arial"/>
                <w:sz w:val="21"/>
              </w:rPr>
            </w:pPr>
          </w:p>
        </w:tc>
        <w:tc>
          <w:tcPr>
            <w:tcW w:w="988" w:type="dxa"/>
            <w:vMerge w:val="restart"/>
            <w:tcBorders>
              <w:bottom w:val="nil"/>
            </w:tcBorders>
            <w:vAlign w:val="top"/>
          </w:tcPr>
          <w:p w14:paraId="07534C07">
            <w:pPr>
              <w:spacing w:line="261" w:lineRule="auto"/>
              <w:rPr>
                <w:rFonts w:ascii="Arial"/>
                <w:sz w:val="21"/>
              </w:rPr>
            </w:pPr>
          </w:p>
          <w:p w14:paraId="4C096578">
            <w:pPr>
              <w:spacing w:line="261" w:lineRule="auto"/>
              <w:rPr>
                <w:rFonts w:ascii="Arial"/>
                <w:sz w:val="21"/>
              </w:rPr>
            </w:pPr>
          </w:p>
          <w:p w14:paraId="6158D9CE">
            <w:pPr>
              <w:spacing w:line="261" w:lineRule="auto"/>
              <w:rPr>
                <w:rFonts w:ascii="Arial"/>
                <w:sz w:val="21"/>
              </w:rPr>
            </w:pPr>
          </w:p>
          <w:p w14:paraId="0A9931E4">
            <w:pPr>
              <w:pStyle w:val="6"/>
              <w:spacing w:before="65" w:line="228" w:lineRule="auto"/>
              <w:ind w:left="287"/>
              <w:rPr>
                <w:sz w:val="20"/>
                <w:szCs w:val="20"/>
              </w:rPr>
            </w:pPr>
            <w:r>
              <w:rPr>
                <w:spacing w:val="5"/>
                <w:sz w:val="20"/>
                <w:szCs w:val="20"/>
              </w:rPr>
              <w:t>废水</w:t>
            </w:r>
          </w:p>
        </w:tc>
        <w:tc>
          <w:tcPr>
            <w:tcW w:w="1281" w:type="dxa"/>
            <w:vAlign w:val="top"/>
          </w:tcPr>
          <w:p w14:paraId="1EF207BF">
            <w:pPr>
              <w:pStyle w:val="6"/>
              <w:spacing w:before="169" w:line="228" w:lineRule="auto"/>
              <w:ind w:left="226"/>
              <w:rPr>
                <w:sz w:val="20"/>
                <w:szCs w:val="20"/>
              </w:rPr>
            </w:pPr>
            <w:r>
              <w:rPr>
                <w:spacing w:val="6"/>
                <w:sz w:val="20"/>
                <w:szCs w:val="20"/>
              </w:rPr>
              <w:t>生活污水</w:t>
            </w:r>
          </w:p>
        </w:tc>
        <w:tc>
          <w:tcPr>
            <w:tcW w:w="6281" w:type="dxa"/>
            <w:tcBorders>
              <w:right w:val="nil"/>
            </w:tcBorders>
            <w:vAlign w:val="top"/>
          </w:tcPr>
          <w:p w14:paraId="5B95D9E2">
            <w:pPr>
              <w:pStyle w:val="6"/>
              <w:spacing w:before="35" w:line="230" w:lineRule="auto"/>
              <w:ind w:left="7" w:right="3"/>
              <w:rPr>
                <w:sz w:val="20"/>
                <w:szCs w:val="20"/>
              </w:rPr>
            </w:pPr>
            <w:r>
              <w:rPr>
                <w:spacing w:val="9"/>
                <w:sz w:val="20"/>
                <w:szCs w:val="20"/>
              </w:rPr>
              <w:t>地埋式一体化污水处理设施处理后，由罐车运至苏尼特右旗</w:t>
            </w:r>
            <w:r>
              <w:rPr>
                <w:spacing w:val="8"/>
                <w:sz w:val="20"/>
                <w:szCs w:val="20"/>
              </w:rPr>
              <w:t>赛汉塔拉</w:t>
            </w:r>
            <w:r>
              <w:rPr>
                <w:sz w:val="20"/>
                <w:szCs w:val="20"/>
              </w:rPr>
              <w:t xml:space="preserve"> </w:t>
            </w:r>
            <w:r>
              <w:rPr>
                <w:spacing w:val="8"/>
                <w:sz w:val="20"/>
                <w:szCs w:val="20"/>
              </w:rPr>
              <w:t>镇污水处理厂进一步处理。</w:t>
            </w:r>
          </w:p>
        </w:tc>
      </w:tr>
      <w:tr w14:paraId="5AE135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59" w:hRule="atLeast"/>
        </w:trPr>
        <w:tc>
          <w:tcPr>
            <w:tcW w:w="611" w:type="dxa"/>
            <w:vMerge w:val="continue"/>
            <w:tcBorders>
              <w:top w:val="nil"/>
              <w:left w:val="nil"/>
              <w:bottom w:val="nil"/>
            </w:tcBorders>
            <w:vAlign w:val="top"/>
          </w:tcPr>
          <w:p w14:paraId="2DD03A4B">
            <w:pPr>
              <w:rPr>
                <w:rFonts w:ascii="Arial"/>
                <w:sz w:val="21"/>
              </w:rPr>
            </w:pPr>
          </w:p>
        </w:tc>
        <w:tc>
          <w:tcPr>
            <w:tcW w:w="988" w:type="dxa"/>
            <w:vMerge w:val="continue"/>
            <w:tcBorders>
              <w:top w:val="nil"/>
            </w:tcBorders>
            <w:vAlign w:val="top"/>
          </w:tcPr>
          <w:p w14:paraId="2736E546">
            <w:pPr>
              <w:rPr>
                <w:rFonts w:ascii="Arial"/>
                <w:sz w:val="21"/>
              </w:rPr>
            </w:pPr>
          </w:p>
        </w:tc>
        <w:tc>
          <w:tcPr>
            <w:tcW w:w="1281" w:type="dxa"/>
            <w:vAlign w:val="top"/>
          </w:tcPr>
          <w:p w14:paraId="07C80F61">
            <w:pPr>
              <w:spacing w:line="254" w:lineRule="auto"/>
              <w:rPr>
                <w:rFonts w:ascii="Arial"/>
                <w:sz w:val="21"/>
              </w:rPr>
            </w:pPr>
          </w:p>
          <w:p w14:paraId="559E6FB2">
            <w:pPr>
              <w:spacing w:line="255" w:lineRule="auto"/>
              <w:rPr>
                <w:rFonts w:ascii="Arial"/>
                <w:sz w:val="21"/>
              </w:rPr>
            </w:pPr>
          </w:p>
          <w:p w14:paraId="72F649FD">
            <w:pPr>
              <w:pStyle w:val="6"/>
              <w:spacing w:before="65" w:line="228" w:lineRule="auto"/>
              <w:ind w:left="226"/>
              <w:rPr>
                <w:sz w:val="20"/>
                <w:szCs w:val="20"/>
              </w:rPr>
            </w:pPr>
            <w:r>
              <w:rPr>
                <w:spacing w:val="6"/>
                <w:sz w:val="20"/>
                <w:szCs w:val="20"/>
              </w:rPr>
              <w:t>生产废水</w:t>
            </w:r>
          </w:p>
        </w:tc>
        <w:tc>
          <w:tcPr>
            <w:tcW w:w="6281" w:type="dxa"/>
            <w:tcBorders>
              <w:right w:val="nil"/>
            </w:tcBorders>
            <w:vAlign w:val="top"/>
          </w:tcPr>
          <w:p w14:paraId="79348A90">
            <w:pPr>
              <w:pStyle w:val="6"/>
              <w:spacing w:before="38" w:line="242" w:lineRule="auto"/>
              <w:ind w:left="7" w:right="1"/>
              <w:jc w:val="both"/>
              <w:rPr>
                <w:sz w:val="20"/>
                <w:szCs w:val="20"/>
              </w:rPr>
            </w:pPr>
            <w:r>
              <w:rPr>
                <w:spacing w:val="9"/>
                <w:sz w:val="20"/>
                <w:szCs w:val="20"/>
              </w:rPr>
              <w:t>化验室废水排入地埋式一体化污水处理设施处理；脱硫废水</w:t>
            </w:r>
            <w:r>
              <w:rPr>
                <w:spacing w:val="8"/>
                <w:sz w:val="20"/>
                <w:szCs w:val="20"/>
              </w:rPr>
              <w:t>采用三联</w:t>
            </w:r>
            <w:r>
              <w:rPr>
                <w:sz w:val="20"/>
                <w:szCs w:val="20"/>
              </w:rPr>
              <w:t xml:space="preserve"> </w:t>
            </w:r>
            <w:r>
              <w:rPr>
                <w:spacing w:val="9"/>
                <w:sz w:val="20"/>
                <w:szCs w:val="20"/>
              </w:rPr>
              <w:t>箱工艺处理后补充到浊循环水系统中；过滤水循环使用；煤气</w:t>
            </w:r>
            <w:r>
              <w:rPr>
                <w:spacing w:val="8"/>
                <w:sz w:val="20"/>
                <w:szCs w:val="20"/>
              </w:rPr>
              <w:t>冷凝废</w:t>
            </w:r>
            <w:r>
              <w:rPr>
                <w:sz w:val="20"/>
                <w:szCs w:val="20"/>
              </w:rPr>
              <w:t xml:space="preserve"> </w:t>
            </w:r>
            <w:r>
              <w:rPr>
                <w:spacing w:val="9"/>
                <w:sz w:val="20"/>
                <w:szCs w:val="20"/>
              </w:rPr>
              <w:t>水采用隔油池进行隔油处理，出水用作矿热炉开堵眼机堵塞泥</w:t>
            </w:r>
            <w:r>
              <w:rPr>
                <w:spacing w:val="8"/>
                <w:sz w:val="20"/>
                <w:szCs w:val="20"/>
              </w:rPr>
              <w:t>制作用</w:t>
            </w:r>
            <w:r>
              <w:rPr>
                <w:sz w:val="20"/>
                <w:szCs w:val="20"/>
              </w:rPr>
              <w:t xml:space="preserve"> </w:t>
            </w:r>
            <w:r>
              <w:rPr>
                <w:spacing w:val="9"/>
                <w:sz w:val="20"/>
                <w:szCs w:val="20"/>
              </w:rPr>
              <w:t>水；化水车间排污、燃气锅炉排污、辅机冷却循环水站排污、</w:t>
            </w:r>
            <w:r>
              <w:rPr>
                <w:spacing w:val="8"/>
                <w:sz w:val="20"/>
                <w:szCs w:val="20"/>
              </w:rPr>
              <w:t>循环水</w:t>
            </w:r>
            <w:r>
              <w:rPr>
                <w:sz w:val="20"/>
                <w:szCs w:val="20"/>
              </w:rPr>
              <w:t xml:space="preserve"> </w:t>
            </w:r>
            <w:r>
              <w:rPr>
                <w:spacing w:val="9"/>
                <w:sz w:val="20"/>
                <w:szCs w:val="20"/>
              </w:rPr>
              <w:t>系统排污及软水制备排污全部作为浊循环水系统补充水，不外排。</w:t>
            </w:r>
          </w:p>
        </w:tc>
      </w:tr>
      <w:tr w14:paraId="1B129E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611" w:type="dxa"/>
            <w:vMerge w:val="continue"/>
            <w:tcBorders>
              <w:top w:val="nil"/>
              <w:left w:val="nil"/>
              <w:bottom w:val="nil"/>
            </w:tcBorders>
            <w:vAlign w:val="top"/>
          </w:tcPr>
          <w:p w14:paraId="735BA481">
            <w:pPr>
              <w:rPr>
                <w:rFonts w:ascii="Arial"/>
                <w:sz w:val="21"/>
              </w:rPr>
            </w:pPr>
          </w:p>
        </w:tc>
        <w:tc>
          <w:tcPr>
            <w:tcW w:w="988" w:type="dxa"/>
            <w:vAlign w:val="top"/>
          </w:tcPr>
          <w:p w14:paraId="536E759B">
            <w:pPr>
              <w:pStyle w:val="6"/>
              <w:spacing w:before="174" w:line="228" w:lineRule="auto"/>
              <w:ind w:left="298"/>
              <w:rPr>
                <w:sz w:val="20"/>
                <w:szCs w:val="20"/>
              </w:rPr>
            </w:pPr>
            <w:r>
              <w:rPr>
                <w:spacing w:val="-1"/>
                <w:sz w:val="20"/>
                <w:szCs w:val="20"/>
              </w:rPr>
              <w:t>噪声</w:t>
            </w:r>
          </w:p>
        </w:tc>
        <w:tc>
          <w:tcPr>
            <w:tcW w:w="1281" w:type="dxa"/>
            <w:vAlign w:val="top"/>
          </w:tcPr>
          <w:p w14:paraId="0C60ED57">
            <w:pPr>
              <w:pStyle w:val="6"/>
              <w:spacing w:before="174" w:line="228" w:lineRule="auto"/>
              <w:ind w:left="19"/>
              <w:rPr>
                <w:sz w:val="20"/>
                <w:szCs w:val="20"/>
              </w:rPr>
            </w:pPr>
            <w:r>
              <w:rPr>
                <w:spacing w:val="7"/>
                <w:sz w:val="20"/>
                <w:szCs w:val="20"/>
              </w:rPr>
              <w:t>设备运转噪声</w:t>
            </w:r>
          </w:p>
        </w:tc>
        <w:tc>
          <w:tcPr>
            <w:tcW w:w="6281" w:type="dxa"/>
            <w:tcBorders>
              <w:right w:val="nil"/>
            </w:tcBorders>
            <w:vAlign w:val="top"/>
          </w:tcPr>
          <w:p w14:paraId="5E0855B3">
            <w:pPr>
              <w:pStyle w:val="6"/>
              <w:spacing w:before="36" w:line="229" w:lineRule="auto"/>
              <w:ind w:left="1465" w:right="1" w:hanging="1449"/>
              <w:rPr>
                <w:sz w:val="20"/>
                <w:szCs w:val="20"/>
              </w:rPr>
            </w:pPr>
            <w:r>
              <w:rPr>
                <w:spacing w:val="9"/>
                <w:sz w:val="20"/>
                <w:szCs w:val="20"/>
              </w:rPr>
              <w:t>噪声设备、泵类通过减震、建筑隔声，风机</w:t>
            </w:r>
            <w:r>
              <w:rPr>
                <w:spacing w:val="8"/>
                <w:sz w:val="20"/>
                <w:szCs w:val="20"/>
              </w:rPr>
              <w:t>安装消声器，空压站采用</w:t>
            </w:r>
            <w:r>
              <w:rPr>
                <w:sz w:val="20"/>
                <w:szCs w:val="20"/>
              </w:rPr>
              <w:t xml:space="preserve"> </w:t>
            </w:r>
            <w:r>
              <w:rPr>
                <w:spacing w:val="8"/>
                <w:sz w:val="20"/>
                <w:szCs w:val="20"/>
              </w:rPr>
              <w:t>墙体隔声，内贴吸声材料吸声处理。</w:t>
            </w:r>
          </w:p>
        </w:tc>
      </w:tr>
      <w:tr w14:paraId="10004A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611" w:type="dxa"/>
            <w:vMerge w:val="continue"/>
            <w:tcBorders>
              <w:top w:val="nil"/>
              <w:left w:val="nil"/>
              <w:bottom w:val="nil"/>
            </w:tcBorders>
            <w:vAlign w:val="top"/>
          </w:tcPr>
          <w:p w14:paraId="354DEC4F">
            <w:pPr>
              <w:rPr>
                <w:rFonts w:ascii="Arial"/>
                <w:sz w:val="21"/>
              </w:rPr>
            </w:pPr>
          </w:p>
        </w:tc>
        <w:tc>
          <w:tcPr>
            <w:tcW w:w="988" w:type="dxa"/>
            <w:vMerge w:val="restart"/>
            <w:tcBorders>
              <w:bottom w:val="nil"/>
            </w:tcBorders>
            <w:vAlign w:val="top"/>
          </w:tcPr>
          <w:p w14:paraId="04D45BC4">
            <w:pPr>
              <w:spacing w:line="247" w:lineRule="auto"/>
              <w:rPr>
                <w:rFonts w:ascii="Arial"/>
                <w:sz w:val="21"/>
              </w:rPr>
            </w:pPr>
          </w:p>
          <w:p w14:paraId="4FEB0811">
            <w:pPr>
              <w:spacing w:line="247" w:lineRule="auto"/>
              <w:rPr>
                <w:rFonts w:ascii="Arial"/>
                <w:sz w:val="21"/>
              </w:rPr>
            </w:pPr>
          </w:p>
          <w:p w14:paraId="35F2E93A">
            <w:pPr>
              <w:spacing w:line="247" w:lineRule="auto"/>
              <w:rPr>
                <w:rFonts w:ascii="Arial"/>
                <w:sz w:val="21"/>
              </w:rPr>
            </w:pPr>
          </w:p>
          <w:p w14:paraId="527C618C">
            <w:pPr>
              <w:spacing w:line="247" w:lineRule="auto"/>
              <w:rPr>
                <w:rFonts w:ascii="Arial"/>
                <w:sz w:val="21"/>
              </w:rPr>
            </w:pPr>
          </w:p>
          <w:p w14:paraId="3CD8B0AC">
            <w:pPr>
              <w:spacing w:line="247" w:lineRule="auto"/>
              <w:rPr>
                <w:rFonts w:ascii="Arial"/>
                <w:sz w:val="21"/>
              </w:rPr>
            </w:pPr>
          </w:p>
          <w:p w14:paraId="5BE67DB4">
            <w:pPr>
              <w:spacing w:line="247" w:lineRule="auto"/>
              <w:rPr>
                <w:rFonts w:ascii="Arial"/>
                <w:sz w:val="21"/>
              </w:rPr>
            </w:pPr>
          </w:p>
          <w:p w14:paraId="0E3155B7">
            <w:pPr>
              <w:spacing w:line="247" w:lineRule="auto"/>
              <w:rPr>
                <w:rFonts w:ascii="Arial"/>
                <w:sz w:val="21"/>
              </w:rPr>
            </w:pPr>
          </w:p>
          <w:p w14:paraId="12CFE3E0">
            <w:pPr>
              <w:spacing w:line="247" w:lineRule="auto"/>
              <w:rPr>
                <w:rFonts w:ascii="Arial"/>
                <w:sz w:val="21"/>
              </w:rPr>
            </w:pPr>
          </w:p>
          <w:p w14:paraId="68261E6C">
            <w:pPr>
              <w:spacing w:line="247" w:lineRule="auto"/>
              <w:rPr>
                <w:rFonts w:ascii="Arial"/>
                <w:sz w:val="21"/>
              </w:rPr>
            </w:pPr>
          </w:p>
          <w:p w14:paraId="62544DDE">
            <w:pPr>
              <w:spacing w:line="247" w:lineRule="auto"/>
              <w:rPr>
                <w:rFonts w:ascii="Arial"/>
                <w:sz w:val="21"/>
              </w:rPr>
            </w:pPr>
          </w:p>
          <w:p w14:paraId="39D9B2E0">
            <w:pPr>
              <w:spacing w:line="247" w:lineRule="auto"/>
              <w:rPr>
                <w:rFonts w:ascii="Arial"/>
                <w:sz w:val="21"/>
              </w:rPr>
            </w:pPr>
          </w:p>
          <w:p w14:paraId="576FD312">
            <w:pPr>
              <w:pStyle w:val="6"/>
              <w:spacing w:before="65" w:line="228" w:lineRule="auto"/>
              <w:ind w:left="306"/>
              <w:rPr>
                <w:sz w:val="20"/>
                <w:szCs w:val="20"/>
              </w:rPr>
            </w:pPr>
            <w:r>
              <w:rPr>
                <w:spacing w:val="-5"/>
                <w:sz w:val="20"/>
                <w:szCs w:val="20"/>
              </w:rPr>
              <w:t>固废</w:t>
            </w:r>
          </w:p>
        </w:tc>
        <w:tc>
          <w:tcPr>
            <w:tcW w:w="1281" w:type="dxa"/>
            <w:vAlign w:val="top"/>
          </w:tcPr>
          <w:p w14:paraId="3642A06C">
            <w:pPr>
              <w:pStyle w:val="6"/>
              <w:spacing w:before="38" w:line="206" w:lineRule="auto"/>
              <w:ind w:left="225"/>
              <w:rPr>
                <w:sz w:val="20"/>
                <w:szCs w:val="20"/>
              </w:rPr>
            </w:pPr>
            <w:r>
              <w:rPr>
                <w:spacing w:val="7"/>
                <w:sz w:val="20"/>
                <w:szCs w:val="20"/>
              </w:rPr>
              <w:t>脱硫石膏</w:t>
            </w:r>
          </w:p>
        </w:tc>
        <w:tc>
          <w:tcPr>
            <w:tcW w:w="6281" w:type="dxa"/>
            <w:tcBorders>
              <w:right w:val="nil"/>
            </w:tcBorders>
            <w:vAlign w:val="top"/>
          </w:tcPr>
          <w:p w14:paraId="7E4C906B">
            <w:pPr>
              <w:pStyle w:val="6"/>
              <w:spacing w:before="38" w:line="206" w:lineRule="auto"/>
              <w:ind w:left="939"/>
              <w:rPr>
                <w:sz w:val="20"/>
                <w:szCs w:val="20"/>
              </w:rPr>
            </w:pPr>
            <w:r>
              <w:rPr>
                <w:spacing w:val="9"/>
                <w:sz w:val="20"/>
                <w:szCs w:val="20"/>
              </w:rPr>
              <w:t>在一般固体废物暂存库贮存，外售用于生产建材</w:t>
            </w:r>
          </w:p>
        </w:tc>
      </w:tr>
      <w:tr w14:paraId="77A1D8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611" w:type="dxa"/>
            <w:vMerge w:val="continue"/>
            <w:tcBorders>
              <w:top w:val="nil"/>
              <w:left w:val="nil"/>
              <w:bottom w:val="nil"/>
            </w:tcBorders>
            <w:vAlign w:val="top"/>
          </w:tcPr>
          <w:p w14:paraId="4FA1B1BE">
            <w:pPr>
              <w:rPr>
                <w:rFonts w:ascii="Arial"/>
                <w:sz w:val="21"/>
              </w:rPr>
            </w:pPr>
          </w:p>
        </w:tc>
        <w:tc>
          <w:tcPr>
            <w:tcW w:w="988" w:type="dxa"/>
            <w:vMerge w:val="continue"/>
            <w:tcBorders>
              <w:top w:val="nil"/>
              <w:bottom w:val="nil"/>
            </w:tcBorders>
            <w:vAlign w:val="top"/>
          </w:tcPr>
          <w:p w14:paraId="337FDA5A">
            <w:pPr>
              <w:rPr>
                <w:rFonts w:ascii="Arial"/>
                <w:sz w:val="21"/>
              </w:rPr>
            </w:pPr>
          </w:p>
        </w:tc>
        <w:tc>
          <w:tcPr>
            <w:tcW w:w="1281" w:type="dxa"/>
            <w:vAlign w:val="top"/>
          </w:tcPr>
          <w:p w14:paraId="5D592881">
            <w:pPr>
              <w:pStyle w:val="6"/>
              <w:spacing w:before="41" w:line="203" w:lineRule="auto"/>
              <w:ind w:left="120"/>
              <w:rPr>
                <w:sz w:val="20"/>
                <w:szCs w:val="20"/>
              </w:rPr>
            </w:pPr>
            <w:r>
              <w:rPr>
                <w:spacing w:val="8"/>
                <w:sz w:val="20"/>
                <w:szCs w:val="20"/>
              </w:rPr>
              <w:t>废耐火材料</w:t>
            </w:r>
          </w:p>
        </w:tc>
        <w:tc>
          <w:tcPr>
            <w:tcW w:w="6281" w:type="dxa"/>
            <w:tcBorders>
              <w:right w:val="nil"/>
            </w:tcBorders>
            <w:vAlign w:val="top"/>
          </w:tcPr>
          <w:p w14:paraId="4AD60D4F">
            <w:pPr>
              <w:pStyle w:val="6"/>
              <w:spacing w:before="41" w:line="203" w:lineRule="auto"/>
              <w:ind w:left="939"/>
              <w:rPr>
                <w:sz w:val="20"/>
                <w:szCs w:val="20"/>
              </w:rPr>
            </w:pPr>
            <w:r>
              <w:rPr>
                <w:spacing w:val="9"/>
                <w:sz w:val="20"/>
                <w:szCs w:val="20"/>
              </w:rPr>
              <w:t>在一般固体废物暂存库贮存，外售用于生产建材</w:t>
            </w:r>
          </w:p>
        </w:tc>
      </w:tr>
      <w:tr w14:paraId="50C1DA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4B562FF1">
            <w:pPr>
              <w:rPr>
                <w:rFonts w:ascii="Arial"/>
                <w:sz w:val="21"/>
              </w:rPr>
            </w:pPr>
          </w:p>
        </w:tc>
        <w:tc>
          <w:tcPr>
            <w:tcW w:w="988" w:type="dxa"/>
            <w:vMerge w:val="continue"/>
            <w:tcBorders>
              <w:top w:val="nil"/>
              <w:bottom w:val="nil"/>
            </w:tcBorders>
            <w:vAlign w:val="top"/>
          </w:tcPr>
          <w:p w14:paraId="287C4924">
            <w:pPr>
              <w:rPr>
                <w:rFonts w:ascii="Arial"/>
                <w:sz w:val="21"/>
              </w:rPr>
            </w:pPr>
          </w:p>
        </w:tc>
        <w:tc>
          <w:tcPr>
            <w:tcW w:w="1281" w:type="dxa"/>
            <w:vAlign w:val="top"/>
          </w:tcPr>
          <w:p w14:paraId="4C2D5708">
            <w:pPr>
              <w:pStyle w:val="6"/>
              <w:spacing w:before="177" w:line="228" w:lineRule="auto"/>
              <w:ind w:left="224"/>
              <w:rPr>
                <w:sz w:val="20"/>
                <w:szCs w:val="20"/>
              </w:rPr>
            </w:pPr>
            <w:r>
              <w:rPr>
                <w:spacing w:val="7"/>
                <w:sz w:val="20"/>
                <w:szCs w:val="20"/>
              </w:rPr>
              <w:t>锰硅炉渣</w:t>
            </w:r>
          </w:p>
        </w:tc>
        <w:tc>
          <w:tcPr>
            <w:tcW w:w="6281" w:type="dxa"/>
            <w:tcBorders>
              <w:right w:val="nil"/>
            </w:tcBorders>
            <w:vAlign w:val="top"/>
          </w:tcPr>
          <w:p w14:paraId="660F80CD">
            <w:pPr>
              <w:pStyle w:val="6"/>
              <w:spacing w:before="40" w:line="228" w:lineRule="auto"/>
              <w:ind w:left="7" w:right="1" w:firstLine="1"/>
              <w:rPr>
                <w:sz w:val="20"/>
                <w:szCs w:val="20"/>
              </w:rPr>
            </w:pPr>
            <w:r>
              <w:rPr>
                <w:spacing w:val="9"/>
                <w:sz w:val="20"/>
                <w:szCs w:val="20"/>
              </w:rPr>
              <w:t>经炉渣水淬系统水淬后，使用行车抓斗抓出暂存在冲渣池旁的</w:t>
            </w:r>
            <w:r>
              <w:rPr>
                <w:spacing w:val="8"/>
                <w:sz w:val="20"/>
                <w:szCs w:val="20"/>
              </w:rPr>
              <w:t>临时贮</w:t>
            </w:r>
            <w:r>
              <w:rPr>
                <w:sz w:val="20"/>
                <w:szCs w:val="20"/>
              </w:rPr>
              <w:t xml:space="preserve"> </w:t>
            </w:r>
            <w:r>
              <w:rPr>
                <w:spacing w:val="9"/>
                <w:sz w:val="20"/>
                <w:szCs w:val="20"/>
              </w:rPr>
              <w:t>渣场沥水及暂存，当天即由车辆运走外售综合利用。</w:t>
            </w:r>
          </w:p>
        </w:tc>
      </w:tr>
      <w:tr w14:paraId="475E2A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611" w:type="dxa"/>
            <w:vMerge w:val="continue"/>
            <w:tcBorders>
              <w:top w:val="nil"/>
              <w:left w:val="nil"/>
              <w:bottom w:val="nil"/>
            </w:tcBorders>
            <w:vAlign w:val="top"/>
          </w:tcPr>
          <w:p w14:paraId="417385AD">
            <w:pPr>
              <w:rPr>
                <w:rFonts w:ascii="Arial"/>
                <w:sz w:val="21"/>
              </w:rPr>
            </w:pPr>
          </w:p>
        </w:tc>
        <w:tc>
          <w:tcPr>
            <w:tcW w:w="988" w:type="dxa"/>
            <w:vMerge w:val="continue"/>
            <w:tcBorders>
              <w:top w:val="nil"/>
              <w:bottom w:val="nil"/>
            </w:tcBorders>
            <w:vAlign w:val="top"/>
          </w:tcPr>
          <w:p w14:paraId="660C5EEF">
            <w:pPr>
              <w:rPr>
                <w:rFonts w:ascii="Arial"/>
                <w:sz w:val="21"/>
              </w:rPr>
            </w:pPr>
          </w:p>
        </w:tc>
        <w:tc>
          <w:tcPr>
            <w:tcW w:w="1281" w:type="dxa"/>
            <w:vAlign w:val="top"/>
          </w:tcPr>
          <w:p w14:paraId="7EE124D6">
            <w:pPr>
              <w:pStyle w:val="6"/>
              <w:spacing w:before="41" w:line="227" w:lineRule="auto"/>
              <w:ind w:left="542" w:right="87" w:hanging="452"/>
              <w:rPr>
                <w:sz w:val="20"/>
                <w:szCs w:val="20"/>
              </w:rPr>
            </w:pPr>
            <w:r>
              <w:rPr>
                <w:spacing w:val="7"/>
                <w:sz w:val="20"/>
                <w:szCs w:val="20"/>
              </w:rPr>
              <w:t>配</w:t>
            </w:r>
            <w:r>
              <w:rPr>
                <w:rFonts w:ascii="Times New Roman" w:hAnsi="Times New Roman" w:eastAsia="Times New Roman" w:cs="Times New Roman"/>
                <w:spacing w:val="7"/>
                <w:sz w:val="20"/>
                <w:szCs w:val="20"/>
              </w:rPr>
              <w:t>/</w:t>
            </w:r>
            <w:r>
              <w:rPr>
                <w:spacing w:val="7"/>
                <w:sz w:val="20"/>
                <w:szCs w:val="20"/>
              </w:rPr>
              <w:t>上料除尘</w:t>
            </w:r>
            <w:r>
              <w:rPr>
                <w:sz w:val="20"/>
                <w:szCs w:val="20"/>
              </w:rPr>
              <w:t xml:space="preserve"> 灰</w:t>
            </w:r>
          </w:p>
        </w:tc>
        <w:tc>
          <w:tcPr>
            <w:tcW w:w="6281" w:type="dxa"/>
            <w:tcBorders>
              <w:right w:val="nil"/>
            </w:tcBorders>
            <w:vAlign w:val="top"/>
          </w:tcPr>
          <w:p w14:paraId="014B3AC3">
            <w:pPr>
              <w:pStyle w:val="6"/>
              <w:spacing w:before="177" w:line="228" w:lineRule="auto"/>
              <w:ind w:left="522"/>
              <w:rPr>
                <w:sz w:val="20"/>
                <w:szCs w:val="20"/>
              </w:rPr>
            </w:pPr>
            <w:r>
              <w:rPr>
                <w:spacing w:val="9"/>
                <w:sz w:val="20"/>
                <w:szCs w:val="20"/>
              </w:rPr>
              <w:t>拌湿后袋装在一般固体废物暂存库贮存，回用于生产工段</w:t>
            </w:r>
          </w:p>
        </w:tc>
      </w:tr>
      <w:tr w14:paraId="7EC8A4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611" w:type="dxa"/>
            <w:vMerge w:val="continue"/>
            <w:tcBorders>
              <w:top w:val="nil"/>
              <w:left w:val="nil"/>
              <w:bottom w:val="nil"/>
            </w:tcBorders>
            <w:vAlign w:val="top"/>
          </w:tcPr>
          <w:p w14:paraId="7E3AE532">
            <w:pPr>
              <w:rPr>
                <w:rFonts w:ascii="Arial"/>
                <w:sz w:val="21"/>
              </w:rPr>
            </w:pPr>
          </w:p>
        </w:tc>
        <w:tc>
          <w:tcPr>
            <w:tcW w:w="988" w:type="dxa"/>
            <w:vMerge w:val="continue"/>
            <w:tcBorders>
              <w:top w:val="nil"/>
              <w:bottom w:val="nil"/>
            </w:tcBorders>
            <w:vAlign w:val="top"/>
          </w:tcPr>
          <w:p w14:paraId="5D3C343E">
            <w:pPr>
              <w:rPr>
                <w:rFonts w:ascii="Arial"/>
                <w:sz w:val="21"/>
              </w:rPr>
            </w:pPr>
          </w:p>
        </w:tc>
        <w:tc>
          <w:tcPr>
            <w:tcW w:w="1281" w:type="dxa"/>
            <w:vAlign w:val="top"/>
          </w:tcPr>
          <w:p w14:paraId="7DF71FDD">
            <w:pPr>
              <w:pStyle w:val="6"/>
              <w:spacing w:before="45" w:line="200" w:lineRule="auto"/>
              <w:ind w:left="15"/>
              <w:rPr>
                <w:sz w:val="20"/>
                <w:szCs w:val="20"/>
              </w:rPr>
            </w:pPr>
            <w:r>
              <w:rPr>
                <w:spacing w:val="8"/>
                <w:sz w:val="20"/>
                <w:szCs w:val="20"/>
              </w:rPr>
              <w:t>废脱硝催化剂</w:t>
            </w:r>
          </w:p>
        </w:tc>
        <w:tc>
          <w:tcPr>
            <w:tcW w:w="6281" w:type="dxa"/>
            <w:tcBorders>
              <w:right w:val="nil"/>
            </w:tcBorders>
            <w:vAlign w:val="top"/>
          </w:tcPr>
          <w:p w14:paraId="7D0F27F7">
            <w:pPr>
              <w:pStyle w:val="6"/>
              <w:spacing w:before="45" w:line="200" w:lineRule="auto"/>
              <w:ind w:left="836"/>
              <w:rPr>
                <w:sz w:val="20"/>
                <w:szCs w:val="20"/>
              </w:rPr>
            </w:pPr>
            <w:r>
              <w:rPr>
                <w:spacing w:val="9"/>
                <w:sz w:val="20"/>
                <w:szCs w:val="20"/>
              </w:rPr>
              <w:t>在危险废物暂存库贮存，定期委托有资质单位处理</w:t>
            </w:r>
          </w:p>
        </w:tc>
      </w:tr>
      <w:tr w14:paraId="78AE88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611" w:type="dxa"/>
            <w:vMerge w:val="continue"/>
            <w:tcBorders>
              <w:top w:val="nil"/>
              <w:left w:val="nil"/>
              <w:bottom w:val="nil"/>
            </w:tcBorders>
            <w:vAlign w:val="top"/>
          </w:tcPr>
          <w:p w14:paraId="4E6CCF8D">
            <w:pPr>
              <w:rPr>
                <w:rFonts w:ascii="Arial"/>
                <w:sz w:val="21"/>
              </w:rPr>
            </w:pPr>
          </w:p>
        </w:tc>
        <w:tc>
          <w:tcPr>
            <w:tcW w:w="988" w:type="dxa"/>
            <w:vMerge w:val="continue"/>
            <w:tcBorders>
              <w:top w:val="nil"/>
              <w:bottom w:val="nil"/>
            </w:tcBorders>
            <w:vAlign w:val="top"/>
          </w:tcPr>
          <w:p w14:paraId="5128950C">
            <w:pPr>
              <w:rPr>
                <w:rFonts w:ascii="Arial"/>
                <w:sz w:val="21"/>
              </w:rPr>
            </w:pPr>
          </w:p>
        </w:tc>
        <w:tc>
          <w:tcPr>
            <w:tcW w:w="1281" w:type="dxa"/>
            <w:vAlign w:val="top"/>
          </w:tcPr>
          <w:p w14:paraId="71F75A05">
            <w:pPr>
              <w:pStyle w:val="6"/>
              <w:spacing w:before="43" w:line="226" w:lineRule="auto"/>
              <w:ind w:left="133" w:right="10" w:hanging="117"/>
              <w:rPr>
                <w:sz w:val="20"/>
                <w:szCs w:val="20"/>
              </w:rPr>
            </w:pPr>
            <w:r>
              <w:rPr>
                <w:spacing w:val="8"/>
                <w:sz w:val="20"/>
                <w:szCs w:val="20"/>
              </w:rPr>
              <w:t>煤气冷凝废水</w:t>
            </w:r>
            <w:r>
              <w:rPr>
                <w:sz w:val="20"/>
                <w:szCs w:val="20"/>
              </w:rPr>
              <w:t xml:space="preserve"> </w:t>
            </w:r>
            <w:r>
              <w:rPr>
                <w:spacing w:val="5"/>
                <w:sz w:val="20"/>
                <w:szCs w:val="20"/>
              </w:rPr>
              <w:t>隔油池浮渣</w:t>
            </w:r>
          </w:p>
        </w:tc>
        <w:tc>
          <w:tcPr>
            <w:tcW w:w="6281" w:type="dxa"/>
            <w:tcBorders>
              <w:right w:val="nil"/>
            </w:tcBorders>
            <w:vAlign w:val="top"/>
          </w:tcPr>
          <w:p w14:paraId="2AE47431">
            <w:pPr>
              <w:pStyle w:val="6"/>
              <w:spacing w:before="178" w:line="228" w:lineRule="auto"/>
              <w:ind w:left="836"/>
              <w:rPr>
                <w:sz w:val="20"/>
                <w:szCs w:val="20"/>
              </w:rPr>
            </w:pPr>
            <w:r>
              <w:rPr>
                <w:spacing w:val="9"/>
                <w:sz w:val="20"/>
                <w:szCs w:val="20"/>
              </w:rPr>
              <w:t>在危险废物暂存库贮存，定期委托有资质单位处理</w:t>
            </w:r>
          </w:p>
        </w:tc>
      </w:tr>
      <w:tr w14:paraId="130685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611" w:type="dxa"/>
            <w:vMerge w:val="continue"/>
            <w:tcBorders>
              <w:top w:val="nil"/>
              <w:left w:val="nil"/>
              <w:bottom w:val="nil"/>
            </w:tcBorders>
            <w:vAlign w:val="top"/>
          </w:tcPr>
          <w:p w14:paraId="34FE6C85">
            <w:pPr>
              <w:rPr>
                <w:rFonts w:ascii="Arial"/>
                <w:sz w:val="21"/>
              </w:rPr>
            </w:pPr>
          </w:p>
        </w:tc>
        <w:tc>
          <w:tcPr>
            <w:tcW w:w="988" w:type="dxa"/>
            <w:vMerge w:val="continue"/>
            <w:tcBorders>
              <w:top w:val="nil"/>
              <w:bottom w:val="nil"/>
            </w:tcBorders>
            <w:vAlign w:val="top"/>
          </w:tcPr>
          <w:p w14:paraId="5141C37B">
            <w:pPr>
              <w:rPr>
                <w:rFonts w:ascii="Arial"/>
                <w:sz w:val="21"/>
              </w:rPr>
            </w:pPr>
          </w:p>
        </w:tc>
        <w:tc>
          <w:tcPr>
            <w:tcW w:w="1281" w:type="dxa"/>
            <w:vAlign w:val="top"/>
          </w:tcPr>
          <w:p w14:paraId="3AC99459">
            <w:pPr>
              <w:pStyle w:val="6"/>
              <w:spacing w:before="45" w:line="200" w:lineRule="auto"/>
              <w:ind w:left="224"/>
              <w:rPr>
                <w:sz w:val="20"/>
                <w:szCs w:val="20"/>
              </w:rPr>
            </w:pPr>
            <w:r>
              <w:rPr>
                <w:spacing w:val="7"/>
                <w:sz w:val="20"/>
                <w:szCs w:val="20"/>
              </w:rPr>
              <w:t>焦油杂质</w:t>
            </w:r>
          </w:p>
        </w:tc>
        <w:tc>
          <w:tcPr>
            <w:tcW w:w="6281" w:type="dxa"/>
            <w:tcBorders>
              <w:right w:val="nil"/>
            </w:tcBorders>
            <w:vAlign w:val="top"/>
          </w:tcPr>
          <w:p w14:paraId="544299B7">
            <w:pPr>
              <w:pStyle w:val="6"/>
              <w:spacing w:before="45" w:line="200" w:lineRule="auto"/>
              <w:ind w:left="836"/>
              <w:rPr>
                <w:sz w:val="20"/>
                <w:szCs w:val="20"/>
              </w:rPr>
            </w:pPr>
            <w:r>
              <w:rPr>
                <w:spacing w:val="9"/>
                <w:sz w:val="20"/>
                <w:szCs w:val="20"/>
              </w:rPr>
              <w:t>在危险废物暂存库贮存，定期委托有资质单位处理</w:t>
            </w:r>
          </w:p>
        </w:tc>
      </w:tr>
      <w:tr w14:paraId="5155DF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611" w:type="dxa"/>
            <w:vMerge w:val="continue"/>
            <w:tcBorders>
              <w:top w:val="nil"/>
              <w:left w:val="nil"/>
              <w:bottom w:val="nil"/>
            </w:tcBorders>
            <w:vAlign w:val="top"/>
          </w:tcPr>
          <w:p w14:paraId="33DE17A5">
            <w:pPr>
              <w:rPr>
                <w:rFonts w:ascii="Arial"/>
                <w:sz w:val="21"/>
              </w:rPr>
            </w:pPr>
          </w:p>
        </w:tc>
        <w:tc>
          <w:tcPr>
            <w:tcW w:w="988" w:type="dxa"/>
            <w:vMerge w:val="continue"/>
            <w:tcBorders>
              <w:top w:val="nil"/>
              <w:bottom w:val="nil"/>
            </w:tcBorders>
            <w:vAlign w:val="top"/>
          </w:tcPr>
          <w:p w14:paraId="75CBA62B">
            <w:pPr>
              <w:rPr>
                <w:rFonts w:ascii="Arial"/>
                <w:sz w:val="21"/>
              </w:rPr>
            </w:pPr>
          </w:p>
        </w:tc>
        <w:tc>
          <w:tcPr>
            <w:tcW w:w="1281" w:type="dxa"/>
            <w:vAlign w:val="top"/>
          </w:tcPr>
          <w:p w14:paraId="0979504F">
            <w:pPr>
              <w:pStyle w:val="6"/>
              <w:spacing w:before="47" w:line="198" w:lineRule="auto"/>
              <w:ind w:left="225"/>
              <w:rPr>
                <w:sz w:val="20"/>
                <w:szCs w:val="20"/>
              </w:rPr>
            </w:pPr>
            <w:r>
              <w:rPr>
                <w:spacing w:val="7"/>
                <w:sz w:val="20"/>
                <w:szCs w:val="20"/>
              </w:rPr>
              <w:t>过滤杂质</w:t>
            </w:r>
          </w:p>
        </w:tc>
        <w:tc>
          <w:tcPr>
            <w:tcW w:w="6281" w:type="dxa"/>
            <w:tcBorders>
              <w:right w:val="nil"/>
            </w:tcBorders>
            <w:vAlign w:val="top"/>
          </w:tcPr>
          <w:p w14:paraId="5687BB0E">
            <w:pPr>
              <w:pStyle w:val="6"/>
              <w:spacing w:before="47" w:line="198" w:lineRule="auto"/>
              <w:ind w:left="836"/>
              <w:rPr>
                <w:sz w:val="20"/>
                <w:szCs w:val="20"/>
              </w:rPr>
            </w:pPr>
            <w:r>
              <w:rPr>
                <w:spacing w:val="9"/>
                <w:sz w:val="20"/>
                <w:szCs w:val="20"/>
              </w:rPr>
              <w:t>在危险废物暂存库贮存，定期委托有资质单位处理</w:t>
            </w:r>
          </w:p>
        </w:tc>
      </w:tr>
      <w:tr w14:paraId="18839F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70D3F88E">
            <w:pPr>
              <w:rPr>
                <w:rFonts w:ascii="Arial"/>
                <w:sz w:val="21"/>
              </w:rPr>
            </w:pPr>
          </w:p>
        </w:tc>
        <w:tc>
          <w:tcPr>
            <w:tcW w:w="988" w:type="dxa"/>
            <w:vMerge w:val="continue"/>
            <w:tcBorders>
              <w:top w:val="nil"/>
              <w:bottom w:val="nil"/>
            </w:tcBorders>
            <w:vAlign w:val="top"/>
          </w:tcPr>
          <w:p w14:paraId="543AFCC2">
            <w:pPr>
              <w:rPr>
                <w:rFonts w:ascii="Arial"/>
                <w:sz w:val="21"/>
              </w:rPr>
            </w:pPr>
          </w:p>
        </w:tc>
        <w:tc>
          <w:tcPr>
            <w:tcW w:w="1281" w:type="dxa"/>
            <w:vAlign w:val="top"/>
          </w:tcPr>
          <w:p w14:paraId="179CF173">
            <w:pPr>
              <w:pStyle w:val="6"/>
              <w:spacing w:before="46" w:line="225" w:lineRule="auto"/>
              <w:ind w:left="540" w:right="10" w:hanging="525"/>
              <w:rPr>
                <w:sz w:val="20"/>
                <w:szCs w:val="20"/>
              </w:rPr>
            </w:pPr>
            <w:r>
              <w:rPr>
                <w:spacing w:val="8"/>
                <w:sz w:val="20"/>
                <w:szCs w:val="20"/>
              </w:rPr>
              <w:t>废反渗透膜组</w:t>
            </w:r>
            <w:r>
              <w:rPr>
                <w:spacing w:val="1"/>
                <w:sz w:val="20"/>
                <w:szCs w:val="20"/>
              </w:rPr>
              <w:t xml:space="preserve"> 件</w:t>
            </w:r>
          </w:p>
        </w:tc>
        <w:tc>
          <w:tcPr>
            <w:tcW w:w="6281" w:type="dxa"/>
            <w:tcBorders>
              <w:right w:val="nil"/>
            </w:tcBorders>
            <w:vAlign w:val="top"/>
          </w:tcPr>
          <w:p w14:paraId="6494B122">
            <w:pPr>
              <w:pStyle w:val="6"/>
              <w:spacing w:before="182" w:line="228" w:lineRule="auto"/>
              <w:ind w:left="939"/>
              <w:rPr>
                <w:sz w:val="20"/>
                <w:szCs w:val="20"/>
              </w:rPr>
            </w:pPr>
            <w:r>
              <w:rPr>
                <w:spacing w:val="9"/>
                <w:sz w:val="20"/>
                <w:szCs w:val="20"/>
              </w:rPr>
              <w:t>在一般固体废物暂存库贮存，由其生产厂家回收</w:t>
            </w:r>
          </w:p>
        </w:tc>
      </w:tr>
      <w:tr w14:paraId="0146EB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611" w:type="dxa"/>
            <w:vMerge w:val="continue"/>
            <w:tcBorders>
              <w:top w:val="nil"/>
              <w:left w:val="nil"/>
              <w:bottom w:val="nil"/>
            </w:tcBorders>
            <w:vAlign w:val="top"/>
          </w:tcPr>
          <w:p w14:paraId="12098932">
            <w:pPr>
              <w:rPr>
                <w:rFonts w:ascii="Arial"/>
                <w:sz w:val="21"/>
              </w:rPr>
            </w:pPr>
          </w:p>
        </w:tc>
        <w:tc>
          <w:tcPr>
            <w:tcW w:w="988" w:type="dxa"/>
            <w:vMerge w:val="continue"/>
            <w:tcBorders>
              <w:top w:val="nil"/>
              <w:bottom w:val="nil"/>
            </w:tcBorders>
            <w:vAlign w:val="top"/>
          </w:tcPr>
          <w:p w14:paraId="4D2C311B">
            <w:pPr>
              <w:rPr>
                <w:rFonts w:ascii="Arial"/>
                <w:sz w:val="21"/>
              </w:rPr>
            </w:pPr>
          </w:p>
        </w:tc>
        <w:tc>
          <w:tcPr>
            <w:tcW w:w="1281" w:type="dxa"/>
            <w:vAlign w:val="top"/>
          </w:tcPr>
          <w:p w14:paraId="2EC4FC27">
            <w:pPr>
              <w:pStyle w:val="6"/>
              <w:spacing w:before="47" w:line="224" w:lineRule="auto"/>
              <w:ind w:left="225" w:hanging="220"/>
              <w:rPr>
                <w:sz w:val="20"/>
                <w:szCs w:val="20"/>
              </w:rPr>
            </w:pPr>
            <w:r>
              <w:rPr>
                <w:spacing w:val="7"/>
                <w:sz w:val="20"/>
                <w:szCs w:val="20"/>
              </w:rPr>
              <w:t>废</w:t>
            </w:r>
            <w:r>
              <w:rPr>
                <w:spacing w:val="-50"/>
                <w:sz w:val="20"/>
                <w:szCs w:val="20"/>
              </w:rPr>
              <w:t xml:space="preserve"> </w:t>
            </w:r>
            <w:r>
              <w:rPr>
                <w:rFonts w:ascii="Times New Roman" w:hAnsi="Times New Roman" w:eastAsia="Times New Roman" w:cs="Times New Roman"/>
                <w:sz w:val="20"/>
                <w:szCs w:val="20"/>
              </w:rPr>
              <w:t>EDI</w:t>
            </w:r>
            <w:r>
              <w:rPr>
                <w:rFonts w:ascii="Times New Roman" w:hAnsi="Times New Roman" w:eastAsia="Times New Roman" w:cs="Times New Roman"/>
                <w:spacing w:val="7"/>
                <w:sz w:val="20"/>
                <w:szCs w:val="20"/>
              </w:rPr>
              <w:t xml:space="preserve"> </w:t>
            </w:r>
            <w:r>
              <w:rPr>
                <w:spacing w:val="7"/>
                <w:sz w:val="20"/>
                <w:szCs w:val="20"/>
              </w:rPr>
              <w:t>离子交</w:t>
            </w:r>
            <w:r>
              <w:rPr>
                <w:sz w:val="20"/>
                <w:szCs w:val="20"/>
              </w:rPr>
              <w:t xml:space="preserve"> </w:t>
            </w:r>
            <w:r>
              <w:rPr>
                <w:spacing w:val="6"/>
                <w:sz w:val="20"/>
                <w:szCs w:val="20"/>
              </w:rPr>
              <w:t>换膜组件</w:t>
            </w:r>
          </w:p>
        </w:tc>
        <w:tc>
          <w:tcPr>
            <w:tcW w:w="6281" w:type="dxa"/>
            <w:tcBorders>
              <w:right w:val="nil"/>
            </w:tcBorders>
            <w:vAlign w:val="top"/>
          </w:tcPr>
          <w:p w14:paraId="22EF60C3">
            <w:pPr>
              <w:pStyle w:val="6"/>
              <w:spacing w:before="180" w:line="228" w:lineRule="auto"/>
              <w:ind w:left="939"/>
              <w:rPr>
                <w:sz w:val="20"/>
                <w:szCs w:val="20"/>
              </w:rPr>
            </w:pPr>
            <w:r>
              <w:rPr>
                <w:spacing w:val="9"/>
                <w:sz w:val="20"/>
                <w:szCs w:val="20"/>
              </w:rPr>
              <w:t>在一般固体废物暂存库贮存，由其生产厂家回收</w:t>
            </w:r>
          </w:p>
        </w:tc>
      </w:tr>
      <w:tr w14:paraId="3308CA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611" w:type="dxa"/>
            <w:vMerge w:val="continue"/>
            <w:tcBorders>
              <w:top w:val="nil"/>
              <w:left w:val="nil"/>
              <w:bottom w:val="nil"/>
            </w:tcBorders>
            <w:vAlign w:val="top"/>
          </w:tcPr>
          <w:p w14:paraId="7F86F69D">
            <w:pPr>
              <w:rPr>
                <w:rFonts w:ascii="Arial"/>
                <w:sz w:val="21"/>
              </w:rPr>
            </w:pPr>
          </w:p>
        </w:tc>
        <w:tc>
          <w:tcPr>
            <w:tcW w:w="988" w:type="dxa"/>
            <w:vMerge w:val="continue"/>
            <w:tcBorders>
              <w:top w:val="nil"/>
              <w:bottom w:val="nil"/>
            </w:tcBorders>
            <w:vAlign w:val="top"/>
          </w:tcPr>
          <w:p w14:paraId="40B03E49">
            <w:pPr>
              <w:rPr>
                <w:rFonts w:ascii="Arial"/>
                <w:sz w:val="21"/>
              </w:rPr>
            </w:pPr>
          </w:p>
        </w:tc>
        <w:tc>
          <w:tcPr>
            <w:tcW w:w="1281" w:type="dxa"/>
            <w:vAlign w:val="top"/>
          </w:tcPr>
          <w:p w14:paraId="4B35EF7C">
            <w:pPr>
              <w:pStyle w:val="6"/>
              <w:spacing w:before="48" w:line="197" w:lineRule="auto"/>
              <w:ind w:left="223"/>
              <w:rPr>
                <w:sz w:val="20"/>
                <w:szCs w:val="20"/>
              </w:rPr>
            </w:pPr>
            <w:r>
              <w:rPr>
                <w:spacing w:val="7"/>
                <w:sz w:val="20"/>
                <w:szCs w:val="20"/>
              </w:rPr>
              <w:t>废矿物油</w:t>
            </w:r>
          </w:p>
        </w:tc>
        <w:tc>
          <w:tcPr>
            <w:tcW w:w="6281" w:type="dxa"/>
            <w:tcBorders>
              <w:right w:val="nil"/>
            </w:tcBorders>
            <w:vAlign w:val="top"/>
          </w:tcPr>
          <w:p w14:paraId="12D168C4">
            <w:pPr>
              <w:pStyle w:val="6"/>
              <w:spacing w:before="48" w:line="197" w:lineRule="auto"/>
              <w:ind w:left="836"/>
              <w:rPr>
                <w:sz w:val="20"/>
                <w:szCs w:val="20"/>
              </w:rPr>
            </w:pPr>
            <w:r>
              <w:rPr>
                <w:spacing w:val="9"/>
                <w:sz w:val="20"/>
                <w:szCs w:val="20"/>
              </w:rPr>
              <w:t>在危险废物暂存库贮存，定期委托有资质单位处理</w:t>
            </w:r>
          </w:p>
        </w:tc>
      </w:tr>
      <w:tr w14:paraId="2DC03F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611" w:type="dxa"/>
            <w:vMerge w:val="continue"/>
            <w:tcBorders>
              <w:top w:val="nil"/>
              <w:left w:val="nil"/>
              <w:bottom w:val="nil"/>
            </w:tcBorders>
            <w:vAlign w:val="top"/>
          </w:tcPr>
          <w:p w14:paraId="5331F8BE">
            <w:pPr>
              <w:rPr>
                <w:rFonts w:ascii="Arial"/>
                <w:sz w:val="21"/>
              </w:rPr>
            </w:pPr>
          </w:p>
        </w:tc>
        <w:tc>
          <w:tcPr>
            <w:tcW w:w="988" w:type="dxa"/>
            <w:vMerge w:val="continue"/>
            <w:tcBorders>
              <w:top w:val="nil"/>
              <w:bottom w:val="nil"/>
            </w:tcBorders>
            <w:vAlign w:val="top"/>
          </w:tcPr>
          <w:p w14:paraId="76BC9291">
            <w:pPr>
              <w:rPr>
                <w:rFonts w:ascii="Arial"/>
                <w:sz w:val="21"/>
              </w:rPr>
            </w:pPr>
          </w:p>
        </w:tc>
        <w:tc>
          <w:tcPr>
            <w:tcW w:w="1281" w:type="dxa"/>
            <w:vAlign w:val="top"/>
          </w:tcPr>
          <w:p w14:paraId="39E1DCB8">
            <w:pPr>
              <w:pStyle w:val="6"/>
              <w:spacing w:before="49" w:line="196" w:lineRule="auto"/>
              <w:ind w:left="226"/>
              <w:rPr>
                <w:sz w:val="20"/>
                <w:szCs w:val="20"/>
              </w:rPr>
            </w:pPr>
            <w:r>
              <w:rPr>
                <w:spacing w:val="6"/>
                <w:sz w:val="20"/>
                <w:szCs w:val="20"/>
              </w:rPr>
              <w:t>生活垃圾</w:t>
            </w:r>
          </w:p>
        </w:tc>
        <w:tc>
          <w:tcPr>
            <w:tcW w:w="6281" w:type="dxa"/>
            <w:tcBorders>
              <w:right w:val="nil"/>
            </w:tcBorders>
            <w:vAlign w:val="top"/>
          </w:tcPr>
          <w:p w14:paraId="7EE8A324">
            <w:pPr>
              <w:pStyle w:val="6"/>
              <w:spacing w:before="49" w:line="196" w:lineRule="auto"/>
              <w:ind w:left="625"/>
              <w:rPr>
                <w:sz w:val="20"/>
                <w:szCs w:val="20"/>
              </w:rPr>
            </w:pPr>
            <w:r>
              <w:rPr>
                <w:spacing w:val="9"/>
                <w:sz w:val="20"/>
                <w:szCs w:val="20"/>
              </w:rPr>
              <w:t>在厂区生活垃圾集中收集装置收集，委托环卫部门清理</w:t>
            </w:r>
          </w:p>
        </w:tc>
      </w:tr>
      <w:tr w14:paraId="30E609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611" w:type="dxa"/>
            <w:vMerge w:val="continue"/>
            <w:tcBorders>
              <w:top w:val="nil"/>
              <w:left w:val="nil"/>
              <w:bottom w:val="nil"/>
            </w:tcBorders>
            <w:vAlign w:val="top"/>
          </w:tcPr>
          <w:p w14:paraId="00840DB0">
            <w:pPr>
              <w:rPr>
                <w:rFonts w:ascii="Arial"/>
                <w:sz w:val="21"/>
              </w:rPr>
            </w:pPr>
          </w:p>
        </w:tc>
        <w:tc>
          <w:tcPr>
            <w:tcW w:w="988" w:type="dxa"/>
            <w:vMerge w:val="continue"/>
            <w:tcBorders>
              <w:top w:val="nil"/>
              <w:bottom w:val="nil"/>
            </w:tcBorders>
            <w:vAlign w:val="top"/>
          </w:tcPr>
          <w:p w14:paraId="4CF37B7B">
            <w:pPr>
              <w:rPr>
                <w:rFonts w:ascii="Arial"/>
                <w:sz w:val="21"/>
              </w:rPr>
            </w:pPr>
          </w:p>
        </w:tc>
        <w:tc>
          <w:tcPr>
            <w:tcW w:w="1281" w:type="dxa"/>
            <w:vAlign w:val="top"/>
          </w:tcPr>
          <w:p w14:paraId="6B66A43E">
            <w:pPr>
              <w:pStyle w:val="6"/>
              <w:spacing w:before="50" w:line="223" w:lineRule="auto"/>
              <w:ind w:left="543" w:right="10" w:hanging="528"/>
              <w:rPr>
                <w:sz w:val="20"/>
                <w:szCs w:val="20"/>
              </w:rPr>
            </w:pPr>
            <w:r>
              <w:rPr>
                <w:spacing w:val="8"/>
                <w:sz w:val="20"/>
                <w:szCs w:val="20"/>
              </w:rPr>
              <w:t>废离子交换树</w:t>
            </w:r>
            <w:r>
              <w:rPr>
                <w:spacing w:val="1"/>
                <w:sz w:val="20"/>
                <w:szCs w:val="20"/>
              </w:rPr>
              <w:t xml:space="preserve"> </w:t>
            </w:r>
            <w:r>
              <w:rPr>
                <w:sz w:val="20"/>
                <w:szCs w:val="20"/>
              </w:rPr>
              <w:t>脂</w:t>
            </w:r>
          </w:p>
        </w:tc>
        <w:tc>
          <w:tcPr>
            <w:tcW w:w="6281" w:type="dxa"/>
            <w:tcBorders>
              <w:right w:val="nil"/>
            </w:tcBorders>
            <w:vAlign w:val="top"/>
          </w:tcPr>
          <w:p w14:paraId="2A354A3D">
            <w:pPr>
              <w:pStyle w:val="6"/>
              <w:spacing w:before="185" w:line="228" w:lineRule="auto"/>
              <w:ind w:left="939"/>
              <w:rPr>
                <w:sz w:val="20"/>
                <w:szCs w:val="20"/>
              </w:rPr>
            </w:pPr>
            <w:r>
              <w:rPr>
                <w:spacing w:val="9"/>
                <w:sz w:val="20"/>
                <w:szCs w:val="20"/>
              </w:rPr>
              <w:t>在一般固体废物暂存库贮存，由其生产厂家回收</w:t>
            </w:r>
          </w:p>
        </w:tc>
      </w:tr>
      <w:tr w14:paraId="34377C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611" w:type="dxa"/>
            <w:vMerge w:val="continue"/>
            <w:tcBorders>
              <w:top w:val="nil"/>
              <w:left w:val="nil"/>
              <w:bottom w:val="nil"/>
            </w:tcBorders>
            <w:vAlign w:val="top"/>
          </w:tcPr>
          <w:p w14:paraId="22B1BF36">
            <w:pPr>
              <w:rPr>
                <w:rFonts w:ascii="Arial"/>
                <w:sz w:val="21"/>
              </w:rPr>
            </w:pPr>
          </w:p>
        </w:tc>
        <w:tc>
          <w:tcPr>
            <w:tcW w:w="988" w:type="dxa"/>
            <w:vMerge w:val="continue"/>
            <w:tcBorders>
              <w:top w:val="nil"/>
              <w:bottom w:val="nil"/>
            </w:tcBorders>
            <w:vAlign w:val="top"/>
          </w:tcPr>
          <w:p w14:paraId="1137E848">
            <w:pPr>
              <w:rPr>
                <w:rFonts w:ascii="Arial"/>
                <w:sz w:val="21"/>
              </w:rPr>
            </w:pPr>
          </w:p>
        </w:tc>
        <w:tc>
          <w:tcPr>
            <w:tcW w:w="1281" w:type="dxa"/>
            <w:vAlign w:val="top"/>
          </w:tcPr>
          <w:p w14:paraId="3422C602">
            <w:pPr>
              <w:pStyle w:val="6"/>
              <w:spacing w:before="49" w:line="195" w:lineRule="auto"/>
              <w:ind w:left="223"/>
              <w:rPr>
                <w:sz w:val="20"/>
                <w:szCs w:val="20"/>
              </w:rPr>
            </w:pPr>
            <w:r>
              <w:rPr>
                <w:spacing w:val="7"/>
                <w:sz w:val="20"/>
                <w:szCs w:val="20"/>
              </w:rPr>
              <w:t>废分子筛</w:t>
            </w:r>
          </w:p>
        </w:tc>
        <w:tc>
          <w:tcPr>
            <w:tcW w:w="6281" w:type="dxa"/>
            <w:tcBorders>
              <w:right w:val="nil"/>
            </w:tcBorders>
            <w:vAlign w:val="top"/>
          </w:tcPr>
          <w:p w14:paraId="5BA0A453">
            <w:pPr>
              <w:pStyle w:val="6"/>
              <w:spacing w:before="49" w:line="195" w:lineRule="auto"/>
              <w:ind w:left="939"/>
              <w:rPr>
                <w:sz w:val="20"/>
                <w:szCs w:val="20"/>
              </w:rPr>
            </w:pPr>
            <w:r>
              <w:rPr>
                <w:spacing w:val="9"/>
                <w:sz w:val="20"/>
                <w:szCs w:val="20"/>
              </w:rPr>
              <w:t>在一般固体废物暂存库贮存，由其生产厂家回收</w:t>
            </w:r>
          </w:p>
        </w:tc>
      </w:tr>
      <w:tr w14:paraId="02AD54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611" w:type="dxa"/>
            <w:vMerge w:val="continue"/>
            <w:tcBorders>
              <w:top w:val="nil"/>
              <w:left w:val="nil"/>
              <w:bottom w:val="nil"/>
            </w:tcBorders>
            <w:vAlign w:val="top"/>
          </w:tcPr>
          <w:p w14:paraId="4D05D503">
            <w:pPr>
              <w:rPr>
                <w:rFonts w:ascii="Arial"/>
                <w:sz w:val="21"/>
              </w:rPr>
            </w:pPr>
          </w:p>
        </w:tc>
        <w:tc>
          <w:tcPr>
            <w:tcW w:w="988" w:type="dxa"/>
            <w:vMerge w:val="continue"/>
            <w:tcBorders>
              <w:top w:val="nil"/>
            </w:tcBorders>
            <w:vAlign w:val="top"/>
          </w:tcPr>
          <w:p w14:paraId="5824B16C">
            <w:pPr>
              <w:rPr>
                <w:rFonts w:ascii="Arial"/>
                <w:sz w:val="21"/>
              </w:rPr>
            </w:pPr>
          </w:p>
        </w:tc>
        <w:tc>
          <w:tcPr>
            <w:tcW w:w="1281" w:type="dxa"/>
            <w:vAlign w:val="top"/>
          </w:tcPr>
          <w:p w14:paraId="41770DBD">
            <w:pPr>
              <w:pStyle w:val="6"/>
              <w:spacing w:before="51" w:line="193" w:lineRule="auto"/>
              <w:ind w:left="122"/>
              <w:rPr>
                <w:sz w:val="20"/>
                <w:szCs w:val="20"/>
              </w:rPr>
            </w:pPr>
            <w:r>
              <w:rPr>
                <w:spacing w:val="7"/>
                <w:sz w:val="20"/>
                <w:szCs w:val="20"/>
              </w:rPr>
              <w:t>化验室废液</w:t>
            </w:r>
          </w:p>
        </w:tc>
        <w:tc>
          <w:tcPr>
            <w:tcW w:w="6281" w:type="dxa"/>
            <w:tcBorders>
              <w:right w:val="nil"/>
            </w:tcBorders>
            <w:vAlign w:val="top"/>
          </w:tcPr>
          <w:p w14:paraId="596A83AC">
            <w:pPr>
              <w:pStyle w:val="6"/>
              <w:spacing w:before="51" w:line="193" w:lineRule="auto"/>
              <w:ind w:left="836"/>
              <w:rPr>
                <w:sz w:val="20"/>
                <w:szCs w:val="20"/>
              </w:rPr>
            </w:pPr>
            <w:r>
              <w:rPr>
                <w:spacing w:val="9"/>
                <w:sz w:val="20"/>
                <w:szCs w:val="20"/>
              </w:rPr>
              <w:t>在危险废物暂存库贮存，定期委托有资质单位处理</w:t>
            </w:r>
          </w:p>
        </w:tc>
      </w:tr>
      <w:tr w14:paraId="3F0B3A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611" w:type="dxa"/>
            <w:vMerge w:val="continue"/>
            <w:tcBorders>
              <w:top w:val="nil"/>
              <w:left w:val="nil"/>
              <w:bottom w:val="nil"/>
            </w:tcBorders>
            <w:vAlign w:val="top"/>
          </w:tcPr>
          <w:p w14:paraId="3504E889">
            <w:pPr>
              <w:rPr>
                <w:rFonts w:ascii="Arial"/>
                <w:sz w:val="21"/>
              </w:rPr>
            </w:pPr>
          </w:p>
        </w:tc>
        <w:tc>
          <w:tcPr>
            <w:tcW w:w="988" w:type="dxa"/>
            <w:tcBorders>
              <w:bottom w:val="nil"/>
            </w:tcBorders>
            <w:vAlign w:val="top"/>
          </w:tcPr>
          <w:p w14:paraId="7AC0F6EB">
            <w:pPr>
              <w:rPr>
                <w:rFonts w:ascii="Arial"/>
                <w:sz w:val="21"/>
              </w:rPr>
            </w:pPr>
          </w:p>
        </w:tc>
        <w:tc>
          <w:tcPr>
            <w:tcW w:w="7562" w:type="dxa"/>
            <w:gridSpan w:val="2"/>
            <w:tcBorders>
              <w:bottom w:val="nil"/>
              <w:right w:val="nil"/>
            </w:tcBorders>
            <w:vAlign w:val="top"/>
          </w:tcPr>
          <w:p w14:paraId="43FB4BD0">
            <w:pPr>
              <w:pStyle w:val="6"/>
              <w:spacing w:before="54" w:line="188" w:lineRule="auto"/>
              <w:ind w:left="5"/>
              <w:rPr>
                <w:sz w:val="20"/>
                <w:szCs w:val="20"/>
              </w:rPr>
            </w:pPr>
            <w:r>
              <w:rPr>
                <w:spacing w:val="7"/>
                <w:sz w:val="20"/>
                <w:szCs w:val="20"/>
              </w:rPr>
              <w:t>在设计阶段从总图布置、建筑安全防范、设备和工艺、消防及火灾报警配置上考虑</w:t>
            </w:r>
          </w:p>
        </w:tc>
      </w:tr>
      <w:tr w14:paraId="18A72F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611" w:type="dxa"/>
            <w:tcBorders>
              <w:top w:val="nil"/>
              <w:left w:val="nil"/>
              <w:bottom w:val="single" w:color="000000" w:sz="10" w:space="0"/>
            </w:tcBorders>
            <w:vAlign w:val="top"/>
          </w:tcPr>
          <w:p w14:paraId="3A95399D">
            <w:pPr>
              <w:rPr>
                <w:rFonts w:ascii="Arial"/>
                <w:sz w:val="21"/>
              </w:rPr>
            </w:pPr>
          </w:p>
        </w:tc>
        <w:tc>
          <w:tcPr>
            <w:tcW w:w="988" w:type="dxa"/>
            <w:tcBorders>
              <w:top w:val="nil"/>
              <w:bottom w:val="single" w:color="000000" w:sz="10" w:space="0"/>
            </w:tcBorders>
            <w:vAlign w:val="top"/>
          </w:tcPr>
          <w:p w14:paraId="7758114A">
            <w:pPr>
              <w:pStyle w:val="6"/>
              <w:spacing w:before="57" w:line="228" w:lineRule="auto"/>
              <w:ind w:left="289"/>
              <w:rPr>
                <w:sz w:val="20"/>
                <w:szCs w:val="20"/>
              </w:rPr>
            </w:pPr>
            <w:r>
              <w:rPr>
                <w:spacing w:val="4"/>
                <w:sz w:val="20"/>
                <w:szCs w:val="20"/>
              </w:rPr>
              <w:t>风险</w:t>
            </w:r>
          </w:p>
        </w:tc>
        <w:tc>
          <w:tcPr>
            <w:tcW w:w="7562" w:type="dxa"/>
            <w:gridSpan w:val="2"/>
            <w:tcBorders>
              <w:top w:val="nil"/>
              <w:bottom w:val="single" w:color="000000" w:sz="10" w:space="0"/>
              <w:right w:val="nil"/>
            </w:tcBorders>
            <w:vAlign w:val="top"/>
          </w:tcPr>
          <w:p w14:paraId="23D0EF95">
            <w:pPr>
              <w:pStyle w:val="6"/>
              <w:spacing w:before="56" w:line="234" w:lineRule="auto"/>
              <w:ind w:left="6" w:right="92"/>
              <w:rPr>
                <w:sz w:val="20"/>
                <w:szCs w:val="20"/>
              </w:rPr>
            </w:pPr>
            <w:r>
              <w:rPr>
                <w:spacing w:val="7"/>
                <w:sz w:val="20"/>
                <w:szCs w:val="20"/>
              </w:rPr>
              <w:t>环境风险防范，设置</w:t>
            </w:r>
            <w:r>
              <w:rPr>
                <w:spacing w:val="-20"/>
                <w:sz w:val="20"/>
                <w:szCs w:val="20"/>
              </w:rPr>
              <w:t xml:space="preserve"> </w:t>
            </w:r>
            <w:r>
              <w:rPr>
                <w:rFonts w:ascii="Times New Roman" w:hAnsi="Times New Roman" w:eastAsia="Times New Roman" w:cs="Times New Roman"/>
                <w:spacing w:val="7"/>
                <w:sz w:val="20"/>
                <w:szCs w:val="20"/>
              </w:rPr>
              <w:t xml:space="preserve">1 </w:t>
            </w:r>
            <w:r>
              <w:rPr>
                <w:spacing w:val="7"/>
                <w:sz w:val="20"/>
                <w:szCs w:val="20"/>
              </w:rPr>
              <w:t>座</w:t>
            </w:r>
            <w:r>
              <w:rPr>
                <w:spacing w:val="-39"/>
                <w:sz w:val="20"/>
                <w:szCs w:val="20"/>
              </w:rPr>
              <w:t xml:space="preserve"> </w:t>
            </w:r>
            <w:r>
              <w:rPr>
                <w:rFonts w:ascii="Times New Roman" w:hAnsi="Times New Roman" w:eastAsia="Times New Roman" w:cs="Times New Roman"/>
                <w:spacing w:val="7"/>
                <w:sz w:val="20"/>
                <w:szCs w:val="20"/>
              </w:rPr>
              <w:t>3200m</w:t>
            </w:r>
            <w:r>
              <w:rPr>
                <w:rFonts w:ascii="Times New Roman" w:hAnsi="Times New Roman" w:eastAsia="Times New Roman" w:cs="Times New Roman"/>
                <w:spacing w:val="7"/>
                <w:position w:val="6"/>
                <w:sz w:val="13"/>
                <w:szCs w:val="13"/>
              </w:rPr>
              <w:t>3</w:t>
            </w:r>
            <w:r>
              <w:rPr>
                <w:rFonts w:ascii="Times New Roman" w:hAnsi="Times New Roman" w:eastAsia="Times New Roman" w:cs="Times New Roman"/>
                <w:spacing w:val="10"/>
                <w:w w:val="101"/>
                <w:position w:val="6"/>
                <w:sz w:val="13"/>
                <w:szCs w:val="13"/>
              </w:rPr>
              <w:t xml:space="preserve"> </w:t>
            </w:r>
            <w:r>
              <w:rPr>
                <w:spacing w:val="7"/>
                <w:sz w:val="20"/>
                <w:szCs w:val="20"/>
              </w:rPr>
              <w:t>应急事故水池；</w:t>
            </w:r>
            <w:r>
              <w:rPr>
                <w:spacing w:val="-58"/>
                <w:sz w:val="20"/>
                <w:szCs w:val="20"/>
              </w:rPr>
              <w:t xml:space="preserve"> </w:t>
            </w:r>
            <w:r>
              <w:rPr>
                <w:spacing w:val="7"/>
                <w:sz w:val="20"/>
                <w:szCs w:val="20"/>
              </w:rPr>
              <w:t>同时建设</w:t>
            </w:r>
            <w:r>
              <w:rPr>
                <w:spacing w:val="6"/>
                <w:sz w:val="20"/>
                <w:szCs w:val="20"/>
              </w:rPr>
              <w:t>单位在下一步的工作中</w:t>
            </w:r>
            <w:r>
              <w:rPr>
                <w:sz w:val="20"/>
                <w:szCs w:val="20"/>
              </w:rPr>
              <w:t xml:space="preserve"> </w:t>
            </w:r>
            <w:r>
              <w:rPr>
                <w:spacing w:val="8"/>
                <w:sz w:val="20"/>
                <w:szCs w:val="20"/>
              </w:rPr>
              <w:t>制定环境风险应急预案。</w:t>
            </w:r>
          </w:p>
        </w:tc>
      </w:tr>
    </w:tbl>
    <w:p w14:paraId="227160DA">
      <w:pPr>
        <w:spacing w:before="45" w:line="222" w:lineRule="auto"/>
        <w:ind w:left="5"/>
        <w:outlineLvl w:val="2"/>
        <w:rPr>
          <w:rFonts w:ascii="黑体" w:hAnsi="黑体" w:eastAsia="黑体" w:cs="黑体"/>
          <w:sz w:val="30"/>
          <w:szCs w:val="30"/>
        </w:rPr>
      </w:pPr>
      <w:bookmarkStart w:id="312" w:name="bookmark92"/>
      <w:bookmarkEnd w:id="312"/>
      <w:r>
        <w:rPr>
          <w:rFonts w:ascii="Times New Roman" w:hAnsi="Times New Roman" w:eastAsia="Times New Roman" w:cs="Times New Roman"/>
          <w:spacing w:val="-1"/>
          <w:sz w:val="30"/>
          <w:szCs w:val="30"/>
        </w:rPr>
        <w:t xml:space="preserve">2.1.3 </w:t>
      </w:r>
      <w:r>
        <w:rPr>
          <w:rFonts w:ascii="黑体" w:hAnsi="黑体" w:eastAsia="黑体" w:cs="黑体"/>
          <w:spacing w:val="-1"/>
          <w:sz w:val="30"/>
          <w:szCs w:val="30"/>
        </w:rPr>
        <w:t>厂区平面布局</w:t>
      </w:r>
    </w:p>
    <w:p w14:paraId="393EC591">
      <w:pPr>
        <w:spacing w:before="213" w:line="345" w:lineRule="auto"/>
        <w:ind w:left="36" w:right="81" w:firstLine="480"/>
        <w:rPr>
          <w:rFonts w:ascii="宋体" w:hAnsi="宋体" w:eastAsia="宋体" w:cs="宋体"/>
          <w:sz w:val="24"/>
          <w:szCs w:val="24"/>
        </w:rPr>
      </w:pPr>
      <w:r>
        <w:rPr>
          <w:rFonts w:ascii="宋体" w:hAnsi="宋体" w:eastAsia="宋体" w:cs="宋体"/>
          <w:spacing w:val="-2"/>
          <w:sz w:val="24"/>
          <w:szCs w:val="24"/>
        </w:rPr>
        <w:t>电炉生产区分为原料储运、原料制备车间、电炉</w:t>
      </w:r>
      <w:r>
        <w:rPr>
          <w:rFonts w:ascii="宋体" w:hAnsi="宋体" w:eastAsia="宋体" w:cs="宋体"/>
          <w:spacing w:val="-3"/>
          <w:sz w:val="24"/>
          <w:szCs w:val="24"/>
        </w:rPr>
        <w:t>车间、烟气处理系统；电炉煤气发</w:t>
      </w:r>
      <w:r>
        <w:rPr>
          <w:rFonts w:ascii="宋体" w:hAnsi="宋体" w:eastAsia="宋体" w:cs="宋体"/>
          <w:sz w:val="24"/>
          <w:szCs w:val="24"/>
        </w:rPr>
        <w:t xml:space="preserve"> </w:t>
      </w:r>
      <w:r>
        <w:rPr>
          <w:rFonts w:ascii="宋体" w:hAnsi="宋体" w:eastAsia="宋体" w:cs="宋体"/>
          <w:spacing w:val="-2"/>
          <w:sz w:val="24"/>
          <w:szCs w:val="24"/>
        </w:rPr>
        <w:t>电生产装置布置采用列式布置，由北向南依次布置。生产辅助设施有化验室、备</w:t>
      </w:r>
      <w:r>
        <w:rPr>
          <w:rFonts w:ascii="宋体" w:hAnsi="宋体" w:eastAsia="宋体" w:cs="宋体"/>
          <w:spacing w:val="-3"/>
          <w:sz w:val="24"/>
          <w:szCs w:val="24"/>
        </w:rPr>
        <w:t>件库、</w:t>
      </w:r>
    </w:p>
    <w:p w14:paraId="74286113">
      <w:pPr>
        <w:spacing w:line="345" w:lineRule="auto"/>
        <w:rPr>
          <w:rFonts w:ascii="宋体" w:hAnsi="宋体" w:eastAsia="宋体" w:cs="宋体"/>
          <w:sz w:val="24"/>
          <w:szCs w:val="24"/>
        </w:rPr>
        <w:sectPr>
          <w:footerReference r:id="rId93" w:type="default"/>
          <w:pgSz w:w="11906" w:h="16839"/>
          <w:pgMar w:top="1235" w:right="1327" w:bottom="1070" w:left="1417" w:header="925" w:footer="907" w:gutter="0"/>
          <w:cols w:space="720" w:num="1"/>
        </w:sectPr>
      </w:pPr>
    </w:p>
    <w:p w14:paraId="1BDE110E">
      <w:pPr>
        <w:spacing w:before="216" w:line="219" w:lineRule="auto"/>
        <w:ind w:left="8"/>
        <w:rPr>
          <w:rFonts w:ascii="宋体" w:hAnsi="宋体" w:eastAsia="宋体" w:cs="宋体"/>
          <w:sz w:val="24"/>
          <w:szCs w:val="24"/>
        </w:rPr>
      </w:pPr>
      <w:r>
        <w:pict>
          <v:shape id="_x0000_s1143" o:spid="_x0000_s1143" style="position:absolute;left:0pt;margin-left:70.85pt;margin-top:62.5pt;height:0.75pt;width:453.65pt;mso-position-horizontal-relative:page;mso-position-vertical-relative:page;z-index:25178316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sz w:val="24"/>
          <w:szCs w:val="24"/>
        </w:rPr>
        <w:t>循环水站等；附属设施包括综合办公楼，职工倒</w:t>
      </w:r>
      <w:r>
        <w:rPr>
          <w:rFonts w:ascii="宋体" w:hAnsi="宋体" w:eastAsia="宋体" w:cs="宋体"/>
          <w:spacing w:val="-1"/>
          <w:sz w:val="24"/>
          <w:szCs w:val="24"/>
        </w:rPr>
        <w:t>班宿舍、餐厅及车棚等。</w:t>
      </w:r>
    </w:p>
    <w:p w14:paraId="721B6433">
      <w:pPr>
        <w:spacing w:before="181" w:line="354" w:lineRule="auto"/>
        <w:ind w:left="8" w:right="80" w:firstLine="508"/>
        <w:jc w:val="both"/>
        <w:rPr>
          <w:rFonts w:ascii="宋体" w:hAnsi="宋体" w:eastAsia="宋体" w:cs="宋体"/>
          <w:sz w:val="24"/>
          <w:szCs w:val="24"/>
        </w:rPr>
      </w:pPr>
      <w:r>
        <w:rPr>
          <w:rFonts w:ascii="宋体" w:hAnsi="宋体" w:eastAsia="宋体" w:cs="宋体"/>
          <w:spacing w:val="-3"/>
          <w:sz w:val="24"/>
          <w:szCs w:val="24"/>
        </w:rPr>
        <w:t>电炉车间、煤气净化、烟气处理系统等生产设施布置于厂区南侧，共设</w:t>
      </w:r>
      <w:r>
        <w:rPr>
          <w:rFonts w:ascii="宋体" w:hAnsi="宋体" w:eastAsia="宋体" w:cs="宋体"/>
          <w:spacing w:val="-36"/>
          <w:sz w:val="24"/>
          <w:szCs w:val="24"/>
        </w:rPr>
        <w:t xml:space="preserve"> </w:t>
      </w:r>
      <w:r>
        <w:rPr>
          <w:rFonts w:ascii="Times New Roman" w:hAnsi="Times New Roman" w:eastAsia="Times New Roman" w:cs="Times New Roman"/>
          <w:spacing w:val="-3"/>
          <w:sz w:val="24"/>
          <w:szCs w:val="24"/>
        </w:rPr>
        <w:t xml:space="preserve">3 </w:t>
      </w:r>
      <w:r>
        <w:rPr>
          <w:rFonts w:ascii="宋体" w:hAnsi="宋体" w:eastAsia="宋体" w:cs="宋体"/>
          <w:spacing w:val="-3"/>
          <w:sz w:val="24"/>
          <w:szCs w:val="24"/>
        </w:rPr>
        <w:t>座生产车</w:t>
      </w:r>
      <w:r>
        <w:rPr>
          <w:rFonts w:ascii="宋体" w:hAnsi="宋体" w:eastAsia="宋体" w:cs="宋体"/>
          <w:sz w:val="24"/>
          <w:szCs w:val="24"/>
        </w:rPr>
        <w:t xml:space="preserve"> </w:t>
      </w:r>
      <w:r>
        <w:rPr>
          <w:rFonts w:ascii="宋体" w:hAnsi="宋体" w:eastAsia="宋体" w:cs="宋体"/>
          <w:spacing w:val="-2"/>
          <w:sz w:val="24"/>
          <w:szCs w:val="24"/>
        </w:rPr>
        <w:t>间，自西向东依次平行布置，每个车间设</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w:t>
      </w:r>
      <w:r>
        <w:rPr>
          <w:rFonts w:ascii="Times New Roman" w:hAnsi="Times New Roman" w:eastAsia="Times New Roman" w:cs="Times New Roman"/>
          <w:spacing w:val="28"/>
          <w:w w:val="101"/>
          <w:sz w:val="24"/>
          <w:szCs w:val="24"/>
        </w:rPr>
        <w:t xml:space="preserve"> </w:t>
      </w:r>
      <w:r>
        <w:rPr>
          <w:rFonts w:ascii="宋体" w:hAnsi="宋体" w:eastAsia="宋体" w:cs="宋体"/>
          <w:spacing w:val="-2"/>
          <w:sz w:val="24"/>
          <w:szCs w:val="24"/>
        </w:rPr>
        <w:t>台电炉</w:t>
      </w:r>
      <w:r>
        <w:rPr>
          <w:rFonts w:ascii="宋体" w:hAnsi="宋体" w:eastAsia="宋体" w:cs="宋体"/>
          <w:spacing w:val="-3"/>
          <w:sz w:val="24"/>
          <w:szCs w:val="24"/>
        </w:rPr>
        <w:t>及辅助设施；原料烘干车间、原料储</w:t>
      </w:r>
      <w:r>
        <w:rPr>
          <w:rFonts w:ascii="宋体" w:hAnsi="宋体" w:eastAsia="宋体" w:cs="宋体"/>
          <w:sz w:val="24"/>
          <w:szCs w:val="24"/>
        </w:rPr>
        <w:t xml:space="preserve"> </w:t>
      </w:r>
      <w:r>
        <w:rPr>
          <w:rFonts w:ascii="宋体" w:hAnsi="宋体" w:eastAsia="宋体" w:cs="宋体"/>
          <w:spacing w:val="-2"/>
          <w:sz w:val="24"/>
          <w:szCs w:val="24"/>
        </w:rPr>
        <w:t>运设施位于电炉车间东侧，方便物流的运输。成品库布置在电炉车间东侧，并靠近厂区</w:t>
      </w:r>
      <w:r>
        <w:rPr>
          <w:rFonts w:ascii="宋体" w:hAnsi="宋体" w:eastAsia="宋体" w:cs="宋体"/>
          <w:spacing w:val="17"/>
          <w:sz w:val="24"/>
          <w:szCs w:val="24"/>
        </w:rPr>
        <w:t xml:space="preserve"> </w:t>
      </w:r>
      <w:r>
        <w:rPr>
          <w:rFonts w:ascii="宋体" w:hAnsi="宋体" w:eastAsia="宋体" w:cs="宋体"/>
          <w:spacing w:val="-2"/>
          <w:sz w:val="24"/>
          <w:szCs w:val="24"/>
        </w:rPr>
        <w:t>主道路，方便成品的外运。煤气柜布置在厂区北侧。生产车间北侧为辅助设施，包括机</w:t>
      </w:r>
      <w:r>
        <w:rPr>
          <w:rFonts w:ascii="宋体" w:hAnsi="宋体" w:eastAsia="宋体" w:cs="宋体"/>
          <w:spacing w:val="17"/>
          <w:sz w:val="24"/>
          <w:szCs w:val="24"/>
        </w:rPr>
        <w:t xml:space="preserve"> </w:t>
      </w:r>
      <w:r>
        <w:rPr>
          <w:rFonts w:ascii="宋体" w:hAnsi="宋体" w:eastAsia="宋体" w:cs="宋体"/>
          <w:spacing w:val="-1"/>
          <w:sz w:val="24"/>
          <w:szCs w:val="24"/>
        </w:rPr>
        <w:t>修车间、五金、备品库、循环水站等，依次由北向南布置。</w:t>
      </w:r>
    </w:p>
    <w:p w14:paraId="0B211BE5">
      <w:pPr>
        <w:spacing w:before="33" w:line="350" w:lineRule="auto"/>
        <w:ind w:left="9" w:firstLine="481"/>
        <w:jc w:val="both"/>
        <w:rPr>
          <w:rFonts w:ascii="宋体" w:hAnsi="宋体" w:eastAsia="宋体" w:cs="宋体"/>
          <w:sz w:val="24"/>
          <w:szCs w:val="24"/>
        </w:rPr>
      </w:pPr>
      <w:r>
        <w:rPr>
          <w:rFonts w:ascii="宋体" w:hAnsi="宋体" w:eastAsia="宋体" w:cs="宋体"/>
          <w:spacing w:val="-5"/>
          <w:sz w:val="24"/>
          <w:szCs w:val="24"/>
        </w:rPr>
        <w:t>厂前区位于厂区西北侧，包括综合办公楼，职工倒班宿舍、餐厅及</w:t>
      </w:r>
      <w:r>
        <w:rPr>
          <w:rFonts w:ascii="宋体" w:hAnsi="宋体" w:eastAsia="宋体" w:cs="宋体"/>
          <w:spacing w:val="-5"/>
          <w:sz w:val="20"/>
          <w:szCs w:val="20"/>
        </w:rPr>
        <w:t>集控化验中心楼</w:t>
      </w:r>
      <w:r>
        <w:rPr>
          <w:rFonts w:ascii="宋体" w:hAnsi="宋体" w:eastAsia="宋体" w:cs="宋体"/>
          <w:spacing w:val="-5"/>
          <w:sz w:val="24"/>
          <w:szCs w:val="24"/>
        </w:rPr>
        <w:t>等。</w:t>
      </w:r>
      <w:r>
        <w:rPr>
          <w:rFonts w:ascii="宋体" w:hAnsi="宋体" w:eastAsia="宋体" w:cs="宋体"/>
          <w:spacing w:val="8"/>
          <w:sz w:val="24"/>
          <w:szCs w:val="24"/>
        </w:rPr>
        <w:t xml:space="preserve"> </w:t>
      </w:r>
      <w:r>
        <w:rPr>
          <w:rFonts w:ascii="宋体" w:hAnsi="宋体" w:eastAsia="宋体" w:cs="宋体"/>
          <w:spacing w:val="-2"/>
          <w:sz w:val="24"/>
          <w:szCs w:val="24"/>
        </w:rPr>
        <w:t>其中，职工倒班宿舍、餐厅布置于此区域西北部，靠近厂区西北侧外墙，综合办公楼位</w:t>
      </w:r>
      <w:r>
        <w:rPr>
          <w:rFonts w:ascii="宋体" w:hAnsi="宋体" w:eastAsia="宋体" w:cs="宋体"/>
          <w:spacing w:val="16"/>
          <w:sz w:val="24"/>
          <w:szCs w:val="24"/>
        </w:rPr>
        <w:t xml:space="preserve"> </w:t>
      </w:r>
      <w:r>
        <w:rPr>
          <w:rFonts w:ascii="宋体" w:hAnsi="宋体" w:eastAsia="宋体" w:cs="宋体"/>
          <w:spacing w:val="-1"/>
          <w:sz w:val="24"/>
          <w:szCs w:val="24"/>
        </w:rPr>
        <w:t>于餐厅东南侧。沿此区域北侧外墙布置车棚。</w:t>
      </w:r>
    </w:p>
    <w:p w14:paraId="59E6268F">
      <w:pPr>
        <w:spacing w:before="36" w:line="345" w:lineRule="auto"/>
        <w:ind w:left="9" w:right="80" w:firstLine="480"/>
        <w:rPr>
          <w:rFonts w:ascii="宋体" w:hAnsi="宋体" w:eastAsia="宋体" w:cs="宋体"/>
          <w:sz w:val="24"/>
          <w:szCs w:val="24"/>
        </w:rPr>
      </w:pPr>
      <w:r>
        <w:rPr>
          <w:rFonts w:ascii="宋体" w:hAnsi="宋体" w:eastAsia="宋体" w:cs="宋体"/>
          <w:spacing w:val="-2"/>
          <w:sz w:val="24"/>
          <w:szCs w:val="24"/>
        </w:rPr>
        <w:t>煤气发电区位于厂区中部；由北向南依次布置空冷岛、超高温超高压汽机房、锅炉</w:t>
      </w:r>
      <w:r>
        <w:rPr>
          <w:rFonts w:ascii="宋体" w:hAnsi="宋体" w:eastAsia="宋体" w:cs="宋体"/>
          <w:spacing w:val="12"/>
          <w:sz w:val="24"/>
          <w:szCs w:val="24"/>
        </w:rPr>
        <w:t xml:space="preserve"> </w:t>
      </w:r>
      <w:r>
        <w:rPr>
          <w:rFonts w:ascii="宋体" w:hAnsi="宋体" w:eastAsia="宋体" w:cs="宋体"/>
          <w:spacing w:val="-2"/>
          <w:sz w:val="24"/>
          <w:szCs w:val="24"/>
        </w:rPr>
        <w:t>房、化水车间等。</w:t>
      </w:r>
    </w:p>
    <w:p w14:paraId="6C1BC086">
      <w:pPr>
        <w:spacing w:before="37" w:line="345" w:lineRule="auto"/>
        <w:ind w:left="10" w:firstLine="479"/>
        <w:rPr>
          <w:rFonts w:ascii="宋体" w:hAnsi="宋体" w:eastAsia="宋体" w:cs="宋体"/>
          <w:sz w:val="24"/>
          <w:szCs w:val="24"/>
        </w:rPr>
      </w:pPr>
      <w:r>
        <w:rPr>
          <w:rFonts w:ascii="宋体" w:hAnsi="宋体" w:eastAsia="宋体" w:cs="宋体"/>
          <w:spacing w:val="-3"/>
          <w:sz w:val="24"/>
          <w:szCs w:val="24"/>
        </w:rPr>
        <w:t>本项目共设</w:t>
      </w:r>
      <w:r>
        <w:rPr>
          <w:rFonts w:ascii="宋体" w:hAnsi="宋体" w:eastAsia="宋体" w:cs="宋体"/>
          <w:spacing w:val="-40"/>
          <w:sz w:val="24"/>
          <w:szCs w:val="24"/>
        </w:rPr>
        <w:t xml:space="preserve"> </w:t>
      </w:r>
      <w:r>
        <w:rPr>
          <w:rFonts w:ascii="Times New Roman" w:hAnsi="Times New Roman" w:eastAsia="Times New Roman" w:cs="Times New Roman"/>
          <w:spacing w:val="-3"/>
          <w:sz w:val="24"/>
          <w:szCs w:val="24"/>
        </w:rPr>
        <w:t xml:space="preserve">3 </w:t>
      </w:r>
      <w:r>
        <w:rPr>
          <w:rFonts w:ascii="宋体" w:hAnsi="宋体" w:eastAsia="宋体" w:cs="宋体"/>
          <w:spacing w:val="-3"/>
          <w:sz w:val="24"/>
          <w:szCs w:val="24"/>
        </w:rPr>
        <w:t>个出入口，</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个生活出入口，</w:t>
      </w:r>
      <w:r>
        <w:rPr>
          <w:rFonts w:ascii="Times New Roman" w:hAnsi="Times New Roman" w:eastAsia="Times New Roman" w:cs="Times New Roman"/>
          <w:spacing w:val="-3"/>
          <w:sz w:val="24"/>
          <w:szCs w:val="24"/>
        </w:rPr>
        <w:t xml:space="preserve">2 </w:t>
      </w:r>
      <w:r>
        <w:rPr>
          <w:rFonts w:ascii="宋体" w:hAnsi="宋体" w:eastAsia="宋体" w:cs="宋体"/>
          <w:spacing w:val="-3"/>
          <w:sz w:val="24"/>
          <w:szCs w:val="24"/>
        </w:rPr>
        <w:t>个生产出入口。生活出入口位于西侧。</w:t>
      </w:r>
      <w:r>
        <w:rPr>
          <w:rFonts w:ascii="宋体" w:hAnsi="宋体" w:eastAsia="宋体" w:cs="宋体"/>
          <w:sz w:val="24"/>
          <w:szCs w:val="24"/>
        </w:rPr>
        <w:t xml:space="preserve"> </w:t>
      </w:r>
      <w:r>
        <w:rPr>
          <w:rFonts w:ascii="宋体" w:hAnsi="宋体" w:eastAsia="宋体" w:cs="宋体"/>
          <w:spacing w:val="-2"/>
          <w:sz w:val="24"/>
          <w:szCs w:val="24"/>
        </w:rPr>
        <w:t>生产出入口位于南侧。</w:t>
      </w:r>
    </w:p>
    <w:p w14:paraId="62E5D485">
      <w:pPr>
        <w:spacing w:before="38" w:line="346" w:lineRule="auto"/>
        <w:ind w:left="9" w:right="80" w:firstLine="497"/>
        <w:rPr>
          <w:rFonts w:ascii="宋体" w:hAnsi="宋体" w:eastAsia="宋体" w:cs="宋体"/>
          <w:sz w:val="24"/>
          <w:szCs w:val="24"/>
        </w:rPr>
      </w:pPr>
      <w:r>
        <w:rPr>
          <w:rFonts w:ascii="宋体" w:hAnsi="宋体" w:eastAsia="宋体" w:cs="宋体"/>
          <w:spacing w:val="-2"/>
          <w:sz w:val="24"/>
          <w:szCs w:val="24"/>
        </w:rPr>
        <w:t>因此，本项目平面布置功能区明确，交通便利，建筑构筑物布置规范</w:t>
      </w:r>
      <w:r>
        <w:rPr>
          <w:rFonts w:ascii="宋体" w:hAnsi="宋体" w:eastAsia="宋体" w:cs="宋体"/>
          <w:spacing w:val="-3"/>
          <w:sz w:val="24"/>
          <w:szCs w:val="24"/>
        </w:rPr>
        <w:t>。平面布置基</w:t>
      </w:r>
      <w:r>
        <w:rPr>
          <w:rFonts w:ascii="宋体" w:hAnsi="宋体" w:eastAsia="宋体" w:cs="宋体"/>
          <w:sz w:val="24"/>
          <w:szCs w:val="24"/>
        </w:rPr>
        <w:t xml:space="preserve"> </w:t>
      </w:r>
      <w:r>
        <w:rPr>
          <w:rFonts w:ascii="宋体" w:hAnsi="宋体" w:eastAsia="宋体" w:cs="宋体"/>
          <w:spacing w:val="-3"/>
          <w:sz w:val="24"/>
          <w:szCs w:val="24"/>
        </w:rPr>
        <w:t>本合理。</w:t>
      </w:r>
    </w:p>
    <w:p w14:paraId="786D42DC">
      <w:pPr>
        <w:spacing w:before="32" w:line="219" w:lineRule="auto"/>
        <w:ind w:left="491"/>
        <w:rPr>
          <w:rFonts w:ascii="宋体" w:hAnsi="宋体" w:eastAsia="宋体" w:cs="宋体"/>
          <w:sz w:val="24"/>
          <w:szCs w:val="24"/>
        </w:rPr>
      </w:pPr>
      <w:r>
        <w:rPr>
          <w:rFonts w:ascii="宋体" w:hAnsi="宋体" w:eastAsia="宋体" w:cs="宋体"/>
          <w:spacing w:val="-2"/>
          <w:sz w:val="24"/>
          <w:szCs w:val="24"/>
        </w:rPr>
        <w:t>厂区平面布置图详见图</w:t>
      </w:r>
      <w:r>
        <w:rPr>
          <w:rFonts w:ascii="宋体" w:hAnsi="宋体" w:eastAsia="宋体" w:cs="宋体"/>
          <w:spacing w:val="-42"/>
          <w:sz w:val="24"/>
          <w:szCs w:val="24"/>
        </w:rPr>
        <w:t xml:space="preserve"> </w:t>
      </w:r>
      <w:r>
        <w:rPr>
          <w:rFonts w:ascii="Times New Roman" w:hAnsi="Times New Roman" w:eastAsia="Times New Roman" w:cs="Times New Roman"/>
          <w:spacing w:val="-2"/>
          <w:sz w:val="24"/>
          <w:szCs w:val="24"/>
        </w:rPr>
        <w:t>2.1-3</w:t>
      </w:r>
      <w:r>
        <w:rPr>
          <w:rFonts w:ascii="宋体" w:hAnsi="宋体" w:eastAsia="宋体" w:cs="宋体"/>
          <w:spacing w:val="-2"/>
          <w:sz w:val="24"/>
          <w:szCs w:val="24"/>
        </w:rPr>
        <w:t>。</w:t>
      </w:r>
    </w:p>
    <w:p w14:paraId="3215EAF4">
      <w:pPr>
        <w:spacing w:line="219" w:lineRule="auto"/>
        <w:rPr>
          <w:rFonts w:ascii="宋体" w:hAnsi="宋体" w:eastAsia="宋体" w:cs="宋体"/>
          <w:sz w:val="24"/>
          <w:szCs w:val="24"/>
        </w:rPr>
        <w:sectPr>
          <w:headerReference r:id="rId94" w:type="default"/>
          <w:footerReference r:id="rId95" w:type="default"/>
          <w:pgSz w:w="11906" w:h="16839"/>
          <w:pgMar w:top="1235" w:right="1337" w:bottom="1070" w:left="1417" w:header="925" w:footer="907" w:gutter="0"/>
          <w:cols w:space="720" w:num="1"/>
        </w:sectPr>
      </w:pPr>
    </w:p>
    <w:p w14:paraId="6303674A">
      <w:pPr>
        <w:pStyle w:val="2"/>
        <w:spacing w:line="341" w:lineRule="auto"/>
      </w:pPr>
      <w:r>
        <w:pict>
          <v:shape id="_x0000_s1144" o:spid="_x0000_s1144" style="position:absolute;left:0pt;margin-left:0pt;margin-top:0.7pt;height:0.75pt;width:683.1pt;z-index:251794432;mso-width-relative:page;mso-height-relative:page;" fillcolor="#000000" filled="t" stroked="f" coordsize="13661,15" path="m0,0l13661,0,13661,14,0,14,0,0xe">
            <v:path/>
            <v:fill on="t" focussize="0,0"/>
            <v:stroke on="f"/>
            <v:imagedata o:title=""/>
            <o:lock v:ext="edit"/>
          </v:shape>
        </w:pict>
      </w:r>
      <w:r>
        <w:drawing>
          <wp:anchor distT="0" distB="0" distL="0" distR="0" simplePos="0" relativeHeight="251789312" behindDoc="0" locked="0" layoutInCell="1" allowOverlap="1">
            <wp:simplePos x="0" y="0"/>
            <wp:positionH relativeFrom="column">
              <wp:posOffset>7581900</wp:posOffset>
            </wp:positionH>
            <wp:positionV relativeFrom="paragraph">
              <wp:posOffset>146050</wp:posOffset>
            </wp:positionV>
            <wp:extent cx="1075690" cy="1082040"/>
            <wp:effectExtent l="0" t="0" r="0" b="0"/>
            <wp:wrapNone/>
            <wp:docPr id="26" name="IM 26"/>
            <wp:cNvGraphicFramePr/>
            <a:graphic xmlns:a="http://schemas.openxmlformats.org/drawingml/2006/main">
              <a:graphicData uri="http://schemas.openxmlformats.org/drawingml/2006/picture">
                <pic:pic xmlns:pic="http://schemas.openxmlformats.org/drawingml/2006/picture">
                  <pic:nvPicPr>
                    <pic:cNvPr id="26" name="IM 26"/>
                    <pic:cNvPicPr/>
                  </pic:nvPicPr>
                  <pic:blipFill>
                    <a:blip r:embed="rId591"/>
                    <a:stretch>
                      <a:fillRect/>
                    </a:stretch>
                  </pic:blipFill>
                  <pic:spPr>
                    <a:xfrm>
                      <a:off x="0" y="0"/>
                      <a:ext cx="1075943" cy="1082039"/>
                    </a:xfrm>
                    <a:prstGeom prst="rect">
                      <a:avLst/>
                    </a:prstGeom>
                  </pic:spPr>
                </pic:pic>
              </a:graphicData>
            </a:graphic>
          </wp:anchor>
        </w:drawing>
      </w:r>
    </w:p>
    <w:p w14:paraId="4C73FE30">
      <w:pPr>
        <w:spacing w:line="425" w:lineRule="exact"/>
        <w:ind w:firstLine="10795"/>
      </w:pPr>
      <w:r>
        <w:pict>
          <v:shape id="_x0000_s1145" o:spid="_x0000_s1145" o:spt="202" type="#_x0000_t202" style="position:absolute;left:0pt;margin-left:487.1pt;margin-top:6.25pt;height:13.25pt;width:40.95pt;z-index:251792384;mso-width-relative:page;mso-height-relative:page;" fillcolor="#FFFFFF" filled="t" stroked="f" coordsize="21600,21600">
            <v:path/>
            <v:fill on="t" focussize="0,0"/>
            <v:stroke on="f"/>
            <v:imagedata o:title=""/>
            <o:lock v:ext="edit" aspectratio="f"/>
            <v:textbox inset="0mm,0mm,0mm,0mm">
              <w:txbxContent>
                <w:p w14:paraId="28CFB844">
                  <w:pPr>
                    <w:spacing w:before="29" w:line="219" w:lineRule="auto"/>
                    <w:ind w:left="6"/>
                    <w:rPr>
                      <w:rFonts w:ascii="宋体" w:hAnsi="宋体" w:eastAsia="宋体" w:cs="宋体"/>
                      <w:sz w:val="18"/>
                      <w:szCs w:val="18"/>
                    </w:rPr>
                  </w:pPr>
                  <w:r>
                    <w:rPr>
                      <w:rFonts w:ascii="宋体" w:hAnsi="宋体" w:eastAsia="宋体" w:cs="宋体"/>
                      <w:b/>
                      <w:bCs/>
                      <w:color w:val="FF0000"/>
                      <w:spacing w:val="-4"/>
                      <w:sz w:val="18"/>
                      <w:szCs w:val="18"/>
                    </w:rPr>
                    <w:t>事故水池</w:t>
                  </w:r>
                </w:p>
              </w:txbxContent>
            </v:textbox>
          </v:shape>
        </w:pict>
      </w:r>
      <w:r>
        <w:rPr>
          <w:position w:val="-8"/>
        </w:rPr>
        <w:pict>
          <v:shape id="_x0000_s1146" o:spid="_x0000_s1146" o:spt="202" type="#_x0000_t202" style="height:21.25pt;width:25.6pt;" fillcolor="#FFFFFF" filled="t" stroked="f" coordsize="21600,21600">
            <v:path/>
            <v:fill on="t" focussize="0,0"/>
            <v:stroke on="f"/>
            <v:imagedata o:title=""/>
            <o:lock v:ext="edit" aspectratio="f"/>
            <v:textbox inset="0mm,0mm,0mm,0mm">
              <w:txbxContent>
                <w:p w14:paraId="3D39175A">
                  <w:pPr>
                    <w:spacing w:before="23" w:line="244" w:lineRule="auto"/>
                    <w:ind w:left="40" w:right="33" w:firstLine="70"/>
                    <w:rPr>
                      <w:rFonts w:ascii="宋体" w:hAnsi="宋体" w:eastAsia="宋体" w:cs="宋体"/>
                      <w:sz w:val="14"/>
                      <w:szCs w:val="14"/>
                    </w:rPr>
                  </w:pPr>
                  <w:r>
                    <w:rPr>
                      <w:rFonts w:ascii="宋体" w:hAnsi="宋体" w:eastAsia="宋体" w:cs="宋体"/>
                      <w:b/>
                      <w:bCs/>
                      <w:color w:val="FF0000"/>
                      <w:spacing w:val="6"/>
                      <w:sz w:val="14"/>
                      <w:szCs w:val="14"/>
                    </w:rPr>
                    <w:t>初期</w:t>
                  </w:r>
                  <w:r>
                    <w:rPr>
                      <w:rFonts w:ascii="宋体" w:hAnsi="宋体" w:eastAsia="宋体" w:cs="宋体"/>
                      <w:color w:val="FF0000"/>
                      <w:sz w:val="14"/>
                      <w:szCs w:val="14"/>
                    </w:rPr>
                    <w:t xml:space="preserve">  </w:t>
                  </w:r>
                  <w:r>
                    <w:rPr>
                      <w:rFonts w:ascii="宋体" w:hAnsi="宋体" w:eastAsia="宋体" w:cs="宋体"/>
                      <w:b/>
                      <w:bCs/>
                      <w:color w:val="FF0000"/>
                      <w:spacing w:val="4"/>
                      <w:sz w:val="14"/>
                      <w:szCs w:val="14"/>
                    </w:rPr>
                    <w:t>雨水池</w:t>
                  </w:r>
                </w:p>
              </w:txbxContent>
            </v:textbox>
            <w10:wrap type="none"/>
            <w10:anchorlock/>
          </v:shape>
        </w:pict>
      </w:r>
    </w:p>
    <w:p w14:paraId="4FD34769">
      <w:pPr>
        <w:spacing w:before="68" w:line="227" w:lineRule="auto"/>
        <w:ind w:left="6641"/>
        <w:rPr>
          <w:rFonts w:ascii="宋体" w:hAnsi="宋体" w:eastAsia="宋体" w:cs="宋体"/>
          <w:sz w:val="20"/>
          <w:szCs w:val="20"/>
        </w:rPr>
      </w:pPr>
      <w:r>
        <w:pict>
          <v:shape id="_x0000_s1147" o:spid="_x0000_s1147" o:spt="202" type="#_x0000_t202" style="position:absolute;left:0pt;margin-left:162pt;margin-top:12.15pt;height:46.05pt;width:12.45pt;z-index:251795456;mso-width-relative:page;mso-height-relative:page;" filled="f" stroked="f" coordsize="21600,21600">
            <v:path/>
            <v:fill on="f" focussize="0,0"/>
            <v:stroke on="f"/>
            <v:imagedata o:title=""/>
            <o:lock v:ext="edit" aspectratio="f"/>
            <v:textbox inset="0mm,0mm,0mm,0mm" style="layout-flow:vertical-ideographic;">
              <w:txbxContent>
                <w:p w14:paraId="070A6F42">
                  <w:pPr>
                    <w:spacing w:before="19" w:line="208" w:lineRule="auto"/>
                    <w:ind w:left="20"/>
                    <w:rPr>
                      <w:rFonts w:ascii="宋体" w:hAnsi="宋体" w:eastAsia="宋体" w:cs="宋体"/>
                      <w:sz w:val="18"/>
                      <w:szCs w:val="18"/>
                    </w:rPr>
                  </w:pPr>
                  <w:r>
                    <w:rPr>
                      <w:rFonts w:ascii="宋体" w:hAnsi="宋体" w:eastAsia="宋体" w:cs="宋体"/>
                      <w:b/>
                      <w:bCs/>
                      <w:color w:val="FF0000"/>
                      <w:spacing w:val="38"/>
                      <w:sz w:val="18"/>
                      <w:szCs w:val="18"/>
                    </w:rPr>
                    <w:t>机修车间</w:t>
                  </w:r>
                </w:p>
              </w:txbxContent>
            </v:textbox>
          </v:shape>
        </w:pict>
      </w:r>
      <w:r>
        <w:rPr>
          <w:rFonts w:ascii="宋体" w:hAnsi="宋体" w:eastAsia="宋体" w:cs="宋体"/>
          <w:b/>
          <w:bCs/>
          <w:color w:val="EE3AEC"/>
          <w:spacing w:val="6"/>
          <w:sz w:val="20"/>
          <w:szCs w:val="20"/>
        </w:rPr>
        <w:t>干式气柜</w:t>
      </w:r>
    </w:p>
    <w:p w14:paraId="59B7D3AB">
      <w:pPr>
        <w:pStyle w:val="2"/>
        <w:spacing w:line="307" w:lineRule="auto"/>
      </w:pPr>
    </w:p>
    <w:p w14:paraId="2F75A365">
      <w:pPr>
        <w:spacing w:before="46" w:line="233" w:lineRule="auto"/>
        <w:ind w:left="4722"/>
        <w:rPr>
          <w:rFonts w:ascii="宋体" w:hAnsi="宋体" w:eastAsia="宋体" w:cs="宋体"/>
          <w:sz w:val="14"/>
          <w:szCs w:val="14"/>
        </w:rPr>
      </w:pPr>
      <w:r>
        <w:rPr>
          <w:rFonts w:ascii="宋体" w:hAnsi="宋体" w:eastAsia="宋体" w:cs="宋体"/>
          <w:b/>
          <w:bCs/>
          <w:color w:val="FF0000"/>
          <w:spacing w:val="6"/>
          <w:sz w:val="14"/>
          <w:szCs w:val="14"/>
        </w:rPr>
        <w:t>变电站</w:t>
      </w:r>
    </w:p>
    <w:p w14:paraId="54B2DA13">
      <w:pPr>
        <w:spacing w:before="243" w:line="244" w:lineRule="auto"/>
        <w:ind w:left="9558" w:right="3665" w:firstLine="71"/>
        <w:rPr>
          <w:rFonts w:ascii="宋体" w:hAnsi="宋体" w:eastAsia="宋体" w:cs="宋体"/>
          <w:sz w:val="14"/>
          <w:szCs w:val="14"/>
        </w:rPr>
      </w:pPr>
      <w:r>
        <w:rPr>
          <w:rFonts w:ascii="宋体" w:hAnsi="宋体" w:eastAsia="宋体" w:cs="宋体"/>
          <w:b/>
          <w:bCs/>
          <w:color w:val="FF0000"/>
          <w:spacing w:val="4"/>
          <w:sz w:val="14"/>
          <w:szCs w:val="14"/>
        </w:rPr>
        <w:t>危废</w:t>
      </w:r>
      <w:r>
        <w:rPr>
          <w:rFonts w:ascii="宋体" w:hAnsi="宋体" w:eastAsia="宋体" w:cs="宋体"/>
          <w:color w:val="FF0000"/>
          <w:sz w:val="14"/>
          <w:szCs w:val="14"/>
        </w:rPr>
        <w:t xml:space="preserve">  </w:t>
      </w:r>
      <w:r>
        <w:rPr>
          <w:rFonts w:ascii="宋体" w:hAnsi="宋体" w:eastAsia="宋体" w:cs="宋体"/>
          <w:b/>
          <w:bCs/>
          <w:color w:val="FF0000"/>
          <w:spacing w:val="4"/>
          <w:sz w:val="14"/>
          <w:szCs w:val="14"/>
        </w:rPr>
        <w:t>暂存库</w:t>
      </w:r>
    </w:p>
    <w:p w14:paraId="18F98585">
      <w:pPr>
        <w:pStyle w:val="2"/>
        <w:spacing w:line="257" w:lineRule="auto"/>
      </w:pPr>
    </w:p>
    <w:p w14:paraId="4C664F4F">
      <w:pPr>
        <w:pStyle w:val="2"/>
        <w:spacing w:line="258" w:lineRule="auto"/>
      </w:pPr>
    </w:p>
    <w:p w14:paraId="7D0A8922">
      <w:pPr>
        <w:pStyle w:val="2"/>
        <w:spacing w:line="258" w:lineRule="auto"/>
      </w:pPr>
    </w:p>
    <w:p w14:paraId="295CFECB">
      <w:pPr>
        <w:spacing w:before="65" w:line="228" w:lineRule="auto"/>
        <w:ind w:left="1522"/>
        <w:rPr>
          <w:rFonts w:ascii="宋体" w:hAnsi="宋体" w:eastAsia="宋体" w:cs="宋体"/>
          <w:sz w:val="20"/>
          <w:szCs w:val="20"/>
        </w:rPr>
      </w:pPr>
      <w:r>
        <w:rPr>
          <w:rFonts w:ascii="宋体" w:hAnsi="宋体" w:eastAsia="宋体" w:cs="宋体"/>
          <w:b/>
          <w:bCs/>
          <w:color w:val="00B050"/>
          <w:spacing w:val="6"/>
          <w:sz w:val="20"/>
          <w:szCs w:val="20"/>
          <w:shd w:val="clear" w:fill="FFFFFE"/>
        </w:rPr>
        <w:t>生活办公区</w:t>
      </w:r>
    </w:p>
    <w:p w14:paraId="23C466DD">
      <w:pPr>
        <w:pStyle w:val="2"/>
        <w:spacing w:line="316" w:lineRule="auto"/>
      </w:pPr>
    </w:p>
    <w:p w14:paraId="394E7145">
      <w:pPr>
        <w:pStyle w:val="2"/>
        <w:spacing w:line="317" w:lineRule="auto"/>
      </w:pPr>
    </w:p>
    <w:p w14:paraId="48D7D124">
      <w:pPr>
        <w:spacing w:line="1234" w:lineRule="exact"/>
        <w:ind w:firstLine="3487"/>
      </w:pPr>
      <w:r>
        <w:pict>
          <v:shape id="_x0000_s1148" o:spid="_x0000_s1148" o:spt="202" type="#_x0000_t202" style="position:absolute;left:0pt;margin-left:240pt;margin-top:29.15pt;height:15.15pt;width:54.85pt;z-index:251790336;mso-width-relative:page;mso-height-relative:page;" fillcolor="#FFFFFF" filled="t" stroked="f" coordsize="21600,21600">
            <v:path/>
            <v:fill on="t" focussize="0,0"/>
            <v:stroke on="f"/>
            <v:imagedata o:title=""/>
            <o:lock v:ext="edit" aspectratio="f"/>
            <v:textbox inset="0mm,0mm,0mm,0mm">
              <w:txbxContent>
                <w:p w14:paraId="6435C2B4">
                  <w:pPr>
                    <w:spacing w:before="30" w:line="226" w:lineRule="auto"/>
                    <w:ind w:left="8"/>
                    <w:rPr>
                      <w:rFonts w:ascii="宋体" w:hAnsi="宋体" w:eastAsia="宋体" w:cs="宋体"/>
                      <w:sz w:val="20"/>
                      <w:szCs w:val="20"/>
                    </w:rPr>
                  </w:pPr>
                  <w:r>
                    <w:rPr>
                      <w:rFonts w:ascii="宋体" w:hAnsi="宋体" w:eastAsia="宋体" w:cs="宋体"/>
                      <w:b/>
                      <w:bCs/>
                      <w:color w:val="FF0000"/>
                      <w:spacing w:val="6"/>
                      <w:sz w:val="20"/>
                      <w:szCs w:val="20"/>
                    </w:rPr>
                    <w:t>燃气发电区</w:t>
                  </w:r>
                </w:p>
              </w:txbxContent>
            </v:textbox>
          </v:shape>
        </w:pict>
      </w:r>
      <w:r>
        <w:pict>
          <v:shape id="_x0000_s1149" o:spid="_x0000_s1149" o:spt="202" type="#_x0000_t202" style="position:absolute;left:0pt;margin-left:521.6pt;margin-top:48.3pt;height:14.3pt;width:54.25pt;z-index:251791360;mso-width-relative:page;mso-height-relative:page;" filled="f" stroked="f" coordsize="21600,21600">
            <v:path/>
            <v:fill on="f" focussize="0,0"/>
            <v:stroke on="f"/>
            <v:imagedata o:title=""/>
            <o:lock v:ext="edit" aspectratio="f"/>
            <v:textbox inset="0mm,0mm,0mm,0mm">
              <w:txbxContent>
                <w:p w14:paraId="41BC5C7F">
                  <w:pPr>
                    <w:spacing w:before="19" w:line="227" w:lineRule="auto"/>
                    <w:ind w:left="20"/>
                    <w:rPr>
                      <w:rFonts w:ascii="宋体" w:hAnsi="宋体" w:eastAsia="宋体" w:cs="宋体"/>
                      <w:sz w:val="20"/>
                      <w:szCs w:val="20"/>
                    </w:rPr>
                  </w:pPr>
                  <w:r>
                    <w:rPr>
                      <w:rFonts w:ascii="宋体" w:hAnsi="宋体" w:eastAsia="宋体" w:cs="宋体"/>
                      <w:b/>
                      <w:bCs/>
                      <w:color w:val="EE3AEC"/>
                      <w:spacing w:val="6"/>
                      <w:sz w:val="20"/>
                      <w:szCs w:val="20"/>
                    </w:rPr>
                    <w:t>烧结原料库</w:t>
                  </w:r>
                </w:p>
              </w:txbxContent>
            </v:textbox>
          </v:shape>
        </w:pict>
      </w:r>
      <w:r>
        <w:rPr>
          <w:position w:val="-24"/>
        </w:rPr>
        <w:pict>
          <v:shape id="_x0000_s1150" o:spid="_x0000_s1150" o:spt="202" type="#_x0000_t202" style="height:61.7pt;width:15.15pt;" fillcolor="#FFFFFF" filled="t" stroked="f" coordsize="21600,21600">
            <v:path/>
            <v:fill on="t" focussize="0,0"/>
            <v:stroke on="f"/>
            <v:imagedata o:title=""/>
            <o:lock v:ext="edit" aspectratio="f"/>
            <v:textbox inset="0mm,0mm,0mm,0mm">
              <w:txbxContent>
                <w:p w14:paraId="13731432">
                  <w:pPr>
                    <w:spacing w:before="28" w:line="235" w:lineRule="auto"/>
                    <w:ind w:left="8" w:firstLine="56"/>
                    <w:jc w:val="both"/>
                    <w:rPr>
                      <w:rFonts w:ascii="宋体" w:hAnsi="宋体" w:eastAsia="宋体" w:cs="宋体"/>
                      <w:sz w:val="18"/>
                      <w:szCs w:val="18"/>
                    </w:rPr>
                  </w:pPr>
                  <w:r>
                    <w:rPr>
                      <w:rFonts w:ascii="宋体" w:hAnsi="宋体" w:eastAsia="宋体" w:cs="宋体"/>
                      <w:b/>
                      <w:bCs/>
                      <w:color w:val="FF0000"/>
                      <w:spacing w:val="-13"/>
                      <w:w w:val="92"/>
                      <w:sz w:val="18"/>
                      <w:szCs w:val="18"/>
                    </w:rPr>
                    <w:t>五</w:t>
                  </w:r>
                  <w:r>
                    <w:rPr>
                      <w:rFonts w:ascii="宋体" w:hAnsi="宋体" w:eastAsia="宋体" w:cs="宋体"/>
                      <w:color w:val="FF0000"/>
                      <w:sz w:val="18"/>
                      <w:szCs w:val="18"/>
                    </w:rPr>
                    <w:t xml:space="preserve">  </w:t>
                  </w:r>
                  <w:r>
                    <w:rPr>
                      <w:rFonts w:ascii="宋体" w:hAnsi="宋体" w:eastAsia="宋体" w:cs="宋体"/>
                      <w:b/>
                      <w:bCs/>
                      <w:color w:val="FF0000"/>
                      <w:spacing w:val="-25"/>
                      <w:w w:val="94"/>
                      <w:sz w:val="18"/>
                      <w:szCs w:val="18"/>
                    </w:rPr>
                    <w:t>金、</w:t>
                  </w:r>
                  <w:r>
                    <w:rPr>
                      <w:rFonts w:ascii="宋体" w:hAnsi="宋体" w:eastAsia="宋体" w:cs="宋体"/>
                      <w:color w:val="FF0000"/>
                      <w:sz w:val="18"/>
                      <w:szCs w:val="18"/>
                    </w:rPr>
                    <w:t xml:space="preserve"> </w:t>
                  </w:r>
                  <w:r>
                    <w:rPr>
                      <w:rFonts w:ascii="宋体" w:hAnsi="宋体" w:eastAsia="宋体" w:cs="宋体"/>
                      <w:b/>
                      <w:bCs/>
                      <w:color w:val="FF0000"/>
                      <w:spacing w:val="30"/>
                      <w:sz w:val="18"/>
                      <w:szCs w:val="18"/>
                    </w:rPr>
                    <w:t>备</w:t>
                  </w:r>
                  <w:r>
                    <w:rPr>
                      <w:rFonts w:ascii="宋体" w:hAnsi="宋体" w:eastAsia="宋体" w:cs="宋体"/>
                      <w:color w:val="FF0000"/>
                      <w:sz w:val="18"/>
                      <w:szCs w:val="18"/>
                    </w:rPr>
                    <w:t xml:space="preserve">  </w:t>
                  </w:r>
                  <w:r>
                    <w:rPr>
                      <w:rFonts w:ascii="宋体" w:hAnsi="宋体" w:eastAsia="宋体" w:cs="宋体"/>
                      <w:b/>
                      <w:bCs/>
                      <w:color w:val="FF0000"/>
                      <w:spacing w:val="30"/>
                      <w:sz w:val="18"/>
                      <w:szCs w:val="18"/>
                    </w:rPr>
                    <w:t>品</w:t>
                  </w:r>
                  <w:r>
                    <w:rPr>
                      <w:rFonts w:ascii="宋体" w:hAnsi="宋体" w:eastAsia="宋体" w:cs="宋体"/>
                      <w:color w:val="FF0000"/>
                      <w:sz w:val="18"/>
                      <w:szCs w:val="18"/>
                    </w:rPr>
                    <w:t xml:space="preserve">  </w:t>
                  </w:r>
                  <w:r>
                    <w:rPr>
                      <w:rFonts w:ascii="宋体" w:hAnsi="宋体" w:eastAsia="宋体" w:cs="宋体"/>
                      <w:b/>
                      <w:bCs/>
                      <w:color w:val="FF0000"/>
                      <w:spacing w:val="30"/>
                      <w:sz w:val="18"/>
                      <w:szCs w:val="18"/>
                    </w:rPr>
                    <w:t>库</w:t>
                  </w:r>
                </w:p>
              </w:txbxContent>
            </v:textbox>
            <w10:wrap type="none"/>
            <w10:anchorlock/>
          </v:shape>
        </w:pict>
      </w:r>
    </w:p>
    <w:p w14:paraId="12CC242F">
      <w:pPr>
        <w:spacing w:before="3" w:line="187" w:lineRule="auto"/>
        <w:ind w:left="7529"/>
        <w:rPr>
          <w:rFonts w:ascii="宋体" w:hAnsi="宋体" w:eastAsia="宋体" w:cs="宋体"/>
          <w:sz w:val="20"/>
          <w:szCs w:val="20"/>
        </w:rPr>
      </w:pPr>
      <w:r>
        <w:rPr>
          <w:rFonts w:ascii="宋体" w:hAnsi="宋体" w:eastAsia="宋体" w:cs="宋体"/>
          <w:b/>
          <w:bCs/>
          <w:color w:val="EE3AEC"/>
          <w:spacing w:val="7"/>
          <w:sz w:val="20"/>
          <w:szCs w:val="20"/>
        </w:rPr>
        <w:t>烧结生产系统</w:t>
      </w:r>
    </w:p>
    <w:p w14:paraId="0DF4E1E5">
      <w:pPr>
        <w:spacing w:line="239" w:lineRule="auto"/>
        <w:ind w:left="1671" w:right="11697" w:firstLine="1"/>
        <w:rPr>
          <w:rFonts w:ascii="宋体" w:hAnsi="宋体" w:eastAsia="宋体" w:cs="宋体"/>
          <w:sz w:val="14"/>
          <w:szCs w:val="14"/>
        </w:rPr>
      </w:pPr>
      <w:r>
        <w:rPr>
          <w:rFonts w:ascii="宋体" w:hAnsi="宋体" w:eastAsia="宋体" w:cs="宋体"/>
          <w:b/>
          <w:bCs/>
          <w:color w:val="FF0000"/>
          <w:spacing w:val="4"/>
          <w:sz w:val="14"/>
          <w:szCs w:val="14"/>
        </w:rPr>
        <w:t>消防</w:t>
      </w:r>
      <w:r>
        <w:rPr>
          <w:rFonts w:ascii="宋体" w:hAnsi="宋体" w:eastAsia="宋体" w:cs="宋体"/>
          <w:color w:val="FF0000"/>
          <w:sz w:val="14"/>
          <w:szCs w:val="14"/>
        </w:rPr>
        <w:t xml:space="preserve"> </w:t>
      </w:r>
      <w:r>
        <w:rPr>
          <w:rFonts w:ascii="宋体" w:hAnsi="宋体" w:eastAsia="宋体" w:cs="宋体"/>
          <w:b/>
          <w:bCs/>
          <w:color w:val="FF0000"/>
          <w:spacing w:val="4"/>
          <w:sz w:val="14"/>
          <w:szCs w:val="14"/>
        </w:rPr>
        <w:t>水池</w:t>
      </w:r>
    </w:p>
    <w:p w14:paraId="4FA9836B">
      <w:pPr>
        <w:pStyle w:val="2"/>
        <w:spacing w:line="257" w:lineRule="auto"/>
      </w:pPr>
    </w:p>
    <w:p w14:paraId="13B832B5">
      <w:pPr>
        <w:pStyle w:val="2"/>
        <w:spacing w:line="258" w:lineRule="auto"/>
      </w:pPr>
    </w:p>
    <w:p w14:paraId="762B20A9">
      <w:pPr>
        <w:pStyle w:val="2"/>
        <w:spacing w:line="258" w:lineRule="auto"/>
      </w:pPr>
    </w:p>
    <w:p w14:paraId="77692523">
      <w:pPr>
        <w:spacing w:before="59" w:line="180" w:lineRule="auto"/>
        <w:ind w:left="2851"/>
        <w:rPr>
          <w:rFonts w:ascii="宋体" w:hAnsi="宋体" w:eastAsia="宋体" w:cs="宋体"/>
          <w:sz w:val="18"/>
          <w:szCs w:val="18"/>
        </w:rPr>
      </w:pPr>
      <w:r>
        <w:rPr>
          <w:rFonts w:ascii="宋体" w:hAnsi="宋体" w:eastAsia="宋体" w:cs="宋体"/>
          <w:b/>
          <w:bCs/>
          <w:color w:val="EE3AEC"/>
          <w:spacing w:val="-4"/>
          <w:sz w:val="18"/>
          <w:szCs w:val="18"/>
        </w:rPr>
        <w:t>循环水站</w:t>
      </w:r>
    </w:p>
    <w:p w14:paraId="510BCCC3">
      <w:pPr>
        <w:spacing w:line="238" w:lineRule="exact"/>
        <w:ind w:firstLine="5009"/>
      </w:pPr>
      <w:r>
        <w:rPr>
          <w:position w:val="-4"/>
        </w:rPr>
        <w:pict>
          <v:shape id="_x0000_s1151" o:spid="_x0000_s1151" o:spt="202" type="#_x0000_t202" style="height:11.9pt;width:37.45pt;" fillcolor="#FFFFFF" filled="t" stroked="f" coordsize="21600,21600">
            <v:path/>
            <v:fill on="t" focussize="0,0"/>
            <v:stroke on="f"/>
            <v:imagedata o:title=""/>
            <o:lock v:ext="edit" aspectratio="f"/>
            <v:textbox inset="0mm,0mm,0mm,0mm">
              <w:txbxContent>
                <w:p w14:paraId="785F87B0">
                  <w:pPr>
                    <w:spacing w:before="17" w:line="231" w:lineRule="auto"/>
                    <w:ind w:left="80"/>
                    <w:rPr>
                      <w:rFonts w:ascii="宋体" w:hAnsi="宋体" w:eastAsia="宋体" w:cs="宋体"/>
                      <w:sz w:val="14"/>
                      <w:szCs w:val="14"/>
                    </w:rPr>
                  </w:pPr>
                  <w:r>
                    <w:rPr>
                      <w:rFonts w:ascii="宋体" w:hAnsi="宋体" w:eastAsia="宋体" w:cs="宋体"/>
                      <w:b/>
                      <w:bCs/>
                      <w:color w:val="FF0000"/>
                      <w:spacing w:val="6"/>
                      <w:sz w:val="14"/>
                      <w:szCs w:val="14"/>
                    </w:rPr>
                    <w:t>化水车间</w:t>
                  </w:r>
                </w:p>
              </w:txbxContent>
            </v:textbox>
            <w10:wrap type="none"/>
            <w10:anchorlock/>
          </v:shape>
        </w:pict>
      </w:r>
    </w:p>
    <w:p w14:paraId="6D86B810">
      <w:pPr>
        <w:pStyle w:val="2"/>
        <w:spacing w:line="261" w:lineRule="auto"/>
      </w:pPr>
    </w:p>
    <w:p w14:paraId="6F6DC316">
      <w:pPr>
        <w:pStyle w:val="2"/>
        <w:spacing w:line="261" w:lineRule="auto"/>
      </w:pPr>
    </w:p>
    <w:p w14:paraId="77B2083A">
      <w:pPr>
        <w:pStyle w:val="2"/>
        <w:spacing w:line="261" w:lineRule="auto"/>
      </w:pPr>
    </w:p>
    <w:p w14:paraId="3A6E1CD0">
      <w:pPr>
        <w:spacing w:before="66" w:line="227" w:lineRule="auto"/>
        <w:ind w:left="7332"/>
        <w:rPr>
          <w:rFonts w:ascii="宋体" w:hAnsi="宋体" w:eastAsia="宋体" w:cs="宋体"/>
          <w:sz w:val="20"/>
          <w:szCs w:val="20"/>
        </w:rPr>
      </w:pPr>
      <w:r>
        <w:rPr>
          <w:rFonts w:ascii="宋体" w:hAnsi="宋体" w:eastAsia="宋体" w:cs="宋体"/>
          <w:b/>
          <w:bCs/>
          <w:color w:val="EE3AEC"/>
          <w:spacing w:val="6"/>
          <w:sz w:val="20"/>
          <w:szCs w:val="20"/>
          <w:shd w:val="clear" w:fill="FFFFFE"/>
        </w:rPr>
        <w:t>烧结成品库</w:t>
      </w:r>
    </w:p>
    <w:p w14:paraId="0012947A">
      <w:pPr>
        <w:pStyle w:val="2"/>
        <w:spacing w:line="266" w:lineRule="auto"/>
      </w:pPr>
    </w:p>
    <w:p w14:paraId="27EAED61">
      <w:pPr>
        <w:pStyle w:val="2"/>
        <w:spacing w:line="266" w:lineRule="auto"/>
      </w:pPr>
      <w:r>
        <w:pict>
          <v:shape id="_x0000_s1152" o:spid="_x0000_s1152" o:spt="202" type="#_x0000_t202" style="position:absolute;left:0pt;margin-left:482.7pt;margin-top:1.4pt;height:34.3pt;width:12.5pt;z-index:251800576;mso-width-relative:page;mso-height-relative:page;" filled="f" stroked="f" coordsize="21600,21600">
            <v:path/>
            <v:fill on="f" focussize="0,0"/>
            <v:stroke on="f"/>
            <v:imagedata o:title=""/>
            <o:lock v:ext="edit" aspectratio="f"/>
            <v:textbox inset="0mm,0mm,0mm,0mm" style="layout-flow:vertical-ideographic;">
              <w:txbxContent>
                <w:p w14:paraId="2253CCEF">
                  <w:pPr>
                    <w:spacing w:before="19" w:line="209" w:lineRule="auto"/>
                    <w:ind w:left="20"/>
                    <w:rPr>
                      <w:rFonts w:ascii="宋体" w:hAnsi="宋体" w:eastAsia="宋体" w:cs="宋体"/>
                      <w:sz w:val="18"/>
                      <w:szCs w:val="18"/>
                    </w:rPr>
                  </w:pPr>
                  <w:r>
                    <w:rPr>
                      <w:rFonts w:ascii="宋体" w:hAnsi="宋体" w:eastAsia="宋体" w:cs="宋体"/>
                      <w:b/>
                      <w:bCs/>
                      <w:color w:val="EE3AEC"/>
                      <w:spacing w:val="33"/>
                      <w:sz w:val="18"/>
                      <w:szCs w:val="18"/>
                    </w:rPr>
                    <w:t>配料站</w:t>
                  </w:r>
                </w:p>
              </w:txbxContent>
            </v:textbox>
          </v:shape>
        </w:pict>
      </w:r>
    </w:p>
    <w:p w14:paraId="196BAEBA">
      <w:pPr>
        <w:pStyle w:val="2"/>
        <w:spacing w:line="266" w:lineRule="auto"/>
      </w:pPr>
    </w:p>
    <w:p w14:paraId="42A0D318">
      <w:pPr>
        <w:pStyle w:val="2"/>
        <w:spacing w:line="266" w:lineRule="auto"/>
      </w:pPr>
    </w:p>
    <w:p w14:paraId="5B10BE14">
      <w:pPr>
        <w:spacing w:before="65" w:line="228" w:lineRule="auto"/>
        <w:ind w:left="3501"/>
        <w:rPr>
          <w:rFonts w:ascii="宋体" w:hAnsi="宋体" w:eastAsia="宋体" w:cs="宋体"/>
          <w:sz w:val="20"/>
          <w:szCs w:val="20"/>
        </w:rPr>
      </w:pPr>
      <w:r>
        <w:pict>
          <v:shape id="_x0000_s1153" o:spid="_x0000_s1153" o:spt="202" type="#_x0000_t202" style="position:absolute;left:0pt;margin-left:295.05pt;margin-top:8.8pt;height:46.05pt;width:12.45pt;z-index:251796480;mso-width-relative:page;mso-height-relative:page;" filled="f" stroked="f" coordsize="21600,21600">
            <v:path/>
            <v:fill on="f" focussize="0,0"/>
            <v:stroke on="f"/>
            <v:imagedata o:title=""/>
            <o:lock v:ext="edit" aspectratio="f"/>
            <v:textbox inset="0mm,0mm,0mm,0mm" style="layout-flow:vertical-ideographic;">
              <w:txbxContent>
                <w:p w14:paraId="3B8CB7A0">
                  <w:pPr>
                    <w:spacing w:before="19" w:line="208" w:lineRule="auto"/>
                    <w:ind w:left="20"/>
                    <w:rPr>
                      <w:rFonts w:ascii="宋体" w:hAnsi="宋体" w:eastAsia="宋体" w:cs="宋体"/>
                      <w:sz w:val="18"/>
                      <w:szCs w:val="18"/>
                    </w:rPr>
                  </w:pPr>
                  <w:r>
                    <w:rPr>
                      <w:rFonts w:ascii="宋体" w:hAnsi="宋体" w:eastAsia="宋体" w:cs="宋体"/>
                      <w:b/>
                      <w:bCs/>
                      <w:color w:val="EE3AEC"/>
                      <w:spacing w:val="38"/>
                      <w:sz w:val="18"/>
                      <w:szCs w:val="18"/>
                    </w:rPr>
                    <w:t>冲渣水池</w:t>
                  </w:r>
                </w:p>
              </w:txbxContent>
            </v:textbox>
          </v:shape>
        </w:pict>
      </w:r>
      <w:r>
        <w:rPr>
          <w:rFonts w:ascii="宋体" w:hAnsi="宋体" w:eastAsia="宋体" w:cs="宋体"/>
          <w:b/>
          <w:bCs/>
          <w:color w:val="EE3AEC"/>
          <w:sz w:val="20"/>
          <w:szCs w:val="20"/>
        </w:rPr>
        <w:t>电炉车间</w:t>
      </w:r>
    </w:p>
    <w:p w14:paraId="6CA427AE">
      <w:pPr>
        <w:pStyle w:val="2"/>
        <w:spacing w:line="413" w:lineRule="auto"/>
      </w:pPr>
    </w:p>
    <w:p w14:paraId="5FE57B8A">
      <w:pPr>
        <w:spacing w:before="66" w:line="228" w:lineRule="auto"/>
        <w:ind w:left="10816"/>
        <w:rPr>
          <w:rFonts w:ascii="Times New Roman" w:hAnsi="Times New Roman" w:eastAsia="Times New Roman" w:cs="Times New Roman"/>
          <w:sz w:val="20"/>
          <w:szCs w:val="20"/>
        </w:rPr>
      </w:pPr>
      <w:r>
        <w:rPr>
          <w:rFonts w:ascii="宋体" w:hAnsi="宋体" w:eastAsia="宋体" w:cs="宋体"/>
          <w:b/>
          <w:bCs/>
          <w:color w:val="EE3AEC"/>
          <w:spacing w:val="4"/>
          <w:sz w:val="20"/>
          <w:szCs w:val="20"/>
        </w:rPr>
        <w:t>原料大棚</w:t>
      </w:r>
      <w:r>
        <w:rPr>
          <w:rFonts w:ascii="宋体" w:hAnsi="宋体" w:eastAsia="宋体" w:cs="宋体"/>
          <w:color w:val="EE3AEC"/>
          <w:spacing w:val="-34"/>
          <w:sz w:val="20"/>
          <w:szCs w:val="20"/>
        </w:rPr>
        <w:t xml:space="preserve"> </w:t>
      </w:r>
      <w:r>
        <w:rPr>
          <w:rFonts w:ascii="Times New Roman" w:hAnsi="Times New Roman" w:eastAsia="Times New Roman" w:cs="Times New Roman"/>
          <w:b/>
          <w:bCs/>
          <w:color w:val="EE3AEC"/>
          <w:spacing w:val="4"/>
          <w:sz w:val="20"/>
          <w:szCs w:val="20"/>
        </w:rPr>
        <w:t>1</w:t>
      </w:r>
    </w:p>
    <w:p w14:paraId="57D5D673">
      <w:pPr>
        <w:pStyle w:val="2"/>
        <w:spacing w:line="242" w:lineRule="auto"/>
      </w:pPr>
    </w:p>
    <w:p w14:paraId="6CDCB4E7">
      <w:pPr>
        <w:pStyle w:val="2"/>
        <w:spacing w:line="242" w:lineRule="auto"/>
      </w:pPr>
    </w:p>
    <w:p w14:paraId="26856BBC">
      <w:pPr>
        <w:pStyle w:val="2"/>
        <w:spacing w:line="242" w:lineRule="auto"/>
      </w:pPr>
    </w:p>
    <w:p w14:paraId="09F9D023">
      <w:pPr>
        <w:pStyle w:val="2"/>
        <w:spacing w:line="242" w:lineRule="auto"/>
      </w:pPr>
    </w:p>
    <w:p w14:paraId="5E63854B">
      <w:pPr>
        <w:pStyle w:val="2"/>
        <w:spacing w:line="243" w:lineRule="auto"/>
      </w:pPr>
    </w:p>
    <w:p w14:paraId="17C159DA">
      <w:pPr>
        <w:spacing w:before="58" w:line="219" w:lineRule="auto"/>
        <w:ind w:left="7538"/>
        <w:rPr>
          <w:rFonts w:ascii="Times New Roman" w:hAnsi="Times New Roman" w:eastAsia="Times New Roman" w:cs="Times New Roman"/>
          <w:sz w:val="18"/>
          <w:szCs w:val="18"/>
        </w:rPr>
      </w:pPr>
      <w:r>
        <w:rPr>
          <w:rFonts w:ascii="宋体" w:hAnsi="宋体" w:eastAsia="宋体" w:cs="宋体"/>
          <w:b/>
          <w:bCs/>
          <w:color w:val="EE3AEC"/>
          <w:spacing w:val="-4"/>
          <w:sz w:val="18"/>
          <w:szCs w:val="18"/>
        </w:rPr>
        <w:t>原料烘干</w:t>
      </w:r>
      <w:r>
        <w:rPr>
          <w:rFonts w:ascii="宋体" w:hAnsi="宋体" w:eastAsia="宋体" w:cs="宋体"/>
          <w:color w:val="EE3AEC"/>
          <w:spacing w:val="-31"/>
          <w:sz w:val="18"/>
          <w:szCs w:val="18"/>
        </w:rPr>
        <w:t xml:space="preserve"> </w:t>
      </w:r>
      <w:r>
        <w:rPr>
          <w:rFonts w:ascii="Times New Roman" w:hAnsi="Times New Roman" w:eastAsia="Times New Roman" w:cs="Times New Roman"/>
          <w:b/>
          <w:bCs/>
          <w:color w:val="EE3AEC"/>
          <w:spacing w:val="-4"/>
          <w:sz w:val="18"/>
          <w:szCs w:val="18"/>
        </w:rPr>
        <w:t>1</w:t>
      </w:r>
    </w:p>
    <w:p w14:paraId="46F591A7">
      <w:pPr>
        <w:pStyle w:val="2"/>
        <w:spacing w:line="258" w:lineRule="auto"/>
      </w:pPr>
    </w:p>
    <w:p w14:paraId="60FBADEE">
      <w:pPr>
        <w:pStyle w:val="2"/>
        <w:spacing w:line="258" w:lineRule="auto"/>
      </w:pPr>
      <w:r>
        <w:pict>
          <v:shape id="_x0000_s1154" o:spid="_x0000_s1154" o:spt="202" type="#_x0000_t202" style="position:absolute;left:0pt;margin-left:498.65pt;margin-top:4.25pt;height:34.3pt;width:12.5pt;z-index:251799552;mso-width-relative:page;mso-height-relative:page;" filled="f" stroked="f" coordsize="21600,21600">
            <v:path/>
            <v:fill on="f" focussize="0,0"/>
            <v:stroke on="f"/>
            <v:imagedata o:title=""/>
            <o:lock v:ext="edit" aspectratio="f"/>
            <v:textbox inset="0mm,0mm,0mm,0mm" style="layout-flow:vertical-ideographic;">
              <w:txbxContent>
                <w:p w14:paraId="4067610D">
                  <w:pPr>
                    <w:spacing w:before="19" w:line="209" w:lineRule="auto"/>
                    <w:ind w:left="20"/>
                    <w:rPr>
                      <w:rFonts w:ascii="宋体" w:hAnsi="宋体" w:eastAsia="宋体" w:cs="宋体"/>
                      <w:sz w:val="18"/>
                      <w:szCs w:val="18"/>
                    </w:rPr>
                  </w:pPr>
                  <w:r>
                    <w:rPr>
                      <w:rFonts w:ascii="宋体" w:hAnsi="宋体" w:eastAsia="宋体" w:cs="宋体"/>
                      <w:b/>
                      <w:bCs/>
                      <w:color w:val="EE3AEC"/>
                      <w:spacing w:val="33"/>
                      <w:sz w:val="18"/>
                      <w:szCs w:val="18"/>
                    </w:rPr>
                    <w:t>配料站</w:t>
                  </w:r>
                </w:p>
              </w:txbxContent>
            </v:textbox>
          </v:shape>
        </w:pict>
      </w:r>
    </w:p>
    <w:p w14:paraId="449E846C">
      <w:pPr>
        <w:pStyle w:val="2"/>
        <w:spacing w:line="259" w:lineRule="auto"/>
      </w:pPr>
    </w:p>
    <w:p w14:paraId="3049B04A">
      <w:pPr>
        <w:pStyle w:val="2"/>
        <w:spacing w:line="259" w:lineRule="auto"/>
      </w:pPr>
      <w:r>
        <w:pict>
          <v:shape id="_x0000_s1155" o:spid="_x0000_s1155" o:spt="202" type="#_x0000_t202" style="position:absolute;left:0pt;margin-left:309.6pt;margin-top:14.25pt;height:46.05pt;width:12.45pt;z-index:251797504;mso-width-relative:page;mso-height-relative:page;" filled="f" stroked="f" coordsize="21600,21600">
            <v:path/>
            <v:fill on="f" focussize="0,0"/>
            <v:stroke on="f"/>
            <v:imagedata o:title=""/>
            <o:lock v:ext="edit" aspectratio="f"/>
            <v:textbox inset="0mm,0mm,0mm,0mm" style="layout-flow:vertical-ideographic;">
              <w:txbxContent>
                <w:p w14:paraId="47FFAF9B">
                  <w:pPr>
                    <w:spacing w:before="19" w:line="208" w:lineRule="auto"/>
                    <w:ind w:left="20"/>
                    <w:rPr>
                      <w:rFonts w:ascii="宋体" w:hAnsi="宋体" w:eastAsia="宋体" w:cs="宋体"/>
                      <w:sz w:val="18"/>
                      <w:szCs w:val="18"/>
                    </w:rPr>
                  </w:pPr>
                  <w:r>
                    <w:rPr>
                      <w:rFonts w:ascii="宋体" w:hAnsi="宋体" w:eastAsia="宋体" w:cs="宋体"/>
                      <w:b/>
                      <w:bCs/>
                      <w:color w:val="EE3AEC"/>
                      <w:spacing w:val="38"/>
                      <w:sz w:val="18"/>
                      <w:szCs w:val="18"/>
                    </w:rPr>
                    <w:t>冲渣水池</w:t>
                  </w:r>
                </w:p>
              </w:txbxContent>
            </v:textbox>
          </v:shape>
        </w:pict>
      </w:r>
    </w:p>
    <w:p w14:paraId="55FDC99F">
      <w:pPr>
        <w:spacing w:before="65" w:line="228" w:lineRule="auto"/>
        <w:ind w:left="3784"/>
        <w:rPr>
          <w:rFonts w:ascii="宋体" w:hAnsi="宋体" w:eastAsia="宋体" w:cs="宋体"/>
          <w:sz w:val="20"/>
          <w:szCs w:val="20"/>
        </w:rPr>
      </w:pPr>
      <w:r>
        <w:rPr>
          <w:rFonts w:ascii="宋体" w:hAnsi="宋体" w:eastAsia="宋体" w:cs="宋体"/>
          <w:b/>
          <w:bCs/>
          <w:color w:val="EE3AEC"/>
          <w:sz w:val="20"/>
          <w:szCs w:val="20"/>
        </w:rPr>
        <w:t>电炉车间</w:t>
      </w:r>
    </w:p>
    <w:p w14:paraId="4E464294">
      <w:pPr>
        <w:pStyle w:val="2"/>
        <w:spacing w:line="245" w:lineRule="auto"/>
      </w:pPr>
    </w:p>
    <w:p w14:paraId="6D461A17">
      <w:pPr>
        <w:pStyle w:val="2"/>
        <w:spacing w:line="245" w:lineRule="auto"/>
      </w:pPr>
    </w:p>
    <w:p w14:paraId="09799695">
      <w:pPr>
        <w:pStyle w:val="2"/>
        <w:spacing w:line="245" w:lineRule="auto"/>
      </w:pPr>
    </w:p>
    <w:p w14:paraId="33450758">
      <w:pPr>
        <w:pStyle w:val="2"/>
        <w:spacing w:line="245" w:lineRule="auto"/>
      </w:pPr>
    </w:p>
    <w:p w14:paraId="49045566">
      <w:pPr>
        <w:pStyle w:val="2"/>
        <w:spacing w:line="245" w:lineRule="auto"/>
      </w:pPr>
    </w:p>
    <w:p w14:paraId="68B1AFD4">
      <w:pPr>
        <w:pStyle w:val="2"/>
        <w:spacing w:line="246" w:lineRule="auto"/>
      </w:pPr>
    </w:p>
    <w:p w14:paraId="3DA3C293">
      <w:pPr>
        <w:pStyle w:val="2"/>
        <w:spacing w:line="246" w:lineRule="auto"/>
      </w:pPr>
    </w:p>
    <w:p w14:paraId="15D1B038">
      <w:pPr>
        <w:pStyle w:val="2"/>
        <w:spacing w:line="246" w:lineRule="auto"/>
      </w:pPr>
    </w:p>
    <w:p w14:paraId="57CDF04D">
      <w:pPr>
        <w:spacing w:before="59" w:line="185" w:lineRule="auto"/>
        <w:ind w:left="7783"/>
        <w:rPr>
          <w:rFonts w:ascii="Times New Roman" w:hAnsi="Times New Roman" w:eastAsia="Times New Roman" w:cs="Times New Roman"/>
          <w:sz w:val="18"/>
          <w:szCs w:val="18"/>
        </w:rPr>
      </w:pPr>
      <w:r>
        <w:rPr>
          <w:rFonts w:ascii="宋体" w:hAnsi="宋体" w:eastAsia="宋体" w:cs="宋体"/>
          <w:b/>
          <w:bCs/>
          <w:color w:val="EE3AEC"/>
          <w:spacing w:val="-4"/>
          <w:sz w:val="18"/>
          <w:szCs w:val="18"/>
        </w:rPr>
        <w:t>原料烘干</w:t>
      </w:r>
      <w:r>
        <w:rPr>
          <w:rFonts w:ascii="宋体" w:hAnsi="宋体" w:eastAsia="宋体" w:cs="宋体"/>
          <w:color w:val="EE3AEC"/>
          <w:spacing w:val="-38"/>
          <w:sz w:val="18"/>
          <w:szCs w:val="18"/>
        </w:rPr>
        <w:t xml:space="preserve"> </w:t>
      </w:r>
      <w:r>
        <w:rPr>
          <w:rFonts w:ascii="Times New Roman" w:hAnsi="Times New Roman" w:eastAsia="Times New Roman" w:cs="Times New Roman"/>
          <w:b/>
          <w:bCs/>
          <w:color w:val="EE3AEC"/>
          <w:spacing w:val="-4"/>
          <w:sz w:val="18"/>
          <w:szCs w:val="18"/>
        </w:rPr>
        <w:t>2</w:t>
      </w:r>
    </w:p>
    <w:p w14:paraId="053DF1AD">
      <w:pPr>
        <w:spacing w:before="3" w:line="235" w:lineRule="auto"/>
        <w:ind w:left="6427" w:right="7061"/>
        <w:jc w:val="both"/>
        <w:rPr>
          <w:rFonts w:ascii="宋体" w:hAnsi="宋体" w:eastAsia="宋体" w:cs="宋体"/>
          <w:sz w:val="18"/>
          <w:szCs w:val="18"/>
        </w:rPr>
      </w:pPr>
      <w:r>
        <w:pict>
          <v:shape id="_x0000_s1156" o:spid="_x0000_s1156" o:spt="202" type="#_x0000_t202" style="position:absolute;left:0pt;margin-left:512pt;margin-top:16.05pt;height:34.4pt;width:12.5pt;z-index:251798528;mso-width-relative:page;mso-height-relative:page;" filled="f" stroked="f" coordsize="21600,21600">
            <v:path/>
            <v:fill on="f" focussize="0,0"/>
            <v:stroke on="f"/>
            <v:imagedata o:title=""/>
            <o:lock v:ext="edit" aspectratio="f"/>
            <v:textbox inset="0mm,0mm,0mm,0mm" style="layout-flow:vertical-ideographic;">
              <w:txbxContent>
                <w:p w14:paraId="71701F41">
                  <w:pPr>
                    <w:spacing w:before="19" w:line="209" w:lineRule="auto"/>
                    <w:ind w:left="20"/>
                    <w:rPr>
                      <w:rFonts w:ascii="宋体" w:hAnsi="宋体" w:eastAsia="宋体" w:cs="宋体"/>
                      <w:sz w:val="18"/>
                      <w:szCs w:val="18"/>
                    </w:rPr>
                  </w:pPr>
                  <w:r>
                    <w:rPr>
                      <w:rFonts w:ascii="宋体" w:hAnsi="宋体" w:eastAsia="宋体" w:cs="宋体"/>
                      <w:b/>
                      <w:bCs/>
                      <w:color w:val="EE3AEC"/>
                      <w:spacing w:val="34"/>
                      <w:sz w:val="18"/>
                      <w:szCs w:val="18"/>
                    </w:rPr>
                    <w:t>配料站</w:t>
                  </w:r>
                </w:p>
              </w:txbxContent>
            </v:textbox>
          </v:shape>
        </w:pict>
      </w:r>
      <w:r>
        <w:pict>
          <v:shape id="_x0000_s1157" o:spid="_x0000_s1157" o:spt="202" type="#_x0000_t202" style="position:absolute;left:0pt;margin-left:555.05pt;margin-top:5.45pt;height:14.4pt;width:51.35pt;z-index:251793408;mso-width-relative:page;mso-height-relative:page;" filled="f" stroked="f" coordsize="21600,21600">
            <v:path/>
            <v:fill on="f" focussize="0,0"/>
            <v:stroke on="f"/>
            <v:imagedata o:title=""/>
            <o:lock v:ext="edit" aspectratio="f"/>
            <v:textbox inset="0mm,0mm,0mm,0mm">
              <w:txbxContent>
                <w:p w14:paraId="331E26BA">
                  <w:pPr>
                    <w:spacing w:before="20" w:line="228" w:lineRule="auto"/>
                    <w:ind w:left="20"/>
                    <w:rPr>
                      <w:rFonts w:ascii="Times New Roman" w:hAnsi="Times New Roman" w:eastAsia="Times New Roman" w:cs="Times New Roman"/>
                      <w:sz w:val="20"/>
                      <w:szCs w:val="20"/>
                    </w:rPr>
                  </w:pPr>
                  <w:r>
                    <w:rPr>
                      <w:rFonts w:ascii="宋体" w:hAnsi="宋体" w:eastAsia="宋体" w:cs="宋体"/>
                      <w:b/>
                      <w:bCs/>
                      <w:color w:val="EE3AEC"/>
                      <w:spacing w:val="4"/>
                      <w:sz w:val="20"/>
                      <w:szCs w:val="20"/>
                    </w:rPr>
                    <w:t>原料大棚</w:t>
                  </w:r>
                  <w:r>
                    <w:rPr>
                      <w:rFonts w:ascii="宋体" w:hAnsi="宋体" w:eastAsia="宋体" w:cs="宋体"/>
                      <w:color w:val="EE3AEC"/>
                      <w:spacing w:val="-43"/>
                      <w:sz w:val="20"/>
                      <w:szCs w:val="20"/>
                    </w:rPr>
                    <w:t xml:space="preserve"> </w:t>
                  </w:r>
                  <w:r>
                    <w:rPr>
                      <w:rFonts w:ascii="Times New Roman" w:hAnsi="Times New Roman" w:eastAsia="Times New Roman" w:cs="Times New Roman"/>
                      <w:b/>
                      <w:bCs/>
                      <w:color w:val="EE3AEC"/>
                      <w:spacing w:val="4"/>
                      <w:sz w:val="20"/>
                      <w:szCs w:val="20"/>
                    </w:rPr>
                    <w:t>2</w:t>
                  </w:r>
                </w:p>
              </w:txbxContent>
            </v:textbox>
          </v:shape>
        </w:pict>
      </w:r>
      <w:r>
        <w:rPr>
          <w:rFonts w:ascii="宋体" w:hAnsi="宋体" w:eastAsia="宋体" w:cs="宋体"/>
          <w:b/>
          <w:bCs/>
          <w:color w:val="EE3AEC"/>
          <w:spacing w:val="-10"/>
          <w:sz w:val="18"/>
          <w:szCs w:val="18"/>
        </w:rPr>
        <w:t>冲</w:t>
      </w:r>
      <w:r>
        <w:rPr>
          <w:rFonts w:ascii="宋体" w:hAnsi="宋体" w:eastAsia="宋体" w:cs="宋体"/>
          <w:color w:val="EE3AEC"/>
          <w:sz w:val="18"/>
          <w:szCs w:val="18"/>
        </w:rPr>
        <w:t xml:space="preserve"> </w:t>
      </w:r>
      <w:r>
        <w:rPr>
          <w:rFonts w:ascii="宋体" w:hAnsi="宋体" w:eastAsia="宋体" w:cs="宋体"/>
          <w:b/>
          <w:bCs/>
          <w:color w:val="EE3AEC"/>
          <w:spacing w:val="-9"/>
          <w:sz w:val="18"/>
          <w:szCs w:val="18"/>
        </w:rPr>
        <w:t>渣</w:t>
      </w:r>
      <w:r>
        <w:rPr>
          <w:rFonts w:ascii="宋体" w:hAnsi="宋体" w:eastAsia="宋体" w:cs="宋体"/>
          <w:color w:val="EE3AEC"/>
          <w:sz w:val="18"/>
          <w:szCs w:val="18"/>
        </w:rPr>
        <w:t xml:space="preserve"> </w:t>
      </w:r>
      <w:r>
        <w:rPr>
          <w:rFonts w:ascii="宋体" w:hAnsi="宋体" w:eastAsia="宋体" w:cs="宋体"/>
          <w:b/>
          <w:bCs/>
          <w:color w:val="EE3AEC"/>
          <w:spacing w:val="-9"/>
          <w:sz w:val="18"/>
          <w:szCs w:val="18"/>
        </w:rPr>
        <w:t>水</w:t>
      </w:r>
      <w:r>
        <w:rPr>
          <w:rFonts w:ascii="宋体" w:hAnsi="宋体" w:eastAsia="宋体" w:cs="宋体"/>
          <w:color w:val="EE3AEC"/>
          <w:sz w:val="18"/>
          <w:szCs w:val="18"/>
        </w:rPr>
        <w:t xml:space="preserve"> </w:t>
      </w:r>
      <w:r>
        <w:rPr>
          <w:rFonts w:ascii="宋体" w:hAnsi="宋体" w:eastAsia="宋体" w:cs="宋体"/>
          <w:b/>
          <w:bCs/>
          <w:color w:val="EE3AEC"/>
          <w:spacing w:val="-9"/>
          <w:sz w:val="18"/>
          <w:szCs w:val="18"/>
        </w:rPr>
        <w:t>池</w:t>
      </w:r>
    </w:p>
    <w:p w14:paraId="25C2ACF3">
      <w:pPr>
        <w:spacing w:before="116" w:line="228" w:lineRule="auto"/>
        <w:ind w:left="3988"/>
        <w:rPr>
          <w:rFonts w:ascii="宋体" w:hAnsi="宋体" w:eastAsia="宋体" w:cs="宋体"/>
          <w:sz w:val="20"/>
          <w:szCs w:val="20"/>
        </w:rPr>
      </w:pPr>
      <w:r>
        <w:rPr>
          <w:rFonts w:ascii="宋体" w:hAnsi="宋体" w:eastAsia="宋体" w:cs="宋体"/>
          <w:b/>
          <w:bCs/>
          <w:color w:val="EE3AEC"/>
          <w:sz w:val="20"/>
          <w:szCs w:val="20"/>
        </w:rPr>
        <w:t>电炉车间</w:t>
      </w:r>
    </w:p>
    <w:p w14:paraId="748F839C">
      <w:pPr>
        <w:pStyle w:val="2"/>
        <w:spacing w:line="275" w:lineRule="auto"/>
      </w:pPr>
    </w:p>
    <w:p w14:paraId="19902976">
      <w:pPr>
        <w:pStyle w:val="2"/>
        <w:spacing w:line="276" w:lineRule="auto"/>
      </w:pPr>
    </w:p>
    <w:p w14:paraId="1E47D49E">
      <w:pPr>
        <w:pStyle w:val="2"/>
        <w:spacing w:line="276" w:lineRule="auto"/>
      </w:pPr>
    </w:p>
    <w:p w14:paraId="094E5909">
      <w:pPr>
        <w:pStyle w:val="2"/>
        <w:spacing w:line="276" w:lineRule="auto"/>
      </w:pPr>
    </w:p>
    <w:p w14:paraId="4E7F8FD7">
      <w:pPr>
        <w:pStyle w:val="2"/>
        <w:spacing w:line="276" w:lineRule="auto"/>
      </w:pPr>
    </w:p>
    <w:p w14:paraId="20908ED6">
      <w:pPr>
        <w:pStyle w:val="2"/>
        <w:spacing w:line="276" w:lineRule="auto"/>
      </w:pPr>
    </w:p>
    <w:p w14:paraId="23D86355">
      <w:pPr>
        <w:spacing w:before="66" w:line="227" w:lineRule="auto"/>
        <w:ind w:left="4894"/>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40"/>
          <w:sz w:val="20"/>
          <w:szCs w:val="20"/>
        </w:rPr>
        <w:t xml:space="preserve"> </w:t>
      </w:r>
      <w:r>
        <w:rPr>
          <w:rFonts w:ascii="Times New Roman" w:hAnsi="Times New Roman" w:eastAsia="Times New Roman" w:cs="Times New Roman"/>
          <w:b/>
          <w:bCs/>
          <w:spacing w:val="4"/>
          <w:sz w:val="20"/>
          <w:szCs w:val="20"/>
        </w:rPr>
        <w:t xml:space="preserve">2.1-3        </w:t>
      </w:r>
      <w:r>
        <w:rPr>
          <w:rFonts w:ascii="宋体" w:hAnsi="宋体" w:eastAsia="宋体" w:cs="宋体"/>
          <w:b/>
          <w:bCs/>
          <w:spacing w:val="4"/>
          <w:sz w:val="20"/>
          <w:szCs w:val="20"/>
        </w:rPr>
        <w:t>项目厂区总平面布置（</w:t>
      </w:r>
      <w:r>
        <w:rPr>
          <w:rFonts w:ascii="Times New Roman" w:hAnsi="Times New Roman" w:eastAsia="Times New Roman" w:cs="Times New Roman"/>
          <w:b/>
          <w:bCs/>
          <w:spacing w:val="4"/>
          <w:sz w:val="20"/>
          <w:szCs w:val="20"/>
        </w:rPr>
        <w:t>1:500</w:t>
      </w:r>
      <w:r>
        <w:rPr>
          <w:rFonts w:ascii="宋体" w:hAnsi="宋体" w:eastAsia="宋体" w:cs="宋体"/>
          <w:b/>
          <w:bCs/>
          <w:spacing w:val="4"/>
          <w:sz w:val="20"/>
          <w:szCs w:val="20"/>
        </w:rPr>
        <w:t>）</w:t>
      </w:r>
    </w:p>
    <w:p w14:paraId="377C2340">
      <w:pPr>
        <w:spacing w:line="227" w:lineRule="auto"/>
        <w:rPr>
          <w:rFonts w:ascii="宋体" w:hAnsi="宋体" w:eastAsia="宋体" w:cs="宋体"/>
          <w:sz w:val="20"/>
          <w:szCs w:val="20"/>
        </w:rPr>
        <w:sectPr>
          <w:headerReference r:id="rId96" w:type="default"/>
          <w:footerReference r:id="rId97" w:type="default"/>
          <w:pgSz w:w="16839" w:h="23812"/>
          <w:pgMar w:top="1235" w:right="1588" w:bottom="1071" w:left="1588" w:header="925" w:footer="908" w:gutter="0"/>
          <w:cols w:space="720" w:num="1"/>
        </w:sectPr>
      </w:pPr>
    </w:p>
    <w:p w14:paraId="72BBF5CA">
      <w:pPr>
        <w:spacing w:before="282" w:line="221" w:lineRule="auto"/>
        <w:ind w:left="5"/>
        <w:outlineLvl w:val="2"/>
        <w:rPr>
          <w:rFonts w:ascii="黑体" w:hAnsi="黑体" w:eastAsia="黑体" w:cs="黑体"/>
          <w:sz w:val="30"/>
          <w:szCs w:val="30"/>
        </w:rPr>
      </w:pPr>
      <w:r>
        <w:pict>
          <v:shape id="_x0000_s1158" o:spid="_x0000_s1158" style="position:absolute;left:0pt;margin-left:70.85pt;margin-top:59.65pt;height:0.75pt;width:450.75pt;mso-position-horizontal-relative:page;mso-position-vertical-relative:page;z-index:251802624;mso-width-relative:page;mso-height-relative:page;" fillcolor="#000000" filled="t" stroked="f" coordsize="9015,15" o:allowincell="f" path="m0,0l9014,0,9014,14,0,14,0,0xe">
            <v:path/>
            <v:fill on="t" focussize="0,0"/>
            <v:stroke on="f"/>
            <v:imagedata o:title=""/>
            <o:lock v:ext="edit"/>
          </v:shape>
        </w:pict>
      </w:r>
      <w:bookmarkStart w:id="313" w:name="bookmark94"/>
      <w:bookmarkEnd w:id="313"/>
      <w:r>
        <w:rPr>
          <w:rFonts w:ascii="Times New Roman" w:hAnsi="Times New Roman" w:eastAsia="Times New Roman" w:cs="Times New Roman"/>
          <w:spacing w:val="-1"/>
          <w:sz w:val="30"/>
          <w:szCs w:val="30"/>
        </w:rPr>
        <w:t xml:space="preserve">2.1.4 </w:t>
      </w:r>
      <w:r>
        <w:rPr>
          <w:rFonts w:ascii="黑体" w:hAnsi="黑体" w:eastAsia="黑体" w:cs="黑体"/>
          <w:spacing w:val="-1"/>
          <w:sz w:val="30"/>
          <w:szCs w:val="30"/>
        </w:rPr>
        <w:t>原辅材料及能源消耗</w:t>
      </w:r>
    </w:p>
    <w:p w14:paraId="522F340D">
      <w:pPr>
        <w:spacing w:before="296"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）原辅材料及能源消耗情况</w:t>
      </w:r>
    </w:p>
    <w:p w14:paraId="65783506">
      <w:pPr>
        <w:spacing w:before="192" w:line="219" w:lineRule="auto"/>
        <w:ind w:left="489"/>
        <w:rPr>
          <w:rFonts w:ascii="宋体" w:hAnsi="宋体" w:eastAsia="宋体" w:cs="宋体"/>
          <w:sz w:val="24"/>
          <w:szCs w:val="24"/>
        </w:rPr>
      </w:pPr>
      <w:r>
        <w:rPr>
          <w:rFonts w:ascii="宋体" w:hAnsi="宋体" w:eastAsia="宋体" w:cs="宋体"/>
          <w:spacing w:val="-1"/>
          <w:sz w:val="24"/>
          <w:szCs w:val="24"/>
        </w:rPr>
        <w:t>本项目主要原辅材料及主要能源消耗详见表</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2.1-2</w:t>
      </w:r>
      <w:r>
        <w:rPr>
          <w:rFonts w:ascii="宋体" w:hAnsi="宋体" w:eastAsia="宋体" w:cs="宋体"/>
          <w:spacing w:val="-1"/>
          <w:sz w:val="24"/>
          <w:szCs w:val="24"/>
        </w:rPr>
        <w:t>。</w:t>
      </w:r>
    </w:p>
    <w:p w14:paraId="2B1DE622">
      <w:pPr>
        <w:spacing w:before="208" w:line="227" w:lineRule="auto"/>
        <w:ind w:left="3006"/>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4"/>
          <w:sz w:val="20"/>
          <w:szCs w:val="20"/>
        </w:rPr>
        <w:t xml:space="preserve"> </w:t>
      </w:r>
      <w:r>
        <w:rPr>
          <w:rFonts w:ascii="Times New Roman" w:hAnsi="Times New Roman" w:eastAsia="Times New Roman" w:cs="Times New Roman"/>
          <w:b/>
          <w:bCs/>
          <w:spacing w:val="4"/>
          <w:sz w:val="20"/>
          <w:szCs w:val="20"/>
        </w:rPr>
        <w:t xml:space="preserve">2.1-2        </w:t>
      </w:r>
      <w:r>
        <w:rPr>
          <w:rFonts w:ascii="宋体" w:hAnsi="宋体" w:eastAsia="宋体" w:cs="宋体"/>
          <w:b/>
          <w:bCs/>
          <w:spacing w:val="4"/>
          <w:sz w:val="20"/>
          <w:szCs w:val="20"/>
        </w:rPr>
        <w:t>主要原辅材料消耗表</w:t>
      </w:r>
    </w:p>
    <w:p w14:paraId="17B70A69">
      <w:pPr>
        <w:spacing w:line="98" w:lineRule="exact"/>
      </w:pPr>
    </w:p>
    <w:tbl>
      <w:tblPr>
        <w:tblStyle w:val="5"/>
        <w:tblW w:w="905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1037"/>
        <w:gridCol w:w="4103"/>
        <w:gridCol w:w="993"/>
        <w:gridCol w:w="1074"/>
        <w:gridCol w:w="1276"/>
      </w:tblGrid>
      <w:tr w14:paraId="2B4E0D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572" w:type="dxa"/>
            <w:tcBorders>
              <w:top w:val="single" w:color="000000" w:sz="10" w:space="0"/>
              <w:left w:val="nil"/>
            </w:tcBorders>
            <w:vAlign w:val="top"/>
          </w:tcPr>
          <w:p w14:paraId="77AB05A6">
            <w:pPr>
              <w:pStyle w:val="6"/>
              <w:spacing w:before="84" w:line="229" w:lineRule="auto"/>
              <w:ind w:left="80"/>
              <w:rPr>
                <w:sz w:val="20"/>
                <w:szCs w:val="20"/>
              </w:rPr>
            </w:pPr>
            <w:r>
              <w:rPr>
                <w:spacing w:val="5"/>
                <w:sz w:val="20"/>
                <w:szCs w:val="20"/>
              </w:rPr>
              <w:t>序号</w:t>
            </w:r>
          </w:p>
        </w:tc>
        <w:tc>
          <w:tcPr>
            <w:tcW w:w="1037" w:type="dxa"/>
            <w:tcBorders>
              <w:top w:val="single" w:color="000000" w:sz="10" w:space="0"/>
            </w:tcBorders>
            <w:vAlign w:val="top"/>
          </w:tcPr>
          <w:p w14:paraId="773D319E">
            <w:pPr>
              <w:pStyle w:val="6"/>
              <w:spacing w:before="84" w:line="228" w:lineRule="auto"/>
              <w:ind w:left="104"/>
              <w:rPr>
                <w:sz w:val="20"/>
                <w:szCs w:val="20"/>
              </w:rPr>
            </w:pPr>
            <w:r>
              <w:rPr>
                <w:spacing w:val="7"/>
                <w:sz w:val="20"/>
                <w:szCs w:val="20"/>
              </w:rPr>
              <w:t>物料名称</w:t>
            </w:r>
          </w:p>
        </w:tc>
        <w:tc>
          <w:tcPr>
            <w:tcW w:w="4103" w:type="dxa"/>
            <w:tcBorders>
              <w:top w:val="single" w:color="000000" w:sz="10" w:space="0"/>
            </w:tcBorders>
            <w:vAlign w:val="top"/>
          </w:tcPr>
          <w:p w14:paraId="74CA9610">
            <w:pPr>
              <w:pStyle w:val="6"/>
              <w:spacing w:before="84" w:line="228" w:lineRule="auto"/>
              <w:ind w:left="1847"/>
              <w:rPr>
                <w:sz w:val="20"/>
                <w:szCs w:val="20"/>
              </w:rPr>
            </w:pPr>
            <w:r>
              <w:rPr>
                <w:spacing w:val="4"/>
                <w:sz w:val="20"/>
                <w:szCs w:val="20"/>
              </w:rPr>
              <w:t>规格</w:t>
            </w:r>
          </w:p>
        </w:tc>
        <w:tc>
          <w:tcPr>
            <w:tcW w:w="993" w:type="dxa"/>
            <w:tcBorders>
              <w:top w:val="single" w:color="000000" w:sz="10" w:space="0"/>
            </w:tcBorders>
            <w:vAlign w:val="top"/>
          </w:tcPr>
          <w:p w14:paraId="0E3E2665">
            <w:pPr>
              <w:pStyle w:val="6"/>
              <w:spacing w:before="84" w:line="228" w:lineRule="auto"/>
              <w:ind w:left="294"/>
              <w:rPr>
                <w:sz w:val="20"/>
                <w:szCs w:val="20"/>
              </w:rPr>
            </w:pPr>
            <w:r>
              <w:rPr>
                <w:spacing w:val="3"/>
                <w:sz w:val="20"/>
                <w:szCs w:val="20"/>
              </w:rPr>
              <w:t>单位</w:t>
            </w:r>
          </w:p>
        </w:tc>
        <w:tc>
          <w:tcPr>
            <w:tcW w:w="1074" w:type="dxa"/>
            <w:tcBorders>
              <w:top w:val="single" w:color="000000" w:sz="10" w:space="0"/>
            </w:tcBorders>
            <w:vAlign w:val="top"/>
          </w:tcPr>
          <w:p w14:paraId="6369D4DA">
            <w:pPr>
              <w:pStyle w:val="6"/>
              <w:spacing w:before="84" w:line="228" w:lineRule="auto"/>
              <w:ind w:left="229"/>
              <w:rPr>
                <w:sz w:val="20"/>
                <w:szCs w:val="20"/>
              </w:rPr>
            </w:pPr>
            <w:r>
              <w:rPr>
                <w:spacing w:val="6"/>
                <w:sz w:val="20"/>
                <w:szCs w:val="20"/>
              </w:rPr>
              <w:t>年用量</w:t>
            </w:r>
          </w:p>
        </w:tc>
        <w:tc>
          <w:tcPr>
            <w:tcW w:w="1276" w:type="dxa"/>
            <w:tcBorders>
              <w:top w:val="single" w:color="000000" w:sz="10" w:space="0"/>
              <w:right w:val="nil"/>
            </w:tcBorders>
            <w:vAlign w:val="top"/>
          </w:tcPr>
          <w:p w14:paraId="63B8C987">
            <w:pPr>
              <w:pStyle w:val="6"/>
              <w:spacing w:before="84" w:line="228" w:lineRule="auto"/>
              <w:ind w:left="226"/>
              <w:rPr>
                <w:sz w:val="20"/>
                <w:szCs w:val="20"/>
              </w:rPr>
            </w:pPr>
            <w:r>
              <w:rPr>
                <w:spacing w:val="7"/>
                <w:sz w:val="20"/>
                <w:szCs w:val="20"/>
              </w:rPr>
              <w:t>储存位置</w:t>
            </w:r>
          </w:p>
        </w:tc>
      </w:tr>
      <w:tr w14:paraId="65E4B1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72" w:type="dxa"/>
            <w:tcBorders>
              <w:left w:val="nil"/>
            </w:tcBorders>
            <w:vAlign w:val="top"/>
          </w:tcPr>
          <w:p w14:paraId="258055B4">
            <w:pPr>
              <w:spacing w:before="67" w:line="195" w:lineRule="auto"/>
              <w:ind w:left="25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037" w:type="dxa"/>
            <w:vAlign w:val="top"/>
          </w:tcPr>
          <w:p w14:paraId="6C1999B8">
            <w:pPr>
              <w:pStyle w:val="6"/>
              <w:spacing w:before="30" w:line="217" w:lineRule="auto"/>
              <w:ind w:left="313"/>
              <w:rPr>
                <w:sz w:val="20"/>
                <w:szCs w:val="20"/>
              </w:rPr>
            </w:pPr>
            <w:r>
              <w:rPr>
                <w:spacing w:val="4"/>
                <w:sz w:val="20"/>
                <w:szCs w:val="20"/>
              </w:rPr>
              <w:t>锰矿</w:t>
            </w:r>
          </w:p>
        </w:tc>
        <w:tc>
          <w:tcPr>
            <w:tcW w:w="4103" w:type="dxa"/>
            <w:vAlign w:val="top"/>
          </w:tcPr>
          <w:p w14:paraId="7BB6F22E">
            <w:pPr>
              <w:pStyle w:val="6"/>
              <w:spacing w:before="30" w:line="217" w:lineRule="auto"/>
              <w:ind w:left="433"/>
              <w:rPr>
                <w:rFonts w:ascii="Times New Roman" w:hAnsi="Times New Roman" w:eastAsia="Times New Roman" w:cs="Times New Roman"/>
                <w:sz w:val="13"/>
                <w:szCs w:val="13"/>
              </w:rPr>
            </w:pPr>
            <w:r>
              <w:rPr>
                <w:spacing w:val="4"/>
                <w:sz w:val="20"/>
                <w:szCs w:val="20"/>
              </w:rPr>
              <w:t>粒度</w:t>
            </w:r>
            <w:r>
              <w:rPr>
                <w:spacing w:val="-37"/>
                <w:sz w:val="20"/>
                <w:szCs w:val="20"/>
              </w:rPr>
              <w:t xml:space="preserve"> </w:t>
            </w:r>
            <w:r>
              <w:rPr>
                <w:rFonts w:ascii="Times New Roman" w:hAnsi="Times New Roman" w:eastAsia="Times New Roman" w:cs="Times New Roman"/>
                <w:spacing w:val="4"/>
                <w:sz w:val="20"/>
                <w:szCs w:val="20"/>
              </w:rPr>
              <w:t>4-12</w:t>
            </w:r>
            <w:r>
              <w:rPr>
                <w:rFonts w:ascii="Times New Roman" w:hAnsi="Times New Roman" w:eastAsia="Times New Roman" w:cs="Times New Roman"/>
                <w:sz w:val="20"/>
                <w:szCs w:val="20"/>
              </w:rPr>
              <w:t>cm</w:t>
            </w:r>
            <w:r>
              <w:rPr>
                <w:rFonts w:ascii="Times New Roman" w:hAnsi="Times New Roman" w:eastAsia="Times New Roman" w:cs="Times New Roman"/>
                <w:spacing w:val="-24"/>
                <w:sz w:val="20"/>
                <w:szCs w:val="20"/>
              </w:rPr>
              <w:t xml:space="preserve"> </w:t>
            </w:r>
            <w:r>
              <w:rPr>
                <w:spacing w:val="4"/>
                <w:sz w:val="20"/>
                <w:szCs w:val="20"/>
              </w:rPr>
              <w:t>，粒状，堆比重</w:t>
            </w:r>
            <w:r>
              <w:rPr>
                <w:spacing w:val="-23"/>
                <w:sz w:val="20"/>
                <w:szCs w:val="20"/>
              </w:rPr>
              <w:t xml:space="preserve"> </w:t>
            </w:r>
            <w:r>
              <w:rPr>
                <w:rFonts w:ascii="Times New Roman" w:hAnsi="Times New Roman" w:eastAsia="Times New Roman" w:cs="Times New Roman"/>
                <w:spacing w:val="4"/>
                <w:sz w:val="20"/>
                <w:szCs w:val="20"/>
              </w:rPr>
              <w:t>1.7t/m</w:t>
            </w:r>
            <w:r>
              <w:rPr>
                <w:rFonts w:ascii="Times New Roman" w:hAnsi="Times New Roman" w:eastAsia="Times New Roman" w:cs="Times New Roman"/>
                <w:spacing w:val="4"/>
                <w:position w:val="6"/>
                <w:sz w:val="13"/>
                <w:szCs w:val="13"/>
              </w:rPr>
              <w:t>3</w:t>
            </w:r>
          </w:p>
        </w:tc>
        <w:tc>
          <w:tcPr>
            <w:tcW w:w="993" w:type="dxa"/>
            <w:vAlign w:val="top"/>
          </w:tcPr>
          <w:p w14:paraId="5CAD9148">
            <w:pPr>
              <w:spacing w:before="63" w:line="199"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t/a</w:t>
            </w:r>
          </w:p>
        </w:tc>
        <w:tc>
          <w:tcPr>
            <w:tcW w:w="1074" w:type="dxa"/>
            <w:vAlign w:val="top"/>
          </w:tcPr>
          <w:p w14:paraId="66B8A37C">
            <w:pPr>
              <w:spacing w:before="67" w:line="195"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900000</w:t>
            </w:r>
          </w:p>
        </w:tc>
        <w:tc>
          <w:tcPr>
            <w:tcW w:w="1276" w:type="dxa"/>
            <w:vMerge w:val="restart"/>
            <w:tcBorders>
              <w:bottom w:val="nil"/>
              <w:right w:val="nil"/>
            </w:tcBorders>
            <w:vAlign w:val="top"/>
          </w:tcPr>
          <w:p w14:paraId="2BC7F679">
            <w:pPr>
              <w:spacing w:line="255" w:lineRule="auto"/>
              <w:rPr>
                <w:rFonts w:ascii="Arial"/>
                <w:sz w:val="21"/>
              </w:rPr>
            </w:pPr>
          </w:p>
          <w:p w14:paraId="77FA0CB3">
            <w:pPr>
              <w:spacing w:line="255" w:lineRule="auto"/>
              <w:rPr>
                <w:rFonts w:ascii="Arial"/>
                <w:sz w:val="21"/>
              </w:rPr>
            </w:pPr>
          </w:p>
          <w:p w14:paraId="27D2924E">
            <w:pPr>
              <w:spacing w:line="255" w:lineRule="auto"/>
              <w:rPr>
                <w:rFonts w:ascii="Arial"/>
                <w:sz w:val="21"/>
              </w:rPr>
            </w:pPr>
          </w:p>
          <w:p w14:paraId="359540A7">
            <w:pPr>
              <w:spacing w:line="255" w:lineRule="auto"/>
              <w:rPr>
                <w:rFonts w:ascii="Arial"/>
                <w:sz w:val="21"/>
              </w:rPr>
            </w:pPr>
          </w:p>
          <w:p w14:paraId="0070D885">
            <w:pPr>
              <w:spacing w:line="256" w:lineRule="auto"/>
              <w:rPr>
                <w:rFonts w:ascii="Arial"/>
                <w:sz w:val="21"/>
              </w:rPr>
            </w:pPr>
          </w:p>
          <w:p w14:paraId="27A2470A">
            <w:pPr>
              <w:pStyle w:val="6"/>
              <w:spacing w:before="65" w:line="228" w:lineRule="auto"/>
              <w:ind w:left="232"/>
              <w:rPr>
                <w:sz w:val="20"/>
                <w:szCs w:val="20"/>
              </w:rPr>
            </w:pPr>
            <w:r>
              <w:rPr>
                <w:spacing w:val="6"/>
                <w:sz w:val="20"/>
                <w:szCs w:val="20"/>
              </w:rPr>
              <w:t>原料大棚</w:t>
            </w:r>
          </w:p>
        </w:tc>
      </w:tr>
      <w:tr w14:paraId="0908E0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7" w:hRule="atLeast"/>
        </w:trPr>
        <w:tc>
          <w:tcPr>
            <w:tcW w:w="572" w:type="dxa"/>
            <w:tcBorders>
              <w:left w:val="nil"/>
            </w:tcBorders>
            <w:vAlign w:val="top"/>
          </w:tcPr>
          <w:p w14:paraId="49363473">
            <w:pPr>
              <w:spacing w:before="189" w:line="195" w:lineRule="auto"/>
              <w:ind w:left="236"/>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037" w:type="dxa"/>
            <w:vAlign w:val="top"/>
          </w:tcPr>
          <w:p w14:paraId="279A935A">
            <w:pPr>
              <w:pStyle w:val="6"/>
              <w:spacing w:before="153" w:line="229" w:lineRule="auto"/>
              <w:ind w:left="313"/>
              <w:rPr>
                <w:sz w:val="20"/>
                <w:szCs w:val="20"/>
              </w:rPr>
            </w:pPr>
            <w:r>
              <w:rPr>
                <w:spacing w:val="4"/>
                <w:sz w:val="20"/>
                <w:szCs w:val="20"/>
              </w:rPr>
              <w:t>焦炭</w:t>
            </w:r>
          </w:p>
        </w:tc>
        <w:tc>
          <w:tcPr>
            <w:tcW w:w="4103" w:type="dxa"/>
            <w:vAlign w:val="top"/>
          </w:tcPr>
          <w:p w14:paraId="3B1B98E4">
            <w:pPr>
              <w:pStyle w:val="6"/>
              <w:spacing w:before="33" w:line="232" w:lineRule="auto"/>
              <w:ind w:left="1509" w:right="58" w:hanging="1446"/>
              <w:rPr>
                <w:rFonts w:ascii="Times New Roman" w:hAnsi="Times New Roman" w:eastAsia="Times New Roman" w:cs="Times New Roman"/>
                <w:sz w:val="13"/>
                <w:szCs w:val="13"/>
              </w:rPr>
            </w:pPr>
            <w:r>
              <w:rPr>
                <w:spacing w:val="5"/>
                <w:sz w:val="20"/>
                <w:szCs w:val="20"/>
              </w:rPr>
              <w:t>粒度</w:t>
            </w:r>
            <w:r>
              <w:rPr>
                <w:spacing w:val="-22"/>
                <w:sz w:val="20"/>
                <w:szCs w:val="20"/>
              </w:rPr>
              <w:t xml:space="preserve"> </w:t>
            </w:r>
            <w:r>
              <w:rPr>
                <w:rFonts w:ascii="Times New Roman" w:hAnsi="Times New Roman" w:eastAsia="Times New Roman" w:cs="Times New Roman"/>
                <w:spacing w:val="5"/>
                <w:sz w:val="20"/>
                <w:szCs w:val="20"/>
              </w:rPr>
              <w:t>3-25</w:t>
            </w:r>
            <w:r>
              <w:rPr>
                <w:rFonts w:ascii="Times New Roman" w:hAnsi="Times New Roman" w:eastAsia="Times New Roman" w:cs="Times New Roman"/>
                <w:sz w:val="20"/>
                <w:szCs w:val="20"/>
              </w:rPr>
              <w:t>mm</w:t>
            </w:r>
            <w:r>
              <w:rPr>
                <w:rFonts w:ascii="Times New Roman" w:hAnsi="Times New Roman" w:eastAsia="Times New Roman" w:cs="Times New Roman"/>
                <w:spacing w:val="-22"/>
                <w:sz w:val="20"/>
                <w:szCs w:val="20"/>
              </w:rPr>
              <w:t xml:space="preserve"> </w:t>
            </w:r>
            <w:r>
              <w:rPr>
                <w:spacing w:val="5"/>
                <w:sz w:val="20"/>
                <w:szCs w:val="20"/>
              </w:rPr>
              <w:t>，块状，含水率＜</w:t>
            </w:r>
            <w:r>
              <w:rPr>
                <w:rFonts w:ascii="Times New Roman" w:hAnsi="Times New Roman" w:eastAsia="Times New Roman" w:cs="Times New Roman"/>
                <w:spacing w:val="5"/>
                <w:sz w:val="20"/>
                <w:szCs w:val="20"/>
              </w:rPr>
              <w:t>7%</w:t>
            </w:r>
            <w:r>
              <w:rPr>
                <w:rFonts w:ascii="Times New Roman" w:hAnsi="Times New Roman" w:eastAsia="Times New Roman" w:cs="Times New Roman"/>
                <w:spacing w:val="-26"/>
                <w:sz w:val="20"/>
                <w:szCs w:val="20"/>
              </w:rPr>
              <w:t xml:space="preserve"> </w:t>
            </w:r>
            <w:r>
              <w:rPr>
                <w:spacing w:val="5"/>
                <w:sz w:val="20"/>
                <w:szCs w:val="20"/>
              </w:rPr>
              <w:t>，堆比重</w:t>
            </w:r>
            <w:r>
              <w:rPr>
                <w:sz w:val="20"/>
                <w:szCs w:val="20"/>
              </w:rPr>
              <w:t xml:space="preserve"> </w:t>
            </w:r>
            <w:r>
              <w:rPr>
                <w:rFonts w:ascii="Times New Roman" w:hAnsi="Times New Roman" w:eastAsia="Times New Roman" w:cs="Times New Roman"/>
                <w:spacing w:val="3"/>
                <w:sz w:val="20"/>
                <w:szCs w:val="20"/>
              </w:rPr>
              <w:t>0.55~0.8t/m</w:t>
            </w:r>
            <w:r>
              <w:rPr>
                <w:rFonts w:ascii="Times New Roman" w:hAnsi="Times New Roman" w:eastAsia="Times New Roman" w:cs="Times New Roman"/>
                <w:spacing w:val="3"/>
                <w:position w:val="6"/>
                <w:sz w:val="13"/>
                <w:szCs w:val="13"/>
              </w:rPr>
              <w:t>3</w:t>
            </w:r>
          </w:p>
        </w:tc>
        <w:tc>
          <w:tcPr>
            <w:tcW w:w="993" w:type="dxa"/>
            <w:vAlign w:val="top"/>
          </w:tcPr>
          <w:p w14:paraId="1FF6465D">
            <w:pPr>
              <w:spacing w:before="185" w:line="199"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t/a</w:t>
            </w:r>
          </w:p>
        </w:tc>
        <w:tc>
          <w:tcPr>
            <w:tcW w:w="1074" w:type="dxa"/>
            <w:vAlign w:val="top"/>
          </w:tcPr>
          <w:p w14:paraId="0A8381E7">
            <w:pPr>
              <w:spacing w:before="189" w:line="195" w:lineRule="auto"/>
              <w:ind w:left="22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292500</w:t>
            </w:r>
          </w:p>
        </w:tc>
        <w:tc>
          <w:tcPr>
            <w:tcW w:w="1276" w:type="dxa"/>
            <w:vMerge w:val="continue"/>
            <w:tcBorders>
              <w:top w:val="nil"/>
              <w:bottom w:val="nil"/>
              <w:right w:val="nil"/>
            </w:tcBorders>
            <w:vAlign w:val="top"/>
          </w:tcPr>
          <w:p w14:paraId="3DA542EF">
            <w:pPr>
              <w:rPr>
                <w:rFonts w:ascii="Arial"/>
                <w:sz w:val="21"/>
              </w:rPr>
            </w:pPr>
          </w:p>
        </w:tc>
      </w:tr>
      <w:tr w14:paraId="72CB4D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7" w:hRule="atLeast"/>
        </w:trPr>
        <w:tc>
          <w:tcPr>
            <w:tcW w:w="572" w:type="dxa"/>
            <w:tcBorders>
              <w:left w:val="nil"/>
            </w:tcBorders>
            <w:vAlign w:val="top"/>
          </w:tcPr>
          <w:p w14:paraId="281C2395">
            <w:pPr>
              <w:spacing w:line="268" w:lineRule="auto"/>
              <w:rPr>
                <w:rFonts w:ascii="Arial"/>
                <w:sz w:val="21"/>
              </w:rPr>
            </w:pPr>
          </w:p>
          <w:p w14:paraId="509AF52D">
            <w:pPr>
              <w:spacing w:before="57" w:line="195" w:lineRule="auto"/>
              <w:ind w:left="240"/>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037" w:type="dxa"/>
            <w:vAlign w:val="top"/>
          </w:tcPr>
          <w:p w14:paraId="7F1E3AE2">
            <w:pPr>
              <w:pStyle w:val="6"/>
              <w:spacing w:before="291" w:line="228" w:lineRule="auto"/>
              <w:ind w:left="208"/>
              <w:rPr>
                <w:sz w:val="20"/>
                <w:szCs w:val="20"/>
              </w:rPr>
            </w:pPr>
            <w:r>
              <w:rPr>
                <w:spacing w:val="6"/>
                <w:sz w:val="20"/>
                <w:szCs w:val="20"/>
              </w:rPr>
              <w:t>石灰石</w:t>
            </w:r>
          </w:p>
        </w:tc>
        <w:tc>
          <w:tcPr>
            <w:tcW w:w="4103" w:type="dxa"/>
            <w:vAlign w:val="top"/>
          </w:tcPr>
          <w:p w14:paraId="4283343C">
            <w:pPr>
              <w:pStyle w:val="6"/>
              <w:spacing w:before="35"/>
              <w:ind w:left="304" w:right="78" w:hanging="253"/>
              <w:rPr>
                <w:sz w:val="20"/>
                <w:szCs w:val="20"/>
              </w:rPr>
            </w:pPr>
            <w:r>
              <w:rPr>
                <w:spacing w:val="2"/>
                <w:sz w:val="20"/>
                <w:szCs w:val="20"/>
              </w:rPr>
              <w:t>粒度</w:t>
            </w:r>
            <w:r>
              <w:rPr>
                <w:spacing w:val="-15"/>
                <w:sz w:val="20"/>
                <w:szCs w:val="20"/>
              </w:rPr>
              <w:t xml:space="preserve"> </w:t>
            </w:r>
            <w:r>
              <w:rPr>
                <w:rFonts w:ascii="Times New Roman" w:hAnsi="Times New Roman" w:eastAsia="Times New Roman" w:cs="Times New Roman"/>
                <w:spacing w:val="2"/>
                <w:sz w:val="20"/>
                <w:szCs w:val="20"/>
              </w:rPr>
              <w:t>10-60</w:t>
            </w:r>
            <w:r>
              <w:rPr>
                <w:rFonts w:ascii="Times New Roman" w:hAnsi="Times New Roman" w:eastAsia="Times New Roman" w:cs="Times New Roman"/>
                <w:sz w:val="20"/>
                <w:szCs w:val="20"/>
              </w:rPr>
              <w:t>mm</w:t>
            </w:r>
            <w:r>
              <w:rPr>
                <w:rFonts w:ascii="Times New Roman" w:hAnsi="Times New Roman" w:eastAsia="Times New Roman" w:cs="Times New Roman"/>
                <w:spacing w:val="-21"/>
                <w:sz w:val="20"/>
                <w:szCs w:val="20"/>
              </w:rPr>
              <w:t xml:space="preserve"> </w:t>
            </w:r>
            <w:r>
              <w:rPr>
                <w:spacing w:val="2"/>
                <w:sz w:val="20"/>
                <w:szCs w:val="20"/>
              </w:rPr>
              <w:t>，块状，</w:t>
            </w:r>
            <w:r>
              <w:rPr>
                <w:rFonts w:ascii="Times New Roman" w:hAnsi="Times New Roman" w:eastAsia="Times New Roman" w:cs="Times New Roman"/>
                <w:sz w:val="20"/>
                <w:szCs w:val="20"/>
              </w:rPr>
              <w:t>SiO</w:t>
            </w:r>
            <w:r>
              <w:rPr>
                <w:rFonts w:ascii="Times New Roman" w:hAnsi="Times New Roman" w:eastAsia="Times New Roman" w:cs="Times New Roman"/>
                <w:spacing w:val="2"/>
                <w:position w:val="-1"/>
                <w:sz w:val="13"/>
                <w:szCs w:val="13"/>
              </w:rPr>
              <w:t xml:space="preserve">2   </w:t>
            </w:r>
            <w:r>
              <w:rPr>
                <w:spacing w:val="2"/>
                <w:sz w:val="20"/>
                <w:szCs w:val="20"/>
              </w:rPr>
              <w:t>低于</w:t>
            </w:r>
            <w:r>
              <w:rPr>
                <w:spacing w:val="-36"/>
                <w:sz w:val="20"/>
                <w:szCs w:val="20"/>
              </w:rPr>
              <w:t xml:space="preserve"> </w:t>
            </w:r>
            <w:r>
              <w:rPr>
                <w:rFonts w:ascii="Times New Roman" w:hAnsi="Times New Roman" w:eastAsia="Times New Roman" w:cs="Times New Roman"/>
                <w:spacing w:val="2"/>
                <w:sz w:val="20"/>
                <w:szCs w:val="20"/>
              </w:rPr>
              <w:t>6%</w:t>
            </w:r>
            <w:r>
              <w:rPr>
                <w:rFonts w:ascii="Times New Roman" w:hAnsi="Times New Roman" w:eastAsia="Times New Roman" w:cs="Times New Roman"/>
                <w:spacing w:val="-24"/>
                <w:sz w:val="20"/>
                <w:szCs w:val="20"/>
              </w:rPr>
              <w:t xml:space="preserve"> </w:t>
            </w:r>
            <w:r>
              <w:rPr>
                <w:spacing w:val="2"/>
                <w:sz w:val="20"/>
                <w:szCs w:val="20"/>
              </w:rPr>
              <w:t>，磷、</w:t>
            </w:r>
            <w:r>
              <w:rPr>
                <w:sz w:val="20"/>
                <w:szCs w:val="20"/>
              </w:rPr>
              <w:t xml:space="preserve"> </w:t>
            </w:r>
            <w:r>
              <w:rPr>
                <w:spacing w:val="6"/>
                <w:sz w:val="20"/>
                <w:szCs w:val="20"/>
              </w:rPr>
              <w:t xml:space="preserve">硫应分别低于 </w:t>
            </w:r>
            <w:r>
              <w:rPr>
                <w:rFonts w:ascii="Times New Roman" w:hAnsi="Times New Roman" w:eastAsia="Times New Roman" w:cs="Times New Roman"/>
                <w:spacing w:val="6"/>
                <w:sz w:val="20"/>
                <w:szCs w:val="20"/>
              </w:rPr>
              <w:t>0.05%</w:t>
            </w:r>
            <w:r>
              <w:rPr>
                <w:spacing w:val="6"/>
                <w:sz w:val="20"/>
                <w:szCs w:val="20"/>
              </w:rPr>
              <w:t xml:space="preserve">及 </w:t>
            </w:r>
            <w:r>
              <w:rPr>
                <w:rFonts w:ascii="Times New Roman" w:hAnsi="Times New Roman" w:eastAsia="Times New Roman" w:cs="Times New Roman"/>
                <w:spacing w:val="6"/>
                <w:sz w:val="20"/>
                <w:szCs w:val="20"/>
              </w:rPr>
              <w:t>0.8%</w:t>
            </w:r>
            <w:r>
              <w:rPr>
                <w:rFonts w:ascii="Times New Roman" w:hAnsi="Times New Roman" w:eastAsia="Times New Roman" w:cs="Times New Roman"/>
                <w:spacing w:val="-25"/>
                <w:sz w:val="20"/>
                <w:szCs w:val="20"/>
              </w:rPr>
              <w:t xml:space="preserve"> </w:t>
            </w:r>
            <w:r>
              <w:rPr>
                <w:spacing w:val="6"/>
                <w:sz w:val="20"/>
                <w:szCs w:val="20"/>
              </w:rPr>
              <w:t>，堆比重</w:t>
            </w:r>
          </w:p>
          <w:p w14:paraId="531F78AA">
            <w:pPr>
              <w:spacing w:before="24" w:line="205" w:lineRule="auto"/>
              <w:ind w:left="1447"/>
              <w:rPr>
                <w:rFonts w:ascii="Times New Roman" w:hAnsi="Times New Roman" w:eastAsia="Times New Roman" w:cs="Times New Roman"/>
                <w:sz w:val="13"/>
                <w:szCs w:val="13"/>
              </w:rPr>
            </w:pPr>
            <w:r>
              <w:rPr>
                <w:rFonts w:ascii="Times New Roman" w:hAnsi="Times New Roman" w:eastAsia="Times New Roman" w:cs="Times New Roman"/>
                <w:sz w:val="20"/>
                <w:szCs w:val="20"/>
              </w:rPr>
              <w:t>1.70.8~</w:t>
            </w:r>
            <w:r>
              <w:rPr>
                <w:rFonts w:ascii="Times New Roman" w:hAnsi="Times New Roman" w:eastAsia="Times New Roman" w:cs="Times New Roman"/>
                <w:spacing w:val="-17"/>
                <w:sz w:val="20"/>
                <w:szCs w:val="20"/>
              </w:rPr>
              <w:t xml:space="preserve"> </w:t>
            </w:r>
            <w:r>
              <w:rPr>
                <w:rFonts w:ascii="Times New Roman" w:hAnsi="Times New Roman" w:eastAsia="Times New Roman" w:cs="Times New Roman"/>
                <w:sz w:val="20"/>
                <w:szCs w:val="20"/>
              </w:rPr>
              <w:t>1.0t/m</w:t>
            </w:r>
            <w:r>
              <w:rPr>
                <w:rFonts w:ascii="Times New Roman" w:hAnsi="Times New Roman" w:eastAsia="Times New Roman" w:cs="Times New Roman"/>
                <w:position w:val="6"/>
                <w:sz w:val="13"/>
                <w:szCs w:val="13"/>
              </w:rPr>
              <w:t>3</w:t>
            </w:r>
          </w:p>
        </w:tc>
        <w:tc>
          <w:tcPr>
            <w:tcW w:w="993" w:type="dxa"/>
            <w:vAlign w:val="top"/>
          </w:tcPr>
          <w:p w14:paraId="42AB0227">
            <w:pPr>
              <w:spacing w:line="264" w:lineRule="auto"/>
              <w:rPr>
                <w:rFonts w:ascii="Arial"/>
                <w:sz w:val="21"/>
              </w:rPr>
            </w:pPr>
          </w:p>
          <w:p w14:paraId="324D370A">
            <w:pPr>
              <w:spacing w:before="57" w:line="199"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t/a</w:t>
            </w:r>
          </w:p>
        </w:tc>
        <w:tc>
          <w:tcPr>
            <w:tcW w:w="1074" w:type="dxa"/>
            <w:vAlign w:val="top"/>
          </w:tcPr>
          <w:p w14:paraId="358C682D">
            <w:pPr>
              <w:spacing w:line="268" w:lineRule="auto"/>
              <w:rPr>
                <w:rFonts w:ascii="Arial"/>
                <w:sz w:val="21"/>
              </w:rPr>
            </w:pPr>
          </w:p>
          <w:p w14:paraId="7B17C23A">
            <w:pPr>
              <w:spacing w:before="57" w:line="195" w:lineRule="auto"/>
              <w:ind w:left="3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720</w:t>
            </w:r>
          </w:p>
        </w:tc>
        <w:tc>
          <w:tcPr>
            <w:tcW w:w="1276" w:type="dxa"/>
            <w:vMerge w:val="continue"/>
            <w:tcBorders>
              <w:top w:val="nil"/>
              <w:bottom w:val="nil"/>
              <w:right w:val="nil"/>
            </w:tcBorders>
            <w:vAlign w:val="top"/>
          </w:tcPr>
          <w:p w14:paraId="688D2BDB">
            <w:pPr>
              <w:rPr>
                <w:rFonts w:ascii="Arial"/>
                <w:sz w:val="21"/>
              </w:rPr>
            </w:pPr>
          </w:p>
        </w:tc>
      </w:tr>
      <w:tr w14:paraId="0697AB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572" w:type="dxa"/>
            <w:tcBorders>
              <w:left w:val="nil"/>
            </w:tcBorders>
            <w:vAlign w:val="top"/>
          </w:tcPr>
          <w:p w14:paraId="65117A4A">
            <w:pPr>
              <w:spacing w:before="212" w:line="195" w:lineRule="auto"/>
              <w:ind w:left="2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037" w:type="dxa"/>
            <w:vAlign w:val="top"/>
          </w:tcPr>
          <w:p w14:paraId="521C4F6D">
            <w:pPr>
              <w:pStyle w:val="6"/>
              <w:spacing w:before="173" w:line="231" w:lineRule="auto"/>
              <w:ind w:left="312"/>
              <w:rPr>
                <w:sz w:val="20"/>
                <w:szCs w:val="20"/>
              </w:rPr>
            </w:pPr>
            <w:r>
              <w:rPr>
                <w:spacing w:val="5"/>
                <w:sz w:val="20"/>
                <w:szCs w:val="20"/>
              </w:rPr>
              <w:t>硅石</w:t>
            </w:r>
          </w:p>
        </w:tc>
        <w:tc>
          <w:tcPr>
            <w:tcW w:w="4103" w:type="dxa"/>
            <w:vAlign w:val="top"/>
          </w:tcPr>
          <w:p w14:paraId="7F29839A">
            <w:pPr>
              <w:pStyle w:val="6"/>
              <w:spacing w:before="38" w:line="230" w:lineRule="auto"/>
              <w:ind w:left="624" w:hanging="614"/>
              <w:rPr>
                <w:rFonts w:ascii="Times New Roman" w:hAnsi="Times New Roman" w:eastAsia="Times New Roman" w:cs="Times New Roman"/>
                <w:sz w:val="20"/>
                <w:szCs w:val="20"/>
              </w:rPr>
            </w:pPr>
            <w:r>
              <w:rPr>
                <w:spacing w:val="-5"/>
                <w:sz w:val="20"/>
                <w:szCs w:val="20"/>
              </w:rPr>
              <w:t>粒度</w:t>
            </w:r>
            <w:r>
              <w:rPr>
                <w:spacing w:val="-9"/>
                <w:sz w:val="20"/>
                <w:szCs w:val="20"/>
              </w:rPr>
              <w:t xml:space="preserve"> </w:t>
            </w:r>
            <w:r>
              <w:rPr>
                <w:rFonts w:ascii="Times New Roman" w:hAnsi="Times New Roman" w:eastAsia="Times New Roman" w:cs="Times New Roman"/>
                <w:spacing w:val="-5"/>
                <w:sz w:val="20"/>
                <w:szCs w:val="20"/>
              </w:rPr>
              <w:t>10-40mm</w:t>
            </w:r>
            <w:r>
              <w:rPr>
                <w:spacing w:val="-5"/>
                <w:sz w:val="20"/>
                <w:szCs w:val="20"/>
              </w:rPr>
              <w:t>，块状，</w:t>
            </w:r>
            <w:r>
              <w:rPr>
                <w:rFonts w:ascii="Times New Roman" w:hAnsi="Times New Roman" w:eastAsia="Times New Roman" w:cs="Times New Roman"/>
                <w:spacing w:val="-5"/>
                <w:sz w:val="20"/>
                <w:szCs w:val="20"/>
              </w:rPr>
              <w:t>SiO</w:t>
            </w:r>
            <w:r>
              <w:rPr>
                <w:rFonts w:ascii="Times New Roman" w:hAnsi="Times New Roman" w:eastAsia="Times New Roman" w:cs="Times New Roman"/>
                <w:spacing w:val="-5"/>
                <w:position w:val="-1"/>
                <w:sz w:val="13"/>
                <w:szCs w:val="13"/>
              </w:rPr>
              <w:t xml:space="preserve">2   </w:t>
            </w:r>
            <w:r>
              <w:rPr>
                <w:spacing w:val="-5"/>
                <w:sz w:val="20"/>
                <w:szCs w:val="20"/>
              </w:rPr>
              <w:t>大于</w:t>
            </w:r>
            <w:r>
              <w:rPr>
                <w:spacing w:val="-38"/>
                <w:sz w:val="20"/>
                <w:szCs w:val="20"/>
              </w:rPr>
              <w:t xml:space="preserve"> </w:t>
            </w:r>
            <w:r>
              <w:rPr>
                <w:rFonts w:ascii="Times New Roman" w:hAnsi="Times New Roman" w:eastAsia="Times New Roman" w:cs="Times New Roman"/>
                <w:spacing w:val="-5"/>
                <w:sz w:val="20"/>
                <w:szCs w:val="20"/>
              </w:rPr>
              <w:t>97%</w:t>
            </w:r>
            <w:r>
              <w:rPr>
                <w:spacing w:val="-5"/>
                <w:sz w:val="20"/>
                <w:szCs w:val="20"/>
              </w:rPr>
              <w:t>，</w:t>
            </w:r>
            <w:r>
              <w:rPr>
                <w:rFonts w:ascii="Times New Roman" w:hAnsi="Times New Roman" w:eastAsia="Times New Roman" w:cs="Times New Roman"/>
                <w:spacing w:val="-5"/>
                <w:sz w:val="20"/>
                <w:szCs w:val="20"/>
              </w:rPr>
              <w:t>Al</w:t>
            </w:r>
            <w:r>
              <w:rPr>
                <w:rFonts w:ascii="Times New Roman" w:hAnsi="Times New Roman" w:eastAsia="Times New Roman" w:cs="Times New Roman"/>
                <w:spacing w:val="-5"/>
                <w:position w:val="-1"/>
                <w:sz w:val="13"/>
                <w:szCs w:val="13"/>
              </w:rPr>
              <w:t>2</w:t>
            </w:r>
            <w:r>
              <w:rPr>
                <w:rFonts w:ascii="Times New Roman" w:hAnsi="Times New Roman" w:eastAsia="Times New Roman" w:cs="Times New Roman"/>
                <w:spacing w:val="-5"/>
                <w:sz w:val="20"/>
                <w:szCs w:val="20"/>
              </w:rPr>
              <w:t>O</w:t>
            </w:r>
            <w:r>
              <w:rPr>
                <w:rFonts w:ascii="Times New Roman" w:hAnsi="Times New Roman" w:eastAsia="Times New Roman" w:cs="Times New Roman"/>
                <w:spacing w:val="-5"/>
                <w:position w:val="-1"/>
                <w:sz w:val="13"/>
                <w:szCs w:val="13"/>
              </w:rPr>
              <w:t>3</w:t>
            </w:r>
            <w:r>
              <w:rPr>
                <w:spacing w:val="-5"/>
                <w:sz w:val="20"/>
                <w:szCs w:val="20"/>
              </w:rPr>
              <w:t>、</w:t>
            </w:r>
            <w:r>
              <w:rPr>
                <w:sz w:val="20"/>
                <w:szCs w:val="20"/>
              </w:rPr>
              <w:t xml:space="preserve"> </w:t>
            </w:r>
            <w:r>
              <w:rPr>
                <w:rFonts w:ascii="Times New Roman" w:hAnsi="Times New Roman" w:eastAsia="Times New Roman" w:cs="Times New Roman"/>
                <w:spacing w:val="2"/>
                <w:sz w:val="20"/>
                <w:szCs w:val="20"/>
              </w:rPr>
              <w:t>P</w:t>
            </w:r>
            <w:r>
              <w:rPr>
                <w:rFonts w:ascii="Times New Roman" w:hAnsi="Times New Roman" w:eastAsia="Times New Roman" w:cs="Times New Roman"/>
                <w:spacing w:val="2"/>
                <w:position w:val="-1"/>
                <w:sz w:val="13"/>
                <w:szCs w:val="13"/>
              </w:rPr>
              <w:t>2</w:t>
            </w:r>
            <w:r>
              <w:rPr>
                <w:rFonts w:ascii="Times New Roman" w:hAnsi="Times New Roman" w:eastAsia="Times New Roman" w:cs="Times New Roman"/>
                <w:spacing w:val="2"/>
                <w:sz w:val="20"/>
                <w:szCs w:val="20"/>
              </w:rPr>
              <w:t>O</w:t>
            </w:r>
            <w:r>
              <w:rPr>
                <w:rFonts w:ascii="Times New Roman" w:hAnsi="Times New Roman" w:eastAsia="Times New Roman" w:cs="Times New Roman"/>
                <w:spacing w:val="2"/>
                <w:position w:val="-1"/>
                <w:sz w:val="13"/>
                <w:szCs w:val="13"/>
              </w:rPr>
              <w:t xml:space="preserve">5 </w:t>
            </w:r>
            <w:r>
              <w:rPr>
                <w:spacing w:val="2"/>
                <w:sz w:val="20"/>
                <w:szCs w:val="20"/>
              </w:rPr>
              <w:t>应分别低于</w:t>
            </w:r>
            <w:r>
              <w:rPr>
                <w:spacing w:val="-33"/>
                <w:sz w:val="20"/>
                <w:szCs w:val="20"/>
              </w:rPr>
              <w:t xml:space="preserve"> </w:t>
            </w:r>
            <w:r>
              <w:rPr>
                <w:rFonts w:ascii="Times New Roman" w:hAnsi="Times New Roman" w:eastAsia="Times New Roman" w:cs="Times New Roman"/>
                <w:spacing w:val="2"/>
                <w:sz w:val="20"/>
                <w:szCs w:val="20"/>
              </w:rPr>
              <w:t>0.</w:t>
            </w:r>
            <w:r>
              <w:rPr>
                <w:rFonts w:ascii="Times New Roman" w:hAnsi="Times New Roman" w:eastAsia="Times New Roman" w:cs="Times New Roman"/>
                <w:spacing w:val="-26"/>
                <w:sz w:val="20"/>
                <w:szCs w:val="20"/>
              </w:rPr>
              <w:t xml:space="preserve"> </w:t>
            </w:r>
            <w:r>
              <w:rPr>
                <w:rFonts w:ascii="Times New Roman" w:hAnsi="Times New Roman" w:eastAsia="Times New Roman" w:cs="Times New Roman"/>
                <w:spacing w:val="2"/>
                <w:sz w:val="20"/>
                <w:szCs w:val="20"/>
              </w:rPr>
              <w:t>1%</w:t>
            </w:r>
            <w:r>
              <w:rPr>
                <w:spacing w:val="2"/>
                <w:sz w:val="20"/>
                <w:szCs w:val="20"/>
              </w:rPr>
              <w:t xml:space="preserve">及 </w:t>
            </w:r>
            <w:r>
              <w:rPr>
                <w:rFonts w:ascii="Times New Roman" w:hAnsi="Times New Roman" w:eastAsia="Times New Roman" w:cs="Times New Roman"/>
                <w:spacing w:val="2"/>
                <w:sz w:val="20"/>
                <w:szCs w:val="20"/>
              </w:rPr>
              <w:t>0.02%</w:t>
            </w:r>
          </w:p>
        </w:tc>
        <w:tc>
          <w:tcPr>
            <w:tcW w:w="993" w:type="dxa"/>
            <w:vAlign w:val="top"/>
          </w:tcPr>
          <w:p w14:paraId="6177738D">
            <w:pPr>
              <w:spacing w:before="208" w:line="199"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t/a</w:t>
            </w:r>
          </w:p>
        </w:tc>
        <w:tc>
          <w:tcPr>
            <w:tcW w:w="1074" w:type="dxa"/>
            <w:vAlign w:val="top"/>
          </w:tcPr>
          <w:p w14:paraId="18D4FE30">
            <w:pPr>
              <w:spacing w:before="212" w:line="195" w:lineRule="auto"/>
              <w:ind w:left="244"/>
              <w:rPr>
                <w:rFonts w:ascii="Times New Roman" w:hAnsi="Times New Roman" w:eastAsia="Times New Roman" w:cs="Times New Roman"/>
                <w:sz w:val="20"/>
                <w:szCs w:val="20"/>
              </w:rPr>
            </w:pPr>
            <w:r>
              <w:rPr>
                <w:rFonts w:ascii="Times New Roman" w:hAnsi="Times New Roman" w:eastAsia="Times New Roman" w:cs="Times New Roman"/>
                <w:sz w:val="20"/>
                <w:szCs w:val="20"/>
              </w:rPr>
              <w:t>135000</w:t>
            </w:r>
          </w:p>
        </w:tc>
        <w:tc>
          <w:tcPr>
            <w:tcW w:w="1276" w:type="dxa"/>
            <w:vMerge w:val="continue"/>
            <w:tcBorders>
              <w:top w:val="nil"/>
              <w:bottom w:val="nil"/>
              <w:right w:val="nil"/>
            </w:tcBorders>
            <w:vAlign w:val="top"/>
          </w:tcPr>
          <w:p w14:paraId="70BCFFCB">
            <w:pPr>
              <w:rPr>
                <w:rFonts w:ascii="Arial"/>
                <w:sz w:val="21"/>
              </w:rPr>
            </w:pPr>
          </w:p>
        </w:tc>
      </w:tr>
      <w:tr w14:paraId="262E42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572" w:type="dxa"/>
            <w:tcBorders>
              <w:left w:val="nil"/>
            </w:tcBorders>
            <w:vAlign w:val="top"/>
          </w:tcPr>
          <w:p w14:paraId="51947027">
            <w:pPr>
              <w:spacing w:before="128" w:line="192" w:lineRule="auto"/>
              <w:ind w:left="241"/>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037" w:type="dxa"/>
            <w:vAlign w:val="top"/>
          </w:tcPr>
          <w:p w14:paraId="0CF70E55">
            <w:pPr>
              <w:pStyle w:val="6"/>
              <w:spacing w:before="89" w:line="228" w:lineRule="auto"/>
              <w:ind w:left="232"/>
              <w:rPr>
                <w:sz w:val="20"/>
                <w:szCs w:val="20"/>
              </w:rPr>
            </w:pPr>
            <w:r>
              <w:rPr>
                <w:spacing w:val="-2"/>
                <w:sz w:val="20"/>
                <w:szCs w:val="20"/>
              </w:rPr>
              <w:t>电极糊</w:t>
            </w:r>
          </w:p>
        </w:tc>
        <w:tc>
          <w:tcPr>
            <w:tcW w:w="4103" w:type="dxa"/>
            <w:vAlign w:val="top"/>
          </w:tcPr>
          <w:p w14:paraId="3C81AEA7">
            <w:pPr>
              <w:pStyle w:val="6"/>
              <w:spacing w:before="89" w:line="228" w:lineRule="auto"/>
              <w:ind w:left="328"/>
              <w:rPr>
                <w:rFonts w:ascii="Times New Roman" w:hAnsi="Times New Roman" w:eastAsia="Times New Roman" w:cs="Times New Roman"/>
                <w:sz w:val="20"/>
                <w:szCs w:val="20"/>
              </w:rPr>
            </w:pPr>
            <w:r>
              <w:rPr>
                <w:spacing w:val="4"/>
                <w:sz w:val="20"/>
                <w:szCs w:val="20"/>
              </w:rPr>
              <w:t>密闭糊</w:t>
            </w:r>
            <w:r>
              <w:rPr>
                <w:spacing w:val="-22"/>
                <w:sz w:val="20"/>
                <w:szCs w:val="20"/>
              </w:rPr>
              <w:t xml:space="preserve"> </w:t>
            </w:r>
            <w:r>
              <w:rPr>
                <w:rFonts w:ascii="Times New Roman" w:hAnsi="Times New Roman" w:eastAsia="Times New Roman" w:cs="Times New Roman"/>
                <w:sz w:val="20"/>
                <w:szCs w:val="20"/>
              </w:rPr>
              <w:t>GB</w:t>
            </w:r>
            <w:r>
              <w:rPr>
                <w:rFonts w:ascii="Times New Roman" w:hAnsi="Times New Roman" w:eastAsia="Times New Roman" w:cs="Times New Roman"/>
                <w:spacing w:val="4"/>
                <w:sz w:val="20"/>
                <w:szCs w:val="20"/>
              </w:rPr>
              <w:t>10130-88</w:t>
            </w:r>
            <w:r>
              <w:rPr>
                <w:rFonts w:ascii="Times New Roman" w:hAnsi="Times New Roman" w:eastAsia="Times New Roman" w:cs="Times New Roman"/>
                <w:spacing w:val="-24"/>
                <w:sz w:val="20"/>
                <w:szCs w:val="20"/>
              </w:rPr>
              <w:t xml:space="preserve"> </w:t>
            </w:r>
            <w:r>
              <w:rPr>
                <w:spacing w:val="4"/>
                <w:sz w:val="20"/>
                <w:szCs w:val="20"/>
              </w:rPr>
              <w:t>，</w:t>
            </w:r>
            <w:r>
              <w:rPr>
                <w:rFonts w:ascii="Times New Roman" w:hAnsi="Times New Roman" w:eastAsia="Times New Roman" w:cs="Times New Roman"/>
                <w:spacing w:val="4"/>
                <w:sz w:val="20"/>
                <w:szCs w:val="20"/>
              </w:rPr>
              <w:t xml:space="preserve">C </w:t>
            </w:r>
            <w:r>
              <w:rPr>
                <w:spacing w:val="4"/>
                <w:sz w:val="20"/>
                <w:szCs w:val="20"/>
              </w:rPr>
              <w:t>含量</w:t>
            </w:r>
            <w:r>
              <w:rPr>
                <w:spacing w:val="-37"/>
                <w:sz w:val="20"/>
                <w:szCs w:val="20"/>
              </w:rPr>
              <w:t xml:space="preserve"> </w:t>
            </w:r>
            <w:r>
              <w:rPr>
                <w:rFonts w:ascii="Times New Roman" w:hAnsi="Times New Roman" w:eastAsia="Times New Roman" w:cs="Times New Roman"/>
                <w:spacing w:val="4"/>
                <w:sz w:val="20"/>
                <w:szCs w:val="20"/>
              </w:rPr>
              <w:t>78</w:t>
            </w:r>
            <w:r>
              <w:rPr>
                <w:spacing w:val="4"/>
                <w:sz w:val="20"/>
                <w:szCs w:val="20"/>
              </w:rPr>
              <w:t>～</w:t>
            </w:r>
            <w:r>
              <w:rPr>
                <w:rFonts w:ascii="Times New Roman" w:hAnsi="Times New Roman" w:eastAsia="Times New Roman" w:cs="Times New Roman"/>
                <w:spacing w:val="4"/>
                <w:sz w:val="20"/>
                <w:szCs w:val="20"/>
              </w:rPr>
              <w:t>89%</w:t>
            </w:r>
          </w:p>
        </w:tc>
        <w:tc>
          <w:tcPr>
            <w:tcW w:w="993" w:type="dxa"/>
            <w:vAlign w:val="top"/>
          </w:tcPr>
          <w:p w14:paraId="08BC68AF">
            <w:pPr>
              <w:spacing w:before="121" w:line="199"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t/a</w:t>
            </w:r>
          </w:p>
        </w:tc>
        <w:tc>
          <w:tcPr>
            <w:tcW w:w="1074" w:type="dxa"/>
            <w:vAlign w:val="top"/>
          </w:tcPr>
          <w:p w14:paraId="5697B71B">
            <w:pPr>
              <w:spacing w:before="125" w:line="195" w:lineRule="auto"/>
              <w:ind w:left="297"/>
              <w:rPr>
                <w:rFonts w:ascii="Times New Roman" w:hAnsi="Times New Roman" w:eastAsia="Times New Roman" w:cs="Times New Roman"/>
                <w:sz w:val="20"/>
                <w:szCs w:val="20"/>
              </w:rPr>
            </w:pPr>
            <w:r>
              <w:rPr>
                <w:rFonts w:ascii="Times New Roman" w:hAnsi="Times New Roman" w:eastAsia="Times New Roman" w:cs="Times New Roman"/>
                <w:sz w:val="20"/>
                <w:szCs w:val="20"/>
              </w:rPr>
              <w:t>13500</w:t>
            </w:r>
          </w:p>
        </w:tc>
        <w:tc>
          <w:tcPr>
            <w:tcW w:w="1276" w:type="dxa"/>
            <w:vMerge w:val="continue"/>
            <w:tcBorders>
              <w:top w:val="nil"/>
              <w:bottom w:val="nil"/>
              <w:right w:val="nil"/>
            </w:tcBorders>
            <w:vAlign w:val="top"/>
          </w:tcPr>
          <w:p w14:paraId="0688C693">
            <w:pPr>
              <w:rPr>
                <w:rFonts w:ascii="Arial"/>
                <w:sz w:val="21"/>
              </w:rPr>
            </w:pPr>
          </w:p>
        </w:tc>
      </w:tr>
      <w:tr w14:paraId="0F3E90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572" w:type="dxa"/>
            <w:tcBorders>
              <w:left w:val="nil"/>
            </w:tcBorders>
            <w:vAlign w:val="top"/>
          </w:tcPr>
          <w:p w14:paraId="2F51C92F">
            <w:pPr>
              <w:spacing w:before="127" w:line="195" w:lineRule="auto"/>
              <w:ind w:left="240"/>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037" w:type="dxa"/>
            <w:vAlign w:val="top"/>
          </w:tcPr>
          <w:p w14:paraId="17E2B806">
            <w:pPr>
              <w:pStyle w:val="6"/>
              <w:spacing w:before="91" w:line="231" w:lineRule="auto"/>
              <w:ind w:left="238"/>
              <w:rPr>
                <w:sz w:val="20"/>
                <w:szCs w:val="20"/>
              </w:rPr>
            </w:pPr>
            <w:r>
              <w:rPr>
                <w:spacing w:val="-4"/>
                <w:sz w:val="20"/>
                <w:szCs w:val="20"/>
              </w:rPr>
              <w:t>白云石</w:t>
            </w:r>
          </w:p>
        </w:tc>
        <w:tc>
          <w:tcPr>
            <w:tcW w:w="4103" w:type="dxa"/>
            <w:vAlign w:val="top"/>
          </w:tcPr>
          <w:p w14:paraId="36A5D3FD">
            <w:pPr>
              <w:spacing w:before="124" w:line="199" w:lineRule="auto"/>
              <w:ind w:left="20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93" w:type="dxa"/>
            <w:vAlign w:val="top"/>
          </w:tcPr>
          <w:p w14:paraId="40CA38E7">
            <w:pPr>
              <w:spacing w:before="124" w:line="199"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t/a</w:t>
            </w:r>
          </w:p>
        </w:tc>
        <w:tc>
          <w:tcPr>
            <w:tcW w:w="1074" w:type="dxa"/>
            <w:vAlign w:val="top"/>
          </w:tcPr>
          <w:p w14:paraId="0919D0EC">
            <w:pPr>
              <w:spacing w:before="127" w:line="195" w:lineRule="auto"/>
              <w:ind w:left="27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45000</w:t>
            </w:r>
          </w:p>
        </w:tc>
        <w:tc>
          <w:tcPr>
            <w:tcW w:w="1276" w:type="dxa"/>
            <w:vMerge w:val="continue"/>
            <w:tcBorders>
              <w:top w:val="nil"/>
              <w:right w:val="nil"/>
            </w:tcBorders>
            <w:vAlign w:val="top"/>
          </w:tcPr>
          <w:p w14:paraId="7B6C89A8">
            <w:pPr>
              <w:rPr>
                <w:rFonts w:ascii="Arial"/>
                <w:sz w:val="21"/>
              </w:rPr>
            </w:pPr>
          </w:p>
        </w:tc>
      </w:tr>
      <w:tr w14:paraId="732C63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572" w:type="dxa"/>
            <w:tcBorders>
              <w:left w:val="nil"/>
            </w:tcBorders>
            <w:vAlign w:val="top"/>
          </w:tcPr>
          <w:p w14:paraId="7A766F71">
            <w:pPr>
              <w:spacing w:before="133" w:line="192" w:lineRule="auto"/>
              <w:ind w:left="239"/>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1037" w:type="dxa"/>
            <w:vAlign w:val="top"/>
          </w:tcPr>
          <w:p w14:paraId="473717C5">
            <w:pPr>
              <w:pStyle w:val="6"/>
              <w:spacing w:before="94" w:line="227" w:lineRule="auto"/>
              <w:ind w:left="311"/>
              <w:rPr>
                <w:sz w:val="20"/>
                <w:szCs w:val="20"/>
              </w:rPr>
            </w:pPr>
            <w:r>
              <w:rPr>
                <w:spacing w:val="5"/>
                <w:sz w:val="20"/>
                <w:szCs w:val="20"/>
              </w:rPr>
              <w:t>氮气</w:t>
            </w:r>
          </w:p>
        </w:tc>
        <w:tc>
          <w:tcPr>
            <w:tcW w:w="4103" w:type="dxa"/>
            <w:vAlign w:val="top"/>
          </w:tcPr>
          <w:p w14:paraId="1B7E56FF">
            <w:pPr>
              <w:pStyle w:val="6"/>
              <w:spacing w:before="93" w:line="228" w:lineRule="auto"/>
              <w:ind w:left="882"/>
              <w:rPr>
                <w:rFonts w:ascii="Times New Roman" w:hAnsi="Times New Roman" w:eastAsia="Times New Roman" w:cs="Times New Roman"/>
                <w:sz w:val="20"/>
                <w:szCs w:val="20"/>
              </w:rPr>
            </w:pPr>
            <w:r>
              <w:rPr>
                <w:spacing w:val="2"/>
                <w:sz w:val="20"/>
                <w:szCs w:val="20"/>
              </w:rPr>
              <w:t>纯度</w:t>
            </w:r>
            <w:r>
              <w:rPr>
                <w:spacing w:val="-33"/>
                <w:sz w:val="20"/>
                <w:szCs w:val="20"/>
              </w:rPr>
              <w:t xml:space="preserve"> </w:t>
            </w:r>
            <w:r>
              <w:rPr>
                <w:rFonts w:ascii="Times New Roman" w:hAnsi="Times New Roman" w:eastAsia="Times New Roman" w:cs="Times New Roman"/>
                <w:spacing w:val="2"/>
                <w:sz w:val="20"/>
                <w:szCs w:val="20"/>
              </w:rPr>
              <w:t>99.9%</w:t>
            </w:r>
            <w:r>
              <w:rPr>
                <w:rFonts w:ascii="Times New Roman" w:hAnsi="Times New Roman" w:eastAsia="Times New Roman" w:cs="Times New Roman"/>
                <w:spacing w:val="-26"/>
                <w:sz w:val="20"/>
                <w:szCs w:val="20"/>
              </w:rPr>
              <w:t xml:space="preserve"> </w:t>
            </w:r>
            <w:r>
              <w:rPr>
                <w:spacing w:val="2"/>
                <w:sz w:val="20"/>
                <w:szCs w:val="20"/>
              </w:rPr>
              <w:t>，压力</w:t>
            </w:r>
            <w:r>
              <w:rPr>
                <w:spacing w:val="-20"/>
                <w:sz w:val="20"/>
                <w:szCs w:val="20"/>
              </w:rPr>
              <w:t xml:space="preserve"> </w:t>
            </w:r>
            <w:r>
              <w:rPr>
                <w:rFonts w:ascii="Times New Roman" w:hAnsi="Times New Roman" w:eastAsia="Times New Roman" w:cs="Times New Roman"/>
                <w:spacing w:val="2"/>
                <w:sz w:val="20"/>
                <w:szCs w:val="20"/>
              </w:rPr>
              <w:t>1.8</w:t>
            </w:r>
            <w:r>
              <w:rPr>
                <w:rFonts w:ascii="Times New Roman" w:hAnsi="Times New Roman" w:eastAsia="Times New Roman" w:cs="Times New Roman"/>
                <w:sz w:val="20"/>
                <w:szCs w:val="20"/>
              </w:rPr>
              <w:t>MPa</w:t>
            </w:r>
          </w:p>
        </w:tc>
        <w:tc>
          <w:tcPr>
            <w:tcW w:w="993" w:type="dxa"/>
            <w:vAlign w:val="top"/>
          </w:tcPr>
          <w:p w14:paraId="0C89AFCA">
            <w:pPr>
              <w:pStyle w:val="6"/>
              <w:spacing w:before="94" w:line="228" w:lineRule="auto"/>
              <w:ind w:left="182"/>
              <w:rPr>
                <w:rFonts w:ascii="Times New Roman" w:hAnsi="Times New Roman" w:eastAsia="Times New Roman" w:cs="Times New Roman"/>
                <w:sz w:val="13"/>
                <w:szCs w:val="13"/>
              </w:rPr>
            </w:pPr>
            <w:r>
              <w:rPr>
                <w:spacing w:val="8"/>
                <w:sz w:val="20"/>
                <w:szCs w:val="20"/>
              </w:rPr>
              <w:t>万</w:t>
            </w:r>
            <w:r>
              <w:rPr>
                <w:spacing w:val="-48"/>
                <w:sz w:val="20"/>
                <w:szCs w:val="20"/>
              </w:rPr>
              <w:t xml:space="preserve"> </w:t>
            </w:r>
            <w:r>
              <w:rPr>
                <w:rFonts w:ascii="Times New Roman" w:hAnsi="Times New Roman" w:eastAsia="Times New Roman" w:cs="Times New Roman"/>
                <w:sz w:val="20"/>
                <w:szCs w:val="20"/>
              </w:rPr>
              <w:t>Nm</w:t>
            </w:r>
            <w:r>
              <w:rPr>
                <w:rFonts w:ascii="Times New Roman" w:hAnsi="Times New Roman" w:eastAsia="Times New Roman" w:cs="Times New Roman"/>
                <w:spacing w:val="8"/>
                <w:position w:val="5"/>
                <w:sz w:val="13"/>
                <w:szCs w:val="13"/>
              </w:rPr>
              <w:t>3</w:t>
            </w:r>
          </w:p>
        </w:tc>
        <w:tc>
          <w:tcPr>
            <w:tcW w:w="1074" w:type="dxa"/>
            <w:vAlign w:val="top"/>
          </w:tcPr>
          <w:p w14:paraId="1F7969BC">
            <w:pPr>
              <w:spacing w:before="130" w:line="195" w:lineRule="auto"/>
              <w:ind w:left="25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546.48</w:t>
            </w:r>
          </w:p>
        </w:tc>
        <w:tc>
          <w:tcPr>
            <w:tcW w:w="1276" w:type="dxa"/>
            <w:tcBorders>
              <w:right w:val="nil"/>
            </w:tcBorders>
            <w:vAlign w:val="top"/>
          </w:tcPr>
          <w:p w14:paraId="3724D83A">
            <w:pPr>
              <w:pStyle w:val="6"/>
              <w:spacing w:before="94" w:line="227" w:lineRule="auto"/>
              <w:ind w:left="233"/>
              <w:rPr>
                <w:sz w:val="20"/>
                <w:szCs w:val="20"/>
              </w:rPr>
            </w:pPr>
            <w:r>
              <w:rPr>
                <w:spacing w:val="5"/>
                <w:sz w:val="20"/>
                <w:szCs w:val="20"/>
              </w:rPr>
              <w:t>空压制氮</w:t>
            </w:r>
          </w:p>
        </w:tc>
      </w:tr>
      <w:tr w14:paraId="1648CF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572" w:type="dxa"/>
            <w:tcBorders>
              <w:left w:val="nil"/>
            </w:tcBorders>
            <w:vAlign w:val="top"/>
          </w:tcPr>
          <w:p w14:paraId="3CFE4F2A">
            <w:pPr>
              <w:spacing w:before="132" w:line="195" w:lineRule="auto"/>
              <w:ind w:left="244"/>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1037" w:type="dxa"/>
            <w:vAlign w:val="top"/>
          </w:tcPr>
          <w:p w14:paraId="1B128D5C">
            <w:pPr>
              <w:pStyle w:val="6"/>
              <w:spacing w:before="96" w:line="228" w:lineRule="auto"/>
              <w:ind w:left="312"/>
              <w:rPr>
                <w:sz w:val="20"/>
                <w:szCs w:val="20"/>
              </w:rPr>
            </w:pPr>
            <w:r>
              <w:rPr>
                <w:spacing w:val="5"/>
                <w:sz w:val="20"/>
                <w:szCs w:val="20"/>
              </w:rPr>
              <w:t>尿素</w:t>
            </w:r>
          </w:p>
        </w:tc>
        <w:tc>
          <w:tcPr>
            <w:tcW w:w="4103" w:type="dxa"/>
            <w:vAlign w:val="top"/>
          </w:tcPr>
          <w:p w14:paraId="36E8AB4B">
            <w:pPr>
              <w:spacing w:before="128" w:line="199" w:lineRule="auto"/>
              <w:ind w:left="20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93" w:type="dxa"/>
            <w:vAlign w:val="top"/>
          </w:tcPr>
          <w:p w14:paraId="41FD98D1">
            <w:pPr>
              <w:spacing w:before="128" w:line="199"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t/a</w:t>
            </w:r>
          </w:p>
        </w:tc>
        <w:tc>
          <w:tcPr>
            <w:tcW w:w="1074" w:type="dxa"/>
            <w:vAlign w:val="top"/>
          </w:tcPr>
          <w:p w14:paraId="46ECC4DF">
            <w:pPr>
              <w:spacing w:before="132" w:line="195" w:lineRule="auto"/>
              <w:ind w:left="32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2800</w:t>
            </w:r>
          </w:p>
        </w:tc>
        <w:tc>
          <w:tcPr>
            <w:tcW w:w="1276" w:type="dxa"/>
            <w:tcBorders>
              <w:right w:val="nil"/>
            </w:tcBorders>
            <w:vAlign w:val="top"/>
          </w:tcPr>
          <w:p w14:paraId="2ACC542E">
            <w:pPr>
              <w:pStyle w:val="6"/>
              <w:spacing w:before="96" w:line="228" w:lineRule="auto"/>
              <w:ind w:left="330"/>
              <w:rPr>
                <w:sz w:val="20"/>
                <w:szCs w:val="20"/>
              </w:rPr>
            </w:pPr>
            <w:r>
              <w:rPr>
                <w:spacing w:val="6"/>
                <w:sz w:val="20"/>
                <w:szCs w:val="20"/>
              </w:rPr>
              <w:t>锅炉房</w:t>
            </w:r>
          </w:p>
        </w:tc>
      </w:tr>
      <w:tr w14:paraId="7DF5E1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572" w:type="dxa"/>
            <w:tcBorders>
              <w:left w:val="nil"/>
            </w:tcBorders>
            <w:vAlign w:val="top"/>
          </w:tcPr>
          <w:p w14:paraId="41994A03">
            <w:pPr>
              <w:spacing w:before="134" w:line="195" w:lineRule="auto"/>
              <w:ind w:left="240"/>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1037" w:type="dxa"/>
            <w:vAlign w:val="top"/>
          </w:tcPr>
          <w:p w14:paraId="46485EE9">
            <w:pPr>
              <w:pStyle w:val="6"/>
              <w:spacing w:before="99" w:line="228" w:lineRule="auto"/>
              <w:ind w:left="104"/>
              <w:rPr>
                <w:sz w:val="20"/>
                <w:szCs w:val="20"/>
              </w:rPr>
            </w:pPr>
            <w:r>
              <w:rPr>
                <w:spacing w:val="7"/>
                <w:sz w:val="20"/>
                <w:szCs w:val="20"/>
              </w:rPr>
              <w:t>碳酸氢钠</w:t>
            </w:r>
          </w:p>
        </w:tc>
        <w:tc>
          <w:tcPr>
            <w:tcW w:w="4103" w:type="dxa"/>
            <w:vAlign w:val="top"/>
          </w:tcPr>
          <w:p w14:paraId="5742BA47">
            <w:pPr>
              <w:pStyle w:val="6"/>
              <w:spacing w:before="98" w:line="228" w:lineRule="auto"/>
              <w:ind w:left="1209"/>
              <w:rPr>
                <w:rFonts w:ascii="Times New Roman" w:hAnsi="Times New Roman" w:eastAsia="Times New Roman" w:cs="Times New Roman"/>
                <w:sz w:val="20"/>
                <w:szCs w:val="20"/>
              </w:rPr>
            </w:pPr>
            <w:r>
              <w:rPr>
                <w:spacing w:val="6"/>
                <w:sz w:val="20"/>
                <w:szCs w:val="20"/>
              </w:rPr>
              <w:t>有效成分含量</w:t>
            </w:r>
            <w:r>
              <w:rPr>
                <w:spacing w:val="-33"/>
                <w:sz w:val="20"/>
                <w:szCs w:val="20"/>
              </w:rPr>
              <w:t xml:space="preserve"> </w:t>
            </w:r>
            <w:r>
              <w:rPr>
                <w:rFonts w:ascii="Times New Roman" w:hAnsi="Times New Roman" w:eastAsia="Times New Roman" w:cs="Times New Roman"/>
                <w:spacing w:val="6"/>
                <w:sz w:val="20"/>
                <w:szCs w:val="20"/>
              </w:rPr>
              <w:t>99%</w:t>
            </w:r>
          </w:p>
        </w:tc>
        <w:tc>
          <w:tcPr>
            <w:tcW w:w="993" w:type="dxa"/>
            <w:vAlign w:val="top"/>
          </w:tcPr>
          <w:p w14:paraId="0624DC2E">
            <w:pPr>
              <w:spacing w:before="130" w:line="199"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t/a</w:t>
            </w:r>
          </w:p>
        </w:tc>
        <w:tc>
          <w:tcPr>
            <w:tcW w:w="1074" w:type="dxa"/>
            <w:vAlign w:val="top"/>
          </w:tcPr>
          <w:p w14:paraId="13184CC8">
            <w:pPr>
              <w:spacing w:before="134" w:line="195" w:lineRule="auto"/>
              <w:ind w:left="37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400</w:t>
            </w:r>
          </w:p>
        </w:tc>
        <w:tc>
          <w:tcPr>
            <w:tcW w:w="1276" w:type="dxa"/>
            <w:tcBorders>
              <w:right w:val="nil"/>
            </w:tcBorders>
            <w:vAlign w:val="top"/>
          </w:tcPr>
          <w:p w14:paraId="4625FD9E">
            <w:pPr>
              <w:pStyle w:val="6"/>
              <w:spacing w:before="98" w:line="228" w:lineRule="auto"/>
              <w:ind w:left="122"/>
              <w:rPr>
                <w:sz w:val="20"/>
                <w:szCs w:val="20"/>
              </w:rPr>
            </w:pPr>
            <w:r>
              <w:rPr>
                <w:spacing w:val="7"/>
                <w:sz w:val="20"/>
                <w:szCs w:val="20"/>
              </w:rPr>
              <w:t>脱硫综合楼</w:t>
            </w:r>
          </w:p>
        </w:tc>
      </w:tr>
      <w:tr w14:paraId="54E674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572" w:type="dxa"/>
            <w:tcBorders>
              <w:left w:val="nil"/>
            </w:tcBorders>
            <w:vAlign w:val="top"/>
          </w:tcPr>
          <w:p w14:paraId="0993831F">
            <w:pPr>
              <w:spacing w:before="136" w:line="195" w:lineRule="auto"/>
              <w:ind w:left="20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037" w:type="dxa"/>
            <w:vAlign w:val="top"/>
          </w:tcPr>
          <w:p w14:paraId="53EDA0E5">
            <w:pPr>
              <w:pStyle w:val="6"/>
              <w:spacing w:before="101" w:line="233" w:lineRule="auto"/>
              <w:ind w:left="443"/>
              <w:rPr>
                <w:sz w:val="20"/>
                <w:szCs w:val="20"/>
              </w:rPr>
            </w:pPr>
            <w:r>
              <w:rPr>
                <w:sz w:val="20"/>
                <w:szCs w:val="20"/>
              </w:rPr>
              <w:t>电</w:t>
            </w:r>
          </w:p>
        </w:tc>
        <w:tc>
          <w:tcPr>
            <w:tcW w:w="4103" w:type="dxa"/>
            <w:vAlign w:val="top"/>
          </w:tcPr>
          <w:p w14:paraId="3B052CF2">
            <w:pPr>
              <w:spacing w:before="132" w:line="199" w:lineRule="auto"/>
              <w:ind w:left="20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93" w:type="dxa"/>
            <w:vAlign w:val="top"/>
          </w:tcPr>
          <w:p w14:paraId="1389F1C2">
            <w:pPr>
              <w:spacing w:before="116" w:line="216"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w:t>
            </w:r>
            <w:r>
              <w:rPr>
                <w:rFonts w:ascii="Times New Roman" w:hAnsi="Times New Roman" w:eastAsia="Times New Roman" w:cs="Times New Roman"/>
                <w:spacing w:val="2"/>
                <w:position w:val="6"/>
                <w:sz w:val="13"/>
                <w:szCs w:val="13"/>
              </w:rPr>
              <w:t>4</w:t>
            </w:r>
            <w:r>
              <w:rPr>
                <w:rFonts w:ascii="Times New Roman" w:hAnsi="Times New Roman" w:eastAsia="Times New Roman" w:cs="Times New Roman"/>
                <w:sz w:val="20"/>
                <w:szCs w:val="20"/>
              </w:rPr>
              <w:t>kWh</w:t>
            </w:r>
            <w:r>
              <w:rPr>
                <w:rFonts w:ascii="Times New Roman" w:hAnsi="Times New Roman" w:eastAsia="Times New Roman" w:cs="Times New Roman"/>
                <w:spacing w:val="2"/>
                <w:sz w:val="20"/>
                <w:szCs w:val="20"/>
              </w:rPr>
              <w:t>/a</w:t>
            </w:r>
          </w:p>
        </w:tc>
        <w:tc>
          <w:tcPr>
            <w:tcW w:w="1074" w:type="dxa"/>
            <w:vAlign w:val="top"/>
          </w:tcPr>
          <w:p w14:paraId="2FB053C5">
            <w:pPr>
              <w:spacing w:before="136" w:line="195" w:lineRule="auto"/>
              <w:ind w:left="244"/>
              <w:rPr>
                <w:rFonts w:ascii="Times New Roman" w:hAnsi="Times New Roman" w:eastAsia="Times New Roman" w:cs="Times New Roman"/>
                <w:sz w:val="20"/>
                <w:szCs w:val="20"/>
              </w:rPr>
            </w:pPr>
            <w:r>
              <w:rPr>
                <w:rFonts w:ascii="Times New Roman" w:hAnsi="Times New Roman" w:eastAsia="Times New Roman" w:cs="Times New Roman"/>
                <w:sz w:val="20"/>
                <w:szCs w:val="20"/>
              </w:rPr>
              <w:t>187640</w:t>
            </w:r>
          </w:p>
        </w:tc>
        <w:tc>
          <w:tcPr>
            <w:tcW w:w="1276" w:type="dxa"/>
            <w:vMerge w:val="restart"/>
            <w:tcBorders>
              <w:bottom w:val="nil"/>
              <w:right w:val="nil"/>
            </w:tcBorders>
            <w:vAlign w:val="top"/>
          </w:tcPr>
          <w:p w14:paraId="2660EF6D">
            <w:pPr>
              <w:pStyle w:val="6"/>
              <w:spacing w:before="290" w:line="229" w:lineRule="auto"/>
              <w:ind w:left="444"/>
              <w:rPr>
                <w:sz w:val="20"/>
                <w:szCs w:val="20"/>
              </w:rPr>
            </w:pPr>
            <w:r>
              <w:rPr>
                <w:sz w:val="20"/>
                <w:szCs w:val="20"/>
              </w:rPr>
              <w:t>能源</w:t>
            </w:r>
          </w:p>
        </w:tc>
      </w:tr>
      <w:tr w14:paraId="27D091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tcBorders>
              <w:left w:val="nil"/>
              <w:bottom w:val="single" w:color="000000" w:sz="10" w:space="0"/>
            </w:tcBorders>
            <w:vAlign w:val="top"/>
          </w:tcPr>
          <w:p w14:paraId="5D86C69E">
            <w:pPr>
              <w:spacing w:before="139" w:line="195" w:lineRule="auto"/>
              <w:ind w:left="205"/>
              <w:rPr>
                <w:rFonts w:ascii="Times New Roman" w:hAnsi="Times New Roman" w:eastAsia="Times New Roman" w:cs="Times New Roman"/>
                <w:sz w:val="20"/>
                <w:szCs w:val="20"/>
              </w:rPr>
            </w:pPr>
            <w:r>
              <w:rPr>
                <w:rFonts w:ascii="Times New Roman" w:hAnsi="Times New Roman" w:eastAsia="Times New Roman" w:cs="Times New Roman"/>
                <w:spacing w:val="-10"/>
                <w:sz w:val="20"/>
                <w:szCs w:val="20"/>
              </w:rPr>
              <w:t>11</w:t>
            </w:r>
          </w:p>
        </w:tc>
        <w:tc>
          <w:tcPr>
            <w:tcW w:w="1037" w:type="dxa"/>
            <w:tcBorders>
              <w:bottom w:val="single" w:color="000000" w:sz="10" w:space="0"/>
            </w:tcBorders>
            <w:vAlign w:val="top"/>
          </w:tcPr>
          <w:p w14:paraId="696C9523">
            <w:pPr>
              <w:pStyle w:val="6"/>
              <w:spacing w:before="102" w:line="228" w:lineRule="auto"/>
              <w:ind w:left="421"/>
              <w:rPr>
                <w:sz w:val="20"/>
                <w:szCs w:val="20"/>
              </w:rPr>
            </w:pPr>
            <w:r>
              <w:rPr>
                <w:sz w:val="20"/>
                <w:szCs w:val="20"/>
              </w:rPr>
              <w:t>水</w:t>
            </w:r>
          </w:p>
        </w:tc>
        <w:tc>
          <w:tcPr>
            <w:tcW w:w="4103" w:type="dxa"/>
            <w:tcBorders>
              <w:bottom w:val="single" w:color="000000" w:sz="10" w:space="0"/>
            </w:tcBorders>
            <w:vAlign w:val="top"/>
          </w:tcPr>
          <w:p w14:paraId="72D85B7B">
            <w:pPr>
              <w:spacing w:before="135" w:line="199" w:lineRule="auto"/>
              <w:ind w:left="20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93" w:type="dxa"/>
            <w:tcBorders>
              <w:bottom w:val="single" w:color="000000" w:sz="10" w:space="0"/>
            </w:tcBorders>
            <w:vAlign w:val="top"/>
          </w:tcPr>
          <w:p w14:paraId="414E4EB3">
            <w:pPr>
              <w:spacing w:before="118" w:line="216" w:lineRule="auto"/>
              <w:ind w:left="302"/>
              <w:rPr>
                <w:rFonts w:ascii="Times New Roman" w:hAnsi="Times New Roman" w:eastAsia="Times New Roman" w:cs="Times New Roman"/>
                <w:sz w:val="20"/>
                <w:szCs w:val="20"/>
              </w:rPr>
            </w:pPr>
            <w:r>
              <w:rPr>
                <w:rFonts w:ascii="Times New Roman" w:hAnsi="Times New Roman" w:eastAsia="Times New Roman" w:cs="Times New Roman"/>
                <w:spacing w:val="4"/>
                <w:position w:val="-1"/>
                <w:sz w:val="20"/>
                <w:szCs w:val="20"/>
              </w:rPr>
              <w:t>m</w:t>
            </w:r>
            <w:r>
              <w:rPr>
                <w:rFonts w:ascii="Times New Roman" w:hAnsi="Times New Roman" w:eastAsia="Times New Roman" w:cs="Times New Roman"/>
                <w:spacing w:val="4"/>
                <w:position w:val="5"/>
                <w:sz w:val="13"/>
                <w:szCs w:val="13"/>
              </w:rPr>
              <w:t>3</w:t>
            </w:r>
            <w:r>
              <w:rPr>
                <w:rFonts w:ascii="Times New Roman" w:hAnsi="Times New Roman" w:eastAsia="Times New Roman" w:cs="Times New Roman"/>
                <w:spacing w:val="4"/>
                <w:position w:val="-1"/>
                <w:sz w:val="20"/>
                <w:szCs w:val="20"/>
              </w:rPr>
              <w:t>/a</w:t>
            </w:r>
          </w:p>
        </w:tc>
        <w:tc>
          <w:tcPr>
            <w:tcW w:w="1074" w:type="dxa"/>
            <w:tcBorders>
              <w:bottom w:val="single" w:color="000000" w:sz="10" w:space="0"/>
            </w:tcBorders>
            <w:vAlign w:val="top"/>
          </w:tcPr>
          <w:p w14:paraId="323F1DA9">
            <w:pPr>
              <w:spacing w:before="138" w:line="195"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660400</w:t>
            </w:r>
          </w:p>
        </w:tc>
        <w:tc>
          <w:tcPr>
            <w:tcW w:w="1276" w:type="dxa"/>
            <w:vMerge w:val="continue"/>
            <w:tcBorders>
              <w:top w:val="nil"/>
              <w:bottom w:val="single" w:color="000000" w:sz="10" w:space="0"/>
              <w:right w:val="nil"/>
            </w:tcBorders>
            <w:vAlign w:val="top"/>
          </w:tcPr>
          <w:p w14:paraId="5EF4A3BD">
            <w:pPr>
              <w:rPr>
                <w:rFonts w:ascii="Arial"/>
                <w:sz w:val="21"/>
              </w:rPr>
            </w:pPr>
          </w:p>
        </w:tc>
      </w:tr>
    </w:tbl>
    <w:p w14:paraId="63C8AAF1">
      <w:pPr>
        <w:spacing w:before="119"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）主要原料成分及规格指标</w:t>
      </w:r>
    </w:p>
    <w:p w14:paraId="783F3F1D">
      <w:pPr>
        <w:spacing w:before="191" w:line="219" w:lineRule="auto"/>
        <w:ind w:left="489"/>
        <w:rPr>
          <w:rFonts w:ascii="宋体" w:hAnsi="宋体" w:eastAsia="宋体" w:cs="宋体"/>
          <w:sz w:val="24"/>
          <w:szCs w:val="24"/>
        </w:rPr>
      </w:pPr>
      <w:r>
        <w:rPr>
          <w:rFonts w:ascii="宋体" w:hAnsi="宋体" w:eastAsia="宋体" w:cs="宋体"/>
          <w:spacing w:val="-1"/>
          <w:sz w:val="24"/>
          <w:szCs w:val="24"/>
        </w:rPr>
        <w:t>本项目主要原料成分及规格指标详见表</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2.1-3~</w:t>
      </w:r>
      <w:r>
        <w:rPr>
          <w:rFonts w:ascii="宋体" w:hAnsi="宋体" w:eastAsia="宋体" w:cs="宋体"/>
          <w:spacing w:val="-1"/>
          <w:sz w:val="24"/>
          <w:szCs w:val="24"/>
        </w:rPr>
        <w:t>表</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2.1-7</w:t>
      </w:r>
      <w:r>
        <w:rPr>
          <w:rFonts w:ascii="宋体" w:hAnsi="宋体" w:eastAsia="宋体" w:cs="宋体"/>
          <w:spacing w:val="-1"/>
          <w:sz w:val="24"/>
          <w:szCs w:val="24"/>
        </w:rPr>
        <w:t>。</w:t>
      </w:r>
    </w:p>
    <w:p w14:paraId="43D82670">
      <w:pPr>
        <w:spacing w:before="208" w:line="228" w:lineRule="auto"/>
        <w:ind w:left="3111"/>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9"/>
          <w:sz w:val="20"/>
          <w:szCs w:val="20"/>
        </w:rPr>
        <w:t xml:space="preserve"> </w:t>
      </w:r>
      <w:r>
        <w:rPr>
          <w:rFonts w:ascii="Times New Roman" w:hAnsi="Times New Roman" w:eastAsia="Times New Roman" w:cs="Times New Roman"/>
          <w:b/>
          <w:bCs/>
          <w:spacing w:val="4"/>
          <w:sz w:val="20"/>
          <w:szCs w:val="20"/>
        </w:rPr>
        <w:t xml:space="preserve">2.1-3        </w:t>
      </w:r>
      <w:r>
        <w:rPr>
          <w:rFonts w:ascii="宋体" w:hAnsi="宋体" w:eastAsia="宋体" w:cs="宋体"/>
          <w:b/>
          <w:bCs/>
          <w:spacing w:val="4"/>
          <w:sz w:val="20"/>
          <w:szCs w:val="20"/>
        </w:rPr>
        <w:t>锰矿的成分及规格</w:t>
      </w:r>
    </w:p>
    <w:p w14:paraId="7DBB539C">
      <w:pPr>
        <w:spacing w:line="98" w:lineRule="exact"/>
      </w:pPr>
    </w:p>
    <w:tbl>
      <w:tblPr>
        <w:tblStyle w:val="5"/>
        <w:tblW w:w="9014" w:type="dxa"/>
        <w:tblInd w:w="2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24"/>
        <w:gridCol w:w="1268"/>
        <w:gridCol w:w="1062"/>
        <w:gridCol w:w="959"/>
        <w:gridCol w:w="1064"/>
        <w:gridCol w:w="1062"/>
        <w:gridCol w:w="861"/>
        <w:gridCol w:w="814"/>
      </w:tblGrid>
      <w:tr w14:paraId="3F5891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1924" w:type="dxa"/>
            <w:tcBorders>
              <w:top w:val="single" w:color="000000" w:sz="10" w:space="0"/>
              <w:left w:val="nil"/>
            </w:tcBorders>
            <w:vAlign w:val="top"/>
          </w:tcPr>
          <w:p w14:paraId="10A5C167">
            <w:pPr>
              <w:pStyle w:val="6"/>
              <w:spacing w:before="90" w:line="221" w:lineRule="auto"/>
              <w:ind w:left="531"/>
            </w:pPr>
            <w:r>
              <w:rPr>
                <w:spacing w:val="-4"/>
              </w:rPr>
              <w:t>原料名称</w:t>
            </w:r>
          </w:p>
        </w:tc>
        <w:tc>
          <w:tcPr>
            <w:tcW w:w="1268" w:type="dxa"/>
            <w:tcBorders>
              <w:top w:val="single" w:color="000000" w:sz="10" w:space="0"/>
            </w:tcBorders>
            <w:vAlign w:val="top"/>
          </w:tcPr>
          <w:p w14:paraId="6AAFBB0F">
            <w:pPr>
              <w:spacing w:before="131" w:line="186" w:lineRule="auto"/>
              <w:ind w:left="481"/>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Mn</w:t>
            </w:r>
          </w:p>
        </w:tc>
        <w:tc>
          <w:tcPr>
            <w:tcW w:w="1062" w:type="dxa"/>
            <w:tcBorders>
              <w:top w:val="single" w:color="000000" w:sz="10" w:space="0"/>
            </w:tcBorders>
            <w:vAlign w:val="top"/>
          </w:tcPr>
          <w:p w14:paraId="637C3757">
            <w:pPr>
              <w:spacing w:before="131" w:line="186" w:lineRule="auto"/>
              <w:ind w:left="423"/>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Fe</w:t>
            </w:r>
          </w:p>
        </w:tc>
        <w:tc>
          <w:tcPr>
            <w:tcW w:w="959" w:type="dxa"/>
            <w:tcBorders>
              <w:top w:val="single" w:color="000000" w:sz="10" w:space="0"/>
            </w:tcBorders>
            <w:vAlign w:val="top"/>
          </w:tcPr>
          <w:p w14:paraId="394EDF5E">
            <w:pPr>
              <w:spacing w:before="125" w:line="199" w:lineRule="auto"/>
              <w:ind w:left="283"/>
              <w:rPr>
                <w:rFonts w:ascii="Times New Roman" w:hAnsi="Times New Roman" w:eastAsia="Times New Roman" w:cs="Times New Roman"/>
                <w:sz w:val="14"/>
                <w:szCs w:val="14"/>
              </w:rPr>
            </w:pPr>
            <w:r>
              <w:rPr>
                <w:rFonts w:ascii="Times New Roman" w:hAnsi="Times New Roman" w:eastAsia="Times New Roman" w:cs="Times New Roman"/>
                <w:spacing w:val="-3"/>
                <w:sz w:val="22"/>
                <w:szCs w:val="22"/>
              </w:rPr>
              <w:t>SiO</w:t>
            </w:r>
            <w:r>
              <w:rPr>
                <w:rFonts w:ascii="Times New Roman" w:hAnsi="Times New Roman" w:eastAsia="Times New Roman" w:cs="Times New Roman"/>
                <w:spacing w:val="-3"/>
                <w:position w:val="-1"/>
                <w:sz w:val="14"/>
                <w:szCs w:val="14"/>
              </w:rPr>
              <w:t>2</w:t>
            </w:r>
          </w:p>
        </w:tc>
        <w:tc>
          <w:tcPr>
            <w:tcW w:w="1064" w:type="dxa"/>
            <w:tcBorders>
              <w:top w:val="single" w:color="000000" w:sz="10" w:space="0"/>
            </w:tcBorders>
            <w:vAlign w:val="top"/>
          </w:tcPr>
          <w:p w14:paraId="01D790D1">
            <w:pPr>
              <w:spacing w:before="131" w:line="186" w:lineRule="auto"/>
              <w:ind w:left="471"/>
              <w:rPr>
                <w:rFonts w:ascii="Times New Roman" w:hAnsi="Times New Roman" w:eastAsia="Times New Roman" w:cs="Times New Roman"/>
                <w:sz w:val="22"/>
                <w:szCs w:val="22"/>
              </w:rPr>
            </w:pPr>
            <w:r>
              <w:rPr>
                <w:rFonts w:ascii="Times New Roman" w:hAnsi="Times New Roman" w:eastAsia="Times New Roman" w:cs="Times New Roman"/>
                <w:sz w:val="22"/>
                <w:szCs w:val="22"/>
              </w:rPr>
              <w:t>P</w:t>
            </w:r>
          </w:p>
        </w:tc>
        <w:tc>
          <w:tcPr>
            <w:tcW w:w="1062" w:type="dxa"/>
            <w:tcBorders>
              <w:top w:val="single" w:color="000000" w:sz="10" w:space="0"/>
            </w:tcBorders>
            <w:vAlign w:val="top"/>
          </w:tcPr>
          <w:p w14:paraId="6569846F">
            <w:pPr>
              <w:spacing w:before="124" w:line="199" w:lineRule="auto"/>
              <w:ind w:left="269"/>
              <w:rPr>
                <w:rFonts w:ascii="Times New Roman" w:hAnsi="Times New Roman" w:eastAsia="Times New Roman" w:cs="Times New Roman"/>
                <w:sz w:val="14"/>
                <w:szCs w:val="14"/>
              </w:rPr>
            </w:pPr>
            <w:r>
              <w:rPr>
                <w:rFonts w:ascii="Times New Roman" w:hAnsi="Times New Roman" w:eastAsia="Times New Roman" w:cs="Times New Roman"/>
                <w:spacing w:val="-1"/>
                <w:sz w:val="22"/>
                <w:szCs w:val="22"/>
              </w:rPr>
              <w:t>Al</w:t>
            </w:r>
            <w:r>
              <w:rPr>
                <w:rFonts w:ascii="Times New Roman" w:hAnsi="Times New Roman" w:eastAsia="Times New Roman" w:cs="Times New Roman"/>
                <w:spacing w:val="-1"/>
                <w:position w:val="-1"/>
                <w:sz w:val="14"/>
                <w:szCs w:val="14"/>
              </w:rPr>
              <w:t>2</w:t>
            </w:r>
            <w:r>
              <w:rPr>
                <w:rFonts w:ascii="Times New Roman" w:hAnsi="Times New Roman" w:eastAsia="Times New Roman" w:cs="Times New Roman"/>
                <w:spacing w:val="-1"/>
                <w:sz w:val="22"/>
                <w:szCs w:val="22"/>
              </w:rPr>
              <w:t>O</w:t>
            </w:r>
            <w:r>
              <w:rPr>
                <w:rFonts w:ascii="Times New Roman" w:hAnsi="Times New Roman" w:eastAsia="Times New Roman" w:cs="Times New Roman"/>
                <w:spacing w:val="-1"/>
                <w:position w:val="-1"/>
                <w:sz w:val="14"/>
                <w:szCs w:val="14"/>
              </w:rPr>
              <w:t>3</w:t>
            </w:r>
          </w:p>
        </w:tc>
        <w:tc>
          <w:tcPr>
            <w:tcW w:w="861" w:type="dxa"/>
            <w:tcBorders>
              <w:top w:val="single" w:color="000000" w:sz="10" w:space="0"/>
            </w:tcBorders>
            <w:vAlign w:val="top"/>
          </w:tcPr>
          <w:p w14:paraId="0E6B0369">
            <w:pPr>
              <w:spacing w:before="128" w:line="189" w:lineRule="auto"/>
              <w:ind w:left="233"/>
              <w:rPr>
                <w:rFonts w:ascii="Times New Roman" w:hAnsi="Times New Roman" w:eastAsia="Times New Roman" w:cs="Times New Roman"/>
                <w:sz w:val="22"/>
                <w:szCs w:val="22"/>
              </w:rPr>
            </w:pPr>
            <w:r>
              <w:rPr>
                <w:rFonts w:ascii="Times New Roman" w:hAnsi="Times New Roman" w:eastAsia="Times New Roman" w:cs="Times New Roman"/>
                <w:spacing w:val="-3"/>
                <w:sz w:val="22"/>
                <w:szCs w:val="22"/>
              </w:rPr>
              <w:t>CaO</w:t>
            </w:r>
          </w:p>
        </w:tc>
        <w:tc>
          <w:tcPr>
            <w:tcW w:w="814" w:type="dxa"/>
            <w:tcBorders>
              <w:top w:val="single" w:color="000000" w:sz="10" w:space="0"/>
              <w:right w:val="nil"/>
            </w:tcBorders>
            <w:vAlign w:val="top"/>
          </w:tcPr>
          <w:p w14:paraId="1EBD2693">
            <w:pPr>
              <w:spacing w:before="128" w:line="189" w:lineRule="auto"/>
              <w:ind w:left="179"/>
              <w:rPr>
                <w:rFonts w:ascii="Times New Roman" w:hAnsi="Times New Roman" w:eastAsia="Times New Roman" w:cs="Times New Roman"/>
                <w:sz w:val="22"/>
                <w:szCs w:val="22"/>
              </w:rPr>
            </w:pPr>
            <w:r>
              <w:rPr>
                <w:rFonts w:ascii="Times New Roman" w:hAnsi="Times New Roman" w:eastAsia="Times New Roman" w:cs="Times New Roman"/>
                <w:spacing w:val="-1"/>
                <w:sz w:val="22"/>
                <w:szCs w:val="22"/>
              </w:rPr>
              <w:t>MgO</w:t>
            </w:r>
          </w:p>
        </w:tc>
      </w:tr>
      <w:tr w14:paraId="454C1F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924" w:type="dxa"/>
            <w:tcBorders>
              <w:left w:val="nil"/>
              <w:bottom w:val="single" w:color="000000" w:sz="10" w:space="0"/>
            </w:tcBorders>
            <w:vAlign w:val="top"/>
          </w:tcPr>
          <w:p w14:paraId="010B45B2">
            <w:pPr>
              <w:pStyle w:val="6"/>
              <w:spacing w:before="99" w:line="220" w:lineRule="auto"/>
              <w:ind w:left="637"/>
            </w:pPr>
            <w:r>
              <w:rPr>
                <w:spacing w:val="-3"/>
              </w:rPr>
              <w:t>锰矿石</w:t>
            </w:r>
          </w:p>
        </w:tc>
        <w:tc>
          <w:tcPr>
            <w:tcW w:w="1268" w:type="dxa"/>
            <w:tcBorders>
              <w:bottom w:val="single" w:color="000000" w:sz="10" w:space="0"/>
            </w:tcBorders>
            <w:vAlign w:val="top"/>
          </w:tcPr>
          <w:p w14:paraId="6A874A86">
            <w:pPr>
              <w:spacing w:before="137" w:line="189" w:lineRule="auto"/>
              <w:ind w:left="393"/>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36.66</w:t>
            </w:r>
          </w:p>
        </w:tc>
        <w:tc>
          <w:tcPr>
            <w:tcW w:w="1062" w:type="dxa"/>
            <w:tcBorders>
              <w:bottom w:val="single" w:color="000000" w:sz="10" w:space="0"/>
            </w:tcBorders>
            <w:vAlign w:val="top"/>
          </w:tcPr>
          <w:p w14:paraId="796BE729">
            <w:pPr>
              <w:spacing w:before="137" w:line="189" w:lineRule="auto"/>
              <w:ind w:left="339"/>
              <w:rPr>
                <w:rFonts w:ascii="Times New Roman" w:hAnsi="Times New Roman" w:eastAsia="Times New Roman" w:cs="Times New Roman"/>
                <w:sz w:val="22"/>
                <w:szCs w:val="22"/>
              </w:rPr>
            </w:pPr>
            <w:r>
              <w:rPr>
                <w:rFonts w:ascii="Times New Roman" w:hAnsi="Times New Roman" w:eastAsia="Times New Roman" w:cs="Times New Roman"/>
                <w:spacing w:val="-1"/>
                <w:sz w:val="22"/>
                <w:szCs w:val="22"/>
              </w:rPr>
              <w:t>4.50</w:t>
            </w:r>
          </w:p>
        </w:tc>
        <w:tc>
          <w:tcPr>
            <w:tcW w:w="959" w:type="dxa"/>
            <w:tcBorders>
              <w:bottom w:val="single" w:color="000000" w:sz="10" w:space="0"/>
            </w:tcBorders>
            <w:vAlign w:val="top"/>
          </w:tcPr>
          <w:p w14:paraId="5A022E4F">
            <w:pPr>
              <w:spacing w:before="137" w:line="189" w:lineRule="auto"/>
              <w:ind w:left="39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10</w:t>
            </w:r>
          </w:p>
        </w:tc>
        <w:tc>
          <w:tcPr>
            <w:tcW w:w="1064" w:type="dxa"/>
            <w:tcBorders>
              <w:bottom w:val="single" w:color="000000" w:sz="10" w:space="0"/>
            </w:tcBorders>
            <w:vAlign w:val="top"/>
          </w:tcPr>
          <w:p w14:paraId="00A7CC6F">
            <w:pPr>
              <w:spacing w:before="137" w:line="189" w:lineRule="auto"/>
              <w:ind w:left="343"/>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0.10</w:t>
            </w:r>
          </w:p>
        </w:tc>
        <w:tc>
          <w:tcPr>
            <w:tcW w:w="1062" w:type="dxa"/>
            <w:tcBorders>
              <w:bottom w:val="single" w:color="000000" w:sz="10" w:space="0"/>
            </w:tcBorders>
            <w:vAlign w:val="top"/>
          </w:tcPr>
          <w:p w14:paraId="24423FFC">
            <w:pPr>
              <w:spacing w:before="137" w:line="189" w:lineRule="auto"/>
              <w:ind w:left="403"/>
              <w:rPr>
                <w:rFonts w:ascii="Times New Roman" w:hAnsi="Times New Roman" w:eastAsia="Times New Roman" w:cs="Times New Roman"/>
                <w:sz w:val="22"/>
                <w:szCs w:val="22"/>
              </w:rPr>
            </w:pPr>
            <w:r>
              <w:rPr>
                <w:rFonts w:ascii="Times New Roman" w:hAnsi="Times New Roman" w:eastAsia="Times New Roman" w:cs="Times New Roman"/>
                <w:spacing w:val="-5"/>
                <w:sz w:val="22"/>
                <w:szCs w:val="22"/>
              </w:rPr>
              <w:t>8.0</w:t>
            </w:r>
          </w:p>
        </w:tc>
        <w:tc>
          <w:tcPr>
            <w:tcW w:w="861" w:type="dxa"/>
            <w:tcBorders>
              <w:bottom w:val="single" w:color="000000" w:sz="10" w:space="0"/>
            </w:tcBorders>
            <w:vAlign w:val="top"/>
          </w:tcPr>
          <w:p w14:paraId="79AEE86C">
            <w:pPr>
              <w:spacing w:before="137" w:line="189" w:lineRule="auto"/>
              <w:ind w:left="298"/>
              <w:rPr>
                <w:rFonts w:ascii="Times New Roman" w:hAnsi="Times New Roman" w:eastAsia="Times New Roman" w:cs="Times New Roman"/>
                <w:sz w:val="22"/>
                <w:szCs w:val="22"/>
              </w:rPr>
            </w:pPr>
            <w:r>
              <w:rPr>
                <w:rFonts w:ascii="Times New Roman" w:hAnsi="Times New Roman" w:eastAsia="Times New Roman" w:cs="Times New Roman"/>
                <w:spacing w:val="-3"/>
                <w:sz w:val="22"/>
                <w:szCs w:val="22"/>
              </w:rPr>
              <w:t>0.3</w:t>
            </w:r>
          </w:p>
        </w:tc>
        <w:tc>
          <w:tcPr>
            <w:tcW w:w="814" w:type="dxa"/>
            <w:tcBorders>
              <w:bottom w:val="single" w:color="000000" w:sz="10" w:space="0"/>
              <w:right w:val="nil"/>
            </w:tcBorders>
            <w:vAlign w:val="top"/>
          </w:tcPr>
          <w:p w14:paraId="640F39EB">
            <w:pPr>
              <w:spacing w:before="137" w:line="189" w:lineRule="auto"/>
              <w:ind w:left="277"/>
              <w:rPr>
                <w:rFonts w:ascii="Times New Roman" w:hAnsi="Times New Roman" w:eastAsia="Times New Roman" w:cs="Times New Roman"/>
                <w:sz w:val="22"/>
                <w:szCs w:val="22"/>
              </w:rPr>
            </w:pPr>
            <w:r>
              <w:rPr>
                <w:rFonts w:ascii="Times New Roman" w:hAnsi="Times New Roman" w:eastAsia="Times New Roman" w:cs="Times New Roman"/>
                <w:spacing w:val="-3"/>
                <w:sz w:val="22"/>
                <w:szCs w:val="22"/>
              </w:rPr>
              <w:t>0.3</w:t>
            </w:r>
          </w:p>
        </w:tc>
      </w:tr>
    </w:tbl>
    <w:p w14:paraId="50BDC29C">
      <w:pPr>
        <w:spacing w:before="134" w:line="228" w:lineRule="auto"/>
        <w:ind w:left="3162"/>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4"/>
          <w:sz w:val="20"/>
          <w:szCs w:val="20"/>
        </w:rPr>
        <w:t xml:space="preserve"> </w:t>
      </w:r>
      <w:r>
        <w:rPr>
          <w:rFonts w:ascii="Times New Roman" w:hAnsi="Times New Roman" w:eastAsia="Times New Roman" w:cs="Times New Roman"/>
          <w:b/>
          <w:bCs/>
          <w:spacing w:val="4"/>
          <w:sz w:val="20"/>
          <w:szCs w:val="20"/>
        </w:rPr>
        <w:t xml:space="preserve">2.1-4      </w:t>
      </w:r>
      <w:r>
        <w:rPr>
          <w:rFonts w:ascii="宋体" w:hAnsi="宋体" w:eastAsia="宋体" w:cs="宋体"/>
          <w:b/>
          <w:bCs/>
          <w:spacing w:val="4"/>
          <w:sz w:val="20"/>
          <w:szCs w:val="20"/>
        </w:rPr>
        <w:t>焦炭的质量及规格</w:t>
      </w:r>
    </w:p>
    <w:p w14:paraId="51A89D99">
      <w:pPr>
        <w:spacing w:line="97" w:lineRule="exact"/>
      </w:pPr>
    </w:p>
    <w:tbl>
      <w:tblPr>
        <w:tblStyle w:val="5"/>
        <w:tblW w:w="901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58"/>
        <w:gridCol w:w="1361"/>
        <w:gridCol w:w="1368"/>
        <w:gridCol w:w="1368"/>
        <w:gridCol w:w="1086"/>
        <w:gridCol w:w="1262"/>
        <w:gridCol w:w="1411"/>
      </w:tblGrid>
      <w:tr w14:paraId="7CAEB5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1158" w:type="dxa"/>
            <w:tcBorders>
              <w:top w:val="single" w:color="000000" w:sz="10" w:space="0"/>
              <w:left w:val="nil"/>
            </w:tcBorders>
            <w:vAlign w:val="top"/>
          </w:tcPr>
          <w:p w14:paraId="415EA781">
            <w:pPr>
              <w:pStyle w:val="6"/>
              <w:spacing w:before="96" w:line="230" w:lineRule="auto"/>
              <w:ind w:left="376"/>
              <w:rPr>
                <w:sz w:val="20"/>
                <w:szCs w:val="20"/>
              </w:rPr>
            </w:pPr>
            <w:r>
              <w:rPr>
                <w:spacing w:val="3"/>
                <w:sz w:val="20"/>
                <w:szCs w:val="20"/>
              </w:rPr>
              <w:t>名称</w:t>
            </w:r>
          </w:p>
        </w:tc>
        <w:tc>
          <w:tcPr>
            <w:tcW w:w="1361" w:type="dxa"/>
            <w:tcBorders>
              <w:top w:val="single" w:color="000000" w:sz="10" w:space="0"/>
            </w:tcBorders>
            <w:vAlign w:val="top"/>
          </w:tcPr>
          <w:p w14:paraId="12454DE9">
            <w:pPr>
              <w:pStyle w:val="6"/>
              <w:spacing w:before="97" w:line="228" w:lineRule="auto"/>
              <w:ind w:left="388"/>
              <w:rPr>
                <w:sz w:val="20"/>
                <w:szCs w:val="20"/>
              </w:rPr>
            </w:pPr>
            <w:r>
              <w:rPr>
                <w:sz w:val="20"/>
                <w:szCs w:val="20"/>
              </w:rPr>
              <w:t>固定碳</w:t>
            </w:r>
          </w:p>
        </w:tc>
        <w:tc>
          <w:tcPr>
            <w:tcW w:w="1368" w:type="dxa"/>
            <w:tcBorders>
              <w:top w:val="single" w:color="000000" w:sz="10" w:space="0"/>
            </w:tcBorders>
            <w:vAlign w:val="top"/>
          </w:tcPr>
          <w:p w14:paraId="364C8C79">
            <w:pPr>
              <w:pStyle w:val="6"/>
              <w:spacing w:before="96" w:line="228" w:lineRule="auto"/>
              <w:ind w:left="374"/>
              <w:rPr>
                <w:sz w:val="20"/>
                <w:szCs w:val="20"/>
              </w:rPr>
            </w:pPr>
            <w:r>
              <w:rPr>
                <w:spacing w:val="7"/>
                <w:sz w:val="20"/>
                <w:szCs w:val="20"/>
              </w:rPr>
              <w:t>挥发份</w:t>
            </w:r>
          </w:p>
        </w:tc>
        <w:tc>
          <w:tcPr>
            <w:tcW w:w="1368" w:type="dxa"/>
            <w:tcBorders>
              <w:top w:val="single" w:color="000000" w:sz="10" w:space="0"/>
            </w:tcBorders>
            <w:vAlign w:val="top"/>
          </w:tcPr>
          <w:p w14:paraId="19D3CF06">
            <w:pPr>
              <w:pStyle w:val="6"/>
              <w:spacing w:before="96" w:line="228" w:lineRule="auto"/>
              <w:ind w:left="480"/>
              <w:rPr>
                <w:sz w:val="20"/>
                <w:szCs w:val="20"/>
              </w:rPr>
            </w:pPr>
            <w:r>
              <w:rPr>
                <w:spacing w:val="3"/>
                <w:sz w:val="20"/>
                <w:szCs w:val="20"/>
              </w:rPr>
              <w:t>灰份</w:t>
            </w:r>
          </w:p>
        </w:tc>
        <w:tc>
          <w:tcPr>
            <w:tcW w:w="1086" w:type="dxa"/>
            <w:tcBorders>
              <w:top w:val="single" w:color="000000" w:sz="10" w:space="0"/>
            </w:tcBorders>
            <w:vAlign w:val="top"/>
          </w:tcPr>
          <w:p w14:paraId="2AA26A9A">
            <w:pPr>
              <w:pStyle w:val="6"/>
              <w:spacing w:before="96" w:line="228" w:lineRule="auto"/>
              <w:ind w:left="341"/>
              <w:rPr>
                <w:rFonts w:hint="eastAsia" w:eastAsia="宋体"/>
                <w:sz w:val="20"/>
                <w:szCs w:val="20"/>
                <w:lang w:eastAsia="zh-CN"/>
              </w:rPr>
            </w:pPr>
            <w:r>
              <w:rPr>
                <w:rFonts w:hint="eastAsia"/>
                <w:spacing w:val="3"/>
                <w:sz w:val="20"/>
                <w:szCs w:val="20"/>
                <w:lang w:eastAsia="zh-CN"/>
              </w:rPr>
              <w:t>水分</w:t>
            </w:r>
          </w:p>
        </w:tc>
        <w:tc>
          <w:tcPr>
            <w:tcW w:w="1262" w:type="dxa"/>
            <w:tcBorders>
              <w:top w:val="single" w:color="000000" w:sz="10" w:space="0"/>
            </w:tcBorders>
            <w:vAlign w:val="top"/>
          </w:tcPr>
          <w:p w14:paraId="77174653">
            <w:pPr>
              <w:pStyle w:val="6"/>
              <w:spacing w:before="97" w:line="228" w:lineRule="auto"/>
              <w:ind w:left="425"/>
              <w:rPr>
                <w:sz w:val="20"/>
                <w:szCs w:val="20"/>
              </w:rPr>
            </w:pPr>
            <w:r>
              <w:rPr>
                <w:spacing w:val="5"/>
                <w:sz w:val="20"/>
                <w:szCs w:val="20"/>
              </w:rPr>
              <w:t>硫分</w:t>
            </w:r>
          </w:p>
        </w:tc>
        <w:tc>
          <w:tcPr>
            <w:tcW w:w="1411" w:type="dxa"/>
            <w:tcBorders>
              <w:top w:val="single" w:color="000000" w:sz="10" w:space="0"/>
              <w:right w:val="nil"/>
            </w:tcBorders>
            <w:vAlign w:val="top"/>
          </w:tcPr>
          <w:p w14:paraId="48867F0C">
            <w:pPr>
              <w:pStyle w:val="6"/>
              <w:spacing w:before="97" w:line="228" w:lineRule="auto"/>
              <w:ind w:left="504"/>
              <w:rPr>
                <w:sz w:val="20"/>
                <w:szCs w:val="20"/>
              </w:rPr>
            </w:pPr>
            <w:r>
              <w:rPr>
                <w:spacing w:val="4"/>
                <w:sz w:val="20"/>
                <w:szCs w:val="20"/>
              </w:rPr>
              <w:t>粒度</w:t>
            </w:r>
          </w:p>
        </w:tc>
      </w:tr>
      <w:tr w14:paraId="06A6A7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158" w:type="dxa"/>
            <w:tcBorders>
              <w:left w:val="nil"/>
              <w:bottom w:val="single" w:color="000000" w:sz="10" w:space="0"/>
            </w:tcBorders>
            <w:vAlign w:val="top"/>
          </w:tcPr>
          <w:p w14:paraId="7FD1DFE7">
            <w:pPr>
              <w:pStyle w:val="6"/>
              <w:spacing w:before="106" w:line="228" w:lineRule="auto"/>
              <w:ind w:left="376"/>
              <w:rPr>
                <w:sz w:val="20"/>
                <w:szCs w:val="20"/>
              </w:rPr>
            </w:pPr>
            <w:r>
              <w:rPr>
                <w:spacing w:val="3"/>
                <w:sz w:val="20"/>
                <w:szCs w:val="20"/>
              </w:rPr>
              <w:t>指标</w:t>
            </w:r>
          </w:p>
        </w:tc>
        <w:tc>
          <w:tcPr>
            <w:tcW w:w="1361" w:type="dxa"/>
            <w:tcBorders>
              <w:bottom w:val="single" w:color="000000" w:sz="10" w:space="0"/>
            </w:tcBorders>
            <w:vAlign w:val="top"/>
          </w:tcPr>
          <w:p w14:paraId="013B1CC3">
            <w:pPr>
              <w:spacing w:before="141" w:line="195" w:lineRule="auto"/>
              <w:ind w:left="4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w:t>
            </w:r>
          </w:p>
        </w:tc>
        <w:tc>
          <w:tcPr>
            <w:tcW w:w="1368" w:type="dxa"/>
            <w:tcBorders>
              <w:bottom w:val="single" w:color="000000" w:sz="10" w:space="0"/>
            </w:tcBorders>
            <w:vAlign w:val="top"/>
          </w:tcPr>
          <w:p w14:paraId="647A0E2A">
            <w:pPr>
              <w:spacing w:before="141" w:line="195" w:lineRule="auto"/>
              <w:ind w:left="4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3.6%</w:t>
            </w:r>
          </w:p>
        </w:tc>
        <w:tc>
          <w:tcPr>
            <w:tcW w:w="1368" w:type="dxa"/>
            <w:tcBorders>
              <w:bottom w:val="single" w:color="000000" w:sz="10" w:space="0"/>
            </w:tcBorders>
            <w:vAlign w:val="top"/>
          </w:tcPr>
          <w:p w14:paraId="262B2465">
            <w:pPr>
              <w:spacing w:before="141" w:line="195" w:lineRule="auto"/>
              <w:ind w:left="381"/>
              <w:rPr>
                <w:rFonts w:ascii="Times New Roman" w:hAnsi="Times New Roman" w:eastAsia="Times New Roman" w:cs="Times New Roman"/>
                <w:sz w:val="20"/>
                <w:szCs w:val="20"/>
              </w:rPr>
            </w:pPr>
            <w:r>
              <w:rPr>
                <w:rFonts w:ascii="Times New Roman" w:hAnsi="Times New Roman" w:eastAsia="Times New Roman" w:cs="Times New Roman"/>
                <w:sz w:val="20"/>
                <w:szCs w:val="20"/>
              </w:rPr>
              <w:t>13.04%</w:t>
            </w:r>
          </w:p>
        </w:tc>
        <w:tc>
          <w:tcPr>
            <w:tcW w:w="1086" w:type="dxa"/>
            <w:tcBorders>
              <w:bottom w:val="single" w:color="000000" w:sz="10" w:space="0"/>
            </w:tcBorders>
            <w:vAlign w:val="top"/>
          </w:tcPr>
          <w:p w14:paraId="6727128D">
            <w:pPr>
              <w:spacing w:before="141"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15.0%</w:t>
            </w:r>
          </w:p>
        </w:tc>
        <w:tc>
          <w:tcPr>
            <w:tcW w:w="1262" w:type="dxa"/>
            <w:tcBorders>
              <w:bottom w:val="single" w:color="000000" w:sz="10" w:space="0"/>
            </w:tcBorders>
            <w:vAlign w:val="top"/>
          </w:tcPr>
          <w:p w14:paraId="76E1F9AB">
            <w:pPr>
              <w:spacing w:before="142" w:line="195" w:lineRule="auto"/>
              <w:ind w:left="44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≤0.6</w:t>
            </w:r>
          </w:p>
        </w:tc>
        <w:tc>
          <w:tcPr>
            <w:tcW w:w="1411" w:type="dxa"/>
            <w:tcBorders>
              <w:bottom w:val="single" w:color="000000" w:sz="10" w:space="0"/>
              <w:right w:val="nil"/>
            </w:tcBorders>
            <w:vAlign w:val="top"/>
          </w:tcPr>
          <w:p w14:paraId="16B3F87C">
            <w:pPr>
              <w:spacing w:before="141"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3~25</w:t>
            </w:r>
            <w:r>
              <w:rPr>
                <w:rFonts w:ascii="Times New Roman" w:hAnsi="Times New Roman" w:eastAsia="Times New Roman" w:cs="Times New Roman"/>
                <w:sz w:val="20"/>
                <w:szCs w:val="20"/>
              </w:rPr>
              <w:t>mm</w:t>
            </w:r>
          </w:p>
        </w:tc>
      </w:tr>
    </w:tbl>
    <w:p w14:paraId="753E48CC">
      <w:pPr>
        <w:spacing w:before="132" w:line="228" w:lineRule="auto"/>
        <w:ind w:left="3111"/>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9"/>
          <w:sz w:val="20"/>
          <w:szCs w:val="20"/>
        </w:rPr>
        <w:t xml:space="preserve"> </w:t>
      </w:r>
      <w:r>
        <w:rPr>
          <w:rFonts w:ascii="Times New Roman" w:hAnsi="Times New Roman" w:eastAsia="Times New Roman" w:cs="Times New Roman"/>
          <w:b/>
          <w:bCs/>
          <w:spacing w:val="4"/>
          <w:sz w:val="20"/>
          <w:szCs w:val="20"/>
        </w:rPr>
        <w:t xml:space="preserve">2.1-5        </w:t>
      </w:r>
      <w:r>
        <w:rPr>
          <w:rFonts w:ascii="宋体" w:hAnsi="宋体" w:eastAsia="宋体" w:cs="宋体"/>
          <w:b/>
          <w:bCs/>
          <w:spacing w:val="4"/>
          <w:sz w:val="20"/>
          <w:szCs w:val="20"/>
        </w:rPr>
        <w:t>石灰的质量及规格</w:t>
      </w:r>
    </w:p>
    <w:p w14:paraId="0EB1CFC1">
      <w:pPr>
        <w:spacing w:line="99" w:lineRule="exact"/>
      </w:pPr>
    </w:p>
    <w:tbl>
      <w:tblPr>
        <w:tblStyle w:val="5"/>
        <w:tblW w:w="901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20"/>
        <w:gridCol w:w="939"/>
        <w:gridCol w:w="1006"/>
        <w:gridCol w:w="1230"/>
        <w:gridCol w:w="1230"/>
        <w:gridCol w:w="1230"/>
        <w:gridCol w:w="1230"/>
        <w:gridCol w:w="1229"/>
      </w:tblGrid>
      <w:tr w14:paraId="47D0CC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920" w:type="dxa"/>
            <w:tcBorders>
              <w:top w:val="single" w:color="000000" w:sz="10" w:space="0"/>
              <w:left w:val="nil"/>
            </w:tcBorders>
            <w:vAlign w:val="top"/>
          </w:tcPr>
          <w:p w14:paraId="744F0B2F">
            <w:pPr>
              <w:pStyle w:val="6"/>
              <w:spacing w:before="97" w:line="230" w:lineRule="auto"/>
              <w:ind w:left="256"/>
              <w:rPr>
                <w:sz w:val="20"/>
                <w:szCs w:val="20"/>
              </w:rPr>
            </w:pPr>
            <w:r>
              <w:rPr>
                <w:spacing w:val="3"/>
                <w:sz w:val="20"/>
                <w:szCs w:val="20"/>
              </w:rPr>
              <w:t>名称</w:t>
            </w:r>
          </w:p>
        </w:tc>
        <w:tc>
          <w:tcPr>
            <w:tcW w:w="939" w:type="dxa"/>
            <w:tcBorders>
              <w:top w:val="single" w:color="000000" w:sz="10" w:space="0"/>
            </w:tcBorders>
            <w:vAlign w:val="top"/>
          </w:tcPr>
          <w:p w14:paraId="1E060633">
            <w:pPr>
              <w:spacing w:before="133" w:line="195" w:lineRule="auto"/>
              <w:ind w:left="2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CaO</w:t>
            </w:r>
          </w:p>
        </w:tc>
        <w:tc>
          <w:tcPr>
            <w:tcW w:w="1006" w:type="dxa"/>
            <w:tcBorders>
              <w:top w:val="single" w:color="000000" w:sz="10" w:space="0"/>
            </w:tcBorders>
            <w:vAlign w:val="top"/>
          </w:tcPr>
          <w:p w14:paraId="7AEC2186">
            <w:pPr>
              <w:spacing w:before="136" w:line="192" w:lineRule="auto"/>
              <w:ind w:left="3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Fe</w:t>
            </w:r>
          </w:p>
        </w:tc>
        <w:tc>
          <w:tcPr>
            <w:tcW w:w="1230" w:type="dxa"/>
            <w:tcBorders>
              <w:top w:val="single" w:color="000000" w:sz="10" w:space="0"/>
            </w:tcBorders>
            <w:vAlign w:val="top"/>
          </w:tcPr>
          <w:p w14:paraId="692BF036">
            <w:pPr>
              <w:spacing w:before="129" w:line="206" w:lineRule="auto"/>
              <w:ind w:left="427"/>
              <w:rPr>
                <w:rFonts w:ascii="Times New Roman" w:hAnsi="Times New Roman" w:eastAsia="Times New Roman" w:cs="Times New Roman"/>
                <w:sz w:val="13"/>
                <w:szCs w:val="13"/>
              </w:rPr>
            </w:pPr>
            <w:r>
              <w:rPr>
                <w:rFonts w:ascii="Times New Roman" w:hAnsi="Times New Roman" w:eastAsia="Times New Roman" w:cs="Times New Roman"/>
                <w:sz w:val="20"/>
                <w:szCs w:val="20"/>
              </w:rPr>
              <w:t>SiO</w:t>
            </w:r>
            <w:r>
              <w:rPr>
                <w:rFonts w:ascii="Times New Roman" w:hAnsi="Times New Roman" w:eastAsia="Times New Roman" w:cs="Times New Roman"/>
                <w:spacing w:val="5"/>
                <w:position w:val="-1"/>
                <w:sz w:val="13"/>
                <w:szCs w:val="13"/>
              </w:rPr>
              <w:t>2</w:t>
            </w:r>
          </w:p>
        </w:tc>
        <w:tc>
          <w:tcPr>
            <w:tcW w:w="1230" w:type="dxa"/>
            <w:tcBorders>
              <w:top w:val="single" w:color="000000" w:sz="10" w:space="0"/>
            </w:tcBorders>
            <w:vAlign w:val="top"/>
          </w:tcPr>
          <w:p w14:paraId="1E2A9DA9">
            <w:pPr>
              <w:spacing w:before="133" w:line="197" w:lineRule="auto"/>
              <w:ind w:left="39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MgO</w:t>
            </w:r>
          </w:p>
        </w:tc>
        <w:tc>
          <w:tcPr>
            <w:tcW w:w="1230" w:type="dxa"/>
            <w:tcBorders>
              <w:top w:val="single" w:color="000000" w:sz="10" w:space="0"/>
            </w:tcBorders>
            <w:vAlign w:val="top"/>
          </w:tcPr>
          <w:p w14:paraId="37C7F9DF">
            <w:pPr>
              <w:spacing w:before="129" w:line="206" w:lineRule="auto"/>
              <w:ind w:left="365"/>
              <w:rPr>
                <w:rFonts w:ascii="Times New Roman" w:hAnsi="Times New Roman" w:eastAsia="Times New Roman" w:cs="Times New Roman"/>
                <w:sz w:val="13"/>
                <w:szCs w:val="13"/>
              </w:rPr>
            </w:pPr>
            <w:r>
              <w:rPr>
                <w:rFonts w:ascii="Times New Roman" w:hAnsi="Times New Roman" w:eastAsia="Times New Roman" w:cs="Times New Roman"/>
                <w:sz w:val="20"/>
                <w:szCs w:val="20"/>
              </w:rPr>
              <w:t>Al</w:t>
            </w:r>
            <w:r>
              <w:rPr>
                <w:rFonts w:ascii="Times New Roman" w:hAnsi="Times New Roman" w:eastAsia="Times New Roman" w:cs="Times New Roman"/>
                <w:spacing w:val="6"/>
                <w:position w:val="-1"/>
                <w:sz w:val="13"/>
                <w:szCs w:val="13"/>
              </w:rPr>
              <w:t>2</w:t>
            </w:r>
            <w:r>
              <w:rPr>
                <w:rFonts w:ascii="Times New Roman" w:hAnsi="Times New Roman" w:eastAsia="Times New Roman" w:cs="Times New Roman"/>
                <w:spacing w:val="6"/>
                <w:sz w:val="20"/>
                <w:szCs w:val="20"/>
              </w:rPr>
              <w:t>O</w:t>
            </w:r>
            <w:r>
              <w:rPr>
                <w:rFonts w:ascii="Times New Roman" w:hAnsi="Times New Roman" w:eastAsia="Times New Roman" w:cs="Times New Roman"/>
                <w:spacing w:val="6"/>
                <w:position w:val="-1"/>
                <w:sz w:val="13"/>
                <w:szCs w:val="13"/>
              </w:rPr>
              <w:t>3</w:t>
            </w:r>
          </w:p>
        </w:tc>
        <w:tc>
          <w:tcPr>
            <w:tcW w:w="1230" w:type="dxa"/>
            <w:tcBorders>
              <w:top w:val="single" w:color="000000" w:sz="10" w:space="0"/>
            </w:tcBorders>
            <w:vAlign w:val="top"/>
          </w:tcPr>
          <w:p w14:paraId="1CCBA54E">
            <w:pPr>
              <w:spacing w:before="136" w:line="192" w:lineRule="auto"/>
              <w:ind w:left="5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P</w:t>
            </w:r>
          </w:p>
        </w:tc>
        <w:tc>
          <w:tcPr>
            <w:tcW w:w="1229" w:type="dxa"/>
            <w:tcBorders>
              <w:top w:val="single" w:color="000000" w:sz="10" w:space="0"/>
              <w:right w:val="nil"/>
            </w:tcBorders>
            <w:vAlign w:val="top"/>
          </w:tcPr>
          <w:p w14:paraId="4C09B811">
            <w:pPr>
              <w:pStyle w:val="6"/>
              <w:spacing w:before="97" w:line="228" w:lineRule="auto"/>
              <w:ind w:left="413"/>
              <w:rPr>
                <w:sz w:val="20"/>
                <w:szCs w:val="20"/>
              </w:rPr>
            </w:pPr>
            <w:r>
              <w:rPr>
                <w:spacing w:val="4"/>
                <w:sz w:val="20"/>
                <w:szCs w:val="20"/>
              </w:rPr>
              <w:t>粒度</w:t>
            </w:r>
          </w:p>
        </w:tc>
      </w:tr>
      <w:tr w14:paraId="03BD89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920" w:type="dxa"/>
            <w:tcBorders>
              <w:left w:val="nil"/>
              <w:bottom w:val="single" w:color="000000" w:sz="10" w:space="0"/>
            </w:tcBorders>
            <w:vAlign w:val="top"/>
          </w:tcPr>
          <w:p w14:paraId="7B0B75CC">
            <w:pPr>
              <w:pStyle w:val="6"/>
              <w:spacing w:before="106" w:line="228" w:lineRule="auto"/>
              <w:ind w:left="170"/>
              <w:rPr>
                <w:rFonts w:ascii="Times New Roman" w:hAnsi="Times New Roman" w:eastAsia="Times New Roman" w:cs="Times New Roman"/>
                <w:sz w:val="20"/>
                <w:szCs w:val="20"/>
              </w:rPr>
            </w:pPr>
            <w:r>
              <w:rPr>
                <w:spacing w:val="5"/>
                <w:sz w:val="20"/>
                <w:szCs w:val="20"/>
              </w:rPr>
              <w:t>指标</w:t>
            </w:r>
            <w:r>
              <w:rPr>
                <w:rFonts w:ascii="Times New Roman" w:hAnsi="Times New Roman" w:eastAsia="Times New Roman" w:cs="Times New Roman"/>
                <w:spacing w:val="5"/>
                <w:sz w:val="20"/>
                <w:szCs w:val="20"/>
              </w:rPr>
              <w:t>%</w:t>
            </w:r>
          </w:p>
        </w:tc>
        <w:tc>
          <w:tcPr>
            <w:tcW w:w="939" w:type="dxa"/>
            <w:tcBorders>
              <w:bottom w:val="single" w:color="000000" w:sz="10" w:space="0"/>
            </w:tcBorders>
            <w:vAlign w:val="top"/>
          </w:tcPr>
          <w:p w14:paraId="6F044CF7">
            <w:pPr>
              <w:spacing w:before="142" w:line="195" w:lineRule="auto"/>
              <w:ind w:left="29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88.0</w:t>
            </w:r>
          </w:p>
        </w:tc>
        <w:tc>
          <w:tcPr>
            <w:tcW w:w="1006" w:type="dxa"/>
            <w:tcBorders>
              <w:bottom w:val="single" w:color="000000" w:sz="10" w:space="0"/>
            </w:tcBorders>
            <w:vAlign w:val="top"/>
          </w:tcPr>
          <w:p w14:paraId="1CC12564">
            <w:pPr>
              <w:spacing w:before="142" w:line="195" w:lineRule="auto"/>
              <w:ind w:left="3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1230" w:type="dxa"/>
            <w:tcBorders>
              <w:bottom w:val="single" w:color="000000" w:sz="10" w:space="0"/>
            </w:tcBorders>
            <w:vAlign w:val="top"/>
          </w:tcPr>
          <w:p w14:paraId="11525D46">
            <w:pPr>
              <w:spacing w:before="142" w:line="195" w:lineRule="auto"/>
              <w:ind w:left="4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0.81</w:t>
            </w:r>
          </w:p>
        </w:tc>
        <w:tc>
          <w:tcPr>
            <w:tcW w:w="1230" w:type="dxa"/>
            <w:tcBorders>
              <w:bottom w:val="single" w:color="000000" w:sz="10" w:space="0"/>
            </w:tcBorders>
            <w:vAlign w:val="top"/>
          </w:tcPr>
          <w:p w14:paraId="0BED0707">
            <w:pPr>
              <w:spacing w:before="142" w:line="195" w:lineRule="auto"/>
              <w:ind w:left="48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1230" w:type="dxa"/>
            <w:tcBorders>
              <w:bottom w:val="single" w:color="000000" w:sz="10" w:space="0"/>
            </w:tcBorders>
            <w:vAlign w:val="top"/>
          </w:tcPr>
          <w:p w14:paraId="0EDA9EA6">
            <w:pPr>
              <w:spacing w:before="142" w:line="195" w:lineRule="auto"/>
              <w:ind w:left="4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0.59</w:t>
            </w:r>
          </w:p>
        </w:tc>
        <w:tc>
          <w:tcPr>
            <w:tcW w:w="1230" w:type="dxa"/>
            <w:tcBorders>
              <w:bottom w:val="single" w:color="000000" w:sz="10" w:space="0"/>
            </w:tcBorders>
            <w:vAlign w:val="top"/>
          </w:tcPr>
          <w:p w14:paraId="3BD3105F">
            <w:pPr>
              <w:spacing w:before="142" w:line="195" w:lineRule="auto"/>
              <w:ind w:left="4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w:t>
            </w:r>
          </w:p>
        </w:tc>
        <w:tc>
          <w:tcPr>
            <w:tcW w:w="1229" w:type="dxa"/>
            <w:tcBorders>
              <w:bottom w:val="single" w:color="000000" w:sz="10" w:space="0"/>
              <w:right w:val="nil"/>
            </w:tcBorders>
            <w:vAlign w:val="top"/>
          </w:tcPr>
          <w:p w14:paraId="7AF84726">
            <w:pPr>
              <w:spacing w:before="142" w:line="195" w:lineRule="auto"/>
              <w:ind w:left="2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10~60</w:t>
            </w:r>
            <w:r>
              <w:rPr>
                <w:rFonts w:ascii="Times New Roman" w:hAnsi="Times New Roman" w:eastAsia="Times New Roman" w:cs="Times New Roman"/>
                <w:sz w:val="20"/>
                <w:szCs w:val="20"/>
              </w:rPr>
              <w:t>mm</w:t>
            </w:r>
          </w:p>
        </w:tc>
      </w:tr>
    </w:tbl>
    <w:p w14:paraId="19A211E7">
      <w:pPr>
        <w:spacing w:before="133" w:line="228" w:lineRule="auto"/>
        <w:ind w:left="3006"/>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43"/>
          <w:sz w:val="20"/>
          <w:szCs w:val="20"/>
        </w:rPr>
        <w:t xml:space="preserve"> </w:t>
      </w:r>
      <w:r>
        <w:rPr>
          <w:rFonts w:ascii="Times New Roman" w:hAnsi="Times New Roman" w:eastAsia="Times New Roman" w:cs="Times New Roman"/>
          <w:b/>
          <w:bCs/>
          <w:spacing w:val="4"/>
          <w:sz w:val="20"/>
          <w:szCs w:val="20"/>
        </w:rPr>
        <w:t>2.1-6</w:t>
      </w:r>
      <w:r>
        <w:rPr>
          <w:rFonts w:ascii="Times New Roman" w:hAnsi="Times New Roman" w:eastAsia="Times New Roman" w:cs="Times New Roman"/>
          <w:b/>
          <w:bCs/>
          <w:sz w:val="20"/>
          <w:szCs w:val="20"/>
        </w:rPr>
        <w:t xml:space="preserve">         </w:t>
      </w:r>
      <w:r>
        <w:rPr>
          <w:rFonts w:ascii="宋体" w:hAnsi="宋体" w:eastAsia="宋体" w:cs="宋体"/>
          <w:b/>
          <w:bCs/>
          <w:spacing w:val="4"/>
          <w:sz w:val="20"/>
          <w:szCs w:val="20"/>
        </w:rPr>
        <w:t>电极糊的质量及规格</w:t>
      </w:r>
    </w:p>
    <w:p w14:paraId="20AC82A8">
      <w:pPr>
        <w:spacing w:line="99" w:lineRule="exact"/>
      </w:pPr>
    </w:p>
    <w:tbl>
      <w:tblPr>
        <w:tblStyle w:val="5"/>
        <w:tblW w:w="901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68"/>
        <w:gridCol w:w="1290"/>
        <w:gridCol w:w="1383"/>
        <w:gridCol w:w="1692"/>
        <w:gridCol w:w="1692"/>
        <w:gridCol w:w="1689"/>
      </w:tblGrid>
      <w:tr w14:paraId="7D2FFD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1268" w:type="dxa"/>
            <w:tcBorders>
              <w:top w:val="single" w:color="000000" w:sz="10" w:space="0"/>
              <w:left w:val="nil"/>
            </w:tcBorders>
            <w:vAlign w:val="top"/>
          </w:tcPr>
          <w:p w14:paraId="06317F75">
            <w:pPr>
              <w:pStyle w:val="6"/>
              <w:spacing w:before="98" w:line="228" w:lineRule="auto"/>
              <w:ind w:left="431"/>
              <w:rPr>
                <w:sz w:val="20"/>
                <w:szCs w:val="20"/>
              </w:rPr>
            </w:pPr>
            <w:r>
              <w:rPr>
                <w:spacing w:val="3"/>
                <w:sz w:val="20"/>
                <w:szCs w:val="20"/>
              </w:rPr>
              <w:t>成分</w:t>
            </w:r>
          </w:p>
        </w:tc>
        <w:tc>
          <w:tcPr>
            <w:tcW w:w="1290" w:type="dxa"/>
            <w:tcBorders>
              <w:top w:val="single" w:color="000000" w:sz="10" w:space="0"/>
            </w:tcBorders>
            <w:vAlign w:val="top"/>
          </w:tcPr>
          <w:p w14:paraId="6E0E0BAD">
            <w:pPr>
              <w:pStyle w:val="6"/>
              <w:spacing w:before="97" w:line="228" w:lineRule="auto"/>
              <w:ind w:left="335"/>
              <w:rPr>
                <w:sz w:val="20"/>
                <w:szCs w:val="20"/>
              </w:rPr>
            </w:pPr>
            <w:r>
              <w:rPr>
                <w:spacing w:val="6"/>
                <w:sz w:val="20"/>
                <w:szCs w:val="20"/>
              </w:rPr>
              <w:t>含硫率</w:t>
            </w:r>
          </w:p>
        </w:tc>
        <w:tc>
          <w:tcPr>
            <w:tcW w:w="1383" w:type="dxa"/>
            <w:tcBorders>
              <w:top w:val="single" w:color="000000" w:sz="10" w:space="0"/>
            </w:tcBorders>
            <w:vAlign w:val="top"/>
          </w:tcPr>
          <w:p w14:paraId="75DC4010">
            <w:pPr>
              <w:pStyle w:val="6"/>
              <w:spacing w:before="97" w:line="228" w:lineRule="auto"/>
              <w:ind w:left="489"/>
              <w:rPr>
                <w:sz w:val="20"/>
                <w:szCs w:val="20"/>
              </w:rPr>
            </w:pPr>
            <w:r>
              <w:rPr>
                <w:spacing w:val="3"/>
                <w:sz w:val="20"/>
                <w:szCs w:val="20"/>
              </w:rPr>
              <w:t>灰分</w:t>
            </w:r>
          </w:p>
        </w:tc>
        <w:tc>
          <w:tcPr>
            <w:tcW w:w="1692" w:type="dxa"/>
            <w:tcBorders>
              <w:top w:val="single" w:color="000000" w:sz="10" w:space="0"/>
            </w:tcBorders>
            <w:vAlign w:val="top"/>
          </w:tcPr>
          <w:p w14:paraId="3A211C6A">
            <w:pPr>
              <w:pStyle w:val="6"/>
              <w:spacing w:before="98" w:line="228" w:lineRule="auto"/>
              <w:ind w:left="536"/>
              <w:rPr>
                <w:sz w:val="20"/>
                <w:szCs w:val="20"/>
              </w:rPr>
            </w:pPr>
            <w:r>
              <w:rPr>
                <w:spacing w:val="7"/>
                <w:sz w:val="20"/>
                <w:szCs w:val="20"/>
              </w:rPr>
              <w:t>挥发分</w:t>
            </w:r>
          </w:p>
        </w:tc>
        <w:tc>
          <w:tcPr>
            <w:tcW w:w="1692" w:type="dxa"/>
            <w:tcBorders>
              <w:top w:val="single" w:color="000000" w:sz="10" w:space="0"/>
            </w:tcBorders>
            <w:vAlign w:val="top"/>
          </w:tcPr>
          <w:p w14:paraId="48AD095B">
            <w:pPr>
              <w:pStyle w:val="6"/>
              <w:spacing w:before="97" w:line="229" w:lineRule="auto"/>
              <w:ind w:left="175"/>
              <w:rPr>
                <w:rFonts w:ascii="Times New Roman" w:hAnsi="Times New Roman" w:eastAsia="Times New Roman" w:cs="Times New Roman"/>
                <w:sz w:val="20"/>
                <w:szCs w:val="20"/>
              </w:rPr>
            </w:pPr>
            <w:r>
              <w:rPr>
                <w:spacing w:val="4"/>
                <w:sz w:val="20"/>
                <w:szCs w:val="20"/>
              </w:rPr>
              <w:t>电阻比</w:t>
            </w:r>
            <w:r>
              <w:rPr>
                <w:rFonts w:ascii="Times New Roman" w:hAnsi="Times New Roman" w:eastAsia="Times New Roman" w:cs="Times New Roman"/>
                <w:spacing w:val="4"/>
                <w:sz w:val="20"/>
                <w:szCs w:val="20"/>
              </w:rPr>
              <w:t>Ω</w:t>
            </w:r>
            <w:r>
              <w:rPr>
                <w:rFonts w:ascii="Times New Roman" w:hAnsi="Times New Roman" w:eastAsia="Times New Roman" w:cs="Times New Roman"/>
                <w:sz w:val="20"/>
                <w:szCs w:val="20"/>
              </w:rPr>
              <w:t>mm</w:t>
            </w:r>
            <w:r>
              <w:rPr>
                <w:rFonts w:ascii="Times New Roman" w:hAnsi="Times New Roman" w:eastAsia="Times New Roman" w:cs="Times New Roman"/>
                <w:spacing w:val="4"/>
                <w:position w:val="6"/>
                <w:sz w:val="13"/>
                <w:szCs w:val="13"/>
              </w:rPr>
              <w:t>2</w:t>
            </w:r>
            <w:r>
              <w:rPr>
                <w:rFonts w:ascii="Times New Roman" w:hAnsi="Times New Roman" w:eastAsia="Times New Roman" w:cs="Times New Roman"/>
                <w:spacing w:val="4"/>
                <w:sz w:val="20"/>
                <w:szCs w:val="20"/>
              </w:rPr>
              <w:t>/m</w:t>
            </w:r>
          </w:p>
        </w:tc>
        <w:tc>
          <w:tcPr>
            <w:tcW w:w="1689" w:type="dxa"/>
            <w:tcBorders>
              <w:top w:val="single" w:color="000000" w:sz="10" w:space="0"/>
              <w:right w:val="nil"/>
            </w:tcBorders>
            <w:vAlign w:val="top"/>
          </w:tcPr>
          <w:p w14:paraId="221A9E07">
            <w:pPr>
              <w:pStyle w:val="6"/>
              <w:spacing w:before="97" w:line="221" w:lineRule="auto"/>
              <w:ind w:left="215"/>
              <w:rPr>
                <w:rFonts w:ascii="Times New Roman" w:hAnsi="Times New Roman" w:eastAsia="Times New Roman" w:cs="Times New Roman"/>
                <w:sz w:val="13"/>
                <w:szCs w:val="13"/>
              </w:rPr>
            </w:pPr>
            <w:r>
              <w:rPr>
                <w:spacing w:val="9"/>
                <w:sz w:val="20"/>
                <w:szCs w:val="20"/>
              </w:rPr>
              <w:t>抗强度</w:t>
            </w:r>
            <w:r>
              <w:rPr>
                <w:spacing w:val="-44"/>
                <w:sz w:val="20"/>
                <w:szCs w:val="20"/>
              </w:rPr>
              <w:t xml:space="preserve"> </w:t>
            </w:r>
            <w:r>
              <w:rPr>
                <w:rFonts w:ascii="Times New Roman" w:hAnsi="Times New Roman" w:eastAsia="Times New Roman" w:cs="Times New Roman"/>
                <w:sz w:val="20"/>
                <w:szCs w:val="20"/>
              </w:rPr>
              <w:t>kg</w:t>
            </w:r>
            <w:r>
              <w:rPr>
                <w:rFonts w:ascii="Times New Roman" w:hAnsi="Times New Roman" w:eastAsia="Times New Roman" w:cs="Times New Roman"/>
                <w:spacing w:val="9"/>
                <w:sz w:val="20"/>
                <w:szCs w:val="20"/>
              </w:rPr>
              <w:t>/</w:t>
            </w:r>
            <w:r>
              <w:rPr>
                <w:rFonts w:ascii="Times New Roman" w:hAnsi="Times New Roman" w:eastAsia="Times New Roman" w:cs="Times New Roman"/>
                <w:sz w:val="20"/>
                <w:szCs w:val="20"/>
              </w:rPr>
              <w:t>cm</w:t>
            </w:r>
            <w:r>
              <w:rPr>
                <w:rFonts w:ascii="Times New Roman" w:hAnsi="Times New Roman" w:eastAsia="Times New Roman" w:cs="Times New Roman"/>
                <w:spacing w:val="9"/>
                <w:position w:val="6"/>
                <w:sz w:val="13"/>
                <w:szCs w:val="13"/>
              </w:rPr>
              <w:t>2</w:t>
            </w:r>
          </w:p>
        </w:tc>
      </w:tr>
      <w:tr w14:paraId="0828B4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268" w:type="dxa"/>
            <w:tcBorders>
              <w:left w:val="nil"/>
              <w:bottom w:val="single" w:color="000000" w:sz="10" w:space="0"/>
            </w:tcBorders>
            <w:vAlign w:val="top"/>
          </w:tcPr>
          <w:p w14:paraId="74CBA33B">
            <w:pPr>
              <w:pStyle w:val="6"/>
              <w:spacing w:before="104" w:line="228" w:lineRule="auto"/>
              <w:ind w:left="429"/>
              <w:rPr>
                <w:sz w:val="20"/>
                <w:szCs w:val="20"/>
              </w:rPr>
            </w:pPr>
            <w:r>
              <w:rPr>
                <w:spacing w:val="4"/>
                <w:sz w:val="20"/>
                <w:szCs w:val="20"/>
              </w:rPr>
              <w:t>含量</w:t>
            </w:r>
          </w:p>
        </w:tc>
        <w:tc>
          <w:tcPr>
            <w:tcW w:w="1290" w:type="dxa"/>
            <w:tcBorders>
              <w:bottom w:val="single" w:color="000000" w:sz="10" w:space="0"/>
            </w:tcBorders>
            <w:vAlign w:val="top"/>
          </w:tcPr>
          <w:p w14:paraId="6066BF38">
            <w:pPr>
              <w:spacing w:before="140" w:line="195" w:lineRule="auto"/>
              <w:ind w:left="4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0.4%</w:t>
            </w:r>
          </w:p>
        </w:tc>
        <w:tc>
          <w:tcPr>
            <w:tcW w:w="1383" w:type="dxa"/>
            <w:tcBorders>
              <w:bottom w:val="single" w:color="000000" w:sz="10" w:space="0"/>
            </w:tcBorders>
            <w:vAlign w:val="top"/>
          </w:tcPr>
          <w:p w14:paraId="5A9B0942">
            <w:pPr>
              <w:spacing w:before="140" w:line="196" w:lineRule="auto"/>
              <w:ind w:left="493"/>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≤4%</w:t>
            </w:r>
          </w:p>
        </w:tc>
        <w:tc>
          <w:tcPr>
            <w:tcW w:w="1692" w:type="dxa"/>
            <w:tcBorders>
              <w:bottom w:val="single" w:color="000000" w:sz="10" w:space="0"/>
            </w:tcBorders>
            <w:vAlign w:val="top"/>
          </w:tcPr>
          <w:p w14:paraId="13E4AC6C">
            <w:pPr>
              <w:spacing w:before="140" w:line="195" w:lineRule="auto"/>
              <w:ind w:left="51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3"/>
                <w:sz w:val="20"/>
                <w:szCs w:val="20"/>
              </w:rPr>
              <w:t>14%</w:t>
            </w:r>
          </w:p>
        </w:tc>
        <w:tc>
          <w:tcPr>
            <w:tcW w:w="1692" w:type="dxa"/>
            <w:tcBorders>
              <w:bottom w:val="single" w:color="000000" w:sz="10" w:space="0"/>
            </w:tcBorders>
            <w:vAlign w:val="top"/>
          </w:tcPr>
          <w:p w14:paraId="3FACE669">
            <w:pPr>
              <w:pStyle w:val="6"/>
              <w:spacing w:before="104" w:line="265" w:lineRule="exact"/>
              <w:ind w:left="658"/>
              <w:rPr>
                <w:rFonts w:ascii="Times New Roman" w:hAnsi="Times New Roman" w:eastAsia="Times New Roman" w:cs="Times New Roman"/>
                <w:sz w:val="20"/>
                <w:szCs w:val="20"/>
              </w:rPr>
            </w:pPr>
            <w:r>
              <w:rPr>
                <w:spacing w:val="-2"/>
                <w:position w:val="1"/>
                <w:sz w:val="20"/>
                <w:szCs w:val="20"/>
              </w:rPr>
              <w:t>＜</w:t>
            </w:r>
            <w:r>
              <w:rPr>
                <w:rFonts w:ascii="Times New Roman" w:hAnsi="Times New Roman" w:eastAsia="Times New Roman" w:cs="Times New Roman"/>
                <w:spacing w:val="-2"/>
                <w:position w:val="1"/>
                <w:sz w:val="20"/>
                <w:szCs w:val="20"/>
              </w:rPr>
              <w:t>80</w:t>
            </w:r>
          </w:p>
        </w:tc>
        <w:tc>
          <w:tcPr>
            <w:tcW w:w="1689" w:type="dxa"/>
            <w:tcBorders>
              <w:bottom w:val="single" w:color="000000" w:sz="10" w:space="0"/>
              <w:right w:val="nil"/>
            </w:tcBorders>
            <w:vAlign w:val="top"/>
          </w:tcPr>
          <w:p w14:paraId="7D8A2D6D">
            <w:pPr>
              <w:pStyle w:val="6"/>
              <w:spacing w:before="104" w:line="265" w:lineRule="exact"/>
              <w:ind w:left="605"/>
              <w:rPr>
                <w:rFonts w:ascii="Times New Roman" w:hAnsi="Times New Roman" w:eastAsia="Times New Roman" w:cs="Times New Roman"/>
                <w:sz w:val="20"/>
                <w:szCs w:val="20"/>
              </w:rPr>
            </w:pPr>
            <w:r>
              <w:rPr>
                <w:position w:val="1"/>
                <w:sz w:val="20"/>
                <w:szCs w:val="20"/>
              </w:rPr>
              <w:t>＜</w:t>
            </w:r>
            <w:r>
              <w:rPr>
                <w:rFonts w:ascii="Times New Roman" w:hAnsi="Times New Roman" w:eastAsia="Times New Roman" w:cs="Times New Roman"/>
                <w:position w:val="1"/>
                <w:sz w:val="20"/>
                <w:szCs w:val="20"/>
              </w:rPr>
              <w:t>800</w:t>
            </w:r>
          </w:p>
        </w:tc>
      </w:tr>
    </w:tbl>
    <w:p w14:paraId="406C186A">
      <w:pPr>
        <w:pStyle w:val="2"/>
      </w:pPr>
    </w:p>
    <w:p w14:paraId="1695284C">
      <w:pPr>
        <w:sectPr>
          <w:headerReference r:id="rId98" w:type="default"/>
          <w:footerReference r:id="rId99" w:type="default"/>
          <w:pgSz w:w="11850" w:h="16781"/>
          <w:pgMar w:top="1178" w:right="1376" w:bottom="1013" w:left="1417" w:header="870" w:footer="850" w:gutter="0"/>
          <w:cols w:space="720" w:num="1"/>
        </w:sectPr>
      </w:pPr>
    </w:p>
    <w:p w14:paraId="0346FBDF">
      <w:pPr>
        <w:pStyle w:val="2"/>
        <w:spacing w:line="303" w:lineRule="auto"/>
      </w:pPr>
      <w:r>
        <w:pict>
          <v:shape id="_x0000_s1159" o:spid="_x0000_s1159" style="position:absolute;left:0pt;margin-left:5.4pt;margin-top:0.7pt;height:0.75pt;width:450.75pt;z-index:251805696;mso-width-relative:page;mso-height-relative:page;" fillcolor="#000000" filled="t" stroked="f" coordsize="9015,15" path="m0,0l9014,0,9014,14,0,14,0,0xe">
            <v:path/>
            <v:fill on="t" focussize="0,0"/>
            <v:stroke on="f"/>
            <v:imagedata o:title=""/>
            <o:lock v:ext="edit"/>
          </v:shape>
        </w:pict>
      </w:r>
    </w:p>
    <w:p w14:paraId="69199C5E">
      <w:pPr>
        <w:spacing w:before="65" w:line="229" w:lineRule="auto"/>
        <w:ind w:left="3428"/>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4"/>
          <w:sz w:val="20"/>
          <w:szCs w:val="20"/>
        </w:rPr>
        <w:t xml:space="preserve">2.1-7        </w:t>
      </w:r>
      <w:r>
        <w:rPr>
          <w:rFonts w:ascii="宋体" w:hAnsi="宋体" w:eastAsia="宋体" w:cs="宋体"/>
          <w:b/>
          <w:bCs/>
          <w:spacing w:val="4"/>
          <w:sz w:val="20"/>
          <w:szCs w:val="20"/>
        </w:rPr>
        <w:t>硅石的要求表</w:t>
      </w:r>
    </w:p>
    <w:p w14:paraId="23411664">
      <w:pPr>
        <w:spacing w:line="96" w:lineRule="exact"/>
      </w:pPr>
    </w:p>
    <w:tbl>
      <w:tblPr>
        <w:tblStyle w:val="5"/>
        <w:tblW w:w="923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21"/>
        <w:gridCol w:w="1603"/>
        <w:gridCol w:w="1805"/>
        <w:gridCol w:w="2010"/>
        <w:gridCol w:w="1692"/>
      </w:tblGrid>
      <w:tr w14:paraId="030F51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2121" w:type="dxa"/>
            <w:vMerge w:val="restart"/>
            <w:tcBorders>
              <w:top w:val="single" w:color="000000" w:sz="10" w:space="0"/>
              <w:left w:val="nil"/>
              <w:bottom w:val="nil"/>
            </w:tcBorders>
            <w:vAlign w:val="top"/>
          </w:tcPr>
          <w:p w14:paraId="4BC9D2CD">
            <w:pPr>
              <w:spacing w:line="319" w:lineRule="auto"/>
              <w:rPr>
                <w:rFonts w:ascii="Arial"/>
                <w:sz w:val="21"/>
              </w:rPr>
            </w:pPr>
          </w:p>
          <w:p w14:paraId="0F6FD543">
            <w:pPr>
              <w:pStyle w:val="6"/>
              <w:spacing w:before="65" w:line="228" w:lineRule="auto"/>
              <w:ind w:left="649"/>
              <w:rPr>
                <w:sz w:val="20"/>
                <w:szCs w:val="20"/>
              </w:rPr>
            </w:pPr>
            <w:r>
              <w:rPr>
                <w:spacing w:val="6"/>
                <w:sz w:val="20"/>
                <w:szCs w:val="20"/>
              </w:rPr>
              <w:t>生产品种</w:t>
            </w:r>
          </w:p>
        </w:tc>
        <w:tc>
          <w:tcPr>
            <w:tcW w:w="5418" w:type="dxa"/>
            <w:gridSpan w:val="3"/>
            <w:tcBorders>
              <w:top w:val="single" w:color="000000" w:sz="10" w:space="0"/>
            </w:tcBorders>
            <w:vAlign w:val="top"/>
          </w:tcPr>
          <w:p w14:paraId="1607D125">
            <w:pPr>
              <w:pStyle w:val="6"/>
              <w:spacing w:before="60" w:line="228" w:lineRule="auto"/>
              <w:ind w:left="2178"/>
              <w:rPr>
                <w:rFonts w:ascii="Times New Roman" w:hAnsi="Times New Roman" w:eastAsia="Times New Roman" w:cs="Times New Roman"/>
                <w:sz w:val="20"/>
                <w:szCs w:val="20"/>
              </w:rPr>
            </w:pPr>
            <w:r>
              <w:rPr>
                <w:spacing w:val="6"/>
                <w:sz w:val="20"/>
                <w:szCs w:val="20"/>
              </w:rPr>
              <w:t>化学成分</w:t>
            </w:r>
            <w:r>
              <w:rPr>
                <w:rFonts w:ascii="Times New Roman" w:hAnsi="Times New Roman" w:eastAsia="Times New Roman" w:cs="Times New Roman"/>
                <w:spacing w:val="6"/>
                <w:sz w:val="20"/>
                <w:szCs w:val="20"/>
              </w:rPr>
              <w:t>/%</w:t>
            </w:r>
          </w:p>
        </w:tc>
        <w:tc>
          <w:tcPr>
            <w:tcW w:w="1692" w:type="dxa"/>
            <w:vMerge w:val="restart"/>
            <w:tcBorders>
              <w:top w:val="single" w:color="000000" w:sz="10" w:space="0"/>
              <w:bottom w:val="nil"/>
              <w:right w:val="nil"/>
            </w:tcBorders>
            <w:vAlign w:val="top"/>
          </w:tcPr>
          <w:p w14:paraId="17125989">
            <w:pPr>
              <w:spacing w:line="319" w:lineRule="auto"/>
              <w:rPr>
                <w:rFonts w:ascii="Arial"/>
                <w:sz w:val="21"/>
              </w:rPr>
            </w:pPr>
          </w:p>
          <w:p w14:paraId="2455930D">
            <w:pPr>
              <w:pStyle w:val="6"/>
              <w:spacing w:before="65" w:line="228" w:lineRule="auto"/>
              <w:ind w:left="421"/>
              <w:rPr>
                <w:rFonts w:ascii="Times New Roman" w:hAnsi="Times New Roman" w:eastAsia="Times New Roman" w:cs="Times New Roman"/>
                <w:sz w:val="20"/>
                <w:szCs w:val="20"/>
              </w:rPr>
            </w:pPr>
            <w:r>
              <w:rPr>
                <w:spacing w:val="7"/>
                <w:sz w:val="20"/>
                <w:szCs w:val="20"/>
              </w:rPr>
              <w:t>块度</w:t>
            </w:r>
            <w:r>
              <w:rPr>
                <w:rFonts w:ascii="Times New Roman" w:hAnsi="Times New Roman" w:eastAsia="Times New Roman" w:cs="Times New Roman"/>
                <w:spacing w:val="7"/>
                <w:sz w:val="20"/>
                <w:szCs w:val="20"/>
              </w:rPr>
              <w:t xml:space="preserve">/ </w:t>
            </w:r>
            <w:r>
              <w:rPr>
                <w:rFonts w:ascii="Times New Roman" w:hAnsi="Times New Roman" w:eastAsia="Times New Roman" w:cs="Times New Roman"/>
                <w:sz w:val="20"/>
                <w:szCs w:val="20"/>
              </w:rPr>
              <w:t>mm</w:t>
            </w:r>
          </w:p>
        </w:tc>
      </w:tr>
      <w:tr w14:paraId="3CDFD5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2121" w:type="dxa"/>
            <w:vMerge w:val="continue"/>
            <w:tcBorders>
              <w:top w:val="nil"/>
              <w:left w:val="nil"/>
              <w:bottom w:val="nil"/>
            </w:tcBorders>
            <w:vAlign w:val="top"/>
          </w:tcPr>
          <w:p w14:paraId="3D5AA8E7">
            <w:pPr>
              <w:rPr>
                <w:rFonts w:ascii="Arial"/>
                <w:sz w:val="21"/>
              </w:rPr>
            </w:pPr>
          </w:p>
        </w:tc>
        <w:tc>
          <w:tcPr>
            <w:tcW w:w="1603" w:type="dxa"/>
            <w:vAlign w:val="top"/>
          </w:tcPr>
          <w:p w14:paraId="606477E2">
            <w:pPr>
              <w:spacing w:before="92" w:line="206" w:lineRule="auto"/>
              <w:ind w:left="615"/>
              <w:rPr>
                <w:rFonts w:ascii="Times New Roman" w:hAnsi="Times New Roman" w:eastAsia="Times New Roman" w:cs="Times New Roman"/>
                <w:sz w:val="13"/>
                <w:szCs w:val="13"/>
              </w:rPr>
            </w:pPr>
            <w:r>
              <w:rPr>
                <w:rFonts w:ascii="Times New Roman" w:hAnsi="Times New Roman" w:eastAsia="Times New Roman" w:cs="Times New Roman"/>
                <w:sz w:val="20"/>
                <w:szCs w:val="20"/>
              </w:rPr>
              <w:t>SiO</w:t>
            </w:r>
            <w:r>
              <w:rPr>
                <w:rFonts w:ascii="Times New Roman" w:hAnsi="Times New Roman" w:eastAsia="Times New Roman" w:cs="Times New Roman"/>
                <w:spacing w:val="5"/>
                <w:position w:val="-1"/>
                <w:sz w:val="13"/>
                <w:szCs w:val="13"/>
              </w:rPr>
              <w:t>2</w:t>
            </w:r>
          </w:p>
        </w:tc>
        <w:tc>
          <w:tcPr>
            <w:tcW w:w="1805" w:type="dxa"/>
            <w:vAlign w:val="top"/>
          </w:tcPr>
          <w:p w14:paraId="06353303">
            <w:pPr>
              <w:spacing w:before="92" w:line="206" w:lineRule="auto"/>
              <w:ind w:left="651"/>
              <w:rPr>
                <w:rFonts w:ascii="Times New Roman" w:hAnsi="Times New Roman" w:eastAsia="Times New Roman" w:cs="Times New Roman"/>
                <w:sz w:val="13"/>
                <w:szCs w:val="13"/>
              </w:rPr>
            </w:pPr>
            <w:r>
              <w:rPr>
                <w:rFonts w:ascii="Times New Roman" w:hAnsi="Times New Roman" w:eastAsia="Times New Roman" w:cs="Times New Roman"/>
                <w:sz w:val="20"/>
                <w:szCs w:val="20"/>
              </w:rPr>
              <w:t>Al</w:t>
            </w:r>
            <w:r>
              <w:rPr>
                <w:rFonts w:ascii="Times New Roman" w:hAnsi="Times New Roman" w:eastAsia="Times New Roman" w:cs="Times New Roman"/>
                <w:spacing w:val="7"/>
                <w:position w:val="-1"/>
                <w:sz w:val="13"/>
                <w:szCs w:val="13"/>
              </w:rPr>
              <w:t>2</w:t>
            </w:r>
            <w:r>
              <w:rPr>
                <w:rFonts w:ascii="Times New Roman" w:hAnsi="Times New Roman" w:eastAsia="Times New Roman" w:cs="Times New Roman"/>
                <w:spacing w:val="7"/>
                <w:sz w:val="20"/>
                <w:szCs w:val="20"/>
              </w:rPr>
              <w:t>O</w:t>
            </w:r>
            <w:r>
              <w:rPr>
                <w:rFonts w:ascii="Times New Roman" w:hAnsi="Times New Roman" w:eastAsia="Times New Roman" w:cs="Times New Roman"/>
                <w:spacing w:val="7"/>
                <w:position w:val="-1"/>
                <w:sz w:val="13"/>
                <w:szCs w:val="13"/>
              </w:rPr>
              <w:t>3</w:t>
            </w:r>
          </w:p>
        </w:tc>
        <w:tc>
          <w:tcPr>
            <w:tcW w:w="2010" w:type="dxa"/>
            <w:vAlign w:val="top"/>
          </w:tcPr>
          <w:p w14:paraId="49B359C3">
            <w:pPr>
              <w:spacing w:before="96" w:line="202" w:lineRule="auto"/>
              <w:ind w:left="804"/>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P</w:t>
            </w:r>
            <w:r>
              <w:rPr>
                <w:rFonts w:ascii="Times New Roman" w:hAnsi="Times New Roman" w:eastAsia="Times New Roman" w:cs="Times New Roman"/>
                <w:spacing w:val="3"/>
                <w:position w:val="-1"/>
                <w:sz w:val="13"/>
                <w:szCs w:val="13"/>
              </w:rPr>
              <w:t>2</w:t>
            </w:r>
            <w:r>
              <w:rPr>
                <w:rFonts w:ascii="Times New Roman" w:hAnsi="Times New Roman" w:eastAsia="Times New Roman" w:cs="Times New Roman"/>
                <w:spacing w:val="3"/>
                <w:sz w:val="20"/>
                <w:szCs w:val="20"/>
              </w:rPr>
              <w:t>O</w:t>
            </w:r>
            <w:r>
              <w:rPr>
                <w:rFonts w:ascii="Times New Roman" w:hAnsi="Times New Roman" w:eastAsia="Times New Roman" w:cs="Times New Roman"/>
                <w:spacing w:val="3"/>
                <w:position w:val="-1"/>
                <w:sz w:val="13"/>
                <w:szCs w:val="13"/>
              </w:rPr>
              <w:t>5</w:t>
            </w:r>
          </w:p>
        </w:tc>
        <w:tc>
          <w:tcPr>
            <w:tcW w:w="1692" w:type="dxa"/>
            <w:vMerge w:val="continue"/>
            <w:tcBorders>
              <w:top w:val="nil"/>
              <w:bottom w:val="nil"/>
              <w:right w:val="nil"/>
            </w:tcBorders>
            <w:vAlign w:val="top"/>
          </w:tcPr>
          <w:p w14:paraId="334937F5">
            <w:pPr>
              <w:rPr>
                <w:rFonts w:ascii="Arial"/>
                <w:sz w:val="21"/>
              </w:rPr>
            </w:pPr>
          </w:p>
        </w:tc>
      </w:tr>
      <w:tr w14:paraId="2C2794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2121" w:type="dxa"/>
            <w:vMerge w:val="continue"/>
            <w:tcBorders>
              <w:top w:val="nil"/>
              <w:left w:val="nil"/>
            </w:tcBorders>
            <w:vAlign w:val="top"/>
          </w:tcPr>
          <w:p w14:paraId="57FD1935">
            <w:pPr>
              <w:rPr>
                <w:rFonts w:ascii="Arial"/>
                <w:sz w:val="21"/>
              </w:rPr>
            </w:pPr>
          </w:p>
        </w:tc>
        <w:tc>
          <w:tcPr>
            <w:tcW w:w="1603" w:type="dxa"/>
            <w:vAlign w:val="top"/>
          </w:tcPr>
          <w:p w14:paraId="51DB4E90">
            <w:pPr>
              <w:spacing w:before="118" w:line="180" w:lineRule="auto"/>
              <w:ind w:left="74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805" w:type="dxa"/>
            <w:tcBorders>
              <w:right w:val="nil"/>
            </w:tcBorders>
            <w:vAlign w:val="top"/>
          </w:tcPr>
          <w:p w14:paraId="645FDE0E">
            <w:pPr>
              <w:rPr>
                <w:rFonts w:ascii="Arial"/>
                <w:sz w:val="21"/>
              </w:rPr>
            </w:pPr>
          </w:p>
        </w:tc>
        <w:tc>
          <w:tcPr>
            <w:tcW w:w="2010" w:type="dxa"/>
            <w:tcBorders>
              <w:left w:val="nil"/>
            </w:tcBorders>
            <w:vAlign w:val="top"/>
          </w:tcPr>
          <w:p w14:paraId="1404867A">
            <w:pPr>
              <w:spacing w:before="118" w:line="180" w:lineRule="auto"/>
              <w:ind w:left="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692" w:type="dxa"/>
            <w:vMerge w:val="continue"/>
            <w:tcBorders>
              <w:top w:val="nil"/>
              <w:right w:val="nil"/>
            </w:tcBorders>
            <w:vAlign w:val="top"/>
          </w:tcPr>
          <w:p w14:paraId="6A095B1C">
            <w:pPr>
              <w:rPr>
                <w:rFonts w:ascii="Arial"/>
                <w:sz w:val="21"/>
              </w:rPr>
            </w:pPr>
          </w:p>
        </w:tc>
      </w:tr>
      <w:tr w14:paraId="535DDD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121" w:type="dxa"/>
            <w:tcBorders>
              <w:left w:val="nil"/>
              <w:bottom w:val="single" w:color="000000" w:sz="10" w:space="0"/>
            </w:tcBorders>
            <w:vAlign w:val="top"/>
          </w:tcPr>
          <w:p w14:paraId="180CEA4A">
            <w:pPr>
              <w:pStyle w:val="6"/>
              <w:spacing w:before="73" w:line="231" w:lineRule="auto"/>
              <w:ind w:left="858"/>
              <w:rPr>
                <w:sz w:val="20"/>
                <w:szCs w:val="20"/>
              </w:rPr>
            </w:pPr>
            <w:r>
              <w:rPr>
                <w:spacing w:val="5"/>
                <w:sz w:val="20"/>
                <w:szCs w:val="20"/>
              </w:rPr>
              <w:t>硅石</w:t>
            </w:r>
          </w:p>
        </w:tc>
        <w:tc>
          <w:tcPr>
            <w:tcW w:w="1603" w:type="dxa"/>
            <w:tcBorders>
              <w:bottom w:val="single" w:color="000000" w:sz="10" w:space="0"/>
            </w:tcBorders>
            <w:vAlign w:val="top"/>
          </w:tcPr>
          <w:p w14:paraId="02783741">
            <w:pPr>
              <w:spacing w:before="109" w:line="195" w:lineRule="auto"/>
              <w:ind w:left="701"/>
              <w:rPr>
                <w:rFonts w:ascii="Times New Roman" w:hAnsi="Times New Roman" w:eastAsia="Times New Roman" w:cs="Times New Roman"/>
                <w:sz w:val="20"/>
                <w:szCs w:val="20"/>
              </w:rPr>
            </w:pPr>
            <w:r>
              <w:rPr>
                <w:rFonts w:ascii="Times New Roman" w:hAnsi="Times New Roman" w:eastAsia="Times New Roman" w:cs="Times New Roman"/>
                <w:sz w:val="20"/>
                <w:szCs w:val="20"/>
              </w:rPr>
              <w:t>97</w:t>
            </w:r>
          </w:p>
        </w:tc>
        <w:tc>
          <w:tcPr>
            <w:tcW w:w="1805" w:type="dxa"/>
            <w:tcBorders>
              <w:bottom w:val="single" w:color="000000" w:sz="10" w:space="0"/>
            </w:tcBorders>
            <w:vAlign w:val="top"/>
          </w:tcPr>
          <w:p w14:paraId="09713527">
            <w:pPr>
              <w:pStyle w:val="6"/>
              <w:spacing w:before="74" w:line="221" w:lineRule="auto"/>
              <w:ind w:left="3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w:t>
            </w:r>
            <w:r>
              <w:rPr>
                <w:rFonts w:ascii="Times New Roman" w:hAnsi="Times New Roman" w:eastAsia="Times New Roman" w:cs="Times New Roman"/>
                <w:sz w:val="20"/>
                <w:szCs w:val="20"/>
              </w:rPr>
              <w:t>Fe</w:t>
            </w:r>
            <w:r>
              <w:rPr>
                <w:rFonts w:ascii="Times New Roman" w:hAnsi="Times New Roman" w:eastAsia="Times New Roman" w:cs="Times New Roman"/>
                <w:spacing w:val="1"/>
                <w:sz w:val="13"/>
                <w:szCs w:val="13"/>
              </w:rPr>
              <w:t>2</w:t>
            </w:r>
            <w:r>
              <w:rPr>
                <w:rFonts w:ascii="Times New Roman" w:hAnsi="Times New Roman" w:eastAsia="Times New Roman" w:cs="Times New Roman"/>
                <w:spacing w:val="1"/>
                <w:sz w:val="20"/>
                <w:szCs w:val="20"/>
              </w:rPr>
              <w:t>O</w:t>
            </w:r>
            <w:r>
              <w:rPr>
                <w:rFonts w:ascii="Times New Roman" w:hAnsi="Times New Roman" w:eastAsia="Times New Roman" w:cs="Times New Roman"/>
                <w:spacing w:val="1"/>
                <w:position w:val="-1"/>
                <w:sz w:val="13"/>
                <w:szCs w:val="13"/>
              </w:rPr>
              <w:t>3</w:t>
            </w:r>
            <w:r>
              <w:rPr>
                <w:spacing w:val="1"/>
                <w:sz w:val="20"/>
                <w:szCs w:val="20"/>
              </w:rPr>
              <w:t>＜</w:t>
            </w:r>
            <w:r>
              <w:rPr>
                <w:rFonts w:ascii="Times New Roman" w:hAnsi="Times New Roman" w:eastAsia="Times New Roman" w:cs="Times New Roman"/>
                <w:spacing w:val="1"/>
                <w:sz w:val="20"/>
                <w:szCs w:val="20"/>
              </w:rPr>
              <w:t>0.</w:t>
            </w:r>
            <w:r>
              <w:rPr>
                <w:rFonts w:ascii="Times New Roman" w:hAnsi="Times New Roman" w:eastAsia="Times New Roman" w:cs="Times New Roman"/>
                <w:spacing w:val="-18"/>
                <w:sz w:val="20"/>
                <w:szCs w:val="20"/>
              </w:rPr>
              <w:t xml:space="preserve"> </w:t>
            </w:r>
            <w:r>
              <w:rPr>
                <w:rFonts w:ascii="Times New Roman" w:hAnsi="Times New Roman" w:eastAsia="Times New Roman" w:cs="Times New Roman"/>
                <w:spacing w:val="1"/>
                <w:sz w:val="20"/>
                <w:szCs w:val="20"/>
              </w:rPr>
              <w:t>1)</w:t>
            </w:r>
          </w:p>
        </w:tc>
        <w:tc>
          <w:tcPr>
            <w:tcW w:w="2010" w:type="dxa"/>
            <w:tcBorders>
              <w:bottom w:val="single" w:color="000000" w:sz="10" w:space="0"/>
            </w:tcBorders>
            <w:vAlign w:val="top"/>
          </w:tcPr>
          <w:p w14:paraId="55A91C34">
            <w:pPr>
              <w:spacing w:before="109" w:line="195" w:lineRule="auto"/>
              <w:ind w:left="8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1692" w:type="dxa"/>
            <w:tcBorders>
              <w:bottom w:val="single" w:color="000000" w:sz="10" w:space="0"/>
              <w:right w:val="nil"/>
            </w:tcBorders>
            <w:vAlign w:val="top"/>
          </w:tcPr>
          <w:p w14:paraId="1CDC9DD3">
            <w:pPr>
              <w:pStyle w:val="6"/>
              <w:spacing w:before="74" w:line="236" w:lineRule="auto"/>
              <w:ind w:left="5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w:t>
            </w:r>
            <w:r>
              <w:rPr>
                <w:spacing w:val="1"/>
                <w:sz w:val="20"/>
                <w:szCs w:val="20"/>
              </w:rPr>
              <w:t>～</w:t>
            </w:r>
            <w:r>
              <w:rPr>
                <w:rFonts w:ascii="Times New Roman" w:hAnsi="Times New Roman" w:eastAsia="Times New Roman" w:cs="Times New Roman"/>
                <w:spacing w:val="1"/>
                <w:sz w:val="20"/>
                <w:szCs w:val="20"/>
              </w:rPr>
              <w:t>40</w:t>
            </w:r>
          </w:p>
        </w:tc>
      </w:tr>
    </w:tbl>
    <w:p w14:paraId="5503600D">
      <w:pPr>
        <w:spacing w:before="45" w:line="221" w:lineRule="auto"/>
        <w:ind w:left="113"/>
        <w:outlineLvl w:val="2"/>
        <w:rPr>
          <w:rFonts w:ascii="黑体" w:hAnsi="黑体" w:eastAsia="黑体" w:cs="黑体"/>
          <w:sz w:val="30"/>
          <w:szCs w:val="30"/>
        </w:rPr>
      </w:pPr>
      <w:bookmarkStart w:id="314" w:name="bookmark96"/>
      <w:bookmarkEnd w:id="314"/>
      <w:r>
        <w:rPr>
          <w:rFonts w:ascii="Times New Roman" w:hAnsi="Times New Roman" w:eastAsia="Times New Roman" w:cs="Times New Roman"/>
          <w:spacing w:val="-1"/>
          <w:sz w:val="30"/>
          <w:szCs w:val="30"/>
        </w:rPr>
        <w:t xml:space="preserve">2.1.5 </w:t>
      </w:r>
      <w:r>
        <w:rPr>
          <w:rFonts w:ascii="黑体" w:hAnsi="黑体" w:eastAsia="黑体" w:cs="黑体"/>
          <w:spacing w:val="-1"/>
          <w:sz w:val="30"/>
          <w:szCs w:val="30"/>
        </w:rPr>
        <w:t>产品方案及标准</w:t>
      </w:r>
    </w:p>
    <w:p w14:paraId="6EC373AB">
      <w:pPr>
        <w:spacing w:before="300" w:line="219" w:lineRule="auto"/>
        <w:ind w:left="112"/>
        <w:outlineLvl w:val="3"/>
        <w:rPr>
          <w:rFonts w:ascii="宋体" w:hAnsi="宋体" w:eastAsia="宋体" w:cs="宋体"/>
          <w:sz w:val="24"/>
          <w:szCs w:val="24"/>
        </w:rPr>
      </w:pPr>
      <w:r>
        <w:fldChar w:fldCharType="begin"/>
      </w:r>
      <w:r>
        <w:instrText xml:space="preserve"> HYPERLINK "2.1.5.1" </w:instrText>
      </w:r>
      <w:r>
        <w:fldChar w:fldCharType="separate"/>
      </w:r>
      <w:r>
        <w:rPr>
          <w:rFonts w:ascii="Times New Roman" w:hAnsi="Times New Roman" w:eastAsia="Times New Roman" w:cs="Times New Roman"/>
          <w:b/>
          <w:bCs/>
          <w:spacing w:val="-2"/>
          <w:sz w:val="24"/>
          <w:szCs w:val="24"/>
        </w:rPr>
        <w:t>2.1.5.1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产品方案</w:t>
      </w:r>
    </w:p>
    <w:p w14:paraId="0B44D939">
      <w:pPr>
        <w:spacing w:before="189" w:line="219" w:lineRule="auto"/>
        <w:ind w:left="597"/>
        <w:rPr>
          <w:rFonts w:ascii="宋体" w:hAnsi="宋体" w:eastAsia="宋体" w:cs="宋体"/>
          <w:sz w:val="24"/>
          <w:szCs w:val="24"/>
        </w:rPr>
      </w:pPr>
      <w:r>
        <w:rPr>
          <w:rFonts w:ascii="宋体" w:hAnsi="宋体" w:eastAsia="宋体" w:cs="宋体"/>
          <w:spacing w:val="-2"/>
          <w:sz w:val="24"/>
          <w:szCs w:val="24"/>
        </w:rPr>
        <w:t>本项目产品方案见表</w:t>
      </w:r>
      <w:r>
        <w:rPr>
          <w:rFonts w:ascii="宋体" w:hAnsi="宋体" w:eastAsia="宋体" w:cs="宋体"/>
          <w:spacing w:val="-43"/>
          <w:sz w:val="24"/>
          <w:szCs w:val="24"/>
        </w:rPr>
        <w:t xml:space="preserve"> </w:t>
      </w:r>
      <w:r>
        <w:rPr>
          <w:rFonts w:ascii="Times New Roman" w:hAnsi="Times New Roman" w:eastAsia="Times New Roman" w:cs="Times New Roman"/>
          <w:spacing w:val="-2"/>
          <w:sz w:val="24"/>
          <w:szCs w:val="24"/>
        </w:rPr>
        <w:t>2.1-9</w:t>
      </w:r>
      <w:r>
        <w:rPr>
          <w:rFonts w:ascii="宋体" w:hAnsi="宋体" w:eastAsia="宋体" w:cs="宋体"/>
          <w:spacing w:val="-2"/>
          <w:sz w:val="24"/>
          <w:szCs w:val="24"/>
        </w:rPr>
        <w:t>。</w:t>
      </w:r>
    </w:p>
    <w:p w14:paraId="2383C59D">
      <w:pPr>
        <w:spacing w:before="207" w:line="228" w:lineRule="auto"/>
        <w:ind w:left="2783"/>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5"/>
          <w:sz w:val="20"/>
          <w:szCs w:val="20"/>
        </w:rPr>
        <w:t xml:space="preserve"> </w:t>
      </w:r>
      <w:r>
        <w:rPr>
          <w:rFonts w:ascii="Times New Roman" w:hAnsi="Times New Roman" w:eastAsia="Times New Roman" w:cs="Times New Roman"/>
          <w:b/>
          <w:bCs/>
          <w:spacing w:val="5"/>
          <w:sz w:val="20"/>
          <w:szCs w:val="20"/>
        </w:rPr>
        <w:t xml:space="preserve">2.1-9        </w:t>
      </w:r>
      <w:r>
        <w:rPr>
          <w:rFonts w:ascii="宋体" w:hAnsi="宋体" w:eastAsia="宋体" w:cs="宋体"/>
          <w:b/>
          <w:bCs/>
          <w:spacing w:val="5"/>
          <w:sz w:val="20"/>
          <w:szCs w:val="20"/>
        </w:rPr>
        <w:t>产品方案及生产规模一览表</w:t>
      </w:r>
    </w:p>
    <w:p w14:paraId="0B6E129F">
      <w:pPr>
        <w:spacing w:line="98" w:lineRule="exact"/>
      </w:pPr>
    </w:p>
    <w:tbl>
      <w:tblPr>
        <w:tblStyle w:val="5"/>
        <w:tblW w:w="923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05"/>
        <w:gridCol w:w="1130"/>
        <w:gridCol w:w="3435"/>
        <w:gridCol w:w="1450"/>
        <w:gridCol w:w="1350"/>
        <w:gridCol w:w="1061"/>
      </w:tblGrid>
      <w:tr w14:paraId="529CB7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trPr>
        <w:tc>
          <w:tcPr>
            <w:tcW w:w="805" w:type="dxa"/>
            <w:tcBorders>
              <w:top w:val="single" w:color="000000" w:sz="10" w:space="0"/>
              <w:left w:val="nil"/>
            </w:tcBorders>
            <w:vAlign w:val="top"/>
          </w:tcPr>
          <w:p w14:paraId="410EE5CA">
            <w:pPr>
              <w:pStyle w:val="6"/>
              <w:spacing w:before="52" w:line="226" w:lineRule="auto"/>
              <w:ind w:left="198"/>
              <w:rPr>
                <w:sz w:val="20"/>
                <w:szCs w:val="20"/>
              </w:rPr>
            </w:pPr>
            <w:r>
              <w:rPr>
                <w:spacing w:val="5"/>
                <w:sz w:val="20"/>
                <w:szCs w:val="20"/>
              </w:rPr>
              <w:t>序号</w:t>
            </w:r>
          </w:p>
        </w:tc>
        <w:tc>
          <w:tcPr>
            <w:tcW w:w="1130" w:type="dxa"/>
            <w:tcBorders>
              <w:top w:val="single" w:color="000000" w:sz="10" w:space="0"/>
            </w:tcBorders>
            <w:vAlign w:val="top"/>
          </w:tcPr>
          <w:p w14:paraId="0A5A3AB0">
            <w:pPr>
              <w:pStyle w:val="6"/>
              <w:spacing w:before="52" w:line="226" w:lineRule="auto"/>
              <w:ind w:left="363"/>
              <w:rPr>
                <w:sz w:val="20"/>
                <w:szCs w:val="20"/>
              </w:rPr>
            </w:pPr>
            <w:r>
              <w:rPr>
                <w:spacing w:val="3"/>
                <w:sz w:val="20"/>
                <w:szCs w:val="20"/>
              </w:rPr>
              <w:t>名称</w:t>
            </w:r>
          </w:p>
        </w:tc>
        <w:tc>
          <w:tcPr>
            <w:tcW w:w="3435" w:type="dxa"/>
            <w:tcBorders>
              <w:top w:val="single" w:color="000000" w:sz="10" w:space="0"/>
            </w:tcBorders>
            <w:vAlign w:val="top"/>
          </w:tcPr>
          <w:p w14:paraId="6F653F83">
            <w:pPr>
              <w:pStyle w:val="6"/>
              <w:spacing w:before="52" w:line="226" w:lineRule="auto"/>
              <w:ind w:left="1302"/>
              <w:rPr>
                <w:sz w:val="20"/>
                <w:szCs w:val="20"/>
              </w:rPr>
            </w:pPr>
            <w:r>
              <w:rPr>
                <w:spacing w:val="7"/>
                <w:sz w:val="20"/>
                <w:szCs w:val="20"/>
              </w:rPr>
              <w:t>产品规格</w:t>
            </w:r>
          </w:p>
        </w:tc>
        <w:tc>
          <w:tcPr>
            <w:tcW w:w="1450" w:type="dxa"/>
            <w:tcBorders>
              <w:top w:val="single" w:color="000000" w:sz="10" w:space="0"/>
            </w:tcBorders>
            <w:vAlign w:val="top"/>
          </w:tcPr>
          <w:p w14:paraId="65C43E5B">
            <w:pPr>
              <w:pStyle w:val="6"/>
              <w:spacing w:before="52" w:line="226" w:lineRule="auto"/>
              <w:ind w:left="521"/>
              <w:rPr>
                <w:sz w:val="20"/>
                <w:szCs w:val="20"/>
              </w:rPr>
            </w:pPr>
            <w:r>
              <w:rPr>
                <w:spacing w:val="3"/>
                <w:sz w:val="20"/>
                <w:szCs w:val="20"/>
              </w:rPr>
              <w:t>单位</w:t>
            </w:r>
          </w:p>
        </w:tc>
        <w:tc>
          <w:tcPr>
            <w:tcW w:w="1350" w:type="dxa"/>
            <w:tcBorders>
              <w:top w:val="single" w:color="000000" w:sz="10" w:space="0"/>
            </w:tcBorders>
            <w:vAlign w:val="top"/>
          </w:tcPr>
          <w:p w14:paraId="64620867">
            <w:pPr>
              <w:pStyle w:val="6"/>
              <w:spacing w:before="52" w:line="226" w:lineRule="auto"/>
              <w:ind w:left="261"/>
              <w:rPr>
                <w:sz w:val="20"/>
                <w:szCs w:val="20"/>
              </w:rPr>
            </w:pPr>
            <w:r>
              <w:rPr>
                <w:spacing w:val="6"/>
                <w:sz w:val="20"/>
                <w:szCs w:val="20"/>
              </w:rPr>
              <w:t>生产规模</w:t>
            </w:r>
          </w:p>
        </w:tc>
        <w:tc>
          <w:tcPr>
            <w:tcW w:w="1061" w:type="dxa"/>
            <w:tcBorders>
              <w:top w:val="single" w:color="000000" w:sz="10" w:space="0"/>
              <w:right w:val="nil"/>
            </w:tcBorders>
            <w:vAlign w:val="top"/>
          </w:tcPr>
          <w:p w14:paraId="1C3063B7">
            <w:pPr>
              <w:pStyle w:val="6"/>
              <w:spacing w:before="52" w:line="226" w:lineRule="auto"/>
              <w:ind w:left="328"/>
              <w:rPr>
                <w:sz w:val="20"/>
                <w:szCs w:val="20"/>
              </w:rPr>
            </w:pPr>
            <w:r>
              <w:rPr>
                <w:spacing w:val="3"/>
                <w:sz w:val="20"/>
                <w:szCs w:val="20"/>
              </w:rPr>
              <w:t>备注</w:t>
            </w:r>
          </w:p>
        </w:tc>
      </w:tr>
      <w:tr w14:paraId="780975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5" w:type="dxa"/>
            <w:tcBorders>
              <w:left w:val="nil"/>
              <w:bottom w:val="single" w:color="000000" w:sz="10" w:space="0"/>
            </w:tcBorders>
            <w:vAlign w:val="top"/>
          </w:tcPr>
          <w:p w14:paraId="1FBCEAB5">
            <w:pPr>
              <w:spacing w:before="107" w:line="195" w:lineRule="auto"/>
              <w:ind w:left="37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130" w:type="dxa"/>
            <w:tcBorders>
              <w:bottom w:val="single" w:color="000000" w:sz="10" w:space="0"/>
            </w:tcBorders>
            <w:vAlign w:val="top"/>
          </w:tcPr>
          <w:p w14:paraId="62B21934">
            <w:pPr>
              <w:pStyle w:val="6"/>
              <w:spacing w:before="72" w:line="231" w:lineRule="auto"/>
              <w:ind w:left="149"/>
              <w:rPr>
                <w:sz w:val="20"/>
                <w:szCs w:val="20"/>
              </w:rPr>
            </w:pPr>
            <w:r>
              <w:rPr>
                <w:spacing w:val="7"/>
                <w:sz w:val="20"/>
                <w:szCs w:val="20"/>
              </w:rPr>
              <w:t>硅锰合金</w:t>
            </w:r>
          </w:p>
        </w:tc>
        <w:tc>
          <w:tcPr>
            <w:tcW w:w="3435" w:type="dxa"/>
            <w:tcBorders>
              <w:bottom w:val="single" w:color="000000" w:sz="10" w:space="0"/>
            </w:tcBorders>
            <w:vAlign w:val="top"/>
          </w:tcPr>
          <w:p w14:paraId="3C75C0F6">
            <w:pPr>
              <w:pStyle w:val="6"/>
              <w:spacing w:before="72" w:line="231" w:lineRule="auto"/>
              <w:ind w:left="194"/>
              <w:rPr>
                <w:sz w:val="20"/>
                <w:szCs w:val="20"/>
              </w:rPr>
            </w:pPr>
            <w:r>
              <w:rPr>
                <w:spacing w:val="6"/>
                <w:sz w:val="20"/>
                <w:szCs w:val="20"/>
              </w:rPr>
              <w:t>《锰硅合金》（</w:t>
            </w: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/T4008-2008</w:t>
            </w:r>
            <w:r>
              <w:rPr>
                <w:spacing w:val="6"/>
                <w:sz w:val="20"/>
                <w:szCs w:val="20"/>
              </w:rPr>
              <w:t>）</w:t>
            </w:r>
          </w:p>
        </w:tc>
        <w:tc>
          <w:tcPr>
            <w:tcW w:w="1450" w:type="dxa"/>
            <w:tcBorders>
              <w:bottom w:val="single" w:color="000000" w:sz="10" w:space="0"/>
            </w:tcBorders>
            <w:vAlign w:val="top"/>
          </w:tcPr>
          <w:p w14:paraId="51FD0F38">
            <w:pPr>
              <w:spacing w:before="103" w:line="199" w:lineRule="auto"/>
              <w:ind w:left="61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t/a</w:t>
            </w:r>
          </w:p>
        </w:tc>
        <w:tc>
          <w:tcPr>
            <w:tcW w:w="1350" w:type="dxa"/>
            <w:tcBorders>
              <w:bottom w:val="single" w:color="000000" w:sz="10" w:space="0"/>
            </w:tcBorders>
            <w:vAlign w:val="top"/>
          </w:tcPr>
          <w:p w14:paraId="3A03D505">
            <w:pPr>
              <w:spacing w:before="107" w:line="195" w:lineRule="auto"/>
              <w:ind w:left="36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450000</w:t>
            </w:r>
          </w:p>
        </w:tc>
        <w:tc>
          <w:tcPr>
            <w:tcW w:w="1061" w:type="dxa"/>
            <w:tcBorders>
              <w:bottom w:val="single" w:color="000000" w:sz="10" w:space="0"/>
              <w:right w:val="nil"/>
            </w:tcBorders>
            <w:vAlign w:val="top"/>
          </w:tcPr>
          <w:p w14:paraId="40994C18">
            <w:pPr>
              <w:spacing w:before="103" w:line="199" w:lineRule="auto"/>
              <w:ind w:left="4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bl>
    <w:p w14:paraId="3ABABD31">
      <w:pPr>
        <w:spacing w:before="121" w:line="219" w:lineRule="auto"/>
        <w:ind w:left="112"/>
        <w:outlineLvl w:val="3"/>
        <w:rPr>
          <w:rFonts w:ascii="宋体" w:hAnsi="宋体" w:eastAsia="宋体" w:cs="宋体"/>
          <w:sz w:val="24"/>
          <w:szCs w:val="24"/>
        </w:rPr>
      </w:pPr>
      <w:r>
        <w:fldChar w:fldCharType="begin"/>
      </w:r>
      <w:r>
        <w:instrText xml:space="preserve"> HYPERLINK "2.1.5.2" </w:instrText>
      </w:r>
      <w:r>
        <w:fldChar w:fldCharType="separate"/>
      </w:r>
      <w:r>
        <w:rPr>
          <w:rFonts w:ascii="Times New Roman" w:hAnsi="Times New Roman" w:eastAsia="Times New Roman" w:cs="Times New Roman"/>
          <w:b/>
          <w:bCs/>
          <w:spacing w:val="-2"/>
          <w:sz w:val="24"/>
          <w:szCs w:val="24"/>
        </w:rPr>
        <w:t>2.1.5.2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产品质量标准</w:t>
      </w:r>
    </w:p>
    <w:p w14:paraId="4747EE80">
      <w:pPr>
        <w:spacing w:before="189" w:line="219" w:lineRule="auto"/>
        <w:ind w:left="597"/>
        <w:rPr>
          <w:rFonts w:ascii="宋体" w:hAnsi="宋体" w:eastAsia="宋体" w:cs="宋体"/>
          <w:sz w:val="24"/>
          <w:szCs w:val="24"/>
        </w:rPr>
      </w:pPr>
      <w:r>
        <w:rPr>
          <w:rFonts w:ascii="宋体" w:hAnsi="宋体" w:eastAsia="宋体" w:cs="宋体"/>
          <w:sz w:val="24"/>
          <w:szCs w:val="24"/>
        </w:rPr>
        <w:t>本项目硅锰合金产品需符合《锰硅合金》（</w:t>
      </w:r>
      <w:r>
        <w:rPr>
          <w:rFonts w:ascii="Times New Roman" w:hAnsi="Times New Roman" w:eastAsia="Times New Roman" w:cs="Times New Roman"/>
          <w:sz w:val="24"/>
          <w:szCs w:val="24"/>
        </w:rPr>
        <w:t>G</w:t>
      </w:r>
      <w:r>
        <w:rPr>
          <w:rFonts w:ascii="Times New Roman" w:hAnsi="Times New Roman" w:eastAsia="Times New Roman" w:cs="Times New Roman"/>
          <w:spacing w:val="-1"/>
          <w:sz w:val="24"/>
          <w:szCs w:val="24"/>
        </w:rPr>
        <w:t>B/T4008-2008</w:t>
      </w:r>
      <w:r>
        <w:rPr>
          <w:rFonts w:ascii="宋体" w:hAnsi="宋体" w:eastAsia="宋体" w:cs="宋体"/>
          <w:spacing w:val="-1"/>
          <w:sz w:val="24"/>
          <w:szCs w:val="24"/>
        </w:rPr>
        <w:t>）有关规定。具体标准</w:t>
      </w:r>
    </w:p>
    <w:p w14:paraId="40FFC6C5">
      <w:pPr>
        <w:spacing w:before="194" w:line="219" w:lineRule="auto"/>
        <w:ind w:left="116"/>
        <w:rPr>
          <w:rFonts w:ascii="宋体" w:hAnsi="宋体" w:eastAsia="宋体" w:cs="宋体"/>
          <w:sz w:val="24"/>
          <w:szCs w:val="24"/>
        </w:rPr>
      </w:pPr>
      <w:r>
        <w:rPr>
          <w:rFonts w:ascii="宋体" w:hAnsi="宋体" w:eastAsia="宋体" w:cs="宋体"/>
          <w:spacing w:val="-2"/>
          <w:sz w:val="24"/>
          <w:szCs w:val="24"/>
        </w:rPr>
        <w:t>值见表</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2.1-10</w:t>
      </w:r>
      <w:r>
        <w:rPr>
          <w:rFonts w:ascii="宋体" w:hAnsi="宋体" w:eastAsia="宋体" w:cs="宋体"/>
          <w:spacing w:val="-2"/>
          <w:sz w:val="24"/>
          <w:szCs w:val="24"/>
        </w:rPr>
        <w:t>。</w:t>
      </w:r>
    </w:p>
    <w:p w14:paraId="7D1F9796">
      <w:pPr>
        <w:spacing w:before="207" w:line="228" w:lineRule="auto"/>
        <w:ind w:left="2744"/>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6"/>
          <w:sz w:val="20"/>
          <w:szCs w:val="20"/>
        </w:rPr>
        <w:t xml:space="preserve"> </w:t>
      </w:r>
      <w:r>
        <w:rPr>
          <w:rFonts w:ascii="Times New Roman" w:hAnsi="Times New Roman" w:eastAsia="Times New Roman" w:cs="Times New Roman"/>
          <w:b/>
          <w:bCs/>
          <w:spacing w:val="5"/>
          <w:sz w:val="20"/>
          <w:szCs w:val="20"/>
        </w:rPr>
        <w:t xml:space="preserve">2.1-10        </w:t>
      </w:r>
      <w:r>
        <w:rPr>
          <w:rFonts w:ascii="宋体" w:hAnsi="宋体" w:eastAsia="宋体" w:cs="宋体"/>
          <w:b/>
          <w:bCs/>
          <w:spacing w:val="5"/>
          <w:sz w:val="20"/>
          <w:szCs w:val="20"/>
        </w:rPr>
        <w:t>锰硅合金牌号及化学成分表</w:t>
      </w:r>
    </w:p>
    <w:p w14:paraId="75147D63">
      <w:pPr>
        <w:spacing w:line="98" w:lineRule="exact"/>
      </w:pPr>
    </w:p>
    <w:tbl>
      <w:tblPr>
        <w:tblStyle w:val="5"/>
        <w:tblW w:w="922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21"/>
        <w:gridCol w:w="1608"/>
        <w:gridCol w:w="1635"/>
        <w:gridCol w:w="679"/>
        <w:gridCol w:w="834"/>
        <w:gridCol w:w="836"/>
        <w:gridCol w:w="1017"/>
        <w:gridCol w:w="1099"/>
      </w:tblGrid>
      <w:tr w14:paraId="434F40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521" w:type="dxa"/>
            <w:vMerge w:val="restart"/>
            <w:tcBorders>
              <w:top w:val="single" w:color="000000" w:sz="10" w:space="0"/>
              <w:left w:val="nil"/>
              <w:bottom w:val="nil"/>
            </w:tcBorders>
            <w:vAlign w:val="top"/>
          </w:tcPr>
          <w:p w14:paraId="5EFFBCA6">
            <w:pPr>
              <w:spacing w:line="247" w:lineRule="auto"/>
              <w:rPr>
                <w:rFonts w:ascii="Arial"/>
                <w:sz w:val="21"/>
              </w:rPr>
            </w:pPr>
          </w:p>
          <w:p w14:paraId="01C348A5">
            <w:pPr>
              <w:spacing w:line="248" w:lineRule="auto"/>
              <w:rPr>
                <w:rFonts w:ascii="Arial"/>
                <w:sz w:val="21"/>
              </w:rPr>
            </w:pPr>
          </w:p>
          <w:p w14:paraId="3E4C44AA">
            <w:pPr>
              <w:pStyle w:val="6"/>
              <w:spacing w:before="65" w:line="228" w:lineRule="auto"/>
              <w:ind w:left="558"/>
              <w:rPr>
                <w:sz w:val="20"/>
                <w:szCs w:val="20"/>
              </w:rPr>
            </w:pPr>
            <w:r>
              <w:rPr>
                <w:spacing w:val="4"/>
                <w:sz w:val="20"/>
                <w:szCs w:val="20"/>
              </w:rPr>
              <w:t>牌号</w:t>
            </w:r>
          </w:p>
        </w:tc>
        <w:tc>
          <w:tcPr>
            <w:tcW w:w="7708" w:type="dxa"/>
            <w:gridSpan w:val="7"/>
            <w:tcBorders>
              <w:top w:val="single" w:color="000000" w:sz="10" w:space="0"/>
              <w:right w:val="nil"/>
            </w:tcBorders>
            <w:vAlign w:val="top"/>
          </w:tcPr>
          <w:p w14:paraId="4B28C66D">
            <w:pPr>
              <w:pStyle w:val="6"/>
              <w:spacing w:before="58" w:line="228" w:lineRule="auto"/>
              <w:ind w:left="3353"/>
              <w:rPr>
                <w:rFonts w:ascii="Times New Roman" w:hAnsi="Times New Roman" w:eastAsia="Times New Roman" w:cs="Times New Roman"/>
                <w:sz w:val="20"/>
                <w:szCs w:val="20"/>
              </w:rPr>
            </w:pPr>
            <w:r>
              <w:rPr>
                <w:spacing w:val="7"/>
                <w:sz w:val="20"/>
                <w:szCs w:val="20"/>
              </w:rPr>
              <w:t>化学成分</w:t>
            </w:r>
            <w:r>
              <w:rPr>
                <w:rFonts w:ascii="Times New Roman" w:hAnsi="Times New Roman" w:eastAsia="Times New Roman" w:cs="Times New Roman"/>
                <w:spacing w:val="7"/>
                <w:sz w:val="20"/>
                <w:szCs w:val="20"/>
              </w:rPr>
              <w:t>%</w:t>
            </w:r>
          </w:p>
        </w:tc>
      </w:tr>
      <w:tr w14:paraId="0EE8C8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521" w:type="dxa"/>
            <w:vMerge w:val="continue"/>
            <w:tcBorders>
              <w:top w:val="nil"/>
              <w:left w:val="nil"/>
              <w:bottom w:val="nil"/>
            </w:tcBorders>
            <w:vAlign w:val="top"/>
          </w:tcPr>
          <w:p w14:paraId="22A257D8">
            <w:pPr>
              <w:rPr>
                <w:rFonts w:ascii="Arial"/>
                <w:sz w:val="21"/>
              </w:rPr>
            </w:pPr>
          </w:p>
        </w:tc>
        <w:tc>
          <w:tcPr>
            <w:tcW w:w="1608" w:type="dxa"/>
            <w:vMerge w:val="restart"/>
            <w:tcBorders>
              <w:bottom w:val="nil"/>
            </w:tcBorders>
            <w:vAlign w:val="top"/>
          </w:tcPr>
          <w:p w14:paraId="1E76AF27">
            <w:pPr>
              <w:spacing w:line="382" w:lineRule="auto"/>
              <w:rPr>
                <w:rFonts w:ascii="Arial"/>
                <w:sz w:val="21"/>
              </w:rPr>
            </w:pPr>
          </w:p>
          <w:p w14:paraId="365C754B">
            <w:pPr>
              <w:spacing w:before="57" w:line="192" w:lineRule="auto"/>
              <w:ind w:left="6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Mn</w:t>
            </w:r>
          </w:p>
        </w:tc>
        <w:tc>
          <w:tcPr>
            <w:tcW w:w="1635" w:type="dxa"/>
            <w:vMerge w:val="restart"/>
            <w:tcBorders>
              <w:bottom w:val="nil"/>
            </w:tcBorders>
            <w:vAlign w:val="top"/>
          </w:tcPr>
          <w:p w14:paraId="086704B4">
            <w:pPr>
              <w:spacing w:line="375" w:lineRule="auto"/>
              <w:rPr>
                <w:rFonts w:ascii="Arial"/>
                <w:sz w:val="21"/>
              </w:rPr>
            </w:pPr>
          </w:p>
          <w:p w14:paraId="105DC1E3">
            <w:pPr>
              <w:spacing w:before="57" w:line="199" w:lineRule="auto"/>
              <w:ind w:left="7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Si</w:t>
            </w:r>
          </w:p>
        </w:tc>
        <w:tc>
          <w:tcPr>
            <w:tcW w:w="679" w:type="dxa"/>
            <w:vMerge w:val="restart"/>
            <w:tcBorders>
              <w:bottom w:val="nil"/>
            </w:tcBorders>
            <w:vAlign w:val="top"/>
          </w:tcPr>
          <w:p w14:paraId="6A9E2845">
            <w:pPr>
              <w:spacing w:before="268" w:line="195" w:lineRule="auto"/>
              <w:ind w:left="274"/>
              <w:rPr>
                <w:rFonts w:ascii="Times New Roman" w:hAnsi="Times New Roman" w:eastAsia="Times New Roman" w:cs="Times New Roman"/>
                <w:sz w:val="20"/>
                <w:szCs w:val="20"/>
              </w:rPr>
            </w:pPr>
            <w:r>
              <w:rPr>
                <w:rFonts w:ascii="Times New Roman" w:hAnsi="Times New Roman" w:eastAsia="Times New Roman" w:cs="Times New Roman"/>
                <w:sz w:val="20"/>
                <w:szCs w:val="20"/>
              </w:rPr>
              <w:t>C</w:t>
            </w:r>
          </w:p>
        </w:tc>
        <w:tc>
          <w:tcPr>
            <w:tcW w:w="2687" w:type="dxa"/>
            <w:gridSpan w:val="3"/>
            <w:vAlign w:val="top"/>
          </w:tcPr>
          <w:p w14:paraId="7B341204">
            <w:pPr>
              <w:spacing w:before="96" w:line="192" w:lineRule="auto"/>
              <w:ind w:left="12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P</w:t>
            </w:r>
          </w:p>
        </w:tc>
        <w:tc>
          <w:tcPr>
            <w:tcW w:w="1099" w:type="dxa"/>
            <w:vMerge w:val="restart"/>
            <w:tcBorders>
              <w:bottom w:val="nil"/>
              <w:right w:val="nil"/>
            </w:tcBorders>
            <w:vAlign w:val="top"/>
          </w:tcPr>
          <w:p w14:paraId="7B5241A3">
            <w:pPr>
              <w:spacing w:before="268" w:line="195" w:lineRule="auto"/>
              <w:ind w:left="501"/>
              <w:rPr>
                <w:rFonts w:ascii="Times New Roman" w:hAnsi="Times New Roman" w:eastAsia="Times New Roman" w:cs="Times New Roman"/>
                <w:sz w:val="20"/>
                <w:szCs w:val="20"/>
              </w:rPr>
            </w:pPr>
            <w:r>
              <w:rPr>
                <w:rFonts w:ascii="Times New Roman" w:hAnsi="Times New Roman" w:eastAsia="Times New Roman" w:cs="Times New Roman"/>
                <w:sz w:val="20"/>
                <w:szCs w:val="20"/>
              </w:rPr>
              <w:t>S</w:t>
            </w:r>
          </w:p>
        </w:tc>
      </w:tr>
      <w:tr w14:paraId="56D6CA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521" w:type="dxa"/>
            <w:vMerge w:val="continue"/>
            <w:tcBorders>
              <w:top w:val="nil"/>
              <w:left w:val="nil"/>
              <w:bottom w:val="nil"/>
            </w:tcBorders>
            <w:vAlign w:val="top"/>
          </w:tcPr>
          <w:p w14:paraId="4DFCDC64">
            <w:pPr>
              <w:rPr>
                <w:rFonts w:ascii="Arial"/>
                <w:sz w:val="21"/>
              </w:rPr>
            </w:pPr>
          </w:p>
        </w:tc>
        <w:tc>
          <w:tcPr>
            <w:tcW w:w="1608" w:type="dxa"/>
            <w:vMerge w:val="continue"/>
            <w:tcBorders>
              <w:top w:val="nil"/>
              <w:bottom w:val="nil"/>
            </w:tcBorders>
            <w:vAlign w:val="top"/>
          </w:tcPr>
          <w:p w14:paraId="43BE722F">
            <w:pPr>
              <w:rPr>
                <w:rFonts w:ascii="Arial"/>
                <w:sz w:val="21"/>
              </w:rPr>
            </w:pPr>
          </w:p>
        </w:tc>
        <w:tc>
          <w:tcPr>
            <w:tcW w:w="1635" w:type="dxa"/>
            <w:vMerge w:val="continue"/>
            <w:tcBorders>
              <w:top w:val="nil"/>
              <w:bottom w:val="nil"/>
            </w:tcBorders>
            <w:vAlign w:val="top"/>
          </w:tcPr>
          <w:p w14:paraId="22F47172">
            <w:pPr>
              <w:rPr>
                <w:rFonts w:ascii="Arial"/>
                <w:sz w:val="21"/>
              </w:rPr>
            </w:pPr>
          </w:p>
        </w:tc>
        <w:tc>
          <w:tcPr>
            <w:tcW w:w="679" w:type="dxa"/>
            <w:vMerge w:val="continue"/>
            <w:tcBorders>
              <w:top w:val="nil"/>
            </w:tcBorders>
            <w:vAlign w:val="top"/>
          </w:tcPr>
          <w:p w14:paraId="7E31E231">
            <w:pPr>
              <w:rPr>
                <w:rFonts w:ascii="Arial"/>
                <w:sz w:val="21"/>
              </w:rPr>
            </w:pPr>
          </w:p>
        </w:tc>
        <w:tc>
          <w:tcPr>
            <w:tcW w:w="834" w:type="dxa"/>
            <w:vAlign w:val="top"/>
          </w:tcPr>
          <w:p w14:paraId="0AF70BE4">
            <w:pPr>
              <w:spacing w:before="103" w:line="192" w:lineRule="auto"/>
              <w:ind w:left="384"/>
              <w:rPr>
                <w:rFonts w:ascii="Times New Roman" w:hAnsi="Times New Roman" w:eastAsia="Times New Roman" w:cs="Times New Roman"/>
                <w:sz w:val="20"/>
                <w:szCs w:val="20"/>
              </w:rPr>
            </w:pPr>
            <w:r>
              <w:rPr>
                <w:rFonts w:ascii="Times New Roman" w:hAnsi="Times New Roman" w:eastAsia="Times New Roman" w:cs="Times New Roman"/>
                <w:sz w:val="20"/>
                <w:szCs w:val="20"/>
              </w:rPr>
              <w:t>I</w:t>
            </w:r>
          </w:p>
        </w:tc>
        <w:tc>
          <w:tcPr>
            <w:tcW w:w="836" w:type="dxa"/>
            <w:vAlign w:val="top"/>
          </w:tcPr>
          <w:p w14:paraId="3807C34E">
            <w:pPr>
              <w:spacing w:before="103" w:line="192" w:lineRule="auto"/>
              <w:ind w:left="350"/>
              <w:rPr>
                <w:rFonts w:ascii="Times New Roman" w:hAnsi="Times New Roman" w:eastAsia="Times New Roman" w:cs="Times New Roman"/>
                <w:sz w:val="20"/>
                <w:szCs w:val="20"/>
              </w:rPr>
            </w:pPr>
            <w:r>
              <w:rPr>
                <w:rFonts w:ascii="Times New Roman" w:hAnsi="Times New Roman" w:eastAsia="Times New Roman" w:cs="Times New Roman"/>
                <w:sz w:val="20"/>
                <w:szCs w:val="20"/>
              </w:rPr>
              <w:t>II</w:t>
            </w:r>
          </w:p>
        </w:tc>
        <w:tc>
          <w:tcPr>
            <w:tcW w:w="1017" w:type="dxa"/>
            <w:vAlign w:val="top"/>
          </w:tcPr>
          <w:p w14:paraId="6D9E9405">
            <w:pPr>
              <w:spacing w:before="103" w:line="192"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III</w:t>
            </w:r>
          </w:p>
        </w:tc>
        <w:tc>
          <w:tcPr>
            <w:tcW w:w="1099" w:type="dxa"/>
            <w:vMerge w:val="continue"/>
            <w:tcBorders>
              <w:top w:val="nil"/>
              <w:right w:val="nil"/>
            </w:tcBorders>
            <w:vAlign w:val="top"/>
          </w:tcPr>
          <w:p w14:paraId="622BA696">
            <w:pPr>
              <w:rPr>
                <w:rFonts w:ascii="Arial"/>
                <w:sz w:val="21"/>
              </w:rPr>
            </w:pPr>
          </w:p>
        </w:tc>
      </w:tr>
      <w:tr w14:paraId="5CBC1E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521" w:type="dxa"/>
            <w:vMerge w:val="continue"/>
            <w:tcBorders>
              <w:top w:val="nil"/>
              <w:left w:val="nil"/>
            </w:tcBorders>
            <w:vAlign w:val="top"/>
          </w:tcPr>
          <w:p w14:paraId="5548A937">
            <w:pPr>
              <w:rPr>
                <w:rFonts w:ascii="Arial"/>
                <w:sz w:val="21"/>
              </w:rPr>
            </w:pPr>
          </w:p>
        </w:tc>
        <w:tc>
          <w:tcPr>
            <w:tcW w:w="1608" w:type="dxa"/>
            <w:vMerge w:val="continue"/>
            <w:tcBorders>
              <w:top w:val="nil"/>
            </w:tcBorders>
            <w:vAlign w:val="top"/>
          </w:tcPr>
          <w:p w14:paraId="19DF1D48">
            <w:pPr>
              <w:rPr>
                <w:rFonts w:ascii="Arial"/>
                <w:sz w:val="21"/>
              </w:rPr>
            </w:pPr>
          </w:p>
        </w:tc>
        <w:tc>
          <w:tcPr>
            <w:tcW w:w="1635" w:type="dxa"/>
            <w:vMerge w:val="continue"/>
            <w:tcBorders>
              <w:top w:val="nil"/>
            </w:tcBorders>
            <w:vAlign w:val="top"/>
          </w:tcPr>
          <w:p w14:paraId="621697DF">
            <w:pPr>
              <w:rPr>
                <w:rFonts w:ascii="Arial"/>
                <w:sz w:val="21"/>
              </w:rPr>
            </w:pPr>
          </w:p>
        </w:tc>
        <w:tc>
          <w:tcPr>
            <w:tcW w:w="4465" w:type="dxa"/>
            <w:gridSpan w:val="5"/>
            <w:tcBorders>
              <w:right w:val="nil"/>
            </w:tcBorders>
            <w:vAlign w:val="top"/>
          </w:tcPr>
          <w:p w14:paraId="735A717F">
            <w:pPr>
              <w:spacing w:before="111" w:line="180" w:lineRule="auto"/>
              <w:ind w:left="21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30B874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521" w:type="dxa"/>
            <w:tcBorders>
              <w:left w:val="nil"/>
            </w:tcBorders>
            <w:vAlign w:val="top"/>
          </w:tcPr>
          <w:p w14:paraId="1999D3AD">
            <w:pPr>
              <w:spacing w:before="95" w:line="199"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FeMn</w:t>
            </w:r>
            <w:r>
              <w:rPr>
                <w:rFonts w:ascii="Times New Roman" w:hAnsi="Times New Roman" w:eastAsia="Times New Roman" w:cs="Times New Roman"/>
                <w:spacing w:val="11"/>
                <w:sz w:val="20"/>
                <w:szCs w:val="20"/>
              </w:rPr>
              <w:t>64</w:t>
            </w:r>
            <w:r>
              <w:rPr>
                <w:rFonts w:ascii="Times New Roman" w:hAnsi="Times New Roman" w:eastAsia="Times New Roman" w:cs="Times New Roman"/>
                <w:sz w:val="20"/>
                <w:szCs w:val="20"/>
              </w:rPr>
              <w:t>Si</w:t>
            </w:r>
            <w:r>
              <w:rPr>
                <w:rFonts w:ascii="Times New Roman" w:hAnsi="Times New Roman" w:eastAsia="Times New Roman" w:cs="Times New Roman"/>
                <w:spacing w:val="11"/>
                <w:sz w:val="20"/>
                <w:szCs w:val="20"/>
              </w:rPr>
              <w:t>27</w:t>
            </w:r>
          </w:p>
        </w:tc>
        <w:tc>
          <w:tcPr>
            <w:tcW w:w="1608" w:type="dxa"/>
            <w:vAlign w:val="top"/>
          </w:tcPr>
          <w:p w14:paraId="390D7EE8">
            <w:pPr>
              <w:pStyle w:val="6"/>
              <w:spacing w:before="62"/>
              <w:ind w:left="3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60.0</w:t>
            </w:r>
            <w:r>
              <w:rPr>
                <w:spacing w:val="4"/>
                <w:sz w:val="20"/>
                <w:szCs w:val="20"/>
              </w:rPr>
              <w:t>～</w:t>
            </w:r>
            <w:r>
              <w:rPr>
                <w:rFonts w:ascii="Times New Roman" w:hAnsi="Times New Roman" w:eastAsia="Times New Roman" w:cs="Times New Roman"/>
                <w:spacing w:val="4"/>
                <w:sz w:val="20"/>
                <w:szCs w:val="20"/>
              </w:rPr>
              <w:t>67.0</w:t>
            </w:r>
          </w:p>
        </w:tc>
        <w:tc>
          <w:tcPr>
            <w:tcW w:w="1635" w:type="dxa"/>
            <w:vAlign w:val="top"/>
          </w:tcPr>
          <w:p w14:paraId="5F007741">
            <w:pPr>
              <w:pStyle w:val="6"/>
              <w:spacing w:before="62"/>
              <w:ind w:left="3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25.0</w:t>
            </w:r>
            <w:r>
              <w:rPr>
                <w:spacing w:val="4"/>
                <w:sz w:val="20"/>
                <w:szCs w:val="20"/>
              </w:rPr>
              <w:t>～</w:t>
            </w:r>
            <w:r>
              <w:rPr>
                <w:rFonts w:ascii="Times New Roman" w:hAnsi="Times New Roman" w:eastAsia="Times New Roman" w:cs="Times New Roman"/>
                <w:spacing w:val="4"/>
                <w:sz w:val="20"/>
                <w:szCs w:val="20"/>
              </w:rPr>
              <w:t>28.0</w:t>
            </w:r>
          </w:p>
        </w:tc>
        <w:tc>
          <w:tcPr>
            <w:tcW w:w="679" w:type="dxa"/>
            <w:vAlign w:val="top"/>
          </w:tcPr>
          <w:p w14:paraId="6F990526">
            <w:pPr>
              <w:spacing w:before="99" w:line="195" w:lineRule="auto"/>
              <w:ind w:left="21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834" w:type="dxa"/>
            <w:vAlign w:val="top"/>
          </w:tcPr>
          <w:p w14:paraId="65CC375C">
            <w:pPr>
              <w:spacing w:before="99"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836" w:type="dxa"/>
            <w:vAlign w:val="top"/>
          </w:tcPr>
          <w:p w14:paraId="654E3EDB">
            <w:pPr>
              <w:spacing w:before="99"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1017" w:type="dxa"/>
            <w:vAlign w:val="top"/>
          </w:tcPr>
          <w:p w14:paraId="46AA922B">
            <w:pPr>
              <w:spacing w:before="99"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w:t>
            </w:r>
          </w:p>
        </w:tc>
        <w:tc>
          <w:tcPr>
            <w:tcW w:w="1099" w:type="dxa"/>
            <w:tcBorders>
              <w:right w:val="nil"/>
            </w:tcBorders>
            <w:vAlign w:val="top"/>
          </w:tcPr>
          <w:p w14:paraId="4A856B5E">
            <w:pPr>
              <w:spacing w:before="99" w:line="195" w:lineRule="auto"/>
              <w:ind w:left="3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r>
      <w:tr w14:paraId="185F5A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521" w:type="dxa"/>
            <w:tcBorders>
              <w:left w:val="nil"/>
            </w:tcBorders>
            <w:vAlign w:val="top"/>
          </w:tcPr>
          <w:p w14:paraId="6B6F6E28">
            <w:pPr>
              <w:spacing w:before="95" w:line="199"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FeMn</w:t>
            </w:r>
            <w:r>
              <w:rPr>
                <w:rFonts w:ascii="Times New Roman" w:hAnsi="Times New Roman" w:eastAsia="Times New Roman" w:cs="Times New Roman"/>
                <w:spacing w:val="11"/>
                <w:sz w:val="20"/>
                <w:szCs w:val="20"/>
              </w:rPr>
              <w:t>67</w:t>
            </w:r>
            <w:r>
              <w:rPr>
                <w:rFonts w:ascii="Times New Roman" w:hAnsi="Times New Roman" w:eastAsia="Times New Roman" w:cs="Times New Roman"/>
                <w:sz w:val="20"/>
                <w:szCs w:val="20"/>
              </w:rPr>
              <w:t>Si</w:t>
            </w:r>
            <w:r>
              <w:rPr>
                <w:rFonts w:ascii="Times New Roman" w:hAnsi="Times New Roman" w:eastAsia="Times New Roman" w:cs="Times New Roman"/>
                <w:spacing w:val="11"/>
                <w:sz w:val="20"/>
                <w:szCs w:val="20"/>
              </w:rPr>
              <w:t>23</w:t>
            </w:r>
          </w:p>
        </w:tc>
        <w:tc>
          <w:tcPr>
            <w:tcW w:w="1608" w:type="dxa"/>
            <w:vAlign w:val="top"/>
          </w:tcPr>
          <w:p w14:paraId="11699D9A">
            <w:pPr>
              <w:pStyle w:val="6"/>
              <w:spacing w:before="64" w:line="239"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63.0</w:t>
            </w:r>
            <w:r>
              <w:rPr>
                <w:spacing w:val="4"/>
                <w:sz w:val="20"/>
                <w:szCs w:val="20"/>
              </w:rPr>
              <w:t>～</w:t>
            </w:r>
            <w:r>
              <w:rPr>
                <w:rFonts w:ascii="Times New Roman" w:hAnsi="Times New Roman" w:eastAsia="Times New Roman" w:cs="Times New Roman"/>
                <w:spacing w:val="4"/>
                <w:sz w:val="20"/>
                <w:szCs w:val="20"/>
              </w:rPr>
              <w:t>70.0</w:t>
            </w:r>
          </w:p>
        </w:tc>
        <w:tc>
          <w:tcPr>
            <w:tcW w:w="1635" w:type="dxa"/>
            <w:vAlign w:val="top"/>
          </w:tcPr>
          <w:p w14:paraId="4A6055A7">
            <w:pPr>
              <w:pStyle w:val="6"/>
              <w:spacing w:before="64" w:line="239" w:lineRule="auto"/>
              <w:ind w:left="3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w:t>
            </w:r>
            <w:r>
              <w:rPr>
                <w:spacing w:val="4"/>
                <w:sz w:val="20"/>
                <w:szCs w:val="20"/>
              </w:rPr>
              <w:t>～</w:t>
            </w:r>
            <w:r>
              <w:rPr>
                <w:rFonts w:ascii="Times New Roman" w:hAnsi="Times New Roman" w:eastAsia="Times New Roman" w:cs="Times New Roman"/>
                <w:spacing w:val="4"/>
                <w:sz w:val="20"/>
                <w:szCs w:val="20"/>
              </w:rPr>
              <w:t>25.0</w:t>
            </w:r>
          </w:p>
        </w:tc>
        <w:tc>
          <w:tcPr>
            <w:tcW w:w="679" w:type="dxa"/>
            <w:vAlign w:val="top"/>
          </w:tcPr>
          <w:p w14:paraId="70229562">
            <w:pPr>
              <w:spacing w:before="99" w:line="195" w:lineRule="auto"/>
              <w:ind w:left="21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0.7</w:t>
            </w:r>
          </w:p>
        </w:tc>
        <w:tc>
          <w:tcPr>
            <w:tcW w:w="834" w:type="dxa"/>
            <w:vAlign w:val="top"/>
          </w:tcPr>
          <w:p w14:paraId="1FED92D6">
            <w:pPr>
              <w:spacing w:before="99"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836" w:type="dxa"/>
            <w:vAlign w:val="top"/>
          </w:tcPr>
          <w:p w14:paraId="4C5075D6">
            <w:pPr>
              <w:spacing w:before="99"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1017" w:type="dxa"/>
            <w:vAlign w:val="top"/>
          </w:tcPr>
          <w:p w14:paraId="6ACEF5E6">
            <w:pPr>
              <w:spacing w:before="99"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w:t>
            </w:r>
          </w:p>
        </w:tc>
        <w:tc>
          <w:tcPr>
            <w:tcW w:w="1099" w:type="dxa"/>
            <w:tcBorders>
              <w:right w:val="nil"/>
            </w:tcBorders>
            <w:vAlign w:val="top"/>
          </w:tcPr>
          <w:p w14:paraId="144F10CF">
            <w:pPr>
              <w:spacing w:before="99" w:line="195" w:lineRule="auto"/>
              <w:ind w:left="3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r>
      <w:tr w14:paraId="085F00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521" w:type="dxa"/>
            <w:tcBorders>
              <w:left w:val="nil"/>
            </w:tcBorders>
            <w:vAlign w:val="top"/>
          </w:tcPr>
          <w:p w14:paraId="4C2C6A5B">
            <w:pPr>
              <w:spacing w:before="98" w:line="199"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FeMn</w:t>
            </w:r>
            <w:r>
              <w:rPr>
                <w:rFonts w:ascii="Times New Roman" w:hAnsi="Times New Roman" w:eastAsia="Times New Roman" w:cs="Times New Roman"/>
                <w:spacing w:val="11"/>
                <w:sz w:val="20"/>
                <w:szCs w:val="20"/>
              </w:rPr>
              <w:t>68</w:t>
            </w:r>
            <w:r>
              <w:rPr>
                <w:rFonts w:ascii="Times New Roman" w:hAnsi="Times New Roman" w:eastAsia="Times New Roman" w:cs="Times New Roman"/>
                <w:sz w:val="20"/>
                <w:szCs w:val="20"/>
              </w:rPr>
              <w:t>Si</w:t>
            </w:r>
            <w:r>
              <w:rPr>
                <w:rFonts w:ascii="Times New Roman" w:hAnsi="Times New Roman" w:eastAsia="Times New Roman" w:cs="Times New Roman"/>
                <w:spacing w:val="11"/>
                <w:sz w:val="20"/>
                <w:szCs w:val="20"/>
              </w:rPr>
              <w:t>22</w:t>
            </w:r>
          </w:p>
        </w:tc>
        <w:tc>
          <w:tcPr>
            <w:tcW w:w="1608" w:type="dxa"/>
            <w:vAlign w:val="top"/>
          </w:tcPr>
          <w:p w14:paraId="19688921">
            <w:pPr>
              <w:pStyle w:val="6"/>
              <w:spacing w:before="66" w:line="237"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65.0</w:t>
            </w:r>
            <w:r>
              <w:rPr>
                <w:spacing w:val="4"/>
                <w:sz w:val="20"/>
                <w:szCs w:val="20"/>
              </w:rPr>
              <w:t>～</w:t>
            </w:r>
            <w:r>
              <w:rPr>
                <w:rFonts w:ascii="Times New Roman" w:hAnsi="Times New Roman" w:eastAsia="Times New Roman" w:cs="Times New Roman"/>
                <w:spacing w:val="4"/>
                <w:sz w:val="20"/>
                <w:szCs w:val="20"/>
              </w:rPr>
              <w:t>72.0</w:t>
            </w:r>
          </w:p>
        </w:tc>
        <w:tc>
          <w:tcPr>
            <w:tcW w:w="1635" w:type="dxa"/>
            <w:vAlign w:val="top"/>
          </w:tcPr>
          <w:p w14:paraId="4C081ADA">
            <w:pPr>
              <w:pStyle w:val="6"/>
              <w:spacing w:before="66" w:line="237" w:lineRule="auto"/>
              <w:ind w:left="3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20.0</w:t>
            </w:r>
            <w:r>
              <w:rPr>
                <w:spacing w:val="4"/>
                <w:sz w:val="20"/>
                <w:szCs w:val="20"/>
              </w:rPr>
              <w:t>～</w:t>
            </w:r>
            <w:r>
              <w:rPr>
                <w:rFonts w:ascii="Times New Roman" w:hAnsi="Times New Roman" w:eastAsia="Times New Roman" w:cs="Times New Roman"/>
                <w:spacing w:val="4"/>
                <w:sz w:val="20"/>
                <w:szCs w:val="20"/>
              </w:rPr>
              <w:t>23.0</w:t>
            </w:r>
          </w:p>
        </w:tc>
        <w:tc>
          <w:tcPr>
            <w:tcW w:w="679" w:type="dxa"/>
            <w:vAlign w:val="top"/>
          </w:tcPr>
          <w:p w14:paraId="4DD0885B">
            <w:pPr>
              <w:spacing w:before="102" w:line="195"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c>
          <w:tcPr>
            <w:tcW w:w="834" w:type="dxa"/>
            <w:vAlign w:val="top"/>
          </w:tcPr>
          <w:p w14:paraId="6F294A38">
            <w:pPr>
              <w:spacing w:before="102"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836" w:type="dxa"/>
            <w:vAlign w:val="top"/>
          </w:tcPr>
          <w:p w14:paraId="00012085">
            <w:pPr>
              <w:spacing w:before="102"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1017" w:type="dxa"/>
            <w:vAlign w:val="top"/>
          </w:tcPr>
          <w:p w14:paraId="4B3D8D05">
            <w:pPr>
              <w:spacing w:before="102"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w:t>
            </w:r>
          </w:p>
        </w:tc>
        <w:tc>
          <w:tcPr>
            <w:tcW w:w="1099" w:type="dxa"/>
            <w:tcBorders>
              <w:right w:val="nil"/>
            </w:tcBorders>
            <w:vAlign w:val="top"/>
          </w:tcPr>
          <w:p w14:paraId="631F862C">
            <w:pPr>
              <w:spacing w:before="102" w:line="195" w:lineRule="auto"/>
              <w:ind w:left="3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r>
      <w:tr w14:paraId="09C4BF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521" w:type="dxa"/>
            <w:tcBorders>
              <w:left w:val="nil"/>
            </w:tcBorders>
            <w:vAlign w:val="top"/>
          </w:tcPr>
          <w:p w14:paraId="0F767E46">
            <w:pPr>
              <w:spacing w:before="101" w:line="199"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FeMn</w:t>
            </w:r>
            <w:r>
              <w:rPr>
                <w:rFonts w:ascii="Times New Roman" w:hAnsi="Times New Roman" w:eastAsia="Times New Roman" w:cs="Times New Roman"/>
                <w:spacing w:val="11"/>
                <w:sz w:val="20"/>
                <w:szCs w:val="20"/>
              </w:rPr>
              <w:t>64</w:t>
            </w:r>
            <w:r>
              <w:rPr>
                <w:rFonts w:ascii="Times New Roman" w:hAnsi="Times New Roman" w:eastAsia="Times New Roman" w:cs="Times New Roman"/>
                <w:sz w:val="20"/>
                <w:szCs w:val="20"/>
              </w:rPr>
              <w:t>Si</w:t>
            </w:r>
            <w:r>
              <w:rPr>
                <w:rFonts w:ascii="Times New Roman" w:hAnsi="Times New Roman" w:eastAsia="Times New Roman" w:cs="Times New Roman"/>
                <w:spacing w:val="11"/>
                <w:sz w:val="20"/>
                <w:szCs w:val="20"/>
              </w:rPr>
              <w:t>23</w:t>
            </w:r>
          </w:p>
        </w:tc>
        <w:tc>
          <w:tcPr>
            <w:tcW w:w="1608" w:type="dxa"/>
            <w:vAlign w:val="top"/>
          </w:tcPr>
          <w:p w14:paraId="42905C5C">
            <w:pPr>
              <w:pStyle w:val="6"/>
              <w:spacing w:before="69" w:line="234"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60.0</w:t>
            </w:r>
            <w:r>
              <w:rPr>
                <w:spacing w:val="4"/>
                <w:sz w:val="20"/>
                <w:szCs w:val="20"/>
              </w:rPr>
              <w:t>～</w:t>
            </w:r>
            <w:r>
              <w:rPr>
                <w:rFonts w:ascii="Times New Roman" w:hAnsi="Times New Roman" w:eastAsia="Times New Roman" w:cs="Times New Roman"/>
                <w:spacing w:val="4"/>
                <w:sz w:val="20"/>
                <w:szCs w:val="20"/>
              </w:rPr>
              <w:t>67.0</w:t>
            </w:r>
          </w:p>
        </w:tc>
        <w:tc>
          <w:tcPr>
            <w:tcW w:w="1635" w:type="dxa"/>
            <w:vAlign w:val="top"/>
          </w:tcPr>
          <w:p w14:paraId="3537ECD1">
            <w:pPr>
              <w:pStyle w:val="6"/>
              <w:spacing w:before="69" w:line="234" w:lineRule="auto"/>
              <w:ind w:left="3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20.0</w:t>
            </w:r>
            <w:r>
              <w:rPr>
                <w:spacing w:val="4"/>
                <w:sz w:val="20"/>
                <w:szCs w:val="20"/>
              </w:rPr>
              <w:t>～</w:t>
            </w:r>
            <w:r>
              <w:rPr>
                <w:rFonts w:ascii="Times New Roman" w:hAnsi="Times New Roman" w:eastAsia="Times New Roman" w:cs="Times New Roman"/>
                <w:spacing w:val="4"/>
                <w:sz w:val="20"/>
                <w:szCs w:val="20"/>
              </w:rPr>
              <w:t>25.0</w:t>
            </w:r>
          </w:p>
        </w:tc>
        <w:tc>
          <w:tcPr>
            <w:tcW w:w="679" w:type="dxa"/>
            <w:vAlign w:val="top"/>
          </w:tcPr>
          <w:p w14:paraId="5C33C618">
            <w:pPr>
              <w:spacing w:before="105" w:line="195"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c>
          <w:tcPr>
            <w:tcW w:w="834" w:type="dxa"/>
            <w:vAlign w:val="top"/>
          </w:tcPr>
          <w:p w14:paraId="00DA6593">
            <w:pPr>
              <w:spacing w:before="105"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836" w:type="dxa"/>
            <w:vAlign w:val="top"/>
          </w:tcPr>
          <w:p w14:paraId="588F38E5">
            <w:pPr>
              <w:spacing w:before="105"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1017" w:type="dxa"/>
            <w:vAlign w:val="top"/>
          </w:tcPr>
          <w:p w14:paraId="392A41E2">
            <w:pPr>
              <w:spacing w:before="105"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w:t>
            </w:r>
          </w:p>
        </w:tc>
        <w:tc>
          <w:tcPr>
            <w:tcW w:w="1099" w:type="dxa"/>
            <w:tcBorders>
              <w:right w:val="nil"/>
            </w:tcBorders>
            <w:vAlign w:val="top"/>
          </w:tcPr>
          <w:p w14:paraId="5ED18621">
            <w:pPr>
              <w:spacing w:before="105" w:line="195" w:lineRule="auto"/>
              <w:ind w:left="3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r>
      <w:tr w14:paraId="670EF7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521" w:type="dxa"/>
            <w:tcBorders>
              <w:left w:val="nil"/>
            </w:tcBorders>
            <w:vAlign w:val="top"/>
          </w:tcPr>
          <w:p w14:paraId="788182E1">
            <w:pPr>
              <w:spacing w:before="101" w:line="199"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FeMn</w:t>
            </w:r>
            <w:r>
              <w:rPr>
                <w:rFonts w:ascii="Times New Roman" w:hAnsi="Times New Roman" w:eastAsia="Times New Roman" w:cs="Times New Roman"/>
                <w:spacing w:val="11"/>
                <w:sz w:val="20"/>
                <w:szCs w:val="20"/>
              </w:rPr>
              <w:t>68</w:t>
            </w:r>
            <w:r>
              <w:rPr>
                <w:rFonts w:ascii="Times New Roman" w:hAnsi="Times New Roman" w:eastAsia="Times New Roman" w:cs="Times New Roman"/>
                <w:sz w:val="20"/>
                <w:szCs w:val="20"/>
              </w:rPr>
              <w:t>Si</w:t>
            </w:r>
            <w:r>
              <w:rPr>
                <w:rFonts w:ascii="Times New Roman" w:hAnsi="Times New Roman" w:eastAsia="Times New Roman" w:cs="Times New Roman"/>
                <w:spacing w:val="11"/>
                <w:sz w:val="20"/>
                <w:szCs w:val="20"/>
              </w:rPr>
              <w:t>18</w:t>
            </w:r>
          </w:p>
        </w:tc>
        <w:tc>
          <w:tcPr>
            <w:tcW w:w="1608" w:type="dxa"/>
            <w:vAlign w:val="top"/>
          </w:tcPr>
          <w:p w14:paraId="51C72E3E">
            <w:pPr>
              <w:pStyle w:val="6"/>
              <w:spacing w:before="69" w:line="234"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65.0</w:t>
            </w:r>
            <w:r>
              <w:rPr>
                <w:spacing w:val="4"/>
                <w:sz w:val="20"/>
                <w:szCs w:val="20"/>
              </w:rPr>
              <w:t>～</w:t>
            </w:r>
            <w:r>
              <w:rPr>
                <w:rFonts w:ascii="Times New Roman" w:hAnsi="Times New Roman" w:eastAsia="Times New Roman" w:cs="Times New Roman"/>
                <w:spacing w:val="4"/>
                <w:sz w:val="20"/>
                <w:szCs w:val="20"/>
              </w:rPr>
              <w:t>72.0</w:t>
            </w:r>
          </w:p>
        </w:tc>
        <w:tc>
          <w:tcPr>
            <w:tcW w:w="1635" w:type="dxa"/>
            <w:vAlign w:val="top"/>
          </w:tcPr>
          <w:p w14:paraId="755CC314">
            <w:pPr>
              <w:pStyle w:val="6"/>
              <w:spacing w:before="69" w:line="234" w:lineRule="auto"/>
              <w:ind w:left="36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17.0</w:t>
            </w:r>
            <w:r>
              <w:rPr>
                <w:spacing w:val="2"/>
                <w:sz w:val="20"/>
                <w:szCs w:val="20"/>
              </w:rPr>
              <w:t>～</w:t>
            </w:r>
            <w:r>
              <w:rPr>
                <w:rFonts w:ascii="Times New Roman" w:hAnsi="Times New Roman" w:eastAsia="Times New Roman" w:cs="Times New Roman"/>
                <w:spacing w:val="2"/>
                <w:sz w:val="20"/>
                <w:szCs w:val="20"/>
              </w:rPr>
              <w:t>20.0</w:t>
            </w:r>
          </w:p>
        </w:tc>
        <w:tc>
          <w:tcPr>
            <w:tcW w:w="679" w:type="dxa"/>
            <w:vAlign w:val="top"/>
          </w:tcPr>
          <w:p w14:paraId="6733AB03">
            <w:pPr>
              <w:spacing w:before="105" w:line="195"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1.8</w:t>
            </w:r>
          </w:p>
        </w:tc>
        <w:tc>
          <w:tcPr>
            <w:tcW w:w="834" w:type="dxa"/>
            <w:vAlign w:val="top"/>
          </w:tcPr>
          <w:p w14:paraId="161DBF03">
            <w:pPr>
              <w:spacing w:before="105"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836" w:type="dxa"/>
            <w:vAlign w:val="top"/>
          </w:tcPr>
          <w:p w14:paraId="4B3D12AA">
            <w:pPr>
              <w:spacing w:before="105"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1017" w:type="dxa"/>
            <w:vAlign w:val="top"/>
          </w:tcPr>
          <w:p w14:paraId="7EC45F8F">
            <w:pPr>
              <w:spacing w:before="105"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w:t>
            </w:r>
          </w:p>
        </w:tc>
        <w:tc>
          <w:tcPr>
            <w:tcW w:w="1099" w:type="dxa"/>
            <w:tcBorders>
              <w:right w:val="nil"/>
            </w:tcBorders>
            <w:vAlign w:val="top"/>
          </w:tcPr>
          <w:p w14:paraId="4FAE3AD0">
            <w:pPr>
              <w:spacing w:before="105" w:line="195" w:lineRule="auto"/>
              <w:ind w:left="3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r>
      <w:tr w14:paraId="585702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521" w:type="dxa"/>
            <w:tcBorders>
              <w:left w:val="nil"/>
            </w:tcBorders>
            <w:vAlign w:val="top"/>
          </w:tcPr>
          <w:p w14:paraId="1CFA49EA">
            <w:pPr>
              <w:spacing w:before="104" w:line="199"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FeMn</w:t>
            </w:r>
            <w:r>
              <w:rPr>
                <w:rFonts w:ascii="Times New Roman" w:hAnsi="Times New Roman" w:eastAsia="Times New Roman" w:cs="Times New Roman"/>
                <w:spacing w:val="11"/>
                <w:sz w:val="20"/>
                <w:szCs w:val="20"/>
              </w:rPr>
              <w:t>68</w:t>
            </w:r>
            <w:r>
              <w:rPr>
                <w:rFonts w:ascii="Times New Roman" w:hAnsi="Times New Roman" w:eastAsia="Times New Roman" w:cs="Times New Roman"/>
                <w:sz w:val="20"/>
                <w:szCs w:val="20"/>
              </w:rPr>
              <w:t>Si</w:t>
            </w:r>
            <w:r>
              <w:rPr>
                <w:rFonts w:ascii="Times New Roman" w:hAnsi="Times New Roman" w:eastAsia="Times New Roman" w:cs="Times New Roman"/>
                <w:spacing w:val="11"/>
                <w:sz w:val="20"/>
                <w:szCs w:val="20"/>
              </w:rPr>
              <w:t>16</w:t>
            </w:r>
          </w:p>
        </w:tc>
        <w:tc>
          <w:tcPr>
            <w:tcW w:w="1608" w:type="dxa"/>
            <w:vAlign w:val="top"/>
          </w:tcPr>
          <w:p w14:paraId="4DB5A451">
            <w:pPr>
              <w:pStyle w:val="6"/>
              <w:spacing w:before="72" w:line="231"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60.0</w:t>
            </w:r>
            <w:r>
              <w:rPr>
                <w:spacing w:val="4"/>
                <w:sz w:val="20"/>
                <w:szCs w:val="20"/>
              </w:rPr>
              <w:t>～</w:t>
            </w:r>
            <w:r>
              <w:rPr>
                <w:rFonts w:ascii="Times New Roman" w:hAnsi="Times New Roman" w:eastAsia="Times New Roman" w:cs="Times New Roman"/>
                <w:spacing w:val="4"/>
                <w:sz w:val="20"/>
                <w:szCs w:val="20"/>
              </w:rPr>
              <w:t>67.0</w:t>
            </w:r>
          </w:p>
        </w:tc>
        <w:tc>
          <w:tcPr>
            <w:tcW w:w="1635" w:type="dxa"/>
            <w:vAlign w:val="top"/>
          </w:tcPr>
          <w:p w14:paraId="24582C5E">
            <w:pPr>
              <w:pStyle w:val="6"/>
              <w:spacing w:before="72" w:line="231" w:lineRule="auto"/>
              <w:ind w:left="36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17.0</w:t>
            </w:r>
            <w:r>
              <w:rPr>
                <w:spacing w:val="2"/>
                <w:sz w:val="20"/>
                <w:szCs w:val="20"/>
              </w:rPr>
              <w:t>～</w:t>
            </w:r>
            <w:r>
              <w:rPr>
                <w:rFonts w:ascii="Times New Roman" w:hAnsi="Times New Roman" w:eastAsia="Times New Roman" w:cs="Times New Roman"/>
                <w:spacing w:val="2"/>
                <w:sz w:val="20"/>
                <w:szCs w:val="20"/>
              </w:rPr>
              <w:t>20.0</w:t>
            </w:r>
          </w:p>
        </w:tc>
        <w:tc>
          <w:tcPr>
            <w:tcW w:w="679" w:type="dxa"/>
            <w:vAlign w:val="top"/>
          </w:tcPr>
          <w:p w14:paraId="1677D6EC">
            <w:pPr>
              <w:spacing w:before="108" w:line="195"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1.8</w:t>
            </w:r>
          </w:p>
        </w:tc>
        <w:tc>
          <w:tcPr>
            <w:tcW w:w="834" w:type="dxa"/>
            <w:vAlign w:val="top"/>
          </w:tcPr>
          <w:p w14:paraId="239E7D0B">
            <w:pPr>
              <w:spacing w:before="108"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836" w:type="dxa"/>
            <w:vAlign w:val="top"/>
          </w:tcPr>
          <w:p w14:paraId="15655B91">
            <w:pPr>
              <w:spacing w:before="108"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1017" w:type="dxa"/>
            <w:vAlign w:val="top"/>
          </w:tcPr>
          <w:p w14:paraId="763D4D80">
            <w:pPr>
              <w:spacing w:before="108"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w:t>
            </w:r>
          </w:p>
        </w:tc>
        <w:tc>
          <w:tcPr>
            <w:tcW w:w="1099" w:type="dxa"/>
            <w:tcBorders>
              <w:right w:val="nil"/>
            </w:tcBorders>
            <w:vAlign w:val="top"/>
          </w:tcPr>
          <w:p w14:paraId="0C89A7DA">
            <w:pPr>
              <w:spacing w:before="108" w:line="195" w:lineRule="auto"/>
              <w:ind w:left="3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r>
      <w:tr w14:paraId="6CFD82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521" w:type="dxa"/>
            <w:tcBorders>
              <w:left w:val="nil"/>
            </w:tcBorders>
            <w:vAlign w:val="top"/>
          </w:tcPr>
          <w:p w14:paraId="5BE3F5EB">
            <w:pPr>
              <w:spacing w:before="107" w:line="199"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FeMn</w:t>
            </w:r>
            <w:r>
              <w:rPr>
                <w:rFonts w:ascii="Times New Roman" w:hAnsi="Times New Roman" w:eastAsia="Times New Roman" w:cs="Times New Roman"/>
                <w:spacing w:val="11"/>
                <w:sz w:val="20"/>
                <w:szCs w:val="20"/>
              </w:rPr>
              <w:t>64</w:t>
            </w:r>
            <w:r>
              <w:rPr>
                <w:rFonts w:ascii="Times New Roman" w:hAnsi="Times New Roman" w:eastAsia="Times New Roman" w:cs="Times New Roman"/>
                <w:sz w:val="20"/>
                <w:szCs w:val="20"/>
              </w:rPr>
              <w:t>Si</w:t>
            </w:r>
            <w:r>
              <w:rPr>
                <w:rFonts w:ascii="Times New Roman" w:hAnsi="Times New Roman" w:eastAsia="Times New Roman" w:cs="Times New Roman"/>
                <w:spacing w:val="11"/>
                <w:sz w:val="20"/>
                <w:szCs w:val="20"/>
              </w:rPr>
              <w:t>27</w:t>
            </w:r>
          </w:p>
        </w:tc>
        <w:tc>
          <w:tcPr>
            <w:tcW w:w="1608" w:type="dxa"/>
            <w:vAlign w:val="top"/>
          </w:tcPr>
          <w:p w14:paraId="4496D35F">
            <w:pPr>
              <w:pStyle w:val="6"/>
              <w:spacing w:before="75" w:line="228"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65.0</w:t>
            </w:r>
            <w:r>
              <w:rPr>
                <w:spacing w:val="4"/>
                <w:sz w:val="20"/>
                <w:szCs w:val="20"/>
              </w:rPr>
              <w:t>～</w:t>
            </w:r>
            <w:r>
              <w:rPr>
                <w:rFonts w:ascii="Times New Roman" w:hAnsi="Times New Roman" w:eastAsia="Times New Roman" w:cs="Times New Roman"/>
                <w:spacing w:val="4"/>
                <w:sz w:val="20"/>
                <w:szCs w:val="20"/>
              </w:rPr>
              <w:t>72.0</w:t>
            </w:r>
          </w:p>
        </w:tc>
        <w:tc>
          <w:tcPr>
            <w:tcW w:w="1635" w:type="dxa"/>
            <w:vAlign w:val="top"/>
          </w:tcPr>
          <w:p w14:paraId="0ADB2331">
            <w:pPr>
              <w:pStyle w:val="6"/>
              <w:spacing w:before="75" w:line="228" w:lineRule="auto"/>
              <w:ind w:left="36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14.0</w:t>
            </w:r>
            <w:r>
              <w:rPr>
                <w:spacing w:val="2"/>
                <w:sz w:val="20"/>
                <w:szCs w:val="20"/>
              </w:rPr>
              <w:t>～</w:t>
            </w:r>
            <w:r>
              <w:rPr>
                <w:rFonts w:ascii="Times New Roman" w:hAnsi="Times New Roman" w:eastAsia="Times New Roman" w:cs="Times New Roman"/>
                <w:spacing w:val="2"/>
                <w:sz w:val="20"/>
                <w:szCs w:val="20"/>
              </w:rPr>
              <w:t>17.0</w:t>
            </w:r>
          </w:p>
        </w:tc>
        <w:tc>
          <w:tcPr>
            <w:tcW w:w="679" w:type="dxa"/>
            <w:vAlign w:val="top"/>
          </w:tcPr>
          <w:p w14:paraId="7BAE5A6A">
            <w:pPr>
              <w:spacing w:before="111" w:line="195" w:lineRule="auto"/>
              <w:ind w:left="2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834" w:type="dxa"/>
            <w:vAlign w:val="top"/>
          </w:tcPr>
          <w:p w14:paraId="5170AB12">
            <w:pPr>
              <w:spacing w:before="111"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836" w:type="dxa"/>
            <w:vAlign w:val="top"/>
          </w:tcPr>
          <w:p w14:paraId="15F5EC70">
            <w:pPr>
              <w:spacing w:before="111"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1017" w:type="dxa"/>
            <w:vAlign w:val="top"/>
          </w:tcPr>
          <w:p w14:paraId="7A48570C">
            <w:pPr>
              <w:spacing w:before="111"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w:t>
            </w:r>
          </w:p>
        </w:tc>
        <w:tc>
          <w:tcPr>
            <w:tcW w:w="1099" w:type="dxa"/>
            <w:tcBorders>
              <w:right w:val="nil"/>
            </w:tcBorders>
            <w:vAlign w:val="top"/>
          </w:tcPr>
          <w:p w14:paraId="0117D462">
            <w:pPr>
              <w:spacing w:before="111" w:line="195" w:lineRule="auto"/>
              <w:ind w:left="3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r>
      <w:tr w14:paraId="3429F7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 w:hRule="atLeast"/>
        </w:trPr>
        <w:tc>
          <w:tcPr>
            <w:tcW w:w="1521" w:type="dxa"/>
            <w:tcBorders>
              <w:left w:val="nil"/>
              <w:bottom w:val="single" w:color="000000" w:sz="10" w:space="0"/>
            </w:tcBorders>
            <w:vAlign w:val="top"/>
          </w:tcPr>
          <w:p w14:paraId="7E443BDF">
            <w:pPr>
              <w:spacing w:before="107" w:line="199"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FeMn</w:t>
            </w:r>
            <w:r>
              <w:rPr>
                <w:rFonts w:ascii="Times New Roman" w:hAnsi="Times New Roman" w:eastAsia="Times New Roman" w:cs="Times New Roman"/>
                <w:spacing w:val="11"/>
                <w:sz w:val="20"/>
                <w:szCs w:val="20"/>
              </w:rPr>
              <w:t>64</w:t>
            </w:r>
            <w:r>
              <w:rPr>
                <w:rFonts w:ascii="Times New Roman" w:hAnsi="Times New Roman" w:eastAsia="Times New Roman" w:cs="Times New Roman"/>
                <w:sz w:val="20"/>
                <w:szCs w:val="20"/>
              </w:rPr>
              <w:t>Si</w:t>
            </w:r>
            <w:r>
              <w:rPr>
                <w:rFonts w:ascii="Times New Roman" w:hAnsi="Times New Roman" w:eastAsia="Times New Roman" w:cs="Times New Roman"/>
                <w:spacing w:val="11"/>
                <w:sz w:val="20"/>
                <w:szCs w:val="20"/>
              </w:rPr>
              <w:t>16</w:t>
            </w:r>
          </w:p>
        </w:tc>
        <w:tc>
          <w:tcPr>
            <w:tcW w:w="1608" w:type="dxa"/>
            <w:tcBorders>
              <w:bottom w:val="single" w:color="000000" w:sz="10" w:space="0"/>
            </w:tcBorders>
            <w:vAlign w:val="top"/>
          </w:tcPr>
          <w:p w14:paraId="7FFDCD57">
            <w:pPr>
              <w:pStyle w:val="6"/>
              <w:spacing w:before="75" w:line="265" w:lineRule="exact"/>
              <w:ind w:left="336"/>
              <w:rPr>
                <w:rFonts w:ascii="Times New Roman" w:hAnsi="Times New Roman" w:eastAsia="Times New Roman" w:cs="Times New Roman"/>
                <w:sz w:val="20"/>
                <w:szCs w:val="20"/>
              </w:rPr>
            </w:pPr>
            <w:r>
              <w:rPr>
                <w:rFonts w:ascii="Times New Roman" w:hAnsi="Times New Roman" w:eastAsia="Times New Roman" w:cs="Times New Roman"/>
                <w:spacing w:val="4"/>
                <w:position w:val="1"/>
                <w:sz w:val="20"/>
                <w:szCs w:val="20"/>
              </w:rPr>
              <w:t>60.0</w:t>
            </w:r>
            <w:r>
              <w:rPr>
                <w:spacing w:val="4"/>
                <w:position w:val="1"/>
                <w:sz w:val="20"/>
                <w:szCs w:val="20"/>
              </w:rPr>
              <w:t>～</w:t>
            </w:r>
            <w:r>
              <w:rPr>
                <w:rFonts w:ascii="Times New Roman" w:hAnsi="Times New Roman" w:eastAsia="Times New Roman" w:cs="Times New Roman"/>
                <w:spacing w:val="4"/>
                <w:position w:val="1"/>
                <w:sz w:val="20"/>
                <w:szCs w:val="20"/>
              </w:rPr>
              <w:t>67.0</w:t>
            </w:r>
          </w:p>
        </w:tc>
        <w:tc>
          <w:tcPr>
            <w:tcW w:w="1635" w:type="dxa"/>
            <w:tcBorders>
              <w:bottom w:val="single" w:color="000000" w:sz="10" w:space="0"/>
            </w:tcBorders>
            <w:vAlign w:val="top"/>
          </w:tcPr>
          <w:p w14:paraId="267E5E99">
            <w:pPr>
              <w:pStyle w:val="6"/>
              <w:spacing w:before="75" w:line="265" w:lineRule="exact"/>
              <w:ind w:left="366"/>
              <w:rPr>
                <w:rFonts w:ascii="Times New Roman" w:hAnsi="Times New Roman" w:eastAsia="Times New Roman" w:cs="Times New Roman"/>
                <w:sz w:val="20"/>
                <w:szCs w:val="20"/>
              </w:rPr>
            </w:pPr>
            <w:r>
              <w:rPr>
                <w:rFonts w:ascii="Times New Roman" w:hAnsi="Times New Roman" w:eastAsia="Times New Roman" w:cs="Times New Roman"/>
                <w:spacing w:val="2"/>
                <w:position w:val="1"/>
                <w:sz w:val="20"/>
                <w:szCs w:val="20"/>
              </w:rPr>
              <w:t>14.0</w:t>
            </w:r>
            <w:r>
              <w:rPr>
                <w:spacing w:val="2"/>
                <w:position w:val="1"/>
                <w:sz w:val="20"/>
                <w:szCs w:val="20"/>
              </w:rPr>
              <w:t>～</w:t>
            </w:r>
            <w:r>
              <w:rPr>
                <w:rFonts w:ascii="Times New Roman" w:hAnsi="Times New Roman" w:eastAsia="Times New Roman" w:cs="Times New Roman"/>
                <w:spacing w:val="2"/>
                <w:position w:val="1"/>
                <w:sz w:val="20"/>
                <w:szCs w:val="20"/>
              </w:rPr>
              <w:t>17.0</w:t>
            </w:r>
          </w:p>
        </w:tc>
        <w:tc>
          <w:tcPr>
            <w:tcW w:w="679" w:type="dxa"/>
            <w:tcBorders>
              <w:bottom w:val="single" w:color="000000" w:sz="10" w:space="0"/>
            </w:tcBorders>
            <w:vAlign w:val="top"/>
          </w:tcPr>
          <w:p w14:paraId="67078201">
            <w:pPr>
              <w:spacing w:before="111" w:line="195" w:lineRule="auto"/>
              <w:ind w:left="2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834" w:type="dxa"/>
            <w:tcBorders>
              <w:bottom w:val="single" w:color="000000" w:sz="10" w:space="0"/>
            </w:tcBorders>
            <w:vAlign w:val="top"/>
          </w:tcPr>
          <w:p w14:paraId="1315CAC0">
            <w:pPr>
              <w:spacing w:before="111"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0.20</w:t>
            </w:r>
          </w:p>
        </w:tc>
        <w:tc>
          <w:tcPr>
            <w:tcW w:w="836" w:type="dxa"/>
            <w:tcBorders>
              <w:bottom w:val="single" w:color="000000" w:sz="10" w:space="0"/>
            </w:tcBorders>
            <w:vAlign w:val="top"/>
          </w:tcPr>
          <w:p w14:paraId="46DBF17E">
            <w:pPr>
              <w:spacing w:before="111"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w:t>
            </w:r>
          </w:p>
        </w:tc>
        <w:tc>
          <w:tcPr>
            <w:tcW w:w="1017" w:type="dxa"/>
            <w:tcBorders>
              <w:bottom w:val="single" w:color="000000" w:sz="10" w:space="0"/>
            </w:tcBorders>
            <w:vAlign w:val="top"/>
          </w:tcPr>
          <w:p w14:paraId="2C970D34">
            <w:pPr>
              <w:spacing w:before="111"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0.30</w:t>
            </w:r>
          </w:p>
        </w:tc>
        <w:tc>
          <w:tcPr>
            <w:tcW w:w="1099" w:type="dxa"/>
            <w:tcBorders>
              <w:bottom w:val="single" w:color="000000" w:sz="10" w:space="0"/>
              <w:right w:val="nil"/>
            </w:tcBorders>
            <w:vAlign w:val="top"/>
          </w:tcPr>
          <w:p w14:paraId="6A7744FF">
            <w:pPr>
              <w:spacing w:before="111" w:line="195" w:lineRule="auto"/>
              <w:ind w:left="3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w:t>
            </w:r>
          </w:p>
        </w:tc>
      </w:tr>
    </w:tbl>
    <w:p w14:paraId="2EF572AD">
      <w:pPr>
        <w:spacing w:before="167" w:line="222" w:lineRule="auto"/>
        <w:ind w:left="114"/>
        <w:outlineLvl w:val="2"/>
        <w:rPr>
          <w:rFonts w:ascii="黑体" w:hAnsi="黑体" w:eastAsia="黑体" w:cs="黑体"/>
          <w:sz w:val="30"/>
          <w:szCs w:val="30"/>
        </w:rPr>
      </w:pPr>
      <w:bookmarkStart w:id="315" w:name="bookmark98"/>
      <w:bookmarkEnd w:id="315"/>
      <w:r>
        <w:rPr>
          <w:rFonts w:ascii="Times New Roman" w:hAnsi="Times New Roman" w:eastAsia="Times New Roman" w:cs="Times New Roman"/>
          <w:b/>
          <w:bCs/>
          <w:spacing w:val="-2"/>
          <w:sz w:val="30"/>
          <w:szCs w:val="30"/>
        </w:rPr>
        <w:t xml:space="preserve">2.1.6 </w:t>
      </w:r>
      <w:r>
        <w:rPr>
          <w:rFonts w:ascii="黑体" w:hAnsi="黑体" w:eastAsia="黑体" w:cs="黑体"/>
          <w:b/>
          <w:bCs/>
          <w:spacing w:val="-2"/>
          <w:sz w:val="30"/>
          <w:szCs w:val="30"/>
        </w:rPr>
        <w:t>项目生产设备及技术参数</w:t>
      </w:r>
    </w:p>
    <w:p w14:paraId="484BBC0A">
      <w:pPr>
        <w:spacing w:before="226" w:line="219" w:lineRule="auto"/>
        <w:ind w:left="597"/>
        <w:rPr>
          <w:rFonts w:ascii="宋体" w:hAnsi="宋体" w:eastAsia="宋体" w:cs="宋体"/>
          <w:sz w:val="24"/>
          <w:szCs w:val="24"/>
        </w:rPr>
      </w:pPr>
      <w:r>
        <w:rPr>
          <w:rFonts w:ascii="宋体" w:hAnsi="宋体" w:eastAsia="宋体" w:cs="宋体"/>
          <w:spacing w:val="-1"/>
          <w:sz w:val="24"/>
          <w:szCs w:val="24"/>
        </w:rPr>
        <w:t>本项目主要生产设备详见表</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2.1-12</w:t>
      </w:r>
      <w:r>
        <w:rPr>
          <w:rFonts w:ascii="宋体" w:hAnsi="宋体" w:eastAsia="宋体" w:cs="宋体"/>
          <w:spacing w:val="-1"/>
          <w:sz w:val="24"/>
          <w:szCs w:val="24"/>
        </w:rPr>
        <w:t>。</w:t>
      </w:r>
    </w:p>
    <w:p w14:paraId="7B2F5803">
      <w:pPr>
        <w:spacing w:before="208" w:line="228" w:lineRule="auto"/>
        <w:ind w:left="3061"/>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5"/>
          <w:sz w:val="20"/>
          <w:szCs w:val="20"/>
        </w:rPr>
        <w:t xml:space="preserve">2.1-12        </w:t>
      </w:r>
      <w:r>
        <w:rPr>
          <w:rFonts w:ascii="宋体" w:hAnsi="宋体" w:eastAsia="宋体" w:cs="宋体"/>
          <w:b/>
          <w:bCs/>
          <w:spacing w:val="5"/>
          <w:sz w:val="20"/>
          <w:szCs w:val="20"/>
        </w:rPr>
        <w:t>主要生产设</w:t>
      </w:r>
      <w:r>
        <w:rPr>
          <w:rFonts w:ascii="宋体" w:hAnsi="宋体" w:eastAsia="宋体" w:cs="宋体"/>
          <w:b/>
          <w:bCs/>
          <w:spacing w:val="4"/>
          <w:sz w:val="20"/>
          <w:szCs w:val="20"/>
        </w:rPr>
        <w:t>备一览表</w:t>
      </w:r>
    </w:p>
    <w:p w14:paraId="41542400">
      <w:pPr>
        <w:spacing w:line="97" w:lineRule="exact"/>
      </w:pPr>
    </w:p>
    <w:tbl>
      <w:tblPr>
        <w:tblStyle w:val="5"/>
        <w:tblW w:w="9044" w:type="dxa"/>
        <w:tblInd w:w="9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0"/>
        <w:gridCol w:w="473"/>
        <w:gridCol w:w="2030"/>
        <w:gridCol w:w="3669"/>
        <w:gridCol w:w="654"/>
        <w:gridCol w:w="648"/>
        <w:gridCol w:w="990"/>
      </w:tblGrid>
      <w:tr w14:paraId="37D1D3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580" w:type="dxa"/>
            <w:tcBorders>
              <w:top w:val="single" w:color="000000" w:sz="10" w:space="0"/>
              <w:left w:val="nil"/>
            </w:tcBorders>
            <w:vAlign w:val="top"/>
          </w:tcPr>
          <w:p w14:paraId="19E5716D">
            <w:pPr>
              <w:pStyle w:val="6"/>
              <w:spacing w:before="72" w:line="229" w:lineRule="auto"/>
              <w:ind w:left="22"/>
              <w:rPr>
                <w:sz w:val="20"/>
                <w:szCs w:val="20"/>
              </w:rPr>
            </w:pPr>
            <w:r>
              <w:rPr>
                <w:b/>
                <w:bCs/>
                <w:spacing w:val="3"/>
                <w:sz w:val="20"/>
                <w:szCs w:val="20"/>
              </w:rPr>
              <w:t>位置</w:t>
            </w:r>
          </w:p>
        </w:tc>
        <w:tc>
          <w:tcPr>
            <w:tcW w:w="473" w:type="dxa"/>
            <w:tcBorders>
              <w:top w:val="single" w:color="000000" w:sz="10" w:space="0"/>
            </w:tcBorders>
            <w:vAlign w:val="top"/>
          </w:tcPr>
          <w:p w14:paraId="15736177">
            <w:pPr>
              <w:pStyle w:val="6"/>
              <w:spacing w:before="72" w:line="229" w:lineRule="auto"/>
              <w:ind w:left="29"/>
              <w:rPr>
                <w:sz w:val="20"/>
                <w:szCs w:val="20"/>
              </w:rPr>
            </w:pPr>
            <w:r>
              <w:rPr>
                <w:b/>
                <w:bCs/>
                <w:spacing w:val="4"/>
                <w:sz w:val="20"/>
                <w:szCs w:val="20"/>
              </w:rPr>
              <w:t>序号</w:t>
            </w:r>
          </w:p>
        </w:tc>
        <w:tc>
          <w:tcPr>
            <w:tcW w:w="2030" w:type="dxa"/>
            <w:tcBorders>
              <w:top w:val="single" w:color="000000" w:sz="10" w:space="0"/>
            </w:tcBorders>
            <w:vAlign w:val="top"/>
          </w:tcPr>
          <w:p w14:paraId="75397FFB">
            <w:pPr>
              <w:pStyle w:val="6"/>
              <w:spacing w:before="72" w:line="230" w:lineRule="auto"/>
              <w:ind w:left="812"/>
              <w:rPr>
                <w:sz w:val="20"/>
                <w:szCs w:val="20"/>
              </w:rPr>
            </w:pPr>
            <w:r>
              <w:rPr>
                <w:b/>
                <w:bCs/>
                <w:spacing w:val="2"/>
                <w:sz w:val="20"/>
                <w:szCs w:val="20"/>
              </w:rPr>
              <w:t>名称</w:t>
            </w:r>
          </w:p>
        </w:tc>
        <w:tc>
          <w:tcPr>
            <w:tcW w:w="3669" w:type="dxa"/>
            <w:tcBorders>
              <w:top w:val="single" w:color="000000" w:sz="10" w:space="0"/>
            </w:tcBorders>
            <w:vAlign w:val="top"/>
          </w:tcPr>
          <w:p w14:paraId="310E5884">
            <w:pPr>
              <w:pStyle w:val="6"/>
              <w:spacing w:before="71" w:line="228" w:lineRule="auto"/>
              <w:ind w:left="1418"/>
              <w:rPr>
                <w:sz w:val="20"/>
                <w:szCs w:val="20"/>
              </w:rPr>
            </w:pPr>
            <w:r>
              <w:rPr>
                <w:b/>
                <w:bCs/>
                <w:spacing w:val="6"/>
                <w:sz w:val="20"/>
                <w:szCs w:val="20"/>
              </w:rPr>
              <w:t>规格型号</w:t>
            </w:r>
          </w:p>
        </w:tc>
        <w:tc>
          <w:tcPr>
            <w:tcW w:w="654" w:type="dxa"/>
            <w:tcBorders>
              <w:top w:val="single" w:color="000000" w:sz="10" w:space="0"/>
            </w:tcBorders>
            <w:vAlign w:val="top"/>
          </w:tcPr>
          <w:p w14:paraId="02D26072">
            <w:pPr>
              <w:pStyle w:val="6"/>
              <w:spacing w:before="72" w:line="228" w:lineRule="auto"/>
              <w:ind w:left="123"/>
              <w:rPr>
                <w:sz w:val="20"/>
                <w:szCs w:val="20"/>
              </w:rPr>
            </w:pPr>
            <w:r>
              <w:rPr>
                <w:b/>
                <w:bCs/>
                <w:spacing w:val="3"/>
                <w:sz w:val="20"/>
                <w:szCs w:val="20"/>
              </w:rPr>
              <w:t>单位</w:t>
            </w:r>
          </w:p>
        </w:tc>
        <w:tc>
          <w:tcPr>
            <w:tcW w:w="648" w:type="dxa"/>
            <w:tcBorders>
              <w:top w:val="single" w:color="000000" w:sz="10" w:space="0"/>
            </w:tcBorders>
            <w:vAlign w:val="top"/>
          </w:tcPr>
          <w:p w14:paraId="084A7CEB">
            <w:pPr>
              <w:pStyle w:val="6"/>
              <w:spacing w:before="71" w:line="228" w:lineRule="auto"/>
              <w:ind w:left="120"/>
              <w:rPr>
                <w:sz w:val="20"/>
                <w:szCs w:val="20"/>
              </w:rPr>
            </w:pPr>
            <w:r>
              <w:rPr>
                <w:b/>
                <w:bCs/>
                <w:spacing w:val="3"/>
                <w:sz w:val="20"/>
                <w:szCs w:val="20"/>
              </w:rPr>
              <w:t>数量</w:t>
            </w:r>
          </w:p>
        </w:tc>
        <w:tc>
          <w:tcPr>
            <w:tcW w:w="990" w:type="dxa"/>
            <w:tcBorders>
              <w:top w:val="single" w:color="000000" w:sz="10" w:space="0"/>
              <w:right w:val="nil"/>
            </w:tcBorders>
            <w:vAlign w:val="top"/>
          </w:tcPr>
          <w:p w14:paraId="5C674C09">
            <w:pPr>
              <w:pStyle w:val="6"/>
              <w:spacing w:before="72" w:line="229" w:lineRule="auto"/>
              <w:ind w:left="293"/>
              <w:rPr>
                <w:sz w:val="20"/>
                <w:szCs w:val="20"/>
              </w:rPr>
            </w:pPr>
            <w:r>
              <w:rPr>
                <w:b/>
                <w:bCs/>
                <w:spacing w:val="2"/>
                <w:sz w:val="20"/>
                <w:szCs w:val="20"/>
              </w:rPr>
              <w:t>备注</w:t>
            </w:r>
          </w:p>
        </w:tc>
      </w:tr>
    </w:tbl>
    <w:p w14:paraId="2F3054BC">
      <w:pPr>
        <w:spacing w:before="68" w:line="228" w:lineRule="auto"/>
        <w:ind w:left="3779"/>
        <w:rPr>
          <w:rFonts w:ascii="宋体" w:hAnsi="宋体" w:eastAsia="宋体" w:cs="宋体"/>
          <w:sz w:val="20"/>
          <w:szCs w:val="20"/>
        </w:rPr>
      </w:pPr>
      <w:r>
        <w:rPr>
          <w:rFonts w:ascii="宋体" w:hAnsi="宋体" w:eastAsia="宋体" w:cs="宋体"/>
          <w:b/>
          <w:bCs/>
          <w:spacing w:val="7"/>
          <w:sz w:val="20"/>
          <w:szCs w:val="20"/>
        </w:rPr>
        <w:t>锰硅合金生产设备</w:t>
      </w:r>
    </w:p>
    <w:p w14:paraId="140FD7B7">
      <w:pPr>
        <w:spacing w:line="19" w:lineRule="exact"/>
      </w:pPr>
    </w:p>
    <w:tbl>
      <w:tblPr>
        <w:tblStyle w:val="5"/>
        <w:tblW w:w="9044" w:type="dxa"/>
        <w:tblInd w:w="9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0"/>
        <w:gridCol w:w="473"/>
        <w:gridCol w:w="2030"/>
        <w:gridCol w:w="3669"/>
        <w:gridCol w:w="654"/>
        <w:gridCol w:w="648"/>
        <w:gridCol w:w="990"/>
      </w:tblGrid>
      <w:tr w14:paraId="204855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580" w:type="dxa"/>
            <w:vMerge w:val="restart"/>
            <w:tcBorders>
              <w:left w:val="nil"/>
              <w:bottom w:val="nil"/>
            </w:tcBorders>
            <w:vAlign w:val="top"/>
          </w:tcPr>
          <w:p w14:paraId="2F5AAC86">
            <w:pPr>
              <w:spacing w:line="348" w:lineRule="auto"/>
              <w:rPr>
                <w:rFonts w:ascii="Arial"/>
                <w:sz w:val="21"/>
              </w:rPr>
            </w:pPr>
          </w:p>
          <w:p w14:paraId="36D559E6">
            <w:pPr>
              <w:pStyle w:val="6"/>
              <w:spacing w:before="65" w:line="227" w:lineRule="auto"/>
              <w:ind w:left="21"/>
              <w:rPr>
                <w:sz w:val="20"/>
                <w:szCs w:val="20"/>
              </w:rPr>
            </w:pPr>
            <w:r>
              <w:rPr>
                <w:spacing w:val="5"/>
                <w:sz w:val="20"/>
                <w:szCs w:val="20"/>
              </w:rPr>
              <w:t>烧结</w:t>
            </w:r>
          </w:p>
        </w:tc>
        <w:tc>
          <w:tcPr>
            <w:tcW w:w="473" w:type="dxa"/>
            <w:vAlign w:val="top"/>
          </w:tcPr>
          <w:p w14:paraId="77CCDCBD">
            <w:pPr>
              <w:spacing w:before="111" w:line="195" w:lineRule="auto"/>
              <w:ind w:left="204"/>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030" w:type="dxa"/>
            <w:vAlign w:val="top"/>
          </w:tcPr>
          <w:p w14:paraId="4440209F">
            <w:pPr>
              <w:pStyle w:val="6"/>
              <w:spacing w:before="72" w:line="227" w:lineRule="auto"/>
              <w:ind w:left="498"/>
              <w:rPr>
                <w:sz w:val="20"/>
                <w:szCs w:val="20"/>
              </w:rPr>
            </w:pPr>
            <w:r>
              <w:rPr>
                <w:spacing w:val="7"/>
                <w:sz w:val="20"/>
                <w:szCs w:val="20"/>
              </w:rPr>
              <w:t>一次混料机</w:t>
            </w:r>
          </w:p>
        </w:tc>
        <w:tc>
          <w:tcPr>
            <w:tcW w:w="3669" w:type="dxa"/>
            <w:vAlign w:val="top"/>
          </w:tcPr>
          <w:p w14:paraId="01A1046C">
            <w:pPr>
              <w:pStyle w:val="6"/>
              <w:spacing w:before="72" w:line="221" w:lineRule="auto"/>
              <w:ind w:left="879"/>
              <w:rPr>
                <w:rFonts w:ascii="Times New Roman" w:hAnsi="Times New Roman" w:eastAsia="Times New Roman" w:cs="Times New Roman"/>
                <w:sz w:val="20"/>
                <w:szCs w:val="20"/>
              </w:rPr>
            </w:pPr>
            <w:r>
              <w:rPr>
                <w:spacing w:val="5"/>
                <w:sz w:val="20"/>
                <w:szCs w:val="20"/>
              </w:rPr>
              <w:t>物料混匀</w:t>
            </w:r>
            <w:r>
              <w:rPr>
                <w:rFonts w:ascii="Times New Roman" w:hAnsi="Times New Roman" w:eastAsia="Times New Roman" w:cs="Times New Roman"/>
                <w:spacing w:val="5"/>
                <w:sz w:val="20"/>
                <w:szCs w:val="20"/>
              </w:rPr>
              <w:t>φ1600×9000</w:t>
            </w:r>
          </w:p>
        </w:tc>
        <w:tc>
          <w:tcPr>
            <w:tcW w:w="654" w:type="dxa"/>
            <w:vAlign w:val="top"/>
          </w:tcPr>
          <w:p w14:paraId="76CCE4D4">
            <w:pPr>
              <w:pStyle w:val="6"/>
              <w:spacing w:before="72" w:line="230" w:lineRule="auto"/>
              <w:ind w:left="243"/>
              <w:rPr>
                <w:sz w:val="20"/>
                <w:szCs w:val="20"/>
              </w:rPr>
            </w:pPr>
            <w:r>
              <w:rPr>
                <w:sz w:val="20"/>
                <w:szCs w:val="20"/>
              </w:rPr>
              <w:t>台</w:t>
            </w:r>
          </w:p>
        </w:tc>
        <w:tc>
          <w:tcPr>
            <w:tcW w:w="648" w:type="dxa"/>
            <w:vAlign w:val="top"/>
          </w:tcPr>
          <w:p w14:paraId="79774E8F">
            <w:pPr>
              <w:spacing w:before="111"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42395F35">
            <w:pPr>
              <w:rPr>
                <w:rFonts w:ascii="Arial"/>
                <w:sz w:val="21"/>
              </w:rPr>
            </w:pPr>
          </w:p>
        </w:tc>
      </w:tr>
      <w:tr w14:paraId="4A0AE8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580" w:type="dxa"/>
            <w:vMerge w:val="continue"/>
            <w:tcBorders>
              <w:top w:val="nil"/>
              <w:left w:val="nil"/>
              <w:bottom w:val="nil"/>
            </w:tcBorders>
            <w:vAlign w:val="top"/>
          </w:tcPr>
          <w:p w14:paraId="0A701912">
            <w:pPr>
              <w:rPr>
                <w:rFonts w:ascii="Arial"/>
                <w:sz w:val="21"/>
              </w:rPr>
            </w:pPr>
          </w:p>
        </w:tc>
        <w:tc>
          <w:tcPr>
            <w:tcW w:w="473" w:type="dxa"/>
            <w:vAlign w:val="top"/>
          </w:tcPr>
          <w:p w14:paraId="490582E4">
            <w:pPr>
              <w:spacing w:before="115" w:line="195" w:lineRule="auto"/>
              <w:ind w:left="18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030" w:type="dxa"/>
            <w:vAlign w:val="top"/>
          </w:tcPr>
          <w:p w14:paraId="26FAAF7F">
            <w:pPr>
              <w:pStyle w:val="6"/>
              <w:spacing w:before="77" w:line="224" w:lineRule="auto"/>
              <w:ind w:left="498"/>
              <w:rPr>
                <w:sz w:val="20"/>
                <w:szCs w:val="20"/>
              </w:rPr>
            </w:pPr>
            <w:r>
              <w:rPr>
                <w:spacing w:val="7"/>
                <w:sz w:val="20"/>
                <w:szCs w:val="20"/>
              </w:rPr>
              <w:t>二次混料机</w:t>
            </w:r>
          </w:p>
        </w:tc>
        <w:tc>
          <w:tcPr>
            <w:tcW w:w="3669" w:type="dxa"/>
            <w:vAlign w:val="top"/>
          </w:tcPr>
          <w:p w14:paraId="75FC9554">
            <w:pPr>
              <w:pStyle w:val="6"/>
              <w:spacing w:before="76" w:line="221" w:lineRule="auto"/>
              <w:ind w:left="1089"/>
              <w:rPr>
                <w:rFonts w:ascii="Times New Roman" w:hAnsi="Times New Roman" w:eastAsia="Times New Roman" w:cs="Times New Roman"/>
                <w:sz w:val="20"/>
                <w:szCs w:val="20"/>
              </w:rPr>
            </w:pPr>
            <w:r>
              <w:rPr>
                <w:spacing w:val="5"/>
                <w:sz w:val="20"/>
                <w:szCs w:val="20"/>
              </w:rPr>
              <w:t>制粒</w:t>
            </w:r>
            <w:r>
              <w:rPr>
                <w:rFonts w:ascii="Times New Roman" w:hAnsi="Times New Roman" w:eastAsia="Times New Roman" w:cs="Times New Roman"/>
                <w:spacing w:val="5"/>
                <w:sz w:val="20"/>
                <w:szCs w:val="20"/>
              </w:rPr>
              <w:t>φ1600×9000</w:t>
            </w:r>
          </w:p>
        </w:tc>
        <w:tc>
          <w:tcPr>
            <w:tcW w:w="654" w:type="dxa"/>
            <w:vAlign w:val="top"/>
          </w:tcPr>
          <w:p w14:paraId="2BF1B183">
            <w:pPr>
              <w:pStyle w:val="6"/>
              <w:spacing w:before="77" w:line="224" w:lineRule="auto"/>
              <w:ind w:left="243"/>
              <w:rPr>
                <w:sz w:val="20"/>
                <w:szCs w:val="20"/>
              </w:rPr>
            </w:pPr>
            <w:r>
              <w:rPr>
                <w:sz w:val="20"/>
                <w:szCs w:val="20"/>
              </w:rPr>
              <w:t>台</w:t>
            </w:r>
          </w:p>
        </w:tc>
        <w:tc>
          <w:tcPr>
            <w:tcW w:w="648" w:type="dxa"/>
            <w:vAlign w:val="top"/>
          </w:tcPr>
          <w:p w14:paraId="2141FF77">
            <w:pPr>
              <w:spacing w:before="115"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155AFA54">
            <w:pPr>
              <w:rPr>
                <w:rFonts w:ascii="Arial"/>
                <w:sz w:val="21"/>
              </w:rPr>
            </w:pPr>
          </w:p>
        </w:tc>
      </w:tr>
      <w:tr w14:paraId="2AD8DE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1" w:hRule="atLeast"/>
        </w:trPr>
        <w:tc>
          <w:tcPr>
            <w:tcW w:w="580" w:type="dxa"/>
            <w:vMerge w:val="continue"/>
            <w:tcBorders>
              <w:top w:val="nil"/>
              <w:left w:val="nil"/>
              <w:bottom w:val="single" w:color="000000" w:sz="10" w:space="0"/>
            </w:tcBorders>
            <w:vAlign w:val="top"/>
          </w:tcPr>
          <w:p w14:paraId="6C9A514C">
            <w:pPr>
              <w:rPr>
                <w:rFonts w:ascii="Arial"/>
                <w:sz w:val="21"/>
              </w:rPr>
            </w:pPr>
          </w:p>
        </w:tc>
        <w:tc>
          <w:tcPr>
            <w:tcW w:w="473" w:type="dxa"/>
            <w:tcBorders>
              <w:bottom w:val="single" w:color="000000" w:sz="10" w:space="0"/>
            </w:tcBorders>
            <w:vAlign w:val="top"/>
          </w:tcPr>
          <w:p w14:paraId="2C6A5F0C">
            <w:pPr>
              <w:spacing w:before="123" w:line="195" w:lineRule="auto"/>
              <w:ind w:left="188"/>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030" w:type="dxa"/>
            <w:tcBorders>
              <w:bottom w:val="single" w:color="000000" w:sz="10" w:space="0"/>
            </w:tcBorders>
            <w:vAlign w:val="top"/>
          </w:tcPr>
          <w:p w14:paraId="602A222F">
            <w:pPr>
              <w:pStyle w:val="6"/>
              <w:spacing w:before="84" w:line="227" w:lineRule="auto"/>
              <w:ind w:left="501"/>
              <w:rPr>
                <w:sz w:val="20"/>
                <w:szCs w:val="20"/>
              </w:rPr>
            </w:pPr>
            <w:r>
              <w:rPr>
                <w:spacing w:val="7"/>
                <w:sz w:val="20"/>
                <w:szCs w:val="20"/>
              </w:rPr>
              <w:t>带式烧结机</w:t>
            </w:r>
          </w:p>
        </w:tc>
        <w:tc>
          <w:tcPr>
            <w:tcW w:w="3669" w:type="dxa"/>
            <w:tcBorders>
              <w:bottom w:val="single" w:color="000000" w:sz="10" w:space="0"/>
            </w:tcBorders>
            <w:vAlign w:val="top"/>
          </w:tcPr>
          <w:p w14:paraId="08B15813">
            <w:pPr>
              <w:spacing w:before="103" w:line="216" w:lineRule="auto"/>
              <w:ind w:left="1619"/>
              <w:rPr>
                <w:rFonts w:ascii="Times New Roman" w:hAnsi="Times New Roman" w:eastAsia="Times New Roman" w:cs="Times New Roman"/>
                <w:sz w:val="13"/>
                <w:szCs w:val="13"/>
              </w:rPr>
            </w:pPr>
            <w:r>
              <w:rPr>
                <w:rFonts w:ascii="Times New Roman" w:hAnsi="Times New Roman" w:eastAsia="Times New Roman" w:cs="Times New Roman"/>
                <w:spacing w:val="3"/>
                <w:position w:val="-1"/>
                <w:sz w:val="20"/>
                <w:szCs w:val="20"/>
              </w:rPr>
              <w:t>60m</w:t>
            </w:r>
            <w:r>
              <w:rPr>
                <w:rFonts w:ascii="Times New Roman" w:hAnsi="Times New Roman" w:eastAsia="Times New Roman" w:cs="Times New Roman"/>
                <w:spacing w:val="3"/>
                <w:position w:val="5"/>
                <w:sz w:val="13"/>
                <w:szCs w:val="13"/>
              </w:rPr>
              <w:t>2</w:t>
            </w:r>
          </w:p>
        </w:tc>
        <w:tc>
          <w:tcPr>
            <w:tcW w:w="654" w:type="dxa"/>
            <w:tcBorders>
              <w:bottom w:val="single" w:color="000000" w:sz="10" w:space="0"/>
            </w:tcBorders>
            <w:vAlign w:val="top"/>
          </w:tcPr>
          <w:p w14:paraId="1D1A219A">
            <w:pPr>
              <w:pStyle w:val="6"/>
              <w:spacing w:before="84" w:line="230" w:lineRule="auto"/>
              <w:ind w:left="243"/>
              <w:rPr>
                <w:sz w:val="20"/>
                <w:szCs w:val="20"/>
              </w:rPr>
            </w:pPr>
            <w:r>
              <w:rPr>
                <w:sz w:val="20"/>
                <w:szCs w:val="20"/>
              </w:rPr>
              <w:t>台</w:t>
            </w:r>
          </w:p>
        </w:tc>
        <w:tc>
          <w:tcPr>
            <w:tcW w:w="648" w:type="dxa"/>
            <w:tcBorders>
              <w:bottom w:val="single" w:color="000000" w:sz="10" w:space="0"/>
            </w:tcBorders>
            <w:vAlign w:val="top"/>
          </w:tcPr>
          <w:p w14:paraId="2261B355">
            <w:pPr>
              <w:spacing w:before="123"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bottom w:val="single" w:color="000000" w:sz="10" w:space="0"/>
              <w:right w:val="nil"/>
            </w:tcBorders>
            <w:vAlign w:val="top"/>
          </w:tcPr>
          <w:p w14:paraId="2DB16F4D">
            <w:pPr>
              <w:rPr>
                <w:rFonts w:ascii="Arial"/>
                <w:sz w:val="21"/>
              </w:rPr>
            </w:pPr>
          </w:p>
        </w:tc>
      </w:tr>
    </w:tbl>
    <w:p w14:paraId="0A622042">
      <w:pPr>
        <w:pStyle w:val="2"/>
      </w:pPr>
    </w:p>
    <w:p w14:paraId="1F26BFCE">
      <w:pPr>
        <w:sectPr>
          <w:headerReference r:id="rId100" w:type="default"/>
          <w:footerReference r:id="rId101" w:type="default"/>
          <w:pgSz w:w="11850" w:h="16781"/>
          <w:pgMar w:top="1178" w:right="1309" w:bottom="1013" w:left="1309" w:header="870" w:footer="850" w:gutter="0"/>
          <w:cols w:space="720" w:num="1"/>
        </w:sectPr>
      </w:pPr>
    </w:p>
    <w:p w14:paraId="6FB942FE">
      <w:pPr>
        <w:spacing w:line="238" w:lineRule="exact"/>
      </w:pPr>
      <w:r>
        <w:pict>
          <v:shape id="_x0000_s1160" o:spid="_x0000_s1160" style="position:absolute;left:0pt;margin-left:70.85pt;margin-top:59.65pt;height:0.75pt;width:450.75pt;mso-position-horizontal-relative:page;mso-position-vertical-relative:page;z-index:251810816;mso-width-relative:page;mso-height-relative:page;" fillcolor="#000000" filled="t" stroked="f" coordsize="9015,15" o:allowincell="f" path="m0,0l9014,0,9014,14,0,14,0,0xe">
            <v:path/>
            <v:fill on="t" focussize="0,0"/>
            <v:stroke on="f"/>
            <v:imagedata o:title=""/>
            <o:lock v:ext="edit"/>
          </v:shape>
        </w:pict>
      </w:r>
    </w:p>
    <w:tbl>
      <w:tblPr>
        <w:tblStyle w:val="5"/>
        <w:tblW w:w="904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0"/>
        <w:gridCol w:w="473"/>
        <w:gridCol w:w="2030"/>
        <w:gridCol w:w="3669"/>
        <w:gridCol w:w="654"/>
        <w:gridCol w:w="648"/>
        <w:gridCol w:w="990"/>
      </w:tblGrid>
      <w:tr w14:paraId="300751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580" w:type="dxa"/>
            <w:tcBorders>
              <w:top w:val="single" w:color="000000" w:sz="10" w:space="0"/>
              <w:left w:val="nil"/>
            </w:tcBorders>
            <w:vAlign w:val="top"/>
          </w:tcPr>
          <w:p w14:paraId="51F52064">
            <w:pPr>
              <w:pStyle w:val="6"/>
              <w:spacing w:before="73" w:line="229" w:lineRule="auto"/>
              <w:ind w:left="22"/>
              <w:rPr>
                <w:sz w:val="20"/>
                <w:szCs w:val="20"/>
              </w:rPr>
            </w:pPr>
            <w:r>
              <w:rPr>
                <w:b/>
                <w:bCs/>
                <w:spacing w:val="3"/>
                <w:sz w:val="20"/>
                <w:szCs w:val="20"/>
              </w:rPr>
              <w:t>位置</w:t>
            </w:r>
          </w:p>
        </w:tc>
        <w:tc>
          <w:tcPr>
            <w:tcW w:w="473" w:type="dxa"/>
            <w:tcBorders>
              <w:top w:val="single" w:color="000000" w:sz="10" w:space="0"/>
            </w:tcBorders>
            <w:vAlign w:val="top"/>
          </w:tcPr>
          <w:p w14:paraId="0652FCE6">
            <w:pPr>
              <w:pStyle w:val="6"/>
              <w:spacing w:before="73" w:line="229" w:lineRule="auto"/>
              <w:ind w:left="29"/>
              <w:rPr>
                <w:sz w:val="20"/>
                <w:szCs w:val="20"/>
              </w:rPr>
            </w:pPr>
            <w:r>
              <w:rPr>
                <w:b/>
                <w:bCs/>
                <w:spacing w:val="4"/>
                <w:sz w:val="20"/>
                <w:szCs w:val="20"/>
              </w:rPr>
              <w:t>序号</w:t>
            </w:r>
          </w:p>
        </w:tc>
        <w:tc>
          <w:tcPr>
            <w:tcW w:w="2030" w:type="dxa"/>
            <w:tcBorders>
              <w:top w:val="single" w:color="000000" w:sz="10" w:space="0"/>
            </w:tcBorders>
            <w:vAlign w:val="top"/>
          </w:tcPr>
          <w:p w14:paraId="62FF1471">
            <w:pPr>
              <w:pStyle w:val="6"/>
              <w:spacing w:before="73" w:line="230" w:lineRule="auto"/>
              <w:ind w:left="812"/>
              <w:rPr>
                <w:sz w:val="20"/>
                <w:szCs w:val="20"/>
              </w:rPr>
            </w:pPr>
            <w:r>
              <w:rPr>
                <w:b/>
                <w:bCs/>
                <w:spacing w:val="2"/>
                <w:sz w:val="20"/>
                <w:szCs w:val="20"/>
              </w:rPr>
              <w:t>名称</w:t>
            </w:r>
          </w:p>
        </w:tc>
        <w:tc>
          <w:tcPr>
            <w:tcW w:w="3669" w:type="dxa"/>
            <w:tcBorders>
              <w:top w:val="single" w:color="000000" w:sz="10" w:space="0"/>
            </w:tcBorders>
            <w:vAlign w:val="top"/>
          </w:tcPr>
          <w:p w14:paraId="0CA57708">
            <w:pPr>
              <w:pStyle w:val="6"/>
              <w:spacing w:before="73" w:line="228" w:lineRule="auto"/>
              <w:ind w:left="1418"/>
              <w:rPr>
                <w:sz w:val="20"/>
                <w:szCs w:val="20"/>
              </w:rPr>
            </w:pPr>
            <w:r>
              <w:rPr>
                <w:b/>
                <w:bCs/>
                <w:spacing w:val="6"/>
                <w:sz w:val="20"/>
                <w:szCs w:val="20"/>
              </w:rPr>
              <w:t>规格型号</w:t>
            </w:r>
          </w:p>
        </w:tc>
        <w:tc>
          <w:tcPr>
            <w:tcW w:w="654" w:type="dxa"/>
            <w:tcBorders>
              <w:top w:val="single" w:color="000000" w:sz="10" w:space="0"/>
            </w:tcBorders>
            <w:vAlign w:val="top"/>
          </w:tcPr>
          <w:p w14:paraId="26B2AA24">
            <w:pPr>
              <w:pStyle w:val="6"/>
              <w:spacing w:before="74" w:line="228" w:lineRule="auto"/>
              <w:ind w:left="123"/>
              <w:rPr>
                <w:sz w:val="20"/>
                <w:szCs w:val="20"/>
              </w:rPr>
            </w:pPr>
            <w:r>
              <w:rPr>
                <w:b/>
                <w:bCs/>
                <w:spacing w:val="3"/>
                <w:sz w:val="20"/>
                <w:szCs w:val="20"/>
              </w:rPr>
              <w:t>单位</w:t>
            </w:r>
          </w:p>
        </w:tc>
        <w:tc>
          <w:tcPr>
            <w:tcW w:w="648" w:type="dxa"/>
            <w:tcBorders>
              <w:top w:val="single" w:color="000000" w:sz="10" w:space="0"/>
            </w:tcBorders>
            <w:vAlign w:val="top"/>
          </w:tcPr>
          <w:p w14:paraId="43F7E5B0">
            <w:pPr>
              <w:pStyle w:val="6"/>
              <w:spacing w:before="73" w:line="228" w:lineRule="auto"/>
              <w:ind w:left="120"/>
              <w:rPr>
                <w:sz w:val="20"/>
                <w:szCs w:val="20"/>
              </w:rPr>
            </w:pPr>
            <w:r>
              <w:rPr>
                <w:b/>
                <w:bCs/>
                <w:spacing w:val="3"/>
                <w:sz w:val="20"/>
                <w:szCs w:val="20"/>
              </w:rPr>
              <w:t>数量</w:t>
            </w:r>
          </w:p>
        </w:tc>
        <w:tc>
          <w:tcPr>
            <w:tcW w:w="990" w:type="dxa"/>
            <w:tcBorders>
              <w:top w:val="single" w:color="000000" w:sz="10" w:space="0"/>
              <w:right w:val="nil"/>
            </w:tcBorders>
            <w:vAlign w:val="top"/>
          </w:tcPr>
          <w:p w14:paraId="2D7FA239">
            <w:pPr>
              <w:pStyle w:val="6"/>
              <w:spacing w:before="73" w:line="229" w:lineRule="auto"/>
              <w:ind w:left="293"/>
              <w:rPr>
                <w:sz w:val="20"/>
                <w:szCs w:val="20"/>
              </w:rPr>
            </w:pPr>
            <w:r>
              <w:rPr>
                <w:b/>
                <w:bCs/>
                <w:spacing w:val="2"/>
                <w:sz w:val="20"/>
                <w:szCs w:val="20"/>
              </w:rPr>
              <w:t>备注</w:t>
            </w:r>
          </w:p>
        </w:tc>
      </w:tr>
      <w:tr w14:paraId="58BC57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580" w:type="dxa"/>
            <w:vMerge w:val="restart"/>
            <w:tcBorders>
              <w:left w:val="nil"/>
              <w:bottom w:val="nil"/>
            </w:tcBorders>
            <w:vAlign w:val="top"/>
          </w:tcPr>
          <w:p w14:paraId="10F30E7D">
            <w:pPr>
              <w:rPr>
                <w:rFonts w:ascii="Arial"/>
                <w:sz w:val="21"/>
              </w:rPr>
            </w:pPr>
          </w:p>
        </w:tc>
        <w:tc>
          <w:tcPr>
            <w:tcW w:w="473" w:type="dxa"/>
            <w:vAlign w:val="top"/>
          </w:tcPr>
          <w:p w14:paraId="74C814FD">
            <w:pPr>
              <w:spacing w:before="108" w:line="195" w:lineRule="auto"/>
              <w:ind w:left="1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030" w:type="dxa"/>
            <w:vAlign w:val="top"/>
          </w:tcPr>
          <w:p w14:paraId="0B13F504">
            <w:pPr>
              <w:pStyle w:val="6"/>
              <w:spacing w:before="69" w:line="227" w:lineRule="auto"/>
              <w:ind w:left="390"/>
              <w:rPr>
                <w:sz w:val="20"/>
                <w:szCs w:val="20"/>
              </w:rPr>
            </w:pPr>
            <w:r>
              <w:rPr>
                <w:spacing w:val="8"/>
                <w:sz w:val="20"/>
                <w:szCs w:val="20"/>
              </w:rPr>
              <w:t>轨道冷却风机</w:t>
            </w:r>
          </w:p>
        </w:tc>
        <w:tc>
          <w:tcPr>
            <w:tcW w:w="3669" w:type="dxa"/>
            <w:vAlign w:val="top"/>
          </w:tcPr>
          <w:p w14:paraId="4F175C41">
            <w:pPr>
              <w:rPr>
                <w:rFonts w:ascii="Arial"/>
                <w:sz w:val="21"/>
              </w:rPr>
            </w:pPr>
          </w:p>
        </w:tc>
        <w:tc>
          <w:tcPr>
            <w:tcW w:w="654" w:type="dxa"/>
            <w:vAlign w:val="top"/>
          </w:tcPr>
          <w:p w14:paraId="661D60FC">
            <w:pPr>
              <w:pStyle w:val="6"/>
              <w:spacing w:before="69" w:line="230" w:lineRule="auto"/>
              <w:ind w:left="243"/>
              <w:rPr>
                <w:sz w:val="20"/>
                <w:szCs w:val="20"/>
              </w:rPr>
            </w:pPr>
            <w:r>
              <w:rPr>
                <w:sz w:val="20"/>
                <w:szCs w:val="20"/>
              </w:rPr>
              <w:t>台</w:t>
            </w:r>
          </w:p>
        </w:tc>
        <w:tc>
          <w:tcPr>
            <w:tcW w:w="648" w:type="dxa"/>
            <w:vAlign w:val="top"/>
          </w:tcPr>
          <w:p w14:paraId="51B2865F">
            <w:pPr>
              <w:spacing w:before="108"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5A22A1C7">
            <w:pPr>
              <w:rPr>
                <w:rFonts w:ascii="Arial"/>
                <w:sz w:val="21"/>
              </w:rPr>
            </w:pPr>
          </w:p>
        </w:tc>
      </w:tr>
      <w:tr w14:paraId="52668A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580" w:type="dxa"/>
            <w:vMerge w:val="continue"/>
            <w:tcBorders>
              <w:top w:val="nil"/>
              <w:left w:val="nil"/>
            </w:tcBorders>
            <w:vAlign w:val="top"/>
          </w:tcPr>
          <w:p w14:paraId="3E3FABF8">
            <w:pPr>
              <w:rPr>
                <w:rFonts w:ascii="Arial"/>
                <w:sz w:val="21"/>
              </w:rPr>
            </w:pPr>
          </w:p>
        </w:tc>
        <w:tc>
          <w:tcPr>
            <w:tcW w:w="473" w:type="dxa"/>
            <w:vAlign w:val="top"/>
          </w:tcPr>
          <w:p w14:paraId="05BC31C2">
            <w:pPr>
              <w:spacing w:before="110" w:line="192" w:lineRule="auto"/>
              <w:ind w:left="190"/>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030" w:type="dxa"/>
            <w:vAlign w:val="top"/>
          </w:tcPr>
          <w:p w14:paraId="4B100DB9">
            <w:pPr>
              <w:pStyle w:val="6"/>
              <w:spacing w:before="71" w:line="227" w:lineRule="auto"/>
              <w:ind w:left="394"/>
              <w:rPr>
                <w:sz w:val="20"/>
                <w:szCs w:val="20"/>
              </w:rPr>
            </w:pPr>
            <w:r>
              <w:rPr>
                <w:spacing w:val="7"/>
                <w:sz w:val="20"/>
                <w:szCs w:val="20"/>
              </w:rPr>
              <w:t>卸料端排风机</w:t>
            </w:r>
          </w:p>
        </w:tc>
        <w:tc>
          <w:tcPr>
            <w:tcW w:w="3669" w:type="dxa"/>
            <w:vAlign w:val="top"/>
          </w:tcPr>
          <w:p w14:paraId="33D931F4">
            <w:pPr>
              <w:rPr>
                <w:rFonts w:ascii="Arial"/>
                <w:sz w:val="21"/>
              </w:rPr>
            </w:pPr>
          </w:p>
        </w:tc>
        <w:tc>
          <w:tcPr>
            <w:tcW w:w="654" w:type="dxa"/>
            <w:vAlign w:val="top"/>
          </w:tcPr>
          <w:p w14:paraId="59DC9270">
            <w:pPr>
              <w:pStyle w:val="6"/>
              <w:spacing w:before="71" w:line="230" w:lineRule="auto"/>
              <w:ind w:left="243"/>
              <w:rPr>
                <w:sz w:val="20"/>
                <w:szCs w:val="20"/>
              </w:rPr>
            </w:pPr>
            <w:r>
              <w:rPr>
                <w:sz w:val="20"/>
                <w:szCs w:val="20"/>
              </w:rPr>
              <w:t>台</w:t>
            </w:r>
          </w:p>
        </w:tc>
        <w:tc>
          <w:tcPr>
            <w:tcW w:w="648" w:type="dxa"/>
            <w:vAlign w:val="top"/>
          </w:tcPr>
          <w:p w14:paraId="45EE155E">
            <w:pPr>
              <w:spacing w:before="107"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02EA1B28">
            <w:pPr>
              <w:rPr>
                <w:rFonts w:ascii="Arial"/>
                <w:sz w:val="21"/>
              </w:rPr>
            </w:pPr>
          </w:p>
        </w:tc>
      </w:tr>
      <w:tr w14:paraId="44CE84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580" w:type="dxa"/>
            <w:vMerge w:val="restart"/>
            <w:tcBorders>
              <w:left w:val="nil"/>
              <w:bottom w:val="nil"/>
            </w:tcBorders>
            <w:vAlign w:val="top"/>
          </w:tcPr>
          <w:p w14:paraId="43FC2E9D">
            <w:pPr>
              <w:pStyle w:val="6"/>
              <w:spacing w:before="258" w:line="277" w:lineRule="auto"/>
              <w:ind w:left="86" w:right="80"/>
              <w:rPr>
                <w:sz w:val="20"/>
                <w:szCs w:val="20"/>
              </w:rPr>
            </w:pPr>
            <w:r>
              <w:rPr>
                <w:spacing w:val="4"/>
                <w:sz w:val="20"/>
                <w:szCs w:val="20"/>
              </w:rPr>
              <w:t>焦炭</w:t>
            </w:r>
            <w:r>
              <w:rPr>
                <w:sz w:val="20"/>
                <w:szCs w:val="20"/>
              </w:rPr>
              <w:t xml:space="preserve"> </w:t>
            </w:r>
            <w:r>
              <w:rPr>
                <w:spacing w:val="5"/>
                <w:sz w:val="20"/>
                <w:szCs w:val="20"/>
              </w:rPr>
              <w:t>干燥</w:t>
            </w:r>
          </w:p>
        </w:tc>
        <w:tc>
          <w:tcPr>
            <w:tcW w:w="473" w:type="dxa"/>
            <w:vAlign w:val="top"/>
          </w:tcPr>
          <w:p w14:paraId="0B2FFFE8">
            <w:pPr>
              <w:spacing w:before="108" w:line="195" w:lineRule="auto"/>
              <w:ind w:left="204"/>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030" w:type="dxa"/>
            <w:vAlign w:val="top"/>
          </w:tcPr>
          <w:p w14:paraId="3F343B87">
            <w:pPr>
              <w:pStyle w:val="6"/>
              <w:spacing w:before="72" w:line="227" w:lineRule="auto"/>
              <w:ind w:left="75"/>
              <w:rPr>
                <w:sz w:val="20"/>
                <w:szCs w:val="20"/>
              </w:rPr>
            </w:pPr>
            <w:r>
              <w:rPr>
                <w:spacing w:val="8"/>
                <w:sz w:val="20"/>
                <w:szCs w:val="20"/>
              </w:rPr>
              <w:t>焦炭回转圆筒烘干机</w:t>
            </w:r>
          </w:p>
        </w:tc>
        <w:tc>
          <w:tcPr>
            <w:tcW w:w="3669" w:type="dxa"/>
            <w:vAlign w:val="top"/>
          </w:tcPr>
          <w:p w14:paraId="41CE9F1D">
            <w:pPr>
              <w:spacing w:before="106" w:line="197" w:lineRule="auto"/>
              <w:ind w:left="138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Ø3.6×30m</w:t>
            </w:r>
          </w:p>
        </w:tc>
        <w:tc>
          <w:tcPr>
            <w:tcW w:w="654" w:type="dxa"/>
            <w:vAlign w:val="top"/>
          </w:tcPr>
          <w:p w14:paraId="006BA757">
            <w:pPr>
              <w:pStyle w:val="6"/>
              <w:spacing w:before="72" w:line="230" w:lineRule="auto"/>
              <w:ind w:left="243"/>
              <w:rPr>
                <w:sz w:val="20"/>
                <w:szCs w:val="20"/>
              </w:rPr>
            </w:pPr>
            <w:r>
              <w:rPr>
                <w:sz w:val="20"/>
                <w:szCs w:val="20"/>
              </w:rPr>
              <w:t>台</w:t>
            </w:r>
          </w:p>
        </w:tc>
        <w:tc>
          <w:tcPr>
            <w:tcW w:w="648" w:type="dxa"/>
            <w:vAlign w:val="top"/>
          </w:tcPr>
          <w:p w14:paraId="2477DE9B">
            <w:pPr>
              <w:spacing w:before="108" w:line="195" w:lineRule="auto"/>
              <w:ind w:left="273"/>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990" w:type="dxa"/>
            <w:tcBorders>
              <w:right w:val="nil"/>
            </w:tcBorders>
            <w:vAlign w:val="top"/>
          </w:tcPr>
          <w:p w14:paraId="247C9477">
            <w:pPr>
              <w:rPr>
                <w:rFonts w:ascii="Arial"/>
                <w:sz w:val="21"/>
              </w:rPr>
            </w:pPr>
          </w:p>
        </w:tc>
      </w:tr>
      <w:tr w14:paraId="2511ED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580" w:type="dxa"/>
            <w:vMerge w:val="continue"/>
            <w:tcBorders>
              <w:top w:val="nil"/>
              <w:left w:val="nil"/>
              <w:bottom w:val="nil"/>
            </w:tcBorders>
            <w:vAlign w:val="top"/>
          </w:tcPr>
          <w:p w14:paraId="635C4BF0">
            <w:pPr>
              <w:rPr>
                <w:rFonts w:ascii="Arial"/>
                <w:sz w:val="21"/>
              </w:rPr>
            </w:pPr>
          </w:p>
        </w:tc>
        <w:tc>
          <w:tcPr>
            <w:tcW w:w="473" w:type="dxa"/>
            <w:vAlign w:val="top"/>
          </w:tcPr>
          <w:p w14:paraId="57783CDC">
            <w:pPr>
              <w:spacing w:before="108" w:line="195" w:lineRule="auto"/>
              <w:ind w:left="18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030" w:type="dxa"/>
            <w:vAlign w:val="top"/>
          </w:tcPr>
          <w:p w14:paraId="709155E1">
            <w:pPr>
              <w:pStyle w:val="6"/>
              <w:spacing w:before="72" w:line="227" w:lineRule="auto"/>
              <w:ind w:left="286"/>
              <w:rPr>
                <w:sz w:val="20"/>
                <w:szCs w:val="20"/>
              </w:rPr>
            </w:pPr>
            <w:r>
              <w:rPr>
                <w:spacing w:val="8"/>
                <w:sz w:val="20"/>
                <w:szCs w:val="20"/>
              </w:rPr>
              <w:t>焦炭振动给料机</w:t>
            </w:r>
          </w:p>
        </w:tc>
        <w:tc>
          <w:tcPr>
            <w:tcW w:w="3669" w:type="dxa"/>
            <w:vAlign w:val="top"/>
          </w:tcPr>
          <w:p w14:paraId="412F5D9C">
            <w:pPr>
              <w:rPr>
                <w:rFonts w:ascii="Arial"/>
                <w:sz w:val="21"/>
              </w:rPr>
            </w:pPr>
          </w:p>
        </w:tc>
        <w:tc>
          <w:tcPr>
            <w:tcW w:w="654" w:type="dxa"/>
            <w:vAlign w:val="top"/>
          </w:tcPr>
          <w:p w14:paraId="769C98DC">
            <w:pPr>
              <w:pStyle w:val="6"/>
              <w:spacing w:before="72" w:line="230" w:lineRule="auto"/>
              <w:ind w:left="243"/>
              <w:rPr>
                <w:sz w:val="20"/>
                <w:szCs w:val="20"/>
              </w:rPr>
            </w:pPr>
            <w:r>
              <w:rPr>
                <w:sz w:val="20"/>
                <w:szCs w:val="20"/>
              </w:rPr>
              <w:t>台</w:t>
            </w:r>
          </w:p>
        </w:tc>
        <w:tc>
          <w:tcPr>
            <w:tcW w:w="648" w:type="dxa"/>
            <w:vAlign w:val="top"/>
          </w:tcPr>
          <w:p w14:paraId="0DA5D93C">
            <w:pPr>
              <w:spacing w:before="108" w:line="195" w:lineRule="auto"/>
              <w:ind w:left="273"/>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990" w:type="dxa"/>
            <w:tcBorders>
              <w:right w:val="nil"/>
            </w:tcBorders>
            <w:vAlign w:val="top"/>
          </w:tcPr>
          <w:p w14:paraId="252E935B">
            <w:pPr>
              <w:rPr>
                <w:rFonts w:ascii="Arial"/>
                <w:sz w:val="21"/>
              </w:rPr>
            </w:pPr>
          </w:p>
        </w:tc>
      </w:tr>
      <w:tr w14:paraId="4E3214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580" w:type="dxa"/>
            <w:vMerge w:val="continue"/>
            <w:tcBorders>
              <w:top w:val="nil"/>
              <w:left w:val="nil"/>
            </w:tcBorders>
            <w:vAlign w:val="top"/>
          </w:tcPr>
          <w:p w14:paraId="235619BD">
            <w:pPr>
              <w:rPr>
                <w:rFonts w:ascii="Arial"/>
                <w:sz w:val="21"/>
              </w:rPr>
            </w:pPr>
          </w:p>
        </w:tc>
        <w:tc>
          <w:tcPr>
            <w:tcW w:w="473" w:type="dxa"/>
            <w:vAlign w:val="top"/>
          </w:tcPr>
          <w:p w14:paraId="285C937A">
            <w:pPr>
              <w:spacing w:before="108" w:line="195" w:lineRule="auto"/>
              <w:ind w:left="188"/>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030" w:type="dxa"/>
            <w:vAlign w:val="top"/>
          </w:tcPr>
          <w:p w14:paraId="6E551F96">
            <w:pPr>
              <w:pStyle w:val="6"/>
              <w:spacing w:before="72" w:line="227" w:lineRule="auto"/>
              <w:ind w:left="287"/>
              <w:rPr>
                <w:sz w:val="20"/>
                <w:szCs w:val="20"/>
              </w:rPr>
            </w:pPr>
            <w:r>
              <w:rPr>
                <w:spacing w:val="8"/>
                <w:sz w:val="20"/>
                <w:szCs w:val="20"/>
              </w:rPr>
              <w:t>燃烧室燃气风机</w:t>
            </w:r>
          </w:p>
        </w:tc>
        <w:tc>
          <w:tcPr>
            <w:tcW w:w="3669" w:type="dxa"/>
            <w:vAlign w:val="top"/>
          </w:tcPr>
          <w:p w14:paraId="18DD1E05">
            <w:pPr>
              <w:rPr>
                <w:rFonts w:ascii="Arial"/>
                <w:sz w:val="21"/>
              </w:rPr>
            </w:pPr>
          </w:p>
        </w:tc>
        <w:tc>
          <w:tcPr>
            <w:tcW w:w="654" w:type="dxa"/>
            <w:vAlign w:val="top"/>
          </w:tcPr>
          <w:p w14:paraId="0E206918">
            <w:pPr>
              <w:pStyle w:val="6"/>
              <w:spacing w:before="72" w:line="230" w:lineRule="auto"/>
              <w:ind w:left="243"/>
              <w:rPr>
                <w:sz w:val="20"/>
                <w:szCs w:val="20"/>
              </w:rPr>
            </w:pPr>
            <w:r>
              <w:rPr>
                <w:sz w:val="20"/>
                <w:szCs w:val="20"/>
              </w:rPr>
              <w:t>台</w:t>
            </w:r>
          </w:p>
        </w:tc>
        <w:tc>
          <w:tcPr>
            <w:tcW w:w="648" w:type="dxa"/>
            <w:vAlign w:val="top"/>
          </w:tcPr>
          <w:p w14:paraId="46AC576A">
            <w:pPr>
              <w:spacing w:before="108" w:line="195" w:lineRule="auto"/>
              <w:ind w:left="273"/>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990" w:type="dxa"/>
            <w:tcBorders>
              <w:right w:val="nil"/>
            </w:tcBorders>
            <w:vAlign w:val="top"/>
          </w:tcPr>
          <w:p w14:paraId="5EFBC7EC">
            <w:pPr>
              <w:rPr>
                <w:rFonts w:ascii="Arial"/>
                <w:sz w:val="21"/>
              </w:rPr>
            </w:pPr>
          </w:p>
        </w:tc>
      </w:tr>
      <w:tr w14:paraId="32B18C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580" w:type="dxa"/>
            <w:vMerge w:val="restart"/>
            <w:tcBorders>
              <w:left w:val="nil"/>
              <w:bottom w:val="nil"/>
            </w:tcBorders>
            <w:vAlign w:val="top"/>
          </w:tcPr>
          <w:p w14:paraId="79A64A17">
            <w:pPr>
              <w:spacing w:line="350" w:lineRule="auto"/>
              <w:rPr>
                <w:rFonts w:ascii="Arial"/>
                <w:sz w:val="21"/>
              </w:rPr>
            </w:pPr>
          </w:p>
          <w:p w14:paraId="59E6403B">
            <w:pPr>
              <w:pStyle w:val="6"/>
              <w:spacing w:before="65" w:line="228" w:lineRule="auto"/>
              <w:ind w:left="89"/>
              <w:rPr>
                <w:sz w:val="20"/>
                <w:szCs w:val="20"/>
              </w:rPr>
            </w:pPr>
            <w:r>
              <w:rPr>
                <w:spacing w:val="3"/>
                <w:sz w:val="20"/>
                <w:szCs w:val="20"/>
              </w:rPr>
              <w:t>冶炼</w:t>
            </w:r>
          </w:p>
        </w:tc>
        <w:tc>
          <w:tcPr>
            <w:tcW w:w="473" w:type="dxa"/>
            <w:vAlign w:val="top"/>
          </w:tcPr>
          <w:p w14:paraId="322B9968">
            <w:pPr>
              <w:spacing w:before="110" w:line="195" w:lineRule="auto"/>
              <w:ind w:left="204"/>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030" w:type="dxa"/>
            <w:vAlign w:val="top"/>
          </w:tcPr>
          <w:p w14:paraId="463C8439">
            <w:pPr>
              <w:pStyle w:val="6"/>
              <w:spacing w:before="74" w:line="228" w:lineRule="auto"/>
              <w:ind w:left="389"/>
              <w:rPr>
                <w:sz w:val="20"/>
                <w:szCs w:val="20"/>
              </w:rPr>
            </w:pPr>
            <w:r>
              <w:rPr>
                <w:spacing w:val="8"/>
                <w:sz w:val="20"/>
                <w:szCs w:val="20"/>
              </w:rPr>
              <w:t>锰硅合金电炉</w:t>
            </w:r>
          </w:p>
        </w:tc>
        <w:tc>
          <w:tcPr>
            <w:tcW w:w="3669" w:type="dxa"/>
            <w:vAlign w:val="top"/>
          </w:tcPr>
          <w:p w14:paraId="2F160D1D">
            <w:pPr>
              <w:spacing w:before="106" w:line="199" w:lineRule="auto"/>
              <w:ind w:left="1374"/>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36000</w:t>
            </w:r>
            <w:r>
              <w:rPr>
                <w:rFonts w:ascii="Times New Roman" w:hAnsi="Times New Roman" w:eastAsia="Times New Roman" w:cs="Times New Roman"/>
                <w:sz w:val="20"/>
                <w:szCs w:val="20"/>
              </w:rPr>
              <w:t>kVA</w:t>
            </w:r>
          </w:p>
        </w:tc>
        <w:tc>
          <w:tcPr>
            <w:tcW w:w="654" w:type="dxa"/>
            <w:vAlign w:val="top"/>
          </w:tcPr>
          <w:p w14:paraId="60005C23">
            <w:pPr>
              <w:pStyle w:val="6"/>
              <w:spacing w:before="73" w:line="230" w:lineRule="auto"/>
              <w:ind w:left="243"/>
              <w:rPr>
                <w:sz w:val="20"/>
                <w:szCs w:val="20"/>
              </w:rPr>
            </w:pPr>
            <w:r>
              <w:rPr>
                <w:sz w:val="20"/>
                <w:szCs w:val="20"/>
              </w:rPr>
              <w:t>台</w:t>
            </w:r>
          </w:p>
        </w:tc>
        <w:tc>
          <w:tcPr>
            <w:tcW w:w="648" w:type="dxa"/>
            <w:vAlign w:val="top"/>
          </w:tcPr>
          <w:p w14:paraId="4E87731B">
            <w:pPr>
              <w:spacing w:before="109" w:line="195" w:lineRule="auto"/>
              <w:ind w:left="277"/>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990" w:type="dxa"/>
            <w:tcBorders>
              <w:right w:val="nil"/>
            </w:tcBorders>
            <w:vAlign w:val="top"/>
          </w:tcPr>
          <w:p w14:paraId="7A187550">
            <w:pPr>
              <w:rPr>
                <w:rFonts w:ascii="Arial"/>
                <w:sz w:val="21"/>
              </w:rPr>
            </w:pPr>
          </w:p>
        </w:tc>
      </w:tr>
      <w:tr w14:paraId="41BC1F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580" w:type="dxa"/>
            <w:vMerge w:val="continue"/>
            <w:tcBorders>
              <w:top w:val="nil"/>
              <w:left w:val="nil"/>
              <w:bottom w:val="nil"/>
            </w:tcBorders>
            <w:vAlign w:val="top"/>
          </w:tcPr>
          <w:p w14:paraId="41376570">
            <w:pPr>
              <w:rPr>
                <w:rFonts w:ascii="Arial"/>
                <w:sz w:val="21"/>
              </w:rPr>
            </w:pPr>
          </w:p>
        </w:tc>
        <w:tc>
          <w:tcPr>
            <w:tcW w:w="473" w:type="dxa"/>
            <w:vAlign w:val="top"/>
          </w:tcPr>
          <w:p w14:paraId="475543CD">
            <w:pPr>
              <w:spacing w:before="111" w:line="195" w:lineRule="auto"/>
              <w:ind w:left="18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030" w:type="dxa"/>
            <w:vAlign w:val="top"/>
          </w:tcPr>
          <w:p w14:paraId="4D7B6A86">
            <w:pPr>
              <w:pStyle w:val="6"/>
              <w:spacing w:before="75" w:line="228" w:lineRule="auto"/>
              <w:ind w:left="519"/>
              <w:rPr>
                <w:sz w:val="20"/>
                <w:szCs w:val="20"/>
              </w:rPr>
            </w:pPr>
            <w:r>
              <w:rPr>
                <w:spacing w:val="3"/>
                <w:sz w:val="20"/>
                <w:szCs w:val="20"/>
              </w:rPr>
              <w:t>电炉变压器</w:t>
            </w:r>
          </w:p>
        </w:tc>
        <w:tc>
          <w:tcPr>
            <w:tcW w:w="3669" w:type="dxa"/>
            <w:vAlign w:val="top"/>
          </w:tcPr>
          <w:p w14:paraId="6ABCBBBE">
            <w:pPr>
              <w:pStyle w:val="6"/>
              <w:spacing w:before="75" w:line="228" w:lineRule="auto"/>
              <w:ind w:left="823"/>
              <w:rPr>
                <w:sz w:val="20"/>
                <w:szCs w:val="20"/>
              </w:rPr>
            </w:pPr>
            <w:r>
              <w:rPr>
                <w:rFonts w:ascii="Times New Roman" w:hAnsi="Times New Roman" w:eastAsia="Times New Roman" w:cs="Times New Roman"/>
                <w:spacing w:val="6"/>
                <w:sz w:val="20"/>
                <w:szCs w:val="20"/>
              </w:rPr>
              <w:t>6</w:t>
            </w:r>
            <w:r>
              <w:rPr>
                <w:spacing w:val="6"/>
                <w:sz w:val="20"/>
                <w:szCs w:val="20"/>
              </w:rPr>
              <w:t>×</w:t>
            </w:r>
            <w:r>
              <w:rPr>
                <w:rFonts w:ascii="Times New Roman" w:hAnsi="Times New Roman" w:eastAsia="Times New Roman" w:cs="Times New Roman"/>
                <w:spacing w:val="6"/>
                <w:sz w:val="20"/>
                <w:szCs w:val="20"/>
              </w:rPr>
              <w:t>2</w:t>
            </w:r>
            <w:r>
              <w:rPr>
                <w:spacing w:val="6"/>
                <w:sz w:val="20"/>
                <w:szCs w:val="20"/>
              </w:rPr>
              <w:t>×</w:t>
            </w:r>
            <w:r>
              <w:rPr>
                <w:rFonts w:ascii="Times New Roman" w:hAnsi="Times New Roman" w:eastAsia="Times New Roman" w:cs="Times New Roman"/>
                <w:spacing w:val="6"/>
                <w:sz w:val="20"/>
                <w:szCs w:val="20"/>
              </w:rPr>
              <w:t>18000</w:t>
            </w:r>
            <w:r>
              <w:rPr>
                <w:rFonts w:ascii="Times New Roman" w:hAnsi="Times New Roman" w:eastAsia="Times New Roman" w:cs="Times New Roman"/>
                <w:sz w:val="20"/>
                <w:szCs w:val="20"/>
              </w:rPr>
              <w:t>kVA</w:t>
            </w:r>
            <w:r>
              <w:rPr>
                <w:rFonts w:ascii="Times New Roman" w:hAnsi="Times New Roman" w:eastAsia="Times New Roman" w:cs="Times New Roman"/>
                <w:spacing w:val="18"/>
                <w:sz w:val="20"/>
                <w:szCs w:val="20"/>
              </w:rPr>
              <w:t xml:space="preserve"> </w:t>
            </w:r>
            <w:r>
              <w:rPr>
                <w:spacing w:val="6"/>
                <w:sz w:val="20"/>
                <w:szCs w:val="20"/>
              </w:rPr>
              <w:t>单相</w:t>
            </w:r>
          </w:p>
        </w:tc>
        <w:tc>
          <w:tcPr>
            <w:tcW w:w="654" w:type="dxa"/>
            <w:vAlign w:val="top"/>
          </w:tcPr>
          <w:p w14:paraId="64E2F710">
            <w:pPr>
              <w:pStyle w:val="6"/>
              <w:spacing w:before="75" w:line="230" w:lineRule="auto"/>
              <w:ind w:left="243"/>
              <w:rPr>
                <w:sz w:val="20"/>
                <w:szCs w:val="20"/>
              </w:rPr>
            </w:pPr>
            <w:r>
              <w:rPr>
                <w:sz w:val="20"/>
                <w:szCs w:val="20"/>
              </w:rPr>
              <w:t>台</w:t>
            </w:r>
          </w:p>
        </w:tc>
        <w:tc>
          <w:tcPr>
            <w:tcW w:w="648" w:type="dxa"/>
            <w:vAlign w:val="top"/>
          </w:tcPr>
          <w:p w14:paraId="2C96342D">
            <w:pPr>
              <w:spacing w:before="111" w:line="195" w:lineRule="auto"/>
              <w:ind w:left="24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990" w:type="dxa"/>
            <w:tcBorders>
              <w:right w:val="nil"/>
            </w:tcBorders>
            <w:vAlign w:val="top"/>
          </w:tcPr>
          <w:p w14:paraId="033ABF62">
            <w:pPr>
              <w:pStyle w:val="6"/>
              <w:spacing w:before="75" w:line="228" w:lineRule="auto"/>
              <w:ind w:left="18"/>
              <w:rPr>
                <w:sz w:val="20"/>
                <w:szCs w:val="20"/>
              </w:rPr>
            </w:pPr>
            <w:r>
              <w:rPr>
                <w:rFonts w:ascii="Times New Roman" w:hAnsi="Times New Roman" w:eastAsia="Times New Roman" w:cs="Times New Roman"/>
                <w:spacing w:val="1"/>
                <w:sz w:val="20"/>
                <w:szCs w:val="20"/>
              </w:rPr>
              <w:t>2</w:t>
            </w:r>
            <w:r>
              <w:rPr>
                <w:rFonts w:ascii="Times New Roman" w:hAnsi="Times New Roman" w:eastAsia="Times New Roman" w:cs="Times New Roman"/>
                <w:spacing w:val="26"/>
                <w:w w:val="101"/>
                <w:sz w:val="20"/>
                <w:szCs w:val="20"/>
              </w:rPr>
              <w:t xml:space="preserve"> </w:t>
            </w:r>
            <w:r>
              <w:rPr>
                <w:spacing w:val="1"/>
                <w:sz w:val="20"/>
                <w:szCs w:val="20"/>
              </w:rPr>
              <w:t>台</w:t>
            </w:r>
            <w:r>
              <w:rPr>
                <w:rFonts w:ascii="Times New Roman" w:hAnsi="Times New Roman" w:eastAsia="Times New Roman" w:cs="Times New Roman"/>
                <w:spacing w:val="1"/>
                <w:sz w:val="20"/>
                <w:szCs w:val="20"/>
              </w:rPr>
              <w:t>/</w:t>
            </w:r>
            <w:r>
              <w:rPr>
                <w:spacing w:val="1"/>
                <w:sz w:val="20"/>
                <w:szCs w:val="20"/>
              </w:rPr>
              <w:t>台炉</w:t>
            </w:r>
          </w:p>
        </w:tc>
      </w:tr>
      <w:tr w14:paraId="52AE79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580" w:type="dxa"/>
            <w:vMerge w:val="continue"/>
            <w:tcBorders>
              <w:top w:val="nil"/>
              <w:left w:val="nil"/>
            </w:tcBorders>
            <w:vAlign w:val="top"/>
          </w:tcPr>
          <w:p w14:paraId="6C284551">
            <w:pPr>
              <w:rPr>
                <w:rFonts w:ascii="Arial"/>
                <w:sz w:val="21"/>
              </w:rPr>
            </w:pPr>
          </w:p>
        </w:tc>
        <w:tc>
          <w:tcPr>
            <w:tcW w:w="473" w:type="dxa"/>
            <w:vAlign w:val="top"/>
          </w:tcPr>
          <w:p w14:paraId="31177D78">
            <w:pPr>
              <w:spacing w:before="111" w:line="195" w:lineRule="auto"/>
              <w:ind w:left="188"/>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030" w:type="dxa"/>
            <w:vAlign w:val="top"/>
          </w:tcPr>
          <w:p w14:paraId="3FD03AF9">
            <w:pPr>
              <w:pStyle w:val="6"/>
              <w:spacing w:before="75" w:line="227" w:lineRule="auto"/>
              <w:ind w:left="181"/>
              <w:rPr>
                <w:sz w:val="20"/>
                <w:szCs w:val="20"/>
              </w:rPr>
            </w:pPr>
            <w:r>
              <w:rPr>
                <w:spacing w:val="8"/>
                <w:sz w:val="20"/>
                <w:szCs w:val="20"/>
              </w:rPr>
              <w:t>煤气干法净化装置</w:t>
            </w:r>
          </w:p>
        </w:tc>
        <w:tc>
          <w:tcPr>
            <w:tcW w:w="3669" w:type="dxa"/>
            <w:vAlign w:val="top"/>
          </w:tcPr>
          <w:p w14:paraId="7D32564A">
            <w:pPr>
              <w:rPr>
                <w:rFonts w:ascii="Arial"/>
                <w:sz w:val="21"/>
              </w:rPr>
            </w:pPr>
          </w:p>
        </w:tc>
        <w:tc>
          <w:tcPr>
            <w:tcW w:w="654" w:type="dxa"/>
            <w:vAlign w:val="top"/>
          </w:tcPr>
          <w:p w14:paraId="78C6DA55">
            <w:pPr>
              <w:pStyle w:val="6"/>
              <w:spacing w:before="75" w:line="228" w:lineRule="auto"/>
              <w:ind w:left="228"/>
              <w:rPr>
                <w:sz w:val="20"/>
                <w:szCs w:val="20"/>
              </w:rPr>
            </w:pPr>
            <w:r>
              <w:rPr>
                <w:sz w:val="20"/>
                <w:szCs w:val="20"/>
              </w:rPr>
              <w:t>套</w:t>
            </w:r>
          </w:p>
        </w:tc>
        <w:tc>
          <w:tcPr>
            <w:tcW w:w="648" w:type="dxa"/>
            <w:vAlign w:val="top"/>
          </w:tcPr>
          <w:p w14:paraId="4C60A42C">
            <w:pPr>
              <w:spacing w:before="111" w:line="195" w:lineRule="auto"/>
              <w:ind w:left="277"/>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990" w:type="dxa"/>
            <w:tcBorders>
              <w:right w:val="nil"/>
            </w:tcBorders>
            <w:vAlign w:val="top"/>
          </w:tcPr>
          <w:p w14:paraId="048712EB">
            <w:pPr>
              <w:rPr>
                <w:rFonts w:ascii="Arial"/>
                <w:sz w:val="21"/>
              </w:rPr>
            </w:pPr>
          </w:p>
        </w:tc>
      </w:tr>
    </w:tbl>
    <w:p w14:paraId="568148F9">
      <w:pPr>
        <w:spacing w:before="68" w:line="228" w:lineRule="auto"/>
        <w:ind w:left="3687"/>
        <w:rPr>
          <w:rFonts w:ascii="宋体" w:hAnsi="宋体" w:eastAsia="宋体" w:cs="宋体"/>
          <w:sz w:val="20"/>
          <w:szCs w:val="20"/>
        </w:rPr>
      </w:pPr>
      <w:r>
        <w:rPr>
          <w:rFonts w:ascii="宋体" w:hAnsi="宋体" w:eastAsia="宋体" w:cs="宋体"/>
          <w:b/>
          <w:bCs/>
          <w:spacing w:val="7"/>
          <w:sz w:val="20"/>
          <w:szCs w:val="20"/>
        </w:rPr>
        <w:t>煤气发电生产设备</w:t>
      </w:r>
    </w:p>
    <w:p w14:paraId="71C7E866">
      <w:pPr>
        <w:spacing w:line="18" w:lineRule="exact"/>
      </w:pPr>
    </w:p>
    <w:tbl>
      <w:tblPr>
        <w:tblStyle w:val="5"/>
        <w:tblW w:w="904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0"/>
        <w:gridCol w:w="473"/>
        <w:gridCol w:w="2030"/>
        <w:gridCol w:w="3669"/>
        <w:gridCol w:w="654"/>
        <w:gridCol w:w="648"/>
        <w:gridCol w:w="990"/>
      </w:tblGrid>
      <w:tr w14:paraId="320492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580" w:type="dxa"/>
            <w:vMerge w:val="restart"/>
            <w:tcBorders>
              <w:left w:val="nil"/>
              <w:bottom w:val="nil"/>
            </w:tcBorders>
            <w:vAlign w:val="top"/>
          </w:tcPr>
          <w:p w14:paraId="5BC221D0">
            <w:pPr>
              <w:spacing w:line="337" w:lineRule="auto"/>
              <w:rPr>
                <w:rFonts w:ascii="Arial"/>
                <w:sz w:val="21"/>
              </w:rPr>
            </w:pPr>
          </w:p>
          <w:p w14:paraId="360997A2">
            <w:pPr>
              <w:spacing w:line="337" w:lineRule="auto"/>
              <w:rPr>
                <w:rFonts w:ascii="Arial"/>
                <w:sz w:val="21"/>
              </w:rPr>
            </w:pPr>
          </w:p>
          <w:p w14:paraId="34177BF3">
            <w:pPr>
              <w:pStyle w:val="6"/>
              <w:spacing w:before="65" w:line="280" w:lineRule="auto"/>
              <w:ind w:left="89" w:right="80" w:hanging="2"/>
              <w:rPr>
                <w:sz w:val="20"/>
                <w:szCs w:val="20"/>
              </w:rPr>
            </w:pPr>
            <w:r>
              <w:rPr>
                <w:spacing w:val="4"/>
                <w:sz w:val="20"/>
                <w:szCs w:val="20"/>
              </w:rPr>
              <w:t>煤气</w:t>
            </w:r>
            <w:r>
              <w:rPr>
                <w:sz w:val="20"/>
                <w:szCs w:val="20"/>
              </w:rPr>
              <w:t xml:space="preserve"> </w:t>
            </w:r>
            <w:r>
              <w:rPr>
                <w:spacing w:val="3"/>
                <w:sz w:val="20"/>
                <w:szCs w:val="20"/>
              </w:rPr>
              <w:t>发电</w:t>
            </w:r>
          </w:p>
        </w:tc>
        <w:tc>
          <w:tcPr>
            <w:tcW w:w="473" w:type="dxa"/>
            <w:vAlign w:val="top"/>
          </w:tcPr>
          <w:p w14:paraId="767B9D3C">
            <w:pPr>
              <w:spacing w:before="111" w:line="195" w:lineRule="auto"/>
              <w:ind w:left="204"/>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030" w:type="dxa"/>
            <w:vAlign w:val="top"/>
          </w:tcPr>
          <w:p w14:paraId="1E41071E">
            <w:pPr>
              <w:pStyle w:val="6"/>
              <w:spacing w:before="73" w:line="228" w:lineRule="auto"/>
              <w:ind w:left="809"/>
              <w:rPr>
                <w:sz w:val="20"/>
                <w:szCs w:val="20"/>
              </w:rPr>
            </w:pPr>
            <w:r>
              <w:rPr>
                <w:spacing w:val="4"/>
                <w:sz w:val="20"/>
                <w:szCs w:val="20"/>
              </w:rPr>
              <w:t>锅炉</w:t>
            </w:r>
          </w:p>
        </w:tc>
        <w:tc>
          <w:tcPr>
            <w:tcW w:w="3669" w:type="dxa"/>
            <w:vAlign w:val="top"/>
          </w:tcPr>
          <w:p w14:paraId="00BF8D06">
            <w:pPr>
              <w:pStyle w:val="6"/>
              <w:spacing w:before="73" w:line="223" w:lineRule="auto"/>
              <w:ind w:left="842"/>
              <w:rPr>
                <w:sz w:val="20"/>
                <w:szCs w:val="20"/>
              </w:rPr>
            </w:pPr>
            <w:r>
              <w:rPr>
                <w:rFonts w:ascii="Times New Roman" w:hAnsi="Times New Roman" w:eastAsia="Times New Roman" w:cs="Times New Roman"/>
                <w:sz w:val="20"/>
                <w:szCs w:val="20"/>
              </w:rPr>
              <w:t>NG</w:t>
            </w:r>
            <w:r>
              <w:rPr>
                <w:rFonts w:ascii="Times New Roman" w:hAnsi="Times New Roman" w:eastAsia="Times New Roman" w:cs="Times New Roman"/>
                <w:spacing w:val="5"/>
                <w:sz w:val="20"/>
                <w:szCs w:val="20"/>
              </w:rPr>
              <w:t>-200/13.7/571-Q</w:t>
            </w:r>
            <w:r>
              <w:rPr>
                <w:rFonts w:ascii="Times New Roman" w:hAnsi="Times New Roman" w:eastAsia="Times New Roman" w:cs="Times New Roman"/>
                <w:spacing w:val="20"/>
                <w:sz w:val="20"/>
                <w:szCs w:val="20"/>
              </w:rPr>
              <w:t xml:space="preserve"> </w:t>
            </w:r>
            <w:r>
              <w:rPr>
                <w:spacing w:val="5"/>
                <w:sz w:val="20"/>
                <w:szCs w:val="20"/>
              </w:rPr>
              <w:t>型</w:t>
            </w:r>
          </w:p>
        </w:tc>
        <w:tc>
          <w:tcPr>
            <w:tcW w:w="654" w:type="dxa"/>
            <w:vAlign w:val="top"/>
          </w:tcPr>
          <w:p w14:paraId="15E4C38B">
            <w:pPr>
              <w:pStyle w:val="6"/>
              <w:spacing w:before="73" w:line="230" w:lineRule="auto"/>
              <w:ind w:left="243"/>
              <w:rPr>
                <w:sz w:val="20"/>
                <w:szCs w:val="20"/>
              </w:rPr>
            </w:pPr>
            <w:r>
              <w:rPr>
                <w:sz w:val="20"/>
                <w:szCs w:val="20"/>
              </w:rPr>
              <w:t>台</w:t>
            </w:r>
          </w:p>
        </w:tc>
        <w:tc>
          <w:tcPr>
            <w:tcW w:w="648" w:type="dxa"/>
            <w:vAlign w:val="top"/>
          </w:tcPr>
          <w:p w14:paraId="4352E79D">
            <w:pPr>
              <w:spacing w:before="111"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5314C628">
            <w:pPr>
              <w:rPr>
                <w:rFonts w:ascii="Arial"/>
                <w:sz w:val="21"/>
              </w:rPr>
            </w:pPr>
          </w:p>
        </w:tc>
      </w:tr>
      <w:tr w14:paraId="70AC64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580" w:type="dxa"/>
            <w:vMerge w:val="continue"/>
            <w:tcBorders>
              <w:top w:val="nil"/>
              <w:left w:val="nil"/>
              <w:bottom w:val="nil"/>
            </w:tcBorders>
            <w:vAlign w:val="top"/>
          </w:tcPr>
          <w:p w14:paraId="3895B8FD">
            <w:pPr>
              <w:rPr>
                <w:rFonts w:ascii="Arial"/>
                <w:sz w:val="21"/>
              </w:rPr>
            </w:pPr>
          </w:p>
        </w:tc>
        <w:tc>
          <w:tcPr>
            <w:tcW w:w="473" w:type="dxa"/>
            <w:vAlign w:val="top"/>
          </w:tcPr>
          <w:p w14:paraId="1458CEE8">
            <w:pPr>
              <w:spacing w:before="107" w:line="195" w:lineRule="auto"/>
              <w:ind w:left="18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030" w:type="dxa"/>
            <w:vAlign w:val="top"/>
          </w:tcPr>
          <w:p w14:paraId="4379254C">
            <w:pPr>
              <w:pStyle w:val="6"/>
              <w:spacing w:before="71" w:line="227" w:lineRule="auto"/>
              <w:ind w:left="706"/>
              <w:rPr>
                <w:sz w:val="20"/>
                <w:szCs w:val="20"/>
              </w:rPr>
            </w:pPr>
            <w:r>
              <w:rPr>
                <w:spacing w:val="6"/>
                <w:sz w:val="20"/>
                <w:szCs w:val="20"/>
              </w:rPr>
              <w:t>汽轮机</w:t>
            </w:r>
          </w:p>
        </w:tc>
        <w:tc>
          <w:tcPr>
            <w:tcW w:w="3669" w:type="dxa"/>
            <w:vAlign w:val="top"/>
          </w:tcPr>
          <w:p w14:paraId="09A06AEF">
            <w:pPr>
              <w:spacing w:before="103" w:line="199" w:lineRule="auto"/>
              <w:ind w:left="864"/>
              <w:rPr>
                <w:rFonts w:ascii="Times New Roman" w:hAnsi="Times New Roman" w:eastAsia="Times New Roman" w:cs="Times New Roman"/>
                <w:sz w:val="20"/>
                <w:szCs w:val="20"/>
              </w:rPr>
            </w:pPr>
            <w:r>
              <w:rPr>
                <w:rFonts w:ascii="Times New Roman" w:hAnsi="Times New Roman" w:eastAsia="Times New Roman" w:cs="Times New Roman"/>
                <w:sz w:val="20"/>
                <w:szCs w:val="20"/>
              </w:rPr>
              <w:t>NZK</w:t>
            </w:r>
            <w:r>
              <w:rPr>
                <w:rFonts w:ascii="Times New Roman" w:hAnsi="Times New Roman" w:eastAsia="Times New Roman" w:cs="Times New Roman"/>
                <w:spacing w:val="5"/>
                <w:sz w:val="20"/>
                <w:szCs w:val="20"/>
              </w:rPr>
              <w:t>60-13.24/566/566</w:t>
            </w:r>
          </w:p>
        </w:tc>
        <w:tc>
          <w:tcPr>
            <w:tcW w:w="654" w:type="dxa"/>
            <w:vAlign w:val="top"/>
          </w:tcPr>
          <w:p w14:paraId="19D918FA">
            <w:pPr>
              <w:pStyle w:val="6"/>
              <w:spacing w:before="71" w:line="230" w:lineRule="auto"/>
              <w:ind w:left="243"/>
              <w:rPr>
                <w:sz w:val="20"/>
                <w:szCs w:val="20"/>
              </w:rPr>
            </w:pPr>
            <w:r>
              <w:rPr>
                <w:sz w:val="20"/>
                <w:szCs w:val="20"/>
              </w:rPr>
              <w:t>台</w:t>
            </w:r>
          </w:p>
        </w:tc>
        <w:tc>
          <w:tcPr>
            <w:tcW w:w="648" w:type="dxa"/>
            <w:vAlign w:val="top"/>
          </w:tcPr>
          <w:p w14:paraId="3295C79C">
            <w:pPr>
              <w:spacing w:before="107"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31F3D60B">
            <w:pPr>
              <w:rPr>
                <w:rFonts w:ascii="Arial"/>
                <w:sz w:val="21"/>
              </w:rPr>
            </w:pPr>
          </w:p>
        </w:tc>
      </w:tr>
      <w:tr w14:paraId="3FB50E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580" w:type="dxa"/>
            <w:vMerge w:val="continue"/>
            <w:tcBorders>
              <w:top w:val="nil"/>
              <w:left w:val="nil"/>
              <w:bottom w:val="nil"/>
            </w:tcBorders>
            <w:vAlign w:val="top"/>
          </w:tcPr>
          <w:p w14:paraId="1D9FD384">
            <w:pPr>
              <w:rPr>
                <w:rFonts w:ascii="Arial"/>
                <w:sz w:val="21"/>
              </w:rPr>
            </w:pPr>
          </w:p>
        </w:tc>
        <w:tc>
          <w:tcPr>
            <w:tcW w:w="473" w:type="dxa"/>
            <w:vAlign w:val="top"/>
          </w:tcPr>
          <w:p w14:paraId="19E5D74F">
            <w:pPr>
              <w:spacing w:before="108" w:line="195" w:lineRule="auto"/>
              <w:ind w:left="188"/>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030" w:type="dxa"/>
            <w:vAlign w:val="top"/>
          </w:tcPr>
          <w:p w14:paraId="5AB4BB35">
            <w:pPr>
              <w:pStyle w:val="6"/>
              <w:spacing w:before="72" w:line="227" w:lineRule="auto"/>
              <w:ind w:left="709"/>
              <w:rPr>
                <w:sz w:val="20"/>
                <w:szCs w:val="20"/>
              </w:rPr>
            </w:pPr>
            <w:r>
              <w:rPr>
                <w:spacing w:val="5"/>
                <w:sz w:val="20"/>
                <w:szCs w:val="20"/>
              </w:rPr>
              <w:t>发电机</w:t>
            </w:r>
          </w:p>
        </w:tc>
        <w:tc>
          <w:tcPr>
            <w:tcW w:w="3669" w:type="dxa"/>
            <w:vAlign w:val="top"/>
          </w:tcPr>
          <w:p w14:paraId="539E18AE">
            <w:pPr>
              <w:pStyle w:val="6"/>
              <w:spacing w:before="72" w:line="228" w:lineRule="auto"/>
              <w:ind w:left="1016"/>
              <w:rPr>
                <w:rFonts w:ascii="Times New Roman" w:hAnsi="Times New Roman" w:eastAsia="Times New Roman" w:cs="Times New Roman"/>
                <w:sz w:val="20"/>
                <w:szCs w:val="20"/>
              </w:rPr>
            </w:pPr>
            <w:r>
              <w:rPr>
                <w:spacing w:val="9"/>
                <w:sz w:val="20"/>
                <w:szCs w:val="20"/>
              </w:rPr>
              <w:t>额定功率：</w:t>
            </w:r>
            <w:r>
              <w:rPr>
                <w:rFonts w:ascii="Times New Roman" w:hAnsi="Times New Roman" w:eastAsia="Times New Roman" w:cs="Times New Roman"/>
                <w:spacing w:val="9"/>
                <w:sz w:val="20"/>
                <w:szCs w:val="20"/>
              </w:rPr>
              <w:t>60</w:t>
            </w:r>
            <w:r>
              <w:rPr>
                <w:rFonts w:ascii="Times New Roman" w:hAnsi="Times New Roman" w:eastAsia="Times New Roman" w:cs="Times New Roman"/>
                <w:sz w:val="20"/>
                <w:szCs w:val="20"/>
              </w:rPr>
              <w:t>MW</w:t>
            </w:r>
          </w:p>
        </w:tc>
        <w:tc>
          <w:tcPr>
            <w:tcW w:w="654" w:type="dxa"/>
            <w:vAlign w:val="top"/>
          </w:tcPr>
          <w:p w14:paraId="7D3EDCF4">
            <w:pPr>
              <w:pStyle w:val="6"/>
              <w:spacing w:before="72" w:line="230" w:lineRule="auto"/>
              <w:ind w:left="243"/>
              <w:rPr>
                <w:sz w:val="20"/>
                <w:szCs w:val="20"/>
              </w:rPr>
            </w:pPr>
            <w:r>
              <w:rPr>
                <w:sz w:val="20"/>
                <w:szCs w:val="20"/>
              </w:rPr>
              <w:t>台</w:t>
            </w:r>
          </w:p>
        </w:tc>
        <w:tc>
          <w:tcPr>
            <w:tcW w:w="648" w:type="dxa"/>
            <w:vAlign w:val="top"/>
          </w:tcPr>
          <w:p w14:paraId="62019B35">
            <w:pPr>
              <w:spacing w:before="109"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0032190D">
            <w:pPr>
              <w:rPr>
                <w:rFonts w:ascii="Arial"/>
                <w:sz w:val="21"/>
              </w:rPr>
            </w:pPr>
          </w:p>
        </w:tc>
      </w:tr>
      <w:tr w14:paraId="324984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0" w:hRule="atLeast"/>
        </w:trPr>
        <w:tc>
          <w:tcPr>
            <w:tcW w:w="580" w:type="dxa"/>
            <w:vMerge w:val="continue"/>
            <w:tcBorders>
              <w:top w:val="nil"/>
              <w:left w:val="nil"/>
            </w:tcBorders>
            <w:vAlign w:val="top"/>
          </w:tcPr>
          <w:p w14:paraId="592FFBEF">
            <w:pPr>
              <w:rPr>
                <w:rFonts w:ascii="Arial"/>
                <w:sz w:val="21"/>
              </w:rPr>
            </w:pPr>
          </w:p>
        </w:tc>
        <w:tc>
          <w:tcPr>
            <w:tcW w:w="473" w:type="dxa"/>
            <w:vAlign w:val="top"/>
          </w:tcPr>
          <w:p w14:paraId="3CCFCD46">
            <w:pPr>
              <w:spacing w:line="367" w:lineRule="auto"/>
              <w:rPr>
                <w:rFonts w:ascii="Arial"/>
                <w:sz w:val="21"/>
              </w:rPr>
            </w:pPr>
          </w:p>
          <w:p w14:paraId="4A427D2E">
            <w:pPr>
              <w:spacing w:before="58" w:line="195" w:lineRule="auto"/>
              <w:ind w:left="1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030" w:type="dxa"/>
            <w:vAlign w:val="top"/>
          </w:tcPr>
          <w:p w14:paraId="4CF6A66F">
            <w:pPr>
              <w:spacing w:line="324" w:lineRule="auto"/>
              <w:rPr>
                <w:rFonts w:ascii="Arial"/>
                <w:sz w:val="21"/>
              </w:rPr>
            </w:pPr>
          </w:p>
          <w:p w14:paraId="5F6FC657">
            <w:pPr>
              <w:pStyle w:val="6"/>
              <w:spacing w:before="65" w:line="228" w:lineRule="auto"/>
              <w:ind w:left="713"/>
              <w:rPr>
                <w:sz w:val="20"/>
                <w:szCs w:val="20"/>
              </w:rPr>
            </w:pPr>
            <w:r>
              <w:rPr>
                <w:spacing w:val="4"/>
                <w:sz w:val="20"/>
                <w:szCs w:val="20"/>
              </w:rPr>
              <w:t>空冷岛</w:t>
            </w:r>
          </w:p>
        </w:tc>
        <w:tc>
          <w:tcPr>
            <w:tcW w:w="3669" w:type="dxa"/>
            <w:vAlign w:val="top"/>
          </w:tcPr>
          <w:p w14:paraId="1B2F6059">
            <w:pPr>
              <w:pStyle w:val="6"/>
              <w:spacing w:before="72" w:line="273" w:lineRule="auto"/>
              <w:ind w:left="20" w:hanging="1"/>
              <w:jc w:val="both"/>
              <w:rPr>
                <w:rFonts w:ascii="Times New Roman" w:hAnsi="Times New Roman" w:eastAsia="Times New Roman" w:cs="Times New Roman"/>
                <w:sz w:val="20"/>
                <w:szCs w:val="20"/>
              </w:rPr>
            </w:pPr>
            <w:r>
              <w:rPr>
                <w:spacing w:val="2"/>
                <w:sz w:val="20"/>
                <w:szCs w:val="20"/>
              </w:rPr>
              <w:t>散热面积</w:t>
            </w:r>
            <w:r>
              <w:rPr>
                <w:spacing w:val="-21"/>
                <w:sz w:val="20"/>
                <w:szCs w:val="20"/>
              </w:rPr>
              <w:t xml:space="preserve"> </w:t>
            </w:r>
            <w:r>
              <w:rPr>
                <w:rFonts w:ascii="Times New Roman" w:hAnsi="Times New Roman" w:eastAsia="Times New Roman" w:cs="Times New Roman"/>
                <w:spacing w:val="2"/>
                <w:sz w:val="20"/>
                <w:szCs w:val="20"/>
              </w:rPr>
              <w:t>134520m</w:t>
            </w:r>
            <w:r>
              <w:rPr>
                <w:rFonts w:ascii="Times New Roman" w:hAnsi="Times New Roman" w:eastAsia="Times New Roman" w:cs="Times New Roman"/>
                <w:spacing w:val="2"/>
                <w:position w:val="6"/>
                <w:sz w:val="13"/>
                <w:szCs w:val="13"/>
              </w:rPr>
              <w:t>2</w:t>
            </w:r>
            <w:r>
              <w:rPr>
                <w:spacing w:val="2"/>
                <w:sz w:val="20"/>
                <w:szCs w:val="20"/>
              </w:rPr>
              <w:t>；</w:t>
            </w:r>
            <w:r>
              <w:rPr>
                <w:rFonts w:ascii="Times New Roman" w:hAnsi="Times New Roman" w:eastAsia="Times New Roman" w:cs="Times New Roman"/>
                <w:spacing w:val="2"/>
                <w:sz w:val="20"/>
                <w:szCs w:val="20"/>
              </w:rPr>
              <w:t xml:space="preserve">14 </w:t>
            </w:r>
            <w:r>
              <w:rPr>
                <w:spacing w:val="2"/>
                <w:sz w:val="20"/>
                <w:szCs w:val="20"/>
              </w:rPr>
              <w:t>个空冷单元</w:t>
            </w:r>
            <w:r>
              <w:rPr>
                <w:spacing w:val="1"/>
                <w:sz w:val="20"/>
                <w:szCs w:val="20"/>
              </w:rPr>
              <w:t>组成</w:t>
            </w:r>
            <w:r>
              <w:rPr>
                <w:sz w:val="20"/>
                <w:szCs w:val="20"/>
              </w:rPr>
              <w:t xml:space="preserve"> </w:t>
            </w:r>
            <w:r>
              <w:rPr>
                <w:rFonts w:ascii="Times New Roman" w:hAnsi="Times New Roman" w:eastAsia="Times New Roman" w:cs="Times New Roman"/>
                <w:spacing w:val="-2"/>
                <w:sz w:val="20"/>
                <w:szCs w:val="20"/>
              </w:rPr>
              <w:t>8+6</w:t>
            </w:r>
            <w:r>
              <w:rPr>
                <w:rFonts w:ascii="Times New Roman" w:hAnsi="Times New Roman" w:eastAsia="Times New Roman" w:cs="Times New Roman"/>
                <w:spacing w:val="16"/>
                <w:sz w:val="20"/>
                <w:szCs w:val="20"/>
              </w:rPr>
              <w:t xml:space="preserve"> </w:t>
            </w:r>
            <w:r>
              <w:rPr>
                <w:spacing w:val="-2"/>
                <w:sz w:val="20"/>
                <w:szCs w:val="20"/>
              </w:rPr>
              <w:t>空冷系统；风机直径</w:t>
            </w:r>
            <w:r>
              <w:rPr>
                <w:spacing w:val="-40"/>
                <w:sz w:val="20"/>
                <w:szCs w:val="20"/>
              </w:rPr>
              <w:t xml:space="preserve"> </w:t>
            </w:r>
            <w:r>
              <w:rPr>
                <w:rFonts w:ascii="Times New Roman" w:hAnsi="Times New Roman" w:eastAsia="Times New Roman" w:cs="Times New Roman"/>
                <w:spacing w:val="-2"/>
                <w:sz w:val="20"/>
                <w:szCs w:val="20"/>
              </w:rPr>
              <w:t>7.315</w:t>
            </w:r>
            <w:r>
              <w:rPr>
                <w:spacing w:val="-2"/>
                <w:sz w:val="20"/>
                <w:szCs w:val="20"/>
              </w:rPr>
              <w:t>、</w:t>
            </w:r>
            <w:r>
              <w:rPr>
                <w:rFonts w:ascii="Times New Roman" w:hAnsi="Times New Roman" w:eastAsia="Times New Roman" w:cs="Times New Roman"/>
                <w:spacing w:val="-2"/>
                <w:sz w:val="20"/>
                <w:szCs w:val="20"/>
              </w:rPr>
              <w:t>8.53</w:t>
            </w:r>
            <w:r>
              <w:rPr>
                <w:rFonts w:ascii="Times New Roman" w:hAnsi="Times New Roman" w:eastAsia="Times New Roman" w:cs="Times New Roman"/>
                <w:spacing w:val="-3"/>
                <w:sz w:val="20"/>
                <w:szCs w:val="20"/>
              </w:rPr>
              <w:t>4m</w:t>
            </w:r>
            <w:r>
              <w:rPr>
                <w:spacing w:val="-3"/>
                <w:sz w:val="20"/>
                <w:szCs w:val="20"/>
              </w:rPr>
              <w:t>；</w:t>
            </w:r>
            <w:r>
              <w:rPr>
                <w:sz w:val="20"/>
                <w:szCs w:val="20"/>
              </w:rPr>
              <w:t xml:space="preserve"> </w:t>
            </w:r>
            <w:r>
              <w:rPr>
                <w:spacing w:val="2"/>
                <w:sz w:val="20"/>
                <w:szCs w:val="20"/>
              </w:rPr>
              <w:t>风机功率</w:t>
            </w:r>
            <w:r>
              <w:rPr>
                <w:spacing w:val="-32"/>
                <w:sz w:val="20"/>
                <w:szCs w:val="20"/>
              </w:rPr>
              <w:t xml:space="preserve"> </w:t>
            </w:r>
            <w:r>
              <w:rPr>
                <w:rFonts w:ascii="Times New Roman" w:hAnsi="Times New Roman" w:eastAsia="Times New Roman" w:cs="Times New Roman"/>
                <w:spacing w:val="2"/>
                <w:sz w:val="20"/>
                <w:szCs w:val="20"/>
              </w:rPr>
              <w:t>90</w:t>
            </w:r>
            <w:r>
              <w:rPr>
                <w:rFonts w:ascii="Times New Roman" w:hAnsi="Times New Roman" w:eastAsia="Times New Roman" w:cs="Times New Roman"/>
                <w:spacing w:val="-29"/>
                <w:sz w:val="20"/>
                <w:szCs w:val="20"/>
              </w:rPr>
              <w:t xml:space="preserve"> </w:t>
            </w:r>
            <w:r>
              <w:rPr>
                <w:spacing w:val="2"/>
                <w:sz w:val="20"/>
                <w:szCs w:val="20"/>
              </w:rPr>
              <w:t>、</w:t>
            </w:r>
            <w:r>
              <w:rPr>
                <w:rFonts w:ascii="Times New Roman" w:hAnsi="Times New Roman" w:eastAsia="Times New Roman" w:cs="Times New Roman"/>
                <w:spacing w:val="2"/>
                <w:sz w:val="20"/>
                <w:szCs w:val="20"/>
              </w:rPr>
              <w:t>132</w:t>
            </w:r>
            <w:r>
              <w:rPr>
                <w:rFonts w:ascii="Times New Roman" w:hAnsi="Times New Roman" w:eastAsia="Times New Roman" w:cs="Times New Roman"/>
                <w:sz w:val="20"/>
                <w:szCs w:val="20"/>
              </w:rPr>
              <w:t>kW</w:t>
            </w:r>
          </w:p>
        </w:tc>
        <w:tc>
          <w:tcPr>
            <w:tcW w:w="654" w:type="dxa"/>
            <w:vAlign w:val="top"/>
          </w:tcPr>
          <w:p w14:paraId="0DF7510E">
            <w:pPr>
              <w:spacing w:line="324" w:lineRule="auto"/>
              <w:rPr>
                <w:rFonts w:ascii="Arial"/>
                <w:sz w:val="21"/>
              </w:rPr>
            </w:pPr>
          </w:p>
          <w:p w14:paraId="6EFD4CCE">
            <w:pPr>
              <w:pStyle w:val="6"/>
              <w:spacing w:before="65" w:line="230" w:lineRule="auto"/>
              <w:ind w:left="243"/>
              <w:rPr>
                <w:sz w:val="20"/>
                <w:szCs w:val="20"/>
              </w:rPr>
            </w:pPr>
            <w:r>
              <w:rPr>
                <w:sz w:val="20"/>
                <w:szCs w:val="20"/>
              </w:rPr>
              <w:t>台</w:t>
            </w:r>
          </w:p>
        </w:tc>
        <w:tc>
          <w:tcPr>
            <w:tcW w:w="648" w:type="dxa"/>
            <w:vAlign w:val="top"/>
          </w:tcPr>
          <w:p w14:paraId="2D005563">
            <w:pPr>
              <w:spacing w:line="367" w:lineRule="auto"/>
              <w:rPr>
                <w:rFonts w:ascii="Arial"/>
                <w:sz w:val="21"/>
              </w:rPr>
            </w:pPr>
          </w:p>
          <w:p w14:paraId="63F00414">
            <w:pPr>
              <w:spacing w:before="58"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22B19B7E">
            <w:pPr>
              <w:rPr>
                <w:rFonts w:ascii="Arial"/>
                <w:sz w:val="21"/>
              </w:rPr>
            </w:pPr>
          </w:p>
        </w:tc>
      </w:tr>
      <w:tr w14:paraId="4DF7CC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580" w:type="dxa"/>
            <w:vMerge w:val="restart"/>
            <w:tcBorders>
              <w:left w:val="nil"/>
              <w:bottom w:val="nil"/>
            </w:tcBorders>
            <w:vAlign w:val="top"/>
          </w:tcPr>
          <w:p w14:paraId="58E5C543">
            <w:pPr>
              <w:spacing w:line="343" w:lineRule="auto"/>
              <w:rPr>
                <w:rFonts w:ascii="Arial"/>
                <w:sz w:val="21"/>
              </w:rPr>
            </w:pPr>
          </w:p>
          <w:p w14:paraId="0F6E948C">
            <w:pPr>
              <w:spacing w:line="343" w:lineRule="auto"/>
              <w:rPr>
                <w:rFonts w:ascii="Arial"/>
                <w:sz w:val="21"/>
              </w:rPr>
            </w:pPr>
          </w:p>
          <w:p w14:paraId="54640A3F">
            <w:pPr>
              <w:pStyle w:val="6"/>
              <w:spacing w:before="65" w:line="229" w:lineRule="auto"/>
              <w:ind w:left="87"/>
              <w:rPr>
                <w:sz w:val="20"/>
                <w:szCs w:val="20"/>
              </w:rPr>
            </w:pPr>
            <w:r>
              <w:rPr>
                <w:spacing w:val="4"/>
                <w:sz w:val="20"/>
                <w:szCs w:val="20"/>
              </w:rPr>
              <w:t>脱硫</w:t>
            </w:r>
          </w:p>
        </w:tc>
        <w:tc>
          <w:tcPr>
            <w:tcW w:w="473" w:type="dxa"/>
            <w:vAlign w:val="top"/>
          </w:tcPr>
          <w:p w14:paraId="68DD4E34">
            <w:pPr>
              <w:spacing w:before="115" w:line="195" w:lineRule="auto"/>
              <w:ind w:left="204"/>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030" w:type="dxa"/>
            <w:vAlign w:val="top"/>
          </w:tcPr>
          <w:p w14:paraId="161E05B0">
            <w:pPr>
              <w:pStyle w:val="6"/>
              <w:spacing w:before="77" w:line="228" w:lineRule="auto"/>
              <w:ind w:left="711"/>
              <w:rPr>
                <w:sz w:val="20"/>
                <w:szCs w:val="20"/>
              </w:rPr>
            </w:pPr>
            <w:r>
              <w:rPr>
                <w:spacing w:val="5"/>
                <w:sz w:val="20"/>
                <w:szCs w:val="20"/>
              </w:rPr>
              <w:t>原料仓</w:t>
            </w:r>
          </w:p>
        </w:tc>
        <w:tc>
          <w:tcPr>
            <w:tcW w:w="3669" w:type="dxa"/>
            <w:vAlign w:val="top"/>
          </w:tcPr>
          <w:p w14:paraId="27B877EF">
            <w:pPr>
              <w:pStyle w:val="6"/>
              <w:spacing w:before="41" w:line="281" w:lineRule="exact"/>
              <w:ind w:left="1031"/>
              <w:rPr>
                <w:sz w:val="20"/>
                <w:szCs w:val="20"/>
              </w:rPr>
            </w:pPr>
            <w:r>
              <w:rPr>
                <w:rFonts w:ascii="Times New Roman" w:hAnsi="Times New Roman" w:eastAsia="Times New Roman" w:cs="Times New Roman"/>
                <w:spacing w:val="3"/>
                <w:position w:val="1"/>
                <w:sz w:val="20"/>
                <w:szCs w:val="20"/>
              </w:rPr>
              <w:t>V=3m</w:t>
            </w:r>
            <w:r>
              <w:rPr>
                <w:rFonts w:ascii="Times New Roman" w:hAnsi="Times New Roman" w:eastAsia="Times New Roman" w:cs="Times New Roman"/>
                <w:spacing w:val="3"/>
                <w:position w:val="7"/>
                <w:sz w:val="13"/>
                <w:szCs w:val="13"/>
              </w:rPr>
              <w:t>3</w:t>
            </w:r>
            <w:r>
              <w:rPr>
                <w:rFonts w:ascii="Times New Roman" w:hAnsi="Times New Roman" w:eastAsia="Times New Roman" w:cs="Times New Roman"/>
                <w:spacing w:val="1"/>
                <w:position w:val="7"/>
                <w:sz w:val="13"/>
                <w:szCs w:val="13"/>
              </w:rPr>
              <w:t xml:space="preserve"> </w:t>
            </w:r>
            <w:r>
              <w:rPr>
                <w:spacing w:val="3"/>
                <w:position w:val="1"/>
                <w:sz w:val="20"/>
                <w:szCs w:val="20"/>
              </w:rPr>
              <w:t>，</w:t>
            </w:r>
            <w:r>
              <w:rPr>
                <w:rFonts w:ascii="Times New Roman" w:hAnsi="Times New Roman" w:eastAsia="Times New Roman" w:cs="Times New Roman"/>
                <w:spacing w:val="3"/>
                <w:position w:val="1"/>
                <w:sz w:val="20"/>
                <w:szCs w:val="20"/>
              </w:rPr>
              <w:t xml:space="preserve">304 </w:t>
            </w:r>
            <w:r>
              <w:rPr>
                <w:spacing w:val="3"/>
                <w:position w:val="1"/>
                <w:sz w:val="20"/>
                <w:szCs w:val="20"/>
              </w:rPr>
              <w:t>材质</w:t>
            </w:r>
          </w:p>
        </w:tc>
        <w:tc>
          <w:tcPr>
            <w:tcW w:w="654" w:type="dxa"/>
            <w:vAlign w:val="top"/>
          </w:tcPr>
          <w:p w14:paraId="09D9D79A">
            <w:pPr>
              <w:pStyle w:val="6"/>
              <w:spacing w:before="77" w:line="228" w:lineRule="auto"/>
              <w:ind w:left="228"/>
              <w:rPr>
                <w:sz w:val="20"/>
                <w:szCs w:val="20"/>
              </w:rPr>
            </w:pPr>
            <w:r>
              <w:rPr>
                <w:sz w:val="20"/>
                <w:szCs w:val="20"/>
              </w:rPr>
              <w:t>套</w:t>
            </w:r>
          </w:p>
        </w:tc>
        <w:tc>
          <w:tcPr>
            <w:tcW w:w="648" w:type="dxa"/>
            <w:vAlign w:val="top"/>
          </w:tcPr>
          <w:p w14:paraId="79A0310A">
            <w:pPr>
              <w:spacing w:before="115" w:line="195" w:lineRule="auto"/>
              <w:ind w:left="273"/>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990" w:type="dxa"/>
            <w:tcBorders>
              <w:right w:val="nil"/>
            </w:tcBorders>
            <w:vAlign w:val="top"/>
          </w:tcPr>
          <w:p w14:paraId="5A21CDCC">
            <w:pPr>
              <w:rPr>
                <w:rFonts w:ascii="Arial"/>
                <w:sz w:val="21"/>
              </w:rPr>
            </w:pPr>
          </w:p>
        </w:tc>
      </w:tr>
      <w:tr w14:paraId="15DDA1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580" w:type="dxa"/>
            <w:vMerge w:val="continue"/>
            <w:tcBorders>
              <w:top w:val="nil"/>
              <w:left w:val="nil"/>
              <w:bottom w:val="nil"/>
            </w:tcBorders>
            <w:vAlign w:val="top"/>
          </w:tcPr>
          <w:p w14:paraId="6AFFF7C2">
            <w:pPr>
              <w:rPr>
                <w:rFonts w:ascii="Arial"/>
                <w:sz w:val="21"/>
              </w:rPr>
            </w:pPr>
          </w:p>
        </w:tc>
        <w:tc>
          <w:tcPr>
            <w:tcW w:w="473" w:type="dxa"/>
            <w:vAlign w:val="top"/>
          </w:tcPr>
          <w:p w14:paraId="1170A904">
            <w:pPr>
              <w:spacing w:before="114" w:line="195" w:lineRule="auto"/>
              <w:ind w:left="18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030" w:type="dxa"/>
            <w:vAlign w:val="top"/>
          </w:tcPr>
          <w:p w14:paraId="682AD91E">
            <w:pPr>
              <w:pStyle w:val="6"/>
              <w:spacing w:before="78" w:line="227" w:lineRule="auto"/>
              <w:ind w:left="76"/>
              <w:rPr>
                <w:sz w:val="20"/>
                <w:szCs w:val="20"/>
              </w:rPr>
            </w:pPr>
            <w:r>
              <w:rPr>
                <w:spacing w:val="8"/>
                <w:sz w:val="20"/>
                <w:szCs w:val="20"/>
              </w:rPr>
              <w:t>脱硫剂碾磨输送系统</w:t>
            </w:r>
          </w:p>
        </w:tc>
        <w:tc>
          <w:tcPr>
            <w:tcW w:w="3669" w:type="dxa"/>
            <w:vAlign w:val="top"/>
          </w:tcPr>
          <w:p w14:paraId="6A4501CC">
            <w:pPr>
              <w:pStyle w:val="6"/>
              <w:spacing w:before="78" w:line="221" w:lineRule="auto"/>
              <w:ind w:left="456"/>
              <w:rPr>
                <w:rFonts w:ascii="Times New Roman" w:hAnsi="Times New Roman" w:eastAsia="Times New Roman" w:cs="Times New Roman"/>
                <w:sz w:val="20"/>
                <w:szCs w:val="20"/>
              </w:rPr>
            </w:pPr>
            <w:r>
              <w:rPr>
                <w:spacing w:val="4"/>
                <w:sz w:val="20"/>
                <w:szCs w:val="20"/>
              </w:rPr>
              <w:t>处理量：</w:t>
            </w:r>
            <w:r>
              <w:rPr>
                <w:rFonts w:ascii="Times New Roman" w:hAnsi="Times New Roman" w:eastAsia="Times New Roman" w:cs="Times New Roman"/>
                <w:spacing w:val="4"/>
                <w:sz w:val="20"/>
                <w:szCs w:val="20"/>
              </w:rPr>
              <w:t>0~0.2t/h</w:t>
            </w:r>
            <w:r>
              <w:rPr>
                <w:rFonts w:ascii="Times New Roman" w:hAnsi="Times New Roman" w:eastAsia="Times New Roman" w:cs="Times New Roman"/>
                <w:spacing w:val="-15"/>
                <w:sz w:val="20"/>
                <w:szCs w:val="20"/>
              </w:rPr>
              <w:t xml:space="preserve"> </w:t>
            </w:r>
            <w:r>
              <w:rPr>
                <w:spacing w:val="4"/>
                <w:sz w:val="20"/>
                <w:szCs w:val="20"/>
              </w:rPr>
              <w:t>，粒度</w:t>
            </w:r>
            <w:r>
              <w:rPr>
                <w:rFonts w:ascii="Times New Roman" w:hAnsi="Times New Roman" w:eastAsia="Times New Roman" w:cs="Times New Roman"/>
                <w:spacing w:val="4"/>
                <w:sz w:val="20"/>
                <w:szCs w:val="20"/>
              </w:rPr>
              <w:t>≤20μm</w:t>
            </w:r>
          </w:p>
        </w:tc>
        <w:tc>
          <w:tcPr>
            <w:tcW w:w="654" w:type="dxa"/>
            <w:vAlign w:val="top"/>
          </w:tcPr>
          <w:p w14:paraId="19544D00">
            <w:pPr>
              <w:pStyle w:val="6"/>
              <w:spacing w:before="78" w:line="227" w:lineRule="auto"/>
              <w:ind w:left="228"/>
              <w:rPr>
                <w:sz w:val="20"/>
                <w:szCs w:val="20"/>
              </w:rPr>
            </w:pPr>
            <w:r>
              <w:rPr>
                <w:sz w:val="20"/>
                <w:szCs w:val="20"/>
              </w:rPr>
              <w:t>套</w:t>
            </w:r>
          </w:p>
        </w:tc>
        <w:tc>
          <w:tcPr>
            <w:tcW w:w="648" w:type="dxa"/>
            <w:vAlign w:val="top"/>
          </w:tcPr>
          <w:p w14:paraId="0400817B">
            <w:pPr>
              <w:spacing w:before="114" w:line="195" w:lineRule="auto"/>
              <w:ind w:left="273"/>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990" w:type="dxa"/>
            <w:tcBorders>
              <w:right w:val="nil"/>
            </w:tcBorders>
            <w:vAlign w:val="top"/>
          </w:tcPr>
          <w:p w14:paraId="17012675">
            <w:pPr>
              <w:rPr>
                <w:rFonts w:ascii="Arial"/>
                <w:sz w:val="21"/>
              </w:rPr>
            </w:pPr>
          </w:p>
        </w:tc>
      </w:tr>
      <w:tr w14:paraId="31AA9C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580" w:type="dxa"/>
            <w:vMerge w:val="continue"/>
            <w:tcBorders>
              <w:top w:val="nil"/>
              <w:left w:val="nil"/>
              <w:bottom w:val="nil"/>
            </w:tcBorders>
            <w:vAlign w:val="top"/>
          </w:tcPr>
          <w:p w14:paraId="1BA49E5D">
            <w:pPr>
              <w:rPr>
                <w:rFonts w:ascii="Arial"/>
                <w:sz w:val="21"/>
              </w:rPr>
            </w:pPr>
          </w:p>
        </w:tc>
        <w:tc>
          <w:tcPr>
            <w:tcW w:w="473" w:type="dxa"/>
            <w:vAlign w:val="top"/>
          </w:tcPr>
          <w:p w14:paraId="393C9B4E">
            <w:pPr>
              <w:spacing w:before="116" w:line="195" w:lineRule="auto"/>
              <w:ind w:left="188"/>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030" w:type="dxa"/>
            <w:vAlign w:val="top"/>
          </w:tcPr>
          <w:p w14:paraId="7007BCF1">
            <w:pPr>
              <w:pStyle w:val="6"/>
              <w:spacing w:before="80" w:line="225" w:lineRule="auto"/>
              <w:ind w:left="180"/>
              <w:rPr>
                <w:sz w:val="20"/>
                <w:szCs w:val="20"/>
              </w:rPr>
            </w:pPr>
            <w:r>
              <w:rPr>
                <w:spacing w:val="8"/>
                <w:sz w:val="20"/>
                <w:szCs w:val="20"/>
              </w:rPr>
              <w:t>钠基干法喷射装置</w:t>
            </w:r>
          </w:p>
        </w:tc>
        <w:tc>
          <w:tcPr>
            <w:tcW w:w="3669" w:type="dxa"/>
            <w:vAlign w:val="top"/>
          </w:tcPr>
          <w:p w14:paraId="336511B3">
            <w:pPr>
              <w:pStyle w:val="6"/>
              <w:spacing w:before="80" w:line="225" w:lineRule="auto"/>
              <w:ind w:left="1446"/>
              <w:rPr>
                <w:sz w:val="20"/>
                <w:szCs w:val="20"/>
              </w:rPr>
            </w:pPr>
            <w:r>
              <w:rPr>
                <w:rFonts w:ascii="Times New Roman" w:hAnsi="Times New Roman" w:eastAsia="Times New Roman" w:cs="Times New Roman"/>
                <w:spacing w:val="3"/>
                <w:sz w:val="20"/>
                <w:szCs w:val="20"/>
              </w:rPr>
              <w:t>304</w:t>
            </w:r>
            <w:r>
              <w:rPr>
                <w:rFonts w:ascii="Times New Roman" w:hAnsi="Times New Roman" w:eastAsia="Times New Roman" w:cs="Times New Roman"/>
                <w:spacing w:val="10"/>
                <w:sz w:val="20"/>
                <w:szCs w:val="20"/>
              </w:rPr>
              <w:t xml:space="preserve"> </w:t>
            </w:r>
            <w:r>
              <w:rPr>
                <w:spacing w:val="3"/>
                <w:sz w:val="20"/>
                <w:szCs w:val="20"/>
              </w:rPr>
              <w:t>材质</w:t>
            </w:r>
          </w:p>
        </w:tc>
        <w:tc>
          <w:tcPr>
            <w:tcW w:w="654" w:type="dxa"/>
            <w:vAlign w:val="top"/>
          </w:tcPr>
          <w:p w14:paraId="76F4DDAF">
            <w:pPr>
              <w:pStyle w:val="6"/>
              <w:spacing w:before="80" w:line="225" w:lineRule="auto"/>
              <w:ind w:left="228"/>
              <w:rPr>
                <w:sz w:val="20"/>
                <w:szCs w:val="20"/>
              </w:rPr>
            </w:pPr>
            <w:r>
              <w:rPr>
                <w:sz w:val="20"/>
                <w:szCs w:val="20"/>
              </w:rPr>
              <w:t>套</w:t>
            </w:r>
          </w:p>
        </w:tc>
        <w:tc>
          <w:tcPr>
            <w:tcW w:w="648" w:type="dxa"/>
            <w:vAlign w:val="top"/>
          </w:tcPr>
          <w:p w14:paraId="7274419A">
            <w:pPr>
              <w:spacing w:before="116"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5E5A65D6">
            <w:pPr>
              <w:rPr>
                <w:rFonts w:ascii="Arial"/>
                <w:sz w:val="21"/>
              </w:rPr>
            </w:pPr>
          </w:p>
        </w:tc>
      </w:tr>
      <w:tr w14:paraId="07701F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580" w:type="dxa"/>
            <w:vMerge w:val="continue"/>
            <w:tcBorders>
              <w:top w:val="nil"/>
              <w:left w:val="nil"/>
              <w:bottom w:val="nil"/>
            </w:tcBorders>
            <w:vAlign w:val="top"/>
          </w:tcPr>
          <w:p w14:paraId="795B19DE">
            <w:pPr>
              <w:rPr>
                <w:rFonts w:ascii="Arial"/>
                <w:sz w:val="21"/>
              </w:rPr>
            </w:pPr>
          </w:p>
        </w:tc>
        <w:tc>
          <w:tcPr>
            <w:tcW w:w="473" w:type="dxa"/>
            <w:vAlign w:val="top"/>
          </w:tcPr>
          <w:p w14:paraId="25BE1D83">
            <w:pPr>
              <w:spacing w:before="118" w:line="195" w:lineRule="auto"/>
              <w:ind w:left="1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030" w:type="dxa"/>
            <w:vAlign w:val="top"/>
          </w:tcPr>
          <w:p w14:paraId="34623746">
            <w:pPr>
              <w:pStyle w:val="6"/>
              <w:spacing w:before="79" w:line="226" w:lineRule="auto"/>
              <w:ind w:left="402"/>
              <w:rPr>
                <w:sz w:val="20"/>
                <w:szCs w:val="20"/>
              </w:rPr>
            </w:pPr>
            <w:r>
              <w:rPr>
                <w:spacing w:val="6"/>
                <w:sz w:val="20"/>
                <w:szCs w:val="20"/>
              </w:rPr>
              <w:t>除尘器钢结构</w:t>
            </w:r>
          </w:p>
        </w:tc>
        <w:tc>
          <w:tcPr>
            <w:tcW w:w="3669" w:type="dxa"/>
            <w:vAlign w:val="top"/>
          </w:tcPr>
          <w:p w14:paraId="14478EB3">
            <w:pPr>
              <w:spacing w:before="117" w:line="195" w:lineRule="auto"/>
              <w:ind w:left="1269"/>
              <w:rPr>
                <w:rFonts w:ascii="Times New Roman" w:hAnsi="Times New Roman" w:eastAsia="Times New Roman" w:cs="Times New Roman"/>
                <w:sz w:val="20"/>
                <w:szCs w:val="20"/>
              </w:rPr>
            </w:pPr>
            <w:r>
              <w:rPr>
                <w:rFonts w:ascii="Times New Roman" w:hAnsi="Times New Roman" w:eastAsia="Times New Roman" w:cs="Times New Roman"/>
                <w:sz w:val="20"/>
                <w:szCs w:val="20"/>
              </w:rPr>
              <w:t>LCMD</w:t>
            </w:r>
            <w:r>
              <w:rPr>
                <w:rFonts w:ascii="Times New Roman" w:hAnsi="Times New Roman" w:eastAsia="Times New Roman" w:cs="Times New Roman"/>
                <w:spacing w:val="9"/>
                <w:sz w:val="20"/>
                <w:szCs w:val="20"/>
              </w:rPr>
              <w:t>12672</w:t>
            </w:r>
          </w:p>
        </w:tc>
        <w:tc>
          <w:tcPr>
            <w:tcW w:w="654" w:type="dxa"/>
            <w:vAlign w:val="top"/>
          </w:tcPr>
          <w:p w14:paraId="245AF11A">
            <w:pPr>
              <w:pStyle w:val="6"/>
              <w:spacing w:before="79" w:line="226" w:lineRule="auto"/>
              <w:ind w:left="237"/>
              <w:rPr>
                <w:sz w:val="20"/>
                <w:szCs w:val="20"/>
              </w:rPr>
            </w:pPr>
            <w:r>
              <w:rPr>
                <w:sz w:val="20"/>
                <w:szCs w:val="20"/>
              </w:rPr>
              <w:t>吨</w:t>
            </w:r>
          </w:p>
        </w:tc>
        <w:tc>
          <w:tcPr>
            <w:tcW w:w="648" w:type="dxa"/>
            <w:vAlign w:val="top"/>
          </w:tcPr>
          <w:p w14:paraId="522CC925">
            <w:pPr>
              <w:spacing w:before="117" w:line="195" w:lineRule="auto"/>
              <w:ind w:left="16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280</w:t>
            </w:r>
          </w:p>
        </w:tc>
        <w:tc>
          <w:tcPr>
            <w:tcW w:w="990" w:type="dxa"/>
            <w:tcBorders>
              <w:right w:val="nil"/>
            </w:tcBorders>
            <w:vAlign w:val="top"/>
          </w:tcPr>
          <w:p w14:paraId="04851569">
            <w:pPr>
              <w:rPr>
                <w:rFonts w:ascii="Arial"/>
                <w:sz w:val="21"/>
              </w:rPr>
            </w:pPr>
          </w:p>
        </w:tc>
      </w:tr>
      <w:tr w14:paraId="7BE2B2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580" w:type="dxa"/>
            <w:vMerge w:val="continue"/>
            <w:tcBorders>
              <w:top w:val="nil"/>
              <w:left w:val="nil"/>
            </w:tcBorders>
            <w:vAlign w:val="top"/>
          </w:tcPr>
          <w:p w14:paraId="3D7D284E">
            <w:pPr>
              <w:rPr>
                <w:rFonts w:ascii="Arial"/>
                <w:sz w:val="21"/>
              </w:rPr>
            </w:pPr>
          </w:p>
        </w:tc>
        <w:tc>
          <w:tcPr>
            <w:tcW w:w="473" w:type="dxa"/>
            <w:vAlign w:val="top"/>
          </w:tcPr>
          <w:p w14:paraId="389909D1">
            <w:pPr>
              <w:spacing w:before="120" w:line="192" w:lineRule="auto"/>
              <w:ind w:left="190"/>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030" w:type="dxa"/>
            <w:vAlign w:val="top"/>
          </w:tcPr>
          <w:p w14:paraId="49383B5D">
            <w:pPr>
              <w:pStyle w:val="6"/>
              <w:spacing w:before="81" w:line="224" w:lineRule="auto"/>
              <w:ind w:left="298"/>
              <w:rPr>
                <w:sz w:val="20"/>
                <w:szCs w:val="20"/>
              </w:rPr>
            </w:pPr>
            <w:r>
              <w:rPr>
                <w:rFonts w:ascii="Times New Roman" w:hAnsi="Times New Roman" w:eastAsia="Times New Roman" w:cs="Times New Roman"/>
                <w:sz w:val="20"/>
                <w:szCs w:val="20"/>
              </w:rPr>
              <w:t>PPS</w:t>
            </w:r>
            <w:r>
              <w:rPr>
                <w:rFonts w:ascii="Times New Roman" w:hAnsi="Times New Roman" w:eastAsia="Times New Roman" w:cs="Times New Roman"/>
                <w:spacing w:val="15"/>
                <w:sz w:val="20"/>
                <w:szCs w:val="20"/>
              </w:rPr>
              <w:t>+</w:t>
            </w:r>
            <w:r>
              <w:rPr>
                <w:rFonts w:ascii="Times New Roman" w:hAnsi="Times New Roman" w:eastAsia="Times New Roman" w:cs="Times New Roman"/>
                <w:sz w:val="20"/>
                <w:szCs w:val="20"/>
              </w:rPr>
              <w:t>PTFE</w:t>
            </w:r>
            <w:r>
              <w:rPr>
                <w:rFonts w:ascii="Times New Roman" w:hAnsi="Times New Roman" w:eastAsia="Times New Roman" w:cs="Times New Roman"/>
                <w:spacing w:val="17"/>
                <w:w w:val="101"/>
                <w:sz w:val="20"/>
                <w:szCs w:val="20"/>
              </w:rPr>
              <w:t xml:space="preserve"> </w:t>
            </w:r>
            <w:r>
              <w:rPr>
                <w:spacing w:val="15"/>
                <w:sz w:val="20"/>
                <w:szCs w:val="20"/>
              </w:rPr>
              <w:t>滤袋</w:t>
            </w:r>
          </w:p>
        </w:tc>
        <w:tc>
          <w:tcPr>
            <w:tcW w:w="3669" w:type="dxa"/>
            <w:vAlign w:val="top"/>
          </w:tcPr>
          <w:p w14:paraId="1BB07A85">
            <w:pPr>
              <w:spacing w:before="115" w:line="197" w:lineRule="auto"/>
              <w:ind w:left="1172"/>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Ø160×8000</w:t>
            </w:r>
            <w:r>
              <w:rPr>
                <w:rFonts w:ascii="Times New Roman" w:hAnsi="Times New Roman" w:eastAsia="Times New Roman" w:cs="Times New Roman"/>
                <w:sz w:val="20"/>
                <w:szCs w:val="20"/>
              </w:rPr>
              <w:t>mm</w:t>
            </w:r>
          </w:p>
        </w:tc>
        <w:tc>
          <w:tcPr>
            <w:tcW w:w="654" w:type="dxa"/>
            <w:vAlign w:val="top"/>
          </w:tcPr>
          <w:p w14:paraId="26B48B94">
            <w:pPr>
              <w:pStyle w:val="6"/>
              <w:spacing w:before="81" w:line="224" w:lineRule="auto"/>
              <w:ind w:left="229"/>
              <w:rPr>
                <w:sz w:val="20"/>
                <w:szCs w:val="20"/>
              </w:rPr>
            </w:pPr>
            <w:r>
              <w:rPr>
                <w:sz w:val="20"/>
                <w:szCs w:val="20"/>
              </w:rPr>
              <w:t>条</w:t>
            </w:r>
          </w:p>
        </w:tc>
        <w:tc>
          <w:tcPr>
            <w:tcW w:w="648" w:type="dxa"/>
            <w:vAlign w:val="top"/>
          </w:tcPr>
          <w:p w14:paraId="43548D5C">
            <w:pPr>
              <w:spacing w:before="117" w:line="195" w:lineRule="auto"/>
              <w:ind w:left="1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3168</w:t>
            </w:r>
          </w:p>
        </w:tc>
        <w:tc>
          <w:tcPr>
            <w:tcW w:w="990" w:type="dxa"/>
            <w:tcBorders>
              <w:right w:val="nil"/>
            </w:tcBorders>
            <w:vAlign w:val="top"/>
          </w:tcPr>
          <w:p w14:paraId="7A29763F">
            <w:pPr>
              <w:rPr>
                <w:rFonts w:ascii="Arial"/>
                <w:sz w:val="21"/>
              </w:rPr>
            </w:pPr>
          </w:p>
        </w:tc>
      </w:tr>
      <w:tr w14:paraId="1CF4B3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580" w:type="dxa"/>
            <w:vMerge w:val="restart"/>
            <w:tcBorders>
              <w:left w:val="nil"/>
              <w:bottom w:val="nil"/>
            </w:tcBorders>
            <w:vAlign w:val="top"/>
          </w:tcPr>
          <w:p w14:paraId="07D1C4A5">
            <w:pPr>
              <w:spacing w:line="262" w:lineRule="auto"/>
              <w:rPr>
                <w:rFonts w:ascii="Arial"/>
                <w:sz w:val="21"/>
              </w:rPr>
            </w:pPr>
          </w:p>
          <w:p w14:paraId="7CB9C5D0">
            <w:pPr>
              <w:spacing w:line="262" w:lineRule="auto"/>
              <w:rPr>
                <w:rFonts w:ascii="Arial"/>
                <w:sz w:val="21"/>
              </w:rPr>
            </w:pPr>
          </w:p>
          <w:p w14:paraId="2A49CC0D">
            <w:pPr>
              <w:spacing w:line="262" w:lineRule="auto"/>
              <w:rPr>
                <w:rFonts w:ascii="Arial"/>
                <w:sz w:val="21"/>
              </w:rPr>
            </w:pPr>
          </w:p>
          <w:p w14:paraId="64594DE2">
            <w:pPr>
              <w:spacing w:line="262" w:lineRule="auto"/>
              <w:rPr>
                <w:rFonts w:ascii="Arial"/>
                <w:sz w:val="21"/>
              </w:rPr>
            </w:pPr>
          </w:p>
          <w:p w14:paraId="2D579A0B">
            <w:pPr>
              <w:spacing w:line="262" w:lineRule="auto"/>
              <w:rPr>
                <w:rFonts w:ascii="Arial"/>
                <w:sz w:val="21"/>
              </w:rPr>
            </w:pPr>
          </w:p>
          <w:p w14:paraId="25BB1B65">
            <w:pPr>
              <w:spacing w:line="262" w:lineRule="auto"/>
              <w:rPr>
                <w:rFonts w:ascii="Arial"/>
                <w:sz w:val="21"/>
              </w:rPr>
            </w:pPr>
          </w:p>
          <w:p w14:paraId="645C4A21">
            <w:pPr>
              <w:spacing w:line="263" w:lineRule="auto"/>
              <w:rPr>
                <w:rFonts w:ascii="Arial"/>
                <w:sz w:val="21"/>
              </w:rPr>
            </w:pPr>
          </w:p>
          <w:p w14:paraId="2245F254">
            <w:pPr>
              <w:pStyle w:val="6"/>
              <w:spacing w:before="65" w:line="229" w:lineRule="auto"/>
              <w:ind w:left="87"/>
              <w:rPr>
                <w:sz w:val="20"/>
                <w:szCs w:val="20"/>
              </w:rPr>
            </w:pPr>
            <w:r>
              <w:rPr>
                <w:spacing w:val="4"/>
                <w:sz w:val="20"/>
                <w:szCs w:val="20"/>
              </w:rPr>
              <w:t>脱硝</w:t>
            </w:r>
          </w:p>
        </w:tc>
        <w:tc>
          <w:tcPr>
            <w:tcW w:w="473" w:type="dxa"/>
            <w:vAlign w:val="top"/>
          </w:tcPr>
          <w:p w14:paraId="070DC96F">
            <w:pPr>
              <w:spacing w:before="119" w:line="195" w:lineRule="auto"/>
              <w:ind w:left="204"/>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030" w:type="dxa"/>
            <w:vAlign w:val="top"/>
          </w:tcPr>
          <w:p w14:paraId="62DEC33C">
            <w:pPr>
              <w:pStyle w:val="6"/>
              <w:spacing w:before="83" w:line="222" w:lineRule="auto"/>
              <w:ind w:left="808"/>
              <w:rPr>
                <w:sz w:val="20"/>
                <w:szCs w:val="20"/>
              </w:rPr>
            </w:pPr>
            <w:r>
              <w:rPr>
                <w:spacing w:val="5"/>
                <w:sz w:val="20"/>
                <w:szCs w:val="20"/>
              </w:rPr>
              <w:t>储罐</w:t>
            </w:r>
          </w:p>
        </w:tc>
        <w:tc>
          <w:tcPr>
            <w:tcW w:w="3669" w:type="dxa"/>
            <w:vAlign w:val="top"/>
          </w:tcPr>
          <w:p w14:paraId="41E63DFD">
            <w:pPr>
              <w:pStyle w:val="6"/>
              <w:spacing w:before="98" w:line="205" w:lineRule="auto"/>
              <w:ind w:left="135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50m</w:t>
            </w:r>
            <w:r>
              <w:rPr>
                <w:rFonts w:ascii="Times New Roman" w:hAnsi="Times New Roman" w:eastAsia="Times New Roman" w:cs="Times New Roman"/>
                <w:spacing w:val="1"/>
                <w:position w:val="6"/>
                <w:sz w:val="13"/>
                <w:szCs w:val="13"/>
              </w:rPr>
              <w:t>3</w:t>
            </w:r>
            <w:r>
              <w:rPr>
                <w:rFonts w:ascii="Times New Roman" w:hAnsi="Times New Roman" w:eastAsia="Times New Roman" w:cs="Times New Roman"/>
                <w:spacing w:val="-7"/>
                <w:position w:val="6"/>
                <w:sz w:val="13"/>
                <w:szCs w:val="13"/>
              </w:rPr>
              <w:t xml:space="preserve"> </w:t>
            </w:r>
            <w:r>
              <w:rPr>
                <w:spacing w:val="1"/>
                <w:sz w:val="20"/>
                <w:szCs w:val="20"/>
              </w:rPr>
              <w:t>，</w:t>
            </w:r>
            <w:r>
              <w:rPr>
                <w:rFonts w:ascii="Times New Roman" w:hAnsi="Times New Roman" w:eastAsia="Times New Roman" w:cs="Times New Roman"/>
                <w:spacing w:val="1"/>
                <w:sz w:val="20"/>
                <w:szCs w:val="20"/>
              </w:rPr>
              <w:t>304</w:t>
            </w:r>
          </w:p>
        </w:tc>
        <w:tc>
          <w:tcPr>
            <w:tcW w:w="654" w:type="dxa"/>
            <w:vAlign w:val="top"/>
          </w:tcPr>
          <w:p w14:paraId="14CC0973">
            <w:pPr>
              <w:pStyle w:val="6"/>
              <w:spacing w:before="83" w:line="222" w:lineRule="auto"/>
              <w:ind w:left="243"/>
              <w:rPr>
                <w:sz w:val="20"/>
                <w:szCs w:val="20"/>
              </w:rPr>
            </w:pPr>
            <w:r>
              <w:rPr>
                <w:sz w:val="20"/>
                <w:szCs w:val="20"/>
              </w:rPr>
              <w:t>台</w:t>
            </w:r>
          </w:p>
        </w:tc>
        <w:tc>
          <w:tcPr>
            <w:tcW w:w="648" w:type="dxa"/>
            <w:vAlign w:val="top"/>
          </w:tcPr>
          <w:p w14:paraId="175E3AB3">
            <w:pPr>
              <w:spacing w:before="119"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5638F62A">
            <w:pPr>
              <w:rPr>
                <w:rFonts w:ascii="Arial"/>
                <w:sz w:val="21"/>
              </w:rPr>
            </w:pPr>
          </w:p>
        </w:tc>
      </w:tr>
      <w:tr w14:paraId="4776B5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4" w:hRule="atLeast"/>
        </w:trPr>
        <w:tc>
          <w:tcPr>
            <w:tcW w:w="580" w:type="dxa"/>
            <w:vMerge w:val="continue"/>
            <w:tcBorders>
              <w:top w:val="nil"/>
              <w:left w:val="nil"/>
              <w:bottom w:val="nil"/>
            </w:tcBorders>
            <w:vAlign w:val="top"/>
          </w:tcPr>
          <w:p w14:paraId="33F0AB4A">
            <w:pPr>
              <w:rPr>
                <w:rFonts w:ascii="Arial"/>
                <w:sz w:val="21"/>
              </w:rPr>
            </w:pPr>
          </w:p>
        </w:tc>
        <w:tc>
          <w:tcPr>
            <w:tcW w:w="473" w:type="dxa"/>
            <w:vAlign w:val="top"/>
          </w:tcPr>
          <w:p w14:paraId="49138DE8">
            <w:pPr>
              <w:spacing w:before="279" w:line="195" w:lineRule="auto"/>
              <w:ind w:left="18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030" w:type="dxa"/>
            <w:vAlign w:val="top"/>
          </w:tcPr>
          <w:p w14:paraId="7707096D">
            <w:pPr>
              <w:pStyle w:val="6"/>
              <w:spacing w:before="243" w:line="228" w:lineRule="auto"/>
              <w:ind w:left="495"/>
              <w:rPr>
                <w:sz w:val="20"/>
                <w:szCs w:val="20"/>
              </w:rPr>
            </w:pPr>
            <w:r>
              <w:rPr>
                <w:spacing w:val="8"/>
                <w:sz w:val="20"/>
                <w:szCs w:val="20"/>
              </w:rPr>
              <w:t>氨水卸料泵</w:t>
            </w:r>
          </w:p>
        </w:tc>
        <w:tc>
          <w:tcPr>
            <w:tcW w:w="3669" w:type="dxa"/>
            <w:vAlign w:val="top"/>
          </w:tcPr>
          <w:p w14:paraId="21861848">
            <w:pPr>
              <w:pStyle w:val="6"/>
              <w:spacing w:before="47" w:line="292" w:lineRule="auto"/>
              <w:ind w:left="1664" w:hanging="1643"/>
              <w:rPr>
                <w:rFonts w:ascii="Times New Roman" w:hAnsi="Times New Roman" w:eastAsia="Times New Roman" w:cs="Times New Roman"/>
                <w:sz w:val="20"/>
                <w:szCs w:val="20"/>
              </w:rPr>
            </w:pPr>
            <w:r>
              <w:rPr>
                <w:spacing w:val="-5"/>
                <w:sz w:val="20"/>
                <w:szCs w:val="20"/>
              </w:rPr>
              <w:t>流量</w:t>
            </w:r>
            <w:r>
              <w:rPr>
                <w:spacing w:val="-38"/>
                <w:sz w:val="20"/>
                <w:szCs w:val="20"/>
              </w:rPr>
              <w:t xml:space="preserve"> </w:t>
            </w:r>
            <w:r>
              <w:rPr>
                <w:rFonts w:ascii="Times New Roman" w:hAnsi="Times New Roman" w:eastAsia="Times New Roman" w:cs="Times New Roman"/>
                <w:spacing w:val="-5"/>
                <w:sz w:val="20"/>
                <w:szCs w:val="20"/>
              </w:rPr>
              <w:t>Q=30m</w:t>
            </w:r>
            <w:r>
              <w:rPr>
                <w:rFonts w:ascii="Times New Roman" w:hAnsi="Times New Roman" w:eastAsia="Times New Roman" w:cs="Times New Roman"/>
                <w:spacing w:val="-5"/>
                <w:position w:val="6"/>
                <w:sz w:val="13"/>
                <w:szCs w:val="13"/>
              </w:rPr>
              <w:t>3</w:t>
            </w:r>
            <w:r>
              <w:rPr>
                <w:rFonts w:ascii="Times New Roman" w:hAnsi="Times New Roman" w:eastAsia="Times New Roman" w:cs="Times New Roman"/>
                <w:spacing w:val="-5"/>
                <w:sz w:val="20"/>
                <w:szCs w:val="20"/>
              </w:rPr>
              <w:t>/h</w:t>
            </w:r>
            <w:r>
              <w:rPr>
                <w:spacing w:val="-5"/>
                <w:sz w:val="20"/>
                <w:szCs w:val="20"/>
              </w:rPr>
              <w:t>，扬程</w:t>
            </w:r>
            <w:r>
              <w:rPr>
                <w:spacing w:val="-42"/>
                <w:sz w:val="20"/>
                <w:szCs w:val="20"/>
              </w:rPr>
              <w:t xml:space="preserve"> </w:t>
            </w:r>
            <w:r>
              <w:rPr>
                <w:rFonts w:ascii="Times New Roman" w:hAnsi="Times New Roman" w:eastAsia="Times New Roman" w:cs="Times New Roman"/>
                <w:spacing w:val="-5"/>
                <w:sz w:val="20"/>
                <w:szCs w:val="20"/>
              </w:rPr>
              <w:t>H=25m</w:t>
            </w:r>
            <w:r>
              <w:rPr>
                <w:spacing w:val="-5"/>
                <w:sz w:val="20"/>
                <w:szCs w:val="20"/>
              </w:rPr>
              <w:t>，</w:t>
            </w:r>
            <w:r>
              <w:rPr>
                <w:spacing w:val="-6"/>
                <w:sz w:val="20"/>
                <w:szCs w:val="20"/>
              </w:rPr>
              <w:t>过流材质：</w:t>
            </w:r>
            <w:r>
              <w:rPr>
                <w:sz w:val="20"/>
                <w:szCs w:val="20"/>
              </w:rPr>
              <w:t xml:space="preserve"> </w:t>
            </w:r>
            <w:r>
              <w:rPr>
                <w:rFonts w:ascii="Times New Roman" w:hAnsi="Times New Roman" w:eastAsia="Times New Roman" w:cs="Times New Roman"/>
                <w:spacing w:val="1"/>
                <w:sz w:val="20"/>
                <w:szCs w:val="20"/>
              </w:rPr>
              <w:t>304</w:t>
            </w:r>
          </w:p>
        </w:tc>
        <w:tc>
          <w:tcPr>
            <w:tcW w:w="654" w:type="dxa"/>
            <w:vAlign w:val="top"/>
          </w:tcPr>
          <w:p w14:paraId="5425910E">
            <w:pPr>
              <w:pStyle w:val="6"/>
              <w:spacing w:before="243" w:line="228" w:lineRule="auto"/>
              <w:ind w:left="228"/>
              <w:rPr>
                <w:sz w:val="20"/>
                <w:szCs w:val="20"/>
              </w:rPr>
            </w:pPr>
            <w:r>
              <w:rPr>
                <w:sz w:val="20"/>
                <w:szCs w:val="20"/>
              </w:rPr>
              <w:t>套</w:t>
            </w:r>
          </w:p>
        </w:tc>
        <w:tc>
          <w:tcPr>
            <w:tcW w:w="648" w:type="dxa"/>
            <w:vAlign w:val="top"/>
          </w:tcPr>
          <w:p w14:paraId="49EAF837">
            <w:pPr>
              <w:spacing w:before="279"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2A190F85">
            <w:pPr>
              <w:rPr>
                <w:rFonts w:ascii="Arial"/>
                <w:sz w:val="21"/>
              </w:rPr>
            </w:pPr>
          </w:p>
        </w:tc>
      </w:tr>
      <w:tr w14:paraId="55A951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4" w:hRule="atLeast"/>
        </w:trPr>
        <w:tc>
          <w:tcPr>
            <w:tcW w:w="580" w:type="dxa"/>
            <w:vMerge w:val="continue"/>
            <w:tcBorders>
              <w:top w:val="nil"/>
              <w:left w:val="nil"/>
              <w:bottom w:val="nil"/>
            </w:tcBorders>
            <w:vAlign w:val="top"/>
          </w:tcPr>
          <w:p w14:paraId="2C001DC0">
            <w:pPr>
              <w:rPr>
                <w:rFonts w:ascii="Arial"/>
                <w:sz w:val="21"/>
              </w:rPr>
            </w:pPr>
          </w:p>
        </w:tc>
        <w:tc>
          <w:tcPr>
            <w:tcW w:w="473" w:type="dxa"/>
            <w:vAlign w:val="top"/>
          </w:tcPr>
          <w:p w14:paraId="13772852">
            <w:pPr>
              <w:spacing w:before="280" w:line="195" w:lineRule="auto"/>
              <w:ind w:left="188"/>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030" w:type="dxa"/>
            <w:vAlign w:val="top"/>
          </w:tcPr>
          <w:p w14:paraId="0B2AC2B1">
            <w:pPr>
              <w:pStyle w:val="6"/>
              <w:spacing w:before="244" w:line="228" w:lineRule="auto"/>
              <w:ind w:left="286"/>
              <w:rPr>
                <w:sz w:val="20"/>
                <w:szCs w:val="20"/>
              </w:rPr>
            </w:pPr>
            <w:r>
              <w:rPr>
                <w:spacing w:val="8"/>
                <w:sz w:val="20"/>
                <w:szCs w:val="20"/>
              </w:rPr>
              <w:t>氨水溶液输送泵</w:t>
            </w:r>
          </w:p>
        </w:tc>
        <w:tc>
          <w:tcPr>
            <w:tcW w:w="3669" w:type="dxa"/>
            <w:vAlign w:val="top"/>
          </w:tcPr>
          <w:p w14:paraId="321AEEFD">
            <w:pPr>
              <w:pStyle w:val="6"/>
              <w:spacing w:before="48" w:line="275" w:lineRule="auto"/>
              <w:ind w:left="934" w:right="372" w:hanging="553"/>
              <w:rPr>
                <w:rFonts w:ascii="Times New Roman" w:hAnsi="Times New Roman" w:eastAsia="Times New Roman" w:cs="Times New Roman"/>
                <w:sz w:val="20"/>
                <w:szCs w:val="20"/>
              </w:rPr>
            </w:pPr>
            <w:r>
              <w:rPr>
                <w:spacing w:val="5"/>
                <w:sz w:val="20"/>
                <w:szCs w:val="20"/>
              </w:rPr>
              <w:t xml:space="preserve">离心泵，流量 </w:t>
            </w:r>
            <w:r>
              <w:rPr>
                <w:rFonts w:ascii="Times New Roman" w:hAnsi="Times New Roman" w:eastAsia="Times New Roman" w:cs="Times New Roman"/>
                <w:spacing w:val="5"/>
                <w:sz w:val="20"/>
                <w:szCs w:val="20"/>
              </w:rPr>
              <w:t>Q=0.4m</w:t>
            </w:r>
            <w:r>
              <w:rPr>
                <w:rFonts w:ascii="Times New Roman" w:hAnsi="Times New Roman" w:eastAsia="Times New Roman" w:cs="Times New Roman"/>
                <w:spacing w:val="5"/>
                <w:position w:val="6"/>
                <w:sz w:val="13"/>
                <w:szCs w:val="13"/>
              </w:rPr>
              <w:t>3</w:t>
            </w:r>
            <w:r>
              <w:rPr>
                <w:rFonts w:ascii="Times New Roman" w:hAnsi="Times New Roman" w:eastAsia="Times New Roman" w:cs="Times New Roman"/>
                <w:spacing w:val="5"/>
                <w:sz w:val="20"/>
                <w:szCs w:val="20"/>
              </w:rPr>
              <w:t>/h</w:t>
            </w:r>
            <w:r>
              <w:rPr>
                <w:rFonts w:ascii="Times New Roman" w:hAnsi="Times New Roman" w:eastAsia="Times New Roman" w:cs="Times New Roman"/>
                <w:spacing w:val="-20"/>
                <w:sz w:val="20"/>
                <w:szCs w:val="20"/>
              </w:rPr>
              <w:t xml:space="preserve"> </w:t>
            </w:r>
            <w:r>
              <w:rPr>
                <w:spacing w:val="5"/>
                <w:sz w:val="20"/>
                <w:szCs w:val="20"/>
              </w:rPr>
              <w:t>，扬程</w:t>
            </w:r>
            <w:r>
              <w:rPr>
                <w:sz w:val="20"/>
                <w:szCs w:val="20"/>
              </w:rPr>
              <w:t xml:space="preserve"> </w:t>
            </w:r>
            <w:r>
              <w:rPr>
                <w:rFonts w:ascii="Times New Roman" w:hAnsi="Times New Roman" w:eastAsia="Times New Roman" w:cs="Times New Roman"/>
                <w:spacing w:val="2"/>
                <w:sz w:val="20"/>
                <w:szCs w:val="20"/>
              </w:rPr>
              <w:t>H=</w:t>
            </w:r>
            <w:r>
              <w:rPr>
                <w:rFonts w:ascii="Times New Roman" w:hAnsi="Times New Roman" w:eastAsia="Times New Roman" w:cs="Times New Roman"/>
                <w:spacing w:val="-21"/>
                <w:sz w:val="20"/>
                <w:szCs w:val="20"/>
              </w:rPr>
              <w:t xml:space="preserve"> </w:t>
            </w:r>
            <w:r>
              <w:rPr>
                <w:rFonts w:ascii="Times New Roman" w:hAnsi="Times New Roman" w:eastAsia="Times New Roman" w:cs="Times New Roman"/>
                <w:spacing w:val="2"/>
                <w:sz w:val="20"/>
                <w:szCs w:val="20"/>
              </w:rPr>
              <w:t>150m</w:t>
            </w:r>
            <w:r>
              <w:rPr>
                <w:rFonts w:ascii="Times New Roman" w:hAnsi="Times New Roman" w:eastAsia="Times New Roman" w:cs="Times New Roman"/>
                <w:spacing w:val="-24"/>
                <w:sz w:val="20"/>
                <w:szCs w:val="20"/>
              </w:rPr>
              <w:t xml:space="preserve"> </w:t>
            </w:r>
            <w:r>
              <w:rPr>
                <w:spacing w:val="2"/>
                <w:sz w:val="20"/>
                <w:szCs w:val="20"/>
              </w:rPr>
              <w:t xml:space="preserve">，材质 </w:t>
            </w:r>
            <w:r>
              <w:rPr>
                <w:rFonts w:ascii="Times New Roman" w:hAnsi="Times New Roman" w:eastAsia="Times New Roman" w:cs="Times New Roman"/>
                <w:spacing w:val="2"/>
                <w:sz w:val="20"/>
                <w:szCs w:val="20"/>
              </w:rPr>
              <w:t>304</w:t>
            </w:r>
          </w:p>
        </w:tc>
        <w:tc>
          <w:tcPr>
            <w:tcW w:w="654" w:type="dxa"/>
            <w:vAlign w:val="top"/>
          </w:tcPr>
          <w:p w14:paraId="3638FF95">
            <w:pPr>
              <w:pStyle w:val="6"/>
              <w:spacing w:before="244" w:line="228" w:lineRule="auto"/>
              <w:ind w:left="228"/>
              <w:rPr>
                <w:sz w:val="20"/>
                <w:szCs w:val="20"/>
              </w:rPr>
            </w:pPr>
            <w:r>
              <w:rPr>
                <w:sz w:val="20"/>
                <w:szCs w:val="20"/>
              </w:rPr>
              <w:t>套</w:t>
            </w:r>
          </w:p>
        </w:tc>
        <w:tc>
          <w:tcPr>
            <w:tcW w:w="648" w:type="dxa"/>
            <w:vAlign w:val="top"/>
          </w:tcPr>
          <w:p w14:paraId="2F06244D">
            <w:pPr>
              <w:spacing w:before="280" w:line="195" w:lineRule="auto"/>
              <w:ind w:left="273"/>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990" w:type="dxa"/>
            <w:tcBorders>
              <w:right w:val="nil"/>
            </w:tcBorders>
            <w:vAlign w:val="top"/>
          </w:tcPr>
          <w:p w14:paraId="7248CEA0">
            <w:pPr>
              <w:rPr>
                <w:rFonts w:ascii="Arial"/>
                <w:sz w:val="21"/>
              </w:rPr>
            </w:pPr>
          </w:p>
        </w:tc>
      </w:tr>
      <w:tr w14:paraId="5E0E5E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580" w:type="dxa"/>
            <w:vMerge w:val="continue"/>
            <w:tcBorders>
              <w:top w:val="nil"/>
              <w:left w:val="nil"/>
              <w:bottom w:val="nil"/>
            </w:tcBorders>
            <w:vAlign w:val="top"/>
          </w:tcPr>
          <w:p w14:paraId="3BEDE2FA">
            <w:pPr>
              <w:rPr>
                <w:rFonts w:ascii="Arial"/>
                <w:sz w:val="21"/>
              </w:rPr>
            </w:pPr>
          </w:p>
        </w:tc>
        <w:tc>
          <w:tcPr>
            <w:tcW w:w="473" w:type="dxa"/>
            <w:vAlign w:val="top"/>
          </w:tcPr>
          <w:p w14:paraId="6F241D7E">
            <w:pPr>
              <w:spacing w:before="128" w:line="192" w:lineRule="auto"/>
              <w:ind w:left="190"/>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030" w:type="dxa"/>
            <w:vAlign w:val="top"/>
          </w:tcPr>
          <w:p w14:paraId="0D556F25">
            <w:pPr>
              <w:pStyle w:val="6"/>
              <w:spacing w:before="86" w:line="219" w:lineRule="auto"/>
              <w:ind w:left="185"/>
              <w:rPr>
                <w:sz w:val="20"/>
                <w:szCs w:val="20"/>
              </w:rPr>
            </w:pPr>
            <w:r>
              <w:rPr>
                <w:spacing w:val="8"/>
                <w:sz w:val="20"/>
                <w:szCs w:val="20"/>
              </w:rPr>
              <w:t>安全自动喷淋系统</w:t>
            </w:r>
          </w:p>
        </w:tc>
        <w:tc>
          <w:tcPr>
            <w:tcW w:w="3669" w:type="dxa"/>
            <w:vAlign w:val="top"/>
          </w:tcPr>
          <w:p w14:paraId="4C8E286D">
            <w:pPr>
              <w:rPr>
                <w:rFonts w:ascii="Arial"/>
                <w:sz w:val="21"/>
              </w:rPr>
            </w:pPr>
          </w:p>
        </w:tc>
        <w:tc>
          <w:tcPr>
            <w:tcW w:w="654" w:type="dxa"/>
            <w:vAlign w:val="top"/>
          </w:tcPr>
          <w:p w14:paraId="678878DC">
            <w:pPr>
              <w:pStyle w:val="6"/>
              <w:spacing w:before="86" w:line="219" w:lineRule="auto"/>
              <w:ind w:left="228"/>
              <w:rPr>
                <w:sz w:val="20"/>
                <w:szCs w:val="20"/>
              </w:rPr>
            </w:pPr>
            <w:r>
              <w:rPr>
                <w:sz w:val="20"/>
                <w:szCs w:val="20"/>
              </w:rPr>
              <w:t>套</w:t>
            </w:r>
          </w:p>
        </w:tc>
        <w:tc>
          <w:tcPr>
            <w:tcW w:w="648" w:type="dxa"/>
            <w:vAlign w:val="top"/>
          </w:tcPr>
          <w:p w14:paraId="634B073C">
            <w:pPr>
              <w:spacing w:before="125"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right w:val="nil"/>
            </w:tcBorders>
            <w:vAlign w:val="top"/>
          </w:tcPr>
          <w:p w14:paraId="1D8950B4">
            <w:pPr>
              <w:rPr>
                <w:rFonts w:ascii="Arial"/>
                <w:sz w:val="21"/>
              </w:rPr>
            </w:pPr>
          </w:p>
        </w:tc>
      </w:tr>
      <w:tr w14:paraId="0C5328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4" w:hRule="atLeast"/>
        </w:trPr>
        <w:tc>
          <w:tcPr>
            <w:tcW w:w="580" w:type="dxa"/>
            <w:vMerge w:val="continue"/>
            <w:tcBorders>
              <w:top w:val="nil"/>
              <w:left w:val="nil"/>
              <w:bottom w:val="nil"/>
            </w:tcBorders>
            <w:vAlign w:val="top"/>
          </w:tcPr>
          <w:p w14:paraId="3A7D5455">
            <w:pPr>
              <w:rPr>
                <w:rFonts w:ascii="Arial"/>
                <w:sz w:val="21"/>
              </w:rPr>
            </w:pPr>
          </w:p>
        </w:tc>
        <w:tc>
          <w:tcPr>
            <w:tcW w:w="473" w:type="dxa"/>
            <w:vAlign w:val="top"/>
          </w:tcPr>
          <w:p w14:paraId="3CEAECA7">
            <w:pPr>
              <w:spacing w:before="283" w:line="195" w:lineRule="auto"/>
              <w:ind w:left="189"/>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030" w:type="dxa"/>
            <w:vAlign w:val="top"/>
          </w:tcPr>
          <w:p w14:paraId="7CC700D4">
            <w:pPr>
              <w:pStyle w:val="6"/>
              <w:spacing w:before="88" w:line="228" w:lineRule="auto"/>
              <w:ind w:left="83"/>
              <w:rPr>
                <w:sz w:val="20"/>
                <w:szCs w:val="20"/>
              </w:rPr>
            </w:pPr>
            <w:r>
              <w:rPr>
                <w:spacing w:val="8"/>
                <w:sz w:val="20"/>
                <w:szCs w:val="20"/>
              </w:rPr>
              <w:t>喷枪（统一为不少于</w:t>
            </w:r>
          </w:p>
          <w:p w14:paraId="692BF6D9">
            <w:pPr>
              <w:pStyle w:val="6"/>
              <w:spacing w:before="70" w:line="220" w:lineRule="auto"/>
              <w:ind w:left="694"/>
              <w:rPr>
                <w:sz w:val="20"/>
                <w:szCs w:val="20"/>
              </w:rPr>
            </w:pPr>
            <w:r>
              <w:rPr>
                <w:rFonts w:ascii="Times New Roman" w:hAnsi="Times New Roman" w:eastAsia="Times New Roman" w:cs="Times New Roman"/>
                <w:spacing w:val="-7"/>
                <w:sz w:val="20"/>
                <w:szCs w:val="20"/>
              </w:rPr>
              <w:t>16</w:t>
            </w:r>
            <w:r>
              <w:rPr>
                <w:rFonts w:ascii="Times New Roman" w:hAnsi="Times New Roman" w:eastAsia="Times New Roman" w:cs="Times New Roman"/>
                <w:spacing w:val="23"/>
                <w:sz w:val="20"/>
                <w:szCs w:val="20"/>
              </w:rPr>
              <w:t xml:space="preserve"> </w:t>
            </w:r>
            <w:r>
              <w:rPr>
                <w:spacing w:val="-7"/>
                <w:sz w:val="20"/>
                <w:szCs w:val="20"/>
              </w:rPr>
              <w:t>只）</w:t>
            </w:r>
          </w:p>
        </w:tc>
        <w:tc>
          <w:tcPr>
            <w:tcW w:w="3669" w:type="dxa"/>
            <w:vAlign w:val="top"/>
          </w:tcPr>
          <w:p w14:paraId="43D2EA53">
            <w:pPr>
              <w:pStyle w:val="6"/>
              <w:spacing w:before="89" w:line="256" w:lineRule="auto"/>
              <w:ind w:left="1499" w:right="12" w:hanging="1478"/>
              <w:rPr>
                <w:rFonts w:ascii="Times New Roman" w:hAnsi="Times New Roman" w:eastAsia="Times New Roman" w:cs="Times New Roman"/>
                <w:sz w:val="20"/>
                <w:szCs w:val="20"/>
              </w:rPr>
            </w:pPr>
            <w:r>
              <w:rPr>
                <w:spacing w:val="2"/>
                <w:sz w:val="20"/>
                <w:szCs w:val="20"/>
              </w:rPr>
              <w:t>流量：</w:t>
            </w:r>
            <w:r>
              <w:rPr>
                <w:rFonts w:ascii="Times New Roman" w:hAnsi="Times New Roman" w:eastAsia="Times New Roman" w:cs="Times New Roman"/>
                <w:spacing w:val="2"/>
                <w:sz w:val="20"/>
                <w:szCs w:val="20"/>
              </w:rPr>
              <w:t>10-100L/h</w:t>
            </w:r>
            <w:r>
              <w:rPr>
                <w:rFonts w:ascii="Times New Roman" w:hAnsi="Times New Roman" w:eastAsia="Times New Roman" w:cs="Times New Roman"/>
                <w:spacing w:val="-24"/>
                <w:sz w:val="20"/>
                <w:szCs w:val="20"/>
              </w:rPr>
              <w:t xml:space="preserve"> </w:t>
            </w:r>
            <w:r>
              <w:rPr>
                <w:spacing w:val="2"/>
                <w:sz w:val="20"/>
                <w:szCs w:val="20"/>
              </w:rPr>
              <w:t>，材质：枪体</w:t>
            </w:r>
            <w:r>
              <w:rPr>
                <w:spacing w:val="-37"/>
                <w:sz w:val="20"/>
                <w:szCs w:val="20"/>
              </w:rPr>
              <w:t xml:space="preserve"> </w:t>
            </w:r>
            <w:r>
              <w:rPr>
                <w:rFonts w:ascii="Times New Roman" w:hAnsi="Times New Roman" w:eastAsia="Times New Roman" w:cs="Times New Roman"/>
                <w:spacing w:val="2"/>
                <w:sz w:val="20"/>
                <w:szCs w:val="20"/>
              </w:rPr>
              <w:t>316L</w:t>
            </w:r>
            <w:r>
              <w:rPr>
                <w:rFonts w:ascii="Times New Roman" w:hAnsi="Times New Roman" w:eastAsia="Times New Roman" w:cs="Times New Roman"/>
                <w:spacing w:val="-25"/>
                <w:sz w:val="20"/>
                <w:szCs w:val="20"/>
              </w:rPr>
              <w:t xml:space="preserve"> </w:t>
            </w:r>
            <w:r>
              <w:rPr>
                <w:spacing w:val="2"/>
                <w:sz w:val="20"/>
                <w:szCs w:val="20"/>
              </w:rPr>
              <w:t>，喷</w:t>
            </w:r>
            <w:r>
              <w:rPr>
                <w:sz w:val="20"/>
                <w:szCs w:val="20"/>
              </w:rPr>
              <w:t xml:space="preserve"> </w:t>
            </w:r>
            <w:r>
              <w:rPr>
                <w:spacing w:val="1"/>
                <w:sz w:val="20"/>
                <w:szCs w:val="20"/>
              </w:rPr>
              <w:t>嘴</w:t>
            </w:r>
            <w:r>
              <w:rPr>
                <w:spacing w:val="-39"/>
                <w:sz w:val="20"/>
                <w:szCs w:val="20"/>
              </w:rPr>
              <w:t xml:space="preserve"> </w:t>
            </w:r>
            <w:r>
              <w:rPr>
                <w:rFonts w:ascii="Times New Roman" w:hAnsi="Times New Roman" w:eastAsia="Times New Roman" w:cs="Times New Roman"/>
                <w:spacing w:val="1"/>
                <w:sz w:val="20"/>
                <w:szCs w:val="20"/>
              </w:rPr>
              <w:t>310S</w:t>
            </w:r>
          </w:p>
        </w:tc>
        <w:tc>
          <w:tcPr>
            <w:tcW w:w="654" w:type="dxa"/>
            <w:vAlign w:val="top"/>
          </w:tcPr>
          <w:p w14:paraId="78D29066">
            <w:pPr>
              <w:pStyle w:val="6"/>
              <w:spacing w:before="246" w:line="231" w:lineRule="auto"/>
              <w:ind w:left="239"/>
              <w:rPr>
                <w:sz w:val="20"/>
                <w:szCs w:val="20"/>
              </w:rPr>
            </w:pPr>
            <w:r>
              <w:rPr>
                <w:sz w:val="20"/>
                <w:szCs w:val="20"/>
              </w:rPr>
              <w:t>只</w:t>
            </w:r>
          </w:p>
        </w:tc>
        <w:tc>
          <w:tcPr>
            <w:tcW w:w="648" w:type="dxa"/>
            <w:vAlign w:val="top"/>
          </w:tcPr>
          <w:p w14:paraId="5B377B04">
            <w:pPr>
              <w:spacing w:before="283" w:line="195" w:lineRule="auto"/>
              <w:ind w:left="24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16</w:t>
            </w:r>
          </w:p>
        </w:tc>
        <w:tc>
          <w:tcPr>
            <w:tcW w:w="990" w:type="dxa"/>
            <w:tcBorders>
              <w:right w:val="nil"/>
            </w:tcBorders>
            <w:vAlign w:val="top"/>
          </w:tcPr>
          <w:p w14:paraId="4F997E74">
            <w:pPr>
              <w:rPr>
                <w:rFonts w:ascii="Arial"/>
                <w:sz w:val="21"/>
              </w:rPr>
            </w:pPr>
          </w:p>
        </w:tc>
      </w:tr>
      <w:tr w14:paraId="4B97A8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4" w:hRule="atLeast"/>
        </w:trPr>
        <w:tc>
          <w:tcPr>
            <w:tcW w:w="580" w:type="dxa"/>
            <w:vMerge w:val="continue"/>
            <w:tcBorders>
              <w:top w:val="nil"/>
              <w:left w:val="nil"/>
              <w:bottom w:val="nil"/>
            </w:tcBorders>
            <w:vAlign w:val="top"/>
          </w:tcPr>
          <w:p w14:paraId="771870BB">
            <w:pPr>
              <w:rPr>
                <w:rFonts w:ascii="Arial"/>
                <w:sz w:val="21"/>
              </w:rPr>
            </w:pPr>
          </w:p>
        </w:tc>
        <w:tc>
          <w:tcPr>
            <w:tcW w:w="473" w:type="dxa"/>
            <w:vAlign w:val="top"/>
          </w:tcPr>
          <w:p w14:paraId="75A6D30E">
            <w:pPr>
              <w:spacing w:before="289" w:line="192" w:lineRule="auto"/>
              <w:ind w:left="188"/>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030" w:type="dxa"/>
            <w:vAlign w:val="top"/>
          </w:tcPr>
          <w:p w14:paraId="5F3918C5">
            <w:pPr>
              <w:pStyle w:val="6"/>
              <w:spacing w:before="248" w:line="227" w:lineRule="auto"/>
              <w:ind w:left="706"/>
              <w:rPr>
                <w:sz w:val="20"/>
                <w:szCs w:val="20"/>
              </w:rPr>
            </w:pPr>
            <w:r>
              <w:rPr>
                <w:spacing w:val="6"/>
                <w:sz w:val="20"/>
                <w:szCs w:val="20"/>
              </w:rPr>
              <w:t>催化剂</w:t>
            </w:r>
          </w:p>
        </w:tc>
        <w:tc>
          <w:tcPr>
            <w:tcW w:w="3669" w:type="dxa"/>
            <w:vAlign w:val="top"/>
          </w:tcPr>
          <w:p w14:paraId="22312023">
            <w:pPr>
              <w:pStyle w:val="6"/>
              <w:spacing w:before="89" w:line="256" w:lineRule="auto"/>
              <w:ind w:left="788" w:right="233" w:hanging="550"/>
              <w:rPr>
                <w:sz w:val="20"/>
                <w:szCs w:val="20"/>
              </w:rPr>
            </w:pPr>
            <w:r>
              <w:rPr>
                <w:spacing w:val="8"/>
                <w:sz w:val="20"/>
                <w:szCs w:val="20"/>
              </w:rPr>
              <w:t>模块组合，蜂窝式，</w:t>
            </w:r>
            <w:r>
              <w:rPr>
                <w:rFonts w:ascii="Times New Roman" w:hAnsi="Times New Roman" w:eastAsia="Times New Roman" w:cs="Times New Roman"/>
                <w:spacing w:val="8"/>
                <w:sz w:val="20"/>
                <w:szCs w:val="20"/>
              </w:rPr>
              <w:t xml:space="preserve">30 </w:t>
            </w:r>
            <w:r>
              <w:rPr>
                <w:spacing w:val="8"/>
                <w:sz w:val="20"/>
                <w:szCs w:val="20"/>
              </w:rPr>
              <w:t>孔，考虑安</w:t>
            </w:r>
            <w:r>
              <w:rPr>
                <w:spacing w:val="5"/>
                <w:sz w:val="20"/>
                <w:szCs w:val="20"/>
              </w:rPr>
              <w:t xml:space="preserve"> </w:t>
            </w:r>
            <w:r>
              <w:rPr>
                <w:spacing w:val="8"/>
                <w:sz w:val="20"/>
                <w:szCs w:val="20"/>
              </w:rPr>
              <w:t>装空间，预留一层空间</w:t>
            </w:r>
          </w:p>
        </w:tc>
        <w:tc>
          <w:tcPr>
            <w:tcW w:w="654" w:type="dxa"/>
            <w:vAlign w:val="top"/>
          </w:tcPr>
          <w:p w14:paraId="03E3D546">
            <w:pPr>
              <w:pStyle w:val="6"/>
              <w:spacing w:before="248" w:line="229" w:lineRule="auto"/>
              <w:ind w:left="228"/>
              <w:rPr>
                <w:sz w:val="20"/>
                <w:szCs w:val="20"/>
              </w:rPr>
            </w:pPr>
            <w:r>
              <w:rPr>
                <w:sz w:val="20"/>
                <w:szCs w:val="20"/>
              </w:rPr>
              <w:t>孔</w:t>
            </w:r>
          </w:p>
        </w:tc>
        <w:tc>
          <w:tcPr>
            <w:tcW w:w="648" w:type="dxa"/>
            <w:vAlign w:val="top"/>
          </w:tcPr>
          <w:p w14:paraId="2095CB16">
            <w:pPr>
              <w:spacing w:before="286" w:line="195" w:lineRule="auto"/>
              <w:ind w:left="226"/>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990" w:type="dxa"/>
            <w:tcBorders>
              <w:right w:val="nil"/>
            </w:tcBorders>
            <w:vAlign w:val="top"/>
          </w:tcPr>
          <w:p w14:paraId="25F9FC3B">
            <w:pPr>
              <w:rPr>
                <w:rFonts w:ascii="Arial"/>
                <w:sz w:val="21"/>
              </w:rPr>
            </w:pPr>
          </w:p>
        </w:tc>
      </w:tr>
      <w:tr w14:paraId="711C24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580" w:type="dxa"/>
            <w:vMerge w:val="continue"/>
            <w:tcBorders>
              <w:top w:val="nil"/>
              <w:left w:val="nil"/>
              <w:bottom w:val="nil"/>
            </w:tcBorders>
            <w:vAlign w:val="top"/>
          </w:tcPr>
          <w:p w14:paraId="7FA46FC9">
            <w:pPr>
              <w:rPr>
                <w:rFonts w:ascii="Arial"/>
                <w:sz w:val="21"/>
              </w:rPr>
            </w:pPr>
          </w:p>
        </w:tc>
        <w:tc>
          <w:tcPr>
            <w:tcW w:w="473" w:type="dxa"/>
            <w:vAlign w:val="top"/>
          </w:tcPr>
          <w:p w14:paraId="31D4E44B">
            <w:pPr>
              <w:spacing w:before="129" w:line="195" w:lineRule="auto"/>
              <w:ind w:left="193"/>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030" w:type="dxa"/>
            <w:vAlign w:val="top"/>
          </w:tcPr>
          <w:p w14:paraId="4D7A07A8">
            <w:pPr>
              <w:pStyle w:val="6"/>
              <w:spacing w:before="93" w:line="213" w:lineRule="auto"/>
              <w:ind w:left="611"/>
              <w:rPr>
                <w:sz w:val="20"/>
                <w:szCs w:val="20"/>
              </w:rPr>
            </w:pPr>
            <w:r>
              <w:rPr>
                <w:spacing w:val="4"/>
                <w:sz w:val="20"/>
                <w:szCs w:val="20"/>
              </w:rPr>
              <w:t>吹灰系统</w:t>
            </w:r>
          </w:p>
        </w:tc>
        <w:tc>
          <w:tcPr>
            <w:tcW w:w="3669" w:type="dxa"/>
            <w:vAlign w:val="top"/>
          </w:tcPr>
          <w:p w14:paraId="459F6F0C">
            <w:pPr>
              <w:pStyle w:val="6"/>
              <w:spacing w:before="93" w:line="213" w:lineRule="auto"/>
              <w:ind w:left="1318"/>
              <w:rPr>
                <w:sz w:val="20"/>
                <w:szCs w:val="20"/>
              </w:rPr>
            </w:pPr>
            <w:r>
              <w:rPr>
                <w:spacing w:val="7"/>
                <w:sz w:val="20"/>
                <w:szCs w:val="20"/>
              </w:rPr>
              <w:t>声波吹灰器</w:t>
            </w:r>
          </w:p>
        </w:tc>
        <w:tc>
          <w:tcPr>
            <w:tcW w:w="654" w:type="dxa"/>
            <w:vAlign w:val="top"/>
          </w:tcPr>
          <w:p w14:paraId="5E1FD2F1">
            <w:pPr>
              <w:pStyle w:val="6"/>
              <w:spacing w:before="93" w:line="213" w:lineRule="auto"/>
              <w:ind w:left="227"/>
              <w:rPr>
                <w:sz w:val="20"/>
                <w:szCs w:val="20"/>
              </w:rPr>
            </w:pPr>
            <w:r>
              <w:rPr>
                <w:sz w:val="20"/>
                <w:szCs w:val="20"/>
              </w:rPr>
              <w:t>个</w:t>
            </w:r>
          </w:p>
        </w:tc>
        <w:tc>
          <w:tcPr>
            <w:tcW w:w="648" w:type="dxa"/>
            <w:vAlign w:val="top"/>
          </w:tcPr>
          <w:p w14:paraId="7AEF629B">
            <w:pPr>
              <w:spacing w:before="129" w:line="195" w:lineRule="auto"/>
              <w:ind w:left="273"/>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990" w:type="dxa"/>
            <w:tcBorders>
              <w:right w:val="nil"/>
            </w:tcBorders>
            <w:vAlign w:val="top"/>
          </w:tcPr>
          <w:p w14:paraId="530245DF">
            <w:pPr>
              <w:rPr>
                <w:rFonts w:ascii="Arial"/>
                <w:sz w:val="21"/>
              </w:rPr>
            </w:pPr>
          </w:p>
        </w:tc>
      </w:tr>
      <w:tr w14:paraId="2C4E7B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7" w:hRule="atLeast"/>
        </w:trPr>
        <w:tc>
          <w:tcPr>
            <w:tcW w:w="580" w:type="dxa"/>
            <w:vMerge w:val="continue"/>
            <w:tcBorders>
              <w:top w:val="nil"/>
              <w:left w:val="nil"/>
              <w:bottom w:val="single" w:color="000000" w:sz="10" w:space="0"/>
            </w:tcBorders>
            <w:vAlign w:val="top"/>
          </w:tcPr>
          <w:p w14:paraId="2F3351ED">
            <w:pPr>
              <w:rPr>
                <w:rFonts w:ascii="Arial"/>
                <w:sz w:val="21"/>
              </w:rPr>
            </w:pPr>
          </w:p>
        </w:tc>
        <w:tc>
          <w:tcPr>
            <w:tcW w:w="473" w:type="dxa"/>
            <w:tcBorders>
              <w:bottom w:val="single" w:color="000000" w:sz="10" w:space="0"/>
            </w:tcBorders>
            <w:vAlign w:val="top"/>
          </w:tcPr>
          <w:p w14:paraId="462F3450">
            <w:pPr>
              <w:spacing w:before="130" w:line="195" w:lineRule="auto"/>
              <w:ind w:left="188"/>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2030" w:type="dxa"/>
            <w:tcBorders>
              <w:bottom w:val="single" w:color="000000" w:sz="10" w:space="0"/>
            </w:tcBorders>
            <w:vAlign w:val="top"/>
          </w:tcPr>
          <w:p w14:paraId="7ADD94E4">
            <w:pPr>
              <w:pStyle w:val="6"/>
              <w:spacing w:before="92" w:line="227" w:lineRule="auto"/>
              <w:ind w:left="390"/>
              <w:rPr>
                <w:sz w:val="20"/>
                <w:szCs w:val="20"/>
              </w:rPr>
            </w:pPr>
            <w:r>
              <w:rPr>
                <w:spacing w:val="8"/>
                <w:sz w:val="20"/>
                <w:szCs w:val="20"/>
              </w:rPr>
              <w:t>压缩空气储罐</w:t>
            </w:r>
          </w:p>
        </w:tc>
        <w:tc>
          <w:tcPr>
            <w:tcW w:w="3669" w:type="dxa"/>
            <w:tcBorders>
              <w:bottom w:val="single" w:color="000000" w:sz="10" w:space="0"/>
            </w:tcBorders>
            <w:vAlign w:val="top"/>
          </w:tcPr>
          <w:p w14:paraId="77AA09AE">
            <w:pPr>
              <w:pStyle w:val="6"/>
              <w:spacing w:before="92" w:line="230" w:lineRule="auto"/>
              <w:ind w:left="1377"/>
              <w:rPr>
                <w:sz w:val="20"/>
                <w:szCs w:val="20"/>
              </w:rPr>
            </w:pPr>
            <w:r>
              <w:rPr>
                <w:rFonts w:ascii="Times New Roman" w:hAnsi="Times New Roman" w:eastAsia="Times New Roman" w:cs="Times New Roman"/>
                <w:sz w:val="20"/>
                <w:szCs w:val="20"/>
              </w:rPr>
              <w:t>2m</w:t>
            </w:r>
            <w:r>
              <w:rPr>
                <w:rFonts w:ascii="Times New Roman" w:hAnsi="Times New Roman" w:eastAsia="Times New Roman" w:cs="Times New Roman"/>
                <w:position w:val="6"/>
                <w:sz w:val="13"/>
                <w:szCs w:val="13"/>
              </w:rPr>
              <w:t>3</w:t>
            </w:r>
            <w:r>
              <w:rPr>
                <w:rFonts w:ascii="Times New Roman" w:hAnsi="Times New Roman" w:eastAsia="Times New Roman" w:cs="Times New Roman"/>
                <w:spacing w:val="-7"/>
                <w:position w:val="6"/>
                <w:sz w:val="13"/>
                <w:szCs w:val="13"/>
              </w:rPr>
              <w:t xml:space="preserve"> </w:t>
            </w:r>
            <w:r>
              <w:rPr>
                <w:sz w:val="20"/>
                <w:szCs w:val="20"/>
              </w:rPr>
              <w:t>，</w:t>
            </w:r>
            <w:r>
              <w:rPr>
                <w:rFonts w:ascii="Times New Roman" w:hAnsi="Times New Roman" w:eastAsia="Times New Roman" w:cs="Times New Roman"/>
                <w:sz w:val="20"/>
                <w:szCs w:val="20"/>
              </w:rPr>
              <w:t>1</w:t>
            </w:r>
            <w:r>
              <w:rPr>
                <w:rFonts w:ascii="Times New Roman" w:hAnsi="Times New Roman" w:eastAsia="Times New Roman" w:cs="Times New Roman"/>
                <w:spacing w:val="26"/>
                <w:sz w:val="20"/>
                <w:szCs w:val="20"/>
              </w:rPr>
              <w:t xml:space="preserve"> </w:t>
            </w:r>
            <w:r>
              <w:rPr>
                <w:sz w:val="20"/>
                <w:szCs w:val="20"/>
              </w:rPr>
              <w:t>台</w:t>
            </w:r>
          </w:p>
        </w:tc>
        <w:tc>
          <w:tcPr>
            <w:tcW w:w="654" w:type="dxa"/>
            <w:tcBorders>
              <w:bottom w:val="single" w:color="000000" w:sz="10" w:space="0"/>
            </w:tcBorders>
            <w:vAlign w:val="top"/>
          </w:tcPr>
          <w:p w14:paraId="029FA055">
            <w:pPr>
              <w:pStyle w:val="6"/>
              <w:spacing w:before="92" w:line="230" w:lineRule="auto"/>
              <w:ind w:left="243"/>
              <w:rPr>
                <w:sz w:val="20"/>
                <w:szCs w:val="20"/>
              </w:rPr>
            </w:pPr>
            <w:r>
              <w:rPr>
                <w:sz w:val="20"/>
                <w:szCs w:val="20"/>
              </w:rPr>
              <w:t>台</w:t>
            </w:r>
          </w:p>
        </w:tc>
        <w:tc>
          <w:tcPr>
            <w:tcW w:w="648" w:type="dxa"/>
            <w:tcBorders>
              <w:bottom w:val="single" w:color="000000" w:sz="10" w:space="0"/>
            </w:tcBorders>
            <w:vAlign w:val="top"/>
          </w:tcPr>
          <w:p w14:paraId="7120A1A2">
            <w:pPr>
              <w:spacing w:before="131"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90" w:type="dxa"/>
            <w:tcBorders>
              <w:bottom w:val="single" w:color="000000" w:sz="10" w:space="0"/>
              <w:right w:val="nil"/>
            </w:tcBorders>
            <w:vAlign w:val="top"/>
          </w:tcPr>
          <w:p w14:paraId="3D30CFA4">
            <w:pPr>
              <w:rPr>
                <w:rFonts w:ascii="Arial"/>
                <w:sz w:val="21"/>
              </w:rPr>
            </w:pPr>
          </w:p>
        </w:tc>
      </w:tr>
    </w:tbl>
    <w:p w14:paraId="2D621709">
      <w:pPr>
        <w:spacing w:before="159" w:line="228" w:lineRule="auto"/>
        <w:ind w:left="21"/>
        <w:outlineLvl w:val="1"/>
        <w:rPr>
          <w:rFonts w:ascii="黑体" w:hAnsi="黑体" w:eastAsia="黑体" w:cs="黑体"/>
          <w:sz w:val="31"/>
          <w:szCs w:val="31"/>
        </w:rPr>
      </w:pPr>
      <w:bookmarkStart w:id="316" w:name="bookmark100"/>
      <w:bookmarkEnd w:id="316"/>
      <w:bookmarkStart w:id="317" w:name="bookmark102"/>
      <w:bookmarkEnd w:id="317"/>
      <w:r>
        <w:rPr>
          <w:rFonts w:ascii="Times New Roman" w:hAnsi="Times New Roman" w:eastAsia="Times New Roman" w:cs="Times New Roman"/>
          <w:b/>
          <w:bCs/>
          <w:spacing w:val="5"/>
          <w:sz w:val="31"/>
          <w:szCs w:val="31"/>
        </w:rPr>
        <w:t xml:space="preserve">2.2 </w:t>
      </w:r>
      <w:r>
        <w:rPr>
          <w:rFonts w:ascii="黑体" w:hAnsi="黑体" w:eastAsia="黑体" w:cs="黑体"/>
          <w:b/>
          <w:bCs/>
          <w:spacing w:val="5"/>
          <w:sz w:val="31"/>
          <w:szCs w:val="31"/>
        </w:rPr>
        <w:t>影响因素分析</w:t>
      </w:r>
    </w:p>
    <w:p w14:paraId="5948EEC6">
      <w:pPr>
        <w:spacing w:before="271" w:line="222" w:lineRule="auto"/>
        <w:ind w:left="20"/>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2.2.1 </w:t>
      </w:r>
      <w:r>
        <w:rPr>
          <w:rFonts w:ascii="黑体" w:hAnsi="黑体" w:eastAsia="黑体" w:cs="黑体"/>
          <w:b/>
          <w:bCs/>
          <w:spacing w:val="-2"/>
          <w:sz w:val="28"/>
          <w:szCs w:val="28"/>
        </w:rPr>
        <w:t>锰硅合金生产工艺流程及产污环节分析</w:t>
      </w:r>
    </w:p>
    <w:p w14:paraId="3EB1C473">
      <w:pPr>
        <w:spacing w:before="241" w:line="219" w:lineRule="auto"/>
        <w:ind w:right="14"/>
        <w:jc w:val="right"/>
        <w:rPr>
          <w:rFonts w:ascii="宋体" w:hAnsi="宋体" w:eastAsia="宋体" w:cs="宋体"/>
          <w:sz w:val="24"/>
          <w:szCs w:val="24"/>
        </w:rPr>
      </w:pPr>
      <w:r>
        <w:rPr>
          <w:rFonts w:ascii="宋体" w:hAnsi="宋体" w:eastAsia="宋体" w:cs="宋体"/>
          <w:spacing w:val="-3"/>
          <w:sz w:val="24"/>
          <w:szCs w:val="24"/>
        </w:rPr>
        <w:t>本项目拟建设</w:t>
      </w:r>
      <w:r>
        <w:rPr>
          <w:rFonts w:ascii="宋体" w:hAnsi="宋体" w:eastAsia="宋体" w:cs="宋体"/>
          <w:spacing w:val="-49"/>
          <w:sz w:val="24"/>
          <w:szCs w:val="24"/>
        </w:rPr>
        <w:t xml:space="preserve"> </w:t>
      </w:r>
      <w:r>
        <w:rPr>
          <w:rFonts w:ascii="Times New Roman" w:hAnsi="Times New Roman" w:eastAsia="Times New Roman" w:cs="Times New Roman"/>
          <w:spacing w:val="-3"/>
          <w:sz w:val="24"/>
          <w:szCs w:val="24"/>
        </w:rPr>
        <w:t xml:space="preserve">6×36MW </w:t>
      </w:r>
      <w:r>
        <w:rPr>
          <w:rFonts w:ascii="宋体" w:hAnsi="宋体" w:eastAsia="宋体" w:cs="宋体"/>
          <w:spacing w:val="-3"/>
          <w:sz w:val="24"/>
          <w:szCs w:val="24"/>
        </w:rPr>
        <w:t>全密闭锰硅合金电炉，年生产锰硅合金</w:t>
      </w:r>
      <w:r>
        <w:rPr>
          <w:rFonts w:ascii="宋体" w:hAnsi="宋体" w:eastAsia="宋体" w:cs="宋体"/>
          <w:spacing w:val="-56"/>
          <w:sz w:val="24"/>
          <w:szCs w:val="24"/>
        </w:rPr>
        <w:t xml:space="preserve"> </w:t>
      </w:r>
      <w:r>
        <w:rPr>
          <w:rFonts w:ascii="Times New Roman" w:hAnsi="Times New Roman" w:eastAsia="Times New Roman" w:cs="Times New Roman"/>
          <w:spacing w:val="-3"/>
          <w:sz w:val="24"/>
          <w:szCs w:val="24"/>
        </w:rPr>
        <w:t>45</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万吨，配</w:t>
      </w:r>
      <w:r>
        <w:rPr>
          <w:rFonts w:ascii="宋体" w:hAnsi="宋体" w:eastAsia="宋体" w:cs="宋体"/>
          <w:spacing w:val="-4"/>
          <w:sz w:val="24"/>
          <w:szCs w:val="24"/>
        </w:rPr>
        <w:t>套建设</w:t>
      </w:r>
    </w:p>
    <w:p w14:paraId="21773A11">
      <w:pPr>
        <w:spacing w:before="192" w:line="219" w:lineRule="auto"/>
        <w:ind w:left="42"/>
        <w:rPr>
          <w:rFonts w:ascii="宋体" w:hAnsi="宋体" w:eastAsia="宋体" w:cs="宋体"/>
          <w:sz w:val="24"/>
          <w:szCs w:val="24"/>
        </w:rPr>
      </w:pPr>
      <w:r>
        <w:rPr>
          <w:rFonts w:ascii="Times New Roman" w:hAnsi="Times New Roman" w:eastAsia="Times New Roman" w:cs="Times New Roman"/>
          <w:spacing w:val="-14"/>
          <w:sz w:val="24"/>
          <w:szCs w:val="24"/>
        </w:rPr>
        <w:t>1</w:t>
      </w:r>
      <w:r>
        <w:rPr>
          <w:rFonts w:ascii="Times New Roman" w:hAnsi="Times New Roman" w:eastAsia="Times New Roman" w:cs="Times New Roman"/>
          <w:spacing w:val="44"/>
          <w:sz w:val="24"/>
          <w:szCs w:val="24"/>
        </w:rPr>
        <w:t xml:space="preserve"> </w:t>
      </w:r>
      <w:r>
        <w:rPr>
          <w:rFonts w:ascii="宋体" w:hAnsi="宋体" w:eastAsia="宋体" w:cs="宋体"/>
          <w:spacing w:val="-14"/>
          <w:sz w:val="24"/>
          <w:szCs w:val="24"/>
        </w:rPr>
        <w:t>台</w:t>
      </w:r>
      <w:r>
        <w:rPr>
          <w:rFonts w:ascii="宋体" w:hAnsi="宋体" w:eastAsia="宋体" w:cs="宋体"/>
          <w:spacing w:val="-50"/>
          <w:sz w:val="24"/>
          <w:szCs w:val="24"/>
        </w:rPr>
        <w:t xml:space="preserve"> </w:t>
      </w:r>
      <w:r>
        <w:rPr>
          <w:rFonts w:ascii="Times New Roman" w:hAnsi="Times New Roman" w:eastAsia="Times New Roman" w:cs="Times New Roman"/>
          <w:spacing w:val="-14"/>
          <w:sz w:val="24"/>
          <w:szCs w:val="24"/>
        </w:rPr>
        <w:t>60m</w:t>
      </w:r>
      <w:r>
        <w:rPr>
          <w:rFonts w:ascii="Times New Roman" w:hAnsi="Times New Roman" w:eastAsia="Times New Roman" w:cs="Times New Roman"/>
          <w:spacing w:val="-2"/>
          <w:position w:val="8"/>
          <w:sz w:val="15"/>
          <w:szCs w:val="15"/>
        </w:rPr>
        <w:t>2</w:t>
      </w:r>
      <w:r>
        <w:rPr>
          <w:rFonts w:ascii="Times New Roman" w:hAnsi="Times New Roman" w:eastAsia="Times New Roman" w:cs="Times New Roman"/>
          <w:spacing w:val="16"/>
          <w:position w:val="8"/>
          <w:sz w:val="15"/>
          <w:szCs w:val="15"/>
        </w:rPr>
        <w:t xml:space="preserve"> </w:t>
      </w:r>
      <w:r>
        <w:rPr>
          <w:rFonts w:ascii="宋体" w:hAnsi="宋体" w:eastAsia="宋体" w:cs="宋体"/>
          <w:spacing w:val="-2"/>
          <w:sz w:val="24"/>
          <w:szCs w:val="24"/>
        </w:rPr>
        <w:t>带式烧结机生产系统，烧结矿生产能力为</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50</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万吨</w:t>
      </w:r>
      <w:r>
        <w:rPr>
          <w:rFonts w:ascii="Times New Roman" w:hAnsi="Times New Roman" w:eastAsia="Times New Roman" w:cs="Times New Roman"/>
          <w:spacing w:val="-2"/>
          <w:sz w:val="24"/>
          <w:szCs w:val="24"/>
        </w:rPr>
        <w:t>/</w:t>
      </w:r>
      <w:r>
        <w:rPr>
          <w:rFonts w:ascii="宋体" w:hAnsi="宋体" w:eastAsia="宋体" w:cs="宋体"/>
          <w:spacing w:val="-2"/>
          <w:sz w:val="24"/>
          <w:szCs w:val="24"/>
        </w:rPr>
        <w:t>年。</w:t>
      </w:r>
    </w:p>
    <w:p w14:paraId="2F23DED7">
      <w:pPr>
        <w:spacing w:before="190" w:line="219" w:lineRule="auto"/>
        <w:ind w:left="19"/>
        <w:outlineLvl w:val="3"/>
        <w:rPr>
          <w:rFonts w:ascii="宋体" w:hAnsi="宋体" w:eastAsia="宋体" w:cs="宋体"/>
          <w:sz w:val="24"/>
          <w:szCs w:val="24"/>
        </w:rPr>
      </w:pPr>
      <w:r>
        <w:fldChar w:fldCharType="begin"/>
      </w:r>
      <w:r>
        <w:instrText xml:space="preserve"> HYPERLINK "2.2.1.1" </w:instrText>
      </w:r>
      <w:r>
        <w:fldChar w:fldCharType="separate"/>
      </w:r>
      <w:r>
        <w:rPr>
          <w:rFonts w:ascii="Times New Roman" w:hAnsi="Times New Roman" w:eastAsia="Times New Roman" w:cs="Times New Roman"/>
          <w:b/>
          <w:bCs/>
          <w:spacing w:val="-2"/>
          <w:sz w:val="24"/>
          <w:szCs w:val="24"/>
        </w:rPr>
        <w:t>2.2.1.1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焦炭干燥</w:t>
      </w:r>
    </w:p>
    <w:p w14:paraId="55D58A44">
      <w:pPr>
        <w:spacing w:line="219" w:lineRule="auto"/>
        <w:rPr>
          <w:rFonts w:ascii="宋体" w:hAnsi="宋体" w:eastAsia="宋体" w:cs="宋体"/>
          <w:sz w:val="24"/>
          <w:szCs w:val="24"/>
        </w:rPr>
        <w:sectPr>
          <w:headerReference r:id="rId102" w:type="default"/>
          <w:footerReference r:id="rId103" w:type="default"/>
          <w:pgSz w:w="11850" w:h="16781"/>
          <w:pgMar w:top="1178" w:right="1402" w:bottom="1013" w:left="1401" w:header="870" w:footer="850" w:gutter="0"/>
          <w:cols w:space="720" w:num="1"/>
        </w:sectPr>
      </w:pPr>
    </w:p>
    <w:p w14:paraId="3907F529">
      <w:pPr>
        <w:pStyle w:val="2"/>
        <w:spacing w:line="277" w:lineRule="auto"/>
      </w:pPr>
      <w:r>
        <w:pict>
          <v:shape id="_x0000_s1161" o:spid="_x0000_s1161" style="position:absolute;left:0pt;margin-left:0pt;margin-top:0.75pt;height:0.75pt;width:450.75pt;z-index:251815936;mso-width-relative:page;mso-height-relative:page;" fillcolor="#000000" filled="t" stroked="f" coordsize="9015,15" path="m0,0l9014,0,9014,14,0,14,0,0xe">
            <v:path/>
            <v:fill on="t" focussize="0,0"/>
            <v:stroke on="f"/>
            <v:imagedata o:title=""/>
            <o:lock v:ext="edit"/>
          </v:shape>
        </w:pict>
      </w:r>
    </w:p>
    <w:p w14:paraId="454DD92C">
      <w:pPr>
        <w:spacing w:before="78" w:line="358" w:lineRule="auto"/>
        <w:ind w:left="9" w:right="80" w:firstLine="480"/>
        <w:jc w:val="both"/>
        <w:rPr>
          <w:rFonts w:ascii="宋体" w:hAnsi="宋体" w:eastAsia="宋体" w:cs="宋体"/>
          <w:sz w:val="24"/>
          <w:szCs w:val="24"/>
        </w:rPr>
      </w:pPr>
      <w:r>
        <w:rPr>
          <w:rFonts w:ascii="宋体" w:hAnsi="宋体" w:eastAsia="宋体" w:cs="宋体"/>
          <w:spacing w:val="-5"/>
          <w:sz w:val="24"/>
          <w:szCs w:val="24"/>
        </w:rPr>
        <w:t>本项目入锰硅电炉的焦炭需要烘干处理，焦炭干燥配置</w:t>
      </w:r>
      <w:r>
        <w:rPr>
          <w:rFonts w:ascii="宋体" w:hAnsi="宋体" w:eastAsia="宋体" w:cs="宋体"/>
          <w:spacing w:val="-23"/>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28"/>
          <w:sz w:val="24"/>
          <w:szCs w:val="24"/>
        </w:rPr>
        <w:t xml:space="preserve"> </w:t>
      </w:r>
      <w:r>
        <w:rPr>
          <w:rFonts w:ascii="宋体" w:hAnsi="宋体" w:eastAsia="宋体" w:cs="宋体"/>
          <w:spacing w:val="-5"/>
          <w:sz w:val="24"/>
          <w:szCs w:val="24"/>
        </w:rPr>
        <w:t>台回转圆筒烘干机，采用</w:t>
      </w:r>
      <w:r>
        <w:rPr>
          <w:rFonts w:ascii="宋体" w:hAnsi="宋体" w:eastAsia="宋体" w:cs="宋体"/>
          <w:sz w:val="24"/>
          <w:szCs w:val="24"/>
        </w:rPr>
        <w:t xml:space="preserve"> </w:t>
      </w:r>
      <w:r>
        <w:rPr>
          <w:rFonts w:ascii="宋体" w:hAnsi="宋体" w:eastAsia="宋体" w:cs="宋体"/>
          <w:spacing w:val="-3"/>
          <w:sz w:val="24"/>
          <w:szCs w:val="24"/>
        </w:rPr>
        <w:t>燃气热风炉热烟气作为烘干热源，燃料为净化后煤气，每台焦炭烘干机配置一台燃气热</w:t>
      </w:r>
      <w:r>
        <w:rPr>
          <w:rFonts w:ascii="宋体" w:hAnsi="宋体" w:eastAsia="宋体" w:cs="宋体"/>
          <w:sz w:val="24"/>
          <w:szCs w:val="24"/>
        </w:rPr>
        <w:t xml:space="preserve"> </w:t>
      </w:r>
      <w:r>
        <w:rPr>
          <w:rFonts w:ascii="宋体" w:hAnsi="宋体" w:eastAsia="宋体" w:cs="宋体"/>
          <w:spacing w:val="-2"/>
          <w:sz w:val="24"/>
          <w:szCs w:val="24"/>
        </w:rPr>
        <w:t>风炉，进厂焦炭含水率为</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8%</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，干燥后焦炭含</w:t>
      </w:r>
      <w:r>
        <w:rPr>
          <w:rFonts w:ascii="宋体" w:hAnsi="宋体" w:eastAsia="宋体" w:cs="宋体"/>
          <w:spacing w:val="-3"/>
          <w:sz w:val="24"/>
          <w:szCs w:val="24"/>
        </w:rPr>
        <w:t>水量小于</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w:t>
      </w:r>
      <w:r>
        <w:rPr>
          <w:rFonts w:ascii="宋体" w:hAnsi="宋体" w:eastAsia="宋体" w:cs="宋体"/>
          <w:spacing w:val="-3"/>
          <w:sz w:val="24"/>
          <w:szCs w:val="24"/>
        </w:rPr>
        <w:t>。</w:t>
      </w:r>
    </w:p>
    <w:p w14:paraId="5709491C">
      <w:pPr>
        <w:spacing w:before="36" w:line="362" w:lineRule="auto"/>
        <w:ind w:left="7" w:firstLine="480"/>
        <w:jc w:val="both"/>
        <w:rPr>
          <w:rFonts w:ascii="宋体" w:hAnsi="宋体" w:eastAsia="宋体" w:cs="宋体"/>
          <w:sz w:val="24"/>
          <w:szCs w:val="24"/>
        </w:rPr>
      </w:pPr>
      <w:r>
        <w:rPr>
          <w:rFonts w:ascii="宋体" w:hAnsi="宋体" w:eastAsia="宋体" w:cs="宋体"/>
          <w:spacing w:val="-3"/>
          <w:sz w:val="24"/>
          <w:szCs w:val="24"/>
        </w:rPr>
        <w:t>料棚中的焦炭经铲车料铲进缓冲仓，再由大倾角皮带机上料，送到烘</w:t>
      </w:r>
      <w:r>
        <w:rPr>
          <w:rFonts w:ascii="宋体" w:hAnsi="宋体" w:eastAsia="宋体" w:cs="宋体"/>
          <w:spacing w:val="-4"/>
          <w:sz w:val="24"/>
          <w:szCs w:val="24"/>
        </w:rPr>
        <w:t>干机内，随着</w:t>
      </w:r>
      <w:r>
        <w:rPr>
          <w:rFonts w:ascii="宋体" w:hAnsi="宋体" w:eastAsia="宋体" w:cs="宋体"/>
          <w:sz w:val="24"/>
          <w:szCs w:val="24"/>
        </w:rPr>
        <w:t xml:space="preserve"> </w:t>
      </w:r>
      <w:r>
        <w:rPr>
          <w:rFonts w:ascii="宋体" w:hAnsi="宋体" w:eastAsia="宋体" w:cs="宋体"/>
          <w:spacing w:val="-3"/>
          <w:sz w:val="24"/>
          <w:szCs w:val="24"/>
        </w:rPr>
        <w:t>回转圆筒烘干机的转动从机尾向机头转移，燃气热风炉热烟气混风后从机头进入与焦炭</w:t>
      </w:r>
      <w:r>
        <w:rPr>
          <w:rFonts w:ascii="宋体" w:hAnsi="宋体" w:eastAsia="宋体" w:cs="宋体"/>
          <w:spacing w:val="1"/>
          <w:sz w:val="24"/>
          <w:szCs w:val="24"/>
        </w:rPr>
        <w:t xml:space="preserve"> </w:t>
      </w:r>
      <w:r>
        <w:rPr>
          <w:rFonts w:ascii="宋体" w:hAnsi="宋体" w:eastAsia="宋体" w:cs="宋体"/>
          <w:spacing w:val="-3"/>
          <w:sz w:val="24"/>
          <w:szCs w:val="24"/>
        </w:rPr>
        <w:t>矿逆向接触，物料中的游离水被热烟气带走。烘干机圆筒内壁上装有抄板，它的作用是</w:t>
      </w:r>
      <w:r>
        <w:rPr>
          <w:rFonts w:ascii="宋体" w:hAnsi="宋体" w:eastAsia="宋体" w:cs="宋体"/>
          <w:spacing w:val="1"/>
          <w:sz w:val="24"/>
          <w:szCs w:val="24"/>
        </w:rPr>
        <w:t xml:space="preserve"> </w:t>
      </w:r>
      <w:r>
        <w:rPr>
          <w:rFonts w:ascii="宋体" w:hAnsi="宋体" w:eastAsia="宋体" w:cs="宋体"/>
          <w:spacing w:val="-7"/>
          <w:sz w:val="24"/>
          <w:szCs w:val="24"/>
        </w:rPr>
        <w:t>把物料抄起来又洒下，使物料与气流的接触表面增大，以提高干燥速率并促进物料前进。</w:t>
      </w:r>
      <w:r>
        <w:rPr>
          <w:rFonts w:ascii="宋体" w:hAnsi="宋体" w:eastAsia="宋体" w:cs="宋体"/>
          <w:sz w:val="24"/>
          <w:szCs w:val="24"/>
        </w:rPr>
        <w:t xml:space="preserve"> </w:t>
      </w:r>
      <w:r>
        <w:rPr>
          <w:rFonts w:ascii="宋体" w:hAnsi="宋体" w:eastAsia="宋体" w:cs="宋体"/>
          <w:spacing w:val="3"/>
          <w:sz w:val="24"/>
          <w:szCs w:val="24"/>
        </w:rPr>
        <w:t>干燥好的焦炭经内置筛分机筛分，粒度</w:t>
      </w:r>
      <w:r>
        <w:rPr>
          <w:rFonts w:ascii="Times New Roman" w:hAnsi="Times New Roman" w:eastAsia="Times New Roman" w:cs="Times New Roman"/>
          <w:spacing w:val="3"/>
          <w:sz w:val="24"/>
          <w:szCs w:val="24"/>
        </w:rPr>
        <w:t>≥4</w:t>
      </w:r>
      <w:r>
        <w:rPr>
          <w:rFonts w:ascii="Times New Roman" w:hAnsi="Times New Roman" w:eastAsia="Times New Roman" w:cs="Times New Roman"/>
          <w:sz w:val="24"/>
          <w:szCs w:val="24"/>
        </w:rPr>
        <w:t>mm</w:t>
      </w:r>
      <w:r>
        <w:rPr>
          <w:rFonts w:ascii="Times New Roman" w:hAnsi="Times New Roman" w:eastAsia="Times New Roman" w:cs="Times New Roman"/>
          <w:spacing w:val="43"/>
          <w:sz w:val="24"/>
          <w:szCs w:val="24"/>
        </w:rPr>
        <w:t xml:space="preserve"> </w:t>
      </w:r>
      <w:r>
        <w:rPr>
          <w:rFonts w:ascii="宋体" w:hAnsi="宋体" w:eastAsia="宋体" w:cs="宋体"/>
          <w:spacing w:val="3"/>
          <w:sz w:val="24"/>
          <w:szCs w:val="24"/>
        </w:rPr>
        <w:t>的焦炭直接送电炉原料库，粒度＜</w:t>
      </w:r>
      <w:r>
        <w:rPr>
          <w:rFonts w:ascii="Times New Roman" w:hAnsi="Times New Roman" w:eastAsia="Times New Roman" w:cs="Times New Roman"/>
          <w:spacing w:val="3"/>
          <w:sz w:val="24"/>
          <w:szCs w:val="24"/>
        </w:rPr>
        <w:t>4</w:t>
      </w:r>
      <w:r>
        <w:rPr>
          <w:rFonts w:ascii="Times New Roman" w:hAnsi="Times New Roman" w:eastAsia="Times New Roman" w:cs="Times New Roman"/>
          <w:sz w:val="24"/>
          <w:szCs w:val="24"/>
        </w:rPr>
        <w:t xml:space="preserve">mm  </w:t>
      </w:r>
      <w:r>
        <w:rPr>
          <w:rFonts w:ascii="宋体" w:hAnsi="宋体" w:eastAsia="宋体" w:cs="宋体"/>
          <w:spacing w:val="-1"/>
          <w:sz w:val="24"/>
          <w:szCs w:val="24"/>
        </w:rPr>
        <w:t>的焦粉输送至烧结系统料仓。</w:t>
      </w:r>
    </w:p>
    <w:p w14:paraId="1185C273">
      <w:pPr>
        <w:spacing w:before="37" w:line="358" w:lineRule="auto"/>
        <w:ind w:left="11" w:right="80" w:firstLine="477"/>
        <w:rPr>
          <w:rFonts w:ascii="宋体" w:hAnsi="宋体" w:eastAsia="宋体" w:cs="宋体"/>
          <w:sz w:val="24"/>
          <w:szCs w:val="24"/>
        </w:rPr>
      </w:pPr>
      <w:r>
        <w:rPr>
          <w:rFonts w:ascii="宋体" w:hAnsi="宋体" w:eastAsia="宋体" w:cs="宋体"/>
          <w:spacing w:val="-4"/>
          <w:sz w:val="24"/>
          <w:szCs w:val="24"/>
        </w:rPr>
        <w:t>焦炭在空气中的点燃温度为</w:t>
      </w:r>
      <w:r>
        <w:rPr>
          <w:rFonts w:ascii="宋体" w:hAnsi="宋体" w:eastAsia="宋体" w:cs="宋体"/>
          <w:spacing w:val="-39"/>
          <w:sz w:val="24"/>
          <w:szCs w:val="24"/>
        </w:rPr>
        <w:t xml:space="preserve"> </w:t>
      </w:r>
      <w:r>
        <w:rPr>
          <w:rFonts w:ascii="Times New Roman" w:hAnsi="Times New Roman" w:eastAsia="Times New Roman" w:cs="Times New Roman"/>
          <w:spacing w:val="-4"/>
          <w:sz w:val="24"/>
          <w:szCs w:val="24"/>
        </w:rPr>
        <w:t>450~650℃</w:t>
      </w:r>
      <w:r>
        <w:rPr>
          <w:rFonts w:ascii="Times New Roman" w:hAnsi="Times New Roman" w:eastAsia="Times New Roman" w:cs="Times New Roman"/>
          <w:spacing w:val="-30"/>
          <w:sz w:val="24"/>
          <w:szCs w:val="24"/>
        </w:rPr>
        <w:t xml:space="preserve"> </w:t>
      </w:r>
      <w:r>
        <w:rPr>
          <w:rFonts w:ascii="宋体" w:hAnsi="宋体" w:eastAsia="宋体" w:cs="宋体"/>
          <w:spacing w:val="-4"/>
          <w:sz w:val="24"/>
          <w:szCs w:val="24"/>
        </w:rPr>
        <w:t>,</w:t>
      </w:r>
      <w:r>
        <w:rPr>
          <w:rFonts w:ascii="宋体" w:hAnsi="宋体" w:eastAsia="宋体" w:cs="宋体"/>
          <w:spacing w:val="84"/>
          <w:sz w:val="24"/>
          <w:szCs w:val="24"/>
        </w:rPr>
        <w:t xml:space="preserve"> </w:t>
      </w:r>
      <w:r>
        <w:rPr>
          <w:rFonts w:ascii="宋体" w:hAnsi="宋体" w:eastAsia="宋体" w:cs="宋体"/>
          <w:spacing w:val="-4"/>
          <w:sz w:val="24"/>
          <w:szCs w:val="24"/>
        </w:rPr>
        <w:t>出燃气热风炉热烟气温度为</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900℃</w:t>
      </w:r>
      <w:r>
        <w:rPr>
          <w:rFonts w:ascii="宋体" w:hAnsi="宋体" w:eastAsia="宋体" w:cs="宋体"/>
          <w:spacing w:val="-4"/>
          <w:sz w:val="24"/>
          <w:szCs w:val="24"/>
        </w:rPr>
        <w:t>左右，</w:t>
      </w:r>
      <w:r>
        <w:rPr>
          <w:rFonts w:ascii="宋体" w:hAnsi="宋体" w:eastAsia="宋体" w:cs="宋体"/>
          <w:sz w:val="24"/>
          <w:szCs w:val="24"/>
        </w:rPr>
        <w:t xml:space="preserve"> </w:t>
      </w:r>
      <w:r>
        <w:rPr>
          <w:rFonts w:ascii="宋体" w:hAnsi="宋体" w:eastAsia="宋体" w:cs="宋体"/>
          <w:spacing w:val="-3"/>
          <w:sz w:val="24"/>
          <w:szCs w:val="24"/>
        </w:rPr>
        <w:t>为了防止焦炭被点燃，建设单位采用混风工艺，在热风炉和烘干机连接的烟道上</w:t>
      </w:r>
      <w:r>
        <w:rPr>
          <w:rFonts w:ascii="宋体" w:hAnsi="宋体" w:eastAsia="宋体" w:cs="宋体"/>
          <w:spacing w:val="-4"/>
          <w:sz w:val="24"/>
          <w:szCs w:val="24"/>
        </w:rPr>
        <w:t>增加冷</w:t>
      </w:r>
      <w:r>
        <w:rPr>
          <w:rFonts w:ascii="宋体" w:hAnsi="宋体" w:eastAsia="宋体" w:cs="宋体"/>
          <w:sz w:val="24"/>
          <w:szCs w:val="24"/>
        </w:rPr>
        <w:t xml:space="preserve"> </w:t>
      </w:r>
      <w:r>
        <w:rPr>
          <w:rFonts w:ascii="宋体" w:hAnsi="宋体" w:eastAsia="宋体" w:cs="宋体"/>
          <w:spacing w:val="-1"/>
          <w:sz w:val="24"/>
          <w:szCs w:val="24"/>
        </w:rPr>
        <w:t>空气鼓风机，混入冷风使烟气温度降低至</w:t>
      </w:r>
      <w:r>
        <w:rPr>
          <w:rFonts w:ascii="宋体" w:hAnsi="宋体" w:eastAsia="宋体" w:cs="宋体"/>
          <w:spacing w:val="-39"/>
          <w:sz w:val="24"/>
          <w:szCs w:val="24"/>
        </w:rPr>
        <w:t xml:space="preserve"> </w:t>
      </w:r>
      <w:r>
        <w:rPr>
          <w:rFonts w:ascii="Times New Roman" w:hAnsi="Times New Roman" w:eastAsia="Times New Roman" w:cs="Times New Roman"/>
          <w:spacing w:val="-1"/>
          <w:sz w:val="24"/>
          <w:szCs w:val="24"/>
        </w:rPr>
        <w:t>450℃</w:t>
      </w:r>
      <w:r>
        <w:rPr>
          <w:rFonts w:ascii="宋体" w:hAnsi="宋体" w:eastAsia="宋体" w:cs="宋体"/>
          <w:spacing w:val="-1"/>
          <w:sz w:val="24"/>
          <w:szCs w:val="24"/>
        </w:rPr>
        <w:t>以下，然后再进入烘干机机头。</w:t>
      </w:r>
    </w:p>
    <w:p w14:paraId="42B59171">
      <w:pPr>
        <w:spacing w:before="34" w:line="354" w:lineRule="auto"/>
        <w:ind w:left="487" w:right="6992"/>
        <w:rPr>
          <w:rFonts w:ascii="宋体" w:hAnsi="宋体" w:eastAsia="宋体" w:cs="宋体"/>
          <w:sz w:val="24"/>
          <w:szCs w:val="24"/>
        </w:rPr>
      </w:pPr>
      <w:r>
        <w:rPr>
          <w:rFonts w:ascii="宋体" w:hAnsi="宋体" w:eastAsia="宋体" w:cs="宋体"/>
          <w:b/>
          <w:bCs/>
          <w:spacing w:val="-12"/>
          <w:sz w:val="24"/>
          <w:szCs w:val="24"/>
        </w:rPr>
        <w:t>产污环节分析：</w:t>
      </w:r>
      <w:r>
        <w:rPr>
          <w:rFonts w:ascii="宋体" w:hAnsi="宋体" w:eastAsia="宋体" w:cs="宋体"/>
          <w:sz w:val="24"/>
          <w:szCs w:val="24"/>
        </w:rPr>
        <w:t xml:space="preserve"> </w:t>
      </w:r>
      <w:r>
        <w:rPr>
          <w:rFonts w:ascii="宋体" w:hAnsi="宋体" w:eastAsia="宋体" w:cs="宋体"/>
          <w:b/>
          <w:bCs/>
          <w:spacing w:val="-6"/>
          <w:sz w:val="24"/>
          <w:szCs w:val="24"/>
        </w:rPr>
        <w:t>废气：</w:t>
      </w:r>
    </w:p>
    <w:p w14:paraId="3D098AB8">
      <w:pPr>
        <w:spacing w:before="35" w:line="357" w:lineRule="auto"/>
        <w:ind w:left="6" w:right="80" w:firstLine="481"/>
        <w:jc w:val="both"/>
        <w:rPr>
          <w:rFonts w:ascii="宋体" w:hAnsi="宋体" w:eastAsia="宋体" w:cs="宋体"/>
          <w:sz w:val="24"/>
          <w:szCs w:val="24"/>
        </w:rPr>
      </w:pPr>
      <w:r>
        <w:rPr>
          <w:rFonts w:ascii="宋体" w:hAnsi="宋体" w:eastAsia="宋体" w:cs="宋体"/>
          <w:sz w:val="24"/>
          <w:szCs w:val="24"/>
        </w:rPr>
        <w:t>焦炭干燥废气（</w:t>
      </w:r>
      <w:r>
        <w:rPr>
          <w:rFonts w:ascii="Times New Roman" w:hAnsi="Times New Roman" w:eastAsia="Times New Roman" w:cs="Times New Roman"/>
          <w:sz w:val="24"/>
          <w:szCs w:val="24"/>
        </w:rPr>
        <w:t>G</w:t>
      </w:r>
      <w:r>
        <w:rPr>
          <w:rFonts w:ascii="Times New Roman" w:hAnsi="Times New Roman" w:eastAsia="Times New Roman" w:cs="Times New Roman"/>
          <w:sz w:val="15"/>
          <w:szCs w:val="15"/>
        </w:rPr>
        <w:t xml:space="preserve">1-1 </w:t>
      </w:r>
      <w:r>
        <w:rPr>
          <w:rFonts w:ascii="宋体" w:hAnsi="宋体" w:eastAsia="宋体" w:cs="宋体"/>
          <w:spacing w:val="-14"/>
          <w:sz w:val="24"/>
          <w:szCs w:val="24"/>
        </w:rPr>
        <w:t>）：</w:t>
      </w:r>
      <w:r>
        <w:rPr>
          <w:rFonts w:ascii="宋体" w:hAnsi="宋体" w:eastAsia="宋体" w:cs="宋体"/>
          <w:sz w:val="24"/>
          <w:szCs w:val="24"/>
        </w:rPr>
        <w:t>焦炭烘干机运行时</w:t>
      </w:r>
      <w:r>
        <w:rPr>
          <w:rFonts w:ascii="宋体" w:hAnsi="宋体" w:eastAsia="宋体" w:cs="宋体"/>
          <w:spacing w:val="-1"/>
          <w:sz w:val="24"/>
          <w:szCs w:val="24"/>
        </w:rPr>
        <w:t>产生焦炭干燥、筛分废气，从机尾排出</w:t>
      </w:r>
      <w:r>
        <w:rPr>
          <w:rFonts w:ascii="宋体" w:hAnsi="宋体" w:eastAsia="宋体" w:cs="宋体"/>
          <w:sz w:val="24"/>
          <w:szCs w:val="24"/>
        </w:rPr>
        <w:t xml:space="preserve"> </w:t>
      </w:r>
      <w:r>
        <w:rPr>
          <w:rFonts w:ascii="宋体" w:hAnsi="宋体" w:eastAsia="宋体" w:cs="宋体"/>
          <w:spacing w:val="-1"/>
          <w:sz w:val="24"/>
          <w:szCs w:val="24"/>
        </w:rPr>
        <w:t>进入除尘系统，焦炭烘干机配置</w:t>
      </w:r>
      <w:r>
        <w:rPr>
          <w:rFonts w:ascii="宋体" w:hAnsi="宋体" w:eastAsia="宋体" w:cs="宋体"/>
          <w:spacing w:val="-28"/>
          <w:sz w:val="24"/>
          <w:szCs w:val="24"/>
        </w:rPr>
        <w:t xml:space="preserve"> </w:t>
      </w:r>
      <w:r>
        <w:rPr>
          <w:rFonts w:ascii="Times New Roman" w:hAnsi="Times New Roman" w:eastAsia="Times New Roman" w:cs="Times New Roman"/>
          <w:spacing w:val="-1"/>
          <w:sz w:val="24"/>
          <w:szCs w:val="24"/>
        </w:rPr>
        <w:t xml:space="preserve">1 </w:t>
      </w:r>
      <w:r>
        <w:rPr>
          <w:rFonts w:ascii="宋体" w:hAnsi="宋体" w:eastAsia="宋体" w:cs="宋体"/>
          <w:spacing w:val="-1"/>
          <w:sz w:val="24"/>
          <w:szCs w:val="24"/>
        </w:rPr>
        <w:t>套旋风除尘器</w:t>
      </w:r>
      <w:r>
        <w:rPr>
          <w:rFonts w:ascii="Times New Roman" w:hAnsi="Times New Roman" w:eastAsia="Times New Roman" w:cs="Times New Roman"/>
          <w:spacing w:val="-1"/>
          <w:sz w:val="24"/>
          <w:szCs w:val="24"/>
        </w:rPr>
        <w:t>+</w:t>
      </w:r>
      <w:r>
        <w:rPr>
          <w:rFonts w:ascii="宋体" w:hAnsi="宋体" w:eastAsia="宋体" w:cs="宋体"/>
          <w:spacing w:val="-1"/>
          <w:sz w:val="24"/>
          <w:szCs w:val="24"/>
        </w:rPr>
        <w:t>布袋除尘器进行处理。烘干机出料粉</w:t>
      </w:r>
      <w:r>
        <w:rPr>
          <w:rFonts w:ascii="宋体" w:hAnsi="宋体" w:eastAsia="宋体" w:cs="宋体"/>
          <w:sz w:val="24"/>
          <w:szCs w:val="24"/>
        </w:rPr>
        <w:t xml:space="preserve"> </w:t>
      </w:r>
      <w:r>
        <w:rPr>
          <w:rFonts w:ascii="宋体" w:hAnsi="宋体" w:eastAsia="宋体" w:cs="宋体"/>
          <w:spacing w:val="-2"/>
          <w:sz w:val="24"/>
          <w:szCs w:val="24"/>
        </w:rPr>
        <w:t>尘（</w:t>
      </w:r>
      <w:r>
        <w:rPr>
          <w:rFonts w:ascii="Times New Roman" w:hAnsi="Times New Roman" w:eastAsia="Times New Roman" w:cs="Times New Roman"/>
          <w:spacing w:val="-2"/>
          <w:sz w:val="24"/>
          <w:szCs w:val="24"/>
        </w:rPr>
        <w:t>G</w:t>
      </w:r>
      <w:r>
        <w:rPr>
          <w:rFonts w:ascii="Times New Roman" w:hAnsi="Times New Roman" w:eastAsia="Times New Roman" w:cs="Times New Roman"/>
          <w:spacing w:val="-2"/>
          <w:sz w:val="15"/>
          <w:szCs w:val="15"/>
        </w:rPr>
        <w:t xml:space="preserve">1-2 </w:t>
      </w:r>
      <w:r>
        <w:rPr>
          <w:rFonts w:ascii="宋体" w:hAnsi="宋体" w:eastAsia="宋体" w:cs="宋体"/>
          <w:spacing w:val="-13"/>
          <w:sz w:val="24"/>
          <w:szCs w:val="24"/>
        </w:rPr>
        <w:t>）：</w:t>
      </w:r>
      <w:r>
        <w:rPr>
          <w:rFonts w:ascii="宋体" w:hAnsi="宋体" w:eastAsia="宋体" w:cs="宋体"/>
          <w:spacing w:val="-2"/>
          <w:sz w:val="24"/>
          <w:szCs w:val="24"/>
        </w:rPr>
        <w:t>焦炭烘干出料工序主要污染物为粉尘，配置</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1</w:t>
      </w:r>
      <w:r>
        <w:rPr>
          <w:rFonts w:ascii="Times New Roman" w:hAnsi="Times New Roman" w:eastAsia="Times New Roman" w:cs="Times New Roman"/>
          <w:spacing w:val="28"/>
          <w:w w:val="101"/>
          <w:sz w:val="24"/>
          <w:szCs w:val="24"/>
        </w:rPr>
        <w:t xml:space="preserve"> </w:t>
      </w:r>
      <w:r>
        <w:rPr>
          <w:rFonts w:ascii="宋体" w:hAnsi="宋体" w:eastAsia="宋体" w:cs="宋体"/>
          <w:spacing w:val="-2"/>
          <w:sz w:val="24"/>
          <w:szCs w:val="24"/>
        </w:rPr>
        <w:t>台布袋除尘器处理。</w:t>
      </w:r>
    </w:p>
    <w:p w14:paraId="54B2F33C">
      <w:pPr>
        <w:spacing w:before="36" w:line="220" w:lineRule="auto"/>
        <w:ind w:left="508"/>
        <w:rPr>
          <w:rFonts w:ascii="宋体" w:hAnsi="宋体" w:eastAsia="宋体" w:cs="宋体"/>
          <w:sz w:val="24"/>
          <w:szCs w:val="24"/>
        </w:rPr>
      </w:pPr>
      <w:r>
        <w:rPr>
          <w:rFonts w:ascii="宋体" w:hAnsi="宋体" w:eastAsia="宋体" w:cs="宋体"/>
          <w:b/>
          <w:bCs/>
          <w:spacing w:val="-13"/>
          <w:sz w:val="24"/>
          <w:szCs w:val="24"/>
        </w:rPr>
        <w:t>固废：</w:t>
      </w:r>
    </w:p>
    <w:p w14:paraId="31226A05">
      <w:pPr>
        <w:spacing w:before="192" w:line="354" w:lineRule="auto"/>
        <w:ind w:left="8" w:right="80" w:firstLine="480"/>
        <w:rPr>
          <w:rFonts w:ascii="宋体" w:hAnsi="宋体" w:eastAsia="宋体" w:cs="宋体"/>
          <w:sz w:val="24"/>
          <w:szCs w:val="24"/>
        </w:rPr>
      </w:pPr>
      <w:r>
        <w:rPr>
          <w:rFonts w:ascii="宋体" w:hAnsi="宋体" w:eastAsia="宋体" w:cs="宋体"/>
          <w:spacing w:val="-2"/>
          <w:sz w:val="24"/>
          <w:szCs w:val="24"/>
        </w:rPr>
        <w:t>焦炭干燥、出料除尘灰</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S</w:t>
      </w:r>
      <w:r>
        <w:rPr>
          <w:rFonts w:ascii="Times New Roman" w:hAnsi="Times New Roman" w:eastAsia="Times New Roman" w:cs="Times New Roman"/>
          <w:spacing w:val="-2"/>
          <w:sz w:val="15"/>
          <w:szCs w:val="15"/>
        </w:rPr>
        <w:t xml:space="preserve">1-1 </w:t>
      </w:r>
      <w:r>
        <w:rPr>
          <w:rFonts w:ascii="宋体" w:hAnsi="宋体" w:eastAsia="宋体" w:cs="宋体"/>
          <w:spacing w:val="-2"/>
          <w:sz w:val="24"/>
          <w:szCs w:val="24"/>
        </w:rPr>
        <w:t>：焦炭烘干机、出料除尘器收集的灰尘返回烧结配</w:t>
      </w:r>
      <w:r>
        <w:rPr>
          <w:rFonts w:ascii="宋体" w:hAnsi="宋体" w:eastAsia="宋体" w:cs="宋体"/>
          <w:spacing w:val="-3"/>
          <w:sz w:val="24"/>
          <w:szCs w:val="24"/>
        </w:rPr>
        <w:t>料生</w:t>
      </w:r>
      <w:r>
        <w:rPr>
          <w:rFonts w:ascii="宋体" w:hAnsi="宋体" w:eastAsia="宋体" w:cs="宋体"/>
          <w:sz w:val="24"/>
          <w:szCs w:val="24"/>
        </w:rPr>
        <w:t xml:space="preserve"> </w:t>
      </w:r>
      <w:r>
        <w:rPr>
          <w:rFonts w:ascii="宋体" w:hAnsi="宋体" w:eastAsia="宋体" w:cs="宋体"/>
          <w:spacing w:val="-2"/>
          <w:sz w:val="24"/>
          <w:szCs w:val="24"/>
        </w:rPr>
        <w:t>产工序中。</w:t>
      </w:r>
    </w:p>
    <w:p w14:paraId="6F81F86F">
      <w:pPr>
        <w:spacing w:line="354" w:lineRule="auto"/>
        <w:rPr>
          <w:rFonts w:ascii="宋体" w:hAnsi="宋体" w:eastAsia="宋体" w:cs="宋体"/>
          <w:sz w:val="24"/>
          <w:szCs w:val="24"/>
        </w:rPr>
        <w:sectPr>
          <w:headerReference r:id="rId104" w:type="default"/>
          <w:footerReference r:id="rId105" w:type="default"/>
          <w:pgSz w:w="11850" w:h="16781"/>
          <w:pgMar w:top="1178" w:right="1336" w:bottom="1013" w:left="1417" w:header="870" w:footer="850" w:gutter="0"/>
          <w:cols w:space="720" w:num="1"/>
        </w:sectPr>
      </w:pPr>
    </w:p>
    <w:p w14:paraId="27DBAE48">
      <w:pPr>
        <w:pStyle w:val="2"/>
        <w:spacing w:line="357" w:lineRule="auto"/>
      </w:pPr>
      <w:r>
        <w:pict>
          <v:shape id="_x0000_s1162" o:spid="_x0000_s1162" style="position:absolute;left:0pt;margin-left:0pt;margin-top:0.7pt;height:0.75pt;width:450.75pt;z-index:251820032;mso-width-relative:page;mso-height-relative:page;" fillcolor="#000000" filled="t" stroked="f" coordsize="9015,15" path="m0,0l9014,0,9014,14,0,14,0,0xe">
            <v:path/>
            <v:fill on="t" focussize="0,0"/>
            <v:stroke on="f"/>
            <v:imagedata o:title=""/>
            <o:lock v:ext="edit"/>
          </v:shape>
        </w:pict>
      </w:r>
    </w:p>
    <w:p w14:paraId="56ACE361">
      <w:pPr>
        <w:spacing w:line="5880" w:lineRule="exact"/>
        <w:ind w:firstLine="1291"/>
      </w:pPr>
      <w:r>
        <w:rPr>
          <w:position w:val="-117"/>
        </w:rPr>
        <w:drawing>
          <wp:inline distT="0" distB="0" distL="0" distR="0">
            <wp:extent cx="4096385" cy="3733165"/>
            <wp:effectExtent l="0" t="0" r="0" b="0"/>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592"/>
                    <a:stretch>
                      <a:fillRect/>
                    </a:stretch>
                  </pic:blipFill>
                  <pic:spPr>
                    <a:xfrm>
                      <a:off x="0" y="0"/>
                      <a:ext cx="4096663" cy="3733468"/>
                    </a:xfrm>
                    <a:prstGeom prst="rect">
                      <a:avLst/>
                    </a:prstGeom>
                  </pic:spPr>
                </pic:pic>
              </a:graphicData>
            </a:graphic>
          </wp:inline>
        </w:drawing>
      </w:r>
    </w:p>
    <w:p w14:paraId="409D61A3">
      <w:pPr>
        <w:spacing w:before="174" w:line="227" w:lineRule="auto"/>
        <w:ind w:left="2578"/>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2.2-1      </w:t>
      </w:r>
      <w:r>
        <w:rPr>
          <w:rFonts w:ascii="宋体" w:hAnsi="宋体" w:eastAsia="宋体" w:cs="宋体"/>
          <w:b/>
          <w:bCs/>
          <w:spacing w:val="5"/>
          <w:sz w:val="20"/>
          <w:szCs w:val="20"/>
        </w:rPr>
        <w:t>焦炭烘干工艺流程及产污环节图</w:t>
      </w:r>
    </w:p>
    <w:p w14:paraId="587316D2">
      <w:pPr>
        <w:spacing w:before="216" w:line="219" w:lineRule="auto"/>
        <w:ind w:left="4"/>
        <w:outlineLvl w:val="3"/>
        <w:rPr>
          <w:rFonts w:ascii="宋体" w:hAnsi="宋体" w:eastAsia="宋体" w:cs="宋体"/>
          <w:sz w:val="24"/>
          <w:szCs w:val="24"/>
        </w:rPr>
      </w:pPr>
      <w:r>
        <w:fldChar w:fldCharType="begin"/>
      </w:r>
      <w:r>
        <w:instrText xml:space="preserve"> HYPERLINK "2.2.1.2" </w:instrText>
      </w:r>
      <w:r>
        <w:fldChar w:fldCharType="separate"/>
      </w:r>
      <w:r>
        <w:rPr>
          <w:rFonts w:ascii="Times New Roman" w:hAnsi="Times New Roman" w:eastAsia="Times New Roman" w:cs="Times New Roman"/>
          <w:b/>
          <w:bCs/>
          <w:spacing w:val="-2"/>
          <w:sz w:val="24"/>
          <w:szCs w:val="24"/>
        </w:rPr>
        <w:t>2.2.1.2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锰矿石烘干</w:t>
      </w:r>
    </w:p>
    <w:p w14:paraId="3BE30A2C">
      <w:pPr>
        <w:spacing w:before="191" w:line="217" w:lineRule="auto"/>
        <w:ind w:left="487"/>
        <w:rPr>
          <w:rFonts w:ascii="宋体" w:hAnsi="宋体" w:eastAsia="宋体" w:cs="宋体"/>
          <w:sz w:val="24"/>
          <w:szCs w:val="24"/>
        </w:rPr>
      </w:pPr>
      <w:r>
        <w:rPr>
          <w:rFonts w:ascii="宋体" w:hAnsi="宋体" w:eastAsia="宋体" w:cs="宋体"/>
          <w:spacing w:val="-2"/>
          <w:sz w:val="24"/>
          <w:szCs w:val="24"/>
        </w:rPr>
        <w:t>①原料准备</w:t>
      </w:r>
    </w:p>
    <w:p w14:paraId="736F3F7B">
      <w:pPr>
        <w:spacing w:before="196" w:line="358" w:lineRule="auto"/>
        <w:ind w:left="7" w:right="61" w:firstLine="484"/>
        <w:rPr>
          <w:rFonts w:ascii="宋体" w:hAnsi="宋体" w:eastAsia="宋体" w:cs="宋体"/>
          <w:sz w:val="24"/>
          <w:szCs w:val="24"/>
        </w:rPr>
      </w:pPr>
      <w:r>
        <w:rPr>
          <w:rFonts w:ascii="宋体" w:hAnsi="宋体" w:eastAsia="宋体" w:cs="宋体"/>
          <w:spacing w:val="-1"/>
          <w:sz w:val="24"/>
          <w:szCs w:val="24"/>
        </w:rPr>
        <w:t>项目锰矿石原料（含水率为</w:t>
      </w:r>
      <w:r>
        <w:rPr>
          <w:rFonts w:ascii="宋体" w:hAnsi="宋体" w:eastAsia="宋体" w:cs="宋体"/>
          <w:spacing w:val="-42"/>
          <w:sz w:val="24"/>
          <w:szCs w:val="24"/>
        </w:rPr>
        <w:t xml:space="preserve"> </w:t>
      </w:r>
      <w:r>
        <w:rPr>
          <w:rFonts w:ascii="Times New Roman" w:hAnsi="Times New Roman" w:eastAsia="Times New Roman" w:cs="Times New Roman"/>
          <w:spacing w:val="-1"/>
          <w:sz w:val="24"/>
          <w:szCs w:val="24"/>
        </w:rPr>
        <w:t>8%</w:t>
      </w:r>
      <w:r>
        <w:rPr>
          <w:rFonts w:ascii="宋体" w:hAnsi="宋体" w:eastAsia="宋体" w:cs="宋体"/>
          <w:spacing w:val="-1"/>
          <w:sz w:val="24"/>
          <w:szCs w:val="24"/>
        </w:rPr>
        <w:t>）由供货商检验合格后进厂。供货厂家封闭式运输</w:t>
      </w:r>
      <w:r>
        <w:rPr>
          <w:rFonts w:ascii="宋体" w:hAnsi="宋体" w:eastAsia="宋体" w:cs="宋体"/>
          <w:sz w:val="24"/>
          <w:szCs w:val="24"/>
        </w:rPr>
        <w:t xml:space="preserve"> </w:t>
      </w:r>
      <w:r>
        <w:rPr>
          <w:rFonts w:ascii="宋体" w:hAnsi="宋体" w:eastAsia="宋体" w:cs="宋体"/>
          <w:spacing w:val="-3"/>
          <w:sz w:val="24"/>
          <w:szCs w:val="24"/>
        </w:rPr>
        <w:t>车运至本项目厂区，原料卸入封闭式原料库，卸车时采取洒水抑尘措施。锰矿石由装载</w:t>
      </w:r>
      <w:r>
        <w:rPr>
          <w:rFonts w:ascii="宋体" w:hAnsi="宋体" w:eastAsia="宋体" w:cs="宋体"/>
          <w:spacing w:val="1"/>
          <w:sz w:val="24"/>
          <w:szCs w:val="24"/>
        </w:rPr>
        <w:t xml:space="preserve"> </w:t>
      </w:r>
      <w:r>
        <w:rPr>
          <w:rFonts w:ascii="宋体" w:hAnsi="宋体" w:eastAsia="宋体" w:cs="宋体"/>
          <w:spacing w:val="-2"/>
          <w:sz w:val="24"/>
          <w:szCs w:val="24"/>
        </w:rPr>
        <w:t>机投入料仓内。</w:t>
      </w:r>
    </w:p>
    <w:p w14:paraId="0A740E99">
      <w:pPr>
        <w:spacing w:before="33" w:line="217" w:lineRule="auto"/>
        <w:ind w:left="486"/>
        <w:rPr>
          <w:rFonts w:ascii="宋体" w:hAnsi="宋体" w:eastAsia="宋体" w:cs="宋体"/>
          <w:sz w:val="24"/>
          <w:szCs w:val="24"/>
        </w:rPr>
      </w:pPr>
      <w:r>
        <w:rPr>
          <w:rFonts w:ascii="宋体" w:hAnsi="宋体" w:eastAsia="宋体" w:cs="宋体"/>
          <w:spacing w:val="-2"/>
          <w:sz w:val="24"/>
          <w:szCs w:val="24"/>
        </w:rPr>
        <w:t>②烘干流程</w:t>
      </w:r>
    </w:p>
    <w:p w14:paraId="143A9B0A">
      <w:pPr>
        <w:spacing w:before="196" w:line="360" w:lineRule="auto"/>
        <w:ind w:left="7" w:firstLine="483"/>
        <w:rPr>
          <w:rFonts w:ascii="宋体" w:hAnsi="宋体" w:eastAsia="宋体" w:cs="宋体"/>
          <w:sz w:val="24"/>
          <w:szCs w:val="24"/>
        </w:rPr>
      </w:pPr>
      <w:r>
        <w:rPr>
          <w:rFonts w:ascii="宋体" w:hAnsi="宋体" w:eastAsia="宋体" w:cs="宋体"/>
          <w:sz w:val="24"/>
          <w:szCs w:val="24"/>
        </w:rPr>
        <w:t>净化后的电炉煤气在热风炉点燃，燃烧产生</w:t>
      </w:r>
      <w:r>
        <w:rPr>
          <w:rFonts w:ascii="宋体" w:hAnsi="宋体" w:eastAsia="宋体" w:cs="宋体"/>
          <w:spacing w:val="-43"/>
          <w:sz w:val="24"/>
          <w:szCs w:val="24"/>
        </w:rPr>
        <w:t xml:space="preserve"> </w:t>
      </w:r>
      <w:r>
        <w:rPr>
          <w:rFonts w:ascii="Times New Roman" w:hAnsi="Times New Roman" w:eastAsia="Times New Roman" w:cs="Times New Roman"/>
          <w:sz w:val="24"/>
          <w:szCs w:val="24"/>
        </w:rPr>
        <w:t>800~</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z w:val="24"/>
          <w:szCs w:val="24"/>
        </w:rPr>
        <w:t>1000℃</w:t>
      </w:r>
      <w:r>
        <w:rPr>
          <w:rFonts w:ascii="宋体" w:hAnsi="宋体" w:eastAsia="宋体" w:cs="宋体"/>
          <w:sz w:val="24"/>
          <w:szCs w:val="24"/>
        </w:rPr>
        <w:t xml:space="preserve">烟气进入烘干机。产生烘 </w:t>
      </w:r>
      <w:r>
        <w:rPr>
          <w:rFonts w:ascii="宋体" w:hAnsi="宋体" w:eastAsia="宋体" w:cs="宋体"/>
          <w:spacing w:val="-3"/>
          <w:sz w:val="24"/>
          <w:szCs w:val="24"/>
        </w:rPr>
        <w:t>干热风升温后进入混风室，温度均匀后，经配风阀和高低温管道机将热风输送到主机内</w:t>
      </w:r>
      <w:r>
        <w:rPr>
          <w:rFonts w:ascii="宋体" w:hAnsi="宋体" w:eastAsia="宋体" w:cs="宋体"/>
          <w:spacing w:val="1"/>
          <w:sz w:val="24"/>
          <w:szCs w:val="24"/>
        </w:rPr>
        <w:t xml:space="preserve"> </w:t>
      </w:r>
      <w:r>
        <w:rPr>
          <w:rFonts w:ascii="宋体" w:hAnsi="宋体" w:eastAsia="宋体" w:cs="宋体"/>
          <w:spacing w:val="-4"/>
          <w:sz w:val="24"/>
          <w:szCs w:val="24"/>
        </w:rPr>
        <w:t>烘干锰矿石。烘干系统内置筛分机，锰矿石经过筛分，粒径＜</w:t>
      </w:r>
      <w:r>
        <w:rPr>
          <w:rFonts w:ascii="Times New Roman" w:hAnsi="Times New Roman" w:eastAsia="Times New Roman" w:cs="Times New Roman"/>
          <w:spacing w:val="-4"/>
          <w:sz w:val="24"/>
          <w:szCs w:val="24"/>
        </w:rPr>
        <w:t>5mm</w:t>
      </w:r>
      <w:r>
        <w:rPr>
          <w:rFonts w:ascii="Times New Roman" w:hAnsi="Times New Roman" w:eastAsia="Times New Roman" w:cs="Times New Roman"/>
          <w:spacing w:val="31"/>
          <w:sz w:val="24"/>
          <w:szCs w:val="24"/>
        </w:rPr>
        <w:t xml:space="preserve"> </w:t>
      </w:r>
      <w:r>
        <w:rPr>
          <w:rFonts w:ascii="宋体" w:hAnsi="宋体" w:eastAsia="宋体" w:cs="宋体"/>
          <w:spacing w:val="-4"/>
          <w:sz w:val="24"/>
          <w:szCs w:val="24"/>
        </w:rPr>
        <w:t>的送烧结系统料仓，</w:t>
      </w:r>
      <w:r>
        <w:rPr>
          <w:rFonts w:ascii="宋体" w:hAnsi="宋体" w:eastAsia="宋体" w:cs="宋体"/>
          <w:sz w:val="24"/>
          <w:szCs w:val="24"/>
        </w:rPr>
        <w:t xml:space="preserve"> </w:t>
      </w:r>
      <w:r>
        <w:rPr>
          <w:rFonts w:ascii="宋体" w:hAnsi="宋体" w:eastAsia="宋体" w:cs="宋体"/>
          <w:spacing w:val="-3"/>
          <w:sz w:val="24"/>
          <w:szCs w:val="24"/>
        </w:rPr>
        <w:t>粒径</w:t>
      </w:r>
      <w:r>
        <w:rPr>
          <w:rFonts w:ascii="Times New Roman" w:hAnsi="Times New Roman" w:eastAsia="Times New Roman" w:cs="Times New Roman"/>
          <w:spacing w:val="-3"/>
          <w:sz w:val="24"/>
          <w:szCs w:val="24"/>
        </w:rPr>
        <w:t>≥5mm</w:t>
      </w:r>
      <w:r>
        <w:rPr>
          <w:rFonts w:ascii="Times New Roman" w:hAnsi="Times New Roman" w:eastAsia="Times New Roman" w:cs="Times New Roman"/>
          <w:spacing w:val="30"/>
          <w:w w:val="101"/>
          <w:sz w:val="24"/>
          <w:szCs w:val="24"/>
        </w:rPr>
        <w:t xml:space="preserve"> </w:t>
      </w:r>
      <w:r>
        <w:rPr>
          <w:rFonts w:ascii="宋体" w:hAnsi="宋体" w:eastAsia="宋体" w:cs="宋体"/>
          <w:spacing w:val="-3"/>
          <w:sz w:val="24"/>
          <w:szCs w:val="24"/>
        </w:rPr>
        <w:t>的送电炉料仓。</w:t>
      </w:r>
    </w:p>
    <w:p w14:paraId="373E7704">
      <w:pPr>
        <w:spacing w:before="36" w:line="354" w:lineRule="auto"/>
        <w:ind w:left="487" w:right="6973"/>
        <w:rPr>
          <w:rFonts w:ascii="宋体" w:hAnsi="宋体" w:eastAsia="宋体" w:cs="宋体"/>
          <w:sz w:val="24"/>
          <w:szCs w:val="24"/>
        </w:rPr>
      </w:pPr>
      <w:r>
        <w:rPr>
          <w:rFonts w:ascii="宋体" w:hAnsi="宋体" w:eastAsia="宋体" w:cs="宋体"/>
          <w:b/>
          <w:bCs/>
          <w:spacing w:val="-12"/>
          <w:sz w:val="24"/>
          <w:szCs w:val="24"/>
        </w:rPr>
        <w:t>产污环节分析：</w:t>
      </w:r>
      <w:r>
        <w:rPr>
          <w:rFonts w:ascii="宋体" w:hAnsi="宋体" w:eastAsia="宋体" w:cs="宋体"/>
          <w:sz w:val="24"/>
          <w:szCs w:val="24"/>
        </w:rPr>
        <w:t xml:space="preserve"> </w:t>
      </w:r>
      <w:r>
        <w:rPr>
          <w:rFonts w:ascii="宋体" w:hAnsi="宋体" w:eastAsia="宋体" w:cs="宋体"/>
          <w:b/>
          <w:bCs/>
          <w:spacing w:val="-6"/>
          <w:sz w:val="24"/>
          <w:szCs w:val="24"/>
        </w:rPr>
        <w:t>废气：</w:t>
      </w:r>
    </w:p>
    <w:p w14:paraId="16E9F5BD">
      <w:pPr>
        <w:spacing w:before="35" w:line="357" w:lineRule="auto"/>
        <w:ind w:left="10" w:right="61" w:firstLine="478"/>
        <w:jc w:val="both"/>
        <w:rPr>
          <w:rFonts w:ascii="宋体" w:hAnsi="宋体" w:eastAsia="宋体" w:cs="宋体"/>
          <w:sz w:val="24"/>
          <w:szCs w:val="24"/>
        </w:rPr>
      </w:pPr>
      <w:r>
        <w:rPr>
          <w:rFonts w:ascii="宋体" w:hAnsi="宋体" w:eastAsia="宋体" w:cs="宋体"/>
          <w:spacing w:val="-2"/>
          <w:sz w:val="24"/>
          <w:szCs w:val="24"/>
        </w:rPr>
        <w:t>锰矿石烘干筛分粉尘（</w:t>
      </w:r>
      <w:r>
        <w:rPr>
          <w:rFonts w:ascii="Times New Roman" w:hAnsi="Times New Roman" w:eastAsia="Times New Roman" w:cs="Times New Roman"/>
          <w:spacing w:val="-2"/>
          <w:sz w:val="24"/>
          <w:szCs w:val="24"/>
        </w:rPr>
        <w:t>G</w:t>
      </w:r>
      <w:r>
        <w:rPr>
          <w:rFonts w:ascii="Times New Roman" w:hAnsi="Times New Roman" w:eastAsia="Times New Roman" w:cs="Times New Roman"/>
          <w:spacing w:val="-2"/>
          <w:sz w:val="15"/>
          <w:szCs w:val="15"/>
        </w:rPr>
        <w:t xml:space="preserve">1-3 </w:t>
      </w:r>
      <w:r>
        <w:rPr>
          <w:rFonts w:ascii="宋体" w:hAnsi="宋体" w:eastAsia="宋体" w:cs="宋体"/>
          <w:spacing w:val="-14"/>
          <w:sz w:val="24"/>
          <w:szCs w:val="24"/>
        </w:rPr>
        <w:t>）：</w:t>
      </w:r>
      <w:r>
        <w:rPr>
          <w:rFonts w:ascii="宋体" w:hAnsi="宋体" w:eastAsia="宋体" w:cs="宋体"/>
          <w:spacing w:val="-2"/>
          <w:sz w:val="24"/>
          <w:szCs w:val="24"/>
        </w:rPr>
        <w:t>锰矿石烘干生产线烘干和筛分废气配置</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1</w:t>
      </w:r>
      <w:r>
        <w:rPr>
          <w:rFonts w:ascii="Times New Roman" w:hAnsi="Times New Roman" w:eastAsia="Times New Roman" w:cs="Times New Roman"/>
          <w:spacing w:val="28"/>
          <w:w w:val="101"/>
          <w:sz w:val="24"/>
          <w:szCs w:val="24"/>
        </w:rPr>
        <w:t xml:space="preserve"> </w:t>
      </w:r>
      <w:r>
        <w:rPr>
          <w:rFonts w:ascii="宋体" w:hAnsi="宋体" w:eastAsia="宋体" w:cs="宋体"/>
          <w:spacing w:val="-2"/>
          <w:sz w:val="24"/>
          <w:szCs w:val="24"/>
        </w:rPr>
        <w:t>台布袋除</w:t>
      </w:r>
      <w:r>
        <w:rPr>
          <w:rFonts w:ascii="宋体" w:hAnsi="宋体" w:eastAsia="宋体" w:cs="宋体"/>
          <w:sz w:val="24"/>
          <w:szCs w:val="24"/>
        </w:rPr>
        <w:t xml:space="preserve"> </w:t>
      </w:r>
      <w:r>
        <w:rPr>
          <w:rFonts w:ascii="宋体" w:hAnsi="宋体" w:eastAsia="宋体" w:cs="宋体"/>
          <w:spacing w:val="-1"/>
          <w:sz w:val="24"/>
          <w:szCs w:val="24"/>
        </w:rPr>
        <w:t>尘器处理。烘干机出料粉尘（</w:t>
      </w:r>
      <w:r>
        <w:rPr>
          <w:rFonts w:ascii="Times New Roman" w:hAnsi="Times New Roman" w:eastAsia="Times New Roman" w:cs="Times New Roman"/>
          <w:spacing w:val="-1"/>
          <w:sz w:val="24"/>
          <w:szCs w:val="24"/>
        </w:rPr>
        <w:t>G</w:t>
      </w:r>
      <w:r>
        <w:rPr>
          <w:rFonts w:ascii="Times New Roman" w:hAnsi="Times New Roman" w:eastAsia="Times New Roman" w:cs="Times New Roman"/>
          <w:spacing w:val="-1"/>
          <w:sz w:val="15"/>
          <w:szCs w:val="15"/>
        </w:rPr>
        <w:t xml:space="preserve">1-4 </w:t>
      </w:r>
      <w:r>
        <w:rPr>
          <w:rFonts w:ascii="宋体" w:hAnsi="宋体" w:eastAsia="宋体" w:cs="宋体"/>
          <w:spacing w:val="-13"/>
          <w:sz w:val="24"/>
          <w:szCs w:val="24"/>
        </w:rPr>
        <w:t>）：</w:t>
      </w:r>
      <w:r>
        <w:rPr>
          <w:rFonts w:ascii="宋体" w:hAnsi="宋体" w:eastAsia="宋体" w:cs="宋体"/>
          <w:spacing w:val="-1"/>
          <w:sz w:val="24"/>
          <w:szCs w:val="24"/>
        </w:rPr>
        <w:t>锰矿石烘干出料工序主要污染</w:t>
      </w:r>
      <w:r>
        <w:rPr>
          <w:rFonts w:ascii="宋体" w:hAnsi="宋体" w:eastAsia="宋体" w:cs="宋体"/>
          <w:spacing w:val="-2"/>
          <w:sz w:val="24"/>
          <w:szCs w:val="24"/>
        </w:rPr>
        <w:t>物为粉尘，配置</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1</w:t>
      </w:r>
      <w:r>
        <w:rPr>
          <w:rFonts w:ascii="Times New Roman" w:hAnsi="Times New Roman" w:eastAsia="Times New Roman" w:cs="Times New Roman"/>
          <w:sz w:val="24"/>
          <w:szCs w:val="24"/>
        </w:rPr>
        <w:t xml:space="preserve">  </w:t>
      </w:r>
      <w:r>
        <w:rPr>
          <w:rFonts w:ascii="宋体" w:hAnsi="宋体" w:eastAsia="宋体" w:cs="宋体"/>
          <w:spacing w:val="-2"/>
          <w:sz w:val="24"/>
          <w:szCs w:val="24"/>
        </w:rPr>
        <w:t>台布袋除尘器处理。</w:t>
      </w:r>
    </w:p>
    <w:p w14:paraId="4EEF37D5">
      <w:pPr>
        <w:spacing w:line="357" w:lineRule="auto"/>
        <w:rPr>
          <w:rFonts w:ascii="宋体" w:hAnsi="宋体" w:eastAsia="宋体" w:cs="宋体"/>
          <w:sz w:val="24"/>
          <w:szCs w:val="24"/>
        </w:rPr>
        <w:sectPr>
          <w:headerReference r:id="rId106" w:type="default"/>
          <w:footerReference r:id="rId107" w:type="default"/>
          <w:pgSz w:w="11850" w:h="16781"/>
          <w:pgMar w:top="1178" w:right="1354" w:bottom="1013" w:left="1417" w:header="870" w:footer="850" w:gutter="0"/>
          <w:cols w:space="720" w:num="1"/>
        </w:sectPr>
      </w:pPr>
    </w:p>
    <w:p w14:paraId="63D8CEAE">
      <w:pPr>
        <w:pStyle w:val="2"/>
        <w:spacing w:line="276" w:lineRule="auto"/>
      </w:pPr>
      <w:r>
        <w:pict>
          <v:shape id="_x0000_s1163" o:spid="_x0000_s1163" style="position:absolute;left:0pt;margin-left:0pt;margin-top:0.7pt;height:0.75pt;width:450.75pt;z-index:251821056;mso-width-relative:page;mso-height-relative:page;" fillcolor="#000000" filled="t" stroked="f" coordsize="9015,15" path="m0,0l9014,0,9014,14,0,14,0,0xe">
            <v:path/>
            <v:fill on="t" focussize="0,0"/>
            <v:stroke on="f"/>
            <v:imagedata o:title=""/>
            <o:lock v:ext="edit"/>
          </v:shape>
        </w:pict>
      </w:r>
    </w:p>
    <w:p w14:paraId="03842EE5">
      <w:pPr>
        <w:spacing w:before="78" w:line="220" w:lineRule="auto"/>
        <w:ind w:left="508"/>
        <w:rPr>
          <w:rFonts w:ascii="宋体" w:hAnsi="宋体" w:eastAsia="宋体" w:cs="宋体"/>
          <w:sz w:val="24"/>
          <w:szCs w:val="24"/>
        </w:rPr>
      </w:pPr>
      <w:r>
        <w:rPr>
          <w:rFonts w:ascii="宋体" w:hAnsi="宋体" w:eastAsia="宋体" w:cs="宋体"/>
          <w:b/>
          <w:bCs/>
          <w:spacing w:val="-13"/>
          <w:sz w:val="24"/>
          <w:szCs w:val="24"/>
        </w:rPr>
        <w:t>固废：</w:t>
      </w:r>
    </w:p>
    <w:p w14:paraId="1A6D40B2">
      <w:pPr>
        <w:spacing w:before="191" w:line="219" w:lineRule="auto"/>
        <w:ind w:left="488"/>
        <w:rPr>
          <w:rFonts w:ascii="宋体" w:hAnsi="宋体" w:eastAsia="宋体" w:cs="宋体"/>
          <w:sz w:val="24"/>
          <w:szCs w:val="24"/>
        </w:rPr>
      </w:pPr>
      <w:r>
        <w:rPr>
          <w:rFonts w:ascii="宋体" w:hAnsi="宋体" w:eastAsia="宋体" w:cs="宋体"/>
          <w:spacing w:val="-1"/>
          <w:sz w:val="24"/>
          <w:szCs w:val="24"/>
        </w:rPr>
        <w:t>布袋除尘器收集的含锰除尘灰（</w:t>
      </w:r>
      <w:r>
        <w:rPr>
          <w:rFonts w:ascii="Times New Roman" w:hAnsi="Times New Roman" w:eastAsia="Times New Roman" w:cs="Times New Roman"/>
          <w:spacing w:val="-1"/>
          <w:sz w:val="24"/>
          <w:szCs w:val="24"/>
        </w:rPr>
        <w:t>S</w:t>
      </w:r>
      <w:r>
        <w:rPr>
          <w:rFonts w:ascii="Times New Roman" w:hAnsi="Times New Roman" w:eastAsia="Times New Roman" w:cs="Times New Roman"/>
          <w:spacing w:val="-1"/>
          <w:sz w:val="15"/>
          <w:szCs w:val="15"/>
        </w:rPr>
        <w:t xml:space="preserve">1-2 </w:t>
      </w:r>
      <w:r>
        <w:rPr>
          <w:rFonts w:ascii="宋体" w:hAnsi="宋体" w:eastAsia="宋体" w:cs="宋体"/>
          <w:spacing w:val="-1"/>
          <w:sz w:val="24"/>
          <w:szCs w:val="24"/>
        </w:rPr>
        <w:t>）返回生产工序中，去烧结机配料站</w:t>
      </w:r>
      <w:r>
        <w:rPr>
          <w:rFonts w:ascii="宋体" w:hAnsi="宋体" w:eastAsia="宋体" w:cs="宋体"/>
          <w:spacing w:val="-2"/>
          <w:sz w:val="24"/>
          <w:szCs w:val="24"/>
        </w:rPr>
        <w:t>配料。</w:t>
      </w:r>
    </w:p>
    <w:p w14:paraId="1FE2BD5E">
      <w:pPr>
        <w:spacing w:before="238" w:line="5795" w:lineRule="exact"/>
        <w:ind w:firstLine="1458"/>
      </w:pPr>
      <w:r>
        <w:rPr>
          <w:position w:val="-115"/>
        </w:rPr>
        <w:drawing>
          <wp:inline distT="0" distB="0" distL="0" distR="0">
            <wp:extent cx="3885565" cy="3679825"/>
            <wp:effectExtent l="0" t="0" r="0" b="0"/>
            <wp:docPr id="30" name="IM 30"/>
            <wp:cNvGraphicFramePr/>
            <a:graphic xmlns:a="http://schemas.openxmlformats.org/drawingml/2006/main">
              <a:graphicData uri="http://schemas.openxmlformats.org/drawingml/2006/picture">
                <pic:pic xmlns:pic="http://schemas.openxmlformats.org/drawingml/2006/picture">
                  <pic:nvPicPr>
                    <pic:cNvPr id="30" name="IM 30"/>
                    <pic:cNvPicPr/>
                  </pic:nvPicPr>
                  <pic:blipFill>
                    <a:blip r:embed="rId593"/>
                    <a:stretch>
                      <a:fillRect/>
                    </a:stretch>
                  </pic:blipFill>
                  <pic:spPr>
                    <a:xfrm>
                      <a:off x="0" y="0"/>
                      <a:ext cx="3885986" cy="3680166"/>
                    </a:xfrm>
                    <a:prstGeom prst="rect">
                      <a:avLst/>
                    </a:prstGeom>
                  </pic:spPr>
                </pic:pic>
              </a:graphicData>
            </a:graphic>
          </wp:inline>
        </w:drawing>
      </w:r>
    </w:p>
    <w:p w14:paraId="0579D6F1">
      <w:pPr>
        <w:spacing w:before="214" w:line="227" w:lineRule="auto"/>
        <w:ind w:left="2473"/>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2.2-2      </w:t>
      </w:r>
      <w:r>
        <w:rPr>
          <w:rFonts w:ascii="宋体" w:hAnsi="宋体" w:eastAsia="宋体" w:cs="宋体"/>
          <w:b/>
          <w:bCs/>
          <w:spacing w:val="5"/>
          <w:sz w:val="20"/>
          <w:szCs w:val="20"/>
        </w:rPr>
        <w:t>锰矿石烘干工艺流程及产污环节图</w:t>
      </w:r>
    </w:p>
    <w:p w14:paraId="37FEB492">
      <w:pPr>
        <w:spacing w:before="216" w:line="219" w:lineRule="auto"/>
        <w:ind w:left="4"/>
        <w:outlineLvl w:val="3"/>
        <w:rPr>
          <w:rFonts w:ascii="宋体" w:hAnsi="宋体" w:eastAsia="宋体" w:cs="宋体"/>
          <w:sz w:val="24"/>
          <w:szCs w:val="24"/>
        </w:rPr>
      </w:pPr>
      <w:r>
        <w:fldChar w:fldCharType="begin"/>
      </w:r>
      <w:r>
        <w:instrText xml:space="preserve"> HYPERLINK "2.2.1.3" </w:instrText>
      </w:r>
      <w:r>
        <w:fldChar w:fldCharType="separate"/>
      </w:r>
      <w:r>
        <w:rPr>
          <w:rFonts w:ascii="Times New Roman" w:hAnsi="Times New Roman" w:eastAsia="Times New Roman" w:cs="Times New Roman"/>
          <w:b/>
          <w:bCs/>
          <w:spacing w:val="-2"/>
          <w:sz w:val="24"/>
          <w:szCs w:val="24"/>
        </w:rPr>
        <w:t>2.2.1.3</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烧结配料</w:t>
      </w:r>
    </w:p>
    <w:p w14:paraId="5A71B4DA">
      <w:pPr>
        <w:spacing w:before="197" w:line="361" w:lineRule="auto"/>
        <w:ind w:left="8" w:firstLine="483"/>
        <w:jc w:val="both"/>
        <w:rPr>
          <w:rFonts w:ascii="宋体" w:hAnsi="宋体" w:eastAsia="宋体" w:cs="宋体"/>
          <w:sz w:val="24"/>
          <w:szCs w:val="24"/>
        </w:rPr>
      </w:pPr>
      <w:r>
        <w:rPr>
          <w:rFonts w:ascii="宋体" w:hAnsi="宋体" w:eastAsia="宋体" w:cs="宋体"/>
          <w:spacing w:val="-2"/>
          <w:sz w:val="24"/>
          <w:szCs w:val="24"/>
        </w:rPr>
        <w:t>项目使用锰矿来自南非、加蓬等处，其余焦炭、硅石和石灰石均在当地市场购买。</w:t>
      </w:r>
      <w:r>
        <w:rPr>
          <w:rFonts w:ascii="宋体" w:hAnsi="宋体" w:eastAsia="宋体" w:cs="宋体"/>
          <w:spacing w:val="17"/>
          <w:sz w:val="24"/>
          <w:szCs w:val="24"/>
        </w:rPr>
        <w:t xml:space="preserve"> </w:t>
      </w:r>
      <w:r>
        <w:rPr>
          <w:rFonts w:ascii="宋体" w:hAnsi="宋体" w:eastAsia="宋体" w:cs="宋体"/>
          <w:spacing w:val="-3"/>
          <w:sz w:val="24"/>
          <w:szCs w:val="24"/>
        </w:rPr>
        <w:t>锰矿、硅石、石灰石及焦炭均满足进场粒度的要求，无需预处理。锰粉矿、焦粉及除尘</w:t>
      </w:r>
      <w:r>
        <w:rPr>
          <w:rFonts w:ascii="宋体" w:hAnsi="宋体" w:eastAsia="宋体" w:cs="宋体"/>
          <w:sz w:val="24"/>
          <w:szCs w:val="24"/>
        </w:rPr>
        <w:t xml:space="preserve"> </w:t>
      </w:r>
      <w:r>
        <w:rPr>
          <w:rFonts w:ascii="宋体" w:hAnsi="宋体" w:eastAsia="宋体" w:cs="宋体"/>
          <w:spacing w:val="-1"/>
          <w:sz w:val="24"/>
          <w:szCs w:val="24"/>
        </w:rPr>
        <w:t>灰由汽车运输进入厂区全封闭的原料堆棚及烧结料棚中，</w:t>
      </w:r>
      <w:r>
        <w:rPr>
          <w:rFonts w:ascii="宋体" w:hAnsi="宋体" w:eastAsia="宋体" w:cs="宋体"/>
          <w:spacing w:val="-2"/>
          <w:sz w:val="24"/>
          <w:szCs w:val="24"/>
        </w:rPr>
        <w:t>采用平铺方式由装载机造堆。</w:t>
      </w:r>
      <w:r>
        <w:rPr>
          <w:rFonts w:ascii="宋体" w:hAnsi="宋体" w:eastAsia="宋体" w:cs="宋体"/>
          <w:sz w:val="24"/>
          <w:szCs w:val="24"/>
        </w:rPr>
        <w:t xml:space="preserve"> </w:t>
      </w:r>
      <w:r>
        <w:rPr>
          <w:rFonts w:ascii="宋体" w:hAnsi="宋体" w:eastAsia="宋体" w:cs="宋体"/>
          <w:spacing w:val="-3"/>
          <w:sz w:val="24"/>
          <w:szCs w:val="24"/>
        </w:rPr>
        <w:t>锰粉矿、焦粉及除尘灰由装载机运至烧结机配料站配料仓内，配料仓仓下配置计量给料</w:t>
      </w:r>
      <w:r>
        <w:rPr>
          <w:rFonts w:ascii="宋体" w:hAnsi="宋体" w:eastAsia="宋体" w:cs="宋体"/>
          <w:sz w:val="24"/>
          <w:szCs w:val="24"/>
        </w:rPr>
        <w:t xml:space="preserve"> </w:t>
      </w:r>
      <w:r>
        <w:rPr>
          <w:rFonts w:ascii="宋体" w:hAnsi="宋体" w:eastAsia="宋体" w:cs="宋体"/>
          <w:spacing w:val="-1"/>
          <w:sz w:val="24"/>
          <w:szCs w:val="24"/>
        </w:rPr>
        <w:t>装置，按照配比计量给料进入仓下运输皮带，经皮带机运</w:t>
      </w:r>
      <w:r>
        <w:rPr>
          <w:rFonts w:ascii="宋体" w:hAnsi="宋体" w:eastAsia="宋体" w:cs="宋体"/>
          <w:spacing w:val="-2"/>
          <w:sz w:val="24"/>
          <w:szCs w:val="24"/>
        </w:rPr>
        <w:t>输进入到两级混料制粒工序。</w:t>
      </w:r>
    </w:p>
    <w:p w14:paraId="2E66EE13">
      <w:pPr>
        <w:spacing w:before="35" w:line="353" w:lineRule="auto"/>
        <w:ind w:left="487" w:right="6975"/>
        <w:rPr>
          <w:rFonts w:ascii="宋体" w:hAnsi="宋体" w:eastAsia="宋体" w:cs="宋体"/>
          <w:sz w:val="24"/>
          <w:szCs w:val="24"/>
        </w:rPr>
      </w:pPr>
      <w:r>
        <w:rPr>
          <w:rFonts w:ascii="宋体" w:hAnsi="宋体" w:eastAsia="宋体" w:cs="宋体"/>
          <w:b/>
          <w:bCs/>
          <w:spacing w:val="-12"/>
          <w:sz w:val="24"/>
          <w:szCs w:val="24"/>
        </w:rPr>
        <w:t>产污环节分析：</w:t>
      </w:r>
      <w:r>
        <w:rPr>
          <w:rFonts w:ascii="宋体" w:hAnsi="宋体" w:eastAsia="宋体" w:cs="宋体"/>
          <w:sz w:val="24"/>
          <w:szCs w:val="24"/>
        </w:rPr>
        <w:t xml:space="preserve"> </w:t>
      </w:r>
      <w:r>
        <w:rPr>
          <w:rFonts w:ascii="宋体" w:hAnsi="宋体" w:eastAsia="宋体" w:cs="宋体"/>
          <w:b/>
          <w:bCs/>
          <w:spacing w:val="-6"/>
          <w:sz w:val="24"/>
          <w:szCs w:val="24"/>
        </w:rPr>
        <w:t>废气：</w:t>
      </w:r>
    </w:p>
    <w:p w14:paraId="49557E88">
      <w:pPr>
        <w:spacing w:before="35" w:line="354" w:lineRule="auto"/>
        <w:ind w:left="8" w:right="65" w:firstLine="479"/>
        <w:rPr>
          <w:rFonts w:ascii="宋体" w:hAnsi="宋体" w:eastAsia="宋体" w:cs="宋体"/>
          <w:sz w:val="24"/>
          <w:szCs w:val="24"/>
        </w:rPr>
      </w:pPr>
      <w:r>
        <w:rPr>
          <w:rFonts w:ascii="宋体" w:hAnsi="宋体" w:eastAsia="宋体" w:cs="宋体"/>
          <w:spacing w:val="-1"/>
          <w:sz w:val="24"/>
          <w:szCs w:val="24"/>
        </w:rPr>
        <w:t>烧结配料站粉尘（</w:t>
      </w:r>
      <w:r>
        <w:rPr>
          <w:rFonts w:ascii="Times New Roman" w:hAnsi="Times New Roman" w:eastAsia="Times New Roman" w:cs="Times New Roman"/>
          <w:spacing w:val="-1"/>
          <w:sz w:val="24"/>
          <w:szCs w:val="24"/>
        </w:rPr>
        <w:t>G</w:t>
      </w:r>
      <w:r>
        <w:rPr>
          <w:rFonts w:ascii="Times New Roman" w:hAnsi="Times New Roman" w:eastAsia="Times New Roman" w:cs="Times New Roman"/>
          <w:spacing w:val="-1"/>
          <w:sz w:val="15"/>
          <w:szCs w:val="15"/>
        </w:rPr>
        <w:t xml:space="preserve">1-5 </w:t>
      </w:r>
      <w:r>
        <w:rPr>
          <w:rFonts w:ascii="宋体" w:hAnsi="宋体" w:eastAsia="宋体" w:cs="宋体"/>
          <w:spacing w:val="-14"/>
          <w:sz w:val="24"/>
          <w:szCs w:val="24"/>
        </w:rPr>
        <w:t>）：</w:t>
      </w:r>
      <w:r>
        <w:rPr>
          <w:rFonts w:ascii="宋体" w:hAnsi="宋体" w:eastAsia="宋体" w:cs="宋体"/>
          <w:spacing w:val="-1"/>
          <w:sz w:val="24"/>
          <w:szCs w:val="24"/>
        </w:rPr>
        <w:t>烧结系统设</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 xml:space="preserve">1 </w:t>
      </w:r>
      <w:r>
        <w:rPr>
          <w:rFonts w:ascii="宋体" w:hAnsi="宋体" w:eastAsia="宋体" w:cs="宋体"/>
          <w:spacing w:val="-1"/>
          <w:sz w:val="24"/>
          <w:szCs w:val="24"/>
        </w:rPr>
        <w:t>座配料站，原料堆棚中</w:t>
      </w:r>
      <w:r>
        <w:rPr>
          <w:rFonts w:ascii="宋体" w:hAnsi="宋体" w:eastAsia="宋体" w:cs="宋体"/>
          <w:spacing w:val="-2"/>
          <w:sz w:val="24"/>
          <w:szCs w:val="24"/>
        </w:rPr>
        <w:t>原料经装载机运至</w:t>
      </w:r>
      <w:r>
        <w:rPr>
          <w:rFonts w:ascii="宋体" w:hAnsi="宋体" w:eastAsia="宋体" w:cs="宋体"/>
          <w:sz w:val="24"/>
          <w:szCs w:val="24"/>
        </w:rPr>
        <w:t xml:space="preserve"> </w:t>
      </w:r>
      <w:r>
        <w:rPr>
          <w:rFonts w:ascii="宋体" w:hAnsi="宋体" w:eastAsia="宋体" w:cs="宋体"/>
          <w:spacing w:val="-2"/>
          <w:sz w:val="24"/>
          <w:szCs w:val="24"/>
        </w:rPr>
        <w:t>配料站料仓，进料及配料过程中会产生粉尘，配置</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w:t>
      </w:r>
      <w:r>
        <w:rPr>
          <w:rFonts w:ascii="Times New Roman" w:hAnsi="Times New Roman" w:eastAsia="Times New Roman" w:cs="Times New Roman"/>
          <w:spacing w:val="28"/>
          <w:w w:val="101"/>
          <w:sz w:val="24"/>
          <w:szCs w:val="24"/>
        </w:rPr>
        <w:t xml:space="preserve"> </w:t>
      </w:r>
      <w:r>
        <w:rPr>
          <w:rFonts w:ascii="宋体" w:hAnsi="宋体" w:eastAsia="宋体" w:cs="宋体"/>
          <w:spacing w:val="-2"/>
          <w:sz w:val="24"/>
          <w:szCs w:val="24"/>
        </w:rPr>
        <w:t>台布袋除尘器</w:t>
      </w:r>
      <w:r>
        <w:rPr>
          <w:rFonts w:ascii="宋体" w:hAnsi="宋体" w:eastAsia="宋体" w:cs="宋体"/>
          <w:spacing w:val="-3"/>
          <w:sz w:val="24"/>
          <w:szCs w:val="24"/>
        </w:rPr>
        <w:t>处理。</w:t>
      </w:r>
    </w:p>
    <w:p w14:paraId="17178735">
      <w:pPr>
        <w:spacing w:before="36" w:line="220" w:lineRule="auto"/>
        <w:ind w:left="508"/>
        <w:rPr>
          <w:rFonts w:ascii="宋体" w:hAnsi="宋体" w:eastAsia="宋体" w:cs="宋体"/>
          <w:sz w:val="24"/>
          <w:szCs w:val="24"/>
        </w:rPr>
      </w:pPr>
      <w:r>
        <w:rPr>
          <w:rFonts w:ascii="宋体" w:hAnsi="宋体" w:eastAsia="宋体" w:cs="宋体"/>
          <w:b/>
          <w:bCs/>
          <w:spacing w:val="-13"/>
          <w:sz w:val="24"/>
          <w:szCs w:val="24"/>
        </w:rPr>
        <w:t>固废：</w:t>
      </w:r>
    </w:p>
    <w:p w14:paraId="3C19DABC">
      <w:pPr>
        <w:spacing w:before="188" w:line="219" w:lineRule="auto"/>
        <w:ind w:left="488"/>
        <w:rPr>
          <w:rFonts w:ascii="宋体" w:hAnsi="宋体" w:eastAsia="宋体" w:cs="宋体"/>
          <w:sz w:val="24"/>
          <w:szCs w:val="24"/>
        </w:rPr>
      </w:pPr>
      <w:r>
        <w:rPr>
          <w:rFonts w:ascii="宋体" w:hAnsi="宋体" w:eastAsia="宋体" w:cs="宋体"/>
          <w:sz w:val="24"/>
          <w:szCs w:val="24"/>
        </w:rPr>
        <w:t>布袋除尘器收集的含锰除尘灰返回生产工序中</w:t>
      </w:r>
      <w:r>
        <w:rPr>
          <w:rFonts w:ascii="宋体" w:hAnsi="宋体" w:eastAsia="宋体" w:cs="宋体"/>
          <w:spacing w:val="-1"/>
          <w:sz w:val="24"/>
          <w:szCs w:val="24"/>
        </w:rPr>
        <w:t>，去烧结机配料站配料。</w:t>
      </w:r>
    </w:p>
    <w:p w14:paraId="33A8EE4D">
      <w:pPr>
        <w:spacing w:before="194" w:line="220" w:lineRule="auto"/>
        <w:ind w:left="4"/>
        <w:outlineLvl w:val="3"/>
        <w:rPr>
          <w:rFonts w:ascii="宋体" w:hAnsi="宋体" w:eastAsia="宋体" w:cs="宋体"/>
          <w:sz w:val="24"/>
          <w:szCs w:val="24"/>
        </w:rPr>
      </w:pPr>
      <w:r>
        <w:fldChar w:fldCharType="begin"/>
      </w:r>
      <w:r>
        <w:instrText xml:space="preserve"> HYPERLINK "2.2.1.4" </w:instrText>
      </w:r>
      <w:r>
        <w:fldChar w:fldCharType="separate"/>
      </w:r>
      <w:r>
        <w:rPr>
          <w:rFonts w:ascii="Times New Roman" w:hAnsi="Times New Roman" w:eastAsia="Times New Roman" w:cs="Times New Roman"/>
          <w:b/>
          <w:bCs/>
          <w:spacing w:val="-2"/>
          <w:sz w:val="24"/>
          <w:szCs w:val="24"/>
        </w:rPr>
        <w:t>2.2.1.4</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混料制粒</w:t>
      </w:r>
    </w:p>
    <w:p w14:paraId="6F9C2736">
      <w:pPr>
        <w:spacing w:line="220" w:lineRule="auto"/>
        <w:rPr>
          <w:rFonts w:ascii="宋体" w:hAnsi="宋体" w:eastAsia="宋体" w:cs="宋体"/>
          <w:sz w:val="24"/>
          <w:szCs w:val="24"/>
        </w:rPr>
        <w:sectPr>
          <w:headerReference r:id="rId108" w:type="default"/>
          <w:footerReference r:id="rId109" w:type="default"/>
          <w:pgSz w:w="11850" w:h="16781"/>
          <w:pgMar w:top="1178" w:right="1352" w:bottom="1013" w:left="1417" w:header="870" w:footer="850" w:gutter="0"/>
          <w:cols w:space="720" w:num="1"/>
        </w:sectPr>
      </w:pPr>
    </w:p>
    <w:p w14:paraId="4033664F">
      <w:pPr>
        <w:pStyle w:val="2"/>
        <w:spacing w:line="275" w:lineRule="auto"/>
      </w:pPr>
      <w:r>
        <w:pict>
          <v:shape id="_x0000_s1164" o:spid="_x0000_s1164" style="position:absolute;left:0pt;margin-left:0pt;margin-top:0.65pt;height:0.75pt;width:450.75pt;z-index:251822080;mso-width-relative:page;mso-height-relative:page;" fillcolor="#000000" filled="t" stroked="f" coordsize="9015,15" path="m0,0l9014,0,9014,14,0,14,0,0xe">
            <v:path/>
            <v:fill on="t" focussize="0,0"/>
            <v:stroke on="f"/>
            <v:imagedata o:title=""/>
            <o:lock v:ext="edit"/>
          </v:shape>
        </w:pict>
      </w:r>
    </w:p>
    <w:p w14:paraId="403C1696">
      <w:pPr>
        <w:spacing w:before="78" w:line="363" w:lineRule="auto"/>
        <w:ind w:left="7" w:right="80" w:firstLine="483"/>
        <w:jc w:val="both"/>
        <w:rPr>
          <w:rFonts w:ascii="宋体" w:hAnsi="宋体" w:eastAsia="宋体" w:cs="宋体"/>
          <w:sz w:val="24"/>
          <w:szCs w:val="24"/>
        </w:rPr>
      </w:pPr>
      <w:r>
        <w:rPr>
          <w:rFonts w:ascii="宋体" w:hAnsi="宋体" w:eastAsia="宋体" w:cs="宋体"/>
          <w:spacing w:val="-3"/>
          <w:sz w:val="24"/>
          <w:szCs w:val="24"/>
        </w:rPr>
        <w:t>混料制粒系统由两台圆筒混料机组成，一次混合主要是将各种</w:t>
      </w:r>
      <w:r>
        <w:rPr>
          <w:rFonts w:ascii="宋体" w:hAnsi="宋体" w:eastAsia="宋体" w:cs="宋体"/>
          <w:spacing w:val="-4"/>
          <w:sz w:val="24"/>
          <w:szCs w:val="24"/>
        </w:rPr>
        <w:t>物料混合均匀，再由</w:t>
      </w:r>
      <w:r>
        <w:rPr>
          <w:rFonts w:ascii="宋体" w:hAnsi="宋体" w:eastAsia="宋体" w:cs="宋体"/>
          <w:sz w:val="24"/>
          <w:szCs w:val="24"/>
        </w:rPr>
        <w:t xml:space="preserve"> </w:t>
      </w:r>
      <w:r>
        <w:rPr>
          <w:rFonts w:ascii="宋体" w:hAnsi="宋体" w:eastAsia="宋体" w:cs="宋体"/>
          <w:spacing w:val="-3"/>
          <w:sz w:val="24"/>
          <w:szCs w:val="24"/>
        </w:rPr>
        <w:t>皮带输送机送至二次混料机混合制粒，二次混合的目的主要是提高颗粒质量，改善烧结</w:t>
      </w:r>
      <w:r>
        <w:rPr>
          <w:rFonts w:ascii="宋体" w:hAnsi="宋体" w:eastAsia="宋体" w:cs="宋体"/>
          <w:spacing w:val="1"/>
          <w:sz w:val="24"/>
          <w:szCs w:val="24"/>
        </w:rPr>
        <w:t xml:space="preserve"> </w:t>
      </w:r>
      <w:r>
        <w:rPr>
          <w:rFonts w:ascii="宋体" w:hAnsi="宋体" w:eastAsia="宋体" w:cs="宋体"/>
          <w:spacing w:val="-3"/>
          <w:sz w:val="24"/>
          <w:szCs w:val="24"/>
        </w:rPr>
        <w:t>过程中的透气性。根据混匀、湿润、制粒三种不同的功能，在混料机上设计不同的加水</w:t>
      </w:r>
      <w:r>
        <w:rPr>
          <w:rFonts w:ascii="宋体" w:hAnsi="宋体" w:eastAsia="宋体" w:cs="宋体"/>
          <w:spacing w:val="1"/>
          <w:sz w:val="24"/>
          <w:szCs w:val="24"/>
        </w:rPr>
        <w:t xml:space="preserve"> </w:t>
      </w:r>
      <w:r>
        <w:rPr>
          <w:rFonts w:ascii="宋体" w:hAnsi="宋体" w:eastAsia="宋体" w:cs="宋体"/>
          <w:spacing w:val="-3"/>
          <w:sz w:val="24"/>
          <w:szCs w:val="24"/>
        </w:rPr>
        <w:t>曲线。最终将混合料制成</w:t>
      </w:r>
      <w:r>
        <w:rPr>
          <w:rFonts w:ascii="宋体" w:hAnsi="宋体" w:eastAsia="宋体" w:cs="宋体"/>
          <w:spacing w:val="-35"/>
          <w:sz w:val="24"/>
          <w:szCs w:val="24"/>
        </w:rPr>
        <w:t xml:space="preserve"> </w:t>
      </w:r>
      <w:r>
        <w:rPr>
          <w:rFonts w:ascii="Times New Roman" w:hAnsi="Times New Roman" w:eastAsia="Times New Roman" w:cs="Times New Roman"/>
          <w:spacing w:val="-3"/>
          <w:sz w:val="24"/>
          <w:szCs w:val="24"/>
        </w:rPr>
        <w:t>3~8mm</w:t>
      </w:r>
      <w:r>
        <w:rPr>
          <w:rFonts w:ascii="Times New Roman" w:hAnsi="Times New Roman" w:eastAsia="Times New Roman" w:cs="Times New Roman"/>
          <w:spacing w:val="50"/>
          <w:sz w:val="24"/>
          <w:szCs w:val="24"/>
        </w:rPr>
        <w:t xml:space="preserve"> </w:t>
      </w:r>
      <w:r>
        <w:rPr>
          <w:rFonts w:ascii="宋体" w:hAnsi="宋体" w:eastAsia="宋体" w:cs="宋体"/>
          <w:spacing w:val="-3"/>
          <w:sz w:val="24"/>
          <w:szCs w:val="24"/>
        </w:rPr>
        <w:t>占</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75%</w:t>
      </w:r>
      <w:r>
        <w:rPr>
          <w:rFonts w:ascii="宋体" w:hAnsi="宋体" w:eastAsia="宋体" w:cs="宋体"/>
          <w:spacing w:val="-3"/>
          <w:sz w:val="24"/>
          <w:szCs w:val="24"/>
        </w:rPr>
        <w:t>的小球形混合生料，由皮带输送到烧结机布料</w:t>
      </w:r>
      <w:r>
        <w:rPr>
          <w:rFonts w:ascii="宋体" w:hAnsi="宋体" w:eastAsia="宋体" w:cs="宋体"/>
          <w:sz w:val="24"/>
          <w:szCs w:val="24"/>
        </w:rPr>
        <w:t xml:space="preserve"> </w:t>
      </w:r>
      <w:r>
        <w:rPr>
          <w:rFonts w:ascii="宋体" w:hAnsi="宋体" w:eastAsia="宋体" w:cs="宋体"/>
          <w:spacing w:val="-5"/>
          <w:sz w:val="24"/>
          <w:szCs w:val="24"/>
        </w:rPr>
        <w:t>仓。</w:t>
      </w:r>
    </w:p>
    <w:p w14:paraId="74BC58CD">
      <w:pPr>
        <w:spacing w:before="27" w:line="354" w:lineRule="auto"/>
        <w:ind w:left="487" w:right="6992"/>
        <w:rPr>
          <w:rFonts w:ascii="宋体" w:hAnsi="宋体" w:eastAsia="宋体" w:cs="宋体"/>
          <w:sz w:val="24"/>
          <w:szCs w:val="24"/>
        </w:rPr>
      </w:pPr>
      <w:r>
        <w:rPr>
          <w:rFonts w:ascii="宋体" w:hAnsi="宋体" w:eastAsia="宋体" w:cs="宋体"/>
          <w:b/>
          <w:bCs/>
          <w:spacing w:val="-12"/>
          <w:sz w:val="24"/>
          <w:szCs w:val="24"/>
        </w:rPr>
        <w:t>产污环节分析：</w:t>
      </w:r>
      <w:r>
        <w:rPr>
          <w:rFonts w:ascii="宋体" w:hAnsi="宋体" w:eastAsia="宋体" w:cs="宋体"/>
          <w:sz w:val="24"/>
          <w:szCs w:val="24"/>
        </w:rPr>
        <w:t xml:space="preserve"> </w:t>
      </w:r>
      <w:r>
        <w:rPr>
          <w:rFonts w:ascii="宋体" w:hAnsi="宋体" w:eastAsia="宋体" w:cs="宋体"/>
          <w:b/>
          <w:bCs/>
          <w:spacing w:val="-6"/>
          <w:sz w:val="24"/>
          <w:szCs w:val="24"/>
        </w:rPr>
        <w:t>废气：</w:t>
      </w:r>
    </w:p>
    <w:p w14:paraId="20B54F9A">
      <w:pPr>
        <w:spacing w:before="34" w:line="357" w:lineRule="auto"/>
        <w:ind w:left="8" w:right="80" w:firstLine="480"/>
        <w:jc w:val="both"/>
        <w:rPr>
          <w:rFonts w:ascii="宋体" w:hAnsi="宋体" w:eastAsia="宋体" w:cs="宋体"/>
          <w:sz w:val="24"/>
          <w:szCs w:val="24"/>
        </w:rPr>
      </w:pPr>
      <w:r>
        <w:rPr>
          <w:rFonts w:ascii="宋体" w:hAnsi="宋体" w:eastAsia="宋体" w:cs="宋体"/>
          <w:spacing w:val="-3"/>
          <w:sz w:val="24"/>
          <w:szCs w:val="24"/>
        </w:rPr>
        <w:t>本项目圆筒混料机混料制粒过程中进出料、混料过程中会有粉尘产</w:t>
      </w:r>
      <w:r>
        <w:rPr>
          <w:rFonts w:ascii="宋体" w:hAnsi="宋体" w:eastAsia="宋体" w:cs="宋体"/>
          <w:spacing w:val="-4"/>
          <w:sz w:val="24"/>
          <w:szCs w:val="24"/>
        </w:rPr>
        <w:t>生，项目圆筒混</w:t>
      </w:r>
      <w:r>
        <w:rPr>
          <w:rFonts w:ascii="宋体" w:hAnsi="宋体" w:eastAsia="宋体" w:cs="宋体"/>
          <w:sz w:val="24"/>
          <w:szCs w:val="24"/>
        </w:rPr>
        <w:t xml:space="preserve"> </w:t>
      </w:r>
      <w:r>
        <w:rPr>
          <w:rFonts w:ascii="宋体" w:hAnsi="宋体" w:eastAsia="宋体" w:cs="宋体"/>
          <w:spacing w:val="-3"/>
          <w:sz w:val="24"/>
          <w:szCs w:val="24"/>
        </w:rPr>
        <w:t>料机为全封闭，对进出料口也进行封闭处理，同时在混料过程中喷水，混料制粒过程中</w:t>
      </w:r>
      <w:r>
        <w:rPr>
          <w:rFonts w:ascii="宋体" w:hAnsi="宋体" w:eastAsia="宋体" w:cs="宋体"/>
          <w:sz w:val="24"/>
          <w:szCs w:val="24"/>
        </w:rPr>
        <w:t xml:space="preserve"> </w:t>
      </w:r>
      <w:r>
        <w:rPr>
          <w:rFonts w:ascii="宋体" w:hAnsi="宋体" w:eastAsia="宋体" w:cs="宋体"/>
          <w:spacing w:val="-1"/>
          <w:sz w:val="24"/>
          <w:szCs w:val="24"/>
        </w:rPr>
        <w:t>外排粉尘量很小，本次评价不进行定量核算。</w:t>
      </w:r>
    </w:p>
    <w:p w14:paraId="7AB49772">
      <w:pPr>
        <w:spacing w:before="37" w:line="219" w:lineRule="auto"/>
        <w:ind w:left="4"/>
        <w:outlineLvl w:val="3"/>
        <w:rPr>
          <w:rFonts w:ascii="宋体" w:hAnsi="宋体" w:eastAsia="宋体" w:cs="宋体"/>
          <w:sz w:val="24"/>
          <w:szCs w:val="24"/>
        </w:rPr>
      </w:pPr>
      <w:r>
        <w:fldChar w:fldCharType="begin"/>
      </w:r>
      <w:r>
        <w:instrText xml:space="preserve"> HYPERLINK "2.2.1.5" </w:instrText>
      </w:r>
      <w:r>
        <w:fldChar w:fldCharType="separate"/>
      </w:r>
      <w:r>
        <w:rPr>
          <w:rFonts w:ascii="Times New Roman" w:hAnsi="Times New Roman" w:eastAsia="Times New Roman" w:cs="Times New Roman"/>
          <w:b/>
          <w:bCs/>
          <w:spacing w:val="-2"/>
          <w:sz w:val="24"/>
          <w:szCs w:val="24"/>
        </w:rPr>
        <w:t>2.2.1.5</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烧结</w:t>
      </w:r>
    </w:p>
    <w:p w14:paraId="06957854">
      <w:pPr>
        <w:spacing w:before="193" w:line="352" w:lineRule="auto"/>
        <w:ind w:left="8" w:firstLine="480"/>
        <w:rPr>
          <w:rFonts w:ascii="宋体" w:hAnsi="宋体" w:eastAsia="宋体" w:cs="宋体"/>
          <w:sz w:val="24"/>
          <w:szCs w:val="24"/>
        </w:rPr>
      </w:pPr>
      <w:r>
        <w:rPr>
          <w:rFonts w:ascii="宋体" w:hAnsi="宋体" w:eastAsia="宋体" w:cs="宋体"/>
          <w:spacing w:val="-6"/>
          <w:sz w:val="24"/>
          <w:szCs w:val="24"/>
        </w:rPr>
        <w:t>本项目新建设</w:t>
      </w:r>
      <w:r>
        <w:rPr>
          <w:rFonts w:ascii="宋体" w:hAnsi="宋体" w:eastAsia="宋体" w:cs="宋体"/>
          <w:spacing w:val="-32"/>
          <w:sz w:val="24"/>
          <w:szCs w:val="24"/>
        </w:rPr>
        <w:t xml:space="preserve"> </w:t>
      </w:r>
      <w:r>
        <w:rPr>
          <w:rFonts w:ascii="Times New Roman" w:hAnsi="Times New Roman" w:eastAsia="Times New Roman" w:cs="Times New Roman"/>
          <w:spacing w:val="-6"/>
          <w:sz w:val="24"/>
          <w:szCs w:val="24"/>
        </w:rPr>
        <w:t>1</w:t>
      </w:r>
      <w:r>
        <w:rPr>
          <w:rFonts w:ascii="Times New Roman" w:hAnsi="Times New Roman" w:eastAsia="Times New Roman" w:cs="Times New Roman"/>
          <w:spacing w:val="28"/>
          <w:w w:val="101"/>
          <w:sz w:val="24"/>
          <w:szCs w:val="24"/>
        </w:rPr>
        <w:t xml:space="preserve"> </w:t>
      </w:r>
      <w:r>
        <w:rPr>
          <w:rFonts w:ascii="宋体" w:hAnsi="宋体" w:eastAsia="宋体" w:cs="宋体"/>
          <w:spacing w:val="-6"/>
          <w:sz w:val="24"/>
          <w:szCs w:val="24"/>
        </w:rPr>
        <w:t>台</w:t>
      </w:r>
      <w:r>
        <w:rPr>
          <w:rFonts w:ascii="宋体" w:hAnsi="宋体" w:eastAsia="宋体" w:cs="宋体"/>
          <w:spacing w:val="-50"/>
          <w:sz w:val="24"/>
          <w:szCs w:val="24"/>
        </w:rPr>
        <w:t xml:space="preserve"> </w:t>
      </w:r>
      <w:r>
        <w:rPr>
          <w:rFonts w:ascii="Times New Roman" w:hAnsi="Times New Roman" w:eastAsia="Times New Roman" w:cs="Times New Roman"/>
          <w:spacing w:val="-6"/>
          <w:sz w:val="24"/>
          <w:szCs w:val="24"/>
        </w:rPr>
        <w:t>60m</w:t>
      </w:r>
      <w:r>
        <w:rPr>
          <w:rFonts w:ascii="Times New Roman" w:hAnsi="Times New Roman" w:eastAsia="Times New Roman" w:cs="Times New Roman"/>
          <w:spacing w:val="-6"/>
          <w:position w:val="8"/>
          <w:sz w:val="15"/>
          <w:szCs w:val="15"/>
        </w:rPr>
        <w:t>2</w:t>
      </w:r>
      <w:r>
        <w:rPr>
          <w:rFonts w:ascii="Times New Roman" w:hAnsi="Times New Roman" w:eastAsia="Times New Roman" w:cs="Times New Roman"/>
          <w:spacing w:val="15"/>
          <w:w w:val="102"/>
          <w:position w:val="8"/>
          <w:sz w:val="15"/>
          <w:szCs w:val="15"/>
        </w:rPr>
        <w:t xml:space="preserve"> </w:t>
      </w:r>
      <w:r>
        <w:rPr>
          <w:rFonts w:ascii="宋体" w:hAnsi="宋体" w:eastAsia="宋体" w:cs="宋体"/>
          <w:spacing w:val="-6"/>
          <w:sz w:val="24"/>
          <w:szCs w:val="24"/>
        </w:rPr>
        <w:t>带式烧结机，烧结机焙烧工艺流程包括布</w:t>
      </w:r>
      <w:r>
        <w:rPr>
          <w:rFonts w:ascii="宋体" w:hAnsi="宋体" w:eastAsia="宋体" w:cs="宋体"/>
          <w:spacing w:val="-7"/>
          <w:sz w:val="24"/>
          <w:szCs w:val="24"/>
        </w:rPr>
        <w:t>料、干燥、预热、</w:t>
      </w:r>
      <w:r>
        <w:rPr>
          <w:rFonts w:ascii="宋体" w:hAnsi="宋体" w:eastAsia="宋体" w:cs="宋体"/>
          <w:sz w:val="24"/>
          <w:szCs w:val="24"/>
        </w:rPr>
        <w:t xml:space="preserve"> </w:t>
      </w:r>
      <w:r>
        <w:rPr>
          <w:rFonts w:ascii="宋体" w:hAnsi="宋体" w:eastAsia="宋体" w:cs="宋体"/>
          <w:spacing w:val="-1"/>
          <w:sz w:val="24"/>
          <w:szCs w:val="24"/>
        </w:rPr>
        <w:t>焙烧及均热、冷却过程。</w:t>
      </w:r>
    </w:p>
    <w:p w14:paraId="48E523FB">
      <w:pPr>
        <w:spacing w:before="37" w:line="354" w:lineRule="auto"/>
        <w:ind w:left="17" w:right="80" w:firstLine="469"/>
        <w:rPr>
          <w:rFonts w:ascii="宋体" w:hAnsi="宋体" w:eastAsia="宋体" w:cs="宋体"/>
          <w:sz w:val="24"/>
          <w:szCs w:val="24"/>
        </w:rPr>
      </w:pPr>
      <w:r>
        <w:rPr>
          <w:rFonts w:ascii="宋体" w:hAnsi="宋体" w:eastAsia="宋体" w:cs="宋体"/>
          <w:spacing w:val="-3"/>
          <w:sz w:val="24"/>
          <w:szCs w:val="24"/>
        </w:rPr>
        <w:t>在布混合料之前，先铺一层小块烧结矿作为铺底料，其目的是保护炉篦</w:t>
      </w:r>
      <w:r>
        <w:rPr>
          <w:rFonts w:ascii="宋体" w:hAnsi="宋体" w:eastAsia="宋体" w:cs="宋体"/>
          <w:spacing w:val="-4"/>
          <w:sz w:val="24"/>
          <w:szCs w:val="24"/>
        </w:rPr>
        <w:t>，降低除尘</w:t>
      </w:r>
      <w:r>
        <w:rPr>
          <w:rFonts w:ascii="宋体" w:hAnsi="宋体" w:eastAsia="宋体" w:cs="宋体"/>
          <w:sz w:val="24"/>
          <w:szCs w:val="24"/>
        </w:rPr>
        <w:t xml:space="preserve"> </w:t>
      </w:r>
      <w:r>
        <w:rPr>
          <w:rFonts w:ascii="宋体" w:hAnsi="宋体" w:eastAsia="宋体" w:cs="宋体"/>
          <w:spacing w:val="-1"/>
          <w:sz w:val="24"/>
          <w:szCs w:val="24"/>
        </w:rPr>
        <w:t>负荷，延长风机转子寿命，减少或消除炉篦沾料。</w:t>
      </w:r>
    </w:p>
    <w:p w14:paraId="2DBCB238">
      <w:pPr>
        <w:spacing w:before="35" w:line="360" w:lineRule="auto"/>
        <w:ind w:left="9" w:right="80" w:firstLine="478"/>
        <w:rPr>
          <w:rFonts w:ascii="宋体" w:hAnsi="宋体" w:eastAsia="宋体" w:cs="宋体"/>
          <w:sz w:val="24"/>
          <w:szCs w:val="24"/>
        </w:rPr>
      </w:pPr>
      <w:r>
        <w:rPr>
          <w:rFonts w:ascii="宋体" w:hAnsi="宋体" w:eastAsia="宋体" w:cs="宋体"/>
          <w:spacing w:val="-3"/>
          <w:sz w:val="24"/>
          <w:szCs w:val="24"/>
        </w:rPr>
        <w:t>铺完底料后，随之进行布料。生料由给料系统送入烧结机内，给料系统</w:t>
      </w:r>
      <w:r>
        <w:rPr>
          <w:rFonts w:ascii="宋体" w:hAnsi="宋体" w:eastAsia="宋体" w:cs="宋体"/>
          <w:spacing w:val="-4"/>
          <w:sz w:val="24"/>
          <w:szCs w:val="24"/>
        </w:rPr>
        <w:t>由一个梭式</w:t>
      </w:r>
      <w:r>
        <w:rPr>
          <w:rFonts w:ascii="宋体" w:hAnsi="宋体" w:eastAsia="宋体" w:cs="宋体"/>
          <w:sz w:val="24"/>
          <w:szCs w:val="24"/>
        </w:rPr>
        <w:t xml:space="preserve"> </w:t>
      </w:r>
      <w:r>
        <w:rPr>
          <w:rFonts w:ascii="宋体" w:hAnsi="宋体" w:eastAsia="宋体" w:cs="宋体"/>
          <w:spacing w:val="-3"/>
          <w:sz w:val="24"/>
          <w:szCs w:val="24"/>
        </w:rPr>
        <w:t>给料机和一个装有宽带的辊式给料机组成。辊式给料机将烧结矿铺到底层炉箅上，再调</w:t>
      </w:r>
      <w:r>
        <w:rPr>
          <w:rFonts w:ascii="宋体" w:hAnsi="宋体" w:eastAsia="宋体" w:cs="宋体"/>
          <w:sz w:val="24"/>
          <w:szCs w:val="24"/>
        </w:rPr>
        <w:t xml:space="preserve"> 整系统形成生料层送入焙烧炉。底层和生料层的总厚度固定为</w:t>
      </w:r>
      <w:r>
        <w:rPr>
          <w:rFonts w:ascii="宋体" w:hAnsi="宋体" w:eastAsia="宋体" w:cs="宋体"/>
          <w:spacing w:val="-38"/>
          <w:sz w:val="24"/>
          <w:szCs w:val="24"/>
        </w:rPr>
        <w:t xml:space="preserve"> </w:t>
      </w:r>
      <w:r>
        <w:rPr>
          <w:rFonts w:ascii="Times New Roman" w:hAnsi="Times New Roman" w:eastAsia="Times New Roman" w:cs="Times New Roman"/>
          <w:sz w:val="24"/>
          <w:szCs w:val="24"/>
        </w:rPr>
        <w:t>450mm</w:t>
      </w:r>
      <w:r>
        <w:rPr>
          <w:rFonts w:ascii="Times New Roman" w:hAnsi="Times New Roman" w:eastAsia="Times New Roman" w:cs="Times New Roman"/>
          <w:spacing w:val="-30"/>
          <w:sz w:val="24"/>
          <w:szCs w:val="24"/>
        </w:rPr>
        <w:t xml:space="preserve"> </w:t>
      </w:r>
      <w:r>
        <w:rPr>
          <w:rFonts w:ascii="宋体" w:hAnsi="宋体" w:eastAsia="宋体" w:cs="宋体"/>
          <w:sz w:val="24"/>
          <w:szCs w:val="24"/>
        </w:rPr>
        <w:t xml:space="preserve">，生料层厚度大 </w:t>
      </w:r>
      <w:r>
        <w:rPr>
          <w:rFonts w:ascii="宋体" w:hAnsi="宋体" w:eastAsia="宋体" w:cs="宋体"/>
          <w:spacing w:val="-4"/>
          <w:sz w:val="24"/>
          <w:szCs w:val="24"/>
        </w:rPr>
        <w:t>约</w:t>
      </w:r>
      <w:r>
        <w:rPr>
          <w:rFonts w:ascii="宋体" w:hAnsi="宋体" w:eastAsia="宋体" w:cs="宋体"/>
          <w:spacing w:val="-40"/>
          <w:sz w:val="24"/>
          <w:szCs w:val="24"/>
        </w:rPr>
        <w:t xml:space="preserve"> </w:t>
      </w:r>
      <w:r>
        <w:rPr>
          <w:rFonts w:ascii="Times New Roman" w:hAnsi="Times New Roman" w:eastAsia="Times New Roman" w:cs="Times New Roman"/>
          <w:spacing w:val="-4"/>
          <w:sz w:val="24"/>
          <w:szCs w:val="24"/>
        </w:rPr>
        <w:t>250mm</w:t>
      </w:r>
      <w:r>
        <w:rPr>
          <w:rFonts w:ascii="Times New Roman" w:hAnsi="Times New Roman" w:eastAsia="Times New Roman" w:cs="Times New Roman"/>
          <w:spacing w:val="-31"/>
          <w:sz w:val="24"/>
          <w:szCs w:val="24"/>
        </w:rPr>
        <w:t xml:space="preserve"> </w:t>
      </w:r>
      <w:r>
        <w:rPr>
          <w:rFonts w:ascii="宋体" w:hAnsi="宋体" w:eastAsia="宋体" w:cs="宋体"/>
          <w:spacing w:val="-4"/>
          <w:sz w:val="24"/>
          <w:szCs w:val="24"/>
        </w:rPr>
        <w:t>，底层温度</w:t>
      </w:r>
      <w:r>
        <w:rPr>
          <w:rFonts w:ascii="宋体" w:hAnsi="宋体" w:eastAsia="宋体" w:cs="宋体"/>
          <w:spacing w:val="-45"/>
          <w:sz w:val="24"/>
          <w:szCs w:val="24"/>
        </w:rPr>
        <w:t xml:space="preserve"> </w:t>
      </w:r>
      <w:r>
        <w:rPr>
          <w:rFonts w:ascii="Times New Roman" w:hAnsi="Times New Roman" w:eastAsia="Times New Roman" w:cs="Times New Roman"/>
          <w:spacing w:val="-4"/>
          <w:sz w:val="24"/>
          <w:szCs w:val="24"/>
        </w:rPr>
        <w:t>80℃</w:t>
      </w:r>
      <w:r>
        <w:rPr>
          <w:rFonts w:ascii="Times New Roman" w:hAnsi="Times New Roman" w:eastAsia="Times New Roman" w:cs="Times New Roman"/>
          <w:spacing w:val="-28"/>
          <w:sz w:val="24"/>
          <w:szCs w:val="24"/>
        </w:rPr>
        <w:t xml:space="preserve"> </w:t>
      </w:r>
      <w:r>
        <w:rPr>
          <w:rFonts w:ascii="宋体" w:hAnsi="宋体" w:eastAsia="宋体" w:cs="宋体"/>
          <w:spacing w:val="-4"/>
          <w:sz w:val="24"/>
          <w:szCs w:val="24"/>
        </w:rPr>
        <w:t>。布料后进入烧结机干燥段。</w:t>
      </w:r>
    </w:p>
    <w:p w14:paraId="07040B70">
      <w:pPr>
        <w:spacing w:before="36" w:line="358" w:lineRule="auto"/>
        <w:ind w:left="7" w:right="16" w:firstLine="480"/>
        <w:rPr>
          <w:rFonts w:ascii="宋体" w:hAnsi="宋体" w:eastAsia="宋体" w:cs="宋体"/>
          <w:sz w:val="24"/>
          <w:szCs w:val="24"/>
        </w:rPr>
      </w:pPr>
      <w:r>
        <w:rPr>
          <w:rFonts w:ascii="宋体" w:hAnsi="宋体" w:eastAsia="宋体" w:cs="宋体"/>
          <w:spacing w:val="-1"/>
          <w:sz w:val="24"/>
          <w:szCs w:val="24"/>
        </w:rPr>
        <w:t>在干燥段，干燥以先鼓风、后抽风的方式，使多孔</w:t>
      </w:r>
      <w:r>
        <w:rPr>
          <w:rFonts w:ascii="宋体" w:hAnsi="宋体" w:eastAsia="宋体" w:cs="宋体"/>
          <w:spacing w:val="-2"/>
          <w:sz w:val="24"/>
          <w:szCs w:val="24"/>
        </w:rPr>
        <w:t>钢传送带上大部分脱除物理水。</w:t>
      </w:r>
      <w:r>
        <w:rPr>
          <w:rFonts w:ascii="宋体" w:hAnsi="宋体" w:eastAsia="宋体" w:cs="宋体"/>
          <w:sz w:val="24"/>
          <w:szCs w:val="24"/>
        </w:rPr>
        <w:t xml:space="preserve"> </w:t>
      </w:r>
      <w:r>
        <w:rPr>
          <w:rFonts w:ascii="宋体" w:hAnsi="宋体" w:eastAsia="宋体" w:cs="宋体"/>
          <w:spacing w:val="-3"/>
          <w:sz w:val="24"/>
          <w:szCs w:val="24"/>
        </w:rPr>
        <w:t>采用焙烧、均热废气或以冷却废气作为干燥介质，干燥后的物料进入烧结机预热段，废</w:t>
      </w:r>
      <w:r>
        <w:rPr>
          <w:rFonts w:ascii="宋体" w:hAnsi="宋体" w:eastAsia="宋体" w:cs="宋体"/>
          <w:spacing w:val="1"/>
          <w:sz w:val="24"/>
          <w:szCs w:val="24"/>
        </w:rPr>
        <w:t xml:space="preserve"> </w:t>
      </w:r>
      <w:r>
        <w:rPr>
          <w:rFonts w:ascii="宋体" w:hAnsi="宋体" w:eastAsia="宋体" w:cs="宋体"/>
          <w:spacing w:val="-1"/>
          <w:sz w:val="24"/>
          <w:szCs w:val="24"/>
        </w:rPr>
        <w:t>气进入到处理系统中。</w:t>
      </w:r>
    </w:p>
    <w:p w14:paraId="2F91B14A">
      <w:pPr>
        <w:spacing w:before="34" w:line="354" w:lineRule="auto"/>
        <w:ind w:left="14" w:right="80" w:firstLine="472"/>
        <w:rPr>
          <w:rFonts w:ascii="宋体" w:hAnsi="宋体" w:eastAsia="宋体" w:cs="宋体"/>
          <w:sz w:val="24"/>
          <w:szCs w:val="24"/>
        </w:rPr>
      </w:pPr>
      <w:r>
        <w:rPr>
          <w:rFonts w:ascii="宋体" w:hAnsi="宋体" w:eastAsia="宋体" w:cs="宋体"/>
          <w:spacing w:val="-3"/>
          <w:sz w:val="24"/>
          <w:szCs w:val="24"/>
        </w:rPr>
        <w:t>在预热段，抽入来自冷却罩或燃烧室的含氧热介质，使多孔钢传送带上</w:t>
      </w:r>
      <w:r>
        <w:rPr>
          <w:rFonts w:ascii="宋体" w:hAnsi="宋体" w:eastAsia="宋体" w:cs="宋体"/>
          <w:spacing w:val="-4"/>
          <w:sz w:val="24"/>
          <w:szCs w:val="24"/>
        </w:rPr>
        <w:t>的球层从上</w:t>
      </w:r>
      <w:r>
        <w:rPr>
          <w:rFonts w:ascii="宋体" w:hAnsi="宋体" w:eastAsia="宋体" w:cs="宋体"/>
          <w:sz w:val="24"/>
          <w:szCs w:val="24"/>
        </w:rPr>
        <w:t xml:space="preserve"> 到下逐步加热到焙烧温度，同时使烧结矿中的</w:t>
      </w:r>
      <w:r>
        <w:rPr>
          <w:rFonts w:ascii="宋体" w:hAnsi="宋体" w:eastAsia="宋体" w:cs="宋体"/>
          <w:spacing w:val="-1"/>
          <w:sz w:val="24"/>
          <w:szCs w:val="24"/>
        </w:rPr>
        <w:t>锰矿开始氧化，并进入焙烧和均热段。</w:t>
      </w:r>
    </w:p>
    <w:p w14:paraId="6F7BC9C2">
      <w:pPr>
        <w:spacing w:before="32" w:line="361" w:lineRule="auto"/>
        <w:ind w:left="8" w:right="80" w:firstLine="479"/>
        <w:rPr>
          <w:rFonts w:ascii="宋体" w:hAnsi="宋体" w:eastAsia="宋体" w:cs="宋体"/>
          <w:sz w:val="24"/>
          <w:szCs w:val="24"/>
        </w:rPr>
      </w:pPr>
      <w:r>
        <w:rPr>
          <w:rFonts w:ascii="宋体" w:hAnsi="宋体" w:eastAsia="宋体" w:cs="宋体"/>
          <w:spacing w:val="-3"/>
          <w:sz w:val="24"/>
          <w:szCs w:val="24"/>
        </w:rPr>
        <w:t>抽入来自燃烧室的</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1200~</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1300℃</w:t>
      </w:r>
      <w:r>
        <w:rPr>
          <w:rFonts w:ascii="宋体" w:hAnsi="宋体" w:eastAsia="宋体" w:cs="宋体"/>
          <w:spacing w:val="-3"/>
          <w:sz w:val="24"/>
          <w:szCs w:val="24"/>
        </w:rPr>
        <w:t>的含氧热废气，使烧结层保持高温，锰</w:t>
      </w:r>
      <w:r>
        <w:rPr>
          <w:rFonts w:ascii="宋体" w:hAnsi="宋体" w:eastAsia="宋体" w:cs="宋体"/>
          <w:spacing w:val="-4"/>
          <w:sz w:val="24"/>
          <w:szCs w:val="24"/>
        </w:rPr>
        <w:t>矿结晶和晶</w:t>
      </w:r>
      <w:r>
        <w:rPr>
          <w:rFonts w:ascii="宋体" w:hAnsi="宋体" w:eastAsia="宋体" w:cs="宋体"/>
          <w:sz w:val="24"/>
          <w:szCs w:val="24"/>
        </w:rPr>
        <w:t xml:space="preserve"> </w:t>
      </w:r>
      <w:r>
        <w:rPr>
          <w:rFonts w:ascii="宋体" w:hAnsi="宋体" w:eastAsia="宋体" w:cs="宋体"/>
          <w:spacing w:val="-2"/>
          <w:sz w:val="24"/>
          <w:szCs w:val="24"/>
        </w:rPr>
        <w:t>粒长大，亦可出现少量渣相，使生料中分散的小矿粒相互联结，出现</w:t>
      </w:r>
      <w:r>
        <w:rPr>
          <w:rFonts w:ascii="Times New Roman" w:hAnsi="Times New Roman" w:eastAsia="Times New Roman" w:cs="Times New Roman"/>
          <w:spacing w:val="-3"/>
          <w:sz w:val="24"/>
          <w:szCs w:val="24"/>
        </w:rPr>
        <w:t>“</w:t>
      </w:r>
      <w:r>
        <w:rPr>
          <w:rFonts w:ascii="宋体" w:hAnsi="宋体" w:eastAsia="宋体" w:cs="宋体"/>
          <w:spacing w:val="-3"/>
          <w:sz w:val="24"/>
          <w:szCs w:val="24"/>
        </w:rPr>
        <w:t>固结</w:t>
      </w:r>
      <w:r>
        <w:rPr>
          <w:rFonts w:ascii="Times New Roman" w:hAnsi="Times New Roman" w:eastAsia="Times New Roman" w:cs="Times New Roman"/>
          <w:spacing w:val="-3"/>
          <w:sz w:val="24"/>
          <w:szCs w:val="24"/>
        </w:rPr>
        <w:t>”</w:t>
      </w:r>
      <w:r>
        <w:rPr>
          <w:rFonts w:ascii="宋体" w:hAnsi="宋体" w:eastAsia="宋体" w:cs="宋体"/>
          <w:spacing w:val="-3"/>
          <w:sz w:val="24"/>
          <w:szCs w:val="24"/>
        </w:rPr>
        <w:t>。在焙烧后</w:t>
      </w:r>
      <w:r>
        <w:rPr>
          <w:rFonts w:ascii="宋体" w:hAnsi="宋体" w:eastAsia="宋体" w:cs="宋体"/>
          <w:sz w:val="24"/>
          <w:szCs w:val="24"/>
        </w:rPr>
        <w:t xml:space="preserve"> </w:t>
      </w:r>
      <w:r>
        <w:rPr>
          <w:rFonts w:ascii="宋体" w:hAnsi="宋体" w:eastAsia="宋体" w:cs="宋体"/>
          <w:spacing w:val="-3"/>
          <w:sz w:val="24"/>
          <w:szCs w:val="24"/>
        </w:rPr>
        <w:t>期，供给来自冷却罩的直接回流热风，靠热风及上层烧结矿自身的热量使下层物料焙烧</w:t>
      </w:r>
      <w:r>
        <w:rPr>
          <w:rFonts w:ascii="宋体" w:hAnsi="宋体" w:eastAsia="宋体" w:cs="宋体"/>
          <w:sz w:val="24"/>
          <w:szCs w:val="24"/>
        </w:rPr>
        <w:t xml:space="preserve"> </w:t>
      </w:r>
      <w:r>
        <w:rPr>
          <w:rFonts w:ascii="宋体" w:hAnsi="宋体" w:eastAsia="宋体" w:cs="宋体"/>
          <w:spacing w:val="-1"/>
          <w:sz w:val="24"/>
          <w:szCs w:val="24"/>
        </w:rPr>
        <w:t>固结，这一段又称为均热。</w:t>
      </w:r>
    </w:p>
    <w:p w14:paraId="3C6A53AC">
      <w:pPr>
        <w:spacing w:before="31" w:line="219" w:lineRule="auto"/>
        <w:ind w:left="488"/>
        <w:rPr>
          <w:rFonts w:ascii="宋体" w:hAnsi="宋体" w:eastAsia="宋体" w:cs="宋体"/>
          <w:sz w:val="24"/>
          <w:szCs w:val="24"/>
        </w:rPr>
      </w:pPr>
      <w:r>
        <w:rPr>
          <w:rFonts w:ascii="宋体" w:hAnsi="宋体" w:eastAsia="宋体" w:cs="宋体"/>
          <w:spacing w:val="-3"/>
          <w:sz w:val="24"/>
          <w:szCs w:val="24"/>
        </w:rPr>
        <w:t>焙烧均热之后，进入冷却段，冷却段分为两段。在一冷段由多孔钢传</w:t>
      </w:r>
      <w:r>
        <w:rPr>
          <w:rFonts w:ascii="宋体" w:hAnsi="宋体" w:eastAsia="宋体" w:cs="宋体"/>
          <w:spacing w:val="-4"/>
          <w:sz w:val="24"/>
          <w:szCs w:val="24"/>
        </w:rPr>
        <w:t>送带下部风箱</w:t>
      </w:r>
    </w:p>
    <w:p w14:paraId="679A87BF">
      <w:pPr>
        <w:spacing w:line="219" w:lineRule="auto"/>
        <w:rPr>
          <w:rFonts w:ascii="宋体" w:hAnsi="宋体" w:eastAsia="宋体" w:cs="宋体"/>
          <w:sz w:val="24"/>
          <w:szCs w:val="24"/>
        </w:rPr>
        <w:sectPr>
          <w:headerReference r:id="rId110" w:type="default"/>
          <w:footerReference r:id="rId111" w:type="default"/>
          <w:pgSz w:w="11850" w:h="16781"/>
          <w:pgMar w:top="1178" w:right="1336" w:bottom="1013" w:left="1417" w:header="870" w:footer="850" w:gutter="0"/>
          <w:cols w:space="720" w:num="1"/>
        </w:sectPr>
      </w:pPr>
    </w:p>
    <w:p w14:paraId="71054128">
      <w:pPr>
        <w:pStyle w:val="2"/>
        <w:spacing w:line="277" w:lineRule="auto"/>
      </w:pPr>
      <w:r>
        <w:pict>
          <v:shape id="_x0000_s1165" o:spid="_x0000_s1165" style="position:absolute;left:0pt;margin-left:0pt;margin-top:0.75pt;height:0.75pt;width:450.75pt;z-index:251823104;mso-width-relative:page;mso-height-relative:page;" fillcolor="#000000" filled="t" stroked="f" coordsize="9015,15" path="m0,0l9014,0,9014,14,0,14,0,0xe">
            <v:path/>
            <v:fill on="t" focussize="0,0"/>
            <v:stroke on="f"/>
            <v:imagedata o:title=""/>
            <o:lock v:ext="edit"/>
          </v:shape>
        </w:pict>
      </w:r>
    </w:p>
    <w:p w14:paraId="053B8791">
      <w:pPr>
        <w:spacing w:before="78" w:line="358" w:lineRule="auto"/>
        <w:ind w:left="8" w:right="80" w:firstLine="1"/>
        <w:rPr>
          <w:rFonts w:ascii="宋体" w:hAnsi="宋体" w:eastAsia="宋体" w:cs="宋体"/>
          <w:sz w:val="24"/>
          <w:szCs w:val="24"/>
        </w:rPr>
      </w:pPr>
      <w:r>
        <w:rPr>
          <w:rFonts w:ascii="宋体" w:hAnsi="宋体" w:eastAsia="宋体" w:cs="宋体"/>
          <w:sz w:val="24"/>
          <w:szCs w:val="24"/>
        </w:rPr>
        <w:t>鼓入冷风，将烧结矿冷却</w:t>
      </w:r>
      <w:r>
        <w:rPr>
          <w:rFonts w:ascii="宋体" w:hAnsi="宋体" w:eastAsia="宋体" w:cs="宋体"/>
          <w:spacing w:val="-48"/>
          <w:sz w:val="24"/>
          <w:szCs w:val="24"/>
        </w:rPr>
        <w:t xml:space="preserve"> </w:t>
      </w:r>
      <w:r>
        <w:rPr>
          <w:rFonts w:ascii="Times New Roman" w:hAnsi="Times New Roman" w:eastAsia="Times New Roman" w:cs="Times New Roman"/>
          <w:sz w:val="24"/>
          <w:szCs w:val="24"/>
        </w:rPr>
        <w:t>650℃</w:t>
      </w:r>
      <w:r>
        <w:rPr>
          <w:rFonts w:ascii="宋体" w:hAnsi="宋体" w:eastAsia="宋体" w:cs="宋体"/>
          <w:sz w:val="24"/>
          <w:szCs w:val="24"/>
        </w:rPr>
        <w:t>后进入二冷段，被冷却到适于运</w:t>
      </w:r>
      <w:r>
        <w:rPr>
          <w:rFonts w:ascii="宋体" w:hAnsi="宋体" w:eastAsia="宋体" w:cs="宋体"/>
          <w:spacing w:val="-1"/>
          <w:sz w:val="24"/>
          <w:szCs w:val="24"/>
        </w:rPr>
        <w:t>输的温度（</w:t>
      </w:r>
      <w:r>
        <w:rPr>
          <w:rFonts w:ascii="Times New Roman" w:hAnsi="Times New Roman" w:eastAsia="Times New Roman" w:cs="Times New Roman"/>
          <w:spacing w:val="-1"/>
          <w:sz w:val="24"/>
          <w:szCs w:val="24"/>
        </w:rPr>
        <w:t>100℃</w:t>
      </w:r>
      <w:r>
        <w:rPr>
          <w:rFonts w:ascii="宋体" w:hAnsi="宋体" w:eastAsia="宋体" w:cs="宋体"/>
          <w:spacing w:val="-1"/>
          <w:sz w:val="24"/>
          <w:szCs w:val="24"/>
        </w:rPr>
        <w:t>)</w:t>
      </w:r>
      <w:r>
        <w:rPr>
          <w:rFonts w:ascii="宋体" w:hAnsi="宋体" w:eastAsia="宋体" w:cs="宋体"/>
          <w:spacing w:val="52"/>
          <w:sz w:val="24"/>
          <w:szCs w:val="24"/>
        </w:rPr>
        <w:t xml:space="preserve"> </w:t>
      </w:r>
      <w:r>
        <w:rPr>
          <w:rFonts w:ascii="宋体" w:hAnsi="宋体" w:eastAsia="宋体" w:cs="宋体"/>
          <w:spacing w:val="-1"/>
          <w:sz w:val="24"/>
          <w:szCs w:val="24"/>
        </w:rPr>
        <w:t>。</w:t>
      </w:r>
      <w:r>
        <w:rPr>
          <w:rFonts w:ascii="宋体" w:hAnsi="宋体" w:eastAsia="宋体" w:cs="宋体"/>
          <w:sz w:val="24"/>
          <w:szCs w:val="24"/>
        </w:rPr>
        <w:t xml:space="preserve"> 一冷段被加热的空气（约</w:t>
      </w:r>
      <w:r>
        <w:rPr>
          <w:rFonts w:ascii="Times New Roman" w:hAnsi="Times New Roman" w:eastAsia="Times New Roman" w:cs="Times New Roman"/>
          <w:sz w:val="24"/>
          <w:szCs w:val="24"/>
        </w:rPr>
        <w:t>750℃</w:t>
      </w:r>
      <w:r>
        <w:rPr>
          <w:rFonts w:ascii="宋体" w:hAnsi="宋体" w:eastAsia="宋体" w:cs="宋体"/>
          <w:sz w:val="24"/>
          <w:szCs w:val="24"/>
        </w:rPr>
        <w:t xml:space="preserve">) 用作预热、均热介质和燃烧室助燃二次风；二冷段被 </w:t>
      </w:r>
      <w:r>
        <w:rPr>
          <w:rFonts w:ascii="宋体" w:hAnsi="宋体" w:eastAsia="宋体" w:cs="宋体"/>
          <w:spacing w:val="1"/>
          <w:sz w:val="24"/>
          <w:szCs w:val="24"/>
        </w:rPr>
        <w:t>加热的空气（约</w:t>
      </w:r>
      <w:r>
        <w:rPr>
          <w:rFonts w:ascii="Times New Roman" w:hAnsi="Times New Roman" w:eastAsia="Times New Roman" w:cs="Times New Roman"/>
          <w:spacing w:val="1"/>
          <w:sz w:val="24"/>
          <w:szCs w:val="24"/>
        </w:rPr>
        <w:t>300℃</w:t>
      </w:r>
      <w:r>
        <w:rPr>
          <w:rFonts w:ascii="宋体" w:hAnsi="宋体" w:eastAsia="宋体" w:cs="宋体"/>
          <w:spacing w:val="1"/>
          <w:sz w:val="24"/>
          <w:szCs w:val="24"/>
        </w:rPr>
        <w:t>) 用作干燥介质。经过冷却后的烧结矿从机尾部卸出。</w:t>
      </w:r>
    </w:p>
    <w:p w14:paraId="0D24B274">
      <w:pPr>
        <w:spacing w:before="36" w:line="357" w:lineRule="auto"/>
        <w:ind w:left="7" w:right="80" w:firstLine="480"/>
        <w:rPr>
          <w:rFonts w:ascii="宋体" w:hAnsi="宋体" w:eastAsia="宋体" w:cs="宋体"/>
          <w:sz w:val="24"/>
          <w:szCs w:val="24"/>
        </w:rPr>
      </w:pPr>
      <w:r>
        <w:rPr>
          <w:rFonts w:ascii="宋体" w:hAnsi="宋体" w:eastAsia="宋体" w:cs="宋体"/>
          <w:sz w:val="24"/>
          <w:szCs w:val="24"/>
        </w:rPr>
        <w:t>烧结矿从烧结机尾部卸出后，经破碎、筛分处理，合格烧结矿（粒径</w:t>
      </w:r>
      <w:r>
        <w:rPr>
          <w:rFonts w:ascii="宋体" w:hAnsi="宋体" w:eastAsia="宋体" w:cs="宋体"/>
          <w:spacing w:val="-19"/>
          <w:sz w:val="24"/>
          <w:szCs w:val="24"/>
        </w:rPr>
        <w:t xml:space="preserve"> </w:t>
      </w:r>
      <w:r>
        <w:rPr>
          <w:rFonts w:ascii="Times New Roman" w:hAnsi="Times New Roman" w:eastAsia="Times New Roman" w:cs="Times New Roman"/>
          <w:sz w:val="24"/>
          <w:szCs w:val="24"/>
        </w:rPr>
        <w:t>10~50mm</w:t>
      </w:r>
      <w:r>
        <w:rPr>
          <w:rFonts w:ascii="宋体" w:hAnsi="宋体" w:eastAsia="宋体" w:cs="宋体"/>
          <w:sz w:val="24"/>
          <w:szCs w:val="24"/>
        </w:rPr>
        <w:t xml:space="preserve">） </w:t>
      </w:r>
      <w:r>
        <w:rPr>
          <w:rFonts w:ascii="宋体" w:hAnsi="宋体" w:eastAsia="宋体" w:cs="宋体"/>
          <w:spacing w:val="-2"/>
          <w:sz w:val="24"/>
          <w:szCs w:val="24"/>
        </w:rPr>
        <w:t>经皮带输送到原料堆棚内暂存，不合格烧结矿（粒</w:t>
      </w:r>
      <w:r>
        <w:rPr>
          <w:rFonts w:ascii="宋体" w:hAnsi="宋体" w:eastAsia="宋体" w:cs="宋体"/>
          <w:spacing w:val="-3"/>
          <w:sz w:val="24"/>
          <w:szCs w:val="24"/>
        </w:rPr>
        <w:t>径小于</w:t>
      </w:r>
      <w:r>
        <w:rPr>
          <w:rFonts w:ascii="宋体" w:hAnsi="宋体" w:eastAsia="宋体" w:cs="宋体"/>
          <w:spacing w:val="-31"/>
          <w:sz w:val="24"/>
          <w:szCs w:val="24"/>
        </w:rPr>
        <w:t xml:space="preserve"> </w:t>
      </w:r>
      <w:r>
        <w:rPr>
          <w:rFonts w:ascii="Times New Roman" w:hAnsi="Times New Roman" w:eastAsia="Times New Roman" w:cs="Times New Roman"/>
          <w:spacing w:val="-3"/>
          <w:sz w:val="24"/>
          <w:szCs w:val="24"/>
        </w:rPr>
        <w:t>10mm</w:t>
      </w:r>
      <w:r>
        <w:rPr>
          <w:rFonts w:ascii="宋体" w:hAnsi="宋体" w:eastAsia="宋体" w:cs="宋体"/>
          <w:spacing w:val="-3"/>
          <w:sz w:val="24"/>
          <w:szCs w:val="24"/>
        </w:rPr>
        <w:t>）经分级机分出经皮带</w:t>
      </w:r>
      <w:r>
        <w:rPr>
          <w:rFonts w:ascii="宋体" w:hAnsi="宋体" w:eastAsia="宋体" w:cs="宋体"/>
          <w:sz w:val="24"/>
          <w:szCs w:val="24"/>
        </w:rPr>
        <w:t xml:space="preserve"> </w:t>
      </w:r>
      <w:r>
        <w:rPr>
          <w:rFonts w:ascii="宋体" w:hAnsi="宋体" w:eastAsia="宋体" w:cs="宋体"/>
          <w:spacing w:val="-1"/>
          <w:sz w:val="24"/>
          <w:szCs w:val="24"/>
        </w:rPr>
        <w:t>输送机返回烧结配料系统。</w:t>
      </w:r>
    </w:p>
    <w:p w14:paraId="657DF7CF">
      <w:pPr>
        <w:spacing w:before="37" w:line="354" w:lineRule="auto"/>
        <w:ind w:left="487" w:right="6992"/>
        <w:rPr>
          <w:rFonts w:ascii="宋体" w:hAnsi="宋体" w:eastAsia="宋体" w:cs="宋体"/>
          <w:sz w:val="24"/>
          <w:szCs w:val="24"/>
        </w:rPr>
      </w:pPr>
      <w:r>
        <w:rPr>
          <w:rFonts w:ascii="宋体" w:hAnsi="宋体" w:eastAsia="宋体" w:cs="宋体"/>
          <w:b/>
          <w:bCs/>
          <w:spacing w:val="-12"/>
          <w:sz w:val="24"/>
          <w:szCs w:val="24"/>
        </w:rPr>
        <w:t>产污环节分析：</w:t>
      </w:r>
      <w:r>
        <w:rPr>
          <w:rFonts w:ascii="宋体" w:hAnsi="宋体" w:eastAsia="宋体" w:cs="宋体"/>
          <w:sz w:val="24"/>
          <w:szCs w:val="24"/>
        </w:rPr>
        <w:t xml:space="preserve"> </w:t>
      </w:r>
      <w:r>
        <w:rPr>
          <w:rFonts w:ascii="宋体" w:hAnsi="宋体" w:eastAsia="宋体" w:cs="宋体"/>
          <w:b/>
          <w:bCs/>
          <w:spacing w:val="-6"/>
          <w:sz w:val="24"/>
          <w:szCs w:val="24"/>
        </w:rPr>
        <w:t>废气：</w:t>
      </w:r>
    </w:p>
    <w:p w14:paraId="609CB81B">
      <w:pPr>
        <w:spacing w:before="32" w:line="330" w:lineRule="auto"/>
        <w:ind w:left="10" w:right="80" w:firstLine="477"/>
        <w:rPr>
          <w:rFonts w:ascii="宋体" w:hAnsi="宋体" w:eastAsia="宋体" w:cs="宋体"/>
          <w:sz w:val="24"/>
          <w:szCs w:val="24"/>
        </w:rPr>
      </w:pPr>
      <w:r>
        <w:rPr>
          <w:rFonts w:ascii="宋体" w:hAnsi="宋体" w:eastAsia="宋体" w:cs="宋体"/>
          <w:sz w:val="24"/>
          <w:szCs w:val="24"/>
        </w:rPr>
        <w:t>①烧结机头废气（</w:t>
      </w:r>
      <w:r>
        <w:rPr>
          <w:rFonts w:ascii="Times New Roman" w:hAnsi="Times New Roman" w:eastAsia="Times New Roman" w:cs="Times New Roman"/>
          <w:sz w:val="24"/>
          <w:szCs w:val="24"/>
        </w:rPr>
        <w:t>G</w:t>
      </w:r>
      <w:r>
        <w:rPr>
          <w:rFonts w:ascii="Times New Roman" w:hAnsi="Times New Roman" w:eastAsia="Times New Roman" w:cs="Times New Roman"/>
          <w:position w:val="-1"/>
          <w:sz w:val="15"/>
          <w:szCs w:val="15"/>
        </w:rPr>
        <w:t xml:space="preserve">1-6 </w:t>
      </w:r>
      <w:r>
        <w:rPr>
          <w:rFonts w:ascii="宋体" w:hAnsi="宋体" w:eastAsia="宋体" w:cs="宋体"/>
          <w:spacing w:val="-15"/>
          <w:sz w:val="24"/>
          <w:szCs w:val="24"/>
        </w:rPr>
        <w:t>）：</w:t>
      </w:r>
      <w:r>
        <w:rPr>
          <w:rFonts w:ascii="宋体" w:hAnsi="宋体" w:eastAsia="宋体" w:cs="宋体"/>
          <w:sz w:val="24"/>
          <w:szCs w:val="24"/>
        </w:rPr>
        <w:t>烧结机布料、点火燃</w:t>
      </w:r>
      <w:r>
        <w:rPr>
          <w:rFonts w:ascii="宋体" w:hAnsi="宋体" w:eastAsia="宋体" w:cs="宋体"/>
          <w:spacing w:val="-1"/>
          <w:sz w:val="24"/>
          <w:szCs w:val="24"/>
        </w:rPr>
        <w:t>烧后，烧结主抽风机从烧结机台车</w:t>
      </w:r>
      <w:r>
        <w:rPr>
          <w:rFonts w:ascii="宋体" w:hAnsi="宋体" w:eastAsia="宋体" w:cs="宋体"/>
          <w:spacing w:val="1"/>
          <w:sz w:val="24"/>
          <w:szCs w:val="24"/>
        </w:rPr>
        <w:t xml:space="preserve"> </w:t>
      </w:r>
      <w:r>
        <w:rPr>
          <w:rFonts w:ascii="宋体" w:hAnsi="宋体" w:eastAsia="宋体" w:cs="宋体"/>
          <w:spacing w:val="-3"/>
          <w:sz w:val="24"/>
          <w:szCs w:val="24"/>
        </w:rPr>
        <w:t>下篦条下风部强制抽风，通过烧结料的燃料燃烧，使烧结料层高温后局部熔化，冷</w:t>
      </w:r>
      <w:r>
        <w:rPr>
          <w:rFonts w:ascii="宋体" w:hAnsi="宋体" w:eastAsia="宋体" w:cs="宋体"/>
          <w:spacing w:val="-4"/>
          <w:sz w:val="24"/>
          <w:szCs w:val="24"/>
        </w:rPr>
        <w:t>却结</w:t>
      </w:r>
      <w:r>
        <w:rPr>
          <w:rFonts w:ascii="宋体" w:hAnsi="宋体" w:eastAsia="宋体" w:cs="宋体"/>
          <w:sz w:val="24"/>
          <w:szCs w:val="24"/>
        </w:rPr>
        <w:t xml:space="preserve"> </w:t>
      </w:r>
      <w:r>
        <w:rPr>
          <w:rFonts w:ascii="宋体" w:hAnsi="宋体" w:eastAsia="宋体" w:cs="宋体"/>
          <w:spacing w:val="-4"/>
          <w:sz w:val="24"/>
          <w:szCs w:val="24"/>
        </w:rPr>
        <w:t>成多孔块状烧结矿，烧结机烧结过程中产生的废气从烧结机机头排出，配置</w:t>
      </w:r>
      <w:r>
        <w:rPr>
          <w:rFonts w:ascii="宋体" w:hAnsi="宋体" w:eastAsia="宋体" w:cs="宋体"/>
          <w:spacing w:val="-20"/>
          <w:sz w:val="24"/>
          <w:szCs w:val="24"/>
        </w:rPr>
        <w:t xml:space="preserve"> </w:t>
      </w:r>
      <w:r>
        <w:rPr>
          <w:rFonts w:ascii="Times New Roman" w:hAnsi="Times New Roman" w:eastAsia="Times New Roman" w:cs="Times New Roman"/>
          <w:spacing w:val="-4"/>
          <w:sz w:val="24"/>
          <w:szCs w:val="24"/>
        </w:rPr>
        <w:t xml:space="preserve">1 </w:t>
      </w:r>
      <w:r>
        <w:rPr>
          <w:rFonts w:ascii="宋体" w:hAnsi="宋体" w:eastAsia="宋体" w:cs="宋体"/>
          <w:spacing w:val="-4"/>
          <w:sz w:val="24"/>
          <w:szCs w:val="24"/>
        </w:rPr>
        <w:t>套旋风除</w:t>
      </w:r>
      <w:r>
        <w:rPr>
          <w:rFonts w:ascii="宋体" w:hAnsi="宋体" w:eastAsia="宋体" w:cs="宋体"/>
          <w:sz w:val="24"/>
          <w:szCs w:val="24"/>
        </w:rPr>
        <w:t xml:space="preserve"> </w:t>
      </w:r>
      <w:r>
        <w:rPr>
          <w:rFonts w:ascii="宋体" w:hAnsi="宋体" w:eastAsia="宋体" w:cs="宋体"/>
          <w:spacing w:val="-1"/>
          <w:sz w:val="24"/>
          <w:szCs w:val="24"/>
        </w:rPr>
        <w:t>尘器</w:t>
      </w:r>
      <w:r>
        <w:rPr>
          <w:rFonts w:ascii="Times New Roman" w:hAnsi="Times New Roman" w:eastAsia="Times New Roman" w:cs="Times New Roman"/>
          <w:spacing w:val="-1"/>
          <w:sz w:val="24"/>
          <w:szCs w:val="24"/>
        </w:rPr>
        <w:t>+</w:t>
      </w:r>
      <w:r>
        <w:rPr>
          <w:rFonts w:ascii="宋体" w:hAnsi="宋体" w:eastAsia="宋体" w:cs="宋体"/>
          <w:spacing w:val="-1"/>
          <w:sz w:val="24"/>
          <w:szCs w:val="24"/>
        </w:rPr>
        <w:t>耐高温布袋除尘器</w:t>
      </w:r>
      <w:r>
        <w:rPr>
          <w:rFonts w:ascii="Times New Roman" w:hAnsi="Times New Roman" w:eastAsia="Times New Roman" w:cs="Times New Roman"/>
          <w:spacing w:val="-1"/>
          <w:sz w:val="24"/>
          <w:szCs w:val="24"/>
        </w:rPr>
        <w:t>+</w:t>
      </w:r>
      <w:r>
        <w:rPr>
          <w:rFonts w:ascii="宋体" w:hAnsi="宋体" w:eastAsia="宋体" w:cs="宋体"/>
          <w:spacing w:val="-1"/>
          <w:sz w:val="24"/>
          <w:szCs w:val="24"/>
        </w:rPr>
        <w:t>石灰石</w:t>
      </w:r>
      <w:r>
        <w:rPr>
          <w:rFonts w:ascii="Times New Roman" w:hAnsi="Times New Roman" w:eastAsia="Times New Roman" w:cs="Times New Roman"/>
          <w:spacing w:val="-1"/>
          <w:sz w:val="24"/>
          <w:szCs w:val="24"/>
        </w:rPr>
        <w:t>-</w:t>
      </w:r>
      <w:r>
        <w:rPr>
          <w:rFonts w:ascii="宋体" w:hAnsi="宋体" w:eastAsia="宋体" w:cs="宋体"/>
          <w:spacing w:val="-1"/>
          <w:sz w:val="24"/>
          <w:szCs w:val="24"/>
        </w:rPr>
        <w:t>石膏脱硫塔进行处理。</w:t>
      </w:r>
    </w:p>
    <w:p w14:paraId="79E6315A">
      <w:pPr>
        <w:spacing w:before="191" w:line="293" w:lineRule="auto"/>
        <w:ind w:left="10" w:right="80" w:firstLine="476"/>
        <w:rPr>
          <w:rFonts w:ascii="宋体" w:hAnsi="宋体" w:eastAsia="宋体" w:cs="宋体"/>
          <w:sz w:val="24"/>
          <w:szCs w:val="24"/>
        </w:rPr>
      </w:pPr>
      <w:r>
        <w:rPr>
          <w:rFonts w:ascii="宋体" w:hAnsi="宋体" w:eastAsia="宋体" w:cs="宋体"/>
          <w:sz w:val="24"/>
          <w:szCs w:val="24"/>
        </w:rPr>
        <w:t>②烧结机尾粉尘（</w:t>
      </w:r>
      <w:r>
        <w:rPr>
          <w:rFonts w:ascii="Times New Roman" w:hAnsi="Times New Roman" w:eastAsia="Times New Roman" w:cs="Times New Roman"/>
          <w:sz w:val="24"/>
          <w:szCs w:val="24"/>
        </w:rPr>
        <w:t>G</w:t>
      </w:r>
      <w:r>
        <w:rPr>
          <w:rFonts w:ascii="Times New Roman" w:hAnsi="Times New Roman" w:eastAsia="Times New Roman" w:cs="Times New Roman"/>
          <w:position w:val="-1"/>
          <w:sz w:val="15"/>
          <w:szCs w:val="15"/>
        </w:rPr>
        <w:t xml:space="preserve">1-7 </w:t>
      </w:r>
      <w:r>
        <w:rPr>
          <w:rFonts w:ascii="宋体" w:hAnsi="宋体" w:eastAsia="宋体" w:cs="宋体"/>
          <w:spacing w:val="-15"/>
          <w:sz w:val="24"/>
          <w:szCs w:val="24"/>
        </w:rPr>
        <w:t>）：</w:t>
      </w:r>
      <w:r>
        <w:rPr>
          <w:rFonts w:ascii="宋体" w:hAnsi="宋体" w:eastAsia="宋体" w:cs="宋体"/>
          <w:sz w:val="24"/>
          <w:szCs w:val="24"/>
        </w:rPr>
        <w:t>烧结机头部、尾部与冷</w:t>
      </w:r>
      <w:r>
        <w:rPr>
          <w:rFonts w:ascii="宋体" w:hAnsi="宋体" w:eastAsia="宋体" w:cs="宋体"/>
          <w:spacing w:val="-1"/>
          <w:sz w:val="24"/>
          <w:szCs w:val="24"/>
        </w:rPr>
        <w:t>却段的给、卸料以及烧结矿破碎</w:t>
      </w:r>
      <w:r>
        <w:rPr>
          <w:rFonts w:ascii="宋体" w:hAnsi="宋体" w:eastAsia="宋体" w:cs="宋体"/>
          <w:spacing w:val="1"/>
          <w:sz w:val="24"/>
          <w:szCs w:val="24"/>
        </w:rPr>
        <w:t xml:space="preserve"> </w:t>
      </w:r>
      <w:r>
        <w:rPr>
          <w:rFonts w:ascii="宋体" w:hAnsi="宋体" w:eastAsia="宋体" w:cs="宋体"/>
          <w:spacing w:val="-1"/>
          <w:sz w:val="24"/>
          <w:szCs w:val="24"/>
        </w:rPr>
        <w:t>筛分过程中会产生粉尘排放，配置</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 xml:space="preserve">1 </w:t>
      </w:r>
      <w:r>
        <w:rPr>
          <w:rFonts w:ascii="宋体" w:hAnsi="宋体" w:eastAsia="宋体" w:cs="宋体"/>
          <w:spacing w:val="-1"/>
          <w:sz w:val="24"/>
          <w:szCs w:val="24"/>
        </w:rPr>
        <w:t>套旋风除尘器</w:t>
      </w:r>
      <w:r>
        <w:rPr>
          <w:rFonts w:ascii="Times New Roman" w:hAnsi="Times New Roman" w:eastAsia="Times New Roman" w:cs="Times New Roman"/>
          <w:spacing w:val="-1"/>
          <w:sz w:val="24"/>
          <w:szCs w:val="24"/>
        </w:rPr>
        <w:t>+</w:t>
      </w:r>
      <w:r>
        <w:rPr>
          <w:rFonts w:ascii="宋体" w:hAnsi="宋体" w:eastAsia="宋体" w:cs="宋体"/>
          <w:spacing w:val="-1"/>
          <w:sz w:val="24"/>
          <w:szCs w:val="24"/>
        </w:rPr>
        <w:t>布袋除尘器</w:t>
      </w:r>
      <w:r>
        <w:rPr>
          <w:rFonts w:ascii="宋体" w:hAnsi="宋体" w:eastAsia="宋体" w:cs="宋体"/>
          <w:spacing w:val="-2"/>
          <w:sz w:val="24"/>
          <w:szCs w:val="24"/>
        </w:rPr>
        <w:t>进行处理。</w:t>
      </w:r>
    </w:p>
    <w:p w14:paraId="7EFF1756">
      <w:pPr>
        <w:spacing w:before="194" w:line="354" w:lineRule="auto"/>
        <w:ind w:left="13" w:right="82" w:firstLine="474"/>
        <w:rPr>
          <w:rFonts w:ascii="宋体" w:hAnsi="宋体" w:eastAsia="宋体" w:cs="宋体"/>
          <w:sz w:val="24"/>
          <w:szCs w:val="24"/>
        </w:rPr>
      </w:pPr>
      <w:r>
        <w:rPr>
          <w:rFonts w:ascii="宋体" w:hAnsi="宋体" w:eastAsia="宋体" w:cs="宋体"/>
          <w:b/>
          <w:bCs/>
          <w:spacing w:val="-2"/>
          <w:sz w:val="24"/>
          <w:szCs w:val="24"/>
        </w:rPr>
        <w:t>废水：</w:t>
      </w:r>
      <w:r>
        <w:rPr>
          <w:rFonts w:ascii="宋体" w:hAnsi="宋体" w:eastAsia="宋体" w:cs="宋体"/>
          <w:spacing w:val="-2"/>
          <w:sz w:val="24"/>
          <w:szCs w:val="24"/>
        </w:rPr>
        <w:t>烧结机头废气脱硫系统运行中会有脱硫废水（</w:t>
      </w:r>
      <w:r>
        <w:rPr>
          <w:rFonts w:ascii="Times New Roman" w:hAnsi="Times New Roman" w:eastAsia="Times New Roman" w:cs="Times New Roman"/>
          <w:spacing w:val="-2"/>
          <w:sz w:val="24"/>
          <w:szCs w:val="24"/>
        </w:rPr>
        <w:t>W</w:t>
      </w:r>
      <w:r>
        <w:rPr>
          <w:rFonts w:ascii="Times New Roman" w:hAnsi="Times New Roman" w:eastAsia="Times New Roman" w:cs="Times New Roman"/>
          <w:spacing w:val="-2"/>
          <w:sz w:val="15"/>
          <w:szCs w:val="15"/>
        </w:rPr>
        <w:t>1-</w:t>
      </w:r>
      <w:r>
        <w:rPr>
          <w:rFonts w:ascii="Times New Roman" w:hAnsi="Times New Roman" w:eastAsia="Times New Roman" w:cs="Times New Roman"/>
          <w:spacing w:val="-21"/>
          <w:sz w:val="15"/>
          <w:szCs w:val="15"/>
        </w:rPr>
        <w:t xml:space="preserve"> </w:t>
      </w:r>
      <w:r>
        <w:rPr>
          <w:rFonts w:ascii="Times New Roman" w:hAnsi="Times New Roman" w:eastAsia="Times New Roman" w:cs="Times New Roman"/>
          <w:spacing w:val="-2"/>
          <w:sz w:val="15"/>
          <w:szCs w:val="15"/>
        </w:rPr>
        <w:t>1</w:t>
      </w:r>
      <w:r>
        <w:rPr>
          <w:rFonts w:ascii="宋体" w:hAnsi="宋体" w:eastAsia="宋体" w:cs="宋体"/>
          <w:spacing w:val="-2"/>
          <w:sz w:val="24"/>
          <w:szCs w:val="24"/>
        </w:rPr>
        <w:t>）</w:t>
      </w:r>
      <w:r>
        <w:rPr>
          <w:rFonts w:ascii="宋体" w:hAnsi="宋体" w:eastAsia="宋体" w:cs="宋体"/>
          <w:spacing w:val="-3"/>
          <w:sz w:val="24"/>
          <w:szCs w:val="24"/>
        </w:rPr>
        <w:t>产生，采用三联箱工艺</w:t>
      </w:r>
      <w:r>
        <w:rPr>
          <w:rFonts w:ascii="宋体" w:hAnsi="宋体" w:eastAsia="宋体" w:cs="宋体"/>
          <w:sz w:val="24"/>
          <w:szCs w:val="24"/>
        </w:rPr>
        <w:t xml:space="preserve"> </w:t>
      </w:r>
      <w:r>
        <w:rPr>
          <w:rFonts w:ascii="宋体" w:hAnsi="宋体" w:eastAsia="宋体" w:cs="宋体"/>
          <w:spacing w:val="-1"/>
          <w:sz w:val="24"/>
          <w:szCs w:val="24"/>
        </w:rPr>
        <w:t>处理后作为浊循环水系统补充水。</w:t>
      </w:r>
    </w:p>
    <w:p w14:paraId="76A6843F">
      <w:pPr>
        <w:spacing w:before="32" w:line="220" w:lineRule="auto"/>
        <w:ind w:left="508"/>
        <w:rPr>
          <w:rFonts w:ascii="宋体" w:hAnsi="宋体" w:eastAsia="宋体" w:cs="宋体"/>
          <w:sz w:val="24"/>
          <w:szCs w:val="24"/>
        </w:rPr>
      </w:pPr>
      <w:r>
        <w:rPr>
          <w:rFonts w:ascii="宋体" w:hAnsi="宋体" w:eastAsia="宋体" w:cs="宋体"/>
          <w:b/>
          <w:bCs/>
          <w:spacing w:val="-13"/>
          <w:sz w:val="24"/>
          <w:szCs w:val="24"/>
        </w:rPr>
        <w:t>固废：</w:t>
      </w:r>
    </w:p>
    <w:p w14:paraId="4A06AE1A">
      <w:pPr>
        <w:spacing w:before="191" w:line="293" w:lineRule="auto"/>
        <w:ind w:left="14" w:firstLine="473"/>
        <w:rPr>
          <w:rFonts w:ascii="宋体" w:hAnsi="宋体" w:eastAsia="宋体" w:cs="宋体"/>
          <w:sz w:val="24"/>
          <w:szCs w:val="24"/>
        </w:rPr>
      </w:pPr>
      <w:r>
        <w:rPr>
          <w:rFonts w:ascii="宋体" w:hAnsi="宋体" w:eastAsia="宋体" w:cs="宋体"/>
          <w:spacing w:val="-1"/>
          <w:sz w:val="24"/>
          <w:szCs w:val="24"/>
        </w:rPr>
        <w:t>①废耐火材料（</w:t>
      </w:r>
      <w:r>
        <w:rPr>
          <w:rFonts w:ascii="Times New Roman" w:hAnsi="Times New Roman" w:eastAsia="Times New Roman" w:cs="Times New Roman"/>
          <w:spacing w:val="-1"/>
          <w:sz w:val="24"/>
          <w:szCs w:val="24"/>
        </w:rPr>
        <w:t>S</w:t>
      </w:r>
      <w:r>
        <w:rPr>
          <w:rFonts w:ascii="Times New Roman" w:hAnsi="Times New Roman" w:eastAsia="Times New Roman" w:cs="Times New Roman"/>
          <w:spacing w:val="-1"/>
          <w:position w:val="-1"/>
          <w:sz w:val="15"/>
          <w:szCs w:val="15"/>
        </w:rPr>
        <w:t xml:space="preserve">1-3 </w:t>
      </w:r>
      <w:r>
        <w:rPr>
          <w:rFonts w:ascii="宋体" w:hAnsi="宋体" w:eastAsia="宋体" w:cs="宋体"/>
          <w:spacing w:val="-22"/>
          <w:sz w:val="24"/>
          <w:szCs w:val="24"/>
        </w:rPr>
        <w:t>）：</w:t>
      </w:r>
      <w:r>
        <w:rPr>
          <w:rFonts w:ascii="宋体" w:hAnsi="宋体" w:eastAsia="宋体" w:cs="宋体"/>
          <w:spacing w:val="-1"/>
          <w:sz w:val="24"/>
          <w:szCs w:val="24"/>
        </w:rPr>
        <w:t>烧结机各部位的耐火材料正常使用周期为</w:t>
      </w:r>
      <w:r>
        <w:rPr>
          <w:rFonts w:ascii="宋体" w:hAnsi="宋体" w:eastAsia="宋体" w:cs="宋体"/>
          <w:spacing w:val="-45"/>
          <w:sz w:val="24"/>
          <w:szCs w:val="24"/>
        </w:rPr>
        <w:t xml:space="preserve"> </w:t>
      </w:r>
      <w:r>
        <w:rPr>
          <w:rFonts w:ascii="Times New Roman" w:hAnsi="Times New Roman" w:eastAsia="Times New Roman" w:cs="Times New Roman"/>
          <w:spacing w:val="-1"/>
          <w:sz w:val="24"/>
          <w:szCs w:val="24"/>
        </w:rPr>
        <w:t xml:space="preserve">8 </w:t>
      </w:r>
      <w:r>
        <w:rPr>
          <w:rFonts w:ascii="宋体" w:hAnsi="宋体" w:eastAsia="宋体" w:cs="宋体"/>
          <w:spacing w:val="-1"/>
          <w:sz w:val="24"/>
          <w:szCs w:val="24"/>
        </w:rPr>
        <w:t>个月</w:t>
      </w:r>
      <w:r>
        <w:rPr>
          <w:rFonts w:ascii="Times New Roman" w:hAnsi="Times New Roman" w:eastAsia="Times New Roman" w:cs="Times New Roman"/>
          <w:spacing w:val="-1"/>
          <w:sz w:val="24"/>
          <w:szCs w:val="24"/>
        </w:rPr>
        <w:t>~</w:t>
      </w:r>
      <w:r>
        <w:rPr>
          <w:rFonts w:ascii="Times New Roman" w:hAnsi="Times New Roman" w:eastAsia="Times New Roman" w:cs="Times New Roman"/>
          <w:spacing w:val="-2"/>
          <w:sz w:val="24"/>
          <w:szCs w:val="24"/>
        </w:rPr>
        <w:t xml:space="preserve">5 </w:t>
      </w:r>
      <w:r>
        <w:rPr>
          <w:rFonts w:ascii="宋体" w:hAnsi="宋体" w:eastAsia="宋体" w:cs="宋体"/>
          <w:spacing w:val="-2"/>
          <w:sz w:val="24"/>
          <w:szCs w:val="24"/>
        </w:rPr>
        <w:t>年，正</w:t>
      </w:r>
      <w:r>
        <w:rPr>
          <w:rFonts w:ascii="宋体" w:hAnsi="宋体" w:eastAsia="宋体" w:cs="宋体"/>
          <w:sz w:val="24"/>
          <w:szCs w:val="24"/>
        </w:rPr>
        <w:t xml:space="preserve"> </w:t>
      </w:r>
      <w:r>
        <w:rPr>
          <w:rFonts w:ascii="宋体" w:hAnsi="宋体" w:eastAsia="宋体" w:cs="宋体"/>
          <w:spacing w:val="-7"/>
          <w:sz w:val="24"/>
          <w:szCs w:val="24"/>
        </w:rPr>
        <w:t>常使用周期后需要进行检修更换，更换产生大量的废耐火材料，外售用作</w:t>
      </w:r>
      <w:r>
        <w:rPr>
          <w:rFonts w:ascii="宋体" w:hAnsi="宋体" w:eastAsia="宋体" w:cs="宋体"/>
          <w:spacing w:val="-8"/>
          <w:sz w:val="24"/>
          <w:szCs w:val="24"/>
        </w:rPr>
        <w:t>生产建材原料。</w:t>
      </w:r>
    </w:p>
    <w:p w14:paraId="079F0720">
      <w:pPr>
        <w:spacing w:before="194" w:line="292" w:lineRule="auto"/>
        <w:ind w:left="15" w:right="80" w:firstLine="470"/>
        <w:rPr>
          <w:rFonts w:ascii="宋体" w:hAnsi="宋体" w:eastAsia="宋体" w:cs="宋体"/>
          <w:sz w:val="24"/>
          <w:szCs w:val="24"/>
        </w:rPr>
      </w:pPr>
      <w:r>
        <w:rPr>
          <w:rFonts w:ascii="宋体" w:hAnsi="宋体" w:eastAsia="宋体" w:cs="宋体"/>
          <w:spacing w:val="1"/>
          <w:sz w:val="24"/>
          <w:szCs w:val="24"/>
        </w:rPr>
        <w:t>②脱硫石膏（</w:t>
      </w:r>
      <w:r>
        <w:rPr>
          <w:rFonts w:ascii="Times New Roman" w:hAnsi="Times New Roman" w:eastAsia="Times New Roman" w:cs="Times New Roman"/>
          <w:spacing w:val="1"/>
          <w:sz w:val="24"/>
          <w:szCs w:val="24"/>
        </w:rPr>
        <w:t>S</w:t>
      </w:r>
      <w:r>
        <w:rPr>
          <w:rFonts w:ascii="Times New Roman" w:hAnsi="Times New Roman" w:eastAsia="Times New Roman" w:cs="Times New Roman"/>
          <w:spacing w:val="1"/>
          <w:position w:val="-1"/>
          <w:sz w:val="15"/>
          <w:szCs w:val="15"/>
        </w:rPr>
        <w:t xml:space="preserve">1-4 </w:t>
      </w:r>
      <w:r>
        <w:rPr>
          <w:rFonts w:ascii="宋体" w:hAnsi="宋体" w:eastAsia="宋体" w:cs="宋体"/>
          <w:spacing w:val="-12"/>
          <w:sz w:val="24"/>
          <w:szCs w:val="24"/>
        </w:rPr>
        <w:t>）：</w:t>
      </w:r>
      <w:r>
        <w:rPr>
          <w:rFonts w:ascii="宋体" w:hAnsi="宋体" w:eastAsia="宋体" w:cs="宋体"/>
          <w:spacing w:val="1"/>
          <w:sz w:val="24"/>
          <w:szCs w:val="24"/>
        </w:rPr>
        <w:t>烧结机头废气脱硫系统</w:t>
      </w:r>
      <w:r>
        <w:rPr>
          <w:rFonts w:ascii="宋体" w:hAnsi="宋体" w:eastAsia="宋体" w:cs="宋体"/>
          <w:sz w:val="24"/>
          <w:szCs w:val="24"/>
        </w:rPr>
        <w:t xml:space="preserve">运行中会有脱硫石膏产生，在厂区内 </w:t>
      </w:r>
      <w:r>
        <w:rPr>
          <w:rFonts w:ascii="宋体" w:hAnsi="宋体" w:eastAsia="宋体" w:cs="宋体"/>
          <w:spacing w:val="-2"/>
          <w:sz w:val="24"/>
          <w:szCs w:val="24"/>
        </w:rPr>
        <w:t>暂存，定期外售做建材。</w:t>
      </w:r>
    </w:p>
    <w:p w14:paraId="5BAB3C8F">
      <w:pPr>
        <w:spacing w:before="194" w:line="217" w:lineRule="auto"/>
        <w:ind w:left="486"/>
        <w:rPr>
          <w:rFonts w:ascii="宋体" w:hAnsi="宋体" w:eastAsia="宋体" w:cs="宋体"/>
          <w:sz w:val="24"/>
          <w:szCs w:val="24"/>
        </w:rPr>
      </w:pPr>
      <w:r>
        <w:rPr>
          <w:rFonts w:ascii="宋体" w:hAnsi="宋体" w:eastAsia="宋体" w:cs="宋体"/>
          <w:spacing w:val="-1"/>
          <w:sz w:val="24"/>
          <w:szCs w:val="24"/>
        </w:rPr>
        <w:t>③除尘器收集的含锰除尘灰返回生产工序中。</w:t>
      </w:r>
    </w:p>
    <w:p w14:paraId="09514F2F">
      <w:pPr>
        <w:spacing w:before="195" w:line="220" w:lineRule="auto"/>
        <w:ind w:left="4"/>
        <w:outlineLvl w:val="3"/>
        <w:rPr>
          <w:rFonts w:ascii="宋体" w:hAnsi="宋体" w:eastAsia="宋体" w:cs="宋体"/>
          <w:sz w:val="24"/>
          <w:szCs w:val="24"/>
        </w:rPr>
      </w:pPr>
      <w:r>
        <w:fldChar w:fldCharType="begin"/>
      </w:r>
      <w:r>
        <w:instrText xml:space="preserve"> HYPERLINK "2.2.1.6" </w:instrText>
      </w:r>
      <w:r>
        <w:fldChar w:fldCharType="separate"/>
      </w:r>
      <w:r>
        <w:rPr>
          <w:rFonts w:ascii="Times New Roman" w:hAnsi="Times New Roman" w:eastAsia="Times New Roman" w:cs="Times New Roman"/>
          <w:b/>
          <w:bCs/>
          <w:spacing w:val="-5"/>
          <w:sz w:val="24"/>
          <w:szCs w:val="24"/>
        </w:rPr>
        <w:t>2.2.1.6</w:t>
      </w:r>
      <w:r>
        <w:rPr>
          <w:rFonts w:ascii="Times New Roman" w:hAnsi="Times New Roman" w:eastAsia="Times New Roman" w:cs="Times New Roman"/>
          <w:b/>
          <w:bCs/>
          <w:spacing w:val="-5"/>
          <w:sz w:val="24"/>
          <w:szCs w:val="24"/>
        </w:rPr>
        <w:fldChar w:fldCharType="end"/>
      </w:r>
      <w:r>
        <w:rPr>
          <w:rFonts w:ascii="Times New Roman" w:hAnsi="Times New Roman" w:eastAsia="Times New Roman" w:cs="Times New Roman"/>
          <w:b/>
          <w:bCs/>
          <w:spacing w:val="40"/>
          <w:sz w:val="24"/>
          <w:szCs w:val="24"/>
        </w:rPr>
        <w:t xml:space="preserve"> </w:t>
      </w:r>
      <w:r>
        <w:rPr>
          <w:rFonts w:ascii="宋体" w:hAnsi="宋体" w:eastAsia="宋体" w:cs="宋体"/>
          <w:b/>
          <w:bCs/>
          <w:spacing w:val="-5"/>
          <w:sz w:val="24"/>
          <w:szCs w:val="24"/>
        </w:rPr>
        <w:t>电炉冶炼</w:t>
      </w:r>
    </w:p>
    <w:p w14:paraId="329F059C">
      <w:pPr>
        <w:spacing w:before="192"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）上料、加料</w:t>
      </w:r>
    </w:p>
    <w:p w14:paraId="10E22798">
      <w:pPr>
        <w:spacing w:before="188" w:line="359" w:lineRule="auto"/>
        <w:ind w:left="12" w:right="80" w:firstLine="476"/>
        <w:jc w:val="both"/>
        <w:rPr>
          <w:rFonts w:ascii="宋体" w:hAnsi="宋体" w:eastAsia="宋体" w:cs="宋体"/>
          <w:sz w:val="24"/>
          <w:szCs w:val="24"/>
        </w:rPr>
      </w:pPr>
      <w:r>
        <w:rPr>
          <w:rFonts w:ascii="宋体" w:hAnsi="宋体" w:eastAsia="宋体" w:cs="宋体"/>
          <w:spacing w:val="-3"/>
          <w:sz w:val="24"/>
          <w:szCs w:val="24"/>
        </w:rPr>
        <w:t>锰硅合金生产原辅材料包含烧结矿、富锰渣、硅石、焦炭及石灰石等</w:t>
      </w:r>
      <w:r>
        <w:rPr>
          <w:rFonts w:ascii="宋体" w:hAnsi="宋体" w:eastAsia="宋体" w:cs="宋体"/>
          <w:spacing w:val="-4"/>
          <w:sz w:val="24"/>
          <w:szCs w:val="24"/>
        </w:rPr>
        <w:t>，来自烧结系</w:t>
      </w:r>
      <w:r>
        <w:rPr>
          <w:rFonts w:ascii="宋体" w:hAnsi="宋体" w:eastAsia="宋体" w:cs="宋体"/>
          <w:sz w:val="24"/>
          <w:szCs w:val="24"/>
        </w:rPr>
        <w:t xml:space="preserve"> </w:t>
      </w:r>
      <w:r>
        <w:rPr>
          <w:rFonts w:ascii="宋体" w:hAnsi="宋体" w:eastAsia="宋体" w:cs="宋体"/>
          <w:spacing w:val="-3"/>
          <w:sz w:val="24"/>
          <w:szCs w:val="24"/>
        </w:rPr>
        <w:t>统烧结矿满足电炉入炉粒径要求，其余各原辅材料进厂粒径均满足使用需求，</w:t>
      </w:r>
      <w:r>
        <w:rPr>
          <w:rFonts w:ascii="宋体" w:hAnsi="宋体" w:eastAsia="宋体" w:cs="宋体"/>
          <w:spacing w:val="-4"/>
          <w:sz w:val="24"/>
          <w:szCs w:val="24"/>
        </w:rPr>
        <w:t>不需要进</w:t>
      </w:r>
      <w:r>
        <w:rPr>
          <w:rFonts w:ascii="宋体" w:hAnsi="宋体" w:eastAsia="宋体" w:cs="宋体"/>
          <w:sz w:val="24"/>
          <w:szCs w:val="24"/>
        </w:rPr>
        <w:t xml:space="preserve"> </w:t>
      </w:r>
      <w:r>
        <w:rPr>
          <w:rFonts w:ascii="宋体" w:hAnsi="宋体" w:eastAsia="宋体" w:cs="宋体"/>
          <w:spacing w:val="-3"/>
          <w:sz w:val="24"/>
          <w:szCs w:val="24"/>
        </w:rPr>
        <w:t>行预处理。</w:t>
      </w:r>
    </w:p>
    <w:p w14:paraId="0D20E021">
      <w:pPr>
        <w:spacing w:before="33" w:line="352" w:lineRule="auto"/>
        <w:ind w:left="7" w:right="80" w:firstLine="484"/>
        <w:rPr>
          <w:rFonts w:ascii="宋体" w:hAnsi="宋体" w:eastAsia="宋体" w:cs="宋体"/>
          <w:sz w:val="24"/>
          <w:szCs w:val="24"/>
        </w:rPr>
      </w:pPr>
      <w:r>
        <w:rPr>
          <w:rFonts w:ascii="宋体" w:hAnsi="宋体" w:eastAsia="宋体" w:cs="宋体"/>
          <w:spacing w:val="-3"/>
          <w:sz w:val="24"/>
          <w:szCs w:val="24"/>
        </w:rPr>
        <w:t>项目设</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 xml:space="preserve">3 </w:t>
      </w:r>
      <w:r>
        <w:rPr>
          <w:rFonts w:ascii="宋体" w:hAnsi="宋体" w:eastAsia="宋体" w:cs="宋体"/>
          <w:spacing w:val="-3"/>
          <w:sz w:val="24"/>
          <w:szCs w:val="24"/>
        </w:rPr>
        <w:t>座电炉配料站，烧结矿直接由烧结</w:t>
      </w:r>
      <w:r>
        <w:rPr>
          <w:rFonts w:ascii="宋体" w:hAnsi="宋体" w:eastAsia="宋体" w:cs="宋体"/>
          <w:spacing w:val="-4"/>
          <w:sz w:val="24"/>
          <w:szCs w:val="24"/>
        </w:rPr>
        <w:t>机输送到配料仓内，干燥后的焦炭输送</w:t>
      </w:r>
      <w:r>
        <w:rPr>
          <w:rFonts w:ascii="宋体" w:hAnsi="宋体" w:eastAsia="宋体" w:cs="宋体"/>
          <w:sz w:val="24"/>
          <w:szCs w:val="24"/>
        </w:rPr>
        <w:t xml:space="preserve"> </w:t>
      </w:r>
      <w:r>
        <w:rPr>
          <w:rFonts w:ascii="宋体" w:hAnsi="宋体" w:eastAsia="宋体" w:cs="宋体"/>
          <w:spacing w:val="-3"/>
          <w:sz w:val="24"/>
          <w:szCs w:val="24"/>
        </w:rPr>
        <w:t>机送至配料仓，富锰渣、硅石及石灰由装载机、皮带转运至配料仓内，经自动称量系统</w:t>
      </w:r>
    </w:p>
    <w:p w14:paraId="7B005941">
      <w:pPr>
        <w:spacing w:line="352" w:lineRule="auto"/>
        <w:rPr>
          <w:rFonts w:ascii="宋体" w:hAnsi="宋体" w:eastAsia="宋体" w:cs="宋体"/>
          <w:sz w:val="24"/>
          <w:szCs w:val="24"/>
        </w:rPr>
        <w:sectPr>
          <w:footerReference r:id="rId112" w:type="default"/>
          <w:pgSz w:w="11850" w:h="16781"/>
          <w:pgMar w:top="1178" w:right="1336" w:bottom="1013" w:left="1417" w:header="870" w:footer="850" w:gutter="0"/>
          <w:cols w:space="720" w:num="1"/>
        </w:sectPr>
      </w:pPr>
    </w:p>
    <w:p w14:paraId="79DC629E">
      <w:pPr>
        <w:pStyle w:val="2"/>
        <w:spacing w:line="274" w:lineRule="auto"/>
      </w:pPr>
      <w:r>
        <w:pict>
          <v:shape id="_x0000_s1166" o:spid="_x0000_s1166" style="position:absolute;left:0pt;margin-left:0pt;margin-top:0.6pt;height:0.75pt;width:450.75pt;z-index:251824128;mso-width-relative:page;mso-height-relative:page;" fillcolor="#000000" filled="t" stroked="f" coordsize="9015,15" path="m0,0l9014,0,9014,14,0,14,0,0xe">
            <v:path/>
            <v:fill on="t" focussize="0,0"/>
            <v:stroke on="f"/>
            <v:imagedata o:title=""/>
            <o:lock v:ext="edit"/>
          </v:shape>
        </w:pict>
      </w:r>
    </w:p>
    <w:p w14:paraId="2BE892CF">
      <w:pPr>
        <w:spacing w:before="78" w:line="359" w:lineRule="auto"/>
        <w:ind w:left="7" w:right="52"/>
        <w:jc w:val="both"/>
        <w:rPr>
          <w:rFonts w:ascii="宋体" w:hAnsi="宋体" w:eastAsia="宋体" w:cs="宋体"/>
          <w:sz w:val="24"/>
          <w:szCs w:val="24"/>
        </w:rPr>
      </w:pPr>
      <w:r>
        <w:rPr>
          <w:rFonts w:ascii="宋体" w:hAnsi="宋体" w:eastAsia="宋体" w:cs="宋体"/>
          <w:spacing w:val="-3"/>
          <w:sz w:val="24"/>
          <w:szCs w:val="24"/>
        </w:rPr>
        <w:t>控制把各种原料按照一定比例配料，由皮带输送机送至电炉炉顶料仓，经料仓下部的料</w:t>
      </w:r>
      <w:r>
        <w:rPr>
          <w:rFonts w:ascii="宋体" w:hAnsi="宋体" w:eastAsia="宋体" w:cs="宋体"/>
          <w:spacing w:val="1"/>
          <w:sz w:val="24"/>
          <w:szCs w:val="24"/>
        </w:rPr>
        <w:t xml:space="preserve"> </w:t>
      </w:r>
      <w:r>
        <w:rPr>
          <w:rFonts w:ascii="宋体" w:hAnsi="宋体" w:eastAsia="宋体" w:cs="宋体"/>
          <w:spacing w:val="-3"/>
          <w:sz w:val="24"/>
          <w:szCs w:val="24"/>
        </w:rPr>
        <w:t>管流入炉内。视炉口料面情况不断加到炉内，炉心料消耗快要及时补加，炉心料要保持</w:t>
      </w:r>
      <w:r>
        <w:rPr>
          <w:rFonts w:ascii="宋体" w:hAnsi="宋体" w:eastAsia="宋体" w:cs="宋体"/>
          <w:spacing w:val="1"/>
          <w:sz w:val="24"/>
          <w:szCs w:val="24"/>
        </w:rPr>
        <w:t xml:space="preserve"> </w:t>
      </w:r>
      <w:r>
        <w:rPr>
          <w:rFonts w:ascii="宋体" w:hAnsi="宋体" w:eastAsia="宋体" w:cs="宋体"/>
          <w:spacing w:val="-2"/>
          <w:sz w:val="24"/>
          <w:szCs w:val="24"/>
        </w:rPr>
        <w:t>饱满呈馒头状。一般来说，约</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2</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小时加一次料。</w:t>
      </w:r>
    </w:p>
    <w:p w14:paraId="5B25A816">
      <w:pPr>
        <w:spacing w:before="34" w:line="220" w:lineRule="auto"/>
        <w:ind w:left="499"/>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2</w:t>
      </w:r>
      <w:r>
        <w:rPr>
          <w:rFonts w:ascii="宋体" w:hAnsi="宋体" w:eastAsia="宋体" w:cs="宋体"/>
          <w:spacing w:val="-5"/>
          <w:sz w:val="24"/>
          <w:szCs w:val="24"/>
        </w:rPr>
        <w:t>）冶炼</w:t>
      </w:r>
    </w:p>
    <w:p w14:paraId="513D8267">
      <w:pPr>
        <w:spacing w:before="187" w:line="362" w:lineRule="auto"/>
        <w:ind w:left="9" w:right="52" w:firstLine="507"/>
        <w:rPr>
          <w:rFonts w:ascii="宋体" w:hAnsi="宋体" w:eastAsia="宋体" w:cs="宋体"/>
          <w:sz w:val="24"/>
          <w:szCs w:val="24"/>
        </w:rPr>
      </w:pPr>
      <w:r>
        <w:rPr>
          <w:rFonts w:ascii="宋体" w:hAnsi="宋体" w:eastAsia="宋体" w:cs="宋体"/>
          <w:spacing w:val="-4"/>
          <w:sz w:val="24"/>
          <w:szCs w:val="24"/>
        </w:rPr>
        <w:t>电炉内冶炼是一种埋弧连续冶炼。由三根电极糊自焙电极插埋入炉料中，由变压器</w:t>
      </w:r>
      <w:r>
        <w:rPr>
          <w:rFonts w:ascii="宋体" w:hAnsi="宋体" w:eastAsia="宋体" w:cs="宋体"/>
          <w:spacing w:val="2"/>
          <w:sz w:val="24"/>
          <w:szCs w:val="24"/>
        </w:rPr>
        <w:t xml:space="preserve"> </w:t>
      </w:r>
      <w:r>
        <w:rPr>
          <w:rFonts w:ascii="宋体" w:hAnsi="宋体" w:eastAsia="宋体" w:cs="宋体"/>
          <w:spacing w:val="-3"/>
          <w:sz w:val="24"/>
          <w:szCs w:val="24"/>
        </w:rPr>
        <w:t>导入的电流，通过自焙电极进入炉膛内部，电流通过电极及炉料电阻产生的热量和电极</w:t>
      </w:r>
      <w:r>
        <w:rPr>
          <w:rFonts w:ascii="宋体" w:hAnsi="宋体" w:eastAsia="宋体" w:cs="宋体"/>
          <w:sz w:val="24"/>
          <w:szCs w:val="24"/>
        </w:rPr>
        <w:t xml:space="preserve"> </w:t>
      </w:r>
      <w:r>
        <w:rPr>
          <w:rFonts w:ascii="宋体" w:hAnsi="宋体" w:eastAsia="宋体" w:cs="宋体"/>
          <w:spacing w:val="-3"/>
          <w:sz w:val="24"/>
          <w:szCs w:val="24"/>
        </w:rPr>
        <w:t>端的电弧热将炉料加热，用碳质原料（焦炭）作还原剂，在高温下（</w:t>
      </w:r>
      <w:r>
        <w:rPr>
          <w:rFonts w:ascii="Times New Roman" w:hAnsi="Times New Roman" w:eastAsia="Times New Roman" w:cs="Times New Roman"/>
          <w:spacing w:val="-3"/>
          <w:sz w:val="24"/>
          <w:szCs w:val="24"/>
        </w:rPr>
        <w:t>2000℃</w:t>
      </w:r>
      <w:r>
        <w:rPr>
          <w:rFonts w:ascii="宋体" w:hAnsi="宋体" w:eastAsia="宋体" w:cs="宋体"/>
          <w:spacing w:val="-3"/>
          <w:sz w:val="24"/>
          <w:szCs w:val="24"/>
        </w:rPr>
        <w:t>左右）进行</w:t>
      </w:r>
      <w:r>
        <w:rPr>
          <w:rFonts w:ascii="宋体" w:hAnsi="宋体" w:eastAsia="宋体" w:cs="宋体"/>
          <w:sz w:val="24"/>
          <w:szCs w:val="24"/>
        </w:rPr>
        <w:t xml:space="preserve"> </w:t>
      </w:r>
      <w:r>
        <w:rPr>
          <w:rFonts w:ascii="宋体" w:hAnsi="宋体" w:eastAsia="宋体" w:cs="宋体"/>
          <w:spacing w:val="-3"/>
          <w:sz w:val="24"/>
          <w:szCs w:val="24"/>
        </w:rPr>
        <w:t>电热还原反应，生成的液态锰硅和炉渣不断地聚积于炉底。冶炼过程中全封闭电炉产生</w:t>
      </w:r>
      <w:r>
        <w:rPr>
          <w:rFonts w:ascii="宋体" w:hAnsi="宋体" w:eastAsia="宋体" w:cs="宋体"/>
          <w:sz w:val="24"/>
          <w:szCs w:val="24"/>
        </w:rPr>
        <w:t xml:space="preserve"> </w:t>
      </w:r>
      <w:r>
        <w:rPr>
          <w:rFonts w:ascii="宋体" w:hAnsi="宋体" w:eastAsia="宋体" w:cs="宋体"/>
          <w:spacing w:val="-1"/>
          <w:sz w:val="24"/>
          <w:szCs w:val="24"/>
        </w:rPr>
        <w:t>的粗煤气去煤气净化系统。</w:t>
      </w:r>
    </w:p>
    <w:p w14:paraId="18B31A70">
      <w:pPr>
        <w:spacing w:before="32" w:line="359" w:lineRule="auto"/>
        <w:ind w:left="9" w:right="52" w:firstLine="507"/>
        <w:rPr>
          <w:rFonts w:ascii="宋体" w:hAnsi="宋体" w:eastAsia="宋体" w:cs="宋体"/>
          <w:sz w:val="24"/>
          <w:szCs w:val="24"/>
        </w:rPr>
      </w:pPr>
      <w:r>
        <w:rPr>
          <w:rFonts w:ascii="宋体" w:hAnsi="宋体" w:eastAsia="宋体" w:cs="宋体"/>
          <w:spacing w:val="-4"/>
          <w:sz w:val="24"/>
          <w:szCs w:val="24"/>
        </w:rPr>
        <w:t>电炉冶炼锰硅合金生产原理为：含高价铁和锰氧化物的炉料在高温冶炼过程中被高</w:t>
      </w:r>
      <w:r>
        <w:rPr>
          <w:rFonts w:ascii="宋体" w:hAnsi="宋体" w:eastAsia="宋体" w:cs="宋体"/>
          <w:spacing w:val="2"/>
          <w:sz w:val="24"/>
          <w:szCs w:val="24"/>
        </w:rPr>
        <w:t xml:space="preserve"> </w:t>
      </w:r>
      <w:r>
        <w:rPr>
          <w:rFonts w:ascii="宋体" w:hAnsi="宋体" w:eastAsia="宋体" w:cs="宋体"/>
          <w:spacing w:val="-2"/>
          <w:sz w:val="24"/>
          <w:szCs w:val="24"/>
        </w:rPr>
        <w:t>温分解或被</w:t>
      </w:r>
      <w:r>
        <w:rPr>
          <w:rFonts w:ascii="Times New Roman" w:hAnsi="Times New Roman" w:eastAsia="Times New Roman" w:cs="Times New Roman"/>
          <w:spacing w:val="-2"/>
          <w:sz w:val="24"/>
          <w:szCs w:val="24"/>
        </w:rPr>
        <w:t>C</w:t>
      </w:r>
      <w:r>
        <w:rPr>
          <w:rFonts w:ascii="宋体" w:hAnsi="宋体" w:eastAsia="宋体" w:cs="宋体"/>
          <w:spacing w:val="-2"/>
          <w:sz w:val="24"/>
          <w:szCs w:val="24"/>
        </w:rPr>
        <w:t>还原为低价的氧化物，到</w:t>
      </w:r>
      <w:r>
        <w:rPr>
          <w:rFonts w:ascii="Times New Roman" w:hAnsi="Times New Roman" w:eastAsia="Times New Roman" w:cs="Times New Roman"/>
          <w:spacing w:val="-2"/>
          <w:sz w:val="24"/>
          <w:szCs w:val="24"/>
        </w:rPr>
        <w:t>1373~</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2"/>
          <w:sz w:val="24"/>
          <w:szCs w:val="24"/>
        </w:rPr>
        <w:t>1473K</w:t>
      </w:r>
      <w:r>
        <w:rPr>
          <w:rFonts w:ascii="宋体" w:hAnsi="宋体" w:eastAsia="宋体" w:cs="宋体"/>
          <w:spacing w:val="-2"/>
          <w:sz w:val="24"/>
          <w:szCs w:val="24"/>
        </w:rPr>
        <w:t>时，</w:t>
      </w:r>
      <w:r>
        <w:rPr>
          <w:rFonts w:ascii="Times New Roman" w:hAnsi="Times New Roman" w:eastAsia="Times New Roman" w:cs="Times New Roman"/>
          <w:spacing w:val="-2"/>
          <w:sz w:val="24"/>
          <w:szCs w:val="24"/>
        </w:rPr>
        <w:t>FeO</w:t>
      </w:r>
      <w:r>
        <w:rPr>
          <w:rFonts w:ascii="宋体" w:hAnsi="宋体" w:eastAsia="宋体" w:cs="宋体"/>
          <w:spacing w:val="-2"/>
          <w:sz w:val="24"/>
          <w:szCs w:val="24"/>
        </w:rPr>
        <w:t>全部被还原为</w:t>
      </w:r>
      <w:r>
        <w:rPr>
          <w:rFonts w:ascii="Times New Roman" w:hAnsi="Times New Roman" w:eastAsia="Times New Roman" w:cs="Times New Roman"/>
          <w:spacing w:val="-2"/>
          <w:sz w:val="24"/>
          <w:szCs w:val="24"/>
        </w:rPr>
        <w:t>Fe</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，而高价锰</w:t>
      </w:r>
      <w:r>
        <w:rPr>
          <w:rFonts w:ascii="宋体" w:hAnsi="宋体" w:eastAsia="宋体" w:cs="宋体"/>
          <w:sz w:val="24"/>
          <w:szCs w:val="24"/>
        </w:rPr>
        <w:t xml:space="preserve"> </w:t>
      </w:r>
      <w:r>
        <w:rPr>
          <w:rFonts w:ascii="宋体" w:hAnsi="宋体" w:eastAsia="宋体" w:cs="宋体"/>
          <w:spacing w:val="-3"/>
          <w:sz w:val="24"/>
          <w:szCs w:val="24"/>
        </w:rPr>
        <w:t>氧化物被充分还原为</w:t>
      </w:r>
      <w:r>
        <w:rPr>
          <w:rFonts w:ascii="Times New Roman" w:hAnsi="Times New Roman" w:eastAsia="Times New Roman" w:cs="Times New Roman"/>
          <w:spacing w:val="-3"/>
          <w:sz w:val="24"/>
          <w:szCs w:val="24"/>
        </w:rPr>
        <w:t>MnO</w:t>
      </w:r>
      <w:r>
        <w:rPr>
          <w:rFonts w:ascii="宋体" w:hAnsi="宋体" w:eastAsia="宋体" w:cs="宋体"/>
          <w:spacing w:val="-3"/>
          <w:sz w:val="24"/>
          <w:szCs w:val="24"/>
        </w:rPr>
        <w:t>，与炉料中含量较高的</w:t>
      </w:r>
      <w:r>
        <w:rPr>
          <w:rFonts w:ascii="Times New Roman" w:hAnsi="Times New Roman" w:eastAsia="Times New Roman" w:cs="Times New Roman"/>
          <w:spacing w:val="-3"/>
          <w:sz w:val="24"/>
          <w:szCs w:val="24"/>
        </w:rPr>
        <w:t>SiO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21"/>
          <w:position w:val="-1"/>
          <w:sz w:val="15"/>
          <w:szCs w:val="15"/>
        </w:rPr>
        <w:t xml:space="preserve"> </w:t>
      </w:r>
      <w:r>
        <w:rPr>
          <w:rFonts w:ascii="宋体" w:hAnsi="宋体" w:eastAsia="宋体" w:cs="宋体"/>
          <w:spacing w:val="-3"/>
          <w:sz w:val="24"/>
          <w:szCs w:val="24"/>
        </w:rPr>
        <w:t>结合成低熔点的硅酸锰。</w:t>
      </w:r>
      <w:r>
        <w:rPr>
          <w:rFonts w:ascii="宋体" w:hAnsi="宋体" w:eastAsia="宋体" w:cs="宋体"/>
          <w:spacing w:val="-4"/>
          <w:sz w:val="24"/>
          <w:szCs w:val="24"/>
        </w:rPr>
        <w:t>该过程主</w:t>
      </w:r>
      <w:r>
        <w:rPr>
          <w:rFonts w:ascii="宋体" w:hAnsi="宋体" w:eastAsia="宋体" w:cs="宋体"/>
          <w:sz w:val="24"/>
          <w:szCs w:val="24"/>
        </w:rPr>
        <w:t xml:space="preserve"> </w:t>
      </w:r>
      <w:r>
        <w:rPr>
          <w:rFonts w:ascii="宋体" w:hAnsi="宋体" w:eastAsia="宋体" w:cs="宋体"/>
          <w:spacing w:val="-2"/>
          <w:sz w:val="24"/>
          <w:szCs w:val="24"/>
        </w:rPr>
        <w:t>要化学反应式为：</w:t>
      </w:r>
    </w:p>
    <w:p w14:paraId="195FE684">
      <w:pPr>
        <w:spacing w:line="322" w:lineRule="exact"/>
        <w:ind w:left="483"/>
        <w:rPr>
          <w:rFonts w:ascii="Times New Roman" w:hAnsi="Times New Roman" w:eastAsia="Times New Roman" w:cs="Times New Roman"/>
          <w:sz w:val="24"/>
          <w:szCs w:val="24"/>
        </w:rPr>
      </w:pPr>
      <w:r>
        <w:rPr>
          <w:rFonts w:ascii="Times New Roman" w:hAnsi="Times New Roman" w:eastAsia="Times New Roman" w:cs="Times New Roman"/>
          <w:position w:val="3"/>
          <w:sz w:val="24"/>
          <w:szCs w:val="24"/>
        </w:rPr>
        <w:t>MnO+SiO</w:t>
      </w:r>
      <w:r>
        <w:rPr>
          <w:rFonts w:ascii="Times New Roman" w:hAnsi="Times New Roman" w:eastAsia="Times New Roman" w:cs="Times New Roman"/>
          <w:position w:val="2"/>
          <w:sz w:val="15"/>
          <w:szCs w:val="15"/>
        </w:rPr>
        <w:t>2</w:t>
      </w:r>
      <w:r>
        <w:rPr>
          <w:rFonts w:ascii="Times New Roman" w:hAnsi="Times New Roman" w:eastAsia="Times New Roman" w:cs="Times New Roman"/>
          <w:position w:val="3"/>
          <w:sz w:val="24"/>
          <w:szCs w:val="24"/>
        </w:rPr>
        <w:t>=MnSiO</w:t>
      </w:r>
      <w:r>
        <w:rPr>
          <w:rFonts w:ascii="Times New Roman" w:hAnsi="Times New Roman" w:eastAsia="Times New Roman" w:cs="Times New Roman"/>
          <w:position w:val="2"/>
          <w:sz w:val="15"/>
          <w:szCs w:val="15"/>
        </w:rPr>
        <w:t xml:space="preserve">3       </w:t>
      </w:r>
      <w:r>
        <w:rPr>
          <w:rFonts w:ascii="Times New Roman" w:hAnsi="Times New Roman" w:eastAsia="Times New Roman" w:cs="Times New Roman"/>
          <w:spacing w:val="-1"/>
          <w:position w:val="2"/>
          <w:sz w:val="15"/>
          <w:szCs w:val="15"/>
        </w:rPr>
        <w:t xml:space="preserve">            </w:t>
      </w:r>
      <w:r>
        <w:rPr>
          <w:rFonts w:ascii="Times New Roman" w:hAnsi="Times New Roman" w:eastAsia="Times New Roman" w:cs="Times New Roman"/>
          <w:spacing w:val="-1"/>
          <w:position w:val="3"/>
          <w:sz w:val="24"/>
          <w:szCs w:val="24"/>
        </w:rPr>
        <w:t>t</w:t>
      </w:r>
      <w:r>
        <w:rPr>
          <w:rFonts w:ascii="宋体" w:hAnsi="宋体" w:eastAsia="宋体" w:cs="宋体"/>
          <w:spacing w:val="-1"/>
          <w:sz w:val="12"/>
          <w:szCs w:val="12"/>
        </w:rPr>
        <w:t>熔</w:t>
      </w:r>
      <w:r>
        <w:rPr>
          <w:rFonts w:ascii="Times New Roman" w:hAnsi="Times New Roman" w:eastAsia="Times New Roman" w:cs="Times New Roman"/>
          <w:spacing w:val="-1"/>
          <w:position w:val="3"/>
          <w:sz w:val="24"/>
          <w:szCs w:val="24"/>
        </w:rPr>
        <w:t>=</w:t>
      </w:r>
      <w:r>
        <w:rPr>
          <w:rFonts w:ascii="Times New Roman" w:hAnsi="Times New Roman" w:eastAsia="Times New Roman" w:cs="Times New Roman"/>
          <w:spacing w:val="-33"/>
          <w:position w:val="3"/>
          <w:sz w:val="24"/>
          <w:szCs w:val="24"/>
        </w:rPr>
        <w:t xml:space="preserve"> </w:t>
      </w:r>
      <w:r>
        <w:rPr>
          <w:rFonts w:ascii="Times New Roman" w:hAnsi="Times New Roman" w:eastAsia="Times New Roman" w:cs="Times New Roman"/>
          <w:spacing w:val="-1"/>
          <w:position w:val="3"/>
          <w:sz w:val="24"/>
          <w:szCs w:val="24"/>
        </w:rPr>
        <w:t>1250℃</w:t>
      </w:r>
    </w:p>
    <w:p w14:paraId="0755A7C1">
      <w:pPr>
        <w:spacing w:before="153" w:line="322" w:lineRule="exact"/>
        <w:ind w:left="484"/>
        <w:rPr>
          <w:rFonts w:ascii="Times New Roman" w:hAnsi="Times New Roman" w:eastAsia="Times New Roman" w:cs="Times New Roman"/>
          <w:sz w:val="24"/>
          <w:szCs w:val="24"/>
        </w:rPr>
      </w:pPr>
      <w:r>
        <w:rPr>
          <w:rFonts w:ascii="Times New Roman" w:hAnsi="Times New Roman" w:eastAsia="Times New Roman" w:cs="Times New Roman"/>
          <w:spacing w:val="-1"/>
          <w:position w:val="3"/>
          <w:sz w:val="24"/>
          <w:szCs w:val="24"/>
        </w:rPr>
        <w:t>2MnO+SiO</w:t>
      </w:r>
      <w:r>
        <w:rPr>
          <w:rFonts w:ascii="Times New Roman" w:hAnsi="Times New Roman" w:eastAsia="Times New Roman" w:cs="Times New Roman"/>
          <w:spacing w:val="-1"/>
          <w:position w:val="2"/>
          <w:sz w:val="15"/>
          <w:szCs w:val="15"/>
        </w:rPr>
        <w:t>2</w:t>
      </w:r>
      <w:r>
        <w:rPr>
          <w:rFonts w:ascii="Times New Roman" w:hAnsi="Times New Roman" w:eastAsia="Times New Roman" w:cs="Times New Roman"/>
          <w:spacing w:val="-1"/>
          <w:position w:val="3"/>
          <w:sz w:val="24"/>
          <w:szCs w:val="24"/>
        </w:rPr>
        <w:t>=Mn</w:t>
      </w:r>
      <w:r>
        <w:rPr>
          <w:rFonts w:ascii="Times New Roman" w:hAnsi="Times New Roman" w:eastAsia="Times New Roman" w:cs="Times New Roman"/>
          <w:spacing w:val="-1"/>
          <w:position w:val="3"/>
          <w:sz w:val="15"/>
          <w:szCs w:val="15"/>
        </w:rPr>
        <w:t>2</w:t>
      </w:r>
      <w:r>
        <w:rPr>
          <w:rFonts w:ascii="Times New Roman" w:hAnsi="Times New Roman" w:eastAsia="Times New Roman" w:cs="Times New Roman"/>
          <w:spacing w:val="-1"/>
          <w:position w:val="3"/>
          <w:sz w:val="24"/>
          <w:szCs w:val="24"/>
        </w:rPr>
        <w:t>SiO</w:t>
      </w:r>
      <w:r>
        <w:rPr>
          <w:rFonts w:ascii="Times New Roman" w:hAnsi="Times New Roman" w:eastAsia="Times New Roman" w:cs="Times New Roman"/>
          <w:spacing w:val="-1"/>
          <w:position w:val="2"/>
          <w:sz w:val="15"/>
          <w:szCs w:val="15"/>
        </w:rPr>
        <w:t>4</w:t>
      </w:r>
      <w:r>
        <w:rPr>
          <w:rFonts w:ascii="Times New Roman" w:hAnsi="Times New Roman" w:eastAsia="Times New Roman" w:cs="Times New Roman"/>
          <w:spacing w:val="2"/>
          <w:position w:val="2"/>
          <w:sz w:val="15"/>
          <w:szCs w:val="15"/>
        </w:rPr>
        <w:t xml:space="preserve">            </w:t>
      </w:r>
      <w:r>
        <w:rPr>
          <w:rFonts w:ascii="Times New Roman" w:hAnsi="Times New Roman" w:eastAsia="Times New Roman" w:cs="Times New Roman"/>
          <w:spacing w:val="-1"/>
          <w:position w:val="3"/>
          <w:sz w:val="24"/>
          <w:szCs w:val="24"/>
        </w:rPr>
        <w:t>t</w:t>
      </w:r>
      <w:r>
        <w:rPr>
          <w:rFonts w:ascii="宋体" w:hAnsi="宋体" w:eastAsia="宋体" w:cs="宋体"/>
          <w:spacing w:val="-1"/>
          <w:sz w:val="12"/>
          <w:szCs w:val="12"/>
        </w:rPr>
        <w:t>熔</w:t>
      </w:r>
      <w:r>
        <w:rPr>
          <w:rFonts w:ascii="Times New Roman" w:hAnsi="Times New Roman" w:eastAsia="Times New Roman" w:cs="Times New Roman"/>
          <w:spacing w:val="-1"/>
          <w:position w:val="3"/>
          <w:sz w:val="24"/>
          <w:szCs w:val="24"/>
        </w:rPr>
        <w:t>=</w:t>
      </w:r>
      <w:r>
        <w:rPr>
          <w:rFonts w:ascii="Times New Roman" w:hAnsi="Times New Roman" w:eastAsia="Times New Roman" w:cs="Times New Roman"/>
          <w:spacing w:val="-25"/>
          <w:position w:val="3"/>
          <w:sz w:val="24"/>
          <w:szCs w:val="24"/>
        </w:rPr>
        <w:t xml:space="preserve"> </w:t>
      </w:r>
      <w:r>
        <w:rPr>
          <w:rFonts w:ascii="Times New Roman" w:hAnsi="Times New Roman" w:eastAsia="Times New Roman" w:cs="Times New Roman"/>
          <w:spacing w:val="-1"/>
          <w:position w:val="3"/>
          <w:sz w:val="24"/>
          <w:szCs w:val="24"/>
        </w:rPr>
        <w:t>13</w:t>
      </w:r>
      <w:r>
        <w:rPr>
          <w:rFonts w:ascii="Times New Roman" w:hAnsi="Times New Roman" w:eastAsia="Times New Roman" w:cs="Times New Roman"/>
          <w:spacing w:val="-2"/>
          <w:position w:val="3"/>
          <w:sz w:val="24"/>
          <w:szCs w:val="24"/>
        </w:rPr>
        <w:t>45℃</w:t>
      </w:r>
    </w:p>
    <w:p w14:paraId="73E46166">
      <w:pPr>
        <w:spacing w:before="200" w:line="350" w:lineRule="auto"/>
        <w:ind w:left="8" w:right="55" w:firstLine="509"/>
        <w:rPr>
          <w:rFonts w:ascii="宋体" w:hAnsi="宋体" w:eastAsia="宋体" w:cs="宋体"/>
          <w:sz w:val="24"/>
          <w:szCs w:val="24"/>
        </w:rPr>
      </w:pPr>
      <w:r>
        <w:rPr>
          <w:rFonts w:ascii="宋体" w:hAnsi="宋体" w:eastAsia="宋体" w:cs="宋体"/>
          <w:spacing w:val="-1"/>
          <w:sz w:val="24"/>
          <w:szCs w:val="24"/>
        </w:rPr>
        <w:t>由于锰与碳能生成稳定的化合物</w:t>
      </w:r>
      <w:r>
        <w:rPr>
          <w:rFonts w:ascii="Times New Roman" w:hAnsi="Times New Roman" w:eastAsia="Times New Roman" w:cs="Times New Roman"/>
          <w:spacing w:val="-1"/>
          <w:sz w:val="24"/>
          <w:szCs w:val="24"/>
        </w:rPr>
        <w:t>Mn</w:t>
      </w:r>
      <w:r>
        <w:rPr>
          <w:rFonts w:ascii="Times New Roman" w:hAnsi="Times New Roman" w:eastAsia="Times New Roman" w:cs="Times New Roman"/>
          <w:spacing w:val="-1"/>
          <w:sz w:val="15"/>
          <w:szCs w:val="15"/>
        </w:rPr>
        <w:t>3</w:t>
      </w:r>
      <w:r>
        <w:rPr>
          <w:rFonts w:ascii="Times New Roman" w:hAnsi="Times New Roman" w:eastAsia="Times New Roman" w:cs="Times New Roman"/>
          <w:spacing w:val="-1"/>
          <w:sz w:val="24"/>
          <w:szCs w:val="24"/>
        </w:rPr>
        <w:t>C</w:t>
      </w:r>
      <w:r>
        <w:rPr>
          <w:rFonts w:ascii="Times New Roman" w:hAnsi="Times New Roman" w:eastAsia="Times New Roman" w:cs="Times New Roman"/>
          <w:spacing w:val="-17"/>
          <w:sz w:val="24"/>
          <w:szCs w:val="24"/>
        </w:rPr>
        <w:t xml:space="preserve"> </w:t>
      </w:r>
      <w:r>
        <w:rPr>
          <w:rFonts w:ascii="宋体" w:hAnsi="宋体" w:eastAsia="宋体" w:cs="宋体"/>
          <w:spacing w:val="-1"/>
          <w:sz w:val="24"/>
          <w:szCs w:val="24"/>
        </w:rPr>
        <w:t>，因此在生产过程中用碳直接还原得到的是</w:t>
      </w:r>
      <w:r>
        <w:rPr>
          <w:rFonts w:ascii="宋体" w:hAnsi="宋体" w:eastAsia="宋体" w:cs="宋体"/>
          <w:sz w:val="24"/>
          <w:szCs w:val="24"/>
        </w:rPr>
        <w:t xml:space="preserve"> </w:t>
      </w:r>
      <w:r>
        <w:rPr>
          <w:rFonts w:ascii="宋体" w:hAnsi="宋体" w:eastAsia="宋体" w:cs="宋体"/>
          <w:spacing w:val="-1"/>
          <w:sz w:val="24"/>
          <w:szCs w:val="24"/>
        </w:rPr>
        <w:t>锰的碳化物，具体反应式为：</w:t>
      </w:r>
    </w:p>
    <w:p w14:paraId="4A88EC15">
      <w:pPr>
        <w:spacing w:line="323" w:lineRule="exact"/>
        <w:ind w:left="483"/>
        <w:rPr>
          <w:rFonts w:ascii="Times New Roman" w:hAnsi="Times New Roman" w:eastAsia="Times New Roman" w:cs="Times New Roman"/>
          <w:sz w:val="24"/>
          <w:szCs w:val="24"/>
        </w:rPr>
      </w:pPr>
      <w:r>
        <w:rPr>
          <w:rFonts w:ascii="Times New Roman" w:hAnsi="Times New Roman" w:eastAsia="Times New Roman" w:cs="Times New Roman"/>
          <w:spacing w:val="-3"/>
          <w:position w:val="4"/>
          <w:sz w:val="24"/>
          <w:szCs w:val="24"/>
        </w:rPr>
        <w:t>MnO</w:t>
      </w:r>
      <w:r>
        <w:rPr>
          <w:rFonts w:ascii="Times New Roman" w:hAnsi="Times New Roman" w:eastAsia="Times New Roman" w:cs="Times New Roman"/>
          <w:spacing w:val="-26"/>
          <w:position w:val="4"/>
          <w:sz w:val="24"/>
          <w:szCs w:val="24"/>
        </w:rPr>
        <w:t xml:space="preserve"> </w:t>
      </w:r>
      <w:r>
        <w:rPr>
          <w:rFonts w:ascii="Times New Roman" w:hAnsi="Times New Roman" w:eastAsia="Times New Roman" w:cs="Times New Roman"/>
          <w:spacing w:val="-3"/>
          <w:position w:val="4"/>
          <w:sz w:val="24"/>
          <w:szCs w:val="24"/>
        </w:rPr>
        <w:t>·</w:t>
      </w:r>
      <w:r>
        <w:rPr>
          <w:rFonts w:ascii="Times New Roman" w:hAnsi="Times New Roman" w:eastAsia="Times New Roman" w:cs="Times New Roman"/>
          <w:spacing w:val="17"/>
          <w:position w:val="4"/>
          <w:sz w:val="24"/>
          <w:szCs w:val="24"/>
        </w:rPr>
        <w:t xml:space="preserve"> </w:t>
      </w:r>
      <w:r>
        <w:rPr>
          <w:rFonts w:ascii="Times New Roman" w:hAnsi="Times New Roman" w:eastAsia="Times New Roman" w:cs="Times New Roman"/>
          <w:spacing w:val="-3"/>
          <w:position w:val="4"/>
          <w:sz w:val="24"/>
          <w:szCs w:val="24"/>
        </w:rPr>
        <w:t>SiO</w:t>
      </w:r>
      <w:r>
        <w:rPr>
          <w:rFonts w:ascii="Times New Roman" w:hAnsi="Times New Roman" w:eastAsia="Times New Roman" w:cs="Times New Roman"/>
          <w:spacing w:val="-3"/>
          <w:position w:val="3"/>
          <w:sz w:val="15"/>
          <w:szCs w:val="15"/>
        </w:rPr>
        <w:t>2</w:t>
      </w:r>
      <w:r>
        <w:rPr>
          <w:rFonts w:ascii="Times New Roman" w:hAnsi="Times New Roman" w:eastAsia="Times New Roman" w:cs="Times New Roman"/>
          <w:spacing w:val="-3"/>
          <w:position w:val="4"/>
          <w:sz w:val="24"/>
          <w:szCs w:val="24"/>
        </w:rPr>
        <w:t>+4/3C=</w:t>
      </w:r>
      <w:r>
        <w:rPr>
          <w:rFonts w:ascii="Times New Roman" w:hAnsi="Times New Roman" w:eastAsia="Times New Roman" w:cs="Times New Roman"/>
          <w:spacing w:val="-33"/>
          <w:position w:val="4"/>
          <w:sz w:val="24"/>
          <w:szCs w:val="24"/>
        </w:rPr>
        <w:t xml:space="preserve"> </w:t>
      </w:r>
      <w:r>
        <w:rPr>
          <w:rFonts w:ascii="Times New Roman" w:hAnsi="Times New Roman" w:eastAsia="Times New Roman" w:cs="Times New Roman"/>
          <w:spacing w:val="-3"/>
          <w:position w:val="4"/>
          <w:sz w:val="24"/>
          <w:szCs w:val="24"/>
        </w:rPr>
        <w:t>1/3Mn</w:t>
      </w:r>
      <w:r>
        <w:rPr>
          <w:rFonts w:ascii="Times New Roman" w:hAnsi="Times New Roman" w:eastAsia="Times New Roman" w:cs="Times New Roman"/>
          <w:spacing w:val="-3"/>
          <w:position w:val="4"/>
          <w:sz w:val="15"/>
          <w:szCs w:val="15"/>
        </w:rPr>
        <w:t>3</w:t>
      </w:r>
      <w:r>
        <w:rPr>
          <w:rFonts w:ascii="Times New Roman" w:hAnsi="Times New Roman" w:eastAsia="Times New Roman" w:cs="Times New Roman"/>
          <w:spacing w:val="-3"/>
          <w:position w:val="4"/>
          <w:sz w:val="24"/>
          <w:szCs w:val="24"/>
        </w:rPr>
        <w:t>C+</w:t>
      </w:r>
      <w:r>
        <w:rPr>
          <w:rFonts w:ascii="Times New Roman" w:hAnsi="Times New Roman" w:eastAsia="Times New Roman" w:cs="Times New Roman"/>
          <w:spacing w:val="15"/>
          <w:position w:val="4"/>
          <w:sz w:val="24"/>
          <w:szCs w:val="24"/>
        </w:rPr>
        <w:t xml:space="preserve"> </w:t>
      </w:r>
      <w:r>
        <w:rPr>
          <w:rFonts w:ascii="Times New Roman" w:hAnsi="Times New Roman" w:eastAsia="Times New Roman" w:cs="Times New Roman"/>
          <w:spacing w:val="-3"/>
          <w:position w:val="4"/>
          <w:sz w:val="24"/>
          <w:szCs w:val="24"/>
        </w:rPr>
        <w:t>SiO</w:t>
      </w:r>
      <w:r>
        <w:rPr>
          <w:rFonts w:ascii="Times New Roman" w:hAnsi="Times New Roman" w:eastAsia="Times New Roman" w:cs="Times New Roman"/>
          <w:spacing w:val="-3"/>
          <w:position w:val="3"/>
          <w:sz w:val="15"/>
          <w:szCs w:val="15"/>
        </w:rPr>
        <w:t>2</w:t>
      </w:r>
      <w:r>
        <w:rPr>
          <w:rFonts w:ascii="Times New Roman" w:hAnsi="Times New Roman" w:eastAsia="Times New Roman" w:cs="Times New Roman"/>
          <w:spacing w:val="-3"/>
          <w:position w:val="4"/>
          <w:sz w:val="24"/>
          <w:szCs w:val="24"/>
        </w:rPr>
        <w:t>+CO↑</w:t>
      </w:r>
    </w:p>
    <w:p w14:paraId="748E13DC">
      <w:pPr>
        <w:spacing w:before="199" w:line="354" w:lineRule="auto"/>
        <w:ind w:left="8" w:firstLine="479"/>
        <w:rPr>
          <w:rFonts w:ascii="宋体" w:hAnsi="宋体" w:eastAsia="宋体" w:cs="宋体"/>
          <w:sz w:val="24"/>
          <w:szCs w:val="24"/>
        </w:rPr>
      </w:pPr>
      <w:r>
        <w:rPr>
          <w:rFonts w:ascii="宋体" w:hAnsi="宋体" w:eastAsia="宋体" w:cs="宋体"/>
          <w:spacing w:val="4"/>
          <w:sz w:val="24"/>
          <w:szCs w:val="24"/>
        </w:rPr>
        <w:t>在</w:t>
      </w:r>
      <w:r>
        <w:rPr>
          <w:rFonts w:ascii="Times New Roman" w:hAnsi="Times New Roman" w:eastAsia="Times New Roman" w:cs="Times New Roman"/>
          <w:spacing w:val="4"/>
          <w:sz w:val="24"/>
          <w:szCs w:val="24"/>
        </w:rPr>
        <w:t>C</w:t>
      </w:r>
      <w:r>
        <w:rPr>
          <w:rFonts w:ascii="宋体" w:hAnsi="宋体" w:eastAsia="宋体" w:cs="宋体"/>
          <w:spacing w:val="4"/>
          <w:sz w:val="24"/>
          <w:szCs w:val="24"/>
        </w:rPr>
        <w:t>的还原作用下，硅酸锰被还原成</w:t>
      </w:r>
      <w:r>
        <w:rPr>
          <w:rFonts w:ascii="Times New Roman" w:hAnsi="Times New Roman" w:eastAsia="Times New Roman" w:cs="Times New Roman"/>
          <w:sz w:val="24"/>
          <w:szCs w:val="24"/>
        </w:rPr>
        <w:t>Mn</w:t>
      </w:r>
      <w:r>
        <w:rPr>
          <w:rFonts w:ascii="Times New Roman" w:hAnsi="Times New Roman" w:eastAsia="Times New Roman" w:cs="Times New Roman"/>
          <w:spacing w:val="4"/>
          <w:sz w:val="15"/>
          <w:szCs w:val="15"/>
        </w:rPr>
        <w:t>3</w:t>
      </w:r>
      <w:r>
        <w:rPr>
          <w:rFonts w:ascii="Times New Roman" w:hAnsi="Times New Roman" w:eastAsia="Times New Roman" w:cs="Times New Roman"/>
          <w:spacing w:val="4"/>
          <w:sz w:val="24"/>
          <w:szCs w:val="24"/>
        </w:rPr>
        <w:t>C</w:t>
      </w:r>
      <w:r>
        <w:rPr>
          <w:rFonts w:ascii="宋体" w:hAnsi="宋体" w:eastAsia="宋体" w:cs="宋体"/>
          <w:spacing w:val="4"/>
          <w:sz w:val="24"/>
          <w:szCs w:val="24"/>
        </w:rPr>
        <w:t>与被还原出来的</w:t>
      </w:r>
      <w:r>
        <w:rPr>
          <w:rFonts w:ascii="Times New Roman" w:hAnsi="Times New Roman" w:eastAsia="Times New Roman" w:cs="Times New Roman"/>
          <w:sz w:val="24"/>
          <w:szCs w:val="24"/>
        </w:rPr>
        <w:t>Fe</w:t>
      </w:r>
      <w:r>
        <w:rPr>
          <w:rFonts w:ascii="宋体" w:hAnsi="宋体" w:eastAsia="宋体" w:cs="宋体"/>
          <w:spacing w:val="4"/>
          <w:sz w:val="24"/>
          <w:szCs w:val="24"/>
        </w:rPr>
        <w:t>形成</w:t>
      </w:r>
      <w:r>
        <w:rPr>
          <w:rFonts w:ascii="Times New Roman" w:hAnsi="Times New Roman" w:eastAsia="Times New Roman" w:cs="Times New Roman"/>
          <w:spacing w:val="4"/>
          <w:sz w:val="24"/>
          <w:szCs w:val="24"/>
        </w:rPr>
        <w:t>(</w:t>
      </w:r>
      <w:r>
        <w:rPr>
          <w:rFonts w:ascii="Times New Roman" w:hAnsi="Times New Roman" w:eastAsia="Times New Roman" w:cs="Times New Roman"/>
          <w:sz w:val="24"/>
          <w:szCs w:val="24"/>
        </w:rPr>
        <w:t>Mn</w:t>
      </w:r>
      <w:r>
        <w:rPr>
          <w:rFonts w:ascii="Times New Roman" w:hAnsi="Times New Roman" w:eastAsia="Times New Roman" w:cs="Times New Roman"/>
          <w:spacing w:val="4"/>
          <w:sz w:val="24"/>
          <w:szCs w:val="24"/>
        </w:rPr>
        <w:t>·</w:t>
      </w:r>
      <w:r>
        <w:rPr>
          <w:rFonts w:ascii="Times New Roman" w:hAnsi="Times New Roman" w:eastAsia="Times New Roman" w:cs="Times New Roman"/>
          <w:sz w:val="24"/>
          <w:szCs w:val="24"/>
        </w:rPr>
        <w:t>Fe</w:t>
      </w:r>
      <w:r>
        <w:rPr>
          <w:rFonts w:ascii="Times New Roman" w:hAnsi="Times New Roman" w:eastAsia="Times New Roman" w:cs="Times New Roman"/>
          <w:spacing w:val="4"/>
          <w:sz w:val="24"/>
          <w:szCs w:val="24"/>
        </w:rPr>
        <w:t>)</w:t>
      </w:r>
      <w:r>
        <w:rPr>
          <w:rFonts w:ascii="Times New Roman" w:hAnsi="Times New Roman" w:eastAsia="Times New Roman" w:cs="Times New Roman"/>
          <w:spacing w:val="4"/>
          <w:position w:val="-1"/>
          <w:sz w:val="15"/>
          <w:szCs w:val="15"/>
        </w:rPr>
        <w:t>3</w:t>
      </w:r>
      <w:r>
        <w:rPr>
          <w:rFonts w:ascii="Times New Roman" w:hAnsi="Times New Roman" w:eastAsia="Times New Roman" w:cs="Times New Roman"/>
          <w:spacing w:val="4"/>
          <w:sz w:val="24"/>
          <w:szCs w:val="24"/>
        </w:rPr>
        <w:t xml:space="preserve">C  </w:t>
      </w:r>
      <w:r>
        <w:rPr>
          <w:rFonts w:ascii="宋体" w:hAnsi="宋体" w:eastAsia="宋体" w:cs="宋体"/>
          <w:spacing w:val="4"/>
          <w:sz w:val="24"/>
          <w:szCs w:val="24"/>
        </w:rPr>
        <w:t xml:space="preserve">共熔 </w:t>
      </w:r>
      <w:r>
        <w:rPr>
          <w:rFonts w:ascii="宋体" w:hAnsi="宋体" w:eastAsia="宋体" w:cs="宋体"/>
          <w:spacing w:val="-2"/>
          <w:sz w:val="24"/>
          <w:szCs w:val="24"/>
        </w:rPr>
        <w:t>体，与此同时硅酸锰被还原成</w:t>
      </w:r>
      <w:r>
        <w:rPr>
          <w:rFonts w:ascii="Times New Roman" w:hAnsi="Times New Roman" w:eastAsia="Times New Roman" w:cs="Times New Roman"/>
          <w:spacing w:val="-2"/>
          <w:sz w:val="24"/>
          <w:szCs w:val="24"/>
        </w:rPr>
        <w:t>SiO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7"/>
          <w:position w:val="-1"/>
          <w:sz w:val="15"/>
          <w:szCs w:val="15"/>
        </w:rPr>
        <w:t xml:space="preserve"> </w:t>
      </w:r>
      <w:r>
        <w:rPr>
          <w:rFonts w:ascii="宋体" w:hAnsi="宋体" w:eastAsia="宋体" w:cs="宋体"/>
          <w:spacing w:val="-2"/>
          <w:sz w:val="24"/>
          <w:szCs w:val="24"/>
        </w:rPr>
        <w:t>，随温度的升高</w:t>
      </w:r>
      <w:r>
        <w:rPr>
          <w:rFonts w:ascii="Times New Roman" w:hAnsi="Times New Roman" w:eastAsia="Times New Roman" w:cs="Times New Roman"/>
          <w:spacing w:val="-2"/>
          <w:sz w:val="24"/>
          <w:szCs w:val="24"/>
        </w:rPr>
        <w:t>SiO</w:t>
      </w:r>
      <w:r>
        <w:rPr>
          <w:rFonts w:ascii="Times New Roman" w:hAnsi="Times New Roman" w:eastAsia="Times New Roman" w:cs="Times New Roman"/>
          <w:spacing w:val="-2"/>
          <w:position w:val="-1"/>
          <w:sz w:val="15"/>
          <w:szCs w:val="15"/>
        </w:rPr>
        <w:t>2</w:t>
      </w:r>
      <w:r>
        <w:rPr>
          <w:rFonts w:ascii="宋体" w:hAnsi="宋体" w:eastAsia="宋体" w:cs="宋体"/>
          <w:spacing w:val="-2"/>
          <w:sz w:val="24"/>
          <w:szCs w:val="24"/>
        </w:rPr>
        <w:t>亦与</w:t>
      </w:r>
      <w:r>
        <w:rPr>
          <w:rFonts w:ascii="Times New Roman" w:hAnsi="Times New Roman" w:eastAsia="Times New Roman" w:cs="Times New Roman"/>
          <w:spacing w:val="-2"/>
          <w:sz w:val="24"/>
          <w:szCs w:val="24"/>
        </w:rPr>
        <w:t>C</w:t>
      </w:r>
      <w:r>
        <w:rPr>
          <w:rFonts w:ascii="宋体" w:hAnsi="宋体" w:eastAsia="宋体" w:cs="宋体"/>
          <w:spacing w:val="-2"/>
          <w:sz w:val="24"/>
          <w:szCs w:val="24"/>
        </w:rPr>
        <w:t>发生反应生成</w:t>
      </w:r>
      <w:r>
        <w:rPr>
          <w:rFonts w:ascii="Times New Roman" w:hAnsi="Times New Roman" w:eastAsia="Times New Roman" w:cs="Times New Roman"/>
          <w:spacing w:val="-2"/>
          <w:sz w:val="24"/>
          <w:szCs w:val="24"/>
        </w:rPr>
        <w:t>Si</w:t>
      </w:r>
      <w:r>
        <w:rPr>
          <w:rFonts w:ascii="宋体" w:hAnsi="宋体" w:eastAsia="宋体" w:cs="宋体"/>
          <w:spacing w:val="-2"/>
          <w:sz w:val="24"/>
          <w:szCs w:val="24"/>
        </w:rPr>
        <w:t>和</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。由</w:t>
      </w:r>
      <w:r>
        <w:rPr>
          <w:rFonts w:ascii="宋体" w:hAnsi="宋体" w:eastAsia="宋体" w:cs="宋体"/>
          <w:sz w:val="24"/>
          <w:szCs w:val="24"/>
        </w:rPr>
        <w:t xml:space="preserve"> </w:t>
      </w:r>
      <w:r>
        <w:rPr>
          <w:rFonts w:ascii="宋体" w:hAnsi="宋体" w:eastAsia="宋体" w:cs="宋体"/>
          <w:spacing w:val="-2"/>
          <w:sz w:val="24"/>
          <w:szCs w:val="24"/>
        </w:rPr>
        <w:t>于</w:t>
      </w:r>
      <w:r>
        <w:rPr>
          <w:rFonts w:ascii="Times New Roman" w:hAnsi="Times New Roman" w:eastAsia="Times New Roman" w:cs="Times New Roman"/>
          <w:spacing w:val="-2"/>
          <w:sz w:val="24"/>
          <w:szCs w:val="24"/>
        </w:rPr>
        <w:t>MnSi</w:t>
      </w:r>
      <w:r>
        <w:rPr>
          <w:rFonts w:ascii="宋体" w:hAnsi="宋体" w:eastAsia="宋体" w:cs="宋体"/>
          <w:spacing w:val="-2"/>
          <w:sz w:val="24"/>
          <w:szCs w:val="24"/>
        </w:rPr>
        <w:t>的稳定性较</w:t>
      </w:r>
      <w:r>
        <w:rPr>
          <w:rFonts w:ascii="Times New Roman" w:hAnsi="Times New Roman" w:eastAsia="Times New Roman" w:cs="Times New Roman"/>
          <w:spacing w:val="-2"/>
          <w:sz w:val="24"/>
          <w:szCs w:val="24"/>
        </w:rPr>
        <w:t>Mn</w:t>
      </w:r>
      <w:r>
        <w:rPr>
          <w:rFonts w:ascii="Times New Roman" w:hAnsi="Times New Roman" w:eastAsia="Times New Roman" w:cs="Times New Roman"/>
          <w:spacing w:val="-2"/>
          <w:sz w:val="15"/>
          <w:szCs w:val="15"/>
        </w:rPr>
        <w:t>3</w:t>
      </w:r>
      <w:r>
        <w:rPr>
          <w:rFonts w:ascii="Times New Roman" w:hAnsi="Times New Roman" w:eastAsia="Times New Roman" w:cs="Times New Roman"/>
          <w:spacing w:val="-2"/>
          <w:sz w:val="24"/>
          <w:szCs w:val="24"/>
        </w:rPr>
        <w:t>C</w:t>
      </w:r>
      <w:r>
        <w:rPr>
          <w:rFonts w:ascii="宋体" w:hAnsi="宋体" w:eastAsia="宋体" w:cs="宋体"/>
          <w:spacing w:val="-2"/>
          <w:sz w:val="24"/>
          <w:szCs w:val="24"/>
        </w:rPr>
        <w:t>强，因此被还原出来的</w:t>
      </w:r>
      <w:r>
        <w:rPr>
          <w:rFonts w:ascii="Times New Roman" w:hAnsi="Times New Roman" w:eastAsia="Times New Roman" w:cs="Times New Roman"/>
          <w:spacing w:val="-2"/>
          <w:sz w:val="24"/>
          <w:szCs w:val="24"/>
        </w:rPr>
        <w:t>Si</w:t>
      </w:r>
      <w:r>
        <w:rPr>
          <w:rFonts w:ascii="宋体" w:hAnsi="宋体" w:eastAsia="宋体" w:cs="宋体"/>
          <w:spacing w:val="-2"/>
          <w:sz w:val="24"/>
          <w:szCs w:val="24"/>
        </w:rPr>
        <w:t>与</w:t>
      </w:r>
      <w:r>
        <w:rPr>
          <w:rFonts w:ascii="Times New Roman" w:hAnsi="Times New Roman" w:eastAsia="Times New Roman" w:cs="Times New Roman"/>
          <w:spacing w:val="-2"/>
          <w:sz w:val="24"/>
          <w:szCs w:val="24"/>
        </w:rPr>
        <w:t>Mn</w:t>
      </w:r>
      <w:r>
        <w:rPr>
          <w:rFonts w:ascii="Times New Roman" w:hAnsi="Times New Roman" w:eastAsia="Times New Roman" w:cs="Times New Roman"/>
          <w:spacing w:val="-2"/>
          <w:sz w:val="15"/>
          <w:szCs w:val="15"/>
        </w:rPr>
        <w:t>3</w:t>
      </w:r>
      <w:r>
        <w:rPr>
          <w:rFonts w:ascii="Times New Roman" w:hAnsi="Times New Roman" w:eastAsia="Times New Roman" w:cs="Times New Roman"/>
          <w:spacing w:val="-2"/>
          <w:sz w:val="24"/>
          <w:szCs w:val="24"/>
        </w:rPr>
        <w:t>C</w:t>
      </w:r>
      <w:r>
        <w:rPr>
          <w:rFonts w:ascii="宋体" w:hAnsi="宋体" w:eastAsia="宋体" w:cs="宋体"/>
          <w:spacing w:val="-2"/>
          <w:sz w:val="24"/>
          <w:szCs w:val="24"/>
        </w:rPr>
        <w:t>反应生成</w:t>
      </w:r>
      <w:r>
        <w:rPr>
          <w:rFonts w:ascii="Times New Roman" w:hAnsi="Times New Roman" w:eastAsia="Times New Roman" w:cs="Times New Roman"/>
          <w:spacing w:val="-2"/>
          <w:sz w:val="24"/>
          <w:szCs w:val="24"/>
        </w:rPr>
        <w:t>MnSi</w:t>
      </w:r>
      <w:r>
        <w:rPr>
          <w:rFonts w:ascii="Times New Roman" w:hAnsi="Times New Roman" w:eastAsia="Times New Roman" w:cs="Times New Roman"/>
          <w:spacing w:val="-29"/>
          <w:sz w:val="24"/>
          <w:szCs w:val="24"/>
        </w:rPr>
        <w:t xml:space="preserve"> </w:t>
      </w:r>
      <w:r>
        <w:rPr>
          <w:rFonts w:ascii="宋体" w:hAnsi="宋体" w:eastAsia="宋体" w:cs="宋体"/>
          <w:spacing w:val="-2"/>
          <w:sz w:val="24"/>
          <w:szCs w:val="24"/>
        </w:rPr>
        <w:t>。其</w:t>
      </w:r>
      <w:r>
        <w:rPr>
          <w:rFonts w:ascii="宋体" w:hAnsi="宋体" w:eastAsia="宋体" w:cs="宋体"/>
          <w:spacing w:val="-3"/>
          <w:sz w:val="24"/>
          <w:szCs w:val="24"/>
        </w:rPr>
        <w:t>反应式为：</w:t>
      </w:r>
    </w:p>
    <w:p w14:paraId="44180D16">
      <w:pPr>
        <w:spacing w:before="6" w:line="323" w:lineRule="exact"/>
        <w:ind w:left="494"/>
        <w:rPr>
          <w:rFonts w:ascii="Times New Roman" w:hAnsi="Times New Roman" w:eastAsia="Times New Roman" w:cs="Times New Roman"/>
          <w:sz w:val="24"/>
          <w:szCs w:val="24"/>
        </w:rPr>
      </w:pPr>
      <w:r>
        <w:rPr>
          <w:rFonts w:ascii="Times New Roman" w:hAnsi="Times New Roman" w:eastAsia="Times New Roman" w:cs="Times New Roman"/>
          <w:spacing w:val="-1"/>
          <w:position w:val="4"/>
          <w:sz w:val="24"/>
          <w:szCs w:val="24"/>
        </w:rPr>
        <w:t>SiO</w:t>
      </w:r>
      <w:r>
        <w:rPr>
          <w:rFonts w:ascii="Times New Roman" w:hAnsi="Times New Roman" w:eastAsia="Times New Roman" w:cs="Times New Roman"/>
          <w:spacing w:val="-1"/>
          <w:position w:val="3"/>
          <w:sz w:val="15"/>
          <w:szCs w:val="15"/>
        </w:rPr>
        <w:t>2</w:t>
      </w:r>
      <w:r>
        <w:rPr>
          <w:rFonts w:ascii="Times New Roman" w:hAnsi="Times New Roman" w:eastAsia="Times New Roman" w:cs="Times New Roman"/>
          <w:spacing w:val="-1"/>
          <w:position w:val="4"/>
          <w:sz w:val="24"/>
          <w:szCs w:val="24"/>
        </w:rPr>
        <w:t>+2C =Si+ 2CO↑</w:t>
      </w:r>
    </w:p>
    <w:p w14:paraId="516B1E37">
      <w:pPr>
        <w:spacing w:before="152" w:line="323" w:lineRule="exact"/>
        <w:ind w:left="507"/>
        <w:rPr>
          <w:rFonts w:ascii="Times New Roman" w:hAnsi="Times New Roman" w:eastAsia="Times New Roman" w:cs="Times New Roman"/>
          <w:sz w:val="24"/>
          <w:szCs w:val="24"/>
        </w:rPr>
      </w:pPr>
      <w:r>
        <w:rPr>
          <w:rFonts w:ascii="Times New Roman" w:hAnsi="Times New Roman" w:eastAsia="Times New Roman" w:cs="Times New Roman"/>
          <w:spacing w:val="-2"/>
          <w:position w:val="2"/>
          <w:sz w:val="24"/>
          <w:szCs w:val="24"/>
        </w:rPr>
        <w:t>1/3 Mn</w:t>
      </w:r>
      <w:r>
        <w:rPr>
          <w:rFonts w:ascii="Times New Roman" w:hAnsi="Times New Roman" w:eastAsia="Times New Roman" w:cs="Times New Roman"/>
          <w:spacing w:val="-2"/>
          <w:position w:val="2"/>
          <w:sz w:val="15"/>
          <w:szCs w:val="15"/>
        </w:rPr>
        <w:t>3</w:t>
      </w:r>
      <w:r>
        <w:rPr>
          <w:rFonts w:ascii="Times New Roman" w:hAnsi="Times New Roman" w:eastAsia="Times New Roman" w:cs="Times New Roman"/>
          <w:spacing w:val="-2"/>
          <w:position w:val="2"/>
          <w:sz w:val="24"/>
          <w:szCs w:val="24"/>
        </w:rPr>
        <w:t>C+</w:t>
      </w:r>
      <w:r>
        <w:rPr>
          <w:rFonts w:ascii="Times New Roman" w:hAnsi="Times New Roman" w:eastAsia="Times New Roman" w:cs="Times New Roman"/>
          <w:spacing w:val="18"/>
          <w:w w:val="101"/>
          <w:position w:val="2"/>
          <w:sz w:val="24"/>
          <w:szCs w:val="24"/>
        </w:rPr>
        <w:t xml:space="preserve"> </w:t>
      </w:r>
      <w:r>
        <w:rPr>
          <w:rFonts w:ascii="Times New Roman" w:hAnsi="Times New Roman" w:eastAsia="Times New Roman" w:cs="Times New Roman"/>
          <w:spacing w:val="-2"/>
          <w:position w:val="2"/>
          <w:sz w:val="24"/>
          <w:szCs w:val="24"/>
        </w:rPr>
        <w:t>Si= MnSi+1/3C</w:t>
      </w:r>
    </w:p>
    <w:p w14:paraId="6FFB71E3">
      <w:pPr>
        <w:spacing w:before="200" w:line="350" w:lineRule="auto"/>
        <w:ind w:left="8" w:right="52" w:firstLine="493"/>
        <w:rPr>
          <w:rFonts w:ascii="宋体" w:hAnsi="宋体" w:eastAsia="宋体" w:cs="宋体"/>
          <w:sz w:val="24"/>
          <w:szCs w:val="24"/>
        </w:rPr>
      </w:pPr>
      <w:r>
        <w:rPr>
          <w:rFonts w:ascii="宋体" w:hAnsi="宋体" w:eastAsia="宋体" w:cs="宋体"/>
          <w:spacing w:val="-4"/>
          <w:sz w:val="24"/>
          <w:szCs w:val="24"/>
        </w:rPr>
        <w:t>随着还原出来的硅含量的提高，碳化锰受到破坏，合金中碳的含量进一步降低。用</w:t>
      </w:r>
      <w:r>
        <w:rPr>
          <w:rFonts w:ascii="宋体" w:hAnsi="宋体" w:eastAsia="宋体" w:cs="宋体"/>
          <w:spacing w:val="17"/>
          <w:sz w:val="24"/>
          <w:szCs w:val="24"/>
        </w:rPr>
        <w:t xml:space="preserve"> </w:t>
      </w:r>
      <w:r>
        <w:rPr>
          <w:rFonts w:ascii="宋体" w:hAnsi="宋体" w:eastAsia="宋体" w:cs="宋体"/>
          <w:spacing w:val="-1"/>
          <w:sz w:val="24"/>
          <w:szCs w:val="24"/>
        </w:rPr>
        <w:t>碳从液态炉渣中还原生产锰硅合金的总反应式为：</w:t>
      </w:r>
    </w:p>
    <w:p w14:paraId="4D87F809">
      <w:pPr>
        <w:spacing w:line="323" w:lineRule="exact"/>
        <w:ind w:left="483"/>
        <w:rPr>
          <w:rFonts w:ascii="Times New Roman" w:hAnsi="Times New Roman" w:eastAsia="Times New Roman" w:cs="Times New Roman"/>
          <w:sz w:val="24"/>
          <w:szCs w:val="24"/>
        </w:rPr>
      </w:pPr>
      <w:r>
        <w:rPr>
          <w:rFonts w:ascii="Times New Roman" w:hAnsi="Times New Roman" w:eastAsia="Times New Roman" w:cs="Times New Roman"/>
          <w:position w:val="4"/>
          <w:sz w:val="24"/>
          <w:szCs w:val="24"/>
        </w:rPr>
        <w:t>MnO·SiO</w:t>
      </w:r>
      <w:r>
        <w:rPr>
          <w:rFonts w:ascii="Times New Roman" w:hAnsi="Times New Roman" w:eastAsia="Times New Roman" w:cs="Times New Roman"/>
          <w:position w:val="3"/>
          <w:sz w:val="15"/>
          <w:szCs w:val="15"/>
        </w:rPr>
        <w:t>2</w:t>
      </w:r>
      <w:r>
        <w:rPr>
          <w:rFonts w:ascii="Times New Roman" w:hAnsi="Times New Roman" w:eastAsia="Times New Roman" w:cs="Times New Roman"/>
          <w:position w:val="4"/>
          <w:sz w:val="24"/>
          <w:szCs w:val="24"/>
        </w:rPr>
        <w:t>+3C=MnSi+3C</w:t>
      </w:r>
      <w:r>
        <w:rPr>
          <w:rFonts w:ascii="Times New Roman" w:hAnsi="Times New Roman" w:eastAsia="Times New Roman" w:cs="Times New Roman"/>
          <w:spacing w:val="-1"/>
          <w:position w:val="4"/>
          <w:sz w:val="24"/>
          <w:szCs w:val="24"/>
        </w:rPr>
        <w:t>O↑</w:t>
      </w:r>
    </w:p>
    <w:p w14:paraId="24888FD3">
      <w:pPr>
        <w:spacing w:before="199" w:line="354" w:lineRule="auto"/>
        <w:ind w:left="487" w:right="6964"/>
        <w:rPr>
          <w:rFonts w:ascii="宋体" w:hAnsi="宋体" w:eastAsia="宋体" w:cs="宋体"/>
          <w:sz w:val="24"/>
          <w:szCs w:val="24"/>
        </w:rPr>
      </w:pPr>
      <w:r>
        <w:rPr>
          <w:rFonts w:ascii="宋体" w:hAnsi="宋体" w:eastAsia="宋体" w:cs="宋体"/>
          <w:b/>
          <w:bCs/>
          <w:spacing w:val="-12"/>
          <w:sz w:val="24"/>
          <w:szCs w:val="24"/>
        </w:rPr>
        <w:t>产污环节分析：</w:t>
      </w:r>
      <w:r>
        <w:rPr>
          <w:rFonts w:ascii="宋体" w:hAnsi="宋体" w:eastAsia="宋体" w:cs="宋体"/>
          <w:sz w:val="24"/>
          <w:szCs w:val="24"/>
        </w:rPr>
        <w:t xml:space="preserve"> </w:t>
      </w:r>
      <w:r>
        <w:rPr>
          <w:rFonts w:ascii="宋体" w:hAnsi="宋体" w:eastAsia="宋体" w:cs="宋体"/>
          <w:b/>
          <w:bCs/>
          <w:spacing w:val="-6"/>
          <w:sz w:val="24"/>
          <w:szCs w:val="24"/>
        </w:rPr>
        <w:t>废气：</w:t>
      </w:r>
    </w:p>
    <w:p w14:paraId="258CD2B0">
      <w:pPr>
        <w:spacing w:before="31" w:line="217" w:lineRule="auto"/>
        <w:ind w:left="487"/>
        <w:rPr>
          <w:rFonts w:ascii="宋体" w:hAnsi="宋体" w:eastAsia="宋体" w:cs="宋体"/>
          <w:sz w:val="24"/>
          <w:szCs w:val="24"/>
        </w:rPr>
      </w:pPr>
      <w:r>
        <w:rPr>
          <w:rFonts w:ascii="宋体" w:hAnsi="宋体" w:eastAsia="宋体" w:cs="宋体"/>
          <w:spacing w:val="-1"/>
          <w:sz w:val="24"/>
          <w:szCs w:val="24"/>
        </w:rPr>
        <w:t>①锰硅电炉配料站粉尘（</w:t>
      </w:r>
      <w:r>
        <w:rPr>
          <w:rFonts w:ascii="Times New Roman" w:hAnsi="Times New Roman" w:eastAsia="Times New Roman" w:cs="Times New Roman"/>
          <w:spacing w:val="-1"/>
          <w:sz w:val="24"/>
          <w:szCs w:val="24"/>
        </w:rPr>
        <w:t>G</w:t>
      </w:r>
      <w:r>
        <w:rPr>
          <w:rFonts w:ascii="Times New Roman" w:hAnsi="Times New Roman" w:eastAsia="Times New Roman" w:cs="Times New Roman"/>
          <w:spacing w:val="-1"/>
          <w:sz w:val="15"/>
          <w:szCs w:val="15"/>
        </w:rPr>
        <w:t xml:space="preserve">1-8 </w:t>
      </w:r>
      <w:r>
        <w:rPr>
          <w:rFonts w:ascii="宋体" w:hAnsi="宋体" w:eastAsia="宋体" w:cs="宋体"/>
          <w:sz w:val="24"/>
          <w:szCs w:val="24"/>
        </w:rPr>
        <w:t>）：</w:t>
      </w:r>
      <w:r>
        <w:rPr>
          <w:rFonts w:ascii="宋体" w:hAnsi="宋体" w:eastAsia="宋体" w:cs="宋体"/>
          <w:spacing w:val="-1"/>
          <w:sz w:val="24"/>
          <w:szCs w:val="24"/>
        </w:rPr>
        <w:t>电炉车</w:t>
      </w:r>
      <w:r>
        <w:rPr>
          <w:rFonts w:ascii="宋体" w:hAnsi="宋体" w:eastAsia="宋体" w:cs="宋体"/>
          <w:spacing w:val="-2"/>
          <w:sz w:val="24"/>
          <w:szCs w:val="24"/>
        </w:rPr>
        <w:t>间配置</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 xml:space="preserve">6 </w:t>
      </w:r>
      <w:r>
        <w:rPr>
          <w:rFonts w:ascii="宋体" w:hAnsi="宋体" w:eastAsia="宋体" w:cs="宋体"/>
          <w:spacing w:val="-2"/>
          <w:sz w:val="24"/>
          <w:szCs w:val="24"/>
        </w:rPr>
        <w:t>座配料站，原料堆棚中原料经装</w:t>
      </w:r>
    </w:p>
    <w:p w14:paraId="16A0E734">
      <w:pPr>
        <w:spacing w:line="217" w:lineRule="auto"/>
        <w:rPr>
          <w:rFonts w:ascii="宋体" w:hAnsi="宋体" w:eastAsia="宋体" w:cs="宋体"/>
          <w:sz w:val="24"/>
          <w:szCs w:val="24"/>
        </w:rPr>
        <w:sectPr>
          <w:headerReference r:id="rId113" w:type="default"/>
          <w:footerReference r:id="rId114" w:type="default"/>
          <w:pgSz w:w="11850" w:h="16781"/>
          <w:pgMar w:top="1178" w:right="1363" w:bottom="1013" w:left="1417" w:header="870" w:footer="850" w:gutter="0"/>
          <w:cols w:space="720" w:num="1"/>
        </w:sectPr>
      </w:pPr>
    </w:p>
    <w:p w14:paraId="14E2C46D">
      <w:pPr>
        <w:pStyle w:val="2"/>
        <w:spacing w:line="277" w:lineRule="auto"/>
      </w:pPr>
      <w:r>
        <w:pict>
          <v:shape id="_x0000_s1167" o:spid="_x0000_s1167" style="position:absolute;left:0pt;margin-left:0pt;margin-top:0.75pt;height:0.75pt;width:450.75pt;z-index:251825152;mso-width-relative:page;mso-height-relative:page;" fillcolor="#000000" filled="t" stroked="f" coordsize="9015,15" path="m0,0l9014,0,9014,14,0,14,0,0xe">
            <v:path/>
            <v:fill on="t" focussize="0,0"/>
            <v:stroke on="f"/>
            <v:imagedata o:title=""/>
            <o:lock v:ext="edit"/>
          </v:shape>
        </w:pict>
      </w:r>
    </w:p>
    <w:p w14:paraId="0496F8BE">
      <w:pPr>
        <w:spacing w:before="78" w:line="354" w:lineRule="auto"/>
        <w:ind w:left="6" w:firstLine="2"/>
        <w:rPr>
          <w:rFonts w:ascii="宋体" w:hAnsi="宋体" w:eastAsia="宋体" w:cs="宋体"/>
          <w:sz w:val="24"/>
          <w:szCs w:val="24"/>
        </w:rPr>
      </w:pPr>
      <w:r>
        <w:rPr>
          <w:rFonts w:ascii="宋体" w:hAnsi="宋体" w:eastAsia="宋体" w:cs="宋体"/>
          <w:spacing w:val="-4"/>
          <w:sz w:val="24"/>
          <w:szCs w:val="24"/>
        </w:rPr>
        <w:t>载机、皮带运至配料站料仓内，进料及配料过程中会产生粉尘，共配置</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6</w:t>
      </w:r>
      <w:r>
        <w:rPr>
          <w:rFonts w:ascii="Times New Roman" w:hAnsi="Times New Roman" w:eastAsia="Times New Roman" w:cs="Times New Roman"/>
          <w:spacing w:val="28"/>
          <w:sz w:val="24"/>
          <w:szCs w:val="24"/>
        </w:rPr>
        <w:t xml:space="preserve"> </w:t>
      </w:r>
      <w:r>
        <w:rPr>
          <w:rFonts w:ascii="宋体" w:hAnsi="宋体" w:eastAsia="宋体" w:cs="宋体"/>
          <w:spacing w:val="-4"/>
          <w:sz w:val="24"/>
          <w:szCs w:val="24"/>
        </w:rPr>
        <w:t>台布袋除尘器</w:t>
      </w:r>
      <w:r>
        <w:rPr>
          <w:rFonts w:ascii="宋体" w:hAnsi="宋体" w:eastAsia="宋体" w:cs="宋体"/>
          <w:sz w:val="24"/>
          <w:szCs w:val="24"/>
        </w:rPr>
        <w:t xml:space="preserve"> </w:t>
      </w:r>
      <w:r>
        <w:rPr>
          <w:rFonts w:ascii="宋体" w:hAnsi="宋体" w:eastAsia="宋体" w:cs="宋体"/>
          <w:spacing w:val="-2"/>
          <w:sz w:val="24"/>
          <w:szCs w:val="24"/>
        </w:rPr>
        <w:t>进行处理。</w:t>
      </w:r>
    </w:p>
    <w:p w14:paraId="5737AD68">
      <w:pPr>
        <w:spacing w:before="32" w:line="358" w:lineRule="auto"/>
        <w:ind w:left="8" w:firstLine="478"/>
        <w:jc w:val="both"/>
        <w:rPr>
          <w:rFonts w:ascii="宋体" w:hAnsi="宋体" w:eastAsia="宋体" w:cs="宋体"/>
          <w:sz w:val="24"/>
          <w:szCs w:val="24"/>
        </w:rPr>
      </w:pPr>
      <w:r>
        <w:rPr>
          <w:rFonts w:ascii="宋体" w:hAnsi="宋体" w:eastAsia="宋体" w:cs="宋体"/>
          <w:sz w:val="24"/>
          <w:szCs w:val="24"/>
        </w:rPr>
        <w:t>②锰硅电炉加料粉尘（</w:t>
      </w:r>
      <w:r>
        <w:rPr>
          <w:rFonts w:ascii="Times New Roman" w:hAnsi="Times New Roman" w:eastAsia="Times New Roman" w:cs="Times New Roman"/>
          <w:sz w:val="24"/>
          <w:szCs w:val="24"/>
        </w:rPr>
        <w:t>G</w:t>
      </w:r>
      <w:r>
        <w:rPr>
          <w:rFonts w:ascii="Times New Roman" w:hAnsi="Times New Roman" w:eastAsia="Times New Roman" w:cs="Times New Roman"/>
          <w:sz w:val="15"/>
          <w:szCs w:val="15"/>
        </w:rPr>
        <w:t xml:space="preserve">1-9 </w:t>
      </w:r>
      <w:r>
        <w:rPr>
          <w:rFonts w:ascii="宋体" w:hAnsi="宋体" w:eastAsia="宋体" w:cs="宋体"/>
          <w:spacing w:val="-14"/>
          <w:sz w:val="24"/>
          <w:szCs w:val="24"/>
        </w:rPr>
        <w:t>）：</w:t>
      </w:r>
      <w:r>
        <w:rPr>
          <w:rFonts w:ascii="宋体" w:hAnsi="宋体" w:eastAsia="宋体" w:cs="宋体"/>
          <w:sz w:val="24"/>
          <w:szCs w:val="24"/>
        </w:rPr>
        <w:t>配置好的原</w:t>
      </w:r>
      <w:r>
        <w:rPr>
          <w:rFonts w:ascii="宋体" w:hAnsi="宋体" w:eastAsia="宋体" w:cs="宋体"/>
          <w:spacing w:val="-1"/>
          <w:sz w:val="24"/>
          <w:szCs w:val="24"/>
        </w:rPr>
        <w:t>料经皮带进入炉顶料仓，通过炉顶的布</w:t>
      </w:r>
      <w:r>
        <w:rPr>
          <w:rFonts w:ascii="宋体" w:hAnsi="宋体" w:eastAsia="宋体" w:cs="宋体"/>
          <w:sz w:val="24"/>
          <w:szCs w:val="24"/>
        </w:rPr>
        <w:t xml:space="preserve"> </w:t>
      </w:r>
      <w:r>
        <w:rPr>
          <w:rFonts w:ascii="宋体" w:hAnsi="宋体" w:eastAsia="宋体" w:cs="宋体"/>
          <w:spacing w:val="-4"/>
          <w:sz w:val="24"/>
          <w:szCs w:val="24"/>
        </w:rPr>
        <w:t>料系统进入电炉，上料过程中会有粉尘产生，共配置</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6</w:t>
      </w:r>
      <w:r>
        <w:rPr>
          <w:rFonts w:ascii="Times New Roman" w:hAnsi="Times New Roman" w:eastAsia="Times New Roman" w:cs="Times New Roman"/>
          <w:spacing w:val="28"/>
          <w:sz w:val="24"/>
          <w:szCs w:val="24"/>
        </w:rPr>
        <w:t xml:space="preserve"> </w:t>
      </w:r>
      <w:r>
        <w:rPr>
          <w:rFonts w:ascii="宋体" w:hAnsi="宋体" w:eastAsia="宋体" w:cs="宋体"/>
          <w:spacing w:val="-4"/>
          <w:sz w:val="24"/>
          <w:szCs w:val="24"/>
        </w:rPr>
        <w:t>台布袋除尘器进行处理，用于收</w:t>
      </w:r>
      <w:r>
        <w:rPr>
          <w:rFonts w:ascii="宋体" w:hAnsi="宋体" w:eastAsia="宋体" w:cs="宋体"/>
          <w:sz w:val="24"/>
          <w:szCs w:val="24"/>
        </w:rPr>
        <w:t xml:space="preserve"> </w:t>
      </w:r>
      <w:r>
        <w:rPr>
          <w:rFonts w:ascii="宋体" w:hAnsi="宋体" w:eastAsia="宋体" w:cs="宋体"/>
          <w:spacing w:val="-1"/>
          <w:sz w:val="24"/>
          <w:szCs w:val="24"/>
        </w:rPr>
        <w:t>集处理炉顶料仓和转运皮带落料点粉尘。</w:t>
      </w:r>
    </w:p>
    <w:p w14:paraId="429791A7">
      <w:pPr>
        <w:spacing w:before="35" w:line="220" w:lineRule="auto"/>
        <w:ind w:left="508"/>
        <w:rPr>
          <w:rFonts w:ascii="宋体" w:hAnsi="宋体" w:eastAsia="宋体" w:cs="宋体"/>
          <w:sz w:val="24"/>
          <w:szCs w:val="24"/>
        </w:rPr>
      </w:pPr>
      <w:r>
        <w:rPr>
          <w:rFonts w:ascii="宋体" w:hAnsi="宋体" w:eastAsia="宋体" w:cs="宋体"/>
          <w:b/>
          <w:bCs/>
          <w:spacing w:val="-13"/>
          <w:sz w:val="24"/>
          <w:szCs w:val="24"/>
        </w:rPr>
        <w:t>固废：</w:t>
      </w:r>
    </w:p>
    <w:p w14:paraId="498B5DDA">
      <w:pPr>
        <w:spacing w:before="191" w:line="293" w:lineRule="auto"/>
        <w:ind w:left="10" w:firstLine="477"/>
        <w:rPr>
          <w:rFonts w:ascii="宋体" w:hAnsi="宋体" w:eastAsia="宋体" w:cs="宋体"/>
          <w:sz w:val="24"/>
          <w:szCs w:val="24"/>
        </w:rPr>
      </w:pPr>
      <w:r>
        <w:rPr>
          <w:rFonts w:ascii="宋体" w:hAnsi="宋体" w:eastAsia="宋体" w:cs="宋体"/>
          <w:spacing w:val="-2"/>
          <w:sz w:val="24"/>
          <w:szCs w:val="24"/>
        </w:rPr>
        <w:t>①废耐火材料（</w:t>
      </w:r>
      <w:r>
        <w:rPr>
          <w:rFonts w:ascii="Times New Roman" w:hAnsi="Times New Roman" w:eastAsia="Times New Roman" w:cs="Times New Roman"/>
          <w:spacing w:val="-2"/>
          <w:sz w:val="24"/>
          <w:szCs w:val="24"/>
        </w:rPr>
        <w:t>S</w:t>
      </w:r>
      <w:r>
        <w:rPr>
          <w:rFonts w:ascii="Times New Roman" w:hAnsi="Times New Roman" w:eastAsia="Times New Roman" w:cs="Times New Roman"/>
          <w:spacing w:val="-2"/>
          <w:position w:val="-1"/>
          <w:sz w:val="15"/>
          <w:szCs w:val="15"/>
        </w:rPr>
        <w:t xml:space="preserve">1-3 </w:t>
      </w:r>
      <w:r>
        <w:rPr>
          <w:rFonts w:ascii="宋体" w:hAnsi="宋体" w:eastAsia="宋体" w:cs="宋体"/>
          <w:spacing w:val="-5"/>
          <w:sz w:val="24"/>
          <w:szCs w:val="24"/>
        </w:rPr>
        <w:t>）：</w:t>
      </w:r>
      <w:r>
        <w:rPr>
          <w:rFonts w:ascii="宋体" w:hAnsi="宋体" w:eastAsia="宋体" w:cs="宋体"/>
          <w:spacing w:val="-2"/>
          <w:sz w:val="24"/>
          <w:szCs w:val="24"/>
        </w:rPr>
        <w:t>电炉各部位耐火材料正常使用周期为</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 xml:space="preserve">8 </w:t>
      </w:r>
      <w:r>
        <w:rPr>
          <w:rFonts w:ascii="宋体" w:hAnsi="宋体" w:eastAsia="宋体" w:cs="宋体"/>
          <w:spacing w:val="-2"/>
          <w:sz w:val="24"/>
          <w:szCs w:val="24"/>
        </w:rPr>
        <w:t>个月</w:t>
      </w:r>
      <w:r>
        <w:rPr>
          <w:rFonts w:ascii="Times New Roman" w:hAnsi="Times New Roman" w:eastAsia="Times New Roman" w:cs="Times New Roman"/>
          <w:spacing w:val="-2"/>
          <w:sz w:val="24"/>
          <w:szCs w:val="24"/>
        </w:rPr>
        <w:t xml:space="preserve">~5 </w:t>
      </w:r>
      <w:r>
        <w:rPr>
          <w:rFonts w:ascii="宋体" w:hAnsi="宋体" w:eastAsia="宋体" w:cs="宋体"/>
          <w:spacing w:val="-2"/>
          <w:sz w:val="24"/>
          <w:szCs w:val="24"/>
        </w:rPr>
        <w:t>年，正常使</w:t>
      </w:r>
      <w:r>
        <w:rPr>
          <w:rFonts w:ascii="宋体" w:hAnsi="宋体" w:eastAsia="宋体" w:cs="宋体"/>
          <w:sz w:val="24"/>
          <w:szCs w:val="24"/>
        </w:rPr>
        <w:t xml:space="preserve"> 用周期后需要进行检修更换，更换产生大量的废耐火材</w:t>
      </w:r>
      <w:r>
        <w:rPr>
          <w:rFonts w:ascii="宋体" w:hAnsi="宋体" w:eastAsia="宋体" w:cs="宋体"/>
          <w:spacing w:val="-1"/>
          <w:sz w:val="24"/>
          <w:szCs w:val="24"/>
        </w:rPr>
        <w:t>料，外售用作生产建材原料。</w:t>
      </w:r>
    </w:p>
    <w:p w14:paraId="67610476">
      <w:pPr>
        <w:spacing w:before="191" w:line="217" w:lineRule="auto"/>
        <w:ind w:left="486"/>
        <w:rPr>
          <w:rFonts w:ascii="宋体" w:hAnsi="宋体" w:eastAsia="宋体" w:cs="宋体"/>
          <w:sz w:val="24"/>
          <w:szCs w:val="24"/>
        </w:rPr>
      </w:pPr>
      <w:r>
        <w:rPr>
          <w:rFonts w:ascii="宋体" w:hAnsi="宋体" w:eastAsia="宋体" w:cs="宋体"/>
          <w:sz w:val="24"/>
          <w:szCs w:val="24"/>
        </w:rPr>
        <w:t>②除尘器收集的含锰除尘灰返回生产工序中，去</w:t>
      </w:r>
      <w:r>
        <w:rPr>
          <w:rFonts w:ascii="宋体" w:hAnsi="宋体" w:eastAsia="宋体" w:cs="宋体"/>
          <w:spacing w:val="-1"/>
          <w:sz w:val="24"/>
          <w:szCs w:val="24"/>
        </w:rPr>
        <w:t>烧结机配料站配料。</w:t>
      </w:r>
    </w:p>
    <w:p w14:paraId="690F888D">
      <w:pPr>
        <w:spacing w:before="195" w:line="220" w:lineRule="auto"/>
        <w:ind w:left="4"/>
        <w:outlineLvl w:val="3"/>
        <w:rPr>
          <w:rFonts w:ascii="宋体" w:hAnsi="宋体" w:eastAsia="宋体" w:cs="宋体"/>
          <w:sz w:val="24"/>
          <w:szCs w:val="24"/>
        </w:rPr>
      </w:pPr>
      <w:r>
        <w:fldChar w:fldCharType="begin"/>
      </w:r>
      <w:r>
        <w:instrText xml:space="preserve"> HYPERLINK "2.2.1.6" </w:instrText>
      </w:r>
      <w:r>
        <w:fldChar w:fldCharType="separate"/>
      </w:r>
      <w:r>
        <w:rPr>
          <w:rFonts w:ascii="Times New Roman" w:hAnsi="Times New Roman" w:eastAsia="Times New Roman" w:cs="Times New Roman"/>
          <w:b/>
          <w:bCs/>
          <w:spacing w:val="-4"/>
          <w:sz w:val="24"/>
          <w:szCs w:val="24"/>
        </w:rPr>
        <w:t>2.2.1.6</w:t>
      </w:r>
      <w:r>
        <w:rPr>
          <w:rFonts w:ascii="Times New Roman" w:hAnsi="Times New Roman" w:eastAsia="Times New Roman" w:cs="Times New Roman"/>
          <w:b/>
          <w:bCs/>
          <w:spacing w:val="-4"/>
          <w:sz w:val="24"/>
          <w:szCs w:val="24"/>
        </w:rPr>
        <w:fldChar w:fldCharType="end"/>
      </w:r>
      <w:r>
        <w:rPr>
          <w:rFonts w:ascii="Times New Roman" w:hAnsi="Times New Roman" w:eastAsia="Times New Roman" w:cs="Times New Roman"/>
          <w:b/>
          <w:bCs/>
          <w:spacing w:val="33"/>
          <w:sz w:val="24"/>
          <w:szCs w:val="24"/>
        </w:rPr>
        <w:t xml:space="preserve"> </w:t>
      </w:r>
      <w:r>
        <w:rPr>
          <w:rFonts w:ascii="宋体" w:hAnsi="宋体" w:eastAsia="宋体" w:cs="宋体"/>
          <w:b/>
          <w:bCs/>
          <w:spacing w:val="-4"/>
          <w:sz w:val="24"/>
          <w:szCs w:val="24"/>
        </w:rPr>
        <w:t>出炉、浇铸</w:t>
      </w:r>
    </w:p>
    <w:p w14:paraId="383D1BCE">
      <w:pPr>
        <w:spacing w:before="188" w:line="363" w:lineRule="auto"/>
        <w:ind w:left="8" w:firstLine="480"/>
        <w:jc w:val="both"/>
        <w:rPr>
          <w:rFonts w:ascii="宋体" w:hAnsi="宋体" w:eastAsia="宋体" w:cs="宋体"/>
          <w:sz w:val="24"/>
          <w:szCs w:val="24"/>
        </w:rPr>
      </w:pPr>
      <w:r>
        <w:rPr>
          <w:rFonts w:ascii="宋体" w:hAnsi="宋体" w:eastAsia="宋体" w:cs="宋体"/>
          <w:spacing w:val="-2"/>
          <w:sz w:val="24"/>
          <w:szCs w:val="24"/>
        </w:rPr>
        <w:t>每台电炉设有出铁口两个，正常生产每</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2.5</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小时出炉一次。出炉前用开堵眼机打开</w:t>
      </w:r>
      <w:r>
        <w:rPr>
          <w:rFonts w:ascii="宋体" w:hAnsi="宋体" w:eastAsia="宋体" w:cs="宋体"/>
          <w:sz w:val="24"/>
          <w:szCs w:val="24"/>
        </w:rPr>
        <w:t xml:space="preserve"> </w:t>
      </w:r>
      <w:r>
        <w:rPr>
          <w:rFonts w:ascii="宋体" w:hAnsi="宋体" w:eastAsia="宋体" w:cs="宋体"/>
          <w:spacing w:val="3"/>
          <w:sz w:val="24"/>
          <w:szCs w:val="24"/>
        </w:rPr>
        <w:t>炉口放出锰硅合金液经出铁槽流入铁水包内，由电动行车将铁水包送入浇铸跨浇铸成</w:t>
      </w:r>
      <w:r>
        <w:rPr>
          <w:rFonts w:ascii="宋体" w:hAnsi="宋体" w:eastAsia="宋体" w:cs="宋体"/>
          <w:spacing w:val="12"/>
          <w:sz w:val="24"/>
          <w:szCs w:val="24"/>
        </w:rPr>
        <w:t xml:space="preserve"> </w:t>
      </w:r>
      <w:r>
        <w:rPr>
          <w:rFonts w:ascii="宋体" w:hAnsi="宋体" w:eastAsia="宋体" w:cs="宋体"/>
          <w:spacing w:val="-3"/>
          <w:sz w:val="24"/>
          <w:szCs w:val="24"/>
        </w:rPr>
        <w:t>型，冷却脱模后的块状产品送精整跨；上层炉渣经渣槽进入水冲渣系统，经冲渣系统水</w:t>
      </w:r>
      <w:r>
        <w:rPr>
          <w:rFonts w:ascii="宋体" w:hAnsi="宋体" w:eastAsia="宋体" w:cs="宋体"/>
          <w:sz w:val="24"/>
          <w:szCs w:val="24"/>
        </w:rPr>
        <w:t xml:space="preserve"> </w:t>
      </w:r>
      <w:r>
        <w:rPr>
          <w:rFonts w:ascii="宋体" w:hAnsi="宋体" w:eastAsia="宋体" w:cs="宋体"/>
          <w:spacing w:val="-3"/>
          <w:sz w:val="24"/>
          <w:szCs w:val="24"/>
        </w:rPr>
        <w:t>淬后，由水力冲入冲渣池中水淬，冲渣池内水淬渣使用行车抓斗抓出暂存在冲渣池旁的</w:t>
      </w:r>
      <w:r>
        <w:rPr>
          <w:rFonts w:ascii="宋体" w:hAnsi="宋体" w:eastAsia="宋体" w:cs="宋体"/>
          <w:sz w:val="24"/>
          <w:szCs w:val="24"/>
        </w:rPr>
        <w:t xml:space="preserve"> </w:t>
      </w:r>
      <w:r>
        <w:rPr>
          <w:rFonts w:ascii="宋体" w:hAnsi="宋体" w:eastAsia="宋体" w:cs="宋体"/>
          <w:spacing w:val="-3"/>
          <w:sz w:val="24"/>
          <w:szCs w:val="24"/>
        </w:rPr>
        <w:t>贮渣场地，当天即由车辆将废渣运至园区固废填埋场。在铁水流接近终断时及时用电极</w:t>
      </w:r>
      <w:r>
        <w:rPr>
          <w:rFonts w:ascii="宋体" w:hAnsi="宋体" w:eastAsia="宋体" w:cs="宋体"/>
          <w:sz w:val="24"/>
          <w:szCs w:val="24"/>
        </w:rPr>
        <w:t xml:space="preserve"> </w:t>
      </w:r>
      <w:r>
        <w:rPr>
          <w:rFonts w:ascii="宋体" w:hAnsi="宋体" w:eastAsia="宋体" w:cs="宋体"/>
          <w:spacing w:val="-1"/>
          <w:sz w:val="24"/>
          <w:szCs w:val="24"/>
        </w:rPr>
        <w:t>糊和焦粉制成的泥球堵塞炉口。</w:t>
      </w:r>
    </w:p>
    <w:p w14:paraId="3A750BD6">
      <w:pPr>
        <w:spacing w:before="32" w:line="359" w:lineRule="auto"/>
        <w:ind w:left="8" w:firstLine="480"/>
        <w:jc w:val="both"/>
        <w:rPr>
          <w:rFonts w:ascii="宋体" w:hAnsi="宋体" w:eastAsia="宋体" w:cs="宋体"/>
          <w:sz w:val="24"/>
          <w:szCs w:val="24"/>
        </w:rPr>
      </w:pPr>
      <w:r>
        <w:rPr>
          <w:rFonts w:ascii="宋体" w:hAnsi="宋体" w:eastAsia="宋体" w:cs="宋体"/>
          <w:spacing w:val="-3"/>
          <w:sz w:val="24"/>
          <w:szCs w:val="24"/>
        </w:rPr>
        <w:t>锰硅合金液出炉及浇铸过程中的扒渣及铁水包底渣锰含量较高，统称</w:t>
      </w:r>
      <w:r>
        <w:rPr>
          <w:rFonts w:ascii="宋体" w:hAnsi="宋体" w:eastAsia="宋体" w:cs="宋体"/>
          <w:spacing w:val="-4"/>
          <w:sz w:val="24"/>
          <w:szCs w:val="24"/>
        </w:rPr>
        <w:t>为重渣，冷却</w:t>
      </w:r>
      <w:r>
        <w:rPr>
          <w:rFonts w:ascii="宋体" w:hAnsi="宋体" w:eastAsia="宋体" w:cs="宋体"/>
          <w:sz w:val="24"/>
          <w:szCs w:val="24"/>
        </w:rPr>
        <w:t xml:space="preserve"> </w:t>
      </w:r>
      <w:r>
        <w:rPr>
          <w:rFonts w:ascii="宋体" w:hAnsi="宋体" w:eastAsia="宋体" w:cs="宋体"/>
          <w:spacing w:val="-2"/>
          <w:sz w:val="24"/>
          <w:szCs w:val="24"/>
        </w:rPr>
        <w:t>后去干渣处理车间内采用破碎设施（颚式破碎机）破碎成</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10</w:t>
      </w:r>
      <w:r>
        <w:rPr>
          <w:rFonts w:ascii="宋体" w:hAnsi="宋体" w:eastAsia="宋体" w:cs="宋体"/>
          <w:spacing w:val="-3"/>
          <w:sz w:val="24"/>
          <w:szCs w:val="24"/>
        </w:rPr>
        <w:t>～</w:t>
      </w:r>
      <w:r>
        <w:rPr>
          <w:rFonts w:ascii="Times New Roman" w:hAnsi="Times New Roman" w:eastAsia="Times New Roman" w:cs="Times New Roman"/>
          <w:spacing w:val="-3"/>
          <w:sz w:val="24"/>
          <w:szCs w:val="24"/>
        </w:rPr>
        <w:t>80mm</w:t>
      </w:r>
      <w:r>
        <w:rPr>
          <w:rFonts w:ascii="宋体" w:hAnsi="宋体" w:eastAsia="宋体" w:cs="宋体"/>
          <w:spacing w:val="-3"/>
          <w:sz w:val="24"/>
          <w:szCs w:val="24"/>
        </w:rPr>
        <w:t>块料，返回锰硅配</w:t>
      </w:r>
      <w:r>
        <w:rPr>
          <w:rFonts w:ascii="宋体" w:hAnsi="宋体" w:eastAsia="宋体" w:cs="宋体"/>
          <w:sz w:val="24"/>
          <w:szCs w:val="24"/>
        </w:rPr>
        <w:t xml:space="preserve"> </w:t>
      </w:r>
      <w:r>
        <w:rPr>
          <w:rFonts w:ascii="宋体" w:hAnsi="宋体" w:eastAsia="宋体" w:cs="宋体"/>
          <w:spacing w:val="-2"/>
          <w:sz w:val="24"/>
          <w:szCs w:val="24"/>
        </w:rPr>
        <w:t>料站综合利用。</w:t>
      </w:r>
    </w:p>
    <w:p w14:paraId="0CAAF4EF">
      <w:pPr>
        <w:spacing w:before="33" w:line="353" w:lineRule="auto"/>
        <w:ind w:left="487" w:right="6912"/>
        <w:rPr>
          <w:rFonts w:ascii="宋体" w:hAnsi="宋体" w:eastAsia="宋体" w:cs="宋体"/>
          <w:sz w:val="24"/>
          <w:szCs w:val="24"/>
        </w:rPr>
      </w:pPr>
      <w:r>
        <w:rPr>
          <w:rFonts w:ascii="宋体" w:hAnsi="宋体" w:eastAsia="宋体" w:cs="宋体"/>
          <w:b/>
          <w:bCs/>
          <w:spacing w:val="-12"/>
          <w:sz w:val="24"/>
          <w:szCs w:val="24"/>
        </w:rPr>
        <w:t>产污环节分析：</w:t>
      </w:r>
      <w:r>
        <w:rPr>
          <w:rFonts w:ascii="宋体" w:hAnsi="宋体" w:eastAsia="宋体" w:cs="宋体"/>
          <w:sz w:val="24"/>
          <w:szCs w:val="24"/>
        </w:rPr>
        <w:t xml:space="preserve"> </w:t>
      </w:r>
      <w:r>
        <w:rPr>
          <w:rFonts w:ascii="宋体" w:hAnsi="宋体" w:eastAsia="宋体" w:cs="宋体"/>
          <w:b/>
          <w:bCs/>
          <w:spacing w:val="-6"/>
          <w:sz w:val="24"/>
          <w:szCs w:val="24"/>
        </w:rPr>
        <w:t>废气：</w:t>
      </w:r>
    </w:p>
    <w:p w14:paraId="4E1E76A8">
      <w:pPr>
        <w:spacing w:before="36" w:line="360" w:lineRule="auto"/>
        <w:ind w:left="7" w:firstLine="480"/>
        <w:jc w:val="both"/>
        <w:rPr>
          <w:rFonts w:ascii="宋体" w:hAnsi="宋体" w:eastAsia="宋体" w:cs="宋体"/>
          <w:sz w:val="24"/>
          <w:szCs w:val="24"/>
        </w:rPr>
      </w:pPr>
      <w:r>
        <w:rPr>
          <w:rFonts w:ascii="宋体" w:hAnsi="宋体" w:eastAsia="宋体" w:cs="宋体"/>
          <w:spacing w:val="-2"/>
          <w:sz w:val="24"/>
          <w:szCs w:val="24"/>
        </w:rPr>
        <w:t>锰硅出铁出渣及浇铸烟气（</w:t>
      </w:r>
      <w:r>
        <w:rPr>
          <w:rFonts w:ascii="Times New Roman" w:hAnsi="Times New Roman" w:eastAsia="Times New Roman" w:cs="Times New Roman"/>
          <w:spacing w:val="-2"/>
          <w:sz w:val="24"/>
          <w:szCs w:val="24"/>
        </w:rPr>
        <w:t>G</w:t>
      </w:r>
      <w:r>
        <w:rPr>
          <w:rFonts w:ascii="Times New Roman" w:hAnsi="Times New Roman" w:eastAsia="Times New Roman" w:cs="Times New Roman"/>
          <w:spacing w:val="-2"/>
          <w:sz w:val="15"/>
          <w:szCs w:val="15"/>
        </w:rPr>
        <w:t>1-10</w:t>
      </w:r>
      <w:r>
        <w:rPr>
          <w:rFonts w:ascii="宋体" w:hAnsi="宋体" w:eastAsia="宋体" w:cs="宋体"/>
          <w:spacing w:val="-2"/>
          <w:sz w:val="24"/>
          <w:szCs w:val="24"/>
        </w:rPr>
        <w:t>）和：在电炉出铁、出渣口设置侧</w:t>
      </w:r>
      <w:r>
        <w:rPr>
          <w:rFonts w:ascii="宋体" w:hAnsi="宋体" w:eastAsia="宋体" w:cs="宋体"/>
          <w:spacing w:val="-3"/>
          <w:sz w:val="24"/>
          <w:szCs w:val="24"/>
        </w:rPr>
        <w:t>吸罩收集锰硅出</w:t>
      </w:r>
      <w:r>
        <w:rPr>
          <w:rFonts w:ascii="宋体" w:hAnsi="宋体" w:eastAsia="宋体" w:cs="宋体"/>
          <w:sz w:val="24"/>
          <w:szCs w:val="24"/>
        </w:rPr>
        <w:t xml:space="preserve"> </w:t>
      </w:r>
      <w:r>
        <w:rPr>
          <w:rFonts w:ascii="宋体" w:hAnsi="宋体" w:eastAsia="宋体" w:cs="宋体"/>
          <w:spacing w:val="-3"/>
          <w:sz w:val="24"/>
          <w:szCs w:val="24"/>
        </w:rPr>
        <w:t>铁出渣过程中产生的烟气，以及浇铸场地设置侧吸罩收集浇铸过程中产生的烟气，各种</w:t>
      </w:r>
      <w:r>
        <w:rPr>
          <w:rFonts w:ascii="宋体" w:hAnsi="宋体" w:eastAsia="宋体" w:cs="宋体"/>
          <w:spacing w:val="1"/>
          <w:sz w:val="24"/>
          <w:szCs w:val="24"/>
        </w:rPr>
        <w:t xml:space="preserve"> </w:t>
      </w:r>
      <w:r>
        <w:rPr>
          <w:rFonts w:ascii="宋体" w:hAnsi="宋体" w:eastAsia="宋体" w:cs="宋体"/>
          <w:spacing w:val="-1"/>
          <w:sz w:val="24"/>
          <w:szCs w:val="24"/>
        </w:rPr>
        <w:t>烟气经集气设施集中收集后送至布袋除尘器处理，每台电炉配置</w:t>
      </w:r>
      <w:r>
        <w:rPr>
          <w:rFonts w:ascii="宋体" w:hAnsi="宋体" w:eastAsia="宋体" w:cs="宋体"/>
          <w:spacing w:val="-29"/>
          <w:sz w:val="24"/>
          <w:szCs w:val="24"/>
        </w:rPr>
        <w:t xml:space="preserve"> </w:t>
      </w:r>
      <w:r>
        <w:rPr>
          <w:rFonts w:ascii="Times New Roman" w:hAnsi="Times New Roman" w:eastAsia="Times New Roman" w:cs="Times New Roman"/>
          <w:spacing w:val="-1"/>
          <w:sz w:val="24"/>
          <w:szCs w:val="24"/>
        </w:rPr>
        <w:t xml:space="preserve">1 </w:t>
      </w:r>
      <w:r>
        <w:rPr>
          <w:rFonts w:ascii="宋体" w:hAnsi="宋体" w:eastAsia="宋体" w:cs="宋体"/>
          <w:spacing w:val="-1"/>
          <w:sz w:val="24"/>
          <w:szCs w:val="24"/>
        </w:rPr>
        <w:t>套旋风除尘器</w:t>
      </w:r>
      <w:r>
        <w:rPr>
          <w:rFonts w:ascii="Times New Roman" w:hAnsi="Times New Roman" w:eastAsia="Times New Roman" w:cs="Times New Roman"/>
          <w:spacing w:val="-1"/>
          <w:sz w:val="24"/>
          <w:szCs w:val="24"/>
        </w:rPr>
        <w:t>+</w:t>
      </w:r>
      <w:r>
        <w:rPr>
          <w:rFonts w:ascii="宋体" w:hAnsi="宋体" w:eastAsia="宋体" w:cs="宋体"/>
          <w:spacing w:val="-1"/>
          <w:sz w:val="24"/>
          <w:szCs w:val="24"/>
        </w:rPr>
        <w:t>布袋</w:t>
      </w:r>
      <w:r>
        <w:rPr>
          <w:rFonts w:ascii="宋体" w:hAnsi="宋体" w:eastAsia="宋体" w:cs="宋体"/>
          <w:sz w:val="24"/>
          <w:szCs w:val="24"/>
        </w:rPr>
        <w:t xml:space="preserve"> </w:t>
      </w:r>
      <w:r>
        <w:rPr>
          <w:rFonts w:ascii="宋体" w:hAnsi="宋体" w:eastAsia="宋体" w:cs="宋体"/>
          <w:spacing w:val="-1"/>
          <w:sz w:val="24"/>
          <w:szCs w:val="24"/>
        </w:rPr>
        <w:t>除尘器，共配置</w:t>
      </w:r>
      <w:r>
        <w:rPr>
          <w:rFonts w:ascii="宋体" w:hAnsi="宋体" w:eastAsia="宋体" w:cs="宋体"/>
          <w:spacing w:val="-41"/>
          <w:sz w:val="24"/>
          <w:szCs w:val="24"/>
        </w:rPr>
        <w:t xml:space="preserve"> </w:t>
      </w:r>
      <w:r>
        <w:rPr>
          <w:rFonts w:ascii="Times New Roman" w:hAnsi="Times New Roman" w:eastAsia="Times New Roman" w:cs="Times New Roman"/>
          <w:spacing w:val="-1"/>
          <w:sz w:val="24"/>
          <w:szCs w:val="24"/>
        </w:rPr>
        <w:t xml:space="preserve">6 </w:t>
      </w:r>
      <w:r>
        <w:rPr>
          <w:rFonts w:ascii="宋体" w:hAnsi="宋体" w:eastAsia="宋体" w:cs="宋体"/>
          <w:spacing w:val="-1"/>
          <w:sz w:val="24"/>
          <w:szCs w:val="24"/>
        </w:rPr>
        <w:t>套，用于收集处理电炉出铁出渣及浇铸烟气。</w:t>
      </w:r>
    </w:p>
    <w:p w14:paraId="0FCA68E4">
      <w:pPr>
        <w:spacing w:before="36" w:line="220" w:lineRule="auto"/>
        <w:ind w:left="508"/>
        <w:rPr>
          <w:rFonts w:ascii="宋体" w:hAnsi="宋体" w:eastAsia="宋体" w:cs="宋体"/>
          <w:sz w:val="24"/>
          <w:szCs w:val="24"/>
        </w:rPr>
      </w:pPr>
      <w:r>
        <w:rPr>
          <w:rFonts w:ascii="宋体" w:hAnsi="宋体" w:eastAsia="宋体" w:cs="宋体"/>
          <w:b/>
          <w:bCs/>
          <w:spacing w:val="-13"/>
          <w:sz w:val="24"/>
          <w:szCs w:val="24"/>
        </w:rPr>
        <w:t>固废：</w:t>
      </w:r>
    </w:p>
    <w:p w14:paraId="4CA120FE">
      <w:pPr>
        <w:spacing w:before="191" w:line="293" w:lineRule="auto"/>
        <w:ind w:left="11" w:right="61" w:firstLine="476"/>
        <w:rPr>
          <w:rFonts w:ascii="宋体" w:hAnsi="宋体" w:eastAsia="宋体" w:cs="宋体"/>
          <w:sz w:val="24"/>
          <w:szCs w:val="24"/>
        </w:rPr>
      </w:pPr>
      <w:r>
        <w:rPr>
          <w:rFonts w:ascii="宋体" w:hAnsi="宋体" w:eastAsia="宋体" w:cs="宋体"/>
          <w:spacing w:val="-1"/>
          <w:sz w:val="24"/>
          <w:szCs w:val="24"/>
        </w:rPr>
        <w:t>①废耐火材料（</w:t>
      </w:r>
      <w:r>
        <w:rPr>
          <w:rFonts w:ascii="Times New Roman" w:hAnsi="Times New Roman" w:eastAsia="Times New Roman" w:cs="Times New Roman"/>
          <w:spacing w:val="-1"/>
          <w:sz w:val="24"/>
          <w:szCs w:val="24"/>
        </w:rPr>
        <w:t>S</w:t>
      </w:r>
      <w:r>
        <w:rPr>
          <w:rFonts w:ascii="Times New Roman" w:hAnsi="Times New Roman" w:eastAsia="Times New Roman" w:cs="Times New Roman"/>
          <w:spacing w:val="-1"/>
          <w:position w:val="-1"/>
          <w:sz w:val="15"/>
          <w:szCs w:val="15"/>
        </w:rPr>
        <w:t xml:space="preserve">1-3 </w:t>
      </w:r>
      <w:r>
        <w:rPr>
          <w:rFonts w:ascii="宋体" w:hAnsi="宋体" w:eastAsia="宋体" w:cs="宋体"/>
          <w:spacing w:val="-12"/>
          <w:sz w:val="24"/>
          <w:szCs w:val="24"/>
        </w:rPr>
        <w:t>）：</w:t>
      </w:r>
      <w:r>
        <w:rPr>
          <w:rFonts w:ascii="宋体" w:hAnsi="宋体" w:eastAsia="宋体" w:cs="宋体"/>
          <w:spacing w:val="-1"/>
          <w:sz w:val="24"/>
          <w:szCs w:val="24"/>
        </w:rPr>
        <w:t>铁水包（包括中间包）需要定期更换耐火砖等内</w:t>
      </w:r>
      <w:r>
        <w:rPr>
          <w:rFonts w:ascii="宋体" w:hAnsi="宋体" w:eastAsia="宋体" w:cs="宋体"/>
          <w:spacing w:val="-2"/>
          <w:sz w:val="24"/>
          <w:szCs w:val="24"/>
        </w:rPr>
        <w:t>衬材料，</w:t>
      </w:r>
      <w:r>
        <w:rPr>
          <w:rFonts w:ascii="宋体" w:hAnsi="宋体" w:eastAsia="宋体" w:cs="宋体"/>
          <w:sz w:val="24"/>
          <w:szCs w:val="24"/>
        </w:rPr>
        <w:t xml:space="preserve"> </w:t>
      </w:r>
      <w:r>
        <w:rPr>
          <w:rFonts w:ascii="宋体" w:hAnsi="宋体" w:eastAsia="宋体" w:cs="宋体"/>
          <w:spacing w:val="-1"/>
          <w:sz w:val="24"/>
          <w:szCs w:val="24"/>
        </w:rPr>
        <w:t>更换频率约为</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 xml:space="preserve">1~3 </w:t>
      </w:r>
      <w:r>
        <w:rPr>
          <w:rFonts w:ascii="宋体" w:hAnsi="宋体" w:eastAsia="宋体" w:cs="宋体"/>
          <w:spacing w:val="-1"/>
          <w:sz w:val="24"/>
          <w:szCs w:val="24"/>
        </w:rPr>
        <w:t>年，更换产生大量的废耐火材料，外售用于建</w:t>
      </w:r>
      <w:r>
        <w:rPr>
          <w:rFonts w:ascii="宋体" w:hAnsi="宋体" w:eastAsia="宋体" w:cs="宋体"/>
          <w:spacing w:val="-2"/>
          <w:sz w:val="24"/>
          <w:szCs w:val="24"/>
        </w:rPr>
        <w:t>材生产原料。</w:t>
      </w:r>
    </w:p>
    <w:p w14:paraId="29016B26">
      <w:pPr>
        <w:spacing w:before="191" w:line="217" w:lineRule="auto"/>
        <w:jc w:val="right"/>
        <w:rPr>
          <w:rFonts w:ascii="宋体" w:hAnsi="宋体" w:eastAsia="宋体" w:cs="宋体"/>
          <w:sz w:val="24"/>
          <w:szCs w:val="24"/>
        </w:rPr>
      </w:pPr>
      <w:r>
        <w:rPr>
          <w:rFonts w:ascii="宋体" w:hAnsi="宋体" w:eastAsia="宋体" w:cs="宋体"/>
          <w:sz w:val="24"/>
          <w:szCs w:val="24"/>
        </w:rPr>
        <w:t>②锰硅冶炼炉渣（</w:t>
      </w:r>
      <w:r>
        <w:rPr>
          <w:rFonts w:ascii="Times New Roman" w:hAnsi="Times New Roman" w:eastAsia="Times New Roman" w:cs="Times New Roman"/>
          <w:sz w:val="24"/>
          <w:szCs w:val="24"/>
        </w:rPr>
        <w:t>S</w:t>
      </w:r>
      <w:r>
        <w:rPr>
          <w:rFonts w:ascii="Times New Roman" w:hAnsi="Times New Roman" w:eastAsia="Times New Roman" w:cs="Times New Roman"/>
          <w:position w:val="-1"/>
          <w:sz w:val="15"/>
          <w:szCs w:val="15"/>
        </w:rPr>
        <w:t xml:space="preserve">1-6 </w:t>
      </w:r>
      <w:r>
        <w:rPr>
          <w:rFonts w:ascii="宋体" w:hAnsi="宋体" w:eastAsia="宋体" w:cs="宋体"/>
          <w:spacing w:val="2"/>
          <w:sz w:val="24"/>
          <w:szCs w:val="24"/>
        </w:rPr>
        <w:t>）：</w:t>
      </w:r>
      <w:r>
        <w:rPr>
          <w:rFonts w:ascii="宋体" w:hAnsi="宋体" w:eastAsia="宋体" w:cs="宋体"/>
          <w:sz w:val="24"/>
          <w:szCs w:val="24"/>
        </w:rPr>
        <w:t>电炉炉冶炼渣经铁水包、重渣包</w:t>
      </w:r>
      <w:r>
        <w:rPr>
          <w:rFonts w:ascii="宋体" w:hAnsi="宋体" w:eastAsia="宋体" w:cs="宋体"/>
          <w:spacing w:val="-1"/>
          <w:sz w:val="24"/>
          <w:szCs w:val="24"/>
        </w:rPr>
        <w:t>流入渣槽进水淬池，水</w:t>
      </w:r>
    </w:p>
    <w:p w14:paraId="6CBF44B6">
      <w:pPr>
        <w:spacing w:line="217" w:lineRule="auto"/>
        <w:rPr>
          <w:rFonts w:ascii="宋体" w:hAnsi="宋体" w:eastAsia="宋体" w:cs="宋体"/>
          <w:sz w:val="24"/>
          <w:szCs w:val="24"/>
        </w:rPr>
        <w:sectPr>
          <w:headerReference r:id="rId115" w:type="default"/>
          <w:footerReference r:id="rId116" w:type="default"/>
          <w:pgSz w:w="11850" w:h="16781"/>
          <w:pgMar w:top="1178" w:right="1416" w:bottom="1010" w:left="1417" w:header="870" w:footer="850" w:gutter="0"/>
          <w:cols w:space="720" w:num="1"/>
        </w:sectPr>
      </w:pPr>
    </w:p>
    <w:p w14:paraId="2D64A70B">
      <w:pPr>
        <w:pStyle w:val="2"/>
        <w:spacing w:line="276" w:lineRule="auto"/>
      </w:pPr>
      <w:r>
        <w:pict>
          <v:shape id="_x0000_s1168" o:spid="_x0000_s1168" style="position:absolute;left:0pt;margin-left:0pt;margin-top:0.7pt;height:0.75pt;width:450.75pt;z-index:251826176;mso-width-relative:page;mso-height-relative:page;" fillcolor="#000000" filled="t" stroked="f" coordsize="9015,15" path="m0,0l9014,0,9014,14,0,14,0,0xe">
            <v:path/>
            <v:fill on="t" focussize="0,0"/>
            <v:stroke on="f"/>
            <v:imagedata o:title=""/>
            <o:lock v:ext="edit"/>
          </v:shape>
        </w:pict>
      </w:r>
    </w:p>
    <w:p w14:paraId="2375374A">
      <w:pPr>
        <w:spacing w:before="78" w:line="354" w:lineRule="auto"/>
        <w:ind w:left="27" w:hanging="15"/>
        <w:rPr>
          <w:rFonts w:ascii="宋体" w:hAnsi="宋体" w:eastAsia="宋体" w:cs="宋体"/>
          <w:sz w:val="24"/>
          <w:szCs w:val="24"/>
        </w:rPr>
      </w:pPr>
      <w:r>
        <w:rPr>
          <w:rFonts w:ascii="宋体" w:hAnsi="宋体" w:eastAsia="宋体" w:cs="宋体"/>
          <w:spacing w:val="-3"/>
          <w:sz w:val="24"/>
          <w:szCs w:val="24"/>
        </w:rPr>
        <w:t>淬池内水淬渣使用行车抓斗抓出暂存在水淬池旁的贮渣场地，当天即由车辆将</w:t>
      </w:r>
      <w:r>
        <w:rPr>
          <w:rFonts w:ascii="宋体" w:hAnsi="宋体" w:eastAsia="宋体" w:cs="宋体"/>
          <w:spacing w:val="-4"/>
          <w:sz w:val="24"/>
          <w:szCs w:val="24"/>
        </w:rPr>
        <w:t>废渣运至</w:t>
      </w:r>
      <w:r>
        <w:rPr>
          <w:rFonts w:ascii="宋体" w:hAnsi="宋体" w:eastAsia="宋体" w:cs="宋体"/>
          <w:sz w:val="24"/>
          <w:szCs w:val="24"/>
        </w:rPr>
        <w:t xml:space="preserve"> </w:t>
      </w:r>
      <w:r>
        <w:rPr>
          <w:rFonts w:ascii="宋体" w:hAnsi="宋体" w:eastAsia="宋体" w:cs="宋体"/>
          <w:spacing w:val="-2"/>
          <w:sz w:val="24"/>
          <w:szCs w:val="24"/>
        </w:rPr>
        <w:t>园区固废填埋场，不在厂区内设暂存场地。</w:t>
      </w:r>
    </w:p>
    <w:p w14:paraId="480BB95B">
      <w:pPr>
        <w:spacing w:before="35" w:line="317" w:lineRule="auto"/>
        <w:ind w:left="7" w:firstLine="479"/>
        <w:rPr>
          <w:rFonts w:ascii="宋体" w:hAnsi="宋体" w:eastAsia="宋体" w:cs="宋体"/>
          <w:sz w:val="24"/>
          <w:szCs w:val="24"/>
        </w:rPr>
      </w:pPr>
      <w:r>
        <w:rPr>
          <w:rFonts w:ascii="宋体" w:hAnsi="宋体" w:eastAsia="宋体" w:cs="宋体"/>
          <w:spacing w:val="-3"/>
          <w:sz w:val="24"/>
          <w:szCs w:val="24"/>
        </w:rPr>
        <w:t>③锰硅合金液出炉及浇铸过程中产生的扒渣和铁水包包底清理出来的包底</w:t>
      </w:r>
      <w:r>
        <w:rPr>
          <w:rFonts w:ascii="宋体" w:hAnsi="宋体" w:eastAsia="宋体" w:cs="宋体"/>
          <w:spacing w:val="-4"/>
          <w:sz w:val="24"/>
          <w:szCs w:val="24"/>
        </w:rPr>
        <w:t>渣，含锰</w:t>
      </w:r>
      <w:r>
        <w:rPr>
          <w:rFonts w:ascii="宋体" w:hAnsi="宋体" w:eastAsia="宋体" w:cs="宋体"/>
          <w:sz w:val="24"/>
          <w:szCs w:val="24"/>
        </w:rPr>
        <w:t xml:space="preserve"> 量较高，统称为锰硅重渣（</w:t>
      </w:r>
      <w:r>
        <w:rPr>
          <w:rFonts w:ascii="Times New Roman" w:hAnsi="Times New Roman" w:eastAsia="Times New Roman" w:cs="Times New Roman"/>
          <w:sz w:val="24"/>
          <w:szCs w:val="24"/>
        </w:rPr>
        <w:t>S</w:t>
      </w:r>
      <w:r>
        <w:rPr>
          <w:rFonts w:ascii="Times New Roman" w:hAnsi="Times New Roman" w:eastAsia="Times New Roman" w:cs="Times New Roman"/>
          <w:position w:val="-1"/>
          <w:sz w:val="15"/>
          <w:szCs w:val="15"/>
        </w:rPr>
        <w:t xml:space="preserve">1-7 </w:t>
      </w:r>
      <w:r>
        <w:rPr>
          <w:rFonts w:ascii="宋体" w:hAnsi="宋体" w:eastAsia="宋体" w:cs="宋体"/>
          <w:spacing w:val="-3"/>
          <w:sz w:val="24"/>
          <w:szCs w:val="24"/>
        </w:rPr>
        <w:t>），</w:t>
      </w:r>
      <w:r>
        <w:rPr>
          <w:rFonts w:ascii="宋体" w:hAnsi="宋体" w:eastAsia="宋体" w:cs="宋体"/>
          <w:sz w:val="24"/>
          <w:szCs w:val="24"/>
        </w:rPr>
        <w:t xml:space="preserve">冷却后去干渣处理车间内采用破碎设施（颚式破碎 </w:t>
      </w:r>
      <w:r>
        <w:rPr>
          <w:rFonts w:ascii="宋体" w:hAnsi="宋体" w:eastAsia="宋体" w:cs="宋体"/>
          <w:spacing w:val="1"/>
          <w:sz w:val="24"/>
          <w:szCs w:val="24"/>
        </w:rPr>
        <w:t>机）破碎成</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10</w:t>
      </w:r>
      <w:r>
        <w:rPr>
          <w:rFonts w:ascii="宋体" w:hAnsi="宋体" w:eastAsia="宋体" w:cs="宋体"/>
          <w:spacing w:val="1"/>
          <w:sz w:val="24"/>
          <w:szCs w:val="24"/>
        </w:rPr>
        <w:t>～</w:t>
      </w:r>
      <w:r>
        <w:rPr>
          <w:rFonts w:ascii="Times New Roman" w:hAnsi="Times New Roman" w:eastAsia="Times New Roman" w:cs="Times New Roman"/>
          <w:spacing w:val="1"/>
          <w:sz w:val="24"/>
          <w:szCs w:val="24"/>
        </w:rPr>
        <w:t>80</w:t>
      </w:r>
      <w:r>
        <w:rPr>
          <w:rFonts w:ascii="Times New Roman" w:hAnsi="Times New Roman" w:eastAsia="Times New Roman" w:cs="Times New Roman"/>
          <w:sz w:val="24"/>
          <w:szCs w:val="24"/>
        </w:rPr>
        <w:t>mm</w:t>
      </w:r>
      <w:r>
        <w:rPr>
          <w:rFonts w:ascii="宋体" w:hAnsi="宋体" w:eastAsia="宋体" w:cs="宋体"/>
          <w:spacing w:val="1"/>
          <w:sz w:val="24"/>
          <w:szCs w:val="24"/>
        </w:rPr>
        <w:t>块料，返回锰硅配料站综合利</w:t>
      </w:r>
      <w:r>
        <w:rPr>
          <w:rFonts w:ascii="宋体" w:hAnsi="宋体" w:eastAsia="宋体" w:cs="宋体"/>
          <w:sz w:val="24"/>
          <w:szCs w:val="24"/>
        </w:rPr>
        <w:t>用。</w:t>
      </w:r>
    </w:p>
    <w:p w14:paraId="01E46677">
      <w:pPr>
        <w:spacing w:before="193" w:line="217" w:lineRule="auto"/>
        <w:ind w:left="486"/>
        <w:rPr>
          <w:rFonts w:ascii="宋体" w:hAnsi="宋体" w:eastAsia="宋体" w:cs="宋体"/>
          <w:sz w:val="24"/>
          <w:szCs w:val="24"/>
        </w:rPr>
      </w:pPr>
      <w:r>
        <w:rPr>
          <w:rFonts w:ascii="宋体" w:hAnsi="宋体" w:eastAsia="宋体" w:cs="宋体"/>
          <w:spacing w:val="-1"/>
          <w:sz w:val="24"/>
          <w:szCs w:val="24"/>
        </w:rPr>
        <w:t>④除尘器收集的含锰除尘灰返回生产工序中，去配料站配料。</w:t>
      </w:r>
    </w:p>
    <w:p w14:paraId="43F5D8E3">
      <w:pPr>
        <w:spacing w:before="194" w:line="219" w:lineRule="auto"/>
        <w:ind w:left="4"/>
        <w:outlineLvl w:val="3"/>
        <w:rPr>
          <w:rFonts w:ascii="宋体" w:hAnsi="宋体" w:eastAsia="宋体" w:cs="宋体"/>
          <w:sz w:val="24"/>
          <w:szCs w:val="24"/>
        </w:rPr>
      </w:pPr>
      <w:r>
        <w:fldChar w:fldCharType="begin"/>
      </w:r>
      <w:r>
        <w:instrText xml:space="preserve"> HYPERLINK "2.2.1.7" </w:instrText>
      </w:r>
      <w:r>
        <w:fldChar w:fldCharType="separate"/>
      </w:r>
      <w:r>
        <w:rPr>
          <w:rFonts w:ascii="Times New Roman" w:hAnsi="Times New Roman" w:eastAsia="Times New Roman" w:cs="Times New Roman"/>
          <w:b/>
          <w:bCs/>
          <w:spacing w:val="-2"/>
          <w:sz w:val="24"/>
          <w:szCs w:val="24"/>
        </w:rPr>
        <w:t>2.2.1.7</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精整</w:t>
      </w:r>
    </w:p>
    <w:p w14:paraId="144961C5">
      <w:pPr>
        <w:spacing w:before="193" w:line="219" w:lineRule="auto"/>
        <w:ind w:left="490"/>
        <w:rPr>
          <w:rFonts w:ascii="宋体" w:hAnsi="宋体" w:eastAsia="宋体" w:cs="宋体"/>
          <w:sz w:val="24"/>
          <w:szCs w:val="24"/>
        </w:rPr>
      </w:pPr>
      <w:r>
        <w:rPr>
          <w:rFonts w:ascii="宋体" w:hAnsi="宋体" w:eastAsia="宋体" w:cs="宋体"/>
          <w:sz w:val="24"/>
          <w:szCs w:val="24"/>
        </w:rPr>
        <w:t>冷却后的锰硅合金产品由天车送至精整跨，采</w:t>
      </w:r>
      <w:r>
        <w:rPr>
          <w:rFonts w:ascii="宋体" w:hAnsi="宋体" w:eastAsia="宋体" w:cs="宋体"/>
          <w:spacing w:val="-1"/>
          <w:sz w:val="24"/>
          <w:szCs w:val="24"/>
        </w:rPr>
        <w:t>用人工捣碎精整，包装待售。</w:t>
      </w:r>
    </w:p>
    <w:p w14:paraId="32C1BF96">
      <w:pPr>
        <w:spacing w:before="191" w:line="219" w:lineRule="auto"/>
        <w:ind w:left="488"/>
        <w:rPr>
          <w:rFonts w:ascii="宋体" w:hAnsi="宋体" w:eastAsia="宋体" w:cs="宋体"/>
          <w:sz w:val="24"/>
          <w:szCs w:val="24"/>
        </w:rPr>
      </w:pPr>
      <w:r>
        <w:rPr>
          <w:rFonts w:ascii="宋体" w:hAnsi="宋体" w:eastAsia="宋体" w:cs="宋体"/>
          <w:b/>
          <w:bCs/>
          <w:spacing w:val="-4"/>
          <w:sz w:val="24"/>
          <w:szCs w:val="24"/>
        </w:rPr>
        <w:t>产污环节分析：</w:t>
      </w:r>
    </w:p>
    <w:p w14:paraId="5E4E0BA9">
      <w:pPr>
        <w:spacing w:before="192" w:line="354" w:lineRule="auto"/>
        <w:ind w:left="7" w:firstLine="480"/>
        <w:rPr>
          <w:rFonts w:ascii="宋体" w:hAnsi="宋体" w:eastAsia="宋体" w:cs="宋体"/>
          <w:sz w:val="24"/>
          <w:szCs w:val="24"/>
        </w:rPr>
      </w:pPr>
      <w:r>
        <w:rPr>
          <w:rFonts w:ascii="宋体" w:hAnsi="宋体" w:eastAsia="宋体" w:cs="宋体"/>
          <w:b/>
          <w:bCs/>
          <w:spacing w:val="-3"/>
          <w:sz w:val="24"/>
          <w:szCs w:val="24"/>
        </w:rPr>
        <w:t>废气：</w:t>
      </w:r>
      <w:r>
        <w:rPr>
          <w:rFonts w:ascii="宋体" w:hAnsi="宋体" w:eastAsia="宋体" w:cs="宋体"/>
          <w:spacing w:val="-3"/>
          <w:sz w:val="24"/>
          <w:szCs w:val="24"/>
        </w:rPr>
        <w:t>本项目锰硅铁合金产品采用人工捣碎的方式破</w:t>
      </w:r>
      <w:r>
        <w:rPr>
          <w:rFonts w:ascii="宋体" w:hAnsi="宋体" w:eastAsia="宋体" w:cs="宋体"/>
          <w:spacing w:val="-4"/>
          <w:sz w:val="24"/>
          <w:szCs w:val="24"/>
        </w:rPr>
        <w:t>碎精整，破碎后粒度较大，破</w:t>
      </w:r>
      <w:r>
        <w:rPr>
          <w:rFonts w:ascii="宋体" w:hAnsi="宋体" w:eastAsia="宋体" w:cs="宋体"/>
          <w:sz w:val="24"/>
          <w:szCs w:val="24"/>
        </w:rPr>
        <w:t xml:space="preserve"> </w:t>
      </w:r>
      <w:r>
        <w:rPr>
          <w:rFonts w:ascii="宋体" w:hAnsi="宋体" w:eastAsia="宋体" w:cs="宋体"/>
          <w:spacing w:val="-1"/>
          <w:sz w:val="24"/>
          <w:szCs w:val="24"/>
        </w:rPr>
        <w:t>碎过程中基本不会产生粉尘排放。</w:t>
      </w:r>
    </w:p>
    <w:p w14:paraId="6A54F4DD">
      <w:pPr>
        <w:spacing w:before="35" w:line="219" w:lineRule="auto"/>
        <w:ind w:left="489"/>
        <w:rPr>
          <w:rFonts w:ascii="宋体" w:hAnsi="宋体" w:eastAsia="宋体" w:cs="宋体"/>
          <w:sz w:val="24"/>
          <w:szCs w:val="24"/>
        </w:rPr>
      </w:pPr>
      <w:r>
        <w:rPr>
          <w:rFonts w:ascii="宋体" w:hAnsi="宋体" w:eastAsia="宋体" w:cs="宋体"/>
          <w:spacing w:val="-1"/>
          <w:sz w:val="24"/>
          <w:szCs w:val="24"/>
        </w:rPr>
        <w:t>本项目锰硅合金生产工艺流程及产污环节分析示意见图</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2.2-3</w:t>
      </w:r>
      <w:r>
        <w:rPr>
          <w:rFonts w:ascii="宋体" w:hAnsi="宋体" w:eastAsia="宋体" w:cs="宋体"/>
          <w:spacing w:val="-1"/>
          <w:sz w:val="24"/>
          <w:szCs w:val="24"/>
        </w:rPr>
        <w:t>。</w:t>
      </w:r>
    </w:p>
    <w:p w14:paraId="1156DB45">
      <w:pPr>
        <w:spacing w:line="219" w:lineRule="auto"/>
        <w:rPr>
          <w:rFonts w:ascii="宋体" w:hAnsi="宋体" w:eastAsia="宋体" w:cs="宋体"/>
          <w:sz w:val="24"/>
          <w:szCs w:val="24"/>
        </w:rPr>
        <w:sectPr>
          <w:footerReference r:id="rId117" w:type="default"/>
          <w:pgSz w:w="11850" w:h="16781"/>
          <w:pgMar w:top="1178" w:right="1416" w:bottom="1013" w:left="1417" w:header="870" w:footer="850" w:gutter="0"/>
          <w:cols w:space="720" w:num="1"/>
        </w:sectPr>
      </w:pPr>
    </w:p>
    <w:p w14:paraId="5A776486">
      <w:pPr>
        <w:pStyle w:val="2"/>
        <w:spacing w:line="321" w:lineRule="auto"/>
      </w:pPr>
      <w:r>
        <w:pict>
          <v:shape id="_x0000_s1169" o:spid="_x0000_s1169" style="position:absolute;left:0pt;margin-left:0pt;margin-top:0.7pt;height:0.75pt;width:450.75pt;z-index:251827200;mso-width-relative:page;mso-height-relative:page;" fillcolor="#000000" filled="t" stroked="f" coordsize="9015,15" path="m0,0l9014,0,9014,14,0,14,0,0xe">
            <v:path/>
            <v:fill on="t" focussize="0,0"/>
            <v:stroke on="f"/>
            <v:imagedata o:title=""/>
            <o:lock v:ext="edit"/>
          </v:shape>
        </w:pict>
      </w:r>
    </w:p>
    <w:p w14:paraId="563B77D7">
      <w:pPr>
        <w:spacing w:line="8754" w:lineRule="exact"/>
        <w:ind w:firstLine="1"/>
      </w:pPr>
      <w:r>
        <w:rPr>
          <w:position w:val="-175"/>
        </w:rPr>
        <w:drawing>
          <wp:inline distT="0" distB="0" distL="0" distR="0">
            <wp:extent cx="5684520" cy="5558155"/>
            <wp:effectExtent l="0" t="0" r="0" b="0"/>
            <wp:docPr id="32" name="IM 32"/>
            <wp:cNvGraphicFramePr/>
            <a:graphic xmlns:a="http://schemas.openxmlformats.org/drawingml/2006/main">
              <a:graphicData uri="http://schemas.openxmlformats.org/drawingml/2006/picture">
                <pic:pic xmlns:pic="http://schemas.openxmlformats.org/drawingml/2006/picture">
                  <pic:nvPicPr>
                    <pic:cNvPr id="32" name="IM 32"/>
                    <pic:cNvPicPr/>
                  </pic:nvPicPr>
                  <pic:blipFill>
                    <a:blip r:embed="rId594"/>
                    <a:stretch>
                      <a:fillRect/>
                    </a:stretch>
                  </pic:blipFill>
                  <pic:spPr>
                    <a:xfrm>
                      <a:off x="0" y="0"/>
                      <a:ext cx="5684639" cy="5558582"/>
                    </a:xfrm>
                    <a:prstGeom prst="rect">
                      <a:avLst/>
                    </a:prstGeom>
                  </pic:spPr>
                </pic:pic>
              </a:graphicData>
            </a:graphic>
          </wp:inline>
        </w:drawing>
      </w:r>
    </w:p>
    <w:p w14:paraId="300B5543">
      <w:pPr>
        <w:spacing w:before="197" w:line="228" w:lineRule="auto"/>
        <w:ind w:left="2288"/>
        <w:rPr>
          <w:rFonts w:ascii="宋体" w:hAnsi="宋体" w:eastAsia="宋体" w:cs="宋体"/>
          <w:sz w:val="20"/>
          <w:szCs w:val="20"/>
        </w:rPr>
      </w:pPr>
      <w:r>
        <w:rPr>
          <w:rFonts w:ascii="宋体" w:hAnsi="宋体" w:eastAsia="宋体" w:cs="宋体"/>
          <w:b/>
          <w:bCs/>
          <w:spacing w:val="5"/>
          <w:sz w:val="20"/>
          <w:szCs w:val="20"/>
        </w:rPr>
        <w:t>图</w:t>
      </w:r>
      <w:r>
        <w:rPr>
          <w:rFonts w:ascii="宋体" w:hAnsi="宋体" w:eastAsia="宋体" w:cs="宋体"/>
          <w:spacing w:val="-40"/>
          <w:sz w:val="20"/>
          <w:szCs w:val="20"/>
        </w:rPr>
        <w:t xml:space="preserve"> </w:t>
      </w:r>
      <w:r>
        <w:rPr>
          <w:rFonts w:ascii="Times New Roman" w:hAnsi="Times New Roman" w:eastAsia="Times New Roman" w:cs="Times New Roman"/>
          <w:b/>
          <w:bCs/>
          <w:spacing w:val="5"/>
          <w:sz w:val="20"/>
          <w:szCs w:val="20"/>
        </w:rPr>
        <w:t xml:space="preserve">2.2-3        </w:t>
      </w:r>
      <w:r>
        <w:rPr>
          <w:rFonts w:ascii="宋体" w:hAnsi="宋体" w:eastAsia="宋体" w:cs="宋体"/>
          <w:b/>
          <w:bCs/>
          <w:spacing w:val="5"/>
          <w:sz w:val="20"/>
          <w:szCs w:val="20"/>
        </w:rPr>
        <w:t>锰硅合金生产工艺流程及产污环节图</w:t>
      </w:r>
    </w:p>
    <w:p w14:paraId="7899C9D5">
      <w:pPr>
        <w:spacing w:before="273" w:line="222" w:lineRule="auto"/>
        <w:ind w:left="5"/>
        <w:outlineLvl w:val="2"/>
        <w:rPr>
          <w:rFonts w:ascii="黑体" w:hAnsi="黑体" w:eastAsia="黑体" w:cs="黑体"/>
          <w:sz w:val="28"/>
          <w:szCs w:val="28"/>
        </w:rPr>
      </w:pPr>
      <w:bookmarkStart w:id="318" w:name="bookmark104"/>
      <w:bookmarkEnd w:id="318"/>
      <w:r>
        <w:rPr>
          <w:rFonts w:ascii="Times New Roman" w:hAnsi="Times New Roman" w:eastAsia="Times New Roman" w:cs="Times New Roman"/>
          <w:b/>
          <w:bCs/>
          <w:spacing w:val="-3"/>
          <w:sz w:val="28"/>
          <w:szCs w:val="28"/>
        </w:rPr>
        <w:t>2.2.2</w:t>
      </w:r>
      <w:r>
        <w:rPr>
          <w:rFonts w:ascii="Times New Roman" w:hAnsi="Times New Roman" w:eastAsia="Times New Roman" w:cs="Times New Roman"/>
          <w:b/>
          <w:bCs/>
          <w:spacing w:val="29"/>
          <w:w w:val="101"/>
          <w:sz w:val="28"/>
          <w:szCs w:val="28"/>
        </w:rPr>
        <w:t xml:space="preserve"> </w:t>
      </w:r>
      <w:r>
        <w:rPr>
          <w:rFonts w:ascii="黑体" w:hAnsi="黑体" w:eastAsia="黑体" w:cs="黑体"/>
          <w:b/>
          <w:bCs/>
          <w:spacing w:val="-3"/>
          <w:sz w:val="28"/>
          <w:szCs w:val="28"/>
        </w:rPr>
        <w:t>电炉煤气净化工艺流程及产污环节</w:t>
      </w:r>
      <w:r>
        <w:rPr>
          <w:rFonts w:ascii="黑体" w:hAnsi="黑体" w:eastAsia="黑体" w:cs="黑体"/>
          <w:b/>
          <w:bCs/>
          <w:spacing w:val="-4"/>
          <w:sz w:val="28"/>
          <w:szCs w:val="28"/>
        </w:rPr>
        <w:t>分析</w:t>
      </w:r>
    </w:p>
    <w:p w14:paraId="52B7FC8A">
      <w:pPr>
        <w:spacing w:before="242" w:line="358" w:lineRule="auto"/>
        <w:ind w:left="7" w:firstLine="481"/>
        <w:jc w:val="both"/>
        <w:rPr>
          <w:rFonts w:ascii="宋体" w:hAnsi="宋体" w:eastAsia="宋体" w:cs="宋体"/>
          <w:sz w:val="24"/>
          <w:szCs w:val="24"/>
        </w:rPr>
      </w:pPr>
      <w:r>
        <w:rPr>
          <w:rFonts w:ascii="宋体" w:hAnsi="宋体" w:eastAsia="宋体" w:cs="宋体"/>
          <w:spacing w:val="-4"/>
          <w:sz w:val="24"/>
          <w:szCs w:val="24"/>
        </w:rPr>
        <w:t>本项目共有</w:t>
      </w:r>
      <w:r>
        <w:rPr>
          <w:rFonts w:ascii="宋体" w:hAnsi="宋体" w:eastAsia="宋体" w:cs="宋体"/>
          <w:spacing w:val="-40"/>
          <w:sz w:val="24"/>
          <w:szCs w:val="24"/>
        </w:rPr>
        <w:t xml:space="preserve"> </w:t>
      </w:r>
      <w:r>
        <w:rPr>
          <w:rFonts w:ascii="Times New Roman" w:hAnsi="Times New Roman" w:eastAsia="Times New Roman" w:cs="Times New Roman"/>
          <w:spacing w:val="-4"/>
          <w:sz w:val="24"/>
          <w:szCs w:val="24"/>
        </w:rPr>
        <w:t>6</w:t>
      </w:r>
      <w:r>
        <w:rPr>
          <w:rFonts w:ascii="Times New Roman" w:hAnsi="Times New Roman" w:eastAsia="Times New Roman" w:cs="Times New Roman"/>
          <w:spacing w:val="28"/>
          <w:w w:val="101"/>
          <w:sz w:val="24"/>
          <w:szCs w:val="24"/>
        </w:rPr>
        <w:t xml:space="preserve"> </w:t>
      </w:r>
      <w:r>
        <w:rPr>
          <w:rFonts w:ascii="宋体" w:hAnsi="宋体" w:eastAsia="宋体" w:cs="宋体"/>
          <w:spacing w:val="-4"/>
          <w:sz w:val="24"/>
          <w:szCs w:val="24"/>
        </w:rPr>
        <w:t>台</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 xml:space="preserve">36000kVA </w:t>
      </w:r>
      <w:r>
        <w:rPr>
          <w:rFonts w:ascii="宋体" w:hAnsi="宋体" w:eastAsia="宋体" w:cs="宋体"/>
          <w:spacing w:val="-4"/>
          <w:sz w:val="24"/>
          <w:szCs w:val="24"/>
        </w:rPr>
        <w:t>全密闭锰硅电炉，电炉粗煤气经干法净化后进入煤气柜</w:t>
      </w:r>
      <w:r>
        <w:rPr>
          <w:rFonts w:ascii="宋体" w:hAnsi="宋体" w:eastAsia="宋体" w:cs="宋体"/>
          <w:sz w:val="24"/>
          <w:szCs w:val="24"/>
        </w:rPr>
        <w:t xml:space="preserve"> （</w:t>
      </w:r>
      <w:r>
        <w:rPr>
          <w:rFonts w:ascii="Times New Roman" w:hAnsi="Times New Roman" w:eastAsia="Times New Roman" w:cs="Times New Roman"/>
          <w:sz w:val="24"/>
          <w:szCs w:val="24"/>
        </w:rPr>
        <w:t>1</w:t>
      </w:r>
      <w:r>
        <w:rPr>
          <w:rFonts w:ascii="宋体" w:hAnsi="宋体" w:eastAsia="宋体" w:cs="宋体"/>
          <w:sz w:val="24"/>
          <w:szCs w:val="24"/>
        </w:rPr>
        <w:t>座干式橡胶膜煤气柜，容积为</w:t>
      </w:r>
      <w:r>
        <w:rPr>
          <w:rFonts w:ascii="宋体" w:hAnsi="宋体" w:eastAsia="宋体" w:cs="宋体"/>
          <w:spacing w:val="-50"/>
          <w:sz w:val="24"/>
          <w:szCs w:val="24"/>
        </w:rPr>
        <w:t xml:space="preserve"> </w:t>
      </w:r>
      <w:r>
        <w:rPr>
          <w:rFonts w:ascii="Times New Roman" w:hAnsi="Times New Roman" w:eastAsia="Times New Roman" w:cs="Times New Roman"/>
          <w:sz w:val="24"/>
          <w:szCs w:val="24"/>
        </w:rPr>
        <w:t>30000m</w:t>
      </w:r>
      <w:r>
        <w:rPr>
          <w:rFonts w:ascii="Times New Roman" w:hAnsi="Times New Roman" w:eastAsia="Times New Roman" w:cs="Times New Roman"/>
          <w:position w:val="8"/>
          <w:sz w:val="15"/>
          <w:szCs w:val="15"/>
        </w:rPr>
        <w:t xml:space="preserve">3 </w:t>
      </w:r>
      <w:r>
        <w:rPr>
          <w:rFonts w:ascii="宋体" w:hAnsi="宋体" w:eastAsia="宋体" w:cs="宋体"/>
          <w:sz w:val="24"/>
          <w:szCs w:val="24"/>
        </w:rPr>
        <w:t>）缓存，出煤气柜净煤气经加压</w:t>
      </w:r>
      <w:r>
        <w:rPr>
          <w:rFonts w:ascii="宋体" w:hAnsi="宋体" w:eastAsia="宋体" w:cs="宋体"/>
          <w:spacing w:val="-1"/>
          <w:sz w:val="24"/>
          <w:szCs w:val="24"/>
        </w:rPr>
        <w:t>后送往烧结</w:t>
      </w:r>
      <w:r>
        <w:rPr>
          <w:rFonts w:ascii="宋体" w:hAnsi="宋体" w:eastAsia="宋体" w:cs="宋体"/>
          <w:sz w:val="24"/>
          <w:szCs w:val="24"/>
        </w:rPr>
        <w:t xml:space="preserve"> </w:t>
      </w:r>
      <w:r>
        <w:rPr>
          <w:rFonts w:ascii="宋体" w:hAnsi="宋体" w:eastAsia="宋体" w:cs="宋体"/>
          <w:spacing w:val="-1"/>
          <w:sz w:val="24"/>
          <w:szCs w:val="24"/>
        </w:rPr>
        <w:t>机、烘干及煤气发电机组综合利用。</w:t>
      </w:r>
    </w:p>
    <w:p w14:paraId="6A16CD61">
      <w:pPr>
        <w:spacing w:before="32" w:line="354" w:lineRule="auto"/>
        <w:ind w:left="13" w:right="2" w:firstLine="476"/>
        <w:rPr>
          <w:rFonts w:ascii="宋体" w:hAnsi="宋体" w:eastAsia="宋体" w:cs="宋体"/>
          <w:sz w:val="24"/>
          <w:szCs w:val="24"/>
        </w:rPr>
      </w:pPr>
      <w:r>
        <w:rPr>
          <w:rFonts w:ascii="宋体" w:hAnsi="宋体" w:eastAsia="宋体" w:cs="宋体"/>
          <w:spacing w:val="3"/>
          <w:sz w:val="24"/>
          <w:szCs w:val="24"/>
        </w:rPr>
        <w:t>煤气干法净化的具体流程为：每台电炉配置一</w:t>
      </w:r>
      <w:r>
        <w:rPr>
          <w:rFonts w:ascii="宋体" w:hAnsi="宋体" w:eastAsia="宋体" w:cs="宋体"/>
          <w:spacing w:val="2"/>
          <w:sz w:val="24"/>
          <w:szCs w:val="24"/>
        </w:rPr>
        <w:t>套水冷烟道</w:t>
      </w:r>
      <w:r>
        <w:rPr>
          <w:rFonts w:ascii="Times New Roman" w:hAnsi="Times New Roman" w:eastAsia="Times New Roman" w:cs="Times New Roman"/>
          <w:spacing w:val="2"/>
          <w:sz w:val="24"/>
          <w:szCs w:val="24"/>
        </w:rPr>
        <w:t>+</w:t>
      </w:r>
      <w:r>
        <w:rPr>
          <w:rFonts w:ascii="宋体" w:hAnsi="宋体" w:eastAsia="宋体" w:cs="宋体"/>
          <w:spacing w:val="2"/>
          <w:sz w:val="24"/>
          <w:szCs w:val="24"/>
        </w:rPr>
        <w:t>惯性沉降罐</w:t>
      </w:r>
      <w:r>
        <w:rPr>
          <w:rFonts w:ascii="Times New Roman" w:hAnsi="Times New Roman" w:eastAsia="Times New Roman" w:cs="Times New Roman"/>
          <w:spacing w:val="2"/>
          <w:sz w:val="24"/>
          <w:szCs w:val="24"/>
        </w:rPr>
        <w:t>+</w:t>
      </w:r>
      <w:r>
        <w:rPr>
          <w:rFonts w:ascii="宋体" w:hAnsi="宋体" w:eastAsia="宋体" w:cs="宋体"/>
          <w:spacing w:val="2"/>
          <w:sz w:val="24"/>
          <w:szCs w:val="24"/>
        </w:rPr>
        <w:t>二级风力</w:t>
      </w:r>
      <w:r>
        <w:rPr>
          <w:rFonts w:ascii="宋体" w:hAnsi="宋体" w:eastAsia="宋体" w:cs="宋体"/>
          <w:sz w:val="24"/>
          <w:szCs w:val="24"/>
        </w:rPr>
        <w:t xml:space="preserve"> </w:t>
      </w:r>
      <w:r>
        <w:rPr>
          <w:rFonts w:ascii="宋体" w:hAnsi="宋体" w:eastAsia="宋体" w:cs="宋体"/>
          <w:spacing w:val="-1"/>
          <w:sz w:val="24"/>
          <w:szCs w:val="24"/>
        </w:rPr>
        <w:t>列管冷却器</w:t>
      </w:r>
      <w:r>
        <w:rPr>
          <w:rFonts w:ascii="Times New Roman" w:hAnsi="Times New Roman" w:eastAsia="Times New Roman" w:cs="Times New Roman"/>
          <w:spacing w:val="-1"/>
          <w:sz w:val="24"/>
          <w:szCs w:val="24"/>
        </w:rPr>
        <w:t>+</w:t>
      </w:r>
      <w:r>
        <w:rPr>
          <w:rFonts w:ascii="宋体" w:hAnsi="宋体" w:eastAsia="宋体" w:cs="宋体"/>
          <w:spacing w:val="-1"/>
          <w:sz w:val="24"/>
          <w:szCs w:val="24"/>
        </w:rPr>
        <w:t>耐高温布袋除尘器系统，共计</w:t>
      </w:r>
      <w:r>
        <w:rPr>
          <w:rFonts w:ascii="宋体" w:hAnsi="宋体" w:eastAsia="宋体" w:cs="宋体"/>
          <w:spacing w:val="-37"/>
          <w:sz w:val="24"/>
          <w:szCs w:val="24"/>
        </w:rPr>
        <w:t xml:space="preserve"> </w:t>
      </w:r>
      <w:r>
        <w:rPr>
          <w:rFonts w:ascii="Times New Roman" w:hAnsi="Times New Roman" w:eastAsia="Times New Roman" w:cs="Times New Roman"/>
          <w:spacing w:val="-1"/>
          <w:sz w:val="24"/>
          <w:szCs w:val="24"/>
        </w:rPr>
        <w:t xml:space="preserve">6 </w:t>
      </w:r>
      <w:r>
        <w:rPr>
          <w:rFonts w:ascii="宋体" w:hAnsi="宋体" w:eastAsia="宋体" w:cs="宋体"/>
          <w:spacing w:val="-1"/>
          <w:sz w:val="24"/>
          <w:szCs w:val="24"/>
        </w:rPr>
        <w:t>套，对电炉粗煤气进行降温和除尘。</w:t>
      </w:r>
    </w:p>
    <w:p w14:paraId="273318B5">
      <w:pPr>
        <w:spacing w:before="34" w:line="358" w:lineRule="auto"/>
        <w:ind w:left="7" w:firstLine="509"/>
        <w:rPr>
          <w:rFonts w:ascii="宋体" w:hAnsi="宋体" w:eastAsia="宋体" w:cs="宋体"/>
          <w:sz w:val="24"/>
          <w:szCs w:val="24"/>
        </w:rPr>
      </w:pPr>
      <w:r>
        <w:rPr>
          <w:rFonts w:ascii="宋体" w:hAnsi="宋体" w:eastAsia="宋体" w:cs="宋体"/>
          <w:spacing w:val="3"/>
          <w:sz w:val="24"/>
          <w:szCs w:val="24"/>
        </w:rPr>
        <w:t>电炉冶炼所产生的高温含尘粗煤气先经过一段水冷烟道进入惯</w:t>
      </w:r>
      <w:r>
        <w:rPr>
          <w:rFonts w:ascii="宋体" w:hAnsi="宋体" w:eastAsia="宋体" w:cs="宋体"/>
          <w:spacing w:val="2"/>
          <w:sz w:val="24"/>
          <w:szCs w:val="24"/>
        </w:rPr>
        <w:t>性沉降罐对较大</w:t>
      </w:r>
      <w:r>
        <w:rPr>
          <w:rFonts w:ascii="宋体" w:hAnsi="宋体" w:eastAsia="宋体" w:cs="宋体"/>
          <w:sz w:val="24"/>
          <w:szCs w:val="24"/>
        </w:rPr>
        <w:t xml:space="preserve"> </w:t>
      </w:r>
      <w:r>
        <w:rPr>
          <w:rFonts w:ascii="宋体" w:hAnsi="宋体" w:eastAsia="宋体" w:cs="宋体"/>
          <w:spacing w:val="-3"/>
          <w:sz w:val="24"/>
          <w:szCs w:val="24"/>
        </w:rPr>
        <w:t>颗粒粉尘进行粗除尘，然后经二级风力列管冷却器进行冷却，同时进一步对粉尘进行除</w:t>
      </w:r>
      <w:r>
        <w:rPr>
          <w:rFonts w:ascii="宋体" w:hAnsi="宋体" w:eastAsia="宋体" w:cs="宋体"/>
          <w:spacing w:val="1"/>
          <w:sz w:val="24"/>
          <w:szCs w:val="24"/>
        </w:rPr>
        <w:t xml:space="preserve"> </w:t>
      </w:r>
      <w:r>
        <w:rPr>
          <w:rFonts w:ascii="宋体" w:hAnsi="宋体" w:eastAsia="宋体" w:cs="宋体"/>
          <w:spacing w:val="-3"/>
          <w:sz w:val="24"/>
          <w:szCs w:val="24"/>
        </w:rPr>
        <w:t>尘，进一步将大颗粒粉尘除去，以防在管道或设备中沉降堵塞系统。风力列管冷却器使</w:t>
      </w:r>
    </w:p>
    <w:p w14:paraId="4B92A1FF">
      <w:pPr>
        <w:spacing w:line="358" w:lineRule="auto"/>
        <w:rPr>
          <w:rFonts w:ascii="宋体" w:hAnsi="宋体" w:eastAsia="宋体" w:cs="宋体"/>
          <w:sz w:val="24"/>
          <w:szCs w:val="24"/>
        </w:rPr>
        <w:sectPr>
          <w:footerReference r:id="rId118" w:type="default"/>
          <w:pgSz w:w="11850" w:h="16781"/>
          <w:pgMar w:top="1178" w:right="1416" w:bottom="1010" w:left="1417" w:header="870" w:footer="850" w:gutter="0"/>
          <w:cols w:space="720" w:num="1"/>
        </w:sectPr>
      </w:pPr>
    </w:p>
    <w:p w14:paraId="7CC66BA4">
      <w:pPr>
        <w:pStyle w:val="2"/>
        <w:spacing w:line="275" w:lineRule="auto"/>
      </w:pPr>
      <w:r>
        <w:pict>
          <v:shape id="_x0000_s1170" o:spid="_x0000_s1170" style="position:absolute;left:0pt;margin-left:0pt;margin-top:0.65pt;height:0.75pt;width:450.75pt;z-index:251828224;mso-width-relative:page;mso-height-relative:page;" fillcolor="#000000" filled="t" stroked="f" coordsize="9015,15" path="m0,0l9014,0,9014,14,0,14,0,0xe">
            <v:path/>
            <v:fill on="t" focussize="0,0"/>
            <v:stroke on="f"/>
            <v:imagedata o:title=""/>
            <o:lock v:ext="edit"/>
          </v:shape>
        </w:pict>
      </w:r>
    </w:p>
    <w:p w14:paraId="67A1833F">
      <w:pPr>
        <w:spacing w:before="78" w:line="219" w:lineRule="auto"/>
        <w:ind w:left="9"/>
        <w:rPr>
          <w:rFonts w:ascii="宋体" w:hAnsi="宋体" w:eastAsia="宋体" w:cs="宋体"/>
          <w:sz w:val="24"/>
          <w:szCs w:val="24"/>
        </w:rPr>
      </w:pPr>
      <w:r>
        <w:rPr>
          <w:rFonts w:ascii="宋体" w:hAnsi="宋体" w:eastAsia="宋体" w:cs="宋体"/>
          <w:spacing w:val="2"/>
          <w:sz w:val="24"/>
          <w:szCs w:val="24"/>
        </w:rPr>
        <w:t>煤气温度降至</w:t>
      </w:r>
      <w:r>
        <w:rPr>
          <w:rFonts w:ascii="宋体" w:hAnsi="宋体" w:eastAsia="宋体" w:cs="宋体"/>
          <w:spacing w:val="-17"/>
          <w:sz w:val="24"/>
          <w:szCs w:val="24"/>
        </w:rPr>
        <w:t xml:space="preserve"> </w:t>
      </w:r>
      <w:r>
        <w:rPr>
          <w:rFonts w:ascii="Times New Roman" w:hAnsi="Times New Roman" w:eastAsia="Times New Roman" w:cs="Times New Roman"/>
          <w:spacing w:val="2"/>
          <w:sz w:val="24"/>
          <w:szCs w:val="24"/>
        </w:rPr>
        <w:t>180℃</w:t>
      </w:r>
      <w:r>
        <w:rPr>
          <w:rFonts w:ascii="宋体" w:hAnsi="宋体" w:eastAsia="宋体" w:cs="宋体"/>
          <w:spacing w:val="2"/>
          <w:sz w:val="24"/>
          <w:szCs w:val="24"/>
        </w:rPr>
        <w:t>~</w:t>
      </w:r>
      <w:r>
        <w:rPr>
          <w:rFonts w:ascii="Times New Roman" w:hAnsi="Times New Roman" w:eastAsia="Times New Roman" w:cs="Times New Roman"/>
          <w:spacing w:val="2"/>
          <w:sz w:val="24"/>
          <w:szCs w:val="24"/>
        </w:rPr>
        <w:t>250℃</w:t>
      </w:r>
      <w:r>
        <w:rPr>
          <w:rFonts w:ascii="宋体" w:hAnsi="宋体" w:eastAsia="宋体" w:cs="宋体"/>
          <w:spacing w:val="2"/>
          <w:sz w:val="24"/>
          <w:szCs w:val="24"/>
        </w:rPr>
        <w:t>之间，然后进入耐高温布袋除尘器除尘。</w:t>
      </w:r>
    </w:p>
    <w:p w14:paraId="1B798DC5">
      <w:pPr>
        <w:spacing w:before="193" w:line="360" w:lineRule="auto"/>
        <w:ind w:left="8" w:firstLine="494"/>
        <w:jc w:val="both"/>
        <w:rPr>
          <w:rFonts w:ascii="宋体" w:hAnsi="宋体" w:eastAsia="宋体" w:cs="宋体"/>
          <w:sz w:val="24"/>
          <w:szCs w:val="24"/>
        </w:rPr>
      </w:pPr>
      <w:r>
        <w:rPr>
          <w:rFonts w:ascii="宋体" w:hAnsi="宋体" w:eastAsia="宋体" w:cs="宋体"/>
          <w:spacing w:val="-4"/>
          <w:sz w:val="24"/>
          <w:szCs w:val="24"/>
        </w:rPr>
        <w:t>除尘后的煤气汇入煤气主管道中，在煤气柜进口前设置两组煤气风冷器（二级）和</w:t>
      </w:r>
      <w:r>
        <w:rPr>
          <w:rFonts w:ascii="宋体" w:hAnsi="宋体" w:eastAsia="宋体" w:cs="宋体"/>
          <w:spacing w:val="16"/>
          <w:sz w:val="24"/>
          <w:szCs w:val="24"/>
        </w:rPr>
        <w:t xml:space="preserve"> </w:t>
      </w:r>
      <w:r>
        <w:rPr>
          <w:rFonts w:ascii="宋体" w:hAnsi="宋体" w:eastAsia="宋体" w:cs="宋体"/>
          <w:spacing w:val="-4"/>
          <w:sz w:val="24"/>
          <w:szCs w:val="24"/>
        </w:rPr>
        <w:t>电捕焦油器，进一步降低煤气温度 (</w:t>
      </w:r>
      <w:r>
        <w:rPr>
          <w:rFonts w:ascii="Times New Roman" w:hAnsi="Times New Roman" w:eastAsia="Times New Roman" w:cs="Times New Roman"/>
          <w:spacing w:val="-4"/>
          <w:sz w:val="24"/>
          <w:szCs w:val="24"/>
        </w:rPr>
        <w:t>≤40℃</w:t>
      </w:r>
      <w:r>
        <w:rPr>
          <w:rFonts w:ascii="宋体" w:hAnsi="宋体" w:eastAsia="宋体" w:cs="宋体"/>
          <w:spacing w:val="-4"/>
          <w:sz w:val="24"/>
          <w:szCs w:val="24"/>
        </w:rPr>
        <w:t>) 和脱除煤气中的水分、焦油、灰尘等</w:t>
      </w:r>
      <w:r>
        <w:rPr>
          <w:rFonts w:ascii="宋体" w:hAnsi="宋体" w:eastAsia="宋体" w:cs="宋体"/>
          <w:spacing w:val="-5"/>
          <w:sz w:val="24"/>
          <w:szCs w:val="24"/>
        </w:rPr>
        <w:t>杂质。</w:t>
      </w:r>
      <w:r>
        <w:rPr>
          <w:rFonts w:ascii="宋体" w:hAnsi="宋体" w:eastAsia="宋体" w:cs="宋体"/>
          <w:sz w:val="24"/>
          <w:szCs w:val="24"/>
        </w:rPr>
        <w:t xml:space="preserve"> </w:t>
      </w:r>
      <w:r>
        <w:rPr>
          <w:rFonts w:ascii="宋体" w:hAnsi="宋体" w:eastAsia="宋体" w:cs="宋体"/>
          <w:spacing w:val="-3"/>
          <w:sz w:val="24"/>
          <w:szCs w:val="24"/>
        </w:rPr>
        <w:t>洁净煤气通过煤气柜进行稳压、缓存，再由气柜出口设置的加压机升压至</w:t>
      </w:r>
      <w:r>
        <w:rPr>
          <w:rFonts w:ascii="宋体" w:hAnsi="宋体" w:eastAsia="宋体" w:cs="宋体"/>
          <w:spacing w:val="-31"/>
          <w:sz w:val="24"/>
          <w:szCs w:val="24"/>
        </w:rPr>
        <w:t xml:space="preserve"> </w:t>
      </w:r>
      <w:r>
        <w:rPr>
          <w:rFonts w:ascii="Times New Roman" w:hAnsi="Times New Roman" w:eastAsia="Times New Roman" w:cs="Times New Roman"/>
          <w:spacing w:val="-3"/>
          <w:sz w:val="24"/>
          <w:szCs w:val="24"/>
        </w:rPr>
        <w:t>10±2kPa</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，再</w:t>
      </w:r>
      <w:r>
        <w:rPr>
          <w:rFonts w:ascii="宋体" w:hAnsi="宋体" w:eastAsia="宋体" w:cs="宋体"/>
          <w:sz w:val="24"/>
          <w:szCs w:val="24"/>
        </w:rPr>
        <w:t xml:space="preserve"> </w:t>
      </w:r>
      <w:r>
        <w:rPr>
          <w:rFonts w:ascii="宋体" w:hAnsi="宋体" w:eastAsia="宋体" w:cs="宋体"/>
          <w:spacing w:val="-1"/>
          <w:sz w:val="24"/>
          <w:szCs w:val="24"/>
        </w:rPr>
        <w:t>通过精过滤器进一步过滤（过滤焦油、灰尘）后送往用气环节。</w:t>
      </w:r>
    </w:p>
    <w:p w14:paraId="34591866">
      <w:pPr>
        <w:spacing w:before="36" w:line="354" w:lineRule="auto"/>
        <w:ind w:left="12" w:right="80" w:firstLine="477"/>
        <w:rPr>
          <w:rFonts w:ascii="宋体" w:hAnsi="宋体" w:eastAsia="宋体" w:cs="宋体"/>
          <w:sz w:val="24"/>
          <w:szCs w:val="24"/>
        </w:rPr>
      </w:pPr>
      <w:r>
        <w:rPr>
          <w:rFonts w:ascii="宋体" w:hAnsi="宋体" w:eastAsia="宋体" w:cs="宋体"/>
          <w:spacing w:val="-3"/>
          <w:sz w:val="24"/>
          <w:szCs w:val="24"/>
        </w:rPr>
        <w:t>整个净化系统采用计算机自动控制，通过风机来调整炉内压力，通</w:t>
      </w:r>
      <w:r>
        <w:rPr>
          <w:rFonts w:ascii="宋体" w:hAnsi="宋体" w:eastAsia="宋体" w:cs="宋体"/>
          <w:spacing w:val="-4"/>
          <w:sz w:val="24"/>
          <w:szCs w:val="24"/>
        </w:rPr>
        <w:t>过时间控制或压</w:t>
      </w:r>
      <w:r>
        <w:rPr>
          <w:rFonts w:ascii="宋体" w:hAnsi="宋体" w:eastAsia="宋体" w:cs="宋体"/>
          <w:sz w:val="24"/>
          <w:szCs w:val="24"/>
        </w:rPr>
        <w:t xml:space="preserve"> </w:t>
      </w:r>
      <w:r>
        <w:rPr>
          <w:rFonts w:ascii="宋体" w:hAnsi="宋体" w:eastAsia="宋体" w:cs="宋体"/>
          <w:spacing w:val="-1"/>
          <w:sz w:val="24"/>
          <w:szCs w:val="24"/>
        </w:rPr>
        <w:t>力检测进行滤袋除尘器清灰，由</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 xml:space="preserve">PLC </w:t>
      </w:r>
      <w:r>
        <w:rPr>
          <w:rFonts w:ascii="宋体" w:hAnsi="宋体" w:eastAsia="宋体" w:cs="宋体"/>
          <w:spacing w:val="-1"/>
          <w:sz w:val="24"/>
          <w:szCs w:val="24"/>
        </w:rPr>
        <w:t>程序实现。</w:t>
      </w:r>
    </w:p>
    <w:p w14:paraId="423A57F6">
      <w:pPr>
        <w:spacing w:before="35" w:line="219" w:lineRule="auto"/>
        <w:ind w:left="488"/>
        <w:rPr>
          <w:rFonts w:ascii="宋体" w:hAnsi="宋体" w:eastAsia="宋体" w:cs="宋体"/>
          <w:sz w:val="24"/>
          <w:szCs w:val="24"/>
        </w:rPr>
      </w:pPr>
      <w:r>
        <w:rPr>
          <w:rFonts w:ascii="宋体" w:hAnsi="宋体" w:eastAsia="宋体" w:cs="宋体"/>
          <w:b/>
          <w:bCs/>
          <w:spacing w:val="-4"/>
          <w:sz w:val="24"/>
          <w:szCs w:val="24"/>
        </w:rPr>
        <w:t>产污环节分析：</w:t>
      </w:r>
    </w:p>
    <w:p w14:paraId="41592FD3">
      <w:pPr>
        <w:spacing w:before="189" w:line="354" w:lineRule="auto"/>
        <w:ind w:left="9" w:right="78" w:firstLine="478"/>
        <w:rPr>
          <w:rFonts w:ascii="宋体" w:hAnsi="宋体" w:eastAsia="宋体" w:cs="宋体"/>
          <w:sz w:val="24"/>
          <w:szCs w:val="24"/>
        </w:rPr>
      </w:pPr>
      <w:r>
        <w:rPr>
          <w:rFonts w:ascii="宋体" w:hAnsi="宋体" w:eastAsia="宋体" w:cs="宋体"/>
          <w:b/>
          <w:bCs/>
          <w:spacing w:val="-2"/>
          <w:sz w:val="24"/>
          <w:szCs w:val="24"/>
        </w:rPr>
        <w:t>废水：</w:t>
      </w:r>
      <w:r>
        <w:rPr>
          <w:rFonts w:ascii="宋体" w:hAnsi="宋体" w:eastAsia="宋体" w:cs="宋体"/>
          <w:spacing w:val="-2"/>
          <w:sz w:val="24"/>
          <w:szCs w:val="24"/>
        </w:rPr>
        <w:t>煤气柜前煤气风力冷却器会产生煤气冷凝废水（</w:t>
      </w:r>
      <w:r>
        <w:rPr>
          <w:rFonts w:ascii="Times New Roman" w:hAnsi="Times New Roman" w:eastAsia="Times New Roman" w:cs="Times New Roman"/>
          <w:spacing w:val="-2"/>
          <w:sz w:val="24"/>
          <w:szCs w:val="24"/>
        </w:rPr>
        <w:t>W</w:t>
      </w:r>
      <w:r>
        <w:rPr>
          <w:rFonts w:ascii="Times New Roman" w:hAnsi="Times New Roman" w:eastAsia="Times New Roman" w:cs="Times New Roman"/>
          <w:spacing w:val="-2"/>
          <w:sz w:val="15"/>
          <w:szCs w:val="15"/>
        </w:rPr>
        <w:t xml:space="preserve">1-2 </w:t>
      </w:r>
      <w:r>
        <w:rPr>
          <w:rFonts w:ascii="宋体" w:hAnsi="宋体" w:eastAsia="宋体" w:cs="宋体"/>
          <w:spacing w:val="-12"/>
          <w:sz w:val="24"/>
          <w:szCs w:val="24"/>
        </w:rPr>
        <w:t>），</w:t>
      </w:r>
      <w:r>
        <w:rPr>
          <w:rFonts w:ascii="宋体" w:hAnsi="宋体" w:eastAsia="宋体" w:cs="宋体"/>
          <w:spacing w:val="-2"/>
          <w:sz w:val="24"/>
          <w:szCs w:val="24"/>
        </w:rPr>
        <w:t>经隔</w:t>
      </w:r>
      <w:r>
        <w:rPr>
          <w:rFonts w:ascii="宋体" w:hAnsi="宋体" w:eastAsia="宋体" w:cs="宋体"/>
          <w:spacing w:val="-3"/>
          <w:sz w:val="24"/>
          <w:szCs w:val="24"/>
        </w:rPr>
        <w:t>油池处理后，</w:t>
      </w:r>
      <w:r>
        <w:rPr>
          <w:rFonts w:ascii="宋体" w:hAnsi="宋体" w:eastAsia="宋体" w:cs="宋体"/>
          <w:spacing w:val="1"/>
          <w:sz w:val="24"/>
          <w:szCs w:val="24"/>
        </w:rPr>
        <w:t xml:space="preserve"> </w:t>
      </w:r>
      <w:r>
        <w:rPr>
          <w:rFonts w:ascii="宋体" w:hAnsi="宋体" w:eastAsia="宋体" w:cs="宋体"/>
          <w:spacing w:val="-1"/>
          <w:sz w:val="24"/>
          <w:szCs w:val="24"/>
        </w:rPr>
        <w:t>作为制作电炉开堵眼机堵塞泥用水。</w:t>
      </w:r>
    </w:p>
    <w:p w14:paraId="1EF4E9FE">
      <w:pPr>
        <w:spacing w:before="35" w:line="220" w:lineRule="auto"/>
        <w:ind w:left="508"/>
        <w:rPr>
          <w:rFonts w:ascii="宋体" w:hAnsi="宋体" w:eastAsia="宋体" w:cs="宋体"/>
          <w:sz w:val="24"/>
          <w:szCs w:val="24"/>
        </w:rPr>
      </w:pPr>
      <w:r>
        <w:rPr>
          <w:rFonts w:ascii="宋体" w:hAnsi="宋体" w:eastAsia="宋体" w:cs="宋体"/>
          <w:b/>
          <w:bCs/>
          <w:spacing w:val="-13"/>
          <w:sz w:val="24"/>
          <w:szCs w:val="24"/>
        </w:rPr>
        <w:t>固废：</w:t>
      </w:r>
    </w:p>
    <w:p w14:paraId="42EE0106">
      <w:pPr>
        <w:spacing w:before="191" w:line="293" w:lineRule="auto"/>
        <w:ind w:left="11" w:right="80" w:firstLine="476"/>
        <w:rPr>
          <w:rFonts w:ascii="宋体" w:hAnsi="宋体" w:eastAsia="宋体" w:cs="宋体"/>
          <w:sz w:val="24"/>
          <w:szCs w:val="24"/>
        </w:rPr>
      </w:pPr>
      <w:r>
        <w:rPr>
          <w:rFonts w:ascii="宋体" w:hAnsi="宋体" w:eastAsia="宋体" w:cs="宋体"/>
          <w:sz w:val="24"/>
          <w:szCs w:val="24"/>
        </w:rPr>
        <w:t>①煤气冷凝废水经沉淀隔油池处理产生煤气冷凝废水隔油池浮渣（</w:t>
      </w:r>
      <w:r>
        <w:rPr>
          <w:rFonts w:ascii="Times New Roman" w:hAnsi="Times New Roman" w:eastAsia="Times New Roman" w:cs="Times New Roman"/>
          <w:sz w:val="24"/>
          <w:szCs w:val="24"/>
        </w:rPr>
        <w:t>S</w:t>
      </w:r>
      <w:r>
        <w:rPr>
          <w:rFonts w:ascii="Times New Roman" w:hAnsi="Times New Roman" w:eastAsia="Times New Roman" w:cs="Times New Roman"/>
          <w:position w:val="-1"/>
          <w:sz w:val="15"/>
          <w:szCs w:val="15"/>
        </w:rPr>
        <w:t xml:space="preserve">1-9 </w:t>
      </w:r>
      <w:r>
        <w:rPr>
          <w:rFonts w:ascii="宋体" w:hAnsi="宋体" w:eastAsia="宋体" w:cs="宋体"/>
          <w:spacing w:val="-2"/>
          <w:sz w:val="24"/>
          <w:szCs w:val="24"/>
        </w:rPr>
        <w:t>），</w:t>
      </w:r>
      <w:r>
        <w:rPr>
          <w:rFonts w:ascii="宋体" w:hAnsi="宋体" w:eastAsia="宋体" w:cs="宋体"/>
          <w:sz w:val="24"/>
          <w:szCs w:val="24"/>
        </w:rPr>
        <w:t xml:space="preserve">主要成 </w:t>
      </w:r>
      <w:r>
        <w:rPr>
          <w:rFonts w:ascii="宋体" w:hAnsi="宋体" w:eastAsia="宋体" w:cs="宋体"/>
          <w:spacing w:val="-1"/>
          <w:sz w:val="24"/>
          <w:szCs w:val="24"/>
        </w:rPr>
        <w:t>分为焦油，属于危险废物，委托有资质单位进行处理。</w:t>
      </w:r>
    </w:p>
    <w:p w14:paraId="6E87EE73">
      <w:pPr>
        <w:spacing w:before="191" w:line="294" w:lineRule="auto"/>
        <w:ind w:left="10" w:right="18" w:firstLine="476"/>
        <w:rPr>
          <w:rFonts w:ascii="宋体" w:hAnsi="宋体" w:eastAsia="宋体" w:cs="宋体"/>
          <w:sz w:val="24"/>
          <w:szCs w:val="24"/>
        </w:rPr>
      </w:pPr>
      <w:r>
        <w:rPr>
          <w:rFonts w:ascii="宋体" w:hAnsi="宋体" w:eastAsia="宋体" w:cs="宋体"/>
          <w:spacing w:val="-3"/>
          <w:sz w:val="24"/>
          <w:szCs w:val="24"/>
        </w:rPr>
        <w:t>②电捕焦油器用于去除粗煤气中的少量焦油杂质（</w:t>
      </w:r>
      <w:r>
        <w:rPr>
          <w:rFonts w:ascii="Times New Roman" w:hAnsi="Times New Roman" w:eastAsia="Times New Roman" w:cs="Times New Roman"/>
          <w:spacing w:val="-3"/>
          <w:sz w:val="24"/>
          <w:szCs w:val="24"/>
        </w:rPr>
        <w:t>S</w:t>
      </w:r>
      <w:r>
        <w:rPr>
          <w:rFonts w:ascii="Times New Roman" w:hAnsi="Times New Roman" w:eastAsia="Times New Roman" w:cs="Times New Roman"/>
          <w:spacing w:val="-3"/>
          <w:position w:val="-1"/>
          <w:sz w:val="15"/>
          <w:szCs w:val="15"/>
        </w:rPr>
        <w:t>1-10</w:t>
      </w:r>
      <w:r>
        <w:rPr>
          <w:rFonts w:ascii="宋体" w:hAnsi="宋体" w:eastAsia="宋体" w:cs="宋体"/>
          <w:spacing w:val="-49"/>
          <w:sz w:val="24"/>
          <w:szCs w:val="24"/>
        </w:rPr>
        <w:t>），</w:t>
      </w:r>
      <w:r>
        <w:rPr>
          <w:rFonts w:ascii="宋体" w:hAnsi="宋体" w:eastAsia="宋体" w:cs="宋体"/>
          <w:spacing w:val="-3"/>
          <w:sz w:val="24"/>
          <w:szCs w:val="24"/>
        </w:rPr>
        <w:t>主要成分</w:t>
      </w:r>
      <w:r>
        <w:rPr>
          <w:rFonts w:ascii="宋体" w:hAnsi="宋体" w:eastAsia="宋体" w:cs="宋体"/>
          <w:spacing w:val="-4"/>
          <w:sz w:val="24"/>
          <w:szCs w:val="24"/>
        </w:rPr>
        <w:t>为焦油和灰尘，</w:t>
      </w:r>
      <w:r>
        <w:rPr>
          <w:rFonts w:ascii="宋体" w:hAnsi="宋体" w:eastAsia="宋体" w:cs="宋体"/>
          <w:sz w:val="24"/>
          <w:szCs w:val="24"/>
        </w:rPr>
        <w:t xml:space="preserve"> </w:t>
      </w:r>
      <w:r>
        <w:rPr>
          <w:rFonts w:ascii="宋体" w:hAnsi="宋体" w:eastAsia="宋体" w:cs="宋体"/>
          <w:spacing w:val="-1"/>
          <w:sz w:val="24"/>
          <w:szCs w:val="24"/>
        </w:rPr>
        <w:t>属于危险废物，委托有资质单位进行处理。</w:t>
      </w:r>
    </w:p>
    <w:p w14:paraId="5F7091F9">
      <w:pPr>
        <w:spacing w:before="191" w:line="293" w:lineRule="auto"/>
        <w:ind w:left="10" w:right="18" w:firstLine="476"/>
        <w:rPr>
          <w:rFonts w:ascii="宋体" w:hAnsi="宋体" w:eastAsia="宋体" w:cs="宋体"/>
          <w:sz w:val="24"/>
          <w:szCs w:val="24"/>
        </w:rPr>
      </w:pPr>
      <w:r>
        <w:rPr>
          <w:rFonts w:ascii="宋体" w:hAnsi="宋体" w:eastAsia="宋体" w:cs="宋体"/>
          <w:spacing w:val="-3"/>
          <w:sz w:val="24"/>
          <w:szCs w:val="24"/>
        </w:rPr>
        <w:t>③加压后的煤气通过精过滤器时会产生过滤杂质（</w:t>
      </w:r>
      <w:r>
        <w:rPr>
          <w:rFonts w:ascii="Times New Roman" w:hAnsi="Times New Roman" w:eastAsia="Times New Roman" w:cs="Times New Roman"/>
          <w:spacing w:val="-3"/>
          <w:sz w:val="24"/>
          <w:szCs w:val="24"/>
        </w:rPr>
        <w:t>S</w:t>
      </w:r>
      <w:r>
        <w:rPr>
          <w:rFonts w:ascii="Times New Roman" w:hAnsi="Times New Roman" w:eastAsia="Times New Roman" w:cs="Times New Roman"/>
          <w:spacing w:val="-3"/>
          <w:position w:val="-1"/>
          <w:sz w:val="15"/>
          <w:szCs w:val="15"/>
        </w:rPr>
        <w:t>1-11</w:t>
      </w:r>
      <w:r>
        <w:rPr>
          <w:rFonts w:ascii="宋体" w:hAnsi="宋体" w:eastAsia="宋体" w:cs="宋体"/>
          <w:spacing w:val="-49"/>
          <w:sz w:val="24"/>
          <w:szCs w:val="24"/>
        </w:rPr>
        <w:t>），</w:t>
      </w:r>
      <w:r>
        <w:rPr>
          <w:rFonts w:ascii="宋体" w:hAnsi="宋体" w:eastAsia="宋体" w:cs="宋体"/>
          <w:spacing w:val="-3"/>
          <w:sz w:val="24"/>
          <w:szCs w:val="24"/>
        </w:rPr>
        <w:t>主要成分</w:t>
      </w:r>
      <w:r>
        <w:rPr>
          <w:rFonts w:ascii="宋体" w:hAnsi="宋体" w:eastAsia="宋体" w:cs="宋体"/>
          <w:spacing w:val="-4"/>
          <w:sz w:val="24"/>
          <w:szCs w:val="24"/>
        </w:rPr>
        <w:t>为焦油和灰尘，</w:t>
      </w:r>
      <w:r>
        <w:rPr>
          <w:rFonts w:ascii="宋体" w:hAnsi="宋体" w:eastAsia="宋体" w:cs="宋体"/>
          <w:sz w:val="24"/>
          <w:szCs w:val="24"/>
        </w:rPr>
        <w:t xml:space="preserve"> </w:t>
      </w:r>
      <w:r>
        <w:rPr>
          <w:rFonts w:ascii="宋体" w:hAnsi="宋体" w:eastAsia="宋体" w:cs="宋体"/>
          <w:spacing w:val="-1"/>
          <w:sz w:val="24"/>
          <w:szCs w:val="24"/>
        </w:rPr>
        <w:t>属于危险废物，委托有资质单位进行处理。</w:t>
      </w:r>
    </w:p>
    <w:p w14:paraId="754F41C0">
      <w:pPr>
        <w:spacing w:before="191" w:line="293" w:lineRule="auto"/>
        <w:ind w:left="488" w:right="635" w:hanging="2"/>
        <w:rPr>
          <w:rFonts w:ascii="宋体" w:hAnsi="宋体" w:eastAsia="宋体" w:cs="宋体"/>
          <w:sz w:val="24"/>
          <w:szCs w:val="24"/>
        </w:rPr>
      </w:pPr>
      <w:r>
        <w:rPr>
          <w:rFonts w:ascii="宋体" w:hAnsi="宋体" w:eastAsia="宋体" w:cs="宋体"/>
          <w:spacing w:val="-2"/>
          <w:sz w:val="24"/>
          <w:szCs w:val="24"/>
        </w:rPr>
        <w:t>④电炉煤气净化收集的除灰尘（</w:t>
      </w:r>
      <w:r>
        <w:rPr>
          <w:rFonts w:ascii="Times New Roman" w:hAnsi="Times New Roman" w:eastAsia="Times New Roman" w:cs="Times New Roman"/>
          <w:spacing w:val="-2"/>
          <w:sz w:val="24"/>
          <w:szCs w:val="24"/>
        </w:rPr>
        <w:t>S</w:t>
      </w:r>
      <w:r>
        <w:rPr>
          <w:rFonts w:ascii="Times New Roman" w:hAnsi="Times New Roman" w:eastAsia="Times New Roman" w:cs="Times New Roman"/>
          <w:spacing w:val="-2"/>
          <w:position w:val="-1"/>
          <w:sz w:val="15"/>
          <w:szCs w:val="15"/>
        </w:rPr>
        <w:t xml:space="preserve">1-5 </w:t>
      </w:r>
      <w:r>
        <w:rPr>
          <w:rFonts w:ascii="宋体" w:hAnsi="宋体" w:eastAsia="宋体" w:cs="宋体"/>
          <w:spacing w:val="-2"/>
          <w:sz w:val="24"/>
          <w:szCs w:val="24"/>
        </w:rPr>
        <w:t>）返回生产工序中，去烧结配</w:t>
      </w:r>
      <w:r>
        <w:rPr>
          <w:rFonts w:ascii="宋体" w:hAnsi="宋体" w:eastAsia="宋体" w:cs="宋体"/>
          <w:spacing w:val="-3"/>
          <w:sz w:val="24"/>
          <w:szCs w:val="24"/>
        </w:rPr>
        <w:t>料站配料。</w:t>
      </w:r>
      <w:r>
        <w:rPr>
          <w:rFonts w:ascii="宋体" w:hAnsi="宋体" w:eastAsia="宋体" w:cs="宋体"/>
          <w:sz w:val="24"/>
          <w:szCs w:val="24"/>
        </w:rPr>
        <w:t xml:space="preserve"> </w:t>
      </w:r>
      <w:r>
        <w:rPr>
          <w:rFonts w:ascii="宋体" w:hAnsi="宋体" w:eastAsia="宋体" w:cs="宋体"/>
          <w:spacing w:val="-1"/>
          <w:sz w:val="24"/>
          <w:szCs w:val="24"/>
        </w:rPr>
        <w:t>本项目煤气干法净化工艺流程产污环节分析见图</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2.2-4</w:t>
      </w:r>
      <w:r>
        <w:rPr>
          <w:rFonts w:ascii="宋体" w:hAnsi="宋体" w:eastAsia="宋体" w:cs="宋体"/>
          <w:spacing w:val="-1"/>
          <w:sz w:val="24"/>
          <w:szCs w:val="24"/>
        </w:rPr>
        <w:t>。</w:t>
      </w:r>
    </w:p>
    <w:p w14:paraId="787CBAD7">
      <w:pPr>
        <w:spacing w:before="183" w:line="2583" w:lineRule="exact"/>
        <w:ind w:firstLine="330"/>
      </w:pPr>
      <w:r>
        <w:rPr>
          <w:position w:val="-51"/>
        </w:rPr>
        <w:drawing>
          <wp:inline distT="0" distB="0" distL="0" distR="0">
            <wp:extent cx="5290820" cy="1639570"/>
            <wp:effectExtent l="0" t="0" r="0" b="0"/>
            <wp:docPr id="34" name="IM 34"/>
            <wp:cNvGraphicFramePr/>
            <a:graphic xmlns:a="http://schemas.openxmlformats.org/drawingml/2006/main">
              <a:graphicData uri="http://schemas.openxmlformats.org/drawingml/2006/picture">
                <pic:pic xmlns:pic="http://schemas.openxmlformats.org/drawingml/2006/picture">
                  <pic:nvPicPr>
                    <pic:cNvPr id="34" name="IM 34"/>
                    <pic:cNvPicPr/>
                  </pic:nvPicPr>
                  <pic:blipFill>
                    <a:blip r:embed="rId595"/>
                    <a:stretch>
                      <a:fillRect/>
                    </a:stretch>
                  </pic:blipFill>
                  <pic:spPr>
                    <a:xfrm>
                      <a:off x="0" y="0"/>
                      <a:ext cx="5290904" cy="1640076"/>
                    </a:xfrm>
                    <a:prstGeom prst="rect">
                      <a:avLst/>
                    </a:prstGeom>
                  </pic:spPr>
                </pic:pic>
              </a:graphicData>
            </a:graphic>
          </wp:inline>
        </w:drawing>
      </w:r>
    </w:p>
    <w:p w14:paraId="686C84F4">
      <w:pPr>
        <w:spacing w:before="303" w:line="227" w:lineRule="auto"/>
        <w:ind w:left="1868"/>
        <w:rPr>
          <w:rFonts w:ascii="宋体" w:hAnsi="宋体" w:eastAsia="宋体" w:cs="宋体"/>
          <w:sz w:val="20"/>
          <w:szCs w:val="20"/>
        </w:rPr>
      </w:pPr>
      <w:r>
        <w:rPr>
          <w:rFonts w:ascii="宋体" w:hAnsi="宋体" w:eastAsia="宋体" w:cs="宋体"/>
          <w:b/>
          <w:bCs/>
          <w:spacing w:val="5"/>
          <w:sz w:val="20"/>
          <w:szCs w:val="20"/>
        </w:rPr>
        <w:t>图</w:t>
      </w:r>
      <w:r>
        <w:rPr>
          <w:rFonts w:ascii="宋体" w:hAnsi="宋体" w:eastAsia="宋体" w:cs="宋体"/>
          <w:spacing w:val="-39"/>
          <w:sz w:val="20"/>
          <w:szCs w:val="20"/>
        </w:rPr>
        <w:t xml:space="preserve"> </w:t>
      </w:r>
      <w:r>
        <w:rPr>
          <w:rFonts w:ascii="Times New Roman" w:hAnsi="Times New Roman" w:eastAsia="Times New Roman" w:cs="Times New Roman"/>
          <w:b/>
          <w:bCs/>
          <w:spacing w:val="5"/>
          <w:sz w:val="20"/>
          <w:szCs w:val="20"/>
        </w:rPr>
        <w:t xml:space="preserve">2.2-4        </w:t>
      </w:r>
      <w:r>
        <w:rPr>
          <w:rFonts w:ascii="宋体" w:hAnsi="宋体" w:eastAsia="宋体" w:cs="宋体"/>
          <w:b/>
          <w:bCs/>
          <w:spacing w:val="5"/>
          <w:sz w:val="20"/>
          <w:szCs w:val="20"/>
        </w:rPr>
        <w:t>煤气干法净化工艺流程产污环节分析示意图。</w:t>
      </w:r>
    </w:p>
    <w:p w14:paraId="72C895F2">
      <w:pPr>
        <w:spacing w:before="275" w:line="222" w:lineRule="auto"/>
        <w:ind w:left="5"/>
        <w:outlineLvl w:val="2"/>
        <w:rPr>
          <w:rFonts w:ascii="黑体" w:hAnsi="黑体" w:eastAsia="黑体" w:cs="黑体"/>
          <w:sz w:val="28"/>
          <w:szCs w:val="28"/>
        </w:rPr>
      </w:pPr>
      <w:bookmarkStart w:id="319" w:name="bookmark106"/>
      <w:bookmarkEnd w:id="319"/>
      <w:r>
        <w:rPr>
          <w:rFonts w:ascii="Times New Roman" w:hAnsi="Times New Roman" w:eastAsia="Times New Roman" w:cs="Times New Roman"/>
          <w:b/>
          <w:bCs/>
          <w:spacing w:val="-2"/>
          <w:sz w:val="28"/>
          <w:szCs w:val="28"/>
        </w:rPr>
        <w:t xml:space="preserve">2.2.3 </w:t>
      </w:r>
      <w:r>
        <w:rPr>
          <w:rFonts w:ascii="黑体" w:hAnsi="黑体" w:eastAsia="黑体" w:cs="黑体"/>
          <w:b/>
          <w:bCs/>
          <w:spacing w:val="-2"/>
          <w:sz w:val="28"/>
          <w:szCs w:val="28"/>
        </w:rPr>
        <w:t>煤气发电工艺流程及产污环节分析</w:t>
      </w:r>
    </w:p>
    <w:p w14:paraId="7A89A300">
      <w:pPr>
        <w:spacing w:before="241" w:line="354" w:lineRule="auto"/>
        <w:ind w:left="8" w:right="80" w:firstLine="480"/>
        <w:rPr>
          <w:rFonts w:ascii="宋体" w:hAnsi="宋体" w:eastAsia="宋体" w:cs="宋体"/>
          <w:sz w:val="24"/>
          <w:szCs w:val="24"/>
        </w:rPr>
      </w:pPr>
      <w:r>
        <w:rPr>
          <w:rFonts w:ascii="宋体" w:hAnsi="宋体" w:eastAsia="宋体" w:cs="宋体"/>
          <w:spacing w:val="-2"/>
          <w:sz w:val="24"/>
          <w:szCs w:val="24"/>
        </w:rPr>
        <w:t>本项目配套建设</w:t>
      </w:r>
      <w:r>
        <w:rPr>
          <w:rFonts w:ascii="宋体" w:hAnsi="宋体" w:eastAsia="宋体" w:cs="宋体"/>
          <w:spacing w:val="-47"/>
          <w:sz w:val="24"/>
          <w:szCs w:val="24"/>
        </w:rPr>
        <w:t xml:space="preserve"> </w:t>
      </w:r>
      <w:r>
        <w:rPr>
          <w:rFonts w:ascii="Times New Roman" w:hAnsi="Times New Roman" w:eastAsia="Times New Roman" w:cs="Times New Roman"/>
          <w:spacing w:val="-2"/>
          <w:sz w:val="24"/>
          <w:szCs w:val="24"/>
        </w:rPr>
        <w:t>60MW</w:t>
      </w:r>
      <w:r>
        <w:rPr>
          <w:rFonts w:ascii="Times New Roman" w:hAnsi="Times New Roman" w:eastAsia="Times New Roman" w:cs="Times New Roman"/>
          <w:spacing w:val="39"/>
          <w:w w:val="101"/>
          <w:sz w:val="24"/>
          <w:szCs w:val="24"/>
        </w:rPr>
        <w:t xml:space="preserve"> </w:t>
      </w:r>
      <w:r>
        <w:rPr>
          <w:rFonts w:ascii="宋体" w:hAnsi="宋体" w:eastAsia="宋体" w:cs="宋体"/>
          <w:spacing w:val="-2"/>
          <w:sz w:val="24"/>
          <w:szCs w:val="24"/>
        </w:rPr>
        <w:t>电炉煤气发电系统，配置</w:t>
      </w:r>
      <w:r>
        <w:rPr>
          <w:rFonts w:ascii="宋体" w:hAnsi="宋体" w:eastAsia="宋体" w:cs="宋体"/>
          <w:spacing w:val="-27"/>
          <w:sz w:val="24"/>
          <w:szCs w:val="24"/>
        </w:rPr>
        <w:t xml:space="preserve"> </w:t>
      </w:r>
      <w:r>
        <w:rPr>
          <w:rFonts w:ascii="Times New Roman" w:hAnsi="Times New Roman" w:eastAsia="Times New Roman" w:cs="Times New Roman"/>
          <w:spacing w:val="-2"/>
          <w:sz w:val="24"/>
          <w:szCs w:val="24"/>
        </w:rPr>
        <w:t>1</w:t>
      </w:r>
      <w:r>
        <w:rPr>
          <w:rFonts w:ascii="Times New Roman" w:hAnsi="Times New Roman" w:eastAsia="Times New Roman" w:cs="Times New Roman"/>
          <w:spacing w:val="28"/>
          <w:sz w:val="24"/>
          <w:szCs w:val="24"/>
        </w:rPr>
        <w:t xml:space="preserve"> </w:t>
      </w:r>
      <w:r>
        <w:rPr>
          <w:rFonts w:ascii="宋体" w:hAnsi="宋体" w:eastAsia="宋体" w:cs="宋体"/>
          <w:spacing w:val="-2"/>
          <w:sz w:val="24"/>
          <w:szCs w:val="24"/>
        </w:rPr>
        <w:t>台</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 xml:space="preserve">200t/h </w:t>
      </w:r>
      <w:r>
        <w:rPr>
          <w:rFonts w:ascii="宋体" w:hAnsi="宋体" w:eastAsia="宋体" w:cs="宋体"/>
          <w:spacing w:val="-3"/>
          <w:sz w:val="24"/>
          <w:szCs w:val="24"/>
        </w:rPr>
        <w:t>超超高温超高压煤气</w:t>
      </w:r>
      <w:r>
        <w:rPr>
          <w:rFonts w:ascii="宋体" w:hAnsi="宋体" w:eastAsia="宋体" w:cs="宋体"/>
          <w:sz w:val="24"/>
          <w:szCs w:val="24"/>
        </w:rPr>
        <w:t xml:space="preserve"> </w:t>
      </w:r>
      <w:r>
        <w:rPr>
          <w:rFonts w:ascii="宋体" w:hAnsi="宋体" w:eastAsia="宋体" w:cs="宋体"/>
          <w:spacing w:val="-1"/>
          <w:sz w:val="24"/>
          <w:szCs w:val="24"/>
        </w:rPr>
        <w:t>锅炉、</w:t>
      </w:r>
      <w:r>
        <w:rPr>
          <w:rFonts w:ascii="Times New Roman" w:hAnsi="Times New Roman" w:eastAsia="Times New Roman" w:cs="Times New Roman"/>
          <w:spacing w:val="-1"/>
          <w:sz w:val="24"/>
          <w:szCs w:val="24"/>
        </w:rPr>
        <w:t>1</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台</w:t>
      </w:r>
      <w:r>
        <w:rPr>
          <w:rFonts w:ascii="宋体" w:hAnsi="宋体" w:eastAsia="宋体" w:cs="宋体"/>
          <w:spacing w:val="-47"/>
          <w:sz w:val="24"/>
          <w:szCs w:val="24"/>
        </w:rPr>
        <w:t xml:space="preserve"> </w:t>
      </w:r>
      <w:r>
        <w:rPr>
          <w:rFonts w:ascii="Times New Roman" w:hAnsi="Times New Roman" w:eastAsia="Times New Roman" w:cs="Times New Roman"/>
          <w:spacing w:val="-1"/>
          <w:sz w:val="24"/>
          <w:szCs w:val="24"/>
        </w:rPr>
        <w:t>60MW</w:t>
      </w:r>
      <w:r>
        <w:rPr>
          <w:rFonts w:ascii="Times New Roman" w:hAnsi="Times New Roman" w:eastAsia="Times New Roman" w:cs="Times New Roman"/>
          <w:spacing w:val="36"/>
          <w:sz w:val="24"/>
          <w:szCs w:val="24"/>
        </w:rPr>
        <w:t xml:space="preserve"> </w:t>
      </w:r>
      <w:r>
        <w:rPr>
          <w:rFonts w:ascii="宋体" w:hAnsi="宋体" w:eastAsia="宋体" w:cs="宋体"/>
          <w:spacing w:val="-1"/>
          <w:sz w:val="24"/>
          <w:szCs w:val="24"/>
        </w:rPr>
        <w:t>中间一次再热空冷凝汽式汽轮机、</w:t>
      </w:r>
      <w:r>
        <w:rPr>
          <w:rFonts w:ascii="Times New Roman" w:hAnsi="Times New Roman" w:eastAsia="Times New Roman" w:cs="Times New Roman"/>
          <w:spacing w:val="-2"/>
          <w:sz w:val="24"/>
          <w:szCs w:val="24"/>
        </w:rPr>
        <w:t>1</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台</w:t>
      </w:r>
      <w:r>
        <w:rPr>
          <w:rFonts w:ascii="宋体" w:hAnsi="宋体" w:eastAsia="宋体" w:cs="宋体"/>
          <w:spacing w:val="-47"/>
          <w:sz w:val="24"/>
          <w:szCs w:val="24"/>
        </w:rPr>
        <w:t xml:space="preserve"> </w:t>
      </w:r>
      <w:r>
        <w:rPr>
          <w:rFonts w:ascii="Times New Roman" w:hAnsi="Times New Roman" w:eastAsia="Times New Roman" w:cs="Times New Roman"/>
          <w:spacing w:val="-2"/>
          <w:sz w:val="24"/>
          <w:szCs w:val="24"/>
        </w:rPr>
        <w:t>60MW</w:t>
      </w:r>
      <w:r>
        <w:rPr>
          <w:rFonts w:ascii="Times New Roman" w:hAnsi="Times New Roman" w:eastAsia="Times New Roman" w:cs="Times New Roman"/>
          <w:spacing w:val="17"/>
          <w:sz w:val="24"/>
          <w:szCs w:val="24"/>
        </w:rPr>
        <w:t xml:space="preserve"> </w:t>
      </w:r>
      <w:r>
        <w:rPr>
          <w:rFonts w:ascii="宋体" w:hAnsi="宋体" w:eastAsia="宋体" w:cs="宋体"/>
          <w:spacing w:val="-2"/>
          <w:sz w:val="24"/>
          <w:szCs w:val="24"/>
        </w:rPr>
        <w:t>发电机，上述设施为</w:t>
      </w:r>
    </w:p>
    <w:p w14:paraId="47DB3951">
      <w:pPr>
        <w:spacing w:line="354" w:lineRule="auto"/>
        <w:rPr>
          <w:rFonts w:ascii="宋体" w:hAnsi="宋体" w:eastAsia="宋体" w:cs="宋体"/>
          <w:sz w:val="24"/>
          <w:szCs w:val="24"/>
        </w:rPr>
        <w:sectPr>
          <w:headerReference r:id="rId119" w:type="default"/>
          <w:footerReference r:id="rId120" w:type="default"/>
          <w:pgSz w:w="11850" w:h="16781"/>
          <w:pgMar w:top="1178" w:right="1336" w:bottom="1013" w:left="1417" w:header="870" w:footer="850" w:gutter="0"/>
          <w:cols w:space="720" w:num="1"/>
        </w:sectPr>
      </w:pPr>
    </w:p>
    <w:p w14:paraId="31811668">
      <w:pPr>
        <w:pStyle w:val="2"/>
        <w:spacing w:line="276" w:lineRule="auto"/>
      </w:pPr>
      <w:r>
        <w:pict>
          <v:shape id="_x0000_s1171" o:spid="_x0000_s1171" style="position:absolute;left:0pt;margin-left:0pt;margin-top:0.7pt;height:0.75pt;width:450.75pt;z-index:251829248;mso-width-relative:page;mso-height-relative:page;" fillcolor="#000000" filled="t" stroked="f" coordsize="9015,15" path="m0,0l9014,0,9014,14,0,14,0,0xe">
            <v:path/>
            <v:fill on="t" focussize="0,0"/>
            <v:stroke on="f"/>
            <v:imagedata o:title=""/>
            <o:lock v:ext="edit"/>
          </v:shape>
        </w:pict>
      </w:r>
    </w:p>
    <w:p w14:paraId="4C6F3DAB">
      <w:pPr>
        <w:spacing w:before="78" w:line="219" w:lineRule="auto"/>
        <w:ind w:left="10"/>
        <w:rPr>
          <w:rFonts w:ascii="宋体" w:hAnsi="宋体" w:eastAsia="宋体" w:cs="宋体"/>
          <w:sz w:val="24"/>
          <w:szCs w:val="24"/>
        </w:rPr>
      </w:pPr>
      <w:r>
        <w:rPr>
          <w:rFonts w:ascii="宋体" w:hAnsi="宋体" w:eastAsia="宋体" w:cs="宋体"/>
          <w:spacing w:val="-2"/>
          <w:sz w:val="24"/>
          <w:szCs w:val="24"/>
        </w:rPr>
        <w:t>成套设备，年发电量为</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44000</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kWh</w:t>
      </w:r>
      <w:r>
        <w:rPr>
          <w:rFonts w:ascii="宋体" w:hAnsi="宋体" w:eastAsia="宋体" w:cs="宋体"/>
          <w:spacing w:val="-2"/>
          <w:sz w:val="24"/>
          <w:szCs w:val="24"/>
        </w:rPr>
        <w:t>。</w:t>
      </w:r>
    </w:p>
    <w:p w14:paraId="321EED44">
      <w:pPr>
        <w:spacing w:before="192" w:line="220" w:lineRule="auto"/>
        <w:ind w:left="4"/>
        <w:outlineLvl w:val="3"/>
        <w:rPr>
          <w:rFonts w:ascii="宋体" w:hAnsi="宋体" w:eastAsia="宋体" w:cs="宋体"/>
          <w:sz w:val="24"/>
          <w:szCs w:val="24"/>
        </w:rPr>
      </w:pPr>
      <w:r>
        <w:fldChar w:fldCharType="begin"/>
      </w:r>
      <w:r>
        <w:instrText xml:space="preserve"> HYPERLINK "2.2.3.1" </w:instrText>
      </w:r>
      <w:r>
        <w:fldChar w:fldCharType="separate"/>
      </w:r>
      <w:r>
        <w:rPr>
          <w:rFonts w:ascii="Times New Roman" w:hAnsi="Times New Roman" w:eastAsia="Times New Roman" w:cs="Times New Roman"/>
          <w:b/>
          <w:bCs/>
          <w:spacing w:val="-2"/>
          <w:sz w:val="24"/>
          <w:szCs w:val="24"/>
        </w:rPr>
        <w:t>2.2.3.1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锅炉</w:t>
      </w:r>
    </w:p>
    <w:p w14:paraId="5224187F">
      <w:pPr>
        <w:spacing w:before="190" w:line="354" w:lineRule="auto"/>
        <w:ind w:left="10" w:right="84" w:firstLine="480"/>
        <w:rPr>
          <w:rFonts w:ascii="宋体" w:hAnsi="宋体" w:eastAsia="宋体" w:cs="宋体"/>
          <w:sz w:val="24"/>
          <w:szCs w:val="24"/>
        </w:rPr>
      </w:pPr>
      <w:r>
        <w:rPr>
          <w:rFonts w:ascii="宋体" w:hAnsi="宋体" w:eastAsia="宋体" w:cs="宋体"/>
          <w:spacing w:val="2"/>
          <w:sz w:val="24"/>
          <w:szCs w:val="24"/>
        </w:rPr>
        <w:t>净化后的煤气进入煤气锅炉，经化学处理后的水在锅炉内被加热产生</w:t>
      </w:r>
      <w:r>
        <w:rPr>
          <w:rFonts w:ascii="宋体" w:hAnsi="宋体" w:eastAsia="宋体" w:cs="宋体"/>
          <w:spacing w:val="-20"/>
          <w:sz w:val="24"/>
          <w:szCs w:val="24"/>
        </w:rPr>
        <w:t xml:space="preserve"> </w:t>
      </w:r>
      <w:r>
        <w:rPr>
          <w:rFonts w:ascii="Times New Roman" w:hAnsi="Times New Roman" w:eastAsia="Times New Roman" w:cs="Times New Roman"/>
          <w:spacing w:val="2"/>
          <w:sz w:val="24"/>
          <w:szCs w:val="24"/>
        </w:rPr>
        <w:t>13.7</w:t>
      </w:r>
      <w:r>
        <w:rPr>
          <w:rFonts w:ascii="Times New Roman" w:hAnsi="Times New Roman" w:eastAsia="Times New Roman" w:cs="Times New Roman"/>
          <w:sz w:val="24"/>
          <w:szCs w:val="24"/>
        </w:rPr>
        <w:t>MPa</w:t>
      </w:r>
      <w:r>
        <w:rPr>
          <w:rFonts w:ascii="宋体" w:hAnsi="宋体" w:eastAsia="宋体" w:cs="宋体"/>
          <w:spacing w:val="2"/>
          <w:sz w:val="24"/>
          <w:szCs w:val="24"/>
        </w:rPr>
        <w:t>、</w:t>
      </w:r>
      <w:r>
        <w:rPr>
          <w:rFonts w:ascii="宋体" w:hAnsi="宋体" w:eastAsia="宋体" w:cs="宋体"/>
          <w:sz w:val="24"/>
          <w:szCs w:val="24"/>
        </w:rPr>
        <w:t xml:space="preserve"> </w:t>
      </w:r>
      <w:r>
        <w:rPr>
          <w:rFonts w:ascii="Times New Roman" w:hAnsi="Times New Roman" w:eastAsia="Times New Roman" w:cs="Times New Roman"/>
          <w:sz w:val="24"/>
          <w:szCs w:val="24"/>
        </w:rPr>
        <w:t>571℃</w:t>
      </w:r>
      <w:r>
        <w:rPr>
          <w:rFonts w:ascii="宋体" w:hAnsi="宋体" w:eastAsia="宋体" w:cs="宋体"/>
          <w:sz w:val="24"/>
          <w:szCs w:val="24"/>
        </w:rPr>
        <w:t>高温高压过热蒸汽，煤气锅炉主蒸汽作为主</w:t>
      </w:r>
      <w:r>
        <w:rPr>
          <w:rFonts w:ascii="宋体" w:hAnsi="宋体" w:eastAsia="宋体" w:cs="宋体"/>
          <w:spacing w:val="-1"/>
          <w:sz w:val="24"/>
          <w:szCs w:val="24"/>
        </w:rPr>
        <w:t>汽送入汽轮机。锅炉参数如下：</w:t>
      </w:r>
    </w:p>
    <w:p w14:paraId="4A4AF7C0">
      <w:pPr>
        <w:spacing w:before="33" w:line="212" w:lineRule="auto"/>
        <w:ind w:left="488"/>
        <w:rPr>
          <w:rFonts w:ascii="宋体" w:hAnsi="宋体" w:eastAsia="宋体" w:cs="宋体"/>
          <w:sz w:val="24"/>
          <w:szCs w:val="24"/>
        </w:rPr>
      </w:pPr>
      <w:r>
        <w:rPr>
          <w:rFonts w:ascii="宋体" w:hAnsi="宋体" w:eastAsia="宋体" w:cs="宋体"/>
          <w:spacing w:val="-1"/>
          <w:sz w:val="24"/>
          <w:szCs w:val="24"/>
        </w:rPr>
        <w:t>锅炉型号：</w:t>
      </w:r>
      <w:r>
        <w:rPr>
          <w:rFonts w:ascii="Times New Roman" w:hAnsi="Times New Roman" w:eastAsia="Times New Roman" w:cs="Times New Roman"/>
          <w:spacing w:val="-1"/>
          <w:sz w:val="24"/>
          <w:szCs w:val="24"/>
        </w:rPr>
        <w:t>NG-200/13.7/571-</w:t>
      </w:r>
      <w:r>
        <w:rPr>
          <w:rFonts w:ascii="Times New Roman" w:hAnsi="Times New Roman" w:eastAsia="Times New Roman" w:cs="Times New Roman"/>
          <w:spacing w:val="-2"/>
          <w:sz w:val="24"/>
          <w:szCs w:val="24"/>
        </w:rPr>
        <w:t>Q</w:t>
      </w:r>
      <w:r>
        <w:rPr>
          <w:rFonts w:ascii="Times New Roman" w:hAnsi="Times New Roman" w:eastAsia="Times New Roman" w:cs="Times New Roman"/>
          <w:spacing w:val="19"/>
          <w:sz w:val="24"/>
          <w:szCs w:val="24"/>
        </w:rPr>
        <w:t xml:space="preserve"> </w:t>
      </w:r>
      <w:r>
        <w:rPr>
          <w:rFonts w:ascii="宋体" w:hAnsi="宋体" w:eastAsia="宋体" w:cs="宋体"/>
          <w:spacing w:val="-2"/>
          <w:sz w:val="24"/>
          <w:szCs w:val="24"/>
        </w:rPr>
        <w:t>型锅炉</w:t>
      </w:r>
    </w:p>
    <w:p w14:paraId="4CF3B1AF">
      <w:pPr>
        <w:spacing w:before="202" w:line="354" w:lineRule="auto"/>
        <w:ind w:left="488" w:right="1621"/>
        <w:rPr>
          <w:rFonts w:ascii="Times New Roman" w:hAnsi="Times New Roman" w:eastAsia="Times New Roman" w:cs="Times New Roman"/>
          <w:sz w:val="24"/>
          <w:szCs w:val="24"/>
        </w:rPr>
      </w:pPr>
      <w:r>
        <w:rPr>
          <w:rFonts w:ascii="宋体" w:hAnsi="宋体" w:eastAsia="宋体" w:cs="宋体"/>
          <w:spacing w:val="-2"/>
          <w:sz w:val="24"/>
          <w:szCs w:val="24"/>
        </w:rPr>
        <w:t>锅炉型式：超高温超高压一次中间再热、单炉膛、</w:t>
      </w:r>
      <w:r>
        <w:rPr>
          <w:rFonts w:ascii="宋体" w:hAnsi="宋体" w:eastAsia="宋体" w:cs="宋体"/>
          <w:spacing w:val="-71"/>
          <w:sz w:val="24"/>
          <w:szCs w:val="24"/>
        </w:rPr>
        <w:t xml:space="preserve"> </w:t>
      </w:r>
      <w:r>
        <w:rPr>
          <w:rFonts w:ascii="宋体" w:hAnsi="宋体" w:eastAsia="宋体" w:cs="宋体"/>
          <w:spacing w:val="-2"/>
          <w:sz w:val="24"/>
          <w:szCs w:val="24"/>
        </w:rPr>
        <w:t>自然循环汽</w:t>
      </w:r>
      <w:r>
        <w:rPr>
          <w:rFonts w:ascii="宋体" w:hAnsi="宋体" w:eastAsia="宋体" w:cs="宋体"/>
          <w:spacing w:val="-3"/>
          <w:sz w:val="24"/>
          <w:szCs w:val="24"/>
        </w:rPr>
        <w:t>包炉</w:t>
      </w:r>
      <w:r>
        <w:rPr>
          <w:rFonts w:ascii="宋体" w:hAnsi="宋体" w:eastAsia="宋体" w:cs="宋体"/>
          <w:sz w:val="24"/>
          <w:szCs w:val="24"/>
        </w:rPr>
        <w:t xml:space="preserve"> </w:t>
      </w:r>
      <w:r>
        <w:rPr>
          <w:rFonts w:ascii="宋体" w:hAnsi="宋体" w:eastAsia="宋体" w:cs="宋体"/>
          <w:spacing w:val="-1"/>
          <w:sz w:val="24"/>
          <w:szCs w:val="24"/>
        </w:rPr>
        <w:t>额定蒸汽量：</w:t>
      </w:r>
      <w:r>
        <w:rPr>
          <w:rFonts w:ascii="Times New Roman" w:hAnsi="Times New Roman" w:eastAsia="Times New Roman" w:cs="Times New Roman"/>
          <w:spacing w:val="-1"/>
          <w:sz w:val="24"/>
          <w:szCs w:val="24"/>
        </w:rPr>
        <w:t>200t/h</w:t>
      </w:r>
    </w:p>
    <w:p w14:paraId="57FC6CD3">
      <w:pPr>
        <w:spacing w:before="34" w:line="353" w:lineRule="auto"/>
        <w:ind w:left="489" w:right="6027"/>
        <w:rPr>
          <w:rFonts w:ascii="Times New Roman" w:hAnsi="Times New Roman" w:eastAsia="Times New Roman" w:cs="Times New Roman"/>
          <w:sz w:val="24"/>
          <w:szCs w:val="24"/>
        </w:rPr>
      </w:pPr>
      <w:r>
        <w:rPr>
          <w:rFonts w:ascii="宋体" w:hAnsi="宋体" w:eastAsia="宋体" w:cs="宋体"/>
          <w:spacing w:val="-1"/>
          <w:sz w:val="24"/>
          <w:szCs w:val="24"/>
        </w:rPr>
        <w:t>过热蒸汽压力：</w:t>
      </w:r>
      <w:r>
        <w:rPr>
          <w:rFonts w:ascii="Times New Roman" w:hAnsi="Times New Roman" w:eastAsia="Times New Roman" w:cs="Times New Roman"/>
          <w:spacing w:val="-1"/>
          <w:sz w:val="24"/>
          <w:szCs w:val="24"/>
        </w:rPr>
        <w:t>13.7MPa</w:t>
      </w:r>
      <w:r>
        <w:rPr>
          <w:rFonts w:ascii="Times New Roman" w:hAnsi="Times New Roman" w:eastAsia="Times New Roman" w:cs="Times New Roman"/>
          <w:spacing w:val="3"/>
          <w:sz w:val="24"/>
          <w:szCs w:val="24"/>
        </w:rPr>
        <w:t xml:space="preserve"> </w:t>
      </w:r>
      <w:r>
        <w:rPr>
          <w:rFonts w:ascii="宋体" w:hAnsi="宋体" w:eastAsia="宋体" w:cs="宋体"/>
          <w:spacing w:val="-1"/>
          <w:sz w:val="24"/>
          <w:szCs w:val="24"/>
        </w:rPr>
        <w:t>过热蒸汽温度：</w:t>
      </w:r>
      <w:r>
        <w:rPr>
          <w:rFonts w:ascii="Times New Roman" w:hAnsi="Times New Roman" w:eastAsia="Times New Roman" w:cs="Times New Roman"/>
          <w:spacing w:val="-1"/>
          <w:sz w:val="24"/>
          <w:szCs w:val="24"/>
        </w:rPr>
        <w:t>571℃</w:t>
      </w:r>
    </w:p>
    <w:p w14:paraId="338FDD58">
      <w:pPr>
        <w:spacing w:before="36" w:line="354" w:lineRule="auto"/>
        <w:ind w:left="488" w:right="4915"/>
        <w:rPr>
          <w:rFonts w:ascii="Times New Roman" w:hAnsi="Times New Roman" w:eastAsia="Times New Roman" w:cs="Times New Roman"/>
          <w:sz w:val="24"/>
          <w:szCs w:val="24"/>
        </w:rPr>
      </w:pPr>
      <w:r>
        <w:rPr>
          <w:rFonts w:ascii="宋体" w:hAnsi="宋体" w:eastAsia="宋体" w:cs="宋体"/>
          <w:spacing w:val="-1"/>
          <w:sz w:val="24"/>
          <w:szCs w:val="24"/>
        </w:rPr>
        <w:t>给水温度（省煤器入口</w:t>
      </w:r>
      <w:r>
        <w:rPr>
          <w:rFonts w:ascii="宋体" w:hAnsi="宋体" w:eastAsia="宋体" w:cs="宋体"/>
          <w:spacing w:val="2"/>
          <w:sz w:val="24"/>
          <w:szCs w:val="24"/>
        </w:rPr>
        <w:t>）：</w:t>
      </w:r>
      <w:r>
        <w:rPr>
          <w:rFonts w:ascii="Times New Roman" w:hAnsi="Times New Roman" w:eastAsia="Times New Roman" w:cs="Times New Roman"/>
          <w:spacing w:val="-1"/>
          <w:sz w:val="24"/>
          <w:szCs w:val="24"/>
        </w:rPr>
        <w:t>259.3℃</w:t>
      </w:r>
      <w:r>
        <w:rPr>
          <w:rFonts w:ascii="Times New Roman" w:hAnsi="Times New Roman" w:eastAsia="Times New Roman" w:cs="Times New Roman"/>
          <w:sz w:val="24"/>
          <w:szCs w:val="24"/>
        </w:rPr>
        <w:t xml:space="preserve"> </w:t>
      </w:r>
      <w:r>
        <w:rPr>
          <w:rFonts w:ascii="宋体" w:hAnsi="宋体" w:eastAsia="宋体" w:cs="宋体"/>
          <w:spacing w:val="-2"/>
          <w:sz w:val="24"/>
          <w:szCs w:val="24"/>
        </w:rPr>
        <w:t>锅炉效率：</w:t>
      </w:r>
      <w:r>
        <w:rPr>
          <w:rFonts w:ascii="Times New Roman" w:hAnsi="Times New Roman" w:eastAsia="Times New Roman" w:cs="Times New Roman"/>
          <w:spacing w:val="-2"/>
          <w:sz w:val="24"/>
          <w:szCs w:val="24"/>
        </w:rPr>
        <w:t>90%</w:t>
      </w:r>
    </w:p>
    <w:p w14:paraId="19F6729D">
      <w:pPr>
        <w:spacing w:before="34" w:line="220" w:lineRule="auto"/>
        <w:ind w:left="488"/>
        <w:rPr>
          <w:rFonts w:ascii="Times New Roman" w:hAnsi="Times New Roman" w:eastAsia="Times New Roman" w:cs="Times New Roman"/>
          <w:sz w:val="24"/>
          <w:szCs w:val="24"/>
        </w:rPr>
      </w:pPr>
      <w:r>
        <w:rPr>
          <w:rFonts w:ascii="宋体" w:hAnsi="宋体" w:eastAsia="宋体" w:cs="宋体"/>
          <w:spacing w:val="-1"/>
          <w:sz w:val="24"/>
          <w:szCs w:val="24"/>
        </w:rPr>
        <w:t>锅炉排烟温度：</w:t>
      </w:r>
      <w:r>
        <w:rPr>
          <w:rFonts w:ascii="Times New Roman" w:hAnsi="Times New Roman" w:eastAsia="Times New Roman" w:cs="Times New Roman"/>
          <w:spacing w:val="-1"/>
          <w:sz w:val="24"/>
          <w:szCs w:val="24"/>
        </w:rPr>
        <w:t>145℃</w:t>
      </w:r>
    </w:p>
    <w:p w14:paraId="7438F9F6">
      <w:pPr>
        <w:spacing w:before="188" w:line="359" w:lineRule="auto"/>
        <w:ind w:left="8" w:firstLine="508"/>
        <w:rPr>
          <w:rFonts w:ascii="宋体" w:hAnsi="宋体" w:eastAsia="宋体" w:cs="宋体"/>
          <w:sz w:val="24"/>
          <w:szCs w:val="24"/>
        </w:rPr>
      </w:pPr>
      <w:r>
        <w:rPr>
          <w:rFonts w:ascii="宋体" w:hAnsi="宋体" w:eastAsia="宋体" w:cs="宋体"/>
          <w:spacing w:val="-3"/>
          <w:sz w:val="24"/>
          <w:szCs w:val="24"/>
        </w:rPr>
        <w:t>电炉煤气在锅炉内燃烧的过程中，微锰粉尘会粘附在锅炉受热面，降低传热效果，</w:t>
      </w:r>
      <w:r>
        <w:rPr>
          <w:rFonts w:ascii="宋体" w:hAnsi="宋体" w:eastAsia="宋体" w:cs="宋体"/>
          <w:spacing w:val="11"/>
          <w:sz w:val="24"/>
          <w:szCs w:val="24"/>
        </w:rPr>
        <w:t xml:space="preserve"> </w:t>
      </w:r>
      <w:r>
        <w:rPr>
          <w:rFonts w:ascii="宋体" w:hAnsi="宋体" w:eastAsia="宋体" w:cs="宋体"/>
          <w:spacing w:val="-3"/>
          <w:sz w:val="24"/>
          <w:szCs w:val="24"/>
        </w:rPr>
        <w:t>锅炉配备清灰装置，使锅炉在烟气换热模式工况下始终保持额定蒸发量。清除的微锰灰</w:t>
      </w:r>
      <w:r>
        <w:rPr>
          <w:rFonts w:ascii="宋体" w:hAnsi="宋体" w:eastAsia="宋体" w:cs="宋体"/>
          <w:sz w:val="24"/>
          <w:szCs w:val="24"/>
        </w:rPr>
        <w:t xml:space="preserve"> 尘落入锅炉集灰斗，定时通过输灰系统送入加密仓，</w:t>
      </w:r>
      <w:r>
        <w:rPr>
          <w:rFonts w:ascii="宋体" w:hAnsi="宋体" w:eastAsia="宋体" w:cs="宋体"/>
          <w:spacing w:val="-1"/>
          <w:sz w:val="24"/>
          <w:szCs w:val="24"/>
        </w:rPr>
        <w:t>以防积灰影响锅炉出力。</w:t>
      </w:r>
    </w:p>
    <w:p w14:paraId="03847D81">
      <w:pPr>
        <w:spacing w:before="34" w:line="219" w:lineRule="auto"/>
        <w:ind w:left="4"/>
        <w:outlineLvl w:val="3"/>
        <w:rPr>
          <w:rFonts w:ascii="宋体" w:hAnsi="宋体" w:eastAsia="宋体" w:cs="宋体"/>
          <w:sz w:val="24"/>
          <w:szCs w:val="24"/>
        </w:rPr>
      </w:pPr>
      <w:r>
        <w:fldChar w:fldCharType="begin"/>
      </w:r>
      <w:r>
        <w:instrText xml:space="preserve"> HYPERLINK "2.2.3.2" </w:instrText>
      </w:r>
      <w:r>
        <w:fldChar w:fldCharType="separate"/>
      </w:r>
      <w:r>
        <w:rPr>
          <w:rFonts w:ascii="Times New Roman" w:hAnsi="Times New Roman" w:eastAsia="Times New Roman" w:cs="Times New Roman"/>
          <w:b/>
          <w:bCs/>
          <w:spacing w:val="-2"/>
          <w:sz w:val="24"/>
          <w:szCs w:val="24"/>
        </w:rPr>
        <w:t>2.2.3.2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汽轮发电机组</w:t>
      </w:r>
    </w:p>
    <w:p w14:paraId="159E0896">
      <w:pPr>
        <w:spacing w:before="189" w:line="361" w:lineRule="auto"/>
        <w:ind w:left="8" w:right="44" w:firstLine="480"/>
        <w:jc w:val="both"/>
        <w:rPr>
          <w:rFonts w:ascii="宋体" w:hAnsi="宋体" w:eastAsia="宋体" w:cs="宋体"/>
          <w:sz w:val="24"/>
          <w:szCs w:val="24"/>
        </w:rPr>
      </w:pPr>
      <w:r>
        <w:rPr>
          <w:rFonts w:ascii="宋体" w:hAnsi="宋体" w:eastAsia="宋体" w:cs="宋体"/>
          <w:spacing w:val="-3"/>
          <w:sz w:val="24"/>
          <w:szCs w:val="24"/>
        </w:rPr>
        <w:t>来自锅炉过热蒸汽经主蒸汽母管，进入汽轮机后冲动转子，带动发</w:t>
      </w:r>
      <w:r>
        <w:rPr>
          <w:rFonts w:ascii="宋体" w:hAnsi="宋体" w:eastAsia="宋体" w:cs="宋体"/>
          <w:spacing w:val="-4"/>
          <w:sz w:val="24"/>
          <w:szCs w:val="24"/>
        </w:rPr>
        <w:t>电机发电。在汽</w:t>
      </w:r>
      <w:r>
        <w:rPr>
          <w:rFonts w:ascii="宋体" w:hAnsi="宋体" w:eastAsia="宋体" w:cs="宋体"/>
          <w:sz w:val="24"/>
          <w:szCs w:val="24"/>
        </w:rPr>
        <w:t xml:space="preserve"> </w:t>
      </w:r>
      <w:r>
        <w:rPr>
          <w:rFonts w:ascii="宋体" w:hAnsi="宋体" w:eastAsia="宋体" w:cs="宋体"/>
          <w:spacing w:val="-3"/>
          <w:sz w:val="24"/>
          <w:szCs w:val="24"/>
        </w:rPr>
        <w:t>轮机中，过热蒸汽做功后压力温度逐渐下降，进入空冷凝器被冷却成凝结水，由凝结水</w:t>
      </w:r>
      <w:r>
        <w:rPr>
          <w:rFonts w:ascii="宋体" w:hAnsi="宋体" w:eastAsia="宋体" w:cs="宋体"/>
          <w:sz w:val="24"/>
          <w:szCs w:val="24"/>
        </w:rPr>
        <w:t xml:space="preserve"> </w:t>
      </w:r>
      <w:r>
        <w:rPr>
          <w:rFonts w:ascii="宋体" w:hAnsi="宋体" w:eastAsia="宋体" w:cs="宋体"/>
          <w:spacing w:val="-3"/>
          <w:sz w:val="24"/>
          <w:szCs w:val="24"/>
        </w:rPr>
        <w:t>泵升压后经气封冷却器、低压加热器送至除氧器，再经锅炉给水泵送至锅炉中，完成一</w:t>
      </w:r>
      <w:r>
        <w:rPr>
          <w:rFonts w:ascii="宋体" w:hAnsi="宋体" w:eastAsia="宋体" w:cs="宋体"/>
          <w:sz w:val="24"/>
          <w:szCs w:val="24"/>
        </w:rPr>
        <w:t xml:space="preserve"> </w:t>
      </w:r>
      <w:r>
        <w:rPr>
          <w:rFonts w:ascii="宋体" w:hAnsi="宋体" w:eastAsia="宋体" w:cs="宋体"/>
          <w:spacing w:val="-3"/>
          <w:sz w:val="24"/>
          <w:szCs w:val="24"/>
        </w:rPr>
        <w:t>个循环。</w:t>
      </w:r>
    </w:p>
    <w:p w14:paraId="0EC78AAC">
      <w:pPr>
        <w:spacing w:line="33" w:lineRule="exact"/>
      </w:pPr>
    </w:p>
    <w:tbl>
      <w:tblPr>
        <w:tblStyle w:val="5"/>
        <w:tblW w:w="6878" w:type="dxa"/>
        <w:tblInd w:w="486"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3950"/>
        <w:gridCol w:w="2928"/>
      </w:tblGrid>
      <w:tr w14:paraId="7EE0AC4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9" w:hRule="atLeast"/>
        </w:trPr>
        <w:tc>
          <w:tcPr>
            <w:tcW w:w="3950" w:type="dxa"/>
            <w:vAlign w:val="top"/>
          </w:tcPr>
          <w:p w14:paraId="70BC0425">
            <w:pPr>
              <w:pStyle w:val="6"/>
              <w:spacing w:line="218" w:lineRule="auto"/>
              <w:ind w:left="1"/>
              <w:rPr>
                <w:sz w:val="24"/>
                <w:szCs w:val="24"/>
              </w:rPr>
            </w:pPr>
            <w:r>
              <w:rPr>
                <w:spacing w:val="-2"/>
                <w:sz w:val="24"/>
                <w:szCs w:val="24"/>
              </w:rPr>
              <w:t>汽轮机参数如下：</w:t>
            </w:r>
          </w:p>
        </w:tc>
        <w:tc>
          <w:tcPr>
            <w:tcW w:w="2928" w:type="dxa"/>
            <w:vAlign w:val="top"/>
          </w:tcPr>
          <w:p w14:paraId="7688BFA4">
            <w:pPr>
              <w:pStyle w:val="6"/>
              <w:spacing w:line="218" w:lineRule="auto"/>
              <w:ind w:left="615"/>
              <w:rPr>
                <w:sz w:val="24"/>
                <w:szCs w:val="24"/>
              </w:rPr>
            </w:pPr>
            <w:r>
              <w:rPr>
                <w:spacing w:val="-2"/>
                <w:sz w:val="24"/>
                <w:szCs w:val="24"/>
              </w:rPr>
              <w:t>发电机参数如下：</w:t>
            </w:r>
          </w:p>
        </w:tc>
      </w:tr>
      <w:tr w14:paraId="0A58779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77" w:hRule="atLeast"/>
        </w:trPr>
        <w:tc>
          <w:tcPr>
            <w:tcW w:w="3950" w:type="dxa"/>
            <w:vAlign w:val="top"/>
          </w:tcPr>
          <w:p w14:paraId="24C25F52">
            <w:pPr>
              <w:pStyle w:val="6"/>
              <w:spacing w:before="118" w:line="221" w:lineRule="auto"/>
              <w:ind w:left="9"/>
              <w:rPr>
                <w:rFonts w:ascii="Times New Roman" w:hAnsi="Times New Roman" w:eastAsia="Times New Roman" w:cs="Times New Roman"/>
                <w:sz w:val="24"/>
                <w:szCs w:val="24"/>
              </w:rPr>
            </w:pPr>
            <w:r>
              <w:rPr>
                <w:spacing w:val="-1"/>
                <w:sz w:val="24"/>
                <w:szCs w:val="24"/>
              </w:rPr>
              <w:t>型号：</w:t>
            </w:r>
            <w:r>
              <w:rPr>
                <w:rFonts w:ascii="Times New Roman" w:hAnsi="Times New Roman" w:eastAsia="Times New Roman" w:cs="Times New Roman"/>
                <w:spacing w:val="-1"/>
                <w:sz w:val="24"/>
                <w:szCs w:val="24"/>
              </w:rPr>
              <w:t>NZK60-13.24/566/566</w:t>
            </w:r>
          </w:p>
        </w:tc>
        <w:tc>
          <w:tcPr>
            <w:tcW w:w="2928" w:type="dxa"/>
            <w:vAlign w:val="top"/>
          </w:tcPr>
          <w:p w14:paraId="5EB91FE0">
            <w:pPr>
              <w:pStyle w:val="6"/>
              <w:spacing w:before="119" w:line="219" w:lineRule="auto"/>
              <w:ind w:left="541"/>
              <w:rPr>
                <w:sz w:val="24"/>
                <w:szCs w:val="24"/>
              </w:rPr>
            </w:pPr>
            <w:r>
              <w:rPr>
                <w:spacing w:val="-2"/>
                <w:sz w:val="24"/>
                <w:szCs w:val="24"/>
              </w:rPr>
              <w:t>冷却方式：空水冷</w:t>
            </w:r>
          </w:p>
        </w:tc>
      </w:tr>
      <w:tr w14:paraId="501A5FA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78" w:hRule="atLeast"/>
        </w:trPr>
        <w:tc>
          <w:tcPr>
            <w:tcW w:w="3950" w:type="dxa"/>
            <w:vAlign w:val="top"/>
          </w:tcPr>
          <w:p w14:paraId="56BB99BE">
            <w:pPr>
              <w:pStyle w:val="6"/>
              <w:spacing w:before="119" w:line="219" w:lineRule="auto"/>
              <w:ind w:left="1"/>
              <w:rPr>
                <w:rFonts w:ascii="Times New Roman" w:hAnsi="Times New Roman" w:eastAsia="Times New Roman" w:cs="Times New Roman"/>
                <w:sz w:val="24"/>
                <w:szCs w:val="24"/>
              </w:rPr>
            </w:pPr>
            <w:r>
              <w:rPr>
                <w:spacing w:val="-2"/>
                <w:sz w:val="24"/>
                <w:szCs w:val="24"/>
              </w:rPr>
              <w:t>额定功率：</w:t>
            </w:r>
            <w:r>
              <w:rPr>
                <w:rFonts w:ascii="Times New Roman" w:hAnsi="Times New Roman" w:eastAsia="Times New Roman" w:cs="Times New Roman"/>
                <w:spacing w:val="-2"/>
                <w:sz w:val="24"/>
                <w:szCs w:val="24"/>
              </w:rPr>
              <w:t>60MW</w:t>
            </w:r>
          </w:p>
        </w:tc>
        <w:tc>
          <w:tcPr>
            <w:tcW w:w="2928" w:type="dxa"/>
            <w:vAlign w:val="top"/>
          </w:tcPr>
          <w:p w14:paraId="070AFFB3">
            <w:pPr>
              <w:pStyle w:val="6"/>
              <w:spacing w:before="119" w:line="219" w:lineRule="auto"/>
              <w:ind w:left="571"/>
              <w:rPr>
                <w:rFonts w:ascii="Times New Roman" w:hAnsi="Times New Roman" w:eastAsia="Times New Roman" w:cs="Times New Roman"/>
                <w:sz w:val="24"/>
                <w:szCs w:val="24"/>
              </w:rPr>
            </w:pPr>
            <w:r>
              <w:rPr>
                <w:spacing w:val="-2"/>
                <w:sz w:val="24"/>
                <w:szCs w:val="24"/>
              </w:rPr>
              <w:t>额定功率：</w:t>
            </w:r>
            <w:r>
              <w:rPr>
                <w:rFonts w:ascii="Times New Roman" w:hAnsi="Times New Roman" w:eastAsia="Times New Roman" w:cs="Times New Roman"/>
                <w:spacing w:val="-2"/>
                <w:sz w:val="24"/>
                <w:szCs w:val="24"/>
              </w:rPr>
              <w:t>60MW</w:t>
            </w:r>
          </w:p>
        </w:tc>
      </w:tr>
      <w:tr w14:paraId="726C0CD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76" w:hRule="atLeast"/>
        </w:trPr>
        <w:tc>
          <w:tcPr>
            <w:tcW w:w="3950" w:type="dxa"/>
            <w:vAlign w:val="top"/>
          </w:tcPr>
          <w:p w14:paraId="52771AA3">
            <w:pPr>
              <w:pStyle w:val="6"/>
              <w:spacing w:before="119" w:line="219" w:lineRule="auto"/>
              <w:ind w:left="1"/>
              <w:rPr>
                <w:rFonts w:ascii="Times New Roman" w:hAnsi="Times New Roman" w:eastAsia="Times New Roman" w:cs="Times New Roman"/>
                <w:sz w:val="24"/>
                <w:szCs w:val="24"/>
              </w:rPr>
            </w:pPr>
            <w:r>
              <w:rPr>
                <w:spacing w:val="-1"/>
                <w:sz w:val="24"/>
                <w:szCs w:val="24"/>
              </w:rPr>
              <w:t>额定转速：</w:t>
            </w:r>
            <w:r>
              <w:rPr>
                <w:rFonts w:ascii="Times New Roman" w:hAnsi="Times New Roman" w:eastAsia="Times New Roman" w:cs="Times New Roman"/>
                <w:spacing w:val="-1"/>
                <w:sz w:val="24"/>
                <w:szCs w:val="24"/>
              </w:rPr>
              <w:t>5000r/min</w:t>
            </w:r>
          </w:p>
        </w:tc>
        <w:tc>
          <w:tcPr>
            <w:tcW w:w="2928" w:type="dxa"/>
            <w:vAlign w:val="top"/>
          </w:tcPr>
          <w:p w14:paraId="6CC2E24E">
            <w:pPr>
              <w:pStyle w:val="6"/>
              <w:spacing w:before="119" w:line="219" w:lineRule="auto"/>
              <w:ind w:left="652"/>
              <w:rPr>
                <w:rFonts w:ascii="Times New Roman" w:hAnsi="Times New Roman" w:eastAsia="Times New Roman" w:cs="Times New Roman"/>
                <w:sz w:val="24"/>
                <w:szCs w:val="24"/>
              </w:rPr>
            </w:pPr>
            <w:r>
              <w:rPr>
                <w:spacing w:val="-1"/>
                <w:sz w:val="24"/>
                <w:szCs w:val="24"/>
              </w:rPr>
              <w:t>额定功率因数：</w:t>
            </w:r>
            <w:r>
              <w:rPr>
                <w:rFonts w:ascii="Times New Roman" w:hAnsi="Times New Roman" w:eastAsia="Times New Roman" w:cs="Times New Roman"/>
                <w:spacing w:val="-1"/>
                <w:sz w:val="24"/>
                <w:szCs w:val="24"/>
              </w:rPr>
              <w:t>0.85</w:t>
            </w:r>
          </w:p>
        </w:tc>
      </w:tr>
      <w:tr w14:paraId="4E09412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76" w:hRule="atLeast"/>
        </w:trPr>
        <w:tc>
          <w:tcPr>
            <w:tcW w:w="3950" w:type="dxa"/>
            <w:vAlign w:val="top"/>
          </w:tcPr>
          <w:p w14:paraId="1D288880">
            <w:pPr>
              <w:pStyle w:val="6"/>
              <w:spacing w:before="118" w:line="216" w:lineRule="auto"/>
              <w:rPr>
                <w:rFonts w:ascii="Times New Roman" w:hAnsi="Times New Roman" w:eastAsia="Times New Roman" w:cs="Times New Roman"/>
                <w:sz w:val="24"/>
                <w:szCs w:val="24"/>
              </w:rPr>
            </w:pPr>
            <w:r>
              <w:rPr>
                <w:spacing w:val="-7"/>
                <w:sz w:val="24"/>
                <w:szCs w:val="24"/>
              </w:rPr>
              <w:t>进汽：</w:t>
            </w:r>
            <w:r>
              <w:rPr>
                <w:rFonts w:ascii="Times New Roman" w:hAnsi="Times New Roman" w:eastAsia="Times New Roman" w:cs="Times New Roman"/>
                <w:spacing w:val="-7"/>
                <w:sz w:val="24"/>
                <w:szCs w:val="24"/>
              </w:rPr>
              <w:t>2.784MPa</w:t>
            </w:r>
            <w:r>
              <w:rPr>
                <w:rFonts w:ascii="Times New Roman" w:hAnsi="Times New Roman" w:eastAsia="Times New Roman" w:cs="Times New Roman"/>
                <w:spacing w:val="-18"/>
                <w:sz w:val="24"/>
                <w:szCs w:val="24"/>
              </w:rPr>
              <w:t xml:space="preserve"> </w:t>
            </w:r>
            <w:r>
              <w:rPr>
                <w:spacing w:val="-7"/>
                <w:sz w:val="24"/>
                <w:szCs w:val="24"/>
              </w:rPr>
              <w:t>，</w:t>
            </w:r>
            <w:r>
              <w:rPr>
                <w:rFonts w:ascii="Times New Roman" w:hAnsi="Times New Roman" w:eastAsia="Times New Roman" w:cs="Times New Roman"/>
                <w:spacing w:val="-7"/>
                <w:sz w:val="24"/>
                <w:szCs w:val="24"/>
              </w:rPr>
              <w:t>566℃</w:t>
            </w:r>
            <w:r>
              <w:rPr>
                <w:rFonts w:ascii="Times New Roman" w:hAnsi="Times New Roman" w:eastAsia="Times New Roman" w:cs="Times New Roman"/>
                <w:spacing w:val="-29"/>
                <w:sz w:val="24"/>
                <w:szCs w:val="24"/>
              </w:rPr>
              <w:t xml:space="preserve"> </w:t>
            </w:r>
            <w:r>
              <w:rPr>
                <w:spacing w:val="-7"/>
                <w:sz w:val="24"/>
                <w:szCs w:val="24"/>
              </w:rPr>
              <w:t>,</w:t>
            </w:r>
            <w:r>
              <w:rPr>
                <w:spacing w:val="82"/>
                <w:sz w:val="24"/>
                <w:szCs w:val="24"/>
              </w:rPr>
              <w:t xml:space="preserve"> </w:t>
            </w:r>
            <w:r>
              <w:rPr>
                <w:rFonts w:ascii="Times New Roman" w:hAnsi="Times New Roman" w:eastAsia="Times New Roman" w:cs="Times New Roman"/>
                <w:spacing w:val="-7"/>
                <w:sz w:val="24"/>
                <w:szCs w:val="24"/>
              </w:rPr>
              <w:t>155t/h</w:t>
            </w:r>
          </w:p>
        </w:tc>
        <w:tc>
          <w:tcPr>
            <w:tcW w:w="2928" w:type="dxa"/>
            <w:vAlign w:val="top"/>
          </w:tcPr>
          <w:p w14:paraId="762F8395">
            <w:pPr>
              <w:pStyle w:val="6"/>
              <w:spacing w:before="118" w:line="219" w:lineRule="auto"/>
              <w:ind w:left="664"/>
              <w:rPr>
                <w:rFonts w:ascii="Times New Roman" w:hAnsi="Times New Roman" w:eastAsia="Times New Roman" w:cs="Times New Roman"/>
                <w:sz w:val="24"/>
                <w:szCs w:val="24"/>
              </w:rPr>
            </w:pPr>
            <w:r>
              <w:rPr>
                <w:spacing w:val="-1"/>
                <w:sz w:val="24"/>
                <w:szCs w:val="24"/>
              </w:rPr>
              <w:t>额定电压：</w:t>
            </w:r>
            <w:r>
              <w:rPr>
                <w:rFonts w:ascii="Times New Roman" w:hAnsi="Times New Roman" w:eastAsia="Times New Roman" w:cs="Times New Roman"/>
                <w:spacing w:val="-1"/>
                <w:sz w:val="24"/>
                <w:szCs w:val="24"/>
              </w:rPr>
              <w:t>10.5kV</w:t>
            </w:r>
          </w:p>
        </w:tc>
      </w:tr>
      <w:tr w14:paraId="73C4AF3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6" w:hRule="atLeast"/>
        </w:trPr>
        <w:tc>
          <w:tcPr>
            <w:tcW w:w="3950" w:type="dxa"/>
            <w:vAlign w:val="top"/>
          </w:tcPr>
          <w:p w14:paraId="7C33331F">
            <w:pPr>
              <w:pStyle w:val="6"/>
              <w:spacing w:before="119" w:line="190" w:lineRule="auto"/>
              <w:ind w:left="1"/>
              <w:rPr>
                <w:rFonts w:ascii="Times New Roman" w:hAnsi="Times New Roman" w:eastAsia="Times New Roman" w:cs="Times New Roman"/>
                <w:sz w:val="24"/>
                <w:szCs w:val="24"/>
              </w:rPr>
            </w:pPr>
            <w:r>
              <w:rPr>
                <w:spacing w:val="-2"/>
                <w:sz w:val="24"/>
                <w:szCs w:val="24"/>
              </w:rPr>
              <w:t>排汽：</w:t>
            </w:r>
            <w:r>
              <w:rPr>
                <w:rFonts w:ascii="Times New Roman" w:hAnsi="Times New Roman" w:eastAsia="Times New Roman" w:cs="Times New Roman"/>
                <w:spacing w:val="-2"/>
                <w:sz w:val="24"/>
                <w:szCs w:val="24"/>
              </w:rPr>
              <w:t>0.015MPa(a)</w:t>
            </w:r>
            <w:r>
              <w:rPr>
                <w:rFonts w:ascii="Times New Roman" w:hAnsi="Times New Roman" w:eastAsia="Times New Roman" w:cs="Times New Roman"/>
                <w:spacing w:val="-29"/>
                <w:sz w:val="24"/>
                <w:szCs w:val="24"/>
              </w:rPr>
              <w:t xml:space="preserve"> </w:t>
            </w:r>
            <w:r>
              <w:rPr>
                <w:spacing w:val="-2"/>
                <w:sz w:val="24"/>
                <w:szCs w:val="24"/>
              </w:rPr>
              <w:t>，</w:t>
            </w:r>
            <w:r>
              <w:rPr>
                <w:rFonts w:ascii="Times New Roman" w:hAnsi="Times New Roman" w:eastAsia="Times New Roman" w:cs="Times New Roman"/>
                <w:spacing w:val="-2"/>
                <w:sz w:val="24"/>
                <w:szCs w:val="24"/>
              </w:rPr>
              <w:t>366.2℃</w:t>
            </w:r>
          </w:p>
        </w:tc>
        <w:tc>
          <w:tcPr>
            <w:tcW w:w="2928" w:type="dxa"/>
            <w:vAlign w:val="top"/>
          </w:tcPr>
          <w:p w14:paraId="33DE9F2F">
            <w:pPr>
              <w:pStyle w:val="6"/>
              <w:spacing w:before="119" w:line="190" w:lineRule="auto"/>
              <w:jc w:val="right"/>
              <w:rPr>
                <w:rFonts w:ascii="Times New Roman" w:hAnsi="Times New Roman" w:eastAsia="Times New Roman" w:cs="Times New Roman"/>
                <w:sz w:val="24"/>
                <w:szCs w:val="24"/>
              </w:rPr>
            </w:pPr>
            <w:r>
              <w:rPr>
                <w:spacing w:val="-1"/>
                <w:sz w:val="24"/>
                <w:szCs w:val="24"/>
              </w:rPr>
              <w:t>额定转速：</w:t>
            </w:r>
            <w:r>
              <w:rPr>
                <w:rFonts w:ascii="Times New Roman" w:hAnsi="Times New Roman" w:eastAsia="Times New Roman" w:cs="Times New Roman"/>
                <w:spacing w:val="-1"/>
                <w:sz w:val="24"/>
                <w:szCs w:val="24"/>
              </w:rPr>
              <w:t>5000r/min</w:t>
            </w:r>
          </w:p>
        </w:tc>
      </w:tr>
    </w:tbl>
    <w:p w14:paraId="750D1E12">
      <w:pPr>
        <w:spacing w:before="220" w:line="221" w:lineRule="auto"/>
        <w:ind w:left="4"/>
        <w:outlineLvl w:val="3"/>
        <w:rPr>
          <w:rFonts w:ascii="宋体" w:hAnsi="宋体" w:eastAsia="宋体" w:cs="宋体"/>
          <w:sz w:val="24"/>
          <w:szCs w:val="24"/>
        </w:rPr>
      </w:pPr>
      <w:r>
        <w:fldChar w:fldCharType="begin"/>
      </w:r>
      <w:r>
        <w:instrText xml:space="preserve"> HYPERLINK "2.2.3.3" </w:instrText>
      </w:r>
      <w:r>
        <w:fldChar w:fldCharType="separate"/>
      </w:r>
      <w:r>
        <w:rPr>
          <w:rFonts w:ascii="Times New Roman" w:hAnsi="Times New Roman" w:eastAsia="Times New Roman" w:cs="Times New Roman"/>
          <w:b/>
          <w:bCs/>
          <w:spacing w:val="-5"/>
          <w:sz w:val="24"/>
          <w:szCs w:val="24"/>
        </w:rPr>
        <w:t>2.2.3.3</w:t>
      </w:r>
      <w:r>
        <w:rPr>
          <w:rFonts w:ascii="Times New Roman" w:hAnsi="Times New Roman" w:eastAsia="Times New Roman" w:cs="Times New Roman"/>
          <w:b/>
          <w:bCs/>
          <w:spacing w:val="-5"/>
          <w:sz w:val="24"/>
          <w:szCs w:val="24"/>
        </w:rPr>
        <w:fldChar w:fldCharType="end"/>
      </w:r>
      <w:r>
        <w:rPr>
          <w:rFonts w:ascii="Times New Roman" w:hAnsi="Times New Roman" w:eastAsia="Times New Roman" w:cs="Times New Roman"/>
          <w:b/>
          <w:bCs/>
          <w:spacing w:val="40"/>
          <w:sz w:val="24"/>
          <w:szCs w:val="24"/>
        </w:rPr>
        <w:t xml:space="preserve"> </w:t>
      </w:r>
      <w:r>
        <w:rPr>
          <w:rFonts w:ascii="宋体" w:hAnsi="宋体" w:eastAsia="宋体" w:cs="宋体"/>
          <w:b/>
          <w:bCs/>
          <w:spacing w:val="-5"/>
          <w:sz w:val="24"/>
          <w:szCs w:val="24"/>
        </w:rPr>
        <w:t>电气系统</w:t>
      </w:r>
    </w:p>
    <w:p w14:paraId="5D3D2049">
      <w:pPr>
        <w:spacing w:before="191" w:line="352" w:lineRule="auto"/>
        <w:ind w:left="28" w:right="47" w:firstLine="463"/>
        <w:rPr>
          <w:rFonts w:ascii="宋体" w:hAnsi="宋体" w:eastAsia="宋体" w:cs="宋体"/>
          <w:sz w:val="24"/>
          <w:szCs w:val="24"/>
        </w:rPr>
      </w:pPr>
      <w:r>
        <w:rPr>
          <w:rFonts w:ascii="宋体" w:hAnsi="宋体" w:eastAsia="宋体" w:cs="宋体"/>
          <w:spacing w:val="-3"/>
          <w:sz w:val="24"/>
          <w:szCs w:val="24"/>
        </w:rPr>
        <w:t>发电机出口电压</w:t>
      </w:r>
      <w:r>
        <w:rPr>
          <w:rFonts w:ascii="宋体" w:hAnsi="宋体" w:eastAsia="宋体" w:cs="宋体"/>
          <w:spacing w:val="-17"/>
          <w:sz w:val="24"/>
          <w:szCs w:val="24"/>
        </w:rPr>
        <w:t xml:space="preserve"> </w:t>
      </w:r>
      <w:r>
        <w:rPr>
          <w:rFonts w:ascii="Times New Roman" w:hAnsi="Times New Roman" w:eastAsia="Times New Roman" w:cs="Times New Roman"/>
          <w:spacing w:val="-3"/>
          <w:sz w:val="24"/>
          <w:szCs w:val="24"/>
        </w:rPr>
        <w:t xml:space="preserve">10.5kV </w:t>
      </w:r>
      <w:r>
        <w:rPr>
          <w:rFonts w:ascii="宋体" w:hAnsi="宋体" w:eastAsia="宋体" w:cs="宋体"/>
          <w:spacing w:val="-3"/>
          <w:sz w:val="24"/>
          <w:szCs w:val="24"/>
        </w:rPr>
        <w:t>经容量为</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 xml:space="preserve">63MVA </w:t>
      </w:r>
      <w:r>
        <w:rPr>
          <w:rFonts w:ascii="宋体" w:hAnsi="宋体" w:eastAsia="宋体" w:cs="宋体"/>
          <w:spacing w:val="-3"/>
          <w:sz w:val="24"/>
          <w:szCs w:val="24"/>
        </w:rPr>
        <w:t>主变升压至</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110kV</w:t>
      </w:r>
      <w:r>
        <w:rPr>
          <w:rFonts w:ascii="Times New Roman" w:hAnsi="Times New Roman" w:eastAsia="Times New Roman" w:cs="Times New Roman"/>
          <w:spacing w:val="-29"/>
          <w:sz w:val="24"/>
          <w:szCs w:val="24"/>
        </w:rPr>
        <w:t xml:space="preserve"> </w:t>
      </w:r>
      <w:r>
        <w:rPr>
          <w:rFonts w:ascii="宋体" w:hAnsi="宋体" w:eastAsia="宋体" w:cs="宋体"/>
          <w:spacing w:val="-3"/>
          <w:sz w:val="24"/>
          <w:szCs w:val="24"/>
        </w:rPr>
        <w:t>，设户外</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110kV </w:t>
      </w:r>
      <w:r>
        <w:rPr>
          <w:rFonts w:ascii="宋体" w:hAnsi="宋体" w:eastAsia="宋体" w:cs="宋体"/>
          <w:spacing w:val="-3"/>
          <w:sz w:val="24"/>
          <w:szCs w:val="24"/>
        </w:rPr>
        <w:t>开关</w:t>
      </w:r>
      <w:r>
        <w:rPr>
          <w:rFonts w:ascii="宋体" w:hAnsi="宋体" w:eastAsia="宋体" w:cs="宋体"/>
          <w:sz w:val="24"/>
          <w:szCs w:val="24"/>
        </w:rPr>
        <w:t xml:space="preserve"> </w:t>
      </w:r>
      <w:r>
        <w:rPr>
          <w:rFonts w:ascii="宋体" w:hAnsi="宋体" w:eastAsia="宋体" w:cs="宋体"/>
          <w:spacing w:val="-3"/>
          <w:sz w:val="24"/>
          <w:szCs w:val="24"/>
        </w:rPr>
        <w:t>出线间隔，以单回</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110kV</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并网电缆接入厂区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11</w:t>
      </w:r>
      <w:r>
        <w:rPr>
          <w:rFonts w:ascii="Times New Roman" w:hAnsi="Times New Roman" w:eastAsia="Times New Roman" w:cs="Times New Roman"/>
          <w:spacing w:val="-4"/>
          <w:sz w:val="24"/>
          <w:szCs w:val="24"/>
        </w:rPr>
        <w:t xml:space="preserve">0kV </w:t>
      </w:r>
      <w:r>
        <w:rPr>
          <w:rFonts w:ascii="宋体" w:hAnsi="宋体" w:eastAsia="宋体" w:cs="宋体"/>
          <w:spacing w:val="-4"/>
          <w:sz w:val="24"/>
          <w:szCs w:val="24"/>
        </w:rPr>
        <w:t>开关站。</w:t>
      </w:r>
    </w:p>
    <w:p w14:paraId="3F158CF0">
      <w:pPr>
        <w:spacing w:line="352" w:lineRule="auto"/>
        <w:rPr>
          <w:rFonts w:ascii="宋体" w:hAnsi="宋体" w:eastAsia="宋体" w:cs="宋体"/>
          <w:sz w:val="24"/>
          <w:szCs w:val="24"/>
        </w:rPr>
        <w:sectPr>
          <w:headerReference r:id="rId121" w:type="default"/>
          <w:footerReference r:id="rId122" w:type="default"/>
          <w:pgSz w:w="11850" w:h="16781"/>
          <w:pgMar w:top="1178" w:right="1371" w:bottom="1013" w:left="1417" w:header="870" w:footer="850" w:gutter="0"/>
          <w:cols w:space="720" w:num="1"/>
        </w:sectPr>
      </w:pPr>
    </w:p>
    <w:p w14:paraId="47D491FE">
      <w:pPr>
        <w:pStyle w:val="2"/>
        <w:spacing w:line="276" w:lineRule="auto"/>
      </w:pPr>
      <w:r>
        <w:pict>
          <v:shape id="_x0000_s1172" o:spid="_x0000_s1172" style="position:absolute;left:0pt;margin-left:0pt;margin-top:0.7pt;height:0.75pt;width:450.75pt;z-index:251830272;mso-width-relative:page;mso-height-relative:page;" fillcolor="#000000" filled="t" stroked="f" coordsize="9015,15" path="m0,0l9014,0,9014,14,0,14,0,0xe">
            <v:path/>
            <v:fill on="t" focussize="0,0"/>
            <v:stroke on="f"/>
            <v:imagedata o:title=""/>
            <o:lock v:ext="edit"/>
          </v:shape>
        </w:pict>
      </w:r>
    </w:p>
    <w:p w14:paraId="7464054A">
      <w:pPr>
        <w:spacing w:before="78" w:line="219" w:lineRule="auto"/>
        <w:ind w:left="4"/>
        <w:outlineLvl w:val="3"/>
        <w:rPr>
          <w:rFonts w:ascii="宋体" w:hAnsi="宋体" w:eastAsia="宋体" w:cs="宋体"/>
          <w:sz w:val="24"/>
          <w:szCs w:val="24"/>
        </w:rPr>
      </w:pPr>
      <w:r>
        <w:fldChar w:fldCharType="begin"/>
      </w:r>
      <w:r>
        <w:instrText xml:space="preserve"> HYPERLINK "2.2.3.4" </w:instrText>
      </w:r>
      <w:r>
        <w:fldChar w:fldCharType="separate"/>
      </w:r>
      <w:r>
        <w:rPr>
          <w:rFonts w:ascii="Times New Roman" w:hAnsi="Times New Roman" w:eastAsia="Times New Roman" w:cs="Times New Roman"/>
          <w:b/>
          <w:bCs/>
          <w:spacing w:val="-2"/>
          <w:sz w:val="24"/>
          <w:szCs w:val="24"/>
        </w:rPr>
        <w:t>2.2.3.4</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热力系统</w:t>
      </w:r>
    </w:p>
    <w:p w14:paraId="383193E5">
      <w:pPr>
        <w:spacing w:before="191"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）主蒸汽、再热蒸汽及汽轮机旁路系统</w:t>
      </w:r>
    </w:p>
    <w:p w14:paraId="5462FE74">
      <w:pPr>
        <w:spacing w:before="192" w:line="354" w:lineRule="auto"/>
        <w:ind w:left="8" w:firstLine="481"/>
        <w:rPr>
          <w:rFonts w:ascii="宋体" w:hAnsi="宋体" w:eastAsia="宋体" w:cs="宋体"/>
          <w:sz w:val="24"/>
          <w:szCs w:val="24"/>
        </w:rPr>
      </w:pPr>
      <w:r>
        <w:rPr>
          <w:rFonts w:ascii="宋体" w:hAnsi="宋体" w:eastAsia="宋体" w:cs="宋体"/>
          <w:spacing w:val="-3"/>
          <w:sz w:val="24"/>
          <w:szCs w:val="24"/>
        </w:rPr>
        <w:t>主蒸汽管道从锅炉过热器集箱出口设置水压试验堵板，接至汽轮</w:t>
      </w:r>
      <w:r>
        <w:rPr>
          <w:rFonts w:ascii="宋体" w:hAnsi="宋体" w:eastAsia="宋体" w:cs="宋体"/>
          <w:spacing w:val="-4"/>
          <w:sz w:val="24"/>
          <w:szCs w:val="24"/>
        </w:rPr>
        <w:t>机主汽阀，再接至</w:t>
      </w:r>
      <w:r>
        <w:rPr>
          <w:rFonts w:ascii="宋体" w:hAnsi="宋体" w:eastAsia="宋体" w:cs="宋体"/>
          <w:sz w:val="24"/>
          <w:szCs w:val="24"/>
        </w:rPr>
        <w:t xml:space="preserve"> </w:t>
      </w:r>
      <w:r>
        <w:rPr>
          <w:rFonts w:ascii="宋体" w:hAnsi="宋体" w:eastAsia="宋体" w:cs="宋体"/>
          <w:spacing w:val="-2"/>
          <w:sz w:val="24"/>
          <w:szCs w:val="24"/>
        </w:rPr>
        <w:t>汽轮机高压缸。</w:t>
      </w:r>
    </w:p>
    <w:p w14:paraId="32CFB840">
      <w:pPr>
        <w:spacing w:before="32" w:line="361" w:lineRule="auto"/>
        <w:ind w:left="7" w:firstLine="482"/>
        <w:jc w:val="both"/>
        <w:rPr>
          <w:rFonts w:ascii="宋体" w:hAnsi="宋体" w:eastAsia="宋体" w:cs="宋体"/>
          <w:sz w:val="24"/>
          <w:szCs w:val="24"/>
        </w:rPr>
      </w:pPr>
      <w:r>
        <w:rPr>
          <w:rFonts w:ascii="宋体" w:hAnsi="宋体" w:eastAsia="宋体" w:cs="宋体"/>
          <w:spacing w:val="-3"/>
          <w:sz w:val="24"/>
          <w:szCs w:val="24"/>
        </w:rPr>
        <w:t>再热冷段蒸汽管道从汽轮机高压缸排汽口引出，经高排止回阀后</w:t>
      </w:r>
      <w:r>
        <w:rPr>
          <w:rFonts w:ascii="宋体" w:hAnsi="宋体" w:eastAsia="宋体" w:cs="宋体"/>
          <w:spacing w:val="-4"/>
          <w:sz w:val="24"/>
          <w:szCs w:val="24"/>
        </w:rPr>
        <w:t>，接至锅炉再热器</w:t>
      </w:r>
      <w:r>
        <w:rPr>
          <w:rFonts w:ascii="宋体" w:hAnsi="宋体" w:eastAsia="宋体" w:cs="宋体"/>
          <w:sz w:val="24"/>
          <w:szCs w:val="24"/>
        </w:rPr>
        <w:t xml:space="preserve"> </w:t>
      </w:r>
      <w:r>
        <w:rPr>
          <w:rFonts w:ascii="宋体" w:hAnsi="宋体" w:eastAsia="宋体" w:cs="宋体"/>
          <w:spacing w:val="-3"/>
          <w:sz w:val="24"/>
          <w:szCs w:val="24"/>
        </w:rPr>
        <w:t>入口联箱。再热器热段蒸汽管道从锅炉再热器出口联箱接出，至汽轮机低压缸中压联合</w:t>
      </w:r>
      <w:r>
        <w:rPr>
          <w:rFonts w:ascii="宋体" w:hAnsi="宋体" w:eastAsia="宋体" w:cs="宋体"/>
          <w:spacing w:val="1"/>
          <w:sz w:val="24"/>
          <w:szCs w:val="24"/>
        </w:rPr>
        <w:t xml:space="preserve"> </w:t>
      </w:r>
      <w:r>
        <w:rPr>
          <w:rFonts w:ascii="宋体" w:hAnsi="宋体" w:eastAsia="宋体" w:cs="宋体"/>
          <w:spacing w:val="-3"/>
          <w:sz w:val="24"/>
          <w:szCs w:val="24"/>
        </w:rPr>
        <w:t>汽阀，再接至汽轮机低压缸。主蒸汽管道上不设流量测量装置，通过汽机调节级前后压</w:t>
      </w:r>
      <w:r>
        <w:rPr>
          <w:rFonts w:ascii="宋体" w:hAnsi="宋体" w:eastAsia="宋体" w:cs="宋体"/>
          <w:spacing w:val="1"/>
          <w:sz w:val="24"/>
          <w:szCs w:val="24"/>
        </w:rPr>
        <w:t xml:space="preserve"> </w:t>
      </w:r>
      <w:r>
        <w:rPr>
          <w:rFonts w:ascii="宋体" w:hAnsi="宋体" w:eastAsia="宋体" w:cs="宋体"/>
          <w:spacing w:val="-2"/>
          <w:sz w:val="24"/>
          <w:szCs w:val="24"/>
        </w:rPr>
        <w:t>差来测量流量。</w:t>
      </w:r>
    </w:p>
    <w:p w14:paraId="4257BB33">
      <w:pPr>
        <w:spacing w:before="31" w:line="354" w:lineRule="auto"/>
        <w:ind w:left="11" w:firstLine="476"/>
        <w:rPr>
          <w:rFonts w:ascii="宋体" w:hAnsi="宋体" w:eastAsia="宋体" w:cs="宋体"/>
          <w:sz w:val="24"/>
          <w:szCs w:val="24"/>
        </w:rPr>
      </w:pPr>
      <w:r>
        <w:rPr>
          <w:rFonts w:ascii="宋体" w:hAnsi="宋体" w:eastAsia="宋体" w:cs="宋体"/>
          <w:spacing w:val="-3"/>
          <w:sz w:val="24"/>
          <w:szCs w:val="24"/>
        </w:rPr>
        <w:t>机组设置容量为</w:t>
      </w:r>
      <w:r>
        <w:rPr>
          <w:rFonts w:ascii="宋体" w:hAnsi="宋体" w:eastAsia="宋体" w:cs="宋体"/>
          <w:spacing w:val="-53"/>
          <w:sz w:val="24"/>
          <w:szCs w:val="24"/>
        </w:rPr>
        <w:t xml:space="preserve"> </w:t>
      </w:r>
      <w:r>
        <w:rPr>
          <w:rFonts w:ascii="Times New Roman" w:hAnsi="Times New Roman" w:eastAsia="Times New Roman" w:cs="Times New Roman"/>
          <w:spacing w:val="-3"/>
          <w:sz w:val="24"/>
          <w:szCs w:val="24"/>
        </w:rPr>
        <w:t>BMCR30%</w:t>
      </w:r>
      <w:r>
        <w:rPr>
          <w:rFonts w:ascii="宋体" w:hAnsi="宋体" w:eastAsia="宋体" w:cs="宋体"/>
          <w:spacing w:val="-3"/>
          <w:sz w:val="24"/>
          <w:szCs w:val="24"/>
        </w:rPr>
        <w:t>的二级串联旁路系统。旁路的功能只考虑在冷、热态等</w:t>
      </w:r>
      <w:r>
        <w:rPr>
          <w:rFonts w:ascii="宋体" w:hAnsi="宋体" w:eastAsia="宋体" w:cs="宋体"/>
          <w:sz w:val="24"/>
          <w:szCs w:val="24"/>
        </w:rPr>
        <w:t xml:space="preserve"> </w:t>
      </w:r>
      <w:r>
        <w:rPr>
          <w:rFonts w:ascii="宋体" w:hAnsi="宋体" w:eastAsia="宋体" w:cs="宋体"/>
          <w:spacing w:val="-1"/>
          <w:sz w:val="24"/>
          <w:szCs w:val="24"/>
        </w:rPr>
        <w:t>工况下机组启动和正常停机，旁路系统不考虑热备用。</w:t>
      </w:r>
    </w:p>
    <w:p w14:paraId="5367F38F">
      <w:pPr>
        <w:spacing w:before="3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）除氧给水系统</w:t>
      </w:r>
    </w:p>
    <w:p w14:paraId="5F829362">
      <w:pPr>
        <w:spacing w:before="193" w:line="351" w:lineRule="auto"/>
        <w:ind w:left="7" w:firstLine="484"/>
        <w:rPr>
          <w:rFonts w:ascii="宋体" w:hAnsi="宋体" w:eastAsia="宋体" w:cs="宋体"/>
          <w:sz w:val="24"/>
          <w:szCs w:val="24"/>
        </w:rPr>
      </w:pPr>
      <w:r>
        <w:rPr>
          <w:rFonts w:ascii="宋体" w:hAnsi="宋体" w:eastAsia="宋体" w:cs="宋体"/>
          <w:spacing w:val="-5"/>
          <w:sz w:val="24"/>
          <w:szCs w:val="24"/>
        </w:rPr>
        <w:t>设置</w:t>
      </w:r>
      <w:r>
        <w:rPr>
          <w:rFonts w:ascii="宋体" w:hAnsi="宋体" w:eastAsia="宋体" w:cs="宋体"/>
          <w:spacing w:val="-26"/>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28"/>
          <w:w w:val="101"/>
          <w:sz w:val="24"/>
          <w:szCs w:val="24"/>
        </w:rPr>
        <w:t xml:space="preserve"> </w:t>
      </w:r>
      <w:r>
        <w:rPr>
          <w:rFonts w:ascii="宋体" w:hAnsi="宋体" w:eastAsia="宋体" w:cs="宋体"/>
          <w:spacing w:val="-5"/>
          <w:sz w:val="24"/>
          <w:szCs w:val="24"/>
        </w:rPr>
        <w:t>台热力除氧器，处理来自凝汽器的凝结水和补水。除氧加热蒸汽来自汽轮机</w:t>
      </w:r>
      <w:r>
        <w:rPr>
          <w:rFonts w:ascii="宋体" w:hAnsi="宋体" w:eastAsia="宋体" w:cs="宋体"/>
          <w:sz w:val="24"/>
          <w:szCs w:val="24"/>
        </w:rPr>
        <w:t xml:space="preserve"> </w:t>
      </w:r>
      <w:r>
        <w:rPr>
          <w:rFonts w:ascii="宋体" w:hAnsi="宋体" w:eastAsia="宋体" w:cs="宋体"/>
          <w:spacing w:val="-3"/>
          <w:sz w:val="24"/>
          <w:szCs w:val="24"/>
        </w:rPr>
        <w:t>抽气。经除氧器处理过的给水温度～</w:t>
      </w:r>
      <w:r>
        <w:rPr>
          <w:rFonts w:ascii="Times New Roman" w:hAnsi="Times New Roman" w:eastAsia="Times New Roman" w:cs="Times New Roman"/>
          <w:spacing w:val="-3"/>
          <w:sz w:val="24"/>
          <w:szCs w:val="24"/>
        </w:rPr>
        <w:t>158℃</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w:t>
      </w:r>
      <w:r>
        <w:rPr>
          <w:rFonts w:ascii="宋体" w:hAnsi="宋体" w:eastAsia="宋体" w:cs="宋体"/>
          <w:spacing w:val="63"/>
          <w:sz w:val="24"/>
          <w:szCs w:val="24"/>
        </w:rPr>
        <w:t xml:space="preserve"> </w:t>
      </w:r>
      <w:r>
        <w:rPr>
          <w:rFonts w:ascii="宋体" w:hAnsi="宋体" w:eastAsia="宋体" w:cs="宋体"/>
          <w:spacing w:val="-3"/>
          <w:sz w:val="24"/>
          <w:szCs w:val="24"/>
        </w:rPr>
        <w:t>通</w:t>
      </w:r>
      <w:r>
        <w:rPr>
          <w:rFonts w:ascii="宋体" w:hAnsi="宋体" w:eastAsia="宋体" w:cs="宋体"/>
          <w:spacing w:val="-4"/>
          <w:sz w:val="24"/>
          <w:szCs w:val="24"/>
        </w:rPr>
        <w:t>过给水泵送入锅炉。</w:t>
      </w:r>
    </w:p>
    <w:p w14:paraId="11DBD449">
      <w:pPr>
        <w:spacing w:before="41"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）循环冷却水系统</w:t>
      </w:r>
    </w:p>
    <w:p w14:paraId="4E2760A4">
      <w:pPr>
        <w:spacing w:before="194" w:line="357" w:lineRule="auto"/>
        <w:ind w:left="10" w:firstLine="478"/>
        <w:rPr>
          <w:rFonts w:ascii="宋体" w:hAnsi="宋体" w:eastAsia="宋体" w:cs="宋体"/>
          <w:sz w:val="24"/>
          <w:szCs w:val="24"/>
        </w:rPr>
      </w:pPr>
      <w:r>
        <w:rPr>
          <w:rFonts w:ascii="宋体" w:hAnsi="宋体" w:eastAsia="宋体" w:cs="宋体"/>
          <w:spacing w:val="-3"/>
          <w:sz w:val="24"/>
          <w:szCs w:val="24"/>
        </w:rPr>
        <w:t>汽机的排汽采用直接空冷装置（空冷岛，总散热面积</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134520m</w:t>
      </w:r>
      <w:r>
        <w:rPr>
          <w:rFonts w:ascii="Times New Roman" w:hAnsi="Times New Roman" w:eastAsia="Times New Roman" w:cs="Times New Roman"/>
          <w:spacing w:val="-3"/>
          <w:position w:val="8"/>
          <w:sz w:val="15"/>
          <w:szCs w:val="15"/>
        </w:rPr>
        <w:t>2</w:t>
      </w:r>
      <w:r>
        <w:rPr>
          <w:rFonts w:ascii="宋体" w:hAnsi="宋体" w:eastAsia="宋体" w:cs="宋体"/>
          <w:spacing w:val="-3"/>
          <w:sz w:val="24"/>
          <w:szCs w:val="24"/>
        </w:rPr>
        <w:t>，</w:t>
      </w:r>
      <w:r>
        <w:rPr>
          <w:rFonts w:ascii="宋体" w:hAnsi="宋体" w:eastAsia="宋体" w:cs="宋体"/>
          <w:spacing w:val="-4"/>
          <w:sz w:val="24"/>
          <w:szCs w:val="24"/>
        </w:rPr>
        <w:t>配置</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14 </w:t>
      </w:r>
      <w:r>
        <w:rPr>
          <w:rFonts w:ascii="宋体" w:hAnsi="宋体" w:eastAsia="宋体" w:cs="宋体"/>
          <w:spacing w:val="-4"/>
          <w:sz w:val="24"/>
          <w:szCs w:val="24"/>
        </w:rPr>
        <w:t>个空冷单</w:t>
      </w:r>
      <w:r>
        <w:rPr>
          <w:rFonts w:ascii="宋体" w:hAnsi="宋体" w:eastAsia="宋体" w:cs="宋体"/>
          <w:sz w:val="24"/>
          <w:szCs w:val="24"/>
        </w:rPr>
        <w:t xml:space="preserve"> </w:t>
      </w:r>
      <w:r>
        <w:rPr>
          <w:rFonts w:ascii="宋体" w:hAnsi="宋体" w:eastAsia="宋体" w:cs="宋体"/>
          <w:spacing w:val="-4"/>
          <w:sz w:val="24"/>
          <w:szCs w:val="24"/>
        </w:rPr>
        <w:t>元，风机直径</w:t>
      </w:r>
      <w:r>
        <w:rPr>
          <w:rFonts w:ascii="宋体" w:hAnsi="宋体" w:eastAsia="宋体" w:cs="宋体"/>
          <w:spacing w:val="-51"/>
          <w:sz w:val="24"/>
          <w:szCs w:val="24"/>
        </w:rPr>
        <w:t xml:space="preserve"> </w:t>
      </w:r>
      <w:r>
        <w:rPr>
          <w:rFonts w:ascii="Times New Roman" w:hAnsi="Times New Roman" w:eastAsia="Times New Roman" w:cs="Times New Roman"/>
          <w:spacing w:val="-4"/>
          <w:sz w:val="24"/>
          <w:szCs w:val="24"/>
        </w:rPr>
        <w:t>7.315m</w:t>
      </w:r>
      <w:r>
        <w:rPr>
          <w:rFonts w:ascii="Times New Roman" w:hAnsi="Times New Roman" w:eastAsia="Times New Roman" w:cs="Times New Roman"/>
          <w:spacing w:val="-33"/>
          <w:sz w:val="24"/>
          <w:szCs w:val="24"/>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9.754m</w:t>
      </w:r>
      <w:r>
        <w:rPr>
          <w:rFonts w:ascii="Times New Roman" w:hAnsi="Times New Roman" w:eastAsia="Times New Roman" w:cs="Times New Roman"/>
          <w:spacing w:val="-30"/>
          <w:sz w:val="24"/>
          <w:szCs w:val="24"/>
        </w:rPr>
        <w:t xml:space="preserve"> </w:t>
      </w:r>
      <w:r>
        <w:rPr>
          <w:rFonts w:ascii="宋体" w:hAnsi="宋体" w:eastAsia="宋体" w:cs="宋体"/>
          <w:spacing w:val="-4"/>
          <w:sz w:val="24"/>
          <w:szCs w:val="24"/>
        </w:rPr>
        <w:t>，风机功率</w:t>
      </w:r>
      <w:r>
        <w:rPr>
          <w:rFonts w:ascii="宋体" w:hAnsi="宋体" w:eastAsia="宋体" w:cs="宋体"/>
          <w:spacing w:val="-51"/>
          <w:sz w:val="24"/>
          <w:szCs w:val="24"/>
        </w:rPr>
        <w:t xml:space="preserve"> </w:t>
      </w:r>
      <w:r>
        <w:rPr>
          <w:rFonts w:ascii="Times New Roman" w:hAnsi="Times New Roman" w:eastAsia="Times New Roman" w:cs="Times New Roman"/>
          <w:spacing w:val="-4"/>
          <w:sz w:val="24"/>
          <w:szCs w:val="24"/>
        </w:rPr>
        <w:t>90kW</w:t>
      </w:r>
      <w:r>
        <w:rPr>
          <w:rFonts w:ascii="Times New Roman" w:hAnsi="Times New Roman" w:eastAsia="Times New Roman" w:cs="Times New Roman"/>
          <w:spacing w:val="-34"/>
          <w:sz w:val="24"/>
          <w:szCs w:val="24"/>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132</w:t>
      </w:r>
      <w:r>
        <w:rPr>
          <w:rFonts w:ascii="Times New Roman" w:hAnsi="Times New Roman" w:eastAsia="Times New Roman" w:cs="Times New Roman"/>
          <w:spacing w:val="-5"/>
          <w:sz w:val="24"/>
          <w:szCs w:val="24"/>
        </w:rPr>
        <w:t>kW</w:t>
      </w:r>
      <w:r>
        <w:rPr>
          <w:rFonts w:ascii="宋体" w:hAnsi="宋体" w:eastAsia="宋体" w:cs="宋体"/>
          <w:spacing w:val="-5"/>
          <w:sz w:val="24"/>
          <w:szCs w:val="24"/>
        </w:rPr>
        <w:t>）冷却；辅机设备的冷却水采</w:t>
      </w:r>
      <w:r>
        <w:rPr>
          <w:rFonts w:ascii="宋体" w:hAnsi="宋体" w:eastAsia="宋体" w:cs="宋体"/>
          <w:sz w:val="24"/>
          <w:szCs w:val="24"/>
        </w:rPr>
        <w:t xml:space="preserve"> </w:t>
      </w:r>
      <w:r>
        <w:rPr>
          <w:rFonts w:ascii="宋体" w:hAnsi="宋体" w:eastAsia="宋体" w:cs="宋体"/>
          <w:spacing w:val="-2"/>
          <w:sz w:val="24"/>
          <w:szCs w:val="24"/>
        </w:rPr>
        <w:t>用循环冷却水，配置</w:t>
      </w:r>
      <w:r>
        <w:rPr>
          <w:rFonts w:ascii="宋体" w:hAnsi="宋体" w:eastAsia="宋体" w:cs="宋体"/>
          <w:spacing w:val="-23"/>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2"/>
          <w:sz w:val="24"/>
          <w:szCs w:val="24"/>
        </w:rPr>
        <w:t>座自然通风辅机冷却循环水站。</w:t>
      </w:r>
    </w:p>
    <w:p w14:paraId="4DD5B433">
      <w:pPr>
        <w:spacing w:before="37"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4</w:t>
      </w:r>
      <w:r>
        <w:rPr>
          <w:rFonts w:ascii="宋体" w:hAnsi="宋体" w:eastAsia="宋体" w:cs="宋体"/>
          <w:spacing w:val="-2"/>
          <w:sz w:val="24"/>
          <w:szCs w:val="24"/>
        </w:rPr>
        <w:t>）凝结水及化学补充水系统</w:t>
      </w:r>
    </w:p>
    <w:p w14:paraId="64CB9D9D">
      <w:pPr>
        <w:spacing w:before="192" w:line="354" w:lineRule="auto"/>
        <w:ind w:left="12" w:firstLine="505"/>
        <w:rPr>
          <w:rFonts w:ascii="宋体" w:hAnsi="宋体" w:eastAsia="宋体" w:cs="宋体"/>
          <w:sz w:val="24"/>
          <w:szCs w:val="24"/>
        </w:rPr>
      </w:pPr>
      <w:r>
        <w:rPr>
          <w:rFonts w:ascii="宋体" w:hAnsi="宋体" w:eastAsia="宋体" w:cs="宋体"/>
          <w:spacing w:val="-4"/>
          <w:sz w:val="24"/>
          <w:szCs w:val="24"/>
        </w:rPr>
        <w:t>由汽机排汽至凝汽器热井装置生成的主凝结水经凝结水泵至汽封冷却器，再经由二</w:t>
      </w:r>
      <w:r>
        <w:rPr>
          <w:rFonts w:ascii="宋体" w:hAnsi="宋体" w:eastAsia="宋体" w:cs="宋体"/>
          <w:spacing w:val="1"/>
          <w:sz w:val="24"/>
          <w:szCs w:val="24"/>
        </w:rPr>
        <w:t xml:space="preserve"> </w:t>
      </w:r>
      <w:r>
        <w:rPr>
          <w:rFonts w:ascii="宋体" w:hAnsi="宋体" w:eastAsia="宋体" w:cs="宋体"/>
          <w:spacing w:val="-1"/>
          <w:sz w:val="24"/>
          <w:szCs w:val="24"/>
        </w:rPr>
        <w:t>级低压加热器加热后送入除氧器。</w:t>
      </w:r>
    </w:p>
    <w:p w14:paraId="08D56263">
      <w:pPr>
        <w:spacing w:before="33" w:line="354" w:lineRule="auto"/>
        <w:ind w:left="10" w:firstLine="479"/>
        <w:rPr>
          <w:rFonts w:ascii="宋体" w:hAnsi="宋体" w:eastAsia="宋体" w:cs="宋体"/>
          <w:sz w:val="24"/>
          <w:szCs w:val="24"/>
        </w:rPr>
      </w:pPr>
      <w:r>
        <w:rPr>
          <w:rFonts w:ascii="宋体" w:hAnsi="宋体" w:eastAsia="宋体" w:cs="宋体"/>
          <w:sz w:val="24"/>
          <w:szCs w:val="24"/>
        </w:rPr>
        <w:t>化学补充水为除盐水，来自化学水车间（采用二级反渗透</w:t>
      </w:r>
      <w:r>
        <w:rPr>
          <w:rFonts w:ascii="Times New Roman" w:hAnsi="Times New Roman" w:eastAsia="Times New Roman" w:cs="Times New Roman"/>
          <w:sz w:val="24"/>
          <w:szCs w:val="24"/>
        </w:rPr>
        <w:t xml:space="preserve">+EDI </w:t>
      </w:r>
      <w:r>
        <w:rPr>
          <w:rFonts w:ascii="宋体" w:hAnsi="宋体" w:eastAsia="宋体" w:cs="宋体"/>
          <w:sz w:val="24"/>
          <w:szCs w:val="24"/>
        </w:rPr>
        <w:t>工艺</w:t>
      </w:r>
      <w:r>
        <w:rPr>
          <w:rFonts w:ascii="宋体" w:hAnsi="宋体" w:eastAsia="宋体" w:cs="宋体"/>
          <w:spacing w:val="6"/>
          <w:sz w:val="24"/>
          <w:szCs w:val="24"/>
        </w:rPr>
        <w:t>），</w:t>
      </w:r>
      <w:r>
        <w:rPr>
          <w:rFonts w:ascii="宋体" w:hAnsi="宋体" w:eastAsia="宋体" w:cs="宋体"/>
          <w:sz w:val="24"/>
          <w:szCs w:val="24"/>
        </w:rPr>
        <w:t>化</w:t>
      </w:r>
      <w:r>
        <w:rPr>
          <w:rFonts w:ascii="宋体" w:hAnsi="宋体" w:eastAsia="宋体" w:cs="宋体"/>
          <w:spacing w:val="-1"/>
          <w:sz w:val="24"/>
          <w:szCs w:val="24"/>
        </w:rPr>
        <w:t>学水经</w:t>
      </w:r>
      <w:r>
        <w:rPr>
          <w:rFonts w:ascii="宋体" w:hAnsi="宋体" w:eastAsia="宋体" w:cs="宋体"/>
          <w:spacing w:val="1"/>
          <w:sz w:val="24"/>
          <w:szCs w:val="24"/>
        </w:rPr>
        <w:t xml:space="preserve"> </w:t>
      </w:r>
      <w:r>
        <w:rPr>
          <w:rFonts w:ascii="宋体" w:hAnsi="宋体" w:eastAsia="宋体" w:cs="宋体"/>
          <w:spacing w:val="-1"/>
          <w:sz w:val="24"/>
          <w:szCs w:val="24"/>
        </w:rPr>
        <w:t>调节阀加入凝结器的热井，与凝结水混合后送入低加。</w:t>
      </w:r>
    </w:p>
    <w:p w14:paraId="686779BD">
      <w:pPr>
        <w:spacing w:before="35"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）锅炉排污系统</w:t>
      </w:r>
    </w:p>
    <w:p w14:paraId="279FC0AC">
      <w:pPr>
        <w:spacing w:before="191" w:line="358" w:lineRule="auto"/>
        <w:ind w:left="8" w:firstLine="482"/>
        <w:rPr>
          <w:rFonts w:ascii="宋体" w:hAnsi="宋体" w:eastAsia="宋体" w:cs="宋体"/>
          <w:sz w:val="24"/>
          <w:szCs w:val="24"/>
        </w:rPr>
      </w:pPr>
      <w:r>
        <w:rPr>
          <w:rFonts w:ascii="宋体" w:hAnsi="宋体" w:eastAsia="宋体" w:cs="宋体"/>
          <w:spacing w:val="-3"/>
          <w:sz w:val="24"/>
          <w:szCs w:val="24"/>
        </w:rPr>
        <w:t>为保证蒸汽品质，需连续排除炉水中的盐分。锅筒底部排出的</w:t>
      </w:r>
      <w:r>
        <w:rPr>
          <w:rFonts w:ascii="宋体" w:hAnsi="宋体" w:eastAsia="宋体" w:cs="宋体"/>
          <w:spacing w:val="-4"/>
          <w:sz w:val="24"/>
          <w:szCs w:val="24"/>
        </w:rPr>
        <w:t>污水经连续排污扩容</w:t>
      </w:r>
      <w:r>
        <w:rPr>
          <w:rFonts w:ascii="宋体" w:hAnsi="宋体" w:eastAsia="宋体" w:cs="宋体"/>
          <w:sz w:val="24"/>
          <w:szCs w:val="24"/>
        </w:rPr>
        <w:t xml:space="preserve"> </w:t>
      </w:r>
      <w:r>
        <w:rPr>
          <w:rFonts w:ascii="宋体" w:hAnsi="宋体" w:eastAsia="宋体" w:cs="宋体"/>
          <w:spacing w:val="-3"/>
          <w:sz w:val="24"/>
          <w:szCs w:val="24"/>
        </w:rPr>
        <w:t>器扩容后，排入定期排污扩容器，扩容生成的二次蒸汽进入除氧器；锅炉各集箱排污水</w:t>
      </w:r>
      <w:r>
        <w:rPr>
          <w:rFonts w:ascii="宋体" w:hAnsi="宋体" w:eastAsia="宋体" w:cs="宋体"/>
          <w:sz w:val="24"/>
          <w:szCs w:val="24"/>
        </w:rPr>
        <w:t xml:space="preserve"> </w:t>
      </w:r>
      <w:r>
        <w:rPr>
          <w:rFonts w:ascii="宋体" w:hAnsi="宋体" w:eastAsia="宋体" w:cs="宋体"/>
          <w:spacing w:val="-1"/>
          <w:sz w:val="24"/>
          <w:szCs w:val="24"/>
        </w:rPr>
        <w:t>直接放入定期排污膨胀器。</w:t>
      </w:r>
    </w:p>
    <w:p w14:paraId="3D366477">
      <w:pPr>
        <w:spacing w:before="35" w:line="354" w:lineRule="auto"/>
        <w:ind w:left="11" w:firstLine="482"/>
        <w:rPr>
          <w:rFonts w:ascii="宋体" w:hAnsi="宋体" w:eastAsia="宋体" w:cs="宋体"/>
          <w:sz w:val="24"/>
          <w:szCs w:val="24"/>
        </w:rPr>
      </w:pPr>
      <w:r>
        <w:rPr>
          <w:rFonts w:ascii="宋体" w:hAnsi="宋体" w:eastAsia="宋体" w:cs="宋体"/>
          <w:spacing w:val="-3"/>
          <w:sz w:val="24"/>
          <w:szCs w:val="24"/>
        </w:rPr>
        <w:t>定期排污分别从蒸发器排污集箱引出，均接至排污扩容</w:t>
      </w:r>
      <w:r>
        <w:rPr>
          <w:rFonts w:ascii="宋体" w:hAnsi="宋体" w:eastAsia="宋体" w:cs="宋体"/>
          <w:spacing w:val="-4"/>
          <w:sz w:val="24"/>
          <w:szCs w:val="24"/>
        </w:rPr>
        <w:t>器。扩容后的二次蒸汽排入</w:t>
      </w:r>
      <w:r>
        <w:rPr>
          <w:rFonts w:ascii="宋体" w:hAnsi="宋体" w:eastAsia="宋体" w:cs="宋体"/>
          <w:sz w:val="24"/>
          <w:szCs w:val="24"/>
        </w:rPr>
        <w:t xml:space="preserve"> </w:t>
      </w:r>
      <w:r>
        <w:rPr>
          <w:rFonts w:ascii="宋体" w:hAnsi="宋体" w:eastAsia="宋体" w:cs="宋体"/>
          <w:spacing w:val="-1"/>
          <w:sz w:val="24"/>
          <w:szCs w:val="24"/>
        </w:rPr>
        <w:t>大气，排污水经降温后排入污水管道。</w:t>
      </w:r>
    </w:p>
    <w:p w14:paraId="7AE9D44E">
      <w:pPr>
        <w:spacing w:before="32"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6</w:t>
      </w:r>
      <w:r>
        <w:rPr>
          <w:rFonts w:ascii="宋体" w:hAnsi="宋体" w:eastAsia="宋体" w:cs="宋体"/>
          <w:spacing w:val="-3"/>
          <w:sz w:val="24"/>
          <w:szCs w:val="24"/>
        </w:rPr>
        <w:t>）疏放水系统</w:t>
      </w:r>
    </w:p>
    <w:p w14:paraId="2E0713F0">
      <w:pPr>
        <w:spacing w:line="219" w:lineRule="auto"/>
        <w:rPr>
          <w:rFonts w:ascii="宋体" w:hAnsi="宋体" w:eastAsia="宋体" w:cs="宋体"/>
          <w:sz w:val="24"/>
          <w:szCs w:val="24"/>
        </w:rPr>
        <w:sectPr>
          <w:headerReference r:id="rId123" w:type="default"/>
          <w:footerReference r:id="rId124" w:type="default"/>
          <w:pgSz w:w="11850" w:h="16781"/>
          <w:pgMar w:top="1178" w:right="1416" w:bottom="1013" w:left="1417" w:header="870" w:footer="850" w:gutter="0"/>
          <w:cols w:space="720" w:num="1"/>
        </w:sectPr>
      </w:pPr>
    </w:p>
    <w:p w14:paraId="39D15421">
      <w:pPr>
        <w:pStyle w:val="2"/>
        <w:spacing w:line="276" w:lineRule="auto"/>
      </w:pPr>
      <w:r>
        <w:pict>
          <v:shape id="_x0000_s1173" o:spid="_x0000_s1173" style="position:absolute;left:0pt;margin-left:0pt;margin-top:0.7pt;height:0.75pt;width:450.75pt;z-index:251831296;mso-width-relative:page;mso-height-relative:page;" fillcolor="#000000" filled="t" stroked="f" coordsize="9015,15" path="m0,0l9014,0,9014,14,0,14,0,0xe">
            <v:path/>
            <v:fill on="t" focussize="0,0"/>
            <v:stroke on="f"/>
            <v:imagedata o:title=""/>
            <o:lock v:ext="edit"/>
          </v:shape>
        </w:pict>
      </w:r>
    </w:p>
    <w:p w14:paraId="102639EA">
      <w:pPr>
        <w:spacing w:before="78" w:line="354" w:lineRule="auto"/>
        <w:ind w:left="7" w:firstLine="480"/>
        <w:rPr>
          <w:rFonts w:ascii="宋体" w:hAnsi="宋体" w:eastAsia="宋体" w:cs="宋体"/>
          <w:sz w:val="24"/>
          <w:szCs w:val="24"/>
        </w:rPr>
      </w:pPr>
      <w:r>
        <w:rPr>
          <w:rFonts w:ascii="宋体" w:hAnsi="宋体" w:eastAsia="宋体" w:cs="宋体"/>
          <w:spacing w:val="-5"/>
          <w:sz w:val="24"/>
          <w:szCs w:val="24"/>
        </w:rPr>
        <w:t>汽轮机配套</w:t>
      </w:r>
      <w:r>
        <w:rPr>
          <w:rFonts w:ascii="宋体" w:hAnsi="宋体" w:eastAsia="宋体" w:cs="宋体"/>
          <w:spacing w:val="-22"/>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28"/>
          <w:sz w:val="24"/>
          <w:szCs w:val="24"/>
        </w:rPr>
        <w:t xml:space="preserve"> </w:t>
      </w:r>
      <w:r>
        <w:rPr>
          <w:rFonts w:ascii="宋体" w:hAnsi="宋体" w:eastAsia="宋体" w:cs="宋体"/>
          <w:spacing w:val="-5"/>
          <w:sz w:val="24"/>
          <w:szCs w:val="24"/>
        </w:rPr>
        <w:t>台本体疏水膨胀箱，汽机本体及汽封、主汽阀、调节汽阀等疏水均疏</w:t>
      </w:r>
      <w:r>
        <w:rPr>
          <w:rFonts w:ascii="宋体" w:hAnsi="宋体" w:eastAsia="宋体" w:cs="宋体"/>
          <w:sz w:val="24"/>
          <w:szCs w:val="24"/>
        </w:rPr>
        <w:t xml:space="preserve"> </w:t>
      </w:r>
      <w:r>
        <w:rPr>
          <w:rFonts w:ascii="宋体" w:hAnsi="宋体" w:eastAsia="宋体" w:cs="宋体"/>
          <w:spacing w:val="-1"/>
          <w:sz w:val="24"/>
          <w:szCs w:val="24"/>
        </w:rPr>
        <w:t>入膨胀箱，随后进入排汽装置的热井。</w:t>
      </w:r>
    </w:p>
    <w:p w14:paraId="09D98D6C">
      <w:pPr>
        <w:spacing w:before="34" w:line="219" w:lineRule="auto"/>
        <w:ind w:left="489"/>
        <w:rPr>
          <w:rFonts w:ascii="宋体" w:hAnsi="宋体" w:eastAsia="宋体" w:cs="宋体"/>
          <w:sz w:val="24"/>
          <w:szCs w:val="24"/>
        </w:rPr>
      </w:pPr>
      <w:r>
        <w:rPr>
          <w:rFonts w:ascii="宋体" w:hAnsi="宋体" w:eastAsia="宋体" w:cs="宋体"/>
          <w:spacing w:val="-1"/>
          <w:sz w:val="24"/>
          <w:szCs w:val="24"/>
        </w:rPr>
        <w:t>本项目电炉煤气发电工艺流程及产污环节分析示意见图</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3.2-6</w:t>
      </w:r>
      <w:r>
        <w:rPr>
          <w:rFonts w:ascii="宋体" w:hAnsi="宋体" w:eastAsia="宋体" w:cs="宋体"/>
          <w:spacing w:val="-1"/>
          <w:sz w:val="24"/>
          <w:szCs w:val="24"/>
        </w:rPr>
        <w:t>。</w:t>
      </w:r>
    </w:p>
    <w:p w14:paraId="1FCF03E5">
      <w:pPr>
        <w:spacing w:before="86" w:line="3790" w:lineRule="exact"/>
        <w:ind w:firstLine="534"/>
      </w:pPr>
      <w:r>
        <w:rPr>
          <w:position w:val="-75"/>
        </w:rPr>
        <w:drawing>
          <wp:inline distT="0" distB="0" distL="0" distR="0">
            <wp:extent cx="4841875" cy="2406015"/>
            <wp:effectExtent l="0" t="0" r="0" b="0"/>
            <wp:docPr id="36" name="IM 36"/>
            <wp:cNvGraphicFramePr/>
            <a:graphic xmlns:a="http://schemas.openxmlformats.org/drawingml/2006/main">
              <a:graphicData uri="http://schemas.openxmlformats.org/drawingml/2006/picture">
                <pic:pic xmlns:pic="http://schemas.openxmlformats.org/drawingml/2006/picture">
                  <pic:nvPicPr>
                    <pic:cNvPr id="36" name="IM 36"/>
                    <pic:cNvPicPr/>
                  </pic:nvPicPr>
                  <pic:blipFill>
                    <a:blip r:embed="rId596"/>
                    <a:stretch>
                      <a:fillRect/>
                    </a:stretch>
                  </pic:blipFill>
                  <pic:spPr>
                    <a:xfrm>
                      <a:off x="0" y="0"/>
                      <a:ext cx="4842318" cy="2406396"/>
                    </a:xfrm>
                    <a:prstGeom prst="rect">
                      <a:avLst/>
                    </a:prstGeom>
                  </pic:spPr>
                </pic:pic>
              </a:graphicData>
            </a:graphic>
          </wp:inline>
        </w:drawing>
      </w:r>
    </w:p>
    <w:p w14:paraId="3E08122F">
      <w:pPr>
        <w:spacing w:before="147" w:line="228" w:lineRule="auto"/>
        <w:ind w:left="2288"/>
        <w:rPr>
          <w:rFonts w:ascii="宋体" w:hAnsi="宋体" w:eastAsia="宋体" w:cs="宋体"/>
          <w:sz w:val="20"/>
          <w:szCs w:val="20"/>
        </w:rPr>
      </w:pPr>
      <w:r>
        <w:rPr>
          <w:rFonts w:ascii="宋体" w:hAnsi="宋体" w:eastAsia="宋体" w:cs="宋体"/>
          <w:b/>
          <w:bCs/>
          <w:spacing w:val="5"/>
          <w:sz w:val="20"/>
          <w:szCs w:val="20"/>
        </w:rPr>
        <w:t>图</w:t>
      </w:r>
      <w:r>
        <w:rPr>
          <w:rFonts w:ascii="宋体" w:hAnsi="宋体" w:eastAsia="宋体" w:cs="宋体"/>
          <w:spacing w:val="-40"/>
          <w:sz w:val="20"/>
          <w:szCs w:val="20"/>
        </w:rPr>
        <w:t xml:space="preserve"> </w:t>
      </w:r>
      <w:r>
        <w:rPr>
          <w:rFonts w:ascii="Times New Roman" w:hAnsi="Times New Roman" w:eastAsia="Times New Roman" w:cs="Times New Roman"/>
          <w:b/>
          <w:bCs/>
          <w:spacing w:val="5"/>
          <w:sz w:val="20"/>
          <w:szCs w:val="20"/>
        </w:rPr>
        <w:t xml:space="preserve">2.2-5        </w:t>
      </w:r>
      <w:r>
        <w:rPr>
          <w:rFonts w:ascii="宋体" w:hAnsi="宋体" w:eastAsia="宋体" w:cs="宋体"/>
          <w:b/>
          <w:bCs/>
          <w:spacing w:val="5"/>
          <w:sz w:val="20"/>
          <w:szCs w:val="20"/>
        </w:rPr>
        <w:t>电炉煤气发电工艺流程图及产污环节</w:t>
      </w:r>
    </w:p>
    <w:p w14:paraId="2BABC127">
      <w:pPr>
        <w:spacing w:before="214" w:line="219" w:lineRule="auto"/>
        <w:ind w:left="488"/>
        <w:rPr>
          <w:rFonts w:ascii="宋体" w:hAnsi="宋体" w:eastAsia="宋体" w:cs="宋体"/>
          <w:sz w:val="24"/>
          <w:szCs w:val="24"/>
        </w:rPr>
      </w:pPr>
      <w:r>
        <w:rPr>
          <w:rFonts w:ascii="宋体" w:hAnsi="宋体" w:eastAsia="宋体" w:cs="宋体"/>
          <w:b/>
          <w:bCs/>
          <w:spacing w:val="-4"/>
          <w:sz w:val="24"/>
          <w:szCs w:val="24"/>
        </w:rPr>
        <w:t>产污环节分析：</w:t>
      </w:r>
    </w:p>
    <w:p w14:paraId="66D1C0FB">
      <w:pPr>
        <w:spacing w:before="193" w:line="354" w:lineRule="auto"/>
        <w:ind w:left="10" w:right="64" w:firstLine="477"/>
        <w:rPr>
          <w:rFonts w:ascii="宋体" w:hAnsi="宋体" w:eastAsia="宋体" w:cs="宋体"/>
          <w:sz w:val="24"/>
          <w:szCs w:val="24"/>
        </w:rPr>
      </w:pPr>
      <w:r>
        <w:rPr>
          <w:rFonts w:ascii="宋体" w:hAnsi="宋体" w:eastAsia="宋体" w:cs="宋体"/>
          <w:b/>
          <w:bCs/>
          <w:sz w:val="24"/>
          <w:szCs w:val="24"/>
        </w:rPr>
        <w:t>废气：</w:t>
      </w:r>
      <w:r>
        <w:rPr>
          <w:rFonts w:ascii="宋体" w:hAnsi="宋体" w:eastAsia="宋体" w:cs="宋体"/>
          <w:sz w:val="24"/>
          <w:szCs w:val="24"/>
        </w:rPr>
        <w:t>电炉煤气在锅炉燃烧产生锅炉烟气（</w:t>
      </w:r>
      <w:r>
        <w:rPr>
          <w:rFonts w:ascii="Times New Roman" w:hAnsi="Times New Roman" w:eastAsia="Times New Roman" w:cs="Times New Roman"/>
          <w:sz w:val="24"/>
          <w:szCs w:val="24"/>
        </w:rPr>
        <w:t>G</w:t>
      </w:r>
      <w:r>
        <w:rPr>
          <w:rFonts w:ascii="Times New Roman" w:hAnsi="Times New Roman" w:eastAsia="Times New Roman" w:cs="Times New Roman"/>
          <w:spacing w:val="-1"/>
          <w:sz w:val="15"/>
          <w:szCs w:val="15"/>
        </w:rPr>
        <w:t xml:space="preserve">2-1 </w:t>
      </w:r>
      <w:r>
        <w:rPr>
          <w:rFonts w:ascii="宋体" w:hAnsi="宋体" w:eastAsia="宋体" w:cs="宋体"/>
          <w:spacing w:val="-13"/>
          <w:sz w:val="24"/>
          <w:szCs w:val="24"/>
        </w:rPr>
        <w:t>），</w:t>
      </w:r>
      <w:r>
        <w:rPr>
          <w:rFonts w:ascii="宋体" w:hAnsi="宋体" w:eastAsia="宋体" w:cs="宋体"/>
          <w:spacing w:val="-1"/>
          <w:sz w:val="24"/>
          <w:szCs w:val="24"/>
        </w:rPr>
        <w:t>采用小苏打干法脱硫</w:t>
      </w:r>
      <w:r>
        <w:rPr>
          <w:rFonts w:ascii="Times New Roman" w:hAnsi="Times New Roman" w:eastAsia="Times New Roman" w:cs="Times New Roman"/>
          <w:spacing w:val="-1"/>
          <w:sz w:val="24"/>
          <w:szCs w:val="24"/>
        </w:rPr>
        <w:t xml:space="preserve">+SCR </w:t>
      </w:r>
      <w:r>
        <w:rPr>
          <w:rFonts w:ascii="宋体" w:hAnsi="宋体" w:eastAsia="宋体" w:cs="宋体"/>
          <w:spacing w:val="-1"/>
          <w:sz w:val="24"/>
          <w:szCs w:val="24"/>
        </w:rPr>
        <w:t>脱</w:t>
      </w:r>
      <w:r>
        <w:rPr>
          <w:rFonts w:ascii="宋体" w:hAnsi="宋体" w:eastAsia="宋体" w:cs="宋体"/>
          <w:sz w:val="24"/>
          <w:szCs w:val="24"/>
        </w:rPr>
        <w:t xml:space="preserve"> </w:t>
      </w:r>
      <w:r>
        <w:rPr>
          <w:rFonts w:ascii="宋体" w:hAnsi="宋体" w:eastAsia="宋体" w:cs="宋体"/>
          <w:spacing w:val="-2"/>
          <w:sz w:val="24"/>
          <w:szCs w:val="24"/>
        </w:rPr>
        <w:t>硝装置进行处理后排放。</w:t>
      </w:r>
    </w:p>
    <w:p w14:paraId="0624B46D">
      <w:pPr>
        <w:spacing w:before="34" w:line="219" w:lineRule="auto"/>
        <w:ind w:left="487"/>
        <w:rPr>
          <w:rFonts w:ascii="宋体" w:hAnsi="宋体" w:eastAsia="宋体" w:cs="宋体"/>
          <w:sz w:val="24"/>
          <w:szCs w:val="24"/>
        </w:rPr>
      </w:pPr>
      <w:r>
        <w:rPr>
          <w:rFonts w:ascii="宋体" w:hAnsi="宋体" w:eastAsia="宋体" w:cs="宋体"/>
          <w:b/>
          <w:bCs/>
          <w:spacing w:val="-6"/>
          <w:sz w:val="24"/>
          <w:szCs w:val="24"/>
        </w:rPr>
        <w:t>废水：</w:t>
      </w:r>
    </w:p>
    <w:p w14:paraId="0005ECAB">
      <w:pPr>
        <w:spacing w:before="191" w:line="293" w:lineRule="auto"/>
        <w:ind w:left="8" w:firstLine="479"/>
        <w:rPr>
          <w:rFonts w:ascii="宋体" w:hAnsi="宋体" w:eastAsia="宋体" w:cs="宋体"/>
          <w:sz w:val="24"/>
          <w:szCs w:val="24"/>
        </w:rPr>
      </w:pPr>
      <w:r>
        <w:rPr>
          <w:rFonts w:ascii="宋体" w:hAnsi="宋体" w:eastAsia="宋体" w:cs="宋体"/>
          <w:spacing w:val="-3"/>
          <w:sz w:val="24"/>
          <w:szCs w:val="24"/>
        </w:rPr>
        <w:t>①煤气发电系统化学水车间在制备脱盐水时产生含盐废水（化水车</w:t>
      </w:r>
      <w:r>
        <w:rPr>
          <w:rFonts w:ascii="宋体" w:hAnsi="宋体" w:eastAsia="宋体" w:cs="宋体"/>
          <w:spacing w:val="-4"/>
          <w:sz w:val="24"/>
          <w:szCs w:val="24"/>
        </w:rPr>
        <w:t>间排污</w:t>
      </w:r>
      <w:r>
        <w:rPr>
          <w:rFonts w:ascii="宋体" w:hAnsi="宋体" w:eastAsia="宋体" w:cs="宋体"/>
          <w:spacing w:val="-57"/>
          <w:sz w:val="24"/>
          <w:szCs w:val="24"/>
        </w:rPr>
        <w:t xml:space="preserve"> </w:t>
      </w:r>
      <w:r>
        <w:rPr>
          <w:rFonts w:ascii="Times New Roman" w:hAnsi="Times New Roman" w:eastAsia="Times New Roman" w:cs="Times New Roman"/>
          <w:spacing w:val="-4"/>
          <w:sz w:val="24"/>
          <w:szCs w:val="24"/>
        </w:rPr>
        <w:t>W</w:t>
      </w:r>
      <w:r>
        <w:rPr>
          <w:rFonts w:ascii="Times New Roman" w:hAnsi="Times New Roman" w:eastAsia="Times New Roman" w:cs="Times New Roman"/>
          <w:spacing w:val="-4"/>
          <w:position w:val="-1"/>
          <w:sz w:val="15"/>
          <w:szCs w:val="15"/>
        </w:rPr>
        <w:t>2-1</w:t>
      </w:r>
      <w:r>
        <w:rPr>
          <w:rFonts w:ascii="宋体" w:hAnsi="宋体" w:eastAsia="宋体" w:cs="宋体"/>
          <w:spacing w:val="-4"/>
          <w:sz w:val="24"/>
          <w:szCs w:val="24"/>
        </w:rPr>
        <w:t>）排</w:t>
      </w:r>
      <w:r>
        <w:rPr>
          <w:rFonts w:ascii="宋体" w:hAnsi="宋体" w:eastAsia="宋体" w:cs="宋体"/>
          <w:sz w:val="24"/>
          <w:szCs w:val="24"/>
        </w:rPr>
        <w:t xml:space="preserve"> </w:t>
      </w:r>
      <w:r>
        <w:rPr>
          <w:rFonts w:ascii="宋体" w:hAnsi="宋体" w:eastAsia="宋体" w:cs="宋体"/>
          <w:spacing w:val="-1"/>
          <w:sz w:val="24"/>
          <w:szCs w:val="24"/>
        </w:rPr>
        <w:t>放，全部补充到浊循环水系统中。</w:t>
      </w:r>
    </w:p>
    <w:p w14:paraId="60D6310C">
      <w:pPr>
        <w:spacing w:before="194" w:line="317" w:lineRule="auto"/>
        <w:ind w:left="8" w:firstLine="478"/>
        <w:rPr>
          <w:rFonts w:ascii="宋体" w:hAnsi="宋体" w:eastAsia="宋体" w:cs="宋体"/>
          <w:sz w:val="24"/>
          <w:szCs w:val="24"/>
        </w:rPr>
      </w:pPr>
      <w:r>
        <w:rPr>
          <w:rFonts w:ascii="宋体" w:hAnsi="宋体" w:eastAsia="宋体" w:cs="宋体"/>
          <w:spacing w:val="-3"/>
          <w:sz w:val="24"/>
          <w:szCs w:val="24"/>
        </w:rPr>
        <w:t>②在锅炉运行中，锅水中含有各种可溶性和不溶性杂质，这些杂质只有很</w:t>
      </w:r>
      <w:r>
        <w:rPr>
          <w:rFonts w:ascii="宋体" w:hAnsi="宋体" w:eastAsia="宋体" w:cs="宋体"/>
          <w:spacing w:val="-4"/>
          <w:sz w:val="24"/>
          <w:szCs w:val="24"/>
        </w:rPr>
        <w:t>少部分被</w:t>
      </w:r>
      <w:r>
        <w:rPr>
          <w:rFonts w:ascii="宋体" w:hAnsi="宋体" w:eastAsia="宋体" w:cs="宋体"/>
          <w:sz w:val="24"/>
          <w:szCs w:val="24"/>
        </w:rPr>
        <w:t xml:space="preserve"> </w:t>
      </w:r>
      <w:r>
        <w:rPr>
          <w:rFonts w:ascii="宋体" w:hAnsi="宋体" w:eastAsia="宋体" w:cs="宋体"/>
          <w:spacing w:val="-3"/>
          <w:sz w:val="24"/>
          <w:szCs w:val="24"/>
        </w:rPr>
        <w:t>蒸汽带走，绝大部分留在锅水中，随着锅水的不断蒸发，这些杂质浓度逐渐增大，需要</w:t>
      </w:r>
      <w:r>
        <w:rPr>
          <w:rFonts w:ascii="宋体" w:hAnsi="宋体" w:eastAsia="宋体" w:cs="宋体"/>
          <w:sz w:val="24"/>
          <w:szCs w:val="24"/>
        </w:rPr>
        <w:t xml:space="preserve"> </w:t>
      </w:r>
      <w:r>
        <w:rPr>
          <w:rFonts w:ascii="宋体" w:hAnsi="宋体" w:eastAsia="宋体" w:cs="宋体"/>
          <w:spacing w:val="-1"/>
          <w:sz w:val="24"/>
          <w:szCs w:val="24"/>
        </w:rPr>
        <w:t>排放，产生锅炉排污（</w:t>
      </w:r>
      <w:r>
        <w:rPr>
          <w:rFonts w:ascii="Times New Roman" w:hAnsi="Times New Roman" w:eastAsia="Times New Roman" w:cs="Times New Roman"/>
          <w:spacing w:val="-1"/>
          <w:sz w:val="24"/>
          <w:szCs w:val="24"/>
        </w:rPr>
        <w:t>W</w:t>
      </w:r>
      <w:r>
        <w:rPr>
          <w:rFonts w:ascii="Times New Roman" w:hAnsi="Times New Roman" w:eastAsia="Times New Roman" w:cs="Times New Roman"/>
          <w:spacing w:val="-1"/>
          <w:position w:val="-1"/>
          <w:sz w:val="15"/>
          <w:szCs w:val="15"/>
        </w:rPr>
        <w:t xml:space="preserve">2-2 </w:t>
      </w:r>
      <w:r>
        <w:rPr>
          <w:rFonts w:ascii="宋体" w:hAnsi="宋体" w:eastAsia="宋体" w:cs="宋体"/>
          <w:spacing w:val="-6"/>
          <w:sz w:val="24"/>
          <w:szCs w:val="24"/>
        </w:rPr>
        <w:t>），</w:t>
      </w:r>
      <w:r>
        <w:rPr>
          <w:rFonts w:ascii="宋体" w:hAnsi="宋体" w:eastAsia="宋体" w:cs="宋体"/>
          <w:spacing w:val="-1"/>
          <w:sz w:val="24"/>
          <w:szCs w:val="24"/>
        </w:rPr>
        <w:t>全部补充到浊循环水系统中。</w:t>
      </w:r>
    </w:p>
    <w:p w14:paraId="78D15231">
      <w:pPr>
        <w:spacing w:before="192" w:line="293" w:lineRule="auto"/>
        <w:ind w:left="12" w:firstLine="474"/>
        <w:rPr>
          <w:rFonts w:ascii="宋体" w:hAnsi="宋体" w:eastAsia="宋体" w:cs="宋体"/>
          <w:sz w:val="24"/>
          <w:szCs w:val="24"/>
        </w:rPr>
      </w:pPr>
      <w:r>
        <w:rPr>
          <w:rFonts w:ascii="宋体" w:hAnsi="宋体" w:eastAsia="宋体" w:cs="宋体"/>
          <w:spacing w:val="-4"/>
          <w:sz w:val="24"/>
          <w:szCs w:val="24"/>
        </w:rPr>
        <w:t>③煤气发电配置</w:t>
      </w:r>
      <w:r>
        <w:rPr>
          <w:rFonts w:ascii="宋体" w:hAnsi="宋体" w:eastAsia="宋体" w:cs="宋体"/>
          <w:spacing w:val="-24"/>
          <w:sz w:val="24"/>
          <w:szCs w:val="24"/>
        </w:rPr>
        <w:t xml:space="preserve"> </w:t>
      </w:r>
      <w:r>
        <w:rPr>
          <w:rFonts w:ascii="Times New Roman" w:hAnsi="Times New Roman" w:eastAsia="Times New Roman" w:cs="Times New Roman"/>
          <w:spacing w:val="-4"/>
          <w:sz w:val="24"/>
          <w:szCs w:val="24"/>
        </w:rPr>
        <w:t xml:space="preserve">1 </w:t>
      </w:r>
      <w:r>
        <w:rPr>
          <w:rFonts w:ascii="宋体" w:hAnsi="宋体" w:eastAsia="宋体" w:cs="宋体"/>
          <w:spacing w:val="-4"/>
          <w:sz w:val="24"/>
          <w:szCs w:val="24"/>
        </w:rPr>
        <w:t>座辅机冷却循环水站，冷却循环水因盐分浓度的升高，需要排放</w:t>
      </w:r>
      <w:r>
        <w:rPr>
          <w:rFonts w:ascii="宋体" w:hAnsi="宋体" w:eastAsia="宋体" w:cs="宋体"/>
          <w:sz w:val="24"/>
          <w:szCs w:val="24"/>
        </w:rPr>
        <w:t xml:space="preserve"> </w:t>
      </w:r>
      <w:r>
        <w:rPr>
          <w:rFonts w:ascii="宋体" w:hAnsi="宋体" w:eastAsia="宋体" w:cs="宋体"/>
          <w:spacing w:val="-1"/>
          <w:sz w:val="24"/>
          <w:szCs w:val="24"/>
        </w:rPr>
        <w:t>一部分，产生辅机冷却循环水站排污（</w:t>
      </w:r>
      <w:r>
        <w:rPr>
          <w:rFonts w:ascii="Times New Roman" w:hAnsi="Times New Roman" w:eastAsia="Times New Roman" w:cs="Times New Roman"/>
          <w:spacing w:val="-1"/>
          <w:sz w:val="24"/>
          <w:szCs w:val="24"/>
        </w:rPr>
        <w:t>W</w:t>
      </w:r>
      <w:r>
        <w:rPr>
          <w:rFonts w:ascii="Times New Roman" w:hAnsi="Times New Roman" w:eastAsia="Times New Roman" w:cs="Times New Roman"/>
          <w:spacing w:val="-1"/>
          <w:position w:val="-1"/>
          <w:sz w:val="15"/>
          <w:szCs w:val="15"/>
        </w:rPr>
        <w:t xml:space="preserve">2-3 </w:t>
      </w:r>
      <w:r>
        <w:rPr>
          <w:rFonts w:ascii="宋体" w:hAnsi="宋体" w:eastAsia="宋体" w:cs="宋体"/>
          <w:spacing w:val="-5"/>
          <w:sz w:val="24"/>
          <w:szCs w:val="24"/>
        </w:rPr>
        <w:t>），</w:t>
      </w:r>
      <w:r>
        <w:rPr>
          <w:rFonts w:ascii="宋体" w:hAnsi="宋体" w:eastAsia="宋体" w:cs="宋体"/>
          <w:spacing w:val="-1"/>
          <w:sz w:val="24"/>
          <w:szCs w:val="24"/>
        </w:rPr>
        <w:t>全部补充到浊循环水系统中。</w:t>
      </w:r>
    </w:p>
    <w:p w14:paraId="3EFF189D">
      <w:pPr>
        <w:spacing w:before="194" w:line="360" w:lineRule="auto"/>
        <w:ind w:left="4" w:right="2" w:firstLine="504"/>
        <w:rPr>
          <w:rFonts w:ascii="宋体" w:hAnsi="宋体" w:eastAsia="宋体" w:cs="宋体"/>
          <w:sz w:val="24"/>
          <w:szCs w:val="24"/>
        </w:rPr>
      </w:pPr>
      <w:r>
        <w:rPr>
          <w:rFonts w:ascii="宋体" w:hAnsi="宋体" w:eastAsia="宋体" w:cs="宋体"/>
          <w:b/>
          <w:bCs/>
          <w:spacing w:val="-2"/>
          <w:sz w:val="24"/>
          <w:szCs w:val="24"/>
        </w:rPr>
        <w:t>固废：</w:t>
      </w:r>
      <w:r>
        <w:rPr>
          <w:rFonts w:ascii="宋体" w:hAnsi="宋体" w:eastAsia="宋体" w:cs="宋体"/>
          <w:spacing w:val="-2"/>
          <w:sz w:val="24"/>
          <w:szCs w:val="24"/>
        </w:rPr>
        <w:t>化学水车间采用二级反渗透</w:t>
      </w:r>
      <w:r>
        <w:rPr>
          <w:rFonts w:ascii="Times New Roman" w:hAnsi="Times New Roman" w:eastAsia="Times New Roman" w:cs="Times New Roman"/>
          <w:spacing w:val="-2"/>
          <w:sz w:val="24"/>
          <w:szCs w:val="24"/>
        </w:rPr>
        <w:t>+EDI</w:t>
      </w:r>
      <w:r>
        <w:rPr>
          <w:rFonts w:ascii="Times New Roman" w:hAnsi="Times New Roman" w:eastAsia="Times New Roman" w:cs="Times New Roman"/>
          <w:spacing w:val="34"/>
          <w:sz w:val="24"/>
          <w:szCs w:val="24"/>
        </w:rPr>
        <w:t xml:space="preserve"> </w:t>
      </w:r>
      <w:r>
        <w:rPr>
          <w:rFonts w:ascii="宋体" w:hAnsi="宋体" w:eastAsia="宋体" w:cs="宋体"/>
          <w:spacing w:val="-2"/>
          <w:sz w:val="24"/>
          <w:szCs w:val="24"/>
        </w:rPr>
        <w:t>工艺，运行过程中其反渗透膜组件及</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EDI</w:t>
      </w:r>
      <w:r>
        <w:rPr>
          <w:rFonts w:ascii="Times New Roman" w:hAnsi="Times New Roman" w:eastAsia="Times New Roman" w:cs="Times New Roman"/>
          <w:sz w:val="24"/>
          <w:szCs w:val="24"/>
        </w:rPr>
        <w:t xml:space="preserve"> </w:t>
      </w:r>
      <w:r>
        <w:rPr>
          <w:rFonts w:ascii="宋体" w:hAnsi="宋体" w:eastAsia="宋体" w:cs="宋体"/>
          <w:spacing w:val="-1"/>
          <w:sz w:val="24"/>
          <w:szCs w:val="24"/>
        </w:rPr>
        <w:t>离子交换膜组件需要定期，更换周期</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3</w:t>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5 </w:t>
      </w:r>
      <w:r>
        <w:rPr>
          <w:rFonts w:ascii="宋体" w:hAnsi="宋体" w:eastAsia="宋体" w:cs="宋体"/>
          <w:spacing w:val="-1"/>
          <w:sz w:val="24"/>
          <w:szCs w:val="24"/>
        </w:rPr>
        <w:t>年，更换产生废反渗透膜组件（</w:t>
      </w:r>
      <w:r>
        <w:rPr>
          <w:rFonts w:ascii="Times New Roman" w:hAnsi="Times New Roman" w:eastAsia="Times New Roman" w:cs="Times New Roman"/>
          <w:spacing w:val="-1"/>
          <w:sz w:val="24"/>
          <w:szCs w:val="24"/>
        </w:rPr>
        <w:t>S</w:t>
      </w:r>
      <w:r>
        <w:rPr>
          <w:rFonts w:ascii="Times New Roman" w:hAnsi="Times New Roman" w:eastAsia="Times New Roman" w:cs="Times New Roman"/>
          <w:spacing w:val="-1"/>
          <w:sz w:val="15"/>
          <w:szCs w:val="15"/>
        </w:rPr>
        <w:t>2-</w:t>
      </w:r>
      <w:r>
        <w:rPr>
          <w:rFonts w:ascii="Times New Roman" w:hAnsi="Times New Roman" w:eastAsia="Times New Roman" w:cs="Times New Roman"/>
          <w:spacing w:val="-2"/>
          <w:sz w:val="15"/>
          <w:szCs w:val="15"/>
        </w:rPr>
        <w:t xml:space="preserve">1 </w:t>
      </w:r>
      <w:r>
        <w:rPr>
          <w:rFonts w:ascii="宋体" w:hAnsi="宋体" w:eastAsia="宋体" w:cs="宋体"/>
          <w:spacing w:val="-2"/>
          <w:sz w:val="24"/>
          <w:szCs w:val="24"/>
        </w:rPr>
        <w:t>）、废</w:t>
      </w:r>
      <w:r>
        <w:rPr>
          <w:rFonts w:ascii="宋体" w:hAnsi="宋体" w:eastAsia="宋体" w:cs="宋体"/>
          <w:sz w:val="24"/>
          <w:szCs w:val="24"/>
        </w:rPr>
        <w:t xml:space="preserve">  </w:t>
      </w:r>
      <w:r>
        <w:rPr>
          <w:rFonts w:ascii="Times New Roman" w:hAnsi="Times New Roman" w:eastAsia="Times New Roman" w:cs="Times New Roman"/>
          <w:spacing w:val="-2"/>
          <w:sz w:val="24"/>
          <w:szCs w:val="24"/>
        </w:rPr>
        <w:t>EDI</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离子交换膜组件（</w:t>
      </w:r>
      <w:r>
        <w:rPr>
          <w:rFonts w:ascii="Times New Roman" w:hAnsi="Times New Roman" w:eastAsia="Times New Roman" w:cs="Times New Roman"/>
          <w:spacing w:val="-2"/>
          <w:sz w:val="24"/>
          <w:szCs w:val="24"/>
        </w:rPr>
        <w:t>S</w:t>
      </w:r>
      <w:r>
        <w:rPr>
          <w:rFonts w:ascii="Times New Roman" w:hAnsi="Times New Roman" w:eastAsia="Times New Roman" w:cs="Times New Roman"/>
          <w:spacing w:val="-2"/>
          <w:sz w:val="15"/>
          <w:szCs w:val="15"/>
        </w:rPr>
        <w:t xml:space="preserve">2-2 </w:t>
      </w:r>
      <w:r>
        <w:rPr>
          <w:rFonts w:ascii="宋体" w:hAnsi="宋体" w:eastAsia="宋体" w:cs="宋体"/>
          <w:spacing w:val="-8"/>
          <w:sz w:val="24"/>
          <w:szCs w:val="24"/>
        </w:rPr>
        <w:t>），</w:t>
      </w:r>
      <w:r>
        <w:rPr>
          <w:rFonts w:ascii="宋体" w:hAnsi="宋体" w:eastAsia="宋体" w:cs="宋体"/>
          <w:spacing w:val="-2"/>
          <w:sz w:val="24"/>
          <w:szCs w:val="24"/>
        </w:rPr>
        <w:t>由其生产厂家回收。锅炉烟气</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 xml:space="preserve">SCR </w:t>
      </w:r>
      <w:r>
        <w:rPr>
          <w:rFonts w:ascii="宋体" w:hAnsi="宋体" w:eastAsia="宋体" w:cs="宋体"/>
          <w:spacing w:val="-2"/>
          <w:sz w:val="24"/>
          <w:szCs w:val="24"/>
        </w:rPr>
        <w:t>脱硝</w:t>
      </w:r>
      <w:r>
        <w:rPr>
          <w:rFonts w:ascii="宋体" w:hAnsi="宋体" w:eastAsia="宋体" w:cs="宋体"/>
          <w:spacing w:val="-3"/>
          <w:sz w:val="24"/>
          <w:szCs w:val="24"/>
        </w:rPr>
        <w:t>装置定期更换催</w:t>
      </w:r>
      <w:r>
        <w:rPr>
          <w:rFonts w:ascii="宋体" w:hAnsi="宋体" w:eastAsia="宋体" w:cs="宋体"/>
          <w:sz w:val="24"/>
          <w:szCs w:val="24"/>
        </w:rPr>
        <w:t xml:space="preserve"> 化剂产生的废脱硝催化剂（</w:t>
      </w:r>
      <w:r>
        <w:rPr>
          <w:rFonts w:ascii="Times New Roman" w:hAnsi="Times New Roman" w:eastAsia="Times New Roman" w:cs="Times New Roman"/>
          <w:sz w:val="24"/>
          <w:szCs w:val="24"/>
        </w:rPr>
        <w:t>S</w:t>
      </w:r>
      <w:r>
        <w:rPr>
          <w:rFonts w:ascii="Times New Roman" w:hAnsi="Times New Roman" w:eastAsia="Times New Roman" w:cs="Times New Roman"/>
          <w:sz w:val="15"/>
          <w:szCs w:val="15"/>
        </w:rPr>
        <w:t xml:space="preserve">2-3 </w:t>
      </w:r>
      <w:r>
        <w:rPr>
          <w:rFonts w:ascii="宋体" w:hAnsi="宋体" w:eastAsia="宋体" w:cs="宋体"/>
          <w:spacing w:val="-12"/>
          <w:sz w:val="24"/>
          <w:szCs w:val="24"/>
        </w:rPr>
        <w:t>），</w:t>
      </w:r>
      <w:r>
        <w:rPr>
          <w:rFonts w:ascii="宋体" w:hAnsi="宋体" w:eastAsia="宋体" w:cs="宋体"/>
          <w:sz w:val="24"/>
          <w:szCs w:val="24"/>
        </w:rPr>
        <w:t>属于危险废物</w:t>
      </w:r>
      <w:r>
        <w:rPr>
          <w:rFonts w:ascii="宋体" w:hAnsi="宋体" w:eastAsia="宋体" w:cs="宋体"/>
          <w:spacing w:val="-1"/>
          <w:sz w:val="24"/>
          <w:szCs w:val="24"/>
        </w:rPr>
        <w:t>，委托有资质单位进行处理。</w:t>
      </w:r>
    </w:p>
    <w:p w14:paraId="3D0379F9">
      <w:pPr>
        <w:spacing w:before="94" w:line="220" w:lineRule="auto"/>
        <w:ind w:left="5"/>
        <w:outlineLvl w:val="2"/>
        <w:rPr>
          <w:rFonts w:ascii="宋体" w:hAnsi="宋体" w:eastAsia="宋体" w:cs="宋体"/>
          <w:sz w:val="28"/>
          <w:szCs w:val="28"/>
        </w:rPr>
      </w:pPr>
      <w:bookmarkStart w:id="320" w:name="bookmark108"/>
      <w:bookmarkEnd w:id="320"/>
      <w:r>
        <w:rPr>
          <w:rFonts w:ascii="Times New Roman" w:hAnsi="Times New Roman" w:eastAsia="Times New Roman" w:cs="Times New Roman"/>
          <w:b/>
          <w:bCs/>
          <w:spacing w:val="-2"/>
          <w:sz w:val="28"/>
          <w:szCs w:val="28"/>
        </w:rPr>
        <w:t xml:space="preserve">2.2.4 </w:t>
      </w:r>
      <w:r>
        <w:rPr>
          <w:rFonts w:ascii="宋体" w:hAnsi="宋体" w:eastAsia="宋体" w:cs="宋体"/>
          <w:b/>
          <w:bCs/>
          <w:spacing w:val="-2"/>
          <w:sz w:val="28"/>
          <w:szCs w:val="28"/>
        </w:rPr>
        <w:t>生产中其他产污环节分析</w:t>
      </w:r>
    </w:p>
    <w:p w14:paraId="7F091CD0">
      <w:pPr>
        <w:spacing w:before="244" w:line="219" w:lineRule="auto"/>
        <w:ind w:left="489"/>
        <w:rPr>
          <w:rFonts w:ascii="宋体" w:hAnsi="宋体" w:eastAsia="宋体" w:cs="宋体"/>
          <w:sz w:val="24"/>
          <w:szCs w:val="24"/>
        </w:rPr>
      </w:pPr>
      <w:r>
        <w:rPr>
          <w:rFonts w:ascii="宋体" w:hAnsi="宋体" w:eastAsia="宋体" w:cs="宋体"/>
          <w:sz w:val="24"/>
          <w:szCs w:val="24"/>
        </w:rPr>
        <w:t>本项目锰硅合金生产以及电炉煤气发电过程</w:t>
      </w:r>
      <w:r>
        <w:rPr>
          <w:rFonts w:ascii="宋体" w:hAnsi="宋体" w:eastAsia="宋体" w:cs="宋体"/>
          <w:spacing w:val="-1"/>
          <w:sz w:val="24"/>
          <w:szCs w:val="24"/>
        </w:rPr>
        <w:t>中其他产污环节分析如下。</w:t>
      </w:r>
    </w:p>
    <w:p w14:paraId="32C0E0CE">
      <w:pPr>
        <w:spacing w:line="219" w:lineRule="auto"/>
        <w:rPr>
          <w:rFonts w:ascii="宋体" w:hAnsi="宋体" w:eastAsia="宋体" w:cs="宋体"/>
          <w:sz w:val="24"/>
          <w:szCs w:val="24"/>
        </w:rPr>
        <w:sectPr>
          <w:footerReference r:id="rId125" w:type="default"/>
          <w:pgSz w:w="11850" w:h="16781"/>
          <w:pgMar w:top="1178" w:right="1416" w:bottom="1013" w:left="1417" w:header="870" w:footer="850" w:gutter="0"/>
          <w:cols w:space="720" w:num="1"/>
        </w:sectPr>
      </w:pPr>
    </w:p>
    <w:p w14:paraId="436E34A2">
      <w:pPr>
        <w:pStyle w:val="2"/>
        <w:spacing w:line="276" w:lineRule="auto"/>
      </w:pPr>
      <w:r>
        <w:pict>
          <v:shape id="_x0000_s1174" o:spid="_x0000_s1174" style="position:absolute;left:0pt;margin-left:0pt;margin-top:0.7pt;height:0.75pt;width:450.75pt;z-index:251832320;mso-width-relative:page;mso-height-relative:page;" fillcolor="#000000" filled="t" stroked="f" coordsize="9015,15" path="m0,0l9014,0,9014,14,0,14,0,0xe">
            <v:path/>
            <v:fill on="t" focussize="0,0"/>
            <v:stroke on="f"/>
            <v:imagedata o:title=""/>
            <o:lock v:ext="edit"/>
          </v:shape>
        </w:pict>
      </w:r>
    </w:p>
    <w:p w14:paraId="0195C478">
      <w:pPr>
        <w:spacing w:before="78" w:line="220" w:lineRule="auto"/>
        <w:ind w:left="508"/>
        <w:rPr>
          <w:rFonts w:ascii="宋体" w:hAnsi="宋体" w:eastAsia="宋体" w:cs="宋体"/>
          <w:sz w:val="24"/>
          <w:szCs w:val="24"/>
        </w:rPr>
      </w:pPr>
      <w:r>
        <w:rPr>
          <w:rFonts w:ascii="宋体" w:hAnsi="宋体" w:eastAsia="宋体" w:cs="宋体"/>
          <w:b/>
          <w:bCs/>
          <w:spacing w:val="-13"/>
          <w:sz w:val="24"/>
          <w:szCs w:val="24"/>
        </w:rPr>
        <w:t>固废：</w:t>
      </w:r>
    </w:p>
    <w:p w14:paraId="7E2FE357">
      <w:pPr>
        <w:spacing w:before="191" w:line="360" w:lineRule="auto"/>
        <w:ind w:left="8" w:right="80" w:firstLine="479"/>
        <w:jc w:val="both"/>
        <w:rPr>
          <w:rFonts w:ascii="宋体" w:hAnsi="宋体" w:eastAsia="宋体" w:cs="宋体"/>
          <w:sz w:val="24"/>
          <w:szCs w:val="24"/>
        </w:rPr>
      </w:pPr>
      <w:r>
        <w:rPr>
          <w:rFonts w:ascii="宋体" w:hAnsi="宋体" w:eastAsia="宋体" w:cs="宋体"/>
          <w:spacing w:val="-2"/>
          <w:sz w:val="24"/>
          <w:szCs w:val="24"/>
        </w:rPr>
        <w:t>废矿物油（</w:t>
      </w:r>
      <w:r>
        <w:rPr>
          <w:rFonts w:ascii="Times New Roman" w:hAnsi="Times New Roman" w:eastAsia="Times New Roman" w:cs="Times New Roman"/>
          <w:spacing w:val="-2"/>
          <w:sz w:val="24"/>
          <w:szCs w:val="24"/>
        </w:rPr>
        <w:t>S</w:t>
      </w:r>
      <w:r>
        <w:rPr>
          <w:rFonts w:ascii="Times New Roman" w:hAnsi="Times New Roman" w:eastAsia="Times New Roman" w:cs="Times New Roman"/>
          <w:spacing w:val="-2"/>
          <w:position w:val="-1"/>
          <w:sz w:val="15"/>
          <w:szCs w:val="15"/>
        </w:rPr>
        <w:t xml:space="preserve">3 </w:t>
      </w:r>
      <w:r>
        <w:rPr>
          <w:rFonts w:ascii="宋体" w:hAnsi="宋体" w:eastAsia="宋体" w:cs="宋体"/>
          <w:spacing w:val="-24"/>
          <w:sz w:val="24"/>
          <w:szCs w:val="24"/>
        </w:rPr>
        <w:t>）：</w:t>
      </w:r>
      <w:r>
        <w:rPr>
          <w:rFonts w:ascii="宋体" w:hAnsi="宋体" w:eastAsia="宋体" w:cs="宋体"/>
          <w:spacing w:val="-2"/>
          <w:sz w:val="24"/>
          <w:szCs w:val="24"/>
        </w:rPr>
        <w:t>项目设备在进行机械维修的过程中会产生少量的废矿物油，属于</w:t>
      </w:r>
      <w:r>
        <w:rPr>
          <w:rFonts w:ascii="宋体" w:hAnsi="宋体" w:eastAsia="宋体" w:cs="宋体"/>
          <w:spacing w:val="1"/>
          <w:sz w:val="24"/>
          <w:szCs w:val="24"/>
        </w:rPr>
        <w:t xml:space="preserve"> </w:t>
      </w:r>
      <w:r>
        <w:rPr>
          <w:rFonts w:ascii="宋体" w:hAnsi="宋体" w:eastAsia="宋体" w:cs="宋体"/>
          <w:spacing w:val="-1"/>
          <w:sz w:val="24"/>
          <w:szCs w:val="24"/>
        </w:rPr>
        <w:t>危险废物（废物代码：</w:t>
      </w:r>
      <w:r>
        <w:rPr>
          <w:rFonts w:ascii="Times New Roman" w:hAnsi="Times New Roman" w:eastAsia="Times New Roman" w:cs="Times New Roman"/>
          <w:spacing w:val="-1"/>
          <w:sz w:val="24"/>
          <w:szCs w:val="24"/>
        </w:rPr>
        <w:t>HW08</w:t>
      </w:r>
      <w:r>
        <w:rPr>
          <w:rFonts w:ascii="宋体" w:hAnsi="宋体" w:eastAsia="宋体" w:cs="宋体"/>
          <w:spacing w:val="1"/>
          <w:sz w:val="24"/>
          <w:szCs w:val="24"/>
        </w:rPr>
        <w:t>），</w:t>
      </w:r>
      <w:r>
        <w:rPr>
          <w:rFonts w:ascii="宋体" w:hAnsi="宋体" w:eastAsia="宋体" w:cs="宋体"/>
          <w:spacing w:val="-1"/>
          <w:sz w:val="24"/>
          <w:szCs w:val="24"/>
        </w:rPr>
        <w:t>集中收集到厂区危废暂存库，定期由有资质的单位外</w:t>
      </w:r>
      <w:r>
        <w:rPr>
          <w:rFonts w:ascii="宋体" w:hAnsi="宋体" w:eastAsia="宋体" w:cs="宋体"/>
          <w:spacing w:val="1"/>
          <w:sz w:val="24"/>
          <w:szCs w:val="24"/>
        </w:rPr>
        <w:t xml:space="preserve"> </w:t>
      </w:r>
      <w:r>
        <w:rPr>
          <w:rFonts w:ascii="宋体" w:hAnsi="宋体" w:eastAsia="宋体" w:cs="宋体"/>
          <w:spacing w:val="-3"/>
          <w:sz w:val="24"/>
          <w:szCs w:val="24"/>
        </w:rPr>
        <w:t>运处理。</w:t>
      </w:r>
    </w:p>
    <w:p w14:paraId="0B88EB74">
      <w:pPr>
        <w:spacing w:before="87" w:line="220" w:lineRule="auto"/>
        <w:ind w:left="5"/>
        <w:outlineLvl w:val="2"/>
        <w:rPr>
          <w:rFonts w:ascii="宋体" w:hAnsi="宋体" w:eastAsia="宋体" w:cs="宋体"/>
          <w:sz w:val="28"/>
          <w:szCs w:val="28"/>
        </w:rPr>
      </w:pPr>
      <w:bookmarkStart w:id="321" w:name="bookmark110"/>
      <w:bookmarkEnd w:id="321"/>
      <w:r>
        <w:rPr>
          <w:rFonts w:ascii="Times New Roman" w:hAnsi="Times New Roman" w:eastAsia="Times New Roman" w:cs="Times New Roman"/>
          <w:b/>
          <w:bCs/>
          <w:spacing w:val="-3"/>
          <w:sz w:val="28"/>
          <w:szCs w:val="28"/>
        </w:rPr>
        <w:t>2.2.5</w:t>
      </w:r>
      <w:r>
        <w:rPr>
          <w:rFonts w:ascii="Times New Roman" w:hAnsi="Times New Roman" w:eastAsia="Times New Roman" w:cs="Times New Roman"/>
          <w:b/>
          <w:bCs/>
          <w:spacing w:val="20"/>
          <w:sz w:val="28"/>
          <w:szCs w:val="28"/>
        </w:rPr>
        <w:t xml:space="preserve"> </w:t>
      </w:r>
      <w:r>
        <w:rPr>
          <w:rFonts w:ascii="宋体" w:hAnsi="宋体" w:eastAsia="宋体" w:cs="宋体"/>
          <w:b/>
          <w:bCs/>
          <w:spacing w:val="-3"/>
          <w:sz w:val="28"/>
          <w:szCs w:val="28"/>
        </w:rPr>
        <w:t>公辅工程及产排污环节</w:t>
      </w:r>
    </w:p>
    <w:p w14:paraId="412FF469">
      <w:pPr>
        <w:spacing w:before="241" w:line="219" w:lineRule="auto"/>
        <w:ind w:left="4"/>
        <w:outlineLvl w:val="3"/>
        <w:rPr>
          <w:rFonts w:ascii="宋体" w:hAnsi="宋体" w:eastAsia="宋体" w:cs="宋体"/>
          <w:sz w:val="24"/>
          <w:szCs w:val="24"/>
        </w:rPr>
      </w:pPr>
      <w:r>
        <w:fldChar w:fldCharType="begin"/>
      </w:r>
      <w:r>
        <w:instrText xml:space="preserve"> HYPERLINK "2.2.5.1" </w:instrText>
      </w:r>
      <w:r>
        <w:fldChar w:fldCharType="separate"/>
      </w:r>
      <w:r>
        <w:rPr>
          <w:rFonts w:ascii="Times New Roman" w:hAnsi="Times New Roman" w:eastAsia="Times New Roman" w:cs="Times New Roman"/>
          <w:b/>
          <w:bCs/>
          <w:spacing w:val="-3"/>
          <w:sz w:val="24"/>
          <w:szCs w:val="24"/>
        </w:rPr>
        <w:t>2.2.5.1</w:t>
      </w:r>
      <w:r>
        <w:rPr>
          <w:rFonts w:ascii="Times New Roman" w:hAnsi="Times New Roman" w:eastAsia="Times New Roman" w:cs="Times New Roman"/>
          <w:b/>
          <w:bCs/>
          <w:spacing w:val="-3"/>
          <w:sz w:val="24"/>
          <w:szCs w:val="24"/>
        </w:rPr>
        <w:fldChar w:fldCharType="end"/>
      </w:r>
      <w:r>
        <w:rPr>
          <w:rFonts w:ascii="Times New Roman" w:hAnsi="Times New Roman" w:eastAsia="Times New Roman" w:cs="Times New Roman"/>
          <w:b/>
          <w:bCs/>
          <w:spacing w:val="15"/>
          <w:sz w:val="24"/>
          <w:szCs w:val="24"/>
        </w:rPr>
        <w:t xml:space="preserve"> </w:t>
      </w:r>
      <w:r>
        <w:rPr>
          <w:rFonts w:ascii="宋体" w:hAnsi="宋体" w:eastAsia="宋体" w:cs="宋体"/>
          <w:b/>
          <w:bCs/>
          <w:spacing w:val="-3"/>
          <w:sz w:val="24"/>
          <w:szCs w:val="24"/>
        </w:rPr>
        <w:t>给水</w:t>
      </w:r>
    </w:p>
    <w:p w14:paraId="2D180CDF">
      <w:pPr>
        <w:spacing w:before="189" w:line="361" w:lineRule="auto"/>
        <w:ind w:left="7" w:firstLine="480"/>
        <w:rPr>
          <w:rFonts w:ascii="宋体" w:hAnsi="宋体" w:eastAsia="宋体" w:cs="宋体"/>
          <w:sz w:val="24"/>
          <w:szCs w:val="24"/>
        </w:rPr>
      </w:pPr>
      <w:r>
        <w:rPr>
          <w:rFonts w:ascii="宋体" w:hAnsi="宋体" w:eastAsia="宋体" w:cs="宋体"/>
          <w:spacing w:val="1"/>
          <w:sz w:val="24"/>
          <w:szCs w:val="24"/>
        </w:rPr>
        <w:t>根据《内蒙古锡林郭勒苏尼特经济开发区</w:t>
      </w:r>
      <w:r>
        <w:rPr>
          <w:rFonts w:ascii="Times New Roman" w:hAnsi="Times New Roman" w:eastAsia="Times New Roman" w:cs="Times New Roman"/>
          <w:spacing w:val="1"/>
          <w:sz w:val="24"/>
          <w:szCs w:val="24"/>
        </w:rPr>
        <w:t>-</w:t>
      </w:r>
      <w:r>
        <w:rPr>
          <w:rFonts w:ascii="宋体" w:hAnsi="宋体" w:eastAsia="宋体" w:cs="宋体"/>
          <w:spacing w:val="1"/>
          <w:sz w:val="24"/>
          <w:szCs w:val="24"/>
        </w:rPr>
        <w:t>苏尼特右旗产业园、朱日和产业园水资</w:t>
      </w:r>
      <w:r>
        <w:rPr>
          <w:rFonts w:ascii="宋体" w:hAnsi="宋体" w:eastAsia="宋体" w:cs="宋体"/>
          <w:spacing w:val="8"/>
          <w:sz w:val="24"/>
          <w:szCs w:val="24"/>
        </w:rPr>
        <w:t xml:space="preserve"> </w:t>
      </w:r>
      <w:r>
        <w:rPr>
          <w:rFonts w:ascii="宋体" w:hAnsi="宋体" w:eastAsia="宋体" w:cs="宋体"/>
          <w:spacing w:val="-3"/>
          <w:sz w:val="24"/>
          <w:szCs w:val="24"/>
        </w:rPr>
        <w:t>源论证区域评估报告书》及《内蒙古自治区水利厅关于内蒙古锡林郭勒苏尼特经济开发</w:t>
      </w:r>
      <w:r>
        <w:rPr>
          <w:rFonts w:ascii="宋体" w:hAnsi="宋体" w:eastAsia="宋体" w:cs="宋体"/>
          <w:spacing w:val="1"/>
          <w:sz w:val="24"/>
          <w:szCs w:val="24"/>
        </w:rPr>
        <w:t xml:space="preserve"> 区</w:t>
      </w:r>
      <w:r>
        <w:rPr>
          <w:rFonts w:ascii="Times New Roman" w:hAnsi="Times New Roman" w:eastAsia="Times New Roman" w:cs="Times New Roman"/>
          <w:spacing w:val="1"/>
          <w:sz w:val="24"/>
          <w:szCs w:val="24"/>
        </w:rPr>
        <w:t>-</w:t>
      </w:r>
      <w:r>
        <w:rPr>
          <w:rFonts w:ascii="宋体" w:hAnsi="宋体" w:eastAsia="宋体" w:cs="宋体"/>
          <w:spacing w:val="1"/>
          <w:sz w:val="24"/>
          <w:szCs w:val="24"/>
        </w:rPr>
        <w:t>苏尼特右旗产业园、朱日和产业园水资源论证区域评估报告书审查意见的函》（内</w:t>
      </w:r>
      <w:r>
        <w:rPr>
          <w:rFonts w:ascii="宋体" w:hAnsi="宋体" w:eastAsia="宋体" w:cs="宋体"/>
          <w:spacing w:val="9"/>
          <w:sz w:val="24"/>
          <w:szCs w:val="24"/>
        </w:rPr>
        <w:t xml:space="preserve"> </w:t>
      </w:r>
      <w:r>
        <w:rPr>
          <w:rFonts w:ascii="宋体" w:hAnsi="宋体" w:eastAsia="宋体" w:cs="宋体"/>
          <w:spacing w:val="-3"/>
          <w:sz w:val="24"/>
          <w:szCs w:val="24"/>
        </w:rPr>
        <w:t>水资</w:t>
      </w:r>
      <w:r>
        <w:rPr>
          <w:rFonts w:ascii="Times New Roman" w:hAnsi="Times New Roman" w:eastAsia="Times New Roman" w:cs="Times New Roman"/>
          <w:spacing w:val="-3"/>
          <w:sz w:val="24"/>
          <w:szCs w:val="24"/>
        </w:rPr>
        <w:t>[2022]280</w:t>
      </w:r>
      <w:r>
        <w:rPr>
          <w:rFonts w:ascii="Times New Roman" w:hAnsi="Times New Roman" w:eastAsia="Times New Roman" w:cs="Times New Roman"/>
          <w:spacing w:val="16"/>
          <w:w w:val="101"/>
          <w:sz w:val="24"/>
          <w:szCs w:val="24"/>
        </w:rPr>
        <w:t xml:space="preserve"> </w:t>
      </w:r>
      <w:r>
        <w:rPr>
          <w:rFonts w:ascii="宋体" w:hAnsi="宋体" w:eastAsia="宋体" w:cs="宋体"/>
          <w:spacing w:val="-3"/>
          <w:sz w:val="24"/>
          <w:szCs w:val="24"/>
        </w:rPr>
        <w:t>号</w:t>
      </w:r>
      <w:r>
        <w:rPr>
          <w:rFonts w:ascii="宋体" w:hAnsi="宋体" w:eastAsia="宋体" w:cs="宋体"/>
          <w:spacing w:val="-8"/>
          <w:sz w:val="24"/>
          <w:szCs w:val="24"/>
        </w:rPr>
        <w:t>），</w:t>
      </w:r>
      <w:r>
        <w:rPr>
          <w:rFonts w:ascii="宋体" w:hAnsi="宋体" w:eastAsia="宋体" w:cs="宋体"/>
          <w:spacing w:val="-3"/>
          <w:sz w:val="24"/>
          <w:szCs w:val="24"/>
        </w:rPr>
        <w:t>朱日和产业园生活取水水源为朱日和镇自来水（地下水</w:t>
      </w:r>
      <w:r>
        <w:rPr>
          <w:rFonts w:ascii="宋体" w:hAnsi="宋体" w:eastAsia="宋体" w:cs="宋体"/>
          <w:spacing w:val="-8"/>
          <w:sz w:val="24"/>
          <w:szCs w:val="24"/>
        </w:rPr>
        <w:t>），</w:t>
      </w:r>
      <w:r>
        <w:rPr>
          <w:rFonts w:ascii="宋体" w:hAnsi="宋体" w:eastAsia="宋体" w:cs="宋体"/>
          <w:spacing w:val="-3"/>
          <w:sz w:val="24"/>
          <w:szCs w:val="24"/>
        </w:rPr>
        <w:t>生产、</w:t>
      </w:r>
      <w:r>
        <w:rPr>
          <w:rFonts w:ascii="宋体" w:hAnsi="宋体" w:eastAsia="宋体" w:cs="宋体"/>
          <w:sz w:val="24"/>
          <w:szCs w:val="24"/>
        </w:rPr>
        <w:t xml:space="preserve"> 其他用水（生态绿化、道路喷洒用水）取水水源均为赛罕塔拉</w:t>
      </w:r>
      <w:r>
        <w:rPr>
          <w:rFonts w:ascii="宋体" w:hAnsi="宋体" w:eastAsia="宋体" w:cs="宋体"/>
          <w:spacing w:val="-1"/>
          <w:sz w:val="24"/>
          <w:szCs w:val="24"/>
        </w:rPr>
        <w:t>镇污水处理厂再生水。</w:t>
      </w:r>
    </w:p>
    <w:p w14:paraId="26C9FD9C">
      <w:pPr>
        <w:spacing w:before="44" w:line="357" w:lineRule="auto"/>
        <w:ind w:left="7" w:right="80" w:firstLine="481"/>
        <w:rPr>
          <w:rFonts w:ascii="宋体" w:hAnsi="宋体" w:eastAsia="宋体" w:cs="宋体"/>
          <w:sz w:val="24"/>
          <w:szCs w:val="24"/>
        </w:rPr>
      </w:pPr>
      <w:r>
        <w:rPr>
          <w:rFonts w:ascii="宋体" w:hAnsi="宋体" w:eastAsia="宋体" w:cs="宋体"/>
          <w:spacing w:val="-3"/>
          <w:sz w:val="24"/>
          <w:szCs w:val="24"/>
        </w:rPr>
        <w:t>本项目生产、生活用水均由内蒙古锡林郭勒苏尼特经济开发区朱日</w:t>
      </w:r>
      <w:r>
        <w:rPr>
          <w:rFonts w:ascii="宋体" w:hAnsi="宋体" w:eastAsia="宋体" w:cs="宋体"/>
          <w:spacing w:val="-4"/>
          <w:sz w:val="24"/>
          <w:szCs w:val="24"/>
        </w:rPr>
        <w:t>和产业园给水管</w:t>
      </w:r>
      <w:r>
        <w:rPr>
          <w:rFonts w:ascii="宋体" w:hAnsi="宋体" w:eastAsia="宋体" w:cs="宋体"/>
          <w:sz w:val="24"/>
          <w:szCs w:val="24"/>
        </w:rPr>
        <w:t xml:space="preserve"> </w:t>
      </w:r>
      <w:r>
        <w:rPr>
          <w:rFonts w:ascii="宋体" w:hAnsi="宋体" w:eastAsia="宋体" w:cs="宋体"/>
          <w:spacing w:val="-3"/>
          <w:sz w:val="24"/>
          <w:szCs w:val="24"/>
        </w:rPr>
        <w:t>网统一供给，生活用水由园区自来水管网供给，水源为地下水；生产用水来自苏尼特右</w:t>
      </w:r>
      <w:r>
        <w:rPr>
          <w:rFonts w:ascii="宋体" w:hAnsi="宋体" w:eastAsia="宋体" w:cs="宋体"/>
          <w:spacing w:val="1"/>
          <w:sz w:val="24"/>
          <w:szCs w:val="24"/>
        </w:rPr>
        <w:t xml:space="preserve"> </w:t>
      </w:r>
      <w:r>
        <w:rPr>
          <w:rFonts w:ascii="宋体" w:hAnsi="宋体" w:eastAsia="宋体" w:cs="宋体"/>
          <w:spacing w:val="-1"/>
          <w:sz w:val="24"/>
          <w:szCs w:val="24"/>
        </w:rPr>
        <w:t>旗赛罕塔拉镇污水处理厂中水，供水水质满足生产、生活需要。</w:t>
      </w:r>
    </w:p>
    <w:p w14:paraId="67EEAA61">
      <w:pPr>
        <w:spacing w:before="37" w:line="358" w:lineRule="auto"/>
        <w:ind w:left="10" w:right="82" w:firstLine="482"/>
        <w:rPr>
          <w:rFonts w:ascii="宋体" w:hAnsi="宋体" w:eastAsia="宋体" w:cs="宋体"/>
          <w:sz w:val="24"/>
          <w:szCs w:val="24"/>
        </w:rPr>
      </w:pPr>
      <w:r>
        <w:rPr>
          <w:rFonts w:ascii="宋体" w:hAnsi="宋体" w:eastAsia="宋体" w:cs="宋体"/>
          <w:spacing w:val="3"/>
          <w:sz w:val="24"/>
          <w:szCs w:val="24"/>
        </w:rPr>
        <w:t>苏尼特右旗赛罕塔拉镇污水处理厂至锡林郭勒苏尼特经济开发区朱日和产业园中</w:t>
      </w:r>
      <w:r>
        <w:rPr>
          <w:rFonts w:ascii="宋体" w:hAnsi="宋体" w:eastAsia="宋体" w:cs="宋体"/>
          <w:spacing w:val="14"/>
          <w:sz w:val="24"/>
          <w:szCs w:val="24"/>
        </w:rPr>
        <w:t xml:space="preserve"> </w:t>
      </w:r>
      <w:r>
        <w:rPr>
          <w:rFonts w:ascii="宋体" w:hAnsi="宋体" w:eastAsia="宋体" w:cs="宋体"/>
          <w:spacing w:val="-2"/>
          <w:sz w:val="24"/>
          <w:szCs w:val="24"/>
        </w:rPr>
        <w:t>水输送管道工程已基本建设完成，于</w:t>
      </w:r>
      <w:r>
        <w:rPr>
          <w:rFonts w:ascii="宋体" w:hAnsi="宋体" w:eastAsia="宋体" w:cs="宋体"/>
          <w:spacing w:val="-38"/>
          <w:sz w:val="24"/>
          <w:szCs w:val="24"/>
        </w:rPr>
        <w:t xml:space="preserve"> </w:t>
      </w:r>
      <w:r>
        <w:rPr>
          <w:rFonts w:ascii="Times New Roman" w:hAnsi="Times New Roman" w:eastAsia="Times New Roman" w:cs="Times New Roman"/>
          <w:spacing w:val="-2"/>
          <w:sz w:val="24"/>
          <w:szCs w:val="24"/>
        </w:rPr>
        <w:t xml:space="preserve">2023 </w:t>
      </w:r>
      <w:r>
        <w:rPr>
          <w:rFonts w:ascii="宋体" w:hAnsi="宋体" w:eastAsia="宋体" w:cs="宋体"/>
          <w:spacing w:val="-2"/>
          <w:sz w:val="24"/>
          <w:szCs w:val="24"/>
        </w:rPr>
        <w:t>年</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8</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月份开始输水，供水能力为</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7000m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/d</w:t>
      </w:r>
      <w:r>
        <w:rPr>
          <w:rFonts w:ascii="宋体" w:hAnsi="宋体" w:eastAsia="宋体" w:cs="宋体"/>
          <w:spacing w:val="-2"/>
          <w:sz w:val="24"/>
          <w:szCs w:val="24"/>
        </w:rPr>
        <w:t>，</w:t>
      </w:r>
      <w:r>
        <w:rPr>
          <w:rFonts w:ascii="宋体" w:hAnsi="宋体" w:eastAsia="宋体" w:cs="宋体"/>
          <w:sz w:val="24"/>
          <w:szCs w:val="24"/>
        </w:rPr>
        <w:t xml:space="preserve"> </w:t>
      </w:r>
      <w:r>
        <w:rPr>
          <w:rFonts w:ascii="宋体" w:hAnsi="宋体" w:eastAsia="宋体" w:cs="宋体"/>
          <w:spacing w:val="-1"/>
          <w:sz w:val="24"/>
          <w:szCs w:val="24"/>
        </w:rPr>
        <w:t>现有输水管网供水能力可以满足项目使用需求。</w:t>
      </w:r>
    </w:p>
    <w:p w14:paraId="730C35B4">
      <w:pPr>
        <w:spacing w:before="33" w:line="361" w:lineRule="auto"/>
        <w:ind w:left="8" w:right="80" w:firstLine="499"/>
        <w:rPr>
          <w:rFonts w:ascii="宋体" w:hAnsi="宋体" w:eastAsia="宋体" w:cs="宋体"/>
          <w:sz w:val="24"/>
          <w:szCs w:val="24"/>
        </w:rPr>
      </w:pPr>
      <w:r>
        <w:rPr>
          <w:rFonts w:ascii="宋体" w:hAnsi="宋体" w:eastAsia="宋体" w:cs="宋体"/>
          <w:spacing w:val="-1"/>
          <w:sz w:val="24"/>
          <w:szCs w:val="24"/>
        </w:rPr>
        <w:t>园区近期规划水平年</w:t>
      </w:r>
      <w:r>
        <w:rPr>
          <w:rFonts w:ascii="宋体" w:hAnsi="宋体" w:eastAsia="宋体" w:cs="宋体"/>
          <w:spacing w:val="-42"/>
          <w:sz w:val="24"/>
          <w:szCs w:val="24"/>
        </w:rPr>
        <w:t xml:space="preserve"> </w:t>
      </w:r>
      <w:r>
        <w:rPr>
          <w:rFonts w:ascii="Times New Roman" w:hAnsi="Times New Roman" w:eastAsia="Times New Roman" w:cs="Times New Roman"/>
          <w:spacing w:val="-1"/>
          <w:sz w:val="24"/>
          <w:szCs w:val="24"/>
        </w:rPr>
        <w:t>2025</w:t>
      </w:r>
      <w:r>
        <w:rPr>
          <w:rFonts w:ascii="Times New Roman" w:hAnsi="Times New Roman" w:eastAsia="Times New Roman" w:cs="Times New Roman"/>
          <w:spacing w:val="15"/>
          <w:w w:val="101"/>
          <w:sz w:val="24"/>
          <w:szCs w:val="24"/>
        </w:rPr>
        <w:t xml:space="preserve"> </w:t>
      </w:r>
      <w:r>
        <w:rPr>
          <w:rFonts w:ascii="宋体" w:hAnsi="宋体" w:eastAsia="宋体" w:cs="宋体"/>
          <w:spacing w:val="-1"/>
          <w:sz w:val="24"/>
          <w:szCs w:val="24"/>
        </w:rPr>
        <w:t>年朱日和产业园总需水量为</w:t>
      </w:r>
      <w:r>
        <w:rPr>
          <w:rFonts w:ascii="宋体" w:hAnsi="宋体" w:eastAsia="宋体" w:cs="宋体"/>
          <w:spacing w:val="-30"/>
          <w:sz w:val="24"/>
          <w:szCs w:val="24"/>
        </w:rPr>
        <w:t xml:space="preserve"> </w:t>
      </w:r>
      <w:r>
        <w:rPr>
          <w:rFonts w:ascii="Times New Roman" w:hAnsi="Times New Roman" w:eastAsia="Times New Roman" w:cs="Times New Roman"/>
          <w:spacing w:val="-1"/>
          <w:sz w:val="24"/>
          <w:szCs w:val="24"/>
        </w:rPr>
        <w:t>160.15</w:t>
      </w:r>
      <w:r>
        <w:rPr>
          <w:rFonts w:ascii="Times New Roman" w:hAnsi="Times New Roman" w:eastAsia="Times New Roman" w:cs="Times New Roman"/>
          <w:spacing w:val="20"/>
          <w:w w:val="101"/>
          <w:sz w:val="24"/>
          <w:szCs w:val="24"/>
        </w:rPr>
        <w:t xml:space="preserve"> </w:t>
      </w:r>
      <w:r>
        <w:rPr>
          <w:rFonts w:ascii="宋体" w:hAnsi="宋体" w:eastAsia="宋体" w:cs="宋体"/>
          <w:spacing w:val="-1"/>
          <w:sz w:val="24"/>
          <w:szCs w:val="24"/>
        </w:rPr>
        <w:t>万</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7"/>
          <w:sz w:val="15"/>
          <w:szCs w:val="15"/>
        </w:rPr>
        <w:t xml:space="preserve">3 </w:t>
      </w:r>
      <w:r>
        <w:rPr>
          <w:rFonts w:ascii="宋体" w:hAnsi="宋体" w:eastAsia="宋体" w:cs="宋体"/>
          <w:spacing w:val="-1"/>
          <w:sz w:val="24"/>
          <w:szCs w:val="24"/>
        </w:rPr>
        <w:t>，其中，综合</w:t>
      </w:r>
      <w:r>
        <w:rPr>
          <w:rFonts w:ascii="宋体" w:hAnsi="宋体" w:eastAsia="宋体" w:cs="宋体"/>
          <w:sz w:val="24"/>
          <w:szCs w:val="24"/>
        </w:rPr>
        <w:t xml:space="preserve"> </w:t>
      </w:r>
      <w:r>
        <w:rPr>
          <w:rFonts w:ascii="宋体" w:hAnsi="宋体" w:eastAsia="宋体" w:cs="宋体"/>
          <w:spacing w:val="-4"/>
          <w:sz w:val="24"/>
          <w:szCs w:val="24"/>
        </w:rPr>
        <w:t>生活</w:t>
      </w:r>
      <w:r>
        <w:rPr>
          <w:rFonts w:ascii="宋体" w:hAnsi="宋体" w:eastAsia="宋体" w:cs="宋体"/>
          <w:spacing w:val="-27"/>
          <w:sz w:val="24"/>
          <w:szCs w:val="24"/>
        </w:rPr>
        <w:t xml:space="preserve"> </w:t>
      </w:r>
      <w:r>
        <w:rPr>
          <w:rFonts w:ascii="Times New Roman" w:hAnsi="Times New Roman" w:eastAsia="Times New Roman" w:cs="Times New Roman"/>
          <w:spacing w:val="-4"/>
          <w:sz w:val="24"/>
          <w:szCs w:val="24"/>
        </w:rPr>
        <w:t>1.10</w:t>
      </w:r>
      <w:r>
        <w:rPr>
          <w:rFonts w:ascii="Times New Roman" w:hAnsi="Times New Roman" w:eastAsia="Times New Roman" w:cs="Times New Roman"/>
          <w:spacing w:val="18"/>
          <w:sz w:val="24"/>
          <w:szCs w:val="24"/>
        </w:rPr>
        <w:t xml:space="preserve"> </w:t>
      </w:r>
      <w:r>
        <w:rPr>
          <w:rFonts w:ascii="宋体" w:hAnsi="宋体" w:eastAsia="宋体" w:cs="宋体"/>
          <w:spacing w:val="-4"/>
          <w:sz w:val="24"/>
          <w:szCs w:val="24"/>
        </w:rPr>
        <w:t>万</w:t>
      </w:r>
      <w:r>
        <w:rPr>
          <w:rFonts w:ascii="宋体" w:hAnsi="宋体" w:eastAsia="宋体" w:cs="宋体"/>
          <w:spacing w:val="-56"/>
          <w:sz w:val="24"/>
          <w:szCs w:val="24"/>
        </w:rPr>
        <w:t xml:space="preserve"> </w:t>
      </w:r>
      <w:r>
        <w:rPr>
          <w:rFonts w:ascii="Times New Roman" w:hAnsi="Times New Roman" w:eastAsia="Times New Roman" w:cs="Times New Roman"/>
          <w:spacing w:val="-4"/>
          <w:sz w:val="24"/>
          <w:szCs w:val="24"/>
        </w:rPr>
        <w:t>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10"/>
          <w:position w:val="7"/>
          <w:sz w:val="15"/>
          <w:szCs w:val="15"/>
        </w:rPr>
        <w:t xml:space="preserve"> </w:t>
      </w:r>
      <w:r>
        <w:rPr>
          <w:rFonts w:ascii="宋体" w:hAnsi="宋体" w:eastAsia="宋体" w:cs="宋体"/>
          <w:spacing w:val="-4"/>
          <w:sz w:val="24"/>
          <w:szCs w:val="24"/>
        </w:rPr>
        <w:t>、生产</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158.40</w:t>
      </w:r>
      <w:r>
        <w:rPr>
          <w:rFonts w:ascii="Times New Roman" w:hAnsi="Times New Roman" w:eastAsia="Times New Roman" w:cs="Times New Roman"/>
          <w:spacing w:val="18"/>
          <w:sz w:val="24"/>
          <w:szCs w:val="24"/>
        </w:rPr>
        <w:t xml:space="preserve"> </w:t>
      </w:r>
      <w:r>
        <w:rPr>
          <w:rFonts w:ascii="宋体" w:hAnsi="宋体" w:eastAsia="宋体" w:cs="宋体"/>
          <w:spacing w:val="-4"/>
          <w:sz w:val="24"/>
          <w:szCs w:val="24"/>
        </w:rPr>
        <w:t>万</w:t>
      </w:r>
      <w:r>
        <w:rPr>
          <w:rFonts w:ascii="宋体" w:hAnsi="宋体" w:eastAsia="宋体" w:cs="宋体"/>
          <w:spacing w:val="-56"/>
          <w:sz w:val="24"/>
          <w:szCs w:val="24"/>
        </w:rPr>
        <w:t xml:space="preserve"> </w:t>
      </w:r>
      <w:r>
        <w:rPr>
          <w:rFonts w:ascii="Times New Roman" w:hAnsi="Times New Roman" w:eastAsia="Times New Roman" w:cs="Times New Roman"/>
          <w:spacing w:val="-4"/>
          <w:sz w:val="24"/>
          <w:szCs w:val="24"/>
        </w:rPr>
        <w:t>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10"/>
          <w:position w:val="7"/>
          <w:sz w:val="15"/>
          <w:szCs w:val="15"/>
        </w:rPr>
        <w:t xml:space="preserve"> </w:t>
      </w:r>
      <w:r>
        <w:rPr>
          <w:rFonts w:ascii="宋体" w:hAnsi="宋体" w:eastAsia="宋体" w:cs="宋体"/>
          <w:spacing w:val="-4"/>
          <w:sz w:val="24"/>
          <w:szCs w:val="24"/>
        </w:rPr>
        <w:t>、其他</w:t>
      </w:r>
      <w:r>
        <w:rPr>
          <w:rFonts w:ascii="宋体" w:hAnsi="宋体" w:eastAsia="宋体" w:cs="宋体"/>
          <w:spacing w:val="-49"/>
          <w:sz w:val="24"/>
          <w:szCs w:val="24"/>
        </w:rPr>
        <w:t xml:space="preserve"> </w:t>
      </w:r>
      <w:r>
        <w:rPr>
          <w:rFonts w:ascii="Times New Roman" w:hAnsi="Times New Roman" w:eastAsia="Times New Roman" w:cs="Times New Roman"/>
          <w:spacing w:val="-4"/>
          <w:sz w:val="24"/>
          <w:szCs w:val="24"/>
        </w:rPr>
        <w:t>0.65</w:t>
      </w:r>
      <w:r>
        <w:rPr>
          <w:rFonts w:ascii="Times New Roman" w:hAnsi="Times New Roman" w:eastAsia="Times New Roman" w:cs="Times New Roman"/>
          <w:spacing w:val="17"/>
          <w:w w:val="101"/>
          <w:sz w:val="24"/>
          <w:szCs w:val="24"/>
        </w:rPr>
        <w:t xml:space="preserve"> </w:t>
      </w:r>
      <w:r>
        <w:rPr>
          <w:rFonts w:ascii="宋体" w:hAnsi="宋体" w:eastAsia="宋体" w:cs="宋体"/>
          <w:spacing w:val="-4"/>
          <w:sz w:val="24"/>
          <w:szCs w:val="24"/>
        </w:rPr>
        <w:t>万</w:t>
      </w:r>
      <w:r>
        <w:rPr>
          <w:rFonts w:ascii="宋体" w:hAnsi="宋体" w:eastAsia="宋体" w:cs="宋体"/>
          <w:spacing w:val="-56"/>
          <w:sz w:val="24"/>
          <w:szCs w:val="24"/>
        </w:rPr>
        <w:t xml:space="preserve"> </w:t>
      </w:r>
      <w:r>
        <w:rPr>
          <w:rFonts w:ascii="Times New Roman" w:hAnsi="Times New Roman" w:eastAsia="Times New Roman" w:cs="Times New Roman"/>
          <w:spacing w:val="-4"/>
          <w:sz w:val="24"/>
          <w:szCs w:val="24"/>
        </w:rPr>
        <w:t>m</w:t>
      </w:r>
      <w:r>
        <w:rPr>
          <w:rFonts w:ascii="Times New Roman" w:hAnsi="Times New Roman" w:eastAsia="Times New Roman" w:cs="Times New Roman"/>
          <w:spacing w:val="-4"/>
          <w:position w:val="7"/>
          <w:sz w:val="15"/>
          <w:szCs w:val="15"/>
        </w:rPr>
        <w:t xml:space="preserve">3 </w:t>
      </w:r>
      <w:r>
        <w:rPr>
          <w:rFonts w:ascii="宋体" w:hAnsi="宋体" w:eastAsia="宋体" w:cs="宋体"/>
          <w:spacing w:val="-4"/>
          <w:sz w:val="24"/>
          <w:szCs w:val="24"/>
        </w:rPr>
        <w:t>；远期规划水平年</w:t>
      </w:r>
      <w:r>
        <w:rPr>
          <w:rFonts w:ascii="宋体" w:hAnsi="宋体" w:eastAsia="宋体" w:cs="宋体"/>
          <w:spacing w:val="-52"/>
          <w:sz w:val="24"/>
          <w:szCs w:val="24"/>
        </w:rPr>
        <w:t xml:space="preserve"> </w:t>
      </w:r>
      <w:r>
        <w:rPr>
          <w:rFonts w:ascii="Times New Roman" w:hAnsi="Times New Roman" w:eastAsia="Times New Roman" w:cs="Times New Roman"/>
          <w:spacing w:val="-4"/>
          <w:sz w:val="24"/>
          <w:szCs w:val="24"/>
        </w:rPr>
        <w:t>2035</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年朱日和</w:t>
      </w:r>
      <w:r>
        <w:rPr>
          <w:rFonts w:ascii="宋体" w:hAnsi="宋体" w:eastAsia="宋体" w:cs="宋体"/>
          <w:sz w:val="24"/>
          <w:szCs w:val="24"/>
        </w:rPr>
        <w:t xml:space="preserve"> </w:t>
      </w:r>
      <w:r>
        <w:rPr>
          <w:rFonts w:ascii="宋体" w:hAnsi="宋体" w:eastAsia="宋体" w:cs="宋体"/>
          <w:spacing w:val="-6"/>
          <w:sz w:val="24"/>
          <w:szCs w:val="24"/>
        </w:rPr>
        <w:t>产业园总需水量为</w:t>
      </w:r>
      <w:r>
        <w:rPr>
          <w:rFonts w:ascii="宋体" w:hAnsi="宋体" w:eastAsia="宋体" w:cs="宋体"/>
          <w:spacing w:val="-22"/>
          <w:sz w:val="24"/>
          <w:szCs w:val="24"/>
        </w:rPr>
        <w:t xml:space="preserve"> </w:t>
      </w:r>
      <w:r>
        <w:rPr>
          <w:rFonts w:ascii="Times New Roman" w:hAnsi="Times New Roman" w:eastAsia="Times New Roman" w:cs="Times New Roman"/>
          <w:spacing w:val="-6"/>
          <w:sz w:val="24"/>
          <w:szCs w:val="24"/>
        </w:rPr>
        <w:t>163.11</w:t>
      </w:r>
      <w:r>
        <w:rPr>
          <w:rFonts w:ascii="Times New Roman" w:hAnsi="Times New Roman" w:eastAsia="Times New Roman" w:cs="Times New Roman"/>
          <w:spacing w:val="15"/>
          <w:sz w:val="24"/>
          <w:szCs w:val="24"/>
        </w:rPr>
        <w:t xml:space="preserve"> </w:t>
      </w:r>
      <w:r>
        <w:rPr>
          <w:rFonts w:ascii="宋体" w:hAnsi="宋体" w:eastAsia="宋体" w:cs="宋体"/>
          <w:spacing w:val="-6"/>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6"/>
          <w:sz w:val="24"/>
          <w:szCs w:val="24"/>
        </w:rPr>
        <w:t>m</w:t>
      </w:r>
      <w:r>
        <w:rPr>
          <w:rFonts w:ascii="Times New Roman" w:hAnsi="Times New Roman" w:eastAsia="Times New Roman" w:cs="Times New Roman"/>
          <w:spacing w:val="-6"/>
          <w:position w:val="7"/>
          <w:sz w:val="15"/>
          <w:szCs w:val="15"/>
        </w:rPr>
        <w:t>3</w:t>
      </w:r>
      <w:r>
        <w:rPr>
          <w:rFonts w:ascii="Times New Roman" w:hAnsi="Times New Roman" w:eastAsia="Times New Roman" w:cs="Times New Roman"/>
          <w:spacing w:val="-10"/>
          <w:position w:val="7"/>
          <w:sz w:val="15"/>
          <w:szCs w:val="15"/>
        </w:rPr>
        <w:t xml:space="preserve"> </w:t>
      </w:r>
      <w:r>
        <w:rPr>
          <w:rFonts w:ascii="宋体" w:hAnsi="宋体" w:eastAsia="宋体" w:cs="宋体"/>
          <w:spacing w:val="-6"/>
          <w:sz w:val="24"/>
          <w:szCs w:val="24"/>
        </w:rPr>
        <w:t>，其中，综合生活</w:t>
      </w:r>
      <w:r>
        <w:rPr>
          <w:rFonts w:ascii="宋体" w:hAnsi="宋体" w:eastAsia="宋体" w:cs="宋体"/>
          <w:spacing w:val="-32"/>
          <w:sz w:val="24"/>
          <w:szCs w:val="24"/>
        </w:rPr>
        <w:t xml:space="preserve"> </w:t>
      </w:r>
      <w:r>
        <w:rPr>
          <w:rFonts w:ascii="Times New Roman" w:hAnsi="Times New Roman" w:eastAsia="Times New Roman" w:cs="Times New Roman"/>
          <w:spacing w:val="-6"/>
          <w:sz w:val="24"/>
          <w:szCs w:val="24"/>
        </w:rPr>
        <w:t>1.34</w:t>
      </w:r>
      <w:r>
        <w:rPr>
          <w:rFonts w:ascii="Times New Roman" w:hAnsi="Times New Roman" w:eastAsia="Times New Roman" w:cs="Times New Roman"/>
          <w:spacing w:val="15"/>
          <w:w w:val="101"/>
          <w:sz w:val="24"/>
          <w:szCs w:val="24"/>
        </w:rPr>
        <w:t xml:space="preserve"> </w:t>
      </w:r>
      <w:r>
        <w:rPr>
          <w:rFonts w:ascii="宋体" w:hAnsi="宋体" w:eastAsia="宋体" w:cs="宋体"/>
          <w:spacing w:val="-6"/>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6"/>
          <w:sz w:val="24"/>
          <w:szCs w:val="24"/>
        </w:rPr>
        <w:t>m</w:t>
      </w:r>
      <w:r>
        <w:rPr>
          <w:rFonts w:ascii="Times New Roman" w:hAnsi="Times New Roman" w:eastAsia="Times New Roman" w:cs="Times New Roman"/>
          <w:spacing w:val="-6"/>
          <w:position w:val="7"/>
          <w:sz w:val="15"/>
          <w:szCs w:val="15"/>
        </w:rPr>
        <w:t>3</w:t>
      </w:r>
      <w:r>
        <w:rPr>
          <w:rFonts w:ascii="Times New Roman" w:hAnsi="Times New Roman" w:eastAsia="Times New Roman" w:cs="Times New Roman"/>
          <w:spacing w:val="-13"/>
          <w:position w:val="7"/>
          <w:sz w:val="15"/>
          <w:szCs w:val="15"/>
        </w:rPr>
        <w:t xml:space="preserve"> </w:t>
      </w:r>
      <w:r>
        <w:rPr>
          <w:rFonts w:ascii="宋体" w:hAnsi="宋体" w:eastAsia="宋体" w:cs="宋体"/>
          <w:spacing w:val="-6"/>
          <w:sz w:val="24"/>
          <w:szCs w:val="24"/>
        </w:rPr>
        <w:t>、生产</w:t>
      </w:r>
      <w:r>
        <w:rPr>
          <w:rFonts w:ascii="宋体" w:hAnsi="宋体" w:eastAsia="宋体" w:cs="宋体"/>
          <w:spacing w:val="-32"/>
          <w:sz w:val="24"/>
          <w:szCs w:val="24"/>
        </w:rPr>
        <w:t xml:space="preserve"> </w:t>
      </w:r>
      <w:r>
        <w:rPr>
          <w:rFonts w:ascii="Times New Roman" w:hAnsi="Times New Roman" w:eastAsia="Times New Roman" w:cs="Times New Roman"/>
          <w:spacing w:val="-6"/>
          <w:sz w:val="24"/>
          <w:szCs w:val="24"/>
        </w:rPr>
        <w:t>160.61</w:t>
      </w:r>
      <w:r>
        <w:rPr>
          <w:rFonts w:ascii="Times New Roman" w:hAnsi="Times New Roman" w:eastAsia="Times New Roman" w:cs="Times New Roman"/>
          <w:spacing w:val="15"/>
          <w:w w:val="101"/>
          <w:sz w:val="24"/>
          <w:szCs w:val="24"/>
        </w:rPr>
        <w:t xml:space="preserve"> </w:t>
      </w:r>
      <w:r>
        <w:rPr>
          <w:rFonts w:ascii="宋体" w:hAnsi="宋体" w:eastAsia="宋体" w:cs="宋体"/>
          <w:spacing w:val="-6"/>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6"/>
          <w:sz w:val="24"/>
          <w:szCs w:val="24"/>
        </w:rPr>
        <w:t>m</w:t>
      </w:r>
      <w:r>
        <w:rPr>
          <w:rFonts w:ascii="Times New Roman" w:hAnsi="Times New Roman" w:eastAsia="Times New Roman" w:cs="Times New Roman"/>
          <w:spacing w:val="-6"/>
          <w:position w:val="7"/>
          <w:sz w:val="15"/>
          <w:szCs w:val="15"/>
        </w:rPr>
        <w:t>3</w:t>
      </w:r>
      <w:r>
        <w:rPr>
          <w:rFonts w:ascii="Times New Roman" w:hAnsi="Times New Roman" w:eastAsia="Times New Roman" w:cs="Times New Roman"/>
          <w:spacing w:val="-13"/>
          <w:position w:val="7"/>
          <w:sz w:val="15"/>
          <w:szCs w:val="15"/>
        </w:rPr>
        <w:t xml:space="preserve"> </w:t>
      </w:r>
      <w:r>
        <w:rPr>
          <w:rFonts w:ascii="宋体" w:hAnsi="宋体" w:eastAsia="宋体" w:cs="宋体"/>
          <w:spacing w:val="-6"/>
          <w:sz w:val="24"/>
          <w:szCs w:val="24"/>
        </w:rPr>
        <w:t>、其他</w:t>
      </w:r>
      <w:r>
        <w:rPr>
          <w:rFonts w:ascii="宋体" w:hAnsi="宋体" w:eastAsia="宋体" w:cs="宋体"/>
          <w:sz w:val="24"/>
          <w:szCs w:val="24"/>
        </w:rPr>
        <w:t xml:space="preserve"> </w:t>
      </w:r>
      <w:r>
        <w:rPr>
          <w:rFonts w:ascii="Times New Roman" w:hAnsi="Times New Roman" w:eastAsia="Times New Roman" w:cs="Times New Roman"/>
          <w:spacing w:val="-3"/>
          <w:sz w:val="24"/>
          <w:szCs w:val="24"/>
        </w:rPr>
        <w:t>1.16</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3"/>
          <w:sz w:val="24"/>
          <w:szCs w:val="24"/>
        </w:rPr>
        <w:t>m</w:t>
      </w:r>
      <w:r>
        <w:rPr>
          <w:rFonts w:ascii="Times New Roman" w:hAnsi="Times New Roman" w:eastAsia="Times New Roman" w:cs="Times New Roman"/>
          <w:spacing w:val="-3"/>
          <w:position w:val="7"/>
          <w:sz w:val="15"/>
          <w:szCs w:val="15"/>
        </w:rPr>
        <w:t>3</w:t>
      </w:r>
      <w:r>
        <w:rPr>
          <w:rFonts w:ascii="宋体" w:hAnsi="宋体" w:eastAsia="宋体" w:cs="宋体"/>
          <w:spacing w:val="-3"/>
          <w:sz w:val="24"/>
          <w:szCs w:val="24"/>
        </w:rPr>
        <w:t>。</w:t>
      </w:r>
    </w:p>
    <w:p w14:paraId="071BBE9F">
      <w:pPr>
        <w:spacing w:before="29" w:line="362" w:lineRule="auto"/>
        <w:ind w:left="6" w:right="18" w:firstLine="481"/>
        <w:jc w:val="both"/>
        <w:rPr>
          <w:rFonts w:ascii="宋体" w:hAnsi="宋体" w:eastAsia="宋体" w:cs="宋体"/>
          <w:sz w:val="24"/>
          <w:szCs w:val="24"/>
        </w:rPr>
      </w:pPr>
      <w:r>
        <w:rPr>
          <w:rFonts w:ascii="宋体" w:hAnsi="宋体" w:eastAsia="宋体" w:cs="宋体"/>
          <w:spacing w:val="-3"/>
          <w:sz w:val="24"/>
          <w:szCs w:val="24"/>
        </w:rPr>
        <w:t>考虑各种损失后，近期规划水平年</w:t>
      </w:r>
      <w:r>
        <w:rPr>
          <w:rFonts w:ascii="宋体" w:hAnsi="宋体" w:eastAsia="宋体" w:cs="宋体"/>
          <w:spacing w:val="-53"/>
          <w:sz w:val="24"/>
          <w:szCs w:val="24"/>
        </w:rPr>
        <w:t xml:space="preserve"> </w:t>
      </w:r>
      <w:r>
        <w:rPr>
          <w:rFonts w:ascii="Times New Roman" w:hAnsi="Times New Roman" w:eastAsia="Times New Roman" w:cs="Times New Roman"/>
          <w:spacing w:val="-3"/>
          <w:sz w:val="24"/>
          <w:szCs w:val="24"/>
        </w:rPr>
        <w:t xml:space="preserve">2025 </w:t>
      </w:r>
      <w:r>
        <w:rPr>
          <w:rFonts w:ascii="宋体" w:hAnsi="宋体" w:eastAsia="宋体" w:cs="宋体"/>
          <w:spacing w:val="-3"/>
          <w:sz w:val="24"/>
          <w:szCs w:val="24"/>
        </w:rPr>
        <w:t>年朱日和产业园可供水量为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170.69</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3"/>
          <w:sz w:val="24"/>
          <w:szCs w:val="24"/>
        </w:rPr>
        <w:t>m</w:t>
      </w:r>
      <w:r>
        <w:rPr>
          <w:rFonts w:ascii="Times New Roman" w:hAnsi="Times New Roman" w:eastAsia="Times New Roman" w:cs="Times New Roman"/>
          <w:spacing w:val="-3"/>
          <w:position w:val="7"/>
          <w:sz w:val="15"/>
          <w:szCs w:val="15"/>
        </w:rPr>
        <w:t>3</w:t>
      </w:r>
      <w:r>
        <w:rPr>
          <w:rFonts w:ascii="宋体" w:hAnsi="宋体" w:eastAsia="宋体" w:cs="宋体"/>
          <w:spacing w:val="-3"/>
          <w:sz w:val="24"/>
          <w:szCs w:val="24"/>
        </w:rPr>
        <w:t>，</w:t>
      </w:r>
      <w:r>
        <w:rPr>
          <w:rFonts w:ascii="宋体" w:hAnsi="宋体" w:eastAsia="宋体" w:cs="宋体"/>
          <w:sz w:val="24"/>
          <w:szCs w:val="24"/>
        </w:rPr>
        <w:t xml:space="preserve"> </w:t>
      </w:r>
      <w:r>
        <w:rPr>
          <w:rFonts w:ascii="宋体" w:hAnsi="宋体" w:eastAsia="宋体" w:cs="宋体"/>
          <w:spacing w:val="-4"/>
          <w:sz w:val="24"/>
          <w:szCs w:val="24"/>
        </w:rPr>
        <w:t>其中地下水</w:t>
      </w:r>
      <w:r>
        <w:rPr>
          <w:rFonts w:ascii="宋体" w:hAnsi="宋体" w:eastAsia="宋体" w:cs="宋体"/>
          <w:spacing w:val="-35"/>
          <w:sz w:val="24"/>
          <w:szCs w:val="24"/>
        </w:rPr>
        <w:t xml:space="preserve"> </w:t>
      </w:r>
      <w:r>
        <w:rPr>
          <w:rFonts w:ascii="Times New Roman" w:hAnsi="Times New Roman" w:eastAsia="Times New Roman" w:cs="Times New Roman"/>
          <w:spacing w:val="-4"/>
          <w:sz w:val="24"/>
          <w:szCs w:val="24"/>
        </w:rPr>
        <w:t>3.27</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4"/>
          <w:sz w:val="24"/>
          <w:szCs w:val="24"/>
        </w:rPr>
        <w:t>m</w:t>
      </w:r>
      <w:r>
        <w:rPr>
          <w:rFonts w:ascii="Times New Roman" w:hAnsi="Times New Roman" w:eastAsia="Times New Roman" w:cs="Times New Roman"/>
          <w:spacing w:val="-4"/>
          <w:position w:val="8"/>
          <w:sz w:val="15"/>
          <w:szCs w:val="15"/>
        </w:rPr>
        <w:t>3</w:t>
      </w:r>
      <w:r>
        <w:rPr>
          <w:rFonts w:ascii="Times New Roman" w:hAnsi="Times New Roman" w:eastAsia="Times New Roman" w:cs="Times New Roman"/>
          <w:spacing w:val="-10"/>
          <w:position w:val="8"/>
          <w:sz w:val="15"/>
          <w:szCs w:val="15"/>
        </w:rPr>
        <w:t xml:space="preserve"> </w:t>
      </w:r>
      <w:r>
        <w:rPr>
          <w:rFonts w:ascii="宋体" w:hAnsi="宋体" w:eastAsia="宋体" w:cs="宋体"/>
          <w:spacing w:val="-4"/>
          <w:sz w:val="24"/>
          <w:szCs w:val="24"/>
        </w:rPr>
        <w:t>，再生水</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167.42</w:t>
      </w:r>
      <w:r>
        <w:rPr>
          <w:rFonts w:ascii="Times New Roman" w:hAnsi="Times New Roman" w:eastAsia="Times New Roman" w:cs="Times New Roman"/>
          <w:spacing w:val="15"/>
          <w:w w:val="101"/>
          <w:sz w:val="24"/>
          <w:szCs w:val="24"/>
        </w:rPr>
        <w:t xml:space="preserve"> </w:t>
      </w:r>
      <w:r>
        <w:rPr>
          <w:rFonts w:ascii="宋体" w:hAnsi="宋体" w:eastAsia="宋体" w:cs="宋体"/>
          <w:spacing w:val="-4"/>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4"/>
          <w:sz w:val="24"/>
          <w:szCs w:val="24"/>
        </w:rPr>
        <w:t>m</w:t>
      </w:r>
      <w:r>
        <w:rPr>
          <w:rFonts w:ascii="Times New Roman" w:hAnsi="Times New Roman" w:eastAsia="Times New Roman" w:cs="Times New Roman"/>
          <w:spacing w:val="-4"/>
          <w:position w:val="8"/>
          <w:sz w:val="15"/>
          <w:szCs w:val="15"/>
        </w:rPr>
        <w:t>3</w:t>
      </w:r>
      <w:r>
        <w:rPr>
          <w:rFonts w:ascii="Times New Roman" w:hAnsi="Times New Roman" w:eastAsia="Times New Roman" w:cs="Times New Roman"/>
          <w:spacing w:val="-9"/>
          <w:position w:val="8"/>
          <w:sz w:val="15"/>
          <w:szCs w:val="15"/>
        </w:rPr>
        <w:t xml:space="preserve"> </w:t>
      </w:r>
      <w:r>
        <w:rPr>
          <w:rFonts w:ascii="宋体" w:hAnsi="宋体" w:eastAsia="宋体" w:cs="宋体"/>
          <w:spacing w:val="-4"/>
          <w:sz w:val="24"/>
          <w:szCs w:val="24"/>
        </w:rPr>
        <w:t>；远期规划水平</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2035 </w:t>
      </w:r>
      <w:r>
        <w:rPr>
          <w:rFonts w:ascii="宋体" w:hAnsi="宋体" w:eastAsia="宋体" w:cs="宋体"/>
          <w:spacing w:val="-4"/>
          <w:sz w:val="24"/>
          <w:szCs w:val="24"/>
        </w:rPr>
        <w:t>年朱日和产业园可供</w:t>
      </w:r>
      <w:r>
        <w:rPr>
          <w:rFonts w:ascii="宋体" w:hAnsi="宋体" w:eastAsia="宋体" w:cs="宋体"/>
          <w:sz w:val="24"/>
          <w:szCs w:val="24"/>
        </w:rPr>
        <w:t xml:space="preserve"> </w:t>
      </w:r>
      <w:r>
        <w:rPr>
          <w:rFonts w:ascii="宋体" w:hAnsi="宋体" w:eastAsia="宋体" w:cs="宋体"/>
          <w:spacing w:val="-5"/>
          <w:sz w:val="24"/>
          <w:szCs w:val="24"/>
        </w:rPr>
        <w:t>水量为</w:t>
      </w:r>
      <w:r>
        <w:rPr>
          <w:rFonts w:ascii="宋体" w:hAnsi="宋体" w:eastAsia="宋体" w:cs="宋体"/>
          <w:spacing w:val="-14"/>
          <w:sz w:val="24"/>
          <w:szCs w:val="24"/>
        </w:rPr>
        <w:t xml:space="preserve"> </w:t>
      </w:r>
      <w:r>
        <w:rPr>
          <w:rFonts w:ascii="Times New Roman" w:hAnsi="Times New Roman" w:eastAsia="Times New Roman" w:cs="Times New Roman"/>
          <w:spacing w:val="-5"/>
          <w:sz w:val="24"/>
          <w:szCs w:val="24"/>
        </w:rPr>
        <w:t>172.15</w:t>
      </w:r>
      <w:r>
        <w:rPr>
          <w:rFonts w:ascii="Times New Roman" w:hAnsi="Times New Roman" w:eastAsia="Times New Roman" w:cs="Times New Roman"/>
          <w:spacing w:val="15"/>
          <w:sz w:val="24"/>
          <w:szCs w:val="24"/>
        </w:rPr>
        <w:t xml:space="preserve"> </w:t>
      </w:r>
      <w:r>
        <w:rPr>
          <w:rFonts w:ascii="宋体" w:hAnsi="宋体" w:eastAsia="宋体" w:cs="宋体"/>
          <w:spacing w:val="-5"/>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5"/>
          <w:sz w:val="24"/>
          <w:szCs w:val="24"/>
        </w:rPr>
        <w:t>m</w:t>
      </w:r>
      <w:r>
        <w:rPr>
          <w:rFonts w:ascii="Times New Roman" w:hAnsi="Times New Roman" w:eastAsia="Times New Roman" w:cs="Times New Roman"/>
          <w:spacing w:val="-5"/>
          <w:position w:val="7"/>
          <w:sz w:val="15"/>
          <w:szCs w:val="15"/>
        </w:rPr>
        <w:t>3</w:t>
      </w:r>
      <w:r>
        <w:rPr>
          <w:rFonts w:ascii="宋体" w:hAnsi="宋体" w:eastAsia="宋体" w:cs="宋体"/>
          <w:spacing w:val="-5"/>
          <w:sz w:val="24"/>
          <w:szCs w:val="24"/>
        </w:rPr>
        <w:t>，其中地下水</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1.87</w:t>
      </w:r>
      <w:r>
        <w:rPr>
          <w:rFonts w:ascii="Times New Roman" w:hAnsi="Times New Roman" w:eastAsia="Times New Roman" w:cs="Times New Roman"/>
          <w:spacing w:val="15"/>
          <w:sz w:val="24"/>
          <w:szCs w:val="24"/>
        </w:rPr>
        <w:t xml:space="preserve"> </w:t>
      </w:r>
      <w:r>
        <w:rPr>
          <w:rFonts w:ascii="宋体" w:hAnsi="宋体" w:eastAsia="宋体" w:cs="宋体"/>
          <w:spacing w:val="-5"/>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5"/>
          <w:sz w:val="24"/>
          <w:szCs w:val="24"/>
        </w:rPr>
        <w:t>m</w:t>
      </w:r>
      <w:r>
        <w:rPr>
          <w:rFonts w:ascii="Times New Roman" w:hAnsi="Times New Roman" w:eastAsia="Times New Roman" w:cs="Times New Roman"/>
          <w:spacing w:val="-5"/>
          <w:position w:val="7"/>
          <w:sz w:val="15"/>
          <w:szCs w:val="15"/>
        </w:rPr>
        <w:t>3</w:t>
      </w:r>
      <w:r>
        <w:rPr>
          <w:rFonts w:ascii="Times New Roman" w:hAnsi="Times New Roman" w:eastAsia="Times New Roman" w:cs="Times New Roman"/>
          <w:spacing w:val="-13"/>
          <w:position w:val="7"/>
          <w:sz w:val="15"/>
          <w:szCs w:val="15"/>
        </w:rPr>
        <w:t xml:space="preserve"> </w:t>
      </w:r>
      <w:r>
        <w:rPr>
          <w:rFonts w:ascii="宋体" w:hAnsi="宋体" w:eastAsia="宋体" w:cs="宋体"/>
          <w:spacing w:val="-5"/>
          <w:sz w:val="24"/>
          <w:szCs w:val="24"/>
        </w:rPr>
        <w:t>、再生水</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170.28</w:t>
      </w:r>
      <w:r>
        <w:rPr>
          <w:rFonts w:ascii="Times New Roman" w:hAnsi="Times New Roman" w:eastAsia="Times New Roman" w:cs="Times New Roman"/>
          <w:spacing w:val="15"/>
          <w:w w:val="101"/>
          <w:sz w:val="24"/>
          <w:szCs w:val="24"/>
        </w:rPr>
        <w:t xml:space="preserve"> </w:t>
      </w:r>
      <w:r>
        <w:rPr>
          <w:rFonts w:ascii="宋体" w:hAnsi="宋体" w:eastAsia="宋体" w:cs="宋体"/>
          <w:spacing w:val="-5"/>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5"/>
          <w:sz w:val="24"/>
          <w:szCs w:val="24"/>
        </w:rPr>
        <w:t>m</w:t>
      </w:r>
      <w:r>
        <w:rPr>
          <w:rFonts w:ascii="Times New Roman" w:hAnsi="Times New Roman" w:eastAsia="Times New Roman" w:cs="Times New Roman"/>
          <w:spacing w:val="-5"/>
          <w:position w:val="7"/>
          <w:sz w:val="15"/>
          <w:szCs w:val="15"/>
        </w:rPr>
        <w:t>3</w:t>
      </w:r>
      <w:r>
        <w:rPr>
          <w:rFonts w:ascii="宋体" w:hAnsi="宋体" w:eastAsia="宋体" w:cs="宋体"/>
          <w:spacing w:val="-5"/>
          <w:sz w:val="24"/>
          <w:szCs w:val="24"/>
        </w:rPr>
        <w:t>。根据水资源优化配</w:t>
      </w:r>
      <w:r>
        <w:rPr>
          <w:rFonts w:ascii="宋体" w:hAnsi="宋体" w:eastAsia="宋体" w:cs="宋体"/>
          <w:sz w:val="24"/>
          <w:szCs w:val="24"/>
        </w:rPr>
        <w:t xml:space="preserve"> </w:t>
      </w:r>
      <w:r>
        <w:rPr>
          <w:rFonts w:ascii="宋体" w:hAnsi="宋体" w:eastAsia="宋体" w:cs="宋体"/>
          <w:spacing w:val="-3"/>
          <w:sz w:val="24"/>
          <w:szCs w:val="24"/>
        </w:rPr>
        <w:t>置原则进行供需平衡分析，朱日和产业园</w:t>
      </w:r>
      <w:r>
        <w:rPr>
          <w:rFonts w:ascii="宋体" w:hAnsi="宋体" w:eastAsia="宋体" w:cs="宋体"/>
          <w:spacing w:val="-48"/>
          <w:sz w:val="24"/>
          <w:szCs w:val="24"/>
        </w:rPr>
        <w:t xml:space="preserve"> </w:t>
      </w:r>
      <w:r>
        <w:rPr>
          <w:rFonts w:ascii="Times New Roman" w:hAnsi="Times New Roman" w:eastAsia="Times New Roman" w:cs="Times New Roman"/>
          <w:spacing w:val="-3"/>
          <w:sz w:val="24"/>
          <w:szCs w:val="24"/>
        </w:rPr>
        <w:t xml:space="preserve">2025 </w:t>
      </w:r>
      <w:r>
        <w:rPr>
          <w:rFonts w:ascii="宋体" w:hAnsi="宋体" w:eastAsia="宋体" w:cs="宋体"/>
          <w:spacing w:val="-3"/>
          <w:sz w:val="24"/>
          <w:szCs w:val="24"/>
        </w:rPr>
        <w:t>年和</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 xml:space="preserve">2035 </w:t>
      </w:r>
      <w:r>
        <w:rPr>
          <w:rFonts w:ascii="宋体" w:hAnsi="宋体" w:eastAsia="宋体" w:cs="宋体"/>
          <w:spacing w:val="-3"/>
          <w:sz w:val="24"/>
          <w:szCs w:val="24"/>
        </w:rPr>
        <w:t>年可供水量均能满足规划用水</w:t>
      </w:r>
      <w:r>
        <w:rPr>
          <w:rFonts w:ascii="宋体" w:hAnsi="宋体" w:eastAsia="宋体" w:cs="宋体"/>
          <w:sz w:val="24"/>
          <w:szCs w:val="24"/>
        </w:rPr>
        <w:t xml:space="preserve"> </w:t>
      </w:r>
      <w:r>
        <w:rPr>
          <w:rFonts w:ascii="宋体" w:hAnsi="宋体" w:eastAsia="宋体" w:cs="宋体"/>
          <w:spacing w:val="-1"/>
          <w:sz w:val="24"/>
          <w:szCs w:val="24"/>
        </w:rPr>
        <w:t>需求，项目生产、生活用水可以保障。</w:t>
      </w:r>
    </w:p>
    <w:p w14:paraId="52AB5D76">
      <w:pPr>
        <w:spacing w:before="34" w:line="219" w:lineRule="auto"/>
        <w:ind w:left="507"/>
        <w:rPr>
          <w:rFonts w:ascii="宋体" w:hAnsi="宋体" w:eastAsia="宋体" w:cs="宋体"/>
          <w:sz w:val="24"/>
          <w:szCs w:val="24"/>
        </w:rPr>
      </w:pPr>
      <w:r>
        <w:rPr>
          <w:rFonts w:ascii="Times New Roman" w:hAnsi="Times New Roman" w:eastAsia="Times New Roman" w:cs="Times New Roman"/>
          <w:spacing w:val="-5"/>
          <w:sz w:val="24"/>
          <w:szCs w:val="24"/>
        </w:rPr>
        <w:t>1</w:t>
      </w:r>
      <w:r>
        <w:rPr>
          <w:rFonts w:ascii="Times New Roman" w:hAnsi="Times New Roman" w:eastAsia="Times New Roman" w:cs="Times New Roman"/>
          <w:spacing w:val="-34"/>
          <w:sz w:val="24"/>
          <w:szCs w:val="24"/>
        </w:rPr>
        <w:t xml:space="preserve"> </w:t>
      </w:r>
      <w:r>
        <w:rPr>
          <w:rFonts w:ascii="宋体" w:hAnsi="宋体" w:eastAsia="宋体" w:cs="宋体"/>
          <w:spacing w:val="-5"/>
          <w:sz w:val="24"/>
          <w:szCs w:val="24"/>
        </w:rPr>
        <w:t>、生活及消防供水系统</w:t>
      </w:r>
    </w:p>
    <w:p w14:paraId="55AED5EE">
      <w:pPr>
        <w:spacing w:before="194"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）职工生活用水</w:t>
      </w:r>
    </w:p>
    <w:p w14:paraId="15B8EB97">
      <w:pPr>
        <w:spacing w:before="193" w:line="219" w:lineRule="auto"/>
        <w:ind w:left="492"/>
        <w:rPr>
          <w:rFonts w:ascii="宋体" w:hAnsi="宋体" w:eastAsia="宋体" w:cs="宋体"/>
          <w:sz w:val="24"/>
          <w:szCs w:val="24"/>
        </w:rPr>
      </w:pPr>
      <w:r>
        <w:rPr>
          <w:rFonts w:ascii="宋体" w:hAnsi="宋体" w:eastAsia="宋体" w:cs="宋体"/>
          <w:spacing w:val="1"/>
          <w:sz w:val="24"/>
          <w:szCs w:val="24"/>
        </w:rPr>
        <w:t>项目劳动定员为</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 xml:space="preserve">700 </w:t>
      </w:r>
      <w:r>
        <w:rPr>
          <w:rFonts w:ascii="宋体" w:hAnsi="宋体" w:eastAsia="宋体" w:cs="宋体"/>
          <w:spacing w:val="1"/>
          <w:sz w:val="24"/>
          <w:szCs w:val="24"/>
        </w:rPr>
        <w:t>人，根据《行业用水定额》（</w:t>
      </w:r>
      <w:r>
        <w:rPr>
          <w:rFonts w:ascii="Times New Roman" w:hAnsi="Times New Roman" w:eastAsia="Times New Roman" w:cs="Times New Roman"/>
          <w:sz w:val="24"/>
          <w:szCs w:val="24"/>
        </w:rPr>
        <w:t>DB15/T 385-2020</w:t>
      </w:r>
      <w:r>
        <w:rPr>
          <w:rFonts w:ascii="宋体" w:hAnsi="宋体" w:eastAsia="宋体" w:cs="宋体"/>
          <w:sz w:val="24"/>
          <w:szCs w:val="24"/>
        </w:rPr>
        <w:t>）生活用水量</w:t>
      </w:r>
    </w:p>
    <w:p w14:paraId="663EC17B">
      <w:pPr>
        <w:spacing w:line="219" w:lineRule="auto"/>
        <w:rPr>
          <w:rFonts w:ascii="宋体" w:hAnsi="宋体" w:eastAsia="宋体" w:cs="宋体"/>
          <w:sz w:val="24"/>
          <w:szCs w:val="24"/>
        </w:rPr>
        <w:sectPr>
          <w:headerReference r:id="rId126" w:type="default"/>
          <w:footerReference r:id="rId127" w:type="default"/>
          <w:pgSz w:w="11850" w:h="16781"/>
          <w:pgMar w:top="1178" w:right="1336" w:bottom="1013" w:left="1417" w:header="870" w:footer="850" w:gutter="0"/>
          <w:cols w:space="720" w:num="1"/>
        </w:sectPr>
      </w:pPr>
    </w:p>
    <w:p w14:paraId="228F234B">
      <w:pPr>
        <w:pStyle w:val="2"/>
        <w:spacing w:line="275" w:lineRule="auto"/>
      </w:pPr>
      <w:r>
        <w:pict>
          <v:shape id="_x0000_s1175" o:spid="_x0000_s1175" style="position:absolute;left:0pt;margin-left:0pt;margin-top:0.65pt;height:0.75pt;width:450.75pt;z-index:251833344;mso-width-relative:page;mso-height-relative:page;" fillcolor="#000000" filled="t" stroked="f" coordsize="9015,15" path="m0,0l9014,0,9014,14,0,14,0,0xe">
            <v:path/>
            <v:fill on="t" focussize="0,0"/>
            <v:stroke on="f"/>
            <v:imagedata o:title=""/>
            <o:lock v:ext="edit"/>
          </v:shape>
        </w:pict>
      </w:r>
    </w:p>
    <w:p w14:paraId="56B15EE8">
      <w:pPr>
        <w:spacing w:before="78" w:line="354" w:lineRule="auto"/>
        <w:ind w:left="8" w:right="2" w:firstLine="1"/>
        <w:rPr>
          <w:rFonts w:ascii="宋体" w:hAnsi="宋体" w:eastAsia="宋体" w:cs="宋体"/>
          <w:sz w:val="24"/>
          <w:szCs w:val="24"/>
        </w:rPr>
      </w:pPr>
      <w:r>
        <w:rPr>
          <w:rFonts w:ascii="宋体" w:hAnsi="宋体" w:eastAsia="宋体" w:cs="宋体"/>
          <w:spacing w:val="-1"/>
          <w:sz w:val="24"/>
          <w:szCs w:val="24"/>
        </w:rPr>
        <w:t>按照</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60L/</w:t>
      </w:r>
      <w:r>
        <w:rPr>
          <w:rFonts w:ascii="宋体" w:hAnsi="宋体" w:eastAsia="宋体" w:cs="宋体"/>
          <w:spacing w:val="-1"/>
          <w:sz w:val="24"/>
          <w:szCs w:val="24"/>
        </w:rPr>
        <w:t>人</w:t>
      </w:r>
      <w:r>
        <w:rPr>
          <w:rFonts w:ascii="Times New Roman" w:hAnsi="Times New Roman" w:eastAsia="Times New Roman" w:cs="Times New Roman"/>
          <w:spacing w:val="-1"/>
          <w:sz w:val="24"/>
          <w:szCs w:val="24"/>
        </w:rPr>
        <w:t xml:space="preserve">.d </w:t>
      </w:r>
      <w:r>
        <w:rPr>
          <w:rFonts w:ascii="宋体" w:hAnsi="宋体" w:eastAsia="宋体" w:cs="宋体"/>
          <w:spacing w:val="-1"/>
          <w:sz w:val="24"/>
          <w:szCs w:val="24"/>
        </w:rPr>
        <w:t>计算，则厂区生活用水量为</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42.0m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/d</w:t>
      </w:r>
      <w:r>
        <w:rPr>
          <w:rFonts w:ascii="宋体" w:hAnsi="宋体" w:eastAsia="宋体" w:cs="宋体"/>
          <w:spacing w:val="-1"/>
          <w:sz w:val="24"/>
          <w:szCs w:val="24"/>
        </w:rPr>
        <w:t>（</w:t>
      </w:r>
      <w:r>
        <w:rPr>
          <w:rFonts w:ascii="Times New Roman" w:hAnsi="Times New Roman" w:eastAsia="Times New Roman" w:cs="Times New Roman"/>
          <w:spacing w:val="-1"/>
          <w:sz w:val="24"/>
          <w:szCs w:val="24"/>
        </w:rPr>
        <w:t>1.75m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/h</w:t>
      </w:r>
      <w:r>
        <w:rPr>
          <w:rFonts w:ascii="宋体" w:hAnsi="宋体" w:eastAsia="宋体" w:cs="宋体"/>
          <w:spacing w:val="4"/>
          <w:sz w:val="24"/>
          <w:szCs w:val="24"/>
        </w:rPr>
        <w:t>），</w:t>
      </w:r>
      <w:r>
        <w:rPr>
          <w:rFonts w:ascii="宋体" w:hAnsi="宋体" w:eastAsia="宋体" w:cs="宋体"/>
          <w:spacing w:val="-1"/>
          <w:sz w:val="24"/>
          <w:szCs w:val="24"/>
        </w:rPr>
        <w:t>全部由生活供水系统</w:t>
      </w:r>
      <w:r>
        <w:rPr>
          <w:rFonts w:ascii="宋体" w:hAnsi="宋体" w:eastAsia="宋体" w:cs="宋体"/>
          <w:sz w:val="24"/>
          <w:szCs w:val="24"/>
        </w:rPr>
        <w:t xml:space="preserve"> </w:t>
      </w:r>
      <w:r>
        <w:rPr>
          <w:rFonts w:ascii="宋体" w:hAnsi="宋体" w:eastAsia="宋体" w:cs="宋体"/>
          <w:spacing w:val="-8"/>
          <w:sz w:val="24"/>
          <w:szCs w:val="24"/>
        </w:rPr>
        <w:t>供给。污水排放按用水量</w:t>
      </w:r>
      <w:r>
        <w:rPr>
          <w:rFonts w:ascii="宋体" w:hAnsi="宋体" w:eastAsia="宋体" w:cs="宋体"/>
          <w:spacing w:val="-67"/>
          <w:sz w:val="24"/>
          <w:szCs w:val="24"/>
        </w:rPr>
        <w:t xml:space="preserve"> </w:t>
      </w:r>
      <w:r>
        <w:rPr>
          <w:rFonts w:ascii="Times New Roman" w:hAnsi="Times New Roman" w:eastAsia="Times New Roman" w:cs="Times New Roman"/>
          <w:spacing w:val="-8"/>
          <w:sz w:val="24"/>
          <w:szCs w:val="24"/>
        </w:rPr>
        <w:t>80%</w:t>
      </w:r>
      <w:r>
        <w:rPr>
          <w:rFonts w:ascii="宋体" w:hAnsi="宋体" w:eastAsia="宋体" w:cs="宋体"/>
          <w:spacing w:val="-8"/>
          <w:sz w:val="24"/>
          <w:szCs w:val="24"/>
        </w:rPr>
        <w:t>计算，则厂区生活污水排放量为</w:t>
      </w:r>
      <w:r>
        <w:rPr>
          <w:rFonts w:ascii="宋体" w:hAnsi="宋体" w:eastAsia="宋体" w:cs="宋体"/>
          <w:spacing w:val="-54"/>
          <w:sz w:val="24"/>
          <w:szCs w:val="24"/>
        </w:rPr>
        <w:t xml:space="preserve"> </w:t>
      </w:r>
      <w:r>
        <w:rPr>
          <w:rFonts w:ascii="Times New Roman" w:hAnsi="Times New Roman" w:eastAsia="Times New Roman" w:cs="Times New Roman"/>
          <w:spacing w:val="-8"/>
          <w:sz w:val="24"/>
          <w:szCs w:val="24"/>
        </w:rPr>
        <w:t>1</w:t>
      </w:r>
      <w:r>
        <w:rPr>
          <w:rFonts w:ascii="Times New Roman" w:hAnsi="Times New Roman" w:eastAsia="Times New Roman" w:cs="Times New Roman"/>
          <w:spacing w:val="-9"/>
          <w:sz w:val="24"/>
          <w:szCs w:val="24"/>
        </w:rPr>
        <w:t>.40m</w:t>
      </w:r>
      <w:r>
        <w:rPr>
          <w:rFonts w:ascii="Times New Roman" w:hAnsi="Times New Roman" w:eastAsia="Times New Roman" w:cs="Times New Roman"/>
          <w:spacing w:val="-9"/>
          <w:position w:val="8"/>
          <w:sz w:val="15"/>
          <w:szCs w:val="15"/>
        </w:rPr>
        <w:t>3</w:t>
      </w:r>
      <w:r>
        <w:rPr>
          <w:rFonts w:ascii="Times New Roman" w:hAnsi="Times New Roman" w:eastAsia="Times New Roman" w:cs="Times New Roman"/>
          <w:spacing w:val="-9"/>
          <w:sz w:val="24"/>
          <w:szCs w:val="24"/>
        </w:rPr>
        <w:t>/h</w:t>
      </w:r>
      <w:r>
        <w:rPr>
          <w:rFonts w:ascii="宋体" w:hAnsi="宋体" w:eastAsia="宋体" w:cs="宋体"/>
          <w:spacing w:val="-9"/>
          <w:sz w:val="24"/>
          <w:szCs w:val="24"/>
        </w:rPr>
        <w:t>，损失量</w:t>
      </w:r>
      <w:r>
        <w:rPr>
          <w:rFonts w:ascii="Times New Roman" w:hAnsi="Times New Roman" w:eastAsia="Times New Roman" w:cs="Times New Roman"/>
          <w:spacing w:val="-9"/>
          <w:sz w:val="24"/>
          <w:szCs w:val="24"/>
        </w:rPr>
        <w:t>0.35m</w:t>
      </w:r>
      <w:r>
        <w:rPr>
          <w:rFonts w:ascii="Times New Roman" w:hAnsi="Times New Roman" w:eastAsia="Times New Roman" w:cs="Times New Roman"/>
          <w:spacing w:val="-9"/>
          <w:position w:val="8"/>
          <w:sz w:val="15"/>
          <w:szCs w:val="15"/>
        </w:rPr>
        <w:t>3</w:t>
      </w:r>
      <w:r>
        <w:rPr>
          <w:rFonts w:ascii="Times New Roman" w:hAnsi="Times New Roman" w:eastAsia="Times New Roman" w:cs="Times New Roman"/>
          <w:spacing w:val="-9"/>
          <w:sz w:val="24"/>
          <w:szCs w:val="24"/>
        </w:rPr>
        <w:t>/h</w:t>
      </w:r>
      <w:r>
        <w:rPr>
          <w:rFonts w:ascii="宋体" w:hAnsi="宋体" w:eastAsia="宋体" w:cs="宋体"/>
          <w:spacing w:val="-9"/>
          <w:sz w:val="24"/>
          <w:szCs w:val="24"/>
        </w:rPr>
        <w:t>。</w:t>
      </w:r>
    </w:p>
    <w:p w14:paraId="28845620">
      <w:pPr>
        <w:spacing w:before="3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）消防用水</w:t>
      </w:r>
    </w:p>
    <w:p w14:paraId="6C9AA51E">
      <w:pPr>
        <w:spacing w:before="192" w:line="363" w:lineRule="auto"/>
        <w:ind w:left="8" w:right="80" w:firstLine="479"/>
        <w:rPr>
          <w:rFonts w:ascii="宋体" w:hAnsi="宋体" w:eastAsia="宋体" w:cs="宋体"/>
          <w:sz w:val="24"/>
          <w:szCs w:val="24"/>
        </w:rPr>
      </w:pPr>
      <w:r>
        <w:rPr>
          <w:rFonts w:ascii="宋体" w:hAnsi="宋体" w:eastAsia="宋体" w:cs="宋体"/>
          <w:spacing w:val="2"/>
          <w:sz w:val="24"/>
          <w:szCs w:val="24"/>
        </w:rPr>
        <w:t>全厂消防用水量根据《建筑设计防火规范》（</w:t>
      </w:r>
      <w:r>
        <w:rPr>
          <w:rFonts w:ascii="Times New Roman" w:hAnsi="Times New Roman" w:eastAsia="Times New Roman" w:cs="Times New Roman"/>
          <w:sz w:val="24"/>
          <w:szCs w:val="24"/>
        </w:rPr>
        <w:t>GB</w:t>
      </w:r>
      <w:r>
        <w:rPr>
          <w:rFonts w:ascii="Times New Roman" w:hAnsi="Times New Roman" w:eastAsia="Times New Roman" w:cs="Times New Roman"/>
          <w:spacing w:val="2"/>
          <w:sz w:val="24"/>
          <w:szCs w:val="24"/>
        </w:rPr>
        <w:t>50016-2014</w:t>
      </w:r>
      <w:r>
        <w:rPr>
          <w:rFonts w:ascii="宋体" w:hAnsi="宋体" w:eastAsia="宋体" w:cs="宋体"/>
          <w:spacing w:val="2"/>
          <w:sz w:val="24"/>
          <w:szCs w:val="24"/>
        </w:rPr>
        <w:t>）</w:t>
      </w:r>
      <w:r>
        <w:rPr>
          <w:rFonts w:ascii="宋体" w:hAnsi="宋体" w:eastAsia="宋体" w:cs="宋体"/>
          <w:spacing w:val="1"/>
          <w:sz w:val="24"/>
          <w:szCs w:val="24"/>
        </w:rPr>
        <w:t>和《消防给水及消</w:t>
      </w:r>
      <w:r>
        <w:rPr>
          <w:rFonts w:ascii="宋体" w:hAnsi="宋体" w:eastAsia="宋体" w:cs="宋体"/>
          <w:sz w:val="24"/>
          <w:szCs w:val="24"/>
        </w:rPr>
        <w:t xml:space="preserve"> </w:t>
      </w:r>
      <w:r>
        <w:rPr>
          <w:rFonts w:ascii="宋体" w:hAnsi="宋体" w:eastAsia="宋体" w:cs="宋体"/>
          <w:spacing w:val="-2"/>
          <w:sz w:val="24"/>
          <w:szCs w:val="24"/>
        </w:rPr>
        <w:t>火栓系统技术规范》（</w:t>
      </w:r>
      <w:r>
        <w:rPr>
          <w:rFonts w:ascii="Times New Roman" w:hAnsi="Times New Roman" w:eastAsia="Times New Roman" w:cs="Times New Roman"/>
          <w:spacing w:val="-2"/>
          <w:sz w:val="24"/>
          <w:szCs w:val="24"/>
        </w:rPr>
        <w:t>GB50974-2014</w:t>
      </w:r>
      <w:r>
        <w:rPr>
          <w:rFonts w:ascii="宋体" w:hAnsi="宋体" w:eastAsia="宋体" w:cs="宋体"/>
          <w:spacing w:val="-2"/>
          <w:sz w:val="24"/>
          <w:szCs w:val="24"/>
        </w:rPr>
        <w:t>）的有关规定，室外消防用水量为</w:t>
      </w:r>
      <w:r>
        <w:rPr>
          <w:rFonts w:ascii="宋体" w:hAnsi="宋体" w:eastAsia="宋体" w:cs="宋体"/>
          <w:spacing w:val="-54"/>
          <w:sz w:val="24"/>
          <w:szCs w:val="24"/>
        </w:rPr>
        <w:t xml:space="preserve"> </w:t>
      </w:r>
      <w:r>
        <w:rPr>
          <w:rFonts w:ascii="Times New Roman" w:hAnsi="Times New Roman" w:eastAsia="Times New Roman" w:cs="Times New Roman"/>
          <w:spacing w:val="-2"/>
          <w:sz w:val="24"/>
          <w:szCs w:val="24"/>
        </w:rPr>
        <w:t>25L/s</w:t>
      </w:r>
      <w:r>
        <w:rPr>
          <w:rFonts w:ascii="Times New Roman" w:hAnsi="Times New Roman" w:eastAsia="Times New Roman" w:cs="Times New Roman"/>
          <w:spacing w:val="-29"/>
          <w:sz w:val="24"/>
          <w:szCs w:val="24"/>
        </w:rPr>
        <w:t xml:space="preserve"> </w:t>
      </w:r>
      <w:r>
        <w:rPr>
          <w:rFonts w:ascii="宋体" w:hAnsi="宋体" w:eastAsia="宋体" w:cs="宋体"/>
          <w:spacing w:val="-2"/>
          <w:sz w:val="24"/>
          <w:szCs w:val="24"/>
        </w:rPr>
        <w:t>，室内消</w:t>
      </w:r>
      <w:r>
        <w:rPr>
          <w:rFonts w:ascii="宋体" w:hAnsi="宋体" w:eastAsia="宋体" w:cs="宋体"/>
          <w:sz w:val="24"/>
          <w:szCs w:val="24"/>
        </w:rPr>
        <w:t xml:space="preserve"> </w:t>
      </w:r>
      <w:r>
        <w:rPr>
          <w:rFonts w:ascii="宋体" w:hAnsi="宋体" w:eastAsia="宋体" w:cs="宋体"/>
          <w:spacing w:val="-2"/>
          <w:sz w:val="24"/>
          <w:szCs w:val="24"/>
        </w:rPr>
        <w:t>火栓用水量为</w:t>
      </w:r>
      <w:r>
        <w:rPr>
          <w:rFonts w:ascii="宋体" w:hAnsi="宋体" w:eastAsia="宋体" w:cs="宋体"/>
          <w:spacing w:val="-29"/>
          <w:sz w:val="24"/>
          <w:szCs w:val="24"/>
        </w:rPr>
        <w:t xml:space="preserve"> </w:t>
      </w:r>
      <w:r>
        <w:rPr>
          <w:rFonts w:ascii="Times New Roman" w:hAnsi="Times New Roman" w:eastAsia="Times New Roman" w:cs="Times New Roman"/>
          <w:spacing w:val="-2"/>
          <w:sz w:val="24"/>
          <w:szCs w:val="24"/>
        </w:rPr>
        <w:t>15L/s</w:t>
      </w:r>
      <w:r>
        <w:rPr>
          <w:rFonts w:ascii="Times New Roman" w:hAnsi="Times New Roman" w:eastAsia="Times New Roman" w:cs="Times New Roman"/>
          <w:spacing w:val="-29"/>
          <w:sz w:val="24"/>
          <w:szCs w:val="24"/>
        </w:rPr>
        <w:t xml:space="preserve"> </w:t>
      </w:r>
      <w:r>
        <w:rPr>
          <w:rFonts w:ascii="宋体" w:hAnsi="宋体" w:eastAsia="宋体" w:cs="宋体"/>
          <w:spacing w:val="-2"/>
          <w:sz w:val="24"/>
          <w:szCs w:val="24"/>
        </w:rPr>
        <w:t>，厂区消防按同一时间一起火灾计算，火灾延续时</w:t>
      </w:r>
      <w:r>
        <w:rPr>
          <w:rFonts w:ascii="宋体" w:hAnsi="宋体" w:eastAsia="宋体" w:cs="宋体"/>
          <w:spacing w:val="-3"/>
          <w:sz w:val="24"/>
          <w:szCs w:val="24"/>
        </w:rPr>
        <w:t>间为</w:t>
      </w:r>
      <w:r>
        <w:rPr>
          <w:rFonts w:ascii="宋体" w:hAnsi="宋体" w:eastAsia="宋体" w:cs="宋体"/>
          <w:spacing w:val="-54"/>
          <w:sz w:val="24"/>
          <w:szCs w:val="24"/>
        </w:rPr>
        <w:t xml:space="preserve"> </w:t>
      </w:r>
      <w:r>
        <w:rPr>
          <w:rFonts w:ascii="Times New Roman" w:hAnsi="Times New Roman" w:eastAsia="Times New Roman" w:cs="Times New Roman"/>
          <w:spacing w:val="-3"/>
          <w:sz w:val="24"/>
          <w:szCs w:val="24"/>
        </w:rPr>
        <w:t>2</w:t>
      </w:r>
      <w:r>
        <w:rPr>
          <w:rFonts w:ascii="Times New Roman" w:hAnsi="Times New Roman" w:eastAsia="Times New Roman" w:cs="Times New Roman"/>
          <w:spacing w:val="15"/>
          <w:w w:val="101"/>
          <w:sz w:val="24"/>
          <w:szCs w:val="24"/>
        </w:rPr>
        <w:t xml:space="preserve"> </w:t>
      </w:r>
      <w:r>
        <w:rPr>
          <w:rFonts w:ascii="宋体" w:hAnsi="宋体" w:eastAsia="宋体" w:cs="宋体"/>
          <w:spacing w:val="-3"/>
          <w:sz w:val="24"/>
          <w:szCs w:val="24"/>
        </w:rPr>
        <w:t>小时，一</w:t>
      </w:r>
      <w:r>
        <w:rPr>
          <w:rFonts w:ascii="宋体" w:hAnsi="宋体" w:eastAsia="宋体" w:cs="宋体"/>
          <w:sz w:val="24"/>
          <w:szCs w:val="24"/>
        </w:rPr>
        <w:t xml:space="preserve"> </w:t>
      </w:r>
      <w:r>
        <w:rPr>
          <w:rFonts w:ascii="宋体" w:hAnsi="宋体" w:eastAsia="宋体" w:cs="宋体"/>
          <w:spacing w:val="-3"/>
          <w:sz w:val="24"/>
          <w:szCs w:val="24"/>
        </w:rPr>
        <w:t>次消防用水量按</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288m</w:t>
      </w:r>
      <w:r>
        <w:rPr>
          <w:rFonts w:ascii="Times New Roman" w:hAnsi="Times New Roman" w:eastAsia="Times New Roman" w:cs="Times New Roman"/>
          <w:spacing w:val="-3"/>
          <w:position w:val="8"/>
          <w:sz w:val="15"/>
          <w:szCs w:val="15"/>
        </w:rPr>
        <w:t>3</w:t>
      </w:r>
      <w:r>
        <w:rPr>
          <w:rFonts w:ascii="Times New Roman" w:hAnsi="Times New Roman" w:eastAsia="Times New Roman" w:cs="Times New Roman"/>
          <w:spacing w:val="13"/>
          <w:w w:val="102"/>
          <w:position w:val="8"/>
          <w:sz w:val="15"/>
          <w:szCs w:val="15"/>
        </w:rPr>
        <w:t xml:space="preserve"> </w:t>
      </w:r>
      <w:r>
        <w:rPr>
          <w:rFonts w:ascii="宋体" w:hAnsi="宋体" w:eastAsia="宋体" w:cs="宋体"/>
          <w:spacing w:val="-3"/>
          <w:sz w:val="24"/>
          <w:szCs w:val="24"/>
        </w:rPr>
        <w:t>设计。室外消防环状管网按规范要求</w:t>
      </w:r>
      <w:r>
        <w:rPr>
          <w:rFonts w:ascii="宋体" w:hAnsi="宋体" w:eastAsia="宋体" w:cs="宋体"/>
          <w:spacing w:val="-4"/>
          <w:sz w:val="24"/>
          <w:szCs w:val="24"/>
        </w:rPr>
        <w:t>设室外地上式消火栓，消火</w:t>
      </w:r>
      <w:r>
        <w:rPr>
          <w:rFonts w:ascii="宋体" w:hAnsi="宋体" w:eastAsia="宋体" w:cs="宋体"/>
          <w:sz w:val="24"/>
          <w:szCs w:val="24"/>
        </w:rPr>
        <w:t xml:space="preserve"> </w:t>
      </w:r>
      <w:r>
        <w:rPr>
          <w:rFonts w:ascii="宋体" w:hAnsi="宋体" w:eastAsia="宋体" w:cs="宋体"/>
          <w:spacing w:val="-2"/>
          <w:sz w:val="24"/>
          <w:szCs w:val="24"/>
        </w:rPr>
        <w:t>栓间距不大于</w:t>
      </w:r>
      <w:r>
        <w:rPr>
          <w:rFonts w:ascii="宋体" w:hAnsi="宋体" w:eastAsia="宋体" w:cs="宋体"/>
          <w:spacing w:val="-17"/>
          <w:sz w:val="24"/>
          <w:szCs w:val="24"/>
        </w:rPr>
        <w:t xml:space="preserve"> </w:t>
      </w:r>
      <w:r>
        <w:rPr>
          <w:rFonts w:ascii="Times New Roman" w:hAnsi="Times New Roman" w:eastAsia="Times New Roman" w:cs="Times New Roman"/>
          <w:spacing w:val="-2"/>
          <w:sz w:val="24"/>
          <w:szCs w:val="24"/>
        </w:rPr>
        <w:t>120m</w:t>
      </w:r>
      <w:r>
        <w:rPr>
          <w:rFonts w:ascii="Times New Roman" w:hAnsi="Times New Roman" w:eastAsia="Times New Roman" w:cs="Times New Roman"/>
          <w:spacing w:val="-26"/>
          <w:sz w:val="24"/>
          <w:szCs w:val="24"/>
        </w:rPr>
        <w:t xml:space="preserve"> </w:t>
      </w:r>
      <w:r>
        <w:rPr>
          <w:rFonts w:ascii="宋体" w:hAnsi="宋体" w:eastAsia="宋体" w:cs="宋体"/>
          <w:spacing w:val="-2"/>
          <w:sz w:val="24"/>
          <w:szCs w:val="24"/>
        </w:rPr>
        <w:t>。室内外消火栓用水由设在新水加压泵站的消防供水泵组供给，供</w:t>
      </w:r>
      <w:r>
        <w:rPr>
          <w:rFonts w:ascii="宋体" w:hAnsi="宋体" w:eastAsia="宋体" w:cs="宋体"/>
          <w:sz w:val="24"/>
          <w:szCs w:val="24"/>
        </w:rPr>
        <w:t xml:space="preserve"> </w:t>
      </w:r>
      <w:r>
        <w:rPr>
          <w:rFonts w:ascii="宋体" w:hAnsi="宋体" w:eastAsia="宋体" w:cs="宋体"/>
          <w:spacing w:val="-2"/>
          <w:sz w:val="24"/>
          <w:szCs w:val="24"/>
        </w:rPr>
        <w:t>水压力不小于</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0.3MPa</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，为临时高压系统。建设单位建设生产消防水池</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2"/>
          <w:sz w:val="24"/>
          <w:szCs w:val="24"/>
        </w:rPr>
        <w:t>座，有效容积</w:t>
      </w:r>
      <w:r>
        <w:rPr>
          <w:rFonts w:ascii="宋体" w:hAnsi="宋体" w:eastAsia="宋体" w:cs="宋体"/>
          <w:sz w:val="24"/>
          <w:szCs w:val="24"/>
        </w:rPr>
        <w:t xml:space="preserve"> </w:t>
      </w:r>
      <w:r>
        <w:rPr>
          <w:rFonts w:ascii="Times New Roman" w:hAnsi="Times New Roman" w:eastAsia="Times New Roman" w:cs="Times New Roman"/>
          <w:spacing w:val="-3"/>
          <w:sz w:val="24"/>
          <w:szCs w:val="24"/>
        </w:rPr>
        <w:t>3000m</w:t>
      </w:r>
      <w:r>
        <w:rPr>
          <w:rFonts w:ascii="Times New Roman" w:hAnsi="Times New Roman" w:eastAsia="Times New Roman" w:cs="Times New Roman"/>
          <w:spacing w:val="-3"/>
          <w:position w:val="8"/>
          <w:sz w:val="15"/>
          <w:szCs w:val="15"/>
        </w:rPr>
        <w:t>3</w:t>
      </w:r>
      <w:r>
        <w:rPr>
          <w:rFonts w:ascii="Times New Roman" w:hAnsi="Times New Roman" w:eastAsia="Times New Roman" w:cs="Times New Roman"/>
          <w:spacing w:val="1"/>
          <w:position w:val="8"/>
          <w:sz w:val="15"/>
          <w:szCs w:val="15"/>
        </w:rPr>
        <w:t xml:space="preserve"> </w:t>
      </w:r>
      <w:r>
        <w:rPr>
          <w:rFonts w:ascii="宋体" w:hAnsi="宋体" w:eastAsia="宋体" w:cs="宋体"/>
          <w:spacing w:val="-3"/>
          <w:sz w:val="24"/>
          <w:szCs w:val="24"/>
        </w:rPr>
        <w:t>，满足项目使用需求。</w:t>
      </w:r>
    </w:p>
    <w:p w14:paraId="5A9CFE16">
      <w:pPr>
        <w:spacing w:before="35" w:line="219" w:lineRule="auto"/>
        <w:ind w:left="484"/>
        <w:rPr>
          <w:rFonts w:ascii="宋体" w:hAnsi="宋体" w:eastAsia="宋体" w:cs="宋体"/>
          <w:sz w:val="24"/>
          <w:szCs w:val="24"/>
        </w:rPr>
      </w:pPr>
      <w:r>
        <w:rPr>
          <w:rFonts w:ascii="Times New Roman" w:hAnsi="Times New Roman" w:eastAsia="Times New Roman" w:cs="Times New Roman"/>
          <w:spacing w:val="-4"/>
          <w:sz w:val="24"/>
          <w:szCs w:val="24"/>
        </w:rPr>
        <w:t>2</w:t>
      </w:r>
      <w:r>
        <w:rPr>
          <w:rFonts w:ascii="Times New Roman" w:hAnsi="Times New Roman" w:eastAsia="Times New Roman" w:cs="Times New Roman"/>
          <w:spacing w:val="-27"/>
          <w:sz w:val="24"/>
          <w:szCs w:val="24"/>
        </w:rPr>
        <w:t xml:space="preserve"> </w:t>
      </w:r>
      <w:r>
        <w:rPr>
          <w:rFonts w:ascii="宋体" w:hAnsi="宋体" w:eastAsia="宋体" w:cs="宋体"/>
          <w:spacing w:val="-4"/>
          <w:sz w:val="24"/>
          <w:szCs w:val="24"/>
        </w:rPr>
        <w:t>、生产工艺给水系统</w:t>
      </w:r>
    </w:p>
    <w:p w14:paraId="59612F81">
      <w:pPr>
        <w:spacing w:before="190" w:line="362" w:lineRule="auto"/>
        <w:ind w:left="7" w:firstLine="482"/>
        <w:rPr>
          <w:rFonts w:ascii="宋体" w:hAnsi="宋体" w:eastAsia="宋体" w:cs="宋体"/>
          <w:sz w:val="24"/>
          <w:szCs w:val="24"/>
        </w:rPr>
      </w:pPr>
      <w:r>
        <w:rPr>
          <w:rFonts w:ascii="宋体" w:hAnsi="宋体" w:eastAsia="宋体" w:cs="宋体"/>
          <w:spacing w:val="3"/>
          <w:sz w:val="24"/>
          <w:szCs w:val="24"/>
        </w:rPr>
        <w:t>生产工艺中用水主要为烧结车间混合制粒工序用水及矿热炉开堵眼机泥球制备用</w:t>
      </w:r>
      <w:r>
        <w:rPr>
          <w:rFonts w:ascii="宋体" w:hAnsi="宋体" w:eastAsia="宋体" w:cs="宋体"/>
          <w:spacing w:val="16"/>
          <w:sz w:val="24"/>
          <w:szCs w:val="24"/>
        </w:rPr>
        <w:t xml:space="preserve"> </w:t>
      </w:r>
      <w:r>
        <w:rPr>
          <w:rFonts w:ascii="宋体" w:hAnsi="宋体" w:eastAsia="宋体" w:cs="宋体"/>
          <w:spacing w:val="-1"/>
          <w:sz w:val="24"/>
          <w:szCs w:val="24"/>
        </w:rPr>
        <w:t>水。烧结车间混合制粒工序用水量</w:t>
      </w:r>
      <w:r>
        <w:rPr>
          <w:rFonts w:ascii="宋体" w:hAnsi="宋体" w:eastAsia="宋体" w:cs="宋体"/>
          <w:spacing w:val="-29"/>
          <w:sz w:val="24"/>
          <w:szCs w:val="24"/>
        </w:rPr>
        <w:t xml:space="preserve"> </w:t>
      </w:r>
      <w:r>
        <w:rPr>
          <w:rFonts w:ascii="Times New Roman" w:hAnsi="Times New Roman" w:eastAsia="Times New Roman" w:cs="Times New Roman"/>
          <w:spacing w:val="-1"/>
          <w:sz w:val="24"/>
          <w:szCs w:val="24"/>
        </w:rPr>
        <w:t>12342.20m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/a</w:t>
      </w:r>
      <w:r>
        <w:rPr>
          <w:rFonts w:ascii="宋体" w:hAnsi="宋体" w:eastAsia="宋体" w:cs="宋体"/>
          <w:spacing w:val="-1"/>
          <w:sz w:val="24"/>
          <w:szCs w:val="24"/>
        </w:rPr>
        <w:t>（</w:t>
      </w:r>
      <w:r>
        <w:rPr>
          <w:rFonts w:ascii="Times New Roman" w:hAnsi="Times New Roman" w:eastAsia="Times New Roman" w:cs="Times New Roman"/>
          <w:spacing w:val="-1"/>
          <w:sz w:val="24"/>
          <w:szCs w:val="24"/>
        </w:rPr>
        <w:t>1.54m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/h</w:t>
      </w:r>
      <w:r>
        <w:rPr>
          <w:rFonts w:ascii="宋体" w:hAnsi="宋体" w:eastAsia="宋体" w:cs="宋体"/>
          <w:spacing w:val="20"/>
          <w:sz w:val="24"/>
          <w:szCs w:val="24"/>
        </w:rPr>
        <w:t>），</w:t>
      </w:r>
      <w:r>
        <w:rPr>
          <w:rFonts w:ascii="宋体" w:hAnsi="宋体" w:eastAsia="宋体" w:cs="宋体"/>
          <w:spacing w:val="-1"/>
          <w:sz w:val="24"/>
          <w:szCs w:val="24"/>
        </w:rPr>
        <w:t>由新鲜水补充</w:t>
      </w:r>
      <w:r>
        <w:rPr>
          <w:rFonts w:ascii="宋体" w:hAnsi="宋体" w:eastAsia="宋体" w:cs="宋体"/>
          <w:spacing w:val="-2"/>
          <w:sz w:val="24"/>
          <w:szCs w:val="24"/>
        </w:rPr>
        <w:t>；开堵眼</w:t>
      </w:r>
      <w:r>
        <w:rPr>
          <w:rFonts w:ascii="宋体" w:hAnsi="宋体" w:eastAsia="宋体" w:cs="宋体"/>
          <w:sz w:val="24"/>
          <w:szCs w:val="24"/>
        </w:rPr>
        <w:t xml:space="preserve"> </w:t>
      </w:r>
      <w:r>
        <w:rPr>
          <w:rFonts w:ascii="宋体" w:hAnsi="宋体" w:eastAsia="宋体" w:cs="宋体"/>
          <w:spacing w:val="-1"/>
          <w:sz w:val="24"/>
          <w:szCs w:val="24"/>
        </w:rPr>
        <w:t>机堵塞泥制备平均用水量为</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221.76m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/a</w:t>
      </w:r>
      <w:r>
        <w:rPr>
          <w:rFonts w:ascii="宋体" w:hAnsi="宋体" w:eastAsia="宋体" w:cs="宋体"/>
          <w:spacing w:val="-1"/>
          <w:sz w:val="24"/>
          <w:szCs w:val="24"/>
        </w:rPr>
        <w:t>（</w:t>
      </w:r>
      <w:r>
        <w:rPr>
          <w:rFonts w:ascii="Times New Roman" w:hAnsi="Times New Roman" w:eastAsia="Times New Roman" w:cs="Times New Roman"/>
          <w:spacing w:val="-1"/>
          <w:sz w:val="24"/>
          <w:szCs w:val="24"/>
        </w:rPr>
        <w:t>0.03m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/h</w:t>
      </w:r>
      <w:r>
        <w:rPr>
          <w:rFonts w:ascii="宋体" w:hAnsi="宋体" w:eastAsia="宋体" w:cs="宋体"/>
          <w:spacing w:val="-41"/>
          <w:sz w:val="24"/>
          <w:szCs w:val="24"/>
        </w:rPr>
        <w:t>）（</w:t>
      </w:r>
      <w:r>
        <w:rPr>
          <w:rFonts w:ascii="宋体" w:hAnsi="宋体" w:eastAsia="宋体" w:cs="宋体"/>
          <w:spacing w:val="-1"/>
          <w:sz w:val="24"/>
          <w:szCs w:val="24"/>
        </w:rPr>
        <w:t>开堵眼机每天使用</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6</w:t>
      </w:r>
      <w:r>
        <w:rPr>
          <w:rFonts w:ascii="宋体" w:hAnsi="宋体" w:eastAsia="宋体" w:cs="宋体"/>
          <w:spacing w:val="-1"/>
          <w:sz w:val="24"/>
          <w:szCs w:val="24"/>
        </w:rPr>
        <w:t>～</w:t>
      </w:r>
      <w:r>
        <w:rPr>
          <w:rFonts w:ascii="Times New Roman" w:hAnsi="Times New Roman" w:eastAsia="Times New Roman" w:cs="Times New Roman"/>
          <w:spacing w:val="-1"/>
          <w:sz w:val="24"/>
          <w:szCs w:val="24"/>
        </w:rPr>
        <w:t>8</w:t>
      </w:r>
      <w:r>
        <w:rPr>
          <w:rFonts w:ascii="Times New Roman" w:hAnsi="Times New Roman" w:eastAsia="Times New Roman" w:cs="Times New Roman"/>
          <w:spacing w:val="16"/>
          <w:sz w:val="24"/>
          <w:szCs w:val="24"/>
        </w:rPr>
        <w:t xml:space="preserve"> </w:t>
      </w:r>
      <w:r>
        <w:rPr>
          <w:rFonts w:ascii="宋体" w:hAnsi="宋体" w:eastAsia="宋体" w:cs="宋体"/>
          <w:spacing w:val="-1"/>
          <w:sz w:val="24"/>
          <w:szCs w:val="24"/>
        </w:rPr>
        <w:t>次，按照</w:t>
      </w:r>
      <w:r>
        <w:rPr>
          <w:rFonts w:ascii="宋体" w:hAnsi="宋体" w:eastAsia="宋体" w:cs="宋体"/>
          <w:sz w:val="24"/>
          <w:szCs w:val="24"/>
        </w:rPr>
        <w:t xml:space="preserve"> </w:t>
      </w:r>
      <w:r>
        <w:rPr>
          <w:rFonts w:ascii="Times New Roman" w:hAnsi="Times New Roman" w:eastAsia="Times New Roman" w:cs="Times New Roman"/>
          <w:spacing w:val="2"/>
          <w:sz w:val="24"/>
          <w:szCs w:val="24"/>
        </w:rPr>
        <w:t>8</w:t>
      </w:r>
      <w:r>
        <w:rPr>
          <w:rFonts w:ascii="Times New Roman" w:hAnsi="Times New Roman" w:eastAsia="Times New Roman" w:cs="Times New Roman"/>
          <w:spacing w:val="25"/>
          <w:sz w:val="24"/>
          <w:szCs w:val="24"/>
        </w:rPr>
        <w:t xml:space="preserve"> </w:t>
      </w:r>
      <w:r>
        <w:rPr>
          <w:rFonts w:ascii="宋体" w:hAnsi="宋体" w:eastAsia="宋体" w:cs="宋体"/>
          <w:spacing w:val="2"/>
          <w:sz w:val="24"/>
          <w:szCs w:val="24"/>
        </w:rPr>
        <w:t>次计算，本项目开堵眼机泥缸容积为</w:t>
      </w:r>
      <w:r>
        <w:rPr>
          <w:rFonts w:ascii="宋体" w:hAnsi="宋体" w:eastAsia="宋体" w:cs="宋体"/>
          <w:spacing w:val="-41"/>
          <w:sz w:val="24"/>
          <w:szCs w:val="24"/>
        </w:rPr>
        <w:t xml:space="preserve"> </w:t>
      </w:r>
      <w:r>
        <w:rPr>
          <w:rFonts w:ascii="Times New Roman" w:hAnsi="Times New Roman" w:eastAsia="Times New Roman" w:cs="Times New Roman"/>
          <w:spacing w:val="2"/>
          <w:sz w:val="24"/>
          <w:szCs w:val="24"/>
        </w:rPr>
        <w:t>70L</w:t>
      </w:r>
      <w:r>
        <w:rPr>
          <w:rFonts w:ascii="Times New Roman" w:hAnsi="Times New Roman" w:eastAsia="Times New Roman" w:cs="Times New Roman"/>
          <w:spacing w:val="-24"/>
          <w:sz w:val="24"/>
          <w:szCs w:val="24"/>
        </w:rPr>
        <w:t xml:space="preserve"> </w:t>
      </w:r>
      <w:r>
        <w:rPr>
          <w:rFonts w:ascii="宋体" w:hAnsi="宋体" w:eastAsia="宋体" w:cs="宋体"/>
          <w:spacing w:val="2"/>
          <w:sz w:val="24"/>
          <w:szCs w:val="24"/>
        </w:rPr>
        <w:t>，堵塞泥含水率</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20%</w:t>
      </w:r>
      <w:r>
        <w:rPr>
          <w:rFonts w:ascii="宋体" w:hAnsi="宋体" w:eastAsia="宋体" w:cs="宋体"/>
          <w:spacing w:val="18"/>
          <w:sz w:val="24"/>
          <w:szCs w:val="24"/>
        </w:rPr>
        <w:t>），</w:t>
      </w:r>
      <w:r>
        <w:rPr>
          <w:rFonts w:ascii="宋体" w:hAnsi="宋体" w:eastAsia="宋体" w:cs="宋体"/>
          <w:spacing w:val="2"/>
          <w:sz w:val="24"/>
          <w:szCs w:val="24"/>
        </w:rPr>
        <w:t>其中</w:t>
      </w:r>
      <w:r>
        <w:rPr>
          <w:rFonts w:ascii="宋体" w:hAnsi="宋体" w:eastAsia="宋体" w:cs="宋体"/>
          <w:spacing w:val="-22"/>
          <w:sz w:val="24"/>
          <w:szCs w:val="24"/>
        </w:rPr>
        <w:t xml:space="preserve"> </w:t>
      </w:r>
      <w:r>
        <w:rPr>
          <w:rFonts w:ascii="Times New Roman" w:hAnsi="Times New Roman" w:eastAsia="Times New Roman" w:cs="Times New Roman"/>
          <w:spacing w:val="2"/>
          <w:sz w:val="24"/>
          <w:szCs w:val="24"/>
        </w:rPr>
        <w:t>101.</w:t>
      </w:r>
      <w:r>
        <w:rPr>
          <w:rFonts w:ascii="Times New Roman" w:hAnsi="Times New Roman" w:eastAsia="Times New Roman" w:cs="Times New Roman"/>
          <w:spacing w:val="1"/>
          <w:sz w:val="24"/>
          <w:szCs w:val="24"/>
        </w:rPr>
        <w:t>83m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/a</w:t>
      </w:r>
      <w:r>
        <w:rPr>
          <w:rFonts w:ascii="Times New Roman" w:hAnsi="Times New Roman" w:eastAsia="Times New Roman" w:cs="Times New Roman"/>
          <w:sz w:val="24"/>
          <w:szCs w:val="24"/>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0.01m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4"/>
          <w:sz w:val="24"/>
          <w:szCs w:val="24"/>
        </w:rPr>
        <w:t>/h</w:t>
      </w:r>
      <w:r>
        <w:rPr>
          <w:rFonts w:ascii="宋体" w:hAnsi="宋体" w:eastAsia="宋体" w:cs="宋体"/>
          <w:spacing w:val="-4"/>
          <w:sz w:val="24"/>
          <w:szCs w:val="24"/>
        </w:rPr>
        <w:t>）为经隔油池处理后的煤气冷凝废水，</w:t>
      </w:r>
      <w:r>
        <w:rPr>
          <w:rFonts w:ascii="Times New Roman" w:hAnsi="Times New Roman" w:eastAsia="Times New Roman" w:cs="Times New Roman"/>
          <w:spacing w:val="-4"/>
          <w:sz w:val="24"/>
          <w:szCs w:val="24"/>
        </w:rPr>
        <w:t>119.93m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4"/>
          <w:sz w:val="24"/>
          <w:szCs w:val="24"/>
        </w:rPr>
        <w:t>/a</w:t>
      </w:r>
      <w:r>
        <w:rPr>
          <w:rFonts w:ascii="宋体" w:hAnsi="宋体" w:eastAsia="宋体" w:cs="宋体"/>
          <w:spacing w:val="-4"/>
          <w:sz w:val="24"/>
          <w:szCs w:val="24"/>
        </w:rPr>
        <w:t>（</w:t>
      </w:r>
      <w:r>
        <w:rPr>
          <w:rFonts w:ascii="Times New Roman" w:hAnsi="Times New Roman" w:eastAsia="Times New Roman" w:cs="Times New Roman"/>
          <w:spacing w:val="-4"/>
          <w:sz w:val="24"/>
          <w:szCs w:val="24"/>
        </w:rPr>
        <w:t>0.0</w:t>
      </w:r>
      <w:r>
        <w:rPr>
          <w:rFonts w:ascii="Times New Roman" w:hAnsi="Times New Roman" w:eastAsia="Times New Roman" w:cs="Times New Roman"/>
          <w:spacing w:val="-5"/>
          <w:sz w:val="24"/>
          <w:szCs w:val="24"/>
        </w:rPr>
        <w:t>2m</w:t>
      </w:r>
      <w:r>
        <w:rPr>
          <w:rFonts w:ascii="Times New Roman" w:hAnsi="Times New Roman" w:eastAsia="Times New Roman" w:cs="Times New Roman"/>
          <w:spacing w:val="-5"/>
          <w:position w:val="7"/>
          <w:sz w:val="15"/>
          <w:szCs w:val="15"/>
        </w:rPr>
        <w:t>3</w:t>
      </w:r>
      <w:r>
        <w:rPr>
          <w:rFonts w:ascii="Times New Roman" w:hAnsi="Times New Roman" w:eastAsia="Times New Roman" w:cs="Times New Roman"/>
          <w:spacing w:val="-5"/>
          <w:sz w:val="24"/>
          <w:szCs w:val="24"/>
        </w:rPr>
        <w:t>/h</w:t>
      </w:r>
      <w:r>
        <w:rPr>
          <w:rFonts w:ascii="宋体" w:hAnsi="宋体" w:eastAsia="宋体" w:cs="宋体"/>
          <w:spacing w:val="-5"/>
          <w:sz w:val="24"/>
          <w:szCs w:val="24"/>
        </w:rPr>
        <w:t>）由新鲜水补充。</w:t>
      </w:r>
    </w:p>
    <w:p w14:paraId="5C54EC3C">
      <w:pPr>
        <w:spacing w:before="33" w:line="219" w:lineRule="auto"/>
        <w:ind w:left="488"/>
        <w:rPr>
          <w:rFonts w:ascii="宋体" w:hAnsi="宋体" w:eastAsia="宋体" w:cs="宋体"/>
          <w:sz w:val="24"/>
          <w:szCs w:val="24"/>
        </w:rPr>
      </w:pPr>
      <w:r>
        <w:rPr>
          <w:rFonts w:ascii="Times New Roman" w:hAnsi="Times New Roman" w:eastAsia="Times New Roman" w:cs="Times New Roman"/>
          <w:spacing w:val="-4"/>
          <w:sz w:val="24"/>
          <w:szCs w:val="24"/>
        </w:rPr>
        <w:t>3</w:t>
      </w:r>
      <w:r>
        <w:rPr>
          <w:rFonts w:ascii="Times New Roman" w:hAnsi="Times New Roman" w:eastAsia="Times New Roman" w:cs="Times New Roman"/>
          <w:spacing w:val="-31"/>
          <w:sz w:val="24"/>
          <w:szCs w:val="24"/>
        </w:rPr>
        <w:t xml:space="preserve"> </w:t>
      </w:r>
      <w:r>
        <w:rPr>
          <w:rFonts w:ascii="宋体" w:hAnsi="宋体" w:eastAsia="宋体" w:cs="宋体"/>
          <w:spacing w:val="-4"/>
          <w:sz w:val="24"/>
          <w:szCs w:val="24"/>
        </w:rPr>
        <w:t>、煤气发电给水系统</w:t>
      </w:r>
    </w:p>
    <w:p w14:paraId="75FF0D95">
      <w:pPr>
        <w:spacing w:before="193" w:line="219" w:lineRule="auto"/>
        <w:ind w:left="489"/>
        <w:rPr>
          <w:rFonts w:ascii="宋体" w:hAnsi="宋体" w:eastAsia="宋体" w:cs="宋体"/>
          <w:sz w:val="24"/>
          <w:szCs w:val="24"/>
        </w:rPr>
      </w:pPr>
      <w:r>
        <w:rPr>
          <w:rFonts w:ascii="宋体" w:hAnsi="宋体" w:eastAsia="宋体" w:cs="宋体"/>
          <w:spacing w:val="-1"/>
          <w:sz w:val="24"/>
          <w:szCs w:val="24"/>
        </w:rPr>
        <w:t>煤气发电用水全部来自化学水处理车间的脱盐水。</w:t>
      </w:r>
    </w:p>
    <w:p w14:paraId="7C023211">
      <w:pPr>
        <w:spacing w:before="193" w:line="360" w:lineRule="auto"/>
        <w:ind w:left="8" w:right="80" w:firstLine="480"/>
        <w:rPr>
          <w:rFonts w:ascii="宋体" w:hAnsi="宋体" w:eastAsia="宋体" w:cs="宋体"/>
          <w:sz w:val="24"/>
          <w:szCs w:val="24"/>
        </w:rPr>
      </w:pPr>
      <w:r>
        <w:rPr>
          <w:rFonts w:ascii="宋体" w:hAnsi="宋体" w:eastAsia="宋体" w:cs="宋体"/>
          <w:spacing w:val="1"/>
          <w:sz w:val="24"/>
          <w:szCs w:val="24"/>
        </w:rPr>
        <w:t>化学水处理车间采用二级反渗透</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EDI</w:t>
      </w:r>
      <w:r>
        <w:rPr>
          <w:rFonts w:ascii="Times New Roman" w:hAnsi="Times New Roman" w:eastAsia="Times New Roman" w:cs="Times New Roman"/>
          <w:spacing w:val="1"/>
          <w:sz w:val="24"/>
          <w:szCs w:val="24"/>
        </w:rPr>
        <w:t xml:space="preserve"> </w:t>
      </w:r>
      <w:r>
        <w:rPr>
          <w:rFonts w:ascii="宋体" w:hAnsi="宋体" w:eastAsia="宋体" w:cs="宋体"/>
          <w:spacing w:val="1"/>
          <w:sz w:val="24"/>
          <w:szCs w:val="24"/>
        </w:rPr>
        <w:t>脱盐水制备工艺，设计出水能力为</w:t>
      </w:r>
      <w:r>
        <w:rPr>
          <w:rFonts w:ascii="宋体" w:hAnsi="宋体" w:eastAsia="宋体" w:cs="宋体"/>
          <w:spacing w:val="-33"/>
          <w:sz w:val="24"/>
          <w:szCs w:val="24"/>
        </w:rPr>
        <w:t xml:space="preserve"> </w:t>
      </w:r>
      <w:r>
        <w:rPr>
          <w:rFonts w:ascii="Times New Roman" w:hAnsi="Times New Roman" w:eastAsia="Times New Roman" w:cs="Times New Roman"/>
          <w:spacing w:val="1"/>
          <w:sz w:val="24"/>
          <w:szCs w:val="24"/>
        </w:rPr>
        <w:t>5m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/h</w:t>
      </w:r>
      <w:r>
        <w:rPr>
          <w:rFonts w:ascii="Times New Roman" w:hAnsi="Times New Roman" w:eastAsia="Times New Roman" w:cs="Times New Roman"/>
          <w:spacing w:val="-23"/>
          <w:sz w:val="24"/>
          <w:szCs w:val="24"/>
        </w:rPr>
        <w:t xml:space="preserve"> </w:t>
      </w:r>
      <w:r>
        <w:rPr>
          <w:rFonts w:ascii="宋体" w:hAnsi="宋体" w:eastAsia="宋体" w:cs="宋体"/>
          <w:spacing w:val="1"/>
          <w:sz w:val="24"/>
          <w:szCs w:val="24"/>
        </w:rPr>
        <w:t>。</w:t>
      </w:r>
      <w:r>
        <w:rPr>
          <w:rFonts w:ascii="宋体" w:hAnsi="宋体" w:eastAsia="宋体" w:cs="宋体"/>
          <w:sz w:val="24"/>
          <w:szCs w:val="24"/>
        </w:rPr>
        <w:t xml:space="preserve"> </w:t>
      </w:r>
      <w:r>
        <w:rPr>
          <w:rFonts w:ascii="宋体" w:hAnsi="宋体" w:eastAsia="宋体" w:cs="宋体"/>
          <w:spacing w:val="-4"/>
          <w:sz w:val="24"/>
          <w:szCs w:val="24"/>
        </w:rPr>
        <w:t>其工艺简要流程为：原水箱</w:t>
      </w:r>
      <w:r>
        <w:rPr>
          <w:rFonts w:ascii="Times New Roman" w:hAnsi="Times New Roman" w:eastAsia="Times New Roman" w:cs="Times New Roman"/>
          <w:spacing w:val="-4"/>
          <w:sz w:val="24"/>
          <w:szCs w:val="24"/>
        </w:rPr>
        <w:t>→</w:t>
      </w:r>
      <w:r>
        <w:rPr>
          <w:rFonts w:ascii="Times New Roman" w:hAnsi="Times New Roman" w:eastAsia="Times New Roman" w:cs="Times New Roman"/>
          <w:spacing w:val="-43"/>
          <w:sz w:val="24"/>
          <w:szCs w:val="24"/>
        </w:rPr>
        <w:t xml:space="preserve"> </w:t>
      </w:r>
      <w:r>
        <w:rPr>
          <w:rFonts w:ascii="宋体" w:hAnsi="宋体" w:eastAsia="宋体" w:cs="宋体"/>
          <w:spacing w:val="-4"/>
          <w:sz w:val="24"/>
          <w:szCs w:val="24"/>
        </w:rPr>
        <w:t>原水泵</w:t>
      </w:r>
      <w:r>
        <w:rPr>
          <w:rFonts w:ascii="Times New Roman" w:hAnsi="Times New Roman" w:eastAsia="Times New Roman" w:cs="Times New Roman"/>
          <w:spacing w:val="-4"/>
          <w:sz w:val="24"/>
          <w:szCs w:val="24"/>
        </w:rPr>
        <w:t>→</w:t>
      </w:r>
      <w:r>
        <w:rPr>
          <w:rFonts w:ascii="Times New Roman" w:hAnsi="Times New Roman" w:eastAsia="Times New Roman" w:cs="Times New Roman"/>
          <w:spacing w:val="-39"/>
          <w:sz w:val="24"/>
          <w:szCs w:val="24"/>
        </w:rPr>
        <w:t xml:space="preserve"> </w:t>
      </w:r>
      <w:r>
        <w:rPr>
          <w:rFonts w:ascii="宋体" w:hAnsi="宋体" w:eastAsia="宋体" w:cs="宋体"/>
          <w:spacing w:val="-4"/>
          <w:sz w:val="24"/>
          <w:szCs w:val="24"/>
        </w:rPr>
        <w:t>多介质过滤器</w:t>
      </w:r>
      <w:r>
        <w:rPr>
          <w:rFonts w:ascii="Times New Roman" w:hAnsi="Times New Roman" w:eastAsia="Times New Roman" w:cs="Times New Roman"/>
          <w:spacing w:val="-4"/>
          <w:sz w:val="24"/>
          <w:szCs w:val="24"/>
        </w:rPr>
        <w:t>→</w:t>
      </w:r>
      <w:r>
        <w:rPr>
          <w:rFonts w:ascii="宋体" w:hAnsi="宋体" w:eastAsia="宋体" w:cs="宋体"/>
          <w:spacing w:val="-4"/>
          <w:sz w:val="24"/>
          <w:szCs w:val="24"/>
        </w:rPr>
        <w:t>活性炭过滤器</w:t>
      </w:r>
      <w:r>
        <w:rPr>
          <w:rFonts w:ascii="Times New Roman" w:hAnsi="Times New Roman" w:eastAsia="Times New Roman" w:cs="Times New Roman"/>
          <w:spacing w:val="-4"/>
          <w:sz w:val="24"/>
          <w:szCs w:val="24"/>
        </w:rPr>
        <w:t>→</w:t>
      </w:r>
      <w:r>
        <w:rPr>
          <w:rFonts w:ascii="宋体" w:hAnsi="宋体" w:eastAsia="宋体" w:cs="宋体"/>
          <w:spacing w:val="-4"/>
          <w:sz w:val="24"/>
          <w:szCs w:val="24"/>
        </w:rPr>
        <w:t>一级反渗透装置</w:t>
      </w:r>
      <w:r>
        <w:rPr>
          <w:rFonts w:ascii="宋体" w:hAnsi="宋体" w:eastAsia="宋体" w:cs="宋体"/>
          <w:sz w:val="24"/>
          <w:szCs w:val="24"/>
        </w:rPr>
        <w:t xml:space="preserve"> </w:t>
      </w:r>
      <w:r>
        <w:rPr>
          <w:rFonts w:ascii="Times New Roman" w:hAnsi="Times New Roman" w:eastAsia="Times New Roman" w:cs="Times New Roman"/>
          <w:sz w:val="24"/>
          <w:szCs w:val="24"/>
        </w:rPr>
        <w:t>→</w:t>
      </w:r>
      <w:r>
        <w:rPr>
          <w:rFonts w:ascii="宋体" w:hAnsi="宋体" w:eastAsia="宋体" w:cs="宋体"/>
          <w:sz w:val="24"/>
          <w:szCs w:val="24"/>
        </w:rPr>
        <w:t>一级淡水箱</w:t>
      </w:r>
      <w:r>
        <w:rPr>
          <w:rFonts w:ascii="Times New Roman" w:hAnsi="Times New Roman" w:eastAsia="Times New Roman" w:cs="Times New Roman"/>
          <w:sz w:val="24"/>
          <w:szCs w:val="24"/>
        </w:rPr>
        <w:t>→</w:t>
      </w:r>
      <w:r>
        <w:rPr>
          <w:rFonts w:ascii="宋体" w:hAnsi="宋体" w:eastAsia="宋体" w:cs="宋体"/>
          <w:sz w:val="24"/>
          <w:szCs w:val="24"/>
        </w:rPr>
        <w:t>增压泵</w:t>
      </w:r>
      <w:r>
        <w:rPr>
          <w:rFonts w:ascii="Times New Roman" w:hAnsi="Times New Roman" w:eastAsia="Times New Roman" w:cs="Times New Roman"/>
          <w:sz w:val="24"/>
          <w:szCs w:val="24"/>
        </w:rPr>
        <w:t>→</w:t>
      </w:r>
      <w:r>
        <w:rPr>
          <w:rFonts w:ascii="宋体" w:hAnsi="宋体" w:eastAsia="宋体" w:cs="宋体"/>
          <w:sz w:val="24"/>
          <w:szCs w:val="24"/>
        </w:rPr>
        <w:t>二级反渗透装置</w:t>
      </w:r>
      <w:r>
        <w:rPr>
          <w:rFonts w:ascii="Times New Roman" w:hAnsi="Times New Roman" w:eastAsia="Times New Roman" w:cs="Times New Roman"/>
          <w:sz w:val="24"/>
          <w:szCs w:val="24"/>
        </w:rPr>
        <w:t xml:space="preserve">→RO </w:t>
      </w:r>
      <w:r>
        <w:rPr>
          <w:rFonts w:ascii="宋体" w:hAnsi="宋体" w:eastAsia="宋体" w:cs="宋体"/>
          <w:sz w:val="24"/>
          <w:szCs w:val="24"/>
        </w:rPr>
        <w:t>水箱</w:t>
      </w:r>
      <w:r>
        <w:rPr>
          <w:rFonts w:ascii="Times New Roman" w:hAnsi="Times New Roman" w:eastAsia="Times New Roman" w:cs="Times New Roman"/>
          <w:sz w:val="24"/>
          <w:szCs w:val="24"/>
        </w:rPr>
        <w:t xml:space="preserve">→EDI </w:t>
      </w:r>
      <w:r>
        <w:rPr>
          <w:rFonts w:ascii="宋体" w:hAnsi="宋体" w:eastAsia="宋体" w:cs="宋体"/>
          <w:sz w:val="24"/>
          <w:szCs w:val="24"/>
        </w:rPr>
        <w:t>升</w:t>
      </w:r>
      <w:r>
        <w:rPr>
          <w:rFonts w:ascii="宋体" w:hAnsi="宋体" w:eastAsia="宋体" w:cs="宋体"/>
          <w:spacing w:val="-1"/>
          <w:sz w:val="24"/>
          <w:szCs w:val="24"/>
        </w:rPr>
        <w:t>压泵</w:t>
      </w:r>
      <w:r>
        <w:rPr>
          <w:rFonts w:ascii="Times New Roman" w:hAnsi="Times New Roman" w:eastAsia="Times New Roman" w:cs="Times New Roman"/>
          <w:spacing w:val="-1"/>
          <w:sz w:val="24"/>
          <w:szCs w:val="24"/>
        </w:rPr>
        <w:t xml:space="preserve">→EDI </w:t>
      </w:r>
      <w:r>
        <w:rPr>
          <w:rFonts w:ascii="宋体" w:hAnsi="宋体" w:eastAsia="宋体" w:cs="宋体"/>
          <w:spacing w:val="-1"/>
          <w:sz w:val="24"/>
          <w:szCs w:val="24"/>
        </w:rPr>
        <w:t>装置</w:t>
      </w:r>
      <w:r>
        <w:rPr>
          <w:rFonts w:ascii="Times New Roman" w:hAnsi="Times New Roman" w:eastAsia="Times New Roman" w:cs="Times New Roman"/>
          <w:spacing w:val="-1"/>
          <w:sz w:val="24"/>
          <w:szCs w:val="24"/>
        </w:rPr>
        <w:t>→</w:t>
      </w:r>
      <w:r>
        <w:rPr>
          <w:rFonts w:ascii="Times New Roman" w:hAnsi="Times New Roman" w:eastAsia="Times New Roman" w:cs="Times New Roman"/>
          <w:spacing w:val="-34"/>
          <w:sz w:val="24"/>
          <w:szCs w:val="24"/>
        </w:rPr>
        <w:t xml:space="preserve"> </w:t>
      </w:r>
      <w:r>
        <w:rPr>
          <w:rFonts w:ascii="宋体" w:hAnsi="宋体" w:eastAsia="宋体" w:cs="宋体"/>
          <w:spacing w:val="-1"/>
          <w:sz w:val="24"/>
          <w:szCs w:val="24"/>
        </w:rPr>
        <w:t>除盐水</w:t>
      </w:r>
      <w:r>
        <w:rPr>
          <w:rFonts w:ascii="宋体" w:hAnsi="宋体" w:eastAsia="宋体" w:cs="宋体"/>
          <w:sz w:val="24"/>
          <w:szCs w:val="24"/>
        </w:rPr>
        <w:t xml:space="preserve"> </w:t>
      </w:r>
      <w:r>
        <w:rPr>
          <w:rFonts w:ascii="宋体" w:hAnsi="宋体" w:eastAsia="宋体" w:cs="宋体"/>
          <w:spacing w:val="-3"/>
          <w:sz w:val="24"/>
          <w:szCs w:val="24"/>
        </w:rPr>
        <w:t>箱</w:t>
      </w:r>
      <w:r>
        <w:rPr>
          <w:rFonts w:ascii="Times New Roman" w:hAnsi="Times New Roman" w:eastAsia="Times New Roman" w:cs="Times New Roman"/>
          <w:spacing w:val="-3"/>
          <w:sz w:val="24"/>
          <w:szCs w:val="24"/>
        </w:rPr>
        <w:t>→</w:t>
      </w:r>
      <w:r>
        <w:rPr>
          <w:rFonts w:ascii="Times New Roman" w:hAnsi="Times New Roman" w:eastAsia="Times New Roman" w:cs="Times New Roman"/>
          <w:spacing w:val="-35"/>
          <w:sz w:val="24"/>
          <w:szCs w:val="24"/>
        </w:rPr>
        <w:t xml:space="preserve"> </w:t>
      </w:r>
      <w:r>
        <w:rPr>
          <w:rFonts w:ascii="宋体" w:hAnsi="宋体" w:eastAsia="宋体" w:cs="宋体"/>
          <w:spacing w:val="-3"/>
          <w:sz w:val="24"/>
          <w:szCs w:val="24"/>
        </w:rPr>
        <w:t>除盐水泵</w:t>
      </w:r>
      <w:r>
        <w:rPr>
          <w:rFonts w:ascii="Times New Roman" w:hAnsi="Times New Roman" w:eastAsia="Times New Roman" w:cs="Times New Roman"/>
          <w:spacing w:val="-3"/>
          <w:sz w:val="24"/>
          <w:szCs w:val="24"/>
        </w:rPr>
        <w:t>→</w:t>
      </w:r>
      <w:r>
        <w:rPr>
          <w:rFonts w:ascii="宋体" w:hAnsi="宋体" w:eastAsia="宋体" w:cs="宋体"/>
          <w:spacing w:val="-3"/>
          <w:sz w:val="24"/>
          <w:szCs w:val="24"/>
        </w:rPr>
        <w:t>燃气锅炉。</w:t>
      </w:r>
    </w:p>
    <w:p w14:paraId="088AEEA6">
      <w:pPr>
        <w:spacing w:before="36" w:line="354" w:lineRule="auto"/>
        <w:ind w:left="11" w:right="80" w:firstLine="477"/>
        <w:rPr>
          <w:rFonts w:ascii="宋体" w:hAnsi="宋体" w:eastAsia="宋体" w:cs="宋体"/>
          <w:sz w:val="24"/>
          <w:szCs w:val="24"/>
        </w:rPr>
      </w:pPr>
      <w:r>
        <w:rPr>
          <w:rFonts w:ascii="宋体" w:hAnsi="宋体" w:eastAsia="宋体" w:cs="宋体"/>
          <w:spacing w:val="-2"/>
          <w:sz w:val="24"/>
          <w:szCs w:val="24"/>
        </w:rPr>
        <w:t>锅炉汽水损耗量、排污量为</w:t>
      </w:r>
      <w:r>
        <w:rPr>
          <w:rFonts w:ascii="宋体" w:hAnsi="宋体" w:eastAsia="宋体" w:cs="宋体"/>
          <w:spacing w:val="-35"/>
          <w:sz w:val="24"/>
          <w:szCs w:val="24"/>
        </w:rPr>
        <w:t xml:space="preserve"> </w:t>
      </w:r>
      <w:r>
        <w:rPr>
          <w:rFonts w:ascii="Times New Roman" w:hAnsi="Times New Roman" w:eastAsia="Times New Roman" w:cs="Times New Roman"/>
          <w:spacing w:val="-2"/>
          <w:sz w:val="24"/>
          <w:szCs w:val="24"/>
        </w:rPr>
        <w:t>6.0m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宋体" w:hAnsi="宋体" w:eastAsia="宋体" w:cs="宋体"/>
          <w:spacing w:val="-2"/>
          <w:sz w:val="24"/>
          <w:szCs w:val="24"/>
        </w:rPr>
        <w:t>，补充水量为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6.0m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宋体" w:hAnsi="宋体" w:eastAsia="宋体" w:cs="宋体"/>
          <w:spacing w:val="-2"/>
          <w:sz w:val="24"/>
          <w:szCs w:val="24"/>
        </w:rPr>
        <w:t>；化学水处理车间出水率</w:t>
      </w:r>
      <w:r>
        <w:rPr>
          <w:rFonts w:ascii="宋体" w:hAnsi="宋体" w:eastAsia="宋体" w:cs="宋体"/>
          <w:sz w:val="24"/>
          <w:szCs w:val="24"/>
        </w:rPr>
        <w:t xml:space="preserve"> </w:t>
      </w:r>
      <w:r>
        <w:rPr>
          <w:rFonts w:ascii="宋体" w:hAnsi="宋体" w:eastAsia="宋体" w:cs="宋体"/>
          <w:spacing w:val="-4"/>
          <w:sz w:val="24"/>
          <w:szCs w:val="24"/>
        </w:rPr>
        <w:t>为</w:t>
      </w:r>
      <w:r>
        <w:rPr>
          <w:rFonts w:ascii="宋体" w:hAnsi="宋体" w:eastAsia="宋体" w:cs="宋体"/>
          <w:spacing w:val="-37"/>
          <w:sz w:val="24"/>
          <w:szCs w:val="24"/>
        </w:rPr>
        <w:t xml:space="preserve"> </w:t>
      </w:r>
      <w:r>
        <w:rPr>
          <w:rFonts w:ascii="Times New Roman" w:hAnsi="Times New Roman" w:eastAsia="Times New Roman" w:cs="Times New Roman"/>
          <w:spacing w:val="-4"/>
          <w:sz w:val="24"/>
          <w:szCs w:val="24"/>
        </w:rPr>
        <w:t>80%</w:t>
      </w:r>
      <w:r>
        <w:rPr>
          <w:rFonts w:ascii="Times New Roman" w:hAnsi="Times New Roman" w:eastAsia="Times New Roman" w:cs="Times New Roman"/>
          <w:spacing w:val="-31"/>
          <w:sz w:val="24"/>
          <w:szCs w:val="24"/>
        </w:rPr>
        <w:t xml:space="preserve"> </w:t>
      </w:r>
      <w:r>
        <w:rPr>
          <w:rFonts w:ascii="宋体" w:hAnsi="宋体" w:eastAsia="宋体" w:cs="宋体"/>
          <w:spacing w:val="-4"/>
          <w:sz w:val="24"/>
          <w:szCs w:val="24"/>
        </w:rPr>
        <w:t>，耗水量为</w:t>
      </w:r>
      <w:r>
        <w:rPr>
          <w:rFonts w:ascii="宋体" w:hAnsi="宋体" w:eastAsia="宋体" w:cs="宋体"/>
          <w:spacing w:val="-52"/>
          <w:sz w:val="24"/>
          <w:szCs w:val="24"/>
        </w:rPr>
        <w:t xml:space="preserve"> </w:t>
      </w:r>
      <w:r>
        <w:rPr>
          <w:rFonts w:ascii="Times New Roman" w:hAnsi="Times New Roman" w:eastAsia="Times New Roman" w:cs="Times New Roman"/>
          <w:spacing w:val="-4"/>
          <w:sz w:val="24"/>
          <w:szCs w:val="24"/>
        </w:rPr>
        <w:t>7.50m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4"/>
          <w:sz w:val="24"/>
          <w:szCs w:val="24"/>
        </w:rPr>
        <w:t>/h</w:t>
      </w:r>
      <w:r>
        <w:rPr>
          <w:rFonts w:ascii="Times New Roman" w:hAnsi="Times New Roman" w:eastAsia="Times New Roman" w:cs="Times New Roman"/>
          <w:spacing w:val="-33"/>
          <w:sz w:val="24"/>
          <w:szCs w:val="24"/>
        </w:rPr>
        <w:t xml:space="preserve"> </w:t>
      </w:r>
      <w:r>
        <w:rPr>
          <w:rFonts w:ascii="宋体" w:hAnsi="宋体" w:eastAsia="宋体" w:cs="宋体"/>
          <w:spacing w:val="-4"/>
          <w:sz w:val="24"/>
          <w:szCs w:val="24"/>
        </w:rPr>
        <w:t>，排污量为</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1.50m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4"/>
          <w:sz w:val="24"/>
          <w:szCs w:val="24"/>
        </w:rPr>
        <w:t>/h</w:t>
      </w:r>
      <w:r>
        <w:rPr>
          <w:rFonts w:ascii="宋体" w:hAnsi="宋体" w:eastAsia="宋体" w:cs="宋体"/>
          <w:spacing w:val="-4"/>
          <w:sz w:val="24"/>
          <w:szCs w:val="24"/>
        </w:rPr>
        <w:t>。</w:t>
      </w:r>
    </w:p>
    <w:p w14:paraId="1ACDB8C1">
      <w:pPr>
        <w:spacing w:before="31" w:line="219" w:lineRule="auto"/>
        <w:ind w:left="482"/>
        <w:rPr>
          <w:rFonts w:ascii="宋体" w:hAnsi="宋体" w:eastAsia="宋体" w:cs="宋体"/>
          <w:sz w:val="24"/>
          <w:szCs w:val="24"/>
        </w:rPr>
      </w:pPr>
      <w:r>
        <w:rPr>
          <w:rFonts w:ascii="Times New Roman" w:hAnsi="Times New Roman" w:eastAsia="Times New Roman" w:cs="Times New Roman"/>
          <w:spacing w:val="-3"/>
          <w:sz w:val="24"/>
          <w:szCs w:val="24"/>
        </w:rPr>
        <w:t>4</w:t>
      </w:r>
      <w:r>
        <w:rPr>
          <w:rFonts w:ascii="Times New Roman" w:hAnsi="Times New Roman" w:eastAsia="Times New Roman" w:cs="Times New Roman"/>
          <w:spacing w:val="-23"/>
          <w:sz w:val="24"/>
          <w:szCs w:val="24"/>
        </w:rPr>
        <w:t xml:space="preserve"> </w:t>
      </w:r>
      <w:r>
        <w:rPr>
          <w:rFonts w:ascii="宋体" w:hAnsi="宋体" w:eastAsia="宋体" w:cs="宋体"/>
          <w:spacing w:val="-3"/>
          <w:sz w:val="24"/>
          <w:szCs w:val="24"/>
        </w:rPr>
        <w:t>、煤气发电辅机冷却循环水站</w:t>
      </w:r>
    </w:p>
    <w:p w14:paraId="5D065C96">
      <w:pPr>
        <w:spacing w:before="194" w:line="360" w:lineRule="auto"/>
        <w:ind w:left="11" w:right="80" w:firstLine="478"/>
        <w:rPr>
          <w:rFonts w:ascii="宋体" w:hAnsi="宋体" w:eastAsia="宋体" w:cs="宋体"/>
          <w:sz w:val="24"/>
          <w:szCs w:val="24"/>
        </w:rPr>
      </w:pPr>
      <w:r>
        <w:rPr>
          <w:rFonts w:ascii="宋体" w:hAnsi="宋体" w:eastAsia="宋体" w:cs="宋体"/>
          <w:spacing w:val="3"/>
          <w:sz w:val="24"/>
          <w:szCs w:val="24"/>
        </w:rPr>
        <w:t>本项目煤气发电系统辅机冷却采用以自然通风冷却塔为冷却设备的母管制循环供</w:t>
      </w:r>
      <w:r>
        <w:rPr>
          <w:rFonts w:ascii="宋体" w:hAnsi="宋体" w:eastAsia="宋体" w:cs="宋体"/>
          <w:spacing w:val="17"/>
          <w:sz w:val="24"/>
          <w:szCs w:val="24"/>
        </w:rPr>
        <w:t xml:space="preserve"> </w:t>
      </w:r>
      <w:r>
        <w:rPr>
          <w:rFonts w:ascii="宋体" w:hAnsi="宋体" w:eastAsia="宋体" w:cs="宋体"/>
          <w:spacing w:val="-3"/>
          <w:sz w:val="24"/>
          <w:szCs w:val="24"/>
        </w:rPr>
        <w:t>水系统。循环水系统工艺流程如下：循环水泵</w:t>
      </w:r>
      <w:r>
        <w:rPr>
          <w:rFonts w:ascii="Times New Roman" w:hAnsi="Times New Roman" w:eastAsia="Times New Roman" w:cs="Times New Roman"/>
          <w:spacing w:val="-3"/>
          <w:sz w:val="24"/>
          <w:szCs w:val="24"/>
        </w:rPr>
        <w:t>→</w:t>
      </w:r>
      <w:r>
        <w:rPr>
          <w:rFonts w:ascii="宋体" w:hAnsi="宋体" w:eastAsia="宋体" w:cs="宋体"/>
          <w:spacing w:val="-3"/>
          <w:sz w:val="24"/>
          <w:szCs w:val="24"/>
        </w:rPr>
        <w:t>循环水压力给水管</w:t>
      </w:r>
      <w:r>
        <w:rPr>
          <w:rFonts w:ascii="Times New Roman" w:hAnsi="Times New Roman" w:eastAsia="Times New Roman" w:cs="Times New Roman"/>
          <w:spacing w:val="-3"/>
          <w:sz w:val="24"/>
          <w:szCs w:val="24"/>
        </w:rPr>
        <w:t>→</w:t>
      </w:r>
      <w:r>
        <w:rPr>
          <w:rFonts w:ascii="宋体" w:hAnsi="宋体" w:eastAsia="宋体" w:cs="宋体"/>
          <w:spacing w:val="-3"/>
          <w:sz w:val="24"/>
          <w:szCs w:val="24"/>
        </w:rPr>
        <w:t>辅机冷却器</w:t>
      </w:r>
      <w:r>
        <w:rPr>
          <w:rFonts w:ascii="Times New Roman" w:hAnsi="Times New Roman" w:eastAsia="Times New Roman" w:cs="Times New Roman"/>
          <w:spacing w:val="-4"/>
          <w:sz w:val="24"/>
          <w:szCs w:val="24"/>
        </w:rPr>
        <w:t>→</w:t>
      </w:r>
      <w:r>
        <w:rPr>
          <w:rFonts w:ascii="宋体" w:hAnsi="宋体" w:eastAsia="宋体" w:cs="宋体"/>
          <w:spacing w:val="-4"/>
          <w:sz w:val="24"/>
          <w:szCs w:val="24"/>
        </w:rPr>
        <w:t>循环</w:t>
      </w:r>
      <w:r>
        <w:rPr>
          <w:rFonts w:ascii="宋体" w:hAnsi="宋体" w:eastAsia="宋体" w:cs="宋体"/>
          <w:sz w:val="24"/>
          <w:szCs w:val="24"/>
        </w:rPr>
        <w:t xml:space="preserve"> </w:t>
      </w:r>
      <w:r>
        <w:rPr>
          <w:rFonts w:ascii="宋体" w:hAnsi="宋体" w:eastAsia="宋体" w:cs="宋体"/>
          <w:spacing w:val="-4"/>
          <w:sz w:val="24"/>
          <w:szCs w:val="24"/>
        </w:rPr>
        <w:t>水压力排水管</w:t>
      </w:r>
      <w:r>
        <w:rPr>
          <w:rFonts w:ascii="Times New Roman" w:hAnsi="Times New Roman" w:eastAsia="Times New Roman" w:cs="Times New Roman"/>
          <w:spacing w:val="-4"/>
          <w:sz w:val="24"/>
          <w:szCs w:val="24"/>
        </w:rPr>
        <w:t>→</w:t>
      </w:r>
      <w:r>
        <w:rPr>
          <w:rFonts w:ascii="Times New Roman" w:hAnsi="Times New Roman" w:eastAsia="Times New Roman" w:cs="Times New Roman"/>
          <w:spacing w:val="-11"/>
          <w:sz w:val="24"/>
          <w:szCs w:val="24"/>
        </w:rPr>
        <w:t xml:space="preserve"> </w:t>
      </w:r>
      <w:r>
        <w:rPr>
          <w:rFonts w:ascii="宋体" w:hAnsi="宋体" w:eastAsia="宋体" w:cs="宋体"/>
          <w:spacing w:val="-4"/>
          <w:sz w:val="24"/>
          <w:szCs w:val="24"/>
        </w:rPr>
        <w:t>自然通风冷却塔</w:t>
      </w:r>
      <w:r>
        <w:rPr>
          <w:rFonts w:ascii="Times New Roman" w:hAnsi="Times New Roman" w:eastAsia="Times New Roman" w:cs="Times New Roman"/>
          <w:spacing w:val="-4"/>
          <w:sz w:val="24"/>
          <w:szCs w:val="24"/>
        </w:rPr>
        <w:t>→</w:t>
      </w:r>
      <w:r>
        <w:rPr>
          <w:rFonts w:ascii="宋体" w:hAnsi="宋体" w:eastAsia="宋体" w:cs="宋体"/>
          <w:spacing w:val="-4"/>
          <w:sz w:val="24"/>
          <w:szCs w:val="24"/>
        </w:rPr>
        <w:t>循环水回水沟</w:t>
      </w:r>
      <w:r>
        <w:rPr>
          <w:rFonts w:ascii="Times New Roman" w:hAnsi="Times New Roman" w:eastAsia="Times New Roman" w:cs="Times New Roman"/>
          <w:spacing w:val="-4"/>
          <w:sz w:val="24"/>
          <w:szCs w:val="24"/>
        </w:rPr>
        <w:t>→</w:t>
      </w:r>
      <w:r>
        <w:rPr>
          <w:rFonts w:ascii="宋体" w:hAnsi="宋体" w:eastAsia="宋体" w:cs="宋体"/>
          <w:spacing w:val="-4"/>
          <w:sz w:val="24"/>
          <w:szCs w:val="24"/>
        </w:rPr>
        <w:t>循环</w:t>
      </w:r>
      <w:r>
        <w:rPr>
          <w:rFonts w:ascii="宋体" w:hAnsi="宋体" w:eastAsia="宋体" w:cs="宋体"/>
          <w:spacing w:val="-5"/>
          <w:sz w:val="24"/>
          <w:szCs w:val="24"/>
        </w:rPr>
        <w:t>水吸水前池</w:t>
      </w:r>
      <w:r>
        <w:rPr>
          <w:rFonts w:ascii="Times New Roman" w:hAnsi="Times New Roman" w:eastAsia="Times New Roman" w:cs="Times New Roman"/>
          <w:spacing w:val="-5"/>
          <w:sz w:val="24"/>
          <w:szCs w:val="24"/>
        </w:rPr>
        <w:t>→</w:t>
      </w:r>
      <w:r>
        <w:rPr>
          <w:rFonts w:ascii="宋体" w:hAnsi="宋体" w:eastAsia="宋体" w:cs="宋体"/>
          <w:spacing w:val="-5"/>
          <w:sz w:val="24"/>
          <w:szCs w:val="24"/>
        </w:rPr>
        <w:t>循环水泵。循环水</w:t>
      </w:r>
      <w:r>
        <w:rPr>
          <w:rFonts w:ascii="宋体" w:hAnsi="宋体" w:eastAsia="宋体" w:cs="宋体"/>
          <w:sz w:val="24"/>
          <w:szCs w:val="24"/>
        </w:rPr>
        <w:t xml:space="preserve"> </w:t>
      </w:r>
      <w:r>
        <w:rPr>
          <w:rFonts w:ascii="宋体" w:hAnsi="宋体" w:eastAsia="宋体" w:cs="宋体"/>
          <w:spacing w:val="-1"/>
          <w:sz w:val="24"/>
          <w:szCs w:val="24"/>
        </w:rPr>
        <w:t>系统的运行方式根据季节气象情况采用变倍率运行。</w:t>
      </w:r>
    </w:p>
    <w:p w14:paraId="1727D15B">
      <w:pPr>
        <w:spacing w:line="360" w:lineRule="auto"/>
        <w:rPr>
          <w:rFonts w:ascii="宋体" w:hAnsi="宋体" w:eastAsia="宋体" w:cs="宋体"/>
          <w:sz w:val="24"/>
          <w:szCs w:val="24"/>
        </w:rPr>
        <w:sectPr>
          <w:footerReference r:id="rId128" w:type="default"/>
          <w:pgSz w:w="11850" w:h="16781"/>
          <w:pgMar w:top="1178" w:right="1336" w:bottom="1013" w:left="1417" w:header="870" w:footer="850" w:gutter="0"/>
          <w:cols w:space="720" w:num="1"/>
        </w:sectPr>
      </w:pPr>
    </w:p>
    <w:p w14:paraId="0B4F0E7A">
      <w:pPr>
        <w:spacing w:before="312" w:line="359" w:lineRule="auto"/>
        <w:ind w:left="7" w:firstLine="480"/>
        <w:jc w:val="both"/>
        <w:rPr>
          <w:rFonts w:ascii="宋体" w:hAnsi="宋体" w:eastAsia="宋体" w:cs="宋体"/>
          <w:sz w:val="24"/>
          <w:szCs w:val="24"/>
        </w:rPr>
      </w:pPr>
      <w:r>
        <w:pict>
          <v:shape id="_x0000_s1176" o:spid="_x0000_s1176" style="position:absolute;left:0pt;margin-left:70.85pt;margin-top:59.65pt;height:0.75pt;width:450.75pt;mso-position-horizontal-relative:page;mso-position-vertical-relative:page;z-index:251834368;mso-width-relative:page;mso-height-relative:page;" fillcolor="#000000" filled="t" stroked="f" coordsize="9015,15" o:allowincell="f" path="m0,0l9014,0,9014,14,0,14,0,0xe">
            <v:path/>
            <v:fill on="t" focussize="0,0"/>
            <v:stroke on="f"/>
            <v:imagedata o:title=""/>
            <o:lock v:ext="edit"/>
          </v:shape>
        </w:pict>
      </w:r>
      <w:r>
        <w:rPr>
          <w:rFonts w:ascii="宋体" w:hAnsi="宋体" w:eastAsia="宋体" w:cs="宋体"/>
          <w:spacing w:val="-8"/>
          <w:sz w:val="24"/>
          <w:szCs w:val="24"/>
        </w:rPr>
        <w:t>循环水站配置</w:t>
      </w:r>
      <w:r>
        <w:rPr>
          <w:rFonts w:ascii="宋体" w:hAnsi="宋体" w:eastAsia="宋体" w:cs="宋体"/>
          <w:spacing w:val="-51"/>
          <w:sz w:val="24"/>
          <w:szCs w:val="24"/>
        </w:rPr>
        <w:t xml:space="preserve"> </w:t>
      </w:r>
      <w:r>
        <w:rPr>
          <w:rFonts w:ascii="Times New Roman" w:hAnsi="Times New Roman" w:eastAsia="Times New Roman" w:cs="Times New Roman"/>
          <w:spacing w:val="-8"/>
          <w:sz w:val="24"/>
          <w:szCs w:val="24"/>
        </w:rPr>
        <w:t>2</w:t>
      </w:r>
      <w:r>
        <w:rPr>
          <w:rFonts w:ascii="Times New Roman" w:hAnsi="Times New Roman" w:eastAsia="Times New Roman" w:cs="Times New Roman"/>
          <w:spacing w:val="28"/>
          <w:w w:val="101"/>
          <w:sz w:val="24"/>
          <w:szCs w:val="24"/>
        </w:rPr>
        <w:t xml:space="preserve"> </w:t>
      </w:r>
      <w:r>
        <w:rPr>
          <w:rFonts w:ascii="宋体" w:hAnsi="宋体" w:eastAsia="宋体" w:cs="宋体"/>
          <w:spacing w:val="-8"/>
          <w:sz w:val="24"/>
          <w:szCs w:val="24"/>
        </w:rPr>
        <w:t>台循环水泵，单台循环水泵流量为</w:t>
      </w:r>
      <w:r>
        <w:rPr>
          <w:rFonts w:ascii="宋体" w:hAnsi="宋体" w:eastAsia="宋体" w:cs="宋体"/>
          <w:spacing w:val="-32"/>
          <w:sz w:val="24"/>
          <w:szCs w:val="24"/>
        </w:rPr>
        <w:t xml:space="preserve"> </w:t>
      </w:r>
      <w:r>
        <w:rPr>
          <w:rFonts w:ascii="Times New Roman" w:hAnsi="Times New Roman" w:eastAsia="Times New Roman" w:cs="Times New Roman"/>
          <w:spacing w:val="-8"/>
          <w:sz w:val="24"/>
          <w:szCs w:val="24"/>
        </w:rPr>
        <w:t>1000m</w:t>
      </w:r>
      <w:r>
        <w:rPr>
          <w:rFonts w:ascii="Times New Roman" w:hAnsi="Times New Roman" w:eastAsia="Times New Roman" w:cs="Times New Roman"/>
          <w:spacing w:val="-8"/>
          <w:position w:val="7"/>
          <w:sz w:val="15"/>
          <w:szCs w:val="15"/>
        </w:rPr>
        <w:t>3</w:t>
      </w:r>
      <w:r>
        <w:rPr>
          <w:rFonts w:ascii="Times New Roman" w:hAnsi="Times New Roman" w:eastAsia="Times New Roman" w:cs="Times New Roman"/>
          <w:spacing w:val="-8"/>
          <w:sz w:val="24"/>
          <w:szCs w:val="24"/>
        </w:rPr>
        <w:t>/h</w:t>
      </w:r>
      <w:r>
        <w:rPr>
          <w:rFonts w:ascii="宋体" w:hAnsi="宋体" w:eastAsia="宋体" w:cs="宋体"/>
          <w:spacing w:val="-8"/>
          <w:sz w:val="24"/>
          <w:szCs w:val="24"/>
        </w:rPr>
        <w:t>，</w:t>
      </w:r>
      <w:r>
        <w:rPr>
          <w:rFonts w:ascii="Times New Roman" w:hAnsi="Times New Roman" w:eastAsia="Times New Roman" w:cs="Times New Roman"/>
          <w:spacing w:val="-8"/>
          <w:sz w:val="24"/>
          <w:szCs w:val="24"/>
        </w:rPr>
        <w:t>H=25m</w:t>
      </w:r>
      <w:r>
        <w:rPr>
          <w:rFonts w:ascii="宋体" w:hAnsi="宋体" w:eastAsia="宋体" w:cs="宋体"/>
          <w:spacing w:val="-13"/>
          <w:sz w:val="24"/>
          <w:szCs w:val="24"/>
        </w:rPr>
        <w:t>，</w:t>
      </w:r>
      <w:r>
        <w:rPr>
          <w:rFonts w:ascii="Times New Roman" w:hAnsi="Times New Roman" w:eastAsia="Times New Roman" w:cs="Times New Roman"/>
          <w:spacing w:val="-13"/>
          <w:sz w:val="24"/>
          <w:szCs w:val="24"/>
        </w:rPr>
        <w:t>n=1450r/min</w:t>
      </w:r>
      <w:r>
        <w:rPr>
          <w:rFonts w:ascii="宋体" w:hAnsi="宋体" w:eastAsia="宋体" w:cs="宋体"/>
          <w:spacing w:val="-13"/>
          <w:sz w:val="24"/>
          <w:szCs w:val="24"/>
        </w:rPr>
        <w:t>，</w:t>
      </w:r>
      <w:r>
        <w:rPr>
          <w:rFonts w:ascii="宋体" w:hAnsi="宋体" w:eastAsia="宋体" w:cs="宋体"/>
          <w:sz w:val="24"/>
          <w:szCs w:val="24"/>
        </w:rPr>
        <w:t xml:space="preserve"> </w:t>
      </w:r>
      <w:r>
        <w:rPr>
          <w:rFonts w:ascii="宋体" w:hAnsi="宋体" w:eastAsia="宋体" w:cs="宋体"/>
          <w:spacing w:val="-1"/>
          <w:sz w:val="24"/>
          <w:szCs w:val="24"/>
        </w:rPr>
        <w:t>配套电机功率</w:t>
      </w:r>
      <w:r>
        <w:rPr>
          <w:rFonts w:ascii="Times New Roman" w:hAnsi="Times New Roman" w:eastAsia="Times New Roman" w:cs="Times New Roman"/>
          <w:spacing w:val="-1"/>
          <w:sz w:val="24"/>
          <w:szCs w:val="24"/>
        </w:rPr>
        <w:t>25kW</w:t>
      </w:r>
      <w:r>
        <w:rPr>
          <w:rFonts w:ascii="宋体" w:hAnsi="宋体" w:eastAsia="宋体" w:cs="宋体"/>
          <w:spacing w:val="-1"/>
          <w:sz w:val="24"/>
          <w:szCs w:val="24"/>
        </w:rPr>
        <w:t>；本项目设逆流式钢结构冷却塔</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2"/>
          <w:sz w:val="24"/>
          <w:szCs w:val="24"/>
        </w:rPr>
        <w:t>座，设计冷却水量</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1500m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宋体" w:hAnsi="宋体" w:eastAsia="宋体" w:cs="宋体"/>
          <w:spacing w:val="-2"/>
          <w:sz w:val="24"/>
          <w:szCs w:val="24"/>
        </w:rPr>
        <w:t>，风</w:t>
      </w:r>
      <w:r>
        <w:rPr>
          <w:rFonts w:ascii="宋体" w:hAnsi="宋体" w:eastAsia="宋体" w:cs="宋体"/>
          <w:sz w:val="24"/>
          <w:szCs w:val="24"/>
        </w:rPr>
        <w:t xml:space="preserve"> </w:t>
      </w:r>
      <w:r>
        <w:rPr>
          <w:rFonts w:ascii="宋体" w:hAnsi="宋体" w:eastAsia="宋体" w:cs="宋体"/>
          <w:spacing w:val="-2"/>
          <w:sz w:val="24"/>
          <w:szCs w:val="24"/>
        </w:rPr>
        <w:t>机配套电机功率</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7.5kW</w:t>
      </w:r>
      <w:r>
        <w:rPr>
          <w:rFonts w:ascii="宋体" w:hAnsi="宋体" w:eastAsia="宋体" w:cs="宋体"/>
          <w:spacing w:val="-2"/>
          <w:sz w:val="24"/>
          <w:szCs w:val="24"/>
        </w:rPr>
        <w:t>。</w:t>
      </w:r>
    </w:p>
    <w:p w14:paraId="4568AA28">
      <w:pPr>
        <w:spacing w:before="75" w:line="352" w:lineRule="auto"/>
        <w:ind w:left="11" w:right="61" w:firstLine="480"/>
        <w:rPr>
          <w:rFonts w:ascii="宋体" w:hAnsi="宋体" w:eastAsia="宋体" w:cs="宋体"/>
          <w:sz w:val="24"/>
          <w:szCs w:val="24"/>
        </w:rPr>
      </w:pPr>
      <w:r>
        <w:rPr>
          <w:rFonts w:ascii="宋体" w:hAnsi="宋体" w:eastAsia="宋体" w:cs="宋体"/>
          <w:spacing w:val="-3"/>
          <w:sz w:val="24"/>
          <w:szCs w:val="24"/>
        </w:rPr>
        <w:t>为进一步防止循环水结垢和菌藻滋生，采用加酸和加杀生剂等</w:t>
      </w:r>
      <w:r>
        <w:rPr>
          <w:rFonts w:ascii="宋体" w:hAnsi="宋体" w:eastAsia="宋体" w:cs="宋体"/>
          <w:spacing w:val="-4"/>
          <w:sz w:val="24"/>
          <w:szCs w:val="24"/>
        </w:rPr>
        <w:t>措施进行处理。循环</w:t>
      </w:r>
      <w:r>
        <w:rPr>
          <w:rFonts w:ascii="宋体" w:hAnsi="宋体" w:eastAsia="宋体" w:cs="宋体"/>
          <w:sz w:val="24"/>
          <w:szCs w:val="24"/>
        </w:rPr>
        <w:t xml:space="preserve"> </w:t>
      </w:r>
      <w:r>
        <w:rPr>
          <w:rFonts w:ascii="宋体" w:hAnsi="宋体" w:eastAsia="宋体" w:cs="宋体"/>
          <w:spacing w:val="-1"/>
          <w:sz w:val="24"/>
          <w:szCs w:val="24"/>
        </w:rPr>
        <w:t>水采用加阻垢剂稳定处理，控制循环水的浓缩倍率在</w:t>
      </w:r>
      <w:r>
        <w:rPr>
          <w:rFonts w:ascii="宋体" w:hAnsi="宋体" w:eastAsia="宋体" w:cs="宋体"/>
          <w:spacing w:val="-45"/>
          <w:sz w:val="24"/>
          <w:szCs w:val="24"/>
        </w:rPr>
        <w:t xml:space="preserve"> </w:t>
      </w:r>
      <w:r>
        <w:rPr>
          <w:rFonts w:ascii="Times New Roman" w:hAnsi="Times New Roman" w:eastAsia="Times New Roman" w:cs="Times New Roman"/>
          <w:spacing w:val="-1"/>
          <w:sz w:val="24"/>
          <w:szCs w:val="24"/>
        </w:rPr>
        <w:t>3</w:t>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4 </w:t>
      </w:r>
      <w:r>
        <w:rPr>
          <w:rFonts w:ascii="宋体" w:hAnsi="宋体" w:eastAsia="宋体" w:cs="宋体"/>
          <w:spacing w:val="-1"/>
          <w:sz w:val="24"/>
          <w:szCs w:val="24"/>
        </w:rPr>
        <w:t>倍。</w:t>
      </w:r>
    </w:p>
    <w:p w14:paraId="16F3134B">
      <w:pPr>
        <w:spacing w:before="37" w:line="354" w:lineRule="auto"/>
        <w:ind w:left="27" w:right="61" w:firstLine="462"/>
        <w:rPr>
          <w:rFonts w:ascii="宋体" w:hAnsi="宋体" w:eastAsia="宋体" w:cs="宋体"/>
          <w:sz w:val="24"/>
          <w:szCs w:val="24"/>
        </w:rPr>
      </w:pPr>
      <w:r>
        <w:rPr>
          <w:rFonts w:ascii="宋体" w:hAnsi="宋体" w:eastAsia="宋体" w:cs="宋体"/>
          <w:spacing w:val="-2"/>
          <w:sz w:val="24"/>
          <w:szCs w:val="24"/>
        </w:rPr>
        <w:t>本项目正常运行时余热发电辅机冷却循环水用量为</w:t>
      </w:r>
      <w:r>
        <w:rPr>
          <w:rFonts w:ascii="宋体" w:hAnsi="宋体" w:eastAsia="宋体" w:cs="宋体"/>
          <w:spacing w:val="-34"/>
          <w:sz w:val="24"/>
          <w:szCs w:val="24"/>
        </w:rPr>
        <w:t xml:space="preserve"> </w:t>
      </w:r>
      <w:r>
        <w:rPr>
          <w:rFonts w:ascii="Times New Roman" w:hAnsi="Times New Roman" w:eastAsia="Times New Roman" w:cs="Times New Roman"/>
          <w:spacing w:val="-2"/>
          <w:sz w:val="24"/>
          <w:szCs w:val="24"/>
        </w:rPr>
        <w:t>800m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，循环冷却水补充量为</w:t>
      </w:r>
      <w:r>
        <w:rPr>
          <w:rFonts w:ascii="宋体" w:hAnsi="宋体" w:eastAsia="宋体" w:cs="宋体"/>
          <w:sz w:val="24"/>
          <w:szCs w:val="24"/>
        </w:rPr>
        <w:t xml:space="preserve"> </w:t>
      </w:r>
      <w:r>
        <w:rPr>
          <w:rFonts w:ascii="Times New Roman" w:hAnsi="Times New Roman" w:eastAsia="Times New Roman" w:cs="Times New Roman"/>
          <w:spacing w:val="-3"/>
          <w:sz w:val="24"/>
          <w:szCs w:val="24"/>
        </w:rPr>
        <w:t>16.0m</w:t>
      </w:r>
      <w:r>
        <w:rPr>
          <w:rFonts w:ascii="Times New Roman" w:hAnsi="Times New Roman" w:eastAsia="Times New Roman" w:cs="Times New Roman"/>
          <w:spacing w:val="-3"/>
          <w:position w:val="7"/>
          <w:sz w:val="15"/>
          <w:szCs w:val="15"/>
        </w:rPr>
        <w:t>3</w:t>
      </w:r>
      <w:r>
        <w:rPr>
          <w:rFonts w:ascii="Times New Roman" w:hAnsi="Times New Roman" w:eastAsia="Times New Roman" w:cs="Times New Roman"/>
          <w:spacing w:val="-3"/>
          <w:sz w:val="24"/>
          <w:szCs w:val="24"/>
        </w:rPr>
        <w:t>/h</w:t>
      </w:r>
      <w:r>
        <w:rPr>
          <w:rFonts w:ascii="Times New Roman" w:hAnsi="Times New Roman" w:eastAsia="Times New Roman" w:cs="Times New Roman"/>
          <w:spacing w:val="-28"/>
          <w:sz w:val="24"/>
          <w:szCs w:val="24"/>
        </w:rPr>
        <w:t xml:space="preserve"> </w:t>
      </w:r>
      <w:r>
        <w:rPr>
          <w:rFonts w:ascii="宋体" w:hAnsi="宋体" w:eastAsia="宋体" w:cs="宋体"/>
          <w:spacing w:val="-3"/>
          <w:sz w:val="24"/>
          <w:szCs w:val="24"/>
        </w:rPr>
        <w:t>，其中排水量为</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2.40m</w:t>
      </w:r>
      <w:r>
        <w:rPr>
          <w:rFonts w:ascii="Times New Roman" w:hAnsi="Times New Roman" w:eastAsia="Times New Roman" w:cs="Times New Roman"/>
          <w:spacing w:val="-3"/>
          <w:position w:val="7"/>
          <w:sz w:val="15"/>
          <w:szCs w:val="15"/>
        </w:rPr>
        <w:t>3</w:t>
      </w:r>
      <w:r>
        <w:rPr>
          <w:rFonts w:ascii="Times New Roman" w:hAnsi="Times New Roman" w:eastAsia="Times New Roman" w:cs="Times New Roman"/>
          <w:spacing w:val="-3"/>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，损耗量为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13.60m</w:t>
      </w:r>
      <w:r>
        <w:rPr>
          <w:rFonts w:ascii="Times New Roman" w:hAnsi="Times New Roman" w:eastAsia="Times New Roman" w:cs="Times New Roman"/>
          <w:spacing w:val="-3"/>
          <w:position w:val="7"/>
          <w:sz w:val="15"/>
          <w:szCs w:val="15"/>
        </w:rPr>
        <w:t>3</w:t>
      </w:r>
      <w:r>
        <w:rPr>
          <w:rFonts w:ascii="Times New Roman" w:hAnsi="Times New Roman" w:eastAsia="Times New Roman" w:cs="Times New Roman"/>
          <w:spacing w:val="-3"/>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，由生产供水系统补给。</w:t>
      </w:r>
    </w:p>
    <w:p w14:paraId="6C3CD147">
      <w:pPr>
        <w:spacing w:before="35" w:line="219" w:lineRule="auto"/>
        <w:ind w:left="490"/>
        <w:rPr>
          <w:rFonts w:ascii="宋体" w:hAnsi="宋体" w:eastAsia="宋体" w:cs="宋体"/>
          <w:sz w:val="24"/>
          <w:szCs w:val="24"/>
        </w:rPr>
      </w:pPr>
      <w:r>
        <w:rPr>
          <w:rFonts w:ascii="Times New Roman" w:hAnsi="Times New Roman" w:eastAsia="Times New Roman" w:cs="Times New Roman"/>
          <w:spacing w:val="-4"/>
          <w:sz w:val="24"/>
          <w:szCs w:val="24"/>
        </w:rPr>
        <w:t>5</w:t>
      </w:r>
      <w:r>
        <w:rPr>
          <w:rFonts w:ascii="Times New Roman" w:hAnsi="Times New Roman" w:eastAsia="Times New Roman" w:cs="Times New Roman"/>
          <w:spacing w:val="-29"/>
          <w:sz w:val="24"/>
          <w:szCs w:val="24"/>
        </w:rPr>
        <w:t xml:space="preserve"> </w:t>
      </w:r>
      <w:r>
        <w:rPr>
          <w:rFonts w:ascii="宋体" w:hAnsi="宋体" w:eastAsia="宋体" w:cs="宋体"/>
          <w:spacing w:val="-4"/>
          <w:sz w:val="24"/>
          <w:szCs w:val="24"/>
        </w:rPr>
        <w:t>、设备冷却循环水系统</w:t>
      </w:r>
    </w:p>
    <w:p w14:paraId="57F9CF50">
      <w:pPr>
        <w:spacing w:before="188" w:line="362" w:lineRule="auto"/>
        <w:ind w:left="7" w:right="16" w:firstLine="484"/>
        <w:rPr>
          <w:rFonts w:ascii="宋体" w:hAnsi="宋体" w:eastAsia="宋体" w:cs="宋体"/>
          <w:sz w:val="24"/>
          <w:szCs w:val="24"/>
        </w:rPr>
      </w:pPr>
      <w:r>
        <w:rPr>
          <w:rFonts w:ascii="宋体" w:hAnsi="宋体" w:eastAsia="宋体" w:cs="宋体"/>
          <w:spacing w:val="-2"/>
          <w:sz w:val="24"/>
          <w:szCs w:val="24"/>
        </w:rPr>
        <w:t>项目生产过程中电炉、空压站、烧结机及除尘风机等在运行过程中需要进行冷却，</w:t>
      </w:r>
      <w:r>
        <w:rPr>
          <w:rFonts w:ascii="宋体" w:hAnsi="宋体" w:eastAsia="宋体" w:cs="宋体"/>
          <w:sz w:val="24"/>
          <w:szCs w:val="24"/>
        </w:rPr>
        <w:t xml:space="preserve"> </w:t>
      </w:r>
      <w:r>
        <w:rPr>
          <w:rFonts w:ascii="宋体" w:hAnsi="宋体" w:eastAsia="宋体" w:cs="宋体"/>
          <w:spacing w:val="-3"/>
          <w:sz w:val="24"/>
          <w:szCs w:val="24"/>
        </w:rPr>
        <w:t>项目采用闭式循环冷却水系统，冷却水为软水，冷却塔为闭式冷却塔。循环水接点压力</w:t>
      </w:r>
      <w:r>
        <w:rPr>
          <w:rFonts w:ascii="宋体" w:hAnsi="宋体" w:eastAsia="宋体" w:cs="宋体"/>
          <w:spacing w:val="1"/>
          <w:sz w:val="24"/>
          <w:szCs w:val="24"/>
        </w:rPr>
        <w:t xml:space="preserve"> </w:t>
      </w:r>
      <w:r>
        <w:rPr>
          <w:rFonts w:ascii="Times New Roman" w:hAnsi="Times New Roman" w:eastAsia="Times New Roman" w:cs="Times New Roman"/>
          <w:spacing w:val="-4"/>
          <w:sz w:val="24"/>
          <w:szCs w:val="24"/>
        </w:rPr>
        <w:t>0.35MPa</w:t>
      </w:r>
      <w:r>
        <w:rPr>
          <w:rFonts w:ascii="Times New Roman" w:hAnsi="Times New Roman" w:eastAsia="Times New Roman" w:cs="Times New Roman"/>
          <w:spacing w:val="-29"/>
          <w:sz w:val="24"/>
          <w:szCs w:val="24"/>
        </w:rPr>
        <w:t xml:space="preserve"> </w:t>
      </w:r>
      <w:r>
        <w:rPr>
          <w:rFonts w:ascii="宋体" w:hAnsi="宋体" w:eastAsia="宋体" w:cs="宋体"/>
          <w:spacing w:val="-4"/>
          <w:sz w:val="24"/>
          <w:szCs w:val="24"/>
        </w:rPr>
        <w:t>，供水温度</w:t>
      </w:r>
      <w:r>
        <w:rPr>
          <w:rFonts w:ascii="宋体" w:hAnsi="宋体" w:eastAsia="宋体" w:cs="宋体"/>
          <w:spacing w:val="-48"/>
          <w:sz w:val="24"/>
          <w:szCs w:val="24"/>
        </w:rPr>
        <w:t xml:space="preserve"> </w:t>
      </w:r>
      <w:r>
        <w:rPr>
          <w:rFonts w:ascii="Times New Roman" w:hAnsi="Times New Roman" w:eastAsia="Times New Roman" w:cs="Times New Roman"/>
          <w:spacing w:val="-4"/>
          <w:sz w:val="24"/>
          <w:szCs w:val="24"/>
        </w:rPr>
        <w:t>35℃</w:t>
      </w:r>
      <w:r>
        <w:rPr>
          <w:rFonts w:ascii="Times New Roman" w:hAnsi="Times New Roman" w:eastAsia="Times New Roman" w:cs="Times New Roman"/>
          <w:spacing w:val="-27"/>
          <w:sz w:val="24"/>
          <w:szCs w:val="24"/>
        </w:rPr>
        <w:t xml:space="preserve"> </w:t>
      </w:r>
      <w:r>
        <w:rPr>
          <w:rFonts w:ascii="宋体" w:hAnsi="宋体" w:eastAsia="宋体" w:cs="宋体"/>
          <w:spacing w:val="-4"/>
          <w:sz w:val="24"/>
          <w:szCs w:val="24"/>
        </w:rPr>
        <w:t>,</w:t>
      </w:r>
      <w:r>
        <w:rPr>
          <w:rFonts w:ascii="宋体" w:hAnsi="宋体" w:eastAsia="宋体" w:cs="宋体"/>
          <w:spacing w:val="89"/>
          <w:sz w:val="24"/>
          <w:szCs w:val="24"/>
        </w:rPr>
        <w:t xml:space="preserve"> </w:t>
      </w:r>
      <w:r>
        <w:rPr>
          <w:rFonts w:ascii="宋体" w:hAnsi="宋体" w:eastAsia="宋体" w:cs="宋体"/>
          <w:spacing w:val="-4"/>
          <w:sz w:val="24"/>
          <w:szCs w:val="24"/>
        </w:rPr>
        <w:t>回水温度</w:t>
      </w:r>
      <w:r>
        <w:rPr>
          <w:rFonts w:ascii="宋体" w:hAnsi="宋体" w:eastAsia="宋体" w:cs="宋体"/>
          <w:spacing w:val="-54"/>
          <w:sz w:val="24"/>
          <w:szCs w:val="24"/>
        </w:rPr>
        <w:t xml:space="preserve"> </w:t>
      </w:r>
      <w:r>
        <w:rPr>
          <w:rFonts w:ascii="Times New Roman" w:hAnsi="Times New Roman" w:eastAsia="Times New Roman" w:cs="Times New Roman"/>
          <w:spacing w:val="-5"/>
          <w:sz w:val="24"/>
          <w:szCs w:val="24"/>
        </w:rPr>
        <w:t>43℃</w:t>
      </w:r>
      <w:r>
        <w:rPr>
          <w:rFonts w:ascii="Times New Roman" w:hAnsi="Times New Roman" w:eastAsia="Times New Roman" w:cs="Times New Roman"/>
          <w:spacing w:val="-27"/>
          <w:sz w:val="24"/>
          <w:szCs w:val="24"/>
        </w:rPr>
        <w:t xml:space="preserve"> </w:t>
      </w:r>
      <w:r>
        <w:rPr>
          <w:rFonts w:ascii="宋体" w:hAnsi="宋体" w:eastAsia="宋体" w:cs="宋体"/>
          <w:spacing w:val="-5"/>
          <w:sz w:val="24"/>
          <w:szCs w:val="24"/>
        </w:rPr>
        <w:t>,</w:t>
      </w:r>
      <w:r>
        <w:rPr>
          <w:rFonts w:ascii="宋体" w:hAnsi="宋体" w:eastAsia="宋体" w:cs="宋体"/>
          <w:spacing w:val="68"/>
          <w:sz w:val="24"/>
          <w:szCs w:val="24"/>
        </w:rPr>
        <w:t xml:space="preserve"> </w:t>
      </w:r>
      <w:r>
        <w:rPr>
          <w:rFonts w:ascii="宋体" w:hAnsi="宋体" w:eastAsia="宋体" w:cs="宋体"/>
          <w:spacing w:val="-5"/>
          <w:sz w:val="24"/>
          <w:szCs w:val="24"/>
        </w:rPr>
        <w:t>冷却回水为无压回水，利用水位高差自流</w:t>
      </w:r>
      <w:r>
        <w:rPr>
          <w:rFonts w:ascii="宋体" w:hAnsi="宋体" w:eastAsia="宋体" w:cs="宋体"/>
          <w:sz w:val="24"/>
          <w:szCs w:val="24"/>
        </w:rPr>
        <w:t xml:space="preserve"> </w:t>
      </w:r>
      <w:r>
        <w:rPr>
          <w:rFonts w:ascii="宋体" w:hAnsi="宋体" w:eastAsia="宋体" w:cs="宋体"/>
          <w:spacing w:val="-3"/>
          <w:sz w:val="24"/>
          <w:szCs w:val="24"/>
        </w:rPr>
        <w:t>回到泵站热吸水井，经上塔泵加压上闭式冷却塔，经空气、喷淋水冷却降温后自流入泵</w:t>
      </w:r>
      <w:r>
        <w:rPr>
          <w:rFonts w:ascii="宋体" w:hAnsi="宋体" w:eastAsia="宋体" w:cs="宋体"/>
          <w:spacing w:val="1"/>
          <w:sz w:val="24"/>
          <w:szCs w:val="24"/>
        </w:rPr>
        <w:t xml:space="preserve"> </w:t>
      </w:r>
      <w:r>
        <w:rPr>
          <w:rFonts w:ascii="宋体" w:hAnsi="宋体" w:eastAsia="宋体" w:cs="宋体"/>
          <w:spacing w:val="-1"/>
          <w:sz w:val="24"/>
          <w:szCs w:val="24"/>
        </w:rPr>
        <w:t>站冷吸水井，再经泵加压后通过管道过滤器送往用户循环使用。</w:t>
      </w:r>
    </w:p>
    <w:p w14:paraId="1D5B17E9">
      <w:pPr>
        <w:spacing w:before="34" w:line="219" w:lineRule="auto"/>
        <w:ind w:left="489"/>
        <w:rPr>
          <w:rFonts w:ascii="宋体" w:hAnsi="宋体" w:eastAsia="宋体" w:cs="宋体"/>
          <w:sz w:val="24"/>
          <w:szCs w:val="24"/>
        </w:rPr>
      </w:pPr>
      <w:r>
        <w:rPr>
          <w:rFonts w:ascii="宋体" w:hAnsi="宋体" w:eastAsia="宋体" w:cs="宋体"/>
          <w:spacing w:val="-1"/>
          <w:sz w:val="24"/>
          <w:szCs w:val="24"/>
        </w:rPr>
        <w:t>本项目在矿热炉车间北侧建设了</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 xml:space="preserve">1 </w:t>
      </w:r>
      <w:r>
        <w:rPr>
          <w:rFonts w:ascii="宋体" w:hAnsi="宋体" w:eastAsia="宋体" w:cs="宋体"/>
          <w:spacing w:val="-1"/>
          <w:sz w:val="24"/>
          <w:szCs w:val="24"/>
        </w:rPr>
        <w:t>座冷却循环水站，供应全厂设备</w:t>
      </w:r>
      <w:r>
        <w:rPr>
          <w:rFonts w:ascii="宋体" w:hAnsi="宋体" w:eastAsia="宋体" w:cs="宋体"/>
          <w:spacing w:val="-2"/>
          <w:sz w:val="24"/>
          <w:szCs w:val="24"/>
        </w:rPr>
        <w:t>冷却用水。</w:t>
      </w:r>
    </w:p>
    <w:p w14:paraId="2FAB772A">
      <w:pPr>
        <w:spacing w:before="193" w:line="360" w:lineRule="auto"/>
        <w:ind w:left="8" w:right="63" w:firstLine="480"/>
        <w:rPr>
          <w:rFonts w:ascii="宋体" w:hAnsi="宋体" w:eastAsia="宋体" w:cs="宋体"/>
          <w:sz w:val="24"/>
          <w:szCs w:val="24"/>
        </w:rPr>
      </w:pPr>
      <w:r>
        <w:rPr>
          <w:rFonts w:ascii="宋体" w:hAnsi="宋体" w:eastAsia="宋体" w:cs="宋体"/>
          <w:spacing w:val="-2"/>
          <w:sz w:val="24"/>
          <w:szCs w:val="24"/>
        </w:rPr>
        <w:t>全厂设备冷却循环水量为</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5145m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，循环冷却系统补水量为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15.44m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，其</w:t>
      </w:r>
      <w:r>
        <w:rPr>
          <w:rFonts w:ascii="宋体" w:hAnsi="宋体" w:eastAsia="宋体" w:cs="宋体"/>
          <w:spacing w:val="-3"/>
          <w:sz w:val="24"/>
          <w:szCs w:val="24"/>
        </w:rPr>
        <w:t>中排水</w:t>
      </w:r>
      <w:r>
        <w:rPr>
          <w:rFonts w:ascii="宋体" w:hAnsi="宋体" w:eastAsia="宋体" w:cs="宋体"/>
          <w:sz w:val="24"/>
          <w:szCs w:val="24"/>
        </w:rPr>
        <w:t xml:space="preserve"> </w:t>
      </w:r>
      <w:r>
        <w:rPr>
          <w:rFonts w:ascii="宋体" w:hAnsi="宋体" w:eastAsia="宋体" w:cs="宋体"/>
          <w:spacing w:val="-1"/>
          <w:sz w:val="24"/>
          <w:szCs w:val="24"/>
        </w:rPr>
        <w:t>量为</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5.</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1"/>
          <w:sz w:val="24"/>
          <w:szCs w:val="24"/>
        </w:rPr>
        <w:t>15m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/h</w:t>
      </w:r>
      <w:r>
        <w:rPr>
          <w:rFonts w:ascii="Times New Roman" w:hAnsi="Times New Roman" w:eastAsia="Times New Roman" w:cs="Times New Roman"/>
          <w:spacing w:val="-28"/>
          <w:sz w:val="24"/>
          <w:szCs w:val="24"/>
        </w:rPr>
        <w:t xml:space="preserve"> </w:t>
      </w:r>
      <w:r>
        <w:rPr>
          <w:rFonts w:ascii="宋体" w:hAnsi="宋体" w:eastAsia="宋体" w:cs="宋体"/>
          <w:spacing w:val="-1"/>
          <w:sz w:val="24"/>
          <w:szCs w:val="24"/>
        </w:rPr>
        <w:t>，损耗量为</w:t>
      </w:r>
      <w:r>
        <w:rPr>
          <w:rFonts w:ascii="宋体" w:hAnsi="宋体" w:eastAsia="宋体" w:cs="宋体"/>
          <w:spacing w:val="-30"/>
          <w:sz w:val="24"/>
          <w:szCs w:val="24"/>
        </w:rPr>
        <w:t xml:space="preserve"> </w:t>
      </w:r>
      <w:r>
        <w:rPr>
          <w:rFonts w:ascii="Times New Roman" w:hAnsi="Times New Roman" w:eastAsia="Times New Roman" w:cs="Times New Roman"/>
          <w:spacing w:val="-1"/>
          <w:sz w:val="24"/>
          <w:szCs w:val="24"/>
        </w:rPr>
        <w:t>10.29m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28"/>
          <w:sz w:val="24"/>
          <w:szCs w:val="24"/>
        </w:rPr>
        <w:t xml:space="preserve"> </w:t>
      </w:r>
      <w:r>
        <w:rPr>
          <w:rFonts w:ascii="宋体" w:hAnsi="宋体" w:eastAsia="宋体" w:cs="宋体"/>
          <w:spacing w:val="-2"/>
          <w:sz w:val="24"/>
          <w:szCs w:val="24"/>
        </w:rPr>
        <w:t>，循环水系统补水为软水；冷却塔内喷淋降温循环</w:t>
      </w:r>
      <w:r>
        <w:rPr>
          <w:rFonts w:ascii="宋体" w:hAnsi="宋体" w:eastAsia="宋体" w:cs="宋体"/>
          <w:sz w:val="24"/>
          <w:szCs w:val="24"/>
        </w:rPr>
        <w:t xml:space="preserve"> </w:t>
      </w:r>
      <w:r>
        <w:rPr>
          <w:rFonts w:ascii="宋体" w:hAnsi="宋体" w:eastAsia="宋体" w:cs="宋体"/>
          <w:spacing w:val="-3"/>
          <w:sz w:val="24"/>
          <w:szCs w:val="24"/>
        </w:rPr>
        <w:t>水量为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1547m</w:t>
      </w:r>
      <w:r>
        <w:rPr>
          <w:rFonts w:ascii="Times New Roman" w:hAnsi="Times New Roman" w:eastAsia="Times New Roman" w:cs="Times New Roman"/>
          <w:spacing w:val="-3"/>
          <w:position w:val="7"/>
          <w:sz w:val="15"/>
          <w:szCs w:val="15"/>
        </w:rPr>
        <w:t>3</w:t>
      </w:r>
      <w:r>
        <w:rPr>
          <w:rFonts w:ascii="Times New Roman" w:hAnsi="Times New Roman" w:eastAsia="Times New Roman" w:cs="Times New Roman"/>
          <w:spacing w:val="-3"/>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，补水量为</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30.94m</w:t>
      </w:r>
      <w:r>
        <w:rPr>
          <w:rFonts w:ascii="Times New Roman" w:hAnsi="Times New Roman" w:eastAsia="Times New Roman" w:cs="Times New Roman"/>
          <w:spacing w:val="-3"/>
          <w:position w:val="7"/>
          <w:sz w:val="15"/>
          <w:szCs w:val="15"/>
        </w:rPr>
        <w:t>3</w:t>
      </w:r>
      <w:r>
        <w:rPr>
          <w:rFonts w:ascii="Times New Roman" w:hAnsi="Times New Roman" w:eastAsia="Times New Roman" w:cs="Times New Roman"/>
          <w:spacing w:val="-3"/>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，其中排水量为</w:t>
      </w:r>
      <w:r>
        <w:rPr>
          <w:rFonts w:ascii="宋体" w:hAnsi="宋体" w:eastAsia="宋体" w:cs="宋体"/>
          <w:spacing w:val="-56"/>
          <w:sz w:val="24"/>
          <w:szCs w:val="24"/>
        </w:rPr>
        <w:t xml:space="preserve"> </w:t>
      </w:r>
      <w:r>
        <w:rPr>
          <w:rFonts w:ascii="Times New Roman" w:hAnsi="Times New Roman" w:eastAsia="Times New Roman" w:cs="Times New Roman"/>
          <w:spacing w:val="-3"/>
          <w:sz w:val="24"/>
          <w:szCs w:val="24"/>
        </w:rPr>
        <w:t>4.64</w:t>
      </w:r>
      <w:r>
        <w:rPr>
          <w:rFonts w:ascii="Times New Roman" w:hAnsi="Times New Roman" w:eastAsia="Times New Roman" w:cs="Times New Roman"/>
          <w:spacing w:val="-4"/>
          <w:sz w:val="24"/>
          <w:szCs w:val="24"/>
        </w:rPr>
        <w:t>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4"/>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4"/>
          <w:sz w:val="24"/>
          <w:szCs w:val="24"/>
        </w:rPr>
        <w:t>，损耗量为</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26.30m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4"/>
          <w:sz w:val="24"/>
          <w:szCs w:val="24"/>
        </w:rPr>
        <w:t>/h</w:t>
      </w:r>
      <w:r>
        <w:rPr>
          <w:rFonts w:ascii="宋体" w:hAnsi="宋体" w:eastAsia="宋体" w:cs="宋体"/>
          <w:spacing w:val="-4"/>
          <w:sz w:val="24"/>
          <w:szCs w:val="24"/>
        </w:rPr>
        <w:t>，</w:t>
      </w:r>
      <w:r>
        <w:rPr>
          <w:rFonts w:ascii="宋体" w:hAnsi="宋体" w:eastAsia="宋体" w:cs="宋体"/>
          <w:sz w:val="24"/>
          <w:szCs w:val="24"/>
        </w:rPr>
        <w:t xml:space="preserve"> </w:t>
      </w:r>
      <w:r>
        <w:rPr>
          <w:rFonts w:ascii="宋体" w:hAnsi="宋体" w:eastAsia="宋体" w:cs="宋体"/>
          <w:spacing w:val="-1"/>
          <w:sz w:val="24"/>
          <w:szCs w:val="24"/>
        </w:rPr>
        <w:t>用水由生产供水系统直接补给。</w:t>
      </w:r>
    </w:p>
    <w:p w14:paraId="56DAFB56">
      <w:pPr>
        <w:spacing w:before="39" w:line="360" w:lineRule="auto"/>
        <w:ind w:left="6" w:right="61" w:firstLine="485"/>
        <w:jc w:val="both"/>
        <w:rPr>
          <w:rFonts w:ascii="宋体" w:hAnsi="宋体" w:eastAsia="宋体" w:cs="宋体"/>
          <w:sz w:val="24"/>
          <w:szCs w:val="24"/>
        </w:rPr>
      </w:pPr>
      <w:r>
        <w:rPr>
          <w:rFonts w:ascii="宋体" w:hAnsi="宋体" w:eastAsia="宋体" w:cs="宋体"/>
          <w:spacing w:val="-4"/>
          <w:sz w:val="24"/>
          <w:szCs w:val="24"/>
        </w:rPr>
        <w:t>设备循环冷却水系统补充水为软水，冷却循环水站分别配置</w:t>
      </w:r>
      <w:r>
        <w:rPr>
          <w:rFonts w:ascii="宋体" w:hAnsi="宋体" w:eastAsia="宋体" w:cs="宋体"/>
          <w:spacing w:val="-30"/>
          <w:sz w:val="24"/>
          <w:szCs w:val="24"/>
        </w:rPr>
        <w:t xml:space="preserve"> </w:t>
      </w:r>
      <w:r>
        <w:rPr>
          <w:rFonts w:ascii="Times New Roman" w:hAnsi="Times New Roman" w:eastAsia="Times New Roman" w:cs="Times New Roman"/>
          <w:spacing w:val="-4"/>
          <w:sz w:val="24"/>
          <w:szCs w:val="24"/>
        </w:rPr>
        <w:t xml:space="preserve">1 </w:t>
      </w:r>
      <w:r>
        <w:rPr>
          <w:rFonts w:ascii="宋体" w:hAnsi="宋体" w:eastAsia="宋体" w:cs="宋体"/>
          <w:spacing w:val="-4"/>
          <w:sz w:val="24"/>
          <w:szCs w:val="24"/>
        </w:rPr>
        <w:t>套全自动软水制备装</w:t>
      </w:r>
      <w:r>
        <w:rPr>
          <w:rFonts w:ascii="宋体" w:hAnsi="宋体" w:eastAsia="宋体" w:cs="宋体"/>
          <w:sz w:val="24"/>
          <w:szCs w:val="24"/>
        </w:rPr>
        <w:t xml:space="preserve"> </w:t>
      </w:r>
      <w:r>
        <w:rPr>
          <w:rFonts w:ascii="宋体" w:hAnsi="宋体" w:eastAsia="宋体" w:cs="宋体"/>
          <w:spacing w:val="1"/>
          <w:sz w:val="24"/>
          <w:szCs w:val="24"/>
        </w:rPr>
        <w:t>置，采用全自动钠离子交换工艺。单套软水制备能力为</w:t>
      </w:r>
      <w:r>
        <w:rPr>
          <w:rFonts w:ascii="宋体" w:hAnsi="宋体" w:eastAsia="宋体" w:cs="宋体"/>
          <w:spacing w:val="-34"/>
          <w:sz w:val="24"/>
          <w:szCs w:val="24"/>
        </w:rPr>
        <w:t xml:space="preserve"> </w:t>
      </w:r>
      <w:r>
        <w:rPr>
          <w:rFonts w:ascii="Times New Roman" w:hAnsi="Times New Roman" w:eastAsia="Times New Roman" w:cs="Times New Roman"/>
          <w:spacing w:val="1"/>
          <w:sz w:val="24"/>
          <w:szCs w:val="24"/>
        </w:rPr>
        <w:t>30m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/h</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，可以满足全厂软水使</w:t>
      </w:r>
      <w:r>
        <w:rPr>
          <w:rFonts w:ascii="宋体" w:hAnsi="宋体" w:eastAsia="宋体" w:cs="宋体"/>
          <w:sz w:val="24"/>
          <w:szCs w:val="24"/>
        </w:rPr>
        <w:t xml:space="preserve"> </w:t>
      </w:r>
      <w:r>
        <w:rPr>
          <w:rFonts w:ascii="宋体" w:hAnsi="宋体" w:eastAsia="宋体" w:cs="宋体"/>
          <w:spacing w:val="-2"/>
          <w:sz w:val="24"/>
          <w:szCs w:val="24"/>
        </w:rPr>
        <w:t>用。软水的需求量为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15.44m</w:t>
      </w:r>
      <w:r>
        <w:rPr>
          <w:rFonts w:ascii="Times New Roman" w:hAnsi="Times New Roman" w:eastAsia="Times New Roman" w:cs="Times New Roman"/>
          <w:spacing w:val="-2"/>
          <w:position w:val="7"/>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，出水效</w:t>
      </w:r>
      <w:r>
        <w:rPr>
          <w:rFonts w:ascii="宋体" w:hAnsi="宋体" w:eastAsia="宋体" w:cs="宋体"/>
          <w:spacing w:val="-3"/>
          <w:sz w:val="24"/>
          <w:szCs w:val="24"/>
        </w:rPr>
        <w:t>率约为</w:t>
      </w:r>
      <w:r>
        <w:rPr>
          <w:rFonts w:ascii="宋体" w:hAnsi="宋体" w:eastAsia="宋体" w:cs="宋体"/>
          <w:spacing w:val="-45"/>
          <w:sz w:val="24"/>
          <w:szCs w:val="24"/>
        </w:rPr>
        <w:t xml:space="preserve"> </w:t>
      </w:r>
      <w:r>
        <w:rPr>
          <w:rFonts w:ascii="Times New Roman" w:hAnsi="Times New Roman" w:eastAsia="Times New Roman" w:cs="Times New Roman"/>
          <w:spacing w:val="-3"/>
          <w:sz w:val="24"/>
          <w:szCs w:val="24"/>
        </w:rPr>
        <w:t>80%</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，则该系统需处理生产新鲜水量为</w:t>
      </w:r>
      <w:r>
        <w:rPr>
          <w:rFonts w:ascii="宋体" w:hAnsi="宋体" w:eastAsia="宋体" w:cs="宋体"/>
          <w:sz w:val="24"/>
          <w:szCs w:val="24"/>
        </w:rPr>
        <w:t xml:space="preserve"> </w:t>
      </w:r>
      <w:r>
        <w:rPr>
          <w:rFonts w:ascii="Times New Roman" w:hAnsi="Times New Roman" w:eastAsia="Times New Roman" w:cs="Times New Roman"/>
          <w:spacing w:val="-2"/>
          <w:sz w:val="24"/>
          <w:szCs w:val="24"/>
        </w:rPr>
        <w:t>19.30m</w:t>
      </w:r>
      <w:r>
        <w:rPr>
          <w:rFonts w:ascii="Times New Roman" w:hAnsi="Times New Roman" w:eastAsia="Times New Roman" w:cs="Times New Roman"/>
          <w:spacing w:val="-2"/>
          <w:position w:val="7"/>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，排污量为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3.86m</w:t>
      </w:r>
      <w:r>
        <w:rPr>
          <w:rFonts w:ascii="Times New Roman" w:hAnsi="Times New Roman" w:eastAsia="Times New Roman" w:cs="Times New Roman"/>
          <w:spacing w:val="-2"/>
          <w:position w:val="7"/>
          <w:sz w:val="15"/>
          <w:szCs w:val="15"/>
        </w:rPr>
        <w:t>3</w:t>
      </w:r>
      <w:r>
        <w:rPr>
          <w:rFonts w:ascii="Times New Roman" w:hAnsi="Times New Roman" w:eastAsia="Times New Roman" w:cs="Times New Roman"/>
          <w:spacing w:val="-2"/>
          <w:sz w:val="24"/>
          <w:szCs w:val="24"/>
        </w:rPr>
        <w:t>/h</w:t>
      </w:r>
      <w:r>
        <w:rPr>
          <w:rFonts w:ascii="宋体" w:hAnsi="宋体" w:eastAsia="宋体" w:cs="宋体"/>
          <w:spacing w:val="-2"/>
          <w:sz w:val="24"/>
          <w:szCs w:val="24"/>
        </w:rPr>
        <w:t>。</w:t>
      </w:r>
    </w:p>
    <w:p w14:paraId="760F100E">
      <w:pPr>
        <w:spacing w:before="31" w:line="361" w:lineRule="auto"/>
        <w:ind w:left="7" w:right="61" w:firstLine="483"/>
        <w:jc w:val="both"/>
        <w:rPr>
          <w:rFonts w:ascii="宋体" w:hAnsi="宋体" w:eastAsia="宋体" w:cs="宋体"/>
          <w:sz w:val="24"/>
          <w:szCs w:val="24"/>
        </w:rPr>
      </w:pPr>
      <w:r>
        <w:rPr>
          <w:rFonts w:ascii="宋体" w:hAnsi="宋体" w:eastAsia="宋体" w:cs="宋体"/>
          <w:spacing w:val="-2"/>
          <w:sz w:val="24"/>
          <w:szCs w:val="24"/>
        </w:rPr>
        <w:t>软水制备工艺原理：水的硬度主要由其中的阳离子（</w:t>
      </w:r>
      <w:r>
        <w:rPr>
          <w:rFonts w:ascii="Times New Roman" w:hAnsi="Times New Roman" w:eastAsia="Times New Roman" w:cs="Times New Roman"/>
          <w:spacing w:val="-2"/>
          <w:sz w:val="24"/>
          <w:szCs w:val="24"/>
        </w:rPr>
        <w:t>Ca</w:t>
      </w:r>
      <w:r>
        <w:rPr>
          <w:rFonts w:ascii="Times New Roman" w:hAnsi="Times New Roman" w:eastAsia="Times New Roman" w:cs="Times New Roman"/>
          <w:spacing w:val="-2"/>
          <w:position w:val="7"/>
          <w:sz w:val="15"/>
          <w:szCs w:val="15"/>
        </w:rPr>
        <w:t>2+</w:t>
      </w:r>
      <w:r>
        <w:rPr>
          <w:rFonts w:ascii="宋体" w:hAnsi="宋体" w:eastAsia="宋体" w:cs="宋体"/>
          <w:spacing w:val="-2"/>
          <w:sz w:val="24"/>
          <w:szCs w:val="24"/>
        </w:rPr>
        <w:t>、</w:t>
      </w:r>
      <w:r>
        <w:rPr>
          <w:rFonts w:ascii="Times New Roman" w:hAnsi="Times New Roman" w:eastAsia="Times New Roman" w:cs="Times New Roman"/>
          <w:spacing w:val="-2"/>
          <w:sz w:val="24"/>
          <w:szCs w:val="24"/>
        </w:rPr>
        <w:t>Mg</w:t>
      </w:r>
      <w:r>
        <w:rPr>
          <w:rFonts w:ascii="Times New Roman" w:hAnsi="Times New Roman" w:eastAsia="Times New Roman" w:cs="Times New Roman"/>
          <w:spacing w:val="-2"/>
          <w:position w:val="7"/>
          <w:sz w:val="15"/>
          <w:szCs w:val="15"/>
        </w:rPr>
        <w:t>2+</w:t>
      </w:r>
      <w:r>
        <w:rPr>
          <w:rFonts w:ascii="宋体" w:hAnsi="宋体" w:eastAsia="宋体" w:cs="宋体"/>
          <w:spacing w:val="-2"/>
          <w:sz w:val="24"/>
          <w:szCs w:val="24"/>
        </w:rPr>
        <w:t>）离子构成。当含</w:t>
      </w:r>
      <w:r>
        <w:rPr>
          <w:rFonts w:ascii="宋体" w:hAnsi="宋体" w:eastAsia="宋体" w:cs="宋体"/>
          <w:spacing w:val="4"/>
          <w:sz w:val="24"/>
          <w:szCs w:val="24"/>
        </w:rPr>
        <w:t xml:space="preserve"> </w:t>
      </w:r>
      <w:r>
        <w:rPr>
          <w:rFonts w:ascii="宋体" w:hAnsi="宋体" w:eastAsia="宋体" w:cs="宋体"/>
          <w:spacing w:val="-3"/>
          <w:sz w:val="24"/>
          <w:szCs w:val="24"/>
        </w:rPr>
        <w:t>有硬度的原水通过交换器的树脂层时，水中的钙、镁离子被树脂吸附，同时释放出钠离</w:t>
      </w:r>
      <w:r>
        <w:rPr>
          <w:rFonts w:ascii="宋体" w:hAnsi="宋体" w:eastAsia="宋体" w:cs="宋体"/>
          <w:spacing w:val="1"/>
          <w:sz w:val="24"/>
          <w:szCs w:val="24"/>
        </w:rPr>
        <w:t xml:space="preserve"> </w:t>
      </w:r>
      <w:r>
        <w:rPr>
          <w:rFonts w:ascii="宋体" w:hAnsi="宋体" w:eastAsia="宋体" w:cs="宋体"/>
          <w:spacing w:val="-3"/>
          <w:sz w:val="24"/>
          <w:szCs w:val="24"/>
        </w:rPr>
        <w:t>子。这样从交换器内流出的水就是去掉了硬度离子的软化水，当吸附钙、镁离子的树脂</w:t>
      </w:r>
      <w:r>
        <w:rPr>
          <w:rFonts w:ascii="宋体" w:hAnsi="宋体" w:eastAsia="宋体" w:cs="宋体"/>
          <w:spacing w:val="1"/>
          <w:sz w:val="24"/>
          <w:szCs w:val="24"/>
        </w:rPr>
        <w:t xml:space="preserve"> </w:t>
      </w:r>
      <w:r>
        <w:rPr>
          <w:rFonts w:ascii="宋体" w:hAnsi="宋体" w:eastAsia="宋体" w:cs="宋体"/>
          <w:spacing w:val="-3"/>
          <w:sz w:val="24"/>
          <w:szCs w:val="24"/>
        </w:rPr>
        <w:t>达到一定程度后，出水硬度增大，此时软水器按照预定的程序自动进行失效树脂的再生</w:t>
      </w:r>
      <w:r>
        <w:rPr>
          <w:rFonts w:ascii="宋体" w:hAnsi="宋体" w:eastAsia="宋体" w:cs="宋体"/>
          <w:spacing w:val="1"/>
          <w:sz w:val="24"/>
          <w:szCs w:val="24"/>
        </w:rPr>
        <w:t xml:space="preserve"> </w:t>
      </w:r>
      <w:r>
        <w:rPr>
          <w:rFonts w:ascii="宋体" w:hAnsi="宋体" w:eastAsia="宋体" w:cs="宋体"/>
          <w:sz w:val="24"/>
          <w:szCs w:val="24"/>
        </w:rPr>
        <w:t>工作，利用较高浓度的氯化钠溶液通过树脂，使失效的树脂</w:t>
      </w:r>
      <w:r>
        <w:rPr>
          <w:rFonts w:ascii="宋体" w:hAnsi="宋体" w:eastAsia="宋体" w:cs="宋体"/>
          <w:spacing w:val="-1"/>
          <w:sz w:val="24"/>
          <w:szCs w:val="24"/>
        </w:rPr>
        <w:t>重新恢复至钠型树脂。</w:t>
      </w:r>
    </w:p>
    <w:p w14:paraId="0D4CE0D9">
      <w:pPr>
        <w:spacing w:before="42" w:line="219" w:lineRule="auto"/>
        <w:ind w:left="489"/>
        <w:rPr>
          <w:rFonts w:ascii="宋体" w:hAnsi="宋体" w:eastAsia="宋体" w:cs="宋体"/>
          <w:sz w:val="24"/>
          <w:szCs w:val="24"/>
        </w:rPr>
      </w:pPr>
      <w:r>
        <w:rPr>
          <w:rFonts w:ascii="Times New Roman" w:hAnsi="Times New Roman" w:eastAsia="Times New Roman" w:cs="Times New Roman"/>
          <w:spacing w:val="-4"/>
          <w:sz w:val="24"/>
          <w:szCs w:val="24"/>
        </w:rPr>
        <w:t>6</w:t>
      </w:r>
      <w:r>
        <w:rPr>
          <w:rFonts w:ascii="Times New Roman" w:hAnsi="Times New Roman" w:eastAsia="Times New Roman" w:cs="Times New Roman"/>
          <w:spacing w:val="-24"/>
          <w:sz w:val="24"/>
          <w:szCs w:val="24"/>
        </w:rPr>
        <w:t xml:space="preserve"> </w:t>
      </w:r>
      <w:r>
        <w:rPr>
          <w:rFonts w:ascii="宋体" w:hAnsi="宋体" w:eastAsia="宋体" w:cs="宋体"/>
          <w:spacing w:val="-4"/>
          <w:sz w:val="24"/>
          <w:szCs w:val="24"/>
        </w:rPr>
        <w:t>、炉渣水淬浊循环水系统</w:t>
      </w:r>
    </w:p>
    <w:p w14:paraId="56891726">
      <w:pPr>
        <w:spacing w:before="190" w:line="219" w:lineRule="auto"/>
        <w:ind w:left="489"/>
        <w:rPr>
          <w:rFonts w:ascii="宋体" w:hAnsi="宋体" w:eastAsia="宋体" w:cs="宋体"/>
          <w:sz w:val="24"/>
          <w:szCs w:val="24"/>
        </w:rPr>
      </w:pPr>
      <w:r>
        <w:rPr>
          <w:rFonts w:ascii="宋体" w:hAnsi="宋体" w:eastAsia="宋体" w:cs="宋体"/>
          <w:spacing w:val="-1"/>
          <w:sz w:val="24"/>
          <w:szCs w:val="24"/>
        </w:rPr>
        <w:t>本项目厂区建设</w:t>
      </w:r>
      <w:r>
        <w:rPr>
          <w:rFonts w:ascii="宋体" w:hAnsi="宋体" w:eastAsia="宋体" w:cs="宋体"/>
          <w:spacing w:val="-30"/>
          <w:sz w:val="24"/>
          <w:szCs w:val="24"/>
        </w:rPr>
        <w:t xml:space="preserve"> </w:t>
      </w:r>
      <w:r>
        <w:rPr>
          <w:rFonts w:ascii="Times New Roman" w:hAnsi="Times New Roman" w:eastAsia="Times New Roman" w:cs="Times New Roman"/>
          <w:spacing w:val="-1"/>
          <w:sz w:val="24"/>
          <w:szCs w:val="24"/>
        </w:rPr>
        <w:t xml:space="preserve">1 </w:t>
      </w:r>
      <w:r>
        <w:rPr>
          <w:rFonts w:ascii="宋体" w:hAnsi="宋体" w:eastAsia="宋体" w:cs="宋体"/>
          <w:spacing w:val="-1"/>
          <w:sz w:val="24"/>
          <w:szCs w:val="24"/>
        </w:rPr>
        <w:t>套浊循环水系统供应冲渣用水，主要处理</w:t>
      </w:r>
      <w:r>
        <w:rPr>
          <w:rFonts w:ascii="宋体" w:hAnsi="宋体" w:eastAsia="宋体" w:cs="宋体"/>
          <w:spacing w:val="-47"/>
          <w:sz w:val="24"/>
          <w:szCs w:val="24"/>
        </w:rPr>
        <w:t xml:space="preserve"> </w:t>
      </w:r>
      <w:r>
        <w:rPr>
          <w:rFonts w:ascii="Times New Roman" w:hAnsi="Times New Roman" w:eastAsia="Times New Roman" w:cs="Times New Roman"/>
          <w:spacing w:val="-1"/>
          <w:sz w:val="24"/>
          <w:szCs w:val="24"/>
        </w:rPr>
        <w:t>6</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台</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 xml:space="preserve">36MW </w:t>
      </w:r>
      <w:r>
        <w:rPr>
          <w:rFonts w:ascii="宋体" w:hAnsi="宋体" w:eastAsia="宋体" w:cs="宋体"/>
          <w:spacing w:val="-1"/>
          <w:sz w:val="24"/>
          <w:szCs w:val="24"/>
        </w:rPr>
        <w:t>锰</w:t>
      </w:r>
      <w:r>
        <w:rPr>
          <w:rFonts w:ascii="宋体" w:hAnsi="宋体" w:eastAsia="宋体" w:cs="宋体"/>
          <w:spacing w:val="-2"/>
          <w:sz w:val="24"/>
          <w:szCs w:val="24"/>
        </w:rPr>
        <w:t>硅合金</w:t>
      </w:r>
    </w:p>
    <w:p w14:paraId="395CE436">
      <w:pPr>
        <w:spacing w:line="219" w:lineRule="auto"/>
        <w:rPr>
          <w:rFonts w:ascii="宋体" w:hAnsi="宋体" w:eastAsia="宋体" w:cs="宋体"/>
          <w:sz w:val="24"/>
          <w:szCs w:val="24"/>
        </w:rPr>
        <w:sectPr>
          <w:headerReference r:id="rId129" w:type="default"/>
          <w:footerReference r:id="rId130" w:type="default"/>
          <w:pgSz w:w="11850" w:h="16781"/>
          <w:pgMar w:top="1178" w:right="1354" w:bottom="1013" w:left="1417" w:header="870" w:footer="850" w:gutter="0"/>
          <w:cols w:space="720" w:num="1"/>
        </w:sectPr>
      </w:pPr>
    </w:p>
    <w:p w14:paraId="73179758">
      <w:pPr>
        <w:pStyle w:val="2"/>
        <w:spacing w:line="275" w:lineRule="auto"/>
      </w:pPr>
      <w:r>
        <w:pict>
          <v:shape id="_x0000_s1177" o:spid="_x0000_s1177" style="position:absolute;left:0pt;margin-left:0pt;margin-top:0.65pt;height:0.75pt;width:450.75pt;z-index:251835392;mso-width-relative:page;mso-height-relative:page;" fillcolor="#000000" filled="t" stroked="f" coordsize="9015,15" path="m0,0l9014,0,9014,14,0,14,0,0xe">
            <v:path/>
            <v:fill on="t" focussize="0,0"/>
            <v:stroke on="f"/>
            <v:imagedata o:title=""/>
            <o:lock v:ext="edit"/>
          </v:shape>
        </w:pict>
      </w:r>
    </w:p>
    <w:p w14:paraId="586C1B70">
      <w:pPr>
        <w:spacing w:before="78" w:line="354" w:lineRule="auto"/>
        <w:ind w:left="9" w:right="80" w:firstLine="27"/>
        <w:rPr>
          <w:rFonts w:ascii="宋体" w:hAnsi="宋体" w:eastAsia="宋体" w:cs="宋体"/>
          <w:sz w:val="24"/>
          <w:szCs w:val="24"/>
        </w:rPr>
      </w:pPr>
      <w:r>
        <w:rPr>
          <w:rFonts w:ascii="宋体" w:hAnsi="宋体" w:eastAsia="宋体" w:cs="宋体"/>
          <w:spacing w:val="-4"/>
          <w:sz w:val="24"/>
          <w:szCs w:val="24"/>
        </w:rPr>
        <w:t>电炉的炉渣，冲渣后的水经沉淀池沉淀处理后，自流入泵站吸水井，经泵加压后送往用</w:t>
      </w:r>
      <w:r>
        <w:rPr>
          <w:rFonts w:ascii="宋体" w:hAnsi="宋体" w:eastAsia="宋体" w:cs="宋体"/>
          <w:spacing w:val="10"/>
          <w:sz w:val="24"/>
          <w:szCs w:val="24"/>
        </w:rPr>
        <w:t xml:space="preserve"> </w:t>
      </w:r>
      <w:r>
        <w:rPr>
          <w:rFonts w:ascii="宋体" w:hAnsi="宋体" w:eastAsia="宋体" w:cs="宋体"/>
          <w:spacing w:val="-1"/>
          <w:sz w:val="24"/>
          <w:szCs w:val="24"/>
        </w:rPr>
        <w:t>户循环使用，厂区补充水量为</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23.50m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，补水来生产排污水以及生产供水系统补水。</w:t>
      </w:r>
    </w:p>
    <w:p w14:paraId="5576EE0F">
      <w:pPr>
        <w:spacing w:before="35" w:line="219" w:lineRule="auto"/>
        <w:ind w:left="487"/>
        <w:rPr>
          <w:rFonts w:ascii="宋体" w:hAnsi="宋体" w:eastAsia="宋体" w:cs="宋体"/>
          <w:sz w:val="24"/>
          <w:szCs w:val="24"/>
        </w:rPr>
      </w:pPr>
      <w:r>
        <w:rPr>
          <w:rFonts w:ascii="Times New Roman" w:hAnsi="Times New Roman" w:eastAsia="Times New Roman" w:cs="Times New Roman"/>
          <w:spacing w:val="-5"/>
          <w:sz w:val="24"/>
          <w:szCs w:val="24"/>
        </w:rPr>
        <w:t>7</w:t>
      </w:r>
      <w:r>
        <w:rPr>
          <w:rFonts w:ascii="Times New Roman" w:hAnsi="Times New Roman" w:eastAsia="Times New Roman" w:cs="Times New Roman"/>
          <w:spacing w:val="-30"/>
          <w:sz w:val="24"/>
          <w:szCs w:val="24"/>
        </w:rPr>
        <w:t xml:space="preserve"> </w:t>
      </w:r>
      <w:r>
        <w:rPr>
          <w:rFonts w:ascii="宋体" w:hAnsi="宋体" w:eastAsia="宋体" w:cs="宋体"/>
          <w:spacing w:val="-5"/>
          <w:sz w:val="24"/>
          <w:szCs w:val="24"/>
        </w:rPr>
        <w:t>、其他用水系统</w:t>
      </w:r>
    </w:p>
    <w:p w14:paraId="4AF7300B">
      <w:pPr>
        <w:spacing w:before="192"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）喷雾抑尘用水</w:t>
      </w:r>
    </w:p>
    <w:p w14:paraId="56B31E16">
      <w:pPr>
        <w:spacing w:before="189" w:line="354" w:lineRule="auto"/>
        <w:ind w:left="11" w:right="80" w:firstLine="480"/>
        <w:rPr>
          <w:rFonts w:ascii="宋体" w:hAnsi="宋体" w:eastAsia="宋体" w:cs="宋体"/>
          <w:sz w:val="24"/>
          <w:szCs w:val="24"/>
        </w:rPr>
      </w:pPr>
      <w:r>
        <w:rPr>
          <w:rFonts w:ascii="宋体" w:hAnsi="宋体" w:eastAsia="宋体" w:cs="宋体"/>
          <w:spacing w:val="-3"/>
          <w:sz w:val="24"/>
          <w:szCs w:val="24"/>
        </w:rPr>
        <w:t>建设单位在车间及料棚中配置喷雾降尘装置，根据同类项目类</w:t>
      </w:r>
      <w:r>
        <w:rPr>
          <w:rFonts w:ascii="宋体" w:hAnsi="宋体" w:eastAsia="宋体" w:cs="宋体"/>
          <w:spacing w:val="-4"/>
          <w:sz w:val="24"/>
          <w:szCs w:val="24"/>
        </w:rPr>
        <w:t>比，厂区喷雾降尘用</w:t>
      </w:r>
      <w:r>
        <w:rPr>
          <w:rFonts w:ascii="宋体" w:hAnsi="宋体" w:eastAsia="宋体" w:cs="宋体"/>
          <w:sz w:val="24"/>
          <w:szCs w:val="24"/>
        </w:rPr>
        <w:t xml:space="preserve"> </w:t>
      </w:r>
      <w:r>
        <w:rPr>
          <w:rFonts w:ascii="宋体" w:hAnsi="宋体" w:eastAsia="宋体" w:cs="宋体"/>
          <w:spacing w:val="-3"/>
          <w:sz w:val="24"/>
          <w:szCs w:val="24"/>
        </w:rPr>
        <w:t>水量为</w:t>
      </w:r>
      <w:r>
        <w:rPr>
          <w:rFonts w:ascii="宋体" w:hAnsi="宋体" w:eastAsia="宋体" w:cs="宋体"/>
          <w:spacing w:val="-22"/>
          <w:sz w:val="24"/>
          <w:szCs w:val="24"/>
        </w:rPr>
        <w:t xml:space="preserve"> </w:t>
      </w:r>
      <w:r>
        <w:rPr>
          <w:rFonts w:ascii="Times New Roman" w:hAnsi="Times New Roman" w:eastAsia="Times New Roman" w:cs="Times New Roman"/>
          <w:spacing w:val="-3"/>
          <w:sz w:val="24"/>
          <w:szCs w:val="24"/>
        </w:rPr>
        <w:t>1.80m</w:t>
      </w:r>
      <w:r>
        <w:rPr>
          <w:rFonts w:ascii="Times New Roman" w:hAnsi="Times New Roman" w:eastAsia="Times New Roman" w:cs="Times New Roman"/>
          <w:spacing w:val="-3"/>
          <w:position w:val="8"/>
          <w:sz w:val="15"/>
          <w:szCs w:val="15"/>
        </w:rPr>
        <w:t>3</w:t>
      </w:r>
      <w:r>
        <w:rPr>
          <w:rFonts w:ascii="Times New Roman" w:hAnsi="Times New Roman" w:eastAsia="Times New Roman" w:cs="Times New Roman"/>
          <w:spacing w:val="-3"/>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，用水由生产供水系统直接补给。</w:t>
      </w:r>
    </w:p>
    <w:p w14:paraId="6F265C5B">
      <w:pPr>
        <w:spacing w:before="36"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）烟气脱硫用水</w:t>
      </w:r>
    </w:p>
    <w:p w14:paraId="54B9B3CD">
      <w:pPr>
        <w:spacing w:before="194" w:line="357" w:lineRule="auto"/>
        <w:ind w:left="8" w:right="80" w:firstLine="480"/>
        <w:rPr>
          <w:rFonts w:ascii="宋体" w:hAnsi="宋体" w:eastAsia="宋体" w:cs="宋体"/>
          <w:sz w:val="24"/>
          <w:szCs w:val="24"/>
        </w:rPr>
      </w:pPr>
      <w:r>
        <w:rPr>
          <w:rFonts w:ascii="宋体" w:hAnsi="宋体" w:eastAsia="宋体" w:cs="宋体"/>
          <w:spacing w:val="-4"/>
          <w:sz w:val="24"/>
          <w:szCs w:val="24"/>
        </w:rPr>
        <w:t>本项目厂区（电炉生产区）建设</w:t>
      </w:r>
      <w:r>
        <w:rPr>
          <w:rFonts w:ascii="宋体" w:hAnsi="宋体" w:eastAsia="宋体" w:cs="宋体"/>
          <w:spacing w:val="-27"/>
          <w:sz w:val="24"/>
          <w:szCs w:val="24"/>
        </w:rPr>
        <w:t xml:space="preserve"> </w:t>
      </w:r>
      <w:r>
        <w:rPr>
          <w:rFonts w:ascii="Times New Roman" w:hAnsi="Times New Roman" w:eastAsia="Times New Roman" w:cs="Times New Roman"/>
          <w:spacing w:val="-4"/>
          <w:sz w:val="24"/>
          <w:szCs w:val="24"/>
        </w:rPr>
        <w:t xml:space="preserve">1 </w:t>
      </w:r>
      <w:r>
        <w:rPr>
          <w:rFonts w:ascii="宋体" w:hAnsi="宋体" w:eastAsia="宋体" w:cs="宋体"/>
          <w:spacing w:val="-4"/>
          <w:sz w:val="24"/>
          <w:szCs w:val="24"/>
        </w:rPr>
        <w:t>座锰硅烧结机机头烟气脱硫系统，根据同类项目</w:t>
      </w:r>
      <w:r>
        <w:rPr>
          <w:rFonts w:ascii="宋体" w:hAnsi="宋体" w:eastAsia="宋体" w:cs="宋体"/>
          <w:sz w:val="24"/>
          <w:szCs w:val="24"/>
        </w:rPr>
        <w:t xml:space="preserve"> </w:t>
      </w:r>
      <w:r>
        <w:rPr>
          <w:rFonts w:ascii="宋体" w:hAnsi="宋体" w:eastAsia="宋体" w:cs="宋体"/>
          <w:spacing w:val="-3"/>
          <w:sz w:val="24"/>
          <w:szCs w:val="24"/>
        </w:rPr>
        <w:t>类比，烟气脱硫水损失包括石膏中携带走水分以及烟气带走的水分，厂区脱硫系统补水</w:t>
      </w:r>
      <w:r>
        <w:rPr>
          <w:rFonts w:ascii="宋体" w:hAnsi="宋体" w:eastAsia="宋体" w:cs="宋体"/>
          <w:sz w:val="24"/>
          <w:szCs w:val="24"/>
        </w:rPr>
        <w:t xml:space="preserve"> </w:t>
      </w:r>
      <w:r>
        <w:rPr>
          <w:rFonts w:ascii="宋体" w:hAnsi="宋体" w:eastAsia="宋体" w:cs="宋体"/>
          <w:spacing w:val="-1"/>
          <w:sz w:val="24"/>
          <w:szCs w:val="24"/>
        </w:rPr>
        <w:t>量为</w:t>
      </w:r>
      <w:r>
        <w:rPr>
          <w:rFonts w:ascii="宋体" w:hAnsi="宋体" w:eastAsia="宋体" w:cs="宋体"/>
          <w:spacing w:val="-31"/>
          <w:sz w:val="24"/>
          <w:szCs w:val="24"/>
        </w:rPr>
        <w:t xml:space="preserve"> </w:t>
      </w:r>
      <w:r>
        <w:rPr>
          <w:rFonts w:ascii="Times New Roman" w:hAnsi="Times New Roman" w:eastAsia="Times New Roman" w:cs="Times New Roman"/>
          <w:spacing w:val="-1"/>
          <w:sz w:val="24"/>
          <w:szCs w:val="24"/>
        </w:rPr>
        <w:t>11600m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/a</w:t>
      </w:r>
      <w:r>
        <w:rPr>
          <w:rFonts w:ascii="宋体" w:hAnsi="宋体" w:eastAsia="宋体" w:cs="宋体"/>
          <w:spacing w:val="-1"/>
          <w:sz w:val="24"/>
          <w:szCs w:val="24"/>
        </w:rPr>
        <w:t>（</w:t>
      </w:r>
      <w:r>
        <w:rPr>
          <w:rFonts w:ascii="Times New Roman" w:hAnsi="Times New Roman" w:eastAsia="Times New Roman" w:cs="Times New Roman"/>
          <w:spacing w:val="-1"/>
          <w:sz w:val="24"/>
          <w:szCs w:val="24"/>
        </w:rPr>
        <w:t>1.45m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/h</w:t>
      </w:r>
      <w:r>
        <w:rPr>
          <w:rFonts w:ascii="宋体" w:hAnsi="宋体" w:eastAsia="宋体" w:cs="宋体"/>
          <w:spacing w:val="5"/>
          <w:sz w:val="24"/>
          <w:szCs w:val="24"/>
        </w:rPr>
        <w:t>），</w:t>
      </w:r>
      <w:r>
        <w:rPr>
          <w:rFonts w:ascii="宋体" w:hAnsi="宋体" w:eastAsia="宋体" w:cs="宋体"/>
          <w:spacing w:val="-1"/>
          <w:sz w:val="24"/>
          <w:szCs w:val="24"/>
        </w:rPr>
        <w:t>用水由</w:t>
      </w:r>
      <w:r>
        <w:rPr>
          <w:rFonts w:ascii="宋体" w:hAnsi="宋体" w:eastAsia="宋体" w:cs="宋体"/>
          <w:spacing w:val="-2"/>
          <w:sz w:val="24"/>
          <w:szCs w:val="24"/>
        </w:rPr>
        <w:t>生产供水系统直接补给。</w:t>
      </w:r>
    </w:p>
    <w:p w14:paraId="5DC6A408">
      <w:pPr>
        <w:spacing w:before="37"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）绿化用水</w:t>
      </w:r>
    </w:p>
    <w:p w14:paraId="43C275FF">
      <w:pPr>
        <w:spacing w:before="193" w:line="352" w:lineRule="auto"/>
        <w:ind w:left="10" w:right="80" w:firstLine="481"/>
        <w:rPr>
          <w:rFonts w:ascii="宋体" w:hAnsi="宋体" w:eastAsia="宋体" w:cs="宋体"/>
          <w:sz w:val="24"/>
          <w:szCs w:val="24"/>
        </w:rPr>
      </w:pPr>
      <w:r>
        <w:rPr>
          <w:rFonts w:ascii="宋体" w:hAnsi="宋体" w:eastAsia="宋体" w:cs="宋体"/>
          <w:spacing w:val="-3"/>
          <w:sz w:val="24"/>
          <w:szCs w:val="24"/>
        </w:rPr>
        <w:t>项目绿化面积</w:t>
      </w:r>
      <w:r>
        <w:rPr>
          <w:rFonts w:ascii="宋体" w:hAnsi="宋体" w:eastAsia="宋体" w:cs="宋体"/>
          <w:spacing w:val="-22"/>
          <w:sz w:val="24"/>
          <w:szCs w:val="24"/>
        </w:rPr>
        <w:t xml:space="preserve"> </w:t>
      </w:r>
      <w:r>
        <w:rPr>
          <w:rFonts w:ascii="Times New Roman" w:hAnsi="Times New Roman" w:eastAsia="Times New Roman" w:cs="Times New Roman"/>
          <w:spacing w:val="-3"/>
          <w:sz w:val="24"/>
          <w:szCs w:val="24"/>
        </w:rPr>
        <w:t>10870.0m</w:t>
      </w:r>
      <w:r>
        <w:rPr>
          <w:rFonts w:ascii="Times New Roman" w:hAnsi="Times New Roman" w:eastAsia="Times New Roman" w:cs="Times New Roman"/>
          <w:spacing w:val="-3"/>
          <w:position w:val="8"/>
          <w:sz w:val="15"/>
          <w:szCs w:val="15"/>
        </w:rPr>
        <w:t>2</w:t>
      </w:r>
      <w:r>
        <w:rPr>
          <w:rFonts w:ascii="宋体" w:hAnsi="宋体" w:eastAsia="宋体" w:cs="宋体"/>
          <w:spacing w:val="-3"/>
          <w:sz w:val="24"/>
          <w:szCs w:val="24"/>
        </w:rPr>
        <w:t>，根据《行业用水定额》（</w:t>
      </w:r>
      <w:r>
        <w:rPr>
          <w:rFonts w:ascii="Times New Roman" w:hAnsi="Times New Roman" w:eastAsia="Times New Roman" w:cs="Times New Roman"/>
          <w:spacing w:val="-3"/>
          <w:sz w:val="24"/>
          <w:szCs w:val="24"/>
        </w:rPr>
        <w:t>DB15/T 385-2020</w:t>
      </w:r>
      <w:r>
        <w:rPr>
          <w:rFonts w:ascii="宋体" w:hAnsi="宋体" w:eastAsia="宋体" w:cs="宋体"/>
          <w:spacing w:val="-3"/>
          <w:sz w:val="24"/>
          <w:szCs w:val="24"/>
        </w:rPr>
        <w:t>）绿化用水量</w:t>
      </w:r>
      <w:r>
        <w:rPr>
          <w:rFonts w:ascii="宋体" w:hAnsi="宋体" w:eastAsia="宋体" w:cs="宋体"/>
          <w:sz w:val="24"/>
          <w:szCs w:val="24"/>
        </w:rPr>
        <w:t xml:space="preserve"> </w:t>
      </w:r>
      <w:r>
        <w:rPr>
          <w:rFonts w:ascii="宋体" w:hAnsi="宋体" w:eastAsia="宋体" w:cs="宋体"/>
          <w:spacing w:val="-9"/>
          <w:sz w:val="24"/>
          <w:szCs w:val="24"/>
        </w:rPr>
        <w:t>按照</w:t>
      </w:r>
      <w:r>
        <w:rPr>
          <w:rFonts w:ascii="宋体" w:hAnsi="宋体" w:eastAsia="宋体" w:cs="宋体"/>
          <w:spacing w:val="-13"/>
          <w:sz w:val="24"/>
          <w:szCs w:val="24"/>
        </w:rPr>
        <w:t xml:space="preserve"> </w:t>
      </w:r>
      <w:r>
        <w:rPr>
          <w:rFonts w:ascii="Times New Roman" w:hAnsi="Times New Roman" w:eastAsia="Times New Roman" w:cs="Times New Roman"/>
          <w:spacing w:val="-9"/>
          <w:sz w:val="24"/>
          <w:szCs w:val="24"/>
        </w:rPr>
        <w:t>1.</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9"/>
          <w:sz w:val="24"/>
          <w:szCs w:val="24"/>
        </w:rPr>
        <w:t>1L/m</w:t>
      </w:r>
      <w:r>
        <w:rPr>
          <w:rFonts w:ascii="Times New Roman" w:hAnsi="Times New Roman" w:eastAsia="Times New Roman" w:cs="Times New Roman"/>
          <w:spacing w:val="-1"/>
          <w:position w:val="7"/>
          <w:sz w:val="15"/>
          <w:szCs w:val="15"/>
        </w:rPr>
        <w:t>2</w:t>
      </w:r>
      <w:r>
        <w:rPr>
          <w:rFonts w:ascii="Times New Roman" w:hAnsi="Times New Roman" w:eastAsia="Times New Roman" w:cs="Times New Roman"/>
          <w:b/>
          <w:bCs/>
          <w:spacing w:val="-1"/>
          <w:sz w:val="24"/>
          <w:szCs w:val="24"/>
        </w:rPr>
        <w:t>.</w:t>
      </w:r>
      <w:r>
        <w:rPr>
          <w:rFonts w:ascii="Times New Roman" w:hAnsi="Times New Roman" w:eastAsia="Times New Roman" w:cs="Times New Roman"/>
          <w:spacing w:val="-1"/>
          <w:sz w:val="24"/>
          <w:szCs w:val="24"/>
        </w:rPr>
        <w:t xml:space="preserve">d </w:t>
      </w:r>
      <w:r>
        <w:rPr>
          <w:rFonts w:ascii="宋体" w:hAnsi="宋体" w:eastAsia="宋体" w:cs="宋体"/>
          <w:spacing w:val="-1"/>
          <w:sz w:val="24"/>
          <w:szCs w:val="24"/>
        </w:rPr>
        <w:t>计算，则厂区绿化用水量为</w:t>
      </w:r>
      <w:r>
        <w:rPr>
          <w:rFonts w:ascii="宋体" w:hAnsi="宋体" w:eastAsia="宋体" w:cs="宋体"/>
          <w:spacing w:val="-31"/>
          <w:sz w:val="24"/>
          <w:szCs w:val="24"/>
        </w:rPr>
        <w:t xml:space="preserve"> </w:t>
      </w:r>
      <w:r>
        <w:rPr>
          <w:rFonts w:ascii="Times New Roman" w:hAnsi="Times New Roman" w:eastAsia="Times New Roman" w:cs="Times New Roman"/>
          <w:spacing w:val="-1"/>
          <w:sz w:val="24"/>
          <w:szCs w:val="24"/>
        </w:rPr>
        <w:t>11.96m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/d</w:t>
      </w:r>
      <w:r>
        <w:rPr>
          <w:rFonts w:ascii="宋体" w:hAnsi="宋体" w:eastAsia="宋体" w:cs="宋体"/>
          <w:spacing w:val="-1"/>
          <w:sz w:val="24"/>
          <w:szCs w:val="24"/>
        </w:rPr>
        <w:t>（</w:t>
      </w:r>
      <w:r>
        <w:rPr>
          <w:rFonts w:ascii="Times New Roman" w:hAnsi="Times New Roman" w:eastAsia="Times New Roman" w:cs="Times New Roman"/>
          <w:spacing w:val="-1"/>
          <w:sz w:val="24"/>
          <w:szCs w:val="24"/>
        </w:rPr>
        <w:t>0.50m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/h</w:t>
      </w:r>
      <w:r>
        <w:rPr>
          <w:rFonts w:ascii="宋体" w:hAnsi="宋体" w:eastAsia="宋体" w:cs="宋体"/>
          <w:spacing w:val="-1"/>
          <w:sz w:val="24"/>
          <w:szCs w:val="24"/>
        </w:rPr>
        <w:t>）。</w:t>
      </w:r>
    </w:p>
    <w:p w14:paraId="2AE8CD9B">
      <w:pPr>
        <w:spacing w:before="38"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）化验室用水</w:t>
      </w:r>
    </w:p>
    <w:p w14:paraId="6362A32B">
      <w:pPr>
        <w:spacing w:before="192" w:line="219" w:lineRule="auto"/>
        <w:ind w:left="488"/>
        <w:rPr>
          <w:rFonts w:ascii="宋体" w:hAnsi="宋体" w:eastAsia="宋体" w:cs="宋体"/>
          <w:sz w:val="24"/>
          <w:szCs w:val="24"/>
        </w:rPr>
      </w:pPr>
      <w:r>
        <w:rPr>
          <w:rFonts w:ascii="宋体" w:hAnsi="宋体" w:eastAsia="宋体" w:cs="宋体"/>
          <w:spacing w:val="-1"/>
          <w:sz w:val="24"/>
          <w:szCs w:val="24"/>
        </w:rPr>
        <w:t>根据建设单位提供的设计资料，化验室新增用水量为</w:t>
      </w:r>
      <w:r>
        <w:rPr>
          <w:rFonts w:ascii="宋体" w:hAnsi="宋体" w:eastAsia="宋体" w:cs="宋体"/>
          <w:spacing w:val="-36"/>
          <w:sz w:val="24"/>
          <w:szCs w:val="24"/>
        </w:rPr>
        <w:t xml:space="preserve"> </w:t>
      </w:r>
      <w:r>
        <w:rPr>
          <w:rFonts w:ascii="Times New Roman" w:hAnsi="Times New Roman" w:eastAsia="Times New Roman" w:cs="Times New Roman"/>
          <w:spacing w:val="-1"/>
          <w:sz w:val="24"/>
          <w:szCs w:val="24"/>
        </w:rPr>
        <w:t>0.05m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/h</w:t>
      </w:r>
      <w:r>
        <w:rPr>
          <w:rFonts w:ascii="宋体" w:hAnsi="宋体" w:eastAsia="宋体" w:cs="宋体"/>
          <w:spacing w:val="-1"/>
          <w:sz w:val="24"/>
          <w:szCs w:val="24"/>
        </w:rPr>
        <w:t>。</w:t>
      </w:r>
    </w:p>
    <w:p w14:paraId="7D5F1EF9">
      <w:pPr>
        <w:spacing w:before="192" w:line="353" w:lineRule="auto"/>
        <w:ind w:left="487" w:right="6992"/>
        <w:rPr>
          <w:rFonts w:ascii="宋体" w:hAnsi="宋体" w:eastAsia="宋体" w:cs="宋体"/>
          <w:sz w:val="24"/>
          <w:szCs w:val="24"/>
        </w:rPr>
      </w:pPr>
      <w:r>
        <w:rPr>
          <w:rFonts w:ascii="宋体" w:hAnsi="宋体" w:eastAsia="宋体" w:cs="宋体"/>
          <w:b/>
          <w:bCs/>
          <w:spacing w:val="-12"/>
          <w:sz w:val="24"/>
          <w:szCs w:val="24"/>
        </w:rPr>
        <w:t>产污环节分析：</w:t>
      </w:r>
      <w:r>
        <w:rPr>
          <w:rFonts w:ascii="宋体" w:hAnsi="宋体" w:eastAsia="宋体" w:cs="宋体"/>
          <w:sz w:val="24"/>
          <w:szCs w:val="24"/>
        </w:rPr>
        <w:t xml:space="preserve"> </w:t>
      </w:r>
      <w:r>
        <w:rPr>
          <w:rFonts w:ascii="宋体" w:hAnsi="宋体" w:eastAsia="宋体" w:cs="宋体"/>
          <w:b/>
          <w:bCs/>
          <w:spacing w:val="-6"/>
          <w:sz w:val="24"/>
          <w:szCs w:val="24"/>
        </w:rPr>
        <w:t>废气：</w:t>
      </w:r>
    </w:p>
    <w:p w14:paraId="150E3237">
      <w:pPr>
        <w:spacing w:before="37" w:line="354" w:lineRule="auto"/>
        <w:ind w:left="11" w:right="80" w:firstLine="478"/>
        <w:rPr>
          <w:rFonts w:ascii="宋体" w:hAnsi="宋体" w:eastAsia="宋体" w:cs="宋体"/>
          <w:sz w:val="24"/>
          <w:szCs w:val="24"/>
        </w:rPr>
      </w:pPr>
      <w:r>
        <w:rPr>
          <w:rFonts w:ascii="宋体" w:hAnsi="宋体" w:eastAsia="宋体" w:cs="宋体"/>
          <w:spacing w:val="-3"/>
          <w:sz w:val="24"/>
          <w:szCs w:val="24"/>
        </w:rPr>
        <w:t>本项目在厂区建设职工餐厅，运行时会产生餐厅油烟（</w:t>
      </w:r>
      <w:r>
        <w:rPr>
          <w:rFonts w:ascii="Times New Roman" w:hAnsi="Times New Roman" w:eastAsia="Times New Roman" w:cs="Times New Roman"/>
          <w:spacing w:val="-3"/>
          <w:sz w:val="24"/>
          <w:szCs w:val="24"/>
        </w:rPr>
        <w:t>G</w:t>
      </w:r>
      <w:r>
        <w:rPr>
          <w:rFonts w:ascii="Times New Roman" w:hAnsi="Times New Roman" w:eastAsia="Times New Roman" w:cs="Times New Roman"/>
          <w:spacing w:val="-4"/>
          <w:position w:val="-1"/>
          <w:sz w:val="15"/>
          <w:szCs w:val="15"/>
        </w:rPr>
        <w:t>3</w:t>
      </w:r>
      <w:r>
        <w:rPr>
          <w:rFonts w:ascii="宋体" w:hAnsi="宋体" w:eastAsia="宋体" w:cs="宋体"/>
          <w:spacing w:val="-4"/>
          <w:sz w:val="24"/>
          <w:szCs w:val="24"/>
        </w:rPr>
        <w:t>）排放，经油烟净化器处</w:t>
      </w:r>
      <w:r>
        <w:rPr>
          <w:rFonts w:ascii="宋体" w:hAnsi="宋体" w:eastAsia="宋体" w:cs="宋体"/>
          <w:sz w:val="24"/>
          <w:szCs w:val="24"/>
        </w:rPr>
        <w:t xml:space="preserve"> </w:t>
      </w:r>
      <w:r>
        <w:rPr>
          <w:rFonts w:ascii="宋体" w:hAnsi="宋体" w:eastAsia="宋体" w:cs="宋体"/>
          <w:spacing w:val="-3"/>
          <w:sz w:val="24"/>
          <w:szCs w:val="24"/>
        </w:rPr>
        <w:t>理后排放。</w:t>
      </w:r>
    </w:p>
    <w:p w14:paraId="6E0BCB95">
      <w:pPr>
        <w:spacing w:before="34" w:line="219" w:lineRule="auto"/>
        <w:ind w:left="487"/>
        <w:rPr>
          <w:rFonts w:ascii="宋体" w:hAnsi="宋体" w:eastAsia="宋体" w:cs="宋体"/>
          <w:sz w:val="24"/>
          <w:szCs w:val="24"/>
        </w:rPr>
      </w:pPr>
      <w:r>
        <w:rPr>
          <w:rFonts w:ascii="宋体" w:hAnsi="宋体" w:eastAsia="宋体" w:cs="宋体"/>
          <w:b/>
          <w:bCs/>
          <w:spacing w:val="-6"/>
          <w:sz w:val="24"/>
          <w:szCs w:val="24"/>
        </w:rPr>
        <w:t>废水：</w:t>
      </w:r>
    </w:p>
    <w:p w14:paraId="2A48169D">
      <w:pPr>
        <w:spacing w:before="191" w:line="318" w:lineRule="auto"/>
        <w:ind w:left="8" w:firstLine="479"/>
        <w:rPr>
          <w:rFonts w:ascii="宋体" w:hAnsi="宋体" w:eastAsia="宋体" w:cs="宋体"/>
          <w:sz w:val="24"/>
          <w:szCs w:val="24"/>
        </w:rPr>
      </w:pPr>
      <w:r>
        <w:rPr>
          <w:rFonts w:ascii="宋体" w:hAnsi="宋体" w:eastAsia="宋体" w:cs="宋体"/>
          <w:spacing w:val="-4"/>
          <w:sz w:val="24"/>
          <w:szCs w:val="24"/>
        </w:rPr>
        <w:t>①生活污水（</w:t>
      </w:r>
      <w:r>
        <w:rPr>
          <w:rFonts w:ascii="Times New Roman" w:hAnsi="Times New Roman" w:eastAsia="Times New Roman" w:cs="Times New Roman"/>
          <w:spacing w:val="-4"/>
          <w:sz w:val="24"/>
          <w:szCs w:val="24"/>
        </w:rPr>
        <w:t>W</w:t>
      </w:r>
      <w:r>
        <w:rPr>
          <w:rFonts w:ascii="Times New Roman" w:hAnsi="Times New Roman" w:eastAsia="Times New Roman" w:cs="Times New Roman"/>
          <w:spacing w:val="-4"/>
          <w:position w:val="-1"/>
          <w:sz w:val="15"/>
          <w:szCs w:val="15"/>
        </w:rPr>
        <w:t>3</w:t>
      </w:r>
      <w:r>
        <w:rPr>
          <w:rFonts w:ascii="宋体" w:hAnsi="宋体" w:eastAsia="宋体" w:cs="宋体"/>
          <w:spacing w:val="-33"/>
          <w:sz w:val="24"/>
          <w:szCs w:val="24"/>
        </w:rPr>
        <w:t>）：</w:t>
      </w:r>
      <w:r>
        <w:rPr>
          <w:rFonts w:ascii="宋体" w:hAnsi="宋体" w:eastAsia="宋体" w:cs="宋体"/>
          <w:spacing w:val="-4"/>
          <w:sz w:val="24"/>
          <w:szCs w:val="24"/>
        </w:rPr>
        <w:t>职工日常生活产生生活污水主要污染物为</w:t>
      </w:r>
      <w:r>
        <w:rPr>
          <w:rFonts w:ascii="宋体" w:hAnsi="宋体" w:eastAsia="宋体" w:cs="宋体"/>
          <w:spacing w:val="-51"/>
          <w:sz w:val="24"/>
          <w:szCs w:val="24"/>
        </w:rPr>
        <w:t xml:space="preserve"> </w:t>
      </w:r>
      <w:r>
        <w:rPr>
          <w:rFonts w:ascii="Times New Roman" w:hAnsi="Times New Roman" w:eastAsia="Times New Roman" w:cs="Times New Roman"/>
          <w:spacing w:val="-4"/>
          <w:sz w:val="24"/>
          <w:szCs w:val="24"/>
        </w:rPr>
        <w:t>COD</w:t>
      </w:r>
      <w:r>
        <w:rPr>
          <w:rFonts w:ascii="Times New Roman" w:hAnsi="Times New Roman" w:eastAsia="Times New Roman" w:cs="Times New Roman"/>
          <w:spacing w:val="-4"/>
          <w:position w:val="-1"/>
          <w:sz w:val="15"/>
          <w:szCs w:val="15"/>
        </w:rPr>
        <w:t>Cr</w:t>
      </w:r>
      <w:r>
        <w:rPr>
          <w:rFonts w:ascii="宋体" w:hAnsi="宋体" w:eastAsia="宋体" w:cs="宋体"/>
          <w:spacing w:val="-4"/>
          <w:sz w:val="24"/>
          <w:szCs w:val="24"/>
        </w:rPr>
        <w:t>、</w:t>
      </w:r>
      <w:r>
        <w:rPr>
          <w:rFonts w:ascii="Times New Roman" w:hAnsi="Times New Roman" w:eastAsia="Times New Roman" w:cs="Times New Roman"/>
          <w:spacing w:val="-4"/>
          <w:sz w:val="24"/>
          <w:szCs w:val="24"/>
        </w:rPr>
        <w:t>BOD</w:t>
      </w:r>
      <w:r>
        <w:rPr>
          <w:rFonts w:ascii="Times New Roman" w:hAnsi="Times New Roman" w:eastAsia="Times New Roman" w:cs="Times New Roman"/>
          <w:spacing w:val="-4"/>
          <w:position w:val="-1"/>
          <w:sz w:val="15"/>
          <w:szCs w:val="15"/>
        </w:rPr>
        <w:t>5</w:t>
      </w:r>
      <w:r>
        <w:rPr>
          <w:rFonts w:ascii="宋体" w:hAnsi="宋体" w:eastAsia="宋体" w:cs="宋体"/>
          <w:spacing w:val="-4"/>
          <w:sz w:val="24"/>
          <w:szCs w:val="24"/>
        </w:rPr>
        <w:t>、</w:t>
      </w:r>
      <w:r>
        <w:rPr>
          <w:rFonts w:ascii="Times New Roman" w:hAnsi="Times New Roman" w:eastAsia="Times New Roman" w:cs="Times New Roman"/>
          <w:spacing w:val="-5"/>
          <w:sz w:val="24"/>
          <w:szCs w:val="24"/>
        </w:rPr>
        <w:t>SS</w:t>
      </w:r>
      <w:r>
        <w:rPr>
          <w:rFonts w:ascii="宋体" w:hAnsi="宋体" w:eastAsia="宋体" w:cs="宋体"/>
          <w:spacing w:val="-5"/>
          <w:sz w:val="24"/>
          <w:szCs w:val="24"/>
        </w:rPr>
        <w:t>、</w:t>
      </w:r>
      <w:r>
        <w:rPr>
          <w:rFonts w:ascii="宋体" w:hAnsi="宋体" w:eastAsia="宋体" w:cs="宋体"/>
          <w:sz w:val="24"/>
          <w:szCs w:val="24"/>
        </w:rPr>
        <w:t xml:space="preserve"> </w:t>
      </w:r>
      <w:r>
        <w:rPr>
          <w:rFonts w:ascii="宋体" w:hAnsi="宋体" w:eastAsia="宋体" w:cs="宋体"/>
          <w:spacing w:val="-3"/>
          <w:sz w:val="24"/>
          <w:szCs w:val="24"/>
        </w:rPr>
        <w:t>氨氮，经地埋式一体化污水处理设施处理后，由罐车运至苏尼特右旗赛汉塔拉镇污水处</w:t>
      </w:r>
      <w:r>
        <w:rPr>
          <w:rFonts w:ascii="宋体" w:hAnsi="宋体" w:eastAsia="宋体" w:cs="宋体"/>
          <w:sz w:val="24"/>
          <w:szCs w:val="24"/>
        </w:rPr>
        <w:t xml:space="preserve"> </w:t>
      </w:r>
      <w:r>
        <w:rPr>
          <w:rFonts w:ascii="宋体" w:hAnsi="宋体" w:eastAsia="宋体" w:cs="宋体"/>
          <w:spacing w:val="-2"/>
          <w:sz w:val="24"/>
          <w:szCs w:val="24"/>
        </w:rPr>
        <w:t>理厂进一步处理。</w:t>
      </w:r>
    </w:p>
    <w:p w14:paraId="5D9AA42C">
      <w:pPr>
        <w:spacing w:before="193" w:line="292" w:lineRule="auto"/>
        <w:ind w:left="8" w:right="82" w:firstLine="478"/>
        <w:rPr>
          <w:rFonts w:ascii="宋体" w:hAnsi="宋体" w:eastAsia="宋体" w:cs="宋体"/>
          <w:sz w:val="24"/>
          <w:szCs w:val="24"/>
        </w:rPr>
      </w:pPr>
      <w:r>
        <w:rPr>
          <w:rFonts w:ascii="宋体" w:hAnsi="宋体" w:eastAsia="宋体" w:cs="宋体"/>
          <w:spacing w:val="1"/>
          <w:sz w:val="24"/>
          <w:szCs w:val="24"/>
        </w:rPr>
        <w:t>②循环冷却水系统排污水（</w:t>
      </w:r>
      <w:r>
        <w:rPr>
          <w:rFonts w:ascii="Times New Roman" w:hAnsi="Times New Roman" w:eastAsia="Times New Roman" w:cs="Times New Roman"/>
          <w:spacing w:val="1"/>
          <w:sz w:val="24"/>
          <w:szCs w:val="24"/>
        </w:rPr>
        <w:t>W</w:t>
      </w:r>
      <w:r>
        <w:rPr>
          <w:rFonts w:ascii="Times New Roman" w:hAnsi="Times New Roman" w:eastAsia="Times New Roman" w:cs="Times New Roman"/>
          <w:spacing w:val="1"/>
          <w:position w:val="-1"/>
          <w:sz w:val="15"/>
          <w:szCs w:val="15"/>
        </w:rPr>
        <w:t xml:space="preserve">4 </w:t>
      </w:r>
      <w:r>
        <w:rPr>
          <w:rFonts w:ascii="宋体" w:hAnsi="宋体" w:eastAsia="宋体" w:cs="宋体"/>
          <w:spacing w:val="-5"/>
          <w:sz w:val="24"/>
          <w:szCs w:val="24"/>
        </w:rPr>
        <w:t>）：</w:t>
      </w:r>
      <w:r>
        <w:rPr>
          <w:rFonts w:ascii="宋体" w:hAnsi="宋体" w:eastAsia="宋体" w:cs="宋体"/>
          <w:spacing w:val="1"/>
          <w:sz w:val="24"/>
          <w:szCs w:val="24"/>
        </w:rPr>
        <w:t xml:space="preserve">冷却循环水系统因盐分浓度的升高，需要定期 </w:t>
      </w:r>
      <w:r>
        <w:rPr>
          <w:rFonts w:ascii="宋体" w:hAnsi="宋体" w:eastAsia="宋体" w:cs="宋体"/>
          <w:spacing w:val="-1"/>
          <w:sz w:val="24"/>
          <w:szCs w:val="24"/>
        </w:rPr>
        <w:t>排放一部分，产生循环水系统排污，补充到浊循环水系统中。</w:t>
      </w:r>
    </w:p>
    <w:p w14:paraId="04ACBB16">
      <w:pPr>
        <w:spacing w:before="194" w:line="293" w:lineRule="auto"/>
        <w:ind w:left="11" w:right="80" w:firstLine="475"/>
        <w:rPr>
          <w:rFonts w:ascii="宋体" w:hAnsi="宋体" w:eastAsia="宋体" w:cs="宋体"/>
          <w:sz w:val="24"/>
          <w:szCs w:val="24"/>
        </w:rPr>
      </w:pPr>
      <w:r>
        <w:rPr>
          <w:rFonts w:ascii="宋体" w:hAnsi="宋体" w:eastAsia="宋体" w:cs="宋体"/>
          <w:sz w:val="24"/>
          <w:szCs w:val="24"/>
        </w:rPr>
        <w:t>③软水制备装置在制备软水时需排放含盐废水（软水制</w:t>
      </w:r>
      <w:r>
        <w:rPr>
          <w:rFonts w:ascii="宋体" w:hAnsi="宋体" w:eastAsia="宋体" w:cs="宋体"/>
          <w:spacing w:val="-1"/>
          <w:sz w:val="24"/>
          <w:szCs w:val="24"/>
        </w:rPr>
        <w:t>备排污</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W</w:t>
      </w:r>
      <w:r>
        <w:rPr>
          <w:rFonts w:ascii="Times New Roman" w:hAnsi="Times New Roman" w:eastAsia="Times New Roman" w:cs="Times New Roman"/>
          <w:spacing w:val="-1"/>
          <w:position w:val="-1"/>
          <w:sz w:val="15"/>
          <w:szCs w:val="15"/>
        </w:rPr>
        <w:t xml:space="preserve">5 </w:t>
      </w:r>
      <w:r>
        <w:rPr>
          <w:rFonts w:ascii="宋体" w:hAnsi="宋体" w:eastAsia="宋体" w:cs="宋体"/>
          <w:spacing w:val="-13"/>
          <w:sz w:val="24"/>
          <w:szCs w:val="24"/>
        </w:rPr>
        <w:t>），</w:t>
      </w:r>
      <w:r>
        <w:rPr>
          <w:rFonts w:ascii="宋体" w:hAnsi="宋体" w:eastAsia="宋体" w:cs="宋体"/>
          <w:spacing w:val="-1"/>
          <w:sz w:val="24"/>
          <w:szCs w:val="24"/>
        </w:rPr>
        <w:t>全部补充到</w:t>
      </w:r>
      <w:r>
        <w:rPr>
          <w:rFonts w:ascii="宋体" w:hAnsi="宋体" w:eastAsia="宋体" w:cs="宋体"/>
          <w:sz w:val="24"/>
          <w:szCs w:val="24"/>
        </w:rPr>
        <w:t xml:space="preserve"> </w:t>
      </w:r>
      <w:r>
        <w:rPr>
          <w:rFonts w:ascii="宋体" w:hAnsi="宋体" w:eastAsia="宋体" w:cs="宋体"/>
          <w:spacing w:val="-2"/>
          <w:sz w:val="24"/>
          <w:szCs w:val="24"/>
        </w:rPr>
        <w:t>浊循环水系统中。</w:t>
      </w:r>
    </w:p>
    <w:p w14:paraId="1519778C">
      <w:pPr>
        <w:spacing w:before="192" w:line="220" w:lineRule="auto"/>
        <w:ind w:left="508"/>
        <w:rPr>
          <w:rFonts w:ascii="宋体" w:hAnsi="宋体" w:eastAsia="宋体" w:cs="宋体"/>
          <w:sz w:val="24"/>
          <w:szCs w:val="24"/>
        </w:rPr>
      </w:pPr>
      <w:r>
        <w:rPr>
          <w:rFonts w:ascii="宋体" w:hAnsi="宋体" w:eastAsia="宋体" w:cs="宋体"/>
          <w:b/>
          <w:bCs/>
          <w:spacing w:val="-13"/>
          <w:sz w:val="24"/>
          <w:szCs w:val="24"/>
        </w:rPr>
        <w:t>固废：</w:t>
      </w:r>
    </w:p>
    <w:p w14:paraId="60D33ED5">
      <w:pPr>
        <w:spacing w:before="189" w:line="217" w:lineRule="auto"/>
        <w:ind w:right="5"/>
        <w:jc w:val="right"/>
        <w:rPr>
          <w:rFonts w:ascii="宋体" w:hAnsi="宋体" w:eastAsia="宋体" w:cs="宋体"/>
          <w:sz w:val="24"/>
          <w:szCs w:val="24"/>
        </w:rPr>
      </w:pPr>
      <w:r>
        <w:rPr>
          <w:rFonts w:ascii="宋体" w:hAnsi="宋体" w:eastAsia="宋体" w:cs="宋体"/>
          <w:spacing w:val="-1"/>
          <w:sz w:val="24"/>
          <w:szCs w:val="24"/>
        </w:rPr>
        <w:t>①生活垃圾（</w:t>
      </w:r>
      <w:r>
        <w:rPr>
          <w:rFonts w:ascii="Times New Roman" w:hAnsi="Times New Roman" w:eastAsia="Times New Roman" w:cs="Times New Roman"/>
          <w:spacing w:val="-1"/>
          <w:sz w:val="24"/>
          <w:szCs w:val="24"/>
        </w:rPr>
        <w:t>S</w:t>
      </w:r>
      <w:r>
        <w:rPr>
          <w:rFonts w:ascii="Times New Roman" w:hAnsi="Times New Roman" w:eastAsia="Times New Roman" w:cs="Times New Roman"/>
          <w:spacing w:val="-1"/>
          <w:position w:val="-1"/>
          <w:sz w:val="15"/>
          <w:szCs w:val="15"/>
        </w:rPr>
        <w:t xml:space="preserve">4 </w:t>
      </w:r>
      <w:r>
        <w:rPr>
          <w:rFonts w:ascii="宋体" w:hAnsi="宋体" w:eastAsia="宋体" w:cs="宋体"/>
          <w:spacing w:val="-5"/>
          <w:sz w:val="24"/>
          <w:szCs w:val="24"/>
        </w:rPr>
        <w:t>）：</w:t>
      </w:r>
      <w:r>
        <w:rPr>
          <w:rFonts w:ascii="宋体" w:hAnsi="宋体" w:eastAsia="宋体" w:cs="宋体"/>
          <w:spacing w:val="-1"/>
          <w:sz w:val="24"/>
          <w:szCs w:val="24"/>
        </w:rPr>
        <w:t>职工日常生活产生生活垃圾，主要成分为纸张、食物残渣等，</w:t>
      </w:r>
    </w:p>
    <w:p w14:paraId="01D120F4">
      <w:pPr>
        <w:spacing w:line="217" w:lineRule="auto"/>
        <w:rPr>
          <w:rFonts w:ascii="宋体" w:hAnsi="宋体" w:eastAsia="宋体" w:cs="宋体"/>
          <w:sz w:val="24"/>
          <w:szCs w:val="24"/>
        </w:rPr>
        <w:sectPr>
          <w:headerReference r:id="rId131" w:type="default"/>
          <w:footerReference r:id="rId132" w:type="default"/>
          <w:pgSz w:w="11850" w:h="16781"/>
          <w:pgMar w:top="1178" w:right="1336" w:bottom="1013" w:left="1417" w:header="870" w:footer="850" w:gutter="0"/>
          <w:cols w:space="720" w:num="1"/>
        </w:sectPr>
      </w:pPr>
    </w:p>
    <w:p w14:paraId="6C2D4DF7">
      <w:pPr>
        <w:pStyle w:val="2"/>
        <w:spacing w:line="276" w:lineRule="auto"/>
      </w:pPr>
      <w:r>
        <w:pict>
          <v:shape id="_x0000_s1178" o:spid="_x0000_s1178" style="position:absolute;left:0pt;margin-left:0pt;margin-top:0.7pt;height:0.75pt;width:450.75pt;z-index:251836416;mso-width-relative:page;mso-height-relative:page;" fillcolor="#000000" filled="t" stroked="f" coordsize="9015,15" path="m0,0l9014,0,9014,14,0,14,0,0xe">
            <v:path/>
            <v:fill on="t" focussize="0,0"/>
            <v:stroke on="f"/>
            <v:imagedata o:title=""/>
            <o:lock v:ext="edit"/>
          </v:shape>
        </w:pict>
      </w:r>
    </w:p>
    <w:p w14:paraId="044A9B92">
      <w:pPr>
        <w:spacing w:before="78" w:line="219" w:lineRule="auto"/>
        <w:ind w:left="7"/>
        <w:rPr>
          <w:rFonts w:ascii="宋体" w:hAnsi="宋体" w:eastAsia="宋体" w:cs="宋体"/>
          <w:sz w:val="24"/>
          <w:szCs w:val="24"/>
        </w:rPr>
      </w:pPr>
      <w:r>
        <w:rPr>
          <w:rFonts w:ascii="宋体" w:hAnsi="宋体" w:eastAsia="宋体" w:cs="宋体"/>
          <w:spacing w:val="-1"/>
          <w:sz w:val="24"/>
          <w:szCs w:val="24"/>
        </w:rPr>
        <w:t>在厂区内集中收集，委托当地环卫部门定期清理。</w:t>
      </w:r>
    </w:p>
    <w:p w14:paraId="64B34BC3">
      <w:pPr>
        <w:spacing w:before="192" w:line="354" w:lineRule="auto"/>
        <w:ind w:left="10" w:firstLine="476"/>
        <w:rPr>
          <w:rFonts w:ascii="宋体" w:hAnsi="宋体" w:eastAsia="宋体" w:cs="宋体"/>
          <w:sz w:val="24"/>
          <w:szCs w:val="24"/>
        </w:rPr>
      </w:pPr>
      <w:r>
        <w:rPr>
          <w:rFonts w:ascii="宋体" w:hAnsi="宋体" w:eastAsia="宋体" w:cs="宋体"/>
          <w:spacing w:val="-2"/>
          <w:sz w:val="24"/>
          <w:szCs w:val="24"/>
        </w:rPr>
        <w:t>②软水制备装置钠离子交换树脂需要定期更换，产</w:t>
      </w:r>
      <w:r>
        <w:rPr>
          <w:rFonts w:ascii="宋体" w:hAnsi="宋体" w:eastAsia="宋体" w:cs="宋体"/>
          <w:spacing w:val="-3"/>
          <w:sz w:val="24"/>
          <w:szCs w:val="24"/>
        </w:rPr>
        <w:t>生废离子交换树脂（</w:t>
      </w:r>
      <w:r>
        <w:rPr>
          <w:rFonts w:ascii="Times New Roman" w:hAnsi="Times New Roman" w:eastAsia="Times New Roman" w:cs="Times New Roman"/>
          <w:spacing w:val="-3"/>
          <w:sz w:val="24"/>
          <w:szCs w:val="24"/>
        </w:rPr>
        <w:t>S</w:t>
      </w:r>
      <w:r>
        <w:rPr>
          <w:rFonts w:ascii="Times New Roman" w:hAnsi="Times New Roman" w:eastAsia="Times New Roman" w:cs="Times New Roman"/>
          <w:spacing w:val="-3"/>
          <w:position w:val="-1"/>
          <w:sz w:val="15"/>
          <w:szCs w:val="15"/>
        </w:rPr>
        <w:t xml:space="preserve">5 </w:t>
      </w:r>
      <w:r>
        <w:rPr>
          <w:rFonts w:ascii="宋体" w:hAnsi="宋体" w:eastAsia="宋体" w:cs="宋体"/>
          <w:spacing w:val="-16"/>
          <w:sz w:val="24"/>
          <w:szCs w:val="24"/>
        </w:rPr>
        <w:t>），</w:t>
      </w:r>
      <w:r>
        <w:rPr>
          <w:rFonts w:ascii="宋体" w:hAnsi="宋体" w:eastAsia="宋体" w:cs="宋体"/>
          <w:spacing w:val="-3"/>
          <w:sz w:val="24"/>
          <w:szCs w:val="24"/>
        </w:rPr>
        <w:t>由其</w:t>
      </w:r>
      <w:r>
        <w:rPr>
          <w:rFonts w:ascii="宋体" w:hAnsi="宋体" w:eastAsia="宋体" w:cs="宋体"/>
          <w:sz w:val="24"/>
          <w:szCs w:val="24"/>
        </w:rPr>
        <w:t xml:space="preserve"> </w:t>
      </w:r>
      <w:r>
        <w:rPr>
          <w:rFonts w:ascii="宋体" w:hAnsi="宋体" w:eastAsia="宋体" w:cs="宋体"/>
          <w:spacing w:val="-2"/>
          <w:sz w:val="24"/>
          <w:szCs w:val="24"/>
        </w:rPr>
        <w:t>生产厂家回收。</w:t>
      </w:r>
    </w:p>
    <w:p w14:paraId="77EB005E">
      <w:pPr>
        <w:spacing w:before="35" w:line="219" w:lineRule="auto"/>
        <w:ind w:left="4"/>
        <w:outlineLvl w:val="3"/>
        <w:rPr>
          <w:rFonts w:ascii="宋体" w:hAnsi="宋体" w:eastAsia="宋体" w:cs="宋体"/>
          <w:sz w:val="24"/>
          <w:szCs w:val="24"/>
        </w:rPr>
      </w:pPr>
      <w:r>
        <w:fldChar w:fldCharType="begin"/>
      </w:r>
      <w:r>
        <w:instrText xml:space="preserve"> HYPERLINK "2.2.5.2" </w:instrText>
      </w:r>
      <w:r>
        <w:fldChar w:fldCharType="separate"/>
      </w:r>
      <w:r>
        <w:rPr>
          <w:rFonts w:ascii="Times New Roman" w:hAnsi="Times New Roman" w:eastAsia="Times New Roman" w:cs="Times New Roman"/>
          <w:b/>
          <w:bCs/>
          <w:spacing w:val="-2"/>
          <w:sz w:val="24"/>
          <w:szCs w:val="24"/>
        </w:rPr>
        <w:t>2.2.5.2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排水</w:t>
      </w:r>
    </w:p>
    <w:p w14:paraId="4BCABE4A">
      <w:pPr>
        <w:spacing w:before="190" w:line="354" w:lineRule="auto"/>
        <w:ind w:left="11" w:firstLine="478"/>
        <w:rPr>
          <w:rFonts w:ascii="宋体" w:hAnsi="宋体" w:eastAsia="宋体" w:cs="宋体"/>
          <w:sz w:val="24"/>
          <w:szCs w:val="24"/>
        </w:rPr>
      </w:pPr>
      <w:r>
        <w:rPr>
          <w:rFonts w:ascii="宋体" w:hAnsi="宋体" w:eastAsia="宋体" w:cs="宋体"/>
          <w:spacing w:val="-3"/>
          <w:sz w:val="24"/>
          <w:szCs w:val="24"/>
        </w:rPr>
        <w:t>本着清污分流的原则，根据污水性质，厂区排水划分为生产污水排</w:t>
      </w:r>
      <w:r>
        <w:rPr>
          <w:rFonts w:ascii="宋体" w:hAnsi="宋体" w:eastAsia="宋体" w:cs="宋体"/>
          <w:spacing w:val="-4"/>
          <w:sz w:val="24"/>
          <w:szCs w:val="24"/>
        </w:rPr>
        <w:t>水系统、生活污</w:t>
      </w:r>
      <w:r>
        <w:rPr>
          <w:rFonts w:ascii="宋体" w:hAnsi="宋体" w:eastAsia="宋体" w:cs="宋体"/>
          <w:sz w:val="24"/>
          <w:szCs w:val="24"/>
        </w:rPr>
        <w:t xml:space="preserve"> </w:t>
      </w:r>
      <w:r>
        <w:rPr>
          <w:rFonts w:ascii="宋体" w:hAnsi="宋体" w:eastAsia="宋体" w:cs="宋体"/>
          <w:spacing w:val="-1"/>
          <w:sz w:val="24"/>
          <w:szCs w:val="24"/>
        </w:rPr>
        <w:t>水排水系统、清净雨水排水系统。</w:t>
      </w:r>
    </w:p>
    <w:p w14:paraId="16A8ACEA">
      <w:pPr>
        <w:spacing w:before="34" w:line="219" w:lineRule="auto"/>
        <w:ind w:left="507"/>
        <w:rPr>
          <w:rFonts w:ascii="宋体" w:hAnsi="宋体" w:eastAsia="宋体" w:cs="宋体"/>
          <w:sz w:val="24"/>
          <w:szCs w:val="24"/>
        </w:rPr>
      </w:pPr>
      <w:r>
        <w:rPr>
          <w:rFonts w:ascii="Times New Roman" w:hAnsi="Times New Roman" w:eastAsia="Times New Roman" w:cs="Times New Roman"/>
          <w:spacing w:val="-6"/>
          <w:sz w:val="24"/>
          <w:szCs w:val="24"/>
        </w:rPr>
        <w:t>1</w:t>
      </w:r>
      <w:r>
        <w:rPr>
          <w:rFonts w:ascii="Times New Roman" w:hAnsi="Times New Roman" w:eastAsia="Times New Roman" w:cs="Times New Roman"/>
          <w:spacing w:val="-30"/>
          <w:sz w:val="24"/>
          <w:szCs w:val="24"/>
        </w:rPr>
        <w:t xml:space="preserve"> </w:t>
      </w:r>
      <w:r>
        <w:rPr>
          <w:rFonts w:ascii="宋体" w:hAnsi="宋体" w:eastAsia="宋体" w:cs="宋体"/>
          <w:spacing w:val="-6"/>
          <w:sz w:val="24"/>
          <w:szCs w:val="24"/>
        </w:rPr>
        <w:t>、生活污水排水系统</w:t>
      </w:r>
    </w:p>
    <w:p w14:paraId="5456A107">
      <w:pPr>
        <w:spacing w:before="193" w:line="352" w:lineRule="auto"/>
        <w:ind w:left="9" w:firstLine="480"/>
        <w:rPr>
          <w:rFonts w:ascii="宋体" w:hAnsi="宋体" w:eastAsia="宋体" w:cs="宋体"/>
          <w:sz w:val="24"/>
          <w:szCs w:val="24"/>
        </w:rPr>
      </w:pPr>
      <w:r>
        <w:rPr>
          <w:rFonts w:ascii="宋体" w:hAnsi="宋体" w:eastAsia="宋体" w:cs="宋体"/>
          <w:spacing w:val="-3"/>
          <w:sz w:val="24"/>
          <w:szCs w:val="24"/>
        </w:rPr>
        <w:t>本项目生活污水、化验室废水经地埋式一体化污水处理设施处理后</w:t>
      </w:r>
      <w:r>
        <w:rPr>
          <w:rFonts w:ascii="宋体" w:hAnsi="宋体" w:eastAsia="宋体" w:cs="宋体"/>
          <w:spacing w:val="-4"/>
          <w:sz w:val="24"/>
          <w:szCs w:val="24"/>
        </w:rPr>
        <w:t>，由罐车运至苏</w:t>
      </w:r>
      <w:r>
        <w:rPr>
          <w:rFonts w:ascii="宋体" w:hAnsi="宋体" w:eastAsia="宋体" w:cs="宋体"/>
          <w:sz w:val="24"/>
          <w:szCs w:val="24"/>
        </w:rPr>
        <w:t xml:space="preserve"> </w:t>
      </w:r>
      <w:r>
        <w:rPr>
          <w:rFonts w:ascii="宋体" w:hAnsi="宋体" w:eastAsia="宋体" w:cs="宋体"/>
          <w:spacing w:val="-1"/>
          <w:sz w:val="24"/>
          <w:szCs w:val="24"/>
        </w:rPr>
        <w:t>尼特右旗赛汉塔拉镇污水处理厂进一步处理。</w:t>
      </w:r>
    </w:p>
    <w:p w14:paraId="6665B317">
      <w:pPr>
        <w:spacing w:before="38" w:line="219" w:lineRule="auto"/>
        <w:ind w:left="484"/>
        <w:rPr>
          <w:rFonts w:ascii="宋体" w:hAnsi="宋体" w:eastAsia="宋体" w:cs="宋体"/>
          <w:sz w:val="24"/>
          <w:szCs w:val="24"/>
        </w:rPr>
      </w:pPr>
      <w:r>
        <w:rPr>
          <w:rFonts w:ascii="Times New Roman" w:hAnsi="Times New Roman" w:eastAsia="Times New Roman" w:cs="Times New Roman"/>
          <w:spacing w:val="-4"/>
          <w:sz w:val="24"/>
          <w:szCs w:val="24"/>
        </w:rPr>
        <w:t>2</w:t>
      </w:r>
      <w:r>
        <w:rPr>
          <w:rFonts w:ascii="Times New Roman" w:hAnsi="Times New Roman" w:eastAsia="Times New Roman" w:cs="Times New Roman"/>
          <w:spacing w:val="-27"/>
          <w:sz w:val="24"/>
          <w:szCs w:val="24"/>
        </w:rPr>
        <w:t xml:space="preserve"> </w:t>
      </w:r>
      <w:r>
        <w:rPr>
          <w:rFonts w:ascii="宋体" w:hAnsi="宋体" w:eastAsia="宋体" w:cs="宋体"/>
          <w:spacing w:val="-4"/>
          <w:sz w:val="24"/>
          <w:szCs w:val="24"/>
        </w:rPr>
        <w:t>、生产废水排水系统</w:t>
      </w:r>
    </w:p>
    <w:p w14:paraId="28186F09">
      <w:pPr>
        <w:spacing w:before="193" w:line="360" w:lineRule="auto"/>
        <w:ind w:left="7" w:firstLine="481"/>
        <w:rPr>
          <w:rFonts w:ascii="宋体" w:hAnsi="宋体" w:eastAsia="宋体" w:cs="宋体"/>
          <w:sz w:val="24"/>
          <w:szCs w:val="24"/>
        </w:rPr>
      </w:pPr>
      <w:r>
        <w:rPr>
          <w:rFonts w:ascii="宋体" w:hAnsi="宋体" w:eastAsia="宋体" w:cs="宋体"/>
          <w:spacing w:val="-3"/>
          <w:sz w:val="24"/>
          <w:szCs w:val="24"/>
        </w:rPr>
        <w:t>脱硫废水采用三联箱工艺处理后补充到浊循环水系统中；过滤水循</w:t>
      </w:r>
      <w:r>
        <w:rPr>
          <w:rFonts w:ascii="宋体" w:hAnsi="宋体" w:eastAsia="宋体" w:cs="宋体"/>
          <w:spacing w:val="-4"/>
          <w:sz w:val="24"/>
          <w:szCs w:val="24"/>
        </w:rPr>
        <w:t>环使用；煤气冷</w:t>
      </w:r>
      <w:r>
        <w:rPr>
          <w:rFonts w:ascii="宋体" w:hAnsi="宋体" w:eastAsia="宋体" w:cs="宋体"/>
          <w:sz w:val="24"/>
          <w:szCs w:val="24"/>
        </w:rPr>
        <w:t xml:space="preserve"> </w:t>
      </w:r>
      <w:r>
        <w:rPr>
          <w:rFonts w:ascii="宋体" w:hAnsi="宋体" w:eastAsia="宋体" w:cs="宋体"/>
          <w:spacing w:val="-3"/>
          <w:sz w:val="24"/>
          <w:szCs w:val="24"/>
        </w:rPr>
        <w:t>凝废水采用隔油池进行隔油处理，出水用作矿热炉开堵眼机堵塞泥制作用水；化水车间</w:t>
      </w:r>
      <w:r>
        <w:rPr>
          <w:rFonts w:ascii="宋体" w:hAnsi="宋体" w:eastAsia="宋体" w:cs="宋体"/>
          <w:spacing w:val="1"/>
          <w:sz w:val="24"/>
          <w:szCs w:val="24"/>
        </w:rPr>
        <w:t xml:space="preserve"> </w:t>
      </w:r>
      <w:r>
        <w:rPr>
          <w:rFonts w:ascii="宋体" w:hAnsi="宋体" w:eastAsia="宋体" w:cs="宋体"/>
          <w:spacing w:val="-3"/>
          <w:sz w:val="24"/>
          <w:szCs w:val="24"/>
        </w:rPr>
        <w:t>排污、余热锅炉排污、辅机冷却循环水站排污、循环水系统排污及软水制备排污全部作</w:t>
      </w:r>
      <w:r>
        <w:rPr>
          <w:rFonts w:ascii="宋体" w:hAnsi="宋体" w:eastAsia="宋体" w:cs="宋体"/>
          <w:spacing w:val="1"/>
          <w:sz w:val="24"/>
          <w:szCs w:val="24"/>
        </w:rPr>
        <w:t xml:space="preserve"> </w:t>
      </w:r>
      <w:r>
        <w:rPr>
          <w:rFonts w:ascii="宋体" w:hAnsi="宋体" w:eastAsia="宋体" w:cs="宋体"/>
          <w:spacing w:val="-1"/>
          <w:sz w:val="24"/>
          <w:szCs w:val="24"/>
        </w:rPr>
        <w:t>为浊循环水系统补充水，不外排。</w:t>
      </w:r>
    </w:p>
    <w:p w14:paraId="7E4020F1">
      <w:pPr>
        <w:spacing w:before="36" w:line="219" w:lineRule="auto"/>
        <w:ind w:left="482"/>
        <w:rPr>
          <w:rFonts w:ascii="宋体" w:hAnsi="宋体" w:eastAsia="宋体" w:cs="宋体"/>
          <w:sz w:val="24"/>
          <w:szCs w:val="24"/>
        </w:rPr>
      </w:pPr>
      <w:r>
        <w:rPr>
          <w:rFonts w:ascii="Times New Roman" w:hAnsi="Times New Roman" w:eastAsia="Times New Roman" w:cs="Times New Roman"/>
          <w:spacing w:val="-4"/>
          <w:sz w:val="24"/>
          <w:szCs w:val="24"/>
        </w:rPr>
        <w:t>4</w:t>
      </w:r>
      <w:r>
        <w:rPr>
          <w:rFonts w:ascii="Times New Roman" w:hAnsi="Times New Roman" w:eastAsia="Times New Roman" w:cs="Times New Roman"/>
          <w:spacing w:val="-33"/>
          <w:sz w:val="24"/>
          <w:szCs w:val="24"/>
        </w:rPr>
        <w:t xml:space="preserve"> </w:t>
      </w:r>
      <w:r>
        <w:rPr>
          <w:rFonts w:ascii="宋体" w:hAnsi="宋体" w:eastAsia="宋体" w:cs="宋体"/>
          <w:spacing w:val="-4"/>
          <w:sz w:val="24"/>
          <w:szCs w:val="24"/>
        </w:rPr>
        <w:t>、雨水排水系统</w:t>
      </w:r>
    </w:p>
    <w:p w14:paraId="77923ED5">
      <w:pPr>
        <w:spacing w:before="193" w:line="360" w:lineRule="auto"/>
        <w:ind w:left="7" w:firstLine="481"/>
        <w:rPr>
          <w:rFonts w:ascii="宋体" w:hAnsi="宋体" w:eastAsia="宋体" w:cs="宋体"/>
          <w:sz w:val="24"/>
          <w:szCs w:val="24"/>
        </w:rPr>
      </w:pPr>
      <w:r>
        <w:rPr>
          <w:rFonts w:ascii="宋体" w:hAnsi="宋体" w:eastAsia="宋体" w:cs="宋体"/>
          <w:spacing w:val="3"/>
          <w:sz w:val="24"/>
          <w:szCs w:val="24"/>
        </w:rPr>
        <w:t>本项目在厂内设雨排水管道，厂房及各建筑物屋面雨水经雨落管汇集排入雨水管</w:t>
      </w:r>
      <w:r>
        <w:rPr>
          <w:rFonts w:ascii="宋体" w:hAnsi="宋体" w:eastAsia="宋体" w:cs="宋体"/>
          <w:spacing w:val="17"/>
          <w:sz w:val="24"/>
          <w:szCs w:val="24"/>
        </w:rPr>
        <w:t xml:space="preserve"> </w:t>
      </w:r>
      <w:r>
        <w:rPr>
          <w:rFonts w:ascii="宋体" w:hAnsi="宋体" w:eastAsia="宋体" w:cs="宋体"/>
          <w:spacing w:val="-3"/>
          <w:sz w:val="24"/>
          <w:szCs w:val="24"/>
        </w:rPr>
        <w:t>道，厂区地面雨水经雨水口汇集排入雨水管道，本项目对初期雨污水进行收集，其余清</w:t>
      </w:r>
      <w:r>
        <w:rPr>
          <w:rFonts w:ascii="宋体" w:hAnsi="宋体" w:eastAsia="宋体" w:cs="宋体"/>
          <w:spacing w:val="1"/>
          <w:sz w:val="24"/>
          <w:szCs w:val="24"/>
        </w:rPr>
        <w:t xml:space="preserve"> </w:t>
      </w:r>
      <w:r>
        <w:rPr>
          <w:rFonts w:ascii="宋体" w:hAnsi="宋体" w:eastAsia="宋体" w:cs="宋体"/>
          <w:spacing w:val="-3"/>
          <w:sz w:val="24"/>
          <w:szCs w:val="24"/>
        </w:rPr>
        <w:t>净雨水经管道流入总厂雨水管道中，园区规划期内无雨水管网，依靠路面散排，因此本</w:t>
      </w:r>
      <w:r>
        <w:rPr>
          <w:rFonts w:ascii="宋体" w:hAnsi="宋体" w:eastAsia="宋体" w:cs="宋体"/>
          <w:spacing w:val="1"/>
          <w:sz w:val="24"/>
          <w:szCs w:val="24"/>
        </w:rPr>
        <w:t xml:space="preserve"> </w:t>
      </w:r>
      <w:r>
        <w:rPr>
          <w:rFonts w:ascii="宋体" w:hAnsi="宋体" w:eastAsia="宋体" w:cs="宋体"/>
          <w:spacing w:val="-1"/>
          <w:sz w:val="24"/>
          <w:szCs w:val="24"/>
        </w:rPr>
        <w:t>项目厂区内清净雨水排放至厂外路面散排。</w:t>
      </w:r>
    </w:p>
    <w:p w14:paraId="7552153B">
      <w:pPr>
        <w:spacing w:before="36" w:line="219" w:lineRule="auto"/>
        <w:ind w:left="490"/>
        <w:rPr>
          <w:rFonts w:ascii="宋体" w:hAnsi="宋体" w:eastAsia="宋体" w:cs="宋体"/>
          <w:sz w:val="24"/>
          <w:szCs w:val="24"/>
        </w:rPr>
      </w:pPr>
      <w:r>
        <w:rPr>
          <w:rFonts w:ascii="Times New Roman" w:hAnsi="Times New Roman" w:eastAsia="Times New Roman" w:cs="Times New Roman"/>
          <w:spacing w:val="-7"/>
          <w:sz w:val="24"/>
          <w:szCs w:val="24"/>
        </w:rPr>
        <w:t>5</w:t>
      </w:r>
      <w:r>
        <w:rPr>
          <w:rFonts w:ascii="Times New Roman" w:hAnsi="Times New Roman" w:eastAsia="Times New Roman" w:cs="Times New Roman"/>
          <w:spacing w:val="-31"/>
          <w:sz w:val="24"/>
          <w:szCs w:val="24"/>
        </w:rPr>
        <w:t xml:space="preserve"> </w:t>
      </w:r>
      <w:r>
        <w:rPr>
          <w:rFonts w:ascii="宋体" w:hAnsi="宋体" w:eastAsia="宋体" w:cs="宋体"/>
          <w:spacing w:val="-7"/>
          <w:sz w:val="24"/>
          <w:szCs w:val="24"/>
        </w:rPr>
        <w:t>、事故排水</w:t>
      </w:r>
    </w:p>
    <w:p w14:paraId="096CE8E5">
      <w:pPr>
        <w:spacing w:before="188" w:line="361" w:lineRule="auto"/>
        <w:ind w:left="11" w:firstLine="478"/>
        <w:rPr>
          <w:rFonts w:ascii="宋体" w:hAnsi="宋体" w:eastAsia="宋体" w:cs="宋体"/>
          <w:sz w:val="24"/>
          <w:szCs w:val="24"/>
        </w:rPr>
      </w:pPr>
      <w:r>
        <w:rPr>
          <w:rFonts w:ascii="宋体" w:hAnsi="宋体" w:eastAsia="宋体" w:cs="宋体"/>
          <w:spacing w:val="-4"/>
          <w:sz w:val="24"/>
          <w:szCs w:val="24"/>
        </w:rPr>
        <w:t>本项厂区建设一座</w:t>
      </w:r>
      <w:r>
        <w:rPr>
          <w:rFonts w:ascii="宋体" w:hAnsi="宋体" w:eastAsia="宋体" w:cs="宋体"/>
          <w:spacing w:val="-49"/>
          <w:sz w:val="24"/>
          <w:szCs w:val="24"/>
        </w:rPr>
        <w:t xml:space="preserve"> </w:t>
      </w:r>
      <w:r>
        <w:rPr>
          <w:rFonts w:ascii="Times New Roman" w:hAnsi="Times New Roman" w:eastAsia="Times New Roman" w:cs="Times New Roman"/>
          <w:spacing w:val="-4"/>
          <w:sz w:val="24"/>
          <w:szCs w:val="24"/>
        </w:rPr>
        <w:t>3200m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9"/>
          <w:w w:val="101"/>
          <w:position w:val="7"/>
          <w:sz w:val="15"/>
          <w:szCs w:val="15"/>
        </w:rPr>
        <w:t xml:space="preserve"> </w:t>
      </w:r>
      <w:r>
        <w:rPr>
          <w:rFonts w:ascii="宋体" w:hAnsi="宋体" w:eastAsia="宋体" w:cs="宋体"/>
          <w:spacing w:val="-4"/>
          <w:sz w:val="24"/>
          <w:szCs w:val="24"/>
        </w:rPr>
        <w:t>应急事故水池，一座</w:t>
      </w:r>
      <w:r>
        <w:rPr>
          <w:rFonts w:ascii="宋体" w:hAnsi="宋体" w:eastAsia="宋体" w:cs="宋体"/>
          <w:spacing w:val="-51"/>
          <w:sz w:val="24"/>
          <w:szCs w:val="24"/>
        </w:rPr>
        <w:t xml:space="preserve"> </w:t>
      </w:r>
      <w:r>
        <w:rPr>
          <w:rFonts w:ascii="Times New Roman" w:hAnsi="Times New Roman" w:eastAsia="Times New Roman" w:cs="Times New Roman"/>
          <w:spacing w:val="-4"/>
          <w:sz w:val="24"/>
          <w:szCs w:val="24"/>
        </w:rPr>
        <w:t>3200m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21"/>
          <w:w w:val="101"/>
          <w:position w:val="7"/>
          <w:sz w:val="15"/>
          <w:szCs w:val="15"/>
        </w:rPr>
        <w:t xml:space="preserve"> </w:t>
      </w:r>
      <w:r>
        <w:rPr>
          <w:rFonts w:ascii="宋体" w:hAnsi="宋体" w:eastAsia="宋体" w:cs="宋体"/>
          <w:spacing w:val="-4"/>
          <w:sz w:val="24"/>
          <w:szCs w:val="24"/>
        </w:rPr>
        <w:t>雨水收集池，用于收集事故</w:t>
      </w:r>
      <w:r>
        <w:rPr>
          <w:rFonts w:ascii="宋体" w:hAnsi="宋体" w:eastAsia="宋体" w:cs="宋体"/>
          <w:sz w:val="24"/>
          <w:szCs w:val="24"/>
        </w:rPr>
        <w:t xml:space="preserve"> </w:t>
      </w:r>
      <w:r>
        <w:rPr>
          <w:rFonts w:ascii="宋体" w:hAnsi="宋体" w:eastAsia="宋体" w:cs="宋体"/>
          <w:spacing w:val="-3"/>
          <w:sz w:val="24"/>
          <w:szCs w:val="24"/>
        </w:rPr>
        <w:t>消防废水和期雨污水，事故废水不会直接进入外环境，对周边水环境、土壤环境</w:t>
      </w:r>
      <w:r>
        <w:rPr>
          <w:rFonts w:ascii="宋体" w:hAnsi="宋体" w:eastAsia="宋体" w:cs="宋体"/>
          <w:spacing w:val="-4"/>
          <w:sz w:val="24"/>
          <w:szCs w:val="24"/>
        </w:rPr>
        <w:t>影响较</w:t>
      </w:r>
      <w:r>
        <w:rPr>
          <w:rFonts w:ascii="宋体" w:hAnsi="宋体" w:eastAsia="宋体" w:cs="宋体"/>
          <w:sz w:val="24"/>
          <w:szCs w:val="24"/>
        </w:rPr>
        <w:t xml:space="preserve"> </w:t>
      </w:r>
      <w:r>
        <w:rPr>
          <w:rFonts w:ascii="宋体" w:hAnsi="宋体" w:eastAsia="宋体" w:cs="宋体"/>
          <w:spacing w:val="-3"/>
          <w:sz w:val="24"/>
          <w:szCs w:val="24"/>
        </w:rPr>
        <w:t>小。应急事故水池收集的消防事故废水和初期雨污水，经沉淀后作为浊循环水系</w:t>
      </w:r>
      <w:r>
        <w:rPr>
          <w:rFonts w:ascii="宋体" w:hAnsi="宋体" w:eastAsia="宋体" w:cs="宋体"/>
          <w:spacing w:val="-4"/>
          <w:sz w:val="24"/>
          <w:szCs w:val="24"/>
        </w:rPr>
        <w:t>统的补</w:t>
      </w:r>
      <w:r>
        <w:rPr>
          <w:rFonts w:ascii="宋体" w:hAnsi="宋体" w:eastAsia="宋体" w:cs="宋体"/>
          <w:sz w:val="24"/>
          <w:szCs w:val="24"/>
        </w:rPr>
        <w:t xml:space="preserve"> </w:t>
      </w:r>
      <w:r>
        <w:rPr>
          <w:rFonts w:ascii="宋体" w:hAnsi="宋体" w:eastAsia="宋体" w:cs="宋体"/>
          <w:spacing w:val="-5"/>
          <w:sz w:val="24"/>
          <w:szCs w:val="24"/>
        </w:rPr>
        <w:t>充水。</w:t>
      </w:r>
    </w:p>
    <w:p w14:paraId="3D56CA68">
      <w:pPr>
        <w:spacing w:before="32" w:line="219" w:lineRule="auto"/>
        <w:ind w:left="4"/>
        <w:outlineLvl w:val="3"/>
        <w:rPr>
          <w:rFonts w:ascii="宋体" w:hAnsi="宋体" w:eastAsia="宋体" w:cs="宋体"/>
          <w:sz w:val="24"/>
          <w:szCs w:val="24"/>
        </w:rPr>
      </w:pPr>
      <w:r>
        <w:fldChar w:fldCharType="begin"/>
      </w:r>
      <w:r>
        <w:instrText xml:space="preserve"> HYPERLINK "2.2.5.3" </w:instrText>
      </w:r>
      <w:r>
        <w:fldChar w:fldCharType="separate"/>
      </w:r>
      <w:r>
        <w:rPr>
          <w:rFonts w:ascii="Times New Roman" w:hAnsi="Times New Roman" w:eastAsia="Times New Roman" w:cs="Times New Roman"/>
          <w:b/>
          <w:bCs/>
          <w:spacing w:val="-2"/>
          <w:sz w:val="24"/>
          <w:szCs w:val="24"/>
        </w:rPr>
        <w:t>2.2.5.3</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供电</w:t>
      </w:r>
    </w:p>
    <w:p w14:paraId="7BB6CD73">
      <w:pPr>
        <w:spacing w:before="193" w:line="360" w:lineRule="auto"/>
        <w:ind w:left="4" w:firstLine="487"/>
        <w:jc w:val="both"/>
        <w:rPr>
          <w:rFonts w:ascii="宋体" w:hAnsi="宋体" w:eastAsia="宋体" w:cs="宋体"/>
          <w:sz w:val="24"/>
          <w:szCs w:val="24"/>
        </w:rPr>
      </w:pPr>
      <w:r>
        <w:rPr>
          <w:rFonts w:ascii="宋体" w:hAnsi="宋体" w:eastAsia="宋体" w:cs="宋体"/>
          <w:spacing w:val="-3"/>
          <w:sz w:val="24"/>
          <w:szCs w:val="24"/>
        </w:rPr>
        <w:t>为保证本项目绿电供应保证，内蒙古新创发展科技有限公司拟</w:t>
      </w:r>
      <w:r>
        <w:rPr>
          <w:rFonts w:ascii="宋体" w:hAnsi="宋体" w:eastAsia="宋体" w:cs="宋体"/>
          <w:spacing w:val="-4"/>
          <w:sz w:val="24"/>
          <w:szCs w:val="24"/>
        </w:rPr>
        <w:t>在锡林浩特市苏尼特</w:t>
      </w:r>
      <w:r>
        <w:rPr>
          <w:rFonts w:ascii="宋体" w:hAnsi="宋体" w:eastAsia="宋体" w:cs="宋体"/>
          <w:sz w:val="24"/>
          <w:szCs w:val="24"/>
        </w:rPr>
        <w:t xml:space="preserve"> </w:t>
      </w:r>
      <w:r>
        <w:rPr>
          <w:rFonts w:ascii="宋体" w:hAnsi="宋体" w:eastAsia="宋体" w:cs="宋体"/>
          <w:spacing w:val="8"/>
          <w:sz w:val="24"/>
          <w:szCs w:val="24"/>
        </w:rPr>
        <w:t>右旗开发建设</w:t>
      </w:r>
      <w:r>
        <w:rPr>
          <w:rFonts w:ascii="Times New Roman" w:hAnsi="Times New Roman" w:eastAsia="Times New Roman" w:cs="Times New Roman"/>
          <w:spacing w:val="8"/>
          <w:sz w:val="24"/>
          <w:szCs w:val="24"/>
        </w:rPr>
        <w:t>“</w:t>
      </w:r>
      <w:r>
        <w:rPr>
          <w:rFonts w:ascii="Times New Roman" w:hAnsi="Times New Roman" w:eastAsia="Times New Roman" w:cs="Times New Roman"/>
          <w:spacing w:val="-26"/>
          <w:sz w:val="24"/>
          <w:szCs w:val="24"/>
        </w:rPr>
        <w:t xml:space="preserve"> </w:t>
      </w:r>
      <w:r>
        <w:rPr>
          <w:rFonts w:ascii="宋体" w:hAnsi="宋体" w:eastAsia="宋体" w:cs="宋体"/>
          <w:spacing w:val="8"/>
          <w:sz w:val="24"/>
          <w:szCs w:val="24"/>
        </w:rPr>
        <w:t>源</w:t>
      </w:r>
      <w:r>
        <w:rPr>
          <w:rFonts w:ascii="宋体" w:hAnsi="宋体" w:eastAsia="宋体" w:cs="宋体"/>
          <w:spacing w:val="-65"/>
          <w:sz w:val="24"/>
          <w:szCs w:val="24"/>
        </w:rPr>
        <w:t xml:space="preserve"> </w:t>
      </w:r>
      <w:r>
        <w:rPr>
          <w:rFonts w:ascii="宋体" w:hAnsi="宋体" w:eastAsia="宋体" w:cs="宋体"/>
          <w:spacing w:val="8"/>
          <w:sz w:val="24"/>
          <w:szCs w:val="24"/>
        </w:rPr>
        <w:t>网荷储一体化</w:t>
      </w:r>
      <w:r>
        <w:rPr>
          <w:rFonts w:ascii="宋体" w:hAnsi="宋体" w:eastAsia="宋体" w:cs="宋体"/>
          <w:spacing w:val="-86"/>
          <w:sz w:val="24"/>
          <w:szCs w:val="24"/>
        </w:rPr>
        <w:t xml:space="preserve"> </w:t>
      </w:r>
      <w:r>
        <w:rPr>
          <w:rFonts w:ascii="Times New Roman" w:hAnsi="Times New Roman" w:eastAsia="Times New Roman" w:cs="Times New Roman"/>
          <w:spacing w:val="8"/>
          <w:sz w:val="24"/>
          <w:szCs w:val="24"/>
        </w:rPr>
        <w:t>”</w:t>
      </w:r>
      <w:r>
        <w:rPr>
          <w:rFonts w:ascii="Times New Roman" w:hAnsi="Times New Roman" w:eastAsia="Times New Roman" w:cs="Times New Roman"/>
          <w:spacing w:val="-28"/>
          <w:sz w:val="24"/>
          <w:szCs w:val="24"/>
        </w:rPr>
        <w:t xml:space="preserve"> </w:t>
      </w:r>
      <w:r>
        <w:rPr>
          <w:rFonts w:ascii="宋体" w:hAnsi="宋体" w:eastAsia="宋体" w:cs="宋体"/>
          <w:spacing w:val="8"/>
          <w:sz w:val="24"/>
          <w:szCs w:val="24"/>
        </w:rPr>
        <w:t>项</w:t>
      </w:r>
      <w:r>
        <w:rPr>
          <w:rFonts w:ascii="宋体" w:hAnsi="宋体" w:eastAsia="宋体" w:cs="宋体"/>
          <w:spacing w:val="-38"/>
          <w:sz w:val="24"/>
          <w:szCs w:val="24"/>
        </w:rPr>
        <w:t xml:space="preserve"> </w:t>
      </w:r>
      <w:r>
        <w:rPr>
          <w:rFonts w:ascii="宋体" w:hAnsi="宋体" w:eastAsia="宋体" w:cs="宋体"/>
          <w:spacing w:val="8"/>
          <w:sz w:val="24"/>
          <w:szCs w:val="24"/>
        </w:rPr>
        <w:t>目</w:t>
      </w:r>
      <w:r>
        <w:rPr>
          <w:rFonts w:ascii="宋体" w:hAnsi="宋体" w:eastAsia="宋体" w:cs="宋体"/>
          <w:spacing w:val="-61"/>
          <w:sz w:val="24"/>
          <w:szCs w:val="24"/>
        </w:rPr>
        <w:t xml:space="preserve"> </w:t>
      </w:r>
      <w:r>
        <w:rPr>
          <w:rFonts w:ascii="宋体" w:hAnsi="宋体" w:eastAsia="宋体" w:cs="宋体"/>
          <w:spacing w:val="8"/>
          <w:sz w:val="24"/>
          <w:szCs w:val="24"/>
        </w:rPr>
        <w:t>。</w:t>
      </w:r>
      <w:r>
        <w:rPr>
          <w:rFonts w:ascii="宋体" w:hAnsi="宋体" w:eastAsia="宋体" w:cs="宋体"/>
          <w:spacing w:val="-93"/>
          <w:sz w:val="24"/>
          <w:szCs w:val="24"/>
        </w:rPr>
        <w:t xml:space="preserve"> </w:t>
      </w:r>
      <w:r>
        <w:rPr>
          <w:rFonts w:ascii="Times New Roman" w:hAnsi="Times New Roman" w:eastAsia="Times New Roman" w:cs="Times New Roman"/>
          <w:spacing w:val="8"/>
          <w:sz w:val="24"/>
          <w:szCs w:val="24"/>
        </w:rPr>
        <w:t>“</w:t>
      </w:r>
      <w:r>
        <w:rPr>
          <w:rFonts w:ascii="Times New Roman" w:hAnsi="Times New Roman" w:eastAsia="Times New Roman" w:cs="Times New Roman"/>
          <w:spacing w:val="-26"/>
          <w:sz w:val="24"/>
          <w:szCs w:val="24"/>
        </w:rPr>
        <w:t xml:space="preserve"> </w:t>
      </w:r>
      <w:r>
        <w:rPr>
          <w:rFonts w:ascii="宋体" w:hAnsi="宋体" w:eastAsia="宋体" w:cs="宋体"/>
          <w:spacing w:val="8"/>
          <w:sz w:val="24"/>
          <w:szCs w:val="24"/>
        </w:rPr>
        <w:t>源</w:t>
      </w:r>
      <w:r>
        <w:rPr>
          <w:rFonts w:ascii="宋体" w:hAnsi="宋体" w:eastAsia="宋体" w:cs="宋体"/>
          <w:spacing w:val="-66"/>
          <w:sz w:val="24"/>
          <w:szCs w:val="24"/>
        </w:rPr>
        <w:t xml:space="preserve"> </w:t>
      </w:r>
      <w:r>
        <w:rPr>
          <w:rFonts w:ascii="宋体" w:hAnsi="宋体" w:eastAsia="宋体" w:cs="宋体"/>
          <w:spacing w:val="8"/>
          <w:sz w:val="24"/>
          <w:szCs w:val="24"/>
        </w:rPr>
        <w:t>网荷储一体化</w:t>
      </w:r>
      <w:r>
        <w:rPr>
          <w:rFonts w:ascii="宋体" w:hAnsi="宋体" w:eastAsia="宋体" w:cs="宋体"/>
          <w:spacing w:val="-85"/>
          <w:sz w:val="24"/>
          <w:szCs w:val="24"/>
        </w:rPr>
        <w:t xml:space="preserve"> </w:t>
      </w:r>
      <w:r>
        <w:rPr>
          <w:rFonts w:ascii="Times New Roman" w:hAnsi="Times New Roman" w:eastAsia="Times New Roman" w:cs="Times New Roman"/>
          <w:spacing w:val="8"/>
          <w:sz w:val="24"/>
          <w:szCs w:val="24"/>
        </w:rPr>
        <w:t>”</w:t>
      </w:r>
      <w:r>
        <w:rPr>
          <w:rFonts w:ascii="Times New Roman" w:hAnsi="Times New Roman" w:eastAsia="Times New Roman" w:cs="Times New Roman"/>
          <w:spacing w:val="-28"/>
          <w:sz w:val="24"/>
          <w:szCs w:val="24"/>
        </w:rPr>
        <w:t xml:space="preserve"> </w:t>
      </w:r>
      <w:r>
        <w:rPr>
          <w:rFonts w:ascii="宋体" w:hAnsi="宋体" w:eastAsia="宋体" w:cs="宋体"/>
          <w:spacing w:val="8"/>
          <w:sz w:val="24"/>
          <w:szCs w:val="24"/>
        </w:rPr>
        <w:t>项</w:t>
      </w:r>
      <w:r>
        <w:rPr>
          <w:rFonts w:ascii="宋体" w:hAnsi="宋体" w:eastAsia="宋体" w:cs="宋体"/>
          <w:spacing w:val="-39"/>
          <w:sz w:val="24"/>
          <w:szCs w:val="24"/>
        </w:rPr>
        <w:t xml:space="preserve"> </w:t>
      </w:r>
      <w:r>
        <w:rPr>
          <w:rFonts w:ascii="宋体" w:hAnsi="宋体" w:eastAsia="宋体" w:cs="宋体"/>
          <w:spacing w:val="8"/>
          <w:sz w:val="24"/>
          <w:szCs w:val="24"/>
        </w:rPr>
        <w:t>目</w:t>
      </w:r>
      <w:r>
        <w:rPr>
          <w:rFonts w:ascii="宋体" w:hAnsi="宋体" w:eastAsia="宋体" w:cs="宋体"/>
          <w:spacing w:val="7"/>
          <w:sz w:val="24"/>
          <w:szCs w:val="24"/>
        </w:rPr>
        <w:t>配套风</w:t>
      </w:r>
      <w:r>
        <w:rPr>
          <w:rFonts w:ascii="宋体" w:hAnsi="宋体" w:eastAsia="宋体" w:cs="宋体"/>
          <w:spacing w:val="-56"/>
          <w:sz w:val="24"/>
          <w:szCs w:val="24"/>
        </w:rPr>
        <w:t xml:space="preserve"> </w:t>
      </w:r>
      <w:r>
        <w:rPr>
          <w:rFonts w:ascii="宋体" w:hAnsi="宋体" w:eastAsia="宋体" w:cs="宋体"/>
          <w:spacing w:val="7"/>
          <w:sz w:val="24"/>
          <w:szCs w:val="24"/>
        </w:rPr>
        <w:t>电装机为</w:t>
      </w:r>
      <w:r>
        <w:rPr>
          <w:rFonts w:ascii="宋体" w:hAnsi="宋体" w:eastAsia="宋体" w:cs="宋体"/>
          <w:sz w:val="24"/>
          <w:szCs w:val="24"/>
        </w:rPr>
        <w:t xml:space="preserve"> </w:t>
      </w:r>
      <w:r>
        <w:rPr>
          <w:rFonts w:ascii="Times New Roman" w:hAnsi="Times New Roman" w:eastAsia="Times New Roman" w:cs="Times New Roman"/>
          <w:spacing w:val="-2"/>
          <w:sz w:val="24"/>
          <w:szCs w:val="24"/>
        </w:rPr>
        <w:t>1150MW</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，光伏装机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240MW</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，配套</w:t>
      </w:r>
      <w:r>
        <w:rPr>
          <w:rFonts w:ascii="宋体" w:hAnsi="宋体" w:eastAsia="宋体" w:cs="宋体"/>
          <w:spacing w:val="-3"/>
          <w:sz w:val="24"/>
          <w:szCs w:val="24"/>
        </w:rPr>
        <w:t>储能</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280MW/1120MWh</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，储能功率为新能源装机的</w:t>
      </w:r>
      <w:r>
        <w:rPr>
          <w:rFonts w:ascii="宋体" w:hAnsi="宋体" w:eastAsia="宋体" w:cs="宋体"/>
          <w:sz w:val="24"/>
          <w:szCs w:val="24"/>
        </w:rPr>
        <w:t xml:space="preserve"> </w:t>
      </w:r>
      <w:r>
        <w:rPr>
          <w:rFonts w:ascii="Times New Roman" w:hAnsi="Times New Roman" w:eastAsia="Times New Roman" w:cs="Times New Roman"/>
          <w:spacing w:val="-2"/>
          <w:sz w:val="24"/>
          <w:szCs w:val="24"/>
        </w:rPr>
        <w:t>20%</w:t>
      </w:r>
      <w:r>
        <w:rPr>
          <w:rFonts w:ascii="宋体" w:hAnsi="宋体" w:eastAsia="宋体" w:cs="宋体"/>
          <w:spacing w:val="-2"/>
          <w:sz w:val="24"/>
          <w:szCs w:val="24"/>
        </w:rPr>
        <w:t>，储能时长</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4</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小时，能保证本项目绿电使用率</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80%</w:t>
      </w:r>
      <w:r>
        <w:rPr>
          <w:rFonts w:ascii="宋体" w:hAnsi="宋体" w:eastAsia="宋体" w:cs="宋体"/>
          <w:spacing w:val="-3"/>
          <w:sz w:val="24"/>
          <w:szCs w:val="24"/>
        </w:rPr>
        <w:t>以上。</w:t>
      </w:r>
      <w:r>
        <w:rPr>
          <w:rFonts w:ascii="Times New Roman" w:hAnsi="Times New Roman" w:eastAsia="Times New Roman" w:cs="Times New Roman"/>
          <w:spacing w:val="-3"/>
          <w:sz w:val="24"/>
          <w:szCs w:val="24"/>
        </w:rPr>
        <w:t>“</w:t>
      </w:r>
      <w:r>
        <w:rPr>
          <w:rFonts w:ascii="宋体" w:hAnsi="宋体" w:eastAsia="宋体" w:cs="宋体"/>
          <w:spacing w:val="-3"/>
          <w:sz w:val="24"/>
          <w:szCs w:val="24"/>
        </w:rPr>
        <w:t>源网荷储一体化</w:t>
      </w:r>
      <w:r>
        <w:rPr>
          <w:rFonts w:ascii="Times New Roman" w:hAnsi="Times New Roman" w:eastAsia="Times New Roman" w:cs="Times New Roman"/>
          <w:spacing w:val="-3"/>
          <w:sz w:val="24"/>
          <w:szCs w:val="24"/>
        </w:rPr>
        <w:t>”</w:t>
      </w:r>
      <w:r>
        <w:rPr>
          <w:rFonts w:ascii="宋体" w:hAnsi="宋体" w:eastAsia="宋体" w:cs="宋体"/>
          <w:spacing w:val="-3"/>
          <w:sz w:val="24"/>
          <w:szCs w:val="24"/>
        </w:rPr>
        <w:t>项目与</w:t>
      </w:r>
    </w:p>
    <w:p w14:paraId="7328FA38">
      <w:pPr>
        <w:spacing w:line="360" w:lineRule="auto"/>
        <w:rPr>
          <w:rFonts w:ascii="宋体" w:hAnsi="宋体" w:eastAsia="宋体" w:cs="宋体"/>
          <w:sz w:val="24"/>
          <w:szCs w:val="24"/>
        </w:rPr>
        <w:sectPr>
          <w:headerReference r:id="rId133" w:type="default"/>
          <w:footerReference r:id="rId134" w:type="default"/>
          <w:pgSz w:w="11850" w:h="16781"/>
          <w:pgMar w:top="1178" w:right="1416" w:bottom="1013" w:left="1417" w:header="870" w:footer="850" w:gutter="0"/>
          <w:cols w:space="720" w:num="1"/>
        </w:sectPr>
      </w:pPr>
    </w:p>
    <w:p w14:paraId="1C777F3B">
      <w:pPr>
        <w:pStyle w:val="2"/>
        <w:spacing w:line="275" w:lineRule="auto"/>
      </w:pPr>
      <w:r>
        <w:pict>
          <v:shape id="_x0000_s1179" o:spid="_x0000_s1179" style="position:absolute;left:0pt;margin-left:0pt;margin-top:0.65pt;height:0.75pt;width:450.75pt;z-index:251837440;mso-width-relative:page;mso-height-relative:page;" fillcolor="#000000" filled="t" stroked="f" coordsize="9015,15" path="m0,0l9014,0,9014,14,0,14,0,0xe">
            <v:path/>
            <v:fill on="t" focussize="0,0"/>
            <v:stroke on="f"/>
            <v:imagedata o:title=""/>
            <o:lock v:ext="edit"/>
          </v:shape>
        </w:pict>
      </w:r>
    </w:p>
    <w:p w14:paraId="11C0174E">
      <w:pPr>
        <w:spacing w:before="78" w:line="219" w:lineRule="auto"/>
        <w:ind w:left="9"/>
        <w:rPr>
          <w:rFonts w:ascii="宋体" w:hAnsi="宋体" w:eastAsia="宋体" w:cs="宋体"/>
          <w:sz w:val="24"/>
          <w:szCs w:val="24"/>
        </w:rPr>
      </w:pPr>
      <w:r>
        <w:rPr>
          <w:rFonts w:ascii="宋体" w:hAnsi="宋体" w:eastAsia="宋体" w:cs="宋体"/>
          <w:spacing w:val="-2"/>
          <w:sz w:val="24"/>
          <w:szCs w:val="24"/>
        </w:rPr>
        <w:t>本项目同时建设，同时投产，计划于</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 xml:space="preserve">2025 </w:t>
      </w:r>
      <w:r>
        <w:rPr>
          <w:rFonts w:ascii="宋体" w:hAnsi="宋体" w:eastAsia="宋体" w:cs="宋体"/>
          <w:spacing w:val="-2"/>
          <w:sz w:val="24"/>
          <w:szCs w:val="24"/>
        </w:rPr>
        <w:t>年</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12</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月底投</w:t>
      </w:r>
      <w:r>
        <w:rPr>
          <w:rFonts w:ascii="宋体" w:hAnsi="宋体" w:eastAsia="宋体" w:cs="宋体"/>
          <w:spacing w:val="-3"/>
          <w:sz w:val="24"/>
          <w:szCs w:val="24"/>
        </w:rPr>
        <w:t>产。</w:t>
      </w:r>
    </w:p>
    <w:p w14:paraId="48D4F55E">
      <w:pPr>
        <w:spacing w:before="196" w:line="361" w:lineRule="auto"/>
        <w:ind w:left="8" w:right="63" w:firstLine="480"/>
        <w:jc w:val="both"/>
        <w:rPr>
          <w:rFonts w:ascii="宋体" w:hAnsi="宋体" w:eastAsia="宋体" w:cs="宋体"/>
          <w:sz w:val="24"/>
          <w:szCs w:val="24"/>
        </w:rPr>
      </w:pPr>
      <w:r>
        <w:rPr>
          <w:rFonts w:ascii="宋体" w:hAnsi="宋体" w:eastAsia="宋体" w:cs="宋体"/>
          <w:spacing w:val="2"/>
          <w:sz w:val="24"/>
          <w:szCs w:val="24"/>
        </w:rPr>
        <w:t>本项目供电由</w:t>
      </w:r>
      <w:r>
        <w:rPr>
          <w:rFonts w:ascii="Times New Roman" w:hAnsi="Times New Roman" w:eastAsia="Times New Roman" w:cs="Times New Roman"/>
          <w:spacing w:val="2"/>
          <w:sz w:val="24"/>
          <w:szCs w:val="24"/>
        </w:rPr>
        <w:t>“</w:t>
      </w:r>
      <w:r>
        <w:rPr>
          <w:rFonts w:ascii="宋体" w:hAnsi="宋体" w:eastAsia="宋体" w:cs="宋体"/>
          <w:spacing w:val="2"/>
          <w:sz w:val="24"/>
          <w:szCs w:val="24"/>
        </w:rPr>
        <w:t>源网荷储一体化</w:t>
      </w:r>
      <w:r>
        <w:rPr>
          <w:rFonts w:ascii="Times New Roman" w:hAnsi="Times New Roman" w:eastAsia="Times New Roman" w:cs="Times New Roman"/>
          <w:spacing w:val="2"/>
          <w:sz w:val="24"/>
          <w:szCs w:val="24"/>
        </w:rPr>
        <w:t>”</w:t>
      </w:r>
      <w:r>
        <w:rPr>
          <w:rFonts w:ascii="宋体" w:hAnsi="宋体" w:eastAsia="宋体" w:cs="宋体"/>
          <w:spacing w:val="2"/>
          <w:sz w:val="24"/>
          <w:szCs w:val="24"/>
        </w:rPr>
        <w:t>项目提供</w:t>
      </w:r>
      <w:r>
        <w:rPr>
          <w:rFonts w:ascii="宋体" w:hAnsi="宋体" w:eastAsia="宋体" w:cs="宋体"/>
          <w:spacing w:val="-11"/>
          <w:sz w:val="24"/>
          <w:szCs w:val="24"/>
        </w:rPr>
        <w:t xml:space="preserve"> </w:t>
      </w:r>
      <w:r>
        <w:rPr>
          <w:rFonts w:ascii="Times New Roman" w:hAnsi="Times New Roman" w:eastAsia="Times New Roman" w:cs="Times New Roman"/>
          <w:spacing w:val="2"/>
          <w:sz w:val="24"/>
          <w:szCs w:val="24"/>
        </w:rPr>
        <w:t>110</w:t>
      </w:r>
      <w:r>
        <w:rPr>
          <w:rFonts w:ascii="Times New Roman" w:hAnsi="Times New Roman" w:eastAsia="Times New Roman" w:cs="Times New Roman"/>
          <w:sz w:val="24"/>
          <w:szCs w:val="24"/>
        </w:rPr>
        <w:t>kV</w:t>
      </w:r>
      <w:r>
        <w:rPr>
          <w:rFonts w:ascii="Times New Roman" w:hAnsi="Times New Roman" w:eastAsia="Times New Roman" w:cs="Times New Roman"/>
          <w:spacing w:val="2"/>
          <w:sz w:val="24"/>
          <w:szCs w:val="24"/>
        </w:rPr>
        <w:t xml:space="preserve"> </w:t>
      </w:r>
      <w:r>
        <w:rPr>
          <w:rFonts w:ascii="宋体" w:hAnsi="宋体" w:eastAsia="宋体" w:cs="宋体"/>
          <w:spacing w:val="2"/>
          <w:sz w:val="24"/>
          <w:szCs w:val="24"/>
        </w:rPr>
        <w:t>供电电源。拟在本厂区内设置</w:t>
      </w:r>
      <w:r>
        <w:rPr>
          <w:rFonts w:ascii="宋体" w:hAnsi="宋体" w:eastAsia="宋体" w:cs="宋体"/>
          <w:spacing w:val="-24"/>
          <w:sz w:val="24"/>
          <w:szCs w:val="24"/>
        </w:rPr>
        <w:t xml:space="preserve"> </w:t>
      </w:r>
      <w:r>
        <w:rPr>
          <w:rFonts w:ascii="Times New Roman" w:hAnsi="Times New Roman" w:eastAsia="Times New Roman" w:cs="Times New Roman"/>
          <w:spacing w:val="2"/>
          <w:sz w:val="24"/>
          <w:szCs w:val="24"/>
        </w:rPr>
        <w:t>1</w:t>
      </w:r>
      <w:r>
        <w:rPr>
          <w:rFonts w:ascii="Times New Roman" w:hAnsi="Times New Roman" w:eastAsia="Times New Roman" w:cs="Times New Roman"/>
          <w:sz w:val="24"/>
          <w:szCs w:val="24"/>
        </w:rPr>
        <w:t xml:space="preserve"> </w:t>
      </w:r>
      <w:r>
        <w:rPr>
          <w:rFonts w:ascii="宋体" w:hAnsi="宋体" w:eastAsia="宋体" w:cs="宋体"/>
          <w:spacing w:val="-3"/>
          <w:sz w:val="24"/>
          <w:szCs w:val="24"/>
        </w:rPr>
        <w:t>座</w:t>
      </w:r>
      <w:r>
        <w:rPr>
          <w:rFonts w:ascii="宋体" w:hAnsi="宋体" w:eastAsia="宋体" w:cs="宋体"/>
          <w:spacing w:val="-15"/>
          <w:sz w:val="24"/>
          <w:szCs w:val="24"/>
        </w:rPr>
        <w:t xml:space="preserve"> </w:t>
      </w:r>
      <w:r>
        <w:rPr>
          <w:rFonts w:ascii="Times New Roman" w:hAnsi="Times New Roman" w:eastAsia="Times New Roman" w:cs="Times New Roman"/>
          <w:spacing w:val="-3"/>
          <w:sz w:val="24"/>
          <w:szCs w:val="24"/>
        </w:rPr>
        <w:t xml:space="preserve">110kV </w:t>
      </w:r>
      <w:r>
        <w:rPr>
          <w:rFonts w:ascii="宋体" w:hAnsi="宋体" w:eastAsia="宋体" w:cs="宋体"/>
          <w:spacing w:val="-3"/>
          <w:sz w:val="24"/>
          <w:szCs w:val="24"/>
        </w:rPr>
        <w:t>变电站，由园区变电站引两回</w:t>
      </w:r>
      <w:r>
        <w:rPr>
          <w:rFonts w:ascii="宋体" w:hAnsi="宋体" w:eastAsia="宋体" w:cs="宋体"/>
          <w:spacing w:val="-31"/>
          <w:sz w:val="24"/>
          <w:szCs w:val="24"/>
        </w:rPr>
        <w:t xml:space="preserve"> </w:t>
      </w:r>
      <w:r>
        <w:rPr>
          <w:rFonts w:ascii="Times New Roman" w:hAnsi="Times New Roman" w:eastAsia="Times New Roman" w:cs="Times New Roman"/>
          <w:spacing w:val="-3"/>
          <w:sz w:val="24"/>
          <w:szCs w:val="24"/>
        </w:rPr>
        <w:t xml:space="preserve">110kV </w:t>
      </w:r>
      <w:r>
        <w:rPr>
          <w:rFonts w:ascii="宋体" w:hAnsi="宋体" w:eastAsia="宋体" w:cs="宋体"/>
          <w:spacing w:val="-3"/>
          <w:sz w:val="24"/>
          <w:szCs w:val="24"/>
        </w:rPr>
        <w:t>架空线路向本工程新建</w:t>
      </w:r>
      <w:r>
        <w:rPr>
          <w:rFonts w:ascii="宋体" w:hAnsi="宋体" w:eastAsia="宋体" w:cs="宋体"/>
          <w:spacing w:val="-30"/>
          <w:sz w:val="24"/>
          <w:szCs w:val="24"/>
        </w:rPr>
        <w:t xml:space="preserve"> </w:t>
      </w:r>
      <w:r>
        <w:rPr>
          <w:rFonts w:ascii="Times New Roman" w:hAnsi="Times New Roman" w:eastAsia="Times New Roman" w:cs="Times New Roman"/>
          <w:spacing w:val="-3"/>
          <w:sz w:val="24"/>
          <w:szCs w:val="24"/>
        </w:rPr>
        <w:t xml:space="preserve">110kV </w:t>
      </w:r>
      <w:r>
        <w:rPr>
          <w:rFonts w:ascii="宋体" w:hAnsi="宋体" w:eastAsia="宋体" w:cs="宋体"/>
          <w:spacing w:val="-3"/>
          <w:sz w:val="24"/>
          <w:szCs w:val="24"/>
        </w:rPr>
        <w:t>变电站提</w:t>
      </w:r>
      <w:r>
        <w:rPr>
          <w:rFonts w:ascii="宋体" w:hAnsi="宋体" w:eastAsia="宋体" w:cs="宋体"/>
          <w:sz w:val="24"/>
          <w:szCs w:val="24"/>
        </w:rPr>
        <w:t xml:space="preserve"> 供电源。由新建</w:t>
      </w:r>
      <w:r>
        <w:rPr>
          <w:rFonts w:ascii="宋体" w:hAnsi="宋体" w:eastAsia="宋体" w:cs="宋体"/>
          <w:spacing w:val="-32"/>
          <w:sz w:val="24"/>
          <w:szCs w:val="24"/>
        </w:rPr>
        <w:t xml:space="preserve"> </w:t>
      </w:r>
      <w:r>
        <w:rPr>
          <w:rFonts w:ascii="Times New Roman" w:hAnsi="Times New Roman" w:eastAsia="Times New Roman" w:cs="Times New Roman"/>
          <w:sz w:val="24"/>
          <w:szCs w:val="24"/>
        </w:rPr>
        <w:t xml:space="preserve">110KV </w:t>
      </w:r>
      <w:r>
        <w:rPr>
          <w:rFonts w:ascii="宋体" w:hAnsi="宋体" w:eastAsia="宋体" w:cs="宋体"/>
          <w:sz w:val="24"/>
          <w:szCs w:val="24"/>
        </w:rPr>
        <w:t>变电站向本工程电炉负荷供电。其它生产</w:t>
      </w:r>
      <w:r>
        <w:rPr>
          <w:rFonts w:ascii="宋体" w:hAnsi="宋体" w:eastAsia="宋体" w:cs="宋体"/>
          <w:spacing w:val="-1"/>
          <w:sz w:val="24"/>
          <w:szCs w:val="24"/>
        </w:rPr>
        <w:t>和生活动力电源由新</w:t>
      </w:r>
      <w:r>
        <w:rPr>
          <w:rFonts w:ascii="宋体" w:hAnsi="宋体" w:eastAsia="宋体" w:cs="宋体"/>
          <w:sz w:val="24"/>
          <w:szCs w:val="24"/>
        </w:rPr>
        <w:t xml:space="preserve"> </w:t>
      </w:r>
      <w:r>
        <w:rPr>
          <w:rFonts w:ascii="宋体" w:hAnsi="宋体" w:eastAsia="宋体" w:cs="宋体"/>
          <w:spacing w:val="-7"/>
          <w:sz w:val="24"/>
          <w:szCs w:val="24"/>
        </w:rPr>
        <w:t>建</w:t>
      </w:r>
      <w:r>
        <w:rPr>
          <w:rFonts w:ascii="宋体" w:hAnsi="宋体" w:eastAsia="宋体" w:cs="宋体"/>
          <w:spacing w:val="-32"/>
          <w:sz w:val="24"/>
          <w:szCs w:val="24"/>
        </w:rPr>
        <w:t xml:space="preserve"> </w:t>
      </w:r>
      <w:r>
        <w:rPr>
          <w:rFonts w:ascii="Times New Roman" w:hAnsi="Times New Roman" w:eastAsia="Times New Roman" w:cs="Times New Roman"/>
          <w:spacing w:val="-7"/>
          <w:sz w:val="24"/>
          <w:szCs w:val="24"/>
        </w:rPr>
        <w:t xml:space="preserve">110kV </w:t>
      </w:r>
      <w:r>
        <w:rPr>
          <w:rFonts w:ascii="宋体" w:hAnsi="宋体" w:eastAsia="宋体" w:cs="宋体"/>
          <w:spacing w:val="-7"/>
          <w:sz w:val="24"/>
          <w:szCs w:val="24"/>
        </w:rPr>
        <w:t>变电站经</w:t>
      </w:r>
      <w:r>
        <w:rPr>
          <w:rFonts w:ascii="宋体" w:hAnsi="宋体" w:eastAsia="宋体" w:cs="宋体"/>
          <w:spacing w:val="-32"/>
          <w:sz w:val="24"/>
          <w:szCs w:val="24"/>
        </w:rPr>
        <w:t xml:space="preserve"> </w:t>
      </w:r>
      <w:r>
        <w:rPr>
          <w:rFonts w:ascii="Times New Roman" w:hAnsi="Times New Roman" w:eastAsia="Times New Roman" w:cs="Times New Roman"/>
          <w:spacing w:val="-7"/>
          <w:sz w:val="24"/>
          <w:szCs w:val="24"/>
        </w:rPr>
        <w:t>110kV/10kV</w:t>
      </w:r>
      <w:r>
        <w:rPr>
          <w:rFonts w:ascii="Times New Roman" w:hAnsi="Times New Roman" w:eastAsia="Times New Roman" w:cs="Times New Roman"/>
          <w:spacing w:val="37"/>
          <w:w w:val="101"/>
          <w:sz w:val="24"/>
          <w:szCs w:val="24"/>
        </w:rPr>
        <w:t xml:space="preserve"> </w:t>
      </w:r>
      <w:r>
        <w:rPr>
          <w:rFonts w:ascii="宋体" w:hAnsi="宋体" w:eastAsia="宋体" w:cs="宋体"/>
          <w:spacing w:val="-7"/>
          <w:sz w:val="24"/>
          <w:szCs w:val="24"/>
        </w:rPr>
        <w:t>电力变压器提供</w:t>
      </w:r>
      <w:r>
        <w:rPr>
          <w:rFonts w:ascii="宋体" w:hAnsi="宋体" w:eastAsia="宋体" w:cs="宋体"/>
          <w:spacing w:val="-32"/>
          <w:sz w:val="24"/>
          <w:szCs w:val="24"/>
        </w:rPr>
        <w:t xml:space="preserve"> </w:t>
      </w:r>
      <w:r>
        <w:rPr>
          <w:rFonts w:ascii="Times New Roman" w:hAnsi="Times New Roman" w:eastAsia="Times New Roman" w:cs="Times New Roman"/>
          <w:spacing w:val="-7"/>
          <w:sz w:val="24"/>
          <w:szCs w:val="24"/>
        </w:rPr>
        <w:t>10kV</w:t>
      </w:r>
      <w:r>
        <w:rPr>
          <w:rFonts w:ascii="Times New Roman" w:hAnsi="Times New Roman" w:eastAsia="Times New Roman" w:cs="Times New Roman"/>
          <w:spacing w:val="37"/>
          <w:sz w:val="24"/>
          <w:szCs w:val="24"/>
        </w:rPr>
        <w:t xml:space="preserve"> </w:t>
      </w:r>
      <w:r>
        <w:rPr>
          <w:rFonts w:ascii="宋体" w:hAnsi="宋体" w:eastAsia="宋体" w:cs="宋体"/>
          <w:spacing w:val="-7"/>
          <w:sz w:val="24"/>
          <w:szCs w:val="24"/>
        </w:rPr>
        <w:t>电源，</w:t>
      </w:r>
      <w:r>
        <w:rPr>
          <w:rFonts w:ascii="Times New Roman" w:hAnsi="Times New Roman" w:eastAsia="Times New Roman" w:cs="Times New Roman"/>
          <w:spacing w:val="-7"/>
          <w:sz w:val="24"/>
          <w:szCs w:val="24"/>
        </w:rPr>
        <w:t>10kV</w:t>
      </w:r>
      <w:r>
        <w:rPr>
          <w:rFonts w:ascii="Times New Roman" w:hAnsi="Times New Roman" w:eastAsia="Times New Roman" w:cs="Times New Roman"/>
          <w:spacing w:val="39"/>
          <w:sz w:val="24"/>
          <w:szCs w:val="24"/>
        </w:rPr>
        <w:t xml:space="preserve"> </w:t>
      </w:r>
      <w:r>
        <w:rPr>
          <w:rFonts w:ascii="宋体" w:hAnsi="宋体" w:eastAsia="宋体" w:cs="宋体"/>
          <w:spacing w:val="-8"/>
          <w:sz w:val="24"/>
          <w:szCs w:val="24"/>
        </w:rPr>
        <w:t>电源采用双电源单母</w:t>
      </w:r>
      <w:r>
        <w:rPr>
          <w:rFonts w:ascii="宋体" w:hAnsi="宋体" w:eastAsia="宋体" w:cs="宋体"/>
          <w:sz w:val="24"/>
          <w:szCs w:val="24"/>
        </w:rPr>
        <w:t xml:space="preserve"> </w:t>
      </w:r>
      <w:r>
        <w:rPr>
          <w:rFonts w:ascii="宋体" w:hAnsi="宋体" w:eastAsia="宋体" w:cs="宋体"/>
          <w:spacing w:val="-2"/>
          <w:sz w:val="24"/>
          <w:szCs w:val="24"/>
        </w:rPr>
        <w:t>线分段供电的方式。</w:t>
      </w:r>
    </w:p>
    <w:p w14:paraId="6E99B2A1">
      <w:pPr>
        <w:spacing w:before="35" w:line="354" w:lineRule="auto"/>
        <w:ind w:left="9" w:right="63" w:firstLine="480"/>
        <w:rPr>
          <w:rFonts w:ascii="宋体" w:hAnsi="宋体" w:eastAsia="宋体" w:cs="宋体"/>
          <w:sz w:val="24"/>
          <w:szCs w:val="24"/>
        </w:rPr>
      </w:pPr>
      <w:r>
        <w:rPr>
          <w:rFonts w:ascii="宋体" w:hAnsi="宋体" w:eastAsia="宋体" w:cs="宋体"/>
          <w:spacing w:val="-3"/>
          <w:sz w:val="24"/>
          <w:szCs w:val="24"/>
        </w:rPr>
        <w:t>本项目发电机组采用并网不上网运行模式，所发电量全部厂区内部</w:t>
      </w:r>
      <w:r>
        <w:rPr>
          <w:rFonts w:ascii="宋体" w:hAnsi="宋体" w:eastAsia="宋体" w:cs="宋体"/>
          <w:spacing w:val="-4"/>
          <w:sz w:val="24"/>
          <w:szCs w:val="24"/>
        </w:rPr>
        <w:t>消耗。本项目全</w:t>
      </w:r>
      <w:r>
        <w:rPr>
          <w:rFonts w:ascii="宋体" w:hAnsi="宋体" w:eastAsia="宋体" w:cs="宋体"/>
          <w:sz w:val="24"/>
          <w:szCs w:val="24"/>
        </w:rPr>
        <w:t xml:space="preserve"> </w:t>
      </w:r>
      <w:r>
        <w:rPr>
          <w:rFonts w:ascii="宋体" w:hAnsi="宋体" w:eastAsia="宋体" w:cs="宋体"/>
          <w:spacing w:val="-3"/>
          <w:sz w:val="24"/>
          <w:szCs w:val="24"/>
        </w:rPr>
        <w:t>年消耗电力</w:t>
      </w:r>
      <w:r>
        <w:rPr>
          <w:rFonts w:ascii="宋体" w:hAnsi="宋体" w:eastAsia="宋体" w:cs="宋体"/>
          <w:spacing w:val="-24"/>
          <w:sz w:val="24"/>
          <w:szCs w:val="24"/>
        </w:rPr>
        <w:t xml:space="preserve"> </w:t>
      </w:r>
      <w:r>
        <w:rPr>
          <w:rFonts w:ascii="Times New Roman" w:hAnsi="Times New Roman" w:eastAsia="Times New Roman" w:cs="Times New Roman"/>
          <w:spacing w:val="-3"/>
          <w:sz w:val="24"/>
          <w:szCs w:val="24"/>
        </w:rPr>
        <w:t>166753.10</w:t>
      </w:r>
      <w:r>
        <w:rPr>
          <w:rFonts w:ascii="Times New Roman" w:hAnsi="Times New Roman" w:eastAsia="Times New Roman" w:cs="Times New Roman"/>
          <w:spacing w:val="15"/>
          <w:w w:val="101"/>
          <w:sz w:val="24"/>
          <w:szCs w:val="24"/>
        </w:rPr>
        <w:t xml:space="preserve"> </w:t>
      </w:r>
      <w:r>
        <w:rPr>
          <w:rFonts w:ascii="宋体" w:hAnsi="宋体" w:eastAsia="宋体" w:cs="宋体"/>
          <w:spacing w:val="-3"/>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3"/>
          <w:sz w:val="24"/>
          <w:szCs w:val="24"/>
        </w:rPr>
        <w:t>kWh</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，绿电使用比例大于</w:t>
      </w:r>
      <w:r>
        <w:rPr>
          <w:rFonts w:ascii="宋体" w:hAnsi="宋体" w:eastAsia="宋体" w:cs="宋体"/>
          <w:spacing w:val="-46"/>
          <w:sz w:val="24"/>
          <w:szCs w:val="24"/>
        </w:rPr>
        <w:t xml:space="preserve"> </w:t>
      </w:r>
      <w:r>
        <w:rPr>
          <w:rFonts w:ascii="Times New Roman" w:hAnsi="Times New Roman" w:eastAsia="Times New Roman" w:cs="Times New Roman"/>
          <w:spacing w:val="-3"/>
          <w:sz w:val="24"/>
          <w:szCs w:val="24"/>
        </w:rPr>
        <w:t>80%</w:t>
      </w:r>
      <w:r>
        <w:rPr>
          <w:rFonts w:ascii="宋体" w:hAnsi="宋体" w:eastAsia="宋体" w:cs="宋体"/>
          <w:spacing w:val="-3"/>
          <w:sz w:val="24"/>
          <w:szCs w:val="24"/>
        </w:rPr>
        <w:t>（见附件）。</w:t>
      </w:r>
    </w:p>
    <w:p w14:paraId="2A940077">
      <w:pPr>
        <w:spacing w:before="32" w:line="219" w:lineRule="auto"/>
        <w:ind w:left="4"/>
        <w:outlineLvl w:val="1"/>
        <w:rPr>
          <w:rFonts w:ascii="宋体" w:hAnsi="宋体" w:eastAsia="宋体" w:cs="宋体"/>
          <w:sz w:val="24"/>
          <w:szCs w:val="24"/>
        </w:rPr>
      </w:pPr>
      <w:r>
        <w:fldChar w:fldCharType="begin"/>
      </w:r>
      <w:r>
        <w:instrText xml:space="preserve"> HYPERLINK "2.2.5.4" </w:instrText>
      </w:r>
      <w:r>
        <w:fldChar w:fldCharType="separate"/>
      </w:r>
      <w:r>
        <w:rPr>
          <w:rFonts w:ascii="Times New Roman" w:hAnsi="Times New Roman" w:eastAsia="Times New Roman" w:cs="Times New Roman"/>
          <w:b/>
          <w:bCs/>
          <w:spacing w:val="-2"/>
          <w:sz w:val="24"/>
          <w:szCs w:val="24"/>
        </w:rPr>
        <w:t>2.2.5.4</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供热</w:t>
      </w:r>
    </w:p>
    <w:p w14:paraId="19EB13D1">
      <w:pPr>
        <w:spacing w:before="194" w:line="358" w:lineRule="auto"/>
        <w:ind w:left="7" w:right="63" w:firstLine="480"/>
        <w:jc w:val="both"/>
        <w:rPr>
          <w:rFonts w:ascii="宋体" w:hAnsi="宋体" w:eastAsia="宋体" w:cs="宋体"/>
          <w:sz w:val="24"/>
          <w:szCs w:val="24"/>
        </w:rPr>
      </w:pPr>
      <w:r>
        <w:rPr>
          <w:rFonts w:ascii="宋体" w:hAnsi="宋体" w:eastAsia="宋体" w:cs="宋体"/>
          <w:spacing w:val="-3"/>
          <w:sz w:val="24"/>
          <w:szCs w:val="24"/>
        </w:rPr>
        <w:t>在本项目厂区的办公生活区使用电炉回收余热作为办公区域、职工宿舍</w:t>
      </w:r>
      <w:r>
        <w:rPr>
          <w:rFonts w:ascii="宋体" w:hAnsi="宋体" w:eastAsia="宋体" w:cs="宋体"/>
          <w:spacing w:val="-4"/>
          <w:sz w:val="24"/>
          <w:szCs w:val="24"/>
        </w:rPr>
        <w:t>、化验室等</w:t>
      </w:r>
      <w:r>
        <w:rPr>
          <w:rFonts w:ascii="宋体" w:hAnsi="宋体" w:eastAsia="宋体" w:cs="宋体"/>
          <w:sz w:val="24"/>
          <w:szCs w:val="24"/>
        </w:rPr>
        <w:t xml:space="preserve"> </w:t>
      </w:r>
      <w:r>
        <w:rPr>
          <w:rFonts w:ascii="宋体" w:hAnsi="宋体" w:eastAsia="宋体" w:cs="宋体"/>
          <w:spacing w:val="-11"/>
          <w:sz w:val="24"/>
          <w:szCs w:val="24"/>
        </w:rPr>
        <w:t>需要供暖场所冬季采暖提供热源。采暖热媒为低温热水，供水温度</w:t>
      </w:r>
      <w:r>
        <w:rPr>
          <w:rFonts w:ascii="宋体" w:hAnsi="宋体" w:eastAsia="宋体" w:cs="宋体"/>
          <w:spacing w:val="-50"/>
          <w:sz w:val="24"/>
          <w:szCs w:val="24"/>
        </w:rPr>
        <w:t xml:space="preserve"> </w:t>
      </w:r>
      <w:r>
        <w:rPr>
          <w:rFonts w:ascii="Times New Roman" w:hAnsi="Times New Roman" w:eastAsia="Times New Roman" w:cs="Times New Roman"/>
          <w:spacing w:val="-11"/>
          <w:sz w:val="24"/>
          <w:szCs w:val="24"/>
        </w:rPr>
        <w:t>60℃</w:t>
      </w:r>
      <w:r>
        <w:rPr>
          <w:rFonts w:ascii="Times New Roman" w:hAnsi="Times New Roman" w:eastAsia="Times New Roman" w:cs="Times New Roman"/>
          <w:spacing w:val="-29"/>
          <w:sz w:val="24"/>
          <w:szCs w:val="24"/>
        </w:rPr>
        <w:t xml:space="preserve"> </w:t>
      </w:r>
      <w:r>
        <w:rPr>
          <w:rFonts w:ascii="宋体" w:hAnsi="宋体" w:eastAsia="宋体" w:cs="宋体"/>
          <w:spacing w:val="-12"/>
          <w:sz w:val="24"/>
          <w:szCs w:val="24"/>
        </w:rPr>
        <w:t>,</w:t>
      </w:r>
      <w:r>
        <w:rPr>
          <w:rFonts w:ascii="宋体" w:hAnsi="宋体" w:eastAsia="宋体" w:cs="宋体"/>
          <w:spacing w:val="-34"/>
          <w:sz w:val="24"/>
          <w:szCs w:val="24"/>
        </w:rPr>
        <w:t xml:space="preserve"> </w:t>
      </w:r>
      <w:r>
        <w:rPr>
          <w:rFonts w:ascii="宋体" w:hAnsi="宋体" w:eastAsia="宋体" w:cs="宋体"/>
          <w:spacing w:val="-12"/>
          <w:sz w:val="24"/>
          <w:szCs w:val="24"/>
        </w:rPr>
        <w:t>回水温度</w:t>
      </w:r>
      <w:r>
        <w:rPr>
          <w:rFonts w:ascii="宋体" w:hAnsi="宋体" w:eastAsia="宋体" w:cs="宋体"/>
          <w:spacing w:val="-56"/>
          <w:sz w:val="24"/>
          <w:szCs w:val="24"/>
        </w:rPr>
        <w:t xml:space="preserve"> </w:t>
      </w:r>
      <w:r>
        <w:rPr>
          <w:rFonts w:ascii="Times New Roman" w:hAnsi="Times New Roman" w:eastAsia="Times New Roman" w:cs="Times New Roman"/>
          <w:spacing w:val="-12"/>
          <w:sz w:val="24"/>
          <w:szCs w:val="24"/>
        </w:rPr>
        <w:t>45℃</w:t>
      </w:r>
      <w:r>
        <w:rPr>
          <w:rFonts w:ascii="Times New Roman" w:hAnsi="Times New Roman" w:eastAsia="Times New Roman" w:cs="Times New Roman"/>
          <w:spacing w:val="-29"/>
          <w:sz w:val="24"/>
          <w:szCs w:val="24"/>
        </w:rPr>
        <w:t xml:space="preserve"> </w:t>
      </w:r>
      <w:r>
        <w:rPr>
          <w:rFonts w:ascii="宋体" w:hAnsi="宋体" w:eastAsia="宋体" w:cs="宋体"/>
          <w:spacing w:val="-12"/>
          <w:sz w:val="24"/>
          <w:szCs w:val="24"/>
        </w:rPr>
        <w:t>,</w:t>
      </w:r>
      <w:r>
        <w:rPr>
          <w:rFonts w:ascii="宋体" w:hAnsi="宋体" w:eastAsia="宋体" w:cs="宋体"/>
          <w:sz w:val="24"/>
          <w:szCs w:val="24"/>
        </w:rPr>
        <w:t xml:space="preserve"> </w:t>
      </w:r>
      <w:r>
        <w:rPr>
          <w:rFonts w:ascii="宋体" w:hAnsi="宋体" w:eastAsia="宋体" w:cs="宋体"/>
          <w:spacing w:val="-1"/>
          <w:sz w:val="24"/>
          <w:szCs w:val="24"/>
        </w:rPr>
        <w:t>采用地板辐射供暖方式。根据各采暖用户不同需要，室内采暖计算温</w:t>
      </w:r>
      <w:r>
        <w:rPr>
          <w:rFonts w:ascii="宋体" w:hAnsi="宋体" w:eastAsia="宋体" w:cs="宋体"/>
          <w:spacing w:val="-2"/>
          <w:sz w:val="24"/>
          <w:szCs w:val="24"/>
        </w:rPr>
        <w:t>度为</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5℃~</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2"/>
          <w:sz w:val="24"/>
          <w:szCs w:val="24"/>
        </w:rPr>
        <w:t>18℃</w:t>
      </w:r>
      <w:r>
        <w:rPr>
          <w:rFonts w:ascii="宋体" w:hAnsi="宋体" w:eastAsia="宋体" w:cs="宋体"/>
          <w:spacing w:val="-2"/>
          <w:sz w:val="24"/>
          <w:szCs w:val="24"/>
        </w:rPr>
        <w:t>。</w:t>
      </w:r>
    </w:p>
    <w:p w14:paraId="766DB453">
      <w:pPr>
        <w:spacing w:before="33" w:line="219" w:lineRule="auto"/>
        <w:ind w:left="4"/>
        <w:outlineLvl w:val="3"/>
        <w:rPr>
          <w:rFonts w:ascii="宋体" w:hAnsi="宋体" w:eastAsia="宋体" w:cs="宋体"/>
          <w:sz w:val="24"/>
          <w:szCs w:val="24"/>
        </w:rPr>
      </w:pPr>
      <w:r>
        <w:fldChar w:fldCharType="begin"/>
      </w:r>
      <w:r>
        <w:instrText xml:space="preserve"> HYPERLINK "2.2.5.5" </w:instrText>
      </w:r>
      <w:r>
        <w:fldChar w:fldCharType="separate"/>
      </w:r>
      <w:r>
        <w:rPr>
          <w:rFonts w:ascii="Times New Roman" w:hAnsi="Times New Roman" w:eastAsia="Times New Roman" w:cs="Times New Roman"/>
          <w:b/>
          <w:bCs/>
          <w:spacing w:val="-3"/>
          <w:sz w:val="24"/>
          <w:szCs w:val="24"/>
        </w:rPr>
        <w:t>2.2.5.5</w:t>
      </w:r>
      <w:r>
        <w:rPr>
          <w:rFonts w:ascii="Times New Roman" w:hAnsi="Times New Roman" w:eastAsia="Times New Roman" w:cs="Times New Roman"/>
          <w:b/>
          <w:bCs/>
          <w:spacing w:val="-3"/>
          <w:sz w:val="24"/>
          <w:szCs w:val="24"/>
        </w:rPr>
        <w:fldChar w:fldCharType="end"/>
      </w:r>
      <w:r>
        <w:rPr>
          <w:rFonts w:ascii="Times New Roman" w:hAnsi="Times New Roman" w:eastAsia="Times New Roman" w:cs="Times New Roman"/>
          <w:b/>
          <w:bCs/>
          <w:spacing w:val="18"/>
          <w:sz w:val="24"/>
          <w:szCs w:val="24"/>
        </w:rPr>
        <w:t xml:space="preserve"> </w:t>
      </w:r>
      <w:r>
        <w:rPr>
          <w:rFonts w:ascii="宋体" w:hAnsi="宋体" w:eastAsia="宋体" w:cs="宋体"/>
          <w:b/>
          <w:bCs/>
          <w:spacing w:val="-3"/>
          <w:sz w:val="24"/>
          <w:szCs w:val="24"/>
        </w:rPr>
        <w:t>空压制氮</w:t>
      </w:r>
    </w:p>
    <w:p w14:paraId="1AA27FBD">
      <w:pPr>
        <w:spacing w:before="196" w:line="361" w:lineRule="auto"/>
        <w:ind w:left="9" w:firstLine="480"/>
        <w:jc w:val="both"/>
        <w:rPr>
          <w:rFonts w:ascii="宋体" w:hAnsi="宋体" w:eastAsia="宋体" w:cs="宋体"/>
          <w:sz w:val="24"/>
          <w:szCs w:val="24"/>
        </w:rPr>
      </w:pPr>
      <w:r>
        <w:rPr>
          <w:rFonts w:ascii="宋体" w:hAnsi="宋体" w:eastAsia="宋体" w:cs="宋体"/>
          <w:spacing w:val="-3"/>
          <w:sz w:val="24"/>
          <w:szCs w:val="24"/>
        </w:rPr>
        <w:t>本项目厂区空压站为整个生产装置提供所需的压缩空气用量，根据</w:t>
      </w:r>
      <w:r>
        <w:rPr>
          <w:rFonts w:ascii="宋体" w:hAnsi="宋体" w:eastAsia="宋体" w:cs="宋体"/>
          <w:spacing w:val="-4"/>
          <w:sz w:val="24"/>
          <w:szCs w:val="24"/>
        </w:rPr>
        <w:t>各装置区用气的</w:t>
      </w:r>
      <w:r>
        <w:rPr>
          <w:rFonts w:ascii="宋体" w:hAnsi="宋体" w:eastAsia="宋体" w:cs="宋体"/>
          <w:sz w:val="24"/>
          <w:szCs w:val="24"/>
        </w:rPr>
        <w:t xml:space="preserve"> </w:t>
      </w:r>
      <w:r>
        <w:rPr>
          <w:rFonts w:ascii="宋体" w:hAnsi="宋体" w:eastAsia="宋体" w:cs="宋体"/>
          <w:spacing w:val="-2"/>
          <w:sz w:val="24"/>
          <w:szCs w:val="24"/>
        </w:rPr>
        <w:t>要求，压缩空气由管道输送至各用户。本项目共设置三套空压制氮系统，</w:t>
      </w:r>
      <w:r>
        <w:rPr>
          <w:rFonts w:ascii="Times New Roman" w:hAnsi="Times New Roman" w:eastAsia="Times New Roman" w:cs="Times New Roman"/>
          <w:spacing w:val="-2"/>
          <w:sz w:val="24"/>
          <w:szCs w:val="24"/>
        </w:rPr>
        <w:t xml:space="preserve">2 </w:t>
      </w:r>
      <w:r>
        <w:rPr>
          <w:rFonts w:ascii="宋体" w:hAnsi="宋体" w:eastAsia="宋体" w:cs="宋体"/>
          <w:spacing w:val="-2"/>
          <w:sz w:val="24"/>
          <w:szCs w:val="24"/>
        </w:rPr>
        <w:t>开</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3"/>
          <w:sz w:val="24"/>
          <w:szCs w:val="24"/>
        </w:rPr>
        <w:t>备。单</w:t>
      </w:r>
      <w:r>
        <w:rPr>
          <w:rFonts w:ascii="宋体" w:hAnsi="宋体" w:eastAsia="宋体" w:cs="宋体"/>
          <w:sz w:val="24"/>
          <w:szCs w:val="24"/>
        </w:rPr>
        <w:t xml:space="preserve"> </w:t>
      </w:r>
      <w:r>
        <w:rPr>
          <w:rFonts w:ascii="宋体" w:hAnsi="宋体" w:eastAsia="宋体" w:cs="宋体"/>
          <w:spacing w:val="-3"/>
          <w:sz w:val="24"/>
          <w:szCs w:val="24"/>
        </w:rPr>
        <w:t>套能连续输出</w:t>
      </w:r>
      <w:r>
        <w:rPr>
          <w:rFonts w:ascii="宋体" w:hAnsi="宋体" w:eastAsia="宋体" w:cs="宋体"/>
          <w:spacing w:val="-15"/>
          <w:sz w:val="24"/>
          <w:szCs w:val="24"/>
        </w:rPr>
        <w:t xml:space="preserve"> </w:t>
      </w:r>
      <w:r>
        <w:rPr>
          <w:rFonts w:ascii="Times New Roman" w:hAnsi="Times New Roman" w:eastAsia="Times New Roman" w:cs="Times New Roman"/>
          <w:spacing w:val="-3"/>
          <w:sz w:val="24"/>
          <w:szCs w:val="24"/>
        </w:rPr>
        <w:t>1000Nm</w:t>
      </w:r>
      <w:r>
        <w:rPr>
          <w:rFonts w:ascii="Times New Roman" w:hAnsi="Times New Roman" w:eastAsia="Times New Roman" w:cs="Times New Roman"/>
          <w:spacing w:val="-3"/>
          <w:position w:val="8"/>
          <w:sz w:val="15"/>
          <w:szCs w:val="15"/>
        </w:rPr>
        <w:t>3</w:t>
      </w:r>
      <w:r>
        <w:rPr>
          <w:rFonts w:ascii="Times New Roman" w:hAnsi="Times New Roman" w:eastAsia="Times New Roman" w:cs="Times New Roman"/>
          <w:spacing w:val="-3"/>
          <w:sz w:val="24"/>
          <w:szCs w:val="24"/>
        </w:rPr>
        <w:t>/h</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的仪表空气，制氮系统生产</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1250Nm</w:t>
      </w:r>
      <w:r>
        <w:rPr>
          <w:rFonts w:ascii="Times New Roman" w:hAnsi="Times New Roman" w:eastAsia="Times New Roman" w:cs="Times New Roman"/>
          <w:spacing w:val="-3"/>
          <w:position w:val="8"/>
          <w:sz w:val="15"/>
          <w:szCs w:val="15"/>
        </w:rPr>
        <w:t>3</w:t>
      </w:r>
      <w:r>
        <w:rPr>
          <w:rFonts w:ascii="Times New Roman" w:hAnsi="Times New Roman" w:eastAsia="Times New Roman" w:cs="Times New Roman"/>
          <w:spacing w:val="-3"/>
          <w:sz w:val="24"/>
          <w:szCs w:val="24"/>
        </w:rPr>
        <w:t xml:space="preserve">/h  </w:t>
      </w:r>
      <w:r>
        <w:rPr>
          <w:rFonts w:ascii="宋体" w:hAnsi="宋体" w:eastAsia="宋体" w:cs="宋体"/>
          <w:spacing w:val="-3"/>
          <w:sz w:val="24"/>
          <w:szCs w:val="24"/>
        </w:rPr>
        <w:t>低压氮气。本装置主</w:t>
      </w:r>
      <w:r>
        <w:rPr>
          <w:rFonts w:ascii="宋体" w:hAnsi="宋体" w:eastAsia="宋体" w:cs="宋体"/>
          <w:sz w:val="24"/>
          <w:szCs w:val="24"/>
        </w:rPr>
        <w:t xml:space="preserve"> </w:t>
      </w:r>
      <w:r>
        <w:rPr>
          <w:rFonts w:ascii="宋体" w:hAnsi="宋体" w:eastAsia="宋体" w:cs="宋体"/>
          <w:spacing w:val="-1"/>
          <w:sz w:val="24"/>
          <w:szCs w:val="24"/>
        </w:rPr>
        <w:t>要由空压系统、空气净化系统、制氮系统、氮气缓冲系</w:t>
      </w:r>
      <w:r>
        <w:rPr>
          <w:rFonts w:ascii="宋体" w:hAnsi="宋体" w:eastAsia="宋体" w:cs="宋体"/>
          <w:spacing w:val="-2"/>
          <w:sz w:val="24"/>
          <w:szCs w:val="24"/>
        </w:rPr>
        <w:t>统和仪表空气系统五部分组成。</w:t>
      </w:r>
      <w:r>
        <w:rPr>
          <w:rFonts w:ascii="宋体" w:hAnsi="宋体" w:eastAsia="宋体" w:cs="宋体"/>
          <w:sz w:val="24"/>
          <w:szCs w:val="24"/>
        </w:rPr>
        <w:t xml:space="preserve"> </w:t>
      </w:r>
      <w:r>
        <w:rPr>
          <w:rFonts w:ascii="宋体" w:hAnsi="宋体" w:eastAsia="宋体" w:cs="宋体"/>
          <w:spacing w:val="5"/>
          <w:sz w:val="24"/>
          <w:szCs w:val="24"/>
        </w:rPr>
        <w:t>制氮装置采用</w:t>
      </w:r>
      <w:r>
        <w:rPr>
          <w:rFonts w:ascii="Times New Roman" w:hAnsi="Times New Roman" w:eastAsia="Times New Roman" w:cs="Times New Roman"/>
          <w:sz w:val="24"/>
          <w:szCs w:val="24"/>
        </w:rPr>
        <w:t>PSA</w:t>
      </w:r>
      <w:r>
        <w:rPr>
          <w:rFonts w:ascii="Times New Roman" w:hAnsi="Times New Roman" w:eastAsia="Times New Roman" w:cs="Times New Roman"/>
          <w:spacing w:val="5"/>
          <w:sz w:val="24"/>
          <w:szCs w:val="24"/>
        </w:rPr>
        <w:t xml:space="preserve"> </w:t>
      </w:r>
      <w:r>
        <w:rPr>
          <w:rFonts w:ascii="宋体" w:hAnsi="宋体" w:eastAsia="宋体" w:cs="宋体"/>
          <w:spacing w:val="5"/>
          <w:sz w:val="24"/>
          <w:szCs w:val="24"/>
        </w:rPr>
        <w:t>制氮。</w:t>
      </w:r>
    </w:p>
    <w:p w14:paraId="6FAC6141">
      <w:pPr>
        <w:spacing w:before="38" w:line="354" w:lineRule="auto"/>
        <w:ind w:left="508" w:right="6975" w:hanging="20"/>
        <w:rPr>
          <w:rFonts w:ascii="宋体" w:hAnsi="宋体" w:eastAsia="宋体" w:cs="宋体"/>
          <w:sz w:val="24"/>
          <w:szCs w:val="24"/>
        </w:rPr>
      </w:pPr>
      <w:r>
        <w:rPr>
          <w:rFonts w:ascii="宋体" w:hAnsi="宋体" w:eastAsia="宋体" w:cs="宋体"/>
          <w:b/>
          <w:bCs/>
          <w:spacing w:val="-12"/>
          <w:sz w:val="24"/>
          <w:szCs w:val="24"/>
        </w:rPr>
        <w:t>产污环节分析：</w:t>
      </w:r>
      <w:r>
        <w:rPr>
          <w:rFonts w:ascii="宋体" w:hAnsi="宋体" w:eastAsia="宋体" w:cs="宋体"/>
          <w:sz w:val="24"/>
          <w:szCs w:val="24"/>
        </w:rPr>
        <w:t xml:space="preserve"> </w:t>
      </w:r>
      <w:r>
        <w:rPr>
          <w:rFonts w:ascii="宋体" w:hAnsi="宋体" w:eastAsia="宋体" w:cs="宋体"/>
          <w:b/>
          <w:bCs/>
          <w:spacing w:val="-13"/>
          <w:sz w:val="24"/>
          <w:szCs w:val="24"/>
        </w:rPr>
        <w:t>固废：</w:t>
      </w:r>
    </w:p>
    <w:p w14:paraId="24724C4F">
      <w:pPr>
        <w:spacing w:before="31" w:line="354" w:lineRule="auto"/>
        <w:ind w:left="11" w:right="63" w:firstLine="476"/>
        <w:rPr>
          <w:rFonts w:ascii="宋体" w:hAnsi="宋体" w:eastAsia="宋体" w:cs="宋体"/>
          <w:sz w:val="24"/>
          <w:szCs w:val="24"/>
        </w:rPr>
      </w:pPr>
      <w:r>
        <w:rPr>
          <w:rFonts w:ascii="宋体" w:hAnsi="宋体" w:eastAsia="宋体" w:cs="宋体"/>
          <w:spacing w:val="-2"/>
          <w:sz w:val="24"/>
          <w:szCs w:val="24"/>
        </w:rPr>
        <w:t>废分子筛（</w:t>
      </w:r>
      <w:r>
        <w:rPr>
          <w:rFonts w:ascii="Times New Roman" w:hAnsi="Times New Roman" w:eastAsia="Times New Roman" w:cs="Times New Roman"/>
          <w:spacing w:val="-2"/>
          <w:sz w:val="24"/>
          <w:szCs w:val="24"/>
        </w:rPr>
        <w:t>S</w:t>
      </w:r>
      <w:r>
        <w:rPr>
          <w:rFonts w:ascii="Times New Roman" w:hAnsi="Times New Roman" w:eastAsia="Times New Roman" w:cs="Times New Roman"/>
          <w:spacing w:val="-2"/>
          <w:position w:val="-1"/>
          <w:sz w:val="15"/>
          <w:szCs w:val="15"/>
        </w:rPr>
        <w:t xml:space="preserve">6 </w:t>
      </w:r>
      <w:r>
        <w:rPr>
          <w:rFonts w:ascii="宋体" w:hAnsi="宋体" w:eastAsia="宋体" w:cs="宋体"/>
          <w:spacing w:val="-24"/>
          <w:sz w:val="24"/>
          <w:szCs w:val="24"/>
        </w:rPr>
        <w:t>）：</w:t>
      </w:r>
      <w:r>
        <w:rPr>
          <w:rFonts w:ascii="宋体" w:hAnsi="宋体" w:eastAsia="宋体" w:cs="宋体"/>
          <w:spacing w:val="-2"/>
          <w:sz w:val="24"/>
          <w:szCs w:val="24"/>
        </w:rPr>
        <w:t>本项目制氮站采用变压吸附制氮工艺，制氮机中分子筛需要定期</w:t>
      </w:r>
      <w:r>
        <w:rPr>
          <w:rFonts w:ascii="宋体" w:hAnsi="宋体" w:eastAsia="宋体" w:cs="宋体"/>
          <w:spacing w:val="1"/>
          <w:sz w:val="24"/>
          <w:szCs w:val="24"/>
        </w:rPr>
        <w:t xml:space="preserve"> </w:t>
      </w:r>
      <w:r>
        <w:rPr>
          <w:rFonts w:ascii="宋体" w:hAnsi="宋体" w:eastAsia="宋体" w:cs="宋体"/>
          <w:spacing w:val="-1"/>
          <w:sz w:val="24"/>
          <w:szCs w:val="24"/>
        </w:rPr>
        <w:t>更换，更换产生废分子筛，由生产厂家回收。</w:t>
      </w:r>
    </w:p>
    <w:p w14:paraId="0C06B65B">
      <w:pPr>
        <w:spacing w:before="35" w:line="220" w:lineRule="auto"/>
        <w:ind w:left="4"/>
        <w:outlineLvl w:val="3"/>
        <w:rPr>
          <w:rFonts w:ascii="宋体" w:hAnsi="宋体" w:eastAsia="宋体" w:cs="宋体"/>
          <w:sz w:val="24"/>
          <w:szCs w:val="24"/>
        </w:rPr>
      </w:pPr>
      <w:r>
        <w:fldChar w:fldCharType="begin"/>
      </w:r>
      <w:r>
        <w:instrText xml:space="preserve"> HYPERLINK "2.2.5.6" </w:instrText>
      </w:r>
      <w:r>
        <w:fldChar w:fldCharType="separate"/>
      </w:r>
      <w:r>
        <w:rPr>
          <w:rFonts w:ascii="Times New Roman" w:hAnsi="Times New Roman" w:eastAsia="Times New Roman" w:cs="Times New Roman"/>
          <w:b/>
          <w:bCs/>
          <w:spacing w:val="-5"/>
          <w:sz w:val="24"/>
          <w:szCs w:val="24"/>
        </w:rPr>
        <w:t>2.2.5.6</w:t>
      </w:r>
      <w:r>
        <w:rPr>
          <w:rFonts w:ascii="Times New Roman" w:hAnsi="Times New Roman" w:eastAsia="Times New Roman" w:cs="Times New Roman"/>
          <w:b/>
          <w:bCs/>
          <w:spacing w:val="-5"/>
          <w:sz w:val="24"/>
          <w:szCs w:val="24"/>
        </w:rPr>
        <w:fldChar w:fldCharType="end"/>
      </w:r>
      <w:r>
        <w:rPr>
          <w:rFonts w:ascii="Times New Roman" w:hAnsi="Times New Roman" w:eastAsia="Times New Roman" w:cs="Times New Roman"/>
          <w:b/>
          <w:bCs/>
          <w:spacing w:val="40"/>
          <w:sz w:val="24"/>
          <w:szCs w:val="24"/>
        </w:rPr>
        <w:t xml:space="preserve"> </w:t>
      </w:r>
      <w:r>
        <w:rPr>
          <w:rFonts w:ascii="宋体" w:hAnsi="宋体" w:eastAsia="宋体" w:cs="宋体"/>
          <w:b/>
          <w:bCs/>
          <w:spacing w:val="-5"/>
          <w:sz w:val="24"/>
          <w:szCs w:val="24"/>
        </w:rPr>
        <w:t>电极制备</w:t>
      </w:r>
    </w:p>
    <w:p w14:paraId="7B8AC8E8">
      <w:pPr>
        <w:spacing w:before="189" w:line="362" w:lineRule="auto"/>
        <w:ind w:left="9" w:firstLine="507"/>
        <w:jc w:val="both"/>
        <w:rPr>
          <w:rFonts w:ascii="宋体" w:hAnsi="宋体" w:eastAsia="宋体" w:cs="宋体"/>
          <w:sz w:val="24"/>
          <w:szCs w:val="24"/>
        </w:rPr>
      </w:pPr>
      <w:r>
        <w:rPr>
          <w:rFonts w:ascii="宋体" w:hAnsi="宋体" w:eastAsia="宋体" w:cs="宋体"/>
          <w:spacing w:val="-2"/>
          <w:sz w:val="24"/>
          <w:szCs w:val="24"/>
        </w:rPr>
        <w:t>电极的作用是导电并将电能转换成热能。电极按其用途及制作工艺</w:t>
      </w:r>
      <w:r>
        <w:rPr>
          <w:rFonts w:ascii="宋体" w:hAnsi="宋体" w:eastAsia="宋体" w:cs="宋体"/>
          <w:spacing w:val="-3"/>
          <w:sz w:val="24"/>
          <w:szCs w:val="24"/>
        </w:rPr>
        <w:t>分为碳素电极、</w:t>
      </w:r>
      <w:r>
        <w:rPr>
          <w:rFonts w:ascii="宋体" w:hAnsi="宋体" w:eastAsia="宋体" w:cs="宋体"/>
          <w:sz w:val="24"/>
          <w:szCs w:val="24"/>
        </w:rPr>
        <w:t xml:space="preserve"> </w:t>
      </w:r>
      <w:r>
        <w:rPr>
          <w:rFonts w:ascii="宋体" w:hAnsi="宋体" w:eastAsia="宋体" w:cs="宋体"/>
          <w:spacing w:val="-3"/>
          <w:sz w:val="24"/>
          <w:szCs w:val="24"/>
        </w:rPr>
        <w:t>石墨电极和自焙电极三种。本项目电炉采用自焙电极。自焙电极用无烟煤、焦炭、沥青</w:t>
      </w:r>
      <w:r>
        <w:rPr>
          <w:rFonts w:ascii="宋体" w:hAnsi="宋体" w:eastAsia="宋体" w:cs="宋体"/>
          <w:sz w:val="24"/>
          <w:szCs w:val="24"/>
        </w:rPr>
        <w:t xml:space="preserve"> </w:t>
      </w:r>
      <w:r>
        <w:rPr>
          <w:rFonts w:ascii="宋体" w:hAnsi="宋体" w:eastAsia="宋体" w:cs="宋体"/>
          <w:spacing w:val="-3"/>
          <w:sz w:val="24"/>
          <w:szCs w:val="24"/>
        </w:rPr>
        <w:t>和焦油为原料，在一定温度下制成电极糊，然后把电极糊装入已安装在电炉上的电机壳</w:t>
      </w:r>
      <w:r>
        <w:rPr>
          <w:rFonts w:ascii="宋体" w:hAnsi="宋体" w:eastAsia="宋体" w:cs="宋体"/>
          <w:sz w:val="24"/>
          <w:szCs w:val="24"/>
        </w:rPr>
        <w:t xml:space="preserve"> </w:t>
      </w:r>
      <w:r>
        <w:rPr>
          <w:rFonts w:ascii="宋体" w:hAnsi="宋体" w:eastAsia="宋体" w:cs="宋体"/>
          <w:spacing w:val="-3"/>
          <w:sz w:val="24"/>
          <w:szCs w:val="24"/>
        </w:rPr>
        <w:t>中，在电炉生产过程中依靠电流通过时产生的焦耳热和炉内传热，自行烧结焦化。本项</w:t>
      </w:r>
      <w:r>
        <w:rPr>
          <w:rFonts w:ascii="宋体" w:hAnsi="宋体" w:eastAsia="宋体" w:cs="宋体"/>
          <w:sz w:val="24"/>
          <w:szCs w:val="24"/>
        </w:rPr>
        <w:t xml:space="preserve"> </w:t>
      </w:r>
      <w:r>
        <w:rPr>
          <w:rFonts w:ascii="宋体" w:hAnsi="宋体" w:eastAsia="宋体" w:cs="宋体"/>
          <w:spacing w:val="-1"/>
          <w:sz w:val="24"/>
          <w:szCs w:val="24"/>
        </w:rPr>
        <w:t>目直接购买电极糊成品，不在厂区内制备电极糊。</w:t>
      </w:r>
    </w:p>
    <w:p w14:paraId="6C4BD353">
      <w:pPr>
        <w:spacing w:before="32" w:line="219" w:lineRule="auto"/>
        <w:ind w:left="489"/>
        <w:rPr>
          <w:rFonts w:ascii="宋体" w:hAnsi="宋体" w:eastAsia="宋体" w:cs="宋体"/>
          <w:sz w:val="24"/>
          <w:szCs w:val="24"/>
        </w:rPr>
      </w:pPr>
      <w:r>
        <w:rPr>
          <w:rFonts w:ascii="宋体" w:hAnsi="宋体" w:eastAsia="宋体" w:cs="宋体"/>
          <w:spacing w:val="-3"/>
          <w:sz w:val="24"/>
          <w:szCs w:val="24"/>
        </w:rPr>
        <w:t>本项目在电机壳车间制备电机壳，运到电炉顶进行电机壳接长，接</w:t>
      </w:r>
      <w:r>
        <w:rPr>
          <w:rFonts w:ascii="宋体" w:hAnsi="宋体" w:eastAsia="宋体" w:cs="宋体"/>
          <w:spacing w:val="-4"/>
          <w:sz w:val="24"/>
          <w:szCs w:val="24"/>
        </w:rPr>
        <w:t>长过程要注意保</w:t>
      </w:r>
    </w:p>
    <w:p w14:paraId="21ECDEE1">
      <w:pPr>
        <w:spacing w:line="219" w:lineRule="auto"/>
        <w:rPr>
          <w:rFonts w:ascii="宋体" w:hAnsi="宋体" w:eastAsia="宋体" w:cs="宋体"/>
          <w:sz w:val="24"/>
          <w:szCs w:val="24"/>
        </w:rPr>
        <w:sectPr>
          <w:headerReference r:id="rId135" w:type="default"/>
          <w:footerReference r:id="rId136" w:type="default"/>
          <w:pgSz w:w="11850" w:h="16781"/>
          <w:pgMar w:top="1178" w:right="1352" w:bottom="1013" w:left="1417" w:header="870" w:footer="850" w:gutter="0"/>
          <w:cols w:space="720" w:num="1"/>
        </w:sectPr>
      </w:pPr>
    </w:p>
    <w:p w14:paraId="6F194562">
      <w:pPr>
        <w:pStyle w:val="2"/>
        <w:spacing w:line="274" w:lineRule="auto"/>
      </w:pPr>
      <w:r>
        <w:pict>
          <v:shape id="_x0000_s1180" o:spid="_x0000_s1180" style="position:absolute;left:0pt;margin-left:5.25pt;margin-top:0.6pt;height:0.75pt;width:450.75pt;z-index:251838464;mso-width-relative:page;mso-height-relative:page;" fillcolor="#000000" filled="t" stroked="f" coordsize="9015,15" path="m0,0l9014,0,9014,14,0,14,0,0xe">
            <v:path/>
            <v:fill on="t" focussize="0,0"/>
            <v:stroke on="f"/>
            <v:imagedata o:title=""/>
            <o:lock v:ext="edit"/>
          </v:shape>
        </w:pict>
      </w:r>
    </w:p>
    <w:p w14:paraId="5D93504B">
      <w:pPr>
        <w:spacing w:before="78" w:line="361" w:lineRule="auto"/>
        <w:ind w:left="112" w:right="103"/>
        <w:jc w:val="both"/>
        <w:rPr>
          <w:rFonts w:ascii="宋体" w:hAnsi="宋体" w:eastAsia="宋体" w:cs="宋体"/>
          <w:sz w:val="24"/>
          <w:szCs w:val="24"/>
        </w:rPr>
      </w:pPr>
      <w:r>
        <w:rPr>
          <w:rFonts w:ascii="宋体" w:hAnsi="宋体" w:eastAsia="宋体" w:cs="宋体"/>
          <w:spacing w:val="-3"/>
          <w:sz w:val="24"/>
          <w:szCs w:val="24"/>
        </w:rPr>
        <w:t>证电极的垂直度，电极壳的钢板接缝必须满焊，焊缝应连续密实、平整均匀。筋片要焊</w:t>
      </w:r>
      <w:r>
        <w:rPr>
          <w:rFonts w:ascii="宋体" w:hAnsi="宋体" w:eastAsia="宋体" w:cs="宋体"/>
          <w:sz w:val="24"/>
          <w:szCs w:val="24"/>
        </w:rPr>
        <w:t xml:space="preserve"> </w:t>
      </w:r>
      <w:r>
        <w:rPr>
          <w:rFonts w:ascii="宋体" w:hAnsi="宋体" w:eastAsia="宋体" w:cs="宋体"/>
          <w:spacing w:val="-3"/>
          <w:sz w:val="24"/>
          <w:szCs w:val="24"/>
        </w:rPr>
        <w:t>牢，上下筋片焊接成一体。电极糊的添加要与电极的消耗量相适应。维持电极糊柱的高</w:t>
      </w:r>
      <w:r>
        <w:rPr>
          <w:rFonts w:ascii="宋体" w:hAnsi="宋体" w:eastAsia="宋体" w:cs="宋体"/>
          <w:spacing w:val="1"/>
          <w:sz w:val="24"/>
          <w:szCs w:val="24"/>
        </w:rPr>
        <w:t xml:space="preserve"> </w:t>
      </w:r>
      <w:r>
        <w:rPr>
          <w:rFonts w:ascii="宋体" w:hAnsi="宋体" w:eastAsia="宋体" w:cs="宋体"/>
          <w:spacing w:val="-3"/>
          <w:sz w:val="24"/>
          <w:szCs w:val="24"/>
        </w:rPr>
        <w:t>度，使电极焙烧带的电极糊具有一定的压力，以增加液态电极糊的致密程度，从而提高</w:t>
      </w:r>
      <w:r>
        <w:rPr>
          <w:rFonts w:ascii="宋体" w:hAnsi="宋体" w:eastAsia="宋体" w:cs="宋体"/>
          <w:spacing w:val="1"/>
          <w:sz w:val="24"/>
          <w:szCs w:val="24"/>
        </w:rPr>
        <w:t xml:space="preserve"> </w:t>
      </w:r>
      <w:r>
        <w:rPr>
          <w:rFonts w:ascii="宋体" w:hAnsi="宋体" w:eastAsia="宋体" w:cs="宋体"/>
          <w:spacing w:val="-2"/>
          <w:sz w:val="24"/>
          <w:szCs w:val="24"/>
        </w:rPr>
        <w:t>烧成电极的强度。</w:t>
      </w:r>
    </w:p>
    <w:p w14:paraId="4A48F7E5">
      <w:pPr>
        <w:spacing w:before="33" w:line="220" w:lineRule="auto"/>
        <w:ind w:left="109"/>
        <w:outlineLvl w:val="3"/>
        <w:rPr>
          <w:rFonts w:ascii="宋体" w:hAnsi="宋体" w:eastAsia="宋体" w:cs="宋体"/>
          <w:sz w:val="24"/>
          <w:szCs w:val="24"/>
        </w:rPr>
      </w:pPr>
      <w:r>
        <w:fldChar w:fldCharType="begin"/>
      </w:r>
      <w:r>
        <w:instrText xml:space="preserve"> HYPERLINK "2.2.5.7" </w:instrText>
      </w:r>
      <w:r>
        <w:fldChar w:fldCharType="separate"/>
      </w:r>
      <w:r>
        <w:rPr>
          <w:rFonts w:ascii="Times New Roman" w:hAnsi="Times New Roman" w:eastAsia="Times New Roman" w:cs="Times New Roman"/>
          <w:b/>
          <w:bCs/>
          <w:spacing w:val="-1"/>
          <w:sz w:val="24"/>
          <w:szCs w:val="24"/>
        </w:rPr>
        <w:t>2.2.5.7</w:t>
      </w:r>
      <w:r>
        <w:rPr>
          <w:rFonts w:ascii="Times New Roman" w:hAnsi="Times New Roman" w:eastAsia="Times New Roman" w:cs="Times New Roman"/>
          <w:b/>
          <w:bCs/>
          <w:spacing w:val="-1"/>
          <w:sz w:val="24"/>
          <w:szCs w:val="24"/>
        </w:rPr>
        <w:fldChar w:fldCharType="end"/>
      </w:r>
      <w:r>
        <w:rPr>
          <w:rFonts w:ascii="Times New Roman" w:hAnsi="Times New Roman" w:eastAsia="Times New Roman" w:cs="Times New Roman"/>
          <w:b/>
          <w:bCs/>
          <w:spacing w:val="-1"/>
          <w:sz w:val="24"/>
          <w:szCs w:val="24"/>
        </w:rPr>
        <w:t xml:space="preserve"> </w:t>
      </w:r>
      <w:r>
        <w:rPr>
          <w:rFonts w:ascii="宋体" w:hAnsi="宋体" w:eastAsia="宋体" w:cs="宋体"/>
          <w:b/>
          <w:bCs/>
          <w:spacing w:val="-1"/>
          <w:sz w:val="24"/>
          <w:szCs w:val="24"/>
        </w:rPr>
        <w:t>煤气柜</w:t>
      </w:r>
    </w:p>
    <w:p w14:paraId="0D0C3AA5">
      <w:pPr>
        <w:spacing w:before="192" w:line="358" w:lineRule="auto"/>
        <w:ind w:left="114" w:right="103" w:firstLine="507"/>
        <w:rPr>
          <w:rFonts w:ascii="宋体" w:hAnsi="宋体" w:eastAsia="宋体" w:cs="宋体"/>
          <w:sz w:val="24"/>
          <w:szCs w:val="24"/>
        </w:rPr>
      </w:pPr>
      <w:r>
        <w:rPr>
          <w:rFonts w:ascii="宋体" w:hAnsi="宋体" w:eastAsia="宋体" w:cs="宋体"/>
          <w:spacing w:val="-4"/>
          <w:sz w:val="24"/>
          <w:szCs w:val="24"/>
        </w:rPr>
        <w:t>电炉煤气为连续回收，保证下游用户在使用过程中气量、气压平稳，不出现大的波</w:t>
      </w:r>
      <w:r>
        <w:rPr>
          <w:rFonts w:ascii="宋体" w:hAnsi="宋体" w:eastAsia="宋体" w:cs="宋体"/>
          <w:spacing w:val="2"/>
          <w:sz w:val="24"/>
          <w:szCs w:val="24"/>
        </w:rPr>
        <w:t xml:space="preserve"> </w:t>
      </w:r>
      <w:r>
        <w:rPr>
          <w:rFonts w:ascii="宋体" w:hAnsi="宋体" w:eastAsia="宋体" w:cs="宋体"/>
          <w:spacing w:val="-2"/>
          <w:sz w:val="24"/>
          <w:szCs w:val="24"/>
        </w:rPr>
        <w:t>动，需设一座煤气柜，以起到煤气的稳压、调节、混合、储存的作用。</w:t>
      </w:r>
      <w:r>
        <w:rPr>
          <w:rFonts w:ascii="宋体" w:hAnsi="宋体" w:eastAsia="宋体" w:cs="宋体"/>
          <w:spacing w:val="-3"/>
          <w:sz w:val="24"/>
          <w:szCs w:val="24"/>
        </w:rPr>
        <w:t>本项目拟设置</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z w:val="24"/>
          <w:szCs w:val="24"/>
        </w:rPr>
        <w:t xml:space="preserve"> </w:t>
      </w:r>
      <w:r>
        <w:rPr>
          <w:rFonts w:ascii="宋体" w:hAnsi="宋体" w:eastAsia="宋体" w:cs="宋体"/>
          <w:spacing w:val="-2"/>
          <w:sz w:val="24"/>
          <w:szCs w:val="24"/>
        </w:rPr>
        <w:t>台橡胶帘干式煤气柜。</w:t>
      </w:r>
    </w:p>
    <w:p w14:paraId="4A049356">
      <w:pPr>
        <w:spacing w:before="33" w:line="220" w:lineRule="auto"/>
        <w:ind w:left="604"/>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）煤气柜选址合理性分析</w:t>
      </w:r>
    </w:p>
    <w:p w14:paraId="4643CBFA">
      <w:pPr>
        <w:spacing w:before="191" w:line="354" w:lineRule="auto"/>
        <w:ind w:left="116" w:right="105" w:firstLine="477"/>
        <w:rPr>
          <w:rFonts w:ascii="宋体" w:hAnsi="宋体" w:eastAsia="宋体" w:cs="宋体"/>
          <w:sz w:val="24"/>
          <w:szCs w:val="24"/>
        </w:rPr>
      </w:pPr>
      <w:r>
        <w:rPr>
          <w:rFonts w:ascii="宋体" w:hAnsi="宋体" w:eastAsia="宋体" w:cs="宋体"/>
          <w:spacing w:val="1"/>
          <w:sz w:val="24"/>
          <w:szCs w:val="24"/>
        </w:rPr>
        <w:t>根据《工业企业干式煤气柜安全技术规范》（</w:t>
      </w:r>
      <w:r>
        <w:rPr>
          <w:rFonts w:ascii="Times New Roman" w:hAnsi="Times New Roman" w:eastAsia="Times New Roman" w:cs="Times New Roman"/>
          <w:sz w:val="24"/>
          <w:szCs w:val="24"/>
        </w:rPr>
        <w:t>GB</w:t>
      </w:r>
      <w:r>
        <w:rPr>
          <w:rFonts w:ascii="Times New Roman" w:hAnsi="Times New Roman" w:eastAsia="Times New Roman" w:cs="Times New Roman"/>
          <w:spacing w:val="1"/>
          <w:sz w:val="24"/>
          <w:szCs w:val="24"/>
        </w:rPr>
        <w:t>51066-2014</w:t>
      </w:r>
      <w:r>
        <w:rPr>
          <w:rFonts w:ascii="宋体" w:hAnsi="宋体" w:eastAsia="宋体" w:cs="宋体"/>
          <w:spacing w:val="16"/>
          <w:sz w:val="24"/>
          <w:szCs w:val="24"/>
        </w:rPr>
        <w:t>），</w:t>
      </w:r>
      <w:r>
        <w:rPr>
          <w:rFonts w:ascii="宋体" w:hAnsi="宋体" w:eastAsia="宋体" w:cs="宋体"/>
          <w:spacing w:val="1"/>
          <w:sz w:val="24"/>
          <w:szCs w:val="24"/>
        </w:rPr>
        <w:t xml:space="preserve">煤气柜选址合理 </w:t>
      </w:r>
      <w:r>
        <w:rPr>
          <w:rFonts w:ascii="宋体" w:hAnsi="宋体" w:eastAsia="宋体" w:cs="宋体"/>
          <w:spacing w:val="-2"/>
          <w:sz w:val="24"/>
          <w:szCs w:val="24"/>
        </w:rPr>
        <w:t>性分析见表</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2.2-3</w:t>
      </w:r>
      <w:r>
        <w:rPr>
          <w:rFonts w:ascii="宋体" w:hAnsi="宋体" w:eastAsia="宋体" w:cs="宋体"/>
          <w:spacing w:val="-2"/>
          <w:sz w:val="24"/>
          <w:szCs w:val="24"/>
        </w:rPr>
        <w:t>。</w:t>
      </w:r>
    </w:p>
    <w:p w14:paraId="59A49D01">
      <w:pPr>
        <w:spacing w:before="49" w:line="228" w:lineRule="auto"/>
        <w:ind w:left="3005"/>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43"/>
          <w:sz w:val="20"/>
          <w:szCs w:val="20"/>
        </w:rPr>
        <w:t xml:space="preserve"> </w:t>
      </w:r>
      <w:r>
        <w:rPr>
          <w:rFonts w:ascii="Times New Roman" w:hAnsi="Times New Roman" w:eastAsia="Times New Roman" w:cs="Times New Roman"/>
          <w:b/>
          <w:bCs/>
          <w:spacing w:val="5"/>
          <w:sz w:val="20"/>
          <w:szCs w:val="20"/>
        </w:rPr>
        <w:t xml:space="preserve">2.2-3        </w:t>
      </w:r>
      <w:r>
        <w:rPr>
          <w:rFonts w:ascii="宋体" w:hAnsi="宋体" w:eastAsia="宋体" w:cs="宋体"/>
          <w:b/>
          <w:bCs/>
          <w:spacing w:val="5"/>
          <w:sz w:val="20"/>
          <w:szCs w:val="20"/>
        </w:rPr>
        <w:t>煤气柜选址合理性分析</w:t>
      </w:r>
    </w:p>
    <w:p w14:paraId="61C80731">
      <w:pPr>
        <w:spacing w:line="95" w:lineRule="exact"/>
      </w:pPr>
    </w:p>
    <w:tbl>
      <w:tblPr>
        <w:tblStyle w:val="5"/>
        <w:tblW w:w="922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56"/>
        <w:gridCol w:w="3604"/>
        <w:gridCol w:w="1063"/>
      </w:tblGrid>
      <w:tr w14:paraId="04B972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4556" w:type="dxa"/>
            <w:tcBorders>
              <w:top w:val="single" w:color="000000" w:sz="10" w:space="0"/>
              <w:left w:val="nil"/>
            </w:tcBorders>
            <w:vAlign w:val="top"/>
          </w:tcPr>
          <w:p w14:paraId="73635B74">
            <w:pPr>
              <w:pStyle w:val="6"/>
              <w:spacing w:before="35" w:line="216" w:lineRule="auto"/>
              <w:ind w:left="287"/>
              <w:rPr>
                <w:sz w:val="20"/>
                <w:szCs w:val="20"/>
              </w:rPr>
            </w:pPr>
            <w:r>
              <w:rPr>
                <w:b/>
                <w:bCs/>
                <w:spacing w:val="7"/>
                <w:sz w:val="20"/>
                <w:szCs w:val="20"/>
              </w:rPr>
              <w:t>《工业企业干式煤气柜安全技术规范》要求</w:t>
            </w:r>
          </w:p>
        </w:tc>
        <w:tc>
          <w:tcPr>
            <w:tcW w:w="3604" w:type="dxa"/>
            <w:tcBorders>
              <w:top w:val="single" w:color="000000" w:sz="10" w:space="0"/>
            </w:tcBorders>
            <w:vAlign w:val="top"/>
          </w:tcPr>
          <w:p w14:paraId="45B32026">
            <w:pPr>
              <w:pStyle w:val="6"/>
              <w:spacing w:before="35" w:line="216" w:lineRule="auto"/>
              <w:ind w:left="966"/>
              <w:rPr>
                <w:sz w:val="20"/>
                <w:szCs w:val="20"/>
              </w:rPr>
            </w:pPr>
            <w:r>
              <w:rPr>
                <w:b/>
                <w:bCs/>
                <w:spacing w:val="7"/>
                <w:sz w:val="20"/>
                <w:szCs w:val="20"/>
              </w:rPr>
              <w:t>本项目煤气柜选址</w:t>
            </w:r>
          </w:p>
        </w:tc>
        <w:tc>
          <w:tcPr>
            <w:tcW w:w="1063" w:type="dxa"/>
            <w:tcBorders>
              <w:top w:val="single" w:color="000000" w:sz="10" w:space="0"/>
              <w:right w:val="nil"/>
            </w:tcBorders>
            <w:vAlign w:val="top"/>
          </w:tcPr>
          <w:p w14:paraId="3611120B">
            <w:pPr>
              <w:pStyle w:val="6"/>
              <w:spacing w:before="35" w:line="216" w:lineRule="auto"/>
              <w:ind w:left="120"/>
              <w:rPr>
                <w:sz w:val="20"/>
                <w:szCs w:val="20"/>
              </w:rPr>
            </w:pPr>
            <w:r>
              <w:rPr>
                <w:b/>
                <w:bCs/>
                <w:spacing w:val="5"/>
                <w:sz w:val="20"/>
                <w:szCs w:val="20"/>
              </w:rPr>
              <w:t>是否合理</w:t>
            </w:r>
          </w:p>
        </w:tc>
      </w:tr>
      <w:tr w14:paraId="3CDDD5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6" w:hRule="atLeast"/>
        </w:trPr>
        <w:tc>
          <w:tcPr>
            <w:tcW w:w="4556" w:type="dxa"/>
            <w:tcBorders>
              <w:left w:val="nil"/>
            </w:tcBorders>
            <w:vAlign w:val="top"/>
          </w:tcPr>
          <w:p w14:paraId="56B3A068">
            <w:pPr>
              <w:pStyle w:val="6"/>
              <w:spacing w:before="168" w:line="227" w:lineRule="auto"/>
              <w:ind w:left="133"/>
              <w:rPr>
                <w:sz w:val="20"/>
                <w:szCs w:val="20"/>
              </w:rPr>
            </w:pPr>
            <w:r>
              <w:rPr>
                <w:rFonts w:ascii="Times New Roman" w:hAnsi="Times New Roman" w:eastAsia="Times New Roman" w:cs="Times New Roman"/>
                <w:spacing w:val="4"/>
                <w:sz w:val="20"/>
                <w:szCs w:val="20"/>
              </w:rPr>
              <w:t>1.</w:t>
            </w:r>
            <w:r>
              <w:rPr>
                <w:spacing w:val="4"/>
                <w:sz w:val="20"/>
                <w:szCs w:val="20"/>
              </w:rPr>
              <w:t>远离烟囱布置</w:t>
            </w:r>
          </w:p>
        </w:tc>
        <w:tc>
          <w:tcPr>
            <w:tcW w:w="3604" w:type="dxa"/>
            <w:vAlign w:val="top"/>
          </w:tcPr>
          <w:p w14:paraId="2F5BFD0C">
            <w:pPr>
              <w:pStyle w:val="6"/>
              <w:spacing w:before="35" w:line="231" w:lineRule="auto"/>
              <w:ind w:left="113" w:right="104"/>
              <w:rPr>
                <w:sz w:val="20"/>
                <w:szCs w:val="20"/>
              </w:rPr>
            </w:pPr>
            <w:r>
              <w:rPr>
                <w:spacing w:val="8"/>
                <w:sz w:val="20"/>
                <w:szCs w:val="20"/>
              </w:rPr>
              <w:t>本项目煤气柜周边</w:t>
            </w:r>
            <w:r>
              <w:rPr>
                <w:spacing w:val="-5"/>
                <w:sz w:val="20"/>
                <w:szCs w:val="20"/>
              </w:rPr>
              <w:t xml:space="preserve"> </w:t>
            </w:r>
            <w:r>
              <w:rPr>
                <w:rFonts w:ascii="Times New Roman" w:hAnsi="Times New Roman" w:eastAsia="Times New Roman" w:cs="Times New Roman"/>
                <w:spacing w:val="8"/>
                <w:sz w:val="20"/>
                <w:szCs w:val="20"/>
              </w:rPr>
              <w:t>100m</w:t>
            </w:r>
            <w:r>
              <w:rPr>
                <w:rFonts w:ascii="Times New Roman" w:hAnsi="Times New Roman" w:eastAsia="Times New Roman" w:cs="Times New Roman"/>
                <w:spacing w:val="42"/>
                <w:sz w:val="20"/>
                <w:szCs w:val="20"/>
              </w:rPr>
              <w:t xml:space="preserve"> </w:t>
            </w:r>
            <w:r>
              <w:rPr>
                <w:spacing w:val="8"/>
                <w:sz w:val="20"/>
                <w:szCs w:val="20"/>
              </w:rPr>
              <w:t>内仅有常温</w:t>
            </w:r>
            <w:r>
              <w:rPr>
                <w:sz w:val="20"/>
                <w:szCs w:val="20"/>
              </w:rPr>
              <w:t xml:space="preserve"> </w:t>
            </w:r>
            <w:r>
              <w:rPr>
                <w:spacing w:val="8"/>
                <w:sz w:val="20"/>
                <w:szCs w:val="20"/>
              </w:rPr>
              <w:t>排放的排气筒</w:t>
            </w:r>
          </w:p>
        </w:tc>
        <w:tc>
          <w:tcPr>
            <w:tcW w:w="1063" w:type="dxa"/>
            <w:tcBorders>
              <w:right w:val="nil"/>
            </w:tcBorders>
            <w:vAlign w:val="top"/>
          </w:tcPr>
          <w:p w14:paraId="5EA018CC">
            <w:pPr>
              <w:pStyle w:val="6"/>
              <w:spacing w:before="169" w:line="231" w:lineRule="auto"/>
              <w:ind w:left="328"/>
              <w:rPr>
                <w:sz w:val="20"/>
                <w:szCs w:val="20"/>
              </w:rPr>
            </w:pPr>
            <w:r>
              <w:rPr>
                <w:spacing w:val="4"/>
                <w:sz w:val="20"/>
                <w:szCs w:val="20"/>
              </w:rPr>
              <w:t>合理</w:t>
            </w:r>
          </w:p>
        </w:tc>
      </w:tr>
      <w:tr w14:paraId="33076B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4556" w:type="dxa"/>
            <w:tcBorders>
              <w:left w:val="nil"/>
            </w:tcBorders>
            <w:vAlign w:val="top"/>
          </w:tcPr>
          <w:p w14:paraId="1882BAA4">
            <w:pPr>
              <w:pStyle w:val="6"/>
              <w:spacing w:before="38" w:line="209" w:lineRule="auto"/>
              <w:ind w:left="113"/>
              <w:rPr>
                <w:sz w:val="20"/>
                <w:szCs w:val="20"/>
              </w:rPr>
            </w:pPr>
            <w:r>
              <w:rPr>
                <w:rFonts w:ascii="Times New Roman" w:hAnsi="Times New Roman" w:eastAsia="Times New Roman" w:cs="Times New Roman"/>
                <w:spacing w:val="8"/>
                <w:sz w:val="20"/>
                <w:szCs w:val="20"/>
              </w:rPr>
              <w:t>2.</w:t>
            </w:r>
            <w:r>
              <w:rPr>
                <w:spacing w:val="8"/>
                <w:sz w:val="20"/>
                <w:szCs w:val="20"/>
              </w:rPr>
              <w:t>符合国家和当地政府的机场空域规划</w:t>
            </w:r>
          </w:p>
        </w:tc>
        <w:tc>
          <w:tcPr>
            <w:tcW w:w="3604" w:type="dxa"/>
            <w:vAlign w:val="top"/>
          </w:tcPr>
          <w:p w14:paraId="10B768EB">
            <w:pPr>
              <w:pStyle w:val="6"/>
              <w:spacing w:before="38" w:line="209" w:lineRule="auto"/>
              <w:ind w:left="114"/>
              <w:rPr>
                <w:sz w:val="20"/>
                <w:szCs w:val="20"/>
              </w:rPr>
            </w:pPr>
            <w:r>
              <w:rPr>
                <w:spacing w:val="8"/>
                <w:sz w:val="20"/>
                <w:szCs w:val="20"/>
              </w:rPr>
              <w:t>本项目周边无机场</w:t>
            </w:r>
          </w:p>
        </w:tc>
        <w:tc>
          <w:tcPr>
            <w:tcW w:w="1063" w:type="dxa"/>
            <w:tcBorders>
              <w:right w:val="nil"/>
            </w:tcBorders>
            <w:vAlign w:val="top"/>
          </w:tcPr>
          <w:p w14:paraId="28EA0F8D">
            <w:pPr>
              <w:pStyle w:val="6"/>
              <w:spacing w:before="38" w:line="209" w:lineRule="auto"/>
              <w:ind w:left="328"/>
              <w:rPr>
                <w:sz w:val="20"/>
                <w:szCs w:val="20"/>
              </w:rPr>
            </w:pPr>
            <w:r>
              <w:rPr>
                <w:spacing w:val="4"/>
                <w:sz w:val="20"/>
                <w:szCs w:val="20"/>
              </w:rPr>
              <w:t>合理</w:t>
            </w:r>
          </w:p>
        </w:tc>
      </w:tr>
      <w:tr w14:paraId="7375FB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57" w:hRule="atLeast"/>
        </w:trPr>
        <w:tc>
          <w:tcPr>
            <w:tcW w:w="4556" w:type="dxa"/>
            <w:tcBorders>
              <w:left w:val="nil"/>
            </w:tcBorders>
            <w:vAlign w:val="top"/>
          </w:tcPr>
          <w:p w14:paraId="63242C62">
            <w:pPr>
              <w:pStyle w:val="6"/>
              <w:spacing w:before="41" w:line="241" w:lineRule="auto"/>
              <w:ind w:left="119" w:right="101" w:hanging="2"/>
              <w:jc w:val="both"/>
              <w:rPr>
                <w:sz w:val="20"/>
                <w:szCs w:val="20"/>
              </w:rPr>
            </w:pPr>
            <w:r>
              <w:rPr>
                <w:rFonts w:ascii="Times New Roman" w:hAnsi="Times New Roman" w:eastAsia="Times New Roman" w:cs="Times New Roman"/>
                <w:spacing w:val="8"/>
                <w:sz w:val="20"/>
                <w:szCs w:val="20"/>
              </w:rPr>
              <w:t>3.</w:t>
            </w:r>
            <w:r>
              <w:rPr>
                <w:spacing w:val="8"/>
                <w:sz w:val="20"/>
                <w:szCs w:val="20"/>
              </w:rPr>
              <w:t>符合现行国家标准《工业企业煤气安全规程》</w:t>
            </w:r>
            <w:r>
              <w:rPr>
                <w:spacing w:val="7"/>
                <w:sz w:val="20"/>
                <w:szCs w:val="20"/>
              </w:rPr>
              <w:t xml:space="preserve"> </w:t>
            </w:r>
            <w:r>
              <w:rPr>
                <w:spacing w:val="9"/>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9"/>
                <w:sz w:val="20"/>
                <w:szCs w:val="20"/>
              </w:rPr>
              <w:t>6222</w:t>
            </w:r>
            <w:r>
              <w:rPr>
                <w:spacing w:val="9"/>
                <w:sz w:val="20"/>
                <w:szCs w:val="20"/>
              </w:rPr>
              <w:t>）</w:t>
            </w:r>
            <w:r>
              <w:rPr>
                <w:spacing w:val="-42"/>
                <w:sz w:val="20"/>
                <w:szCs w:val="20"/>
              </w:rPr>
              <w:t xml:space="preserve"> </w:t>
            </w:r>
            <w:r>
              <w:rPr>
                <w:spacing w:val="9"/>
                <w:sz w:val="20"/>
                <w:szCs w:val="20"/>
              </w:rPr>
              <w:t>的有关规定：新建干式煤气柜不应</w:t>
            </w:r>
            <w:r>
              <w:rPr>
                <w:sz w:val="20"/>
                <w:szCs w:val="20"/>
              </w:rPr>
              <w:t xml:space="preserve"> </w:t>
            </w:r>
            <w:r>
              <w:rPr>
                <w:spacing w:val="6"/>
                <w:sz w:val="20"/>
                <w:szCs w:val="20"/>
              </w:rPr>
              <w:t>建设在居民稠密区，应远离大型建筑、仓库、通</w:t>
            </w:r>
            <w:r>
              <w:rPr>
                <w:spacing w:val="1"/>
                <w:sz w:val="20"/>
                <w:szCs w:val="20"/>
              </w:rPr>
              <w:t xml:space="preserve"> </w:t>
            </w:r>
            <w:r>
              <w:rPr>
                <w:spacing w:val="6"/>
                <w:sz w:val="20"/>
                <w:szCs w:val="20"/>
              </w:rPr>
              <w:t>讯和交通枢纽等重要设施，并应布置在通风良好</w:t>
            </w:r>
            <w:r>
              <w:rPr>
                <w:spacing w:val="1"/>
                <w:sz w:val="20"/>
                <w:szCs w:val="20"/>
              </w:rPr>
              <w:t xml:space="preserve"> </w:t>
            </w:r>
            <w:r>
              <w:rPr>
                <w:spacing w:val="6"/>
                <w:sz w:val="20"/>
                <w:szCs w:val="20"/>
              </w:rPr>
              <w:t>的地方</w:t>
            </w:r>
          </w:p>
        </w:tc>
        <w:tc>
          <w:tcPr>
            <w:tcW w:w="3604" w:type="dxa"/>
            <w:vAlign w:val="top"/>
          </w:tcPr>
          <w:p w14:paraId="1B6DDB81">
            <w:pPr>
              <w:pStyle w:val="6"/>
              <w:spacing w:before="176" w:line="245" w:lineRule="auto"/>
              <w:ind w:left="112" w:right="107" w:firstLine="1"/>
              <w:jc w:val="both"/>
              <w:rPr>
                <w:sz w:val="20"/>
                <w:szCs w:val="20"/>
              </w:rPr>
            </w:pPr>
            <w:r>
              <w:rPr>
                <w:spacing w:val="11"/>
                <w:sz w:val="20"/>
                <w:szCs w:val="20"/>
              </w:rPr>
              <w:t>本项目煤气柜周边无居民稠密区，周</w:t>
            </w:r>
            <w:r>
              <w:rPr>
                <w:sz w:val="20"/>
                <w:szCs w:val="20"/>
              </w:rPr>
              <w:t xml:space="preserve"> </w:t>
            </w:r>
            <w:r>
              <w:rPr>
                <w:spacing w:val="11"/>
                <w:sz w:val="20"/>
                <w:szCs w:val="20"/>
              </w:rPr>
              <w:t>边无大型建筑、仓库、通讯和交通枢</w:t>
            </w:r>
            <w:r>
              <w:rPr>
                <w:spacing w:val="2"/>
                <w:sz w:val="20"/>
                <w:szCs w:val="20"/>
              </w:rPr>
              <w:t xml:space="preserve"> </w:t>
            </w:r>
            <w:r>
              <w:rPr>
                <w:spacing w:val="11"/>
                <w:sz w:val="20"/>
                <w:szCs w:val="20"/>
              </w:rPr>
              <w:t>纽等重要设施，项目周边空旷，通风</w:t>
            </w:r>
            <w:r>
              <w:rPr>
                <w:spacing w:val="2"/>
                <w:sz w:val="20"/>
                <w:szCs w:val="20"/>
              </w:rPr>
              <w:t xml:space="preserve"> </w:t>
            </w:r>
            <w:r>
              <w:rPr>
                <w:spacing w:val="5"/>
                <w:sz w:val="20"/>
                <w:szCs w:val="20"/>
              </w:rPr>
              <w:t>良好</w:t>
            </w:r>
          </w:p>
        </w:tc>
        <w:tc>
          <w:tcPr>
            <w:tcW w:w="1063" w:type="dxa"/>
            <w:tcBorders>
              <w:right w:val="nil"/>
            </w:tcBorders>
            <w:vAlign w:val="top"/>
          </w:tcPr>
          <w:p w14:paraId="35641196">
            <w:pPr>
              <w:spacing w:line="257" w:lineRule="auto"/>
              <w:rPr>
                <w:rFonts w:ascii="Arial"/>
                <w:sz w:val="21"/>
              </w:rPr>
            </w:pPr>
          </w:p>
          <w:p w14:paraId="2676C0A9">
            <w:pPr>
              <w:spacing w:line="258" w:lineRule="auto"/>
              <w:rPr>
                <w:rFonts w:ascii="Arial"/>
                <w:sz w:val="21"/>
              </w:rPr>
            </w:pPr>
          </w:p>
          <w:p w14:paraId="4310A02E">
            <w:pPr>
              <w:pStyle w:val="6"/>
              <w:spacing w:before="65" w:line="231" w:lineRule="auto"/>
              <w:ind w:left="328"/>
              <w:rPr>
                <w:sz w:val="20"/>
                <w:szCs w:val="20"/>
              </w:rPr>
            </w:pPr>
            <w:r>
              <w:rPr>
                <w:spacing w:val="4"/>
                <w:sz w:val="20"/>
                <w:szCs w:val="20"/>
              </w:rPr>
              <w:t>合理</w:t>
            </w:r>
          </w:p>
        </w:tc>
      </w:tr>
      <w:tr w14:paraId="12C05C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9" w:hRule="atLeast"/>
        </w:trPr>
        <w:tc>
          <w:tcPr>
            <w:tcW w:w="4556" w:type="dxa"/>
            <w:tcBorders>
              <w:left w:val="nil"/>
              <w:bottom w:val="single" w:color="000000" w:sz="10" w:space="0"/>
            </w:tcBorders>
            <w:vAlign w:val="top"/>
          </w:tcPr>
          <w:p w14:paraId="09D5D0C7">
            <w:pPr>
              <w:pStyle w:val="6"/>
              <w:spacing w:before="186" w:line="239" w:lineRule="auto"/>
              <w:ind w:left="116" w:right="107" w:hanging="4"/>
              <w:rPr>
                <w:sz w:val="20"/>
                <w:szCs w:val="20"/>
              </w:rPr>
            </w:pPr>
            <w:r>
              <w:rPr>
                <w:rFonts w:ascii="Times New Roman" w:hAnsi="Times New Roman" w:eastAsia="Times New Roman" w:cs="Times New Roman"/>
                <w:spacing w:val="18"/>
                <w:sz w:val="20"/>
                <w:szCs w:val="20"/>
              </w:rPr>
              <w:t>4.</w:t>
            </w:r>
            <w:r>
              <w:rPr>
                <w:spacing w:val="18"/>
                <w:sz w:val="20"/>
                <w:szCs w:val="20"/>
              </w:rPr>
              <w:t>符合国家和当地政府对危险化学品的相关安</w:t>
            </w:r>
            <w:r>
              <w:rPr>
                <w:spacing w:val="4"/>
                <w:sz w:val="20"/>
                <w:szCs w:val="20"/>
              </w:rPr>
              <w:t xml:space="preserve"> </w:t>
            </w:r>
            <w:r>
              <w:rPr>
                <w:spacing w:val="8"/>
                <w:sz w:val="20"/>
                <w:szCs w:val="20"/>
              </w:rPr>
              <w:t>全管理规定</w:t>
            </w:r>
          </w:p>
        </w:tc>
        <w:tc>
          <w:tcPr>
            <w:tcW w:w="3604" w:type="dxa"/>
            <w:tcBorders>
              <w:bottom w:val="single" w:color="000000" w:sz="10" w:space="0"/>
            </w:tcBorders>
            <w:vAlign w:val="top"/>
          </w:tcPr>
          <w:p w14:paraId="1468B8A8">
            <w:pPr>
              <w:pStyle w:val="6"/>
              <w:spacing w:before="49"/>
              <w:ind w:left="113" w:right="107"/>
              <w:jc w:val="both"/>
              <w:rPr>
                <w:sz w:val="20"/>
                <w:szCs w:val="20"/>
              </w:rPr>
            </w:pPr>
            <w:r>
              <w:rPr>
                <w:spacing w:val="11"/>
                <w:sz w:val="20"/>
                <w:szCs w:val="20"/>
              </w:rPr>
              <w:t>本项目煤气柜建设严格按国家和苏尼</w:t>
            </w:r>
            <w:r>
              <w:rPr>
                <w:sz w:val="20"/>
                <w:szCs w:val="20"/>
              </w:rPr>
              <w:t xml:space="preserve"> </w:t>
            </w:r>
            <w:r>
              <w:rPr>
                <w:spacing w:val="11"/>
                <w:sz w:val="20"/>
                <w:szCs w:val="20"/>
              </w:rPr>
              <w:t>特右旗当地对危险化学品的相关安全</w:t>
            </w:r>
            <w:r>
              <w:rPr>
                <w:spacing w:val="1"/>
                <w:sz w:val="20"/>
                <w:szCs w:val="20"/>
              </w:rPr>
              <w:t xml:space="preserve"> </w:t>
            </w:r>
            <w:r>
              <w:rPr>
                <w:spacing w:val="8"/>
                <w:sz w:val="20"/>
                <w:szCs w:val="20"/>
              </w:rPr>
              <w:t>管理规定建设</w:t>
            </w:r>
          </w:p>
        </w:tc>
        <w:tc>
          <w:tcPr>
            <w:tcW w:w="1063" w:type="dxa"/>
            <w:tcBorders>
              <w:bottom w:val="single" w:color="000000" w:sz="10" w:space="0"/>
              <w:right w:val="nil"/>
            </w:tcBorders>
            <w:vAlign w:val="top"/>
          </w:tcPr>
          <w:p w14:paraId="1FB73957">
            <w:pPr>
              <w:spacing w:line="256" w:lineRule="auto"/>
              <w:rPr>
                <w:rFonts w:ascii="Arial"/>
                <w:sz w:val="21"/>
              </w:rPr>
            </w:pPr>
          </w:p>
          <w:p w14:paraId="5F0913D3">
            <w:pPr>
              <w:pStyle w:val="6"/>
              <w:spacing w:before="65" w:line="231" w:lineRule="auto"/>
              <w:ind w:left="328"/>
              <w:rPr>
                <w:sz w:val="20"/>
                <w:szCs w:val="20"/>
              </w:rPr>
            </w:pPr>
            <w:r>
              <w:rPr>
                <w:spacing w:val="4"/>
                <w:sz w:val="20"/>
                <w:szCs w:val="20"/>
              </w:rPr>
              <w:t>合理</w:t>
            </w:r>
          </w:p>
        </w:tc>
      </w:tr>
    </w:tbl>
    <w:p w14:paraId="303DA3A0">
      <w:pPr>
        <w:spacing w:before="122" w:line="352" w:lineRule="auto"/>
        <w:ind w:left="604" w:right="5079" w:hanging="11"/>
        <w:rPr>
          <w:rFonts w:ascii="宋体" w:hAnsi="宋体" w:eastAsia="宋体" w:cs="宋体"/>
          <w:sz w:val="24"/>
          <w:szCs w:val="24"/>
        </w:rPr>
      </w:pPr>
      <w:r>
        <w:rPr>
          <w:rFonts w:ascii="宋体" w:hAnsi="宋体" w:eastAsia="宋体" w:cs="宋体"/>
          <w:spacing w:val="-4"/>
          <w:sz w:val="24"/>
          <w:szCs w:val="24"/>
        </w:rPr>
        <w:t>根据分析本项目煤气柜选址合理。</w:t>
      </w:r>
      <w:r>
        <w:rPr>
          <w:rFonts w:ascii="宋体" w:hAnsi="宋体" w:eastAsia="宋体" w:cs="宋体"/>
          <w:spacing w:val="9"/>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）煤气柜主要技术参数</w:t>
      </w:r>
    </w:p>
    <w:p w14:paraId="5175F803">
      <w:pPr>
        <w:spacing w:before="37" w:line="219" w:lineRule="auto"/>
        <w:ind w:left="594"/>
        <w:rPr>
          <w:rFonts w:ascii="宋体" w:hAnsi="宋体" w:eastAsia="宋体" w:cs="宋体"/>
          <w:sz w:val="24"/>
          <w:szCs w:val="24"/>
        </w:rPr>
      </w:pPr>
      <w:r>
        <w:rPr>
          <w:rFonts w:ascii="宋体" w:hAnsi="宋体" w:eastAsia="宋体" w:cs="宋体"/>
          <w:spacing w:val="-1"/>
          <w:sz w:val="24"/>
          <w:szCs w:val="24"/>
        </w:rPr>
        <w:t>气柜型式：橡胶帘密封型</w:t>
      </w:r>
    </w:p>
    <w:p w14:paraId="3B4193F8">
      <w:pPr>
        <w:spacing w:before="192" w:line="220" w:lineRule="auto"/>
        <w:ind w:left="592"/>
        <w:rPr>
          <w:rFonts w:ascii="Times New Roman" w:hAnsi="Times New Roman" w:eastAsia="Times New Roman" w:cs="Times New Roman"/>
          <w:sz w:val="15"/>
          <w:szCs w:val="15"/>
        </w:rPr>
      </w:pPr>
      <w:r>
        <w:rPr>
          <w:rFonts w:ascii="宋体" w:hAnsi="宋体" w:eastAsia="宋体" w:cs="宋体"/>
          <w:spacing w:val="-1"/>
          <w:sz w:val="24"/>
          <w:szCs w:val="24"/>
        </w:rPr>
        <w:t>储气量：</w:t>
      </w:r>
      <w:r>
        <w:rPr>
          <w:rFonts w:ascii="Times New Roman" w:hAnsi="Times New Roman" w:eastAsia="Times New Roman" w:cs="Times New Roman"/>
          <w:spacing w:val="-1"/>
          <w:sz w:val="24"/>
          <w:szCs w:val="24"/>
        </w:rPr>
        <w:t>3×10</w:t>
      </w:r>
      <w:r>
        <w:rPr>
          <w:rFonts w:ascii="Times New Roman" w:hAnsi="Times New Roman" w:eastAsia="Times New Roman" w:cs="Times New Roman"/>
          <w:spacing w:val="-1"/>
          <w:position w:val="7"/>
          <w:sz w:val="15"/>
          <w:szCs w:val="15"/>
        </w:rPr>
        <w:t>4</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7"/>
          <w:sz w:val="15"/>
          <w:szCs w:val="15"/>
        </w:rPr>
        <w:t>3</w:t>
      </w:r>
    </w:p>
    <w:p w14:paraId="1B83DD30">
      <w:pPr>
        <w:spacing w:before="190" w:line="359" w:lineRule="auto"/>
        <w:ind w:left="591" w:right="6413" w:firstLine="2"/>
        <w:rPr>
          <w:rFonts w:ascii="Times New Roman" w:hAnsi="Times New Roman" w:eastAsia="Times New Roman" w:cs="Times New Roman"/>
          <w:sz w:val="24"/>
          <w:szCs w:val="24"/>
        </w:rPr>
      </w:pPr>
      <w:r>
        <w:rPr>
          <w:rFonts w:ascii="宋体" w:hAnsi="宋体" w:eastAsia="宋体" w:cs="宋体"/>
          <w:spacing w:val="-1"/>
          <w:sz w:val="24"/>
          <w:szCs w:val="24"/>
        </w:rPr>
        <w:t>贮气压力：</w:t>
      </w:r>
      <w:r>
        <w:rPr>
          <w:rFonts w:ascii="Times New Roman" w:hAnsi="Times New Roman" w:eastAsia="Times New Roman" w:cs="Times New Roman"/>
          <w:spacing w:val="-1"/>
          <w:sz w:val="24"/>
          <w:szCs w:val="24"/>
        </w:rPr>
        <w:t>3kPa(G)</w:t>
      </w:r>
      <w:r>
        <w:rPr>
          <w:rFonts w:ascii="Times New Roman" w:hAnsi="Times New Roman" w:eastAsia="Times New Roman" w:cs="Times New Roman"/>
          <w:sz w:val="24"/>
          <w:szCs w:val="24"/>
        </w:rPr>
        <w:t xml:space="preserve">    </w:t>
      </w:r>
      <w:r>
        <w:rPr>
          <w:rFonts w:ascii="宋体" w:hAnsi="宋体" w:eastAsia="宋体" w:cs="宋体"/>
          <w:spacing w:val="-1"/>
          <w:sz w:val="24"/>
          <w:szCs w:val="24"/>
        </w:rPr>
        <w:t>贮气温度：</w:t>
      </w:r>
      <w:r>
        <w:rPr>
          <w:rFonts w:ascii="Times New Roman" w:hAnsi="Times New Roman" w:eastAsia="Times New Roman" w:cs="Times New Roman"/>
          <w:spacing w:val="-1"/>
          <w:sz w:val="24"/>
          <w:szCs w:val="24"/>
        </w:rPr>
        <w:t>0</w:t>
      </w:r>
      <w:r>
        <w:rPr>
          <w:rFonts w:ascii="宋体" w:hAnsi="宋体" w:eastAsia="宋体" w:cs="宋体"/>
          <w:spacing w:val="-1"/>
          <w:sz w:val="24"/>
          <w:szCs w:val="24"/>
        </w:rPr>
        <w:t>～</w:t>
      </w:r>
      <w:r>
        <w:rPr>
          <w:rFonts w:ascii="Times New Roman" w:hAnsi="Times New Roman" w:eastAsia="Times New Roman" w:cs="Times New Roman"/>
          <w:spacing w:val="-1"/>
          <w:sz w:val="24"/>
          <w:szCs w:val="24"/>
        </w:rPr>
        <w:t>70℃</w:t>
      </w:r>
      <w:r>
        <w:rPr>
          <w:rFonts w:ascii="Times New Roman" w:hAnsi="Times New Roman" w:eastAsia="Times New Roman" w:cs="Times New Roman"/>
          <w:sz w:val="24"/>
          <w:szCs w:val="24"/>
        </w:rPr>
        <w:t xml:space="preserve">    </w:t>
      </w:r>
      <w:r>
        <w:rPr>
          <w:rFonts w:ascii="宋体" w:hAnsi="宋体" w:eastAsia="宋体" w:cs="宋体"/>
          <w:spacing w:val="-4"/>
          <w:sz w:val="24"/>
          <w:szCs w:val="24"/>
        </w:rPr>
        <w:t>侧板高度：约</w:t>
      </w:r>
      <w:r>
        <w:rPr>
          <w:rFonts w:ascii="宋体" w:hAnsi="宋体" w:eastAsia="宋体" w:cs="宋体"/>
          <w:spacing w:val="-25"/>
          <w:sz w:val="24"/>
          <w:szCs w:val="24"/>
        </w:rPr>
        <w:t xml:space="preserve"> </w:t>
      </w:r>
      <w:r>
        <w:rPr>
          <w:rFonts w:ascii="Times New Roman" w:hAnsi="Times New Roman" w:eastAsia="Times New Roman" w:cs="Times New Roman"/>
          <w:spacing w:val="-4"/>
          <w:sz w:val="24"/>
          <w:szCs w:val="24"/>
        </w:rPr>
        <w:t>19.9m</w:t>
      </w:r>
      <w:r>
        <w:rPr>
          <w:rFonts w:ascii="Times New Roman" w:hAnsi="Times New Roman" w:eastAsia="Times New Roman" w:cs="Times New Roman"/>
          <w:sz w:val="24"/>
          <w:szCs w:val="24"/>
        </w:rPr>
        <w:t xml:space="preserve">   </w:t>
      </w:r>
      <w:r>
        <w:rPr>
          <w:rFonts w:ascii="宋体" w:hAnsi="宋体" w:eastAsia="宋体" w:cs="宋体"/>
          <w:spacing w:val="-3"/>
          <w:sz w:val="24"/>
          <w:szCs w:val="24"/>
        </w:rPr>
        <w:t>活塞行程：约</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18.63m</w:t>
      </w:r>
    </w:p>
    <w:p w14:paraId="3015E738">
      <w:pPr>
        <w:spacing w:before="44" w:line="219" w:lineRule="auto"/>
        <w:ind w:left="594"/>
        <w:rPr>
          <w:rFonts w:ascii="宋体" w:hAnsi="宋体" w:eastAsia="宋体" w:cs="宋体"/>
          <w:sz w:val="24"/>
          <w:szCs w:val="24"/>
        </w:rPr>
      </w:pPr>
      <w:r>
        <w:rPr>
          <w:rFonts w:ascii="宋体" w:hAnsi="宋体" w:eastAsia="宋体" w:cs="宋体"/>
          <w:spacing w:val="-1"/>
          <w:sz w:val="24"/>
          <w:szCs w:val="24"/>
        </w:rPr>
        <w:t>密封型式：一段式合成橡胶薄膜密封</w:t>
      </w:r>
    </w:p>
    <w:p w14:paraId="7C4B63F8">
      <w:pPr>
        <w:spacing w:before="189" w:line="219" w:lineRule="auto"/>
        <w:ind w:left="599"/>
        <w:rPr>
          <w:rFonts w:ascii="宋体" w:hAnsi="宋体" w:eastAsia="宋体" w:cs="宋体"/>
          <w:sz w:val="24"/>
          <w:szCs w:val="24"/>
        </w:rPr>
      </w:pPr>
      <w:r>
        <w:rPr>
          <w:rFonts w:ascii="宋体" w:hAnsi="宋体" w:eastAsia="宋体" w:cs="宋体"/>
          <w:spacing w:val="-1"/>
          <w:sz w:val="24"/>
          <w:szCs w:val="24"/>
        </w:rPr>
        <w:t>管道采用架空共架敷设，管底标高净空高度不小于</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6</w:t>
      </w:r>
      <w:r>
        <w:rPr>
          <w:rFonts w:ascii="Times New Roman" w:hAnsi="Times New Roman" w:eastAsia="Times New Roman" w:cs="Times New Roman"/>
          <w:spacing w:val="-2"/>
          <w:sz w:val="24"/>
          <w:szCs w:val="24"/>
        </w:rPr>
        <w:t>m</w:t>
      </w:r>
      <w:r>
        <w:rPr>
          <w:rFonts w:ascii="宋体" w:hAnsi="宋体" w:eastAsia="宋体" w:cs="宋体"/>
          <w:spacing w:val="-2"/>
          <w:sz w:val="24"/>
          <w:szCs w:val="24"/>
        </w:rPr>
        <w:t>。</w:t>
      </w:r>
    </w:p>
    <w:p w14:paraId="29B78694">
      <w:pPr>
        <w:spacing w:line="219" w:lineRule="auto"/>
        <w:rPr>
          <w:rFonts w:ascii="宋体" w:hAnsi="宋体" w:eastAsia="宋体" w:cs="宋体"/>
          <w:sz w:val="24"/>
          <w:szCs w:val="24"/>
        </w:rPr>
        <w:sectPr>
          <w:headerReference r:id="rId137" w:type="default"/>
          <w:footerReference r:id="rId138" w:type="default"/>
          <w:pgSz w:w="11850" w:h="16781"/>
          <w:pgMar w:top="1178" w:right="1313" w:bottom="1013" w:left="1311" w:header="870" w:footer="850" w:gutter="0"/>
          <w:cols w:space="720" w:num="1"/>
        </w:sectPr>
      </w:pPr>
    </w:p>
    <w:p w14:paraId="7E907282">
      <w:pPr>
        <w:pStyle w:val="2"/>
        <w:spacing w:line="276" w:lineRule="auto"/>
      </w:pPr>
      <w:r>
        <w:pict>
          <v:shape id="_x0000_s1181" o:spid="_x0000_s1181" style="position:absolute;left:0pt;margin-left:0pt;margin-top:0.7pt;height:0.75pt;width:450.75pt;z-index:251839488;mso-width-relative:page;mso-height-relative:page;" fillcolor="#000000" filled="t" stroked="f" coordsize="9015,15" path="m0,0l9014,0,9014,14,0,14,0,0xe">
            <v:path/>
            <v:fill on="t" focussize="0,0"/>
            <v:stroke on="f"/>
            <v:imagedata o:title=""/>
            <o:lock v:ext="edit"/>
          </v:shape>
        </w:pict>
      </w:r>
    </w:p>
    <w:p w14:paraId="2CCB7D67">
      <w:pPr>
        <w:spacing w:before="78" w:line="219" w:lineRule="auto"/>
        <w:ind w:left="4"/>
        <w:outlineLvl w:val="3"/>
        <w:rPr>
          <w:rFonts w:ascii="宋体" w:hAnsi="宋体" w:eastAsia="宋体" w:cs="宋体"/>
          <w:sz w:val="24"/>
          <w:szCs w:val="24"/>
        </w:rPr>
      </w:pPr>
      <w:r>
        <w:fldChar w:fldCharType="begin"/>
      </w:r>
      <w:r>
        <w:instrText xml:space="preserve"> HYPERLINK "2.2.5.8" </w:instrText>
      </w:r>
      <w:r>
        <w:fldChar w:fldCharType="separate"/>
      </w:r>
      <w:r>
        <w:rPr>
          <w:rFonts w:ascii="Times New Roman" w:hAnsi="Times New Roman" w:eastAsia="Times New Roman" w:cs="Times New Roman"/>
          <w:b/>
          <w:bCs/>
          <w:spacing w:val="-2"/>
          <w:sz w:val="24"/>
          <w:szCs w:val="24"/>
        </w:rPr>
        <w:t>2.2.5.8</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集控化验中心楼</w:t>
      </w:r>
    </w:p>
    <w:p w14:paraId="161A510B">
      <w:pPr>
        <w:spacing w:before="191" w:line="354" w:lineRule="auto"/>
        <w:ind w:left="16" w:right="63" w:firstLine="471"/>
        <w:rPr>
          <w:rFonts w:ascii="宋体" w:hAnsi="宋体" w:eastAsia="宋体" w:cs="宋体"/>
          <w:sz w:val="24"/>
          <w:szCs w:val="24"/>
        </w:rPr>
      </w:pPr>
      <w:r>
        <w:rPr>
          <w:rFonts w:ascii="宋体" w:hAnsi="宋体" w:eastAsia="宋体" w:cs="宋体"/>
          <w:spacing w:val="-3"/>
          <w:sz w:val="24"/>
          <w:szCs w:val="24"/>
        </w:rPr>
        <w:t>根据生产工艺对分析化验的需要，本项目厂区新建一座全厂性集控化</w:t>
      </w:r>
      <w:r>
        <w:rPr>
          <w:rFonts w:ascii="宋体" w:hAnsi="宋体" w:eastAsia="宋体" w:cs="宋体"/>
          <w:spacing w:val="-4"/>
          <w:sz w:val="24"/>
          <w:szCs w:val="24"/>
        </w:rPr>
        <w:t>验中心楼，负</w:t>
      </w:r>
      <w:r>
        <w:rPr>
          <w:rFonts w:ascii="宋体" w:hAnsi="宋体" w:eastAsia="宋体" w:cs="宋体"/>
          <w:sz w:val="24"/>
          <w:szCs w:val="24"/>
        </w:rPr>
        <w:t xml:space="preserve"> </w:t>
      </w:r>
      <w:r>
        <w:rPr>
          <w:rFonts w:ascii="宋体" w:hAnsi="宋体" w:eastAsia="宋体" w:cs="宋体"/>
          <w:spacing w:val="-1"/>
          <w:sz w:val="24"/>
          <w:szCs w:val="24"/>
        </w:rPr>
        <w:t>责本工程的原料和产品分析及用于分析生产过程中控制项目的检测。</w:t>
      </w:r>
    </w:p>
    <w:p w14:paraId="22559B30">
      <w:pPr>
        <w:spacing w:before="32" w:line="362" w:lineRule="auto"/>
        <w:ind w:left="10" w:right="63" w:firstLine="500"/>
        <w:rPr>
          <w:rFonts w:ascii="宋体" w:hAnsi="宋体" w:eastAsia="宋体" w:cs="宋体"/>
          <w:sz w:val="24"/>
          <w:szCs w:val="24"/>
        </w:rPr>
      </w:pPr>
      <w:r>
        <w:rPr>
          <w:rFonts w:ascii="宋体" w:hAnsi="宋体" w:eastAsia="宋体" w:cs="宋体"/>
          <w:spacing w:val="-4"/>
          <w:sz w:val="24"/>
          <w:szCs w:val="24"/>
        </w:rPr>
        <w:t>中央化验室负责本工程的原料及辅助材料的质量分析、成品的质量评定、装置化验</w:t>
      </w:r>
      <w:r>
        <w:rPr>
          <w:rFonts w:ascii="宋体" w:hAnsi="宋体" w:eastAsia="宋体" w:cs="宋体"/>
          <w:spacing w:val="7"/>
          <w:sz w:val="24"/>
          <w:szCs w:val="24"/>
        </w:rPr>
        <w:t xml:space="preserve"> </w:t>
      </w:r>
      <w:r>
        <w:rPr>
          <w:rFonts w:ascii="宋体" w:hAnsi="宋体" w:eastAsia="宋体" w:cs="宋体"/>
          <w:spacing w:val="-3"/>
          <w:sz w:val="24"/>
          <w:szCs w:val="24"/>
        </w:rPr>
        <w:t>室的中间质量控制分析、中央化验室试剂和标准溶液的配制、中央化验室所需蒸馏</w:t>
      </w:r>
      <w:r>
        <w:rPr>
          <w:rFonts w:ascii="宋体" w:hAnsi="宋体" w:eastAsia="宋体" w:cs="宋体"/>
          <w:spacing w:val="-4"/>
          <w:sz w:val="24"/>
          <w:szCs w:val="24"/>
        </w:rPr>
        <w:t>水及</w:t>
      </w:r>
      <w:r>
        <w:rPr>
          <w:rFonts w:ascii="宋体" w:hAnsi="宋体" w:eastAsia="宋体" w:cs="宋体"/>
          <w:sz w:val="24"/>
          <w:szCs w:val="24"/>
        </w:rPr>
        <w:t xml:space="preserve"> </w:t>
      </w:r>
      <w:r>
        <w:rPr>
          <w:rFonts w:ascii="宋体" w:hAnsi="宋体" w:eastAsia="宋体" w:cs="宋体"/>
          <w:spacing w:val="-3"/>
          <w:sz w:val="24"/>
          <w:szCs w:val="24"/>
        </w:rPr>
        <w:t>去离子水的制备、全厂各化验室的温度计、量器、秒表、天平和砝码的校验、中央</w:t>
      </w:r>
      <w:r>
        <w:rPr>
          <w:rFonts w:ascii="宋体" w:hAnsi="宋体" w:eastAsia="宋体" w:cs="宋体"/>
          <w:spacing w:val="-4"/>
          <w:sz w:val="24"/>
          <w:szCs w:val="24"/>
        </w:rPr>
        <w:t>化验</w:t>
      </w:r>
      <w:r>
        <w:rPr>
          <w:rFonts w:ascii="宋体" w:hAnsi="宋体" w:eastAsia="宋体" w:cs="宋体"/>
          <w:sz w:val="24"/>
          <w:szCs w:val="24"/>
        </w:rPr>
        <w:t xml:space="preserve"> </w:t>
      </w:r>
      <w:r>
        <w:rPr>
          <w:rFonts w:ascii="宋体" w:hAnsi="宋体" w:eastAsia="宋体" w:cs="宋体"/>
          <w:spacing w:val="-3"/>
          <w:sz w:val="24"/>
          <w:szCs w:val="24"/>
        </w:rPr>
        <w:t>室仪器设备的日常维修、全厂的安全分析、各装置化验室的化验人员培训、分析人</w:t>
      </w:r>
      <w:r>
        <w:rPr>
          <w:rFonts w:ascii="宋体" w:hAnsi="宋体" w:eastAsia="宋体" w:cs="宋体"/>
          <w:spacing w:val="-4"/>
          <w:sz w:val="24"/>
          <w:szCs w:val="24"/>
        </w:rPr>
        <w:t>员的</w:t>
      </w:r>
      <w:r>
        <w:rPr>
          <w:rFonts w:ascii="宋体" w:hAnsi="宋体" w:eastAsia="宋体" w:cs="宋体"/>
          <w:sz w:val="24"/>
          <w:szCs w:val="24"/>
        </w:rPr>
        <w:t xml:space="preserve"> </w:t>
      </w:r>
      <w:r>
        <w:rPr>
          <w:rFonts w:ascii="宋体" w:hAnsi="宋体" w:eastAsia="宋体" w:cs="宋体"/>
          <w:spacing w:val="-1"/>
          <w:sz w:val="24"/>
          <w:szCs w:val="24"/>
        </w:rPr>
        <w:t>调配及技术指导、水质全分析及水质微生物种类的检测分析。</w:t>
      </w:r>
    </w:p>
    <w:p w14:paraId="343EF2D0">
      <w:pPr>
        <w:spacing w:before="31" w:line="361" w:lineRule="auto"/>
        <w:ind w:left="12" w:firstLine="498"/>
        <w:rPr>
          <w:rFonts w:ascii="宋体" w:hAnsi="宋体" w:eastAsia="宋体" w:cs="宋体"/>
          <w:sz w:val="24"/>
          <w:szCs w:val="24"/>
        </w:rPr>
      </w:pPr>
      <w:r>
        <w:rPr>
          <w:rFonts w:ascii="宋体" w:hAnsi="宋体" w:eastAsia="宋体" w:cs="宋体"/>
          <w:spacing w:val="-4"/>
          <w:sz w:val="24"/>
          <w:szCs w:val="24"/>
        </w:rPr>
        <w:t>中心化验室设置在厂前区。包括：原子吸收分析室、色谱室、硫分析室、仪器分析</w:t>
      </w:r>
      <w:r>
        <w:rPr>
          <w:rFonts w:ascii="宋体" w:hAnsi="宋体" w:eastAsia="宋体" w:cs="宋体"/>
          <w:spacing w:val="7"/>
          <w:sz w:val="24"/>
          <w:szCs w:val="24"/>
        </w:rPr>
        <w:t xml:space="preserve"> </w:t>
      </w:r>
      <w:r>
        <w:rPr>
          <w:rFonts w:ascii="宋体" w:hAnsi="宋体" w:eastAsia="宋体" w:cs="宋体"/>
          <w:spacing w:val="-1"/>
          <w:sz w:val="24"/>
          <w:szCs w:val="24"/>
        </w:rPr>
        <w:t>室、化学分析室、热量计量室、成品分析室、原</w:t>
      </w:r>
      <w:r>
        <w:rPr>
          <w:rFonts w:ascii="宋体" w:hAnsi="宋体" w:eastAsia="宋体" w:cs="宋体"/>
          <w:spacing w:val="-2"/>
          <w:sz w:val="24"/>
          <w:szCs w:val="24"/>
        </w:rPr>
        <w:t>料分析室、加热室、制样室、制剂室、</w:t>
      </w:r>
      <w:r>
        <w:rPr>
          <w:rFonts w:ascii="宋体" w:hAnsi="宋体" w:eastAsia="宋体" w:cs="宋体"/>
          <w:sz w:val="24"/>
          <w:szCs w:val="24"/>
        </w:rPr>
        <w:t xml:space="preserve"> </w:t>
      </w:r>
      <w:r>
        <w:rPr>
          <w:rFonts w:ascii="宋体" w:hAnsi="宋体" w:eastAsia="宋体" w:cs="宋体"/>
          <w:spacing w:val="-1"/>
          <w:sz w:val="24"/>
          <w:szCs w:val="24"/>
        </w:rPr>
        <w:t>天平室、蒸馏水室、化学品室、贮藏室、洗涤室</w:t>
      </w:r>
      <w:r>
        <w:rPr>
          <w:rFonts w:ascii="宋体" w:hAnsi="宋体" w:eastAsia="宋体" w:cs="宋体"/>
          <w:spacing w:val="-2"/>
          <w:sz w:val="24"/>
          <w:szCs w:val="24"/>
        </w:rPr>
        <w:t>、维修室、钢瓶间、更衣室、办公室、</w:t>
      </w:r>
      <w:r>
        <w:rPr>
          <w:rFonts w:ascii="宋体" w:hAnsi="宋体" w:eastAsia="宋体" w:cs="宋体"/>
          <w:sz w:val="24"/>
          <w:szCs w:val="24"/>
        </w:rPr>
        <w:t xml:space="preserve"> </w:t>
      </w:r>
      <w:r>
        <w:rPr>
          <w:rFonts w:ascii="宋体" w:hAnsi="宋体" w:eastAsia="宋体" w:cs="宋体"/>
          <w:spacing w:val="-3"/>
          <w:sz w:val="24"/>
          <w:szCs w:val="24"/>
        </w:rPr>
        <w:t>资料室等。</w:t>
      </w:r>
    </w:p>
    <w:p w14:paraId="215DBA3F">
      <w:pPr>
        <w:spacing w:before="31" w:line="361" w:lineRule="auto"/>
        <w:ind w:left="10" w:right="63" w:firstLine="480"/>
        <w:jc w:val="both"/>
        <w:rPr>
          <w:rFonts w:ascii="宋体" w:hAnsi="宋体" w:eastAsia="宋体" w:cs="宋体"/>
          <w:sz w:val="24"/>
          <w:szCs w:val="24"/>
        </w:rPr>
      </w:pPr>
      <w:r>
        <w:rPr>
          <w:rFonts w:ascii="宋体" w:hAnsi="宋体" w:eastAsia="宋体" w:cs="宋体"/>
          <w:sz w:val="24"/>
          <w:szCs w:val="24"/>
        </w:rPr>
        <w:t>各分析室的建筑设施采用全国通用建筑标准设计：实验室建筑设备</w:t>
      </w:r>
      <w:r>
        <w:rPr>
          <w:rFonts w:ascii="宋体" w:hAnsi="宋体" w:eastAsia="宋体" w:cs="宋体"/>
          <w:spacing w:val="-35"/>
          <w:sz w:val="24"/>
          <w:szCs w:val="24"/>
        </w:rPr>
        <w:t xml:space="preserve"> </w:t>
      </w:r>
      <w:r>
        <w:rPr>
          <w:rFonts w:ascii="Times New Roman" w:hAnsi="Times New Roman" w:eastAsia="Times New Roman" w:cs="Times New Roman"/>
          <w:sz w:val="24"/>
          <w:szCs w:val="24"/>
        </w:rPr>
        <w:t>JSJT-112</w:t>
      </w:r>
      <w:r>
        <w:rPr>
          <w:rFonts w:ascii="Times New Roman" w:hAnsi="Times New Roman" w:eastAsia="Times New Roman" w:cs="Times New Roman"/>
          <w:spacing w:val="29"/>
          <w:sz w:val="24"/>
          <w:szCs w:val="24"/>
        </w:rPr>
        <w:t xml:space="preserve"> </w:t>
      </w:r>
      <w:r>
        <w:rPr>
          <w:rFonts w:ascii="宋体" w:hAnsi="宋体" w:eastAsia="宋体" w:cs="宋体"/>
          <w:sz w:val="24"/>
          <w:szCs w:val="24"/>
        </w:rPr>
        <w:t xml:space="preserve">的标 </w:t>
      </w:r>
      <w:r>
        <w:rPr>
          <w:rFonts w:ascii="宋体" w:hAnsi="宋体" w:eastAsia="宋体" w:cs="宋体"/>
          <w:spacing w:val="-3"/>
          <w:sz w:val="24"/>
          <w:szCs w:val="24"/>
        </w:rPr>
        <w:t>准。在各分析室内，设有实验台柜，且有局部排风装置用以抽排实验气体；装有空</w:t>
      </w:r>
      <w:r>
        <w:rPr>
          <w:rFonts w:ascii="宋体" w:hAnsi="宋体" w:eastAsia="宋体" w:cs="宋体"/>
          <w:spacing w:val="-4"/>
          <w:sz w:val="24"/>
          <w:szCs w:val="24"/>
        </w:rPr>
        <w:t>调采</w:t>
      </w:r>
      <w:r>
        <w:rPr>
          <w:rFonts w:ascii="宋体" w:hAnsi="宋体" w:eastAsia="宋体" w:cs="宋体"/>
          <w:sz w:val="24"/>
          <w:szCs w:val="24"/>
        </w:rPr>
        <w:t xml:space="preserve"> </w:t>
      </w:r>
      <w:r>
        <w:rPr>
          <w:rFonts w:ascii="宋体" w:hAnsi="宋体" w:eastAsia="宋体" w:cs="宋体"/>
          <w:spacing w:val="-3"/>
          <w:sz w:val="24"/>
          <w:szCs w:val="24"/>
        </w:rPr>
        <w:t>暖设施，以满足室内温湿度要求；室内铺设用水设施的给排水管路，铺设供分析仪</w:t>
      </w:r>
      <w:r>
        <w:rPr>
          <w:rFonts w:ascii="宋体" w:hAnsi="宋体" w:eastAsia="宋体" w:cs="宋体"/>
          <w:spacing w:val="-4"/>
          <w:sz w:val="24"/>
          <w:szCs w:val="24"/>
        </w:rPr>
        <w:t>器设</w:t>
      </w:r>
      <w:r>
        <w:rPr>
          <w:rFonts w:ascii="宋体" w:hAnsi="宋体" w:eastAsia="宋体" w:cs="宋体"/>
          <w:sz w:val="24"/>
          <w:szCs w:val="24"/>
        </w:rPr>
        <w:t xml:space="preserve"> </w:t>
      </w:r>
      <w:r>
        <w:rPr>
          <w:rFonts w:ascii="宋体" w:hAnsi="宋体" w:eastAsia="宋体" w:cs="宋体"/>
          <w:spacing w:val="-2"/>
          <w:sz w:val="24"/>
          <w:szCs w:val="24"/>
        </w:rPr>
        <w:t>备用电所需的电气线路。</w:t>
      </w:r>
    </w:p>
    <w:p w14:paraId="36BF7BBB">
      <w:pPr>
        <w:spacing w:before="33" w:line="354" w:lineRule="auto"/>
        <w:ind w:left="487" w:right="6975"/>
        <w:rPr>
          <w:rFonts w:ascii="宋体" w:hAnsi="宋体" w:eastAsia="宋体" w:cs="宋体"/>
          <w:sz w:val="24"/>
          <w:szCs w:val="24"/>
        </w:rPr>
      </w:pPr>
      <w:r>
        <w:rPr>
          <w:rFonts w:ascii="宋体" w:hAnsi="宋体" w:eastAsia="宋体" w:cs="宋体"/>
          <w:b/>
          <w:bCs/>
          <w:spacing w:val="-12"/>
          <w:sz w:val="24"/>
          <w:szCs w:val="24"/>
        </w:rPr>
        <w:t>产污环节分析：</w:t>
      </w:r>
      <w:r>
        <w:rPr>
          <w:rFonts w:ascii="宋体" w:hAnsi="宋体" w:eastAsia="宋体" w:cs="宋体"/>
          <w:sz w:val="24"/>
          <w:szCs w:val="24"/>
        </w:rPr>
        <w:t xml:space="preserve"> </w:t>
      </w:r>
      <w:r>
        <w:rPr>
          <w:rFonts w:ascii="宋体" w:hAnsi="宋体" w:eastAsia="宋体" w:cs="宋体"/>
          <w:b/>
          <w:bCs/>
          <w:spacing w:val="-6"/>
          <w:sz w:val="24"/>
          <w:szCs w:val="24"/>
        </w:rPr>
        <w:t>废水：</w:t>
      </w:r>
    </w:p>
    <w:p w14:paraId="3BB57D97">
      <w:pPr>
        <w:spacing w:before="34" w:line="354" w:lineRule="auto"/>
        <w:ind w:left="10" w:firstLine="479"/>
        <w:rPr>
          <w:rFonts w:ascii="宋体" w:hAnsi="宋体" w:eastAsia="宋体" w:cs="宋体"/>
          <w:sz w:val="24"/>
          <w:szCs w:val="24"/>
        </w:rPr>
      </w:pPr>
      <w:r>
        <w:rPr>
          <w:rFonts w:ascii="宋体" w:hAnsi="宋体" w:eastAsia="宋体" w:cs="宋体"/>
          <w:spacing w:val="1"/>
          <w:sz w:val="24"/>
          <w:szCs w:val="24"/>
        </w:rPr>
        <w:t>化验室废水（</w:t>
      </w:r>
      <w:r>
        <w:rPr>
          <w:rFonts w:ascii="Times New Roman" w:hAnsi="Times New Roman" w:eastAsia="Times New Roman" w:cs="Times New Roman"/>
          <w:spacing w:val="1"/>
          <w:sz w:val="24"/>
          <w:szCs w:val="24"/>
        </w:rPr>
        <w:t>W</w:t>
      </w:r>
      <w:r>
        <w:rPr>
          <w:rFonts w:ascii="Times New Roman" w:hAnsi="Times New Roman" w:eastAsia="Times New Roman" w:cs="Times New Roman"/>
          <w:spacing w:val="1"/>
          <w:position w:val="-1"/>
          <w:sz w:val="15"/>
          <w:szCs w:val="15"/>
        </w:rPr>
        <w:t xml:space="preserve">6 </w:t>
      </w:r>
      <w:r>
        <w:rPr>
          <w:rFonts w:ascii="宋体" w:hAnsi="宋体" w:eastAsia="宋体" w:cs="宋体"/>
          <w:spacing w:val="-6"/>
          <w:sz w:val="24"/>
          <w:szCs w:val="24"/>
        </w:rPr>
        <w:t>）：</w:t>
      </w:r>
      <w:r>
        <w:rPr>
          <w:rFonts w:ascii="宋体" w:hAnsi="宋体" w:eastAsia="宋体" w:cs="宋体"/>
          <w:spacing w:val="1"/>
          <w:sz w:val="24"/>
          <w:szCs w:val="24"/>
        </w:rPr>
        <w:t>化验室在日常运行过程中产生化验室废水，来自化验室器皿</w:t>
      </w:r>
      <w:r>
        <w:rPr>
          <w:rFonts w:ascii="宋体" w:hAnsi="宋体" w:eastAsia="宋体" w:cs="宋体"/>
          <w:sz w:val="24"/>
          <w:szCs w:val="24"/>
        </w:rPr>
        <w:t xml:space="preserve"> </w:t>
      </w:r>
      <w:r>
        <w:rPr>
          <w:rFonts w:ascii="宋体" w:hAnsi="宋体" w:eastAsia="宋体" w:cs="宋体"/>
          <w:spacing w:val="-1"/>
          <w:sz w:val="24"/>
          <w:szCs w:val="24"/>
        </w:rPr>
        <w:t>等清洗产生的低浓度清洗废水，同生活污水一起排入</w:t>
      </w:r>
      <w:r>
        <w:rPr>
          <w:rFonts w:ascii="宋体" w:hAnsi="宋体" w:eastAsia="宋体" w:cs="宋体"/>
          <w:spacing w:val="-2"/>
          <w:sz w:val="24"/>
          <w:szCs w:val="24"/>
        </w:rPr>
        <w:t>地埋式一体化污水处理设施处理。</w:t>
      </w:r>
    </w:p>
    <w:p w14:paraId="6A7E37B7">
      <w:pPr>
        <w:spacing w:before="33" w:line="220" w:lineRule="auto"/>
        <w:ind w:left="508"/>
        <w:rPr>
          <w:rFonts w:ascii="宋体" w:hAnsi="宋体" w:eastAsia="宋体" w:cs="宋体"/>
          <w:sz w:val="24"/>
          <w:szCs w:val="24"/>
        </w:rPr>
      </w:pPr>
      <w:r>
        <w:rPr>
          <w:rFonts w:ascii="宋体" w:hAnsi="宋体" w:eastAsia="宋体" w:cs="宋体"/>
          <w:b/>
          <w:bCs/>
          <w:spacing w:val="-13"/>
          <w:sz w:val="24"/>
          <w:szCs w:val="24"/>
        </w:rPr>
        <w:t>固废：</w:t>
      </w:r>
    </w:p>
    <w:p w14:paraId="60929BCB">
      <w:pPr>
        <w:spacing w:before="193" w:line="360" w:lineRule="auto"/>
        <w:ind w:left="7" w:right="63" w:firstLine="481"/>
        <w:jc w:val="both"/>
        <w:rPr>
          <w:rFonts w:ascii="宋体" w:hAnsi="宋体" w:eastAsia="宋体" w:cs="宋体"/>
          <w:sz w:val="24"/>
          <w:szCs w:val="24"/>
        </w:rPr>
      </w:pPr>
      <w:r>
        <w:rPr>
          <w:rFonts w:ascii="宋体" w:hAnsi="宋体" w:eastAsia="宋体" w:cs="宋体"/>
          <w:spacing w:val="-2"/>
          <w:sz w:val="24"/>
          <w:szCs w:val="24"/>
        </w:rPr>
        <w:t>化验室废液（</w:t>
      </w:r>
      <w:r>
        <w:rPr>
          <w:rFonts w:ascii="Times New Roman" w:hAnsi="Times New Roman" w:eastAsia="Times New Roman" w:cs="Times New Roman"/>
          <w:spacing w:val="-2"/>
          <w:sz w:val="24"/>
          <w:szCs w:val="24"/>
        </w:rPr>
        <w:t>S</w:t>
      </w:r>
      <w:r>
        <w:rPr>
          <w:rFonts w:ascii="Times New Roman" w:hAnsi="Times New Roman" w:eastAsia="Times New Roman" w:cs="Times New Roman"/>
          <w:spacing w:val="-2"/>
          <w:position w:val="-1"/>
          <w:sz w:val="15"/>
          <w:szCs w:val="15"/>
        </w:rPr>
        <w:t xml:space="preserve">7 </w:t>
      </w:r>
      <w:r>
        <w:rPr>
          <w:rFonts w:ascii="宋体" w:hAnsi="宋体" w:eastAsia="宋体" w:cs="宋体"/>
          <w:spacing w:val="-25"/>
          <w:sz w:val="24"/>
          <w:szCs w:val="24"/>
        </w:rPr>
        <w:t>）：</w:t>
      </w:r>
      <w:r>
        <w:rPr>
          <w:rFonts w:ascii="宋体" w:hAnsi="宋体" w:eastAsia="宋体" w:cs="宋体"/>
          <w:spacing w:val="-2"/>
          <w:sz w:val="24"/>
          <w:szCs w:val="24"/>
        </w:rPr>
        <w:t>化验室运行会产生化验室废液，主要为检验废液（包含各种化</w:t>
      </w:r>
      <w:r>
        <w:rPr>
          <w:rFonts w:ascii="宋体" w:hAnsi="宋体" w:eastAsia="宋体" w:cs="宋体"/>
          <w:spacing w:val="1"/>
          <w:sz w:val="24"/>
          <w:szCs w:val="24"/>
        </w:rPr>
        <w:t xml:space="preserve"> </w:t>
      </w:r>
      <w:r>
        <w:rPr>
          <w:rFonts w:ascii="宋体" w:hAnsi="宋体" w:eastAsia="宋体" w:cs="宋体"/>
          <w:spacing w:val="-3"/>
          <w:sz w:val="24"/>
          <w:szCs w:val="24"/>
        </w:rPr>
        <w:t>学废液、含有化学试剂的废水）、含重金属清洗废水及高浓度清洗废水，分类桶装在化</w:t>
      </w:r>
      <w:r>
        <w:rPr>
          <w:rFonts w:ascii="宋体" w:hAnsi="宋体" w:eastAsia="宋体" w:cs="宋体"/>
          <w:spacing w:val="1"/>
          <w:sz w:val="24"/>
          <w:szCs w:val="24"/>
        </w:rPr>
        <w:t xml:space="preserve"> </w:t>
      </w:r>
      <w:r>
        <w:rPr>
          <w:rFonts w:ascii="宋体" w:hAnsi="宋体" w:eastAsia="宋体" w:cs="宋体"/>
          <w:spacing w:val="2"/>
          <w:sz w:val="24"/>
          <w:szCs w:val="24"/>
        </w:rPr>
        <w:t>验室专用储存间内，储存间按照《危险废物贮存污染控制标准》（</w:t>
      </w:r>
      <w:r>
        <w:rPr>
          <w:rFonts w:ascii="Times New Roman" w:hAnsi="Times New Roman" w:eastAsia="Times New Roman" w:cs="Times New Roman"/>
          <w:sz w:val="24"/>
          <w:szCs w:val="24"/>
        </w:rPr>
        <w:t>GB</w:t>
      </w:r>
      <w:r>
        <w:rPr>
          <w:rFonts w:ascii="Times New Roman" w:hAnsi="Times New Roman" w:eastAsia="Times New Roman" w:cs="Times New Roman"/>
          <w:spacing w:val="2"/>
          <w:sz w:val="24"/>
          <w:szCs w:val="24"/>
        </w:rPr>
        <w:t>1859</w:t>
      </w:r>
      <w:r>
        <w:rPr>
          <w:rFonts w:ascii="Times New Roman" w:hAnsi="Times New Roman" w:eastAsia="Times New Roman" w:cs="Times New Roman"/>
          <w:spacing w:val="1"/>
          <w:sz w:val="24"/>
          <w:szCs w:val="24"/>
        </w:rPr>
        <w:t>7-2023</w:t>
      </w:r>
      <w:r>
        <w:rPr>
          <w:rFonts w:ascii="宋体" w:hAnsi="宋体" w:eastAsia="宋体" w:cs="宋体"/>
          <w:spacing w:val="1"/>
          <w:sz w:val="24"/>
          <w:szCs w:val="24"/>
        </w:rPr>
        <w:t>）中</w:t>
      </w:r>
      <w:r>
        <w:rPr>
          <w:rFonts w:ascii="宋体" w:hAnsi="宋体" w:eastAsia="宋体" w:cs="宋体"/>
          <w:sz w:val="24"/>
          <w:szCs w:val="24"/>
        </w:rPr>
        <w:t xml:space="preserve"> </w:t>
      </w:r>
      <w:r>
        <w:rPr>
          <w:rFonts w:ascii="宋体" w:hAnsi="宋体" w:eastAsia="宋体" w:cs="宋体"/>
          <w:spacing w:val="-1"/>
          <w:sz w:val="24"/>
          <w:szCs w:val="24"/>
        </w:rPr>
        <w:t>的要求建设和防渗处理，定期委托有资质单位处理。</w:t>
      </w:r>
    </w:p>
    <w:p w14:paraId="2221B333">
      <w:pPr>
        <w:spacing w:line="360" w:lineRule="auto"/>
        <w:rPr>
          <w:rFonts w:ascii="宋体" w:hAnsi="宋体" w:eastAsia="宋体" w:cs="宋体"/>
          <w:sz w:val="24"/>
          <w:szCs w:val="24"/>
        </w:rPr>
        <w:sectPr>
          <w:headerReference r:id="rId139" w:type="default"/>
          <w:footerReference r:id="rId140" w:type="default"/>
          <w:pgSz w:w="11850" w:h="16781"/>
          <w:pgMar w:top="1178" w:right="1352" w:bottom="1013" w:left="1417" w:header="870" w:footer="850" w:gutter="0"/>
          <w:cols w:space="720" w:num="1"/>
        </w:sectPr>
      </w:pPr>
    </w:p>
    <w:p w14:paraId="14261F69">
      <w:pPr>
        <w:pStyle w:val="2"/>
        <w:spacing w:line="296" w:lineRule="auto"/>
      </w:pPr>
      <w:r>
        <w:pict>
          <v:shape id="_x0000_s1182" o:spid="_x0000_s1182" style="position:absolute;left:0pt;margin-left:0pt;margin-top:0.7pt;height:0.75pt;width:450.75pt;z-index:251840512;mso-width-relative:page;mso-height-relative:page;" fillcolor="#000000" filled="t" stroked="f" coordsize="9015,15" path="m0,0l9014,0,9014,14,0,14,0,0xe">
            <v:path/>
            <v:fill on="t" focussize="0,0"/>
            <v:stroke on="f"/>
            <v:imagedata o:title=""/>
            <o:lock v:ext="edit"/>
          </v:shape>
        </w:pict>
      </w:r>
    </w:p>
    <w:p w14:paraId="50D5E5CC">
      <w:pPr>
        <w:spacing w:before="101" w:line="226" w:lineRule="auto"/>
        <w:ind w:left="6"/>
        <w:outlineLvl w:val="1"/>
        <w:rPr>
          <w:rFonts w:ascii="黑体" w:hAnsi="黑体" w:eastAsia="黑体" w:cs="黑体"/>
          <w:sz w:val="31"/>
          <w:szCs w:val="31"/>
        </w:rPr>
      </w:pPr>
      <w:bookmarkStart w:id="322" w:name="bookmark114"/>
      <w:bookmarkEnd w:id="322"/>
      <w:bookmarkStart w:id="323" w:name="bookmark112"/>
      <w:bookmarkEnd w:id="323"/>
      <w:r>
        <w:rPr>
          <w:rFonts w:ascii="Times New Roman" w:hAnsi="Times New Roman" w:eastAsia="Times New Roman" w:cs="Times New Roman"/>
          <w:b/>
          <w:bCs/>
          <w:spacing w:val="5"/>
          <w:sz w:val="31"/>
          <w:szCs w:val="31"/>
        </w:rPr>
        <w:t xml:space="preserve">2.3 </w:t>
      </w:r>
      <w:r>
        <w:rPr>
          <w:rFonts w:ascii="黑体" w:hAnsi="黑体" w:eastAsia="黑体" w:cs="黑体"/>
          <w:b/>
          <w:bCs/>
          <w:spacing w:val="5"/>
          <w:sz w:val="31"/>
          <w:szCs w:val="31"/>
        </w:rPr>
        <w:t>污染源强核算</w:t>
      </w:r>
    </w:p>
    <w:p w14:paraId="71D5584B">
      <w:pPr>
        <w:spacing w:before="274" w:line="220" w:lineRule="auto"/>
        <w:ind w:left="5"/>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2.3.1 </w:t>
      </w:r>
      <w:r>
        <w:rPr>
          <w:rFonts w:ascii="宋体" w:hAnsi="宋体" w:eastAsia="宋体" w:cs="宋体"/>
          <w:b/>
          <w:bCs/>
          <w:spacing w:val="-2"/>
          <w:sz w:val="28"/>
          <w:szCs w:val="28"/>
        </w:rPr>
        <w:t>污染来源及治理措施</w:t>
      </w:r>
    </w:p>
    <w:p w14:paraId="1FDF2721">
      <w:pPr>
        <w:spacing w:before="241" w:line="219" w:lineRule="auto"/>
        <w:ind w:left="4"/>
        <w:outlineLvl w:val="3"/>
        <w:rPr>
          <w:rFonts w:ascii="宋体" w:hAnsi="宋体" w:eastAsia="宋体" w:cs="宋体"/>
          <w:sz w:val="24"/>
          <w:szCs w:val="24"/>
        </w:rPr>
      </w:pPr>
      <w:r>
        <w:fldChar w:fldCharType="begin"/>
      </w:r>
      <w:r>
        <w:instrText xml:space="preserve"> HYPERLINK "2.3.1.1" </w:instrText>
      </w:r>
      <w:r>
        <w:fldChar w:fldCharType="separate"/>
      </w:r>
      <w:r>
        <w:rPr>
          <w:rFonts w:ascii="Times New Roman" w:hAnsi="Times New Roman" w:eastAsia="Times New Roman" w:cs="Times New Roman"/>
          <w:b/>
          <w:bCs/>
          <w:spacing w:val="-2"/>
          <w:sz w:val="24"/>
          <w:szCs w:val="24"/>
        </w:rPr>
        <w:t>2.3.1.1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施工期污染来源及治理措施</w:t>
      </w:r>
    </w:p>
    <w:p w14:paraId="4990E4D2">
      <w:pPr>
        <w:spacing w:before="195" w:line="361" w:lineRule="auto"/>
        <w:ind w:left="12" w:firstLine="477"/>
        <w:jc w:val="both"/>
        <w:rPr>
          <w:rFonts w:ascii="宋体" w:hAnsi="宋体" w:eastAsia="宋体" w:cs="宋体"/>
          <w:sz w:val="24"/>
          <w:szCs w:val="24"/>
        </w:rPr>
      </w:pPr>
      <w:r>
        <w:rPr>
          <w:rFonts w:ascii="宋体" w:hAnsi="宋体" w:eastAsia="宋体" w:cs="宋体"/>
          <w:spacing w:val="-3"/>
          <w:sz w:val="24"/>
          <w:szCs w:val="24"/>
        </w:rPr>
        <w:t>本项目位于锡林郭勒盟苏尼特右旗朱日和工业园区南区冶金产业园</w:t>
      </w:r>
      <w:r>
        <w:rPr>
          <w:rFonts w:ascii="宋体" w:hAnsi="宋体" w:eastAsia="宋体" w:cs="宋体"/>
          <w:spacing w:val="-4"/>
          <w:sz w:val="24"/>
          <w:szCs w:val="24"/>
        </w:rPr>
        <w:t>，厂址占地属于</w:t>
      </w:r>
      <w:r>
        <w:rPr>
          <w:rFonts w:ascii="宋体" w:hAnsi="宋体" w:eastAsia="宋体" w:cs="宋体"/>
          <w:sz w:val="24"/>
          <w:szCs w:val="24"/>
        </w:rPr>
        <w:t xml:space="preserve"> </w:t>
      </w:r>
      <w:r>
        <w:rPr>
          <w:rFonts w:ascii="宋体" w:hAnsi="宋体" w:eastAsia="宋体" w:cs="宋体"/>
          <w:spacing w:val="-3"/>
          <w:sz w:val="24"/>
          <w:szCs w:val="24"/>
        </w:rPr>
        <w:t>园区未利用土地，主要的施工内容包括厂房建设、设备及管道安装等，以上施</w:t>
      </w:r>
      <w:r>
        <w:rPr>
          <w:rFonts w:ascii="宋体" w:hAnsi="宋体" w:eastAsia="宋体" w:cs="宋体"/>
          <w:spacing w:val="-4"/>
          <w:sz w:val="24"/>
          <w:szCs w:val="24"/>
        </w:rPr>
        <w:t>工活动进</w:t>
      </w:r>
      <w:r>
        <w:rPr>
          <w:rFonts w:ascii="宋体" w:hAnsi="宋体" w:eastAsia="宋体" w:cs="宋体"/>
          <w:sz w:val="24"/>
          <w:szCs w:val="24"/>
        </w:rPr>
        <w:t xml:space="preserve"> </w:t>
      </w:r>
      <w:r>
        <w:rPr>
          <w:rFonts w:ascii="宋体" w:hAnsi="宋体" w:eastAsia="宋体" w:cs="宋体"/>
          <w:spacing w:val="-1"/>
          <w:sz w:val="24"/>
          <w:szCs w:val="24"/>
        </w:rPr>
        <w:t>行时，建材运输、装卸及土建施工将会产生一</w:t>
      </w:r>
      <w:r>
        <w:rPr>
          <w:rFonts w:ascii="宋体" w:hAnsi="宋体" w:eastAsia="宋体" w:cs="宋体"/>
          <w:spacing w:val="-2"/>
          <w:sz w:val="24"/>
          <w:szCs w:val="24"/>
        </w:rPr>
        <w:t>定量的扬尘污染，同时伴有较大的噪声，</w:t>
      </w:r>
      <w:r>
        <w:rPr>
          <w:rFonts w:ascii="宋体" w:hAnsi="宋体" w:eastAsia="宋体" w:cs="宋体"/>
          <w:sz w:val="24"/>
          <w:szCs w:val="24"/>
        </w:rPr>
        <w:t xml:space="preserve"> </w:t>
      </w:r>
      <w:r>
        <w:rPr>
          <w:rFonts w:ascii="宋体" w:hAnsi="宋体" w:eastAsia="宋体" w:cs="宋体"/>
          <w:spacing w:val="-8"/>
          <w:sz w:val="24"/>
          <w:szCs w:val="24"/>
        </w:rPr>
        <w:t>并会有建筑垃圾的堆放情况。但由于施工期较短，影响并不突出，且多为短期可逆影响，</w:t>
      </w:r>
      <w:r>
        <w:rPr>
          <w:rFonts w:ascii="宋体" w:hAnsi="宋体" w:eastAsia="宋体" w:cs="宋体"/>
          <w:spacing w:val="16"/>
          <w:sz w:val="24"/>
          <w:szCs w:val="24"/>
        </w:rPr>
        <w:t xml:space="preserve"> </w:t>
      </w:r>
      <w:r>
        <w:rPr>
          <w:rFonts w:ascii="宋体" w:hAnsi="宋体" w:eastAsia="宋体" w:cs="宋体"/>
          <w:spacing w:val="-1"/>
          <w:sz w:val="24"/>
          <w:szCs w:val="24"/>
        </w:rPr>
        <w:t>随着施工阶段的结束而消失，本项目施工阶段工程排污环节见表</w:t>
      </w:r>
      <w:r>
        <w:rPr>
          <w:rFonts w:ascii="宋体" w:hAnsi="宋体" w:eastAsia="宋体" w:cs="宋体"/>
          <w:spacing w:val="-41"/>
          <w:sz w:val="24"/>
          <w:szCs w:val="24"/>
        </w:rPr>
        <w:t xml:space="preserve"> </w:t>
      </w:r>
      <w:r>
        <w:rPr>
          <w:rFonts w:ascii="Times New Roman" w:hAnsi="Times New Roman" w:eastAsia="Times New Roman" w:cs="Times New Roman"/>
          <w:spacing w:val="-1"/>
          <w:sz w:val="24"/>
          <w:szCs w:val="24"/>
        </w:rPr>
        <w:t>2.3-1</w:t>
      </w:r>
      <w:r>
        <w:rPr>
          <w:rFonts w:ascii="宋体" w:hAnsi="宋体" w:eastAsia="宋体" w:cs="宋体"/>
          <w:spacing w:val="-1"/>
          <w:sz w:val="24"/>
          <w:szCs w:val="24"/>
        </w:rPr>
        <w:t>。</w:t>
      </w:r>
    </w:p>
    <w:p w14:paraId="3360226B">
      <w:pPr>
        <w:spacing w:before="51" w:line="228" w:lineRule="auto"/>
        <w:ind w:left="268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5"/>
          <w:sz w:val="20"/>
          <w:szCs w:val="20"/>
        </w:rPr>
        <w:t xml:space="preserve"> </w:t>
      </w:r>
      <w:r>
        <w:rPr>
          <w:rFonts w:ascii="Times New Roman" w:hAnsi="Times New Roman" w:eastAsia="Times New Roman" w:cs="Times New Roman"/>
          <w:b/>
          <w:bCs/>
          <w:spacing w:val="5"/>
          <w:sz w:val="20"/>
          <w:szCs w:val="20"/>
        </w:rPr>
        <w:t xml:space="preserve">2.3-1        </w:t>
      </w:r>
      <w:r>
        <w:rPr>
          <w:rFonts w:ascii="宋体" w:hAnsi="宋体" w:eastAsia="宋体" w:cs="宋体"/>
          <w:b/>
          <w:bCs/>
          <w:spacing w:val="5"/>
          <w:sz w:val="20"/>
          <w:szCs w:val="20"/>
        </w:rPr>
        <w:t>工程建设施工期排污环节表</w:t>
      </w:r>
    </w:p>
    <w:p w14:paraId="5D8332EE">
      <w:pPr>
        <w:spacing w:line="96" w:lineRule="exact"/>
      </w:pPr>
    </w:p>
    <w:tbl>
      <w:tblPr>
        <w:tblStyle w:val="5"/>
        <w:tblW w:w="9010"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7"/>
        <w:gridCol w:w="2149"/>
        <w:gridCol w:w="4347"/>
        <w:gridCol w:w="1507"/>
      </w:tblGrid>
      <w:tr w14:paraId="5253C3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007" w:type="dxa"/>
            <w:tcBorders>
              <w:top w:val="single" w:color="000000" w:sz="10" w:space="0"/>
              <w:left w:val="nil"/>
            </w:tcBorders>
            <w:vAlign w:val="top"/>
          </w:tcPr>
          <w:p w14:paraId="0B5660C5">
            <w:pPr>
              <w:pStyle w:val="6"/>
              <w:spacing w:before="58" w:line="228" w:lineRule="auto"/>
              <w:ind w:left="86"/>
              <w:rPr>
                <w:sz w:val="20"/>
                <w:szCs w:val="20"/>
              </w:rPr>
            </w:pPr>
            <w:r>
              <w:rPr>
                <w:b/>
                <w:bCs/>
                <w:spacing w:val="6"/>
                <w:sz w:val="20"/>
                <w:szCs w:val="20"/>
              </w:rPr>
              <w:t>影响类别</w:t>
            </w:r>
          </w:p>
        </w:tc>
        <w:tc>
          <w:tcPr>
            <w:tcW w:w="2149" w:type="dxa"/>
            <w:tcBorders>
              <w:top w:val="single" w:color="000000" w:sz="10" w:space="0"/>
            </w:tcBorders>
            <w:vAlign w:val="top"/>
          </w:tcPr>
          <w:p w14:paraId="18467CB1">
            <w:pPr>
              <w:pStyle w:val="6"/>
              <w:spacing w:before="59" w:line="228" w:lineRule="auto"/>
              <w:ind w:left="658"/>
              <w:rPr>
                <w:sz w:val="20"/>
                <w:szCs w:val="20"/>
              </w:rPr>
            </w:pPr>
            <w:r>
              <w:rPr>
                <w:b/>
                <w:bCs/>
                <w:spacing w:val="6"/>
                <w:sz w:val="20"/>
                <w:szCs w:val="20"/>
              </w:rPr>
              <w:t>影响环节</w:t>
            </w:r>
          </w:p>
        </w:tc>
        <w:tc>
          <w:tcPr>
            <w:tcW w:w="4347" w:type="dxa"/>
            <w:tcBorders>
              <w:top w:val="single" w:color="000000" w:sz="10" w:space="0"/>
            </w:tcBorders>
            <w:vAlign w:val="top"/>
          </w:tcPr>
          <w:p w14:paraId="0E3547BC">
            <w:pPr>
              <w:pStyle w:val="6"/>
              <w:spacing w:before="58" w:line="228" w:lineRule="auto"/>
              <w:ind w:left="1757"/>
              <w:rPr>
                <w:sz w:val="20"/>
                <w:szCs w:val="20"/>
              </w:rPr>
            </w:pPr>
            <w:r>
              <w:rPr>
                <w:b/>
                <w:bCs/>
                <w:spacing w:val="6"/>
                <w:sz w:val="20"/>
                <w:szCs w:val="20"/>
              </w:rPr>
              <w:t>产生原因</w:t>
            </w:r>
          </w:p>
        </w:tc>
        <w:tc>
          <w:tcPr>
            <w:tcW w:w="1507" w:type="dxa"/>
            <w:tcBorders>
              <w:top w:val="single" w:color="000000" w:sz="10" w:space="0"/>
              <w:right w:val="nil"/>
            </w:tcBorders>
            <w:vAlign w:val="top"/>
          </w:tcPr>
          <w:p w14:paraId="0EAD68EE">
            <w:pPr>
              <w:pStyle w:val="6"/>
              <w:spacing w:before="59" w:line="228" w:lineRule="auto"/>
              <w:ind w:left="236"/>
              <w:rPr>
                <w:sz w:val="20"/>
                <w:szCs w:val="20"/>
              </w:rPr>
            </w:pPr>
            <w:r>
              <w:rPr>
                <w:b/>
                <w:bCs/>
                <w:spacing w:val="6"/>
                <w:sz w:val="20"/>
                <w:szCs w:val="20"/>
              </w:rPr>
              <w:t>主要污染物</w:t>
            </w:r>
          </w:p>
        </w:tc>
      </w:tr>
      <w:tr w14:paraId="032AA5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1007" w:type="dxa"/>
            <w:tcBorders>
              <w:left w:val="nil"/>
            </w:tcBorders>
            <w:vAlign w:val="top"/>
          </w:tcPr>
          <w:p w14:paraId="62CC7F52">
            <w:pPr>
              <w:pStyle w:val="6"/>
              <w:spacing w:before="216" w:line="228" w:lineRule="auto"/>
              <w:ind w:left="297"/>
              <w:rPr>
                <w:sz w:val="20"/>
                <w:szCs w:val="20"/>
              </w:rPr>
            </w:pPr>
            <w:r>
              <w:rPr>
                <w:spacing w:val="5"/>
                <w:sz w:val="20"/>
                <w:szCs w:val="20"/>
              </w:rPr>
              <w:t>废气</w:t>
            </w:r>
          </w:p>
        </w:tc>
        <w:tc>
          <w:tcPr>
            <w:tcW w:w="2149" w:type="dxa"/>
            <w:vAlign w:val="top"/>
          </w:tcPr>
          <w:p w14:paraId="4B8EDB45">
            <w:pPr>
              <w:pStyle w:val="6"/>
              <w:spacing w:before="58" w:line="262" w:lineRule="auto"/>
              <w:ind w:left="15" w:right="37"/>
              <w:rPr>
                <w:sz w:val="20"/>
                <w:szCs w:val="20"/>
              </w:rPr>
            </w:pPr>
            <w:r>
              <w:rPr>
                <w:spacing w:val="9"/>
                <w:sz w:val="20"/>
                <w:szCs w:val="20"/>
              </w:rPr>
              <w:t>原料堆存、材料拌合、</w:t>
            </w:r>
            <w:r>
              <w:rPr>
                <w:sz w:val="20"/>
                <w:szCs w:val="20"/>
              </w:rPr>
              <w:t xml:space="preserve"> </w:t>
            </w:r>
            <w:r>
              <w:rPr>
                <w:spacing w:val="8"/>
                <w:sz w:val="20"/>
                <w:szCs w:val="20"/>
              </w:rPr>
              <w:t>管道铺设、运输等</w:t>
            </w:r>
          </w:p>
        </w:tc>
        <w:tc>
          <w:tcPr>
            <w:tcW w:w="4347" w:type="dxa"/>
            <w:vAlign w:val="top"/>
          </w:tcPr>
          <w:p w14:paraId="69D7A0F8">
            <w:pPr>
              <w:pStyle w:val="6"/>
              <w:spacing w:before="58" w:line="262" w:lineRule="auto"/>
              <w:ind w:left="14" w:right="3"/>
              <w:rPr>
                <w:sz w:val="20"/>
                <w:szCs w:val="20"/>
              </w:rPr>
            </w:pPr>
            <w:r>
              <w:rPr>
                <w:spacing w:val="5"/>
                <w:sz w:val="20"/>
                <w:szCs w:val="20"/>
              </w:rPr>
              <w:t>原料贮存、混凝土配制产生的粉尘、汽车运输及</w:t>
            </w:r>
            <w:r>
              <w:rPr>
                <w:spacing w:val="17"/>
                <w:sz w:val="20"/>
                <w:szCs w:val="20"/>
              </w:rPr>
              <w:t xml:space="preserve"> </w:t>
            </w:r>
            <w:r>
              <w:rPr>
                <w:spacing w:val="9"/>
                <w:sz w:val="20"/>
                <w:szCs w:val="20"/>
              </w:rPr>
              <w:t>管线铺设、道路开挖引起的二次扬尘</w:t>
            </w:r>
          </w:p>
        </w:tc>
        <w:tc>
          <w:tcPr>
            <w:tcW w:w="1507" w:type="dxa"/>
            <w:tcBorders>
              <w:right w:val="nil"/>
            </w:tcBorders>
            <w:vAlign w:val="top"/>
          </w:tcPr>
          <w:p w14:paraId="1D461BB2">
            <w:pPr>
              <w:pStyle w:val="6"/>
              <w:spacing w:before="215" w:line="228" w:lineRule="auto"/>
              <w:ind w:left="550"/>
              <w:rPr>
                <w:sz w:val="20"/>
                <w:szCs w:val="20"/>
              </w:rPr>
            </w:pPr>
            <w:r>
              <w:rPr>
                <w:spacing w:val="5"/>
                <w:sz w:val="20"/>
                <w:szCs w:val="20"/>
              </w:rPr>
              <w:t>粉尘</w:t>
            </w:r>
          </w:p>
        </w:tc>
      </w:tr>
      <w:tr w14:paraId="26B8EF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1007" w:type="dxa"/>
            <w:tcBorders>
              <w:left w:val="nil"/>
            </w:tcBorders>
            <w:vAlign w:val="top"/>
          </w:tcPr>
          <w:p w14:paraId="051BA20A">
            <w:pPr>
              <w:pStyle w:val="6"/>
              <w:spacing w:before="221" w:line="228" w:lineRule="auto"/>
              <w:ind w:left="307"/>
              <w:rPr>
                <w:sz w:val="20"/>
                <w:szCs w:val="20"/>
              </w:rPr>
            </w:pPr>
            <w:r>
              <w:rPr>
                <w:spacing w:val="-1"/>
                <w:sz w:val="20"/>
                <w:szCs w:val="20"/>
              </w:rPr>
              <w:t>噪声</w:t>
            </w:r>
          </w:p>
        </w:tc>
        <w:tc>
          <w:tcPr>
            <w:tcW w:w="2149" w:type="dxa"/>
            <w:vAlign w:val="top"/>
          </w:tcPr>
          <w:p w14:paraId="411324B8">
            <w:pPr>
              <w:pStyle w:val="6"/>
              <w:spacing w:before="220" w:line="227" w:lineRule="auto"/>
              <w:ind w:left="241"/>
              <w:rPr>
                <w:sz w:val="20"/>
                <w:szCs w:val="20"/>
              </w:rPr>
            </w:pPr>
            <w:r>
              <w:rPr>
                <w:spacing w:val="8"/>
                <w:sz w:val="20"/>
                <w:szCs w:val="20"/>
              </w:rPr>
              <w:t>各种施工机械设备</w:t>
            </w:r>
          </w:p>
        </w:tc>
        <w:tc>
          <w:tcPr>
            <w:tcW w:w="4347" w:type="dxa"/>
            <w:vAlign w:val="top"/>
          </w:tcPr>
          <w:p w14:paraId="2ACC2687">
            <w:pPr>
              <w:pStyle w:val="6"/>
              <w:spacing w:before="62" w:line="260" w:lineRule="auto"/>
              <w:ind w:left="9" w:hanging="1"/>
              <w:rPr>
                <w:sz w:val="20"/>
                <w:szCs w:val="20"/>
              </w:rPr>
            </w:pPr>
            <w:r>
              <w:rPr>
                <w:spacing w:val="6"/>
                <w:sz w:val="20"/>
                <w:szCs w:val="20"/>
              </w:rPr>
              <w:t>施工活动中推土机、搅拌机、气锤等各种振动、 转动设备产生</w:t>
            </w:r>
          </w:p>
        </w:tc>
        <w:tc>
          <w:tcPr>
            <w:tcW w:w="1507" w:type="dxa"/>
            <w:tcBorders>
              <w:right w:val="nil"/>
            </w:tcBorders>
            <w:vAlign w:val="top"/>
          </w:tcPr>
          <w:p w14:paraId="711BB379">
            <w:pPr>
              <w:pStyle w:val="6"/>
              <w:spacing w:before="221" w:line="228" w:lineRule="auto"/>
              <w:ind w:left="561"/>
              <w:rPr>
                <w:sz w:val="20"/>
                <w:szCs w:val="20"/>
              </w:rPr>
            </w:pPr>
            <w:r>
              <w:rPr>
                <w:spacing w:val="-1"/>
                <w:sz w:val="20"/>
                <w:szCs w:val="20"/>
              </w:rPr>
              <w:t>噪声</w:t>
            </w:r>
          </w:p>
        </w:tc>
      </w:tr>
      <w:tr w14:paraId="768FFB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1007" w:type="dxa"/>
            <w:tcBorders>
              <w:left w:val="nil"/>
            </w:tcBorders>
            <w:vAlign w:val="top"/>
          </w:tcPr>
          <w:p w14:paraId="35F26F8A">
            <w:pPr>
              <w:pStyle w:val="6"/>
              <w:spacing w:before="224" w:line="228" w:lineRule="auto"/>
              <w:ind w:left="297"/>
              <w:rPr>
                <w:sz w:val="20"/>
                <w:szCs w:val="20"/>
              </w:rPr>
            </w:pPr>
            <w:r>
              <w:rPr>
                <w:spacing w:val="5"/>
                <w:sz w:val="20"/>
                <w:szCs w:val="20"/>
              </w:rPr>
              <w:t>废水</w:t>
            </w:r>
          </w:p>
        </w:tc>
        <w:tc>
          <w:tcPr>
            <w:tcW w:w="2149" w:type="dxa"/>
            <w:vAlign w:val="top"/>
          </w:tcPr>
          <w:p w14:paraId="1CAC2653">
            <w:pPr>
              <w:pStyle w:val="6"/>
              <w:spacing w:before="66" w:line="258" w:lineRule="auto"/>
              <w:ind w:left="13" w:right="2" w:hanging="4"/>
              <w:rPr>
                <w:sz w:val="20"/>
                <w:szCs w:val="20"/>
              </w:rPr>
            </w:pPr>
            <w:r>
              <w:rPr>
                <w:spacing w:val="13"/>
                <w:sz w:val="20"/>
                <w:szCs w:val="20"/>
              </w:rPr>
              <w:t>搅拌机、灰浆、工人生</w:t>
            </w:r>
            <w:r>
              <w:rPr>
                <w:sz w:val="20"/>
                <w:szCs w:val="20"/>
              </w:rPr>
              <w:t xml:space="preserve"> </w:t>
            </w:r>
            <w:r>
              <w:rPr>
                <w:spacing w:val="3"/>
                <w:sz w:val="20"/>
                <w:szCs w:val="20"/>
              </w:rPr>
              <w:t>活等</w:t>
            </w:r>
          </w:p>
        </w:tc>
        <w:tc>
          <w:tcPr>
            <w:tcW w:w="4347" w:type="dxa"/>
            <w:vAlign w:val="top"/>
          </w:tcPr>
          <w:p w14:paraId="4DC43FF8">
            <w:pPr>
              <w:pStyle w:val="6"/>
              <w:spacing w:before="66" w:line="258" w:lineRule="auto"/>
              <w:ind w:left="25" w:right="3" w:hanging="17"/>
              <w:rPr>
                <w:sz w:val="20"/>
                <w:szCs w:val="20"/>
              </w:rPr>
            </w:pPr>
            <w:r>
              <w:rPr>
                <w:spacing w:val="6"/>
                <w:sz w:val="20"/>
                <w:szCs w:val="20"/>
              </w:rPr>
              <w:t>砂浆配制过程中溢流出的废水等，施工人员产生</w:t>
            </w:r>
            <w:r>
              <w:rPr>
                <w:spacing w:val="2"/>
                <w:sz w:val="20"/>
                <w:szCs w:val="20"/>
              </w:rPr>
              <w:t xml:space="preserve"> </w:t>
            </w:r>
            <w:r>
              <w:rPr>
                <w:spacing w:val="4"/>
                <w:sz w:val="20"/>
                <w:szCs w:val="20"/>
              </w:rPr>
              <w:t>的生活污水</w:t>
            </w:r>
          </w:p>
        </w:tc>
        <w:tc>
          <w:tcPr>
            <w:tcW w:w="1507" w:type="dxa"/>
            <w:tcBorders>
              <w:right w:val="nil"/>
            </w:tcBorders>
            <w:vAlign w:val="top"/>
          </w:tcPr>
          <w:p w14:paraId="64B7D8CA">
            <w:pPr>
              <w:pStyle w:val="6"/>
              <w:spacing w:before="66" w:line="258" w:lineRule="auto"/>
              <w:ind w:left="13"/>
              <w:rPr>
                <w:sz w:val="20"/>
                <w:szCs w:val="20"/>
              </w:rPr>
            </w:pPr>
            <w:r>
              <w:rPr>
                <w:spacing w:val="12"/>
                <w:sz w:val="20"/>
                <w:szCs w:val="20"/>
              </w:rPr>
              <w:t>悬浮物、多以泥</w:t>
            </w:r>
            <w:r>
              <w:rPr>
                <w:spacing w:val="4"/>
                <w:sz w:val="20"/>
                <w:szCs w:val="20"/>
              </w:rPr>
              <w:t xml:space="preserve"> </w:t>
            </w:r>
            <w:r>
              <w:rPr>
                <w:spacing w:val="6"/>
                <w:sz w:val="20"/>
                <w:szCs w:val="20"/>
              </w:rPr>
              <w:t>沙为主</w:t>
            </w:r>
          </w:p>
        </w:tc>
      </w:tr>
      <w:tr w14:paraId="21573C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1007" w:type="dxa"/>
            <w:tcBorders>
              <w:left w:val="nil"/>
            </w:tcBorders>
            <w:vAlign w:val="top"/>
          </w:tcPr>
          <w:p w14:paraId="6A058C36">
            <w:pPr>
              <w:pStyle w:val="6"/>
              <w:spacing w:before="232" w:line="228" w:lineRule="auto"/>
              <w:ind w:left="315"/>
              <w:rPr>
                <w:sz w:val="20"/>
                <w:szCs w:val="20"/>
              </w:rPr>
            </w:pPr>
            <w:r>
              <w:rPr>
                <w:spacing w:val="-5"/>
                <w:sz w:val="20"/>
                <w:szCs w:val="20"/>
              </w:rPr>
              <w:t>固废</w:t>
            </w:r>
          </w:p>
        </w:tc>
        <w:tc>
          <w:tcPr>
            <w:tcW w:w="2149" w:type="dxa"/>
            <w:vAlign w:val="top"/>
          </w:tcPr>
          <w:p w14:paraId="37FE068C">
            <w:pPr>
              <w:pStyle w:val="6"/>
              <w:spacing w:before="232" w:line="228" w:lineRule="auto"/>
              <w:ind w:left="661"/>
              <w:rPr>
                <w:sz w:val="20"/>
                <w:szCs w:val="20"/>
              </w:rPr>
            </w:pPr>
            <w:r>
              <w:rPr>
                <w:spacing w:val="6"/>
                <w:sz w:val="20"/>
                <w:szCs w:val="20"/>
              </w:rPr>
              <w:t>建筑垃圾</w:t>
            </w:r>
          </w:p>
        </w:tc>
        <w:tc>
          <w:tcPr>
            <w:tcW w:w="4347" w:type="dxa"/>
            <w:vAlign w:val="top"/>
          </w:tcPr>
          <w:p w14:paraId="2B04BD33">
            <w:pPr>
              <w:pStyle w:val="6"/>
              <w:spacing w:before="232" w:line="227" w:lineRule="auto"/>
              <w:ind w:left="1129"/>
              <w:rPr>
                <w:sz w:val="20"/>
                <w:szCs w:val="20"/>
              </w:rPr>
            </w:pPr>
            <w:r>
              <w:rPr>
                <w:spacing w:val="9"/>
                <w:sz w:val="20"/>
                <w:szCs w:val="20"/>
              </w:rPr>
              <w:t>碎砖、灰浆、废材料等</w:t>
            </w:r>
          </w:p>
        </w:tc>
        <w:tc>
          <w:tcPr>
            <w:tcW w:w="1507" w:type="dxa"/>
            <w:tcBorders>
              <w:right w:val="nil"/>
            </w:tcBorders>
            <w:vAlign w:val="top"/>
          </w:tcPr>
          <w:p w14:paraId="041C6405">
            <w:pPr>
              <w:pStyle w:val="6"/>
              <w:spacing w:before="71" w:line="256" w:lineRule="auto"/>
              <w:ind w:left="10"/>
              <w:rPr>
                <w:sz w:val="20"/>
                <w:szCs w:val="20"/>
              </w:rPr>
            </w:pPr>
            <w:r>
              <w:rPr>
                <w:spacing w:val="13"/>
                <w:sz w:val="20"/>
                <w:szCs w:val="20"/>
              </w:rPr>
              <w:t>碎砖、灰浆、废</w:t>
            </w:r>
            <w:r>
              <w:rPr>
                <w:sz w:val="20"/>
                <w:szCs w:val="20"/>
              </w:rPr>
              <w:t xml:space="preserve"> </w:t>
            </w:r>
            <w:r>
              <w:rPr>
                <w:spacing w:val="4"/>
                <w:sz w:val="20"/>
                <w:szCs w:val="20"/>
              </w:rPr>
              <w:t>材料</w:t>
            </w:r>
          </w:p>
        </w:tc>
      </w:tr>
      <w:tr w14:paraId="15B82C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007" w:type="dxa"/>
            <w:tcBorders>
              <w:left w:val="nil"/>
              <w:bottom w:val="single" w:color="000000" w:sz="10" w:space="0"/>
            </w:tcBorders>
            <w:vAlign w:val="top"/>
          </w:tcPr>
          <w:p w14:paraId="4B38EB57">
            <w:pPr>
              <w:pStyle w:val="6"/>
              <w:spacing w:before="78" w:line="233" w:lineRule="auto"/>
              <w:ind w:left="299"/>
              <w:rPr>
                <w:sz w:val="20"/>
                <w:szCs w:val="20"/>
              </w:rPr>
            </w:pPr>
            <w:r>
              <w:rPr>
                <w:spacing w:val="3"/>
                <w:sz w:val="20"/>
                <w:szCs w:val="20"/>
              </w:rPr>
              <w:t>生态</w:t>
            </w:r>
          </w:p>
        </w:tc>
        <w:tc>
          <w:tcPr>
            <w:tcW w:w="2149" w:type="dxa"/>
            <w:tcBorders>
              <w:bottom w:val="single" w:color="000000" w:sz="10" w:space="0"/>
            </w:tcBorders>
            <w:vAlign w:val="top"/>
          </w:tcPr>
          <w:p w14:paraId="1FD7E312">
            <w:pPr>
              <w:pStyle w:val="6"/>
              <w:spacing w:before="78" w:line="228" w:lineRule="auto"/>
              <w:ind w:left="347"/>
              <w:rPr>
                <w:sz w:val="20"/>
                <w:szCs w:val="20"/>
              </w:rPr>
            </w:pPr>
            <w:r>
              <w:rPr>
                <w:spacing w:val="8"/>
                <w:sz w:val="20"/>
                <w:szCs w:val="20"/>
              </w:rPr>
              <w:t>弃土、植被破坏</w:t>
            </w:r>
          </w:p>
        </w:tc>
        <w:tc>
          <w:tcPr>
            <w:tcW w:w="4347" w:type="dxa"/>
            <w:tcBorders>
              <w:bottom w:val="single" w:color="000000" w:sz="10" w:space="0"/>
            </w:tcBorders>
            <w:vAlign w:val="top"/>
          </w:tcPr>
          <w:p w14:paraId="589B65E0">
            <w:pPr>
              <w:pStyle w:val="6"/>
              <w:spacing w:before="78" w:line="228" w:lineRule="auto"/>
              <w:ind w:left="1129"/>
              <w:rPr>
                <w:sz w:val="20"/>
                <w:szCs w:val="20"/>
              </w:rPr>
            </w:pPr>
            <w:r>
              <w:rPr>
                <w:spacing w:val="9"/>
                <w:sz w:val="20"/>
                <w:szCs w:val="20"/>
              </w:rPr>
              <w:t>表土剥离、植被清除等</w:t>
            </w:r>
          </w:p>
        </w:tc>
        <w:tc>
          <w:tcPr>
            <w:tcW w:w="1507" w:type="dxa"/>
            <w:tcBorders>
              <w:bottom w:val="single" w:color="000000" w:sz="10" w:space="0"/>
              <w:right w:val="nil"/>
            </w:tcBorders>
            <w:vAlign w:val="top"/>
          </w:tcPr>
          <w:p w14:paraId="3C9C0583">
            <w:pPr>
              <w:pStyle w:val="6"/>
              <w:spacing w:before="78" w:line="228" w:lineRule="auto"/>
              <w:ind w:left="344"/>
              <w:rPr>
                <w:sz w:val="20"/>
                <w:szCs w:val="20"/>
              </w:rPr>
            </w:pPr>
            <w:r>
              <w:rPr>
                <w:spacing w:val="6"/>
                <w:sz w:val="20"/>
                <w:szCs w:val="20"/>
              </w:rPr>
              <w:t>生态破坏</w:t>
            </w:r>
          </w:p>
        </w:tc>
      </w:tr>
    </w:tbl>
    <w:p w14:paraId="683932BE">
      <w:pPr>
        <w:spacing w:before="118" w:line="219" w:lineRule="auto"/>
        <w:ind w:left="490"/>
        <w:rPr>
          <w:rFonts w:ascii="宋体" w:hAnsi="宋体" w:eastAsia="宋体" w:cs="宋体"/>
          <w:sz w:val="24"/>
          <w:szCs w:val="24"/>
        </w:rPr>
      </w:pPr>
      <w:r>
        <w:rPr>
          <w:rFonts w:ascii="宋体" w:hAnsi="宋体" w:eastAsia="宋体" w:cs="宋体"/>
          <w:spacing w:val="-2"/>
          <w:sz w:val="24"/>
          <w:szCs w:val="24"/>
        </w:rPr>
        <w:t>主要采取如下环保措施：</w:t>
      </w:r>
    </w:p>
    <w:p w14:paraId="79CCE02B">
      <w:pPr>
        <w:spacing w:before="194" w:line="293" w:lineRule="auto"/>
        <w:ind w:left="8" w:firstLine="491"/>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1</w:t>
      </w:r>
      <w:r>
        <w:rPr>
          <w:rFonts w:ascii="宋体" w:hAnsi="宋体" w:eastAsia="宋体" w:cs="宋体"/>
          <w:spacing w:val="-5"/>
          <w:sz w:val="24"/>
          <w:szCs w:val="24"/>
        </w:rPr>
        <w:t>）对施工期开挖土方，建筑材料装卸、使用和运输过程产生的粉尘、扬尘污染，</w:t>
      </w:r>
      <w:r>
        <w:rPr>
          <w:rFonts w:ascii="宋体" w:hAnsi="宋体" w:eastAsia="宋体" w:cs="宋体"/>
          <w:spacing w:val="1"/>
          <w:sz w:val="24"/>
          <w:szCs w:val="24"/>
        </w:rPr>
        <w:t xml:space="preserve"> </w:t>
      </w:r>
      <w:r>
        <w:rPr>
          <w:rFonts w:ascii="宋体" w:hAnsi="宋体" w:eastAsia="宋体" w:cs="宋体"/>
          <w:spacing w:val="-1"/>
          <w:sz w:val="24"/>
          <w:szCs w:val="24"/>
        </w:rPr>
        <w:t>配置专用洒水车，进行喷洒降尘；</w:t>
      </w:r>
    </w:p>
    <w:p w14:paraId="1AE6E1C5">
      <w:pPr>
        <w:spacing w:before="194" w:line="292" w:lineRule="auto"/>
        <w:ind w:left="9" w:right="122" w:firstLine="490"/>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）尽可能选用低噪声的施工机械，噪声强度大的机械应远离居民生活区设置，</w:t>
      </w:r>
      <w:r>
        <w:rPr>
          <w:rFonts w:ascii="宋体" w:hAnsi="宋体" w:eastAsia="宋体" w:cs="宋体"/>
          <w:spacing w:val="5"/>
          <w:sz w:val="24"/>
          <w:szCs w:val="24"/>
        </w:rPr>
        <w:t xml:space="preserve"> </w:t>
      </w:r>
      <w:r>
        <w:rPr>
          <w:rFonts w:ascii="宋体" w:hAnsi="宋体" w:eastAsia="宋体" w:cs="宋体"/>
          <w:spacing w:val="-1"/>
          <w:sz w:val="24"/>
          <w:szCs w:val="24"/>
        </w:rPr>
        <w:t>使用时应避开夜间人们休息的时间；</w:t>
      </w:r>
    </w:p>
    <w:p w14:paraId="786E9BD8">
      <w:pPr>
        <w:spacing w:before="193" w:line="293" w:lineRule="auto"/>
        <w:ind w:left="21" w:right="63" w:firstLine="478"/>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4</w:t>
      </w:r>
      <w:r>
        <w:rPr>
          <w:rFonts w:ascii="宋体" w:hAnsi="宋体" w:eastAsia="宋体" w:cs="宋体"/>
          <w:sz w:val="24"/>
          <w:szCs w:val="24"/>
        </w:rPr>
        <w:t>）施工中的废弃物、建筑垃圾等按照当地环卫要求送到专门</w:t>
      </w:r>
      <w:r>
        <w:rPr>
          <w:rFonts w:ascii="宋体" w:hAnsi="宋体" w:eastAsia="宋体" w:cs="宋体"/>
          <w:spacing w:val="-1"/>
          <w:sz w:val="24"/>
          <w:szCs w:val="24"/>
        </w:rPr>
        <w:t>的堆场放置，不可</w:t>
      </w:r>
      <w:r>
        <w:rPr>
          <w:rFonts w:ascii="宋体" w:hAnsi="宋体" w:eastAsia="宋体" w:cs="宋体"/>
          <w:sz w:val="24"/>
          <w:szCs w:val="24"/>
        </w:rPr>
        <w:t xml:space="preserve"> </w:t>
      </w:r>
      <w:r>
        <w:rPr>
          <w:rFonts w:ascii="宋体" w:hAnsi="宋体" w:eastAsia="宋体" w:cs="宋体"/>
          <w:spacing w:val="-2"/>
          <w:sz w:val="24"/>
          <w:szCs w:val="24"/>
        </w:rPr>
        <w:t>随意乱堆、弃入水体或侵占农田；</w:t>
      </w:r>
    </w:p>
    <w:p w14:paraId="20B9E6D5">
      <w:pPr>
        <w:spacing w:before="194" w:line="292" w:lineRule="auto"/>
        <w:ind w:left="11" w:right="63" w:firstLine="488"/>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4</w:t>
      </w:r>
      <w:r>
        <w:rPr>
          <w:rFonts w:ascii="宋体" w:hAnsi="宋体" w:eastAsia="宋体" w:cs="宋体"/>
          <w:sz w:val="24"/>
          <w:szCs w:val="24"/>
        </w:rPr>
        <w:t>）施工过程中产生的施工废水经沉淀处理后回用，生活污水</w:t>
      </w:r>
      <w:r>
        <w:rPr>
          <w:rFonts w:ascii="宋体" w:hAnsi="宋体" w:eastAsia="宋体" w:cs="宋体"/>
          <w:spacing w:val="-1"/>
          <w:sz w:val="24"/>
          <w:szCs w:val="24"/>
        </w:rPr>
        <w:t>排入临时旱厕，定</w:t>
      </w:r>
      <w:r>
        <w:rPr>
          <w:rFonts w:ascii="宋体" w:hAnsi="宋体" w:eastAsia="宋体" w:cs="宋体"/>
          <w:sz w:val="24"/>
          <w:szCs w:val="24"/>
        </w:rPr>
        <w:t xml:space="preserve"> </w:t>
      </w:r>
      <w:r>
        <w:rPr>
          <w:rFonts w:ascii="宋体" w:hAnsi="宋体" w:eastAsia="宋体" w:cs="宋体"/>
          <w:spacing w:val="-2"/>
          <w:sz w:val="24"/>
          <w:szCs w:val="24"/>
        </w:rPr>
        <w:t>期委托环卫部门清掏处理；</w:t>
      </w:r>
    </w:p>
    <w:p w14:paraId="5115361A">
      <w:pPr>
        <w:spacing w:before="192"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）施工工地外围建设临时围墙或简易档板，对扬尘和噪声有一定阻隔作用；</w:t>
      </w:r>
    </w:p>
    <w:p w14:paraId="152C31A4">
      <w:pPr>
        <w:spacing w:before="193" w:line="220"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6</w:t>
      </w:r>
      <w:r>
        <w:rPr>
          <w:rFonts w:ascii="宋体" w:hAnsi="宋体" w:eastAsia="宋体" w:cs="宋体"/>
          <w:spacing w:val="-1"/>
          <w:sz w:val="24"/>
          <w:szCs w:val="24"/>
        </w:rPr>
        <w:t>）在施工现场要合理施工，取土尽量用于回填，减少土石方开挖量；</w:t>
      </w:r>
    </w:p>
    <w:p w14:paraId="7099192B">
      <w:pPr>
        <w:spacing w:before="191" w:line="219" w:lineRule="auto"/>
        <w:ind w:left="499"/>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7</w:t>
      </w:r>
      <w:r>
        <w:rPr>
          <w:rFonts w:ascii="宋体" w:hAnsi="宋体" w:eastAsia="宋体" w:cs="宋体"/>
          <w:sz w:val="24"/>
          <w:szCs w:val="24"/>
        </w:rPr>
        <w:t>）加强施工工地环保管理，禁止现场材料随意堆放，粉状和</w:t>
      </w:r>
      <w:r>
        <w:rPr>
          <w:rFonts w:ascii="宋体" w:hAnsi="宋体" w:eastAsia="宋体" w:cs="宋体"/>
          <w:spacing w:val="-1"/>
          <w:sz w:val="24"/>
          <w:szCs w:val="24"/>
        </w:rPr>
        <w:t>颗料状物料临时堆</w:t>
      </w:r>
    </w:p>
    <w:p w14:paraId="5E082574">
      <w:pPr>
        <w:spacing w:line="219" w:lineRule="auto"/>
        <w:rPr>
          <w:rFonts w:ascii="宋体" w:hAnsi="宋体" w:eastAsia="宋体" w:cs="宋体"/>
          <w:sz w:val="24"/>
          <w:szCs w:val="24"/>
        </w:rPr>
        <w:sectPr>
          <w:headerReference r:id="rId141" w:type="default"/>
          <w:footerReference r:id="rId142" w:type="default"/>
          <w:pgSz w:w="11850" w:h="16781"/>
          <w:pgMar w:top="1178" w:right="1354" w:bottom="1013" w:left="1417" w:header="870" w:footer="850" w:gutter="0"/>
          <w:cols w:space="720" w:num="1"/>
        </w:sectPr>
      </w:pPr>
    </w:p>
    <w:p w14:paraId="5E0E70EE">
      <w:pPr>
        <w:pStyle w:val="2"/>
        <w:spacing w:line="275" w:lineRule="auto"/>
      </w:pPr>
      <w:r>
        <w:pict>
          <v:shape id="_x0000_s1183" o:spid="_x0000_s1183" style="position:absolute;left:0pt;margin-left:0pt;margin-top:0.65pt;height:0.75pt;width:450.75pt;z-index:251841536;mso-width-relative:page;mso-height-relative:page;" fillcolor="#000000" filled="t" stroked="f" coordsize="9015,15" path="m0,0l9014,0,9014,14,0,14,0,0xe">
            <v:path/>
            <v:fill on="t" focussize="0,0"/>
            <v:stroke on="f"/>
            <v:imagedata o:title=""/>
            <o:lock v:ext="edit"/>
          </v:shape>
        </w:pict>
      </w:r>
    </w:p>
    <w:p w14:paraId="3E560BAB">
      <w:pPr>
        <w:spacing w:before="78" w:line="219" w:lineRule="auto"/>
        <w:ind w:left="8"/>
        <w:rPr>
          <w:rFonts w:ascii="宋体" w:hAnsi="宋体" w:eastAsia="宋体" w:cs="宋体"/>
          <w:sz w:val="24"/>
          <w:szCs w:val="24"/>
        </w:rPr>
      </w:pPr>
      <w:r>
        <w:rPr>
          <w:rFonts w:ascii="宋体" w:hAnsi="宋体" w:eastAsia="宋体" w:cs="宋体"/>
          <w:spacing w:val="-1"/>
          <w:sz w:val="24"/>
          <w:szCs w:val="24"/>
        </w:rPr>
        <w:t>放限制在本项目占地范围内并对其用苫布进行遮盖。</w:t>
      </w:r>
    </w:p>
    <w:p w14:paraId="62635335">
      <w:pPr>
        <w:spacing w:before="193" w:line="219" w:lineRule="auto"/>
        <w:ind w:left="4"/>
        <w:outlineLvl w:val="2"/>
        <w:rPr>
          <w:rFonts w:ascii="宋体" w:hAnsi="宋体" w:eastAsia="宋体" w:cs="宋体"/>
          <w:sz w:val="24"/>
          <w:szCs w:val="24"/>
        </w:rPr>
      </w:pPr>
      <w:r>
        <w:fldChar w:fldCharType="begin"/>
      </w:r>
      <w:r>
        <w:instrText xml:space="preserve"> HYPERLINK "2.3.1.2" </w:instrText>
      </w:r>
      <w:r>
        <w:fldChar w:fldCharType="separate"/>
      </w:r>
      <w:r>
        <w:rPr>
          <w:rFonts w:ascii="Times New Roman" w:hAnsi="Times New Roman" w:eastAsia="Times New Roman" w:cs="Times New Roman"/>
          <w:b/>
          <w:bCs/>
          <w:spacing w:val="-2"/>
          <w:sz w:val="24"/>
          <w:szCs w:val="24"/>
        </w:rPr>
        <w:t>2.3.1.2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运营期污染来源及治理措施</w:t>
      </w:r>
    </w:p>
    <w:p w14:paraId="5ECEE76F">
      <w:pPr>
        <w:spacing w:before="192" w:line="354" w:lineRule="auto"/>
        <w:ind w:left="11" w:firstLine="477"/>
        <w:rPr>
          <w:rFonts w:ascii="宋体" w:hAnsi="宋体" w:eastAsia="宋体" w:cs="宋体"/>
          <w:sz w:val="24"/>
          <w:szCs w:val="24"/>
        </w:rPr>
      </w:pPr>
      <w:r>
        <w:rPr>
          <w:rFonts w:ascii="宋体" w:hAnsi="宋体" w:eastAsia="宋体" w:cs="宋体"/>
          <w:spacing w:val="-3"/>
          <w:sz w:val="24"/>
          <w:szCs w:val="24"/>
        </w:rPr>
        <w:t>根据工艺流程及产污环节分析，项目生产期主要污染源汇总及采用的</w:t>
      </w:r>
      <w:r>
        <w:rPr>
          <w:rFonts w:ascii="宋体" w:hAnsi="宋体" w:eastAsia="宋体" w:cs="宋体"/>
          <w:spacing w:val="-4"/>
          <w:sz w:val="24"/>
          <w:szCs w:val="24"/>
        </w:rPr>
        <w:t>污染防治措施</w:t>
      </w:r>
      <w:r>
        <w:rPr>
          <w:rFonts w:ascii="宋体" w:hAnsi="宋体" w:eastAsia="宋体" w:cs="宋体"/>
          <w:sz w:val="24"/>
          <w:szCs w:val="24"/>
        </w:rPr>
        <w:t xml:space="preserve"> </w:t>
      </w:r>
      <w:r>
        <w:rPr>
          <w:rFonts w:ascii="宋体" w:hAnsi="宋体" w:eastAsia="宋体" w:cs="宋体"/>
          <w:spacing w:val="-3"/>
          <w:sz w:val="24"/>
          <w:szCs w:val="24"/>
        </w:rPr>
        <w:t>详见表</w:t>
      </w:r>
      <w:r>
        <w:rPr>
          <w:rFonts w:ascii="宋体" w:hAnsi="宋体" w:eastAsia="宋体" w:cs="宋体"/>
          <w:spacing w:val="-47"/>
          <w:sz w:val="24"/>
          <w:szCs w:val="24"/>
        </w:rPr>
        <w:t xml:space="preserve"> </w:t>
      </w:r>
      <w:r>
        <w:rPr>
          <w:rFonts w:ascii="Times New Roman" w:hAnsi="Times New Roman" w:eastAsia="Times New Roman" w:cs="Times New Roman"/>
          <w:spacing w:val="-3"/>
          <w:sz w:val="24"/>
          <w:szCs w:val="24"/>
        </w:rPr>
        <w:t>2.3-2</w:t>
      </w:r>
      <w:r>
        <w:rPr>
          <w:rFonts w:ascii="宋体" w:hAnsi="宋体" w:eastAsia="宋体" w:cs="宋体"/>
          <w:spacing w:val="-3"/>
          <w:sz w:val="24"/>
          <w:szCs w:val="24"/>
        </w:rPr>
        <w:t>。</w:t>
      </w:r>
    </w:p>
    <w:p w14:paraId="767A947B">
      <w:pPr>
        <w:spacing w:line="354" w:lineRule="auto"/>
        <w:rPr>
          <w:rFonts w:ascii="宋体" w:hAnsi="宋体" w:eastAsia="宋体" w:cs="宋体"/>
          <w:sz w:val="24"/>
          <w:szCs w:val="24"/>
        </w:rPr>
        <w:sectPr>
          <w:headerReference r:id="rId143" w:type="default"/>
          <w:footerReference r:id="rId144" w:type="default"/>
          <w:pgSz w:w="11850" w:h="16781"/>
          <w:pgMar w:top="1178" w:right="1416" w:bottom="1013" w:left="1417" w:header="870" w:footer="850" w:gutter="0"/>
          <w:cols w:space="720" w:num="1"/>
        </w:sectPr>
      </w:pPr>
    </w:p>
    <w:p w14:paraId="4A2E3235">
      <w:pPr>
        <w:pStyle w:val="2"/>
        <w:spacing w:line="308" w:lineRule="auto"/>
      </w:pPr>
      <w:r>
        <w:pict>
          <v:shape id="_x0000_s1184" o:spid="_x0000_s1184" style="position:absolute;left:0pt;margin-left:0.25pt;margin-top:0.7pt;height:0.75pt;width:1049pt;z-index:251842560;mso-width-relative:page;mso-height-relative:page;" fillcolor="#000000" filled="t" stroked="f" coordsize="20980,15" path="m0,0l20980,0,20980,14,0,14,0,0xe">
            <v:path/>
            <v:fill on="t" focussize="0,0"/>
            <v:stroke on="f"/>
            <v:imagedata o:title=""/>
            <o:lock v:ext="edit"/>
          </v:shape>
        </w:pict>
      </w:r>
    </w:p>
    <w:p w14:paraId="0E04AE22">
      <w:pPr>
        <w:spacing w:before="65" w:line="227" w:lineRule="auto"/>
        <w:ind w:left="7516"/>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29"/>
          <w:sz w:val="20"/>
          <w:szCs w:val="20"/>
        </w:rPr>
        <w:t xml:space="preserve"> </w:t>
      </w:r>
      <w:r>
        <w:rPr>
          <w:rFonts w:ascii="Times New Roman" w:hAnsi="Times New Roman" w:eastAsia="Times New Roman" w:cs="Times New Roman"/>
          <w:b/>
          <w:bCs/>
          <w:spacing w:val="6"/>
          <w:sz w:val="20"/>
          <w:szCs w:val="20"/>
        </w:rPr>
        <w:t xml:space="preserve">2.3-2        </w:t>
      </w:r>
      <w:r>
        <w:rPr>
          <w:rFonts w:ascii="宋体" w:hAnsi="宋体" w:eastAsia="宋体" w:cs="宋体"/>
          <w:b/>
          <w:bCs/>
          <w:spacing w:val="6"/>
          <w:sz w:val="20"/>
          <w:szCs w:val="20"/>
        </w:rPr>
        <w:t>项目生产运营期污染源拟采取的污染防治措施一览表</w:t>
      </w:r>
    </w:p>
    <w:p w14:paraId="4DF16460">
      <w:pPr>
        <w:spacing w:line="98" w:lineRule="exact"/>
      </w:pPr>
    </w:p>
    <w:tbl>
      <w:tblPr>
        <w:tblStyle w:val="5"/>
        <w:tblW w:w="209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65"/>
        <w:gridCol w:w="2599"/>
        <w:gridCol w:w="1311"/>
        <w:gridCol w:w="4665"/>
        <w:gridCol w:w="5558"/>
        <w:gridCol w:w="6091"/>
      </w:tblGrid>
      <w:tr w14:paraId="123C1C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765" w:type="dxa"/>
            <w:tcBorders>
              <w:top w:val="single" w:color="000000" w:sz="10" w:space="0"/>
              <w:left w:val="nil"/>
            </w:tcBorders>
            <w:vAlign w:val="top"/>
          </w:tcPr>
          <w:p w14:paraId="480EE57F">
            <w:pPr>
              <w:pStyle w:val="6"/>
              <w:spacing w:before="73" w:line="228" w:lineRule="auto"/>
              <w:ind w:left="180"/>
              <w:rPr>
                <w:sz w:val="20"/>
                <w:szCs w:val="20"/>
              </w:rPr>
            </w:pPr>
            <w:r>
              <w:rPr>
                <w:b/>
                <w:bCs/>
                <w:spacing w:val="3"/>
                <w:sz w:val="20"/>
                <w:szCs w:val="20"/>
              </w:rPr>
              <w:t>类别</w:t>
            </w:r>
          </w:p>
        </w:tc>
        <w:tc>
          <w:tcPr>
            <w:tcW w:w="2599" w:type="dxa"/>
            <w:tcBorders>
              <w:top w:val="single" w:color="000000" w:sz="10" w:space="0"/>
            </w:tcBorders>
            <w:vAlign w:val="top"/>
          </w:tcPr>
          <w:p w14:paraId="2FDDE035">
            <w:pPr>
              <w:pStyle w:val="6"/>
              <w:spacing w:before="74" w:line="228" w:lineRule="auto"/>
              <w:ind w:left="779"/>
              <w:rPr>
                <w:sz w:val="20"/>
                <w:szCs w:val="20"/>
              </w:rPr>
            </w:pPr>
            <w:r>
              <w:rPr>
                <w:b/>
                <w:bCs/>
                <w:spacing w:val="6"/>
                <w:sz w:val="20"/>
                <w:szCs w:val="20"/>
              </w:rPr>
              <w:t>污染源名称</w:t>
            </w:r>
          </w:p>
        </w:tc>
        <w:tc>
          <w:tcPr>
            <w:tcW w:w="1311" w:type="dxa"/>
            <w:tcBorders>
              <w:top w:val="single" w:color="000000" w:sz="10" w:space="0"/>
            </w:tcBorders>
            <w:vAlign w:val="top"/>
          </w:tcPr>
          <w:p w14:paraId="39EBA672">
            <w:pPr>
              <w:pStyle w:val="6"/>
              <w:spacing w:before="73" w:line="228" w:lineRule="auto"/>
              <w:ind w:left="451"/>
              <w:rPr>
                <w:sz w:val="20"/>
                <w:szCs w:val="20"/>
              </w:rPr>
            </w:pPr>
            <w:r>
              <w:rPr>
                <w:b/>
                <w:bCs/>
                <w:spacing w:val="3"/>
                <w:sz w:val="20"/>
                <w:szCs w:val="20"/>
              </w:rPr>
              <w:t>编号</w:t>
            </w:r>
          </w:p>
        </w:tc>
        <w:tc>
          <w:tcPr>
            <w:tcW w:w="4665" w:type="dxa"/>
            <w:tcBorders>
              <w:top w:val="single" w:color="000000" w:sz="10" w:space="0"/>
            </w:tcBorders>
            <w:vAlign w:val="top"/>
          </w:tcPr>
          <w:p w14:paraId="3AD677EC">
            <w:pPr>
              <w:pStyle w:val="6"/>
              <w:spacing w:before="73" w:line="228" w:lineRule="auto"/>
              <w:ind w:left="1915"/>
              <w:rPr>
                <w:sz w:val="20"/>
                <w:szCs w:val="20"/>
              </w:rPr>
            </w:pPr>
            <w:r>
              <w:rPr>
                <w:b/>
                <w:bCs/>
                <w:spacing w:val="6"/>
                <w:sz w:val="20"/>
                <w:szCs w:val="20"/>
              </w:rPr>
              <w:t>产生位置</w:t>
            </w:r>
          </w:p>
        </w:tc>
        <w:tc>
          <w:tcPr>
            <w:tcW w:w="5558" w:type="dxa"/>
            <w:tcBorders>
              <w:top w:val="single" w:color="000000" w:sz="10" w:space="0"/>
            </w:tcBorders>
            <w:vAlign w:val="top"/>
          </w:tcPr>
          <w:p w14:paraId="0344ED97">
            <w:pPr>
              <w:pStyle w:val="6"/>
              <w:spacing w:before="74" w:line="228" w:lineRule="auto"/>
              <w:ind w:left="2258"/>
              <w:rPr>
                <w:sz w:val="20"/>
                <w:szCs w:val="20"/>
              </w:rPr>
            </w:pPr>
            <w:r>
              <w:rPr>
                <w:b/>
                <w:bCs/>
                <w:spacing w:val="6"/>
                <w:sz w:val="20"/>
                <w:szCs w:val="20"/>
              </w:rPr>
              <w:t>主要污染物</w:t>
            </w:r>
          </w:p>
        </w:tc>
        <w:tc>
          <w:tcPr>
            <w:tcW w:w="6091" w:type="dxa"/>
            <w:tcBorders>
              <w:top w:val="single" w:color="000000" w:sz="10" w:space="0"/>
              <w:right w:val="nil"/>
            </w:tcBorders>
            <w:vAlign w:val="top"/>
          </w:tcPr>
          <w:p w14:paraId="5CF35798">
            <w:pPr>
              <w:pStyle w:val="6"/>
              <w:spacing w:before="74" w:line="227" w:lineRule="auto"/>
              <w:ind w:left="2418"/>
              <w:rPr>
                <w:sz w:val="20"/>
                <w:szCs w:val="20"/>
              </w:rPr>
            </w:pPr>
            <w:r>
              <w:rPr>
                <w:b/>
                <w:bCs/>
                <w:spacing w:val="6"/>
                <w:sz w:val="20"/>
                <w:szCs w:val="20"/>
              </w:rPr>
              <w:t>拟采取的措施</w:t>
            </w:r>
          </w:p>
        </w:tc>
      </w:tr>
      <w:tr w14:paraId="5123E9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left w:val="nil"/>
              <w:bottom w:val="nil"/>
            </w:tcBorders>
            <w:vAlign w:val="top"/>
          </w:tcPr>
          <w:p w14:paraId="123666FA">
            <w:pPr>
              <w:rPr>
                <w:rFonts w:ascii="Arial"/>
                <w:sz w:val="21"/>
              </w:rPr>
            </w:pPr>
          </w:p>
        </w:tc>
        <w:tc>
          <w:tcPr>
            <w:tcW w:w="2599" w:type="dxa"/>
            <w:vAlign w:val="top"/>
          </w:tcPr>
          <w:p w14:paraId="43DCF725">
            <w:pPr>
              <w:pStyle w:val="6"/>
              <w:spacing w:before="69" w:line="227" w:lineRule="auto"/>
              <w:ind w:left="149"/>
              <w:rPr>
                <w:sz w:val="20"/>
                <w:szCs w:val="20"/>
              </w:rPr>
            </w:pPr>
            <w:r>
              <w:rPr>
                <w:spacing w:val="9"/>
                <w:sz w:val="20"/>
                <w:szCs w:val="20"/>
              </w:rPr>
              <w:t>焦炭烘干、筛分出料废气</w:t>
            </w:r>
          </w:p>
        </w:tc>
        <w:tc>
          <w:tcPr>
            <w:tcW w:w="1311" w:type="dxa"/>
            <w:vAlign w:val="top"/>
          </w:tcPr>
          <w:p w14:paraId="1146C828">
            <w:pPr>
              <w:spacing w:before="108" w:line="207" w:lineRule="auto"/>
              <w:ind w:left="220"/>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w:t>
            </w:r>
            <w:r>
              <w:rPr>
                <w:rFonts w:ascii="Times New Roman" w:hAnsi="Times New Roman" w:eastAsia="Times New Roman" w:cs="Times New Roman"/>
                <w:spacing w:val="-12"/>
                <w:sz w:val="13"/>
                <w:szCs w:val="13"/>
              </w:rPr>
              <w:t xml:space="preserve"> </w:t>
            </w:r>
            <w:r>
              <w:rPr>
                <w:rFonts w:ascii="Times New Roman" w:hAnsi="Times New Roman" w:eastAsia="Times New Roman" w:cs="Times New Roman"/>
                <w:spacing w:val="-1"/>
                <w:sz w:val="13"/>
                <w:szCs w:val="13"/>
              </w:rPr>
              <w:t xml:space="preserve">1 </w:t>
            </w:r>
            <w:r>
              <w:rPr>
                <w:rFonts w:ascii="微软雅黑" w:hAnsi="微软雅黑" w:eastAsia="微软雅黑" w:cs="微软雅黑"/>
                <w:spacing w:val="-1"/>
                <w:position w:val="2"/>
                <w:sz w:val="13"/>
                <w:szCs w:val="13"/>
              </w:rPr>
              <w:t>、</w:t>
            </w:r>
            <w:r>
              <w:rPr>
                <w:rFonts w:ascii="微软雅黑" w:hAnsi="微软雅黑" w:eastAsia="微软雅黑" w:cs="微软雅黑"/>
                <w:spacing w:val="19"/>
                <w:w w:val="101"/>
                <w:position w:val="2"/>
                <w:sz w:val="13"/>
                <w:szCs w:val="13"/>
              </w:rPr>
              <w:t xml:space="preserve"> </w:t>
            </w: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1-2</w:t>
            </w:r>
          </w:p>
        </w:tc>
        <w:tc>
          <w:tcPr>
            <w:tcW w:w="4665" w:type="dxa"/>
            <w:vAlign w:val="top"/>
          </w:tcPr>
          <w:p w14:paraId="2A0A3C3A">
            <w:pPr>
              <w:pStyle w:val="6"/>
              <w:spacing w:before="69" w:line="227" w:lineRule="auto"/>
              <w:ind w:left="1188"/>
              <w:rPr>
                <w:sz w:val="20"/>
                <w:szCs w:val="20"/>
              </w:rPr>
            </w:pPr>
            <w:r>
              <w:rPr>
                <w:spacing w:val="8"/>
                <w:sz w:val="20"/>
                <w:szCs w:val="20"/>
              </w:rPr>
              <w:t>原料烘干车间焦炭烘干机</w:t>
            </w:r>
          </w:p>
        </w:tc>
        <w:tc>
          <w:tcPr>
            <w:tcW w:w="5558" w:type="dxa"/>
            <w:vAlign w:val="top"/>
          </w:tcPr>
          <w:p w14:paraId="19A97CD7">
            <w:pPr>
              <w:pStyle w:val="6"/>
              <w:spacing w:before="70" w:line="228" w:lineRule="auto"/>
              <w:ind w:left="1905"/>
              <w:rPr>
                <w:rFonts w:ascii="Times New Roman" w:hAnsi="Times New Roman" w:eastAsia="Times New Roman" w:cs="Times New Roman"/>
                <w:sz w:val="13"/>
                <w:szCs w:val="13"/>
              </w:rPr>
            </w:pPr>
            <w:r>
              <w:rPr>
                <w:spacing w:val="8"/>
                <w:sz w:val="20"/>
                <w:szCs w:val="20"/>
              </w:rPr>
              <w:t>颗粒物、</w:t>
            </w:r>
            <w:r>
              <w:rPr>
                <w:rFonts w:ascii="Times New Roman" w:hAnsi="Times New Roman" w:eastAsia="Times New Roman" w:cs="Times New Roman"/>
                <w:sz w:val="20"/>
                <w:szCs w:val="20"/>
              </w:rPr>
              <w:t>SO</w:t>
            </w:r>
            <w:r>
              <w:rPr>
                <w:rFonts w:ascii="Times New Roman" w:hAnsi="Times New Roman" w:eastAsia="Times New Roman" w:cs="Times New Roman"/>
                <w:spacing w:val="8"/>
                <w:position w:val="-1"/>
                <w:sz w:val="13"/>
                <w:szCs w:val="13"/>
              </w:rPr>
              <w:t>2</w:t>
            </w:r>
            <w:r>
              <w:rPr>
                <w:rFonts w:ascii="Times New Roman" w:hAnsi="Times New Roman" w:eastAsia="Times New Roman" w:cs="Times New Roman"/>
                <w:spacing w:val="-8"/>
                <w:position w:val="-1"/>
                <w:sz w:val="13"/>
                <w:szCs w:val="13"/>
              </w:rPr>
              <w:t xml:space="preserve"> </w:t>
            </w:r>
            <w:r>
              <w:rPr>
                <w:spacing w:val="8"/>
                <w:sz w:val="20"/>
                <w:szCs w:val="20"/>
              </w:rPr>
              <w:t>、</w:t>
            </w:r>
            <w:r>
              <w:rPr>
                <w:rFonts w:ascii="Times New Roman" w:hAnsi="Times New Roman" w:eastAsia="Times New Roman" w:cs="Times New Roman"/>
                <w:sz w:val="20"/>
                <w:szCs w:val="20"/>
              </w:rPr>
              <w:t>NO</w:t>
            </w:r>
            <w:r>
              <w:rPr>
                <w:rFonts w:ascii="Times New Roman" w:hAnsi="Times New Roman" w:eastAsia="Times New Roman" w:cs="Times New Roman"/>
                <w:position w:val="-1"/>
                <w:sz w:val="13"/>
                <w:szCs w:val="13"/>
              </w:rPr>
              <w:t>x</w:t>
            </w:r>
          </w:p>
        </w:tc>
        <w:tc>
          <w:tcPr>
            <w:tcW w:w="6091" w:type="dxa"/>
            <w:tcBorders>
              <w:right w:val="nil"/>
            </w:tcBorders>
            <w:vAlign w:val="top"/>
          </w:tcPr>
          <w:p w14:paraId="3CF7739B">
            <w:pPr>
              <w:pStyle w:val="6"/>
              <w:spacing w:before="69" w:line="227" w:lineRule="auto"/>
              <w:ind w:left="2258"/>
              <w:rPr>
                <w:sz w:val="20"/>
                <w:szCs w:val="20"/>
              </w:rPr>
            </w:pPr>
            <w:r>
              <w:rPr>
                <w:spacing w:val="7"/>
                <w:sz w:val="20"/>
                <w:szCs w:val="20"/>
              </w:rPr>
              <w:t>旋风</w:t>
            </w:r>
            <w:r>
              <w:rPr>
                <w:rFonts w:ascii="Times New Roman" w:hAnsi="Times New Roman" w:eastAsia="Times New Roman" w:cs="Times New Roman"/>
                <w:spacing w:val="7"/>
                <w:sz w:val="20"/>
                <w:szCs w:val="20"/>
              </w:rPr>
              <w:t>+</w:t>
            </w:r>
            <w:r>
              <w:rPr>
                <w:spacing w:val="7"/>
                <w:sz w:val="20"/>
                <w:szCs w:val="20"/>
              </w:rPr>
              <w:t>布袋除尘器</w:t>
            </w:r>
          </w:p>
        </w:tc>
      </w:tr>
      <w:tr w14:paraId="3063F9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top w:val="nil"/>
              <w:left w:val="nil"/>
              <w:bottom w:val="nil"/>
            </w:tcBorders>
            <w:vAlign w:val="top"/>
          </w:tcPr>
          <w:p w14:paraId="6C468D16">
            <w:pPr>
              <w:rPr>
                <w:rFonts w:ascii="Arial"/>
                <w:sz w:val="21"/>
              </w:rPr>
            </w:pPr>
          </w:p>
        </w:tc>
        <w:tc>
          <w:tcPr>
            <w:tcW w:w="2599" w:type="dxa"/>
            <w:vAlign w:val="top"/>
          </w:tcPr>
          <w:p w14:paraId="25D2EAB7">
            <w:pPr>
              <w:pStyle w:val="6"/>
              <w:spacing w:before="70" w:line="227" w:lineRule="auto"/>
              <w:ind w:left="255"/>
              <w:rPr>
                <w:sz w:val="20"/>
                <w:szCs w:val="20"/>
              </w:rPr>
            </w:pPr>
            <w:r>
              <w:rPr>
                <w:spacing w:val="8"/>
                <w:sz w:val="20"/>
                <w:szCs w:val="20"/>
              </w:rPr>
              <w:t>锰矿石烘干、出料废气</w:t>
            </w:r>
          </w:p>
        </w:tc>
        <w:tc>
          <w:tcPr>
            <w:tcW w:w="1311" w:type="dxa"/>
            <w:vAlign w:val="top"/>
          </w:tcPr>
          <w:p w14:paraId="66536B75">
            <w:pPr>
              <w:spacing w:before="109" w:line="208" w:lineRule="auto"/>
              <w:ind w:left="220"/>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 xml:space="preserve">1-3 </w:t>
            </w:r>
            <w:r>
              <w:rPr>
                <w:rFonts w:ascii="微软雅黑" w:hAnsi="微软雅黑" w:eastAsia="微软雅黑" w:cs="微软雅黑"/>
                <w:spacing w:val="1"/>
                <w:position w:val="2"/>
                <w:sz w:val="13"/>
                <w:szCs w:val="13"/>
              </w:rPr>
              <w:t>、</w:t>
            </w:r>
            <w:r>
              <w:rPr>
                <w:rFonts w:ascii="微软雅黑" w:hAnsi="微软雅黑" w:eastAsia="微软雅黑" w:cs="微软雅黑"/>
                <w:spacing w:val="20"/>
                <w:position w:val="2"/>
                <w:sz w:val="13"/>
                <w:szCs w:val="13"/>
              </w:rPr>
              <w:t xml:space="preserve"> </w:t>
            </w: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1-4</w:t>
            </w:r>
          </w:p>
        </w:tc>
        <w:tc>
          <w:tcPr>
            <w:tcW w:w="4665" w:type="dxa"/>
            <w:vAlign w:val="top"/>
          </w:tcPr>
          <w:p w14:paraId="5A2412AF">
            <w:pPr>
              <w:pStyle w:val="6"/>
              <w:spacing w:before="70" w:line="227" w:lineRule="auto"/>
              <w:ind w:left="1082"/>
              <w:rPr>
                <w:sz w:val="20"/>
                <w:szCs w:val="20"/>
              </w:rPr>
            </w:pPr>
            <w:r>
              <w:rPr>
                <w:spacing w:val="8"/>
                <w:sz w:val="20"/>
                <w:szCs w:val="20"/>
              </w:rPr>
              <w:t>原料烘干车间锰矿石烘干机</w:t>
            </w:r>
          </w:p>
        </w:tc>
        <w:tc>
          <w:tcPr>
            <w:tcW w:w="5558" w:type="dxa"/>
            <w:vAlign w:val="top"/>
          </w:tcPr>
          <w:p w14:paraId="44431ECB">
            <w:pPr>
              <w:pStyle w:val="6"/>
              <w:spacing w:before="70" w:line="228" w:lineRule="auto"/>
              <w:ind w:left="2469"/>
              <w:rPr>
                <w:sz w:val="20"/>
                <w:szCs w:val="20"/>
              </w:rPr>
            </w:pPr>
            <w:r>
              <w:rPr>
                <w:spacing w:val="7"/>
                <w:sz w:val="20"/>
                <w:szCs w:val="20"/>
              </w:rPr>
              <w:t>颗粒物</w:t>
            </w:r>
          </w:p>
        </w:tc>
        <w:tc>
          <w:tcPr>
            <w:tcW w:w="6091" w:type="dxa"/>
            <w:tcBorders>
              <w:right w:val="nil"/>
            </w:tcBorders>
            <w:vAlign w:val="top"/>
          </w:tcPr>
          <w:p w14:paraId="14B11F0B">
            <w:pPr>
              <w:pStyle w:val="6"/>
              <w:spacing w:before="70" w:line="227" w:lineRule="auto"/>
              <w:ind w:left="2526"/>
              <w:rPr>
                <w:sz w:val="20"/>
                <w:szCs w:val="20"/>
              </w:rPr>
            </w:pPr>
            <w:r>
              <w:rPr>
                <w:spacing w:val="8"/>
                <w:sz w:val="20"/>
                <w:szCs w:val="20"/>
              </w:rPr>
              <w:t>布袋除尘器</w:t>
            </w:r>
          </w:p>
        </w:tc>
      </w:tr>
      <w:tr w14:paraId="5368B8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0496E0CA">
            <w:pPr>
              <w:rPr>
                <w:rFonts w:ascii="Arial"/>
                <w:sz w:val="21"/>
              </w:rPr>
            </w:pPr>
          </w:p>
        </w:tc>
        <w:tc>
          <w:tcPr>
            <w:tcW w:w="2599" w:type="dxa"/>
            <w:vAlign w:val="top"/>
          </w:tcPr>
          <w:p w14:paraId="62F08907">
            <w:pPr>
              <w:pStyle w:val="6"/>
              <w:spacing w:before="72" w:line="227" w:lineRule="auto"/>
              <w:ind w:left="568"/>
              <w:rPr>
                <w:sz w:val="20"/>
                <w:szCs w:val="20"/>
              </w:rPr>
            </w:pPr>
            <w:r>
              <w:rPr>
                <w:spacing w:val="8"/>
                <w:sz w:val="20"/>
                <w:szCs w:val="20"/>
              </w:rPr>
              <w:t>烧结配料站粉尘</w:t>
            </w:r>
          </w:p>
        </w:tc>
        <w:tc>
          <w:tcPr>
            <w:tcW w:w="1311" w:type="dxa"/>
            <w:vAlign w:val="top"/>
          </w:tcPr>
          <w:p w14:paraId="51953373">
            <w:pPr>
              <w:spacing w:before="108" w:line="211" w:lineRule="auto"/>
              <w:ind w:left="494"/>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G</w:t>
            </w:r>
            <w:r>
              <w:rPr>
                <w:rFonts w:ascii="Times New Roman" w:hAnsi="Times New Roman" w:eastAsia="Times New Roman" w:cs="Times New Roman"/>
                <w:spacing w:val="2"/>
                <w:sz w:val="13"/>
                <w:szCs w:val="13"/>
              </w:rPr>
              <w:t>1-5</w:t>
            </w:r>
          </w:p>
        </w:tc>
        <w:tc>
          <w:tcPr>
            <w:tcW w:w="4665" w:type="dxa"/>
            <w:vAlign w:val="top"/>
          </w:tcPr>
          <w:p w14:paraId="131D1D5A">
            <w:pPr>
              <w:pStyle w:val="6"/>
              <w:spacing w:before="72" w:line="227" w:lineRule="auto"/>
              <w:ind w:left="1391"/>
              <w:rPr>
                <w:sz w:val="20"/>
                <w:szCs w:val="20"/>
              </w:rPr>
            </w:pPr>
            <w:r>
              <w:rPr>
                <w:spacing w:val="9"/>
                <w:sz w:val="20"/>
                <w:szCs w:val="20"/>
              </w:rPr>
              <w:t>烧结系统烧结机配料</w:t>
            </w:r>
          </w:p>
        </w:tc>
        <w:tc>
          <w:tcPr>
            <w:tcW w:w="5558" w:type="dxa"/>
            <w:vAlign w:val="top"/>
          </w:tcPr>
          <w:p w14:paraId="67B209CD">
            <w:pPr>
              <w:pStyle w:val="6"/>
              <w:spacing w:before="72" w:line="228" w:lineRule="auto"/>
              <w:ind w:left="1732"/>
              <w:rPr>
                <w:sz w:val="20"/>
                <w:szCs w:val="20"/>
              </w:rPr>
            </w:pPr>
            <w:r>
              <w:rPr>
                <w:spacing w:val="9"/>
                <w:sz w:val="20"/>
                <w:szCs w:val="20"/>
              </w:rPr>
              <w:t>颗粒物、锰及其化合物</w:t>
            </w:r>
          </w:p>
        </w:tc>
        <w:tc>
          <w:tcPr>
            <w:tcW w:w="6091" w:type="dxa"/>
            <w:tcBorders>
              <w:right w:val="nil"/>
            </w:tcBorders>
            <w:vAlign w:val="top"/>
          </w:tcPr>
          <w:p w14:paraId="3F5C85C7">
            <w:pPr>
              <w:pStyle w:val="6"/>
              <w:spacing w:before="72" w:line="227" w:lineRule="auto"/>
              <w:ind w:left="2526"/>
              <w:rPr>
                <w:sz w:val="20"/>
                <w:szCs w:val="20"/>
              </w:rPr>
            </w:pPr>
            <w:r>
              <w:rPr>
                <w:spacing w:val="8"/>
                <w:sz w:val="20"/>
                <w:szCs w:val="20"/>
              </w:rPr>
              <w:t>布袋除尘器</w:t>
            </w:r>
          </w:p>
        </w:tc>
      </w:tr>
      <w:tr w14:paraId="1108DF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top w:val="nil"/>
              <w:left w:val="nil"/>
              <w:bottom w:val="nil"/>
            </w:tcBorders>
            <w:vAlign w:val="top"/>
          </w:tcPr>
          <w:p w14:paraId="3B4CBBF7">
            <w:pPr>
              <w:rPr>
                <w:rFonts w:ascii="Arial"/>
                <w:sz w:val="21"/>
              </w:rPr>
            </w:pPr>
          </w:p>
        </w:tc>
        <w:tc>
          <w:tcPr>
            <w:tcW w:w="2599" w:type="dxa"/>
            <w:vAlign w:val="top"/>
          </w:tcPr>
          <w:p w14:paraId="394E2BA8">
            <w:pPr>
              <w:pStyle w:val="6"/>
              <w:spacing w:before="72" w:line="227" w:lineRule="auto"/>
              <w:ind w:left="674"/>
              <w:rPr>
                <w:sz w:val="20"/>
                <w:szCs w:val="20"/>
              </w:rPr>
            </w:pPr>
            <w:r>
              <w:rPr>
                <w:spacing w:val="8"/>
                <w:sz w:val="20"/>
                <w:szCs w:val="20"/>
              </w:rPr>
              <w:t>烧结机头废气</w:t>
            </w:r>
          </w:p>
        </w:tc>
        <w:tc>
          <w:tcPr>
            <w:tcW w:w="1311" w:type="dxa"/>
            <w:vAlign w:val="top"/>
          </w:tcPr>
          <w:p w14:paraId="2B1067FB">
            <w:pPr>
              <w:spacing w:before="108" w:line="211" w:lineRule="auto"/>
              <w:ind w:left="494"/>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1-6</w:t>
            </w:r>
          </w:p>
        </w:tc>
        <w:tc>
          <w:tcPr>
            <w:tcW w:w="4665" w:type="dxa"/>
            <w:vAlign w:val="top"/>
          </w:tcPr>
          <w:p w14:paraId="23AEACB0">
            <w:pPr>
              <w:pStyle w:val="6"/>
              <w:spacing w:before="72" w:line="227" w:lineRule="auto"/>
              <w:ind w:left="551"/>
              <w:rPr>
                <w:sz w:val="20"/>
                <w:szCs w:val="20"/>
              </w:rPr>
            </w:pPr>
            <w:r>
              <w:rPr>
                <w:spacing w:val="9"/>
                <w:sz w:val="20"/>
                <w:szCs w:val="20"/>
              </w:rPr>
              <w:t>烧结系统烧结机烧结过程及烧结矿冷却</w:t>
            </w:r>
          </w:p>
        </w:tc>
        <w:tc>
          <w:tcPr>
            <w:tcW w:w="5558" w:type="dxa"/>
            <w:vAlign w:val="top"/>
          </w:tcPr>
          <w:p w14:paraId="4C67B13E">
            <w:pPr>
              <w:pStyle w:val="6"/>
              <w:spacing w:before="73" w:line="228" w:lineRule="auto"/>
              <w:ind w:left="1168"/>
              <w:rPr>
                <w:rFonts w:ascii="Times New Roman" w:hAnsi="Times New Roman" w:eastAsia="Times New Roman" w:cs="Times New Roman"/>
                <w:sz w:val="13"/>
                <w:szCs w:val="13"/>
              </w:rPr>
            </w:pPr>
            <w:r>
              <w:rPr>
                <w:spacing w:val="9"/>
                <w:sz w:val="20"/>
                <w:szCs w:val="20"/>
              </w:rPr>
              <w:t>颗粒物、锰及其化合物、</w:t>
            </w:r>
            <w:r>
              <w:rPr>
                <w:rFonts w:ascii="Times New Roman" w:hAnsi="Times New Roman" w:eastAsia="Times New Roman" w:cs="Times New Roman"/>
                <w:sz w:val="20"/>
                <w:szCs w:val="20"/>
              </w:rPr>
              <w:t>SO</w:t>
            </w:r>
            <w:r>
              <w:rPr>
                <w:rFonts w:ascii="Times New Roman" w:hAnsi="Times New Roman" w:eastAsia="Times New Roman" w:cs="Times New Roman"/>
                <w:spacing w:val="9"/>
                <w:position w:val="-1"/>
                <w:sz w:val="13"/>
                <w:szCs w:val="13"/>
              </w:rPr>
              <w:t>2</w:t>
            </w:r>
            <w:r>
              <w:rPr>
                <w:rFonts w:ascii="Times New Roman" w:hAnsi="Times New Roman" w:eastAsia="Times New Roman" w:cs="Times New Roman"/>
                <w:spacing w:val="-4"/>
                <w:position w:val="-1"/>
                <w:sz w:val="13"/>
                <w:szCs w:val="13"/>
              </w:rPr>
              <w:t xml:space="preserve"> </w:t>
            </w:r>
            <w:r>
              <w:rPr>
                <w:spacing w:val="9"/>
                <w:sz w:val="20"/>
                <w:szCs w:val="20"/>
              </w:rPr>
              <w:t>、</w:t>
            </w:r>
            <w:r>
              <w:rPr>
                <w:rFonts w:ascii="Times New Roman" w:hAnsi="Times New Roman" w:eastAsia="Times New Roman" w:cs="Times New Roman"/>
                <w:sz w:val="20"/>
                <w:szCs w:val="20"/>
              </w:rPr>
              <w:t>NO</w:t>
            </w:r>
            <w:r>
              <w:rPr>
                <w:rFonts w:ascii="Times New Roman" w:hAnsi="Times New Roman" w:eastAsia="Times New Roman" w:cs="Times New Roman"/>
                <w:position w:val="-1"/>
                <w:sz w:val="13"/>
                <w:szCs w:val="13"/>
              </w:rPr>
              <w:t>x</w:t>
            </w:r>
          </w:p>
        </w:tc>
        <w:tc>
          <w:tcPr>
            <w:tcW w:w="6091" w:type="dxa"/>
            <w:tcBorders>
              <w:right w:val="nil"/>
            </w:tcBorders>
            <w:vAlign w:val="top"/>
          </w:tcPr>
          <w:p w14:paraId="07E3E061">
            <w:pPr>
              <w:pStyle w:val="6"/>
              <w:spacing w:before="72" w:line="227" w:lineRule="auto"/>
              <w:ind w:left="694"/>
              <w:rPr>
                <w:sz w:val="20"/>
                <w:szCs w:val="20"/>
              </w:rPr>
            </w:pPr>
            <w:r>
              <w:rPr>
                <w:spacing w:val="9"/>
                <w:sz w:val="20"/>
                <w:szCs w:val="20"/>
              </w:rPr>
              <w:t>旋风除尘器</w:t>
            </w:r>
            <w:r>
              <w:rPr>
                <w:rFonts w:ascii="Times New Roman" w:hAnsi="Times New Roman" w:eastAsia="Times New Roman" w:cs="Times New Roman"/>
                <w:spacing w:val="9"/>
                <w:sz w:val="20"/>
                <w:szCs w:val="20"/>
              </w:rPr>
              <w:t>+</w:t>
            </w:r>
            <w:r>
              <w:rPr>
                <w:spacing w:val="9"/>
                <w:sz w:val="20"/>
                <w:szCs w:val="20"/>
              </w:rPr>
              <w:t>耐高温布袋除尘器</w:t>
            </w:r>
            <w:r>
              <w:rPr>
                <w:rFonts w:ascii="Times New Roman" w:hAnsi="Times New Roman" w:eastAsia="Times New Roman" w:cs="Times New Roman"/>
                <w:spacing w:val="9"/>
                <w:sz w:val="20"/>
                <w:szCs w:val="20"/>
              </w:rPr>
              <w:t>+</w:t>
            </w:r>
            <w:r>
              <w:rPr>
                <w:spacing w:val="9"/>
                <w:sz w:val="20"/>
                <w:szCs w:val="20"/>
              </w:rPr>
              <w:t>石灰石</w:t>
            </w:r>
            <w:r>
              <w:rPr>
                <w:rFonts w:ascii="Times New Roman" w:hAnsi="Times New Roman" w:eastAsia="Times New Roman" w:cs="Times New Roman"/>
                <w:spacing w:val="9"/>
                <w:sz w:val="20"/>
                <w:szCs w:val="20"/>
              </w:rPr>
              <w:t>-</w:t>
            </w:r>
            <w:r>
              <w:rPr>
                <w:spacing w:val="9"/>
                <w:sz w:val="20"/>
                <w:szCs w:val="20"/>
              </w:rPr>
              <w:t>石膏</w:t>
            </w:r>
            <w:r>
              <w:rPr>
                <w:spacing w:val="8"/>
                <w:sz w:val="20"/>
                <w:szCs w:val="20"/>
              </w:rPr>
              <w:t>脱硫塔</w:t>
            </w:r>
          </w:p>
        </w:tc>
      </w:tr>
      <w:tr w14:paraId="632213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5161F7B0">
            <w:pPr>
              <w:rPr>
                <w:rFonts w:ascii="Arial"/>
                <w:sz w:val="21"/>
              </w:rPr>
            </w:pPr>
          </w:p>
        </w:tc>
        <w:tc>
          <w:tcPr>
            <w:tcW w:w="2599" w:type="dxa"/>
            <w:vAlign w:val="top"/>
          </w:tcPr>
          <w:p w14:paraId="0BDE248C">
            <w:pPr>
              <w:pStyle w:val="6"/>
              <w:spacing w:before="72" w:line="227" w:lineRule="auto"/>
              <w:ind w:left="674"/>
              <w:rPr>
                <w:sz w:val="20"/>
                <w:szCs w:val="20"/>
              </w:rPr>
            </w:pPr>
            <w:r>
              <w:rPr>
                <w:spacing w:val="8"/>
                <w:sz w:val="20"/>
                <w:szCs w:val="20"/>
              </w:rPr>
              <w:t>烧结机尾粉尘</w:t>
            </w:r>
          </w:p>
        </w:tc>
        <w:tc>
          <w:tcPr>
            <w:tcW w:w="1311" w:type="dxa"/>
            <w:vAlign w:val="top"/>
          </w:tcPr>
          <w:p w14:paraId="6703297D">
            <w:pPr>
              <w:spacing w:before="108" w:line="211" w:lineRule="auto"/>
              <w:ind w:left="494"/>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1-7</w:t>
            </w:r>
          </w:p>
        </w:tc>
        <w:tc>
          <w:tcPr>
            <w:tcW w:w="4665" w:type="dxa"/>
            <w:vAlign w:val="top"/>
          </w:tcPr>
          <w:p w14:paraId="1F935DDE">
            <w:pPr>
              <w:pStyle w:val="6"/>
              <w:spacing w:before="72" w:line="227" w:lineRule="auto"/>
              <w:ind w:left="131"/>
              <w:rPr>
                <w:sz w:val="20"/>
                <w:szCs w:val="20"/>
              </w:rPr>
            </w:pPr>
            <w:r>
              <w:rPr>
                <w:spacing w:val="9"/>
                <w:sz w:val="20"/>
                <w:szCs w:val="20"/>
              </w:rPr>
              <w:t>烧结系统烧结机头部、尾部与冷却段的给、卸料</w:t>
            </w:r>
          </w:p>
        </w:tc>
        <w:tc>
          <w:tcPr>
            <w:tcW w:w="5558" w:type="dxa"/>
            <w:vAlign w:val="top"/>
          </w:tcPr>
          <w:p w14:paraId="5E92DAD7">
            <w:pPr>
              <w:pStyle w:val="6"/>
              <w:spacing w:before="73" w:line="228" w:lineRule="auto"/>
              <w:ind w:left="1732"/>
              <w:rPr>
                <w:sz w:val="20"/>
                <w:szCs w:val="20"/>
              </w:rPr>
            </w:pPr>
            <w:r>
              <w:rPr>
                <w:spacing w:val="9"/>
                <w:sz w:val="20"/>
                <w:szCs w:val="20"/>
              </w:rPr>
              <w:t>颗粒物、锰及其化合物</w:t>
            </w:r>
          </w:p>
        </w:tc>
        <w:tc>
          <w:tcPr>
            <w:tcW w:w="6091" w:type="dxa"/>
            <w:tcBorders>
              <w:right w:val="nil"/>
            </w:tcBorders>
            <w:vAlign w:val="top"/>
          </w:tcPr>
          <w:p w14:paraId="2C35EDE1">
            <w:pPr>
              <w:pStyle w:val="6"/>
              <w:spacing w:before="72" w:line="227" w:lineRule="auto"/>
              <w:ind w:left="2258"/>
              <w:rPr>
                <w:sz w:val="20"/>
                <w:szCs w:val="20"/>
              </w:rPr>
            </w:pPr>
            <w:r>
              <w:rPr>
                <w:spacing w:val="7"/>
                <w:sz w:val="20"/>
                <w:szCs w:val="20"/>
              </w:rPr>
              <w:t>旋风</w:t>
            </w:r>
            <w:r>
              <w:rPr>
                <w:rFonts w:ascii="Times New Roman" w:hAnsi="Times New Roman" w:eastAsia="Times New Roman" w:cs="Times New Roman"/>
                <w:spacing w:val="7"/>
                <w:sz w:val="20"/>
                <w:szCs w:val="20"/>
              </w:rPr>
              <w:t>+</w:t>
            </w:r>
            <w:r>
              <w:rPr>
                <w:spacing w:val="7"/>
                <w:sz w:val="20"/>
                <w:szCs w:val="20"/>
              </w:rPr>
              <w:t>布袋除尘器</w:t>
            </w:r>
          </w:p>
        </w:tc>
      </w:tr>
      <w:tr w14:paraId="2EBA88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558D7837">
            <w:pPr>
              <w:rPr>
                <w:rFonts w:ascii="Arial"/>
                <w:sz w:val="21"/>
              </w:rPr>
            </w:pPr>
          </w:p>
        </w:tc>
        <w:tc>
          <w:tcPr>
            <w:tcW w:w="2599" w:type="dxa"/>
            <w:vAlign w:val="top"/>
          </w:tcPr>
          <w:p w14:paraId="4E6214CA">
            <w:pPr>
              <w:pStyle w:val="6"/>
              <w:spacing w:before="72" w:line="228" w:lineRule="auto"/>
              <w:ind w:left="463"/>
              <w:rPr>
                <w:sz w:val="20"/>
                <w:szCs w:val="20"/>
              </w:rPr>
            </w:pPr>
            <w:r>
              <w:rPr>
                <w:spacing w:val="8"/>
                <w:sz w:val="20"/>
                <w:szCs w:val="20"/>
              </w:rPr>
              <w:t>锰硅电炉配料粉尘</w:t>
            </w:r>
          </w:p>
        </w:tc>
        <w:tc>
          <w:tcPr>
            <w:tcW w:w="1311" w:type="dxa"/>
            <w:vAlign w:val="top"/>
          </w:tcPr>
          <w:p w14:paraId="366ABB55">
            <w:pPr>
              <w:spacing w:before="109" w:line="211" w:lineRule="auto"/>
              <w:ind w:left="494"/>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G</w:t>
            </w:r>
            <w:r>
              <w:rPr>
                <w:rFonts w:ascii="Times New Roman" w:hAnsi="Times New Roman" w:eastAsia="Times New Roman" w:cs="Times New Roman"/>
                <w:spacing w:val="2"/>
                <w:sz w:val="13"/>
                <w:szCs w:val="13"/>
              </w:rPr>
              <w:t>1-8</w:t>
            </w:r>
          </w:p>
        </w:tc>
        <w:tc>
          <w:tcPr>
            <w:tcW w:w="4665" w:type="dxa"/>
            <w:vAlign w:val="top"/>
          </w:tcPr>
          <w:p w14:paraId="45685CDD">
            <w:pPr>
              <w:pStyle w:val="6"/>
              <w:spacing w:before="72" w:line="228" w:lineRule="auto"/>
              <w:ind w:left="1522"/>
              <w:rPr>
                <w:sz w:val="20"/>
                <w:szCs w:val="20"/>
              </w:rPr>
            </w:pPr>
            <w:r>
              <w:rPr>
                <w:spacing w:val="5"/>
                <w:sz w:val="20"/>
                <w:szCs w:val="20"/>
              </w:rPr>
              <w:t>电炉车间电炉配料</w:t>
            </w:r>
          </w:p>
        </w:tc>
        <w:tc>
          <w:tcPr>
            <w:tcW w:w="5558" w:type="dxa"/>
            <w:vAlign w:val="top"/>
          </w:tcPr>
          <w:p w14:paraId="4B48DDBE">
            <w:pPr>
              <w:pStyle w:val="6"/>
              <w:spacing w:before="73" w:line="228" w:lineRule="auto"/>
              <w:ind w:left="1732"/>
              <w:rPr>
                <w:sz w:val="20"/>
                <w:szCs w:val="20"/>
              </w:rPr>
            </w:pPr>
            <w:r>
              <w:rPr>
                <w:spacing w:val="9"/>
                <w:sz w:val="20"/>
                <w:szCs w:val="20"/>
              </w:rPr>
              <w:t>颗粒物、锰及其化合物</w:t>
            </w:r>
          </w:p>
        </w:tc>
        <w:tc>
          <w:tcPr>
            <w:tcW w:w="6091" w:type="dxa"/>
            <w:tcBorders>
              <w:right w:val="nil"/>
            </w:tcBorders>
            <w:vAlign w:val="top"/>
          </w:tcPr>
          <w:p w14:paraId="0EA8939D">
            <w:pPr>
              <w:pStyle w:val="6"/>
              <w:spacing w:before="73" w:line="227" w:lineRule="auto"/>
              <w:ind w:left="2526"/>
              <w:rPr>
                <w:sz w:val="20"/>
                <w:szCs w:val="20"/>
              </w:rPr>
            </w:pPr>
            <w:r>
              <w:rPr>
                <w:spacing w:val="8"/>
                <w:sz w:val="20"/>
                <w:szCs w:val="20"/>
              </w:rPr>
              <w:t>布袋除尘器</w:t>
            </w:r>
          </w:p>
        </w:tc>
      </w:tr>
      <w:tr w14:paraId="4FAE50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top w:val="nil"/>
              <w:left w:val="nil"/>
              <w:bottom w:val="nil"/>
            </w:tcBorders>
            <w:vAlign w:val="top"/>
          </w:tcPr>
          <w:p w14:paraId="5C3F7275">
            <w:pPr>
              <w:rPr>
                <w:rFonts w:ascii="Arial"/>
                <w:sz w:val="21"/>
              </w:rPr>
            </w:pPr>
          </w:p>
        </w:tc>
        <w:tc>
          <w:tcPr>
            <w:tcW w:w="2599" w:type="dxa"/>
            <w:vAlign w:val="top"/>
          </w:tcPr>
          <w:p w14:paraId="7FCDB789">
            <w:pPr>
              <w:pStyle w:val="6"/>
              <w:spacing w:before="73" w:line="228" w:lineRule="auto"/>
              <w:ind w:left="463"/>
              <w:rPr>
                <w:sz w:val="20"/>
                <w:szCs w:val="20"/>
              </w:rPr>
            </w:pPr>
            <w:r>
              <w:rPr>
                <w:spacing w:val="8"/>
                <w:sz w:val="20"/>
                <w:szCs w:val="20"/>
              </w:rPr>
              <w:t>锰硅电炉加料粉尘</w:t>
            </w:r>
          </w:p>
        </w:tc>
        <w:tc>
          <w:tcPr>
            <w:tcW w:w="1311" w:type="dxa"/>
            <w:vAlign w:val="top"/>
          </w:tcPr>
          <w:p w14:paraId="18C5D078">
            <w:pPr>
              <w:spacing w:before="111" w:line="209" w:lineRule="auto"/>
              <w:ind w:left="494"/>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1-9</w:t>
            </w:r>
          </w:p>
        </w:tc>
        <w:tc>
          <w:tcPr>
            <w:tcW w:w="4665" w:type="dxa"/>
            <w:vAlign w:val="top"/>
          </w:tcPr>
          <w:p w14:paraId="5B30F29A">
            <w:pPr>
              <w:pStyle w:val="6"/>
              <w:spacing w:before="73" w:line="228" w:lineRule="auto"/>
              <w:ind w:left="1522"/>
              <w:rPr>
                <w:sz w:val="20"/>
                <w:szCs w:val="20"/>
              </w:rPr>
            </w:pPr>
            <w:r>
              <w:rPr>
                <w:spacing w:val="5"/>
                <w:sz w:val="20"/>
                <w:szCs w:val="20"/>
              </w:rPr>
              <w:t>电炉车间电炉加料</w:t>
            </w:r>
          </w:p>
        </w:tc>
        <w:tc>
          <w:tcPr>
            <w:tcW w:w="5558" w:type="dxa"/>
            <w:vAlign w:val="top"/>
          </w:tcPr>
          <w:p w14:paraId="617F8604">
            <w:pPr>
              <w:pStyle w:val="6"/>
              <w:spacing w:before="74" w:line="228" w:lineRule="auto"/>
              <w:ind w:left="1732"/>
              <w:rPr>
                <w:sz w:val="20"/>
                <w:szCs w:val="20"/>
              </w:rPr>
            </w:pPr>
            <w:r>
              <w:rPr>
                <w:spacing w:val="9"/>
                <w:sz w:val="20"/>
                <w:szCs w:val="20"/>
              </w:rPr>
              <w:t>颗粒物、锰及其化合物</w:t>
            </w:r>
          </w:p>
        </w:tc>
        <w:tc>
          <w:tcPr>
            <w:tcW w:w="6091" w:type="dxa"/>
            <w:tcBorders>
              <w:right w:val="nil"/>
            </w:tcBorders>
            <w:vAlign w:val="top"/>
          </w:tcPr>
          <w:p w14:paraId="6429BBAA">
            <w:pPr>
              <w:pStyle w:val="6"/>
              <w:spacing w:before="73" w:line="227" w:lineRule="auto"/>
              <w:ind w:left="2526"/>
              <w:rPr>
                <w:sz w:val="20"/>
                <w:szCs w:val="20"/>
              </w:rPr>
            </w:pPr>
            <w:r>
              <w:rPr>
                <w:spacing w:val="8"/>
                <w:sz w:val="20"/>
                <w:szCs w:val="20"/>
              </w:rPr>
              <w:t>布袋除尘器</w:t>
            </w:r>
          </w:p>
        </w:tc>
      </w:tr>
      <w:tr w14:paraId="22CF24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3388CC95">
            <w:pPr>
              <w:rPr>
                <w:rFonts w:ascii="Arial"/>
                <w:sz w:val="21"/>
              </w:rPr>
            </w:pPr>
          </w:p>
        </w:tc>
        <w:tc>
          <w:tcPr>
            <w:tcW w:w="2599" w:type="dxa"/>
            <w:vAlign w:val="top"/>
          </w:tcPr>
          <w:p w14:paraId="62A8F623">
            <w:pPr>
              <w:pStyle w:val="6"/>
              <w:spacing w:before="73" w:line="228" w:lineRule="auto"/>
              <w:ind w:left="149"/>
              <w:rPr>
                <w:sz w:val="20"/>
                <w:szCs w:val="20"/>
              </w:rPr>
            </w:pPr>
            <w:r>
              <w:rPr>
                <w:spacing w:val="9"/>
                <w:sz w:val="20"/>
                <w:szCs w:val="20"/>
              </w:rPr>
              <w:t>锰硅出铁出渣及浇铸烟气</w:t>
            </w:r>
          </w:p>
        </w:tc>
        <w:tc>
          <w:tcPr>
            <w:tcW w:w="1311" w:type="dxa"/>
            <w:vAlign w:val="top"/>
          </w:tcPr>
          <w:p w14:paraId="0AEB0D81">
            <w:pPr>
              <w:spacing w:before="112" w:line="208" w:lineRule="auto"/>
              <w:ind w:left="460"/>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1"/>
                <w:sz w:val="13"/>
                <w:szCs w:val="13"/>
              </w:rPr>
              <w:t>10</w:t>
            </w:r>
          </w:p>
        </w:tc>
        <w:tc>
          <w:tcPr>
            <w:tcW w:w="4665" w:type="dxa"/>
            <w:vAlign w:val="top"/>
          </w:tcPr>
          <w:p w14:paraId="552A162F">
            <w:pPr>
              <w:pStyle w:val="6"/>
              <w:spacing w:before="73" w:line="228" w:lineRule="auto"/>
              <w:ind w:left="367"/>
              <w:rPr>
                <w:sz w:val="20"/>
                <w:szCs w:val="20"/>
              </w:rPr>
            </w:pPr>
            <w:r>
              <w:rPr>
                <w:spacing w:val="8"/>
                <w:sz w:val="20"/>
                <w:szCs w:val="20"/>
              </w:rPr>
              <w:t>电炉车间硅锰电炉出铁、出渣口及浇筑场地</w:t>
            </w:r>
          </w:p>
        </w:tc>
        <w:tc>
          <w:tcPr>
            <w:tcW w:w="5558" w:type="dxa"/>
            <w:vAlign w:val="top"/>
          </w:tcPr>
          <w:p w14:paraId="074B59E2">
            <w:pPr>
              <w:pStyle w:val="6"/>
              <w:spacing w:before="73" w:line="228" w:lineRule="auto"/>
              <w:ind w:left="1732"/>
              <w:rPr>
                <w:sz w:val="20"/>
                <w:szCs w:val="20"/>
              </w:rPr>
            </w:pPr>
            <w:r>
              <w:rPr>
                <w:spacing w:val="9"/>
                <w:sz w:val="20"/>
                <w:szCs w:val="20"/>
              </w:rPr>
              <w:t>颗粒物、锰及其化合物</w:t>
            </w:r>
          </w:p>
        </w:tc>
        <w:tc>
          <w:tcPr>
            <w:tcW w:w="6091" w:type="dxa"/>
            <w:tcBorders>
              <w:right w:val="nil"/>
            </w:tcBorders>
            <w:vAlign w:val="top"/>
          </w:tcPr>
          <w:p w14:paraId="1FDAC0D9">
            <w:pPr>
              <w:pStyle w:val="6"/>
              <w:spacing w:before="73" w:line="227" w:lineRule="auto"/>
              <w:ind w:left="2258"/>
              <w:rPr>
                <w:sz w:val="20"/>
                <w:szCs w:val="20"/>
              </w:rPr>
            </w:pPr>
            <w:r>
              <w:rPr>
                <w:spacing w:val="7"/>
                <w:sz w:val="20"/>
                <w:szCs w:val="20"/>
              </w:rPr>
              <w:t>旋风</w:t>
            </w:r>
            <w:r>
              <w:rPr>
                <w:rFonts w:ascii="Times New Roman" w:hAnsi="Times New Roman" w:eastAsia="Times New Roman" w:cs="Times New Roman"/>
                <w:spacing w:val="7"/>
                <w:sz w:val="20"/>
                <w:szCs w:val="20"/>
              </w:rPr>
              <w:t>+</w:t>
            </w:r>
            <w:r>
              <w:rPr>
                <w:spacing w:val="7"/>
                <w:sz w:val="20"/>
                <w:szCs w:val="20"/>
              </w:rPr>
              <w:t>布袋除尘器</w:t>
            </w:r>
          </w:p>
        </w:tc>
      </w:tr>
      <w:tr w14:paraId="79751C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top w:val="nil"/>
              <w:left w:val="nil"/>
              <w:bottom w:val="nil"/>
            </w:tcBorders>
            <w:vAlign w:val="top"/>
          </w:tcPr>
          <w:p w14:paraId="4631124A">
            <w:pPr>
              <w:rPr>
                <w:rFonts w:ascii="Arial"/>
                <w:sz w:val="21"/>
              </w:rPr>
            </w:pPr>
          </w:p>
        </w:tc>
        <w:tc>
          <w:tcPr>
            <w:tcW w:w="2599" w:type="dxa"/>
            <w:vAlign w:val="top"/>
          </w:tcPr>
          <w:p w14:paraId="37DFB2A9">
            <w:pPr>
              <w:pStyle w:val="6"/>
              <w:spacing w:before="76" w:line="227" w:lineRule="auto"/>
              <w:ind w:left="675"/>
              <w:rPr>
                <w:sz w:val="20"/>
                <w:szCs w:val="20"/>
              </w:rPr>
            </w:pPr>
            <w:r>
              <w:rPr>
                <w:spacing w:val="8"/>
                <w:sz w:val="20"/>
                <w:szCs w:val="20"/>
              </w:rPr>
              <w:t>锰硅精整粉尘</w:t>
            </w:r>
          </w:p>
        </w:tc>
        <w:tc>
          <w:tcPr>
            <w:tcW w:w="1311" w:type="dxa"/>
            <w:vAlign w:val="top"/>
          </w:tcPr>
          <w:p w14:paraId="607758DB">
            <w:pPr>
              <w:spacing w:before="112" w:line="209" w:lineRule="auto"/>
              <w:ind w:left="460"/>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1"/>
                <w:sz w:val="13"/>
                <w:szCs w:val="13"/>
              </w:rPr>
              <w:t>11</w:t>
            </w:r>
          </w:p>
        </w:tc>
        <w:tc>
          <w:tcPr>
            <w:tcW w:w="4665" w:type="dxa"/>
            <w:vAlign w:val="top"/>
          </w:tcPr>
          <w:p w14:paraId="65E23084">
            <w:pPr>
              <w:pStyle w:val="6"/>
              <w:spacing w:before="76" w:line="227" w:lineRule="auto"/>
              <w:ind w:left="1311"/>
              <w:rPr>
                <w:sz w:val="20"/>
                <w:szCs w:val="20"/>
              </w:rPr>
            </w:pPr>
            <w:r>
              <w:rPr>
                <w:spacing w:val="6"/>
                <w:sz w:val="20"/>
                <w:szCs w:val="20"/>
              </w:rPr>
              <w:t>电炉车间锰硅合金精整</w:t>
            </w:r>
          </w:p>
        </w:tc>
        <w:tc>
          <w:tcPr>
            <w:tcW w:w="5558" w:type="dxa"/>
            <w:vAlign w:val="top"/>
          </w:tcPr>
          <w:p w14:paraId="104BCBC6">
            <w:pPr>
              <w:pStyle w:val="6"/>
              <w:spacing w:before="76" w:line="228" w:lineRule="auto"/>
              <w:ind w:left="1732"/>
              <w:rPr>
                <w:sz w:val="20"/>
                <w:szCs w:val="20"/>
              </w:rPr>
            </w:pPr>
            <w:r>
              <w:rPr>
                <w:spacing w:val="9"/>
                <w:sz w:val="20"/>
                <w:szCs w:val="20"/>
              </w:rPr>
              <w:t>颗粒物、锰及其化合物</w:t>
            </w:r>
          </w:p>
        </w:tc>
        <w:tc>
          <w:tcPr>
            <w:tcW w:w="6091" w:type="dxa"/>
            <w:tcBorders>
              <w:right w:val="nil"/>
            </w:tcBorders>
            <w:vAlign w:val="top"/>
          </w:tcPr>
          <w:p w14:paraId="4E53F066">
            <w:pPr>
              <w:pStyle w:val="6"/>
              <w:spacing w:before="76" w:line="227" w:lineRule="auto"/>
              <w:ind w:left="2526"/>
              <w:rPr>
                <w:sz w:val="20"/>
                <w:szCs w:val="20"/>
              </w:rPr>
            </w:pPr>
            <w:r>
              <w:rPr>
                <w:spacing w:val="8"/>
                <w:sz w:val="20"/>
                <w:szCs w:val="20"/>
              </w:rPr>
              <w:t>布袋除尘器</w:t>
            </w:r>
          </w:p>
        </w:tc>
      </w:tr>
      <w:tr w14:paraId="12516F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2DDC50F8">
            <w:pPr>
              <w:rPr>
                <w:rFonts w:ascii="Arial"/>
                <w:sz w:val="21"/>
              </w:rPr>
            </w:pPr>
            <w:r>
              <w:pict>
                <v:shape id="_x0000_s1185" o:spid="_x0000_s1185" o:spt="202" type="#_x0000_t202" style="position:absolute;left:0pt;margin-left:8pt;margin-top:-5.55pt;height:14.4pt;width:22.55pt;mso-position-horizontal-relative:page;mso-position-vertical-relative:page;z-index:251845632;mso-width-relative:page;mso-height-relative:page;" filled="f" stroked="f" coordsize="21600,21600">
                  <v:path/>
                  <v:fill on="f" focussize="0,0"/>
                  <v:stroke on="f"/>
                  <v:imagedata o:title=""/>
                  <o:lock v:ext="edit" aspectratio="f"/>
                  <v:textbox inset="0mm,0mm,0mm,0mm">
                    <w:txbxContent>
                      <w:p w14:paraId="78D3D4C5">
                        <w:pPr>
                          <w:pStyle w:val="6"/>
                          <w:spacing w:before="20" w:line="228" w:lineRule="auto"/>
                          <w:ind w:left="20"/>
                          <w:rPr>
                            <w:sz w:val="20"/>
                            <w:szCs w:val="20"/>
                          </w:rPr>
                        </w:pPr>
                        <w:r>
                          <w:rPr>
                            <w:spacing w:val="5"/>
                            <w:sz w:val="20"/>
                            <w:szCs w:val="20"/>
                          </w:rPr>
                          <w:t>废气</w:t>
                        </w:r>
                      </w:p>
                    </w:txbxContent>
                  </v:textbox>
                </v:shape>
              </w:pict>
            </w:r>
          </w:p>
        </w:tc>
        <w:tc>
          <w:tcPr>
            <w:tcW w:w="2599" w:type="dxa"/>
            <w:vAlign w:val="top"/>
          </w:tcPr>
          <w:p w14:paraId="67D7C91B">
            <w:pPr>
              <w:pStyle w:val="6"/>
              <w:spacing w:before="76" w:line="228" w:lineRule="auto"/>
              <w:ind w:left="255"/>
              <w:rPr>
                <w:sz w:val="20"/>
                <w:szCs w:val="20"/>
              </w:rPr>
            </w:pPr>
            <w:r>
              <w:rPr>
                <w:spacing w:val="8"/>
                <w:sz w:val="20"/>
                <w:szCs w:val="20"/>
              </w:rPr>
              <w:t>煤气发电装置锅炉烟气</w:t>
            </w:r>
          </w:p>
        </w:tc>
        <w:tc>
          <w:tcPr>
            <w:tcW w:w="1311" w:type="dxa"/>
            <w:vAlign w:val="top"/>
          </w:tcPr>
          <w:p w14:paraId="07E4FB9C">
            <w:pPr>
              <w:spacing w:before="112" w:line="209" w:lineRule="auto"/>
              <w:ind w:left="494"/>
              <w:rPr>
                <w:rFonts w:ascii="Times New Roman" w:hAnsi="Times New Roman" w:eastAsia="Times New Roman" w:cs="Times New Roman"/>
                <w:sz w:val="13"/>
                <w:szCs w:val="13"/>
              </w:rPr>
            </w:pPr>
            <w:r>
              <w:rPr>
                <w:rFonts w:ascii="Times New Roman" w:hAnsi="Times New Roman" w:eastAsia="Times New Roman" w:cs="Times New Roman"/>
                <w:sz w:val="20"/>
                <w:szCs w:val="20"/>
              </w:rPr>
              <w:t>G</w:t>
            </w:r>
            <w:r>
              <w:rPr>
                <w:rFonts w:ascii="Times New Roman" w:hAnsi="Times New Roman" w:eastAsia="Times New Roman" w:cs="Times New Roman"/>
                <w:sz w:val="13"/>
                <w:szCs w:val="13"/>
              </w:rPr>
              <w:t>2-</w:t>
            </w:r>
            <w:r>
              <w:rPr>
                <w:rFonts w:ascii="Times New Roman" w:hAnsi="Times New Roman" w:eastAsia="Times New Roman" w:cs="Times New Roman"/>
                <w:spacing w:val="-16"/>
                <w:sz w:val="13"/>
                <w:szCs w:val="13"/>
              </w:rPr>
              <w:t xml:space="preserve"> </w:t>
            </w:r>
            <w:r>
              <w:rPr>
                <w:rFonts w:ascii="Times New Roman" w:hAnsi="Times New Roman" w:eastAsia="Times New Roman" w:cs="Times New Roman"/>
                <w:sz w:val="13"/>
                <w:szCs w:val="13"/>
              </w:rPr>
              <w:t>1</w:t>
            </w:r>
          </w:p>
        </w:tc>
        <w:tc>
          <w:tcPr>
            <w:tcW w:w="4665" w:type="dxa"/>
            <w:vAlign w:val="top"/>
          </w:tcPr>
          <w:p w14:paraId="3900FBEA">
            <w:pPr>
              <w:pStyle w:val="6"/>
              <w:spacing w:before="76" w:line="228" w:lineRule="auto"/>
              <w:ind w:left="1707"/>
              <w:rPr>
                <w:sz w:val="20"/>
                <w:szCs w:val="20"/>
              </w:rPr>
            </w:pPr>
            <w:r>
              <w:rPr>
                <w:spacing w:val="8"/>
                <w:sz w:val="20"/>
                <w:szCs w:val="20"/>
              </w:rPr>
              <w:t>煤气发电装置</w:t>
            </w:r>
          </w:p>
        </w:tc>
        <w:tc>
          <w:tcPr>
            <w:tcW w:w="5558" w:type="dxa"/>
            <w:vAlign w:val="top"/>
          </w:tcPr>
          <w:p w14:paraId="5722FEAB">
            <w:pPr>
              <w:pStyle w:val="6"/>
              <w:spacing w:before="76" w:line="228" w:lineRule="auto"/>
              <w:ind w:left="878"/>
              <w:rPr>
                <w:rFonts w:ascii="Times New Roman" w:hAnsi="Times New Roman" w:eastAsia="Times New Roman" w:cs="Times New Roman"/>
                <w:sz w:val="13"/>
                <w:szCs w:val="13"/>
              </w:rPr>
            </w:pPr>
            <w:r>
              <w:rPr>
                <w:spacing w:val="8"/>
                <w:sz w:val="20"/>
                <w:szCs w:val="20"/>
              </w:rPr>
              <w:t>颗粒物、锰及其化合物、</w:t>
            </w:r>
            <w:r>
              <w:rPr>
                <w:rFonts w:ascii="Times New Roman" w:hAnsi="Times New Roman" w:eastAsia="Times New Roman" w:cs="Times New Roman"/>
                <w:sz w:val="20"/>
                <w:szCs w:val="20"/>
              </w:rPr>
              <w:t>SO</w:t>
            </w:r>
            <w:r>
              <w:rPr>
                <w:rFonts w:ascii="Times New Roman" w:hAnsi="Times New Roman" w:eastAsia="Times New Roman" w:cs="Times New Roman"/>
                <w:spacing w:val="8"/>
                <w:position w:val="-1"/>
                <w:sz w:val="13"/>
                <w:szCs w:val="13"/>
              </w:rPr>
              <w:t>2</w:t>
            </w:r>
            <w:r>
              <w:rPr>
                <w:rFonts w:ascii="Times New Roman" w:hAnsi="Times New Roman" w:eastAsia="Times New Roman" w:cs="Times New Roman"/>
                <w:spacing w:val="-4"/>
                <w:position w:val="-1"/>
                <w:sz w:val="13"/>
                <w:szCs w:val="13"/>
              </w:rPr>
              <w:t xml:space="preserve"> </w:t>
            </w:r>
            <w:r>
              <w:rPr>
                <w:spacing w:val="8"/>
                <w:sz w:val="20"/>
                <w:szCs w:val="20"/>
              </w:rPr>
              <w:t>、</w:t>
            </w:r>
            <w:r>
              <w:rPr>
                <w:rFonts w:ascii="Times New Roman" w:hAnsi="Times New Roman" w:eastAsia="Times New Roman" w:cs="Times New Roman"/>
                <w:sz w:val="20"/>
                <w:szCs w:val="20"/>
              </w:rPr>
              <w:t>NO</w:t>
            </w:r>
            <w:r>
              <w:rPr>
                <w:rFonts w:ascii="Times New Roman" w:hAnsi="Times New Roman" w:eastAsia="Times New Roman" w:cs="Times New Roman"/>
                <w:position w:val="-1"/>
                <w:sz w:val="13"/>
                <w:szCs w:val="13"/>
              </w:rPr>
              <w:t>x</w:t>
            </w:r>
            <w:r>
              <w:rPr>
                <w:rFonts w:ascii="Times New Roman" w:hAnsi="Times New Roman" w:eastAsia="Times New Roman" w:cs="Times New Roman"/>
                <w:spacing w:val="-8"/>
                <w:position w:val="-1"/>
                <w:sz w:val="13"/>
                <w:szCs w:val="13"/>
              </w:rPr>
              <w:t xml:space="preserve"> </w:t>
            </w:r>
            <w:r>
              <w:rPr>
                <w:spacing w:val="8"/>
                <w:sz w:val="20"/>
                <w:szCs w:val="20"/>
              </w:rPr>
              <w:t>、</w:t>
            </w:r>
            <w:r>
              <w:rPr>
                <w:rFonts w:ascii="Times New Roman" w:hAnsi="Times New Roman" w:eastAsia="Times New Roman" w:cs="Times New Roman"/>
                <w:sz w:val="20"/>
                <w:szCs w:val="20"/>
              </w:rPr>
              <w:t>NH</w:t>
            </w:r>
            <w:r>
              <w:rPr>
                <w:rFonts w:ascii="Times New Roman" w:hAnsi="Times New Roman" w:eastAsia="Times New Roman" w:cs="Times New Roman"/>
                <w:spacing w:val="8"/>
                <w:position w:val="-1"/>
                <w:sz w:val="13"/>
                <w:szCs w:val="13"/>
              </w:rPr>
              <w:t>3</w:t>
            </w:r>
          </w:p>
        </w:tc>
        <w:tc>
          <w:tcPr>
            <w:tcW w:w="6091" w:type="dxa"/>
            <w:tcBorders>
              <w:right w:val="nil"/>
            </w:tcBorders>
            <w:vAlign w:val="top"/>
          </w:tcPr>
          <w:p w14:paraId="3283097D">
            <w:pPr>
              <w:pStyle w:val="6"/>
              <w:spacing w:before="76" w:line="228" w:lineRule="auto"/>
              <w:ind w:left="2411"/>
              <w:rPr>
                <w:sz w:val="20"/>
                <w:szCs w:val="20"/>
              </w:rPr>
            </w:pPr>
            <w:r>
              <w:rPr>
                <w:rFonts w:ascii="Times New Roman" w:hAnsi="Times New Roman" w:eastAsia="Times New Roman" w:cs="Times New Roman"/>
                <w:sz w:val="20"/>
                <w:szCs w:val="20"/>
              </w:rPr>
              <w:t>SCR</w:t>
            </w:r>
            <w:r>
              <w:rPr>
                <w:rFonts w:ascii="Times New Roman" w:hAnsi="Times New Roman" w:eastAsia="Times New Roman" w:cs="Times New Roman"/>
                <w:spacing w:val="9"/>
                <w:sz w:val="20"/>
                <w:szCs w:val="20"/>
              </w:rPr>
              <w:t xml:space="preserve"> </w:t>
            </w:r>
            <w:r>
              <w:rPr>
                <w:spacing w:val="9"/>
                <w:sz w:val="20"/>
                <w:szCs w:val="20"/>
              </w:rPr>
              <w:t>脱硝装置</w:t>
            </w:r>
          </w:p>
        </w:tc>
      </w:tr>
      <w:tr w14:paraId="0D11AF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5D0D25F0">
            <w:pPr>
              <w:rPr>
                <w:rFonts w:ascii="Arial"/>
                <w:sz w:val="21"/>
              </w:rPr>
            </w:pPr>
          </w:p>
        </w:tc>
        <w:tc>
          <w:tcPr>
            <w:tcW w:w="2599" w:type="dxa"/>
            <w:vAlign w:val="top"/>
          </w:tcPr>
          <w:p w14:paraId="3C6F5AB3">
            <w:pPr>
              <w:pStyle w:val="6"/>
              <w:spacing w:before="76" w:line="228" w:lineRule="auto"/>
              <w:ind w:left="885"/>
              <w:rPr>
                <w:sz w:val="20"/>
                <w:szCs w:val="20"/>
              </w:rPr>
            </w:pPr>
            <w:r>
              <w:rPr>
                <w:spacing w:val="6"/>
                <w:sz w:val="20"/>
                <w:szCs w:val="20"/>
              </w:rPr>
              <w:t>餐厅油烟</w:t>
            </w:r>
          </w:p>
        </w:tc>
        <w:tc>
          <w:tcPr>
            <w:tcW w:w="1311" w:type="dxa"/>
            <w:vAlign w:val="top"/>
          </w:tcPr>
          <w:p w14:paraId="2250606E">
            <w:pPr>
              <w:spacing w:before="112" w:line="202" w:lineRule="auto"/>
              <w:ind w:left="549"/>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position w:val="-1"/>
                <w:sz w:val="13"/>
                <w:szCs w:val="13"/>
              </w:rPr>
              <w:t>3</w:t>
            </w:r>
          </w:p>
        </w:tc>
        <w:tc>
          <w:tcPr>
            <w:tcW w:w="4665" w:type="dxa"/>
            <w:vAlign w:val="top"/>
          </w:tcPr>
          <w:p w14:paraId="174FB287">
            <w:pPr>
              <w:pStyle w:val="6"/>
              <w:spacing w:before="76" w:line="228" w:lineRule="auto"/>
              <w:ind w:left="1394"/>
              <w:rPr>
                <w:sz w:val="20"/>
                <w:szCs w:val="20"/>
              </w:rPr>
            </w:pPr>
            <w:r>
              <w:rPr>
                <w:spacing w:val="8"/>
                <w:sz w:val="20"/>
                <w:szCs w:val="20"/>
              </w:rPr>
              <w:t>厂区办公区餐厅厨房</w:t>
            </w:r>
          </w:p>
        </w:tc>
        <w:tc>
          <w:tcPr>
            <w:tcW w:w="5558" w:type="dxa"/>
            <w:vAlign w:val="top"/>
          </w:tcPr>
          <w:p w14:paraId="2AEF6F32">
            <w:pPr>
              <w:pStyle w:val="6"/>
              <w:spacing w:before="77" w:line="228" w:lineRule="auto"/>
              <w:ind w:left="1905"/>
              <w:rPr>
                <w:rFonts w:ascii="Times New Roman" w:hAnsi="Times New Roman" w:eastAsia="Times New Roman" w:cs="Times New Roman"/>
                <w:sz w:val="13"/>
                <w:szCs w:val="13"/>
              </w:rPr>
            </w:pPr>
            <w:r>
              <w:rPr>
                <w:spacing w:val="8"/>
                <w:sz w:val="20"/>
                <w:szCs w:val="20"/>
              </w:rPr>
              <w:t>颗粒物、</w:t>
            </w:r>
            <w:r>
              <w:rPr>
                <w:rFonts w:ascii="Times New Roman" w:hAnsi="Times New Roman" w:eastAsia="Times New Roman" w:cs="Times New Roman"/>
                <w:sz w:val="20"/>
                <w:szCs w:val="20"/>
              </w:rPr>
              <w:t>SO</w:t>
            </w:r>
            <w:r>
              <w:rPr>
                <w:rFonts w:ascii="Times New Roman" w:hAnsi="Times New Roman" w:eastAsia="Times New Roman" w:cs="Times New Roman"/>
                <w:spacing w:val="8"/>
                <w:position w:val="-1"/>
                <w:sz w:val="13"/>
                <w:szCs w:val="13"/>
              </w:rPr>
              <w:t>2</w:t>
            </w:r>
            <w:r>
              <w:rPr>
                <w:rFonts w:ascii="Times New Roman" w:hAnsi="Times New Roman" w:eastAsia="Times New Roman" w:cs="Times New Roman"/>
                <w:spacing w:val="-8"/>
                <w:position w:val="-1"/>
                <w:sz w:val="13"/>
                <w:szCs w:val="13"/>
              </w:rPr>
              <w:t xml:space="preserve"> </w:t>
            </w:r>
            <w:r>
              <w:rPr>
                <w:spacing w:val="8"/>
                <w:sz w:val="20"/>
                <w:szCs w:val="20"/>
              </w:rPr>
              <w:t>、</w:t>
            </w:r>
            <w:r>
              <w:rPr>
                <w:rFonts w:ascii="Times New Roman" w:hAnsi="Times New Roman" w:eastAsia="Times New Roman" w:cs="Times New Roman"/>
                <w:sz w:val="20"/>
                <w:szCs w:val="20"/>
              </w:rPr>
              <w:t>NO</w:t>
            </w:r>
            <w:r>
              <w:rPr>
                <w:rFonts w:ascii="Times New Roman" w:hAnsi="Times New Roman" w:eastAsia="Times New Roman" w:cs="Times New Roman"/>
                <w:position w:val="-1"/>
                <w:sz w:val="13"/>
                <w:szCs w:val="13"/>
              </w:rPr>
              <w:t>x</w:t>
            </w:r>
          </w:p>
        </w:tc>
        <w:tc>
          <w:tcPr>
            <w:tcW w:w="6091" w:type="dxa"/>
            <w:tcBorders>
              <w:right w:val="nil"/>
            </w:tcBorders>
            <w:vAlign w:val="top"/>
          </w:tcPr>
          <w:p w14:paraId="76721B2F">
            <w:pPr>
              <w:pStyle w:val="6"/>
              <w:spacing w:before="76" w:line="228" w:lineRule="auto"/>
              <w:ind w:left="1686"/>
              <w:rPr>
                <w:sz w:val="20"/>
                <w:szCs w:val="20"/>
              </w:rPr>
            </w:pPr>
            <w:r>
              <w:rPr>
                <w:spacing w:val="9"/>
                <w:sz w:val="20"/>
                <w:szCs w:val="20"/>
              </w:rPr>
              <w:t>通过餐厅专用烟道至屋顶排放</w:t>
            </w:r>
          </w:p>
        </w:tc>
      </w:tr>
      <w:tr w14:paraId="32BA6D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top w:val="nil"/>
              <w:left w:val="nil"/>
              <w:bottom w:val="nil"/>
            </w:tcBorders>
            <w:vAlign w:val="top"/>
          </w:tcPr>
          <w:p w14:paraId="7A9FAB11">
            <w:pPr>
              <w:rPr>
                <w:rFonts w:ascii="Arial"/>
                <w:sz w:val="21"/>
              </w:rPr>
            </w:pPr>
          </w:p>
        </w:tc>
        <w:tc>
          <w:tcPr>
            <w:tcW w:w="2599" w:type="dxa"/>
            <w:vAlign w:val="top"/>
          </w:tcPr>
          <w:p w14:paraId="481651BB">
            <w:pPr>
              <w:pStyle w:val="6"/>
              <w:spacing w:before="77" w:line="228" w:lineRule="auto"/>
              <w:ind w:left="574"/>
              <w:rPr>
                <w:sz w:val="20"/>
                <w:szCs w:val="20"/>
              </w:rPr>
            </w:pPr>
            <w:r>
              <w:rPr>
                <w:spacing w:val="7"/>
                <w:sz w:val="20"/>
                <w:szCs w:val="20"/>
              </w:rPr>
              <w:t>原料大棚无组织</w:t>
            </w:r>
          </w:p>
        </w:tc>
        <w:tc>
          <w:tcPr>
            <w:tcW w:w="1311" w:type="dxa"/>
            <w:vAlign w:val="top"/>
          </w:tcPr>
          <w:p w14:paraId="7D651A4B">
            <w:pPr>
              <w:spacing w:before="109" w:line="199" w:lineRule="auto"/>
              <w:ind w:left="6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4665" w:type="dxa"/>
            <w:vAlign w:val="top"/>
          </w:tcPr>
          <w:p w14:paraId="472ADE29">
            <w:pPr>
              <w:pStyle w:val="6"/>
              <w:spacing w:before="77" w:line="228" w:lineRule="auto"/>
              <w:ind w:left="1922"/>
              <w:rPr>
                <w:sz w:val="20"/>
                <w:szCs w:val="20"/>
              </w:rPr>
            </w:pPr>
            <w:r>
              <w:rPr>
                <w:spacing w:val="6"/>
                <w:sz w:val="20"/>
                <w:szCs w:val="20"/>
              </w:rPr>
              <w:t>原料大棚</w:t>
            </w:r>
          </w:p>
        </w:tc>
        <w:tc>
          <w:tcPr>
            <w:tcW w:w="5558" w:type="dxa"/>
            <w:vAlign w:val="top"/>
          </w:tcPr>
          <w:p w14:paraId="3F49F5C5">
            <w:pPr>
              <w:pStyle w:val="6"/>
              <w:spacing w:before="77" w:line="228" w:lineRule="auto"/>
              <w:ind w:left="2469"/>
              <w:rPr>
                <w:sz w:val="20"/>
                <w:szCs w:val="20"/>
              </w:rPr>
            </w:pPr>
            <w:r>
              <w:rPr>
                <w:spacing w:val="7"/>
                <w:sz w:val="20"/>
                <w:szCs w:val="20"/>
              </w:rPr>
              <w:t>颗粒物</w:t>
            </w:r>
          </w:p>
        </w:tc>
        <w:tc>
          <w:tcPr>
            <w:tcW w:w="6091" w:type="dxa"/>
            <w:tcBorders>
              <w:right w:val="nil"/>
            </w:tcBorders>
            <w:vAlign w:val="top"/>
          </w:tcPr>
          <w:p w14:paraId="06CDDE60">
            <w:pPr>
              <w:pStyle w:val="6"/>
              <w:spacing w:before="76" w:line="228" w:lineRule="auto"/>
              <w:ind w:left="2313"/>
              <w:rPr>
                <w:sz w:val="20"/>
                <w:szCs w:val="20"/>
              </w:rPr>
            </w:pPr>
            <w:r>
              <w:rPr>
                <w:spacing w:val="8"/>
                <w:sz w:val="20"/>
                <w:szCs w:val="20"/>
              </w:rPr>
              <w:t>封闭，喷雾降尘</w:t>
            </w:r>
          </w:p>
        </w:tc>
      </w:tr>
      <w:tr w14:paraId="3C4445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47990F0A">
            <w:pPr>
              <w:rPr>
                <w:rFonts w:ascii="Arial"/>
                <w:sz w:val="21"/>
              </w:rPr>
            </w:pPr>
          </w:p>
        </w:tc>
        <w:tc>
          <w:tcPr>
            <w:tcW w:w="2599" w:type="dxa"/>
            <w:vAlign w:val="top"/>
          </w:tcPr>
          <w:p w14:paraId="277DF45B">
            <w:pPr>
              <w:pStyle w:val="6"/>
              <w:spacing w:before="76" w:line="227" w:lineRule="auto"/>
              <w:ind w:left="360"/>
              <w:rPr>
                <w:sz w:val="20"/>
                <w:szCs w:val="20"/>
              </w:rPr>
            </w:pPr>
            <w:r>
              <w:rPr>
                <w:spacing w:val="8"/>
                <w:sz w:val="20"/>
                <w:szCs w:val="20"/>
              </w:rPr>
              <w:t>焦炭烘干车间无组织</w:t>
            </w:r>
          </w:p>
        </w:tc>
        <w:tc>
          <w:tcPr>
            <w:tcW w:w="1311" w:type="dxa"/>
            <w:vAlign w:val="top"/>
          </w:tcPr>
          <w:p w14:paraId="57E40393">
            <w:pPr>
              <w:spacing w:before="111" w:line="199" w:lineRule="auto"/>
              <w:ind w:left="6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4665" w:type="dxa"/>
            <w:vAlign w:val="top"/>
          </w:tcPr>
          <w:p w14:paraId="1FABD2D9">
            <w:pPr>
              <w:pStyle w:val="6"/>
              <w:spacing w:before="76" w:line="227" w:lineRule="auto"/>
              <w:ind w:left="1706"/>
              <w:rPr>
                <w:sz w:val="20"/>
                <w:szCs w:val="20"/>
              </w:rPr>
            </w:pPr>
            <w:r>
              <w:rPr>
                <w:spacing w:val="8"/>
                <w:sz w:val="20"/>
                <w:szCs w:val="20"/>
              </w:rPr>
              <w:t>焦炭烘干车间</w:t>
            </w:r>
          </w:p>
        </w:tc>
        <w:tc>
          <w:tcPr>
            <w:tcW w:w="5558" w:type="dxa"/>
            <w:vAlign w:val="top"/>
          </w:tcPr>
          <w:p w14:paraId="10FFDC14">
            <w:pPr>
              <w:pStyle w:val="6"/>
              <w:spacing w:before="77" w:line="228" w:lineRule="auto"/>
              <w:ind w:left="2469"/>
              <w:rPr>
                <w:sz w:val="20"/>
                <w:szCs w:val="20"/>
              </w:rPr>
            </w:pPr>
            <w:r>
              <w:rPr>
                <w:spacing w:val="7"/>
                <w:sz w:val="20"/>
                <w:szCs w:val="20"/>
              </w:rPr>
              <w:t>颗粒物</w:t>
            </w:r>
          </w:p>
        </w:tc>
        <w:tc>
          <w:tcPr>
            <w:tcW w:w="6091" w:type="dxa"/>
            <w:tcBorders>
              <w:right w:val="nil"/>
            </w:tcBorders>
            <w:vAlign w:val="top"/>
          </w:tcPr>
          <w:p w14:paraId="24ABAB93">
            <w:pPr>
              <w:pStyle w:val="6"/>
              <w:spacing w:before="76" w:line="228" w:lineRule="auto"/>
              <w:ind w:left="2313"/>
              <w:rPr>
                <w:sz w:val="20"/>
                <w:szCs w:val="20"/>
              </w:rPr>
            </w:pPr>
            <w:r>
              <w:rPr>
                <w:spacing w:val="8"/>
                <w:sz w:val="20"/>
                <w:szCs w:val="20"/>
              </w:rPr>
              <w:t>封闭，喷雾降尘</w:t>
            </w:r>
          </w:p>
        </w:tc>
      </w:tr>
      <w:tr w14:paraId="6BA84B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top w:val="nil"/>
              <w:left w:val="nil"/>
              <w:bottom w:val="nil"/>
            </w:tcBorders>
            <w:vAlign w:val="top"/>
          </w:tcPr>
          <w:p w14:paraId="5722D83C">
            <w:pPr>
              <w:rPr>
                <w:rFonts w:ascii="Arial"/>
                <w:sz w:val="21"/>
              </w:rPr>
            </w:pPr>
          </w:p>
        </w:tc>
        <w:tc>
          <w:tcPr>
            <w:tcW w:w="2599" w:type="dxa"/>
            <w:vAlign w:val="top"/>
          </w:tcPr>
          <w:p w14:paraId="268F7153">
            <w:pPr>
              <w:pStyle w:val="6"/>
              <w:spacing w:before="77" w:line="227" w:lineRule="auto"/>
              <w:ind w:left="255"/>
              <w:rPr>
                <w:sz w:val="20"/>
                <w:szCs w:val="20"/>
              </w:rPr>
            </w:pPr>
            <w:r>
              <w:rPr>
                <w:spacing w:val="8"/>
                <w:sz w:val="20"/>
                <w:szCs w:val="20"/>
              </w:rPr>
              <w:t>锰矿石烘干车间无组织</w:t>
            </w:r>
          </w:p>
        </w:tc>
        <w:tc>
          <w:tcPr>
            <w:tcW w:w="1311" w:type="dxa"/>
            <w:vAlign w:val="top"/>
          </w:tcPr>
          <w:p w14:paraId="6C7E3CB7">
            <w:pPr>
              <w:spacing w:before="111" w:line="199" w:lineRule="auto"/>
              <w:ind w:left="6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4665" w:type="dxa"/>
            <w:vAlign w:val="top"/>
          </w:tcPr>
          <w:p w14:paraId="6FF21F6C">
            <w:pPr>
              <w:pStyle w:val="6"/>
              <w:spacing w:before="77" w:line="227" w:lineRule="auto"/>
              <w:ind w:left="1603"/>
              <w:rPr>
                <w:sz w:val="20"/>
                <w:szCs w:val="20"/>
              </w:rPr>
            </w:pPr>
            <w:r>
              <w:rPr>
                <w:spacing w:val="8"/>
                <w:sz w:val="20"/>
                <w:szCs w:val="20"/>
              </w:rPr>
              <w:t>锰矿石烘干车间</w:t>
            </w:r>
          </w:p>
        </w:tc>
        <w:tc>
          <w:tcPr>
            <w:tcW w:w="5558" w:type="dxa"/>
            <w:vAlign w:val="top"/>
          </w:tcPr>
          <w:p w14:paraId="756A42C7">
            <w:pPr>
              <w:pStyle w:val="6"/>
              <w:spacing w:before="77" w:line="228" w:lineRule="auto"/>
              <w:ind w:left="2469"/>
              <w:rPr>
                <w:sz w:val="20"/>
                <w:szCs w:val="20"/>
              </w:rPr>
            </w:pPr>
            <w:r>
              <w:rPr>
                <w:spacing w:val="7"/>
                <w:sz w:val="20"/>
                <w:szCs w:val="20"/>
              </w:rPr>
              <w:t>颗粒物</w:t>
            </w:r>
          </w:p>
        </w:tc>
        <w:tc>
          <w:tcPr>
            <w:tcW w:w="6091" w:type="dxa"/>
            <w:tcBorders>
              <w:right w:val="nil"/>
            </w:tcBorders>
            <w:vAlign w:val="top"/>
          </w:tcPr>
          <w:p w14:paraId="1BFD40DF">
            <w:pPr>
              <w:pStyle w:val="6"/>
              <w:spacing w:before="77" w:line="228" w:lineRule="auto"/>
              <w:ind w:left="2313"/>
              <w:rPr>
                <w:sz w:val="20"/>
                <w:szCs w:val="20"/>
              </w:rPr>
            </w:pPr>
            <w:r>
              <w:rPr>
                <w:spacing w:val="8"/>
                <w:sz w:val="20"/>
                <w:szCs w:val="20"/>
              </w:rPr>
              <w:t>封闭，喷雾降尘</w:t>
            </w:r>
          </w:p>
        </w:tc>
      </w:tr>
      <w:tr w14:paraId="60E7F8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3D892D3F">
            <w:pPr>
              <w:rPr>
                <w:rFonts w:ascii="Arial"/>
                <w:sz w:val="21"/>
              </w:rPr>
            </w:pPr>
          </w:p>
        </w:tc>
        <w:tc>
          <w:tcPr>
            <w:tcW w:w="2599" w:type="dxa"/>
            <w:vAlign w:val="top"/>
          </w:tcPr>
          <w:p w14:paraId="43716F3F">
            <w:pPr>
              <w:pStyle w:val="6"/>
              <w:spacing w:before="79" w:line="227" w:lineRule="auto"/>
              <w:ind w:left="462"/>
              <w:rPr>
                <w:sz w:val="20"/>
                <w:szCs w:val="20"/>
              </w:rPr>
            </w:pPr>
            <w:r>
              <w:rPr>
                <w:spacing w:val="8"/>
                <w:sz w:val="20"/>
                <w:szCs w:val="20"/>
              </w:rPr>
              <w:t>烧结原料库无组织</w:t>
            </w:r>
          </w:p>
        </w:tc>
        <w:tc>
          <w:tcPr>
            <w:tcW w:w="1311" w:type="dxa"/>
            <w:vAlign w:val="top"/>
          </w:tcPr>
          <w:p w14:paraId="68392673">
            <w:pPr>
              <w:spacing w:before="111" w:line="199" w:lineRule="auto"/>
              <w:ind w:left="6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4665" w:type="dxa"/>
            <w:vAlign w:val="top"/>
          </w:tcPr>
          <w:p w14:paraId="2CD980F1">
            <w:pPr>
              <w:pStyle w:val="6"/>
              <w:spacing w:before="79" w:line="227" w:lineRule="auto"/>
              <w:ind w:left="1391"/>
              <w:rPr>
                <w:sz w:val="20"/>
                <w:szCs w:val="20"/>
              </w:rPr>
            </w:pPr>
            <w:r>
              <w:rPr>
                <w:spacing w:val="9"/>
                <w:sz w:val="20"/>
                <w:szCs w:val="20"/>
              </w:rPr>
              <w:t>烧结系统烧结原料库</w:t>
            </w:r>
          </w:p>
        </w:tc>
        <w:tc>
          <w:tcPr>
            <w:tcW w:w="5558" w:type="dxa"/>
            <w:vAlign w:val="top"/>
          </w:tcPr>
          <w:p w14:paraId="68F2FB24">
            <w:pPr>
              <w:pStyle w:val="6"/>
              <w:spacing w:before="79" w:line="228" w:lineRule="auto"/>
              <w:ind w:left="1732"/>
              <w:rPr>
                <w:sz w:val="20"/>
                <w:szCs w:val="20"/>
              </w:rPr>
            </w:pPr>
            <w:r>
              <w:rPr>
                <w:spacing w:val="9"/>
                <w:sz w:val="20"/>
                <w:szCs w:val="20"/>
              </w:rPr>
              <w:t>颗粒物、锰及其化合物</w:t>
            </w:r>
          </w:p>
        </w:tc>
        <w:tc>
          <w:tcPr>
            <w:tcW w:w="6091" w:type="dxa"/>
            <w:tcBorders>
              <w:right w:val="nil"/>
            </w:tcBorders>
            <w:vAlign w:val="top"/>
          </w:tcPr>
          <w:p w14:paraId="1605B8F4">
            <w:pPr>
              <w:pStyle w:val="6"/>
              <w:spacing w:before="79" w:line="228" w:lineRule="auto"/>
              <w:ind w:left="2313"/>
              <w:rPr>
                <w:sz w:val="20"/>
                <w:szCs w:val="20"/>
              </w:rPr>
            </w:pPr>
            <w:r>
              <w:rPr>
                <w:spacing w:val="8"/>
                <w:sz w:val="20"/>
                <w:szCs w:val="20"/>
              </w:rPr>
              <w:t>封闭，喷雾降尘</w:t>
            </w:r>
          </w:p>
        </w:tc>
      </w:tr>
      <w:tr w14:paraId="63ABDC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top w:val="nil"/>
              <w:left w:val="nil"/>
              <w:bottom w:val="nil"/>
            </w:tcBorders>
            <w:vAlign w:val="top"/>
          </w:tcPr>
          <w:p w14:paraId="6B340C26">
            <w:pPr>
              <w:rPr>
                <w:rFonts w:ascii="Arial"/>
                <w:sz w:val="21"/>
              </w:rPr>
            </w:pPr>
          </w:p>
        </w:tc>
        <w:tc>
          <w:tcPr>
            <w:tcW w:w="2599" w:type="dxa"/>
            <w:vAlign w:val="top"/>
          </w:tcPr>
          <w:p w14:paraId="7D73D714">
            <w:pPr>
              <w:pStyle w:val="6"/>
              <w:spacing w:before="79" w:line="227" w:lineRule="auto"/>
              <w:ind w:left="568"/>
              <w:rPr>
                <w:sz w:val="20"/>
                <w:szCs w:val="20"/>
              </w:rPr>
            </w:pPr>
            <w:r>
              <w:rPr>
                <w:spacing w:val="8"/>
                <w:sz w:val="20"/>
                <w:szCs w:val="20"/>
              </w:rPr>
              <w:t>烧结系统无组织</w:t>
            </w:r>
          </w:p>
        </w:tc>
        <w:tc>
          <w:tcPr>
            <w:tcW w:w="1311" w:type="dxa"/>
            <w:vAlign w:val="top"/>
          </w:tcPr>
          <w:p w14:paraId="3E3FFD1E">
            <w:pPr>
              <w:spacing w:before="112" w:line="199" w:lineRule="auto"/>
              <w:ind w:left="6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4665" w:type="dxa"/>
            <w:vAlign w:val="top"/>
          </w:tcPr>
          <w:p w14:paraId="49B6CE4E">
            <w:pPr>
              <w:pStyle w:val="6"/>
              <w:spacing w:before="79" w:line="227" w:lineRule="auto"/>
              <w:ind w:left="1285"/>
              <w:rPr>
                <w:sz w:val="20"/>
                <w:szCs w:val="20"/>
              </w:rPr>
            </w:pPr>
            <w:r>
              <w:rPr>
                <w:spacing w:val="9"/>
                <w:sz w:val="20"/>
                <w:szCs w:val="20"/>
              </w:rPr>
              <w:t>烧结系统烧结生产车间</w:t>
            </w:r>
          </w:p>
        </w:tc>
        <w:tc>
          <w:tcPr>
            <w:tcW w:w="5558" w:type="dxa"/>
            <w:vAlign w:val="top"/>
          </w:tcPr>
          <w:p w14:paraId="491DDD76">
            <w:pPr>
              <w:pStyle w:val="6"/>
              <w:spacing w:before="80" w:line="228" w:lineRule="auto"/>
              <w:ind w:left="1732"/>
              <w:rPr>
                <w:sz w:val="20"/>
                <w:szCs w:val="20"/>
              </w:rPr>
            </w:pPr>
            <w:r>
              <w:rPr>
                <w:spacing w:val="9"/>
                <w:sz w:val="20"/>
                <w:szCs w:val="20"/>
              </w:rPr>
              <w:t>颗粒物、锰及其化合物</w:t>
            </w:r>
          </w:p>
        </w:tc>
        <w:tc>
          <w:tcPr>
            <w:tcW w:w="6091" w:type="dxa"/>
            <w:tcBorders>
              <w:right w:val="nil"/>
            </w:tcBorders>
            <w:vAlign w:val="top"/>
          </w:tcPr>
          <w:p w14:paraId="3BFDF659">
            <w:pPr>
              <w:pStyle w:val="6"/>
              <w:spacing w:before="79" w:line="228" w:lineRule="auto"/>
              <w:ind w:left="2313"/>
              <w:rPr>
                <w:sz w:val="20"/>
                <w:szCs w:val="20"/>
              </w:rPr>
            </w:pPr>
            <w:r>
              <w:rPr>
                <w:spacing w:val="8"/>
                <w:sz w:val="20"/>
                <w:szCs w:val="20"/>
              </w:rPr>
              <w:t>封闭，喷雾降尘</w:t>
            </w:r>
          </w:p>
        </w:tc>
      </w:tr>
      <w:tr w14:paraId="506806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259D9AB1">
            <w:pPr>
              <w:rPr>
                <w:rFonts w:ascii="Arial"/>
                <w:sz w:val="21"/>
              </w:rPr>
            </w:pPr>
          </w:p>
        </w:tc>
        <w:tc>
          <w:tcPr>
            <w:tcW w:w="2599" w:type="dxa"/>
            <w:vAlign w:val="top"/>
          </w:tcPr>
          <w:p w14:paraId="6B122774">
            <w:pPr>
              <w:pStyle w:val="6"/>
              <w:spacing w:before="79" w:line="228" w:lineRule="auto"/>
              <w:ind w:left="173"/>
              <w:rPr>
                <w:sz w:val="20"/>
                <w:szCs w:val="20"/>
              </w:rPr>
            </w:pPr>
            <w:r>
              <w:rPr>
                <w:spacing w:val="6"/>
                <w:sz w:val="20"/>
                <w:szCs w:val="20"/>
              </w:rPr>
              <w:t>电炉生产区配料站无组织</w:t>
            </w:r>
          </w:p>
        </w:tc>
        <w:tc>
          <w:tcPr>
            <w:tcW w:w="1311" w:type="dxa"/>
            <w:vAlign w:val="top"/>
          </w:tcPr>
          <w:p w14:paraId="08ACA6F2">
            <w:pPr>
              <w:spacing w:before="111" w:line="199" w:lineRule="auto"/>
              <w:ind w:left="6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4665" w:type="dxa"/>
            <w:vAlign w:val="top"/>
          </w:tcPr>
          <w:p w14:paraId="54FBBA0C">
            <w:pPr>
              <w:pStyle w:val="6"/>
              <w:spacing w:before="79" w:line="228" w:lineRule="auto"/>
              <w:ind w:left="1522"/>
              <w:rPr>
                <w:sz w:val="20"/>
                <w:szCs w:val="20"/>
              </w:rPr>
            </w:pPr>
            <w:r>
              <w:rPr>
                <w:spacing w:val="5"/>
                <w:sz w:val="20"/>
                <w:szCs w:val="20"/>
              </w:rPr>
              <w:t>电炉生产区配料站</w:t>
            </w:r>
          </w:p>
        </w:tc>
        <w:tc>
          <w:tcPr>
            <w:tcW w:w="5558" w:type="dxa"/>
            <w:vAlign w:val="top"/>
          </w:tcPr>
          <w:p w14:paraId="1CA2FBDB">
            <w:pPr>
              <w:pStyle w:val="6"/>
              <w:spacing w:before="80" w:line="228" w:lineRule="auto"/>
              <w:ind w:left="1732"/>
              <w:rPr>
                <w:sz w:val="20"/>
                <w:szCs w:val="20"/>
              </w:rPr>
            </w:pPr>
            <w:r>
              <w:rPr>
                <w:spacing w:val="9"/>
                <w:sz w:val="20"/>
                <w:szCs w:val="20"/>
              </w:rPr>
              <w:t>颗粒物、锰及其化合物</w:t>
            </w:r>
          </w:p>
        </w:tc>
        <w:tc>
          <w:tcPr>
            <w:tcW w:w="6091" w:type="dxa"/>
            <w:tcBorders>
              <w:right w:val="nil"/>
            </w:tcBorders>
            <w:vAlign w:val="top"/>
          </w:tcPr>
          <w:p w14:paraId="590C65A4">
            <w:pPr>
              <w:pStyle w:val="6"/>
              <w:spacing w:before="79" w:line="228" w:lineRule="auto"/>
              <w:ind w:left="2313"/>
              <w:rPr>
                <w:sz w:val="20"/>
                <w:szCs w:val="20"/>
              </w:rPr>
            </w:pPr>
            <w:r>
              <w:rPr>
                <w:spacing w:val="8"/>
                <w:sz w:val="20"/>
                <w:szCs w:val="20"/>
              </w:rPr>
              <w:t>封闭，喷雾降尘</w:t>
            </w:r>
          </w:p>
        </w:tc>
      </w:tr>
      <w:tr w14:paraId="25599D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tcBorders>
            <w:vAlign w:val="top"/>
          </w:tcPr>
          <w:p w14:paraId="12B00260">
            <w:pPr>
              <w:rPr>
                <w:rFonts w:ascii="Arial"/>
                <w:sz w:val="21"/>
              </w:rPr>
            </w:pPr>
          </w:p>
        </w:tc>
        <w:tc>
          <w:tcPr>
            <w:tcW w:w="2599" w:type="dxa"/>
            <w:vAlign w:val="top"/>
          </w:tcPr>
          <w:p w14:paraId="0BBBA539">
            <w:pPr>
              <w:pStyle w:val="6"/>
              <w:spacing w:before="79" w:line="228" w:lineRule="auto"/>
              <w:ind w:left="593"/>
              <w:rPr>
                <w:sz w:val="20"/>
                <w:szCs w:val="20"/>
              </w:rPr>
            </w:pPr>
            <w:r>
              <w:rPr>
                <w:spacing w:val="5"/>
                <w:sz w:val="20"/>
                <w:szCs w:val="20"/>
              </w:rPr>
              <w:t>电炉车间无组织</w:t>
            </w:r>
          </w:p>
        </w:tc>
        <w:tc>
          <w:tcPr>
            <w:tcW w:w="1311" w:type="dxa"/>
            <w:vAlign w:val="top"/>
          </w:tcPr>
          <w:p w14:paraId="26F8916D">
            <w:pPr>
              <w:spacing w:before="112" w:line="199" w:lineRule="auto"/>
              <w:ind w:left="6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4665" w:type="dxa"/>
            <w:vAlign w:val="top"/>
          </w:tcPr>
          <w:p w14:paraId="62EE9089">
            <w:pPr>
              <w:pStyle w:val="6"/>
              <w:spacing w:before="79" w:line="228" w:lineRule="auto"/>
              <w:ind w:left="1207"/>
              <w:rPr>
                <w:sz w:val="20"/>
                <w:szCs w:val="20"/>
              </w:rPr>
            </w:pPr>
            <w:r>
              <w:rPr>
                <w:spacing w:val="1"/>
                <w:sz w:val="20"/>
                <w:szCs w:val="20"/>
              </w:rPr>
              <w:t>电炉车间（</w:t>
            </w:r>
            <w:r>
              <w:rPr>
                <w:rFonts w:ascii="Times New Roman" w:hAnsi="Times New Roman" w:eastAsia="Times New Roman" w:cs="Times New Roman"/>
                <w:spacing w:val="1"/>
                <w:sz w:val="20"/>
                <w:szCs w:val="20"/>
              </w:rPr>
              <w:t>1#</w:t>
            </w:r>
            <w:r>
              <w:rPr>
                <w:rFonts w:ascii="Times New Roman" w:hAnsi="Times New Roman" w:eastAsia="Times New Roman" w:cs="Times New Roman"/>
                <w:spacing w:val="-23"/>
                <w:sz w:val="20"/>
                <w:szCs w:val="20"/>
              </w:rPr>
              <w:t xml:space="preserve"> </w:t>
            </w:r>
            <w:r>
              <w:rPr>
                <w:spacing w:val="1"/>
                <w:sz w:val="20"/>
                <w:szCs w:val="20"/>
              </w:rPr>
              <w:t>、</w:t>
            </w:r>
            <w:r>
              <w:rPr>
                <w:rFonts w:ascii="Times New Roman" w:hAnsi="Times New Roman" w:eastAsia="Times New Roman" w:cs="Times New Roman"/>
                <w:spacing w:val="1"/>
                <w:sz w:val="20"/>
                <w:szCs w:val="20"/>
              </w:rPr>
              <w:t>2#</w:t>
            </w:r>
            <w:r>
              <w:rPr>
                <w:rFonts w:ascii="Times New Roman" w:hAnsi="Times New Roman" w:eastAsia="Times New Roman" w:cs="Times New Roman"/>
                <w:spacing w:val="-26"/>
                <w:sz w:val="20"/>
                <w:szCs w:val="20"/>
              </w:rPr>
              <w:t xml:space="preserve"> </w:t>
            </w:r>
            <w:r>
              <w:rPr>
                <w:spacing w:val="1"/>
                <w:sz w:val="20"/>
                <w:szCs w:val="20"/>
              </w:rPr>
              <w:t>、</w:t>
            </w:r>
            <w:r>
              <w:rPr>
                <w:rFonts w:ascii="Times New Roman" w:hAnsi="Times New Roman" w:eastAsia="Times New Roman" w:cs="Times New Roman"/>
                <w:spacing w:val="1"/>
                <w:sz w:val="20"/>
                <w:szCs w:val="20"/>
              </w:rPr>
              <w:t>3#</w:t>
            </w:r>
            <w:r>
              <w:rPr>
                <w:spacing w:val="1"/>
                <w:sz w:val="20"/>
                <w:szCs w:val="20"/>
              </w:rPr>
              <w:t>）</w:t>
            </w:r>
          </w:p>
        </w:tc>
        <w:tc>
          <w:tcPr>
            <w:tcW w:w="5558" w:type="dxa"/>
            <w:vAlign w:val="top"/>
          </w:tcPr>
          <w:p w14:paraId="16345BDF">
            <w:pPr>
              <w:pStyle w:val="6"/>
              <w:spacing w:before="80" w:line="228" w:lineRule="auto"/>
              <w:ind w:left="1732"/>
              <w:rPr>
                <w:sz w:val="20"/>
                <w:szCs w:val="20"/>
              </w:rPr>
            </w:pPr>
            <w:r>
              <w:rPr>
                <w:spacing w:val="9"/>
                <w:sz w:val="20"/>
                <w:szCs w:val="20"/>
              </w:rPr>
              <w:t>颗粒物、锰及其化合物</w:t>
            </w:r>
          </w:p>
        </w:tc>
        <w:tc>
          <w:tcPr>
            <w:tcW w:w="6091" w:type="dxa"/>
            <w:tcBorders>
              <w:right w:val="nil"/>
            </w:tcBorders>
            <w:vAlign w:val="top"/>
          </w:tcPr>
          <w:p w14:paraId="2F287C57">
            <w:pPr>
              <w:pStyle w:val="6"/>
              <w:spacing w:before="79" w:line="228" w:lineRule="auto"/>
              <w:ind w:left="2313"/>
              <w:rPr>
                <w:sz w:val="20"/>
                <w:szCs w:val="20"/>
              </w:rPr>
            </w:pPr>
            <w:r>
              <w:rPr>
                <w:spacing w:val="8"/>
                <w:sz w:val="20"/>
                <w:szCs w:val="20"/>
              </w:rPr>
              <w:t>封闭，喷雾降尘</w:t>
            </w:r>
          </w:p>
        </w:tc>
      </w:tr>
      <w:tr w14:paraId="2F8A0F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left w:val="nil"/>
              <w:bottom w:val="nil"/>
            </w:tcBorders>
            <w:vAlign w:val="top"/>
          </w:tcPr>
          <w:p w14:paraId="678FA35E">
            <w:pPr>
              <w:rPr>
                <w:rFonts w:ascii="Arial"/>
                <w:sz w:val="21"/>
              </w:rPr>
            </w:pPr>
          </w:p>
        </w:tc>
        <w:tc>
          <w:tcPr>
            <w:tcW w:w="2599" w:type="dxa"/>
            <w:vAlign w:val="top"/>
          </w:tcPr>
          <w:p w14:paraId="6ED96D7E">
            <w:pPr>
              <w:pStyle w:val="6"/>
              <w:spacing w:before="80" w:line="228" w:lineRule="auto"/>
              <w:ind w:left="884"/>
              <w:rPr>
                <w:sz w:val="20"/>
                <w:szCs w:val="20"/>
              </w:rPr>
            </w:pPr>
            <w:r>
              <w:rPr>
                <w:spacing w:val="7"/>
                <w:sz w:val="20"/>
                <w:szCs w:val="20"/>
              </w:rPr>
              <w:t>脱硫废水</w:t>
            </w:r>
          </w:p>
        </w:tc>
        <w:tc>
          <w:tcPr>
            <w:tcW w:w="1311" w:type="dxa"/>
            <w:vAlign w:val="top"/>
          </w:tcPr>
          <w:p w14:paraId="04DDBC60">
            <w:pPr>
              <w:spacing w:before="120" w:line="206" w:lineRule="auto"/>
              <w:ind w:left="465"/>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1-</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3"/>
                <w:sz w:val="13"/>
                <w:szCs w:val="13"/>
              </w:rPr>
              <w:t>1</w:t>
            </w:r>
          </w:p>
        </w:tc>
        <w:tc>
          <w:tcPr>
            <w:tcW w:w="4665" w:type="dxa"/>
            <w:vAlign w:val="top"/>
          </w:tcPr>
          <w:p w14:paraId="54E16EC8">
            <w:pPr>
              <w:pStyle w:val="6"/>
              <w:spacing w:before="80" w:line="227" w:lineRule="auto"/>
              <w:ind w:left="832"/>
              <w:rPr>
                <w:sz w:val="20"/>
                <w:szCs w:val="20"/>
              </w:rPr>
            </w:pPr>
            <w:r>
              <w:rPr>
                <w:spacing w:val="8"/>
                <w:sz w:val="20"/>
                <w:szCs w:val="20"/>
              </w:rPr>
              <w:t>烧结机头废气石灰石</w:t>
            </w:r>
            <w:r>
              <w:rPr>
                <w:rFonts w:ascii="Times New Roman" w:hAnsi="Times New Roman" w:eastAsia="Times New Roman" w:cs="Times New Roman"/>
                <w:spacing w:val="8"/>
                <w:sz w:val="20"/>
                <w:szCs w:val="20"/>
              </w:rPr>
              <w:t>-</w:t>
            </w:r>
            <w:r>
              <w:rPr>
                <w:spacing w:val="8"/>
                <w:sz w:val="20"/>
                <w:szCs w:val="20"/>
              </w:rPr>
              <w:t>石膏脱硫塔</w:t>
            </w:r>
          </w:p>
        </w:tc>
        <w:tc>
          <w:tcPr>
            <w:tcW w:w="5558" w:type="dxa"/>
            <w:vAlign w:val="top"/>
          </w:tcPr>
          <w:p w14:paraId="41BE6BF9">
            <w:pPr>
              <w:pStyle w:val="6"/>
              <w:spacing w:before="116" w:line="188" w:lineRule="auto"/>
              <w:ind w:left="2121"/>
              <w:rPr>
                <w:rFonts w:ascii="Times New Roman" w:hAnsi="Times New Roman" w:eastAsia="Times New Roman" w:cs="Times New Roman"/>
                <w:sz w:val="20"/>
                <w:szCs w:val="20"/>
              </w:rPr>
            </w:pPr>
            <w:r>
              <w:rPr>
                <w:rFonts w:ascii="Times New Roman" w:hAnsi="Times New Roman" w:eastAsia="Times New Roman" w:cs="Times New Roman"/>
                <w:sz w:val="20"/>
                <w:szCs w:val="20"/>
              </w:rPr>
              <w:t>pH</w:t>
            </w:r>
            <w:r>
              <w:rPr>
                <w:rFonts w:ascii="Times New Roman" w:hAnsi="Times New Roman" w:eastAsia="Times New Roman" w:cs="Times New Roman"/>
                <w:spacing w:val="-27"/>
                <w:sz w:val="20"/>
                <w:szCs w:val="20"/>
              </w:rPr>
              <w:t xml:space="preserve"> </w:t>
            </w:r>
            <w:r>
              <w:rPr>
                <w:spacing w:val="6"/>
                <w:sz w:val="20"/>
                <w:szCs w:val="20"/>
              </w:rPr>
              <w:t>、</w:t>
            </w:r>
            <w:r>
              <w:rPr>
                <w:rFonts w:ascii="Times New Roman" w:hAnsi="Times New Roman" w:eastAsia="Times New Roman" w:cs="Times New Roman"/>
                <w:sz w:val="20"/>
                <w:szCs w:val="20"/>
              </w:rPr>
              <w:t>TDS</w:t>
            </w:r>
            <w:r>
              <w:rPr>
                <w:rFonts w:ascii="Times New Roman" w:hAnsi="Times New Roman" w:eastAsia="Times New Roman" w:cs="Times New Roman"/>
                <w:spacing w:val="-26"/>
                <w:sz w:val="20"/>
                <w:szCs w:val="20"/>
              </w:rPr>
              <w:t xml:space="preserve"> </w:t>
            </w:r>
            <w:r>
              <w:rPr>
                <w:spacing w:val="6"/>
                <w:sz w:val="20"/>
                <w:szCs w:val="20"/>
              </w:rPr>
              <w:t>、</w:t>
            </w:r>
            <w:r>
              <w:rPr>
                <w:rFonts w:ascii="Times New Roman" w:hAnsi="Times New Roman" w:eastAsia="Times New Roman" w:cs="Times New Roman"/>
                <w:sz w:val="20"/>
                <w:szCs w:val="20"/>
              </w:rPr>
              <w:t>SS</w:t>
            </w:r>
          </w:p>
        </w:tc>
        <w:tc>
          <w:tcPr>
            <w:tcW w:w="6091" w:type="dxa"/>
            <w:tcBorders>
              <w:right w:val="nil"/>
            </w:tcBorders>
            <w:vAlign w:val="top"/>
          </w:tcPr>
          <w:p w14:paraId="233CBB63">
            <w:pPr>
              <w:pStyle w:val="6"/>
              <w:spacing w:before="80" w:line="228" w:lineRule="auto"/>
              <w:ind w:left="1266"/>
              <w:rPr>
                <w:sz w:val="20"/>
                <w:szCs w:val="20"/>
              </w:rPr>
            </w:pPr>
            <w:r>
              <w:rPr>
                <w:spacing w:val="9"/>
                <w:sz w:val="20"/>
                <w:szCs w:val="20"/>
              </w:rPr>
              <w:t>三联箱处理后用作浊循环水系统补充水</w:t>
            </w:r>
          </w:p>
        </w:tc>
      </w:tr>
      <w:tr w14:paraId="4A4C11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514C856D">
            <w:pPr>
              <w:rPr>
                <w:rFonts w:ascii="Arial"/>
                <w:sz w:val="21"/>
              </w:rPr>
            </w:pPr>
          </w:p>
        </w:tc>
        <w:tc>
          <w:tcPr>
            <w:tcW w:w="2599" w:type="dxa"/>
            <w:vAlign w:val="top"/>
          </w:tcPr>
          <w:p w14:paraId="27668F78">
            <w:pPr>
              <w:pStyle w:val="6"/>
              <w:spacing w:before="80" w:line="228" w:lineRule="auto"/>
              <w:ind w:left="675"/>
              <w:rPr>
                <w:sz w:val="20"/>
                <w:szCs w:val="20"/>
              </w:rPr>
            </w:pPr>
            <w:r>
              <w:rPr>
                <w:spacing w:val="8"/>
                <w:sz w:val="20"/>
                <w:szCs w:val="20"/>
              </w:rPr>
              <w:t>煤气冷凝废水</w:t>
            </w:r>
          </w:p>
        </w:tc>
        <w:tc>
          <w:tcPr>
            <w:tcW w:w="1311" w:type="dxa"/>
            <w:vAlign w:val="top"/>
          </w:tcPr>
          <w:p w14:paraId="75DCF97F">
            <w:pPr>
              <w:spacing w:before="121" w:line="204" w:lineRule="auto"/>
              <w:ind w:left="465"/>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1-2</w:t>
            </w:r>
          </w:p>
        </w:tc>
        <w:tc>
          <w:tcPr>
            <w:tcW w:w="4665" w:type="dxa"/>
            <w:vAlign w:val="top"/>
          </w:tcPr>
          <w:p w14:paraId="01043441">
            <w:pPr>
              <w:pStyle w:val="6"/>
              <w:spacing w:before="80" w:line="228" w:lineRule="auto"/>
              <w:ind w:left="1813"/>
              <w:rPr>
                <w:sz w:val="20"/>
                <w:szCs w:val="20"/>
              </w:rPr>
            </w:pPr>
            <w:r>
              <w:rPr>
                <w:spacing w:val="7"/>
                <w:sz w:val="20"/>
                <w:szCs w:val="20"/>
              </w:rPr>
              <w:t>煤气风冷器</w:t>
            </w:r>
          </w:p>
        </w:tc>
        <w:tc>
          <w:tcPr>
            <w:tcW w:w="5558" w:type="dxa"/>
            <w:vAlign w:val="top"/>
          </w:tcPr>
          <w:p w14:paraId="6F0BAAD6">
            <w:pPr>
              <w:pStyle w:val="6"/>
              <w:spacing w:before="80" w:line="223" w:lineRule="auto"/>
              <w:ind w:left="1264"/>
              <w:rPr>
                <w:sz w:val="20"/>
                <w:szCs w:val="20"/>
              </w:rPr>
            </w:pPr>
            <w:r>
              <w:rPr>
                <w:rFonts w:ascii="Times New Roman" w:hAnsi="Times New Roman" w:eastAsia="Times New Roman" w:cs="Times New Roman"/>
                <w:sz w:val="20"/>
                <w:szCs w:val="20"/>
              </w:rPr>
              <w:t>pH</w:t>
            </w:r>
            <w:r>
              <w:rPr>
                <w:rFonts w:ascii="Times New Roman" w:hAnsi="Times New Roman" w:eastAsia="Times New Roman" w:cs="Times New Roman"/>
                <w:spacing w:val="-25"/>
                <w:sz w:val="20"/>
                <w:szCs w:val="20"/>
              </w:rPr>
              <w:t xml:space="preserve"> </w:t>
            </w:r>
            <w:r>
              <w:rPr>
                <w:spacing w:val="6"/>
                <w:sz w:val="20"/>
                <w:szCs w:val="20"/>
              </w:rPr>
              <w:t>、</w:t>
            </w:r>
            <w:r>
              <w:rPr>
                <w:rFonts w:ascii="Times New Roman" w:hAnsi="Times New Roman" w:eastAsia="Times New Roman" w:cs="Times New Roman"/>
                <w:sz w:val="20"/>
                <w:szCs w:val="20"/>
              </w:rPr>
              <w:t>COD</w:t>
            </w:r>
            <w:r>
              <w:rPr>
                <w:rFonts w:ascii="Times New Roman" w:hAnsi="Times New Roman" w:eastAsia="Times New Roman" w:cs="Times New Roman"/>
                <w:position w:val="-1"/>
                <w:sz w:val="13"/>
                <w:szCs w:val="13"/>
              </w:rPr>
              <w:t>cr</w:t>
            </w:r>
            <w:r>
              <w:rPr>
                <w:rFonts w:ascii="Times New Roman" w:hAnsi="Times New Roman" w:eastAsia="Times New Roman" w:cs="Times New Roman"/>
                <w:spacing w:val="-10"/>
                <w:position w:val="-1"/>
                <w:sz w:val="13"/>
                <w:szCs w:val="13"/>
              </w:rPr>
              <w:t xml:space="preserve"> </w:t>
            </w:r>
            <w:r>
              <w:rPr>
                <w:spacing w:val="6"/>
                <w:sz w:val="20"/>
                <w:szCs w:val="20"/>
              </w:rPr>
              <w:t>、</w:t>
            </w:r>
            <w:r>
              <w:rPr>
                <w:rFonts w:ascii="Times New Roman" w:hAnsi="Times New Roman" w:eastAsia="Times New Roman" w:cs="Times New Roman"/>
                <w:sz w:val="20"/>
                <w:szCs w:val="20"/>
              </w:rPr>
              <w:t>BOD</w:t>
            </w:r>
            <w:r>
              <w:rPr>
                <w:rFonts w:ascii="Times New Roman" w:hAnsi="Times New Roman" w:eastAsia="Times New Roman" w:cs="Times New Roman"/>
                <w:spacing w:val="6"/>
                <w:position w:val="-1"/>
                <w:sz w:val="13"/>
                <w:szCs w:val="13"/>
              </w:rPr>
              <w:t>5</w:t>
            </w:r>
            <w:r>
              <w:rPr>
                <w:rFonts w:ascii="Times New Roman" w:hAnsi="Times New Roman" w:eastAsia="Times New Roman" w:cs="Times New Roman"/>
                <w:spacing w:val="-11"/>
                <w:position w:val="-1"/>
                <w:sz w:val="13"/>
                <w:szCs w:val="13"/>
              </w:rPr>
              <w:t xml:space="preserve"> </w:t>
            </w:r>
            <w:r>
              <w:rPr>
                <w:spacing w:val="6"/>
                <w:sz w:val="20"/>
                <w:szCs w:val="20"/>
              </w:rPr>
              <w:t>、</w:t>
            </w:r>
            <w:r>
              <w:rPr>
                <w:rFonts w:ascii="Times New Roman" w:hAnsi="Times New Roman" w:eastAsia="Times New Roman" w:cs="Times New Roman"/>
                <w:sz w:val="20"/>
                <w:szCs w:val="20"/>
              </w:rPr>
              <w:t>SS</w:t>
            </w:r>
            <w:r>
              <w:rPr>
                <w:rFonts w:ascii="Times New Roman" w:hAnsi="Times New Roman" w:eastAsia="Times New Roman" w:cs="Times New Roman"/>
                <w:spacing w:val="-26"/>
                <w:sz w:val="20"/>
                <w:szCs w:val="20"/>
              </w:rPr>
              <w:t xml:space="preserve"> </w:t>
            </w:r>
            <w:r>
              <w:rPr>
                <w:spacing w:val="6"/>
                <w:sz w:val="20"/>
                <w:szCs w:val="20"/>
              </w:rPr>
              <w:t>、石油类</w:t>
            </w:r>
          </w:p>
        </w:tc>
        <w:tc>
          <w:tcPr>
            <w:tcW w:w="6091" w:type="dxa"/>
            <w:tcBorders>
              <w:right w:val="nil"/>
            </w:tcBorders>
            <w:vAlign w:val="top"/>
          </w:tcPr>
          <w:p w14:paraId="70BC01F5">
            <w:pPr>
              <w:pStyle w:val="6"/>
              <w:spacing w:before="80" w:line="227" w:lineRule="auto"/>
              <w:ind w:left="858"/>
              <w:rPr>
                <w:sz w:val="20"/>
                <w:szCs w:val="20"/>
              </w:rPr>
            </w:pPr>
            <w:r>
              <w:rPr>
                <w:spacing w:val="8"/>
                <w:sz w:val="20"/>
                <w:szCs w:val="20"/>
              </w:rPr>
              <w:t>隔油池处理后作为制作电炉开堵眼机堵塞泥用水</w:t>
            </w:r>
          </w:p>
        </w:tc>
      </w:tr>
      <w:tr w14:paraId="7EC347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top w:val="nil"/>
              <w:left w:val="nil"/>
              <w:bottom w:val="nil"/>
            </w:tcBorders>
            <w:vAlign w:val="top"/>
          </w:tcPr>
          <w:p w14:paraId="65F5446C">
            <w:pPr>
              <w:rPr>
                <w:rFonts w:ascii="Arial"/>
                <w:sz w:val="21"/>
              </w:rPr>
            </w:pPr>
          </w:p>
        </w:tc>
        <w:tc>
          <w:tcPr>
            <w:tcW w:w="2599" w:type="dxa"/>
            <w:vAlign w:val="top"/>
          </w:tcPr>
          <w:p w14:paraId="723327D6">
            <w:pPr>
              <w:pStyle w:val="6"/>
              <w:spacing w:before="83" w:line="228" w:lineRule="auto"/>
              <w:ind w:left="675"/>
              <w:rPr>
                <w:sz w:val="20"/>
                <w:szCs w:val="20"/>
              </w:rPr>
            </w:pPr>
            <w:r>
              <w:rPr>
                <w:spacing w:val="8"/>
                <w:sz w:val="20"/>
                <w:szCs w:val="20"/>
              </w:rPr>
              <w:t>化水车间排污</w:t>
            </w:r>
          </w:p>
        </w:tc>
        <w:tc>
          <w:tcPr>
            <w:tcW w:w="1311" w:type="dxa"/>
            <w:vAlign w:val="top"/>
          </w:tcPr>
          <w:p w14:paraId="53E683DA">
            <w:pPr>
              <w:spacing w:before="122" w:line="206" w:lineRule="auto"/>
              <w:ind w:left="465"/>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2-</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3"/>
                <w:sz w:val="13"/>
                <w:szCs w:val="13"/>
              </w:rPr>
              <w:t>1</w:t>
            </w:r>
          </w:p>
        </w:tc>
        <w:tc>
          <w:tcPr>
            <w:tcW w:w="4665" w:type="dxa"/>
            <w:vAlign w:val="top"/>
          </w:tcPr>
          <w:p w14:paraId="4D321882">
            <w:pPr>
              <w:pStyle w:val="6"/>
              <w:spacing w:before="83" w:line="228" w:lineRule="auto"/>
              <w:ind w:left="1813"/>
              <w:rPr>
                <w:sz w:val="20"/>
                <w:szCs w:val="20"/>
              </w:rPr>
            </w:pPr>
            <w:r>
              <w:rPr>
                <w:spacing w:val="7"/>
                <w:sz w:val="20"/>
                <w:szCs w:val="20"/>
              </w:rPr>
              <w:t>化学水车间</w:t>
            </w:r>
          </w:p>
        </w:tc>
        <w:tc>
          <w:tcPr>
            <w:tcW w:w="5558" w:type="dxa"/>
            <w:vAlign w:val="top"/>
          </w:tcPr>
          <w:p w14:paraId="01EBB20B">
            <w:pPr>
              <w:pStyle w:val="6"/>
              <w:spacing w:before="119" w:line="186" w:lineRule="auto"/>
              <w:ind w:left="2362"/>
              <w:rPr>
                <w:rFonts w:ascii="Times New Roman" w:hAnsi="Times New Roman" w:eastAsia="Times New Roman" w:cs="Times New Roman"/>
                <w:sz w:val="20"/>
                <w:szCs w:val="20"/>
              </w:rPr>
            </w:pPr>
            <w:r>
              <w:rPr>
                <w:rFonts w:ascii="Times New Roman" w:hAnsi="Times New Roman" w:eastAsia="Times New Roman" w:cs="Times New Roman"/>
                <w:sz w:val="20"/>
                <w:szCs w:val="20"/>
              </w:rPr>
              <w:t>TDS</w:t>
            </w:r>
            <w:r>
              <w:rPr>
                <w:rFonts w:ascii="Times New Roman" w:hAnsi="Times New Roman" w:eastAsia="Times New Roman" w:cs="Times New Roman"/>
                <w:spacing w:val="-26"/>
                <w:sz w:val="20"/>
                <w:szCs w:val="20"/>
              </w:rPr>
              <w:t xml:space="preserve"> </w:t>
            </w:r>
            <w:r>
              <w:rPr>
                <w:spacing w:val="5"/>
                <w:sz w:val="20"/>
                <w:szCs w:val="20"/>
              </w:rPr>
              <w:t>、</w:t>
            </w:r>
            <w:r>
              <w:rPr>
                <w:rFonts w:ascii="Times New Roman" w:hAnsi="Times New Roman" w:eastAsia="Times New Roman" w:cs="Times New Roman"/>
                <w:sz w:val="20"/>
                <w:szCs w:val="20"/>
              </w:rPr>
              <w:t>SS</w:t>
            </w:r>
          </w:p>
        </w:tc>
        <w:tc>
          <w:tcPr>
            <w:tcW w:w="6091" w:type="dxa"/>
            <w:tcBorders>
              <w:right w:val="nil"/>
            </w:tcBorders>
            <w:vAlign w:val="top"/>
          </w:tcPr>
          <w:p w14:paraId="721034DA">
            <w:pPr>
              <w:pStyle w:val="6"/>
              <w:spacing w:before="83" w:line="228" w:lineRule="auto"/>
              <w:ind w:left="2106"/>
              <w:rPr>
                <w:sz w:val="20"/>
                <w:szCs w:val="20"/>
              </w:rPr>
            </w:pPr>
            <w:r>
              <w:rPr>
                <w:spacing w:val="8"/>
                <w:sz w:val="20"/>
                <w:szCs w:val="20"/>
              </w:rPr>
              <w:t>补充到浊循环水系统</w:t>
            </w:r>
          </w:p>
        </w:tc>
      </w:tr>
      <w:tr w14:paraId="1E6C4C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582A3416">
            <w:pPr>
              <w:rPr>
                <w:rFonts w:ascii="Arial"/>
                <w:sz w:val="21"/>
              </w:rPr>
            </w:pPr>
          </w:p>
        </w:tc>
        <w:tc>
          <w:tcPr>
            <w:tcW w:w="2599" w:type="dxa"/>
            <w:vAlign w:val="top"/>
          </w:tcPr>
          <w:p w14:paraId="62E2F47B">
            <w:pPr>
              <w:pStyle w:val="6"/>
              <w:spacing w:before="83" w:line="228" w:lineRule="auto"/>
              <w:ind w:left="675"/>
              <w:rPr>
                <w:sz w:val="20"/>
                <w:szCs w:val="20"/>
              </w:rPr>
            </w:pPr>
            <w:r>
              <w:rPr>
                <w:spacing w:val="8"/>
                <w:sz w:val="20"/>
                <w:szCs w:val="20"/>
              </w:rPr>
              <w:t>燃气锅炉排污</w:t>
            </w:r>
          </w:p>
        </w:tc>
        <w:tc>
          <w:tcPr>
            <w:tcW w:w="1311" w:type="dxa"/>
            <w:vAlign w:val="top"/>
          </w:tcPr>
          <w:p w14:paraId="7C134430">
            <w:pPr>
              <w:spacing w:before="122" w:line="206" w:lineRule="auto"/>
              <w:ind w:left="465"/>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2-2</w:t>
            </w:r>
          </w:p>
        </w:tc>
        <w:tc>
          <w:tcPr>
            <w:tcW w:w="4665" w:type="dxa"/>
            <w:vAlign w:val="top"/>
          </w:tcPr>
          <w:p w14:paraId="576B7DBD">
            <w:pPr>
              <w:pStyle w:val="6"/>
              <w:spacing w:before="83" w:line="228" w:lineRule="auto"/>
              <w:ind w:left="1918"/>
              <w:rPr>
                <w:sz w:val="20"/>
                <w:szCs w:val="20"/>
              </w:rPr>
            </w:pPr>
            <w:r>
              <w:rPr>
                <w:spacing w:val="7"/>
                <w:sz w:val="20"/>
                <w:szCs w:val="20"/>
              </w:rPr>
              <w:t>余热锅炉</w:t>
            </w:r>
          </w:p>
        </w:tc>
        <w:tc>
          <w:tcPr>
            <w:tcW w:w="5558" w:type="dxa"/>
            <w:vAlign w:val="top"/>
          </w:tcPr>
          <w:p w14:paraId="7C7F2830">
            <w:pPr>
              <w:pStyle w:val="6"/>
              <w:spacing w:before="119" w:line="186" w:lineRule="auto"/>
              <w:ind w:left="2362"/>
              <w:rPr>
                <w:rFonts w:ascii="Times New Roman" w:hAnsi="Times New Roman" w:eastAsia="Times New Roman" w:cs="Times New Roman"/>
                <w:sz w:val="20"/>
                <w:szCs w:val="20"/>
              </w:rPr>
            </w:pPr>
            <w:r>
              <w:rPr>
                <w:rFonts w:ascii="Times New Roman" w:hAnsi="Times New Roman" w:eastAsia="Times New Roman" w:cs="Times New Roman"/>
                <w:sz w:val="20"/>
                <w:szCs w:val="20"/>
              </w:rPr>
              <w:t>TDS</w:t>
            </w:r>
            <w:r>
              <w:rPr>
                <w:rFonts w:ascii="Times New Roman" w:hAnsi="Times New Roman" w:eastAsia="Times New Roman" w:cs="Times New Roman"/>
                <w:spacing w:val="-26"/>
                <w:sz w:val="20"/>
                <w:szCs w:val="20"/>
              </w:rPr>
              <w:t xml:space="preserve"> </w:t>
            </w:r>
            <w:r>
              <w:rPr>
                <w:spacing w:val="5"/>
                <w:sz w:val="20"/>
                <w:szCs w:val="20"/>
              </w:rPr>
              <w:t>、</w:t>
            </w:r>
            <w:r>
              <w:rPr>
                <w:rFonts w:ascii="Times New Roman" w:hAnsi="Times New Roman" w:eastAsia="Times New Roman" w:cs="Times New Roman"/>
                <w:sz w:val="20"/>
                <w:szCs w:val="20"/>
              </w:rPr>
              <w:t>SS</w:t>
            </w:r>
          </w:p>
        </w:tc>
        <w:tc>
          <w:tcPr>
            <w:tcW w:w="6091" w:type="dxa"/>
            <w:tcBorders>
              <w:right w:val="nil"/>
            </w:tcBorders>
            <w:vAlign w:val="top"/>
          </w:tcPr>
          <w:p w14:paraId="47984A31">
            <w:pPr>
              <w:pStyle w:val="6"/>
              <w:spacing w:before="82" w:line="228" w:lineRule="auto"/>
              <w:ind w:left="2106"/>
              <w:rPr>
                <w:sz w:val="20"/>
                <w:szCs w:val="20"/>
              </w:rPr>
            </w:pPr>
            <w:r>
              <w:rPr>
                <w:spacing w:val="8"/>
                <w:sz w:val="20"/>
                <w:szCs w:val="20"/>
              </w:rPr>
              <w:t>补充到浊循环水系统</w:t>
            </w:r>
          </w:p>
        </w:tc>
      </w:tr>
      <w:tr w14:paraId="1DF3E4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2544C727">
            <w:pPr>
              <w:rPr>
                <w:rFonts w:ascii="Arial"/>
                <w:sz w:val="21"/>
              </w:rPr>
            </w:pPr>
            <w:r>
              <w:pict>
                <v:shape id="_x0000_s1186" o:spid="_x0000_s1186" o:spt="202" type="#_x0000_t202" style="position:absolute;left:0pt;margin-left:8pt;margin-top:11.45pt;height:14.35pt;width:22.55pt;mso-position-horizontal-relative:page;mso-position-vertical-relative:page;z-index:251843584;mso-width-relative:page;mso-height-relative:page;" filled="f" stroked="f" coordsize="21600,21600">
                  <v:path/>
                  <v:fill on="f" focussize="0,0"/>
                  <v:stroke on="f"/>
                  <v:imagedata o:title=""/>
                  <o:lock v:ext="edit" aspectratio="f"/>
                  <v:textbox inset="0mm,0mm,0mm,0mm">
                    <w:txbxContent>
                      <w:p w14:paraId="155BA5B8">
                        <w:pPr>
                          <w:pStyle w:val="6"/>
                          <w:spacing w:before="19" w:line="228" w:lineRule="auto"/>
                          <w:ind w:left="20"/>
                          <w:rPr>
                            <w:sz w:val="20"/>
                            <w:szCs w:val="20"/>
                          </w:rPr>
                        </w:pPr>
                        <w:r>
                          <w:rPr>
                            <w:spacing w:val="5"/>
                            <w:sz w:val="20"/>
                            <w:szCs w:val="20"/>
                          </w:rPr>
                          <w:t>废水</w:t>
                        </w:r>
                      </w:p>
                    </w:txbxContent>
                  </v:textbox>
                </v:shape>
              </w:pict>
            </w:r>
          </w:p>
        </w:tc>
        <w:tc>
          <w:tcPr>
            <w:tcW w:w="2599" w:type="dxa"/>
            <w:vAlign w:val="top"/>
          </w:tcPr>
          <w:p w14:paraId="57694537">
            <w:pPr>
              <w:pStyle w:val="6"/>
              <w:spacing w:before="83" w:line="227" w:lineRule="auto"/>
              <w:ind w:left="256"/>
              <w:rPr>
                <w:sz w:val="20"/>
                <w:szCs w:val="20"/>
              </w:rPr>
            </w:pPr>
            <w:r>
              <w:rPr>
                <w:spacing w:val="8"/>
                <w:sz w:val="20"/>
                <w:szCs w:val="20"/>
              </w:rPr>
              <w:t>辅机冷却循环水站排污</w:t>
            </w:r>
          </w:p>
        </w:tc>
        <w:tc>
          <w:tcPr>
            <w:tcW w:w="1311" w:type="dxa"/>
            <w:vAlign w:val="top"/>
          </w:tcPr>
          <w:p w14:paraId="11A30EFA">
            <w:pPr>
              <w:spacing w:before="122" w:line="208" w:lineRule="auto"/>
              <w:ind w:left="465"/>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2-3</w:t>
            </w:r>
          </w:p>
        </w:tc>
        <w:tc>
          <w:tcPr>
            <w:tcW w:w="4665" w:type="dxa"/>
            <w:vAlign w:val="top"/>
          </w:tcPr>
          <w:p w14:paraId="29D1B0D2">
            <w:pPr>
              <w:pStyle w:val="6"/>
              <w:spacing w:before="83" w:line="227" w:lineRule="auto"/>
              <w:ind w:left="1078"/>
              <w:rPr>
                <w:sz w:val="20"/>
                <w:szCs w:val="20"/>
              </w:rPr>
            </w:pPr>
            <w:r>
              <w:rPr>
                <w:spacing w:val="9"/>
                <w:sz w:val="20"/>
                <w:szCs w:val="20"/>
              </w:rPr>
              <w:t>余热发电辅机冷却循环水站</w:t>
            </w:r>
          </w:p>
        </w:tc>
        <w:tc>
          <w:tcPr>
            <w:tcW w:w="5558" w:type="dxa"/>
            <w:vAlign w:val="top"/>
          </w:tcPr>
          <w:p w14:paraId="1D4EB274">
            <w:pPr>
              <w:pStyle w:val="6"/>
              <w:spacing w:before="119" w:line="186" w:lineRule="auto"/>
              <w:ind w:left="2362"/>
              <w:rPr>
                <w:rFonts w:ascii="Times New Roman" w:hAnsi="Times New Roman" w:eastAsia="Times New Roman" w:cs="Times New Roman"/>
                <w:sz w:val="20"/>
                <w:szCs w:val="20"/>
              </w:rPr>
            </w:pPr>
            <w:r>
              <w:rPr>
                <w:rFonts w:ascii="Times New Roman" w:hAnsi="Times New Roman" w:eastAsia="Times New Roman" w:cs="Times New Roman"/>
                <w:sz w:val="20"/>
                <w:szCs w:val="20"/>
              </w:rPr>
              <w:t>TDS</w:t>
            </w:r>
            <w:r>
              <w:rPr>
                <w:rFonts w:ascii="Times New Roman" w:hAnsi="Times New Roman" w:eastAsia="Times New Roman" w:cs="Times New Roman"/>
                <w:spacing w:val="-26"/>
                <w:sz w:val="20"/>
                <w:szCs w:val="20"/>
              </w:rPr>
              <w:t xml:space="preserve"> </w:t>
            </w:r>
            <w:r>
              <w:rPr>
                <w:spacing w:val="5"/>
                <w:sz w:val="20"/>
                <w:szCs w:val="20"/>
              </w:rPr>
              <w:t>、</w:t>
            </w:r>
            <w:r>
              <w:rPr>
                <w:rFonts w:ascii="Times New Roman" w:hAnsi="Times New Roman" w:eastAsia="Times New Roman" w:cs="Times New Roman"/>
                <w:sz w:val="20"/>
                <w:szCs w:val="20"/>
              </w:rPr>
              <w:t>SS</w:t>
            </w:r>
          </w:p>
        </w:tc>
        <w:tc>
          <w:tcPr>
            <w:tcW w:w="6091" w:type="dxa"/>
            <w:tcBorders>
              <w:right w:val="nil"/>
            </w:tcBorders>
            <w:vAlign w:val="top"/>
          </w:tcPr>
          <w:p w14:paraId="75F0A6F5">
            <w:pPr>
              <w:pStyle w:val="6"/>
              <w:spacing w:before="84" w:line="227" w:lineRule="auto"/>
              <w:ind w:left="2106"/>
              <w:rPr>
                <w:sz w:val="20"/>
                <w:szCs w:val="20"/>
              </w:rPr>
            </w:pPr>
            <w:r>
              <w:rPr>
                <w:spacing w:val="8"/>
                <w:sz w:val="20"/>
                <w:szCs w:val="20"/>
              </w:rPr>
              <w:t>补充到浊循环水系统</w:t>
            </w:r>
          </w:p>
        </w:tc>
      </w:tr>
      <w:tr w14:paraId="76D1B8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765" w:type="dxa"/>
            <w:tcBorders>
              <w:top w:val="nil"/>
              <w:left w:val="nil"/>
              <w:bottom w:val="nil"/>
            </w:tcBorders>
            <w:vAlign w:val="top"/>
          </w:tcPr>
          <w:p w14:paraId="70DFD454">
            <w:pPr>
              <w:rPr>
                <w:rFonts w:ascii="Arial"/>
                <w:sz w:val="21"/>
              </w:rPr>
            </w:pPr>
          </w:p>
        </w:tc>
        <w:tc>
          <w:tcPr>
            <w:tcW w:w="2599" w:type="dxa"/>
            <w:vAlign w:val="top"/>
          </w:tcPr>
          <w:p w14:paraId="590A80BB">
            <w:pPr>
              <w:pStyle w:val="6"/>
              <w:spacing w:before="244" w:line="228" w:lineRule="auto"/>
              <w:ind w:left="677"/>
              <w:rPr>
                <w:sz w:val="20"/>
                <w:szCs w:val="20"/>
              </w:rPr>
            </w:pPr>
            <w:r>
              <w:rPr>
                <w:spacing w:val="7"/>
                <w:sz w:val="20"/>
                <w:szCs w:val="20"/>
              </w:rPr>
              <w:t>厂区生活污水</w:t>
            </w:r>
          </w:p>
        </w:tc>
        <w:tc>
          <w:tcPr>
            <w:tcW w:w="1311" w:type="dxa"/>
            <w:vAlign w:val="top"/>
          </w:tcPr>
          <w:p w14:paraId="18199651">
            <w:pPr>
              <w:spacing w:before="283" w:line="199" w:lineRule="auto"/>
              <w:ind w:left="521"/>
              <w:rPr>
                <w:rFonts w:ascii="Times New Roman" w:hAnsi="Times New Roman" w:eastAsia="Times New Roman" w:cs="Times New Roman"/>
                <w:sz w:val="13"/>
                <w:szCs w:val="13"/>
              </w:rPr>
            </w:pPr>
            <w:r>
              <w:rPr>
                <w:rFonts w:ascii="Times New Roman" w:hAnsi="Times New Roman" w:eastAsia="Times New Roman" w:cs="Times New Roman"/>
                <w:spacing w:val="5"/>
                <w:sz w:val="20"/>
                <w:szCs w:val="20"/>
              </w:rPr>
              <w:t>W</w:t>
            </w:r>
            <w:r>
              <w:rPr>
                <w:rFonts w:ascii="Times New Roman" w:hAnsi="Times New Roman" w:eastAsia="Times New Roman" w:cs="Times New Roman"/>
                <w:spacing w:val="5"/>
                <w:position w:val="-1"/>
                <w:sz w:val="13"/>
                <w:szCs w:val="13"/>
              </w:rPr>
              <w:t>3</w:t>
            </w:r>
          </w:p>
        </w:tc>
        <w:tc>
          <w:tcPr>
            <w:tcW w:w="4665" w:type="dxa"/>
            <w:vAlign w:val="top"/>
          </w:tcPr>
          <w:p w14:paraId="38BE15F7">
            <w:pPr>
              <w:pStyle w:val="6"/>
              <w:spacing w:before="244" w:line="228" w:lineRule="auto"/>
              <w:ind w:left="1500"/>
              <w:rPr>
                <w:sz w:val="20"/>
                <w:szCs w:val="20"/>
              </w:rPr>
            </w:pPr>
            <w:r>
              <w:rPr>
                <w:spacing w:val="8"/>
                <w:sz w:val="20"/>
                <w:szCs w:val="20"/>
              </w:rPr>
              <w:t>厂区职工生活产生</w:t>
            </w:r>
          </w:p>
        </w:tc>
        <w:tc>
          <w:tcPr>
            <w:tcW w:w="5558" w:type="dxa"/>
            <w:vAlign w:val="top"/>
          </w:tcPr>
          <w:p w14:paraId="5FB49B39">
            <w:pPr>
              <w:pStyle w:val="6"/>
              <w:spacing w:before="245" w:line="221" w:lineRule="auto"/>
              <w:ind w:left="1264"/>
              <w:rPr>
                <w:sz w:val="20"/>
                <w:szCs w:val="20"/>
              </w:rPr>
            </w:pPr>
            <w:r>
              <w:rPr>
                <w:rFonts w:ascii="Times New Roman" w:hAnsi="Times New Roman" w:eastAsia="Times New Roman" w:cs="Times New Roman"/>
                <w:sz w:val="20"/>
                <w:szCs w:val="20"/>
              </w:rPr>
              <w:t>pH</w:t>
            </w:r>
            <w:r>
              <w:rPr>
                <w:rFonts w:ascii="Times New Roman" w:hAnsi="Times New Roman" w:eastAsia="Times New Roman" w:cs="Times New Roman"/>
                <w:spacing w:val="-25"/>
                <w:sz w:val="20"/>
                <w:szCs w:val="20"/>
              </w:rPr>
              <w:t xml:space="preserve"> </w:t>
            </w:r>
            <w:r>
              <w:rPr>
                <w:spacing w:val="6"/>
                <w:sz w:val="20"/>
                <w:szCs w:val="20"/>
              </w:rPr>
              <w:t>、</w:t>
            </w:r>
            <w:r>
              <w:rPr>
                <w:rFonts w:ascii="Times New Roman" w:hAnsi="Times New Roman" w:eastAsia="Times New Roman" w:cs="Times New Roman"/>
                <w:sz w:val="20"/>
                <w:szCs w:val="20"/>
              </w:rPr>
              <w:t>COD</w:t>
            </w:r>
            <w:r>
              <w:rPr>
                <w:rFonts w:ascii="Times New Roman" w:hAnsi="Times New Roman" w:eastAsia="Times New Roman" w:cs="Times New Roman"/>
                <w:position w:val="-1"/>
                <w:sz w:val="13"/>
                <w:szCs w:val="13"/>
              </w:rPr>
              <w:t>cr</w:t>
            </w:r>
            <w:r>
              <w:rPr>
                <w:rFonts w:ascii="Times New Roman" w:hAnsi="Times New Roman" w:eastAsia="Times New Roman" w:cs="Times New Roman"/>
                <w:spacing w:val="-10"/>
                <w:position w:val="-1"/>
                <w:sz w:val="13"/>
                <w:szCs w:val="13"/>
              </w:rPr>
              <w:t xml:space="preserve"> </w:t>
            </w:r>
            <w:r>
              <w:rPr>
                <w:spacing w:val="6"/>
                <w:sz w:val="20"/>
                <w:szCs w:val="20"/>
              </w:rPr>
              <w:t>、</w:t>
            </w:r>
            <w:r>
              <w:rPr>
                <w:rFonts w:ascii="Times New Roman" w:hAnsi="Times New Roman" w:eastAsia="Times New Roman" w:cs="Times New Roman"/>
                <w:sz w:val="20"/>
                <w:szCs w:val="20"/>
              </w:rPr>
              <w:t>BOD</w:t>
            </w:r>
            <w:r>
              <w:rPr>
                <w:rFonts w:ascii="Times New Roman" w:hAnsi="Times New Roman" w:eastAsia="Times New Roman" w:cs="Times New Roman"/>
                <w:spacing w:val="6"/>
                <w:position w:val="-1"/>
                <w:sz w:val="13"/>
                <w:szCs w:val="13"/>
              </w:rPr>
              <w:t>5</w:t>
            </w:r>
            <w:r>
              <w:rPr>
                <w:rFonts w:ascii="Times New Roman" w:hAnsi="Times New Roman" w:eastAsia="Times New Roman" w:cs="Times New Roman"/>
                <w:spacing w:val="-11"/>
                <w:position w:val="-1"/>
                <w:sz w:val="13"/>
                <w:szCs w:val="13"/>
              </w:rPr>
              <w:t xml:space="preserve"> </w:t>
            </w:r>
            <w:r>
              <w:rPr>
                <w:spacing w:val="6"/>
                <w:sz w:val="20"/>
                <w:szCs w:val="20"/>
              </w:rPr>
              <w:t>、</w:t>
            </w:r>
            <w:r>
              <w:rPr>
                <w:rFonts w:ascii="Times New Roman" w:hAnsi="Times New Roman" w:eastAsia="Times New Roman" w:cs="Times New Roman"/>
                <w:sz w:val="20"/>
                <w:szCs w:val="20"/>
              </w:rPr>
              <w:t>SS</w:t>
            </w:r>
            <w:r>
              <w:rPr>
                <w:rFonts w:ascii="Times New Roman" w:hAnsi="Times New Roman" w:eastAsia="Times New Roman" w:cs="Times New Roman"/>
                <w:spacing w:val="-26"/>
                <w:sz w:val="20"/>
                <w:szCs w:val="20"/>
              </w:rPr>
              <w:t xml:space="preserve"> </w:t>
            </w:r>
            <w:r>
              <w:rPr>
                <w:spacing w:val="6"/>
                <w:sz w:val="20"/>
                <w:szCs w:val="20"/>
              </w:rPr>
              <w:t>、氨氮等</w:t>
            </w:r>
          </w:p>
        </w:tc>
        <w:tc>
          <w:tcPr>
            <w:tcW w:w="6091" w:type="dxa"/>
            <w:tcBorders>
              <w:right w:val="nil"/>
            </w:tcBorders>
            <w:vAlign w:val="top"/>
          </w:tcPr>
          <w:p w14:paraId="6B12DC99">
            <w:pPr>
              <w:pStyle w:val="6"/>
              <w:spacing w:before="83" w:line="262" w:lineRule="auto"/>
              <w:ind w:left="1894" w:right="18" w:hanging="1874"/>
              <w:rPr>
                <w:sz w:val="20"/>
                <w:szCs w:val="20"/>
              </w:rPr>
            </w:pPr>
            <w:r>
              <w:rPr>
                <w:spacing w:val="8"/>
                <w:sz w:val="20"/>
                <w:szCs w:val="20"/>
              </w:rPr>
              <w:t>地埋式一体化污水处理设施处理，由罐车运至苏尼特右旗赛汉塔拉</w:t>
            </w:r>
            <w:r>
              <w:rPr>
                <w:spacing w:val="16"/>
                <w:sz w:val="20"/>
                <w:szCs w:val="20"/>
              </w:rPr>
              <w:t xml:space="preserve"> </w:t>
            </w:r>
            <w:r>
              <w:rPr>
                <w:spacing w:val="9"/>
                <w:sz w:val="20"/>
                <w:szCs w:val="20"/>
              </w:rPr>
              <w:t>镇污水处理厂进一步处理</w:t>
            </w:r>
          </w:p>
        </w:tc>
      </w:tr>
      <w:tr w14:paraId="695C99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1B5D70B2">
            <w:pPr>
              <w:rPr>
                <w:rFonts w:ascii="Arial"/>
                <w:sz w:val="21"/>
              </w:rPr>
            </w:pPr>
          </w:p>
        </w:tc>
        <w:tc>
          <w:tcPr>
            <w:tcW w:w="2599" w:type="dxa"/>
            <w:vAlign w:val="top"/>
          </w:tcPr>
          <w:p w14:paraId="0D52E3E3">
            <w:pPr>
              <w:pStyle w:val="6"/>
              <w:spacing w:before="85" w:line="226" w:lineRule="auto"/>
              <w:ind w:left="255"/>
              <w:rPr>
                <w:sz w:val="20"/>
                <w:szCs w:val="20"/>
              </w:rPr>
            </w:pPr>
            <w:r>
              <w:rPr>
                <w:spacing w:val="8"/>
                <w:sz w:val="20"/>
                <w:szCs w:val="20"/>
              </w:rPr>
              <w:t>循环冷却水系统排污水</w:t>
            </w:r>
          </w:p>
        </w:tc>
        <w:tc>
          <w:tcPr>
            <w:tcW w:w="1311" w:type="dxa"/>
            <w:vAlign w:val="top"/>
          </w:tcPr>
          <w:p w14:paraId="6EB523A1">
            <w:pPr>
              <w:spacing w:before="124" w:line="199" w:lineRule="auto"/>
              <w:ind w:left="521"/>
              <w:rPr>
                <w:rFonts w:ascii="Times New Roman" w:hAnsi="Times New Roman" w:eastAsia="Times New Roman" w:cs="Times New Roman"/>
                <w:sz w:val="13"/>
                <w:szCs w:val="13"/>
              </w:rPr>
            </w:pPr>
            <w:r>
              <w:rPr>
                <w:rFonts w:ascii="Times New Roman" w:hAnsi="Times New Roman" w:eastAsia="Times New Roman" w:cs="Times New Roman"/>
                <w:spacing w:val="5"/>
                <w:sz w:val="20"/>
                <w:szCs w:val="20"/>
              </w:rPr>
              <w:t>W</w:t>
            </w:r>
            <w:r>
              <w:rPr>
                <w:rFonts w:ascii="Times New Roman" w:hAnsi="Times New Roman" w:eastAsia="Times New Roman" w:cs="Times New Roman"/>
                <w:spacing w:val="5"/>
                <w:position w:val="-1"/>
                <w:sz w:val="13"/>
                <w:szCs w:val="13"/>
              </w:rPr>
              <w:t>4</w:t>
            </w:r>
          </w:p>
        </w:tc>
        <w:tc>
          <w:tcPr>
            <w:tcW w:w="4665" w:type="dxa"/>
            <w:vAlign w:val="top"/>
          </w:tcPr>
          <w:p w14:paraId="024ABDE9">
            <w:pPr>
              <w:pStyle w:val="6"/>
              <w:spacing w:before="85" w:line="226" w:lineRule="auto"/>
              <w:ind w:left="1812"/>
              <w:rPr>
                <w:sz w:val="20"/>
                <w:szCs w:val="20"/>
              </w:rPr>
            </w:pPr>
            <w:r>
              <w:rPr>
                <w:spacing w:val="8"/>
                <w:sz w:val="20"/>
                <w:szCs w:val="20"/>
              </w:rPr>
              <w:t>循环水系统</w:t>
            </w:r>
          </w:p>
        </w:tc>
        <w:tc>
          <w:tcPr>
            <w:tcW w:w="5558" w:type="dxa"/>
            <w:vAlign w:val="top"/>
          </w:tcPr>
          <w:p w14:paraId="2D72EC61">
            <w:pPr>
              <w:pStyle w:val="6"/>
              <w:spacing w:before="121" w:line="186" w:lineRule="auto"/>
              <w:ind w:left="236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SS</w:t>
            </w:r>
            <w:r>
              <w:rPr>
                <w:rFonts w:ascii="Times New Roman" w:hAnsi="Times New Roman" w:eastAsia="Times New Roman" w:cs="Times New Roman"/>
                <w:spacing w:val="-23"/>
                <w:sz w:val="20"/>
                <w:szCs w:val="20"/>
              </w:rPr>
              <w:t xml:space="preserve"> </w:t>
            </w:r>
            <w:r>
              <w:rPr>
                <w:spacing w:val="-1"/>
                <w:sz w:val="20"/>
                <w:szCs w:val="20"/>
              </w:rPr>
              <w:t>、</w:t>
            </w:r>
            <w:r>
              <w:rPr>
                <w:rFonts w:ascii="Times New Roman" w:hAnsi="Times New Roman" w:eastAsia="Times New Roman" w:cs="Times New Roman"/>
                <w:spacing w:val="-1"/>
                <w:sz w:val="20"/>
                <w:szCs w:val="20"/>
              </w:rPr>
              <w:t>TDS</w:t>
            </w:r>
          </w:p>
        </w:tc>
        <w:tc>
          <w:tcPr>
            <w:tcW w:w="6091" w:type="dxa"/>
            <w:tcBorders>
              <w:right w:val="nil"/>
            </w:tcBorders>
            <w:vAlign w:val="top"/>
          </w:tcPr>
          <w:p w14:paraId="6A2CF8FB">
            <w:pPr>
              <w:pStyle w:val="6"/>
              <w:spacing w:before="85" w:line="226" w:lineRule="auto"/>
              <w:ind w:left="2106"/>
              <w:rPr>
                <w:sz w:val="20"/>
                <w:szCs w:val="20"/>
              </w:rPr>
            </w:pPr>
            <w:r>
              <w:rPr>
                <w:spacing w:val="8"/>
                <w:sz w:val="20"/>
                <w:szCs w:val="20"/>
              </w:rPr>
              <w:t>补充到浊循环水系统</w:t>
            </w:r>
          </w:p>
        </w:tc>
      </w:tr>
      <w:tr w14:paraId="24963A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51C57BA6">
            <w:pPr>
              <w:rPr>
                <w:rFonts w:ascii="Arial"/>
                <w:sz w:val="21"/>
              </w:rPr>
            </w:pPr>
          </w:p>
        </w:tc>
        <w:tc>
          <w:tcPr>
            <w:tcW w:w="2599" w:type="dxa"/>
            <w:vAlign w:val="top"/>
          </w:tcPr>
          <w:p w14:paraId="0E4AE0E3">
            <w:pPr>
              <w:pStyle w:val="6"/>
              <w:spacing w:before="86" w:line="225" w:lineRule="auto"/>
              <w:ind w:left="677"/>
              <w:rPr>
                <w:sz w:val="20"/>
                <w:szCs w:val="20"/>
              </w:rPr>
            </w:pPr>
            <w:r>
              <w:rPr>
                <w:spacing w:val="7"/>
                <w:sz w:val="20"/>
                <w:szCs w:val="20"/>
              </w:rPr>
              <w:t>软水制备排污</w:t>
            </w:r>
          </w:p>
        </w:tc>
        <w:tc>
          <w:tcPr>
            <w:tcW w:w="1311" w:type="dxa"/>
            <w:vAlign w:val="top"/>
          </w:tcPr>
          <w:p w14:paraId="3C404296">
            <w:pPr>
              <w:spacing w:before="124" w:line="199" w:lineRule="auto"/>
              <w:ind w:left="521"/>
              <w:rPr>
                <w:rFonts w:ascii="Times New Roman" w:hAnsi="Times New Roman" w:eastAsia="Times New Roman" w:cs="Times New Roman"/>
                <w:sz w:val="13"/>
                <w:szCs w:val="13"/>
              </w:rPr>
            </w:pPr>
            <w:r>
              <w:rPr>
                <w:rFonts w:ascii="Times New Roman" w:hAnsi="Times New Roman" w:eastAsia="Times New Roman" w:cs="Times New Roman"/>
                <w:spacing w:val="5"/>
                <w:sz w:val="20"/>
                <w:szCs w:val="20"/>
              </w:rPr>
              <w:t>W</w:t>
            </w:r>
            <w:r>
              <w:rPr>
                <w:rFonts w:ascii="Times New Roman" w:hAnsi="Times New Roman" w:eastAsia="Times New Roman" w:cs="Times New Roman"/>
                <w:spacing w:val="5"/>
                <w:position w:val="-1"/>
                <w:sz w:val="13"/>
                <w:szCs w:val="13"/>
              </w:rPr>
              <w:t>5</w:t>
            </w:r>
          </w:p>
        </w:tc>
        <w:tc>
          <w:tcPr>
            <w:tcW w:w="4665" w:type="dxa"/>
            <w:vAlign w:val="top"/>
          </w:tcPr>
          <w:p w14:paraId="10EE7222">
            <w:pPr>
              <w:pStyle w:val="6"/>
              <w:spacing w:before="86" w:line="225" w:lineRule="auto"/>
              <w:ind w:left="1709"/>
              <w:rPr>
                <w:sz w:val="20"/>
                <w:szCs w:val="20"/>
              </w:rPr>
            </w:pPr>
            <w:r>
              <w:rPr>
                <w:spacing w:val="7"/>
                <w:sz w:val="20"/>
                <w:szCs w:val="20"/>
              </w:rPr>
              <w:t>软水制备装置</w:t>
            </w:r>
          </w:p>
        </w:tc>
        <w:tc>
          <w:tcPr>
            <w:tcW w:w="5558" w:type="dxa"/>
            <w:vAlign w:val="top"/>
          </w:tcPr>
          <w:p w14:paraId="2DE320A4">
            <w:pPr>
              <w:pStyle w:val="6"/>
              <w:spacing w:before="122" w:line="186" w:lineRule="auto"/>
              <w:ind w:left="2362"/>
              <w:rPr>
                <w:rFonts w:ascii="Times New Roman" w:hAnsi="Times New Roman" w:eastAsia="Times New Roman" w:cs="Times New Roman"/>
                <w:sz w:val="20"/>
                <w:szCs w:val="20"/>
              </w:rPr>
            </w:pPr>
            <w:r>
              <w:rPr>
                <w:rFonts w:ascii="Times New Roman" w:hAnsi="Times New Roman" w:eastAsia="Times New Roman" w:cs="Times New Roman"/>
                <w:sz w:val="20"/>
                <w:szCs w:val="20"/>
              </w:rPr>
              <w:t>TDS</w:t>
            </w:r>
            <w:r>
              <w:rPr>
                <w:rFonts w:ascii="Times New Roman" w:hAnsi="Times New Roman" w:eastAsia="Times New Roman" w:cs="Times New Roman"/>
                <w:spacing w:val="-26"/>
                <w:sz w:val="20"/>
                <w:szCs w:val="20"/>
              </w:rPr>
              <w:t xml:space="preserve"> </w:t>
            </w:r>
            <w:r>
              <w:rPr>
                <w:spacing w:val="5"/>
                <w:sz w:val="20"/>
                <w:szCs w:val="20"/>
              </w:rPr>
              <w:t>、</w:t>
            </w:r>
            <w:r>
              <w:rPr>
                <w:rFonts w:ascii="Times New Roman" w:hAnsi="Times New Roman" w:eastAsia="Times New Roman" w:cs="Times New Roman"/>
                <w:sz w:val="20"/>
                <w:szCs w:val="20"/>
              </w:rPr>
              <w:t>SS</w:t>
            </w:r>
          </w:p>
        </w:tc>
        <w:tc>
          <w:tcPr>
            <w:tcW w:w="6091" w:type="dxa"/>
            <w:tcBorders>
              <w:right w:val="nil"/>
            </w:tcBorders>
            <w:vAlign w:val="top"/>
          </w:tcPr>
          <w:p w14:paraId="77378D91">
            <w:pPr>
              <w:pStyle w:val="6"/>
              <w:spacing w:before="86" w:line="225" w:lineRule="auto"/>
              <w:ind w:left="2106"/>
              <w:rPr>
                <w:sz w:val="20"/>
                <w:szCs w:val="20"/>
              </w:rPr>
            </w:pPr>
            <w:r>
              <w:rPr>
                <w:spacing w:val="8"/>
                <w:sz w:val="20"/>
                <w:szCs w:val="20"/>
              </w:rPr>
              <w:t>补充到浊循环水系统</w:t>
            </w:r>
          </w:p>
        </w:tc>
      </w:tr>
      <w:tr w14:paraId="778911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tcBorders>
            <w:vAlign w:val="top"/>
          </w:tcPr>
          <w:p w14:paraId="39A28AB3">
            <w:pPr>
              <w:rPr>
                <w:rFonts w:ascii="Arial"/>
                <w:sz w:val="21"/>
              </w:rPr>
            </w:pPr>
          </w:p>
        </w:tc>
        <w:tc>
          <w:tcPr>
            <w:tcW w:w="2599" w:type="dxa"/>
            <w:vAlign w:val="top"/>
          </w:tcPr>
          <w:p w14:paraId="1E15F177">
            <w:pPr>
              <w:pStyle w:val="6"/>
              <w:spacing w:before="86" w:line="225" w:lineRule="auto"/>
              <w:ind w:left="781"/>
              <w:rPr>
                <w:sz w:val="20"/>
                <w:szCs w:val="20"/>
              </w:rPr>
            </w:pPr>
            <w:r>
              <w:rPr>
                <w:spacing w:val="7"/>
                <w:sz w:val="20"/>
                <w:szCs w:val="20"/>
              </w:rPr>
              <w:t>化验室废水</w:t>
            </w:r>
          </w:p>
        </w:tc>
        <w:tc>
          <w:tcPr>
            <w:tcW w:w="1311" w:type="dxa"/>
            <w:vAlign w:val="top"/>
          </w:tcPr>
          <w:p w14:paraId="632C7F62">
            <w:pPr>
              <w:spacing w:before="128" w:line="205" w:lineRule="auto"/>
              <w:ind w:left="521"/>
              <w:rPr>
                <w:rFonts w:ascii="Times New Roman" w:hAnsi="Times New Roman" w:eastAsia="Times New Roman" w:cs="Times New Roman"/>
                <w:sz w:val="13"/>
                <w:szCs w:val="13"/>
              </w:rPr>
            </w:pPr>
            <w:r>
              <w:rPr>
                <w:rFonts w:ascii="Times New Roman" w:hAnsi="Times New Roman" w:eastAsia="Times New Roman" w:cs="Times New Roman"/>
                <w:spacing w:val="5"/>
                <w:sz w:val="20"/>
                <w:szCs w:val="20"/>
              </w:rPr>
              <w:t>W</w:t>
            </w:r>
            <w:r>
              <w:rPr>
                <w:rFonts w:ascii="Times New Roman" w:hAnsi="Times New Roman" w:eastAsia="Times New Roman" w:cs="Times New Roman"/>
                <w:spacing w:val="5"/>
                <w:sz w:val="13"/>
                <w:szCs w:val="13"/>
              </w:rPr>
              <w:t>6</w:t>
            </w:r>
          </w:p>
        </w:tc>
        <w:tc>
          <w:tcPr>
            <w:tcW w:w="4665" w:type="dxa"/>
            <w:vAlign w:val="top"/>
          </w:tcPr>
          <w:p w14:paraId="4CB55663">
            <w:pPr>
              <w:pStyle w:val="6"/>
              <w:spacing w:before="86" w:line="225" w:lineRule="auto"/>
              <w:ind w:left="1603"/>
              <w:rPr>
                <w:sz w:val="20"/>
                <w:szCs w:val="20"/>
              </w:rPr>
            </w:pPr>
            <w:r>
              <w:rPr>
                <w:spacing w:val="8"/>
                <w:sz w:val="20"/>
                <w:szCs w:val="20"/>
              </w:rPr>
              <w:t>集控化验中心楼</w:t>
            </w:r>
          </w:p>
        </w:tc>
        <w:tc>
          <w:tcPr>
            <w:tcW w:w="5558" w:type="dxa"/>
            <w:vAlign w:val="top"/>
          </w:tcPr>
          <w:p w14:paraId="5A81D15C">
            <w:pPr>
              <w:pStyle w:val="6"/>
              <w:spacing w:before="86" w:line="223" w:lineRule="auto"/>
              <w:ind w:left="1554"/>
              <w:rPr>
                <w:sz w:val="20"/>
                <w:szCs w:val="20"/>
              </w:rPr>
            </w:pPr>
            <w:r>
              <w:rPr>
                <w:rFonts w:ascii="Times New Roman" w:hAnsi="Times New Roman" w:eastAsia="Times New Roman" w:cs="Times New Roman"/>
                <w:sz w:val="20"/>
                <w:szCs w:val="20"/>
              </w:rPr>
              <w:t>pH</w:t>
            </w:r>
            <w:r>
              <w:rPr>
                <w:rFonts w:ascii="Times New Roman" w:hAnsi="Times New Roman" w:eastAsia="Times New Roman" w:cs="Times New Roman"/>
                <w:spacing w:val="-29"/>
                <w:sz w:val="20"/>
                <w:szCs w:val="20"/>
              </w:rPr>
              <w:t xml:space="preserve"> </w:t>
            </w:r>
            <w:r>
              <w:rPr>
                <w:spacing w:val="7"/>
                <w:sz w:val="20"/>
                <w:szCs w:val="20"/>
              </w:rPr>
              <w:t>、</w:t>
            </w:r>
            <w:r>
              <w:rPr>
                <w:rFonts w:ascii="Times New Roman" w:hAnsi="Times New Roman" w:eastAsia="Times New Roman" w:cs="Times New Roman"/>
                <w:sz w:val="20"/>
                <w:szCs w:val="20"/>
              </w:rPr>
              <w:t>COD</w:t>
            </w:r>
            <w:r>
              <w:rPr>
                <w:rFonts w:ascii="Times New Roman" w:hAnsi="Times New Roman" w:eastAsia="Times New Roman" w:cs="Times New Roman"/>
                <w:position w:val="-1"/>
                <w:sz w:val="13"/>
                <w:szCs w:val="13"/>
              </w:rPr>
              <w:t>cr</w:t>
            </w:r>
            <w:r>
              <w:rPr>
                <w:rFonts w:ascii="Times New Roman" w:hAnsi="Times New Roman" w:eastAsia="Times New Roman" w:cs="Times New Roman"/>
                <w:spacing w:val="-11"/>
                <w:position w:val="-1"/>
                <w:sz w:val="13"/>
                <w:szCs w:val="13"/>
              </w:rPr>
              <w:t xml:space="preserve"> </w:t>
            </w:r>
            <w:r>
              <w:rPr>
                <w:spacing w:val="7"/>
                <w:sz w:val="20"/>
                <w:szCs w:val="20"/>
              </w:rPr>
              <w:t>、</w:t>
            </w:r>
            <w:r>
              <w:rPr>
                <w:rFonts w:ascii="Times New Roman" w:hAnsi="Times New Roman" w:eastAsia="Times New Roman" w:cs="Times New Roman"/>
                <w:sz w:val="20"/>
                <w:szCs w:val="20"/>
              </w:rPr>
              <w:t>BOD</w:t>
            </w:r>
            <w:r>
              <w:rPr>
                <w:rFonts w:ascii="Times New Roman" w:hAnsi="Times New Roman" w:eastAsia="Times New Roman" w:cs="Times New Roman"/>
                <w:spacing w:val="7"/>
                <w:position w:val="-1"/>
                <w:sz w:val="13"/>
                <w:szCs w:val="13"/>
              </w:rPr>
              <w:t>5</w:t>
            </w:r>
            <w:r>
              <w:rPr>
                <w:rFonts w:ascii="Times New Roman" w:hAnsi="Times New Roman" w:eastAsia="Times New Roman" w:cs="Times New Roman"/>
                <w:spacing w:val="-11"/>
                <w:position w:val="-1"/>
                <w:sz w:val="13"/>
                <w:szCs w:val="13"/>
              </w:rPr>
              <w:t xml:space="preserve"> </w:t>
            </w:r>
            <w:r>
              <w:rPr>
                <w:spacing w:val="7"/>
                <w:sz w:val="20"/>
                <w:szCs w:val="20"/>
              </w:rPr>
              <w:t>、</w:t>
            </w:r>
            <w:r>
              <w:rPr>
                <w:rFonts w:ascii="Times New Roman" w:hAnsi="Times New Roman" w:eastAsia="Times New Roman" w:cs="Times New Roman"/>
                <w:sz w:val="20"/>
                <w:szCs w:val="20"/>
              </w:rPr>
              <w:t>SS</w:t>
            </w:r>
            <w:r>
              <w:rPr>
                <w:rFonts w:ascii="Times New Roman" w:hAnsi="Times New Roman" w:eastAsia="Times New Roman" w:cs="Times New Roman"/>
                <w:spacing w:val="14"/>
                <w:w w:val="101"/>
                <w:sz w:val="20"/>
                <w:szCs w:val="20"/>
              </w:rPr>
              <w:t xml:space="preserve"> </w:t>
            </w:r>
            <w:r>
              <w:rPr>
                <w:spacing w:val="7"/>
                <w:sz w:val="20"/>
                <w:szCs w:val="20"/>
              </w:rPr>
              <w:t>等</w:t>
            </w:r>
          </w:p>
        </w:tc>
        <w:tc>
          <w:tcPr>
            <w:tcW w:w="6091" w:type="dxa"/>
            <w:tcBorders>
              <w:right w:val="nil"/>
            </w:tcBorders>
            <w:vAlign w:val="top"/>
          </w:tcPr>
          <w:p w14:paraId="3B03E404">
            <w:pPr>
              <w:pStyle w:val="6"/>
              <w:spacing w:before="86" w:line="225" w:lineRule="auto"/>
              <w:ind w:left="1371"/>
              <w:rPr>
                <w:sz w:val="20"/>
                <w:szCs w:val="20"/>
              </w:rPr>
            </w:pPr>
            <w:r>
              <w:rPr>
                <w:spacing w:val="9"/>
                <w:sz w:val="20"/>
                <w:szCs w:val="20"/>
              </w:rPr>
              <w:t>排入地埋式一体化污水处理设施处理</w:t>
            </w:r>
          </w:p>
        </w:tc>
      </w:tr>
      <w:tr w14:paraId="0D5391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left w:val="nil"/>
              <w:bottom w:val="nil"/>
            </w:tcBorders>
            <w:vAlign w:val="top"/>
          </w:tcPr>
          <w:p w14:paraId="3AAA94E1">
            <w:pPr>
              <w:rPr>
                <w:rFonts w:ascii="Arial"/>
                <w:sz w:val="21"/>
              </w:rPr>
            </w:pPr>
          </w:p>
        </w:tc>
        <w:tc>
          <w:tcPr>
            <w:tcW w:w="2599" w:type="dxa"/>
            <w:vAlign w:val="top"/>
          </w:tcPr>
          <w:p w14:paraId="531A0FB7">
            <w:pPr>
              <w:pStyle w:val="6"/>
              <w:spacing w:before="87" w:line="225" w:lineRule="auto"/>
              <w:ind w:left="569"/>
              <w:rPr>
                <w:sz w:val="20"/>
                <w:szCs w:val="20"/>
              </w:rPr>
            </w:pPr>
            <w:r>
              <w:rPr>
                <w:spacing w:val="8"/>
                <w:sz w:val="20"/>
                <w:szCs w:val="20"/>
              </w:rPr>
              <w:t>布袋除尘器收尘</w:t>
            </w:r>
          </w:p>
        </w:tc>
        <w:tc>
          <w:tcPr>
            <w:tcW w:w="1311" w:type="dxa"/>
            <w:vAlign w:val="top"/>
          </w:tcPr>
          <w:p w14:paraId="23AC4FB3">
            <w:pPr>
              <w:spacing w:before="125" w:line="209" w:lineRule="auto"/>
              <w:ind w:left="51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1-</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1"/>
                <w:sz w:val="13"/>
                <w:szCs w:val="13"/>
              </w:rPr>
              <w:t>1</w:t>
            </w:r>
          </w:p>
        </w:tc>
        <w:tc>
          <w:tcPr>
            <w:tcW w:w="4665" w:type="dxa"/>
            <w:vAlign w:val="top"/>
          </w:tcPr>
          <w:p w14:paraId="16E73A05">
            <w:pPr>
              <w:pStyle w:val="6"/>
              <w:spacing w:before="87" w:line="225" w:lineRule="auto"/>
              <w:ind w:left="1291"/>
              <w:rPr>
                <w:sz w:val="20"/>
                <w:szCs w:val="20"/>
              </w:rPr>
            </w:pPr>
            <w:r>
              <w:rPr>
                <w:spacing w:val="8"/>
                <w:sz w:val="20"/>
                <w:szCs w:val="20"/>
              </w:rPr>
              <w:t>原料烘干车间焦炭烘干</w:t>
            </w:r>
          </w:p>
        </w:tc>
        <w:tc>
          <w:tcPr>
            <w:tcW w:w="5558" w:type="dxa"/>
            <w:vAlign w:val="top"/>
          </w:tcPr>
          <w:p w14:paraId="4815E562">
            <w:pPr>
              <w:pStyle w:val="6"/>
              <w:spacing w:before="87" w:line="225" w:lineRule="auto"/>
              <w:ind w:left="2469"/>
              <w:rPr>
                <w:sz w:val="20"/>
                <w:szCs w:val="20"/>
              </w:rPr>
            </w:pPr>
            <w:r>
              <w:rPr>
                <w:spacing w:val="7"/>
                <w:sz w:val="20"/>
                <w:szCs w:val="20"/>
              </w:rPr>
              <w:t>颗粒物</w:t>
            </w:r>
          </w:p>
        </w:tc>
        <w:tc>
          <w:tcPr>
            <w:tcW w:w="6091" w:type="dxa"/>
            <w:tcBorders>
              <w:right w:val="nil"/>
            </w:tcBorders>
            <w:vAlign w:val="top"/>
          </w:tcPr>
          <w:p w14:paraId="2024F373">
            <w:pPr>
              <w:pStyle w:val="6"/>
              <w:spacing w:before="87" w:line="225" w:lineRule="auto"/>
              <w:ind w:left="2421"/>
              <w:rPr>
                <w:sz w:val="20"/>
                <w:szCs w:val="20"/>
              </w:rPr>
            </w:pPr>
            <w:r>
              <w:rPr>
                <w:spacing w:val="8"/>
                <w:sz w:val="20"/>
                <w:szCs w:val="20"/>
              </w:rPr>
              <w:t>返回烧结工序</w:t>
            </w:r>
          </w:p>
        </w:tc>
      </w:tr>
      <w:tr w14:paraId="2FDEC2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1D1F8044">
            <w:pPr>
              <w:rPr>
                <w:rFonts w:ascii="Arial"/>
                <w:sz w:val="21"/>
              </w:rPr>
            </w:pPr>
          </w:p>
        </w:tc>
        <w:tc>
          <w:tcPr>
            <w:tcW w:w="2599" w:type="dxa"/>
            <w:vAlign w:val="top"/>
          </w:tcPr>
          <w:p w14:paraId="3BCEB1BD">
            <w:pPr>
              <w:pStyle w:val="6"/>
              <w:spacing w:before="89" w:line="222" w:lineRule="auto"/>
              <w:ind w:left="569"/>
              <w:rPr>
                <w:sz w:val="20"/>
                <w:szCs w:val="20"/>
              </w:rPr>
            </w:pPr>
            <w:r>
              <w:rPr>
                <w:spacing w:val="8"/>
                <w:sz w:val="20"/>
                <w:szCs w:val="20"/>
              </w:rPr>
              <w:t>布袋除尘器收尘</w:t>
            </w:r>
          </w:p>
        </w:tc>
        <w:tc>
          <w:tcPr>
            <w:tcW w:w="1311" w:type="dxa"/>
            <w:vAlign w:val="top"/>
          </w:tcPr>
          <w:p w14:paraId="10B97DD4">
            <w:pPr>
              <w:spacing w:before="125" w:line="209" w:lineRule="auto"/>
              <w:ind w:left="51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1-2</w:t>
            </w:r>
          </w:p>
        </w:tc>
        <w:tc>
          <w:tcPr>
            <w:tcW w:w="4665" w:type="dxa"/>
            <w:vAlign w:val="top"/>
          </w:tcPr>
          <w:p w14:paraId="59AF9081">
            <w:pPr>
              <w:pStyle w:val="6"/>
              <w:spacing w:before="89" w:line="222" w:lineRule="auto"/>
              <w:ind w:left="1188"/>
              <w:rPr>
                <w:sz w:val="20"/>
                <w:szCs w:val="20"/>
              </w:rPr>
            </w:pPr>
            <w:r>
              <w:rPr>
                <w:spacing w:val="8"/>
                <w:sz w:val="20"/>
                <w:szCs w:val="20"/>
              </w:rPr>
              <w:t>原料烘干车间锰矿石烘干</w:t>
            </w:r>
          </w:p>
        </w:tc>
        <w:tc>
          <w:tcPr>
            <w:tcW w:w="5558" w:type="dxa"/>
            <w:vAlign w:val="top"/>
          </w:tcPr>
          <w:p w14:paraId="4F9853DF">
            <w:pPr>
              <w:pStyle w:val="6"/>
              <w:spacing w:before="89" w:line="222" w:lineRule="auto"/>
              <w:ind w:left="2469"/>
              <w:rPr>
                <w:sz w:val="20"/>
                <w:szCs w:val="20"/>
              </w:rPr>
            </w:pPr>
            <w:r>
              <w:rPr>
                <w:spacing w:val="7"/>
                <w:sz w:val="20"/>
                <w:szCs w:val="20"/>
              </w:rPr>
              <w:t>颗粒物</w:t>
            </w:r>
          </w:p>
        </w:tc>
        <w:tc>
          <w:tcPr>
            <w:tcW w:w="6091" w:type="dxa"/>
            <w:tcBorders>
              <w:right w:val="nil"/>
            </w:tcBorders>
            <w:vAlign w:val="top"/>
          </w:tcPr>
          <w:p w14:paraId="66DCE43E">
            <w:pPr>
              <w:pStyle w:val="6"/>
              <w:spacing w:before="89" w:line="222" w:lineRule="auto"/>
              <w:ind w:left="2421"/>
              <w:rPr>
                <w:sz w:val="20"/>
                <w:szCs w:val="20"/>
              </w:rPr>
            </w:pPr>
            <w:r>
              <w:rPr>
                <w:spacing w:val="8"/>
                <w:sz w:val="20"/>
                <w:szCs w:val="20"/>
              </w:rPr>
              <w:t>返回烧结工序</w:t>
            </w:r>
          </w:p>
        </w:tc>
      </w:tr>
      <w:tr w14:paraId="4827A6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62BF21D6">
            <w:pPr>
              <w:rPr>
                <w:rFonts w:ascii="Arial"/>
                <w:sz w:val="21"/>
              </w:rPr>
            </w:pPr>
          </w:p>
        </w:tc>
        <w:tc>
          <w:tcPr>
            <w:tcW w:w="2599" w:type="dxa"/>
            <w:vAlign w:val="top"/>
          </w:tcPr>
          <w:p w14:paraId="728FF7E3">
            <w:pPr>
              <w:pStyle w:val="6"/>
              <w:spacing w:before="89" w:line="222" w:lineRule="auto"/>
              <w:ind w:left="779"/>
              <w:rPr>
                <w:sz w:val="20"/>
                <w:szCs w:val="20"/>
              </w:rPr>
            </w:pPr>
            <w:r>
              <w:rPr>
                <w:spacing w:val="8"/>
                <w:sz w:val="20"/>
                <w:szCs w:val="20"/>
              </w:rPr>
              <w:t>废耐火材料</w:t>
            </w:r>
          </w:p>
        </w:tc>
        <w:tc>
          <w:tcPr>
            <w:tcW w:w="1311" w:type="dxa"/>
            <w:vAlign w:val="top"/>
          </w:tcPr>
          <w:p w14:paraId="55C67BDD">
            <w:pPr>
              <w:spacing w:before="125" w:line="211" w:lineRule="auto"/>
              <w:ind w:left="51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1-3</w:t>
            </w:r>
          </w:p>
        </w:tc>
        <w:tc>
          <w:tcPr>
            <w:tcW w:w="4665" w:type="dxa"/>
            <w:vAlign w:val="top"/>
          </w:tcPr>
          <w:p w14:paraId="52CBA649">
            <w:pPr>
              <w:pStyle w:val="6"/>
              <w:spacing w:before="89" w:line="222" w:lineRule="auto"/>
              <w:ind w:left="236"/>
              <w:rPr>
                <w:sz w:val="20"/>
                <w:szCs w:val="20"/>
              </w:rPr>
            </w:pPr>
            <w:r>
              <w:rPr>
                <w:spacing w:val="7"/>
                <w:sz w:val="20"/>
                <w:szCs w:val="20"/>
              </w:rPr>
              <w:t>烧结机、</w:t>
            </w:r>
            <w:r>
              <w:rPr>
                <w:spacing w:val="-51"/>
                <w:sz w:val="20"/>
                <w:szCs w:val="20"/>
              </w:rPr>
              <w:t xml:space="preserve"> </w:t>
            </w:r>
            <w:r>
              <w:rPr>
                <w:spacing w:val="7"/>
                <w:sz w:val="20"/>
                <w:szCs w:val="20"/>
              </w:rPr>
              <w:t>电炉、铁水包等耐火材料检修更换等</w:t>
            </w:r>
          </w:p>
        </w:tc>
        <w:tc>
          <w:tcPr>
            <w:tcW w:w="5558" w:type="dxa"/>
            <w:vAlign w:val="top"/>
          </w:tcPr>
          <w:p w14:paraId="55F362B7">
            <w:pPr>
              <w:pStyle w:val="6"/>
              <w:spacing w:before="89" w:line="222" w:lineRule="auto"/>
              <w:ind w:left="2258"/>
              <w:rPr>
                <w:sz w:val="20"/>
                <w:szCs w:val="20"/>
              </w:rPr>
            </w:pPr>
            <w:r>
              <w:rPr>
                <w:spacing w:val="8"/>
                <w:sz w:val="20"/>
                <w:szCs w:val="20"/>
              </w:rPr>
              <w:t>废耐火材料</w:t>
            </w:r>
          </w:p>
        </w:tc>
        <w:tc>
          <w:tcPr>
            <w:tcW w:w="6091" w:type="dxa"/>
            <w:tcBorders>
              <w:right w:val="nil"/>
            </w:tcBorders>
            <w:vAlign w:val="top"/>
          </w:tcPr>
          <w:p w14:paraId="2EF9B580">
            <w:pPr>
              <w:pStyle w:val="6"/>
              <w:spacing w:before="89" w:line="222" w:lineRule="auto"/>
              <w:ind w:left="2215"/>
              <w:rPr>
                <w:sz w:val="20"/>
                <w:szCs w:val="20"/>
              </w:rPr>
            </w:pPr>
            <w:r>
              <w:rPr>
                <w:spacing w:val="8"/>
                <w:sz w:val="20"/>
                <w:szCs w:val="20"/>
              </w:rPr>
              <w:t>外售用于生产建材</w:t>
            </w:r>
          </w:p>
        </w:tc>
      </w:tr>
      <w:tr w14:paraId="4AF5E4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6E226D22">
            <w:pPr>
              <w:rPr>
                <w:rFonts w:ascii="Arial"/>
                <w:sz w:val="21"/>
              </w:rPr>
            </w:pPr>
          </w:p>
        </w:tc>
        <w:tc>
          <w:tcPr>
            <w:tcW w:w="2599" w:type="dxa"/>
            <w:vAlign w:val="top"/>
          </w:tcPr>
          <w:p w14:paraId="50B4868C">
            <w:pPr>
              <w:pStyle w:val="6"/>
              <w:spacing w:before="90" w:line="221" w:lineRule="auto"/>
              <w:ind w:left="884"/>
              <w:rPr>
                <w:sz w:val="20"/>
                <w:szCs w:val="20"/>
              </w:rPr>
            </w:pPr>
            <w:r>
              <w:rPr>
                <w:spacing w:val="7"/>
                <w:sz w:val="20"/>
                <w:szCs w:val="20"/>
              </w:rPr>
              <w:t>脱硫石膏</w:t>
            </w:r>
          </w:p>
        </w:tc>
        <w:tc>
          <w:tcPr>
            <w:tcW w:w="1311" w:type="dxa"/>
            <w:vAlign w:val="top"/>
          </w:tcPr>
          <w:p w14:paraId="23345DDC">
            <w:pPr>
              <w:spacing w:before="126" w:line="209" w:lineRule="auto"/>
              <w:ind w:left="51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1-4</w:t>
            </w:r>
          </w:p>
        </w:tc>
        <w:tc>
          <w:tcPr>
            <w:tcW w:w="4665" w:type="dxa"/>
            <w:vAlign w:val="top"/>
          </w:tcPr>
          <w:p w14:paraId="2711F6EF">
            <w:pPr>
              <w:pStyle w:val="6"/>
              <w:spacing w:before="90" w:line="221" w:lineRule="auto"/>
              <w:ind w:left="1391"/>
              <w:rPr>
                <w:sz w:val="20"/>
                <w:szCs w:val="20"/>
              </w:rPr>
            </w:pPr>
            <w:r>
              <w:rPr>
                <w:spacing w:val="9"/>
                <w:sz w:val="20"/>
                <w:szCs w:val="20"/>
              </w:rPr>
              <w:t>烧结机烟气脱硫装置</w:t>
            </w:r>
          </w:p>
        </w:tc>
        <w:tc>
          <w:tcPr>
            <w:tcW w:w="5558" w:type="dxa"/>
            <w:vAlign w:val="top"/>
          </w:tcPr>
          <w:p w14:paraId="360975C2">
            <w:pPr>
              <w:spacing w:before="126" w:line="202" w:lineRule="auto"/>
              <w:ind w:left="2225"/>
              <w:rPr>
                <w:rFonts w:ascii="Times New Roman" w:hAnsi="Times New Roman" w:eastAsia="Times New Roman" w:cs="Times New Roman"/>
                <w:sz w:val="20"/>
                <w:szCs w:val="20"/>
              </w:rPr>
            </w:pPr>
            <w:r>
              <w:rPr>
                <w:rFonts w:ascii="Times New Roman" w:hAnsi="Times New Roman" w:eastAsia="Times New Roman" w:cs="Times New Roman"/>
                <w:sz w:val="20"/>
                <w:szCs w:val="20"/>
              </w:rPr>
              <w:t>CaSO</w:t>
            </w:r>
            <w:r>
              <w:rPr>
                <w:rFonts w:ascii="Times New Roman" w:hAnsi="Times New Roman" w:eastAsia="Times New Roman" w:cs="Times New Roman"/>
                <w:spacing w:val="7"/>
                <w:position w:val="-1"/>
                <w:sz w:val="13"/>
                <w:szCs w:val="13"/>
              </w:rPr>
              <w:t>4</w:t>
            </w:r>
            <w:r>
              <w:rPr>
                <w:rFonts w:ascii="Times New Roman" w:hAnsi="Times New Roman" w:eastAsia="Times New Roman" w:cs="Times New Roman"/>
                <w:spacing w:val="7"/>
                <w:sz w:val="20"/>
                <w:szCs w:val="20"/>
              </w:rPr>
              <w:t>·2H</w:t>
            </w:r>
            <w:r>
              <w:rPr>
                <w:rFonts w:ascii="Times New Roman" w:hAnsi="Times New Roman" w:eastAsia="Times New Roman" w:cs="Times New Roman"/>
                <w:spacing w:val="7"/>
                <w:position w:val="-1"/>
                <w:sz w:val="13"/>
                <w:szCs w:val="13"/>
              </w:rPr>
              <w:t>2</w:t>
            </w:r>
            <w:r>
              <w:rPr>
                <w:rFonts w:ascii="Times New Roman" w:hAnsi="Times New Roman" w:eastAsia="Times New Roman" w:cs="Times New Roman"/>
                <w:spacing w:val="7"/>
                <w:sz w:val="20"/>
                <w:szCs w:val="20"/>
              </w:rPr>
              <w:t>O</w:t>
            </w:r>
          </w:p>
        </w:tc>
        <w:tc>
          <w:tcPr>
            <w:tcW w:w="6091" w:type="dxa"/>
            <w:tcBorders>
              <w:right w:val="nil"/>
            </w:tcBorders>
            <w:vAlign w:val="top"/>
          </w:tcPr>
          <w:p w14:paraId="464680E8">
            <w:pPr>
              <w:pStyle w:val="6"/>
              <w:spacing w:before="90" w:line="221" w:lineRule="auto"/>
              <w:ind w:left="2215"/>
              <w:rPr>
                <w:sz w:val="20"/>
                <w:szCs w:val="20"/>
              </w:rPr>
            </w:pPr>
            <w:r>
              <w:rPr>
                <w:spacing w:val="8"/>
                <w:sz w:val="20"/>
                <w:szCs w:val="20"/>
              </w:rPr>
              <w:t>外售用于生产建材</w:t>
            </w:r>
          </w:p>
        </w:tc>
      </w:tr>
      <w:tr w14:paraId="07C275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32D80DF1">
            <w:pPr>
              <w:rPr>
                <w:rFonts w:ascii="Arial"/>
                <w:sz w:val="21"/>
              </w:rPr>
            </w:pPr>
          </w:p>
        </w:tc>
        <w:tc>
          <w:tcPr>
            <w:tcW w:w="2599" w:type="dxa"/>
            <w:vAlign w:val="top"/>
          </w:tcPr>
          <w:p w14:paraId="7D40DAFD">
            <w:pPr>
              <w:pStyle w:val="6"/>
              <w:spacing w:before="90" w:line="221" w:lineRule="auto"/>
              <w:ind w:left="570"/>
              <w:rPr>
                <w:sz w:val="20"/>
                <w:szCs w:val="20"/>
              </w:rPr>
            </w:pPr>
            <w:r>
              <w:rPr>
                <w:spacing w:val="8"/>
                <w:sz w:val="20"/>
                <w:szCs w:val="20"/>
              </w:rPr>
              <w:t>煤气净化除尘灰</w:t>
            </w:r>
          </w:p>
        </w:tc>
        <w:tc>
          <w:tcPr>
            <w:tcW w:w="1311" w:type="dxa"/>
            <w:vAlign w:val="top"/>
          </w:tcPr>
          <w:p w14:paraId="2C786BEA">
            <w:pPr>
              <w:spacing w:before="129" w:line="208" w:lineRule="auto"/>
              <w:ind w:left="51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1-5</w:t>
            </w:r>
          </w:p>
        </w:tc>
        <w:tc>
          <w:tcPr>
            <w:tcW w:w="4665" w:type="dxa"/>
            <w:vAlign w:val="top"/>
          </w:tcPr>
          <w:p w14:paraId="2BDFEBFC">
            <w:pPr>
              <w:pStyle w:val="6"/>
              <w:spacing w:before="90" w:line="221" w:lineRule="auto"/>
              <w:ind w:left="1918"/>
              <w:rPr>
                <w:sz w:val="20"/>
                <w:szCs w:val="20"/>
              </w:rPr>
            </w:pPr>
            <w:r>
              <w:rPr>
                <w:spacing w:val="7"/>
                <w:sz w:val="20"/>
                <w:szCs w:val="20"/>
              </w:rPr>
              <w:t>煤气净化</w:t>
            </w:r>
          </w:p>
        </w:tc>
        <w:tc>
          <w:tcPr>
            <w:tcW w:w="5558" w:type="dxa"/>
            <w:vAlign w:val="top"/>
          </w:tcPr>
          <w:p w14:paraId="514D48F1">
            <w:pPr>
              <w:pStyle w:val="6"/>
              <w:spacing w:before="90" w:line="221" w:lineRule="auto"/>
              <w:ind w:left="1112"/>
              <w:rPr>
                <w:sz w:val="20"/>
                <w:szCs w:val="20"/>
              </w:rPr>
            </w:pPr>
            <w:r>
              <w:rPr>
                <w:rFonts w:ascii="Times New Roman" w:hAnsi="Times New Roman" w:eastAsia="Times New Roman" w:cs="Times New Roman"/>
                <w:sz w:val="20"/>
                <w:szCs w:val="20"/>
              </w:rPr>
              <w:t>MnO</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6"/>
                <w:position w:val="-1"/>
                <w:sz w:val="13"/>
                <w:szCs w:val="13"/>
              </w:rPr>
              <w:t xml:space="preserve"> </w:t>
            </w:r>
            <w:r>
              <w:rPr>
                <w:spacing w:val="4"/>
                <w:sz w:val="20"/>
                <w:szCs w:val="20"/>
              </w:rPr>
              <w:t>、</w:t>
            </w:r>
            <w:r>
              <w:rPr>
                <w:rFonts w:ascii="Times New Roman" w:hAnsi="Times New Roman" w:eastAsia="Times New Roman" w:cs="Times New Roman"/>
                <w:sz w:val="20"/>
                <w:szCs w:val="20"/>
              </w:rPr>
              <w:t>SiO</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11"/>
                <w:position w:val="-1"/>
                <w:sz w:val="13"/>
                <w:szCs w:val="13"/>
              </w:rPr>
              <w:t xml:space="preserve"> </w:t>
            </w:r>
            <w:r>
              <w:rPr>
                <w:spacing w:val="4"/>
                <w:sz w:val="20"/>
                <w:szCs w:val="20"/>
              </w:rPr>
              <w:t>、</w:t>
            </w:r>
            <w:r>
              <w:rPr>
                <w:rFonts w:ascii="Times New Roman" w:hAnsi="Times New Roman" w:eastAsia="Times New Roman" w:cs="Times New Roman"/>
                <w:sz w:val="20"/>
                <w:szCs w:val="20"/>
              </w:rPr>
              <w:t>Al</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4"/>
                <w:sz w:val="20"/>
                <w:szCs w:val="20"/>
              </w:rPr>
              <w:t>O</w:t>
            </w:r>
            <w:r>
              <w:rPr>
                <w:rFonts w:ascii="Times New Roman" w:hAnsi="Times New Roman" w:eastAsia="Times New Roman" w:cs="Times New Roman"/>
                <w:spacing w:val="4"/>
                <w:position w:val="-1"/>
                <w:sz w:val="13"/>
                <w:szCs w:val="13"/>
              </w:rPr>
              <w:t>3</w:t>
            </w:r>
            <w:r>
              <w:rPr>
                <w:rFonts w:ascii="Times New Roman" w:hAnsi="Times New Roman" w:eastAsia="Times New Roman" w:cs="Times New Roman"/>
                <w:spacing w:val="-11"/>
                <w:position w:val="-1"/>
                <w:sz w:val="13"/>
                <w:szCs w:val="13"/>
              </w:rPr>
              <w:t xml:space="preserve"> </w:t>
            </w:r>
            <w:r>
              <w:rPr>
                <w:spacing w:val="4"/>
                <w:sz w:val="20"/>
                <w:szCs w:val="20"/>
              </w:rPr>
              <w:t>、</w:t>
            </w:r>
            <w:r>
              <w:rPr>
                <w:rFonts w:ascii="Times New Roman" w:hAnsi="Times New Roman" w:eastAsia="Times New Roman" w:cs="Times New Roman"/>
                <w:sz w:val="20"/>
                <w:szCs w:val="20"/>
              </w:rPr>
              <w:t>MgO</w:t>
            </w:r>
            <w:r>
              <w:rPr>
                <w:rFonts w:ascii="Times New Roman" w:hAnsi="Times New Roman" w:eastAsia="Times New Roman" w:cs="Times New Roman"/>
                <w:spacing w:val="-22"/>
                <w:sz w:val="20"/>
                <w:szCs w:val="20"/>
              </w:rPr>
              <w:t xml:space="preserve"> </w:t>
            </w:r>
            <w:r>
              <w:rPr>
                <w:spacing w:val="4"/>
                <w:sz w:val="20"/>
                <w:szCs w:val="20"/>
              </w:rPr>
              <w:t>、</w:t>
            </w:r>
            <w:r>
              <w:rPr>
                <w:rFonts w:ascii="Times New Roman" w:hAnsi="Times New Roman" w:eastAsia="Times New Roman" w:cs="Times New Roman"/>
                <w:sz w:val="20"/>
                <w:szCs w:val="20"/>
              </w:rPr>
              <w:t>CaO</w:t>
            </w:r>
            <w:r>
              <w:rPr>
                <w:rFonts w:ascii="Times New Roman" w:hAnsi="Times New Roman" w:eastAsia="Times New Roman" w:cs="Times New Roman"/>
                <w:spacing w:val="15"/>
                <w:w w:val="101"/>
                <w:sz w:val="20"/>
                <w:szCs w:val="20"/>
              </w:rPr>
              <w:t xml:space="preserve"> </w:t>
            </w:r>
            <w:r>
              <w:rPr>
                <w:spacing w:val="4"/>
                <w:sz w:val="20"/>
                <w:szCs w:val="20"/>
              </w:rPr>
              <w:t>等</w:t>
            </w:r>
          </w:p>
        </w:tc>
        <w:tc>
          <w:tcPr>
            <w:tcW w:w="6091" w:type="dxa"/>
            <w:tcBorders>
              <w:right w:val="nil"/>
            </w:tcBorders>
            <w:vAlign w:val="top"/>
          </w:tcPr>
          <w:p w14:paraId="19CB7413">
            <w:pPr>
              <w:pStyle w:val="6"/>
              <w:spacing w:before="90" w:line="221" w:lineRule="auto"/>
              <w:ind w:left="2421"/>
              <w:rPr>
                <w:sz w:val="20"/>
                <w:szCs w:val="20"/>
              </w:rPr>
            </w:pPr>
            <w:r>
              <w:rPr>
                <w:spacing w:val="8"/>
                <w:sz w:val="20"/>
                <w:szCs w:val="20"/>
              </w:rPr>
              <w:t>返回烧结工序</w:t>
            </w:r>
          </w:p>
        </w:tc>
      </w:tr>
      <w:tr w14:paraId="5A1C61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top w:val="nil"/>
              <w:left w:val="nil"/>
              <w:bottom w:val="nil"/>
            </w:tcBorders>
            <w:vAlign w:val="top"/>
          </w:tcPr>
          <w:p w14:paraId="4E375CF5">
            <w:pPr>
              <w:rPr>
                <w:rFonts w:ascii="Arial"/>
                <w:sz w:val="21"/>
              </w:rPr>
            </w:pPr>
            <w:r>
              <w:pict>
                <v:shape id="_x0000_s1187" o:spid="_x0000_s1187" o:spt="202" type="#_x0000_t202" style="position:absolute;left:0pt;margin-left:8.95pt;margin-top:-4.8pt;height:14.4pt;width:21.6pt;mso-position-horizontal-relative:page;mso-position-vertical-relative:page;z-index:251844608;mso-width-relative:page;mso-height-relative:page;" filled="f" stroked="f" coordsize="21600,21600">
                  <v:path/>
                  <v:fill on="f" focussize="0,0"/>
                  <v:stroke on="f"/>
                  <v:imagedata o:title=""/>
                  <o:lock v:ext="edit" aspectratio="f"/>
                  <v:textbox inset="0mm,0mm,0mm,0mm">
                    <w:txbxContent>
                      <w:p w14:paraId="23743129">
                        <w:pPr>
                          <w:pStyle w:val="6"/>
                          <w:spacing w:before="20" w:line="228" w:lineRule="auto"/>
                          <w:ind w:left="20"/>
                          <w:rPr>
                            <w:sz w:val="20"/>
                            <w:szCs w:val="20"/>
                          </w:rPr>
                        </w:pPr>
                        <w:r>
                          <w:rPr>
                            <w:spacing w:val="-5"/>
                            <w:sz w:val="20"/>
                            <w:szCs w:val="20"/>
                          </w:rPr>
                          <w:t>固废</w:t>
                        </w:r>
                      </w:p>
                    </w:txbxContent>
                  </v:textbox>
                </v:shape>
              </w:pict>
            </w:r>
          </w:p>
        </w:tc>
        <w:tc>
          <w:tcPr>
            <w:tcW w:w="2599" w:type="dxa"/>
            <w:vAlign w:val="top"/>
          </w:tcPr>
          <w:p w14:paraId="3AB2806C">
            <w:pPr>
              <w:pStyle w:val="6"/>
              <w:spacing w:before="91" w:line="221" w:lineRule="auto"/>
              <w:ind w:left="675"/>
              <w:rPr>
                <w:sz w:val="20"/>
                <w:szCs w:val="20"/>
              </w:rPr>
            </w:pPr>
            <w:r>
              <w:rPr>
                <w:spacing w:val="8"/>
                <w:sz w:val="20"/>
                <w:szCs w:val="20"/>
              </w:rPr>
              <w:t>锰硅冶炼炉渣</w:t>
            </w:r>
          </w:p>
        </w:tc>
        <w:tc>
          <w:tcPr>
            <w:tcW w:w="1311" w:type="dxa"/>
            <w:vAlign w:val="top"/>
          </w:tcPr>
          <w:p w14:paraId="628AA1AB">
            <w:pPr>
              <w:spacing w:before="130" w:line="208" w:lineRule="auto"/>
              <w:ind w:left="51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1-6</w:t>
            </w:r>
          </w:p>
        </w:tc>
        <w:tc>
          <w:tcPr>
            <w:tcW w:w="4665" w:type="dxa"/>
            <w:vAlign w:val="top"/>
          </w:tcPr>
          <w:p w14:paraId="49889F92">
            <w:pPr>
              <w:pStyle w:val="6"/>
              <w:spacing w:before="91" w:line="221" w:lineRule="auto"/>
              <w:ind w:left="1522"/>
              <w:rPr>
                <w:sz w:val="20"/>
                <w:szCs w:val="20"/>
              </w:rPr>
            </w:pPr>
            <w:r>
              <w:rPr>
                <w:spacing w:val="5"/>
                <w:sz w:val="20"/>
                <w:szCs w:val="20"/>
              </w:rPr>
              <w:t>电炉车间电炉冶炼</w:t>
            </w:r>
          </w:p>
        </w:tc>
        <w:tc>
          <w:tcPr>
            <w:tcW w:w="5558" w:type="dxa"/>
            <w:vAlign w:val="top"/>
          </w:tcPr>
          <w:p w14:paraId="6655BD3A">
            <w:pPr>
              <w:pStyle w:val="6"/>
              <w:spacing w:before="91" w:line="221" w:lineRule="auto"/>
              <w:ind w:left="1112"/>
              <w:rPr>
                <w:sz w:val="20"/>
                <w:szCs w:val="20"/>
              </w:rPr>
            </w:pPr>
            <w:r>
              <w:rPr>
                <w:rFonts w:ascii="Times New Roman" w:hAnsi="Times New Roman" w:eastAsia="Times New Roman" w:cs="Times New Roman"/>
                <w:sz w:val="20"/>
                <w:szCs w:val="20"/>
              </w:rPr>
              <w:t>MnO</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6"/>
                <w:position w:val="-1"/>
                <w:sz w:val="13"/>
                <w:szCs w:val="13"/>
              </w:rPr>
              <w:t xml:space="preserve"> </w:t>
            </w:r>
            <w:r>
              <w:rPr>
                <w:spacing w:val="4"/>
                <w:sz w:val="20"/>
                <w:szCs w:val="20"/>
              </w:rPr>
              <w:t>、</w:t>
            </w:r>
            <w:r>
              <w:rPr>
                <w:rFonts w:ascii="Times New Roman" w:hAnsi="Times New Roman" w:eastAsia="Times New Roman" w:cs="Times New Roman"/>
                <w:sz w:val="20"/>
                <w:szCs w:val="20"/>
              </w:rPr>
              <w:t>SiO</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11"/>
                <w:position w:val="-1"/>
                <w:sz w:val="13"/>
                <w:szCs w:val="13"/>
              </w:rPr>
              <w:t xml:space="preserve"> </w:t>
            </w:r>
            <w:r>
              <w:rPr>
                <w:spacing w:val="4"/>
                <w:sz w:val="20"/>
                <w:szCs w:val="20"/>
              </w:rPr>
              <w:t>、</w:t>
            </w:r>
            <w:r>
              <w:rPr>
                <w:rFonts w:ascii="Times New Roman" w:hAnsi="Times New Roman" w:eastAsia="Times New Roman" w:cs="Times New Roman"/>
                <w:sz w:val="20"/>
                <w:szCs w:val="20"/>
              </w:rPr>
              <w:t>Al</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4"/>
                <w:sz w:val="20"/>
                <w:szCs w:val="20"/>
              </w:rPr>
              <w:t>O</w:t>
            </w:r>
            <w:r>
              <w:rPr>
                <w:rFonts w:ascii="Times New Roman" w:hAnsi="Times New Roman" w:eastAsia="Times New Roman" w:cs="Times New Roman"/>
                <w:spacing w:val="4"/>
                <w:position w:val="-1"/>
                <w:sz w:val="13"/>
                <w:szCs w:val="13"/>
              </w:rPr>
              <w:t>3</w:t>
            </w:r>
            <w:r>
              <w:rPr>
                <w:rFonts w:ascii="Times New Roman" w:hAnsi="Times New Roman" w:eastAsia="Times New Roman" w:cs="Times New Roman"/>
                <w:spacing w:val="-11"/>
                <w:position w:val="-1"/>
                <w:sz w:val="13"/>
                <w:szCs w:val="13"/>
              </w:rPr>
              <w:t xml:space="preserve"> </w:t>
            </w:r>
            <w:r>
              <w:rPr>
                <w:spacing w:val="4"/>
                <w:sz w:val="20"/>
                <w:szCs w:val="20"/>
              </w:rPr>
              <w:t>、</w:t>
            </w:r>
            <w:r>
              <w:rPr>
                <w:rFonts w:ascii="Times New Roman" w:hAnsi="Times New Roman" w:eastAsia="Times New Roman" w:cs="Times New Roman"/>
                <w:sz w:val="20"/>
                <w:szCs w:val="20"/>
              </w:rPr>
              <w:t>MgO</w:t>
            </w:r>
            <w:r>
              <w:rPr>
                <w:rFonts w:ascii="Times New Roman" w:hAnsi="Times New Roman" w:eastAsia="Times New Roman" w:cs="Times New Roman"/>
                <w:spacing w:val="-22"/>
                <w:sz w:val="20"/>
                <w:szCs w:val="20"/>
              </w:rPr>
              <w:t xml:space="preserve"> </w:t>
            </w:r>
            <w:r>
              <w:rPr>
                <w:spacing w:val="4"/>
                <w:sz w:val="20"/>
                <w:szCs w:val="20"/>
              </w:rPr>
              <w:t>、</w:t>
            </w:r>
            <w:r>
              <w:rPr>
                <w:rFonts w:ascii="Times New Roman" w:hAnsi="Times New Roman" w:eastAsia="Times New Roman" w:cs="Times New Roman"/>
                <w:sz w:val="20"/>
                <w:szCs w:val="20"/>
              </w:rPr>
              <w:t>CaO</w:t>
            </w:r>
            <w:r>
              <w:rPr>
                <w:rFonts w:ascii="Times New Roman" w:hAnsi="Times New Roman" w:eastAsia="Times New Roman" w:cs="Times New Roman"/>
                <w:spacing w:val="15"/>
                <w:w w:val="101"/>
                <w:sz w:val="20"/>
                <w:szCs w:val="20"/>
              </w:rPr>
              <w:t xml:space="preserve"> </w:t>
            </w:r>
            <w:r>
              <w:rPr>
                <w:spacing w:val="4"/>
                <w:sz w:val="20"/>
                <w:szCs w:val="20"/>
              </w:rPr>
              <w:t>等</w:t>
            </w:r>
          </w:p>
        </w:tc>
        <w:tc>
          <w:tcPr>
            <w:tcW w:w="6091" w:type="dxa"/>
            <w:tcBorders>
              <w:right w:val="nil"/>
            </w:tcBorders>
            <w:vAlign w:val="top"/>
          </w:tcPr>
          <w:p w14:paraId="5E7BCADE">
            <w:pPr>
              <w:pStyle w:val="6"/>
              <w:spacing w:before="91" w:line="221" w:lineRule="auto"/>
              <w:ind w:left="1372"/>
              <w:rPr>
                <w:sz w:val="20"/>
                <w:szCs w:val="20"/>
              </w:rPr>
            </w:pPr>
            <w:r>
              <w:rPr>
                <w:spacing w:val="9"/>
                <w:sz w:val="20"/>
                <w:szCs w:val="20"/>
              </w:rPr>
              <w:t>冲渣水池暂存当天运往园区渣场填埋</w:t>
            </w:r>
          </w:p>
        </w:tc>
      </w:tr>
      <w:tr w14:paraId="3EBE51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12D79508">
            <w:pPr>
              <w:rPr>
                <w:rFonts w:ascii="Arial"/>
                <w:sz w:val="21"/>
              </w:rPr>
            </w:pPr>
          </w:p>
        </w:tc>
        <w:tc>
          <w:tcPr>
            <w:tcW w:w="2599" w:type="dxa"/>
            <w:vAlign w:val="top"/>
          </w:tcPr>
          <w:p w14:paraId="4CB22348">
            <w:pPr>
              <w:pStyle w:val="6"/>
              <w:spacing w:before="91" w:line="220" w:lineRule="auto"/>
              <w:ind w:left="883"/>
              <w:rPr>
                <w:sz w:val="20"/>
                <w:szCs w:val="20"/>
              </w:rPr>
            </w:pPr>
            <w:r>
              <w:rPr>
                <w:spacing w:val="7"/>
                <w:sz w:val="20"/>
                <w:szCs w:val="20"/>
              </w:rPr>
              <w:t>锰硅重渣</w:t>
            </w:r>
          </w:p>
        </w:tc>
        <w:tc>
          <w:tcPr>
            <w:tcW w:w="1311" w:type="dxa"/>
            <w:vAlign w:val="top"/>
          </w:tcPr>
          <w:p w14:paraId="3E6E7D84">
            <w:pPr>
              <w:spacing w:before="126" w:line="212" w:lineRule="auto"/>
              <w:ind w:left="51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1-7</w:t>
            </w:r>
          </w:p>
        </w:tc>
        <w:tc>
          <w:tcPr>
            <w:tcW w:w="4665" w:type="dxa"/>
            <w:vAlign w:val="top"/>
          </w:tcPr>
          <w:p w14:paraId="7F1E60FA">
            <w:pPr>
              <w:pStyle w:val="6"/>
              <w:spacing w:before="91" w:line="220" w:lineRule="auto"/>
              <w:ind w:left="971"/>
              <w:rPr>
                <w:sz w:val="20"/>
                <w:szCs w:val="20"/>
              </w:rPr>
            </w:pPr>
            <w:r>
              <w:rPr>
                <w:spacing w:val="9"/>
                <w:sz w:val="20"/>
                <w:szCs w:val="20"/>
              </w:rPr>
              <w:t>铁水包扒渣及铁水包包底清理</w:t>
            </w:r>
          </w:p>
        </w:tc>
        <w:tc>
          <w:tcPr>
            <w:tcW w:w="5558" w:type="dxa"/>
            <w:vAlign w:val="top"/>
          </w:tcPr>
          <w:p w14:paraId="2713A8D8">
            <w:pPr>
              <w:pStyle w:val="6"/>
              <w:spacing w:before="91" w:line="220" w:lineRule="auto"/>
              <w:ind w:left="1145"/>
              <w:rPr>
                <w:sz w:val="20"/>
                <w:szCs w:val="20"/>
              </w:rPr>
            </w:pPr>
            <w:r>
              <w:rPr>
                <w:rFonts w:ascii="Times New Roman" w:hAnsi="Times New Roman" w:eastAsia="Times New Roman" w:cs="Times New Roman"/>
                <w:sz w:val="20"/>
                <w:szCs w:val="20"/>
              </w:rPr>
              <w:t>MnO</w:t>
            </w:r>
            <w:r>
              <w:rPr>
                <w:rFonts w:ascii="Times New Roman" w:hAnsi="Times New Roman" w:eastAsia="Times New Roman" w:cs="Times New Roman"/>
                <w:spacing w:val="-25"/>
                <w:sz w:val="20"/>
                <w:szCs w:val="20"/>
              </w:rPr>
              <w:t xml:space="preserve"> </w:t>
            </w:r>
            <w:r>
              <w:rPr>
                <w:spacing w:val="5"/>
                <w:sz w:val="20"/>
                <w:szCs w:val="20"/>
              </w:rPr>
              <w:t>、</w:t>
            </w:r>
            <w:r>
              <w:rPr>
                <w:rFonts w:ascii="Times New Roman" w:hAnsi="Times New Roman" w:eastAsia="Times New Roman" w:cs="Times New Roman"/>
                <w:sz w:val="20"/>
                <w:szCs w:val="20"/>
              </w:rPr>
              <w:t>SiO</w:t>
            </w:r>
            <w:r>
              <w:rPr>
                <w:rFonts w:ascii="Times New Roman" w:hAnsi="Times New Roman" w:eastAsia="Times New Roman" w:cs="Times New Roman"/>
                <w:spacing w:val="5"/>
                <w:position w:val="-1"/>
                <w:sz w:val="13"/>
                <w:szCs w:val="13"/>
              </w:rPr>
              <w:t>2</w:t>
            </w:r>
            <w:r>
              <w:rPr>
                <w:rFonts w:ascii="Times New Roman" w:hAnsi="Times New Roman" w:eastAsia="Times New Roman" w:cs="Times New Roman"/>
                <w:spacing w:val="-9"/>
                <w:position w:val="-1"/>
                <w:sz w:val="13"/>
                <w:szCs w:val="13"/>
              </w:rPr>
              <w:t xml:space="preserve"> </w:t>
            </w:r>
            <w:r>
              <w:rPr>
                <w:spacing w:val="5"/>
                <w:sz w:val="20"/>
                <w:szCs w:val="20"/>
              </w:rPr>
              <w:t>、</w:t>
            </w:r>
            <w:r>
              <w:rPr>
                <w:rFonts w:ascii="Times New Roman" w:hAnsi="Times New Roman" w:eastAsia="Times New Roman" w:cs="Times New Roman"/>
                <w:sz w:val="20"/>
                <w:szCs w:val="20"/>
              </w:rPr>
              <w:t>Al</w:t>
            </w:r>
            <w:r>
              <w:rPr>
                <w:rFonts w:ascii="Times New Roman" w:hAnsi="Times New Roman" w:eastAsia="Times New Roman" w:cs="Times New Roman"/>
                <w:spacing w:val="5"/>
                <w:position w:val="-1"/>
                <w:sz w:val="13"/>
                <w:szCs w:val="13"/>
              </w:rPr>
              <w:t>2</w:t>
            </w:r>
            <w:r>
              <w:rPr>
                <w:rFonts w:ascii="Times New Roman" w:hAnsi="Times New Roman" w:eastAsia="Times New Roman" w:cs="Times New Roman"/>
                <w:spacing w:val="5"/>
                <w:sz w:val="20"/>
                <w:szCs w:val="20"/>
              </w:rPr>
              <w:t>O</w:t>
            </w:r>
            <w:r>
              <w:rPr>
                <w:rFonts w:ascii="Times New Roman" w:hAnsi="Times New Roman" w:eastAsia="Times New Roman" w:cs="Times New Roman"/>
                <w:spacing w:val="5"/>
                <w:position w:val="-1"/>
                <w:sz w:val="13"/>
                <w:szCs w:val="13"/>
              </w:rPr>
              <w:t>3</w:t>
            </w:r>
            <w:r>
              <w:rPr>
                <w:rFonts w:ascii="Times New Roman" w:hAnsi="Times New Roman" w:eastAsia="Times New Roman" w:cs="Times New Roman"/>
                <w:spacing w:val="-11"/>
                <w:position w:val="-1"/>
                <w:sz w:val="13"/>
                <w:szCs w:val="13"/>
              </w:rPr>
              <w:t xml:space="preserve"> </w:t>
            </w:r>
            <w:r>
              <w:rPr>
                <w:spacing w:val="5"/>
                <w:sz w:val="20"/>
                <w:szCs w:val="20"/>
              </w:rPr>
              <w:t>、</w:t>
            </w:r>
            <w:r>
              <w:rPr>
                <w:rFonts w:ascii="Times New Roman" w:hAnsi="Times New Roman" w:eastAsia="Times New Roman" w:cs="Times New Roman"/>
                <w:sz w:val="20"/>
                <w:szCs w:val="20"/>
              </w:rPr>
              <w:t>MgO</w:t>
            </w:r>
            <w:r>
              <w:rPr>
                <w:rFonts w:ascii="Times New Roman" w:hAnsi="Times New Roman" w:eastAsia="Times New Roman" w:cs="Times New Roman"/>
                <w:spacing w:val="-22"/>
                <w:sz w:val="20"/>
                <w:szCs w:val="20"/>
              </w:rPr>
              <w:t xml:space="preserve"> </w:t>
            </w:r>
            <w:r>
              <w:rPr>
                <w:spacing w:val="5"/>
                <w:sz w:val="20"/>
                <w:szCs w:val="20"/>
              </w:rPr>
              <w:t>、</w:t>
            </w:r>
            <w:r>
              <w:rPr>
                <w:rFonts w:ascii="Times New Roman" w:hAnsi="Times New Roman" w:eastAsia="Times New Roman" w:cs="Times New Roman"/>
                <w:sz w:val="20"/>
                <w:szCs w:val="20"/>
              </w:rPr>
              <w:t>CaO</w:t>
            </w:r>
            <w:r>
              <w:rPr>
                <w:rFonts w:ascii="Times New Roman" w:hAnsi="Times New Roman" w:eastAsia="Times New Roman" w:cs="Times New Roman"/>
                <w:spacing w:val="5"/>
                <w:sz w:val="20"/>
                <w:szCs w:val="20"/>
              </w:rPr>
              <w:t xml:space="preserve"> </w:t>
            </w:r>
            <w:r>
              <w:rPr>
                <w:spacing w:val="5"/>
                <w:sz w:val="20"/>
                <w:szCs w:val="20"/>
              </w:rPr>
              <w:t>等</w:t>
            </w:r>
          </w:p>
        </w:tc>
        <w:tc>
          <w:tcPr>
            <w:tcW w:w="6091" w:type="dxa"/>
            <w:tcBorders>
              <w:right w:val="nil"/>
            </w:tcBorders>
            <w:vAlign w:val="top"/>
          </w:tcPr>
          <w:p w14:paraId="3705BD71">
            <w:pPr>
              <w:pStyle w:val="6"/>
              <w:spacing w:before="91" w:line="220" w:lineRule="auto"/>
              <w:ind w:left="1579"/>
              <w:rPr>
                <w:sz w:val="20"/>
                <w:szCs w:val="20"/>
              </w:rPr>
            </w:pPr>
            <w:r>
              <w:rPr>
                <w:spacing w:val="9"/>
                <w:sz w:val="20"/>
                <w:szCs w:val="20"/>
              </w:rPr>
              <w:t>破碎后返回锰铁配料站综合利用</w:t>
            </w:r>
          </w:p>
        </w:tc>
      </w:tr>
      <w:tr w14:paraId="07113C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65" w:type="dxa"/>
            <w:tcBorders>
              <w:top w:val="nil"/>
              <w:left w:val="nil"/>
              <w:bottom w:val="nil"/>
            </w:tcBorders>
            <w:vAlign w:val="top"/>
          </w:tcPr>
          <w:p w14:paraId="787A9CFE">
            <w:pPr>
              <w:rPr>
                <w:rFonts w:ascii="Arial"/>
                <w:sz w:val="21"/>
              </w:rPr>
            </w:pPr>
          </w:p>
        </w:tc>
        <w:tc>
          <w:tcPr>
            <w:tcW w:w="2599" w:type="dxa"/>
            <w:vAlign w:val="top"/>
          </w:tcPr>
          <w:p w14:paraId="677F2E3D">
            <w:pPr>
              <w:pStyle w:val="6"/>
              <w:spacing w:before="93" w:line="218" w:lineRule="auto"/>
              <w:ind w:left="885"/>
              <w:rPr>
                <w:sz w:val="20"/>
                <w:szCs w:val="20"/>
              </w:rPr>
            </w:pPr>
            <w:r>
              <w:rPr>
                <w:spacing w:val="6"/>
                <w:sz w:val="20"/>
                <w:szCs w:val="20"/>
              </w:rPr>
              <w:t>车间沉降</w:t>
            </w:r>
          </w:p>
        </w:tc>
        <w:tc>
          <w:tcPr>
            <w:tcW w:w="1311" w:type="dxa"/>
            <w:vAlign w:val="top"/>
          </w:tcPr>
          <w:p w14:paraId="7AB7CB25">
            <w:pPr>
              <w:spacing w:before="130" w:line="208" w:lineRule="auto"/>
              <w:ind w:left="51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1-8</w:t>
            </w:r>
          </w:p>
        </w:tc>
        <w:tc>
          <w:tcPr>
            <w:tcW w:w="4665" w:type="dxa"/>
            <w:vAlign w:val="top"/>
          </w:tcPr>
          <w:p w14:paraId="0E8AF757">
            <w:pPr>
              <w:pStyle w:val="6"/>
              <w:spacing w:before="93" w:line="218" w:lineRule="auto"/>
              <w:ind w:left="657"/>
              <w:rPr>
                <w:sz w:val="20"/>
                <w:szCs w:val="20"/>
              </w:rPr>
            </w:pPr>
            <w:r>
              <w:rPr>
                <w:spacing w:val="6"/>
                <w:sz w:val="20"/>
                <w:szCs w:val="20"/>
              </w:rPr>
              <w:t>烘干车间、烧结生产车间、</w:t>
            </w:r>
            <w:r>
              <w:rPr>
                <w:spacing w:val="-48"/>
                <w:sz w:val="20"/>
                <w:szCs w:val="20"/>
              </w:rPr>
              <w:t xml:space="preserve"> </w:t>
            </w:r>
            <w:r>
              <w:rPr>
                <w:spacing w:val="6"/>
                <w:sz w:val="20"/>
                <w:szCs w:val="20"/>
              </w:rPr>
              <w:t>电炉车间</w:t>
            </w:r>
          </w:p>
        </w:tc>
        <w:tc>
          <w:tcPr>
            <w:tcW w:w="5558" w:type="dxa"/>
            <w:vAlign w:val="top"/>
          </w:tcPr>
          <w:p w14:paraId="1C424D56">
            <w:pPr>
              <w:pStyle w:val="6"/>
              <w:spacing w:before="93" w:line="218" w:lineRule="auto"/>
              <w:ind w:left="2364"/>
              <w:rPr>
                <w:sz w:val="20"/>
                <w:szCs w:val="20"/>
              </w:rPr>
            </w:pPr>
            <w:r>
              <w:rPr>
                <w:spacing w:val="7"/>
                <w:sz w:val="20"/>
                <w:szCs w:val="20"/>
              </w:rPr>
              <w:t>沉降下灰</w:t>
            </w:r>
          </w:p>
        </w:tc>
        <w:tc>
          <w:tcPr>
            <w:tcW w:w="6091" w:type="dxa"/>
            <w:tcBorders>
              <w:right w:val="nil"/>
            </w:tcBorders>
            <w:vAlign w:val="top"/>
          </w:tcPr>
          <w:p w14:paraId="20C2D302">
            <w:pPr>
              <w:pStyle w:val="6"/>
              <w:spacing w:before="93" w:line="218" w:lineRule="auto"/>
              <w:ind w:left="2421"/>
              <w:rPr>
                <w:sz w:val="20"/>
                <w:szCs w:val="20"/>
              </w:rPr>
            </w:pPr>
            <w:r>
              <w:rPr>
                <w:spacing w:val="8"/>
                <w:sz w:val="20"/>
                <w:szCs w:val="20"/>
              </w:rPr>
              <w:t>返回烧结工序</w:t>
            </w:r>
          </w:p>
        </w:tc>
      </w:tr>
      <w:tr w14:paraId="48882D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765" w:type="dxa"/>
            <w:tcBorders>
              <w:top w:val="nil"/>
              <w:left w:val="nil"/>
              <w:bottom w:val="nil"/>
            </w:tcBorders>
            <w:vAlign w:val="top"/>
          </w:tcPr>
          <w:p w14:paraId="21AFE9AF">
            <w:pPr>
              <w:rPr>
                <w:rFonts w:ascii="Arial"/>
                <w:sz w:val="21"/>
              </w:rPr>
            </w:pPr>
          </w:p>
        </w:tc>
        <w:tc>
          <w:tcPr>
            <w:tcW w:w="2599" w:type="dxa"/>
            <w:vAlign w:val="top"/>
          </w:tcPr>
          <w:p w14:paraId="2771C13E">
            <w:pPr>
              <w:pStyle w:val="6"/>
              <w:spacing w:before="94" w:line="218" w:lineRule="auto"/>
              <w:ind w:left="150"/>
              <w:rPr>
                <w:sz w:val="20"/>
                <w:szCs w:val="20"/>
              </w:rPr>
            </w:pPr>
            <w:r>
              <w:rPr>
                <w:spacing w:val="9"/>
                <w:sz w:val="20"/>
                <w:szCs w:val="20"/>
              </w:rPr>
              <w:t>煤气冷凝废水隔油池浮渣</w:t>
            </w:r>
          </w:p>
        </w:tc>
        <w:tc>
          <w:tcPr>
            <w:tcW w:w="1311" w:type="dxa"/>
            <w:vAlign w:val="top"/>
          </w:tcPr>
          <w:p w14:paraId="66093059">
            <w:pPr>
              <w:spacing w:before="130" w:line="209" w:lineRule="auto"/>
              <w:ind w:left="51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1-9</w:t>
            </w:r>
          </w:p>
        </w:tc>
        <w:tc>
          <w:tcPr>
            <w:tcW w:w="4665" w:type="dxa"/>
            <w:vAlign w:val="top"/>
          </w:tcPr>
          <w:p w14:paraId="4FA32446">
            <w:pPr>
              <w:pStyle w:val="6"/>
              <w:spacing w:before="94" w:line="218" w:lineRule="auto"/>
              <w:ind w:left="1393"/>
              <w:rPr>
                <w:sz w:val="20"/>
                <w:szCs w:val="20"/>
              </w:rPr>
            </w:pPr>
            <w:r>
              <w:rPr>
                <w:spacing w:val="8"/>
                <w:sz w:val="20"/>
                <w:szCs w:val="20"/>
              </w:rPr>
              <w:t>煤气冷凝废水隔油池</w:t>
            </w:r>
          </w:p>
        </w:tc>
        <w:tc>
          <w:tcPr>
            <w:tcW w:w="5558" w:type="dxa"/>
            <w:vAlign w:val="top"/>
          </w:tcPr>
          <w:p w14:paraId="6F182141">
            <w:pPr>
              <w:pStyle w:val="6"/>
              <w:spacing w:before="94" w:line="218" w:lineRule="auto"/>
              <w:ind w:left="2573"/>
              <w:rPr>
                <w:sz w:val="20"/>
                <w:szCs w:val="20"/>
              </w:rPr>
            </w:pPr>
            <w:r>
              <w:rPr>
                <w:spacing w:val="4"/>
                <w:sz w:val="20"/>
                <w:szCs w:val="20"/>
              </w:rPr>
              <w:t>焦油</w:t>
            </w:r>
          </w:p>
        </w:tc>
        <w:tc>
          <w:tcPr>
            <w:tcW w:w="6091" w:type="dxa"/>
            <w:tcBorders>
              <w:right w:val="nil"/>
            </w:tcBorders>
            <w:vAlign w:val="top"/>
          </w:tcPr>
          <w:p w14:paraId="117FF074">
            <w:pPr>
              <w:pStyle w:val="6"/>
              <w:spacing w:before="94" w:line="218" w:lineRule="auto"/>
              <w:ind w:left="2105"/>
              <w:rPr>
                <w:sz w:val="20"/>
                <w:szCs w:val="20"/>
              </w:rPr>
            </w:pPr>
            <w:r>
              <w:rPr>
                <w:spacing w:val="9"/>
                <w:sz w:val="20"/>
                <w:szCs w:val="20"/>
              </w:rPr>
              <w:t>委托有资质单位处理</w:t>
            </w:r>
          </w:p>
        </w:tc>
      </w:tr>
      <w:tr w14:paraId="0123D8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765" w:type="dxa"/>
            <w:tcBorders>
              <w:top w:val="nil"/>
              <w:left w:val="nil"/>
              <w:bottom w:val="single" w:color="000000" w:sz="10" w:space="0"/>
            </w:tcBorders>
            <w:vAlign w:val="top"/>
          </w:tcPr>
          <w:p w14:paraId="6D325A33">
            <w:pPr>
              <w:rPr>
                <w:rFonts w:ascii="Arial"/>
                <w:sz w:val="21"/>
              </w:rPr>
            </w:pPr>
          </w:p>
        </w:tc>
        <w:tc>
          <w:tcPr>
            <w:tcW w:w="2599" w:type="dxa"/>
            <w:tcBorders>
              <w:bottom w:val="single" w:color="000000" w:sz="10" w:space="0"/>
            </w:tcBorders>
            <w:vAlign w:val="top"/>
          </w:tcPr>
          <w:p w14:paraId="72AC1E1C">
            <w:pPr>
              <w:pStyle w:val="6"/>
              <w:spacing w:before="94" w:line="228" w:lineRule="auto"/>
              <w:ind w:left="883"/>
              <w:rPr>
                <w:sz w:val="20"/>
                <w:szCs w:val="20"/>
              </w:rPr>
            </w:pPr>
            <w:r>
              <w:rPr>
                <w:spacing w:val="7"/>
                <w:sz w:val="20"/>
                <w:szCs w:val="20"/>
              </w:rPr>
              <w:t>焦油杂质</w:t>
            </w:r>
          </w:p>
        </w:tc>
        <w:tc>
          <w:tcPr>
            <w:tcW w:w="1311" w:type="dxa"/>
            <w:tcBorders>
              <w:bottom w:val="single" w:color="000000" w:sz="10" w:space="0"/>
            </w:tcBorders>
            <w:vAlign w:val="top"/>
          </w:tcPr>
          <w:p w14:paraId="0965EED4">
            <w:pPr>
              <w:spacing w:before="130" w:line="211" w:lineRule="auto"/>
              <w:ind w:left="483"/>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sz w:val="13"/>
                <w:szCs w:val="13"/>
              </w:rPr>
              <w:t>1-</w:t>
            </w:r>
            <w:r>
              <w:rPr>
                <w:rFonts w:ascii="Times New Roman" w:hAnsi="Times New Roman" w:eastAsia="Times New Roman" w:cs="Times New Roman"/>
                <w:spacing w:val="-16"/>
                <w:sz w:val="13"/>
                <w:szCs w:val="13"/>
              </w:rPr>
              <w:t xml:space="preserve"> </w:t>
            </w:r>
            <w:r>
              <w:rPr>
                <w:rFonts w:ascii="Times New Roman" w:hAnsi="Times New Roman" w:eastAsia="Times New Roman" w:cs="Times New Roman"/>
                <w:spacing w:val="-3"/>
                <w:sz w:val="13"/>
                <w:szCs w:val="13"/>
              </w:rPr>
              <w:t>10</w:t>
            </w:r>
          </w:p>
        </w:tc>
        <w:tc>
          <w:tcPr>
            <w:tcW w:w="4665" w:type="dxa"/>
            <w:tcBorders>
              <w:bottom w:val="single" w:color="000000" w:sz="10" w:space="0"/>
            </w:tcBorders>
            <w:vAlign w:val="top"/>
          </w:tcPr>
          <w:p w14:paraId="6237D9B1">
            <w:pPr>
              <w:pStyle w:val="6"/>
              <w:spacing w:before="94" w:line="228" w:lineRule="auto"/>
              <w:ind w:left="1393"/>
              <w:rPr>
                <w:sz w:val="20"/>
                <w:szCs w:val="20"/>
              </w:rPr>
            </w:pPr>
            <w:r>
              <w:rPr>
                <w:spacing w:val="8"/>
                <w:sz w:val="20"/>
                <w:szCs w:val="20"/>
              </w:rPr>
              <w:t>煤气净化电捕焦油器</w:t>
            </w:r>
          </w:p>
        </w:tc>
        <w:tc>
          <w:tcPr>
            <w:tcW w:w="5558" w:type="dxa"/>
            <w:tcBorders>
              <w:bottom w:val="single" w:color="000000" w:sz="10" w:space="0"/>
            </w:tcBorders>
            <w:vAlign w:val="top"/>
          </w:tcPr>
          <w:p w14:paraId="7D059458">
            <w:pPr>
              <w:pStyle w:val="6"/>
              <w:spacing w:before="94" w:line="228" w:lineRule="auto"/>
              <w:ind w:left="2259"/>
              <w:rPr>
                <w:sz w:val="20"/>
                <w:szCs w:val="20"/>
              </w:rPr>
            </w:pPr>
            <w:r>
              <w:rPr>
                <w:spacing w:val="8"/>
                <w:sz w:val="20"/>
                <w:szCs w:val="20"/>
              </w:rPr>
              <w:t>焦油、灰尘</w:t>
            </w:r>
          </w:p>
        </w:tc>
        <w:tc>
          <w:tcPr>
            <w:tcW w:w="6091" w:type="dxa"/>
            <w:tcBorders>
              <w:bottom w:val="single" w:color="000000" w:sz="10" w:space="0"/>
              <w:right w:val="nil"/>
            </w:tcBorders>
            <w:vAlign w:val="top"/>
          </w:tcPr>
          <w:p w14:paraId="0EF155D7">
            <w:pPr>
              <w:pStyle w:val="6"/>
              <w:spacing w:before="94" w:line="228" w:lineRule="auto"/>
              <w:ind w:left="2105"/>
              <w:rPr>
                <w:sz w:val="20"/>
                <w:szCs w:val="20"/>
              </w:rPr>
            </w:pPr>
            <w:r>
              <w:rPr>
                <w:spacing w:val="9"/>
                <w:sz w:val="20"/>
                <w:szCs w:val="20"/>
              </w:rPr>
              <w:t>委托有资质单位处理</w:t>
            </w:r>
          </w:p>
        </w:tc>
      </w:tr>
    </w:tbl>
    <w:p w14:paraId="1FBF9D45">
      <w:pPr>
        <w:pStyle w:val="2"/>
      </w:pPr>
    </w:p>
    <w:p w14:paraId="32624A47">
      <w:pPr>
        <w:sectPr>
          <w:headerReference r:id="rId145" w:type="default"/>
          <w:footerReference r:id="rId146" w:type="default"/>
          <w:pgSz w:w="23814" w:h="16840"/>
          <w:pgMar w:top="1178" w:right="1412" w:bottom="1013" w:left="1411" w:header="870" w:footer="851" w:gutter="0"/>
          <w:cols w:space="720" w:num="1"/>
        </w:sectPr>
      </w:pPr>
    </w:p>
    <w:p w14:paraId="76267B6C">
      <w:pPr>
        <w:spacing w:line="238" w:lineRule="exact"/>
      </w:pPr>
      <w:r>
        <w:pict>
          <v:shape id="_x0000_s1188" o:spid="_x0000_s1188" style="position:absolute;left:0pt;margin-left:70.85pt;margin-top:59.65pt;height:0.75pt;width:1049pt;mso-position-horizontal-relative:page;mso-position-vertical-relative:page;z-index:251846656;mso-width-relative:page;mso-height-relative:page;" fillcolor="#000000" filled="t" stroked="f" coordsize="20980,15" o:allowincell="f" path="m0,0l20980,0,20980,14,0,14,0,0xe">
            <v:path/>
            <v:fill on="t" focussize="0,0"/>
            <v:stroke on="f"/>
            <v:imagedata o:title=""/>
            <o:lock v:ext="edit"/>
          </v:shape>
        </w:pict>
      </w:r>
    </w:p>
    <w:tbl>
      <w:tblPr>
        <w:tblStyle w:val="5"/>
        <w:tblW w:w="2098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65"/>
        <w:gridCol w:w="2599"/>
        <w:gridCol w:w="1311"/>
        <w:gridCol w:w="4665"/>
        <w:gridCol w:w="5558"/>
        <w:gridCol w:w="6091"/>
      </w:tblGrid>
      <w:tr w14:paraId="7F7A63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765" w:type="dxa"/>
            <w:tcBorders>
              <w:top w:val="single" w:color="000000" w:sz="10" w:space="0"/>
              <w:left w:val="nil"/>
            </w:tcBorders>
            <w:vAlign w:val="top"/>
          </w:tcPr>
          <w:p w14:paraId="6E89A2B3">
            <w:pPr>
              <w:pStyle w:val="6"/>
              <w:spacing w:before="75" w:line="228" w:lineRule="auto"/>
              <w:ind w:left="180"/>
              <w:rPr>
                <w:sz w:val="20"/>
                <w:szCs w:val="20"/>
              </w:rPr>
            </w:pPr>
            <w:r>
              <w:rPr>
                <w:b/>
                <w:bCs/>
                <w:spacing w:val="3"/>
                <w:sz w:val="20"/>
                <w:szCs w:val="20"/>
              </w:rPr>
              <w:t>类别</w:t>
            </w:r>
          </w:p>
        </w:tc>
        <w:tc>
          <w:tcPr>
            <w:tcW w:w="2599" w:type="dxa"/>
            <w:tcBorders>
              <w:top w:val="single" w:color="000000" w:sz="10" w:space="0"/>
            </w:tcBorders>
            <w:vAlign w:val="top"/>
          </w:tcPr>
          <w:p w14:paraId="3AFBBABE">
            <w:pPr>
              <w:pStyle w:val="6"/>
              <w:spacing w:before="76" w:line="228" w:lineRule="auto"/>
              <w:ind w:left="779"/>
              <w:rPr>
                <w:sz w:val="20"/>
                <w:szCs w:val="20"/>
              </w:rPr>
            </w:pPr>
            <w:r>
              <w:rPr>
                <w:b/>
                <w:bCs/>
                <w:spacing w:val="6"/>
                <w:sz w:val="20"/>
                <w:szCs w:val="20"/>
              </w:rPr>
              <w:t>污染源名称</w:t>
            </w:r>
          </w:p>
        </w:tc>
        <w:tc>
          <w:tcPr>
            <w:tcW w:w="1311" w:type="dxa"/>
            <w:tcBorders>
              <w:top w:val="single" w:color="000000" w:sz="10" w:space="0"/>
            </w:tcBorders>
            <w:vAlign w:val="top"/>
          </w:tcPr>
          <w:p w14:paraId="33B13E98">
            <w:pPr>
              <w:pStyle w:val="6"/>
              <w:spacing w:before="75" w:line="228" w:lineRule="auto"/>
              <w:ind w:left="451"/>
              <w:rPr>
                <w:sz w:val="20"/>
                <w:szCs w:val="20"/>
              </w:rPr>
            </w:pPr>
            <w:r>
              <w:rPr>
                <w:b/>
                <w:bCs/>
                <w:spacing w:val="3"/>
                <w:sz w:val="20"/>
                <w:szCs w:val="20"/>
              </w:rPr>
              <w:t>编号</w:t>
            </w:r>
          </w:p>
        </w:tc>
        <w:tc>
          <w:tcPr>
            <w:tcW w:w="4665" w:type="dxa"/>
            <w:tcBorders>
              <w:top w:val="single" w:color="000000" w:sz="10" w:space="0"/>
            </w:tcBorders>
            <w:vAlign w:val="top"/>
          </w:tcPr>
          <w:p w14:paraId="5A9A65EF">
            <w:pPr>
              <w:pStyle w:val="6"/>
              <w:spacing w:before="75" w:line="228" w:lineRule="auto"/>
              <w:ind w:left="1915"/>
              <w:rPr>
                <w:sz w:val="20"/>
                <w:szCs w:val="20"/>
              </w:rPr>
            </w:pPr>
            <w:r>
              <w:rPr>
                <w:b/>
                <w:bCs/>
                <w:spacing w:val="6"/>
                <w:sz w:val="20"/>
                <w:szCs w:val="20"/>
              </w:rPr>
              <w:t>产生位置</w:t>
            </w:r>
          </w:p>
        </w:tc>
        <w:tc>
          <w:tcPr>
            <w:tcW w:w="5558" w:type="dxa"/>
            <w:tcBorders>
              <w:top w:val="single" w:color="000000" w:sz="10" w:space="0"/>
            </w:tcBorders>
            <w:vAlign w:val="top"/>
          </w:tcPr>
          <w:p w14:paraId="3BA4A7EA">
            <w:pPr>
              <w:pStyle w:val="6"/>
              <w:spacing w:before="76" w:line="228" w:lineRule="auto"/>
              <w:ind w:left="2258"/>
              <w:rPr>
                <w:sz w:val="20"/>
                <w:szCs w:val="20"/>
              </w:rPr>
            </w:pPr>
            <w:r>
              <w:rPr>
                <w:b/>
                <w:bCs/>
                <w:spacing w:val="6"/>
                <w:sz w:val="20"/>
                <w:szCs w:val="20"/>
              </w:rPr>
              <w:t>主要污染物</w:t>
            </w:r>
          </w:p>
        </w:tc>
        <w:tc>
          <w:tcPr>
            <w:tcW w:w="6091" w:type="dxa"/>
            <w:tcBorders>
              <w:top w:val="single" w:color="000000" w:sz="10" w:space="0"/>
              <w:right w:val="nil"/>
            </w:tcBorders>
            <w:vAlign w:val="top"/>
          </w:tcPr>
          <w:p w14:paraId="5EF4BBF2">
            <w:pPr>
              <w:pStyle w:val="6"/>
              <w:spacing w:before="76" w:line="227" w:lineRule="auto"/>
              <w:ind w:left="2418"/>
              <w:rPr>
                <w:sz w:val="20"/>
                <w:szCs w:val="20"/>
              </w:rPr>
            </w:pPr>
            <w:r>
              <w:rPr>
                <w:b/>
                <w:bCs/>
                <w:spacing w:val="6"/>
                <w:sz w:val="20"/>
                <w:szCs w:val="20"/>
              </w:rPr>
              <w:t>拟采取的措施</w:t>
            </w:r>
          </w:p>
        </w:tc>
      </w:tr>
      <w:tr w14:paraId="08048A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765" w:type="dxa"/>
            <w:tcBorders>
              <w:left w:val="nil"/>
              <w:bottom w:val="nil"/>
            </w:tcBorders>
            <w:vAlign w:val="top"/>
          </w:tcPr>
          <w:p w14:paraId="17EEFCA6">
            <w:pPr>
              <w:rPr>
                <w:rFonts w:ascii="Arial"/>
                <w:sz w:val="21"/>
              </w:rPr>
            </w:pPr>
          </w:p>
        </w:tc>
        <w:tc>
          <w:tcPr>
            <w:tcW w:w="2599" w:type="dxa"/>
            <w:vAlign w:val="top"/>
          </w:tcPr>
          <w:p w14:paraId="74DCD403">
            <w:pPr>
              <w:pStyle w:val="6"/>
              <w:spacing w:before="73" w:line="228" w:lineRule="auto"/>
              <w:ind w:left="884"/>
              <w:rPr>
                <w:sz w:val="20"/>
                <w:szCs w:val="20"/>
              </w:rPr>
            </w:pPr>
            <w:r>
              <w:rPr>
                <w:spacing w:val="7"/>
                <w:sz w:val="20"/>
                <w:szCs w:val="20"/>
              </w:rPr>
              <w:t>过滤杂质</w:t>
            </w:r>
          </w:p>
        </w:tc>
        <w:tc>
          <w:tcPr>
            <w:tcW w:w="1311" w:type="dxa"/>
            <w:vAlign w:val="top"/>
          </w:tcPr>
          <w:p w14:paraId="3C9B8848">
            <w:pPr>
              <w:spacing w:before="110" w:line="209" w:lineRule="auto"/>
              <w:ind w:left="483"/>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sz w:val="13"/>
                <w:szCs w:val="13"/>
              </w:rPr>
              <w:t>1-</w:t>
            </w:r>
            <w:r>
              <w:rPr>
                <w:rFonts w:ascii="Times New Roman" w:hAnsi="Times New Roman" w:eastAsia="Times New Roman" w:cs="Times New Roman"/>
                <w:spacing w:val="-16"/>
                <w:sz w:val="13"/>
                <w:szCs w:val="13"/>
              </w:rPr>
              <w:t xml:space="preserve"> </w:t>
            </w:r>
            <w:r>
              <w:rPr>
                <w:rFonts w:ascii="Times New Roman" w:hAnsi="Times New Roman" w:eastAsia="Times New Roman" w:cs="Times New Roman"/>
                <w:spacing w:val="-3"/>
                <w:sz w:val="13"/>
                <w:szCs w:val="13"/>
              </w:rPr>
              <w:t>11</w:t>
            </w:r>
          </w:p>
        </w:tc>
        <w:tc>
          <w:tcPr>
            <w:tcW w:w="4665" w:type="dxa"/>
            <w:vAlign w:val="top"/>
          </w:tcPr>
          <w:p w14:paraId="4A314BFB">
            <w:pPr>
              <w:pStyle w:val="6"/>
              <w:spacing w:before="73" w:line="227" w:lineRule="auto"/>
              <w:ind w:left="1604"/>
              <w:rPr>
                <w:sz w:val="20"/>
                <w:szCs w:val="20"/>
              </w:rPr>
            </w:pPr>
            <w:r>
              <w:rPr>
                <w:spacing w:val="8"/>
                <w:sz w:val="20"/>
                <w:szCs w:val="20"/>
              </w:rPr>
              <w:t>煤气柜精过滤器</w:t>
            </w:r>
          </w:p>
        </w:tc>
        <w:tc>
          <w:tcPr>
            <w:tcW w:w="5558" w:type="dxa"/>
            <w:vAlign w:val="top"/>
          </w:tcPr>
          <w:p w14:paraId="3E7B21F5">
            <w:pPr>
              <w:pStyle w:val="6"/>
              <w:spacing w:before="73" w:line="228" w:lineRule="auto"/>
              <w:ind w:left="2259"/>
              <w:rPr>
                <w:sz w:val="20"/>
                <w:szCs w:val="20"/>
              </w:rPr>
            </w:pPr>
            <w:r>
              <w:rPr>
                <w:spacing w:val="8"/>
                <w:sz w:val="20"/>
                <w:szCs w:val="20"/>
              </w:rPr>
              <w:t>焦油、灰尘</w:t>
            </w:r>
          </w:p>
        </w:tc>
        <w:tc>
          <w:tcPr>
            <w:tcW w:w="6091" w:type="dxa"/>
            <w:tcBorders>
              <w:right w:val="nil"/>
            </w:tcBorders>
            <w:vAlign w:val="top"/>
          </w:tcPr>
          <w:p w14:paraId="5327B09A">
            <w:pPr>
              <w:pStyle w:val="6"/>
              <w:spacing w:before="74" w:line="228" w:lineRule="auto"/>
              <w:ind w:left="2105"/>
              <w:rPr>
                <w:sz w:val="20"/>
                <w:szCs w:val="20"/>
              </w:rPr>
            </w:pPr>
            <w:r>
              <w:rPr>
                <w:spacing w:val="9"/>
                <w:sz w:val="20"/>
                <w:szCs w:val="20"/>
              </w:rPr>
              <w:t>委托有资质单位处理</w:t>
            </w:r>
          </w:p>
        </w:tc>
      </w:tr>
      <w:tr w14:paraId="3909F2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765" w:type="dxa"/>
            <w:tcBorders>
              <w:top w:val="nil"/>
              <w:left w:val="nil"/>
              <w:bottom w:val="nil"/>
            </w:tcBorders>
            <w:vAlign w:val="top"/>
          </w:tcPr>
          <w:p w14:paraId="0EE5DC72">
            <w:pPr>
              <w:rPr>
                <w:rFonts w:ascii="Arial"/>
                <w:sz w:val="21"/>
              </w:rPr>
            </w:pPr>
          </w:p>
        </w:tc>
        <w:tc>
          <w:tcPr>
            <w:tcW w:w="2599" w:type="dxa"/>
            <w:vAlign w:val="top"/>
          </w:tcPr>
          <w:p w14:paraId="2F0E021A">
            <w:pPr>
              <w:pStyle w:val="6"/>
              <w:spacing w:before="75" w:line="228" w:lineRule="auto"/>
              <w:ind w:left="568"/>
              <w:rPr>
                <w:sz w:val="20"/>
                <w:szCs w:val="20"/>
              </w:rPr>
            </w:pPr>
            <w:r>
              <w:rPr>
                <w:spacing w:val="8"/>
                <w:sz w:val="20"/>
                <w:szCs w:val="20"/>
              </w:rPr>
              <w:t>废反渗透膜组件</w:t>
            </w:r>
          </w:p>
        </w:tc>
        <w:tc>
          <w:tcPr>
            <w:tcW w:w="1311" w:type="dxa"/>
            <w:vAlign w:val="top"/>
          </w:tcPr>
          <w:p w14:paraId="6B273952">
            <w:pPr>
              <w:spacing w:before="111" w:line="209" w:lineRule="auto"/>
              <w:ind w:left="51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2-</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1"/>
                <w:sz w:val="13"/>
                <w:szCs w:val="13"/>
              </w:rPr>
              <w:t>1</w:t>
            </w:r>
          </w:p>
        </w:tc>
        <w:tc>
          <w:tcPr>
            <w:tcW w:w="4665" w:type="dxa"/>
            <w:vAlign w:val="top"/>
          </w:tcPr>
          <w:p w14:paraId="51B072D1">
            <w:pPr>
              <w:pStyle w:val="6"/>
              <w:spacing w:before="75" w:line="228" w:lineRule="auto"/>
              <w:ind w:left="1813"/>
              <w:rPr>
                <w:sz w:val="20"/>
                <w:szCs w:val="20"/>
              </w:rPr>
            </w:pPr>
            <w:r>
              <w:rPr>
                <w:spacing w:val="7"/>
                <w:sz w:val="20"/>
                <w:szCs w:val="20"/>
              </w:rPr>
              <w:t>化学水车间</w:t>
            </w:r>
          </w:p>
        </w:tc>
        <w:tc>
          <w:tcPr>
            <w:tcW w:w="5558" w:type="dxa"/>
            <w:vAlign w:val="top"/>
          </w:tcPr>
          <w:p w14:paraId="4A7E460A">
            <w:pPr>
              <w:pStyle w:val="6"/>
              <w:spacing w:before="75" w:line="228" w:lineRule="auto"/>
              <w:ind w:left="2049"/>
              <w:rPr>
                <w:sz w:val="20"/>
                <w:szCs w:val="20"/>
              </w:rPr>
            </w:pPr>
            <w:r>
              <w:rPr>
                <w:spacing w:val="8"/>
                <w:sz w:val="20"/>
                <w:szCs w:val="20"/>
              </w:rPr>
              <w:t>废反渗透膜组件</w:t>
            </w:r>
          </w:p>
        </w:tc>
        <w:tc>
          <w:tcPr>
            <w:tcW w:w="6091" w:type="dxa"/>
            <w:tcBorders>
              <w:right w:val="nil"/>
            </w:tcBorders>
            <w:vAlign w:val="top"/>
          </w:tcPr>
          <w:p w14:paraId="433FBDC2">
            <w:pPr>
              <w:pStyle w:val="6"/>
              <w:spacing w:before="75" w:line="228" w:lineRule="auto"/>
              <w:ind w:left="2236"/>
              <w:rPr>
                <w:sz w:val="20"/>
                <w:szCs w:val="20"/>
              </w:rPr>
            </w:pPr>
            <w:r>
              <w:rPr>
                <w:spacing w:val="5"/>
                <w:sz w:val="20"/>
                <w:szCs w:val="20"/>
              </w:rPr>
              <w:t>由其生产厂家回收</w:t>
            </w:r>
          </w:p>
        </w:tc>
      </w:tr>
      <w:tr w14:paraId="6ED3B0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765" w:type="dxa"/>
            <w:tcBorders>
              <w:top w:val="nil"/>
              <w:left w:val="nil"/>
              <w:bottom w:val="nil"/>
            </w:tcBorders>
            <w:vAlign w:val="top"/>
          </w:tcPr>
          <w:p w14:paraId="04730DA4">
            <w:pPr>
              <w:rPr>
                <w:rFonts w:ascii="Arial"/>
                <w:sz w:val="21"/>
              </w:rPr>
            </w:pPr>
          </w:p>
        </w:tc>
        <w:tc>
          <w:tcPr>
            <w:tcW w:w="2599" w:type="dxa"/>
            <w:vAlign w:val="top"/>
          </w:tcPr>
          <w:p w14:paraId="1E830EA1">
            <w:pPr>
              <w:pStyle w:val="6"/>
              <w:spacing w:before="76" w:line="228" w:lineRule="auto"/>
              <w:ind w:left="237"/>
              <w:rPr>
                <w:sz w:val="20"/>
                <w:szCs w:val="20"/>
              </w:rPr>
            </w:pPr>
            <w:r>
              <w:rPr>
                <w:spacing w:val="9"/>
                <w:sz w:val="20"/>
                <w:szCs w:val="20"/>
              </w:rPr>
              <w:t>废</w:t>
            </w:r>
            <w:r>
              <w:rPr>
                <w:spacing w:val="-42"/>
                <w:sz w:val="20"/>
                <w:szCs w:val="20"/>
              </w:rPr>
              <w:t xml:space="preserve"> </w:t>
            </w:r>
            <w:r>
              <w:rPr>
                <w:rFonts w:ascii="Times New Roman" w:hAnsi="Times New Roman" w:eastAsia="Times New Roman" w:cs="Times New Roman"/>
                <w:sz w:val="20"/>
                <w:szCs w:val="20"/>
              </w:rPr>
              <w:t>EDI</w:t>
            </w:r>
            <w:r>
              <w:rPr>
                <w:rFonts w:ascii="Times New Roman" w:hAnsi="Times New Roman" w:eastAsia="Times New Roman" w:cs="Times New Roman"/>
                <w:spacing w:val="9"/>
                <w:sz w:val="20"/>
                <w:szCs w:val="20"/>
              </w:rPr>
              <w:t xml:space="preserve"> </w:t>
            </w:r>
            <w:r>
              <w:rPr>
                <w:spacing w:val="9"/>
                <w:sz w:val="20"/>
                <w:szCs w:val="20"/>
              </w:rPr>
              <w:t>离子交换膜组件</w:t>
            </w:r>
          </w:p>
        </w:tc>
        <w:tc>
          <w:tcPr>
            <w:tcW w:w="1311" w:type="dxa"/>
            <w:vAlign w:val="top"/>
          </w:tcPr>
          <w:p w14:paraId="0E1B4D5B">
            <w:pPr>
              <w:spacing w:before="113" w:line="209" w:lineRule="auto"/>
              <w:ind w:left="51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2-2</w:t>
            </w:r>
          </w:p>
        </w:tc>
        <w:tc>
          <w:tcPr>
            <w:tcW w:w="4665" w:type="dxa"/>
            <w:vAlign w:val="top"/>
          </w:tcPr>
          <w:p w14:paraId="7C2DAFF7">
            <w:pPr>
              <w:pStyle w:val="6"/>
              <w:spacing w:before="76" w:line="228" w:lineRule="auto"/>
              <w:ind w:left="1813"/>
              <w:rPr>
                <w:sz w:val="20"/>
                <w:szCs w:val="20"/>
              </w:rPr>
            </w:pPr>
            <w:r>
              <w:rPr>
                <w:spacing w:val="7"/>
                <w:sz w:val="20"/>
                <w:szCs w:val="20"/>
              </w:rPr>
              <w:t>化学水车间</w:t>
            </w:r>
          </w:p>
        </w:tc>
        <w:tc>
          <w:tcPr>
            <w:tcW w:w="5558" w:type="dxa"/>
            <w:vAlign w:val="top"/>
          </w:tcPr>
          <w:p w14:paraId="0983F50F">
            <w:pPr>
              <w:pStyle w:val="6"/>
              <w:spacing w:before="76" w:line="228" w:lineRule="auto"/>
              <w:ind w:left="1715"/>
              <w:rPr>
                <w:sz w:val="20"/>
                <w:szCs w:val="20"/>
              </w:rPr>
            </w:pPr>
            <w:r>
              <w:rPr>
                <w:spacing w:val="8"/>
                <w:sz w:val="20"/>
                <w:szCs w:val="20"/>
              </w:rPr>
              <w:t>废</w:t>
            </w:r>
            <w:r>
              <w:rPr>
                <w:spacing w:val="-39"/>
                <w:sz w:val="20"/>
                <w:szCs w:val="20"/>
              </w:rPr>
              <w:t xml:space="preserve"> </w:t>
            </w:r>
            <w:r>
              <w:rPr>
                <w:rFonts w:ascii="Times New Roman" w:hAnsi="Times New Roman" w:eastAsia="Times New Roman" w:cs="Times New Roman"/>
                <w:sz w:val="20"/>
                <w:szCs w:val="20"/>
              </w:rPr>
              <w:t>EDI</w:t>
            </w:r>
            <w:r>
              <w:rPr>
                <w:rFonts w:ascii="Times New Roman" w:hAnsi="Times New Roman" w:eastAsia="Times New Roman" w:cs="Times New Roman"/>
                <w:spacing w:val="17"/>
                <w:sz w:val="20"/>
                <w:szCs w:val="20"/>
              </w:rPr>
              <w:t xml:space="preserve"> </w:t>
            </w:r>
            <w:r>
              <w:rPr>
                <w:spacing w:val="8"/>
                <w:sz w:val="20"/>
                <w:szCs w:val="20"/>
              </w:rPr>
              <w:t>离子交换膜组件</w:t>
            </w:r>
          </w:p>
        </w:tc>
        <w:tc>
          <w:tcPr>
            <w:tcW w:w="6091" w:type="dxa"/>
            <w:tcBorders>
              <w:right w:val="nil"/>
            </w:tcBorders>
            <w:vAlign w:val="top"/>
          </w:tcPr>
          <w:p w14:paraId="7F412132">
            <w:pPr>
              <w:pStyle w:val="6"/>
              <w:spacing w:before="76" w:line="228" w:lineRule="auto"/>
              <w:ind w:left="2236"/>
              <w:rPr>
                <w:sz w:val="20"/>
                <w:szCs w:val="20"/>
              </w:rPr>
            </w:pPr>
            <w:r>
              <w:rPr>
                <w:spacing w:val="5"/>
                <w:sz w:val="20"/>
                <w:szCs w:val="20"/>
              </w:rPr>
              <w:t>由其生产厂家回收</w:t>
            </w:r>
          </w:p>
        </w:tc>
      </w:tr>
      <w:tr w14:paraId="4DD357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765" w:type="dxa"/>
            <w:tcBorders>
              <w:top w:val="nil"/>
              <w:left w:val="nil"/>
              <w:bottom w:val="nil"/>
            </w:tcBorders>
            <w:vAlign w:val="top"/>
          </w:tcPr>
          <w:p w14:paraId="1C17F660">
            <w:pPr>
              <w:rPr>
                <w:rFonts w:ascii="Arial"/>
                <w:sz w:val="21"/>
              </w:rPr>
            </w:pPr>
          </w:p>
        </w:tc>
        <w:tc>
          <w:tcPr>
            <w:tcW w:w="2599" w:type="dxa"/>
            <w:vAlign w:val="top"/>
          </w:tcPr>
          <w:p w14:paraId="6583920B">
            <w:pPr>
              <w:pStyle w:val="6"/>
              <w:spacing w:before="78" w:line="227" w:lineRule="auto"/>
              <w:ind w:left="674"/>
              <w:rPr>
                <w:sz w:val="20"/>
                <w:szCs w:val="20"/>
              </w:rPr>
            </w:pPr>
            <w:r>
              <w:rPr>
                <w:spacing w:val="8"/>
                <w:sz w:val="20"/>
                <w:szCs w:val="20"/>
              </w:rPr>
              <w:t>废脱硝催化剂</w:t>
            </w:r>
          </w:p>
        </w:tc>
        <w:tc>
          <w:tcPr>
            <w:tcW w:w="1311" w:type="dxa"/>
            <w:vAlign w:val="top"/>
          </w:tcPr>
          <w:p w14:paraId="3B467137">
            <w:pPr>
              <w:spacing w:before="114" w:line="211" w:lineRule="auto"/>
              <w:ind w:left="51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2-3</w:t>
            </w:r>
          </w:p>
        </w:tc>
        <w:tc>
          <w:tcPr>
            <w:tcW w:w="4665" w:type="dxa"/>
            <w:vAlign w:val="top"/>
          </w:tcPr>
          <w:p w14:paraId="0D81893B">
            <w:pPr>
              <w:pStyle w:val="6"/>
              <w:spacing w:before="79" w:line="228" w:lineRule="auto"/>
              <w:ind w:left="1699"/>
              <w:rPr>
                <w:sz w:val="20"/>
                <w:szCs w:val="20"/>
              </w:rPr>
            </w:pPr>
            <w:r>
              <w:rPr>
                <w:rFonts w:ascii="Times New Roman" w:hAnsi="Times New Roman" w:eastAsia="Times New Roman" w:cs="Times New Roman"/>
                <w:sz w:val="20"/>
                <w:szCs w:val="20"/>
              </w:rPr>
              <w:t>SCR</w:t>
            </w:r>
            <w:r>
              <w:rPr>
                <w:rFonts w:ascii="Times New Roman" w:hAnsi="Times New Roman" w:eastAsia="Times New Roman" w:cs="Times New Roman"/>
                <w:spacing w:val="9"/>
                <w:sz w:val="20"/>
                <w:szCs w:val="20"/>
              </w:rPr>
              <w:t xml:space="preserve"> </w:t>
            </w:r>
            <w:r>
              <w:rPr>
                <w:spacing w:val="9"/>
                <w:sz w:val="20"/>
                <w:szCs w:val="20"/>
              </w:rPr>
              <w:t>脱硝装置</w:t>
            </w:r>
          </w:p>
        </w:tc>
        <w:tc>
          <w:tcPr>
            <w:tcW w:w="5558" w:type="dxa"/>
            <w:vAlign w:val="top"/>
          </w:tcPr>
          <w:p w14:paraId="02D058E4">
            <w:pPr>
              <w:pStyle w:val="6"/>
              <w:spacing w:before="110" w:line="196" w:lineRule="auto"/>
              <w:ind w:left="1936"/>
              <w:rPr>
                <w:rFonts w:ascii="Times New Roman" w:hAnsi="Times New Roman" w:eastAsia="Times New Roman" w:cs="Times New Roman"/>
                <w:sz w:val="13"/>
                <w:szCs w:val="13"/>
              </w:rPr>
            </w:pPr>
            <w:r>
              <w:rPr>
                <w:rFonts w:ascii="Times New Roman" w:hAnsi="Times New Roman" w:eastAsia="Times New Roman" w:cs="Times New Roman"/>
                <w:spacing w:val="4"/>
                <w:sz w:val="20"/>
                <w:szCs w:val="20"/>
              </w:rPr>
              <w:t>V</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4"/>
                <w:sz w:val="20"/>
                <w:szCs w:val="20"/>
              </w:rPr>
              <w:t>O</w:t>
            </w:r>
            <w:r>
              <w:rPr>
                <w:rFonts w:ascii="Times New Roman" w:hAnsi="Times New Roman" w:eastAsia="Times New Roman" w:cs="Times New Roman"/>
                <w:spacing w:val="4"/>
                <w:position w:val="-1"/>
                <w:sz w:val="13"/>
                <w:szCs w:val="13"/>
              </w:rPr>
              <w:t>5</w:t>
            </w:r>
            <w:r>
              <w:rPr>
                <w:rFonts w:ascii="Times New Roman" w:hAnsi="Times New Roman" w:eastAsia="Times New Roman" w:cs="Times New Roman"/>
                <w:spacing w:val="-12"/>
                <w:position w:val="-1"/>
                <w:sz w:val="13"/>
                <w:szCs w:val="13"/>
              </w:rPr>
              <w:t xml:space="preserve"> </w:t>
            </w:r>
            <w:r>
              <w:rPr>
                <w:spacing w:val="4"/>
                <w:sz w:val="20"/>
                <w:szCs w:val="20"/>
              </w:rPr>
              <w:t>、</w:t>
            </w:r>
            <w:r>
              <w:rPr>
                <w:rFonts w:ascii="Times New Roman" w:hAnsi="Times New Roman" w:eastAsia="Times New Roman" w:cs="Times New Roman"/>
                <w:sz w:val="20"/>
                <w:szCs w:val="20"/>
              </w:rPr>
              <w:t>TiO</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9"/>
                <w:position w:val="-1"/>
                <w:sz w:val="13"/>
                <w:szCs w:val="13"/>
              </w:rPr>
              <w:t xml:space="preserve"> </w:t>
            </w:r>
            <w:r>
              <w:rPr>
                <w:spacing w:val="4"/>
                <w:sz w:val="20"/>
                <w:szCs w:val="20"/>
              </w:rPr>
              <w:t>、</w:t>
            </w:r>
            <w:r>
              <w:rPr>
                <w:rFonts w:ascii="Times New Roman" w:hAnsi="Times New Roman" w:eastAsia="Times New Roman" w:cs="Times New Roman"/>
                <w:sz w:val="20"/>
                <w:szCs w:val="20"/>
              </w:rPr>
              <w:t>WO</w:t>
            </w:r>
            <w:r>
              <w:rPr>
                <w:rFonts w:ascii="Times New Roman" w:hAnsi="Times New Roman" w:eastAsia="Times New Roman" w:cs="Times New Roman"/>
                <w:spacing w:val="4"/>
                <w:position w:val="-1"/>
                <w:sz w:val="13"/>
                <w:szCs w:val="13"/>
              </w:rPr>
              <w:t>3</w:t>
            </w:r>
          </w:p>
        </w:tc>
        <w:tc>
          <w:tcPr>
            <w:tcW w:w="6091" w:type="dxa"/>
            <w:tcBorders>
              <w:right w:val="nil"/>
            </w:tcBorders>
            <w:vAlign w:val="top"/>
          </w:tcPr>
          <w:p w14:paraId="4EEDD248">
            <w:pPr>
              <w:pStyle w:val="6"/>
              <w:spacing w:before="79" w:line="228" w:lineRule="auto"/>
              <w:ind w:left="2105"/>
              <w:rPr>
                <w:sz w:val="20"/>
                <w:szCs w:val="20"/>
              </w:rPr>
            </w:pPr>
            <w:r>
              <w:rPr>
                <w:spacing w:val="9"/>
                <w:sz w:val="20"/>
                <w:szCs w:val="20"/>
              </w:rPr>
              <w:t>委托有资质单位处理</w:t>
            </w:r>
          </w:p>
        </w:tc>
      </w:tr>
      <w:tr w14:paraId="07A184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765" w:type="dxa"/>
            <w:tcBorders>
              <w:top w:val="nil"/>
              <w:left w:val="nil"/>
              <w:bottom w:val="nil"/>
            </w:tcBorders>
            <w:vAlign w:val="top"/>
          </w:tcPr>
          <w:p w14:paraId="3D3A49F4">
            <w:pPr>
              <w:rPr>
                <w:rFonts w:ascii="Arial"/>
                <w:sz w:val="21"/>
              </w:rPr>
            </w:pPr>
          </w:p>
        </w:tc>
        <w:tc>
          <w:tcPr>
            <w:tcW w:w="2599" w:type="dxa"/>
            <w:vAlign w:val="top"/>
          </w:tcPr>
          <w:p w14:paraId="41D35E12">
            <w:pPr>
              <w:pStyle w:val="6"/>
              <w:spacing w:before="79" w:line="228" w:lineRule="auto"/>
              <w:ind w:left="882"/>
              <w:rPr>
                <w:sz w:val="20"/>
                <w:szCs w:val="20"/>
              </w:rPr>
            </w:pPr>
            <w:r>
              <w:rPr>
                <w:spacing w:val="7"/>
                <w:sz w:val="20"/>
                <w:szCs w:val="20"/>
              </w:rPr>
              <w:t>废矿物油</w:t>
            </w:r>
          </w:p>
        </w:tc>
        <w:tc>
          <w:tcPr>
            <w:tcW w:w="1311" w:type="dxa"/>
            <w:vAlign w:val="top"/>
          </w:tcPr>
          <w:p w14:paraId="1AB90516">
            <w:pPr>
              <w:spacing w:before="115" w:line="205" w:lineRule="auto"/>
              <w:ind w:left="574"/>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position w:val="-1"/>
                <w:sz w:val="13"/>
                <w:szCs w:val="13"/>
              </w:rPr>
              <w:t>3</w:t>
            </w:r>
          </w:p>
        </w:tc>
        <w:tc>
          <w:tcPr>
            <w:tcW w:w="4665" w:type="dxa"/>
            <w:vAlign w:val="top"/>
          </w:tcPr>
          <w:p w14:paraId="6C7E3CD2">
            <w:pPr>
              <w:pStyle w:val="6"/>
              <w:spacing w:before="79" w:line="228" w:lineRule="auto"/>
              <w:ind w:left="1501"/>
              <w:rPr>
                <w:sz w:val="20"/>
                <w:szCs w:val="20"/>
              </w:rPr>
            </w:pPr>
            <w:r>
              <w:rPr>
                <w:spacing w:val="8"/>
                <w:sz w:val="20"/>
                <w:szCs w:val="20"/>
              </w:rPr>
              <w:t>设备检修、保养等</w:t>
            </w:r>
          </w:p>
        </w:tc>
        <w:tc>
          <w:tcPr>
            <w:tcW w:w="5558" w:type="dxa"/>
            <w:vAlign w:val="top"/>
          </w:tcPr>
          <w:p w14:paraId="66ADF085">
            <w:pPr>
              <w:pStyle w:val="6"/>
              <w:spacing w:before="79" w:line="228" w:lineRule="auto"/>
              <w:ind w:left="1103"/>
              <w:rPr>
                <w:sz w:val="20"/>
                <w:szCs w:val="20"/>
              </w:rPr>
            </w:pPr>
            <w:r>
              <w:rPr>
                <w:spacing w:val="9"/>
                <w:sz w:val="20"/>
                <w:szCs w:val="20"/>
              </w:rPr>
              <w:t>废液压油、废润滑油、废变压器油等</w:t>
            </w:r>
          </w:p>
        </w:tc>
        <w:tc>
          <w:tcPr>
            <w:tcW w:w="6091" w:type="dxa"/>
            <w:tcBorders>
              <w:right w:val="nil"/>
            </w:tcBorders>
            <w:vAlign w:val="top"/>
          </w:tcPr>
          <w:p w14:paraId="7DE0053C">
            <w:pPr>
              <w:pStyle w:val="6"/>
              <w:spacing w:before="80" w:line="227" w:lineRule="auto"/>
              <w:ind w:left="1895"/>
              <w:rPr>
                <w:sz w:val="20"/>
                <w:szCs w:val="20"/>
              </w:rPr>
            </w:pPr>
            <w:r>
              <w:rPr>
                <w:spacing w:val="9"/>
                <w:sz w:val="20"/>
                <w:szCs w:val="20"/>
              </w:rPr>
              <w:t>作为厂区机械设备润滑油</w:t>
            </w:r>
          </w:p>
        </w:tc>
      </w:tr>
      <w:tr w14:paraId="0AFDF4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765" w:type="dxa"/>
            <w:tcBorders>
              <w:top w:val="nil"/>
              <w:left w:val="nil"/>
              <w:bottom w:val="nil"/>
            </w:tcBorders>
            <w:vAlign w:val="top"/>
          </w:tcPr>
          <w:p w14:paraId="2FB6FB24">
            <w:pPr>
              <w:rPr>
                <w:rFonts w:ascii="Arial"/>
                <w:sz w:val="21"/>
              </w:rPr>
            </w:pPr>
          </w:p>
        </w:tc>
        <w:tc>
          <w:tcPr>
            <w:tcW w:w="2599" w:type="dxa"/>
            <w:vAlign w:val="top"/>
          </w:tcPr>
          <w:p w14:paraId="35DD513E">
            <w:pPr>
              <w:pStyle w:val="6"/>
              <w:spacing w:before="84" w:line="226" w:lineRule="auto"/>
              <w:ind w:left="885"/>
              <w:rPr>
                <w:sz w:val="20"/>
                <w:szCs w:val="20"/>
              </w:rPr>
            </w:pPr>
            <w:r>
              <w:rPr>
                <w:spacing w:val="6"/>
                <w:sz w:val="20"/>
                <w:szCs w:val="20"/>
              </w:rPr>
              <w:t>生活垃圾</w:t>
            </w:r>
          </w:p>
        </w:tc>
        <w:tc>
          <w:tcPr>
            <w:tcW w:w="1311" w:type="dxa"/>
            <w:vAlign w:val="top"/>
          </w:tcPr>
          <w:p w14:paraId="6FF7B1C8">
            <w:pPr>
              <w:spacing w:before="120" w:line="202" w:lineRule="auto"/>
              <w:ind w:left="574"/>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position w:val="-1"/>
                <w:sz w:val="13"/>
                <w:szCs w:val="13"/>
              </w:rPr>
              <w:t>4</w:t>
            </w:r>
          </w:p>
        </w:tc>
        <w:tc>
          <w:tcPr>
            <w:tcW w:w="4665" w:type="dxa"/>
            <w:vAlign w:val="top"/>
          </w:tcPr>
          <w:p w14:paraId="460E4F34">
            <w:pPr>
              <w:pStyle w:val="6"/>
              <w:spacing w:before="84" w:line="226" w:lineRule="auto"/>
              <w:ind w:left="1707"/>
              <w:rPr>
                <w:sz w:val="20"/>
                <w:szCs w:val="20"/>
              </w:rPr>
            </w:pPr>
            <w:r>
              <w:rPr>
                <w:spacing w:val="8"/>
                <w:sz w:val="20"/>
                <w:szCs w:val="20"/>
              </w:rPr>
              <w:t>职工日常生活</w:t>
            </w:r>
          </w:p>
        </w:tc>
        <w:tc>
          <w:tcPr>
            <w:tcW w:w="5558" w:type="dxa"/>
            <w:vAlign w:val="top"/>
          </w:tcPr>
          <w:p w14:paraId="2ACE7C55">
            <w:pPr>
              <w:pStyle w:val="6"/>
              <w:spacing w:before="84" w:line="226" w:lineRule="auto"/>
              <w:ind w:left="1946"/>
              <w:rPr>
                <w:sz w:val="20"/>
                <w:szCs w:val="20"/>
              </w:rPr>
            </w:pPr>
            <w:r>
              <w:rPr>
                <w:spacing w:val="8"/>
                <w:sz w:val="20"/>
                <w:szCs w:val="20"/>
              </w:rPr>
              <w:t>纸张、食物残渣等</w:t>
            </w:r>
          </w:p>
        </w:tc>
        <w:tc>
          <w:tcPr>
            <w:tcW w:w="6091" w:type="dxa"/>
            <w:tcBorders>
              <w:right w:val="nil"/>
            </w:tcBorders>
            <w:vAlign w:val="top"/>
          </w:tcPr>
          <w:p w14:paraId="1167BF38">
            <w:pPr>
              <w:pStyle w:val="6"/>
              <w:spacing w:before="84" w:line="226" w:lineRule="auto"/>
              <w:ind w:left="954"/>
              <w:rPr>
                <w:sz w:val="20"/>
                <w:szCs w:val="20"/>
              </w:rPr>
            </w:pPr>
            <w:r>
              <w:rPr>
                <w:spacing w:val="9"/>
                <w:sz w:val="20"/>
                <w:szCs w:val="20"/>
              </w:rPr>
              <w:t>厂区内集中收集，委托当地环卫部门定期清理</w:t>
            </w:r>
          </w:p>
        </w:tc>
      </w:tr>
      <w:tr w14:paraId="7AF6B8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765" w:type="dxa"/>
            <w:tcBorders>
              <w:top w:val="nil"/>
              <w:left w:val="nil"/>
              <w:bottom w:val="nil"/>
            </w:tcBorders>
            <w:vAlign w:val="top"/>
          </w:tcPr>
          <w:p w14:paraId="7B5B64E3">
            <w:pPr>
              <w:rPr>
                <w:rFonts w:ascii="Arial"/>
                <w:sz w:val="21"/>
              </w:rPr>
            </w:pPr>
          </w:p>
        </w:tc>
        <w:tc>
          <w:tcPr>
            <w:tcW w:w="2599" w:type="dxa"/>
            <w:vAlign w:val="top"/>
          </w:tcPr>
          <w:p w14:paraId="26319EA0">
            <w:pPr>
              <w:pStyle w:val="6"/>
              <w:spacing w:before="86" w:line="224" w:lineRule="auto"/>
              <w:ind w:left="568"/>
              <w:rPr>
                <w:sz w:val="20"/>
                <w:szCs w:val="20"/>
              </w:rPr>
            </w:pPr>
            <w:r>
              <w:rPr>
                <w:spacing w:val="8"/>
                <w:sz w:val="20"/>
                <w:szCs w:val="20"/>
              </w:rPr>
              <w:t>废离子交换树脂</w:t>
            </w:r>
          </w:p>
        </w:tc>
        <w:tc>
          <w:tcPr>
            <w:tcW w:w="1311" w:type="dxa"/>
            <w:vAlign w:val="top"/>
          </w:tcPr>
          <w:p w14:paraId="52F3F32A">
            <w:pPr>
              <w:spacing w:before="121" w:line="202" w:lineRule="auto"/>
              <w:ind w:left="574"/>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position w:val="-1"/>
                <w:sz w:val="13"/>
                <w:szCs w:val="13"/>
              </w:rPr>
              <w:t>5</w:t>
            </w:r>
          </w:p>
        </w:tc>
        <w:tc>
          <w:tcPr>
            <w:tcW w:w="4665" w:type="dxa"/>
            <w:vAlign w:val="top"/>
          </w:tcPr>
          <w:p w14:paraId="6067E486">
            <w:pPr>
              <w:pStyle w:val="6"/>
              <w:spacing w:before="86" w:line="224" w:lineRule="auto"/>
              <w:ind w:left="1709"/>
              <w:rPr>
                <w:sz w:val="20"/>
                <w:szCs w:val="20"/>
              </w:rPr>
            </w:pPr>
            <w:r>
              <w:rPr>
                <w:spacing w:val="7"/>
                <w:sz w:val="20"/>
                <w:szCs w:val="20"/>
              </w:rPr>
              <w:t>软水制备装置</w:t>
            </w:r>
          </w:p>
        </w:tc>
        <w:tc>
          <w:tcPr>
            <w:tcW w:w="5558" w:type="dxa"/>
            <w:vAlign w:val="top"/>
          </w:tcPr>
          <w:p w14:paraId="71FEA3E3">
            <w:pPr>
              <w:pStyle w:val="6"/>
              <w:spacing w:before="86" w:line="224" w:lineRule="auto"/>
              <w:ind w:left="2049"/>
              <w:rPr>
                <w:sz w:val="20"/>
                <w:szCs w:val="20"/>
              </w:rPr>
            </w:pPr>
            <w:r>
              <w:rPr>
                <w:spacing w:val="8"/>
                <w:sz w:val="20"/>
                <w:szCs w:val="20"/>
              </w:rPr>
              <w:t>废离子交换树脂</w:t>
            </w:r>
          </w:p>
        </w:tc>
        <w:tc>
          <w:tcPr>
            <w:tcW w:w="6091" w:type="dxa"/>
            <w:tcBorders>
              <w:right w:val="nil"/>
            </w:tcBorders>
            <w:vAlign w:val="top"/>
          </w:tcPr>
          <w:p w14:paraId="54CF5073">
            <w:pPr>
              <w:pStyle w:val="6"/>
              <w:spacing w:before="86" w:line="224" w:lineRule="auto"/>
              <w:ind w:left="2236"/>
              <w:rPr>
                <w:sz w:val="20"/>
                <w:szCs w:val="20"/>
              </w:rPr>
            </w:pPr>
            <w:r>
              <w:rPr>
                <w:spacing w:val="5"/>
                <w:sz w:val="20"/>
                <w:szCs w:val="20"/>
              </w:rPr>
              <w:t>由其生产厂家回收</w:t>
            </w:r>
          </w:p>
        </w:tc>
      </w:tr>
      <w:tr w14:paraId="49C220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765" w:type="dxa"/>
            <w:tcBorders>
              <w:top w:val="nil"/>
              <w:left w:val="nil"/>
              <w:bottom w:val="nil"/>
            </w:tcBorders>
            <w:vAlign w:val="top"/>
          </w:tcPr>
          <w:p w14:paraId="6FF35629">
            <w:pPr>
              <w:rPr>
                <w:rFonts w:ascii="Arial"/>
                <w:sz w:val="21"/>
              </w:rPr>
            </w:pPr>
          </w:p>
        </w:tc>
        <w:tc>
          <w:tcPr>
            <w:tcW w:w="2599" w:type="dxa"/>
            <w:vAlign w:val="top"/>
          </w:tcPr>
          <w:p w14:paraId="1EFA2375">
            <w:pPr>
              <w:pStyle w:val="6"/>
              <w:spacing w:before="87" w:line="223" w:lineRule="auto"/>
              <w:ind w:left="882"/>
              <w:rPr>
                <w:sz w:val="20"/>
                <w:szCs w:val="20"/>
              </w:rPr>
            </w:pPr>
            <w:r>
              <w:rPr>
                <w:spacing w:val="7"/>
                <w:sz w:val="20"/>
                <w:szCs w:val="20"/>
              </w:rPr>
              <w:t>废分子筛</w:t>
            </w:r>
          </w:p>
        </w:tc>
        <w:tc>
          <w:tcPr>
            <w:tcW w:w="1311" w:type="dxa"/>
            <w:vAlign w:val="top"/>
          </w:tcPr>
          <w:p w14:paraId="0849C6AB">
            <w:pPr>
              <w:spacing w:before="123" w:line="202" w:lineRule="auto"/>
              <w:ind w:left="574"/>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position w:val="-1"/>
                <w:sz w:val="13"/>
                <w:szCs w:val="13"/>
              </w:rPr>
              <w:t>6</w:t>
            </w:r>
          </w:p>
        </w:tc>
        <w:tc>
          <w:tcPr>
            <w:tcW w:w="4665" w:type="dxa"/>
            <w:vAlign w:val="top"/>
          </w:tcPr>
          <w:p w14:paraId="77199752">
            <w:pPr>
              <w:pStyle w:val="6"/>
              <w:spacing w:before="87" w:line="223" w:lineRule="auto"/>
              <w:ind w:left="2024"/>
              <w:rPr>
                <w:sz w:val="20"/>
                <w:szCs w:val="20"/>
              </w:rPr>
            </w:pPr>
            <w:r>
              <w:rPr>
                <w:spacing w:val="6"/>
                <w:sz w:val="20"/>
                <w:szCs w:val="20"/>
              </w:rPr>
              <w:t>制氮站</w:t>
            </w:r>
          </w:p>
        </w:tc>
        <w:tc>
          <w:tcPr>
            <w:tcW w:w="5558" w:type="dxa"/>
            <w:vAlign w:val="top"/>
          </w:tcPr>
          <w:p w14:paraId="215E7A8D">
            <w:pPr>
              <w:pStyle w:val="6"/>
              <w:spacing w:before="87" w:line="223" w:lineRule="auto"/>
              <w:ind w:left="2471"/>
              <w:rPr>
                <w:sz w:val="20"/>
                <w:szCs w:val="20"/>
              </w:rPr>
            </w:pPr>
            <w:r>
              <w:rPr>
                <w:spacing w:val="6"/>
                <w:sz w:val="20"/>
                <w:szCs w:val="20"/>
              </w:rPr>
              <w:t>沸石等</w:t>
            </w:r>
          </w:p>
        </w:tc>
        <w:tc>
          <w:tcPr>
            <w:tcW w:w="6091" w:type="dxa"/>
            <w:tcBorders>
              <w:right w:val="nil"/>
            </w:tcBorders>
            <w:vAlign w:val="top"/>
          </w:tcPr>
          <w:p w14:paraId="17006424">
            <w:pPr>
              <w:pStyle w:val="6"/>
              <w:spacing w:before="87" w:line="223" w:lineRule="auto"/>
              <w:ind w:left="2236"/>
              <w:rPr>
                <w:sz w:val="20"/>
                <w:szCs w:val="20"/>
              </w:rPr>
            </w:pPr>
            <w:r>
              <w:rPr>
                <w:spacing w:val="5"/>
                <w:sz w:val="20"/>
                <w:szCs w:val="20"/>
              </w:rPr>
              <w:t>由其生产厂家回收</w:t>
            </w:r>
          </w:p>
        </w:tc>
      </w:tr>
      <w:tr w14:paraId="50DE43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8" w:hRule="atLeast"/>
        </w:trPr>
        <w:tc>
          <w:tcPr>
            <w:tcW w:w="765" w:type="dxa"/>
            <w:tcBorders>
              <w:top w:val="nil"/>
              <w:left w:val="nil"/>
            </w:tcBorders>
            <w:vAlign w:val="top"/>
          </w:tcPr>
          <w:p w14:paraId="011E4137">
            <w:pPr>
              <w:rPr>
                <w:rFonts w:ascii="Arial"/>
                <w:sz w:val="21"/>
              </w:rPr>
            </w:pPr>
          </w:p>
        </w:tc>
        <w:tc>
          <w:tcPr>
            <w:tcW w:w="2599" w:type="dxa"/>
            <w:vAlign w:val="top"/>
          </w:tcPr>
          <w:p w14:paraId="30EF3A50">
            <w:pPr>
              <w:pStyle w:val="6"/>
              <w:spacing w:before="250" w:line="228" w:lineRule="auto"/>
              <w:ind w:left="781"/>
              <w:rPr>
                <w:sz w:val="20"/>
                <w:szCs w:val="20"/>
              </w:rPr>
            </w:pPr>
            <w:r>
              <w:rPr>
                <w:spacing w:val="7"/>
                <w:sz w:val="20"/>
                <w:szCs w:val="20"/>
              </w:rPr>
              <w:t>化验室废液</w:t>
            </w:r>
          </w:p>
        </w:tc>
        <w:tc>
          <w:tcPr>
            <w:tcW w:w="1311" w:type="dxa"/>
            <w:vAlign w:val="top"/>
          </w:tcPr>
          <w:p w14:paraId="39C3E277">
            <w:pPr>
              <w:spacing w:before="285" w:line="202" w:lineRule="auto"/>
              <w:ind w:left="574"/>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position w:val="-1"/>
                <w:sz w:val="13"/>
                <w:szCs w:val="13"/>
              </w:rPr>
              <w:t>7</w:t>
            </w:r>
          </w:p>
        </w:tc>
        <w:tc>
          <w:tcPr>
            <w:tcW w:w="4665" w:type="dxa"/>
            <w:vAlign w:val="top"/>
          </w:tcPr>
          <w:p w14:paraId="5E287E72">
            <w:pPr>
              <w:pStyle w:val="6"/>
              <w:spacing w:before="249" w:line="228" w:lineRule="auto"/>
              <w:ind w:left="1603"/>
              <w:rPr>
                <w:sz w:val="20"/>
                <w:szCs w:val="20"/>
              </w:rPr>
            </w:pPr>
            <w:r>
              <w:rPr>
                <w:spacing w:val="8"/>
                <w:sz w:val="20"/>
                <w:szCs w:val="20"/>
              </w:rPr>
              <w:t>集控化验中心楼</w:t>
            </w:r>
          </w:p>
        </w:tc>
        <w:tc>
          <w:tcPr>
            <w:tcW w:w="5558" w:type="dxa"/>
            <w:vAlign w:val="top"/>
          </w:tcPr>
          <w:p w14:paraId="531C7E61">
            <w:pPr>
              <w:pStyle w:val="6"/>
              <w:spacing w:before="89" w:line="258" w:lineRule="auto"/>
              <w:ind w:left="20" w:right="13"/>
              <w:rPr>
                <w:sz w:val="20"/>
                <w:szCs w:val="20"/>
              </w:rPr>
            </w:pPr>
            <w:r>
              <w:rPr>
                <w:spacing w:val="12"/>
                <w:sz w:val="20"/>
                <w:szCs w:val="20"/>
              </w:rPr>
              <w:t>检验废液（包含各种化学废液、含有化学试剂的废水）、含</w:t>
            </w:r>
            <w:r>
              <w:rPr>
                <w:spacing w:val="6"/>
                <w:sz w:val="20"/>
                <w:szCs w:val="20"/>
              </w:rPr>
              <w:t xml:space="preserve"> </w:t>
            </w:r>
            <w:r>
              <w:rPr>
                <w:spacing w:val="9"/>
                <w:sz w:val="20"/>
                <w:szCs w:val="20"/>
              </w:rPr>
              <w:t>重金属清洗废水及高浓度清洗废水</w:t>
            </w:r>
          </w:p>
        </w:tc>
        <w:tc>
          <w:tcPr>
            <w:tcW w:w="6091" w:type="dxa"/>
            <w:tcBorders>
              <w:right w:val="nil"/>
            </w:tcBorders>
            <w:vAlign w:val="top"/>
          </w:tcPr>
          <w:p w14:paraId="6D6D4075">
            <w:pPr>
              <w:pStyle w:val="6"/>
              <w:spacing w:before="249" w:line="228" w:lineRule="auto"/>
              <w:ind w:left="740"/>
              <w:rPr>
                <w:sz w:val="20"/>
                <w:szCs w:val="20"/>
              </w:rPr>
            </w:pPr>
            <w:r>
              <w:rPr>
                <w:spacing w:val="9"/>
                <w:sz w:val="20"/>
                <w:szCs w:val="20"/>
              </w:rPr>
              <w:t>集中收集到于密闭容器内，定期交由资质单位处理</w:t>
            </w:r>
          </w:p>
        </w:tc>
      </w:tr>
      <w:tr w14:paraId="71E69F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765" w:type="dxa"/>
            <w:tcBorders>
              <w:left w:val="nil"/>
              <w:bottom w:val="single" w:color="000000" w:sz="10" w:space="0"/>
            </w:tcBorders>
            <w:vAlign w:val="top"/>
          </w:tcPr>
          <w:p w14:paraId="09F9F41E">
            <w:pPr>
              <w:pStyle w:val="6"/>
              <w:spacing w:before="93" w:line="228" w:lineRule="auto"/>
              <w:ind w:left="189"/>
              <w:rPr>
                <w:sz w:val="20"/>
                <w:szCs w:val="20"/>
              </w:rPr>
            </w:pPr>
            <w:r>
              <w:rPr>
                <w:spacing w:val="-1"/>
                <w:sz w:val="20"/>
                <w:szCs w:val="20"/>
              </w:rPr>
              <w:t>噪声</w:t>
            </w:r>
          </w:p>
        </w:tc>
        <w:tc>
          <w:tcPr>
            <w:tcW w:w="2599" w:type="dxa"/>
            <w:tcBorders>
              <w:bottom w:val="single" w:color="000000" w:sz="10" w:space="0"/>
            </w:tcBorders>
            <w:vAlign w:val="top"/>
          </w:tcPr>
          <w:p w14:paraId="1D880CDE">
            <w:pPr>
              <w:pStyle w:val="6"/>
              <w:spacing w:before="93" w:line="228" w:lineRule="auto"/>
              <w:ind w:left="1104"/>
              <w:rPr>
                <w:sz w:val="20"/>
                <w:szCs w:val="20"/>
              </w:rPr>
            </w:pPr>
            <w:r>
              <w:rPr>
                <w:spacing w:val="-1"/>
                <w:sz w:val="20"/>
                <w:szCs w:val="20"/>
              </w:rPr>
              <w:t>噪声</w:t>
            </w:r>
          </w:p>
        </w:tc>
        <w:tc>
          <w:tcPr>
            <w:tcW w:w="1311" w:type="dxa"/>
            <w:tcBorders>
              <w:bottom w:val="single" w:color="000000" w:sz="10" w:space="0"/>
            </w:tcBorders>
            <w:vAlign w:val="top"/>
          </w:tcPr>
          <w:p w14:paraId="5D114BF5">
            <w:pPr>
              <w:spacing w:before="125" w:line="199" w:lineRule="auto"/>
              <w:ind w:left="6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4665" w:type="dxa"/>
            <w:tcBorders>
              <w:bottom w:val="single" w:color="000000" w:sz="10" w:space="0"/>
            </w:tcBorders>
            <w:vAlign w:val="top"/>
          </w:tcPr>
          <w:p w14:paraId="396FCAFE">
            <w:pPr>
              <w:pStyle w:val="6"/>
              <w:spacing w:before="92" w:line="228" w:lineRule="auto"/>
              <w:ind w:left="1395"/>
              <w:rPr>
                <w:sz w:val="20"/>
                <w:szCs w:val="20"/>
              </w:rPr>
            </w:pPr>
            <w:r>
              <w:rPr>
                <w:spacing w:val="8"/>
                <w:sz w:val="20"/>
                <w:szCs w:val="20"/>
              </w:rPr>
              <w:t>设备运转、运输噪声</w:t>
            </w:r>
          </w:p>
        </w:tc>
        <w:tc>
          <w:tcPr>
            <w:tcW w:w="5558" w:type="dxa"/>
            <w:tcBorders>
              <w:bottom w:val="single" w:color="000000" w:sz="10" w:space="0"/>
            </w:tcBorders>
            <w:vAlign w:val="top"/>
          </w:tcPr>
          <w:p w14:paraId="75B2C7E5">
            <w:pPr>
              <w:pStyle w:val="6"/>
              <w:spacing w:before="92" w:line="228" w:lineRule="auto"/>
              <w:ind w:left="1816"/>
              <w:rPr>
                <w:sz w:val="20"/>
                <w:szCs w:val="20"/>
              </w:rPr>
            </w:pPr>
            <w:r>
              <w:rPr>
                <w:spacing w:val="6"/>
                <w:sz w:val="20"/>
                <w:szCs w:val="20"/>
              </w:rPr>
              <w:t>连续等效噪声</w:t>
            </w:r>
            <w:r>
              <w:rPr>
                <w:spacing w:val="-40"/>
                <w:sz w:val="20"/>
                <w:szCs w:val="20"/>
              </w:rPr>
              <w:t xml:space="preserve"> </w:t>
            </w:r>
            <w:r>
              <w:rPr>
                <w:rFonts w:ascii="Times New Roman" w:hAnsi="Times New Roman" w:eastAsia="Times New Roman" w:cs="Times New Roman"/>
                <w:spacing w:val="6"/>
                <w:sz w:val="20"/>
                <w:szCs w:val="20"/>
              </w:rPr>
              <w:t>A</w:t>
            </w:r>
            <w:r>
              <w:rPr>
                <w:rFonts w:ascii="Times New Roman" w:hAnsi="Times New Roman" w:eastAsia="Times New Roman" w:cs="Times New Roman"/>
                <w:spacing w:val="16"/>
                <w:sz w:val="20"/>
                <w:szCs w:val="20"/>
              </w:rPr>
              <w:t xml:space="preserve"> </w:t>
            </w:r>
            <w:r>
              <w:rPr>
                <w:spacing w:val="6"/>
                <w:sz w:val="20"/>
                <w:szCs w:val="20"/>
              </w:rPr>
              <w:t>声级</w:t>
            </w:r>
          </w:p>
        </w:tc>
        <w:tc>
          <w:tcPr>
            <w:tcW w:w="6091" w:type="dxa"/>
            <w:tcBorders>
              <w:bottom w:val="single" w:color="000000" w:sz="10" w:space="0"/>
              <w:right w:val="nil"/>
            </w:tcBorders>
            <w:vAlign w:val="top"/>
          </w:tcPr>
          <w:p w14:paraId="119093CA">
            <w:pPr>
              <w:pStyle w:val="6"/>
              <w:spacing w:before="92" w:line="228" w:lineRule="auto"/>
              <w:ind w:left="1162"/>
              <w:rPr>
                <w:sz w:val="20"/>
                <w:szCs w:val="20"/>
              </w:rPr>
            </w:pPr>
            <w:r>
              <w:rPr>
                <w:spacing w:val="9"/>
                <w:sz w:val="20"/>
                <w:szCs w:val="20"/>
              </w:rPr>
              <w:t>建筑隔声和消声、减振、距离衰减等措施</w:t>
            </w:r>
          </w:p>
        </w:tc>
      </w:tr>
    </w:tbl>
    <w:p w14:paraId="52518575">
      <w:pPr>
        <w:pStyle w:val="2"/>
      </w:pPr>
    </w:p>
    <w:p w14:paraId="0BA8A33C">
      <w:pPr>
        <w:sectPr>
          <w:footerReference r:id="rId147" w:type="default"/>
          <w:pgSz w:w="23814" w:h="16840"/>
          <w:pgMar w:top="1178" w:right="1412" w:bottom="1013" w:left="1411" w:header="870" w:footer="851" w:gutter="0"/>
          <w:cols w:space="720" w:num="1"/>
        </w:sectPr>
      </w:pPr>
    </w:p>
    <w:p w14:paraId="4771AA7E">
      <w:pPr>
        <w:pStyle w:val="2"/>
        <w:spacing w:line="325" w:lineRule="auto"/>
      </w:pPr>
      <w:r>
        <w:pict>
          <v:shape id="_x0000_s1189" o:spid="_x0000_s1189" style="position:absolute;left:0pt;margin-left:5.2pt;margin-top:0.65pt;height:0.75pt;width:697.35pt;z-index:251847680;mso-width-relative:page;mso-height-relative:page;" fillcolor="#000000" filled="t" stroked="f" coordsize="13946,15" path="m0,0l13946,0,13946,14,0,14,0,0xe">
            <v:path/>
            <v:fill on="t" focussize="0,0"/>
            <v:stroke on="f"/>
            <v:imagedata o:title=""/>
            <o:lock v:ext="edit"/>
          </v:shape>
        </w:pict>
      </w:r>
    </w:p>
    <w:p w14:paraId="77303157">
      <w:pPr>
        <w:spacing w:before="91" w:line="221" w:lineRule="auto"/>
        <w:ind w:left="109"/>
        <w:outlineLvl w:val="2"/>
        <w:rPr>
          <w:rFonts w:ascii="宋体" w:hAnsi="宋体" w:eastAsia="宋体" w:cs="宋体"/>
          <w:sz w:val="28"/>
          <w:szCs w:val="28"/>
        </w:rPr>
      </w:pPr>
      <w:bookmarkStart w:id="324" w:name="bookmark116"/>
      <w:bookmarkEnd w:id="324"/>
      <w:r>
        <w:rPr>
          <w:rFonts w:ascii="Times New Roman" w:hAnsi="Times New Roman" w:eastAsia="Times New Roman" w:cs="Times New Roman"/>
          <w:b/>
          <w:bCs/>
          <w:spacing w:val="-2"/>
          <w:sz w:val="28"/>
          <w:szCs w:val="28"/>
        </w:rPr>
        <w:t xml:space="preserve">2.3.2 </w:t>
      </w:r>
      <w:r>
        <w:rPr>
          <w:rFonts w:ascii="宋体" w:hAnsi="宋体" w:eastAsia="宋体" w:cs="宋体"/>
          <w:b/>
          <w:bCs/>
          <w:spacing w:val="-2"/>
          <w:sz w:val="28"/>
          <w:szCs w:val="28"/>
        </w:rPr>
        <w:t>平衡分析</w:t>
      </w:r>
    </w:p>
    <w:p w14:paraId="2A1A8E04">
      <w:pPr>
        <w:spacing w:before="248" w:line="219" w:lineRule="auto"/>
        <w:ind w:left="108"/>
        <w:outlineLvl w:val="3"/>
        <w:rPr>
          <w:rFonts w:ascii="宋体" w:hAnsi="宋体" w:eastAsia="宋体" w:cs="宋体"/>
          <w:sz w:val="24"/>
          <w:szCs w:val="24"/>
        </w:rPr>
      </w:pPr>
      <w:r>
        <w:fldChar w:fldCharType="begin"/>
      </w:r>
      <w:r>
        <w:instrText xml:space="preserve"> HYPERLINK "2.3.2.1" </w:instrText>
      </w:r>
      <w:r>
        <w:fldChar w:fldCharType="separate"/>
      </w:r>
      <w:r>
        <w:rPr>
          <w:rFonts w:ascii="Times New Roman" w:hAnsi="Times New Roman" w:eastAsia="Times New Roman" w:cs="Times New Roman"/>
          <w:b/>
          <w:bCs/>
          <w:spacing w:val="-2"/>
          <w:sz w:val="24"/>
          <w:szCs w:val="24"/>
        </w:rPr>
        <w:t>2.3.2.1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物料及元素平衡分析</w:t>
      </w:r>
    </w:p>
    <w:p w14:paraId="26F0A3E7">
      <w:pPr>
        <w:spacing w:before="197" w:line="219" w:lineRule="auto"/>
        <w:ind w:left="603"/>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）锰硅合金生产物料及元素平衡分析</w:t>
      </w:r>
    </w:p>
    <w:p w14:paraId="75361957">
      <w:pPr>
        <w:spacing w:before="194" w:line="219" w:lineRule="auto"/>
        <w:ind w:left="593"/>
        <w:rPr>
          <w:rFonts w:ascii="宋体" w:hAnsi="宋体" w:eastAsia="宋体" w:cs="宋体"/>
          <w:sz w:val="24"/>
          <w:szCs w:val="24"/>
        </w:rPr>
      </w:pPr>
      <w:r>
        <w:rPr>
          <w:rFonts w:ascii="宋体" w:hAnsi="宋体" w:eastAsia="宋体" w:cs="宋体"/>
          <w:spacing w:val="-1"/>
          <w:sz w:val="24"/>
          <w:szCs w:val="24"/>
        </w:rPr>
        <w:t>本项目锰硅合金烧结及电炉冶炼物料平衡详见表</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w:t>
      </w:r>
      <w:r>
        <w:rPr>
          <w:rFonts w:ascii="Times New Roman" w:hAnsi="Times New Roman" w:eastAsia="Times New Roman" w:cs="Times New Roman"/>
          <w:spacing w:val="-2"/>
          <w:sz w:val="24"/>
          <w:szCs w:val="24"/>
        </w:rPr>
        <w:t>2-3~7</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，图</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2.3-1~3</w:t>
      </w:r>
      <w:r>
        <w:rPr>
          <w:rFonts w:ascii="宋体" w:hAnsi="宋体" w:eastAsia="宋体" w:cs="宋体"/>
          <w:spacing w:val="-2"/>
          <w:sz w:val="24"/>
          <w:szCs w:val="24"/>
        </w:rPr>
        <w:t>。</w:t>
      </w:r>
    </w:p>
    <w:p w14:paraId="2BCEB988">
      <w:pPr>
        <w:spacing w:before="212" w:line="227" w:lineRule="auto"/>
        <w:ind w:left="4089"/>
        <w:rPr>
          <w:rFonts w:ascii="Times New Roman" w:hAnsi="Times New Roman" w:eastAsia="Times New Roman" w:cs="Times New Roman"/>
          <w:sz w:val="20"/>
          <w:szCs w:val="20"/>
        </w:rPr>
      </w:pPr>
      <w:r>
        <w:rPr>
          <w:rFonts w:ascii="宋体" w:hAnsi="宋体" w:eastAsia="宋体" w:cs="宋体"/>
          <w:b/>
          <w:bCs/>
          <w:spacing w:val="6"/>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6"/>
          <w:sz w:val="20"/>
          <w:szCs w:val="20"/>
        </w:rPr>
        <w:t xml:space="preserve">2.2-3        </w:t>
      </w:r>
      <w:r>
        <w:rPr>
          <w:rFonts w:ascii="宋体" w:hAnsi="宋体" w:eastAsia="宋体" w:cs="宋体"/>
          <w:b/>
          <w:bCs/>
          <w:spacing w:val="6"/>
          <w:sz w:val="20"/>
          <w:szCs w:val="20"/>
        </w:rPr>
        <w:t>锰矿石烘干工序物料及元素平衡分析表</w:t>
      </w:r>
      <w:r>
        <w:rPr>
          <w:rFonts w:ascii="宋体" w:hAnsi="宋体" w:eastAsia="宋体" w:cs="宋体"/>
          <w:spacing w:val="6"/>
          <w:sz w:val="20"/>
          <w:szCs w:val="20"/>
        </w:rPr>
        <w:t xml:space="preserve">    </w:t>
      </w:r>
      <w:r>
        <w:rPr>
          <w:rFonts w:ascii="宋体" w:hAnsi="宋体" w:eastAsia="宋体" w:cs="宋体"/>
          <w:b/>
          <w:bCs/>
          <w:spacing w:val="5"/>
          <w:sz w:val="20"/>
          <w:szCs w:val="20"/>
        </w:rPr>
        <w:t>单位：</w:t>
      </w:r>
      <w:r>
        <w:rPr>
          <w:rFonts w:ascii="Times New Roman" w:hAnsi="Times New Roman" w:eastAsia="Times New Roman" w:cs="Times New Roman"/>
          <w:b/>
          <w:bCs/>
          <w:spacing w:val="5"/>
          <w:sz w:val="20"/>
          <w:szCs w:val="20"/>
        </w:rPr>
        <w:t>t/a</w:t>
      </w:r>
    </w:p>
    <w:p w14:paraId="20539DE3">
      <w:pPr>
        <w:spacing w:line="99" w:lineRule="exact"/>
      </w:pPr>
    </w:p>
    <w:tbl>
      <w:tblPr>
        <w:tblStyle w:val="5"/>
        <w:tblW w:w="1415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09"/>
        <w:gridCol w:w="2427"/>
        <w:gridCol w:w="1626"/>
        <w:gridCol w:w="1311"/>
        <w:gridCol w:w="1176"/>
        <w:gridCol w:w="688"/>
        <w:gridCol w:w="2112"/>
        <w:gridCol w:w="1498"/>
        <w:gridCol w:w="1274"/>
        <w:gridCol w:w="1333"/>
      </w:tblGrid>
      <w:tr w14:paraId="2375E9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1" w:hRule="atLeast"/>
        </w:trPr>
        <w:tc>
          <w:tcPr>
            <w:tcW w:w="709" w:type="dxa"/>
            <w:tcBorders>
              <w:top w:val="single" w:color="000000" w:sz="10" w:space="0"/>
              <w:left w:val="nil"/>
            </w:tcBorders>
            <w:vAlign w:val="top"/>
          </w:tcPr>
          <w:p w14:paraId="0D8D85CC">
            <w:pPr>
              <w:pStyle w:val="6"/>
              <w:spacing w:before="71" w:line="229" w:lineRule="auto"/>
              <w:ind w:left="151"/>
              <w:rPr>
                <w:sz w:val="20"/>
                <w:szCs w:val="20"/>
              </w:rPr>
            </w:pPr>
            <w:r>
              <w:rPr>
                <w:b/>
                <w:bCs/>
                <w:spacing w:val="4"/>
                <w:sz w:val="20"/>
                <w:szCs w:val="20"/>
              </w:rPr>
              <w:t>序号</w:t>
            </w:r>
          </w:p>
        </w:tc>
        <w:tc>
          <w:tcPr>
            <w:tcW w:w="2427" w:type="dxa"/>
            <w:tcBorders>
              <w:top w:val="single" w:color="000000" w:sz="10" w:space="0"/>
            </w:tcBorders>
            <w:vAlign w:val="top"/>
          </w:tcPr>
          <w:p w14:paraId="030557C9">
            <w:pPr>
              <w:pStyle w:val="6"/>
              <w:spacing w:before="71" w:line="228" w:lineRule="auto"/>
              <w:ind w:left="794"/>
              <w:rPr>
                <w:sz w:val="20"/>
                <w:szCs w:val="20"/>
              </w:rPr>
            </w:pPr>
            <w:r>
              <w:rPr>
                <w:b/>
                <w:bCs/>
                <w:spacing w:val="6"/>
                <w:sz w:val="20"/>
                <w:szCs w:val="20"/>
              </w:rPr>
              <w:t>进料名称</w:t>
            </w:r>
          </w:p>
        </w:tc>
        <w:tc>
          <w:tcPr>
            <w:tcW w:w="1626" w:type="dxa"/>
            <w:tcBorders>
              <w:top w:val="single" w:color="000000" w:sz="10" w:space="0"/>
            </w:tcBorders>
            <w:vAlign w:val="top"/>
          </w:tcPr>
          <w:p w14:paraId="65E5F312">
            <w:pPr>
              <w:pStyle w:val="6"/>
              <w:spacing w:before="71" w:line="228" w:lineRule="auto"/>
              <w:ind w:left="172"/>
              <w:rPr>
                <w:sz w:val="20"/>
                <w:szCs w:val="20"/>
              </w:rPr>
            </w:pPr>
            <w:r>
              <w:rPr>
                <w:b/>
                <w:bCs/>
                <w:spacing w:val="4"/>
                <w:sz w:val="20"/>
                <w:szCs w:val="20"/>
              </w:rPr>
              <w:t>进料量（</w:t>
            </w:r>
            <w:r>
              <w:rPr>
                <w:rFonts w:ascii="Times New Roman" w:hAnsi="Times New Roman" w:eastAsia="Times New Roman" w:cs="Times New Roman"/>
                <w:b/>
                <w:bCs/>
                <w:spacing w:val="4"/>
                <w:sz w:val="20"/>
                <w:szCs w:val="20"/>
              </w:rPr>
              <w:t>t/a</w:t>
            </w:r>
            <w:r>
              <w:rPr>
                <w:b/>
                <w:bCs/>
                <w:spacing w:val="4"/>
                <w:sz w:val="20"/>
                <w:szCs w:val="20"/>
              </w:rPr>
              <w:t>）</w:t>
            </w:r>
          </w:p>
        </w:tc>
        <w:tc>
          <w:tcPr>
            <w:tcW w:w="1311" w:type="dxa"/>
            <w:tcBorders>
              <w:top w:val="single" w:color="000000" w:sz="10" w:space="0"/>
            </w:tcBorders>
            <w:vAlign w:val="top"/>
          </w:tcPr>
          <w:p w14:paraId="626A875A">
            <w:pPr>
              <w:pStyle w:val="6"/>
              <w:spacing w:before="71" w:line="228" w:lineRule="auto"/>
              <w:ind w:right="12"/>
              <w:jc w:val="right"/>
              <w:rPr>
                <w:sz w:val="20"/>
                <w:szCs w:val="20"/>
              </w:rPr>
            </w:pPr>
            <w:r>
              <w:rPr>
                <w:b/>
                <w:bCs/>
                <w:spacing w:val="-5"/>
                <w:sz w:val="20"/>
                <w:szCs w:val="20"/>
              </w:rPr>
              <w:t>含锰率（</w:t>
            </w:r>
            <w:r>
              <w:rPr>
                <w:rFonts w:ascii="Times New Roman" w:hAnsi="Times New Roman" w:eastAsia="Times New Roman" w:cs="Times New Roman"/>
                <w:b/>
                <w:bCs/>
                <w:spacing w:val="-5"/>
                <w:sz w:val="20"/>
                <w:szCs w:val="20"/>
              </w:rPr>
              <w:t>%</w:t>
            </w:r>
            <w:r>
              <w:rPr>
                <w:b/>
                <w:bCs/>
                <w:spacing w:val="-5"/>
                <w:sz w:val="20"/>
                <w:szCs w:val="20"/>
              </w:rPr>
              <w:t>）</w:t>
            </w:r>
          </w:p>
        </w:tc>
        <w:tc>
          <w:tcPr>
            <w:tcW w:w="1176" w:type="dxa"/>
            <w:tcBorders>
              <w:top w:val="single" w:color="000000" w:sz="10" w:space="0"/>
            </w:tcBorders>
            <w:vAlign w:val="top"/>
          </w:tcPr>
          <w:p w14:paraId="45189FB5">
            <w:pPr>
              <w:pStyle w:val="6"/>
              <w:spacing w:before="71" w:line="228" w:lineRule="auto"/>
              <w:ind w:left="278"/>
              <w:rPr>
                <w:sz w:val="20"/>
                <w:szCs w:val="20"/>
              </w:rPr>
            </w:pPr>
            <w:r>
              <w:rPr>
                <w:b/>
                <w:bCs/>
                <w:spacing w:val="5"/>
                <w:sz w:val="20"/>
                <w:szCs w:val="20"/>
              </w:rPr>
              <w:t>含锰量</w:t>
            </w:r>
          </w:p>
        </w:tc>
        <w:tc>
          <w:tcPr>
            <w:tcW w:w="688" w:type="dxa"/>
            <w:tcBorders>
              <w:top w:val="single" w:color="000000" w:sz="10" w:space="0"/>
            </w:tcBorders>
            <w:vAlign w:val="top"/>
          </w:tcPr>
          <w:p w14:paraId="7DEF5427">
            <w:pPr>
              <w:pStyle w:val="6"/>
              <w:spacing w:before="71" w:line="229" w:lineRule="auto"/>
              <w:ind w:left="137"/>
              <w:rPr>
                <w:sz w:val="20"/>
                <w:szCs w:val="20"/>
              </w:rPr>
            </w:pPr>
            <w:r>
              <w:rPr>
                <w:b/>
                <w:bCs/>
                <w:spacing w:val="4"/>
                <w:sz w:val="20"/>
                <w:szCs w:val="20"/>
              </w:rPr>
              <w:t>序号</w:t>
            </w:r>
          </w:p>
        </w:tc>
        <w:tc>
          <w:tcPr>
            <w:tcW w:w="2112" w:type="dxa"/>
            <w:tcBorders>
              <w:top w:val="single" w:color="000000" w:sz="10" w:space="0"/>
            </w:tcBorders>
            <w:vAlign w:val="top"/>
          </w:tcPr>
          <w:p w14:paraId="63846EFD">
            <w:pPr>
              <w:pStyle w:val="6"/>
              <w:spacing w:before="71" w:line="228" w:lineRule="auto"/>
              <w:ind w:left="659"/>
              <w:rPr>
                <w:sz w:val="20"/>
                <w:szCs w:val="20"/>
              </w:rPr>
            </w:pPr>
            <w:r>
              <w:rPr>
                <w:b/>
                <w:bCs/>
                <w:spacing w:val="2"/>
                <w:sz w:val="20"/>
                <w:szCs w:val="20"/>
              </w:rPr>
              <w:t>出料名称</w:t>
            </w:r>
          </w:p>
        </w:tc>
        <w:tc>
          <w:tcPr>
            <w:tcW w:w="1498" w:type="dxa"/>
            <w:tcBorders>
              <w:top w:val="single" w:color="000000" w:sz="10" w:space="0"/>
            </w:tcBorders>
            <w:vAlign w:val="top"/>
          </w:tcPr>
          <w:p w14:paraId="79AFA773">
            <w:pPr>
              <w:pStyle w:val="6"/>
              <w:spacing w:before="71" w:line="228" w:lineRule="auto"/>
              <w:ind w:left="133"/>
              <w:rPr>
                <w:sz w:val="20"/>
                <w:szCs w:val="20"/>
              </w:rPr>
            </w:pPr>
            <w:r>
              <w:rPr>
                <w:b/>
                <w:bCs/>
                <w:spacing w:val="1"/>
                <w:sz w:val="20"/>
                <w:szCs w:val="20"/>
              </w:rPr>
              <w:t>出料量（</w:t>
            </w:r>
            <w:r>
              <w:rPr>
                <w:rFonts w:ascii="Times New Roman" w:hAnsi="Times New Roman" w:eastAsia="Times New Roman" w:cs="Times New Roman"/>
                <w:b/>
                <w:bCs/>
                <w:spacing w:val="1"/>
                <w:sz w:val="20"/>
                <w:szCs w:val="20"/>
              </w:rPr>
              <w:t>t/a</w:t>
            </w:r>
            <w:r>
              <w:rPr>
                <w:b/>
                <w:bCs/>
                <w:spacing w:val="1"/>
                <w:sz w:val="20"/>
                <w:szCs w:val="20"/>
              </w:rPr>
              <w:t>）</w:t>
            </w:r>
          </w:p>
        </w:tc>
        <w:tc>
          <w:tcPr>
            <w:tcW w:w="1274" w:type="dxa"/>
            <w:tcBorders>
              <w:top w:val="single" w:color="000000" w:sz="10" w:space="0"/>
            </w:tcBorders>
            <w:vAlign w:val="top"/>
          </w:tcPr>
          <w:p w14:paraId="3B497A9E">
            <w:pPr>
              <w:pStyle w:val="6"/>
              <w:spacing w:before="71" w:line="228" w:lineRule="auto"/>
              <w:ind w:right="11"/>
              <w:jc w:val="right"/>
              <w:rPr>
                <w:sz w:val="20"/>
                <w:szCs w:val="20"/>
              </w:rPr>
            </w:pPr>
            <w:r>
              <w:rPr>
                <w:b/>
                <w:bCs/>
                <w:spacing w:val="-12"/>
                <w:sz w:val="20"/>
                <w:szCs w:val="20"/>
              </w:rPr>
              <w:t>含锰率（</w:t>
            </w:r>
            <w:r>
              <w:rPr>
                <w:rFonts w:ascii="Times New Roman" w:hAnsi="Times New Roman" w:eastAsia="Times New Roman" w:cs="Times New Roman"/>
                <w:b/>
                <w:bCs/>
                <w:spacing w:val="-12"/>
                <w:sz w:val="20"/>
                <w:szCs w:val="20"/>
              </w:rPr>
              <w:t>%</w:t>
            </w:r>
            <w:r>
              <w:rPr>
                <w:b/>
                <w:bCs/>
                <w:spacing w:val="-12"/>
                <w:sz w:val="20"/>
                <w:szCs w:val="20"/>
              </w:rPr>
              <w:t>）</w:t>
            </w:r>
          </w:p>
        </w:tc>
        <w:tc>
          <w:tcPr>
            <w:tcW w:w="1333" w:type="dxa"/>
            <w:tcBorders>
              <w:top w:val="single" w:color="000000" w:sz="10" w:space="0"/>
              <w:right w:val="nil"/>
            </w:tcBorders>
            <w:vAlign w:val="top"/>
          </w:tcPr>
          <w:p w14:paraId="3CD7E566">
            <w:pPr>
              <w:pStyle w:val="6"/>
              <w:spacing w:before="71" w:line="228" w:lineRule="auto"/>
              <w:ind w:left="355"/>
              <w:rPr>
                <w:sz w:val="20"/>
                <w:szCs w:val="20"/>
              </w:rPr>
            </w:pPr>
            <w:r>
              <w:rPr>
                <w:b/>
                <w:bCs/>
                <w:spacing w:val="5"/>
                <w:sz w:val="20"/>
                <w:szCs w:val="20"/>
              </w:rPr>
              <w:t>含锰量</w:t>
            </w:r>
          </w:p>
        </w:tc>
      </w:tr>
      <w:tr w14:paraId="0CB822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709" w:type="dxa"/>
            <w:tcBorders>
              <w:left w:val="nil"/>
            </w:tcBorders>
            <w:vAlign w:val="top"/>
          </w:tcPr>
          <w:p w14:paraId="2B6EF74E">
            <w:pPr>
              <w:spacing w:before="99" w:line="195" w:lineRule="auto"/>
              <w:ind w:left="32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427" w:type="dxa"/>
            <w:vAlign w:val="top"/>
          </w:tcPr>
          <w:p w14:paraId="3BACA829">
            <w:pPr>
              <w:pStyle w:val="6"/>
              <w:spacing w:before="63" w:line="228" w:lineRule="auto"/>
              <w:ind w:left="213"/>
              <w:rPr>
                <w:sz w:val="20"/>
                <w:szCs w:val="20"/>
              </w:rPr>
            </w:pPr>
            <w:r>
              <w:rPr>
                <w:spacing w:val="6"/>
                <w:sz w:val="20"/>
                <w:szCs w:val="20"/>
              </w:rPr>
              <w:t>锰矿石（含水率</w:t>
            </w:r>
            <w:r>
              <w:rPr>
                <w:spacing w:val="-35"/>
                <w:sz w:val="20"/>
                <w:szCs w:val="20"/>
              </w:rPr>
              <w:t xml:space="preserve"> </w:t>
            </w:r>
            <w:r>
              <w:rPr>
                <w:rFonts w:ascii="Times New Roman" w:hAnsi="Times New Roman" w:eastAsia="Times New Roman" w:cs="Times New Roman"/>
                <w:spacing w:val="6"/>
                <w:sz w:val="20"/>
                <w:szCs w:val="20"/>
              </w:rPr>
              <w:t>8%</w:t>
            </w:r>
            <w:r>
              <w:rPr>
                <w:spacing w:val="6"/>
                <w:sz w:val="20"/>
                <w:szCs w:val="20"/>
              </w:rPr>
              <w:t>）</w:t>
            </w:r>
          </w:p>
        </w:tc>
        <w:tc>
          <w:tcPr>
            <w:tcW w:w="1626" w:type="dxa"/>
            <w:vAlign w:val="top"/>
          </w:tcPr>
          <w:p w14:paraId="25E48772">
            <w:pPr>
              <w:spacing w:before="99"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900000.00</w:t>
            </w:r>
          </w:p>
        </w:tc>
        <w:tc>
          <w:tcPr>
            <w:tcW w:w="1311" w:type="dxa"/>
            <w:vAlign w:val="top"/>
          </w:tcPr>
          <w:p w14:paraId="2301A106">
            <w:pPr>
              <w:spacing w:before="99" w:line="195" w:lineRule="auto"/>
              <w:ind w:left="4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36.66</w:t>
            </w:r>
          </w:p>
        </w:tc>
        <w:tc>
          <w:tcPr>
            <w:tcW w:w="1176" w:type="dxa"/>
            <w:vAlign w:val="top"/>
          </w:tcPr>
          <w:p w14:paraId="431B68C9">
            <w:pPr>
              <w:spacing w:before="99" w:line="195" w:lineRule="auto"/>
              <w:ind w:left="1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329940.48</w:t>
            </w:r>
          </w:p>
        </w:tc>
        <w:tc>
          <w:tcPr>
            <w:tcW w:w="688" w:type="dxa"/>
            <w:vAlign w:val="top"/>
          </w:tcPr>
          <w:p w14:paraId="170E9B47">
            <w:pPr>
              <w:spacing w:before="99" w:line="195" w:lineRule="auto"/>
              <w:ind w:left="31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112" w:type="dxa"/>
            <w:vAlign w:val="top"/>
          </w:tcPr>
          <w:p w14:paraId="69F273FD">
            <w:pPr>
              <w:pStyle w:val="6"/>
              <w:spacing w:before="63" w:line="228" w:lineRule="auto"/>
              <w:ind w:right="10"/>
              <w:jc w:val="right"/>
              <w:rPr>
                <w:sz w:val="20"/>
                <w:szCs w:val="20"/>
              </w:rPr>
            </w:pPr>
            <w:r>
              <w:rPr>
                <w:spacing w:val="5"/>
                <w:sz w:val="20"/>
                <w:szCs w:val="20"/>
              </w:rPr>
              <w:t>锰矿石（含水率</w:t>
            </w:r>
            <w:r>
              <w:rPr>
                <w:spacing w:val="-37"/>
                <w:sz w:val="20"/>
                <w:szCs w:val="20"/>
              </w:rPr>
              <w:t xml:space="preserve"> </w:t>
            </w:r>
            <w:r>
              <w:rPr>
                <w:rFonts w:ascii="Times New Roman" w:hAnsi="Times New Roman" w:eastAsia="Times New Roman" w:cs="Times New Roman"/>
                <w:spacing w:val="5"/>
                <w:sz w:val="20"/>
                <w:szCs w:val="20"/>
              </w:rPr>
              <w:t>4%</w:t>
            </w:r>
            <w:r>
              <w:rPr>
                <w:spacing w:val="5"/>
                <w:sz w:val="20"/>
                <w:szCs w:val="20"/>
              </w:rPr>
              <w:t>）</w:t>
            </w:r>
          </w:p>
        </w:tc>
        <w:tc>
          <w:tcPr>
            <w:tcW w:w="1498" w:type="dxa"/>
            <w:vAlign w:val="top"/>
          </w:tcPr>
          <w:p w14:paraId="43EDD5ED">
            <w:pPr>
              <w:spacing w:before="99" w:line="195" w:lineRule="auto"/>
              <w:ind w:left="31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843512.79</w:t>
            </w:r>
          </w:p>
        </w:tc>
        <w:tc>
          <w:tcPr>
            <w:tcW w:w="1274" w:type="dxa"/>
            <w:vAlign w:val="top"/>
          </w:tcPr>
          <w:p w14:paraId="5F655F80">
            <w:pPr>
              <w:spacing w:before="99" w:line="195" w:lineRule="auto"/>
              <w:ind w:left="538"/>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1333" w:type="dxa"/>
            <w:tcBorders>
              <w:right w:val="nil"/>
            </w:tcBorders>
            <w:vAlign w:val="top"/>
          </w:tcPr>
          <w:p w14:paraId="2FB68AB4">
            <w:pPr>
              <w:spacing w:before="99" w:line="195" w:lineRule="auto"/>
              <w:ind w:left="22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328969.99</w:t>
            </w:r>
          </w:p>
        </w:tc>
      </w:tr>
      <w:tr w14:paraId="7EC5A6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709" w:type="dxa"/>
            <w:tcBorders>
              <w:left w:val="nil"/>
            </w:tcBorders>
            <w:vAlign w:val="top"/>
          </w:tcPr>
          <w:p w14:paraId="5A9C8730">
            <w:pPr>
              <w:rPr>
                <w:rFonts w:ascii="Arial"/>
                <w:sz w:val="21"/>
              </w:rPr>
            </w:pPr>
          </w:p>
        </w:tc>
        <w:tc>
          <w:tcPr>
            <w:tcW w:w="2427" w:type="dxa"/>
            <w:vAlign w:val="top"/>
          </w:tcPr>
          <w:p w14:paraId="7D4EB960">
            <w:pPr>
              <w:rPr>
                <w:rFonts w:ascii="Arial"/>
                <w:sz w:val="21"/>
              </w:rPr>
            </w:pPr>
          </w:p>
        </w:tc>
        <w:tc>
          <w:tcPr>
            <w:tcW w:w="1626" w:type="dxa"/>
            <w:vAlign w:val="top"/>
          </w:tcPr>
          <w:p w14:paraId="587E17EC">
            <w:pPr>
              <w:rPr>
                <w:rFonts w:ascii="Arial"/>
                <w:sz w:val="21"/>
              </w:rPr>
            </w:pPr>
          </w:p>
        </w:tc>
        <w:tc>
          <w:tcPr>
            <w:tcW w:w="1311" w:type="dxa"/>
            <w:vAlign w:val="top"/>
          </w:tcPr>
          <w:p w14:paraId="5817CF84">
            <w:pPr>
              <w:rPr>
                <w:rFonts w:ascii="Arial"/>
                <w:sz w:val="21"/>
              </w:rPr>
            </w:pPr>
          </w:p>
        </w:tc>
        <w:tc>
          <w:tcPr>
            <w:tcW w:w="1176" w:type="dxa"/>
            <w:vAlign w:val="top"/>
          </w:tcPr>
          <w:p w14:paraId="2CBBCBAC">
            <w:pPr>
              <w:rPr>
                <w:rFonts w:ascii="Arial"/>
                <w:sz w:val="21"/>
              </w:rPr>
            </w:pPr>
          </w:p>
        </w:tc>
        <w:tc>
          <w:tcPr>
            <w:tcW w:w="688" w:type="dxa"/>
            <w:vAlign w:val="top"/>
          </w:tcPr>
          <w:p w14:paraId="02F4F7F1">
            <w:pPr>
              <w:spacing w:before="103"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112" w:type="dxa"/>
            <w:vAlign w:val="top"/>
          </w:tcPr>
          <w:p w14:paraId="5DB330D6">
            <w:pPr>
              <w:pStyle w:val="6"/>
              <w:spacing w:before="66" w:line="228" w:lineRule="auto"/>
              <w:ind w:left="539"/>
              <w:rPr>
                <w:sz w:val="20"/>
                <w:szCs w:val="20"/>
              </w:rPr>
            </w:pPr>
            <w:r>
              <w:rPr>
                <w:spacing w:val="7"/>
                <w:sz w:val="20"/>
                <w:szCs w:val="20"/>
              </w:rPr>
              <w:t>无组织粉尘</w:t>
            </w:r>
          </w:p>
        </w:tc>
        <w:tc>
          <w:tcPr>
            <w:tcW w:w="1498" w:type="dxa"/>
            <w:vAlign w:val="top"/>
          </w:tcPr>
          <w:p w14:paraId="2F47DDCB">
            <w:pPr>
              <w:spacing w:before="103" w:line="195" w:lineRule="auto"/>
              <w:ind w:left="5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0.07</w:t>
            </w:r>
          </w:p>
        </w:tc>
        <w:tc>
          <w:tcPr>
            <w:tcW w:w="1274" w:type="dxa"/>
            <w:vAlign w:val="top"/>
          </w:tcPr>
          <w:p w14:paraId="61E4EBF5">
            <w:pPr>
              <w:spacing w:before="103" w:line="195" w:lineRule="auto"/>
              <w:ind w:left="538"/>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1333" w:type="dxa"/>
            <w:tcBorders>
              <w:right w:val="nil"/>
            </w:tcBorders>
            <w:vAlign w:val="top"/>
          </w:tcPr>
          <w:p w14:paraId="5B2960EB">
            <w:pPr>
              <w:spacing w:before="103" w:line="195" w:lineRule="auto"/>
              <w:ind w:left="4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r>
      <w:tr w14:paraId="637BE6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709" w:type="dxa"/>
            <w:tcBorders>
              <w:left w:val="nil"/>
            </w:tcBorders>
            <w:vAlign w:val="top"/>
          </w:tcPr>
          <w:p w14:paraId="4C15CDEA">
            <w:pPr>
              <w:rPr>
                <w:rFonts w:ascii="Arial"/>
                <w:sz w:val="21"/>
              </w:rPr>
            </w:pPr>
          </w:p>
        </w:tc>
        <w:tc>
          <w:tcPr>
            <w:tcW w:w="2427" w:type="dxa"/>
            <w:vAlign w:val="top"/>
          </w:tcPr>
          <w:p w14:paraId="03C7622F">
            <w:pPr>
              <w:rPr>
                <w:rFonts w:ascii="Arial"/>
                <w:sz w:val="21"/>
              </w:rPr>
            </w:pPr>
          </w:p>
        </w:tc>
        <w:tc>
          <w:tcPr>
            <w:tcW w:w="1626" w:type="dxa"/>
            <w:vAlign w:val="top"/>
          </w:tcPr>
          <w:p w14:paraId="25AA57A6">
            <w:pPr>
              <w:rPr>
                <w:rFonts w:ascii="Arial"/>
                <w:sz w:val="21"/>
              </w:rPr>
            </w:pPr>
          </w:p>
        </w:tc>
        <w:tc>
          <w:tcPr>
            <w:tcW w:w="1311" w:type="dxa"/>
            <w:vAlign w:val="top"/>
          </w:tcPr>
          <w:p w14:paraId="741352B0">
            <w:pPr>
              <w:rPr>
                <w:rFonts w:ascii="Arial"/>
                <w:sz w:val="21"/>
              </w:rPr>
            </w:pPr>
          </w:p>
        </w:tc>
        <w:tc>
          <w:tcPr>
            <w:tcW w:w="1176" w:type="dxa"/>
            <w:vAlign w:val="top"/>
          </w:tcPr>
          <w:p w14:paraId="54D6BB3B">
            <w:pPr>
              <w:rPr>
                <w:rFonts w:ascii="Arial"/>
                <w:sz w:val="21"/>
              </w:rPr>
            </w:pPr>
          </w:p>
        </w:tc>
        <w:tc>
          <w:tcPr>
            <w:tcW w:w="688" w:type="dxa"/>
            <w:vAlign w:val="top"/>
          </w:tcPr>
          <w:p w14:paraId="43B8A351">
            <w:pPr>
              <w:spacing w:before="106" w:line="195" w:lineRule="auto"/>
              <w:ind w:left="297"/>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112" w:type="dxa"/>
            <w:vAlign w:val="top"/>
          </w:tcPr>
          <w:p w14:paraId="6F091C85">
            <w:pPr>
              <w:pStyle w:val="6"/>
              <w:spacing w:before="68" w:line="228" w:lineRule="auto"/>
              <w:ind w:left="538"/>
              <w:rPr>
                <w:sz w:val="20"/>
                <w:szCs w:val="20"/>
              </w:rPr>
            </w:pPr>
            <w:r>
              <w:rPr>
                <w:spacing w:val="7"/>
                <w:sz w:val="20"/>
                <w:szCs w:val="20"/>
              </w:rPr>
              <w:t>有组织粉尘</w:t>
            </w:r>
          </w:p>
        </w:tc>
        <w:tc>
          <w:tcPr>
            <w:tcW w:w="1498" w:type="dxa"/>
            <w:vAlign w:val="top"/>
          </w:tcPr>
          <w:p w14:paraId="4C572861">
            <w:pPr>
              <w:spacing w:before="106" w:line="195" w:lineRule="auto"/>
              <w:ind w:left="5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24.88</w:t>
            </w:r>
          </w:p>
        </w:tc>
        <w:tc>
          <w:tcPr>
            <w:tcW w:w="1274" w:type="dxa"/>
            <w:vAlign w:val="top"/>
          </w:tcPr>
          <w:p w14:paraId="066D11A3">
            <w:pPr>
              <w:spacing w:before="106" w:line="195" w:lineRule="auto"/>
              <w:ind w:left="538"/>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1333" w:type="dxa"/>
            <w:tcBorders>
              <w:right w:val="nil"/>
            </w:tcBorders>
            <w:vAlign w:val="top"/>
          </w:tcPr>
          <w:p w14:paraId="3172A6D7">
            <w:pPr>
              <w:spacing w:before="106" w:line="195" w:lineRule="auto"/>
              <w:ind w:left="4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9.70</w:t>
            </w:r>
          </w:p>
        </w:tc>
      </w:tr>
      <w:tr w14:paraId="429528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709" w:type="dxa"/>
            <w:tcBorders>
              <w:left w:val="nil"/>
            </w:tcBorders>
            <w:vAlign w:val="top"/>
          </w:tcPr>
          <w:p w14:paraId="328B551A">
            <w:pPr>
              <w:rPr>
                <w:rFonts w:ascii="Arial"/>
                <w:sz w:val="21"/>
              </w:rPr>
            </w:pPr>
          </w:p>
        </w:tc>
        <w:tc>
          <w:tcPr>
            <w:tcW w:w="2427" w:type="dxa"/>
            <w:vAlign w:val="top"/>
          </w:tcPr>
          <w:p w14:paraId="76265102">
            <w:pPr>
              <w:rPr>
                <w:rFonts w:ascii="Arial"/>
                <w:sz w:val="21"/>
              </w:rPr>
            </w:pPr>
          </w:p>
        </w:tc>
        <w:tc>
          <w:tcPr>
            <w:tcW w:w="1626" w:type="dxa"/>
            <w:vAlign w:val="top"/>
          </w:tcPr>
          <w:p w14:paraId="6E3ED3E4">
            <w:pPr>
              <w:rPr>
                <w:rFonts w:ascii="Arial"/>
                <w:sz w:val="21"/>
              </w:rPr>
            </w:pPr>
          </w:p>
        </w:tc>
        <w:tc>
          <w:tcPr>
            <w:tcW w:w="1311" w:type="dxa"/>
            <w:vAlign w:val="top"/>
          </w:tcPr>
          <w:p w14:paraId="2A21CF99">
            <w:pPr>
              <w:rPr>
                <w:rFonts w:ascii="Arial"/>
                <w:sz w:val="21"/>
              </w:rPr>
            </w:pPr>
          </w:p>
        </w:tc>
        <w:tc>
          <w:tcPr>
            <w:tcW w:w="1176" w:type="dxa"/>
            <w:vAlign w:val="top"/>
          </w:tcPr>
          <w:p w14:paraId="7A2E740F">
            <w:pPr>
              <w:rPr>
                <w:rFonts w:ascii="Arial"/>
                <w:sz w:val="21"/>
              </w:rPr>
            </w:pPr>
          </w:p>
        </w:tc>
        <w:tc>
          <w:tcPr>
            <w:tcW w:w="688" w:type="dxa"/>
            <w:vAlign w:val="top"/>
          </w:tcPr>
          <w:p w14:paraId="0D0728DA">
            <w:pPr>
              <w:spacing w:before="108"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112" w:type="dxa"/>
            <w:vAlign w:val="top"/>
          </w:tcPr>
          <w:p w14:paraId="0AEBD7C6">
            <w:pPr>
              <w:pStyle w:val="6"/>
              <w:spacing w:before="72" w:line="228" w:lineRule="auto"/>
              <w:ind w:left="759"/>
              <w:rPr>
                <w:sz w:val="20"/>
                <w:szCs w:val="20"/>
              </w:rPr>
            </w:pPr>
            <w:r>
              <w:rPr>
                <w:spacing w:val="2"/>
                <w:sz w:val="20"/>
                <w:szCs w:val="20"/>
              </w:rPr>
              <w:t>除尘灰</w:t>
            </w:r>
          </w:p>
        </w:tc>
        <w:tc>
          <w:tcPr>
            <w:tcW w:w="1498" w:type="dxa"/>
            <w:vAlign w:val="top"/>
          </w:tcPr>
          <w:p w14:paraId="75E71DD4">
            <w:pPr>
              <w:spacing w:before="108" w:line="195" w:lineRule="auto"/>
              <w:ind w:left="40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2462.89</w:t>
            </w:r>
          </w:p>
        </w:tc>
        <w:tc>
          <w:tcPr>
            <w:tcW w:w="1274" w:type="dxa"/>
            <w:vAlign w:val="top"/>
          </w:tcPr>
          <w:p w14:paraId="5A10CF2A">
            <w:pPr>
              <w:spacing w:before="108" w:line="195" w:lineRule="auto"/>
              <w:ind w:left="538"/>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1333" w:type="dxa"/>
            <w:tcBorders>
              <w:right w:val="nil"/>
            </w:tcBorders>
            <w:vAlign w:val="top"/>
          </w:tcPr>
          <w:p w14:paraId="5FE745CC">
            <w:pPr>
              <w:spacing w:before="108" w:line="195" w:lineRule="auto"/>
              <w:ind w:left="3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960.53</w:t>
            </w:r>
          </w:p>
        </w:tc>
      </w:tr>
      <w:tr w14:paraId="791F1F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709" w:type="dxa"/>
            <w:tcBorders>
              <w:left w:val="nil"/>
            </w:tcBorders>
            <w:vAlign w:val="top"/>
          </w:tcPr>
          <w:p w14:paraId="0833D85F">
            <w:pPr>
              <w:rPr>
                <w:rFonts w:ascii="Arial"/>
                <w:sz w:val="21"/>
              </w:rPr>
            </w:pPr>
          </w:p>
        </w:tc>
        <w:tc>
          <w:tcPr>
            <w:tcW w:w="2427" w:type="dxa"/>
            <w:vAlign w:val="top"/>
          </w:tcPr>
          <w:p w14:paraId="6C56480F">
            <w:pPr>
              <w:rPr>
                <w:rFonts w:ascii="Arial"/>
                <w:sz w:val="21"/>
              </w:rPr>
            </w:pPr>
          </w:p>
        </w:tc>
        <w:tc>
          <w:tcPr>
            <w:tcW w:w="1626" w:type="dxa"/>
            <w:vAlign w:val="top"/>
          </w:tcPr>
          <w:p w14:paraId="685DEFF6">
            <w:pPr>
              <w:rPr>
                <w:rFonts w:ascii="Arial"/>
                <w:sz w:val="21"/>
              </w:rPr>
            </w:pPr>
          </w:p>
        </w:tc>
        <w:tc>
          <w:tcPr>
            <w:tcW w:w="1311" w:type="dxa"/>
            <w:vAlign w:val="top"/>
          </w:tcPr>
          <w:p w14:paraId="452008CC">
            <w:pPr>
              <w:rPr>
                <w:rFonts w:ascii="Arial"/>
                <w:sz w:val="21"/>
              </w:rPr>
            </w:pPr>
          </w:p>
        </w:tc>
        <w:tc>
          <w:tcPr>
            <w:tcW w:w="1176" w:type="dxa"/>
            <w:vAlign w:val="top"/>
          </w:tcPr>
          <w:p w14:paraId="009C58C2">
            <w:pPr>
              <w:rPr>
                <w:rFonts w:ascii="Arial"/>
                <w:sz w:val="21"/>
              </w:rPr>
            </w:pPr>
          </w:p>
        </w:tc>
        <w:tc>
          <w:tcPr>
            <w:tcW w:w="688" w:type="dxa"/>
            <w:vAlign w:val="top"/>
          </w:tcPr>
          <w:p w14:paraId="654CD4D3">
            <w:pPr>
              <w:spacing w:before="115" w:line="192" w:lineRule="auto"/>
              <w:ind w:left="299"/>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112" w:type="dxa"/>
            <w:vAlign w:val="top"/>
          </w:tcPr>
          <w:p w14:paraId="1EB75131">
            <w:pPr>
              <w:pStyle w:val="6"/>
              <w:spacing w:before="76" w:line="227" w:lineRule="auto"/>
              <w:ind w:left="645"/>
              <w:rPr>
                <w:sz w:val="20"/>
                <w:szCs w:val="20"/>
              </w:rPr>
            </w:pPr>
            <w:r>
              <w:rPr>
                <w:spacing w:val="6"/>
                <w:sz w:val="20"/>
                <w:szCs w:val="20"/>
              </w:rPr>
              <w:t>车间沉降</w:t>
            </w:r>
          </w:p>
        </w:tc>
        <w:tc>
          <w:tcPr>
            <w:tcW w:w="1498" w:type="dxa"/>
            <w:vAlign w:val="top"/>
          </w:tcPr>
          <w:p w14:paraId="1E0D7CCA">
            <w:pPr>
              <w:spacing w:before="112" w:line="195" w:lineRule="auto"/>
              <w:ind w:left="5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0.61</w:t>
            </w:r>
          </w:p>
        </w:tc>
        <w:tc>
          <w:tcPr>
            <w:tcW w:w="1274" w:type="dxa"/>
            <w:vAlign w:val="top"/>
          </w:tcPr>
          <w:p w14:paraId="2B7925B6">
            <w:pPr>
              <w:spacing w:before="112" w:line="195" w:lineRule="auto"/>
              <w:ind w:left="538"/>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1333" w:type="dxa"/>
            <w:tcBorders>
              <w:right w:val="nil"/>
            </w:tcBorders>
            <w:vAlign w:val="top"/>
          </w:tcPr>
          <w:p w14:paraId="19B07D01">
            <w:pPr>
              <w:spacing w:before="112" w:line="195" w:lineRule="auto"/>
              <w:ind w:left="4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0.24</w:t>
            </w:r>
          </w:p>
        </w:tc>
      </w:tr>
      <w:tr w14:paraId="50BD07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709" w:type="dxa"/>
            <w:tcBorders>
              <w:left w:val="nil"/>
            </w:tcBorders>
            <w:vAlign w:val="top"/>
          </w:tcPr>
          <w:p w14:paraId="579D81A4">
            <w:pPr>
              <w:rPr>
                <w:rFonts w:ascii="Arial"/>
                <w:sz w:val="21"/>
              </w:rPr>
            </w:pPr>
          </w:p>
        </w:tc>
        <w:tc>
          <w:tcPr>
            <w:tcW w:w="2427" w:type="dxa"/>
            <w:vAlign w:val="top"/>
          </w:tcPr>
          <w:p w14:paraId="2F87BABD">
            <w:pPr>
              <w:rPr>
                <w:rFonts w:ascii="Arial"/>
                <w:sz w:val="21"/>
              </w:rPr>
            </w:pPr>
          </w:p>
        </w:tc>
        <w:tc>
          <w:tcPr>
            <w:tcW w:w="1626" w:type="dxa"/>
            <w:vAlign w:val="top"/>
          </w:tcPr>
          <w:p w14:paraId="4918F8A9">
            <w:pPr>
              <w:rPr>
                <w:rFonts w:ascii="Arial"/>
                <w:sz w:val="21"/>
              </w:rPr>
            </w:pPr>
          </w:p>
        </w:tc>
        <w:tc>
          <w:tcPr>
            <w:tcW w:w="1311" w:type="dxa"/>
            <w:vAlign w:val="top"/>
          </w:tcPr>
          <w:p w14:paraId="3EC3E7A8">
            <w:pPr>
              <w:rPr>
                <w:rFonts w:ascii="Arial"/>
                <w:sz w:val="21"/>
              </w:rPr>
            </w:pPr>
          </w:p>
        </w:tc>
        <w:tc>
          <w:tcPr>
            <w:tcW w:w="1176" w:type="dxa"/>
            <w:vAlign w:val="top"/>
          </w:tcPr>
          <w:p w14:paraId="79A67DA4">
            <w:pPr>
              <w:rPr>
                <w:rFonts w:ascii="Arial"/>
                <w:sz w:val="21"/>
              </w:rPr>
            </w:pPr>
          </w:p>
        </w:tc>
        <w:tc>
          <w:tcPr>
            <w:tcW w:w="688" w:type="dxa"/>
            <w:vAlign w:val="top"/>
          </w:tcPr>
          <w:p w14:paraId="4A676D22">
            <w:pPr>
              <w:spacing w:before="115" w:line="195" w:lineRule="auto"/>
              <w:ind w:left="298"/>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112" w:type="dxa"/>
            <w:vAlign w:val="top"/>
          </w:tcPr>
          <w:p w14:paraId="6ED04353">
            <w:pPr>
              <w:pStyle w:val="6"/>
              <w:spacing w:before="77" w:line="226" w:lineRule="auto"/>
              <w:ind w:left="642"/>
              <w:rPr>
                <w:sz w:val="20"/>
                <w:szCs w:val="20"/>
              </w:rPr>
            </w:pPr>
            <w:r>
              <w:rPr>
                <w:spacing w:val="7"/>
                <w:sz w:val="20"/>
                <w:szCs w:val="20"/>
              </w:rPr>
              <w:t>烧失损失</w:t>
            </w:r>
          </w:p>
        </w:tc>
        <w:tc>
          <w:tcPr>
            <w:tcW w:w="1498" w:type="dxa"/>
            <w:vAlign w:val="top"/>
          </w:tcPr>
          <w:p w14:paraId="2B205409">
            <w:pPr>
              <w:spacing w:before="115" w:line="195" w:lineRule="auto"/>
              <w:ind w:left="36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53998.76</w:t>
            </w:r>
          </w:p>
        </w:tc>
        <w:tc>
          <w:tcPr>
            <w:tcW w:w="1274" w:type="dxa"/>
            <w:vAlign w:val="top"/>
          </w:tcPr>
          <w:p w14:paraId="7CA8CBCE">
            <w:pPr>
              <w:rPr>
                <w:rFonts w:ascii="Arial"/>
                <w:sz w:val="21"/>
              </w:rPr>
            </w:pPr>
          </w:p>
        </w:tc>
        <w:tc>
          <w:tcPr>
            <w:tcW w:w="1333" w:type="dxa"/>
            <w:tcBorders>
              <w:right w:val="nil"/>
            </w:tcBorders>
            <w:vAlign w:val="top"/>
          </w:tcPr>
          <w:p w14:paraId="086D562A">
            <w:pPr>
              <w:rPr>
                <w:rFonts w:ascii="Arial"/>
                <w:sz w:val="21"/>
              </w:rPr>
            </w:pPr>
          </w:p>
        </w:tc>
      </w:tr>
      <w:tr w14:paraId="5E315E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709" w:type="dxa"/>
            <w:tcBorders>
              <w:left w:val="nil"/>
              <w:bottom w:val="single" w:color="000000" w:sz="10" w:space="0"/>
            </w:tcBorders>
            <w:vAlign w:val="top"/>
          </w:tcPr>
          <w:p w14:paraId="6DA061E5">
            <w:pPr>
              <w:rPr>
                <w:rFonts w:ascii="Arial"/>
                <w:sz w:val="21"/>
              </w:rPr>
            </w:pPr>
          </w:p>
        </w:tc>
        <w:tc>
          <w:tcPr>
            <w:tcW w:w="2427" w:type="dxa"/>
            <w:tcBorders>
              <w:bottom w:val="single" w:color="000000" w:sz="10" w:space="0"/>
            </w:tcBorders>
            <w:vAlign w:val="top"/>
          </w:tcPr>
          <w:p w14:paraId="2EB078C9">
            <w:pPr>
              <w:pStyle w:val="6"/>
              <w:spacing w:before="81" w:line="229" w:lineRule="auto"/>
              <w:ind w:left="1013"/>
              <w:rPr>
                <w:sz w:val="20"/>
                <w:szCs w:val="20"/>
              </w:rPr>
            </w:pPr>
            <w:r>
              <w:rPr>
                <w:spacing w:val="2"/>
                <w:sz w:val="20"/>
                <w:szCs w:val="20"/>
              </w:rPr>
              <w:t>小计</w:t>
            </w:r>
          </w:p>
        </w:tc>
        <w:tc>
          <w:tcPr>
            <w:tcW w:w="1626" w:type="dxa"/>
            <w:tcBorders>
              <w:bottom w:val="single" w:color="000000" w:sz="10" w:space="0"/>
            </w:tcBorders>
            <w:vAlign w:val="top"/>
          </w:tcPr>
          <w:p w14:paraId="793CEADE">
            <w:pPr>
              <w:spacing w:before="117"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900000.00</w:t>
            </w:r>
          </w:p>
        </w:tc>
        <w:tc>
          <w:tcPr>
            <w:tcW w:w="1311" w:type="dxa"/>
            <w:tcBorders>
              <w:bottom w:val="single" w:color="000000" w:sz="10" w:space="0"/>
            </w:tcBorders>
            <w:vAlign w:val="top"/>
          </w:tcPr>
          <w:p w14:paraId="3ED2FC8C">
            <w:pPr>
              <w:rPr>
                <w:rFonts w:ascii="Arial"/>
                <w:sz w:val="21"/>
              </w:rPr>
            </w:pPr>
          </w:p>
        </w:tc>
        <w:tc>
          <w:tcPr>
            <w:tcW w:w="1176" w:type="dxa"/>
            <w:tcBorders>
              <w:bottom w:val="single" w:color="000000" w:sz="10" w:space="0"/>
            </w:tcBorders>
            <w:vAlign w:val="top"/>
          </w:tcPr>
          <w:p w14:paraId="21F84630">
            <w:pPr>
              <w:spacing w:before="117" w:line="195" w:lineRule="auto"/>
              <w:ind w:left="1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329940.48</w:t>
            </w:r>
          </w:p>
        </w:tc>
        <w:tc>
          <w:tcPr>
            <w:tcW w:w="688" w:type="dxa"/>
            <w:tcBorders>
              <w:bottom w:val="single" w:color="000000" w:sz="10" w:space="0"/>
            </w:tcBorders>
            <w:vAlign w:val="top"/>
          </w:tcPr>
          <w:p w14:paraId="5BC7446A">
            <w:pPr>
              <w:rPr>
                <w:rFonts w:ascii="Arial"/>
                <w:sz w:val="21"/>
              </w:rPr>
            </w:pPr>
          </w:p>
        </w:tc>
        <w:tc>
          <w:tcPr>
            <w:tcW w:w="2112" w:type="dxa"/>
            <w:tcBorders>
              <w:bottom w:val="single" w:color="000000" w:sz="10" w:space="0"/>
            </w:tcBorders>
            <w:vAlign w:val="top"/>
          </w:tcPr>
          <w:p w14:paraId="2B2BDC8F">
            <w:pPr>
              <w:pStyle w:val="6"/>
              <w:spacing w:before="81" w:line="229" w:lineRule="auto"/>
              <w:ind w:left="858"/>
              <w:rPr>
                <w:sz w:val="20"/>
                <w:szCs w:val="20"/>
              </w:rPr>
            </w:pPr>
            <w:r>
              <w:rPr>
                <w:spacing w:val="2"/>
                <w:sz w:val="20"/>
                <w:szCs w:val="20"/>
              </w:rPr>
              <w:t>小计</w:t>
            </w:r>
          </w:p>
        </w:tc>
        <w:tc>
          <w:tcPr>
            <w:tcW w:w="1498" w:type="dxa"/>
            <w:tcBorders>
              <w:bottom w:val="single" w:color="000000" w:sz="10" w:space="0"/>
            </w:tcBorders>
            <w:vAlign w:val="top"/>
          </w:tcPr>
          <w:p w14:paraId="5655BF27">
            <w:pPr>
              <w:spacing w:before="117" w:line="195" w:lineRule="auto"/>
              <w:ind w:left="30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900000.00</w:t>
            </w:r>
          </w:p>
        </w:tc>
        <w:tc>
          <w:tcPr>
            <w:tcW w:w="1274" w:type="dxa"/>
            <w:tcBorders>
              <w:bottom w:val="single" w:color="000000" w:sz="10" w:space="0"/>
            </w:tcBorders>
            <w:vAlign w:val="top"/>
          </w:tcPr>
          <w:p w14:paraId="38B52DCE">
            <w:pPr>
              <w:rPr>
                <w:rFonts w:ascii="Arial"/>
                <w:sz w:val="21"/>
              </w:rPr>
            </w:pPr>
          </w:p>
        </w:tc>
        <w:tc>
          <w:tcPr>
            <w:tcW w:w="1333" w:type="dxa"/>
            <w:tcBorders>
              <w:bottom w:val="single" w:color="000000" w:sz="10" w:space="0"/>
              <w:right w:val="nil"/>
            </w:tcBorders>
            <w:vAlign w:val="top"/>
          </w:tcPr>
          <w:p w14:paraId="1119AB61">
            <w:pPr>
              <w:spacing w:before="117" w:line="195" w:lineRule="auto"/>
              <w:ind w:left="22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329940.48</w:t>
            </w:r>
          </w:p>
        </w:tc>
      </w:tr>
    </w:tbl>
    <w:p w14:paraId="6FF4A8DD">
      <w:pPr>
        <w:spacing w:before="138" w:line="227" w:lineRule="auto"/>
        <w:ind w:left="4195"/>
        <w:rPr>
          <w:rFonts w:ascii="Times New Roman" w:hAnsi="Times New Roman" w:eastAsia="Times New Roman" w:cs="Times New Roman"/>
          <w:sz w:val="20"/>
          <w:szCs w:val="20"/>
        </w:rPr>
      </w:pPr>
      <w:r>
        <w:rPr>
          <w:rFonts w:ascii="宋体" w:hAnsi="宋体" w:eastAsia="宋体" w:cs="宋体"/>
          <w:b/>
          <w:bCs/>
          <w:spacing w:val="6"/>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6"/>
          <w:sz w:val="20"/>
          <w:szCs w:val="20"/>
        </w:rPr>
        <w:t xml:space="preserve">2.3-4        </w:t>
      </w:r>
      <w:r>
        <w:rPr>
          <w:rFonts w:ascii="宋体" w:hAnsi="宋体" w:eastAsia="宋体" w:cs="宋体"/>
          <w:b/>
          <w:bCs/>
          <w:spacing w:val="6"/>
          <w:sz w:val="20"/>
          <w:szCs w:val="20"/>
        </w:rPr>
        <w:t>焦炭烘干工序物料及元素平衡分</w:t>
      </w:r>
      <w:r>
        <w:rPr>
          <w:rFonts w:ascii="宋体" w:hAnsi="宋体" w:eastAsia="宋体" w:cs="宋体"/>
          <w:b/>
          <w:bCs/>
          <w:spacing w:val="5"/>
          <w:sz w:val="20"/>
          <w:szCs w:val="20"/>
        </w:rPr>
        <w:t>析表</w:t>
      </w:r>
      <w:r>
        <w:rPr>
          <w:rFonts w:ascii="宋体" w:hAnsi="宋体" w:eastAsia="宋体" w:cs="宋体"/>
          <w:spacing w:val="5"/>
          <w:sz w:val="20"/>
          <w:szCs w:val="20"/>
        </w:rPr>
        <w:t xml:space="preserve">    </w:t>
      </w:r>
      <w:r>
        <w:rPr>
          <w:rFonts w:ascii="宋体" w:hAnsi="宋体" w:eastAsia="宋体" w:cs="宋体"/>
          <w:b/>
          <w:bCs/>
          <w:spacing w:val="5"/>
          <w:sz w:val="20"/>
          <w:szCs w:val="20"/>
        </w:rPr>
        <w:t>单位：</w:t>
      </w:r>
      <w:r>
        <w:rPr>
          <w:rFonts w:ascii="Times New Roman" w:hAnsi="Times New Roman" w:eastAsia="Times New Roman" w:cs="Times New Roman"/>
          <w:b/>
          <w:bCs/>
          <w:spacing w:val="5"/>
          <w:sz w:val="20"/>
          <w:szCs w:val="20"/>
        </w:rPr>
        <w:t>t/a</w:t>
      </w:r>
    </w:p>
    <w:p w14:paraId="7CE3746E">
      <w:pPr>
        <w:spacing w:line="100" w:lineRule="exact"/>
      </w:pPr>
    </w:p>
    <w:tbl>
      <w:tblPr>
        <w:tblStyle w:val="5"/>
        <w:tblW w:w="1415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46"/>
        <w:gridCol w:w="2790"/>
        <w:gridCol w:w="1550"/>
        <w:gridCol w:w="1363"/>
        <w:gridCol w:w="1125"/>
        <w:gridCol w:w="799"/>
        <w:gridCol w:w="1902"/>
        <w:gridCol w:w="1461"/>
        <w:gridCol w:w="1437"/>
        <w:gridCol w:w="1081"/>
      </w:tblGrid>
      <w:tr w14:paraId="1887C0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1" w:hRule="atLeast"/>
        </w:trPr>
        <w:tc>
          <w:tcPr>
            <w:tcW w:w="646" w:type="dxa"/>
            <w:tcBorders>
              <w:top w:val="single" w:color="000000" w:sz="10" w:space="0"/>
              <w:left w:val="nil"/>
            </w:tcBorders>
            <w:vAlign w:val="top"/>
          </w:tcPr>
          <w:p w14:paraId="4076EC60">
            <w:pPr>
              <w:pStyle w:val="6"/>
              <w:spacing w:before="70" w:line="229" w:lineRule="auto"/>
              <w:ind w:left="119"/>
              <w:rPr>
                <w:sz w:val="20"/>
                <w:szCs w:val="20"/>
              </w:rPr>
            </w:pPr>
            <w:r>
              <w:rPr>
                <w:b/>
                <w:bCs/>
                <w:spacing w:val="4"/>
                <w:sz w:val="20"/>
                <w:szCs w:val="20"/>
              </w:rPr>
              <w:t>序号</w:t>
            </w:r>
          </w:p>
        </w:tc>
        <w:tc>
          <w:tcPr>
            <w:tcW w:w="2790" w:type="dxa"/>
            <w:tcBorders>
              <w:top w:val="single" w:color="000000" w:sz="10" w:space="0"/>
            </w:tcBorders>
            <w:vAlign w:val="top"/>
          </w:tcPr>
          <w:p w14:paraId="5985BFA0">
            <w:pPr>
              <w:pStyle w:val="6"/>
              <w:spacing w:before="71" w:line="228" w:lineRule="auto"/>
              <w:ind w:left="977"/>
              <w:rPr>
                <w:sz w:val="20"/>
                <w:szCs w:val="20"/>
              </w:rPr>
            </w:pPr>
            <w:r>
              <w:rPr>
                <w:b/>
                <w:bCs/>
                <w:spacing w:val="6"/>
                <w:sz w:val="20"/>
                <w:szCs w:val="20"/>
              </w:rPr>
              <w:t>进料名称</w:t>
            </w:r>
          </w:p>
        </w:tc>
        <w:tc>
          <w:tcPr>
            <w:tcW w:w="1550" w:type="dxa"/>
            <w:tcBorders>
              <w:top w:val="single" w:color="000000" w:sz="10" w:space="0"/>
            </w:tcBorders>
            <w:vAlign w:val="top"/>
          </w:tcPr>
          <w:p w14:paraId="4EFFBA26">
            <w:pPr>
              <w:pStyle w:val="6"/>
              <w:spacing w:before="71" w:line="228" w:lineRule="auto"/>
              <w:ind w:left="134"/>
              <w:rPr>
                <w:sz w:val="20"/>
                <w:szCs w:val="20"/>
              </w:rPr>
            </w:pPr>
            <w:r>
              <w:rPr>
                <w:b/>
                <w:bCs/>
                <w:spacing w:val="4"/>
                <w:sz w:val="20"/>
                <w:szCs w:val="20"/>
              </w:rPr>
              <w:t>进料量（</w:t>
            </w:r>
            <w:r>
              <w:rPr>
                <w:rFonts w:ascii="Times New Roman" w:hAnsi="Times New Roman" w:eastAsia="Times New Roman" w:cs="Times New Roman"/>
                <w:b/>
                <w:bCs/>
                <w:spacing w:val="4"/>
                <w:sz w:val="20"/>
                <w:szCs w:val="20"/>
              </w:rPr>
              <w:t>t/a</w:t>
            </w:r>
            <w:r>
              <w:rPr>
                <w:b/>
                <w:bCs/>
                <w:spacing w:val="4"/>
                <w:sz w:val="20"/>
                <w:szCs w:val="20"/>
              </w:rPr>
              <w:t>）</w:t>
            </w:r>
          </w:p>
        </w:tc>
        <w:tc>
          <w:tcPr>
            <w:tcW w:w="1363" w:type="dxa"/>
            <w:tcBorders>
              <w:top w:val="single" w:color="000000" w:sz="10" w:space="0"/>
            </w:tcBorders>
            <w:vAlign w:val="top"/>
          </w:tcPr>
          <w:p w14:paraId="33AFC463">
            <w:pPr>
              <w:pStyle w:val="6"/>
              <w:spacing w:before="70" w:line="228" w:lineRule="auto"/>
              <w:ind w:right="12"/>
              <w:jc w:val="right"/>
              <w:rPr>
                <w:sz w:val="20"/>
                <w:szCs w:val="20"/>
              </w:rPr>
            </w:pPr>
            <w:r>
              <w:rPr>
                <w:b/>
                <w:bCs/>
                <w:spacing w:val="3"/>
                <w:sz w:val="20"/>
                <w:szCs w:val="20"/>
              </w:rPr>
              <w:t>含硫率（</w:t>
            </w:r>
            <w:r>
              <w:rPr>
                <w:rFonts w:ascii="Times New Roman" w:hAnsi="Times New Roman" w:eastAsia="Times New Roman" w:cs="Times New Roman"/>
                <w:b/>
                <w:bCs/>
                <w:spacing w:val="3"/>
                <w:sz w:val="20"/>
                <w:szCs w:val="20"/>
              </w:rPr>
              <w:t>%</w:t>
            </w:r>
            <w:r>
              <w:rPr>
                <w:b/>
                <w:bCs/>
                <w:spacing w:val="3"/>
                <w:sz w:val="20"/>
                <w:szCs w:val="20"/>
              </w:rPr>
              <w:t>）</w:t>
            </w:r>
          </w:p>
        </w:tc>
        <w:tc>
          <w:tcPr>
            <w:tcW w:w="1125" w:type="dxa"/>
            <w:tcBorders>
              <w:top w:val="single" w:color="000000" w:sz="10" w:space="0"/>
            </w:tcBorders>
            <w:vAlign w:val="top"/>
          </w:tcPr>
          <w:p w14:paraId="3A5C8099">
            <w:pPr>
              <w:pStyle w:val="6"/>
              <w:spacing w:before="70" w:line="228" w:lineRule="auto"/>
              <w:ind w:left="251"/>
              <w:rPr>
                <w:sz w:val="20"/>
                <w:szCs w:val="20"/>
              </w:rPr>
            </w:pPr>
            <w:r>
              <w:rPr>
                <w:b/>
                <w:bCs/>
                <w:spacing w:val="5"/>
                <w:sz w:val="20"/>
                <w:szCs w:val="20"/>
              </w:rPr>
              <w:t>含硫量</w:t>
            </w:r>
          </w:p>
        </w:tc>
        <w:tc>
          <w:tcPr>
            <w:tcW w:w="799" w:type="dxa"/>
            <w:tcBorders>
              <w:top w:val="single" w:color="000000" w:sz="10" w:space="0"/>
            </w:tcBorders>
            <w:vAlign w:val="top"/>
          </w:tcPr>
          <w:p w14:paraId="209D3048">
            <w:pPr>
              <w:pStyle w:val="6"/>
              <w:spacing w:before="70" w:line="229" w:lineRule="auto"/>
              <w:ind w:left="193"/>
              <w:rPr>
                <w:sz w:val="20"/>
                <w:szCs w:val="20"/>
              </w:rPr>
            </w:pPr>
            <w:r>
              <w:rPr>
                <w:b/>
                <w:bCs/>
                <w:spacing w:val="4"/>
                <w:sz w:val="20"/>
                <w:szCs w:val="20"/>
              </w:rPr>
              <w:t>序号</w:t>
            </w:r>
          </w:p>
        </w:tc>
        <w:tc>
          <w:tcPr>
            <w:tcW w:w="1902" w:type="dxa"/>
            <w:tcBorders>
              <w:top w:val="single" w:color="000000" w:sz="10" w:space="0"/>
            </w:tcBorders>
            <w:vAlign w:val="top"/>
          </w:tcPr>
          <w:p w14:paraId="48C3E22A">
            <w:pPr>
              <w:pStyle w:val="6"/>
              <w:spacing w:before="71" w:line="228" w:lineRule="auto"/>
              <w:ind w:left="553"/>
              <w:rPr>
                <w:sz w:val="20"/>
                <w:szCs w:val="20"/>
              </w:rPr>
            </w:pPr>
            <w:r>
              <w:rPr>
                <w:b/>
                <w:bCs/>
                <w:spacing w:val="2"/>
                <w:sz w:val="20"/>
                <w:szCs w:val="20"/>
              </w:rPr>
              <w:t>出料名称</w:t>
            </w:r>
          </w:p>
        </w:tc>
        <w:tc>
          <w:tcPr>
            <w:tcW w:w="1461" w:type="dxa"/>
            <w:tcBorders>
              <w:top w:val="single" w:color="000000" w:sz="10" w:space="0"/>
            </w:tcBorders>
            <w:vAlign w:val="top"/>
          </w:tcPr>
          <w:p w14:paraId="3F49E4AE">
            <w:pPr>
              <w:pStyle w:val="6"/>
              <w:spacing w:before="71" w:line="228" w:lineRule="auto"/>
              <w:ind w:left="132"/>
              <w:rPr>
                <w:sz w:val="20"/>
                <w:szCs w:val="20"/>
              </w:rPr>
            </w:pPr>
            <w:r>
              <w:rPr>
                <w:b/>
                <w:bCs/>
                <w:spacing w:val="1"/>
                <w:sz w:val="20"/>
                <w:szCs w:val="20"/>
              </w:rPr>
              <w:t>出料量（</w:t>
            </w:r>
            <w:r>
              <w:rPr>
                <w:rFonts w:ascii="Times New Roman" w:hAnsi="Times New Roman" w:eastAsia="Times New Roman" w:cs="Times New Roman"/>
                <w:b/>
                <w:bCs/>
                <w:spacing w:val="1"/>
                <w:sz w:val="20"/>
                <w:szCs w:val="20"/>
              </w:rPr>
              <w:t>t/a</w:t>
            </w:r>
            <w:r>
              <w:rPr>
                <w:b/>
                <w:bCs/>
                <w:spacing w:val="1"/>
                <w:sz w:val="20"/>
                <w:szCs w:val="20"/>
              </w:rPr>
              <w:t>）</w:t>
            </w:r>
          </w:p>
        </w:tc>
        <w:tc>
          <w:tcPr>
            <w:tcW w:w="1437" w:type="dxa"/>
            <w:tcBorders>
              <w:top w:val="single" w:color="000000" w:sz="10" w:space="0"/>
            </w:tcBorders>
            <w:vAlign w:val="top"/>
          </w:tcPr>
          <w:p w14:paraId="607D2FE7">
            <w:pPr>
              <w:pStyle w:val="6"/>
              <w:spacing w:before="70" w:line="228" w:lineRule="auto"/>
              <w:ind w:left="112"/>
              <w:rPr>
                <w:sz w:val="20"/>
                <w:szCs w:val="20"/>
              </w:rPr>
            </w:pPr>
            <w:r>
              <w:rPr>
                <w:b/>
                <w:bCs/>
                <w:spacing w:val="5"/>
                <w:sz w:val="20"/>
                <w:szCs w:val="20"/>
              </w:rPr>
              <w:t>含硫率（</w:t>
            </w:r>
            <w:r>
              <w:rPr>
                <w:rFonts w:ascii="Times New Roman" w:hAnsi="Times New Roman" w:eastAsia="Times New Roman" w:cs="Times New Roman"/>
                <w:b/>
                <w:bCs/>
                <w:spacing w:val="5"/>
                <w:sz w:val="20"/>
                <w:szCs w:val="20"/>
              </w:rPr>
              <w:t>%</w:t>
            </w:r>
            <w:r>
              <w:rPr>
                <w:b/>
                <w:bCs/>
                <w:spacing w:val="5"/>
                <w:sz w:val="20"/>
                <w:szCs w:val="20"/>
              </w:rPr>
              <w:t>）</w:t>
            </w:r>
          </w:p>
        </w:tc>
        <w:tc>
          <w:tcPr>
            <w:tcW w:w="1081" w:type="dxa"/>
            <w:tcBorders>
              <w:top w:val="single" w:color="000000" w:sz="10" w:space="0"/>
              <w:right w:val="nil"/>
            </w:tcBorders>
            <w:vAlign w:val="top"/>
          </w:tcPr>
          <w:p w14:paraId="521978BE">
            <w:pPr>
              <w:pStyle w:val="6"/>
              <w:spacing w:before="70" w:line="228" w:lineRule="auto"/>
              <w:ind w:left="230"/>
              <w:rPr>
                <w:sz w:val="20"/>
                <w:szCs w:val="20"/>
              </w:rPr>
            </w:pPr>
            <w:r>
              <w:rPr>
                <w:b/>
                <w:bCs/>
                <w:spacing w:val="5"/>
                <w:sz w:val="20"/>
                <w:szCs w:val="20"/>
              </w:rPr>
              <w:t>含硫量</w:t>
            </w:r>
          </w:p>
        </w:tc>
      </w:tr>
      <w:tr w14:paraId="400EB8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46" w:type="dxa"/>
            <w:tcBorders>
              <w:left w:val="nil"/>
            </w:tcBorders>
            <w:vAlign w:val="top"/>
          </w:tcPr>
          <w:p w14:paraId="5A49DE55">
            <w:pPr>
              <w:spacing w:before="98" w:line="195" w:lineRule="auto"/>
              <w:ind w:left="295"/>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790" w:type="dxa"/>
            <w:vAlign w:val="top"/>
          </w:tcPr>
          <w:p w14:paraId="785BD15E">
            <w:pPr>
              <w:pStyle w:val="6"/>
              <w:spacing w:before="62" w:line="228" w:lineRule="auto"/>
              <w:ind w:left="446"/>
              <w:rPr>
                <w:sz w:val="20"/>
                <w:szCs w:val="20"/>
              </w:rPr>
            </w:pPr>
            <w:r>
              <w:rPr>
                <w:spacing w:val="4"/>
                <w:sz w:val="20"/>
                <w:szCs w:val="20"/>
              </w:rPr>
              <w:t>焦炭（含水率</w:t>
            </w:r>
            <w:r>
              <w:rPr>
                <w:spacing w:val="-18"/>
                <w:sz w:val="20"/>
                <w:szCs w:val="20"/>
              </w:rPr>
              <w:t xml:space="preserve"> </w:t>
            </w:r>
            <w:r>
              <w:rPr>
                <w:rFonts w:ascii="Times New Roman" w:hAnsi="Times New Roman" w:eastAsia="Times New Roman" w:cs="Times New Roman"/>
                <w:spacing w:val="4"/>
                <w:sz w:val="20"/>
                <w:szCs w:val="20"/>
              </w:rPr>
              <w:t>15%</w:t>
            </w:r>
            <w:r>
              <w:rPr>
                <w:spacing w:val="4"/>
                <w:sz w:val="20"/>
                <w:szCs w:val="20"/>
              </w:rPr>
              <w:t>）</w:t>
            </w:r>
          </w:p>
        </w:tc>
        <w:tc>
          <w:tcPr>
            <w:tcW w:w="1550" w:type="dxa"/>
            <w:vAlign w:val="top"/>
          </w:tcPr>
          <w:p w14:paraId="5372D424">
            <w:pPr>
              <w:spacing w:before="98" w:line="195" w:lineRule="auto"/>
              <w:ind w:left="46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292500</w:t>
            </w:r>
          </w:p>
        </w:tc>
        <w:tc>
          <w:tcPr>
            <w:tcW w:w="1363" w:type="dxa"/>
            <w:vAlign w:val="top"/>
          </w:tcPr>
          <w:p w14:paraId="2F6F1E1A">
            <w:pPr>
              <w:spacing w:before="98" w:line="195" w:lineRule="auto"/>
              <w:ind w:left="5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0.45</w:t>
            </w:r>
          </w:p>
        </w:tc>
        <w:tc>
          <w:tcPr>
            <w:tcW w:w="1125" w:type="dxa"/>
            <w:vAlign w:val="top"/>
          </w:tcPr>
          <w:p w14:paraId="14182469">
            <w:pPr>
              <w:spacing w:before="98" w:line="195" w:lineRule="auto"/>
              <w:ind w:left="24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1316.25</w:t>
            </w:r>
          </w:p>
        </w:tc>
        <w:tc>
          <w:tcPr>
            <w:tcW w:w="799" w:type="dxa"/>
            <w:vAlign w:val="top"/>
          </w:tcPr>
          <w:p w14:paraId="781A6875">
            <w:pPr>
              <w:spacing w:before="98" w:line="195" w:lineRule="auto"/>
              <w:ind w:left="369"/>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902" w:type="dxa"/>
            <w:vAlign w:val="top"/>
          </w:tcPr>
          <w:p w14:paraId="058C7A9F">
            <w:pPr>
              <w:pStyle w:val="6"/>
              <w:spacing w:before="62" w:line="228" w:lineRule="auto"/>
              <w:ind w:right="11"/>
              <w:jc w:val="right"/>
              <w:rPr>
                <w:sz w:val="20"/>
                <w:szCs w:val="20"/>
              </w:rPr>
            </w:pPr>
            <w:r>
              <w:rPr>
                <w:spacing w:val="4"/>
                <w:sz w:val="20"/>
                <w:szCs w:val="20"/>
              </w:rPr>
              <w:t>焦炭（含水率</w:t>
            </w:r>
            <w:r>
              <w:rPr>
                <w:spacing w:val="-32"/>
                <w:sz w:val="20"/>
                <w:szCs w:val="20"/>
              </w:rPr>
              <w:t xml:space="preserve"> </w:t>
            </w:r>
            <w:r>
              <w:rPr>
                <w:rFonts w:ascii="Times New Roman" w:hAnsi="Times New Roman" w:eastAsia="Times New Roman" w:cs="Times New Roman"/>
                <w:spacing w:val="4"/>
                <w:sz w:val="20"/>
                <w:szCs w:val="20"/>
              </w:rPr>
              <w:t>5%</w:t>
            </w:r>
            <w:r>
              <w:rPr>
                <w:spacing w:val="4"/>
                <w:sz w:val="20"/>
                <w:szCs w:val="20"/>
              </w:rPr>
              <w:t>）</w:t>
            </w:r>
          </w:p>
        </w:tc>
        <w:tc>
          <w:tcPr>
            <w:tcW w:w="1461" w:type="dxa"/>
            <w:vAlign w:val="top"/>
          </w:tcPr>
          <w:p w14:paraId="60B00E17">
            <w:pPr>
              <w:spacing w:before="98" w:line="195" w:lineRule="auto"/>
              <w:ind w:left="28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263017.99</w:t>
            </w:r>
          </w:p>
        </w:tc>
        <w:tc>
          <w:tcPr>
            <w:tcW w:w="1437" w:type="dxa"/>
            <w:vAlign w:val="top"/>
          </w:tcPr>
          <w:p w14:paraId="0ACC83DD">
            <w:pPr>
              <w:spacing w:before="98" w:line="195" w:lineRule="auto"/>
              <w:ind w:left="59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1081" w:type="dxa"/>
            <w:tcBorders>
              <w:right w:val="nil"/>
            </w:tcBorders>
            <w:vAlign w:val="top"/>
          </w:tcPr>
          <w:p w14:paraId="2D15F37C">
            <w:pPr>
              <w:spacing w:before="98" w:line="195" w:lineRule="auto"/>
              <w:ind w:left="2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1315.09</w:t>
            </w:r>
          </w:p>
        </w:tc>
      </w:tr>
      <w:tr w14:paraId="19D605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46" w:type="dxa"/>
            <w:tcBorders>
              <w:left w:val="nil"/>
            </w:tcBorders>
            <w:vAlign w:val="top"/>
          </w:tcPr>
          <w:p w14:paraId="4BC33665">
            <w:pPr>
              <w:rPr>
                <w:rFonts w:ascii="Arial"/>
                <w:sz w:val="21"/>
              </w:rPr>
            </w:pPr>
          </w:p>
        </w:tc>
        <w:tc>
          <w:tcPr>
            <w:tcW w:w="2790" w:type="dxa"/>
            <w:vAlign w:val="top"/>
          </w:tcPr>
          <w:p w14:paraId="0AECB8C0">
            <w:pPr>
              <w:rPr>
                <w:rFonts w:ascii="Arial"/>
                <w:sz w:val="21"/>
              </w:rPr>
            </w:pPr>
          </w:p>
        </w:tc>
        <w:tc>
          <w:tcPr>
            <w:tcW w:w="1550" w:type="dxa"/>
            <w:vAlign w:val="top"/>
          </w:tcPr>
          <w:p w14:paraId="5842333A">
            <w:pPr>
              <w:rPr>
                <w:rFonts w:ascii="Arial"/>
                <w:sz w:val="21"/>
              </w:rPr>
            </w:pPr>
          </w:p>
        </w:tc>
        <w:tc>
          <w:tcPr>
            <w:tcW w:w="1363" w:type="dxa"/>
            <w:vAlign w:val="top"/>
          </w:tcPr>
          <w:p w14:paraId="70D6485A">
            <w:pPr>
              <w:rPr>
                <w:rFonts w:ascii="Arial"/>
                <w:sz w:val="21"/>
              </w:rPr>
            </w:pPr>
          </w:p>
        </w:tc>
        <w:tc>
          <w:tcPr>
            <w:tcW w:w="1125" w:type="dxa"/>
            <w:vAlign w:val="top"/>
          </w:tcPr>
          <w:p w14:paraId="39C8A80A">
            <w:pPr>
              <w:rPr>
                <w:rFonts w:ascii="Arial"/>
                <w:sz w:val="21"/>
              </w:rPr>
            </w:pPr>
          </w:p>
        </w:tc>
        <w:tc>
          <w:tcPr>
            <w:tcW w:w="799" w:type="dxa"/>
            <w:vAlign w:val="top"/>
          </w:tcPr>
          <w:p w14:paraId="6BCE243E">
            <w:pPr>
              <w:spacing w:before="102" w:line="195" w:lineRule="auto"/>
              <w:ind w:left="349"/>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902" w:type="dxa"/>
            <w:vAlign w:val="top"/>
          </w:tcPr>
          <w:p w14:paraId="38960F92">
            <w:pPr>
              <w:pStyle w:val="6"/>
              <w:spacing w:before="63" w:line="228" w:lineRule="auto"/>
              <w:ind w:left="434"/>
              <w:rPr>
                <w:sz w:val="20"/>
                <w:szCs w:val="20"/>
              </w:rPr>
            </w:pPr>
            <w:r>
              <w:rPr>
                <w:spacing w:val="7"/>
                <w:sz w:val="20"/>
                <w:szCs w:val="20"/>
              </w:rPr>
              <w:t>无组织粉尘</w:t>
            </w:r>
          </w:p>
        </w:tc>
        <w:tc>
          <w:tcPr>
            <w:tcW w:w="1461" w:type="dxa"/>
            <w:vAlign w:val="top"/>
          </w:tcPr>
          <w:p w14:paraId="18AF8E25">
            <w:pPr>
              <w:spacing w:before="102" w:line="195" w:lineRule="auto"/>
              <w:ind w:left="5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0.87</w:t>
            </w:r>
          </w:p>
        </w:tc>
        <w:tc>
          <w:tcPr>
            <w:tcW w:w="1437" w:type="dxa"/>
            <w:vAlign w:val="top"/>
          </w:tcPr>
          <w:p w14:paraId="7EF35747">
            <w:pPr>
              <w:spacing w:before="102" w:line="195" w:lineRule="auto"/>
              <w:ind w:left="59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1081" w:type="dxa"/>
            <w:tcBorders>
              <w:right w:val="nil"/>
            </w:tcBorders>
            <w:vAlign w:val="top"/>
          </w:tcPr>
          <w:p w14:paraId="2D96A71F">
            <w:pPr>
              <w:spacing w:before="102" w:line="195"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0.004</w:t>
            </w:r>
          </w:p>
        </w:tc>
      </w:tr>
      <w:tr w14:paraId="7327D3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46" w:type="dxa"/>
            <w:tcBorders>
              <w:left w:val="nil"/>
            </w:tcBorders>
            <w:vAlign w:val="top"/>
          </w:tcPr>
          <w:p w14:paraId="740A04F4">
            <w:pPr>
              <w:rPr>
                <w:rFonts w:ascii="Arial"/>
                <w:sz w:val="21"/>
              </w:rPr>
            </w:pPr>
          </w:p>
        </w:tc>
        <w:tc>
          <w:tcPr>
            <w:tcW w:w="2790" w:type="dxa"/>
            <w:vAlign w:val="top"/>
          </w:tcPr>
          <w:p w14:paraId="032FC8A6">
            <w:pPr>
              <w:rPr>
                <w:rFonts w:ascii="Arial"/>
                <w:sz w:val="21"/>
              </w:rPr>
            </w:pPr>
          </w:p>
        </w:tc>
        <w:tc>
          <w:tcPr>
            <w:tcW w:w="1550" w:type="dxa"/>
            <w:vAlign w:val="top"/>
          </w:tcPr>
          <w:p w14:paraId="0BF058C6">
            <w:pPr>
              <w:rPr>
                <w:rFonts w:ascii="Arial"/>
                <w:sz w:val="21"/>
              </w:rPr>
            </w:pPr>
          </w:p>
        </w:tc>
        <w:tc>
          <w:tcPr>
            <w:tcW w:w="1363" w:type="dxa"/>
            <w:vAlign w:val="top"/>
          </w:tcPr>
          <w:p w14:paraId="6E09D1FA">
            <w:pPr>
              <w:rPr>
                <w:rFonts w:ascii="Arial"/>
                <w:sz w:val="21"/>
              </w:rPr>
            </w:pPr>
          </w:p>
        </w:tc>
        <w:tc>
          <w:tcPr>
            <w:tcW w:w="1125" w:type="dxa"/>
            <w:vAlign w:val="top"/>
          </w:tcPr>
          <w:p w14:paraId="75DE2BF8">
            <w:pPr>
              <w:rPr>
                <w:rFonts w:ascii="Arial"/>
                <w:sz w:val="21"/>
              </w:rPr>
            </w:pPr>
          </w:p>
        </w:tc>
        <w:tc>
          <w:tcPr>
            <w:tcW w:w="799" w:type="dxa"/>
            <w:vAlign w:val="top"/>
          </w:tcPr>
          <w:p w14:paraId="786C6917">
            <w:pPr>
              <w:spacing w:before="106" w:line="195" w:lineRule="auto"/>
              <w:ind w:left="353"/>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902" w:type="dxa"/>
            <w:vAlign w:val="top"/>
          </w:tcPr>
          <w:p w14:paraId="7B1C41C5">
            <w:pPr>
              <w:pStyle w:val="6"/>
              <w:spacing w:before="67" w:line="228" w:lineRule="auto"/>
              <w:ind w:left="433"/>
              <w:rPr>
                <w:sz w:val="20"/>
                <w:szCs w:val="20"/>
              </w:rPr>
            </w:pPr>
            <w:r>
              <w:rPr>
                <w:spacing w:val="7"/>
                <w:sz w:val="20"/>
                <w:szCs w:val="20"/>
              </w:rPr>
              <w:t>有组织粉尘</w:t>
            </w:r>
          </w:p>
        </w:tc>
        <w:tc>
          <w:tcPr>
            <w:tcW w:w="1461" w:type="dxa"/>
            <w:vAlign w:val="top"/>
          </w:tcPr>
          <w:p w14:paraId="634BF222">
            <w:pPr>
              <w:spacing w:before="106" w:line="195" w:lineRule="auto"/>
              <w:ind w:left="5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2.28</w:t>
            </w:r>
          </w:p>
        </w:tc>
        <w:tc>
          <w:tcPr>
            <w:tcW w:w="1437" w:type="dxa"/>
            <w:vAlign w:val="top"/>
          </w:tcPr>
          <w:p w14:paraId="01F4F23D">
            <w:pPr>
              <w:spacing w:before="106" w:line="195" w:lineRule="auto"/>
              <w:ind w:left="59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1081" w:type="dxa"/>
            <w:tcBorders>
              <w:right w:val="nil"/>
            </w:tcBorders>
            <w:vAlign w:val="top"/>
          </w:tcPr>
          <w:p w14:paraId="7984E3F7">
            <w:pPr>
              <w:spacing w:before="106" w:line="195" w:lineRule="auto"/>
              <w:ind w:left="3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w:t>
            </w:r>
          </w:p>
        </w:tc>
      </w:tr>
      <w:tr w14:paraId="14DC9B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46" w:type="dxa"/>
            <w:tcBorders>
              <w:left w:val="nil"/>
            </w:tcBorders>
            <w:vAlign w:val="top"/>
          </w:tcPr>
          <w:p w14:paraId="3CAF9D2D">
            <w:pPr>
              <w:rPr>
                <w:rFonts w:ascii="Arial"/>
                <w:sz w:val="21"/>
              </w:rPr>
            </w:pPr>
          </w:p>
        </w:tc>
        <w:tc>
          <w:tcPr>
            <w:tcW w:w="2790" w:type="dxa"/>
            <w:vAlign w:val="top"/>
          </w:tcPr>
          <w:p w14:paraId="46B10124">
            <w:pPr>
              <w:rPr>
                <w:rFonts w:ascii="Arial"/>
                <w:sz w:val="21"/>
              </w:rPr>
            </w:pPr>
          </w:p>
        </w:tc>
        <w:tc>
          <w:tcPr>
            <w:tcW w:w="1550" w:type="dxa"/>
            <w:vAlign w:val="top"/>
          </w:tcPr>
          <w:p w14:paraId="4E503C6B">
            <w:pPr>
              <w:rPr>
                <w:rFonts w:ascii="Arial"/>
                <w:sz w:val="21"/>
              </w:rPr>
            </w:pPr>
          </w:p>
        </w:tc>
        <w:tc>
          <w:tcPr>
            <w:tcW w:w="1363" w:type="dxa"/>
            <w:vAlign w:val="top"/>
          </w:tcPr>
          <w:p w14:paraId="6B82469B">
            <w:pPr>
              <w:rPr>
                <w:rFonts w:ascii="Arial"/>
                <w:sz w:val="21"/>
              </w:rPr>
            </w:pPr>
          </w:p>
        </w:tc>
        <w:tc>
          <w:tcPr>
            <w:tcW w:w="1125" w:type="dxa"/>
            <w:vAlign w:val="top"/>
          </w:tcPr>
          <w:p w14:paraId="77009235">
            <w:pPr>
              <w:rPr>
                <w:rFonts w:ascii="Arial"/>
                <w:sz w:val="21"/>
              </w:rPr>
            </w:pPr>
          </w:p>
        </w:tc>
        <w:tc>
          <w:tcPr>
            <w:tcW w:w="799" w:type="dxa"/>
            <w:vAlign w:val="top"/>
          </w:tcPr>
          <w:p w14:paraId="09732444">
            <w:pPr>
              <w:spacing w:before="107" w:line="195" w:lineRule="auto"/>
              <w:ind w:left="34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902" w:type="dxa"/>
            <w:vAlign w:val="top"/>
          </w:tcPr>
          <w:p w14:paraId="347F58E5">
            <w:pPr>
              <w:pStyle w:val="6"/>
              <w:spacing w:before="71" w:line="228" w:lineRule="auto"/>
              <w:ind w:left="653"/>
              <w:rPr>
                <w:sz w:val="20"/>
                <w:szCs w:val="20"/>
              </w:rPr>
            </w:pPr>
            <w:r>
              <w:rPr>
                <w:spacing w:val="2"/>
                <w:sz w:val="20"/>
                <w:szCs w:val="20"/>
              </w:rPr>
              <w:t>除尘灰</w:t>
            </w:r>
          </w:p>
        </w:tc>
        <w:tc>
          <w:tcPr>
            <w:tcW w:w="1461" w:type="dxa"/>
            <w:vAlign w:val="top"/>
          </w:tcPr>
          <w:p w14:paraId="6355DD37">
            <w:pPr>
              <w:spacing w:before="107" w:line="195"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225.88</w:t>
            </w:r>
          </w:p>
        </w:tc>
        <w:tc>
          <w:tcPr>
            <w:tcW w:w="1437" w:type="dxa"/>
            <w:vAlign w:val="top"/>
          </w:tcPr>
          <w:p w14:paraId="3B051B68">
            <w:pPr>
              <w:spacing w:before="107" w:line="195" w:lineRule="auto"/>
              <w:ind w:left="59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1081" w:type="dxa"/>
            <w:tcBorders>
              <w:right w:val="nil"/>
            </w:tcBorders>
            <w:vAlign w:val="top"/>
          </w:tcPr>
          <w:p w14:paraId="42DD944D">
            <w:pPr>
              <w:spacing w:before="107" w:line="195" w:lineRule="auto"/>
              <w:ind w:left="37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8"/>
                <w:sz w:val="20"/>
                <w:szCs w:val="20"/>
              </w:rPr>
              <w:t>14</w:t>
            </w:r>
          </w:p>
        </w:tc>
      </w:tr>
      <w:tr w14:paraId="4F189D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46" w:type="dxa"/>
            <w:tcBorders>
              <w:left w:val="nil"/>
            </w:tcBorders>
            <w:vAlign w:val="top"/>
          </w:tcPr>
          <w:p w14:paraId="752229C9">
            <w:pPr>
              <w:rPr>
                <w:rFonts w:ascii="Arial"/>
                <w:sz w:val="21"/>
              </w:rPr>
            </w:pPr>
          </w:p>
        </w:tc>
        <w:tc>
          <w:tcPr>
            <w:tcW w:w="2790" w:type="dxa"/>
            <w:vAlign w:val="top"/>
          </w:tcPr>
          <w:p w14:paraId="34A4B9A1">
            <w:pPr>
              <w:rPr>
                <w:rFonts w:ascii="Arial"/>
                <w:sz w:val="21"/>
              </w:rPr>
            </w:pPr>
          </w:p>
        </w:tc>
        <w:tc>
          <w:tcPr>
            <w:tcW w:w="1550" w:type="dxa"/>
            <w:vAlign w:val="top"/>
          </w:tcPr>
          <w:p w14:paraId="07987349">
            <w:pPr>
              <w:rPr>
                <w:rFonts w:ascii="Arial"/>
                <w:sz w:val="21"/>
              </w:rPr>
            </w:pPr>
          </w:p>
        </w:tc>
        <w:tc>
          <w:tcPr>
            <w:tcW w:w="1363" w:type="dxa"/>
            <w:vAlign w:val="top"/>
          </w:tcPr>
          <w:p w14:paraId="54F46B13">
            <w:pPr>
              <w:rPr>
                <w:rFonts w:ascii="Arial"/>
                <w:sz w:val="21"/>
              </w:rPr>
            </w:pPr>
          </w:p>
        </w:tc>
        <w:tc>
          <w:tcPr>
            <w:tcW w:w="1125" w:type="dxa"/>
            <w:vAlign w:val="top"/>
          </w:tcPr>
          <w:p w14:paraId="725C7F70">
            <w:pPr>
              <w:rPr>
                <w:rFonts w:ascii="Arial"/>
                <w:sz w:val="21"/>
              </w:rPr>
            </w:pPr>
          </w:p>
        </w:tc>
        <w:tc>
          <w:tcPr>
            <w:tcW w:w="799" w:type="dxa"/>
            <w:vAlign w:val="top"/>
          </w:tcPr>
          <w:p w14:paraId="2A2B058E">
            <w:pPr>
              <w:spacing w:before="114" w:line="192" w:lineRule="auto"/>
              <w:ind w:left="354"/>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902" w:type="dxa"/>
            <w:vAlign w:val="top"/>
          </w:tcPr>
          <w:p w14:paraId="45A090B8">
            <w:pPr>
              <w:pStyle w:val="6"/>
              <w:spacing w:before="72" w:line="228" w:lineRule="auto"/>
              <w:ind w:left="537"/>
              <w:rPr>
                <w:sz w:val="20"/>
                <w:szCs w:val="20"/>
              </w:rPr>
            </w:pPr>
            <w:r>
              <w:rPr>
                <w:spacing w:val="6"/>
                <w:sz w:val="20"/>
                <w:szCs w:val="20"/>
              </w:rPr>
              <w:t>车间沉降</w:t>
            </w:r>
          </w:p>
        </w:tc>
        <w:tc>
          <w:tcPr>
            <w:tcW w:w="1461" w:type="dxa"/>
            <w:vAlign w:val="top"/>
          </w:tcPr>
          <w:p w14:paraId="3627C3D8">
            <w:pPr>
              <w:spacing w:before="111" w:line="195" w:lineRule="auto"/>
              <w:ind w:left="5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3.47</w:t>
            </w:r>
          </w:p>
        </w:tc>
        <w:tc>
          <w:tcPr>
            <w:tcW w:w="1437" w:type="dxa"/>
            <w:vAlign w:val="top"/>
          </w:tcPr>
          <w:p w14:paraId="2E12CC13">
            <w:pPr>
              <w:spacing w:before="111" w:line="195" w:lineRule="auto"/>
              <w:ind w:left="59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1081" w:type="dxa"/>
            <w:tcBorders>
              <w:right w:val="nil"/>
            </w:tcBorders>
            <w:vAlign w:val="top"/>
          </w:tcPr>
          <w:p w14:paraId="037DE013">
            <w:pPr>
              <w:spacing w:before="111" w:line="195" w:lineRule="auto"/>
              <w:ind w:left="3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r>
      <w:tr w14:paraId="65ED22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46" w:type="dxa"/>
            <w:tcBorders>
              <w:left w:val="nil"/>
            </w:tcBorders>
            <w:vAlign w:val="top"/>
          </w:tcPr>
          <w:p w14:paraId="5BB68C4B">
            <w:pPr>
              <w:rPr>
                <w:rFonts w:ascii="Arial"/>
                <w:sz w:val="21"/>
              </w:rPr>
            </w:pPr>
          </w:p>
        </w:tc>
        <w:tc>
          <w:tcPr>
            <w:tcW w:w="2790" w:type="dxa"/>
            <w:vAlign w:val="top"/>
          </w:tcPr>
          <w:p w14:paraId="499FC69F">
            <w:pPr>
              <w:rPr>
                <w:rFonts w:ascii="Arial"/>
                <w:sz w:val="21"/>
              </w:rPr>
            </w:pPr>
          </w:p>
        </w:tc>
        <w:tc>
          <w:tcPr>
            <w:tcW w:w="1550" w:type="dxa"/>
            <w:vAlign w:val="top"/>
          </w:tcPr>
          <w:p w14:paraId="37464DC3">
            <w:pPr>
              <w:rPr>
                <w:rFonts w:ascii="Arial"/>
                <w:sz w:val="21"/>
              </w:rPr>
            </w:pPr>
          </w:p>
        </w:tc>
        <w:tc>
          <w:tcPr>
            <w:tcW w:w="1363" w:type="dxa"/>
            <w:vAlign w:val="top"/>
          </w:tcPr>
          <w:p w14:paraId="5DED3F10">
            <w:pPr>
              <w:rPr>
                <w:rFonts w:ascii="Arial"/>
                <w:sz w:val="21"/>
              </w:rPr>
            </w:pPr>
          </w:p>
        </w:tc>
        <w:tc>
          <w:tcPr>
            <w:tcW w:w="1125" w:type="dxa"/>
            <w:vAlign w:val="top"/>
          </w:tcPr>
          <w:p w14:paraId="6BFF2E38">
            <w:pPr>
              <w:rPr>
                <w:rFonts w:ascii="Arial"/>
                <w:sz w:val="21"/>
              </w:rPr>
            </w:pPr>
          </w:p>
        </w:tc>
        <w:tc>
          <w:tcPr>
            <w:tcW w:w="799" w:type="dxa"/>
            <w:vAlign w:val="top"/>
          </w:tcPr>
          <w:p w14:paraId="5F3FD96A">
            <w:pPr>
              <w:spacing w:before="115" w:line="195" w:lineRule="auto"/>
              <w:ind w:left="353"/>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902" w:type="dxa"/>
            <w:vAlign w:val="top"/>
          </w:tcPr>
          <w:p w14:paraId="371AF5CF">
            <w:pPr>
              <w:pStyle w:val="6"/>
              <w:spacing w:before="77" w:line="226" w:lineRule="auto"/>
              <w:ind w:left="534"/>
              <w:rPr>
                <w:sz w:val="20"/>
                <w:szCs w:val="20"/>
              </w:rPr>
            </w:pPr>
            <w:r>
              <w:rPr>
                <w:spacing w:val="7"/>
                <w:sz w:val="20"/>
                <w:szCs w:val="20"/>
              </w:rPr>
              <w:t>烧失损失</w:t>
            </w:r>
          </w:p>
        </w:tc>
        <w:tc>
          <w:tcPr>
            <w:tcW w:w="1461" w:type="dxa"/>
            <w:vAlign w:val="top"/>
          </w:tcPr>
          <w:p w14:paraId="4B03D97C">
            <w:pPr>
              <w:spacing w:before="115" w:line="195" w:lineRule="auto"/>
              <w:ind w:left="33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29249.51</w:t>
            </w:r>
          </w:p>
        </w:tc>
        <w:tc>
          <w:tcPr>
            <w:tcW w:w="1437" w:type="dxa"/>
            <w:vAlign w:val="top"/>
          </w:tcPr>
          <w:p w14:paraId="3E158AD5">
            <w:pPr>
              <w:rPr>
                <w:rFonts w:ascii="Arial"/>
                <w:sz w:val="21"/>
              </w:rPr>
            </w:pPr>
          </w:p>
        </w:tc>
        <w:tc>
          <w:tcPr>
            <w:tcW w:w="1081" w:type="dxa"/>
            <w:tcBorders>
              <w:right w:val="nil"/>
            </w:tcBorders>
            <w:vAlign w:val="top"/>
          </w:tcPr>
          <w:p w14:paraId="272EA6A4">
            <w:pPr>
              <w:rPr>
                <w:rFonts w:ascii="Arial"/>
                <w:sz w:val="21"/>
              </w:rPr>
            </w:pPr>
          </w:p>
        </w:tc>
      </w:tr>
      <w:tr w14:paraId="029C8F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646" w:type="dxa"/>
            <w:tcBorders>
              <w:left w:val="nil"/>
              <w:bottom w:val="single" w:color="000000" w:sz="10" w:space="0"/>
            </w:tcBorders>
            <w:vAlign w:val="top"/>
          </w:tcPr>
          <w:p w14:paraId="79400EEF">
            <w:pPr>
              <w:rPr>
                <w:rFonts w:ascii="Arial"/>
                <w:sz w:val="21"/>
              </w:rPr>
            </w:pPr>
          </w:p>
        </w:tc>
        <w:tc>
          <w:tcPr>
            <w:tcW w:w="2790" w:type="dxa"/>
            <w:tcBorders>
              <w:bottom w:val="single" w:color="000000" w:sz="10" w:space="0"/>
            </w:tcBorders>
            <w:vAlign w:val="top"/>
          </w:tcPr>
          <w:p w14:paraId="161B8CAF">
            <w:pPr>
              <w:pStyle w:val="6"/>
              <w:spacing w:before="80" w:line="229" w:lineRule="auto"/>
              <w:ind w:left="1196"/>
              <w:rPr>
                <w:sz w:val="20"/>
                <w:szCs w:val="20"/>
              </w:rPr>
            </w:pPr>
            <w:r>
              <w:rPr>
                <w:spacing w:val="2"/>
                <w:sz w:val="20"/>
                <w:szCs w:val="20"/>
              </w:rPr>
              <w:t>小计</w:t>
            </w:r>
          </w:p>
        </w:tc>
        <w:tc>
          <w:tcPr>
            <w:tcW w:w="1550" w:type="dxa"/>
            <w:tcBorders>
              <w:bottom w:val="single" w:color="000000" w:sz="10" w:space="0"/>
            </w:tcBorders>
            <w:vAlign w:val="top"/>
          </w:tcPr>
          <w:p w14:paraId="032A2A38">
            <w:pPr>
              <w:spacing w:before="116" w:line="195" w:lineRule="auto"/>
              <w:ind w:left="46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292500</w:t>
            </w:r>
          </w:p>
        </w:tc>
        <w:tc>
          <w:tcPr>
            <w:tcW w:w="1363" w:type="dxa"/>
            <w:tcBorders>
              <w:bottom w:val="single" w:color="000000" w:sz="10" w:space="0"/>
            </w:tcBorders>
            <w:vAlign w:val="top"/>
          </w:tcPr>
          <w:p w14:paraId="1CC4AF80">
            <w:pPr>
              <w:rPr>
                <w:rFonts w:ascii="Arial"/>
                <w:sz w:val="21"/>
              </w:rPr>
            </w:pPr>
          </w:p>
        </w:tc>
        <w:tc>
          <w:tcPr>
            <w:tcW w:w="1125" w:type="dxa"/>
            <w:tcBorders>
              <w:bottom w:val="single" w:color="000000" w:sz="10" w:space="0"/>
            </w:tcBorders>
            <w:vAlign w:val="top"/>
          </w:tcPr>
          <w:p w14:paraId="67DC3865">
            <w:pPr>
              <w:spacing w:before="116" w:line="195" w:lineRule="auto"/>
              <w:ind w:left="24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1316.25</w:t>
            </w:r>
          </w:p>
        </w:tc>
        <w:tc>
          <w:tcPr>
            <w:tcW w:w="799" w:type="dxa"/>
            <w:tcBorders>
              <w:bottom w:val="single" w:color="000000" w:sz="10" w:space="0"/>
            </w:tcBorders>
            <w:vAlign w:val="top"/>
          </w:tcPr>
          <w:p w14:paraId="4733C31B">
            <w:pPr>
              <w:rPr>
                <w:rFonts w:ascii="Arial"/>
                <w:sz w:val="21"/>
              </w:rPr>
            </w:pPr>
          </w:p>
        </w:tc>
        <w:tc>
          <w:tcPr>
            <w:tcW w:w="1902" w:type="dxa"/>
            <w:tcBorders>
              <w:bottom w:val="single" w:color="000000" w:sz="10" w:space="0"/>
            </w:tcBorders>
            <w:vAlign w:val="top"/>
          </w:tcPr>
          <w:p w14:paraId="6805C5DA">
            <w:pPr>
              <w:pStyle w:val="6"/>
              <w:spacing w:before="80" w:line="229" w:lineRule="auto"/>
              <w:ind w:left="752"/>
              <w:rPr>
                <w:sz w:val="20"/>
                <w:szCs w:val="20"/>
              </w:rPr>
            </w:pPr>
            <w:r>
              <w:rPr>
                <w:spacing w:val="2"/>
                <w:sz w:val="20"/>
                <w:szCs w:val="20"/>
              </w:rPr>
              <w:t>小计</w:t>
            </w:r>
          </w:p>
        </w:tc>
        <w:tc>
          <w:tcPr>
            <w:tcW w:w="1461" w:type="dxa"/>
            <w:tcBorders>
              <w:bottom w:val="single" w:color="000000" w:sz="10" w:space="0"/>
            </w:tcBorders>
            <w:vAlign w:val="top"/>
          </w:tcPr>
          <w:p w14:paraId="63745142">
            <w:pPr>
              <w:spacing w:before="116" w:line="195" w:lineRule="auto"/>
              <w:ind w:left="41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292500</w:t>
            </w:r>
          </w:p>
        </w:tc>
        <w:tc>
          <w:tcPr>
            <w:tcW w:w="1437" w:type="dxa"/>
            <w:tcBorders>
              <w:bottom w:val="single" w:color="000000" w:sz="10" w:space="0"/>
            </w:tcBorders>
            <w:vAlign w:val="top"/>
          </w:tcPr>
          <w:p w14:paraId="275BED8B">
            <w:pPr>
              <w:rPr>
                <w:rFonts w:ascii="Arial"/>
                <w:sz w:val="21"/>
              </w:rPr>
            </w:pPr>
          </w:p>
        </w:tc>
        <w:tc>
          <w:tcPr>
            <w:tcW w:w="1081" w:type="dxa"/>
            <w:tcBorders>
              <w:bottom w:val="single" w:color="000000" w:sz="10" w:space="0"/>
              <w:right w:val="nil"/>
            </w:tcBorders>
            <w:vAlign w:val="top"/>
          </w:tcPr>
          <w:p w14:paraId="60AB91EC">
            <w:pPr>
              <w:spacing w:before="116" w:line="195" w:lineRule="auto"/>
              <w:ind w:left="2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1316.25</w:t>
            </w:r>
          </w:p>
        </w:tc>
      </w:tr>
    </w:tbl>
    <w:p w14:paraId="310827D6">
      <w:pPr>
        <w:pStyle w:val="2"/>
      </w:pPr>
    </w:p>
    <w:p w14:paraId="25C2ADF4">
      <w:pPr>
        <w:sectPr>
          <w:headerReference r:id="rId148" w:type="default"/>
          <w:footerReference r:id="rId149" w:type="default"/>
          <w:pgSz w:w="16781" w:h="11850"/>
          <w:pgMar w:top="1178" w:right="1312" w:bottom="1013" w:left="1313" w:header="870" w:footer="850" w:gutter="0"/>
          <w:cols w:space="720" w:num="1"/>
        </w:sectPr>
      </w:pPr>
    </w:p>
    <w:p w14:paraId="4272FE8F">
      <w:pPr>
        <w:pStyle w:val="2"/>
        <w:spacing w:line="308" w:lineRule="auto"/>
      </w:pPr>
      <w:r>
        <w:pict>
          <v:shape id="_x0000_s1190" o:spid="_x0000_s1190" style="position:absolute;left:0pt;margin-left:5.4pt;margin-top:0.7pt;height:0.75pt;width:697.35pt;z-index:251848704;mso-width-relative:page;mso-height-relative:page;" fillcolor="#000000" filled="t" stroked="f" coordsize="13946,15" path="m0,0l13946,0,13946,14,0,14,0,0xe">
            <v:path/>
            <v:fill on="t" focussize="0,0"/>
            <v:stroke on="f"/>
            <v:imagedata o:title=""/>
            <o:lock v:ext="edit"/>
          </v:shape>
        </w:pict>
      </w:r>
    </w:p>
    <w:p w14:paraId="106499FC">
      <w:pPr>
        <w:spacing w:before="65" w:line="227" w:lineRule="auto"/>
        <w:ind w:left="4674"/>
        <w:rPr>
          <w:rFonts w:ascii="Times New Roman" w:hAnsi="Times New Roman" w:eastAsia="Times New Roman" w:cs="Times New Roman"/>
          <w:sz w:val="20"/>
          <w:szCs w:val="20"/>
        </w:rPr>
      </w:pPr>
      <w:r>
        <w:rPr>
          <w:rFonts w:ascii="宋体" w:hAnsi="宋体" w:eastAsia="宋体" w:cs="宋体"/>
          <w:b/>
          <w:bCs/>
          <w:spacing w:val="5"/>
          <w:sz w:val="20"/>
          <w:szCs w:val="20"/>
        </w:rPr>
        <w:t>表</w:t>
      </w:r>
      <w:r>
        <w:rPr>
          <w:rFonts w:ascii="宋体" w:hAnsi="宋体" w:eastAsia="宋体" w:cs="宋体"/>
          <w:spacing w:val="-36"/>
          <w:sz w:val="20"/>
          <w:szCs w:val="20"/>
        </w:rPr>
        <w:t xml:space="preserve"> </w:t>
      </w:r>
      <w:r>
        <w:rPr>
          <w:rFonts w:ascii="Times New Roman" w:hAnsi="Times New Roman" w:eastAsia="Times New Roman" w:cs="Times New Roman"/>
          <w:b/>
          <w:bCs/>
          <w:spacing w:val="5"/>
          <w:sz w:val="20"/>
          <w:szCs w:val="20"/>
        </w:rPr>
        <w:t xml:space="preserve">2.3-5          </w:t>
      </w:r>
      <w:r>
        <w:rPr>
          <w:rFonts w:ascii="宋体" w:hAnsi="宋体" w:eastAsia="宋体" w:cs="宋体"/>
          <w:b/>
          <w:bCs/>
          <w:spacing w:val="5"/>
          <w:sz w:val="20"/>
          <w:szCs w:val="20"/>
        </w:rPr>
        <w:t>烧结生产物料平衡分析表</w:t>
      </w:r>
      <w:r>
        <w:rPr>
          <w:rFonts w:ascii="宋体" w:hAnsi="宋体" w:eastAsia="宋体" w:cs="宋体"/>
          <w:spacing w:val="5"/>
          <w:sz w:val="20"/>
          <w:szCs w:val="20"/>
        </w:rPr>
        <w:t xml:space="preserve">    </w:t>
      </w:r>
      <w:r>
        <w:rPr>
          <w:rFonts w:ascii="宋体" w:hAnsi="宋体" w:eastAsia="宋体" w:cs="宋体"/>
          <w:b/>
          <w:bCs/>
          <w:spacing w:val="5"/>
          <w:sz w:val="20"/>
          <w:szCs w:val="20"/>
        </w:rPr>
        <w:t>单位：</w:t>
      </w:r>
      <w:r>
        <w:rPr>
          <w:rFonts w:ascii="Times New Roman" w:hAnsi="Times New Roman" w:eastAsia="Times New Roman" w:cs="Times New Roman"/>
          <w:b/>
          <w:bCs/>
          <w:spacing w:val="5"/>
          <w:sz w:val="20"/>
          <w:szCs w:val="20"/>
        </w:rPr>
        <w:t>t/a</w:t>
      </w:r>
    </w:p>
    <w:p w14:paraId="41E4FAEF">
      <w:pPr>
        <w:spacing w:line="98" w:lineRule="exact"/>
      </w:pPr>
    </w:p>
    <w:tbl>
      <w:tblPr>
        <w:tblStyle w:val="5"/>
        <w:tblW w:w="1416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87"/>
        <w:gridCol w:w="1226"/>
        <w:gridCol w:w="1211"/>
        <w:gridCol w:w="900"/>
        <w:gridCol w:w="1175"/>
        <w:gridCol w:w="900"/>
        <w:gridCol w:w="1039"/>
        <w:gridCol w:w="498"/>
        <w:gridCol w:w="1800"/>
        <w:gridCol w:w="1126"/>
        <w:gridCol w:w="900"/>
        <w:gridCol w:w="1149"/>
        <w:gridCol w:w="925"/>
        <w:gridCol w:w="926"/>
      </w:tblGrid>
      <w:tr w14:paraId="3FDC05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8" w:hRule="atLeast"/>
        </w:trPr>
        <w:tc>
          <w:tcPr>
            <w:tcW w:w="387" w:type="dxa"/>
            <w:tcBorders>
              <w:top w:val="single" w:color="000000" w:sz="10" w:space="0"/>
              <w:left w:val="nil"/>
            </w:tcBorders>
            <w:textDirection w:val="tbRlV"/>
            <w:vAlign w:val="top"/>
          </w:tcPr>
          <w:p w14:paraId="79E19ECE">
            <w:pPr>
              <w:pStyle w:val="6"/>
              <w:spacing w:before="68" w:line="218" w:lineRule="auto"/>
              <w:ind w:left="59"/>
              <w:rPr>
                <w:sz w:val="20"/>
                <w:szCs w:val="20"/>
              </w:rPr>
            </w:pPr>
            <w:r>
              <w:rPr>
                <w:b/>
                <w:bCs/>
                <w:spacing w:val="6"/>
                <w:sz w:val="20"/>
                <w:szCs w:val="20"/>
              </w:rPr>
              <w:t>序</w:t>
            </w:r>
            <w:r>
              <w:rPr>
                <w:spacing w:val="13"/>
                <w:sz w:val="20"/>
                <w:szCs w:val="20"/>
              </w:rPr>
              <w:t xml:space="preserve"> </w:t>
            </w:r>
            <w:r>
              <w:rPr>
                <w:b/>
                <w:bCs/>
                <w:spacing w:val="6"/>
                <w:sz w:val="20"/>
                <w:szCs w:val="20"/>
              </w:rPr>
              <w:t>号</w:t>
            </w:r>
          </w:p>
        </w:tc>
        <w:tc>
          <w:tcPr>
            <w:tcW w:w="1226" w:type="dxa"/>
            <w:tcBorders>
              <w:top w:val="single" w:color="000000" w:sz="10" w:space="0"/>
            </w:tcBorders>
            <w:vAlign w:val="top"/>
          </w:tcPr>
          <w:p w14:paraId="7FC9BA7D">
            <w:pPr>
              <w:pStyle w:val="6"/>
              <w:spacing w:before="218" w:line="228" w:lineRule="auto"/>
              <w:ind w:left="194"/>
              <w:rPr>
                <w:sz w:val="20"/>
                <w:szCs w:val="20"/>
              </w:rPr>
            </w:pPr>
            <w:r>
              <w:rPr>
                <w:b/>
                <w:bCs/>
                <w:spacing w:val="6"/>
                <w:sz w:val="20"/>
                <w:szCs w:val="20"/>
              </w:rPr>
              <w:t>进料名称</w:t>
            </w:r>
          </w:p>
        </w:tc>
        <w:tc>
          <w:tcPr>
            <w:tcW w:w="1211" w:type="dxa"/>
            <w:tcBorders>
              <w:top w:val="single" w:color="000000" w:sz="10" w:space="0"/>
            </w:tcBorders>
            <w:vAlign w:val="top"/>
          </w:tcPr>
          <w:p w14:paraId="546E3DE4">
            <w:pPr>
              <w:pStyle w:val="6"/>
              <w:spacing w:before="59" w:line="267" w:lineRule="auto"/>
              <w:ind w:left="292" w:right="287"/>
              <w:rPr>
                <w:sz w:val="20"/>
                <w:szCs w:val="20"/>
              </w:rPr>
            </w:pPr>
            <w:r>
              <w:rPr>
                <w:b/>
                <w:bCs/>
                <w:spacing w:val="6"/>
                <w:sz w:val="20"/>
                <w:szCs w:val="20"/>
              </w:rPr>
              <w:t>进料量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900" w:type="dxa"/>
            <w:tcBorders>
              <w:top w:val="single" w:color="000000" w:sz="10" w:space="0"/>
            </w:tcBorders>
            <w:vAlign w:val="top"/>
          </w:tcPr>
          <w:p w14:paraId="552D0205">
            <w:pPr>
              <w:pStyle w:val="6"/>
              <w:spacing w:before="59" w:line="267" w:lineRule="auto"/>
              <w:ind w:left="149" w:right="131" w:hanging="10"/>
              <w:rPr>
                <w:sz w:val="20"/>
                <w:szCs w:val="20"/>
              </w:rPr>
            </w:pPr>
            <w:r>
              <w:rPr>
                <w:b/>
                <w:bCs/>
                <w:spacing w:val="5"/>
                <w:sz w:val="20"/>
                <w:szCs w:val="20"/>
              </w:rPr>
              <w:t>含锰率</w:t>
            </w:r>
            <w:r>
              <w:rPr>
                <w:sz w:val="20"/>
                <w:szCs w:val="20"/>
              </w:rPr>
              <w:t xml:space="preserve"> </w:t>
            </w:r>
            <w:r>
              <w:rPr>
                <w:b/>
                <w:bCs/>
                <w:spacing w:val="-2"/>
                <w:sz w:val="20"/>
                <w:szCs w:val="20"/>
              </w:rPr>
              <w:t>（</w:t>
            </w:r>
            <w:r>
              <w:rPr>
                <w:rFonts w:ascii="Times New Roman" w:hAnsi="Times New Roman" w:eastAsia="Times New Roman" w:cs="Times New Roman"/>
                <w:b/>
                <w:bCs/>
                <w:spacing w:val="-2"/>
                <w:sz w:val="20"/>
                <w:szCs w:val="20"/>
              </w:rPr>
              <w:t>%</w:t>
            </w:r>
            <w:r>
              <w:rPr>
                <w:b/>
                <w:bCs/>
                <w:spacing w:val="-2"/>
                <w:sz w:val="20"/>
                <w:szCs w:val="20"/>
              </w:rPr>
              <w:t>）</w:t>
            </w:r>
          </w:p>
        </w:tc>
        <w:tc>
          <w:tcPr>
            <w:tcW w:w="1175" w:type="dxa"/>
            <w:tcBorders>
              <w:top w:val="single" w:color="000000" w:sz="10" w:space="0"/>
            </w:tcBorders>
            <w:vAlign w:val="top"/>
          </w:tcPr>
          <w:p w14:paraId="55F6381C">
            <w:pPr>
              <w:pStyle w:val="6"/>
              <w:spacing w:before="59" w:line="267" w:lineRule="auto"/>
              <w:ind w:left="274" w:right="270" w:firstLine="1"/>
              <w:rPr>
                <w:sz w:val="20"/>
                <w:szCs w:val="20"/>
              </w:rPr>
            </w:pPr>
            <w:r>
              <w:rPr>
                <w:b/>
                <w:bCs/>
                <w:spacing w:val="5"/>
                <w:sz w:val="20"/>
                <w:szCs w:val="20"/>
              </w:rPr>
              <w:t>含锰量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900" w:type="dxa"/>
            <w:tcBorders>
              <w:top w:val="single" w:color="000000" w:sz="10" w:space="0"/>
            </w:tcBorders>
            <w:vAlign w:val="top"/>
          </w:tcPr>
          <w:p w14:paraId="79699E85">
            <w:pPr>
              <w:pStyle w:val="6"/>
              <w:spacing w:before="59" w:line="267" w:lineRule="auto"/>
              <w:ind w:left="148" w:right="133" w:hanging="10"/>
              <w:rPr>
                <w:sz w:val="20"/>
                <w:szCs w:val="20"/>
              </w:rPr>
            </w:pPr>
            <w:r>
              <w:rPr>
                <w:b/>
                <w:bCs/>
                <w:spacing w:val="5"/>
                <w:sz w:val="20"/>
                <w:szCs w:val="20"/>
              </w:rPr>
              <w:t>含硫率</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w:t>
            </w:r>
            <w:r>
              <w:rPr>
                <w:b/>
                <w:bCs/>
                <w:spacing w:val="-1"/>
                <w:sz w:val="20"/>
                <w:szCs w:val="20"/>
              </w:rPr>
              <w:t>）</w:t>
            </w:r>
          </w:p>
        </w:tc>
        <w:tc>
          <w:tcPr>
            <w:tcW w:w="1039" w:type="dxa"/>
            <w:tcBorders>
              <w:top w:val="single" w:color="000000" w:sz="10" w:space="0"/>
            </w:tcBorders>
            <w:vAlign w:val="top"/>
          </w:tcPr>
          <w:p w14:paraId="6FBAB53D">
            <w:pPr>
              <w:pStyle w:val="6"/>
              <w:spacing w:before="59" w:line="267" w:lineRule="auto"/>
              <w:ind w:left="208" w:right="202"/>
              <w:rPr>
                <w:sz w:val="20"/>
                <w:szCs w:val="20"/>
              </w:rPr>
            </w:pPr>
            <w:r>
              <w:rPr>
                <w:b/>
                <w:bCs/>
                <w:spacing w:val="5"/>
                <w:sz w:val="20"/>
                <w:szCs w:val="20"/>
              </w:rPr>
              <w:t>含硫量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498" w:type="dxa"/>
            <w:tcBorders>
              <w:top w:val="single" w:color="000000" w:sz="10" w:space="0"/>
            </w:tcBorders>
            <w:textDirection w:val="tbRlV"/>
            <w:vAlign w:val="top"/>
          </w:tcPr>
          <w:p w14:paraId="4D87274C">
            <w:pPr>
              <w:pStyle w:val="6"/>
              <w:spacing w:before="143" w:line="218" w:lineRule="auto"/>
              <w:ind w:left="59"/>
              <w:rPr>
                <w:sz w:val="20"/>
                <w:szCs w:val="20"/>
              </w:rPr>
            </w:pPr>
            <w:r>
              <w:rPr>
                <w:b/>
                <w:bCs/>
                <w:spacing w:val="6"/>
                <w:sz w:val="20"/>
                <w:szCs w:val="20"/>
              </w:rPr>
              <w:t>序</w:t>
            </w:r>
            <w:r>
              <w:rPr>
                <w:spacing w:val="13"/>
                <w:sz w:val="20"/>
                <w:szCs w:val="20"/>
              </w:rPr>
              <w:t xml:space="preserve"> </w:t>
            </w:r>
            <w:r>
              <w:rPr>
                <w:b/>
                <w:bCs/>
                <w:spacing w:val="6"/>
                <w:sz w:val="20"/>
                <w:szCs w:val="20"/>
              </w:rPr>
              <w:t>号</w:t>
            </w:r>
          </w:p>
        </w:tc>
        <w:tc>
          <w:tcPr>
            <w:tcW w:w="1800" w:type="dxa"/>
            <w:tcBorders>
              <w:top w:val="single" w:color="000000" w:sz="10" w:space="0"/>
            </w:tcBorders>
            <w:vAlign w:val="top"/>
          </w:tcPr>
          <w:p w14:paraId="51D0564C">
            <w:pPr>
              <w:pStyle w:val="6"/>
              <w:spacing w:before="218" w:line="228" w:lineRule="auto"/>
              <w:ind w:left="503"/>
              <w:rPr>
                <w:sz w:val="20"/>
                <w:szCs w:val="20"/>
              </w:rPr>
            </w:pPr>
            <w:r>
              <w:rPr>
                <w:b/>
                <w:bCs/>
                <w:spacing w:val="2"/>
                <w:sz w:val="20"/>
                <w:szCs w:val="20"/>
              </w:rPr>
              <w:t>出料名称</w:t>
            </w:r>
          </w:p>
        </w:tc>
        <w:tc>
          <w:tcPr>
            <w:tcW w:w="1126" w:type="dxa"/>
            <w:tcBorders>
              <w:top w:val="single" w:color="000000" w:sz="10" w:space="0"/>
            </w:tcBorders>
            <w:vAlign w:val="top"/>
          </w:tcPr>
          <w:p w14:paraId="36D3BAE8">
            <w:pPr>
              <w:pStyle w:val="6"/>
              <w:spacing w:before="59" w:line="267" w:lineRule="auto"/>
              <w:ind w:left="250" w:right="245" w:firstLine="19"/>
              <w:rPr>
                <w:sz w:val="20"/>
                <w:szCs w:val="20"/>
              </w:rPr>
            </w:pPr>
            <w:r>
              <w:rPr>
                <w:b/>
                <w:bCs/>
                <w:spacing w:val="-1"/>
                <w:sz w:val="20"/>
                <w:szCs w:val="20"/>
              </w:rPr>
              <w:t>出料量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900" w:type="dxa"/>
            <w:tcBorders>
              <w:top w:val="single" w:color="000000" w:sz="10" w:space="0"/>
            </w:tcBorders>
            <w:vAlign w:val="top"/>
          </w:tcPr>
          <w:p w14:paraId="1D17B280">
            <w:pPr>
              <w:pStyle w:val="6"/>
              <w:spacing w:before="59" w:line="267" w:lineRule="auto"/>
              <w:ind w:left="149" w:right="132" w:hanging="10"/>
              <w:rPr>
                <w:sz w:val="20"/>
                <w:szCs w:val="20"/>
              </w:rPr>
            </w:pPr>
            <w:r>
              <w:rPr>
                <w:b/>
                <w:bCs/>
                <w:spacing w:val="5"/>
                <w:sz w:val="20"/>
                <w:szCs w:val="20"/>
              </w:rPr>
              <w:t>含锰率</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w:t>
            </w:r>
            <w:r>
              <w:rPr>
                <w:b/>
                <w:bCs/>
                <w:spacing w:val="-1"/>
                <w:sz w:val="20"/>
                <w:szCs w:val="20"/>
              </w:rPr>
              <w:t>）</w:t>
            </w:r>
          </w:p>
        </w:tc>
        <w:tc>
          <w:tcPr>
            <w:tcW w:w="1149" w:type="dxa"/>
            <w:tcBorders>
              <w:top w:val="single" w:color="000000" w:sz="10" w:space="0"/>
            </w:tcBorders>
            <w:vAlign w:val="top"/>
          </w:tcPr>
          <w:p w14:paraId="64FE1C0F">
            <w:pPr>
              <w:pStyle w:val="6"/>
              <w:spacing w:before="59" w:line="267" w:lineRule="auto"/>
              <w:ind w:left="264" w:right="256"/>
              <w:rPr>
                <w:sz w:val="20"/>
                <w:szCs w:val="20"/>
              </w:rPr>
            </w:pPr>
            <w:r>
              <w:rPr>
                <w:b/>
                <w:bCs/>
                <w:spacing w:val="5"/>
                <w:sz w:val="20"/>
                <w:szCs w:val="20"/>
              </w:rPr>
              <w:t>含锰量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925" w:type="dxa"/>
            <w:tcBorders>
              <w:top w:val="single" w:color="000000" w:sz="10" w:space="0"/>
            </w:tcBorders>
            <w:vAlign w:val="top"/>
          </w:tcPr>
          <w:p w14:paraId="0CCFF3BE">
            <w:pPr>
              <w:pStyle w:val="6"/>
              <w:spacing w:before="59" w:line="267" w:lineRule="auto"/>
              <w:ind w:left="162" w:right="144" w:hanging="10"/>
              <w:rPr>
                <w:sz w:val="20"/>
                <w:szCs w:val="20"/>
              </w:rPr>
            </w:pPr>
            <w:r>
              <w:rPr>
                <w:b/>
                <w:bCs/>
                <w:spacing w:val="5"/>
                <w:sz w:val="20"/>
                <w:szCs w:val="20"/>
              </w:rPr>
              <w:t>含硫率</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w:t>
            </w:r>
            <w:r>
              <w:rPr>
                <w:b/>
                <w:bCs/>
                <w:spacing w:val="-1"/>
                <w:sz w:val="20"/>
                <w:szCs w:val="20"/>
              </w:rPr>
              <w:t>）</w:t>
            </w:r>
          </w:p>
        </w:tc>
        <w:tc>
          <w:tcPr>
            <w:tcW w:w="926" w:type="dxa"/>
            <w:tcBorders>
              <w:top w:val="single" w:color="000000" w:sz="10" w:space="0"/>
              <w:right w:val="nil"/>
            </w:tcBorders>
            <w:vAlign w:val="top"/>
          </w:tcPr>
          <w:p w14:paraId="535BDC2E">
            <w:pPr>
              <w:pStyle w:val="6"/>
              <w:spacing w:before="59" w:line="267" w:lineRule="auto"/>
              <w:ind w:left="151" w:right="146" w:firstLine="1"/>
              <w:rPr>
                <w:sz w:val="20"/>
                <w:szCs w:val="20"/>
              </w:rPr>
            </w:pPr>
            <w:r>
              <w:rPr>
                <w:b/>
                <w:bCs/>
                <w:spacing w:val="5"/>
                <w:sz w:val="20"/>
                <w:szCs w:val="20"/>
              </w:rPr>
              <w:t>含硫量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r>
      <w:tr w14:paraId="2890C8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87" w:type="dxa"/>
            <w:tcBorders>
              <w:left w:val="nil"/>
            </w:tcBorders>
            <w:vAlign w:val="top"/>
          </w:tcPr>
          <w:p w14:paraId="04DEFABD">
            <w:pPr>
              <w:spacing w:before="100" w:line="195" w:lineRule="auto"/>
              <w:ind w:left="165"/>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226" w:type="dxa"/>
            <w:vAlign w:val="top"/>
          </w:tcPr>
          <w:p w14:paraId="4181BA47">
            <w:pPr>
              <w:pStyle w:val="6"/>
              <w:spacing w:before="61" w:line="228" w:lineRule="auto"/>
              <w:ind w:left="304"/>
              <w:rPr>
                <w:sz w:val="20"/>
                <w:szCs w:val="20"/>
              </w:rPr>
            </w:pPr>
            <w:r>
              <w:rPr>
                <w:spacing w:val="6"/>
                <w:sz w:val="20"/>
                <w:szCs w:val="20"/>
              </w:rPr>
              <w:t>锰矿粉</w:t>
            </w:r>
          </w:p>
        </w:tc>
        <w:tc>
          <w:tcPr>
            <w:tcW w:w="1211" w:type="dxa"/>
            <w:vAlign w:val="top"/>
          </w:tcPr>
          <w:p w14:paraId="48102A69">
            <w:pPr>
              <w:spacing w:before="100" w:line="195" w:lineRule="auto"/>
              <w:ind w:left="16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372236.67</w:t>
            </w:r>
          </w:p>
        </w:tc>
        <w:tc>
          <w:tcPr>
            <w:tcW w:w="900" w:type="dxa"/>
            <w:vAlign w:val="top"/>
          </w:tcPr>
          <w:p w14:paraId="2B08AA35">
            <w:pPr>
              <w:spacing w:before="100" w:line="195" w:lineRule="auto"/>
              <w:ind w:left="351"/>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1175" w:type="dxa"/>
            <w:vAlign w:val="top"/>
          </w:tcPr>
          <w:p w14:paraId="3EE11EFC">
            <w:pPr>
              <w:spacing w:before="100" w:line="195" w:lineRule="auto"/>
              <w:ind w:left="1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145172.30</w:t>
            </w:r>
          </w:p>
        </w:tc>
        <w:tc>
          <w:tcPr>
            <w:tcW w:w="900" w:type="dxa"/>
            <w:vAlign w:val="top"/>
          </w:tcPr>
          <w:p w14:paraId="1BB7D1F2">
            <w:pPr>
              <w:spacing w:before="100" w:line="195" w:lineRule="auto"/>
              <w:ind w:left="21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0.042</w:t>
            </w:r>
          </w:p>
        </w:tc>
        <w:tc>
          <w:tcPr>
            <w:tcW w:w="1039" w:type="dxa"/>
            <w:vAlign w:val="top"/>
          </w:tcPr>
          <w:p w14:paraId="38A31EF0">
            <w:pPr>
              <w:spacing w:before="100" w:line="195" w:lineRule="auto"/>
              <w:ind w:left="250"/>
              <w:rPr>
                <w:rFonts w:ascii="Times New Roman" w:hAnsi="Times New Roman" w:eastAsia="Times New Roman" w:cs="Times New Roman"/>
                <w:sz w:val="20"/>
                <w:szCs w:val="20"/>
              </w:rPr>
            </w:pPr>
            <w:r>
              <w:rPr>
                <w:rFonts w:ascii="Times New Roman" w:hAnsi="Times New Roman" w:eastAsia="Times New Roman" w:cs="Times New Roman"/>
                <w:sz w:val="20"/>
                <w:szCs w:val="20"/>
              </w:rPr>
              <w:t>156.34</w:t>
            </w:r>
          </w:p>
        </w:tc>
        <w:tc>
          <w:tcPr>
            <w:tcW w:w="498" w:type="dxa"/>
            <w:vAlign w:val="top"/>
          </w:tcPr>
          <w:p w14:paraId="4B0B21A8">
            <w:pPr>
              <w:spacing w:before="100" w:line="195" w:lineRule="auto"/>
              <w:ind w:left="217"/>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800" w:type="dxa"/>
            <w:vAlign w:val="top"/>
          </w:tcPr>
          <w:p w14:paraId="57077BE6">
            <w:pPr>
              <w:pStyle w:val="6"/>
              <w:spacing w:before="61" w:line="227" w:lineRule="auto"/>
              <w:ind w:left="590"/>
              <w:rPr>
                <w:sz w:val="20"/>
                <w:szCs w:val="20"/>
              </w:rPr>
            </w:pPr>
            <w:r>
              <w:rPr>
                <w:spacing w:val="7"/>
                <w:sz w:val="20"/>
                <w:szCs w:val="20"/>
              </w:rPr>
              <w:t>烧结矿</w:t>
            </w:r>
          </w:p>
        </w:tc>
        <w:tc>
          <w:tcPr>
            <w:tcW w:w="1126" w:type="dxa"/>
            <w:vAlign w:val="top"/>
          </w:tcPr>
          <w:p w14:paraId="3B96A694">
            <w:pPr>
              <w:spacing w:before="100"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420594.23</w:t>
            </w:r>
          </w:p>
        </w:tc>
        <w:tc>
          <w:tcPr>
            <w:tcW w:w="900" w:type="dxa"/>
            <w:vAlign w:val="top"/>
          </w:tcPr>
          <w:p w14:paraId="11A433B7">
            <w:pPr>
              <w:spacing w:before="100" w:line="195" w:lineRule="auto"/>
              <w:ind w:left="21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35.56</w:t>
            </w:r>
          </w:p>
        </w:tc>
        <w:tc>
          <w:tcPr>
            <w:tcW w:w="1149" w:type="dxa"/>
            <w:vAlign w:val="top"/>
          </w:tcPr>
          <w:p w14:paraId="5F41F548">
            <w:pPr>
              <w:spacing w:before="100" w:line="195" w:lineRule="auto"/>
              <w:ind w:left="1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149578.17</w:t>
            </w:r>
          </w:p>
        </w:tc>
        <w:tc>
          <w:tcPr>
            <w:tcW w:w="925" w:type="dxa"/>
            <w:vAlign w:val="top"/>
          </w:tcPr>
          <w:p w14:paraId="0628AE60">
            <w:pPr>
              <w:spacing w:before="100" w:line="195" w:lineRule="auto"/>
              <w:ind w:left="2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0.002</w:t>
            </w:r>
          </w:p>
        </w:tc>
        <w:tc>
          <w:tcPr>
            <w:tcW w:w="926" w:type="dxa"/>
            <w:tcBorders>
              <w:right w:val="nil"/>
            </w:tcBorders>
            <w:vAlign w:val="top"/>
          </w:tcPr>
          <w:p w14:paraId="54CFE753">
            <w:pPr>
              <w:spacing w:before="100"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8.41</w:t>
            </w:r>
          </w:p>
        </w:tc>
      </w:tr>
      <w:tr w14:paraId="432583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87" w:type="dxa"/>
            <w:tcBorders>
              <w:left w:val="nil"/>
            </w:tcBorders>
            <w:vAlign w:val="top"/>
          </w:tcPr>
          <w:p w14:paraId="1F3ED200">
            <w:pPr>
              <w:spacing w:before="100" w:line="195" w:lineRule="auto"/>
              <w:ind w:left="14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226" w:type="dxa"/>
            <w:vAlign w:val="top"/>
          </w:tcPr>
          <w:p w14:paraId="012DFC77">
            <w:pPr>
              <w:pStyle w:val="6"/>
              <w:spacing w:before="64" w:line="228" w:lineRule="auto"/>
              <w:ind w:left="409"/>
              <w:rPr>
                <w:sz w:val="20"/>
                <w:szCs w:val="20"/>
              </w:rPr>
            </w:pPr>
            <w:r>
              <w:rPr>
                <w:spacing w:val="4"/>
                <w:sz w:val="20"/>
                <w:szCs w:val="20"/>
              </w:rPr>
              <w:t>焦粉</w:t>
            </w:r>
          </w:p>
        </w:tc>
        <w:tc>
          <w:tcPr>
            <w:tcW w:w="1211" w:type="dxa"/>
            <w:vAlign w:val="top"/>
          </w:tcPr>
          <w:p w14:paraId="43722154">
            <w:pPr>
              <w:spacing w:before="100" w:line="195" w:lineRule="auto"/>
              <w:ind w:left="2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73881.75</w:t>
            </w:r>
          </w:p>
        </w:tc>
        <w:tc>
          <w:tcPr>
            <w:tcW w:w="900" w:type="dxa"/>
            <w:vAlign w:val="top"/>
          </w:tcPr>
          <w:p w14:paraId="4DF71FD8">
            <w:pPr>
              <w:rPr>
                <w:rFonts w:ascii="Arial"/>
                <w:sz w:val="21"/>
              </w:rPr>
            </w:pPr>
          </w:p>
        </w:tc>
        <w:tc>
          <w:tcPr>
            <w:tcW w:w="1175" w:type="dxa"/>
            <w:vAlign w:val="top"/>
          </w:tcPr>
          <w:p w14:paraId="742D7781">
            <w:pPr>
              <w:rPr>
                <w:rFonts w:ascii="Arial"/>
                <w:sz w:val="21"/>
              </w:rPr>
            </w:pPr>
          </w:p>
        </w:tc>
        <w:tc>
          <w:tcPr>
            <w:tcW w:w="900" w:type="dxa"/>
            <w:vAlign w:val="top"/>
          </w:tcPr>
          <w:p w14:paraId="57B49CDB">
            <w:pPr>
              <w:spacing w:before="100"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1039" w:type="dxa"/>
            <w:vAlign w:val="top"/>
          </w:tcPr>
          <w:p w14:paraId="0AE6260E">
            <w:pPr>
              <w:spacing w:before="100" w:line="195" w:lineRule="auto"/>
              <w:ind w:left="23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397.79</w:t>
            </w:r>
          </w:p>
        </w:tc>
        <w:tc>
          <w:tcPr>
            <w:tcW w:w="498" w:type="dxa"/>
            <w:vAlign w:val="top"/>
          </w:tcPr>
          <w:p w14:paraId="469A20B3">
            <w:pPr>
              <w:spacing w:before="100" w:line="195" w:lineRule="auto"/>
              <w:ind w:left="197"/>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800" w:type="dxa"/>
            <w:vAlign w:val="top"/>
          </w:tcPr>
          <w:p w14:paraId="68CE8DD8">
            <w:pPr>
              <w:pStyle w:val="6"/>
              <w:spacing w:before="64" w:line="227" w:lineRule="auto"/>
              <w:ind w:left="170"/>
              <w:rPr>
                <w:sz w:val="20"/>
                <w:szCs w:val="20"/>
              </w:rPr>
            </w:pPr>
            <w:r>
              <w:rPr>
                <w:spacing w:val="8"/>
                <w:sz w:val="20"/>
                <w:szCs w:val="20"/>
              </w:rPr>
              <w:t>烧结配料站粉尘</w:t>
            </w:r>
          </w:p>
        </w:tc>
        <w:tc>
          <w:tcPr>
            <w:tcW w:w="1126" w:type="dxa"/>
            <w:vAlign w:val="top"/>
          </w:tcPr>
          <w:p w14:paraId="053089DF">
            <w:pPr>
              <w:spacing w:before="100" w:line="195" w:lineRule="auto"/>
              <w:ind w:left="2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330.59</w:t>
            </w:r>
          </w:p>
        </w:tc>
        <w:tc>
          <w:tcPr>
            <w:tcW w:w="900" w:type="dxa"/>
            <w:vAlign w:val="top"/>
          </w:tcPr>
          <w:p w14:paraId="1009CFDD">
            <w:pPr>
              <w:spacing w:before="100" w:line="195" w:lineRule="auto"/>
              <w:ind w:left="36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18</w:t>
            </w:r>
          </w:p>
        </w:tc>
        <w:tc>
          <w:tcPr>
            <w:tcW w:w="1149" w:type="dxa"/>
            <w:vAlign w:val="top"/>
          </w:tcPr>
          <w:p w14:paraId="577B0173">
            <w:pPr>
              <w:spacing w:before="100" w:line="195" w:lineRule="auto"/>
              <w:ind w:left="3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59.51</w:t>
            </w:r>
          </w:p>
        </w:tc>
        <w:tc>
          <w:tcPr>
            <w:tcW w:w="925" w:type="dxa"/>
            <w:vAlign w:val="top"/>
          </w:tcPr>
          <w:p w14:paraId="64C8CEE2">
            <w:pPr>
              <w:rPr>
                <w:rFonts w:ascii="Arial"/>
                <w:sz w:val="21"/>
              </w:rPr>
            </w:pPr>
          </w:p>
        </w:tc>
        <w:tc>
          <w:tcPr>
            <w:tcW w:w="926" w:type="dxa"/>
            <w:tcBorders>
              <w:right w:val="nil"/>
            </w:tcBorders>
            <w:vAlign w:val="top"/>
          </w:tcPr>
          <w:p w14:paraId="4314F094">
            <w:pPr>
              <w:rPr>
                <w:rFonts w:ascii="Arial"/>
                <w:sz w:val="21"/>
              </w:rPr>
            </w:pPr>
          </w:p>
        </w:tc>
      </w:tr>
      <w:tr w14:paraId="2CA79D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387" w:type="dxa"/>
            <w:tcBorders>
              <w:left w:val="nil"/>
            </w:tcBorders>
            <w:vAlign w:val="top"/>
          </w:tcPr>
          <w:p w14:paraId="19250955">
            <w:pPr>
              <w:spacing w:before="259" w:line="195" w:lineRule="auto"/>
              <w:ind w:left="149"/>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226" w:type="dxa"/>
            <w:vAlign w:val="top"/>
          </w:tcPr>
          <w:p w14:paraId="1EBE9126">
            <w:pPr>
              <w:pStyle w:val="6"/>
              <w:spacing w:before="63" w:line="263" w:lineRule="auto"/>
              <w:ind w:left="315" w:right="192" w:hanging="118"/>
              <w:rPr>
                <w:sz w:val="20"/>
                <w:szCs w:val="20"/>
              </w:rPr>
            </w:pPr>
            <w:r>
              <w:rPr>
                <w:spacing w:val="7"/>
                <w:sz w:val="20"/>
                <w:szCs w:val="20"/>
              </w:rPr>
              <w:t>烧结工序</w:t>
            </w:r>
            <w:r>
              <w:rPr>
                <w:spacing w:val="1"/>
                <w:sz w:val="20"/>
                <w:szCs w:val="20"/>
              </w:rPr>
              <w:t xml:space="preserve"> </w:t>
            </w:r>
            <w:r>
              <w:rPr>
                <w:spacing w:val="2"/>
                <w:sz w:val="20"/>
                <w:szCs w:val="20"/>
              </w:rPr>
              <w:t>除尘灰</w:t>
            </w:r>
          </w:p>
        </w:tc>
        <w:tc>
          <w:tcPr>
            <w:tcW w:w="1211" w:type="dxa"/>
            <w:vAlign w:val="top"/>
          </w:tcPr>
          <w:p w14:paraId="1E92B45E">
            <w:pPr>
              <w:spacing w:before="259" w:line="195" w:lineRule="auto"/>
              <w:ind w:left="27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5392.98</w:t>
            </w:r>
          </w:p>
        </w:tc>
        <w:tc>
          <w:tcPr>
            <w:tcW w:w="900" w:type="dxa"/>
            <w:vAlign w:val="top"/>
          </w:tcPr>
          <w:p w14:paraId="0F21EE08">
            <w:pPr>
              <w:spacing w:before="259" w:line="195" w:lineRule="auto"/>
              <w:ind w:left="2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26.91</w:t>
            </w:r>
          </w:p>
        </w:tc>
        <w:tc>
          <w:tcPr>
            <w:tcW w:w="1175" w:type="dxa"/>
            <w:vAlign w:val="top"/>
          </w:tcPr>
          <w:p w14:paraId="2BBA0AFC">
            <w:pPr>
              <w:spacing w:before="259" w:line="195" w:lineRule="auto"/>
              <w:ind w:left="26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1451.35</w:t>
            </w:r>
          </w:p>
        </w:tc>
        <w:tc>
          <w:tcPr>
            <w:tcW w:w="900" w:type="dxa"/>
            <w:vAlign w:val="top"/>
          </w:tcPr>
          <w:p w14:paraId="219A56BA">
            <w:pPr>
              <w:rPr>
                <w:rFonts w:ascii="Arial"/>
                <w:sz w:val="21"/>
              </w:rPr>
            </w:pPr>
          </w:p>
        </w:tc>
        <w:tc>
          <w:tcPr>
            <w:tcW w:w="1039" w:type="dxa"/>
            <w:vAlign w:val="top"/>
          </w:tcPr>
          <w:p w14:paraId="793883EA">
            <w:pPr>
              <w:rPr>
                <w:rFonts w:ascii="Arial"/>
                <w:sz w:val="21"/>
              </w:rPr>
            </w:pPr>
          </w:p>
        </w:tc>
        <w:tc>
          <w:tcPr>
            <w:tcW w:w="498" w:type="dxa"/>
            <w:vAlign w:val="top"/>
          </w:tcPr>
          <w:p w14:paraId="066F41DA">
            <w:pPr>
              <w:spacing w:before="259" w:line="195" w:lineRule="auto"/>
              <w:ind w:left="201"/>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800" w:type="dxa"/>
            <w:vAlign w:val="top"/>
          </w:tcPr>
          <w:p w14:paraId="02C4A711">
            <w:pPr>
              <w:pStyle w:val="6"/>
              <w:spacing w:before="63" w:line="263" w:lineRule="auto"/>
              <w:ind w:left="801" w:right="163" w:hanging="631"/>
              <w:rPr>
                <w:sz w:val="20"/>
                <w:szCs w:val="20"/>
              </w:rPr>
            </w:pPr>
            <w:r>
              <w:rPr>
                <w:spacing w:val="8"/>
                <w:sz w:val="20"/>
                <w:szCs w:val="20"/>
              </w:rPr>
              <w:t>烧结机头废气粉</w:t>
            </w:r>
            <w:r>
              <w:rPr>
                <w:spacing w:val="4"/>
                <w:sz w:val="20"/>
                <w:szCs w:val="20"/>
              </w:rPr>
              <w:t xml:space="preserve"> </w:t>
            </w:r>
            <w:r>
              <w:rPr>
                <w:sz w:val="20"/>
                <w:szCs w:val="20"/>
              </w:rPr>
              <w:t>尘</w:t>
            </w:r>
          </w:p>
        </w:tc>
        <w:tc>
          <w:tcPr>
            <w:tcW w:w="1126" w:type="dxa"/>
            <w:vAlign w:val="top"/>
          </w:tcPr>
          <w:p w14:paraId="511414E9">
            <w:pPr>
              <w:spacing w:before="259" w:line="195" w:lineRule="auto"/>
              <w:ind w:left="22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2750.69</w:t>
            </w:r>
          </w:p>
        </w:tc>
        <w:tc>
          <w:tcPr>
            <w:tcW w:w="900" w:type="dxa"/>
            <w:vAlign w:val="top"/>
          </w:tcPr>
          <w:p w14:paraId="702B9F36">
            <w:pPr>
              <w:spacing w:before="259" w:line="195" w:lineRule="auto"/>
              <w:ind w:left="21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35.56</w:t>
            </w:r>
          </w:p>
        </w:tc>
        <w:tc>
          <w:tcPr>
            <w:tcW w:w="1149" w:type="dxa"/>
            <w:vAlign w:val="top"/>
          </w:tcPr>
          <w:p w14:paraId="43BA5E7B">
            <w:pPr>
              <w:spacing w:before="259"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978.15</w:t>
            </w:r>
          </w:p>
        </w:tc>
        <w:tc>
          <w:tcPr>
            <w:tcW w:w="925" w:type="dxa"/>
            <w:vAlign w:val="top"/>
          </w:tcPr>
          <w:p w14:paraId="0B0262DB">
            <w:pPr>
              <w:rPr>
                <w:rFonts w:ascii="Arial"/>
                <w:sz w:val="21"/>
              </w:rPr>
            </w:pPr>
          </w:p>
        </w:tc>
        <w:tc>
          <w:tcPr>
            <w:tcW w:w="926" w:type="dxa"/>
            <w:tcBorders>
              <w:right w:val="nil"/>
            </w:tcBorders>
            <w:vAlign w:val="top"/>
          </w:tcPr>
          <w:p w14:paraId="781C7B91">
            <w:pPr>
              <w:rPr>
                <w:rFonts w:ascii="Arial"/>
                <w:sz w:val="21"/>
              </w:rPr>
            </w:pPr>
          </w:p>
        </w:tc>
      </w:tr>
      <w:tr w14:paraId="69B9AB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387" w:type="dxa"/>
            <w:tcBorders>
              <w:left w:val="nil"/>
            </w:tcBorders>
            <w:vAlign w:val="top"/>
          </w:tcPr>
          <w:p w14:paraId="7D20BEE7">
            <w:pPr>
              <w:spacing w:before="264" w:line="195" w:lineRule="auto"/>
              <w:ind w:left="14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226" w:type="dxa"/>
            <w:vAlign w:val="top"/>
          </w:tcPr>
          <w:p w14:paraId="18C7E7A3">
            <w:pPr>
              <w:pStyle w:val="6"/>
              <w:spacing w:before="65" w:line="262" w:lineRule="auto"/>
              <w:ind w:left="315" w:right="192" w:hanging="93"/>
              <w:rPr>
                <w:sz w:val="20"/>
                <w:szCs w:val="20"/>
              </w:rPr>
            </w:pPr>
            <w:r>
              <w:rPr>
                <w:spacing w:val="1"/>
                <w:sz w:val="20"/>
                <w:szCs w:val="20"/>
              </w:rPr>
              <w:t>电炉工序</w:t>
            </w:r>
            <w:r>
              <w:rPr>
                <w:sz w:val="20"/>
                <w:szCs w:val="20"/>
              </w:rPr>
              <w:t xml:space="preserve"> </w:t>
            </w:r>
            <w:r>
              <w:rPr>
                <w:spacing w:val="2"/>
                <w:sz w:val="20"/>
                <w:szCs w:val="20"/>
              </w:rPr>
              <w:t>除尘灰</w:t>
            </w:r>
          </w:p>
        </w:tc>
        <w:tc>
          <w:tcPr>
            <w:tcW w:w="1211" w:type="dxa"/>
            <w:vAlign w:val="top"/>
          </w:tcPr>
          <w:p w14:paraId="1A6296E0">
            <w:pPr>
              <w:spacing w:before="264" w:line="195" w:lineRule="auto"/>
              <w:ind w:left="28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1262.10</w:t>
            </w:r>
          </w:p>
        </w:tc>
        <w:tc>
          <w:tcPr>
            <w:tcW w:w="900" w:type="dxa"/>
            <w:vAlign w:val="top"/>
          </w:tcPr>
          <w:p w14:paraId="555A3F50">
            <w:pPr>
              <w:rPr>
                <w:rFonts w:ascii="Arial"/>
                <w:sz w:val="21"/>
              </w:rPr>
            </w:pPr>
          </w:p>
        </w:tc>
        <w:tc>
          <w:tcPr>
            <w:tcW w:w="1175" w:type="dxa"/>
            <w:vAlign w:val="top"/>
          </w:tcPr>
          <w:p w14:paraId="32A03731">
            <w:pPr>
              <w:spacing w:before="264" w:line="195" w:lineRule="auto"/>
              <w:ind w:left="319"/>
              <w:rPr>
                <w:rFonts w:ascii="Times New Roman" w:hAnsi="Times New Roman" w:eastAsia="Times New Roman" w:cs="Times New Roman"/>
                <w:sz w:val="20"/>
                <w:szCs w:val="20"/>
              </w:rPr>
            </w:pPr>
            <w:r>
              <w:rPr>
                <w:rFonts w:ascii="Times New Roman" w:hAnsi="Times New Roman" w:eastAsia="Times New Roman" w:cs="Times New Roman"/>
                <w:sz w:val="20"/>
                <w:szCs w:val="20"/>
              </w:rPr>
              <w:t>199.86</w:t>
            </w:r>
          </w:p>
        </w:tc>
        <w:tc>
          <w:tcPr>
            <w:tcW w:w="900" w:type="dxa"/>
            <w:vAlign w:val="top"/>
          </w:tcPr>
          <w:p w14:paraId="2C9FD7A7">
            <w:pPr>
              <w:spacing w:before="264" w:line="195" w:lineRule="auto"/>
              <w:ind w:left="2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1039" w:type="dxa"/>
            <w:vAlign w:val="top"/>
          </w:tcPr>
          <w:p w14:paraId="02EF9E20">
            <w:pPr>
              <w:spacing w:before="264" w:line="195" w:lineRule="auto"/>
              <w:ind w:left="3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0.38</w:t>
            </w:r>
          </w:p>
        </w:tc>
        <w:tc>
          <w:tcPr>
            <w:tcW w:w="498" w:type="dxa"/>
            <w:vAlign w:val="top"/>
          </w:tcPr>
          <w:p w14:paraId="317758BF">
            <w:pPr>
              <w:spacing w:before="264" w:line="195" w:lineRule="auto"/>
              <w:ind w:left="19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800" w:type="dxa"/>
            <w:vAlign w:val="top"/>
          </w:tcPr>
          <w:p w14:paraId="071022D0">
            <w:pPr>
              <w:pStyle w:val="6"/>
              <w:spacing w:before="225" w:line="227" w:lineRule="auto"/>
              <w:ind w:left="275"/>
              <w:rPr>
                <w:sz w:val="20"/>
                <w:szCs w:val="20"/>
              </w:rPr>
            </w:pPr>
            <w:r>
              <w:rPr>
                <w:spacing w:val="8"/>
                <w:sz w:val="20"/>
                <w:szCs w:val="20"/>
              </w:rPr>
              <w:t>烧结机尾粉尘</w:t>
            </w:r>
          </w:p>
        </w:tc>
        <w:tc>
          <w:tcPr>
            <w:tcW w:w="1126" w:type="dxa"/>
            <w:vAlign w:val="top"/>
          </w:tcPr>
          <w:p w14:paraId="1B294945">
            <w:pPr>
              <w:spacing w:before="264" w:line="195" w:lineRule="auto"/>
              <w:ind w:left="22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2355.33</w:t>
            </w:r>
          </w:p>
        </w:tc>
        <w:tc>
          <w:tcPr>
            <w:tcW w:w="900" w:type="dxa"/>
            <w:vAlign w:val="top"/>
          </w:tcPr>
          <w:p w14:paraId="24CFA058">
            <w:pPr>
              <w:spacing w:before="264" w:line="195" w:lineRule="auto"/>
              <w:ind w:left="36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18</w:t>
            </w:r>
          </w:p>
        </w:tc>
        <w:tc>
          <w:tcPr>
            <w:tcW w:w="1149" w:type="dxa"/>
            <w:vAlign w:val="top"/>
          </w:tcPr>
          <w:p w14:paraId="6524D9F9">
            <w:pPr>
              <w:spacing w:before="264" w:line="195" w:lineRule="auto"/>
              <w:ind w:left="2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423.96</w:t>
            </w:r>
          </w:p>
        </w:tc>
        <w:tc>
          <w:tcPr>
            <w:tcW w:w="925" w:type="dxa"/>
            <w:vAlign w:val="top"/>
          </w:tcPr>
          <w:p w14:paraId="50C2B5E9">
            <w:pPr>
              <w:rPr>
                <w:rFonts w:ascii="Arial"/>
                <w:sz w:val="21"/>
              </w:rPr>
            </w:pPr>
          </w:p>
        </w:tc>
        <w:tc>
          <w:tcPr>
            <w:tcW w:w="926" w:type="dxa"/>
            <w:tcBorders>
              <w:right w:val="nil"/>
            </w:tcBorders>
            <w:vAlign w:val="top"/>
          </w:tcPr>
          <w:p w14:paraId="27406B24">
            <w:pPr>
              <w:rPr>
                <w:rFonts w:ascii="Arial"/>
                <w:sz w:val="21"/>
              </w:rPr>
            </w:pPr>
          </w:p>
        </w:tc>
      </w:tr>
      <w:tr w14:paraId="68FD54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387" w:type="dxa"/>
            <w:tcBorders>
              <w:left w:val="nil"/>
            </w:tcBorders>
            <w:vAlign w:val="top"/>
          </w:tcPr>
          <w:p w14:paraId="24ADFD08">
            <w:pPr>
              <w:spacing w:before="269" w:line="192" w:lineRule="auto"/>
              <w:ind w:left="150"/>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226" w:type="dxa"/>
            <w:vAlign w:val="top"/>
          </w:tcPr>
          <w:p w14:paraId="70D5C316">
            <w:pPr>
              <w:pStyle w:val="6"/>
              <w:spacing w:before="69" w:line="260" w:lineRule="auto"/>
              <w:ind w:left="316" w:right="192" w:hanging="117"/>
              <w:rPr>
                <w:sz w:val="20"/>
                <w:szCs w:val="20"/>
              </w:rPr>
            </w:pPr>
            <w:r>
              <w:rPr>
                <w:spacing w:val="7"/>
                <w:sz w:val="20"/>
                <w:szCs w:val="20"/>
              </w:rPr>
              <w:t>煤气净化</w:t>
            </w:r>
            <w:r>
              <w:rPr>
                <w:sz w:val="20"/>
                <w:szCs w:val="20"/>
              </w:rPr>
              <w:t xml:space="preserve"> </w:t>
            </w:r>
            <w:r>
              <w:rPr>
                <w:spacing w:val="2"/>
                <w:sz w:val="20"/>
                <w:szCs w:val="20"/>
              </w:rPr>
              <w:t>除尘灰</w:t>
            </w:r>
          </w:p>
        </w:tc>
        <w:tc>
          <w:tcPr>
            <w:tcW w:w="1211" w:type="dxa"/>
            <w:vAlign w:val="top"/>
          </w:tcPr>
          <w:p w14:paraId="363269A8">
            <w:pPr>
              <w:spacing w:before="266" w:line="195"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17835.36</w:t>
            </w:r>
          </w:p>
        </w:tc>
        <w:tc>
          <w:tcPr>
            <w:tcW w:w="900" w:type="dxa"/>
            <w:vAlign w:val="top"/>
          </w:tcPr>
          <w:p w14:paraId="1E307ADC">
            <w:pPr>
              <w:spacing w:before="266" w:line="195" w:lineRule="auto"/>
              <w:ind w:left="2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23.64</w:t>
            </w:r>
          </w:p>
        </w:tc>
        <w:tc>
          <w:tcPr>
            <w:tcW w:w="1175" w:type="dxa"/>
            <w:vAlign w:val="top"/>
          </w:tcPr>
          <w:p w14:paraId="1AAD9C9F">
            <w:pPr>
              <w:spacing w:before="266" w:line="195" w:lineRule="auto"/>
              <w:ind w:left="24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4216.28</w:t>
            </w:r>
          </w:p>
        </w:tc>
        <w:tc>
          <w:tcPr>
            <w:tcW w:w="900" w:type="dxa"/>
            <w:vAlign w:val="top"/>
          </w:tcPr>
          <w:p w14:paraId="4A9A002C">
            <w:pPr>
              <w:spacing w:before="266" w:line="195" w:lineRule="auto"/>
              <w:ind w:left="2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w:t>
            </w:r>
          </w:p>
        </w:tc>
        <w:tc>
          <w:tcPr>
            <w:tcW w:w="1039" w:type="dxa"/>
            <w:vAlign w:val="top"/>
          </w:tcPr>
          <w:p w14:paraId="1C138566">
            <w:pPr>
              <w:spacing w:before="266" w:line="195" w:lineRule="auto"/>
              <w:ind w:left="34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8.92</w:t>
            </w:r>
          </w:p>
        </w:tc>
        <w:tc>
          <w:tcPr>
            <w:tcW w:w="498" w:type="dxa"/>
            <w:vAlign w:val="top"/>
          </w:tcPr>
          <w:p w14:paraId="4A92C804">
            <w:pPr>
              <w:spacing w:before="269" w:line="192" w:lineRule="auto"/>
              <w:ind w:left="202"/>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800" w:type="dxa"/>
            <w:vAlign w:val="top"/>
          </w:tcPr>
          <w:p w14:paraId="58F3643F">
            <w:pPr>
              <w:pStyle w:val="6"/>
              <w:spacing w:before="230" w:line="227" w:lineRule="auto"/>
              <w:ind w:left="378"/>
              <w:rPr>
                <w:sz w:val="20"/>
                <w:szCs w:val="20"/>
              </w:rPr>
            </w:pPr>
            <w:r>
              <w:rPr>
                <w:spacing w:val="8"/>
                <w:sz w:val="20"/>
                <w:szCs w:val="20"/>
              </w:rPr>
              <w:t>烧结烧失量</w:t>
            </w:r>
          </w:p>
        </w:tc>
        <w:tc>
          <w:tcPr>
            <w:tcW w:w="1126" w:type="dxa"/>
            <w:vAlign w:val="top"/>
          </w:tcPr>
          <w:p w14:paraId="275D1DCA">
            <w:pPr>
              <w:spacing w:before="266"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73089.04</w:t>
            </w:r>
          </w:p>
        </w:tc>
        <w:tc>
          <w:tcPr>
            <w:tcW w:w="900" w:type="dxa"/>
            <w:vAlign w:val="top"/>
          </w:tcPr>
          <w:p w14:paraId="7504A992">
            <w:pPr>
              <w:rPr>
                <w:rFonts w:ascii="Arial"/>
                <w:sz w:val="21"/>
              </w:rPr>
            </w:pPr>
          </w:p>
        </w:tc>
        <w:tc>
          <w:tcPr>
            <w:tcW w:w="1149" w:type="dxa"/>
            <w:vAlign w:val="top"/>
          </w:tcPr>
          <w:p w14:paraId="2D4C9A77">
            <w:pPr>
              <w:rPr>
                <w:rFonts w:ascii="Arial"/>
                <w:sz w:val="21"/>
              </w:rPr>
            </w:pPr>
          </w:p>
        </w:tc>
        <w:tc>
          <w:tcPr>
            <w:tcW w:w="925" w:type="dxa"/>
            <w:vAlign w:val="top"/>
          </w:tcPr>
          <w:p w14:paraId="7AA693C1">
            <w:pPr>
              <w:rPr>
                <w:rFonts w:ascii="Arial"/>
                <w:sz w:val="21"/>
              </w:rPr>
            </w:pPr>
          </w:p>
        </w:tc>
        <w:tc>
          <w:tcPr>
            <w:tcW w:w="926" w:type="dxa"/>
            <w:tcBorders>
              <w:right w:val="nil"/>
            </w:tcBorders>
            <w:vAlign w:val="top"/>
          </w:tcPr>
          <w:p w14:paraId="397889D1">
            <w:pPr>
              <w:spacing w:before="266" w:line="195" w:lineRule="auto"/>
              <w:ind w:left="18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556.48</w:t>
            </w:r>
          </w:p>
        </w:tc>
      </w:tr>
      <w:tr w14:paraId="139D97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87" w:type="dxa"/>
            <w:tcBorders>
              <w:left w:val="nil"/>
            </w:tcBorders>
            <w:vAlign w:val="top"/>
          </w:tcPr>
          <w:p w14:paraId="71180B59">
            <w:pPr>
              <w:spacing w:before="115" w:line="195" w:lineRule="auto"/>
              <w:ind w:left="149"/>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226" w:type="dxa"/>
            <w:vAlign w:val="top"/>
          </w:tcPr>
          <w:p w14:paraId="527C7E58">
            <w:pPr>
              <w:pStyle w:val="6"/>
              <w:spacing w:before="77" w:line="227" w:lineRule="auto"/>
              <w:ind w:left="306"/>
              <w:rPr>
                <w:sz w:val="20"/>
                <w:szCs w:val="20"/>
              </w:rPr>
            </w:pPr>
            <w:r>
              <w:rPr>
                <w:spacing w:val="6"/>
                <w:sz w:val="20"/>
                <w:szCs w:val="20"/>
              </w:rPr>
              <w:t>工业水</w:t>
            </w:r>
          </w:p>
        </w:tc>
        <w:tc>
          <w:tcPr>
            <w:tcW w:w="1211" w:type="dxa"/>
            <w:vAlign w:val="top"/>
          </w:tcPr>
          <w:p w14:paraId="58FC0EB6">
            <w:pPr>
              <w:spacing w:before="115" w:line="195" w:lineRule="auto"/>
              <w:ind w:left="28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12342.2</w:t>
            </w:r>
          </w:p>
        </w:tc>
        <w:tc>
          <w:tcPr>
            <w:tcW w:w="900" w:type="dxa"/>
            <w:vAlign w:val="top"/>
          </w:tcPr>
          <w:p w14:paraId="16628A5B">
            <w:pPr>
              <w:rPr>
                <w:rFonts w:ascii="Arial"/>
                <w:sz w:val="21"/>
              </w:rPr>
            </w:pPr>
          </w:p>
        </w:tc>
        <w:tc>
          <w:tcPr>
            <w:tcW w:w="1175" w:type="dxa"/>
            <w:vAlign w:val="top"/>
          </w:tcPr>
          <w:p w14:paraId="388B3740">
            <w:pPr>
              <w:rPr>
                <w:rFonts w:ascii="Arial"/>
                <w:sz w:val="21"/>
              </w:rPr>
            </w:pPr>
          </w:p>
        </w:tc>
        <w:tc>
          <w:tcPr>
            <w:tcW w:w="900" w:type="dxa"/>
            <w:vAlign w:val="top"/>
          </w:tcPr>
          <w:p w14:paraId="048FFF12">
            <w:pPr>
              <w:rPr>
                <w:rFonts w:ascii="Arial"/>
                <w:sz w:val="21"/>
              </w:rPr>
            </w:pPr>
          </w:p>
        </w:tc>
        <w:tc>
          <w:tcPr>
            <w:tcW w:w="1039" w:type="dxa"/>
            <w:vAlign w:val="top"/>
          </w:tcPr>
          <w:p w14:paraId="1DD8000C">
            <w:pPr>
              <w:rPr>
                <w:rFonts w:ascii="Arial"/>
                <w:sz w:val="21"/>
              </w:rPr>
            </w:pPr>
          </w:p>
        </w:tc>
        <w:tc>
          <w:tcPr>
            <w:tcW w:w="498" w:type="dxa"/>
            <w:vAlign w:val="top"/>
          </w:tcPr>
          <w:p w14:paraId="0D49759E">
            <w:pPr>
              <w:rPr>
                <w:rFonts w:ascii="Arial"/>
                <w:sz w:val="21"/>
              </w:rPr>
            </w:pPr>
          </w:p>
        </w:tc>
        <w:tc>
          <w:tcPr>
            <w:tcW w:w="1800" w:type="dxa"/>
            <w:vAlign w:val="top"/>
          </w:tcPr>
          <w:p w14:paraId="57D5D322">
            <w:pPr>
              <w:rPr>
                <w:rFonts w:ascii="Arial"/>
                <w:sz w:val="21"/>
              </w:rPr>
            </w:pPr>
          </w:p>
        </w:tc>
        <w:tc>
          <w:tcPr>
            <w:tcW w:w="1126" w:type="dxa"/>
            <w:vAlign w:val="top"/>
          </w:tcPr>
          <w:p w14:paraId="7F86D7FB">
            <w:pPr>
              <w:rPr>
                <w:rFonts w:ascii="Arial"/>
                <w:sz w:val="21"/>
              </w:rPr>
            </w:pPr>
          </w:p>
        </w:tc>
        <w:tc>
          <w:tcPr>
            <w:tcW w:w="900" w:type="dxa"/>
            <w:vAlign w:val="top"/>
          </w:tcPr>
          <w:p w14:paraId="7AA5E654">
            <w:pPr>
              <w:rPr>
                <w:rFonts w:ascii="Arial"/>
                <w:sz w:val="21"/>
              </w:rPr>
            </w:pPr>
          </w:p>
        </w:tc>
        <w:tc>
          <w:tcPr>
            <w:tcW w:w="1149" w:type="dxa"/>
            <w:vAlign w:val="top"/>
          </w:tcPr>
          <w:p w14:paraId="0F520655">
            <w:pPr>
              <w:rPr>
                <w:rFonts w:ascii="Arial"/>
                <w:sz w:val="21"/>
              </w:rPr>
            </w:pPr>
          </w:p>
        </w:tc>
        <w:tc>
          <w:tcPr>
            <w:tcW w:w="925" w:type="dxa"/>
            <w:vAlign w:val="top"/>
          </w:tcPr>
          <w:p w14:paraId="555CFA9E">
            <w:pPr>
              <w:rPr>
                <w:rFonts w:ascii="Arial"/>
                <w:sz w:val="21"/>
              </w:rPr>
            </w:pPr>
          </w:p>
        </w:tc>
        <w:tc>
          <w:tcPr>
            <w:tcW w:w="926" w:type="dxa"/>
            <w:tcBorders>
              <w:right w:val="nil"/>
            </w:tcBorders>
            <w:vAlign w:val="top"/>
          </w:tcPr>
          <w:p w14:paraId="389403A7">
            <w:pPr>
              <w:rPr>
                <w:rFonts w:ascii="Arial"/>
                <w:sz w:val="21"/>
              </w:rPr>
            </w:pPr>
          </w:p>
        </w:tc>
      </w:tr>
      <w:tr w14:paraId="136EB0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87" w:type="dxa"/>
            <w:tcBorders>
              <w:left w:val="nil"/>
            </w:tcBorders>
            <w:vAlign w:val="top"/>
          </w:tcPr>
          <w:p w14:paraId="3F582483">
            <w:pPr>
              <w:spacing w:before="121" w:line="192" w:lineRule="auto"/>
              <w:ind w:left="148"/>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1226" w:type="dxa"/>
            <w:vAlign w:val="top"/>
          </w:tcPr>
          <w:p w14:paraId="10ECCA3A">
            <w:pPr>
              <w:pStyle w:val="6"/>
              <w:spacing w:before="80" w:line="224" w:lineRule="auto"/>
              <w:ind w:left="200"/>
              <w:rPr>
                <w:sz w:val="20"/>
                <w:szCs w:val="20"/>
              </w:rPr>
            </w:pPr>
            <w:r>
              <w:rPr>
                <w:spacing w:val="6"/>
                <w:sz w:val="20"/>
                <w:szCs w:val="20"/>
              </w:rPr>
              <w:t>净化煤气</w:t>
            </w:r>
          </w:p>
        </w:tc>
        <w:tc>
          <w:tcPr>
            <w:tcW w:w="1211" w:type="dxa"/>
            <w:vAlign w:val="top"/>
          </w:tcPr>
          <w:p w14:paraId="5B3F2AC6">
            <w:pPr>
              <w:spacing w:before="118" w:line="195"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16168.82</w:t>
            </w:r>
          </w:p>
        </w:tc>
        <w:tc>
          <w:tcPr>
            <w:tcW w:w="900" w:type="dxa"/>
            <w:vAlign w:val="top"/>
          </w:tcPr>
          <w:p w14:paraId="6F29B530">
            <w:pPr>
              <w:rPr>
                <w:rFonts w:ascii="Arial"/>
                <w:sz w:val="21"/>
              </w:rPr>
            </w:pPr>
          </w:p>
        </w:tc>
        <w:tc>
          <w:tcPr>
            <w:tcW w:w="1175" w:type="dxa"/>
            <w:vAlign w:val="top"/>
          </w:tcPr>
          <w:p w14:paraId="6D8F37D6">
            <w:pPr>
              <w:rPr>
                <w:rFonts w:ascii="Arial"/>
                <w:sz w:val="21"/>
              </w:rPr>
            </w:pPr>
          </w:p>
        </w:tc>
        <w:tc>
          <w:tcPr>
            <w:tcW w:w="900" w:type="dxa"/>
            <w:vAlign w:val="top"/>
          </w:tcPr>
          <w:p w14:paraId="568C6201">
            <w:pPr>
              <w:rPr>
                <w:rFonts w:ascii="Arial"/>
                <w:sz w:val="21"/>
              </w:rPr>
            </w:pPr>
          </w:p>
        </w:tc>
        <w:tc>
          <w:tcPr>
            <w:tcW w:w="1039" w:type="dxa"/>
            <w:vAlign w:val="top"/>
          </w:tcPr>
          <w:p w14:paraId="35A21D67">
            <w:pPr>
              <w:spacing w:before="118" w:line="195" w:lineRule="auto"/>
              <w:ind w:left="3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1.46</w:t>
            </w:r>
          </w:p>
        </w:tc>
        <w:tc>
          <w:tcPr>
            <w:tcW w:w="498" w:type="dxa"/>
            <w:vAlign w:val="top"/>
          </w:tcPr>
          <w:p w14:paraId="08269A91">
            <w:pPr>
              <w:rPr>
                <w:rFonts w:ascii="Arial"/>
                <w:sz w:val="21"/>
              </w:rPr>
            </w:pPr>
          </w:p>
        </w:tc>
        <w:tc>
          <w:tcPr>
            <w:tcW w:w="1800" w:type="dxa"/>
            <w:vAlign w:val="top"/>
          </w:tcPr>
          <w:p w14:paraId="17498061">
            <w:pPr>
              <w:rPr>
                <w:rFonts w:ascii="Arial"/>
                <w:sz w:val="21"/>
              </w:rPr>
            </w:pPr>
          </w:p>
        </w:tc>
        <w:tc>
          <w:tcPr>
            <w:tcW w:w="1126" w:type="dxa"/>
            <w:vAlign w:val="top"/>
          </w:tcPr>
          <w:p w14:paraId="1D3A4D79">
            <w:pPr>
              <w:rPr>
                <w:rFonts w:ascii="Arial"/>
                <w:sz w:val="21"/>
              </w:rPr>
            </w:pPr>
          </w:p>
        </w:tc>
        <w:tc>
          <w:tcPr>
            <w:tcW w:w="900" w:type="dxa"/>
            <w:vAlign w:val="top"/>
          </w:tcPr>
          <w:p w14:paraId="4F91B790">
            <w:pPr>
              <w:rPr>
                <w:rFonts w:ascii="Arial"/>
                <w:sz w:val="21"/>
              </w:rPr>
            </w:pPr>
          </w:p>
        </w:tc>
        <w:tc>
          <w:tcPr>
            <w:tcW w:w="1149" w:type="dxa"/>
            <w:vAlign w:val="top"/>
          </w:tcPr>
          <w:p w14:paraId="45D1314E">
            <w:pPr>
              <w:rPr>
                <w:rFonts w:ascii="Arial"/>
                <w:sz w:val="21"/>
              </w:rPr>
            </w:pPr>
          </w:p>
        </w:tc>
        <w:tc>
          <w:tcPr>
            <w:tcW w:w="925" w:type="dxa"/>
            <w:vAlign w:val="top"/>
          </w:tcPr>
          <w:p w14:paraId="6B15C6B0">
            <w:pPr>
              <w:rPr>
                <w:rFonts w:ascii="Arial"/>
                <w:sz w:val="21"/>
              </w:rPr>
            </w:pPr>
          </w:p>
        </w:tc>
        <w:tc>
          <w:tcPr>
            <w:tcW w:w="926" w:type="dxa"/>
            <w:tcBorders>
              <w:right w:val="nil"/>
            </w:tcBorders>
            <w:vAlign w:val="top"/>
          </w:tcPr>
          <w:p w14:paraId="5D1EE15F">
            <w:pPr>
              <w:rPr>
                <w:rFonts w:ascii="Arial"/>
                <w:sz w:val="21"/>
              </w:rPr>
            </w:pPr>
          </w:p>
        </w:tc>
      </w:tr>
      <w:tr w14:paraId="2E88F1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7" w:hRule="atLeast"/>
        </w:trPr>
        <w:tc>
          <w:tcPr>
            <w:tcW w:w="387" w:type="dxa"/>
            <w:tcBorders>
              <w:left w:val="nil"/>
              <w:bottom w:val="single" w:color="000000" w:sz="10" w:space="0"/>
            </w:tcBorders>
            <w:vAlign w:val="top"/>
          </w:tcPr>
          <w:p w14:paraId="5877FDAF">
            <w:pPr>
              <w:rPr>
                <w:rFonts w:ascii="Arial"/>
                <w:sz w:val="21"/>
              </w:rPr>
            </w:pPr>
          </w:p>
        </w:tc>
        <w:tc>
          <w:tcPr>
            <w:tcW w:w="1226" w:type="dxa"/>
            <w:tcBorders>
              <w:bottom w:val="single" w:color="000000" w:sz="10" w:space="0"/>
            </w:tcBorders>
            <w:vAlign w:val="top"/>
          </w:tcPr>
          <w:p w14:paraId="47ED7DDB">
            <w:pPr>
              <w:rPr>
                <w:rFonts w:ascii="Arial"/>
                <w:sz w:val="21"/>
              </w:rPr>
            </w:pPr>
          </w:p>
        </w:tc>
        <w:tc>
          <w:tcPr>
            <w:tcW w:w="1211" w:type="dxa"/>
            <w:tcBorders>
              <w:bottom w:val="single" w:color="000000" w:sz="10" w:space="0"/>
            </w:tcBorders>
            <w:vAlign w:val="top"/>
          </w:tcPr>
          <w:p w14:paraId="5E65AC3B">
            <w:pPr>
              <w:spacing w:before="118" w:line="195" w:lineRule="auto"/>
              <w:ind w:left="16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499119.88</w:t>
            </w:r>
          </w:p>
        </w:tc>
        <w:tc>
          <w:tcPr>
            <w:tcW w:w="900" w:type="dxa"/>
            <w:tcBorders>
              <w:bottom w:val="single" w:color="000000" w:sz="10" w:space="0"/>
            </w:tcBorders>
            <w:vAlign w:val="top"/>
          </w:tcPr>
          <w:p w14:paraId="23C39C11">
            <w:pPr>
              <w:rPr>
                <w:rFonts w:ascii="Arial"/>
                <w:sz w:val="21"/>
              </w:rPr>
            </w:pPr>
          </w:p>
        </w:tc>
        <w:tc>
          <w:tcPr>
            <w:tcW w:w="1175" w:type="dxa"/>
            <w:tcBorders>
              <w:bottom w:val="single" w:color="000000" w:sz="10" w:space="0"/>
            </w:tcBorders>
            <w:vAlign w:val="top"/>
          </w:tcPr>
          <w:p w14:paraId="5743A48B">
            <w:pPr>
              <w:spacing w:before="118" w:line="195" w:lineRule="auto"/>
              <w:ind w:left="1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151039.79</w:t>
            </w:r>
          </w:p>
        </w:tc>
        <w:tc>
          <w:tcPr>
            <w:tcW w:w="900" w:type="dxa"/>
            <w:tcBorders>
              <w:bottom w:val="single" w:color="000000" w:sz="10" w:space="0"/>
            </w:tcBorders>
            <w:vAlign w:val="top"/>
          </w:tcPr>
          <w:p w14:paraId="16E3E9A5">
            <w:pPr>
              <w:rPr>
                <w:rFonts w:ascii="Arial"/>
                <w:sz w:val="21"/>
              </w:rPr>
            </w:pPr>
          </w:p>
        </w:tc>
        <w:tc>
          <w:tcPr>
            <w:tcW w:w="1039" w:type="dxa"/>
            <w:tcBorders>
              <w:bottom w:val="single" w:color="000000" w:sz="10" w:space="0"/>
            </w:tcBorders>
            <w:vAlign w:val="top"/>
          </w:tcPr>
          <w:p w14:paraId="65212631">
            <w:pPr>
              <w:spacing w:before="118" w:line="195" w:lineRule="auto"/>
              <w:ind w:left="2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564.89</w:t>
            </w:r>
          </w:p>
        </w:tc>
        <w:tc>
          <w:tcPr>
            <w:tcW w:w="498" w:type="dxa"/>
            <w:tcBorders>
              <w:bottom w:val="single" w:color="000000" w:sz="10" w:space="0"/>
            </w:tcBorders>
            <w:vAlign w:val="top"/>
          </w:tcPr>
          <w:p w14:paraId="2FAD7023">
            <w:pPr>
              <w:rPr>
                <w:rFonts w:ascii="Arial"/>
                <w:sz w:val="21"/>
              </w:rPr>
            </w:pPr>
          </w:p>
        </w:tc>
        <w:tc>
          <w:tcPr>
            <w:tcW w:w="1800" w:type="dxa"/>
            <w:tcBorders>
              <w:bottom w:val="single" w:color="000000" w:sz="10" w:space="0"/>
            </w:tcBorders>
            <w:vAlign w:val="top"/>
          </w:tcPr>
          <w:p w14:paraId="23501C6F">
            <w:pPr>
              <w:rPr>
                <w:rFonts w:ascii="Arial"/>
                <w:sz w:val="21"/>
              </w:rPr>
            </w:pPr>
          </w:p>
        </w:tc>
        <w:tc>
          <w:tcPr>
            <w:tcW w:w="1126" w:type="dxa"/>
            <w:tcBorders>
              <w:bottom w:val="single" w:color="000000" w:sz="10" w:space="0"/>
            </w:tcBorders>
            <w:vAlign w:val="top"/>
          </w:tcPr>
          <w:p w14:paraId="4ADF633B">
            <w:pPr>
              <w:spacing w:before="118"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499119.88</w:t>
            </w:r>
          </w:p>
        </w:tc>
        <w:tc>
          <w:tcPr>
            <w:tcW w:w="900" w:type="dxa"/>
            <w:tcBorders>
              <w:bottom w:val="single" w:color="000000" w:sz="10" w:space="0"/>
            </w:tcBorders>
            <w:vAlign w:val="top"/>
          </w:tcPr>
          <w:p w14:paraId="1CBBB982">
            <w:pPr>
              <w:rPr>
                <w:rFonts w:ascii="Arial"/>
                <w:sz w:val="21"/>
              </w:rPr>
            </w:pPr>
          </w:p>
        </w:tc>
        <w:tc>
          <w:tcPr>
            <w:tcW w:w="1149" w:type="dxa"/>
            <w:tcBorders>
              <w:bottom w:val="single" w:color="000000" w:sz="10" w:space="0"/>
            </w:tcBorders>
            <w:vAlign w:val="top"/>
          </w:tcPr>
          <w:p w14:paraId="1D06AD0B">
            <w:pPr>
              <w:spacing w:before="118" w:line="195" w:lineRule="auto"/>
              <w:ind w:left="1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151039.79</w:t>
            </w:r>
          </w:p>
        </w:tc>
        <w:tc>
          <w:tcPr>
            <w:tcW w:w="925" w:type="dxa"/>
            <w:tcBorders>
              <w:bottom w:val="single" w:color="000000" w:sz="10" w:space="0"/>
            </w:tcBorders>
            <w:vAlign w:val="top"/>
          </w:tcPr>
          <w:p w14:paraId="7F830124">
            <w:pPr>
              <w:rPr>
                <w:rFonts w:ascii="Arial"/>
                <w:sz w:val="21"/>
              </w:rPr>
            </w:pPr>
          </w:p>
        </w:tc>
        <w:tc>
          <w:tcPr>
            <w:tcW w:w="926" w:type="dxa"/>
            <w:tcBorders>
              <w:bottom w:val="single" w:color="000000" w:sz="10" w:space="0"/>
              <w:right w:val="nil"/>
            </w:tcBorders>
            <w:vAlign w:val="top"/>
          </w:tcPr>
          <w:p w14:paraId="6FCD76A2">
            <w:pPr>
              <w:spacing w:before="118" w:line="195" w:lineRule="auto"/>
              <w:ind w:left="18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564.89</w:t>
            </w:r>
          </w:p>
        </w:tc>
      </w:tr>
    </w:tbl>
    <w:p w14:paraId="3910C68F">
      <w:pPr>
        <w:spacing w:before="136" w:line="228" w:lineRule="auto"/>
        <w:ind w:left="4251"/>
        <w:rPr>
          <w:rFonts w:ascii="Times New Roman" w:hAnsi="Times New Roman" w:eastAsia="Times New Roman" w:cs="Times New Roman"/>
          <w:sz w:val="20"/>
          <w:szCs w:val="20"/>
        </w:rPr>
      </w:pPr>
      <w:r>
        <w:rPr>
          <w:rFonts w:ascii="宋体" w:hAnsi="宋体" w:eastAsia="宋体" w:cs="宋体"/>
          <w:b/>
          <w:bCs/>
          <w:spacing w:val="6"/>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6"/>
          <w:sz w:val="20"/>
          <w:szCs w:val="20"/>
        </w:rPr>
        <w:t xml:space="preserve">2.3-6          </w:t>
      </w:r>
      <w:r>
        <w:rPr>
          <w:rFonts w:ascii="宋体" w:hAnsi="宋体" w:eastAsia="宋体" w:cs="宋体"/>
          <w:b/>
          <w:bCs/>
          <w:spacing w:val="6"/>
          <w:sz w:val="20"/>
          <w:szCs w:val="20"/>
        </w:rPr>
        <w:t>锰硅合金</w:t>
      </w:r>
      <w:r>
        <w:rPr>
          <w:rFonts w:ascii="宋体" w:hAnsi="宋体" w:eastAsia="宋体" w:cs="宋体"/>
          <w:b/>
          <w:bCs/>
          <w:spacing w:val="5"/>
          <w:sz w:val="20"/>
          <w:szCs w:val="20"/>
        </w:rPr>
        <w:t>电炉生产物料平衡分析表</w:t>
      </w:r>
      <w:r>
        <w:rPr>
          <w:rFonts w:ascii="宋体" w:hAnsi="宋体" w:eastAsia="宋体" w:cs="宋体"/>
          <w:spacing w:val="5"/>
          <w:sz w:val="20"/>
          <w:szCs w:val="20"/>
        </w:rPr>
        <w:t xml:space="preserve">    </w:t>
      </w:r>
      <w:r>
        <w:rPr>
          <w:rFonts w:ascii="宋体" w:hAnsi="宋体" w:eastAsia="宋体" w:cs="宋体"/>
          <w:b/>
          <w:bCs/>
          <w:spacing w:val="5"/>
          <w:sz w:val="20"/>
          <w:szCs w:val="20"/>
        </w:rPr>
        <w:t>单位：</w:t>
      </w:r>
      <w:r>
        <w:rPr>
          <w:rFonts w:ascii="Times New Roman" w:hAnsi="Times New Roman" w:eastAsia="Times New Roman" w:cs="Times New Roman"/>
          <w:b/>
          <w:bCs/>
          <w:spacing w:val="5"/>
          <w:sz w:val="20"/>
          <w:szCs w:val="20"/>
        </w:rPr>
        <w:t>t/a</w:t>
      </w:r>
    </w:p>
    <w:p w14:paraId="02508205">
      <w:pPr>
        <w:spacing w:line="98" w:lineRule="exact"/>
      </w:pPr>
    </w:p>
    <w:tbl>
      <w:tblPr>
        <w:tblStyle w:val="5"/>
        <w:tblW w:w="1416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78"/>
        <w:gridCol w:w="936"/>
        <w:gridCol w:w="1279"/>
        <w:gridCol w:w="910"/>
        <w:gridCol w:w="1162"/>
        <w:gridCol w:w="862"/>
        <w:gridCol w:w="924"/>
        <w:gridCol w:w="463"/>
        <w:gridCol w:w="2190"/>
        <w:gridCol w:w="1241"/>
        <w:gridCol w:w="872"/>
        <w:gridCol w:w="1136"/>
        <w:gridCol w:w="872"/>
        <w:gridCol w:w="938"/>
      </w:tblGrid>
      <w:tr w14:paraId="5DBB06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378" w:type="dxa"/>
            <w:tcBorders>
              <w:top w:val="single" w:color="000000" w:sz="10" w:space="0"/>
              <w:left w:val="nil"/>
            </w:tcBorders>
            <w:textDirection w:val="tbRlV"/>
            <w:vAlign w:val="top"/>
          </w:tcPr>
          <w:p w14:paraId="4C5A6F2F">
            <w:pPr>
              <w:pStyle w:val="6"/>
              <w:spacing w:before="59" w:line="218" w:lineRule="auto"/>
              <w:ind w:left="59"/>
              <w:rPr>
                <w:sz w:val="20"/>
                <w:szCs w:val="20"/>
              </w:rPr>
            </w:pPr>
            <w:r>
              <w:rPr>
                <w:b/>
                <w:bCs/>
                <w:spacing w:val="6"/>
                <w:sz w:val="20"/>
                <w:szCs w:val="20"/>
              </w:rPr>
              <w:t>序</w:t>
            </w:r>
            <w:r>
              <w:rPr>
                <w:spacing w:val="13"/>
                <w:sz w:val="20"/>
                <w:szCs w:val="20"/>
              </w:rPr>
              <w:t xml:space="preserve"> </w:t>
            </w:r>
            <w:r>
              <w:rPr>
                <w:b/>
                <w:bCs/>
                <w:spacing w:val="6"/>
                <w:sz w:val="20"/>
                <w:szCs w:val="20"/>
              </w:rPr>
              <w:t>号</w:t>
            </w:r>
          </w:p>
        </w:tc>
        <w:tc>
          <w:tcPr>
            <w:tcW w:w="936" w:type="dxa"/>
            <w:tcBorders>
              <w:top w:val="single" w:color="000000" w:sz="10" w:space="0"/>
            </w:tcBorders>
            <w:vAlign w:val="top"/>
          </w:tcPr>
          <w:p w14:paraId="33B7E7A4">
            <w:pPr>
              <w:pStyle w:val="6"/>
              <w:spacing w:before="58" w:line="267" w:lineRule="auto"/>
              <w:ind w:left="264" w:right="256" w:hanging="4"/>
              <w:rPr>
                <w:sz w:val="20"/>
                <w:szCs w:val="20"/>
              </w:rPr>
            </w:pPr>
            <w:r>
              <w:rPr>
                <w:b/>
                <w:bCs/>
                <w:spacing w:val="4"/>
                <w:sz w:val="20"/>
                <w:szCs w:val="20"/>
              </w:rPr>
              <w:t>进料</w:t>
            </w:r>
            <w:r>
              <w:rPr>
                <w:sz w:val="20"/>
                <w:szCs w:val="20"/>
              </w:rPr>
              <w:t xml:space="preserve"> </w:t>
            </w:r>
            <w:r>
              <w:rPr>
                <w:b/>
                <w:bCs/>
                <w:spacing w:val="2"/>
                <w:sz w:val="20"/>
                <w:szCs w:val="20"/>
              </w:rPr>
              <w:t>名称</w:t>
            </w:r>
          </w:p>
        </w:tc>
        <w:tc>
          <w:tcPr>
            <w:tcW w:w="1279" w:type="dxa"/>
            <w:tcBorders>
              <w:top w:val="single" w:color="000000" w:sz="10" w:space="0"/>
            </w:tcBorders>
            <w:vAlign w:val="top"/>
          </w:tcPr>
          <w:p w14:paraId="10659CA5">
            <w:pPr>
              <w:pStyle w:val="6"/>
              <w:spacing w:before="58" w:line="267" w:lineRule="auto"/>
              <w:ind w:left="327" w:right="323" w:hanging="2"/>
              <w:rPr>
                <w:sz w:val="20"/>
                <w:szCs w:val="20"/>
              </w:rPr>
            </w:pPr>
            <w:r>
              <w:rPr>
                <w:b/>
                <w:bCs/>
                <w:spacing w:val="6"/>
                <w:sz w:val="20"/>
                <w:szCs w:val="20"/>
              </w:rPr>
              <w:t>进料量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910" w:type="dxa"/>
            <w:tcBorders>
              <w:top w:val="single" w:color="000000" w:sz="10" w:space="0"/>
            </w:tcBorders>
            <w:vAlign w:val="top"/>
          </w:tcPr>
          <w:p w14:paraId="71959AF7">
            <w:pPr>
              <w:pStyle w:val="6"/>
              <w:spacing w:before="58" w:line="267" w:lineRule="auto"/>
              <w:ind w:left="155" w:right="136" w:hanging="10"/>
              <w:rPr>
                <w:sz w:val="20"/>
                <w:szCs w:val="20"/>
              </w:rPr>
            </w:pPr>
            <w:r>
              <w:rPr>
                <w:b/>
                <w:bCs/>
                <w:spacing w:val="5"/>
                <w:sz w:val="20"/>
                <w:szCs w:val="20"/>
              </w:rPr>
              <w:t>含锰率</w:t>
            </w:r>
            <w:r>
              <w:rPr>
                <w:sz w:val="20"/>
                <w:szCs w:val="20"/>
              </w:rPr>
              <w:t xml:space="preserve"> </w:t>
            </w:r>
            <w:r>
              <w:rPr>
                <w:b/>
                <w:bCs/>
                <w:spacing w:val="-2"/>
                <w:sz w:val="20"/>
                <w:szCs w:val="20"/>
              </w:rPr>
              <w:t>（</w:t>
            </w:r>
            <w:r>
              <w:rPr>
                <w:rFonts w:ascii="Times New Roman" w:hAnsi="Times New Roman" w:eastAsia="Times New Roman" w:cs="Times New Roman"/>
                <w:b/>
                <w:bCs/>
                <w:spacing w:val="-2"/>
                <w:sz w:val="20"/>
                <w:szCs w:val="20"/>
              </w:rPr>
              <w:t>%</w:t>
            </w:r>
            <w:r>
              <w:rPr>
                <w:b/>
                <w:bCs/>
                <w:spacing w:val="-2"/>
                <w:sz w:val="20"/>
                <w:szCs w:val="20"/>
              </w:rPr>
              <w:t>）</w:t>
            </w:r>
          </w:p>
        </w:tc>
        <w:tc>
          <w:tcPr>
            <w:tcW w:w="1162" w:type="dxa"/>
            <w:tcBorders>
              <w:top w:val="single" w:color="000000" w:sz="10" w:space="0"/>
            </w:tcBorders>
            <w:vAlign w:val="top"/>
          </w:tcPr>
          <w:p w14:paraId="230A431A">
            <w:pPr>
              <w:pStyle w:val="6"/>
              <w:spacing w:before="58" w:line="267" w:lineRule="auto"/>
              <w:ind w:left="267" w:right="264" w:firstLine="1"/>
              <w:rPr>
                <w:sz w:val="20"/>
                <w:szCs w:val="20"/>
              </w:rPr>
            </w:pPr>
            <w:r>
              <w:rPr>
                <w:b/>
                <w:bCs/>
                <w:spacing w:val="5"/>
                <w:sz w:val="20"/>
                <w:szCs w:val="20"/>
              </w:rPr>
              <w:t>含锰量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862" w:type="dxa"/>
            <w:tcBorders>
              <w:top w:val="single" w:color="000000" w:sz="10" w:space="0"/>
            </w:tcBorders>
            <w:vAlign w:val="top"/>
          </w:tcPr>
          <w:p w14:paraId="17F13386">
            <w:pPr>
              <w:pStyle w:val="6"/>
              <w:spacing w:before="58" w:line="267" w:lineRule="auto"/>
              <w:ind w:left="130" w:right="113" w:hanging="10"/>
              <w:rPr>
                <w:sz w:val="20"/>
                <w:szCs w:val="20"/>
              </w:rPr>
            </w:pPr>
            <w:r>
              <w:rPr>
                <w:b/>
                <w:bCs/>
                <w:spacing w:val="5"/>
                <w:sz w:val="20"/>
                <w:szCs w:val="20"/>
              </w:rPr>
              <w:t>含硫率</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w:t>
            </w:r>
            <w:r>
              <w:rPr>
                <w:b/>
                <w:bCs/>
                <w:spacing w:val="-1"/>
                <w:sz w:val="20"/>
                <w:szCs w:val="20"/>
              </w:rPr>
              <w:t>）</w:t>
            </w:r>
          </w:p>
        </w:tc>
        <w:tc>
          <w:tcPr>
            <w:tcW w:w="924" w:type="dxa"/>
            <w:tcBorders>
              <w:top w:val="single" w:color="000000" w:sz="10" w:space="0"/>
            </w:tcBorders>
            <w:vAlign w:val="top"/>
          </w:tcPr>
          <w:p w14:paraId="0F6E8433">
            <w:pPr>
              <w:pStyle w:val="6"/>
              <w:spacing w:before="58" w:line="267" w:lineRule="auto"/>
              <w:ind w:left="149" w:right="144" w:firstLine="1"/>
              <w:rPr>
                <w:sz w:val="20"/>
                <w:szCs w:val="20"/>
              </w:rPr>
            </w:pPr>
            <w:r>
              <w:rPr>
                <w:b/>
                <w:bCs/>
                <w:spacing w:val="5"/>
                <w:sz w:val="20"/>
                <w:szCs w:val="20"/>
              </w:rPr>
              <w:t>含硫量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463" w:type="dxa"/>
            <w:tcBorders>
              <w:top w:val="single" w:color="000000" w:sz="10" w:space="0"/>
            </w:tcBorders>
            <w:textDirection w:val="tbRlV"/>
            <w:vAlign w:val="top"/>
          </w:tcPr>
          <w:p w14:paraId="441B4233">
            <w:pPr>
              <w:pStyle w:val="6"/>
              <w:spacing w:before="124" w:line="218" w:lineRule="auto"/>
              <w:ind w:left="59"/>
              <w:rPr>
                <w:sz w:val="20"/>
                <w:szCs w:val="20"/>
              </w:rPr>
            </w:pPr>
            <w:r>
              <w:rPr>
                <w:b/>
                <w:bCs/>
                <w:spacing w:val="6"/>
                <w:sz w:val="20"/>
                <w:szCs w:val="20"/>
              </w:rPr>
              <w:t>序</w:t>
            </w:r>
            <w:r>
              <w:rPr>
                <w:spacing w:val="13"/>
                <w:sz w:val="20"/>
                <w:szCs w:val="20"/>
              </w:rPr>
              <w:t xml:space="preserve"> </w:t>
            </w:r>
            <w:r>
              <w:rPr>
                <w:b/>
                <w:bCs/>
                <w:spacing w:val="6"/>
                <w:sz w:val="20"/>
                <w:szCs w:val="20"/>
              </w:rPr>
              <w:t>号</w:t>
            </w:r>
          </w:p>
        </w:tc>
        <w:tc>
          <w:tcPr>
            <w:tcW w:w="2190" w:type="dxa"/>
            <w:tcBorders>
              <w:top w:val="single" w:color="000000" w:sz="10" w:space="0"/>
            </w:tcBorders>
            <w:vAlign w:val="top"/>
          </w:tcPr>
          <w:p w14:paraId="29472891">
            <w:pPr>
              <w:pStyle w:val="6"/>
              <w:spacing w:before="220" w:line="228" w:lineRule="auto"/>
              <w:ind w:left="697"/>
              <w:rPr>
                <w:sz w:val="20"/>
                <w:szCs w:val="20"/>
              </w:rPr>
            </w:pPr>
            <w:r>
              <w:rPr>
                <w:b/>
                <w:bCs/>
                <w:spacing w:val="2"/>
                <w:sz w:val="20"/>
                <w:szCs w:val="20"/>
              </w:rPr>
              <w:t>出料名称</w:t>
            </w:r>
          </w:p>
        </w:tc>
        <w:tc>
          <w:tcPr>
            <w:tcW w:w="1241" w:type="dxa"/>
            <w:tcBorders>
              <w:top w:val="single" w:color="000000" w:sz="10" w:space="0"/>
            </w:tcBorders>
            <w:vAlign w:val="top"/>
          </w:tcPr>
          <w:p w14:paraId="5213970C">
            <w:pPr>
              <w:pStyle w:val="6"/>
              <w:spacing w:before="58" w:line="267" w:lineRule="auto"/>
              <w:ind w:left="309" w:right="304" w:firstLine="17"/>
              <w:rPr>
                <w:sz w:val="20"/>
                <w:szCs w:val="20"/>
              </w:rPr>
            </w:pPr>
            <w:r>
              <w:rPr>
                <w:b/>
                <w:bCs/>
                <w:spacing w:val="-1"/>
                <w:sz w:val="20"/>
                <w:szCs w:val="20"/>
              </w:rPr>
              <w:t>出料量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872" w:type="dxa"/>
            <w:tcBorders>
              <w:top w:val="single" w:color="000000" w:sz="10" w:space="0"/>
            </w:tcBorders>
            <w:vAlign w:val="top"/>
          </w:tcPr>
          <w:p w14:paraId="4242A694">
            <w:pPr>
              <w:pStyle w:val="6"/>
              <w:spacing w:before="58" w:line="267" w:lineRule="auto"/>
              <w:ind w:left="136" w:right="117" w:hanging="10"/>
              <w:rPr>
                <w:sz w:val="20"/>
                <w:szCs w:val="20"/>
              </w:rPr>
            </w:pPr>
            <w:r>
              <w:rPr>
                <w:b/>
                <w:bCs/>
                <w:spacing w:val="5"/>
                <w:sz w:val="20"/>
                <w:szCs w:val="20"/>
              </w:rPr>
              <w:t>含锰率</w:t>
            </w:r>
            <w:r>
              <w:rPr>
                <w:sz w:val="20"/>
                <w:szCs w:val="20"/>
              </w:rPr>
              <w:t xml:space="preserve"> </w:t>
            </w:r>
            <w:r>
              <w:rPr>
                <w:b/>
                <w:bCs/>
                <w:spacing w:val="-2"/>
                <w:sz w:val="20"/>
                <w:szCs w:val="20"/>
              </w:rPr>
              <w:t>（</w:t>
            </w:r>
            <w:r>
              <w:rPr>
                <w:rFonts w:ascii="Times New Roman" w:hAnsi="Times New Roman" w:eastAsia="Times New Roman" w:cs="Times New Roman"/>
                <w:b/>
                <w:bCs/>
                <w:spacing w:val="-2"/>
                <w:sz w:val="20"/>
                <w:szCs w:val="20"/>
              </w:rPr>
              <w:t>%</w:t>
            </w:r>
            <w:r>
              <w:rPr>
                <w:b/>
                <w:bCs/>
                <w:spacing w:val="-2"/>
                <w:sz w:val="20"/>
                <w:szCs w:val="20"/>
              </w:rPr>
              <w:t>）</w:t>
            </w:r>
          </w:p>
        </w:tc>
        <w:tc>
          <w:tcPr>
            <w:tcW w:w="1136" w:type="dxa"/>
            <w:tcBorders>
              <w:top w:val="single" w:color="000000" w:sz="10" w:space="0"/>
            </w:tcBorders>
            <w:vAlign w:val="top"/>
          </w:tcPr>
          <w:p w14:paraId="56A43B78">
            <w:pPr>
              <w:pStyle w:val="6"/>
              <w:spacing w:before="58" w:line="267" w:lineRule="auto"/>
              <w:ind w:left="255" w:right="250" w:firstLine="1"/>
              <w:rPr>
                <w:sz w:val="20"/>
                <w:szCs w:val="20"/>
              </w:rPr>
            </w:pPr>
            <w:r>
              <w:rPr>
                <w:b/>
                <w:bCs/>
                <w:spacing w:val="5"/>
                <w:sz w:val="20"/>
                <w:szCs w:val="20"/>
              </w:rPr>
              <w:t>含锰量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872" w:type="dxa"/>
            <w:tcBorders>
              <w:top w:val="single" w:color="000000" w:sz="10" w:space="0"/>
            </w:tcBorders>
            <w:vAlign w:val="top"/>
          </w:tcPr>
          <w:p w14:paraId="18E22F56">
            <w:pPr>
              <w:pStyle w:val="6"/>
              <w:spacing w:before="58" w:line="267" w:lineRule="auto"/>
              <w:ind w:left="134" w:right="119" w:hanging="10"/>
              <w:rPr>
                <w:sz w:val="20"/>
                <w:szCs w:val="20"/>
              </w:rPr>
            </w:pPr>
            <w:r>
              <w:rPr>
                <w:b/>
                <w:bCs/>
                <w:spacing w:val="5"/>
                <w:sz w:val="20"/>
                <w:szCs w:val="20"/>
              </w:rPr>
              <w:t>含硫率</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w:t>
            </w:r>
            <w:r>
              <w:rPr>
                <w:b/>
                <w:bCs/>
                <w:spacing w:val="-1"/>
                <w:sz w:val="20"/>
                <w:szCs w:val="20"/>
              </w:rPr>
              <w:t>）</w:t>
            </w:r>
          </w:p>
        </w:tc>
        <w:tc>
          <w:tcPr>
            <w:tcW w:w="938" w:type="dxa"/>
            <w:tcBorders>
              <w:top w:val="single" w:color="000000" w:sz="10" w:space="0"/>
              <w:right w:val="nil"/>
            </w:tcBorders>
            <w:vAlign w:val="top"/>
          </w:tcPr>
          <w:p w14:paraId="49E6E982">
            <w:pPr>
              <w:pStyle w:val="6"/>
              <w:spacing w:before="58" w:line="267" w:lineRule="auto"/>
              <w:ind w:left="157" w:right="152" w:firstLine="1"/>
              <w:rPr>
                <w:sz w:val="20"/>
                <w:szCs w:val="20"/>
              </w:rPr>
            </w:pPr>
            <w:r>
              <w:rPr>
                <w:b/>
                <w:bCs/>
                <w:spacing w:val="5"/>
                <w:sz w:val="20"/>
                <w:szCs w:val="20"/>
              </w:rPr>
              <w:t>含硫量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r>
      <w:tr w14:paraId="6C129C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78" w:type="dxa"/>
            <w:tcBorders>
              <w:left w:val="nil"/>
            </w:tcBorders>
            <w:vAlign w:val="top"/>
          </w:tcPr>
          <w:p w14:paraId="7CDB80AC">
            <w:pPr>
              <w:spacing w:before="100" w:line="195" w:lineRule="auto"/>
              <w:ind w:left="160"/>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36" w:type="dxa"/>
            <w:vAlign w:val="top"/>
          </w:tcPr>
          <w:p w14:paraId="0EA71C34">
            <w:pPr>
              <w:pStyle w:val="6"/>
              <w:spacing w:before="64" w:line="227" w:lineRule="auto"/>
              <w:ind w:left="158"/>
              <w:rPr>
                <w:sz w:val="20"/>
                <w:szCs w:val="20"/>
              </w:rPr>
            </w:pPr>
            <w:r>
              <w:rPr>
                <w:spacing w:val="7"/>
                <w:sz w:val="20"/>
                <w:szCs w:val="20"/>
              </w:rPr>
              <w:t>烧结矿</w:t>
            </w:r>
          </w:p>
        </w:tc>
        <w:tc>
          <w:tcPr>
            <w:tcW w:w="1279" w:type="dxa"/>
            <w:vAlign w:val="top"/>
          </w:tcPr>
          <w:p w14:paraId="10716F9B">
            <w:pPr>
              <w:spacing w:before="100" w:line="195" w:lineRule="auto"/>
              <w:ind w:left="19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420594.23</w:t>
            </w:r>
          </w:p>
        </w:tc>
        <w:tc>
          <w:tcPr>
            <w:tcW w:w="910" w:type="dxa"/>
            <w:vAlign w:val="top"/>
          </w:tcPr>
          <w:p w14:paraId="2B79D8B7">
            <w:pPr>
              <w:spacing w:before="100" w:line="195" w:lineRule="auto"/>
              <w:ind w:left="2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35.56</w:t>
            </w:r>
          </w:p>
        </w:tc>
        <w:tc>
          <w:tcPr>
            <w:tcW w:w="1162" w:type="dxa"/>
            <w:vAlign w:val="top"/>
          </w:tcPr>
          <w:p w14:paraId="40C30EB5">
            <w:pPr>
              <w:spacing w:before="100" w:line="195" w:lineRule="auto"/>
              <w:ind w:left="1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149578.17</w:t>
            </w:r>
          </w:p>
        </w:tc>
        <w:tc>
          <w:tcPr>
            <w:tcW w:w="862" w:type="dxa"/>
            <w:vAlign w:val="top"/>
          </w:tcPr>
          <w:p w14:paraId="5CD1B6B7">
            <w:pPr>
              <w:spacing w:before="100" w:line="195" w:lineRule="auto"/>
              <w:ind w:left="19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w:t>
            </w:r>
          </w:p>
        </w:tc>
        <w:tc>
          <w:tcPr>
            <w:tcW w:w="924" w:type="dxa"/>
            <w:vAlign w:val="top"/>
          </w:tcPr>
          <w:p w14:paraId="7901899D">
            <w:pPr>
              <w:spacing w:before="100" w:line="195" w:lineRule="auto"/>
              <w:ind w:left="28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8.41</w:t>
            </w:r>
          </w:p>
        </w:tc>
        <w:tc>
          <w:tcPr>
            <w:tcW w:w="463" w:type="dxa"/>
            <w:vAlign w:val="top"/>
          </w:tcPr>
          <w:p w14:paraId="3705ECF7">
            <w:pPr>
              <w:spacing w:before="100" w:line="195" w:lineRule="auto"/>
              <w:ind w:left="201"/>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190" w:type="dxa"/>
            <w:vAlign w:val="top"/>
          </w:tcPr>
          <w:p w14:paraId="004979AF">
            <w:pPr>
              <w:pStyle w:val="6"/>
              <w:spacing w:before="64" w:line="228" w:lineRule="auto"/>
              <w:ind w:left="469"/>
              <w:rPr>
                <w:sz w:val="20"/>
                <w:szCs w:val="20"/>
              </w:rPr>
            </w:pPr>
            <w:r>
              <w:rPr>
                <w:spacing w:val="8"/>
                <w:sz w:val="20"/>
                <w:szCs w:val="20"/>
              </w:rPr>
              <w:t>硅锰合金产品</w:t>
            </w:r>
          </w:p>
        </w:tc>
        <w:tc>
          <w:tcPr>
            <w:tcW w:w="1241" w:type="dxa"/>
            <w:vAlign w:val="top"/>
          </w:tcPr>
          <w:p w14:paraId="2324B0B9">
            <w:pPr>
              <w:spacing w:before="100"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450000</w:t>
            </w:r>
          </w:p>
        </w:tc>
        <w:tc>
          <w:tcPr>
            <w:tcW w:w="872" w:type="dxa"/>
            <w:vAlign w:val="top"/>
          </w:tcPr>
          <w:p w14:paraId="3F590307">
            <w:pPr>
              <w:spacing w:before="100" w:line="195" w:lineRule="auto"/>
              <w:ind w:left="338"/>
              <w:rPr>
                <w:rFonts w:ascii="Times New Roman" w:hAnsi="Times New Roman" w:eastAsia="Times New Roman" w:cs="Times New Roman"/>
                <w:sz w:val="20"/>
                <w:szCs w:val="20"/>
              </w:rPr>
            </w:pPr>
            <w:r>
              <w:rPr>
                <w:rFonts w:ascii="Times New Roman" w:hAnsi="Times New Roman" w:eastAsia="Times New Roman" w:cs="Times New Roman"/>
                <w:sz w:val="20"/>
                <w:szCs w:val="20"/>
              </w:rPr>
              <w:t>68</w:t>
            </w:r>
          </w:p>
        </w:tc>
        <w:tc>
          <w:tcPr>
            <w:tcW w:w="1136" w:type="dxa"/>
            <w:vAlign w:val="top"/>
          </w:tcPr>
          <w:p w14:paraId="6177AF5F">
            <w:pPr>
              <w:spacing w:before="100" w:line="195" w:lineRule="auto"/>
              <w:ind w:left="26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306000</w:t>
            </w:r>
          </w:p>
        </w:tc>
        <w:tc>
          <w:tcPr>
            <w:tcW w:w="872" w:type="dxa"/>
            <w:vAlign w:val="top"/>
          </w:tcPr>
          <w:p w14:paraId="5B846A51">
            <w:pPr>
              <w:spacing w:before="100"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c>
          <w:tcPr>
            <w:tcW w:w="938" w:type="dxa"/>
            <w:tcBorders>
              <w:right w:val="nil"/>
            </w:tcBorders>
            <w:vAlign w:val="top"/>
          </w:tcPr>
          <w:p w14:paraId="5A9B79F9">
            <w:pPr>
              <w:spacing w:before="100" w:line="195" w:lineRule="auto"/>
              <w:ind w:left="3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180</w:t>
            </w:r>
          </w:p>
        </w:tc>
      </w:tr>
      <w:tr w14:paraId="771F80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78" w:type="dxa"/>
            <w:tcBorders>
              <w:left w:val="nil"/>
            </w:tcBorders>
            <w:vAlign w:val="top"/>
          </w:tcPr>
          <w:p w14:paraId="2901AC81">
            <w:pPr>
              <w:spacing w:before="103" w:line="195" w:lineRule="auto"/>
              <w:ind w:left="140"/>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936" w:type="dxa"/>
            <w:vAlign w:val="top"/>
          </w:tcPr>
          <w:p w14:paraId="3415E426">
            <w:pPr>
              <w:pStyle w:val="6"/>
              <w:spacing w:before="64" w:line="228" w:lineRule="auto"/>
              <w:ind w:left="159"/>
              <w:rPr>
                <w:sz w:val="20"/>
                <w:szCs w:val="20"/>
              </w:rPr>
            </w:pPr>
            <w:r>
              <w:rPr>
                <w:spacing w:val="6"/>
                <w:sz w:val="20"/>
                <w:szCs w:val="20"/>
              </w:rPr>
              <w:t>锰矿石</w:t>
            </w:r>
          </w:p>
        </w:tc>
        <w:tc>
          <w:tcPr>
            <w:tcW w:w="1279" w:type="dxa"/>
            <w:vAlign w:val="top"/>
          </w:tcPr>
          <w:p w14:paraId="2E3F6DB7">
            <w:pPr>
              <w:spacing w:before="103" w:line="195" w:lineRule="auto"/>
              <w:ind w:left="19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471255.42</w:t>
            </w:r>
          </w:p>
        </w:tc>
        <w:tc>
          <w:tcPr>
            <w:tcW w:w="910" w:type="dxa"/>
            <w:vAlign w:val="top"/>
          </w:tcPr>
          <w:p w14:paraId="6497E5BF">
            <w:pPr>
              <w:spacing w:before="103" w:line="195" w:lineRule="auto"/>
              <w:ind w:left="356"/>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1162" w:type="dxa"/>
            <w:vAlign w:val="top"/>
          </w:tcPr>
          <w:p w14:paraId="529F7F81">
            <w:pPr>
              <w:spacing w:before="103" w:line="195" w:lineRule="auto"/>
              <w:ind w:left="1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183789.61</w:t>
            </w:r>
          </w:p>
        </w:tc>
        <w:tc>
          <w:tcPr>
            <w:tcW w:w="862" w:type="dxa"/>
            <w:vAlign w:val="top"/>
          </w:tcPr>
          <w:p w14:paraId="1D9C3741">
            <w:pPr>
              <w:spacing w:before="103" w:line="195" w:lineRule="auto"/>
              <w:ind w:left="19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0.042</w:t>
            </w:r>
          </w:p>
        </w:tc>
        <w:tc>
          <w:tcPr>
            <w:tcW w:w="924" w:type="dxa"/>
            <w:vAlign w:val="top"/>
          </w:tcPr>
          <w:p w14:paraId="76D27099">
            <w:pPr>
              <w:spacing w:before="103" w:line="195" w:lineRule="auto"/>
              <w:ind w:left="193"/>
              <w:rPr>
                <w:rFonts w:ascii="Times New Roman" w:hAnsi="Times New Roman" w:eastAsia="Times New Roman" w:cs="Times New Roman"/>
                <w:sz w:val="20"/>
                <w:szCs w:val="20"/>
              </w:rPr>
            </w:pPr>
            <w:r>
              <w:rPr>
                <w:rFonts w:ascii="Times New Roman" w:hAnsi="Times New Roman" w:eastAsia="Times New Roman" w:cs="Times New Roman"/>
                <w:sz w:val="20"/>
                <w:szCs w:val="20"/>
              </w:rPr>
              <w:t>199.42</w:t>
            </w:r>
          </w:p>
        </w:tc>
        <w:tc>
          <w:tcPr>
            <w:tcW w:w="463" w:type="dxa"/>
            <w:vAlign w:val="top"/>
          </w:tcPr>
          <w:p w14:paraId="1DA177FD">
            <w:pPr>
              <w:spacing w:before="103" w:line="195" w:lineRule="auto"/>
              <w:ind w:left="181"/>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190" w:type="dxa"/>
            <w:vAlign w:val="top"/>
          </w:tcPr>
          <w:p w14:paraId="37ED092C">
            <w:pPr>
              <w:pStyle w:val="6"/>
              <w:spacing w:before="65" w:line="228" w:lineRule="auto"/>
              <w:ind w:left="259"/>
              <w:rPr>
                <w:sz w:val="20"/>
                <w:szCs w:val="20"/>
              </w:rPr>
            </w:pPr>
            <w:r>
              <w:rPr>
                <w:spacing w:val="8"/>
                <w:sz w:val="20"/>
                <w:szCs w:val="20"/>
              </w:rPr>
              <w:t>锰硅合金冶炼炉渣</w:t>
            </w:r>
          </w:p>
        </w:tc>
        <w:tc>
          <w:tcPr>
            <w:tcW w:w="1241" w:type="dxa"/>
            <w:vAlign w:val="top"/>
          </w:tcPr>
          <w:p w14:paraId="55AECC51">
            <w:pPr>
              <w:spacing w:before="103" w:line="195" w:lineRule="auto"/>
              <w:ind w:left="30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233696</w:t>
            </w:r>
          </w:p>
        </w:tc>
        <w:tc>
          <w:tcPr>
            <w:tcW w:w="872" w:type="dxa"/>
            <w:vAlign w:val="top"/>
          </w:tcPr>
          <w:p w14:paraId="4582EE10">
            <w:pPr>
              <w:spacing w:before="103" w:line="195" w:lineRule="auto"/>
              <w:ind w:left="2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9.82</w:t>
            </w:r>
          </w:p>
        </w:tc>
        <w:tc>
          <w:tcPr>
            <w:tcW w:w="1136" w:type="dxa"/>
            <w:vAlign w:val="top"/>
          </w:tcPr>
          <w:p w14:paraId="74A15BD7">
            <w:pPr>
              <w:spacing w:before="103" w:line="195" w:lineRule="auto"/>
              <w:ind w:left="17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22948.66</w:t>
            </w:r>
          </w:p>
        </w:tc>
        <w:tc>
          <w:tcPr>
            <w:tcW w:w="872" w:type="dxa"/>
            <w:vAlign w:val="top"/>
          </w:tcPr>
          <w:p w14:paraId="42E96788">
            <w:pPr>
              <w:spacing w:before="103"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0.43</w:t>
            </w:r>
          </w:p>
        </w:tc>
        <w:tc>
          <w:tcPr>
            <w:tcW w:w="938" w:type="dxa"/>
            <w:tcBorders>
              <w:right w:val="nil"/>
            </w:tcBorders>
            <w:vAlign w:val="top"/>
          </w:tcPr>
          <w:p w14:paraId="6CE26F89">
            <w:pPr>
              <w:spacing w:before="103" w:line="195" w:lineRule="auto"/>
              <w:ind w:left="1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993.37</w:t>
            </w:r>
          </w:p>
        </w:tc>
      </w:tr>
      <w:tr w14:paraId="5EA0D4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378" w:type="dxa"/>
            <w:tcBorders>
              <w:left w:val="nil"/>
            </w:tcBorders>
            <w:vAlign w:val="top"/>
          </w:tcPr>
          <w:p w14:paraId="2C774773">
            <w:pPr>
              <w:spacing w:before="262" w:line="195" w:lineRule="auto"/>
              <w:ind w:left="144"/>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936" w:type="dxa"/>
            <w:vAlign w:val="top"/>
          </w:tcPr>
          <w:p w14:paraId="53694AF8">
            <w:pPr>
              <w:pStyle w:val="6"/>
              <w:spacing w:before="224" w:line="229" w:lineRule="auto"/>
              <w:ind w:left="262"/>
              <w:rPr>
                <w:sz w:val="20"/>
                <w:szCs w:val="20"/>
              </w:rPr>
            </w:pPr>
            <w:r>
              <w:rPr>
                <w:spacing w:val="4"/>
                <w:sz w:val="20"/>
                <w:szCs w:val="20"/>
              </w:rPr>
              <w:t>焦炭</w:t>
            </w:r>
          </w:p>
        </w:tc>
        <w:tc>
          <w:tcPr>
            <w:tcW w:w="1279" w:type="dxa"/>
            <w:vAlign w:val="top"/>
          </w:tcPr>
          <w:p w14:paraId="2D686752">
            <w:pPr>
              <w:spacing w:before="262" w:line="195" w:lineRule="auto"/>
              <w:ind w:left="21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189136.24</w:t>
            </w:r>
          </w:p>
        </w:tc>
        <w:tc>
          <w:tcPr>
            <w:tcW w:w="910" w:type="dxa"/>
            <w:vAlign w:val="top"/>
          </w:tcPr>
          <w:p w14:paraId="046D67B5">
            <w:pPr>
              <w:rPr>
                <w:rFonts w:ascii="Arial"/>
                <w:sz w:val="21"/>
              </w:rPr>
            </w:pPr>
          </w:p>
        </w:tc>
        <w:tc>
          <w:tcPr>
            <w:tcW w:w="1162" w:type="dxa"/>
            <w:vAlign w:val="top"/>
          </w:tcPr>
          <w:p w14:paraId="0C83D00D">
            <w:pPr>
              <w:rPr>
                <w:rFonts w:ascii="Arial"/>
                <w:sz w:val="21"/>
              </w:rPr>
            </w:pPr>
          </w:p>
        </w:tc>
        <w:tc>
          <w:tcPr>
            <w:tcW w:w="862" w:type="dxa"/>
            <w:vAlign w:val="top"/>
          </w:tcPr>
          <w:p w14:paraId="73DCDB99">
            <w:pPr>
              <w:spacing w:before="262" w:line="195" w:lineRule="auto"/>
              <w:ind w:left="30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924" w:type="dxa"/>
            <w:vAlign w:val="top"/>
          </w:tcPr>
          <w:p w14:paraId="4DFDE82D">
            <w:pPr>
              <w:spacing w:before="262" w:line="195" w:lineRule="auto"/>
              <w:ind w:left="1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945.68</w:t>
            </w:r>
          </w:p>
        </w:tc>
        <w:tc>
          <w:tcPr>
            <w:tcW w:w="463" w:type="dxa"/>
            <w:vAlign w:val="top"/>
          </w:tcPr>
          <w:p w14:paraId="728492CF">
            <w:pPr>
              <w:spacing w:before="262" w:line="195" w:lineRule="auto"/>
              <w:ind w:left="185"/>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190" w:type="dxa"/>
            <w:vAlign w:val="top"/>
          </w:tcPr>
          <w:p w14:paraId="4932CA0C">
            <w:pPr>
              <w:pStyle w:val="6"/>
              <w:spacing w:before="64" w:line="262" w:lineRule="auto"/>
              <w:ind w:left="889" w:right="147" w:hanging="733"/>
              <w:rPr>
                <w:sz w:val="20"/>
                <w:szCs w:val="20"/>
              </w:rPr>
            </w:pPr>
            <w:r>
              <w:rPr>
                <w:spacing w:val="8"/>
                <w:sz w:val="20"/>
                <w:szCs w:val="20"/>
              </w:rPr>
              <w:t>锰硅电炉配料、加料</w:t>
            </w:r>
            <w:r>
              <w:rPr>
                <w:spacing w:val="7"/>
                <w:sz w:val="20"/>
                <w:szCs w:val="20"/>
              </w:rPr>
              <w:t xml:space="preserve"> </w:t>
            </w:r>
            <w:r>
              <w:rPr>
                <w:spacing w:val="5"/>
                <w:sz w:val="20"/>
                <w:szCs w:val="20"/>
              </w:rPr>
              <w:t>粉尘</w:t>
            </w:r>
          </w:p>
        </w:tc>
        <w:tc>
          <w:tcPr>
            <w:tcW w:w="1241" w:type="dxa"/>
            <w:vAlign w:val="top"/>
          </w:tcPr>
          <w:p w14:paraId="6E16C7A6">
            <w:pPr>
              <w:spacing w:before="262" w:line="195" w:lineRule="auto"/>
              <w:ind w:left="4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4.15</w:t>
            </w:r>
          </w:p>
        </w:tc>
        <w:tc>
          <w:tcPr>
            <w:tcW w:w="872" w:type="dxa"/>
            <w:vAlign w:val="top"/>
          </w:tcPr>
          <w:p w14:paraId="5FC31BC8">
            <w:pPr>
              <w:spacing w:before="262"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10.43</w:t>
            </w:r>
          </w:p>
        </w:tc>
        <w:tc>
          <w:tcPr>
            <w:tcW w:w="1136" w:type="dxa"/>
            <w:vAlign w:val="top"/>
          </w:tcPr>
          <w:p w14:paraId="78CC6860">
            <w:pPr>
              <w:spacing w:before="262" w:line="195" w:lineRule="auto"/>
              <w:ind w:left="3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0.43</w:t>
            </w:r>
          </w:p>
        </w:tc>
        <w:tc>
          <w:tcPr>
            <w:tcW w:w="872" w:type="dxa"/>
            <w:vAlign w:val="top"/>
          </w:tcPr>
          <w:p w14:paraId="22FA8104">
            <w:pPr>
              <w:spacing w:before="262"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938" w:type="dxa"/>
            <w:tcBorders>
              <w:right w:val="nil"/>
            </w:tcBorders>
            <w:vAlign w:val="top"/>
          </w:tcPr>
          <w:p w14:paraId="113EE4F0">
            <w:pPr>
              <w:spacing w:before="262" w:line="195" w:lineRule="auto"/>
              <w:ind w:left="2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0.001</w:t>
            </w:r>
          </w:p>
        </w:tc>
      </w:tr>
      <w:tr w14:paraId="1D3084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378" w:type="dxa"/>
            <w:tcBorders>
              <w:left w:val="nil"/>
            </w:tcBorders>
            <w:vAlign w:val="top"/>
          </w:tcPr>
          <w:p w14:paraId="1F4A496A">
            <w:pPr>
              <w:spacing w:before="265" w:line="195" w:lineRule="auto"/>
              <w:ind w:left="1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936" w:type="dxa"/>
            <w:vAlign w:val="top"/>
          </w:tcPr>
          <w:p w14:paraId="5AD66BAE">
            <w:pPr>
              <w:pStyle w:val="6"/>
              <w:spacing w:before="229" w:line="231" w:lineRule="auto"/>
              <w:ind w:left="261"/>
              <w:rPr>
                <w:sz w:val="20"/>
                <w:szCs w:val="20"/>
              </w:rPr>
            </w:pPr>
            <w:r>
              <w:rPr>
                <w:spacing w:val="5"/>
                <w:sz w:val="20"/>
                <w:szCs w:val="20"/>
              </w:rPr>
              <w:t>硅石</w:t>
            </w:r>
          </w:p>
        </w:tc>
        <w:tc>
          <w:tcPr>
            <w:tcW w:w="1279" w:type="dxa"/>
            <w:vAlign w:val="top"/>
          </w:tcPr>
          <w:p w14:paraId="4C091B51">
            <w:pPr>
              <w:spacing w:before="265" w:line="195" w:lineRule="auto"/>
              <w:ind w:left="346"/>
              <w:rPr>
                <w:rFonts w:ascii="Times New Roman" w:hAnsi="Times New Roman" w:eastAsia="Times New Roman" w:cs="Times New Roman"/>
                <w:sz w:val="20"/>
                <w:szCs w:val="20"/>
              </w:rPr>
            </w:pPr>
            <w:r>
              <w:rPr>
                <w:rFonts w:ascii="Times New Roman" w:hAnsi="Times New Roman" w:eastAsia="Times New Roman" w:cs="Times New Roman"/>
                <w:sz w:val="20"/>
                <w:szCs w:val="20"/>
              </w:rPr>
              <w:t>135000</w:t>
            </w:r>
          </w:p>
        </w:tc>
        <w:tc>
          <w:tcPr>
            <w:tcW w:w="910" w:type="dxa"/>
            <w:vAlign w:val="top"/>
          </w:tcPr>
          <w:p w14:paraId="3A0C7659">
            <w:pPr>
              <w:rPr>
                <w:rFonts w:ascii="Arial"/>
                <w:sz w:val="21"/>
              </w:rPr>
            </w:pPr>
          </w:p>
        </w:tc>
        <w:tc>
          <w:tcPr>
            <w:tcW w:w="1162" w:type="dxa"/>
            <w:vAlign w:val="top"/>
          </w:tcPr>
          <w:p w14:paraId="4A9F27DD">
            <w:pPr>
              <w:rPr>
                <w:rFonts w:ascii="Arial"/>
                <w:sz w:val="21"/>
              </w:rPr>
            </w:pPr>
          </w:p>
        </w:tc>
        <w:tc>
          <w:tcPr>
            <w:tcW w:w="862" w:type="dxa"/>
            <w:vAlign w:val="top"/>
          </w:tcPr>
          <w:p w14:paraId="4ACD9E94">
            <w:pPr>
              <w:spacing w:before="265" w:line="195" w:lineRule="auto"/>
              <w:ind w:left="2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924" w:type="dxa"/>
            <w:vAlign w:val="top"/>
          </w:tcPr>
          <w:p w14:paraId="5B3434A9">
            <w:pPr>
              <w:spacing w:before="265" w:line="195" w:lineRule="auto"/>
              <w:ind w:left="2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40.5</w:t>
            </w:r>
          </w:p>
        </w:tc>
        <w:tc>
          <w:tcPr>
            <w:tcW w:w="463" w:type="dxa"/>
            <w:vAlign w:val="top"/>
          </w:tcPr>
          <w:p w14:paraId="57AB5602">
            <w:pPr>
              <w:spacing w:before="265" w:line="195" w:lineRule="auto"/>
              <w:ind w:left="18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190" w:type="dxa"/>
            <w:vAlign w:val="top"/>
          </w:tcPr>
          <w:p w14:paraId="25B813FD">
            <w:pPr>
              <w:pStyle w:val="6"/>
              <w:spacing w:before="68" w:line="260" w:lineRule="auto"/>
              <w:ind w:left="588" w:right="147" w:hanging="432"/>
              <w:rPr>
                <w:sz w:val="20"/>
                <w:szCs w:val="20"/>
              </w:rPr>
            </w:pPr>
            <w:r>
              <w:rPr>
                <w:spacing w:val="8"/>
                <w:sz w:val="20"/>
                <w:szCs w:val="20"/>
              </w:rPr>
              <w:t>锰硅电炉配料、加料</w:t>
            </w:r>
            <w:r>
              <w:rPr>
                <w:spacing w:val="7"/>
                <w:sz w:val="20"/>
                <w:szCs w:val="20"/>
              </w:rPr>
              <w:t xml:space="preserve"> </w:t>
            </w:r>
            <w:r>
              <w:rPr>
                <w:spacing w:val="5"/>
                <w:sz w:val="20"/>
                <w:szCs w:val="20"/>
              </w:rPr>
              <w:t>除尘器收尘</w:t>
            </w:r>
          </w:p>
        </w:tc>
        <w:tc>
          <w:tcPr>
            <w:tcW w:w="1241" w:type="dxa"/>
            <w:vAlign w:val="top"/>
          </w:tcPr>
          <w:p w14:paraId="48A63D6C">
            <w:pPr>
              <w:spacing w:before="265" w:line="195" w:lineRule="auto"/>
              <w:ind w:left="3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825.74</w:t>
            </w:r>
          </w:p>
        </w:tc>
        <w:tc>
          <w:tcPr>
            <w:tcW w:w="872" w:type="dxa"/>
            <w:vAlign w:val="top"/>
          </w:tcPr>
          <w:p w14:paraId="6DA0D68B">
            <w:pPr>
              <w:spacing w:before="265"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10.43</w:t>
            </w:r>
          </w:p>
        </w:tc>
        <w:tc>
          <w:tcPr>
            <w:tcW w:w="1136" w:type="dxa"/>
            <w:vAlign w:val="top"/>
          </w:tcPr>
          <w:p w14:paraId="23C22982">
            <w:pPr>
              <w:spacing w:before="265" w:line="195" w:lineRule="auto"/>
              <w:ind w:left="3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86.</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3"/>
                <w:sz w:val="20"/>
                <w:szCs w:val="20"/>
              </w:rPr>
              <w:t>12</w:t>
            </w:r>
          </w:p>
        </w:tc>
        <w:tc>
          <w:tcPr>
            <w:tcW w:w="872" w:type="dxa"/>
            <w:vAlign w:val="top"/>
          </w:tcPr>
          <w:p w14:paraId="5A92A5A1">
            <w:pPr>
              <w:spacing w:before="265"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938" w:type="dxa"/>
            <w:tcBorders>
              <w:right w:val="nil"/>
            </w:tcBorders>
            <w:vAlign w:val="top"/>
          </w:tcPr>
          <w:p w14:paraId="216707AD">
            <w:pPr>
              <w:spacing w:before="265"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w:t>
            </w:r>
          </w:p>
        </w:tc>
      </w:tr>
      <w:tr w14:paraId="49943D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378" w:type="dxa"/>
            <w:tcBorders>
              <w:left w:val="nil"/>
            </w:tcBorders>
            <w:vAlign w:val="top"/>
          </w:tcPr>
          <w:p w14:paraId="1505553A">
            <w:pPr>
              <w:spacing w:before="274" w:line="192" w:lineRule="auto"/>
              <w:ind w:left="145"/>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936" w:type="dxa"/>
            <w:vAlign w:val="top"/>
          </w:tcPr>
          <w:p w14:paraId="23D04FEC">
            <w:pPr>
              <w:pStyle w:val="6"/>
              <w:spacing w:before="232" w:line="228" w:lineRule="auto"/>
              <w:ind w:left="160"/>
              <w:rPr>
                <w:sz w:val="20"/>
                <w:szCs w:val="20"/>
              </w:rPr>
            </w:pPr>
            <w:r>
              <w:rPr>
                <w:spacing w:val="6"/>
                <w:sz w:val="20"/>
                <w:szCs w:val="20"/>
              </w:rPr>
              <w:t>石灰石</w:t>
            </w:r>
          </w:p>
        </w:tc>
        <w:tc>
          <w:tcPr>
            <w:tcW w:w="1279" w:type="dxa"/>
            <w:vAlign w:val="top"/>
          </w:tcPr>
          <w:p w14:paraId="3B243736">
            <w:pPr>
              <w:spacing w:before="271" w:line="195" w:lineRule="auto"/>
              <w:ind w:left="4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720</w:t>
            </w:r>
          </w:p>
        </w:tc>
        <w:tc>
          <w:tcPr>
            <w:tcW w:w="910" w:type="dxa"/>
            <w:vAlign w:val="top"/>
          </w:tcPr>
          <w:p w14:paraId="367D72EC">
            <w:pPr>
              <w:rPr>
                <w:rFonts w:ascii="Arial"/>
                <w:sz w:val="21"/>
              </w:rPr>
            </w:pPr>
          </w:p>
        </w:tc>
        <w:tc>
          <w:tcPr>
            <w:tcW w:w="1162" w:type="dxa"/>
            <w:vAlign w:val="top"/>
          </w:tcPr>
          <w:p w14:paraId="5094B39F">
            <w:pPr>
              <w:rPr>
                <w:rFonts w:ascii="Arial"/>
                <w:sz w:val="21"/>
              </w:rPr>
            </w:pPr>
          </w:p>
        </w:tc>
        <w:tc>
          <w:tcPr>
            <w:tcW w:w="862" w:type="dxa"/>
            <w:vAlign w:val="top"/>
          </w:tcPr>
          <w:p w14:paraId="5E838C30">
            <w:pPr>
              <w:rPr>
                <w:rFonts w:ascii="Arial"/>
                <w:sz w:val="21"/>
              </w:rPr>
            </w:pPr>
          </w:p>
        </w:tc>
        <w:tc>
          <w:tcPr>
            <w:tcW w:w="924" w:type="dxa"/>
            <w:vAlign w:val="top"/>
          </w:tcPr>
          <w:p w14:paraId="14AB2F1D">
            <w:pPr>
              <w:rPr>
                <w:rFonts w:ascii="Arial"/>
                <w:sz w:val="21"/>
              </w:rPr>
            </w:pPr>
          </w:p>
        </w:tc>
        <w:tc>
          <w:tcPr>
            <w:tcW w:w="463" w:type="dxa"/>
            <w:vAlign w:val="top"/>
          </w:tcPr>
          <w:p w14:paraId="7835809B">
            <w:pPr>
              <w:spacing w:before="274" w:line="192" w:lineRule="auto"/>
              <w:ind w:left="186"/>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190" w:type="dxa"/>
            <w:vAlign w:val="top"/>
          </w:tcPr>
          <w:p w14:paraId="59EF9C10">
            <w:pPr>
              <w:pStyle w:val="6"/>
              <w:spacing w:before="74" w:line="258" w:lineRule="auto"/>
              <w:ind w:left="680" w:right="147" w:hanging="524"/>
              <w:rPr>
                <w:sz w:val="20"/>
                <w:szCs w:val="20"/>
              </w:rPr>
            </w:pPr>
            <w:r>
              <w:rPr>
                <w:spacing w:val="8"/>
                <w:sz w:val="20"/>
                <w:szCs w:val="20"/>
              </w:rPr>
              <w:t>锰硅出铁出渣及浇铸</w:t>
            </w:r>
            <w:r>
              <w:rPr>
                <w:spacing w:val="7"/>
                <w:sz w:val="20"/>
                <w:szCs w:val="20"/>
              </w:rPr>
              <w:t xml:space="preserve"> 烟气粉尘</w:t>
            </w:r>
          </w:p>
        </w:tc>
        <w:tc>
          <w:tcPr>
            <w:tcW w:w="1241" w:type="dxa"/>
            <w:vAlign w:val="top"/>
          </w:tcPr>
          <w:p w14:paraId="33EF68FB">
            <w:pPr>
              <w:spacing w:before="271" w:line="195" w:lineRule="auto"/>
              <w:ind w:left="4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1.69</w:t>
            </w:r>
          </w:p>
        </w:tc>
        <w:tc>
          <w:tcPr>
            <w:tcW w:w="872" w:type="dxa"/>
            <w:vAlign w:val="top"/>
          </w:tcPr>
          <w:p w14:paraId="6C336600">
            <w:pPr>
              <w:spacing w:before="271" w:line="195" w:lineRule="auto"/>
              <w:ind w:left="25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26.8</w:t>
            </w:r>
          </w:p>
        </w:tc>
        <w:tc>
          <w:tcPr>
            <w:tcW w:w="1136" w:type="dxa"/>
            <w:vAlign w:val="top"/>
          </w:tcPr>
          <w:p w14:paraId="0F95679C">
            <w:pPr>
              <w:spacing w:before="271" w:line="195" w:lineRule="auto"/>
              <w:ind w:left="3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0.45</w:t>
            </w:r>
          </w:p>
        </w:tc>
        <w:tc>
          <w:tcPr>
            <w:tcW w:w="872" w:type="dxa"/>
            <w:vAlign w:val="top"/>
          </w:tcPr>
          <w:p w14:paraId="4B7AC502">
            <w:pPr>
              <w:spacing w:before="271"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938" w:type="dxa"/>
            <w:tcBorders>
              <w:right w:val="nil"/>
            </w:tcBorders>
            <w:vAlign w:val="top"/>
          </w:tcPr>
          <w:p w14:paraId="062E2881">
            <w:pPr>
              <w:spacing w:before="271" w:line="195" w:lineRule="auto"/>
              <w:ind w:left="2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0.001</w:t>
            </w:r>
          </w:p>
        </w:tc>
      </w:tr>
      <w:tr w14:paraId="24FA57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378" w:type="dxa"/>
            <w:tcBorders>
              <w:left w:val="nil"/>
              <w:bottom w:val="single" w:color="000000" w:sz="10" w:space="0"/>
            </w:tcBorders>
            <w:vAlign w:val="top"/>
          </w:tcPr>
          <w:p w14:paraId="71A29C6B">
            <w:pPr>
              <w:spacing w:before="120" w:line="195" w:lineRule="auto"/>
              <w:ind w:left="144"/>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936" w:type="dxa"/>
            <w:tcBorders>
              <w:bottom w:val="single" w:color="000000" w:sz="10" w:space="0"/>
            </w:tcBorders>
            <w:vAlign w:val="top"/>
          </w:tcPr>
          <w:p w14:paraId="3BB71751">
            <w:pPr>
              <w:pStyle w:val="6"/>
              <w:spacing w:before="81" w:line="228" w:lineRule="auto"/>
              <w:ind w:left="183"/>
              <w:rPr>
                <w:sz w:val="20"/>
                <w:szCs w:val="20"/>
              </w:rPr>
            </w:pPr>
            <w:r>
              <w:rPr>
                <w:spacing w:val="-2"/>
                <w:sz w:val="20"/>
                <w:szCs w:val="20"/>
              </w:rPr>
              <w:t>电极糊</w:t>
            </w:r>
          </w:p>
        </w:tc>
        <w:tc>
          <w:tcPr>
            <w:tcW w:w="1279" w:type="dxa"/>
            <w:tcBorders>
              <w:bottom w:val="single" w:color="000000" w:sz="10" w:space="0"/>
            </w:tcBorders>
            <w:vAlign w:val="top"/>
          </w:tcPr>
          <w:p w14:paraId="157D3FAF">
            <w:pPr>
              <w:spacing w:before="120" w:line="195" w:lineRule="auto"/>
              <w:ind w:left="398"/>
              <w:rPr>
                <w:rFonts w:ascii="Times New Roman" w:hAnsi="Times New Roman" w:eastAsia="Times New Roman" w:cs="Times New Roman"/>
                <w:sz w:val="20"/>
                <w:szCs w:val="20"/>
              </w:rPr>
            </w:pPr>
            <w:r>
              <w:rPr>
                <w:rFonts w:ascii="Times New Roman" w:hAnsi="Times New Roman" w:eastAsia="Times New Roman" w:cs="Times New Roman"/>
                <w:sz w:val="20"/>
                <w:szCs w:val="20"/>
              </w:rPr>
              <w:t>13500</w:t>
            </w:r>
          </w:p>
        </w:tc>
        <w:tc>
          <w:tcPr>
            <w:tcW w:w="910" w:type="dxa"/>
            <w:tcBorders>
              <w:bottom w:val="single" w:color="000000" w:sz="10" w:space="0"/>
            </w:tcBorders>
            <w:vAlign w:val="top"/>
          </w:tcPr>
          <w:p w14:paraId="360C79DF">
            <w:pPr>
              <w:rPr>
                <w:rFonts w:ascii="Arial"/>
                <w:sz w:val="21"/>
              </w:rPr>
            </w:pPr>
          </w:p>
        </w:tc>
        <w:tc>
          <w:tcPr>
            <w:tcW w:w="1162" w:type="dxa"/>
            <w:tcBorders>
              <w:bottom w:val="single" w:color="000000" w:sz="10" w:space="0"/>
            </w:tcBorders>
            <w:vAlign w:val="top"/>
          </w:tcPr>
          <w:p w14:paraId="681786C4">
            <w:pPr>
              <w:rPr>
                <w:rFonts w:ascii="Arial"/>
                <w:sz w:val="21"/>
              </w:rPr>
            </w:pPr>
          </w:p>
        </w:tc>
        <w:tc>
          <w:tcPr>
            <w:tcW w:w="862" w:type="dxa"/>
            <w:tcBorders>
              <w:bottom w:val="single" w:color="000000" w:sz="10" w:space="0"/>
            </w:tcBorders>
            <w:vAlign w:val="top"/>
          </w:tcPr>
          <w:p w14:paraId="3F08A805">
            <w:pPr>
              <w:rPr>
                <w:rFonts w:ascii="Arial"/>
                <w:sz w:val="21"/>
              </w:rPr>
            </w:pPr>
          </w:p>
        </w:tc>
        <w:tc>
          <w:tcPr>
            <w:tcW w:w="924" w:type="dxa"/>
            <w:tcBorders>
              <w:bottom w:val="single" w:color="000000" w:sz="10" w:space="0"/>
            </w:tcBorders>
            <w:vAlign w:val="top"/>
          </w:tcPr>
          <w:p w14:paraId="4516EDE4">
            <w:pPr>
              <w:rPr>
                <w:rFonts w:ascii="Arial"/>
                <w:sz w:val="21"/>
              </w:rPr>
            </w:pPr>
          </w:p>
        </w:tc>
        <w:tc>
          <w:tcPr>
            <w:tcW w:w="463" w:type="dxa"/>
            <w:tcBorders>
              <w:bottom w:val="single" w:color="000000" w:sz="10" w:space="0"/>
            </w:tcBorders>
            <w:vAlign w:val="top"/>
          </w:tcPr>
          <w:p w14:paraId="7E66D009">
            <w:pPr>
              <w:spacing w:before="120" w:line="195" w:lineRule="auto"/>
              <w:ind w:left="185"/>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190" w:type="dxa"/>
            <w:tcBorders>
              <w:bottom w:val="single" w:color="000000" w:sz="10" w:space="0"/>
            </w:tcBorders>
            <w:vAlign w:val="top"/>
          </w:tcPr>
          <w:p w14:paraId="213A7C6D">
            <w:pPr>
              <w:pStyle w:val="6"/>
              <w:spacing w:before="82" w:line="228" w:lineRule="auto"/>
              <w:ind w:left="156"/>
              <w:rPr>
                <w:sz w:val="20"/>
                <w:szCs w:val="20"/>
              </w:rPr>
            </w:pPr>
            <w:r>
              <w:rPr>
                <w:spacing w:val="8"/>
                <w:sz w:val="20"/>
                <w:szCs w:val="20"/>
              </w:rPr>
              <w:t>锰硅出铁出渣及浇铸</w:t>
            </w:r>
          </w:p>
        </w:tc>
        <w:tc>
          <w:tcPr>
            <w:tcW w:w="1241" w:type="dxa"/>
            <w:tcBorders>
              <w:bottom w:val="single" w:color="000000" w:sz="10" w:space="0"/>
            </w:tcBorders>
            <w:vAlign w:val="top"/>
          </w:tcPr>
          <w:p w14:paraId="232D3B66">
            <w:pPr>
              <w:spacing w:before="120" w:line="195" w:lineRule="auto"/>
              <w:ind w:left="3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336.46</w:t>
            </w:r>
          </w:p>
        </w:tc>
        <w:tc>
          <w:tcPr>
            <w:tcW w:w="872" w:type="dxa"/>
            <w:tcBorders>
              <w:bottom w:val="single" w:color="000000" w:sz="10" w:space="0"/>
            </w:tcBorders>
            <w:vAlign w:val="top"/>
          </w:tcPr>
          <w:p w14:paraId="1C523426">
            <w:pPr>
              <w:spacing w:before="120" w:line="195" w:lineRule="auto"/>
              <w:ind w:left="25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26.8</w:t>
            </w:r>
          </w:p>
        </w:tc>
        <w:tc>
          <w:tcPr>
            <w:tcW w:w="1136" w:type="dxa"/>
            <w:tcBorders>
              <w:bottom w:val="single" w:color="000000" w:sz="10" w:space="0"/>
            </w:tcBorders>
            <w:vAlign w:val="top"/>
          </w:tcPr>
          <w:p w14:paraId="57BC0F69">
            <w:pPr>
              <w:spacing w:before="120"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90.17</w:t>
            </w:r>
          </w:p>
        </w:tc>
        <w:tc>
          <w:tcPr>
            <w:tcW w:w="872" w:type="dxa"/>
            <w:tcBorders>
              <w:bottom w:val="single" w:color="000000" w:sz="10" w:space="0"/>
            </w:tcBorders>
            <w:vAlign w:val="top"/>
          </w:tcPr>
          <w:p w14:paraId="6EFB7614">
            <w:pPr>
              <w:spacing w:before="120"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938" w:type="dxa"/>
            <w:tcBorders>
              <w:bottom w:val="single" w:color="000000" w:sz="10" w:space="0"/>
              <w:right w:val="nil"/>
            </w:tcBorders>
            <w:vAlign w:val="top"/>
          </w:tcPr>
          <w:p w14:paraId="662C84AE">
            <w:pPr>
              <w:spacing w:before="120" w:line="195" w:lineRule="auto"/>
              <w:ind w:left="341"/>
              <w:rPr>
                <w:rFonts w:ascii="Times New Roman" w:hAnsi="Times New Roman" w:eastAsia="Times New Roman" w:cs="Times New Roman"/>
                <w:sz w:val="20"/>
                <w:szCs w:val="20"/>
              </w:rPr>
            </w:pPr>
            <w:r>
              <w:rPr>
                <w:rFonts w:ascii="Times New Roman" w:hAnsi="Times New Roman" w:eastAsia="Times New Roman" w:cs="Times New Roman"/>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r>
    </w:tbl>
    <w:p w14:paraId="7A7CBC49">
      <w:pPr>
        <w:pStyle w:val="2"/>
      </w:pPr>
    </w:p>
    <w:p w14:paraId="7E729521">
      <w:pPr>
        <w:sectPr>
          <w:headerReference r:id="rId150" w:type="default"/>
          <w:footerReference r:id="rId151" w:type="default"/>
          <w:pgSz w:w="16781" w:h="11850"/>
          <w:pgMar w:top="1178" w:right="1309" w:bottom="1010" w:left="1309" w:header="870" w:footer="850" w:gutter="0"/>
          <w:cols w:space="720" w:num="1"/>
        </w:sectPr>
      </w:pPr>
    </w:p>
    <w:p w14:paraId="0890CEA3">
      <w:pPr>
        <w:spacing w:line="238" w:lineRule="exact"/>
      </w:pPr>
      <w:r>
        <w:pict>
          <v:shape id="_x0000_s1191" o:spid="_x0000_s1191" style="position:absolute;left:0pt;margin-left:70.85pt;margin-top:59.65pt;height:0.75pt;width:697.35pt;mso-position-horizontal-relative:page;mso-position-vertical-relative:page;z-index:251849728;mso-width-relative:page;mso-height-relative:page;" fillcolor="#000000" filled="t" stroked="f" coordsize="13946,15" o:allowincell="f" path="m0,0l13946,0,13946,14,0,14,0,0xe">
            <v:path/>
            <v:fill on="t" focussize="0,0"/>
            <v:stroke on="f"/>
            <v:imagedata o:title=""/>
            <o:lock v:ext="edit"/>
          </v:shape>
        </w:pict>
      </w:r>
    </w:p>
    <w:tbl>
      <w:tblPr>
        <w:tblStyle w:val="5"/>
        <w:tblW w:w="1416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78"/>
        <w:gridCol w:w="936"/>
        <w:gridCol w:w="1279"/>
        <w:gridCol w:w="910"/>
        <w:gridCol w:w="1162"/>
        <w:gridCol w:w="862"/>
        <w:gridCol w:w="924"/>
        <w:gridCol w:w="463"/>
        <w:gridCol w:w="2190"/>
        <w:gridCol w:w="1241"/>
        <w:gridCol w:w="872"/>
        <w:gridCol w:w="1136"/>
        <w:gridCol w:w="872"/>
        <w:gridCol w:w="938"/>
      </w:tblGrid>
      <w:tr w14:paraId="304351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8" w:hRule="atLeast"/>
        </w:trPr>
        <w:tc>
          <w:tcPr>
            <w:tcW w:w="378" w:type="dxa"/>
            <w:tcBorders>
              <w:top w:val="single" w:color="000000" w:sz="10" w:space="0"/>
              <w:left w:val="nil"/>
            </w:tcBorders>
            <w:textDirection w:val="tbRlV"/>
            <w:vAlign w:val="top"/>
          </w:tcPr>
          <w:p w14:paraId="62DCB60C">
            <w:pPr>
              <w:pStyle w:val="6"/>
              <w:spacing w:before="59" w:line="218" w:lineRule="auto"/>
              <w:ind w:left="59"/>
              <w:rPr>
                <w:sz w:val="20"/>
                <w:szCs w:val="20"/>
              </w:rPr>
            </w:pPr>
            <w:r>
              <w:rPr>
                <w:b/>
                <w:bCs/>
                <w:spacing w:val="6"/>
                <w:sz w:val="20"/>
                <w:szCs w:val="20"/>
              </w:rPr>
              <w:t>序</w:t>
            </w:r>
            <w:r>
              <w:rPr>
                <w:spacing w:val="13"/>
                <w:sz w:val="20"/>
                <w:szCs w:val="20"/>
              </w:rPr>
              <w:t xml:space="preserve"> </w:t>
            </w:r>
            <w:r>
              <w:rPr>
                <w:b/>
                <w:bCs/>
                <w:spacing w:val="6"/>
                <w:sz w:val="20"/>
                <w:szCs w:val="20"/>
              </w:rPr>
              <w:t>号</w:t>
            </w:r>
          </w:p>
        </w:tc>
        <w:tc>
          <w:tcPr>
            <w:tcW w:w="936" w:type="dxa"/>
            <w:tcBorders>
              <w:top w:val="single" w:color="000000" w:sz="10" w:space="0"/>
            </w:tcBorders>
            <w:vAlign w:val="top"/>
          </w:tcPr>
          <w:p w14:paraId="75151BAB">
            <w:pPr>
              <w:pStyle w:val="6"/>
              <w:spacing w:before="59" w:line="267" w:lineRule="auto"/>
              <w:ind w:left="264" w:right="256" w:hanging="4"/>
              <w:rPr>
                <w:sz w:val="20"/>
                <w:szCs w:val="20"/>
              </w:rPr>
            </w:pPr>
            <w:r>
              <w:rPr>
                <w:b/>
                <w:bCs/>
                <w:spacing w:val="4"/>
                <w:sz w:val="20"/>
                <w:szCs w:val="20"/>
              </w:rPr>
              <w:t>进料</w:t>
            </w:r>
            <w:r>
              <w:rPr>
                <w:sz w:val="20"/>
                <w:szCs w:val="20"/>
              </w:rPr>
              <w:t xml:space="preserve"> </w:t>
            </w:r>
            <w:r>
              <w:rPr>
                <w:b/>
                <w:bCs/>
                <w:spacing w:val="2"/>
                <w:sz w:val="20"/>
                <w:szCs w:val="20"/>
              </w:rPr>
              <w:t>名称</w:t>
            </w:r>
          </w:p>
        </w:tc>
        <w:tc>
          <w:tcPr>
            <w:tcW w:w="1279" w:type="dxa"/>
            <w:tcBorders>
              <w:top w:val="single" w:color="000000" w:sz="10" w:space="0"/>
            </w:tcBorders>
            <w:vAlign w:val="top"/>
          </w:tcPr>
          <w:p w14:paraId="0C1F62A0">
            <w:pPr>
              <w:pStyle w:val="6"/>
              <w:spacing w:before="59" w:line="267" w:lineRule="auto"/>
              <w:ind w:left="327" w:right="323" w:hanging="2"/>
              <w:rPr>
                <w:sz w:val="20"/>
                <w:szCs w:val="20"/>
              </w:rPr>
            </w:pPr>
            <w:r>
              <w:rPr>
                <w:b/>
                <w:bCs/>
                <w:spacing w:val="6"/>
                <w:sz w:val="20"/>
                <w:szCs w:val="20"/>
              </w:rPr>
              <w:t>进料量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910" w:type="dxa"/>
            <w:tcBorders>
              <w:top w:val="single" w:color="000000" w:sz="10" w:space="0"/>
            </w:tcBorders>
            <w:vAlign w:val="top"/>
          </w:tcPr>
          <w:p w14:paraId="2A05BE78">
            <w:pPr>
              <w:pStyle w:val="6"/>
              <w:spacing w:before="59" w:line="267" w:lineRule="auto"/>
              <w:ind w:left="155" w:right="136" w:hanging="10"/>
              <w:rPr>
                <w:sz w:val="20"/>
                <w:szCs w:val="20"/>
              </w:rPr>
            </w:pPr>
            <w:r>
              <w:rPr>
                <w:b/>
                <w:bCs/>
                <w:spacing w:val="5"/>
                <w:sz w:val="20"/>
                <w:szCs w:val="20"/>
              </w:rPr>
              <w:t>含锰率</w:t>
            </w:r>
            <w:r>
              <w:rPr>
                <w:sz w:val="20"/>
                <w:szCs w:val="20"/>
              </w:rPr>
              <w:t xml:space="preserve"> </w:t>
            </w:r>
            <w:r>
              <w:rPr>
                <w:b/>
                <w:bCs/>
                <w:spacing w:val="-2"/>
                <w:sz w:val="20"/>
                <w:szCs w:val="20"/>
              </w:rPr>
              <w:t>（</w:t>
            </w:r>
            <w:r>
              <w:rPr>
                <w:rFonts w:ascii="Times New Roman" w:hAnsi="Times New Roman" w:eastAsia="Times New Roman" w:cs="Times New Roman"/>
                <w:b/>
                <w:bCs/>
                <w:spacing w:val="-2"/>
                <w:sz w:val="20"/>
                <w:szCs w:val="20"/>
              </w:rPr>
              <w:t>%</w:t>
            </w:r>
            <w:r>
              <w:rPr>
                <w:b/>
                <w:bCs/>
                <w:spacing w:val="-2"/>
                <w:sz w:val="20"/>
                <w:szCs w:val="20"/>
              </w:rPr>
              <w:t>）</w:t>
            </w:r>
          </w:p>
        </w:tc>
        <w:tc>
          <w:tcPr>
            <w:tcW w:w="1162" w:type="dxa"/>
            <w:tcBorders>
              <w:top w:val="single" w:color="000000" w:sz="10" w:space="0"/>
            </w:tcBorders>
            <w:vAlign w:val="top"/>
          </w:tcPr>
          <w:p w14:paraId="2EA224B7">
            <w:pPr>
              <w:pStyle w:val="6"/>
              <w:spacing w:before="59" w:line="267" w:lineRule="auto"/>
              <w:ind w:left="267" w:right="264" w:firstLine="1"/>
              <w:rPr>
                <w:sz w:val="20"/>
                <w:szCs w:val="20"/>
              </w:rPr>
            </w:pPr>
            <w:r>
              <w:rPr>
                <w:b/>
                <w:bCs/>
                <w:spacing w:val="5"/>
                <w:sz w:val="20"/>
                <w:szCs w:val="20"/>
              </w:rPr>
              <w:t>含锰量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862" w:type="dxa"/>
            <w:tcBorders>
              <w:top w:val="single" w:color="000000" w:sz="10" w:space="0"/>
            </w:tcBorders>
            <w:vAlign w:val="top"/>
          </w:tcPr>
          <w:p w14:paraId="6E13A0D6">
            <w:pPr>
              <w:pStyle w:val="6"/>
              <w:spacing w:before="59" w:line="267" w:lineRule="auto"/>
              <w:ind w:left="130" w:right="113" w:hanging="10"/>
              <w:rPr>
                <w:sz w:val="20"/>
                <w:szCs w:val="20"/>
              </w:rPr>
            </w:pPr>
            <w:r>
              <w:rPr>
                <w:b/>
                <w:bCs/>
                <w:spacing w:val="5"/>
                <w:sz w:val="20"/>
                <w:szCs w:val="20"/>
              </w:rPr>
              <w:t>含硫率</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w:t>
            </w:r>
            <w:r>
              <w:rPr>
                <w:b/>
                <w:bCs/>
                <w:spacing w:val="-1"/>
                <w:sz w:val="20"/>
                <w:szCs w:val="20"/>
              </w:rPr>
              <w:t>）</w:t>
            </w:r>
          </w:p>
        </w:tc>
        <w:tc>
          <w:tcPr>
            <w:tcW w:w="924" w:type="dxa"/>
            <w:tcBorders>
              <w:top w:val="single" w:color="000000" w:sz="10" w:space="0"/>
            </w:tcBorders>
            <w:vAlign w:val="top"/>
          </w:tcPr>
          <w:p w14:paraId="73684CB4">
            <w:pPr>
              <w:pStyle w:val="6"/>
              <w:spacing w:before="59" w:line="267" w:lineRule="auto"/>
              <w:ind w:left="149" w:right="144" w:firstLine="1"/>
              <w:rPr>
                <w:sz w:val="20"/>
                <w:szCs w:val="20"/>
              </w:rPr>
            </w:pPr>
            <w:r>
              <w:rPr>
                <w:b/>
                <w:bCs/>
                <w:spacing w:val="5"/>
                <w:sz w:val="20"/>
                <w:szCs w:val="20"/>
              </w:rPr>
              <w:t>含硫量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463" w:type="dxa"/>
            <w:tcBorders>
              <w:top w:val="single" w:color="000000" w:sz="10" w:space="0"/>
            </w:tcBorders>
            <w:textDirection w:val="tbRlV"/>
            <w:vAlign w:val="top"/>
          </w:tcPr>
          <w:p w14:paraId="7E5F32CC">
            <w:pPr>
              <w:pStyle w:val="6"/>
              <w:spacing w:before="124" w:line="218" w:lineRule="auto"/>
              <w:ind w:left="59"/>
              <w:rPr>
                <w:sz w:val="20"/>
                <w:szCs w:val="20"/>
              </w:rPr>
            </w:pPr>
            <w:r>
              <w:rPr>
                <w:b/>
                <w:bCs/>
                <w:spacing w:val="6"/>
                <w:sz w:val="20"/>
                <w:szCs w:val="20"/>
              </w:rPr>
              <w:t>序</w:t>
            </w:r>
            <w:r>
              <w:rPr>
                <w:spacing w:val="13"/>
                <w:sz w:val="20"/>
                <w:szCs w:val="20"/>
              </w:rPr>
              <w:t xml:space="preserve"> </w:t>
            </w:r>
            <w:r>
              <w:rPr>
                <w:b/>
                <w:bCs/>
                <w:spacing w:val="6"/>
                <w:sz w:val="20"/>
                <w:szCs w:val="20"/>
              </w:rPr>
              <w:t>号</w:t>
            </w:r>
          </w:p>
        </w:tc>
        <w:tc>
          <w:tcPr>
            <w:tcW w:w="2190" w:type="dxa"/>
            <w:tcBorders>
              <w:top w:val="single" w:color="000000" w:sz="10" w:space="0"/>
            </w:tcBorders>
            <w:vAlign w:val="top"/>
          </w:tcPr>
          <w:p w14:paraId="2B8F0152">
            <w:pPr>
              <w:pStyle w:val="6"/>
              <w:spacing w:before="220" w:line="228" w:lineRule="auto"/>
              <w:ind w:left="697"/>
              <w:rPr>
                <w:sz w:val="20"/>
                <w:szCs w:val="20"/>
              </w:rPr>
            </w:pPr>
            <w:r>
              <w:rPr>
                <w:b/>
                <w:bCs/>
                <w:spacing w:val="2"/>
                <w:sz w:val="20"/>
                <w:szCs w:val="20"/>
              </w:rPr>
              <w:t>出料名称</w:t>
            </w:r>
          </w:p>
        </w:tc>
        <w:tc>
          <w:tcPr>
            <w:tcW w:w="1241" w:type="dxa"/>
            <w:tcBorders>
              <w:top w:val="single" w:color="000000" w:sz="10" w:space="0"/>
            </w:tcBorders>
            <w:vAlign w:val="top"/>
          </w:tcPr>
          <w:p w14:paraId="1DA56468">
            <w:pPr>
              <w:pStyle w:val="6"/>
              <w:spacing w:before="59" w:line="267" w:lineRule="auto"/>
              <w:ind w:left="309" w:right="304" w:firstLine="17"/>
              <w:rPr>
                <w:sz w:val="20"/>
                <w:szCs w:val="20"/>
              </w:rPr>
            </w:pPr>
            <w:r>
              <w:rPr>
                <w:b/>
                <w:bCs/>
                <w:spacing w:val="-1"/>
                <w:sz w:val="20"/>
                <w:szCs w:val="20"/>
              </w:rPr>
              <w:t>出料量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872" w:type="dxa"/>
            <w:tcBorders>
              <w:top w:val="single" w:color="000000" w:sz="10" w:space="0"/>
            </w:tcBorders>
            <w:vAlign w:val="top"/>
          </w:tcPr>
          <w:p w14:paraId="07B277F2">
            <w:pPr>
              <w:pStyle w:val="6"/>
              <w:spacing w:before="59" w:line="267" w:lineRule="auto"/>
              <w:ind w:left="136" w:right="117" w:hanging="10"/>
              <w:rPr>
                <w:sz w:val="20"/>
                <w:szCs w:val="20"/>
              </w:rPr>
            </w:pPr>
            <w:r>
              <w:rPr>
                <w:b/>
                <w:bCs/>
                <w:spacing w:val="5"/>
                <w:sz w:val="20"/>
                <w:szCs w:val="20"/>
              </w:rPr>
              <w:t>含锰率</w:t>
            </w:r>
            <w:r>
              <w:rPr>
                <w:sz w:val="20"/>
                <w:szCs w:val="20"/>
              </w:rPr>
              <w:t xml:space="preserve"> </w:t>
            </w:r>
            <w:r>
              <w:rPr>
                <w:b/>
                <w:bCs/>
                <w:spacing w:val="-2"/>
                <w:sz w:val="20"/>
                <w:szCs w:val="20"/>
              </w:rPr>
              <w:t>（</w:t>
            </w:r>
            <w:r>
              <w:rPr>
                <w:rFonts w:ascii="Times New Roman" w:hAnsi="Times New Roman" w:eastAsia="Times New Roman" w:cs="Times New Roman"/>
                <w:b/>
                <w:bCs/>
                <w:spacing w:val="-2"/>
                <w:sz w:val="20"/>
                <w:szCs w:val="20"/>
              </w:rPr>
              <w:t>%</w:t>
            </w:r>
            <w:r>
              <w:rPr>
                <w:b/>
                <w:bCs/>
                <w:spacing w:val="-2"/>
                <w:sz w:val="20"/>
                <w:szCs w:val="20"/>
              </w:rPr>
              <w:t>）</w:t>
            </w:r>
          </w:p>
        </w:tc>
        <w:tc>
          <w:tcPr>
            <w:tcW w:w="1136" w:type="dxa"/>
            <w:tcBorders>
              <w:top w:val="single" w:color="000000" w:sz="10" w:space="0"/>
            </w:tcBorders>
            <w:vAlign w:val="top"/>
          </w:tcPr>
          <w:p w14:paraId="0F679F30">
            <w:pPr>
              <w:pStyle w:val="6"/>
              <w:spacing w:before="59" w:line="267" w:lineRule="auto"/>
              <w:ind w:left="255" w:right="250" w:firstLine="1"/>
              <w:rPr>
                <w:sz w:val="20"/>
                <w:szCs w:val="20"/>
              </w:rPr>
            </w:pPr>
            <w:r>
              <w:rPr>
                <w:b/>
                <w:bCs/>
                <w:spacing w:val="5"/>
                <w:sz w:val="20"/>
                <w:szCs w:val="20"/>
              </w:rPr>
              <w:t>含锰量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872" w:type="dxa"/>
            <w:tcBorders>
              <w:top w:val="single" w:color="000000" w:sz="10" w:space="0"/>
            </w:tcBorders>
            <w:vAlign w:val="top"/>
          </w:tcPr>
          <w:p w14:paraId="3092C66F">
            <w:pPr>
              <w:pStyle w:val="6"/>
              <w:spacing w:before="59" w:line="267" w:lineRule="auto"/>
              <w:ind w:left="134" w:right="119" w:hanging="10"/>
              <w:rPr>
                <w:sz w:val="20"/>
                <w:szCs w:val="20"/>
              </w:rPr>
            </w:pPr>
            <w:r>
              <w:rPr>
                <w:b/>
                <w:bCs/>
                <w:spacing w:val="5"/>
                <w:sz w:val="20"/>
                <w:szCs w:val="20"/>
              </w:rPr>
              <w:t>含硫率</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w:t>
            </w:r>
            <w:r>
              <w:rPr>
                <w:b/>
                <w:bCs/>
                <w:spacing w:val="-1"/>
                <w:sz w:val="20"/>
                <w:szCs w:val="20"/>
              </w:rPr>
              <w:t>）</w:t>
            </w:r>
          </w:p>
        </w:tc>
        <w:tc>
          <w:tcPr>
            <w:tcW w:w="938" w:type="dxa"/>
            <w:tcBorders>
              <w:top w:val="single" w:color="000000" w:sz="10" w:space="0"/>
              <w:right w:val="nil"/>
            </w:tcBorders>
            <w:vAlign w:val="top"/>
          </w:tcPr>
          <w:p w14:paraId="4CE331A9">
            <w:pPr>
              <w:pStyle w:val="6"/>
              <w:spacing w:before="59" w:line="267" w:lineRule="auto"/>
              <w:ind w:left="157" w:right="152" w:firstLine="1"/>
              <w:rPr>
                <w:sz w:val="20"/>
                <w:szCs w:val="20"/>
              </w:rPr>
            </w:pPr>
            <w:r>
              <w:rPr>
                <w:b/>
                <w:bCs/>
                <w:spacing w:val="5"/>
                <w:sz w:val="20"/>
                <w:szCs w:val="20"/>
              </w:rPr>
              <w:t>含硫量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r>
      <w:tr w14:paraId="02F5F0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78" w:type="dxa"/>
            <w:tcBorders>
              <w:left w:val="nil"/>
            </w:tcBorders>
            <w:vAlign w:val="top"/>
          </w:tcPr>
          <w:p w14:paraId="548D8F65">
            <w:pPr>
              <w:rPr>
                <w:rFonts w:ascii="Arial"/>
                <w:sz w:val="21"/>
              </w:rPr>
            </w:pPr>
          </w:p>
        </w:tc>
        <w:tc>
          <w:tcPr>
            <w:tcW w:w="936" w:type="dxa"/>
            <w:vAlign w:val="top"/>
          </w:tcPr>
          <w:p w14:paraId="565C0F6F">
            <w:pPr>
              <w:rPr>
                <w:rFonts w:ascii="Arial"/>
                <w:sz w:val="21"/>
              </w:rPr>
            </w:pPr>
          </w:p>
        </w:tc>
        <w:tc>
          <w:tcPr>
            <w:tcW w:w="1279" w:type="dxa"/>
            <w:vAlign w:val="top"/>
          </w:tcPr>
          <w:p w14:paraId="236512D8">
            <w:pPr>
              <w:rPr>
                <w:rFonts w:ascii="Arial"/>
                <w:sz w:val="21"/>
              </w:rPr>
            </w:pPr>
          </w:p>
        </w:tc>
        <w:tc>
          <w:tcPr>
            <w:tcW w:w="910" w:type="dxa"/>
            <w:vAlign w:val="top"/>
          </w:tcPr>
          <w:p w14:paraId="0B3C6F38">
            <w:pPr>
              <w:rPr>
                <w:rFonts w:ascii="Arial"/>
                <w:sz w:val="21"/>
              </w:rPr>
            </w:pPr>
          </w:p>
        </w:tc>
        <w:tc>
          <w:tcPr>
            <w:tcW w:w="1162" w:type="dxa"/>
            <w:vAlign w:val="top"/>
          </w:tcPr>
          <w:p w14:paraId="33C60DFC">
            <w:pPr>
              <w:rPr>
                <w:rFonts w:ascii="Arial"/>
                <w:sz w:val="21"/>
              </w:rPr>
            </w:pPr>
          </w:p>
        </w:tc>
        <w:tc>
          <w:tcPr>
            <w:tcW w:w="862" w:type="dxa"/>
            <w:vAlign w:val="top"/>
          </w:tcPr>
          <w:p w14:paraId="66D50944">
            <w:pPr>
              <w:rPr>
                <w:rFonts w:ascii="Arial"/>
                <w:sz w:val="21"/>
              </w:rPr>
            </w:pPr>
          </w:p>
        </w:tc>
        <w:tc>
          <w:tcPr>
            <w:tcW w:w="924" w:type="dxa"/>
            <w:vAlign w:val="top"/>
          </w:tcPr>
          <w:p w14:paraId="0AF21494">
            <w:pPr>
              <w:rPr>
                <w:rFonts w:ascii="Arial"/>
                <w:sz w:val="21"/>
              </w:rPr>
            </w:pPr>
          </w:p>
        </w:tc>
        <w:tc>
          <w:tcPr>
            <w:tcW w:w="463" w:type="dxa"/>
            <w:vAlign w:val="top"/>
          </w:tcPr>
          <w:p w14:paraId="539CDF21">
            <w:pPr>
              <w:rPr>
                <w:rFonts w:ascii="Arial"/>
                <w:sz w:val="21"/>
              </w:rPr>
            </w:pPr>
          </w:p>
        </w:tc>
        <w:tc>
          <w:tcPr>
            <w:tcW w:w="2190" w:type="dxa"/>
            <w:vAlign w:val="top"/>
          </w:tcPr>
          <w:p w14:paraId="5810BCFC">
            <w:pPr>
              <w:pStyle w:val="6"/>
              <w:spacing w:before="58" w:line="228" w:lineRule="auto"/>
              <w:ind w:left="588"/>
              <w:rPr>
                <w:sz w:val="20"/>
                <w:szCs w:val="20"/>
              </w:rPr>
            </w:pPr>
            <w:r>
              <w:rPr>
                <w:spacing w:val="5"/>
                <w:sz w:val="20"/>
                <w:szCs w:val="20"/>
              </w:rPr>
              <w:t>除尘器收尘</w:t>
            </w:r>
          </w:p>
        </w:tc>
        <w:tc>
          <w:tcPr>
            <w:tcW w:w="1241" w:type="dxa"/>
            <w:vAlign w:val="top"/>
          </w:tcPr>
          <w:p w14:paraId="4D578555">
            <w:pPr>
              <w:rPr>
                <w:rFonts w:ascii="Arial"/>
                <w:sz w:val="21"/>
              </w:rPr>
            </w:pPr>
          </w:p>
        </w:tc>
        <w:tc>
          <w:tcPr>
            <w:tcW w:w="872" w:type="dxa"/>
            <w:vAlign w:val="top"/>
          </w:tcPr>
          <w:p w14:paraId="4181EFAD">
            <w:pPr>
              <w:rPr>
                <w:rFonts w:ascii="Arial"/>
                <w:sz w:val="21"/>
              </w:rPr>
            </w:pPr>
          </w:p>
        </w:tc>
        <w:tc>
          <w:tcPr>
            <w:tcW w:w="1136" w:type="dxa"/>
            <w:vAlign w:val="top"/>
          </w:tcPr>
          <w:p w14:paraId="27450FCE">
            <w:pPr>
              <w:rPr>
                <w:rFonts w:ascii="Arial"/>
                <w:sz w:val="21"/>
              </w:rPr>
            </w:pPr>
          </w:p>
        </w:tc>
        <w:tc>
          <w:tcPr>
            <w:tcW w:w="872" w:type="dxa"/>
            <w:vAlign w:val="top"/>
          </w:tcPr>
          <w:p w14:paraId="229C5C0D">
            <w:pPr>
              <w:rPr>
                <w:rFonts w:ascii="Arial"/>
                <w:sz w:val="21"/>
              </w:rPr>
            </w:pPr>
          </w:p>
        </w:tc>
        <w:tc>
          <w:tcPr>
            <w:tcW w:w="938" w:type="dxa"/>
            <w:tcBorders>
              <w:right w:val="nil"/>
            </w:tcBorders>
            <w:vAlign w:val="top"/>
          </w:tcPr>
          <w:p w14:paraId="37B19E8E">
            <w:pPr>
              <w:rPr>
                <w:rFonts w:ascii="Arial"/>
                <w:sz w:val="21"/>
              </w:rPr>
            </w:pPr>
          </w:p>
        </w:tc>
      </w:tr>
      <w:tr w14:paraId="1C5128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78" w:type="dxa"/>
            <w:tcBorders>
              <w:left w:val="nil"/>
            </w:tcBorders>
            <w:vAlign w:val="top"/>
          </w:tcPr>
          <w:p w14:paraId="34EFEB61">
            <w:pPr>
              <w:spacing w:before="105" w:line="192" w:lineRule="auto"/>
              <w:ind w:left="143"/>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936" w:type="dxa"/>
            <w:vAlign w:val="top"/>
          </w:tcPr>
          <w:p w14:paraId="550CE691">
            <w:pPr>
              <w:pStyle w:val="6"/>
              <w:spacing w:before="63" w:line="231" w:lineRule="auto"/>
              <w:ind w:left="189"/>
              <w:rPr>
                <w:sz w:val="20"/>
                <w:szCs w:val="20"/>
              </w:rPr>
            </w:pPr>
            <w:r>
              <w:rPr>
                <w:spacing w:val="-4"/>
                <w:sz w:val="20"/>
                <w:szCs w:val="20"/>
              </w:rPr>
              <w:t>白云石</w:t>
            </w:r>
          </w:p>
        </w:tc>
        <w:tc>
          <w:tcPr>
            <w:tcW w:w="1279" w:type="dxa"/>
            <w:vAlign w:val="top"/>
          </w:tcPr>
          <w:p w14:paraId="28CC0EF9">
            <w:pPr>
              <w:spacing w:before="102" w:line="195" w:lineRule="auto"/>
              <w:ind w:left="37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45000</w:t>
            </w:r>
          </w:p>
        </w:tc>
        <w:tc>
          <w:tcPr>
            <w:tcW w:w="910" w:type="dxa"/>
            <w:vAlign w:val="top"/>
          </w:tcPr>
          <w:p w14:paraId="6FE1579E">
            <w:pPr>
              <w:rPr>
                <w:rFonts w:ascii="Arial"/>
                <w:sz w:val="21"/>
              </w:rPr>
            </w:pPr>
          </w:p>
        </w:tc>
        <w:tc>
          <w:tcPr>
            <w:tcW w:w="1162" w:type="dxa"/>
            <w:vAlign w:val="top"/>
          </w:tcPr>
          <w:p w14:paraId="2D09F573">
            <w:pPr>
              <w:rPr>
                <w:rFonts w:ascii="Arial"/>
                <w:sz w:val="21"/>
              </w:rPr>
            </w:pPr>
          </w:p>
        </w:tc>
        <w:tc>
          <w:tcPr>
            <w:tcW w:w="862" w:type="dxa"/>
            <w:vAlign w:val="top"/>
          </w:tcPr>
          <w:p w14:paraId="0DD85F3A">
            <w:pPr>
              <w:spacing w:before="102" w:line="195" w:lineRule="auto"/>
              <w:ind w:left="2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0.09</w:t>
            </w:r>
          </w:p>
        </w:tc>
        <w:tc>
          <w:tcPr>
            <w:tcW w:w="924" w:type="dxa"/>
            <w:vAlign w:val="top"/>
          </w:tcPr>
          <w:p w14:paraId="7F3AA123">
            <w:pPr>
              <w:spacing w:before="102" w:line="195" w:lineRule="auto"/>
              <w:ind w:left="2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40.5</w:t>
            </w:r>
          </w:p>
        </w:tc>
        <w:tc>
          <w:tcPr>
            <w:tcW w:w="463" w:type="dxa"/>
            <w:vAlign w:val="top"/>
          </w:tcPr>
          <w:p w14:paraId="544708C9">
            <w:pPr>
              <w:spacing w:before="105" w:line="192" w:lineRule="auto"/>
              <w:ind w:left="184"/>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190" w:type="dxa"/>
            <w:vAlign w:val="top"/>
          </w:tcPr>
          <w:p w14:paraId="62071370">
            <w:pPr>
              <w:pStyle w:val="6"/>
              <w:spacing w:before="64" w:line="227" w:lineRule="auto"/>
              <w:ind w:left="470"/>
              <w:rPr>
                <w:sz w:val="20"/>
                <w:szCs w:val="20"/>
              </w:rPr>
            </w:pPr>
            <w:r>
              <w:rPr>
                <w:spacing w:val="8"/>
                <w:sz w:val="20"/>
                <w:szCs w:val="20"/>
              </w:rPr>
              <w:t>锰硅精整粉尘</w:t>
            </w:r>
          </w:p>
        </w:tc>
        <w:tc>
          <w:tcPr>
            <w:tcW w:w="1241" w:type="dxa"/>
            <w:vAlign w:val="top"/>
          </w:tcPr>
          <w:p w14:paraId="450619E0">
            <w:pPr>
              <w:spacing w:before="102" w:line="195"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0.21</w:t>
            </w:r>
          </w:p>
        </w:tc>
        <w:tc>
          <w:tcPr>
            <w:tcW w:w="872" w:type="dxa"/>
            <w:vAlign w:val="top"/>
          </w:tcPr>
          <w:p w14:paraId="03AAD559">
            <w:pPr>
              <w:spacing w:before="102" w:line="195" w:lineRule="auto"/>
              <w:ind w:left="25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26.8</w:t>
            </w:r>
          </w:p>
        </w:tc>
        <w:tc>
          <w:tcPr>
            <w:tcW w:w="1136" w:type="dxa"/>
            <w:vAlign w:val="top"/>
          </w:tcPr>
          <w:p w14:paraId="15C4D79E">
            <w:pPr>
              <w:spacing w:before="102" w:line="195" w:lineRule="auto"/>
              <w:ind w:left="3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0.06</w:t>
            </w:r>
          </w:p>
        </w:tc>
        <w:tc>
          <w:tcPr>
            <w:tcW w:w="872" w:type="dxa"/>
            <w:vAlign w:val="top"/>
          </w:tcPr>
          <w:p w14:paraId="416AB511">
            <w:pPr>
              <w:spacing w:before="102"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938" w:type="dxa"/>
            <w:tcBorders>
              <w:right w:val="nil"/>
            </w:tcBorders>
            <w:vAlign w:val="top"/>
          </w:tcPr>
          <w:p w14:paraId="4BABB325">
            <w:pPr>
              <w:spacing w:before="102"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0.0001</w:t>
            </w:r>
          </w:p>
        </w:tc>
      </w:tr>
      <w:tr w14:paraId="657A1E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78" w:type="dxa"/>
            <w:tcBorders>
              <w:left w:val="nil"/>
            </w:tcBorders>
            <w:vAlign w:val="top"/>
          </w:tcPr>
          <w:p w14:paraId="7DF5C15F">
            <w:pPr>
              <w:rPr>
                <w:rFonts w:ascii="Arial"/>
                <w:sz w:val="21"/>
              </w:rPr>
            </w:pPr>
          </w:p>
        </w:tc>
        <w:tc>
          <w:tcPr>
            <w:tcW w:w="936" w:type="dxa"/>
            <w:vAlign w:val="top"/>
          </w:tcPr>
          <w:p w14:paraId="49D74342">
            <w:pPr>
              <w:rPr>
                <w:rFonts w:ascii="Arial"/>
                <w:sz w:val="21"/>
              </w:rPr>
            </w:pPr>
          </w:p>
        </w:tc>
        <w:tc>
          <w:tcPr>
            <w:tcW w:w="1279" w:type="dxa"/>
            <w:vAlign w:val="top"/>
          </w:tcPr>
          <w:p w14:paraId="354E5FAD">
            <w:pPr>
              <w:rPr>
                <w:rFonts w:ascii="Arial"/>
                <w:sz w:val="21"/>
              </w:rPr>
            </w:pPr>
          </w:p>
        </w:tc>
        <w:tc>
          <w:tcPr>
            <w:tcW w:w="910" w:type="dxa"/>
            <w:vAlign w:val="top"/>
          </w:tcPr>
          <w:p w14:paraId="2AF0157F">
            <w:pPr>
              <w:rPr>
                <w:rFonts w:ascii="Arial"/>
                <w:sz w:val="21"/>
              </w:rPr>
            </w:pPr>
          </w:p>
        </w:tc>
        <w:tc>
          <w:tcPr>
            <w:tcW w:w="1162" w:type="dxa"/>
            <w:vAlign w:val="top"/>
          </w:tcPr>
          <w:p w14:paraId="22FF5AB8">
            <w:pPr>
              <w:rPr>
                <w:rFonts w:ascii="Arial"/>
                <w:sz w:val="21"/>
              </w:rPr>
            </w:pPr>
          </w:p>
        </w:tc>
        <w:tc>
          <w:tcPr>
            <w:tcW w:w="862" w:type="dxa"/>
            <w:vAlign w:val="top"/>
          </w:tcPr>
          <w:p w14:paraId="273C5259">
            <w:pPr>
              <w:rPr>
                <w:rFonts w:ascii="Arial"/>
                <w:sz w:val="21"/>
              </w:rPr>
            </w:pPr>
          </w:p>
        </w:tc>
        <w:tc>
          <w:tcPr>
            <w:tcW w:w="924" w:type="dxa"/>
            <w:vAlign w:val="top"/>
          </w:tcPr>
          <w:p w14:paraId="30794D5D">
            <w:pPr>
              <w:rPr>
                <w:rFonts w:ascii="Arial"/>
                <w:sz w:val="21"/>
              </w:rPr>
            </w:pPr>
          </w:p>
        </w:tc>
        <w:tc>
          <w:tcPr>
            <w:tcW w:w="463" w:type="dxa"/>
            <w:vAlign w:val="top"/>
          </w:tcPr>
          <w:p w14:paraId="4E8EB13F">
            <w:pPr>
              <w:spacing w:before="103" w:line="195" w:lineRule="auto"/>
              <w:ind w:left="189"/>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190" w:type="dxa"/>
            <w:vAlign w:val="top"/>
          </w:tcPr>
          <w:p w14:paraId="2A6E25F1">
            <w:pPr>
              <w:pStyle w:val="6"/>
              <w:spacing w:before="67" w:line="227" w:lineRule="auto"/>
              <w:ind w:left="156"/>
              <w:rPr>
                <w:sz w:val="20"/>
                <w:szCs w:val="20"/>
              </w:rPr>
            </w:pPr>
            <w:r>
              <w:rPr>
                <w:spacing w:val="8"/>
                <w:sz w:val="20"/>
                <w:szCs w:val="20"/>
              </w:rPr>
              <w:t>锰硅精整除尘器收尘</w:t>
            </w:r>
          </w:p>
        </w:tc>
        <w:tc>
          <w:tcPr>
            <w:tcW w:w="1241" w:type="dxa"/>
            <w:vAlign w:val="top"/>
          </w:tcPr>
          <w:p w14:paraId="67A41F54">
            <w:pPr>
              <w:spacing w:before="103" w:line="195" w:lineRule="auto"/>
              <w:ind w:left="3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42.54</w:t>
            </w:r>
          </w:p>
        </w:tc>
        <w:tc>
          <w:tcPr>
            <w:tcW w:w="872" w:type="dxa"/>
            <w:vAlign w:val="top"/>
          </w:tcPr>
          <w:p w14:paraId="7EE50E2F">
            <w:pPr>
              <w:spacing w:before="103" w:line="195" w:lineRule="auto"/>
              <w:ind w:left="25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26.8</w:t>
            </w:r>
          </w:p>
        </w:tc>
        <w:tc>
          <w:tcPr>
            <w:tcW w:w="1136" w:type="dxa"/>
            <w:vAlign w:val="top"/>
          </w:tcPr>
          <w:p w14:paraId="6BF9940A">
            <w:pPr>
              <w:spacing w:before="103" w:line="195"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11.4</w:t>
            </w:r>
          </w:p>
        </w:tc>
        <w:tc>
          <w:tcPr>
            <w:tcW w:w="872" w:type="dxa"/>
            <w:vAlign w:val="top"/>
          </w:tcPr>
          <w:p w14:paraId="32D839EA">
            <w:pPr>
              <w:spacing w:before="103"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938" w:type="dxa"/>
            <w:tcBorders>
              <w:right w:val="nil"/>
            </w:tcBorders>
            <w:vAlign w:val="top"/>
          </w:tcPr>
          <w:p w14:paraId="40C46083">
            <w:pPr>
              <w:spacing w:before="103"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w:t>
            </w:r>
          </w:p>
        </w:tc>
      </w:tr>
      <w:tr w14:paraId="3233CE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378" w:type="dxa"/>
            <w:tcBorders>
              <w:left w:val="nil"/>
            </w:tcBorders>
            <w:vAlign w:val="top"/>
          </w:tcPr>
          <w:p w14:paraId="40971A94">
            <w:pPr>
              <w:rPr>
                <w:rFonts w:ascii="Arial"/>
                <w:sz w:val="21"/>
              </w:rPr>
            </w:pPr>
          </w:p>
        </w:tc>
        <w:tc>
          <w:tcPr>
            <w:tcW w:w="936" w:type="dxa"/>
            <w:vAlign w:val="top"/>
          </w:tcPr>
          <w:p w14:paraId="58113118">
            <w:pPr>
              <w:rPr>
                <w:rFonts w:ascii="Arial"/>
                <w:sz w:val="21"/>
              </w:rPr>
            </w:pPr>
          </w:p>
        </w:tc>
        <w:tc>
          <w:tcPr>
            <w:tcW w:w="1279" w:type="dxa"/>
            <w:vAlign w:val="top"/>
          </w:tcPr>
          <w:p w14:paraId="62958557">
            <w:pPr>
              <w:rPr>
                <w:rFonts w:ascii="Arial"/>
                <w:sz w:val="21"/>
              </w:rPr>
            </w:pPr>
          </w:p>
        </w:tc>
        <w:tc>
          <w:tcPr>
            <w:tcW w:w="910" w:type="dxa"/>
            <w:vAlign w:val="top"/>
          </w:tcPr>
          <w:p w14:paraId="12B5C171">
            <w:pPr>
              <w:rPr>
                <w:rFonts w:ascii="Arial"/>
                <w:sz w:val="21"/>
              </w:rPr>
            </w:pPr>
          </w:p>
        </w:tc>
        <w:tc>
          <w:tcPr>
            <w:tcW w:w="1162" w:type="dxa"/>
            <w:vAlign w:val="top"/>
          </w:tcPr>
          <w:p w14:paraId="5B5D8D31">
            <w:pPr>
              <w:rPr>
                <w:rFonts w:ascii="Arial"/>
                <w:sz w:val="21"/>
              </w:rPr>
            </w:pPr>
          </w:p>
        </w:tc>
        <w:tc>
          <w:tcPr>
            <w:tcW w:w="862" w:type="dxa"/>
            <w:vAlign w:val="top"/>
          </w:tcPr>
          <w:p w14:paraId="2F10F710">
            <w:pPr>
              <w:rPr>
                <w:rFonts w:ascii="Arial"/>
                <w:sz w:val="21"/>
              </w:rPr>
            </w:pPr>
          </w:p>
        </w:tc>
        <w:tc>
          <w:tcPr>
            <w:tcW w:w="924" w:type="dxa"/>
            <w:vAlign w:val="top"/>
          </w:tcPr>
          <w:p w14:paraId="2148FA6B">
            <w:pPr>
              <w:rPr>
                <w:rFonts w:ascii="Arial"/>
                <w:sz w:val="21"/>
              </w:rPr>
            </w:pPr>
          </w:p>
        </w:tc>
        <w:tc>
          <w:tcPr>
            <w:tcW w:w="463" w:type="dxa"/>
            <w:vAlign w:val="top"/>
          </w:tcPr>
          <w:p w14:paraId="2FFB12E2">
            <w:pPr>
              <w:spacing w:before="261" w:line="195" w:lineRule="auto"/>
              <w:ind w:left="185"/>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2190" w:type="dxa"/>
            <w:vAlign w:val="top"/>
          </w:tcPr>
          <w:p w14:paraId="4999747C">
            <w:pPr>
              <w:pStyle w:val="6"/>
              <w:spacing w:before="65" w:line="262" w:lineRule="auto"/>
              <w:ind w:left="889" w:right="147" w:hanging="734"/>
              <w:rPr>
                <w:sz w:val="20"/>
                <w:szCs w:val="20"/>
              </w:rPr>
            </w:pPr>
            <w:r>
              <w:rPr>
                <w:spacing w:val="9"/>
                <w:sz w:val="20"/>
                <w:szCs w:val="20"/>
              </w:rPr>
              <w:t>硅锰电炉料棚无组织</w:t>
            </w:r>
            <w:r>
              <w:rPr>
                <w:sz w:val="20"/>
                <w:szCs w:val="20"/>
              </w:rPr>
              <w:t xml:space="preserve"> </w:t>
            </w:r>
            <w:r>
              <w:rPr>
                <w:spacing w:val="5"/>
                <w:sz w:val="20"/>
                <w:szCs w:val="20"/>
              </w:rPr>
              <w:t>粉尘</w:t>
            </w:r>
          </w:p>
        </w:tc>
        <w:tc>
          <w:tcPr>
            <w:tcW w:w="1241" w:type="dxa"/>
            <w:vAlign w:val="top"/>
          </w:tcPr>
          <w:p w14:paraId="02797AE5">
            <w:pPr>
              <w:spacing w:before="261" w:line="195" w:lineRule="auto"/>
              <w:ind w:left="4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4.37</w:t>
            </w:r>
          </w:p>
        </w:tc>
        <w:tc>
          <w:tcPr>
            <w:tcW w:w="872" w:type="dxa"/>
            <w:vAlign w:val="top"/>
          </w:tcPr>
          <w:p w14:paraId="300CB029">
            <w:pPr>
              <w:spacing w:before="261" w:line="195" w:lineRule="auto"/>
              <w:ind w:left="2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32.09</w:t>
            </w:r>
          </w:p>
        </w:tc>
        <w:tc>
          <w:tcPr>
            <w:tcW w:w="1136" w:type="dxa"/>
            <w:vAlign w:val="top"/>
          </w:tcPr>
          <w:p w14:paraId="48D91553">
            <w:pPr>
              <w:spacing w:before="261" w:line="195" w:lineRule="auto"/>
              <w:ind w:left="45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1.4</w:t>
            </w:r>
          </w:p>
        </w:tc>
        <w:tc>
          <w:tcPr>
            <w:tcW w:w="872" w:type="dxa"/>
            <w:vAlign w:val="top"/>
          </w:tcPr>
          <w:p w14:paraId="5DD4FB37">
            <w:pPr>
              <w:spacing w:before="261"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938" w:type="dxa"/>
            <w:tcBorders>
              <w:right w:val="nil"/>
            </w:tcBorders>
            <w:vAlign w:val="top"/>
          </w:tcPr>
          <w:p w14:paraId="2F0B104B">
            <w:pPr>
              <w:spacing w:before="261" w:line="195" w:lineRule="auto"/>
              <w:ind w:left="2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0.001</w:t>
            </w:r>
          </w:p>
        </w:tc>
      </w:tr>
      <w:tr w14:paraId="461D0E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378" w:type="dxa"/>
            <w:tcBorders>
              <w:left w:val="nil"/>
            </w:tcBorders>
            <w:vAlign w:val="top"/>
          </w:tcPr>
          <w:p w14:paraId="5B1533C1">
            <w:pPr>
              <w:rPr>
                <w:rFonts w:ascii="Arial"/>
                <w:sz w:val="21"/>
              </w:rPr>
            </w:pPr>
          </w:p>
        </w:tc>
        <w:tc>
          <w:tcPr>
            <w:tcW w:w="936" w:type="dxa"/>
            <w:vAlign w:val="top"/>
          </w:tcPr>
          <w:p w14:paraId="54C14E37">
            <w:pPr>
              <w:rPr>
                <w:rFonts w:ascii="Arial"/>
                <w:sz w:val="21"/>
              </w:rPr>
            </w:pPr>
          </w:p>
        </w:tc>
        <w:tc>
          <w:tcPr>
            <w:tcW w:w="1279" w:type="dxa"/>
            <w:vAlign w:val="top"/>
          </w:tcPr>
          <w:p w14:paraId="7163AD91">
            <w:pPr>
              <w:rPr>
                <w:rFonts w:ascii="Arial"/>
                <w:sz w:val="21"/>
              </w:rPr>
            </w:pPr>
          </w:p>
        </w:tc>
        <w:tc>
          <w:tcPr>
            <w:tcW w:w="910" w:type="dxa"/>
            <w:vAlign w:val="top"/>
          </w:tcPr>
          <w:p w14:paraId="3696A147">
            <w:pPr>
              <w:rPr>
                <w:rFonts w:ascii="Arial"/>
                <w:sz w:val="21"/>
              </w:rPr>
            </w:pPr>
          </w:p>
        </w:tc>
        <w:tc>
          <w:tcPr>
            <w:tcW w:w="1162" w:type="dxa"/>
            <w:vAlign w:val="top"/>
          </w:tcPr>
          <w:p w14:paraId="7EA24C84">
            <w:pPr>
              <w:rPr>
                <w:rFonts w:ascii="Arial"/>
                <w:sz w:val="21"/>
              </w:rPr>
            </w:pPr>
          </w:p>
        </w:tc>
        <w:tc>
          <w:tcPr>
            <w:tcW w:w="862" w:type="dxa"/>
            <w:vAlign w:val="top"/>
          </w:tcPr>
          <w:p w14:paraId="4DAD2B8F">
            <w:pPr>
              <w:rPr>
                <w:rFonts w:ascii="Arial"/>
                <w:sz w:val="21"/>
              </w:rPr>
            </w:pPr>
          </w:p>
        </w:tc>
        <w:tc>
          <w:tcPr>
            <w:tcW w:w="924" w:type="dxa"/>
            <w:vAlign w:val="top"/>
          </w:tcPr>
          <w:p w14:paraId="0BB4409B">
            <w:pPr>
              <w:rPr>
                <w:rFonts w:ascii="Arial"/>
                <w:sz w:val="21"/>
              </w:rPr>
            </w:pPr>
          </w:p>
        </w:tc>
        <w:tc>
          <w:tcPr>
            <w:tcW w:w="463" w:type="dxa"/>
            <w:vAlign w:val="top"/>
          </w:tcPr>
          <w:p w14:paraId="276F69C6">
            <w:pPr>
              <w:spacing w:before="266" w:line="195" w:lineRule="auto"/>
              <w:ind w:left="14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2190" w:type="dxa"/>
            <w:vAlign w:val="top"/>
          </w:tcPr>
          <w:p w14:paraId="347A7E1F">
            <w:pPr>
              <w:pStyle w:val="6"/>
              <w:spacing w:before="70" w:line="260" w:lineRule="auto"/>
              <w:ind w:left="889" w:right="147" w:hanging="734"/>
              <w:rPr>
                <w:sz w:val="20"/>
                <w:szCs w:val="20"/>
              </w:rPr>
            </w:pPr>
            <w:r>
              <w:rPr>
                <w:spacing w:val="9"/>
                <w:sz w:val="20"/>
                <w:szCs w:val="20"/>
              </w:rPr>
              <w:t>硅锰电炉车间无组织</w:t>
            </w:r>
            <w:r>
              <w:rPr>
                <w:sz w:val="20"/>
                <w:szCs w:val="20"/>
              </w:rPr>
              <w:t xml:space="preserve"> </w:t>
            </w:r>
            <w:r>
              <w:rPr>
                <w:spacing w:val="5"/>
                <w:sz w:val="20"/>
                <w:szCs w:val="20"/>
              </w:rPr>
              <w:t>粉尘</w:t>
            </w:r>
          </w:p>
        </w:tc>
        <w:tc>
          <w:tcPr>
            <w:tcW w:w="1241" w:type="dxa"/>
            <w:vAlign w:val="top"/>
          </w:tcPr>
          <w:p w14:paraId="18371DCD">
            <w:pPr>
              <w:spacing w:before="266" w:line="195" w:lineRule="auto"/>
              <w:ind w:left="4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2.01</w:t>
            </w:r>
          </w:p>
        </w:tc>
        <w:tc>
          <w:tcPr>
            <w:tcW w:w="872" w:type="dxa"/>
            <w:vAlign w:val="top"/>
          </w:tcPr>
          <w:p w14:paraId="5CF35EFB">
            <w:pPr>
              <w:spacing w:before="266" w:line="195" w:lineRule="auto"/>
              <w:ind w:left="2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31.61</w:t>
            </w:r>
          </w:p>
        </w:tc>
        <w:tc>
          <w:tcPr>
            <w:tcW w:w="1136" w:type="dxa"/>
            <w:vAlign w:val="top"/>
          </w:tcPr>
          <w:p w14:paraId="54D34FF2">
            <w:pPr>
              <w:spacing w:before="266" w:line="195" w:lineRule="auto"/>
              <w:ind w:left="3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0.64</w:t>
            </w:r>
          </w:p>
        </w:tc>
        <w:tc>
          <w:tcPr>
            <w:tcW w:w="872" w:type="dxa"/>
            <w:vAlign w:val="top"/>
          </w:tcPr>
          <w:p w14:paraId="6EDF9EC9">
            <w:pPr>
              <w:spacing w:before="266"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938" w:type="dxa"/>
            <w:tcBorders>
              <w:right w:val="nil"/>
            </w:tcBorders>
            <w:vAlign w:val="top"/>
          </w:tcPr>
          <w:p w14:paraId="52FCCB44">
            <w:pPr>
              <w:spacing w:before="266" w:line="195" w:lineRule="auto"/>
              <w:ind w:left="2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0.001</w:t>
            </w:r>
          </w:p>
        </w:tc>
      </w:tr>
      <w:tr w14:paraId="55AC6F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378" w:type="dxa"/>
            <w:tcBorders>
              <w:left w:val="nil"/>
            </w:tcBorders>
            <w:vAlign w:val="top"/>
          </w:tcPr>
          <w:p w14:paraId="2698D9E2">
            <w:pPr>
              <w:rPr>
                <w:rFonts w:ascii="Arial"/>
                <w:sz w:val="21"/>
              </w:rPr>
            </w:pPr>
          </w:p>
        </w:tc>
        <w:tc>
          <w:tcPr>
            <w:tcW w:w="936" w:type="dxa"/>
            <w:vAlign w:val="top"/>
          </w:tcPr>
          <w:p w14:paraId="4B7E47A9">
            <w:pPr>
              <w:rPr>
                <w:rFonts w:ascii="Arial"/>
                <w:sz w:val="21"/>
              </w:rPr>
            </w:pPr>
          </w:p>
        </w:tc>
        <w:tc>
          <w:tcPr>
            <w:tcW w:w="1279" w:type="dxa"/>
            <w:vAlign w:val="top"/>
          </w:tcPr>
          <w:p w14:paraId="507FF021">
            <w:pPr>
              <w:rPr>
                <w:rFonts w:ascii="Arial"/>
                <w:sz w:val="21"/>
              </w:rPr>
            </w:pPr>
          </w:p>
        </w:tc>
        <w:tc>
          <w:tcPr>
            <w:tcW w:w="910" w:type="dxa"/>
            <w:vAlign w:val="top"/>
          </w:tcPr>
          <w:p w14:paraId="353B9523">
            <w:pPr>
              <w:rPr>
                <w:rFonts w:ascii="Arial"/>
                <w:sz w:val="21"/>
              </w:rPr>
            </w:pPr>
          </w:p>
        </w:tc>
        <w:tc>
          <w:tcPr>
            <w:tcW w:w="1162" w:type="dxa"/>
            <w:vAlign w:val="top"/>
          </w:tcPr>
          <w:p w14:paraId="7C799A2C">
            <w:pPr>
              <w:rPr>
                <w:rFonts w:ascii="Arial"/>
                <w:sz w:val="21"/>
              </w:rPr>
            </w:pPr>
          </w:p>
        </w:tc>
        <w:tc>
          <w:tcPr>
            <w:tcW w:w="862" w:type="dxa"/>
            <w:vAlign w:val="top"/>
          </w:tcPr>
          <w:p w14:paraId="62737435">
            <w:pPr>
              <w:rPr>
                <w:rFonts w:ascii="Arial"/>
                <w:sz w:val="21"/>
              </w:rPr>
            </w:pPr>
          </w:p>
        </w:tc>
        <w:tc>
          <w:tcPr>
            <w:tcW w:w="924" w:type="dxa"/>
            <w:vAlign w:val="top"/>
          </w:tcPr>
          <w:p w14:paraId="618E33D5">
            <w:pPr>
              <w:rPr>
                <w:rFonts w:ascii="Arial"/>
                <w:sz w:val="21"/>
              </w:rPr>
            </w:pPr>
          </w:p>
        </w:tc>
        <w:tc>
          <w:tcPr>
            <w:tcW w:w="463" w:type="dxa"/>
            <w:vAlign w:val="top"/>
          </w:tcPr>
          <w:p w14:paraId="6E191300">
            <w:pPr>
              <w:spacing w:before="268" w:line="195" w:lineRule="auto"/>
              <w:ind w:left="14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11</w:t>
            </w:r>
          </w:p>
        </w:tc>
        <w:tc>
          <w:tcPr>
            <w:tcW w:w="2190" w:type="dxa"/>
            <w:vAlign w:val="top"/>
          </w:tcPr>
          <w:p w14:paraId="12C9237B">
            <w:pPr>
              <w:pStyle w:val="6"/>
              <w:spacing w:before="70" w:line="260" w:lineRule="auto"/>
              <w:ind w:left="891" w:right="147" w:hanging="735"/>
              <w:rPr>
                <w:sz w:val="20"/>
                <w:szCs w:val="20"/>
              </w:rPr>
            </w:pPr>
            <w:r>
              <w:rPr>
                <w:spacing w:val="8"/>
                <w:sz w:val="20"/>
                <w:szCs w:val="20"/>
              </w:rPr>
              <w:t>供烧结、烘干及发电</w:t>
            </w:r>
            <w:r>
              <w:rPr>
                <w:spacing w:val="7"/>
                <w:sz w:val="20"/>
                <w:szCs w:val="20"/>
              </w:rPr>
              <w:t xml:space="preserve"> </w:t>
            </w:r>
            <w:r>
              <w:rPr>
                <w:spacing w:val="4"/>
                <w:sz w:val="20"/>
                <w:szCs w:val="20"/>
              </w:rPr>
              <w:t>煤气</w:t>
            </w:r>
          </w:p>
        </w:tc>
        <w:tc>
          <w:tcPr>
            <w:tcW w:w="1241" w:type="dxa"/>
            <w:vAlign w:val="top"/>
          </w:tcPr>
          <w:p w14:paraId="16901FE7">
            <w:pPr>
              <w:spacing w:before="268" w:line="195" w:lineRule="auto"/>
              <w:ind w:left="31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572400</w:t>
            </w:r>
          </w:p>
        </w:tc>
        <w:tc>
          <w:tcPr>
            <w:tcW w:w="872" w:type="dxa"/>
            <w:vAlign w:val="top"/>
          </w:tcPr>
          <w:p w14:paraId="65759980">
            <w:pPr>
              <w:rPr>
                <w:rFonts w:ascii="Arial"/>
                <w:sz w:val="21"/>
              </w:rPr>
            </w:pPr>
          </w:p>
        </w:tc>
        <w:tc>
          <w:tcPr>
            <w:tcW w:w="1136" w:type="dxa"/>
            <w:vAlign w:val="top"/>
          </w:tcPr>
          <w:p w14:paraId="63412ADE">
            <w:pPr>
              <w:rPr>
                <w:rFonts w:ascii="Arial"/>
                <w:sz w:val="21"/>
              </w:rPr>
            </w:pPr>
          </w:p>
        </w:tc>
        <w:tc>
          <w:tcPr>
            <w:tcW w:w="872" w:type="dxa"/>
            <w:vAlign w:val="top"/>
          </w:tcPr>
          <w:p w14:paraId="6D7C35BC">
            <w:pPr>
              <w:rPr>
                <w:rFonts w:ascii="Arial"/>
                <w:sz w:val="21"/>
              </w:rPr>
            </w:pPr>
          </w:p>
        </w:tc>
        <w:tc>
          <w:tcPr>
            <w:tcW w:w="938" w:type="dxa"/>
            <w:tcBorders>
              <w:right w:val="nil"/>
            </w:tcBorders>
            <w:vAlign w:val="top"/>
          </w:tcPr>
          <w:p w14:paraId="7B49D15C">
            <w:pPr>
              <w:spacing w:before="268"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51.84</w:t>
            </w:r>
          </w:p>
        </w:tc>
      </w:tr>
      <w:tr w14:paraId="6E40EE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78" w:type="dxa"/>
            <w:tcBorders>
              <w:left w:val="nil"/>
            </w:tcBorders>
            <w:vAlign w:val="top"/>
          </w:tcPr>
          <w:p w14:paraId="65DC8829">
            <w:pPr>
              <w:rPr>
                <w:rFonts w:ascii="Arial"/>
                <w:sz w:val="21"/>
              </w:rPr>
            </w:pPr>
          </w:p>
        </w:tc>
        <w:tc>
          <w:tcPr>
            <w:tcW w:w="936" w:type="dxa"/>
            <w:vAlign w:val="top"/>
          </w:tcPr>
          <w:p w14:paraId="6E44306D">
            <w:pPr>
              <w:rPr>
                <w:rFonts w:ascii="Arial"/>
                <w:sz w:val="21"/>
              </w:rPr>
            </w:pPr>
          </w:p>
        </w:tc>
        <w:tc>
          <w:tcPr>
            <w:tcW w:w="1279" w:type="dxa"/>
            <w:vAlign w:val="top"/>
          </w:tcPr>
          <w:p w14:paraId="2B3A6208">
            <w:pPr>
              <w:rPr>
                <w:rFonts w:ascii="Arial"/>
                <w:sz w:val="21"/>
              </w:rPr>
            </w:pPr>
          </w:p>
        </w:tc>
        <w:tc>
          <w:tcPr>
            <w:tcW w:w="910" w:type="dxa"/>
            <w:vAlign w:val="top"/>
          </w:tcPr>
          <w:p w14:paraId="670F9C99">
            <w:pPr>
              <w:rPr>
                <w:rFonts w:ascii="Arial"/>
                <w:sz w:val="21"/>
              </w:rPr>
            </w:pPr>
          </w:p>
        </w:tc>
        <w:tc>
          <w:tcPr>
            <w:tcW w:w="1162" w:type="dxa"/>
            <w:vAlign w:val="top"/>
          </w:tcPr>
          <w:p w14:paraId="7549E631">
            <w:pPr>
              <w:rPr>
                <w:rFonts w:ascii="Arial"/>
                <w:sz w:val="21"/>
              </w:rPr>
            </w:pPr>
          </w:p>
        </w:tc>
        <w:tc>
          <w:tcPr>
            <w:tcW w:w="862" w:type="dxa"/>
            <w:vAlign w:val="top"/>
          </w:tcPr>
          <w:p w14:paraId="02DCAF11">
            <w:pPr>
              <w:rPr>
                <w:rFonts w:ascii="Arial"/>
                <w:sz w:val="21"/>
              </w:rPr>
            </w:pPr>
          </w:p>
        </w:tc>
        <w:tc>
          <w:tcPr>
            <w:tcW w:w="924" w:type="dxa"/>
            <w:vAlign w:val="top"/>
          </w:tcPr>
          <w:p w14:paraId="3DB2CFB8">
            <w:pPr>
              <w:rPr>
                <w:rFonts w:ascii="Arial"/>
                <w:sz w:val="21"/>
              </w:rPr>
            </w:pPr>
          </w:p>
        </w:tc>
        <w:tc>
          <w:tcPr>
            <w:tcW w:w="463" w:type="dxa"/>
            <w:vAlign w:val="top"/>
          </w:tcPr>
          <w:p w14:paraId="04FB86CD">
            <w:pPr>
              <w:spacing w:before="116" w:line="195" w:lineRule="auto"/>
              <w:ind w:left="14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2190" w:type="dxa"/>
            <w:vAlign w:val="top"/>
          </w:tcPr>
          <w:p w14:paraId="641D9CB3">
            <w:pPr>
              <w:pStyle w:val="6"/>
              <w:spacing w:before="80" w:line="224" w:lineRule="auto"/>
              <w:ind w:left="577"/>
              <w:rPr>
                <w:sz w:val="20"/>
                <w:szCs w:val="20"/>
              </w:rPr>
            </w:pPr>
            <w:r>
              <w:rPr>
                <w:spacing w:val="7"/>
                <w:sz w:val="20"/>
                <w:szCs w:val="20"/>
              </w:rPr>
              <w:t>车间沉降灰</w:t>
            </w:r>
          </w:p>
        </w:tc>
        <w:tc>
          <w:tcPr>
            <w:tcW w:w="1241" w:type="dxa"/>
            <w:vAlign w:val="top"/>
          </w:tcPr>
          <w:p w14:paraId="51214ED3">
            <w:pPr>
              <w:spacing w:before="115" w:line="195" w:lineRule="auto"/>
              <w:ind w:left="3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57.36</w:t>
            </w:r>
          </w:p>
        </w:tc>
        <w:tc>
          <w:tcPr>
            <w:tcW w:w="872" w:type="dxa"/>
            <w:vAlign w:val="top"/>
          </w:tcPr>
          <w:p w14:paraId="1FEE9B07">
            <w:pPr>
              <w:spacing w:before="115" w:line="195" w:lineRule="auto"/>
              <w:ind w:left="20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21.21</w:t>
            </w:r>
          </w:p>
        </w:tc>
        <w:tc>
          <w:tcPr>
            <w:tcW w:w="1136" w:type="dxa"/>
            <w:vAlign w:val="top"/>
          </w:tcPr>
          <w:p w14:paraId="1D98CA26">
            <w:pPr>
              <w:spacing w:before="115" w:line="195" w:lineRule="auto"/>
              <w:ind w:left="35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12.17</w:t>
            </w:r>
          </w:p>
        </w:tc>
        <w:tc>
          <w:tcPr>
            <w:tcW w:w="872" w:type="dxa"/>
            <w:vAlign w:val="top"/>
          </w:tcPr>
          <w:p w14:paraId="16B447A3">
            <w:pPr>
              <w:spacing w:before="115"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938" w:type="dxa"/>
            <w:tcBorders>
              <w:right w:val="nil"/>
            </w:tcBorders>
            <w:vAlign w:val="top"/>
          </w:tcPr>
          <w:p w14:paraId="44601D5E">
            <w:pPr>
              <w:spacing w:before="115"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r>
      <w:tr w14:paraId="685CCD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78" w:type="dxa"/>
            <w:tcBorders>
              <w:left w:val="nil"/>
            </w:tcBorders>
            <w:vAlign w:val="top"/>
          </w:tcPr>
          <w:p w14:paraId="15B1979F">
            <w:pPr>
              <w:rPr>
                <w:rFonts w:ascii="Arial"/>
                <w:sz w:val="21"/>
              </w:rPr>
            </w:pPr>
          </w:p>
        </w:tc>
        <w:tc>
          <w:tcPr>
            <w:tcW w:w="936" w:type="dxa"/>
            <w:vAlign w:val="top"/>
          </w:tcPr>
          <w:p w14:paraId="56666D5B">
            <w:pPr>
              <w:rPr>
                <w:rFonts w:ascii="Arial"/>
                <w:sz w:val="21"/>
              </w:rPr>
            </w:pPr>
          </w:p>
        </w:tc>
        <w:tc>
          <w:tcPr>
            <w:tcW w:w="1279" w:type="dxa"/>
            <w:vAlign w:val="top"/>
          </w:tcPr>
          <w:p w14:paraId="2BD5C035">
            <w:pPr>
              <w:rPr>
                <w:rFonts w:ascii="Arial"/>
                <w:sz w:val="21"/>
              </w:rPr>
            </w:pPr>
          </w:p>
        </w:tc>
        <w:tc>
          <w:tcPr>
            <w:tcW w:w="910" w:type="dxa"/>
            <w:vAlign w:val="top"/>
          </w:tcPr>
          <w:p w14:paraId="477360EB">
            <w:pPr>
              <w:rPr>
                <w:rFonts w:ascii="Arial"/>
                <w:sz w:val="21"/>
              </w:rPr>
            </w:pPr>
          </w:p>
        </w:tc>
        <w:tc>
          <w:tcPr>
            <w:tcW w:w="1162" w:type="dxa"/>
            <w:vAlign w:val="top"/>
          </w:tcPr>
          <w:p w14:paraId="0D59449C">
            <w:pPr>
              <w:rPr>
                <w:rFonts w:ascii="Arial"/>
                <w:sz w:val="21"/>
              </w:rPr>
            </w:pPr>
          </w:p>
        </w:tc>
        <w:tc>
          <w:tcPr>
            <w:tcW w:w="862" w:type="dxa"/>
            <w:vAlign w:val="top"/>
          </w:tcPr>
          <w:p w14:paraId="09D26969">
            <w:pPr>
              <w:rPr>
                <w:rFonts w:ascii="Arial"/>
                <w:sz w:val="21"/>
              </w:rPr>
            </w:pPr>
          </w:p>
        </w:tc>
        <w:tc>
          <w:tcPr>
            <w:tcW w:w="924" w:type="dxa"/>
            <w:vAlign w:val="top"/>
          </w:tcPr>
          <w:p w14:paraId="7049DA2C">
            <w:pPr>
              <w:rPr>
                <w:rFonts w:ascii="Arial"/>
                <w:sz w:val="21"/>
              </w:rPr>
            </w:pPr>
          </w:p>
        </w:tc>
        <w:tc>
          <w:tcPr>
            <w:tcW w:w="463" w:type="dxa"/>
            <w:vAlign w:val="top"/>
          </w:tcPr>
          <w:p w14:paraId="48851982">
            <w:pPr>
              <w:spacing w:before="118" w:line="195" w:lineRule="auto"/>
              <w:ind w:left="14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13</w:t>
            </w:r>
          </w:p>
        </w:tc>
        <w:tc>
          <w:tcPr>
            <w:tcW w:w="2190" w:type="dxa"/>
            <w:vAlign w:val="top"/>
          </w:tcPr>
          <w:p w14:paraId="4B8DE6CD">
            <w:pPr>
              <w:pStyle w:val="6"/>
              <w:spacing w:before="80" w:line="224" w:lineRule="auto"/>
              <w:ind w:left="365"/>
              <w:rPr>
                <w:sz w:val="20"/>
                <w:szCs w:val="20"/>
              </w:rPr>
            </w:pPr>
            <w:r>
              <w:rPr>
                <w:spacing w:val="8"/>
                <w:sz w:val="20"/>
                <w:szCs w:val="20"/>
              </w:rPr>
              <w:t>煤气净化除尘灰</w:t>
            </w:r>
          </w:p>
        </w:tc>
        <w:tc>
          <w:tcPr>
            <w:tcW w:w="1241" w:type="dxa"/>
            <w:vAlign w:val="top"/>
          </w:tcPr>
          <w:p w14:paraId="383DDB7C">
            <w:pPr>
              <w:spacing w:before="118"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17835.36</w:t>
            </w:r>
          </w:p>
        </w:tc>
        <w:tc>
          <w:tcPr>
            <w:tcW w:w="872" w:type="dxa"/>
            <w:vAlign w:val="top"/>
          </w:tcPr>
          <w:p w14:paraId="7C32A53B">
            <w:pPr>
              <w:spacing w:before="118" w:line="195" w:lineRule="auto"/>
              <w:ind w:left="20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23.64</w:t>
            </w:r>
          </w:p>
        </w:tc>
        <w:tc>
          <w:tcPr>
            <w:tcW w:w="1136" w:type="dxa"/>
            <w:vAlign w:val="top"/>
          </w:tcPr>
          <w:p w14:paraId="60E48E0F">
            <w:pPr>
              <w:spacing w:before="118" w:line="195" w:lineRule="auto"/>
              <w:ind w:left="22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4216.28</w:t>
            </w:r>
          </w:p>
        </w:tc>
        <w:tc>
          <w:tcPr>
            <w:tcW w:w="872" w:type="dxa"/>
            <w:vAlign w:val="top"/>
          </w:tcPr>
          <w:p w14:paraId="712E3A98">
            <w:pPr>
              <w:spacing w:before="118"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w:t>
            </w:r>
          </w:p>
        </w:tc>
        <w:tc>
          <w:tcPr>
            <w:tcW w:w="938" w:type="dxa"/>
            <w:tcBorders>
              <w:right w:val="nil"/>
            </w:tcBorders>
            <w:vAlign w:val="top"/>
          </w:tcPr>
          <w:p w14:paraId="29B9F2C5">
            <w:pPr>
              <w:spacing w:before="118" w:line="195" w:lineRule="auto"/>
              <w:ind w:left="296"/>
              <w:rPr>
                <w:rFonts w:ascii="Times New Roman" w:hAnsi="Times New Roman" w:eastAsia="Times New Roman" w:cs="Times New Roman"/>
                <w:sz w:val="20"/>
                <w:szCs w:val="20"/>
              </w:rPr>
            </w:pPr>
            <w:r>
              <w:rPr>
                <w:rFonts w:ascii="Times New Roman" w:hAnsi="Times New Roman" w:eastAsia="Times New Roman" w:cs="Times New Roman"/>
                <w:sz w:val="20"/>
                <w:szCs w:val="20"/>
              </w:rPr>
              <w:t>8.92</w:t>
            </w:r>
          </w:p>
        </w:tc>
      </w:tr>
      <w:tr w14:paraId="0A909C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7" w:hRule="atLeast"/>
        </w:trPr>
        <w:tc>
          <w:tcPr>
            <w:tcW w:w="378" w:type="dxa"/>
            <w:tcBorders>
              <w:left w:val="nil"/>
              <w:bottom w:val="single" w:color="000000" w:sz="10" w:space="0"/>
            </w:tcBorders>
            <w:vAlign w:val="top"/>
          </w:tcPr>
          <w:p w14:paraId="34B7EA97">
            <w:pPr>
              <w:rPr>
                <w:rFonts w:ascii="Arial"/>
                <w:sz w:val="21"/>
              </w:rPr>
            </w:pPr>
          </w:p>
        </w:tc>
        <w:tc>
          <w:tcPr>
            <w:tcW w:w="936" w:type="dxa"/>
            <w:tcBorders>
              <w:bottom w:val="single" w:color="000000" w:sz="10" w:space="0"/>
            </w:tcBorders>
            <w:vAlign w:val="top"/>
          </w:tcPr>
          <w:p w14:paraId="5EE1F332">
            <w:pPr>
              <w:pStyle w:val="6"/>
              <w:spacing w:before="83" w:line="229" w:lineRule="auto"/>
              <w:ind w:left="268"/>
              <w:rPr>
                <w:sz w:val="20"/>
                <w:szCs w:val="20"/>
              </w:rPr>
            </w:pPr>
            <w:r>
              <w:rPr>
                <w:spacing w:val="2"/>
                <w:sz w:val="20"/>
                <w:szCs w:val="20"/>
              </w:rPr>
              <w:t>小计</w:t>
            </w:r>
          </w:p>
        </w:tc>
        <w:tc>
          <w:tcPr>
            <w:tcW w:w="1279" w:type="dxa"/>
            <w:tcBorders>
              <w:bottom w:val="single" w:color="000000" w:sz="10" w:space="0"/>
            </w:tcBorders>
            <w:vAlign w:val="top"/>
          </w:tcPr>
          <w:p w14:paraId="21AEDE3B">
            <w:pPr>
              <w:spacing w:before="119" w:line="195" w:lineRule="auto"/>
              <w:ind w:left="1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1275205.89</w:t>
            </w:r>
          </w:p>
        </w:tc>
        <w:tc>
          <w:tcPr>
            <w:tcW w:w="910" w:type="dxa"/>
            <w:tcBorders>
              <w:bottom w:val="single" w:color="000000" w:sz="10" w:space="0"/>
            </w:tcBorders>
            <w:vAlign w:val="top"/>
          </w:tcPr>
          <w:p w14:paraId="222705EA">
            <w:pPr>
              <w:rPr>
                <w:rFonts w:ascii="Arial"/>
                <w:sz w:val="21"/>
              </w:rPr>
            </w:pPr>
          </w:p>
        </w:tc>
        <w:tc>
          <w:tcPr>
            <w:tcW w:w="1162" w:type="dxa"/>
            <w:tcBorders>
              <w:bottom w:val="single" w:color="000000" w:sz="10" w:space="0"/>
            </w:tcBorders>
            <w:vAlign w:val="top"/>
          </w:tcPr>
          <w:p w14:paraId="637FFC88">
            <w:pPr>
              <w:spacing w:before="119" w:line="195" w:lineRule="auto"/>
              <w:ind w:left="1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333367.78</w:t>
            </w:r>
          </w:p>
        </w:tc>
        <w:tc>
          <w:tcPr>
            <w:tcW w:w="862" w:type="dxa"/>
            <w:tcBorders>
              <w:bottom w:val="single" w:color="000000" w:sz="10" w:space="0"/>
            </w:tcBorders>
            <w:vAlign w:val="top"/>
          </w:tcPr>
          <w:p w14:paraId="6791CEEC">
            <w:pPr>
              <w:rPr>
                <w:rFonts w:ascii="Arial"/>
                <w:sz w:val="21"/>
              </w:rPr>
            </w:pPr>
          </w:p>
        </w:tc>
        <w:tc>
          <w:tcPr>
            <w:tcW w:w="924" w:type="dxa"/>
            <w:tcBorders>
              <w:bottom w:val="single" w:color="000000" w:sz="10" w:space="0"/>
            </w:tcBorders>
            <w:vAlign w:val="top"/>
          </w:tcPr>
          <w:p w14:paraId="283BA7E2">
            <w:pPr>
              <w:spacing w:before="119"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1234.51</w:t>
            </w:r>
          </w:p>
        </w:tc>
        <w:tc>
          <w:tcPr>
            <w:tcW w:w="463" w:type="dxa"/>
            <w:tcBorders>
              <w:bottom w:val="single" w:color="000000" w:sz="10" w:space="0"/>
            </w:tcBorders>
            <w:vAlign w:val="top"/>
          </w:tcPr>
          <w:p w14:paraId="7EB588F6">
            <w:pPr>
              <w:rPr>
                <w:rFonts w:ascii="Arial"/>
                <w:sz w:val="21"/>
              </w:rPr>
            </w:pPr>
          </w:p>
        </w:tc>
        <w:tc>
          <w:tcPr>
            <w:tcW w:w="2190" w:type="dxa"/>
            <w:tcBorders>
              <w:bottom w:val="single" w:color="000000" w:sz="10" w:space="0"/>
            </w:tcBorders>
            <w:vAlign w:val="top"/>
          </w:tcPr>
          <w:p w14:paraId="55063680">
            <w:pPr>
              <w:pStyle w:val="6"/>
              <w:spacing w:before="83" w:line="229" w:lineRule="auto"/>
              <w:ind w:left="896"/>
              <w:rPr>
                <w:sz w:val="20"/>
                <w:szCs w:val="20"/>
              </w:rPr>
            </w:pPr>
            <w:r>
              <w:rPr>
                <w:spacing w:val="2"/>
                <w:sz w:val="20"/>
                <w:szCs w:val="20"/>
              </w:rPr>
              <w:t>小计</w:t>
            </w:r>
          </w:p>
        </w:tc>
        <w:tc>
          <w:tcPr>
            <w:tcW w:w="1241" w:type="dxa"/>
            <w:tcBorders>
              <w:bottom w:val="single" w:color="000000" w:sz="10" w:space="0"/>
            </w:tcBorders>
            <w:vAlign w:val="top"/>
          </w:tcPr>
          <w:p w14:paraId="582525C0">
            <w:pPr>
              <w:spacing w:before="119"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1275205.89</w:t>
            </w:r>
          </w:p>
        </w:tc>
        <w:tc>
          <w:tcPr>
            <w:tcW w:w="872" w:type="dxa"/>
            <w:tcBorders>
              <w:bottom w:val="single" w:color="000000" w:sz="10" w:space="0"/>
            </w:tcBorders>
            <w:vAlign w:val="top"/>
          </w:tcPr>
          <w:p w14:paraId="6F2627C6">
            <w:pPr>
              <w:rPr>
                <w:rFonts w:ascii="Arial"/>
                <w:sz w:val="21"/>
              </w:rPr>
            </w:pPr>
          </w:p>
        </w:tc>
        <w:tc>
          <w:tcPr>
            <w:tcW w:w="1136" w:type="dxa"/>
            <w:tcBorders>
              <w:bottom w:val="single" w:color="000000" w:sz="10" w:space="0"/>
            </w:tcBorders>
            <w:vAlign w:val="top"/>
          </w:tcPr>
          <w:p w14:paraId="393E2488">
            <w:pPr>
              <w:spacing w:before="119" w:line="195" w:lineRule="auto"/>
              <w:ind w:left="1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333367.78</w:t>
            </w:r>
          </w:p>
        </w:tc>
        <w:tc>
          <w:tcPr>
            <w:tcW w:w="872" w:type="dxa"/>
            <w:tcBorders>
              <w:bottom w:val="single" w:color="000000" w:sz="10" w:space="0"/>
            </w:tcBorders>
            <w:vAlign w:val="top"/>
          </w:tcPr>
          <w:p w14:paraId="599D444A">
            <w:pPr>
              <w:rPr>
                <w:rFonts w:ascii="Arial"/>
                <w:sz w:val="21"/>
              </w:rPr>
            </w:pPr>
          </w:p>
        </w:tc>
        <w:tc>
          <w:tcPr>
            <w:tcW w:w="938" w:type="dxa"/>
            <w:tcBorders>
              <w:bottom w:val="single" w:color="000000" w:sz="10" w:space="0"/>
              <w:right w:val="nil"/>
            </w:tcBorders>
            <w:vAlign w:val="top"/>
          </w:tcPr>
          <w:p w14:paraId="7FBF1DBF">
            <w:pPr>
              <w:spacing w:before="119" w:line="195" w:lineRule="auto"/>
              <w:ind w:left="1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1234.51</w:t>
            </w:r>
          </w:p>
        </w:tc>
      </w:tr>
    </w:tbl>
    <w:p w14:paraId="2C22BDD6">
      <w:pPr>
        <w:spacing w:before="136" w:line="228" w:lineRule="auto"/>
        <w:ind w:left="4515"/>
        <w:rPr>
          <w:rFonts w:ascii="Times New Roman" w:hAnsi="Times New Roman" w:eastAsia="Times New Roman" w:cs="Times New Roman"/>
          <w:sz w:val="20"/>
          <w:szCs w:val="20"/>
        </w:rPr>
      </w:pPr>
      <w:r>
        <w:rPr>
          <w:rFonts w:ascii="宋体" w:hAnsi="宋体" w:eastAsia="宋体" w:cs="宋体"/>
          <w:b/>
          <w:bCs/>
          <w:spacing w:val="6"/>
          <w:sz w:val="20"/>
          <w:szCs w:val="20"/>
        </w:rPr>
        <w:t>表</w:t>
      </w:r>
      <w:r>
        <w:rPr>
          <w:rFonts w:ascii="宋体" w:hAnsi="宋体" w:eastAsia="宋体" w:cs="宋体"/>
          <w:spacing w:val="-43"/>
          <w:sz w:val="20"/>
          <w:szCs w:val="20"/>
        </w:rPr>
        <w:t xml:space="preserve"> </w:t>
      </w:r>
      <w:r>
        <w:rPr>
          <w:rFonts w:ascii="Times New Roman" w:hAnsi="Times New Roman" w:eastAsia="Times New Roman" w:cs="Times New Roman"/>
          <w:b/>
          <w:bCs/>
          <w:spacing w:val="6"/>
          <w:sz w:val="20"/>
          <w:szCs w:val="20"/>
        </w:rPr>
        <w:t xml:space="preserve">2.3-7        </w:t>
      </w:r>
      <w:r>
        <w:rPr>
          <w:rFonts w:ascii="宋体" w:hAnsi="宋体" w:eastAsia="宋体" w:cs="宋体"/>
          <w:b/>
          <w:bCs/>
          <w:spacing w:val="6"/>
          <w:sz w:val="20"/>
          <w:szCs w:val="20"/>
        </w:rPr>
        <w:t>锰硅合金生</w:t>
      </w:r>
      <w:r>
        <w:rPr>
          <w:rFonts w:ascii="宋体" w:hAnsi="宋体" w:eastAsia="宋体" w:cs="宋体"/>
          <w:b/>
          <w:bCs/>
          <w:spacing w:val="5"/>
          <w:sz w:val="20"/>
          <w:szCs w:val="20"/>
        </w:rPr>
        <w:t>产物料平衡分析表</w:t>
      </w:r>
      <w:r>
        <w:rPr>
          <w:rFonts w:ascii="宋体" w:hAnsi="宋体" w:eastAsia="宋体" w:cs="宋体"/>
          <w:spacing w:val="5"/>
          <w:sz w:val="20"/>
          <w:szCs w:val="20"/>
        </w:rPr>
        <w:t xml:space="preserve">    </w:t>
      </w:r>
      <w:r>
        <w:rPr>
          <w:rFonts w:ascii="宋体" w:hAnsi="宋体" w:eastAsia="宋体" w:cs="宋体"/>
          <w:b/>
          <w:bCs/>
          <w:spacing w:val="5"/>
          <w:sz w:val="20"/>
          <w:szCs w:val="20"/>
        </w:rPr>
        <w:t>单位：</w:t>
      </w:r>
      <w:r>
        <w:rPr>
          <w:rFonts w:ascii="Times New Roman" w:hAnsi="Times New Roman" w:eastAsia="Times New Roman" w:cs="Times New Roman"/>
          <w:b/>
          <w:bCs/>
          <w:spacing w:val="5"/>
          <w:sz w:val="20"/>
          <w:szCs w:val="20"/>
        </w:rPr>
        <w:t>t/a</w:t>
      </w:r>
    </w:p>
    <w:p w14:paraId="39217D59">
      <w:pPr>
        <w:spacing w:line="99" w:lineRule="exact"/>
      </w:pPr>
    </w:p>
    <w:tbl>
      <w:tblPr>
        <w:tblStyle w:val="5"/>
        <w:tblW w:w="1416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81"/>
        <w:gridCol w:w="890"/>
        <w:gridCol w:w="1263"/>
        <w:gridCol w:w="850"/>
        <w:gridCol w:w="1150"/>
        <w:gridCol w:w="887"/>
        <w:gridCol w:w="912"/>
        <w:gridCol w:w="524"/>
        <w:gridCol w:w="2113"/>
        <w:gridCol w:w="1241"/>
        <w:gridCol w:w="861"/>
        <w:gridCol w:w="1176"/>
        <w:gridCol w:w="887"/>
        <w:gridCol w:w="1028"/>
      </w:tblGrid>
      <w:tr w14:paraId="5BB08E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381" w:type="dxa"/>
            <w:tcBorders>
              <w:top w:val="single" w:color="000000" w:sz="10" w:space="0"/>
              <w:left w:val="nil"/>
            </w:tcBorders>
            <w:textDirection w:val="tbRlV"/>
            <w:vAlign w:val="top"/>
          </w:tcPr>
          <w:p w14:paraId="32711933">
            <w:pPr>
              <w:pStyle w:val="6"/>
              <w:spacing w:before="62" w:line="218" w:lineRule="auto"/>
              <w:ind w:left="58"/>
              <w:rPr>
                <w:sz w:val="20"/>
                <w:szCs w:val="20"/>
              </w:rPr>
            </w:pPr>
            <w:r>
              <w:rPr>
                <w:b/>
                <w:bCs/>
                <w:spacing w:val="6"/>
                <w:sz w:val="20"/>
                <w:szCs w:val="20"/>
              </w:rPr>
              <w:t>序</w:t>
            </w:r>
            <w:r>
              <w:rPr>
                <w:spacing w:val="13"/>
                <w:sz w:val="20"/>
                <w:szCs w:val="20"/>
              </w:rPr>
              <w:t xml:space="preserve"> </w:t>
            </w:r>
            <w:r>
              <w:rPr>
                <w:b/>
                <w:bCs/>
                <w:spacing w:val="6"/>
                <w:sz w:val="20"/>
                <w:szCs w:val="20"/>
              </w:rPr>
              <w:t>号</w:t>
            </w:r>
          </w:p>
        </w:tc>
        <w:tc>
          <w:tcPr>
            <w:tcW w:w="890" w:type="dxa"/>
            <w:tcBorders>
              <w:top w:val="single" w:color="000000" w:sz="10" w:space="0"/>
            </w:tcBorders>
            <w:vAlign w:val="top"/>
          </w:tcPr>
          <w:p w14:paraId="611627E2">
            <w:pPr>
              <w:pStyle w:val="6"/>
              <w:spacing w:before="58" w:line="267" w:lineRule="auto"/>
              <w:ind w:left="242" w:right="232" w:hanging="4"/>
              <w:rPr>
                <w:sz w:val="20"/>
                <w:szCs w:val="20"/>
              </w:rPr>
            </w:pPr>
            <w:r>
              <w:rPr>
                <w:b/>
                <w:bCs/>
                <w:spacing w:val="4"/>
                <w:sz w:val="20"/>
                <w:szCs w:val="20"/>
              </w:rPr>
              <w:t>进料</w:t>
            </w:r>
            <w:r>
              <w:rPr>
                <w:sz w:val="20"/>
                <w:szCs w:val="20"/>
              </w:rPr>
              <w:t xml:space="preserve"> </w:t>
            </w:r>
            <w:r>
              <w:rPr>
                <w:b/>
                <w:bCs/>
                <w:spacing w:val="2"/>
                <w:sz w:val="20"/>
                <w:szCs w:val="20"/>
              </w:rPr>
              <w:t>名称</w:t>
            </w:r>
          </w:p>
        </w:tc>
        <w:tc>
          <w:tcPr>
            <w:tcW w:w="1263" w:type="dxa"/>
            <w:tcBorders>
              <w:top w:val="single" w:color="000000" w:sz="10" w:space="0"/>
            </w:tcBorders>
            <w:vAlign w:val="top"/>
          </w:tcPr>
          <w:p w14:paraId="47783808">
            <w:pPr>
              <w:pStyle w:val="6"/>
              <w:spacing w:before="58" w:line="267" w:lineRule="auto"/>
              <w:ind w:left="320" w:right="314" w:hanging="2"/>
              <w:rPr>
                <w:sz w:val="20"/>
                <w:szCs w:val="20"/>
              </w:rPr>
            </w:pPr>
            <w:r>
              <w:rPr>
                <w:b/>
                <w:bCs/>
                <w:spacing w:val="6"/>
                <w:sz w:val="20"/>
                <w:szCs w:val="20"/>
              </w:rPr>
              <w:t>进料量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850" w:type="dxa"/>
            <w:tcBorders>
              <w:top w:val="single" w:color="000000" w:sz="10" w:space="0"/>
            </w:tcBorders>
            <w:vAlign w:val="top"/>
          </w:tcPr>
          <w:p w14:paraId="470EBA0D">
            <w:pPr>
              <w:pStyle w:val="6"/>
              <w:spacing w:before="58" w:line="267" w:lineRule="auto"/>
              <w:ind w:left="125" w:right="106" w:hanging="10"/>
              <w:rPr>
                <w:sz w:val="20"/>
                <w:szCs w:val="20"/>
              </w:rPr>
            </w:pPr>
            <w:r>
              <w:rPr>
                <w:b/>
                <w:bCs/>
                <w:spacing w:val="5"/>
                <w:sz w:val="20"/>
                <w:szCs w:val="20"/>
              </w:rPr>
              <w:t>含锰率</w:t>
            </w:r>
            <w:r>
              <w:rPr>
                <w:sz w:val="20"/>
                <w:szCs w:val="20"/>
              </w:rPr>
              <w:t xml:space="preserve"> </w:t>
            </w:r>
            <w:r>
              <w:rPr>
                <w:b/>
                <w:bCs/>
                <w:spacing w:val="-2"/>
                <w:sz w:val="20"/>
                <w:szCs w:val="20"/>
              </w:rPr>
              <w:t>（</w:t>
            </w:r>
            <w:r>
              <w:rPr>
                <w:rFonts w:ascii="Times New Roman" w:hAnsi="Times New Roman" w:eastAsia="Times New Roman" w:cs="Times New Roman"/>
                <w:b/>
                <w:bCs/>
                <w:spacing w:val="-2"/>
                <w:sz w:val="20"/>
                <w:szCs w:val="20"/>
              </w:rPr>
              <w:t>%</w:t>
            </w:r>
            <w:r>
              <w:rPr>
                <w:b/>
                <w:bCs/>
                <w:spacing w:val="-2"/>
                <w:sz w:val="20"/>
                <w:szCs w:val="20"/>
              </w:rPr>
              <w:t>）</w:t>
            </w:r>
          </w:p>
        </w:tc>
        <w:tc>
          <w:tcPr>
            <w:tcW w:w="1150" w:type="dxa"/>
            <w:tcBorders>
              <w:top w:val="single" w:color="000000" w:sz="10" w:space="0"/>
            </w:tcBorders>
            <w:vAlign w:val="top"/>
          </w:tcPr>
          <w:p w14:paraId="6B22D576">
            <w:pPr>
              <w:pStyle w:val="6"/>
              <w:spacing w:before="58" w:line="267" w:lineRule="auto"/>
              <w:ind w:left="261" w:right="257" w:firstLine="1"/>
              <w:rPr>
                <w:sz w:val="20"/>
                <w:szCs w:val="20"/>
              </w:rPr>
            </w:pPr>
            <w:r>
              <w:rPr>
                <w:b/>
                <w:bCs/>
                <w:spacing w:val="5"/>
                <w:sz w:val="20"/>
                <w:szCs w:val="20"/>
              </w:rPr>
              <w:t>含锰量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887" w:type="dxa"/>
            <w:tcBorders>
              <w:top w:val="single" w:color="000000" w:sz="10" w:space="0"/>
            </w:tcBorders>
            <w:vAlign w:val="top"/>
          </w:tcPr>
          <w:p w14:paraId="458A09A4">
            <w:pPr>
              <w:pStyle w:val="6"/>
              <w:spacing w:before="58" w:line="267" w:lineRule="auto"/>
              <w:ind w:left="141" w:right="127" w:hanging="10"/>
              <w:rPr>
                <w:sz w:val="20"/>
                <w:szCs w:val="20"/>
              </w:rPr>
            </w:pPr>
            <w:r>
              <w:rPr>
                <w:b/>
                <w:bCs/>
                <w:spacing w:val="5"/>
                <w:sz w:val="20"/>
                <w:szCs w:val="20"/>
              </w:rPr>
              <w:t>含硫率</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w:t>
            </w:r>
            <w:r>
              <w:rPr>
                <w:b/>
                <w:bCs/>
                <w:spacing w:val="-1"/>
                <w:sz w:val="20"/>
                <w:szCs w:val="20"/>
              </w:rPr>
              <w:t>）</w:t>
            </w:r>
          </w:p>
        </w:tc>
        <w:tc>
          <w:tcPr>
            <w:tcW w:w="912" w:type="dxa"/>
            <w:tcBorders>
              <w:top w:val="single" w:color="000000" w:sz="10" w:space="0"/>
            </w:tcBorders>
            <w:vAlign w:val="top"/>
          </w:tcPr>
          <w:p w14:paraId="36AEC780">
            <w:pPr>
              <w:pStyle w:val="6"/>
              <w:spacing w:before="58" w:line="267" w:lineRule="auto"/>
              <w:ind w:left="142" w:right="139" w:firstLine="1"/>
              <w:rPr>
                <w:sz w:val="20"/>
                <w:szCs w:val="20"/>
              </w:rPr>
            </w:pPr>
            <w:r>
              <w:rPr>
                <w:b/>
                <w:bCs/>
                <w:spacing w:val="5"/>
                <w:sz w:val="20"/>
                <w:szCs w:val="20"/>
              </w:rPr>
              <w:t>含硫量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524" w:type="dxa"/>
            <w:tcBorders>
              <w:top w:val="single" w:color="000000" w:sz="10" w:space="0"/>
            </w:tcBorders>
            <w:textDirection w:val="tbRlV"/>
            <w:vAlign w:val="top"/>
          </w:tcPr>
          <w:p w14:paraId="445CEB72">
            <w:pPr>
              <w:pStyle w:val="6"/>
              <w:spacing w:before="156" w:line="218" w:lineRule="auto"/>
              <w:ind w:left="58"/>
              <w:rPr>
                <w:sz w:val="20"/>
                <w:szCs w:val="20"/>
              </w:rPr>
            </w:pPr>
            <w:r>
              <w:rPr>
                <w:b/>
                <w:bCs/>
                <w:spacing w:val="6"/>
                <w:sz w:val="20"/>
                <w:szCs w:val="20"/>
              </w:rPr>
              <w:t>序</w:t>
            </w:r>
            <w:r>
              <w:rPr>
                <w:spacing w:val="13"/>
                <w:sz w:val="20"/>
                <w:szCs w:val="20"/>
              </w:rPr>
              <w:t xml:space="preserve"> </w:t>
            </w:r>
            <w:r>
              <w:rPr>
                <w:b/>
                <w:bCs/>
                <w:spacing w:val="6"/>
                <w:sz w:val="20"/>
                <w:szCs w:val="20"/>
              </w:rPr>
              <w:t>号</w:t>
            </w:r>
          </w:p>
        </w:tc>
        <w:tc>
          <w:tcPr>
            <w:tcW w:w="2113" w:type="dxa"/>
            <w:tcBorders>
              <w:top w:val="single" w:color="000000" w:sz="10" w:space="0"/>
            </w:tcBorders>
            <w:vAlign w:val="top"/>
          </w:tcPr>
          <w:p w14:paraId="06C3374B">
            <w:pPr>
              <w:pStyle w:val="6"/>
              <w:spacing w:before="219" w:line="228" w:lineRule="auto"/>
              <w:ind w:left="658"/>
              <w:rPr>
                <w:sz w:val="20"/>
                <w:szCs w:val="20"/>
              </w:rPr>
            </w:pPr>
            <w:r>
              <w:rPr>
                <w:b/>
                <w:bCs/>
                <w:spacing w:val="2"/>
                <w:sz w:val="20"/>
                <w:szCs w:val="20"/>
              </w:rPr>
              <w:t>出料名称</w:t>
            </w:r>
          </w:p>
        </w:tc>
        <w:tc>
          <w:tcPr>
            <w:tcW w:w="1241" w:type="dxa"/>
            <w:tcBorders>
              <w:top w:val="single" w:color="000000" w:sz="10" w:space="0"/>
            </w:tcBorders>
            <w:vAlign w:val="top"/>
          </w:tcPr>
          <w:p w14:paraId="00FA7326">
            <w:pPr>
              <w:pStyle w:val="6"/>
              <w:spacing w:before="58" w:line="267" w:lineRule="auto"/>
              <w:ind w:left="308" w:right="302" w:firstLine="19"/>
              <w:rPr>
                <w:sz w:val="20"/>
                <w:szCs w:val="20"/>
              </w:rPr>
            </w:pPr>
            <w:r>
              <w:rPr>
                <w:b/>
                <w:bCs/>
                <w:spacing w:val="-1"/>
                <w:sz w:val="20"/>
                <w:szCs w:val="20"/>
              </w:rPr>
              <w:t>出料量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861" w:type="dxa"/>
            <w:tcBorders>
              <w:top w:val="single" w:color="000000" w:sz="10" w:space="0"/>
            </w:tcBorders>
            <w:vAlign w:val="top"/>
          </w:tcPr>
          <w:p w14:paraId="665F1573">
            <w:pPr>
              <w:pStyle w:val="6"/>
              <w:spacing w:before="58" w:line="267" w:lineRule="auto"/>
              <w:ind w:left="128" w:right="114" w:hanging="10"/>
              <w:rPr>
                <w:sz w:val="20"/>
                <w:szCs w:val="20"/>
              </w:rPr>
            </w:pPr>
            <w:r>
              <w:rPr>
                <w:b/>
                <w:bCs/>
                <w:spacing w:val="5"/>
                <w:sz w:val="20"/>
                <w:szCs w:val="20"/>
              </w:rPr>
              <w:t>含锰率</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w:t>
            </w:r>
            <w:r>
              <w:rPr>
                <w:b/>
                <w:bCs/>
                <w:spacing w:val="-1"/>
                <w:sz w:val="20"/>
                <w:szCs w:val="20"/>
              </w:rPr>
              <w:t>）</w:t>
            </w:r>
          </w:p>
        </w:tc>
        <w:tc>
          <w:tcPr>
            <w:tcW w:w="1176" w:type="dxa"/>
            <w:tcBorders>
              <w:top w:val="single" w:color="000000" w:sz="10" w:space="0"/>
            </w:tcBorders>
            <w:vAlign w:val="top"/>
          </w:tcPr>
          <w:p w14:paraId="5B8BFDF5">
            <w:pPr>
              <w:pStyle w:val="6"/>
              <w:spacing w:before="58" w:line="267" w:lineRule="auto"/>
              <w:ind w:left="275" w:right="270" w:firstLine="1"/>
              <w:rPr>
                <w:sz w:val="20"/>
                <w:szCs w:val="20"/>
              </w:rPr>
            </w:pPr>
            <w:r>
              <w:rPr>
                <w:b/>
                <w:bCs/>
                <w:spacing w:val="5"/>
                <w:sz w:val="20"/>
                <w:szCs w:val="20"/>
              </w:rPr>
              <w:t>含锰量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c>
          <w:tcPr>
            <w:tcW w:w="887" w:type="dxa"/>
            <w:tcBorders>
              <w:top w:val="single" w:color="000000" w:sz="10" w:space="0"/>
            </w:tcBorders>
            <w:vAlign w:val="top"/>
          </w:tcPr>
          <w:p w14:paraId="4AA26FB7">
            <w:pPr>
              <w:pStyle w:val="6"/>
              <w:spacing w:before="58" w:line="267" w:lineRule="auto"/>
              <w:ind w:left="143" w:right="125" w:hanging="10"/>
              <w:rPr>
                <w:sz w:val="20"/>
                <w:szCs w:val="20"/>
              </w:rPr>
            </w:pPr>
            <w:r>
              <w:rPr>
                <w:b/>
                <w:bCs/>
                <w:spacing w:val="5"/>
                <w:sz w:val="20"/>
                <w:szCs w:val="20"/>
              </w:rPr>
              <w:t>含硫率</w:t>
            </w:r>
            <w:r>
              <w:rPr>
                <w:sz w:val="20"/>
                <w:szCs w:val="20"/>
              </w:rPr>
              <w:t xml:space="preserve"> </w:t>
            </w:r>
            <w:r>
              <w:rPr>
                <w:b/>
                <w:bCs/>
                <w:spacing w:val="-2"/>
                <w:sz w:val="20"/>
                <w:szCs w:val="20"/>
              </w:rPr>
              <w:t>（</w:t>
            </w:r>
            <w:r>
              <w:rPr>
                <w:rFonts w:ascii="Times New Roman" w:hAnsi="Times New Roman" w:eastAsia="Times New Roman" w:cs="Times New Roman"/>
                <w:b/>
                <w:bCs/>
                <w:spacing w:val="-2"/>
                <w:sz w:val="20"/>
                <w:szCs w:val="20"/>
              </w:rPr>
              <w:t>%</w:t>
            </w:r>
            <w:r>
              <w:rPr>
                <w:b/>
                <w:bCs/>
                <w:spacing w:val="-2"/>
                <w:sz w:val="20"/>
                <w:szCs w:val="20"/>
              </w:rPr>
              <w:t>）</w:t>
            </w:r>
          </w:p>
        </w:tc>
        <w:tc>
          <w:tcPr>
            <w:tcW w:w="1028" w:type="dxa"/>
            <w:tcBorders>
              <w:top w:val="single" w:color="000000" w:sz="10" w:space="0"/>
              <w:right w:val="nil"/>
            </w:tcBorders>
            <w:vAlign w:val="top"/>
          </w:tcPr>
          <w:p w14:paraId="35C503B8">
            <w:pPr>
              <w:pStyle w:val="6"/>
              <w:spacing w:before="58" w:line="267" w:lineRule="auto"/>
              <w:ind w:left="202" w:right="198" w:firstLine="1"/>
              <w:rPr>
                <w:sz w:val="20"/>
                <w:szCs w:val="20"/>
              </w:rPr>
            </w:pPr>
            <w:r>
              <w:rPr>
                <w:b/>
                <w:bCs/>
                <w:spacing w:val="5"/>
                <w:sz w:val="20"/>
                <w:szCs w:val="20"/>
              </w:rPr>
              <w:t>含硫量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r>
      <w:tr w14:paraId="6C3998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381" w:type="dxa"/>
            <w:tcBorders>
              <w:left w:val="nil"/>
            </w:tcBorders>
            <w:vAlign w:val="top"/>
          </w:tcPr>
          <w:p w14:paraId="74382D5D">
            <w:pPr>
              <w:spacing w:before="95" w:line="195" w:lineRule="auto"/>
              <w:ind w:left="162"/>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890" w:type="dxa"/>
            <w:vAlign w:val="top"/>
          </w:tcPr>
          <w:p w14:paraId="64EF695A">
            <w:pPr>
              <w:pStyle w:val="6"/>
              <w:spacing w:before="59" w:line="228" w:lineRule="auto"/>
              <w:ind w:left="134"/>
              <w:rPr>
                <w:sz w:val="20"/>
                <w:szCs w:val="20"/>
              </w:rPr>
            </w:pPr>
            <w:r>
              <w:rPr>
                <w:spacing w:val="6"/>
                <w:sz w:val="20"/>
                <w:szCs w:val="20"/>
              </w:rPr>
              <w:t>锰矿粉</w:t>
            </w:r>
          </w:p>
        </w:tc>
        <w:tc>
          <w:tcPr>
            <w:tcW w:w="1263" w:type="dxa"/>
            <w:vAlign w:val="top"/>
          </w:tcPr>
          <w:p w14:paraId="19AA4E19">
            <w:pPr>
              <w:spacing w:before="95" w:line="195" w:lineRule="auto"/>
              <w:ind w:left="1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372236.67</w:t>
            </w:r>
          </w:p>
        </w:tc>
        <w:tc>
          <w:tcPr>
            <w:tcW w:w="850" w:type="dxa"/>
            <w:vAlign w:val="top"/>
          </w:tcPr>
          <w:p w14:paraId="648BAECA">
            <w:pPr>
              <w:spacing w:before="95" w:line="195"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1150" w:type="dxa"/>
            <w:vAlign w:val="top"/>
          </w:tcPr>
          <w:p w14:paraId="4430D7C7">
            <w:pPr>
              <w:spacing w:before="95" w:line="195" w:lineRule="auto"/>
              <w:ind w:left="15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145172.30</w:t>
            </w:r>
          </w:p>
        </w:tc>
        <w:tc>
          <w:tcPr>
            <w:tcW w:w="887" w:type="dxa"/>
            <w:vAlign w:val="top"/>
          </w:tcPr>
          <w:p w14:paraId="289B90BC">
            <w:pPr>
              <w:spacing w:before="95" w:line="195" w:lineRule="auto"/>
              <w:ind w:left="21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0.042</w:t>
            </w:r>
          </w:p>
        </w:tc>
        <w:tc>
          <w:tcPr>
            <w:tcW w:w="912" w:type="dxa"/>
            <w:vAlign w:val="top"/>
          </w:tcPr>
          <w:p w14:paraId="5AA1EEE3">
            <w:pPr>
              <w:spacing w:before="95" w:line="195" w:lineRule="auto"/>
              <w:ind w:left="189"/>
              <w:rPr>
                <w:rFonts w:ascii="Times New Roman" w:hAnsi="Times New Roman" w:eastAsia="Times New Roman" w:cs="Times New Roman"/>
                <w:sz w:val="20"/>
                <w:szCs w:val="20"/>
              </w:rPr>
            </w:pPr>
            <w:r>
              <w:rPr>
                <w:rFonts w:ascii="Times New Roman" w:hAnsi="Times New Roman" w:eastAsia="Times New Roman" w:cs="Times New Roman"/>
                <w:sz w:val="20"/>
                <w:szCs w:val="20"/>
              </w:rPr>
              <w:t>156.34</w:t>
            </w:r>
          </w:p>
        </w:tc>
        <w:tc>
          <w:tcPr>
            <w:tcW w:w="524" w:type="dxa"/>
            <w:vAlign w:val="top"/>
          </w:tcPr>
          <w:p w14:paraId="342DB879">
            <w:pPr>
              <w:spacing w:before="95" w:line="195" w:lineRule="auto"/>
              <w:ind w:left="230"/>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113" w:type="dxa"/>
            <w:vAlign w:val="top"/>
          </w:tcPr>
          <w:p w14:paraId="0D808316">
            <w:pPr>
              <w:pStyle w:val="6"/>
              <w:spacing w:before="59" w:line="227" w:lineRule="auto"/>
              <w:ind w:left="116"/>
              <w:rPr>
                <w:sz w:val="20"/>
                <w:szCs w:val="20"/>
              </w:rPr>
            </w:pPr>
            <w:r>
              <w:rPr>
                <w:spacing w:val="9"/>
                <w:sz w:val="20"/>
                <w:szCs w:val="20"/>
              </w:rPr>
              <w:t>烧结配料站排放粉尘</w:t>
            </w:r>
          </w:p>
        </w:tc>
        <w:tc>
          <w:tcPr>
            <w:tcW w:w="1241" w:type="dxa"/>
            <w:vAlign w:val="top"/>
          </w:tcPr>
          <w:p w14:paraId="53F77B1E">
            <w:pPr>
              <w:spacing w:before="95" w:line="195" w:lineRule="auto"/>
              <w:ind w:left="44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3.22</w:t>
            </w:r>
          </w:p>
        </w:tc>
        <w:tc>
          <w:tcPr>
            <w:tcW w:w="861" w:type="dxa"/>
            <w:vAlign w:val="top"/>
          </w:tcPr>
          <w:p w14:paraId="7FA656FA">
            <w:pPr>
              <w:spacing w:before="95" w:line="195" w:lineRule="auto"/>
              <w:ind w:left="345"/>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18</w:t>
            </w:r>
          </w:p>
        </w:tc>
        <w:tc>
          <w:tcPr>
            <w:tcW w:w="1176" w:type="dxa"/>
            <w:vAlign w:val="top"/>
          </w:tcPr>
          <w:p w14:paraId="6F9D7827">
            <w:pPr>
              <w:spacing w:before="95" w:line="195" w:lineRule="auto"/>
              <w:ind w:left="4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0.58</w:t>
            </w:r>
          </w:p>
        </w:tc>
        <w:tc>
          <w:tcPr>
            <w:tcW w:w="887" w:type="dxa"/>
            <w:vAlign w:val="top"/>
          </w:tcPr>
          <w:p w14:paraId="65AE4AEA">
            <w:pPr>
              <w:rPr>
                <w:rFonts w:ascii="Arial"/>
                <w:sz w:val="21"/>
              </w:rPr>
            </w:pPr>
          </w:p>
        </w:tc>
        <w:tc>
          <w:tcPr>
            <w:tcW w:w="1028" w:type="dxa"/>
            <w:tcBorders>
              <w:right w:val="nil"/>
            </w:tcBorders>
            <w:vAlign w:val="top"/>
          </w:tcPr>
          <w:p w14:paraId="2C986DD1">
            <w:pPr>
              <w:rPr>
                <w:rFonts w:ascii="Arial"/>
                <w:sz w:val="21"/>
              </w:rPr>
            </w:pPr>
          </w:p>
        </w:tc>
      </w:tr>
      <w:tr w14:paraId="7AF25A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381" w:type="dxa"/>
            <w:tcBorders>
              <w:left w:val="nil"/>
            </w:tcBorders>
            <w:vAlign w:val="top"/>
          </w:tcPr>
          <w:p w14:paraId="32C3BDA7">
            <w:pPr>
              <w:spacing w:before="97" w:line="195" w:lineRule="auto"/>
              <w:ind w:left="142"/>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890" w:type="dxa"/>
            <w:vAlign w:val="top"/>
          </w:tcPr>
          <w:p w14:paraId="75683C6E">
            <w:pPr>
              <w:pStyle w:val="6"/>
              <w:spacing w:before="61" w:line="228" w:lineRule="auto"/>
              <w:ind w:left="240"/>
              <w:rPr>
                <w:sz w:val="20"/>
                <w:szCs w:val="20"/>
              </w:rPr>
            </w:pPr>
            <w:r>
              <w:rPr>
                <w:spacing w:val="4"/>
                <w:sz w:val="20"/>
                <w:szCs w:val="20"/>
              </w:rPr>
              <w:t>焦粉</w:t>
            </w:r>
          </w:p>
        </w:tc>
        <w:tc>
          <w:tcPr>
            <w:tcW w:w="1263" w:type="dxa"/>
            <w:vAlign w:val="top"/>
          </w:tcPr>
          <w:p w14:paraId="75735D5F">
            <w:pPr>
              <w:spacing w:before="97" w:line="195" w:lineRule="auto"/>
              <w:ind w:left="24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73881.75</w:t>
            </w:r>
          </w:p>
        </w:tc>
        <w:tc>
          <w:tcPr>
            <w:tcW w:w="850" w:type="dxa"/>
            <w:vAlign w:val="top"/>
          </w:tcPr>
          <w:p w14:paraId="1FA6FB23">
            <w:pPr>
              <w:rPr>
                <w:rFonts w:ascii="Arial"/>
                <w:sz w:val="21"/>
              </w:rPr>
            </w:pPr>
          </w:p>
        </w:tc>
        <w:tc>
          <w:tcPr>
            <w:tcW w:w="1150" w:type="dxa"/>
            <w:vAlign w:val="top"/>
          </w:tcPr>
          <w:p w14:paraId="1B3CBF2F">
            <w:pPr>
              <w:rPr>
                <w:rFonts w:ascii="Arial"/>
                <w:sz w:val="21"/>
              </w:rPr>
            </w:pPr>
          </w:p>
        </w:tc>
        <w:tc>
          <w:tcPr>
            <w:tcW w:w="887" w:type="dxa"/>
            <w:vAlign w:val="top"/>
          </w:tcPr>
          <w:p w14:paraId="36B724C8">
            <w:pPr>
              <w:spacing w:before="97" w:line="195" w:lineRule="auto"/>
              <w:ind w:left="31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912" w:type="dxa"/>
            <w:vAlign w:val="top"/>
          </w:tcPr>
          <w:p w14:paraId="4B9DD263">
            <w:pPr>
              <w:spacing w:before="97" w:line="195" w:lineRule="auto"/>
              <w:ind w:left="17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397.79</w:t>
            </w:r>
          </w:p>
        </w:tc>
        <w:tc>
          <w:tcPr>
            <w:tcW w:w="524" w:type="dxa"/>
            <w:vAlign w:val="top"/>
          </w:tcPr>
          <w:p w14:paraId="1220CF73">
            <w:pPr>
              <w:spacing w:before="97" w:line="195" w:lineRule="auto"/>
              <w:ind w:left="210"/>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113" w:type="dxa"/>
            <w:vAlign w:val="top"/>
          </w:tcPr>
          <w:p w14:paraId="66F80820">
            <w:pPr>
              <w:pStyle w:val="6"/>
              <w:spacing w:before="61" w:line="227" w:lineRule="auto"/>
              <w:ind w:left="219"/>
              <w:rPr>
                <w:sz w:val="20"/>
                <w:szCs w:val="20"/>
              </w:rPr>
            </w:pPr>
            <w:r>
              <w:rPr>
                <w:spacing w:val="8"/>
                <w:sz w:val="20"/>
                <w:szCs w:val="20"/>
              </w:rPr>
              <w:t>烧结机头排放粉尘</w:t>
            </w:r>
          </w:p>
        </w:tc>
        <w:tc>
          <w:tcPr>
            <w:tcW w:w="1241" w:type="dxa"/>
            <w:vAlign w:val="top"/>
          </w:tcPr>
          <w:p w14:paraId="0521C414">
            <w:pPr>
              <w:spacing w:before="97" w:line="195" w:lineRule="auto"/>
              <w:ind w:left="4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13.75</w:t>
            </w:r>
          </w:p>
        </w:tc>
        <w:tc>
          <w:tcPr>
            <w:tcW w:w="861" w:type="dxa"/>
            <w:vAlign w:val="top"/>
          </w:tcPr>
          <w:p w14:paraId="372766C7">
            <w:pPr>
              <w:spacing w:before="97" w:line="195"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35.56</w:t>
            </w:r>
          </w:p>
        </w:tc>
        <w:tc>
          <w:tcPr>
            <w:tcW w:w="1176" w:type="dxa"/>
            <w:vAlign w:val="top"/>
          </w:tcPr>
          <w:p w14:paraId="4DCF2AAC">
            <w:pPr>
              <w:spacing w:before="97" w:line="195"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4.89</w:t>
            </w:r>
          </w:p>
        </w:tc>
        <w:tc>
          <w:tcPr>
            <w:tcW w:w="887" w:type="dxa"/>
            <w:vAlign w:val="top"/>
          </w:tcPr>
          <w:p w14:paraId="7836D559">
            <w:pPr>
              <w:rPr>
                <w:rFonts w:ascii="Arial"/>
                <w:sz w:val="21"/>
              </w:rPr>
            </w:pPr>
          </w:p>
        </w:tc>
        <w:tc>
          <w:tcPr>
            <w:tcW w:w="1028" w:type="dxa"/>
            <w:tcBorders>
              <w:right w:val="nil"/>
            </w:tcBorders>
            <w:vAlign w:val="top"/>
          </w:tcPr>
          <w:p w14:paraId="54B00F68">
            <w:pPr>
              <w:rPr>
                <w:rFonts w:ascii="Arial"/>
                <w:sz w:val="21"/>
              </w:rPr>
            </w:pPr>
          </w:p>
        </w:tc>
      </w:tr>
      <w:tr w14:paraId="45E71F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381" w:type="dxa"/>
            <w:tcBorders>
              <w:left w:val="nil"/>
            </w:tcBorders>
            <w:vAlign w:val="top"/>
          </w:tcPr>
          <w:p w14:paraId="21851DB4">
            <w:pPr>
              <w:spacing w:before="100" w:line="195" w:lineRule="auto"/>
              <w:ind w:left="146"/>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890" w:type="dxa"/>
            <w:vAlign w:val="top"/>
          </w:tcPr>
          <w:p w14:paraId="0931DE98">
            <w:pPr>
              <w:pStyle w:val="6"/>
              <w:spacing w:before="64" w:line="228" w:lineRule="auto"/>
              <w:ind w:left="134"/>
              <w:rPr>
                <w:sz w:val="20"/>
                <w:szCs w:val="20"/>
              </w:rPr>
            </w:pPr>
            <w:r>
              <w:rPr>
                <w:spacing w:val="6"/>
                <w:sz w:val="20"/>
                <w:szCs w:val="20"/>
              </w:rPr>
              <w:t>锰矿石</w:t>
            </w:r>
          </w:p>
        </w:tc>
        <w:tc>
          <w:tcPr>
            <w:tcW w:w="1263" w:type="dxa"/>
            <w:vAlign w:val="top"/>
          </w:tcPr>
          <w:p w14:paraId="782E0DAF">
            <w:pPr>
              <w:spacing w:before="100"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471255.42</w:t>
            </w:r>
          </w:p>
        </w:tc>
        <w:tc>
          <w:tcPr>
            <w:tcW w:w="850" w:type="dxa"/>
            <w:vAlign w:val="top"/>
          </w:tcPr>
          <w:p w14:paraId="4DA2A19C">
            <w:pPr>
              <w:spacing w:before="100" w:line="195"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1150" w:type="dxa"/>
            <w:vAlign w:val="top"/>
          </w:tcPr>
          <w:p w14:paraId="13935744">
            <w:pPr>
              <w:spacing w:before="100" w:line="195" w:lineRule="auto"/>
              <w:ind w:left="15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183789.61</w:t>
            </w:r>
          </w:p>
        </w:tc>
        <w:tc>
          <w:tcPr>
            <w:tcW w:w="887" w:type="dxa"/>
            <w:vAlign w:val="top"/>
          </w:tcPr>
          <w:p w14:paraId="257D236C">
            <w:pPr>
              <w:spacing w:before="100" w:line="195" w:lineRule="auto"/>
              <w:ind w:left="21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0.042</w:t>
            </w:r>
          </w:p>
        </w:tc>
        <w:tc>
          <w:tcPr>
            <w:tcW w:w="912" w:type="dxa"/>
            <w:vAlign w:val="top"/>
          </w:tcPr>
          <w:p w14:paraId="3D049381">
            <w:pPr>
              <w:spacing w:before="100" w:line="195" w:lineRule="auto"/>
              <w:ind w:left="189"/>
              <w:rPr>
                <w:rFonts w:ascii="Times New Roman" w:hAnsi="Times New Roman" w:eastAsia="Times New Roman" w:cs="Times New Roman"/>
                <w:sz w:val="20"/>
                <w:szCs w:val="20"/>
              </w:rPr>
            </w:pPr>
            <w:r>
              <w:rPr>
                <w:rFonts w:ascii="Times New Roman" w:hAnsi="Times New Roman" w:eastAsia="Times New Roman" w:cs="Times New Roman"/>
                <w:sz w:val="20"/>
                <w:szCs w:val="20"/>
              </w:rPr>
              <w:t>199.42</w:t>
            </w:r>
          </w:p>
        </w:tc>
        <w:tc>
          <w:tcPr>
            <w:tcW w:w="524" w:type="dxa"/>
            <w:vAlign w:val="top"/>
          </w:tcPr>
          <w:p w14:paraId="1409E397">
            <w:pPr>
              <w:spacing w:before="100" w:line="195"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113" w:type="dxa"/>
            <w:vAlign w:val="top"/>
          </w:tcPr>
          <w:p w14:paraId="6DE9C347">
            <w:pPr>
              <w:pStyle w:val="6"/>
              <w:spacing w:before="64" w:line="227" w:lineRule="auto"/>
              <w:ind w:left="219"/>
              <w:rPr>
                <w:sz w:val="20"/>
                <w:szCs w:val="20"/>
              </w:rPr>
            </w:pPr>
            <w:r>
              <w:rPr>
                <w:spacing w:val="8"/>
                <w:sz w:val="20"/>
                <w:szCs w:val="20"/>
              </w:rPr>
              <w:t>烧结机尾排放粉尘</w:t>
            </w:r>
          </w:p>
        </w:tc>
        <w:tc>
          <w:tcPr>
            <w:tcW w:w="1241" w:type="dxa"/>
            <w:vAlign w:val="top"/>
          </w:tcPr>
          <w:p w14:paraId="65243A15">
            <w:pPr>
              <w:spacing w:before="100" w:line="195" w:lineRule="auto"/>
              <w:ind w:left="4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11.78</w:t>
            </w:r>
          </w:p>
        </w:tc>
        <w:tc>
          <w:tcPr>
            <w:tcW w:w="861" w:type="dxa"/>
            <w:vAlign w:val="top"/>
          </w:tcPr>
          <w:p w14:paraId="35FE941A">
            <w:pPr>
              <w:spacing w:before="100" w:line="195" w:lineRule="auto"/>
              <w:ind w:left="345"/>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18</w:t>
            </w:r>
          </w:p>
        </w:tc>
        <w:tc>
          <w:tcPr>
            <w:tcW w:w="1176" w:type="dxa"/>
            <w:vAlign w:val="top"/>
          </w:tcPr>
          <w:p w14:paraId="65C24852">
            <w:pPr>
              <w:spacing w:before="100" w:line="195"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3"/>
                <w:sz w:val="20"/>
                <w:szCs w:val="20"/>
              </w:rPr>
              <w:t>12</w:t>
            </w:r>
          </w:p>
        </w:tc>
        <w:tc>
          <w:tcPr>
            <w:tcW w:w="887" w:type="dxa"/>
            <w:vAlign w:val="top"/>
          </w:tcPr>
          <w:p w14:paraId="33F9D0F8">
            <w:pPr>
              <w:rPr>
                <w:rFonts w:ascii="Arial"/>
                <w:sz w:val="21"/>
              </w:rPr>
            </w:pPr>
          </w:p>
        </w:tc>
        <w:tc>
          <w:tcPr>
            <w:tcW w:w="1028" w:type="dxa"/>
            <w:tcBorders>
              <w:right w:val="nil"/>
            </w:tcBorders>
            <w:vAlign w:val="top"/>
          </w:tcPr>
          <w:p w14:paraId="580EC2F2">
            <w:pPr>
              <w:rPr>
                <w:rFonts w:ascii="Arial"/>
                <w:sz w:val="21"/>
              </w:rPr>
            </w:pPr>
          </w:p>
        </w:tc>
      </w:tr>
      <w:tr w14:paraId="1A6AB2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381" w:type="dxa"/>
            <w:tcBorders>
              <w:left w:val="nil"/>
            </w:tcBorders>
            <w:vAlign w:val="top"/>
          </w:tcPr>
          <w:p w14:paraId="3B8F4257">
            <w:pPr>
              <w:spacing w:before="104"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890" w:type="dxa"/>
            <w:vAlign w:val="top"/>
          </w:tcPr>
          <w:p w14:paraId="789B67CA">
            <w:pPr>
              <w:pStyle w:val="6"/>
              <w:spacing w:before="68" w:line="227" w:lineRule="auto"/>
              <w:ind w:left="240"/>
              <w:rPr>
                <w:sz w:val="20"/>
                <w:szCs w:val="20"/>
              </w:rPr>
            </w:pPr>
            <w:r>
              <w:rPr>
                <w:spacing w:val="4"/>
                <w:sz w:val="20"/>
                <w:szCs w:val="20"/>
              </w:rPr>
              <w:t>焦炭</w:t>
            </w:r>
          </w:p>
        </w:tc>
        <w:tc>
          <w:tcPr>
            <w:tcW w:w="1263" w:type="dxa"/>
            <w:vAlign w:val="top"/>
          </w:tcPr>
          <w:p w14:paraId="78A61757">
            <w:pPr>
              <w:spacing w:before="103" w:line="195" w:lineRule="auto"/>
              <w:ind w:left="2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189136.24</w:t>
            </w:r>
          </w:p>
        </w:tc>
        <w:tc>
          <w:tcPr>
            <w:tcW w:w="850" w:type="dxa"/>
            <w:vAlign w:val="top"/>
          </w:tcPr>
          <w:p w14:paraId="222DADE1">
            <w:pPr>
              <w:rPr>
                <w:rFonts w:ascii="Arial"/>
                <w:sz w:val="21"/>
              </w:rPr>
            </w:pPr>
          </w:p>
        </w:tc>
        <w:tc>
          <w:tcPr>
            <w:tcW w:w="1150" w:type="dxa"/>
            <w:vAlign w:val="top"/>
          </w:tcPr>
          <w:p w14:paraId="37E6FD27">
            <w:pPr>
              <w:rPr>
                <w:rFonts w:ascii="Arial"/>
                <w:sz w:val="21"/>
              </w:rPr>
            </w:pPr>
          </w:p>
        </w:tc>
        <w:tc>
          <w:tcPr>
            <w:tcW w:w="887" w:type="dxa"/>
            <w:vAlign w:val="top"/>
          </w:tcPr>
          <w:p w14:paraId="42997753">
            <w:pPr>
              <w:spacing w:before="103" w:line="195" w:lineRule="auto"/>
              <w:ind w:left="31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912" w:type="dxa"/>
            <w:vAlign w:val="top"/>
          </w:tcPr>
          <w:p w14:paraId="7661DCD3">
            <w:pPr>
              <w:spacing w:before="103" w:line="195" w:lineRule="auto"/>
              <w:ind w:left="17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945.68</w:t>
            </w:r>
          </w:p>
        </w:tc>
        <w:tc>
          <w:tcPr>
            <w:tcW w:w="524" w:type="dxa"/>
            <w:vAlign w:val="top"/>
          </w:tcPr>
          <w:p w14:paraId="555CDEA6">
            <w:pPr>
              <w:spacing w:before="104" w:line="195" w:lineRule="auto"/>
              <w:ind w:left="20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113" w:type="dxa"/>
            <w:vAlign w:val="top"/>
          </w:tcPr>
          <w:p w14:paraId="196410FA">
            <w:pPr>
              <w:pStyle w:val="6"/>
              <w:spacing w:before="67" w:line="227" w:lineRule="auto"/>
              <w:ind w:left="536"/>
              <w:rPr>
                <w:sz w:val="20"/>
                <w:szCs w:val="20"/>
              </w:rPr>
            </w:pPr>
            <w:r>
              <w:rPr>
                <w:spacing w:val="8"/>
                <w:sz w:val="20"/>
                <w:szCs w:val="20"/>
              </w:rPr>
              <w:t>烧结烧失量</w:t>
            </w:r>
          </w:p>
        </w:tc>
        <w:tc>
          <w:tcPr>
            <w:tcW w:w="1241" w:type="dxa"/>
            <w:vAlign w:val="top"/>
          </w:tcPr>
          <w:p w14:paraId="3DDBF213">
            <w:pPr>
              <w:spacing w:before="103" w:line="195"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73089.04</w:t>
            </w:r>
          </w:p>
        </w:tc>
        <w:tc>
          <w:tcPr>
            <w:tcW w:w="861" w:type="dxa"/>
            <w:vAlign w:val="top"/>
          </w:tcPr>
          <w:p w14:paraId="73F8DF17">
            <w:pPr>
              <w:rPr>
                <w:rFonts w:ascii="Arial"/>
                <w:sz w:val="21"/>
              </w:rPr>
            </w:pPr>
          </w:p>
        </w:tc>
        <w:tc>
          <w:tcPr>
            <w:tcW w:w="1176" w:type="dxa"/>
            <w:vAlign w:val="top"/>
          </w:tcPr>
          <w:p w14:paraId="3CDC7705">
            <w:pPr>
              <w:rPr>
                <w:rFonts w:ascii="Arial"/>
                <w:sz w:val="21"/>
              </w:rPr>
            </w:pPr>
          </w:p>
        </w:tc>
        <w:tc>
          <w:tcPr>
            <w:tcW w:w="887" w:type="dxa"/>
            <w:vAlign w:val="top"/>
          </w:tcPr>
          <w:p w14:paraId="4A096415">
            <w:pPr>
              <w:rPr>
                <w:rFonts w:ascii="Arial"/>
                <w:sz w:val="21"/>
              </w:rPr>
            </w:pPr>
          </w:p>
        </w:tc>
        <w:tc>
          <w:tcPr>
            <w:tcW w:w="1028" w:type="dxa"/>
            <w:tcBorders>
              <w:right w:val="nil"/>
            </w:tcBorders>
            <w:vAlign w:val="top"/>
          </w:tcPr>
          <w:p w14:paraId="2F76E6FE">
            <w:pPr>
              <w:spacing w:before="103" w:line="195" w:lineRule="auto"/>
              <w:ind w:left="23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556.48</w:t>
            </w:r>
          </w:p>
        </w:tc>
      </w:tr>
      <w:tr w14:paraId="47351E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381" w:type="dxa"/>
            <w:tcBorders>
              <w:left w:val="nil"/>
            </w:tcBorders>
            <w:vAlign w:val="top"/>
          </w:tcPr>
          <w:p w14:paraId="256CA50D">
            <w:pPr>
              <w:spacing w:before="109" w:line="192" w:lineRule="auto"/>
              <w:ind w:left="148"/>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890" w:type="dxa"/>
            <w:vAlign w:val="top"/>
          </w:tcPr>
          <w:p w14:paraId="0720A40E">
            <w:pPr>
              <w:pStyle w:val="6"/>
              <w:spacing w:before="70" w:line="225" w:lineRule="auto"/>
              <w:ind w:left="239"/>
              <w:rPr>
                <w:sz w:val="20"/>
                <w:szCs w:val="20"/>
              </w:rPr>
            </w:pPr>
            <w:r>
              <w:rPr>
                <w:spacing w:val="5"/>
                <w:sz w:val="20"/>
                <w:szCs w:val="20"/>
              </w:rPr>
              <w:t>硅石</w:t>
            </w:r>
          </w:p>
        </w:tc>
        <w:tc>
          <w:tcPr>
            <w:tcW w:w="1263" w:type="dxa"/>
            <w:vAlign w:val="top"/>
          </w:tcPr>
          <w:p w14:paraId="43E60867">
            <w:pPr>
              <w:spacing w:before="106" w:line="195" w:lineRule="auto"/>
              <w:ind w:left="338"/>
              <w:rPr>
                <w:rFonts w:ascii="Times New Roman" w:hAnsi="Times New Roman" w:eastAsia="Times New Roman" w:cs="Times New Roman"/>
                <w:sz w:val="20"/>
                <w:szCs w:val="20"/>
              </w:rPr>
            </w:pPr>
            <w:r>
              <w:rPr>
                <w:rFonts w:ascii="Times New Roman" w:hAnsi="Times New Roman" w:eastAsia="Times New Roman" w:cs="Times New Roman"/>
                <w:sz w:val="20"/>
                <w:szCs w:val="20"/>
              </w:rPr>
              <w:t>135000</w:t>
            </w:r>
          </w:p>
        </w:tc>
        <w:tc>
          <w:tcPr>
            <w:tcW w:w="850" w:type="dxa"/>
            <w:vAlign w:val="top"/>
          </w:tcPr>
          <w:p w14:paraId="4CB4C538">
            <w:pPr>
              <w:rPr>
                <w:rFonts w:ascii="Arial"/>
                <w:sz w:val="21"/>
              </w:rPr>
            </w:pPr>
          </w:p>
        </w:tc>
        <w:tc>
          <w:tcPr>
            <w:tcW w:w="1150" w:type="dxa"/>
            <w:vAlign w:val="top"/>
          </w:tcPr>
          <w:p w14:paraId="19318075">
            <w:pPr>
              <w:rPr>
                <w:rFonts w:ascii="Arial"/>
                <w:sz w:val="21"/>
              </w:rPr>
            </w:pPr>
          </w:p>
        </w:tc>
        <w:tc>
          <w:tcPr>
            <w:tcW w:w="887" w:type="dxa"/>
            <w:vAlign w:val="top"/>
          </w:tcPr>
          <w:p w14:paraId="1E3AE418">
            <w:pPr>
              <w:spacing w:before="106" w:line="195" w:lineRule="auto"/>
              <w:ind w:left="2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912" w:type="dxa"/>
            <w:vAlign w:val="top"/>
          </w:tcPr>
          <w:p w14:paraId="7DF238C5">
            <w:pPr>
              <w:spacing w:before="106" w:line="195" w:lineRule="auto"/>
              <w:ind w:left="2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40.5</w:t>
            </w:r>
          </w:p>
        </w:tc>
        <w:tc>
          <w:tcPr>
            <w:tcW w:w="524" w:type="dxa"/>
            <w:vAlign w:val="top"/>
          </w:tcPr>
          <w:p w14:paraId="75469A39">
            <w:pPr>
              <w:spacing w:before="109" w:line="192" w:lineRule="auto"/>
              <w:ind w:left="215"/>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113" w:type="dxa"/>
            <w:vAlign w:val="top"/>
          </w:tcPr>
          <w:p w14:paraId="00E62A4A">
            <w:pPr>
              <w:pStyle w:val="6"/>
              <w:spacing w:before="70" w:line="225" w:lineRule="auto"/>
              <w:ind w:left="538"/>
              <w:rPr>
                <w:sz w:val="20"/>
                <w:szCs w:val="20"/>
              </w:rPr>
            </w:pPr>
            <w:r>
              <w:rPr>
                <w:spacing w:val="7"/>
                <w:sz w:val="20"/>
                <w:szCs w:val="20"/>
              </w:rPr>
              <w:t>车间沉降灰</w:t>
            </w:r>
          </w:p>
        </w:tc>
        <w:tc>
          <w:tcPr>
            <w:tcW w:w="1241" w:type="dxa"/>
            <w:vAlign w:val="top"/>
          </w:tcPr>
          <w:p w14:paraId="38D050E3">
            <w:pPr>
              <w:spacing w:before="106" w:line="195" w:lineRule="auto"/>
              <w:ind w:left="4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14.88</w:t>
            </w:r>
          </w:p>
        </w:tc>
        <w:tc>
          <w:tcPr>
            <w:tcW w:w="861" w:type="dxa"/>
            <w:vAlign w:val="top"/>
          </w:tcPr>
          <w:p w14:paraId="1A36E0A3">
            <w:pPr>
              <w:rPr>
                <w:rFonts w:ascii="Arial"/>
                <w:sz w:val="21"/>
              </w:rPr>
            </w:pPr>
          </w:p>
        </w:tc>
        <w:tc>
          <w:tcPr>
            <w:tcW w:w="1176" w:type="dxa"/>
            <w:vAlign w:val="top"/>
          </w:tcPr>
          <w:p w14:paraId="258CAEFA">
            <w:pPr>
              <w:spacing w:before="106" w:line="195"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2.68</w:t>
            </w:r>
          </w:p>
        </w:tc>
        <w:tc>
          <w:tcPr>
            <w:tcW w:w="887" w:type="dxa"/>
            <w:vAlign w:val="top"/>
          </w:tcPr>
          <w:p w14:paraId="567F4DCD">
            <w:pPr>
              <w:rPr>
                <w:rFonts w:ascii="Arial"/>
                <w:sz w:val="21"/>
              </w:rPr>
            </w:pPr>
          </w:p>
        </w:tc>
        <w:tc>
          <w:tcPr>
            <w:tcW w:w="1028" w:type="dxa"/>
            <w:tcBorders>
              <w:right w:val="nil"/>
            </w:tcBorders>
            <w:vAlign w:val="top"/>
          </w:tcPr>
          <w:p w14:paraId="548797ED">
            <w:pPr>
              <w:rPr>
                <w:rFonts w:ascii="Arial"/>
                <w:sz w:val="21"/>
              </w:rPr>
            </w:pPr>
          </w:p>
        </w:tc>
      </w:tr>
      <w:tr w14:paraId="0D3728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381" w:type="dxa"/>
            <w:tcBorders>
              <w:left w:val="nil"/>
            </w:tcBorders>
            <w:vAlign w:val="top"/>
          </w:tcPr>
          <w:p w14:paraId="5B0B3BE0">
            <w:pPr>
              <w:spacing w:before="108" w:line="195" w:lineRule="auto"/>
              <w:ind w:left="147"/>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890" w:type="dxa"/>
            <w:vAlign w:val="top"/>
          </w:tcPr>
          <w:p w14:paraId="17AD5233">
            <w:pPr>
              <w:pStyle w:val="6"/>
              <w:spacing w:before="72" w:line="223" w:lineRule="auto"/>
              <w:ind w:left="135"/>
              <w:rPr>
                <w:sz w:val="20"/>
                <w:szCs w:val="20"/>
              </w:rPr>
            </w:pPr>
            <w:r>
              <w:rPr>
                <w:spacing w:val="6"/>
                <w:sz w:val="20"/>
                <w:szCs w:val="20"/>
              </w:rPr>
              <w:t>石灰石</w:t>
            </w:r>
          </w:p>
        </w:tc>
        <w:tc>
          <w:tcPr>
            <w:tcW w:w="1263" w:type="dxa"/>
            <w:vAlign w:val="top"/>
          </w:tcPr>
          <w:p w14:paraId="41D3FC2B">
            <w:pPr>
              <w:spacing w:before="108" w:line="195" w:lineRule="auto"/>
              <w:ind w:left="4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720</w:t>
            </w:r>
          </w:p>
        </w:tc>
        <w:tc>
          <w:tcPr>
            <w:tcW w:w="850" w:type="dxa"/>
            <w:vAlign w:val="top"/>
          </w:tcPr>
          <w:p w14:paraId="0C5A03F0">
            <w:pPr>
              <w:rPr>
                <w:rFonts w:ascii="Arial"/>
                <w:sz w:val="21"/>
              </w:rPr>
            </w:pPr>
          </w:p>
        </w:tc>
        <w:tc>
          <w:tcPr>
            <w:tcW w:w="1150" w:type="dxa"/>
            <w:vAlign w:val="top"/>
          </w:tcPr>
          <w:p w14:paraId="68C85380">
            <w:pPr>
              <w:rPr>
                <w:rFonts w:ascii="Arial"/>
                <w:sz w:val="21"/>
              </w:rPr>
            </w:pPr>
          </w:p>
        </w:tc>
        <w:tc>
          <w:tcPr>
            <w:tcW w:w="887" w:type="dxa"/>
            <w:vAlign w:val="top"/>
          </w:tcPr>
          <w:p w14:paraId="5E416CAB">
            <w:pPr>
              <w:rPr>
                <w:rFonts w:ascii="Arial"/>
                <w:sz w:val="21"/>
              </w:rPr>
            </w:pPr>
          </w:p>
        </w:tc>
        <w:tc>
          <w:tcPr>
            <w:tcW w:w="912" w:type="dxa"/>
            <w:vAlign w:val="top"/>
          </w:tcPr>
          <w:p w14:paraId="3E80275F">
            <w:pPr>
              <w:rPr>
                <w:rFonts w:ascii="Arial"/>
                <w:sz w:val="21"/>
              </w:rPr>
            </w:pPr>
          </w:p>
        </w:tc>
        <w:tc>
          <w:tcPr>
            <w:tcW w:w="524" w:type="dxa"/>
            <w:vAlign w:val="top"/>
          </w:tcPr>
          <w:p w14:paraId="5643891A">
            <w:pPr>
              <w:spacing w:before="108" w:line="195"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113" w:type="dxa"/>
            <w:vAlign w:val="top"/>
          </w:tcPr>
          <w:p w14:paraId="56549F5E">
            <w:pPr>
              <w:pStyle w:val="6"/>
              <w:spacing w:before="72" w:line="223" w:lineRule="auto"/>
              <w:ind w:left="430"/>
              <w:rPr>
                <w:sz w:val="20"/>
                <w:szCs w:val="20"/>
              </w:rPr>
            </w:pPr>
            <w:r>
              <w:rPr>
                <w:spacing w:val="8"/>
                <w:sz w:val="20"/>
                <w:szCs w:val="20"/>
              </w:rPr>
              <w:t>硅锰合金产品</w:t>
            </w:r>
          </w:p>
        </w:tc>
        <w:tc>
          <w:tcPr>
            <w:tcW w:w="1241" w:type="dxa"/>
            <w:vAlign w:val="top"/>
          </w:tcPr>
          <w:p w14:paraId="4534CB32">
            <w:pPr>
              <w:spacing w:before="108" w:line="195" w:lineRule="auto"/>
              <w:ind w:left="30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450000</w:t>
            </w:r>
          </w:p>
        </w:tc>
        <w:tc>
          <w:tcPr>
            <w:tcW w:w="861" w:type="dxa"/>
            <w:vAlign w:val="top"/>
          </w:tcPr>
          <w:p w14:paraId="2B0C0A96">
            <w:pPr>
              <w:spacing w:before="108" w:line="195" w:lineRule="auto"/>
              <w:ind w:left="330"/>
              <w:rPr>
                <w:rFonts w:ascii="Times New Roman" w:hAnsi="Times New Roman" w:eastAsia="Times New Roman" w:cs="Times New Roman"/>
                <w:sz w:val="20"/>
                <w:szCs w:val="20"/>
              </w:rPr>
            </w:pPr>
            <w:r>
              <w:rPr>
                <w:rFonts w:ascii="Times New Roman" w:hAnsi="Times New Roman" w:eastAsia="Times New Roman" w:cs="Times New Roman"/>
                <w:sz w:val="20"/>
                <w:szCs w:val="20"/>
              </w:rPr>
              <w:t>68</w:t>
            </w:r>
          </w:p>
        </w:tc>
        <w:tc>
          <w:tcPr>
            <w:tcW w:w="1176" w:type="dxa"/>
            <w:vAlign w:val="top"/>
          </w:tcPr>
          <w:p w14:paraId="3050990F">
            <w:pPr>
              <w:spacing w:before="108" w:line="195" w:lineRule="auto"/>
              <w:ind w:left="2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306000</w:t>
            </w:r>
          </w:p>
        </w:tc>
        <w:tc>
          <w:tcPr>
            <w:tcW w:w="887" w:type="dxa"/>
            <w:vAlign w:val="top"/>
          </w:tcPr>
          <w:p w14:paraId="5387F646">
            <w:pPr>
              <w:spacing w:before="108" w:line="195" w:lineRule="auto"/>
              <w:ind w:left="2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c>
          <w:tcPr>
            <w:tcW w:w="1028" w:type="dxa"/>
            <w:tcBorders>
              <w:right w:val="nil"/>
            </w:tcBorders>
            <w:vAlign w:val="top"/>
          </w:tcPr>
          <w:p w14:paraId="6113E9E0">
            <w:pPr>
              <w:spacing w:before="108" w:line="195" w:lineRule="auto"/>
              <w:ind w:left="3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180</w:t>
            </w:r>
          </w:p>
        </w:tc>
      </w:tr>
      <w:tr w14:paraId="05AFE2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381" w:type="dxa"/>
            <w:tcBorders>
              <w:left w:val="nil"/>
            </w:tcBorders>
            <w:vAlign w:val="top"/>
          </w:tcPr>
          <w:p w14:paraId="78A760DE">
            <w:pPr>
              <w:spacing w:before="113" w:line="192" w:lineRule="auto"/>
              <w:ind w:left="145"/>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890" w:type="dxa"/>
            <w:vAlign w:val="top"/>
          </w:tcPr>
          <w:p w14:paraId="42D5E1B6">
            <w:pPr>
              <w:pStyle w:val="6"/>
              <w:spacing w:before="72" w:line="223" w:lineRule="auto"/>
              <w:ind w:left="159"/>
              <w:rPr>
                <w:sz w:val="20"/>
                <w:szCs w:val="20"/>
              </w:rPr>
            </w:pPr>
            <w:r>
              <w:rPr>
                <w:spacing w:val="-2"/>
                <w:sz w:val="20"/>
                <w:szCs w:val="20"/>
              </w:rPr>
              <w:t>电极糊</w:t>
            </w:r>
          </w:p>
        </w:tc>
        <w:tc>
          <w:tcPr>
            <w:tcW w:w="1263" w:type="dxa"/>
            <w:vAlign w:val="top"/>
          </w:tcPr>
          <w:p w14:paraId="496D0078">
            <w:pPr>
              <w:spacing w:before="110" w:line="195" w:lineRule="auto"/>
              <w:ind w:left="391"/>
              <w:rPr>
                <w:rFonts w:ascii="Times New Roman" w:hAnsi="Times New Roman" w:eastAsia="Times New Roman" w:cs="Times New Roman"/>
                <w:sz w:val="20"/>
                <w:szCs w:val="20"/>
              </w:rPr>
            </w:pPr>
            <w:r>
              <w:rPr>
                <w:rFonts w:ascii="Times New Roman" w:hAnsi="Times New Roman" w:eastAsia="Times New Roman" w:cs="Times New Roman"/>
                <w:sz w:val="20"/>
                <w:szCs w:val="20"/>
              </w:rPr>
              <w:t>13500</w:t>
            </w:r>
          </w:p>
        </w:tc>
        <w:tc>
          <w:tcPr>
            <w:tcW w:w="850" w:type="dxa"/>
            <w:vAlign w:val="top"/>
          </w:tcPr>
          <w:p w14:paraId="291C1E7B">
            <w:pPr>
              <w:rPr>
                <w:rFonts w:ascii="Arial"/>
                <w:sz w:val="21"/>
              </w:rPr>
            </w:pPr>
          </w:p>
        </w:tc>
        <w:tc>
          <w:tcPr>
            <w:tcW w:w="1150" w:type="dxa"/>
            <w:vAlign w:val="top"/>
          </w:tcPr>
          <w:p w14:paraId="5CA4ADA5">
            <w:pPr>
              <w:rPr>
                <w:rFonts w:ascii="Arial"/>
                <w:sz w:val="21"/>
              </w:rPr>
            </w:pPr>
          </w:p>
        </w:tc>
        <w:tc>
          <w:tcPr>
            <w:tcW w:w="887" w:type="dxa"/>
            <w:vAlign w:val="top"/>
          </w:tcPr>
          <w:p w14:paraId="416FFC64">
            <w:pPr>
              <w:rPr>
                <w:rFonts w:ascii="Arial"/>
                <w:sz w:val="21"/>
              </w:rPr>
            </w:pPr>
          </w:p>
        </w:tc>
        <w:tc>
          <w:tcPr>
            <w:tcW w:w="912" w:type="dxa"/>
            <w:vAlign w:val="top"/>
          </w:tcPr>
          <w:p w14:paraId="280A4A4F">
            <w:pPr>
              <w:rPr>
                <w:rFonts w:ascii="Arial"/>
                <w:sz w:val="21"/>
              </w:rPr>
            </w:pPr>
          </w:p>
        </w:tc>
        <w:tc>
          <w:tcPr>
            <w:tcW w:w="524" w:type="dxa"/>
            <w:vAlign w:val="top"/>
          </w:tcPr>
          <w:p w14:paraId="5A4826BB">
            <w:pPr>
              <w:spacing w:before="113" w:line="192" w:lineRule="auto"/>
              <w:ind w:left="213"/>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113" w:type="dxa"/>
            <w:vAlign w:val="top"/>
          </w:tcPr>
          <w:p w14:paraId="2FA1C85F">
            <w:pPr>
              <w:pStyle w:val="6"/>
              <w:spacing w:before="72" w:line="223" w:lineRule="auto"/>
              <w:ind w:left="220"/>
              <w:rPr>
                <w:sz w:val="20"/>
                <w:szCs w:val="20"/>
              </w:rPr>
            </w:pPr>
            <w:r>
              <w:rPr>
                <w:spacing w:val="8"/>
                <w:sz w:val="20"/>
                <w:szCs w:val="20"/>
              </w:rPr>
              <w:t>锰硅合金冶炼炉渣</w:t>
            </w:r>
          </w:p>
        </w:tc>
        <w:tc>
          <w:tcPr>
            <w:tcW w:w="1241" w:type="dxa"/>
            <w:vAlign w:val="top"/>
          </w:tcPr>
          <w:p w14:paraId="2599BB1D">
            <w:pPr>
              <w:spacing w:before="110"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233696</w:t>
            </w:r>
          </w:p>
        </w:tc>
        <w:tc>
          <w:tcPr>
            <w:tcW w:w="861" w:type="dxa"/>
            <w:vAlign w:val="top"/>
          </w:tcPr>
          <w:p w14:paraId="5C233EC8">
            <w:pPr>
              <w:spacing w:before="110" w:line="195" w:lineRule="auto"/>
              <w:ind w:left="2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9.82</w:t>
            </w:r>
          </w:p>
        </w:tc>
        <w:tc>
          <w:tcPr>
            <w:tcW w:w="1176" w:type="dxa"/>
            <w:vAlign w:val="top"/>
          </w:tcPr>
          <w:p w14:paraId="423E4D73">
            <w:pPr>
              <w:spacing w:before="110" w:line="195" w:lineRule="auto"/>
              <w:ind w:left="19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22948.66</w:t>
            </w:r>
          </w:p>
        </w:tc>
        <w:tc>
          <w:tcPr>
            <w:tcW w:w="887" w:type="dxa"/>
            <w:vAlign w:val="top"/>
          </w:tcPr>
          <w:p w14:paraId="16274AAF">
            <w:pPr>
              <w:spacing w:before="110" w:line="195" w:lineRule="auto"/>
              <w:ind w:left="2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0.43</w:t>
            </w:r>
          </w:p>
        </w:tc>
        <w:tc>
          <w:tcPr>
            <w:tcW w:w="1028" w:type="dxa"/>
            <w:tcBorders>
              <w:right w:val="nil"/>
            </w:tcBorders>
            <w:vAlign w:val="top"/>
          </w:tcPr>
          <w:p w14:paraId="65511B67">
            <w:pPr>
              <w:spacing w:before="110"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993.37</w:t>
            </w:r>
          </w:p>
        </w:tc>
      </w:tr>
      <w:tr w14:paraId="608FAC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4" w:hRule="atLeast"/>
        </w:trPr>
        <w:tc>
          <w:tcPr>
            <w:tcW w:w="381" w:type="dxa"/>
            <w:tcBorders>
              <w:left w:val="nil"/>
              <w:bottom w:val="single" w:color="000000" w:sz="10" w:space="0"/>
            </w:tcBorders>
            <w:vAlign w:val="top"/>
          </w:tcPr>
          <w:p w14:paraId="576E480E">
            <w:pPr>
              <w:spacing w:before="271" w:line="195" w:lineRule="auto"/>
              <w:ind w:left="150"/>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890" w:type="dxa"/>
            <w:tcBorders>
              <w:bottom w:val="single" w:color="000000" w:sz="10" w:space="0"/>
            </w:tcBorders>
            <w:vAlign w:val="top"/>
          </w:tcPr>
          <w:p w14:paraId="507276D1">
            <w:pPr>
              <w:pStyle w:val="6"/>
              <w:spacing w:before="234" w:line="231" w:lineRule="auto"/>
              <w:ind w:left="165"/>
              <w:rPr>
                <w:sz w:val="20"/>
                <w:szCs w:val="20"/>
              </w:rPr>
            </w:pPr>
            <w:r>
              <w:rPr>
                <w:spacing w:val="-4"/>
                <w:sz w:val="20"/>
                <w:szCs w:val="20"/>
              </w:rPr>
              <w:t>白云石</w:t>
            </w:r>
          </w:p>
        </w:tc>
        <w:tc>
          <w:tcPr>
            <w:tcW w:w="1263" w:type="dxa"/>
            <w:tcBorders>
              <w:bottom w:val="single" w:color="000000" w:sz="10" w:space="0"/>
            </w:tcBorders>
            <w:vAlign w:val="top"/>
          </w:tcPr>
          <w:p w14:paraId="0207BD06">
            <w:pPr>
              <w:spacing w:before="271" w:line="195" w:lineRule="auto"/>
              <w:ind w:left="37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45000</w:t>
            </w:r>
          </w:p>
        </w:tc>
        <w:tc>
          <w:tcPr>
            <w:tcW w:w="850" w:type="dxa"/>
            <w:tcBorders>
              <w:bottom w:val="single" w:color="000000" w:sz="10" w:space="0"/>
            </w:tcBorders>
            <w:vAlign w:val="top"/>
          </w:tcPr>
          <w:p w14:paraId="199CF49E">
            <w:pPr>
              <w:rPr>
                <w:rFonts w:ascii="Arial"/>
                <w:sz w:val="21"/>
              </w:rPr>
            </w:pPr>
          </w:p>
        </w:tc>
        <w:tc>
          <w:tcPr>
            <w:tcW w:w="1150" w:type="dxa"/>
            <w:tcBorders>
              <w:bottom w:val="single" w:color="000000" w:sz="10" w:space="0"/>
            </w:tcBorders>
            <w:vAlign w:val="top"/>
          </w:tcPr>
          <w:p w14:paraId="418E592D">
            <w:pPr>
              <w:rPr>
                <w:rFonts w:ascii="Arial"/>
                <w:sz w:val="21"/>
              </w:rPr>
            </w:pPr>
          </w:p>
        </w:tc>
        <w:tc>
          <w:tcPr>
            <w:tcW w:w="887" w:type="dxa"/>
            <w:tcBorders>
              <w:bottom w:val="single" w:color="000000" w:sz="10" w:space="0"/>
            </w:tcBorders>
            <w:vAlign w:val="top"/>
          </w:tcPr>
          <w:p w14:paraId="3993647F">
            <w:pPr>
              <w:spacing w:before="271" w:line="195" w:lineRule="auto"/>
              <w:ind w:left="2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0.09</w:t>
            </w:r>
          </w:p>
        </w:tc>
        <w:tc>
          <w:tcPr>
            <w:tcW w:w="912" w:type="dxa"/>
            <w:tcBorders>
              <w:bottom w:val="single" w:color="000000" w:sz="10" w:space="0"/>
            </w:tcBorders>
            <w:vAlign w:val="top"/>
          </w:tcPr>
          <w:p w14:paraId="37C7A4B4">
            <w:pPr>
              <w:spacing w:before="271" w:line="195" w:lineRule="auto"/>
              <w:ind w:left="2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40.5</w:t>
            </w:r>
          </w:p>
        </w:tc>
        <w:tc>
          <w:tcPr>
            <w:tcW w:w="524" w:type="dxa"/>
            <w:tcBorders>
              <w:bottom w:val="single" w:color="000000" w:sz="10" w:space="0"/>
            </w:tcBorders>
            <w:vAlign w:val="top"/>
          </w:tcPr>
          <w:p w14:paraId="68E08BDC">
            <w:pPr>
              <w:spacing w:before="271" w:line="195" w:lineRule="auto"/>
              <w:ind w:left="218"/>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113" w:type="dxa"/>
            <w:tcBorders>
              <w:bottom w:val="single" w:color="000000" w:sz="10" w:space="0"/>
            </w:tcBorders>
            <w:vAlign w:val="top"/>
          </w:tcPr>
          <w:p w14:paraId="39A13E66">
            <w:pPr>
              <w:pStyle w:val="6"/>
              <w:spacing w:before="75" w:line="267" w:lineRule="auto"/>
              <w:ind w:left="850" w:right="109" w:hanging="733"/>
              <w:rPr>
                <w:sz w:val="20"/>
                <w:szCs w:val="20"/>
              </w:rPr>
            </w:pPr>
            <w:r>
              <w:rPr>
                <w:spacing w:val="8"/>
                <w:sz w:val="20"/>
                <w:szCs w:val="20"/>
              </w:rPr>
              <w:t>锰硅电炉配料、加料</w:t>
            </w:r>
            <w:r>
              <w:rPr>
                <w:spacing w:val="7"/>
                <w:sz w:val="20"/>
                <w:szCs w:val="20"/>
              </w:rPr>
              <w:t xml:space="preserve"> </w:t>
            </w:r>
            <w:r>
              <w:rPr>
                <w:spacing w:val="5"/>
                <w:sz w:val="20"/>
                <w:szCs w:val="20"/>
              </w:rPr>
              <w:t>粉尘</w:t>
            </w:r>
          </w:p>
        </w:tc>
        <w:tc>
          <w:tcPr>
            <w:tcW w:w="1241" w:type="dxa"/>
            <w:tcBorders>
              <w:bottom w:val="single" w:color="000000" w:sz="10" w:space="0"/>
            </w:tcBorders>
            <w:vAlign w:val="top"/>
          </w:tcPr>
          <w:p w14:paraId="627B94E3">
            <w:pPr>
              <w:spacing w:before="271" w:line="195" w:lineRule="auto"/>
              <w:ind w:left="4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4.15</w:t>
            </w:r>
          </w:p>
        </w:tc>
        <w:tc>
          <w:tcPr>
            <w:tcW w:w="861" w:type="dxa"/>
            <w:tcBorders>
              <w:bottom w:val="single" w:color="000000" w:sz="10" w:space="0"/>
            </w:tcBorders>
            <w:vAlign w:val="top"/>
          </w:tcPr>
          <w:p w14:paraId="5A52F445">
            <w:pPr>
              <w:spacing w:before="271" w:line="195" w:lineRule="auto"/>
              <w:ind w:left="21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10.43</w:t>
            </w:r>
          </w:p>
        </w:tc>
        <w:tc>
          <w:tcPr>
            <w:tcW w:w="1176" w:type="dxa"/>
            <w:tcBorders>
              <w:bottom w:val="single" w:color="000000" w:sz="10" w:space="0"/>
            </w:tcBorders>
            <w:vAlign w:val="top"/>
          </w:tcPr>
          <w:p w14:paraId="1DF99BC4">
            <w:pPr>
              <w:spacing w:before="271" w:line="195" w:lineRule="auto"/>
              <w:ind w:left="4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0.43</w:t>
            </w:r>
          </w:p>
        </w:tc>
        <w:tc>
          <w:tcPr>
            <w:tcW w:w="887" w:type="dxa"/>
            <w:tcBorders>
              <w:bottom w:val="single" w:color="000000" w:sz="10" w:space="0"/>
            </w:tcBorders>
            <w:vAlign w:val="top"/>
          </w:tcPr>
          <w:p w14:paraId="324F1FE3">
            <w:pPr>
              <w:spacing w:before="271" w:line="195" w:lineRule="auto"/>
              <w:ind w:left="2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1028" w:type="dxa"/>
            <w:tcBorders>
              <w:bottom w:val="single" w:color="000000" w:sz="10" w:space="0"/>
              <w:right w:val="nil"/>
            </w:tcBorders>
            <w:vAlign w:val="top"/>
          </w:tcPr>
          <w:p w14:paraId="0497023B">
            <w:pPr>
              <w:spacing w:before="271" w:line="195" w:lineRule="auto"/>
              <w:ind w:left="28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0.001</w:t>
            </w:r>
          </w:p>
        </w:tc>
      </w:tr>
    </w:tbl>
    <w:p w14:paraId="6AD2E720">
      <w:pPr>
        <w:pStyle w:val="2"/>
      </w:pPr>
    </w:p>
    <w:p w14:paraId="6528187C">
      <w:pPr>
        <w:sectPr>
          <w:footerReference r:id="rId152" w:type="default"/>
          <w:pgSz w:w="16781" w:h="11850"/>
          <w:pgMar w:top="1178" w:right="1309" w:bottom="1013" w:left="1309" w:header="870" w:footer="850" w:gutter="0"/>
          <w:cols w:space="720" w:num="1"/>
        </w:sectPr>
      </w:pPr>
    </w:p>
    <w:p w14:paraId="58ED1EB9">
      <w:pPr>
        <w:spacing w:line="238" w:lineRule="exact"/>
      </w:pPr>
      <w:r>
        <w:pict>
          <v:shape id="_x0000_s1192" o:spid="_x0000_s1192" style="position:absolute;left:0pt;margin-left:70.85pt;margin-top:59.65pt;height:0.75pt;width:697.35pt;mso-position-horizontal-relative:page;mso-position-vertical-relative:page;z-index:251850752;mso-width-relative:page;mso-height-relative:page;" fillcolor="#000000" filled="t" stroked="f" coordsize="13946,15" o:allowincell="f" path="m0,0l13946,0,13946,14,0,14,0,0xe">
            <v:path/>
            <v:fill on="t" focussize="0,0"/>
            <v:stroke on="f"/>
            <v:imagedata o:title=""/>
            <o:lock v:ext="edit"/>
          </v:shape>
        </w:pict>
      </w:r>
    </w:p>
    <w:tbl>
      <w:tblPr>
        <w:tblStyle w:val="5"/>
        <w:tblW w:w="1416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81"/>
        <w:gridCol w:w="890"/>
        <w:gridCol w:w="1263"/>
        <w:gridCol w:w="850"/>
        <w:gridCol w:w="1150"/>
        <w:gridCol w:w="887"/>
        <w:gridCol w:w="912"/>
        <w:gridCol w:w="524"/>
        <w:gridCol w:w="2113"/>
        <w:gridCol w:w="1241"/>
        <w:gridCol w:w="861"/>
        <w:gridCol w:w="1176"/>
        <w:gridCol w:w="887"/>
        <w:gridCol w:w="1028"/>
      </w:tblGrid>
      <w:tr w14:paraId="1D3289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381" w:type="dxa"/>
            <w:tcBorders>
              <w:top w:val="single" w:color="000000" w:sz="10" w:space="0"/>
              <w:left w:val="nil"/>
            </w:tcBorders>
            <w:vAlign w:val="top"/>
          </w:tcPr>
          <w:p w14:paraId="4E9E1B31">
            <w:pPr>
              <w:spacing w:before="256" w:line="195" w:lineRule="auto"/>
              <w:ind w:left="146"/>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890" w:type="dxa"/>
            <w:tcBorders>
              <w:top w:val="single" w:color="000000" w:sz="10" w:space="0"/>
            </w:tcBorders>
            <w:vAlign w:val="top"/>
          </w:tcPr>
          <w:p w14:paraId="72B08D9A">
            <w:pPr>
              <w:pStyle w:val="6"/>
              <w:spacing w:before="219" w:line="228" w:lineRule="auto"/>
              <w:ind w:left="137"/>
              <w:rPr>
                <w:sz w:val="20"/>
                <w:szCs w:val="20"/>
              </w:rPr>
            </w:pPr>
            <w:r>
              <w:rPr>
                <w:spacing w:val="6"/>
                <w:sz w:val="20"/>
                <w:szCs w:val="20"/>
              </w:rPr>
              <w:t>工业水</w:t>
            </w:r>
          </w:p>
        </w:tc>
        <w:tc>
          <w:tcPr>
            <w:tcW w:w="1263" w:type="dxa"/>
            <w:tcBorders>
              <w:top w:val="single" w:color="000000" w:sz="10" w:space="0"/>
            </w:tcBorders>
            <w:vAlign w:val="top"/>
          </w:tcPr>
          <w:p w14:paraId="5F4F3F8D">
            <w:pPr>
              <w:spacing w:before="256" w:line="195" w:lineRule="auto"/>
              <w:ind w:left="25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12342.20</w:t>
            </w:r>
          </w:p>
        </w:tc>
        <w:tc>
          <w:tcPr>
            <w:tcW w:w="850" w:type="dxa"/>
            <w:tcBorders>
              <w:top w:val="single" w:color="000000" w:sz="10" w:space="0"/>
            </w:tcBorders>
            <w:vAlign w:val="top"/>
          </w:tcPr>
          <w:p w14:paraId="18546AD8">
            <w:pPr>
              <w:rPr>
                <w:rFonts w:ascii="Arial"/>
                <w:sz w:val="21"/>
              </w:rPr>
            </w:pPr>
          </w:p>
        </w:tc>
        <w:tc>
          <w:tcPr>
            <w:tcW w:w="1150" w:type="dxa"/>
            <w:tcBorders>
              <w:top w:val="single" w:color="000000" w:sz="10" w:space="0"/>
            </w:tcBorders>
            <w:vAlign w:val="top"/>
          </w:tcPr>
          <w:p w14:paraId="564E3A58">
            <w:pPr>
              <w:rPr>
                <w:rFonts w:ascii="Arial"/>
                <w:sz w:val="21"/>
              </w:rPr>
            </w:pPr>
          </w:p>
        </w:tc>
        <w:tc>
          <w:tcPr>
            <w:tcW w:w="887" w:type="dxa"/>
            <w:tcBorders>
              <w:top w:val="single" w:color="000000" w:sz="10" w:space="0"/>
            </w:tcBorders>
            <w:vAlign w:val="top"/>
          </w:tcPr>
          <w:p w14:paraId="1B29974C">
            <w:pPr>
              <w:rPr>
                <w:rFonts w:ascii="Arial"/>
                <w:sz w:val="21"/>
              </w:rPr>
            </w:pPr>
          </w:p>
        </w:tc>
        <w:tc>
          <w:tcPr>
            <w:tcW w:w="912" w:type="dxa"/>
            <w:tcBorders>
              <w:top w:val="single" w:color="000000" w:sz="10" w:space="0"/>
            </w:tcBorders>
            <w:vAlign w:val="top"/>
          </w:tcPr>
          <w:p w14:paraId="6CFB01D1">
            <w:pPr>
              <w:rPr>
                <w:rFonts w:ascii="Arial"/>
                <w:sz w:val="21"/>
              </w:rPr>
            </w:pPr>
          </w:p>
        </w:tc>
        <w:tc>
          <w:tcPr>
            <w:tcW w:w="524" w:type="dxa"/>
            <w:tcBorders>
              <w:top w:val="single" w:color="000000" w:sz="10" w:space="0"/>
            </w:tcBorders>
            <w:vAlign w:val="top"/>
          </w:tcPr>
          <w:p w14:paraId="18B185FE">
            <w:pPr>
              <w:spacing w:before="256" w:line="195"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2113" w:type="dxa"/>
            <w:tcBorders>
              <w:top w:val="single" w:color="000000" w:sz="10" w:space="0"/>
            </w:tcBorders>
            <w:vAlign w:val="top"/>
          </w:tcPr>
          <w:p w14:paraId="770A2880">
            <w:pPr>
              <w:pStyle w:val="6"/>
              <w:spacing w:before="59" w:line="266" w:lineRule="auto"/>
              <w:ind w:left="641" w:right="109" w:hanging="524"/>
              <w:rPr>
                <w:sz w:val="20"/>
                <w:szCs w:val="20"/>
              </w:rPr>
            </w:pPr>
            <w:r>
              <w:rPr>
                <w:spacing w:val="8"/>
                <w:sz w:val="20"/>
                <w:szCs w:val="20"/>
              </w:rPr>
              <w:t>锰硅出铁出渣及浇铸</w:t>
            </w:r>
            <w:r>
              <w:rPr>
                <w:spacing w:val="7"/>
                <w:sz w:val="20"/>
                <w:szCs w:val="20"/>
              </w:rPr>
              <w:t xml:space="preserve"> 烟气粉尘</w:t>
            </w:r>
          </w:p>
        </w:tc>
        <w:tc>
          <w:tcPr>
            <w:tcW w:w="1241" w:type="dxa"/>
            <w:tcBorders>
              <w:top w:val="single" w:color="000000" w:sz="10" w:space="0"/>
            </w:tcBorders>
            <w:vAlign w:val="top"/>
          </w:tcPr>
          <w:p w14:paraId="2B14C2E0">
            <w:pPr>
              <w:spacing w:before="256" w:line="195" w:lineRule="auto"/>
              <w:ind w:left="4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1.69</w:t>
            </w:r>
          </w:p>
        </w:tc>
        <w:tc>
          <w:tcPr>
            <w:tcW w:w="861" w:type="dxa"/>
            <w:tcBorders>
              <w:top w:val="single" w:color="000000" w:sz="10" w:space="0"/>
            </w:tcBorders>
            <w:vAlign w:val="top"/>
          </w:tcPr>
          <w:p w14:paraId="3F9A873E">
            <w:pPr>
              <w:spacing w:before="256" w:line="195" w:lineRule="auto"/>
              <w:ind w:left="24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26.8</w:t>
            </w:r>
          </w:p>
        </w:tc>
        <w:tc>
          <w:tcPr>
            <w:tcW w:w="1176" w:type="dxa"/>
            <w:tcBorders>
              <w:top w:val="single" w:color="000000" w:sz="10" w:space="0"/>
            </w:tcBorders>
            <w:vAlign w:val="top"/>
          </w:tcPr>
          <w:p w14:paraId="6FB456D9">
            <w:pPr>
              <w:spacing w:before="256" w:line="195" w:lineRule="auto"/>
              <w:ind w:left="4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0.45</w:t>
            </w:r>
          </w:p>
        </w:tc>
        <w:tc>
          <w:tcPr>
            <w:tcW w:w="887" w:type="dxa"/>
            <w:tcBorders>
              <w:top w:val="single" w:color="000000" w:sz="10" w:space="0"/>
            </w:tcBorders>
            <w:vAlign w:val="top"/>
          </w:tcPr>
          <w:p w14:paraId="3E31FB29">
            <w:pPr>
              <w:spacing w:before="256" w:line="195" w:lineRule="auto"/>
              <w:ind w:left="2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1028" w:type="dxa"/>
            <w:tcBorders>
              <w:top w:val="single" w:color="000000" w:sz="10" w:space="0"/>
              <w:right w:val="nil"/>
            </w:tcBorders>
            <w:vAlign w:val="top"/>
          </w:tcPr>
          <w:p w14:paraId="6312BB21">
            <w:pPr>
              <w:spacing w:before="256" w:line="195" w:lineRule="auto"/>
              <w:ind w:left="28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0.001</w:t>
            </w:r>
          </w:p>
        </w:tc>
      </w:tr>
      <w:tr w14:paraId="38FEEB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381" w:type="dxa"/>
            <w:tcBorders>
              <w:left w:val="nil"/>
            </w:tcBorders>
            <w:vAlign w:val="top"/>
          </w:tcPr>
          <w:p w14:paraId="4373D1A3">
            <w:pPr>
              <w:rPr>
                <w:rFonts w:ascii="Arial"/>
                <w:sz w:val="21"/>
              </w:rPr>
            </w:pPr>
          </w:p>
        </w:tc>
        <w:tc>
          <w:tcPr>
            <w:tcW w:w="890" w:type="dxa"/>
            <w:vAlign w:val="top"/>
          </w:tcPr>
          <w:p w14:paraId="5AEB9F2E">
            <w:pPr>
              <w:rPr>
                <w:rFonts w:ascii="Arial"/>
                <w:sz w:val="21"/>
              </w:rPr>
            </w:pPr>
          </w:p>
        </w:tc>
        <w:tc>
          <w:tcPr>
            <w:tcW w:w="1263" w:type="dxa"/>
            <w:vAlign w:val="top"/>
          </w:tcPr>
          <w:p w14:paraId="7A0A9BC9">
            <w:pPr>
              <w:rPr>
                <w:rFonts w:ascii="Arial"/>
                <w:sz w:val="21"/>
              </w:rPr>
            </w:pPr>
          </w:p>
        </w:tc>
        <w:tc>
          <w:tcPr>
            <w:tcW w:w="850" w:type="dxa"/>
            <w:vAlign w:val="top"/>
          </w:tcPr>
          <w:p w14:paraId="54FCE0D8">
            <w:pPr>
              <w:rPr>
                <w:rFonts w:ascii="Arial"/>
                <w:sz w:val="21"/>
              </w:rPr>
            </w:pPr>
          </w:p>
        </w:tc>
        <w:tc>
          <w:tcPr>
            <w:tcW w:w="1150" w:type="dxa"/>
            <w:vAlign w:val="top"/>
          </w:tcPr>
          <w:p w14:paraId="05B4410C">
            <w:pPr>
              <w:rPr>
                <w:rFonts w:ascii="Arial"/>
                <w:sz w:val="21"/>
              </w:rPr>
            </w:pPr>
          </w:p>
        </w:tc>
        <w:tc>
          <w:tcPr>
            <w:tcW w:w="887" w:type="dxa"/>
            <w:vAlign w:val="top"/>
          </w:tcPr>
          <w:p w14:paraId="4F370EAD">
            <w:pPr>
              <w:rPr>
                <w:rFonts w:ascii="Arial"/>
                <w:sz w:val="21"/>
              </w:rPr>
            </w:pPr>
          </w:p>
        </w:tc>
        <w:tc>
          <w:tcPr>
            <w:tcW w:w="912" w:type="dxa"/>
            <w:vAlign w:val="top"/>
          </w:tcPr>
          <w:p w14:paraId="3C39C605">
            <w:pPr>
              <w:rPr>
                <w:rFonts w:ascii="Arial"/>
                <w:sz w:val="21"/>
              </w:rPr>
            </w:pPr>
          </w:p>
        </w:tc>
        <w:tc>
          <w:tcPr>
            <w:tcW w:w="524" w:type="dxa"/>
            <w:vAlign w:val="top"/>
          </w:tcPr>
          <w:p w14:paraId="75E2E28A">
            <w:pPr>
              <w:spacing w:before="97" w:line="195" w:lineRule="auto"/>
              <w:ind w:left="17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2113" w:type="dxa"/>
            <w:vAlign w:val="top"/>
          </w:tcPr>
          <w:p w14:paraId="0EC1F42C">
            <w:pPr>
              <w:pStyle w:val="6"/>
              <w:spacing w:before="61" w:line="227" w:lineRule="auto"/>
              <w:ind w:left="431"/>
              <w:rPr>
                <w:sz w:val="20"/>
                <w:szCs w:val="20"/>
              </w:rPr>
            </w:pPr>
            <w:r>
              <w:rPr>
                <w:spacing w:val="8"/>
                <w:sz w:val="20"/>
                <w:szCs w:val="20"/>
              </w:rPr>
              <w:t>锰硅精整粉尘</w:t>
            </w:r>
          </w:p>
        </w:tc>
        <w:tc>
          <w:tcPr>
            <w:tcW w:w="1241" w:type="dxa"/>
            <w:vAlign w:val="top"/>
          </w:tcPr>
          <w:p w14:paraId="7D9E9CD5">
            <w:pPr>
              <w:spacing w:before="97" w:line="195" w:lineRule="auto"/>
              <w:ind w:left="4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0.21</w:t>
            </w:r>
          </w:p>
        </w:tc>
        <w:tc>
          <w:tcPr>
            <w:tcW w:w="861" w:type="dxa"/>
            <w:vAlign w:val="top"/>
          </w:tcPr>
          <w:p w14:paraId="588E16F5">
            <w:pPr>
              <w:spacing w:before="97" w:line="195" w:lineRule="auto"/>
              <w:ind w:left="24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26.8</w:t>
            </w:r>
          </w:p>
        </w:tc>
        <w:tc>
          <w:tcPr>
            <w:tcW w:w="1176" w:type="dxa"/>
            <w:vAlign w:val="top"/>
          </w:tcPr>
          <w:p w14:paraId="2008A3B9">
            <w:pPr>
              <w:spacing w:before="97" w:line="195" w:lineRule="auto"/>
              <w:ind w:left="4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0.06</w:t>
            </w:r>
          </w:p>
        </w:tc>
        <w:tc>
          <w:tcPr>
            <w:tcW w:w="887" w:type="dxa"/>
            <w:vAlign w:val="top"/>
          </w:tcPr>
          <w:p w14:paraId="5A495919">
            <w:pPr>
              <w:spacing w:before="97" w:line="195" w:lineRule="auto"/>
              <w:ind w:left="2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1028" w:type="dxa"/>
            <w:tcBorders>
              <w:right w:val="nil"/>
            </w:tcBorders>
            <w:vAlign w:val="top"/>
          </w:tcPr>
          <w:p w14:paraId="7406BFF5">
            <w:pPr>
              <w:spacing w:before="97" w:line="195"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0.0001</w:t>
            </w:r>
          </w:p>
        </w:tc>
      </w:tr>
      <w:tr w14:paraId="030256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1" w:hRule="atLeast"/>
        </w:trPr>
        <w:tc>
          <w:tcPr>
            <w:tcW w:w="381" w:type="dxa"/>
            <w:tcBorders>
              <w:left w:val="nil"/>
            </w:tcBorders>
            <w:vAlign w:val="top"/>
          </w:tcPr>
          <w:p w14:paraId="23679AD0">
            <w:pPr>
              <w:rPr>
                <w:rFonts w:ascii="Arial"/>
                <w:sz w:val="21"/>
              </w:rPr>
            </w:pPr>
          </w:p>
        </w:tc>
        <w:tc>
          <w:tcPr>
            <w:tcW w:w="890" w:type="dxa"/>
            <w:vAlign w:val="top"/>
          </w:tcPr>
          <w:p w14:paraId="7A53374F">
            <w:pPr>
              <w:rPr>
                <w:rFonts w:ascii="Arial"/>
                <w:sz w:val="21"/>
              </w:rPr>
            </w:pPr>
          </w:p>
        </w:tc>
        <w:tc>
          <w:tcPr>
            <w:tcW w:w="1263" w:type="dxa"/>
            <w:vAlign w:val="top"/>
          </w:tcPr>
          <w:p w14:paraId="68E28648">
            <w:pPr>
              <w:rPr>
                <w:rFonts w:ascii="Arial"/>
                <w:sz w:val="21"/>
              </w:rPr>
            </w:pPr>
          </w:p>
        </w:tc>
        <w:tc>
          <w:tcPr>
            <w:tcW w:w="850" w:type="dxa"/>
            <w:vAlign w:val="top"/>
          </w:tcPr>
          <w:p w14:paraId="594D00FF">
            <w:pPr>
              <w:rPr>
                <w:rFonts w:ascii="Arial"/>
                <w:sz w:val="21"/>
              </w:rPr>
            </w:pPr>
          </w:p>
        </w:tc>
        <w:tc>
          <w:tcPr>
            <w:tcW w:w="1150" w:type="dxa"/>
            <w:vAlign w:val="top"/>
          </w:tcPr>
          <w:p w14:paraId="598FB25E">
            <w:pPr>
              <w:rPr>
                <w:rFonts w:ascii="Arial"/>
                <w:sz w:val="21"/>
              </w:rPr>
            </w:pPr>
          </w:p>
        </w:tc>
        <w:tc>
          <w:tcPr>
            <w:tcW w:w="887" w:type="dxa"/>
            <w:vAlign w:val="top"/>
          </w:tcPr>
          <w:p w14:paraId="61098693">
            <w:pPr>
              <w:rPr>
                <w:rFonts w:ascii="Arial"/>
                <w:sz w:val="21"/>
              </w:rPr>
            </w:pPr>
          </w:p>
        </w:tc>
        <w:tc>
          <w:tcPr>
            <w:tcW w:w="912" w:type="dxa"/>
            <w:vAlign w:val="top"/>
          </w:tcPr>
          <w:p w14:paraId="2B10D34B">
            <w:pPr>
              <w:rPr>
                <w:rFonts w:ascii="Arial"/>
                <w:sz w:val="21"/>
              </w:rPr>
            </w:pPr>
          </w:p>
        </w:tc>
        <w:tc>
          <w:tcPr>
            <w:tcW w:w="524" w:type="dxa"/>
            <w:vAlign w:val="top"/>
          </w:tcPr>
          <w:p w14:paraId="3C90BA2F">
            <w:pPr>
              <w:spacing w:before="261" w:line="195" w:lineRule="auto"/>
              <w:ind w:left="17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11</w:t>
            </w:r>
          </w:p>
        </w:tc>
        <w:tc>
          <w:tcPr>
            <w:tcW w:w="2113" w:type="dxa"/>
            <w:vAlign w:val="top"/>
          </w:tcPr>
          <w:p w14:paraId="645EB3A2">
            <w:pPr>
              <w:pStyle w:val="6"/>
              <w:spacing w:before="65" w:line="261" w:lineRule="auto"/>
              <w:ind w:left="850" w:right="109" w:hanging="734"/>
              <w:rPr>
                <w:sz w:val="20"/>
                <w:szCs w:val="20"/>
              </w:rPr>
            </w:pPr>
            <w:r>
              <w:rPr>
                <w:spacing w:val="9"/>
                <w:sz w:val="20"/>
                <w:szCs w:val="20"/>
              </w:rPr>
              <w:t>硅锰电炉料棚无组织</w:t>
            </w:r>
            <w:r>
              <w:rPr>
                <w:sz w:val="20"/>
                <w:szCs w:val="20"/>
              </w:rPr>
              <w:t xml:space="preserve"> </w:t>
            </w:r>
            <w:r>
              <w:rPr>
                <w:spacing w:val="5"/>
                <w:sz w:val="20"/>
                <w:szCs w:val="20"/>
              </w:rPr>
              <w:t>粉尘</w:t>
            </w:r>
          </w:p>
        </w:tc>
        <w:tc>
          <w:tcPr>
            <w:tcW w:w="1241" w:type="dxa"/>
            <w:vAlign w:val="top"/>
          </w:tcPr>
          <w:p w14:paraId="085E1FBE">
            <w:pPr>
              <w:spacing w:before="261" w:line="195" w:lineRule="auto"/>
              <w:ind w:left="4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4.37</w:t>
            </w:r>
          </w:p>
        </w:tc>
        <w:tc>
          <w:tcPr>
            <w:tcW w:w="861" w:type="dxa"/>
            <w:vAlign w:val="top"/>
          </w:tcPr>
          <w:p w14:paraId="4CE8812C">
            <w:pPr>
              <w:spacing w:before="261" w:line="195"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32.09</w:t>
            </w:r>
          </w:p>
        </w:tc>
        <w:tc>
          <w:tcPr>
            <w:tcW w:w="1176" w:type="dxa"/>
            <w:vAlign w:val="top"/>
          </w:tcPr>
          <w:p w14:paraId="24F8DEAC">
            <w:pPr>
              <w:spacing w:before="261" w:line="195" w:lineRule="auto"/>
              <w:ind w:left="47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1.4</w:t>
            </w:r>
          </w:p>
        </w:tc>
        <w:tc>
          <w:tcPr>
            <w:tcW w:w="887" w:type="dxa"/>
            <w:vAlign w:val="top"/>
          </w:tcPr>
          <w:p w14:paraId="0015B51D">
            <w:pPr>
              <w:spacing w:before="261" w:line="195" w:lineRule="auto"/>
              <w:ind w:left="2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1028" w:type="dxa"/>
            <w:tcBorders>
              <w:right w:val="nil"/>
            </w:tcBorders>
            <w:vAlign w:val="top"/>
          </w:tcPr>
          <w:p w14:paraId="76B1FF2C">
            <w:pPr>
              <w:spacing w:before="261" w:line="195" w:lineRule="auto"/>
              <w:ind w:left="28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0.001</w:t>
            </w:r>
          </w:p>
        </w:tc>
      </w:tr>
      <w:tr w14:paraId="788287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381" w:type="dxa"/>
            <w:tcBorders>
              <w:left w:val="nil"/>
            </w:tcBorders>
            <w:vAlign w:val="top"/>
          </w:tcPr>
          <w:p w14:paraId="58BE40DE">
            <w:pPr>
              <w:rPr>
                <w:rFonts w:ascii="Arial"/>
                <w:sz w:val="21"/>
              </w:rPr>
            </w:pPr>
          </w:p>
        </w:tc>
        <w:tc>
          <w:tcPr>
            <w:tcW w:w="890" w:type="dxa"/>
            <w:vAlign w:val="top"/>
          </w:tcPr>
          <w:p w14:paraId="431314B0">
            <w:pPr>
              <w:rPr>
                <w:rFonts w:ascii="Arial"/>
                <w:sz w:val="21"/>
              </w:rPr>
            </w:pPr>
          </w:p>
        </w:tc>
        <w:tc>
          <w:tcPr>
            <w:tcW w:w="1263" w:type="dxa"/>
            <w:vAlign w:val="top"/>
          </w:tcPr>
          <w:p w14:paraId="0B99D12B">
            <w:pPr>
              <w:rPr>
                <w:rFonts w:ascii="Arial"/>
                <w:sz w:val="21"/>
              </w:rPr>
            </w:pPr>
          </w:p>
        </w:tc>
        <w:tc>
          <w:tcPr>
            <w:tcW w:w="850" w:type="dxa"/>
            <w:vAlign w:val="top"/>
          </w:tcPr>
          <w:p w14:paraId="32984066">
            <w:pPr>
              <w:rPr>
                <w:rFonts w:ascii="Arial"/>
                <w:sz w:val="21"/>
              </w:rPr>
            </w:pPr>
          </w:p>
        </w:tc>
        <w:tc>
          <w:tcPr>
            <w:tcW w:w="1150" w:type="dxa"/>
            <w:vAlign w:val="top"/>
          </w:tcPr>
          <w:p w14:paraId="7ABF339D">
            <w:pPr>
              <w:rPr>
                <w:rFonts w:ascii="Arial"/>
                <w:sz w:val="21"/>
              </w:rPr>
            </w:pPr>
          </w:p>
        </w:tc>
        <w:tc>
          <w:tcPr>
            <w:tcW w:w="887" w:type="dxa"/>
            <w:vAlign w:val="top"/>
          </w:tcPr>
          <w:p w14:paraId="690395EE">
            <w:pPr>
              <w:rPr>
                <w:rFonts w:ascii="Arial"/>
                <w:sz w:val="21"/>
              </w:rPr>
            </w:pPr>
          </w:p>
        </w:tc>
        <w:tc>
          <w:tcPr>
            <w:tcW w:w="912" w:type="dxa"/>
            <w:vAlign w:val="top"/>
          </w:tcPr>
          <w:p w14:paraId="7951DE5D">
            <w:pPr>
              <w:rPr>
                <w:rFonts w:ascii="Arial"/>
                <w:sz w:val="21"/>
              </w:rPr>
            </w:pPr>
          </w:p>
        </w:tc>
        <w:tc>
          <w:tcPr>
            <w:tcW w:w="524" w:type="dxa"/>
            <w:vAlign w:val="top"/>
          </w:tcPr>
          <w:p w14:paraId="19FD9D72">
            <w:pPr>
              <w:spacing w:before="268" w:line="195" w:lineRule="auto"/>
              <w:ind w:left="17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2113" w:type="dxa"/>
            <w:vAlign w:val="top"/>
          </w:tcPr>
          <w:p w14:paraId="17EF19CE">
            <w:pPr>
              <w:pStyle w:val="6"/>
              <w:spacing w:before="70" w:line="259" w:lineRule="auto"/>
              <w:ind w:left="850" w:right="109" w:hanging="734"/>
              <w:rPr>
                <w:sz w:val="20"/>
                <w:szCs w:val="20"/>
              </w:rPr>
            </w:pPr>
            <w:r>
              <w:rPr>
                <w:spacing w:val="9"/>
                <w:sz w:val="20"/>
                <w:szCs w:val="20"/>
              </w:rPr>
              <w:t>硅锰电炉车间无组织</w:t>
            </w:r>
            <w:r>
              <w:rPr>
                <w:sz w:val="20"/>
                <w:szCs w:val="20"/>
              </w:rPr>
              <w:t xml:space="preserve"> </w:t>
            </w:r>
            <w:r>
              <w:rPr>
                <w:spacing w:val="5"/>
                <w:sz w:val="20"/>
                <w:szCs w:val="20"/>
              </w:rPr>
              <w:t>粉尘</w:t>
            </w:r>
          </w:p>
        </w:tc>
        <w:tc>
          <w:tcPr>
            <w:tcW w:w="1241" w:type="dxa"/>
            <w:vAlign w:val="top"/>
          </w:tcPr>
          <w:p w14:paraId="131A1FAC">
            <w:pPr>
              <w:spacing w:before="267" w:line="195"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2.01</w:t>
            </w:r>
          </w:p>
        </w:tc>
        <w:tc>
          <w:tcPr>
            <w:tcW w:w="861" w:type="dxa"/>
            <w:vAlign w:val="top"/>
          </w:tcPr>
          <w:p w14:paraId="124C9239">
            <w:pPr>
              <w:spacing w:before="267" w:line="195"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31.61</w:t>
            </w:r>
          </w:p>
        </w:tc>
        <w:tc>
          <w:tcPr>
            <w:tcW w:w="1176" w:type="dxa"/>
            <w:vAlign w:val="top"/>
          </w:tcPr>
          <w:p w14:paraId="439CA3B3">
            <w:pPr>
              <w:spacing w:before="267" w:line="195" w:lineRule="auto"/>
              <w:ind w:left="4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0.64</w:t>
            </w:r>
          </w:p>
        </w:tc>
        <w:tc>
          <w:tcPr>
            <w:tcW w:w="887" w:type="dxa"/>
            <w:vAlign w:val="top"/>
          </w:tcPr>
          <w:p w14:paraId="5CC38D22">
            <w:pPr>
              <w:spacing w:before="267" w:line="195" w:lineRule="auto"/>
              <w:ind w:left="2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1028" w:type="dxa"/>
            <w:tcBorders>
              <w:right w:val="nil"/>
            </w:tcBorders>
            <w:vAlign w:val="top"/>
          </w:tcPr>
          <w:p w14:paraId="0E773D33">
            <w:pPr>
              <w:spacing w:before="267" w:line="195" w:lineRule="auto"/>
              <w:ind w:left="28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0.001</w:t>
            </w:r>
          </w:p>
        </w:tc>
      </w:tr>
      <w:tr w14:paraId="4FF4D6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381" w:type="dxa"/>
            <w:tcBorders>
              <w:left w:val="nil"/>
            </w:tcBorders>
            <w:vAlign w:val="top"/>
          </w:tcPr>
          <w:p w14:paraId="701E238B">
            <w:pPr>
              <w:rPr>
                <w:rFonts w:ascii="Arial"/>
                <w:sz w:val="21"/>
              </w:rPr>
            </w:pPr>
          </w:p>
        </w:tc>
        <w:tc>
          <w:tcPr>
            <w:tcW w:w="890" w:type="dxa"/>
            <w:vAlign w:val="top"/>
          </w:tcPr>
          <w:p w14:paraId="615085DB">
            <w:pPr>
              <w:rPr>
                <w:rFonts w:ascii="Arial"/>
                <w:sz w:val="21"/>
              </w:rPr>
            </w:pPr>
          </w:p>
        </w:tc>
        <w:tc>
          <w:tcPr>
            <w:tcW w:w="1263" w:type="dxa"/>
            <w:vAlign w:val="top"/>
          </w:tcPr>
          <w:p w14:paraId="1D7AD3E4">
            <w:pPr>
              <w:rPr>
                <w:rFonts w:ascii="Arial"/>
                <w:sz w:val="21"/>
              </w:rPr>
            </w:pPr>
          </w:p>
        </w:tc>
        <w:tc>
          <w:tcPr>
            <w:tcW w:w="850" w:type="dxa"/>
            <w:vAlign w:val="top"/>
          </w:tcPr>
          <w:p w14:paraId="562E2233">
            <w:pPr>
              <w:rPr>
                <w:rFonts w:ascii="Arial"/>
                <w:sz w:val="21"/>
              </w:rPr>
            </w:pPr>
          </w:p>
        </w:tc>
        <w:tc>
          <w:tcPr>
            <w:tcW w:w="1150" w:type="dxa"/>
            <w:vAlign w:val="top"/>
          </w:tcPr>
          <w:p w14:paraId="1FBE6D25">
            <w:pPr>
              <w:rPr>
                <w:rFonts w:ascii="Arial"/>
                <w:sz w:val="21"/>
              </w:rPr>
            </w:pPr>
          </w:p>
        </w:tc>
        <w:tc>
          <w:tcPr>
            <w:tcW w:w="887" w:type="dxa"/>
            <w:vAlign w:val="top"/>
          </w:tcPr>
          <w:p w14:paraId="5FB85477">
            <w:pPr>
              <w:rPr>
                <w:rFonts w:ascii="Arial"/>
                <w:sz w:val="21"/>
              </w:rPr>
            </w:pPr>
          </w:p>
        </w:tc>
        <w:tc>
          <w:tcPr>
            <w:tcW w:w="912" w:type="dxa"/>
            <w:vAlign w:val="top"/>
          </w:tcPr>
          <w:p w14:paraId="78CE2865">
            <w:pPr>
              <w:rPr>
                <w:rFonts w:ascii="Arial"/>
                <w:sz w:val="21"/>
              </w:rPr>
            </w:pPr>
          </w:p>
        </w:tc>
        <w:tc>
          <w:tcPr>
            <w:tcW w:w="524" w:type="dxa"/>
            <w:vAlign w:val="top"/>
          </w:tcPr>
          <w:p w14:paraId="15A51043">
            <w:pPr>
              <w:spacing w:before="112" w:line="195" w:lineRule="auto"/>
              <w:ind w:left="17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13</w:t>
            </w:r>
          </w:p>
        </w:tc>
        <w:tc>
          <w:tcPr>
            <w:tcW w:w="2113" w:type="dxa"/>
            <w:vAlign w:val="top"/>
          </w:tcPr>
          <w:p w14:paraId="5A07B81B">
            <w:pPr>
              <w:pStyle w:val="6"/>
              <w:spacing w:before="74" w:line="220" w:lineRule="auto"/>
              <w:ind w:left="220"/>
              <w:rPr>
                <w:sz w:val="20"/>
                <w:szCs w:val="20"/>
              </w:rPr>
            </w:pPr>
            <w:r>
              <w:rPr>
                <w:spacing w:val="8"/>
                <w:sz w:val="20"/>
                <w:szCs w:val="20"/>
              </w:rPr>
              <w:t>供烘干及发电煤气</w:t>
            </w:r>
          </w:p>
        </w:tc>
        <w:tc>
          <w:tcPr>
            <w:tcW w:w="1241" w:type="dxa"/>
            <w:vAlign w:val="top"/>
          </w:tcPr>
          <w:p w14:paraId="7DF7A8C4">
            <w:pPr>
              <w:spacing w:before="112" w:line="195" w:lineRule="auto"/>
              <w:ind w:left="1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556231.18</w:t>
            </w:r>
          </w:p>
        </w:tc>
        <w:tc>
          <w:tcPr>
            <w:tcW w:w="861" w:type="dxa"/>
            <w:vAlign w:val="top"/>
          </w:tcPr>
          <w:p w14:paraId="330C34AB">
            <w:pPr>
              <w:rPr>
                <w:rFonts w:ascii="Arial"/>
                <w:sz w:val="21"/>
              </w:rPr>
            </w:pPr>
          </w:p>
        </w:tc>
        <w:tc>
          <w:tcPr>
            <w:tcW w:w="1176" w:type="dxa"/>
            <w:vAlign w:val="top"/>
          </w:tcPr>
          <w:p w14:paraId="7FEAE0DC">
            <w:pPr>
              <w:rPr>
                <w:rFonts w:ascii="Arial"/>
                <w:sz w:val="21"/>
              </w:rPr>
            </w:pPr>
          </w:p>
        </w:tc>
        <w:tc>
          <w:tcPr>
            <w:tcW w:w="887" w:type="dxa"/>
            <w:vAlign w:val="top"/>
          </w:tcPr>
          <w:p w14:paraId="6FEF3B9E">
            <w:pPr>
              <w:rPr>
                <w:rFonts w:ascii="Arial"/>
                <w:sz w:val="21"/>
              </w:rPr>
            </w:pPr>
          </w:p>
        </w:tc>
        <w:tc>
          <w:tcPr>
            <w:tcW w:w="1028" w:type="dxa"/>
            <w:tcBorders>
              <w:right w:val="nil"/>
            </w:tcBorders>
            <w:vAlign w:val="top"/>
          </w:tcPr>
          <w:p w14:paraId="060AB366">
            <w:pPr>
              <w:spacing w:before="112" w:line="195" w:lineRule="auto"/>
              <w:ind w:left="28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50.38</w:t>
            </w:r>
          </w:p>
        </w:tc>
      </w:tr>
      <w:tr w14:paraId="04AFB9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381" w:type="dxa"/>
            <w:tcBorders>
              <w:left w:val="nil"/>
              <w:bottom w:val="single" w:color="000000" w:sz="10" w:space="0"/>
            </w:tcBorders>
            <w:vAlign w:val="top"/>
          </w:tcPr>
          <w:p w14:paraId="7422C3F7">
            <w:pPr>
              <w:rPr>
                <w:rFonts w:ascii="Arial"/>
                <w:sz w:val="21"/>
              </w:rPr>
            </w:pPr>
          </w:p>
        </w:tc>
        <w:tc>
          <w:tcPr>
            <w:tcW w:w="890" w:type="dxa"/>
            <w:tcBorders>
              <w:bottom w:val="single" w:color="000000" w:sz="10" w:space="0"/>
            </w:tcBorders>
            <w:vAlign w:val="top"/>
          </w:tcPr>
          <w:p w14:paraId="2056F706">
            <w:pPr>
              <w:pStyle w:val="6"/>
              <w:spacing w:before="77" w:line="229" w:lineRule="auto"/>
              <w:ind w:left="241"/>
              <w:rPr>
                <w:sz w:val="20"/>
                <w:szCs w:val="20"/>
              </w:rPr>
            </w:pPr>
            <w:r>
              <w:rPr>
                <w:spacing w:val="4"/>
                <w:sz w:val="20"/>
                <w:szCs w:val="20"/>
              </w:rPr>
              <w:t>合计</w:t>
            </w:r>
          </w:p>
        </w:tc>
        <w:tc>
          <w:tcPr>
            <w:tcW w:w="1263" w:type="dxa"/>
            <w:tcBorders>
              <w:bottom w:val="single" w:color="000000" w:sz="10" w:space="0"/>
            </w:tcBorders>
            <w:vAlign w:val="top"/>
          </w:tcPr>
          <w:p w14:paraId="0B374215">
            <w:pPr>
              <w:spacing w:before="116" w:line="195" w:lineRule="auto"/>
              <w:ind w:left="15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1313072.28</w:t>
            </w:r>
          </w:p>
        </w:tc>
        <w:tc>
          <w:tcPr>
            <w:tcW w:w="850" w:type="dxa"/>
            <w:tcBorders>
              <w:bottom w:val="single" w:color="000000" w:sz="10" w:space="0"/>
            </w:tcBorders>
            <w:vAlign w:val="top"/>
          </w:tcPr>
          <w:p w14:paraId="774DC8DA">
            <w:pPr>
              <w:rPr>
                <w:rFonts w:ascii="Arial"/>
                <w:sz w:val="21"/>
              </w:rPr>
            </w:pPr>
          </w:p>
        </w:tc>
        <w:tc>
          <w:tcPr>
            <w:tcW w:w="1150" w:type="dxa"/>
            <w:tcBorders>
              <w:bottom w:val="single" w:color="000000" w:sz="10" w:space="0"/>
            </w:tcBorders>
            <w:vAlign w:val="top"/>
          </w:tcPr>
          <w:p w14:paraId="4D716802">
            <w:pPr>
              <w:spacing w:before="116" w:line="195" w:lineRule="auto"/>
              <w:ind w:left="13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328961.91</w:t>
            </w:r>
          </w:p>
        </w:tc>
        <w:tc>
          <w:tcPr>
            <w:tcW w:w="887" w:type="dxa"/>
            <w:tcBorders>
              <w:bottom w:val="single" w:color="000000" w:sz="10" w:space="0"/>
            </w:tcBorders>
            <w:vAlign w:val="top"/>
          </w:tcPr>
          <w:p w14:paraId="3BA129B4">
            <w:pPr>
              <w:rPr>
                <w:rFonts w:ascii="Arial"/>
                <w:sz w:val="21"/>
              </w:rPr>
            </w:pPr>
          </w:p>
        </w:tc>
        <w:tc>
          <w:tcPr>
            <w:tcW w:w="912" w:type="dxa"/>
            <w:tcBorders>
              <w:bottom w:val="single" w:color="000000" w:sz="10" w:space="0"/>
            </w:tcBorders>
            <w:vAlign w:val="top"/>
          </w:tcPr>
          <w:p w14:paraId="3D6D96CB">
            <w:pPr>
              <w:spacing w:before="116"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1780.23</w:t>
            </w:r>
          </w:p>
        </w:tc>
        <w:tc>
          <w:tcPr>
            <w:tcW w:w="524" w:type="dxa"/>
            <w:tcBorders>
              <w:bottom w:val="single" w:color="000000" w:sz="10" w:space="0"/>
            </w:tcBorders>
            <w:vAlign w:val="top"/>
          </w:tcPr>
          <w:p w14:paraId="264C498A">
            <w:pPr>
              <w:rPr>
                <w:rFonts w:ascii="Arial"/>
                <w:sz w:val="21"/>
              </w:rPr>
            </w:pPr>
          </w:p>
        </w:tc>
        <w:tc>
          <w:tcPr>
            <w:tcW w:w="2113" w:type="dxa"/>
            <w:tcBorders>
              <w:bottom w:val="single" w:color="000000" w:sz="10" w:space="0"/>
            </w:tcBorders>
            <w:vAlign w:val="top"/>
          </w:tcPr>
          <w:p w14:paraId="5C68DDC3">
            <w:pPr>
              <w:pStyle w:val="6"/>
              <w:spacing w:before="77" w:line="229" w:lineRule="auto"/>
              <w:ind w:left="852"/>
              <w:rPr>
                <w:sz w:val="20"/>
                <w:szCs w:val="20"/>
              </w:rPr>
            </w:pPr>
            <w:r>
              <w:rPr>
                <w:spacing w:val="4"/>
                <w:sz w:val="20"/>
                <w:szCs w:val="20"/>
              </w:rPr>
              <w:t>合计</w:t>
            </w:r>
          </w:p>
        </w:tc>
        <w:tc>
          <w:tcPr>
            <w:tcW w:w="1241" w:type="dxa"/>
            <w:tcBorders>
              <w:bottom w:val="single" w:color="000000" w:sz="10" w:space="0"/>
            </w:tcBorders>
            <w:vAlign w:val="top"/>
          </w:tcPr>
          <w:p w14:paraId="3242780F">
            <w:pPr>
              <w:spacing w:before="116"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1313072.28</w:t>
            </w:r>
          </w:p>
        </w:tc>
        <w:tc>
          <w:tcPr>
            <w:tcW w:w="861" w:type="dxa"/>
            <w:tcBorders>
              <w:bottom w:val="single" w:color="000000" w:sz="10" w:space="0"/>
            </w:tcBorders>
            <w:vAlign w:val="top"/>
          </w:tcPr>
          <w:p w14:paraId="16F01411">
            <w:pPr>
              <w:rPr>
                <w:rFonts w:ascii="Arial"/>
                <w:sz w:val="21"/>
              </w:rPr>
            </w:pPr>
          </w:p>
        </w:tc>
        <w:tc>
          <w:tcPr>
            <w:tcW w:w="1176" w:type="dxa"/>
            <w:tcBorders>
              <w:bottom w:val="single" w:color="000000" w:sz="10" w:space="0"/>
            </w:tcBorders>
            <w:vAlign w:val="top"/>
          </w:tcPr>
          <w:p w14:paraId="6B77E5B1">
            <w:pPr>
              <w:spacing w:before="116"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328961.91</w:t>
            </w:r>
          </w:p>
        </w:tc>
        <w:tc>
          <w:tcPr>
            <w:tcW w:w="887" w:type="dxa"/>
            <w:tcBorders>
              <w:bottom w:val="single" w:color="000000" w:sz="10" w:space="0"/>
            </w:tcBorders>
            <w:vAlign w:val="top"/>
          </w:tcPr>
          <w:p w14:paraId="3000D946">
            <w:pPr>
              <w:rPr>
                <w:rFonts w:ascii="Arial"/>
                <w:sz w:val="21"/>
              </w:rPr>
            </w:pPr>
          </w:p>
        </w:tc>
        <w:tc>
          <w:tcPr>
            <w:tcW w:w="1028" w:type="dxa"/>
            <w:tcBorders>
              <w:bottom w:val="single" w:color="000000" w:sz="10" w:space="0"/>
              <w:right w:val="nil"/>
            </w:tcBorders>
            <w:vAlign w:val="top"/>
          </w:tcPr>
          <w:p w14:paraId="4F708C37">
            <w:pPr>
              <w:spacing w:before="116" w:line="195" w:lineRule="auto"/>
              <w:ind w:left="19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1780.23</w:t>
            </w:r>
          </w:p>
        </w:tc>
      </w:tr>
    </w:tbl>
    <w:p w14:paraId="02145B20">
      <w:pPr>
        <w:pStyle w:val="2"/>
      </w:pPr>
    </w:p>
    <w:p w14:paraId="0DB9B71B">
      <w:pPr>
        <w:sectPr>
          <w:footerReference r:id="rId153" w:type="default"/>
          <w:pgSz w:w="16781" w:h="11850"/>
          <w:pgMar w:top="1178" w:right="1309" w:bottom="1010" w:left="1309" w:header="870" w:footer="850" w:gutter="0"/>
          <w:cols w:space="720" w:num="1"/>
        </w:sectPr>
      </w:pPr>
    </w:p>
    <w:p w14:paraId="3D9EFC5E">
      <w:pPr>
        <w:pStyle w:val="2"/>
        <w:spacing w:line="385" w:lineRule="auto"/>
      </w:pPr>
      <w:r>
        <w:pict>
          <v:shape id="_x0000_s1193" o:spid="_x0000_s1193" style="position:absolute;left:0pt;margin-left:0pt;margin-top:0.7pt;height:0.75pt;width:450.75pt;z-index:251851776;mso-width-relative:page;mso-height-relative:page;" fillcolor="#000000" filled="t" stroked="f" coordsize="9015,15" path="m0,0l9014,0,9014,14,0,14,0,0xe">
            <v:path/>
            <v:fill on="t" focussize="0,0"/>
            <v:stroke on="f"/>
            <v:imagedata o:title=""/>
            <o:lock v:ext="edit"/>
          </v:shape>
        </w:pict>
      </w:r>
    </w:p>
    <w:p w14:paraId="6CE22149">
      <w:pPr>
        <w:spacing w:line="6394" w:lineRule="exact"/>
        <w:ind w:firstLine="712"/>
      </w:pPr>
      <w:r>
        <w:rPr>
          <w:position w:val="-127"/>
        </w:rPr>
        <w:drawing>
          <wp:inline distT="0" distB="0" distL="0" distR="0">
            <wp:extent cx="4795520" cy="4060190"/>
            <wp:effectExtent l="0" t="0" r="0" b="0"/>
            <wp:docPr id="38" name="IM 38"/>
            <wp:cNvGraphicFramePr/>
            <a:graphic xmlns:a="http://schemas.openxmlformats.org/drawingml/2006/main">
              <a:graphicData uri="http://schemas.openxmlformats.org/drawingml/2006/picture">
                <pic:pic xmlns:pic="http://schemas.openxmlformats.org/drawingml/2006/picture">
                  <pic:nvPicPr>
                    <pic:cNvPr id="38" name="IM 38"/>
                    <pic:cNvPicPr/>
                  </pic:nvPicPr>
                  <pic:blipFill>
                    <a:blip r:embed="rId597"/>
                    <a:stretch>
                      <a:fillRect/>
                    </a:stretch>
                  </pic:blipFill>
                  <pic:spPr>
                    <a:xfrm>
                      <a:off x="0" y="0"/>
                      <a:ext cx="4795977" cy="4060545"/>
                    </a:xfrm>
                    <a:prstGeom prst="rect">
                      <a:avLst/>
                    </a:prstGeom>
                  </pic:spPr>
                </pic:pic>
              </a:graphicData>
            </a:graphic>
          </wp:inline>
        </w:drawing>
      </w:r>
    </w:p>
    <w:p w14:paraId="217D643E">
      <w:pPr>
        <w:spacing w:before="255" w:line="227" w:lineRule="auto"/>
        <w:ind w:left="2415"/>
        <w:rPr>
          <w:rFonts w:ascii="宋体" w:hAnsi="宋体" w:eastAsia="宋体" w:cs="宋体"/>
          <w:sz w:val="20"/>
          <w:szCs w:val="20"/>
        </w:rPr>
      </w:pPr>
      <w:r>
        <w:rPr>
          <w:rFonts w:ascii="宋体" w:hAnsi="宋体" w:eastAsia="宋体" w:cs="宋体"/>
          <w:b/>
          <w:bCs/>
          <w:spacing w:val="6"/>
          <w:sz w:val="20"/>
          <w:szCs w:val="20"/>
        </w:rPr>
        <w:t>图</w:t>
      </w:r>
      <w:r>
        <w:rPr>
          <w:rFonts w:ascii="宋体" w:hAnsi="宋体" w:eastAsia="宋体" w:cs="宋体"/>
          <w:spacing w:val="-18"/>
          <w:sz w:val="20"/>
          <w:szCs w:val="20"/>
        </w:rPr>
        <w:t xml:space="preserve"> </w:t>
      </w:r>
      <w:r>
        <w:rPr>
          <w:rFonts w:ascii="Times New Roman" w:hAnsi="Times New Roman" w:eastAsia="Times New Roman" w:cs="Times New Roman"/>
          <w:b/>
          <w:bCs/>
          <w:spacing w:val="6"/>
          <w:sz w:val="20"/>
          <w:szCs w:val="20"/>
        </w:rPr>
        <w:t xml:space="preserve">2.3-1        </w:t>
      </w:r>
      <w:r>
        <w:rPr>
          <w:rFonts w:ascii="宋体" w:hAnsi="宋体" w:eastAsia="宋体" w:cs="宋体"/>
          <w:b/>
          <w:bCs/>
          <w:spacing w:val="6"/>
          <w:sz w:val="20"/>
          <w:szCs w:val="20"/>
        </w:rPr>
        <w:t>焦炭烘干物料平衡图（单位</w:t>
      </w:r>
      <w:r>
        <w:rPr>
          <w:rFonts w:ascii="宋体" w:hAnsi="宋体" w:eastAsia="宋体" w:cs="宋体"/>
          <w:spacing w:val="-39"/>
          <w:sz w:val="20"/>
          <w:szCs w:val="20"/>
        </w:rPr>
        <w:t xml:space="preserve"> </w:t>
      </w:r>
      <w:r>
        <w:rPr>
          <w:rFonts w:ascii="Times New Roman" w:hAnsi="Times New Roman" w:eastAsia="Times New Roman" w:cs="Times New Roman"/>
          <w:b/>
          <w:bCs/>
          <w:spacing w:val="6"/>
          <w:sz w:val="20"/>
          <w:szCs w:val="20"/>
        </w:rPr>
        <w:t>t/a</w:t>
      </w:r>
      <w:r>
        <w:rPr>
          <w:rFonts w:ascii="宋体" w:hAnsi="宋体" w:eastAsia="宋体" w:cs="宋体"/>
          <w:b/>
          <w:bCs/>
          <w:spacing w:val="6"/>
          <w:sz w:val="20"/>
          <w:szCs w:val="20"/>
        </w:rPr>
        <w:t>）</w:t>
      </w:r>
    </w:p>
    <w:p w14:paraId="27FBFA39">
      <w:pPr>
        <w:spacing w:before="193" w:line="6205" w:lineRule="exact"/>
        <w:ind w:firstLine="1090"/>
      </w:pPr>
      <w:r>
        <w:rPr>
          <w:position w:val="-124"/>
        </w:rPr>
        <w:drawing>
          <wp:inline distT="0" distB="0" distL="0" distR="0">
            <wp:extent cx="4377055" cy="3939540"/>
            <wp:effectExtent l="0" t="0" r="0" b="0"/>
            <wp:docPr id="40" name="IM 40"/>
            <wp:cNvGraphicFramePr/>
            <a:graphic xmlns:a="http://schemas.openxmlformats.org/drawingml/2006/main">
              <a:graphicData uri="http://schemas.openxmlformats.org/drawingml/2006/picture">
                <pic:pic xmlns:pic="http://schemas.openxmlformats.org/drawingml/2006/picture">
                  <pic:nvPicPr>
                    <pic:cNvPr id="40" name="IM 40"/>
                    <pic:cNvPicPr/>
                  </pic:nvPicPr>
                  <pic:blipFill>
                    <a:blip r:embed="rId598"/>
                    <a:stretch>
                      <a:fillRect/>
                    </a:stretch>
                  </pic:blipFill>
                  <pic:spPr>
                    <a:xfrm>
                      <a:off x="0" y="0"/>
                      <a:ext cx="4377366" cy="3940109"/>
                    </a:xfrm>
                    <a:prstGeom prst="rect">
                      <a:avLst/>
                    </a:prstGeom>
                  </pic:spPr>
                </pic:pic>
              </a:graphicData>
            </a:graphic>
          </wp:inline>
        </w:drawing>
      </w:r>
    </w:p>
    <w:p w14:paraId="5C73732A">
      <w:pPr>
        <w:spacing w:before="193" w:line="227" w:lineRule="auto"/>
        <w:ind w:left="2360"/>
        <w:rPr>
          <w:rFonts w:ascii="宋体" w:hAnsi="宋体" w:eastAsia="宋体" w:cs="宋体"/>
          <w:sz w:val="20"/>
          <w:szCs w:val="20"/>
        </w:rPr>
      </w:pPr>
      <w:r>
        <w:rPr>
          <w:rFonts w:ascii="宋体" w:hAnsi="宋体" w:eastAsia="宋体" w:cs="宋体"/>
          <w:b/>
          <w:bCs/>
          <w:spacing w:val="7"/>
          <w:sz w:val="20"/>
          <w:szCs w:val="20"/>
        </w:rPr>
        <w:t>图</w:t>
      </w:r>
      <w:r>
        <w:rPr>
          <w:rFonts w:ascii="Times New Roman" w:hAnsi="Times New Roman" w:eastAsia="Times New Roman" w:cs="Times New Roman"/>
          <w:b/>
          <w:bCs/>
          <w:spacing w:val="7"/>
          <w:sz w:val="20"/>
          <w:szCs w:val="20"/>
        </w:rPr>
        <w:t xml:space="preserve">2.3-2        </w:t>
      </w:r>
      <w:r>
        <w:rPr>
          <w:rFonts w:ascii="宋体" w:hAnsi="宋体" w:eastAsia="宋体" w:cs="宋体"/>
          <w:b/>
          <w:bCs/>
          <w:spacing w:val="7"/>
          <w:sz w:val="20"/>
          <w:szCs w:val="20"/>
        </w:rPr>
        <w:t>锰矿石烘干物料平衡图（单位</w:t>
      </w:r>
      <w:r>
        <w:rPr>
          <w:rFonts w:ascii="Times New Roman" w:hAnsi="Times New Roman" w:eastAsia="Times New Roman" w:cs="Times New Roman"/>
          <w:b/>
          <w:bCs/>
          <w:spacing w:val="7"/>
          <w:sz w:val="20"/>
          <w:szCs w:val="20"/>
        </w:rPr>
        <w:t>t/a</w:t>
      </w:r>
      <w:r>
        <w:rPr>
          <w:rFonts w:ascii="宋体" w:hAnsi="宋体" w:eastAsia="宋体" w:cs="宋体"/>
          <w:b/>
          <w:bCs/>
          <w:spacing w:val="7"/>
          <w:sz w:val="20"/>
          <w:szCs w:val="20"/>
        </w:rPr>
        <w:t>）</w:t>
      </w:r>
    </w:p>
    <w:p w14:paraId="674EEACA">
      <w:pPr>
        <w:spacing w:line="227" w:lineRule="auto"/>
        <w:rPr>
          <w:rFonts w:ascii="宋体" w:hAnsi="宋体" w:eastAsia="宋体" w:cs="宋体"/>
          <w:sz w:val="20"/>
          <w:szCs w:val="20"/>
        </w:rPr>
        <w:sectPr>
          <w:headerReference r:id="rId154" w:type="default"/>
          <w:footerReference r:id="rId155" w:type="default"/>
          <w:pgSz w:w="11850" w:h="16781"/>
          <w:pgMar w:top="1190" w:right="1417" w:bottom="1013" w:left="1417" w:header="882" w:footer="850" w:gutter="0"/>
          <w:cols w:space="720" w:num="1"/>
        </w:sectPr>
      </w:pPr>
    </w:p>
    <w:p w14:paraId="4EFF7145">
      <w:pPr>
        <w:pStyle w:val="2"/>
        <w:spacing w:line="325" w:lineRule="auto"/>
      </w:pPr>
      <w:r>
        <w:pict>
          <v:shape id="_x0000_s1194" o:spid="_x0000_s1194" style="position:absolute;left:0pt;margin-left:0pt;margin-top:0.7pt;height:0.75pt;width:450.75pt;z-index:251852800;mso-width-relative:page;mso-height-relative:page;" fillcolor="#000000" filled="t" stroked="f" coordsize="9015,15" path="m0,0l9014,0,9014,14,0,14,0,0xe">
            <v:path/>
            <v:fill on="t" focussize="0,0"/>
            <v:stroke on="f"/>
            <v:imagedata o:title=""/>
            <o:lock v:ext="edit"/>
          </v:shape>
        </w:pict>
      </w:r>
    </w:p>
    <w:p w14:paraId="2AFF76D9">
      <w:pPr>
        <w:spacing w:line="8682" w:lineRule="exact"/>
        <w:ind w:firstLine="125"/>
      </w:pPr>
      <w:r>
        <w:rPr>
          <w:position w:val="-173"/>
        </w:rPr>
        <w:drawing>
          <wp:inline distT="0" distB="0" distL="0" distR="0">
            <wp:extent cx="5603875" cy="5512435"/>
            <wp:effectExtent l="0" t="0" r="0" b="0"/>
            <wp:docPr id="42" name="IM 42"/>
            <wp:cNvGraphicFramePr/>
            <a:graphic xmlns:a="http://schemas.openxmlformats.org/drawingml/2006/main">
              <a:graphicData uri="http://schemas.openxmlformats.org/drawingml/2006/picture">
                <pic:pic xmlns:pic="http://schemas.openxmlformats.org/drawingml/2006/picture">
                  <pic:nvPicPr>
                    <pic:cNvPr id="42" name="IM 42"/>
                    <pic:cNvPicPr/>
                  </pic:nvPicPr>
                  <pic:blipFill>
                    <a:blip r:embed="rId599"/>
                    <a:stretch>
                      <a:fillRect/>
                    </a:stretch>
                  </pic:blipFill>
                  <pic:spPr>
                    <a:xfrm>
                      <a:off x="0" y="0"/>
                      <a:ext cx="5603940" cy="5512949"/>
                    </a:xfrm>
                    <a:prstGeom prst="rect">
                      <a:avLst/>
                    </a:prstGeom>
                  </pic:spPr>
                </pic:pic>
              </a:graphicData>
            </a:graphic>
          </wp:inline>
        </w:drawing>
      </w:r>
    </w:p>
    <w:p w14:paraId="04ADC08F">
      <w:pPr>
        <w:spacing w:before="252" w:line="228" w:lineRule="auto"/>
        <w:ind w:left="2252"/>
        <w:rPr>
          <w:rFonts w:ascii="宋体" w:hAnsi="宋体" w:eastAsia="宋体" w:cs="宋体"/>
          <w:sz w:val="20"/>
          <w:szCs w:val="20"/>
        </w:rPr>
      </w:pPr>
      <w:r>
        <w:rPr>
          <w:rFonts w:ascii="宋体" w:hAnsi="宋体" w:eastAsia="宋体" w:cs="宋体"/>
          <w:b/>
          <w:bCs/>
          <w:spacing w:val="8"/>
          <w:sz w:val="20"/>
          <w:szCs w:val="20"/>
        </w:rPr>
        <w:t>图</w:t>
      </w:r>
      <w:r>
        <w:rPr>
          <w:rFonts w:ascii="Times New Roman" w:hAnsi="Times New Roman" w:eastAsia="Times New Roman" w:cs="Times New Roman"/>
          <w:b/>
          <w:bCs/>
          <w:spacing w:val="8"/>
          <w:sz w:val="20"/>
          <w:szCs w:val="20"/>
        </w:rPr>
        <w:t xml:space="preserve">2.3-3        </w:t>
      </w:r>
      <w:r>
        <w:rPr>
          <w:rFonts w:ascii="宋体" w:hAnsi="宋体" w:eastAsia="宋体" w:cs="宋体"/>
          <w:b/>
          <w:bCs/>
          <w:spacing w:val="8"/>
          <w:sz w:val="20"/>
          <w:szCs w:val="20"/>
        </w:rPr>
        <w:t>锰硅合金生产物</w:t>
      </w:r>
      <w:r>
        <w:rPr>
          <w:rFonts w:ascii="宋体" w:hAnsi="宋体" w:eastAsia="宋体" w:cs="宋体"/>
          <w:b/>
          <w:bCs/>
          <w:spacing w:val="7"/>
          <w:sz w:val="20"/>
          <w:szCs w:val="20"/>
        </w:rPr>
        <w:t>料平衡图（单位</w:t>
      </w:r>
      <w:r>
        <w:rPr>
          <w:rFonts w:ascii="Times New Roman" w:hAnsi="Times New Roman" w:eastAsia="Times New Roman" w:cs="Times New Roman"/>
          <w:b/>
          <w:bCs/>
          <w:spacing w:val="7"/>
          <w:sz w:val="20"/>
          <w:szCs w:val="20"/>
        </w:rPr>
        <w:t>t/a</w:t>
      </w:r>
      <w:r>
        <w:rPr>
          <w:rFonts w:ascii="宋体" w:hAnsi="宋体" w:eastAsia="宋体" w:cs="宋体"/>
          <w:b/>
          <w:bCs/>
          <w:spacing w:val="7"/>
          <w:sz w:val="20"/>
          <w:szCs w:val="20"/>
        </w:rPr>
        <w:t>）</w:t>
      </w:r>
    </w:p>
    <w:p w14:paraId="5A50356F">
      <w:pPr>
        <w:spacing w:line="228" w:lineRule="auto"/>
        <w:rPr>
          <w:rFonts w:ascii="宋体" w:hAnsi="宋体" w:eastAsia="宋体" w:cs="宋体"/>
          <w:sz w:val="20"/>
          <w:szCs w:val="20"/>
        </w:rPr>
        <w:sectPr>
          <w:footerReference r:id="rId156" w:type="default"/>
          <w:pgSz w:w="11850" w:h="16781"/>
          <w:pgMar w:top="1190" w:right="1417" w:bottom="1013" w:left="1417" w:header="882" w:footer="850" w:gutter="0"/>
          <w:cols w:space="720" w:num="1"/>
        </w:sectPr>
      </w:pPr>
    </w:p>
    <w:p w14:paraId="11D17F4D">
      <w:pPr>
        <w:pStyle w:val="2"/>
        <w:spacing w:line="264" w:lineRule="auto"/>
      </w:pPr>
      <w:r>
        <w:pict>
          <v:shape id="_x0000_s1195" o:spid="_x0000_s1195" style="position:absolute;left:0pt;margin-left:5.35pt;margin-top:0.7pt;height:0.75pt;width:450.75pt;z-index:251853824;mso-width-relative:page;mso-height-relative:page;" fillcolor="#000000" filled="t" stroked="f" coordsize="9015,15" path="m0,0l9014,0,9014,14,0,14,0,0xe">
            <v:path/>
            <v:fill on="t" focussize="0,0"/>
            <v:stroke on="f"/>
            <v:imagedata o:title=""/>
            <o:lock v:ext="edit"/>
          </v:shape>
        </w:pict>
      </w:r>
    </w:p>
    <w:p w14:paraId="38A72662">
      <w:pPr>
        <w:spacing w:before="78" w:line="220" w:lineRule="auto"/>
        <w:ind w:left="111"/>
        <w:outlineLvl w:val="3"/>
        <w:rPr>
          <w:rFonts w:ascii="宋体" w:hAnsi="宋体" w:eastAsia="宋体" w:cs="宋体"/>
          <w:sz w:val="24"/>
          <w:szCs w:val="24"/>
        </w:rPr>
      </w:pPr>
      <w:r>
        <w:fldChar w:fldCharType="begin"/>
      </w:r>
      <w:r>
        <w:instrText xml:space="preserve"> HYPERLINK "2.3.2.3" </w:instrText>
      </w:r>
      <w:r>
        <w:fldChar w:fldCharType="separate"/>
      </w:r>
      <w:r>
        <w:rPr>
          <w:rFonts w:ascii="Times New Roman" w:hAnsi="Times New Roman" w:eastAsia="Times New Roman" w:cs="Times New Roman"/>
          <w:b/>
          <w:bCs/>
          <w:spacing w:val="-2"/>
          <w:sz w:val="24"/>
          <w:szCs w:val="24"/>
        </w:rPr>
        <w:t>2.3.2.3</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煤气平衡分析</w:t>
      </w:r>
    </w:p>
    <w:p w14:paraId="368C0457">
      <w:pPr>
        <w:spacing w:before="189" w:line="362" w:lineRule="auto"/>
        <w:ind w:left="115" w:right="106" w:firstLine="480"/>
        <w:rPr>
          <w:rFonts w:ascii="宋体" w:hAnsi="宋体" w:eastAsia="宋体" w:cs="宋体"/>
          <w:sz w:val="24"/>
          <w:szCs w:val="24"/>
        </w:rPr>
      </w:pPr>
      <w:r>
        <w:rPr>
          <w:rFonts w:ascii="宋体" w:hAnsi="宋体" w:eastAsia="宋体" w:cs="宋体"/>
          <w:spacing w:val="-5"/>
          <w:sz w:val="24"/>
          <w:szCs w:val="24"/>
        </w:rPr>
        <w:t>根据《铁合金生产实用技术手册》，全密闭锰硅矿热炉粗煤气产生量为～</w:t>
      </w:r>
      <w:r>
        <w:rPr>
          <w:rFonts w:ascii="Times New Roman" w:hAnsi="Times New Roman" w:eastAsia="Times New Roman" w:cs="Times New Roman"/>
          <w:spacing w:val="-5"/>
          <w:sz w:val="24"/>
          <w:szCs w:val="24"/>
        </w:rPr>
        <w:t>1200Nm</w:t>
      </w:r>
      <w:r>
        <w:rPr>
          <w:rFonts w:ascii="Times New Roman" w:hAnsi="Times New Roman" w:eastAsia="Times New Roman" w:cs="Times New Roman"/>
          <w:spacing w:val="-5"/>
          <w:position w:val="8"/>
          <w:sz w:val="15"/>
          <w:szCs w:val="15"/>
        </w:rPr>
        <w:t>3</w:t>
      </w:r>
      <w:r>
        <w:rPr>
          <w:rFonts w:ascii="Times New Roman" w:hAnsi="Times New Roman" w:eastAsia="Times New Roman" w:cs="Times New Roman"/>
          <w:spacing w:val="-5"/>
          <w:sz w:val="24"/>
          <w:szCs w:val="24"/>
        </w:rPr>
        <w:t>/t</w:t>
      </w:r>
      <w:r>
        <w:rPr>
          <w:rFonts w:ascii="Times New Roman" w:hAnsi="Times New Roman" w:eastAsia="Times New Roman" w:cs="Times New Roman"/>
          <w:spacing w:val="2"/>
          <w:sz w:val="24"/>
          <w:szCs w:val="24"/>
        </w:rPr>
        <w:t xml:space="preserve"> </w:t>
      </w:r>
      <w:r>
        <w:rPr>
          <w:rFonts w:ascii="宋体" w:hAnsi="宋体" w:eastAsia="宋体" w:cs="宋体"/>
          <w:spacing w:val="-1"/>
          <w:sz w:val="24"/>
          <w:szCs w:val="24"/>
        </w:rPr>
        <w:t>产品，本项目年生产锰硅合金产品</w:t>
      </w:r>
      <w:r>
        <w:rPr>
          <w:rFonts w:ascii="宋体" w:hAnsi="宋体" w:eastAsia="宋体" w:cs="宋体"/>
          <w:spacing w:val="-37"/>
          <w:sz w:val="24"/>
          <w:szCs w:val="24"/>
        </w:rPr>
        <w:t xml:space="preserve"> </w:t>
      </w:r>
      <w:r>
        <w:rPr>
          <w:rFonts w:ascii="Times New Roman" w:hAnsi="Times New Roman" w:eastAsia="Times New Roman" w:cs="Times New Roman"/>
          <w:spacing w:val="-1"/>
          <w:sz w:val="24"/>
          <w:szCs w:val="24"/>
        </w:rPr>
        <w:t>45</w:t>
      </w:r>
      <w:r>
        <w:rPr>
          <w:rFonts w:ascii="Times New Roman" w:hAnsi="Times New Roman" w:eastAsia="Times New Roman" w:cs="Times New Roman"/>
          <w:spacing w:val="17"/>
          <w:w w:val="101"/>
          <w:sz w:val="24"/>
          <w:szCs w:val="24"/>
        </w:rPr>
        <w:t xml:space="preserve"> </w:t>
      </w:r>
      <w:r>
        <w:rPr>
          <w:rFonts w:ascii="宋体" w:hAnsi="宋体" w:eastAsia="宋体" w:cs="宋体"/>
          <w:spacing w:val="-1"/>
          <w:sz w:val="24"/>
          <w:szCs w:val="24"/>
        </w:rPr>
        <w:t>万吨，可回收的净化煤气量为</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54000</w:t>
      </w:r>
      <w:r>
        <w:rPr>
          <w:rFonts w:ascii="Times New Roman" w:hAnsi="Times New Roman" w:eastAsia="Times New Roman" w:cs="Times New Roman"/>
          <w:spacing w:val="15"/>
          <w:sz w:val="24"/>
          <w:szCs w:val="24"/>
        </w:rPr>
        <w:t xml:space="preserve"> </w:t>
      </w:r>
      <w:r>
        <w:rPr>
          <w:rFonts w:ascii="宋体" w:hAnsi="宋体" w:eastAsia="宋体" w:cs="宋体"/>
          <w:spacing w:val="-1"/>
          <w:sz w:val="24"/>
          <w:szCs w:val="24"/>
        </w:rPr>
        <w:t>万</w:t>
      </w:r>
      <w:r>
        <w:rPr>
          <w:rFonts w:ascii="宋体" w:hAnsi="宋体" w:eastAsia="宋体" w:cs="宋体"/>
          <w:spacing w:val="-61"/>
          <w:sz w:val="24"/>
          <w:szCs w:val="24"/>
        </w:rPr>
        <w:t xml:space="preserve"> </w:t>
      </w:r>
      <w:r>
        <w:rPr>
          <w:rFonts w:ascii="Times New Roman" w:hAnsi="Times New Roman" w:eastAsia="Times New Roman" w:cs="Times New Roman"/>
          <w:spacing w:val="-1"/>
          <w:sz w:val="24"/>
          <w:szCs w:val="24"/>
        </w:rPr>
        <w:t>Nm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w:t>
      </w:r>
      <w:r>
        <w:rPr>
          <w:rFonts w:ascii="宋体" w:hAnsi="宋体" w:eastAsia="宋体" w:cs="宋体"/>
          <w:sz w:val="24"/>
          <w:szCs w:val="24"/>
        </w:rPr>
        <w:t xml:space="preserve"> </w:t>
      </w:r>
      <w:r>
        <w:rPr>
          <w:rFonts w:ascii="宋体" w:hAnsi="宋体" w:eastAsia="宋体" w:cs="宋体"/>
          <w:spacing w:val="-3"/>
          <w:sz w:val="24"/>
          <w:szCs w:val="24"/>
        </w:rPr>
        <w:t>净化后去本项目烘干机、烧结机及煤气发电装置综合利用。本项目电炉粗煤气经干法净</w:t>
      </w:r>
      <w:r>
        <w:rPr>
          <w:rFonts w:ascii="宋体" w:hAnsi="宋体" w:eastAsia="宋体" w:cs="宋体"/>
          <w:sz w:val="24"/>
          <w:szCs w:val="24"/>
        </w:rPr>
        <w:t xml:space="preserve"> </w:t>
      </w:r>
      <w:r>
        <w:rPr>
          <w:rFonts w:ascii="宋体" w:hAnsi="宋体" w:eastAsia="宋体" w:cs="宋体"/>
          <w:spacing w:val="3"/>
          <w:sz w:val="24"/>
          <w:szCs w:val="24"/>
        </w:rPr>
        <w:t>化装置净化后煤气中颗粒物浓度</w:t>
      </w:r>
      <w:r>
        <w:rPr>
          <w:rFonts w:ascii="Times New Roman" w:hAnsi="Times New Roman" w:eastAsia="Times New Roman" w:cs="Times New Roman"/>
          <w:spacing w:val="3"/>
          <w:sz w:val="24"/>
          <w:szCs w:val="24"/>
        </w:rPr>
        <w:t>≤30</w:t>
      </w:r>
      <w:r>
        <w:rPr>
          <w:rFonts w:ascii="Times New Roman" w:hAnsi="Times New Roman" w:eastAsia="Times New Roman" w:cs="Times New Roman"/>
          <w:sz w:val="24"/>
          <w:szCs w:val="24"/>
        </w:rPr>
        <w:t>mg</w:t>
      </w:r>
      <w:r>
        <w:rPr>
          <w:rFonts w:ascii="Times New Roman" w:hAnsi="Times New Roman" w:eastAsia="Times New Roman" w:cs="Times New Roman"/>
          <w:spacing w:val="3"/>
          <w:sz w:val="24"/>
          <w:szCs w:val="24"/>
        </w:rPr>
        <w:t>/</w:t>
      </w:r>
      <w:r>
        <w:rPr>
          <w:rFonts w:ascii="Times New Roman" w:hAnsi="Times New Roman" w:eastAsia="Times New Roman" w:cs="Times New Roman"/>
          <w:sz w:val="24"/>
          <w:szCs w:val="24"/>
        </w:rPr>
        <w:t>Nm</w:t>
      </w:r>
      <w:r>
        <w:rPr>
          <w:rFonts w:ascii="Times New Roman" w:hAnsi="Times New Roman" w:eastAsia="Times New Roman" w:cs="Times New Roman"/>
          <w:spacing w:val="3"/>
          <w:position w:val="7"/>
          <w:sz w:val="15"/>
          <w:szCs w:val="15"/>
        </w:rPr>
        <w:t xml:space="preserve">3 </w:t>
      </w:r>
      <w:r>
        <w:rPr>
          <w:rFonts w:ascii="宋体" w:hAnsi="宋体" w:eastAsia="宋体" w:cs="宋体"/>
          <w:spacing w:val="3"/>
          <w:sz w:val="24"/>
          <w:szCs w:val="24"/>
        </w:rPr>
        <w:t>，锰硅电煤气在煤气柜</w:t>
      </w:r>
      <w:r>
        <w:rPr>
          <w:rFonts w:ascii="宋体" w:hAnsi="宋体" w:eastAsia="宋体" w:cs="宋体"/>
          <w:spacing w:val="2"/>
          <w:sz w:val="24"/>
          <w:szCs w:val="24"/>
        </w:rPr>
        <w:t>前进一步进行处理</w:t>
      </w:r>
      <w:r>
        <w:rPr>
          <w:rFonts w:ascii="宋体" w:hAnsi="宋体" w:eastAsia="宋体" w:cs="宋体"/>
          <w:sz w:val="24"/>
          <w:szCs w:val="24"/>
        </w:rPr>
        <w:t xml:space="preserve"> </w:t>
      </w:r>
      <w:r>
        <w:rPr>
          <w:rFonts w:ascii="宋体" w:hAnsi="宋体" w:eastAsia="宋体" w:cs="宋体"/>
          <w:spacing w:val="-6"/>
          <w:sz w:val="24"/>
          <w:szCs w:val="24"/>
        </w:rPr>
        <w:t>（二级风冷却器</w:t>
      </w:r>
      <w:r>
        <w:rPr>
          <w:rFonts w:ascii="Times New Roman" w:hAnsi="Times New Roman" w:eastAsia="Times New Roman" w:cs="Times New Roman"/>
          <w:spacing w:val="-6"/>
          <w:sz w:val="24"/>
          <w:szCs w:val="24"/>
        </w:rPr>
        <w:t>+</w:t>
      </w:r>
      <w:r>
        <w:rPr>
          <w:rFonts w:ascii="Times New Roman" w:hAnsi="Times New Roman" w:eastAsia="Times New Roman" w:cs="Times New Roman"/>
          <w:spacing w:val="-19"/>
          <w:sz w:val="24"/>
          <w:szCs w:val="24"/>
        </w:rPr>
        <w:t xml:space="preserve"> </w:t>
      </w:r>
      <w:r>
        <w:rPr>
          <w:rFonts w:ascii="宋体" w:hAnsi="宋体" w:eastAsia="宋体" w:cs="宋体"/>
          <w:spacing w:val="-6"/>
          <w:sz w:val="24"/>
          <w:szCs w:val="24"/>
        </w:rPr>
        <w:t>电捕焦油器，降温，脱除焦油、颗粒物</w:t>
      </w:r>
      <w:r>
        <w:rPr>
          <w:rFonts w:ascii="宋体" w:hAnsi="宋体" w:eastAsia="宋体" w:cs="宋体"/>
          <w:spacing w:val="-34"/>
          <w:sz w:val="24"/>
          <w:szCs w:val="24"/>
        </w:rPr>
        <w:t>），</w:t>
      </w:r>
      <w:r>
        <w:rPr>
          <w:rFonts w:ascii="宋体" w:hAnsi="宋体" w:eastAsia="宋体" w:cs="宋体"/>
          <w:spacing w:val="-6"/>
          <w:sz w:val="24"/>
          <w:szCs w:val="24"/>
        </w:rPr>
        <w:t>煤气柜后设有精过滤器（脱</w:t>
      </w:r>
      <w:r>
        <w:rPr>
          <w:rFonts w:ascii="宋体" w:hAnsi="宋体" w:eastAsia="宋体" w:cs="宋体"/>
          <w:sz w:val="24"/>
          <w:szCs w:val="24"/>
        </w:rPr>
        <w:t xml:space="preserve"> </w:t>
      </w:r>
      <w:r>
        <w:rPr>
          <w:rFonts w:ascii="宋体" w:hAnsi="宋体" w:eastAsia="宋体" w:cs="宋体"/>
          <w:spacing w:val="-2"/>
          <w:sz w:val="24"/>
          <w:szCs w:val="24"/>
        </w:rPr>
        <w:t>除焦油、颗粒物）。</w:t>
      </w:r>
    </w:p>
    <w:p w14:paraId="3278295E">
      <w:pPr>
        <w:spacing w:before="42" w:line="352" w:lineRule="auto"/>
        <w:ind w:left="116" w:right="106" w:firstLine="479"/>
        <w:rPr>
          <w:rFonts w:ascii="宋体" w:hAnsi="宋体" w:eastAsia="宋体" w:cs="宋体"/>
          <w:sz w:val="24"/>
          <w:szCs w:val="24"/>
        </w:rPr>
      </w:pPr>
      <w:r>
        <w:rPr>
          <w:rFonts w:ascii="宋体" w:hAnsi="宋体" w:eastAsia="宋体" w:cs="宋体"/>
          <w:spacing w:val="-3"/>
          <w:sz w:val="24"/>
          <w:szCs w:val="24"/>
        </w:rPr>
        <w:t>根据建设单位提供的设计数据，同时参考同类工程，煤气柜后精密过</w:t>
      </w:r>
      <w:r>
        <w:rPr>
          <w:rFonts w:ascii="宋体" w:hAnsi="宋体" w:eastAsia="宋体" w:cs="宋体"/>
          <w:spacing w:val="-4"/>
          <w:sz w:val="24"/>
          <w:szCs w:val="24"/>
        </w:rPr>
        <w:t>滤器过滤后煤</w:t>
      </w:r>
      <w:r>
        <w:rPr>
          <w:rFonts w:ascii="宋体" w:hAnsi="宋体" w:eastAsia="宋体" w:cs="宋体"/>
          <w:sz w:val="24"/>
          <w:szCs w:val="24"/>
        </w:rPr>
        <w:t xml:space="preserve"> </w:t>
      </w:r>
      <w:r>
        <w:rPr>
          <w:rFonts w:ascii="宋体" w:hAnsi="宋体" w:eastAsia="宋体" w:cs="宋体"/>
          <w:spacing w:val="-2"/>
          <w:sz w:val="24"/>
          <w:szCs w:val="24"/>
        </w:rPr>
        <w:t>气主要特征见表</w:t>
      </w:r>
      <w:r>
        <w:rPr>
          <w:rFonts w:ascii="宋体" w:hAnsi="宋体" w:eastAsia="宋体" w:cs="宋体"/>
          <w:spacing w:val="-47"/>
          <w:sz w:val="24"/>
          <w:szCs w:val="24"/>
        </w:rPr>
        <w:t xml:space="preserve"> </w:t>
      </w:r>
      <w:r>
        <w:rPr>
          <w:rFonts w:ascii="Times New Roman" w:hAnsi="Times New Roman" w:eastAsia="Times New Roman" w:cs="Times New Roman"/>
          <w:spacing w:val="-2"/>
          <w:sz w:val="24"/>
          <w:szCs w:val="24"/>
        </w:rPr>
        <w:t>2.3-8</w:t>
      </w:r>
      <w:r>
        <w:rPr>
          <w:rFonts w:ascii="宋体" w:hAnsi="宋体" w:eastAsia="宋体" w:cs="宋体"/>
          <w:spacing w:val="-2"/>
          <w:sz w:val="24"/>
          <w:szCs w:val="24"/>
        </w:rPr>
        <w:t>。</w:t>
      </w:r>
    </w:p>
    <w:p w14:paraId="1F419975">
      <w:pPr>
        <w:spacing w:before="51" w:line="227" w:lineRule="auto"/>
        <w:ind w:left="1531"/>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1"/>
          <w:sz w:val="20"/>
          <w:szCs w:val="20"/>
        </w:rPr>
        <w:t xml:space="preserve"> </w:t>
      </w:r>
      <w:r>
        <w:rPr>
          <w:rFonts w:ascii="Times New Roman" w:hAnsi="Times New Roman" w:eastAsia="Times New Roman" w:cs="Times New Roman"/>
          <w:b/>
          <w:bCs/>
          <w:spacing w:val="6"/>
          <w:sz w:val="20"/>
          <w:szCs w:val="20"/>
        </w:rPr>
        <w:t xml:space="preserve">2.3-8        </w:t>
      </w:r>
      <w:r>
        <w:rPr>
          <w:rFonts w:ascii="宋体" w:hAnsi="宋体" w:eastAsia="宋体" w:cs="宋体"/>
          <w:b/>
          <w:bCs/>
          <w:spacing w:val="6"/>
          <w:sz w:val="20"/>
          <w:szCs w:val="20"/>
        </w:rPr>
        <w:t>矿热炉净煤气（出煤气柜精过滤器过滤后）主要特征表</w:t>
      </w:r>
    </w:p>
    <w:p w14:paraId="574B315E">
      <w:pPr>
        <w:spacing w:line="98" w:lineRule="exact"/>
      </w:pPr>
    </w:p>
    <w:tbl>
      <w:tblPr>
        <w:tblStyle w:val="5"/>
        <w:tblW w:w="9010" w:type="dxa"/>
        <w:tblInd w:w="1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4"/>
        <w:gridCol w:w="2596"/>
        <w:gridCol w:w="1605"/>
        <w:gridCol w:w="3945"/>
      </w:tblGrid>
      <w:tr w14:paraId="6A1629A3">
        <w:tblPrEx>
          <w:tblCellMar>
            <w:top w:w="0" w:type="dxa"/>
            <w:left w:w="0" w:type="dxa"/>
            <w:bottom w:w="0" w:type="dxa"/>
            <w:right w:w="0" w:type="dxa"/>
          </w:tblCellMar>
        </w:tblPrEx>
        <w:trPr>
          <w:trHeight w:val="278" w:hRule="atLeast"/>
        </w:trPr>
        <w:tc>
          <w:tcPr>
            <w:tcW w:w="864" w:type="dxa"/>
            <w:tcBorders>
              <w:top w:val="single" w:color="000000" w:sz="10" w:space="0"/>
              <w:left w:val="nil"/>
            </w:tcBorders>
            <w:vAlign w:val="top"/>
          </w:tcPr>
          <w:p w14:paraId="4A178D34">
            <w:pPr>
              <w:pStyle w:val="6"/>
              <w:spacing w:before="36" w:line="214" w:lineRule="auto"/>
              <w:ind w:left="232"/>
              <w:rPr>
                <w:sz w:val="20"/>
                <w:szCs w:val="20"/>
              </w:rPr>
            </w:pPr>
            <w:r>
              <w:rPr>
                <w:spacing w:val="4"/>
                <w:sz w:val="20"/>
                <w:szCs w:val="20"/>
              </w:rPr>
              <w:t>序号</w:t>
            </w:r>
          </w:p>
        </w:tc>
        <w:tc>
          <w:tcPr>
            <w:tcW w:w="2596" w:type="dxa"/>
            <w:tcBorders>
              <w:top w:val="single" w:color="000000" w:sz="10" w:space="0"/>
            </w:tcBorders>
            <w:vAlign w:val="top"/>
          </w:tcPr>
          <w:p w14:paraId="2E0294E1">
            <w:pPr>
              <w:pStyle w:val="6"/>
              <w:spacing w:before="36" w:line="214" w:lineRule="auto"/>
              <w:ind w:left="891"/>
              <w:rPr>
                <w:sz w:val="20"/>
                <w:szCs w:val="20"/>
              </w:rPr>
            </w:pPr>
            <w:r>
              <w:rPr>
                <w:spacing w:val="4"/>
                <w:sz w:val="20"/>
                <w:szCs w:val="20"/>
              </w:rPr>
              <w:t>燃料成分</w:t>
            </w:r>
          </w:p>
        </w:tc>
        <w:tc>
          <w:tcPr>
            <w:tcW w:w="1605" w:type="dxa"/>
            <w:tcBorders>
              <w:top w:val="single" w:color="000000" w:sz="10" w:space="0"/>
            </w:tcBorders>
            <w:vAlign w:val="top"/>
          </w:tcPr>
          <w:p w14:paraId="28C220C4">
            <w:pPr>
              <w:pStyle w:val="6"/>
              <w:spacing w:before="36" w:line="214" w:lineRule="auto"/>
              <w:ind w:left="605"/>
              <w:rPr>
                <w:sz w:val="20"/>
                <w:szCs w:val="20"/>
              </w:rPr>
            </w:pPr>
            <w:r>
              <w:rPr>
                <w:spacing w:val="2"/>
                <w:sz w:val="20"/>
                <w:szCs w:val="20"/>
              </w:rPr>
              <w:t>单位</w:t>
            </w:r>
          </w:p>
        </w:tc>
        <w:tc>
          <w:tcPr>
            <w:tcW w:w="3945" w:type="dxa"/>
            <w:tcBorders>
              <w:top w:val="single" w:color="000000" w:sz="10" w:space="0"/>
              <w:right w:val="nil"/>
            </w:tcBorders>
            <w:vAlign w:val="top"/>
          </w:tcPr>
          <w:p w14:paraId="075FC7A0">
            <w:pPr>
              <w:pStyle w:val="6"/>
              <w:spacing w:before="36" w:line="214" w:lineRule="auto"/>
              <w:ind w:left="1774"/>
              <w:rPr>
                <w:sz w:val="20"/>
                <w:szCs w:val="20"/>
              </w:rPr>
            </w:pPr>
            <w:r>
              <w:rPr>
                <w:spacing w:val="2"/>
                <w:sz w:val="20"/>
                <w:szCs w:val="20"/>
              </w:rPr>
              <w:t>数值</w:t>
            </w:r>
          </w:p>
        </w:tc>
      </w:tr>
      <w:tr w14:paraId="17F867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64" w:type="dxa"/>
            <w:tcBorders>
              <w:left w:val="nil"/>
            </w:tcBorders>
            <w:vAlign w:val="top"/>
          </w:tcPr>
          <w:p w14:paraId="10B91E68">
            <w:pPr>
              <w:spacing w:before="89" w:line="195" w:lineRule="auto"/>
              <w:ind w:left="40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596" w:type="dxa"/>
            <w:vAlign w:val="top"/>
          </w:tcPr>
          <w:p w14:paraId="6465F18C">
            <w:pPr>
              <w:spacing w:before="92" w:line="199" w:lineRule="auto"/>
              <w:ind w:left="1190"/>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H</w:t>
            </w:r>
            <w:r>
              <w:rPr>
                <w:rFonts w:ascii="Times New Roman" w:hAnsi="Times New Roman" w:eastAsia="Times New Roman" w:cs="Times New Roman"/>
                <w:spacing w:val="2"/>
                <w:position w:val="-1"/>
                <w:sz w:val="13"/>
                <w:szCs w:val="13"/>
              </w:rPr>
              <w:t>2</w:t>
            </w:r>
          </w:p>
        </w:tc>
        <w:tc>
          <w:tcPr>
            <w:tcW w:w="1605" w:type="dxa"/>
            <w:vAlign w:val="top"/>
          </w:tcPr>
          <w:p w14:paraId="03896724">
            <w:pPr>
              <w:spacing w:before="89" w:line="195" w:lineRule="auto"/>
              <w:ind w:left="720"/>
              <w:rPr>
                <w:rFonts w:ascii="Times New Roman" w:hAnsi="Times New Roman" w:eastAsia="Times New Roman" w:cs="Times New Roman"/>
                <w:sz w:val="20"/>
                <w:szCs w:val="20"/>
              </w:rPr>
            </w:pPr>
            <w:r>
              <w:rPr>
                <w:rFonts w:ascii="Times New Roman" w:hAnsi="Times New Roman" w:eastAsia="Times New Roman" w:cs="Times New Roman"/>
                <w:sz w:val="20"/>
                <w:szCs w:val="20"/>
              </w:rPr>
              <w:t>%</w:t>
            </w:r>
          </w:p>
        </w:tc>
        <w:tc>
          <w:tcPr>
            <w:tcW w:w="3945" w:type="dxa"/>
            <w:tcBorders>
              <w:right w:val="nil"/>
            </w:tcBorders>
            <w:vAlign w:val="top"/>
          </w:tcPr>
          <w:p w14:paraId="5E3952C9">
            <w:pPr>
              <w:spacing w:before="89" w:line="195" w:lineRule="auto"/>
              <w:ind w:left="168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7.5~</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10</w:t>
            </w:r>
          </w:p>
        </w:tc>
      </w:tr>
      <w:tr w14:paraId="01DABF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64" w:type="dxa"/>
            <w:tcBorders>
              <w:left w:val="nil"/>
            </w:tcBorders>
            <w:vAlign w:val="top"/>
          </w:tcPr>
          <w:p w14:paraId="12D06F9C">
            <w:pPr>
              <w:spacing w:before="90" w:line="195" w:lineRule="auto"/>
              <w:ind w:left="382"/>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596" w:type="dxa"/>
            <w:vAlign w:val="top"/>
          </w:tcPr>
          <w:p w14:paraId="0F530178">
            <w:pPr>
              <w:spacing w:before="93" w:line="201" w:lineRule="auto"/>
              <w:ind w:left="1184"/>
              <w:rPr>
                <w:rFonts w:ascii="Times New Roman" w:hAnsi="Times New Roman" w:eastAsia="Times New Roman" w:cs="Times New Roman"/>
                <w:sz w:val="13"/>
                <w:szCs w:val="13"/>
              </w:rPr>
            </w:pPr>
            <w:r>
              <w:rPr>
                <w:rFonts w:ascii="Times New Roman" w:hAnsi="Times New Roman" w:eastAsia="Times New Roman" w:cs="Times New Roman"/>
                <w:spacing w:val="5"/>
                <w:sz w:val="20"/>
                <w:szCs w:val="20"/>
              </w:rPr>
              <w:t>N</w:t>
            </w:r>
            <w:r>
              <w:rPr>
                <w:rFonts w:ascii="Times New Roman" w:hAnsi="Times New Roman" w:eastAsia="Times New Roman" w:cs="Times New Roman"/>
                <w:spacing w:val="5"/>
                <w:position w:val="-1"/>
                <w:sz w:val="13"/>
                <w:szCs w:val="13"/>
              </w:rPr>
              <w:t>2</w:t>
            </w:r>
          </w:p>
        </w:tc>
        <w:tc>
          <w:tcPr>
            <w:tcW w:w="1605" w:type="dxa"/>
            <w:vAlign w:val="top"/>
          </w:tcPr>
          <w:p w14:paraId="7AEA124F">
            <w:pPr>
              <w:spacing w:before="90" w:line="195" w:lineRule="auto"/>
              <w:ind w:left="720"/>
              <w:rPr>
                <w:rFonts w:ascii="Times New Roman" w:hAnsi="Times New Roman" w:eastAsia="Times New Roman" w:cs="Times New Roman"/>
                <w:sz w:val="20"/>
                <w:szCs w:val="20"/>
              </w:rPr>
            </w:pPr>
            <w:r>
              <w:rPr>
                <w:rFonts w:ascii="Times New Roman" w:hAnsi="Times New Roman" w:eastAsia="Times New Roman" w:cs="Times New Roman"/>
                <w:sz w:val="20"/>
                <w:szCs w:val="20"/>
              </w:rPr>
              <w:t>%</w:t>
            </w:r>
          </w:p>
        </w:tc>
        <w:tc>
          <w:tcPr>
            <w:tcW w:w="3945" w:type="dxa"/>
            <w:tcBorders>
              <w:right w:val="nil"/>
            </w:tcBorders>
            <w:vAlign w:val="top"/>
          </w:tcPr>
          <w:p w14:paraId="10F8D607">
            <w:pPr>
              <w:spacing w:before="92" w:line="195" w:lineRule="auto"/>
              <w:ind w:left="181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6~9</w:t>
            </w:r>
          </w:p>
        </w:tc>
      </w:tr>
      <w:tr w14:paraId="474CC7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64" w:type="dxa"/>
            <w:tcBorders>
              <w:left w:val="nil"/>
            </w:tcBorders>
            <w:vAlign w:val="top"/>
          </w:tcPr>
          <w:p w14:paraId="346B1500">
            <w:pPr>
              <w:spacing w:before="93" w:line="195" w:lineRule="auto"/>
              <w:ind w:left="387"/>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596" w:type="dxa"/>
            <w:vAlign w:val="top"/>
          </w:tcPr>
          <w:p w14:paraId="2460F49B">
            <w:pPr>
              <w:spacing w:before="93" w:line="202" w:lineRule="auto"/>
              <w:ind w:left="1125"/>
              <w:rPr>
                <w:rFonts w:ascii="Times New Roman" w:hAnsi="Times New Roman" w:eastAsia="Times New Roman" w:cs="Times New Roman"/>
                <w:sz w:val="13"/>
                <w:szCs w:val="13"/>
              </w:rPr>
            </w:pPr>
            <w:r>
              <w:rPr>
                <w:rFonts w:ascii="Times New Roman" w:hAnsi="Times New Roman" w:eastAsia="Times New Roman" w:cs="Times New Roman"/>
                <w:sz w:val="20"/>
                <w:szCs w:val="20"/>
              </w:rPr>
              <w:t>CH</w:t>
            </w:r>
            <w:r>
              <w:rPr>
                <w:rFonts w:ascii="Times New Roman" w:hAnsi="Times New Roman" w:eastAsia="Times New Roman" w:cs="Times New Roman"/>
                <w:spacing w:val="6"/>
                <w:position w:val="-1"/>
                <w:sz w:val="13"/>
                <w:szCs w:val="13"/>
              </w:rPr>
              <w:t>4</w:t>
            </w:r>
          </w:p>
        </w:tc>
        <w:tc>
          <w:tcPr>
            <w:tcW w:w="1605" w:type="dxa"/>
            <w:vAlign w:val="top"/>
          </w:tcPr>
          <w:p w14:paraId="2A8C03EF">
            <w:pPr>
              <w:spacing w:before="93" w:line="195" w:lineRule="auto"/>
              <w:ind w:left="720"/>
              <w:rPr>
                <w:rFonts w:ascii="Times New Roman" w:hAnsi="Times New Roman" w:eastAsia="Times New Roman" w:cs="Times New Roman"/>
                <w:sz w:val="20"/>
                <w:szCs w:val="20"/>
              </w:rPr>
            </w:pPr>
            <w:r>
              <w:rPr>
                <w:rFonts w:ascii="Times New Roman" w:hAnsi="Times New Roman" w:eastAsia="Times New Roman" w:cs="Times New Roman"/>
                <w:sz w:val="20"/>
                <w:szCs w:val="20"/>
              </w:rPr>
              <w:t>%</w:t>
            </w:r>
          </w:p>
        </w:tc>
        <w:tc>
          <w:tcPr>
            <w:tcW w:w="3945" w:type="dxa"/>
            <w:tcBorders>
              <w:right w:val="nil"/>
            </w:tcBorders>
            <w:vAlign w:val="top"/>
          </w:tcPr>
          <w:p w14:paraId="0E880484">
            <w:pPr>
              <w:spacing w:before="93" w:line="195" w:lineRule="auto"/>
              <w:ind w:left="17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w:t>
            </w:r>
            <w:r>
              <w:rPr>
                <w:rFonts w:ascii="Times New Roman" w:hAnsi="Times New Roman" w:eastAsia="Times New Roman" w:cs="Times New Roman"/>
                <w:spacing w:val="-26"/>
                <w:sz w:val="20"/>
                <w:szCs w:val="20"/>
              </w:rPr>
              <w:t xml:space="preserve"> </w:t>
            </w:r>
            <w:r>
              <w:rPr>
                <w:rFonts w:ascii="Times New Roman" w:hAnsi="Times New Roman" w:eastAsia="Times New Roman" w:cs="Times New Roman"/>
                <w:spacing w:val="2"/>
                <w:sz w:val="20"/>
                <w:szCs w:val="20"/>
              </w:rPr>
              <w:t>1</w:t>
            </w:r>
          </w:p>
        </w:tc>
      </w:tr>
      <w:tr w14:paraId="458613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64" w:type="dxa"/>
            <w:tcBorders>
              <w:left w:val="nil"/>
            </w:tcBorders>
            <w:vAlign w:val="top"/>
          </w:tcPr>
          <w:p w14:paraId="28197095">
            <w:pPr>
              <w:spacing w:before="96" w:line="195" w:lineRule="auto"/>
              <w:ind w:left="38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596" w:type="dxa"/>
            <w:vAlign w:val="top"/>
          </w:tcPr>
          <w:p w14:paraId="589F8B8E">
            <w:pPr>
              <w:spacing w:before="96" w:line="195" w:lineRule="auto"/>
              <w:ind w:left="11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CO</w:t>
            </w:r>
          </w:p>
        </w:tc>
        <w:tc>
          <w:tcPr>
            <w:tcW w:w="1605" w:type="dxa"/>
            <w:vAlign w:val="top"/>
          </w:tcPr>
          <w:p w14:paraId="2A8D3AD5">
            <w:pPr>
              <w:spacing w:before="96" w:line="195" w:lineRule="auto"/>
              <w:ind w:left="720"/>
              <w:rPr>
                <w:rFonts w:ascii="Times New Roman" w:hAnsi="Times New Roman" w:eastAsia="Times New Roman" w:cs="Times New Roman"/>
                <w:sz w:val="20"/>
                <w:szCs w:val="20"/>
              </w:rPr>
            </w:pPr>
            <w:r>
              <w:rPr>
                <w:rFonts w:ascii="Times New Roman" w:hAnsi="Times New Roman" w:eastAsia="Times New Roman" w:cs="Times New Roman"/>
                <w:sz w:val="20"/>
                <w:szCs w:val="20"/>
              </w:rPr>
              <w:t>%</w:t>
            </w:r>
          </w:p>
        </w:tc>
        <w:tc>
          <w:tcPr>
            <w:tcW w:w="3945" w:type="dxa"/>
            <w:tcBorders>
              <w:right w:val="nil"/>
            </w:tcBorders>
            <w:vAlign w:val="top"/>
          </w:tcPr>
          <w:p w14:paraId="498845E1">
            <w:pPr>
              <w:spacing w:before="96" w:line="195" w:lineRule="auto"/>
              <w:ind w:left="17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68~75</w:t>
            </w:r>
          </w:p>
        </w:tc>
      </w:tr>
      <w:tr w14:paraId="25E1AA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64" w:type="dxa"/>
            <w:tcBorders>
              <w:left w:val="nil"/>
            </w:tcBorders>
            <w:vAlign w:val="top"/>
          </w:tcPr>
          <w:p w14:paraId="2449F9F0">
            <w:pPr>
              <w:spacing w:before="99" w:line="192" w:lineRule="auto"/>
              <w:ind w:left="388"/>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596" w:type="dxa"/>
            <w:vAlign w:val="top"/>
          </w:tcPr>
          <w:p w14:paraId="585E5D6A">
            <w:pPr>
              <w:spacing w:before="96" w:line="202" w:lineRule="auto"/>
              <w:ind w:left="1125"/>
              <w:rPr>
                <w:rFonts w:ascii="Times New Roman" w:hAnsi="Times New Roman" w:eastAsia="Times New Roman" w:cs="Times New Roman"/>
                <w:sz w:val="13"/>
                <w:szCs w:val="13"/>
              </w:rPr>
            </w:pPr>
            <w:r>
              <w:rPr>
                <w:rFonts w:ascii="Times New Roman" w:hAnsi="Times New Roman" w:eastAsia="Times New Roman" w:cs="Times New Roman"/>
                <w:sz w:val="20"/>
                <w:szCs w:val="20"/>
              </w:rPr>
              <w:t>CO</w:t>
            </w:r>
            <w:r>
              <w:rPr>
                <w:rFonts w:ascii="Times New Roman" w:hAnsi="Times New Roman" w:eastAsia="Times New Roman" w:cs="Times New Roman"/>
                <w:spacing w:val="6"/>
                <w:position w:val="-1"/>
                <w:sz w:val="13"/>
                <w:szCs w:val="13"/>
              </w:rPr>
              <w:t>2</w:t>
            </w:r>
          </w:p>
        </w:tc>
        <w:tc>
          <w:tcPr>
            <w:tcW w:w="1605" w:type="dxa"/>
            <w:vAlign w:val="top"/>
          </w:tcPr>
          <w:p w14:paraId="1EDEC5C5">
            <w:pPr>
              <w:spacing w:before="96" w:line="195" w:lineRule="auto"/>
              <w:ind w:left="720"/>
              <w:rPr>
                <w:rFonts w:ascii="Times New Roman" w:hAnsi="Times New Roman" w:eastAsia="Times New Roman" w:cs="Times New Roman"/>
                <w:sz w:val="20"/>
                <w:szCs w:val="20"/>
              </w:rPr>
            </w:pPr>
            <w:r>
              <w:rPr>
                <w:rFonts w:ascii="Times New Roman" w:hAnsi="Times New Roman" w:eastAsia="Times New Roman" w:cs="Times New Roman"/>
                <w:sz w:val="20"/>
                <w:szCs w:val="20"/>
              </w:rPr>
              <w:t>%</w:t>
            </w:r>
          </w:p>
        </w:tc>
        <w:tc>
          <w:tcPr>
            <w:tcW w:w="3945" w:type="dxa"/>
            <w:tcBorders>
              <w:right w:val="nil"/>
            </w:tcBorders>
            <w:vAlign w:val="top"/>
          </w:tcPr>
          <w:p w14:paraId="51C6DD17">
            <w:pPr>
              <w:spacing w:before="102" w:line="192" w:lineRule="auto"/>
              <w:ind w:left="18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5~7</w:t>
            </w:r>
          </w:p>
        </w:tc>
      </w:tr>
      <w:tr w14:paraId="440A68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64" w:type="dxa"/>
            <w:tcBorders>
              <w:left w:val="nil"/>
            </w:tcBorders>
            <w:vAlign w:val="top"/>
          </w:tcPr>
          <w:p w14:paraId="03850EFB">
            <w:pPr>
              <w:spacing w:before="99" w:line="195" w:lineRule="auto"/>
              <w:ind w:left="387"/>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596" w:type="dxa"/>
            <w:vAlign w:val="top"/>
          </w:tcPr>
          <w:p w14:paraId="34F5DD41">
            <w:pPr>
              <w:pStyle w:val="6"/>
              <w:spacing w:before="61" w:line="226" w:lineRule="auto"/>
              <w:ind w:left="279"/>
              <w:rPr>
                <w:sz w:val="20"/>
                <w:szCs w:val="20"/>
              </w:rPr>
            </w:pPr>
            <w:r>
              <w:rPr>
                <w:spacing w:val="4"/>
                <w:sz w:val="20"/>
                <w:szCs w:val="20"/>
              </w:rPr>
              <w:t>总硫（不包含无机硫）</w:t>
            </w:r>
          </w:p>
        </w:tc>
        <w:tc>
          <w:tcPr>
            <w:tcW w:w="1605" w:type="dxa"/>
            <w:vAlign w:val="top"/>
          </w:tcPr>
          <w:p w14:paraId="00364987">
            <w:pPr>
              <w:spacing w:before="79" w:line="218" w:lineRule="auto"/>
              <w:ind w:left="452"/>
              <w:rPr>
                <w:rFonts w:ascii="Times New Roman" w:hAnsi="Times New Roman" w:eastAsia="Times New Roman" w:cs="Times New Roman"/>
                <w:sz w:val="13"/>
                <w:szCs w:val="13"/>
              </w:rPr>
            </w:pPr>
            <w:r>
              <w:rPr>
                <w:rFonts w:ascii="Times New Roman" w:hAnsi="Times New Roman" w:eastAsia="Times New Roman" w:cs="Times New Roman"/>
                <w:sz w:val="20"/>
                <w:szCs w:val="20"/>
              </w:rPr>
              <w:t>mg</w:t>
            </w:r>
            <w:r>
              <w:rPr>
                <w:rFonts w:ascii="Times New Roman" w:hAnsi="Times New Roman" w:eastAsia="Times New Roman" w:cs="Times New Roman"/>
                <w:spacing w:val="10"/>
                <w:sz w:val="20"/>
                <w:szCs w:val="20"/>
              </w:rPr>
              <w:t>/</w:t>
            </w:r>
            <w:r>
              <w:rPr>
                <w:rFonts w:ascii="Times New Roman" w:hAnsi="Times New Roman" w:eastAsia="Times New Roman" w:cs="Times New Roman"/>
                <w:sz w:val="20"/>
                <w:szCs w:val="20"/>
              </w:rPr>
              <w:t>Nm</w:t>
            </w:r>
            <w:r>
              <w:rPr>
                <w:rFonts w:ascii="Times New Roman" w:hAnsi="Times New Roman" w:eastAsia="Times New Roman" w:cs="Times New Roman"/>
                <w:spacing w:val="10"/>
                <w:position w:val="6"/>
                <w:sz w:val="13"/>
                <w:szCs w:val="13"/>
              </w:rPr>
              <w:t>3</w:t>
            </w:r>
          </w:p>
        </w:tc>
        <w:tc>
          <w:tcPr>
            <w:tcW w:w="3945" w:type="dxa"/>
            <w:tcBorders>
              <w:right w:val="nil"/>
            </w:tcBorders>
            <w:vAlign w:val="top"/>
          </w:tcPr>
          <w:p w14:paraId="753F0466">
            <w:pPr>
              <w:pStyle w:val="6"/>
              <w:spacing w:before="63" w:line="193" w:lineRule="auto"/>
              <w:ind w:left="393"/>
              <w:rPr>
                <w:sz w:val="20"/>
                <w:szCs w:val="20"/>
              </w:rPr>
            </w:pPr>
            <w:r>
              <w:pict>
                <v:shape id="_x0000_s1196" o:spid="_x0000_s1196" o:spt="202" type="#_x0000_t202" style="position:absolute;left:0pt;margin-left:12.65pt;margin-top:7.6pt;height:7.6pt;width:7.55pt;z-index:251854848;mso-width-relative:page;mso-height-relative:page;" filled="f" stroked="f" coordsize="21600,21600">
                  <v:path/>
                  <v:fill on="f" focussize="0,0"/>
                  <v:stroke on="f"/>
                  <v:imagedata o:title=""/>
                  <o:lock v:ext="edit" aspectratio="f"/>
                  <v:textbox inset="0mm,0mm,0mm,0mm">
                    <w:txbxContent>
                      <w:p w14:paraId="015237D0">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4"/>
                <w:sz w:val="20"/>
                <w:szCs w:val="20"/>
              </w:rPr>
              <w:t>96</w:t>
            </w:r>
            <w:r>
              <w:rPr>
                <w:spacing w:val="4"/>
                <w:sz w:val="20"/>
                <w:szCs w:val="20"/>
              </w:rPr>
              <w:t>（其中</w:t>
            </w:r>
            <w:r>
              <w:rPr>
                <w:spacing w:val="-25"/>
                <w:sz w:val="20"/>
                <w:szCs w:val="20"/>
              </w:rPr>
              <w:t xml:space="preserve"> </w:t>
            </w:r>
            <w:r>
              <w:rPr>
                <w:rFonts w:ascii="Times New Roman" w:hAnsi="Times New Roman" w:eastAsia="Times New Roman" w:cs="Times New Roman"/>
                <w:spacing w:val="4"/>
                <w:sz w:val="20"/>
                <w:szCs w:val="20"/>
              </w:rPr>
              <w:t>H</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4"/>
                <w:sz w:val="20"/>
                <w:szCs w:val="20"/>
              </w:rPr>
              <w:t xml:space="preserve">S </w:t>
            </w:r>
            <w:r>
              <w:rPr>
                <w:spacing w:val="4"/>
                <w:sz w:val="20"/>
                <w:szCs w:val="20"/>
              </w:rPr>
              <w:t>硫</w:t>
            </w:r>
            <w:r>
              <w:rPr>
                <w:rFonts w:ascii="Times New Roman" w:hAnsi="Times New Roman" w:eastAsia="Times New Roman" w:cs="Times New Roman"/>
                <w:spacing w:val="4"/>
                <w:sz w:val="20"/>
                <w:szCs w:val="20"/>
              </w:rPr>
              <w:t>≤20</w:t>
            </w:r>
            <w:r>
              <w:rPr>
                <w:rFonts w:ascii="Times New Roman" w:hAnsi="Times New Roman" w:eastAsia="Times New Roman" w:cs="Times New Roman"/>
                <w:spacing w:val="-24"/>
                <w:sz w:val="20"/>
                <w:szCs w:val="20"/>
              </w:rPr>
              <w:t xml:space="preserve"> </w:t>
            </w:r>
            <w:r>
              <w:rPr>
                <w:spacing w:val="4"/>
                <w:sz w:val="20"/>
                <w:szCs w:val="20"/>
              </w:rPr>
              <w:t>，有机硫～</w:t>
            </w:r>
            <w:r>
              <w:rPr>
                <w:rFonts w:ascii="Times New Roman" w:hAnsi="Times New Roman" w:eastAsia="Times New Roman" w:cs="Times New Roman"/>
                <w:spacing w:val="4"/>
                <w:sz w:val="20"/>
                <w:szCs w:val="20"/>
              </w:rPr>
              <w:t>76</w:t>
            </w:r>
            <w:r>
              <w:rPr>
                <w:spacing w:val="4"/>
                <w:sz w:val="20"/>
                <w:szCs w:val="20"/>
              </w:rPr>
              <w:t>）</w:t>
            </w:r>
          </w:p>
        </w:tc>
      </w:tr>
      <w:tr w14:paraId="26B94C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64" w:type="dxa"/>
            <w:tcBorders>
              <w:left w:val="nil"/>
            </w:tcBorders>
            <w:vAlign w:val="top"/>
          </w:tcPr>
          <w:p w14:paraId="7128D180">
            <w:pPr>
              <w:spacing w:before="103" w:line="192" w:lineRule="auto"/>
              <w:ind w:left="386"/>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596" w:type="dxa"/>
            <w:vAlign w:val="top"/>
          </w:tcPr>
          <w:p w14:paraId="1F0BE69B">
            <w:pPr>
              <w:pStyle w:val="6"/>
              <w:spacing w:before="64" w:line="223" w:lineRule="auto"/>
              <w:ind w:left="890"/>
              <w:rPr>
                <w:sz w:val="20"/>
                <w:szCs w:val="20"/>
              </w:rPr>
            </w:pPr>
            <w:r>
              <w:rPr>
                <w:spacing w:val="4"/>
                <w:sz w:val="20"/>
                <w:szCs w:val="20"/>
              </w:rPr>
              <w:t>含尘浓度</w:t>
            </w:r>
          </w:p>
        </w:tc>
        <w:tc>
          <w:tcPr>
            <w:tcW w:w="1605" w:type="dxa"/>
            <w:vAlign w:val="top"/>
          </w:tcPr>
          <w:p w14:paraId="65687E3F">
            <w:pPr>
              <w:spacing w:before="83" w:line="215" w:lineRule="auto"/>
              <w:ind w:left="452"/>
              <w:rPr>
                <w:rFonts w:ascii="Times New Roman" w:hAnsi="Times New Roman" w:eastAsia="Times New Roman" w:cs="Times New Roman"/>
                <w:sz w:val="13"/>
                <w:szCs w:val="13"/>
              </w:rPr>
            </w:pPr>
            <w:r>
              <w:rPr>
                <w:rFonts w:ascii="Times New Roman" w:hAnsi="Times New Roman" w:eastAsia="Times New Roman" w:cs="Times New Roman"/>
                <w:sz w:val="20"/>
                <w:szCs w:val="20"/>
              </w:rPr>
              <w:t>mg</w:t>
            </w:r>
            <w:r>
              <w:rPr>
                <w:rFonts w:ascii="Times New Roman" w:hAnsi="Times New Roman" w:eastAsia="Times New Roman" w:cs="Times New Roman"/>
                <w:spacing w:val="10"/>
                <w:sz w:val="20"/>
                <w:szCs w:val="20"/>
              </w:rPr>
              <w:t>/</w:t>
            </w:r>
            <w:r>
              <w:rPr>
                <w:rFonts w:ascii="Times New Roman" w:hAnsi="Times New Roman" w:eastAsia="Times New Roman" w:cs="Times New Roman"/>
                <w:sz w:val="20"/>
                <w:szCs w:val="20"/>
              </w:rPr>
              <w:t>Nm</w:t>
            </w:r>
            <w:r>
              <w:rPr>
                <w:rFonts w:ascii="Times New Roman" w:hAnsi="Times New Roman" w:eastAsia="Times New Roman" w:cs="Times New Roman"/>
                <w:spacing w:val="10"/>
                <w:position w:val="6"/>
                <w:sz w:val="13"/>
                <w:szCs w:val="13"/>
              </w:rPr>
              <w:t>3</w:t>
            </w:r>
          </w:p>
        </w:tc>
        <w:tc>
          <w:tcPr>
            <w:tcW w:w="3945" w:type="dxa"/>
            <w:tcBorders>
              <w:right w:val="nil"/>
            </w:tcBorders>
            <w:vAlign w:val="top"/>
          </w:tcPr>
          <w:p w14:paraId="150A1150">
            <w:pPr>
              <w:spacing w:before="103" w:line="195" w:lineRule="auto"/>
              <w:ind w:left="181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r>
      <w:tr w14:paraId="3161DC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64" w:type="dxa"/>
            <w:tcBorders>
              <w:left w:val="nil"/>
            </w:tcBorders>
            <w:vAlign w:val="top"/>
          </w:tcPr>
          <w:p w14:paraId="2EF6E688">
            <w:pPr>
              <w:spacing w:before="103" w:line="195" w:lineRule="auto"/>
              <w:ind w:left="391"/>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596" w:type="dxa"/>
            <w:vAlign w:val="top"/>
          </w:tcPr>
          <w:p w14:paraId="22E0689E">
            <w:pPr>
              <w:pStyle w:val="6"/>
              <w:spacing w:before="67" w:line="220" w:lineRule="auto"/>
              <w:ind w:left="1097"/>
              <w:rPr>
                <w:sz w:val="20"/>
                <w:szCs w:val="20"/>
              </w:rPr>
            </w:pPr>
            <w:r>
              <w:rPr>
                <w:spacing w:val="3"/>
                <w:sz w:val="20"/>
                <w:szCs w:val="20"/>
              </w:rPr>
              <w:t>焦油</w:t>
            </w:r>
          </w:p>
        </w:tc>
        <w:tc>
          <w:tcPr>
            <w:tcW w:w="1605" w:type="dxa"/>
            <w:vAlign w:val="top"/>
          </w:tcPr>
          <w:p w14:paraId="471DB46F">
            <w:pPr>
              <w:spacing w:before="83" w:line="218" w:lineRule="auto"/>
              <w:ind w:left="452"/>
              <w:rPr>
                <w:rFonts w:ascii="Times New Roman" w:hAnsi="Times New Roman" w:eastAsia="Times New Roman" w:cs="Times New Roman"/>
                <w:sz w:val="13"/>
                <w:szCs w:val="13"/>
              </w:rPr>
            </w:pPr>
            <w:r>
              <w:rPr>
                <w:rFonts w:ascii="Times New Roman" w:hAnsi="Times New Roman" w:eastAsia="Times New Roman" w:cs="Times New Roman"/>
                <w:sz w:val="20"/>
                <w:szCs w:val="20"/>
              </w:rPr>
              <w:t>mg</w:t>
            </w:r>
            <w:r>
              <w:rPr>
                <w:rFonts w:ascii="Times New Roman" w:hAnsi="Times New Roman" w:eastAsia="Times New Roman" w:cs="Times New Roman"/>
                <w:spacing w:val="10"/>
                <w:sz w:val="20"/>
                <w:szCs w:val="20"/>
              </w:rPr>
              <w:t>/</w:t>
            </w:r>
            <w:r>
              <w:rPr>
                <w:rFonts w:ascii="Times New Roman" w:hAnsi="Times New Roman" w:eastAsia="Times New Roman" w:cs="Times New Roman"/>
                <w:sz w:val="20"/>
                <w:szCs w:val="20"/>
              </w:rPr>
              <w:t>Nm</w:t>
            </w:r>
            <w:r>
              <w:rPr>
                <w:rFonts w:ascii="Times New Roman" w:hAnsi="Times New Roman" w:eastAsia="Times New Roman" w:cs="Times New Roman"/>
                <w:spacing w:val="10"/>
                <w:position w:val="6"/>
                <w:sz w:val="13"/>
                <w:szCs w:val="13"/>
              </w:rPr>
              <w:t>3</w:t>
            </w:r>
          </w:p>
        </w:tc>
        <w:tc>
          <w:tcPr>
            <w:tcW w:w="3945" w:type="dxa"/>
            <w:tcBorders>
              <w:right w:val="nil"/>
            </w:tcBorders>
            <w:vAlign w:val="top"/>
          </w:tcPr>
          <w:p w14:paraId="27FDF888">
            <w:pPr>
              <w:pStyle w:val="6"/>
              <w:spacing w:before="67" w:line="220" w:lineRule="auto"/>
              <w:ind w:left="1770"/>
              <w:rPr>
                <w:sz w:val="20"/>
                <w:szCs w:val="20"/>
              </w:rPr>
            </w:pPr>
            <w:r>
              <w:rPr>
                <w:spacing w:val="4"/>
                <w:sz w:val="20"/>
                <w:szCs w:val="20"/>
              </w:rPr>
              <w:t>微量</w:t>
            </w:r>
          </w:p>
        </w:tc>
      </w:tr>
      <w:tr w14:paraId="08542A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64" w:type="dxa"/>
            <w:vMerge w:val="restart"/>
            <w:tcBorders>
              <w:left w:val="nil"/>
              <w:bottom w:val="nil"/>
            </w:tcBorders>
            <w:vAlign w:val="top"/>
          </w:tcPr>
          <w:p w14:paraId="3E77A2B1">
            <w:pPr>
              <w:spacing w:before="267" w:line="195" w:lineRule="auto"/>
              <w:ind w:left="386"/>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2596" w:type="dxa"/>
            <w:vMerge w:val="restart"/>
            <w:tcBorders>
              <w:bottom w:val="nil"/>
            </w:tcBorders>
            <w:vAlign w:val="top"/>
          </w:tcPr>
          <w:p w14:paraId="739B4DA2">
            <w:pPr>
              <w:spacing w:before="266" w:line="197" w:lineRule="auto"/>
              <w:ind w:left="1112"/>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Q</w:t>
            </w:r>
            <w:r>
              <w:rPr>
                <w:rFonts w:ascii="Times New Roman" w:hAnsi="Times New Roman" w:eastAsia="Times New Roman" w:cs="Times New Roman"/>
                <w:spacing w:val="1"/>
                <w:position w:val="-2"/>
                <w:sz w:val="13"/>
                <w:szCs w:val="13"/>
              </w:rPr>
              <w:t>dw</w:t>
            </w:r>
            <w:r>
              <w:rPr>
                <w:rFonts w:ascii="Times New Roman" w:hAnsi="Times New Roman" w:eastAsia="Times New Roman" w:cs="Times New Roman"/>
                <w:spacing w:val="1"/>
                <w:position w:val="6"/>
                <w:sz w:val="13"/>
                <w:szCs w:val="13"/>
              </w:rPr>
              <w:t>y</w:t>
            </w:r>
          </w:p>
        </w:tc>
        <w:tc>
          <w:tcPr>
            <w:tcW w:w="1605" w:type="dxa"/>
            <w:vAlign w:val="top"/>
          </w:tcPr>
          <w:p w14:paraId="36C55C19">
            <w:pPr>
              <w:spacing w:before="86" w:line="216" w:lineRule="auto"/>
              <w:ind w:left="392"/>
              <w:rPr>
                <w:rFonts w:ascii="Times New Roman" w:hAnsi="Times New Roman" w:eastAsia="Times New Roman" w:cs="Times New Roman"/>
                <w:sz w:val="13"/>
                <w:szCs w:val="13"/>
              </w:rPr>
            </w:pPr>
            <w:r>
              <w:rPr>
                <w:rFonts w:ascii="Times New Roman" w:hAnsi="Times New Roman" w:eastAsia="Times New Roman" w:cs="Times New Roman"/>
                <w:sz w:val="20"/>
                <w:szCs w:val="20"/>
              </w:rPr>
              <w:t>Kcal</w:t>
            </w:r>
            <w:r>
              <w:rPr>
                <w:rFonts w:ascii="Times New Roman" w:hAnsi="Times New Roman" w:eastAsia="Times New Roman" w:cs="Times New Roman"/>
                <w:spacing w:val="11"/>
                <w:sz w:val="20"/>
                <w:szCs w:val="20"/>
              </w:rPr>
              <w:t>/</w:t>
            </w:r>
            <w:r>
              <w:rPr>
                <w:rFonts w:ascii="Times New Roman" w:hAnsi="Times New Roman" w:eastAsia="Times New Roman" w:cs="Times New Roman"/>
                <w:sz w:val="20"/>
                <w:szCs w:val="20"/>
              </w:rPr>
              <w:t>Nm</w:t>
            </w:r>
            <w:r>
              <w:rPr>
                <w:rFonts w:ascii="Times New Roman" w:hAnsi="Times New Roman" w:eastAsia="Times New Roman" w:cs="Times New Roman"/>
                <w:spacing w:val="11"/>
                <w:position w:val="6"/>
                <w:sz w:val="13"/>
                <w:szCs w:val="13"/>
              </w:rPr>
              <w:t>3</w:t>
            </w:r>
          </w:p>
        </w:tc>
        <w:tc>
          <w:tcPr>
            <w:tcW w:w="3945" w:type="dxa"/>
            <w:tcBorders>
              <w:right w:val="nil"/>
            </w:tcBorders>
            <w:vAlign w:val="top"/>
          </w:tcPr>
          <w:p w14:paraId="145729F3">
            <w:pPr>
              <w:spacing w:before="106" w:line="195" w:lineRule="auto"/>
              <w:ind w:left="17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2281</w:t>
            </w:r>
          </w:p>
        </w:tc>
      </w:tr>
      <w:tr w14:paraId="60A1B4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864" w:type="dxa"/>
            <w:vMerge w:val="continue"/>
            <w:tcBorders>
              <w:top w:val="nil"/>
              <w:left w:val="nil"/>
            </w:tcBorders>
            <w:vAlign w:val="top"/>
          </w:tcPr>
          <w:p w14:paraId="0A7DACF2">
            <w:pPr>
              <w:rPr>
                <w:rFonts w:ascii="Arial"/>
                <w:sz w:val="21"/>
              </w:rPr>
            </w:pPr>
          </w:p>
        </w:tc>
        <w:tc>
          <w:tcPr>
            <w:tcW w:w="2596" w:type="dxa"/>
            <w:vMerge w:val="continue"/>
            <w:tcBorders>
              <w:top w:val="nil"/>
            </w:tcBorders>
            <w:vAlign w:val="top"/>
          </w:tcPr>
          <w:p w14:paraId="647BDD41">
            <w:pPr>
              <w:rPr>
                <w:rFonts w:ascii="Arial"/>
                <w:sz w:val="21"/>
              </w:rPr>
            </w:pPr>
          </w:p>
        </w:tc>
        <w:tc>
          <w:tcPr>
            <w:tcW w:w="1605" w:type="dxa"/>
            <w:vAlign w:val="top"/>
          </w:tcPr>
          <w:p w14:paraId="6067D55D">
            <w:pPr>
              <w:spacing w:before="86" w:line="216" w:lineRule="auto"/>
              <w:ind w:left="454"/>
              <w:rPr>
                <w:rFonts w:ascii="Times New Roman" w:hAnsi="Times New Roman" w:eastAsia="Times New Roman" w:cs="Times New Roman"/>
                <w:sz w:val="13"/>
                <w:szCs w:val="13"/>
              </w:rPr>
            </w:pPr>
            <w:r>
              <w:rPr>
                <w:rFonts w:ascii="Times New Roman" w:hAnsi="Times New Roman" w:eastAsia="Times New Roman" w:cs="Times New Roman"/>
                <w:sz w:val="20"/>
                <w:szCs w:val="20"/>
              </w:rPr>
              <w:t>MJ</w:t>
            </w:r>
            <w:r>
              <w:rPr>
                <w:rFonts w:ascii="Times New Roman" w:hAnsi="Times New Roman" w:eastAsia="Times New Roman" w:cs="Times New Roman"/>
                <w:spacing w:val="10"/>
                <w:sz w:val="20"/>
                <w:szCs w:val="20"/>
              </w:rPr>
              <w:t>/</w:t>
            </w:r>
            <w:r>
              <w:rPr>
                <w:rFonts w:ascii="Times New Roman" w:hAnsi="Times New Roman" w:eastAsia="Times New Roman" w:cs="Times New Roman"/>
                <w:sz w:val="20"/>
                <w:szCs w:val="20"/>
              </w:rPr>
              <w:t>Nm</w:t>
            </w:r>
            <w:r>
              <w:rPr>
                <w:rFonts w:ascii="Times New Roman" w:hAnsi="Times New Roman" w:eastAsia="Times New Roman" w:cs="Times New Roman"/>
                <w:spacing w:val="10"/>
                <w:position w:val="6"/>
                <w:sz w:val="13"/>
                <w:szCs w:val="13"/>
              </w:rPr>
              <w:t>3</w:t>
            </w:r>
          </w:p>
        </w:tc>
        <w:tc>
          <w:tcPr>
            <w:tcW w:w="3945" w:type="dxa"/>
            <w:tcBorders>
              <w:right w:val="nil"/>
            </w:tcBorders>
            <w:vAlign w:val="top"/>
          </w:tcPr>
          <w:p w14:paraId="6466FED7">
            <w:pPr>
              <w:spacing w:before="109" w:line="195" w:lineRule="auto"/>
              <w:ind w:left="17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9.55</w:t>
            </w:r>
          </w:p>
        </w:tc>
      </w:tr>
      <w:tr w14:paraId="217E8A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64" w:type="dxa"/>
            <w:tcBorders>
              <w:left w:val="nil"/>
            </w:tcBorders>
            <w:vAlign w:val="top"/>
          </w:tcPr>
          <w:p w14:paraId="2259BFE2">
            <w:pPr>
              <w:spacing w:before="108" w:line="195" w:lineRule="auto"/>
              <w:ind w:left="352"/>
              <w:rPr>
                <w:rFonts w:ascii="Times New Roman" w:hAnsi="Times New Roman" w:eastAsia="Times New Roman" w:cs="Times New Roman"/>
                <w:sz w:val="20"/>
                <w:szCs w:val="20"/>
              </w:rPr>
            </w:pPr>
            <w:r>
              <w:rPr>
                <w:rFonts w:ascii="Times New Roman" w:hAnsi="Times New Roman" w:eastAsia="Times New Roman" w:cs="Times New Roman"/>
                <w:spacing w:val="-9"/>
                <w:sz w:val="20"/>
                <w:szCs w:val="20"/>
              </w:rPr>
              <w:t>10</w:t>
            </w:r>
          </w:p>
        </w:tc>
        <w:tc>
          <w:tcPr>
            <w:tcW w:w="2596" w:type="dxa"/>
            <w:vAlign w:val="top"/>
          </w:tcPr>
          <w:p w14:paraId="64CA8985">
            <w:pPr>
              <w:pStyle w:val="6"/>
              <w:spacing w:before="70" w:line="217" w:lineRule="auto"/>
              <w:ind w:left="893"/>
              <w:rPr>
                <w:sz w:val="20"/>
                <w:szCs w:val="20"/>
              </w:rPr>
            </w:pPr>
            <w:r>
              <w:rPr>
                <w:spacing w:val="3"/>
                <w:sz w:val="20"/>
                <w:szCs w:val="20"/>
              </w:rPr>
              <w:t>炉气压力</w:t>
            </w:r>
          </w:p>
        </w:tc>
        <w:tc>
          <w:tcPr>
            <w:tcW w:w="1605" w:type="dxa"/>
            <w:vAlign w:val="top"/>
          </w:tcPr>
          <w:p w14:paraId="50A736E3">
            <w:pPr>
              <w:spacing w:before="104" w:line="199" w:lineRule="auto"/>
              <w:ind w:left="6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kPa</w:t>
            </w:r>
          </w:p>
        </w:tc>
        <w:tc>
          <w:tcPr>
            <w:tcW w:w="3945" w:type="dxa"/>
            <w:tcBorders>
              <w:right w:val="nil"/>
            </w:tcBorders>
            <w:vAlign w:val="top"/>
          </w:tcPr>
          <w:p w14:paraId="19DABFA0">
            <w:pPr>
              <w:spacing w:before="108" w:line="195" w:lineRule="auto"/>
              <w:ind w:left="176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4"/>
                <w:sz w:val="20"/>
                <w:szCs w:val="20"/>
              </w:rPr>
              <w:t>10</w:t>
            </w:r>
          </w:p>
        </w:tc>
      </w:tr>
      <w:tr w14:paraId="50A736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64" w:type="dxa"/>
            <w:tcBorders>
              <w:left w:val="nil"/>
            </w:tcBorders>
            <w:vAlign w:val="top"/>
          </w:tcPr>
          <w:p w14:paraId="4A9C0496">
            <w:pPr>
              <w:spacing w:before="109" w:line="195" w:lineRule="auto"/>
              <w:ind w:left="352"/>
              <w:rPr>
                <w:rFonts w:ascii="Times New Roman" w:hAnsi="Times New Roman" w:eastAsia="Times New Roman" w:cs="Times New Roman"/>
                <w:sz w:val="20"/>
                <w:szCs w:val="20"/>
              </w:rPr>
            </w:pPr>
            <w:r>
              <w:rPr>
                <w:rFonts w:ascii="Times New Roman" w:hAnsi="Times New Roman" w:eastAsia="Times New Roman" w:cs="Times New Roman"/>
                <w:spacing w:val="-9"/>
                <w:sz w:val="20"/>
                <w:szCs w:val="20"/>
              </w:rPr>
              <w:t>11</w:t>
            </w:r>
          </w:p>
        </w:tc>
        <w:tc>
          <w:tcPr>
            <w:tcW w:w="2596" w:type="dxa"/>
            <w:vAlign w:val="top"/>
          </w:tcPr>
          <w:p w14:paraId="6966944F">
            <w:pPr>
              <w:pStyle w:val="6"/>
              <w:spacing w:before="74" w:line="214" w:lineRule="auto"/>
              <w:ind w:left="893"/>
              <w:rPr>
                <w:sz w:val="20"/>
                <w:szCs w:val="20"/>
              </w:rPr>
            </w:pPr>
            <w:r>
              <w:rPr>
                <w:spacing w:val="3"/>
                <w:sz w:val="20"/>
                <w:szCs w:val="20"/>
              </w:rPr>
              <w:t>炉气温度</w:t>
            </w:r>
          </w:p>
        </w:tc>
        <w:tc>
          <w:tcPr>
            <w:tcW w:w="1605" w:type="dxa"/>
            <w:vAlign w:val="top"/>
          </w:tcPr>
          <w:p w14:paraId="13D39BC9">
            <w:pPr>
              <w:spacing w:before="109" w:line="195" w:lineRule="auto"/>
              <w:ind w:left="703"/>
              <w:rPr>
                <w:rFonts w:ascii="Times New Roman" w:hAnsi="Times New Roman" w:eastAsia="Times New Roman" w:cs="Times New Roman"/>
                <w:sz w:val="20"/>
                <w:szCs w:val="20"/>
              </w:rPr>
            </w:pPr>
            <w:r>
              <w:rPr>
                <w:rFonts w:ascii="Times New Roman" w:hAnsi="Times New Roman" w:eastAsia="Times New Roman" w:cs="Times New Roman"/>
                <w:sz w:val="20"/>
                <w:szCs w:val="20"/>
              </w:rPr>
              <w:t>℃</w:t>
            </w:r>
          </w:p>
        </w:tc>
        <w:tc>
          <w:tcPr>
            <w:tcW w:w="3945" w:type="dxa"/>
            <w:tcBorders>
              <w:right w:val="nil"/>
            </w:tcBorders>
            <w:vAlign w:val="top"/>
          </w:tcPr>
          <w:p w14:paraId="7C296B19">
            <w:pPr>
              <w:spacing w:before="112" w:line="195" w:lineRule="auto"/>
              <w:ind w:left="181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w:t>
            </w:r>
          </w:p>
        </w:tc>
      </w:tr>
      <w:tr w14:paraId="47FA6F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864" w:type="dxa"/>
            <w:tcBorders>
              <w:left w:val="nil"/>
              <w:bottom w:val="single" w:color="000000" w:sz="10" w:space="0"/>
            </w:tcBorders>
            <w:vAlign w:val="top"/>
          </w:tcPr>
          <w:p w14:paraId="4E7DE664">
            <w:pPr>
              <w:spacing w:before="112" w:line="195" w:lineRule="auto"/>
              <w:ind w:left="352"/>
              <w:rPr>
                <w:rFonts w:ascii="Times New Roman" w:hAnsi="Times New Roman" w:eastAsia="Times New Roman" w:cs="Times New Roman"/>
                <w:sz w:val="20"/>
                <w:szCs w:val="20"/>
              </w:rPr>
            </w:pPr>
            <w:r>
              <w:rPr>
                <w:rFonts w:ascii="Times New Roman" w:hAnsi="Times New Roman" w:eastAsia="Times New Roman" w:cs="Times New Roman"/>
                <w:spacing w:val="-9"/>
                <w:sz w:val="20"/>
                <w:szCs w:val="20"/>
              </w:rPr>
              <w:t>12</w:t>
            </w:r>
          </w:p>
        </w:tc>
        <w:tc>
          <w:tcPr>
            <w:tcW w:w="2596" w:type="dxa"/>
            <w:tcBorders>
              <w:bottom w:val="single" w:color="000000" w:sz="10" w:space="0"/>
            </w:tcBorders>
            <w:vAlign w:val="top"/>
          </w:tcPr>
          <w:p w14:paraId="02B046FC">
            <w:pPr>
              <w:pStyle w:val="6"/>
              <w:spacing w:before="74" w:line="228" w:lineRule="auto"/>
              <w:ind w:left="1097"/>
              <w:rPr>
                <w:sz w:val="20"/>
                <w:szCs w:val="20"/>
              </w:rPr>
            </w:pPr>
            <w:r>
              <w:rPr>
                <w:spacing w:val="3"/>
                <w:sz w:val="20"/>
                <w:szCs w:val="20"/>
              </w:rPr>
              <w:t>密度</w:t>
            </w:r>
          </w:p>
        </w:tc>
        <w:tc>
          <w:tcPr>
            <w:tcW w:w="1605" w:type="dxa"/>
            <w:tcBorders>
              <w:bottom w:val="single" w:color="000000" w:sz="10" w:space="0"/>
            </w:tcBorders>
            <w:vAlign w:val="top"/>
          </w:tcPr>
          <w:p w14:paraId="4B2945A2">
            <w:pPr>
              <w:spacing w:before="92" w:line="218" w:lineRule="auto"/>
              <w:ind w:left="481"/>
              <w:rPr>
                <w:rFonts w:ascii="Times New Roman" w:hAnsi="Times New Roman" w:eastAsia="Times New Roman" w:cs="Times New Roman"/>
                <w:sz w:val="13"/>
                <w:szCs w:val="13"/>
              </w:rPr>
            </w:pPr>
            <w:r>
              <w:rPr>
                <w:rFonts w:ascii="Times New Roman" w:hAnsi="Times New Roman" w:eastAsia="Times New Roman" w:cs="Times New Roman"/>
                <w:sz w:val="20"/>
                <w:szCs w:val="20"/>
              </w:rPr>
              <w:t>kg</w:t>
            </w:r>
            <w:r>
              <w:rPr>
                <w:rFonts w:ascii="Times New Roman" w:hAnsi="Times New Roman" w:eastAsia="Times New Roman" w:cs="Times New Roman"/>
                <w:spacing w:val="9"/>
                <w:sz w:val="20"/>
                <w:szCs w:val="20"/>
              </w:rPr>
              <w:t>/</w:t>
            </w:r>
            <w:r>
              <w:rPr>
                <w:rFonts w:ascii="Times New Roman" w:hAnsi="Times New Roman" w:eastAsia="Times New Roman" w:cs="Times New Roman"/>
                <w:sz w:val="20"/>
                <w:szCs w:val="20"/>
              </w:rPr>
              <w:t>Nm</w:t>
            </w:r>
            <w:r>
              <w:rPr>
                <w:rFonts w:ascii="Times New Roman" w:hAnsi="Times New Roman" w:eastAsia="Times New Roman" w:cs="Times New Roman"/>
                <w:spacing w:val="9"/>
                <w:position w:val="6"/>
                <w:sz w:val="13"/>
                <w:szCs w:val="13"/>
              </w:rPr>
              <w:t>3</w:t>
            </w:r>
          </w:p>
        </w:tc>
        <w:tc>
          <w:tcPr>
            <w:tcW w:w="3945" w:type="dxa"/>
            <w:tcBorders>
              <w:bottom w:val="single" w:color="000000" w:sz="10" w:space="0"/>
              <w:right w:val="nil"/>
            </w:tcBorders>
            <w:vAlign w:val="top"/>
          </w:tcPr>
          <w:p w14:paraId="780D0300">
            <w:pPr>
              <w:spacing w:before="112" w:line="146" w:lineRule="exact"/>
              <w:ind w:left="1868"/>
              <w:rPr>
                <w:rFonts w:ascii="Times New Roman" w:hAnsi="Times New Roman" w:eastAsia="Times New Roman" w:cs="Times New Roman"/>
                <w:sz w:val="20"/>
                <w:szCs w:val="20"/>
              </w:rPr>
            </w:pPr>
            <w:r>
              <w:pict>
                <v:shape id="_x0000_s1197" o:spid="_x0000_s1197" o:spt="202" type="#_x0000_t202" style="position:absolute;left:0pt;margin-left:85.65pt;margin-top:8.25pt;height:7.6pt;width:7.55pt;z-index:251855872;mso-width-relative:page;mso-height-relative:page;" filled="f" stroked="f" coordsize="21600,21600">
                  <v:path/>
                  <v:fill on="f" focussize="0,0"/>
                  <v:stroke on="f"/>
                  <v:imagedata o:title=""/>
                  <o:lock v:ext="edit" aspectratio="f"/>
                  <v:textbox inset="0mm,0mm,0mm,0mm">
                    <w:txbxContent>
                      <w:p w14:paraId="262FA5F1">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2"/>
                <w:position w:val="-2"/>
                <w:sz w:val="20"/>
                <w:szCs w:val="20"/>
              </w:rPr>
              <w:t>1.06</w:t>
            </w:r>
          </w:p>
        </w:tc>
      </w:tr>
    </w:tbl>
    <w:p w14:paraId="09C5B626">
      <w:pPr>
        <w:spacing w:before="119" w:line="354" w:lineRule="auto"/>
        <w:ind w:left="117" w:right="106" w:firstLine="479"/>
        <w:rPr>
          <w:rFonts w:ascii="宋体" w:hAnsi="宋体" w:eastAsia="宋体" w:cs="宋体"/>
          <w:sz w:val="24"/>
          <w:szCs w:val="24"/>
        </w:rPr>
      </w:pPr>
      <w:r>
        <w:rPr>
          <w:rFonts w:ascii="宋体" w:hAnsi="宋体" w:eastAsia="宋体" w:cs="宋体"/>
          <w:spacing w:val="-4"/>
          <w:sz w:val="24"/>
          <w:szCs w:val="24"/>
        </w:rPr>
        <w:t>本项目净化后的</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6</w:t>
      </w:r>
      <w:r>
        <w:rPr>
          <w:rFonts w:ascii="Times New Roman" w:hAnsi="Times New Roman" w:eastAsia="Times New Roman" w:cs="Times New Roman"/>
          <w:spacing w:val="28"/>
          <w:sz w:val="24"/>
          <w:szCs w:val="24"/>
        </w:rPr>
        <w:t xml:space="preserve"> </w:t>
      </w:r>
      <w:r>
        <w:rPr>
          <w:rFonts w:ascii="宋体" w:hAnsi="宋体" w:eastAsia="宋体" w:cs="宋体"/>
          <w:spacing w:val="-4"/>
          <w:sz w:val="24"/>
          <w:szCs w:val="24"/>
        </w:rPr>
        <w:t>台全密闭电炉煤气经煤气柜缓存后全部回用</w:t>
      </w:r>
      <w:r>
        <w:rPr>
          <w:rFonts w:ascii="宋体" w:hAnsi="宋体" w:eastAsia="宋体" w:cs="宋体"/>
          <w:spacing w:val="-5"/>
          <w:sz w:val="24"/>
          <w:szCs w:val="24"/>
        </w:rPr>
        <w:t>于煤气发电、锰硅合</w:t>
      </w:r>
      <w:r>
        <w:rPr>
          <w:rFonts w:ascii="宋体" w:hAnsi="宋体" w:eastAsia="宋体" w:cs="宋体"/>
          <w:sz w:val="24"/>
          <w:szCs w:val="24"/>
        </w:rPr>
        <w:t xml:space="preserve"> </w:t>
      </w:r>
      <w:r>
        <w:rPr>
          <w:rFonts w:ascii="宋体" w:hAnsi="宋体" w:eastAsia="宋体" w:cs="宋体"/>
          <w:spacing w:val="-1"/>
          <w:sz w:val="24"/>
          <w:szCs w:val="24"/>
        </w:rPr>
        <w:t>金焦炭、锰矿石烘干、烧结机等。项目全厂煤气平衡分析详见表</w:t>
      </w:r>
      <w:r>
        <w:rPr>
          <w:rFonts w:ascii="宋体" w:hAnsi="宋体" w:eastAsia="宋体" w:cs="宋体"/>
          <w:spacing w:val="-40"/>
          <w:sz w:val="24"/>
          <w:szCs w:val="24"/>
        </w:rPr>
        <w:t xml:space="preserve"> </w:t>
      </w:r>
      <w:r>
        <w:rPr>
          <w:rFonts w:ascii="Times New Roman" w:hAnsi="Times New Roman" w:eastAsia="Times New Roman" w:cs="Times New Roman"/>
          <w:spacing w:val="-1"/>
          <w:sz w:val="24"/>
          <w:szCs w:val="24"/>
        </w:rPr>
        <w:t>2.3-9</w:t>
      </w:r>
      <w:r>
        <w:rPr>
          <w:rFonts w:ascii="宋体" w:hAnsi="宋体" w:eastAsia="宋体" w:cs="宋体"/>
          <w:spacing w:val="-1"/>
          <w:sz w:val="24"/>
          <w:szCs w:val="24"/>
        </w:rPr>
        <w:t>。</w:t>
      </w:r>
    </w:p>
    <w:p w14:paraId="4DA2846E">
      <w:pPr>
        <w:spacing w:before="48" w:line="228" w:lineRule="auto"/>
        <w:ind w:left="2386"/>
        <w:rPr>
          <w:rFonts w:ascii="Times New Roman" w:hAnsi="Times New Roman" w:eastAsia="Times New Roman" w:cs="Times New Roman"/>
          <w:sz w:val="20"/>
          <w:szCs w:val="20"/>
        </w:rPr>
      </w:pPr>
      <w:r>
        <w:rPr>
          <w:rFonts w:ascii="宋体" w:hAnsi="宋体" w:eastAsia="宋体" w:cs="宋体"/>
          <w:b/>
          <w:bCs/>
          <w:spacing w:val="5"/>
          <w:sz w:val="20"/>
          <w:szCs w:val="20"/>
        </w:rPr>
        <w:t>表</w:t>
      </w:r>
      <w:r>
        <w:rPr>
          <w:rFonts w:ascii="宋体" w:hAnsi="宋体" w:eastAsia="宋体" w:cs="宋体"/>
          <w:spacing w:val="-30"/>
          <w:sz w:val="20"/>
          <w:szCs w:val="20"/>
        </w:rPr>
        <w:t xml:space="preserve"> </w:t>
      </w:r>
      <w:r>
        <w:rPr>
          <w:rFonts w:ascii="Times New Roman" w:hAnsi="Times New Roman" w:eastAsia="Times New Roman" w:cs="Times New Roman"/>
          <w:b/>
          <w:bCs/>
          <w:spacing w:val="5"/>
          <w:sz w:val="20"/>
          <w:szCs w:val="20"/>
        </w:rPr>
        <w:t xml:space="preserve">2.3-9        </w:t>
      </w:r>
      <w:r>
        <w:rPr>
          <w:rFonts w:ascii="宋体" w:hAnsi="宋体" w:eastAsia="宋体" w:cs="宋体"/>
          <w:b/>
          <w:bCs/>
          <w:spacing w:val="5"/>
          <w:sz w:val="20"/>
          <w:szCs w:val="20"/>
        </w:rPr>
        <w:t>煤气平衡分析表</w:t>
      </w:r>
      <w:r>
        <w:rPr>
          <w:rFonts w:ascii="宋体" w:hAnsi="宋体" w:eastAsia="宋体" w:cs="宋体"/>
          <w:spacing w:val="5"/>
          <w:sz w:val="20"/>
          <w:szCs w:val="20"/>
        </w:rPr>
        <w:t xml:space="preserve">    </w:t>
      </w:r>
      <w:r>
        <w:rPr>
          <w:rFonts w:ascii="宋体" w:hAnsi="宋体" w:eastAsia="宋体" w:cs="宋体"/>
          <w:b/>
          <w:bCs/>
          <w:spacing w:val="5"/>
          <w:sz w:val="20"/>
          <w:szCs w:val="20"/>
        </w:rPr>
        <w:t>单位：万</w:t>
      </w:r>
      <w:r>
        <w:rPr>
          <w:rFonts w:ascii="宋体" w:hAnsi="宋体" w:eastAsia="宋体" w:cs="宋体"/>
          <w:spacing w:val="-45"/>
          <w:sz w:val="20"/>
          <w:szCs w:val="20"/>
        </w:rPr>
        <w:t xml:space="preserve"> </w:t>
      </w:r>
      <w:r>
        <w:rPr>
          <w:rFonts w:ascii="Times New Roman" w:hAnsi="Times New Roman" w:eastAsia="Times New Roman" w:cs="Times New Roman"/>
          <w:b/>
          <w:bCs/>
          <w:sz w:val="20"/>
          <w:szCs w:val="20"/>
        </w:rPr>
        <w:t>Nm</w:t>
      </w:r>
      <w:r>
        <w:rPr>
          <w:rFonts w:ascii="Times New Roman" w:hAnsi="Times New Roman" w:eastAsia="Times New Roman" w:cs="Times New Roman"/>
          <w:b/>
          <w:bCs/>
          <w:spacing w:val="5"/>
          <w:position w:val="6"/>
          <w:sz w:val="13"/>
          <w:szCs w:val="13"/>
        </w:rPr>
        <w:t>3</w:t>
      </w:r>
      <w:r>
        <w:rPr>
          <w:rFonts w:ascii="Times New Roman" w:hAnsi="Times New Roman" w:eastAsia="Times New Roman" w:cs="Times New Roman"/>
          <w:b/>
          <w:bCs/>
          <w:spacing w:val="5"/>
          <w:sz w:val="20"/>
          <w:szCs w:val="20"/>
        </w:rPr>
        <w:t>/a</w:t>
      </w:r>
    </w:p>
    <w:p w14:paraId="29127CCC">
      <w:pPr>
        <w:spacing w:line="97" w:lineRule="exact"/>
      </w:pPr>
    </w:p>
    <w:tbl>
      <w:tblPr>
        <w:tblStyle w:val="5"/>
        <w:tblW w:w="922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83"/>
        <w:gridCol w:w="1977"/>
        <w:gridCol w:w="2582"/>
        <w:gridCol w:w="1786"/>
      </w:tblGrid>
      <w:tr w14:paraId="75D900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2883" w:type="dxa"/>
            <w:tcBorders>
              <w:top w:val="single" w:color="000000" w:sz="10" w:space="0"/>
              <w:left w:val="nil"/>
            </w:tcBorders>
            <w:vAlign w:val="top"/>
          </w:tcPr>
          <w:p w14:paraId="00D17D9A">
            <w:pPr>
              <w:pStyle w:val="6"/>
              <w:spacing w:before="60" w:line="226" w:lineRule="auto"/>
              <w:ind w:left="1236"/>
              <w:rPr>
                <w:sz w:val="20"/>
                <w:szCs w:val="20"/>
              </w:rPr>
            </w:pPr>
            <w:r>
              <w:rPr>
                <w:b/>
                <w:bCs/>
                <w:spacing w:val="4"/>
                <w:sz w:val="20"/>
                <w:szCs w:val="20"/>
              </w:rPr>
              <w:t>入方</w:t>
            </w:r>
          </w:p>
        </w:tc>
        <w:tc>
          <w:tcPr>
            <w:tcW w:w="1977" w:type="dxa"/>
            <w:tcBorders>
              <w:top w:val="single" w:color="000000" w:sz="10" w:space="0"/>
            </w:tcBorders>
            <w:vAlign w:val="top"/>
          </w:tcPr>
          <w:p w14:paraId="09A19944">
            <w:pPr>
              <w:pStyle w:val="6"/>
              <w:spacing w:before="60" w:line="226" w:lineRule="auto"/>
              <w:ind w:left="493"/>
              <w:rPr>
                <w:sz w:val="20"/>
                <w:szCs w:val="20"/>
              </w:rPr>
            </w:pPr>
            <w:r>
              <w:rPr>
                <w:b/>
                <w:bCs/>
                <w:spacing w:val="1"/>
                <w:sz w:val="20"/>
                <w:szCs w:val="20"/>
              </w:rPr>
              <w:t>电炉煤气量</w:t>
            </w:r>
          </w:p>
        </w:tc>
        <w:tc>
          <w:tcPr>
            <w:tcW w:w="2582" w:type="dxa"/>
            <w:tcBorders>
              <w:top w:val="single" w:color="000000" w:sz="10" w:space="0"/>
            </w:tcBorders>
            <w:vAlign w:val="top"/>
          </w:tcPr>
          <w:p w14:paraId="7AC56C82">
            <w:pPr>
              <w:pStyle w:val="6"/>
              <w:spacing w:before="60" w:line="226" w:lineRule="auto"/>
              <w:ind w:left="1104"/>
              <w:rPr>
                <w:sz w:val="20"/>
                <w:szCs w:val="20"/>
              </w:rPr>
            </w:pPr>
            <w:r>
              <w:rPr>
                <w:b/>
                <w:bCs/>
                <w:spacing w:val="-6"/>
                <w:sz w:val="20"/>
                <w:szCs w:val="20"/>
              </w:rPr>
              <w:t>出方</w:t>
            </w:r>
          </w:p>
        </w:tc>
        <w:tc>
          <w:tcPr>
            <w:tcW w:w="1786" w:type="dxa"/>
            <w:tcBorders>
              <w:top w:val="single" w:color="000000" w:sz="10" w:space="0"/>
              <w:right w:val="nil"/>
            </w:tcBorders>
            <w:vAlign w:val="top"/>
          </w:tcPr>
          <w:p w14:paraId="6B3BB3C0">
            <w:pPr>
              <w:pStyle w:val="6"/>
              <w:spacing w:before="60" w:line="226" w:lineRule="auto"/>
              <w:ind w:left="398"/>
              <w:rPr>
                <w:sz w:val="20"/>
                <w:szCs w:val="20"/>
              </w:rPr>
            </w:pPr>
            <w:r>
              <w:rPr>
                <w:b/>
                <w:bCs/>
                <w:spacing w:val="1"/>
                <w:sz w:val="20"/>
                <w:szCs w:val="20"/>
              </w:rPr>
              <w:t>电炉煤气量</w:t>
            </w:r>
          </w:p>
        </w:tc>
      </w:tr>
      <w:tr w14:paraId="226076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883" w:type="dxa"/>
            <w:tcBorders>
              <w:left w:val="nil"/>
            </w:tcBorders>
            <w:vAlign w:val="top"/>
          </w:tcPr>
          <w:p w14:paraId="3FD55960">
            <w:pPr>
              <w:pStyle w:val="6"/>
              <w:spacing w:before="63" w:line="228" w:lineRule="auto"/>
              <w:ind w:left="399"/>
              <w:rPr>
                <w:sz w:val="20"/>
                <w:szCs w:val="20"/>
              </w:rPr>
            </w:pPr>
            <w:r>
              <w:rPr>
                <w:spacing w:val="8"/>
                <w:sz w:val="20"/>
                <w:szCs w:val="20"/>
              </w:rPr>
              <w:t>锰硅合金矿热回收煤气</w:t>
            </w:r>
          </w:p>
        </w:tc>
        <w:tc>
          <w:tcPr>
            <w:tcW w:w="1977" w:type="dxa"/>
            <w:vAlign w:val="top"/>
          </w:tcPr>
          <w:p w14:paraId="7E046CF5">
            <w:pPr>
              <w:spacing w:before="102" w:line="195" w:lineRule="auto"/>
              <w:ind w:left="7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54000</w:t>
            </w:r>
          </w:p>
        </w:tc>
        <w:tc>
          <w:tcPr>
            <w:tcW w:w="2582" w:type="dxa"/>
            <w:vAlign w:val="top"/>
          </w:tcPr>
          <w:p w14:paraId="0187BAE6">
            <w:pPr>
              <w:pStyle w:val="6"/>
              <w:spacing w:before="63" w:line="228" w:lineRule="auto"/>
              <w:ind w:left="352"/>
              <w:rPr>
                <w:sz w:val="20"/>
                <w:szCs w:val="20"/>
              </w:rPr>
            </w:pPr>
            <w:r>
              <w:rPr>
                <w:spacing w:val="8"/>
                <w:sz w:val="20"/>
                <w:szCs w:val="20"/>
              </w:rPr>
              <w:t>煤气发电生产燃料气</w:t>
            </w:r>
          </w:p>
        </w:tc>
        <w:tc>
          <w:tcPr>
            <w:tcW w:w="1786" w:type="dxa"/>
            <w:tcBorders>
              <w:right w:val="nil"/>
            </w:tcBorders>
            <w:vAlign w:val="top"/>
          </w:tcPr>
          <w:p w14:paraId="2528F6FB">
            <w:pPr>
              <w:spacing w:before="102" w:line="195" w:lineRule="auto"/>
              <w:ind w:left="50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46056.60</w:t>
            </w:r>
          </w:p>
        </w:tc>
      </w:tr>
      <w:tr w14:paraId="4AE4E9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883" w:type="dxa"/>
            <w:tcBorders>
              <w:left w:val="nil"/>
            </w:tcBorders>
            <w:vAlign w:val="top"/>
          </w:tcPr>
          <w:p w14:paraId="5B3D3F62">
            <w:pPr>
              <w:rPr>
                <w:rFonts w:ascii="Arial"/>
                <w:sz w:val="21"/>
              </w:rPr>
            </w:pPr>
          </w:p>
        </w:tc>
        <w:tc>
          <w:tcPr>
            <w:tcW w:w="1977" w:type="dxa"/>
            <w:vAlign w:val="top"/>
          </w:tcPr>
          <w:p w14:paraId="7C1E957F">
            <w:pPr>
              <w:rPr>
                <w:rFonts w:ascii="Arial"/>
                <w:sz w:val="21"/>
              </w:rPr>
            </w:pPr>
          </w:p>
        </w:tc>
        <w:tc>
          <w:tcPr>
            <w:tcW w:w="2582" w:type="dxa"/>
            <w:vAlign w:val="top"/>
          </w:tcPr>
          <w:p w14:paraId="778432E9">
            <w:pPr>
              <w:pStyle w:val="6"/>
              <w:spacing w:before="68" w:line="227" w:lineRule="auto"/>
              <w:ind w:left="561"/>
              <w:rPr>
                <w:sz w:val="20"/>
                <w:szCs w:val="20"/>
              </w:rPr>
            </w:pPr>
            <w:r>
              <w:rPr>
                <w:spacing w:val="8"/>
                <w:sz w:val="20"/>
                <w:szCs w:val="20"/>
              </w:rPr>
              <w:t>干燥锰矿石使用</w:t>
            </w:r>
          </w:p>
        </w:tc>
        <w:tc>
          <w:tcPr>
            <w:tcW w:w="1786" w:type="dxa"/>
            <w:tcBorders>
              <w:right w:val="nil"/>
            </w:tcBorders>
            <w:vAlign w:val="top"/>
          </w:tcPr>
          <w:p w14:paraId="47EF6CC2">
            <w:pPr>
              <w:spacing w:before="107" w:line="195" w:lineRule="auto"/>
              <w:ind w:left="55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4904.56</w:t>
            </w:r>
          </w:p>
        </w:tc>
      </w:tr>
      <w:tr w14:paraId="1CD1B8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883" w:type="dxa"/>
            <w:tcBorders>
              <w:left w:val="nil"/>
            </w:tcBorders>
            <w:vAlign w:val="top"/>
          </w:tcPr>
          <w:p w14:paraId="771E47A0">
            <w:pPr>
              <w:rPr>
                <w:rFonts w:ascii="Arial"/>
                <w:sz w:val="21"/>
              </w:rPr>
            </w:pPr>
          </w:p>
        </w:tc>
        <w:tc>
          <w:tcPr>
            <w:tcW w:w="1977" w:type="dxa"/>
            <w:vAlign w:val="top"/>
          </w:tcPr>
          <w:p w14:paraId="0D373CD7">
            <w:pPr>
              <w:rPr>
                <w:rFonts w:ascii="Arial"/>
                <w:sz w:val="21"/>
              </w:rPr>
            </w:pPr>
          </w:p>
        </w:tc>
        <w:tc>
          <w:tcPr>
            <w:tcW w:w="2582" w:type="dxa"/>
            <w:vAlign w:val="top"/>
          </w:tcPr>
          <w:p w14:paraId="6AE74555">
            <w:pPr>
              <w:pStyle w:val="6"/>
              <w:spacing w:before="73" w:line="227" w:lineRule="auto"/>
              <w:ind w:left="770"/>
              <w:rPr>
                <w:sz w:val="20"/>
                <w:szCs w:val="20"/>
              </w:rPr>
            </w:pPr>
            <w:r>
              <w:rPr>
                <w:spacing w:val="8"/>
                <w:sz w:val="20"/>
                <w:szCs w:val="20"/>
              </w:rPr>
              <w:t>烧结机使用</w:t>
            </w:r>
          </w:p>
        </w:tc>
        <w:tc>
          <w:tcPr>
            <w:tcW w:w="1786" w:type="dxa"/>
            <w:tcBorders>
              <w:right w:val="nil"/>
            </w:tcBorders>
            <w:vAlign w:val="top"/>
          </w:tcPr>
          <w:p w14:paraId="75A8D57F">
            <w:pPr>
              <w:spacing w:before="109" w:line="195" w:lineRule="auto"/>
              <w:ind w:left="57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1525.36</w:t>
            </w:r>
          </w:p>
        </w:tc>
      </w:tr>
      <w:tr w14:paraId="13DE69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883" w:type="dxa"/>
            <w:tcBorders>
              <w:left w:val="nil"/>
            </w:tcBorders>
            <w:vAlign w:val="top"/>
          </w:tcPr>
          <w:p w14:paraId="2E1237EE">
            <w:pPr>
              <w:rPr>
                <w:rFonts w:ascii="Arial"/>
                <w:sz w:val="21"/>
              </w:rPr>
            </w:pPr>
          </w:p>
        </w:tc>
        <w:tc>
          <w:tcPr>
            <w:tcW w:w="1977" w:type="dxa"/>
            <w:vAlign w:val="top"/>
          </w:tcPr>
          <w:p w14:paraId="1901101E">
            <w:pPr>
              <w:rPr>
                <w:rFonts w:ascii="Arial"/>
                <w:sz w:val="21"/>
              </w:rPr>
            </w:pPr>
          </w:p>
        </w:tc>
        <w:tc>
          <w:tcPr>
            <w:tcW w:w="2582" w:type="dxa"/>
            <w:vAlign w:val="top"/>
          </w:tcPr>
          <w:p w14:paraId="0FBA7754">
            <w:pPr>
              <w:pStyle w:val="6"/>
              <w:spacing w:before="76" w:line="226" w:lineRule="auto"/>
              <w:ind w:left="667"/>
              <w:rPr>
                <w:sz w:val="20"/>
                <w:szCs w:val="20"/>
              </w:rPr>
            </w:pPr>
            <w:r>
              <w:rPr>
                <w:spacing w:val="8"/>
                <w:sz w:val="20"/>
                <w:szCs w:val="20"/>
              </w:rPr>
              <w:t>干燥焦炭使用</w:t>
            </w:r>
          </w:p>
        </w:tc>
        <w:tc>
          <w:tcPr>
            <w:tcW w:w="1786" w:type="dxa"/>
            <w:tcBorders>
              <w:right w:val="nil"/>
            </w:tcBorders>
            <w:vAlign w:val="top"/>
          </w:tcPr>
          <w:p w14:paraId="35BC6C06">
            <w:pPr>
              <w:spacing w:before="114" w:line="195" w:lineRule="auto"/>
              <w:ind w:left="57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1513.48</w:t>
            </w:r>
          </w:p>
        </w:tc>
      </w:tr>
      <w:tr w14:paraId="4E8742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2883" w:type="dxa"/>
            <w:tcBorders>
              <w:left w:val="nil"/>
              <w:bottom w:val="single" w:color="000000" w:sz="10" w:space="0"/>
            </w:tcBorders>
            <w:vAlign w:val="top"/>
          </w:tcPr>
          <w:p w14:paraId="3E439582">
            <w:pPr>
              <w:pStyle w:val="6"/>
              <w:spacing w:before="81" w:line="229" w:lineRule="auto"/>
              <w:ind w:left="1240"/>
              <w:rPr>
                <w:sz w:val="20"/>
                <w:szCs w:val="20"/>
              </w:rPr>
            </w:pPr>
            <w:r>
              <w:rPr>
                <w:spacing w:val="4"/>
                <w:sz w:val="20"/>
                <w:szCs w:val="20"/>
              </w:rPr>
              <w:t>合计</w:t>
            </w:r>
          </w:p>
        </w:tc>
        <w:tc>
          <w:tcPr>
            <w:tcW w:w="1977" w:type="dxa"/>
            <w:tcBorders>
              <w:bottom w:val="single" w:color="000000" w:sz="10" w:space="0"/>
            </w:tcBorders>
            <w:vAlign w:val="top"/>
          </w:tcPr>
          <w:p w14:paraId="29D2063F">
            <w:pPr>
              <w:spacing w:before="119" w:line="195" w:lineRule="auto"/>
              <w:ind w:left="7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54000</w:t>
            </w:r>
          </w:p>
        </w:tc>
        <w:tc>
          <w:tcPr>
            <w:tcW w:w="2582" w:type="dxa"/>
            <w:tcBorders>
              <w:bottom w:val="single" w:color="000000" w:sz="10" w:space="0"/>
            </w:tcBorders>
            <w:vAlign w:val="top"/>
          </w:tcPr>
          <w:p w14:paraId="1FE34B3C">
            <w:pPr>
              <w:pStyle w:val="6"/>
              <w:spacing w:before="81" w:line="229" w:lineRule="auto"/>
              <w:ind w:left="1089"/>
              <w:rPr>
                <w:sz w:val="20"/>
                <w:szCs w:val="20"/>
              </w:rPr>
            </w:pPr>
            <w:r>
              <w:rPr>
                <w:spacing w:val="4"/>
                <w:sz w:val="20"/>
                <w:szCs w:val="20"/>
              </w:rPr>
              <w:t>合计</w:t>
            </w:r>
          </w:p>
        </w:tc>
        <w:tc>
          <w:tcPr>
            <w:tcW w:w="1786" w:type="dxa"/>
            <w:tcBorders>
              <w:bottom w:val="single" w:color="000000" w:sz="10" w:space="0"/>
              <w:right w:val="nil"/>
            </w:tcBorders>
            <w:vAlign w:val="top"/>
          </w:tcPr>
          <w:p w14:paraId="6334425E">
            <w:pPr>
              <w:spacing w:before="119" w:line="195" w:lineRule="auto"/>
              <w:ind w:left="6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54000</w:t>
            </w:r>
          </w:p>
        </w:tc>
      </w:tr>
    </w:tbl>
    <w:p w14:paraId="29A592C0">
      <w:pPr>
        <w:pStyle w:val="2"/>
      </w:pPr>
    </w:p>
    <w:p w14:paraId="703882C0">
      <w:pPr>
        <w:sectPr>
          <w:headerReference r:id="rId157" w:type="default"/>
          <w:footerReference r:id="rId158" w:type="default"/>
          <w:pgSz w:w="11850" w:h="16781"/>
          <w:pgMar w:top="1190" w:right="1310" w:bottom="1013" w:left="1310" w:header="882" w:footer="850" w:gutter="0"/>
          <w:cols w:space="720" w:num="1"/>
        </w:sectPr>
      </w:pPr>
    </w:p>
    <w:p w14:paraId="4E77D9A9">
      <w:pPr>
        <w:pStyle w:val="2"/>
        <w:spacing w:line="292" w:lineRule="auto"/>
      </w:pPr>
      <w:r>
        <w:pict>
          <v:shape id="_x0000_s1198" o:spid="_x0000_s1198" style="position:absolute;left:0pt;margin-left:0pt;margin-top:0.7pt;height:0.75pt;width:450.75pt;z-index:251856896;mso-width-relative:page;mso-height-relative:page;" fillcolor="#000000" filled="t" stroked="f" coordsize="9015,15" path="m0,0l9014,0,9014,14,0,14,0,0xe">
            <v:path/>
            <v:fill on="t" focussize="0,0"/>
            <v:stroke on="f"/>
            <v:imagedata o:title=""/>
            <o:lock v:ext="edit"/>
          </v:shape>
        </w:pict>
      </w:r>
    </w:p>
    <w:p w14:paraId="4E18C03B">
      <w:pPr>
        <w:spacing w:before="65" w:line="228" w:lineRule="auto"/>
        <w:ind w:left="1993"/>
        <w:rPr>
          <w:rFonts w:ascii="Times New Roman" w:hAnsi="Times New Roman" w:eastAsia="Times New Roman" w:cs="Times New Roman"/>
          <w:sz w:val="20"/>
          <w:szCs w:val="20"/>
        </w:rPr>
      </w:pPr>
      <w:r>
        <w:rPr>
          <w:rFonts w:ascii="宋体" w:hAnsi="宋体" w:eastAsia="宋体" w:cs="宋体"/>
          <w:b/>
          <w:bCs/>
          <w:spacing w:val="5"/>
          <w:sz w:val="20"/>
          <w:szCs w:val="20"/>
        </w:rPr>
        <w:t>表</w:t>
      </w:r>
      <w:r>
        <w:rPr>
          <w:rFonts w:ascii="宋体" w:hAnsi="宋体" w:eastAsia="宋体" w:cs="宋体"/>
          <w:spacing w:val="-27"/>
          <w:sz w:val="20"/>
          <w:szCs w:val="20"/>
        </w:rPr>
        <w:t xml:space="preserve"> </w:t>
      </w:r>
      <w:r>
        <w:rPr>
          <w:rFonts w:ascii="Times New Roman" w:hAnsi="Times New Roman" w:eastAsia="Times New Roman" w:cs="Times New Roman"/>
          <w:b/>
          <w:bCs/>
          <w:spacing w:val="5"/>
          <w:sz w:val="20"/>
          <w:szCs w:val="20"/>
        </w:rPr>
        <w:t xml:space="preserve">2.3-10        </w:t>
      </w:r>
      <w:r>
        <w:rPr>
          <w:rFonts w:ascii="宋体" w:hAnsi="宋体" w:eastAsia="宋体" w:cs="宋体"/>
          <w:b/>
          <w:bCs/>
          <w:spacing w:val="5"/>
          <w:sz w:val="20"/>
          <w:szCs w:val="20"/>
        </w:rPr>
        <w:t>全厂电炉煤气硫平衡分析表</w:t>
      </w:r>
      <w:r>
        <w:rPr>
          <w:rFonts w:ascii="宋体" w:hAnsi="宋体" w:eastAsia="宋体" w:cs="宋体"/>
          <w:spacing w:val="5"/>
          <w:sz w:val="20"/>
          <w:szCs w:val="20"/>
        </w:rPr>
        <w:t xml:space="preserve">    </w:t>
      </w:r>
      <w:r>
        <w:rPr>
          <w:rFonts w:ascii="宋体" w:hAnsi="宋体" w:eastAsia="宋体" w:cs="宋体"/>
          <w:b/>
          <w:bCs/>
          <w:spacing w:val="5"/>
          <w:sz w:val="20"/>
          <w:szCs w:val="20"/>
        </w:rPr>
        <w:t>单位：</w:t>
      </w:r>
      <w:r>
        <w:rPr>
          <w:rFonts w:ascii="Times New Roman" w:hAnsi="Times New Roman" w:eastAsia="Times New Roman" w:cs="Times New Roman"/>
          <w:b/>
          <w:bCs/>
          <w:spacing w:val="5"/>
          <w:sz w:val="20"/>
          <w:szCs w:val="20"/>
        </w:rPr>
        <w:t>t/a</w:t>
      </w:r>
    </w:p>
    <w:p w14:paraId="1F0C4305">
      <w:pPr>
        <w:spacing w:line="97" w:lineRule="exact"/>
      </w:pPr>
    </w:p>
    <w:tbl>
      <w:tblPr>
        <w:tblStyle w:val="5"/>
        <w:tblW w:w="901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69"/>
        <w:gridCol w:w="1065"/>
        <w:gridCol w:w="843"/>
        <w:gridCol w:w="701"/>
        <w:gridCol w:w="2576"/>
        <w:gridCol w:w="1080"/>
        <w:gridCol w:w="874"/>
        <w:gridCol w:w="706"/>
      </w:tblGrid>
      <w:tr w14:paraId="5F1B4C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1169" w:type="dxa"/>
            <w:tcBorders>
              <w:top w:val="single" w:color="000000" w:sz="10" w:space="0"/>
              <w:left w:val="nil"/>
            </w:tcBorders>
            <w:vAlign w:val="top"/>
          </w:tcPr>
          <w:p w14:paraId="41751D53">
            <w:pPr>
              <w:pStyle w:val="6"/>
              <w:spacing w:before="218" w:line="228" w:lineRule="auto"/>
              <w:ind w:left="168"/>
              <w:rPr>
                <w:sz w:val="20"/>
                <w:szCs w:val="20"/>
              </w:rPr>
            </w:pPr>
            <w:r>
              <w:rPr>
                <w:spacing w:val="7"/>
                <w:sz w:val="20"/>
                <w:szCs w:val="20"/>
              </w:rPr>
              <w:t>进料名称</w:t>
            </w:r>
          </w:p>
        </w:tc>
        <w:tc>
          <w:tcPr>
            <w:tcW w:w="1065" w:type="dxa"/>
            <w:tcBorders>
              <w:top w:val="single" w:color="000000" w:sz="10" w:space="0"/>
            </w:tcBorders>
            <w:vAlign w:val="top"/>
          </w:tcPr>
          <w:p w14:paraId="15A8D2CC">
            <w:pPr>
              <w:pStyle w:val="6"/>
              <w:spacing w:before="60" w:line="277" w:lineRule="auto"/>
              <w:ind w:left="80" w:right="66" w:firstLine="140"/>
              <w:rPr>
                <w:rFonts w:ascii="Times New Roman" w:hAnsi="Times New Roman" w:eastAsia="Times New Roman" w:cs="Times New Roman"/>
                <w:sz w:val="20"/>
                <w:szCs w:val="20"/>
              </w:rPr>
            </w:pPr>
            <w:r>
              <w:rPr>
                <w:spacing w:val="7"/>
                <w:sz w:val="20"/>
                <w:szCs w:val="20"/>
              </w:rPr>
              <w:t>进料量</w:t>
            </w:r>
            <w:r>
              <w:rPr>
                <w:sz w:val="20"/>
                <w:szCs w:val="20"/>
              </w:rPr>
              <w:t xml:space="preserve">  </w:t>
            </w:r>
            <w:r>
              <w:rPr>
                <w:rFonts w:ascii="Times New Roman" w:hAnsi="Times New Roman" w:eastAsia="Times New Roman" w:cs="Times New Roman"/>
                <w:spacing w:val="3"/>
                <w:sz w:val="20"/>
                <w:szCs w:val="20"/>
              </w:rPr>
              <w:t>×10</w:t>
            </w:r>
            <w:r>
              <w:rPr>
                <w:rFonts w:ascii="Times New Roman" w:hAnsi="Times New Roman" w:eastAsia="Times New Roman" w:cs="Times New Roman"/>
                <w:spacing w:val="3"/>
                <w:position w:val="5"/>
                <w:sz w:val="13"/>
                <w:szCs w:val="13"/>
              </w:rPr>
              <w:t>4</w:t>
            </w:r>
            <w:r>
              <w:rPr>
                <w:rFonts w:ascii="Times New Roman" w:hAnsi="Times New Roman" w:eastAsia="Times New Roman" w:cs="Times New Roman"/>
                <w:sz w:val="20"/>
                <w:szCs w:val="20"/>
              </w:rPr>
              <w:t>Nm</w:t>
            </w:r>
            <w:r>
              <w:rPr>
                <w:rFonts w:ascii="Times New Roman" w:hAnsi="Times New Roman" w:eastAsia="Times New Roman" w:cs="Times New Roman"/>
                <w:spacing w:val="3"/>
                <w:position w:val="5"/>
                <w:sz w:val="13"/>
                <w:szCs w:val="13"/>
              </w:rPr>
              <w:t>3</w:t>
            </w:r>
            <w:r>
              <w:rPr>
                <w:rFonts w:ascii="Times New Roman" w:hAnsi="Times New Roman" w:eastAsia="Times New Roman" w:cs="Times New Roman"/>
                <w:spacing w:val="3"/>
                <w:sz w:val="20"/>
                <w:szCs w:val="20"/>
              </w:rPr>
              <w:t>/a</w:t>
            </w:r>
          </w:p>
        </w:tc>
        <w:tc>
          <w:tcPr>
            <w:tcW w:w="843" w:type="dxa"/>
            <w:tcBorders>
              <w:top w:val="single" w:color="000000" w:sz="10" w:space="0"/>
            </w:tcBorders>
            <w:vAlign w:val="top"/>
          </w:tcPr>
          <w:p w14:paraId="1DB13DD4">
            <w:pPr>
              <w:pStyle w:val="6"/>
              <w:spacing w:before="60" w:line="277" w:lineRule="auto"/>
              <w:ind w:left="65" w:right="64" w:firstLine="44"/>
              <w:rPr>
                <w:rFonts w:ascii="Times New Roman" w:hAnsi="Times New Roman" w:eastAsia="Times New Roman" w:cs="Times New Roman"/>
                <w:sz w:val="13"/>
                <w:szCs w:val="13"/>
              </w:rPr>
            </w:pPr>
            <w:r>
              <w:rPr>
                <w:spacing w:val="6"/>
                <w:sz w:val="20"/>
                <w:szCs w:val="20"/>
              </w:rPr>
              <w:t>含硫量</w:t>
            </w:r>
            <w:r>
              <w:rPr>
                <w:spacing w:val="1"/>
                <w:sz w:val="20"/>
                <w:szCs w:val="20"/>
              </w:rPr>
              <w:t xml:space="preserve"> </w:t>
            </w:r>
            <w:r>
              <w:rPr>
                <w:rFonts w:ascii="Times New Roman" w:hAnsi="Times New Roman" w:eastAsia="Times New Roman" w:cs="Times New Roman"/>
                <w:sz w:val="20"/>
                <w:szCs w:val="20"/>
              </w:rPr>
              <w:t>mg</w:t>
            </w:r>
            <w:r>
              <w:rPr>
                <w:rFonts w:ascii="Times New Roman" w:hAnsi="Times New Roman" w:eastAsia="Times New Roman" w:cs="Times New Roman"/>
                <w:spacing w:val="15"/>
                <w:sz w:val="20"/>
                <w:szCs w:val="20"/>
              </w:rPr>
              <w:t>/</w:t>
            </w:r>
            <w:r>
              <w:rPr>
                <w:rFonts w:ascii="Times New Roman" w:hAnsi="Times New Roman" w:eastAsia="Times New Roman" w:cs="Times New Roman"/>
                <w:sz w:val="20"/>
                <w:szCs w:val="20"/>
              </w:rPr>
              <w:t>Nm</w:t>
            </w:r>
            <w:r>
              <w:rPr>
                <w:rFonts w:ascii="Times New Roman" w:hAnsi="Times New Roman" w:eastAsia="Times New Roman" w:cs="Times New Roman"/>
                <w:spacing w:val="15"/>
                <w:position w:val="6"/>
                <w:sz w:val="13"/>
                <w:szCs w:val="13"/>
              </w:rPr>
              <w:t>3</w:t>
            </w:r>
          </w:p>
        </w:tc>
        <w:tc>
          <w:tcPr>
            <w:tcW w:w="701" w:type="dxa"/>
            <w:tcBorders>
              <w:top w:val="single" w:color="000000" w:sz="10" w:space="0"/>
            </w:tcBorders>
            <w:vAlign w:val="top"/>
          </w:tcPr>
          <w:p w14:paraId="40AEF83E">
            <w:pPr>
              <w:pStyle w:val="6"/>
              <w:spacing w:before="218" w:line="230" w:lineRule="auto"/>
              <w:ind w:left="145"/>
              <w:rPr>
                <w:sz w:val="20"/>
                <w:szCs w:val="20"/>
              </w:rPr>
            </w:pPr>
            <w:r>
              <w:rPr>
                <w:spacing w:val="5"/>
                <w:sz w:val="20"/>
                <w:szCs w:val="20"/>
              </w:rPr>
              <w:t>硫量</w:t>
            </w:r>
          </w:p>
        </w:tc>
        <w:tc>
          <w:tcPr>
            <w:tcW w:w="2576" w:type="dxa"/>
            <w:tcBorders>
              <w:top w:val="single" w:color="000000" w:sz="10" w:space="0"/>
            </w:tcBorders>
            <w:vAlign w:val="top"/>
          </w:tcPr>
          <w:p w14:paraId="7CD4F839">
            <w:pPr>
              <w:pStyle w:val="6"/>
              <w:spacing w:before="218" w:line="228" w:lineRule="auto"/>
              <w:ind w:left="891"/>
              <w:rPr>
                <w:sz w:val="20"/>
                <w:szCs w:val="20"/>
              </w:rPr>
            </w:pPr>
            <w:r>
              <w:rPr>
                <w:spacing w:val="2"/>
                <w:sz w:val="20"/>
                <w:szCs w:val="20"/>
              </w:rPr>
              <w:t>出料名称</w:t>
            </w:r>
          </w:p>
        </w:tc>
        <w:tc>
          <w:tcPr>
            <w:tcW w:w="1080" w:type="dxa"/>
            <w:tcBorders>
              <w:top w:val="single" w:color="000000" w:sz="10" w:space="0"/>
            </w:tcBorders>
            <w:vAlign w:val="top"/>
          </w:tcPr>
          <w:p w14:paraId="43ACF7A3">
            <w:pPr>
              <w:pStyle w:val="6"/>
              <w:spacing w:before="60" w:line="277" w:lineRule="auto"/>
              <w:ind w:left="89" w:right="75" w:firstLine="160"/>
              <w:rPr>
                <w:rFonts w:ascii="Times New Roman" w:hAnsi="Times New Roman" w:eastAsia="Times New Roman" w:cs="Times New Roman"/>
                <w:sz w:val="20"/>
                <w:szCs w:val="20"/>
              </w:rPr>
            </w:pPr>
            <w:r>
              <w:rPr>
                <w:sz w:val="20"/>
                <w:szCs w:val="20"/>
              </w:rPr>
              <w:t xml:space="preserve">出料量  </w:t>
            </w:r>
            <w:r>
              <w:rPr>
                <w:rFonts w:ascii="Times New Roman" w:hAnsi="Times New Roman" w:eastAsia="Times New Roman" w:cs="Times New Roman"/>
                <w:spacing w:val="3"/>
                <w:sz w:val="20"/>
                <w:szCs w:val="20"/>
              </w:rPr>
              <w:t>×10</w:t>
            </w:r>
            <w:r>
              <w:rPr>
                <w:rFonts w:ascii="Times New Roman" w:hAnsi="Times New Roman" w:eastAsia="Times New Roman" w:cs="Times New Roman"/>
                <w:spacing w:val="3"/>
                <w:position w:val="5"/>
                <w:sz w:val="13"/>
                <w:szCs w:val="13"/>
              </w:rPr>
              <w:t>4</w:t>
            </w:r>
            <w:r>
              <w:rPr>
                <w:rFonts w:ascii="Times New Roman" w:hAnsi="Times New Roman" w:eastAsia="Times New Roman" w:cs="Times New Roman"/>
                <w:sz w:val="20"/>
                <w:szCs w:val="20"/>
              </w:rPr>
              <w:t>Nm</w:t>
            </w:r>
            <w:r>
              <w:rPr>
                <w:rFonts w:ascii="Times New Roman" w:hAnsi="Times New Roman" w:eastAsia="Times New Roman" w:cs="Times New Roman"/>
                <w:spacing w:val="3"/>
                <w:position w:val="5"/>
                <w:sz w:val="13"/>
                <w:szCs w:val="13"/>
              </w:rPr>
              <w:t>3</w:t>
            </w:r>
            <w:r>
              <w:rPr>
                <w:rFonts w:ascii="Times New Roman" w:hAnsi="Times New Roman" w:eastAsia="Times New Roman" w:cs="Times New Roman"/>
                <w:spacing w:val="3"/>
                <w:sz w:val="20"/>
                <w:szCs w:val="20"/>
              </w:rPr>
              <w:t>/a</w:t>
            </w:r>
          </w:p>
        </w:tc>
        <w:tc>
          <w:tcPr>
            <w:tcW w:w="874" w:type="dxa"/>
            <w:tcBorders>
              <w:top w:val="single" w:color="000000" w:sz="10" w:space="0"/>
            </w:tcBorders>
            <w:vAlign w:val="top"/>
          </w:tcPr>
          <w:p w14:paraId="537677B9">
            <w:pPr>
              <w:pStyle w:val="6"/>
              <w:spacing w:before="60" w:line="277" w:lineRule="auto"/>
              <w:ind w:left="80" w:right="80" w:firstLine="47"/>
              <w:rPr>
                <w:rFonts w:ascii="Times New Roman" w:hAnsi="Times New Roman" w:eastAsia="Times New Roman" w:cs="Times New Roman"/>
                <w:sz w:val="13"/>
                <w:szCs w:val="13"/>
              </w:rPr>
            </w:pPr>
            <w:r>
              <w:rPr>
                <w:spacing w:val="6"/>
                <w:sz w:val="20"/>
                <w:szCs w:val="20"/>
              </w:rPr>
              <w:t>含硫量</w:t>
            </w:r>
            <w:r>
              <w:rPr>
                <w:spacing w:val="1"/>
                <w:sz w:val="20"/>
                <w:szCs w:val="20"/>
              </w:rPr>
              <w:t xml:space="preserve"> </w:t>
            </w:r>
            <w:r>
              <w:rPr>
                <w:rFonts w:ascii="Times New Roman" w:hAnsi="Times New Roman" w:eastAsia="Times New Roman" w:cs="Times New Roman"/>
                <w:sz w:val="20"/>
                <w:szCs w:val="20"/>
              </w:rPr>
              <w:t>mg</w:t>
            </w:r>
            <w:r>
              <w:rPr>
                <w:rFonts w:ascii="Times New Roman" w:hAnsi="Times New Roman" w:eastAsia="Times New Roman" w:cs="Times New Roman"/>
                <w:spacing w:val="15"/>
                <w:sz w:val="20"/>
                <w:szCs w:val="20"/>
              </w:rPr>
              <w:t>/</w:t>
            </w:r>
            <w:r>
              <w:rPr>
                <w:rFonts w:ascii="Times New Roman" w:hAnsi="Times New Roman" w:eastAsia="Times New Roman" w:cs="Times New Roman"/>
                <w:sz w:val="20"/>
                <w:szCs w:val="20"/>
              </w:rPr>
              <w:t>Nm</w:t>
            </w:r>
            <w:r>
              <w:rPr>
                <w:rFonts w:ascii="Times New Roman" w:hAnsi="Times New Roman" w:eastAsia="Times New Roman" w:cs="Times New Roman"/>
                <w:spacing w:val="15"/>
                <w:position w:val="6"/>
                <w:sz w:val="13"/>
                <w:szCs w:val="13"/>
              </w:rPr>
              <w:t>3</w:t>
            </w:r>
          </w:p>
        </w:tc>
        <w:tc>
          <w:tcPr>
            <w:tcW w:w="706" w:type="dxa"/>
            <w:tcBorders>
              <w:top w:val="single" w:color="000000" w:sz="10" w:space="0"/>
              <w:right w:val="nil"/>
            </w:tcBorders>
            <w:vAlign w:val="top"/>
          </w:tcPr>
          <w:p w14:paraId="6D98253C">
            <w:pPr>
              <w:pStyle w:val="6"/>
              <w:spacing w:before="218" w:line="230" w:lineRule="auto"/>
              <w:ind w:left="148"/>
              <w:rPr>
                <w:sz w:val="20"/>
                <w:szCs w:val="20"/>
              </w:rPr>
            </w:pPr>
            <w:r>
              <w:rPr>
                <w:spacing w:val="5"/>
                <w:sz w:val="20"/>
                <w:szCs w:val="20"/>
              </w:rPr>
              <w:t>硫量</w:t>
            </w:r>
          </w:p>
        </w:tc>
      </w:tr>
      <w:tr w14:paraId="511B8D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1169" w:type="dxa"/>
            <w:tcBorders>
              <w:left w:val="nil"/>
            </w:tcBorders>
            <w:vAlign w:val="top"/>
          </w:tcPr>
          <w:p w14:paraId="528D083E">
            <w:pPr>
              <w:pStyle w:val="6"/>
              <w:spacing w:before="60" w:line="225" w:lineRule="auto"/>
              <w:ind w:left="194"/>
              <w:rPr>
                <w:sz w:val="20"/>
                <w:szCs w:val="20"/>
              </w:rPr>
            </w:pPr>
            <w:r>
              <w:rPr>
                <w:spacing w:val="1"/>
                <w:sz w:val="20"/>
                <w:szCs w:val="20"/>
              </w:rPr>
              <w:t>电炉煤气</w:t>
            </w:r>
          </w:p>
        </w:tc>
        <w:tc>
          <w:tcPr>
            <w:tcW w:w="1065" w:type="dxa"/>
            <w:vAlign w:val="top"/>
          </w:tcPr>
          <w:p w14:paraId="76F8D865">
            <w:pPr>
              <w:spacing w:before="95" w:line="195" w:lineRule="auto"/>
              <w:ind w:left="2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54000</w:t>
            </w:r>
          </w:p>
        </w:tc>
        <w:tc>
          <w:tcPr>
            <w:tcW w:w="843" w:type="dxa"/>
            <w:vAlign w:val="top"/>
          </w:tcPr>
          <w:p w14:paraId="7F9706C9">
            <w:pPr>
              <w:spacing w:before="95" w:line="195" w:lineRule="auto"/>
              <w:ind w:left="322"/>
              <w:rPr>
                <w:rFonts w:ascii="Times New Roman" w:hAnsi="Times New Roman" w:eastAsia="Times New Roman" w:cs="Times New Roman"/>
                <w:sz w:val="20"/>
                <w:szCs w:val="20"/>
              </w:rPr>
            </w:pPr>
            <w:r>
              <w:rPr>
                <w:rFonts w:ascii="Times New Roman" w:hAnsi="Times New Roman" w:eastAsia="Times New Roman" w:cs="Times New Roman"/>
                <w:sz w:val="20"/>
                <w:szCs w:val="20"/>
              </w:rPr>
              <w:t>96</w:t>
            </w:r>
          </w:p>
        </w:tc>
        <w:tc>
          <w:tcPr>
            <w:tcW w:w="701" w:type="dxa"/>
            <w:vAlign w:val="top"/>
          </w:tcPr>
          <w:p w14:paraId="4C974598">
            <w:pPr>
              <w:spacing w:before="95" w:line="195" w:lineRule="auto"/>
              <w:ind w:left="12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51.84</w:t>
            </w:r>
          </w:p>
        </w:tc>
        <w:tc>
          <w:tcPr>
            <w:tcW w:w="2576" w:type="dxa"/>
            <w:vAlign w:val="top"/>
          </w:tcPr>
          <w:p w14:paraId="37FEA523">
            <w:pPr>
              <w:pStyle w:val="6"/>
              <w:spacing w:before="60" w:line="225" w:lineRule="auto"/>
              <w:ind w:left="453"/>
              <w:rPr>
                <w:sz w:val="20"/>
                <w:szCs w:val="20"/>
              </w:rPr>
            </w:pPr>
            <w:r>
              <w:rPr>
                <w:spacing w:val="8"/>
                <w:sz w:val="20"/>
                <w:szCs w:val="20"/>
              </w:rPr>
              <w:t>煤气发电生产燃料</w:t>
            </w:r>
          </w:p>
        </w:tc>
        <w:tc>
          <w:tcPr>
            <w:tcW w:w="1080" w:type="dxa"/>
            <w:vAlign w:val="top"/>
          </w:tcPr>
          <w:p w14:paraId="54948844">
            <w:pPr>
              <w:spacing w:before="95" w:line="195" w:lineRule="auto"/>
              <w:ind w:left="14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46056.60</w:t>
            </w:r>
          </w:p>
        </w:tc>
        <w:tc>
          <w:tcPr>
            <w:tcW w:w="874" w:type="dxa"/>
            <w:vAlign w:val="top"/>
          </w:tcPr>
          <w:p w14:paraId="4AEC8462">
            <w:pPr>
              <w:spacing w:before="95" w:line="195" w:lineRule="auto"/>
              <w:ind w:left="337"/>
              <w:rPr>
                <w:rFonts w:ascii="Times New Roman" w:hAnsi="Times New Roman" w:eastAsia="Times New Roman" w:cs="Times New Roman"/>
                <w:sz w:val="20"/>
                <w:szCs w:val="20"/>
              </w:rPr>
            </w:pPr>
            <w:r>
              <w:rPr>
                <w:rFonts w:ascii="Times New Roman" w:hAnsi="Times New Roman" w:eastAsia="Times New Roman" w:cs="Times New Roman"/>
                <w:sz w:val="20"/>
                <w:szCs w:val="20"/>
              </w:rPr>
              <w:t>96</w:t>
            </w:r>
          </w:p>
        </w:tc>
        <w:tc>
          <w:tcPr>
            <w:tcW w:w="706" w:type="dxa"/>
            <w:tcBorders>
              <w:right w:val="nil"/>
            </w:tcBorders>
            <w:vAlign w:val="top"/>
          </w:tcPr>
          <w:p w14:paraId="36393A84">
            <w:pPr>
              <w:spacing w:before="95"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44.21</w:t>
            </w:r>
          </w:p>
        </w:tc>
      </w:tr>
      <w:tr w14:paraId="5705DC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1169" w:type="dxa"/>
            <w:tcBorders>
              <w:left w:val="nil"/>
            </w:tcBorders>
            <w:vAlign w:val="top"/>
          </w:tcPr>
          <w:p w14:paraId="55924891">
            <w:pPr>
              <w:spacing w:before="96" w:line="199" w:lineRule="auto"/>
              <w:ind w:left="55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65" w:type="dxa"/>
            <w:vAlign w:val="top"/>
          </w:tcPr>
          <w:p w14:paraId="494CECB0">
            <w:pPr>
              <w:spacing w:before="96" w:line="199" w:lineRule="auto"/>
              <w:ind w:left="5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43" w:type="dxa"/>
            <w:vAlign w:val="top"/>
          </w:tcPr>
          <w:p w14:paraId="0F06E9F2">
            <w:pPr>
              <w:spacing w:before="96" w:line="199" w:lineRule="auto"/>
              <w:ind w:left="3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701" w:type="dxa"/>
            <w:vAlign w:val="top"/>
          </w:tcPr>
          <w:p w14:paraId="08955F68">
            <w:pPr>
              <w:spacing w:before="96" w:line="199" w:lineRule="auto"/>
              <w:ind w:left="3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76" w:type="dxa"/>
            <w:vAlign w:val="top"/>
          </w:tcPr>
          <w:p w14:paraId="4E48B761">
            <w:pPr>
              <w:pStyle w:val="6"/>
              <w:spacing w:before="62" w:line="223" w:lineRule="auto"/>
              <w:ind w:left="557"/>
              <w:rPr>
                <w:sz w:val="20"/>
                <w:szCs w:val="20"/>
              </w:rPr>
            </w:pPr>
            <w:r>
              <w:rPr>
                <w:spacing w:val="8"/>
                <w:sz w:val="20"/>
                <w:szCs w:val="20"/>
              </w:rPr>
              <w:t>干燥锰矿石使用</w:t>
            </w:r>
          </w:p>
        </w:tc>
        <w:tc>
          <w:tcPr>
            <w:tcW w:w="1080" w:type="dxa"/>
            <w:vAlign w:val="top"/>
          </w:tcPr>
          <w:p w14:paraId="7CCDD789">
            <w:pPr>
              <w:spacing w:before="100" w:line="195" w:lineRule="auto"/>
              <w:ind w:left="19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4904.56</w:t>
            </w:r>
          </w:p>
        </w:tc>
        <w:tc>
          <w:tcPr>
            <w:tcW w:w="874" w:type="dxa"/>
            <w:vAlign w:val="top"/>
          </w:tcPr>
          <w:p w14:paraId="08EAF389">
            <w:pPr>
              <w:spacing w:before="100" w:line="195" w:lineRule="auto"/>
              <w:ind w:left="337"/>
              <w:rPr>
                <w:rFonts w:ascii="Times New Roman" w:hAnsi="Times New Roman" w:eastAsia="Times New Roman" w:cs="Times New Roman"/>
                <w:sz w:val="20"/>
                <w:szCs w:val="20"/>
              </w:rPr>
            </w:pPr>
            <w:r>
              <w:rPr>
                <w:rFonts w:ascii="Times New Roman" w:hAnsi="Times New Roman" w:eastAsia="Times New Roman" w:cs="Times New Roman"/>
                <w:sz w:val="20"/>
                <w:szCs w:val="20"/>
              </w:rPr>
              <w:t>96</w:t>
            </w:r>
          </w:p>
        </w:tc>
        <w:tc>
          <w:tcPr>
            <w:tcW w:w="706" w:type="dxa"/>
            <w:tcBorders>
              <w:right w:val="nil"/>
            </w:tcBorders>
            <w:vAlign w:val="top"/>
          </w:tcPr>
          <w:p w14:paraId="364AC7AE">
            <w:pPr>
              <w:spacing w:before="100" w:line="195" w:lineRule="auto"/>
              <w:ind w:left="1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4.71</w:t>
            </w:r>
          </w:p>
        </w:tc>
      </w:tr>
      <w:tr w14:paraId="2562D9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1169" w:type="dxa"/>
            <w:tcBorders>
              <w:left w:val="nil"/>
            </w:tcBorders>
            <w:vAlign w:val="top"/>
          </w:tcPr>
          <w:p w14:paraId="53192D2B">
            <w:pPr>
              <w:spacing w:before="99" w:line="199" w:lineRule="auto"/>
              <w:ind w:left="55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65" w:type="dxa"/>
            <w:vAlign w:val="top"/>
          </w:tcPr>
          <w:p w14:paraId="0168AF12">
            <w:pPr>
              <w:spacing w:before="99" w:line="199" w:lineRule="auto"/>
              <w:ind w:left="5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43" w:type="dxa"/>
            <w:vAlign w:val="top"/>
          </w:tcPr>
          <w:p w14:paraId="3703C4C8">
            <w:pPr>
              <w:spacing w:before="99" w:line="199" w:lineRule="auto"/>
              <w:ind w:left="3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701" w:type="dxa"/>
            <w:vAlign w:val="top"/>
          </w:tcPr>
          <w:p w14:paraId="60B3F13F">
            <w:pPr>
              <w:spacing w:before="99" w:line="199" w:lineRule="auto"/>
              <w:ind w:left="3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76" w:type="dxa"/>
            <w:vAlign w:val="top"/>
          </w:tcPr>
          <w:p w14:paraId="64BB8C78">
            <w:pPr>
              <w:pStyle w:val="6"/>
              <w:spacing w:before="67" w:line="219" w:lineRule="auto"/>
              <w:ind w:left="766"/>
              <w:rPr>
                <w:sz w:val="20"/>
                <w:szCs w:val="20"/>
              </w:rPr>
            </w:pPr>
            <w:r>
              <w:rPr>
                <w:spacing w:val="8"/>
                <w:sz w:val="20"/>
                <w:szCs w:val="20"/>
              </w:rPr>
              <w:t>烧结机使用</w:t>
            </w:r>
          </w:p>
        </w:tc>
        <w:tc>
          <w:tcPr>
            <w:tcW w:w="1080" w:type="dxa"/>
            <w:vAlign w:val="top"/>
          </w:tcPr>
          <w:p w14:paraId="26CA6E33">
            <w:pPr>
              <w:spacing w:before="103"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1525.36</w:t>
            </w:r>
          </w:p>
        </w:tc>
        <w:tc>
          <w:tcPr>
            <w:tcW w:w="874" w:type="dxa"/>
            <w:vAlign w:val="top"/>
          </w:tcPr>
          <w:p w14:paraId="072384C1">
            <w:pPr>
              <w:spacing w:before="103" w:line="195" w:lineRule="auto"/>
              <w:ind w:left="337"/>
              <w:rPr>
                <w:rFonts w:ascii="Times New Roman" w:hAnsi="Times New Roman" w:eastAsia="Times New Roman" w:cs="Times New Roman"/>
                <w:sz w:val="20"/>
                <w:szCs w:val="20"/>
              </w:rPr>
            </w:pPr>
            <w:r>
              <w:rPr>
                <w:rFonts w:ascii="Times New Roman" w:hAnsi="Times New Roman" w:eastAsia="Times New Roman" w:cs="Times New Roman"/>
                <w:sz w:val="20"/>
                <w:szCs w:val="20"/>
              </w:rPr>
              <w:t>96</w:t>
            </w:r>
          </w:p>
        </w:tc>
        <w:tc>
          <w:tcPr>
            <w:tcW w:w="706" w:type="dxa"/>
            <w:tcBorders>
              <w:right w:val="nil"/>
            </w:tcBorders>
            <w:vAlign w:val="top"/>
          </w:tcPr>
          <w:p w14:paraId="2398E6B1">
            <w:pPr>
              <w:spacing w:before="103" w:line="195" w:lineRule="auto"/>
              <w:ind w:left="1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1.46</w:t>
            </w:r>
          </w:p>
        </w:tc>
      </w:tr>
      <w:tr w14:paraId="78193D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169" w:type="dxa"/>
            <w:tcBorders>
              <w:left w:val="nil"/>
            </w:tcBorders>
            <w:vAlign w:val="top"/>
          </w:tcPr>
          <w:p w14:paraId="017C7FC6">
            <w:pPr>
              <w:spacing w:before="108" w:line="199" w:lineRule="auto"/>
              <w:ind w:left="55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65" w:type="dxa"/>
            <w:vAlign w:val="top"/>
          </w:tcPr>
          <w:p w14:paraId="720F7CF3">
            <w:pPr>
              <w:spacing w:before="108" w:line="199" w:lineRule="auto"/>
              <w:ind w:left="5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43" w:type="dxa"/>
            <w:vAlign w:val="top"/>
          </w:tcPr>
          <w:p w14:paraId="42BA7846">
            <w:pPr>
              <w:spacing w:before="108" w:line="199" w:lineRule="auto"/>
              <w:ind w:left="3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701" w:type="dxa"/>
            <w:vAlign w:val="top"/>
          </w:tcPr>
          <w:p w14:paraId="2DDB46F7">
            <w:pPr>
              <w:spacing w:before="108" w:line="199" w:lineRule="auto"/>
              <w:ind w:left="3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76" w:type="dxa"/>
            <w:vAlign w:val="top"/>
          </w:tcPr>
          <w:p w14:paraId="628A908E">
            <w:pPr>
              <w:pStyle w:val="6"/>
              <w:spacing w:before="73" w:line="220" w:lineRule="auto"/>
              <w:ind w:left="663"/>
              <w:rPr>
                <w:sz w:val="20"/>
                <w:szCs w:val="20"/>
              </w:rPr>
            </w:pPr>
            <w:r>
              <w:rPr>
                <w:spacing w:val="8"/>
                <w:sz w:val="20"/>
                <w:szCs w:val="20"/>
              </w:rPr>
              <w:t>干燥焦炭使用</w:t>
            </w:r>
          </w:p>
        </w:tc>
        <w:tc>
          <w:tcPr>
            <w:tcW w:w="1080" w:type="dxa"/>
            <w:vAlign w:val="top"/>
          </w:tcPr>
          <w:p w14:paraId="5DDC297F">
            <w:pPr>
              <w:spacing w:before="112"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1513.48</w:t>
            </w:r>
          </w:p>
        </w:tc>
        <w:tc>
          <w:tcPr>
            <w:tcW w:w="874" w:type="dxa"/>
            <w:vAlign w:val="top"/>
          </w:tcPr>
          <w:p w14:paraId="6545F634">
            <w:pPr>
              <w:spacing w:before="112" w:line="195" w:lineRule="auto"/>
              <w:ind w:left="337"/>
              <w:rPr>
                <w:rFonts w:ascii="Times New Roman" w:hAnsi="Times New Roman" w:eastAsia="Times New Roman" w:cs="Times New Roman"/>
                <w:sz w:val="20"/>
                <w:szCs w:val="20"/>
              </w:rPr>
            </w:pPr>
            <w:r>
              <w:rPr>
                <w:rFonts w:ascii="Times New Roman" w:hAnsi="Times New Roman" w:eastAsia="Times New Roman" w:cs="Times New Roman"/>
                <w:sz w:val="20"/>
                <w:szCs w:val="20"/>
              </w:rPr>
              <w:t>96</w:t>
            </w:r>
          </w:p>
        </w:tc>
        <w:tc>
          <w:tcPr>
            <w:tcW w:w="706" w:type="dxa"/>
            <w:tcBorders>
              <w:right w:val="nil"/>
            </w:tcBorders>
            <w:vAlign w:val="top"/>
          </w:tcPr>
          <w:p w14:paraId="39F75933">
            <w:pPr>
              <w:spacing w:before="112" w:line="195" w:lineRule="auto"/>
              <w:ind w:left="1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1.45</w:t>
            </w:r>
          </w:p>
        </w:tc>
      </w:tr>
      <w:tr w14:paraId="25AE07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1169" w:type="dxa"/>
            <w:tcBorders>
              <w:left w:val="nil"/>
              <w:bottom w:val="single" w:color="000000" w:sz="10" w:space="0"/>
            </w:tcBorders>
            <w:vAlign w:val="top"/>
          </w:tcPr>
          <w:p w14:paraId="2ABD7D2D">
            <w:pPr>
              <w:pStyle w:val="6"/>
              <w:spacing w:before="73" w:line="229" w:lineRule="auto"/>
              <w:ind w:left="382"/>
              <w:rPr>
                <w:sz w:val="20"/>
                <w:szCs w:val="20"/>
              </w:rPr>
            </w:pPr>
            <w:r>
              <w:rPr>
                <w:spacing w:val="4"/>
                <w:sz w:val="20"/>
                <w:szCs w:val="20"/>
              </w:rPr>
              <w:t>合计</w:t>
            </w:r>
          </w:p>
        </w:tc>
        <w:tc>
          <w:tcPr>
            <w:tcW w:w="1065" w:type="dxa"/>
            <w:tcBorders>
              <w:bottom w:val="single" w:color="000000" w:sz="10" w:space="0"/>
            </w:tcBorders>
            <w:vAlign w:val="top"/>
          </w:tcPr>
          <w:p w14:paraId="6ADD8739">
            <w:pPr>
              <w:spacing w:before="107" w:line="199" w:lineRule="auto"/>
              <w:ind w:left="5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43" w:type="dxa"/>
            <w:tcBorders>
              <w:bottom w:val="single" w:color="000000" w:sz="10" w:space="0"/>
            </w:tcBorders>
            <w:vAlign w:val="top"/>
          </w:tcPr>
          <w:p w14:paraId="67E44591">
            <w:pPr>
              <w:spacing w:before="107" w:line="199" w:lineRule="auto"/>
              <w:ind w:left="3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701" w:type="dxa"/>
            <w:tcBorders>
              <w:bottom w:val="single" w:color="000000" w:sz="10" w:space="0"/>
            </w:tcBorders>
            <w:vAlign w:val="top"/>
          </w:tcPr>
          <w:p w14:paraId="596F43F8">
            <w:pPr>
              <w:spacing w:before="111" w:line="195" w:lineRule="auto"/>
              <w:ind w:left="12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51.84</w:t>
            </w:r>
          </w:p>
        </w:tc>
        <w:tc>
          <w:tcPr>
            <w:tcW w:w="2576" w:type="dxa"/>
            <w:tcBorders>
              <w:bottom w:val="single" w:color="000000" w:sz="10" w:space="0"/>
            </w:tcBorders>
            <w:vAlign w:val="top"/>
          </w:tcPr>
          <w:p w14:paraId="2766F354">
            <w:pPr>
              <w:pStyle w:val="6"/>
              <w:spacing w:before="73" w:line="229" w:lineRule="auto"/>
              <w:ind w:left="1085"/>
              <w:rPr>
                <w:sz w:val="20"/>
                <w:szCs w:val="20"/>
              </w:rPr>
            </w:pPr>
            <w:r>
              <w:rPr>
                <w:spacing w:val="4"/>
                <w:sz w:val="20"/>
                <w:szCs w:val="20"/>
              </w:rPr>
              <w:t>合计</w:t>
            </w:r>
          </w:p>
        </w:tc>
        <w:tc>
          <w:tcPr>
            <w:tcW w:w="1080" w:type="dxa"/>
            <w:tcBorders>
              <w:bottom w:val="single" w:color="000000" w:sz="10" w:space="0"/>
            </w:tcBorders>
            <w:vAlign w:val="top"/>
          </w:tcPr>
          <w:p w14:paraId="4857752C">
            <w:pPr>
              <w:spacing w:before="107" w:line="199" w:lineRule="auto"/>
              <w:ind w:left="5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74" w:type="dxa"/>
            <w:tcBorders>
              <w:bottom w:val="single" w:color="000000" w:sz="10" w:space="0"/>
            </w:tcBorders>
            <w:vAlign w:val="top"/>
          </w:tcPr>
          <w:p w14:paraId="5460FCC3">
            <w:pPr>
              <w:spacing w:before="107" w:line="199"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706" w:type="dxa"/>
            <w:tcBorders>
              <w:bottom w:val="single" w:color="000000" w:sz="10" w:space="0"/>
              <w:right w:val="nil"/>
            </w:tcBorders>
            <w:vAlign w:val="top"/>
          </w:tcPr>
          <w:p w14:paraId="63E0A48E">
            <w:pPr>
              <w:spacing w:before="111" w:line="195" w:lineRule="auto"/>
              <w:ind w:left="1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51.84</w:t>
            </w:r>
          </w:p>
        </w:tc>
      </w:tr>
    </w:tbl>
    <w:p w14:paraId="3938CA56">
      <w:pPr>
        <w:spacing w:before="119" w:line="219" w:lineRule="auto"/>
        <w:ind w:left="4"/>
        <w:outlineLvl w:val="3"/>
        <w:rPr>
          <w:rFonts w:ascii="宋体" w:hAnsi="宋体" w:eastAsia="宋体" w:cs="宋体"/>
          <w:sz w:val="24"/>
          <w:szCs w:val="24"/>
        </w:rPr>
      </w:pPr>
      <w:r>
        <w:fldChar w:fldCharType="begin"/>
      </w:r>
      <w:r>
        <w:instrText xml:space="preserve"> HYPERLINK "2.3.2.4" </w:instrText>
      </w:r>
      <w:r>
        <w:fldChar w:fldCharType="separate"/>
      </w:r>
      <w:r>
        <w:rPr>
          <w:rFonts w:ascii="Times New Roman" w:hAnsi="Times New Roman" w:eastAsia="Times New Roman" w:cs="Times New Roman"/>
          <w:b/>
          <w:bCs/>
          <w:spacing w:val="-2"/>
          <w:sz w:val="24"/>
          <w:szCs w:val="24"/>
        </w:rPr>
        <w:t>2.3.2.4</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水平衡分析</w:t>
      </w:r>
    </w:p>
    <w:p w14:paraId="046F1D66">
      <w:pPr>
        <w:spacing w:before="189" w:line="363" w:lineRule="auto"/>
        <w:ind w:left="7" w:firstLine="480"/>
        <w:jc w:val="both"/>
        <w:rPr>
          <w:rFonts w:ascii="宋体" w:hAnsi="宋体" w:eastAsia="宋体" w:cs="宋体"/>
          <w:sz w:val="24"/>
          <w:szCs w:val="24"/>
        </w:rPr>
      </w:pPr>
      <w:r>
        <w:rPr>
          <w:rFonts w:ascii="宋体" w:hAnsi="宋体" w:eastAsia="宋体" w:cs="宋体"/>
          <w:spacing w:val="3"/>
          <w:sz w:val="24"/>
          <w:szCs w:val="24"/>
        </w:rPr>
        <w:t>全厂新鲜水用量为</w:t>
      </w:r>
      <w:r>
        <w:rPr>
          <w:rFonts w:ascii="Times New Roman" w:hAnsi="Times New Roman" w:eastAsia="Times New Roman" w:cs="Times New Roman"/>
          <w:spacing w:val="3"/>
          <w:sz w:val="24"/>
          <w:szCs w:val="24"/>
        </w:rPr>
        <w:t>82.55m</w:t>
      </w:r>
      <w:r>
        <w:rPr>
          <w:rFonts w:ascii="Times New Roman" w:hAnsi="Times New Roman" w:eastAsia="Times New Roman" w:cs="Times New Roman"/>
          <w:spacing w:val="3"/>
          <w:position w:val="8"/>
          <w:sz w:val="15"/>
          <w:szCs w:val="15"/>
        </w:rPr>
        <w:t>3</w:t>
      </w:r>
      <w:r>
        <w:rPr>
          <w:rFonts w:ascii="Times New Roman" w:hAnsi="Times New Roman" w:eastAsia="Times New Roman" w:cs="Times New Roman"/>
          <w:spacing w:val="3"/>
          <w:sz w:val="24"/>
          <w:szCs w:val="24"/>
        </w:rPr>
        <w:t>/h</w:t>
      </w:r>
      <w:r>
        <w:rPr>
          <w:rFonts w:ascii="Times New Roman" w:hAnsi="Times New Roman" w:eastAsia="Times New Roman" w:cs="Times New Roman"/>
          <w:spacing w:val="-24"/>
          <w:sz w:val="24"/>
          <w:szCs w:val="24"/>
        </w:rPr>
        <w:t xml:space="preserve"> </w:t>
      </w:r>
      <w:r>
        <w:rPr>
          <w:rFonts w:ascii="宋体" w:hAnsi="宋体" w:eastAsia="宋体" w:cs="宋体"/>
          <w:spacing w:val="3"/>
          <w:sz w:val="24"/>
          <w:szCs w:val="24"/>
        </w:rPr>
        <w:t>，其中生活、绿化用</w:t>
      </w:r>
      <w:r>
        <w:rPr>
          <w:rFonts w:ascii="宋体" w:hAnsi="宋体" w:eastAsia="宋体" w:cs="宋体"/>
          <w:spacing w:val="2"/>
          <w:sz w:val="24"/>
          <w:szCs w:val="24"/>
        </w:rPr>
        <w:t>水量为</w:t>
      </w:r>
      <w:r>
        <w:rPr>
          <w:rFonts w:ascii="Times New Roman" w:hAnsi="Times New Roman" w:eastAsia="Times New Roman" w:cs="Times New Roman"/>
          <w:spacing w:val="2"/>
          <w:sz w:val="24"/>
          <w:szCs w:val="24"/>
        </w:rPr>
        <w:t>2.30m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23"/>
          <w:sz w:val="24"/>
          <w:szCs w:val="24"/>
        </w:rPr>
        <w:t xml:space="preserve"> </w:t>
      </w:r>
      <w:r>
        <w:rPr>
          <w:rFonts w:ascii="宋体" w:hAnsi="宋体" w:eastAsia="宋体" w:cs="宋体"/>
          <w:spacing w:val="2"/>
          <w:sz w:val="24"/>
          <w:szCs w:val="24"/>
        </w:rPr>
        <w:t>，生产用水量为</w:t>
      </w:r>
      <w:r>
        <w:rPr>
          <w:rFonts w:ascii="宋体" w:hAnsi="宋体" w:eastAsia="宋体" w:cs="宋体"/>
          <w:sz w:val="24"/>
          <w:szCs w:val="24"/>
        </w:rPr>
        <w:t xml:space="preserve"> </w:t>
      </w:r>
      <w:r>
        <w:rPr>
          <w:rFonts w:ascii="Times New Roman" w:hAnsi="Times New Roman" w:eastAsia="Times New Roman" w:cs="Times New Roman"/>
          <w:spacing w:val="1"/>
          <w:sz w:val="24"/>
          <w:szCs w:val="24"/>
        </w:rPr>
        <w:t>80.25m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/h</w:t>
      </w:r>
      <w:r>
        <w:rPr>
          <w:rFonts w:ascii="Times New Roman" w:hAnsi="Times New Roman" w:eastAsia="Times New Roman" w:cs="Times New Roman"/>
          <w:spacing w:val="-6"/>
          <w:sz w:val="24"/>
          <w:szCs w:val="24"/>
        </w:rPr>
        <w:t xml:space="preserve"> </w:t>
      </w:r>
      <w:r>
        <w:rPr>
          <w:rFonts w:ascii="宋体" w:hAnsi="宋体" w:eastAsia="宋体" w:cs="宋体"/>
          <w:spacing w:val="1"/>
          <w:sz w:val="24"/>
          <w:szCs w:val="24"/>
        </w:rPr>
        <w:t>。生活污水、化验室废水经地埋式一体化污水处理设施处理后，由罐车运至</w:t>
      </w:r>
      <w:r>
        <w:rPr>
          <w:rFonts w:ascii="宋体" w:hAnsi="宋体" w:eastAsia="宋体" w:cs="宋体"/>
          <w:sz w:val="24"/>
          <w:szCs w:val="24"/>
        </w:rPr>
        <w:t xml:space="preserve"> </w:t>
      </w:r>
      <w:r>
        <w:rPr>
          <w:rFonts w:ascii="宋体" w:hAnsi="宋体" w:eastAsia="宋体" w:cs="宋体"/>
          <w:spacing w:val="-3"/>
          <w:sz w:val="24"/>
          <w:szCs w:val="24"/>
        </w:rPr>
        <w:t>苏尼特右旗赛汉塔拉镇污水处理厂进一步处理。脱硫废水采用三联箱工艺处理后补充到</w:t>
      </w:r>
      <w:r>
        <w:rPr>
          <w:rFonts w:ascii="宋体" w:hAnsi="宋体" w:eastAsia="宋体" w:cs="宋体"/>
          <w:spacing w:val="1"/>
          <w:sz w:val="24"/>
          <w:szCs w:val="24"/>
        </w:rPr>
        <w:t xml:space="preserve"> </w:t>
      </w:r>
      <w:r>
        <w:rPr>
          <w:rFonts w:ascii="宋体" w:hAnsi="宋体" w:eastAsia="宋体" w:cs="宋体"/>
          <w:spacing w:val="-3"/>
          <w:sz w:val="24"/>
          <w:szCs w:val="24"/>
        </w:rPr>
        <w:t>浊循环水系统中；过滤水循环使用；煤气冷凝废水采用隔油池进行隔油处理，出水用作</w:t>
      </w:r>
      <w:r>
        <w:rPr>
          <w:rFonts w:ascii="宋体" w:hAnsi="宋体" w:eastAsia="宋体" w:cs="宋体"/>
          <w:spacing w:val="1"/>
          <w:sz w:val="24"/>
          <w:szCs w:val="24"/>
        </w:rPr>
        <w:t xml:space="preserve"> </w:t>
      </w:r>
      <w:r>
        <w:rPr>
          <w:rFonts w:ascii="宋体" w:hAnsi="宋体" w:eastAsia="宋体" w:cs="宋体"/>
          <w:spacing w:val="-3"/>
          <w:sz w:val="24"/>
          <w:szCs w:val="24"/>
        </w:rPr>
        <w:t>矿热炉开堵眼机堵塞泥制作用水；化水车间排污、余热锅炉排污、辅机冷却循环水站排</w:t>
      </w:r>
      <w:r>
        <w:rPr>
          <w:rFonts w:ascii="宋体" w:hAnsi="宋体" w:eastAsia="宋体" w:cs="宋体"/>
          <w:spacing w:val="1"/>
          <w:sz w:val="24"/>
          <w:szCs w:val="24"/>
        </w:rPr>
        <w:t xml:space="preserve"> </w:t>
      </w:r>
      <w:r>
        <w:rPr>
          <w:rFonts w:ascii="宋体" w:hAnsi="宋体" w:eastAsia="宋体" w:cs="宋体"/>
          <w:sz w:val="24"/>
          <w:szCs w:val="24"/>
        </w:rPr>
        <w:t>污、循环水系统排污及软水制备排污全部作为浊循环水</w:t>
      </w:r>
      <w:r>
        <w:rPr>
          <w:rFonts w:ascii="宋体" w:hAnsi="宋体" w:eastAsia="宋体" w:cs="宋体"/>
          <w:spacing w:val="-1"/>
          <w:sz w:val="24"/>
          <w:szCs w:val="24"/>
        </w:rPr>
        <w:t>系统补充水，不外排。</w:t>
      </w:r>
    </w:p>
    <w:p w14:paraId="40347BA5">
      <w:pPr>
        <w:spacing w:before="35" w:line="219" w:lineRule="auto"/>
        <w:ind w:left="488"/>
        <w:rPr>
          <w:rFonts w:ascii="宋体" w:hAnsi="宋体" w:eastAsia="宋体" w:cs="宋体"/>
          <w:sz w:val="24"/>
          <w:szCs w:val="24"/>
        </w:rPr>
      </w:pPr>
      <w:r>
        <w:rPr>
          <w:rFonts w:ascii="宋体" w:hAnsi="宋体" w:eastAsia="宋体" w:cs="宋体"/>
          <w:spacing w:val="-2"/>
          <w:sz w:val="24"/>
          <w:szCs w:val="24"/>
        </w:rPr>
        <w:t>全厂水平衡分析见图</w:t>
      </w:r>
      <w:r>
        <w:rPr>
          <w:rFonts w:ascii="宋体" w:hAnsi="宋体" w:eastAsia="宋体" w:cs="宋体"/>
          <w:spacing w:val="-42"/>
          <w:sz w:val="24"/>
          <w:szCs w:val="24"/>
        </w:rPr>
        <w:t xml:space="preserve"> </w:t>
      </w:r>
      <w:r>
        <w:rPr>
          <w:rFonts w:ascii="Times New Roman" w:hAnsi="Times New Roman" w:eastAsia="Times New Roman" w:cs="Times New Roman"/>
          <w:spacing w:val="-2"/>
          <w:sz w:val="24"/>
          <w:szCs w:val="24"/>
        </w:rPr>
        <w:t>2.3-4</w:t>
      </w:r>
      <w:r>
        <w:rPr>
          <w:rFonts w:ascii="宋体" w:hAnsi="宋体" w:eastAsia="宋体" w:cs="宋体"/>
          <w:spacing w:val="-2"/>
          <w:sz w:val="24"/>
          <w:szCs w:val="24"/>
        </w:rPr>
        <w:t>。</w:t>
      </w:r>
    </w:p>
    <w:p w14:paraId="177A04DF">
      <w:pPr>
        <w:spacing w:line="219" w:lineRule="auto"/>
        <w:rPr>
          <w:rFonts w:ascii="宋体" w:hAnsi="宋体" w:eastAsia="宋体" w:cs="宋体"/>
          <w:sz w:val="24"/>
          <w:szCs w:val="24"/>
        </w:rPr>
        <w:sectPr>
          <w:headerReference r:id="rId159" w:type="default"/>
          <w:footerReference r:id="rId160" w:type="default"/>
          <w:pgSz w:w="11850" w:h="16781"/>
          <w:pgMar w:top="1190" w:right="1416" w:bottom="1013" w:left="1417" w:header="882" w:footer="850" w:gutter="0"/>
          <w:cols w:space="720" w:num="1"/>
        </w:sectPr>
      </w:pPr>
    </w:p>
    <w:p w14:paraId="428E1462">
      <w:pPr>
        <w:pStyle w:val="2"/>
      </w:pPr>
      <w:r>
        <w:pict>
          <v:shape id="_x0000_s1199" o:spid="_x0000_s1199" style="position:absolute;left:0pt;margin-left:0pt;margin-top:0.7pt;height:0.75pt;width:450.75pt;z-index:251857920;mso-width-relative:page;mso-height-relative:page;" fillcolor="#000000" filled="t" stroked="f" coordsize="9015,15" path="m0,0l9014,0,9014,14,0,14,0,0xe">
            <v:path/>
            <v:fill on="t" focussize="0,0"/>
            <v:stroke on="f"/>
            <v:imagedata o:title=""/>
            <o:lock v:ext="edit"/>
          </v:shape>
        </w:pict>
      </w:r>
    </w:p>
    <w:p w14:paraId="061D971A">
      <w:pPr>
        <w:pStyle w:val="2"/>
      </w:pPr>
    </w:p>
    <w:p w14:paraId="73DB0643">
      <w:pPr>
        <w:spacing w:line="12740" w:lineRule="exact"/>
        <w:ind w:firstLine="451"/>
      </w:pPr>
      <w:r>
        <w:rPr>
          <w:position w:val="-254"/>
        </w:rPr>
        <w:drawing>
          <wp:inline distT="0" distB="0" distL="0" distR="0">
            <wp:extent cx="5163185" cy="8089900"/>
            <wp:effectExtent l="0" t="0" r="0" b="0"/>
            <wp:docPr id="44" name="IM 44"/>
            <wp:cNvGraphicFramePr/>
            <a:graphic xmlns:a="http://schemas.openxmlformats.org/drawingml/2006/main">
              <a:graphicData uri="http://schemas.openxmlformats.org/drawingml/2006/picture">
                <pic:pic xmlns:pic="http://schemas.openxmlformats.org/drawingml/2006/picture">
                  <pic:nvPicPr>
                    <pic:cNvPr id="44" name="IM 44"/>
                    <pic:cNvPicPr/>
                  </pic:nvPicPr>
                  <pic:blipFill>
                    <a:blip r:embed="rId600"/>
                    <a:stretch>
                      <a:fillRect/>
                    </a:stretch>
                  </pic:blipFill>
                  <pic:spPr>
                    <a:xfrm>
                      <a:off x="0" y="0"/>
                      <a:ext cx="5163432" cy="8090115"/>
                    </a:xfrm>
                    <a:prstGeom prst="rect">
                      <a:avLst/>
                    </a:prstGeom>
                  </pic:spPr>
                </pic:pic>
              </a:graphicData>
            </a:graphic>
          </wp:inline>
        </w:drawing>
      </w:r>
    </w:p>
    <w:p w14:paraId="5FE13FF2">
      <w:pPr>
        <w:spacing w:before="173" w:line="228" w:lineRule="auto"/>
        <w:ind w:left="3133"/>
        <w:rPr>
          <w:rFonts w:ascii="宋体" w:hAnsi="宋体" w:eastAsia="宋体" w:cs="宋体"/>
          <w:sz w:val="20"/>
          <w:szCs w:val="20"/>
        </w:rPr>
      </w:pPr>
      <w:r>
        <w:rPr>
          <w:rFonts w:ascii="宋体" w:hAnsi="宋体" w:eastAsia="宋体" w:cs="宋体"/>
          <w:b/>
          <w:bCs/>
          <w:spacing w:val="3"/>
          <w:sz w:val="20"/>
          <w:szCs w:val="20"/>
        </w:rPr>
        <w:t>图</w:t>
      </w:r>
      <w:r>
        <w:rPr>
          <w:rFonts w:ascii="宋体" w:hAnsi="宋体" w:eastAsia="宋体" w:cs="宋体"/>
          <w:spacing w:val="-26"/>
          <w:sz w:val="20"/>
          <w:szCs w:val="20"/>
        </w:rPr>
        <w:t xml:space="preserve"> </w:t>
      </w:r>
      <w:r>
        <w:rPr>
          <w:rFonts w:ascii="Times New Roman" w:hAnsi="Times New Roman" w:eastAsia="Times New Roman" w:cs="Times New Roman"/>
          <w:b/>
          <w:bCs/>
          <w:spacing w:val="3"/>
          <w:sz w:val="20"/>
          <w:szCs w:val="20"/>
        </w:rPr>
        <w:t xml:space="preserve">2.3-4        </w:t>
      </w:r>
      <w:r>
        <w:rPr>
          <w:rFonts w:ascii="宋体" w:hAnsi="宋体" w:eastAsia="宋体" w:cs="宋体"/>
          <w:b/>
          <w:bCs/>
          <w:spacing w:val="3"/>
          <w:sz w:val="20"/>
          <w:szCs w:val="20"/>
        </w:rPr>
        <w:t>项目全厂水平衡图</w:t>
      </w:r>
    </w:p>
    <w:p w14:paraId="4FD20B5D">
      <w:pPr>
        <w:spacing w:line="228" w:lineRule="auto"/>
        <w:rPr>
          <w:rFonts w:ascii="宋体" w:hAnsi="宋体" w:eastAsia="宋体" w:cs="宋体"/>
          <w:sz w:val="20"/>
          <w:szCs w:val="20"/>
        </w:rPr>
        <w:sectPr>
          <w:headerReference r:id="rId161" w:type="default"/>
          <w:footerReference r:id="rId162" w:type="default"/>
          <w:pgSz w:w="11850" w:h="16781"/>
          <w:pgMar w:top="1190" w:right="1417" w:bottom="1013" w:left="1417" w:header="882" w:footer="850" w:gutter="0"/>
          <w:cols w:space="720" w:num="1"/>
        </w:sectPr>
      </w:pPr>
    </w:p>
    <w:p w14:paraId="59F6CE9C">
      <w:pPr>
        <w:pStyle w:val="2"/>
        <w:spacing w:line="311" w:lineRule="auto"/>
      </w:pPr>
      <w:r>
        <w:pict>
          <v:shape id="_x0000_s1200" o:spid="_x0000_s1200" style="position:absolute;left:0pt;margin-left:0pt;margin-top:0.65pt;height:0.75pt;width:450.75pt;z-index:251858944;mso-width-relative:page;mso-height-relative:page;" fillcolor="#000000" filled="t" stroked="f" coordsize="9015,15" path="m0,0l9014,0,9014,14,0,14,0,0xe">
            <v:path/>
            <v:fill on="t" focussize="0,0"/>
            <v:stroke on="f"/>
            <v:imagedata o:title=""/>
            <o:lock v:ext="edit"/>
          </v:shape>
        </w:pict>
      </w:r>
    </w:p>
    <w:p w14:paraId="4E383D64">
      <w:pPr>
        <w:spacing w:before="91" w:line="221" w:lineRule="auto"/>
        <w:ind w:left="5"/>
        <w:outlineLvl w:val="2"/>
        <w:rPr>
          <w:rFonts w:ascii="宋体" w:hAnsi="宋体" w:eastAsia="宋体" w:cs="宋体"/>
          <w:sz w:val="28"/>
          <w:szCs w:val="28"/>
        </w:rPr>
      </w:pPr>
      <w:bookmarkStart w:id="325" w:name="bookmark118"/>
      <w:bookmarkEnd w:id="325"/>
      <w:r>
        <w:rPr>
          <w:rFonts w:ascii="Times New Roman" w:hAnsi="Times New Roman" w:eastAsia="Times New Roman" w:cs="Times New Roman"/>
          <w:b/>
          <w:bCs/>
          <w:spacing w:val="-2"/>
          <w:sz w:val="28"/>
          <w:szCs w:val="28"/>
        </w:rPr>
        <w:t xml:space="preserve">2.3.3 </w:t>
      </w:r>
      <w:r>
        <w:rPr>
          <w:rFonts w:ascii="宋体" w:hAnsi="宋体" w:eastAsia="宋体" w:cs="宋体"/>
          <w:b/>
          <w:bCs/>
          <w:spacing w:val="-2"/>
          <w:sz w:val="28"/>
          <w:szCs w:val="28"/>
        </w:rPr>
        <w:t>正常工况污染物排放分析</w:t>
      </w:r>
    </w:p>
    <w:p w14:paraId="691F8BB3">
      <w:pPr>
        <w:spacing w:before="240" w:line="220" w:lineRule="auto"/>
        <w:ind w:left="4"/>
        <w:outlineLvl w:val="3"/>
        <w:rPr>
          <w:rFonts w:ascii="宋体" w:hAnsi="宋体" w:eastAsia="宋体" w:cs="宋体"/>
          <w:sz w:val="24"/>
          <w:szCs w:val="24"/>
        </w:rPr>
      </w:pPr>
      <w:r>
        <w:fldChar w:fldCharType="begin"/>
      </w:r>
      <w:r>
        <w:instrText xml:space="preserve"> HYPERLINK "2.3.3.1" </w:instrText>
      </w:r>
      <w:r>
        <w:fldChar w:fldCharType="separate"/>
      </w:r>
      <w:r>
        <w:rPr>
          <w:rFonts w:ascii="Times New Roman" w:hAnsi="Times New Roman" w:eastAsia="Times New Roman" w:cs="Times New Roman"/>
          <w:b/>
          <w:bCs/>
          <w:spacing w:val="-2"/>
          <w:sz w:val="24"/>
          <w:szCs w:val="24"/>
        </w:rPr>
        <w:t>2.3.3.1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废气排放分析</w:t>
      </w:r>
    </w:p>
    <w:p w14:paraId="6A0F5B35">
      <w:pPr>
        <w:spacing w:before="191" w:line="220" w:lineRule="auto"/>
        <w:ind w:left="494"/>
        <w:rPr>
          <w:rFonts w:ascii="宋体" w:hAnsi="宋体" w:eastAsia="宋体" w:cs="宋体"/>
          <w:sz w:val="24"/>
          <w:szCs w:val="24"/>
        </w:rPr>
      </w:pPr>
      <w:r>
        <w:rPr>
          <w:rFonts w:ascii="Times New Roman" w:hAnsi="Times New Roman" w:eastAsia="Times New Roman" w:cs="Times New Roman"/>
          <w:b/>
          <w:bCs/>
          <w:spacing w:val="-7"/>
          <w:sz w:val="24"/>
          <w:szCs w:val="24"/>
        </w:rPr>
        <w:t>1</w:t>
      </w:r>
      <w:r>
        <w:rPr>
          <w:rFonts w:ascii="Times New Roman" w:hAnsi="Times New Roman" w:eastAsia="Times New Roman" w:cs="Times New Roman"/>
          <w:b/>
          <w:bCs/>
          <w:spacing w:val="-27"/>
          <w:sz w:val="24"/>
          <w:szCs w:val="24"/>
        </w:rPr>
        <w:t xml:space="preserve"> </w:t>
      </w:r>
      <w:r>
        <w:rPr>
          <w:rFonts w:ascii="宋体" w:hAnsi="宋体" w:eastAsia="宋体" w:cs="宋体"/>
          <w:b/>
          <w:bCs/>
          <w:spacing w:val="-7"/>
          <w:sz w:val="24"/>
          <w:szCs w:val="24"/>
        </w:rPr>
        <w:t>、有组织废气排放</w:t>
      </w:r>
    </w:p>
    <w:p w14:paraId="47422131">
      <w:pPr>
        <w:spacing w:before="191" w:line="219" w:lineRule="auto"/>
        <w:ind w:left="499"/>
        <w:rPr>
          <w:rFonts w:ascii="宋体" w:hAnsi="宋体" w:eastAsia="宋体" w:cs="宋体"/>
          <w:sz w:val="24"/>
          <w:szCs w:val="24"/>
        </w:rPr>
      </w:pPr>
      <w:r>
        <w:rPr>
          <w:rFonts w:ascii="宋体" w:hAnsi="宋体" w:eastAsia="宋体" w:cs="宋体"/>
          <w:b/>
          <w:bCs/>
          <w:spacing w:val="-4"/>
          <w:sz w:val="24"/>
          <w:szCs w:val="24"/>
        </w:rPr>
        <w:t>（</w:t>
      </w:r>
      <w:r>
        <w:rPr>
          <w:rFonts w:ascii="Times New Roman" w:hAnsi="Times New Roman" w:eastAsia="Times New Roman" w:cs="Times New Roman"/>
          <w:b/>
          <w:bCs/>
          <w:spacing w:val="-4"/>
          <w:sz w:val="24"/>
          <w:szCs w:val="24"/>
        </w:rPr>
        <w:t>1</w:t>
      </w:r>
      <w:r>
        <w:rPr>
          <w:rFonts w:ascii="宋体" w:hAnsi="宋体" w:eastAsia="宋体" w:cs="宋体"/>
          <w:b/>
          <w:bCs/>
          <w:spacing w:val="-4"/>
          <w:sz w:val="24"/>
          <w:szCs w:val="24"/>
        </w:rPr>
        <w:t>）焦炭烘干生产线废气</w:t>
      </w:r>
    </w:p>
    <w:p w14:paraId="2707F28F">
      <w:pPr>
        <w:spacing w:before="192" w:line="219" w:lineRule="auto"/>
        <w:ind w:left="494"/>
        <w:rPr>
          <w:rFonts w:ascii="宋体" w:hAnsi="宋体" w:eastAsia="宋体" w:cs="宋体"/>
          <w:sz w:val="24"/>
          <w:szCs w:val="24"/>
        </w:rPr>
      </w:pPr>
      <w:r>
        <w:rPr>
          <w:rFonts w:ascii="Times New Roman" w:hAnsi="Times New Roman" w:eastAsia="Times New Roman" w:cs="Times New Roman"/>
          <w:b/>
          <w:bCs/>
          <w:spacing w:val="-2"/>
          <w:sz w:val="24"/>
          <w:szCs w:val="24"/>
        </w:rPr>
        <w:t>1</w:t>
      </w:r>
      <w:r>
        <w:rPr>
          <w:rFonts w:ascii="宋体" w:hAnsi="宋体" w:eastAsia="宋体" w:cs="宋体"/>
          <w:b/>
          <w:bCs/>
          <w:spacing w:val="-2"/>
          <w:sz w:val="24"/>
          <w:szCs w:val="24"/>
        </w:rPr>
        <w:t>）焦炭烘干废气（</w:t>
      </w:r>
      <w:r>
        <w:rPr>
          <w:rFonts w:ascii="Times New Roman" w:hAnsi="Times New Roman" w:eastAsia="Times New Roman" w:cs="Times New Roman"/>
          <w:b/>
          <w:bCs/>
          <w:spacing w:val="-2"/>
          <w:sz w:val="24"/>
          <w:szCs w:val="24"/>
        </w:rPr>
        <w:t>G</w:t>
      </w:r>
      <w:r>
        <w:rPr>
          <w:rFonts w:ascii="Times New Roman" w:hAnsi="Times New Roman" w:eastAsia="Times New Roman" w:cs="Times New Roman"/>
          <w:b/>
          <w:bCs/>
          <w:spacing w:val="-2"/>
          <w:sz w:val="15"/>
          <w:szCs w:val="15"/>
        </w:rPr>
        <w:t>1-1</w:t>
      </w:r>
      <w:r>
        <w:rPr>
          <w:rFonts w:ascii="宋体" w:hAnsi="宋体" w:eastAsia="宋体" w:cs="宋体"/>
          <w:b/>
          <w:bCs/>
          <w:spacing w:val="-2"/>
          <w:sz w:val="24"/>
          <w:szCs w:val="24"/>
        </w:rPr>
        <w:t>）</w:t>
      </w:r>
    </w:p>
    <w:p w14:paraId="343F439D">
      <w:pPr>
        <w:spacing w:before="192" w:line="358" w:lineRule="auto"/>
        <w:ind w:left="8" w:firstLine="480"/>
        <w:rPr>
          <w:rFonts w:ascii="宋体" w:hAnsi="宋体" w:eastAsia="宋体" w:cs="宋体"/>
          <w:sz w:val="24"/>
          <w:szCs w:val="24"/>
        </w:rPr>
      </w:pPr>
      <w:r>
        <w:rPr>
          <w:rFonts w:ascii="宋体" w:hAnsi="宋体" w:eastAsia="宋体" w:cs="宋体"/>
          <w:spacing w:val="-5"/>
          <w:sz w:val="24"/>
          <w:szCs w:val="24"/>
        </w:rPr>
        <w:t>焦炭烘干配置</w:t>
      </w:r>
      <w:r>
        <w:rPr>
          <w:rFonts w:ascii="宋体" w:hAnsi="宋体" w:eastAsia="宋体" w:cs="宋体"/>
          <w:spacing w:val="-22"/>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28"/>
          <w:sz w:val="24"/>
          <w:szCs w:val="24"/>
        </w:rPr>
        <w:t xml:space="preserve"> </w:t>
      </w:r>
      <w:r>
        <w:rPr>
          <w:rFonts w:ascii="宋体" w:hAnsi="宋体" w:eastAsia="宋体" w:cs="宋体"/>
          <w:spacing w:val="-5"/>
          <w:sz w:val="24"/>
          <w:szCs w:val="24"/>
        </w:rPr>
        <w:t>台回转圆筒烘干机，烘干热源为配套燃气热风炉烟气，年运行时间</w:t>
      </w:r>
      <w:r>
        <w:rPr>
          <w:rFonts w:ascii="宋体" w:hAnsi="宋体" w:eastAsia="宋体" w:cs="宋体"/>
          <w:sz w:val="24"/>
          <w:szCs w:val="24"/>
        </w:rPr>
        <w:t xml:space="preserve"> </w:t>
      </w:r>
      <w:r>
        <w:rPr>
          <w:rFonts w:ascii="宋体" w:hAnsi="宋体" w:eastAsia="宋体" w:cs="宋体"/>
          <w:spacing w:val="-3"/>
          <w:sz w:val="24"/>
          <w:szCs w:val="24"/>
        </w:rPr>
        <w:t>为</w:t>
      </w:r>
      <w:r>
        <w:rPr>
          <w:rFonts w:ascii="宋体" w:hAnsi="宋体" w:eastAsia="宋体" w:cs="宋体"/>
          <w:spacing w:val="-45"/>
          <w:sz w:val="24"/>
          <w:szCs w:val="24"/>
        </w:rPr>
        <w:t xml:space="preserve"> </w:t>
      </w:r>
      <w:r>
        <w:rPr>
          <w:rFonts w:ascii="Times New Roman" w:hAnsi="Times New Roman" w:eastAsia="Times New Roman" w:cs="Times New Roman"/>
          <w:spacing w:val="-3"/>
          <w:sz w:val="24"/>
          <w:szCs w:val="24"/>
        </w:rPr>
        <w:t>8000h</w:t>
      </w:r>
      <w:r>
        <w:rPr>
          <w:rFonts w:ascii="宋体" w:hAnsi="宋体" w:eastAsia="宋体" w:cs="宋体"/>
          <w:spacing w:val="-3"/>
          <w:sz w:val="24"/>
          <w:szCs w:val="24"/>
        </w:rPr>
        <w:t>，烘干机采用</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套布袋除尘器处理系统，煤气消耗量为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1891.85Nm</w:t>
      </w:r>
      <w:r>
        <w:rPr>
          <w:rFonts w:ascii="Times New Roman" w:hAnsi="Times New Roman" w:eastAsia="Times New Roman" w:cs="Times New Roman"/>
          <w:spacing w:val="-3"/>
          <w:position w:val="8"/>
          <w:sz w:val="15"/>
          <w:szCs w:val="15"/>
        </w:rPr>
        <w:t>3</w:t>
      </w:r>
      <w:r>
        <w:rPr>
          <w:rFonts w:ascii="Times New Roman" w:hAnsi="Times New Roman" w:eastAsia="Times New Roman" w:cs="Times New Roman"/>
          <w:spacing w:val="-4"/>
          <w:sz w:val="24"/>
          <w:szCs w:val="24"/>
        </w:rPr>
        <w:t>/h</w:t>
      </w:r>
      <w:r>
        <w:rPr>
          <w:rFonts w:ascii="宋体" w:hAnsi="宋体" w:eastAsia="宋体" w:cs="宋体"/>
          <w:spacing w:val="-4"/>
          <w:sz w:val="24"/>
          <w:szCs w:val="24"/>
        </w:rPr>
        <w:t>，年消耗</w:t>
      </w:r>
      <w:r>
        <w:rPr>
          <w:rFonts w:ascii="宋体" w:hAnsi="宋体" w:eastAsia="宋体" w:cs="宋体"/>
          <w:sz w:val="24"/>
          <w:szCs w:val="24"/>
        </w:rPr>
        <w:t xml:space="preserve"> </w:t>
      </w:r>
      <w:r>
        <w:rPr>
          <w:rFonts w:ascii="宋体" w:hAnsi="宋体" w:eastAsia="宋体" w:cs="宋体"/>
          <w:spacing w:val="-3"/>
          <w:sz w:val="24"/>
          <w:szCs w:val="24"/>
        </w:rPr>
        <w:t>量为</w:t>
      </w:r>
      <w:r>
        <w:rPr>
          <w:rFonts w:ascii="宋体" w:hAnsi="宋体" w:eastAsia="宋体" w:cs="宋体"/>
          <w:spacing w:val="-23"/>
          <w:sz w:val="24"/>
          <w:szCs w:val="24"/>
        </w:rPr>
        <w:t xml:space="preserve"> </w:t>
      </w:r>
      <w:r>
        <w:rPr>
          <w:rFonts w:ascii="Times New Roman" w:hAnsi="Times New Roman" w:eastAsia="Times New Roman" w:cs="Times New Roman"/>
          <w:spacing w:val="-3"/>
          <w:sz w:val="24"/>
          <w:szCs w:val="24"/>
        </w:rPr>
        <w:t>1513.48</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万</w:t>
      </w:r>
      <w:r>
        <w:rPr>
          <w:rFonts w:ascii="宋体" w:hAnsi="宋体" w:eastAsia="宋体" w:cs="宋体"/>
          <w:spacing w:val="-63"/>
          <w:sz w:val="24"/>
          <w:szCs w:val="24"/>
        </w:rPr>
        <w:t xml:space="preserve"> </w:t>
      </w:r>
      <w:r>
        <w:rPr>
          <w:rFonts w:ascii="Times New Roman" w:hAnsi="Times New Roman" w:eastAsia="Times New Roman" w:cs="Times New Roman"/>
          <w:spacing w:val="-3"/>
          <w:sz w:val="24"/>
          <w:szCs w:val="24"/>
        </w:rPr>
        <w:t>Nm</w:t>
      </w:r>
      <w:r>
        <w:rPr>
          <w:rFonts w:ascii="Times New Roman" w:hAnsi="Times New Roman" w:eastAsia="Times New Roman" w:cs="Times New Roman"/>
          <w:spacing w:val="-3"/>
          <w:position w:val="8"/>
          <w:sz w:val="15"/>
          <w:szCs w:val="15"/>
        </w:rPr>
        <w:t>3</w:t>
      </w:r>
      <w:r>
        <w:rPr>
          <w:rFonts w:ascii="Times New Roman" w:hAnsi="Times New Roman" w:eastAsia="Times New Roman" w:cs="Times New Roman"/>
          <w:spacing w:val="-3"/>
          <w:sz w:val="24"/>
          <w:szCs w:val="24"/>
        </w:rPr>
        <w:t>/a</w:t>
      </w:r>
      <w:r>
        <w:rPr>
          <w:rFonts w:ascii="Times New Roman" w:hAnsi="Times New Roman" w:eastAsia="Times New Roman" w:cs="Times New Roman"/>
          <w:spacing w:val="-29"/>
          <w:sz w:val="24"/>
          <w:szCs w:val="24"/>
        </w:rPr>
        <w:t xml:space="preserve"> </w:t>
      </w:r>
      <w:r>
        <w:rPr>
          <w:rFonts w:ascii="宋体" w:hAnsi="宋体" w:eastAsia="宋体" w:cs="宋体"/>
          <w:spacing w:val="-3"/>
          <w:sz w:val="24"/>
          <w:szCs w:val="24"/>
        </w:rPr>
        <w:t>，来自厂区锰硅合金电炉净化煤气，布袋综合除尘效率为</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99%</w:t>
      </w:r>
      <w:r>
        <w:rPr>
          <w:rFonts w:ascii="宋体" w:hAnsi="宋体" w:eastAsia="宋体" w:cs="宋体"/>
          <w:spacing w:val="-3"/>
          <w:sz w:val="24"/>
          <w:szCs w:val="24"/>
        </w:rPr>
        <w:t>。</w:t>
      </w:r>
    </w:p>
    <w:p w14:paraId="1A2C6FA1">
      <w:pPr>
        <w:spacing w:before="35" w:line="362" w:lineRule="auto"/>
        <w:ind w:left="8" w:firstLine="480"/>
        <w:rPr>
          <w:rFonts w:ascii="宋体" w:hAnsi="宋体" w:eastAsia="宋体" w:cs="宋体"/>
          <w:sz w:val="24"/>
          <w:szCs w:val="24"/>
        </w:rPr>
      </w:pPr>
      <w:r>
        <w:rPr>
          <w:rFonts w:ascii="宋体" w:hAnsi="宋体" w:eastAsia="宋体" w:cs="宋体"/>
          <w:spacing w:val="-3"/>
          <w:sz w:val="24"/>
          <w:szCs w:val="24"/>
        </w:rPr>
        <w:t>烘干机废气量包含燃气热风炉热烟气量和烘干机的漏风量。参照《排</w:t>
      </w:r>
      <w:r>
        <w:rPr>
          <w:rFonts w:ascii="宋体" w:hAnsi="宋体" w:eastAsia="宋体" w:cs="宋体"/>
          <w:spacing w:val="-4"/>
          <w:sz w:val="24"/>
          <w:szCs w:val="24"/>
        </w:rPr>
        <w:t>放源统计调查</w:t>
      </w:r>
      <w:r>
        <w:rPr>
          <w:rFonts w:ascii="宋体" w:hAnsi="宋体" w:eastAsia="宋体" w:cs="宋体"/>
          <w:sz w:val="24"/>
          <w:szCs w:val="24"/>
        </w:rPr>
        <w:t xml:space="preserve"> </w:t>
      </w:r>
      <w:r>
        <w:rPr>
          <w:rFonts w:ascii="宋体" w:hAnsi="宋体" w:eastAsia="宋体" w:cs="宋体"/>
          <w:spacing w:val="-2"/>
          <w:sz w:val="24"/>
          <w:szCs w:val="24"/>
        </w:rPr>
        <w:t>产排污核算方法和系数手册》（环境部公告</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 xml:space="preserve">2021 </w:t>
      </w:r>
      <w:r>
        <w:rPr>
          <w:rFonts w:ascii="宋体" w:hAnsi="宋体" w:eastAsia="宋体" w:cs="宋体"/>
          <w:spacing w:val="-2"/>
          <w:sz w:val="24"/>
          <w:szCs w:val="24"/>
        </w:rPr>
        <w:t>年 第</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24</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号）</w:t>
      </w:r>
      <w:r>
        <w:rPr>
          <w:rFonts w:ascii="Times New Roman" w:hAnsi="Times New Roman" w:eastAsia="Times New Roman" w:cs="Times New Roman"/>
          <w:spacing w:val="-2"/>
          <w:sz w:val="24"/>
          <w:szCs w:val="24"/>
        </w:rPr>
        <w:t xml:space="preserve">4430 </w:t>
      </w:r>
      <w:r>
        <w:rPr>
          <w:rFonts w:ascii="宋体" w:hAnsi="宋体" w:eastAsia="宋体" w:cs="宋体"/>
          <w:spacing w:val="-2"/>
          <w:sz w:val="24"/>
          <w:szCs w:val="24"/>
        </w:rPr>
        <w:t>工业锅炉（热力供</w:t>
      </w:r>
      <w:r>
        <w:rPr>
          <w:rFonts w:ascii="宋体" w:hAnsi="宋体" w:eastAsia="宋体" w:cs="宋体"/>
          <w:sz w:val="24"/>
          <w:szCs w:val="24"/>
        </w:rPr>
        <w:t xml:space="preserve"> </w:t>
      </w:r>
      <w:r>
        <w:rPr>
          <w:rFonts w:ascii="宋体" w:hAnsi="宋体" w:eastAsia="宋体" w:cs="宋体"/>
          <w:spacing w:val="1"/>
          <w:sz w:val="24"/>
          <w:szCs w:val="24"/>
        </w:rPr>
        <w:t>应）行业系数手册，燃气炉（高炉煤气）产污系数，废气产生系数为</w:t>
      </w:r>
      <w:r>
        <w:rPr>
          <w:rFonts w:ascii="宋体" w:hAnsi="宋体" w:eastAsia="宋体" w:cs="宋体"/>
          <w:spacing w:val="-25"/>
          <w:sz w:val="24"/>
          <w:szCs w:val="24"/>
        </w:rPr>
        <w:t xml:space="preserve"> </w:t>
      </w:r>
      <w:r>
        <w:rPr>
          <w:rFonts w:ascii="Times New Roman" w:hAnsi="Times New Roman" w:eastAsia="Times New Roman" w:cs="Times New Roman"/>
          <w:spacing w:val="1"/>
          <w:sz w:val="24"/>
          <w:szCs w:val="24"/>
        </w:rPr>
        <w:t>16087</w:t>
      </w:r>
      <w:r>
        <w:rPr>
          <w:rFonts w:ascii="Times New Roman" w:hAnsi="Times New Roman" w:eastAsia="Times New Roman" w:cs="Times New Roman"/>
          <w:sz w:val="24"/>
          <w:szCs w:val="24"/>
        </w:rPr>
        <w:t>Nm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w:t>
      </w:r>
      <w:r>
        <w:rPr>
          <w:rFonts w:ascii="宋体" w:hAnsi="宋体" w:eastAsia="宋体" w:cs="宋体"/>
          <w:spacing w:val="1"/>
          <w:sz w:val="24"/>
          <w:szCs w:val="24"/>
        </w:rPr>
        <w:t>万</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position w:val="8"/>
          <w:sz w:val="15"/>
          <w:szCs w:val="15"/>
        </w:rPr>
        <w:t xml:space="preserve"> </w:t>
      </w:r>
      <w:r>
        <w:rPr>
          <w:rFonts w:ascii="宋体" w:hAnsi="宋体" w:eastAsia="宋体" w:cs="宋体"/>
          <w:spacing w:val="-2"/>
          <w:sz w:val="24"/>
          <w:szCs w:val="24"/>
        </w:rPr>
        <w:t>原料。则：焦炭烘干废气量为</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3043.42Nm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，烘干机漏风量按照</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5%</w:t>
      </w:r>
      <w:r>
        <w:rPr>
          <w:rFonts w:ascii="宋体" w:hAnsi="宋体" w:eastAsia="宋体" w:cs="宋体"/>
          <w:spacing w:val="-2"/>
          <w:sz w:val="24"/>
          <w:szCs w:val="24"/>
        </w:rPr>
        <w:t>计算。烘干废气总</w:t>
      </w:r>
      <w:r>
        <w:rPr>
          <w:rFonts w:ascii="宋体" w:hAnsi="宋体" w:eastAsia="宋体" w:cs="宋体"/>
          <w:sz w:val="24"/>
          <w:szCs w:val="24"/>
        </w:rPr>
        <w:t xml:space="preserve"> </w:t>
      </w:r>
      <w:r>
        <w:rPr>
          <w:rFonts w:ascii="宋体" w:hAnsi="宋体" w:eastAsia="宋体" w:cs="宋体"/>
          <w:spacing w:val="-2"/>
          <w:sz w:val="24"/>
          <w:szCs w:val="24"/>
        </w:rPr>
        <w:t>量为</w:t>
      </w:r>
      <w:r>
        <w:rPr>
          <w:rFonts w:ascii="宋体" w:hAnsi="宋体" w:eastAsia="宋体" w:cs="宋体"/>
          <w:spacing w:val="-39"/>
          <w:sz w:val="24"/>
          <w:szCs w:val="24"/>
        </w:rPr>
        <w:t xml:space="preserve"> </w:t>
      </w:r>
      <w:r>
        <w:rPr>
          <w:rFonts w:ascii="Times New Roman" w:hAnsi="Times New Roman" w:eastAsia="Times New Roman" w:cs="Times New Roman"/>
          <w:spacing w:val="-2"/>
          <w:sz w:val="24"/>
          <w:szCs w:val="24"/>
        </w:rPr>
        <w:t>3195.59Nm</w:t>
      </w:r>
      <w:r>
        <w:rPr>
          <w:rFonts w:ascii="Times New Roman" w:hAnsi="Times New Roman" w:eastAsia="Times New Roman" w:cs="Times New Roman"/>
          <w:spacing w:val="-2"/>
          <w:position w:val="7"/>
          <w:sz w:val="15"/>
          <w:szCs w:val="15"/>
        </w:rPr>
        <w:t>3</w:t>
      </w:r>
      <w:r>
        <w:rPr>
          <w:rFonts w:ascii="Times New Roman" w:hAnsi="Times New Roman" w:eastAsia="Times New Roman" w:cs="Times New Roman"/>
          <w:spacing w:val="-2"/>
          <w:sz w:val="24"/>
          <w:szCs w:val="24"/>
        </w:rPr>
        <w:t>/h</w:t>
      </w:r>
      <w:r>
        <w:rPr>
          <w:rFonts w:ascii="宋体" w:hAnsi="宋体" w:eastAsia="宋体" w:cs="宋体"/>
          <w:spacing w:val="-2"/>
          <w:sz w:val="24"/>
          <w:szCs w:val="24"/>
        </w:rPr>
        <w:t>。</w:t>
      </w:r>
    </w:p>
    <w:p w14:paraId="436DCF4C">
      <w:pPr>
        <w:spacing w:before="31" w:line="217" w:lineRule="auto"/>
        <w:ind w:left="487"/>
        <w:rPr>
          <w:rFonts w:ascii="宋体" w:hAnsi="宋体" w:eastAsia="宋体" w:cs="宋体"/>
          <w:sz w:val="24"/>
          <w:szCs w:val="24"/>
        </w:rPr>
      </w:pPr>
      <w:r>
        <w:rPr>
          <w:rFonts w:ascii="宋体" w:hAnsi="宋体" w:eastAsia="宋体" w:cs="宋体"/>
          <w:spacing w:val="-3"/>
          <w:sz w:val="24"/>
          <w:szCs w:val="24"/>
        </w:rPr>
        <w:t>①粉尘</w:t>
      </w:r>
    </w:p>
    <w:p w14:paraId="55997BEE">
      <w:pPr>
        <w:spacing w:before="197" w:line="356" w:lineRule="auto"/>
        <w:ind w:left="8" w:firstLine="480"/>
        <w:rPr>
          <w:rFonts w:ascii="宋体" w:hAnsi="宋体" w:eastAsia="宋体" w:cs="宋体"/>
          <w:sz w:val="24"/>
          <w:szCs w:val="24"/>
        </w:rPr>
      </w:pPr>
      <w:r>
        <w:rPr>
          <w:rFonts w:ascii="宋体" w:hAnsi="宋体" w:eastAsia="宋体" w:cs="宋体"/>
          <w:spacing w:val="3"/>
          <w:sz w:val="24"/>
          <w:szCs w:val="24"/>
        </w:rPr>
        <w:t>焦炭烘干产生的颗粒物源强核算参照《排放源统计调查产排污核算方法和系数手</w:t>
      </w:r>
      <w:r>
        <w:rPr>
          <w:rFonts w:ascii="宋体" w:hAnsi="宋体" w:eastAsia="宋体" w:cs="宋体"/>
          <w:spacing w:val="18"/>
          <w:sz w:val="24"/>
          <w:szCs w:val="24"/>
        </w:rPr>
        <w:t xml:space="preserve"> </w:t>
      </w:r>
      <w:r>
        <w:rPr>
          <w:rFonts w:ascii="宋体" w:hAnsi="宋体" w:eastAsia="宋体" w:cs="宋体"/>
          <w:spacing w:val="-3"/>
          <w:sz w:val="24"/>
          <w:szCs w:val="24"/>
        </w:rPr>
        <w:t>册》（环境部公告</w:t>
      </w:r>
      <w:r>
        <w:rPr>
          <w:rFonts w:ascii="Times New Roman" w:hAnsi="Times New Roman" w:eastAsia="Times New Roman" w:cs="Times New Roman"/>
          <w:spacing w:val="-3"/>
          <w:sz w:val="24"/>
          <w:szCs w:val="24"/>
        </w:rPr>
        <w:t>2021</w:t>
      </w:r>
      <w:r>
        <w:rPr>
          <w:rFonts w:ascii="宋体" w:hAnsi="宋体" w:eastAsia="宋体" w:cs="宋体"/>
          <w:spacing w:val="-3"/>
          <w:sz w:val="24"/>
          <w:szCs w:val="24"/>
        </w:rPr>
        <w:t>年 第</w:t>
      </w:r>
      <w:r>
        <w:rPr>
          <w:rFonts w:ascii="Times New Roman" w:hAnsi="Times New Roman" w:eastAsia="Times New Roman" w:cs="Times New Roman"/>
          <w:spacing w:val="-3"/>
          <w:sz w:val="24"/>
          <w:szCs w:val="24"/>
        </w:rPr>
        <w:t>24</w:t>
      </w:r>
      <w:r>
        <w:rPr>
          <w:rFonts w:ascii="宋体" w:hAnsi="宋体" w:eastAsia="宋体" w:cs="宋体"/>
          <w:spacing w:val="-3"/>
          <w:sz w:val="24"/>
          <w:szCs w:val="24"/>
        </w:rPr>
        <w:t>号）</w:t>
      </w:r>
      <w:r>
        <w:rPr>
          <w:rFonts w:ascii="Times New Roman" w:hAnsi="Times New Roman" w:eastAsia="Times New Roman" w:cs="Times New Roman"/>
          <w:spacing w:val="-3"/>
          <w:sz w:val="24"/>
          <w:szCs w:val="24"/>
        </w:rPr>
        <w:t>252</w:t>
      </w:r>
      <w:r>
        <w:rPr>
          <w:rFonts w:ascii="宋体" w:hAnsi="宋体" w:eastAsia="宋体" w:cs="宋体"/>
          <w:spacing w:val="-3"/>
          <w:sz w:val="24"/>
          <w:szCs w:val="24"/>
        </w:rPr>
        <w:t>煤炭加工行业</w:t>
      </w:r>
      <w:r>
        <w:rPr>
          <w:rFonts w:ascii="Times New Roman" w:hAnsi="Times New Roman" w:eastAsia="Times New Roman" w:cs="Times New Roman"/>
          <w:spacing w:val="-3"/>
          <w:sz w:val="24"/>
          <w:szCs w:val="24"/>
        </w:rPr>
        <w:t>—</w:t>
      </w:r>
      <w:r>
        <w:rPr>
          <w:rFonts w:ascii="宋体" w:hAnsi="宋体" w:eastAsia="宋体" w:cs="宋体"/>
          <w:spacing w:val="-3"/>
          <w:sz w:val="24"/>
          <w:szCs w:val="24"/>
        </w:rPr>
        <w:t>煤制品制造行业烘干环节，颗粒</w:t>
      </w:r>
      <w:r>
        <w:rPr>
          <w:rFonts w:ascii="宋体" w:hAnsi="宋体" w:eastAsia="宋体" w:cs="宋体"/>
          <w:spacing w:val="15"/>
          <w:sz w:val="24"/>
          <w:szCs w:val="24"/>
        </w:rPr>
        <w:t xml:space="preserve"> </w:t>
      </w:r>
      <w:r>
        <w:rPr>
          <w:rFonts w:ascii="宋体" w:hAnsi="宋体" w:eastAsia="宋体" w:cs="宋体"/>
          <w:spacing w:val="9"/>
          <w:sz w:val="24"/>
          <w:szCs w:val="24"/>
        </w:rPr>
        <w:t>物产污系数为</w:t>
      </w:r>
      <w:r>
        <w:rPr>
          <w:rFonts w:ascii="Times New Roman" w:hAnsi="Times New Roman" w:eastAsia="Times New Roman" w:cs="Times New Roman"/>
          <w:spacing w:val="9"/>
          <w:sz w:val="24"/>
          <w:szCs w:val="24"/>
        </w:rPr>
        <w:t>0.554</w:t>
      </w:r>
      <w:r>
        <w:rPr>
          <w:rFonts w:ascii="Times New Roman" w:hAnsi="Times New Roman" w:eastAsia="Times New Roman" w:cs="Times New Roman"/>
          <w:sz w:val="24"/>
          <w:szCs w:val="24"/>
        </w:rPr>
        <w:t>kg</w:t>
      </w:r>
      <w:r>
        <w:rPr>
          <w:rFonts w:ascii="Times New Roman" w:hAnsi="Times New Roman" w:eastAsia="Times New Roman" w:cs="Times New Roman"/>
          <w:spacing w:val="9"/>
          <w:sz w:val="24"/>
          <w:szCs w:val="24"/>
        </w:rPr>
        <w:t>/t-</w:t>
      </w:r>
      <w:r>
        <w:rPr>
          <w:rFonts w:ascii="Times New Roman" w:hAnsi="Times New Roman" w:eastAsia="Times New Roman" w:cs="Times New Roman"/>
          <w:spacing w:val="-25"/>
          <w:sz w:val="24"/>
          <w:szCs w:val="24"/>
        </w:rPr>
        <w:t xml:space="preserve"> </w:t>
      </w:r>
      <w:r>
        <w:rPr>
          <w:rFonts w:ascii="宋体" w:hAnsi="宋体" w:eastAsia="宋体" w:cs="宋体"/>
          <w:spacing w:val="9"/>
          <w:sz w:val="24"/>
          <w:szCs w:val="24"/>
        </w:rPr>
        <w:t>产</w:t>
      </w:r>
      <w:r>
        <w:rPr>
          <w:rFonts w:ascii="宋体" w:hAnsi="宋体" w:eastAsia="宋体" w:cs="宋体"/>
          <w:spacing w:val="-67"/>
          <w:sz w:val="24"/>
          <w:szCs w:val="24"/>
        </w:rPr>
        <w:t xml:space="preserve"> </w:t>
      </w:r>
      <w:r>
        <w:rPr>
          <w:rFonts w:ascii="宋体" w:hAnsi="宋体" w:eastAsia="宋体" w:cs="宋体"/>
          <w:spacing w:val="9"/>
          <w:sz w:val="24"/>
          <w:szCs w:val="24"/>
        </w:rPr>
        <w:t>品</w:t>
      </w:r>
      <w:r>
        <w:rPr>
          <w:rFonts w:ascii="宋体" w:hAnsi="宋体" w:eastAsia="宋体" w:cs="宋体"/>
          <w:spacing w:val="-66"/>
          <w:sz w:val="24"/>
          <w:szCs w:val="24"/>
        </w:rPr>
        <w:t xml:space="preserve"> </w:t>
      </w:r>
      <w:r>
        <w:rPr>
          <w:rFonts w:ascii="宋体" w:hAnsi="宋体" w:eastAsia="宋体" w:cs="宋体"/>
          <w:spacing w:val="9"/>
          <w:sz w:val="24"/>
          <w:szCs w:val="24"/>
        </w:rPr>
        <w:t>。则焦炭干燥废气</w:t>
      </w:r>
      <w:r>
        <w:rPr>
          <w:rFonts w:ascii="宋体" w:hAnsi="宋体" w:eastAsia="宋体" w:cs="宋体"/>
          <w:spacing w:val="-64"/>
          <w:sz w:val="24"/>
          <w:szCs w:val="24"/>
        </w:rPr>
        <w:t xml:space="preserve"> </w:t>
      </w:r>
      <w:r>
        <w:rPr>
          <w:rFonts w:ascii="宋体" w:hAnsi="宋体" w:eastAsia="宋体" w:cs="宋体"/>
          <w:spacing w:val="9"/>
          <w:sz w:val="24"/>
          <w:szCs w:val="24"/>
        </w:rPr>
        <w:t>中粉尘产生量</w:t>
      </w:r>
      <w:r>
        <w:rPr>
          <w:rFonts w:ascii="Times New Roman" w:hAnsi="Times New Roman" w:eastAsia="Times New Roman" w:cs="Times New Roman"/>
          <w:spacing w:val="9"/>
          <w:sz w:val="24"/>
          <w:szCs w:val="24"/>
        </w:rPr>
        <w:t>145</w:t>
      </w:r>
      <w:r>
        <w:rPr>
          <w:rFonts w:ascii="Times New Roman" w:hAnsi="Times New Roman" w:eastAsia="Times New Roman" w:cs="Times New Roman"/>
          <w:spacing w:val="8"/>
          <w:sz w:val="24"/>
          <w:szCs w:val="24"/>
        </w:rPr>
        <w:t>.71t/a</w:t>
      </w:r>
      <w:r>
        <w:rPr>
          <w:rFonts w:ascii="Times New Roman" w:hAnsi="Times New Roman" w:eastAsia="Times New Roman" w:cs="Times New Roman"/>
          <w:spacing w:val="-13"/>
          <w:sz w:val="24"/>
          <w:szCs w:val="24"/>
        </w:rPr>
        <w:t xml:space="preserve"> </w:t>
      </w:r>
      <w:r>
        <w:rPr>
          <w:rFonts w:ascii="宋体" w:hAnsi="宋体" w:eastAsia="宋体" w:cs="宋体"/>
          <w:spacing w:val="8"/>
          <w:sz w:val="24"/>
          <w:szCs w:val="24"/>
        </w:rPr>
        <w:t>、产生速率</w:t>
      </w:r>
      <w:r>
        <w:rPr>
          <w:rFonts w:ascii="宋体" w:hAnsi="宋体" w:eastAsia="宋体" w:cs="宋体"/>
          <w:sz w:val="24"/>
          <w:szCs w:val="24"/>
        </w:rPr>
        <w:t xml:space="preserve"> </w:t>
      </w:r>
      <w:r>
        <w:rPr>
          <w:rFonts w:ascii="Times New Roman" w:hAnsi="Times New Roman" w:eastAsia="Times New Roman" w:cs="Times New Roman"/>
          <w:spacing w:val="-2"/>
          <w:sz w:val="24"/>
          <w:szCs w:val="24"/>
        </w:rPr>
        <w:t>18.21kg/h</w:t>
      </w:r>
      <w:r>
        <w:rPr>
          <w:rFonts w:ascii="宋体" w:hAnsi="宋体" w:eastAsia="宋体" w:cs="宋体"/>
          <w:spacing w:val="-2"/>
          <w:sz w:val="24"/>
          <w:szCs w:val="24"/>
        </w:rPr>
        <w:t>。</w:t>
      </w:r>
    </w:p>
    <w:p w14:paraId="5D62F043">
      <w:pPr>
        <w:spacing w:before="55" w:line="217" w:lineRule="auto"/>
        <w:ind w:left="486"/>
        <w:rPr>
          <w:rFonts w:ascii="Times New Roman" w:hAnsi="Times New Roman" w:eastAsia="Times New Roman" w:cs="Times New Roman"/>
          <w:sz w:val="15"/>
          <w:szCs w:val="15"/>
        </w:rPr>
      </w:pPr>
      <w:r>
        <w:rPr>
          <w:rFonts w:ascii="宋体" w:hAnsi="宋体" w:eastAsia="宋体" w:cs="宋体"/>
          <w:spacing w:val="-2"/>
          <w:sz w:val="24"/>
          <w:szCs w:val="24"/>
        </w:rPr>
        <w:t>②</w:t>
      </w:r>
      <w:r>
        <w:rPr>
          <w:rFonts w:ascii="Times New Roman" w:hAnsi="Times New Roman" w:eastAsia="Times New Roman" w:cs="Times New Roman"/>
          <w:spacing w:val="-2"/>
          <w:sz w:val="24"/>
          <w:szCs w:val="24"/>
        </w:rPr>
        <w:t>SO</w:t>
      </w:r>
      <w:r>
        <w:rPr>
          <w:rFonts w:ascii="Times New Roman" w:hAnsi="Times New Roman" w:eastAsia="Times New Roman" w:cs="Times New Roman"/>
          <w:spacing w:val="-2"/>
          <w:position w:val="-1"/>
          <w:sz w:val="15"/>
          <w:szCs w:val="15"/>
        </w:rPr>
        <w:t>2</w:t>
      </w:r>
    </w:p>
    <w:p w14:paraId="16779842">
      <w:pPr>
        <w:spacing w:before="195" w:line="354" w:lineRule="auto"/>
        <w:ind w:left="9" w:firstLine="479"/>
        <w:rPr>
          <w:rFonts w:ascii="宋体" w:hAnsi="宋体" w:eastAsia="宋体" w:cs="宋体"/>
          <w:sz w:val="24"/>
          <w:szCs w:val="24"/>
        </w:rPr>
      </w:pPr>
      <w:r>
        <w:rPr>
          <w:rFonts w:ascii="宋体" w:hAnsi="宋体" w:eastAsia="宋体" w:cs="宋体"/>
          <w:spacing w:val="3"/>
          <w:sz w:val="24"/>
          <w:szCs w:val="24"/>
        </w:rPr>
        <w:t>烘干废气中的</w:t>
      </w:r>
      <w:r>
        <w:rPr>
          <w:rFonts w:ascii="Times New Roman" w:hAnsi="Times New Roman" w:eastAsia="Times New Roman" w:cs="Times New Roman"/>
          <w:sz w:val="24"/>
          <w:szCs w:val="24"/>
        </w:rPr>
        <w:t>SO</w:t>
      </w:r>
      <w:r>
        <w:rPr>
          <w:rFonts w:ascii="Times New Roman" w:hAnsi="Times New Roman" w:eastAsia="Times New Roman" w:cs="Times New Roman"/>
          <w:spacing w:val="3"/>
          <w:position w:val="-1"/>
          <w:sz w:val="15"/>
          <w:szCs w:val="15"/>
        </w:rPr>
        <w:t>2</w:t>
      </w:r>
      <w:r>
        <w:rPr>
          <w:rFonts w:ascii="宋体" w:hAnsi="宋体" w:eastAsia="宋体" w:cs="宋体"/>
          <w:spacing w:val="3"/>
          <w:sz w:val="24"/>
          <w:szCs w:val="24"/>
        </w:rPr>
        <w:t>全部由净化煤气燃烧热烟气带入，</w:t>
      </w:r>
      <w:r>
        <w:rPr>
          <w:rFonts w:ascii="Times New Roman" w:hAnsi="Times New Roman" w:eastAsia="Times New Roman" w:cs="Times New Roman"/>
          <w:spacing w:val="3"/>
          <w:sz w:val="24"/>
          <w:szCs w:val="24"/>
        </w:rPr>
        <w:t>2</w:t>
      </w:r>
      <w:r>
        <w:rPr>
          <w:rFonts w:ascii="宋体" w:hAnsi="宋体" w:eastAsia="宋体" w:cs="宋体"/>
          <w:spacing w:val="3"/>
          <w:sz w:val="24"/>
          <w:szCs w:val="24"/>
        </w:rPr>
        <w:t>台烘干机煤气消耗量为，年</w:t>
      </w:r>
      <w:r>
        <w:rPr>
          <w:rFonts w:ascii="宋体" w:hAnsi="宋体" w:eastAsia="宋体" w:cs="宋体"/>
          <w:sz w:val="24"/>
          <w:szCs w:val="24"/>
        </w:rPr>
        <w:t xml:space="preserve"> </w:t>
      </w:r>
      <w:r>
        <w:rPr>
          <w:rFonts w:ascii="宋体" w:hAnsi="宋体" w:eastAsia="宋体" w:cs="宋体"/>
          <w:spacing w:val="-1"/>
          <w:sz w:val="24"/>
          <w:szCs w:val="24"/>
        </w:rPr>
        <w:t>消耗量为</w:t>
      </w:r>
      <w:r>
        <w:rPr>
          <w:rFonts w:ascii="Times New Roman" w:hAnsi="Times New Roman" w:eastAsia="Times New Roman" w:cs="Times New Roman"/>
          <w:spacing w:val="-1"/>
          <w:sz w:val="24"/>
          <w:szCs w:val="24"/>
        </w:rPr>
        <w:t>1513.48</w:t>
      </w:r>
      <w:r>
        <w:rPr>
          <w:rFonts w:ascii="宋体" w:hAnsi="宋体" w:eastAsia="宋体" w:cs="宋体"/>
          <w:spacing w:val="-1"/>
          <w:sz w:val="24"/>
          <w:szCs w:val="24"/>
        </w:rPr>
        <w:t>万</w:t>
      </w:r>
      <w:r>
        <w:rPr>
          <w:rFonts w:ascii="Times New Roman" w:hAnsi="Times New Roman" w:eastAsia="Times New Roman" w:cs="Times New Roman"/>
          <w:spacing w:val="-1"/>
          <w:sz w:val="24"/>
          <w:szCs w:val="24"/>
        </w:rPr>
        <w:t>Nm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/a</w:t>
      </w:r>
      <w:r>
        <w:rPr>
          <w:rFonts w:ascii="宋体" w:hAnsi="宋体" w:eastAsia="宋体" w:cs="宋体"/>
          <w:spacing w:val="-1"/>
          <w:sz w:val="24"/>
          <w:szCs w:val="24"/>
        </w:rPr>
        <w:t>（</w:t>
      </w:r>
      <w:r>
        <w:rPr>
          <w:rFonts w:ascii="Times New Roman" w:hAnsi="Times New Roman" w:eastAsia="Times New Roman" w:cs="Times New Roman"/>
          <w:spacing w:val="-1"/>
          <w:sz w:val="24"/>
          <w:szCs w:val="24"/>
        </w:rPr>
        <w:t>16042.89t/a</w:t>
      </w:r>
      <w:r>
        <w:rPr>
          <w:rFonts w:ascii="宋体" w:hAnsi="宋体" w:eastAsia="宋体" w:cs="宋体"/>
          <w:spacing w:val="-18"/>
          <w:sz w:val="24"/>
          <w:szCs w:val="24"/>
        </w:rPr>
        <w:t>），</w:t>
      </w:r>
      <w:r>
        <w:rPr>
          <w:rFonts w:ascii="宋体" w:hAnsi="宋体" w:eastAsia="宋体" w:cs="宋体"/>
          <w:spacing w:val="-1"/>
          <w:sz w:val="24"/>
          <w:szCs w:val="24"/>
        </w:rPr>
        <w:t>煤气含硫量为</w:t>
      </w:r>
      <w:r>
        <w:rPr>
          <w:rFonts w:ascii="Times New Roman" w:hAnsi="Times New Roman" w:eastAsia="Times New Roman" w:cs="Times New Roman"/>
          <w:spacing w:val="-1"/>
          <w:sz w:val="24"/>
          <w:szCs w:val="24"/>
        </w:rPr>
        <w:t>96mg/Nm</w:t>
      </w:r>
      <w:r>
        <w:rPr>
          <w:rFonts w:ascii="Times New Roman" w:hAnsi="Times New Roman" w:eastAsia="Times New Roman" w:cs="Times New Roman"/>
          <w:spacing w:val="-1"/>
          <w:position w:val="7"/>
          <w:sz w:val="15"/>
          <w:szCs w:val="15"/>
        </w:rPr>
        <w:t>3</w:t>
      </w:r>
      <w:r>
        <w:rPr>
          <w:rFonts w:ascii="宋体" w:hAnsi="宋体" w:eastAsia="宋体" w:cs="宋体"/>
          <w:spacing w:val="-1"/>
          <w:sz w:val="24"/>
          <w:szCs w:val="24"/>
        </w:rPr>
        <w:t>，煤气中的硫</w:t>
      </w:r>
      <w:r>
        <w:rPr>
          <w:rFonts w:ascii="宋体" w:hAnsi="宋体" w:eastAsia="宋体" w:cs="宋体"/>
          <w:spacing w:val="-2"/>
          <w:sz w:val="24"/>
          <w:szCs w:val="24"/>
        </w:rPr>
        <w:t>元素转</w:t>
      </w:r>
      <w:r>
        <w:rPr>
          <w:rFonts w:ascii="宋体" w:hAnsi="宋体" w:eastAsia="宋体" w:cs="宋体"/>
          <w:sz w:val="24"/>
          <w:szCs w:val="24"/>
        </w:rPr>
        <w:t xml:space="preserve"> </w:t>
      </w:r>
      <w:r>
        <w:rPr>
          <w:rFonts w:ascii="宋体" w:hAnsi="宋体" w:eastAsia="宋体" w:cs="宋体"/>
          <w:spacing w:val="-2"/>
          <w:sz w:val="24"/>
          <w:szCs w:val="24"/>
        </w:rPr>
        <w:t>化率按照</w:t>
      </w:r>
      <w:r>
        <w:rPr>
          <w:rFonts w:ascii="Times New Roman" w:hAnsi="Times New Roman" w:eastAsia="Times New Roman" w:cs="Times New Roman"/>
          <w:spacing w:val="-2"/>
          <w:sz w:val="24"/>
          <w:szCs w:val="24"/>
        </w:rPr>
        <w:t>100%</w:t>
      </w:r>
      <w:r>
        <w:rPr>
          <w:rFonts w:ascii="宋体" w:hAnsi="宋体" w:eastAsia="宋体" w:cs="宋体"/>
          <w:spacing w:val="-2"/>
          <w:sz w:val="24"/>
          <w:szCs w:val="24"/>
        </w:rPr>
        <w:t>计算。</w:t>
      </w:r>
    </w:p>
    <w:p w14:paraId="5194B5E7">
      <w:pPr>
        <w:spacing w:before="51" w:line="217" w:lineRule="auto"/>
        <w:ind w:left="486"/>
        <w:rPr>
          <w:rFonts w:ascii="Times New Roman" w:hAnsi="Times New Roman" w:eastAsia="Times New Roman" w:cs="Times New Roman"/>
          <w:sz w:val="15"/>
          <w:szCs w:val="15"/>
        </w:rPr>
      </w:pPr>
      <w:r>
        <w:rPr>
          <w:rFonts w:ascii="宋体" w:hAnsi="宋体" w:eastAsia="宋体" w:cs="宋体"/>
          <w:spacing w:val="-1"/>
          <w:sz w:val="24"/>
          <w:szCs w:val="24"/>
        </w:rPr>
        <w:t>③</w:t>
      </w:r>
      <w:r>
        <w:rPr>
          <w:rFonts w:ascii="Times New Roman" w:hAnsi="Times New Roman" w:eastAsia="Times New Roman" w:cs="Times New Roman"/>
          <w:spacing w:val="-1"/>
          <w:sz w:val="24"/>
          <w:szCs w:val="24"/>
        </w:rPr>
        <w:t>NO</w:t>
      </w:r>
      <w:r>
        <w:rPr>
          <w:rFonts w:ascii="Times New Roman" w:hAnsi="Times New Roman" w:eastAsia="Times New Roman" w:cs="Times New Roman"/>
          <w:spacing w:val="-1"/>
          <w:position w:val="-1"/>
          <w:sz w:val="15"/>
          <w:szCs w:val="15"/>
        </w:rPr>
        <w:t>x</w:t>
      </w:r>
    </w:p>
    <w:p w14:paraId="4A970191">
      <w:pPr>
        <w:spacing w:before="195" w:line="354" w:lineRule="auto"/>
        <w:ind w:left="15" w:firstLine="472"/>
        <w:rPr>
          <w:rFonts w:ascii="宋体" w:hAnsi="宋体" w:eastAsia="宋体" w:cs="宋体"/>
          <w:sz w:val="24"/>
          <w:szCs w:val="24"/>
        </w:rPr>
      </w:pPr>
      <w:r>
        <w:rPr>
          <w:rFonts w:ascii="宋体" w:hAnsi="宋体" w:eastAsia="宋体" w:cs="宋体"/>
          <w:spacing w:val="-3"/>
          <w:sz w:val="24"/>
          <w:szCs w:val="24"/>
        </w:rPr>
        <w:t>烘干废气中的氮氧化物全部来自煤气燃烧烟气，本次评价热烟气中氮</w:t>
      </w:r>
      <w:r>
        <w:rPr>
          <w:rFonts w:ascii="宋体" w:hAnsi="宋体" w:eastAsia="宋体" w:cs="宋体"/>
          <w:spacing w:val="-4"/>
          <w:sz w:val="24"/>
          <w:szCs w:val="24"/>
        </w:rPr>
        <w:t>氧化物的量参</w:t>
      </w:r>
      <w:r>
        <w:rPr>
          <w:rFonts w:ascii="宋体" w:hAnsi="宋体" w:eastAsia="宋体" w:cs="宋体"/>
          <w:sz w:val="24"/>
          <w:szCs w:val="24"/>
        </w:rPr>
        <w:t xml:space="preserve"> </w:t>
      </w:r>
      <w:r>
        <w:rPr>
          <w:rFonts w:ascii="宋体" w:hAnsi="宋体" w:eastAsia="宋体" w:cs="宋体"/>
          <w:spacing w:val="-2"/>
          <w:sz w:val="24"/>
          <w:szCs w:val="24"/>
        </w:rPr>
        <w:t>照燃气炉进行计算。</w:t>
      </w:r>
    </w:p>
    <w:p w14:paraId="6619F153">
      <w:pPr>
        <w:spacing w:before="30" w:line="359" w:lineRule="auto"/>
        <w:ind w:left="9" w:firstLine="479"/>
        <w:jc w:val="both"/>
        <w:rPr>
          <w:rFonts w:ascii="宋体" w:hAnsi="宋体" w:eastAsia="宋体" w:cs="宋体"/>
          <w:sz w:val="24"/>
          <w:szCs w:val="24"/>
        </w:rPr>
      </w:pPr>
      <w:r>
        <w:rPr>
          <w:rFonts w:ascii="宋体" w:hAnsi="宋体" w:eastAsia="宋体" w:cs="宋体"/>
          <w:spacing w:val="-4"/>
          <w:sz w:val="24"/>
          <w:szCs w:val="24"/>
        </w:rPr>
        <w:t>焦炭烘干</w:t>
      </w:r>
      <w:r>
        <w:rPr>
          <w:rFonts w:ascii="宋体" w:hAnsi="宋体" w:eastAsia="宋体" w:cs="宋体"/>
          <w:spacing w:val="-26"/>
          <w:sz w:val="24"/>
          <w:szCs w:val="24"/>
        </w:rPr>
        <w:t xml:space="preserve"> </w:t>
      </w:r>
      <w:r>
        <w:rPr>
          <w:rFonts w:ascii="Times New Roman" w:hAnsi="Times New Roman" w:eastAsia="Times New Roman" w:cs="Times New Roman"/>
          <w:spacing w:val="-4"/>
          <w:sz w:val="24"/>
          <w:szCs w:val="24"/>
        </w:rPr>
        <w:t>SO</w:t>
      </w:r>
      <w:r>
        <w:rPr>
          <w:rFonts w:ascii="Times New Roman" w:hAnsi="Times New Roman" w:eastAsia="Times New Roman" w:cs="Times New Roman"/>
          <w:spacing w:val="-4"/>
          <w:position w:val="-1"/>
          <w:sz w:val="15"/>
          <w:szCs w:val="15"/>
        </w:rPr>
        <w:t>2</w:t>
      </w:r>
      <w:r>
        <w:rPr>
          <w:rFonts w:ascii="宋体" w:hAnsi="宋体" w:eastAsia="宋体" w:cs="宋体"/>
          <w:spacing w:val="-4"/>
          <w:sz w:val="24"/>
          <w:szCs w:val="24"/>
        </w:rPr>
        <w:t>、</w:t>
      </w:r>
      <w:r>
        <w:rPr>
          <w:rFonts w:ascii="Times New Roman" w:hAnsi="Times New Roman" w:eastAsia="Times New Roman" w:cs="Times New Roman"/>
          <w:spacing w:val="-4"/>
          <w:sz w:val="24"/>
          <w:szCs w:val="24"/>
        </w:rPr>
        <w:t xml:space="preserve">NOx </w:t>
      </w:r>
      <w:r>
        <w:rPr>
          <w:rFonts w:ascii="宋体" w:hAnsi="宋体" w:eastAsia="宋体" w:cs="宋体"/>
          <w:spacing w:val="-4"/>
          <w:sz w:val="24"/>
          <w:szCs w:val="24"/>
        </w:rPr>
        <w:t>核算参照《排放源统计调查产排污核算方法和系数手册》（环</w:t>
      </w:r>
      <w:r>
        <w:rPr>
          <w:rFonts w:ascii="宋体" w:hAnsi="宋体" w:eastAsia="宋体" w:cs="宋体"/>
          <w:sz w:val="24"/>
          <w:szCs w:val="24"/>
        </w:rPr>
        <w:t xml:space="preserve"> </w:t>
      </w:r>
      <w:r>
        <w:rPr>
          <w:rFonts w:ascii="宋体" w:hAnsi="宋体" w:eastAsia="宋体" w:cs="宋体"/>
          <w:spacing w:val="-2"/>
          <w:sz w:val="24"/>
          <w:szCs w:val="24"/>
        </w:rPr>
        <w:t>境部公告</w:t>
      </w:r>
      <w:r>
        <w:rPr>
          <w:rFonts w:ascii="宋体" w:hAnsi="宋体" w:eastAsia="宋体" w:cs="宋体"/>
          <w:spacing w:val="-47"/>
          <w:sz w:val="24"/>
          <w:szCs w:val="24"/>
        </w:rPr>
        <w:t xml:space="preserve"> </w:t>
      </w:r>
      <w:r>
        <w:rPr>
          <w:rFonts w:ascii="Times New Roman" w:hAnsi="Times New Roman" w:eastAsia="Times New Roman" w:cs="Times New Roman"/>
          <w:spacing w:val="-2"/>
          <w:sz w:val="24"/>
          <w:szCs w:val="24"/>
        </w:rPr>
        <w:t xml:space="preserve">2021 </w:t>
      </w:r>
      <w:r>
        <w:rPr>
          <w:rFonts w:ascii="宋体" w:hAnsi="宋体" w:eastAsia="宋体" w:cs="宋体"/>
          <w:spacing w:val="-2"/>
          <w:sz w:val="24"/>
          <w:szCs w:val="24"/>
        </w:rPr>
        <w:t>年 第</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24</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号）</w:t>
      </w:r>
      <w:r>
        <w:rPr>
          <w:rFonts w:ascii="Times New Roman" w:hAnsi="Times New Roman" w:eastAsia="Times New Roman" w:cs="Times New Roman"/>
          <w:spacing w:val="-2"/>
          <w:sz w:val="24"/>
          <w:szCs w:val="24"/>
        </w:rPr>
        <w:t xml:space="preserve">4430 </w:t>
      </w:r>
      <w:r>
        <w:rPr>
          <w:rFonts w:ascii="宋体" w:hAnsi="宋体" w:eastAsia="宋体" w:cs="宋体"/>
          <w:spacing w:val="-2"/>
          <w:sz w:val="24"/>
          <w:szCs w:val="24"/>
        </w:rPr>
        <w:t>工业锅炉（热力供应）行业系数手册，燃气炉（高炉</w:t>
      </w:r>
      <w:r>
        <w:rPr>
          <w:rFonts w:ascii="宋体" w:hAnsi="宋体" w:eastAsia="宋体" w:cs="宋体"/>
          <w:sz w:val="24"/>
          <w:szCs w:val="24"/>
        </w:rPr>
        <w:t xml:space="preserve"> </w:t>
      </w:r>
      <w:r>
        <w:rPr>
          <w:rFonts w:ascii="宋体" w:hAnsi="宋体" w:eastAsia="宋体" w:cs="宋体"/>
          <w:spacing w:val="-2"/>
          <w:sz w:val="24"/>
          <w:szCs w:val="24"/>
        </w:rPr>
        <w:t>煤气）产污系数。</w:t>
      </w:r>
    </w:p>
    <w:p w14:paraId="6A7D2CB0">
      <w:pPr>
        <w:spacing w:line="359" w:lineRule="auto"/>
        <w:rPr>
          <w:rFonts w:ascii="宋体" w:hAnsi="宋体" w:eastAsia="宋体" w:cs="宋体"/>
          <w:sz w:val="24"/>
          <w:szCs w:val="24"/>
        </w:rPr>
        <w:sectPr>
          <w:headerReference r:id="rId163" w:type="default"/>
          <w:footerReference r:id="rId164" w:type="default"/>
          <w:pgSz w:w="11850" w:h="16781"/>
          <w:pgMar w:top="1190" w:right="1416" w:bottom="1013" w:left="1417" w:header="882" w:footer="850" w:gutter="0"/>
          <w:cols w:space="720" w:num="1"/>
        </w:sectPr>
      </w:pPr>
    </w:p>
    <w:p w14:paraId="7B612D1C">
      <w:pPr>
        <w:spacing w:before="257" w:line="227" w:lineRule="auto"/>
        <w:ind w:left="1292"/>
        <w:rPr>
          <w:rFonts w:ascii="宋体" w:hAnsi="宋体" w:eastAsia="宋体" w:cs="宋体"/>
          <w:sz w:val="20"/>
          <w:szCs w:val="20"/>
        </w:rPr>
      </w:pPr>
      <w:r>
        <w:pict>
          <v:shape id="_x0000_s1201" o:spid="_x0000_s1201" style="position:absolute;left:0pt;margin-left:70.85pt;margin-top:60.25pt;height:0.75pt;width:450.75pt;mso-position-horizontal-relative:page;mso-position-vertical-relative:page;z-index:251859968;mso-width-relative:page;mso-height-relative:page;" fillcolor="#000000" filled="t" stroked="f" coordsize="9015,15" o:allowincell="f" path="m0,0l9014,0,9014,14,0,14,0,0xe">
            <v:path/>
            <v:fill on="t" focussize="0,0"/>
            <v:stroke on="f"/>
            <v:imagedata o:title=""/>
            <o:lock v:ext="edit"/>
          </v:shape>
        </w:pict>
      </w:r>
      <w:r>
        <w:rPr>
          <w:rFonts w:ascii="宋体" w:hAnsi="宋体" w:eastAsia="宋体" w:cs="宋体"/>
          <w:b/>
          <w:bCs/>
          <w:spacing w:val="6"/>
          <w:sz w:val="20"/>
          <w:szCs w:val="20"/>
        </w:rPr>
        <w:t>表</w:t>
      </w:r>
      <w:r>
        <w:rPr>
          <w:rFonts w:ascii="宋体" w:hAnsi="宋体" w:eastAsia="宋体" w:cs="宋体"/>
          <w:spacing w:val="-31"/>
          <w:sz w:val="20"/>
          <w:szCs w:val="20"/>
        </w:rPr>
        <w:t xml:space="preserve"> </w:t>
      </w:r>
      <w:r>
        <w:rPr>
          <w:rFonts w:ascii="Times New Roman" w:hAnsi="Times New Roman" w:eastAsia="Times New Roman" w:cs="Times New Roman"/>
          <w:b/>
          <w:bCs/>
          <w:spacing w:val="6"/>
          <w:sz w:val="20"/>
          <w:szCs w:val="20"/>
        </w:rPr>
        <w:t xml:space="preserve">2.3-11      </w:t>
      </w:r>
      <w:r>
        <w:rPr>
          <w:rFonts w:ascii="宋体" w:hAnsi="宋体" w:eastAsia="宋体" w:cs="宋体"/>
          <w:b/>
          <w:bCs/>
          <w:spacing w:val="6"/>
          <w:sz w:val="20"/>
          <w:szCs w:val="20"/>
        </w:rPr>
        <w:t>工业锅炉（热力生产和供应行业）产污系数表</w:t>
      </w:r>
      <w:r>
        <w:rPr>
          <w:rFonts w:ascii="Times New Roman" w:hAnsi="Times New Roman" w:eastAsia="Times New Roman" w:cs="Times New Roman"/>
          <w:b/>
          <w:bCs/>
          <w:spacing w:val="6"/>
          <w:sz w:val="20"/>
          <w:szCs w:val="20"/>
        </w:rPr>
        <w:t>-</w:t>
      </w:r>
      <w:r>
        <w:rPr>
          <w:rFonts w:ascii="宋体" w:hAnsi="宋体" w:eastAsia="宋体" w:cs="宋体"/>
          <w:b/>
          <w:bCs/>
          <w:spacing w:val="6"/>
          <w:sz w:val="20"/>
          <w:szCs w:val="20"/>
        </w:rPr>
        <w:t>燃气工业锅炉</w:t>
      </w:r>
    </w:p>
    <w:p w14:paraId="4F52C8CA">
      <w:pPr>
        <w:spacing w:line="131" w:lineRule="exact"/>
      </w:pPr>
    </w:p>
    <w:tbl>
      <w:tblPr>
        <w:tblStyle w:val="5"/>
        <w:tblW w:w="923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58"/>
        <w:gridCol w:w="688"/>
        <w:gridCol w:w="1126"/>
        <w:gridCol w:w="687"/>
        <w:gridCol w:w="1276"/>
        <w:gridCol w:w="2074"/>
        <w:gridCol w:w="774"/>
        <w:gridCol w:w="1087"/>
        <w:gridCol w:w="860"/>
      </w:tblGrid>
      <w:tr w14:paraId="5E4A8B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2" w:hRule="atLeast"/>
        </w:trPr>
        <w:tc>
          <w:tcPr>
            <w:tcW w:w="658" w:type="dxa"/>
            <w:tcBorders>
              <w:top w:val="single" w:color="000000" w:sz="10" w:space="0"/>
              <w:left w:val="nil"/>
            </w:tcBorders>
            <w:vAlign w:val="top"/>
          </w:tcPr>
          <w:p w14:paraId="7D568AF4">
            <w:pPr>
              <w:pStyle w:val="6"/>
              <w:spacing w:before="30" w:line="222" w:lineRule="auto"/>
              <w:ind w:left="129" w:right="118" w:hanging="2"/>
              <w:rPr>
                <w:sz w:val="20"/>
                <w:szCs w:val="20"/>
              </w:rPr>
            </w:pPr>
            <w:r>
              <w:rPr>
                <w:spacing w:val="4"/>
                <w:sz w:val="20"/>
                <w:szCs w:val="20"/>
              </w:rPr>
              <w:t>产品</w:t>
            </w:r>
            <w:r>
              <w:rPr>
                <w:sz w:val="20"/>
                <w:szCs w:val="20"/>
              </w:rPr>
              <w:t xml:space="preserve"> </w:t>
            </w:r>
            <w:r>
              <w:rPr>
                <w:spacing w:val="3"/>
                <w:sz w:val="20"/>
                <w:szCs w:val="20"/>
              </w:rPr>
              <w:t>名称</w:t>
            </w:r>
          </w:p>
        </w:tc>
        <w:tc>
          <w:tcPr>
            <w:tcW w:w="688" w:type="dxa"/>
            <w:tcBorders>
              <w:top w:val="single" w:color="000000" w:sz="10" w:space="0"/>
            </w:tcBorders>
            <w:vAlign w:val="top"/>
          </w:tcPr>
          <w:p w14:paraId="1E0AF2F2">
            <w:pPr>
              <w:pStyle w:val="6"/>
              <w:spacing w:before="30" w:line="222" w:lineRule="auto"/>
              <w:ind w:left="141" w:right="134" w:firstLine="2"/>
              <w:rPr>
                <w:sz w:val="20"/>
                <w:szCs w:val="20"/>
              </w:rPr>
            </w:pPr>
            <w:r>
              <w:rPr>
                <w:spacing w:val="2"/>
                <w:sz w:val="20"/>
                <w:szCs w:val="20"/>
              </w:rPr>
              <w:t>原料</w:t>
            </w:r>
            <w:r>
              <w:rPr>
                <w:sz w:val="20"/>
                <w:szCs w:val="20"/>
              </w:rPr>
              <w:t xml:space="preserve"> </w:t>
            </w:r>
            <w:r>
              <w:rPr>
                <w:spacing w:val="3"/>
                <w:sz w:val="20"/>
                <w:szCs w:val="20"/>
              </w:rPr>
              <w:t>名称</w:t>
            </w:r>
          </w:p>
        </w:tc>
        <w:tc>
          <w:tcPr>
            <w:tcW w:w="1126" w:type="dxa"/>
            <w:tcBorders>
              <w:top w:val="single" w:color="000000" w:sz="10" w:space="0"/>
            </w:tcBorders>
            <w:vAlign w:val="top"/>
          </w:tcPr>
          <w:p w14:paraId="7F586906">
            <w:pPr>
              <w:pStyle w:val="6"/>
              <w:spacing w:before="161" w:line="230" w:lineRule="auto"/>
              <w:ind w:left="151"/>
              <w:rPr>
                <w:sz w:val="20"/>
                <w:szCs w:val="20"/>
              </w:rPr>
            </w:pPr>
            <w:r>
              <w:rPr>
                <w:spacing w:val="6"/>
                <w:sz w:val="20"/>
                <w:szCs w:val="20"/>
              </w:rPr>
              <w:t>工艺名称</w:t>
            </w:r>
          </w:p>
        </w:tc>
        <w:tc>
          <w:tcPr>
            <w:tcW w:w="687" w:type="dxa"/>
            <w:tcBorders>
              <w:top w:val="single" w:color="000000" w:sz="10" w:space="0"/>
            </w:tcBorders>
            <w:vAlign w:val="top"/>
          </w:tcPr>
          <w:p w14:paraId="5573B055">
            <w:pPr>
              <w:pStyle w:val="6"/>
              <w:spacing w:before="30" w:line="222" w:lineRule="auto"/>
              <w:ind w:left="139" w:right="133"/>
              <w:rPr>
                <w:sz w:val="20"/>
                <w:szCs w:val="20"/>
              </w:rPr>
            </w:pPr>
            <w:r>
              <w:rPr>
                <w:spacing w:val="4"/>
                <w:sz w:val="20"/>
                <w:szCs w:val="20"/>
              </w:rPr>
              <w:t>规模</w:t>
            </w:r>
            <w:r>
              <w:rPr>
                <w:sz w:val="20"/>
                <w:szCs w:val="20"/>
              </w:rPr>
              <w:t xml:space="preserve"> </w:t>
            </w:r>
            <w:r>
              <w:rPr>
                <w:spacing w:val="3"/>
                <w:sz w:val="20"/>
                <w:szCs w:val="20"/>
              </w:rPr>
              <w:t>等级</w:t>
            </w:r>
          </w:p>
        </w:tc>
        <w:tc>
          <w:tcPr>
            <w:tcW w:w="1276" w:type="dxa"/>
            <w:tcBorders>
              <w:top w:val="single" w:color="000000" w:sz="10" w:space="0"/>
            </w:tcBorders>
            <w:vAlign w:val="top"/>
          </w:tcPr>
          <w:p w14:paraId="3A0ECD1E">
            <w:pPr>
              <w:pStyle w:val="6"/>
              <w:spacing w:before="162" w:line="228" w:lineRule="auto"/>
              <w:ind w:left="120"/>
              <w:rPr>
                <w:sz w:val="20"/>
                <w:szCs w:val="20"/>
              </w:rPr>
            </w:pPr>
            <w:r>
              <w:rPr>
                <w:spacing w:val="7"/>
                <w:sz w:val="20"/>
                <w:szCs w:val="20"/>
              </w:rPr>
              <w:t>污染物指标</w:t>
            </w:r>
          </w:p>
        </w:tc>
        <w:tc>
          <w:tcPr>
            <w:tcW w:w="2074" w:type="dxa"/>
            <w:tcBorders>
              <w:top w:val="single" w:color="000000" w:sz="10" w:space="0"/>
            </w:tcBorders>
            <w:vAlign w:val="top"/>
          </w:tcPr>
          <w:p w14:paraId="571DF3E8">
            <w:pPr>
              <w:pStyle w:val="6"/>
              <w:spacing w:before="162" w:line="228" w:lineRule="auto"/>
              <w:ind w:left="834"/>
              <w:rPr>
                <w:sz w:val="20"/>
                <w:szCs w:val="20"/>
              </w:rPr>
            </w:pPr>
            <w:r>
              <w:rPr>
                <w:spacing w:val="3"/>
                <w:sz w:val="20"/>
                <w:szCs w:val="20"/>
              </w:rPr>
              <w:t>单位</w:t>
            </w:r>
          </w:p>
        </w:tc>
        <w:tc>
          <w:tcPr>
            <w:tcW w:w="774" w:type="dxa"/>
            <w:tcBorders>
              <w:top w:val="single" w:color="000000" w:sz="10" w:space="0"/>
            </w:tcBorders>
            <w:vAlign w:val="top"/>
          </w:tcPr>
          <w:p w14:paraId="37BD9C5B">
            <w:pPr>
              <w:pStyle w:val="6"/>
              <w:spacing w:before="30" w:line="222" w:lineRule="auto"/>
              <w:ind w:left="188" w:right="174" w:hanging="4"/>
              <w:rPr>
                <w:sz w:val="20"/>
                <w:szCs w:val="20"/>
              </w:rPr>
            </w:pPr>
            <w:r>
              <w:rPr>
                <w:spacing w:val="4"/>
                <w:sz w:val="20"/>
                <w:szCs w:val="20"/>
              </w:rPr>
              <w:t>产污</w:t>
            </w:r>
            <w:r>
              <w:rPr>
                <w:sz w:val="20"/>
                <w:szCs w:val="20"/>
              </w:rPr>
              <w:t xml:space="preserve"> </w:t>
            </w:r>
            <w:r>
              <w:rPr>
                <w:spacing w:val="2"/>
                <w:sz w:val="20"/>
                <w:szCs w:val="20"/>
              </w:rPr>
              <w:t>系数</w:t>
            </w:r>
          </w:p>
        </w:tc>
        <w:tc>
          <w:tcPr>
            <w:tcW w:w="1087" w:type="dxa"/>
            <w:tcBorders>
              <w:top w:val="single" w:color="000000" w:sz="10" w:space="0"/>
            </w:tcBorders>
            <w:vAlign w:val="top"/>
          </w:tcPr>
          <w:p w14:paraId="5B6D4221">
            <w:pPr>
              <w:pStyle w:val="6"/>
              <w:spacing w:before="30" w:line="222" w:lineRule="auto"/>
              <w:ind w:left="130" w:right="121"/>
              <w:rPr>
                <w:sz w:val="20"/>
                <w:szCs w:val="20"/>
              </w:rPr>
            </w:pPr>
            <w:r>
              <w:rPr>
                <w:spacing w:val="7"/>
                <w:sz w:val="20"/>
                <w:szCs w:val="20"/>
              </w:rPr>
              <w:t>末端治理</w:t>
            </w:r>
            <w:r>
              <w:rPr>
                <w:sz w:val="20"/>
                <w:szCs w:val="20"/>
              </w:rPr>
              <w:t xml:space="preserve"> </w:t>
            </w:r>
            <w:r>
              <w:rPr>
                <w:spacing w:val="7"/>
                <w:sz w:val="20"/>
                <w:szCs w:val="20"/>
              </w:rPr>
              <w:t>技术名称</w:t>
            </w:r>
          </w:p>
        </w:tc>
        <w:tc>
          <w:tcPr>
            <w:tcW w:w="860" w:type="dxa"/>
            <w:tcBorders>
              <w:top w:val="single" w:color="000000" w:sz="10" w:space="0"/>
              <w:right w:val="nil"/>
            </w:tcBorders>
            <w:vAlign w:val="top"/>
          </w:tcPr>
          <w:p w14:paraId="1325C7E6">
            <w:pPr>
              <w:pStyle w:val="6"/>
              <w:spacing w:before="30" w:line="222" w:lineRule="auto"/>
              <w:ind w:left="244" w:right="115" w:hanging="120"/>
              <w:rPr>
                <w:rFonts w:ascii="Times New Roman" w:hAnsi="Times New Roman" w:eastAsia="Times New Roman" w:cs="Times New Roman"/>
                <w:sz w:val="20"/>
                <w:szCs w:val="20"/>
              </w:rPr>
            </w:pPr>
            <w:r>
              <w:rPr>
                <w:spacing w:val="5"/>
                <w:sz w:val="20"/>
                <w:szCs w:val="20"/>
              </w:rPr>
              <w:t>去除效</w:t>
            </w:r>
            <w:r>
              <w:rPr>
                <w:spacing w:val="1"/>
                <w:sz w:val="20"/>
                <w:szCs w:val="20"/>
              </w:rPr>
              <w:t xml:space="preserve"> </w:t>
            </w:r>
            <w:r>
              <w:rPr>
                <w:spacing w:val="4"/>
                <w:sz w:val="20"/>
                <w:szCs w:val="20"/>
              </w:rPr>
              <w:t>率</w:t>
            </w:r>
            <w:r>
              <w:rPr>
                <w:rFonts w:ascii="Times New Roman" w:hAnsi="Times New Roman" w:eastAsia="Times New Roman" w:cs="Times New Roman"/>
                <w:spacing w:val="4"/>
                <w:sz w:val="20"/>
                <w:szCs w:val="20"/>
              </w:rPr>
              <w:t>%</w:t>
            </w:r>
          </w:p>
        </w:tc>
      </w:tr>
      <w:tr w14:paraId="1EB980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658" w:type="dxa"/>
            <w:vMerge w:val="restart"/>
            <w:tcBorders>
              <w:left w:val="nil"/>
              <w:bottom w:val="nil"/>
            </w:tcBorders>
            <w:vAlign w:val="top"/>
          </w:tcPr>
          <w:p w14:paraId="6061F017">
            <w:pPr>
              <w:pStyle w:val="6"/>
              <w:tabs>
                <w:tab w:val="left" w:pos="196"/>
              </w:tabs>
              <w:spacing w:before="144" w:line="237" w:lineRule="auto"/>
              <w:ind w:left="127" w:right="118" w:firstLine="1"/>
              <w:jc w:val="both"/>
              <w:rPr>
                <w:sz w:val="20"/>
                <w:szCs w:val="20"/>
              </w:rPr>
            </w:pPr>
            <w:r>
              <w:rPr>
                <w:spacing w:val="3"/>
                <w:sz w:val="20"/>
                <w:szCs w:val="20"/>
              </w:rPr>
              <w:t>蒸汽</w:t>
            </w:r>
            <w:r>
              <w:rPr>
                <w:sz w:val="20"/>
                <w:szCs w:val="20"/>
              </w:rPr>
              <w:t xml:space="preserve"> </w:t>
            </w:r>
            <w:r>
              <w:rPr>
                <w:rFonts w:ascii="Times New Roman" w:hAnsi="Times New Roman" w:eastAsia="Times New Roman" w:cs="Times New Roman"/>
                <w:sz w:val="20"/>
                <w:szCs w:val="20"/>
              </w:rPr>
              <w:tab/>
            </w:r>
            <w:r>
              <w:rPr>
                <w:rFonts w:ascii="Times New Roman" w:hAnsi="Times New Roman" w:eastAsia="Times New Roman" w:cs="Times New Roman"/>
                <w:spacing w:val="5"/>
                <w:sz w:val="20"/>
                <w:szCs w:val="20"/>
              </w:rPr>
              <w:t>/</w:t>
            </w:r>
            <w:r>
              <w:rPr>
                <w:spacing w:val="5"/>
                <w:sz w:val="20"/>
                <w:szCs w:val="20"/>
              </w:rPr>
              <w:t>热</w:t>
            </w:r>
            <w:r>
              <w:rPr>
                <w:sz w:val="20"/>
                <w:szCs w:val="20"/>
              </w:rPr>
              <w:t xml:space="preserve"> </w:t>
            </w:r>
            <w:r>
              <w:rPr>
                <w:spacing w:val="9"/>
                <w:w w:val="124"/>
                <w:sz w:val="20"/>
                <w:szCs w:val="20"/>
              </w:rPr>
              <w:t>水</w:t>
            </w:r>
            <w:r>
              <w:rPr>
                <w:rFonts w:ascii="Times New Roman" w:hAnsi="Times New Roman" w:eastAsia="Times New Roman" w:cs="Times New Roman"/>
                <w:spacing w:val="9"/>
                <w:w w:val="124"/>
                <w:sz w:val="20"/>
                <w:szCs w:val="20"/>
              </w:rPr>
              <w:t>/</w:t>
            </w:r>
            <w:r>
              <w:rPr>
                <w:rFonts w:ascii="Times New Roman" w:hAnsi="Times New Roman" w:eastAsia="Times New Roman" w:cs="Times New Roman"/>
                <w:sz w:val="20"/>
                <w:szCs w:val="20"/>
              </w:rPr>
              <w:t xml:space="preserve">  </w:t>
            </w:r>
            <w:r>
              <w:rPr>
                <w:spacing w:val="4"/>
                <w:sz w:val="20"/>
                <w:szCs w:val="20"/>
              </w:rPr>
              <w:t>其它</w:t>
            </w:r>
          </w:p>
        </w:tc>
        <w:tc>
          <w:tcPr>
            <w:tcW w:w="688" w:type="dxa"/>
            <w:vMerge w:val="restart"/>
            <w:tcBorders>
              <w:bottom w:val="nil"/>
            </w:tcBorders>
            <w:vAlign w:val="top"/>
          </w:tcPr>
          <w:p w14:paraId="02361110">
            <w:pPr>
              <w:spacing w:line="337" w:lineRule="auto"/>
              <w:rPr>
                <w:rFonts w:ascii="Arial"/>
                <w:sz w:val="21"/>
              </w:rPr>
            </w:pPr>
          </w:p>
          <w:p w14:paraId="2DF368F7">
            <w:pPr>
              <w:pStyle w:val="6"/>
              <w:spacing w:before="65" w:line="234" w:lineRule="auto"/>
              <w:ind w:left="139" w:right="134" w:firstLine="4"/>
              <w:rPr>
                <w:sz w:val="20"/>
                <w:szCs w:val="20"/>
              </w:rPr>
            </w:pPr>
            <w:r>
              <w:rPr>
                <w:spacing w:val="2"/>
                <w:sz w:val="20"/>
                <w:szCs w:val="20"/>
              </w:rPr>
              <w:t>高炉</w:t>
            </w:r>
            <w:r>
              <w:rPr>
                <w:sz w:val="20"/>
                <w:szCs w:val="20"/>
              </w:rPr>
              <w:t xml:space="preserve"> </w:t>
            </w:r>
            <w:r>
              <w:rPr>
                <w:spacing w:val="4"/>
                <w:sz w:val="20"/>
                <w:szCs w:val="20"/>
              </w:rPr>
              <w:t>煤气</w:t>
            </w:r>
          </w:p>
        </w:tc>
        <w:tc>
          <w:tcPr>
            <w:tcW w:w="1126" w:type="dxa"/>
            <w:vMerge w:val="restart"/>
            <w:tcBorders>
              <w:bottom w:val="nil"/>
            </w:tcBorders>
            <w:vAlign w:val="top"/>
          </w:tcPr>
          <w:p w14:paraId="3DD10D5D">
            <w:pPr>
              <w:spacing w:line="467" w:lineRule="auto"/>
              <w:rPr>
                <w:rFonts w:ascii="Arial"/>
                <w:sz w:val="21"/>
              </w:rPr>
            </w:pPr>
          </w:p>
          <w:p w14:paraId="55C69FA0">
            <w:pPr>
              <w:pStyle w:val="6"/>
              <w:spacing w:before="65" w:line="228" w:lineRule="auto"/>
              <w:ind w:left="257"/>
              <w:rPr>
                <w:sz w:val="20"/>
                <w:szCs w:val="20"/>
              </w:rPr>
            </w:pPr>
            <w:r>
              <w:rPr>
                <w:spacing w:val="5"/>
                <w:sz w:val="20"/>
                <w:szCs w:val="20"/>
              </w:rPr>
              <w:t>室燃炉</w:t>
            </w:r>
          </w:p>
        </w:tc>
        <w:tc>
          <w:tcPr>
            <w:tcW w:w="687" w:type="dxa"/>
            <w:vMerge w:val="restart"/>
            <w:tcBorders>
              <w:bottom w:val="nil"/>
            </w:tcBorders>
            <w:vAlign w:val="top"/>
          </w:tcPr>
          <w:p w14:paraId="7E6E3137">
            <w:pPr>
              <w:spacing w:line="338" w:lineRule="auto"/>
              <w:rPr>
                <w:rFonts w:ascii="Arial"/>
                <w:sz w:val="21"/>
              </w:rPr>
            </w:pPr>
          </w:p>
          <w:p w14:paraId="2E12B80B">
            <w:pPr>
              <w:pStyle w:val="6"/>
              <w:spacing w:before="65" w:line="233" w:lineRule="auto"/>
              <w:ind w:left="139" w:right="133"/>
              <w:rPr>
                <w:sz w:val="20"/>
                <w:szCs w:val="20"/>
              </w:rPr>
            </w:pPr>
            <w:r>
              <w:rPr>
                <w:spacing w:val="4"/>
                <w:sz w:val="20"/>
                <w:szCs w:val="20"/>
              </w:rPr>
              <w:t>所有</w:t>
            </w:r>
            <w:r>
              <w:rPr>
                <w:sz w:val="20"/>
                <w:szCs w:val="20"/>
              </w:rPr>
              <w:t xml:space="preserve"> </w:t>
            </w:r>
            <w:r>
              <w:rPr>
                <w:spacing w:val="4"/>
                <w:sz w:val="20"/>
                <w:szCs w:val="20"/>
              </w:rPr>
              <w:t>规模</w:t>
            </w:r>
          </w:p>
        </w:tc>
        <w:tc>
          <w:tcPr>
            <w:tcW w:w="1276" w:type="dxa"/>
            <w:vAlign w:val="top"/>
          </w:tcPr>
          <w:p w14:paraId="4BBDB179">
            <w:pPr>
              <w:pStyle w:val="6"/>
              <w:spacing w:before="194" w:line="228" w:lineRule="auto"/>
              <w:ind w:left="121"/>
              <w:rPr>
                <w:sz w:val="20"/>
                <w:szCs w:val="20"/>
              </w:rPr>
            </w:pPr>
            <w:r>
              <w:rPr>
                <w:spacing w:val="7"/>
                <w:sz w:val="20"/>
                <w:szCs w:val="20"/>
              </w:rPr>
              <w:t>工业废气量</w:t>
            </w:r>
          </w:p>
        </w:tc>
        <w:tc>
          <w:tcPr>
            <w:tcW w:w="2074" w:type="dxa"/>
            <w:vAlign w:val="top"/>
          </w:tcPr>
          <w:p w14:paraId="64E96D99">
            <w:pPr>
              <w:pStyle w:val="6"/>
              <w:spacing w:before="64" w:line="231" w:lineRule="auto"/>
              <w:ind w:left="837" w:right="130" w:hanging="697"/>
              <w:rPr>
                <w:sz w:val="20"/>
                <w:szCs w:val="20"/>
              </w:rPr>
            </w:pPr>
            <w:r>
              <w:rPr>
                <w:spacing w:val="7"/>
                <w:sz w:val="20"/>
                <w:szCs w:val="20"/>
              </w:rPr>
              <w:t>标立方米</w:t>
            </w:r>
            <w:r>
              <w:rPr>
                <w:rFonts w:ascii="Times New Roman" w:hAnsi="Times New Roman" w:eastAsia="Times New Roman" w:cs="Times New Roman"/>
                <w:spacing w:val="7"/>
                <w:sz w:val="20"/>
                <w:szCs w:val="20"/>
              </w:rPr>
              <w:t>/</w:t>
            </w:r>
            <w:r>
              <w:rPr>
                <w:spacing w:val="7"/>
                <w:sz w:val="20"/>
                <w:szCs w:val="20"/>
              </w:rPr>
              <w:t>万立方米</w:t>
            </w:r>
            <w:r>
              <w:rPr>
                <w:rFonts w:ascii="Times New Roman" w:hAnsi="Times New Roman" w:eastAsia="Times New Roman" w:cs="Times New Roman"/>
                <w:spacing w:val="7"/>
                <w:sz w:val="20"/>
                <w:szCs w:val="20"/>
              </w:rPr>
              <w:t>-</w:t>
            </w:r>
            <w:r>
              <w:rPr>
                <w:rFonts w:ascii="Times New Roman" w:hAnsi="Times New Roman" w:eastAsia="Times New Roman" w:cs="Times New Roman"/>
                <w:spacing w:val="5"/>
                <w:sz w:val="20"/>
                <w:szCs w:val="20"/>
              </w:rPr>
              <w:t xml:space="preserve"> </w:t>
            </w:r>
            <w:r>
              <w:rPr>
                <w:spacing w:val="2"/>
                <w:sz w:val="20"/>
                <w:szCs w:val="20"/>
              </w:rPr>
              <w:t>原料</w:t>
            </w:r>
          </w:p>
        </w:tc>
        <w:tc>
          <w:tcPr>
            <w:tcW w:w="774" w:type="dxa"/>
            <w:vAlign w:val="top"/>
          </w:tcPr>
          <w:p w14:paraId="569E0CD0">
            <w:pPr>
              <w:spacing w:before="229" w:line="195" w:lineRule="auto"/>
              <w:ind w:left="147"/>
              <w:rPr>
                <w:rFonts w:ascii="Times New Roman" w:hAnsi="Times New Roman" w:eastAsia="Times New Roman" w:cs="Times New Roman"/>
                <w:sz w:val="20"/>
                <w:szCs w:val="20"/>
              </w:rPr>
            </w:pPr>
            <w:r>
              <w:rPr>
                <w:rFonts w:ascii="Times New Roman" w:hAnsi="Times New Roman" w:eastAsia="Times New Roman" w:cs="Times New Roman"/>
                <w:sz w:val="20"/>
                <w:szCs w:val="20"/>
              </w:rPr>
              <w:t>16087</w:t>
            </w:r>
          </w:p>
        </w:tc>
        <w:tc>
          <w:tcPr>
            <w:tcW w:w="1087" w:type="dxa"/>
            <w:vAlign w:val="top"/>
          </w:tcPr>
          <w:p w14:paraId="0F16EA2E">
            <w:pPr>
              <w:spacing w:before="225" w:line="199" w:lineRule="auto"/>
              <w:ind w:left="5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0" w:type="dxa"/>
            <w:tcBorders>
              <w:right w:val="nil"/>
            </w:tcBorders>
            <w:vAlign w:val="top"/>
          </w:tcPr>
          <w:p w14:paraId="4405B28B">
            <w:pPr>
              <w:spacing w:before="227" w:line="195" w:lineRule="auto"/>
              <w:ind w:left="38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r>
      <w:tr w14:paraId="7B3B4D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58" w:type="dxa"/>
            <w:vMerge w:val="continue"/>
            <w:tcBorders>
              <w:top w:val="nil"/>
              <w:left w:val="nil"/>
              <w:bottom w:val="nil"/>
            </w:tcBorders>
            <w:vAlign w:val="top"/>
          </w:tcPr>
          <w:p w14:paraId="5140A707">
            <w:pPr>
              <w:rPr>
                <w:rFonts w:ascii="Arial"/>
                <w:sz w:val="21"/>
              </w:rPr>
            </w:pPr>
          </w:p>
        </w:tc>
        <w:tc>
          <w:tcPr>
            <w:tcW w:w="688" w:type="dxa"/>
            <w:vMerge w:val="continue"/>
            <w:tcBorders>
              <w:top w:val="nil"/>
              <w:bottom w:val="nil"/>
            </w:tcBorders>
            <w:vAlign w:val="top"/>
          </w:tcPr>
          <w:p w14:paraId="0B938E74">
            <w:pPr>
              <w:rPr>
                <w:rFonts w:ascii="Arial"/>
                <w:sz w:val="21"/>
              </w:rPr>
            </w:pPr>
          </w:p>
        </w:tc>
        <w:tc>
          <w:tcPr>
            <w:tcW w:w="1126" w:type="dxa"/>
            <w:vMerge w:val="continue"/>
            <w:tcBorders>
              <w:top w:val="nil"/>
              <w:bottom w:val="nil"/>
            </w:tcBorders>
            <w:vAlign w:val="top"/>
          </w:tcPr>
          <w:p w14:paraId="77F015E3">
            <w:pPr>
              <w:rPr>
                <w:rFonts w:ascii="Arial"/>
                <w:sz w:val="21"/>
              </w:rPr>
            </w:pPr>
          </w:p>
        </w:tc>
        <w:tc>
          <w:tcPr>
            <w:tcW w:w="687" w:type="dxa"/>
            <w:vMerge w:val="continue"/>
            <w:tcBorders>
              <w:top w:val="nil"/>
              <w:bottom w:val="nil"/>
            </w:tcBorders>
            <w:vAlign w:val="top"/>
          </w:tcPr>
          <w:p w14:paraId="223F9FF4">
            <w:pPr>
              <w:rPr>
                <w:rFonts w:ascii="Arial"/>
                <w:sz w:val="21"/>
              </w:rPr>
            </w:pPr>
          </w:p>
        </w:tc>
        <w:tc>
          <w:tcPr>
            <w:tcW w:w="1276" w:type="dxa"/>
            <w:vAlign w:val="top"/>
          </w:tcPr>
          <w:p w14:paraId="25770211">
            <w:pPr>
              <w:pStyle w:val="6"/>
              <w:spacing w:before="79" w:line="222" w:lineRule="auto"/>
              <w:ind w:left="225"/>
              <w:rPr>
                <w:sz w:val="20"/>
                <w:szCs w:val="20"/>
              </w:rPr>
            </w:pPr>
            <w:r>
              <w:rPr>
                <w:spacing w:val="6"/>
                <w:sz w:val="20"/>
                <w:szCs w:val="20"/>
              </w:rPr>
              <w:t>二氧化硫</w:t>
            </w:r>
          </w:p>
        </w:tc>
        <w:tc>
          <w:tcPr>
            <w:tcW w:w="2074" w:type="dxa"/>
            <w:vAlign w:val="top"/>
          </w:tcPr>
          <w:p w14:paraId="11FC493F">
            <w:pPr>
              <w:pStyle w:val="6"/>
              <w:spacing w:before="79" w:line="222" w:lineRule="auto"/>
              <w:ind w:left="139"/>
              <w:rPr>
                <w:sz w:val="20"/>
                <w:szCs w:val="20"/>
              </w:rPr>
            </w:pPr>
            <w:r>
              <w:rPr>
                <w:spacing w:val="7"/>
                <w:sz w:val="20"/>
                <w:szCs w:val="20"/>
              </w:rPr>
              <w:t>千克</w:t>
            </w:r>
            <w:r>
              <w:rPr>
                <w:rFonts w:ascii="Times New Roman" w:hAnsi="Times New Roman" w:eastAsia="Times New Roman" w:cs="Times New Roman"/>
                <w:spacing w:val="7"/>
                <w:sz w:val="20"/>
                <w:szCs w:val="20"/>
              </w:rPr>
              <w:t>/</w:t>
            </w:r>
            <w:r>
              <w:rPr>
                <w:spacing w:val="7"/>
                <w:sz w:val="20"/>
                <w:szCs w:val="20"/>
              </w:rPr>
              <w:t>万立方米</w:t>
            </w:r>
            <w:r>
              <w:rPr>
                <w:rFonts w:ascii="Times New Roman" w:hAnsi="Times New Roman" w:eastAsia="Times New Roman" w:cs="Times New Roman"/>
                <w:spacing w:val="7"/>
                <w:sz w:val="20"/>
                <w:szCs w:val="20"/>
              </w:rPr>
              <w:t>-</w:t>
            </w:r>
            <w:r>
              <w:rPr>
                <w:spacing w:val="7"/>
                <w:sz w:val="20"/>
                <w:szCs w:val="20"/>
              </w:rPr>
              <w:t>原料</w:t>
            </w:r>
          </w:p>
        </w:tc>
        <w:tc>
          <w:tcPr>
            <w:tcW w:w="774" w:type="dxa"/>
            <w:vAlign w:val="top"/>
          </w:tcPr>
          <w:p w14:paraId="37F95133">
            <w:pPr>
              <w:spacing w:before="110" w:line="195" w:lineRule="auto"/>
              <w:ind w:left="1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0.02S</w:t>
            </w:r>
          </w:p>
        </w:tc>
        <w:tc>
          <w:tcPr>
            <w:tcW w:w="1087" w:type="dxa"/>
            <w:vAlign w:val="top"/>
          </w:tcPr>
          <w:p w14:paraId="2F173AF8">
            <w:pPr>
              <w:spacing w:before="111" w:line="199" w:lineRule="auto"/>
              <w:ind w:left="5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0" w:type="dxa"/>
            <w:tcBorders>
              <w:right w:val="nil"/>
            </w:tcBorders>
            <w:vAlign w:val="top"/>
          </w:tcPr>
          <w:p w14:paraId="2C92156A">
            <w:pPr>
              <w:spacing w:before="115" w:line="195" w:lineRule="auto"/>
              <w:ind w:left="38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r>
      <w:tr w14:paraId="796A29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658" w:type="dxa"/>
            <w:vMerge w:val="continue"/>
            <w:tcBorders>
              <w:top w:val="nil"/>
              <w:left w:val="nil"/>
              <w:bottom w:val="single" w:color="000000" w:sz="10" w:space="0"/>
            </w:tcBorders>
            <w:vAlign w:val="top"/>
          </w:tcPr>
          <w:p w14:paraId="23B6BA2C">
            <w:pPr>
              <w:rPr>
                <w:rFonts w:ascii="Arial"/>
                <w:sz w:val="21"/>
              </w:rPr>
            </w:pPr>
          </w:p>
        </w:tc>
        <w:tc>
          <w:tcPr>
            <w:tcW w:w="688" w:type="dxa"/>
            <w:vMerge w:val="continue"/>
            <w:tcBorders>
              <w:top w:val="nil"/>
              <w:bottom w:val="single" w:color="000000" w:sz="10" w:space="0"/>
            </w:tcBorders>
            <w:vAlign w:val="top"/>
          </w:tcPr>
          <w:p w14:paraId="7E7895B6">
            <w:pPr>
              <w:rPr>
                <w:rFonts w:ascii="Arial"/>
                <w:sz w:val="21"/>
              </w:rPr>
            </w:pPr>
          </w:p>
        </w:tc>
        <w:tc>
          <w:tcPr>
            <w:tcW w:w="1126" w:type="dxa"/>
            <w:vMerge w:val="continue"/>
            <w:tcBorders>
              <w:top w:val="nil"/>
              <w:bottom w:val="single" w:color="000000" w:sz="10" w:space="0"/>
            </w:tcBorders>
            <w:vAlign w:val="top"/>
          </w:tcPr>
          <w:p w14:paraId="4F7565FD">
            <w:pPr>
              <w:rPr>
                <w:rFonts w:ascii="Arial"/>
                <w:sz w:val="21"/>
              </w:rPr>
            </w:pPr>
          </w:p>
        </w:tc>
        <w:tc>
          <w:tcPr>
            <w:tcW w:w="687" w:type="dxa"/>
            <w:vMerge w:val="continue"/>
            <w:tcBorders>
              <w:top w:val="nil"/>
              <w:bottom w:val="single" w:color="000000" w:sz="10" w:space="0"/>
            </w:tcBorders>
            <w:vAlign w:val="top"/>
          </w:tcPr>
          <w:p w14:paraId="6E770DF7">
            <w:pPr>
              <w:rPr>
                <w:rFonts w:ascii="Arial"/>
                <w:sz w:val="21"/>
              </w:rPr>
            </w:pPr>
          </w:p>
        </w:tc>
        <w:tc>
          <w:tcPr>
            <w:tcW w:w="1276" w:type="dxa"/>
            <w:tcBorders>
              <w:bottom w:val="single" w:color="000000" w:sz="10" w:space="0"/>
            </w:tcBorders>
            <w:vAlign w:val="top"/>
          </w:tcPr>
          <w:p w14:paraId="5911DAE0">
            <w:pPr>
              <w:pStyle w:val="6"/>
              <w:spacing w:before="82" w:line="227" w:lineRule="auto"/>
              <w:ind w:left="220"/>
              <w:rPr>
                <w:sz w:val="20"/>
                <w:szCs w:val="20"/>
              </w:rPr>
            </w:pPr>
            <w:r>
              <w:rPr>
                <w:spacing w:val="7"/>
                <w:sz w:val="20"/>
                <w:szCs w:val="20"/>
              </w:rPr>
              <w:t>氮氧化物</w:t>
            </w:r>
          </w:p>
        </w:tc>
        <w:tc>
          <w:tcPr>
            <w:tcW w:w="2074" w:type="dxa"/>
            <w:tcBorders>
              <w:bottom w:val="single" w:color="000000" w:sz="10" w:space="0"/>
            </w:tcBorders>
            <w:vAlign w:val="top"/>
          </w:tcPr>
          <w:p w14:paraId="5C553366">
            <w:pPr>
              <w:pStyle w:val="6"/>
              <w:spacing w:before="82" w:line="228" w:lineRule="auto"/>
              <w:ind w:left="139"/>
              <w:rPr>
                <w:sz w:val="20"/>
                <w:szCs w:val="20"/>
              </w:rPr>
            </w:pPr>
            <w:r>
              <w:rPr>
                <w:spacing w:val="7"/>
                <w:sz w:val="20"/>
                <w:szCs w:val="20"/>
              </w:rPr>
              <w:t>千克</w:t>
            </w:r>
            <w:r>
              <w:rPr>
                <w:rFonts w:ascii="Times New Roman" w:hAnsi="Times New Roman" w:eastAsia="Times New Roman" w:cs="Times New Roman"/>
                <w:spacing w:val="7"/>
                <w:sz w:val="20"/>
                <w:szCs w:val="20"/>
              </w:rPr>
              <w:t>/</w:t>
            </w:r>
            <w:r>
              <w:rPr>
                <w:spacing w:val="7"/>
                <w:sz w:val="20"/>
                <w:szCs w:val="20"/>
              </w:rPr>
              <w:t>万立方米</w:t>
            </w:r>
            <w:r>
              <w:rPr>
                <w:rFonts w:ascii="Times New Roman" w:hAnsi="Times New Roman" w:eastAsia="Times New Roman" w:cs="Times New Roman"/>
                <w:spacing w:val="7"/>
                <w:sz w:val="20"/>
                <w:szCs w:val="20"/>
              </w:rPr>
              <w:t>-</w:t>
            </w:r>
            <w:r>
              <w:rPr>
                <w:spacing w:val="7"/>
                <w:sz w:val="20"/>
                <w:szCs w:val="20"/>
              </w:rPr>
              <w:t>原料</w:t>
            </w:r>
          </w:p>
        </w:tc>
        <w:tc>
          <w:tcPr>
            <w:tcW w:w="774" w:type="dxa"/>
            <w:tcBorders>
              <w:bottom w:val="single" w:color="000000" w:sz="10" w:space="0"/>
            </w:tcBorders>
            <w:vAlign w:val="top"/>
          </w:tcPr>
          <w:p w14:paraId="07942973">
            <w:pPr>
              <w:spacing w:before="116" w:line="195" w:lineRule="auto"/>
              <w:ind w:left="20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0.86</w:t>
            </w:r>
          </w:p>
        </w:tc>
        <w:tc>
          <w:tcPr>
            <w:tcW w:w="1087" w:type="dxa"/>
            <w:tcBorders>
              <w:bottom w:val="single" w:color="000000" w:sz="10" w:space="0"/>
            </w:tcBorders>
            <w:vAlign w:val="top"/>
          </w:tcPr>
          <w:p w14:paraId="4D772D71">
            <w:pPr>
              <w:spacing w:before="114" w:line="199" w:lineRule="auto"/>
              <w:ind w:left="5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0" w:type="dxa"/>
            <w:tcBorders>
              <w:bottom w:val="single" w:color="000000" w:sz="10" w:space="0"/>
              <w:right w:val="nil"/>
            </w:tcBorders>
            <w:vAlign w:val="top"/>
          </w:tcPr>
          <w:p w14:paraId="21EE5A06">
            <w:pPr>
              <w:spacing w:before="118" w:line="195" w:lineRule="auto"/>
              <w:ind w:left="38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r>
    </w:tbl>
    <w:p w14:paraId="55DEC05C">
      <w:pPr>
        <w:spacing w:before="31" w:line="227" w:lineRule="auto"/>
        <w:ind w:left="227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9"/>
          <w:sz w:val="20"/>
          <w:szCs w:val="20"/>
        </w:rPr>
        <w:t xml:space="preserve"> </w:t>
      </w:r>
      <w:r>
        <w:rPr>
          <w:rFonts w:ascii="Times New Roman" w:hAnsi="Times New Roman" w:eastAsia="Times New Roman" w:cs="Times New Roman"/>
          <w:b/>
          <w:bCs/>
          <w:spacing w:val="5"/>
          <w:sz w:val="20"/>
          <w:szCs w:val="20"/>
        </w:rPr>
        <w:t xml:space="preserve">2.3-12            </w:t>
      </w:r>
      <w:r>
        <w:rPr>
          <w:rFonts w:ascii="宋体" w:hAnsi="宋体" w:eastAsia="宋体" w:cs="宋体"/>
          <w:b/>
          <w:bCs/>
          <w:spacing w:val="5"/>
          <w:sz w:val="20"/>
          <w:szCs w:val="20"/>
        </w:rPr>
        <w:t>项目焦炭烘干污染物产排情况汇总表</w:t>
      </w:r>
    </w:p>
    <w:p w14:paraId="39B2D8F0">
      <w:pPr>
        <w:spacing w:line="131" w:lineRule="exact"/>
      </w:pPr>
    </w:p>
    <w:tbl>
      <w:tblPr>
        <w:tblStyle w:val="5"/>
        <w:tblW w:w="922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98"/>
        <w:gridCol w:w="1109"/>
        <w:gridCol w:w="1757"/>
        <w:gridCol w:w="1338"/>
        <w:gridCol w:w="1070"/>
        <w:gridCol w:w="946"/>
        <w:gridCol w:w="1340"/>
        <w:gridCol w:w="965"/>
      </w:tblGrid>
      <w:tr w14:paraId="5F35BB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807" w:type="dxa"/>
            <w:gridSpan w:val="2"/>
            <w:vMerge w:val="restart"/>
            <w:tcBorders>
              <w:top w:val="single" w:color="000000" w:sz="10" w:space="0"/>
              <w:left w:val="nil"/>
              <w:bottom w:val="nil"/>
            </w:tcBorders>
            <w:vAlign w:val="top"/>
          </w:tcPr>
          <w:p w14:paraId="0249665B">
            <w:pPr>
              <w:spacing w:line="301" w:lineRule="auto"/>
              <w:rPr>
                <w:rFonts w:ascii="Arial"/>
                <w:sz w:val="21"/>
              </w:rPr>
            </w:pPr>
          </w:p>
          <w:p w14:paraId="4B1BF3C4">
            <w:pPr>
              <w:pStyle w:val="6"/>
              <w:spacing w:before="65" w:line="228" w:lineRule="auto"/>
              <w:ind w:left="598"/>
              <w:rPr>
                <w:sz w:val="20"/>
                <w:szCs w:val="20"/>
              </w:rPr>
            </w:pPr>
            <w:r>
              <w:rPr>
                <w:spacing w:val="6"/>
                <w:sz w:val="20"/>
                <w:szCs w:val="20"/>
              </w:rPr>
              <w:t>污染物</w:t>
            </w:r>
          </w:p>
        </w:tc>
        <w:tc>
          <w:tcPr>
            <w:tcW w:w="1757" w:type="dxa"/>
            <w:vMerge w:val="restart"/>
            <w:tcBorders>
              <w:top w:val="single" w:color="000000" w:sz="10" w:space="0"/>
              <w:bottom w:val="nil"/>
            </w:tcBorders>
            <w:vAlign w:val="top"/>
          </w:tcPr>
          <w:p w14:paraId="6BEA5FC2">
            <w:pPr>
              <w:spacing w:line="301" w:lineRule="auto"/>
              <w:rPr>
                <w:rFonts w:ascii="Arial"/>
                <w:sz w:val="21"/>
              </w:rPr>
            </w:pPr>
          </w:p>
          <w:p w14:paraId="69FD4316">
            <w:pPr>
              <w:pStyle w:val="6"/>
              <w:spacing w:before="65" w:line="228" w:lineRule="auto"/>
              <w:ind w:left="161"/>
              <w:rPr>
                <w:sz w:val="20"/>
                <w:szCs w:val="20"/>
              </w:rPr>
            </w:pPr>
            <w:r>
              <w:rPr>
                <w:spacing w:val="5"/>
                <w:sz w:val="20"/>
                <w:szCs w:val="20"/>
              </w:rPr>
              <w:t>废气量（</w:t>
            </w:r>
            <w:r>
              <w:rPr>
                <w:rFonts w:ascii="Times New Roman" w:hAnsi="Times New Roman" w:eastAsia="Times New Roman" w:cs="Times New Roman"/>
                <w:spacing w:val="5"/>
                <w:sz w:val="20"/>
                <w:szCs w:val="20"/>
              </w:rPr>
              <w:t>m</w:t>
            </w:r>
            <w:r>
              <w:rPr>
                <w:rFonts w:ascii="Times New Roman" w:hAnsi="Times New Roman" w:eastAsia="Times New Roman" w:cs="Times New Roman"/>
                <w:spacing w:val="5"/>
                <w:position w:val="6"/>
                <w:sz w:val="13"/>
                <w:szCs w:val="13"/>
              </w:rPr>
              <w:t>3</w:t>
            </w:r>
            <w:r>
              <w:rPr>
                <w:rFonts w:ascii="Times New Roman" w:hAnsi="Times New Roman" w:eastAsia="Times New Roman" w:cs="Times New Roman"/>
                <w:spacing w:val="5"/>
                <w:sz w:val="20"/>
                <w:szCs w:val="20"/>
              </w:rPr>
              <w:t>/h</w:t>
            </w:r>
            <w:r>
              <w:rPr>
                <w:spacing w:val="5"/>
                <w:sz w:val="20"/>
                <w:szCs w:val="20"/>
              </w:rPr>
              <w:t>）</w:t>
            </w:r>
          </w:p>
        </w:tc>
        <w:tc>
          <w:tcPr>
            <w:tcW w:w="2408" w:type="dxa"/>
            <w:gridSpan w:val="2"/>
            <w:tcBorders>
              <w:top w:val="single" w:color="000000" w:sz="10" w:space="0"/>
            </w:tcBorders>
            <w:vAlign w:val="top"/>
          </w:tcPr>
          <w:p w14:paraId="0C5D3E8B">
            <w:pPr>
              <w:pStyle w:val="6"/>
              <w:spacing w:before="72" w:line="228" w:lineRule="auto"/>
              <w:ind w:left="788"/>
              <w:rPr>
                <w:sz w:val="20"/>
                <w:szCs w:val="20"/>
              </w:rPr>
            </w:pPr>
            <w:r>
              <w:rPr>
                <w:spacing w:val="7"/>
                <w:sz w:val="20"/>
                <w:szCs w:val="20"/>
              </w:rPr>
              <w:t>产生情况</w:t>
            </w:r>
          </w:p>
        </w:tc>
        <w:tc>
          <w:tcPr>
            <w:tcW w:w="3251" w:type="dxa"/>
            <w:gridSpan w:val="3"/>
            <w:tcBorders>
              <w:top w:val="single" w:color="000000" w:sz="10" w:space="0"/>
              <w:right w:val="nil"/>
            </w:tcBorders>
            <w:vAlign w:val="top"/>
          </w:tcPr>
          <w:p w14:paraId="65DACCA7">
            <w:pPr>
              <w:pStyle w:val="6"/>
              <w:spacing w:before="73" w:line="228" w:lineRule="auto"/>
              <w:ind w:left="1210"/>
              <w:rPr>
                <w:sz w:val="20"/>
                <w:szCs w:val="20"/>
              </w:rPr>
            </w:pPr>
            <w:r>
              <w:rPr>
                <w:spacing w:val="7"/>
                <w:sz w:val="20"/>
                <w:szCs w:val="20"/>
              </w:rPr>
              <w:t>排放情况</w:t>
            </w:r>
          </w:p>
        </w:tc>
      </w:tr>
      <w:tr w14:paraId="347F3B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1807" w:type="dxa"/>
            <w:gridSpan w:val="2"/>
            <w:vMerge w:val="continue"/>
            <w:tcBorders>
              <w:top w:val="nil"/>
              <w:left w:val="nil"/>
            </w:tcBorders>
            <w:vAlign w:val="top"/>
          </w:tcPr>
          <w:p w14:paraId="1C0CAE55">
            <w:pPr>
              <w:rPr>
                <w:rFonts w:ascii="Arial"/>
                <w:sz w:val="21"/>
              </w:rPr>
            </w:pPr>
          </w:p>
        </w:tc>
        <w:tc>
          <w:tcPr>
            <w:tcW w:w="1757" w:type="dxa"/>
            <w:vMerge w:val="continue"/>
            <w:tcBorders>
              <w:top w:val="nil"/>
            </w:tcBorders>
            <w:vAlign w:val="top"/>
          </w:tcPr>
          <w:p w14:paraId="53D0CB6F">
            <w:pPr>
              <w:rPr>
                <w:rFonts w:ascii="Arial"/>
                <w:sz w:val="21"/>
              </w:rPr>
            </w:pPr>
          </w:p>
        </w:tc>
        <w:tc>
          <w:tcPr>
            <w:tcW w:w="1338" w:type="dxa"/>
            <w:vAlign w:val="top"/>
          </w:tcPr>
          <w:p w14:paraId="0E9738D0">
            <w:pPr>
              <w:pStyle w:val="6"/>
              <w:spacing w:before="193" w:line="221" w:lineRule="auto"/>
              <w:ind w:left="113"/>
              <w:rPr>
                <w:sz w:val="20"/>
                <w:szCs w:val="20"/>
              </w:rPr>
            </w:pPr>
            <w:r>
              <w:rPr>
                <w:spacing w:val="6"/>
                <w:sz w:val="20"/>
                <w:szCs w:val="20"/>
              </w:rPr>
              <w:t>速率（</w:t>
            </w:r>
            <w:r>
              <w:rPr>
                <w:rFonts w:ascii="Times New Roman" w:hAnsi="Times New Roman" w:eastAsia="Times New Roman" w:cs="Times New Roman"/>
                <w:sz w:val="20"/>
                <w:szCs w:val="20"/>
              </w:rPr>
              <w:t>kg</w:t>
            </w:r>
            <w:r>
              <w:rPr>
                <w:rFonts w:ascii="Times New Roman" w:hAnsi="Times New Roman" w:eastAsia="Times New Roman" w:cs="Times New Roman"/>
                <w:spacing w:val="6"/>
                <w:sz w:val="20"/>
                <w:szCs w:val="20"/>
              </w:rPr>
              <w:t>/h</w:t>
            </w:r>
            <w:r>
              <w:rPr>
                <w:spacing w:val="6"/>
                <w:sz w:val="20"/>
                <w:szCs w:val="20"/>
              </w:rPr>
              <w:t>）</w:t>
            </w:r>
          </w:p>
        </w:tc>
        <w:tc>
          <w:tcPr>
            <w:tcW w:w="1070" w:type="dxa"/>
            <w:vAlign w:val="top"/>
          </w:tcPr>
          <w:p w14:paraId="0B958354">
            <w:pPr>
              <w:pStyle w:val="6"/>
              <w:spacing w:before="62" w:line="232" w:lineRule="auto"/>
              <w:ind w:left="236" w:right="218" w:hanging="10"/>
              <w:rPr>
                <w:sz w:val="20"/>
                <w:szCs w:val="20"/>
              </w:rPr>
            </w:pPr>
            <w:r>
              <w:rPr>
                <w:spacing w:val="6"/>
                <w:sz w:val="20"/>
                <w:szCs w:val="20"/>
              </w:rPr>
              <w:t>产生量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946" w:type="dxa"/>
            <w:vAlign w:val="top"/>
          </w:tcPr>
          <w:p w14:paraId="33B2C695">
            <w:pPr>
              <w:pStyle w:val="6"/>
              <w:spacing w:before="62" w:line="232" w:lineRule="auto"/>
              <w:ind w:left="173" w:right="156" w:hanging="6"/>
              <w:rPr>
                <w:sz w:val="20"/>
                <w:szCs w:val="20"/>
              </w:rPr>
            </w:pPr>
            <w:r>
              <w:rPr>
                <w:spacing w:val="5"/>
                <w:sz w:val="20"/>
                <w:szCs w:val="20"/>
              </w:rPr>
              <w:t>去除量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1340" w:type="dxa"/>
            <w:vAlign w:val="top"/>
          </w:tcPr>
          <w:p w14:paraId="33AAAE10">
            <w:pPr>
              <w:pStyle w:val="6"/>
              <w:spacing w:before="193" w:line="221" w:lineRule="auto"/>
              <w:ind w:left="114"/>
              <w:rPr>
                <w:sz w:val="20"/>
                <w:szCs w:val="20"/>
              </w:rPr>
            </w:pPr>
            <w:r>
              <w:rPr>
                <w:spacing w:val="6"/>
                <w:sz w:val="20"/>
                <w:szCs w:val="20"/>
              </w:rPr>
              <w:t>速率（</w:t>
            </w:r>
            <w:r>
              <w:rPr>
                <w:rFonts w:ascii="Times New Roman" w:hAnsi="Times New Roman" w:eastAsia="Times New Roman" w:cs="Times New Roman"/>
                <w:sz w:val="20"/>
                <w:szCs w:val="20"/>
              </w:rPr>
              <w:t>kg</w:t>
            </w:r>
            <w:r>
              <w:rPr>
                <w:rFonts w:ascii="Times New Roman" w:hAnsi="Times New Roman" w:eastAsia="Times New Roman" w:cs="Times New Roman"/>
                <w:spacing w:val="6"/>
                <w:sz w:val="20"/>
                <w:szCs w:val="20"/>
              </w:rPr>
              <w:t>/h</w:t>
            </w:r>
            <w:r>
              <w:rPr>
                <w:spacing w:val="6"/>
                <w:sz w:val="20"/>
                <w:szCs w:val="20"/>
              </w:rPr>
              <w:t>）</w:t>
            </w:r>
          </w:p>
        </w:tc>
        <w:tc>
          <w:tcPr>
            <w:tcW w:w="965" w:type="dxa"/>
            <w:tcBorders>
              <w:right w:val="nil"/>
            </w:tcBorders>
            <w:vAlign w:val="top"/>
          </w:tcPr>
          <w:p w14:paraId="20B41EAF">
            <w:pPr>
              <w:pStyle w:val="6"/>
              <w:spacing w:before="62" w:line="232" w:lineRule="auto"/>
              <w:ind w:left="182" w:right="169" w:hanging="10"/>
              <w:rPr>
                <w:sz w:val="20"/>
                <w:szCs w:val="20"/>
              </w:rPr>
            </w:pPr>
            <w:r>
              <w:rPr>
                <w:spacing w:val="6"/>
                <w:sz w:val="20"/>
                <w:szCs w:val="20"/>
              </w:rPr>
              <w:t>排放量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r>
      <w:tr w14:paraId="3BB6B8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698" w:type="dxa"/>
            <w:vMerge w:val="restart"/>
            <w:tcBorders>
              <w:left w:val="nil"/>
              <w:bottom w:val="nil"/>
            </w:tcBorders>
            <w:vAlign w:val="top"/>
          </w:tcPr>
          <w:p w14:paraId="774FD3A2">
            <w:pPr>
              <w:pStyle w:val="6"/>
              <w:spacing w:before="285" w:line="234" w:lineRule="auto"/>
              <w:ind w:left="148" w:right="137"/>
              <w:rPr>
                <w:sz w:val="20"/>
                <w:szCs w:val="20"/>
              </w:rPr>
            </w:pPr>
            <w:r>
              <w:rPr>
                <w:spacing w:val="4"/>
                <w:sz w:val="20"/>
                <w:szCs w:val="20"/>
              </w:rPr>
              <w:t>焦炭</w:t>
            </w:r>
            <w:r>
              <w:rPr>
                <w:sz w:val="20"/>
                <w:szCs w:val="20"/>
              </w:rPr>
              <w:t xml:space="preserve"> </w:t>
            </w:r>
            <w:r>
              <w:rPr>
                <w:spacing w:val="4"/>
                <w:sz w:val="20"/>
                <w:szCs w:val="20"/>
              </w:rPr>
              <w:t>烘干</w:t>
            </w:r>
          </w:p>
        </w:tc>
        <w:tc>
          <w:tcPr>
            <w:tcW w:w="1109" w:type="dxa"/>
            <w:vAlign w:val="top"/>
          </w:tcPr>
          <w:p w14:paraId="6AE30A91">
            <w:pPr>
              <w:pStyle w:val="6"/>
              <w:spacing w:before="76" w:line="226" w:lineRule="auto"/>
              <w:ind w:left="243"/>
              <w:rPr>
                <w:sz w:val="20"/>
                <w:szCs w:val="20"/>
              </w:rPr>
            </w:pPr>
            <w:r>
              <w:rPr>
                <w:spacing w:val="7"/>
                <w:sz w:val="20"/>
                <w:szCs w:val="20"/>
              </w:rPr>
              <w:t>颗粒物</w:t>
            </w:r>
          </w:p>
        </w:tc>
        <w:tc>
          <w:tcPr>
            <w:tcW w:w="1757" w:type="dxa"/>
            <w:vMerge w:val="restart"/>
            <w:tcBorders>
              <w:bottom w:val="nil"/>
            </w:tcBorders>
            <w:vAlign w:val="top"/>
          </w:tcPr>
          <w:p w14:paraId="1A31A442">
            <w:pPr>
              <w:spacing w:line="393" w:lineRule="auto"/>
              <w:rPr>
                <w:rFonts w:ascii="Arial"/>
                <w:sz w:val="21"/>
              </w:rPr>
            </w:pPr>
          </w:p>
          <w:p w14:paraId="02D0E99C">
            <w:pPr>
              <w:spacing w:before="57" w:line="195" w:lineRule="auto"/>
              <w:ind w:left="54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3195.59</w:t>
            </w:r>
          </w:p>
        </w:tc>
        <w:tc>
          <w:tcPr>
            <w:tcW w:w="1338" w:type="dxa"/>
            <w:vAlign w:val="top"/>
          </w:tcPr>
          <w:p w14:paraId="47AC74C6">
            <w:pPr>
              <w:spacing w:before="112" w:line="195" w:lineRule="auto"/>
              <w:ind w:left="45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18.21</w:t>
            </w:r>
          </w:p>
        </w:tc>
        <w:tc>
          <w:tcPr>
            <w:tcW w:w="1070" w:type="dxa"/>
            <w:vAlign w:val="top"/>
          </w:tcPr>
          <w:p w14:paraId="76312194">
            <w:pPr>
              <w:spacing w:before="112" w:line="195" w:lineRule="auto"/>
              <w:ind w:left="268"/>
              <w:rPr>
                <w:rFonts w:ascii="Times New Roman" w:hAnsi="Times New Roman" w:eastAsia="Times New Roman" w:cs="Times New Roman"/>
                <w:sz w:val="20"/>
                <w:szCs w:val="20"/>
              </w:rPr>
            </w:pPr>
            <w:r>
              <w:rPr>
                <w:rFonts w:ascii="Times New Roman" w:hAnsi="Times New Roman" w:eastAsia="Times New Roman" w:cs="Times New Roman"/>
                <w:sz w:val="20"/>
                <w:szCs w:val="20"/>
              </w:rPr>
              <w:t>145.71</w:t>
            </w:r>
          </w:p>
        </w:tc>
        <w:tc>
          <w:tcPr>
            <w:tcW w:w="946" w:type="dxa"/>
            <w:vAlign w:val="top"/>
          </w:tcPr>
          <w:p w14:paraId="53425E71">
            <w:pPr>
              <w:spacing w:before="112" w:line="195" w:lineRule="auto"/>
              <w:ind w:left="206"/>
              <w:rPr>
                <w:rFonts w:ascii="Times New Roman" w:hAnsi="Times New Roman" w:eastAsia="Times New Roman" w:cs="Times New Roman"/>
                <w:sz w:val="20"/>
                <w:szCs w:val="20"/>
              </w:rPr>
            </w:pPr>
            <w:r>
              <w:rPr>
                <w:rFonts w:ascii="Times New Roman" w:hAnsi="Times New Roman" w:eastAsia="Times New Roman" w:cs="Times New Roman"/>
                <w:sz w:val="20"/>
                <w:szCs w:val="20"/>
              </w:rPr>
              <w:t>144.25</w:t>
            </w:r>
          </w:p>
        </w:tc>
        <w:tc>
          <w:tcPr>
            <w:tcW w:w="1340" w:type="dxa"/>
            <w:vAlign w:val="top"/>
          </w:tcPr>
          <w:p w14:paraId="02D3A8C2">
            <w:pPr>
              <w:spacing w:before="112" w:line="195" w:lineRule="auto"/>
              <w:ind w:left="4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0.18</w:t>
            </w:r>
          </w:p>
        </w:tc>
        <w:tc>
          <w:tcPr>
            <w:tcW w:w="965" w:type="dxa"/>
            <w:tcBorders>
              <w:right w:val="nil"/>
            </w:tcBorders>
            <w:vAlign w:val="top"/>
          </w:tcPr>
          <w:p w14:paraId="0CE87DD5">
            <w:pPr>
              <w:spacing w:before="112" w:line="195" w:lineRule="auto"/>
              <w:ind w:left="32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1.46</w:t>
            </w:r>
          </w:p>
        </w:tc>
      </w:tr>
      <w:tr w14:paraId="26524E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698" w:type="dxa"/>
            <w:vMerge w:val="continue"/>
            <w:tcBorders>
              <w:top w:val="nil"/>
              <w:left w:val="nil"/>
              <w:bottom w:val="nil"/>
            </w:tcBorders>
            <w:vAlign w:val="top"/>
          </w:tcPr>
          <w:p w14:paraId="71C55CA2">
            <w:pPr>
              <w:rPr>
                <w:rFonts w:ascii="Arial"/>
                <w:sz w:val="21"/>
              </w:rPr>
            </w:pPr>
          </w:p>
        </w:tc>
        <w:tc>
          <w:tcPr>
            <w:tcW w:w="1109" w:type="dxa"/>
            <w:vAlign w:val="top"/>
          </w:tcPr>
          <w:p w14:paraId="322D8323">
            <w:pPr>
              <w:spacing w:before="117" w:line="202" w:lineRule="auto"/>
              <w:ind w:left="395"/>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1757" w:type="dxa"/>
            <w:vMerge w:val="continue"/>
            <w:tcBorders>
              <w:top w:val="nil"/>
              <w:bottom w:val="nil"/>
            </w:tcBorders>
            <w:vAlign w:val="top"/>
          </w:tcPr>
          <w:p w14:paraId="044ABE40">
            <w:pPr>
              <w:rPr>
                <w:rFonts w:ascii="Arial"/>
                <w:sz w:val="21"/>
              </w:rPr>
            </w:pPr>
          </w:p>
        </w:tc>
        <w:tc>
          <w:tcPr>
            <w:tcW w:w="1338" w:type="dxa"/>
            <w:vAlign w:val="top"/>
          </w:tcPr>
          <w:p w14:paraId="2C4D735B">
            <w:pPr>
              <w:spacing w:before="117" w:line="195" w:lineRule="auto"/>
              <w:ind w:left="4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0.36</w:t>
            </w:r>
          </w:p>
        </w:tc>
        <w:tc>
          <w:tcPr>
            <w:tcW w:w="1070" w:type="dxa"/>
            <w:vAlign w:val="top"/>
          </w:tcPr>
          <w:p w14:paraId="305814AA">
            <w:pPr>
              <w:spacing w:before="117" w:line="195" w:lineRule="auto"/>
              <w:ind w:left="35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2.91</w:t>
            </w:r>
          </w:p>
        </w:tc>
        <w:tc>
          <w:tcPr>
            <w:tcW w:w="946" w:type="dxa"/>
            <w:vAlign w:val="top"/>
          </w:tcPr>
          <w:p w14:paraId="2FCDA380">
            <w:pPr>
              <w:spacing w:before="113"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340" w:type="dxa"/>
            <w:vAlign w:val="top"/>
          </w:tcPr>
          <w:p w14:paraId="66C0697C">
            <w:pPr>
              <w:spacing w:before="117" w:line="195" w:lineRule="auto"/>
              <w:ind w:left="4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0.36</w:t>
            </w:r>
          </w:p>
        </w:tc>
        <w:tc>
          <w:tcPr>
            <w:tcW w:w="965" w:type="dxa"/>
            <w:tcBorders>
              <w:right w:val="nil"/>
            </w:tcBorders>
            <w:vAlign w:val="top"/>
          </w:tcPr>
          <w:p w14:paraId="22A911C1">
            <w:pPr>
              <w:spacing w:before="117" w:line="195" w:lineRule="auto"/>
              <w:ind w:left="3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2.91</w:t>
            </w:r>
          </w:p>
        </w:tc>
      </w:tr>
      <w:tr w14:paraId="412D0D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698" w:type="dxa"/>
            <w:vMerge w:val="continue"/>
            <w:tcBorders>
              <w:top w:val="nil"/>
              <w:left w:val="nil"/>
              <w:bottom w:val="single" w:color="000000" w:sz="10" w:space="0"/>
            </w:tcBorders>
            <w:vAlign w:val="top"/>
          </w:tcPr>
          <w:p w14:paraId="128E6461">
            <w:pPr>
              <w:rPr>
                <w:rFonts w:ascii="Arial"/>
                <w:sz w:val="21"/>
              </w:rPr>
            </w:pPr>
          </w:p>
        </w:tc>
        <w:tc>
          <w:tcPr>
            <w:tcW w:w="1109" w:type="dxa"/>
            <w:tcBorders>
              <w:bottom w:val="single" w:color="000000" w:sz="10" w:space="0"/>
            </w:tcBorders>
            <w:vAlign w:val="top"/>
          </w:tcPr>
          <w:p w14:paraId="3B7C9376">
            <w:pPr>
              <w:spacing w:before="119" w:line="195" w:lineRule="auto"/>
              <w:ind w:left="344"/>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NOx</w:t>
            </w:r>
          </w:p>
        </w:tc>
        <w:tc>
          <w:tcPr>
            <w:tcW w:w="1757" w:type="dxa"/>
            <w:vMerge w:val="continue"/>
            <w:tcBorders>
              <w:top w:val="nil"/>
              <w:bottom w:val="single" w:color="000000" w:sz="10" w:space="0"/>
            </w:tcBorders>
            <w:vAlign w:val="top"/>
          </w:tcPr>
          <w:p w14:paraId="0343B85C">
            <w:pPr>
              <w:rPr>
                <w:rFonts w:ascii="Arial"/>
                <w:sz w:val="21"/>
              </w:rPr>
            </w:pPr>
          </w:p>
        </w:tc>
        <w:tc>
          <w:tcPr>
            <w:tcW w:w="1338" w:type="dxa"/>
            <w:tcBorders>
              <w:bottom w:val="single" w:color="000000" w:sz="10" w:space="0"/>
            </w:tcBorders>
            <w:vAlign w:val="top"/>
          </w:tcPr>
          <w:p w14:paraId="6A1A567F">
            <w:pPr>
              <w:spacing w:before="119" w:line="195" w:lineRule="auto"/>
              <w:ind w:left="4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0.16</w:t>
            </w:r>
          </w:p>
        </w:tc>
        <w:tc>
          <w:tcPr>
            <w:tcW w:w="1070" w:type="dxa"/>
            <w:tcBorders>
              <w:bottom w:val="single" w:color="000000" w:sz="10" w:space="0"/>
            </w:tcBorders>
            <w:vAlign w:val="top"/>
          </w:tcPr>
          <w:p w14:paraId="60900097">
            <w:pPr>
              <w:spacing w:before="119"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1.30</w:t>
            </w:r>
          </w:p>
        </w:tc>
        <w:tc>
          <w:tcPr>
            <w:tcW w:w="946" w:type="dxa"/>
            <w:tcBorders>
              <w:bottom w:val="single" w:color="000000" w:sz="10" w:space="0"/>
            </w:tcBorders>
            <w:vAlign w:val="top"/>
          </w:tcPr>
          <w:p w14:paraId="38C8A0A6">
            <w:pPr>
              <w:spacing w:before="115"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340" w:type="dxa"/>
            <w:tcBorders>
              <w:bottom w:val="single" w:color="000000" w:sz="10" w:space="0"/>
            </w:tcBorders>
            <w:vAlign w:val="top"/>
          </w:tcPr>
          <w:p w14:paraId="533B2CD6">
            <w:pPr>
              <w:spacing w:before="119" w:line="195" w:lineRule="auto"/>
              <w:ind w:left="4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0.16</w:t>
            </w:r>
          </w:p>
        </w:tc>
        <w:tc>
          <w:tcPr>
            <w:tcW w:w="965" w:type="dxa"/>
            <w:tcBorders>
              <w:bottom w:val="single" w:color="000000" w:sz="10" w:space="0"/>
              <w:right w:val="nil"/>
            </w:tcBorders>
            <w:vAlign w:val="top"/>
          </w:tcPr>
          <w:p w14:paraId="6DE54255">
            <w:pPr>
              <w:spacing w:before="119" w:line="195" w:lineRule="auto"/>
              <w:ind w:left="3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1.30</w:t>
            </w:r>
          </w:p>
        </w:tc>
      </w:tr>
    </w:tbl>
    <w:p w14:paraId="434E3E20">
      <w:pPr>
        <w:spacing w:before="119" w:line="219" w:lineRule="auto"/>
        <w:ind w:left="592"/>
        <w:rPr>
          <w:rFonts w:ascii="宋体" w:hAnsi="宋体" w:eastAsia="宋体" w:cs="宋体"/>
          <w:sz w:val="24"/>
          <w:szCs w:val="24"/>
        </w:rPr>
      </w:pPr>
      <w:r>
        <w:rPr>
          <w:rFonts w:ascii="Times New Roman" w:hAnsi="Times New Roman" w:eastAsia="Times New Roman" w:cs="Times New Roman"/>
          <w:b/>
          <w:bCs/>
          <w:spacing w:val="-2"/>
          <w:sz w:val="24"/>
          <w:szCs w:val="24"/>
        </w:rPr>
        <w:t>2</w:t>
      </w:r>
      <w:r>
        <w:rPr>
          <w:rFonts w:ascii="宋体" w:hAnsi="宋体" w:eastAsia="宋体" w:cs="宋体"/>
          <w:b/>
          <w:bCs/>
          <w:spacing w:val="-2"/>
          <w:sz w:val="24"/>
          <w:szCs w:val="24"/>
        </w:rPr>
        <w:t>）焦炭筛分出料工序废气（</w:t>
      </w:r>
      <w:r>
        <w:rPr>
          <w:rFonts w:ascii="Times New Roman" w:hAnsi="Times New Roman" w:eastAsia="Times New Roman" w:cs="Times New Roman"/>
          <w:b/>
          <w:bCs/>
          <w:spacing w:val="-2"/>
          <w:sz w:val="24"/>
          <w:szCs w:val="24"/>
        </w:rPr>
        <w:t>G</w:t>
      </w:r>
      <w:r>
        <w:rPr>
          <w:rFonts w:ascii="Times New Roman" w:hAnsi="Times New Roman" w:eastAsia="Times New Roman" w:cs="Times New Roman"/>
          <w:b/>
          <w:bCs/>
          <w:spacing w:val="-2"/>
          <w:sz w:val="15"/>
          <w:szCs w:val="15"/>
        </w:rPr>
        <w:t>1-2</w:t>
      </w:r>
      <w:r>
        <w:rPr>
          <w:rFonts w:ascii="宋体" w:hAnsi="宋体" w:eastAsia="宋体" w:cs="宋体"/>
          <w:b/>
          <w:bCs/>
          <w:spacing w:val="-2"/>
          <w:sz w:val="24"/>
          <w:szCs w:val="24"/>
        </w:rPr>
        <w:t>）</w:t>
      </w:r>
    </w:p>
    <w:p w14:paraId="4DEDF934">
      <w:pPr>
        <w:spacing w:before="193" w:line="360" w:lineRule="auto"/>
        <w:ind w:left="115" w:right="107" w:firstLine="480"/>
        <w:jc w:val="both"/>
        <w:rPr>
          <w:rFonts w:ascii="宋体" w:hAnsi="宋体" w:eastAsia="宋体" w:cs="宋体"/>
          <w:sz w:val="24"/>
          <w:szCs w:val="24"/>
        </w:rPr>
      </w:pPr>
      <w:r>
        <w:rPr>
          <w:rFonts w:ascii="宋体" w:hAnsi="宋体" w:eastAsia="宋体" w:cs="宋体"/>
          <w:spacing w:val="-3"/>
          <w:sz w:val="24"/>
          <w:szCs w:val="24"/>
        </w:rPr>
        <w:t>焦炭筛分出料工序废气主要污染物为粉尘，主要成分为颗粒物。焦炭</w:t>
      </w:r>
      <w:r>
        <w:rPr>
          <w:rFonts w:ascii="宋体" w:hAnsi="宋体" w:eastAsia="宋体" w:cs="宋体"/>
          <w:spacing w:val="-4"/>
          <w:sz w:val="24"/>
          <w:szCs w:val="24"/>
        </w:rPr>
        <w:t>筛分出料工序</w:t>
      </w:r>
      <w:r>
        <w:rPr>
          <w:rFonts w:ascii="宋体" w:hAnsi="宋体" w:eastAsia="宋体" w:cs="宋体"/>
          <w:sz w:val="24"/>
          <w:szCs w:val="24"/>
        </w:rPr>
        <w:t xml:space="preserve"> </w:t>
      </w:r>
      <w:r>
        <w:rPr>
          <w:rFonts w:ascii="宋体" w:hAnsi="宋体" w:eastAsia="宋体" w:cs="宋体"/>
          <w:spacing w:val="-3"/>
          <w:sz w:val="24"/>
          <w:szCs w:val="24"/>
        </w:rPr>
        <w:t>废气经集气罩收集后通入</w:t>
      </w:r>
      <w:r>
        <w:rPr>
          <w:rFonts w:ascii="宋体" w:hAnsi="宋体" w:eastAsia="宋体" w:cs="宋体"/>
          <w:spacing w:val="-13"/>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套布袋除尘器处理，搭配风机风量为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15000m</w:t>
      </w:r>
      <w:r>
        <w:rPr>
          <w:rFonts w:ascii="Times New Roman" w:hAnsi="Times New Roman" w:eastAsia="Times New Roman" w:cs="Times New Roman"/>
          <w:spacing w:val="-3"/>
          <w:position w:val="8"/>
          <w:sz w:val="15"/>
          <w:szCs w:val="15"/>
        </w:rPr>
        <w:t>3</w:t>
      </w:r>
      <w:r>
        <w:rPr>
          <w:rFonts w:ascii="Times New Roman" w:hAnsi="Times New Roman" w:eastAsia="Times New Roman" w:cs="Times New Roman"/>
          <w:spacing w:val="-3"/>
          <w:sz w:val="24"/>
          <w:szCs w:val="24"/>
        </w:rPr>
        <w:t>/h</w:t>
      </w:r>
      <w:r>
        <w:rPr>
          <w:rFonts w:ascii="Times New Roman" w:hAnsi="Times New Roman" w:eastAsia="Times New Roman" w:cs="Times New Roman"/>
          <w:spacing w:val="-27"/>
          <w:sz w:val="24"/>
          <w:szCs w:val="24"/>
        </w:rPr>
        <w:t xml:space="preserve"> </w:t>
      </w:r>
      <w:r>
        <w:rPr>
          <w:rFonts w:ascii="宋体" w:hAnsi="宋体" w:eastAsia="宋体" w:cs="宋体"/>
          <w:spacing w:val="-3"/>
          <w:sz w:val="24"/>
          <w:szCs w:val="24"/>
        </w:rPr>
        <w:t>。其中，集</w:t>
      </w:r>
      <w:r>
        <w:rPr>
          <w:rFonts w:ascii="宋体" w:hAnsi="宋体" w:eastAsia="宋体" w:cs="宋体"/>
          <w:sz w:val="24"/>
          <w:szCs w:val="24"/>
        </w:rPr>
        <w:t xml:space="preserve"> </w:t>
      </w:r>
      <w:r>
        <w:rPr>
          <w:rFonts w:ascii="宋体" w:hAnsi="宋体" w:eastAsia="宋体" w:cs="宋体"/>
          <w:spacing w:val="-3"/>
          <w:sz w:val="24"/>
          <w:szCs w:val="24"/>
        </w:rPr>
        <w:t>气罩集气效率为</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95%</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，布袋除尘器的除尘效率为</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99%</w:t>
      </w:r>
      <w:r>
        <w:rPr>
          <w:rFonts w:ascii="Times New Roman" w:hAnsi="Times New Roman" w:eastAsia="Times New Roman" w:cs="Times New Roman"/>
          <w:spacing w:val="-25"/>
          <w:sz w:val="24"/>
          <w:szCs w:val="24"/>
        </w:rPr>
        <w:t xml:space="preserve"> </w:t>
      </w:r>
      <w:r>
        <w:rPr>
          <w:rFonts w:ascii="宋体" w:hAnsi="宋体" w:eastAsia="宋体" w:cs="宋体"/>
          <w:spacing w:val="-3"/>
          <w:sz w:val="24"/>
          <w:szCs w:val="24"/>
        </w:rPr>
        <w:t>。处理后的废气通入</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根高</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25m</w:t>
      </w:r>
      <w:r>
        <w:rPr>
          <w:rFonts w:ascii="Times New Roman" w:hAnsi="Times New Roman" w:eastAsia="Times New Roman" w:cs="Times New Roman"/>
          <w:sz w:val="24"/>
          <w:szCs w:val="24"/>
        </w:rPr>
        <w:t xml:space="preserve">  </w:t>
      </w:r>
      <w:r>
        <w:rPr>
          <w:rFonts w:ascii="宋体" w:hAnsi="宋体" w:eastAsia="宋体" w:cs="宋体"/>
          <w:spacing w:val="-1"/>
          <w:sz w:val="24"/>
          <w:szCs w:val="24"/>
        </w:rPr>
        <w:t>排气筒</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 xml:space="preserve">DA001 </w:t>
      </w:r>
      <w:r>
        <w:rPr>
          <w:rFonts w:ascii="宋体" w:hAnsi="宋体" w:eastAsia="宋体" w:cs="宋体"/>
          <w:spacing w:val="-1"/>
          <w:sz w:val="24"/>
          <w:szCs w:val="24"/>
        </w:rPr>
        <w:t>排放。</w:t>
      </w:r>
    </w:p>
    <w:p w14:paraId="38DBACA4">
      <w:pPr>
        <w:spacing w:before="37" w:line="358" w:lineRule="auto"/>
        <w:ind w:left="116" w:right="107" w:firstLine="480"/>
        <w:jc w:val="both"/>
        <w:rPr>
          <w:rFonts w:ascii="宋体" w:hAnsi="宋体" w:eastAsia="宋体" w:cs="宋体"/>
          <w:sz w:val="24"/>
          <w:szCs w:val="24"/>
        </w:rPr>
      </w:pPr>
      <w:r>
        <w:rPr>
          <w:rFonts w:ascii="宋体" w:hAnsi="宋体" w:eastAsia="宋体" w:cs="宋体"/>
          <w:spacing w:val="-3"/>
          <w:sz w:val="24"/>
          <w:szCs w:val="24"/>
        </w:rPr>
        <w:t>焦炭筛分工序产生的颗粒物源强计算：根据《排放源统计调查产排污</w:t>
      </w:r>
      <w:r>
        <w:rPr>
          <w:rFonts w:ascii="宋体" w:hAnsi="宋体" w:eastAsia="宋体" w:cs="宋体"/>
          <w:spacing w:val="-4"/>
          <w:sz w:val="24"/>
          <w:szCs w:val="24"/>
        </w:rPr>
        <w:t>核算方法和系</w:t>
      </w:r>
      <w:r>
        <w:rPr>
          <w:rFonts w:ascii="宋体" w:hAnsi="宋体" w:eastAsia="宋体" w:cs="宋体"/>
          <w:sz w:val="24"/>
          <w:szCs w:val="24"/>
        </w:rPr>
        <w:t xml:space="preserve"> </w:t>
      </w:r>
      <w:r>
        <w:rPr>
          <w:rFonts w:ascii="宋体" w:hAnsi="宋体" w:eastAsia="宋体" w:cs="宋体"/>
          <w:spacing w:val="-1"/>
          <w:sz w:val="24"/>
          <w:szCs w:val="24"/>
        </w:rPr>
        <w:t>数手册》（环境部公告</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 xml:space="preserve">2021 </w:t>
      </w:r>
      <w:r>
        <w:rPr>
          <w:rFonts w:ascii="宋体" w:hAnsi="宋体" w:eastAsia="宋体" w:cs="宋体"/>
          <w:spacing w:val="-1"/>
          <w:sz w:val="24"/>
          <w:szCs w:val="24"/>
        </w:rPr>
        <w:t>年 第</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24</w:t>
      </w:r>
      <w:r>
        <w:rPr>
          <w:rFonts w:ascii="Times New Roman" w:hAnsi="Times New Roman" w:eastAsia="Times New Roman" w:cs="Times New Roman"/>
          <w:spacing w:val="15"/>
          <w:w w:val="101"/>
          <w:sz w:val="24"/>
          <w:szCs w:val="24"/>
        </w:rPr>
        <w:t xml:space="preserve"> </w:t>
      </w:r>
      <w:r>
        <w:rPr>
          <w:rFonts w:ascii="宋体" w:hAnsi="宋体" w:eastAsia="宋体" w:cs="宋体"/>
          <w:spacing w:val="-1"/>
          <w:sz w:val="24"/>
          <w:szCs w:val="24"/>
        </w:rPr>
        <w:t>号）</w:t>
      </w:r>
      <w:r>
        <w:rPr>
          <w:rFonts w:ascii="Times New Roman" w:hAnsi="Times New Roman" w:eastAsia="Times New Roman" w:cs="Times New Roman"/>
          <w:spacing w:val="-1"/>
          <w:sz w:val="24"/>
          <w:szCs w:val="24"/>
        </w:rPr>
        <w:t xml:space="preserve">252 </w:t>
      </w:r>
      <w:r>
        <w:rPr>
          <w:rFonts w:ascii="宋体" w:hAnsi="宋体" w:eastAsia="宋体" w:cs="宋体"/>
          <w:spacing w:val="-1"/>
          <w:sz w:val="24"/>
          <w:szCs w:val="24"/>
        </w:rPr>
        <w:t>煤炭加工行业</w:t>
      </w:r>
      <w:r>
        <w:rPr>
          <w:rFonts w:ascii="Times New Roman" w:hAnsi="Times New Roman" w:eastAsia="Times New Roman" w:cs="Times New Roman"/>
          <w:spacing w:val="-1"/>
          <w:sz w:val="24"/>
          <w:szCs w:val="24"/>
        </w:rPr>
        <w:t>—</w:t>
      </w:r>
      <w:r>
        <w:rPr>
          <w:rFonts w:ascii="宋体" w:hAnsi="宋体" w:eastAsia="宋体" w:cs="宋体"/>
          <w:spacing w:val="-1"/>
          <w:sz w:val="24"/>
          <w:szCs w:val="24"/>
        </w:rPr>
        <w:t>煤制品制造行业筛分环</w:t>
      </w:r>
      <w:r>
        <w:rPr>
          <w:rFonts w:ascii="宋体" w:hAnsi="宋体" w:eastAsia="宋体" w:cs="宋体"/>
          <w:sz w:val="24"/>
          <w:szCs w:val="24"/>
        </w:rPr>
        <w:t xml:space="preserve"> </w:t>
      </w:r>
      <w:r>
        <w:rPr>
          <w:rFonts w:ascii="宋体" w:hAnsi="宋体" w:eastAsia="宋体" w:cs="宋体"/>
          <w:spacing w:val="-1"/>
          <w:sz w:val="24"/>
          <w:szCs w:val="24"/>
        </w:rPr>
        <w:t>节，颗粒物产污系数为</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0.23kg/t-</w:t>
      </w:r>
      <w:r>
        <w:rPr>
          <w:rFonts w:ascii="宋体" w:hAnsi="宋体" w:eastAsia="宋体" w:cs="宋体"/>
          <w:spacing w:val="-2"/>
          <w:sz w:val="24"/>
          <w:szCs w:val="24"/>
        </w:rPr>
        <w:t>产品。本项目的筛分产品量约为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263017.83t</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，筛分过程</w:t>
      </w:r>
      <w:r>
        <w:rPr>
          <w:rFonts w:ascii="宋体" w:hAnsi="宋体" w:eastAsia="宋体" w:cs="宋体"/>
          <w:sz w:val="24"/>
          <w:szCs w:val="24"/>
        </w:rPr>
        <w:t xml:space="preserve"> </w:t>
      </w:r>
      <w:r>
        <w:rPr>
          <w:rFonts w:ascii="宋体" w:hAnsi="宋体" w:eastAsia="宋体" w:cs="宋体"/>
          <w:spacing w:val="-2"/>
          <w:sz w:val="24"/>
          <w:szCs w:val="24"/>
        </w:rPr>
        <w:t>中粉尘产生量为</w:t>
      </w:r>
      <w:r>
        <w:rPr>
          <w:rFonts w:ascii="宋体" w:hAnsi="宋体" w:eastAsia="宋体" w:cs="宋体"/>
          <w:spacing w:val="-38"/>
          <w:sz w:val="24"/>
          <w:szCs w:val="24"/>
        </w:rPr>
        <w:t xml:space="preserve"> </w:t>
      </w:r>
      <w:r>
        <w:rPr>
          <w:rFonts w:ascii="Times New Roman" w:hAnsi="Times New Roman" w:eastAsia="Times New Roman" w:cs="Times New Roman"/>
          <w:spacing w:val="-2"/>
          <w:sz w:val="24"/>
          <w:szCs w:val="24"/>
        </w:rPr>
        <w:t>60.49t/a</w:t>
      </w:r>
      <w:r>
        <w:rPr>
          <w:rFonts w:ascii="宋体" w:hAnsi="宋体" w:eastAsia="宋体" w:cs="宋体"/>
          <w:spacing w:val="-2"/>
          <w:sz w:val="24"/>
          <w:szCs w:val="24"/>
        </w:rPr>
        <w:t>。</w:t>
      </w:r>
    </w:p>
    <w:p w14:paraId="21F4DF76">
      <w:pPr>
        <w:spacing w:before="46" w:line="354" w:lineRule="auto"/>
        <w:ind w:left="117" w:right="107" w:firstLine="479"/>
        <w:jc w:val="both"/>
        <w:rPr>
          <w:rFonts w:ascii="宋体" w:hAnsi="宋体" w:eastAsia="宋体" w:cs="宋体"/>
          <w:sz w:val="24"/>
          <w:szCs w:val="24"/>
        </w:rPr>
      </w:pPr>
      <w:r>
        <w:rPr>
          <w:rFonts w:ascii="宋体" w:hAnsi="宋体" w:eastAsia="宋体" w:cs="宋体"/>
          <w:spacing w:val="-1"/>
          <w:sz w:val="24"/>
          <w:szCs w:val="24"/>
        </w:rPr>
        <w:t>焦炭出料工序产生的颗粒物源强计算：根据《逸散性工业粉尘控制技术》表</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w:t>
      </w:r>
      <w:r>
        <w:rPr>
          <w:rFonts w:ascii="Times New Roman" w:hAnsi="Times New Roman" w:eastAsia="Times New Roman" w:cs="Times New Roman"/>
          <w:spacing w:val="-2"/>
          <w:sz w:val="24"/>
          <w:szCs w:val="24"/>
        </w:rPr>
        <w:t>9-2</w:t>
      </w:r>
      <w:r>
        <w:rPr>
          <w:rFonts w:ascii="Times New Roman" w:hAnsi="Times New Roman" w:eastAsia="Times New Roman" w:cs="Times New Roman"/>
          <w:sz w:val="24"/>
          <w:szCs w:val="24"/>
        </w:rPr>
        <w:t xml:space="preserve">   </w:t>
      </w:r>
      <w:r>
        <w:rPr>
          <w:rFonts w:ascii="宋体" w:hAnsi="宋体" w:eastAsia="宋体" w:cs="宋体"/>
          <w:spacing w:val="-4"/>
          <w:sz w:val="24"/>
          <w:szCs w:val="24"/>
        </w:rPr>
        <w:t>煤加工过程逸散尘的排放因子（第</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308</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页）中排放因子为</w:t>
      </w:r>
      <w:r>
        <w:rPr>
          <w:rFonts w:ascii="宋体" w:hAnsi="宋体" w:eastAsia="宋体" w:cs="宋体"/>
          <w:spacing w:val="-51"/>
          <w:sz w:val="24"/>
          <w:szCs w:val="24"/>
        </w:rPr>
        <w:t xml:space="preserve"> </w:t>
      </w:r>
      <w:r>
        <w:rPr>
          <w:rFonts w:ascii="Times New Roman" w:hAnsi="Times New Roman" w:eastAsia="Times New Roman" w:cs="Times New Roman"/>
          <w:spacing w:val="-4"/>
          <w:sz w:val="24"/>
          <w:szCs w:val="24"/>
        </w:rPr>
        <w:t>0.</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4"/>
          <w:sz w:val="24"/>
          <w:szCs w:val="24"/>
        </w:rPr>
        <w:t>1kg/t</w:t>
      </w:r>
      <w:r>
        <w:rPr>
          <w:rFonts w:ascii="宋体" w:hAnsi="宋体" w:eastAsia="宋体" w:cs="宋体"/>
          <w:spacing w:val="-4"/>
          <w:sz w:val="24"/>
          <w:szCs w:val="24"/>
        </w:rPr>
        <w:t>（转移或运输量</w:t>
      </w:r>
      <w:r>
        <w:rPr>
          <w:rFonts w:ascii="宋体" w:hAnsi="宋体" w:eastAsia="宋体" w:cs="宋体"/>
          <w:spacing w:val="-13"/>
          <w:sz w:val="24"/>
          <w:szCs w:val="24"/>
        </w:rPr>
        <w:t>），</w:t>
      </w:r>
      <w:r>
        <w:rPr>
          <w:rFonts w:ascii="宋体" w:hAnsi="宋体" w:eastAsia="宋体" w:cs="宋体"/>
          <w:spacing w:val="-4"/>
          <w:sz w:val="24"/>
          <w:szCs w:val="24"/>
        </w:rPr>
        <w:t>则</w:t>
      </w:r>
      <w:r>
        <w:rPr>
          <w:rFonts w:ascii="宋体" w:hAnsi="宋体" w:eastAsia="宋体" w:cs="宋体"/>
          <w:sz w:val="24"/>
          <w:szCs w:val="24"/>
        </w:rPr>
        <w:t xml:space="preserve"> </w:t>
      </w:r>
      <w:r>
        <w:rPr>
          <w:rFonts w:ascii="宋体" w:hAnsi="宋体" w:eastAsia="宋体" w:cs="宋体"/>
          <w:spacing w:val="-1"/>
          <w:sz w:val="24"/>
          <w:szCs w:val="24"/>
        </w:rPr>
        <w:t>出料工序颗粒物产生量为</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26.30t/a</w:t>
      </w:r>
      <w:r>
        <w:rPr>
          <w:rFonts w:ascii="宋体" w:hAnsi="宋体" w:eastAsia="宋体" w:cs="宋体"/>
          <w:spacing w:val="-1"/>
          <w:sz w:val="24"/>
          <w:szCs w:val="24"/>
        </w:rPr>
        <w:t>。</w:t>
      </w:r>
    </w:p>
    <w:p w14:paraId="3D5A1271">
      <w:pPr>
        <w:spacing w:before="49" w:line="212" w:lineRule="auto"/>
        <w:ind w:left="599"/>
        <w:rPr>
          <w:rFonts w:ascii="宋体" w:hAnsi="宋体" w:eastAsia="宋体" w:cs="宋体"/>
          <w:sz w:val="24"/>
          <w:szCs w:val="24"/>
        </w:rPr>
      </w:pPr>
      <w:r>
        <w:rPr>
          <w:rFonts w:ascii="宋体" w:hAnsi="宋体" w:eastAsia="宋体" w:cs="宋体"/>
          <w:spacing w:val="-2"/>
          <w:sz w:val="24"/>
          <w:szCs w:val="24"/>
        </w:rPr>
        <w:t>综上，焦炭筛分出料工序颗粒物的总产生量为</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86.79t/a</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，产生速率为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10.85kg/h</w:t>
      </w:r>
      <w:r>
        <w:rPr>
          <w:rFonts w:ascii="宋体" w:hAnsi="宋体" w:eastAsia="宋体" w:cs="宋体"/>
          <w:spacing w:val="-2"/>
          <w:sz w:val="24"/>
          <w:szCs w:val="24"/>
        </w:rPr>
        <w:t>。</w:t>
      </w:r>
    </w:p>
    <w:p w14:paraId="51BF2E8D">
      <w:pPr>
        <w:spacing w:before="216" w:line="228" w:lineRule="auto"/>
        <w:ind w:left="2111"/>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7"/>
          <w:sz w:val="20"/>
          <w:szCs w:val="20"/>
        </w:rPr>
        <w:t xml:space="preserve"> </w:t>
      </w:r>
      <w:r>
        <w:rPr>
          <w:rFonts w:ascii="Times New Roman" w:hAnsi="Times New Roman" w:eastAsia="Times New Roman" w:cs="Times New Roman"/>
          <w:b/>
          <w:bCs/>
          <w:spacing w:val="5"/>
          <w:sz w:val="20"/>
          <w:szCs w:val="20"/>
        </w:rPr>
        <w:t xml:space="preserve">2.3-13            </w:t>
      </w:r>
      <w:r>
        <w:rPr>
          <w:rFonts w:ascii="宋体" w:hAnsi="宋体" w:eastAsia="宋体" w:cs="宋体"/>
          <w:b/>
          <w:bCs/>
          <w:spacing w:val="5"/>
          <w:sz w:val="20"/>
          <w:szCs w:val="20"/>
        </w:rPr>
        <w:t>项目焦炭筛分出料粉尘产排情况汇总表</w:t>
      </w:r>
    </w:p>
    <w:p w14:paraId="67E8AB9E">
      <w:pPr>
        <w:spacing w:line="98" w:lineRule="exact"/>
      </w:pPr>
    </w:p>
    <w:tbl>
      <w:tblPr>
        <w:tblStyle w:val="5"/>
        <w:tblW w:w="923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55"/>
        <w:gridCol w:w="789"/>
        <w:gridCol w:w="1029"/>
        <w:gridCol w:w="861"/>
        <w:gridCol w:w="861"/>
        <w:gridCol w:w="1218"/>
        <w:gridCol w:w="866"/>
        <w:gridCol w:w="1029"/>
        <w:gridCol w:w="861"/>
        <w:gridCol w:w="861"/>
      </w:tblGrid>
      <w:tr w14:paraId="658812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644" w:type="dxa"/>
            <w:gridSpan w:val="2"/>
            <w:vMerge w:val="restart"/>
            <w:tcBorders>
              <w:top w:val="single" w:color="000000" w:sz="10" w:space="0"/>
              <w:left w:val="nil"/>
              <w:bottom w:val="nil"/>
            </w:tcBorders>
            <w:vAlign w:val="top"/>
          </w:tcPr>
          <w:p w14:paraId="515BEF98">
            <w:pPr>
              <w:spacing w:line="301" w:lineRule="auto"/>
              <w:rPr>
                <w:rFonts w:ascii="Arial"/>
                <w:sz w:val="21"/>
              </w:rPr>
            </w:pPr>
          </w:p>
          <w:p w14:paraId="2B4365BA">
            <w:pPr>
              <w:pStyle w:val="6"/>
              <w:spacing w:before="65" w:line="228" w:lineRule="auto"/>
              <w:ind w:left="517"/>
              <w:rPr>
                <w:sz w:val="20"/>
                <w:szCs w:val="20"/>
              </w:rPr>
            </w:pPr>
            <w:r>
              <w:rPr>
                <w:spacing w:val="6"/>
                <w:sz w:val="20"/>
                <w:szCs w:val="20"/>
              </w:rPr>
              <w:t>污染物</w:t>
            </w:r>
          </w:p>
        </w:tc>
        <w:tc>
          <w:tcPr>
            <w:tcW w:w="1890" w:type="dxa"/>
            <w:gridSpan w:val="2"/>
            <w:tcBorders>
              <w:top w:val="single" w:color="000000" w:sz="10" w:space="0"/>
            </w:tcBorders>
            <w:vAlign w:val="top"/>
          </w:tcPr>
          <w:p w14:paraId="505B79A1">
            <w:pPr>
              <w:pStyle w:val="6"/>
              <w:spacing w:before="72" w:line="228" w:lineRule="auto"/>
              <w:ind w:left="530"/>
              <w:rPr>
                <w:sz w:val="20"/>
                <w:szCs w:val="20"/>
              </w:rPr>
            </w:pPr>
            <w:r>
              <w:rPr>
                <w:spacing w:val="7"/>
                <w:sz w:val="20"/>
                <w:szCs w:val="20"/>
              </w:rPr>
              <w:t>产生情况</w:t>
            </w:r>
          </w:p>
        </w:tc>
        <w:tc>
          <w:tcPr>
            <w:tcW w:w="2945" w:type="dxa"/>
            <w:gridSpan w:val="3"/>
            <w:tcBorders>
              <w:top w:val="single" w:color="000000" w:sz="10" w:space="0"/>
            </w:tcBorders>
            <w:vAlign w:val="top"/>
          </w:tcPr>
          <w:p w14:paraId="09F5543D">
            <w:pPr>
              <w:pStyle w:val="6"/>
              <w:spacing w:before="72" w:line="228" w:lineRule="auto"/>
              <w:ind w:left="1066"/>
              <w:rPr>
                <w:sz w:val="20"/>
                <w:szCs w:val="20"/>
              </w:rPr>
            </w:pPr>
            <w:r>
              <w:rPr>
                <w:spacing w:val="5"/>
                <w:sz w:val="20"/>
                <w:szCs w:val="20"/>
              </w:rPr>
              <w:t>收集处置</w:t>
            </w:r>
          </w:p>
        </w:tc>
        <w:tc>
          <w:tcPr>
            <w:tcW w:w="1890" w:type="dxa"/>
            <w:gridSpan w:val="2"/>
            <w:tcBorders>
              <w:top w:val="single" w:color="000000" w:sz="10" w:space="0"/>
            </w:tcBorders>
            <w:vAlign w:val="top"/>
          </w:tcPr>
          <w:p w14:paraId="70A720B8">
            <w:pPr>
              <w:pStyle w:val="6"/>
              <w:spacing w:before="72" w:line="228" w:lineRule="auto"/>
              <w:ind w:left="427"/>
              <w:rPr>
                <w:sz w:val="20"/>
                <w:szCs w:val="20"/>
              </w:rPr>
            </w:pPr>
            <w:r>
              <w:rPr>
                <w:spacing w:val="7"/>
                <w:sz w:val="20"/>
                <w:szCs w:val="20"/>
              </w:rPr>
              <w:t>无组织排放</w:t>
            </w:r>
          </w:p>
        </w:tc>
        <w:tc>
          <w:tcPr>
            <w:tcW w:w="861" w:type="dxa"/>
            <w:vMerge w:val="restart"/>
            <w:tcBorders>
              <w:top w:val="single" w:color="000000" w:sz="10" w:space="0"/>
              <w:bottom w:val="nil"/>
              <w:right w:val="nil"/>
            </w:tcBorders>
            <w:vAlign w:val="top"/>
          </w:tcPr>
          <w:p w14:paraId="4BE52130">
            <w:pPr>
              <w:pStyle w:val="6"/>
              <w:spacing w:before="109" w:line="239" w:lineRule="auto"/>
              <w:ind w:left="131" w:right="115" w:hanging="8"/>
              <w:rPr>
                <w:sz w:val="20"/>
                <w:szCs w:val="20"/>
              </w:rPr>
            </w:pPr>
            <w:r>
              <w:rPr>
                <w:spacing w:val="6"/>
                <w:sz w:val="20"/>
                <w:szCs w:val="20"/>
              </w:rPr>
              <w:t>车间内</w:t>
            </w:r>
            <w:r>
              <w:rPr>
                <w:sz w:val="20"/>
                <w:szCs w:val="20"/>
              </w:rPr>
              <w:t xml:space="preserve"> </w:t>
            </w:r>
            <w:r>
              <w:rPr>
                <w:spacing w:val="18"/>
                <w:w w:val="117"/>
                <w:sz w:val="20"/>
                <w:szCs w:val="20"/>
              </w:rPr>
              <w:t>沉降</w:t>
            </w:r>
            <w:r>
              <w:rPr>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r>
      <w:tr w14:paraId="11C539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3" w:hRule="atLeast"/>
        </w:trPr>
        <w:tc>
          <w:tcPr>
            <w:tcW w:w="1644" w:type="dxa"/>
            <w:gridSpan w:val="2"/>
            <w:vMerge w:val="continue"/>
            <w:tcBorders>
              <w:top w:val="nil"/>
              <w:left w:val="nil"/>
            </w:tcBorders>
            <w:vAlign w:val="top"/>
          </w:tcPr>
          <w:p w14:paraId="36770F17">
            <w:pPr>
              <w:rPr>
                <w:rFonts w:ascii="Arial"/>
                <w:sz w:val="21"/>
              </w:rPr>
            </w:pPr>
          </w:p>
        </w:tc>
        <w:tc>
          <w:tcPr>
            <w:tcW w:w="1029" w:type="dxa"/>
            <w:vAlign w:val="top"/>
          </w:tcPr>
          <w:p w14:paraId="78CA188E">
            <w:pPr>
              <w:pStyle w:val="6"/>
              <w:spacing w:before="64" w:line="230" w:lineRule="auto"/>
              <w:ind w:left="134" w:right="135" w:firstLine="173"/>
              <w:rPr>
                <w:sz w:val="20"/>
                <w:szCs w:val="20"/>
              </w:rPr>
            </w:pPr>
            <w:r>
              <w:rPr>
                <w:spacing w:val="5"/>
                <w:sz w:val="20"/>
                <w:szCs w:val="20"/>
              </w:rPr>
              <w:t>速率</w:t>
            </w:r>
            <w:r>
              <w:rPr>
                <w:sz w:val="20"/>
                <w:szCs w:val="20"/>
              </w:rPr>
              <w:t xml:space="preserve">  </w:t>
            </w:r>
            <w:r>
              <w:rPr>
                <w:spacing w:val="-1"/>
                <w:sz w:val="20"/>
                <w:szCs w:val="20"/>
              </w:rPr>
              <w:t>（</w:t>
            </w:r>
            <w:r>
              <w:rPr>
                <w:rFonts w:ascii="Times New Roman" w:hAnsi="Times New Roman" w:eastAsia="Times New Roman" w:cs="Times New Roman"/>
                <w:spacing w:val="-1"/>
                <w:sz w:val="20"/>
                <w:szCs w:val="20"/>
              </w:rPr>
              <w:t>kg/h</w:t>
            </w:r>
            <w:r>
              <w:rPr>
                <w:spacing w:val="-1"/>
                <w:sz w:val="20"/>
                <w:szCs w:val="20"/>
              </w:rPr>
              <w:t>）</w:t>
            </w:r>
          </w:p>
        </w:tc>
        <w:tc>
          <w:tcPr>
            <w:tcW w:w="861" w:type="dxa"/>
            <w:vAlign w:val="top"/>
          </w:tcPr>
          <w:p w14:paraId="6CD53FE3">
            <w:pPr>
              <w:pStyle w:val="6"/>
              <w:spacing w:before="64" w:line="230" w:lineRule="auto"/>
              <w:ind w:left="130" w:right="114" w:hanging="10"/>
              <w:rPr>
                <w:sz w:val="20"/>
                <w:szCs w:val="20"/>
              </w:rPr>
            </w:pPr>
            <w:r>
              <w:rPr>
                <w:spacing w:val="6"/>
                <w:sz w:val="20"/>
                <w:szCs w:val="20"/>
              </w:rPr>
              <w:t>产生量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861" w:type="dxa"/>
            <w:vAlign w:val="top"/>
          </w:tcPr>
          <w:p w14:paraId="02A9E9B5">
            <w:pPr>
              <w:pStyle w:val="6"/>
              <w:spacing w:before="64" w:line="230" w:lineRule="auto"/>
              <w:ind w:left="130" w:right="114" w:hanging="6"/>
              <w:rPr>
                <w:sz w:val="20"/>
                <w:szCs w:val="20"/>
              </w:rPr>
            </w:pPr>
            <w:r>
              <w:rPr>
                <w:spacing w:val="5"/>
                <w:sz w:val="20"/>
                <w:szCs w:val="20"/>
              </w:rPr>
              <w:t>去除量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1218" w:type="dxa"/>
            <w:vAlign w:val="top"/>
          </w:tcPr>
          <w:p w14:paraId="5F76E521">
            <w:pPr>
              <w:pStyle w:val="6"/>
              <w:spacing w:before="64" w:line="230" w:lineRule="auto"/>
              <w:ind w:left="136" w:right="135" w:firstLine="57"/>
              <w:rPr>
                <w:sz w:val="20"/>
                <w:szCs w:val="20"/>
              </w:rPr>
            </w:pPr>
            <w:r>
              <w:rPr>
                <w:spacing w:val="7"/>
                <w:sz w:val="20"/>
                <w:szCs w:val="20"/>
              </w:rPr>
              <w:t>排放浓度</w:t>
            </w:r>
            <w:r>
              <w:rPr>
                <w:sz w:val="20"/>
                <w:szCs w:val="20"/>
              </w:rPr>
              <w:t xml:space="preserve"> </w:t>
            </w:r>
            <w:r>
              <w:rPr>
                <w:spacing w:val="1"/>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1"/>
                <w:sz w:val="20"/>
                <w:szCs w:val="20"/>
              </w:rPr>
              <w:t>/m</w:t>
            </w:r>
            <w:r>
              <w:rPr>
                <w:rFonts w:ascii="Times New Roman" w:hAnsi="Times New Roman" w:eastAsia="Times New Roman" w:cs="Times New Roman"/>
                <w:spacing w:val="1"/>
                <w:position w:val="6"/>
                <w:sz w:val="13"/>
                <w:szCs w:val="13"/>
              </w:rPr>
              <w:t>3</w:t>
            </w:r>
            <w:r>
              <w:rPr>
                <w:spacing w:val="1"/>
                <w:sz w:val="20"/>
                <w:szCs w:val="20"/>
              </w:rPr>
              <w:t>）</w:t>
            </w:r>
          </w:p>
        </w:tc>
        <w:tc>
          <w:tcPr>
            <w:tcW w:w="866" w:type="dxa"/>
            <w:vAlign w:val="top"/>
          </w:tcPr>
          <w:p w14:paraId="78768CF3">
            <w:pPr>
              <w:pStyle w:val="6"/>
              <w:spacing w:before="64" w:line="230" w:lineRule="auto"/>
              <w:ind w:left="135" w:right="114" w:hanging="10"/>
              <w:rPr>
                <w:sz w:val="20"/>
                <w:szCs w:val="20"/>
              </w:rPr>
            </w:pPr>
            <w:r>
              <w:rPr>
                <w:spacing w:val="6"/>
                <w:sz w:val="20"/>
                <w:szCs w:val="20"/>
              </w:rPr>
              <w:t>排放量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1029" w:type="dxa"/>
            <w:vAlign w:val="top"/>
          </w:tcPr>
          <w:p w14:paraId="5B338CC6">
            <w:pPr>
              <w:pStyle w:val="6"/>
              <w:spacing w:before="64" w:line="230" w:lineRule="auto"/>
              <w:ind w:left="135" w:right="134" w:firstLine="173"/>
              <w:rPr>
                <w:sz w:val="20"/>
                <w:szCs w:val="20"/>
              </w:rPr>
            </w:pPr>
            <w:r>
              <w:rPr>
                <w:spacing w:val="5"/>
                <w:sz w:val="20"/>
                <w:szCs w:val="20"/>
              </w:rPr>
              <w:t>速率</w:t>
            </w:r>
            <w:r>
              <w:rPr>
                <w:sz w:val="20"/>
                <w:szCs w:val="20"/>
              </w:rPr>
              <w:t xml:space="preserve">  </w:t>
            </w:r>
            <w:r>
              <w:rPr>
                <w:spacing w:val="-1"/>
                <w:sz w:val="20"/>
                <w:szCs w:val="20"/>
              </w:rPr>
              <w:t>（</w:t>
            </w:r>
            <w:r>
              <w:rPr>
                <w:rFonts w:ascii="Times New Roman" w:hAnsi="Times New Roman" w:eastAsia="Times New Roman" w:cs="Times New Roman"/>
                <w:spacing w:val="-1"/>
                <w:sz w:val="20"/>
                <w:szCs w:val="20"/>
              </w:rPr>
              <w:t>kg/h</w:t>
            </w:r>
            <w:r>
              <w:rPr>
                <w:spacing w:val="-1"/>
                <w:sz w:val="20"/>
                <w:szCs w:val="20"/>
              </w:rPr>
              <w:t>）</w:t>
            </w:r>
          </w:p>
        </w:tc>
        <w:tc>
          <w:tcPr>
            <w:tcW w:w="861" w:type="dxa"/>
            <w:vAlign w:val="top"/>
          </w:tcPr>
          <w:p w14:paraId="4296D8C6">
            <w:pPr>
              <w:pStyle w:val="6"/>
              <w:spacing w:before="64" w:line="230" w:lineRule="auto"/>
              <w:ind w:left="131" w:right="113" w:hanging="10"/>
              <w:rPr>
                <w:sz w:val="20"/>
                <w:szCs w:val="20"/>
              </w:rPr>
            </w:pPr>
            <w:r>
              <w:rPr>
                <w:spacing w:val="6"/>
                <w:sz w:val="20"/>
                <w:szCs w:val="20"/>
              </w:rPr>
              <w:t>排放量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861" w:type="dxa"/>
            <w:vMerge w:val="continue"/>
            <w:tcBorders>
              <w:top w:val="nil"/>
              <w:right w:val="nil"/>
            </w:tcBorders>
            <w:vAlign w:val="top"/>
          </w:tcPr>
          <w:p w14:paraId="2B2CE429">
            <w:pPr>
              <w:rPr>
                <w:rFonts w:ascii="Arial"/>
                <w:sz w:val="21"/>
              </w:rPr>
            </w:pPr>
          </w:p>
        </w:tc>
      </w:tr>
      <w:tr w14:paraId="554270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855" w:type="dxa"/>
            <w:tcBorders>
              <w:left w:val="nil"/>
              <w:bottom w:val="single" w:color="000000" w:sz="10" w:space="0"/>
            </w:tcBorders>
            <w:vAlign w:val="top"/>
          </w:tcPr>
          <w:p w14:paraId="354673AF">
            <w:pPr>
              <w:pStyle w:val="6"/>
              <w:spacing w:before="69" w:line="234" w:lineRule="auto"/>
              <w:ind w:left="121" w:right="111" w:hanging="2"/>
              <w:rPr>
                <w:sz w:val="20"/>
                <w:szCs w:val="20"/>
              </w:rPr>
            </w:pPr>
            <w:r>
              <w:rPr>
                <w:spacing w:val="6"/>
                <w:sz w:val="20"/>
                <w:szCs w:val="20"/>
              </w:rPr>
              <w:t>焦炭筛</w:t>
            </w:r>
            <w:r>
              <w:rPr>
                <w:spacing w:val="1"/>
                <w:sz w:val="20"/>
                <w:szCs w:val="20"/>
              </w:rPr>
              <w:t xml:space="preserve"> </w:t>
            </w:r>
            <w:r>
              <w:rPr>
                <w:spacing w:val="6"/>
                <w:sz w:val="20"/>
                <w:szCs w:val="20"/>
              </w:rPr>
              <w:t>分出料</w:t>
            </w:r>
          </w:p>
        </w:tc>
        <w:tc>
          <w:tcPr>
            <w:tcW w:w="789" w:type="dxa"/>
            <w:tcBorders>
              <w:bottom w:val="single" w:color="000000" w:sz="10" w:space="0"/>
            </w:tcBorders>
            <w:vAlign w:val="top"/>
          </w:tcPr>
          <w:p w14:paraId="4DFC585F">
            <w:pPr>
              <w:pStyle w:val="6"/>
              <w:spacing w:before="69" w:line="234" w:lineRule="auto"/>
              <w:ind w:left="293" w:right="185" w:hanging="106"/>
              <w:rPr>
                <w:sz w:val="20"/>
                <w:szCs w:val="20"/>
              </w:rPr>
            </w:pPr>
            <w:r>
              <w:rPr>
                <w:spacing w:val="5"/>
                <w:sz w:val="20"/>
                <w:szCs w:val="20"/>
              </w:rPr>
              <w:t>颗粒</w:t>
            </w:r>
            <w:r>
              <w:rPr>
                <w:sz w:val="20"/>
                <w:szCs w:val="20"/>
              </w:rPr>
              <w:t xml:space="preserve"> 物</w:t>
            </w:r>
          </w:p>
        </w:tc>
        <w:tc>
          <w:tcPr>
            <w:tcW w:w="1029" w:type="dxa"/>
            <w:tcBorders>
              <w:bottom w:val="single" w:color="000000" w:sz="10" w:space="0"/>
            </w:tcBorders>
            <w:vAlign w:val="top"/>
          </w:tcPr>
          <w:p w14:paraId="151FDBA2">
            <w:pPr>
              <w:spacing w:before="234"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10.85</w:t>
            </w:r>
          </w:p>
        </w:tc>
        <w:tc>
          <w:tcPr>
            <w:tcW w:w="861" w:type="dxa"/>
            <w:tcBorders>
              <w:bottom w:val="single" w:color="000000" w:sz="10" w:space="0"/>
            </w:tcBorders>
            <w:vAlign w:val="top"/>
          </w:tcPr>
          <w:p w14:paraId="621F44A5">
            <w:pPr>
              <w:spacing w:before="234" w:line="195" w:lineRule="auto"/>
              <w:ind w:left="20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86.79</w:t>
            </w:r>
          </w:p>
        </w:tc>
        <w:tc>
          <w:tcPr>
            <w:tcW w:w="861" w:type="dxa"/>
            <w:tcBorders>
              <w:bottom w:val="single" w:color="000000" w:sz="10" w:space="0"/>
            </w:tcBorders>
            <w:vAlign w:val="top"/>
          </w:tcPr>
          <w:p w14:paraId="2CFB0420">
            <w:pPr>
              <w:spacing w:before="234" w:line="195" w:lineRule="auto"/>
              <w:ind w:left="20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81.63</w:t>
            </w:r>
          </w:p>
        </w:tc>
        <w:tc>
          <w:tcPr>
            <w:tcW w:w="1218" w:type="dxa"/>
            <w:tcBorders>
              <w:bottom w:val="single" w:color="000000" w:sz="10" w:space="0"/>
            </w:tcBorders>
            <w:vAlign w:val="top"/>
          </w:tcPr>
          <w:p w14:paraId="0F9F2135">
            <w:pPr>
              <w:spacing w:before="234" w:line="195" w:lineRule="auto"/>
              <w:ind w:left="43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6.83</w:t>
            </w:r>
          </w:p>
        </w:tc>
        <w:tc>
          <w:tcPr>
            <w:tcW w:w="866" w:type="dxa"/>
            <w:tcBorders>
              <w:bottom w:val="single" w:color="000000" w:sz="10" w:space="0"/>
            </w:tcBorders>
            <w:vAlign w:val="top"/>
          </w:tcPr>
          <w:p w14:paraId="332C562D">
            <w:pPr>
              <w:spacing w:before="234" w:line="195" w:lineRule="auto"/>
              <w:ind w:left="25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0.82</w:t>
            </w:r>
          </w:p>
        </w:tc>
        <w:tc>
          <w:tcPr>
            <w:tcW w:w="1029" w:type="dxa"/>
            <w:tcBorders>
              <w:bottom w:val="single" w:color="000000" w:sz="10" w:space="0"/>
            </w:tcBorders>
            <w:vAlign w:val="top"/>
          </w:tcPr>
          <w:p w14:paraId="0B1C4B13">
            <w:pPr>
              <w:spacing w:before="234"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0.</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11</w:t>
            </w:r>
          </w:p>
        </w:tc>
        <w:tc>
          <w:tcPr>
            <w:tcW w:w="861" w:type="dxa"/>
            <w:tcBorders>
              <w:bottom w:val="single" w:color="000000" w:sz="10" w:space="0"/>
            </w:tcBorders>
            <w:vAlign w:val="top"/>
          </w:tcPr>
          <w:p w14:paraId="7ED42FBA">
            <w:pPr>
              <w:spacing w:before="234"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0.87</w:t>
            </w:r>
          </w:p>
        </w:tc>
        <w:tc>
          <w:tcPr>
            <w:tcW w:w="861" w:type="dxa"/>
            <w:tcBorders>
              <w:bottom w:val="single" w:color="000000" w:sz="10" w:space="0"/>
              <w:right w:val="nil"/>
            </w:tcBorders>
            <w:vAlign w:val="top"/>
          </w:tcPr>
          <w:p w14:paraId="29031175">
            <w:pPr>
              <w:spacing w:before="234"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3.47</w:t>
            </w:r>
          </w:p>
        </w:tc>
      </w:tr>
    </w:tbl>
    <w:p w14:paraId="12CF71E8">
      <w:pPr>
        <w:spacing w:before="118" w:line="219" w:lineRule="auto"/>
        <w:ind w:left="607"/>
        <w:rPr>
          <w:rFonts w:ascii="Times New Roman" w:hAnsi="Times New Roman" w:eastAsia="Times New Roman" w:cs="Times New Roman"/>
          <w:sz w:val="15"/>
          <w:szCs w:val="15"/>
        </w:rPr>
      </w:pPr>
      <w:r>
        <w:rPr>
          <w:rFonts w:ascii="宋体" w:hAnsi="宋体" w:eastAsia="宋体" w:cs="宋体"/>
          <w:b/>
          <w:bCs/>
          <w:spacing w:val="-3"/>
          <w:sz w:val="24"/>
          <w:szCs w:val="24"/>
        </w:rPr>
        <w:t>（</w:t>
      </w:r>
      <w:r>
        <w:rPr>
          <w:rFonts w:ascii="Times New Roman" w:hAnsi="Times New Roman" w:eastAsia="Times New Roman" w:cs="Times New Roman"/>
          <w:b/>
          <w:bCs/>
          <w:spacing w:val="-3"/>
          <w:sz w:val="24"/>
          <w:szCs w:val="24"/>
        </w:rPr>
        <w:t>2</w:t>
      </w:r>
      <w:r>
        <w:rPr>
          <w:rFonts w:ascii="宋体" w:hAnsi="宋体" w:eastAsia="宋体" w:cs="宋体"/>
          <w:b/>
          <w:bCs/>
          <w:spacing w:val="-3"/>
          <w:sz w:val="24"/>
          <w:szCs w:val="24"/>
        </w:rPr>
        <w:t>）锰矿石烘干生产车间的烘干及筛分工序废气</w:t>
      </w:r>
      <w:r>
        <w:rPr>
          <w:rFonts w:ascii="宋体" w:hAnsi="宋体" w:eastAsia="宋体" w:cs="宋体"/>
          <w:spacing w:val="-38"/>
          <w:sz w:val="24"/>
          <w:szCs w:val="24"/>
        </w:rPr>
        <w:t xml:space="preserve"> </w:t>
      </w:r>
      <w:r>
        <w:rPr>
          <w:rFonts w:ascii="Times New Roman" w:hAnsi="Times New Roman" w:eastAsia="Times New Roman" w:cs="Times New Roman"/>
          <w:b/>
          <w:bCs/>
          <w:spacing w:val="-3"/>
          <w:sz w:val="24"/>
          <w:szCs w:val="24"/>
        </w:rPr>
        <w:t>G</w:t>
      </w:r>
      <w:r>
        <w:rPr>
          <w:rFonts w:ascii="Times New Roman" w:hAnsi="Times New Roman" w:eastAsia="Times New Roman" w:cs="Times New Roman"/>
          <w:b/>
          <w:bCs/>
          <w:spacing w:val="-3"/>
          <w:sz w:val="15"/>
          <w:szCs w:val="15"/>
        </w:rPr>
        <w:t>1-3</w:t>
      </w:r>
      <w:r>
        <w:rPr>
          <w:rFonts w:ascii="Times New Roman" w:hAnsi="Times New Roman" w:eastAsia="Times New Roman" w:cs="Times New Roman"/>
          <w:b/>
          <w:bCs/>
          <w:spacing w:val="-12"/>
          <w:sz w:val="15"/>
          <w:szCs w:val="15"/>
        </w:rPr>
        <w:t xml:space="preserve"> </w:t>
      </w:r>
      <w:r>
        <w:rPr>
          <w:rFonts w:ascii="宋体" w:hAnsi="宋体" w:eastAsia="宋体" w:cs="宋体"/>
          <w:b/>
          <w:bCs/>
          <w:spacing w:val="-3"/>
          <w:sz w:val="24"/>
          <w:szCs w:val="24"/>
        </w:rPr>
        <w:t>、出料工序粉尘</w:t>
      </w:r>
      <w:r>
        <w:rPr>
          <w:rFonts w:ascii="宋体" w:hAnsi="宋体" w:eastAsia="宋体" w:cs="宋体"/>
          <w:spacing w:val="-48"/>
          <w:sz w:val="24"/>
          <w:szCs w:val="24"/>
        </w:rPr>
        <w:t xml:space="preserve"> </w:t>
      </w:r>
      <w:r>
        <w:rPr>
          <w:rFonts w:ascii="Times New Roman" w:hAnsi="Times New Roman" w:eastAsia="Times New Roman" w:cs="Times New Roman"/>
          <w:b/>
          <w:bCs/>
          <w:spacing w:val="-3"/>
          <w:sz w:val="24"/>
          <w:szCs w:val="24"/>
        </w:rPr>
        <w:t>G</w:t>
      </w:r>
      <w:r>
        <w:rPr>
          <w:rFonts w:ascii="Times New Roman" w:hAnsi="Times New Roman" w:eastAsia="Times New Roman" w:cs="Times New Roman"/>
          <w:b/>
          <w:bCs/>
          <w:spacing w:val="-3"/>
          <w:sz w:val="15"/>
          <w:szCs w:val="15"/>
        </w:rPr>
        <w:t>1-4</w:t>
      </w:r>
    </w:p>
    <w:p w14:paraId="0E2E919E">
      <w:pPr>
        <w:spacing w:line="219" w:lineRule="auto"/>
        <w:rPr>
          <w:rFonts w:ascii="Times New Roman" w:hAnsi="Times New Roman" w:eastAsia="Times New Roman" w:cs="Times New Roman"/>
          <w:sz w:val="15"/>
          <w:szCs w:val="15"/>
        </w:rPr>
        <w:sectPr>
          <w:headerReference r:id="rId165" w:type="default"/>
          <w:footerReference r:id="rId166" w:type="default"/>
          <w:pgSz w:w="11850" w:h="16781"/>
          <w:pgMar w:top="1190" w:right="1309" w:bottom="1013" w:left="1309" w:header="882" w:footer="850" w:gutter="0"/>
          <w:cols w:space="720" w:num="1"/>
        </w:sectPr>
      </w:pPr>
    </w:p>
    <w:p w14:paraId="6EC30D1B">
      <w:pPr>
        <w:pStyle w:val="2"/>
        <w:spacing w:line="263" w:lineRule="auto"/>
      </w:pPr>
      <w:r>
        <w:pict>
          <v:shape id="_x0000_s1202" o:spid="_x0000_s1202" style="position:absolute;left:0pt;margin-left:5.25pt;margin-top:0.65pt;height:0.75pt;width:450.75pt;z-index:251860992;mso-width-relative:page;mso-height-relative:page;" fillcolor="#000000" filled="t" stroked="f" coordsize="9015,15" path="m0,0l9014,0,9014,14,0,14,0,0xe">
            <v:path/>
            <v:fill on="t" focussize="0,0"/>
            <v:stroke on="f"/>
            <v:imagedata o:title=""/>
            <o:lock v:ext="edit"/>
          </v:shape>
        </w:pict>
      </w:r>
    </w:p>
    <w:p w14:paraId="083327D1">
      <w:pPr>
        <w:spacing w:before="78" w:line="354" w:lineRule="auto"/>
        <w:ind w:left="112" w:right="168" w:firstLine="480"/>
        <w:rPr>
          <w:rFonts w:ascii="宋体" w:hAnsi="宋体" w:eastAsia="宋体" w:cs="宋体"/>
          <w:sz w:val="24"/>
          <w:szCs w:val="24"/>
        </w:rPr>
      </w:pPr>
      <w:r>
        <w:rPr>
          <w:rFonts w:ascii="宋体" w:hAnsi="宋体" w:eastAsia="宋体" w:cs="宋体"/>
          <w:spacing w:val="-1"/>
          <w:sz w:val="24"/>
          <w:szCs w:val="24"/>
        </w:rPr>
        <w:t>锰矿石烘干生产线煤气消耗量为</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4904.56</w:t>
      </w:r>
      <w:r>
        <w:rPr>
          <w:rFonts w:ascii="Times New Roman" w:hAnsi="Times New Roman" w:eastAsia="Times New Roman" w:cs="Times New Roman"/>
          <w:spacing w:val="15"/>
          <w:sz w:val="24"/>
          <w:szCs w:val="24"/>
        </w:rPr>
        <w:t xml:space="preserve"> </w:t>
      </w:r>
      <w:r>
        <w:rPr>
          <w:rFonts w:ascii="宋体" w:hAnsi="宋体" w:eastAsia="宋体" w:cs="宋体"/>
          <w:spacing w:val="-1"/>
          <w:sz w:val="24"/>
          <w:szCs w:val="24"/>
        </w:rPr>
        <w:t>万</w:t>
      </w:r>
      <w:r>
        <w:rPr>
          <w:rFonts w:ascii="宋体" w:hAnsi="宋体" w:eastAsia="宋体" w:cs="宋体"/>
          <w:spacing w:val="-63"/>
          <w:sz w:val="24"/>
          <w:szCs w:val="24"/>
        </w:rPr>
        <w:t xml:space="preserve"> </w:t>
      </w:r>
      <w:r>
        <w:rPr>
          <w:rFonts w:ascii="Times New Roman" w:hAnsi="Times New Roman" w:eastAsia="Times New Roman" w:cs="Times New Roman"/>
          <w:spacing w:val="-1"/>
          <w:sz w:val="24"/>
          <w:szCs w:val="24"/>
        </w:rPr>
        <w:t>Nm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/a</w:t>
      </w:r>
      <w:r>
        <w:rPr>
          <w:rFonts w:ascii="宋体" w:hAnsi="宋体" w:eastAsia="宋体" w:cs="宋体"/>
          <w:spacing w:val="-1"/>
          <w:sz w:val="24"/>
          <w:szCs w:val="24"/>
        </w:rPr>
        <w:t>（</w:t>
      </w:r>
      <w:r>
        <w:rPr>
          <w:rFonts w:ascii="Times New Roman" w:hAnsi="Times New Roman" w:eastAsia="Times New Roman" w:cs="Times New Roman"/>
          <w:spacing w:val="-1"/>
          <w:sz w:val="24"/>
          <w:szCs w:val="24"/>
        </w:rPr>
        <w:t>39236.46t/a</w:t>
      </w:r>
      <w:r>
        <w:rPr>
          <w:rFonts w:ascii="宋体" w:hAnsi="宋体" w:eastAsia="宋体" w:cs="宋体"/>
          <w:spacing w:val="11"/>
          <w:sz w:val="24"/>
          <w:szCs w:val="24"/>
        </w:rPr>
        <w:t>），</w:t>
      </w:r>
      <w:r>
        <w:rPr>
          <w:rFonts w:ascii="宋体" w:hAnsi="宋体" w:eastAsia="宋体" w:cs="宋体"/>
          <w:spacing w:val="-1"/>
          <w:sz w:val="24"/>
          <w:szCs w:val="24"/>
        </w:rPr>
        <w:t>烘干及筛分工</w:t>
      </w:r>
      <w:r>
        <w:rPr>
          <w:rFonts w:ascii="宋体" w:hAnsi="宋体" w:eastAsia="宋体" w:cs="宋体"/>
          <w:sz w:val="24"/>
          <w:szCs w:val="24"/>
        </w:rPr>
        <w:t xml:space="preserve"> </w:t>
      </w:r>
      <w:r>
        <w:rPr>
          <w:rFonts w:ascii="宋体" w:hAnsi="宋体" w:eastAsia="宋体" w:cs="宋体"/>
          <w:spacing w:val="-2"/>
          <w:sz w:val="24"/>
          <w:szCs w:val="24"/>
        </w:rPr>
        <w:t>序废气</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G</w:t>
      </w:r>
      <w:r>
        <w:rPr>
          <w:rFonts w:ascii="Times New Roman" w:hAnsi="Times New Roman" w:eastAsia="Times New Roman" w:cs="Times New Roman"/>
          <w:spacing w:val="-2"/>
          <w:sz w:val="15"/>
          <w:szCs w:val="15"/>
        </w:rPr>
        <w:t>1-3</w:t>
      </w:r>
      <w:r>
        <w:rPr>
          <w:rFonts w:ascii="Times New Roman" w:hAnsi="Times New Roman" w:eastAsia="Times New Roman" w:cs="Times New Roman"/>
          <w:spacing w:val="15"/>
          <w:w w:val="102"/>
          <w:sz w:val="15"/>
          <w:szCs w:val="15"/>
        </w:rPr>
        <w:t xml:space="preserve"> </w:t>
      </w:r>
      <w:r>
        <w:rPr>
          <w:rFonts w:ascii="宋体" w:hAnsi="宋体" w:eastAsia="宋体" w:cs="宋体"/>
          <w:spacing w:val="-2"/>
          <w:sz w:val="24"/>
          <w:szCs w:val="24"/>
        </w:rPr>
        <w:t>经</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2"/>
          <w:sz w:val="24"/>
          <w:szCs w:val="24"/>
        </w:rPr>
        <w:t>套布袋除尘器处理，搭配风机量为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200000m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34"/>
          <w:sz w:val="24"/>
          <w:szCs w:val="24"/>
        </w:rPr>
        <w:t xml:space="preserve"> </w:t>
      </w:r>
      <w:r>
        <w:rPr>
          <w:rFonts w:ascii="宋体" w:hAnsi="宋体" w:eastAsia="宋体" w:cs="宋体"/>
          <w:spacing w:val="-2"/>
          <w:sz w:val="24"/>
          <w:szCs w:val="24"/>
        </w:rPr>
        <w:t>，处理效率为</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99%</w:t>
      </w:r>
      <w:r>
        <w:rPr>
          <w:rFonts w:ascii="宋体" w:hAnsi="宋体" w:eastAsia="宋体" w:cs="宋体"/>
          <w:spacing w:val="-3"/>
          <w:sz w:val="24"/>
          <w:szCs w:val="24"/>
        </w:rPr>
        <w:t>。</w:t>
      </w:r>
    </w:p>
    <w:p w14:paraId="65E59FBF">
      <w:pPr>
        <w:spacing w:before="34" w:line="354" w:lineRule="auto"/>
        <w:ind w:left="115" w:right="103" w:firstLine="477"/>
        <w:rPr>
          <w:rFonts w:ascii="宋体" w:hAnsi="宋体" w:eastAsia="宋体" w:cs="宋体"/>
          <w:sz w:val="24"/>
          <w:szCs w:val="24"/>
        </w:rPr>
      </w:pPr>
      <w:r>
        <w:rPr>
          <w:rFonts w:ascii="宋体" w:hAnsi="宋体" w:eastAsia="宋体" w:cs="宋体"/>
          <w:spacing w:val="-4"/>
          <w:sz w:val="24"/>
          <w:szCs w:val="24"/>
        </w:rPr>
        <w:t>锰矿石出料工序废气</w:t>
      </w:r>
      <w:r>
        <w:rPr>
          <w:rFonts w:ascii="宋体" w:hAnsi="宋体" w:eastAsia="宋体" w:cs="宋体"/>
          <w:spacing w:val="-52"/>
          <w:sz w:val="24"/>
          <w:szCs w:val="24"/>
        </w:rPr>
        <w:t xml:space="preserve"> </w:t>
      </w:r>
      <w:r>
        <w:rPr>
          <w:rFonts w:ascii="Times New Roman" w:hAnsi="Times New Roman" w:eastAsia="Times New Roman" w:cs="Times New Roman"/>
          <w:spacing w:val="-4"/>
          <w:sz w:val="24"/>
          <w:szCs w:val="24"/>
        </w:rPr>
        <w:t>G</w:t>
      </w:r>
      <w:r>
        <w:rPr>
          <w:rFonts w:ascii="Times New Roman" w:hAnsi="Times New Roman" w:eastAsia="Times New Roman" w:cs="Times New Roman"/>
          <w:spacing w:val="-4"/>
          <w:sz w:val="15"/>
          <w:szCs w:val="15"/>
        </w:rPr>
        <w:t>1-4</w:t>
      </w:r>
      <w:r>
        <w:rPr>
          <w:rFonts w:ascii="Times New Roman" w:hAnsi="Times New Roman" w:eastAsia="Times New Roman" w:cs="Times New Roman"/>
          <w:spacing w:val="15"/>
          <w:w w:val="102"/>
          <w:sz w:val="15"/>
          <w:szCs w:val="15"/>
        </w:rPr>
        <w:t xml:space="preserve"> </w:t>
      </w:r>
      <w:r>
        <w:rPr>
          <w:rFonts w:ascii="宋体" w:hAnsi="宋体" w:eastAsia="宋体" w:cs="宋体"/>
          <w:spacing w:val="-4"/>
          <w:sz w:val="24"/>
          <w:szCs w:val="24"/>
        </w:rPr>
        <w:t>经集气罩收集后通入</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 </w:t>
      </w:r>
      <w:r>
        <w:rPr>
          <w:rFonts w:ascii="宋体" w:hAnsi="宋体" w:eastAsia="宋体" w:cs="宋体"/>
          <w:spacing w:val="-4"/>
          <w:sz w:val="24"/>
          <w:szCs w:val="24"/>
        </w:rPr>
        <w:t>套布袋除尘器处理，搭配风机量为</w:t>
      </w:r>
      <w:r>
        <w:rPr>
          <w:rFonts w:ascii="宋体" w:hAnsi="宋体" w:eastAsia="宋体" w:cs="宋体"/>
          <w:sz w:val="24"/>
          <w:szCs w:val="24"/>
        </w:rPr>
        <w:t xml:space="preserve"> </w:t>
      </w:r>
      <w:r>
        <w:rPr>
          <w:rFonts w:ascii="Times New Roman" w:hAnsi="Times New Roman" w:eastAsia="Times New Roman" w:cs="Times New Roman"/>
          <w:spacing w:val="-2"/>
          <w:sz w:val="24"/>
          <w:szCs w:val="24"/>
        </w:rPr>
        <w:t>5000m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。其中，集气罩集气效率为</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95%</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，布袋</w:t>
      </w:r>
      <w:r>
        <w:rPr>
          <w:rFonts w:ascii="宋体" w:hAnsi="宋体" w:eastAsia="宋体" w:cs="宋体"/>
          <w:spacing w:val="-3"/>
          <w:sz w:val="24"/>
          <w:szCs w:val="24"/>
        </w:rPr>
        <w:t>除尘器的除尘效率为</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99%</w:t>
      </w:r>
      <w:r>
        <w:rPr>
          <w:rFonts w:ascii="宋体" w:hAnsi="宋体" w:eastAsia="宋体" w:cs="宋体"/>
          <w:spacing w:val="-3"/>
          <w:sz w:val="24"/>
          <w:szCs w:val="24"/>
        </w:rPr>
        <w:t>。</w:t>
      </w:r>
    </w:p>
    <w:p w14:paraId="4E69BF3A">
      <w:pPr>
        <w:spacing w:before="33" w:line="354" w:lineRule="auto"/>
        <w:ind w:left="109" w:right="240" w:firstLine="489"/>
        <w:rPr>
          <w:rFonts w:ascii="宋体" w:hAnsi="宋体" w:eastAsia="宋体" w:cs="宋体"/>
          <w:sz w:val="24"/>
          <w:szCs w:val="24"/>
        </w:rPr>
      </w:pPr>
      <w:r>
        <w:rPr>
          <w:rFonts w:ascii="宋体" w:hAnsi="宋体" w:eastAsia="宋体" w:cs="宋体"/>
          <w:spacing w:val="-1"/>
          <w:sz w:val="24"/>
          <w:szCs w:val="24"/>
        </w:rPr>
        <w:t>处理后锰矿石烘干生产线烘干及筛分工序废气及锰矿石出料工序</w:t>
      </w:r>
      <w:r>
        <w:rPr>
          <w:rFonts w:ascii="宋体" w:hAnsi="宋体" w:eastAsia="宋体" w:cs="宋体"/>
          <w:spacing w:val="-2"/>
          <w:sz w:val="24"/>
          <w:szCs w:val="24"/>
        </w:rPr>
        <w:t>废气通过</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2"/>
          <w:sz w:val="24"/>
          <w:szCs w:val="24"/>
        </w:rPr>
        <w:t>根高</w:t>
      </w:r>
      <w:r>
        <w:rPr>
          <w:rFonts w:ascii="宋体" w:hAnsi="宋体" w:eastAsia="宋体" w:cs="宋体"/>
          <w:sz w:val="24"/>
          <w:szCs w:val="24"/>
        </w:rPr>
        <w:t xml:space="preserve"> </w:t>
      </w:r>
      <w:r>
        <w:rPr>
          <w:rFonts w:ascii="Times New Roman" w:hAnsi="Times New Roman" w:eastAsia="Times New Roman" w:cs="Times New Roman"/>
          <w:spacing w:val="-1"/>
          <w:sz w:val="24"/>
          <w:szCs w:val="24"/>
        </w:rPr>
        <w:t xml:space="preserve">25m </w:t>
      </w:r>
      <w:r>
        <w:rPr>
          <w:rFonts w:ascii="宋体" w:hAnsi="宋体" w:eastAsia="宋体" w:cs="宋体"/>
          <w:spacing w:val="-1"/>
          <w:sz w:val="24"/>
          <w:szCs w:val="24"/>
        </w:rPr>
        <w:t>排气筒</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 xml:space="preserve">DA002 </w:t>
      </w:r>
      <w:r>
        <w:rPr>
          <w:rFonts w:ascii="宋体" w:hAnsi="宋体" w:eastAsia="宋体" w:cs="宋体"/>
          <w:spacing w:val="-1"/>
          <w:sz w:val="24"/>
          <w:szCs w:val="24"/>
        </w:rPr>
        <w:t>排放。</w:t>
      </w:r>
    </w:p>
    <w:p w14:paraId="45606808">
      <w:pPr>
        <w:spacing w:before="34" w:line="219" w:lineRule="auto"/>
        <w:ind w:left="599"/>
        <w:rPr>
          <w:rFonts w:ascii="Times New Roman" w:hAnsi="Times New Roman" w:eastAsia="Times New Roman" w:cs="Times New Roman"/>
          <w:sz w:val="15"/>
          <w:szCs w:val="15"/>
        </w:rPr>
      </w:pPr>
      <w:r>
        <w:rPr>
          <w:rFonts w:ascii="Times New Roman" w:hAnsi="Times New Roman" w:eastAsia="Times New Roman" w:cs="Times New Roman"/>
          <w:b/>
          <w:bCs/>
          <w:spacing w:val="-2"/>
          <w:sz w:val="24"/>
          <w:szCs w:val="24"/>
        </w:rPr>
        <w:t>1</w:t>
      </w:r>
      <w:r>
        <w:rPr>
          <w:rFonts w:ascii="宋体" w:hAnsi="宋体" w:eastAsia="宋体" w:cs="宋体"/>
          <w:b/>
          <w:bCs/>
          <w:spacing w:val="-2"/>
          <w:sz w:val="24"/>
          <w:szCs w:val="24"/>
        </w:rPr>
        <w:t>）锰矿石烘干生产车间的烘干及筛分工序废气</w:t>
      </w:r>
      <w:r>
        <w:rPr>
          <w:rFonts w:ascii="宋体" w:hAnsi="宋体" w:eastAsia="宋体" w:cs="宋体"/>
          <w:spacing w:val="-47"/>
          <w:sz w:val="24"/>
          <w:szCs w:val="24"/>
        </w:rPr>
        <w:t xml:space="preserve"> </w:t>
      </w:r>
      <w:r>
        <w:rPr>
          <w:rFonts w:ascii="Times New Roman" w:hAnsi="Times New Roman" w:eastAsia="Times New Roman" w:cs="Times New Roman"/>
          <w:b/>
          <w:bCs/>
          <w:spacing w:val="-2"/>
          <w:sz w:val="24"/>
          <w:szCs w:val="24"/>
        </w:rPr>
        <w:t>G</w:t>
      </w:r>
      <w:r>
        <w:rPr>
          <w:rFonts w:ascii="Times New Roman" w:hAnsi="Times New Roman" w:eastAsia="Times New Roman" w:cs="Times New Roman"/>
          <w:b/>
          <w:bCs/>
          <w:spacing w:val="-3"/>
          <w:sz w:val="15"/>
          <w:szCs w:val="15"/>
        </w:rPr>
        <w:t>1-3</w:t>
      </w:r>
    </w:p>
    <w:p w14:paraId="6C12E18A">
      <w:pPr>
        <w:spacing w:before="192" w:line="219" w:lineRule="auto"/>
        <w:ind w:left="593"/>
        <w:rPr>
          <w:rFonts w:ascii="宋体" w:hAnsi="宋体" w:eastAsia="宋体" w:cs="宋体"/>
          <w:sz w:val="24"/>
          <w:szCs w:val="24"/>
        </w:rPr>
      </w:pPr>
      <w:r>
        <w:rPr>
          <w:rFonts w:ascii="宋体" w:hAnsi="宋体" w:eastAsia="宋体" w:cs="宋体"/>
          <w:sz w:val="24"/>
          <w:szCs w:val="24"/>
        </w:rPr>
        <w:t>锰矿石烘干生产线烘干和筛分废气的主要污染物为</w:t>
      </w:r>
      <w:r>
        <w:rPr>
          <w:rFonts w:ascii="宋体" w:hAnsi="宋体" w:eastAsia="宋体" w:cs="宋体"/>
          <w:spacing w:val="-1"/>
          <w:sz w:val="24"/>
          <w:szCs w:val="24"/>
        </w:rPr>
        <w:t>颗粒物、</w:t>
      </w:r>
      <w:r>
        <w:rPr>
          <w:rFonts w:ascii="Times New Roman" w:hAnsi="Times New Roman" w:eastAsia="Times New Roman" w:cs="Times New Roman"/>
          <w:spacing w:val="-1"/>
          <w:sz w:val="24"/>
          <w:szCs w:val="24"/>
        </w:rPr>
        <w:t>SO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3"/>
          <w:position w:val="-1"/>
          <w:sz w:val="15"/>
          <w:szCs w:val="15"/>
        </w:rPr>
        <w:t xml:space="preserve"> </w:t>
      </w:r>
      <w:r>
        <w:rPr>
          <w:rFonts w:ascii="宋体" w:hAnsi="宋体" w:eastAsia="宋体" w:cs="宋体"/>
          <w:spacing w:val="-1"/>
          <w:sz w:val="24"/>
          <w:szCs w:val="24"/>
        </w:rPr>
        <w:t>和</w:t>
      </w:r>
      <w:r>
        <w:rPr>
          <w:rFonts w:ascii="宋体" w:hAnsi="宋体" w:eastAsia="宋体" w:cs="宋体"/>
          <w:spacing w:val="-63"/>
          <w:sz w:val="24"/>
          <w:szCs w:val="24"/>
        </w:rPr>
        <w:t xml:space="preserve"> </w:t>
      </w:r>
      <w:r>
        <w:rPr>
          <w:rFonts w:ascii="Times New Roman" w:hAnsi="Times New Roman" w:eastAsia="Times New Roman" w:cs="Times New Roman"/>
          <w:spacing w:val="-1"/>
          <w:sz w:val="24"/>
          <w:szCs w:val="24"/>
        </w:rPr>
        <w:t>NO</w:t>
      </w:r>
      <w:r>
        <w:rPr>
          <w:rFonts w:ascii="Times New Roman" w:hAnsi="Times New Roman" w:eastAsia="Times New Roman" w:cs="Times New Roman"/>
          <w:spacing w:val="-1"/>
          <w:position w:val="-1"/>
          <w:sz w:val="15"/>
          <w:szCs w:val="15"/>
        </w:rPr>
        <w:t>X</w:t>
      </w:r>
      <w:r>
        <w:rPr>
          <w:rFonts w:ascii="宋体" w:hAnsi="宋体" w:eastAsia="宋体" w:cs="宋体"/>
          <w:spacing w:val="-1"/>
          <w:sz w:val="24"/>
          <w:szCs w:val="24"/>
        </w:rPr>
        <w:t>。</w:t>
      </w:r>
    </w:p>
    <w:p w14:paraId="184C5F08">
      <w:pPr>
        <w:spacing w:before="191" w:line="354" w:lineRule="auto"/>
        <w:ind w:left="112" w:right="41" w:firstLine="480"/>
        <w:rPr>
          <w:rFonts w:ascii="宋体" w:hAnsi="宋体" w:eastAsia="宋体" w:cs="宋体"/>
          <w:sz w:val="24"/>
          <w:szCs w:val="24"/>
        </w:rPr>
      </w:pPr>
      <w:r>
        <w:rPr>
          <w:rFonts w:ascii="宋体" w:hAnsi="宋体" w:eastAsia="宋体" w:cs="宋体"/>
          <w:spacing w:val="-8"/>
          <w:sz w:val="24"/>
          <w:szCs w:val="24"/>
        </w:rPr>
        <w:t>在烘干和筛分过程中颗粒物：锰矿石烘干过程中产生的颗粒物，根据同类项目类比，</w:t>
      </w:r>
      <w:r>
        <w:rPr>
          <w:rFonts w:ascii="宋体" w:hAnsi="宋体" w:eastAsia="宋体" w:cs="宋体"/>
          <w:spacing w:val="4"/>
          <w:sz w:val="24"/>
          <w:szCs w:val="24"/>
        </w:rPr>
        <w:t xml:space="preserve"> </w:t>
      </w:r>
      <w:r>
        <w:rPr>
          <w:rFonts w:ascii="宋体" w:hAnsi="宋体" w:eastAsia="宋体" w:cs="宋体"/>
          <w:spacing w:val="-3"/>
          <w:sz w:val="24"/>
          <w:szCs w:val="24"/>
        </w:rPr>
        <w:t>颗粒物的产生量按锰矿石的</w:t>
      </w:r>
      <w:r>
        <w:rPr>
          <w:rFonts w:ascii="宋体" w:hAnsi="宋体" w:eastAsia="宋体" w:cs="宋体"/>
          <w:spacing w:val="-38"/>
          <w:sz w:val="24"/>
          <w:szCs w:val="24"/>
        </w:rPr>
        <w:t xml:space="preserve"> </w:t>
      </w:r>
      <w:r>
        <w:rPr>
          <w:rFonts w:ascii="Times New Roman" w:hAnsi="Times New Roman" w:eastAsia="Times New Roman" w:cs="Times New Roman"/>
          <w:spacing w:val="-3"/>
          <w:sz w:val="24"/>
          <w:szCs w:val="24"/>
        </w:rPr>
        <w:t>0.5‰</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，项目年烘干锰矿石</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90</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3"/>
          <w:sz w:val="24"/>
          <w:szCs w:val="24"/>
        </w:rPr>
        <w:t>t</w:t>
      </w:r>
      <w:r>
        <w:rPr>
          <w:rFonts w:ascii="Times New Roman" w:hAnsi="Times New Roman" w:eastAsia="Times New Roman" w:cs="Times New Roman"/>
          <w:spacing w:val="-30"/>
          <w:sz w:val="24"/>
          <w:szCs w:val="24"/>
        </w:rPr>
        <w:t xml:space="preserve"> </w:t>
      </w:r>
      <w:r>
        <w:rPr>
          <w:rFonts w:ascii="宋体" w:hAnsi="宋体" w:eastAsia="宋体" w:cs="宋体"/>
          <w:spacing w:val="-3"/>
          <w:sz w:val="24"/>
          <w:szCs w:val="24"/>
        </w:rPr>
        <w:t>，则颗粒物的产生量为</w:t>
      </w:r>
    </w:p>
    <w:p w14:paraId="3C56A8FD">
      <w:pPr>
        <w:spacing w:before="34" w:line="354" w:lineRule="auto"/>
        <w:ind w:left="108" w:right="103" w:hanging="1"/>
        <w:rPr>
          <w:rFonts w:ascii="宋体" w:hAnsi="宋体" w:eastAsia="宋体" w:cs="宋体"/>
          <w:sz w:val="24"/>
          <w:szCs w:val="24"/>
        </w:rPr>
      </w:pPr>
      <w:r>
        <w:rPr>
          <w:rFonts w:ascii="Times New Roman" w:hAnsi="Times New Roman" w:eastAsia="Times New Roman" w:cs="Times New Roman"/>
          <w:spacing w:val="-1"/>
          <w:sz w:val="24"/>
          <w:szCs w:val="24"/>
        </w:rPr>
        <w:t>450.0t/a</w:t>
      </w:r>
      <w:r>
        <w:rPr>
          <w:rFonts w:ascii="宋体" w:hAnsi="宋体" w:eastAsia="宋体" w:cs="宋体"/>
          <w:spacing w:val="-1"/>
          <w:sz w:val="24"/>
          <w:szCs w:val="24"/>
        </w:rPr>
        <w:t>；参照《逸散性工业粉尘控制技术》表</w:t>
      </w:r>
      <w:r>
        <w:rPr>
          <w:rFonts w:ascii="宋体" w:hAnsi="宋体" w:eastAsia="宋体" w:cs="宋体"/>
          <w:spacing w:val="-23"/>
          <w:sz w:val="24"/>
          <w:szCs w:val="24"/>
        </w:rPr>
        <w:t xml:space="preserve"> </w:t>
      </w:r>
      <w:r>
        <w:rPr>
          <w:rFonts w:ascii="Times New Roman" w:hAnsi="Times New Roman" w:eastAsia="Times New Roman" w:cs="Times New Roman"/>
          <w:spacing w:val="-1"/>
          <w:sz w:val="24"/>
          <w:szCs w:val="24"/>
        </w:rPr>
        <w:t xml:space="preserve">14-1 </w:t>
      </w:r>
      <w:r>
        <w:rPr>
          <w:rFonts w:ascii="宋体" w:hAnsi="宋体" w:eastAsia="宋体" w:cs="宋体"/>
          <w:spacing w:val="-1"/>
          <w:sz w:val="24"/>
          <w:szCs w:val="24"/>
        </w:rPr>
        <w:t>铁合金生产的逸散尘排放因子（第</w:t>
      </w:r>
      <w:r>
        <w:rPr>
          <w:rFonts w:ascii="宋体" w:hAnsi="宋体" w:eastAsia="宋体" w:cs="宋体"/>
          <w:sz w:val="24"/>
          <w:szCs w:val="24"/>
        </w:rPr>
        <w:t xml:space="preserve"> </w:t>
      </w:r>
      <w:r>
        <w:rPr>
          <w:rFonts w:ascii="Times New Roman" w:hAnsi="Times New Roman" w:eastAsia="Times New Roman" w:cs="Times New Roman"/>
          <w:spacing w:val="-1"/>
          <w:sz w:val="24"/>
          <w:szCs w:val="24"/>
        </w:rPr>
        <w:t>234</w:t>
      </w:r>
      <w:r>
        <w:rPr>
          <w:rFonts w:ascii="Times New Roman" w:hAnsi="Times New Roman" w:eastAsia="Times New Roman" w:cs="Times New Roman"/>
          <w:spacing w:val="16"/>
          <w:w w:val="101"/>
          <w:sz w:val="24"/>
          <w:szCs w:val="24"/>
        </w:rPr>
        <w:t xml:space="preserve"> </w:t>
      </w:r>
      <w:r>
        <w:rPr>
          <w:rFonts w:ascii="宋体" w:hAnsi="宋体" w:eastAsia="宋体" w:cs="宋体"/>
          <w:spacing w:val="-1"/>
          <w:sz w:val="24"/>
          <w:szCs w:val="24"/>
        </w:rPr>
        <w:t>页）中原料的筛选排放因子为</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2.25kg/t</w:t>
      </w:r>
      <w:r>
        <w:rPr>
          <w:rFonts w:ascii="宋体" w:hAnsi="宋体" w:eastAsia="宋体" w:cs="宋体"/>
          <w:spacing w:val="-1"/>
          <w:sz w:val="24"/>
          <w:szCs w:val="24"/>
        </w:rPr>
        <w:t>（过筛料</w:t>
      </w:r>
      <w:r>
        <w:rPr>
          <w:rFonts w:ascii="宋体" w:hAnsi="宋体" w:eastAsia="宋体" w:cs="宋体"/>
          <w:spacing w:val="7"/>
          <w:sz w:val="24"/>
          <w:szCs w:val="24"/>
        </w:rPr>
        <w:t>），</w:t>
      </w:r>
      <w:r>
        <w:rPr>
          <w:rFonts w:ascii="宋体" w:hAnsi="宋体" w:eastAsia="宋体" w:cs="宋体"/>
          <w:spacing w:val="-1"/>
          <w:sz w:val="24"/>
          <w:szCs w:val="24"/>
        </w:rPr>
        <w:t>则锰矿石筛分工序颗粒物产生</w:t>
      </w:r>
      <w:r>
        <w:rPr>
          <w:rFonts w:ascii="宋体" w:hAnsi="宋体" w:eastAsia="宋体" w:cs="宋体"/>
          <w:sz w:val="24"/>
          <w:szCs w:val="24"/>
        </w:rPr>
        <w:t xml:space="preserve"> </w:t>
      </w:r>
      <w:r>
        <w:rPr>
          <w:rFonts w:ascii="宋体" w:hAnsi="宋体" w:eastAsia="宋体" w:cs="宋体"/>
          <w:spacing w:val="-1"/>
          <w:sz w:val="24"/>
          <w:szCs w:val="24"/>
        </w:rPr>
        <w:t>量为</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2024.95t/a</w:t>
      </w:r>
      <w:r>
        <w:rPr>
          <w:rFonts w:ascii="Times New Roman" w:hAnsi="Times New Roman" w:eastAsia="Times New Roman" w:cs="Times New Roman"/>
          <w:spacing w:val="-28"/>
          <w:sz w:val="24"/>
          <w:szCs w:val="24"/>
        </w:rPr>
        <w:t xml:space="preserve"> </w:t>
      </w:r>
      <w:r>
        <w:rPr>
          <w:rFonts w:ascii="宋体" w:hAnsi="宋体" w:eastAsia="宋体" w:cs="宋体"/>
          <w:spacing w:val="-1"/>
          <w:sz w:val="24"/>
          <w:szCs w:val="24"/>
        </w:rPr>
        <w:t>。锰矿石烘干和筛分过程颗粒物的产生总量为</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2474.9</w:t>
      </w:r>
      <w:r>
        <w:rPr>
          <w:rFonts w:ascii="Times New Roman" w:hAnsi="Times New Roman" w:eastAsia="Times New Roman" w:cs="Times New Roman"/>
          <w:spacing w:val="-2"/>
          <w:sz w:val="24"/>
          <w:szCs w:val="24"/>
        </w:rPr>
        <w:t>5t/a</w:t>
      </w:r>
      <w:r>
        <w:rPr>
          <w:rFonts w:ascii="宋体" w:hAnsi="宋体" w:eastAsia="宋体" w:cs="宋体"/>
          <w:spacing w:val="-2"/>
          <w:sz w:val="24"/>
          <w:szCs w:val="24"/>
        </w:rPr>
        <w:t>。</w:t>
      </w:r>
    </w:p>
    <w:p w14:paraId="19B26A5E">
      <w:pPr>
        <w:spacing w:before="52" w:line="358" w:lineRule="auto"/>
        <w:ind w:left="113" w:right="103" w:firstLine="480"/>
        <w:rPr>
          <w:rFonts w:ascii="宋体" w:hAnsi="宋体" w:eastAsia="宋体" w:cs="宋体"/>
          <w:sz w:val="24"/>
          <w:szCs w:val="24"/>
        </w:rPr>
      </w:pPr>
      <w:r>
        <w:rPr>
          <w:rFonts w:ascii="宋体" w:hAnsi="宋体" w:eastAsia="宋体" w:cs="宋体"/>
          <w:spacing w:val="-2"/>
          <w:sz w:val="24"/>
          <w:szCs w:val="24"/>
        </w:rPr>
        <w:t>锰矿石烘干废气中的</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SO</w:t>
      </w:r>
      <w:r>
        <w:rPr>
          <w:rFonts w:ascii="Times New Roman" w:hAnsi="Times New Roman" w:eastAsia="Times New Roman" w:cs="Times New Roman"/>
          <w:spacing w:val="-2"/>
          <w:position w:val="-1"/>
          <w:sz w:val="15"/>
          <w:szCs w:val="15"/>
        </w:rPr>
        <w:t>2</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NOx </w:t>
      </w:r>
      <w:r>
        <w:rPr>
          <w:rFonts w:ascii="宋体" w:hAnsi="宋体" w:eastAsia="宋体" w:cs="宋体"/>
          <w:spacing w:val="-2"/>
          <w:sz w:val="24"/>
          <w:szCs w:val="24"/>
        </w:rPr>
        <w:t>全部来自煤气燃烧烟气，</w:t>
      </w:r>
      <w:r>
        <w:rPr>
          <w:rFonts w:ascii="Times New Roman" w:hAnsi="Times New Roman" w:eastAsia="Times New Roman" w:cs="Times New Roman"/>
          <w:spacing w:val="-2"/>
          <w:sz w:val="24"/>
          <w:szCs w:val="24"/>
        </w:rPr>
        <w:t>SO</w:t>
      </w:r>
      <w:r>
        <w:rPr>
          <w:rFonts w:ascii="Times New Roman" w:hAnsi="Times New Roman" w:eastAsia="Times New Roman" w:cs="Times New Roman"/>
          <w:spacing w:val="-2"/>
          <w:position w:val="-1"/>
          <w:sz w:val="15"/>
          <w:szCs w:val="15"/>
        </w:rPr>
        <w:t>2</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NOx </w:t>
      </w:r>
      <w:r>
        <w:rPr>
          <w:rFonts w:ascii="宋体" w:hAnsi="宋体" w:eastAsia="宋体" w:cs="宋体"/>
          <w:spacing w:val="-2"/>
          <w:sz w:val="24"/>
          <w:szCs w:val="24"/>
        </w:rPr>
        <w:t>核算根据</w:t>
      </w:r>
      <w:r>
        <w:rPr>
          <w:rFonts w:ascii="宋体" w:hAnsi="宋体" w:eastAsia="宋体" w:cs="宋体"/>
          <w:spacing w:val="-3"/>
          <w:sz w:val="24"/>
          <w:szCs w:val="24"/>
        </w:rPr>
        <w:t>《排</w:t>
      </w:r>
      <w:r>
        <w:rPr>
          <w:rFonts w:ascii="宋体" w:hAnsi="宋体" w:eastAsia="宋体" w:cs="宋体"/>
          <w:sz w:val="24"/>
          <w:szCs w:val="24"/>
        </w:rPr>
        <w:t xml:space="preserve"> </w:t>
      </w:r>
      <w:r>
        <w:rPr>
          <w:rFonts w:ascii="宋体" w:hAnsi="宋体" w:eastAsia="宋体" w:cs="宋体"/>
          <w:spacing w:val="-2"/>
          <w:sz w:val="24"/>
          <w:szCs w:val="24"/>
        </w:rPr>
        <w:t>放源统计调查产排污核算方法和系数手册》（环境部公告</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 xml:space="preserve">2021 </w:t>
      </w:r>
      <w:r>
        <w:rPr>
          <w:rFonts w:ascii="宋体" w:hAnsi="宋体" w:eastAsia="宋体" w:cs="宋体"/>
          <w:spacing w:val="-2"/>
          <w:sz w:val="24"/>
          <w:szCs w:val="24"/>
        </w:rPr>
        <w:t>年 第</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24</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号）</w:t>
      </w:r>
      <w:r>
        <w:rPr>
          <w:rFonts w:ascii="Times New Roman" w:hAnsi="Times New Roman" w:eastAsia="Times New Roman" w:cs="Times New Roman"/>
          <w:spacing w:val="-2"/>
          <w:sz w:val="24"/>
          <w:szCs w:val="24"/>
        </w:rPr>
        <w:t xml:space="preserve">4430 </w:t>
      </w:r>
      <w:r>
        <w:rPr>
          <w:rFonts w:ascii="宋体" w:hAnsi="宋体" w:eastAsia="宋体" w:cs="宋体"/>
          <w:spacing w:val="-2"/>
          <w:sz w:val="24"/>
          <w:szCs w:val="24"/>
        </w:rPr>
        <w:t>工业</w:t>
      </w:r>
      <w:r>
        <w:rPr>
          <w:rFonts w:ascii="宋体" w:hAnsi="宋体" w:eastAsia="宋体" w:cs="宋体"/>
          <w:sz w:val="24"/>
          <w:szCs w:val="24"/>
        </w:rPr>
        <w:t xml:space="preserve"> </w:t>
      </w:r>
      <w:r>
        <w:rPr>
          <w:rFonts w:ascii="宋体" w:hAnsi="宋体" w:eastAsia="宋体" w:cs="宋体"/>
          <w:spacing w:val="-1"/>
          <w:sz w:val="24"/>
          <w:szCs w:val="24"/>
        </w:rPr>
        <w:t>锅炉（热力供应）行业系数手册，燃气炉（高炉煤气）产污系数。</w:t>
      </w:r>
    </w:p>
    <w:p w14:paraId="13476866">
      <w:pPr>
        <w:spacing w:before="48" w:line="227" w:lineRule="auto"/>
        <w:ind w:left="2168"/>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7"/>
          <w:sz w:val="20"/>
          <w:szCs w:val="20"/>
        </w:rPr>
        <w:t xml:space="preserve"> </w:t>
      </w:r>
      <w:r>
        <w:rPr>
          <w:rFonts w:ascii="Times New Roman" w:hAnsi="Times New Roman" w:eastAsia="Times New Roman" w:cs="Times New Roman"/>
          <w:b/>
          <w:bCs/>
          <w:spacing w:val="5"/>
          <w:sz w:val="20"/>
          <w:szCs w:val="20"/>
        </w:rPr>
        <w:t xml:space="preserve">2.3-14            </w:t>
      </w:r>
      <w:r>
        <w:rPr>
          <w:rFonts w:ascii="宋体" w:hAnsi="宋体" w:eastAsia="宋体" w:cs="宋体"/>
          <w:b/>
          <w:bCs/>
          <w:spacing w:val="5"/>
          <w:sz w:val="20"/>
          <w:szCs w:val="20"/>
        </w:rPr>
        <w:t>项目锰矿石烘干污染物产排情况汇总表</w:t>
      </w:r>
    </w:p>
    <w:p w14:paraId="2E73508B">
      <w:pPr>
        <w:spacing w:line="98" w:lineRule="exact"/>
      </w:pPr>
    </w:p>
    <w:tbl>
      <w:tblPr>
        <w:tblStyle w:val="5"/>
        <w:tblW w:w="922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01"/>
        <w:gridCol w:w="1107"/>
        <w:gridCol w:w="1757"/>
        <w:gridCol w:w="1338"/>
        <w:gridCol w:w="1070"/>
        <w:gridCol w:w="947"/>
        <w:gridCol w:w="1340"/>
        <w:gridCol w:w="963"/>
      </w:tblGrid>
      <w:tr w14:paraId="0EC615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808" w:type="dxa"/>
            <w:gridSpan w:val="2"/>
            <w:vMerge w:val="restart"/>
            <w:tcBorders>
              <w:top w:val="single" w:color="000000" w:sz="10" w:space="0"/>
              <w:left w:val="nil"/>
              <w:bottom w:val="nil"/>
            </w:tcBorders>
            <w:vAlign w:val="top"/>
          </w:tcPr>
          <w:p w14:paraId="5891B605">
            <w:pPr>
              <w:spacing w:line="300" w:lineRule="auto"/>
              <w:rPr>
                <w:rFonts w:ascii="Arial"/>
                <w:sz w:val="21"/>
              </w:rPr>
            </w:pPr>
          </w:p>
          <w:p w14:paraId="1AC25C17">
            <w:pPr>
              <w:pStyle w:val="6"/>
              <w:spacing w:before="65" w:line="228" w:lineRule="auto"/>
              <w:ind w:left="598"/>
              <w:rPr>
                <w:sz w:val="20"/>
                <w:szCs w:val="20"/>
              </w:rPr>
            </w:pPr>
            <w:r>
              <w:rPr>
                <w:spacing w:val="6"/>
                <w:sz w:val="20"/>
                <w:szCs w:val="20"/>
              </w:rPr>
              <w:t>污染物</w:t>
            </w:r>
          </w:p>
        </w:tc>
        <w:tc>
          <w:tcPr>
            <w:tcW w:w="1757" w:type="dxa"/>
            <w:vMerge w:val="restart"/>
            <w:tcBorders>
              <w:top w:val="single" w:color="000000" w:sz="10" w:space="0"/>
              <w:bottom w:val="nil"/>
            </w:tcBorders>
            <w:vAlign w:val="top"/>
          </w:tcPr>
          <w:p w14:paraId="0B4323D0">
            <w:pPr>
              <w:spacing w:line="300" w:lineRule="auto"/>
              <w:rPr>
                <w:rFonts w:ascii="Arial"/>
                <w:sz w:val="21"/>
              </w:rPr>
            </w:pPr>
          </w:p>
          <w:p w14:paraId="00B8DB40">
            <w:pPr>
              <w:pStyle w:val="6"/>
              <w:spacing w:before="65" w:line="228" w:lineRule="auto"/>
              <w:ind w:left="160"/>
              <w:rPr>
                <w:sz w:val="20"/>
                <w:szCs w:val="20"/>
              </w:rPr>
            </w:pPr>
            <w:r>
              <w:rPr>
                <w:spacing w:val="5"/>
                <w:sz w:val="20"/>
                <w:szCs w:val="20"/>
              </w:rPr>
              <w:t>废气量（</w:t>
            </w:r>
            <w:r>
              <w:rPr>
                <w:rFonts w:ascii="Times New Roman" w:hAnsi="Times New Roman" w:eastAsia="Times New Roman" w:cs="Times New Roman"/>
                <w:spacing w:val="5"/>
                <w:sz w:val="20"/>
                <w:szCs w:val="20"/>
              </w:rPr>
              <w:t>m</w:t>
            </w:r>
            <w:r>
              <w:rPr>
                <w:rFonts w:ascii="Times New Roman" w:hAnsi="Times New Roman" w:eastAsia="Times New Roman" w:cs="Times New Roman"/>
                <w:spacing w:val="5"/>
                <w:position w:val="6"/>
                <w:sz w:val="13"/>
                <w:szCs w:val="13"/>
              </w:rPr>
              <w:t>3</w:t>
            </w:r>
            <w:r>
              <w:rPr>
                <w:rFonts w:ascii="Times New Roman" w:hAnsi="Times New Roman" w:eastAsia="Times New Roman" w:cs="Times New Roman"/>
                <w:spacing w:val="5"/>
                <w:sz w:val="20"/>
                <w:szCs w:val="20"/>
              </w:rPr>
              <w:t>/h</w:t>
            </w:r>
            <w:r>
              <w:rPr>
                <w:spacing w:val="5"/>
                <w:sz w:val="20"/>
                <w:szCs w:val="20"/>
              </w:rPr>
              <w:t>）</w:t>
            </w:r>
          </w:p>
        </w:tc>
        <w:tc>
          <w:tcPr>
            <w:tcW w:w="2408" w:type="dxa"/>
            <w:gridSpan w:val="2"/>
            <w:tcBorders>
              <w:top w:val="single" w:color="000000" w:sz="10" w:space="0"/>
            </w:tcBorders>
            <w:vAlign w:val="top"/>
          </w:tcPr>
          <w:p w14:paraId="32A91195">
            <w:pPr>
              <w:pStyle w:val="6"/>
              <w:spacing w:before="74" w:line="228" w:lineRule="auto"/>
              <w:ind w:left="790"/>
              <w:rPr>
                <w:sz w:val="20"/>
                <w:szCs w:val="20"/>
              </w:rPr>
            </w:pPr>
            <w:r>
              <w:rPr>
                <w:spacing w:val="7"/>
                <w:sz w:val="20"/>
                <w:szCs w:val="20"/>
              </w:rPr>
              <w:t>产生情况</w:t>
            </w:r>
          </w:p>
        </w:tc>
        <w:tc>
          <w:tcPr>
            <w:tcW w:w="3250" w:type="dxa"/>
            <w:gridSpan w:val="3"/>
            <w:tcBorders>
              <w:top w:val="single" w:color="000000" w:sz="10" w:space="0"/>
              <w:right w:val="nil"/>
            </w:tcBorders>
            <w:vAlign w:val="top"/>
          </w:tcPr>
          <w:p w14:paraId="5DA2D994">
            <w:pPr>
              <w:pStyle w:val="6"/>
              <w:spacing w:before="74" w:line="228" w:lineRule="auto"/>
              <w:ind w:left="1209"/>
              <w:rPr>
                <w:sz w:val="20"/>
                <w:szCs w:val="20"/>
              </w:rPr>
            </w:pPr>
            <w:r>
              <w:rPr>
                <w:spacing w:val="7"/>
                <w:sz w:val="20"/>
                <w:szCs w:val="20"/>
              </w:rPr>
              <w:t>排放情况</w:t>
            </w:r>
          </w:p>
        </w:tc>
      </w:tr>
      <w:tr w14:paraId="16472B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1808" w:type="dxa"/>
            <w:gridSpan w:val="2"/>
            <w:vMerge w:val="continue"/>
            <w:tcBorders>
              <w:top w:val="nil"/>
              <w:left w:val="nil"/>
            </w:tcBorders>
            <w:vAlign w:val="top"/>
          </w:tcPr>
          <w:p w14:paraId="2AC41F41">
            <w:pPr>
              <w:rPr>
                <w:rFonts w:ascii="Arial"/>
                <w:sz w:val="21"/>
              </w:rPr>
            </w:pPr>
          </w:p>
        </w:tc>
        <w:tc>
          <w:tcPr>
            <w:tcW w:w="1757" w:type="dxa"/>
            <w:vMerge w:val="continue"/>
            <w:tcBorders>
              <w:top w:val="nil"/>
            </w:tcBorders>
            <w:vAlign w:val="top"/>
          </w:tcPr>
          <w:p w14:paraId="0BC81169">
            <w:pPr>
              <w:rPr>
                <w:rFonts w:ascii="Arial"/>
                <w:sz w:val="21"/>
              </w:rPr>
            </w:pPr>
          </w:p>
        </w:tc>
        <w:tc>
          <w:tcPr>
            <w:tcW w:w="1338" w:type="dxa"/>
            <w:vAlign w:val="top"/>
          </w:tcPr>
          <w:p w14:paraId="1FD5A860">
            <w:pPr>
              <w:pStyle w:val="6"/>
              <w:spacing w:before="192" w:line="221" w:lineRule="auto"/>
              <w:ind w:left="112"/>
              <w:rPr>
                <w:sz w:val="20"/>
                <w:szCs w:val="20"/>
              </w:rPr>
            </w:pPr>
            <w:r>
              <w:rPr>
                <w:spacing w:val="6"/>
                <w:sz w:val="20"/>
                <w:szCs w:val="20"/>
              </w:rPr>
              <w:t>速率（</w:t>
            </w:r>
            <w:r>
              <w:rPr>
                <w:rFonts w:ascii="Times New Roman" w:hAnsi="Times New Roman" w:eastAsia="Times New Roman" w:cs="Times New Roman"/>
                <w:sz w:val="20"/>
                <w:szCs w:val="20"/>
              </w:rPr>
              <w:t>kg</w:t>
            </w:r>
            <w:r>
              <w:rPr>
                <w:rFonts w:ascii="Times New Roman" w:hAnsi="Times New Roman" w:eastAsia="Times New Roman" w:cs="Times New Roman"/>
                <w:spacing w:val="6"/>
                <w:sz w:val="20"/>
                <w:szCs w:val="20"/>
              </w:rPr>
              <w:t>/h</w:t>
            </w:r>
            <w:r>
              <w:rPr>
                <w:spacing w:val="6"/>
                <w:sz w:val="20"/>
                <w:szCs w:val="20"/>
              </w:rPr>
              <w:t>）</w:t>
            </w:r>
          </w:p>
        </w:tc>
        <w:tc>
          <w:tcPr>
            <w:tcW w:w="1070" w:type="dxa"/>
            <w:vAlign w:val="top"/>
          </w:tcPr>
          <w:p w14:paraId="1BDB9907">
            <w:pPr>
              <w:pStyle w:val="6"/>
              <w:spacing w:before="62" w:line="232" w:lineRule="auto"/>
              <w:ind w:left="235" w:right="219" w:hanging="10"/>
              <w:rPr>
                <w:sz w:val="20"/>
                <w:szCs w:val="20"/>
              </w:rPr>
            </w:pPr>
            <w:r>
              <w:rPr>
                <w:spacing w:val="6"/>
                <w:sz w:val="20"/>
                <w:szCs w:val="20"/>
              </w:rPr>
              <w:t>产生量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947" w:type="dxa"/>
            <w:vAlign w:val="top"/>
          </w:tcPr>
          <w:p w14:paraId="3D528ADB">
            <w:pPr>
              <w:pStyle w:val="6"/>
              <w:spacing w:before="62" w:line="232" w:lineRule="auto"/>
              <w:ind w:left="172" w:right="158" w:hanging="6"/>
              <w:rPr>
                <w:sz w:val="20"/>
                <w:szCs w:val="20"/>
              </w:rPr>
            </w:pPr>
            <w:r>
              <w:rPr>
                <w:spacing w:val="5"/>
                <w:sz w:val="20"/>
                <w:szCs w:val="20"/>
              </w:rPr>
              <w:t>去除量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1340" w:type="dxa"/>
            <w:vAlign w:val="top"/>
          </w:tcPr>
          <w:p w14:paraId="1780CC97">
            <w:pPr>
              <w:pStyle w:val="6"/>
              <w:spacing w:before="63" w:line="230" w:lineRule="auto"/>
              <w:ind w:left="195" w:right="198" w:firstLine="59"/>
              <w:rPr>
                <w:sz w:val="20"/>
                <w:szCs w:val="20"/>
              </w:rPr>
            </w:pPr>
            <w:r>
              <w:rPr>
                <w:spacing w:val="7"/>
                <w:sz w:val="20"/>
                <w:szCs w:val="20"/>
              </w:rPr>
              <w:t>排放浓度</w:t>
            </w:r>
            <w:r>
              <w:rPr>
                <w:sz w:val="20"/>
                <w:szCs w:val="20"/>
              </w:rPr>
              <w:t xml:space="preserve"> </w:t>
            </w:r>
            <w:r>
              <w:rPr>
                <w:spacing w:val="1"/>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1"/>
                <w:sz w:val="20"/>
                <w:szCs w:val="20"/>
              </w:rPr>
              <w:t>/m</w:t>
            </w:r>
            <w:r>
              <w:rPr>
                <w:rFonts w:ascii="Times New Roman" w:hAnsi="Times New Roman" w:eastAsia="Times New Roman" w:cs="Times New Roman"/>
                <w:spacing w:val="1"/>
                <w:position w:val="6"/>
                <w:sz w:val="13"/>
                <w:szCs w:val="13"/>
              </w:rPr>
              <w:t>3</w:t>
            </w:r>
            <w:r>
              <w:rPr>
                <w:spacing w:val="1"/>
                <w:sz w:val="20"/>
                <w:szCs w:val="20"/>
              </w:rPr>
              <w:t>）</w:t>
            </w:r>
          </w:p>
        </w:tc>
        <w:tc>
          <w:tcPr>
            <w:tcW w:w="963" w:type="dxa"/>
            <w:tcBorders>
              <w:right w:val="nil"/>
            </w:tcBorders>
            <w:vAlign w:val="top"/>
          </w:tcPr>
          <w:p w14:paraId="115FE7F2">
            <w:pPr>
              <w:pStyle w:val="6"/>
              <w:spacing w:before="62" w:line="232" w:lineRule="auto"/>
              <w:ind w:left="182" w:right="166" w:hanging="10"/>
              <w:rPr>
                <w:sz w:val="20"/>
                <w:szCs w:val="20"/>
              </w:rPr>
            </w:pPr>
            <w:r>
              <w:rPr>
                <w:spacing w:val="6"/>
                <w:sz w:val="20"/>
                <w:szCs w:val="20"/>
              </w:rPr>
              <w:t>排放量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r>
      <w:tr w14:paraId="5B7A16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701" w:type="dxa"/>
            <w:vMerge w:val="restart"/>
            <w:tcBorders>
              <w:left w:val="nil"/>
              <w:bottom w:val="nil"/>
            </w:tcBorders>
            <w:vAlign w:val="top"/>
          </w:tcPr>
          <w:p w14:paraId="252F57E1">
            <w:pPr>
              <w:pStyle w:val="6"/>
              <w:spacing w:before="156" w:line="228" w:lineRule="auto"/>
              <w:ind w:left="148"/>
              <w:rPr>
                <w:sz w:val="20"/>
                <w:szCs w:val="20"/>
              </w:rPr>
            </w:pPr>
            <w:r>
              <w:rPr>
                <w:spacing w:val="4"/>
                <w:sz w:val="20"/>
                <w:szCs w:val="20"/>
              </w:rPr>
              <w:t>锰矿</w:t>
            </w:r>
          </w:p>
          <w:p w14:paraId="6CE69C78">
            <w:pPr>
              <w:pStyle w:val="6"/>
              <w:spacing w:before="12" w:line="228" w:lineRule="auto"/>
              <w:ind w:left="148"/>
              <w:rPr>
                <w:sz w:val="20"/>
                <w:szCs w:val="20"/>
              </w:rPr>
            </w:pPr>
            <w:r>
              <w:rPr>
                <w:spacing w:val="4"/>
                <w:sz w:val="20"/>
                <w:szCs w:val="20"/>
              </w:rPr>
              <w:t>石烘</w:t>
            </w:r>
          </w:p>
          <w:p w14:paraId="1DB3D959">
            <w:pPr>
              <w:pStyle w:val="6"/>
              <w:spacing w:before="11" w:line="227" w:lineRule="auto"/>
              <w:ind w:left="252"/>
              <w:rPr>
                <w:sz w:val="20"/>
                <w:szCs w:val="20"/>
              </w:rPr>
            </w:pPr>
            <w:r>
              <w:rPr>
                <w:spacing w:val="1"/>
                <w:sz w:val="20"/>
                <w:szCs w:val="20"/>
              </w:rPr>
              <w:t>干</w:t>
            </w:r>
          </w:p>
        </w:tc>
        <w:tc>
          <w:tcPr>
            <w:tcW w:w="1107" w:type="dxa"/>
            <w:vAlign w:val="top"/>
          </w:tcPr>
          <w:p w14:paraId="2CA5648B">
            <w:pPr>
              <w:pStyle w:val="6"/>
              <w:spacing w:before="76" w:line="226" w:lineRule="auto"/>
              <w:ind w:left="242"/>
              <w:rPr>
                <w:sz w:val="20"/>
                <w:szCs w:val="20"/>
              </w:rPr>
            </w:pPr>
            <w:r>
              <w:rPr>
                <w:spacing w:val="7"/>
                <w:sz w:val="20"/>
                <w:szCs w:val="20"/>
              </w:rPr>
              <w:t>颗粒物</w:t>
            </w:r>
          </w:p>
        </w:tc>
        <w:tc>
          <w:tcPr>
            <w:tcW w:w="1757" w:type="dxa"/>
            <w:vMerge w:val="restart"/>
            <w:tcBorders>
              <w:bottom w:val="nil"/>
            </w:tcBorders>
            <w:vAlign w:val="top"/>
          </w:tcPr>
          <w:p w14:paraId="4DF8697B">
            <w:pPr>
              <w:spacing w:line="392" w:lineRule="auto"/>
              <w:rPr>
                <w:rFonts w:ascii="Arial"/>
                <w:sz w:val="21"/>
              </w:rPr>
            </w:pPr>
          </w:p>
          <w:p w14:paraId="54DC81F2">
            <w:pPr>
              <w:spacing w:before="57" w:line="195" w:lineRule="auto"/>
              <w:ind w:left="56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200000</w:t>
            </w:r>
          </w:p>
        </w:tc>
        <w:tc>
          <w:tcPr>
            <w:tcW w:w="1338" w:type="dxa"/>
            <w:vAlign w:val="top"/>
          </w:tcPr>
          <w:p w14:paraId="09A2AD4E">
            <w:pPr>
              <w:spacing w:before="111" w:line="195" w:lineRule="auto"/>
              <w:ind w:left="3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309.37</w:t>
            </w:r>
          </w:p>
        </w:tc>
        <w:tc>
          <w:tcPr>
            <w:tcW w:w="1070" w:type="dxa"/>
            <w:vAlign w:val="top"/>
          </w:tcPr>
          <w:p w14:paraId="75153396">
            <w:pPr>
              <w:spacing w:before="111" w:line="195" w:lineRule="auto"/>
              <w:ind w:left="19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2474.95</w:t>
            </w:r>
          </w:p>
        </w:tc>
        <w:tc>
          <w:tcPr>
            <w:tcW w:w="947" w:type="dxa"/>
            <w:vAlign w:val="top"/>
          </w:tcPr>
          <w:p w14:paraId="0BA26AAF">
            <w:pPr>
              <w:spacing w:before="111"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2450.20</w:t>
            </w:r>
          </w:p>
        </w:tc>
        <w:tc>
          <w:tcPr>
            <w:tcW w:w="1340" w:type="dxa"/>
            <w:vAlign w:val="top"/>
          </w:tcPr>
          <w:p w14:paraId="63FFEED5">
            <w:pPr>
              <w:spacing w:before="111" w:line="195" w:lineRule="auto"/>
              <w:ind w:left="4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15.47</w:t>
            </w:r>
          </w:p>
        </w:tc>
        <w:tc>
          <w:tcPr>
            <w:tcW w:w="963" w:type="dxa"/>
            <w:tcBorders>
              <w:right w:val="nil"/>
            </w:tcBorders>
            <w:vAlign w:val="top"/>
          </w:tcPr>
          <w:p w14:paraId="5866D6DB">
            <w:pPr>
              <w:spacing w:before="111" w:line="195" w:lineRule="auto"/>
              <w:ind w:left="24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24.75</w:t>
            </w:r>
          </w:p>
        </w:tc>
      </w:tr>
      <w:tr w14:paraId="76F517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701" w:type="dxa"/>
            <w:vMerge w:val="continue"/>
            <w:tcBorders>
              <w:top w:val="nil"/>
              <w:left w:val="nil"/>
              <w:bottom w:val="nil"/>
            </w:tcBorders>
            <w:vAlign w:val="top"/>
          </w:tcPr>
          <w:p w14:paraId="4AF61CB0">
            <w:pPr>
              <w:rPr>
                <w:rFonts w:ascii="Arial"/>
                <w:sz w:val="21"/>
              </w:rPr>
            </w:pPr>
          </w:p>
        </w:tc>
        <w:tc>
          <w:tcPr>
            <w:tcW w:w="1107" w:type="dxa"/>
            <w:vAlign w:val="top"/>
          </w:tcPr>
          <w:p w14:paraId="422AE67F">
            <w:pPr>
              <w:spacing w:before="116" w:line="202" w:lineRule="auto"/>
              <w:ind w:left="395"/>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1757" w:type="dxa"/>
            <w:vMerge w:val="continue"/>
            <w:tcBorders>
              <w:top w:val="nil"/>
              <w:bottom w:val="nil"/>
            </w:tcBorders>
            <w:vAlign w:val="top"/>
          </w:tcPr>
          <w:p w14:paraId="30AA824B">
            <w:pPr>
              <w:rPr>
                <w:rFonts w:ascii="Arial"/>
                <w:sz w:val="21"/>
              </w:rPr>
            </w:pPr>
          </w:p>
        </w:tc>
        <w:tc>
          <w:tcPr>
            <w:tcW w:w="1338" w:type="dxa"/>
            <w:vAlign w:val="top"/>
          </w:tcPr>
          <w:p w14:paraId="70F7B3D4">
            <w:pPr>
              <w:spacing w:before="116" w:line="195" w:lineRule="auto"/>
              <w:ind w:left="4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0.59</w:t>
            </w:r>
          </w:p>
        </w:tc>
        <w:tc>
          <w:tcPr>
            <w:tcW w:w="1070" w:type="dxa"/>
            <w:vAlign w:val="top"/>
          </w:tcPr>
          <w:p w14:paraId="71B63690">
            <w:pPr>
              <w:spacing w:before="116" w:line="195" w:lineRule="auto"/>
              <w:ind w:left="3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4.71</w:t>
            </w:r>
          </w:p>
        </w:tc>
        <w:tc>
          <w:tcPr>
            <w:tcW w:w="947" w:type="dxa"/>
            <w:vAlign w:val="top"/>
          </w:tcPr>
          <w:p w14:paraId="446D4DB9">
            <w:pPr>
              <w:spacing w:before="112"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340" w:type="dxa"/>
            <w:vAlign w:val="top"/>
          </w:tcPr>
          <w:p w14:paraId="36C70DBF">
            <w:pPr>
              <w:spacing w:before="116" w:line="195" w:lineRule="auto"/>
              <w:ind w:left="4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2.94</w:t>
            </w:r>
          </w:p>
        </w:tc>
        <w:tc>
          <w:tcPr>
            <w:tcW w:w="963" w:type="dxa"/>
            <w:tcBorders>
              <w:right w:val="nil"/>
            </w:tcBorders>
            <w:vAlign w:val="top"/>
          </w:tcPr>
          <w:p w14:paraId="60C3A80C">
            <w:pPr>
              <w:spacing w:before="116" w:line="195" w:lineRule="auto"/>
              <w:ind w:left="29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4.71</w:t>
            </w:r>
          </w:p>
        </w:tc>
      </w:tr>
      <w:tr w14:paraId="0E2BA3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701" w:type="dxa"/>
            <w:vMerge w:val="continue"/>
            <w:tcBorders>
              <w:top w:val="nil"/>
              <w:left w:val="nil"/>
              <w:bottom w:val="single" w:color="000000" w:sz="10" w:space="0"/>
            </w:tcBorders>
            <w:vAlign w:val="top"/>
          </w:tcPr>
          <w:p w14:paraId="4EAAA8FB">
            <w:pPr>
              <w:rPr>
                <w:rFonts w:ascii="Arial"/>
                <w:sz w:val="21"/>
              </w:rPr>
            </w:pPr>
          </w:p>
        </w:tc>
        <w:tc>
          <w:tcPr>
            <w:tcW w:w="1107" w:type="dxa"/>
            <w:tcBorders>
              <w:bottom w:val="single" w:color="000000" w:sz="10" w:space="0"/>
            </w:tcBorders>
            <w:vAlign w:val="top"/>
          </w:tcPr>
          <w:p w14:paraId="131F8DCC">
            <w:pPr>
              <w:spacing w:before="121" w:line="195" w:lineRule="auto"/>
              <w:ind w:left="343"/>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NOx</w:t>
            </w:r>
          </w:p>
        </w:tc>
        <w:tc>
          <w:tcPr>
            <w:tcW w:w="1757" w:type="dxa"/>
            <w:vMerge w:val="continue"/>
            <w:tcBorders>
              <w:top w:val="nil"/>
              <w:bottom w:val="single" w:color="000000" w:sz="10" w:space="0"/>
            </w:tcBorders>
            <w:vAlign w:val="top"/>
          </w:tcPr>
          <w:p w14:paraId="2A6872C1">
            <w:pPr>
              <w:rPr>
                <w:rFonts w:ascii="Arial"/>
                <w:sz w:val="21"/>
              </w:rPr>
            </w:pPr>
          </w:p>
        </w:tc>
        <w:tc>
          <w:tcPr>
            <w:tcW w:w="1338" w:type="dxa"/>
            <w:tcBorders>
              <w:bottom w:val="single" w:color="000000" w:sz="10" w:space="0"/>
            </w:tcBorders>
            <w:vAlign w:val="top"/>
          </w:tcPr>
          <w:p w14:paraId="40DC193D">
            <w:pPr>
              <w:spacing w:before="121" w:line="195" w:lineRule="auto"/>
              <w:ind w:left="4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0.70</w:t>
            </w:r>
          </w:p>
        </w:tc>
        <w:tc>
          <w:tcPr>
            <w:tcW w:w="1070" w:type="dxa"/>
            <w:tcBorders>
              <w:bottom w:val="single" w:color="000000" w:sz="10" w:space="0"/>
            </w:tcBorders>
            <w:vAlign w:val="top"/>
          </w:tcPr>
          <w:p w14:paraId="6CEB6F51">
            <w:pPr>
              <w:spacing w:before="121" w:line="195" w:lineRule="auto"/>
              <w:ind w:left="3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5.60</w:t>
            </w:r>
          </w:p>
        </w:tc>
        <w:tc>
          <w:tcPr>
            <w:tcW w:w="947" w:type="dxa"/>
            <w:tcBorders>
              <w:bottom w:val="single" w:color="000000" w:sz="10" w:space="0"/>
            </w:tcBorders>
            <w:vAlign w:val="top"/>
          </w:tcPr>
          <w:p w14:paraId="476A34CB">
            <w:pPr>
              <w:spacing w:before="117"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340" w:type="dxa"/>
            <w:tcBorders>
              <w:bottom w:val="single" w:color="000000" w:sz="10" w:space="0"/>
            </w:tcBorders>
            <w:vAlign w:val="top"/>
          </w:tcPr>
          <w:p w14:paraId="3F8C7869">
            <w:pPr>
              <w:spacing w:before="121" w:line="195" w:lineRule="auto"/>
              <w:ind w:left="4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3.50</w:t>
            </w:r>
          </w:p>
        </w:tc>
        <w:tc>
          <w:tcPr>
            <w:tcW w:w="963" w:type="dxa"/>
            <w:tcBorders>
              <w:bottom w:val="single" w:color="000000" w:sz="10" w:space="0"/>
              <w:right w:val="nil"/>
            </w:tcBorders>
            <w:vAlign w:val="top"/>
          </w:tcPr>
          <w:p w14:paraId="3EDC4959">
            <w:pPr>
              <w:spacing w:before="121" w:line="195" w:lineRule="auto"/>
              <w:ind w:left="30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5.60</w:t>
            </w:r>
          </w:p>
        </w:tc>
      </w:tr>
    </w:tbl>
    <w:p w14:paraId="21D99C08">
      <w:pPr>
        <w:spacing w:before="121" w:line="219" w:lineRule="auto"/>
        <w:ind w:left="589"/>
        <w:rPr>
          <w:rFonts w:ascii="Times New Roman" w:hAnsi="Times New Roman" w:eastAsia="Times New Roman" w:cs="Times New Roman"/>
          <w:sz w:val="15"/>
          <w:szCs w:val="15"/>
        </w:rPr>
      </w:pPr>
      <w:r>
        <w:rPr>
          <w:rFonts w:ascii="Times New Roman" w:hAnsi="Times New Roman" w:eastAsia="Times New Roman" w:cs="Times New Roman"/>
          <w:b/>
          <w:bCs/>
          <w:spacing w:val="-2"/>
          <w:sz w:val="24"/>
          <w:szCs w:val="24"/>
        </w:rPr>
        <w:t>2</w:t>
      </w:r>
      <w:r>
        <w:rPr>
          <w:rFonts w:ascii="宋体" w:hAnsi="宋体" w:eastAsia="宋体" w:cs="宋体"/>
          <w:b/>
          <w:bCs/>
          <w:spacing w:val="-2"/>
          <w:sz w:val="24"/>
          <w:szCs w:val="24"/>
        </w:rPr>
        <w:t>）出料工序粉尘</w:t>
      </w:r>
      <w:r>
        <w:rPr>
          <w:rFonts w:ascii="宋体" w:hAnsi="宋体" w:eastAsia="宋体" w:cs="宋体"/>
          <w:spacing w:val="-46"/>
          <w:sz w:val="24"/>
          <w:szCs w:val="24"/>
        </w:rPr>
        <w:t xml:space="preserve"> </w:t>
      </w:r>
      <w:r>
        <w:rPr>
          <w:rFonts w:ascii="Times New Roman" w:hAnsi="Times New Roman" w:eastAsia="Times New Roman" w:cs="Times New Roman"/>
          <w:b/>
          <w:bCs/>
          <w:spacing w:val="-2"/>
          <w:sz w:val="24"/>
          <w:szCs w:val="24"/>
        </w:rPr>
        <w:t>G</w:t>
      </w:r>
      <w:r>
        <w:rPr>
          <w:rFonts w:ascii="Times New Roman" w:hAnsi="Times New Roman" w:eastAsia="Times New Roman" w:cs="Times New Roman"/>
          <w:b/>
          <w:bCs/>
          <w:spacing w:val="-2"/>
          <w:sz w:val="15"/>
          <w:szCs w:val="15"/>
        </w:rPr>
        <w:t>1-4</w:t>
      </w:r>
    </w:p>
    <w:p w14:paraId="7C062421">
      <w:pPr>
        <w:spacing w:before="193" w:line="219" w:lineRule="auto"/>
        <w:ind w:left="593"/>
        <w:rPr>
          <w:rFonts w:ascii="宋体" w:hAnsi="宋体" w:eastAsia="宋体" w:cs="宋体"/>
          <w:sz w:val="24"/>
          <w:szCs w:val="24"/>
        </w:rPr>
      </w:pPr>
      <w:r>
        <w:rPr>
          <w:rFonts w:ascii="宋体" w:hAnsi="宋体" w:eastAsia="宋体" w:cs="宋体"/>
          <w:spacing w:val="-1"/>
          <w:sz w:val="24"/>
          <w:szCs w:val="24"/>
        </w:rPr>
        <w:t>锰矿石出料工序主要污染物为粉尘，主要成分为颗粒物。</w:t>
      </w:r>
    </w:p>
    <w:p w14:paraId="6CF659DB">
      <w:pPr>
        <w:spacing w:before="193" w:line="359" w:lineRule="auto"/>
        <w:ind w:left="112" w:right="103" w:firstLine="480"/>
        <w:rPr>
          <w:rFonts w:ascii="宋体" w:hAnsi="宋体" w:eastAsia="宋体" w:cs="宋体"/>
          <w:sz w:val="24"/>
          <w:szCs w:val="24"/>
        </w:rPr>
      </w:pPr>
      <w:r>
        <w:rPr>
          <w:rFonts w:ascii="宋体" w:hAnsi="宋体" w:eastAsia="宋体" w:cs="宋体"/>
          <w:spacing w:val="-3"/>
          <w:sz w:val="24"/>
          <w:szCs w:val="24"/>
        </w:rPr>
        <w:t>锰矿石出料工序产生的颗粒物源强计算：本项目锰矿石出料口出料后</w:t>
      </w:r>
      <w:r>
        <w:rPr>
          <w:rFonts w:ascii="宋体" w:hAnsi="宋体" w:eastAsia="宋体" w:cs="宋体"/>
          <w:spacing w:val="-4"/>
          <w:sz w:val="24"/>
          <w:szCs w:val="24"/>
        </w:rPr>
        <w:t>经卡车运输至</w:t>
      </w:r>
      <w:r>
        <w:rPr>
          <w:rFonts w:ascii="宋体" w:hAnsi="宋体" w:eastAsia="宋体" w:cs="宋体"/>
          <w:sz w:val="24"/>
          <w:szCs w:val="24"/>
        </w:rPr>
        <w:t xml:space="preserve"> </w:t>
      </w:r>
      <w:r>
        <w:rPr>
          <w:rFonts w:ascii="宋体" w:hAnsi="宋体" w:eastAsia="宋体" w:cs="宋体"/>
          <w:spacing w:val="-1"/>
          <w:sz w:val="24"/>
          <w:szCs w:val="24"/>
        </w:rPr>
        <w:t>矿热生产料仓，参照《逸散性工业粉尘控制技术》表</w:t>
      </w:r>
      <w:r>
        <w:rPr>
          <w:rFonts w:ascii="宋体" w:hAnsi="宋体" w:eastAsia="宋体" w:cs="宋体"/>
          <w:spacing w:val="-31"/>
          <w:sz w:val="24"/>
          <w:szCs w:val="24"/>
        </w:rPr>
        <w:t xml:space="preserve"> </w:t>
      </w:r>
      <w:r>
        <w:rPr>
          <w:rFonts w:ascii="Times New Roman" w:hAnsi="Times New Roman" w:eastAsia="Times New Roman" w:cs="Times New Roman"/>
          <w:spacing w:val="-1"/>
          <w:sz w:val="24"/>
          <w:szCs w:val="24"/>
        </w:rPr>
        <w:t xml:space="preserve">18-1 </w:t>
      </w:r>
      <w:r>
        <w:rPr>
          <w:rFonts w:ascii="宋体" w:hAnsi="宋体" w:eastAsia="宋体" w:cs="宋体"/>
          <w:spacing w:val="-1"/>
          <w:sz w:val="24"/>
          <w:szCs w:val="24"/>
        </w:rPr>
        <w:t>粒料加工厂逸散粉尘的排放</w:t>
      </w:r>
      <w:r>
        <w:rPr>
          <w:rFonts w:ascii="宋体" w:hAnsi="宋体" w:eastAsia="宋体" w:cs="宋体"/>
          <w:sz w:val="24"/>
          <w:szCs w:val="24"/>
        </w:rPr>
        <w:t xml:space="preserve"> </w:t>
      </w:r>
      <w:r>
        <w:rPr>
          <w:rFonts w:ascii="宋体" w:hAnsi="宋体" w:eastAsia="宋体" w:cs="宋体"/>
          <w:spacing w:val="-1"/>
          <w:sz w:val="24"/>
          <w:szCs w:val="24"/>
        </w:rPr>
        <w:t>因子（第</w:t>
      </w:r>
      <w:r>
        <w:rPr>
          <w:rFonts w:ascii="宋体" w:hAnsi="宋体" w:eastAsia="宋体" w:cs="宋体"/>
          <w:spacing w:val="-41"/>
          <w:sz w:val="24"/>
          <w:szCs w:val="24"/>
        </w:rPr>
        <w:t xml:space="preserve"> </w:t>
      </w:r>
      <w:r>
        <w:rPr>
          <w:rFonts w:ascii="Times New Roman" w:hAnsi="Times New Roman" w:eastAsia="Times New Roman" w:cs="Times New Roman"/>
          <w:spacing w:val="-1"/>
          <w:sz w:val="24"/>
          <w:szCs w:val="24"/>
        </w:rPr>
        <w:t>276</w:t>
      </w:r>
      <w:r>
        <w:rPr>
          <w:rFonts w:ascii="Times New Roman" w:hAnsi="Times New Roman" w:eastAsia="Times New Roman" w:cs="Times New Roman"/>
          <w:spacing w:val="15"/>
          <w:w w:val="101"/>
          <w:sz w:val="24"/>
          <w:szCs w:val="24"/>
        </w:rPr>
        <w:t xml:space="preserve"> </w:t>
      </w:r>
      <w:r>
        <w:rPr>
          <w:rFonts w:ascii="宋体" w:hAnsi="宋体" w:eastAsia="宋体" w:cs="宋体"/>
          <w:spacing w:val="-1"/>
          <w:sz w:val="24"/>
          <w:szCs w:val="24"/>
        </w:rPr>
        <w:t>页）</w:t>
      </w:r>
      <w:r>
        <w:rPr>
          <w:rFonts w:ascii="Times New Roman" w:hAnsi="Times New Roman" w:eastAsia="Times New Roman" w:cs="Times New Roman"/>
          <w:spacing w:val="-1"/>
          <w:sz w:val="24"/>
          <w:szCs w:val="24"/>
        </w:rPr>
        <w:t>“</w:t>
      </w:r>
      <w:r>
        <w:rPr>
          <w:rFonts w:ascii="宋体" w:hAnsi="宋体" w:eastAsia="宋体" w:cs="宋体"/>
          <w:spacing w:val="-1"/>
          <w:sz w:val="24"/>
          <w:szCs w:val="24"/>
        </w:rPr>
        <w:t xml:space="preserve">矿渣的出料排放因子为 </w:t>
      </w:r>
      <w:r>
        <w:rPr>
          <w:rFonts w:ascii="Times New Roman" w:hAnsi="Times New Roman" w:eastAsia="Times New Roman" w:cs="Times New Roman"/>
          <w:spacing w:val="-1"/>
          <w:sz w:val="24"/>
          <w:szCs w:val="24"/>
        </w:rPr>
        <w:t>0.006kg/t-</w:t>
      </w:r>
      <w:r>
        <w:rPr>
          <w:rFonts w:ascii="宋体" w:hAnsi="宋体" w:eastAsia="宋体" w:cs="宋体"/>
          <w:spacing w:val="-1"/>
          <w:sz w:val="24"/>
          <w:szCs w:val="24"/>
        </w:rPr>
        <w:t>装料和矿渣的装货（卡车）排放</w:t>
      </w:r>
      <w:r>
        <w:rPr>
          <w:rFonts w:ascii="宋体" w:hAnsi="宋体" w:eastAsia="宋体" w:cs="宋体"/>
          <w:sz w:val="24"/>
          <w:szCs w:val="24"/>
        </w:rPr>
        <w:t xml:space="preserve">  </w:t>
      </w:r>
      <w:r>
        <w:rPr>
          <w:rFonts w:ascii="宋体" w:hAnsi="宋体" w:eastAsia="宋体" w:cs="宋体"/>
          <w:spacing w:val="-2"/>
          <w:sz w:val="24"/>
          <w:szCs w:val="24"/>
        </w:rPr>
        <w:t>因子为</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0.01kg/t-</w:t>
      </w:r>
      <w:r>
        <w:rPr>
          <w:rFonts w:ascii="宋体" w:hAnsi="宋体" w:eastAsia="宋体" w:cs="宋体"/>
          <w:spacing w:val="-2"/>
          <w:sz w:val="24"/>
          <w:szCs w:val="24"/>
        </w:rPr>
        <w:t>装货</w:t>
      </w:r>
      <w:r>
        <w:rPr>
          <w:rFonts w:ascii="Times New Roman" w:hAnsi="Times New Roman" w:eastAsia="Times New Roman" w:cs="Times New Roman"/>
          <w:spacing w:val="-2"/>
          <w:sz w:val="24"/>
          <w:szCs w:val="24"/>
        </w:rPr>
        <w:t>”</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，本项目装货量为</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843505.59t</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，根据计算，出料工序颗粒物产生</w:t>
      </w:r>
      <w:r>
        <w:rPr>
          <w:rFonts w:ascii="宋体" w:hAnsi="宋体" w:eastAsia="宋体" w:cs="宋体"/>
          <w:sz w:val="24"/>
          <w:szCs w:val="24"/>
        </w:rPr>
        <w:t xml:space="preserve">  </w:t>
      </w:r>
      <w:r>
        <w:rPr>
          <w:rFonts w:ascii="宋体" w:hAnsi="宋体" w:eastAsia="宋体" w:cs="宋体"/>
          <w:spacing w:val="-4"/>
          <w:sz w:val="24"/>
          <w:szCs w:val="24"/>
        </w:rPr>
        <w:t>量为</w:t>
      </w:r>
      <w:r>
        <w:rPr>
          <w:rFonts w:ascii="宋体" w:hAnsi="宋体" w:eastAsia="宋体" w:cs="宋体"/>
          <w:spacing w:val="-28"/>
          <w:sz w:val="24"/>
          <w:szCs w:val="24"/>
        </w:rPr>
        <w:t xml:space="preserve"> </w:t>
      </w:r>
      <w:r>
        <w:rPr>
          <w:rFonts w:ascii="Times New Roman" w:hAnsi="Times New Roman" w:eastAsia="Times New Roman" w:cs="Times New Roman"/>
          <w:spacing w:val="-4"/>
          <w:sz w:val="24"/>
          <w:szCs w:val="24"/>
        </w:rPr>
        <w:t>13.50t/a</w:t>
      </w:r>
      <w:r>
        <w:rPr>
          <w:rFonts w:ascii="Times New Roman" w:hAnsi="Times New Roman" w:eastAsia="Times New Roman" w:cs="Times New Roman"/>
          <w:spacing w:val="-32"/>
          <w:sz w:val="24"/>
          <w:szCs w:val="24"/>
        </w:rPr>
        <w:t xml:space="preserve"> </w:t>
      </w:r>
      <w:r>
        <w:rPr>
          <w:rFonts w:ascii="宋体" w:hAnsi="宋体" w:eastAsia="宋体" w:cs="宋体"/>
          <w:spacing w:val="-4"/>
          <w:sz w:val="24"/>
          <w:szCs w:val="24"/>
        </w:rPr>
        <w:t>，产生速率为</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1.80kg/h</w:t>
      </w:r>
      <w:r>
        <w:rPr>
          <w:rFonts w:ascii="宋体" w:hAnsi="宋体" w:eastAsia="宋体" w:cs="宋体"/>
          <w:spacing w:val="-4"/>
          <w:sz w:val="24"/>
          <w:szCs w:val="24"/>
        </w:rPr>
        <w:t>。</w:t>
      </w:r>
    </w:p>
    <w:p w14:paraId="7307FA3F">
      <w:pPr>
        <w:spacing w:line="359" w:lineRule="auto"/>
        <w:rPr>
          <w:rFonts w:ascii="宋体" w:hAnsi="宋体" w:eastAsia="宋体" w:cs="宋体"/>
          <w:sz w:val="24"/>
          <w:szCs w:val="24"/>
        </w:rPr>
        <w:sectPr>
          <w:headerReference r:id="rId167" w:type="default"/>
          <w:footerReference r:id="rId168" w:type="default"/>
          <w:pgSz w:w="11850" w:h="16781"/>
          <w:pgMar w:top="1190" w:right="1313" w:bottom="1013" w:left="1311" w:header="882" w:footer="850" w:gutter="0"/>
          <w:cols w:space="720" w:num="1"/>
        </w:sectPr>
      </w:pPr>
    </w:p>
    <w:p w14:paraId="06A3DBF2">
      <w:pPr>
        <w:pStyle w:val="2"/>
        <w:spacing w:line="291" w:lineRule="auto"/>
      </w:pPr>
      <w:r>
        <w:pict>
          <v:shape id="_x0000_s1203" o:spid="_x0000_s1203" style="position:absolute;left:0pt;margin-left:5.4pt;margin-top:0.7pt;height:0.75pt;width:450.75pt;z-index:251862016;mso-width-relative:page;mso-height-relative:page;" fillcolor="#000000" filled="t" stroked="f" coordsize="9015,15" path="m0,0l9014,0,9014,14,0,14,0,0xe">
            <v:path/>
            <v:fill on="t" focussize="0,0"/>
            <v:stroke on="f"/>
            <v:imagedata o:title=""/>
            <o:lock v:ext="edit"/>
          </v:shape>
        </w:pict>
      </w:r>
    </w:p>
    <w:p w14:paraId="4D55E94C">
      <w:pPr>
        <w:spacing w:before="65" w:line="228" w:lineRule="auto"/>
        <w:ind w:left="221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9"/>
          <w:sz w:val="20"/>
          <w:szCs w:val="20"/>
        </w:rPr>
        <w:t xml:space="preserve"> </w:t>
      </w:r>
      <w:r>
        <w:rPr>
          <w:rFonts w:ascii="Times New Roman" w:hAnsi="Times New Roman" w:eastAsia="Times New Roman" w:cs="Times New Roman"/>
          <w:b/>
          <w:bCs/>
          <w:spacing w:val="5"/>
          <w:sz w:val="20"/>
          <w:szCs w:val="20"/>
        </w:rPr>
        <w:t xml:space="preserve">2.3-15            </w:t>
      </w:r>
      <w:r>
        <w:rPr>
          <w:rFonts w:ascii="宋体" w:hAnsi="宋体" w:eastAsia="宋体" w:cs="宋体"/>
          <w:b/>
          <w:bCs/>
          <w:spacing w:val="5"/>
          <w:sz w:val="20"/>
          <w:szCs w:val="20"/>
        </w:rPr>
        <w:t>项目锰矿石出料粉尘产排情况汇总表</w:t>
      </w:r>
    </w:p>
    <w:p w14:paraId="09C6C45F">
      <w:pPr>
        <w:spacing w:line="97" w:lineRule="exact"/>
      </w:pPr>
    </w:p>
    <w:tbl>
      <w:tblPr>
        <w:tblStyle w:val="5"/>
        <w:tblW w:w="923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55"/>
        <w:gridCol w:w="789"/>
        <w:gridCol w:w="1029"/>
        <w:gridCol w:w="861"/>
        <w:gridCol w:w="861"/>
        <w:gridCol w:w="1218"/>
        <w:gridCol w:w="866"/>
        <w:gridCol w:w="1029"/>
        <w:gridCol w:w="861"/>
        <w:gridCol w:w="861"/>
      </w:tblGrid>
      <w:tr w14:paraId="56E91B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1644" w:type="dxa"/>
            <w:gridSpan w:val="2"/>
            <w:vMerge w:val="restart"/>
            <w:tcBorders>
              <w:top w:val="single" w:color="000000" w:sz="10" w:space="0"/>
              <w:left w:val="nil"/>
              <w:bottom w:val="nil"/>
            </w:tcBorders>
            <w:vAlign w:val="top"/>
          </w:tcPr>
          <w:p w14:paraId="5DE67DD0">
            <w:pPr>
              <w:spacing w:line="300" w:lineRule="auto"/>
              <w:rPr>
                <w:rFonts w:ascii="Arial"/>
                <w:sz w:val="21"/>
              </w:rPr>
            </w:pPr>
          </w:p>
          <w:p w14:paraId="0AF21547">
            <w:pPr>
              <w:pStyle w:val="6"/>
              <w:spacing w:before="65" w:line="228" w:lineRule="auto"/>
              <w:ind w:left="517"/>
              <w:rPr>
                <w:sz w:val="20"/>
                <w:szCs w:val="20"/>
              </w:rPr>
            </w:pPr>
            <w:r>
              <w:rPr>
                <w:spacing w:val="6"/>
                <w:sz w:val="20"/>
                <w:szCs w:val="20"/>
              </w:rPr>
              <w:t>污染物</w:t>
            </w:r>
          </w:p>
        </w:tc>
        <w:tc>
          <w:tcPr>
            <w:tcW w:w="1890" w:type="dxa"/>
            <w:gridSpan w:val="2"/>
            <w:tcBorders>
              <w:top w:val="single" w:color="000000" w:sz="10" w:space="0"/>
            </w:tcBorders>
            <w:vAlign w:val="top"/>
          </w:tcPr>
          <w:p w14:paraId="3FCCEBF2">
            <w:pPr>
              <w:pStyle w:val="6"/>
              <w:spacing w:before="74" w:line="228" w:lineRule="auto"/>
              <w:ind w:left="530"/>
              <w:rPr>
                <w:sz w:val="20"/>
                <w:szCs w:val="20"/>
              </w:rPr>
            </w:pPr>
            <w:r>
              <w:rPr>
                <w:spacing w:val="7"/>
                <w:sz w:val="20"/>
                <w:szCs w:val="20"/>
              </w:rPr>
              <w:t>产生情况</w:t>
            </w:r>
          </w:p>
        </w:tc>
        <w:tc>
          <w:tcPr>
            <w:tcW w:w="2945" w:type="dxa"/>
            <w:gridSpan w:val="3"/>
            <w:tcBorders>
              <w:top w:val="single" w:color="000000" w:sz="10" w:space="0"/>
            </w:tcBorders>
            <w:vAlign w:val="top"/>
          </w:tcPr>
          <w:p w14:paraId="27B81A40">
            <w:pPr>
              <w:pStyle w:val="6"/>
              <w:spacing w:before="74" w:line="228" w:lineRule="auto"/>
              <w:ind w:left="1066"/>
              <w:rPr>
                <w:sz w:val="20"/>
                <w:szCs w:val="20"/>
              </w:rPr>
            </w:pPr>
            <w:r>
              <w:rPr>
                <w:spacing w:val="5"/>
                <w:sz w:val="20"/>
                <w:szCs w:val="20"/>
              </w:rPr>
              <w:t>收集处置</w:t>
            </w:r>
          </w:p>
        </w:tc>
        <w:tc>
          <w:tcPr>
            <w:tcW w:w="1890" w:type="dxa"/>
            <w:gridSpan w:val="2"/>
            <w:tcBorders>
              <w:top w:val="single" w:color="000000" w:sz="10" w:space="0"/>
            </w:tcBorders>
            <w:vAlign w:val="top"/>
          </w:tcPr>
          <w:p w14:paraId="274721F5">
            <w:pPr>
              <w:pStyle w:val="6"/>
              <w:spacing w:before="74" w:line="228" w:lineRule="auto"/>
              <w:ind w:left="427"/>
              <w:rPr>
                <w:sz w:val="20"/>
                <w:szCs w:val="20"/>
              </w:rPr>
            </w:pPr>
            <w:r>
              <w:rPr>
                <w:spacing w:val="7"/>
                <w:sz w:val="20"/>
                <w:szCs w:val="20"/>
              </w:rPr>
              <w:t>无组织排放</w:t>
            </w:r>
          </w:p>
        </w:tc>
        <w:tc>
          <w:tcPr>
            <w:tcW w:w="861" w:type="dxa"/>
            <w:vMerge w:val="restart"/>
            <w:tcBorders>
              <w:top w:val="single" w:color="000000" w:sz="10" w:space="0"/>
              <w:bottom w:val="nil"/>
              <w:right w:val="nil"/>
            </w:tcBorders>
            <w:vAlign w:val="top"/>
          </w:tcPr>
          <w:p w14:paraId="200A3BED">
            <w:pPr>
              <w:pStyle w:val="6"/>
              <w:spacing w:before="109" w:line="239" w:lineRule="auto"/>
              <w:ind w:left="131" w:right="115" w:hanging="8"/>
              <w:rPr>
                <w:sz w:val="20"/>
                <w:szCs w:val="20"/>
              </w:rPr>
            </w:pPr>
            <w:r>
              <w:rPr>
                <w:spacing w:val="6"/>
                <w:sz w:val="20"/>
                <w:szCs w:val="20"/>
              </w:rPr>
              <w:t>车间内</w:t>
            </w:r>
            <w:r>
              <w:rPr>
                <w:sz w:val="20"/>
                <w:szCs w:val="20"/>
              </w:rPr>
              <w:t xml:space="preserve"> </w:t>
            </w:r>
            <w:r>
              <w:rPr>
                <w:spacing w:val="18"/>
                <w:w w:val="117"/>
                <w:sz w:val="20"/>
                <w:szCs w:val="20"/>
              </w:rPr>
              <w:t>沉降</w:t>
            </w:r>
            <w:r>
              <w:rPr>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r>
      <w:tr w14:paraId="30D1A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3" w:hRule="atLeast"/>
        </w:trPr>
        <w:tc>
          <w:tcPr>
            <w:tcW w:w="1644" w:type="dxa"/>
            <w:gridSpan w:val="2"/>
            <w:vMerge w:val="continue"/>
            <w:tcBorders>
              <w:top w:val="nil"/>
              <w:left w:val="nil"/>
            </w:tcBorders>
            <w:vAlign w:val="top"/>
          </w:tcPr>
          <w:p w14:paraId="494B775E">
            <w:pPr>
              <w:rPr>
                <w:rFonts w:ascii="Arial"/>
                <w:sz w:val="21"/>
              </w:rPr>
            </w:pPr>
          </w:p>
        </w:tc>
        <w:tc>
          <w:tcPr>
            <w:tcW w:w="1029" w:type="dxa"/>
            <w:vAlign w:val="top"/>
          </w:tcPr>
          <w:p w14:paraId="57248C1E">
            <w:pPr>
              <w:pStyle w:val="6"/>
              <w:spacing w:before="64" w:line="230" w:lineRule="auto"/>
              <w:ind w:left="134" w:right="135" w:firstLine="173"/>
              <w:rPr>
                <w:sz w:val="20"/>
                <w:szCs w:val="20"/>
              </w:rPr>
            </w:pPr>
            <w:r>
              <w:rPr>
                <w:spacing w:val="5"/>
                <w:sz w:val="20"/>
                <w:szCs w:val="20"/>
              </w:rPr>
              <w:t>速率</w:t>
            </w:r>
            <w:r>
              <w:rPr>
                <w:sz w:val="20"/>
                <w:szCs w:val="20"/>
              </w:rPr>
              <w:t xml:space="preserve">  </w:t>
            </w:r>
            <w:r>
              <w:rPr>
                <w:spacing w:val="-1"/>
                <w:sz w:val="20"/>
                <w:szCs w:val="20"/>
              </w:rPr>
              <w:t>（</w:t>
            </w:r>
            <w:r>
              <w:rPr>
                <w:rFonts w:ascii="Times New Roman" w:hAnsi="Times New Roman" w:eastAsia="Times New Roman" w:cs="Times New Roman"/>
                <w:spacing w:val="-1"/>
                <w:sz w:val="20"/>
                <w:szCs w:val="20"/>
              </w:rPr>
              <w:t>kg/h</w:t>
            </w:r>
            <w:r>
              <w:rPr>
                <w:spacing w:val="-1"/>
                <w:sz w:val="20"/>
                <w:szCs w:val="20"/>
              </w:rPr>
              <w:t>）</w:t>
            </w:r>
          </w:p>
        </w:tc>
        <w:tc>
          <w:tcPr>
            <w:tcW w:w="861" w:type="dxa"/>
            <w:vAlign w:val="top"/>
          </w:tcPr>
          <w:p w14:paraId="5DB52126">
            <w:pPr>
              <w:pStyle w:val="6"/>
              <w:spacing w:before="64" w:line="230" w:lineRule="auto"/>
              <w:ind w:left="130" w:right="114" w:hanging="10"/>
              <w:rPr>
                <w:sz w:val="20"/>
                <w:szCs w:val="20"/>
              </w:rPr>
            </w:pPr>
            <w:r>
              <w:rPr>
                <w:spacing w:val="6"/>
                <w:sz w:val="20"/>
                <w:szCs w:val="20"/>
              </w:rPr>
              <w:t>产生量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861" w:type="dxa"/>
            <w:vAlign w:val="top"/>
          </w:tcPr>
          <w:p w14:paraId="51CF36A8">
            <w:pPr>
              <w:pStyle w:val="6"/>
              <w:spacing w:before="64" w:line="230" w:lineRule="auto"/>
              <w:ind w:left="130" w:right="114" w:hanging="6"/>
              <w:rPr>
                <w:sz w:val="20"/>
                <w:szCs w:val="20"/>
              </w:rPr>
            </w:pPr>
            <w:r>
              <w:rPr>
                <w:spacing w:val="5"/>
                <w:sz w:val="20"/>
                <w:szCs w:val="20"/>
              </w:rPr>
              <w:t>去除量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1218" w:type="dxa"/>
            <w:vAlign w:val="top"/>
          </w:tcPr>
          <w:p w14:paraId="72A45917">
            <w:pPr>
              <w:pStyle w:val="6"/>
              <w:spacing w:before="64" w:line="230" w:lineRule="auto"/>
              <w:ind w:left="136" w:right="135" w:firstLine="57"/>
              <w:rPr>
                <w:sz w:val="20"/>
                <w:szCs w:val="20"/>
              </w:rPr>
            </w:pPr>
            <w:r>
              <w:rPr>
                <w:spacing w:val="7"/>
                <w:sz w:val="20"/>
                <w:szCs w:val="20"/>
              </w:rPr>
              <w:t>排放浓度</w:t>
            </w:r>
            <w:r>
              <w:rPr>
                <w:sz w:val="20"/>
                <w:szCs w:val="20"/>
              </w:rPr>
              <w:t xml:space="preserve"> </w:t>
            </w:r>
            <w:r>
              <w:rPr>
                <w:spacing w:val="1"/>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1"/>
                <w:sz w:val="20"/>
                <w:szCs w:val="20"/>
              </w:rPr>
              <w:t>/m</w:t>
            </w:r>
            <w:r>
              <w:rPr>
                <w:rFonts w:ascii="Times New Roman" w:hAnsi="Times New Roman" w:eastAsia="Times New Roman" w:cs="Times New Roman"/>
                <w:spacing w:val="1"/>
                <w:position w:val="6"/>
                <w:sz w:val="13"/>
                <w:szCs w:val="13"/>
              </w:rPr>
              <w:t>3</w:t>
            </w:r>
            <w:r>
              <w:rPr>
                <w:spacing w:val="1"/>
                <w:sz w:val="20"/>
                <w:szCs w:val="20"/>
              </w:rPr>
              <w:t>）</w:t>
            </w:r>
          </w:p>
        </w:tc>
        <w:tc>
          <w:tcPr>
            <w:tcW w:w="866" w:type="dxa"/>
            <w:vAlign w:val="top"/>
          </w:tcPr>
          <w:p w14:paraId="0CEA7F5D">
            <w:pPr>
              <w:pStyle w:val="6"/>
              <w:spacing w:before="64" w:line="230" w:lineRule="auto"/>
              <w:ind w:left="135" w:right="114" w:hanging="10"/>
              <w:rPr>
                <w:sz w:val="20"/>
                <w:szCs w:val="20"/>
              </w:rPr>
            </w:pPr>
            <w:r>
              <w:rPr>
                <w:spacing w:val="6"/>
                <w:sz w:val="20"/>
                <w:szCs w:val="20"/>
              </w:rPr>
              <w:t>排放量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1029" w:type="dxa"/>
            <w:vAlign w:val="top"/>
          </w:tcPr>
          <w:p w14:paraId="416479A0">
            <w:pPr>
              <w:pStyle w:val="6"/>
              <w:spacing w:before="64" w:line="230" w:lineRule="auto"/>
              <w:ind w:left="135" w:right="134" w:firstLine="173"/>
              <w:rPr>
                <w:sz w:val="20"/>
                <w:szCs w:val="20"/>
              </w:rPr>
            </w:pPr>
            <w:r>
              <w:rPr>
                <w:spacing w:val="5"/>
                <w:sz w:val="20"/>
                <w:szCs w:val="20"/>
              </w:rPr>
              <w:t>速率</w:t>
            </w:r>
            <w:r>
              <w:rPr>
                <w:sz w:val="20"/>
                <w:szCs w:val="20"/>
              </w:rPr>
              <w:t xml:space="preserve">  </w:t>
            </w:r>
            <w:r>
              <w:rPr>
                <w:spacing w:val="-1"/>
                <w:sz w:val="20"/>
                <w:szCs w:val="20"/>
              </w:rPr>
              <w:t>（</w:t>
            </w:r>
            <w:r>
              <w:rPr>
                <w:rFonts w:ascii="Times New Roman" w:hAnsi="Times New Roman" w:eastAsia="Times New Roman" w:cs="Times New Roman"/>
                <w:spacing w:val="-1"/>
                <w:sz w:val="20"/>
                <w:szCs w:val="20"/>
              </w:rPr>
              <w:t>kg/h</w:t>
            </w:r>
            <w:r>
              <w:rPr>
                <w:spacing w:val="-1"/>
                <w:sz w:val="20"/>
                <w:szCs w:val="20"/>
              </w:rPr>
              <w:t>）</w:t>
            </w:r>
          </w:p>
        </w:tc>
        <w:tc>
          <w:tcPr>
            <w:tcW w:w="861" w:type="dxa"/>
            <w:vAlign w:val="top"/>
          </w:tcPr>
          <w:p w14:paraId="7B303994">
            <w:pPr>
              <w:pStyle w:val="6"/>
              <w:spacing w:before="64" w:line="230" w:lineRule="auto"/>
              <w:ind w:left="131" w:right="113" w:hanging="10"/>
              <w:rPr>
                <w:sz w:val="20"/>
                <w:szCs w:val="20"/>
              </w:rPr>
            </w:pPr>
            <w:r>
              <w:rPr>
                <w:spacing w:val="6"/>
                <w:sz w:val="20"/>
                <w:szCs w:val="20"/>
              </w:rPr>
              <w:t>排放量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861" w:type="dxa"/>
            <w:vMerge w:val="continue"/>
            <w:tcBorders>
              <w:top w:val="nil"/>
              <w:right w:val="nil"/>
            </w:tcBorders>
            <w:vAlign w:val="top"/>
          </w:tcPr>
          <w:p w14:paraId="21CAAFFE">
            <w:pPr>
              <w:rPr>
                <w:rFonts w:ascii="Arial"/>
                <w:sz w:val="21"/>
              </w:rPr>
            </w:pPr>
          </w:p>
        </w:tc>
      </w:tr>
      <w:tr w14:paraId="407B2D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855" w:type="dxa"/>
            <w:tcBorders>
              <w:left w:val="nil"/>
              <w:bottom w:val="single" w:color="000000" w:sz="10" w:space="0"/>
            </w:tcBorders>
            <w:vAlign w:val="top"/>
          </w:tcPr>
          <w:p w14:paraId="3E7CBDE6">
            <w:pPr>
              <w:pStyle w:val="6"/>
              <w:spacing w:before="68" w:line="234" w:lineRule="auto"/>
              <w:ind w:left="242" w:right="111" w:hanging="123"/>
              <w:rPr>
                <w:sz w:val="20"/>
                <w:szCs w:val="20"/>
              </w:rPr>
            </w:pPr>
            <w:r>
              <w:rPr>
                <w:spacing w:val="6"/>
                <w:sz w:val="20"/>
                <w:szCs w:val="20"/>
              </w:rPr>
              <w:t>锰矿石</w:t>
            </w:r>
            <w:r>
              <w:rPr>
                <w:spacing w:val="1"/>
                <w:sz w:val="20"/>
                <w:szCs w:val="20"/>
              </w:rPr>
              <w:t xml:space="preserve"> </w:t>
            </w:r>
            <w:r>
              <w:rPr>
                <w:spacing w:val="-5"/>
                <w:sz w:val="20"/>
                <w:szCs w:val="20"/>
              </w:rPr>
              <w:t>出料</w:t>
            </w:r>
          </w:p>
        </w:tc>
        <w:tc>
          <w:tcPr>
            <w:tcW w:w="789" w:type="dxa"/>
            <w:tcBorders>
              <w:bottom w:val="single" w:color="000000" w:sz="10" w:space="0"/>
            </w:tcBorders>
            <w:vAlign w:val="top"/>
          </w:tcPr>
          <w:p w14:paraId="7FF066E4">
            <w:pPr>
              <w:pStyle w:val="6"/>
              <w:spacing w:before="69" w:line="234" w:lineRule="auto"/>
              <w:ind w:left="293" w:right="185" w:hanging="106"/>
              <w:rPr>
                <w:sz w:val="20"/>
                <w:szCs w:val="20"/>
              </w:rPr>
            </w:pPr>
            <w:r>
              <w:rPr>
                <w:spacing w:val="5"/>
                <w:sz w:val="20"/>
                <w:szCs w:val="20"/>
              </w:rPr>
              <w:t>颗粒</w:t>
            </w:r>
            <w:r>
              <w:rPr>
                <w:sz w:val="20"/>
                <w:szCs w:val="20"/>
              </w:rPr>
              <w:t xml:space="preserve"> 物</w:t>
            </w:r>
          </w:p>
        </w:tc>
        <w:tc>
          <w:tcPr>
            <w:tcW w:w="1029" w:type="dxa"/>
            <w:tcBorders>
              <w:bottom w:val="single" w:color="000000" w:sz="10" w:space="0"/>
            </w:tcBorders>
            <w:vAlign w:val="top"/>
          </w:tcPr>
          <w:p w14:paraId="7B037D71">
            <w:pPr>
              <w:spacing w:before="234" w:line="195" w:lineRule="auto"/>
              <w:ind w:left="35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1.69</w:t>
            </w:r>
          </w:p>
        </w:tc>
        <w:tc>
          <w:tcPr>
            <w:tcW w:w="861" w:type="dxa"/>
            <w:tcBorders>
              <w:bottom w:val="single" w:color="000000" w:sz="10" w:space="0"/>
            </w:tcBorders>
            <w:vAlign w:val="top"/>
          </w:tcPr>
          <w:p w14:paraId="609513F4">
            <w:pPr>
              <w:spacing w:before="234" w:line="195" w:lineRule="auto"/>
              <w:ind w:left="21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13.50</w:t>
            </w:r>
          </w:p>
        </w:tc>
        <w:tc>
          <w:tcPr>
            <w:tcW w:w="861" w:type="dxa"/>
            <w:tcBorders>
              <w:bottom w:val="single" w:color="000000" w:sz="10" w:space="0"/>
            </w:tcBorders>
            <w:vAlign w:val="top"/>
          </w:tcPr>
          <w:p w14:paraId="2EFF24D1">
            <w:pPr>
              <w:spacing w:before="234" w:line="195" w:lineRule="auto"/>
              <w:ind w:left="21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12.69</w:t>
            </w:r>
          </w:p>
        </w:tc>
        <w:tc>
          <w:tcPr>
            <w:tcW w:w="1218" w:type="dxa"/>
            <w:tcBorders>
              <w:bottom w:val="single" w:color="000000" w:sz="10" w:space="0"/>
            </w:tcBorders>
            <w:vAlign w:val="top"/>
          </w:tcPr>
          <w:p w14:paraId="5E84C8EB">
            <w:pPr>
              <w:spacing w:before="234" w:line="195" w:lineRule="auto"/>
              <w:ind w:left="43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3.25</w:t>
            </w:r>
          </w:p>
        </w:tc>
        <w:tc>
          <w:tcPr>
            <w:tcW w:w="866" w:type="dxa"/>
            <w:tcBorders>
              <w:bottom w:val="single" w:color="000000" w:sz="10" w:space="0"/>
            </w:tcBorders>
            <w:vAlign w:val="top"/>
          </w:tcPr>
          <w:p w14:paraId="0EFB21BE">
            <w:pPr>
              <w:spacing w:before="234" w:line="195" w:lineRule="auto"/>
              <w:ind w:left="25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0.13</w:t>
            </w:r>
          </w:p>
        </w:tc>
        <w:tc>
          <w:tcPr>
            <w:tcW w:w="1029" w:type="dxa"/>
            <w:tcBorders>
              <w:bottom w:val="single" w:color="000000" w:sz="10" w:space="0"/>
            </w:tcBorders>
            <w:vAlign w:val="top"/>
          </w:tcPr>
          <w:p w14:paraId="229BE122">
            <w:pPr>
              <w:spacing w:before="234" w:line="195"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0.009</w:t>
            </w:r>
          </w:p>
        </w:tc>
        <w:tc>
          <w:tcPr>
            <w:tcW w:w="861" w:type="dxa"/>
            <w:tcBorders>
              <w:bottom w:val="single" w:color="000000" w:sz="10" w:space="0"/>
            </w:tcBorders>
            <w:vAlign w:val="top"/>
          </w:tcPr>
          <w:p w14:paraId="1B1782E5">
            <w:pPr>
              <w:spacing w:before="234"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0.07</w:t>
            </w:r>
          </w:p>
        </w:tc>
        <w:tc>
          <w:tcPr>
            <w:tcW w:w="861" w:type="dxa"/>
            <w:tcBorders>
              <w:bottom w:val="single" w:color="000000" w:sz="10" w:space="0"/>
              <w:right w:val="nil"/>
            </w:tcBorders>
            <w:vAlign w:val="top"/>
          </w:tcPr>
          <w:p w14:paraId="7DE5B106">
            <w:pPr>
              <w:spacing w:before="234" w:line="195" w:lineRule="auto"/>
              <w:ind w:left="2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0.61</w:t>
            </w:r>
          </w:p>
        </w:tc>
      </w:tr>
    </w:tbl>
    <w:p w14:paraId="4B91246F">
      <w:pPr>
        <w:spacing w:before="118" w:line="219" w:lineRule="auto"/>
        <w:ind w:left="607"/>
        <w:rPr>
          <w:rFonts w:ascii="宋体" w:hAnsi="宋体" w:eastAsia="宋体" w:cs="宋体"/>
          <w:sz w:val="24"/>
          <w:szCs w:val="24"/>
        </w:rPr>
      </w:pPr>
      <w:r>
        <w:rPr>
          <w:rFonts w:ascii="宋体" w:hAnsi="宋体" w:eastAsia="宋体" w:cs="宋体"/>
          <w:b/>
          <w:bCs/>
          <w:spacing w:val="-2"/>
          <w:sz w:val="24"/>
          <w:szCs w:val="24"/>
        </w:rPr>
        <w:t>（</w:t>
      </w:r>
      <w:r>
        <w:rPr>
          <w:rFonts w:ascii="Times New Roman" w:hAnsi="Times New Roman" w:eastAsia="Times New Roman" w:cs="Times New Roman"/>
          <w:b/>
          <w:bCs/>
          <w:spacing w:val="-2"/>
          <w:sz w:val="24"/>
          <w:szCs w:val="24"/>
        </w:rPr>
        <w:t>3</w:t>
      </w:r>
      <w:r>
        <w:rPr>
          <w:rFonts w:ascii="宋体" w:hAnsi="宋体" w:eastAsia="宋体" w:cs="宋体"/>
          <w:b/>
          <w:bCs/>
          <w:spacing w:val="-2"/>
          <w:sz w:val="24"/>
          <w:szCs w:val="24"/>
        </w:rPr>
        <w:t>）烧结机配料粉尘（</w:t>
      </w:r>
      <w:r>
        <w:rPr>
          <w:rFonts w:ascii="Times New Roman" w:hAnsi="Times New Roman" w:eastAsia="Times New Roman" w:cs="Times New Roman"/>
          <w:b/>
          <w:bCs/>
          <w:spacing w:val="-2"/>
          <w:sz w:val="24"/>
          <w:szCs w:val="24"/>
        </w:rPr>
        <w:t>G</w:t>
      </w:r>
      <w:r>
        <w:rPr>
          <w:rFonts w:ascii="Times New Roman" w:hAnsi="Times New Roman" w:eastAsia="Times New Roman" w:cs="Times New Roman"/>
          <w:b/>
          <w:bCs/>
          <w:spacing w:val="-2"/>
          <w:sz w:val="15"/>
          <w:szCs w:val="15"/>
        </w:rPr>
        <w:t>1-5</w:t>
      </w:r>
      <w:r>
        <w:rPr>
          <w:rFonts w:ascii="宋体" w:hAnsi="宋体" w:eastAsia="宋体" w:cs="宋体"/>
          <w:b/>
          <w:bCs/>
          <w:spacing w:val="-2"/>
          <w:sz w:val="24"/>
          <w:szCs w:val="24"/>
        </w:rPr>
        <w:t>）</w:t>
      </w:r>
    </w:p>
    <w:p w14:paraId="6E804AA4">
      <w:pPr>
        <w:spacing w:before="193" w:line="362" w:lineRule="auto"/>
        <w:ind w:left="115" w:right="107" w:firstLine="480"/>
        <w:jc w:val="both"/>
        <w:rPr>
          <w:rFonts w:ascii="宋体" w:hAnsi="宋体" w:eastAsia="宋体" w:cs="宋体"/>
          <w:sz w:val="24"/>
          <w:szCs w:val="24"/>
        </w:rPr>
      </w:pPr>
      <w:r>
        <w:rPr>
          <w:rFonts w:ascii="宋体" w:hAnsi="宋体" w:eastAsia="宋体" w:cs="宋体"/>
          <w:spacing w:val="-3"/>
          <w:sz w:val="24"/>
          <w:szCs w:val="24"/>
        </w:rPr>
        <w:t>烧结机配料主要为干燥锰硅矿粉、焦粉、除尘灰等，配料站料斗装料、</w:t>
      </w:r>
      <w:r>
        <w:rPr>
          <w:rFonts w:ascii="宋体" w:hAnsi="宋体" w:eastAsia="宋体" w:cs="宋体"/>
          <w:spacing w:val="-4"/>
          <w:sz w:val="24"/>
          <w:szCs w:val="24"/>
        </w:rPr>
        <w:t>下料口及转</w:t>
      </w:r>
      <w:r>
        <w:rPr>
          <w:rFonts w:ascii="宋体" w:hAnsi="宋体" w:eastAsia="宋体" w:cs="宋体"/>
          <w:sz w:val="24"/>
          <w:szCs w:val="24"/>
        </w:rPr>
        <w:t xml:space="preserve"> </w:t>
      </w:r>
      <w:r>
        <w:rPr>
          <w:rFonts w:ascii="宋体" w:hAnsi="宋体" w:eastAsia="宋体" w:cs="宋体"/>
          <w:spacing w:val="-3"/>
          <w:sz w:val="24"/>
          <w:szCs w:val="24"/>
        </w:rPr>
        <w:t>载点会产生粉尘，参照《第二次全国污染源普查产排污核算系数手册（试用版）》，铁</w:t>
      </w:r>
      <w:r>
        <w:rPr>
          <w:rFonts w:ascii="宋体" w:hAnsi="宋体" w:eastAsia="宋体" w:cs="宋体"/>
          <w:spacing w:val="1"/>
          <w:sz w:val="24"/>
          <w:szCs w:val="24"/>
        </w:rPr>
        <w:t xml:space="preserve"> </w:t>
      </w:r>
      <w:r>
        <w:rPr>
          <w:rFonts w:ascii="宋体" w:hAnsi="宋体" w:eastAsia="宋体" w:cs="宋体"/>
          <w:spacing w:val="16"/>
          <w:sz w:val="24"/>
          <w:szCs w:val="24"/>
        </w:rPr>
        <w:t>合金行业无组织排放产污系数中</w:t>
      </w:r>
      <w:r>
        <w:rPr>
          <w:rFonts w:ascii="宋体" w:hAnsi="宋体" w:eastAsia="宋体" w:cs="宋体"/>
          <w:spacing w:val="-72"/>
          <w:sz w:val="24"/>
          <w:szCs w:val="24"/>
        </w:rPr>
        <w:t xml:space="preserve"> </w:t>
      </w:r>
      <w:r>
        <w:rPr>
          <w:rFonts w:ascii="宋体" w:hAnsi="宋体" w:eastAsia="宋体" w:cs="宋体"/>
          <w:spacing w:val="16"/>
          <w:sz w:val="24"/>
          <w:szCs w:val="24"/>
        </w:rPr>
        <w:t>，原料破碎、转运、配料粉尘的产生系</w:t>
      </w:r>
      <w:r>
        <w:rPr>
          <w:rFonts w:ascii="宋体" w:hAnsi="宋体" w:eastAsia="宋体" w:cs="宋体"/>
          <w:spacing w:val="15"/>
          <w:sz w:val="24"/>
          <w:szCs w:val="24"/>
        </w:rPr>
        <w:t>数为优级</w:t>
      </w:r>
      <w:r>
        <w:rPr>
          <w:rFonts w:ascii="宋体" w:hAnsi="宋体" w:eastAsia="宋体" w:cs="宋体"/>
          <w:sz w:val="24"/>
          <w:szCs w:val="24"/>
        </w:rPr>
        <w:t xml:space="preserve"> </w:t>
      </w:r>
      <w:r>
        <w:rPr>
          <w:rFonts w:ascii="Times New Roman" w:hAnsi="Times New Roman" w:eastAsia="Times New Roman" w:cs="Times New Roman"/>
          <w:spacing w:val="-2"/>
          <w:sz w:val="24"/>
          <w:szCs w:val="24"/>
        </w:rPr>
        <w:t>0.786kg/t-</w:t>
      </w:r>
      <w:r>
        <w:rPr>
          <w:rFonts w:ascii="宋体" w:hAnsi="宋体" w:eastAsia="宋体" w:cs="宋体"/>
          <w:spacing w:val="-2"/>
          <w:sz w:val="24"/>
          <w:szCs w:val="24"/>
        </w:rPr>
        <w:t>产品、中级</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1.51kg/t-</w:t>
      </w:r>
      <w:r>
        <w:rPr>
          <w:rFonts w:ascii="宋体" w:hAnsi="宋体" w:eastAsia="宋体" w:cs="宋体"/>
          <w:spacing w:val="-2"/>
          <w:sz w:val="24"/>
          <w:szCs w:val="24"/>
        </w:rPr>
        <w:t>产品、差级</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2.30kg/</w:t>
      </w:r>
      <w:r>
        <w:rPr>
          <w:rFonts w:ascii="Times New Roman" w:hAnsi="Times New Roman" w:eastAsia="Times New Roman" w:cs="Times New Roman"/>
          <w:spacing w:val="-3"/>
          <w:sz w:val="24"/>
          <w:szCs w:val="24"/>
        </w:rPr>
        <w:t>t-</w:t>
      </w:r>
      <w:r>
        <w:rPr>
          <w:rFonts w:ascii="宋体" w:hAnsi="宋体" w:eastAsia="宋体" w:cs="宋体"/>
          <w:spacing w:val="-3"/>
          <w:sz w:val="24"/>
          <w:szCs w:val="24"/>
        </w:rPr>
        <w:t>产品。本项目原料为成品料，无需破</w:t>
      </w:r>
      <w:r>
        <w:rPr>
          <w:rFonts w:ascii="宋体" w:hAnsi="宋体" w:eastAsia="宋体" w:cs="宋体"/>
          <w:sz w:val="24"/>
          <w:szCs w:val="24"/>
        </w:rPr>
        <w:t xml:space="preserve"> </w:t>
      </w:r>
      <w:r>
        <w:rPr>
          <w:rFonts w:ascii="宋体" w:hAnsi="宋体" w:eastAsia="宋体" w:cs="宋体"/>
          <w:spacing w:val="-2"/>
          <w:sz w:val="24"/>
          <w:szCs w:val="24"/>
        </w:rPr>
        <w:t>碎，皮带转运为半封闭，故配料粉尘产生量取下限</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0.786kg/t-</w:t>
      </w:r>
      <w:r>
        <w:rPr>
          <w:rFonts w:ascii="宋体" w:hAnsi="宋体" w:eastAsia="宋体" w:cs="宋体"/>
          <w:spacing w:val="-3"/>
          <w:sz w:val="24"/>
          <w:szCs w:val="24"/>
        </w:rPr>
        <w:t>产品。采用集气罩</w:t>
      </w:r>
      <w:r>
        <w:rPr>
          <w:rFonts w:ascii="Times New Roman" w:hAnsi="Times New Roman" w:eastAsia="Times New Roman" w:cs="Times New Roman"/>
          <w:spacing w:val="-3"/>
          <w:sz w:val="24"/>
          <w:szCs w:val="24"/>
        </w:rPr>
        <w:t>+</w:t>
      </w:r>
      <w:r>
        <w:rPr>
          <w:rFonts w:ascii="宋体" w:hAnsi="宋体" w:eastAsia="宋体" w:cs="宋体"/>
          <w:spacing w:val="-3"/>
          <w:sz w:val="24"/>
          <w:szCs w:val="24"/>
        </w:rPr>
        <w:t>布袋除</w:t>
      </w:r>
      <w:r>
        <w:rPr>
          <w:rFonts w:ascii="宋体" w:hAnsi="宋体" w:eastAsia="宋体" w:cs="宋体"/>
          <w:sz w:val="24"/>
          <w:szCs w:val="24"/>
        </w:rPr>
        <w:t xml:space="preserve"> </w:t>
      </w:r>
      <w:r>
        <w:rPr>
          <w:rFonts w:ascii="宋体" w:hAnsi="宋体" w:eastAsia="宋体" w:cs="宋体"/>
          <w:spacing w:val="-2"/>
          <w:sz w:val="24"/>
          <w:szCs w:val="24"/>
        </w:rPr>
        <w:t>尘器进行处理，除尘器风量为</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25000Nm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33"/>
          <w:sz w:val="24"/>
          <w:szCs w:val="24"/>
        </w:rPr>
        <w:t xml:space="preserve"> </w:t>
      </w:r>
      <w:r>
        <w:rPr>
          <w:rFonts w:ascii="宋体" w:hAnsi="宋体" w:eastAsia="宋体" w:cs="宋体"/>
          <w:spacing w:val="-2"/>
          <w:sz w:val="24"/>
          <w:szCs w:val="24"/>
        </w:rPr>
        <w:t>，除尘效率为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99%</w:t>
      </w:r>
      <w:r>
        <w:rPr>
          <w:rFonts w:ascii="Times New Roman" w:hAnsi="Times New Roman" w:eastAsia="Times New Roman" w:cs="Times New Roman"/>
          <w:spacing w:val="-26"/>
          <w:sz w:val="24"/>
          <w:szCs w:val="24"/>
        </w:rPr>
        <w:t xml:space="preserve"> </w:t>
      </w:r>
      <w:r>
        <w:rPr>
          <w:rFonts w:ascii="宋体" w:hAnsi="宋体" w:eastAsia="宋体" w:cs="宋体"/>
          <w:spacing w:val="-2"/>
          <w:sz w:val="24"/>
          <w:szCs w:val="24"/>
        </w:rPr>
        <w:t>。未捕集部分粉尘中</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90%</w:t>
      </w:r>
      <w:r>
        <w:rPr>
          <w:rFonts w:ascii="Times New Roman" w:hAnsi="Times New Roman" w:eastAsia="Times New Roman" w:cs="Times New Roman"/>
          <w:sz w:val="24"/>
          <w:szCs w:val="24"/>
        </w:rPr>
        <w:t xml:space="preserve"> </w:t>
      </w:r>
      <w:r>
        <w:rPr>
          <w:rFonts w:ascii="宋体" w:hAnsi="宋体" w:eastAsia="宋体" w:cs="宋体"/>
          <w:spacing w:val="-1"/>
          <w:sz w:val="24"/>
          <w:szCs w:val="24"/>
        </w:rPr>
        <w:t>在封闭车间内沉降。</w:t>
      </w:r>
    </w:p>
    <w:p w14:paraId="78ABEC8B">
      <w:pPr>
        <w:spacing w:before="58" w:line="227" w:lineRule="auto"/>
        <w:ind w:left="227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9"/>
          <w:sz w:val="20"/>
          <w:szCs w:val="20"/>
        </w:rPr>
        <w:t xml:space="preserve"> </w:t>
      </w:r>
      <w:r>
        <w:rPr>
          <w:rFonts w:ascii="Times New Roman" w:hAnsi="Times New Roman" w:eastAsia="Times New Roman" w:cs="Times New Roman"/>
          <w:b/>
          <w:bCs/>
          <w:spacing w:val="5"/>
          <w:sz w:val="20"/>
          <w:szCs w:val="20"/>
        </w:rPr>
        <w:t xml:space="preserve">2.3-16            </w:t>
      </w:r>
      <w:r>
        <w:rPr>
          <w:rFonts w:ascii="宋体" w:hAnsi="宋体" w:eastAsia="宋体" w:cs="宋体"/>
          <w:b/>
          <w:bCs/>
          <w:spacing w:val="5"/>
          <w:sz w:val="20"/>
          <w:szCs w:val="20"/>
        </w:rPr>
        <w:t>项目烧结机配料粉尘产排情况汇总表</w:t>
      </w:r>
    </w:p>
    <w:p w14:paraId="2FA69176">
      <w:pPr>
        <w:spacing w:line="99" w:lineRule="exact"/>
      </w:pPr>
    </w:p>
    <w:tbl>
      <w:tblPr>
        <w:tblStyle w:val="5"/>
        <w:tblW w:w="923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972"/>
        <w:gridCol w:w="1029"/>
        <w:gridCol w:w="861"/>
        <w:gridCol w:w="861"/>
        <w:gridCol w:w="1218"/>
        <w:gridCol w:w="866"/>
        <w:gridCol w:w="1029"/>
        <w:gridCol w:w="861"/>
        <w:gridCol w:w="861"/>
      </w:tblGrid>
      <w:tr w14:paraId="6CF111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644" w:type="dxa"/>
            <w:gridSpan w:val="2"/>
            <w:vMerge w:val="restart"/>
            <w:tcBorders>
              <w:top w:val="single" w:color="000000" w:sz="10" w:space="0"/>
              <w:left w:val="nil"/>
              <w:bottom w:val="nil"/>
            </w:tcBorders>
            <w:vAlign w:val="top"/>
          </w:tcPr>
          <w:p w14:paraId="55626397">
            <w:pPr>
              <w:spacing w:line="300" w:lineRule="auto"/>
              <w:rPr>
                <w:rFonts w:ascii="Arial"/>
                <w:sz w:val="21"/>
              </w:rPr>
            </w:pPr>
          </w:p>
          <w:p w14:paraId="6DFA0786">
            <w:pPr>
              <w:pStyle w:val="6"/>
              <w:spacing w:before="65" w:line="228" w:lineRule="auto"/>
              <w:ind w:left="517"/>
              <w:rPr>
                <w:sz w:val="20"/>
                <w:szCs w:val="20"/>
              </w:rPr>
            </w:pPr>
            <w:r>
              <w:rPr>
                <w:spacing w:val="6"/>
                <w:sz w:val="20"/>
                <w:szCs w:val="20"/>
              </w:rPr>
              <w:t>污染物</w:t>
            </w:r>
          </w:p>
        </w:tc>
        <w:tc>
          <w:tcPr>
            <w:tcW w:w="1890" w:type="dxa"/>
            <w:gridSpan w:val="2"/>
            <w:tcBorders>
              <w:top w:val="single" w:color="000000" w:sz="10" w:space="0"/>
            </w:tcBorders>
            <w:vAlign w:val="top"/>
          </w:tcPr>
          <w:p w14:paraId="2FDE0309">
            <w:pPr>
              <w:pStyle w:val="6"/>
              <w:spacing w:before="73" w:line="228" w:lineRule="auto"/>
              <w:ind w:left="530"/>
              <w:rPr>
                <w:sz w:val="20"/>
                <w:szCs w:val="20"/>
              </w:rPr>
            </w:pPr>
            <w:r>
              <w:rPr>
                <w:spacing w:val="7"/>
                <w:sz w:val="20"/>
                <w:szCs w:val="20"/>
              </w:rPr>
              <w:t>产生情况</w:t>
            </w:r>
          </w:p>
        </w:tc>
        <w:tc>
          <w:tcPr>
            <w:tcW w:w="2945" w:type="dxa"/>
            <w:gridSpan w:val="3"/>
            <w:tcBorders>
              <w:top w:val="single" w:color="000000" w:sz="10" w:space="0"/>
            </w:tcBorders>
            <w:vAlign w:val="top"/>
          </w:tcPr>
          <w:p w14:paraId="34A136D7">
            <w:pPr>
              <w:pStyle w:val="6"/>
              <w:spacing w:before="73" w:line="228" w:lineRule="auto"/>
              <w:ind w:left="1066"/>
              <w:rPr>
                <w:sz w:val="20"/>
                <w:szCs w:val="20"/>
              </w:rPr>
            </w:pPr>
            <w:r>
              <w:rPr>
                <w:spacing w:val="5"/>
                <w:sz w:val="20"/>
                <w:szCs w:val="20"/>
              </w:rPr>
              <w:t>收集处置</w:t>
            </w:r>
          </w:p>
        </w:tc>
        <w:tc>
          <w:tcPr>
            <w:tcW w:w="1890" w:type="dxa"/>
            <w:gridSpan w:val="2"/>
            <w:tcBorders>
              <w:top w:val="single" w:color="000000" w:sz="10" w:space="0"/>
            </w:tcBorders>
            <w:vAlign w:val="top"/>
          </w:tcPr>
          <w:p w14:paraId="1B7AF135">
            <w:pPr>
              <w:pStyle w:val="6"/>
              <w:spacing w:before="74" w:line="228" w:lineRule="auto"/>
              <w:ind w:left="427"/>
              <w:rPr>
                <w:sz w:val="20"/>
                <w:szCs w:val="20"/>
              </w:rPr>
            </w:pPr>
            <w:r>
              <w:rPr>
                <w:spacing w:val="7"/>
                <w:sz w:val="20"/>
                <w:szCs w:val="20"/>
              </w:rPr>
              <w:t>无组织排放</w:t>
            </w:r>
          </w:p>
        </w:tc>
        <w:tc>
          <w:tcPr>
            <w:tcW w:w="861" w:type="dxa"/>
            <w:vMerge w:val="restart"/>
            <w:tcBorders>
              <w:top w:val="single" w:color="000000" w:sz="10" w:space="0"/>
              <w:bottom w:val="nil"/>
              <w:right w:val="nil"/>
            </w:tcBorders>
            <w:vAlign w:val="top"/>
          </w:tcPr>
          <w:p w14:paraId="3859A972">
            <w:pPr>
              <w:pStyle w:val="6"/>
              <w:spacing w:before="109" w:line="239" w:lineRule="auto"/>
              <w:ind w:left="131" w:right="115" w:hanging="8"/>
              <w:rPr>
                <w:sz w:val="20"/>
                <w:szCs w:val="20"/>
              </w:rPr>
            </w:pPr>
            <w:r>
              <w:rPr>
                <w:spacing w:val="6"/>
                <w:sz w:val="20"/>
                <w:szCs w:val="20"/>
              </w:rPr>
              <w:t>车间内</w:t>
            </w:r>
            <w:r>
              <w:rPr>
                <w:sz w:val="20"/>
                <w:szCs w:val="20"/>
              </w:rPr>
              <w:t xml:space="preserve"> </w:t>
            </w:r>
            <w:r>
              <w:rPr>
                <w:spacing w:val="18"/>
                <w:w w:val="117"/>
                <w:sz w:val="20"/>
                <w:szCs w:val="20"/>
              </w:rPr>
              <w:t>沉降</w:t>
            </w:r>
            <w:r>
              <w:rPr>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r>
      <w:tr w14:paraId="14579C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1644" w:type="dxa"/>
            <w:gridSpan w:val="2"/>
            <w:vMerge w:val="continue"/>
            <w:tcBorders>
              <w:top w:val="nil"/>
              <w:left w:val="nil"/>
            </w:tcBorders>
            <w:vAlign w:val="top"/>
          </w:tcPr>
          <w:p w14:paraId="62B1D0E7">
            <w:pPr>
              <w:rPr>
                <w:rFonts w:ascii="Arial"/>
                <w:sz w:val="21"/>
              </w:rPr>
            </w:pPr>
          </w:p>
        </w:tc>
        <w:tc>
          <w:tcPr>
            <w:tcW w:w="1029" w:type="dxa"/>
            <w:vAlign w:val="top"/>
          </w:tcPr>
          <w:p w14:paraId="1D06673B">
            <w:pPr>
              <w:pStyle w:val="6"/>
              <w:spacing w:before="62" w:line="230" w:lineRule="auto"/>
              <w:ind w:left="134" w:right="135" w:firstLine="173"/>
              <w:rPr>
                <w:sz w:val="20"/>
                <w:szCs w:val="20"/>
              </w:rPr>
            </w:pPr>
            <w:r>
              <w:rPr>
                <w:spacing w:val="5"/>
                <w:sz w:val="20"/>
                <w:szCs w:val="20"/>
              </w:rPr>
              <w:t>速率</w:t>
            </w:r>
            <w:r>
              <w:rPr>
                <w:sz w:val="20"/>
                <w:szCs w:val="20"/>
              </w:rPr>
              <w:t xml:space="preserve">  </w:t>
            </w:r>
            <w:r>
              <w:rPr>
                <w:spacing w:val="-1"/>
                <w:sz w:val="20"/>
                <w:szCs w:val="20"/>
              </w:rPr>
              <w:t>（</w:t>
            </w:r>
            <w:r>
              <w:rPr>
                <w:rFonts w:ascii="Times New Roman" w:hAnsi="Times New Roman" w:eastAsia="Times New Roman" w:cs="Times New Roman"/>
                <w:spacing w:val="-1"/>
                <w:sz w:val="20"/>
                <w:szCs w:val="20"/>
              </w:rPr>
              <w:t>kg/h</w:t>
            </w:r>
            <w:r>
              <w:rPr>
                <w:spacing w:val="-1"/>
                <w:sz w:val="20"/>
                <w:szCs w:val="20"/>
              </w:rPr>
              <w:t>）</w:t>
            </w:r>
          </w:p>
        </w:tc>
        <w:tc>
          <w:tcPr>
            <w:tcW w:w="861" w:type="dxa"/>
            <w:vAlign w:val="top"/>
          </w:tcPr>
          <w:p w14:paraId="367D4C79">
            <w:pPr>
              <w:pStyle w:val="6"/>
              <w:spacing w:before="62" w:line="232" w:lineRule="auto"/>
              <w:ind w:left="130" w:right="114" w:hanging="10"/>
              <w:rPr>
                <w:sz w:val="20"/>
                <w:szCs w:val="20"/>
              </w:rPr>
            </w:pPr>
            <w:r>
              <w:rPr>
                <w:spacing w:val="6"/>
                <w:sz w:val="20"/>
                <w:szCs w:val="20"/>
              </w:rPr>
              <w:t>产生量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861" w:type="dxa"/>
            <w:vAlign w:val="top"/>
          </w:tcPr>
          <w:p w14:paraId="3D785400">
            <w:pPr>
              <w:pStyle w:val="6"/>
              <w:spacing w:before="62" w:line="232" w:lineRule="auto"/>
              <w:ind w:left="130" w:right="114" w:hanging="6"/>
              <w:rPr>
                <w:sz w:val="20"/>
                <w:szCs w:val="20"/>
              </w:rPr>
            </w:pPr>
            <w:r>
              <w:rPr>
                <w:spacing w:val="5"/>
                <w:sz w:val="20"/>
                <w:szCs w:val="20"/>
              </w:rPr>
              <w:t>去除量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1218" w:type="dxa"/>
            <w:vAlign w:val="top"/>
          </w:tcPr>
          <w:p w14:paraId="3C026969">
            <w:pPr>
              <w:pStyle w:val="6"/>
              <w:spacing w:before="62" w:line="230" w:lineRule="auto"/>
              <w:ind w:left="136" w:right="135" w:firstLine="57"/>
              <w:rPr>
                <w:sz w:val="20"/>
                <w:szCs w:val="20"/>
              </w:rPr>
            </w:pPr>
            <w:r>
              <w:rPr>
                <w:spacing w:val="7"/>
                <w:sz w:val="20"/>
                <w:szCs w:val="20"/>
              </w:rPr>
              <w:t>排放浓度</w:t>
            </w:r>
            <w:r>
              <w:rPr>
                <w:sz w:val="20"/>
                <w:szCs w:val="20"/>
              </w:rPr>
              <w:t xml:space="preserve"> </w:t>
            </w:r>
            <w:r>
              <w:rPr>
                <w:spacing w:val="1"/>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1"/>
                <w:sz w:val="20"/>
                <w:szCs w:val="20"/>
              </w:rPr>
              <w:t>/m</w:t>
            </w:r>
            <w:r>
              <w:rPr>
                <w:rFonts w:ascii="Times New Roman" w:hAnsi="Times New Roman" w:eastAsia="Times New Roman" w:cs="Times New Roman"/>
                <w:spacing w:val="1"/>
                <w:position w:val="6"/>
                <w:sz w:val="13"/>
                <w:szCs w:val="13"/>
              </w:rPr>
              <w:t>3</w:t>
            </w:r>
            <w:r>
              <w:rPr>
                <w:spacing w:val="1"/>
                <w:sz w:val="20"/>
                <w:szCs w:val="20"/>
              </w:rPr>
              <w:t>）</w:t>
            </w:r>
          </w:p>
        </w:tc>
        <w:tc>
          <w:tcPr>
            <w:tcW w:w="866" w:type="dxa"/>
            <w:vAlign w:val="top"/>
          </w:tcPr>
          <w:p w14:paraId="1D18EA10">
            <w:pPr>
              <w:pStyle w:val="6"/>
              <w:spacing w:before="62" w:line="232" w:lineRule="auto"/>
              <w:ind w:left="135" w:right="114" w:hanging="10"/>
              <w:rPr>
                <w:sz w:val="20"/>
                <w:szCs w:val="20"/>
              </w:rPr>
            </w:pPr>
            <w:r>
              <w:rPr>
                <w:spacing w:val="6"/>
                <w:sz w:val="20"/>
                <w:szCs w:val="20"/>
              </w:rPr>
              <w:t>排放量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1029" w:type="dxa"/>
            <w:vAlign w:val="top"/>
          </w:tcPr>
          <w:p w14:paraId="32D30BCC">
            <w:pPr>
              <w:pStyle w:val="6"/>
              <w:spacing w:before="62" w:line="230" w:lineRule="auto"/>
              <w:ind w:left="135" w:right="134" w:firstLine="173"/>
              <w:rPr>
                <w:sz w:val="20"/>
                <w:szCs w:val="20"/>
              </w:rPr>
            </w:pPr>
            <w:r>
              <w:rPr>
                <w:spacing w:val="5"/>
                <w:sz w:val="20"/>
                <w:szCs w:val="20"/>
              </w:rPr>
              <w:t>速率</w:t>
            </w:r>
            <w:r>
              <w:rPr>
                <w:sz w:val="20"/>
                <w:szCs w:val="20"/>
              </w:rPr>
              <w:t xml:space="preserve">  </w:t>
            </w:r>
            <w:r>
              <w:rPr>
                <w:spacing w:val="-1"/>
                <w:sz w:val="20"/>
                <w:szCs w:val="20"/>
              </w:rPr>
              <w:t>（</w:t>
            </w:r>
            <w:r>
              <w:rPr>
                <w:rFonts w:ascii="Times New Roman" w:hAnsi="Times New Roman" w:eastAsia="Times New Roman" w:cs="Times New Roman"/>
                <w:spacing w:val="-1"/>
                <w:sz w:val="20"/>
                <w:szCs w:val="20"/>
              </w:rPr>
              <w:t>kg/h</w:t>
            </w:r>
            <w:r>
              <w:rPr>
                <w:spacing w:val="-1"/>
                <w:sz w:val="20"/>
                <w:szCs w:val="20"/>
              </w:rPr>
              <w:t>）</w:t>
            </w:r>
          </w:p>
        </w:tc>
        <w:tc>
          <w:tcPr>
            <w:tcW w:w="861" w:type="dxa"/>
            <w:vAlign w:val="top"/>
          </w:tcPr>
          <w:p w14:paraId="59FD5356">
            <w:pPr>
              <w:pStyle w:val="6"/>
              <w:spacing w:before="62" w:line="232" w:lineRule="auto"/>
              <w:ind w:left="131" w:right="113" w:hanging="10"/>
              <w:rPr>
                <w:sz w:val="20"/>
                <w:szCs w:val="20"/>
              </w:rPr>
            </w:pPr>
            <w:r>
              <w:rPr>
                <w:spacing w:val="6"/>
                <w:sz w:val="20"/>
                <w:szCs w:val="20"/>
              </w:rPr>
              <w:t>排放量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861" w:type="dxa"/>
            <w:vMerge w:val="continue"/>
            <w:tcBorders>
              <w:top w:val="nil"/>
              <w:right w:val="nil"/>
            </w:tcBorders>
            <w:vAlign w:val="top"/>
          </w:tcPr>
          <w:p w14:paraId="06159DC9">
            <w:pPr>
              <w:rPr>
                <w:rFonts w:ascii="Arial"/>
                <w:sz w:val="21"/>
              </w:rPr>
            </w:pPr>
          </w:p>
        </w:tc>
      </w:tr>
      <w:tr w14:paraId="22A9C8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72" w:type="dxa"/>
            <w:vMerge w:val="restart"/>
            <w:tcBorders>
              <w:left w:val="nil"/>
              <w:bottom w:val="nil"/>
            </w:tcBorders>
            <w:vAlign w:val="top"/>
          </w:tcPr>
          <w:p w14:paraId="77F21CFC">
            <w:pPr>
              <w:pStyle w:val="6"/>
              <w:spacing w:before="106" w:line="227" w:lineRule="auto"/>
              <w:ind w:left="133"/>
              <w:rPr>
                <w:sz w:val="20"/>
                <w:szCs w:val="20"/>
              </w:rPr>
            </w:pPr>
            <w:r>
              <w:rPr>
                <w:spacing w:val="5"/>
                <w:sz w:val="20"/>
                <w:szCs w:val="20"/>
              </w:rPr>
              <w:t>烧结</w:t>
            </w:r>
          </w:p>
          <w:p w14:paraId="45D8A5D7">
            <w:pPr>
              <w:pStyle w:val="6"/>
              <w:spacing w:before="13" w:line="227" w:lineRule="auto"/>
              <w:ind w:left="133"/>
              <w:rPr>
                <w:sz w:val="20"/>
                <w:szCs w:val="20"/>
              </w:rPr>
            </w:pPr>
            <w:r>
              <w:rPr>
                <w:spacing w:val="5"/>
                <w:sz w:val="20"/>
                <w:szCs w:val="20"/>
              </w:rPr>
              <w:t>机配</w:t>
            </w:r>
          </w:p>
          <w:p w14:paraId="311AE858">
            <w:pPr>
              <w:pStyle w:val="6"/>
              <w:spacing w:before="16" w:line="228" w:lineRule="auto"/>
              <w:ind w:left="239"/>
              <w:rPr>
                <w:sz w:val="20"/>
                <w:szCs w:val="20"/>
              </w:rPr>
            </w:pPr>
            <w:r>
              <w:rPr>
                <w:sz w:val="20"/>
                <w:szCs w:val="20"/>
              </w:rPr>
              <w:t>料</w:t>
            </w:r>
          </w:p>
        </w:tc>
        <w:tc>
          <w:tcPr>
            <w:tcW w:w="972" w:type="dxa"/>
            <w:vAlign w:val="top"/>
          </w:tcPr>
          <w:p w14:paraId="3990AE9D">
            <w:pPr>
              <w:pStyle w:val="6"/>
              <w:spacing w:before="75" w:line="226" w:lineRule="auto"/>
              <w:ind w:left="176"/>
              <w:rPr>
                <w:sz w:val="20"/>
                <w:szCs w:val="20"/>
              </w:rPr>
            </w:pPr>
            <w:r>
              <w:rPr>
                <w:spacing w:val="7"/>
                <w:sz w:val="20"/>
                <w:szCs w:val="20"/>
              </w:rPr>
              <w:t>颗粒物</w:t>
            </w:r>
          </w:p>
        </w:tc>
        <w:tc>
          <w:tcPr>
            <w:tcW w:w="1029" w:type="dxa"/>
            <w:vAlign w:val="top"/>
          </w:tcPr>
          <w:p w14:paraId="23D2BB8B">
            <w:pPr>
              <w:spacing w:before="111" w:line="195" w:lineRule="auto"/>
              <w:ind w:left="27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41.32</w:t>
            </w:r>
          </w:p>
        </w:tc>
        <w:tc>
          <w:tcPr>
            <w:tcW w:w="861" w:type="dxa"/>
            <w:vAlign w:val="top"/>
          </w:tcPr>
          <w:p w14:paraId="7F4445FA">
            <w:pPr>
              <w:spacing w:before="111" w:line="195" w:lineRule="auto"/>
              <w:ind w:left="1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330.59</w:t>
            </w:r>
          </w:p>
        </w:tc>
        <w:tc>
          <w:tcPr>
            <w:tcW w:w="861" w:type="dxa"/>
            <w:vAlign w:val="top"/>
          </w:tcPr>
          <w:p w14:paraId="1AED043F">
            <w:pPr>
              <w:spacing w:before="111" w:line="195" w:lineRule="auto"/>
              <w:ind w:left="1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310.92</w:t>
            </w:r>
          </w:p>
        </w:tc>
        <w:tc>
          <w:tcPr>
            <w:tcW w:w="1218" w:type="dxa"/>
            <w:vAlign w:val="top"/>
          </w:tcPr>
          <w:p w14:paraId="35761407">
            <w:pPr>
              <w:spacing w:before="111" w:line="195" w:lineRule="auto"/>
              <w:ind w:left="39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15.70</w:t>
            </w:r>
          </w:p>
        </w:tc>
        <w:tc>
          <w:tcPr>
            <w:tcW w:w="866" w:type="dxa"/>
            <w:vAlign w:val="top"/>
          </w:tcPr>
          <w:p w14:paraId="14531FE1">
            <w:pPr>
              <w:spacing w:before="111"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3.</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14</w:t>
            </w:r>
          </w:p>
        </w:tc>
        <w:tc>
          <w:tcPr>
            <w:tcW w:w="1029" w:type="dxa"/>
            <w:vAlign w:val="top"/>
          </w:tcPr>
          <w:p w14:paraId="4A2C269F">
            <w:pPr>
              <w:spacing w:before="111"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0.21</w:t>
            </w:r>
          </w:p>
        </w:tc>
        <w:tc>
          <w:tcPr>
            <w:tcW w:w="861" w:type="dxa"/>
            <w:vAlign w:val="top"/>
          </w:tcPr>
          <w:p w14:paraId="74E660AE">
            <w:pPr>
              <w:spacing w:before="111" w:line="195" w:lineRule="auto"/>
              <w:ind w:left="2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1.65</w:t>
            </w:r>
          </w:p>
        </w:tc>
        <w:tc>
          <w:tcPr>
            <w:tcW w:w="861" w:type="dxa"/>
            <w:tcBorders>
              <w:right w:val="nil"/>
            </w:tcBorders>
            <w:vAlign w:val="top"/>
          </w:tcPr>
          <w:p w14:paraId="54AD3F87">
            <w:pPr>
              <w:spacing w:before="111" w:line="195" w:lineRule="auto"/>
              <w:ind w:left="21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14.88</w:t>
            </w:r>
          </w:p>
        </w:tc>
      </w:tr>
      <w:tr w14:paraId="73D372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1" w:hRule="atLeast"/>
        </w:trPr>
        <w:tc>
          <w:tcPr>
            <w:tcW w:w="672" w:type="dxa"/>
            <w:vMerge w:val="continue"/>
            <w:tcBorders>
              <w:top w:val="nil"/>
              <w:left w:val="nil"/>
              <w:bottom w:val="single" w:color="000000" w:sz="10" w:space="0"/>
            </w:tcBorders>
            <w:vAlign w:val="top"/>
          </w:tcPr>
          <w:p w14:paraId="49687589">
            <w:pPr>
              <w:rPr>
                <w:rFonts w:ascii="Arial"/>
                <w:sz w:val="21"/>
              </w:rPr>
            </w:pPr>
          </w:p>
        </w:tc>
        <w:tc>
          <w:tcPr>
            <w:tcW w:w="972" w:type="dxa"/>
            <w:tcBorders>
              <w:bottom w:val="single" w:color="000000" w:sz="10" w:space="0"/>
            </w:tcBorders>
            <w:vAlign w:val="top"/>
          </w:tcPr>
          <w:p w14:paraId="1F38E2E2">
            <w:pPr>
              <w:pStyle w:val="6"/>
              <w:spacing w:before="72" w:line="234" w:lineRule="auto"/>
              <w:ind w:left="177" w:right="168"/>
              <w:rPr>
                <w:sz w:val="20"/>
                <w:szCs w:val="20"/>
              </w:rPr>
            </w:pPr>
            <w:r>
              <w:rPr>
                <w:spacing w:val="6"/>
                <w:sz w:val="20"/>
                <w:szCs w:val="20"/>
              </w:rPr>
              <w:t>锰及其</w:t>
            </w:r>
            <w:r>
              <w:rPr>
                <w:spacing w:val="1"/>
                <w:sz w:val="20"/>
                <w:szCs w:val="20"/>
              </w:rPr>
              <w:t xml:space="preserve"> </w:t>
            </w:r>
            <w:r>
              <w:rPr>
                <w:spacing w:val="6"/>
                <w:sz w:val="20"/>
                <w:szCs w:val="20"/>
              </w:rPr>
              <w:t>化合物</w:t>
            </w:r>
          </w:p>
        </w:tc>
        <w:tc>
          <w:tcPr>
            <w:tcW w:w="1029" w:type="dxa"/>
            <w:tcBorders>
              <w:bottom w:val="single" w:color="000000" w:sz="10" w:space="0"/>
            </w:tcBorders>
            <w:vAlign w:val="top"/>
          </w:tcPr>
          <w:p w14:paraId="4A80222A">
            <w:pPr>
              <w:spacing w:before="237"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7.44</w:t>
            </w:r>
          </w:p>
        </w:tc>
        <w:tc>
          <w:tcPr>
            <w:tcW w:w="861" w:type="dxa"/>
            <w:tcBorders>
              <w:bottom w:val="single" w:color="000000" w:sz="10" w:space="0"/>
            </w:tcBorders>
            <w:vAlign w:val="top"/>
          </w:tcPr>
          <w:p w14:paraId="284B26EB">
            <w:pPr>
              <w:spacing w:before="237" w:line="195" w:lineRule="auto"/>
              <w:ind w:left="20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59.51</w:t>
            </w:r>
          </w:p>
        </w:tc>
        <w:tc>
          <w:tcPr>
            <w:tcW w:w="861" w:type="dxa"/>
            <w:tcBorders>
              <w:bottom w:val="single" w:color="000000" w:sz="10" w:space="0"/>
            </w:tcBorders>
            <w:vAlign w:val="top"/>
          </w:tcPr>
          <w:p w14:paraId="292F255B">
            <w:pPr>
              <w:spacing w:before="234" w:line="195" w:lineRule="auto"/>
              <w:ind w:left="2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55.96</w:t>
            </w:r>
          </w:p>
        </w:tc>
        <w:tc>
          <w:tcPr>
            <w:tcW w:w="1218" w:type="dxa"/>
            <w:tcBorders>
              <w:bottom w:val="single" w:color="000000" w:sz="10" w:space="0"/>
            </w:tcBorders>
            <w:vAlign w:val="top"/>
          </w:tcPr>
          <w:p w14:paraId="1E7266E6">
            <w:pPr>
              <w:spacing w:before="234" w:line="195" w:lineRule="auto"/>
              <w:ind w:left="4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2.85</w:t>
            </w:r>
          </w:p>
        </w:tc>
        <w:tc>
          <w:tcPr>
            <w:tcW w:w="866" w:type="dxa"/>
            <w:tcBorders>
              <w:bottom w:val="single" w:color="000000" w:sz="10" w:space="0"/>
            </w:tcBorders>
            <w:vAlign w:val="top"/>
          </w:tcPr>
          <w:p w14:paraId="2898514A">
            <w:pPr>
              <w:spacing w:before="234" w:line="195" w:lineRule="auto"/>
              <w:ind w:left="25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0.57</w:t>
            </w:r>
          </w:p>
        </w:tc>
        <w:tc>
          <w:tcPr>
            <w:tcW w:w="1029" w:type="dxa"/>
            <w:tcBorders>
              <w:bottom w:val="single" w:color="000000" w:sz="10" w:space="0"/>
            </w:tcBorders>
            <w:vAlign w:val="top"/>
          </w:tcPr>
          <w:p w14:paraId="6FCD473E">
            <w:pPr>
              <w:spacing w:before="234"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c>
          <w:tcPr>
            <w:tcW w:w="861" w:type="dxa"/>
            <w:tcBorders>
              <w:bottom w:val="single" w:color="000000" w:sz="10" w:space="0"/>
            </w:tcBorders>
            <w:vAlign w:val="top"/>
          </w:tcPr>
          <w:p w14:paraId="0D0BCCFB">
            <w:pPr>
              <w:spacing w:before="234"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0.30</w:t>
            </w:r>
          </w:p>
        </w:tc>
        <w:tc>
          <w:tcPr>
            <w:tcW w:w="861" w:type="dxa"/>
            <w:tcBorders>
              <w:bottom w:val="single" w:color="000000" w:sz="10" w:space="0"/>
              <w:right w:val="nil"/>
            </w:tcBorders>
            <w:vAlign w:val="top"/>
          </w:tcPr>
          <w:p w14:paraId="50E569C1">
            <w:pPr>
              <w:spacing w:before="234" w:line="195" w:lineRule="auto"/>
              <w:ind w:left="2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2.68</w:t>
            </w:r>
          </w:p>
        </w:tc>
      </w:tr>
    </w:tbl>
    <w:p w14:paraId="2CFA8635">
      <w:pPr>
        <w:spacing w:before="119" w:line="219" w:lineRule="auto"/>
        <w:ind w:left="607"/>
        <w:rPr>
          <w:rFonts w:ascii="宋体" w:hAnsi="宋体" w:eastAsia="宋体" w:cs="宋体"/>
          <w:sz w:val="24"/>
          <w:szCs w:val="24"/>
        </w:rPr>
      </w:pPr>
      <w:r>
        <w:rPr>
          <w:rFonts w:ascii="宋体" w:hAnsi="宋体" w:eastAsia="宋体" w:cs="宋体"/>
          <w:b/>
          <w:bCs/>
          <w:spacing w:val="-2"/>
          <w:sz w:val="24"/>
          <w:szCs w:val="24"/>
        </w:rPr>
        <w:t>（</w:t>
      </w:r>
      <w:r>
        <w:rPr>
          <w:rFonts w:ascii="Times New Roman" w:hAnsi="Times New Roman" w:eastAsia="Times New Roman" w:cs="Times New Roman"/>
          <w:b/>
          <w:bCs/>
          <w:spacing w:val="-2"/>
          <w:sz w:val="24"/>
          <w:szCs w:val="24"/>
        </w:rPr>
        <w:t>4</w:t>
      </w:r>
      <w:r>
        <w:rPr>
          <w:rFonts w:ascii="宋体" w:hAnsi="宋体" w:eastAsia="宋体" w:cs="宋体"/>
          <w:b/>
          <w:bCs/>
          <w:spacing w:val="-2"/>
          <w:sz w:val="24"/>
          <w:szCs w:val="24"/>
        </w:rPr>
        <w:t>）烧结机头废气（</w:t>
      </w:r>
      <w:r>
        <w:rPr>
          <w:rFonts w:ascii="Times New Roman" w:hAnsi="Times New Roman" w:eastAsia="Times New Roman" w:cs="Times New Roman"/>
          <w:b/>
          <w:bCs/>
          <w:spacing w:val="-2"/>
          <w:sz w:val="24"/>
          <w:szCs w:val="24"/>
        </w:rPr>
        <w:t>G</w:t>
      </w:r>
      <w:r>
        <w:rPr>
          <w:rFonts w:ascii="Times New Roman" w:hAnsi="Times New Roman" w:eastAsia="Times New Roman" w:cs="Times New Roman"/>
          <w:b/>
          <w:bCs/>
          <w:spacing w:val="-2"/>
          <w:sz w:val="15"/>
          <w:szCs w:val="15"/>
        </w:rPr>
        <w:t>1-6</w:t>
      </w:r>
      <w:r>
        <w:rPr>
          <w:rFonts w:ascii="宋体" w:hAnsi="宋体" w:eastAsia="宋体" w:cs="宋体"/>
          <w:b/>
          <w:bCs/>
          <w:spacing w:val="-2"/>
          <w:sz w:val="24"/>
          <w:szCs w:val="24"/>
        </w:rPr>
        <w:t>）</w:t>
      </w:r>
    </w:p>
    <w:p w14:paraId="7EA97E3D">
      <w:pPr>
        <w:spacing w:before="191" w:line="362" w:lineRule="auto"/>
        <w:ind w:left="112" w:right="107" w:firstLine="488"/>
        <w:jc w:val="both"/>
        <w:rPr>
          <w:rFonts w:ascii="宋体" w:hAnsi="宋体" w:eastAsia="宋体" w:cs="宋体"/>
          <w:sz w:val="24"/>
          <w:szCs w:val="24"/>
        </w:rPr>
      </w:pPr>
      <w:r>
        <w:rPr>
          <w:rFonts w:ascii="宋体" w:hAnsi="宋体" w:eastAsia="宋体" w:cs="宋体"/>
          <w:spacing w:val="-3"/>
          <w:sz w:val="24"/>
          <w:szCs w:val="24"/>
        </w:rPr>
        <w:t>项目设</w:t>
      </w:r>
      <w:r>
        <w:rPr>
          <w:rFonts w:ascii="宋体" w:hAnsi="宋体" w:eastAsia="宋体" w:cs="宋体"/>
          <w:spacing w:val="-18"/>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28"/>
          <w:sz w:val="24"/>
          <w:szCs w:val="24"/>
        </w:rPr>
        <w:t xml:space="preserve"> </w:t>
      </w:r>
      <w:r>
        <w:rPr>
          <w:rFonts w:ascii="宋体" w:hAnsi="宋体" w:eastAsia="宋体" w:cs="宋体"/>
          <w:spacing w:val="-3"/>
          <w:sz w:val="24"/>
          <w:szCs w:val="24"/>
        </w:rPr>
        <w:t>台烧结机，共设置</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套烧结烟气处理系统，烧结烟气经布袋除尘器</w:t>
      </w:r>
      <w:r>
        <w:rPr>
          <w:rFonts w:ascii="Times New Roman" w:hAnsi="Times New Roman" w:eastAsia="Times New Roman" w:cs="Times New Roman"/>
          <w:spacing w:val="-3"/>
          <w:sz w:val="24"/>
          <w:szCs w:val="24"/>
        </w:rPr>
        <w:t>+</w:t>
      </w:r>
      <w:r>
        <w:rPr>
          <w:rFonts w:ascii="宋体" w:hAnsi="宋体" w:eastAsia="宋体" w:cs="宋体"/>
          <w:spacing w:val="-3"/>
          <w:sz w:val="24"/>
          <w:szCs w:val="24"/>
        </w:rPr>
        <w:t>石灰</w:t>
      </w:r>
      <w:r>
        <w:rPr>
          <w:rFonts w:ascii="宋体" w:hAnsi="宋体" w:eastAsia="宋体" w:cs="宋体"/>
          <w:sz w:val="24"/>
          <w:szCs w:val="24"/>
        </w:rPr>
        <w:t xml:space="preserve"> 石</w:t>
      </w:r>
      <w:r>
        <w:rPr>
          <w:rFonts w:ascii="Times New Roman" w:hAnsi="Times New Roman" w:eastAsia="Times New Roman" w:cs="Times New Roman"/>
          <w:sz w:val="24"/>
          <w:szCs w:val="24"/>
        </w:rPr>
        <w:t>-</w:t>
      </w:r>
      <w:r>
        <w:rPr>
          <w:rFonts w:ascii="宋体" w:hAnsi="宋体" w:eastAsia="宋体" w:cs="宋体"/>
          <w:sz w:val="24"/>
          <w:szCs w:val="24"/>
        </w:rPr>
        <w:t>石膏法脱硫处理，除尘效率为</w:t>
      </w:r>
      <w:r>
        <w:rPr>
          <w:rFonts w:ascii="Times New Roman" w:hAnsi="Times New Roman" w:eastAsia="Times New Roman" w:cs="Times New Roman"/>
          <w:sz w:val="24"/>
          <w:szCs w:val="24"/>
        </w:rPr>
        <w:t>99%</w:t>
      </w:r>
      <w:r>
        <w:rPr>
          <w:rFonts w:ascii="宋体" w:hAnsi="宋体" w:eastAsia="宋体" w:cs="宋体"/>
          <w:sz w:val="24"/>
          <w:szCs w:val="24"/>
        </w:rPr>
        <w:t>；脱硫工艺采取石灰石</w:t>
      </w:r>
      <w:r>
        <w:rPr>
          <w:rFonts w:ascii="Times New Roman" w:hAnsi="Times New Roman" w:eastAsia="Times New Roman" w:cs="Times New Roman"/>
          <w:sz w:val="24"/>
          <w:szCs w:val="24"/>
        </w:rPr>
        <w:t>-</w:t>
      </w:r>
      <w:r>
        <w:rPr>
          <w:rFonts w:ascii="宋体" w:hAnsi="宋体" w:eastAsia="宋体" w:cs="宋体"/>
          <w:sz w:val="24"/>
          <w:szCs w:val="24"/>
        </w:rPr>
        <w:t>石膏法脱硫，脱硫效率按</w:t>
      </w:r>
      <w:r>
        <w:rPr>
          <w:rFonts w:ascii="宋体" w:hAnsi="宋体" w:eastAsia="宋体" w:cs="宋体"/>
          <w:spacing w:val="10"/>
          <w:sz w:val="24"/>
          <w:szCs w:val="24"/>
        </w:rPr>
        <w:t xml:space="preserve"> </w:t>
      </w:r>
      <w:r>
        <w:rPr>
          <w:rFonts w:ascii="Times New Roman" w:hAnsi="Times New Roman" w:eastAsia="Times New Roman" w:cs="Times New Roman"/>
          <w:spacing w:val="-7"/>
          <w:sz w:val="24"/>
          <w:szCs w:val="24"/>
        </w:rPr>
        <w:t>88%</w:t>
      </w:r>
      <w:r>
        <w:rPr>
          <w:rFonts w:ascii="宋体" w:hAnsi="宋体" w:eastAsia="宋体" w:cs="宋体"/>
          <w:spacing w:val="-7"/>
          <w:sz w:val="24"/>
          <w:szCs w:val="24"/>
        </w:rPr>
        <w:t>考虑。参照《排放源统计调查产排污核算方法和系数手册》</w:t>
      </w:r>
      <w:r>
        <w:rPr>
          <w:rFonts w:ascii="宋体" w:hAnsi="宋体" w:eastAsia="宋体" w:cs="宋体"/>
          <w:spacing w:val="-8"/>
          <w:sz w:val="24"/>
          <w:szCs w:val="24"/>
        </w:rPr>
        <w:t>（环境部公告</w:t>
      </w:r>
      <w:r>
        <w:rPr>
          <w:rFonts w:ascii="宋体" w:hAnsi="宋体" w:eastAsia="宋体" w:cs="宋体"/>
          <w:spacing w:val="-55"/>
          <w:sz w:val="24"/>
          <w:szCs w:val="24"/>
        </w:rPr>
        <w:t xml:space="preserve"> </w:t>
      </w:r>
      <w:r>
        <w:rPr>
          <w:rFonts w:ascii="Times New Roman" w:hAnsi="Times New Roman" w:eastAsia="Times New Roman" w:cs="Times New Roman"/>
          <w:spacing w:val="-8"/>
          <w:sz w:val="24"/>
          <w:szCs w:val="24"/>
        </w:rPr>
        <w:t xml:space="preserve">2021 </w:t>
      </w:r>
      <w:r>
        <w:rPr>
          <w:rFonts w:ascii="宋体" w:hAnsi="宋体" w:eastAsia="宋体" w:cs="宋体"/>
          <w:spacing w:val="-8"/>
          <w:sz w:val="24"/>
          <w:szCs w:val="24"/>
        </w:rPr>
        <w:t>年 第</w:t>
      </w:r>
      <w:r>
        <w:rPr>
          <w:rFonts w:ascii="宋体" w:hAnsi="宋体" w:eastAsia="宋体" w:cs="宋体"/>
          <w:sz w:val="24"/>
          <w:szCs w:val="24"/>
        </w:rPr>
        <w:t xml:space="preserve"> </w:t>
      </w:r>
      <w:r>
        <w:rPr>
          <w:rFonts w:ascii="Times New Roman" w:hAnsi="Times New Roman" w:eastAsia="Times New Roman" w:cs="Times New Roman"/>
          <w:spacing w:val="-2"/>
          <w:sz w:val="24"/>
          <w:szCs w:val="24"/>
        </w:rPr>
        <w:t>24</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号）</w:t>
      </w:r>
      <w:r>
        <w:rPr>
          <w:rFonts w:ascii="Times New Roman" w:hAnsi="Times New Roman" w:eastAsia="Times New Roman" w:cs="Times New Roman"/>
          <w:spacing w:val="-2"/>
          <w:sz w:val="24"/>
          <w:szCs w:val="24"/>
        </w:rPr>
        <w:t xml:space="preserve">3110 </w:t>
      </w:r>
      <w:r>
        <w:rPr>
          <w:rFonts w:ascii="宋体" w:hAnsi="宋体" w:eastAsia="宋体" w:cs="宋体"/>
          <w:spacing w:val="-2"/>
          <w:sz w:val="24"/>
          <w:szCs w:val="24"/>
        </w:rPr>
        <w:t>炼铁行业系数手册中</w:t>
      </w:r>
      <w:r>
        <w:rPr>
          <w:rFonts w:ascii="Times New Roman" w:hAnsi="Times New Roman" w:eastAsia="Times New Roman" w:cs="Times New Roman"/>
          <w:spacing w:val="-2"/>
          <w:sz w:val="24"/>
          <w:szCs w:val="24"/>
        </w:rPr>
        <w:t xml:space="preserve">≤180 </w:t>
      </w:r>
      <w:r>
        <w:rPr>
          <w:rFonts w:ascii="宋体" w:hAnsi="宋体" w:eastAsia="宋体" w:cs="宋体"/>
          <w:spacing w:val="-2"/>
          <w:sz w:val="24"/>
          <w:szCs w:val="24"/>
        </w:rPr>
        <w:t>平方米带式烧结机（机头）产污系数，产污系数</w:t>
      </w:r>
      <w:r>
        <w:rPr>
          <w:rFonts w:ascii="宋体" w:hAnsi="宋体" w:eastAsia="宋体" w:cs="宋体"/>
          <w:sz w:val="24"/>
          <w:szCs w:val="24"/>
        </w:rPr>
        <w:t xml:space="preserve"> </w:t>
      </w:r>
      <w:r>
        <w:rPr>
          <w:rFonts w:ascii="宋体" w:hAnsi="宋体" w:eastAsia="宋体" w:cs="宋体"/>
          <w:spacing w:val="-2"/>
          <w:sz w:val="24"/>
          <w:szCs w:val="24"/>
        </w:rPr>
        <w:t>见下表</w:t>
      </w:r>
      <w:r>
        <w:rPr>
          <w:rFonts w:ascii="宋体" w:hAnsi="宋体" w:eastAsia="宋体" w:cs="宋体"/>
          <w:spacing w:val="-47"/>
          <w:sz w:val="24"/>
          <w:szCs w:val="24"/>
        </w:rPr>
        <w:t xml:space="preserve"> </w:t>
      </w:r>
      <w:r>
        <w:rPr>
          <w:rFonts w:ascii="Times New Roman" w:hAnsi="Times New Roman" w:eastAsia="Times New Roman" w:cs="Times New Roman"/>
          <w:spacing w:val="-2"/>
          <w:sz w:val="24"/>
          <w:szCs w:val="24"/>
        </w:rPr>
        <w:t>2.3-17</w:t>
      </w:r>
      <w:r>
        <w:rPr>
          <w:rFonts w:ascii="宋体" w:hAnsi="宋体" w:eastAsia="宋体" w:cs="宋体"/>
          <w:spacing w:val="-2"/>
          <w:sz w:val="24"/>
          <w:szCs w:val="24"/>
        </w:rPr>
        <w:t>。</w:t>
      </w:r>
    </w:p>
    <w:p w14:paraId="037E13C1">
      <w:pPr>
        <w:spacing w:line="362" w:lineRule="auto"/>
        <w:rPr>
          <w:rFonts w:ascii="宋体" w:hAnsi="宋体" w:eastAsia="宋体" w:cs="宋体"/>
          <w:sz w:val="24"/>
          <w:szCs w:val="24"/>
        </w:rPr>
        <w:sectPr>
          <w:headerReference r:id="rId169" w:type="default"/>
          <w:footerReference r:id="rId170" w:type="default"/>
          <w:pgSz w:w="11850" w:h="16781"/>
          <w:pgMar w:top="1190" w:right="1309" w:bottom="1013" w:left="1309" w:header="882" w:footer="850" w:gutter="0"/>
          <w:cols w:space="720" w:num="1"/>
        </w:sectPr>
      </w:pPr>
    </w:p>
    <w:p w14:paraId="2654F017">
      <w:pPr>
        <w:pStyle w:val="2"/>
        <w:spacing w:line="291" w:lineRule="auto"/>
      </w:pPr>
      <w:r>
        <w:pict>
          <v:shape id="_x0000_s1204" o:spid="_x0000_s1204" style="position:absolute;left:0pt;margin-left:5.4pt;margin-top:0.7pt;height:0.75pt;width:450.75pt;z-index:251863040;mso-width-relative:page;mso-height-relative:page;" fillcolor="#000000" filled="t" stroked="f" coordsize="9015,15" path="m0,0l9014,0,9014,14,0,14,0,0xe">
            <v:path/>
            <v:fill on="t" focussize="0,0"/>
            <v:stroke on="f"/>
            <v:imagedata o:title=""/>
            <o:lock v:ext="edit"/>
          </v:shape>
        </w:pict>
      </w:r>
    </w:p>
    <w:p w14:paraId="309CC0F3">
      <w:pPr>
        <w:spacing w:before="65" w:line="227" w:lineRule="auto"/>
        <w:ind w:left="1607"/>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9"/>
          <w:sz w:val="20"/>
          <w:szCs w:val="20"/>
        </w:rPr>
        <w:t xml:space="preserve"> </w:t>
      </w:r>
      <w:r>
        <w:rPr>
          <w:rFonts w:ascii="Times New Roman" w:hAnsi="Times New Roman" w:eastAsia="Times New Roman" w:cs="Times New Roman"/>
          <w:b/>
          <w:bCs/>
          <w:spacing w:val="6"/>
          <w:sz w:val="20"/>
          <w:szCs w:val="20"/>
        </w:rPr>
        <w:t xml:space="preserve">2.3-17      </w:t>
      </w:r>
      <w:r>
        <w:rPr>
          <w:rFonts w:ascii="宋体" w:hAnsi="宋体" w:eastAsia="宋体" w:cs="宋体"/>
          <w:b/>
          <w:bCs/>
          <w:spacing w:val="6"/>
          <w:sz w:val="20"/>
          <w:szCs w:val="20"/>
        </w:rPr>
        <w:t>炼铁行业系数手册中</w:t>
      </w:r>
      <w:r>
        <w:rPr>
          <w:rFonts w:ascii="Times New Roman" w:hAnsi="Times New Roman" w:eastAsia="Times New Roman" w:cs="Times New Roman"/>
          <w:b/>
          <w:bCs/>
          <w:spacing w:val="6"/>
          <w:sz w:val="20"/>
          <w:szCs w:val="20"/>
        </w:rPr>
        <w:t xml:space="preserve">≤180 </w:t>
      </w:r>
      <w:r>
        <w:rPr>
          <w:rFonts w:ascii="宋体" w:hAnsi="宋体" w:eastAsia="宋体" w:cs="宋体"/>
          <w:b/>
          <w:bCs/>
          <w:spacing w:val="6"/>
          <w:sz w:val="20"/>
          <w:szCs w:val="20"/>
        </w:rPr>
        <w:t>平方米带式烧结机产污系数</w:t>
      </w:r>
    </w:p>
    <w:p w14:paraId="655D9179">
      <w:pPr>
        <w:spacing w:line="98" w:lineRule="exact"/>
      </w:pPr>
    </w:p>
    <w:tbl>
      <w:tblPr>
        <w:tblStyle w:val="5"/>
        <w:tblW w:w="923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58"/>
        <w:gridCol w:w="688"/>
        <w:gridCol w:w="989"/>
        <w:gridCol w:w="824"/>
        <w:gridCol w:w="363"/>
        <w:gridCol w:w="913"/>
        <w:gridCol w:w="2047"/>
        <w:gridCol w:w="943"/>
        <w:gridCol w:w="945"/>
        <w:gridCol w:w="860"/>
      </w:tblGrid>
      <w:tr w14:paraId="4432D4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trPr>
        <w:tc>
          <w:tcPr>
            <w:tcW w:w="658" w:type="dxa"/>
            <w:tcBorders>
              <w:top w:val="single" w:color="000000" w:sz="10" w:space="0"/>
              <w:left w:val="nil"/>
            </w:tcBorders>
            <w:vAlign w:val="top"/>
          </w:tcPr>
          <w:p w14:paraId="26BF3FE1">
            <w:pPr>
              <w:spacing w:line="354" w:lineRule="auto"/>
              <w:rPr>
                <w:rFonts w:ascii="Arial"/>
                <w:sz w:val="21"/>
              </w:rPr>
            </w:pPr>
          </w:p>
          <w:p w14:paraId="4DA02257">
            <w:pPr>
              <w:pStyle w:val="6"/>
              <w:spacing w:before="65" w:line="236" w:lineRule="auto"/>
              <w:ind w:left="129" w:right="118"/>
              <w:rPr>
                <w:sz w:val="20"/>
                <w:szCs w:val="20"/>
              </w:rPr>
            </w:pPr>
            <w:r>
              <w:rPr>
                <w:spacing w:val="3"/>
                <w:sz w:val="20"/>
                <w:szCs w:val="20"/>
              </w:rPr>
              <w:t>工段</w:t>
            </w:r>
            <w:r>
              <w:rPr>
                <w:sz w:val="20"/>
                <w:szCs w:val="20"/>
              </w:rPr>
              <w:t xml:space="preserve"> </w:t>
            </w:r>
            <w:r>
              <w:rPr>
                <w:spacing w:val="3"/>
                <w:sz w:val="20"/>
                <w:szCs w:val="20"/>
              </w:rPr>
              <w:t>名称</w:t>
            </w:r>
          </w:p>
        </w:tc>
        <w:tc>
          <w:tcPr>
            <w:tcW w:w="688" w:type="dxa"/>
            <w:tcBorders>
              <w:top w:val="single" w:color="000000" w:sz="10" w:space="0"/>
            </w:tcBorders>
            <w:vAlign w:val="top"/>
          </w:tcPr>
          <w:p w14:paraId="6A28618C">
            <w:pPr>
              <w:spacing w:line="354" w:lineRule="auto"/>
              <w:rPr>
                <w:rFonts w:ascii="Arial"/>
                <w:sz w:val="21"/>
              </w:rPr>
            </w:pPr>
          </w:p>
          <w:p w14:paraId="41A807D3">
            <w:pPr>
              <w:pStyle w:val="6"/>
              <w:spacing w:before="65" w:line="236" w:lineRule="auto"/>
              <w:ind w:left="140" w:right="134" w:hanging="2"/>
              <w:rPr>
                <w:sz w:val="20"/>
                <w:szCs w:val="20"/>
              </w:rPr>
            </w:pPr>
            <w:r>
              <w:rPr>
                <w:spacing w:val="4"/>
                <w:sz w:val="20"/>
                <w:szCs w:val="20"/>
              </w:rPr>
              <w:t>产品</w:t>
            </w:r>
            <w:r>
              <w:rPr>
                <w:sz w:val="20"/>
                <w:szCs w:val="20"/>
              </w:rPr>
              <w:t xml:space="preserve"> </w:t>
            </w:r>
            <w:r>
              <w:rPr>
                <w:spacing w:val="3"/>
                <w:sz w:val="20"/>
                <w:szCs w:val="20"/>
              </w:rPr>
              <w:t>名称</w:t>
            </w:r>
          </w:p>
        </w:tc>
        <w:tc>
          <w:tcPr>
            <w:tcW w:w="989" w:type="dxa"/>
            <w:tcBorders>
              <w:top w:val="single" w:color="000000" w:sz="10" w:space="0"/>
            </w:tcBorders>
            <w:vAlign w:val="top"/>
          </w:tcPr>
          <w:p w14:paraId="6F0C4CE4">
            <w:pPr>
              <w:spacing w:line="354" w:lineRule="auto"/>
              <w:rPr>
                <w:rFonts w:ascii="Arial"/>
                <w:sz w:val="21"/>
              </w:rPr>
            </w:pPr>
          </w:p>
          <w:p w14:paraId="17648228">
            <w:pPr>
              <w:pStyle w:val="6"/>
              <w:spacing w:before="65" w:line="236" w:lineRule="auto"/>
              <w:ind w:left="392" w:right="178" w:hanging="205"/>
              <w:rPr>
                <w:sz w:val="20"/>
                <w:szCs w:val="20"/>
              </w:rPr>
            </w:pPr>
            <w:r>
              <w:rPr>
                <w:spacing w:val="6"/>
                <w:sz w:val="20"/>
                <w:szCs w:val="20"/>
              </w:rPr>
              <w:t>工艺名</w:t>
            </w:r>
            <w:r>
              <w:rPr>
                <w:sz w:val="20"/>
                <w:szCs w:val="20"/>
              </w:rPr>
              <w:t xml:space="preserve"> </w:t>
            </w:r>
            <w:r>
              <w:rPr>
                <w:spacing w:val="1"/>
                <w:sz w:val="20"/>
                <w:szCs w:val="20"/>
              </w:rPr>
              <w:t>称</w:t>
            </w:r>
          </w:p>
        </w:tc>
        <w:tc>
          <w:tcPr>
            <w:tcW w:w="824" w:type="dxa"/>
            <w:tcBorders>
              <w:top w:val="single" w:color="000000" w:sz="10" w:space="0"/>
            </w:tcBorders>
            <w:vAlign w:val="top"/>
          </w:tcPr>
          <w:p w14:paraId="3CEE39EA">
            <w:pPr>
              <w:spacing w:line="354" w:lineRule="auto"/>
              <w:rPr>
                <w:rFonts w:ascii="Arial"/>
                <w:sz w:val="21"/>
              </w:rPr>
            </w:pPr>
          </w:p>
          <w:p w14:paraId="63B5CB93">
            <w:pPr>
              <w:pStyle w:val="6"/>
              <w:spacing w:before="65" w:line="235" w:lineRule="auto"/>
              <w:ind w:left="207" w:right="202"/>
              <w:rPr>
                <w:sz w:val="20"/>
                <w:szCs w:val="20"/>
              </w:rPr>
            </w:pPr>
            <w:r>
              <w:rPr>
                <w:spacing w:val="4"/>
                <w:sz w:val="20"/>
                <w:szCs w:val="20"/>
              </w:rPr>
              <w:t>规模</w:t>
            </w:r>
            <w:r>
              <w:rPr>
                <w:sz w:val="20"/>
                <w:szCs w:val="20"/>
              </w:rPr>
              <w:t xml:space="preserve"> </w:t>
            </w:r>
            <w:r>
              <w:rPr>
                <w:spacing w:val="3"/>
                <w:sz w:val="20"/>
                <w:szCs w:val="20"/>
              </w:rPr>
              <w:t>等级</w:t>
            </w:r>
          </w:p>
        </w:tc>
        <w:tc>
          <w:tcPr>
            <w:tcW w:w="1276" w:type="dxa"/>
            <w:gridSpan w:val="2"/>
            <w:tcBorders>
              <w:top w:val="single" w:color="000000" w:sz="10" w:space="0"/>
            </w:tcBorders>
            <w:vAlign w:val="top"/>
          </w:tcPr>
          <w:p w14:paraId="1D84EEC3">
            <w:pPr>
              <w:spacing w:line="243" w:lineRule="auto"/>
              <w:rPr>
                <w:rFonts w:ascii="Arial"/>
                <w:sz w:val="21"/>
              </w:rPr>
            </w:pPr>
          </w:p>
          <w:p w14:paraId="6E945F91">
            <w:pPr>
              <w:spacing w:line="243" w:lineRule="auto"/>
              <w:rPr>
                <w:rFonts w:ascii="Arial"/>
                <w:sz w:val="21"/>
              </w:rPr>
            </w:pPr>
          </w:p>
          <w:p w14:paraId="4A2A5E76">
            <w:pPr>
              <w:pStyle w:val="6"/>
              <w:spacing w:before="65" w:line="228" w:lineRule="auto"/>
              <w:ind w:left="120"/>
              <w:rPr>
                <w:sz w:val="20"/>
                <w:szCs w:val="20"/>
              </w:rPr>
            </w:pPr>
            <w:r>
              <w:rPr>
                <w:spacing w:val="7"/>
                <w:sz w:val="20"/>
                <w:szCs w:val="20"/>
              </w:rPr>
              <w:t>污染物指标</w:t>
            </w:r>
          </w:p>
        </w:tc>
        <w:tc>
          <w:tcPr>
            <w:tcW w:w="2047" w:type="dxa"/>
            <w:tcBorders>
              <w:top w:val="single" w:color="000000" w:sz="10" w:space="0"/>
            </w:tcBorders>
            <w:vAlign w:val="top"/>
          </w:tcPr>
          <w:p w14:paraId="3F817170">
            <w:pPr>
              <w:spacing w:line="243" w:lineRule="auto"/>
              <w:rPr>
                <w:rFonts w:ascii="Arial"/>
                <w:sz w:val="21"/>
              </w:rPr>
            </w:pPr>
          </w:p>
          <w:p w14:paraId="2F0C1012">
            <w:pPr>
              <w:spacing w:line="243" w:lineRule="auto"/>
              <w:rPr>
                <w:rFonts w:ascii="Arial"/>
                <w:sz w:val="21"/>
              </w:rPr>
            </w:pPr>
          </w:p>
          <w:p w14:paraId="71AAB687">
            <w:pPr>
              <w:pStyle w:val="6"/>
              <w:spacing w:before="65" w:line="228" w:lineRule="auto"/>
              <w:ind w:left="609"/>
              <w:rPr>
                <w:sz w:val="20"/>
                <w:szCs w:val="20"/>
              </w:rPr>
            </w:pPr>
            <w:r>
              <w:rPr>
                <w:spacing w:val="7"/>
                <w:sz w:val="20"/>
                <w:szCs w:val="20"/>
              </w:rPr>
              <w:t>产污系数</w:t>
            </w:r>
          </w:p>
        </w:tc>
        <w:tc>
          <w:tcPr>
            <w:tcW w:w="943" w:type="dxa"/>
            <w:tcBorders>
              <w:top w:val="single" w:color="000000" w:sz="10" w:space="0"/>
            </w:tcBorders>
            <w:vAlign w:val="top"/>
          </w:tcPr>
          <w:p w14:paraId="3687D42D">
            <w:pPr>
              <w:spacing w:line="243" w:lineRule="auto"/>
              <w:rPr>
                <w:rFonts w:ascii="Arial"/>
                <w:sz w:val="21"/>
              </w:rPr>
            </w:pPr>
          </w:p>
          <w:p w14:paraId="5243864C">
            <w:pPr>
              <w:spacing w:line="243" w:lineRule="auto"/>
              <w:rPr>
                <w:rFonts w:ascii="Arial"/>
                <w:sz w:val="21"/>
              </w:rPr>
            </w:pPr>
          </w:p>
          <w:p w14:paraId="71BDCD73">
            <w:pPr>
              <w:pStyle w:val="6"/>
              <w:spacing w:before="65" w:line="228" w:lineRule="auto"/>
              <w:ind w:left="268"/>
              <w:rPr>
                <w:sz w:val="20"/>
                <w:szCs w:val="20"/>
              </w:rPr>
            </w:pPr>
            <w:r>
              <w:rPr>
                <w:spacing w:val="3"/>
                <w:sz w:val="20"/>
                <w:szCs w:val="20"/>
              </w:rPr>
              <w:t>单位</w:t>
            </w:r>
          </w:p>
        </w:tc>
        <w:tc>
          <w:tcPr>
            <w:tcW w:w="945" w:type="dxa"/>
            <w:tcBorders>
              <w:top w:val="single" w:color="000000" w:sz="10" w:space="0"/>
            </w:tcBorders>
            <w:vAlign w:val="top"/>
          </w:tcPr>
          <w:p w14:paraId="40BEA931">
            <w:pPr>
              <w:pStyle w:val="6"/>
              <w:spacing w:before="292" w:line="228" w:lineRule="auto"/>
              <w:ind w:left="163"/>
              <w:rPr>
                <w:sz w:val="20"/>
                <w:szCs w:val="20"/>
              </w:rPr>
            </w:pPr>
            <w:r>
              <w:rPr>
                <w:spacing w:val="6"/>
                <w:sz w:val="20"/>
                <w:szCs w:val="20"/>
              </w:rPr>
              <w:t>末端治</w:t>
            </w:r>
          </w:p>
          <w:p w14:paraId="4E0885E5">
            <w:pPr>
              <w:pStyle w:val="6"/>
              <w:spacing w:before="14" w:line="228" w:lineRule="auto"/>
              <w:ind w:left="166"/>
              <w:rPr>
                <w:sz w:val="20"/>
                <w:szCs w:val="20"/>
              </w:rPr>
            </w:pPr>
            <w:r>
              <w:rPr>
                <w:spacing w:val="6"/>
                <w:sz w:val="20"/>
                <w:szCs w:val="20"/>
              </w:rPr>
              <w:t>理技术</w:t>
            </w:r>
          </w:p>
          <w:p w14:paraId="28271BBB">
            <w:pPr>
              <w:pStyle w:val="6"/>
              <w:spacing w:before="12" w:line="230" w:lineRule="auto"/>
              <w:ind w:left="271"/>
              <w:rPr>
                <w:sz w:val="20"/>
                <w:szCs w:val="20"/>
              </w:rPr>
            </w:pPr>
            <w:r>
              <w:rPr>
                <w:spacing w:val="3"/>
                <w:sz w:val="20"/>
                <w:szCs w:val="20"/>
              </w:rPr>
              <w:t>名称</w:t>
            </w:r>
          </w:p>
        </w:tc>
        <w:tc>
          <w:tcPr>
            <w:tcW w:w="860" w:type="dxa"/>
            <w:tcBorders>
              <w:top w:val="single" w:color="000000" w:sz="10" w:space="0"/>
              <w:right w:val="nil"/>
            </w:tcBorders>
            <w:vAlign w:val="top"/>
          </w:tcPr>
          <w:p w14:paraId="07212232">
            <w:pPr>
              <w:pStyle w:val="6"/>
              <w:spacing w:before="33" w:line="228" w:lineRule="auto"/>
              <w:ind w:left="121"/>
              <w:rPr>
                <w:sz w:val="20"/>
                <w:szCs w:val="20"/>
              </w:rPr>
            </w:pPr>
            <w:r>
              <w:rPr>
                <w:spacing w:val="6"/>
                <w:sz w:val="20"/>
                <w:szCs w:val="20"/>
              </w:rPr>
              <w:t>末端治</w:t>
            </w:r>
          </w:p>
          <w:p w14:paraId="09C951D2">
            <w:pPr>
              <w:pStyle w:val="6"/>
              <w:spacing w:before="12" w:line="228" w:lineRule="auto"/>
              <w:ind w:left="123"/>
              <w:rPr>
                <w:sz w:val="20"/>
                <w:szCs w:val="20"/>
              </w:rPr>
            </w:pPr>
            <w:r>
              <w:rPr>
                <w:spacing w:val="6"/>
                <w:sz w:val="20"/>
                <w:szCs w:val="20"/>
              </w:rPr>
              <w:t>理技术</w:t>
            </w:r>
          </w:p>
          <w:p w14:paraId="56586518">
            <w:pPr>
              <w:pStyle w:val="6"/>
              <w:spacing w:before="15" w:line="228" w:lineRule="auto"/>
              <w:ind w:left="120"/>
              <w:rPr>
                <w:sz w:val="20"/>
                <w:szCs w:val="20"/>
              </w:rPr>
            </w:pPr>
            <w:r>
              <w:rPr>
                <w:spacing w:val="7"/>
                <w:sz w:val="20"/>
                <w:szCs w:val="20"/>
              </w:rPr>
              <w:t>平均去</w:t>
            </w:r>
          </w:p>
          <w:p w14:paraId="235B4639">
            <w:pPr>
              <w:pStyle w:val="6"/>
              <w:spacing w:before="11" w:line="228" w:lineRule="auto"/>
              <w:ind w:left="238"/>
              <w:rPr>
                <w:sz w:val="20"/>
                <w:szCs w:val="20"/>
              </w:rPr>
            </w:pPr>
            <w:r>
              <w:rPr>
                <w:spacing w:val="-2"/>
                <w:sz w:val="20"/>
                <w:szCs w:val="20"/>
              </w:rPr>
              <w:t>除效</w:t>
            </w:r>
          </w:p>
          <w:p w14:paraId="284C557D">
            <w:pPr>
              <w:pStyle w:val="6"/>
              <w:spacing w:before="12" w:line="204" w:lineRule="auto"/>
              <w:ind w:left="245"/>
              <w:rPr>
                <w:rFonts w:ascii="Times New Roman" w:hAnsi="Times New Roman" w:eastAsia="Times New Roman" w:cs="Times New Roman"/>
                <w:sz w:val="20"/>
                <w:szCs w:val="20"/>
              </w:rPr>
            </w:pPr>
            <w:r>
              <w:rPr>
                <w:spacing w:val="4"/>
                <w:sz w:val="20"/>
                <w:szCs w:val="20"/>
              </w:rPr>
              <w:t>率</w:t>
            </w:r>
            <w:r>
              <w:rPr>
                <w:rFonts w:ascii="Times New Roman" w:hAnsi="Times New Roman" w:eastAsia="Times New Roman" w:cs="Times New Roman"/>
                <w:spacing w:val="4"/>
                <w:sz w:val="20"/>
                <w:szCs w:val="20"/>
              </w:rPr>
              <w:t>%</w:t>
            </w:r>
          </w:p>
        </w:tc>
      </w:tr>
      <w:tr w14:paraId="21AEF7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1" w:hRule="atLeast"/>
        </w:trPr>
        <w:tc>
          <w:tcPr>
            <w:tcW w:w="658" w:type="dxa"/>
            <w:vMerge w:val="restart"/>
            <w:tcBorders>
              <w:left w:val="nil"/>
              <w:bottom w:val="nil"/>
            </w:tcBorders>
            <w:vAlign w:val="top"/>
          </w:tcPr>
          <w:p w14:paraId="4EA01458">
            <w:pPr>
              <w:spacing w:line="252" w:lineRule="auto"/>
              <w:rPr>
                <w:rFonts w:ascii="Arial"/>
                <w:sz w:val="21"/>
              </w:rPr>
            </w:pPr>
          </w:p>
          <w:p w14:paraId="6083B8EE">
            <w:pPr>
              <w:spacing w:line="252" w:lineRule="auto"/>
              <w:rPr>
                <w:rFonts w:ascii="Arial"/>
                <w:sz w:val="21"/>
              </w:rPr>
            </w:pPr>
          </w:p>
          <w:p w14:paraId="23270028">
            <w:pPr>
              <w:spacing w:line="252" w:lineRule="auto"/>
              <w:rPr>
                <w:rFonts w:ascii="Arial"/>
                <w:sz w:val="21"/>
              </w:rPr>
            </w:pPr>
          </w:p>
          <w:p w14:paraId="272B7E7A">
            <w:pPr>
              <w:spacing w:line="253" w:lineRule="auto"/>
              <w:rPr>
                <w:rFonts w:ascii="Arial"/>
                <w:sz w:val="21"/>
              </w:rPr>
            </w:pPr>
          </w:p>
          <w:p w14:paraId="0828312D">
            <w:pPr>
              <w:spacing w:line="253" w:lineRule="auto"/>
              <w:rPr>
                <w:rFonts w:ascii="Arial"/>
                <w:sz w:val="21"/>
              </w:rPr>
            </w:pPr>
          </w:p>
          <w:p w14:paraId="73DA5426">
            <w:pPr>
              <w:pStyle w:val="6"/>
              <w:spacing w:before="65" w:line="227" w:lineRule="auto"/>
              <w:ind w:left="126"/>
              <w:rPr>
                <w:sz w:val="20"/>
                <w:szCs w:val="20"/>
              </w:rPr>
            </w:pPr>
            <w:r>
              <w:rPr>
                <w:spacing w:val="5"/>
                <w:sz w:val="20"/>
                <w:szCs w:val="20"/>
              </w:rPr>
              <w:t>烧结</w:t>
            </w:r>
          </w:p>
        </w:tc>
        <w:tc>
          <w:tcPr>
            <w:tcW w:w="688" w:type="dxa"/>
            <w:vMerge w:val="restart"/>
            <w:tcBorders>
              <w:bottom w:val="nil"/>
            </w:tcBorders>
            <w:vAlign w:val="top"/>
          </w:tcPr>
          <w:p w14:paraId="34A8315D">
            <w:pPr>
              <w:spacing w:line="283" w:lineRule="auto"/>
              <w:rPr>
                <w:rFonts w:ascii="Arial"/>
                <w:sz w:val="21"/>
              </w:rPr>
            </w:pPr>
          </w:p>
          <w:p w14:paraId="7435299E">
            <w:pPr>
              <w:spacing w:line="284" w:lineRule="auto"/>
              <w:rPr>
                <w:rFonts w:ascii="Arial"/>
                <w:sz w:val="21"/>
              </w:rPr>
            </w:pPr>
          </w:p>
          <w:p w14:paraId="4E6CD7BE">
            <w:pPr>
              <w:spacing w:line="284" w:lineRule="auto"/>
              <w:rPr>
                <w:rFonts w:ascii="Arial"/>
                <w:sz w:val="21"/>
              </w:rPr>
            </w:pPr>
          </w:p>
          <w:p w14:paraId="1E4A08A6">
            <w:pPr>
              <w:spacing w:line="284" w:lineRule="auto"/>
              <w:rPr>
                <w:rFonts w:ascii="Arial"/>
                <w:sz w:val="21"/>
              </w:rPr>
            </w:pPr>
          </w:p>
          <w:p w14:paraId="33D59BC5">
            <w:pPr>
              <w:pStyle w:val="6"/>
              <w:spacing w:before="65" w:line="233" w:lineRule="auto"/>
              <w:ind w:left="242" w:right="134" w:hanging="105"/>
              <w:rPr>
                <w:sz w:val="20"/>
                <w:szCs w:val="20"/>
              </w:rPr>
            </w:pPr>
            <w:r>
              <w:rPr>
                <w:spacing w:val="5"/>
                <w:sz w:val="20"/>
                <w:szCs w:val="20"/>
              </w:rPr>
              <w:t>烧结</w:t>
            </w:r>
            <w:r>
              <w:rPr>
                <w:sz w:val="20"/>
                <w:szCs w:val="20"/>
              </w:rPr>
              <w:t xml:space="preserve"> </w:t>
            </w:r>
            <w:r>
              <w:rPr>
                <w:spacing w:val="1"/>
                <w:sz w:val="20"/>
                <w:szCs w:val="20"/>
              </w:rPr>
              <w:t>矿</w:t>
            </w:r>
          </w:p>
        </w:tc>
        <w:tc>
          <w:tcPr>
            <w:tcW w:w="989" w:type="dxa"/>
            <w:vMerge w:val="restart"/>
            <w:tcBorders>
              <w:bottom w:val="nil"/>
            </w:tcBorders>
            <w:vAlign w:val="top"/>
          </w:tcPr>
          <w:p w14:paraId="530A8357">
            <w:pPr>
              <w:spacing w:line="250" w:lineRule="auto"/>
              <w:rPr>
                <w:rFonts w:ascii="Arial"/>
                <w:sz w:val="21"/>
              </w:rPr>
            </w:pPr>
          </w:p>
          <w:p w14:paraId="24445219">
            <w:pPr>
              <w:spacing w:line="250" w:lineRule="auto"/>
              <w:rPr>
                <w:rFonts w:ascii="Arial"/>
                <w:sz w:val="21"/>
              </w:rPr>
            </w:pPr>
          </w:p>
          <w:p w14:paraId="53CB574A">
            <w:pPr>
              <w:spacing w:line="251" w:lineRule="auto"/>
              <w:rPr>
                <w:rFonts w:ascii="Arial"/>
                <w:sz w:val="21"/>
              </w:rPr>
            </w:pPr>
          </w:p>
          <w:p w14:paraId="2C1190D8">
            <w:pPr>
              <w:spacing w:line="251" w:lineRule="auto"/>
              <w:rPr>
                <w:rFonts w:ascii="Arial"/>
                <w:sz w:val="21"/>
              </w:rPr>
            </w:pPr>
          </w:p>
          <w:p w14:paraId="04BAA9AB">
            <w:pPr>
              <w:pStyle w:val="6"/>
              <w:spacing w:before="65" w:line="227" w:lineRule="auto"/>
              <w:ind w:left="190"/>
              <w:rPr>
                <w:sz w:val="20"/>
                <w:szCs w:val="20"/>
              </w:rPr>
            </w:pPr>
            <w:r>
              <w:rPr>
                <w:spacing w:val="5"/>
                <w:sz w:val="20"/>
                <w:szCs w:val="20"/>
              </w:rPr>
              <w:t>带式烧</w:t>
            </w:r>
          </w:p>
          <w:p w14:paraId="12E036B5">
            <w:pPr>
              <w:pStyle w:val="6"/>
              <w:spacing w:before="16" w:line="233" w:lineRule="auto"/>
              <w:ind w:left="293" w:right="106" w:hanging="175"/>
              <w:rPr>
                <w:sz w:val="20"/>
                <w:szCs w:val="20"/>
              </w:rPr>
            </w:pPr>
            <w:r>
              <w:rPr>
                <w:spacing w:val="-11"/>
                <w:sz w:val="20"/>
                <w:szCs w:val="20"/>
              </w:rPr>
              <w:t>结机（机</w:t>
            </w:r>
            <w:r>
              <w:rPr>
                <w:spacing w:val="2"/>
                <w:sz w:val="20"/>
                <w:szCs w:val="20"/>
              </w:rPr>
              <w:t xml:space="preserve"> </w:t>
            </w:r>
            <w:r>
              <w:rPr>
                <w:spacing w:val="-2"/>
                <w:sz w:val="20"/>
                <w:szCs w:val="20"/>
              </w:rPr>
              <w:t>头）</w:t>
            </w:r>
          </w:p>
        </w:tc>
        <w:tc>
          <w:tcPr>
            <w:tcW w:w="824" w:type="dxa"/>
            <w:vMerge w:val="restart"/>
            <w:tcBorders>
              <w:bottom w:val="nil"/>
            </w:tcBorders>
            <w:vAlign w:val="top"/>
          </w:tcPr>
          <w:p w14:paraId="6524F7E5">
            <w:pPr>
              <w:spacing w:line="261" w:lineRule="auto"/>
              <w:rPr>
                <w:rFonts w:ascii="Arial"/>
                <w:sz w:val="21"/>
              </w:rPr>
            </w:pPr>
          </w:p>
          <w:p w14:paraId="5A388934">
            <w:pPr>
              <w:spacing w:line="261" w:lineRule="auto"/>
              <w:rPr>
                <w:rFonts w:ascii="Arial"/>
                <w:sz w:val="21"/>
              </w:rPr>
            </w:pPr>
          </w:p>
          <w:p w14:paraId="679042C2">
            <w:pPr>
              <w:spacing w:line="262" w:lineRule="auto"/>
              <w:rPr>
                <w:rFonts w:ascii="Arial"/>
                <w:sz w:val="21"/>
              </w:rPr>
            </w:pPr>
          </w:p>
          <w:p w14:paraId="35957204">
            <w:pPr>
              <w:spacing w:line="262" w:lineRule="auto"/>
              <w:rPr>
                <w:rFonts w:ascii="Arial"/>
                <w:sz w:val="21"/>
              </w:rPr>
            </w:pPr>
          </w:p>
          <w:p w14:paraId="455E2869">
            <w:pPr>
              <w:spacing w:before="58" w:line="195" w:lineRule="auto"/>
              <w:ind w:left="19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≤180</w:t>
            </w:r>
          </w:p>
          <w:p w14:paraId="08304D83">
            <w:pPr>
              <w:pStyle w:val="6"/>
              <w:spacing w:before="38" w:line="229" w:lineRule="auto"/>
              <w:ind w:left="205"/>
              <w:rPr>
                <w:sz w:val="20"/>
                <w:szCs w:val="20"/>
              </w:rPr>
            </w:pPr>
            <w:r>
              <w:rPr>
                <w:spacing w:val="5"/>
                <w:sz w:val="20"/>
                <w:szCs w:val="20"/>
              </w:rPr>
              <w:t>平方</w:t>
            </w:r>
          </w:p>
          <w:p w14:paraId="79A54075">
            <w:pPr>
              <w:pStyle w:val="6"/>
              <w:spacing w:before="10" w:line="228" w:lineRule="auto"/>
              <w:ind w:left="312"/>
              <w:rPr>
                <w:sz w:val="20"/>
                <w:szCs w:val="20"/>
              </w:rPr>
            </w:pPr>
            <w:r>
              <w:rPr>
                <w:sz w:val="20"/>
                <w:szCs w:val="20"/>
              </w:rPr>
              <w:t>米</w:t>
            </w:r>
          </w:p>
        </w:tc>
        <w:tc>
          <w:tcPr>
            <w:tcW w:w="363" w:type="dxa"/>
            <w:vMerge w:val="restart"/>
            <w:tcBorders>
              <w:bottom w:val="nil"/>
            </w:tcBorders>
            <w:vAlign w:val="top"/>
          </w:tcPr>
          <w:p w14:paraId="500334DC">
            <w:pPr>
              <w:spacing w:line="283" w:lineRule="auto"/>
              <w:rPr>
                <w:rFonts w:ascii="Arial"/>
                <w:sz w:val="21"/>
              </w:rPr>
            </w:pPr>
          </w:p>
          <w:p w14:paraId="246D46D3">
            <w:pPr>
              <w:spacing w:line="283" w:lineRule="auto"/>
              <w:rPr>
                <w:rFonts w:ascii="Arial"/>
                <w:sz w:val="21"/>
              </w:rPr>
            </w:pPr>
          </w:p>
          <w:p w14:paraId="0A97901A">
            <w:pPr>
              <w:spacing w:line="284" w:lineRule="auto"/>
              <w:rPr>
                <w:rFonts w:ascii="Arial"/>
                <w:sz w:val="21"/>
              </w:rPr>
            </w:pPr>
          </w:p>
          <w:p w14:paraId="474CE77D">
            <w:pPr>
              <w:spacing w:line="284" w:lineRule="auto"/>
              <w:rPr>
                <w:rFonts w:ascii="Arial"/>
                <w:sz w:val="21"/>
              </w:rPr>
            </w:pPr>
          </w:p>
          <w:p w14:paraId="488908E9">
            <w:pPr>
              <w:pStyle w:val="6"/>
              <w:spacing w:before="65" w:line="234" w:lineRule="auto"/>
              <w:ind w:left="114" w:right="42" w:hanging="1"/>
              <w:rPr>
                <w:sz w:val="20"/>
                <w:szCs w:val="20"/>
              </w:rPr>
            </w:pPr>
            <w:r>
              <w:rPr>
                <w:spacing w:val="1"/>
                <w:sz w:val="20"/>
                <w:szCs w:val="20"/>
              </w:rPr>
              <w:t>废</w:t>
            </w:r>
            <w:r>
              <w:rPr>
                <w:sz w:val="20"/>
                <w:szCs w:val="20"/>
              </w:rPr>
              <w:t xml:space="preserve"> 气</w:t>
            </w:r>
          </w:p>
        </w:tc>
        <w:tc>
          <w:tcPr>
            <w:tcW w:w="913" w:type="dxa"/>
            <w:vAlign w:val="top"/>
          </w:tcPr>
          <w:p w14:paraId="56FC14D8">
            <w:pPr>
              <w:pStyle w:val="6"/>
              <w:spacing w:before="165" w:line="234" w:lineRule="auto"/>
              <w:ind w:left="250" w:right="139" w:hanging="101"/>
              <w:rPr>
                <w:sz w:val="20"/>
                <w:szCs w:val="20"/>
              </w:rPr>
            </w:pPr>
            <w:r>
              <w:rPr>
                <w:spacing w:val="6"/>
                <w:sz w:val="20"/>
                <w:szCs w:val="20"/>
              </w:rPr>
              <w:t>工业废</w:t>
            </w:r>
            <w:r>
              <w:rPr>
                <w:sz w:val="20"/>
                <w:szCs w:val="20"/>
              </w:rPr>
              <w:t xml:space="preserve"> </w:t>
            </w:r>
            <w:r>
              <w:rPr>
                <w:spacing w:val="4"/>
                <w:sz w:val="20"/>
                <w:szCs w:val="20"/>
              </w:rPr>
              <w:t>气量</w:t>
            </w:r>
          </w:p>
        </w:tc>
        <w:tc>
          <w:tcPr>
            <w:tcW w:w="2047" w:type="dxa"/>
            <w:vAlign w:val="top"/>
          </w:tcPr>
          <w:p w14:paraId="21E33FF0">
            <w:pPr>
              <w:spacing w:line="270" w:lineRule="auto"/>
              <w:rPr>
                <w:rFonts w:ascii="Arial"/>
                <w:sz w:val="21"/>
              </w:rPr>
            </w:pPr>
          </w:p>
          <w:p w14:paraId="06446BDB">
            <w:pPr>
              <w:spacing w:before="58" w:line="195" w:lineRule="auto"/>
              <w:ind w:left="8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2800</w:t>
            </w:r>
          </w:p>
        </w:tc>
        <w:tc>
          <w:tcPr>
            <w:tcW w:w="943" w:type="dxa"/>
            <w:vAlign w:val="top"/>
          </w:tcPr>
          <w:p w14:paraId="649061DC">
            <w:pPr>
              <w:pStyle w:val="6"/>
              <w:spacing w:before="36" w:line="226" w:lineRule="auto"/>
              <w:ind w:left="203" w:right="153" w:hanging="39"/>
              <w:jc w:val="both"/>
              <w:rPr>
                <w:sz w:val="20"/>
                <w:szCs w:val="20"/>
              </w:rPr>
            </w:pPr>
            <w:r>
              <w:rPr>
                <w:spacing w:val="6"/>
                <w:sz w:val="20"/>
                <w:szCs w:val="20"/>
              </w:rPr>
              <w:t>标立方</w:t>
            </w:r>
            <w:r>
              <w:rPr>
                <w:sz w:val="20"/>
                <w:szCs w:val="20"/>
              </w:rPr>
              <w:t xml:space="preserve"> </w:t>
            </w:r>
            <w:r>
              <w:rPr>
                <w:spacing w:val="4"/>
                <w:sz w:val="20"/>
                <w:szCs w:val="20"/>
              </w:rPr>
              <w:t>米</w:t>
            </w:r>
            <w:r>
              <w:rPr>
                <w:rFonts w:ascii="Times New Roman" w:hAnsi="Times New Roman" w:eastAsia="Times New Roman" w:cs="Times New Roman"/>
                <w:spacing w:val="4"/>
                <w:sz w:val="20"/>
                <w:szCs w:val="20"/>
              </w:rPr>
              <w:t>/</w:t>
            </w:r>
            <w:r>
              <w:rPr>
                <w:spacing w:val="4"/>
                <w:sz w:val="20"/>
                <w:szCs w:val="20"/>
              </w:rPr>
              <w:t>吨</w:t>
            </w:r>
            <w:r>
              <w:rPr>
                <w:rFonts w:ascii="Times New Roman" w:hAnsi="Times New Roman" w:eastAsia="Times New Roman" w:cs="Times New Roman"/>
                <w:spacing w:val="4"/>
                <w:sz w:val="20"/>
                <w:szCs w:val="20"/>
              </w:rPr>
              <w:t>-</w:t>
            </w:r>
            <w:r>
              <w:rPr>
                <w:rFonts w:ascii="Times New Roman" w:hAnsi="Times New Roman" w:eastAsia="Times New Roman" w:cs="Times New Roman"/>
                <w:sz w:val="20"/>
                <w:szCs w:val="20"/>
              </w:rPr>
              <w:t xml:space="preserve">  </w:t>
            </w:r>
            <w:r>
              <w:rPr>
                <w:spacing w:val="36"/>
                <w:sz w:val="20"/>
                <w:szCs w:val="20"/>
              </w:rPr>
              <w:t>产品</w:t>
            </w:r>
          </w:p>
        </w:tc>
        <w:tc>
          <w:tcPr>
            <w:tcW w:w="945" w:type="dxa"/>
            <w:vAlign w:val="top"/>
          </w:tcPr>
          <w:p w14:paraId="3899C837">
            <w:pPr>
              <w:spacing w:line="267" w:lineRule="auto"/>
              <w:rPr>
                <w:rFonts w:ascii="Arial"/>
                <w:sz w:val="21"/>
              </w:rPr>
            </w:pPr>
          </w:p>
          <w:p w14:paraId="03D1426F">
            <w:pPr>
              <w:spacing w:before="57"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0" w:type="dxa"/>
            <w:tcBorders>
              <w:right w:val="nil"/>
            </w:tcBorders>
            <w:vAlign w:val="top"/>
          </w:tcPr>
          <w:p w14:paraId="3C0C1DB5">
            <w:pPr>
              <w:spacing w:line="268" w:lineRule="auto"/>
              <w:rPr>
                <w:rFonts w:ascii="Arial"/>
                <w:sz w:val="21"/>
              </w:rPr>
            </w:pPr>
          </w:p>
          <w:p w14:paraId="3EA72CAC">
            <w:pPr>
              <w:spacing w:before="58" w:line="195" w:lineRule="auto"/>
              <w:ind w:left="38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r>
      <w:tr w14:paraId="3EF8D2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658" w:type="dxa"/>
            <w:vMerge w:val="continue"/>
            <w:tcBorders>
              <w:top w:val="nil"/>
              <w:left w:val="nil"/>
              <w:bottom w:val="nil"/>
            </w:tcBorders>
            <w:vAlign w:val="top"/>
          </w:tcPr>
          <w:p w14:paraId="35DD2DF0">
            <w:pPr>
              <w:rPr>
                <w:rFonts w:ascii="Arial"/>
                <w:sz w:val="21"/>
              </w:rPr>
            </w:pPr>
          </w:p>
        </w:tc>
        <w:tc>
          <w:tcPr>
            <w:tcW w:w="688" w:type="dxa"/>
            <w:vMerge w:val="continue"/>
            <w:tcBorders>
              <w:top w:val="nil"/>
              <w:bottom w:val="nil"/>
            </w:tcBorders>
            <w:vAlign w:val="top"/>
          </w:tcPr>
          <w:p w14:paraId="168EF4B1">
            <w:pPr>
              <w:rPr>
                <w:rFonts w:ascii="Arial"/>
                <w:sz w:val="21"/>
              </w:rPr>
            </w:pPr>
          </w:p>
        </w:tc>
        <w:tc>
          <w:tcPr>
            <w:tcW w:w="989" w:type="dxa"/>
            <w:vMerge w:val="continue"/>
            <w:tcBorders>
              <w:top w:val="nil"/>
              <w:bottom w:val="nil"/>
            </w:tcBorders>
            <w:vAlign w:val="top"/>
          </w:tcPr>
          <w:p w14:paraId="1CB22790">
            <w:pPr>
              <w:rPr>
                <w:rFonts w:ascii="Arial"/>
                <w:sz w:val="21"/>
              </w:rPr>
            </w:pPr>
          </w:p>
        </w:tc>
        <w:tc>
          <w:tcPr>
            <w:tcW w:w="824" w:type="dxa"/>
            <w:vMerge w:val="continue"/>
            <w:tcBorders>
              <w:top w:val="nil"/>
              <w:bottom w:val="nil"/>
            </w:tcBorders>
            <w:vAlign w:val="top"/>
          </w:tcPr>
          <w:p w14:paraId="0E79FC1D">
            <w:pPr>
              <w:rPr>
                <w:rFonts w:ascii="Arial"/>
                <w:sz w:val="21"/>
              </w:rPr>
            </w:pPr>
          </w:p>
        </w:tc>
        <w:tc>
          <w:tcPr>
            <w:tcW w:w="363" w:type="dxa"/>
            <w:vMerge w:val="continue"/>
            <w:tcBorders>
              <w:top w:val="nil"/>
              <w:bottom w:val="nil"/>
            </w:tcBorders>
            <w:vAlign w:val="top"/>
          </w:tcPr>
          <w:p w14:paraId="188951BE">
            <w:pPr>
              <w:rPr>
                <w:rFonts w:ascii="Arial"/>
                <w:sz w:val="21"/>
              </w:rPr>
            </w:pPr>
          </w:p>
        </w:tc>
        <w:tc>
          <w:tcPr>
            <w:tcW w:w="913" w:type="dxa"/>
            <w:vAlign w:val="top"/>
          </w:tcPr>
          <w:p w14:paraId="2854D981">
            <w:pPr>
              <w:pStyle w:val="6"/>
              <w:spacing w:before="226" w:line="228" w:lineRule="auto"/>
              <w:ind w:left="146"/>
              <w:rPr>
                <w:sz w:val="20"/>
                <w:szCs w:val="20"/>
              </w:rPr>
            </w:pPr>
            <w:r>
              <w:rPr>
                <w:spacing w:val="7"/>
                <w:sz w:val="20"/>
                <w:szCs w:val="20"/>
              </w:rPr>
              <w:t>颗粒物</w:t>
            </w:r>
          </w:p>
        </w:tc>
        <w:tc>
          <w:tcPr>
            <w:tcW w:w="2047" w:type="dxa"/>
            <w:vAlign w:val="top"/>
          </w:tcPr>
          <w:p w14:paraId="69CEF87D">
            <w:pPr>
              <w:spacing w:before="261" w:line="195" w:lineRule="auto"/>
              <w:ind w:left="8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6.54</w:t>
            </w:r>
          </w:p>
        </w:tc>
        <w:tc>
          <w:tcPr>
            <w:tcW w:w="943" w:type="dxa"/>
            <w:vAlign w:val="top"/>
          </w:tcPr>
          <w:p w14:paraId="67605BF1">
            <w:pPr>
              <w:pStyle w:val="6"/>
              <w:spacing w:before="64" w:line="260" w:lineRule="auto"/>
              <w:ind w:left="232" w:right="124" w:hanging="98"/>
              <w:rPr>
                <w:sz w:val="20"/>
                <w:szCs w:val="20"/>
              </w:rPr>
            </w:pPr>
            <w:r>
              <w:rPr>
                <w:spacing w:val="5"/>
                <w:sz w:val="20"/>
                <w:szCs w:val="20"/>
              </w:rPr>
              <w:t>千克</w:t>
            </w:r>
            <w:r>
              <w:rPr>
                <w:rFonts w:ascii="Times New Roman" w:hAnsi="Times New Roman" w:eastAsia="Times New Roman" w:cs="Times New Roman"/>
                <w:spacing w:val="5"/>
                <w:sz w:val="20"/>
                <w:szCs w:val="20"/>
              </w:rPr>
              <w:t>/</w:t>
            </w:r>
            <w:r>
              <w:rPr>
                <w:spacing w:val="5"/>
                <w:sz w:val="20"/>
                <w:szCs w:val="20"/>
              </w:rPr>
              <w:t>吨</w:t>
            </w:r>
            <w:r>
              <w:rPr>
                <w:spacing w:val="1"/>
                <w:sz w:val="20"/>
                <w:szCs w:val="20"/>
              </w:rPr>
              <w:t xml:space="preserve"> </w:t>
            </w:r>
            <w:r>
              <w:rPr>
                <w:rFonts w:ascii="Times New Roman" w:hAnsi="Times New Roman" w:eastAsia="Times New Roman" w:cs="Times New Roman"/>
                <w:spacing w:val="4"/>
                <w:sz w:val="20"/>
                <w:szCs w:val="20"/>
              </w:rPr>
              <w:t>-</w:t>
            </w:r>
            <w:r>
              <w:rPr>
                <w:spacing w:val="4"/>
                <w:sz w:val="20"/>
                <w:szCs w:val="20"/>
              </w:rPr>
              <w:t>产品</w:t>
            </w:r>
          </w:p>
        </w:tc>
        <w:tc>
          <w:tcPr>
            <w:tcW w:w="945" w:type="dxa"/>
            <w:vAlign w:val="top"/>
          </w:tcPr>
          <w:p w14:paraId="5A7A5D35">
            <w:pPr>
              <w:pStyle w:val="6"/>
              <w:spacing w:before="95" w:line="237" w:lineRule="auto"/>
              <w:ind w:left="373" w:right="155" w:hanging="209"/>
              <w:rPr>
                <w:sz w:val="20"/>
                <w:szCs w:val="20"/>
              </w:rPr>
            </w:pPr>
            <w:r>
              <w:rPr>
                <w:spacing w:val="6"/>
                <w:sz w:val="20"/>
                <w:szCs w:val="20"/>
              </w:rPr>
              <w:t>静电除</w:t>
            </w:r>
            <w:r>
              <w:rPr>
                <w:sz w:val="20"/>
                <w:szCs w:val="20"/>
              </w:rPr>
              <w:t xml:space="preserve"> 尘</w:t>
            </w:r>
          </w:p>
        </w:tc>
        <w:tc>
          <w:tcPr>
            <w:tcW w:w="860" w:type="dxa"/>
            <w:tcBorders>
              <w:right w:val="nil"/>
            </w:tcBorders>
            <w:vAlign w:val="top"/>
          </w:tcPr>
          <w:p w14:paraId="1D70BB69">
            <w:pPr>
              <w:spacing w:before="261" w:line="195"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99.07</w:t>
            </w:r>
          </w:p>
        </w:tc>
      </w:tr>
      <w:tr w14:paraId="27A280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2" w:hRule="atLeast"/>
        </w:trPr>
        <w:tc>
          <w:tcPr>
            <w:tcW w:w="658" w:type="dxa"/>
            <w:vMerge w:val="continue"/>
            <w:tcBorders>
              <w:top w:val="nil"/>
              <w:left w:val="nil"/>
              <w:bottom w:val="nil"/>
            </w:tcBorders>
            <w:vAlign w:val="top"/>
          </w:tcPr>
          <w:p w14:paraId="6CAC243F">
            <w:pPr>
              <w:rPr>
                <w:rFonts w:ascii="Arial"/>
                <w:sz w:val="21"/>
              </w:rPr>
            </w:pPr>
          </w:p>
        </w:tc>
        <w:tc>
          <w:tcPr>
            <w:tcW w:w="688" w:type="dxa"/>
            <w:vMerge w:val="continue"/>
            <w:tcBorders>
              <w:top w:val="nil"/>
              <w:bottom w:val="nil"/>
            </w:tcBorders>
            <w:vAlign w:val="top"/>
          </w:tcPr>
          <w:p w14:paraId="75F867B4">
            <w:pPr>
              <w:rPr>
                <w:rFonts w:ascii="Arial"/>
                <w:sz w:val="21"/>
              </w:rPr>
            </w:pPr>
          </w:p>
        </w:tc>
        <w:tc>
          <w:tcPr>
            <w:tcW w:w="989" w:type="dxa"/>
            <w:vMerge w:val="continue"/>
            <w:tcBorders>
              <w:top w:val="nil"/>
              <w:bottom w:val="nil"/>
            </w:tcBorders>
            <w:vAlign w:val="top"/>
          </w:tcPr>
          <w:p w14:paraId="4283D921">
            <w:pPr>
              <w:rPr>
                <w:rFonts w:ascii="Arial"/>
                <w:sz w:val="21"/>
              </w:rPr>
            </w:pPr>
          </w:p>
        </w:tc>
        <w:tc>
          <w:tcPr>
            <w:tcW w:w="824" w:type="dxa"/>
            <w:vMerge w:val="continue"/>
            <w:tcBorders>
              <w:top w:val="nil"/>
              <w:bottom w:val="nil"/>
            </w:tcBorders>
            <w:vAlign w:val="top"/>
          </w:tcPr>
          <w:p w14:paraId="306B977E">
            <w:pPr>
              <w:rPr>
                <w:rFonts w:ascii="Arial"/>
                <w:sz w:val="21"/>
              </w:rPr>
            </w:pPr>
          </w:p>
        </w:tc>
        <w:tc>
          <w:tcPr>
            <w:tcW w:w="363" w:type="dxa"/>
            <w:vMerge w:val="continue"/>
            <w:tcBorders>
              <w:top w:val="nil"/>
              <w:bottom w:val="nil"/>
            </w:tcBorders>
            <w:vAlign w:val="top"/>
          </w:tcPr>
          <w:p w14:paraId="4B192FE1">
            <w:pPr>
              <w:rPr>
                <w:rFonts w:ascii="Arial"/>
                <w:sz w:val="21"/>
              </w:rPr>
            </w:pPr>
          </w:p>
        </w:tc>
        <w:tc>
          <w:tcPr>
            <w:tcW w:w="913" w:type="dxa"/>
            <w:vAlign w:val="top"/>
          </w:tcPr>
          <w:p w14:paraId="75BD6ED1">
            <w:pPr>
              <w:pStyle w:val="6"/>
              <w:spacing w:before="170" w:line="236" w:lineRule="auto"/>
              <w:ind w:left="354" w:right="139" w:hanging="204"/>
              <w:rPr>
                <w:sz w:val="20"/>
                <w:szCs w:val="20"/>
              </w:rPr>
            </w:pPr>
            <w:r>
              <w:rPr>
                <w:spacing w:val="5"/>
                <w:sz w:val="20"/>
                <w:szCs w:val="20"/>
              </w:rPr>
              <w:t>二氧化</w:t>
            </w:r>
            <w:r>
              <w:rPr>
                <w:spacing w:val="1"/>
                <w:sz w:val="20"/>
                <w:szCs w:val="20"/>
              </w:rPr>
              <w:t xml:space="preserve"> 硫</w:t>
            </w:r>
          </w:p>
        </w:tc>
        <w:tc>
          <w:tcPr>
            <w:tcW w:w="2047" w:type="dxa"/>
            <w:vAlign w:val="top"/>
          </w:tcPr>
          <w:p w14:paraId="31DED3B1">
            <w:pPr>
              <w:pStyle w:val="6"/>
              <w:spacing w:before="73" w:line="202" w:lineRule="auto"/>
              <w:ind w:left="14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 xml:space="preserve">2×(M </w:t>
            </w:r>
            <w:r>
              <w:rPr>
                <w:spacing w:val="4"/>
                <w:position w:val="-2"/>
                <w:sz w:val="10"/>
                <w:szCs w:val="10"/>
              </w:rPr>
              <w:t>含铁料</w:t>
            </w:r>
            <w:r>
              <w:rPr>
                <w:rFonts w:ascii="Times New Roman" w:hAnsi="Times New Roman" w:eastAsia="Times New Roman" w:cs="Times New Roman"/>
                <w:spacing w:val="4"/>
                <w:sz w:val="20"/>
                <w:szCs w:val="20"/>
              </w:rPr>
              <w:t xml:space="preserve">×S </w:t>
            </w:r>
            <w:r>
              <w:rPr>
                <w:spacing w:val="4"/>
                <w:position w:val="-2"/>
                <w:sz w:val="10"/>
                <w:szCs w:val="10"/>
              </w:rPr>
              <w:t>含铁料</w:t>
            </w:r>
            <w:r>
              <w:rPr>
                <w:rFonts w:ascii="Times New Roman" w:hAnsi="Times New Roman" w:eastAsia="Times New Roman" w:cs="Times New Roman"/>
                <w:spacing w:val="4"/>
                <w:sz w:val="20"/>
                <w:szCs w:val="20"/>
              </w:rPr>
              <w:t>+M</w:t>
            </w:r>
          </w:p>
          <w:p w14:paraId="37C83073">
            <w:pPr>
              <w:pStyle w:val="6"/>
              <w:spacing w:before="62" w:line="201" w:lineRule="auto"/>
              <w:ind w:left="163"/>
              <w:rPr>
                <w:sz w:val="10"/>
                <w:szCs w:val="10"/>
              </w:rPr>
            </w:pPr>
            <w:r>
              <w:rPr>
                <w:spacing w:val="3"/>
                <w:position w:val="-2"/>
                <w:sz w:val="10"/>
                <w:szCs w:val="10"/>
              </w:rPr>
              <w:t>固燃</w:t>
            </w:r>
            <w:r>
              <w:rPr>
                <w:rFonts w:ascii="Times New Roman" w:hAnsi="Times New Roman" w:eastAsia="Times New Roman" w:cs="Times New Roman"/>
                <w:spacing w:val="3"/>
                <w:position w:val="1"/>
                <w:sz w:val="20"/>
                <w:szCs w:val="20"/>
              </w:rPr>
              <w:t>×S</w:t>
            </w:r>
            <w:r>
              <w:rPr>
                <w:rFonts w:ascii="Times New Roman" w:hAnsi="Times New Roman" w:eastAsia="Times New Roman" w:cs="Times New Roman"/>
                <w:spacing w:val="19"/>
                <w:w w:val="101"/>
                <w:position w:val="1"/>
                <w:sz w:val="20"/>
                <w:szCs w:val="20"/>
              </w:rPr>
              <w:t xml:space="preserve"> </w:t>
            </w:r>
            <w:r>
              <w:rPr>
                <w:spacing w:val="3"/>
                <w:position w:val="-2"/>
                <w:sz w:val="10"/>
                <w:szCs w:val="10"/>
              </w:rPr>
              <w:t>固燃</w:t>
            </w:r>
            <w:r>
              <w:rPr>
                <w:rFonts w:ascii="Times New Roman" w:hAnsi="Times New Roman" w:eastAsia="Times New Roman" w:cs="Times New Roman"/>
                <w:spacing w:val="3"/>
                <w:position w:val="1"/>
                <w:sz w:val="20"/>
                <w:szCs w:val="20"/>
              </w:rPr>
              <w:t xml:space="preserve">−1000×S </w:t>
            </w:r>
            <w:r>
              <w:rPr>
                <w:spacing w:val="3"/>
                <w:position w:val="-2"/>
                <w:sz w:val="10"/>
                <w:szCs w:val="10"/>
              </w:rPr>
              <w:t>烧结</w:t>
            </w:r>
          </w:p>
          <w:p w14:paraId="3262D628">
            <w:pPr>
              <w:pStyle w:val="6"/>
              <w:spacing w:before="50" w:line="179" w:lineRule="auto"/>
              <w:ind w:left="936"/>
              <w:rPr>
                <w:rFonts w:ascii="Times New Roman" w:hAnsi="Times New Roman" w:eastAsia="Times New Roman" w:cs="Times New Roman"/>
                <w:sz w:val="20"/>
                <w:szCs w:val="20"/>
              </w:rPr>
            </w:pPr>
            <w:r>
              <w:rPr>
                <w:spacing w:val="2"/>
                <w:position w:val="-2"/>
                <w:sz w:val="10"/>
                <w:szCs w:val="10"/>
              </w:rPr>
              <w:t>矿</w:t>
            </w:r>
            <w:r>
              <w:rPr>
                <w:rFonts w:ascii="Times New Roman" w:hAnsi="Times New Roman" w:eastAsia="Times New Roman" w:cs="Times New Roman"/>
                <w:spacing w:val="2"/>
                <w:sz w:val="20"/>
                <w:szCs w:val="20"/>
              </w:rPr>
              <w:t>)</w:t>
            </w:r>
          </w:p>
        </w:tc>
        <w:tc>
          <w:tcPr>
            <w:tcW w:w="943" w:type="dxa"/>
            <w:vAlign w:val="top"/>
          </w:tcPr>
          <w:p w14:paraId="61F1F90E">
            <w:pPr>
              <w:pStyle w:val="6"/>
              <w:spacing w:before="139" w:line="278" w:lineRule="auto"/>
              <w:ind w:left="232" w:right="124" w:hanging="98"/>
              <w:rPr>
                <w:sz w:val="20"/>
                <w:szCs w:val="20"/>
              </w:rPr>
            </w:pPr>
            <w:r>
              <w:rPr>
                <w:spacing w:val="5"/>
                <w:sz w:val="20"/>
                <w:szCs w:val="20"/>
              </w:rPr>
              <w:t>千克</w:t>
            </w:r>
            <w:r>
              <w:rPr>
                <w:rFonts w:ascii="Times New Roman" w:hAnsi="Times New Roman" w:eastAsia="Times New Roman" w:cs="Times New Roman"/>
                <w:spacing w:val="5"/>
                <w:sz w:val="20"/>
                <w:szCs w:val="20"/>
              </w:rPr>
              <w:t>/</w:t>
            </w:r>
            <w:r>
              <w:rPr>
                <w:spacing w:val="5"/>
                <w:sz w:val="20"/>
                <w:szCs w:val="20"/>
              </w:rPr>
              <w:t>吨</w:t>
            </w:r>
            <w:r>
              <w:rPr>
                <w:spacing w:val="1"/>
                <w:sz w:val="20"/>
                <w:szCs w:val="20"/>
              </w:rPr>
              <w:t xml:space="preserve"> </w:t>
            </w:r>
            <w:r>
              <w:rPr>
                <w:rFonts w:ascii="Times New Roman" w:hAnsi="Times New Roman" w:eastAsia="Times New Roman" w:cs="Times New Roman"/>
                <w:spacing w:val="4"/>
                <w:sz w:val="20"/>
                <w:szCs w:val="20"/>
              </w:rPr>
              <w:t>-</w:t>
            </w:r>
            <w:r>
              <w:rPr>
                <w:spacing w:val="4"/>
                <w:sz w:val="20"/>
                <w:szCs w:val="20"/>
              </w:rPr>
              <w:t>产品</w:t>
            </w:r>
          </w:p>
        </w:tc>
        <w:tc>
          <w:tcPr>
            <w:tcW w:w="945" w:type="dxa"/>
            <w:vAlign w:val="top"/>
          </w:tcPr>
          <w:p w14:paraId="068C8F7D">
            <w:pPr>
              <w:pStyle w:val="6"/>
              <w:spacing w:before="40" w:line="228" w:lineRule="auto"/>
              <w:ind w:left="135"/>
              <w:rPr>
                <w:rFonts w:ascii="Times New Roman" w:hAnsi="Times New Roman" w:eastAsia="Times New Roman" w:cs="Times New Roman"/>
                <w:sz w:val="20"/>
                <w:szCs w:val="20"/>
              </w:rPr>
            </w:pPr>
            <w:r>
              <w:rPr>
                <w:spacing w:val="5"/>
                <w:sz w:val="20"/>
                <w:szCs w:val="20"/>
              </w:rPr>
              <w:t>石灰石</w:t>
            </w:r>
            <w:r>
              <w:rPr>
                <w:rFonts w:ascii="Times New Roman" w:hAnsi="Times New Roman" w:eastAsia="Times New Roman" w:cs="Times New Roman"/>
                <w:spacing w:val="5"/>
                <w:sz w:val="20"/>
                <w:szCs w:val="20"/>
              </w:rPr>
              <w:t>/</w:t>
            </w:r>
          </w:p>
          <w:p w14:paraId="241E0BCF">
            <w:pPr>
              <w:pStyle w:val="6"/>
              <w:spacing w:before="12" w:line="228" w:lineRule="auto"/>
              <w:ind w:left="128"/>
              <w:rPr>
                <w:sz w:val="20"/>
                <w:szCs w:val="20"/>
              </w:rPr>
            </w:pPr>
            <w:r>
              <w:rPr>
                <w:spacing w:val="5"/>
                <w:sz w:val="20"/>
                <w:szCs w:val="20"/>
              </w:rPr>
              <w:t>石灰</w:t>
            </w:r>
            <w:r>
              <w:rPr>
                <w:rFonts w:ascii="Times New Roman" w:hAnsi="Times New Roman" w:eastAsia="Times New Roman" w:cs="Times New Roman"/>
                <w:spacing w:val="5"/>
                <w:sz w:val="20"/>
                <w:szCs w:val="20"/>
              </w:rPr>
              <w:t>-</w:t>
            </w:r>
            <w:r>
              <w:rPr>
                <w:spacing w:val="5"/>
                <w:sz w:val="20"/>
                <w:szCs w:val="20"/>
              </w:rPr>
              <w:t>石</w:t>
            </w:r>
          </w:p>
          <w:p w14:paraId="2EE59FFF">
            <w:pPr>
              <w:pStyle w:val="6"/>
              <w:spacing w:before="14" w:line="194" w:lineRule="auto"/>
              <w:ind w:left="277"/>
              <w:rPr>
                <w:sz w:val="20"/>
                <w:szCs w:val="20"/>
              </w:rPr>
            </w:pPr>
            <w:r>
              <w:rPr>
                <w:sz w:val="20"/>
                <w:szCs w:val="20"/>
              </w:rPr>
              <w:t>膏法</w:t>
            </w:r>
          </w:p>
        </w:tc>
        <w:tc>
          <w:tcPr>
            <w:tcW w:w="860" w:type="dxa"/>
            <w:tcBorders>
              <w:right w:val="nil"/>
            </w:tcBorders>
            <w:vAlign w:val="top"/>
          </w:tcPr>
          <w:p w14:paraId="1CB1DFE9">
            <w:pPr>
              <w:spacing w:line="277" w:lineRule="auto"/>
              <w:rPr>
                <w:rFonts w:ascii="Arial"/>
                <w:sz w:val="21"/>
              </w:rPr>
            </w:pPr>
          </w:p>
          <w:p w14:paraId="2E90FD8C">
            <w:pPr>
              <w:spacing w:before="57" w:line="195" w:lineRule="auto"/>
              <w:ind w:left="20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88.96</w:t>
            </w:r>
          </w:p>
        </w:tc>
      </w:tr>
      <w:tr w14:paraId="653DE6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658" w:type="dxa"/>
            <w:vMerge w:val="continue"/>
            <w:tcBorders>
              <w:top w:val="nil"/>
              <w:left w:val="nil"/>
            </w:tcBorders>
            <w:vAlign w:val="top"/>
          </w:tcPr>
          <w:p w14:paraId="1FC8120C">
            <w:pPr>
              <w:rPr>
                <w:rFonts w:ascii="Arial"/>
                <w:sz w:val="21"/>
              </w:rPr>
            </w:pPr>
          </w:p>
        </w:tc>
        <w:tc>
          <w:tcPr>
            <w:tcW w:w="688" w:type="dxa"/>
            <w:vMerge w:val="continue"/>
            <w:tcBorders>
              <w:top w:val="nil"/>
            </w:tcBorders>
            <w:vAlign w:val="top"/>
          </w:tcPr>
          <w:p w14:paraId="2C3CBC4A">
            <w:pPr>
              <w:rPr>
                <w:rFonts w:ascii="Arial"/>
                <w:sz w:val="21"/>
              </w:rPr>
            </w:pPr>
          </w:p>
        </w:tc>
        <w:tc>
          <w:tcPr>
            <w:tcW w:w="989" w:type="dxa"/>
            <w:vMerge w:val="continue"/>
            <w:tcBorders>
              <w:top w:val="nil"/>
            </w:tcBorders>
            <w:vAlign w:val="top"/>
          </w:tcPr>
          <w:p w14:paraId="5C714E75">
            <w:pPr>
              <w:rPr>
                <w:rFonts w:ascii="Arial"/>
                <w:sz w:val="21"/>
              </w:rPr>
            </w:pPr>
          </w:p>
        </w:tc>
        <w:tc>
          <w:tcPr>
            <w:tcW w:w="824" w:type="dxa"/>
            <w:vMerge w:val="continue"/>
            <w:tcBorders>
              <w:top w:val="nil"/>
            </w:tcBorders>
            <w:vAlign w:val="top"/>
          </w:tcPr>
          <w:p w14:paraId="2B770BB7">
            <w:pPr>
              <w:rPr>
                <w:rFonts w:ascii="Arial"/>
                <w:sz w:val="21"/>
              </w:rPr>
            </w:pPr>
          </w:p>
        </w:tc>
        <w:tc>
          <w:tcPr>
            <w:tcW w:w="363" w:type="dxa"/>
            <w:vMerge w:val="continue"/>
            <w:tcBorders>
              <w:top w:val="nil"/>
            </w:tcBorders>
            <w:vAlign w:val="top"/>
          </w:tcPr>
          <w:p w14:paraId="01D5D3C0">
            <w:pPr>
              <w:rPr>
                <w:rFonts w:ascii="Arial"/>
                <w:sz w:val="21"/>
              </w:rPr>
            </w:pPr>
          </w:p>
        </w:tc>
        <w:tc>
          <w:tcPr>
            <w:tcW w:w="913" w:type="dxa"/>
            <w:vAlign w:val="top"/>
          </w:tcPr>
          <w:p w14:paraId="0BF51D5A">
            <w:pPr>
              <w:pStyle w:val="6"/>
              <w:spacing w:before="102" w:line="235" w:lineRule="auto"/>
              <w:ind w:left="355" w:right="139" w:hanging="210"/>
              <w:rPr>
                <w:sz w:val="20"/>
                <w:szCs w:val="20"/>
              </w:rPr>
            </w:pPr>
            <w:r>
              <w:rPr>
                <w:spacing w:val="7"/>
                <w:sz w:val="20"/>
                <w:szCs w:val="20"/>
              </w:rPr>
              <w:t>氮氧化</w:t>
            </w:r>
            <w:r>
              <w:rPr>
                <w:sz w:val="20"/>
                <w:szCs w:val="20"/>
              </w:rPr>
              <w:t xml:space="preserve"> 物</w:t>
            </w:r>
          </w:p>
        </w:tc>
        <w:tc>
          <w:tcPr>
            <w:tcW w:w="2047" w:type="dxa"/>
            <w:vAlign w:val="top"/>
          </w:tcPr>
          <w:p w14:paraId="776EE5DD">
            <w:pPr>
              <w:spacing w:before="269" w:line="195" w:lineRule="auto"/>
              <w:ind w:left="84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0.79</w:t>
            </w:r>
          </w:p>
        </w:tc>
        <w:tc>
          <w:tcPr>
            <w:tcW w:w="943" w:type="dxa"/>
            <w:vAlign w:val="top"/>
          </w:tcPr>
          <w:p w14:paraId="6587AD35">
            <w:pPr>
              <w:pStyle w:val="6"/>
              <w:spacing w:before="71" w:line="257" w:lineRule="auto"/>
              <w:ind w:left="232" w:right="124" w:hanging="98"/>
              <w:rPr>
                <w:sz w:val="20"/>
                <w:szCs w:val="20"/>
              </w:rPr>
            </w:pPr>
            <w:r>
              <w:rPr>
                <w:spacing w:val="5"/>
                <w:sz w:val="20"/>
                <w:szCs w:val="20"/>
              </w:rPr>
              <w:t>千克</w:t>
            </w:r>
            <w:r>
              <w:rPr>
                <w:rFonts w:ascii="Times New Roman" w:hAnsi="Times New Roman" w:eastAsia="Times New Roman" w:cs="Times New Roman"/>
                <w:spacing w:val="5"/>
                <w:sz w:val="20"/>
                <w:szCs w:val="20"/>
              </w:rPr>
              <w:t>/</w:t>
            </w:r>
            <w:r>
              <w:rPr>
                <w:spacing w:val="5"/>
                <w:sz w:val="20"/>
                <w:szCs w:val="20"/>
              </w:rPr>
              <w:t>吨</w:t>
            </w:r>
            <w:r>
              <w:rPr>
                <w:spacing w:val="1"/>
                <w:sz w:val="20"/>
                <w:szCs w:val="20"/>
              </w:rPr>
              <w:t xml:space="preserve"> </w:t>
            </w:r>
            <w:r>
              <w:rPr>
                <w:rFonts w:ascii="Times New Roman" w:hAnsi="Times New Roman" w:eastAsia="Times New Roman" w:cs="Times New Roman"/>
                <w:spacing w:val="4"/>
                <w:sz w:val="20"/>
                <w:szCs w:val="20"/>
              </w:rPr>
              <w:t>-</w:t>
            </w:r>
            <w:r>
              <w:rPr>
                <w:spacing w:val="4"/>
                <w:sz w:val="20"/>
                <w:szCs w:val="20"/>
              </w:rPr>
              <w:t>产品</w:t>
            </w:r>
          </w:p>
        </w:tc>
        <w:tc>
          <w:tcPr>
            <w:tcW w:w="945" w:type="dxa"/>
            <w:vAlign w:val="top"/>
          </w:tcPr>
          <w:p w14:paraId="31035676">
            <w:pPr>
              <w:spacing w:before="265"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0" w:type="dxa"/>
            <w:tcBorders>
              <w:right w:val="nil"/>
            </w:tcBorders>
            <w:vAlign w:val="top"/>
          </w:tcPr>
          <w:p w14:paraId="05F9AAB1">
            <w:pPr>
              <w:spacing w:before="264" w:line="195" w:lineRule="auto"/>
              <w:ind w:left="38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r>
      <w:tr w14:paraId="12B21E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1" w:hRule="atLeast"/>
        </w:trPr>
        <w:tc>
          <w:tcPr>
            <w:tcW w:w="658" w:type="dxa"/>
            <w:vMerge w:val="restart"/>
            <w:tcBorders>
              <w:left w:val="nil"/>
              <w:bottom w:val="nil"/>
            </w:tcBorders>
            <w:vAlign w:val="top"/>
          </w:tcPr>
          <w:p w14:paraId="6722407F">
            <w:pPr>
              <w:spacing w:line="280" w:lineRule="auto"/>
              <w:rPr>
                <w:rFonts w:ascii="Arial"/>
                <w:sz w:val="21"/>
              </w:rPr>
            </w:pPr>
          </w:p>
          <w:p w14:paraId="598FE4F9">
            <w:pPr>
              <w:spacing w:line="281" w:lineRule="auto"/>
              <w:rPr>
                <w:rFonts w:ascii="Arial"/>
                <w:sz w:val="21"/>
              </w:rPr>
            </w:pPr>
          </w:p>
          <w:p w14:paraId="1E4BFE5D">
            <w:pPr>
              <w:pStyle w:val="6"/>
              <w:spacing w:before="65" w:line="227" w:lineRule="auto"/>
              <w:ind w:left="126"/>
              <w:rPr>
                <w:sz w:val="20"/>
                <w:szCs w:val="20"/>
              </w:rPr>
            </w:pPr>
            <w:r>
              <w:rPr>
                <w:spacing w:val="5"/>
                <w:sz w:val="20"/>
                <w:szCs w:val="20"/>
              </w:rPr>
              <w:t>烧结</w:t>
            </w:r>
          </w:p>
        </w:tc>
        <w:tc>
          <w:tcPr>
            <w:tcW w:w="688" w:type="dxa"/>
            <w:vMerge w:val="restart"/>
            <w:tcBorders>
              <w:bottom w:val="nil"/>
            </w:tcBorders>
            <w:vAlign w:val="top"/>
          </w:tcPr>
          <w:p w14:paraId="38B21F46">
            <w:pPr>
              <w:spacing w:line="433" w:lineRule="auto"/>
              <w:rPr>
                <w:rFonts w:ascii="Arial"/>
                <w:sz w:val="21"/>
              </w:rPr>
            </w:pPr>
          </w:p>
          <w:p w14:paraId="01BF34CC">
            <w:pPr>
              <w:pStyle w:val="6"/>
              <w:spacing w:before="65" w:line="233" w:lineRule="auto"/>
              <w:ind w:left="242" w:right="134" w:hanging="105"/>
              <w:rPr>
                <w:sz w:val="20"/>
                <w:szCs w:val="20"/>
              </w:rPr>
            </w:pPr>
            <w:r>
              <w:rPr>
                <w:spacing w:val="5"/>
                <w:sz w:val="20"/>
                <w:szCs w:val="20"/>
              </w:rPr>
              <w:t>烧结</w:t>
            </w:r>
            <w:r>
              <w:rPr>
                <w:sz w:val="20"/>
                <w:szCs w:val="20"/>
              </w:rPr>
              <w:t xml:space="preserve"> </w:t>
            </w:r>
            <w:r>
              <w:rPr>
                <w:spacing w:val="1"/>
                <w:sz w:val="20"/>
                <w:szCs w:val="20"/>
              </w:rPr>
              <w:t>矿</w:t>
            </w:r>
          </w:p>
        </w:tc>
        <w:tc>
          <w:tcPr>
            <w:tcW w:w="989" w:type="dxa"/>
            <w:vMerge w:val="restart"/>
            <w:tcBorders>
              <w:bottom w:val="nil"/>
            </w:tcBorders>
            <w:vAlign w:val="top"/>
          </w:tcPr>
          <w:p w14:paraId="68DAD87C">
            <w:pPr>
              <w:spacing w:line="303" w:lineRule="auto"/>
              <w:rPr>
                <w:rFonts w:ascii="Arial"/>
                <w:sz w:val="21"/>
              </w:rPr>
            </w:pPr>
          </w:p>
          <w:p w14:paraId="09D975EE">
            <w:pPr>
              <w:pStyle w:val="6"/>
              <w:spacing w:before="65" w:line="227" w:lineRule="auto"/>
              <w:ind w:left="190"/>
              <w:rPr>
                <w:sz w:val="20"/>
                <w:szCs w:val="20"/>
              </w:rPr>
            </w:pPr>
            <w:r>
              <w:rPr>
                <w:spacing w:val="5"/>
                <w:sz w:val="20"/>
                <w:szCs w:val="20"/>
              </w:rPr>
              <w:t>带式烧</w:t>
            </w:r>
          </w:p>
          <w:p w14:paraId="1A30FFC2">
            <w:pPr>
              <w:pStyle w:val="6"/>
              <w:spacing w:before="12" w:line="236" w:lineRule="auto"/>
              <w:ind w:left="290" w:right="106" w:hanging="172"/>
              <w:rPr>
                <w:sz w:val="20"/>
                <w:szCs w:val="20"/>
              </w:rPr>
            </w:pPr>
            <w:r>
              <w:rPr>
                <w:spacing w:val="-11"/>
                <w:sz w:val="20"/>
                <w:szCs w:val="20"/>
              </w:rPr>
              <w:t>结机（机</w:t>
            </w:r>
            <w:r>
              <w:rPr>
                <w:spacing w:val="2"/>
                <w:sz w:val="20"/>
                <w:szCs w:val="20"/>
              </w:rPr>
              <w:t xml:space="preserve"> </w:t>
            </w:r>
            <w:r>
              <w:rPr>
                <w:sz w:val="20"/>
                <w:szCs w:val="20"/>
              </w:rPr>
              <w:t>尾）</w:t>
            </w:r>
          </w:p>
        </w:tc>
        <w:tc>
          <w:tcPr>
            <w:tcW w:w="824" w:type="dxa"/>
            <w:vMerge w:val="restart"/>
            <w:tcBorders>
              <w:bottom w:val="nil"/>
            </w:tcBorders>
            <w:vAlign w:val="top"/>
          </w:tcPr>
          <w:p w14:paraId="7BE2E10F">
            <w:pPr>
              <w:spacing w:line="347" w:lineRule="auto"/>
              <w:rPr>
                <w:rFonts w:ascii="Arial"/>
                <w:sz w:val="21"/>
              </w:rPr>
            </w:pPr>
          </w:p>
          <w:p w14:paraId="5A228120">
            <w:pPr>
              <w:spacing w:before="57" w:line="195" w:lineRule="auto"/>
              <w:ind w:left="19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≤180</w:t>
            </w:r>
          </w:p>
          <w:p w14:paraId="4698B2D2">
            <w:pPr>
              <w:pStyle w:val="6"/>
              <w:spacing w:before="35" w:line="229" w:lineRule="auto"/>
              <w:ind w:left="205"/>
              <w:rPr>
                <w:sz w:val="20"/>
                <w:szCs w:val="20"/>
              </w:rPr>
            </w:pPr>
            <w:r>
              <w:rPr>
                <w:spacing w:val="5"/>
                <w:sz w:val="20"/>
                <w:szCs w:val="20"/>
              </w:rPr>
              <w:t>平方</w:t>
            </w:r>
          </w:p>
          <w:p w14:paraId="132BA824">
            <w:pPr>
              <w:pStyle w:val="6"/>
              <w:spacing w:before="13" w:line="228" w:lineRule="auto"/>
              <w:ind w:left="312"/>
              <w:rPr>
                <w:sz w:val="20"/>
                <w:szCs w:val="20"/>
              </w:rPr>
            </w:pPr>
            <w:r>
              <w:rPr>
                <w:sz w:val="20"/>
                <w:szCs w:val="20"/>
              </w:rPr>
              <w:t>米</w:t>
            </w:r>
          </w:p>
        </w:tc>
        <w:tc>
          <w:tcPr>
            <w:tcW w:w="363" w:type="dxa"/>
            <w:vMerge w:val="restart"/>
            <w:tcBorders>
              <w:bottom w:val="nil"/>
            </w:tcBorders>
            <w:vAlign w:val="top"/>
          </w:tcPr>
          <w:p w14:paraId="27C1AE7E">
            <w:pPr>
              <w:spacing w:line="432" w:lineRule="auto"/>
              <w:rPr>
                <w:rFonts w:ascii="Arial"/>
                <w:sz w:val="21"/>
              </w:rPr>
            </w:pPr>
          </w:p>
          <w:p w14:paraId="636AA6EF">
            <w:pPr>
              <w:pStyle w:val="6"/>
              <w:spacing w:before="65" w:line="234" w:lineRule="auto"/>
              <w:ind w:left="114" w:right="42" w:hanging="1"/>
              <w:rPr>
                <w:sz w:val="20"/>
                <w:szCs w:val="20"/>
              </w:rPr>
            </w:pPr>
            <w:r>
              <w:rPr>
                <w:spacing w:val="1"/>
                <w:sz w:val="20"/>
                <w:szCs w:val="20"/>
              </w:rPr>
              <w:t>废</w:t>
            </w:r>
            <w:r>
              <w:rPr>
                <w:sz w:val="20"/>
                <w:szCs w:val="20"/>
              </w:rPr>
              <w:t xml:space="preserve"> 气</w:t>
            </w:r>
          </w:p>
        </w:tc>
        <w:tc>
          <w:tcPr>
            <w:tcW w:w="913" w:type="dxa"/>
            <w:vAlign w:val="top"/>
          </w:tcPr>
          <w:p w14:paraId="49BB92EC">
            <w:pPr>
              <w:pStyle w:val="6"/>
              <w:spacing w:before="178" w:line="234" w:lineRule="auto"/>
              <w:ind w:left="250" w:right="139" w:hanging="101"/>
              <w:rPr>
                <w:sz w:val="20"/>
                <w:szCs w:val="20"/>
              </w:rPr>
            </w:pPr>
            <w:r>
              <w:rPr>
                <w:spacing w:val="6"/>
                <w:sz w:val="20"/>
                <w:szCs w:val="20"/>
              </w:rPr>
              <w:t>工业废</w:t>
            </w:r>
            <w:r>
              <w:rPr>
                <w:sz w:val="20"/>
                <w:szCs w:val="20"/>
              </w:rPr>
              <w:t xml:space="preserve"> </w:t>
            </w:r>
            <w:r>
              <w:rPr>
                <w:spacing w:val="4"/>
                <w:sz w:val="20"/>
                <w:szCs w:val="20"/>
              </w:rPr>
              <w:t>气量</w:t>
            </w:r>
          </w:p>
        </w:tc>
        <w:tc>
          <w:tcPr>
            <w:tcW w:w="2047" w:type="dxa"/>
            <w:vAlign w:val="top"/>
          </w:tcPr>
          <w:p w14:paraId="66209BAF">
            <w:pPr>
              <w:spacing w:line="284" w:lineRule="auto"/>
              <w:rPr>
                <w:rFonts w:ascii="Arial"/>
                <w:sz w:val="21"/>
              </w:rPr>
            </w:pPr>
          </w:p>
          <w:p w14:paraId="6035FDA4">
            <w:pPr>
              <w:spacing w:before="58" w:line="195" w:lineRule="auto"/>
              <w:ind w:left="8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2900</w:t>
            </w:r>
          </w:p>
        </w:tc>
        <w:tc>
          <w:tcPr>
            <w:tcW w:w="943" w:type="dxa"/>
            <w:vAlign w:val="top"/>
          </w:tcPr>
          <w:p w14:paraId="2CC4E73C">
            <w:pPr>
              <w:pStyle w:val="6"/>
              <w:spacing w:before="46" w:line="223" w:lineRule="auto"/>
              <w:ind w:left="203" w:right="153" w:hanging="39"/>
              <w:jc w:val="both"/>
              <w:rPr>
                <w:sz w:val="20"/>
                <w:szCs w:val="20"/>
              </w:rPr>
            </w:pPr>
            <w:r>
              <w:rPr>
                <w:spacing w:val="6"/>
                <w:sz w:val="20"/>
                <w:szCs w:val="20"/>
              </w:rPr>
              <w:t>标立方</w:t>
            </w:r>
            <w:r>
              <w:rPr>
                <w:sz w:val="20"/>
                <w:szCs w:val="20"/>
              </w:rPr>
              <w:t xml:space="preserve"> </w:t>
            </w:r>
            <w:r>
              <w:rPr>
                <w:spacing w:val="4"/>
                <w:sz w:val="20"/>
                <w:szCs w:val="20"/>
              </w:rPr>
              <w:t>米</w:t>
            </w:r>
            <w:r>
              <w:rPr>
                <w:rFonts w:ascii="Times New Roman" w:hAnsi="Times New Roman" w:eastAsia="Times New Roman" w:cs="Times New Roman"/>
                <w:spacing w:val="4"/>
                <w:sz w:val="20"/>
                <w:szCs w:val="20"/>
              </w:rPr>
              <w:t>/</w:t>
            </w:r>
            <w:r>
              <w:rPr>
                <w:spacing w:val="4"/>
                <w:sz w:val="20"/>
                <w:szCs w:val="20"/>
              </w:rPr>
              <w:t>吨</w:t>
            </w:r>
            <w:r>
              <w:rPr>
                <w:rFonts w:ascii="Times New Roman" w:hAnsi="Times New Roman" w:eastAsia="Times New Roman" w:cs="Times New Roman"/>
                <w:spacing w:val="4"/>
                <w:sz w:val="20"/>
                <w:szCs w:val="20"/>
              </w:rPr>
              <w:t>-</w:t>
            </w:r>
            <w:r>
              <w:rPr>
                <w:rFonts w:ascii="Times New Roman" w:hAnsi="Times New Roman" w:eastAsia="Times New Roman" w:cs="Times New Roman"/>
                <w:sz w:val="20"/>
                <w:szCs w:val="20"/>
              </w:rPr>
              <w:t xml:space="preserve">  </w:t>
            </w:r>
            <w:r>
              <w:rPr>
                <w:spacing w:val="36"/>
                <w:sz w:val="20"/>
                <w:szCs w:val="20"/>
              </w:rPr>
              <w:t>产品</w:t>
            </w:r>
          </w:p>
        </w:tc>
        <w:tc>
          <w:tcPr>
            <w:tcW w:w="945" w:type="dxa"/>
            <w:vAlign w:val="top"/>
          </w:tcPr>
          <w:p w14:paraId="6290BE54">
            <w:pPr>
              <w:spacing w:line="280" w:lineRule="auto"/>
              <w:rPr>
                <w:rFonts w:ascii="Arial"/>
                <w:sz w:val="21"/>
              </w:rPr>
            </w:pPr>
          </w:p>
          <w:p w14:paraId="36BF69D5">
            <w:pPr>
              <w:spacing w:before="58"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0" w:type="dxa"/>
            <w:tcBorders>
              <w:right w:val="nil"/>
            </w:tcBorders>
            <w:vAlign w:val="top"/>
          </w:tcPr>
          <w:p w14:paraId="70404626">
            <w:pPr>
              <w:spacing w:line="279" w:lineRule="auto"/>
              <w:rPr>
                <w:rFonts w:ascii="Arial"/>
                <w:sz w:val="21"/>
              </w:rPr>
            </w:pPr>
          </w:p>
          <w:p w14:paraId="74053028">
            <w:pPr>
              <w:spacing w:before="58" w:line="195" w:lineRule="auto"/>
              <w:ind w:left="38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r>
      <w:tr w14:paraId="396051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2" w:hRule="atLeast"/>
        </w:trPr>
        <w:tc>
          <w:tcPr>
            <w:tcW w:w="658" w:type="dxa"/>
            <w:vMerge w:val="continue"/>
            <w:tcBorders>
              <w:top w:val="nil"/>
              <w:left w:val="nil"/>
              <w:bottom w:val="single" w:color="000000" w:sz="10" w:space="0"/>
            </w:tcBorders>
            <w:vAlign w:val="top"/>
          </w:tcPr>
          <w:p w14:paraId="76B32D5C">
            <w:pPr>
              <w:rPr>
                <w:rFonts w:ascii="Arial"/>
                <w:sz w:val="21"/>
              </w:rPr>
            </w:pPr>
          </w:p>
        </w:tc>
        <w:tc>
          <w:tcPr>
            <w:tcW w:w="688" w:type="dxa"/>
            <w:vMerge w:val="continue"/>
            <w:tcBorders>
              <w:top w:val="nil"/>
              <w:bottom w:val="single" w:color="000000" w:sz="10" w:space="0"/>
            </w:tcBorders>
            <w:vAlign w:val="top"/>
          </w:tcPr>
          <w:p w14:paraId="4EDD4825">
            <w:pPr>
              <w:rPr>
                <w:rFonts w:ascii="Arial"/>
                <w:sz w:val="21"/>
              </w:rPr>
            </w:pPr>
          </w:p>
        </w:tc>
        <w:tc>
          <w:tcPr>
            <w:tcW w:w="989" w:type="dxa"/>
            <w:vMerge w:val="continue"/>
            <w:tcBorders>
              <w:top w:val="nil"/>
              <w:bottom w:val="single" w:color="000000" w:sz="10" w:space="0"/>
            </w:tcBorders>
            <w:vAlign w:val="top"/>
          </w:tcPr>
          <w:p w14:paraId="04BEF81B">
            <w:pPr>
              <w:rPr>
                <w:rFonts w:ascii="Arial"/>
                <w:sz w:val="21"/>
              </w:rPr>
            </w:pPr>
          </w:p>
        </w:tc>
        <w:tc>
          <w:tcPr>
            <w:tcW w:w="824" w:type="dxa"/>
            <w:vMerge w:val="continue"/>
            <w:tcBorders>
              <w:top w:val="nil"/>
              <w:bottom w:val="single" w:color="000000" w:sz="10" w:space="0"/>
            </w:tcBorders>
            <w:vAlign w:val="top"/>
          </w:tcPr>
          <w:p w14:paraId="22889BA4">
            <w:pPr>
              <w:rPr>
                <w:rFonts w:ascii="Arial"/>
                <w:sz w:val="21"/>
              </w:rPr>
            </w:pPr>
          </w:p>
        </w:tc>
        <w:tc>
          <w:tcPr>
            <w:tcW w:w="363" w:type="dxa"/>
            <w:vMerge w:val="continue"/>
            <w:tcBorders>
              <w:top w:val="nil"/>
              <w:bottom w:val="single" w:color="000000" w:sz="10" w:space="0"/>
            </w:tcBorders>
            <w:vAlign w:val="top"/>
          </w:tcPr>
          <w:p w14:paraId="049CBD93">
            <w:pPr>
              <w:rPr>
                <w:rFonts w:ascii="Arial"/>
                <w:sz w:val="21"/>
              </w:rPr>
            </w:pPr>
          </w:p>
        </w:tc>
        <w:tc>
          <w:tcPr>
            <w:tcW w:w="913" w:type="dxa"/>
            <w:tcBorders>
              <w:bottom w:val="single" w:color="000000" w:sz="10" w:space="0"/>
            </w:tcBorders>
            <w:vAlign w:val="top"/>
          </w:tcPr>
          <w:p w14:paraId="73281CB8">
            <w:pPr>
              <w:pStyle w:val="6"/>
              <w:spacing w:before="240" w:line="228" w:lineRule="auto"/>
              <w:ind w:left="146"/>
              <w:rPr>
                <w:sz w:val="20"/>
                <w:szCs w:val="20"/>
              </w:rPr>
            </w:pPr>
            <w:r>
              <w:rPr>
                <w:spacing w:val="7"/>
                <w:sz w:val="20"/>
                <w:szCs w:val="20"/>
              </w:rPr>
              <w:t>颗粒物</w:t>
            </w:r>
          </w:p>
        </w:tc>
        <w:tc>
          <w:tcPr>
            <w:tcW w:w="2047" w:type="dxa"/>
            <w:tcBorders>
              <w:bottom w:val="single" w:color="000000" w:sz="10" w:space="0"/>
            </w:tcBorders>
            <w:vAlign w:val="top"/>
          </w:tcPr>
          <w:p w14:paraId="3E80E86C">
            <w:pPr>
              <w:spacing w:before="275" w:line="195" w:lineRule="auto"/>
              <w:ind w:left="8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5.60</w:t>
            </w:r>
          </w:p>
        </w:tc>
        <w:tc>
          <w:tcPr>
            <w:tcW w:w="943" w:type="dxa"/>
            <w:tcBorders>
              <w:bottom w:val="single" w:color="000000" w:sz="10" w:space="0"/>
            </w:tcBorders>
            <w:vAlign w:val="top"/>
          </w:tcPr>
          <w:p w14:paraId="2CA55C86">
            <w:pPr>
              <w:pStyle w:val="6"/>
              <w:spacing w:before="75" w:line="266" w:lineRule="auto"/>
              <w:ind w:left="232" w:right="124" w:hanging="98"/>
              <w:rPr>
                <w:sz w:val="20"/>
                <w:szCs w:val="20"/>
              </w:rPr>
            </w:pPr>
            <w:r>
              <w:rPr>
                <w:spacing w:val="5"/>
                <w:sz w:val="20"/>
                <w:szCs w:val="20"/>
              </w:rPr>
              <w:t>千克</w:t>
            </w:r>
            <w:r>
              <w:rPr>
                <w:rFonts w:ascii="Times New Roman" w:hAnsi="Times New Roman" w:eastAsia="Times New Roman" w:cs="Times New Roman"/>
                <w:spacing w:val="5"/>
                <w:sz w:val="20"/>
                <w:szCs w:val="20"/>
              </w:rPr>
              <w:t>/</w:t>
            </w:r>
            <w:r>
              <w:rPr>
                <w:spacing w:val="5"/>
                <w:sz w:val="20"/>
                <w:szCs w:val="20"/>
              </w:rPr>
              <w:t>吨</w:t>
            </w:r>
            <w:r>
              <w:rPr>
                <w:spacing w:val="1"/>
                <w:sz w:val="20"/>
                <w:szCs w:val="20"/>
              </w:rPr>
              <w:t xml:space="preserve"> </w:t>
            </w:r>
            <w:r>
              <w:rPr>
                <w:rFonts w:ascii="Times New Roman" w:hAnsi="Times New Roman" w:eastAsia="Times New Roman" w:cs="Times New Roman"/>
                <w:spacing w:val="4"/>
                <w:sz w:val="20"/>
                <w:szCs w:val="20"/>
              </w:rPr>
              <w:t>-</w:t>
            </w:r>
            <w:r>
              <w:rPr>
                <w:spacing w:val="4"/>
                <w:sz w:val="20"/>
                <w:szCs w:val="20"/>
              </w:rPr>
              <w:t>产品</w:t>
            </w:r>
          </w:p>
        </w:tc>
        <w:tc>
          <w:tcPr>
            <w:tcW w:w="945" w:type="dxa"/>
            <w:tcBorders>
              <w:bottom w:val="single" w:color="000000" w:sz="10" w:space="0"/>
            </w:tcBorders>
            <w:vAlign w:val="top"/>
          </w:tcPr>
          <w:p w14:paraId="7133D58E">
            <w:pPr>
              <w:pStyle w:val="6"/>
              <w:spacing w:before="109" w:line="237" w:lineRule="auto"/>
              <w:ind w:left="373" w:right="155" w:hanging="210"/>
              <w:rPr>
                <w:sz w:val="20"/>
                <w:szCs w:val="20"/>
              </w:rPr>
            </w:pPr>
            <w:r>
              <w:rPr>
                <w:spacing w:val="6"/>
                <w:sz w:val="20"/>
                <w:szCs w:val="20"/>
              </w:rPr>
              <w:t>布袋除</w:t>
            </w:r>
            <w:r>
              <w:rPr>
                <w:spacing w:val="1"/>
                <w:sz w:val="20"/>
                <w:szCs w:val="20"/>
              </w:rPr>
              <w:t xml:space="preserve"> </w:t>
            </w:r>
            <w:r>
              <w:rPr>
                <w:sz w:val="20"/>
                <w:szCs w:val="20"/>
              </w:rPr>
              <w:t>尘</w:t>
            </w:r>
          </w:p>
        </w:tc>
        <w:tc>
          <w:tcPr>
            <w:tcW w:w="860" w:type="dxa"/>
            <w:tcBorders>
              <w:bottom w:val="single" w:color="000000" w:sz="10" w:space="0"/>
              <w:right w:val="nil"/>
            </w:tcBorders>
            <w:vAlign w:val="top"/>
          </w:tcPr>
          <w:p w14:paraId="067FCAD2">
            <w:pPr>
              <w:spacing w:before="275" w:line="195"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99.57</w:t>
            </w:r>
          </w:p>
        </w:tc>
      </w:tr>
    </w:tbl>
    <w:p w14:paraId="4B3B748D">
      <w:pPr>
        <w:spacing w:before="119" w:line="219" w:lineRule="auto"/>
        <w:ind w:left="607"/>
        <w:rPr>
          <w:rFonts w:ascii="宋体" w:hAnsi="宋体" w:eastAsia="宋体" w:cs="宋体"/>
          <w:sz w:val="24"/>
          <w:szCs w:val="24"/>
        </w:rPr>
      </w:pPr>
      <w:r>
        <w:rPr>
          <w:rFonts w:ascii="宋体" w:hAnsi="宋体" w:eastAsia="宋体" w:cs="宋体"/>
          <w:b/>
          <w:bCs/>
          <w:spacing w:val="-2"/>
          <w:sz w:val="24"/>
          <w:szCs w:val="24"/>
        </w:rPr>
        <w:t>（</w:t>
      </w:r>
      <w:r>
        <w:rPr>
          <w:rFonts w:ascii="Times New Roman" w:hAnsi="Times New Roman" w:eastAsia="Times New Roman" w:cs="Times New Roman"/>
          <w:b/>
          <w:bCs/>
          <w:spacing w:val="-2"/>
          <w:sz w:val="24"/>
          <w:szCs w:val="24"/>
        </w:rPr>
        <w:t>5</w:t>
      </w:r>
      <w:r>
        <w:rPr>
          <w:rFonts w:ascii="宋体" w:hAnsi="宋体" w:eastAsia="宋体" w:cs="宋体"/>
          <w:b/>
          <w:bCs/>
          <w:spacing w:val="-2"/>
          <w:sz w:val="24"/>
          <w:szCs w:val="24"/>
        </w:rPr>
        <w:t>）烧结机尾粉尘（</w:t>
      </w:r>
      <w:r>
        <w:rPr>
          <w:rFonts w:ascii="Times New Roman" w:hAnsi="Times New Roman" w:eastAsia="Times New Roman" w:cs="Times New Roman"/>
          <w:b/>
          <w:bCs/>
          <w:spacing w:val="-2"/>
          <w:sz w:val="24"/>
          <w:szCs w:val="24"/>
        </w:rPr>
        <w:t>G</w:t>
      </w:r>
      <w:r>
        <w:rPr>
          <w:rFonts w:ascii="Times New Roman" w:hAnsi="Times New Roman" w:eastAsia="Times New Roman" w:cs="Times New Roman"/>
          <w:b/>
          <w:bCs/>
          <w:spacing w:val="-2"/>
          <w:sz w:val="15"/>
          <w:szCs w:val="15"/>
        </w:rPr>
        <w:t>1-7</w:t>
      </w:r>
      <w:r>
        <w:rPr>
          <w:rFonts w:ascii="宋体" w:hAnsi="宋体" w:eastAsia="宋体" w:cs="宋体"/>
          <w:b/>
          <w:bCs/>
          <w:spacing w:val="-2"/>
          <w:sz w:val="24"/>
          <w:szCs w:val="24"/>
        </w:rPr>
        <w:t>）</w:t>
      </w:r>
    </w:p>
    <w:p w14:paraId="77E1A0F3">
      <w:pPr>
        <w:spacing w:before="193" w:line="360" w:lineRule="auto"/>
        <w:ind w:left="112" w:right="107" w:firstLine="483"/>
        <w:jc w:val="both"/>
        <w:rPr>
          <w:rFonts w:ascii="宋体" w:hAnsi="宋体" w:eastAsia="宋体" w:cs="宋体"/>
          <w:sz w:val="24"/>
          <w:szCs w:val="24"/>
        </w:rPr>
      </w:pPr>
      <w:r>
        <w:rPr>
          <w:rFonts w:ascii="宋体" w:hAnsi="宋体" w:eastAsia="宋体" w:cs="宋体"/>
          <w:spacing w:val="-5"/>
          <w:sz w:val="24"/>
          <w:szCs w:val="24"/>
        </w:rPr>
        <w:t>烧结机机尾出料口会有含尘废气排出，项目设</w:t>
      </w:r>
      <w:r>
        <w:rPr>
          <w:rFonts w:ascii="宋体" w:hAnsi="宋体" w:eastAsia="宋体" w:cs="宋体"/>
          <w:spacing w:val="-21"/>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28"/>
          <w:sz w:val="24"/>
          <w:szCs w:val="24"/>
        </w:rPr>
        <w:t xml:space="preserve"> </w:t>
      </w:r>
      <w:r>
        <w:rPr>
          <w:rFonts w:ascii="宋体" w:hAnsi="宋体" w:eastAsia="宋体" w:cs="宋体"/>
          <w:spacing w:val="-5"/>
          <w:sz w:val="24"/>
          <w:szCs w:val="24"/>
        </w:rPr>
        <w:t>台布袋除尘器进行处理，除尘效率</w:t>
      </w:r>
      <w:r>
        <w:rPr>
          <w:rFonts w:ascii="宋体" w:hAnsi="宋体" w:eastAsia="宋体" w:cs="宋体"/>
          <w:sz w:val="24"/>
          <w:szCs w:val="24"/>
        </w:rPr>
        <w:t xml:space="preserve"> </w:t>
      </w:r>
      <w:r>
        <w:rPr>
          <w:rFonts w:ascii="宋体" w:hAnsi="宋体" w:eastAsia="宋体" w:cs="宋体"/>
          <w:spacing w:val="-3"/>
          <w:sz w:val="24"/>
          <w:szCs w:val="24"/>
        </w:rPr>
        <w:t>为</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99%</w:t>
      </w:r>
      <w:r>
        <w:rPr>
          <w:rFonts w:ascii="宋体" w:hAnsi="宋体" w:eastAsia="宋体" w:cs="宋体"/>
          <w:spacing w:val="-3"/>
          <w:sz w:val="24"/>
          <w:szCs w:val="24"/>
        </w:rPr>
        <w:t>。参照《排放源统计调查产排污核算方法和系</w:t>
      </w:r>
      <w:r>
        <w:rPr>
          <w:rFonts w:ascii="宋体" w:hAnsi="宋体" w:eastAsia="宋体" w:cs="宋体"/>
          <w:spacing w:val="-4"/>
          <w:sz w:val="24"/>
          <w:szCs w:val="24"/>
        </w:rPr>
        <w:t>数手册》（环境部公告</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2021 </w:t>
      </w:r>
      <w:r>
        <w:rPr>
          <w:rFonts w:ascii="宋体" w:hAnsi="宋体" w:eastAsia="宋体" w:cs="宋体"/>
          <w:spacing w:val="-4"/>
          <w:sz w:val="24"/>
          <w:szCs w:val="24"/>
        </w:rPr>
        <w:t>年 第</w:t>
      </w:r>
      <w:r>
        <w:rPr>
          <w:rFonts w:ascii="宋体" w:hAnsi="宋体" w:eastAsia="宋体" w:cs="宋体"/>
          <w:sz w:val="24"/>
          <w:szCs w:val="24"/>
        </w:rPr>
        <w:t xml:space="preserve"> </w:t>
      </w:r>
      <w:r>
        <w:rPr>
          <w:rFonts w:ascii="Times New Roman" w:hAnsi="Times New Roman" w:eastAsia="Times New Roman" w:cs="Times New Roman"/>
          <w:spacing w:val="-2"/>
          <w:sz w:val="24"/>
          <w:szCs w:val="24"/>
        </w:rPr>
        <w:t>24</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号）</w:t>
      </w:r>
      <w:r>
        <w:rPr>
          <w:rFonts w:ascii="Times New Roman" w:hAnsi="Times New Roman" w:eastAsia="Times New Roman" w:cs="Times New Roman"/>
          <w:spacing w:val="-2"/>
          <w:sz w:val="24"/>
          <w:szCs w:val="24"/>
        </w:rPr>
        <w:t xml:space="preserve">3110 </w:t>
      </w:r>
      <w:r>
        <w:rPr>
          <w:rFonts w:ascii="宋体" w:hAnsi="宋体" w:eastAsia="宋体" w:cs="宋体"/>
          <w:spacing w:val="-2"/>
          <w:sz w:val="24"/>
          <w:szCs w:val="24"/>
        </w:rPr>
        <w:t>炼铁行业系数手册中</w:t>
      </w:r>
      <w:r>
        <w:rPr>
          <w:rFonts w:ascii="Times New Roman" w:hAnsi="Times New Roman" w:eastAsia="Times New Roman" w:cs="Times New Roman"/>
          <w:spacing w:val="-2"/>
          <w:sz w:val="24"/>
          <w:szCs w:val="24"/>
        </w:rPr>
        <w:t xml:space="preserve">≤180 </w:t>
      </w:r>
      <w:r>
        <w:rPr>
          <w:rFonts w:ascii="宋体" w:hAnsi="宋体" w:eastAsia="宋体" w:cs="宋体"/>
          <w:spacing w:val="-2"/>
          <w:sz w:val="24"/>
          <w:szCs w:val="24"/>
        </w:rPr>
        <w:t>平方米带式烧结机（机尾）产污系数，同时考虑</w:t>
      </w:r>
      <w:r>
        <w:rPr>
          <w:rFonts w:ascii="宋体" w:hAnsi="宋体" w:eastAsia="宋体" w:cs="宋体"/>
          <w:sz w:val="24"/>
          <w:szCs w:val="24"/>
        </w:rPr>
        <w:t xml:space="preserve"> </w:t>
      </w:r>
      <w:r>
        <w:rPr>
          <w:rFonts w:ascii="宋体" w:hAnsi="宋体" w:eastAsia="宋体" w:cs="宋体"/>
          <w:spacing w:val="-2"/>
          <w:sz w:val="24"/>
          <w:szCs w:val="24"/>
        </w:rPr>
        <w:t>风机风量。</w:t>
      </w:r>
    </w:p>
    <w:p w14:paraId="342ED5DF">
      <w:pPr>
        <w:spacing w:before="51" w:line="227" w:lineRule="auto"/>
        <w:ind w:left="2111"/>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7"/>
          <w:sz w:val="20"/>
          <w:szCs w:val="20"/>
        </w:rPr>
        <w:t xml:space="preserve"> </w:t>
      </w:r>
      <w:r>
        <w:rPr>
          <w:rFonts w:ascii="Times New Roman" w:hAnsi="Times New Roman" w:eastAsia="Times New Roman" w:cs="Times New Roman"/>
          <w:b/>
          <w:bCs/>
          <w:spacing w:val="5"/>
          <w:sz w:val="20"/>
          <w:szCs w:val="20"/>
        </w:rPr>
        <w:t xml:space="preserve">2.3-18            </w:t>
      </w:r>
      <w:r>
        <w:rPr>
          <w:rFonts w:ascii="宋体" w:hAnsi="宋体" w:eastAsia="宋体" w:cs="宋体"/>
          <w:b/>
          <w:bCs/>
          <w:spacing w:val="5"/>
          <w:sz w:val="20"/>
          <w:szCs w:val="20"/>
        </w:rPr>
        <w:t>项目锰矿石烘干污染物产排情况汇总表</w:t>
      </w:r>
    </w:p>
    <w:p w14:paraId="674521BC">
      <w:pPr>
        <w:spacing w:line="97" w:lineRule="exact"/>
      </w:pPr>
    </w:p>
    <w:tbl>
      <w:tblPr>
        <w:tblStyle w:val="5"/>
        <w:tblW w:w="922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96"/>
        <w:gridCol w:w="1572"/>
        <w:gridCol w:w="1296"/>
        <w:gridCol w:w="1338"/>
        <w:gridCol w:w="1070"/>
        <w:gridCol w:w="946"/>
        <w:gridCol w:w="1340"/>
        <w:gridCol w:w="965"/>
      </w:tblGrid>
      <w:tr w14:paraId="3683FA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2268" w:type="dxa"/>
            <w:gridSpan w:val="2"/>
            <w:vMerge w:val="restart"/>
            <w:tcBorders>
              <w:top w:val="single" w:color="000000" w:sz="10" w:space="0"/>
              <w:left w:val="nil"/>
              <w:bottom w:val="nil"/>
            </w:tcBorders>
            <w:vAlign w:val="top"/>
          </w:tcPr>
          <w:p w14:paraId="5C0BE583">
            <w:pPr>
              <w:spacing w:line="300" w:lineRule="auto"/>
              <w:rPr>
                <w:rFonts w:ascii="Arial"/>
                <w:sz w:val="21"/>
              </w:rPr>
            </w:pPr>
          </w:p>
          <w:p w14:paraId="58CA4342">
            <w:pPr>
              <w:pStyle w:val="6"/>
              <w:spacing w:before="65" w:line="228" w:lineRule="auto"/>
              <w:ind w:left="829"/>
              <w:rPr>
                <w:sz w:val="20"/>
                <w:szCs w:val="20"/>
              </w:rPr>
            </w:pPr>
            <w:r>
              <w:rPr>
                <w:spacing w:val="6"/>
                <w:sz w:val="20"/>
                <w:szCs w:val="20"/>
              </w:rPr>
              <w:t>污染物</w:t>
            </w:r>
          </w:p>
        </w:tc>
        <w:tc>
          <w:tcPr>
            <w:tcW w:w="1296" w:type="dxa"/>
            <w:vMerge w:val="restart"/>
            <w:tcBorders>
              <w:top w:val="single" w:color="000000" w:sz="10" w:space="0"/>
              <w:bottom w:val="nil"/>
            </w:tcBorders>
            <w:vAlign w:val="top"/>
          </w:tcPr>
          <w:p w14:paraId="15F567E3">
            <w:pPr>
              <w:pStyle w:val="6"/>
              <w:spacing w:before="236"/>
              <w:ind w:left="256" w:right="259" w:firstLine="80"/>
              <w:rPr>
                <w:sz w:val="20"/>
                <w:szCs w:val="20"/>
              </w:rPr>
            </w:pPr>
            <w:r>
              <w:rPr>
                <w:spacing w:val="7"/>
                <w:sz w:val="20"/>
                <w:szCs w:val="20"/>
              </w:rPr>
              <w:t>废气量</w:t>
            </w:r>
            <w:r>
              <w:rPr>
                <w:sz w:val="20"/>
                <w:szCs w:val="20"/>
              </w:rPr>
              <w:t xml:space="preserve"> </w:t>
            </w:r>
            <w:r>
              <w:rPr>
                <w:spacing w:val="-1"/>
                <w:sz w:val="20"/>
                <w:szCs w:val="20"/>
              </w:rPr>
              <w:t>（</w:t>
            </w:r>
            <w:r>
              <w:rPr>
                <w:rFonts w:ascii="Times New Roman" w:hAnsi="Times New Roman" w:eastAsia="Times New Roman" w:cs="Times New Roman"/>
                <w:spacing w:val="-1"/>
                <w:sz w:val="20"/>
                <w:szCs w:val="20"/>
              </w:rPr>
              <w:t>m</w:t>
            </w:r>
            <w:r>
              <w:rPr>
                <w:rFonts w:ascii="Times New Roman" w:hAnsi="Times New Roman" w:eastAsia="Times New Roman" w:cs="Times New Roman"/>
                <w:spacing w:val="-1"/>
                <w:position w:val="6"/>
                <w:sz w:val="13"/>
                <w:szCs w:val="13"/>
              </w:rPr>
              <w:t>3</w:t>
            </w:r>
            <w:r>
              <w:rPr>
                <w:rFonts w:ascii="Times New Roman" w:hAnsi="Times New Roman" w:eastAsia="Times New Roman" w:cs="Times New Roman"/>
                <w:spacing w:val="-1"/>
                <w:sz w:val="20"/>
                <w:szCs w:val="20"/>
              </w:rPr>
              <w:t>/h</w:t>
            </w:r>
            <w:r>
              <w:rPr>
                <w:spacing w:val="-1"/>
                <w:sz w:val="20"/>
                <w:szCs w:val="20"/>
              </w:rPr>
              <w:t>）</w:t>
            </w:r>
          </w:p>
        </w:tc>
        <w:tc>
          <w:tcPr>
            <w:tcW w:w="2408" w:type="dxa"/>
            <w:gridSpan w:val="2"/>
            <w:tcBorders>
              <w:top w:val="single" w:color="000000" w:sz="10" w:space="0"/>
            </w:tcBorders>
            <w:vAlign w:val="top"/>
          </w:tcPr>
          <w:p w14:paraId="6202F5DB">
            <w:pPr>
              <w:pStyle w:val="6"/>
              <w:spacing w:before="73" w:line="228" w:lineRule="auto"/>
              <w:ind w:left="788"/>
              <w:rPr>
                <w:sz w:val="20"/>
                <w:szCs w:val="20"/>
              </w:rPr>
            </w:pPr>
            <w:r>
              <w:rPr>
                <w:spacing w:val="7"/>
                <w:sz w:val="20"/>
                <w:szCs w:val="20"/>
              </w:rPr>
              <w:t>产生情况</w:t>
            </w:r>
          </w:p>
        </w:tc>
        <w:tc>
          <w:tcPr>
            <w:tcW w:w="3251" w:type="dxa"/>
            <w:gridSpan w:val="3"/>
            <w:tcBorders>
              <w:top w:val="single" w:color="000000" w:sz="10" w:space="0"/>
              <w:right w:val="nil"/>
            </w:tcBorders>
            <w:vAlign w:val="top"/>
          </w:tcPr>
          <w:p w14:paraId="1FF25700">
            <w:pPr>
              <w:pStyle w:val="6"/>
              <w:spacing w:before="74" w:line="228" w:lineRule="auto"/>
              <w:ind w:left="1210"/>
              <w:rPr>
                <w:sz w:val="20"/>
                <w:szCs w:val="20"/>
              </w:rPr>
            </w:pPr>
            <w:r>
              <w:rPr>
                <w:spacing w:val="7"/>
                <w:sz w:val="20"/>
                <w:szCs w:val="20"/>
              </w:rPr>
              <w:t>排放情况</w:t>
            </w:r>
          </w:p>
        </w:tc>
      </w:tr>
      <w:tr w14:paraId="67286E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8" w:hRule="atLeast"/>
        </w:trPr>
        <w:tc>
          <w:tcPr>
            <w:tcW w:w="2268" w:type="dxa"/>
            <w:gridSpan w:val="2"/>
            <w:vMerge w:val="continue"/>
            <w:tcBorders>
              <w:top w:val="nil"/>
              <w:left w:val="nil"/>
            </w:tcBorders>
            <w:vAlign w:val="top"/>
          </w:tcPr>
          <w:p w14:paraId="510CECC4">
            <w:pPr>
              <w:rPr>
                <w:rFonts w:ascii="Arial"/>
                <w:sz w:val="21"/>
              </w:rPr>
            </w:pPr>
          </w:p>
        </w:tc>
        <w:tc>
          <w:tcPr>
            <w:tcW w:w="1296" w:type="dxa"/>
            <w:vMerge w:val="continue"/>
            <w:tcBorders>
              <w:top w:val="nil"/>
            </w:tcBorders>
            <w:vAlign w:val="top"/>
          </w:tcPr>
          <w:p w14:paraId="1A5DD252">
            <w:pPr>
              <w:rPr>
                <w:rFonts w:ascii="Arial"/>
                <w:sz w:val="21"/>
              </w:rPr>
            </w:pPr>
          </w:p>
        </w:tc>
        <w:tc>
          <w:tcPr>
            <w:tcW w:w="1338" w:type="dxa"/>
            <w:vAlign w:val="top"/>
          </w:tcPr>
          <w:p w14:paraId="42FD8A1B">
            <w:pPr>
              <w:pStyle w:val="6"/>
              <w:spacing w:before="190" w:line="221" w:lineRule="auto"/>
              <w:ind w:left="113"/>
              <w:rPr>
                <w:sz w:val="20"/>
                <w:szCs w:val="20"/>
              </w:rPr>
            </w:pPr>
            <w:r>
              <w:rPr>
                <w:spacing w:val="6"/>
                <w:sz w:val="20"/>
                <w:szCs w:val="20"/>
              </w:rPr>
              <w:t>速率（</w:t>
            </w:r>
            <w:r>
              <w:rPr>
                <w:rFonts w:ascii="Times New Roman" w:hAnsi="Times New Roman" w:eastAsia="Times New Roman" w:cs="Times New Roman"/>
                <w:sz w:val="20"/>
                <w:szCs w:val="20"/>
              </w:rPr>
              <w:t>kg</w:t>
            </w:r>
            <w:r>
              <w:rPr>
                <w:rFonts w:ascii="Times New Roman" w:hAnsi="Times New Roman" w:eastAsia="Times New Roman" w:cs="Times New Roman"/>
                <w:spacing w:val="6"/>
                <w:sz w:val="20"/>
                <w:szCs w:val="20"/>
              </w:rPr>
              <w:t>/h</w:t>
            </w:r>
            <w:r>
              <w:rPr>
                <w:spacing w:val="6"/>
                <w:sz w:val="20"/>
                <w:szCs w:val="20"/>
              </w:rPr>
              <w:t>）</w:t>
            </w:r>
          </w:p>
        </w:tc>
        <w:tc>
          <w:tcPr>
            <w:tcW w:w="1070" w:type="dxa"/>
            <w:vAlign w:val="top"/>
          </w:tcPr>
          <w:p w14:paraId="475EFADD">
            <w:pPr>
              <w:pStyle w:val="6"/>
              <w:spacing w:before="60" w:line="234" w:lineRule="auto"/>
              <w:ind w:left="236" w:right="218" w:hanging="10"/>
              <w:rPr>
                <w:sz w:val="20"/>
                <w:szCs w:val="20"/>
              </w:rPr>
            </w:pPr>
            <w:r>
              <w:rPr>
                <w:spacing w:val="6"/>
                <w:sz w:val="20"/>
                <w:szCs w:val="20"/>
              </w:rPr>
              <w:t>产生量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946" w:type="dxa"/>
            <w:vAlign w:val="top"/>
          </w:tcPr>
          <w:p w14:paraId="34F7BEC6">
            <w:pPr>
              <w:pStyle w:val="6"/>
              <w:spacing w:before="60" w:line="234" w:lineRule="auto"/>
              <w:ind w:left="173" w:right="156" w:hanging="6"/>
              <w:rPr>
                <w:sz w:val="20"/>
                <w:szCs w:val="20"/>
              </w:rPr>
            </w:pPr>
            <w:r>
              <w:rPr>
                <w:spacing w:val="5"/>
                <w:sz w:val="20"/>
                <w:szCs w:val="20"/>
              </w:rPr>
              <w:t>去除量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1340" w:type="dxa"/>
            <w:vAlign w:val="top"/>
          </w:tcPr>
          <w:p w14:paraId="0542298A">
            <w:pPr>
              <w:pStyle w:val="6"/>
              <w:spacing w:before="60" w:line="230" w:lineRule="auto"/>
              <w:ind w:left="197" w:right="196" w:firstLine="59"/>
              <w:rPr>
                <w:sz w:val="20"/>
                <w:szCs w:val="20"/>
              </w:rPr>
            </w:pPr>
            <w:r>
              <w:rPr>
                <w:spacing w:val="7"/>
                <w:sz w:val="20"/>
                <w:szCs w:val="20"/>
              </w:rPr>
              <w:t>排放浓度</w:t>
            </w:r>
            <w:r>
              <w:rPr>
                <w:sz w:val="20"/>
                <w:szCs w:val="20"/>
              </w:rPr>
              <w:t xml:space="preserve"> </w:t>
            </w:r>
            <w:r>
              <w:rPr>
                <w:spacing w:val="1"/>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1"/>
                <w:sz w:val="20"/>
                <w:szCs w:val="20"/>
              </w:rPr>
              <w:t>/m</w:t>
            </w:r>
            <w:r>
              <w:rPr>
                <w:rFonts w:ascii="Times New Roman" w:hAnsi="Times New Roman" w:eastAsia="Times New Roman" w:cs="Times New Roman"/>
                <w:spacing w:val="1"/>
                <w:position w:val="6"/>
                <w:sz w:val="13"/>
                <w:szCs w:val="13"/>
              </w:rPr>
              <w:t>3</w:t>
            </w:r>
            <w:r>
              <w:rPr>
                <w:spacing w:val="1"/>
                <w:sz w:val="20"/>
                <w:szCs w:val="20"/>
              </w:rPr>
              <w:t>）</w:t>
            </w:r>
          </w:p>
        </w:tc>
        <w:tc>
          <w:tcPr>
            <w:tcW w:w="965" w:type="dxa"/>
            <w:tcBorders>
              <w:right w:val="nil"/>
            </w:tcBorders>
            <w:vAlign w:val="top"/>
          </w:tcPr>
          <w:p w14:paraId="3842E1C6">
            <w:pPr>
              <w:pStyle w:val="6"/>
              <w:spacing w:before="60" w:line="234" w:lineRule="auto"/>
              <w:ind w:left="182" w:right="169" w:hanging="10"/>
              <w:rPr>
                <w:sz w:val="20"/>
                <w:szCs w:val="20"/>
              </w:rPr>
            </w:pPr>
            <w:r>
              <w:rPr>
                <w:spacing w:val="6"/>
                <w:sz w:val="20"/>
                <w:szCs w:val="20"/>
              </w:rPr>
              <w:t>排放量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r>
      <w:tr w14:paraId="47FE85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96" w:type="dxa"/>
            <w:vMerge w:val="restart"/>
            <w:tcBorders>
              <w:left w:val="nil"/>
              <w:bottom w:val="nil"/>
            </w:tcBorders>
            <w:vAlign w:val="top"/>
          </w:tcPr>
          <w:p w14:paraId="0FF5985B">
            <w:pPr>
              <w:spacing w:line="255" w:lineRule="auto"/>
              <w:rPr>
                <w:rFonts w:ascii="Arial"/>
                <w:sz w:val="21"/>
              </w:rPr>
            </w:pPr>
          </w:p>
          <w:p w14:paraId="22B46E52">
            <w:pPr>
              <w:pStyle w:val="6"/>
              <w:spacing w:before="65" w:line="227" w:lineRule="auto"/>
              <w:ind w:left="144"/>
              <w:rPr>
                <w:sz w:val="20"/>
                <w:szCs w:val="20"/>
              </w:rPr>
            </w:pPr>
            <w:r>
              <w:rPr>
                <w:spacing w:val="5"/>
                <w:sz w:val="20"/>
                <w:szCs w:val="20"/>
              </w:rPr>
              <w:t>烧结</w:t>
            </w:r>
          </w:p>
          <w:p w14:paraId="0C270605">
            <w:pPr>
              <w:pStyle w:val="6"/>
              <w:spacing w:before="13" w:line="227" w:lineRule="auto"/>
              <w:ind w:left="144"/>
              <w:rPr>
                <w:sz w:val="20"/>
                <w:szCs w:val="20"/>
              </w:rPr>
            </w:pPr>
            <w:r>
              <w:rPr>
                <w:spacing w:val="5"/>
                <w:sz w:val="20"/>
                <w:szCs w:val="20"/>
              </w:rPr>
              <w:t>机机</w:t>
            </w:r>
          </w:p>
          <w:p w14:paraId="7CA1E95A">
            <w:pPr>
              <w:pStyle w:val="6"/>
              <w:spacing w:before="12" w:line="228" w:lineRule="auto"/>
              <w:ind w:left="254"/>
              <w:rPr>
                <w:sz w:val="20"/>
                <w:szCs w:val="20"/>
              </w:rPr>
            </w:pPr>
            <w:r>
              <w:rPr>
                <w:sz w:val="20"/>
                <w:szCs w:val="20"/>
              </w:rPr>
              <w:t>头</w:t>
            </w:r>
          </w:p>
        </w:tc>
        <w:tc>
          <w:tcPr>
            <w:tcW w:w="1572" w:type="dxa"/>
            <w:vAlign w:val="top"/>
          </w:tcPr>
          <w:p w14:paraId="45F869CC">
            <w:pPr>
              <w:pStyle w:val="6"/>
              <w:spacing w:before="70" w:line="228" w:lineRule="auto"/>
              <w:ind w:left="475"/>
              <w:rPr>
                <w:sz w:val="20"/>
                <w:szCs w:val="20"/>
              </w:rPr>
            </w:pPr>
            <w:r>
              <w:rPr>
                <w:spacing w:val="7"/>
                <w:sz w:val="20"/>
                <w:szCs w:val="20"/>
              </w:rPr>
              <w:t>颗粒物</w:t>
            </w:r>
          </w:p>
        </w:tc>
        <w:tc>
          <w:tcPr>
            <w:tcW w:w="1296" w:type="dxa"/>
            <w:vMerge w:val="restart"/>
            <w:tcBorders>
              <w:bottom w:val="nil"/>
            </w:tcBorders>
            <w:vAlign w:val="top"/>
          </w:tcPr>
          <w:p w14:paraId="770669D3">
            <w:pPr>
              <w:spacing w:line="278" w:lineRule="auto"/>
              <w:rPr>
                <w:rFonts w:ascii="Arial"/>
                <w:sz w:val="21"/>
              </w:rPr>
            </w:pPr>
          </w:p>
          <w:p w14:paraId="1A133B63">
            <w:pPr>
              <w:spacing w:line="278" w:lineRule="auto"/>
              <w:rPr>
                <w:rFonts w:ascii="Arial"/>
                <w:sz w:val="21"/>
              </w:rPr>
            </w:pPr>
          </w:p>
          <w:p w14:paraId="63F45115">
            <w:pPr>
              <w:spacing w:before="57" w:line="195" w:lineRule="auto"/>
              <w:ind w:left="353"/>
              <w:rPr>
                <w:rFonts w:ascii="Times New Roman" w:hAnsi="Times New Roman" w:eastAsia="Times New Roman" w:cs="Times New Roman"/>
                <w:sz w:val="20"/>
                <w:szCs w:val="20"/>
              </w:rPr>
            </w:pPr>
            <w:r>
              <w:rPr>
                <w:rFonts w:ascii="Times New Roman" w:hAnsi="Times New Roman" w:eastAsia="Times New Roman" w:cs="Times New Roman"/>
                <w:sz w:val="20"/>
                <w:szCs w:val="20"/>
              </w:rPr>
              <w:t>180000</w:t>
            </w:r>
          </w:p>
        </w:tc>
        <w:tc>
          <w:tcPr>
            <w:tcW w:w="1338" w:type="dxa"/>
            <w:vAlign w:val="top"/>
          </w:tcPr>
          <w:p w14:paraId="66022F7A">
            <w:pPr>
              <w:spacing w:before="106" w:line="195" w:lineRule="auto"/>
              <w:ind w:left="3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343.84</w:t>
            </w:r>
          </w:p>
        </w:tc>
        <w:tc>
          <w:tcPr>
            <w:tcW w:w="1070" w:type="dxa"/>
            <w:vAlign w:val="top"/>
          </w:tcPr>
          <w:p w14:paraId="50467908">
            <w:pPr>
              <w:spacing w:before="106" w:line="195" w:lineRule="auto"/>
              <w:ind w:left="19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2750.69</w:t>
            </w:r>
          </w:p>
        </w:tc>
        <w:tc>
          <w:tcPr>
            <w:tcW w:w="946" w:type="dxa"/>
            <w:vAlign w:val="top"/>
          </w:tcPr>
          <w:p w14:paraId="59852E04">
            <w:pPr>
              <w:spacing w:before="106" w:line="195" w:lineRule="auto"/>
              <w:ind w:left="13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2723.18</w:t>
            </w:r>
          </w:p>
        </w:tc>
        <w:tc>
          <w:tcPr>
            <w:tcW w:w="1340" w:type="dxa"/>
            <w:vAlign w:val="top"/>
          </w:tcPr>
          <w:p w14:paraId="75742AEF">
            <w:pPr>
              <w:spacing w:before="106" w:line="195" w:lineRule="auto"/>
              <w:ind w:left="4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19.10</w:t>
            </w:r>
          </w:p>
        </w:tc>
        <w:tc>
          <w:tcPr>
            <w:tcW w:w="965" w:type="dxa"/>
            <w:tcBorders>
              <w:right w:val="nil"/>
            </w:tcBorders>
            <w:vAlign w:val="top"/>
          </w:tcPr>
          <w:p w14:paraId="58058548">
            <w:pPr>
              <w:spacing w:before="106" w:line="195" w:lineRule="auto"/>
              <w:ind w:left="2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27.51</w:t>
            </w:r>
          </w:p>
        </w:tc>
      </w:tr>
      <w:tr w14:paraId="70A812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96" w:type="dxa"/>
            <w:vMerge w:val="continue"/>
            <w:tcBorders>
              <w:top w:val="nil"/>
              <w:left w:val="nil"/>
              <w:bottom w:val="nil"/>
            </w:tcBorders>
            <w:vAlign w:val="top"/>
          </w:tcPr>
          <w:p w14:paraId="2D5095DB">
            <w:pPr>
              <w:rPr>
                <w:rFonts w:ascii="Arial"/>
                <w:sz w:val="21"/>
              </w:rPr>
            </w:pPr>
          </w:p>
        </w:tc>
        <w:tc>
          <w:tcPr>
            <w:tcW w:w="1572" w:type="dxa"/>
            <w:vAlign w:val="top"/>
          </w:tcPr>
          <w:p w14:paraId="2FE71C88">
            <w:pPr>
              <w:pStyle w:val="6"/>
              <w:spacing w:before="73" w:line="229" w:lineRule="auto"/>
              <w:ind w:left="162"/>
              <w:rPr>
                <w:sz w:val="20"/>
                <w:szCs w:val="20"/>
              </w:rPr>
            </w:pPr>
            <w:r>
              <w:rPr>
                <w:spacing w:val="8"/>
                <w:sz w:val="20"/>
                <w:szCs w:val="20"/>
              </w:rPr>
              <w:t>锰及其化合物</w:t>
            </w:r>
          </w:p>
        </w:tc>
        <w:tc>
          <w:tcPr>
            <w:tcW w:w="1296" w:type="dxa"/>
            <w:vMerge w:val="continue"/>
            <w:tcBorders>
              <w:top w:val="nil"/>
              <w:bottom w:val="nil"/>
            </w:tcBorders>
            <w:vAlign w:val="top"/>
          </w:tcPr>
          <w:p w14:paraId="5E3F4D2A">
            <w:pPr>
              <w:rPr>
                <w:rFonts w:ascii="Arial"/>
                <w:sz w:val="21"/>
              </w:rPr>
            </w:pPr>
          </w:p>
        </w:tc>
        <w:tc>
          <w:tcPr>
            <w:tcW w:w="1338" w:type="dxa"/>
            <w:vAlign w:val="top"/>
          </w:tcPr>
          <w:p w14:paraId="4EEE93F5">
            <w:pPr>
              <w:spacing w:before="107" w:line="195" w:lineRule="auto"/>
              <w:ind w:left="401"/>
              <w:rPr>
                <w:rFonts w:ascii="Times New Roman" w:hAnsi="Times New Roman" w:eastAsia="Times New Roman" w:cs="Times New Roman"/>
                <w:sz w:val="20"/>
                <w:szCs w:val="20"/>
              </w:rPr>
            </w:pPr>
            <w:r>
              <w:rPr>
                <w:rFonts w:ascii="Times New Roman" w:hAnsi="Times New Roman" w:eastAsia="Times New Roman" w:cs="Times New Roman"/>
                <w:sz w:val="20"/>
                <w:szCs w:val="20"/>
              </w:rPr>
              <w:t>122.27</w:t>
            </w:r>
          </w:p>
        </w:tc>
        <w:tc>
          <w:tcPr>
            <w:tcW w:w="1070" w:type="dxa"/>
            <w:vAlign w:val="top"/>
          </w:tcPr>
          <w:p w14:paraId="453D8B35">
            <w:pPr>
              <w:spacing w:before="107"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978.15</w:t>
            </w:r>
          </w:p>
        </w:tc>
        <w:tc>
          <w:tcPr>
            <w:tcW w:w="946" w:type="dxa"/>
            <w:vAlign w:val="top"/>
          </w:tcPr>
          <w:p w14:paraId="4D64E095">
            <w:pPr>
              <w:spacing w:before="107" w:line="195" w:lineRule="auto"/>
              <w:ind w:left="1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968.37</w:t>
            </w:r>
          </w:p>
        </w:tc>
        <w:tc>
          <w:tcPr>
            <w:tcW w:w="1340" w:type="dxa"/>
            <w:vAlign w:val="top"/>
          </w:tcPr>
          <w:p w14:paraId="25F875A5">
            <w:pPr>
              <w:spacing w:before="107" w:line="195" w:lineRule="auto"/>
              <w:ind w:left="4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6.79</w:t>
            </w:r>
          </w:p>
        </w:tc>
        <w:tc>
          <w:tcPr>
            <w:tcW w:w="965" w:type="dxa"/>
            <w:tcBorders>
              <w:right w:val="nil"/>
            </w:tcBorders>
            <w:vAlign w:val="top"/>
          </w:tcPr>
          <w:p w14:paraId="4A76E86F">
            <w:pPr>
              <w:spacing w:before="107" w:line="195" w:lineRule="auto"/>
              <w:ind w:left="30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9.78</w:t>
            </w:r>
          </w:p>
        </w:tc>
      </w:tr>
      <w:tr w14:paraId="017AB2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96" w:type="dxa"/>
            <w:vMerge w:val="continue"/>
            <w:tcBorders>
              <w:top w:val="nil"/>
              <w:left w:val="nil"/>
              <w:bottom w:val="nil"/>
            </w:tcBorders>
            <w:vAlign w:val="top"/>
          </w:tcPr>
          <w:p w14:paraId="4B7C5519">
            <w:pPr>
              <w:rPr>
                <w:rFonts w:ascii="Arial"/>
                <w:sz w:val="21"/>
              </w:rPr>
            </w:pPr>
          </w:p>
        </w:tc>
        <w:tc>
          <w:tcPr>
            <w:tcW w:w="1572" w:type="dxa"/>
            <w:vAlign w:val="top"/>
          </w:tcPr>
          <w:p w14:paraId="7567995A">
            <w:pPr>
              <w:spacing w:before="113" w:line="202" w:lineRule="auto"/>
              <w:ind w:left="628"/>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1296" w:type="dxa"/>
            <w:vMerge w:val="continue"/>
            <w:tcBorders>
              <w:top w:val="nil"/>
              <w:bottom w:val="nil"/>
            </w:tcBorders>
            <w:vAlign w:val="top"/>
          </w:tcPr>
          <w:p w14:paraId="47A2CFCC">
            <w:pPr>
              <w:rPr>
                <w:rFonts w:ascii="Arial"/>
                <w:sz w:val="21"/>
              </w:rPr>
            </w:pPr>
          </w:p>
        </w:tc>
        <w:tc>
          <w:tcPr>
            <w:tcW w:w="1338" w:type="dxa"/>
            <w:vAlign w:val="top"/>
          </w:tcPr>
          <w:p w14:paraId="29DB1264">
            <w:pPr>
              <w:spacing w:before="113" w:line="195"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69.</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3"/>
                <w:sz w:val="20"/>
                <w:szCs w:val="20"/>
              </w:rPr>
              <w:t>11</w:t>
            </w:r>
          </w:p>
        </w:tc>
        <w:tc>
          <w:tcPr>
            <w:tcW w:w="1070" w:type="dxa"/>
            <w:vAlign w:val="top"/>
          </w:tcPr>
          <w:p w14:paraId="32A37A66">
            <w:pPr>
              <w:spacing w:before="113" w:line="195" w:lineRule="auto"/>
              <w:ind w:left="25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552.91</w:t>
            </w:r>
          </w:p>
        </w:tc>
        <w:tc>
          <w:tcPr>
            <w:tcW w:w="946" w:type="dxa"/>
            <w:vAlign w:val="top"/>
          </w:tcPr>
          <w:p w14:paraId="3A786212">
            <w:pPr>
              <w:spacing w:before="113"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486.56</w:t>
            </w:r>
          </w:p>
        </w:tc>
        <w:tc>
          <w:tcPr>
            <w:tcW w:w="1340" w:type="dxa"/>
            <w:vAlign w:val="top"/>
          </w:tcPr>
          <w:p w14:paraId="1E028304">
            <w:pPr>
              <w:spacing w:before="113" w:line="195" w:lineRule="auto"/>
              <w:ind w:left="43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46.08</w:t>
            </w:r>
          </w:p>
        </w:tc>
        <w:tc>
          <w:tcPr>
            <w:tcW w:w="965" w:type="dxa"/>
            <w:tcBorders>
              <w:right w:val="nil"/>
            </w:tcBorders>
            <w:vAlign w:val="top"/>
          </w:tcPr>
          <w:p w14:paraId="75F00D5F">
            <w:pPr>
              <w:spacing w:before="113"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66.35</w:t>
            </w:r>
          </w:p>
        </w:tc>
      </w:tr>
      <w:tr w14:paraId="7EFE9A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696" w:type="dxa"/>
            <w:vMerge w:val="continue"/>
            <w:tcBorders>
              <w:top w:val="nil"/>
              <w:left w:val="nil"/>
            </w:tcBorders>
            <w:vAlign w:val="top"/>
          </w:tcPr>
          <w:p w14:paraId="4E9AF588">
            <w:pPr>
              <w:rPr>
                <w:rFonts w:ascii="Arial"/>
                <w:sz w:val="21"/>
              </w:rPr>
            </w:pPr>
          </w:p>
        </w:tc>
        <w:tc>
          <w:tcPr>
            <w:tcW w:w="1572" w:type="dxa"/>
            <w:vAlign w:val="top"/>
          </w:tcPr>
          <w:p w14:paraId="54E6FF60">
            <w:pPr>
              <w:spacing w:before="115" w:line="195" w:lineRule="auto"/>
              <w:ind w:left="576"/>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NOx</w:t>
            </w:r>
          </w:p>
        </w:tc>
        <w:tc>
          <w:tcPr>
            <w:tcW w:w="1296" w:type="dxa"/>
            <w:vMerge w:val="continue"/>
            <w:tcBorders>
              <w:top w:val="nil"/>
            </w:tcBorders>
            <w:vAlign w:val="top"/>
          </w:tcPr>
          <w:p w14:paraId="59F6F0B3">
            <w:pPr>
              <w:rPr>
                <w:rFonts w:ascii="Arial"/>
                <w:sz w:val="21"/>
              </w:rPr>
            </w:pPr>
          </w:p>
        </w:tc>
        <w:tc>
          <w:tcPr>
            <w:tcW w:w="1338" w:type="dxa"/>
            <w:vAlign w:val="top"/>
          </w:tcPr>
          <w:p w14:paraId="5D7A2D1B">
            <w:pPr>
              <w:spacing w:before="115" w:line="195" w:lineRule="auto"/>
              <w:ind w:left="4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41.53</w:t>
            </w:r>
          </w:p>
        </w:tc>
        <w:tc>
          <w:tcPr>
            <w:tcW w:w="1070" w:type="dxa"/>
            <w:vAlign w:val="top"/>
          </w:tcPr>
          <w:p w14:paraId="3D49FCB5">
            <w:pPr>
              <w:spacing w:before="115"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332.27</w:t>
            </w:r>
          </w:p>
        </w:tc>
        <w:tc>
          <w:tcPr>
            <w:tcW w:w="946" w:type="dxa"/>
            <w:vAlign w:val="top"/>
          </w:tcPr>
          <w:p w14:paraId="78066E12">
            <w:pPr>
              <w:spacing w:before="115" w:line="195" w:lineRule="auto"/>
              <w:ind w:left="425"/>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340" w:type="dxa"/>
            <w:vAlign w:val="top"/>
          </w:tcPr>
          <w:p w14:paraId="5F65F58B">
            <w:pPr>
              <w:spacing w:before="115" w:line="195" w:lineRule="auto"/>
              <w:ind w:left="38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230.81</w:t>
            </w:r>
          </w:p>
        </w:tc>
        <w:tc>
          <w:tcPr>
            <w:tcW w:w="965" w:type="dxa"/>
            <w:tcBorders>
              <w:right w:val="nil"/>
            </w:tcBorders>
            <w:vAlign w:val="top"/>
          </w:tcPr>
          <w:p w14:paraId="5FAD2905">
            <w:pPr>
              <w:spacing w:before="115" w:line="195" w:lineRule="auto"/>
              <w:ind w:left="19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332.37</w:t>
            </w:r>
          </w:p>
        </w:tc>
      </w:tr>
      <w:tr w14:paraId="4A6D2F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9" w:hRule="atLeast"/>
        </w:trPr>
        <w:tc>
          <w:tcPr>
            <w:tcW w:w="696" w:type="dxa"/>
            <w:vMerge w:val="restart"/>
            <w:tcBorders>
              <w:left w:val="nil"/>
              <w:bottom w:val="nil"/>
            </w:tcBorders>
            <w:vAlign w:val="top"/>
          </w:tcPr>
          <w:p w14:paraId="3A3C4B2C">
            <w:pPr>
              <w:pStyle w:val="6"/>
              <w:spacing w:before="49" w:line="227" w:lineRule="auto"/>
              <w:ind w:left="144"/>
              <w:rPr>
                <w:sz w:val="20"/>
                <w:szCs w:val="20"/>
              </w:rPr>
            </w:pPr>
            <w:r>
              <w:rPr>
                <w:spacing w:val="5"/>
                <w:sz w:val="20"/>
                <w:szCs w:val="20"/>
              </w:rPr>
              <w:t>烧结</w:t>
            </w:r>
          </w:p>
          <w:p w14:paraId="3BE72A16">
            <w:pPr>
              <w:pStyle w:val="6"/>
              <w:spacing w:before="15" w:line="227" w:lineRule="auto"/>
              <w:ind w:left="144"/>
              <w:rPr>
                <w:sz w:val="20"/>
                <w:szCs w:val="20"/>
              </w:rPr>
            </w:pPr>
            <w:r>
              <w:rPr>
                <w:spacing w:val="5"/>
                <w:sz w:val="20"/>
                <w:szCs w:val="20"/>
              </w:rPr>
              <w:t>机机</w:t>
            </w:r>
          </w:p>
          <w:p w14:paraId="55AD8A20">
            <w:pPr>
              <w:pStyle w:val="6"/>
              <w:spacing w:before="13" w:line="209" w:lineRule="auto"/>
              <w:ind w:left="251"/>
              <w:rPr>
                <w:sz w:val="20"/>
                <w:szCs w:val="20"/>
              </w:rPr>
            </w:pPr>
            <w:r>
              <w:rPr>
                <w:sz w:val="20"/>
                <w:szCs w:val="20"/>
              </w:rPr>
              <w:t>尾</w:t>
            </w:r>
          </w:p>
        </w:tc>
        <w:tc>
          <w:tcPr>
            <w:tcW w:w="1572" w:type="dxa"/>
            <w:vAlign w:val="top"/>
          </w:tcPr>
          <w:p w14:paraId="1ED8B33E">
            <w:pPr>
              <w:pStyle w:val="6"/>
              <w:spacing w:before="112" w:line="228" w:lineRule="auto"/>
              <w:ind w:left="475"/>
              <w:rPr>
                <w:sz w:val="20"/>
                <w:szCs w:val="20"/>
              </w:rPr>
            </w:pPr>
            <w:r>
              <w:rPr>
                <w:spacing w:val="7"/>
                <w:sz w:val="20"/>
                <w:szCs w:val="20"/>
              </w:rPr>
              <w:t>颗粒物</w:t>
            </w:r>
          </w:p>
        </w:tc>
        <w:tc>
          <w:tcPr>
            <w:tcW w:w="1296" w:type="dxa"/>
            <w:vMerge w:val="restart"/>
            <w:tcBorders>
              <w:bottom w:val="nil"/>
            </w:tcBorders>
            <w:vAlign w:val="top"/>
          </w:tcPr>
          <w:p w14:paraId="62CE2BD4">
            <w:pPr>
              <w:spacing w:line="287" w:lineRule="auto"/>
              <w:rPr>
                <w:rFonts w:ascii="Arial"/>
                <w:sz w:val="21"/>
              </w:rPr>
            </w:pPr>
          </w:p>
          <w:p w14:paraId="3FA0FD14">
            <w:pPr>
              <w:spacing w:before="58" w:line="195" w:lineRule="auto"/>
              <w:ind w:left="353"/>
              <w:rPr>
                <w:rFonts w:ascii="Times New Roman" w:hAnsi="Times New Roman" w:eastAsia="Times New Roman" w:cs="Times New Roman"/>
                <w:sz w:val="20"/>
                <w:szCs w:val="20"/>
              </w:rPr>
            </w:pPr>
            <w:r>
              <w:rPr>
                <w:rFonts w:ascii="Times New Roman" w:hAnsi="Times New Roman" w:eastAsia="Times New Roman" w:cs="Times New Roman"/>
                <w:sz w:val="20"/>
                <w:szCs w:val="20"/>
              </w:rPr>
              <w:t>170000</w:t>
            </w:r>
          </w:p>
        </w:tc>
        <w:tc>
          <w:tcPr>
            <w:tcW w:w="1338" w:type="dxa"/>
            <w:vAlign w:val="top"/>
          </w:tcPr>
          <w:p w14:paraId="6E6C887E">
            <w:pPr>
              <w:spacing w:before="147" w:line="195" w:lineRule="auto"/>
              <w:ind w:left="3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294.42</w:t>
            </w:r>
          </w:p>
        </w:tc>
        <w:tc>
          <w:tcPr>
            <w:tcW w:w="1070" w:type="dxa"/>
            <w:vAlign w:val="top"/>
          </w:tcPr>
          <w:p w14:paraId="10C9B8A4">
            <w:pPr>
              <w:spacing w:before="147" w:line="195" w:lineRule="auto"/>
              <w:ind w:left="19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2355.33</w:t>
            </w:r>
          </w:p>
        </w:tc>
        <w:tc>
          <w:tcPr>
            <w:tcW w:w="946" w:type="dxa"/>
            <w:vAlign w:val="top"/>
          </w:tcPr>
          <w:p w14:paraId="61366C5F">
            <w:pPr>
              <w:spacing w:before="147" w:line="195" w:lineRule="auto"/>
              <w:ind w:left="13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2331.78</w:t>
            </w:r>
          </w:p>
        </w:tc>
        <w:tc>
          <w:tcPr>
            <w:tcW w:w="1340" w:type="dxa"/>
            <w:vAlign w:val="top"/>
          </w:tcPr>
          <w:p w14:paraId="77730C97">
            <w:pPr>
              <w:spacing w:before="147" w:line="195" w:lineRule="auto"/>
              <w:ind w:left="4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17.32</w:t>
            </w:r>
          </w:p>
        </w:tc>
        <w:tc>
          <w:tcPr>
            <w:tcW w:w="965" w:type="dxa"/>
            <w:tcBorders>
              <w:right w:val="nil"/>
            </w:tcBorders>
            <w:vAlign w:val="top"/>
          </w:tcPr>
          <w:p w14:paraId="4DE27D8A">
            <w:pPr>
              <w:spacing w:before="147" w:line="195" w:lineRule="auto"/>
              <w:ind w:left="2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23.55</w:t>
            </w:r>
          </w:p>
        </w:tc>
      </w:tr>
      <w:tr w14:paraId="60D339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696" w:type="dxa"/>
            <w:vMerge w:val="continue"/>
            <w:tcBorders>
              <w:top w:val="nil"/>
              <w:left w:val="nil"/>
              <w:bottom w:val="single" w:color="000000" w:sz="10" w:space="0"/>
            </w:tcBorders>
            <w:vAlign w:val="top"/>
          </w:tcPr>
          <w:p w14:paraId="2C63FA1F">
            <w:pPr>
              <w:rPr>
                <w:rFonts w:ascii="Arial"/>
                <w:sz w:val="21"/>
              </w:rPr>
            </w:pPr>
          </w:p>
        </w:tc>
        <w:tc>
          <w:tcPr>
            <w:tcW w:w="1572" w:type="dxa"/>
            <w:tcBorders>
              <w:bottom w:val="single" w:color="000000" w:sz="10" w:space="0"/>
            </w:tcBorders>
            <w:vAlign w:val="top"/>
          </w:tcPr>
          <w:p w14:paraId="1648DEAB">
            <w:pPr>
              <w:pStyle w:val="6"/>
              <w:spacing w:before="113" w:line="229" w:lineRule="auto"/>
              <w:ind w:left="162"/>
              <w:rPr>
                <w:sz w:val="20"/>
                <w:szCs w:val="20"/>
              </w:rPr>
            </w:pPr>
            <w:r>
              <w:rPr>
                <w:spacing w:val="8"/>
                <w:sz w:val="20"/>
                <w:szCs w:val="20"/>
              </w:rPr>
              <w:t>锰及其化合物</w:t>
            </w:r>
          </w:p>
        </w:tc>
        <w:tc>
          <w:tcPr>
            <w:tcW w:w="1296" w:type="dxa"/>
            <w:vMerge w:val="continue"/>
            <w:tcBorders>
              <w:top w:val="nil"/>
              <w:bottom w:val="single" w:color="000000" w:sz="10" w:space="0"/>
            </w:tcBorders>
            <w:vAlign w:val="top"/>
          </w:tcPr>
          <w:p w14:paraId="03F25DB7">
            <w:pPr>
              <w:rPr>
                <w:rFonts w:ascii="Arial"/>
                <w:sz w:val="21"/>
              </w:rPr>
            </w:pPr>
          </w:p>
        </w:tc>
        <w:tc>
          <w:tcPr>
            <w:tcW w:w="1338" w:type="dxa"/>
            <w:tcBorders>
              <w:bottom w:val="single" w:color="000000" w:sz="10" w:space="0"/>
            </w:tcBorders>
            <w:vAlign w:val="top"/>
          </w:tcPr>
          <w:p w14:paraId="433EDC0E">
            <w:pPr>
              <w:spacing w:before="147" w:line="195"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53.00</w:t>
            </w:r>
          </w:p>
        </w:tc>
        <w:tc>
          <w:tcPr>
            <w:tcW w:w="1070" w:type="dxa"/>
            <w:tcBorders>
              <w:bottom w:val="single" w:color="000000" w:sz="10" w:space="0"/>
            </w:tcBorders>
            <w:vAlign w:val="top"/>
          </w:tcPr>
          <w:p w14:paraId="2552F17F">
            <w:pPr>
              <w:spacing w:before="147" w:line="195" w:lineRule="auto"/>
              <w:ind w:left="2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423.96</w:t>
            </w:r>
          </w:p>
        </w:tc>
        <w:tc>
          <w:tcPr>
            <w:tcW w:w="946" w:type="dxa"/>
            <w:tcBorders>
              <w:bottom w:val="single" w:color="000000" w:sz="10" w:space="0"/>
            </w:tcBorders>
            <w:vAlign w:val="top"/>
          </w:tcPr>
          <w:p w14:paraId="1A331971">
            <w:pPr>
              <w:spacing w:before="147"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419.72</w:t>
            </w:r>
          </w:p>
        </w:tc>
        <w:tc>
          <w:tcPr>
            <w:tcW w:w="1340" w:type="dxa"/>
            <w:tcBorders>
              <w:bottom w:val="single" w:color="000000" w:sz="10" w:space="0"/>
            </w:tcBorders>
            <w:vAlign w:val="top"/>
          </w:tcPr>
          <w:p w14:paraId="28846AE8">
            <w:pPr>
              <w:spacing w:before="147" w:line="195" w:lineRule="auto"/>
              <w:ind w:left="49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3.</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965" w:type="dxa"/>
            <w:tcBorders>
              <w:bottom w:val="single" w:color="000000" w:sz="10" w:space="0"/>
              <w:right w:val="nil"/>
            </w:tcBorders>
            <w:vAlign w:val="top"/>
          </w:tcPr>
          <w:p w14:paraId="3C7FEEC0">
            <w:pPr>
              <w:spacing w:before="147"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4.24</w:t>
            </w:r>
          </w:p>
        </w:tc>
      </w:tr>
    </w:tbl>
    <w:p w14:paraId="06C20008">
      <w:pPr>
        <w:spacing w:before="119" w:line="219" w:lineRule="auto"/>
        <w:ind w:left="607"/>
        <w:rPr>
          <w:rFonts w:ascii="宋体" w:hAnsi="宋体" w:eastAsia="宋体" w:cs="宋体"/>
          <w:sz w:val="24"/>
          <w:szCs w:val="24"/>
        </w:rPr>
      </w:pPr>
      <w:r>
        <w:rPr>
          <w:rFonts w:ascii="宋体" w:hAnsi="宋体" w:eastAsia="宋体" w:cs="宋体"/>
          <w:b/>
          <w:bCs/>
          <w:spacing w:val="-2"/>
          <w:sz w:val="24"/>
          <w:szCs w:val="24"/>
        </w:rPr>
        <w:t>（</w:t>
      </w:r>
      <w:r>
        <w:rPr>
          <w:rFonts w:ascii="Times New Roman" w:hAnsi="Times New Roman" w:eastAsia="Times New Roman" w:cs="Times New Roman"/>
          <w:b/>
          <w:bCs/>
          <w:spacing w:val="-2"/>
          <w:sz w:val="24"/>
          <w:szCs w:val="24"/>
        </w:rPr>
        <w:t>6</w:t>
      </w:r>
      <w:r>
        <w:rPr>
          <w:rFonts w:ascii="宋体" w:hAnsi="宋体" w:eastAsia="宋体" w:cs="宋体"/>
          <w:b/>
          <w:bCs/>
          <w:spacing w:val="-2"/>
          <w:sz w:val="24"/>
          <w:szCs w:val="24"/>
        </w:rPr>
        <w:t>）锰硅电炉配料粉尘（</w:t>
      </w:r>
      <w:r>
        <w:rPr>
          <w:rFonts w:ascii="Times New Roman" w:hAnsi="Times New Roman" w:eastAsia="Times New Roman" w:cs="Times New Roman"/>
          <w:b/>
          <w:bCs/>
          <w:spacing w:val="-2"/>
          <w:sz w:val="24"/>
          <w:szCs w:val="24"/>
        </w:rPr>
        <w:t>G</w:t>
      </w:r>
      <w:r>
        <w:rPr>
          <w:rFonts w:ascii="Times New Roman" w:hAnsi="Times New Roman" w:eastAsia="Times New Roman" w:cs="Times New Roman"/>
          <w:b/>
          <w:bCs/>
          <w:spacing w:val="-2"/>
          <w:sz w:val="15"/>
          <w:szCs w:val="15"/>
        </w:rPr>
        <w:t>1-8</w:t>
      </w:r>
      <w:r>
        <w:rPr>
          <w:rFonts w:ascii="宋体" w:hAnsi="宋体" w:eastAsia="宋体" w:cs="宋体"/>
          <w:b/>
          <w:bCs/>
          <w:spacing w:val="-2"/>
          <w:sz w:val="24"/>
          <w:szCs w:val="24"/>
        </w:rPr>
        <w:t>）</w:t>
      </w:r>
    </w:p>
    <w:p w14:paraId="60C02066">
      <w:pPr>
        <w:spacing w:before="193" w:line="354" w:lineRule="auto"/>
        <w:ind w:left="116" w:right="107" w:firstLine="508"/>
        <w:rPr>
          <w:rFonts w:ascii="宋体" w:hAnsi="宋体" w:eastAsia="宋体" w:cs="宋体"/>
          <w:sz w:val="24"/>
          <w:szCs w:val="24"/>
        </w:rPr>
      </w:pPr>
      <w:r>
        <w:rPr>
          <w:rFonts w:ascii="宋体" w:hAnsi="宋体" w:eastAsia="宋体" w:cs="宋体"/>
          <w:spacing w:val="-4"/>
          <w:sz w:val="24"/>
          <w:szCs w:val="24"/>
        </w:rPr>
        <w:t>电炉配料站料斗装料、下料口及转载点会产生粉尘，参照《第二次全国污染源普查</w:t>
      </w:r>
      <w:r>
        <w:rPr>
          <w:rFonts w:ascii="宋体" w:hAnsi="宋体" w:eastAsia="宋体" w:cs="宋体"/>
          <w:spacing w:val="2"/>
          <w:sz w:val="24"/>
          <w:szCs w:val="24"/>
        </w:rPr>
        <w:t xml:space="preserve"> </w:t>
      </w:r>
      <w:r>
        <w:rPr>
          <w:rFonts w:ascii="宋体" w:hAnsi="宋体" w:eastAsia="宋体" w:cs="宋体"/>
          <w:spacing w:val="-3"/>
          <w:sz w:val="24"/>
          <w:szCs w:val="24"/>
        </w:rPr>
        <w:t>产排污核算系数手册（试用版）》，铁合金行业无组织排放产污系数中，原料破碎、转</w:t>
      </w:r>
    </w:p>
    <w:p w14:paraId="29F95D0E">
      <w:pPr>
        <w:spacing w:line="354" w:lineRule="auto"/>
        <w:rPr>
          <w:rFonts w:ascii="宋体" w:hAnsi="宋体" w:eastAsia="宋体" w:cs="宋体"/>
          <w:sz w:val="24"/>
          <w:szCs w:val="24"/>
        </w:rPr>
        <w:sectPr>
          <w:footerReference r:id="rId171" w:type="default"/>
          <w:pgSz w:w="11850" w:h="16781"/>
          <w:pgMar w:top="1190" w:right="1309" w:bottom="1013" w:left="1309" w:header="882" w:footer="850" w:gutter="0"/>
          <w:cols w:space="720" w:num="1"/>
        </w:sectPr>
      </w:pPr>
    </w:p>
    <w:p w14:paraId="416A307A">
      <w:pPr>
        <w:pStyle w:val="2"/>
        <w:spacing w:line="265" w:lineRule="auto"/>
      </w:pPr>
      <w:r>
        <w:pict>
          <v:shape id="_x0000_s1205" o:spid="_x0000_s1205" style="position:absolute;left:0pt;margin-left:5.4pt;margin-top:0.75pt;height:0.75pt;width:450.75pt;z-index:251864064;mso-width-relative:page;mso-height-relative:page;" fillcolor="#000000" filled="t" stroked="f" coordsize="9015,15" path="m0,0l9014,0,9014,14,0,14,0,0xe">
            <v:path/>
            <v:fill on="t" focussize="0,0"/>
            <v:stroke on="f"/>
            <v:imagedata o:title=""/>
            <o:lock v:ext="edit"/>
          </v:shape>
        </w:pict>
      </w:r>
    </w:p>
    <w:p w14:paraId="2225C517">
      <w:pPr>
        <w:spacing w:before="78" w:line="342" w:lineRule="auto"/>
        <w:ind w:left="135" w:right="203" w:hanging="19"/>
        <w:rPr>
          <w:rFonts w:ascii="宋体" w:hAnsi="宋体" w:eastAsia="宋体" w:cs="宋体"/>
          <w:sz w:val="24"/>
          <w:szCs w:val="24"/>
        </w:rPr>
      </w:pPr>
      <w:r>
        <w:rPr>
          <w:rFonts w:ascii="宋体" w:hAnsi="宋体" w:eastAsia="宋体" w:cs="宋体"/>
          <w:spacing w:val="-1"/>
          <w:sz w:val="24"/>
          <w:szCs w:val="24"/>
        </w:rPr>
        <w:t>运、配料粉尘的产生系数为优级</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0.786kg/t-</w:t>
      </w:r>
      <w:r>
        <w:rPr>
          <w:rFonts w:ascii="宋体" w:hAnsi="宋体" w:eastAsia="宋体" w:cs="宋体"/>
          <w:spacing w:val="-1"/>
          <w:sz w:val="24"/>
          <w:szCs w:val="24"/>
        </w:rPr>
        <w:t>产品、中级</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1.51kg/t-</w:t>
      </w:r>
      <w:r>
        <w:rPr>
          <w:rFonts w:ascii="宋体" w:hAnsi="宋体" w:eastAsia="宋体" w:cs="宋体"/>
          <w:spacing w:val="-1"/>
          <w:sz w:val="24"/>
          <w:szCs w:val="24"/>
        </w:rPr>
        <w:t>产品、差级</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2.30kg/t-</w:t>
      </w:r>
      <w:r>
        <w:rPr>
          <w:rFonts w:ascii="宋体" w:hAnsi="宋体" w:eastAsia="宋体" w:cs="宋体"/>
          <w:spacing w:val="-1"/>
          <w:sz w:val="24"/>
          <w:szCs w:val="24"/>
        </w:rPr>
        <w:t>产</w:t>
      </w:r>
      <w:r>
        <w:rPr>
          <w:rFonts w:ascii="宋体" w:hAnsi="宋体" w:eastAsia="宋体" w:cs="宋体"/>
          <w:sz w:val="24"/>
          <w:szCs w:val="24"/>
        </w:rPr>
        <w:t xml:space="preserve"> </w:t>
      </w:r>
      <w:r>
        <w:rPr>
          <w:rFonts w:ascii="宋体" w:hAnsi="宋体" w:eastAsia="宋体" w:cs="宋体"/>
          <w:spacing w:val="-1"/>
          <w:sz w:val="24"/>
          <w:szCs w:val="24"/>
        </w:rPr>
        <w:t>品。电炉原料为成品料，无需破碎，皮带转运为半封闭，故配料粉尘产生量取下限</w:t>
      </w:r>
    </w:p>
    <w:p w14:paraId="0CD724CC">
      <w:pPr>
        <w:spacing w:before="65" w:line="210" w:lineRule="auto"/>
        <w:ind w:left="115"/>
        <w:rPr>
          <w:rFonts w:ascii="宋体" w:hAnsi="宋体" w:eastAsia="宋体" w:cs="宋体"/>
          <w:sz w:val="24"/>
          <w:szCs w:val="24"/>
        </w:rPr>
      </w:pPr>
      <w:r>
        <w:rPr>
          <w:rFonts w:ascii="Times New Roman" w:hAnsi="Times New Roman" w:eastAsia="Times New Roman" w:cs="Times New Roman"/>
          <w:spacing w:val="-1"/>
          <w:sz w:val="24"/>
          <w:szCs w:val="24"/>
        </w:rPr>
        <w:t>0.786kg/t-</w:t>
      </w:r>
      <w:r>
        <w:rPr>
          <w:rFonts w:ascii="宋体" w:hAnsi="宋体" w:eastAsia="宋体" w:cs="宋体"/>
          <w:spacing w:val="-1"/>
          <w:sz w:val="24"/>
          <w:szCs w:val="24"/>
        </w:rPr>
        <w:t>产品。</w:t>
      </w:r>
    </w:p>
    <w:p w14:paraId="6B9E1102">
      <w:pPr>
        <w:spacing w:before="204" w:line="219" w:lineRule="auto"/>
        <w:ind w:left="607"/>
        <w:rPr>
          <w:rFonts w:ascii="宋体" w:hAnsi="宋体" w:eastAsia="宋体" w:cs="宋体"/>
          <w:sz w:val="24"/>
          <w:szCs w:val="24"/>
        </w:rPr>
      </w:pPr>
      <w:r>
        <w:rPr>
          <w:rFonts w:ascii="宋体" w:hAnsi="宋体" w:eastAsia="宋体" w:cs="宋体"/>
          <w:b/>
          <w:bCs/>
          <w:spacing w:val="-2"/>
          <w:sz w:val="24"/>
          <w:szCs w:val="24"/>
        </w:rPr>
        <w:t>（</w:t>
      </w:r>
      <w:r>
        <w:rPr>
          <w:rFonts w:ascii="Times New Roman" w:hAnsi="Times New Roman" w:eastAsia="Times New Roman" w:cs="Times New Roman"/>
          <w:b/>
          <w:bCs/>
          <w:spacing w:val="-2"/>
          <w:sz w:val="24"/>
          <w:szCs w:val="24"/>
        </w:rPr>
        <w:t>7</w:t>
      </w:r>
      <w:r>
        <w:rPr>
          <w:rFonts w:ascii="宋体" w:hAnsi="宋体" w:eastAsia="宋体" w:cs="宋体"/>
          <w:b/>
          <w:bCs/>
          <w:spacing w:val="-2"/>
          <w:sz w:val="24"/>
          <w:szCs w:val="24"/>
        </w:rPr>
        <w:t>）锰硅电炉加料粉尘（</w:t>
      </w:r>
      <w:r>
        <w:rPr>
          <w:rFonts w:ascii="Times New Roman" w:hAnsi="Times New Roman" w:eastAsia="Times New Roman" w:cs="Times New Roman"/>
          <w:b/>
          <w:bCs/>
          <w:spacing w:val="-2"/>
          <w:sz w:val="24"/>
          <w:szCs w:val="24"/>
        </w:rPr>
        <w:t>G</w:t>
      </w:r>
      <w:r>
        <w:rPr>
          <w:rFonts w:ascii="Times New Roman" w:hAnsi="Times New Roman" w:eastAsia="Times New Roman" w:cs="Times New Roman"/>
          <w:b/>
          <w:bCs/>
          <w:spacing w:val="-2"/>
          <w:sz w:val="15"/>
          <w:szCs w:val="15"/>
        </w:rPr>
        <w:t>1-9</w:t>
      </w:r>
      <w:r>
        <w:rPr>
          <w:rFonts w:ascii="宋体" w:hAnsi="宋体" w:eastAsia="宋体" w:cs="宋体"/>
          <w:b/>
          <w:bCs/>
          <w:spacing w:val="-2"/>
          <w:sz w:val="24"/>
          <w:szCs w:val="24"/>
        </w:rPr>
        <w:t>）</w:t>
      </w:r>
    </w:p>
    <w:p w14:paraId="07BE5C69">
      <w:pPr>
        <w:spacing w:before="189" w:line="354" w:lineRule="auto"/>
        <w:ind w:left="118" w:right="109" w:firstLine="478"/>
        <w:rPr>
          <w:rFonts w:ascii="宋体" w:hAnsi="宋体" w:eastAsia="宋体" w:cs="宋体"/>
          <w:sz w:val="24"/>
          <w:szCs w:val="24"/>
        </w:rPr>
      </w:pPr>
      <w:r>
        <w:rPr>
          <w:rFonts w:ascii="宋体" w:hAnsi="宋体" w:eastAsia="宋体" w:cs="宋体"/>
          <w:spacing w:val="2"/>
          <w:sz w:val="24"/>
          <w:szCs w:val="24"/>
        </w:rPr>
        <w:t>根据铁合金生产要求入炉原料含粉率小于</w:t>
      </w:r>
      <w:r>
        <w:rPr>
          <w:rFonts w:ascii="宋体" w:hAnsi="宋体" w:eastAsia="宋体" w:cs="宋体"/>
          <w:spacing w:val="-37"/>
          <w:sz w:val="24"/>
          <w:szCs w:val="24"/>
        </w:rPr>
        <w:t xml:space="preserve"> </w:t>
      </w:r>
      <w:r>
        <w:rPr>
          <w:rFonts w:ascii="Times New Roman" w:hAnsi="Times New Roman" w:eastAsia="Times New Roman" w:cs="Times New Roman"/>
          <w:spacing w:val="2"/>
          <w:sz w:val="24"/>
          <w:szCs w:val="24"/>
        </w:rPr>
        <w:t>8%</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，加料时起尘量按照粉料的</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0.5%</w:t>
      </w:r>
      <w:r>
        <w:rPr>
          <w:rFonts w:ascii="宋体" w:hAnsi="宋体" w:eastAsia="宋体" w:cs="宋体"/>
          <w:spacing w:val="2"/>
          <w:sz w:val="24"/>
          <w:szCs w:val="24"/>
        </w:rPr>
        <w:t>计</w:t>
      </w:r>
      <w:r>
        <w:rPr>
          <w:rFonts w:ascii="宋体" w:hAnsi="宋体" w:eastAsia="宋体" w:cs="宋体"/>
          <w:sz w:val="24"/>
          <w:szCs w:val="24"/>
        </w:rPr>
        <w:t xml:space="preserve"> </w:t>
      </w:r>
      <w:r>
        <w:rPr>
          <w:rFonts w:ascii="宋体" w:hAnsi="宋体" w:eastAsia="宋体" w:cs="宋体"/>
          <w:spacing w:val="-2"/>
          <w:sz w:val="24"/>
          <w:szCs w:val="24"/>
        </w:rPr>
        <w:t>算，则电炉上料颗粒物产生量为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519.87t/a</w:t>
      </w:r>
      <w:r>
        <w:rPr>
          <w:rFonts w:ascii="Times New Roman" w:hAnsi="Times New Roman" w:eastAsia="Times New Roman" w:cs="Times New Roman"/>
          <w:spacing w:val="-35"/>
          <w:sz w:val="24"/>
          <w:szCs w:val="24"/>
        </w:rPr>
        <w:t xml:space="preserve"> </w:t>
      </w:r>
      <w:r>
        <w:rPr>
          <w:rFonts w:ascii="宋体" w:hAnsi="宋体" w:eastAsia="宋体" w:cs="宋体"/>
          <w:spacing w:val="-2"/>
          <w:sz w:val="24"/>
          <w:szCs w:val="24"/>
        </w:rPr>
        <w:t>、产生速率为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64.98kg/h</w:t>
      </w:r>
      <w:r>
        <w:rPr>
          <w:rFonts w:ascii="宋体" w:hAnsi="宋体" w:eastAsia="宋体" w:cs="宋体"/>
          <w:spacing w:val="-2"/>
          <w:sz w:val="24"/>
          <w:szCs w:val="24"/>
        </w:rPr>
        <w:t>。</w:t>
      </w:r>
    </w:p>
    <w:p w14:paraId="3F37D000">
      <w:pPr>
        <w:spacing w:before="33" w:line="358" w:lineRule="auto"/>
        <w:ind w:left="117" w:right="107" w:firstLine="479"/>
        <w:rPr>
          <w:rFonts w:ascii="宋体" w:hAnsi="宋体" w:eastAsia="宋体" w:cs="宋体"/>
          <w:sz w:val="24"/>
          <w:szCs w:val="24"/>
        </w:rPr>
      </w:pPr>
      <w:r>
        <w:rPr>
          <w:rFonts w:ascii="宋体" w:hAnsi="宋体" w:eastAsia="宋体" w:cs="宋体"/>
          <w:spacing w:val="2"/>
          <w:sz w:val="24"/>
          <w:szCs w:val="24"/>
        </w:rPr>
        <w:t>配料粉尘和上料粉尘采用</w:t>
      </w:r>
      <w:r>
        <w:rPr>
          <w:rFonts w:ascii="宋体" w:hAnsi="宋体" w:eastAsia="宋体" w:cs="宋体"/>
          <w:spacing w:val="-35"/>
          <w:sz w:val="24"/>
          <w:szCs w:val="24"/>
        </w:rPr>
        <w:t xml:space="preserve"> </w:t>
      </w:r>
      <w:r>
        <w:rPr>
          <w:rFonts w:ascii="Times New Roman" w:hAnsi="Times New Roman" w:eastAsia="Times New Roman" w:cs="Times New Roman"/>
          <w:spacing w:val="2"/>
          <w:sz w:val="24"/>
          <w:szCs w:val="24"/>
        </w:rPr>
        <w:t xml:space="preserve">6 </w:t>
      </w:r>
      <w:r>
        <w:rPr>
          <w:rFonts w:ascii="宋体" w:hAnsi="宋体" w:eastAsia="宋体" w:cs="宋体"/>
          <w:spacing w:val="2"/>
          <w:sz w:val="24"/>
          <w:szCs w:val="24"/>
        </w:rPr>
        <w:t>套集气罩</w:t>
      </w:r>
      <w:r>
        <w:rPr>
          <w:rFonts w:ascii="Times New Roman" w:hAnsi="Times New Roman" w:eastAsia="Times New Roman" w:cs="Times New Roman"/>
          <w:spacing w:val="2"/>
          <w:sz w:val="24"/>
          <w:szCs w:val="24"/>
        </w:rPr>
        <w:t>+</w:t>
      </w:r>
      <w:r>
        <w:rPr>
          <w:rFonts w:ascii="宋体" w:hAnsi="宋体" w:eastAsia="宋体" w:cs="宋体"/>
          <w:spacing w:val="2"/>
          <w:sz w:val="24"/>
          <w:szCs w:val="24"/>
        </w:rPr>
        <w:t>布袋除尘器处理后通过</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3</w:t>
      </w:r>
      <w:r>
        <w:rPr>
          <w:rFonts w:ascii="Times New Roman" w:hAnsi="Times New Roman" w:eastAsia="Times New Roman" w:cs="Times New Roman"/>
          <w:spacing w:val="17"/>
          <w:sz w:val="24"/>
          <w:szCs w:val="24"/>
        </w:rPr>
        <w:t xml:space="preserve"> </w:t>
      </w:r>
      <w:r>
        <w:rPr>
          <w:rFonts w:ascii="宋体" w:hAnsi="宋体" w:eastAsia="宋体" w:cs="宋体"/>
          <w:spacing w:val="2"/>
          <w:sz w:val="24"/>
          <w:szCs w:val="24"/>
        </w:rPr>
        <w:t>根</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35m</w:t>
      </w:r>
      <w:r>
        <w:rPr>
          <w:rFonts w:ascii="Times New Roman" w:hAnsi="Times New Roman" w:eastAsia="Times New Roman" w:cs="Times New Roman"/>
          <w:spacing w:val="21"/>
          <w:sz w:val="24"/>
          <w:szCs w:val="24"/>
        </w:rPr>
        <w:t xml:space="preserve"> </w:t>
      </w:r>
      <w:r>
        <w:rPr>
          <w:rFonts w:ascii="宋体" w:hAnsi="宋体" w:eastAsia="宋体" w:cs="宋体"/>
          <w:spacing w:val="2"/>
          <w:sz w:val="24"/>
          <w:szCs w:val="24"/>
        </w:rPr>
        <w:t>高、内径</w:t>
      </w:r>
      <w:r>
        <w:rPr>
          <w:rFonts w:ascii="宋体" w:hAnsi="宋体" w:eastAsia="宋体" w:cs="宋体"/>
          <w:sz w:val="24"/>
          <w:szCs w:val="24"/>
        </w:rPr>
        <w:t xml:space="preserve"> </w:t>
      </w:r>
      <w:r>
        <w:rPr>
          <w:rFonts w:ascii="Times New Roman" w:hAnsi="Times New Roman" w:eastAsia="Times New Roman" w:cs="Times New Roman"/>
          <w:spacing w:val="11"/>
          <w:sz w:val="24"/>
          <w:szCs w:val="24"/>
        </w:rPr>
        <w:t>1.0m</w:t>
      </w:r>
      <w:r>
        <w:rPr>
          <w:rFonts w:ascii="Times New Roman" w:hAnsi="Times New Roman" w:eastAsia="Times New Roman" w:cs="Times New Roman"/>
          <w:spacing w:val="56"/>
          <w:sz w:val="24"/>
          <w:szCs w:val="24"/>
        </w:rPr>
        <w:t xml:space="preserve"> </w:t>
      </w:r>
      <w:r>
        <w:rPr>
          <w:rFonts w:ascii="宋体" w:hAnsi="宋体" w:eastAsia="宋体" w:cs="宋体"/>
          <w:spacing w:val="11"/>
          <w:sz w:val="24"/>
          <w:szCs w:val="24"/>
        </w:rPr>
        <w:t>的排气筒排放</w:t>
      </w:r>
      <w:r>
        <w:rPr>
          <w:rFonts w:ascii="宋体" w:hAnsi="宋体" w:eastAsia="宋体" w:cs="宋体"/>
          <w:spacing w:val="-67"/>
          <w:sz w:val="24"/>
          <w:szCs w:val="24"/>
        </w:rPr>
        <w:t xml:space="preserve"> </w:t>
      </w:r>
      <w:r>
        <w:rPr>
          <w:rFonts w:ascii="宋体" w:hAnsi="宋体" w:eastAsia="宋体" w:cs="宋体"/>
          <w:spacing w:val="11"/>
          <w:sz w:val="24"/>
          <w:szCs w:val="24"/>
        </w:rPr>
        <w:t>，集气罩捕集效率为</w:t>
      </w:r>
      <w:r>
        <w:rPr>
          <w:rFonts w:ascii="宋体" w:hAnsi="宋体" w:eastAsia="宋体" w:cs="宋体"/>
          <w:spacing w:val="-27"/>
          <w:sz w:val="24"/>
          <w:szCs w:val="24"/>
        </w:rPr>
        <w:t xml:space="preserve"> </w:t>
      </w:r>
      <w:r>
        <w:rPr>
          <w:rFonts w:ascii="Times New Roman" w:hAnsi="Times New Roman" w:eastAsia="Times New Roman" w:cs="Times New Roman"/>
          <w:spacing w:val="11"/>
          <w:sz w:val="24"/>
          <w:szCs w:val="24"/>
        </w:rPr>
        <w:t xml:space="preserve">95% </w:t>
      </w:r>
      <w:r>
        <w:rPr>
          <w:rFonts w:ascii="宋体" w:hAnsi="宋体" w:eastAsia="宋体" w:cs="宋体"/>
          <w:spacing w:val="11"/>
          <w:sz w:val="24"/>
          <w:szCs w:val="24"/>
        </w:rPr>
        <w:t>，除尘效率为</w:t>
      </w:r>
      <w:r>
        <w:rPr>
          <w:rFonts w:ascii="宋体" w:hAnsi="宋体" w:eastAsia="宋体" w:cs="宋体"/>
          <w:spacing w:val="-26"/>
          <w:sz w:val="24"/>
          <w:szCs w:val="24"/>
        </w:rPr>
        <w:t xml:space="preserve"> </w:t>
      </w:r>
      <w:r>
        <w:rPr>
          <w:rFonts w:ascii="Times New Roman" w:hAnsi="Times New Roman" w:eastAsia="Times New Roman" w:cs="Times New Roman"/>
          <w:spacing w:val="11"/>
          <w:sz w:val="24"/>
          <w:szCs w:val="24"/>
        </w:rPr>
        <w:t xml:space="preserve">99% </w:t>
      </w:r>
      <w:r>
        <w:rPr>
          <w:rFonts w:ascii="宋体" w:hAnsi="宋体" w:eastAsia="宋体" w:cs="宋体"/>
          <w:spacing w:val="11"/>
          <w:sz w:val="24"/>
          <w:szCs w:val="24"/>
        </w:rPr>
        <w:t>，除尘器风量为</w:t>
      </w:r>
      <w:r>
        <w:rPr>
          <w:rFonts w:ascii="宋体" w:hAnsi="宋体" w:eastAsia="宋体" w:cs="宋体"/>
          <w:sz w:val="24"/>
          <w:szCs w:val="24"/>
        </w:rPr>
        <w:t xml:space="preserve"> </w:t>
      </w:r>
      <w:r>
        <w:rPr>
          <w:rFonts w:ascii="Times New Roman" w:hAnsi="Times New Roman" w:eastAsia="Times New Roman" w:cs="Times New Roman"/>
          <w:spacing w:val="-2"/>
          <w:sz w:val="24"/>
          <w:szCs w:val="24"/>
        </w:rPr>
        <w:t>6×30000Nm</w:t>
      </w:r>
      <w:r>
        <w:rPr>
          <w:rFonts w:ascii="Times New Roman" w:hAnsi="Times New Roman" w:eastAsia="Times New Roman" w:cs="Times New Roman"/>
          <w:spacing w:val="-2"/>
          <w:position w:val="7"/>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10"/>
          <w:sz w:val="24"/>
          <w:szCs w:val="24"/>
        </w:rPr>
        <w:t xml:space="preserve"> </w:t>
      </w:r>
      <w:r>
        <w:rPr>
          <w:rFonts w:ascii="宋体" w:hAnsi="宋体" w:eastAsia="宋体" w:cs="宋体"/>
          <w:spacing w:val="-2"/>
          <w:sz w:val="24"/>
          <w:szCs w:val="24"/>
        </w:rPr>
        <w:t>。 未捕集部分粉尘中</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90%</w:t>
      </w:r>
      <w:r>
        <w:rPr>
          <w:rFonts w:ascii="宋体" w:hAnsi="宋体" w:eastAsia="宋体" w:cs="宋体"/>
          <w:spacing w:val="-2"/>
          <w:sz w:val="24"/>
          <w:szCs w:val="24"/>
        </w:rPr>
        <w:t>在封闭车间内沉降。</w:t>
      </w:r>
    </w:p>
    <w:p w14:paraId="0AFB5A34">
      <w:pPr>
        <w:spacing w:before="50" w:line="228" w:lineRule="auto"/>
        <w:ind w:left="2007"/>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6"/>
          <w:sz w:val="20"/>
          <w:szCs w:val="20"/>
        </w:rPr>
        <w:t xml:space="preserve">2.3-19            </w:t>
      </w:r>
      <w:r>
        <w:rPr>
          <w:rFonts w:ascii="宋体" w:hAnsi="宋体" w:eastAsia="宋体" w:cs="宋体"/>
          <w:b/>
          <w:bCs/>
          <w:spacing w:val="5"/>
          <w:sz w:val="20"/>
          <w:szCs w:val="20"/>
        </w:rPr>
        <w:t>项目电炉配料、加料粉尘产排情况汇总表</w:t>
      </w:r>
    </w:p>
    <w:p w14:paraId="0D460D2F">
      <w:pPr>
        <w:spacing w:line="98" w:lineRule="exact"/>
      </w:pPr>
    </w:p>
    <w:tbl>
      <w:tblPr>
        <w:tblStyle w:val="5"/>
        <w:tblW w:w="923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53"/>
        <w:gridCol w:w="1618"/>
        <w:gridCol w:w="1175"/>
        <w:gridCol w:w="900"/>
        <w:gridCol w:w="1065"/>
        <w:gridCol w:w="868"/>
        <w:gridCol w:w="1029"/>
        <w:gridCol w:w="861"/>
        <w:gridCol w:w="861"/>
      </w:tblGrid>
      <w:tr w14:paraId="7908C7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2471" w:type="dxa"/>
            <w:gridSpan w:val="2"/>
            <w:vMerge w:val="restart"/>
            <w:tcBorders>
              <w:top w:val="single" w:color="000000" w:sz="10" w:space="0"/>
              <w:left w:val="nil"/>
              <w:bottom w:val="nil"/>
            </w:tcBorders>
            <w:vAlign w:val="top"/>
          </w:tcPr>
          <w:p w14:paraId="37460130">
            <w:pPr>
              <w:spacing w:line="301" w:lineRule="auto"/>
              <w:rPr>
                <w:rFonts w:ascii="Arial"/>
                <w:sz w:val="21"/>
              </w:rPr>
            </w:pPr>
          </w:p>
          <w:p w14:paraId="3535C0B3">
            <w:pPr>
              <w:pStyle w:val="6"/>
              <w:spacing w:before="65" w:line="228" w:lineRule="auto"/>
              <w:ind w:left="930"/>
              <w:rPr>
                <w:sz w:val="20"/>
                <w:szCs w:val="20"/>
              </w:rPr>
            </w:pPr>
            <w:r>
              <w:rPr>
                <w:spacing w:val="6"/>
                <w:sz w:val="20"/>
                <w:szCs w:val="20"/>
              </w:rPr>
              <w:t>污染物</w:t>
            </w:r>
          </w:p>
        </w:tc>
        <w:tc>
          <w:tcPr>
            <w:tcW w:w="2075" w:type="dxa"/>
            <w:gridSpan w:val="2"/>
            <w:tcBorders>
              <w:top w:val="single" w:color="000000" w:sz="10" w:space="0"/>
            </w:tcBorders>
            <w:vAlign w:val="top"/>
          </w:tcPr>
          <w:p w14:paraId="1608E636">
            <w:pPr>
              <w:pStyle w:val="6"/>
              <w:spacing w:before="72" w:line="228" w:lineRule="auto"/>
              <w:ind w:left="622"/>
              <w:rPr>
                <w:sz w:val="20"/>
                <w:szCs w:val="20"/>
              </w:rPr>
            </w:pPr>
            <w:r>
              <w:rPr>
                <w:spacing w:val="7"/>
                <w:sz w:val="20"/>
                <w:szCs w:val="20"/>
              </w:rPr>
              <w:t>产生情况</w:t>
            </w:r>
          </w:p>
        </w:tc>
        <w:tc>
          <w:tcPr>
            <w:tcW w:w="1933" w:type="dxa"/>
            <w:gridSpan w:val="2"/>
            <w:tcBorders>
              <w:top w:val="single" w:color="000000" w:sz="10" w:space="0"/>
            </w:tcBorders>
            <w:vAlign w:val="top"/>
          </w:tcPr>
          <w:p w14:paraId="1C375218">
            <w:pPr>
              <w:pStyle w:val="6"/>
              <w:spacing w:before="72" w:line="228" w:lineRule="auto"/>
              <w:ind w:left="558"/>
              <w:rPr>
                <w:sz w:val="20"/>
                <w:szCs w:val="20"/>
              </w:rPr>
            </w:pPr>
            <w:r>
              <w:rPr>
                <w:spacing w:val="5"/>
                <w:sz w:val="20"/>
                <w:szCs w:val="20"/>
              </w:rPr>
              <w:t>收集处置</w:t>
            </w:r>
          </w:p>
        </w:tc>
        <w:tc>
          <w:tcPr>
            <w:tcW w:w="1890" w:type="dxa"/>
            <w:gridSpan w:val="2"/>
            <w:tcBorders>
              <w:top w:val="single" w:color="000000" w:sz="10" w:space="0"/>
            </w:tcBorders>
            <w:vAlign w:val="top"/>
          </w:tcPr>
          <w:p w14:paraId="3004FB8E">
            <w:pPr>
              <w:pStyle w:val="6"/>
              <w:spacing w:before="73" w:line="228" w:lineRule="auto"/>
              <w:ind w:left="427"/>
              <w:rPr>
                <w:sz w:val="20"/>
                <w:szCs w:val="20"/>
              </w:rPr>
            </w:pPr>
            <w:r>
              <w:rPr>
                <w:spacing w:val="7"/>
                <w:sz w:val="20"/>
                <w:szCs w:val="20"/>
              </w:rPr>
              <w:t>无组织排放</w:t>
            </w:r>
          </w:p>
        </w:tc>
        <w:tc>
          <w:tcPr>
            <w:tcW w:w="861" w:type="dxa"/>
            <w:vMerge w:val="restart"/>
            <w:tcBorders>
              <w:top w:val="single" w:color="000000" w:sz="10" w:space="0"/>
              <w:bottom w:val="nil"/>
              <w:right w:val="nil"/>
            </w:tcBorders>
            <w:vAlign w:val="top"/>
          </w:tcPr>
          <w:p w14:paraId="56A29C6D">
            <w:pPr>
              <w:pStyle w:val="6"/>
              <w:spacing w:before="106"/>
              <w:ind w:left="131" w:right="115" w:hanging="8"/>
              <w:rPr>
                <w:sz w:val="20"/>
                <w:szCs w:val="20"/>
              </w:rPr>
            </w:pPr>
            <w:r>
              <w:rPr>
                <w:spacing w:val="6"/>
                <w:sz w:val="20"/>
                <w:szCs w:val="20"/>
              </w:rPr>
              <w:t>车间内</w:t>
            </w:r>
            <w:r>
              <w:rPr>
                <w:sz w:val="20"/>
                <w:szCs w:val="20"/>
              </w:rPr>
              <w:t xml:space="preserve"> </w:t>
            </w:r>
            <w:r>
              <w:rPr>
                <w:spacing w:val="18"/>
                <w:w w:val="117"/>
                <w:sz w:val="20"/>
                <w:szCs w:val="20"/>
              </w:rPr>
              <w:t>沉降</w:t>
            </w:r>
            <w:r>
              <w:rPr>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r>
      <w:tr w14:paraId="782D1F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2471" w:type="dxa"/>
            <w:gridSpan w:val="2"/>
            <w:vMerge w:val="continue"/>
            <w:tcBorders>
              <w:top w:val="nil"/>
              <w:left w:val="nil"/>
            </w:tcBorders>
            <w:vAlign w:val="top"/>
          </w:tcPr>
          <w:p w14:paraId="32BC0408">
            <w:pPr>
              <w:rPr>
                <w:rFonts w:ascii="Arial"/>
                <w:sz w:val="21"/>
              </w:rPr>
            </w:pPr>
          </w:p>
        </w:tc>
        <w:tc>
          <w:tcPr>
            <w:tcW w:w="1175" w:type="dxa"/>
            <w:vAlign w:val="top"/>
          </w:tcPr>
          <w:p w14:paraId="0B2B5E73">
            <w:pPr>
              <w:pStyle w:val="6"/>
              <w:spacing w:before="62" w:line="230" w:lineRule="auto"/>
              <w:ind w:left="207" w:right="208" w:firstLine="173"/>
              <w:rPr>
                <w:sz w:val="20"/>
                <w:szCs w:val="20"/>
              </w:rPr>
            </w:pPr>
            <w:r>
              <w:rPr>
                <w:spacing w:val="5"/>
                <w:sz w:val="20"/>
                <w:szCs w:val="20"/>
              </w:rPr>
              <w:t>速率</w:t>
            </w:r>
            <w:r>
              <w:rPr>
                <w:sz w:val="20"/>
                <w:szCs w:val="20"/>
              </w:rPr>
              <w:t xml:space="preserve">  </w:t>
            </w:r>
            <w:r>
              <w:rPr>
                <w:spacing w:val="-1"/>
                <w:sz w:val="20"/>
                <w:szCs w:val="20"/>
              </w:rPr>
              <w:t>（</w:t>
            </w:r>
            <w:r>
              <w:rPr>
                <w:rFonts w:ascii="Times New Roman" w:hAnsi="Times New Roman" w:eastAsia="Times New Roman" w:cs="Times New Roman"/>
                <w:spacing w:val="-1"/>
                <w:sz w:val="20"/>
                <w:szCs w:val="20"/>
              </w:rPr>
              <w:t>kg/h</w:t>
            </w:r>
            <w:r>
              <w:rPr>
                <w:spacing w:val="-1"/>
                <w:sz w:val="20"/>
                <w:szCs w:val="20"/>
              </w:rPr>
              <w:t>）</w:t>
            </w:r>
          </w:p>
        </w:tc>
        <w:tc>
          <w:tcPr>
            <w:tcW w:w="900" w:type="dxa"/>
            <w:vAlign w:val="top"/>
          </w:tcPr>
          <w:p w14:paraId="1936F1E5">
            <w:pPr>
              <w:pStyle w:val="6"/>
              <w:spacing w:before="62" w:line="233" w:lineRule="auto"/>
              <w:ind w:left="151" w:right="133" w:hanging="10"/>
              <w:rPr>
                <w:sz w:val="20"/>
                <w:szCs w:val="20"/>
              </w:rPr>
            </w:pPr>
            <w:r>
              <w:rPr>
                <w:spacing w:val="6"/>
                <w:sz w:val="20"/>
                <w:szCs w:val="20"/>
              </w:rPr>
              <w:t>产生量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1065" w:type="dxa"/>
            <w:vAlign w:val="top"/>
          </w:tcPr>
          <w:p w14:paraId="1275BD13">
            <w:pPr>
              <w:pStyle w:val="6"/>
              <w:spacing w:before="62" w:line="233" w:lineRule="auto"/>
              <w:ind w:left="231" w:right="216" w:hanging="6"/>
              <w:rPr>
                <w:sz w:val="20"/>
                <w:szCs w:val="20"/>
              </w:rPr>
            </w:pPr>
            <w:r>
              <w:rPr>
                <w:spacing w:val="5"/>
                <w:sz w:val="20"/>
                <w:szCs w:val="20"/>
              </w:rPr>
              <w:t>去除量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868" w:type="dxa"/>
            <w:vAlign w:val="top"/>
          </w:tcPr>
          <w:p w14:paraId="73E042D0">
            <w:pPr>
              <w:pStyle w:val="6"/>
              <w:spacing w:before="62" w:line="233" w:lineRule="auto"/>
              <w:ind w:left="134" w:right="117" w:hanging="10"/>
              <w:rPr>
                <w:sz w:val="20"/>
                <w:szCs w:val="20"/>
              </w:rPr>
            </w:pPr>
            <w:r>
              <w:rPr>
                <w:spacing w:val="6"/>
                <w:sz w:val="20"/>
                <w:szCs w:val="20"/>
              </w:rPr>
              <w:t>排放量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1029" w:type="dxa"/>
            <w:vAlign w:val="top"/>
          </w:tcPr>
          <w:p w14:paraId="7B8F13A2">
            <w:pPr>
              <w:pStyle w:val="6"/>
              <w:spacing w:before="62" w:line="230" w:lineRule="auto"/>
              <w:ind w:left="135" w:right="134" w:firstLine="173"/>
              <w:rPr>
                <w:sz w:val="20"/>
                <w:szCs w:val="20"/>
              </w:rPr>
            </w:pPr>
            <w:r>
              <w:rPr>
                <w:spacing w:val="5"/>
                <w:sz w:val="20"/>
                <w:szCs w:val="20"/>
              </w:rPr>
              <w:t>速率</w:t>
            </w:r>
            <w:r>
              <w:rPr>
                <w:sz w:val="20"/>
                <w:szCs w:val="20"/>
              </w:rPr>
              <w:t xml:space="preserve">  </w:t>
            </w:r>
            <w:r>
              <w:rPr>
                <w:spacing w:val="-1"/>
                <w:sz w:val="20"/>
                <w:szCs w:val="20"/>
              </w:rPr>
              <w:t>（</w:t>
            </w:r>
            <w:r>
              <w:rPr>
                <w:rFonts w:ascii="Times New Roman" w:hAnsi="Times New Roman" w:eastAsia="Times New Roman" w:cs="Times New Roman"/>
                <w:spacing w:val="-1"/>
                <w:sz w:val="20"/>
                <w:szCs w:val="20"/>
              </w:rPr>
              <w:t>kg/h</w:t>
            </w:r>
            <w:r>
              <w:rPr>
                <w:spacing w:val="-1"/>
                <w:sz w:val="20"/>
                <w:szCs w:val="20"/>
              </w:rPr>
              <w:t>）</w:t>
            </w:r>
          </w:p>
        </w:tc>
        <w:tc>
          <w:tcPr>
            <w:tcW w:w="861" w:type="dxa"/>
            <w:vAlign w:val="top"/>
          </w:tcPr>
          <w:p w14:paraId="747B5151">
            <w:pPr>
              <w:pStyle w:val="6"/>
              <w:spacing w:before="62" w:line="233" w:lineRule="auto"/>
              <w:ind w:left="131" w:right="113" w:hanging="10"/>
              <w:rPr>
                <w:sz w:val="20"/>
                <w:szCs w:val="20"/>
              </w:rPr>
            </w:pPr>
            <w:r>
              <w:rPr>
                <w:spacing w:val="6"/>
                <w:sz w:val="20"/>
                <w:szCs w:val="20"/>
              </w:rPr>
              <w:t>排放量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861" w:type="dxa"/>
            <w:vMerge w:val="continue"/>
            <w:tcBorders>
              <w:top w:val="nil"/>
              <w:right w:val="nil"/>
            </w:tcBorders>
            <w:vAlign w:val="top"/>
          </w:tcPr>
          <w:p w14:paraId="3A1FD017">
            <w:pPr>
              <w:rPr>
                <w:rFonts w:ascii="Arial"/>
                <w:sz w:val="21"/>
              </w:rPr>
            </w:pPr>
          </w:p>
        </w:tc>
      </w:tr>
      <w:tr w14:paraId="364308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853" w:type="dxa"/>
            <w:vMerge w:val="restart"/>
            <w:tcBorders>
              <w:left w:val="nil"/>
              <w:bottom w:val="nil"/>
            </w:tcBorders>
            <w:vAlign w:val="top"/>
          </w:tcPr>
          <w:p w14:paraId="75410DFD">
            <w:pPr>
              <w:pStyle w:val="6"/>
              <w:spacing w:before="113" w:line="234" w:lineRule="auto"/>
              <w:ind w:left="328" w:right="109" w:hanging="184"/>
              <w:rPr>
                <w:sz w:val="20"/>
                <w:szCs w:val="20"/>
              </w:rPr>
            </w:pPr>
            <w:r>
              <w:rPr>
                <w:spacing w:val="-2"/>
                <w:sz w:val="20"/>
                <w:szCs w:val="20"/>
              </w:rPr>
              <w:t>电炉配</w:t>
            </w:r>
            <w:r>
              <w:rPr>
                <w:spacing w:val="1"/>
                <w:sz w:val="20"/>
                <w:szCs w:val="20"/>
              </w:rPr>
              <w:t xml:space="preserve"> </w:t>
            </w:r>
            <w:r>
              <w:rPr>
                <w:sz w:val="20"/>
                <w:szCs w:val="20"/>
              </w:rPr>
              <w:t>料</w:t>
            </w:r>
          </w:p>
        </w:tc>
        <w:tc>
          <w:tcPr>
            <w:tcW w:w="1618" w:type="dxa"/>
            <w:vAlign w:val="top"/>
          </w:tcPr>
          <w:p w14:paraId="2B1A1EE7">
            <w:pPr>
              <w:pStyle w:val="6"/>
              <w:spacing w:before="73" w:line="228" w:lineRule="auto"/>
              <w:ind w:left="499"/>
              <w:rPr>
                <w:sz w:val="20"/>
                <w:szCs w:val="20"/>
              </w:rPr>
            </w:pPr>
            <w:r>
              <w:rPr>
                <w:spacing w:val="7"/>
                <w:sz w:val="20"/>
                <w:szCs w:val="20"/>
              </w:rPr>
              <w:t>颗粒物</w:t>
            </w:r>
          </w:p>
        </w:tc>
        <w:tc>
          <w:tcPr>
            <w:tcW w:w="1175" w:type="dxa"/>
            <w:vAlign w:val="top"/>
          </w:tcPr>
          <w:p w14:paraId="2CE269B8">
            <w:pPr>
              <w:spacing w:before="109" w:line="195" w:lineRule="auto"/>
              <w:ind w:left="35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44.21</w:t>
            </w:r>
          </w:p>
        </w:tc>
        <w:tc>
          <w:tcPr>
            <w:tcW w:w="900" w:type="dxa"/>
            <w:vAlign w:val="top"/>
          </w:tcPr>
          <w:p w14:paraId="25C06C27">
            <w:pPr>
              <w:spacing w:before="109" w:line="195" w:lineRule="auto"/>
              <w:ind w:left="16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353.70</w:t>
            </w:r>
          </w:p>
        </w:tc>
        <w:tc>
          <w:tcPr>
            <w:tcW w:w="1065" w:type="dxa"/>
            <w:vAlign w:val="top"/>
          </w:tcPr>
          <w:p w14:paraId="7425A707">
            <w:pPr>
              <w:spacing w:before="109" w:line="195" w:lineRule="auto"/>
              <w:ind w:left="25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821.59</w:t>
            </w:r>
          </w:p>
        </w:tc>
        <w:tc>
          <w:tcPr>
            <w:tcW w:w="868" w:type="dxa"/>
            <w:vAlign w:val="top"/>
          </w:tcPr>
          <w:p w14:paraId="4E17EBEF">
            <w:pPr>
              <w:spacing w:before="109" w:line="195" w:lineRule="auto"/>
              <w:ind w:left="26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8.30</w:t>
            </w:r>
          </w:p>
        </w:tc>
        <w:tc>
          <w:tcPr>
            <w:tcW w:w="1029" w:type="dxa"/>
            <w:vAlign w:val="top"/>
          </w:tcPr>
          <w:p w14:paraId="5A32EC5D">
            <w:pPr>
              <w:spacing w:before="109"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0.55</w:t>
            </w:r>
          </w:p>
        </w:tc>
        <w:tc>
          <w:tcPr>
            <w:tcW w:w="861" w:type="dxa"/>
            <w:vAlign w:val="top"/>
          </w:tcPr>
          <w:p w14:paraId="02827CD7">
            <w:pPr>
              <w:spacing w:before="109"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4.37</w:t>
            </w:r>
          </w:p>
        </w:tc>
        <w:tc>
          <w:tcPr>
            <w:tcW w:w="861" w:type="dxa"/>
            <w:tcBorders>
              <w:right w:val="nil"/>
            </w:tcBorders>
            <w:vAlign w:val="top"/>
          </w:tcPr>
          <w:p w14:paraId="001007F8">
            <w:pPr>
              <w:spacing w:before="109" w:line="195" w:lineRule="auto"/>
              <w:ind w:left="20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39.31</w:t>
            </w:r>
          </w:p>
        </w:tc>
      </w:tr>
      <w:tr w14:paraId="443043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853" w:type="dxa"/>
            <w:vMerge w:val="continue"/>
            <w:tcBorders>
              <w:top w:val="nil"/>
              <w:left w:val="nil"/>
            </w:tcBorders>
            <w:vAlign w:val="top"/>
          </w:tcPr>
          <w:p w14:paraId="3299EBF6">
            <w:pPr>
              <w:rPr>
                <w:rFonts w:ascii="Arial"/>
                <w:sz w:val="21"/>
              </w:rPr>
            </w:pPr>
          </w:p>
        </w:tc>
        <w:tc>
          <w:tcPr>
            <w:tcW w:w="1618" w:type="dxa"/>
            <w:vAlign w:val="top"/>
          </w:tcPr>
          <w:p w14:paraId="48D5E77A">
            <w:pPr>
              <w:pStyle w:val="6"/>
              <w:spacing w:before="78" w:line="224" w:lineRule="auto"/>
              <w:ind w:left="183"/>
              <w:rPr>
                <w:sz w:val="20"/>
                <w:szCs w:val="20"/>
              </w:rPr>
            </w:pPr>
            <w:r>
              <w:rPr>
                <w:spacing w:val="8"/>
                <w:sz w:val="20"/>
                <w:szCs w:val="20"/>
              </w:rPr>
              <w:t>锰及其化合物</w:t>
            </w:r>
          </w:p>
        </w:tc>
        <w:tc>
          <w:tcPr>
            <w:tcW w:w="1175" w:type="dxa"/>
            <w:vAlign w:val="top"/>
          </w:tcPr>
          <w:p w14:paraId="1D44AF10">
            <w:pPr>
              <w:spacing w:before="111" w:line="195"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4.61</w:t>
            </w:r>
          </w:p>
        </w:tc>
        <w:tc>
          <w:tcPr>
            <w:tcW w:w="900" w:type="dxa"/>
            <w:vAlign w:val="top"/>
          </w:tcPr>
          <w:p w14:paraId="4D0AB330">
            <w:pPr>
              <w:spacing w:before="111"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36.89</w:t>
            </w:r>
          </w:p>
        </w:tc>
        <w:tc>
          <w:tcPr>
            <w:tcW w:w="1065" w:type="dxa"/>
            <w:vAlign w:val="top"/>
          </w:tcPr>
          <w:p w14:paraId="0B38E6E2">
            <w:pPr>
              <w:spacing w:before="111"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85.68</w:t>
            </w:r>
          </w:p>
        </w:tc>
        <w:tc>
          <w:tcPr>
            <w:tcW w:w="868" w:type="dxa"/>
            <w:vAlign w:val="top"/>
          </w:tcPr>
          <w:p w14:paraId="69A6E8AF">
            <w:pPr>
              <w:spacing w:before="111"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0.87</w:t>
            </w:r>
          </w:p>
        </w:tc>
        <w:tc>
          <w:tcPr>
            <w:tcW w:w="1029" w:type="dxa"/>
            <w:vAlign w:val="top"/>
          </w:tcPr>
          <w:p w14:paraId="7501D103">
            <w:pPr>
              <w:spacing w:before="111"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0.06</w:t>
            </w:r>
          </w:p>
        </w:tc>
        <w:tc>
          <w:tcPr>
            <w:tcW w:w="861" w:type="dxa"/>
            <w:vAlign w:val="top"/>
          </w:tcPr>
          <w:p w14:paraId="0D30D7D5">
            <w:pPr>
              <w:spacing w:before="111"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0.46</w:t>
            </w:r>
          </w:p>
        </w:tc>
        <w:tc>
          <w:tcPr>
            <w:tcW w:w="861" w:type="dxa"/>
            <w:tcBorders>
              <w:right w:val="nil"/>
            </w:tcBorders>
            <w:vAlign w:val="top"/>
          </w:tcPr>
          <w:p w14:paraId="1ABC5176">
            <w:pPr>
              <w:spacing w:before="111" w:line="195" w:lineRule="auto"/>
              <w:ind w:left="24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4.10</w:t>
            </w:r>
          </w:p>
        </w:tc>
      </w:tr>
      <w:tr w14:paraId="0B03F0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853" w:type="dxa"/>
            <w:vMerge w:val="restart"/>
            <w:tcBorders>
              <w:left w:val="nil"/>
              <w:bottom w:val="nil"/>
            </w:tcBorders>
            <w:vAlign w:val="top"/>
          </w:tcPr>
          <w:p w14:paraId="4CD78333">
            <w:pPr>
              <w:pStyle w:val="6"/>
              <w:spacing w:before="120" w:line="234" w:lineRule="auto"/>
              <w:ind w:left="328" w:right="109" w:hanging="184"/>
              <w:rPr>
                <w:sz w:val="20"/>
                <w:szCs w:val="20"/>
              </w:rPr>
            </w:pPr>
            <w:r>
              <w:rPr>
                <w:spacing w:val="-2"/>
                <w:sz w:val="20"/>
                <w:szCs w:val="20"/>
              </w:rPr>
              <w:t>电炉加</w:t>
            </w:r>
            <w:r>
              <w:rPr>
                <w:spacing w:val="1"/>
                <w:sz w:val="20"/>
                <w:szCs w:val="20"/>
              </w:rPr>
              <w:t xml:space="preserve"> </w:t>
            </w:r>
            <w:r>
              <w:rPr>
                <w:sz w:val="20"/>
                <w:szCs w:val="20"/>
              </w:rPr>
              <w:t>料</w:t>
            </w:r>
          </w:p>
        </w:tc>
        <w:tc>
          <w:tcPr>
            <w:tcW w:w="1618" w:type="dxa"/>
            <w:vAlign w:val="top"/>
          </w:tcPr>
          <w:p w14:paraId="3C2F1842">
            <w:pPr>
              <w:pStyle w:val="6"/>
              <w:spacing w:before="80" w:line="222" w:lineRule="auto"/>
              <w:ind w:left="499"/>
              <w:rPr>
                <w:sz w:val="20"/>
                <w:szCs w:val="20"/>
              </w:rPr>
            </w:pPr>
            <w:r>
              <w:rPr>
                <w:spacing w:val="7"/>
                <w:sz w:val="20"/>
                <w:szCs w:val="20"/>
              </w:rPr>
              <w:t>颗粒物</w:t>
            </w:r>
          </w:p>
        </w:tc>
        <w:tc>
          <w:tcPr>
            <w:tcW w:w="1175" w:type="dxa"/>
            <w:vAlign w:val="top"/>
          </w:tcPr>
          <w:p w14:paraId="193DBAA4">
            <w:pPr>
              <w:spacing w:before="116" w:line="195" w:lineRule="auto"/>
              <w:ind w:left="35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64.98</w:t>
            </w:r>
          </w:p>
        </w:tc>
        <w:tc>
          <w:tcPr>
            <w:tcW w:w="900" w:type="dxa"/>
            <w:vAlign w:val="top"/>
          </w:tcPr>
          <w:p w14:paraId="5A6E7A94">
            <w:pPr>
              <w:spacing w:before="116" w:line="195" w:lineRule="auto"/>
              <w:ind w:left="1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519.87</w:t>
            </w:r>
          </w:p>
        </w:tc>
        <w:tc>
          <w:tcPr>
            <w:tcW w:w="1065" w:type="dxa"/>
            <w:vAlign w:val="top"/>
          </w:tcPr>
          <w:p w14:paraId="231BA005">
            <w:pPr>
              <w:spacing w:before="112" w:line="199" w:lineRule="auto"/>
              <w:ind w:left="5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8" w:type="dxa"/>
            <w:vAlign w:val="top"/>
          </w:tcPr>
          <w:p w14:paraId="16E169F8">
            <w:pPr>
              <w:spacing w:before="112" w:line="199" w:lineRule="auto"/>
              <w:ind w:left="4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29" w:type="dxa"/>
            <w:vAlign w:val="top"/>
          </w:tcPr>
          <w:p w14:paraId="155F5171">
            <w:pPr>
              <w:spacing w:before="112" w:line="199" w:lineRule="auto"/>
              <w:ind w:left="48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1" w:type="dxa"/>
            <w:vAlign w:val="top"/>
          </w:tcPr>
          <w:p w14:paraId="2F6621BC">
            <w:pPr>
              <w:spacing w:before="112" w:line="199" w:lineRule="auto"/>
              <w:ind w:left="3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1" w:type="dxa"/>
            <w:tcBorders>
              <w:right w:val="nil"/>
            </w:tcBorders>
            <w:vAlign w:val="top"/>
          </w:tcPr>
          <w:p w14:paraId="3EE12F4E">
            <w:pPr>
              <w:spacing w:before="112" w:line="199" w:lineRule="auto"/>
              <w:ind w:left="3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2CCD18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853" w:type="dxa"/>
            <w:vMerge w:val="continue"/>
            <w:tcBorders>
              <w:top w:val="nil"/>
              <w:left w:val="nil"/>
              <w:bottom w:val="single" w:color="000000" w:sz="10" w:space="0"/>
            </w:tcBorders>
            <w:vAlign w:val="top"/>
          </w:tcPr>
          <w:p w14:paraId="396F6045">
            <w:pPr>
              <w:rPr>
                <w:rFonts w:ascii="Arial"/>
                <w:sz w:val="21"/>
              </w:rPr>
            </w:pPr>
          </w:p>
        </w:tc>
        <w:tc>
          <w:tcPr>
            <w:tcW w:w="1618" w:type="dxa"/>
            <w:tcBorders>
              <w:bottom w:val="single" w:color="000000" w:sz="10" w:space="0"/>
            </w:tcBorders>
            <w:vAlign w:val="top"/>
          </w:tcPr>
          <w:p w14:paraId="6AAB44DB">
            <w:pPr>
              <w:pStyle w:val="6"/>
              <w:spacing w:before="85" w:line="229" w:lineRule="auto"/>
              <w:ind w:left="183"/>
              <w:rPr>
                <w:sz w:val="20"/>
                <w:szCs w:val="20"/>
              </w:rPr>
            </w:pPr>
            <w:r>
              <w:rPr>
                <w:spacing w:val="8"/>
                <w:sz w:val="20"/>
                <w:szCs w:val="20"/>
              </w:rPr>
              <w:t>锰及其化合物</w:t>
            </w:r>
          </w:p>
        </w:tc>
        <w:tc>
          <w:tcPr>
            <w:tcW w:w="1175" w:type="dxa"/>
            <w:tcBorders>
              <w:bottom w:val="single" w:color="000000" w:sz="10" w:space="0"/>
            </w:tcBorders>
            <w:vAlign w:val="top"/>
          </w:tcPr>
          <w:p w14:paraId="1D288D3D">
            <w:pPr>
              <w:spacing w:before="118" w:line="195" w:lineRule="auto"/>
              <w:ind w:left="4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6.78</w:t>
            </w:r>
          </w:p>
        </w:tc>
        <w:tc>
          <w:tcPr>
            <w:tcW w:w="900" w:type="dxa"/>
            <w:tcBorders>
              <w:bottom w:val="single" w:color="000000" w:sz="10" w:space="0"/>
            </w:tcBorders>
            <w:vAlign w:val="top"/>
          </w:tcPr>
          <w:p w14:paraId="4AFC6CC9">
            <w:pPr>
              <w:spacing w:before="118" w:line="195" w:lineRule="auto"/>
              <w:ind w:left="2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54.22</w:t>
            </w:r>
          </w:p>
        </w:tc>
        <w:tc>
          <w:tcPr>
            <w:tcW w:w="1065" w:type="dxa"/>
            <w:tcBorders>
              <w:bottom w:val="single" w:color="000000" w:sz="10" w:space="0"/>
            </w:tcBorders>
            <w:vAlign w:val="top"/>
          </w:tcPr>
          <w:p w14:paraId="17166C7E">
            <w:pPr>
              <w:spacing w:before="117" w:line="199" w:lineRule="auto"/>
              <w:ind w:left="5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8" w:type="dxa"/>
            <w:tcBorders>
              <w:bottom w:val="single" w:color="000000" w:sz="10" w:space="0"/>
            </w:tcBorders>
            <w:vAlign w:val="top"/>
          </w:tcPr>
          <w:p w14:paraId="624539E5">
            <w:pPr>
              <w:spacing w:before="117" w:line="199" w:lineRule="auto"/>
              <w:ind w:left="4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29" w:type="dxa"/>
            <w:tcBorders>
              <w:bottom w:val="single" w:color="000000" w:sz="10" w:space="0"/>
            </w:tcBorders>
            <w:vAlign w:val="top"/>
          </w:tcPr>
          <w:p w14:paraId="400A1D9F">
            <w:pPr>
              <w:spacing w:before="117" w:line="199" w:lineRule="auto"/>
              <w:ind w:left="48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1" w:type="dxa"/>
            <w:tcBorders>
              <w:bottom w:val="single" w:color="000000" w:sz="10" w:space="0"/>
            </w:tcBorders>
            <w:vAlign w:val="top"/>
          </w:tcPr>
          <w:p w14:paraId="3D0A729E">
            <w:pPr>
              <w:spacing w:before="117" w:line="199" w:lineRule="auto"/>
              <w:ind w:left="3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61" w:type="dxa"/>
            <w:tcBorders>
              <w:bottom w:val="single" w:color="000000" w:sz="10" w:space="0"/>
              <w:right w:val="nil"/>
            </w:tcBorders>
            <w:vAlign w:val="top"/>
          </w:tcPr>
          <w:p w14:paraId="213281DF">
            <w:pPr>
              <w:spacing w:before="117" w:line="199" w:lineRule="auto"/>
              <w:ind w:left="3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bl>
    <w:p w14:paraId="10F26CA4">
      <w:pPr>
        <w:spacing w:before="119" w:line="220" w:lineRule="auto"/>
        <w:ind w:left="607"/>
        <w:rPr>
          <w:rFonts w:ascii="宋体" w:hAnsi="宋体" w:eastAsia="宋体" w:cs="宋体"/>
          <w:sz w:val="24"/>
          <w:szCs w:val="24"/>
        </w:rPr>
      </w:pPr>
      <w:r>
        <w:rPr>
          <w:rFonts w:ascii="宋体" w:hAnsi="宋体" w:eastAsia="宋体" w:cs="宋体"/>
          <w:b/>
          <w:bCs/>
          <w:spacing w:val="-2"/>
          <w:sz w:val="24"/>
          <w:szCs w:val="24"/>
        </w:rPr>
        <w:t>（</w:t>
      </w:r>
      <w:r>
        <w:rPr>
          <w:rFonts w:ascii="Times New Roman" w:hAnsi="Times New Roman" w:eastAsia="Times New Roman" w:cs="Times New Roman"/>
          <w:b/>
          <w:bCs/>
          <w:spacing w:val="-2"/>
          <w:sz w:val="24"/>
          <w:szCs w:val="24"/>
        </w:rPr>
        <w:t>8</w:t>
      </w:r>
      <w:r>
        <w:rPr>
          <w:rFonts w:ascii="宋体" w:hAnsi="宋体" w:eastAsia="宋体" w:cs="宋体"/>
          <w:b/>
          <w:bCs/>
          <w:spacing w:val="-2"/>
          <w:sz w:val="24"/>
          <w:szCs w:val="24"/>
        </w:rPr>
        <w:t>）锰硅出铁出渣及浇铸烟气（</w:t>
      </w:r>
      <w:r>
        <w:rPr>
          <w:rFonts w:ascii="Times New Roman" w:hAnsi="Times New Roman" w:eastAsia="Times New Roman" w:cs="Times New Roman"/>
          <w:b/>
          <w:bCs/>
          <w:spacing w:val="-2"/>
          <w:sz w:val="24"/>
          <w:szCs w:val="24"/>
        </w:rPr>
        <w:t>G</w:t>
      </w:r>
      <w:r>
        <w:rPr>
          <w:rFonts w:ascii="Times New Roman" w:hAnsi="Times New Roman" w:eastAsia="Times New Roman" w:cs="Times New Roman"/>
          <w:b/>
          <w:bCs/>
          <w:spacing w:val="-2"/>
          <w:sz w:val="15"/>
          <w:szCs w:val="15"/>
        </w:rPr>
        <w:t>1-10</w:t>
      </w:r>
      <w:r>
        <w:rPr>
          <w:rFonts w:ascii="宋体" w:hAnsi="宋体" w:eastAsia="宋体" w:cs="宋体"/>
          <w:b/>
          <w:bCs/>
          <w:spacing w:val="-2"/>
          <w:sz w:val="24"/>
          <w:szCs w:val="24"/>
        </w:rPr>
        <w:t>）</w:t>
      </w:r>
    </w:p>
    <w:p w14:paraId="35E9FA24">
      <w:pPr>
        <w:spacing w:before="192" w:line="354" w:lineRule="auto"/>
        <w:ind w:left="127" w:right="97" w:firstLine="472"/>
        <w:rPr>
          <w:rFonts w:ascii="宋体" w:hAnsi="宋体" w:eastAsia="宋体" w:cs="宋体"/>
          <w:sz w:val="24"/>
          <w:szCs w:val="24"/>
        </w:rPr>
      </w:pPr>
      <w:r>
        <w:rPr>
          <w:rFonts w:ascii="宋体" w:hAnsi="宋体" w:eastAsia="宋体" w:cs="宋体"/>
          <w:spacing w:val="-14"/>
          <w:sz w:val="24"/>
          <w:szCs w:val="24"/>
        </w:rPr>
        <w:t>电炉每天出铁出渣</w:t>
      </w:r>
      <w:r>
        <w:rPr>
          <w:rFonts w:ascii="宋体" w:hAnsi="宋体" w:eastAsia="宋体" w:cs="宋体"/>
          <w:spacing w:val="-64"/>
          <w:sz w:val="24"/>
          <w:szCs w:val="24"/>
        </w:rPr>
        <w:t xml:space="preserve"> </w:t>
      </w:r>
      <w:r>
        <w:rPr>
          <w:rFonts w:ascii="Times New Roman" w:hAnsi="Times New Roman" w:eastAsia="Times New Roman" w:cs="Times New Roman"/>
          <w:spacing w:val="-14"/>
          <w:sz w:val="24"/>
          <w:szCs w:val="24"/>
        </w:rPr>
        <w:t>6</w:t>
      </w:r>
      <w:r>
        <w:rPr>
          <w:rFonts w:ascii="宋体" w:hAnsi="宋体" w:eastAsia="宋体" w:cs="宋体"/>
          <w:spacing w:val="-14"/>
          <w:sz w:val="24"/>
          <w:szCs w:val="24"/>
        </w:rPr>
        <w:t>～</w:t>
      </w:r>
      <w:r>
        <w:rPr>
          <w:rFonts w:ascii="Times New Roman" w:hAnsi="Times New Roman" w:eastAsia="Times New Roman" w:cs="Times New Roman"/>
          <w:spacing w:val="-14"/>
          <w:sz w:val="24"/>
          <w:szCs w:val="24"/>
        </w:rPr>
        <w:t xml:space="preserve">8 </w:t>
      </w:r>
      <w:r>
        <w:rPr>
          <w:rFonts w:ascii="宋体" w:hAnsi="宋体" w:eastAsia="宋体" w:cs="宋体"/>
          <w:spacing w:val="-14"/>
          <w:sz w:val="24"/>
          <w:szCs w:val="24"/>
        </w:rPr>
        <w:t>次，每次出铁出渣持续时</w:t>
      </w:r>
      <w:r>
        <w:rPr>
          <w:rFonts w:ascii="宋体" w:hAnsi="宋体" w:eastAsia="宋体" w:cs="宋体"/>
          <w:spacing w:val="-15"/>
          <w:sz w:val="24"/>
          <w:szCs w:val="24"/>
        </w:rPr>
        <w:t>间为</w:t>
      </w:r>
      <w:r>
        <w:rPr>
          <w:rFonts w:ascii="宋体" w:hAnsi="宋体" w:eastAsia="宋体" w:cs="宋体"/>
          <w:spacing w:val="-69"/>
          <w:sz w:val="24"/>
          <w:szCs w:val="24"/>
        </w:rPr>
        <w:t xml:space="preserve"> </w:t>
      </w:r>
      <w:r>
        <w:rPr>
          <w:rFonts w:ascii="Times New Roman" w:hAnsi="Times New Roman" w:eastAsia="Times New Roman" w:cs="Times New Roman"/>
          <w:spacing w:val="-15"/>
          <w:sz w:val="24"/>
          <w:szCs w:val="24"/>
        </w:rPr>
        <w:t>20</w:t>
      </w:r>
      <w:r>
        <w:rPr>
          <w:rFonts w:ascii="宋体" w:hAnsi="宋体" w:eastAsia="宋体" w:cs="宋体"/>
          <w:spacing w:val="-15"/>
          <w:sz w:val="24"/>
          <w:szCs w:val="24"/>
        </w:rPr>
        <w:t>～</w:t>
      </w:r>
      <w:r>
        <w:rPr>
          <w:rFonts w:ascii="Times New Roman" w:hAnsi="Times New Roman" w:eastAsia="Times New Roman" w:cs="Times New Roman"/>
          <w:spacing w:val="-15"/>
          <w:sz w:val="24"/>
          <w:szCs w:val="24"/>
        </w:rPr>
        <w:t>40min</w:t>
      </w:r>
      <w:r>
        <w:rPr>
          <w:rFonts w:ascii="宋体" w:hAnsi="宋体" w:eastAsia="宋体" w:cs="宋体"/>
          <w:spacing w:val="-15"/>
          <w:sz w:val="24"/>
          <w:szCs w:val="24"/>
        </w:rPr>
        <w:t>，出料时间平均为</w:t>
      </w:r>
      <w:r>
        <w:rPr>
          <w:rFonts w:ascii="宋体" w:hAnsi="宋体" w:eastAsia="宋体" w:cs="宋体"/>
          <w:spacing w:val="-63"/>
          <w:sz w:val="24"/>
          <w:szCs w:val="24"/>
        </w:rPr>
        <w:t xml:space="preserve"> </w:t>
      </w:r>
      <w:r>
        <w:rPr>
          <w:rFonts w:ascii="Times New Roman" w:hAnsi="Times New Roman" w:eastAsia="Times New Roman" w:cs="Times New Roman"/>
          <w:spacing w:val="-15"/>
          <w:sz w:val="24"/>
          <w:szCs w:val="24"/>
        </w:rPr>
        <w:t>5h/d</w:t>
      </w:r>
      <w:r>
        <w:rPr>
          <w:rFonts w:ascii="Times New Roman" w:hAnsi="Times New Roman" w:eastAsia="Times New Roman" w:cs="Times New Roman"/>
          <w:sz w:val="24"/>
          <w:szCs w:val="24"/>
        </w:rPr>
        <w:t xml:space="preserve"> </w:t>
      </w:r>
      <w:r>
        <w:rPr>
          <w:rFonts w:ascii="宋体" w:hAnsi="宋体" w:eastAsia="宋体" w:cs="宋体"/>
          <w:spacing w:val="-12"/>
          <w:sz w:val="24"/>
          <w:szCs w:val="24"/>
        </w:rPr>
        <w:t>（</w:t>
      </w:r>
      <w:r>
        <w:rPr>
          <w:rFonts w:ascii="Times New Roman" w:hAnsi="Times New Roman" w:eastAsia="Times New Roman" w:cs="Times New Roman"/>
          <w:spacing w:val="-12"/>
          <w:sz w:val="24"/>
          <w:szCs w:val="24"/>
        </w:rPr>
        <w:t>1665h/a</w:t>
      </w:r>
      <w:r>
        <w:rPr>
          <w:rFonts w:ascii="宋体" w:hAnsi="宋体" w:eastAsia="宋体" w:cs="宋体"/>
          <w:spacing w:val="10"/>
          <w:sz w:val="24"/>
          <w:szCs w:val="24"/>
        </w:rPr>
        <w:t>），</w:t>
      </w:r>
      <w:r>
        <w:rPr>
          <w:rFonts w:ascii="宋体" w:hAnsi="宋体" w:eastAsia="宋体" w:cs="宋体"/>
          <w:spacing w:val="-12"/>
          <w:sz w:val="24"/>
          <w:szCs w:val="24"/>
        </w:rPr>
        <w:t>电炉出铁口烟气间歇式排放。</w:t>
      </w:r>
    </w:p>
    <w:p w14:paraId="323303FF">
      <w:pPr>
        <w:spacing w:before="33" w:line="360" w:lineRule="auto"/>
        <w:ind w:left="116" w:right="48" w:firstLine="481"/>
        <w:jc w:val="both"/>
        <w:rPr>
          <w:rFonts w:ascii="宋体" w:hAnsi="宋体" w:eastAsia="宋体" w:cs="宋体"/>
          <w:sz w:val="24"/>
          <w:szCs w:val="24"/>
        </w:rPr>
      </w:pPr>
      <w:r>
        <w:rPr>
          <w:rFonts w:ascii="宋体" w:hAnsi="宋体" w:eastAsia="宋体" w:cs="宋体"/>
          <w:spacing w:val="-2"/>
          <w:sz w:val="24"/>
          <w:szCs w:val="24"/>
        </w:rPr>
        <w:t>参考生态环境部</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 xml:space="preserve">2020 </w:t>
      </w:r>
      <w:r>
        <w:rPr>
          <w:rFonts w:ascii="宋体" w:hAnsi="宋体" w:eastAsia="宋体" w:cs="宋体"/>
          <w:spacing w:val="-2"/>
          <w:sz w:val="24"/>
          <w:szCs w:val="24"/>
        </w:rPr>
        <w:t>年</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月</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 xml:space="preserve">5  </w:t>
      </w:r>
      <w:r>
        <w:rPr>
          <w:rFonts w:ascii="宋体" w:hAnsi="宋体" w:eastAsia="宋体" w:cs="宋体"/>
          <w:spacing w:val="-2"/>
          <w:sz w:val="24"/>
          <w:szCs w:val="24"/>
        </w:rPr>
        <w:t>日印</w:t>
      </w:r>
      <w:r>
        <w:rPr>
          <w:rFonts w:ascii="宋体" w:hAnsi="宋体" w:eastAsia="宋体" w:cs="宋体"/>
          <w:spacing w:val="-3"/>
          <w:sz w:val="24"/>
          <w:szCs w:val="24"/>
        </w:rPr>
        <w:t>发的《第二次全国污染源普查产排污核算</w:t>
      </w:r>
      <w:r>
        <w:rPr>
          <w:rFonts w:ascii="宋体" w:hAnsi="宋体" w:eastAsia="宋体" w:cs="宋体"/>
          <w:sz w:val="24"/>
          <w:szCs w:val="24"/>
        </w:rPr>
        <w:t xml:space="preserve"> </w:t>
      </w:r>
      <w:r>
        <w:rPr>
          <w:rFonts w:ascii="宋体" w:hAnsi="宋体" w:eastAsia="宋体" w:cs="宋体"/>
          <w:spacing w:val="2"/>
          <w:sz w:val="24"/>
          <w:szCs w:val="24"/>
        </w:rPr>
        <w:t>系数手册（试用版）》，</w:t>
      </w:r>
      <w:r>
        <w:rPr>
          <w:rFonts w:ascii="Times New Roman" w:hAnsi="Times New Roman" w:eastAsia="Times New Roman" w:cs="Times New Roman"/>
          <w:spacing w:val="2"/>
          <w:sz w:val="24"/>
          <w:szCs w:val="24"/>
        </w:rPr>
        <w:t xml:space="preserve">3104 </w:t>
      </w:r>
      <w:r>
        <w:rPr>
          <w:rFonts w:ascii="宋体" w:hAnsi="宋体" w:eastAsia="宋体" w:cs="宋体"/>
          <w:spacing w:val="2"/>
          <w:sz w:val="24"/>
          <w:szCs w:val="24"/>
        </w:rPr>
        <w:t>铁合金冶炼行业系数手</w:t>
      </w:r>
      <w:r>
        <w:rPr>
          <w:rFonts w:ascii="宋体" w:hAnsi="宋体" w:eastAsia="宋体" w:cs="宋体"/>
          <w:spacing w:val="1"/>
          <w:sz w:val="24"/>
          <w:szCs w:val="24"/>
        </w:rPr>
        <w:t>册，铁合金行业无组织排放产污</w:t>
      </w:r>
      <w:r>
        <w:rPr>
          <w:rFonts w:ascii="宋体" w:hAnsi="宋体" w:eastAsia="宋体" w:cs="宋体"/>
          <w:sz w:val="24"/>
          <w:szCs w:val="24"/>
        </w:rPr>
        <w:t xml:space="preserve"> </w:t>
      </w:r>
      <w:r>
        <w:rPr>
          <w:rFonts w:ascii="宋体" w:hAnsi="宋体" w:eastAsia="宋体" w:cs="宋体"/>
          <w:spacing w:val="-6"/>
          <w:sz w:val="24"/>
          <w:szCs w:val="24"/>
        </w:rPr>
        <w:t>系数中，电炉出铁口颗粒物的产生系数为</w:t>
      </w:r>
      <w:r>
        <w:rPr>
          <w:rFonts w:ascii="宋体" w:hAnsi="宋体" w:eastAsia="宋体" w:cs="宋体"/>
          <w:spacing w:val="-46"/>
          <w:sz w:val="24"/>
          <w:szCs w:val="24"/>
        </w:rPr>
        <w:t xml:space="preserve"> </w:t>
      </w:r>
      <w:r>
        <w:rPr>
          <w:rFonts w:ascii="Times New Roman" w:hAnsi="Times New Roman" w:eastAsia="Times New Roman" w:cs="Times New Roman"/>
          <w:spacing w:val="-6"/>
          <w:sz w:val="24"/>
          <w:szCs w:val="24"/>
        </w:rPr>
        <w:t>0.291kg/t-</w:t>
      </w:r>
      <w:r>
        <w:rPr>
          <w:rFonts w:ascii="宋体" w:hAnsi="宋体" w:eastAsia="宋体" w:cs="宋体"/>
          <w:spacing w:val="-6"/>
          <w:sz w:val="24"/>
          <w:szCs w:val="24"/>
        </w:rPr>
        <w:t>产品（优级</w:t>
      </w:r>
      <w:r>
        <w:rPr>
          <w:rFonts w:ascii="宋体" w:hAnsi="宋体" w:eastAsia="宋体" w:cs="宋体"/>
          <w:spacing w:val="-60"/>
          <w:w w:val="94"/>
          <w:sz w:val="24"/>
          <w:szCs w:val="24"/>
        </w:rPr>
        <w:t>）；</w:t>
      </w:r>
      <w:r>
        <w:rPr>
          <w:rFonts w:ascii="Times New Roman" w:hAnsi="Times New Roman" w:eastAsia="Times New Roman" w:cs="Times New Roman"/>
          <w:spacing w:val="-6"/>
          <w:sz w:val="24"/>
          <w:szCs w:val="24"/>
        </w:rPr>
        <w:t>1.</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6"/>
          <w:sz w:val="24"/>
          <w:szCs w:val="24"/>
        </w:rPr>
        <w:t>10kg/t-</w:t>
      </w:r>
      <w:r>
        <w:rPr>
          <w:rFonts w:ascii="宋体" w:hAnsi="宋体" w:eastAsia="宋体" w:cs="宋体"/>
          <w:spacing w:val="-6"/>
          <w:sz w:val="24"/>
          <w:szCs w:val="24"/>
        </w:rPr>
        <w:t>产</w:t>
      </w:r>
      <w:r>
        <w:rPr>
          <w:rFonts w:ascii="宋体" w:hAnsi="宋体" w:eastAsia="宋体" w:cs="宋体"/>
          <w:spacing w:val="-7"/>
          <w:sz w:val="24"/>
          <w:szCs w:val="24"/>
        </w:rPr>
        <w:t>品（中级</w:t>
      </w:r>
      <w:r>
        <w:rPr>
          <w:rFonts w:ascii="宋体" w:hAnsi="宋体" w:eastAsia="宋体" w:cs="宋体"/>
          <w:spacing w:val="-60"/>
          <w:w w:val="94"/>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1.91kg/t-</w:t>
      </w:r>
      <w:r>
        <w:rPr>
          <w:rFonts w:ascii="宋体" w:hAnsi="宋体" w:eastAsia="宋体" w:cs="宋体"/>
          <w:spacing w:val="-1"/>
          <w:sz w:val="24"/>
          <w:szCs w:val="24"/>
        </w:rPr>
        <w:t>产品（差级</w:t>
      </w:r>
      <w:r>
        <w:rPr>
          <w:rFonts w:ascii="宋体" w:hAnsi="宋体" w:eastAsia="宋体" w:cs="宋体"/>
          <w:spacing w:val="7"/>
          <w:sz w:val="24"/>
          <w:szCs w:val="24"/>
        </w:rPr>
        <w:t>），</w:t>
      </w:r>
      <w:r>
        <w:rPr>
          <w:rFonts w:ascii="宋体" w:hAnsi="宋体" w:eastAsia="宋体" w:cs="宋体"/>
          <w:spacing w:val="-1"/>
          <w:sz w:val="24"/>
          <w:szCs w:val="24"/>
        </w:rPr>
        <w:t>本项目出铁、出渣口有侧吸罩，且抽吸条件较好，烟尘无组织</w:t>
      </w:r>
      <w:r>
        <w:rPr>
          <w:rFonts w:ascii="宋体" w:hAnsi="宋体" w:eastAsia="宋体" w:cs="宋体"/>
          <w:sz w:val="24"/>
          <w:szCs w:val="24"/>
        </w:rPr>
        <w:t xml:space="preserve"> </w:t>
      </w:r>
      <w:r>
        <w:rPr>
          <w:rFonts w:ascii="宋体" w:hAnsi="宋体" w:eastAsia="宋体" w:cs="宋体"/>
          <w:spacing w:val="-1"/>
          <w:sz w:val="24"/>
          <w:szCs w:val="24"/>
        </w:rPr>
        <w:t>排放系数取优级</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0.291kg/t-</w:t>
      </w:r>
      <w:r>
        <w:rPr>
          <w:rFonts w:ascii="宋体" w:hAnsi="宋体" w:eastAsia="宋体" w:cs="宋体"/>
          <w:spacing w:val="-1"/>
          <w:sz w:val="24"/>
          <w:szCs w:val="24"/>
        </w:rPr>
        <w:t>产品，产尘量为</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130.95t/a</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w:t>
      </w:r>
      <w:r>
        <w:rPr>
          <w:rFonts w:ascii="宋体" w:hAnsi="宋体" w:eastAsia="宋体" w:cs="宋体"/>
          <w:spacing w:val="-2"/>
          <w:sz w:val="24"/>
          <w:szCs w:val="24"/>
        </w:rPr>
        <w:t>集尘罩效率按</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95%</w:t>
      </w:r>
      <w:r>
        <w:rPr>
          <w:rFonts w:ascii="宋体" w:hAnsi="宋体" w:eastAsia="宋体" w:cs="宋体"/>
          <w:spacing w:val="-2"/>
          <w:sz w:val="24"/>
          <w:szCs w:val="24"/>
        </w:rPr>
        <w:t>计。锰硅出铁</w:t>
      </w:r>
      <w:r>
        <w:rPr>
          <w:rFonts w:ascii="宋体" w:hAnsi="宋体" w:eastAsia="宋体" w:cs="宋体"/>
          <w:sz w:val="24"/>
          <w:szCs w:val="24"/>
        </w:rPr>
        <w:t xml:space="preserve"> </w:t>
      </w:r>
      <w:r>
        <w:rPr>
          <w:rFonts w:ascii="宋体" w:hAnsi="宋体" w:eastAsia="宋体" w:cs="宋体"/>
          <w:spacing w:val="-2"/>
          <w:sz w:val="24"/>
          <w:szCs w:val="24"/>
        </w:rPr>
        <w:t>出渣烟气经集尘罩收集后产生量为</w:t>
      </w:r>
      <w:r>
        <w:rPr>
          <w:rFonts w:ascii="宋体" w:hAnsi="宋体" w:eastAsia="宋体" w:cs="宋体"/>
          <w:spacing w:val="-27"/>
          <w:sz w:val="24"/>
          <w:szCs w:val="24"/>
        </w:rPr>
        <w:t xml:space="preserve"> </w:t>
      </w:r>
      <w:r>
        <w:rPr>
          <w:rFonts w:ascii="Times New Roman" w:hAnsi="Times New Roman" w:eastAsia="Times New Roman" w:cs="Times New Roman"/>
          <w:spacing w:val="-2"/>
          <w:sz w:val="24"/>
          <w:szCs w:val="24"/>
        </w:rPr>
        <w:t>124.40t/a</w:t>
      </w:r>
      <w:r>
        <w:rPr>
          <w:rFonts w:ascii="Times New Roman" w:hAnsi="Times New Roman" w:eastAsia="Times New Roman" w:cs="Times New Roman"/>
          <w:spacing w:val="-35"/>
          <w:sz w:val="24"/>
          <w:szCs w:val="24"/>
        </w:rPr>
        <w:t xml:space="preserve"> </w:t>
      </w:r>
      <w:r>
        <w:rPr>
          <w:rFonts w:ascii="宋体" w:hAnsi="宋体" w:eastAsia="宋体" w:cs="宋体"/>
          <w:spacing w:val="-2"/>
          <w:sz w:val="24"/>
          <w:szCs w:val="24"/>
        </w:rPr>
        <w:t>、产生速率为</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74.72kg/h</w:t>
      </w:r>
      <w:r>
        <w:rPr>
          <w:rFonts w:ascii="宋体" w:hAnsi="宋体" w:eastAsia="宋体" w:cs="宋体"/>
          <w:spacing w:val="-2"/>
          <w:sz w:val="24"/>
          <w:szCs w:val="24"/>
        </w:rPr>
        <w:t>。</w:t>
      </w:r>
    </w:p>
    <w:p w14:paraId="0636067E">
      <w:pPr>
        <w:spacing w:before="55" w:line="358" w:lineRule="auto"/>
        <w:ind w:left="135" w:right="95" w:firstLine="438"/>
        <w:jc w:val="both"/>
        <w:rPr>
          <w:rFonts w:ascii="宋体" w:hAnsi="宋体" w:eastAsia="宋体" w:cs="宋体"/>
          <w:sz w:val="24"/>
          <w:szCs w:val="24"/>
        </w:rPr>
      </w:pPr>
      <w:r>
        <w:rPr>
          <w:rFonts w:ascii="宋体" w:hAnsi="宋体" w:eastAsia="宋体" w:cs="宋体"/>
          <w:spacing w:val="-12"/>
          <w:sz w:val="24"/>
          <w:szCs w:val="24"/>
        </w:rPr>
        <w:t>浇铸机在电炉出铁后进行浇铸，每天浇铸</w:t>
      </w:r>
      <w:r>
        <w:rPr>
          <w:rFonts w:ascii="宋体" w:hAnsi="宋体" w:eastAsia="宋体" w:cs="宋体"/>
          <w:spacing w:val="-54"/>
          <w:sz w:val="24"/>
          <w:szCs w:val="24"/>
        </w:rPr>
        <w:t xml:space="preserve"> </w:t>
      </w:r>
      <w:r>
        <w:rPr>
          <w:rFonts w:ascii="Times New Roman" w:hAnsi="Times New Roman" w:eastAsia="Times New Roman" w:cs="Times New Roman"/>
          <w:spacing w:val="-12"/>
          <w:sz w:val="24"/>
          <w:szCs w:val="24"/>
        </w:rPr>
        <w:t xml:space="preserve">6~8 </w:t>
      </w:r>
      <w:r>
        <w:rPr>
          <w:rFonts w:ascii="宋体" w:hAnsi="宋体" w:eastAsia="宋体" w:cs="宋体"/>
          <w:spacing w:val="-12"/>
          <w:sz w:val="24"/>
          <w:szCs w:val="24"/>
        </w:rPr>
        <w:t>次，每次浇铸时间为</w:t>
      </w:r>
      <w:r>
        <w:rPr>
          <w:rFonts w:ascii="宋体" w:hAnsi="宋体" w:eastAsia="宋体" w:cs="宋体"/>
          <w:spacing w:val="-72"/>
          <w:sz w:val="24"/>
          <w:szCs w:val="24"/>
        </w:rPr>
        <w:t xml:space="preserve"> </w:t>
      </w:r>
      <w:r>
        <w:rPr>
          <w:rFonts w:ascii="Times New Roman" w:hAnsi="Times New Roman" w:eastAsia="Times New Roman" w:cs="Times New Roman"/>
          <w:spacing w:val="-12"/>
          <w:sz w:val="24"/>
          <w:szCs w:val="24"/>
        </w:rPr>
        <w:t>20</w:t>
      </w:r>
      <w:r>
        <w:rPr>
          <w:rFonts w:ascii="宋体" w:hAnsi="宋体" w:eastAsia="宋体" w:cs="宋体"/>
          <w:spacing w:val="-12"/>
          <w:sz w:val="24"/>
          <w:szCs w:val="24"/>
        </w:rPr>
        <w:t>～</w:t>
      </w:r>
      <w:r>
        <w:rPr>
          <w:rFonts w:ascii="Times New Roman" w:hAnsi="Times New Roman" w:eastAsia="Times New Roman" w:cs="Times New Roman"/>
          <w:spacing w:val="-12"/>
          <w:sz w:val="24"/>
          <w:szCs w:val="24"/>
        </w:rPr>
        <w:t>40min</w:t>
      </w:r>
      <w:r>
        <w:rPr>
          <w:rFonts w:ascii="宋体" w:hAnsi="宋体" w:eastAsia="宋体" w:cs="宋体"/>
          <w:spacing w:val="-12"/>
          <w:sz w:val="24"/>
          <w:szCs w:val="24"/>
        </w:rPr>
        <w:t>，浇铸时</w:t>
      </w:r>
      <w:r>
        <w:rPr>
          <w:rFonts w:ascii="宋体" w:hAnsi="宋体" w:eastAsia="宋体" w:cs="宋体"/>
          <w:sz w:val="24"/>
          <w:szCs w:val="24"/>
        </w:rPr>
        <w:t xml:space="preserve"> </w:t>
      </w:r>
      <w:r>
        <w:rPr>
          <w:rFonts w:ascii="宋体" w:hAnsi="宋体" w:eastAsia="宋体" w:cs="宋体"/>
          <w:spacing w:val="-9"/>
          <w:sz w:val="24"/>
          <w:szCs w:val="24"/>
        </w:rPr>
        <w:t>间平均为</w:t>
      </w:r>
      <w:r>
        <w:rPr>
          <w:rFonts w:ascii="宋体" w:hAnsi="宋体" w:eastAsia="宋体" w:cs="宋体"/>
          <w:spacing w:val="-63"/>
          <w:sz w:val="24"/>
          <w:szCs w:val="24"/>
        </w:rPr>
        <w:t xml:space="preserve"> </w:t>
      </w:r>
      <w:r>
        <w:rPr>
          <w:rFonts w:ascii="Times New Roman" w:hAnsi="Times New Roman" w:eastAsia="Times New Roman" w:cs="Times New Roman"/>
          <w:spacing w:val="-9"/>
          <w:sz w:val="24"/>
          <w:szCs w:val="24"/>
        </w:rPr>
        <w:t>5h/d</w:t>
      </w:r>
      <w:r>
        <w:rPr>
          <w:rFonts w:ascii="宋体" w:hAnsi="宋体" w:eastAsia="宋体" w:cs="宋体"/>
          <w:spacing w:val="-9"/>
          <w:sz w:val="24"/>
          <w:szCs w:val="24"/>
        </w:rPr>
        <w:t>（</w:t>
      </w:r>
      <w:r>
        <w:rPr>
          <w:rFonts w:ascii="Times New Roman" w:hAnsi="Times New Roman" w:eastAsia="Times New Roman" w:cs="Times New Roman"/>
          <w:spacing w:val="-9"/>
          <w:sz w:val="24"/>
          <w:szCs w:val="24"/>
        </w:rPr>
        <w:t>1665h/a</w:t>
      </w:r>
      <w:r>
        <w:rPr>
          <w:rFonts w:ascii="宋体" w:hAnsi="宋体" w:eastAsia="宋体" w:cs="宋体"/>
          <w:spacing w:val="-8"/>
          <w:sz w:val="24"/>
          <w:szCs w:val="24"/>
        </w:rPr>
        <w:t>），</w:t>
      </w:r>
      <w:r>
        <w:rPr>
          <w:rFonts w:ascii="宋体" w:hAnsi="宋体" w:eastAsia="宋体" w:cs="宋体"/>
          <w:spacing w:val="-9"/>
          <w:sz w:val="24"/>
          <w:szCs w:val="24"/>
        </w:rPr>
        <w:t>浇铸烟气间歇式排放，</w:t>
      </w:r>
      <w:r>
        <w:rPr>
          <w:rFonts w:ascii="宋体" w:hAnsi="宋体" w:eastAsia="宋体" w:cs="宋体"/>
          <w:spacing w:val="-10"/>
          <w:sz w:val="24"/>
          <w:szCs w:val="24"/>
        </w:rPr>
        <w:t>浇铸过程中配置集气罩集中收集与出铁</w:t>
      </w:r>
      <w:r>
        <w:rPr>
          <w:rFonts w:ascii="宋体" w:hAnsi="宋体" w:eastAsia="宋体" w:cs="宋体"/>
          <w:sz w:val="24"/>
          <w:szCs w:val="24"/>
        </w:rPr>
        <w:t xml:space="preserve"> </w:t>
      </w:r>
      <w:r>
        <w:rPr>
          <w:rFonts w:ascii="宋体" w:hAnsi="宋体" w:eastAsia="宋体" w:cs="宋体"/>
          <w:spacing w:val="-13"/>
          <w:sz w:val="24"/>
          <w:szCs w:val="24"/>
        </w:rPr>
        <w:t>出渣烟气一同处理。</w:t>
      </w:r>
    </w:p>
    <w:p w14:paraId="51F946A5">
      <w:pPr>
        <w:spacing w:before="33" w:line="354" w:lineRule="auto"/>
        <w:ind w:left="117" w:right="107" w:firstLine="455"/>
        <w:rPr>
          <w:rFonts w:ascii="宋体" w:hAnsi="宋体" w:eastAsia="宋体" w:cs="宋体"/>
          <w:sz w:val="24"/>
          <w:szCs w:val="24"/>
        </w:rPr>
      </w:pPr>
      <w:r>
        <w:rPr>
          <w:rFonts w:ascii="宋体" w:hAnsi="宋体" w:eastAsia="宋体" w:cs="宋体"/>
          <w:spacing w:val="-11"/>
          <w:sz w:val="24"/>
          <w:szCs w:val="24"/>
        </w:rPr>
        <w:t>根据企业生产经验数据，浇铸烟尘产生量约为产</w:t>
      </w:r>
      <w:r>
        <w:rPr>
          <w:rFonts w:ascii="宋体" w:hAnsi="宋体" w:eastAsia="宋体" w:cs="宋体"/>
          <w:spacing w:val="-12"/>
          <w:sz w:val="24"/>
          <w:szCs w:val="24"/>
        </w:rPr>
        <w:t>品的</w:t>
      </w:r>
      <w:r>
        <w:rPr>
          <w:rFonts w:ascii="宋体" w:hAnsi="宋体" w:eastAsia="宋体" w:cs="宋体"/>
          <w:spacing w:val="-66"/>
          <w:sz w:val="24"/>
          <w:szCs w:val="24"/>
        </w:rPr>
        <w:t xml:space="preserve"> </w:t>
      </w:r>
      <w:r>
        <w:rPr>
          <w:rFonts w:ascii="Times New Roman" w:hAnsi="Times New Roman" w:eastAsia="Times New Roman" w:cs="Times New Roman"/>
          <w:spacing w:val="-12"/>
          <w:sz w:val="24"/>
          <w:szCs w:val="24"/>
        </w:rPr>
        <w:t>0.5‰</w:t>
      </w:r>
      <w:r>
        <w:rPr>
          <w:rFonts w:ascii="宋体" w:hAnsi="宋体" w:eastAsia="宋体" w:cs="宋体"/>
          <w:spacing w:val="-12"/>
          <w:sz w:val="24"/>
          <w:szCs w:val="24"/>
        </w:rPr>
        <w:t>，集尘罩效率按</w:t>
      </w:r>
      <w:r>
        <w:rPr>
          <w:rFonts w:ascii="宋体" w:hAnsi="宋体" w:eastAsia="宋体" w:cs="宋体"/>
          <w:spacing w:val="-65"/>
          <w:sz w:val="24"/>
          <w:szCs w:val="24"/>
        </w:rPr>
        <w:t xml:space="preserve"> </w:t>
      </w:r>
      <w:r>
        <w:rPr>
          <w:rFonts w:ascii="Times New Roman" w:hAnsi="Times New Roman" w:eastAsia="Times New Roman" w:cs="Times New Roman"/>
          <w:spacing w:val="-12"/>
          <w:sz w:val="24"/>
          <w:szCs w:val="24"/>
        </w:rPr>
        <w:t>95%</w:t>
      </w:r>
      <w:r>
        <w:rPr>
          <w:rFonts w:ascii="宋体" w:hAnsi="宋体" w:eastAsia="宋体" w:cs="宋体"/>
          <w:spacing w:val="-12"/>
          <w:sz w:val="24"/>
          <w:szCs w:val="24"/>
        </w:rPr>
        <w:t>计。则</w:t>
      </w:r>
      <w:r>
        <w:rPr>
          <w:rFonts w:ascii="宋体" w:hAnsi="宋体" w:eastAsia="宋体" w:cs="宋体"/>
          <w:sz w:val="24"/>
          <w:szCs w:val="24"/>
        </w:rPr>
        <w:t xml:space="preserve"> </w:t>
      </w:r>
      <w:r>
        <w:rPr>
          <w:rFonts w:ascii="宋体" w:hAnsi="宋体" w:eastAsia="宋体" w:cs="宋体"/>
          <w:spacing w:val="-1"/>
          <w:sz w:val="24"/>
          <w:szCs w:val="24"/>
        </w:rPr>
        <w:t>本项目锰硅浇铸烟尘经集尘罩收集后产生量为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213.75t/a</w:t>
      </w:r>
      <w:r>
        <w:rPr>
          <w:rFonts w:ascii="Times New Roman" w:hAnsi="Times New Roman" w:eastAsia="Times New Roman" w:cs="Times New Roman"/>
          <w:spacing w:val="-35"/>
          <w:sz w:val="24"/>
          <w:szCs w:val="24"/>
        </w:rPr>
        <w:t xml:space="preserve"> </w:t>
      </w:r>
      <w:r>
        <w:rPr>
          <w:rFonts w:ascii="宋体" w:hAnsi="宋体" w:eastAsia="宋体" w:cs="宋体"/>
          <w:spacing w:val="-2"/>
          <w:sz w:val="24"/>
          <w:szCs w:val="24"/>
        </w:rPr>
        <w:t>、产生速率为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128.38kg/h</w:t>
      </w:r>
      <w:r>
        <w:rPr>
          <w:rFonts w:ascii="宋体" w:hAnsi="宋体" w:eastAsia="宋体" w:cs="宋体"/>
          <w:spacing w:val="-2"/>
          <w:sz w:val="24"/>
          <w:szCs w:val="24"/>
        </w:rPr>
        <w:t>。</w:t>
      </w:r>
    </w:p>
    <w:p w14:paraId="33F37A4D">
      <w:pPr>
        <w:spacing w:line="354" w:lineRule="auto"/>
        <w:rPr>
          <w:rFonts w:ascii="宋体" w:hAnsi="宋体" w:eastAsia="宋体" w:cs="宋体"/>
          <w:sz w:val="24"/>
          <w:szCs w:val="24"/>
        </w:rPr>
        <w:sectPr>
          <w:footerReference r:id="rId172" w:type="default"/>
          <w:pgSz w:w="11850" w:h="16781"/>
          <w:pgMar w:top="1190" w:right="1309" w:bottom="1013" w:left="1309" w:header="882" w:footer="850" w:gutter="0"/>
          <w:cols w:space="720" w:num="1"/>
        </w:sectPr>
      </w:pPr>
    </w:p>
    <w:p w14:paraId="69A07C20">
      <w:pPr>
        <w:pStyle w:val="2"/>
        <w:spacing w:line="264" w:lineRule="auto"/>
      </w:pPr>
      <w:r>
        <w:pict>
          <v:shape id="_x0000_s1206" o:spid="_x0000_s1206" style="position:absolute;left:0pt;margin-left:5.4pt;margin-top:0.7pt;height:0.75pt;width:450.75pt;z-index:251865088;mso-width-relative:page;mso-height-relative:page;" fillcolor="#000000" filled="t" stroked="f" coordsize="9015,15" path="m0,0l9014,0,9014,14,0,14,0,0xe">
            <v:path/>
            <v:fill on="t" focussize="0,0"/>
            <v:stroke on="f"/>
            <v:imagedata o:title=""/>
            <o:lock v:ext="edit"/>
          </v:shape>
        </w:pict>
      </w:r>
    </w:p>
    <w:p w14:paraId="7D58E288">
      <w:pPr>
        <w:spacing w:before="78" w:line="354" w:lineRule="auto"/>
        <w:ind w:left="117" w:right="347" w:firstLine="508"/>
        <w:rPr>
          <w:rFonts w:ascii="宋体" w:hAnsi="宋体" w:eastAsia="宋体" w:cs="宋体"/>
          <w:sz w:val="24"/>
          <w:szCs w:val="24"/>
        </w:rPr>
      </w:pPr>
      <w:r>
        <w:rPr>
          <w:rFonts w:ascii="宋体" w:hAnsi="宋体" w:eastAsia="宋体" w:cs="宋体"/>
          <w:spacing w:val="-3"/>
          <w:sz w:val="24"/>
          <w:szCs w:val="24"/>
        </w:rPr>
        <w:t>由于</w:t>
      </w:r>
      <w:r>
        <w:rPr>
          <w:rFonts w:ascii="宋体" w:hAnsi="宋体" w:eastAsia="宋体" w:cs="宋体"/>
          <w:spacing w:val="-47"/>
          <w:sz w:val="24"/>
          <w:szCs w:val="24"/>
        </w:rPr>
        <w:t xml:space="preserve"> </w:t>
      </w:r>
      <w:r>
        <w:rPr>
          <w:rFonts w:ascii="Times New Roman" w:hAnsi="Times New Roman" w:eastAsia="Times New Roman" w:cs="Times New Roman"/>
          <w:spacing w:val="-3"/>
          <w:sz w:val="24"/>
          <w:szCs w:val="24"/>
        </w:rPr>
        <w:t>6</w:t>
      </w:r>
      <w:r>
        <w:rPr>
          <w:rFonts w:ascii="Times New Roman" w:hAnsi="Times New Roman" w:eastAsia="Times New Roman" w:cs="Times New Roman"/>
          <w:spacing w:val="28"/>
          <w:w w:val="101"/>
          <w:sz w:val="24"/>
          <w:szCs w:val="24"/>
        </w:rPr>
        <w:t xml:space="preserve"> </w:t>
      </w:r>
      <w:r>
        <w:rPr>
          <w:rFonts w:ascii="宋体" w:hAnsi="宋体" w:eastAsia="宋体" w:cs="宋体"/>
          <w:spacing w:val="-3"/>
          <w:sz w:val="24"/>
          <w:szCs w:val="24"/>
        </w:rPr>
        <w:t>台锰硅合金电炉各配置</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套旋风</w:t>
      </w:r>
      <w:r>
        <w:rPr>
          <w:rFonts w:ascii="Times New Roman" w:hAnsi="Times New Roman" w:eastAsia="Times New Roman" w:cs="Times New Roman"/>
          <w:spacing w:val="-3"/>
          <w:sz w:val="24"/>
          <w:szCs w:val="24"/>
        </w:rPr>
        <w:t>+</w:t>
      </w:r>
      <w:r>
        <w:rPr>
          <w:rFonts w:ascii="宋体" w:hAnsi="宋体" w:eastAsia="宋体" w:cs="宋体"/>
          <w:spacing w:val="-3"/>
          <w:sz w:val="24"/>
          <w:szCs w:val="24"/>
        </w:rPr>
        <w:t>布袋除尘器进行处理出铁出渣及浇铸烟</w:t>
      </w:r>
      <w:r>
        <w:rPr>
          <w:rFonts w:ascii="宋体" w:hAnsi="宋体" w:eastAsia="宋体" w:cs="宋体"/>
          <w:sz w:val="24"/>
          <w:szCs w:val="24"/>
        </w:rPr>
        <w:t xml:space="preserve"> </w:t>
      </w:r>
      <w:r>
        <w:rPr>
          <w:rFonts w:ascii="宋体" w:hAnsi="宋体" w:eastAsia="宋体" w:cs="宋体"/>
          <w:spacing w:val="-2"/>
          <w:sz w:val="24"/>
          <w:szCs w:val="24"/>
        </w:rPr>
        <w:t>气，共配置</w:t>
      </w:r>
      <w:r>
        <w:rPr>
          <w:rFonts w:ascii="宋体" w:hAnsi="宋体" w:eastAsia="宋体" w:cs="宋体"/>
          <w:spacing w:val="-39"/>
          <w:sz w:val="24"/>
          <w:szCs w:val="24"/>
        </w:rPr>
        <w:t xml:space="preserve"> </w:t>
      </w:r>
      <w:r>
        <w:rPr>
          <w:rFonts w:ascii="Times New Roman" w:hAnsi="Times New Roman" w:eastAsia="Times New Roman" w:cs="Times New Roman"/>
          <w:spacing w:val="-2"/>
          <w:sz w:val="24"/>
          <w:szCs w:val="24"/>
        </w:rPr>
        <w:t xml:space="preserve">6 </w:t>
      </w:r>
      <w:r>
        <w:rPr>
          <w:rFonts w:ascii="宋体" w:hAnsi="宋体" w:eastAsia="宋体" w:cs="宋体"/>
          <w:spacing w:val="-2"/>
          <w:sz w:val="24"/>
          <w:szCs w:val="24"/>
        </w:rPr>
        <w:t>套，除尘器风量为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6×50000Nm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，粉尘处理效率为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99%</w:t>
      </w:r>
      <w:r>
        <w:rPr>
          <w:rFonts w:ascii="宋体" w:hAnsi="宋体" w:eastAsia="宋体" w:cs="宋体"/>
          <w:spacing w:val="-2"/>
          <w:sz w:val="24"/>
          <w:szCs w:val="24"/>
        </w:rPr>
        <w:t>。</w:t>
      </w:r>
    </w:p>
    <w:p w14:paraId="532AA40D">
      <w:pPr>
        <w:spacing w:before="33" w:line="354" w:lineRule="auto"/>
        <w:ind w:left="119" w:right="107" w:firstLine="477"/>
        <w:rPr>
          <w:rFonts w:ascii="宋体" w:hAnsi="宋体" w:eastAsia="宋体" w:cs="宋体"/>
          <w:sz w:val="24"/>
          <w:szCs w:val="24"/>
        </w:rPr>
      </w:pPr>
      <w:r>
        <w:rPr>
          <w:rFonts w:ascii="宋体" w:hAnsi="宋体" w:eastAsia="宋体" w:cs="宋体"/>
          <w:spacing w:val="2"/>
          <w:sz w:val="24"/>
          <w:szCs w:val="24"/>
        </w:rPr>
        <w:t>锰硅出铁出渣及浇铸烟气粉尘经集气罩收集量合计为</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338.</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2"/>
          <w:sz w:val="24"/>
          <w:szCs w:val="24"/>
        </w:rPr>
        <w:t>15t/a</w:t>
      </w:r>
      <w:r>
        <w:rPr>
          <w:rFonts w:ascii="宋体" w:hAnsi="宋体" w:eastAsia="宋体" w:cs="宋体"/>
          <w:spacing w:val="2"/>
          <w:sz w:val="24"/>
          <w:szCs w:val="24"/>
        </w:rPr>
        <w:t>；处理后排放量为</w:t>
      </w:r>
      <w:r>
        <w:rPr>
          <w:rFonts w:ascii="宋体" w:hAnsi="宋体" w:eastAsia="宋体" w:cs="宋体"/>
          <w:sz w:val="24"/>
          <w:szCs w:val="24"/>
        </w:rPr>
        <w:t xml:space="preserve"> </w:t>
      </w:r>
      <w:r>
        <w:rPr>
          <w:rFonts w:ascii="Times New Roman" w:hAnsi="Times New Roman" w:eastAsia="Times New Roman" w:cs="Times New Roman"/>
          <w:spacing w:val="-2"/>
          <w:sz w:val="24"/>
          <w:szCs w:val="24"/>
        </w:rPr>
        <w:t>1.69t/a</w:t>
      </w:r>
      <w:r>
        <w:rPr>
          <w:rFonts w:ascii="Times New Roman" w:hAnsi="Times New Roman" w:eastAsia="Times New Roman" w:cs="Times New Roman"/>
          <w:spacing w:val="-35"/>
          <w:sz w:val="24"/>
          <w:szCs w:val="24"/>
        </w:rPr>
        <w:t xml:space="preserve"> </w:t>
      </w:r>
      <w:r>
        <w:rPr>
          <w:rFonts w:ascii="宋体" w:hAnsi="宋体" w:eastAsia="宋体" w:cs="宋体"/>
          <w:spacing w:val="-2"/>
          <w:sz w:val="24"/>
          <w:szCs w:val="24"/>
        </w:rPr>
        <w:t>、排放速率为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1.02kg/h</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w:t>
      </w:r>
      <w:r>
        <w:rPr>
          <w:rFonts w:ascii="宋体" w:hAnsi="宋体" w:eastAsia="宋体" w:cs="宋体"/>
          <w:spacing w:val="-3"/>
          <w:sz w:val="24"/>
          <w:szCs w:val="24"/>
        </w:rPr>
        <w:t>未捕集部分颗粒物中</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90%</w:t>
      </w:r>
      <w:r>
        <w:rPr>
          <w:rFonts w:ascii="宋体" w:hAnsi="宋体" w:eastAsia="宋体" w:cs="宋体"/>
          <w:spacing w:val="-3"/>
          <w:sz w:val="24"/>
          <w:szCs w:val="24"/>
        </w:rPr>
        <w:t>在封闭车间内沉降，因此以无</w:t>
      </w:r>
      <w:r>
        <w:rPr>
          <w:rFonts w:ascii="宋体" w:hAnsi="宋体" w:eastAsia="宋体" w:cs="宋体"/>
          <w:sz w:val="24"/>
          <w:szCs w:val="24"/>
        </w:rPr>
        <w:t xml:space="preserve"> </w:t>
      </w:r>
      <w:r>
        <w:rPr>
          <w:rFonts w:ascii="宋体" w:hAnsi="宋体" w:eastAsia="宋体" w:cs="宋体"/>
          <w:spacing w:val="-4"/>
          <w:sz w:val="24"/>
          <w:szCs w:val="24"/>
        </w:rPr>
        <w:t>组织形式排放的粉尘量为</w:t>
      </w:r>
      <w:r>
        <w:rPr>
          <w:rFonts w:ascii="宋体" w:hAnsi="宋体" w:eastAsia="宋体" w:cs="宋体"/>
          <w:spacing w:val="-16"/>
          <w:sz w:val="24"/>
          <w:szCs w:val="24"/>
        </w:rPr>
        <w:t xml:space="preserve"> </w:t>
      </w:r>
      <w:r>
        <w:rPr>
          <w:rFonts w:ascii="Times New Roman" w:hAnsi="Times New Roman" w:eastAsia="Times New Roman" w:cs="Times New Roman"/>
          <w:spacing w:val="-4"/>
          <w:sz w:val="24"/>
          <w:szCs w:val="24"/>
        </w:rPr>
        <w:t>1.07kg/h</w:t>
      </w:r>
      <w:r>
        <w:rPr>
          <w:rFonts w:ascii="Times New Roman" w:hAnsi="Times New Roman" w:eastAsia="Times New Roman" w:cs="Times New Roman"/>
          <w:spacing w:val="-29"/>
          <w:sz w:val="24"/>
          <w:szCs w:val="24"/>
        </w:rPr>
        <w:t xml:space="preserve"> </w:t>
      </w:r>
      <w:r>
        <w:rPr>
          <w:rFonts w:ascii="宋体" w:hAnsi="宋体" w:eastAsia="宋体" w:cs="宋体"/>
          <w:spacing w:val="-4"/>
          <w:sz w:val="24"/>
          <w:szCs w:val="24"/>
        </w:rPr>
        <w:t>，即</w:t>
      </w:r>
      <w:r>
        <w:rPr>
          <w:rFonts w:ascii="宋体" w:hAnsi="宋体" w:eastAsia="宋体" w:cs="宋体"/>
          <w:spacing w:val="-31"/>
          <w:sz w:val="24"/>
          <w:szCs w:val="24"/>
        </w:rPr>
        <w:t xml:space="preserve"> </w:t>
      </w:r>
      <w:r>
        <w:rPr>
          <w:rFonts w:ascii="Times New Roman" w:hAnsi="Times New Roman" w:eastAsia="Times New Roman" w:cs="Times New Roman"/>
          <w:spacing w:val="-4"/>
          <w:sz w:val="24"/>
          <w:szCs w:val="24"/>
        </w:rPr>
        <w:t>1.78t/a</w:t>
      </w:r>
      <w:r>
        <w:rPr>
          <w:rFonts w:ascii="宋体" w:hAnsi="宋体" w:eastAsia="宋体" w:cs="宋体"/>
          <w:spacing w:val="-4"/>
          <w:sz w:val="24"/>
          <w:szCs w:val="24"/>
        </w:rPr>
        <w:t>。</w:t>
      </w:r>
    </w:p>
    <w:p w14:paraId="14856CF4">
      <w:pPr>
        <w:spacing w:before="64" w:line="228" w:lineRule="auto"/>
        <w:ind w:left="1585"/>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3"/>
          <w:sz w:val="20"/>
          <w:szCs w:val="20"/>
        </w:rPr>
        <w:t xml:space="preserve"> </w:t>
      </w:r>
      <w:r>
        <w:rPr>
          <w:rFonts w:ascii="Times New Roman" w:hAnsi="Times New Roman" w:eastAsia="Times New Roman" w:cs="Times New Roman"/>
          <w:b/>
          <w:bCs/>
          <w:spacing w:val="6"/>
          <w:sz w:val="20"/>
          <w:szCs w:val="20"/>
        </w:rPr>
        <w:t xml:space="preserve">2.3-20            </w:t>
      </w:r>
      <w:r>
        <w:rPr>
          <w:rFonts w:ascii="宋体" w:hAnsi="宋体" w:eastAsia="宋体" w:cs="宋体"/>
          <w:b/>
          <w:bCs/>
          <w:spacing w:val="6"/>
          <w:sz w:val="20"/>
          <w:szCs w:val="20"/>
        </w:rPr>
        <w:t>项目锰硅出铁出渣及浇铸烟气粉尘产排</w:t>
      </w:r>
      <w:r>
        <w:rPr>
          <w:rFonts w:ascii="宋体" w:hAnsi="宋体" w:eastAsia="宋体" w:cs="宋体"/>
          <w:b/>
          <w:bCs/>
          <w:spacing w:val="5"/>
          <w:sz w:val="20"/>
          <w:szCs w:val="20"/>
        </w:rPr>
        <w:t>情况汇总表</w:t>
      </w:r>
    </w:p>
    <w:p w14:paraId="00F25EC3">
      <w:pPr>
        <w:spacing w:line="97" w:lineRule="exact"/>
      </w:pPr>
    </w:p>
    <w:tbl>
      <w:tblPr>
        <w:tblStyle w:val="5"/>
        <w:tblW w:w="923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54"/>
        <w:gridCol w:w="1607"/>
        <w:gridCol w:w="976"/>
        <w:gridCol w:w="1012"/>
        <w:gridCol w:w="1167"/>
        <w:gridCol w:w="866"/>
        <w:gridCol w:w="1028"/>
        <w:gridCol w:w="860"/>
        <w:gridCol w:w="860"/>
      </w:tblGrid>
      <w:tr w14:paraId="0D8DE4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2461" w:type="dxa"/>
            <w:gridSpan w:val="2"/>
            <w:vMerge w:val="restart"/>
            <w:tcBorders>
              <w:top w:val="single" w:color="000000" w:sz="10" w:space="0"/>
              <w:left w:val="nil"/>
              <w:bottom w:val="nil"/>
            </w:tcBorders>
            <w:vAlign w:val="top"/>
          </w:tcPr>
          <w:p w14:paraId="07447A49">
            <w:pPr>
              <w:spacing w:line="301" w:lineRule="auto"/>
              <w:rPr>
                <w:rFonts w:ascii="Arial"/>
                <w:sz w:val="21"/>
              </w:rPr>
            </w:pPr>
          </w:p>
          <w:p w14:paraId="5F111AA4">
            <w:pPr>
              <w:pStyle w:val="6"/>
              <w:spacing w:before="65" w:line="228" w:lineRule="auto"/>
              <w:ind w:left="925"/>
              <w:rPr>
                <w:sz w:val="20"/>
                <w:szCs w:val="20"/>
              </w:rPr>
            </w:pPr>
            <w:r>
              <w:rPr>
                <w:spacing w:val="6"/>
                <w:sz w:val="20"/>
                <w:szCs w:val="20"/>
              </w:rPr>
              <w:t>污染物</w:t>
            </w:r>
          </w:p>
        </w:tc>
        <w:tc>
          <w:tcPr>
            <w:tcW w:w="1988" w:type="dxa"/>
            <w:gridSpan w:val="2"/>
            <w:tcBorders>
              <w:top w:val="single" w:color="000000" w:sz="10" w:space="0"/>
            </w:tcBorders>
            <w:vAlign w:val="top"/>
          </w:tcPr>
          <w:p w14:paraId="4FAF3504">
            <w:pPr>
              <w:pStyle w:val="6"/>
              <w:spacing w:before="72" w:line="228" w:lineRule="auto"/>
              <w:ind w:left="579"/>
              <w:rPr>
                <w:sz w:val="20"/>
                <w:szCs w:val="20"/>
              </w:rPr>
            </w:pPr>
            <w:r>
              <w:rPr>
                <w:spacing w:val="7"/>
                <w:sz w:val="20"/>
                <w:szCs w:val="20"/>
              </w:rPr>
              <w:t>产生情况</w:t>
            </w:r>
          </w:p>
        </w:tc>
        <w:tc>
          <w:tcPr>
            <w:tcW w:w="2033" w:type="dxa"/>
            <w:gridSpan w:val="2"/>
            <w:tcBorders>
              <w:top w:val="single" w:color="000000" w:sz="10" w:space="0"/>
            </w:tcBorders>
            <w:vAlign w:val="top"/>
          </w:tcPr>
          <w:p w14:paraId="79AD5416">
            <w:pPr>
              <w:pStyle w:val="6"/>
              <w:spacing w:before="72" w:line="228" w:lineRule="auto"/>
              <w:ind w:left="610"/>
              <w:rPr>
                <w:sz w:val="20"/>
                <w:szCs w:val="20"/>
              </w:rPr>
            </w:pPr>
            <w:r>
              <w:rPr>
                <w:spacing w:val="5"/>
                <w:sz w:val="20"/>
                <w:szCs w:val="20"/>
              </w:rPr>
              <w:t>收集处置</w:t>
            </w:r>
          </w:p>
        </w:tc>
        <w:tc>
          <w:tcPr>
            <w:tcW w:w="1888" w:type="dxa"/>
            <w:gridSpan w:val="2"/>
            <w:tcBorders>
              <w:top w:val="single" w:color="000000" w:sz="10" w:space="0"/>
            </w:tcBorders>
            <w:vAlign w:val="top"/>
          </w:tcPr>
          <w:p w14:paraId="72D503A4">
            <w:pPr>
              <w:pStyle w:val="6"/>
              <w:spacing w:before="73" w:line="228" w:lineRule="auto"/>
              <w:ind w:left="426"/>
              <w:rPr>
                <w:sz w:val="20"/>
                <w:szCs w:val="20"/>
              </w:rPr>
            </w:pPr>
            <w:r>
              <w:rPr>
                <w:spacing w:val="7"/>
                <w:sz w:val="20"/>
                <w:szCs w:val="20"/>
              </w:rPr>
              <w:t>无组织排放</w:t>
            </w:r>
          </w:p>
        </w:tc>
        <w:tc>
          <w:tcPr>
            <w:tcW w:w="860" w:type="dxa"/>
            <w:vMerge w:val="restart"/>
            <w:tcBorders>
              <w:top w:val="single" w:color="000000" w:sz="10" w:space="0"/>
              <w:bottom w:val="nil"/>
              <w:right w:val="nil"/>
            </w:tcBorders>
            <w:vAlign w:val="top"/>
          </w:tcPr>
          <w:p w14:paraId="2597A386">
            <w:pPr>
              <w:pStyle w:val="6"/>
              <w:spacing w:before="106"/>
              <w:ind w:left="130" w:right="115" w:hanging="8"/>
              <w:rPr>
                <w:sz w:val="20"/>
                <w:szCs w:val="20"/>
              </w:rPr>
            </w:pPr>
            <w:r>
              <w:rPr>
                <w:spacing w:val="6"/>
                <w:sz w:val="20"/>
                <w:szCs w:val="20"/>
              </w:rPr>
              <w:t>车间内</w:t>
            </w:r>
            <w:r>
              <w:rPr>
                <w:sz w:val="20"/>
                <w:szCs w:val="20"/>
              </w:rPr>
              <w:t xml:space="preserve"> </w:t>
            </w:r>
            <w:r>
              <w:rPr>
                <w:spacing w:val="18"/>
                <w:w w:val="117"/>
                <w:sz w:val="20"/>
                <w:szCs w:val="20"/>
              </w:rPr>
              <w:t>沉降</w:t>
            </w:r>
            <w:r>
              <w:rPr>
                <w:sz w:val="20"/>
                <w:szCs w:val="20"/>
              </w:rPr>
              <w:t xml:space="preserve">  （</w:t>
            </w:r>
            <w:r>
              <w:rPr>
                <w:rFonts w:ascii="Times New Roman" w:hAnsi="Times New Roman" w:eastAsia="Times New Roman" w:cs="Times New Roman"/>
                <w:sz w:val="20"/>
                <w:szCs w:val="20"/>
              </w:rPr>
              <w:t>t/a</w:t>
            </w:r>
            <w:r>
              <w:rPr>
                <w:sz w:val="20"/>
                <w:szCs w:val="20"/>
              </w:rPr>
              <w:t>）</w:t>
            </w:r>
          </w:p>
        </w:tc>
      </w:tr>
      <w:tr w14:paraId="617446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2461" w:type="dxa"/>
            <w:gridSpan w:val="2"/>
            <w:vMerge w:val="continue"/>
            <w:tcBorders>
              <w:top w:val="nil"/>
              <w:left w:val="nil"/>
            </w:tcBorders>
            <w:vAlign w:val="top"/>
          </w:tcPr>
          <w:p w14:paraId="3B3C126D">
            <w:pPr>
              <w:rPr>
                <w:rFonts w:ascii="Arial"/>
                <w:sz w:val="21"/>
              </w:rPr>
            </w:pPr>
          </w:p>
        </w:tc>
        <w:tc>
          <w:tcPr>
            <w:tcW w:w="976" w:type="dxa"/>
            <w:vAlign w:val="top"/>
          </w:tcPr>
          <w:p w14:paraId="2359056D">
            <w:pPr>
              <w:pStyle w:val="6"/>
              <w:spacing w:before="64" w:line="230" w:lineRule="auto"/>
              <w:ind w:left="124" w:right="91" w:firstLine="159"/>
              <w:rPr>
                <w:sz w:val="20"/>
                <w:szCs w:val="20"/>
              </w:rPr>
            </w:pPr>
            <w:r>
              <w:rPr>
                <w:spacing w:val="5"/>
                <w:sz w:val="20"/>
                <w:szCs w:val="20"/>
              </w:rPr>
              <w:t>速率</w:t>
            </w:r>
            <w:r>
              <w:rPr>
                <w:sz w:val="20"/>
                <w:szCs w:val="20"/>
              </w:rPr>
              <w:t xml:space="preserve">   （</w:t>
            </w:r>
            <w:r>
              <w:rPr>
                <w:rFonts w:ascii="Times New Roman" w:hAnsi="Times New Roman" w:eastAsia="Times New Roman" w:cs="Times New Roman"/>
                <w:sz w:val="20"/>
                <w:szCs w:val="20"/>
              </w:rPr>
              <w:t>kg/h</w:t>
            </w:r>
            <w:r>
              <w:rPr>
                <w:sz w:val="20"/>
                <w:szCs w:val="20"/>
              </w:rPr>
              <w:t>）</w:t>
            </w:r>
          </w:p>
        </w:tc>
        <w:tc>
          <w:tcPr>
            <w:tcW w:w="1012" w:type="dxa"/>
            <w:vAlign w:val="top"/>
          </w:tcPr>
          <w:p w14:paraId="4356056C">
            <w:pPr>
              <w:pStyle w:val="6"/>
              <w:spacing w:before="64" w:line="231" w:lineRule="auto"/>
              <w:ind w:left="206" w:right="189" w:hanging="10"/>
              <w:rPr>
                <w:sz w:val="20"/>
                <w:szCs w:val="20"/>
              </w:rPr>
            </w:pPr>
            <w:r>
              <w:rPr>
                <w:spacing w:val="6"/>
                <w:sz w:val="20"/>
                <w:szCs w:val="20"/>
              </w:rPr>
              <w:t>产生量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1167" w:type="dxa"/>
            <w:vAlign w:val="top"/>
          </w:tcPr>
          <w:p w14:paraId="3E2C6953">
            <w:pPr>
              <w:pStyle w:val="6"/>
              <w:spacing w:before="64" w:line="231" w:lineRule="auto"/>
              <w:ind w:left="283" w:right="267" w:hanging="6"/>
              <w:rPr>
                <w:sz w:val="20"/>
                <w:szCs w:val="20"/>
              </w:rPr>
            </w:pPr>
            <w:r>
              <w:rPr>
                <w:spacing w:val="5"/>
                <w:sz w:val="20"/>
                <w:szCs w:val="20"/>
              </w:rPr>
              <w:t>去除量</w:t>
            </w:r>
            <w:r>
              <w:rPr>
                <w:spacing w:val="1"/>
                <w:sz w:val="20"/>
                <w:szCs w:val="20"/>
              </w:rPr>
              <w:t xml:space="preserve"> </w:t>
            </w:r>
            <w:r>
              <w:rPr>
                <w:sz w:val="20"/>
                <w:szCs w:val="20"/>
              </w:rPr>
              <w:t>（</w:t>
            </w:r>
            <w:r>
              <w:rPr>
                <w:rFonts w:ascii="Times New Roman" w:hAnsi="Times New Roman" w:eastAsia="Times New Roman" w:cs="Times New Roman"/>
                <w:sz w:val="20"/>
                <w:szCs w:val="20"/>
              </w:rPr>
              <w:t>t/a</w:t>
            </w:r>
            <w:r>
              <w:rPr>
                <w:sz w:val="20"/>
                <w:szCs w:val="20"/>
              </w:rPr>
              <w:t>）</w:t>
            </w:r>
          </w:p>
        </w:tc>
        <w:tc>
          <w:tcPr>
            <w:tcW w:w="866" w:type="dxa"/>
            <w:vAlign w:val="top"/>
          </w:tcPr>
          <w:p w14:paraId="08CB0F46">
            <w:pPr>
              <w:pStyle w:val="6"/>
              <w:spacing w:before="64" w:line="231" w:lineRule="auto"/>
              <w:ind w:left="134" w:right="115" w:hanging="10"/>
              <w:rPr>
                <w:sz w:val="20"/>
                <w:szCs w:val="20"/>
              </w:rPr>
            </w:pPr>
            <w:r>
              <w:rPr>
                <w:spacing w:val="6"/>
                <w:sz w:val="20"/>
                <w:szCs w:val="20"/>
              </w:rPr>
              <w:t>排放量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1028" w:type="dxa"/>
            <w:vAlign w:val="top"/>
          </w:tcPr>
          <w:p w14:paraId="0690FAD5">
            <w:pPr>
              <w:pStyle w:val="6"/>
              <w:spacing w:before="64" w:line="230" w:lineRule="auto"/>
              <w:ind w:left="132" w:right="134" w:firstLine="176"/>
              <w:rPr>
                <w:sz w:val="20"/>
                <w:szCs w:val="20"/>
              </w:rPr>
            </w:pPr>
            <w:r>
              <w:rPr>
                <w:spacing w:val="5"/>
                <w:sz w:val="20"/>
                <w:szCs w:val="20"/>
              </w:rPr>
              <w:t>速率</w:t>
            </w:r>
            <w:r>
              <w:rPr>
                <w:sz w:val="20"/>
                <w:szCs w:val="20"/>
              </w:rPr>
              <w:t xml:space="preserve">  （</w:t>
            </w:r>
            <w:r>
              <w:rPr>
                <w:rFonts w:ascii="Times New Roman" w:hAnsi="Times New Roman" w:eastAsia="Times New Roman" w:cs="Times New Roman"/>
                <w:sz w:val="20"/>
                <w:szCs w:val="20"/>
              </w:rPr>
              <w:t>kg/h</w:t>
            </w:r>
            <w:r>
              <w:rPr>
                <w:sz w:val="20"/>
                <w:szCs w:val="20"/>
              </w:rPr>
              <w:t>）</w:t>
            </w:r>
          </w:p>
        </w:tc>
        <w:tc>
          <w:tcPr>
            <w:tcW w:w="860" w:type="dxa"/>
            <w:vAlign w:val="top"/>
          </w:tcPr>
          <w:p w14:paraId="3FBEFEFB">
            <w:pPr>
              <w:pStyle w:val="6"/>
              <w:spacing w:before="64" w:line="231" w:lineRule="auto"/>
              <w:ind w:left="131" w:right="112" w:hanging="10"/>
              <w:rPr>
                <w:sz w:val="20"/>
                <w:szCs w:val="20"/>
              </w:rPr>
            </w:pPr>
            <w:r>
              <w:rPr>
                <w:spacing w:val="6"/>
                <w:sz w:val="20"/>
                <w:szCs w:val="20"/>
              </w:rPr>
              <w:t>排放量</w:t>
            </w:r>
            <w:r>
              <w:rPr>
                <w:spacing w:val="1"/>
                <w:sz w:val="20"/>
                <w:szCs w:val="20"/>
              </w:rPr>
              <w:t xml:space="preserve"> </w:t>
            </w:r>
            <w:r>
              <w:rPr>
                <w:spacing w:val="-1"/>
                <w:sz w:val="20"/>
                <w:szCs w:val="20"/>
              </w:rPr>
              <w:t>（</w:t>
            </w:r>
            <w:r>
              <w:rPr>
                <w:rFonts w:ascii="Times New Roman" w:hAnsi="Times New Roman" w:eastAsia="Times New Roman" w:cs="Times New Roman"/>
                <w:spacing w:val="-1"/>
                <w:sz w:val="20"/>
                <w:szCs w:val="20"/>
              </w:rPr>
              <w:t>t/a</w:t>
            </w:r>
            <w:r>
              <w:rPr>
                <w:spacing w:val="-1"/>
                <w:sz w:val="20"/>
                <w:szCs w:val="20"/>
              </w:rPr>
              <w:t>）</w:t>
            </w:r>
          </w:p>
        </w:tc>
        <w:tc>
          <w:tcPr>
            <w:tcW w:w="860" w:type="dxa"/>
            <w:vMerge w:val="continue"/>
            <w:tcBorders>
              <w:top w:val="nil"/>
              <w:right w:val="nil"/>
            </w:tcBorders>
            <w:vAlign w:val="top"/>
          </w:tcPr>
          <w:p w14:paraId="0035AFB8">
            <w:pPr>
              <w:rPr>
                <w:rFonts w:ascii="Arial"/>
                <w:sz w:val="21"/>
              </w:rPr>
            </w:pPr>
          </w:p>
        </w:tc>
      </w:tr>
      <w:tr w14:paraId="1B08F3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854" w:type="dxa"/>
            <w:vMerge w:val="restart"/>
            <w:tcBorders>
              <w:left w:val="nil"/>
              <w:bottom w:val="nil"/>
            </w:tcBorders>
            <w:vAlign w:val="top"/>
          </w:tcPr>
          <w:p w14:paraId="691157A3">
            <w:pPr>
              <w:pStyle w:val="6"/>
              <w:spacing w:before="43" w:line="230" w:lineRule="auto"/>
              <w:ind w:left="119" w:right="110"/>
              <w:jc w:val="both"/>
              <w:rPr>
                <w:sz w:val="20"/>
                <w:szCs w:val="20"/>
              </w:rPr>
            </w:pPr>
            <w:r>
              <w:rPr>
                <w:spacing w:val="6"/>
                <w:sz w:val="20"/>
                <w:szCs w:val="20"/>
              </w:rPr>
              <w:t>锰硅出</w:t>
            </w:r>
            <w:r>
              <w:rPr>
                <w:spacing w:val="1"/>
                <w:sz w:val="20"/>
                <w:szCs w:val="20"/>
              </w:rPr>
              <w:t xml:space="preserve"> </w:t>
            </w:r>
            <w:r>
              <w:rPr>
                <w:spacing w:val="7"/>
                <w:sz w:val="20"/>
                <w:szCs w:val="20"/>
              </w:rPr>
              <w:t>铁出渣</w:t>
            </w:r>
            <w:r>
              <w:rPr>
                <w:sz w:val="20"/>
                <w:szCs w:val="20"/>
              </w:rPr>
              <w:t xml:space="preserve"> </w:t>
            </w:r>
            <w:r>
              <w:rPr>
                <w:spacing w:val="7"/>
                <w:sz w:val="20"/>
                <w:szCs w:val="20"/>
              </w:rPr>
              <w:t>及浇铸</w:t>
            </w:r>
          </w:p>
        </w:tc>
        <w:tc>
          <w:tcPr>
            <w:tcW w:w="1607" w:type="dxa"/>
            <w:vAlign w:val="top"/>
          </w:tcPr>
          <w:p w14:paraId="3F789629">
            <w:pPr>
              <w:pStyle w:val="6"/>
              <w:spacing w:before="106" w:line="228" w:lineRule="auto"/>
              <w:ind w:left="493"/>
              <w:rPr>
                <w:sz w:val="20"/>
                <w:szCs w:val="20"/>
              </w:rPr>
            </w:pPr>
            <w:r>
              <w:rPr>
                <w:spacing w:val="7"/>
                <w:sz w:val="20"/>
                <w:szCs w:val="20"/>
              </w:rPr>
              <w:t>颗粒物</w:t>
            </w:r>
          </w:p>
        </w:tc>
        <w:tc>
          <w:tcPr>
            <w:tcW w:w="976" w:type="dxa"/>
            <w:vAlign w:val="top"/>
          </w:tcPr>
          <w:p w14:paraId="158EB723">
            <w:pPr>
              <w:spacing w:before="141" w:line="195" w:lineRule="auto"/>
              <w:ind w:left="20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213.78</w:t>
            </w:r>
          </w:p>
        </w:tc>
        <w:tc>
          <w:tcPr>
            <w:tcW w:w="1012" w:type="dxa"/>
            <w:vAlign w:val="top"/>
          </w:tcPr>
          <w:p w14:paraId="3A5E29AA">
            <w:pPr>
              <w:spacing w:before="141" w:line="195" w:lineRule="auto"/>
              <w:ind w:left="22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355.95</w:t>
            </w:r>
          </w:p>
        </w:tc>
        <w:tc>
          <w:tcPr>
            <w:tcW w:w="1167" w:type="dxa"/>
            <w:vAlign w:val="top"/>
          </w:tcPr>
          <w:p w14:paraId="72EABE75">
            <w:pPr>
              <w:spacing w:before="141" w:line="195" w:lineRule="auto"/>
              <w:ind w:left="3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334.77</w:t>
            </w:r>
          </w:p>
        </w:tc>
        <w:tc>
          <w:tcPr>
            <w:tcW w:w="866" w:type="dxa"/>
            <w:vAlign w:val="top"/>
          </w:tcPr>
          <w:p w14:paraId="06031C7D">
            <w:pPr>
              <w:spacing w:before="141" w:line="195"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3.38</w:t>
            </w:r>
          </w:p>
        </w:tc>
        <w:tc>
          <w:tcPr>
            <w:tcW w:w="1028" w:type="dxa"/>
            <w:vAlign w:val="top"/>
          </w:tcPr>
          <w:p w14:paraId="326E5517">
            <w:pPr>
              <w:spacing w:before="141" w:line="195" w:lineRule="auto"/>
              <w:ind w:left="35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1.07</w:t>
            </w:r>
          </w:p>
        </w:tc>
        <w:tc>
          <w:tcPr>
            <w:tcW w:w="860" w:type="dxa"/>
            <w:vAlign w:val="top"/>
          </w:tcPr>
          <w:p w14:paraId="77B003E5">
            <w:pPr>
              <w:spacing w:before="141" w:line="195" w:lineRule="auto"/>
              <w:ind w:left="26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1.78</w:t>
            </w:r>
          </w:p>
        </w:tc>
        <w:tc>
          <w:tcPr>
            <w:tcW w:w="860" w:type="dxa"/>
            <w:tcBorders>
              <w:right w:val="nil"/>
            </w:tcBorders>
            <w:vAlign w:val="top"/>
          </w:tcPr>
          <w:p w14:paraId="509A63F4">
            <w:pPr>
              <w:spacing w:before="141" w:line="195" w:lineRule="auto"/>
              <w:ind w:left="21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16.02</w:t>
            </w:r>
          </w:p>
        </w:tc>
      </w:tr>
      <w:tr w14:paraId="731775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0" w:hRule="atLeast"/>
        </w:trPr>
        <w:tc>
          <w:tcPr>
            <w:tcW w:w="854" w:type="dxa"/>
            <w:vMerge w:val="continue"/>
            <w:tcBorders>
              <w:top w:val="nil"/>
              <w:left w:val="nil"/>
              <w:bottom w:val="single" w:color="000000" w:sz="10" w:space="0"/>
            </w:tcBorders>
            <w:vAlign w:val="top"/>
          </w:tcPr>
          <w:p w14:paraId="6DF84814">
            <w:pPr>
              <w:rPr>
                <w:rFonts w:ascii="Arial"/>
                <w:sz w:val="21"/>
              </w:rPr>
            </w:pPr>
          </w:p>
        </w:tc>
        <w:tc>
          <w:tcPr>
            <w:tcW w:w="1607" w:type="dxa"/>
            <w:tcBorders>
              <w:bottom w:val="single" w:color="000000" w:sz="10" w:space="0"/>
            </w:tcBorders>
            <w:vAlign w:val="top"/>
          </w:tcPr>
          <w:p w14:paraId="7BF6FD6A">
            <w:pPr>
              <w:pStyle w:val="6"/>
              <w:spacing w:before="111" w:line="229" w:lineRule="auto"/>
              <w:ind w:left="177"/>
              <w:rPr>
                <w:sz w:val="20"/>
                <w:szCs w:val="20"/>
              </w:rPr>
            </w:pPr>
            <w:r>
              <w:rPr>
                <w:spacing w:val="8"/>
                <w:sz w:val="20"/>
                <w:szCs w:val="20"/>
              </w:rPr>
              <w:t>锰及其化合物</w:t>
            </w:r>
          </w:p>
        </w:tc>
        <w:tc>
          <w:tcPr>
            <w:tcW w:w="976" w:type="dxa"/>
            <w:tcBorders>
              <w:bottom w:val="single" w:color="000000" w:sz="10" w:space="0"/>
            </w:tcBorders>
            <w:vAlign w:val="top"/>
          </w:tcPr>
          <w:p w14:paraId="190A960A">
            <w:pPr>
              <w:spacing w:before="144" w:line="195"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57.29</w:t>
            </w:r>
          </w:p>
        </w:tc>
        <w:tc>
          <w:tcPr>
            <w:tcW w:w="1012" w:type="dxa"/>
            <w:tcBorders>
              <w:bottom w:val="single" w:color="000000" w:sz="10" w:space="0"/>
            </w:tcBorders>
            <w:vAlign w:val="top"/>
          </w:tcPr>
          <w:p w14:paraId="40E7A7AE">
            <w:pPr>
              <w:spacing w:before="144" w:line="195" w:lineRule="auto"/>
              <w:ind w:left="2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95.39</w:t>
            </w:r>
          </w:p>
        </w:tc>
        <w:tc>
          <w:tcPr>
            <w:tcW w:w="1167" w:type="dxa"/>
            <w:tcBorders>
              <w:bottom w:val="single" w:color="000000" w:sz="10" w:space="0"/>
            </w:tcBorders>
            <w:vAlign w:val="top"/>
          </w:tcPr>
          <w:p w14:paraId="27D46814">
            <w:pPr>
              <w:spacing w:before="144" w:line="195" w:lineRule="auto"/>
              <w:ind w:left="3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89.71</w:t>
            </w:r>
          </w:p>
        </w:tc>
        <w:tc>
          <w:tcPr>
            <w:tcW w:w="866" w:type="dxa"/>
            <w:tcBorders>
              <w:bottom w:val="single" w:color="000000" w:sz="10" w:space="0"/>
            </w:tcBorders>
            <w:vAlign w:val="top"/>
          </w:tcPr>
          <w:p w14:paraId="203B0651">
            <w:pPr>
              <w:spacing w:before="144"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0.91</w:t>
            </w:r>
          </w:p>
        </w:tc>
        <w:tc>
          <w:tcPr>
            <w:tcW w:w="1028" w:type="dxa"/>
            <w:tcBorders>
              <w:bottom w:val="single" w:color="000000" w:sz="10" w:space="0"/>
            </w:tcBorders>
            <w:vAlign w:val="top"/>
          </w:tcPr>
          <w:p w14:paraId="7AFC3356">
            <w:pPr>
              <w:spacing w:before="144"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0.29</w:t>
            </w:r>
          </w:p>
        </w:tc>
        <w:tc>
          <w:tcPr>
            <w:tcW w:w="860" w:type="dxa"/>
            <w:tcBorders>
              <w:bottom w:val="single" w:color="000000" w:sz="10" w:space="0"/>
            </w:tcBorders>
            <w:vAlign w:val="top"/>
          </w:tcPr>
          <w:p w14:paraId="293E7A8F">
            <w:pPr>
              <w:spacing w:before="144" w:line="195" w:lineRule="auto"/>
              <w:ind w:left="2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0.48</w:t>
            </w:r>
          </w:p>
        </w:tc>
        <w:tc>
          <w:tcPr>
            <w:tcW w:w="860" w:type="dxa"/>
            <w:tcBorders>
              <w:bottom w:val="single" w:color="000000" w:sz="10" w:space="0"/>
              <w:right w:val="nil"/>
            </w:tcBorders>
            <w:vAlign w:val="top"/>
          </w:tcPr>
          <w:p w14:paraId="15B61853">
            <w:pPr>
              <w:spacing w:before="144"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4.29</w:t>
            </w:r>
          </w:p>
        </w:tc>
      </w:tr>
    </w:tbl>
    <w:p w14:paraId="085B554B">
      <w:pPr>
        <w:spacing w:before="119" w:line="220" w:lineRule="auto"/>
        <w:ind w:left="607"/>
        <w:rPr>
          <w:rFonts w:ascii="宋体" w:hAnsi="宋体" w:eastAsia="宋体" w:cs="宋体"/>
          <w:sz w:val="24"/>
          <w:szCs w:val="24"/>
        </w:rPr>
      </w:pPr>
      <w:r>
        <w:rPr>
          <w:rFonts w:ascii="宋体" w:hAnsi="宋体" w:eastAsia="宋体" w:cs="宋体"/>
          <w:b/>
          <w:bCs/>
          <w:spacing w:val="-2"/>
          <w:sz w:val="24"/>
          <w:szCs w:val="24"/>
        </w:rPr>
        <w:t>（</w:t>
      </w:r>
      <w:r>
        <w:rPr>
          <w:rFonts w:ascii="Times New Roman" w:hAnsi="Times New Roman" w:eastAsia="Times New Roman" w:cs="Times New Roman"/>
          <w:b/>
          <w:bCs/>
          <w:spacing w:val="-2"/>
          <w:sz w:val="24"/>
          <w:szCs w:val="24"/>
        </w:rPr>
        <w:t>9</w:t>
      </w:r>
      <w:r>
        <w:rPr>
          <w:rFonts w:ascii="宋体" w:hAnsi="宋体" w:eastAsia="宋体" w:cs="宋体"/>
          <w:b/>
          <w:bCs/>
          <w:spacing w:val="-2"/>
          <w:sz w:val="24"/>
          <w:szCs w:val="24"/>
        </w:rPr>
        <w:t>）煤气发电装置废气（</w:t>
      </w:r>
      <w:r>
        <w:rPr>
          <w:rFonts w:ascii="Times New Roman" w:hAnsi="Times New Roman" w:eastAsia="Times New Roman" w:cs="Times New Roman"/>
          <w:b/>
          <w:bCs/>
          <w:spacing w:val="-2"/>
          <w:sz w:val="24"/>
          <w:szCs w:val="24"/>
        </w:rPr>
        <w:t>G</w:t>
      </w:r>
      <w:r>
        <w:rPr>
          <w:rFonts w:ascii="Times New Roman" w:hAnsi="Times New Roman" w:eastAsia="Times New Roman" w:cs="Times New Roman"/>
          <w:b/>
          <w:bCs/>
          <w:spacing w:val="-2"/>
          <w:sz w:val="15"/>
          <w:szCs w:val="15"/>
        </w:rPr>
        <w:t>2-1</w:t>
      </w:r>
      <w:r>
        <w:rPr>
          <w:rFonts w:ascii="宋体" w:hAnsi="宋体" w:eastAsia="宋体" w:cs="宋体"/>
          <w:b/>
          <w:bCs/>
          <w:spacing w:val="-2"/>
          <w:sz w:val="24"/>
          <w:szCs w:val="24"/>
        </w:rPr>
        <w:t>）</w:t>
      </w:r>
    </w:p>
    <w:p w14:paraId="39E3C247">
      <w:pPr>
        <w:spacing w:before="191" w:line="354" w:lineRule="auto"/>
        <w:ind w:left="118" w:right="107" w:firstLine="478"/>
        <w:rPr>
          <w:rFonts w:ascii="宋体" w:hAnsi="宋体" w:eastAsia="宋体" w:cs="宋体"/>
          <w:sz w:val="24"/>
          <w:szCs w:val="24"/>
        </w:rPr>
      </w:pPr>
      <w:r>
        <w:rPr>
          <w:rFonts w:ascii="宋体" w:hAnsi="宋体" w:eastAsia="宋体" w:cs="宋体"/>
          <w:spacing w:val="-5"/>
          <w:sz w:val="24"/>
          <w:szCs w:val="24"/>
        </w:rPr>
        <w:t>本项目煤气发电系统配置</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28"/>
          <w:sz w:val="24"/>
          <w:szCs w:val="24"/>
        </w:rPr>
        <w:t xml:space="preserve"> </w:t>
      </w:r>
      <w:r>
        <w:rPr>
          <w:rFonts w:ascii="宋体" w:hAnsi="宋体" w:eastAsia="宋体" w:cs="宋体"/>
          <w:spacing w:val="-5"/>
          <w:sz w:val="24"/>
          <w:szCs w:val="24"/>
        </w:rPr>
        <w:t>台</w:t>
      </w:r>
      <w:r>
        <w:rPr>
          <w:rFonts w:ascii="宋体" w:hAnsi="宋体" w:eastAsia="宋体" w:cs="宋体"/>
          <w:spacing w:val="-55"/>
          <w:sz w:val="24"/>
          <w:szCs w:val="24"/>
        </w:rPr>
        <w:t xml:space="preserve"> </w:t>
      </w:r>
      <w:r>
        <w:rPr>
          <w:rFonts w:ascii="Times New Roman" w:hAnsi="Times New Roman" w:eastAsia="Times New Roman" w:cs="Times New Roman"/>
          <w:spacing w:val="-5"/>
          <w:sz w:val="24"/>
          <w:szCs w:val="24"/>
        </w:rPr>
        <w:t>200t/h</w:t>
      </w:r>
      <w:r>
        <w:rPr>
          <w:rFonts w:ascii="Times New Roman" w:hAnsi="Times New Roman" w:eastAsia="Times New Roman" w:cs="Times New Roman"/>
          <w:spacing w:val="16"/>
          <w:sz w:val="24"/>
          <w:szCs w:val="24"/>
        </w:rPr>
        <w:t xml:space="preserve"> </w:t>
      </w:r>
      <w:r>
        <w:rPr>
          <w:rFonts w:ascii="宋体" w:hAnsi="宋体" w:eastAsia="宋体" w:cs="宋体"/>
          <w:spacing w:val="-5"/>
          <w:sz w:val="24"/>
          <w:szCs w:val="24"/>
        </w:rPr>
        <w:t>高温高压燃气锅炉，净</w:t>
      </w:r>
      <w:r>
        <w:rPr>
          <w:rFonts w:ascii="宋体" w:hAnsi="宋体" w:eastAsia="宋体" w:cs="宋体"/>
          <w:spacing w:val="-6"/>
          <w:sz w:val="24"/>
          <w:szCs w:val="24"/>
        </w:rPr>
        <w:t>化后电炉煤气消耗量为</w:t>
      </w:r>
      <w:r>
        <w:rPr>
          <w:rFonts w:ascii="宋体" w:hAnsi="宋体" w:eastAsia="宋体" w:cs="宋体"/>
          <w:sz w:val="24"/>
          <w:szCs w:val="24"/>
        </w:rPr>
        <w:t xml:space="preserve"> </w:t>
      </w:r>
      <w:r>
        <w:rPr>
          <w:rFonts w:ascii="Times New Roman" w:hAnsi="Times New Roman" w:eastAsia="Times New Roman" w:cs="Times New Roman"/>
          <w:spacing w:val="-1"/>
          <w:sz w:val="24"/>
          <w:szCs w:val="24"/>
        </w:rPr>
        <w:t>57570.75m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，锅炉烟气经</w:t>
      </w:r>
      <w:r>
        <w:rPr>
          <w:rFonts w:ascii="宋体" w:hAnsi="宋体" w:eastAsia="宋体" w:cs="宋体"/>
          <w:spacing w:val="-45"/>
          <w:sz w:val="24"/>
          <w:szCs w:val="24"/>
        </w:rPr>
        <w:t xml:space="preserve"> </w:t>
      </w:r>
      <w:r>
        <w:rPr>
          <w:rFonts w:ascii="Times New Roman" w:hAnsi="Times New Roman" w:eastAsia="Times New Roman" w:cs="Times New Roman"/>
          <w:spacing w:val="-1"/>
          <w:sz w:val="24"/>
          <w:szCs w:val="24"/>
        </w:rPr>
        <w:t xml:space="preserve">SCR </w:t>
      </w:r>
      <w:r>
        <w:rPr>
          <w:rFonts w:ascii="宋体" w:hAnsi="宋体" w:eastAsia="宋体" w:cs="宋体"/>
          <w:spacing w:val="-1"/>
          <w:sz w:val="24"/>
          <w:szCs w:val="24"/>
        </w:rPr>
        <w:t>处理。</w:t>
      </w:r>
      <w:r>
        <w:rPr>
          <w:rFonts w:ascii="Times New Roman" w:hAnsi="Times New Roman" w:eastAsia="Times New Roman" w:cs="Times New Roman"/>
          <w:spacing w:val="-1"/>
          <w:sz w:val="24"/>
          <w:szCs w:val="24"/>
        </w:rPr>
        <w:t xml:space="preserve">SCR </w:t>
      </w:r>
      <w:r>
        <w:rPr>
          <w:rFonts w:ascii="宋体" w:hAnsi="宋体" w:eastAsia="宋体" w:cs="宋体"/>
          <w:spacing w:val="-1"/>
          <w:sz w:val="24"/>
          <w:szCs w:val="24"/>
        </w:rPr>
        <w:t>脱硝装置处理烟气时会有</w:t>
      </w:r>
      <w:r>
        <w:rPr>
          <w:rFonts w:ascii="宋体" w:hAnsi="宋体" w:eastAsia="宋体" w:cs="宋体"/>
          <w:spacing w:val="-2"/>
          <w:sz w:val="24"/>
          <w:szCs w:val="24"/>
        </w:rPr>
        <w:t>少量氨气逃逸，</w:t>
      </w:r>
    </w:p>
    <w:p w14:paraId="223FF651">
      <w:pPr>
        <w:spacing w:before="35" w:line="353" w:lineRule="auto"/>
        <w:ind w:left="116" w:right="107"/>
        <w:rPr>
          <w:rFonts w:ascii="宋体" w:hAnsi="宋体" w:eastAsia="宋体" w:cs="宋体"/>
          <w:sz w:val="24"/>
          <w:szCs w:val="24"/>
        </w:rPr>
      </w:pPr>
      <w:r>
        <w:rPr>
          <w:rFonts w:ascii="宋体" w:hAnsi="宋体" w:eastAsia="宋体" w:cs="宋体"/>
          <w:spacing w:val="-3"/>
          <w:sz w:val="24"/>
          <w:szCs w:val="24"/>
        </w:rPr>
        <w:t>锅炉烟气主要污染物为二氧化硫、氮氧化物、颗粒物、锰及其化合物及脱硝装置逸散的</w:t>
      </w:r>
      <w:r>
        <w:rPr>
          <w:rFonts w:ascii="宋体" w:hAnsi="宋体" w:eastAsia="宋体" w:cs="宋体"/>
          <w:sz w:val="24"/>
          <w:szCs w:val="24"/>
        </w:rPr>
        <w:t xml:space="preserve"> </w:t>
      </w:r>
      <w:r>
        <w:rPr>
          <w:rFonts w:ascii="宋体" w:hAnsi="宋体" w:eastAsia="宋体" w:cs="宋体"/>
          <w:spacing w:val="-4"/>
          <w:sz w:val="24"/>
          <w:szCs w:val="24"/>
        </w:rPr>
        <w:t>氨气。</w:t>
      </w:r>
    </w:p>
    <w:p w14:paraId="57E1137F">
      <w:pPr>
        <w:spacing w:before="34" w:line="359" w:lineRule="auto"/>
        <w:ind w:left="110" w:right="107" w:firstLine="486"/>
        <w:rPr>
          <w:rFonts w:ascii="宋体" w:hAnsi="宋体" w:eastAsia="宋体" w:cs="宋体"/>
          <w:sz w:val="24"/>
          <w:szCs w:val="24"/>
        </w:rPr>
      </w:pPr>
      <w:r>
        <w:rPr>
          <w:rFonts w:ascii="宋体" w:hAnsi="宋体" w:eastAsia="宋体" w:cs="宋体"/>
          <w:spacing w:val="-3"/>
          <w:sz w:val="24"/>
          <w:szCs w:val="24"/>
        </w:rPr>
        <w:t>燃气锅炉烟气污染源强计算参照《排放源统计调查产排污核算方法</w:t>
      </w:r>
      <w:r>
        <w:rPr>
          <w:rFonts w:ascii="宋体" w:hAnsi="宋体" w:eastAsia="宋体" w:cs="宋体"/>
          <w:spacing w:val="-4"/>
          <w:sz w:val="24"/>
          <w:szCs w:val="24"/>
        </w:rPr>
        <w:t>和系数手册》中</w:t>
      </w:r>
      <w:r>
        <w:rPr>
          <w:rFonts w:ascii="宋体" w:hAnsi="宋体" w:eastAsia="宋体" w:cs="宋体"/>
          <w:sz w:val="24"/>
          <w:szCs w:val="24"/>
        </w:rPr>
        <w:t xml:space="preserve"> </w:t>
      </w:r>
      <w:r>
        <w:rPr>
          <w:rFonts w:ascii="Times New Roman" w:hAnsi="Times New Roman" w:eastAsia="Times New Roman" w:cs="Times New Roman"/>
          <w:sz w:val="24"/>
          <w:szCs w:val="24"/>
        </w:rPr>
        <w:t xml:space="preserve">4411 </w:t>
      </w:r>
      <w:r>
        <w:rPr>
          <w:rFonts w:ascii="宋体" w:hAnsi="宋体" w:eastAsia="宋体" w:cs="宋体"/>
          <w:sz w:val="24"/>
          <w:szCs w:val="24"/>
        </w:rPr>
        <w:t>火力发电、</w:t>
      </w:r>
      <w:r>
        <w:rPr>
          <w:rFonts w:ascii="Times New Roman" w:hAnsi="Times New Roman" w:eastAsia="Times New Roman" w:cs="Times New Roman"/>
          <w:sz w:val="24"/>
          <w:szCs w:val="24"/>
        </w:rPr>
        <w:t>4412</w:t>
      </w:r>
      <w:r>
        <w:rPr>
          <w:rFonts w:ascii="Times New Roman" w:hAnsi="Times New Roman" w:eastAsia="Times New Roman" w:cs="Times New Roman"/>
          <w:spacing w:val="17"/>
          <w:sz w:val="24"/>
          <w:szCs w:val="24"/>
        </w:rPr>
        <w:t xml:space="preserve"> </w:t>
      </w:r>
      <w:r>
        <w:rPr>
          <w:rFonts w:ascii="宋体" w:hAnsi="宋体" w:eastAsia="宋体" w:cs="宋体"/>
          <w:sz w:val="24"/>
          <w:szCs w:val="24"/>
        </w:rPr>
        <w:t>热电联产行业系数手册，高炉煤气的产污系数</w:t>
      </w:r>
      <w:r>
        <w:rPr>
          <w:rFonts w:ascii="宋体" w:hAnsi="宋体" w:eastAsia="宋体" w:cs="宋体"/>
          <w:spacing w:val="-1"/>
          <w:sz w:val="24"/>
          <w:szCs w:val="24"/>
        </w:rPr>
        <w:t>，煤气锅炉燃烧废</w:t>
      </w:r>
      <w:r>
        <w:rPr>
          <w:rFonts w:ascii="宋体" w:hAnsi="宋体" w:eastAsia="宋体" w:cs="宋体"/>
          <w:sz w:val="24"/>
          <w:szCs w:val="24"/>
        </w:rPr>
        <w:t xml:space="preserve"> </w:t>
      </w:r>
      <w:r>
        <w:rPr>
          <w:rFonts w:ascii="宋体" w:hAnsi="宋体" w:eastAsia="宋体" w:cs="宋体"/>
          <w:spacing w:val="-1"/>
          <w:sz w:val="24"/>
          <w:szCs w:val="24"/>
        </w:rPr>
        <w:t>气产生量为</w:t>
      </w:r>
      <w:r>
        <w:rPr>
          <w:rFonts w:ascii="宋体" w:hAnsi="宋体" w:eastAsia="宋体" w:cs="宋体"/>
          <w:spacing w:val="-40"/>
          <w:sz w:val="24"/>
          <w:szCs w:val="24"/>
        </w:rPr>
        <w:t xml:space="preserve"> </w:t>
      </w:r>
      <w:r>
        <w:rPr>
          <w:rFonts w:ascii="Times New Roman" w:hAnsi="Times New Roman" w:eastAsia="Times New Roman" w:cs="Times New Roman"/>
          <w:spacing w:val="-1"/>
          <w:sz w:val="24"/>
          <w:szCs w:val="24"/>
        </w:rPr>
        <w:t>9.33Nm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w:t>
      </w:r>
      <w:r>
        <w:rPr>
          <w:rFonts w:ascii="宋体" w:hAnsi="宋体" w:eastAsia="宋体" w:cs="宋体"/>
          <w:spacing w:val="-1"/>
          <w:sz w:val="24"/>
          <w:szCs w:val="24"/>
        </w:rPr>
        <w:t>原料。</w:t>
      </w:r>
    </w:p>
    <w:p w14:paraId="33C3874F">
      <w:pPr>
        <w:spacing w:before="32" w:line="221" w:lineRule="auto"/>
        <w:ind w:left="595"/>
        <w:rPr>
          <w:rFonts w:ascii="宋体" w:hAnsi="宋体" w:eastAsia="宋体" w:cs="宋体"/>
          <w:sz w:val="24"/>
          <w:szCs w:val="24"/>
        </w:rPr>
      </w:pPr>
      <w:r>
        <w:rPr>
          <w:rFonts w:ascii="Times New Roman" w:hAnsi="Times New Roman" w:eastAsia="Times New Roman" w:cs="Times New Roman"/>
          <w:spacing w:val="-2"/>
          <w:sz w:val="24"/>
          <w:szCs w:val="24"/>
        </w:rPr>
        <w:t>a.</w:t>
      </w:r>
      <w:r>
        <w:rPr>
          <w:rFonts w:ascii="宋体" w:hAnsi="宋体" w:eastAsia="宋体" w:cs="宋体"/>
          <w:spacing w:val="-2"/>
          <w:sz w:val="24"/>
          <w:szCs w:val="24"/>
        </w:rPr>
        <w:t>烟气量</w:t>
      </w:r>
    </w:p>
    <w:p w14:paraId="71CD52AA">
      <w:pPr>
        <w:spacing w:before="147" w:line="323" w:lineRule="exact"/>
        <w:ind w:left="600"/>
        <w:rPr>
          <w:rFonts w:ascii="宋体" w:hAnsi="宋体" w:eastAsia="宋体" w:cs="宋体"/>
          <w:sz w:val="24"/>
          <w:szCs w:val="24"/>
        </w:rPr>
      </w:pPr>
      <w:r>
        <w:rPr>
          <w:rFonts w:ascii="宋体" w:hAnsi="宋体" w:eastAsia="宋体" w:cs="宋体"/>
          <w:spacing w:val="-1"/>
          <w:position w:val="1"/>
          <w:sz w:val="24"/>
          <w:szCs w:val="24"/>
        </w:rPr>
        <w:t>发电机组烟气产生量为</w:t>
      </w:r>
      <w:r>
        <w:rPr>
          <w:rFonts w:ascii="宋体" w:hAnsi="宋体" w:eastAsia="宋体" w:cs="宋体"/>
          <w:spacing w:val="-49"/>
          <w:position w:val="1"/>
          <w:sz w:val="24"/>
          <w:szCs w:val="24"/>
        </w:rPr>
        <w:t xml:space="preserve"> </w:t>
      </w:r>
      <w:r>
        <w:rPr>
          <w:rFonts w:ascii="Times New Roman" w:hAnsi="Times New Roman" w:eastAsia="Times New Roman" w:cs="Times New Roman"/>
          <w:spacing w:val="-1"/>
          <w:position w:val="1"/>
          <w:sz w:val="24"/>
          <w:szCs w:val="24"/>
        </w:rPr>
        <w:t>57570.75×3.86=222</w:t>
      </w:r>
      <w:r>
        <w:rPr>
          <w:rFonts w:ascii="Times New Roman" w:hAnsi="Times New Roman" w:eastAsia="Times New Roman" w:cs="Times New Roman"/>
          <w:spacing w:val="-2"/>
          <w:position w:val="1"/>
          <w:sz w:val="24"/>
          <w:szCs w:val="24"/>
        </w:rPr>
        <w:t>223.</w:t>
      </w:r>
      <w:r>
        <w:rPr>
          <w:rFonts w:ascii="Times New Roman" w:hAnsi="Times New Roman" w:eastAsia="Times New Roman" w:cs="Times New Roman"/>
          <w:spacing w:val="-32"/>
          <w:position w:val="1"/>
          <w:sz w:val="24"/>
          <w:szCs w:val="24"/>
        </w:rPr>
        <w:t xml:space="preserve"> </w:t>
      </w:r>
      <w:r>
        <w:rPr>
          <w:rFonts w:ascii="Times New Roman" w:hAnsi="Times New Roman" w:eastAsia="Times New Roman" w:cs="Times New Roman"/>
          <w:spacing w:val="-2"/>
          <w:position w:val="1"/>
          <w:sz w:val="24"/>
          <w:szCs w:val="24"/>
        </w:rPr>
        <w:t>10Nm</w:t>
      </w:r>
      <w:r>
        <w:rPr>
          <w:rFonts w:ascii="Times New Roman" w:hAnsi="Times New Roman" w:eastAsia="Times New Roman" w:cs="Times New Roman"/>
          <w:spacing w:val="-2"/>
          <w:position w:val="9"/>
          <w:sz w:val="15"/>
          <w:szCs w:val="15"/>
        </w:rPr>
        <w:t>3</w:t>
      </w:r>
      <w:r>
        <w:rPr>
          <w:rFonts w:ascii="Times New Roman" w:hAnsi="Times New Roman" w:eastAsia="Times New Roman" w:cs="Times New Roman"/>
          <w:spacing w:val="-2"/>
          <w:position w:val="1"/>
          <w:sz w:val="24"/>
          <w:szCs w:val="24"/>
        </w:rPr>
        <w:t>/h</w:t>
      </w:r>
      <w:r>
        <w:rPr>
          <w:rFonts w:ascii="宋体" w:hAnsi="宋体" w:eastAsia="宋体" w:cs="宋体"/>
          <w:spacing w:val="-2"/>
          <w:position w:val="1"/>
          <w:sz w:val="24"/>
          <w:szCs w:val="24"/>
        </w:rPr>
        <w:t>。</w:t>
      </w:r>
    </w:p>
    <w:p w14:paraId="1EC050B9">
      <w:pPr>
        <w:spacing w:before="198" w:line="220" w:lineRule="auto"/>
        <w:ind w:left="586"/>
        <w:rPr>
          <w:rFonts w:ascii="宋体" w:hAnsi="宋体" w:eastAsia="宋体" w:cs="宋体"/>
          <w:sz w:val="24"/>
          <w:szCs w:val="24"/>
        </w:rPr>
      </w:pPr>
      <w:r>
        <w:rPr>
          <w:rFonts w:ascii="Times New Roman" w:hAnsi="Times New Roman" w:eastAsia="Times New Roman" w:cs="Times New Roman"/>
          <w:sz w:val="24"/>
          <w:szCs w:val="24"/>
        </w:rPr>
        <w:t>b.</w:t>
      </w:r>
      <w:r>
        <w:rPr>
          <w:rFonts w:ascii="宋体" w:hAnsi="宋体" w:eastAsia="宋体" w:cs="宋体"/>
          <w:sz w:val="24"/>
          <w:szCs w:val="24"/>
        </w:rPr>
        <w:t>颗粒物</w:t>
      </w:r>
    </w:p>
    <w:p w14:paraId="2FC4CFE2">
      <w:pPr>
        <w:spacing w:before="190" w:line="350" w:lineRule="auto"/>
        <w:ind w:left="112" w:right="107" w:firstLine="482"/>
        <w:rPr>
          <w:rFonts w:ascii="宋体" w:hAnsi="宋体" w:eastAsia="宋体" w:cs="宋体"/>
          <w:sz w:val="24"/>
          <w:szCs w:val="24"/>
        </w:rPr>
      </w:pPr>
      <w:r>
        <w:rPr>
          <w:rFonts w:ascii="宋体" w:hAnsi="宋体" w:eastAsia="宋体" w:cs="宋体"/>
          <w:spacing w:val="-1"/>
          <w:sz w:val="24"/>
          <w:szCs w:val="24"/>
        </w:rPr>
        <w:t>进入燃气锅炉电炉煤气中的含尘浓度为</w:t>
      </w:r>
      <w:r>
        <w:rPr>
          <w:rFonts w:ascii="Times New Roman" w:hAnsi="Times New Roman" w:eastAsia="Times New Roman" w:cs="Times New Roman"/>
          <w:spacing w:val="-1"/>
          <w:sz w:val="24"/>
          <w:szCs w:val="24"/>
        </w:rPr>
        <w:t>≤1</w:t>
      </w:r>
      <w:r>
        <w:rPr>
          <w:rFonts w:ascii="Times New Roman" w:hAnsi="Times New Roman" w:eastAsia="Times New Roman" w:cs="Times New Roman"/>
          <w:spacing w:val="-2"/>
          <w:sz w:val="24"/>
          <w:szCs w:val="24"/>
        </w:rPr>
        <w:t>0mg/Nm</w:t>
      </w:r>
      <w:r>
        <w:rPr>
          <w:rFonts w:ascii="Times New Roman" w:hAnsi="Times New Roman" w:eastAsia="Times New Roman" w:cs="Times New Roman"/>
          <w:spacing w:val="-2"/>
          <w:position w:val="8"/>
          <w:sz w:val="15"/>
          <w:szCs w:val="15"/>
        </w:rPr>
        <w:t>3</w:t>
      </w:r>
      <w:r>
        <w:rPr>
          <w:rFonts w:ascii="宋体" w:hAnsi="宋体" w:eastAsia="宋体" w:cs="宋体"/>
          <w:spacing w:val="-2"/>
          <w:sz w:val="24"/>
          <w:szCs w:val="24"/>
        </w:rPr>
        <w:t>（按</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10mg/Nm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12"/>
          <w:w w:val="101"/>
          <w:position w:val="8"/>
          <w:sz w:val="15"/>
          <w:szCs w:val="15"/>
        </w:rPr>
        <w:t xml:space="preserve"> </w:t>
      </w:r>
      <w:r>
        <w:rPr>
          <w:rFonts w:ascii="宋体" w:hAnsi="宋体" w:eastAsia="宋体" w:cs="宋体"/>
          <w:spacing w:val="-2"/>
          <w:sz w:val="24"/>
          <w:szCs w:val="24"/>
        </w:rPr>
        <w:t>计算</w:t>
      </w:r>
      <w:r>
        <w:rPr>
          <w:rFonts w:ascii="宋体" w:hAnsi="宋体" w:eastAsia="宋体" w:cs="宋体"/>
          <w:spacing w:val="-8"/>
          <w:sz w:val="24"/>
          <w:szCs w:val="24"/>
        </w:rPr>
        <w:t>），</w:t>
      </w:r>
      <w:r>
        <w:rPr>
          <w:rFonts w:ascii="宋体" w:hAnsi="宋体" w:eastAsia="宋体" w:cs="宋体"/>
          <w:spacing w:val="-2"/>
          <w:sz w:val="24"/>
          <w:szCs w:val="24"/>
        </w:rPr>
        <w:t>锅炉烟</w:t>
      </w:r>
      <w:r>
        <w:rPr>
          <w:rFonts w:ascii="宋体" w:hAnsi="宋体" w:eastAsia="宋体" w:cs="宋体"/>
          <w:sz w:val="24"/>
          <w:szCs w:val="24"/>
        </w:rPr>
        <w:t xml:space="preserve"> </w:t>
      </w:r>
      <w:r>
        <w:rPr>
          <w:rFonts w:ascii="宋体" w:hAnsi="宋体" w:eastAsia="宋体" w:cs="宋体"/>
          <w:spacing w:val="2"/>
          <w:sz w:val="24"/>
          <w:szCs w:val="24"/>
        </w:rPr>
        <w:t>气中的颗粒物产生与排放量为</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4.61t/a</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、产生与排放速率</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0.58</w:t>
      </w:r>
      <w:r>
        <w:rPr>
          <w:rFonts w:ascii="Times New Roman" w:hAnsi="Times New Roman" w:eastAsia="Times New Roman" w:cs="Times New Roman"/>
          <w:sz w:val="24"/>
          <w:szCs w:val="24"/>
        </w:rPr>
        <w:t>kg</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、产生与排放浓度为</w:t>
      </w:r>
      <w:r>
        <w:rPr>
          <w:rFonts w:ascii="宋体" w:hAnsi="宋体" w:eastAsia="宋体" w:cs="宋体"/>
          <w:sz w:val="24"/>
          <w:szCs w:val="24"/>
        </w:rPr>
        <w:t xml:space="preserve"> </w:t>
      </w:r>
      <w:r>
        <w:rPr>
          <w:rFonts w:ascii="Times New Roman" w:hAnsi="Times New Roman" w:eastAsia="Times New Roman" w:cs="Times New Roman"/>
          <w:spacing w:val="-1"/>
          <w:sz w:val="24"/>
          <w:szCs w:val="24"/>
        </w:rPr>
        <w:t>2.59mg/m</w:t>
      </w:r>
      <w:r>
        <w:rPr>
          <w:rFonts w:ascii="Times New Roman" w:hAnsi="Times New Roman" w:eastAsia="Times New Roman" w:cs="Times New Roman"/>
          <w:spacing w:val="-1"/>
          <w:position w:val="7"/>
          <w:sz w:val="15"/>
          <w:szCs w:val="15"/>
        </w:rPr>
        <w:t>3</w:t>
      </w:r>
      <w:r>
        <w:rPr>
          <w:rFonts w:ascii="宋体" w:hAnsi="宋体" w:eastAsia="宋体" w:cs="宋体"/>
          <w:spacing w:val="-1"/>
          <w:sz w:val="24"/>
          <w:szCs w:val="24"/>
        </w:rPr>
        <w:t>。</w:t>
      </w:r>
    </w:p>
    <w:p w14:paraId="7E0590C4">
      <w:pPr>
        <w:spacing w:before="66" w:line="342" w:lineRule="auto"/>
        <w:ind w:left="116" w:right="109" w:firstLine="480"/>
        <w:rPr>
          <w:rFonts w:ascii="宋体" w:hAnsi="宋体" w:eastAsia="宋体" w:cs="宋体"/>
          <w:sz w:val="24"/>
          <w:szCs w:val="24"/>
        </w:rPr>
      </w:pPr>
      <w:r>
        <w:rPr>
          <w:rFonts w:ascii="宋体" w:hAnsi="宋体" w:eastAsia="宋体" w:cs="宋体"/>
          <w:sz w:val="24"/>
          <w:szCs w:val="24"/>
        </w:rPr>
        <w:t>烟尘中锰及其化合物的产生与排放量</w:t>
      </w:r>
      <w:r>
        <w:rPr>
          <w:rFonts w:ascii="宋体" w:hAnsi="宋体" w:eastAsia="宋体" w:cs="宋体"/>
          <w:spacing w:val="-49"/>
          <w:sz w:val="24"/>
          <w:szCs w:val="24"/>
        </w:rPr>
        <w:t xml:space="preserve"> </w:t>
      </w:r>
      <w:r>
        <w:rPr>
          <w:rFonts w:ascii="Times New Roman" w:hAnsi="Times New Roman" w:eastAsia="Times New Roman" w:cs="Times New Roman"/>
          <w:sz w:val="24"/>
          <w:szCs w:val="24"/>
        </w:rPr>
        <w:t>0.38t</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、产生与排放速率</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0.048kg/h</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、产生与</w:t>
      </w:r>
      <w:r>
        <w:rPr>
          <w:rFonts w:ascii="宋体" w:hAnsi="宋体" w:eastAsia="宋体" w:cs="宋体"/>
          <w:sz w:val="24"/>
          <w:szCs w:val="24"/>
        </w:rPr>
        <w:t xml:space="preserve"> </w:t>
      </w:r>
      <w:r>
        <w:rPr>
          <w:rFonts w:ascii="宋体" w:hAnsi="宋体" w:eastAsia="宋体" w:cs="宋体"/>
          <w:spacing w:val="-1"/>
          <w:sz w:val="24"/>
          <w:szCs w:val="24"/>
        </w:rPr>
        <w:t>排放浓度</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0.22mg/m</w:t>
      </w:r>
      <w:r>
        <w:rPr>
          <w:rFonts w:ascii="Times New Roman" w:hAnsi="Times New Roman" w:eastAsia="Times New Roman" w:cs="Times New Roman"/>
          <w:spacing w:val="-1"/>
          <w:position w:val="7"/>
          <w:sz w:val="15"/>
          <w:szCs w:val="15"/>
        </w:rPr>
        <w:t>3</w:t>
      </w:r>
      <w:r>
        <w:rPr>
          <w:rFonts w:ascii="宋体" w:hAnsi="宋体" w:eastAsia="宋体" w:cs="宋体"/>
          <w:spacing w:val="-1"/>
          <w:sz w:val="24"/>
          <w:szCs w:val="24"/>
        </w:rPr>
        <w:t>。</w:t>
      </w:r>
    </w:p>
    <w:p w14:paraId="2ED7F036">
      <w:pPr>
        <w:spacing w:before="64" w:line="219" w:lineRule="auto"/>
        <w:ind w:left="595"/>
        <w:rPr>
          <w:rFonts w:ascii="宋体" w:hAnsi="宋体" w:eastAsia="宋体" w:cs="宋体"/>
          <w:sz w:val="24"/>
          <w:szCs w:val="24"/>
        </w:rPr>
      </w:pPr>
      <w:r>
        <w:rPr>
          <w:rFonts w:ascii="Times New Roman" w:hAnsi="Times New Roman" w:eastAsia="Times New Roman" w:cs="Times New Roman"/>
          <w:spacing w:val="-2"/>
          <w:sz w:val="24"/>
          <w:szCs w:val="24"/>
        </w:rPr>
        <w:t>c.</w:t>
      </w:r>
      <w:r>
        <w:rPr>
          <w:rFonts w:ascii="宋体" w:hAnsi="宋体" w:eastAsia="宋体" w:cs="宋体"/>
          <w:spacing w:val="-2"/>
          <w:sz w:val="24"/>
          <w:szCs w:val="24"/>
        </w:rPr>
        <w:t>二氧化硫</w:t>
      </w:r>
    </w:p>
    <w:p w14:paraId="54912E70">
      <w:pPr>
        <w:spacing w:before="193" w:line="340" w:lineRule="auto"/>
        <w:ind w:left="119" w:right="107" w:firstLine="478"/>
        <w:rPr>
          <w:rFonts w:ascii="宋体" w:hAnsi="宋体" w:eastAsia="宋体" w:cs="宋体"/>
          <w:sz w:val="24"/>
          <w:szCs w:val="24"/>
        </w:rPr>
      </w:pPr>
      <w:r>
        <w:rPr>
          <w:rFonts w:ascii="宋体" w:hAnsi="宋体" w:eastAsia="宋体" w:cs="宋体"/>
          <w:spacing w:val="-3"/>
          <w:sz w:val="24"/>
          <w:szCs w:val="24"/>
        </w:rPr>
        <w:t>本项目电炉煤气中总硫含量为</w:t>
      </w:r>
      <w:r>
        <w:rPr>
          <w:rFonts w:ascii="宋体" w:hAnsi="宋体" w:eastAsia="宋体" w:cs="宋体"/>
          <w:spacing w:val="-33"/>
          <w:sz w:val="24"/>
          <w:szCs w:val="24"/>
        </w:rPr>
        <w:t xml:space="preserve"> </w:t>
      </w:r>
      <w:r>
        <w:rPr>
          <w:rFonts w:ascii="Times New Roman" w:hAnsi="Times New Roman" w:eastAsia="Times New Roman" w:cs="Times New Roman"/>
          <w:spacing w:val="-3"/>
          <w:sz w:val="24"/>
          <w:szCs w:val="24"/>
        </w:rPr>
        <w:t>96mg/m</w:t>
      </w:r>
      <w:r>
        <w:rPr>
          <w:rFonts w:ascii="Times New Roman" w:hAnsi="Times New Roman" w:eastAsia="Times New Roman" w:cs="Times New Roman"/>
          <w:spacing w:val="-3"/>
          <w:position w:val="8"/>
          <w:sz w:val="15"/>
          <w:szCs w:val="15"/>
        </w:rPr>
        <w:t>3</w:t>
      </w:r>
      <w:r>
        <w:rPr>
          <w:rFonts w:ascii="宋体" w:hAnsi="宋体" w:eastAsia="宋体" w:cs="宋体"/>
          <w:spacing w:val="-3"/>
          <w:sz w:val="24"/>
          <w:szCs w:val="24"/>
        </w:rPr>
        <w:t>，燃烧过程中全部转化为二氧化硫，燃气锅</w:t>
      </w:r>
      <w:r>
        <w:rPr>
          <w:rFonts w:ascii="宋体" w:hAnsi="宋体" w:eastAsia="宋体" w:cs="宋体"/>
          <w:sz w:val="24"/>
          <w:szCs w:val="24"/>
        </w:rPr>
        <w:t xml:space="preserve"> </w:t>
      </w:r>
      <w:r>
        <w:rPr>
          <w:rFonts w:ascii="宋体" w:hAnsi="宋体" w:eastAsia="宋体" w:cs="宋体"/>
          <w:spacing w:val="-2"/>
          <w:sz w:val="24"/>
          <w:szCs w:val="24"/>
        </w:rPr>
        <w:t>炉烟气中二氧化硫产生及排放量为</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88.43t/a</w:t>
      </w:r>
      <w:r>
        <w:rPr>
          <w:rFonts w:ascii="宋体" w:hAnsi="宋体" w:eastAsia="宋体" w:cs="宋体"/>
          <w:spacing w:val="-2"/>
          <w:sz w:val="24"/>
          <w:szCs w:val="24"/>
        </w:rPr>
        <w:t>、产生及排放速率为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11.</w:t>
      </w:r>
      <w:r>
        <w:rPr>
          <w:rFonts w:ascii="Times New Roman" w:hAnsi="Times New Roman" w:eastAsia="Times New Roman" w:cs="Times New Roman"/>
          <w:spacing w:val="-3"/>
          <w:sz w:val="24"/>
          <w:szCs w:val="24"/>
        </w:rPr>
        <w:t>05kg/h</w:t>
      </w:r>
      <w:r>
        <w:rPr>
          <w:rFonts w:ascii="宋体" w:hAnsi="宋体" w:eastAsia="宋体" w:cs="宋体"/>
          <w:spacing w:val="-3"/>
          <w:sz w:val="24"/>
          <w:szCs w:val="24"/>
        </w:rPr>
        <w:t>、产生浓度为</w:t>
      </w:r>
    </w:p>
    <w:p w14:paraId="1C553A4F">
      <w:pPr>
        <w:spacing w:line="340" w:lineRule="auto"/>
        <w:rPr>
          <w:rFonts w:ascii="宋体" w:hAnsi="宋体" w:eastAsia="宋体" w:cs="宋体"/>
          <w:sz w:val="24"/>
          <w:szCs w:val="24"/>
        </w:rPr>
        <w:sectPr>
          <w:footerReference r:id="rId173" w:type="default"/>
          <w:pgSz w:w="11850" w:h="16781"/>
          <w:pgMar w:top="1190" w:right="1309" w:bottom="1013" w:left="1309" w:header="882" w:footer="850" w:gutter="0"/>
          <w:cols w:space="720" w:num="1"/>
        </w:sectPr>
      </w:pPr>
    </w:p>
    <w:p w14:paraId="34602F31">
      <w:pPr>
        <w:pStyle w:val="2"/>
        <w:spacing w:line="283" w:lineRule="auto"/>
      </w:pPr>
      <w:r>
        <w:pict>
          <v:shape id="_x0000_s1207" o:spid="_x0000_s1207" style="position:absolute;left:0pt;margin-left:0pt;margin-top:0.7pt;height:0.75pt;width:450.75pt;z-index:251866112;mso-width-relative:page;mso-height-relative:page;" fillcolor="#000000" filled="t" stroked="f" coordsize="9015,15" path="m0,0l9014,0,9014,14,0,14,0,0xe">
            <v:path/>
            <v:fill on="t" focussize="0,0"/>
            <v:stroke on="f"/>
            <v:imagedata o:title=""/>
            <o:lock v:ext="edit"/>
          </v:shape>
        </w:pict>
      </w:r>
    </w:p>
    <w:p w14:paraId="139E3315">
      <w:pPr>
        <w:spacing w:before="78" w:line="197" w:lineRule="auto"/>
        <w:ind w:left="2"/>
        <w:rPr>
          <w:rFonts w:ascii="宋体" w:hAnsi="宋体" w:eastAsia="宋体" w:cs="宋体"/>
          <w:sz w:val="24"/>
          <w:szCs w:val="24"/>
        </w:rPr>
      </w:pPr>
      <w:r>
        <w:rPr>
          <w:rFonts w:ascii="Times New Roman" w:hAnsi="Times New Roman" w:eastAsia="Times New Roman" w:cs="Times New Roman"/>
          <w:sz w:val="24"/>
          <w:szCs w:val="24"/>
        </w:rPr>
        <w:t>49.74mg/m</w:t>
      </w:r>
      <w:r>
        <w:rPr>
          <w:rFonts w:ascii="Times New Roman" w:hAnsi="Times New Roman" w:eastAsia="Times New Roman" w:cs="Times New Roman"/>
          <w:position w:val="7"/>
          <w:sz w:val="15"/>
          <w:szCs w:val="15"/>
        </w:rPr>
        <w:t>3</w:t>
      </w:r>
      <w:r>
        <w:rPr>
          <w:rFonts w:ascii="宋体" w:hAnsi="宋体" w:eastAsia="宋体" w:cs="宋体"/>
          <w:sz w:val="24"/>
          <w:szCs w:val="24"/>
        </w:rPr>
        <w:t>。</w:t>
      </w:r>
    </w:p>
    <w:p w14:paraId="4167B8AB">
      <w:pPr>
        <w:spacing w:before="201" w:line="219" w:lineRule="auto"/>
        <w:ind w:left="486"/>
        <w:rPr>
          <w:rFonts w:ascii="宋体" w:hAnsi="宋体" w:eastAsia="宋体" w:cs="宋体"/>
          <w:sz w:val="24"/>
          <w:szCs w:val="24"/>
        </w:rPr>
      </w:pPr>
      <w:r>
        <w:rPr>
          <w:rFonts w:ascii="Times New Roman" w:hAnsi="Times New Roman" w:eastAsia="Times New Roman" w:cs="Times New Roman"/>
          <w:spacing w:val="-2"/>
          <w:sz w:val="24"/>
          <w:szCs w:val="24"/>
        </w:rPr>
        <w:t>d.</w:t>
      </w:r>
      <w:r>
        <w:rPr>
          <w:rFonts w:ascii="宋体" w:hAnsi="宋体" w:eastAsia="宋体" w:cs="宋体"/>
          <w:spacing w:val="-2"/>
          <w:sz w:val="24"/>
          <w:szCs w:val="24"/>
        </w:rPr>
        <w:t>氮氧化物</w:t>
      </w:r>
    </w:p>
    <w:p w14:paraId="0AD0A585">
      <w:pPr>
        <w:spacing w:before="192" w:line="354" w:lineRule="auto"/>
        <w:ind w:left="8" w:right="1" w:firstLine="480"/>
        <w:rPr>
          <w:rFonts w:ascii="宋体" w:hAnsi="宋体" w:eastAsia="宋体" w:cs="宋体"/>
          <w:sz w:val="24"/>
          <w:szCs w:val="24"/>
        </w:rPr>
      </w:pPr>
      <w:r>
        <w:rPr>
          <w:rFonts w:ascii="宋体" w:hAnsi="宋体" w:eastAsia="宋体" w:cs="宋体"/>
          <w:sz w:val="24"/>
          <w:szCs w:val="24"/>
        </w:rPr>
        <w:t>燃气锅炉烟气采用</w:t>
      </w:r>
      <w:r>
        <w:rPr>
          <w:rFonts w:ascii="宋体" w:hAnsi="宋体" w:eastAsia="宋体" w:cs="宋体"/>
          <w:spacing w:val="-45"/>
          <w:sz w:val="24"/>
          <w:szCs w:val="24"/>
        </w:rPr>
        <w:t xml:space="preserve"> </w:t>
      </w:r>
      <w:r>
        <w:rPr>
          <w:rFonts w:ascii="Times New Roman" w:hAnsi="Times New Roman" w:eastAsia="Times New Roman" w:cs="Times New Roman"/>
          <w:sz w:val="24"/>
          <w:szCs w:val="24"/>
        </w:rPr>
        <w:t xml:space="preserve">SCR </w:t>
      </w:r>
      <w:r>
        <w:rPr>
          <w:rFonts w:ascii="宋体" w:hAnsi="宋体" w:eastAsia="宋体" w:cs="宋体"/>
          <w:sz w:val="24"/>
          <w:szCs w:val="24"/>
        </w:rPr>
        <w:t>脱硝工艺，效率可以达到</w:t>
      </w:r>
      <w:r>
        <w:rPr>
          <w:rFonts w:ascii="Times New Roman" w:hAnsi="Times New Roman" w:eastAsia="Times New Roman" w:cs="Times New Roman"/>
          <w:sz w:val="24"/>
          <w:szCs w:val="24"/>
        </w:rPr>
        <w:t>65%</w:t>
      </w:r>
      <w:r>
        <w:rPr>
          <w:rFonts w:ascii="宋体" w:hAnsi="宋体" w:eastAsia="宋体" w:cs="宋体"/>
          <w:sz w:val="24"/>
          <w:szCs w:val="24"/>
        </w:rPr>
        <w:t>以上（本次评价取值</w:t>
      </w:r>
      <w:r>
        <w:rPr>
          <w:rFonts w:ascii="Times New Roman" w:hAnsi="Times New Roman" w:eastAsia="Times New Roman" w:cs="Times New Roman"/>
          <w:sz w:val="24"/>
          <w:szCs w:val="24"/>
        </w:rPr>
        <w:t>65%</w:t>
      </w:r>
      <w:r>
        <w:rPr>
          <w:rFonts w:ascii="宋体" w:hAnsi="宋体" w:eastAsia="宋体" w:cs="宋体"/>
          <w:spacing w:val="-41"/>
          <w:sz w:val="24"/>
          <w:szCs w:val="24"/>
        </w:rPr>
        <w:t>），</w:t>
      </w:r>
      <w:r>
        <w:rPr>
          <w:rFonts w:ascii="宋体" w:hAnsi="宋体" w:eastAsia="宋体" w:cs="宋体"/>
          <w:sz w:val="24"/>
          <w:szCs w:val="24"/>
        </w:rPr>
        <w:t xml:space="preserve"> </w:t>
      </w:r>
      <w:r>
        <w:rPr>
          <w:rFonts w:ascii="宋体" w:hAnsi="宋体" w:eastAsia="宋体" w:cs="宋体"/>
          <w:spacing w:val="-3"/>
          <w:sz w:val="24"/>
          <w:szCs w:val="24"/>
        </w:rPr>
        <w:t>发电机组烟气中的</w:t>
      </w:r>
      <w:r>
        <w:rPr>
          <w:rFonts w:ascii="宋体" w:hAnsi="宋体" w:eastAsia="宋体" w:cs="宋体"/>
          <w:spacing w:val="-53"/>
          <w:sz w:val="24"/>
          <w:szCs w:val="24"/>
        </w:rPr>
        <w:t xml:space="preserve"> </w:t>
      </w:r>
      <w:r>
        <w:rPr>
          <w:rFonts w:ascii="Times New Roman" w:hAnsi="Times New Roman" w:eastAsia="Times New Roman" w:cs="Times New Roman"/>
          <w:spacing w:val="-3"/>
          <w:sz w:val="24"/>
          <w:szCs w:val="24"/>
        </w:rPr>
        <w:t>NO</w:t>
      </w:r>
      <w:r>
        <w:rPr>
          <w:rFonts w:ascii="Times New Roman" w:hAnsi="Times New Roman" w:eastAsia="Times New Roman" w:cs="Times New Roman"/>
          <w:spacing w:val="-3"/>
          <w:position w:val="-1"/>
          <w:sz w:val="15"/>
          <w:szCs w:val="15"/>
        </w:rPr>
        <w:t>x</w:t>
      </w:r>
      <w:r>
        <w:rPr>
          <w:rFonts w:ascii="Times New Roman" w:hAnsi="Times New Roman" w:eastAsia="Times New Roman" w:cs="Times New Roman"/>
          <w:spacing w:val="9"/>
          <w:w w:val="101"/>
          <w:position w:val="-1"/>
          <w:sz w:val="15"/>
          <w:szCs w:val="15"/>
        </w:rPr>
        <w:t xml:space="preserve"> </w:t>
      </w:r>
      <w:r>
        <w:rPr>
          <w:rFonts w:ascii="宋体" w:hAnsi="宋体" w:eastAsia="宋体" w:cs="宋体"/>
          <w:spacing w:val="-3"/>
          <w:sz w:val="24"/>
          <w:szCs w:val="24"/>
        </w:rPr>
        <w:t>产生量</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396.09t/a</w:t>
      </w:r>
      <w:r>
        <w:rPr>
          <w:rFonts w:ascii="Times New Roman" w:hAnsi="Times New Roman" w:eastAsia="Times New Roman" w:cs="Times New Roman"/>
          <w:spacing w:val="-34"/>
          <w:sz w:val="24"/>
          <w:szCs w:val="24"/>
        </w:rPr>
        <w:t xml:space="preserve"> </w:t>
      </w:r>
      <w:r>
        <w:rPr>
          <w:rFonts w:ascii="宋体" w:hAnsi="宋体" w:eastAsia="宋体" w:cs="宋体"/>
          <w:spacing w:val="-3"/>
          <w:sz w:val="24"/>
          <w:szCs w:val="24"/>
        </w:rPr>
        <w:t>、产生速率</w:t>
      </w:r>
      <w:r>
        <w:rPr>
          <w:rFonts w:ascii="宋体" w:hAnsi="宋体" w:eastAsia="宋体" w:cs="宋体"/>
          <w:spacing w:val="-56"/>
          <w:sz w:val="24"/>
          <w:szCs w:val="24"/>
        </w:rPr>
        <w:t xml:space="preserve"> </w:t>
      </w:r>
      <w:r>
        <w:rPr>
          <w:rFonts w:ascii="Times New Roman" w:hAnsi="Times New Roman" w:eastAsia="Times New Roman" w:cs="Times New Roman"/>
          <w:spacing w:val="-3"/>
          <w:sz w:val="24"/>
          <w:szCs w:val="24"/>
        </w:rPr>
        <w:t>49.51kg/h</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、产生浓度</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222.80mg/m</w:t>
      </w:r>
      <w:r>
        <w:rPr>
          <w:rFonts w:ascii="Times New Roman" w:hAnsi="Times New Roman" w:eastAsia="Times New Roman" w:cs="Times New Roman"/>
          <w:spacing w:val="-3"/>
          <w:position w:val="8"/>
          <w:sz w:val="15"/>
          <w:szCs w:val="15"/>
        </w:rPr>
        <w:t>3</w:t>
      </w:r>
      <w:r>
        <w:rPr>
          <w:rFonts w:ascii="宋体" w:hAnsi="宋体" w:eastAsia="宋体" w:cs="宋体"/>
          <w:spacing w:val="-3"/>
          <w:sz w:val="24"/>
          <w:szCs w:val="24"/>
        </w:rPr>
        <w:t>，</w:t>
      </w:r>
      <w:r>
        <w:rPr>
          <w:rFonts w:ascii="宋体" w:hAnsi="宋体" w:eastAsia="宋体" w:cs="宋体"/>
          <w:sz w:val="24"/>
          <w:szCs w:val="24"/>
        </w:rPr>
        <w:t xml:space="preserve"> </w:t>
      </w:r>
      <w:r>
        <w:rPr>
          <w:rFonts w:ascii="宋体" w:hAnsi="宋体" w:eastAsia="宋体" w:cs="宋体"/>
          <w:spacing w:val="-3"/>
          <w:sz w:val="24"/>
          <w:szCs w:val="24"/>
        </w:rPr>
        <w:t>排放量</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138.63t/a</w:t>
      </w:r>
      <w:r>
        <w:rPr>
          <w:rFonts w:ascii="Times New Roman" w:hAnsi="Times New Roman" w:eastAsia="Times New Roman" w:cs="Times New Roman"/>
          <w:spacing w:val="-35"/>
          <w:sz w:val="24"/>
          <w:szCs w:val="24"/>
        </w:rPr>
        <w:t xml:space="preserve"> </w:t>
      </w:r>
      <w:r>
        <w:rPr>
          <w:rFonts w:ascii="宋体" w:hAnsi="宋体" w:eastAsia="宋体" w:cs="宋体"/>
          <w:spacing w:val="-3"/>
          <w:sz w:val="24"/>
          <w:szCs w:val="24"/>
        </w:rPr>
        <w:t>、排放速率</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17.33kg/h</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、排放浓度</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77.98mg/m</w:t>
      </w:r>
      <w:r>
        <w:rPr>
          <w:rFonts w:ascii="Times New Roman" w:hAnsi="Times New Roman" w:eastAsia="Times New Roman" w:cs="Times New Roman"/>
          <w:spacing w:val="-3"/>
          <w:position w:val="7"/>
          <w:sz w:val="15"/>
          <w:szCs w:val="15"/>
        </w:rPr>
        <w:t>3</w:t>
      </w:r>
      <w:r>
        <w:rPr>
          <w:rFonts w:ascii="宋体" w:hAnsi="宋体" w:eastAsia="宋体" w:cs="宋体"/>
          <w:spacing w:val="-3"/>
          <w:sz w:val="24"/>
          <w:szCs w:val="24"/>
        </w:rPr>
        <w:t>。</w:t>
      </w:r>
    </w:p>
    <w:p w14:paraId="2E392D0C">
      <w:pPr>
        <w:spacing w:before="95" w:line="191" w:lineRule="auto"/>
        <w:ind w:left="487"/>
        <w:rPr>
          <w:rFonts w:ascii="Times New Roman" w:hAnsi="Times New Roman" w:eastAsia="Times New Roman" w:cs="Times New Roman"/>
          <w:sz w:val="15"/>
          <w:szCs w:val="15"/>
        </w:rPr>
      </w:pPr>
      <w:r>
        <w:rPr>
          <w:rFonts w:ascii="Times New Roman" w:hAnsi="Times New Roman" w:eastAsia="Times New Roman" w:cs="Times New Roman"/>
          <w:spacing w:val="-2"/>
          <w:sz w:val="24"/>
          <w:szCs w:val="24"/>
        </w:rPr>
        <w:t>e.NH</w:t>
      </w:r>
      <w:r>
        <w:rPr>
          <w:rFonts w:ascii="Times New Roman" w:hAnsi="Times New Roman" w:eastAsia="Times New Roman" w:cs="Times New Roman"/>
          <w:spacing w:val="-2"/>
          <w:position w:val="-1"/>
          <w:sz w:val="15"/>
          <w:szCs w:val="15"/>
        </w:rPr>
        <w:t>3</w:t>
      </w:r>
    </w:p>
    <w:p w14:paraId="32A84B32">
      <w:pPr>
        <w:spacing w:before="213" w:line="356" w:lineRule="auto"/>
        <w:ind w:left="11" w:right="63" w:firstLine="482"/>
        <w:rPr>
          <w:rFonts w:ascii="宋体" w:hAnsi="宋体" w:eastAsia="宋体" w:cs="宋体"/>
          <w:sz w:val="24"/>
          <w:szCs w:val="24"/>
        </w:rPr>
      </w:pPr>
      <w:r>
        <w:rPr>
          <w:rFonts w:ascii="Times New Roman" w:hAnsi="Times New Roman" w:eastAsia="Times New Roman" w:cs="Times New Roman"/>
          <w:sz w:val="24"/>
          <w:szCs w:val="24"/>
        </w:rPr>
        <w:t>SCR</w:t>
      </w:r>
      <w:r>
        <w:rPr>
          <w:rFonts w:ascii="Times New Roman" w:hAnsi="Times New Roman" w:eastAsia="Times New Roman" w:cs="Times New Roman"/>
          <w:spacing w:val="2"/>
          <w:sz w:val="24"/>
          <w:szCs w:val="24"/>
        </w:rPr>
        <w:t xml:space="preserve"> </w:t>
      </w:r>
      <w:r>
        <w:rPr>
          <w:rFonts w:ascii="宋体" w:hAnsi="宋体" w:eastAsia="宋体" w:cs="宋体"/>
          <w:spacing w:val="2"/>
          <w:sz w:val="24"/>
          <w:szCs w:val="24"/>
        </w:rPr>
        <w:t>脱硝装置处理烟气时会有少量氨气逃逸，根据《火电厂烟气脱硝工程技术规</w:t>
      </w:r>
      <w:r>
        <w:rPr>
          <w:rFonts w:ascii="宋体" w:hAnsi="宋体" w:eastAsia="宋体" w:cs="宋体"/>
          <w:spacing w:val="16"/>
          <w:sz w:val="24"/>
          <w:szCs w:val="24"/>
        </w:rPr>
        <w:t xml:space="preserve"> </w:t>
      </w:r>
      <w:r>
        <w:rPr>
          <w:rFonts w:ascii="宋体" w:hAnsi="宋体" w:eastAsia="宋体" w:cs="宋体"/>
          <w:spacing w:val="-2"/>
          <w:sz w:val="24"/>
          <w:szCs w:val="24"/>
        </w:rPr>
        <w:t>范 选择性催化还原法》（</w:t>
      </w:r>
      <w:r>
        <w:rPr>
          <w:rFonts w:ascii="Times New Roman" w:hAnsi="Times New Roman" w:eastAsia="Times New Roman" w:cs="Times New Roman"/>
          <w:spacing w:val="-2"/>
          <w:sz w:val="24"/>
          <w:szCs w:val="24"/>
        </w:rPr>
        <w:t>HJ562-2010</w:t>
      </w:r>
      <w:r>
        <w:rPr>
          <w:rFonts w:ascii="宋体" w:hAnsi="宋体" w:eastAsia="宋体" w:cs="宋体"/>
          <w:spacing w:val="-2"/>
          <w:sz w:val="24"/>
          <w:szCs w:val="24"/>
        </w:rPr>
        <w:t>）</w:t>
      </w:r>
      <w:r>
        <w:rPr>
          <w:rFonts w:ascii="Times New Roman" w:hAnsi="Times New Roman" w:eastAsia="Times New Roman" w:cs="Times New Roman"/>
          <w:spacing w:val="-2"/>
          <w:sz w:val="24"/>
          <w:szCs w:val="24"/>
        </w:rPr>
        <w:t>NH</w:t>
      </w:r>
      <w:r>
        <w:rPr>
          <w:rFonts w:ascii="Times New Roman" w:hAnsi="Times New Roman" w:eastAsia="Times New Roman" w:cs="Times New Roman"/>
          <w:spacing w:val="-2"/>
          <w:position w:val="-1"/>
          <w:sz w:val="15"/>
          <w:szCs w:val="15"/>
        </w:rPr>
        <w:t>3</w:t>
      </w:r>
      <w:r>
        <w:rPr>
          <w:rFonts w:ascii="Times New Roman" w:hAnsi="Times New Roman" w:eastAsia="Times New Roman" w:cs="Times New Roman"/>
          <w:spacing w:val="22"/>
          <w:w w:val="101"/>
          <w:position w:val="-1"/>
          <w:sz w:val="15"/>
          <w:szCs w:val="15"/>
        </w:rPr>
        <w:t xml:space="preserve"> </w:t>
      </w:r>
      <w:r>
        <w:rPr>
          <w:rFonts w:ascii="宋体" w:hAnsi="宋体" w:eastAsia="宋体" w:cs="宋体"/>
          <w:spacing w:val="-2"/>
          <w:sz w:val="24"/>
          <w:szCs w:val="24"/>
        </w:rPr>
        <w:t>逃逸浓度应严格控制在</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2.5mg/m</w:t>
      </w:r>
      <w:r>
        <w:rPr>
          <w:rFonts w:ascii="Times New Roman" w:hAnsi="Times New Roman" w:eastAsia="Times New Roman" w:cs="Times New Roman"/>
          <w:spacing w:val="-2"/>
          <w:position w:val="8"/>
          <w:sz w:val="15"/>
          <w:szCs w:val="15"/>
        </w:rPr>
        <w:t xml:space="preserve">3  </w:t>
      </w:r>
      <w:r>
        <w:rPr>
          <w:rFonts w:ascii="宋体" w:hAnsi="宋体" w:eastAsia="宋体" w:cs="宋体"/>
          <w:spacing w:val="-2"/>
          <w:sz w:val="24"/>
          <w:szCs w:val="24"/>
        </w:rPr>
        <w:t>以下，本</w:t>
      </w:r>
      <w:r>
        <w:rPr>
          <w:rFonts w:ascii="宋体" w:hAnsi="宋体" w:eastAsia="宋体" w:cs="宋体"/>
          <w:sz w:val="24"/>
          <w:szCs w:val="24"/>
        </w:rPr>
        <w:t xml:space="preserve"> </w:t>
      </w:r>
      <w:r>
        <w:rPr>
          <w:rFonts w:ascii="宋体" w:hAnsi="宋体" w:eastAsia="宋体" w:cs="宋体"/>
          <w:spacing w:val="-1"/>
          <w:sz w:val="24"/>
          <w:szCs w:val="24"/>
        </w:rPr>
        <w:t>次评价取值</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2.5mg/m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7"/>
          <w:position w:val="7"/>
          <w:sz w:val="15"/>
          <w:szCs w:val="15"/>
        </w:rPr>
        <w:t xml:space="preserve"> </w:t>
      </w:r>
      <w:r>
        <w:rPr>
          <w:rFonts w:ascii="宋体" w:hAnsi="宋体" w:eastAsia="宋体" w:cs="宋体"/>
          <w:spacing w:val="-1"/>
          <w:sz w:val="24"/>
          <w:szCs w:val="24"/>
        </w:rPr>
        <w:t>，发电机组烟气中</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NH</w:t>
      </w:r>
      <w:r>
        <w:rPr>
          <w:rFonts w:ascii="Times New Roman" w:hAnsi="Times New Roman" w:eastAsia="Times New Roman" w:cs="Times New Roman"/>
          <w:spacing w:val="-1"/>
          <w:position w:val="-1"/>
          <w:sz w:val="15"/>
          <w:szCs w:val="15"/>
        </w:rPr>
        <w:t>3</w:t>
      </w:r>
      <w:r>
        <w:rPr>
          <w:rFonts w:ascii="Times New Roman" w:hAnsi="Times New Roman" w:eastAsia="Times New Roman" w:cs="Times New Roman"/>
          <w:spacing w:val="11"/>
          <w:w w:val="102"/>
          <w:position w:val="-1"/>
          <w:sz w:val="15"/>
          <w:szCs w:val="15"/>
        </w:rPr>
        <w:t xml:space="preserve"> </w:t>
      </w:r>
      <w:r>
        <w:rPr>
          <w:rFonts w:ascii="宋体" w:hAnsi="宋体" w:eastAsia="宋体" w:cs="宋体"/>
          <w:spacing w:val="-1"/>
          <w:sz w:val="24"/>
          <w:szCs w:val="24"/>
        </w:rPr>
        <w:t>产生及排放量为</w:t>
      </w:r>
      <w:r>
        <w:rPr>
          <w:rFonts w:ascii="宋体" w:hAnsi="宋体" w:eastAsia="宋体" w:cs="宋体"/>
          <w:spacing w:val="-57"/>
          <w:sz w:val="24"/>
          <w:szCs w:val="24"/>
        </w:rPr>
        <w:t xml:space="preserve"> </w:t>
      </w:r>
      <w:r>
        <w:rPr>
          <w:rFonts w:ascii="Times New Roman" w:hAnsi="Times New Roman" w:eastAsia="Times New Roman" w:cs="Times New Roman"/>
          <w:spacing w:val="-1"/>
          <w:sz w:val="24"/>
          <w:szCs w:val="24"/>
        </w:rPr>
        <w:t>4.44t/a</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、产生及排放速率</w:t>
      </w:r>
      <w:r>
        <w:rPr>
          <w:rFonts w:ascii="宋体" w:hAnsi="宋体" w:eastAsia="宋体" w:cs="宋体"/>
          <w:sz w:val="24"/>
          <w:szCs w:val="24"/>
        </w:rPr>
        <w:t xml:space="preserve"> </w:t>
      </w:r>
      <w:r>
        <w:rPr>
          <w:rFonts w:ascii="宋体" w:hAnsi="宋体" w:eastAsia="宋体" w:cs="宋体"/>
          <w:spacing w:val="-2"/>
          <w:sz w:val="24"/>
          <w:szCs w:val="24"/>
        </w:rPr>
        <w:t>为</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0.56kg/h</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、产生及排放浓度</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2.5mg/m</w:t>
      </w:r>
      <w:r>
        <w:rPr>
          <w:rFonts w:ascii="Times New Roman" w:hAnsi="Times New Roman" w:eastAsia="Times New Roman" w:cs="Times New Roman"/>
          <w:spacing w:val="-2"/>
          <w:position w:val="8"/>
          <w:sz w:val="15"/>
          <w:szCs w:val="15"/>
        </w:rPr>
        <w:t>3</w:t>
      </w:r>
      <w:r>
        <w:rPr>
          <w:rFonts w:ascii="宋体" w:hAnsi="宋体" w:eastAsia="宋体" w:cs="宋体"/>
          <w:spacing w:val="-2"/>
          <w:sz w:val="24"/>
          <w:szCs w:val="24"/>
        </w:rPr>
        <w:t>。</w:t>
      </w:r>
    </w:p>
    <w:p w14:paraId="4C03ADCA">
      <w:pPr>
        <w:spacing w:before="57" w:line="219" w:lineRule="auto"/>
        <w:ind w:left="492"/>
        <w:rPr>
          <w:rFonts w:ascii="宋体" w:hAnsi="宋体" w:eastAsia="宋体" w:cs="宋体"/>
          <w:sz w:val="24"/>
          <w:szCs w:val="24"/>
        </w:rPr>
      </w:pPr>
      <w:r>
        <w:rPr>
          <w:rFonts w:ascii="宋体" w:hAnsi="宋体" w:eastAsia="宋体" w:cs="宋体"/>
          <w:b/>
          <w:bCs/>
          <w:spacing w:val="-1"/>
          <w:sz w:val="24"/>
          <w:szCs w:val="24"/>
        </w:rPr>
        <w:t>发电锅炉烟气经</w:t>
      </w:r>
      <w:r>
        <w:rPr>
          <w:rFonts w:ascii="Times New Roman" w:hAnsi="Times New Roman" w:eastAsia="Times New Roman" w:cs="Times New Roman"/>
          <w:b/>
          <w:bCs/>
          <w:spacing w:val="-1"/>
          <w:sz w:val="24"/>
          <w:szCs w:val="24"/>
        </w:rPr>
        <w:t>1</w:t>
      </w:r>
      <w:r>
        <w:rPr>
          <w:rFonts w:ascii="宋体" w:hAnsi="宋体" w:eastAsia="宋体" w:cs="宋体"/>
          <w:b/>
          <w:bCs/>
          <w:spacing w:val="-1"/>
          <w:sz w:val="24"/>
          <w:szCs w:val="24"/>
        </w:rPr>
        <w:t>套</w:t>
      </w:r>
      <w:r>
        <w:rPr>
          <w:rFonts w:ascii="Times New Roman" w:hAnsi="Times New Roman" w:eastAsia="Times New Roman" w:cs="Times New Roman"/>
          <w:b/>
          <w:bCs/>
          <w:spacing w:val="-1"/>
          <w:sz w:val="24"/>
          <w:szCs w:val="24"/>
        </w:rPr>
        <w:t>SCR</w:t>
      </w:r>
      <w:r>
        <w:rPr>
          <w:rFonts w:ascii="宋体" w:hAnsi="宋体" w:eastAsia="宋体" w:cs="宋体"/>
          <w:b/>
          <w:bCs/>
          <w:spacing w:val="-1"/>
          <w:sz w:val="24"/>
          <w:szCs w:val="24"/>
        </w:rPr>
        <w:t>脱硝装置处理后，经</w:t>
      </w:r>
      <w:r>
        <w:rPr>
          <w:rFonts w:ascii="Times New Roman" w:hAnsi="Times New Roman" w:eastAsia="Times New Roman" w:cs="Times New Roman"/>
          <w:b/>
          <w:bCs/>
          <w:spacing w:val="-1"/>
          <w:sz w:val="24"/>
          <w:szCs w:val="24"/>
        </w:rPr>
        <w:t>1</w:t>
      </w:r>
      <w:r>
        <w:rPr>
          <w:rFonts w:ascii="宋体" w:hAnsi="宋体" w:eastAsia="宋体" w:cs="宋体"/>
          <w:b/>
          <w:bCs/>
          <w:spacing w:val="-2"/>
          <w:sz w:val="24"/>
          <w:szCs w:val="24"/>
        </w:rPr>
        <w:t>根</w:t>
      </w:r>
      <w:r>
        <w:rPr>
          <w:rFonts w:ascii="Times New Roman" w:hAnsi="Times New Roman" w:eastAsia="Times New Roman" w:cs="Times New Roman"/>
          <w:b/>
          <w:bCs/>
          <w:spacing w:val="-2"/>
          <w:sz w:val="24"/>
          <w:szCs w:val="24"/>
        </w:rPr>
        <w:t>25m</w:t>
      </w:r>
      <w:r>
        <w:rPr>
          <w:rFonts w:ascii="宋体" w:hAnsi="宋体" w:eastAsia="宋体" w:cs="宋体"/>
          <w:b/>
          <w:bCs/>
          <w:spacing w:val="-2"/>
          <w:sz w:val="24"/>
          <w:szCs w:val="24"/>
        </w:rPr>
        <w:t>高排气筒（</w:t>
      </w:r>
      <w:r>
        <w:rPr>
          <w:rFonts w:ascii="Times New Roman" w:hAnsi="Times New Roman" w:eastAsia="Times New Roman" w:cs="Times New Roman"/>
          <w:b/>
          <w:bCs/>
          <w:spacing w:val="-2"/>
          <w:sz w:val="24"/>
          <w:szCs w:val="24"/>
        </w:rPr>
        <w:t>DA014</w:t>
      </w:r>
      <w:r>
        <w:rPr>
          <w:rFonts w:ascii="宋体" w:hAnsi="宋体" w:eastAsia="宋体" w:cs="宋体"/>
          <w:b/>
          <w:bCs/>
          <w:spacing w:val="-2"/>
          <w:sz w:val="24"/>
          <w:szCs w:val="24"/>
        </w:rPr>
        <w:t>）排放。</w:t>
      </w:r>
    </w:p>
    <w:p w14:paraId="3169E605">
      <w:pPr>
        <w:spacing w:before="193" w:line="219" w:lineRule="auto"/>
        <w:ind w:left="499"/>
        <w:rPr>
          <w:rFonts w:ascii="宋体" w:hAnsi="宋体" w:eastAsia="宋体" w:cs="宋体"/>
          <w:sz w:val="24"/>
          <w:szCs w:val="24"/>
        </w:rPr>
      </w:pPr>
      <w:r>
        <w:rPr>
          <w:rFonts w:ascii="宋体" w:hAnsi="宋体" w:eastAsia="宋体" w:cs="宋体"/>
          <w:b/>
          <w:bCs/>
          <w:spacing w:val="-3"/>
          <w:sz w:val="24"/>
          <w:szCs w:val="24"/>
        </w:rPr>
        <w:t>（</w:t>
      </w:r>
      <w:r>
        <w:rPr>
          <w:rFonts w:ascii="Times New Roman" w:hAnsi="Times New Roman" w:eastAsia="Times New Roman" w:cs="Times New Roman"/>
          <w:b/>
          <w:bCs/>
          <w:spacing w:val="-3"/>
          <w:sz w:val="24"/>
          <w:szCs w:val="24"/>
        </w:rPr>
        <w:t>10</w:t>
      </w:r>
      <w:r>
        <w:rPr>
          <w:rFonts w:ascii="宋体" w:hAnsi="宋体" w:eastAsia="宋体" w:cs="宋体"/>
          <w:b/>
          <w:bCs/>
          <w:spacing w:val="-3"/>
          <w:sz w:val="24"/>
          <w:szCs w:val="24"/>
        </w:rPr>
        <w:t>）餐厅油烟（</w:t>
      </w:r>
      <w:r>
        <w:rPr>
          <w:rFonts w:ascii="Times New Roman" w:hAnsi="Times New Roman" w:eastAsia="Times New Roman" w:cs="Times New Roman"/>
          <w:b/>
          <w:bCs/>
          <w:spacing w:val="-3"/>
          <w:sz w:val="24"/>
          <w:szCs w:val="24"/>
        </w:rPr>
        <w:t>G</w:t>
      </w:r>
      <w:r>
        <w:rPr>
          <w:rFonts w:ascii="Times New Roman" w:hAnsi="Times New Roman" w:eastAsia="Times New Roman" w:cs="Times New Roman"/>
          <w:b/>
          <w:bCs/>
          <w:spacing w:val="-3"/>
          <w:position w:val="-1"/>
          <w:sz w:val="15"/>
          <w:szCs w:val="15"/>
        </w:rPr>
        <w:t>3</w:t>
      </w:r>
      <w:r>
        <w:rPr>
          <w:rFonts w:ascii="宋体" w:hAnsi="宋体" w:eastAsia="宋体" w:cs="宋体"/>
          <w:b/>
          <w:bCs/>
          <w:spacing w:val="-3"/>
          <w:sz w:val="24"/>
          <w:szCs w:val="24"/>
        </w:rPr>
        <w:t>）</w:t>
      </w:r>
    </w:p>
    <w:p w14:paraId="2F6C870E">
      <w:pPr>
        <w:spacing w:before="193" w:line="360" w:lineRule="auto"/>
        <w:ind w:left="8" w:right="1" w:firstLine="480"/>
        <w:jc w:val="both"/>
        <w:rPr>
          <w:rFonts w:ascii="宋体" w:hAnsi="宋体" w:eastAsia="宋体" w:cs="宋体"/>
          <w:sz w:val="24"/>
          <w:szCs w:val="24"/>
        </w:rPr>
      </w:pPr>
      <w:r>
        <w:rPr>
          <w:rFonts w:ascii="宋体" w:hAnsi="宋体" w:eastAsia="宋体" w:cs="宋体"/>
          <w:spacing w:val="-1"/>
          <w:sz w:val="24"/>
          <w:szCs w:val="24"/>
        </w:rPr>
        <w:t>根据统计，我国人均日食用油用量约</w:t>
      </w:r>
      <w:r>
        <w:rPr>
          <w:rFonts w:ascii="宋体" w:hAnsi="宋体" w:eastAsia="宋体" w:cs="宋体"/>
          <w:spacing w:val="-40"/>
          <w:sz w:val="24"/>
          <w:szCs w:val="24"/>
        </w:rPr>
        <w:t xml:space="preserve"> </w:t>
      </w:r>
      <w:r>
        <w:rPr>
          <w:rFonts w:ascii="Times New Roman" w:hAnsi="Times New Roman" w:eastAsia="Times New Roman" w:cs="Times New Roman"/>
          <w:spacing w:val="-1"/>
          <w:sz w:val="24"/>
          <w:szCs w:val="24"/>
        </w:rPr>
        <w:t>30g/</w:t>
      </w:r>
      <w:r>
        <w:rPr>
          <w:rFonts w:ascii="宋体" w:hAnsi="宋体" w:eastAsia="宋体" w:cs="宋体"/>
          <w:spacing w:val="-1"/>
          <w:sz w:val="24"/>
          <w:szCs w:val="24"/>
        </w:rPr>
        <w:t>人</w:t>
      </w:r>
      <w:r>
        <w:rPr>
          <w:rFonts w:ascii="Times New Roman" w:hAnsi="Times New Roman" w:eastAsia="Times New Roman" w:cs="Times New Roman"/>
          <w:spacing w:val="-1"/>
          <w:sz w:val="24"/>
          <w:szCs w:val="24"/>
        </w:rPr>
        <w:t>·d</w:t>
      </w:r>
      <w:r>
        <w:rPr>
          <w:rFonts w:ascii="宋体" w:hAnsi="宋体" w:eastAsia="宋体" w:cs="宋体"/>
          <w:spacing w:val="-1"/>
          <w:sz w:val="24"/>
          <w:szCs w:val="24"/>
        </w:rPr>
        <w:t>，项目厂区劳动定员</w:t>
      </w:r>
      <w:r>
        <w:rPr>
          <w:rFonts w:ascii="Times New Roman" w:hAnsi="Times New Roman" w:eastAsia="Times New Roman" w:cs="Times New Roman"/>
          <w:spacing w:val="-1"/>
          <w:sz w:val="24"/>
          <w:szCs w:val="24"/>
        </w:rPr>
        <w:t xml:space="preserve">700 </w:t>
      </w:r>
      <w:r>
        <w:rPr>
          <w:rFonts w:ascii="宋体" w:hAnsi="宋体" w:eastAsia="宋体" w:cs="宋体"/>
          <w:spacing w:val="-1"/>
          <w:sz w:val="24"/>
          <w:szCs w:val="24"/>
        </w:rPr>
        <w:t>人，食用油</w:t>
      </w:r>
      <w:r>
        <w:rPr>
          <w:rFonts w:ascii="宋体" w:hAnsi="宋体" w:eastAsia="宋体" w:cs="宋体"/>
          <w:sz w:val="24"/>
          <w:szCs w:val="24"/>
        </w:rPr>
        <w:t xml:space="preserve"> </w:t>
      </w:r>
      <w:r>
        <w:rPr>
          <w:rFonts w:ascii="宋体" w:hAnsi="宋体" w:eastAsia="宋体" w:cs="宋体"/>
          <w:spacing w:val="-2"/>
          <w:sz w:val="24"/>
          <w:szCs w:val="24"/>
        </w:rPr>
        <w:t>用量为</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6.99t/a</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，油烟产生量为食油用量的</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，经油烟净化后通过餐厅</w:t>
      </w:r>
      <w:r>
        <w:rPr>
          <w:rFonts w:ascii="宋体" w:hAnsi="宋体" w:eastAsia="宋体" w:cs="宋体"/>
          <w:spacing w:val="-3"/>
          <w:sz w:val="24"/>
          <w:szCs w:val="24"/>
        </w:rPr>
        <w:t>专用井道至屋顶</w:t>
      </w:r>
      <w:r>
        <w:rPr>
          <w:rFonts w:ascii="宋体" w:hAnsi="宋体" w:eastAsia="宋体" w:cs="宋体"/>
          <w:sz w:val="24"/>
          <w:szCs w:val="24"/>
        </w:rPr>
        <w:t xml:space="preserve"> </w:t>
      </w:r>
      <w:r>
        <w:rPr>
          <w:rFonts w:ascii="宋体" w:hAnsi="宋体" w:eastAsia="宋体" w:cs="宋体"/>
          <w:spacing w:val="-9"/>
          <w:sz w:val="24"/>
          <w:szCs w:val="24"/>
        </w:rPr>
        <w:t>排放。餐厅设有</w:t>
      </w:r>
      <w:r>
        <w:rPr>
          <w:rFonts w:ascii="宋体" w:hAnsi="宋体" w:eastAsia="宋体" w:cs="宋体"/>
          <w:spacing w:val="-50"/>
          <w:sz w:val="24"/>
          <w:szCs w:val="24"/>
        </w:rPr>
        <w:t xml:space="preserve"> </w:t>
      </w:r>
      <w:r>
        <w:rPr>
          <w:rFonts w:ascii="Times New Roman" w:hAnsi="Times New Roman" w:eastAsia="Times New Roman" w:cs="Times New Roman"/>
          <w:spacing w:val="-9"/>
          <w:sz w:val="24"/>
          <w:szCs w:val="24"/>
        </w:rPr>
        <w:t xml:space="preserve">6 </w:t>
      </w:r>
      <w:r>
        <w:rPr>
          <w:rFonts w:ascii="宋体" w:hAnsi="宋体" w:eastAsia="宋体" w:cs="宋体"/>
          <w:spacing w:val="-9"/>
          <w:sz w:val="24"/>
          <w:szCs w:val="24"/>
        </w:rPr>
        <w:t>个基准灶头，属于大型饮食业单位</w:t>
      </w:r>
      <w:r>
        <w:rPr>
          <w:rFonts w:ascii="宋体" w:hAnsi="宋体" w:eastAsia="宋体" w:cs="宋体"/>
          <w:spacing w:val="-10"/>
          <w:sz w:val="24"/>
          <w:szCs w:val="24"/>
        </w:rPr>
        <w:t>，平均每天运行时间为</w:t>
      </w:r>
      <w:r>
        <w:rPr>
          <w:rFonts w:ascii="宋体" w:hAnsi="宋体" w:eastAsia="宋体" w:cs="宋体"/>
          <w:spacing w:val="-50"/>
          <w:sz w:val="24"/>
          <w:szCs w:val="24"/>
        </w:rPr>
        <w:t xml:space="preserve"> </w:t>
      </w:r>
      <w:r>
        <w:rPr>
          <w:rFonts w:ascii="Times New Roman" w:hAnsi="Times New Roman" w:eastAsia="Times New Roman" w:cs="Times New Roman"/>
          <w:spacing w:val="-10"/>
          <w:sz w:val="24"/>
          <w:szCs w:val="24"/>
        </w:rPr>
        <w:t>6h</w:t>
      </w:r>
      <w:r>
        <w:rPr>
          <w:rFonts w:ascii="宋体" w:hAnsi="宋体" w:eastAsia="宋体" w:cs="宋体"/>
          <w:spacing w:val="-10"/>
          <w:sz w:val="24"/>
          <w:szCs w:val="24"/>
        </w:rPr>
        <w:t>，</w:t>
      </w:r>
      <w:r>
        <w:rPr>
          <w:rFonts w:ascii="Times New Roman" w:hAnsi="Times New Roman" w:eastAsia="Times New Roman" w:cs="Times New Roman"/>
          <w:spacing w:val="-10"/>
          <w:sz w:val="24"/>
          <w:szCs w:val="24"/>
        </w:rPr>
        <w:t>1998h/a</w:t>
      </w:r>
      <w:r>
        <w:rPr>
          <w:rFonts w:ascii="宋体" w:hAnsi="宋体" w:eastAsia="宋体" w:cs="宋体"/>
          <w:spacing w:val="-10"/>
          <w:sz w:val="24"/>
          <w:szCs w:val="24"/>
        </w:rPr>
        <w:t>，</w:t>
      </w:r>
      <w:r>
        <w:rPr>
          <w:rFonts w:ascii="宋体" w:hAnsi="宋体" w:eastAsia="宋体" w:cs="宋体"/>
          <w:sz w:val="24"/>
          <w:szCs w:val="24"/>
        </w:rPr>
        <w:t xml:space="preserve"> </w:t>
      </w:r>
      <w:r>
        <w:rPr>
          <w:rFonts w:ascii="宋体" w:hAnsi="宋体" w:eastAsia="宋体" w:cs="宋体"/>
          <w:spacing w:val="-2"/>
          <w:sz w:val="24"/>
          <w:szCs w:val="24"/>
        </w:rPr>
        <w:t>油烟净化器引风量为</w:t>
      </w:r>
      <w:r>
        <w:rPr>
          <w:rFonts w:ascii="宋体" w:hAnsi="宋体" w:eastAsia="宋体" w:cs="宋体"/>
          <w:spacing w:val="-34"/>
          <w:sz w:val="24"/>
          <w:szCs w:val="24"/>
        </w:rPr>
        <w:t xml:space="preserve"> </w:t>
      </w:r>
      <w:r>
        <w:rPr>
          <w:rFonts w:ascii="Times New Roman" w:hAnsi="Times New Roman" w:eastAsia="Times New Roman" w:cs="Times New Roman"/>
          <w:spacing w:val="-2"/>
          <w:sz w:val="24"/>
          <w:szCs w:val="24"/>
        </w:rPr>
        <w:t>10000Nm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宋体" w:hAnsi="宋体" w:eastAsia="宋体" w:cs="宋体"/>
          <w:spacing w:val="-23"/>
          <w:sz w:val="24"/>
          <w:szCs w:val="24"/>
        </w:rPr>
        <w:t>，根据《饮食业油烟排放标准（试行）》（</w:t>
      </w:r>
      <w:r>
        <w:rPr>
          <w:rFonts w:ascii="Times New Roman" w:hAnsi="Times New Roman" w:eastAsia="Times New Roman" w:cs="Times New Roman"/>
          <w:spacing w:val="-23"/>
          <w:sz w:val="24"/>
          <w:szCs w:val="24"/>
        </w:rPr>
        <w:t>GB184</w:t>
      </w:r>
      <w:r>
        <w:rPr>
          <w:rFonts w:ascii="Times New Roman" w:hAnsi="Times New Roman" w:eastAsia="Times New Roman" w:cs="Times New Roman"/>
          <w:spacing w:val="-24"/>
          <w:sz w:val="24"/>
          <w:szCs w:val="24"/>
        </w:rPr>
        <w:t>83-2001</w:t>
      </w:r>
      <w:r>
        <w:rPr>
          <w:rFonts w:ascii="宋体" w:hAnsi="宋体" w:eastAsia="宋体" w:cs="宋体"/>
          <w:spacing w:val="-54"/>
          <w:w w:val="86"/>
          <w:sz w:val="24"/>
          <w:szCs w:val="24"/>
        </w:rPr>
        <w:t>），</w:t>
      </w:r>
      <w:r>
        <w:rPr>
          <w:rFonts w:ascii="宋体" w:hAnsi="宋体" w:eastAsia="宋体" w:cs="宋体"/>
          <w:sz w:val="24"/>
          <w:szCs w:val="24"/>
        </w:rPr>
        <w:t xml:space="preserve"> </w:t>
      </w:r>
      <w:r>
        <w:rPr>
          <w:rFonts w:ascii="宋体" w:hAnsi="宋体" w:eastAsia="宋体" w:cs="宋体"/>
          <w:spacing w:val="-1"/>
          <w:sz w:val="24"/>
          <w:szCs w:val="24"/>
        </w:rPr>
        <w:t>油烟净化器净化效率要求</w:t>
      </w:r>
      <w:r>
        <w:rPr>
          <w:rFonts w:ascii="Times New Roman" w:hAnsi="Times New Roman" w:eastAsia="Times New Roman" w:cs="Times New Roman"/>
          <w:spacing w:val="-1"/>
          <w:sz w:val="24"/>
          <w:szCs w:val="24"/>
        </w:rPr>
        <w:t>≥85%</w:t>
      </w:r>
      <w:r>
        <w:rPr>
          <w:rFonts w:ascii="宋体" w:hAnsi="宋体" w:eastAsia="宋体" w:cs="宋体"/>
          <w:spacing w:val="-1"/>
          <w:sz w:val="24"/>
          <w:szCs w:val="24"/>
        </w:rPr>
        <w:t>。</w:t>
      </w:r>
    </w:p>
    <w:p w14:paraId="1B88F3FE">
      <w:pPr>
        <w:spacing w:before="43" w:line="340" w:lineRule="auto"/>
        <w:ind w:left="7" w:right="63" w:firstLine="483"/>
        <w:rPr>
          <w:rFonts w:ascii="宋体" w:hAnsi="宋体" w:eastAsia="宋体" w:cs="宋体"/>
          <w:sz w:val="24"/>
          <w:szCs w:val="24"/>
        </w:rPr>
      </w:pPr>
      <w:r>
        <w:rPr>
          <w:rFonts w:ascii="宋体" w:hAnsi="宋体" w:eastAsia="宋体" w:cs="宋体"/>
          <w:spacing w:val="-3"/>
          <w:sz w:val="24"/>
          <w:szCs w:val="24"/>
        </w:rPr>
        <w:t>厂区油烟产生量为产生</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0.21t/a</w:t>
      </w:r>
      <w:r>
        <w:rPr>
          <w:rFonts w:ascii="宋体" w:hAnsi="宋体" w:eastAsia="宋体" w:cs="宋体"/>
          <w:spacing w:val="-3"/>
          <w:sz w:val="24"/>
          <w:szCs w:val="24"/>
        </w:rPr>
        <w:t>、速率为</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0.</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4"/>
          <w:sz w:val="24"/>
          <w:szCs w:val="24"/>
        </w:rPr>
        <w:t>0kg/h</w:t>
      </w:r>
      <w:r>
        <w:rPr>
          <w:rFonts w:ascii="宋体" w:hAnsi="宋体" w:eastAsia="宋体" w:cs="宋体"/>
          <w:spacing w:val="-4"/>
          <w:sz w:val="24"/>
          <w:szCs w:val="24"/>
        </w:rPr>
        <w:t>、产生浓度</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10.50mg/m</w:t>
      </w:r>
      <w:r>
        <w:rPr>
          <w:rFonts w:ascii="Times New Roman" w:hAnsi="Times New Roman" w:eastAsia="Times New Roman" w:cs="Times New Roman"/>
          <w:spacing w:val="-4"/>
          <w:position w:val="8"/>
          <w:sz w:val="15"/>
          <w:szCs w:val="15"/>
        </w:rPr>
        <w:t>3</w:t>
      </w:r>
      <w:r>
        <w:rPr>
          <w:rFonts w:ascii="宋体" w:hAnsi="宋体" w:eastAsia="宋体" w:cs="宋体"/>
          <w:spacing w:val="-4"/>
          <w:sz w:val="24"/>
          <w:szCs w:val="24"/>
        </w:rPr>
        <w:t>；排放量为</w:t>
      </w:r>
      <w:r>
        <w:rPr>
          <w:rFonts w:ascii="宋体" w:hAnsi="宋体" w:eastAsia="宋体" w:cs="宋体"/>
          <w:sz w:val="24"/>
          <w:szCs w:val="24"/>
        </w:rPr>
        <w:t xml:space="preserve"> </w:t>
      </w:r>
      <w:r>
        <w:rPr>
          <w:rFonts w:ascii="Times New Roman" w:hAnsi="Times New Roman" w:eastAsia="Times New Roman" w:cs="Times New Roman"/>
          <w:spacing w:val="-3"/>
          <w:sz w:val="24"/>
          <w:szCs w:val="24"/>
        </w:rPr>
        <w:t>0.03t/a</w:t>
      </w:r>
      <w:r>
        <w:rPr>
          <w:rFonts w:ascii="Times New Roman" w:hAnsi="Times New Roman" w:eastAsia="Times New Roman" w:cs="Times New Roman"/>
          <w:spacing w:val="-25"/>
          <w:sz w:val="24"/>
          <w:szCs w:val="24"/>
        </w:rPr>
        <w:t xml:space="preserve"> </w:t>
      </w:r>
      <w:r>
        <w:rPr>
          <w:rFonts w:ascii="宋体" w:hAnsi="宋体" w:eastAsia="宋体" w:cs="宋体"/>
          <w:spacing w:val="-3"/>
          <w:sz w:val="24"/>
          <w:szCs w:val="24"/>
        </w:rPr>
        <w:t>、排放速率</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0.015kg/h</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、排放浓度</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1.57mg/m</w:t>
      </w:r>
      <w:r>
        <w:rPr>
          <w:rFonts w:ascii="Times New Roman" w:hAnsi="Times New Roman" w:eastAsia="Times New Roman" w:cs="Times New Roman"/>
          <w:spacing w:val="-3"/>
          <w:position w:val="7"/>
          <w:sz w:val="15"/>
          <w:szCs w:val="15"/>
        </w:rPr>
        <w:t>3</w:t>
      </w:r>
      <w:r>
        <w:rPr>
          <w:rFonts w:ascii="宋体" w:hAnsi="宋体" w:eastAsia="宋体" w:cs="宋体"/>
          <w:spacing w:val="-3"/>
          <w:sz w:val="24"/>
          <w:szCs w:val="24"/>
        </w:rPr>
        <w:t>。</w:t>
      </w:r>
    </w:p>
    <w:p w14:paraId="701B3304">
      <w:pPr>
        <w:spacing w:before="70" w:line="219" w:lineRule="auto"/>
        <w:ind w:left="489"/>
        <w:rPr>
          <w:rFonts w:ascii="宋体" w:hAnsi="宋体" w:eastAsia="宋体" w:cs="宋体"/>
          <w:sz w:val="24"/>
          <w:szCs w:val="24"/>
        </w:rPr>
      </w:pPr>
      <w:r>
        <w:rPr>
          <w:rFonts w:ascii="宋体" w:hAnsi="宋体" w:eastAsia="宋体" w:cs="宋体"/>
          <w:spacing w:val="-1"/>
          <w:sz w:val="24"/>
          <w:szCs w:val="24"/>
        </w:rPr>
        <w:t>本项目有组织大气污染源排放情况汇总见表</w:t>
      </w:r>
      <w:r>
        <w:rPr>
          <w:rFonts w:ascii="宋体" w:hAnsi="宋体" w:eastAsia="宋体" w:cs="宋体"/>
          <w:spacing w:val="-47"/>
          <w:sz w:val="24"/>
          <w:szCs w:val="24"/>
        </w:rPr>
        <w:t xml:space="preserve"> </w:t>
      </w:r>
      <w:r>
        <w:rPr>
          <w:rFonts w:ascii="Times New Roman" w:hAnsi="Times New Roman" w:eastAsia="Times New Roman" w:cs="Times New Roman"/>
          <w:spacing w:val="-1"/>
          <w:sz w:val="24"/>
          <w:szCs w:val="24"/>
        </w:rPr>
        <w:t>3.3-15</w:t>
      </w:r>
      <w:r>
        <w:rPr>
          <w:rFonts w:ascii="宋体" w:hAnsi="宋体" w:eastAsia="宋体" w:cs="宋体"/>
          <w:spacing w:val="-1"/>
          <w:sz w:val="24"/>
          <w:szCs w:val="24"/>
        </w:rPr>
        <w:t>。</w:t>
      </w:r>
    </w:p>
    <w:p w14:paraId="17544005">
      <w:pPr>
        <w:spacing w:before="192" w:line="219" w:lineRule="auto"/>
        <w:ind w:left="484"/>
        <w:rPr>
          <w:rFonts w:ascii="宋体" w:hAnsi="宋体" w:eastAsia="宋体" w:cs="宋体"/>
          <w:sz w:val="24"/>
          <w:szCs w:val="24"/>
        </w:rPr>
      </w:pPr>
      <w:r>
        <w:rPr>
          <w:rFonts w:ascii="Times New Roman" w:hAnsi="Times New Roman" w:eastAsia="Times New Roman" w:cs="Times New Roman"/>
          <w:b/>
          <w:bCs/>
          <w:spacing w:val="-5"/>
          <w:sz w:val="24"/>
          <w:szCs w:val="24"/>
        </w:rPr>
        <w:t>2</w:t>
      </w:r>
      <w:r>
        <w:rPr>
          <w:rFonts w:ascii="Times New Roman" w:hAnsi="Times New Roman" w:eastAsia="Times New Roman" w:cs="Times New Roman"/>
          <w:b/>
          <w:bCs/>
          <w:spacing w:val="-25"/>
          <w:sz w:val="24"/>
          <w:szCs w:val="24"/>
        </w:rPr>
        <w:t xml:space="preserve"> </w:t>
      </w:r>
      <w:r>
        <w:rPr>
          <w:rFonts w:ascii="宋体" w:hAnsi="宋体" w:eastAsia="宋体" w:cs="宋体"/>
          <w:b/>
          <w:bCs/>
          <w:spacing w:val="-5"/>
          <w:sz w:val="24"/>
          <w:szCs w:val="24"/>
        </w:rPr>
        <w:t>、生产过程中无组织排放</w:t>
      </w:r>
    </w:p>
    <w:p w14:paraId="6BEA873D">
      <w:pPr>
        <w:spacing w:before="193"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）电炉生产区原料储存无组织粉尘</w:t>
      </w:r>
    </w:p>
    <w:p w14:paraId="7C47E2B9">
      <w:pPr>
        <w:spacing w:before="192" w:line="358" w:lineRule="auto"/>
        <w:ind w:left="7" w:firstLine="481"/>
        <w:jc w:val="both"/>
        <w:rPr>
          <w:rFonts w:ascii="宋体" w:hAnsi="宋体" w:eastAsia="宋体" w:cs="宋体"/>
          <w:sz w:val="24"/>
          <w:szCs w:val="24"/>
        </w:rPr>
      </w:pPr>
      <w:r>
        <w:rPr>
          <w:rFonts w:ascii="宋体" w:hAnsi="宋体" w:eastAsia="宋体" w:cs="宋体"/>
          <w:spacing w:val="-1"/>
          <w:sz w:val="24"/>
          <w:szCs w:val="24"/>
        </w:rPr>
        <w:t>本项目锰硅合金生产的各类原辅材料则直接运</w:t>
      </w:r>
      <w:r>
        <w:rPr>
          <w:rFonts w:ascii="宋体" w:hAnsi="宋体" w:eastAsia="宋体" w:cs="宋体"/>
          <w:spacing w:val="-2"/>
          <w:sz w:val="24"/>
          <w:szCs w:val="24"/>
        </w:rPr>
        <w:t>输到烧结料棚或原料大棚卸料储存。</w:t>
      </w:r>
      <w:r>
        <w:rPr>
          <w:rFonts w:ascii="宋体" w:hAnsi="宋体" w:eastAsia="宋体" w:cs="宋体"/>
          <w:sz w:val="24"/>
          <w:szCs w:val="24"/>
        </w:rPr>
        <w:t xml:space="preserve"> </w:t>
      </w:r>
      <w:r>
        <w:rPr>
          <w:rFonts w:ascii="宋体" w:hAnsi="宋体" w:eastAsia="宋体" w:cs="宋体"/>
          <w:spacing w:val="-3"/>
          <w:sz w:val="24"/>
          <w:szCs w:val="24"/>
        </w:rPr>
        <w:t>在正常情况下，汽车卸车作业区的起尘主要是由于装卸车辆行驶造成的扬尘和原料卸车</w:t>
      </w:r>
      <w:r>
        <w:rPr>
          <w:rFonts w:ascii="宋体" w:hAnsi="宋体" w:eastAsia="宋体" w:cs="宋体"/>
          <w:spacing w:val="1"/>
          <w:sz w:val="24"/>
          <w:szCs w:val="24"/>
        </w:rPr>
        <w:t xml:space="preserve"> </w:t>
      </w:r>
      <w:r>
        <w:rPr>
          <w:rFonts w:ascii="宋体" w:hAnsi="宋体" w:eastAsia="宋体" w:cs="宋体"/>
          <w:spacing w:val="-2"/>
          <w:sz w:val="24"/>
          <w:szCs w:val="24"/>
        </w:rPr>
        <w:t>过程中的扬尘。</w:t>
      </w:r>
    </w:p>
    <w:p w14:paraId="354375DB">
      <w:pPr>
        <w:spacing w:before="35" w:line="360" w:lineRule="auto"/>
        <w:ind w:left="7" w:right="63" w:firstLine="483"/>
        <w:jc w:val="both"/>
        <w:rPr>
          <w:rFonts w:ascii="宋体" w:hAnsi="宋体" w:eastAsia="宋体" w:cs="宋体"/>
          <w:sz w:val="24"/>
          <w:szCs w:val="24"/>
        </w:rPr>
      </w:pPr>
      <w:r>
        <w:rPr>
          <w:rFonts w:ascii="宋体" w:hAnsi="宋体" w:eastAsia="宋体" w:cs="宋体"/>
          <w:spacing w:val="-3"/>
          <w:sz w:val="24"/>
          <w:szCs w:val="24"/>
        </w:rPr>
        <w:t>厂区内道路全部硬化处理，原料货车运输过程加盖苫布，卸车</w:t>
      </w:r>
      <w:r>
        <w:rPr>
          <w:rFonts w:ascii="宋体" w:hAnsi="宋体" w:eastAsia="宋体" w:cs="宋体"/>
          <w:spacing w:val="-4"/>
          <w:sz w:val="24"/>
          <w:szCs w:val="24"/>
        </w:rPr>
        <w:t>作业在封闭的料场内</w:t>
      </w:r>
      <w:r>
        <w:rPr>
          <w:rFonts w:ascii="宋体" w:hAnsi="宋体" w:eastAsia="宋体" w:cs="宋体"/>
          <w:sz w:val="24"/>
          <w:szCs w:val="24"/>
        </w:rPr>
        <w:t xml:space="preserve"> </w:t>
      </w:r>
      <w:r>
        <w:rPr>
          <w:rFonts w:ascii="宋体" w:hAnsi="宋体" w:eastAsia="宋体" w:cs="宋体"/>
          <w:spacing w:val="-3"/>
          <w:sz w:val="24"/>
          <w:szCs w:val="24"/>
        </w:rPr>
        <w:t>完成，同时在料场内配置喷雾降尘设施，水经高压喷嘴雾化形成飘飞的水雾，由于水雾</w:t>
      </w:r>
      <w:r>
        <w:rPr>
          <w:rFonts w:ascii="宋体" w:hAnsi="宋体" w:eastAsia="宋体" w:cs="宋体"/>
          <w:spacing w:val="1"/>
          <w:sz w:val="24"/>
          <w:szCs w:val="24"/>
        </w:rPr>
        <w:t xml:space="preserve"> </w:t>
      </w:r>
      <w:r>
        <w:rPr>
          <w:rFonts w:ascii="宋体" w:hAnsi="宋体" w:eastAsia="宋体" w:cs="宋体"/>
          <w:spacing w:val="-3"/>
          <w:sz w:val="24"/>
          <w:szCs w:val="24"/>
        </w:rPr>
        <w:t>颗粒是微米级的，非常细小，表面张力基本上为零，喷洒到空气中能迅速吸附空气中的</w:t>
      </w:r>
      <w:r>
        <w:rPr>
          <w:rFonts w:ascii="宋体" w:hAnsi="宋体" w:eastAsia="宋体" w:cs="宋体"/>
          <w:spacing w:val="1"/>
          <w:sz w:val="24"/>
          <w:szCs w:val="24"/>
        </w:rPr>
        <w:t xml:space="preserve"> </w:t>
      </w:r>
      <w:r>
        <w:rPr>
          <w:rFonts w:ascii="宋体" w:hAnsi="宋体" w:eastAsia="宋体" w:cs="宋体"/>
          <w:sz w:val="24"/>
          <w:szCs w:val="24"/>
        </w:rPr>
        <w:t>各种大小灰尘颗粒，形成有效控尘，从而抑制自卸车卸</w:t>
      </w:r>
      <w:r>
        <w:rPr>
          <w:rFonts w:ascii="宋体" w:hAnsi="宋体" w:eastAsia="宋体" w:cs="宋体"/>
          <w:spacing w:val="-1"/>
          <w:sz w:val="24"/>
          <w:szCs w:val="24"/>
        </w:rPr>
        <w:t>载物料时的粉尘排放。</w:t>
      </w:r>
    </w:p>
    <w:p w14:paraId="4CA27FD3">
      <w:pPr>
        <w:spacing w:line="360" w:lineRule="auto"/>
        <w:rPr>
          <w:rFonts w:ascii="宋体" w:hAnsi="宋体" w:eastAsia="宋体" w:cs="宋体"/>
          <w:sz w:val="24"/>
          <w:szCs w:val="24"/>
        </w:rPr>
        <w:sectPr>
          <w:headerReference r:id="rId174" w:type="default"/>
          <w:footerReference r:id="rId175" w:type="default"/>
          <w:pgSz w:w="11850" w:h="16781"/>
          <w:pgMar w:top="1190" w:right="1352" w:bottom="1013" w:left="1417" w:header="882" w:footer="850" w:gutter="0"/>
          <w:cols w:space="720" w:num="1"/>
        </w:sectPr>
      </w:pPr>
    </w:p>
    <w:p w14:paraId="63514C17">
      <w:pPr>
        <w:pStyle w:val="2"/>
        <w:spacing w:line="265" w:lineRule="auto"/>
      </w:pPr>
      <w:r>
        <w:pict>
          <v:shape id="_x0000_s1208" o:spid="_x0000_s1208" style="position:absolute;left:0pt;margin-left:0pt;margin-top:0.75pt;height:0.75pt;width:450.75pt;z-index:251867136;mso-width-relative:page;mso-height-relative:page;" fillcolor="#000000" filled="t" stroked="f" coordsize="9015,15" path="m0,0l9014,0,9014,14,0,14,0,0xe">
            <v:path/>
            <v:fill on="t" focussize="0,0"/>
            <v:stroke on="f"/>
            <v:imagedata o:title=""/>
            <o:lock v:ext="edit"/>
          </v:shape>
        </w:pict>
      </w:r>
    </w:p>
    <w:p w14:paraId="1991F7DA">
      <w:pPr>
        <w:spacing w:before="78" w:line="354" w:lineRule="auto"/>
        <w:ind w:left="8" w:firstLine="481"/>
        <w:jc w:val="both"/>
        <w:rPr>
          <w:rFonts w:ascii="宋体" w:hAnsi="宋体" w:eastAsia="宋体" w:cs="宋体"/>
          <w:sz w:val="24"/>
          <w:szCs w:val="24"/>
        </w:rPr>
      </w:pPr>
      <w:r>
        <w:rPr>
          <w:rFonts w:ascii="宋体" w:hAnsi="宋体" w:eastAsia="宋体" w:cs="宋体"/>
          <w:spacing w:val="-3"/>
          <w:sz w:val="24"/>
          <w:szCs w:val="24"/>
        </w:rPr>
        <w:t>参照《钢铁行业烟粉尘无组织排放核算系数表》，原料系统（封</w:t>
      </w:r>
      <w:r>
        <w:rPr>
          <w:rFonts w:ascii="宋体" w:hAnsi="宋体" w:eastAsia="宋体" w:cs="宋体"/>
          <w:spacing w:val="-4"/>
          <w:sz w:val="24"/>
          <w:szCs w:val="24"/>
        </w:rPr>
        <w:t>闭料场）无组织排</w:t>
      </w:r>
      <w:r>
        <w:rPr>
          <w:rFonts w:ascii="宋体" w:hAnsi="宋体" w:eastAsia="宋体" w:cs="宋体"/>
          <w:sz w:val="24"/>
          <w:szCs w:val="24"/>
        </w:rPr>
        <w:t xml:space="preserve"> </w:t>
      </w:r>
      <w:r>
        <w:rPr>
          <w:rFonts w:ascii="宋体" w:hAnsi="宋体" w:eastAsia="宋体" w:cs="宋体"/>
          <w:spacing w:val="-2"/>
          <w:sz w:val="24"/>
          <w:szCs w:val="24"/>
        </w:rPr>
        <w:t>放系数为</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 xml:space="preserve">0.1~0.2kg/t </w:t>
      </w:r>
      <w:r>
        <w:rPr>
          <w:rFonts w:ascii="宋体" w:hAnsi="宋体" w:eastAsia="宋体" w:cs="宋体"/>
          <w:spacing w:val="-2"/>
          <w:sz w:val="24"/>
          <w:szCs w:val="24"/>
        </w:rPr>
        <w:t>产品，本次计算取</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0.</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2"/>
          <w:sz w:val="24"/>
          <w:szCs w:val="24"/>
        </w:rPr>
        <w:t xml:space="preserve">15kg/t </w:t>
      </w:r>
      <w:r>
        <w:rPr>
          <w:rFonts w:ascii="宋体" w:hAnsi="宋体" w:eastAsia="宋体" w:cs="宋体"/>
          <w:spacing w:val="-2"/>
          <w:sz w:val="24"/>
          <w:szCs w:val="24"/>
        </w:rPr>
        <w:t>产品</w:t>
      </w:r>
      <w:r>
        <w:rPr>
          <w:rFonts w:ascii="宋体" w:hAnsi="宋体" w:eastAsia="宋体" w:cs="宋体"/>
          <w:spacing w:val="-3"/>
          <w:sz w:val="24"/>
          <w:szCs w:val="24"/>
        </w:rPr>
        <w:t>。项目料场内设有喷雾降尘设施，</w:t>
      </w:r>
      <w:r>
        <w:rPr>
          <w:rFonts w:ascii="宋体" w:hAnsi="宋体" w:eastAsia="宋体" w:cs="宋体"/>
          <w:sz w:val="24"/>
          <w:szCs w:val="24"/>
        </w:rPr>
        <w:t xml:space="preserve"> </w:t>
      </w:r>
      <w:r>
        <w:rPr>
          <w:rFonts w:ascii="宋体" w:hAnsi="宋体" w:eastAsia="宋体" w:cs="宋体"/>
          <w:spacing w:val="-2"/>
          <w:sz w:val="24"/>
          <w:szCs w:val="24"/>
        </w:rPr>
        <w:t>可使</w:t>
      </w:r>
      <w:r>
        <w:rPr>
          <w:rFonts w:ascii="宋体" w:hAnsi="宋体" w:eastAsia="宋体" w:cs="宋体"/>
          <w:spacing w:val="-38"/>
          <w:sz w:val="24"/>
          <w:szCs w:val="24"/>
        </w:rPr>
        <w:t xml:space="preserve"> </w:t>
      </w:r>
      <w:r>
        <w:rPr>
          <w:rFonts w:ascii="Times New Roman" w:hAnsi="Times New Roman" w:eastAsia="Times New Roman" w:cs="Times New Roman"/>
          <w:spacing w:val="-2"/>
          <w:sz w:val="24"/>
          <w:szCs w:val="24"/>
        </w:rPr>
        <w:t>95%</w:t>
      </w:r>
      <w:r>
        <w:rPr>
          <w:rFonts w:ascii="宋体" w:hAnsi="宋体" w:eastAsia="宋体" w:cs="宋体"/>
          <w:spacing w:val="-2"/>
          <w:sz w:val="24"/>
          <w:szCs w:val="24"/>
        </w:rPr>
        <w:t>的粉尘在封闭料场内沉降。</w:t>
      </w:r>
    </w:p>
    <w:p w14:paraId="54E64FC1">
      <w:pPr>
        <w:spacing w:before="52" w:line="352" w:lineRule="auto"/>
        <w:ind w:left="11" w:right="20" w:firstLine="476"/>
        <w:rPr>
          <w:rFonts w:ascii="宋体" w:hAnsi="宋体" w:eastAsia="宋体" w:cs="宋体"/>
          <w:sz w:val="24"/>
          <w:szCs w:val="24"/>
        </w:rPr>
      </w:pPr>
      <w:r>
        <w:rPr>
          <w:rFonts w:ascii="宋体" w:hAnsi="宋体" w:eastAsia="宋体" w:cs="宋体"/>
          <w:spacing w:val="-4"/>
          <w:sz w:val="24"/>
          <w:szCs w:val="24"/>
        </w:rPr>
        <w:t>烧结原料库无组织粉尘排放量为</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3.</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4"/>
          <w:sz w:val="24"/>
          <w:szCs w:val="24"/>
        </w:rPr>
        <w:t>15t/a</w:t>
      </w:r>
      <w:r>
        <w:rPr>
          <w:rFonts w:ascii="宋体" w:hAnsi="宋体" w:eastAsia="宋体" w:cs="宋体"/>
          <w:spacing w:val="-4"/>
          <w:sz w:val="24"/>
          <w:szCs w:val="24"/>
        </w:rPr>
        <w:t>，锰及其化合物排放量为</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1.23t/a</w:t>
      </w:r>
      <w:r>
        <w:rPr>
          <w:rFonts w:ascii="宋体" w:hAnsi="宋体" w:eastAsia="宋体" w:cs="宋体"/>
          <w:spacing w:val="-4"/>
          <w:sz w:val="24"/>
          <w:szCs w:val="24"/>
        </w:rPr>
        <w:t>；电</w:t>
      </w:r>
      <w:r>
        <w:rPr>
          <w:rFonts w:ascii="宋体" w:hAnsi="宋体" w:eastAsia="宋体" w:cs="宋体"/>
          <w:spacing w:val="-5"/>
          <w:sz w:val="24"/>
          <w:szCs w:val="24"/>
        </w:rPr>
        <w:t>炉原料</w:t>
      </w:r>
      <w:r>
        <w:rPr>
          <w:rFonts w:ascii="宋体" w:hAnsi="宋体" w:eastAsia="宋体" w:cs="宋体"/>
          <w:sz w:val="24"/>
          <w:szCs w:val="24"/>
        </w:rPr>
        <w:t xml:space="preserve"> </w:t>
      </w:r>
      <w:r>
        <w:rPr>
          <w:rFonts w:ascii="宋体" w:hAnsi="宋体" w:eastAsia="宋体" w:cs="宋体"/>
          <w:spacing w:val="-2"/>
          <w:sz w:val="24"/>
          <w:szCs w:val="24"/>
        </w:rPr>
        <w:t>大棚无组织粉尘排放量为</w:t>
      </w:r>
      <w:r>
        <w:rPr>
          <w:rFonts w:ascii="宋体" w:hAnsi="宋体" w:eastAsia="宋体" w:cs="宋体"/>
          <w:spacing w:val="-35"/>
          <w:sz w:val="24"/>
          <w:szCs w:val="24"/>
        </w:rPr>
        <w:t xml:space="preserve"> </w:t>
      </w:r>
      <w:r>
        <w:rPr>
          <w:rFonts w:ascii="Times New Roman" w:hAnsi="Times New Roman" w:eastAsia="Times New Roman" w:cs="Times New Roman"/>
          <w:spacing w:val="-2"/>
          <w:sz w:val="24"/>
          <w:szCs w:val="24"/>
        </w:rPr>
        <w:t>3.38t/a</w:t>
      </w:r>
      <w:r>
        <w:rPr>
          <w:rFonts w:ascii="宋体" w:hAnsi="宋体" w:eastAsia="宋体" w:cs="宋体"/>
          <w:spacing w:val="-2"/>
          <w:sz w:val="24"/>
          <w:szCs w:val="24"/>
        </w:rPr>
        <w:t>。</w:t>
      </w:r>
    </w:p>
    <w:p w14:paraId="1FD38D7D">
      <w:pPr>
        <w:spacing w:before="37"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）电炉生产区无组织</w:t>
      </w:r>
    </w:p>
    <w:p w14:paraId="4E892BCE">
      <w:pPr>
        <w:spacing w:before="191" w:line="219" w:lineRule="auto"/>
        <w:ind w:left="473"/>
        <w:rPr>
          <w:rFonts w:ascii="宋体" w:hAnsi="宋体" w:eastAsia="宋体" w:cs="宋体"/>
          <w:sz w:val="24"/>
          <w:szCs w:val="24"/>
        </w:rPr>
      </w:pPr>
      <w:r>
        <w:rPr>
          <w:rFonts w:ascii="Times New Roman" w:hAnsi="Times New Roman" w:eastAsia="Times New Roman" w:cs="Times New Roman"/>
          <w:spacing w:val="-1"/>
          <w:sz w:val="24"/>
          <w:szCs w:val="24"/>
        </w:rPr>
        <w:t>a.</w:t>
      </w:r>
      <w:r>
        <w:rPr>
          <w:rFonts w:ascii="宋体" w:hAnsi="宋体" w:eastAsia="宋体" w:cs="宋体"/>
          <w:spacing w:val="-1"/>
          <w:sz w:val="24"/>
          <w:szCs w:val="24"/>
        </w:rPr>
        <w:t>原料烘干车间无组织</w:t>
      </w:r>
    </w:p>
    <w:p w14:paraId="3FB8DF01">
      <w:pPr>
        <w:spacing w:before="194" w:line="357" w:lineRule="auto"/>
        <w:ind w:left="10" w:right="20" w:firstLine="469"/>
        <w:rPr>
          <w:rFonts w:ascii="宋体" w:hAnsi="宋体" w:eastAsia="宋体" w:cs="宋体"/>
          <w:sz w:val="24"/>
          <w:szCs w:val="24"/>
        </w:rPr>
      </w:pPr>
      <w:r>
        <w:rPr>
          <w:rFonts w:ascii="宋体" w:hAnsi="宋体" w:eastAsia="宋体" w:cs="宋体"/>
          <w:spacing w:val="-3"/>
          <w:sz w:val="24"/>
          <w:szCs w:val="24"/>
        </w:rPr>
        <w:t>原料烘干车间无组织排放主要来自筛分出料工序的粉尘，设集气罩收集，集气效率</w:t>
      </w:r>
      <w:r>
        <w:rPr>
          <w:rFonts w:ascii="宋体" w:hAnsi="宋体" w:eastAsia="宋体" w:cs="宋体"/>
          <w:spacing w:val="3"/>
          <w:sz w:val="24"/>
          <w:szCs w:val="24"/>
        </w:rPr>
        <w:t xml:space="preserve"> </w:t>
      </w:r>
      <w:r>
        <w:rPr>
          <w:rFonts w:ascii="宋体" w:hAnsi="宋体" w:eastAsia="宋体" w:cs="宋体"/>
          <w:spacing w:val="1"/>
          <w:sz w:val="24"/>
          <w:szCs w:val="24"/>
        </w:rPr>
        <w:t>按照</w:t>
      </w:r>
      <w:r>
        <w:rPr>
          <w:rFonts w:ascii="Times New Roman" w:hAnsi="Times New Roman" w:eastAsia="Times New Roman" w:cs="Times New Roman"/>
          <w:spacing w:val="1"/>
          <w:sz w:val="24"/>
          <w:szCs w:val="24"/>
        </w:rPr>
        <w:t>95%</w:t>
      </w:r>
      <w:r>
        <w:rPr>
          <w:rFonts w:ascii="宋体" w:hAnsi="宋体" w:eastAsia="宋体" w:cs="宋体"/>
          <w:spacing w:val="1"/>
          <w:sz w:val="24"/>
          <w:szCs w:val="24"/>
        </w:rPr>
        <w:t>计算，未收集烟尘在车间的沉降效率按照</w:t>
      </w:r>
      <w:r>
        <w:rPr>
          <w:rFonts w:ascii="宋体" w:hAnsi="宋体" w:eastAsia="宋体" w:cs="宋体"/>
          <w:spacing w:val="-39"/>
          <w:sz w:val="24"/>
          <w:szCs w:val="24"/>
        </w:rPr>
        <w:t xml:space="preserve"> </w:t>
      </w:r>
      <w:r>
        <w:rPr>
          <w:rFonts w:ascii="Times New Roman" w:hAnsi="Times New Roman" w:eastAsia="Times New Roman" w:cs="Times New Roman"/>
          <w:spacing w:val="1"/>
          <w:sz w:val="24"/>
          <w:szCs w:val="24"/>
        </w:rPr>
        <w:t>80-90%</w:t>
      </w:r>
      <w:r>
        <w:rPr>
          <w:rFonts w:ascii="宋体" w:hAnsi="宋体" w:eastAsia="宋体" w:cs="宋体"/>
          <w:spacing w:val="1"/>
          <w:sz w:val="24"/>
          <w:szCs w:val="24"/>
        </w:rPr>
        <w:t>计算，则焦炭烘干产生的无</w:t>
      </w:r>
      <w:r>
        <w:rPr>
          <w:rFonts w:ascii="宋体" w:hAnsi="宋体" w:eastAsia="宋体" w:cs="宋体"/>
          <w:sz w:val="24"/>
          <w:szCs w:val="24"/>
        </w:rPr>
        <w:t xml:space="preserve"> </w:t>
      </w:r>
      <w:r>
        <w:rPr>
          <w:rFonts w:ascii="宋体" w:hAnsi="宋体" w:eastAsia="宋体" w:cs="宋体"/>
          <w:spacing w:val="-1"/>
          <w:sz w:val="24"/>
          <w:szCs w:val="24"/>
        </w:rPr>
        <w:t>组织粉尘排放量为</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0.94t/a</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，锰矿石烘干产生的无</w:t>
      </w:r>
      <w:r>
        <w:rPr>
          <w:rFonts w:ascii="宋体" w:hAnsi="宋体" w:eastAsia="宋体" w:cs="宋体"/>
          <w:spacing w:val="-2"/>
          <w:sz w:val="24"/>
          <w:szCs w:val="24"/>
        </w:rPr>
        <w:t>组织粉尘排放量为</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0.07t/a</w:t>
      </w:r>
      <w:r>
        <w:rPr>
          <w:rFonts w:ascii="宋体" w:hAnsi="宋体" w:eastAsia="宋体" w:cs="宋体"/>
          <w:spacing w:val="-2"/>
          <w:sz w:val="24"/>
          <w:szCs w:val="24"/>
        </w:rPr>
        <w:t>。</w:t>
      </w:r>
    </w:p>
    <w:p w14:paraId="13C3A0A6">
      <w:pPr>
        <w:spacing w:before="37" w:line="219" w:lineRule="auto"/>
        <w:ind w:left="473"/>
        <w:rPr>
          <w:rFonts w:ascii="宋体" w:hAnsi="宋体" w:eastAsia="宋体" w:cs="宋体"/>
          <w:sz w:val="24"/>
          <w:szCs w:val="24"/>
        </w:rPr>
      </w:pPr>
      <w:r>
        <w:rPr>
          <w:rFonts w:ascii="Times New Roman" w:hAnsi="Times New Roman" w:eastAsia="Times New Roman" w:cs="Times New Roman"/>
          <w:spacing w:val="-6"/>
          <w:sz w:val="24"/>
          <w:szCs w:val="24"/>
        </w:rPr>
        <w:t>a.</w:t>
      </w:r>
      <w:r>
        <w:rPr>
          <w:rFonts w:ascii="Times New Roman" w:hAnsi="Times New Roman" w:eastAsia="Times New Roman" w:cs="Times New Roman"/>
          <w:spacing w:val="-17"/>
          <w:sz w:val="24"/>
          <w:szCs w:val="24"/>
        </w:rPr>
        <w:t xml:space="preserve"> </w:t>
      </w:r>
      <w:r>
        <w:rPr>
          <w:rFonts w:ascii="宋体" w:hAnsi="宋体" w:eastAsia="宋体" w:cs="宋体"/>
          <w:spacing w:val="-6"/>
          <w:sz w:val="24"/>
          <w:szCs w:val="24"/>
        </w:rPr>
        <w:t>电炉车间无组织</w:t>
      </w:r>
    </w:p>
    <w:p w14:paraId="2C849221">
      <w:pPr>
        <w:spacing w:before="191" w:line="358" w:lineRule="auto"/>
        <w:ind w:left="9" w:right="20" w:firstLine="479"/>
        <w:jc w:val="both"/>
        <w:rPr>
          <w:rFonts w:ascii="宋体" w:hAnsi="宋体" w:eastAsia="宋体" w:cs="宋体"/>
          <w:sz w:val="24"/>
          <w:szCs w:val="24"/>
        </w:rPr>
      </w:pPr>
      <w:r>
        <w:rPr>
          <w:rFonts w:ascii="宋体" w:hAnsi="宋体" w:eastAsia="宋体" w:cs="宋体"/>
          <w:spacing w:val="-3"/>
          <w:sz w:val="24"/>
          <w:szCs w:val="24"/>
        </w:rPr>
        <w:t>锰硅合金电炉车间无组织排放，主要来自出铁出渣口的烟气逸散及未</w:t>
      </w:r>
      <w:r>
        <w:rPr>
          <w:rFonts w:ascii="宋体" w:hAnsi="宋体" w:eastAsia="宋体" w:cs="宋体"/>
          <w:spacing w:val="-4"/>
          <w:sz w:val="24"/>
          <w:szCs w:val="24"/>
        </w:rPr>
        <w:t>被收集的浇铸</w:t>
      </w:r>
      <w:r>
        <w:rPr>
          <w:rFonts w:ascii="宋体" w:hAnsi="宋体" w:eastAsia="宋体" w:cs="宋体"/>
          <w:sz w:val="24"/>
          <w:szCs w:val="24"/>
        </w:rPr>
        <w:t xml:space="preserve"> </w:t>
      </w:r>
      <w:r>
        <w:rPr>
          <w:rFonts w:ascii="宋体" w:hAnsi="宋体" w:eastAsia="宋体" w:cs="宋体"/>
          <w:spacing w:val="2"/>
          <w:sz w:val="24"/>
          <w:szCs w:val="24"/>
        </w:rPr>
        <w:t>烟气，出铁出渣口及浇铸烟气集气效率按照</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95%</w:t>
      </w:r>
      <w:r>
        <w:rPr>
          <w:rFonts w:ascii="宋体" w:hAnsi="宋体" w:eastAsia="宋体" w:cs="宋体"/>
          <w:spacing w:val="2"/>
          <w:sz w:val="24"/>
          <w:szCs w:val="24"/>
        </w:rPr>
        <w:t>计算，未收集烟尘在车间的沉降效率</w:t>
      </w:r>
      <w:r>
        <w:rPr>
          <w:rFonts w:ascii="宋体" w:hAnsi="宋体" w:eastAsia="宋体" w:cs="宋体"/>
          <w:sz w:val="24"/>
          <w:szCs w:val="24"/>
        </w:rPr>
        <w:t xml:space="preserve"> </w:t>
      </w:r>
      <w:r>
        <w:rPr>
          <w:rFonts w:ascii="宋体" w:hAnsi="宋体" w:eastAsia="宋体" w:cs="宋体"/>
          <w:spacing w:val="-2"/>
          <w:sz w:val="24"/>
          <w:szCs w:val="24"/>
        </w:rPr>
        <w:t>按照</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90%</w:t>
      </w:r>
      <w:r>
        <w:rPr>
          <w:rFonts w:ascii="宋体" w:hAnsi="宋体" w:eastAsia="宋体" w:cs="宋体"/>
          <w:spacing w:val="-2"/>
          <w:sz w:val="24"/>
          <w:szCs w:val="24"/>
        </w:rPr>
        <w:t>计算，则电炉车间无组织烟尘排放量为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19t/a</w:t>
      </w:r>
      <w:r>
        <w:rPr>
          <w:rFonts w:ascii="Times New Roman" w:hAnsi="Times New Roman" w:eastAsia="Times New Roman" w:cs="Times New Roman"/>
          <w:spacing w:val="-34"/>
          <w:sz w:val="24"/>
          <w:szCs w:val="24"/>
        </w:rPr>
        <w:t xml:space="preserve"> </w:t>
      </w:r>
      <w:r>
        <w:rPr>
          <w:rFonts w:ascii="宋体" w:hAnsi="宋体" w:eastAsia="宋体" w:cs="宋体"/>
          <w:spacing w:val="-3"/>
          <w:sz w:val="24"/>
          <w:szCs w:val="24"/>
        </w:rPr>
        <w:t>、锰及其化合物为</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0.59t/a</w:t>
      </w:r>
      <w:r>
        <w:rPr>
          <w:rFonts w:ascii="宋体" w:hAnsi="宋体" w:eastAsia="宋体" w:cs="宋体"/>
          <w:spacing w:val="-3"/>
          <w:sz w:val="24"/>
          <w:szCs w:val="24"/>
        </w:rPr>
        <w:t>。</w:t>
      </w:r>
    </w:p>
    <w:p w14:paraId="2FE3AB9F">
      <w:pPr>
        <w:spacing w:before="35" w:line="219" w:lineRule="auto"/>
        <w:ind w:left="464"/>
        <w:rPr>
          <w:rFonts w:ascii="宋体" w:hAnsi="宋体" w:eastAsia="宋体" w:cs="宋体"/>
          <w:sz w:val="24"/>
          <w:szCs w:val="24"/>
        </w:rPr>
      </w:pPr>
      <w:r>
        <w:rPr>
          <w:rFonts w:ascii="Times New Roman" w:hAnsi="Times New Roman" w:eastAsia="Times New Roman" w:cs="Times New Roman"/>
          <w:sz w:val="24"/>
          <w:szCs w:val="24"/>
        </w:rPr>
        <w:t>b.</w:t>
      </w:r>
      <w:r>
        <w:rPr>
          <w:rFonts w:ascii="宋体" w:hAnsi="宋体" w:eastAsia="宋体" w:cs="宋体"/>
          <w:sz w:val="24"/>
          <w:szCs w:val="24"/>
        </w:rPr>
        <w:t>烧结装置无组织</w:t>
      </w:r>
    </w:p>
    <w:p w14:paraId="15D83D8E">
      <w:pPr>
        <w:spacing w:before="194" w:line="358" w:lineRule="auto"/>
        <w:ind w:left="8" w:right="20" w:firstLine="480"/>
        <w:rPr>
          <w:rFonts w:ascii="宋体" w:hAnsi="宋体" w:eastAsia="宋体" w:cs="宋体"/>
          <w:sz w:val="24"/>
          <w:szCs w:val="24"/>
        </w:rPr>
      </w:pPr>
      <w:r>
        <w:rPr>
          <w:rFonts w:ascii="宋体" w:hAnsi="宋体" w:eastAsia="宋体" w:cs="宋体"/>
          <w:spacing w:val="-3"/>
          <w:sz w:val="24"/>
          <w:szCs w:val="24"/>
        </w:rPr>
        <w:t>本项目采用设备密闭、设置集气罩、配置除尘设施多种措施来杜绝</w:t>
      </w:r>
      <w:r>
        <w:rPr>
          <w:rFonts w:ascii="宋体" w:hAnsi="宋体" w:eastAsia="宋体" w:cs="宋体"/>
          <w:spacing w:val="-4"/>
          <w:sz w:val="24"/>
          <w:szCs w:val="24"/>
        </w:rPr>
        <w:t>系统无组织粉尘</w:t>
      </w:r>
      <w:r>
        <w:rPr>
          <w:rFonts w:ascii="宋体" w:hAnsi="宋体" w:eastAsia="宋体" w:cs="宋体"/>
          <w:sz w:val="24"/>
          <w:szCs w:val="24"/>
        </w:rPr>
        <w:t xml:space="preserve"> </w:t>
      </w:r>
      <w:r>
        <w:rPr>
          <w:rFonts w:ascii="宋体" w:hAnsi="宋体" w:eastAsia="宋体" w:cs="宋体"/>
          <w:spacing w:val="2"/>
          <w:sz w:val="24"/>
          <w:szCs w:val="24"/>
        </w:rPr>
        <w:t>的排放，可对无组织排放颗粒物起到</w:t>
      </w:r>
      <w:r>
        <w:rPr>
          <w:rFonts w:ascii="宋体" w:hAnsi="宋体" w:eastAsia="宋体" w:cs="宋体"/>
          <w:spacing w:val="-30"/>
          <w:sz w:val="24"/>
          <w:szCs w:val="24"/>
        </w:rPr>
        <w:t xml:space="preserve"> </w:t>
      </w:r>
      <w:r>
        <w:rPr>
          <w:rFonts w:ascii="Times New Roman" w:hAnsi="Times New Roman" w:eastAsia="Times New Roman" w:cs="Times New Roman"/>
          <w:spacing w:val="2"/>
          <w:sz w:val="24"/>
          <w:szCs w:val="24"/>
        </w:rPr>
        <w:t>95%</w:t>
      </w:r>
      <w:r>
        <w:rPr>
          <w:rFonts w:ascii="宋体" w:hAnsi="宋体" w:eastAsia="宋体" w:cs="宋体"/>
          <w:spacing w:val="2"/>
          <w:sz w:val="24"/>
          <w:szCs w:val="24"/>
        </w:rPr>
        <w:t>以上的去除作用，烧结装置无组织粉尘排放</w:t>
      </w:r>
      <w:r>
        <w:rPr>
          <w:rFonts w:ascii="宋体" w:hAnsi="宋体" w:eastAsia="宋体" w:cs="宋体"/>
          <w:sz w:val="24"/>
          <w:szCs w:val="24"/>
        </w:rPr>
        <w:t xml:space="preserve"> </w:t>
      </w:r>
      <w:r>
        <w:rPr>
          <w:rFonts w:ascii="宋体" w:hAnsi="宋体" w:eastAsia="宋体" w:cs="宋体"/>
          <w:spacing w:val="-3"/>
          <w:sz w:val="24"/>
          <w:szCs w:val="24"/>
        </w:rPr>
        <w:t>量为</w:t>
      </w:r>
      <w:r>
        <w:rPr>
          <w:rFonts w:ascii="宋体" w:hAnsi="宋体" w:eastAsia="宋体" w:cs="宋体"/>
          <w:spacing w:val="-45"/>
          <w:sz w:val="24"/>
          <w:szCs w:val="24"/>
        </w:rPr>
        <w:t xml:space="preserve"> </w:t>
      </w:r>
      <w:r>
        <w:rPr>
          <w:rFonts w:ascii="Times New Roman" w:hAnsi="Times New Roman" w:eastAsia="Times New Roman" w:cs="Times New Roman"/>
          <w:spacing w:val="-3"/>
          <w:sz w:val="24"/>
          <w:szCs w:val="24"/>
        </w:rPr>
        <w:t>6.38t/a</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，锰及其化合物排放量为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1.0t/a</w:t>
      </w:r>
      <w:r>
        <w:rPr>
          <w:rFonts w:ascii="宋体" w:hAnsi="宋体" w:eastAsia="宋体" w:cs="宋体"/>
          <w:spacing w:val="-3"/>
          <w:sz w:val="24"/>
          <w:szCs w:val="24"/>
        </w:rPr>
        <w:t>。</w:t>
      </w:r>
    </w:p>
    <w:p w14:paraId="21728805">
      <w:pPr>
        <w:spacing w:line="358" w:lineRule="auto"/>
        <w:rPr>
          <w:rFonts w:ascii="宋体" w:hAnsi="宋体" w:eastAsia="宋体" w:cs="宋体"/>
          <w:sz w:val="24"/>
          <w:szCs w:val="24"/>
        </w:rPr>
        <w:sectPr>
          <w:headerReference r:id="rId176" w:type="default"/>
          <w:footerReference r:id="rId177" w:type="default"/>
          <w:pgSz w:w="11850" w:h="16781"/>
          <w:pgMar w:top="1190" w:right="1395" w:bottom="1013" w:left="1417" w:header="882" w:footer="850" w:gutter="0"/>
          <w:cols w:space="720" w:num="1"/>
        </w:sectPr>
      </w:pPr>
    </w:p>
    <w:p w14:paraId="5DAAD536">
      <w:pPr>
        <w:spacing w:before="240" w:line="228" w:lineRule="auto"/>
        <w:ind w:left="8627"/>
        <w:rPr>
          <w:rFonts w:ascii="宋体" w:hAnsi="宋体" w:eastAsia="宋体" w:cs="宋体"/>
          <w:sz w:val="20"/>
          <w:szCs w:val="20"/>
        </w:rPr>
      </w:pPr>
      <w:r>
        <w:pict>
          <v:shape id="_x0000_s1209" o:spid="_x0000_s1209" style="position:absolute;left:0pt;margin-left:56.7pt;margin-top:77.95pt;height:0.75pt;width:1077.35pt;mso-position-horizontal-relative:page;mso-position-vertical-relative:page;z-index:251868160;mso-width-relative:page;mso-height-relative:page;" fillcolor="#000000" filled="t" stroked="f" coordsize="21546,15" o:allowincell="f" path="m0,0l21546,0,21546,14,0,14,0,0xe">
            <v:path/>
            <v:fill on="t" focussize="0,0"/>
            <v:stroke on="f"/>
            <v:imagedata o:title=""/>
            <o:lock v:ext="edit"/>
          </v:shape>
        </w:pict>
      </w:r>
      <w:r>
        <w:rPr>
          <w:rFonts w:ascii="宋体" w:hAnsi="宋体" w:eastAsia="宋体" w:cs="宋体"/>
          <w:b/>
          <w:bCs/>
          <w:spacing w:val="6"/>
          <w:sz w:val="20"/>
          <w:szCs w:val="20"/>
        </w:rPr>
        <w:t>表</w:t>
      </w:r>
      <w:r>
        <w:rPr>
          <w:rFonts w:ascii="Times New Roman" w:hAnsi="Times New Roman" w:eastAsia="Times New Roman" w:cs="Times New Roman"/>
          <w:b/>
          <w:bCs/>
          <w:spacing w:val="6"/>
          <w:sz w:val="20"/>
          <w:szCs w:val="20"/>
        </w:rPr>
        <w:t xml:space="preserve">2.3-21        </w:t>
      </w:r>
      <w:r>
        <w:rPr>
          <w:rFonts w:ascii="宋体" w:hAnsi="宋体" w:eastAsia="宋体" w:cs="宋体"/>
          <w:b/>
          <w:bCs/>
          <w:spacing w:val="6"/>
          <w:sz w:val="20"/>
          <w:szCs w:val="20"/>
        </w:rPr>
        <w:t>项目建成后大气污染源</w:t>
      </w:r>
      <w:r>
        <w:rPr>
          <w:rFonts w:ascii="宋体" w:hAnsi="宋体" w:eastAsia="宋体" w:cs="宋体"/>
          <w:b/>
          <w:bCs/>
          <w:spacing w:val="5"/>
          <w:sz w:val="20"/>
          <w:szCs w:val="20"/>
        </w:rPr>
        <w:t>分析一览表</w:t>
      </w:r>
    </w:p>
    <w:p w14:paraId="54F99E10">
      <w:pPr>
        <w:spacing w:line="102" w:lineRule="exact"/>
      </w:pPr>
    </w:p>
    <w:tbl>
      <w:tblPr>
        <w:tblStyle w:val="5"/>
        <w:tblW w:w="21576"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08"/>
        <w:gridCol w:w="2010"/>
        <w:gridCol w:w="1080"/>
        <w:gridCol w:w="730"/>
        <w:gridCol w:w="1412"/>
        <w:gridCol w:w="1209"/>
        <w:gridCol w:w="1740"/>
        <w:gridCol w:w="989"/>
        <w:gridCol w:w="993"/>
        <w:gridCol w:w="1131"/>
        <w:gridCol w:w="1313"/>
        <w:gridCol w:w="1058"/>
        <w:gridCol w:w="980"/>
        <w:gridCol w:w="980"/>
        <w:gridCol w:w="661"/>
        <w:gridCol w:w="1036"/>
        <w:gridCol w:w="639"/>
        <w:gridCol w:w="812"/>
        <w:gridCol w:w="799"/>
        <w:gridCol w:w="1196"/>
      </w:tblGrid>
      <w:tr w14:paraId="25296B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1" w:hRule="atLeast"/>
        </w:trPr>
        <w:tc>
          <w:tcPr>
            <w:tcW w:w="808" w:type="dxa"/>
            <w:vMerge w:val="restart"/>
            <w:tcBorders>
              <w:top w:val="single" w:color="000000" w:sz="10" w:space="0"/>
              <w:left w:val="nil"/>
              <w:bottom w:val="nil"/>
            </w:tcBorders>
            <w:vAlign w:val="top"/>
          </w:tcPr>
          <w:p w14:paraId="2D98DA59">
            <w:pPr>
              <w:spacing w:line="457" w:lineRule="auto"/>
              <w:rPr>
                <w:rFonts w:ascii="Arial"/>
                <w:sz w:val="21"/>
              </w:rPr>
            </w:pPr>
          </w:p>
          <w:p w14:paraId="66379930">
            <w:pPr>
              <w:pStyle w:val="6"/>
              <w:spacing w:before="58" w:line="219" w:lineRule="auto"/>
              <w:ind w:left="231"/>
              <w:rPr>
                <w:sz w:val="18"/>
                <w:szCs w:val="18"/>
              </w:rPr>
            </w:pPr>
            <w:r>
              <w:rPr>
                <w:b/>
                <w:bCs/>
                <w:spacing w:val="-7"/>
                <w:sz w:val="18"/>
                <w:szCs w:val="18"/>
              </w:rPr>
              <w:t>编号</w:t>
            </w:r>
          </w:p>
        </w:tc>
        <w:tc>
          <w:tcPr>
            <w:tcW w:w="2010" w:type="dxa"/>
            <w:vMerge w:val="restart"/>
            <w:tcBorders>
              <w:top w:val="single" w:color="000000" w:sz="10" w:space="0"/>
              <w:bottom w:val="nil"/>
            </w:tcBorders>
            <w:vAlign w:val="top"/>
          </w:tcPr>
          <w:p w14:paraId="57C5D43F">
            <w:pPr>
              <w:spacing w:line="457" w:lineRule="auto"/>
              <w:rPr>
                <w:rFonts w:ascii="Arial"/>
                <w:sz w:val="21"/>
              </w:rPr>
            </w:pPr>
          </w:p>
          <w:p w14:paraId="4CB741A9">
            <w:pPr>
              <w:pStyle w:val="6"/>
              <w:spacing w:before="58" w:line="220" w:lineRule="auto"/>
              <w:ind w:left="740"/>
              <w:rPr>
                <w:sz w:val="18"/>
                <w:szCs w:val="18"/>
              </w:rPr>
            </w:pPr>
            <w:r>
              <w:rPr>
                <w:b/>
                <w:bCs/>
                <w:spacing w:val="-4"/>
                <w:sz w:val="18"/>
                <w:szCs w:val="18"/>
              </w:rPr>
              <w:t>污染源</w:t>
            </w:r>
          </w:p>
        </w:tc>
        <w:tc>
          <w:tcPr>
            <w:tcW w:w="1080" w:type="dxa"/>
            <w:vMerge w:val="restart"/>
            <w:tcBorders>
              <w:top w:val="single" w:color="000000" w:sz="10" w:space="0"/>
              <w:bottom w:val="nil"/>
            </w:tcBorders>
            <w:vAlign w:val="top"/>
          </w:tcPr>
          <w:p w14:paraId="58C57537">
            <w:pPr>
              <w:spacing w:line="457" w:lineRule="auto"/>
              <w:rPr>
                <w:rFonts w:ascii="Arial"/>
                <w:sz w:val="21"/>
              </w:rPr>
            </w:pPr>
          </w:p>
          <w:p w14:paraId="2DD26E8D">
            <w:pPr>
              <w:pStyle w:val="6"/>
              <w:spacing w:before="58" w:line="219" w:lineRule="auto"/>
              <w:ind w:left="363"/>
              <w:rPr>
                <w:sz w:val="18"/>
                <w:szCs w:val="18"/>
              </w:rPr>
            </w:pPr>
            <w:r>
              <w:rPr>
                <w:b/>
                <w:bCs/>
                <w:spacing w:val="-6"/>
                <w:sz w:val="18"/>
                <w:szCs w:val="18"/>
              </w:rPr>
              <w:t>类型</w:t>
            </w:r>
          </w:p>
        </w:tc>
        <w:tc>
          <w:tcPr>
            <w:tcW w:w="730" w:type="dxa"/>
            <w:vMerge w:val="restart"/>
            <w:tcBorders>
              <w:top w:val="single" w:color="000000" w:sz="10" w:space="0"/>
              <w:bottom w:val="nil"/>
            </w:tcBorders>
            <w:vAlign w:val="top"/>
          </w:tcPr>
          <w:p w14:paraId="39359417">
            <w:pPr>
              <w:spacing w:line="292" w:lineRule="auto"/>
              <w:rPr>
                <w:rFonts w:ascii="Arial"/>
                <w:sz w:val="21"/>
              </w:rPr>
            </w:pPr>
          </w:p>
          <w:p w14:paraId="6921579B">
            <w:pPr>
              <w:pStyle w:val="6"/>
              <w:spacing w:before="59" w:line="322" w:lineRule="auto"/>
              <w:ind w:left="188" w:right="183"/>
              <w:rPr>
                <w:sz w:val="18"/>
                <w:szCs w:val="18"/>
              </w:rPr>
            </w:pPr>
            <w:r>
              <w:rPr>
                <w:b/>
                <w:bCs/>
                <w:spacing w:val="-6"/>
                <w:sz w:val="18"/>
                <w:szCs w:val="18"/>
              </w:rPr>
              <w:t>排放</w:t>
            </w:r>
            <w:r>
              <w:rPr>
                <w:sz w:val="18"/>
                <w:szCs w:val="18"/>
              </w:rPr>
              <w:t xml:space="preserve"> </w:t>
            </w:r>
            <w:r>
              <w:rPr>
                <w:b/>
                <w:bCs/>
                <w:spacing w:val="-6"/>
                <w:sz w:val="18"/>
                <w:szCs w:val="18"/>
              </w:rPr>
              <w:t>方式</w:t>
            </w:r>
          </w:p>
        </w:tc>
        <w:tc>
          <w:tcPr>
            <w:tcW w:w="1412" w:type="dxa"/>
            <w:vMerge w:val="restart"/>
            <w:tcBorders>
              <w:top w:val="single" w:color="000000" w:sz="10" w:space="0"/>
              <w:bottom w:val="nil"/>
            </w:tcBorders>
            <w:vAlign w:val="top"/>
          </w:tcPr>
          <w:p w14:paraId="2B1098C4">
            <w:pPr>
              <w:spacing w:line="457" w:lineRule="auto"/>
              <w:rPr>
                <w:rFonts w:ascii="Arial"/>
                <w:sz w:val="21"/>
              </w:rPr>
            </w:pPr>
          </w:p>
          <w:p w14:paraId="1BA102C4">
            <w:pPr>
              <w:pStyle w:val="6"/>
              <w:spacing w:before="58" w:line="219" w:lineRule="auto"/>
              <w:ind w:left="78"/>
              <w:rPr>
                <w:sz w:val="18"/>
                <w:szCs w:val="18"/>
              </w:rPr>
            </w:pPr>
            <w:r>
              <w:rPr>
                <w:b/>
                <w:bCs/>
                <w:spacing w:val="-3"/>
                <w:sz w:val="18"/>
                <w:szCs w:val="18"/>
              </w:rPr>
              <w:t>污染源核算方法</w:t>
            </w:r>
          </w:p>
        </w:tc>
        <w:tc>
          <w:tcPr>
            <w:tcW w:w="6062" w:type="dxa"/>
            <w:gridSpan w:val="5"/>
            <w:tcBorders>
              <w:top w:val="single" w:color="000000" w:sz="10" w:space="0"/>
            </w:tcBorders>
            <w:vAlign w:val="top"/>
          </w:tcPr>
          <w:p w14:paraId="36806C84">
            <w:pPr>
              <w:pStyle w:val="6"/>
              <w:spacing w:before="93" w:line="219" w:lineRule="auto"/>
              <w:ind w:left="2494"/>
              <w:rPr>
                <w:sz w:val="18"/>
                <w:szCs w:val="18"/>
              </w:rPr>
            </w:pPr>
            <w:r>
              <w:rPr>
                <w:b/>
                <w:bCs/>
                <w:spacing w:val="-3"/>
                <w:sz w:val="18"/>
                <w:szCs w:val="18"/>
              </w:rPr>
              <w:t>污染物的产生</w:t>
            </w:r>
          </w:p>
        </w:tc>
        <w:tc>
          <w:tcPr>
            <w:tcW w:w="2371" w:type="dxa"/>
            <w:gridSpan w:val="2"/>
            <w:tcBorders>
              <w:top w:val="single" w:color="000000" w:sz="10" w:space="0"/>
            </w:tcBorders>
            <w:vAlign w:val="top"/>
          </w:tcPr>
          <w:p w14:paraId="72DE0023">
            <w:pPr>
              <w:pStyle w:val="6"/>
              <w:spacing w:before="93" w:line="219" w:lineRule="auto"/>
              <w:ind w:left="557"/>
              <w:rPr>
                <w:sz w:val="18"/>
                <w:szCs w:val="18"/>
              </w:rPr>
            </w:pPr>
            <w:r>
              <w:rPr>
                <w:b/>
                <w:bCs/>
                <w:spacing w:val="-3"/>
                <w:sz w:val="18"/>
                <w:szCs w:val="18"/>
              </w:rPr>
              <w:t>拟采取治理措施</w:t>
            </w:r>
          </w:p>
        </w:tc>
        <w:tc>
          <w:tcPr>
            <w:tcW w:w="3657" w:type="dxa"/>
            <w:gridSpan w:val="4"/>
            <w:tcBorders>
              <w:top w:val="single" w:color="000000" w:sz="10" w:space="0"/>
            </w:tcBorders>
            <w:vAlign w:val="top"/>
          </w:tcPr>
          <w:p w14:paraId="564B631B">
            <w:pPr>
              <w:pStyle w:val="6"/>
              <w:spacing w:before="93" w:line="220" w:lineRule="auto"/>
              <w:ind w:left="1290"/>
              <w:rPr>
                <w:sz w:val="18"/>
                <w:szCs w:val="18"/>
              </w:rPr>
            </w:pPr>
            <w:r>
              <w:rPr>
                <w:b/>
                <w:bCs/>
                <w:spacing w:val="-3"/>
                <w:sz w:val="18"/>
                <w:szCs w:val="18"/>
              </w:rPr>
              <w:t>污染物的排放</w:t>
            </w:r>
          </w:p>
        </w:tc>
        <w:tc>
          <w:tcPr>
            <w:tcW w:w="3446" w:type="dxa"/>
            <w:gridSpan w:val="4"/>
            <w:tcBorders>
              <w:top w:val="single" w:color="000000" w:sz="10" w:space="0"/>
              <w:right w:val="nil"/>
            </w:tcBorders>
            <w:vAlign w:val="top"/>
          </w:tcPr>
          <w:p w14:paraId="07187402">
            <w:pPr>
              <w:pStyle w:val="6"/>
              <w:spacing w:before="93" w:line="219" w:lineRule="auto"/>
              <w:ind w:left="1364"/>
              <w:rPr>
                <w:sz w:val="18"/>
                <w:szCs w:val="18"/>
              </w:rPr>
            </w:pPr>
            <w:r>
              <w:rPr>
                <w:b/>
                <w:bCs/>
                <w:spacing w:val="-4"/>
                <w:sz w:val="18"/>
                <w:szCs w:val="18"/>
              </w:rPr>
              <w:t>排放参数</w:t>
            </w:r>
          </w:p>
        </w:tc>
      </w:tr>
      <w:tr w14:paraId="4FE3AB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2" w:hRule="atLeast"/>
        </w:trPr>
        <w:tc>
          <w:tcPr>
            <w:tcW w:w="808" w:type="dxa"/>
            <w:vMerge w:val="continue"/>
            <w:tcBorders>
              <w:top w:val="nil"/>
              <w:left w:val="nil"/>
            </w:tcBorders>
            <w:vAlign w:val="top"/>
          </w:tcPr>
          <w:p w14:paraId="59AD4F83">
            <w:pPr>
              <w:rPr>
                <w:rFonts w:ascii="Arial"/>
                <w:sz w:val="21"/>
              </w:rPr>
            </w:pPr>
          </w:p>
        </w:tc>
        <w:tc>
          <w:tcPr>
            <w:tcW w:w="2010" w:type="dxa"/>
            <w:vMerge w:val="continue"/>
            <w:tcBorders>
              <w:top w:val="nil"/>
            </w:tcBorders>
            <w:vAlign w:val="top"/>
          </w:tcPr>
          <w:p w14:paraId="05D785B3">
            <w:pPr>
              <w:rPr>
                <w:rFonts w:ascii="Arial"/>
                <w:sz w:val="21"/>
              </w:rPr>
            </w:pPr>
          </w:p>
        </w:tc>
        <w:tc>
          <w:tcPr>
            <w:tcW w:w="1080" w:type="dxa"/>
            <w:vMerge w:val="continue"/>
            <w:tcBorders>
              <w:top w:val="nil"/>
            </w:tcBorders>
            <w:vAlign w:val="top"/>
          </w:tcPr>
          <w:p w14:paraId="4DBC28C4">
            <w:pPr>
              <w:rPr>
                <w:rFonts w:ascii="Arial"/>
                <w:sz w:val="21"/>
              </w:rPr>
            </w:pPr>
          </w:p>
        </w:tc>
        <w:tc>
          <w:tcPr>
            <w:tcW w:w="730" w:type="dxa"/>
            <w:vMerge w:val="continue"/>
            <w:tcBorders>
              <w:top w:val="nil"/>
            </w:tcBorders>
            <w:vAlign w:val="top"/>
          </w:tcPr>
          <w:p w14:paraId="71F918CE">
            <w:pPr>
              <w:rPr>
                <w:rFonts w:ascii="Arial"/>
                <w:sz w:val="21"/>
              </w:rPr>
            </w:pPr>
          </w:p>
        </w:tc>
        <w:tc>
          <w:tcPr>
            <w:tcW w:w="1412" w:type="dxa"/>
            <w:vMerge w:val="continue"/>
            <w:tcBorders>
              <w:top w:val="nil"/>
            </w:tcBorders>
            <w:vAlign w:val="top"/>
          </w:tcPr>
          <w:p w14:paraId="437BA4EA">
            <w:pPr>
              <w:rPr>
                <w:rFonts w:ascii="Arial"/>
                <w:sz w:val="21"/>
              </w:rPr>
            </w:pPr>
          </w:p>
        </w:tc>
        <w:tc>
          <w:tcPr>
            <w:tcW w:w="1209" w:type="dxa"/>
            <w:vAlign w:val="top"/>
          </w:tcPr>
          <w:p w14:paraId="09F409CC">
            <w:pPr>
              <w:spacing w:line="277" w:lineRule="auto"/>
              <w:rPr>
                <w:rFonts w:ascii="Arial"/>
                <w:sz w:val="21"/>
              </w:rPr>
            </w:pPr>
          </w:p>
          <w:p w14:paraId="7AED7F25">
            <w:pPr>
              <w:pStyle w:val="6"/>
              <w:spacing w:before="58" w:line="221" w:lineRule="auto"/>
              <w:ind w:left="71"/>
              <w:rPr>
                <w:rFonts w:ascii="Times New Roman" w:hAnsi="Times New Roman" w:eastAsia="Times New Roman" w:cs="Times New Roman"/>
                <w:sz w:val="18"/>
                <w:szCs w:val="18"/>
              </w:rPr>
            </w:pPr>
            <w:r>
              <w:rPr>
                <w:b/>
                <w:bCs/>
                <w:spacing w:val="-2"/>
                <w:sz w:val="18"/>
                <w:szCs w:val="18"/>
              </w:rPr>
              <w:t>排气量</w:t>
            </w:r>
            <w:r>
              <w:rPr>
                <w:spacing w:val="-39"/>
                <w:sz w:val="18"/>
                <w:szCs w:val="18"/>
              </w:rPr>
              <w:t xml:space="preserve"> </w:t>
            </w:r>
            <w:r>
              <w:rPr>
                <w:rFonts w:ascii="Times New Roman" w:hAnsi="Times New Roman" w:eastAsia="Times New Roman" w:cs="Times New Roman"/>
                <w:b/>
                <w:bCs/>
                <w:spacing w:val="-2"/>
                <w:sz w:val="18"/>
                <w:szCs w:val="18"/>
              </w:rPr>
              <w:t>Nm</w:t>
            </w:r>
            <w:r>
              <w:rPr>
                <w:rFonts w:ascii="Times New Roman" w:hAnsi="Times New Roman" w:eastAsia="Times New Roman" w:cs="Times New Roman"/>
                <w:b/>
                <w:bCs/>
                <w:spacing w:val="-2"/>
                <w:position w:val="5"/>
                <w:sz w:val="11"/>
                <w:szCs w:val="11"/>
              </w:rPr>
              <w:t>3</w:t>
            </w:r>
            <w:r>
              <w:rPr>
                <w:rFonts w:ascii="Times New Roman" w:hAnsi="Times New Roman" w:eastAsia="Times New Roman" w:cs="Times New Roman"/>
                <w:b/>
                <w:bCs/>
                <w:spacing w:val="-2"/>
                <w:sz w:val="18"/>
                <w:szCs w:val="18"/>
              </w:rPr>
              <w:t>/h</w:t>
            </w:r>
          </w:p>
        </w:tc>
        <w:tc>
          <w:tcPr>
            <w:tcW w:w="1740" w:type="dxa"/>
            <w:vAlign w:val="top"/>
          </w:tcPr>
          <w:p w14:paraId="35EBAF44">
            <w:pPr>
              <w:spacing w:line="277" w:lineRule="auto"/>
              <w:rPr>
                <w:rFonts w:ascii="Arial"/>
                <w:sz w:val="21"/>
              </w:rPr>
            </w:pPr>
          </w:p>
          <w:p w14:paraId="7CAF39F6">
            <w:pPr>
              <w:pStyle w:val="6"/>
              <w:spacing w:before="58" w:line="220" w:lineRule="auto"/>
              <w:ind w:left="604"/>
              <w:rPr>
                <w:sz w:val="18"/>
                <w:szCs w:val="18"/>
              </w:rPr>
            </w:pPr>
            <w:r>
              <w:rPr>
                <w:b/>
                <w:bCs/>
                <w:spacing w:val="-4"/>
                <w:sz w:val="18"/>
                <w:szCs w:val="18"/>
              </w:rPr>
              <w:t>污染物</w:t>
            </w:r>
          </w:p>
        </w:tc>
        <w:tc>
          <w:tcPr>
            <w:tcW w:w="989" w:type="dxa"/>
            <w:vAlign w:val="top"/>
          </w:tcPr>
          <w:p w14:paraId="6B0150DB">
            <w:pPr>
              <w:pStyle w:val="6"/>
              <w:spacing w:before="173" w:line="336" w:lineRule="auto"/>
              <w:ind w:left="184" w:right="179" w:firstLine="132"/>
              <w:rPr>
                <w:rFonts w:ascii="Times New Roman" w:hAnsi="Times New Roman" w:eastAsia="Times New Roman" w:cs="Times New Roman"/>
                <w:sz w:val="11"/>
                <w:szCs w:val="11"/>
              </w:rPr>
            </w:pPr>
            <w:r>
              <w:rPr>
                <w:b/>
                <w:bCs/>
                <w:spacing w:val="-6"/>
                <w:sz w:val="18"/>
                <w:szCs w:val="18"/>
              </w:rPr>
              <w:t>浓度</w:t>
            </w:r>
            <w:r>
              <w:rPr>
                <w:sz w:val="18"/>
                <w:szCs w:val="18"/>
              </w:rPr>
              <w:t xml:space="preserve">  </w:t>
            </w:r>
            <w:r>
              <w:rPr>
                <w:rFonts w:ascii="Times New Roman" w:hAnsi="Times New Roman" w:eastAsia="Times New Roman" w:cs="Times New Roman"/>
                <w:b/>
                <w:bCs/>
                <w:spacing w:val="-1"/>
                <w:sz w:val="18"/>
                <w:szCs w:val="18"/>
              </w:rPr>
              <w:t>mg/Nm</w:t>
            </w:r>
            <w:r>
              <w:rPr>
                <w:rFonts w:ascii="Times New Roman" w:hAnsi="Times New Roman" w:eastAsia="Times New Roman" w:cs="Times New Roman"/>
                <w:b/>
                <w:bCs/>
                <w:spacing w:val="-1"/>
                <w:position w:val="5"/>
                <w:sz w:val="11"/>
                <w:szCs w:val="11"/>
              </w:rPr>
              <w:t>3</w:t>
            </w:r>
          </w:p>
        </w:tc>
        <w:tc>
          <w:tcPr>
            <w:tcW w:w="993" w:type="dxa"/>
            <w:vAlign w:val="top"/>
          </w:tcPr>
          <w:p w14:paraId="67ABB1F6">
            <w:pPr>
              <w:spacing w:line="277" w:lineRule="auto"/>
              <w:rPr>
                <w:rFonts w:ascii="Arial"/>
                <w:sz w:val="21"/>
              </w:rPr>
            </w:pPr>
          </w:p>
          <w:p w14:paraId="367D1BED">
            <w:pPr>
              <w:pStyle w:val="6"/>
              <w:spacing w:before="58" w:line="210" w:lineRule="auto"/>
              <w:ind w:left="126"/>
              <w:rPr>
                <w:rFonts w:ascii="Times New Roman" w:hAnsi="Times New Roman" w:eastAsia="Times New Roman" w:cs="Times New Roman"/>
                <w:sz w:val="18"/>
                <w:szCs w:val="18"/>
              </w:rPr>
            </w:pPr>
            <w:r>
              <w:rPr>
                <w:b/>
                <w:bCs/>
                <w:spacing w:val="-3"/>
                <w:sz w:val="18"/>
                <w:szCs w:val="18"/>
              </w:rPr>
              <w:t>速率</w:t>
            </w:r>
            <w:r>
              <w:rPr>
                <w:spacing w:val="-38"/>
                <w:sz w:val="18"/>
                <w:szCs w:val="18"/>
              </w:rPr>
              <w:t xml:space="preserve"> </w:t>
            </w:r>
            <w:r>
              <w:rPr>
                <w:rFonts w:ascii="Times New Roman" w:hAnsi="Times New Roman" w:eastAsia="Times New Roman" w:cs="Times New Roman"/>
                <w:b/>
                <w:bCs/>
                <w:spacing w:val="-3"/>
                <w:sz w:val="18"/>
                <w:szCs w:val="18"/>
              </w:rPr>
              <w:t>kg/h</w:t>
            </w:r>
          </w:p>
        </w:tc>
        <w:tc>
          <w:tcPr>
            <w:tcW w:w="1131" w:type="dxa"/>
            <w:vAlign w:val="top"/>
          </w:tcPr>
          <w:p w14:paraId="31A6C1E1">
            <w:pPr>
              <w:spacing w:line="277" w:lineRule="auto"/>
              <w:rPr>
                <w:rFonts w:ascii="Arial"/>
                <w:sz w:val="21"/>
              </w:rPr>
            </w:pPr>
          </w:p>
          <w:p w14:paraId="2350542A">
            <w:pPr>
              <w:pStyle w:val="6"/>
              <w:spacing w:before="59" w:line="219" w:lineRule="auto"/>
              <w:ind w:left="176"/>
              <w:rPr>
                <w:rFonts w:ascii="Times New Roman" w:hAnsi="Times New Roman" w:eastAsia="Times New Roman" w:cs="Times New Roman"/>
                <w:sz w:val="18"/>
                <w:szCs w:val="18"/>
              </w:rPr>
            </w:pPr>
            <w:r>
              <w:rPr>
                <w:b/>
                <w:bCs/>
                <w:spacing w:val="-3"/>
                <w:sz w:val="18"/>
                <w:szCs w:val="18"/>
              </w:rPr>
              <w:t>产生量</w:t>
            </w:r>
            <w:r>
              <w:rPr>
                <w:spacing w:val="-38"/>
                <w:sz w:val="18"/>
                <w:szCs w:val="18"/>
              </w:rPr>
              <w:t xml:space="preserve"> </w:t>
            </w:r>
            <w:r>
              <w:rPr>
                <w:rFonts w:ascii="Times New Roman" w:hAnsi="Times New Roman" w:eastAsia="Times New Roman" w:cs="Times New Roman"/>
                <w:b/>
                <w:bCs/>
                <w:spacing w:val="-3"/>
                <w:sz w:val="18"/>
                <w:szCs w:val="18"/>
              </w:rPr>
              <w:t>t/a</w:t>
            </w:r>
          </w:p>
        </w:tc>
        <w:tc>
          <w:tcPr>
            <w:tcW w:w="1313" w:type="dxa"/>
            <w:vAlign w:val="top"/>
          </w:tcPr>
          <w:p w14:paraId="1980463A">
            <w:pPr>
              <w:spacing w:line="277" w:lineRule="auto"/>
              <w:rPr>
                <w:rFonts w:ascii="Arial"/>
                <w:sz w:val="21"/>
              </w:rPr>
            </w:pPr>
          </w:p>
          <w:p w14:paraId="6067ACBB">
            <w:pPr>
              <w:pStyle w:val="6"/>
              <w:spacing w:before="59" w:line="229" w:lineRule="auto"/>
              <w:ind w:left="482"/>
              <w:rPr>
                <w:sz w:val="18"/>
                <w:szCs w:val="18"/>
              </w:rPr>
            </w:pPr>
            <w:r>
              <w:rPr>
                <w:b/>
                <w:bCs/>
                <w:spacing w:val="-7"/>
                <w:sz w:val="18"/>
                <w:szCs w:val="18"/>
              </w:rPr>
              <w:t>工艺</w:t>
            </w:r>
          </w:p>
        </w:tc>
        <w:tc>
          <w:tcPr>
            <w:tcW w:w="1058" w:type="dxa"/>
            <w:vAlign w:val="top"/>
          </w:tcPr>
          <w:p w14:paraId="286AB535">
            <w:pPr>
              <w:spacing w:line="277" w:lineRule="auto"/>
              <w:rPr>
                <w:rFonts w:ascii="Arial"/>
                <w:sz w:val="21"/>
              </w:rPr>
            </w:pPr>
          </w:p>
          <w:p w14:paraId="7BD75D36">
            <w:pPr>
              <w:pStyle w:val="6"/>
              <w:spacing w:before="59" w:line="219" w:lineRule="auto"/>
              <w:ind w:left="242"/>
              <w:rPr>
                <w:rFonts w:ascii="Times New Roman" w:hAnsi="Times New Roman" w:eastAsia="Times New Roman" w:cs="Times New Roman"/>
                <w:sz w:val="18"/>
                <w:szCs w:val="18"/>
              </w:rPr>
            </w:pPr>
            <w:r>
              <w:rPr>
                <w:b/>
                <w:bCs/>
                <w:spacing w:val="-4"/>
                <w:sz w:val="18"/>
                <w:szCs w:val="18"/>
              </w:rPr>
              <w:t>效率</w:t>
            </w:r>
            <w:r>
              <w:rPr>
                <w:rFonts w:ascii="Times New Roman" w:hAnsi="Times New Roman" w:eastAsia="Times New Roman" w:cs="Times New Roman"/>
                <w:b/>
                <w:bCs/>
                <w:spacing w:val="-4"/>
                <w:sz w:val="18"/>
                <w:szCs w:val="18"/>
              </w:rPr>
              <w:t>/%</w:t>
            </w:r>
          </w:p>
        </w:tc>
        <w:tc>
          <w:tcPr>
            <w:tcW w:w="980" w:type="dxa"/>
            <w:vAlign w:val="top"/>
          </w:tcPr>
          <w:p w14:paraId="169D9586">
            <w:pPr>
              <w:pStyle w:val="6"/>
              <w:spacing w:before="173" w:line="336" w:lineRule="auto"/>
              <w:ind w:left="180" w:right="175" w:firstLine="132"/>
              <w:rPr>
                <w:rFonts w:ascii="Times New Roman" w:hAnsi="Times New Roman" w:eastAsia="Times New Roman" w:cs="Times New Roman"/>
                <w:sz w:val="11"/>
                <w:szCs w:val="11"/>
              </w:rPr>
            </w:pPr>
            <w:r>
              <w:rPr>
                <w:b/>
                <w:bCs/>
                <w:spacing w:val="-6"/>
                <w:sz w:val="18"/>
                <w:szCs w:val="18"/>
              </w:rPr>
              <w:t>浓度</w:t>
            </w:r>
            <w:r>
              <w:rPr>
                <w:sz w:val="18"/>
                <w:szCs w:val="18"/>
              </w:rPr>
              <w:t xml:space="preserve">  </w:t>
            </w:r>
            <w:r>
              <w:rPr>
                <w:rFonts w:ascii="Times New Roman" w:hAnsi="Times New Roman" w:eastAsia="Times New Roman" w:cs="Times New Roman"/>
                <w:b/>
                <w:bCs/>
                <w:spacing w:val="-1"/>
                <w:sz w:val="18"/>
                <w:szCs w:val="18"/>
              </w:rPr>
              <w:t>mg/Nm</w:t>
            </w:r>
            <w:r>
              <w:rPr>
                <w:rFonts w:ascii="Times New Roman" w:hAnsi="Times New Roman" w:eastAsia="Times New Roman" w:cs="Times New Roman"/>
                <w:b/>
                <w:bCs/>
                <w:spacing w:val="-1"/>
                <w:position w:val="5"/>
                <w:sz w:val="11"/>
                <w:szCs w:val="11"/>
              </w:rPr>
              <w:t>3</w:t>
            </w:r>
          </w:p>
        </w:tc>
        <w:tc>
          <w:tcPr>
            <w:tcW w:w="980" w:type="dxa"/>
            <w:vAlign w:val="top"/>
          </w:tcPr>
          <w:p w14:paraId="62B67004">
            <w:pPr>
              <w:spacing w:line="277" w:lineRule="auto"/>
              <w:rPr>
                <w:rFonts w:ascii="Arial"/>
                <w:sz w:val="21"/>
              </w:rPr>
            </w:pPr>
          </w:p>
          <w:p w14:paraId="2F8B085E">
            <w:pPr>
              <w:pStyle w:val="6"/>
              <w:spacing w:before="58" w:line="210" w:lineRule="auto"/>
              <w:ind w:left="118"/>
              <w:rPr>
                <w:rFonts w:ascii="Times New Roman" w:hAnsi="Times New Roman" w:eastAsia="Times New Roman" w:cs="Times New Roman"/>
                <w:sz w:val="18"/>
                <w:szCs w:val="18"/>
              </w:rPr>
            </w:pPr>
            <w:r>
              <w:rPr>
                <w:b/>
                <w:bCs/>
                <w:spacing w:val="-3"/>
                <w:sz w:val="18"/>
                <w:szCs w:val="18"/>
              </w:rPr>
              <w:t>速率</w:t>
            </w:r>
            <w:r>
              <w:rPr>
                <w:spacing w:val="-38"/>
                <w:sz w:val="18"/>
                <w:szCs w:val="18"/>
              </w:rPr>
              <w:t xml:space="preserve"> </w:t>
            </w:r>
            <w:r>
              <w:rPr>
                <w:rFonts w:ascii="Times New Roman" w:hAnsi="Times New Roman" w:eastAsia="Times New Roman" w:cs="Times New Roman"/>
                <w:b/>
                <w:bCs/>
                <w:spacing w:val="-3"/>
                <w:sz w:val="18"/>
                <w:szCs w:val="18"/>
              </w:rPr>
              <w:t>kg/h</w:t>
            </w:r>
          </w:p>
        </w:tc>
        <w:tc>
          <w:tcPr>
            <w:tcW w:w="661" w:type="dxa"/>
            <w:vAlign w:val="top"/>
          </w:tcPr>
          <w:p w14:paraId="7567F89B">
            <w:pPr>
              <w:spacing w:line="277" w:lineRule="auto"/>
              <w:rPr>
                <w:rFonts w:ascii="Arial"/>
                <w:sz w:val="21"/>
              </w:rPr>
            </w:pPr>
          </w:p>
          <w:p w14:paraId="4F100EB2">
            <w:pPr>
              <w:pStyle w:val="6"/>
              <w:spacing w:before="59" w:line="221" w:lineRule="auto"/>
              <w:ind w:left="28"/>
              <w:rPr>
                <w:rFonts w:ascii="Times New Roman" w:hAnsi="Times New Roman" w:eastAsia="Times New Roman" w:cs="Times New Roman"/>
                <w:sz w:val="18"/>
                <w:szCs w:val="18"/>
              </w:rPr>
            </w:pPr>
            <w:r>
              <w:rPr>
                <w:b/>
                <w:bCs/>
                <w:spacing w:val="1"/>
                <w:sz w:val="18"/>
                <w:szCs w:val="18"/>
              </w:rPr>
              <w:t>时间</w:t>
            </w:r>
            <w:r>
              <w:rPr>
                <w:rFonts w:ascii="Times New Roman" w:hAnsi="Times New Roman" w:eastAsia="Times New Roman" w:cs="Times New Roman"/>
                <w:b/>
                <w:bCs/>
                <w:spacing w:val="1"/>
                <w:sz w:val="18"/>
                <w:szCs w:val="18"/>
              </w:rPr>
              <w:t>h/a</w:t>
            </w:r>
          </w:p>
        </w:tc>
        <w:tc>
          <w:tcPr>
            <w:tcW w:w="1036" w:type="dxa"/>
            <w:vAlign w:val="top"/>
          </w:tcPr>
          <w:p w14:paraId="36FAC9CA">
            <w:pPr>
              <w:spacing w:line="277" w:lineRule="auto"/>
              <w:rPr>
                <w:rFonts w:ascii="Arial"/>
                <w:sz w:val="21"/>
              </w:rPr>
            </w:pPr>
          </w:p>
          <w:p w14:paraId="19571E1C">
            <w:pPr>
              <w:pStyle w:val="6"/>
              <w:spacing w:before="58" w:line="221" w:lineRule="auto"/>
              <w:ind w:left="127"/>
              <w:rPr>
                <w:rFonts w:ascii="Times New Roman" w:hAnsi="Times New Roman" w:eastAsia="Times New Roman" w:cs="Times New Roman"/>
                <w:sz w:val="18"/>
                <w:szCs w:val="18"/>
              </w:rPr>
            </w:pPr>
            <w:r>
              <w:rPr>
                <w:b/>
                <w:bCs/>
                <w:spacing w:val="-3"/>
                <w:sz w:val="18"/>
                <w:szCs w:val="18"/>
              </w:rPr>
              <w:t>排放量</w:t>
            </w:r>
            <w:r>
              <w:rPr>
                <w:spacing w:val="-38"/>
                <w:sz w:val="18"/>
                <w:szCs w:val="18"/>
              </w:rPr>
              <w:t xml:space="preserve"> </w:t>
            </w:r>
            <w:r>
              <w:rPr>
                <w:rFonts w:ascii="Times New Roman" w:hAnsi="Times New Roman" w:eastAsia="Times New Roman" w:cs="Times New Roman"/>
                <w:b/>
                <w:bCs/>
                <w:spacing w:val="-3"/>
                <w:sz w:val="18"/>
                <w:szCs w:val="18"/>
              </w:rPr>
              <w:t>t/a</w:t>
            </w:r>
          </w:p>
        </w:tc>
        <w:tc>
          <w:tcPr>
            <w:tcW w:w="639" w:type="dxa"/>
            <w:vAlign w:val="top"/>
          </w:tcPr>
          <w:p w14:paraId="7BC1B66F">
            <w:pPr>
              <w:spacing w:line="277" w:lineRule="auto"/>
              <w:rPr>
                <w:rFonts w:ascii="Arial"/>
                <w:sz w:val="21"/>
              </w:rPr>
            </w:pPr>
          </w:p>
          <w:p w14:paraId="7C926B79">
            <w:pPr>
              <w:pStyle w:val="6"/>
              <w:spacing w:before="59" w:line="219" w:lineRule="auto"/>
              <w:ind w:left="49"/>
              <w:rPr>
                <w:rFonts w:ascii="Times New Roman" w:hAnsi="Times New Roman" w:eastAsia="Times New Roman" w:cs="Times New Roman"/>
                <w:sz w:val="18"/>
                <w:szCs w:val="18"/>
              </w:rPr>
            </w:pPr>
            <w:r>
              <w:rPr>
                <w:b/>
                <w:bCs/>
                <w:spacing w:val="-4"/>
                <w:sz w:val="18"/>
                <w:szCs w:val="18"/>
              </w:rPr>
              <w:t>高度</w:t>
            </w:r>
            <w:r>
              <w:rPr>
                <w:rFonts w:ascii="Times New Roman" w:hAnsi="Times New Roman" w:eastAsia="Times New Roman" w:cs="Times New Roman"/>
                <w:b/>
                <w:bCs/>
                <w:spacing w:val="-4"/>
                <w:sz w:val="18"/>
                <w:szCs w:val="18"/>
              </w:rPr>
              <w:t>/m</w:t>
            </w:r>
          </w:p>
        </w:tc>
        <w:tc>
          <w:tcPr>
            <w:tcW w:w="812" w:type="dxa"/>
            <w:vAlign w:val="top"/>
          </w:tcPr>
          <w:p w14:paraId="49145A20">
            <w:pPr>
              <w:spacing w:line="277" w:lineRule="auto"/>
              <w:rPr>
                <w:rFonts w:ascii="Arial"/>
                <w:sz w:val="21"/>
              </w:rPr>
            </w:pPr>
          </w:p>
          <w:p w14:paraId="56535A43">
            <w:pPr>
              <w:pStyle w:val="6"/>
              <w:spacing w:before="59" w:line="219" w:lineRule="auto"/>
              <w:ind w:left="151"/>
              <w:rPr>
                <w:rFonts w:ascii="Times New Roman" w:hAnsi="Times New Roman" w:eastAsia="Times New Roman" w:cs="Times New Roman"/>
                <w:sz w:val="18"/>
                <w:szCs w:val="18"/>
              </w:rPr>
            </w:pPr>
            <w:r>
              <w:rPr>
                <w:b/>
                <w:bCs/>
                <w:spacing w:val="-9"/>
                <w:sz w:val="18"/>
                <w:szCs w:val="18"/>
              </w:rPr>
              <w:t>内径</w:t>
            </w:r>
            <w:r>
              <w:rPr>
                <w:rFonts w:ascii="Times New Roman" w:hAnsi="Times New Roman" w:eastAsia="Times New Roman" w:cs="Times New Roman"/>
                <w:b/>
                <w:bCs/>
                <w:spacing w:val="-9"/>
                <w:sz w:val="18"/>
                <w:szCs w:val="18"/>
              </w:rPr>
              <w:t>/m</w:t>
            </w:r>
          </w:p>
        </w:tc>
        <w:tc>
          <w:tcPr>
            <w:tcW w:w="799" w:type="dxa"/>
            <w:vAlign w:val="top"/>
          </w:tcPr>
          <w:p w14:paraId="3B9B1300">
            <w:pPr>
              <w:spacing w:line="277" w:lineRule="auto"/>
              <w:rPr>
                <w:rFonts w:ascii="Arial"/>
                <w:sz w:val="21"/>
              </w:rPr>
            </w:pPr>
          </w:p>
          <w:p w14:paraId="1016FEA0">
            <w:pPr>
              <w:pStyle w:val="6"/>
              <w:spacing w:before="58" w:line="220" w:lineRule="auto"/>
              <w:ind w:left="101"/>
              <w:rPr>
                <w:rFonts w:ascii="Times New Roman" w:hAnsi="Times New Roman" w:eastAsia="Times New Roman" w:cs="Times New Roman"/>
                <w:sz w:val="18"/>
                <w:szCs w:val="18"/>
              </w:rPr>
            </w:pPr>
            <w:r>
              <w:rPr>
                <w:b/>
                <w:bCs/>
                <w:spacing w:val="-3"/>
                <w:sz w:val="18"/>
                <w:szCs w:val="18"/>
              </w:rPr>
              <w:t>温度</w:t>
            </w:r>
            <w:r>
              <w:rPr>
                <w:rFonts w:ascii="Times New Roman" w:hAnsi="Times New Roman" w:eastAsia="Times New Roman" w:cs="Times New Roman"/>
                <w:b/>
                <w:bCs/>
                <w:spacing w:val="-3"/>
                <w:sz w:val="18"/>
                <w:szCs w:val="18"/>
              </w:rPr>
              <w:t>/℃</w:t>
            </w:r>
          </w:p>
        </w:tc>
        <w:tc>
          <w:tcPr>
            <w:tcW w:w="1196" w:type="dxa"/>
            <w:tcBorders>
              <w:right w:val="nil"/>
            </w:tcBorders>
            <w:vAlign w:val="top"/>
          </w:tcPr>
          <w:p w14:paraId="52410383">
            <w:pPr>
              <w:spacing w:line="277" w:lineRule="auto"/>
              <w:rPr>
                <w:rFonts w:ascii="Arial"/>
                <w:sz w:val="21"/>
              </w:rPr>
            </w:pPr>
          </w:p>
          <w:p w14:paraId="0172F533">
            <w:pPr>
              <w:pStyle w:val="6"/>
              <w:spacing w:before="59" w:line="219" w:lineRule="auto"/>
              <w:ind w:left="151"/>
              <w:rPr>
                <w:sz w:val="18"/>
                <w:szCs w:val="18"/>
              </w:rPr>
            </w:pPr>
            <w:r>
              <w:rPr>
                <w:b/>
                <w:bCs/>
                <w:spacing w:val="-3"/>
                <w:sz w:val="18"/>
                <w:szCs w:val="18"/>
              </w:rPr>
              <w:t>排气筒编号</w:t>
            </w:r>
          </w:p>
        </w:tc>
      </w:tr>
      <w:tr w14:paraId="7AF714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restart"/>
            <w:tcBorders>
              <w:left w:val="nil"/>
              <w:bottom w:val="nil"/>
            </w:tcBorders>
            <w:vAlign w:val="top"/>
          </w:tcPr>
          <w:p w14:paraId="77C8567B">
            <w:pPr>
              <w:spacing w:line="417" w:lineRule="auto"/>
              <w:rPr>
                <w:rFonts w:ascii="Arial"/>
                <w:sz w:val="21"/>
              </w:rPr>
            </w:pPr>
          </w:p>
          <w:p w14:paraId="4965BB3E">
            <w:pPr>
              <w:spacing w:before="52" w:line="202" w:lineRule="auto"/>
              <w:ind w:left="267"/>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G</w:t>
            </w:r>
            <w:r>
              <w:rPr>
                <w:rFonts w:ascii="Times New Roman" w:hAnsi="Times New Roman" w:eastAsia="Times New Roman" w:cs="Times New Roman"/>
                <w:spacing w:val="-1"/>
                <w:sz w:val="11"/>
                <w:szCs w:val="11"/>
              </w:rPr>
              <w:t>1-</w:t>
            </w:r>
            <w:r>
              <w:rPr>
                <w:rFonts w:ascii="Times New Roman" w:hAnsi="Times New Roman" w:eastAsia="Times New Roman" w:cs="Times New Roman"/>
                <w:spacing w:val="-14"/>
                <w:sz w:val="11"/>
                <w:szCs w:val="11"/>
              </w:rPr>
              <w:t xml:space="preserve"> </w:t>
            </w:r>
            <w:r>
              <w:rPr>
                <w:rFonts w:ascii="Times New Roman" w:hAnsi="Times New Roman" w:eastAsia="Times New Roman" w:cs="Times New Roman"/>
                <w:spacing w:val="-1"/>
                <w:sz w:val="11"/>
                <w:szCs w:val="11"/>
              </w:rPr>
              <w:t>1</w:t>
            </w:r>
          </w:p>
        </w:tc>
        <w:tc>
          <w:tcPr>
            <w:tcW w:w="2010" w:type="dxa"/>
            <w:vMerge w:val="restart"/>
            <w:tcBorders>
              <w:bottom w:val="nil"/>
            </w:tcBorders>
            <w:vAlign w:val="top"/>
          </w:tcPr>
          <w:p w14:paraId="22C4EE0E">
            <w:pPr>
              <w:spacing w:line="382" w:lineRule="auto"/>
              <w:rPr>
                <w:rFonts w:ascii="Arial"/>
                <w:sz w:val="21"/>
              </w:rPr>
            </w:pPr>
          </w:p>
          <w:p w14:paraId="1AA887EE">
            <w:pPr>
              <w:pStyle w:val="6"/>
              <w:spacing w:before="58" w:line="219" w:lineRule="auto"/>
              <w:ind w:left="470"/>
              <w:rPr>
                <w:sz w:val="18"/>
                <w:szCs w:val="18"/>
              </w:rPr>
            </w:pPr>
            <w:r>
              <w:rPr>
                <w:spacing w:val="-2"/>
                <w:sz w:val="18"/>
                <w:szCs w:val="18"/>
              </w:rPr>
              <w:t>焦炭烘干废气</w:t>
            </w:r>
          </w:p>
        </w:tc>
        <w:tc>
          <w:tcPr>
            <w:tcW w:w="1080" w:type="dxa"/>
            <w:vMerge w:val="restart"/>
            <w:tcBorders>
              <w:bottom w:val="nil"/>
            </w:tcBorders>
            <w:vAlign w:val="top"/>
          </w:tcPr>
          <w:p w14:paraId="4EBEA9DD">
            <w:pPr>
              <w:spacing w:line="382" w:lineRule="auto"/>
              <w:rPr>
                <w:rFonts w:ascii="Arial"/>
                <w:sz w:val="21"/>
              </w:rPr>
            </w:pPr>
          </w:p>
          <w:p w14:paraId="1DE26855">
            <w:pPr>
              <w:pStyle w:val="6"/>
              <w:spacing w:before="59" w:line="220" w:lineRule="auto"/>
              <w:ind w:left="275"/>
              <w:rPr>
                <w:sz w:val="18"/>
                <w:szCs w:val="18"/>
              </w:rPr>
            </w:pPr>
            <w:r>
              <w:rPr>
                <w:spacing w:val="-3"/>
                <w:sz w:val="18"/>
                <w:szCs w:val="18"/>
              </w:rPr>
              <w:t>有组织</w:t>
            </w:r>
          </w:p>
        </w:tc>
        <w:tc>
          <w:tcPr>
            <w:tcW w:w="730" w:type="dxa"/>
            <w:vMerge w:val="restart"/>
            <w:tcBorders>
              <w:bottom w:val="nil"/>
            </w:tcBorders>
            <w:vAlign w:val="top"/>
          </w:tcPr>
          <w:p w14:paraId="349BD0F5">
            <w:pPr>
              <w:spacing w:line="382" w:lineRule="auto"/>
              <w:rPr>
                <w:rFonts w:ascii="Arial"/>
                <w:sz w:val="21"/>
              </w:rPr>
            </w:pPr>
          </w:p>
          <w:p w14:paraId="0C6FE161">
            <w:pPr>
              <w:pStyle w:val="6"/>
              <w:spacing w:before="59" w:line="220" w:lineRule="auto"/>
              <w:ind w:left="189"/>
              <w:rPr>
                <w:sz w:val="18"/>
                <w:szCs w:val="18"/>
              </w:rPr>
            </w:pPr>
            <w:r>
              <w:rPr>
                <w:spacing w:val="-4"/>
                <w:sz w:val="18"/>
                <w:szCs w:val="18"/>
              </w:rPr>
              <w:t>连续</w:t>
            </w:r>
          </w:p>
        </w:tc>
        <w:tc>
          <w:tcPr>
            <w:tcW w:w="1412" w:type="dxa"/>
            <w:vMerge w:val="restart"/>
            <w:tcBorders>
              <w:bottom w:val="nil"/>
            </w:tcBorders>
            <w:vAlign w:val="top"/>
          </w:tcPr>
          <w:p w14:paraId="5F0D9B68">
            <w:pPr>
              <w:pStyle w:val="6"/>
              <w:spacing w:before="278" w:line="321" w:lineRule="auto"/>
              <w:ind w:left="259" w:right="254"/>
              <w:rPr>
                <w:sz w:val="18"/>
                <w:szCs w:val="18"/>
              </w:rPr>
            </w:pPr>
            <w:r>
              <w:rPr>
                <w:spacing w:val="-2"/>
                <w:sz w:val="18"/>
                <w:szCs w:val="18"/>
              </w:rPr>
              <w:t>产污系数法</w:t>
            </w:r>
            <w:r>
              <w:rPr>
                <w:spacing w:val="1"/>
                <w:sz w:val="18"/>
                <w:szCs w:val="18"/>
              </w:rPr>
              <w:t xml:space="preserve"> </w:t>
            </w:r>
            <w:r>
              <w:rPr>
                <w:spacing w:val="-2"/>
                <w:sz w:val="18"/>
                <w:szCs w:val="18"/>
              </w:rPr>
              <w:t>物料衡算法</w:t>
            </w:r>
          </w:p>
        </w:tc>
        <w:tc>
          <w:tcPr>
            <w:tcW w:w="1209" w:type="dxa"/>
            <w:vMerge w:val="restart"/>
            <w:tcBorders>
              <w:bottom w:val="nil"/>
            </w:tcBorders>
            <w:vAlign w:val="top"/>
          </w:tcPr>
          <w:p w14:paraId="26145FDF">
            <w:pPr>
              <w:spacing w:line="417" w:lineRule="auto"/>
              <w:rPr>
                <w:rFonts w:ascii="Arial"/>
                <w:sz w:val="21"/>
              </w:rPr>
            </w:pPr>
          </w:p>
          <w:p w14:paraId="667F4EA0">
            <w:pPr>
              <w:spacing w:before="52" w:line="188" w:lineRule="auto"/>
              <w:ind w:left="31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3195.59</w:t>
            </w:r>
          </w:p>
        </w:tc>
        <w:tc>
          <w:tcPr>
            <w:tcW w:w="1740" w:type="dxa"/>
            <w:vAlign w:val="top"/>
          </w:tcPr>
          <w:p w14:paraId="4FEAD452">
            <w:pPr>
              <w:pStyle w:val="6"/>
              <w:spacing w:before="90" w:line="220" w:lineRule="auto"/>
              <w:ind w:left="604"/>
              <w:rPr>
                <w:sz w:val="18"/>
                <w:szCs w:val="18"/>
              </w:rPr>
            </w:pPr>
            <w:r>
              <w:rPr>
                <w:spacing w:val="-3"/>
                <w:sz w:val="18"/>
                <w:szCs w:val="18"/>
              </w:rPr>
              <w:t>颗粒物</w:t>
            </w:r>
          </w:p>
        </w:tc>
        <w:tc>
          <w:tcPr>
            <w:tcW w:w="989" w:type="dxa"/>
            <w:vAlign w:val="top"/>
          </w:tcPr>
          <w:p w14:paraId="54B7323B">
            <w:pPr>
              <w:spacing w:before="119"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5698.48</w:t>
            </w:r>
          </w:p>
        </w:tc>
        <w:tc>
          <w:tcPr>
            <w:tcW w:w="993" w:type="dxa"/>
            <w:vAlign w:val="top"/>
          </w:tcPr>
          <w:p w14:paraId="580EC73D">
            <w:pPr>
              <w:spacing w:before="133" w:line="188" w:lineRule="auto"/>
              <w:ind w:left="31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18.21</w:t>
            </w:r>
          </w:p>
        </w:tc>
        <w:tc>
          <w:tcPr>
            <w:tcW w:w="1131" w:type="dxa"/>
            <w:vAlign w:val="top"/>
          </w:tcPr>
          <w:p w14:paraId="7EAA4131">
            <w:pPr>
              <w:spacing w:before="133" w:line="188" w:lineRule="auto"/>
              <w:ind w:left="33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145.71</w:t>
            </w:r>
          </w:p>
        </w:tc>
        <w:tc>
          <w:tcPr>
            <w:tcW w:w="1313" w:type="dxa"/>
            <w:vMerge w:val="restart"/>
            <w:tcBorders>
              <w:bottom w:val="nil"/>
            </w:tcBorders>
            <w:vAlign w:val="top"/>
          </w:tcPr>
          <w:p w14:paraId="45EC083F">
            <w:pPr>
              <w:spacing w:line="382" w:lineRule="auto"/>
              <w:rPr>
                <w:rFonts w:ascii="Arial"/>
                <w:sz w:val="21"/>
              </w:rPr>
            </w:pPr>
          </w:p>
          <w:p w14:paraId="4335AFE6">
            <w:pPr>
              <w:pStyle w:val="6"/>
              <w:spacing w:before="58" w:line="219" w:lineRule="auto"/>
              <w:ind w:left="211"/>
              <w:rPr>
                <w:sz w:val="18"/>
                <w:szCs w:val="18"/>
              </w:rPr>
            </w:pPr>
            <w:r>
              <w:rPr>
                <w:spacing w:val="-2"/>
                <w:sz w:val="18"/>
                <w:szCs w:val="18"/>
              </w:rPr>
              <w:t>布袋除尘器</w:t>
            </w:r>
          </w:p>
        </w:tc>
        <w:tc>
          <w:tcPr>
            <w:tcW w:w="1058" w:type="dxa"/>
            <w:vMerge w:val="restart"/>
            <w:tcBorders>
              <w:bottom w:val="nil"/>
            </w:tcBorders>
            <w:vAlign w:val="top"/>
          </w:tcPr>
          <w:p w14:paraId="0C8CCEFE">
            <w:pPr>
              <w:spacing w:line="382" w:lineRule="auto"/>
              <w:rPr>
                <w:rFonts w:ascii="Arial"/>
                <w:sz w:val="21"/>
              </w:rPr>
            </w:pPr>
          </w:p>
          <w:p w14:paraId="6A2CDF7F">
            <w:pPr>
              <w:pStyle w:val="6"/>
              <w:spacing w:before="59" w:line="219" w:lineRule="auto"/>
              <w:ind w:left="250"/>
              <w:rPr>
                <w:rFonts w:ascii="Times New Roman" w:hAnsi="Times New Roman" w:eastAsia="Times New Roman" w:cs="Times New Roman"/>
                <w:sz w:val="18"/>
                <w:szCs w:val="18"/>
              </w:rPr>
            </w:pPr>
            <w:r>
              <w:rPr>
                <w:spacing w:val="-6"/>
                <w:sz w:val="18"/>
                <w:szCs w:val="18"/>
              </w:rPr>
              <w:t>除尘</w:t>
            </w:r>
            <w:r>
              <w:rPr>
                <w:spacing w:val="-38"/>
                <w:sz w:val="18"/>
                <w:szCs w:val="18"/>
              </w:rPr>
              <w:t xml:space="preserve"> </w:t>
            </w:r>
            <w:r>
              <w:rPr>
                <w:rFonts w:ascii="Times New Roman" w:hAnsi="Times New Roman" w:eastAsia="Times New Roman" w:cs="Times New Roman"/>
                <w:spacing w:val="-6"/>
                <w:sz w:val="18"/>
                <w:szCs w:val="18"/>
              </w:rPr>
              <w:t>99</w:t>
            </w:r>
          </w:p>
        </w:tc>
        <w:tc>
          <w:tcPr>
            <w:tcW w:w="980" w:type="dxa"/>
            <w:vAlign w:val="top"/>
          </w:tcPr>
          <w:p w14:paraId="17D4271D">
            <w:pPr>
              <w:spacing w:before="119" w:line="188" w:lineRule="auto"/>
              <w:ind w:left="30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15.94</w:t>
            </w:r>
          </w:p>
        </w:tc>
        <w:tc>
          <w:tcPr>
            <w:tcW w:w="980" w:type="dxa"/>
            <w:vAlign w:val="top"/>
          </w:tcPr>
          <w:p w14:paraId="70C697CB">
            <w:pPr>
              <w:spacing w:before="119"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0.29</w:t>
            </w:r>
          </w:p>
        </w:tc>
        <w:tc>
          <w:tcPr>
            <w:tcW w:w="661" w:type="dxa"/>
            <w:vMerge w:val="restart"/>
            <w:tcBorders>
              <w:bottom w:val="nil"/>
            </w:tcBorders>
            <w:vAlign w:val="top"/>
          </w:tcPr>
          <w:p w14:paraId="0E245FF9">
            <w:pPr>
              <w:spacing w:line="417" w:lineRule="auto"/>
              <w:rPr>
                <w:rFonts w:ascii="Arial"/>
                <w:sz w:val="21"/>
              </w:rPr>
            </w:pPr>
          </w:p>
          <w:p w14:paraId="5F34F549">
            <w:pPr>
              <w:spacing w:before="52"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7F1D880D">
            <w:pPr>
              <w:spacing w:before="119"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2.28</w:t>
            </w:r>
          </w:p>
        </w:tc>
        <w:tc>
          <w:tcPr>
            <w:tcW w:w="639" w:type="dxa"/>
            <w:vMerge w:val="restart"/>
            <w:tcBorders>
              <w:bottom w:val="nil"/>
            </w:tcBorders>
            <w:vAlign w:val="top"/>
          </w:tcPr>
          <w:p w14:paraId="6B296B49">
            <w:pPr>
              <w:spacing w:line="296" w:lineRule="auto"/>
              <w:rPr>
                <w:rFonts w:ascii="Arial"/>
                <w:sz w:val="21"/>
              </w:rPr>
            </w:pPr>
          </w:p>
          <w:p w14:paraId="0708ABB6">
            <w:pPr>
              <w:spacing w:line="296" w:lineRule="auto"/>
              <w:rPr>
                <w:rFonts w:ascii="Arial"/>
                <w:sz w:val="21"/>
              </w:rPr>
            </w:pPr>
          </w:p>
          <w:p w14:paraId="70734181">
            <w:pPr>
              <w:spacing w:before="51" w:line="188" w:lineRule="auto"/>
              <w:ind w:left="23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30</w:t>
            </w:r>
          </w:p>
        </w:tc>
        <w:tc>
          <w:tcPr>
            <w:tcW w:w="812" w:type="dxa"/>
            <w:vMerge w:val="restart"/>
            <w:tcBorders>
              <w:bottom w:val="nil"/>
            </w:tcBorders>
            <w:vAlign w:val="top"/>
          </w:tcPr>
          <w:p w14:paraId="37D439D2">
            <w:pPr>
              <w:spacing w:line="296" w:lineRule="auto"/>
              <w:rPr>
                <w:rFonts w:ascii="Arial"/>
                <w:sz w:val="21"/>
              </w:rPr>
            </w:pPr>
          </w:p>
          <w:p w14:paraId="40D6AB58">
            <w:pPr>
              <w:spacing w:line="296" w:lineRule="auto"/>
              <w:rPr>
                <w:rFonts w:ascii="Arial"/>
                <w:sz w:val="21"/>
              </w:rPr>
            </w:pPr>
          </w:p>
          <w:p w14:paraId="406DCB5F">
            <w:pPr>
              <w:spacing w:before="51" w:line="188" w:lineRule="auto"/>
              <w:ind w:left="2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w:t>
            </w:r>
          </w:p>
        </w:tc>
        <w:tc>
          <w:tcPr>
            <w:tcW w:w="799" w:type="dxa"/>
            <w:vMerge w:val="restart"/>
            <w:tcBorders>
              <w:bottom w:val="nil"/>
            </w:tcBorders>
            <w:vAlign w:val="top"/>
          </w:tcPr>
          <w:p w14:paraId="6AA42F5C">
            <w:pPr>
              <w:spacing w:line="296" w:lineRule="auto"/>
              <w:rPr>
                <w:rFonts w:ascii="Arial"/>
                <w:sz w:val="21"/>
              </w:rPr>
            </w:pPr>
          </w:p>
          <w:p w14:paraId="44A004FC">
            <w:pPr>
              <w:spacing w:line="296" w:lineRule="auto"/>
              <w:rPr>
                <w:rFonts w:ascii="Arial"/>
                <w:sz w:val="21"/>
              </w:rPr>
            </w:pPr>
          </w:p>
          <w:p w14:paraId="701F81FD">
            <w:pPr>
              <w:spacing w:before="51" w:line="188" w:lineRule="auto"/>
              <w:ind w:left="28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1196" w:type="dxa"/>
            <w:vMerge w:val="restart"/>
            <w:tcBorders>
              <w:bottom w:val="nil"/>
              <w:right w:val="nil"/>
            </w:tcBorders>
            <w:vAlign w:val="top"/>
          </w:tcPr>
          <w:p w14:paraId="639A650D">
            <w:pPr>
              <w:spacing w:line="296" w:lineRule="auto"/>
              <w:rPr>
                <w:rFonts w:ascii="Arial"/>
                <w:sz w:val="21"/>
              </w:rPr>
            </w:pPr>
          </w:p>
          <w:p w14:paraId="6E7D1C81">
            <w:pPr>
              <w:spacing w:line="296" w:lineRule="auto"/>
              <w:rPr>
                <w:rFonts w:ascii="Arial"/>
                <w:sz w:val="21"/>
              </w:rPr>
            </w:pPr>
          </w:p>
          <w:p w14:paraId="4E2996D6">
            <w:pPr>
              <w:spacing w:before="51" w:line="188" w:lineRule="auto"/>
              <w:ind w:left="33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DA001</w:t>
            </w:r>
          </w:p>
        </w:tc>
      </w:tr>
      <w:tr w14:paraId="4F2A86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bottom w:val="nil"/>
            </w:tcBorders>
            <w:vAlign w:val="top"/>
          </w:tcPr>
          <w:p w14:paraId="1975ADED">
            <w:pPr>
              <w:rPr>
                <w:rFonts w:ascii="Arial"/>
                <w:sz w:val="21"/>
              </w:rPr>
            </w:pPr>
          </w:p>
        </w:tc>
        <w:tc>
          <w:tcPr>
            <w:tcW w:w="2010" w:type="dxa"/>
            <w:vMerge w:val="continue"/>
            <w:tcBorders>
              <w:top w:val="nil"/>
              <w:bottom w:val="nil"/>
            </w:tcBorders>
            <w:vAlign w:val="top"/>
          </w:tcPr>
          <w:p w14:paraId="16B0D4C3">
            <w:pPr>
              <w:rPr>
                <w:rFonts w:ascii="Arial"/>
                <w:sz w:val="21"/>
              </w:rPr>
            </w:pPr>
          </w:p>
        </w:tc>
        <w:tc>
          <w:tcPr>
            <w:tcW w:w="1080" w:type="dxa"/>
            <w:vMerge w:val="continue"/>
            <w:tcBorders>
              <w:top w:val="nil"/>
              <w:bottom w:val="nil"/>
            </w:tcBorders>
            <w:vAlign w:val="top"/>
          </w:tcPr>
          <w:p w14:paraId="0A44CE5D">
            <w:pPr>
              <w:rPr>
                <w:rFonts w:ascii="Arial"/>
                <w:sz w:val="21"/>
              </w:rPr>
            </w:pPr>
          </w:p>
        </w:tc>
        <w:tc>
          <w:tcPr>
            <w:tcW w:w="730" w:type="dxa"/>
            <w:vMerge w:val="continue"/>
            <w:tcBorders>
              <w:top w:val="nil"/>
              <w:bottom w:val="nil"/>
            </w:tcBorders>
            <w:vAlign w:val="top"/>
          </w:tcPr>
          <w:p w14:paraId="28EBF5FB">
            <w:pPr>
              <w:rPr>
                <w:rFonts w:ascii="Arial"/>
                <w:sz w:val="21"/>
              </w:rPr>
            </w:pPr>
          </w:p>
        </w:tc>
        <w:tc>
          <w:tcPr>
            <w:tcW w:w="1412" w:type="dxa"/>
            <w:vMerge w:val="continue"/>
            <w:tcBorders>
              <w:top w:val="nil"/>
              <w:bottom w:val="nil"/>
            </w:tcBorders>
            <w:vAlign w:val="top"/>
          </w:tcPr>
          <w:p w14:paraId="76538CE6">
            <w:pPr>
              <w:rPr>
                <w:rFonts w:ascii="Arial"/>
                <w:sz w:val="21"/>
              </w:rPr>
            </w:pPr>
          </w:p>
        </w:tc>
        <w:tc>
          <w:tcPr>
            <w:tcW w:w="1209" w:type="dxa"/>
            <w:vMerge w:val="continue"/>
            <w:tcBorders>
              <w:top w:val="nil"/>
              <w:bottom w:val="nil"/>
            </w:tcBorders>
            <w:vAlign w:val="top"/>
          </w:tcPr>
          <w:p w14:paraId="58BDC82F">
            <w:pPr>
              <w:rPr>
                <w:rFonts w:ascii="Arial"/>
                <w:sz w:val="21"/>
              </w:rPr>
            </w:pPr>
          </w:p>
        </w:tc>
        <w:tc>
          <w:tcPr>
            <w:tcW w:w="1740" w:type="dxa"/>
            <w:vAlign w:val="top"/>
          </w:tcPr>
          <w:p w14:paraId="184E5BC3">
            <w:pPr>
              <w:spacing w:before="120" w:line="194" w:lineRule="auto"/>
              <w:ind w:left="734"/>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tc>
        <w:tc>
          <w:tcPr>
            <w:tcW w:w="989" w:type="dxa"/>
            <w:vAlign w:val="top"/>
          </w:tcPr>
          <w:p w14:paraId="289F4236">
            <w:pPr>
              <w:spacing w:before="121" w:line="188" w:lineRule="auto"/>
              <w:ind w:left="26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112.66</w:t>
            </w:r>
          </w:p>
        </w:tc>
        <w:tc>
          <w:tcPr>
            <w:tcW w:w="993" w:type="dxa"/>
            <w:vAlign w:val="top"/>
          </w:tcPr>
          <w:p w14:paraId="135F656F">
            <w:pPr>
              <w:spacing w:before="135"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0.36</w:t>
            </w:r>
          </w:p>
        </w:tc>
        <w:tc>
          <w:tcPr>
            <w:tcW w:w="1131" w:type="dxa"/>
            <w:vAlign w:val="top"/>
          </w:tcPr>
          <w:p w14:paraId="6B8544DB">
            <w:pPr>
              <w:spacing w:before="135" w:line="188" w:lineRule="auto"/>
              <w:ind w:left="40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2.91</w:t>
            </w:r>
          </w:p>
        </w:tc>
        <w:tc>
          <w:tcPr>
            <w:tcW w:w="1313" w:type="dxa"/>
            <w:vMerge w:val="continue"/>
            <w:tcBorders>
              <w:top w:val="nil"/>
              <w:bottom w:val="nil"/>
            </w:tcBorders>
            <w:vAlign w:val="top"/>
          </w:tcPr>
          <w:p w14:paraId="086DA153">
            <w:pPr>
              <w:rPr>
                <w:rFonts w:ascii="Arial"/>
                <w:sz w:val="21"/>
              </w:rPr>
            </w:pPr>
          </w:p>
        </w:tc>
        <w:tc>
          <w:tcPr>
            <w:tcW w:w="1058" w:type="dxa"/>
            <w:vMerge w:val="continue"/>
            <w:tcBorders>
              <w:top w:val="nil"/>
              <w:bottom w:val="nil"/>
            </w:tcBorders>
            <w:vAlign w:val="top"/>
          </w:tcPr>
          <w:p w14:paraId="0E863B5B">
            <w:pPr>
              <w:rPr>
                <w:rFonts w:ascii="Arial"/>
                <w:sz w:val="21"/>
              </w:rPr>
            </w:pPr>
          </w:p>
        </w:tc>
        <w:tc>
          <w:tcPr>
            <w:tcW w:w="980" w:type="dxa"/>
            <w:vAlign w:val="top"/>
          </w:tcPr>
          <w:p w14:paraId="55541E1A">
            <w:pPr>
              <w:spacing w:before="121" w:line="188" w:lineRule="auto"/>
              <w:ind w:left="28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27.28</w:t>
            </w:r>
          </w:p>
        </w:tc>
        <w:tc>
          <w:tcPr>
            <w:tcW w:w="980" w:type="dxa"/>
            <w:vAlign w:val="top"/>
          </w:tcPr>
          <w:p w14:paraId="5140AD61">
            <w:pPr>
              <w:spacing w:before="135"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0.36</w:t>
            </w:r>
          </w:p>
        </w:tc>
        <w:tc>
          <w:tcPr>
            <w:tcW w:w="661" w:type="dxa"/>
            <w:vMerge w:val="continue"/>
            <w:tcBorders>
              <w:top w:val="nil"/>
              <w:bottom w:val="nil"/>
            </w:tcBorders>
            <w:vAlign w:val="top"/>
          </w:tcPr>
          <w:p w14:paraId="2D6B5D3E">
            <w:pPr>
              <w:rPr>
                <w:rFonts w:ascii="Arial"/>
                <w:sz w:val="21"/>
              </w:rPr>
            </w:pPr>
          </w:p>
        </w:tc>
        <w:tc>
          <w:tcPr>
            <w:tcW w:w="1036" w:type="dxa"/>
            <w:vAlign w:val="top"/>
          </w:tcPr>
          <w:p w14:paraId="22D39D63">
            <w:pPr>
              <w:spacing w:before="135"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2.91</w:t>
            </w:r>
          </w:p>
        </w:tc>
        <w:tc>
          <w:tcPr>
            <w:tcW w:w="639" w:type="dxa"/>
            <w:vMerge w:val="continue"/>
            <w:tcBorders>
              <w:top w:val="nil"/>
              <w:bottom w:val="nil"/>
            </w:tcBorders>
            <w:vAlign w:val="top"/>
          </w:tcPr>
          <w:p w14:paraId="6D8F5DFE">
            <w:pPr>
              <w:rPr>
                <w:rFonts w:ascii="Arial"/>
                <w:sz w:val="21"/>
              </w:rPr>
            </w:pPr>
          </w:p>
        </w:tc>
        <w:tc>
          <w:tcPr>
            <w:tcW w:w="812" w:type="dxa"/>
            <w:vMerge w:val="continue"/>
            <w:tcBorders>
              <w:top w:val="nil"/>
              <w:bottom w:val="nil"/>
            </w:tcBorders>
            <w:vAlign w:val="top"/>
          </w:tcPr>
          <w:p w14:paraId="7A8CC39E">
            <w:pPr>
              <w:rPr>
                <w:rFonts w:ascii="Arial"/>
                <w:sz w:val="21"/>
              </w:rPr>
            </w:pPr>
          </w:p>
        </w:tc>
        <w:tc>
          <w:tcPr>
            <w:tcW w:w="799" w:type="dxa"/>
            <w:vMerge w:val="continue"/>
            <w:tcBorders>
              <w:top w:val="nil"/>
              <w:bottom w:val="nil"/>
            </w:tcBorders>
            <w:vAlign w:val="top"/>
          </w:tcPr>
          <w:p w14:paraId="3CA613B4">
            <w:pPr>
              <w:rPr>
                <w:rFonts w:ascii="Arial"/>
                <w:sz w:val="21"/>
              </w:rPr>
            </w:pPr>
          </w:p>
        </w:tc>
        <w:tc>
          <w:tcPr>
            <w:tcW w:w="1196" w:type="dxa"/>
            <w:vMerge w:val="continue"/>
            <w:tcBorders>
              <w:top w:val="nil"/>
              <w:bottom w:val="nil"/>
              <w:right w:val="nil"/>
            </w:tcBorders>
            <w:vAlign w:val="top"/>
          </w:tcPr>
          <w:p w14:paraId="22E0232D">
            <w:pPr>
              <w:rPr>
                <w:rFonts w:ascii="Arial"/>
                <w:sz w:val="21"/>
              </w:rPr>
            </w:pPr>
          </w:p>
        </w:tc>
      </w:tr>
      <w:tr w14:paraId="449ADE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tcBorders>
            <w:vAlign w:val="top"/>
          </w:tcPr>
          <w:p w14:paraId="744DEDAF">
            <w:pPr>
              <w:rPr>
                <w:rFonts w:ascii="Arial"/>
                <w:sz w:val="21"/>
              </w:rPr>
            </w:pPr>
          </w:p>
        </w:tc>
        <w:tc>
          <w:tcPr>
            <w:tcW w:w="2010" w:type="dxa"/>
            <w:vMerge w:val="continue"/>
            <w:tcBorders>
              <w:top w:val="nil"/>
            </w:tcBorders>
            <w:vAlign w:val="top"/>
          </w:tcPr>
          <w:p w14:paraId="6C059B81">
            <w:pPr>
              <w:rPr>
                <w:rFonts w:ascii="Arial"/>
                <w:sz w:val="21"/>
              </w:rPr>
            </w:pPr>
          </w:p>
        </w:tc>
        <w:tc>
          <w:tcPr>
            <w:tcW w:w="1080" w:type="dxa"/>
            <w:vMerge w:val="continue"/>
            <w:tcBorders>
              <w:top w:val="nil"/>
            </w:tcBorders>
            <w:vAlign w:val="top"/>
          </w:tcPr>
          <w:p w14:paraId="6407DE93">
            <w:pPr>
              <w:rPr>
                <w:rFonts w:ascii="Arial"/>
                <w:sz w:val="21"/>
              </w:rPr>
            </w:pPr>
          </w:p>
        </w:tc>
        <w:tc>
          <w:tcPr>
            <w:tcW w:w="730" w:type="dxa"/>
            <w:vMerge w:val="continue"/>
            <w:tcBorders>
              <w:top w:val="nil"/>
            </w:tcBorders>
            <w:vAlign w:val="top"/>
          </w:tcPr>
          <w:p w14:paraId="2C8B58BD">
            <w:pPr>
              <w:rPr>
                <w:rFonts w:ascii="Arial"/>
                <w:sz w:val="21"/>
              </w:rPr>
            </w:pPr>
          </w:p>
        </w:tc>
        <w:tc>
          <w:tcPr>
            <w:tcW w:w="1412" w:type="dxa"/>
            <w:vMerge w:val="continue"/>
            <w:tcBorders>
              <w:top w:val="nil"/>
            </w:tcBorders>
            <w:vAlign w:val="top"/>
          </w:tcPr>
          <w:p w14:paraId="4742D873">
            <w:pPr>
              <w:rPr>
                <w:rFonts w:ascii="Arial"/>
                <w:sz w:val="21"/>
              </w:rPr>
            </w:pPr>
          </w:p>
        </w:tc>
        <w:tc>
          <w:tcPr>
            <w:tcW w:w="1209" w:type="dxa"/>
            <w:vMerge w:val="continue"/>
            <w:tcBorders>
              <w:top w:val="nil"/>
            </w:tcBorders>
            <w:vAlign w:val="top"/>
          </w:tcPr>
          <w:p w14:paraId="029D7B06">
            <w:pPr>
              <w:rPr>
                <w:rFonts w:ascii="Arial"/>
                <w:sz w:val="21"/>
              </w:rPr>
            </w:pPr>
          </w:p>
        </w:tc>
        <w:tc>
          <w:tcPr>
            <w:tcW w:w="1740" w:type="dxa"/>
            <w:vAlign w:val="top"/>
          </w:tcPr>
          <w:p w14:paraId="69E6E289">
            <w:pPr>
              <w:spacing w:before="122" w:line="194" w:lineRule="auto"/>
              <w:ind w:left="692"/>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989" w:type="dxa"/>
            <w:vAlign w:val="top"/>
          </w:tcPr>
          <w:p w14:paraId="1F5DF79F">
            <w:pPr>
              <w:spacing w:before="123" w:line="188" w:lineRule="auto"/>
              <w:ind w:left="2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50.07</w:t>
            </w:r>
          </w:p>
        </w:tc>
        <w:tc>
          <w:tcPr>
            <w:tcW w:w="993" w:type="dxa"/>
            <w:vAlign w:val="top"/>
          </w:tcPr>
          <w:p w14:paraId="7C93ED9F">
            <w:pPr>
              <w:spacing w:before="135"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0.16</w:t>
            </w:r>
          </w:p>
        </w:tc>
        <w:tc>
          <w:tcPr>
            <w:tcW w:w="1131" w:type="dxa"/>
            <w:vAlign w:val="top"/>
          </w:tcPr>
          <w:p w14:paraId="086CBE8D">
            <w:pPr>
              <w:spacing w:before="135" w:line="188" w:lineRule="auto"/>
              <w:ind w:left="425"/>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1.30</w:t>
            </w:r>
          </w:p>
        </w:tc>
        <w:tc>
          <w:tcPr>
            <w:tcW w:w="1313" w:type="dxa"/>
            <w:vMerge w:val="continue"/>
            <w:tcBorders>
              <w:top w:val="nil"/>
            </w:tcBorders>
            <w:vAlign w:val="top"/>
          </w:tcPr>
          <w:p w14:paraId="065AA3D6">
            <w:pPr>
              <w:rPr>
                <w:rFonts w:ascii="Arial"/>
                <w:sz w:val="21"/>
              </w:rPr>
            </w:pPr>
          </w:p>
        </w:tc>
        <w:tc>
          <w:tcPr>
            <w:tcW w:w="1058" w:type="dxa"/>
            <w:vMerge w:val="continue"/>
            <w:tcBorders>
              <w:top w:val="nil"/>
            </w:tcBorders>
            <w:vAlign w:val="top"/>
          </w:tcPr>
          <w:p w14:paraId="30A0106A">
            <w:pPr>
              <w:rPr>
                <w:rFonts w:ascii="Arial"/>
                <w:sz w:val="21"/>
              </w:rPr>
            </w:pPr>
          </w:p>
        </w:tc>
        <w:tc>
          <w:tcPr>
            <w:tcW w:w="980" w:type="dxa"/>
            <w:vAlign w:val="top"/>
          </w:tcPr>
          <w:p w14:paraId="3280A946">
            <w:pPr>
              <w:spacing w:before="123" w:line="188" w:lineRule="auto"/>
              <w:ind w:left="30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12.13</w:t>
            </w:r>
          </w:p>
        </w:tc>
        <w:tc>
          <w:tcPr>
            <w:tcW w:w="980" w:type="dxa"/>
            <w:vAlign w:val="top"/>
          </w:tcPr>
          <w:p w14:paraId="030E2A1B">
            <w:pPr>
              <w:spacing w:before="135"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0.16</w:t>
            </w:r>
          </w:p>
        </w:tc>
        <w:tc>
          <w:tcPr>
            <w:tcW w:w="661" w:type="dxa"/>
            <w:vMerge w:val="continue"/>
            <w:tcBorders>
              <w:top w:val="nil"/>
            </w:tcBorders>
            <w:vAlign w:val="top"/>
          </w:tcPr>
          <w:p w14:paraId="7677B9EB">
            <w:pPr>
              <w:rPr>
                <w:rFonts w:ascii="Arial"/>
                <w:sz w:val="21"/>
              </w:rPr>
            </w:pPr>
          </w:p>
        </w:tc>
        <w:tc>
          <w:tcPr>
            <w:tcW w:w="1036" w:type="dxa"/>
            <w:vAlign w:val="top"/>
          </w:tcPr>
          <w:p w14:paraId="7FC2D072">
            <w:pPr>
              <w:spacing w:before="135" w:line="188" w:lineRule="auto"/>
              <w:ind w:left="379"/>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1.30</w:t>
            </w:r>
          </w:p>
        </w:tc>
        <w:tc>
          <w:tcPr>
            <w:tcW w:w="639" w:type="dxa"/>
            <w:vMerge w:val="continue"/>
            <w:tcBorders>
              <w:top w:val="nil"/>
              <w:bottom w:val="nil"/>
            </w:tcBorders>
            <w:vAlign w:val="top"/>
          </w:tcPr>
          <w:p w14:paraId="4AFB752D">
            <w:pPr>
              <w:rPr>
                <w:rFonts w:ascii="Arial"/>
                <w:sz w:val="21"/>
              </w:rPr>
            </w:pPr>
          </w:p>
        </w:tc>
        <w:tc>
          <w:tcPr>
            <w:tcW w:w="812" w:type="dxa"/>
            <w:vMerge w:val="continue"/>
            <w:tcBorders>
              <w:top w:val="nil"/>
              <w:bottom w:val="nil"/>
            </w:tcBorders>
            <w:vAlign w:val="top"/>
          </w:tcPr>
          <w:p w14:paraId="1BD1B367">
            <w:pPr>
              <w:rPr>
                <w:rFonts w:ascii="Arial"/>
                <w:sz w:val="21"/>
              </w:rPr>
            </w:pPr>
          </w:p>
        </w:tc>
        <w:tc>
          <w:tcPr>
            <w:tcW w:w="799" w:type="dxa"/>
            <w:vMerge w:val="continue"/>
            <w:tcBorders>
              <w:top w:val="nil"/>
              <w:bottom w:val="nil"/>
            </w:tcBorders>
            <w:vAlign w:val="top"/>
          </w:tcPr>
          <w:p w14:paraId="514CB8D7">
            <w:pPr>
              <w:rPr>
                <w:rFonts w:ascii="Arial"/>
                <w:sz w:val="21"/>
              </w:rPr>
            </w:pPr>
          </w:p>
        </w:tc>
        <w:tc>
          <w:tcPr>
            <w:tcW w:w="1196" w:type="dxa"/>
            <w:vMerge w:val="continue"/>
            <w:tcBorders>
              <w:top w:val="nil"/>
              <w:bottom w:val="nil"/>
              <w:right w:val="nil"/>
            </w:tcBorders>
            <w:vAlign w:val="top"/>
          </w:tcPr>
          <w:p w14:paraId="63C071B7">
            <w:pPr>
              <w:rPr>
                <w:rFonts w:ascii="Arial"/>
                <w:sz w:val="21"/>
              </w:rPr>
            </w:pPr>
          </w:p>
        </w:tc>
      </w:tr>
      <w:tr w14:paraId="2B7EF6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tcBorders>
              <w:left w:val="nil"/>
            </w:tcBorders>
            <w:vAlign w:val="top"/>
          </w:tcPr>
          <w:p w14:paraId="0672EC02">
            <w:pPr>
              <w:spacing w:before="122" w:line="202" w:lineRule="auto"/>
              <w:ind w:left="267"/>
              <w:rPr>
                <w:rFonts w:ascii="Times New Roman" w:hAnsi="Times New Roman" w:eastAsia="Times New Roman" w:cs="Times New Roman"/>
                <w:sz w:val="11"/>
                <w:szCs w:val="11"/>
              </w:rPr>
            </w:pPr>
            <w:r>
              <w:rPr>
                <w:rFonts w:ascii="Times New Roman" w:hAnsi="Times New Roman" w:eastAsia="Times New Roman" w:cs="Times New Roman"/>
                <w:sz w:val="18"/>
                <w:szCs w:val="18"/>
              </w:rPr>
              <w:t>G</w:t>
            </w:r>
            <w:r>
              <w:rPr>
                <w:rFonts w:ascii="Times New Roman" w:hAnsi="Times New Roman" w:eastAsia="Times New Roman" w:cs="Times New Roman"/>
                <w:sz w:val="11"/>
                <w:szCs w:val="11"/>
              </w:rPr>
              <w:t>1-2</w:t>
            </w:r>
          </w:p>
        </w:tc>
        <w:tc>
          <w:tcPr>
            <w:tcW w:w="2010" w:type="dxa"/>
            <w:vAlign w:val="top"/>
          </w:tcPr>
          <w:p w14:paraId="13232EDE">
            <w:pPr>
              <w:pStyle w:val="6"/>
              <w:spacing w:before="93" w:line="219" w:lineRule="auto"/>
              <w:ind w:left="290"/>
              <w:rPr>
                <w:sz w:val="18"/>
                <w:szCs w:val="18"/>
              </w:rPr>
            </w:pPr>
            <w:r>
              <w:rPr>
                <w:spacing w:val="-1"/>
                <w:sz w:val="18"/>
                <w:szCs w:val="18"/>
              </w:rPr>
              <w:t>焦炭筛分出料废气</w:t>
            </w:r>
          </w:p>
        </w:tc>
        <w:tc>
          <w:tcPr>
            <w:tcW w:w="1080" w:type="dxa"/>
            <w:vAlign w:val="top"/>
          </w:tcPr>
          <w:p w14:paraId="40355C29">
            <w:pPr>
              <w:pStyle w:val="6"/>
              <w:spacing w:before="93" w:line="220" w:lineRule="auto"/>
              <w:ind w:left="275"/>
              <w:rPr>
                <w:sz w:val="18"/>
                <w:szCs w:val="18"/>
              </w:rPr>
            </w:pPr>
            <w:r>
              <w:rPr>
                <w:spacing w:val="-3"/>
                <w:sz w:val="18"/>
                <w:szCs w:val="18"/>
              </w:rPr>
              <w:t>有组织</w:t>
            </w:r>
          </w:p>
        </w:tc>
        <w:tc>
          <w:tcPr>
            <w:tcW w:w="730" w:type="dxa"/>
            <w:vAlign w:val="top"/>
          </w:tcPr>
          <w:p w14:paraId="51E1EFCB">
            <w:pPr>
              <w:pStyle w:val="6"/>
              <w:spacing w:before="93" w:line="220" w:lineRule="auto"/>
              <w:ind w:left="189"/>
              <w:rPr>
                <w:sz w:val="18"/>
                <w:szCs w:val="18"/>
              </w:rPr>
            </w:pPr>
            <w:r>
              <w:rPr>
                <w:spacing w:val="-4"/>
                <w:sz w:val="18"/>
                <w:szCs w:val="18"/>
              </w:rPr>
              <w:t>连续</w:t>
            </w:r>
          </w:p>
        </w:tc>
        <w:tc>
          <w:tcPr>
            <w:tcW w:w="1412" w:type="dxa"/>
            <w:vAlign w:val="top"/>
          </w:tcPr>
          <w:p w14:paraId="4DBF30FB">
            <w:pPr>
              <w:pStyle w:val="6"/>
              <w:spacing w:before="93" w:line="219" w:lineRule="auto"/>
              <w:ind w:left="259"/>
              <w:rPr>
                <w:sz w:val="18"/>
                <w:szCs w:val="18"/>
              </w:rPr>
            </w:pPr>
            <w:r>
              <w:rPr>
                <w:spacing w:val="-2"/>
                <w:sz w:val="18"/>
                <w:szCs w:val="18"/>
              </w:rPr>
              <w:t>产污系数法</w:t>
            </w:r>
          </w:p>
        </w:tc>
        <w:tc>
          <w:tcPr>
            <w:tcW w:w="1209" w:type="dxa"/>
            <w:vAlign w:val="top"/>
          </w:tcPr>
          <w:p w14:paraId="667C15BC">
            <w:pPr>
              <w:spacing w:before="122" w:line="188"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15000</w:t>
            </w:r>
          </w:p>
        </w:tc>
        <w:tc>
          <w:tcPr>
            <w:tcW w:w="1740" w:type="dxa"/>
            <w:vAlign w:val="top"/>
          </w:tcPr>
          <w:p w14:paraId="3FDF1465">
            <w:pPr>
              <w:pStyle w:val="6"/>
              <w:spacing w:before="93" w:line="220" w:lineRule="auto"/>
              <w:ind w:left="604"/>
              <w:rPr>
                <w:sz w:val="18"/>
                <w:szCs w:val="18"/>
              </w:rPr>
            </w:pPr>
            <w:r>
              <w:rPr>
                <w:spacing w:val="-3"/>
                <w:sz w:val="18"/>
                <w:szCs w:val="18"/>
              </w:rPr>
              <w:t>颗粒物</w:t>
            </w:r>
          </w:p>
        </w:tc>
        <w:tc>
          <w:tcPr>
            <w:tcW w:w="989" w:type="dxa"/>
            <w:vAlign w:val="top"/>
          </w:tcPr>
          <w:p w14:paraId="52D3676D">
            <w:pPr>
              <w:spacing w:before="122" w:line="188" w:lineRule="auto"/>
              <w:ind w:left="22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1030.62</w:t>
            </w:r>
          </w:p>
        </w:tc>
        <w:tc>
          <w:tcPr>
            <w:tcW w:w="993" w:type="dxa"/>
            <w:vAlign w:val="top"/>
          </w:tcPr>
          <w:p w14:paraId="6627FAAB">
            <w:pPr>
              <w:spacing w:before="136" w:line="188" w:lineRule="auto"/>
              <w:ind w:left="31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10.31</w:t>
            </w:r>
          </w:p>
        </w:tc>
        <w:tc>
          <w:tcPr>
            <w:tcW w:w="1131" w:type="dxa"/>
            <w:vAlign w:val="top"/>
          </w:tcPr>
          <w:p w14:paraId="3378A2A5">
            <w:pPr>
              <w:spacing w:before="136" w:line="188" w:lineRule="auto"/>
              <w:ind w:left="372"/>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82.45</w:t>
            </w:r>
          </w:p>
        </w:tc>
        <w:tc>
          <w:tcPr>
            <w:tcW w:w="1313" w:type="dxa"/>
            <w:vAlign w:val="top"/>
          </w:tcPr>
          <w:p w14:paraId="102BBA4D">
            <w:pPr>
              <w:pStyle w:val="6"/>
              <w:spacing w:before="93" w:line="219" w:lineRule="auto"/>
              <w:ind w:left="211"/>
              <w:rPr>
                <w:sz w:val="18"/>
                <w:szCs w:val="18"/>
              </w:rPr>
            </w:pPr>
            <w:r>
              <w:rPr>
                <w:spacing w:val="-2"/>
                <w:sz w:val="18"/>
                <w:szCs w:val="18"/>
              </w:rPr>
              <w:t>布袋除尘器</w:t>
            </w:r>
          </w:p>
        </w:tc>
        <w:tc>
          <w:tcPr>
            <w:tcW w:w="1058" w:type="dxa"/>
            <w:vAlign w:val="top"/>
          </w:tcPr>
          <w:p w14:paraId="00FD0621">
            <w:pPr>
              <w:pStyle w:val="6"/>
              <w:spacing w:before="93" w:line="219" w:lineRule="auto"/>
              <w:ind w:left="250"/>
              <w:rPr>
                <w:rFonts w:ascii="Times New Roman" w:hAnsi="Times New Roman" w:eastAsia="Times New Roman" w:cs="Times New Roman"/>
                <w:sz w:val="18"/>
                <w:szCs w:val="18"/>
              </w:rPr>
            </w:pPr>
            <w:r>
              <w:rPr>
                <w:spacing w:val="-6"/>
                <w:sz w:val="18"/>
                <w:szCs w:val="18"/>
              </w:rPr>
              <w:t>除尘</w:t>
            </w:r>
            <w:r>
              <w:rPr>
                <w:spacing w:val="-38"/>
                <w:sz w:val="18"/>
                <w:szCs w:val="18"/>
              </w:rPr>
              <w:t xml:space="preserve"> </w:t>
            </w:r>
            <w:r>
              <w:rPr>
                <w:rFonts w:ascii="Times New Roman" w:hAnsi="Times New Roman" w:eastAsia="Times New Roman" w:cs="Times New Roman"/>
                <w:spacing w:val="-6"/>
                <w:sz w:val="18"/>
                <w:szCs w:val="18"/>
              </w:rPr>
              <w:t>99</w:t>
            </w:r>
          </w:p>
        </w:tc>
        <w:tc>
          <w:tcPr>
            <w:tcW w:w="980" w:type="dxa"/>
            <w:vAlign w:val="top"/>
          </w:tcPr>
          <w:p w14:paraId="2F8DB680">
            <w:pPr>
              <w:spacing w:before="119"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0FB9D820">
            <w:pPr>
              <w:spacing w:before="119" w:line="192" w:lineRule="auto"/>
              <w:ind w:left="463"/>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61" w:type="dxa"/>
            <w:vAlign w:val="top"/>
          </w:tcPr>
          <w:p w14:paraId="3BAA84A4">
            <w:pPr>
              <w:spacing w:before="119" w:line="192" w:lineRule="auto"/>
              <w:ind w:left="30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36" w:type="dxa"/>
            <w:vAlign w:val="top"/>
          </w:tcPr>
          <w:p w14:paraId="0C94D404">
            <w:pPr>
              <w:spacing w:before="119" w:line="192" w:lineRule="auto"/>
              <w:ind w:left="49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39" w:type="dxa"/>
            <w:vMerge w:val="continue"/>
            <w:tcBorders>
              <w:top w:val="nil"/>
            </w:tcBorders>
            <w:vAlign w:val="top"/>
          </w:tcPr>
          <w:p w14:paraId="1BAEF5D7">
            <w:pPr>
              <w:rPr>
                <w:rFonts w:ascii="Arial"/>
                <w:sz w:val="21"/>
              </w:rPr>
            </w:pPr>
          </w:p>
        </w:tc>
        <w:tc>
          <w:tcPr>
            <w:tcW w:w="812" w:type="dxa"/>
            <w:vMerge w:val="continue"/>
            <w:tcBorders>
              <w:top w:val="nil"/>
            </w:tcBorders>
            <w:vAlign w:val="top"/>
          </w:tcPr>
          <w:p w14:paraId="1847E611">
            <w:pPr>
              <w:rPr>
                <w:rFonts w:ascii="Arial"/>
                <w:sz w:val="21"/>
              </w:rPr>
            </w:pPr>
          </w:p>
        </w:tc>
        <w:tc>
          <w:tcPr>
            <w:tcW w:w="799" w:type="dxa"/>
            <w:vMerge w:val="continue"/>
            <w:tcBorders>
              <w:top w:val="nil"/>
            </w:tcBorders>
            <w:vAlign w:val="top"/>
          </w:tcPr>
          <w:p w14:paraId="5767F665">
            <w:pPr>
              <w:rPr>
                <w:rFonts w:ascii="Arial"/>
                <w:sz w:val="21"/>
              </w:rPr>
            </w:pPr>
          </w:p>
        </w:tc>
        <w:tc>
          <w:tcPr>
            <w:tcW w:w="1196" w:type="dxa"/>
            <w:vMerge w:val="continue"/>
            <w:tcBorders>
              <w:top w:val="nil"/>
              <w:right w:val="nil"/>
            </w:tcBorders>
            <w:vAlign w:val="top"/>
          </w:tcPr>
          <w:p w14:paraId="6B5C12AA">
            <w:pPr>
              <w:rPr>
                <w:rFonts w:ascii="Arial"/>
                <w:sz w:val="21"/>
              </w:rPr>
            </w:pPr>
          </w:p>
        </w:tc>
      </w:tr>
      <w:tr w14:paraId="7753C1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808" w:type="dxa"/>
            <w:vMerge w:val="restart"/>
            <w:tcBorders>
              <w:left w:val="nil"/>
              <w:bottom w:val="nil"/>
            </w:tcBorders>
            <w:vAlign w:val="top"/>
          </w:tcPr>
          <w:p w14:paraId="3789C1A6">
            <w:pPr>
              <w:spacing w:line="421" w:lineRule="auto"/>
              <w:rPr>
                <w:rFonts w:ascii="Arial"/>
                <w:sz w:val="21"/>
              </w:rPr>
            </w:pPr>
          </w:p>
          <w:p w14:paraId="6BAAE104">
            <w:pPr>
              <w:spacing w:before="52" w:line="204" w:lineRule="auto"/>
              <w:ind w:left="267"/>
              <w:rPr>
                <w:rFonts w:ascii="Times New Roman" w:hAnsi="Times New Roman" w:eastAsia="Times New Roman" w:cs="Times New Roman"/>
                <w:sz w:val="11"/>
                <w:szCs w:val="11"/>
              </w:rPr>
            </w:pPr>
            <w:r>
              <w:rPr>
                <w:rFonts w:ascii="Times New Roman" w:hAnsi="Times New Roman" w:eastAsia="Times New Roman" w:cs="Times New Roman"/>
                <w:sz w:val="18"/>
                <w:szCs w:val="18"/>
              </w:rPr>
              <w:t>G</w:t>
            </w:r>
            <w:r>
              <w:rPr>
                <w:rFonts w:ascii="Times New Roman" w:hAnsi="Times New Roman" w:eastAsia="Times New Roman" w:cs="Times New Roman"/>
                <w:sz w:val="11"/>
                <w:szCs w:val="11"/>
              </w:rPr>
              <w:t>1-3</w:t>
            </w:r>
          </w:p>
        </w:tc>
        <w:tc>
          <w:tcPr>
            <w:tcW w:w="2010" w:type="dxa"/>
            <w:vMerge w:val="restart"/>
            <w:tcBorders>
              <w:bottom w:val="nil"/>
            </w:tcBorders>
            <w:vAlign w:val="top"/>
          </w:tcPr>
          <w:p w14:paraId="57280514">
            <w:pPr>
              <w:spacing w:line="384" w:lineRule="auto"/>
              <w:rPr>
                <w:rFonts w:ascii="Arial"/>
                <w:sz w:val="21"/>
              </w:rPr>
            </w:pPr>
          </w:p>
          <w:p w14:paraId="2B7D98CB">
            <w:pPr>
              <w:pStyle w:val="6"/>
              <w:spacing w:before="59" w:line="219" w:lineRule="auto"/>
              <w:ind w:left="199"/>
              <w:rPr>
                <w:sz w:val="18"/>
                <w:szCs w:val="18"/>
              </w:rPr>
            </w:pPr>
            <w:r>
              <w:rPr>
                <w:spacing w:val="-1"/>
                <w:sz w:val="18"/>
                <w:szCs w:val="18"/>
              </w:rPr>
              <w:t>锰矿石烘干筛分废气</w:t>
            </w:r>
          </w:p>
        </w:tc>
        <w:tc>
          <w:tcPr>
            <w:tcW w:w="1080" w:type="dxa"/>
            <w:vMerge w:val="restart"/>
            <w:tcBorders>
              <w:bottom w:val="nil"/>
            </w:tcBorders>
            <w:vAlign w:val="top"/>
          </w:tcPr>
          <w:p w14:paraId="0CC9A46A">
            <w:pPr>
              <w:spacing w:line="384" w:lineRule="auto"/>
              <w:rPr>
                <w:rFonts w:ascii="Arial"/>
                <w:sz w:val="21"/>
              </w:rPr>
            </w:pPr>
          </w:p>
          <w:p w14:paraId="17D3D5CF">
            <w:pPr>
              <w:pStyle w:val="6"/>
              <w:spacing w:before="59" w:line="220" w:lineRule="auto"/>
              <w:ind w:left="275"/>
              <w:rPr>
                <w:sz w:val="18"/>
                <w:szCs w:val="18"/>
              </w:rPr>
            </w:pPr>
            <w:r>
              <w:rPr>
                <w:spacing w:val="-3"/>
                <w:sz w:val="18"/>
                <w:szCs w:val="18"/>
              </w:rPr>
              <w:t>有组织</w:t>
            </w:r>
          </w:p>
        </w:tc>
        <w:tc>
          <w:tcPr>
            <w:tcW w:w="730" w:type="dxa"/>
            <w:vMerge w:val="restart"/>
            <w:tcBorders>
              <w:bottom w:val="nil"/>
            </w:tcBorders>
            <w:vAlign w:val="top"/>
          </w:tcPr>
          <w:p w14:paraId="53C73796">
            <w:pPr>
              <w:spacing w:line="384" w:lineRule="auto"/>
              <w:rPr>
                <w:rFonts w:ascii="Arial"/>
                <w:sz w:val="21"/>
              </w:rPr>
            </w:pPr>
          </w:p>
          <w:p w14:paraId="01966DEA">
            <w:pPr>
              <w:pStyle w:val="6"/>
              <w:spacing w:before="59" w:line="220" w:lineRule="auto"/>
              <w:ind w:left="189"/>
              <w:rPr>
                <w:sz w:val="18"/>
                <w:szCs w:val="18"/>
              </w:rPr>
            </w:pPr>
            <w:r>
              <w:rPr>
                <w:spacing w:val="-4"/>
                <w:sz w:val="18"/>
                <w:szCs w:val="18"/>
              </w:rPr>
              <w:t>连续</w:t>
            </w:r>
          </w:p>
        </w:tc>
        <w:tc>
          <w:tcPr>
            <w:tcW w:w="1412" w:type="dxa"/>
            <w:vMerge w:val="restart"/>
            <w:tcBorders>
              <w:bottom w:val="nil"/>
            </w:tcBorders>
            <w:vAlign w:val="top"/>
          </w:tcPr>
          <w:p w14:paraId="6F2A182C">
            <w:pPr>
              <w:spacing w:line="385" w:lineRule="auto"/>
              <w:rPr>
                <w:rFonts w:ascii="Arial"/>
                <w:sz w:val="21"/>
              </w:rPr>
            </w:pPr>
          </w:p>
          <w:p w14:paraId="558B4E36">
            <w:pPr>
              <w:pStyle w:val="6"/>
              <w:spacing w:before="58" w:line="219" w:lineRule="auto"/>
              <w:ind w:left="259"/>
              <w:rPr>
                <w:sz w:val="18"/>
                <w:szCs w:val="18"/>
              </w:rPr>
            </w:pPr>
            <w:r>
              <w:rPr>
                <w:spacing w:val="-2"/>
                <w:sz w:val="18"/>
                <w:szCs w:val="18"/>
              </w:rPr>
              <w:t>产污系数法</w:t>
            </w:r>
          </w:p>
        </w:tc>
        <w:tc>
          <w:tcPr>
            <w:tcW w:w="1209" w:type="dxa"/>
            <w:vMerge w:val="restart"/>
            <w:tcBorders>
              <w:bottom w:val="nil"/>
            </w:tcBorders>
            <w:vAlign w:val="top"/>
          </w:tcPr>
          <w:p w14:paraId="64CAD8B1">
            <w:pPr>
              <w:spacing w:line="422" w:lineRule="auto"/>
              <w:rPr>
                <w:rFonts w:ascii="Arial"/>
                <w:sz w:val="21"/>
              </w:rPr>
            </w:pPr>
          </w:p>
          <w:p w14:paraId="3C697110">
            <w:pPr>
              <w:spacing w:before="52"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200000</w:t>
            </w:r>
          </w:p>
        </w:tc>
        <w:tc>
          <w:tcPr>
            <w:tcW w:w="1740" w:type="dxa"/>
            <w:vAlign w:val="top"/>
          </w:tcPr>
          <w:p w14:paraId="4F4566E4">
            <w:pPr>
              <w:pStyle w:val="6"/>
              <w:spacing w:before="95" w:line="220" w:lineRule="auto"/>
              <w:ind w:left="604"/>
              <w:rPr>
                <w:sz w:val="18"/>
                <w:szCs w:val="18"/>
              </w:rPr>
            </w:pPr>
            <w:r>
              <w:rPr>
                <w:spacing w:val="-3"/>
                <w:sz w:val="18"/>
                <w:szCs w:val="18"/>
              </w:rPr>
              <w:t>颗粒物</w:t>
            </w:r>
          </w:p>
        </w:tc>
        <w:tc>
          <w:tcPr>
            <w:tcW w:w="989" w:type="dxa"/>
            <w:vAlign w:val="top"/>
          </w:tcPr>
          <w:p w14:paraId="70E5B932">
            <w:pPr>
              <w:spacing w:before="124" w:line="188" w:lineRule="auto"/>
              <w:ind w:left="22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1546.85</w:t>
            </w:r>
          </w:p>
        </w:tc>
        <w:tc>
          <w:tcPr>
            <w:tcW w:w="993" w:type="dxa"/>
            <w:vAlign w:val="top"/>
          </w:tcPr>
          <w:p w14:paraId="4D046B11">
            <w:pPr>
              <w:spacing w:before="138" w:line="188" w:lineRule="auto"/>
              <w:ind w:left="25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309.37</w:t>
            </w:r>
          </w:p>
        </w:tc>
        <w:tc>
          <w:tcPr>
            <w:tcW w:w="1131" w:type="dxa"/>
            <w:vAlign w:val="top"/>
          </w:tcPr>
          <w:p w14:paraId="496E57C7">
            <w:pPr>
              <w:spacing w:before="138" w:line="188" w:lineRule="auto"/>
              <w:ind w:left="27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2474.95</w:t>
            </w:r>
          </w:p>
        </w:tc>
        <w:tc>
          <w:tcPr>
            <w:tcW w:w="1313" w:type="dxa"/>
            <w:vMerge w:val="restart"/>
            <w:tcBorders>
              <w:bottom w:val="nil"/>
            </w:tcBorders>
            <w:vAlign w:val="top"/>
          </w:tcPr>
          <w:p w14:paraId="2D86F5AB">
            <w:pPr>
              <w:spacing w:line="384" w:lineRule="auto"/>
              <w:rPr>
                <w:rFonts w:ascii="Arial"/>
                <w:sz w:val="21"/>
              </w:rPr>
            </w:pPr>
          </w:p>
          <w:p w14:paraId="31136A0C">
            <w:pPr>
              <w:pStyle w:val="6"/>
              <w:spacing w:before="59" w:line="219" w:lineRule="auto"/>
              <w:ind w:left="211"/>
              <w:rPr>
                <w:sz w:val="18"/>
                <w:szCs w:val="18"/>
              </w:rPr>
            </w:pPr>
            <w:r>
              <w:rPr>
                <w:spacing w:val="-2"/>
                <w:sz w:val="18"/>
                <w:szCs w:val="18"/>
              </w:rPr>
              <w:t>布袋除尘器</w:t>
            </w:r>
          </w:p>
        </w:tc>
        <w:tc>
          <w:tcPr>
            <w:tcW w:w="1058" w:type="dxa"/>
            <w:vAlign w:val="top"/>
          </w:tcPr>
          <w:p w14:paraId="366F2093">
            <w:pPr>
              <w:pStyle w:val="6"/>
              <w:spacing w:before="95" w:line="219" w:lineRule="auto"/>
              <w:ind w:left="250"/>
              <w:rPr>
                <w:rFonts w:ascii="Times New Roman" w:hAnsi="Times New Roman" w:eastAsia="Times New Roman" w:cs="Times New Roman"/>
                <w:sz w:val="18"/>
                <w:szCs w:val="18"/>
              </w:rPr>
            </w:pPr>
            <w:r>
              <w:rPr>
                <w:spacing w:val="-6"/>
                <w:sz w:val="18"/>
                <w:szCs w:val="18"/>
              </w:rPr>
              <w:t>除尘</w:t>
            </w:r>
            <w:r>
              <w:rPr>
                <w:spacing w:val="-38"/>
                <w:sz w:val="18"/>
                <w:szCs w:val="18"/>
              </w:rPr>
              <w:t xml:space="preserve"> </w:t>
            </w:r>
            <w:r>
              <w:rPr>
                <w:rFonts w:ascii="Times New Roman" w:hAnsi="Times New Roman" w:eastAsia="Times New Roman" w:cs="Times New Roman"/>
                <w:spacing w:val="-6"/>
                <w:sz w:val="18"/>
                <w:szCs w:val="18"/>
              </w:rPr>
              <w:t>99</w:t>
            </w:r>
          </w:p>
        </w:tc>
        <w:tc>
          <w:tcPr>
            <w:tcW w:w="980" w:type="dxa"/>
            <w:vAlign w:val="top"/>
          </w:tcPr>
          <w:p w14:paraId="11396F46">
            <w:pPr>
              <w:spacing w:before="124" w:line="188" w:lineRule="auto"/>
              <w:ind w:left="30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15.17</w:t>
            </w:r>
          </w:p>
        </w:tc>
        <w:tc>
          <w:tcPr>
            <w:tcW w:w="980" w:type="dxa"/>
            <w:vAlign w:val="top"/>
          </w:tcPr>
          <w:p w14:paraId="1727B415">
            <w:pPr>
              <w:spacing w:before="124" w:line="188" w:lineRule="auto"/>
              <w:ind w:left="336"/>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3.</w:t>
            </w:r>
            <w:r>
              <w:rPr>
                <w:rFonts w:ascii="Times New Roman" w:hAnsi="Times New Roman" w:eastAsia="Times New Roman" w:cs="Times New Roman"/>
                <w:spacing w:val="-24"/>
                <w:sz w:val="18"/>
                <w:szCs w:val="18"/>
              </w:rPr>
              <w:t xml:space="preserve"> </w:t>
            </w:r>
            <w:r>
              <w:rPr>
                <w:rFonts w:ascii="Times New Roman" w:hAnsi="Times New Roman" w:eastAsia="Times New Roman" w:cs="Times New Roman"/>
                <w:spacing w:val="-7"/>
                <w:sz w:val="18"/>
                <w:szCs w:val="18"/>
              </w:rPr>
              <w:t>11</w:t>
            </w:r>
          </w:p>
        </w:tc>
        <w:tc>
          <w:tcPr>
            <w:tcW w:w="661" w:type="dxa"/>
            <w:vMerge w:val="restart"/>
            <w:tcBorders>
              <w:bottom w:val="nil"/>
            </w:tcBorders>
            <w:vAlign w:val="top"/>
          </w:tcPr>
          <w:p w14:paraId="7DABA188">
            <w:pPr>
              <w:spacing w:line="422" w:lineRule="auto"/>
              <w:rPr>
                <w:rFonts w:ascii="Arial"/>
                <w:sz w:val="21"/>
              </w:rPr>
            </w:pPr>
          </w:p>
          <w:p w14:paraId="003EC143">
            <w:pPr>
              <w:spacing w:before="52"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46423331">
            <w:pPr>
              <w:spacing w:before="124" w:line="188" w:lineRule="auto"/>
              <w:ind w:left="31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24.88</w:t>
            </w:r>
          </w:p>
        </w:tc>
        <w:tc>
          <w:tcPr>
            <w:tcW w:w="639" w:type="dxa"/>
            <w:vMerge w:val="restart"/>
            <w:tcBorders>
              <w:bottom w:val="nil"/>
            </w:tcBorders>
            <w:vAlign w:val="top"/>
          </w:tcPr>
          <w:p w14:paraId="7E3A0A0D">
            <w:pPr>
              <w:spacing w:line="298" w:lineRule="auto"/>
              <w:rPr>
                <w:rFonts w:ascii="Arial"/>
                <w:sz w:val="21"/>
              </w:rPr>
            </w:pPr>
          </w:p>
          <w:p w14:paraId="18678D2E">
            <w:pPr>
              <w:spacing w:line="298" w:lineRule="auto"/>
              <w:rPr>
                <w:rFonts w:ascii="Arial"/>
                <w:sz w:val="21"/>
              </w:rPr>
            </w:pPr>
          </w:p>
          <w:p w14:paraId="7BF46E13">
            <w:pPr>
              <w:spacing w:before="52" w:line="188" w:lineRule="auto"/>
              <w:ind w:left="23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812" w:type="dxa"/>
            <w:vMerge w:val="restart"/>
            <w:tcBorders>
              <w:bottom w:val="nil"/>
            </w:tcBorders>
            <w:vAlign w:val="top"/>
          </w:tcPr>
          <w:p w14:paraId="120642E0">
            <w:pPr>
              <w:spacing w:line="298" w:lineRule="auto"/>
              <w:rPr>
                <w:rFonts w:ascii="Arial"/>
                <w:sz w:val="21"/>
              </w:rPr>
            </w:pPr>
          </w:p>
          <w:p w14:paraId="26898AB3">
            <w:pPr>
              <w:spacing w:line="298" w:lineRule="auto"/>
              <w:rPr>
                <w:rFonts w:ascii="Arial"/>
                <w:sz w:val="21"/>
              </w:rPr>
            </w:pPr>
          </w:p>
          <w:p w14:paraId="52A7455D">
            <w:pPr>
              <w:spacing w:before="52" w:line="188" w:lineRule="auto"/>
              <w:ind w:left="29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w:t>
            </w:r>
          </w:p>
        </w:tc>
        <w:tc>
          <w:tcPr>
            <w:tcW w:w="799" w:type="dxa"/>
            <w:vMerge w:val="restart"/>
            <w:tcBorders>
              <w:bottom w:val="nil"/>
            </w:tcBorders>
            <w:vAlign w:val="top"/>
          </w:tcPr>
          <w:p w14:paraId="0836A984">
            <w:pPr>
              <w:spacing w:line="298" w:lineRule="auto"/>
              <w:rPr>
                <w:rFonts w:ascii="Arial"/>
                <w:sz w:val="21"/>
              </w:rPr>
            </w:pPr>
          </w:p>
          <w:p w14:paraId="2228CA69">
            <w:pPr>
              <w:spacing w:line="298" w:lineRule="auto"/>
              <w:rPr>
                <w:rFonts w:ascii="Arial"/>
                <w:sz w:val="21"/>
              </w:rPr>
            </w:pPr>
          </w:p>
          <w:p w14:paraId="6CEB7C6B">
            <w:pPr>
              <w:spacing w:before="52" w:line="188" w:lineRule="auto"/>
              <w:ind w:left="28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1196" w:type="dxa"/>
            <w:vMerge w:val="restart"/>
            <w:tcBorders>
              <w:bottom w:val="nil"/>
              <w:right w:val="nil"/>
            </w:tcBorders>
            <w:vAlign w:val="top"/>
          </w:tcPr>
          <w:p w14:paraId="3F31035C">
            <w:pPr>
              <w:spacing w:line="298" w:lineRule="auto"/>
              <w:rPr>
                <w:rFonts w:ascii="Arial"/>
                <w:sz w:val="21"/>
              </w:rPr>
            </w:pPr>
          </w:p>
          <w:p w14:paraId="05FF0FA9">
            <w:pPr>
              <w:spacing w:line="298" w:lineRule="auto"/>
              <w:rPr>
                <w:rFonts w:ascii="Arial"/>
                <w:sz w:val="21"/>
              </w:rPr>
            </w:pPr>
          </w:p>
          <w:p w14:paraId="71BA891E">
            <w:pPr>
              <w:spacing w:before="52" w:line="188" w:lineRule="auto"/>
              <w:ind w:left="33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DA002</w:t>
            </w:r>
          </w:p>
        </w:tc>
      </w:tr>
      <w:tr w14:paraId="13CECF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808" w:type="dxa"/>
            <w:vMerge w:val="continue"/>
            <w:tcBorders>
              <w:top w:val="nil"/>
              <w:left w:val="nil"/>
              <w:bottom w:val="nil"/>
            </w:tcBorders>
            <w:vAlign w:val="top"/>
          </w:tcPr>
          <w:p w14:paraId="4E68A16F">
            <w:pPr>
              <w:rPr>
                <w:rFonts w:ascii="Arial"/>
                <w:sz w:val="21"/>
              </w:rPr>
            </w:pPr>
          </w:p>
        </w:tc>
        <w:tc>
          <w:tcPr>
            <w:tcW w:w="2010" w:type="dxa"/>
            <w:vMerge w:val="continue"/>
            <w:tcBorders>
              <w:top w:val="nil"/>
              <w:bottom w:val="nil"/>
            </w:tcBorders>
            <w:vAlign w:val="top"/>
          </w:tcPr>
          <w:p w14:paraId="4A877339">
            <w:pPr>
              <w:rPr>
                <w:rFonts w:ascii="Arial"/>
                <w:sz w:val="21"/>
              </w:rPr>
            </w:pPr>
          </w:p>
        </w:tc>
        <w:tc>
          <w:tcPr>
            <w:tcW w:w="1080" w:type="dxa"/>
            <w:vMerge w:val="continue"/>
            <w:tcBorders>
              <w:top w:val="nil"/>
              <w:bottom w:val="nil"/>
            </w:tcBorders>
            <w:vAlign w:val="top"/>
          </w:tcPr>
          <w:p w14:paraId="520DD613">
            <w:pPr>
              <w:rPr>
                <w:rFonts w:ascii="Arial"/>
                <w:sz w:val="21"/>
              </w:rPr>
            </w:pPr>
          </w:p>
        </w:tc>
        <w:tc>
          <w:tcPr>
            <w:tcW w:w="730" w:type="dxa"/>
            <w:vMerge w:val="continue"/>
            <w:tcBorders>
              <w:top w:val="nil"/>
              <w:bottom w:val="nil"/>
            </w:tcBorders>
            <w:vAlign w:val="top"/>
          </w:tcPr>
          <w:p w14:paraId="5BFBB285">
            <w:pPr>
              <w:rPr>
                <w:rFonts w:ascii="Arial"/>
                <w:sz w:val="21"/>
              </w:rPr>
            </w:pPr>
          </w:p>
        </w:tc>
        <w:tc>
          <w:tcPr>
            <w:tcW w:w="1412" w:type="dxa"/>
            <w:vMerge w:val="continue"/>
            <w:tcBorders>
              <w:top w:val="nil"/>
              <w:bottom w:val="nil"/>
            </w:tcBorders>
            <w:vAlign w:val="top"/>
          </w:tcPr>
          <w:p w14:paraId="45EDEE50">
            <w:pPr>
              <w:rPr>
                <w:rFonts w:ascii="Arial"/>
                <w:sz w:val="21"/>
              </w:rPr>
            </w:pPr>
          </w:p>
        </w:tc>
        <w:tc>
          <w:tcPr>
            <w:tcW w:w="1209" w:type="dxa"/>
            <w:vMerge w:val="continue"/>
            <w:tcBorders>
              <w:top w:val="nil"/>
              <w:bottom w:val="nil"/>
            </w:tcBorders>
            <w:vAlign w:val="top"/>
          </w:tcPr>
          <w:p w14:paraId="37282385">
            <w:pPr>
              <w:rPr>
                <w:rFonts w:ascii="Arial"/>
                <w:sz w:val="21"/>
              </w:rPr>
            </w:pPr>
          </w:p>
        </w:tc>
        <w:tc>
          <w:tcPr>
            <w:tcW w:w="1740" w:type="dxa"/>
            <w:vAlign w:val="top"/>
          </w:tcPr>
          <w:p w14:paraId="1F81DBD2">
            <w:pPr>
              <w:spacing w:before="124" w:line="194" w:lineRule="auto"/>
              <w:ind w:left="734"/>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tc>
        <w:tc>
          <w:tcPr>
            <w:tcW w:w="989" w:type="dxa"/>
            <w:vAlign w:val="top"/>
          </w:tcPr>
          <w:p w14:paraId="1D8CC589">
            <w:pPr>
              <w:spacing w:before="125" w:line="188" w:lineRule="auto"/>
              <w:ind w:left="33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2.95</w:t>
            </w:r>
          </w:p>
        </w:tc>
        <w:tc>
          <w:tcPr>
            <w:tcW w:w="993" w:type="dxa"/>
            <w:vAlign w:val="top"/>
          </w:tcPr>
          <w:p w14:paraId="3B3289D1">
            <w:pPr>
              <w:spacing w:before="137"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0.59</w:t>
            </w:r>
          </w:p>
        </w:tc>
        <w:tc>
          <w:tcPr>
            <w:tcW w:w="1131" w:type="dxa"/>
            <w:vAlign w:val="top"/>
          </w:tcPr>
          <w:p w14:paraId="4E0111C6">
            <w:pPr>
              <w:spacing w:before="137" w:line="188" w:lineRule="auto"/>
              <w:ind w:left="40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4.71</w:t>
            </w:r>
          </w:p>
        </w:tc>
        <w:tc>
          <w:tcPr>
            <w:tcW w:w="1313" w:type="dxa"/>
            <w:vMerge w:val="continue"/>
            <w:tcBorders>
              <w:top w:val="nil"/>
              <w:bottom w:val="nil"/>
            </w:tcBorders>
            <w:vAlign w:val="top"/>
          </w:tcPr>
          <w:p w14:paraId="20D5FFFE">
            <w:pPr>
              <w:rPr>
                <w:rFonts w:ascii="Arial"/>
                <w:sz w:val="21"/>
              </w:rPr>
            </w:pPr>
          </w:p>
        </w:tc>
        <w:tc>
          <w:tcPr>
            <w:tcW w:w="1058" w:type="dxa"/>
            <w:vAlign w:val="top"/>
          </w:tcPr>
          <w:p w14:paraId="50A544D6">
            <w:pPr>
              <w:spacing w:before="121"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4A0010F5">
            <w:pPr>
              <w:spacing w:before="125" w:line="188" w:lineRule="auto"/>
              <w:ind w:left="33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2.88</w:t>
            </w:r>
          </w:p>
        </w:tc>
        <w:tc>
          <w:tcPr>
            <w:tcW w:w="980" w:type="dxa"/>
            <w:vAlign w:val="top"/>
          </w:tcPr>
          <w:p w14:paraId="005BE3AB">
            <w:pPr>
              <w:spacing w:before="137"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0.59</w:t>
            </w:r>
          </w:p>
        </w:tc>
        <w:tc>
          <w:tcPr>
            <w:tcW w:w="661" w:type="dxa"/>
            <w:vMerge w:val="continue"/>
            <w:tcBorders>
              <w:top w:val="nil"/>
              <w:bottom w:val="nil"/>
            </w:tcBorders>
            <w:vAlign w:val="top"/>
          </w:tcPr>
          <w:p w14:paraId="7078F4E8">
            <w:pPr>
              <w:rPr>
                <w:rFonts w:ascii="Arial"/>
                <w:sz w:val="21"/>
              </w:rPr>
            </w:pPr>
          </w:p>
        </w:tc>
        <w:tc>
          <w:tcPr>
            <w:tcW w:w="1036" w:type="dxa"/>
            <w:vAlign w:val="top"/>
          </w:tcPr>
          <w:p w14:paraId="2B9C481B">
            <w:pPr>
              <w:spacing w:before="137" w:line="188" w:lineRule="auto"/>
              <w:ind w:left="36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4.71</w:t>
            </w:r>
          </w:p>
        </w:tc>
        <w:tc>
          <w:tcPr>
            <w:tcW w:w="639" w:type="dxa"/>
            <w:vMerge w:val="continue"/>
            <w:tcBorders>
              <w:top w:val="nil"/>
              <w:bottom w:val="nil"/>
            </w:tcBorders>
            <w:vAlign w:val="top"/>
          </w:tcPr>
          <w:p w14:paraId="32F9C458">
            <w:pPr>
              <w:rPr>
                <w:rFonts w:ascii="Arial"/>
                <w:sz w:val="21"/>
              </w:rPr>
            </w:pPr>
          </w:p>
        </w:tc>
        <w:tc>
          <w:tcPr>
            <w:tcW w:w="812" w:type="dxa"/>
            <w:vMerge w:val="continue"/>
            <w:tcBorders>
              <w:top w:val="nil"/>
              <w:bottom w:val="nil"/>
            </w:tcBorders>
            <w:vAlign w:val="top"/>
          </w:tcPr>
          <w:p w14:paraId="5EB81734">
            <w:pPr>
              <w:rPr>
                <w:rFonts w:ascii="Arial"/>
                <w:sz w:val="21"/>
              </w:rPr>
            </w:pPr>
          </w:p>
        </w:tc>
        <w:tc>
          <w:tcPr>
            <w:tcW w:w="799" w:type="dxa"/>
            <w:vMerge w:val="continue"/>
            <w:tcBorders>
              <w:top w:val="nil"/>
              <w:bottom w:val="nil"/>
            </w:tcBorders>
            <w:vAlign w:val="top"/>
          </w:tcPr>
          <w:p w14:paraId="308A362C">
            <w:pPr>
              <w:rPr>
                <w:rFonts w:ascii="Arial"/>
                <w:sz w:val="21"/>
              </w:rPr>
            </w:pPr>
          </w:p>
        </w:tc>
        <w:tc>
          <w:tcPr>
            <w:tcW w:w="1196" w:type="dxa"/>
            <w:vMerge w:val="continue"/>
            <w:tcBorders>
              <w:top w:val="nil"/>
              <w:bottom w:val="nil"/>
              <w:right w:val="nil"/>
            </w:tcBorders>
            <w:vAlign w:val="top"/>
          </w:tcPr>
          <w:p w14:paraId="1D93D1D4">
            <w:pPr>
              <w:rPr>
                <w:rFonts w:ascii="Arial"/>
                <w:sz w:val="21"/>
              </w:rPr>
            </w:pPr>
          </w:p>
        </w:tc>
      </w:tr>
      <w:tr w14:paraId="0510C6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tcBorders>
            <w:vAlign w:val="top"/>
          </w:tcPr>
          <w:p w14:paraId="5F3EFDD9">
            <w:pPr>
              <w:rPr>
                <w:rFonts w:ascii="Arial"/>
                <w:sz w:val="21"/>
              </w:rPr>
            </w:pPr>
          </w:p>
        </w:tc>
        <w:tc>
          <w:tcPr>
            <w:tcW w:w="2010" w:type="dxa"/>
            <w:vMerge w:val="continue"/>
            <w:tcBorders>
              <w:top w:val="nil"/>
            </w:tcBorders>
            <w:vAlign w:val="top"/>
          </w:tcPr>
          <w:p w14:paraId="56E48AE4">
            <w:pPr>
              <w:rPr>
                <w:rFonts w:ascii="Arial"/>
                <w:sz w:val="21"/>
              </w:rPr>
            </w:pPr>
          </w:p>
        </w:tc>
        <w:tc>
          <w:tcPr>
            <w:tcW w:w="1080" w:type="dxa"/>
            <w:vMerge w:val="continue"/>
            <w:tcBorders>
              <w:top w:val="nil"/>
            </w:tcBorders>
            <w:vAlign w:val="top"/>
          </w:tcPr>
          <w:p w14:paraId="1F094785">
            <w:pPr>
              <w:rPr>
                <w:rFonts w:ascii="Arial"/>
                <w:sz w:val="21"/>
              </w:rPr>
            </w:pPr>
          </w:p>
        </w:tc>
        <w:tc>
          <w:tcPr>
            <w:tcW w:w="730" w:type="dxa"/>
            <w:vMerge w:val="continue"/>
            <w:tcBorders>
              <w:top w:val="nil"/>
            </w:tcBorders>
            <w:vAlign w:val="top"/>
          </w:tcPr>
          <w:p w14:paraId="24E3E693">
            <w:pPr>
              <w:rPr>
                <w:rFonts w:ascii="Arial"/>
                <w:sz w:val="21"/>
              </w:rPr>
            </w:pPr>
          </w:p>
        </w:tc>
        <w:tc>
          <w:tcPr>
            <w:tcW w:w="1412" w:type="dxa"/>
            <w:vMerge w:val="continue"/>
            <w:tcBorders>
              <w:top w:val="nil"/>
            </w:tcBorders>
            <w:vAlign w:val="top"/>
          </w:tcPr>
          <w:p w14:paraId="5DC1C268">
            <w:pPr>
              <w:rPr>
                <w:rFonts w:ascii="Arial"/>
                <w:sz w:val="21"/>
              </w:rPr>
            </w:pPr>
          </w:p>
        </w:tc>
        <w:tc>
          <w:tcPr>
            <w:tcW w:w="1209" w:type="dxa"/>
            <w:vMerge w:val="continue"/>
            <w:tcBorders>
              <w:top w:val="nil"/>
            </w:tcBorders>
            <w:vAlign w:val="top"/>
          </w:tcPr>
          <w:p w14:paraId="2564249D">
            <w:pPr>
              <w:rPr>
                <w:rFonts w:ascii="Arial"/>
                <w:sz w:val="21"/>
              </w:rPr>
            </w:pPr>
          </w:p>
        </w:tc>
        <w:tc>
          <w:tcPr>
            <w:tcW w:w="1740" w:type="dxa"/>
            <w:vAlign w:val="top"/>
          </w:tcPr>
          <w:p w14:paraId="4A60F8DF">
            <w:pPr>
              <w:spacing w:before="122" w:line="194" w:lineRule="auto"/>
              <w:ind w:left="692"/>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989" w:type="dxa"/>
            <w:vAlign w:val="top"/>
          </w:tcPr>
          <w:p w14:paraId="5BC45102">
            <w:pPr>
              <w:spacing w:before="123" w:line="188" w:lineRule="auto"/>
              <w:ind w:left="34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3.50</w:t>
            </w:r>
          </w:p>
        </w:tc>
        <w:tc>
          <w:tcPr>
            <w:tcW w:w="993" w:type="dxa"/>
            <w:vAlign w:val="top"/>
          </w:tcPr>
          <w:p w14:paraId="3EE56DBC">
            <w:pPr>
              <w:spacing w:before="137"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0.70</w:t>
            </w:r>
          </w:p>
        </w:tc>
        <w:tc>
          <w:tcPr>
            <w:tcW w:w="1131" w:type="dxa"/>
            <w:vAlign w:val="top"/>
          </w:tcPr>
          <w:p w14:paraId="3257E638">
            <w:pPr>
              <w:spacing w:before="137" w:line="188" w:lineRule="auto"/>
              <w:ind w:left="41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5.60</w:t>
            </w:r>
          </w:p>
        </w:tc>
        <w:tc>
          <w:tcPr>
            <w:tcW w:w="1313" w:type="dxa"/>
            <w:vMerge w:val="continue"/>
            <w:tcBorders>
              <w:top w:val="nil"/>
            </w:tcBorders>
            <w:vAlign w:val="top"/>
          </w:tcPr>
          <w:p w14:paraId="0C317C99">
            <w:pPr>
              <w:rPr>
                <w:rFonts w:ascii="Arial"/>
                <w:sz w:val="21"/>
              </w:rPr>
            </w:pPr>
          </w:p>
        </w:tc>
        <w:tc>
          <w:tcPr>
            <w:tcW w:w="1058" w:type="dxa"/>
            <w:vAlign w:val="top"/>
          </w:tcPr>
          <w:p w14:paraId="6A073904">
            <w:pPr>
              <w:spacing w:before="120"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16D0B88B">
            <w:pPr>
              <w:spacing w:before="123" w:line="188" w:lineRule="auto"/>
              <w:ind w:left="33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3.41</w:t>
            </w:r>
          </w:p>
        </w:tc>
        <w:tc>
          <w:tcPr>
            <w:tcW w:w="980" w:type="dxa"/>
            <w:vAlign w:val="top"/>
          </w:tcPr>
          <w:p w14:paraId="5C4331AC">
            <w:pPr>
              <w:spacing w:before="137"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0.70</w:t>
            </w:r>
          </w:p>
        </w:tc>
        <w:tc>
          <w:tcPr>
            <w:tcW w:w="661" w:type="dxa"/>
            <w:vMerge w:val="continue"/>
            <w:tcBorders>
              <w:top w:val="nil"/>
            </w:tcBorders>
            <w:vAlign w:val="top"/>
          </w:tcPr>
          <w:p w14:paraId="6334E84E">
            <w:pPr>
              <w:rPr>
                <w:rFonts w:ascii="Arial"/>
                <w:sz w:val="21"/>
              </w:rPr>
            </w:pPr>
          </w:p>
        </w:tc>
        <w:tc>
          <w:tcPr>
            <w:tcW w:w="1036" w:type="dxa"/>
            <w:vAlign w:val="top"/>
          </w:tcPr>
          <w:p w14:paraId="6B364E9F">
            <w:pPr>
              <w:spacing w:before="137" w:line="188" w:lineRule="auto"/>
              <w:ind w:left="366"/>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5.60</w:t>
            </w:r>
          </w:p>
        </w:tc>
        <w:tc>
          <w:tcPr>
            <w:tcW w:w="639" w:type="dxa"/>
            <w:vMerge w:val="continue"/>
            <w:tcBorders>
              <w:top w:val="nil"/>
              <w:bottom w:val="nil"/>
            </w:tcBorders>
            <w:vAlign w:val="top"/>
          </w:tcPr>
          <w:p w14:paraId="3172E57D">
            <w:pPr>
              <w:rPr>
                <w:rFonts w:ascii="Arial"/>
                <w:sz w:val="21"/>
              </w:rPr>
            </w:pPr>
          </w:p>
        </w:tc>
        <w:tc>
          <w:tcPr>
            <w:tcW w:w="812" w:type="dxa"/>
            <w:vMerge w:val="continue"/>
            <w:tcBorders>
              <w:top w:val="nil"/>
              <w:bottom w:val="nil"/>
            </w:tcBorders>
            <w:vAlign w:val="top"/>
          </w:tcPr>
          <w:p w14:paraId="6EC8A714">
            <w:pPr>
              <w:rPr>
                <w:rFonts w:ascii="Arial"/>
                <w:sz w:val="21"/>
              </w:rPr>
            </w:pPr>
          </w:p>
        </w:tc>
        <w:tc>
          <w:tcPr>
            <w:tcW w:w="799" w:type="dxa"/>
            <w:vMerge w:val="continue"/>
            <w:tcBorders>
              <w:top w:val="nil"/>
              <w:bottom w:val="nil"/>
            </w:tcBorders>
            <w:vAlign w:val="top"/>
          </w:tcPr>
          <w:p w14:paraId="0AB28AC2">
            <w:pPr>
              <w:rPr>
                <w:rFonts w:ascii="Arial"/>
                <w:sz w:val="21"/>
              </w:rPr>
            </w:pPr>
          </w:p>
        </w:tc>
        <w:tc>
          <w:tcPr>
            <w:tcW w:w="1196" w:type="dxa"/>
            <w:vMerge w:val="continue"/>
            <w:tcBorders>
              <w:top w:val="nil"/>
              <w:bottom w:val="nil"/>
              <w:right w:val="nil"/>
            </w:tcBorders>
            <w:vAlign w:val="top"/>
          </w:tcPr>
          <w:p w14:paraId="7EDAB3B7">
            <w:pPr>
              <w:rPr>
                <w:rFonts w:ascii="Arial"/>
                <w:sz w:val="21"/>
              </w:rPr>
            </w:pPr>
          </w:p>
        </w:tc>
      </w:tr>
      <w:tr w14:paraId="22AF19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tcBorders>
              <w:left w:val="nil"/>
            </w:tcBorders>
            <w:vAlign w:val="top"/>
          </w:tcPr>
          <w:p w14:paraId="124763F6">
            <w:pPr>
              <w:spacing w:before="125" w:line="202" w:lineRule="auto"/>
              <w:ind w:left="267"/>
              <w:rPr>
                <w:rFonts w:ascii="Times New Roman" w:hAnsi="Times New Roman" w:eastAsia="Times New Roman" w:cs="Times New Roman"/>
                <w:sz w:val="11"/>
                <w:szCs w:val="11"/>
              </w:rPr>
            </w:pPr>
            <w:r>
              <w:rPr>
                <w:rFonts w:ascii="Times New Roman" w:hAnsi="Times New Roman" w:eastAsia="Times New Roman" w:cs="Times New Roman"/>
                <w:sz w:val="18"/>
                <w:szCs w:val="18"/>
              </w:rPr>
              <w:t>G</w:t>
            </w:r>
            <w:r>
              <w:rPr>
                <w:rFonts w:ascii="Times New Roman" w:hAnsi="Times New Roman" w:eastAsia="Times New Roman" w:cs="Times New Roman"/>
                <w:sz w:val="11"/>
                <w:szCs w:val="11"/>
              </w:rPr>
              <w:t>1-4</w:t>
            </w:r>
          </w:p>
        </w:tc>
        <w:tc>
          <w:tcPr>
            <w:tcW w:w="2010" w:type="dxa"/>
            <w:vAlign w:val="top"/>
          </w:tcPr>
          <w:p w14:paraId="5ED0C28E">
            <w:pPr>
              <w:pStyle w:val="6"/>
              <w:spacing w:before="96" w:line="219" w:lineRule="auto"/>
              <w:ind w:left="379"/>
              <w:rPr>
                <w:sz w:val="18"/>
                <w:szCs w:val="18"/>
              </w:rPr>
            </w:pPr>
            <w:r>
              <w:rPr>
                <w:spacing w:val="-2"/>
                <w:sz w:val="18"/>
                <w:szCs w:val="18"/>
              </w:rPr>
              <w:t>锰矿石出料废气</w:t>
            </w:r>
          </w:p>
        </w:tc>
        <w:tc>
          <w:tcPr>
            <w:tcW w:w="1080" w:type="dxa"/>
            <w:vAlign w:val="top"/>
          </w:tcPr>
          <w:p w14:paraId="2782E318">
            <w:pPr>
              <w:pStyle w:val="6"/>
              <w:spacing w:before="96" w:line="220" w:lineRule="auto"/>
              <w:ind w:left="275"/>
              <w:rPr>
                <w:sz w:val="18"/>
                <w:szCs w:val="18"/>
              </w:rPr>
            </w:pPr>
            <w:r>
              <w:rPr>
                <w:spacing w:val="-3"/>
                <w:sz w:val="18"/>
                <w:szCs w:val="18"/>
              </w:rPr>
              <w:t>有组织</w:t>
            </w:r>
          </w:p>
        </w:tc>
        <w:tc>
          <w:tcPr>
            <w:tcW w:w="730" w:type="dxa"/>
            <w:vAlign w:val="top"/>
          </w:tcPr>
          <w:p w14:paraId="3FDB1318">
            <w:pPr>
              <w:pStyle w:val="6"/>
              <w:spacing w:before="96" w:line="220" w:lineRule="auto"/>
              <w:ind w:left="189"/>
              <w:rPr>
                <w:sz w:val="18"/>
                <w:szCs w:val="18"/>
              </w:rPr>
            </w:pPr>
            <w:r>
              <w:rPr>
                <w:spacing w:val="-4"/>
                <w:sz w:val="18"/>
                <w:szCs w:val="18"/>
              </w:rPr>
              <w:t>连续</w:t>
            </w:r>
          </w:p>
        </w:tc>
        <w:tc>
          <w:tcPr>
            <w:tcW w:w="1412" w:type="dxa"/>
            <w:vAlign w:val="top"/>
          </w:tcPr>
          <w:p w14:paraId="361D7F20">
            <w:pPr>
              <w:pStyle w:val="6"/>
              <w:spacing w:before="96" w:line="219" w:lineRule="auto"/>
              <w:ind w:left="259"/>
              <w:rPr>
                <w:sz w:val="18"/>
                <w:szCs w:val="18"/>
              </w:rPr>
            </w:pPr>
            <w:r>
              <w:rPr>
                <w:spacing w:val="-2"/>
                <w:sz w:val="18"/>
                <w:szCs w:val="18"/>
              </w:rPr>
              <w:t>产污系数法</w:t>
            </w:r>
          </w:p>
        </w:tc>
        <w:tc>
          <w:tcPr>
            <w:tcW w:w="1209" w:type="dxa"/>
            <w:vAlign w:val="top"/>
          </w:tcPr>
          <w:p w14:paraId="0E1DDB07">
            <w:pPr>
              <w:spacing w:before="125" w:line="188" w:lineRule="auto"/>
              <w:ind w:left="43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5000</w:t>
            </w:r>
          </w:p>
        </w:tc>
        <w:tc>
          <w:tcPr>
            <w:tcW w:w="1740" w:type="dxa"/>
            <w:vAlign w:val="top"/>
          </w:tcPr>
          <w:p w14:paraId="20FD5CAC">
            <w:pPr>
              <w:pStyle w:val="6"/>
              <w:spacing w:before="96" w:line="220" w:lineRule="auto"/>
              <w:ind w:left="604"/>
              <w:rPr>
                <w:sz w:val="18"/>
                <w:szCs w:val="18"/>
              </w:rPr>
            </w:pPr>
            <w:r>
              <w:rPr>
                <w:spacing w:val="-3"/>
                <w:sz w:val="18"/>
                <w:szCs w:val="18"/>
              </w:rPr>
              <w:t>颗粒物</w:t>
            </w:r>
          </w:p>
        </w:tc>
        <w:tc>
          <w:tcPr>
            <w:tcW w:w="989" w:type="dxa"/>
            <w:vAlign w:val="top"/>
          </w:tcPr>
          <w:p w14:paraId="679704B4">
            <w:pPr>
              <w:spacing w:before="125" w:line="188" w:lineRule="auto"/>
              <w:ind w:left="29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320.0</w:t>
            </w:r>
          </w:p>
        </w:tc>
        <w:tc>
          <w:tcPr>
            <w:tcW w:w="993" w:type="dxa"/>
            <w:vAlign w:val="top"/>
          </w:tcPr>
          <w:p w14:paraId="1B679734">
            <w:pPr>
              <w:spacing w:before="125" w:line="188" w:lineRule="auto"/>
              <w:ind w:left="357"/>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1.60</w:t>
            </w:r>
          </w:p>
        </w:tc>
        <w:tc>
          <w:tcPr>
            <w:tcW w:w="1131" w:type="dxa"/>
            <w:vAlign w:val="top"/>
          </w:tcPr>
          <w:p w14:paraId="47DBBDC6">
            <w:pPr>
              <w:spacing w:before="125" w:line="188" w:lineRule="auto"/>
              <w:ind w:left="382"/>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12.82</w:t>
            </w:r>
          </w:p>
        </w:tc>
        <w:tc>
          <w:tcPr>
            <w:tcW w:w="1313" w:type="dxa"/>
            <w:vAlign w:val="top"/>
          </w:tcPr>
          <w:p w14:paraId="5BA1588E">
            <w:pPr>
              <w:pStyle w:val="6"/>
              <w:spacing w:before="96" w:line="219" w:lineRule="auto"/>
              <w:ind w:left="211"/>
              <w:rPr>
                <w:sz w:val="18"/>
                <w:szCs w:val="18"/>
              </w:rPr>
            </w:pPr>
            <w:r>
              <w:rPr>
                <w:spacing w:val="-2"/>
                <w:sz w:val="18"/>
                <w:szCs w:val="18"/>
              </w:rPr>
              <w:t>布袋除尘器</w:t>
            </w:r>
          </w:p>
        </w:tc>
        <w:tc>
          <w:tcPr>
            <w:tcW w:w="1058" w:type="dxa"/>
            <w:vAlign w:val="top"/>
          </w:tcPr>
          <w:p w14:paraId="02A3D915">
            <w:pPr>
              <w:pStyle w:val="6"/>
              <w:spacing w:before="96" w:line="219" w:lineRule="auto"/>
              <w:ind w:left="250"/>
              <w:rPr>
                <w:rFonts w:ascii="Times New Roman" w:hAnsi="Times New Roman" w:eastAsia="Times New Roman" w:cs="Times New Roman"/>
                <w:sz w:val="18"/>
                <w:szCs w:val="18"/>
              </w:rPr>
            </w:pPr>
            <w:r>
              <w:rPr>
                <w:spacing w:val="-6"/>
                <w:sz w:val="18"/>
                <w:szCs w:val="18"/>
              </w:rPr>
              <w:t>除尘</w:t>
            </w:r>
            <w:r>
              <w:rPr>
                <w:spacing w:val="-38"/>
                <w:sz w:val="18"/>
                <w:szCs w:val="18"/>
              </w:rPr>
              <w:t xml:space="preserve"> </w:t>
            </w:r>
            <w:r>
              <w:rPr>
                <w:rFonts w:ascii="Times New Roman" w:hAnsi="Times New Roman" w:eastAsia="Times New Roman" w:cs="Times New Roman"/>
                <w:spacing w:val="-6"/>
                <w:sz w:val="18"/>
                <w:szCs w:val="18"/>
              </w:rPr>
              <w:t>99</w:t>
            </w:r>
          </w:p>
        </w:tc>
        <w:tc>
          <w:tcPr>
            <w:tcW w:w="980" w:type="dxa"/>
            <w:vAlign w:val="top"/>
          </w:tcPr>
          <w:p w14:paraId="4B7D7946">
            <w:pPr>
              <w:spacing w:before="121"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6EA203DF">
            <w:pPr>
              <w:spacing w:before="121" w:line="192" w:lineRule="auto"/>
              <w:ind w:left="463"/>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61" w:type="dxa"/>
            <w:vAlign w:val="top"/>
          </w:tcPr>
          <w:p w14:paraId="78ED0996">
            <w:pPr>
              <w:spacing w:before="121" w:line="192" w:lineRule="auto"/>
              <w:ind w:left="30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36" w:type="dxa"/>
            <w:vAlign w:val="top"/>
          </w:tcPr>
          <w:p w14:paraId="66DD0F64">
            <w:pPr>
              <w:spacing w:before="121" w:line="192" w:lineRule="auto"/>
              <w:ind w:left="49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39" w:type="dxa"/>
            <w:vMerge w:val="continue"/>
            <w:tcBorders>
              <w:top w:val="nil"/>
            </w:tcBorders>
            <w:vAlign w:val="top"/>
          </w:tcPr>
          <w:p w14:paraId="33169D02">
            <w:pPr>
              <w:rPr>
                <w:rFonts w:ascii="Arial"/>
                <w:sz w:val="21"/>
              </w:rPr>
            </w:pPr>
          </w:p>
        </w:tc>
        <w:tc>
          <w:tcPr>
            <w:tcW w:w="812" w:type="dxa"/>
            <w:vMerge w:val="continue"/>
            <w:tcBorders>
              <w:top w:val="nil"/>
            </w:tcBorders>
            <w:vAlign w:val="top"/>
          </w:tcPr>
          <w:p w14:paraId="4A53EB30">
            <w:pPr>
              <w:rPr>
                <w:rFonts w:ascii="Arial"/>
                <w:sz w:val="21"/>
              </w:rPr>
            </w:pPr>
          </w:p>
        </w:tc>
        <w:tc>
          <w:tcPr>
            <w:tcW w:w="799" w:type="dxa"/>
            <w:vMerge w:val="continue"/>
            <w:tcBorders>
              <w:top w:val="nil"/>
            </w:tcBorders>
            <w:vAlign w:val="top"/>
          </w:tcPr>
          <w:p w14:paraId="2AB51DC0">
            <w:pPr>
              <w:rPr>
                <w:rFonts w:ascii="Arial"/>
                <w:sz w:val="21"/>
              </w:rPr>
            </w:pPr>
          </w:p>
        </w:tc>
        <w:tc>
          <w:tcPr>
            <w:tcW w:w="1196" w:type="dxa"/>
            <w:vMerge w:val="continue"/>
            <w:tcBorders>
              <w:top w:val="nil"/>
              <w:right w:val="nil"/>
            </w:tcBorders>
            <w:vAlign w:val="top"/>
          </w:tcPr>
          <w:p w14:paraId="44A8E03A">
            <w:pPr>
              <w:rPr>
                <w:rFonts w:ascii="Arial"/>
                <w:sz w:val="21"/>
              </w:rPr>
            </w:pPr>
          </w:p>
        </w:tc>
      </w:tr>
      <w:tr w14:paraId="15542F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restart"/>
            <w:tcBorders>
              <w:left w:val="nil"/>
              <w:bottom w:val="nil"/>
            </w:tcBorders>
            <w:vAlign w:val="top"/>
          </w:tcPr>
          <w:p w14:paraId="3C389E8D">
            <w:pPr>
              <w:spacing w:line="248" w:lineRule="auto"/>
              <w:rPr>
                <w:rFonts w:ascii="Arial"/>
                <w:sz w:val="21"/>
              </w:rPr>
            </w:pPr>
          </w:p>
          <w:p w14:paraId="27CD5A47">
            <w:pPr>
              <w:spacing w:before="52" w:line="204" w:lineRule="auto"/>
              <w:ind w:left="267"/>
              <w:rPr>
                <w:rFonts w:ascii="Times New Roman" w:hAnsi="Times New Roman" w:eastAsia="Times New Roman" w:cs="Times New Roman"/>
                <w:sz w:val="11"/>
                <w:szCs w:val="11"/>
              </w:rPr>
            </w:pPr>
            <w:r>
              <w:rPr>
                <w:rFonts w:ascii="Times New Roman" w:hAnsi="Times New Roman" w:eastAsia="Times New Roman" w:cs="Times New Roman"/>
                <w:sz w:val="18"/>
                <w:szCs w:val="18"/>
              </w:rPr>
              <w:t>G</w:t>
            </w:r>
            <w:r>
              <w:rPr>
                <w:rFonts w:ascii="Times New Roman" w:hAnsi="Times New Roman" w:eastAsia="Times New Roman" w:cs="Times New Roman"/>
                <w:sz w:val="11"/>
                <w:szCs w:val="11"/>
              </w:rPr>
              <w:t>1-5</w:t>
            </w:r>
          </w:p>
        </w:tc>
        <w:tc>
          <w:tcPr>
            <w:tcW w:w="2010" w:type="dxa"/>
            <w:vMerge w:val="restart"/>
            <w:tcBorders>
              <w:bottom w:val="nil"/>
            </w:tcBorders>
            <w:vAlign w:val="top"/>
          </w:tcPr>
          <w:p w14:paraId="21A5589B">
            <w:pPr>
              <w:pStyle w:val="6"/>
              <w:spacing w:before="273" w:line="219" w:lineRule="auto"/>
              <w:ind w:left="378"/>
              <w:rPr>
                <w:sz w:val="18"/>
                <w:szCs w:val="18"/>
              </w:rPr>
            </w:pPr>
            <w:r>
              <w:rPr>
                <w:spacing w:val="-1"/>
                <w:sz w:val="18"/>
                <w:szCs w:val="18"/>
              </w:rPr>
              <w:t>烧结机配料粉尘</w:t>
            </w:r>
          </w:p>
        </w:tc>
        <w:tc>
          <w:tcPr>
            <w:tcW w:w="1080" w:type="dxa"/>
            <w:vMerge w:val="restart"/>
            <w:tcBorders>
              <w:bottom w:val="nil"/>
            </w:tcBorders>
            <w:vAlign w:val="top"/>
          </w:tcPr>
          <w:p w14:paraId="71B3514A">
            <w:pPr>
              <w:pStyle w:val="6"/>
              <w:spacing w:before="273" w:line="220" w:lineRule="auto"/>
              <w:ind w:left="275"/>
              <w:rPr>
                <w:sz w:val="18"/>
                <w:szCs w:val="18"/>
              </w:rPr>
            </w:pPr>
            <w:r>
              <w:rPr>
                <w:spacing w:val="-3"/>
                <w:sz w:val="18"/>
                <w:szCs w:val="18"/>
              </w:rPr>
              <w:t>有组织</w:t>
            </w:r>
          </w:p>
        </w:tc>
        <w:tc>
          <w:tcPr>
            <w:tcW w:w="730" w:type="dxa"/>
            <w:vMerge w:val="restart"/>
            <w:tcBorders>
              <w:bottom w:val="nil"/>
            </w:tcBorders>
            <w:vAlign w:val="top"/>
          </w:tcPr>
          <w:p w14:paraId="5E91B070">
            <w:pPr>
              <w:pStyle w:val="6"/>
              <w:spacing w:before="273" w:line="220" w:lineRule="auto"/>
              <w:ind w:left="189"/>
              <w:rPr>
                <w:sz w:val="18"/>
                <w:szCs w:val="18"/>
              </w:rPr>
            </w:pPr>
            <w:r>
              <w:rPr>
                <w:spacing w:val="-4"/>
                <w:sz w:val="18"/>
                <w:szCs w:val="18"/>
              </w:rPr>
              <w:t>连续</w:t>
            </w:r>
          </w:p>
        </w:tc>
        <w:tc>
          <w:tcPr>
            <w:tcW w:w="1412" w:type="dxa"/>
            <w:vMerge w:val="restart"/>
            <w:tcBorders>
              <w:bottom w:val="nil"/>
            </w:tcBorders>
            <w:vAlign w:val="top"/>
          </w:tcPr>
          <w:p w14:paraId="6BDA8515">
            <w:pPr>
              <w:pStyle w:val="6"/>
              <w:spacing w:before="273" w:line="219" w:lineRule="auto"/>
              <w:ind w:left="259"/>
              <w:rPr>
                <w:sz w:val="18"/>
                <w:szCs w:val="18"/>
              </w:rPr>
            </w:pPr>
            <w:r>
              <w:rPr>
                <w:spacing w:val="-2"/>
                <w:sz w:val="18"/>
                <w:szCs w:val="18"/>
              </w:rPr>
              <w:t>产污系数法</w:t>
            </w:r>
          </w:p>
        </w:tc>
        <w:tc>
          <w:tcPr>
            <w:tcW w:w="1209" w:type="dxa"/>
            <w:vMerge w:val="restart"/>
            <w:tcBorders>
              <w:bottom w:val="nil"/>
            </w:tcBorders>
            <w:vAlign w:val="top"/>
          </w:tcPr>
          <w:p w14:paraId="759CC08B">
            <w:pPr>
              <w:spacing w:line="248" w:lineRule="auto"/>
              <w:rPr>
                <w:rFonts w:ascii="Arial"/>
                <w:sz w:val="21"/>
              </w:rPr>
            </w:pPr>
          </w:p>
          <w:p w14:paraId="56780B8A">
            <w:pPr>
              <w:spacing w:before="52" w:line="188" w:lineRule="auto"/>
              <w:ind w:left="38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25000</w:t>
            </w:r>
          </w:p>
        </w:tc>
        <w:tc>
          <w:tcPr>
            <w:tcW w:w="1740" w:type="dxa"/>
            <w:vAlign w:val="top"/>
          </w:tcPr>
          <w:p w14:paraId="2C7C4D87">
            <w:pPr>
              <w:pStyle w:val="6"/>
              <w:spacing w:before="95" w:line="220" w:lineRule="auto"/>
              <w:ind w:left="604"/>
              <w:rPr>
                <w:sz w:val="18"/>
                <w:szCs w:val="18"/>
              </w:rPr>
            </w:pPr>
            <w:r>
              <w:rPr>
                <w:spacing w:val="-3"/>
                <w:sz w:val="18"/>
                <w:szCs w:val="18"/>
              </w:rPr>
              <w:t>颗粒物</w:t>
            </w:r>
          </w:p>
        </w:tc>
        <w:tc>
          <w:tcPr>
            <w:tcW w:w="989" w:type="dxa"/>
            <w:vAlign w:val="top"/>
          </w:tcPr>
          <w:p w14:paraId="11A330DF">
            <w:pPr>
              <w:spacing w:before="127" w:line="188" w:lineRule="auto"/>
              <w:ind w:left="22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1570.40</w:t>
            </w:r>
          </w:p>
        </w:tc>
        <w:tc>
          <w:tcPr>
            <w:tcW w:w="993" w:type="dxa"/>
            <w:vAlign w:val="top"/>
          </w:tcPr>
          <w:p w14:paraId="768122FF">
            <w:pPr>
              <w:spacing w:before="127" w:line="188" w:lineRule="auto"/>
              <w:ind w:left="29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39.26</w:t>
            </w:r>
          </w:p>
        </w:tc>
        <w:tc>
          <w:tcPr>
            <w:tcW w:w="1131" w:type="dxa"/>
            <w:vAlign w:val="top"/>
          </w:tcPr>
          <w:p w14:paraId="2682C175">
            <w:pPr>
              <w:spacing w:before="127" w:line="188" w:lineRule="auto"/>
              <w:ind w:left="32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314.06</w:t>
            </w:r>
          </w:p>
        </w:tc>
        <w:tc>
          <w:tcPr>
            <w:tcW w:w="1313" w:type="dxa"/>
            <w:vMerge w:val="restart"/>
            <w:tcBorders>
              <w:bottom w:val="nil"/>
            </w:tcBorders>
            <w:vAlign w:val="top"/>
          </w:tcPr>
          <w:p w14:paraId="25C7B811">
            <w:pPr>
              <w:pStyle w:val="6"/>
              <w:spacing w:before="106" w:line="298" w:lineRule="auto"/>
              <w:ind w:left="480" w:right="64" w:hanging="411"/>
              <w:rPr>
                <w:sz w:val="18"/>
                <w:szCs w:val="18"/>
              </w:rPr>
            </w:pPr>
            <w:r>
              <w:rPr>
                <w:spacing w:val="-2"/>
                <w:sz w:val="18"/>
                <w:szCs w:val="18"/>
              </w:rPr>
              <w:t>集尘罩</w:t>
            </w:r>
            <w:r>
              <w:rPr>
                <w:rFonts w:ascii="Times New Roman" w:hAnsi="Times New Roman" w:eastAsia="Times New Roman" w:cs="Times New Roman"/>
                <w:spacing w:val="-2"/>
                <w:sz w:val="18"/>
                <w:szCs w:val="18"/>
              </w:rPr>
              <w:t>+</w:t>
            </w:r>
            <w:r>
              <w:rPr>
                <w:spacing w:val="-2"/>
                <w:sz w:val="18"/>
                <w:szCs w:val="18"/>
              </w:rPr>
              <w:t>布袋除</w:t>
            </w:r>
            <w:r>
              <w:rPr>
                <w:spacing w:val="5"/>
                <w:sz w:val="18"/>
                <w:szCs w:val="18"/>
              </w:rPr>
              <w:t xml:space="preserve"> </w:t>
            </w:r>
            <w:r>
              <w:rPr>
                <w:spacing w:val="-5"/>
                <w:sz w:val="18"/>
                <w:szCs w:val="18"/>
              </w:rPr>
              <w:t>尘器</w:t>
            </w:r>
          </w:p>
        </w:tc>
        <w:tc>
          <w:tcPr>
            <w:tcW w:w="1058" w:type="dxa"/>
            <w:vMerge w:val="restart"/>
            <w:tcBorders>
              <w:bottom w:val="nil"/>
            </w:tcBorders>
            <w:vAlign w:val="top"/>
          </w:tcPr>
          <w:p w14:paraId="540541D7">
            <w:pPr>
              <w:pStyle w:val="6"/>
              <w:spacing w:before="106" w:line="298" w:lineRule="auto"/>
              <w:ind w:left="250" w:right="233" w:hanging="4"/>
              <w:rPr>
                <w:rFonts w:ascii="Times New Roman" w:hAnsi="Times New Roman" w:eastAsia="Times New Roman" w:cs="Times New Roman"/>
                <w:sz w:val="18"/>
                <w:szCs w:val="18"/>
              </w:rPr>
            </w:pPr>
            <w:r>
              <w:rPr>
                <w:spacing w:val="-5"/>
                <w:sz w:val="18"/>
                <w:szCs w:val="18"/>
              </w:rPr>
              <w:t>收集</w:t>
            </w:r>
            <w:r>
              <w:rPr>
                <w:spacing w:val="-38"/>
                <w:sz w:val="18"/>
                <w:szCs w:val="18"/>
              </w:rPr>
              <w:t xml:space="preserve"> </w:t>
            </w:r>
            <w:r>
              <w:rPr>
                <w:rFonts w:ascii="Times New Roman" w:hAnsi="Times New Roman" w:eastAsia="Times New Roman" w:cs="Times New Roman"/>
                <w:spacing w:val="-5"/>
                <w:sz w:val="18"/>
                <w:szCs w:val="18"/>
              </w:rPr>
              <w:t>95</w:t>
            </w:r>
            <w:r>
              <w:rPr>
                <w:rFonts w:ascii="Times New Roman" w:hAnsi="Times New Roman" w:eastAsia="Times New Roman" w:cs="Times New Roman"/>
                <w:sz w:val="18"/>
                <w:szCs w:val="18"/>
              </w:rPr>
              <w:t xml:space="preserve"> </w:t>
            </w:r>
            <w:r>
              <w:rPr>
                <w:spacing w:val="-6"/>
                <w:sz w:val="18"/>
                <w:szCs w:val="18"/>
              </w:rPr>
              <w:t>除尘</w:t>
            </w:r>
            <w:r>
              <w:rPr>
                <w:spacing w:val="-38"/>
                <w:sz w:val="18"/>
                <w:szCs w:val="18"/>
              </w:rPr>
              <w:t xml:space="preserve"> </w:t>
            </w:r>
            <w:r>
              <w:rPr>
                <w:rFonts w:ascii="Times New Roman" w:hAnsi="Times New Roman" w:eastAsia="Times New Roman" w:cs="Times New Roman"/>
                <w:spacing w:val="-6"/>
                <w:sz w:val="18"/>
                <w:szCs w:val="18"/>
              </w:rPr>
              <w:t>99</w:t>
            </w:r>
          </w:p>
        </w:tc>
        <w:tc>
          <w:tcPr>
            <w:tcW w:w="980" w:type="dxa"/>
            <w:vAlign w:val="top"/>
          </w:tcPr>
          <w:p w14:paraId="7A895012">
            <w:pPr>
              <w:spacing w:before="127" w:line="188" w:lineRule="auto"/>
              <w:ind w:left="30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15.70</w:t>
            </w:r>
          </w:p>
        </w:tc>
        <w:tc>
          <w:tcPr>
            <w:tcW w:w="980" w:type="dxa"/>
            <w:vAlign w:val="top"/>
          </w:tcPr>
          <w:p w14:paraId="23B2F674">
            <w:pPr>
              <w:spacing w:before="127"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0.39</w:t>
            </w:r>
          </w:p>
        </w:tc>
        <w:tc>
          <w:tcPr>
            <w:tcW w:w="661" w:type="dxa"/>
            <w:vMerge w:val="restart"/>
            <w:tcBorders>
              <w:bottom w:val="nil"/>
            </w:tcBorders>
            <w:vAlign w:val="top"/>
          </w:tcPr>
          <w:p w14:paraId="1BFC9ED2">
            <w:pPr>
              <w:spacing w:line="248" w:lineRule="auto"/>
              <w:rPr>
                <w:rFonts w:ascii="Arial"/>
                <w:sz w:val="21"/>
              </w:rPr>
            </w:pPr>
          </w:p>
          <w:p w14:paraId="659DFCB2">
            <w:pPr>
              <w:spacing w:before="52"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4C9C741D">
            <w:pPr>
              <w:spacing w:before="127" w:line="188" w:lineRule="auto"/>
              <w:ind w:left="36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3.14</w:t>
            </w:r>
          </w:p>
        </w:tc>
        <w:tc>
          <w:tcPr>
            <w:tcW w:w="639" w:type="dxa"/>
            <w:vMerge w:val="restart"/>
            <w:tcBorders>
              <w:bottom w:val="nil"/>
            </w:tcBorders>
            <w:vAlign w:val="top"/>
          </w:tcPr>
          <w:p w14:paraId="025965A3">
            <w:pPr>
              <w:spacing w:line="248" w:lineRule="auto"/>
              <w:rPr>
                <w:rFonts w:ascii="Arial"/>
                <w:sz w:val="21"/>
              </w:rPr>
            </w:pPr>
          </w:p>
          <w:p w14:paraId="4EB3B6A0">
            <w:pPr>
              <w:spacing w:before="52" w:line="188" w:lineRule="auto"/>
              <w:ind w:left="23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33</w:t>
            </w:r>
          </w:p>
        </w:tc>
        <w:tc>
          <w:tcPr>
            <w:tcW w:w="812" w:type="dxa"/>
            <w:vMerge w:val="restart"/>
            <w:tcBorders>
              <w:bottom w:val="nil"/>
            </w:tcBorders>
            <w:vAlign w:val="top"/>
          </w:tcPr>
          <w:p w14:paraId="7F8F0F48">
            <w:pPr>
              <w:spacing w:line="249" w:lineRule="auto"/>
              <w:rPr>
                <w:rFonts w:ascii="Arial"/>
                <w:sz w:val="21"/>
              </w:rPr>
            </w:pPr>
          </w:p>
          <w:p w14:paraId="541AD2F7">
            <w:pPr>
              <w:spacing w:before="51" w:line="188" w:lineRule="auto"/>
              <w:ind w:left="2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w:t>
            </w:r>
          </w:p>
        </w:tc>
        <w:tc>
          <w:tcPr>
            <w:tcW w:w="799" w:type="dxa"/>
            <w:vMerge w:val="restart"/>
            <w:tcBorders>
              <w:bottom w:val="nil"/>
            </w:tcBorders>
            <w:vAlign w:val="top"/>
          </w:tcPr>
          <w:p w14:paraId="3C18A8D9">
            <w:pPr>
              <w:pStyle w:val="6"/>
              <w:spacing w:before="273" w:line="220" w:lineRule="auto"/>
              <w:ind w:left="227"/>
              <w:rPr>
                <w:sz w:val="18"/>
                <w:szCs w:val="18"/>
              </w:rPr>
            </w:pPr>
            <w:r>
              <w:rPr>
                <w:spacing w:val="-6"/>
                <w:sz w:val="18"/>
                <w:szCs w:val="18"/>
              </w:rPr>
              <w:t>常温</w:t>
            </w:r>
          </w:p>
        </w:tc>
        <w:tc>
          <w:tcPr>
            <w:tcW w:w="1196" w:type="dxa"/>
            <w:vMerge w:val="restart"/>
            <w:tcBorders>
              <w:bottom w:val="nil"/>
              <w:right w:val="nil"/>
            </w:tcBorders>
            <w:vAlign w:val="top"/>
          </w:tcPr>
          <w:p w14:paraId="063FFEB0">
            <w:pPr>
              <w:spacing w:line="248" w:lineRule="auto"/>
              <w:rPr>
                <w:rFonts w:ascii="Arial"/>
                <w:sz w:val="21"/>
              </w:rPr>
            </w:pPr>
          </w:p>
          <w:p w14:paraId="3778B0CB">
            <w:pPr>
              <w:spacing w:before="52" w:line="188" w:lineRule="auto"/>
              <w:ind w:left="33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DA003</w:t>
            </w:r>
          </w:p>
        </w:tc>
      </w:tr>
      <w:tr w14:paraId="43ECD9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808" w:type="dxa"/>
            <w:vMerge w:val="continue"/>
            <w:tcBorders>
              <w:top w:val="nil"/>
              <w:left w:val="nil"/>
            </w:tcBorders>
            <w:vAlign w:val="top"/>
          </w:tcPr>
          <w:p w14:paraId="5C1402E5">
            <w:pPr>
              <w:rPr>
                <w:rFonts w:ascii="Arial"/>
                <w:sz w:val="21"/>
              </w:rPr>
            </w:pPr>
          </w:p>
        </w:tc>
        <w:tc>
          <w:tcPr>
            <w:tcW w:w="2010" w:type="dxa"/>
            <w:vMerge w:val="continue"/>
            <w:tcBorders>
              <w:top w:val="nil"/>
            </w:tcBorders>
            <w:vAlign w:val="top"/>
          </w:tcPr>
          <w:p w14:paraId="4EC545D5">
            <w:pPr>
              <w:rPr>
                <w:rFonts w:ascii="Arial"/>
                <w:sz w:val="21"/>
              </w:rPr>
            </w:pPr>
          </w:p>
        </w:tc>
        <w:tc>
          <w:tcPr>
            <w:tcW w:w="1080" w:type="dxa"/>
            <w:vMerge w:val="continue"/>
            <w:tcBorders>
              <w:top w:val="nil"/>
            </w:tcBorders>
            <w:vAlign w:val="top"/>
          </w:tcPr>
          <w:p w14:paraId="3E810124">
            <w:pPr>
              <w:rPr>
                <w:rFonts w:ascii="Arial"/>
                <w:sz w:val="21"/>
              </w:rPr>
            </w:pPr>
          </w:p>
        </w:tc>
        <w:tc>
          <w:tcPr>
            <w:tcW w:w="730" w:type="dxa"/>
            <w:vMerge w:val="continue"/>
            <w:tcBorders>
              <w:top w:val="nil"/>
            </w:tcBorders>
            <w:vAlign w:val="top"/>
          </w:tcPr>
          <w:p w14:paraId="0A568602">
            <w:pPr>
              <w:rPr>
                <w:rFonts w:ascii="Arial"/>
                <w:sz w:val="21"/>
              </w:rPr>
            </w:pPr>
          </w:p>
        </w:tc>
        <w:tc>
          <w:tcPr>
            <w:tcW w:w="1412" w:type="dxa"/>
            <w:vMerge w:val="continue"/>
            <w:tcBorders>
              <w:top w:val="nil"/>
            </w:tcBorders>
            <w:vAlign w:val="top"/>
          </w:tcPr>
          <w:p w14:paraId="1F56E51D">
            <w:pPr>
              <w:rPr>
                <w:rFonts w:ascii="Arial"/>
                <w:sz w:val="21"/>
              </w:rPr>
            </w:pPr>
          </w:p>
        </w:tc>
        <w:tc>
          <w:tcPr>
            <w:tcW w:w="1209" w:type="dxa"/>
            <w:vMerge w:val="continue"/>
            <w:tcBorders>
              <w:top w:val="nil"/>
            </w:tcBorders>
            <w:vAlign w:val="top"/>
          </w:tcPr>
          <w:p w14:paraId="64B06EAD">
            <w:pPr>
              <w:rPr>
                <w:rFonts w:ascii="Arial"/>
                <w:sz w:val="21"/>
              </w:rPr>
            </w:pPr>
          </w:p>
        </w:tc>
        <w:tc>
          <w:tcPr>
            <w:tcW w:w="1740" w:type="dxa"/>
            <w:vAlign w:val="top"/>
          </w:tcPr>
          <w:p w14:paraId="728FEE76">
            <w:pPr>
              <w:pStyle w:val="6"/>
              <w:spacing w:before="97" w:line="221" w:lineRule="auto"/>
              <w:ind w:left="334"/>
              <w:rPr>
                <w:sz w:val="18"/>
                <w:szCs w:val="18"/>
              </w:rPr>
            </w:pPr>
            <w:r>
              <w:rPr>
                <w:spacing w:val="-2"/>
                <w:sz w:val="18"/>
                <w:szCs w:val="18"/>
              </w:rPr>
              <w:t>锰及其化合物</w:t>
            </w:r>
          </w:p>
        </w:tc>
        <w:tc>
          <w:tcPr>
            <w:tcW w:w="989" w:type="dxa"/>
            <w:vAlign w:val="top"/>
          </w:tcPr>
          <w:p w14:paraId="507E23D7">
            <w:pPr>
              <w:spacing w:before="126" w:line="188" w:lineRule="auto"/>
              <w:ind w:left="2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282.80</w:t>
            </w:r>
          </w:p>
        </w:tc>
        <w:tc>
          <w:tcPr>
            <w:tcW w:w="993" w:type="dxa"/>
            <w:vAlign w:val="top"/>
          </w:tcPr>
          <w:p w14:paraId="37A942D3">
            <w:pPr>
              <w:spacing w:before="126" w:line="188" w:lineRule="auto"/>
              <w:ind w:left="34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7.07</w:t>
            </w:r>
          </w:p>
        </w:tc>
        <w:tc>
          <w:tcPr>
            <w:tcW w:w="1131" w:type="dxa"/>
            <w:vAlign w:val="top"/>
          </w:tcPr>
          <w:p w14:paraId="7D485EAA">
            <w:pPr>
              <w:spacing w:before="126" w:line="188"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56.53</w:t>
            </w:r>
          </w:p>
        </w:tc>
        <w:tc>
          <w:tcPr>
            <w:tcW w:w="1313" w:type="dxa"/>
            <w:vMerge w:val="continue"/>
            <w:tcBorders>
              <w:top w:val="nil"/>
            </w:tcBorders>
            <w:vAlign w:val="top"/>
          </w:tcPr>
          <w:p w14:paraId="690C6F66">
            <w:pPr>
              <w:rPr>
                <w:rFonts w:ascii="Arial"/>
                <w:sz w:val="21"/>
              </w:rPr>
            </w:pPr>
          </w:p>
        </w:tc>
        <w:tc>
          <w:tcPr>
            <w:tcW w:w="1058" w:type="dxa"/>
            <w:vMerge w:val="continue"/>
            <w:tcBorders>
              <w:top w:val="nil"/>
            </w:tcBorders>
            <w:vAlign w:val="top"/>
          </w:tcPr>
          <w:p w14:paraId="04B36935">
            <w:pPr>
              <w:rPr>
                <w:rFonts w:ascii="Arial"/>
                <w:sz w:val="21"/>
              </w:rPr>
            </w:pPr>
          </w:p>
        </w:tc>
        <w:tc>
          <w:tcPr>
            <w:tcW w:w="980" w:type="dxa"/>
            <w:vAlign w:val="top"/>
          </w:tcPr>
          <w:p w14:paraId="3BC53B25">
            <w:pPr>
              <w:spacing w:before="126" w:line="188" w:lineRule="auto"/>
              <w:ind w:left="33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2.85</w:t>
            </w:r>
          </w:p>
        </w:tc>
        <w:tc>
          <w:tcPr>
            <w:tcW w:w="980" w:type="dxa"/>
            <w:vAlign w:val="top"/>
          </w:tcPr>
          <w:p w14:paraId="2EA3448C">
            <w:pPr>
              <w:spacing w:before="126"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0.07</w:t>
            </w:r>
          </w:p>
        </w:tc>
        <w:tc>
          <w:tcPr>
            <w:tcW w:w="661" w:type="dxa"/>
            <w:vMerge w:val="continue"/>
            <w:tcBorders>
              <w:top w:val="nil"/>
            </w:tcBorders>
            <w:vAlign w:val="top"/>
          </w:tcPr>
          <w:p w14:paraId="2D72D777">
            <w:pPr>
              <w:rPr>
                <w:rFonts w:ascii="Arial"/>
                <w:sz w:val="21"/>
              </w:rPr>
            </w:pPr>
          </w:p>
        </w:tc>
        <w:tc>
          <w:tcPr>
            <w:tcW w:w="1036" w:type="dxa"/>
            <w:vAlign w:val="top"/>
          </w:tcPr>
          <w:p w14:paraId="604921ED">
            <w:pPr>
              <w:spacing w:before="126" w:line="188" w:lineRule="auto"/>
              <w:ind w:left="36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0.57</w:t>
            </w:r>
          </w:p>
        </w:tc>
        <w:tc>
          <w:tcPr>
            <w:tcW w:w="639" w:type="dxa"/>
            <w:vMerge w:val="continue"/>
            <w:tcBorders>
              <w:top w:val="nil"/>
            </w:tcBorders>
            <w:vAlign w:val="top"/>
          </w:tcPr>
          <w:p w14:paraId="54F7D058">
            <w:pPr>
              <w:rPr>
                <w:rFonts w:ascii="Arial"/>
                <w:sz w:val="21"/>
              </w:rPr>
            </w:pPr>
          </w:p>
        </w:tc>
        <w:tc>
          <w:tcPr>
            <w:tcW w:w="812" w:type="dxa"/>
            <w:vMerge w:val="continue"/>
            <w:tcBorders>
              <w:top w:val="nil"/>
            </w:tcBorders>
            <w:vAlign w:val="top"/>
          </w:tcPr>
          <w:p w14:paraId="0A243130">
            <w:pPr>
              <w:rPr>
                <w:rFonts w:ascii="Arial"/>
                <w:sz w:val="21"/>
              </w:rPr>
            </w:pPr>
          </w:p>
        </w:tc>
        <w:tc>
          <w:tcPr>
            <w:tcW w:w="799" w:type="dxa"/>
            <w:vMerge w:val="continue"/>
            <w:tcBorders>
              <w:top w:val="nil"/>
            </w:tcBorders>
            <w:vAlign w:val="top"/>
          </w:tcPr>
          <w:p w14:paraId="7993D4FB">
            <w:pPr>
              <w:rPr>
                <w:rFonts w:ascii="Arial"/>
                <w:sz w:val="21"/>
              </w:rPr>
            </w:pPr>
          </w:p>
        </w:tc>
        <w:tc>
          <w:tcPr>
            <w:tcW w:w="1196" w:type="dxa"/>
            <w:vMerge w:val="continue"/>
            <w:tcBorders>
              <w:top w:val="nil"/>
              <w:right w:val="nil"/>
            </w:tcBorders>
            <w:vAlign w:val="top"/>
          </w:tcPr>
          <w:p w14:paraId="3945EEEA">
            <w:pPr>
              <w:rPr>
                <w:rFonts w:ascii="Arial"/>
                <w:sz w:val="21"/>
              </w:rPr>
            </w:pPr>
          </w:p>
        </w:tc>
      </w:tr>
      <w:tr w14:paraId="0C4C45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restart"/>
            <w:tcBorders>
              <w:left w:val="nil"/>
              <w:bottom w:val="nil"/>
            </w:tcBorders>
            <w:vAlign w:val="top"/>
          </w:tcPr>
          <w:p w14:paraId="1297924B">
            <w:pPr>
              <w:spacing w:line="299" w:lineRule="auto"/>
              <w:rPr>
                <w:rFonts w:ascii="Arial"/>
                <w:sz w:val="21"/>
              </w:rPr>
            </w:pPr>
          </w:p>
          <w:p w14:paraId="120503AD">
            <w:pPr>
              <w:spacing w:line="300" w:lineRule="auto"/>
              <w:rPr>
                <w:rFonts w:ascii="Arial"/>
                <w:sz w:val="21"/>
              </w:rPr>
            </w:pPr>
          </w:p>
          <w:p w14:paraId="402D3AFB">
            <w:pPr>
              <w:spacing w:before="51" w:line="204" w:lineRule="auto"/>
              <w:ind w:left="267"/>
              <w:rPr>
                <w:rFonts w:ascii="Times New Roman" w:hAnsi="Times New Roman" w:eastAsia="Times New Roman" w:cs="Times New Roman"/>
                <w:sz w:val="11"/>
                <w:szCs w:val="11"/>
              </w:rPr>
            </w:pPr>
            <w:r>
              <w:rPr>
                <w:rFonts w:ascii="Times New Roman" w:hAnsi="Times New Roman" w:eastAsia="Times New Roman" w:cs="Times New Roman"/>
                <w:sz w:val="18"/>
                <w:szCs w:val="18"/>
              </w:rPr>
              <w:t>G</w:t>
            </w:r>
            <w:r>
              <w:rPr>
                <w:rFonts w:ascii="Times New Roman" w:hAnsi="Times New Roman" w:eastAsia="Times New Roman" w:cs="Times New Roman"/>
                <w:sz w:val="11"/>
                <w:szCs w:val="11"/>
              </w:rPr>
              <w:t>1-6</w:t>
            </w:r>
          </w:p>
        </w:tc>
        <w:tc>
          <w:tcPr>
            <w:tcW w:w="2010" w:type="dxa"/>
            <w:vMerge w:val="restart"/>
            <w:tcBorders>
              <w:bottom w:val="nil"/>
            </w:tcBorders>
            <w:vAlign w:val="top"/>
          </w:tcPr>
          <w:p w14:paraId="4361D1CC">
            <w:pPr>
              <w:spacing w:line="282" w:lineRule="auto"/>
              <w:rPr>
                <w:rFonts w:ascii="Arial"/>
                <w:sz w:val="21"/>
              </w:rPr>
            </w:pPr>
          </w:p>
          <w:p w14:paraId="29303B4A">
            <w:pPr>
              <w:spacing w:line="282" w:lineRule="auto"/>
              <w:rPr>
                <w:rFonts w:ascii="Arial"/>
                <w:sz w:val="21"/>
              </w:rPr>
            </w:pPr>
          </w:p>
          <w:p w14:paraId="5DC3465D">
            <w:pPr>
              <w:pStyle w:val="6"/>
              <w:spacing w:before="58" w:line="219" w:lineRule="auto"/>
              <w:ind w:left="469"/>
              <w:rPr>
                <w:sz w:val="18"/>
                <w:szCs w:val="18"/>
              </w:rPr>
            </w:pPr>
            <w:r>
              <w:rPr>
                <w:spacing w:val="-2"/>
                <w:sz w:val="18"/>
                <w:szCs w:val="18"/>
              </w:rPr>
              <w:t>烧结机头废气</w:t>
            </w:r>
          </w:p>
        </w:tc>
        <w:tc>
          <w:tcPr>
            <w:tcW w:w="1080" w:type="dxa"/>
            <w:vMerge w:val="restart"/>
            <w:tcBorders>
              <w:bottom w:val="nil"/>
            </w:tcBorders>
            <w:vAlign w:val="top"/>
          </w:tcPr>
          <w:p w14:paraId="4753D926">
            <w:pPr>
              <w:spacing w:line="282" w:lineRule="auto"/>
              <w:rPr>
                <w:rFonts w:ascii="Arial"/>
                <w:sz w:val="21"/>
              </w:rPr>
            </w:pPr>
          </w:p>
          <w:p w14:paraId="32EE9494">
            <w:pPr>
              <w:spacing w:line="282" w:lineRule="auto"/>
              <w:rPr>
                <w:rFonts w:ascii="Arial"/>
                <w:sz w:val="21"/>
              </w:rPr>
            </w:pPr>
          </w:p>
          <w:p w14:paraId="7BD5DE54">
            <w:pPr>
              <w:pStyle w:val="6"/>
              <w:spacing w:before="58" w:line="220" w:lineRule="auto"/>
              <w:ind w:left="275"/>
              <w:rPr>
                <w:sz w:val="18"/>
                <w:szCs w:val="18"/>
              </w:rPr>
            </w:pPr>
            <w:r>
              <w:rPr>
                <w:spacing w:val="-3"/>
                <w:sz w:val="18"/>
                <w:szCs w:val="18"/>
              </w:rPr>
              <w:t>有组织</w:t>
            </w:r>
          </w:p>
        </w:tc>
        <w:tc>
          <w:tcPr>
            <w:tcW w:w="730" w:type="dxa"/>
            <w:vMerge w:val="restart"/>
            <w:tcBorders>
              <w:bottom w:val="nil"/>
            </w:tcBorders>
            <w:vAlign w:val="top"/>
          </w:tcPr>
          <w:p w14:paraId="5E3057D0">
            <w:pPr>
              <w:spacing w:line="282" w:lineRule="auto"/>
              <w:rPr>
                <w:rFonts w:ascii="Arial"/>
                <w:sz w:val="21"/>
              </w:rPr>
            </w:pPr>
          </w:p>
          <w:p w14:paraId="658E6439">
            <w:pPr>
              <w:spacing w:line="282" w:lineRule="auto"/>
              <w:rPr>
                <w:rFonts w:ascii="Arial"/>
                <w:sz w:val="21"/>
              </w:rPr>
            </w:pPr>
          </w:p>
          <w:p w14:paraId="0EADAC19">
            <w:pPr>
              <w:pStyle w:val="6"/>
              <w:spacing w:before="58" w:line="220" w:lineRule="auto"/>
              <w:ind w:left="189"/>
              <w:rPr>
                <w:sz w:val="18"/>
                <w:szCs w:val="18"/>
              </w:rPr>
            </w:pPr>
            <w:r>
              <w:rPr>
                <w:spacing w:val="-4"/>
                <w:sz w:val="18"/>
                <w:szCs w:val="18"/>
              </w:rPr>
              <w:t>连续</w:t>
            </w:r>
          </w:p>
        </w:tc>
        <w:tc>
          <w:tcPr>
            <w:tcW w:w="1412" w:type="dxa"/>
            <w:vMerge w:val="restart"/>
            <w:tcBorders>
              <w:bottom w:val="nil"/>
            </w:tcBorders>
            <w:vAlign w:val="top"/>
          </w:tcPr>
          <w:p w14:paraId="0366BA2B">
            <w:pPr>
              <w:spacing w:line="398" w:lineRule="auto"/>
              <w:rPr>
                <w:rFonts w:ascii="Arial"/>
                <w:sz w:val="21"/>
              </w:rPr>
            </w:pPr>
          </w:p>
          <w:p w14:paraId="7AAA50A5">
            <w:pPr>
              <w:pStyle w:val="6"/>
              <w:spacing w:before="59" w:line="322" w:lineRule="auto"/>
              <w:ind w:left="259" w:right="254"/>
              <w:rPr>
                <w:sz w:val="18"/>
                <w:szCs w:val="18"/>
              </w:rPr>
            </w:pPr>
            <w:r>
              <w:rPr>
                <w:spacing w:val="-2"/>
                <w:sz w:val="18"/>
                <w:szCs w:val="18"/>
              </w:rPr>
              <w:t>产污系数法</w:t>
            </w:r>
            <w:r>
              <w:rPr>
                <w:spacing w:val="1"/>
                <w:sz w:val="18"/>
                <w:szCs w:val="18"/>
              </w:rPr>
              <w:t xml:space="preserve"> </w:t>
            </w:r>
            <w:r>
              <w:rPr>
                <w:spacing w:val="-2"/>
                <w:sz w:val="18"/>
                <w:szCs w:val="18"/>
              </w:rPr>
              <w:t>物料衡算法</w:t>
            </w:r>
          </w:p>
        </w:tc>
        <w:tc>
          <w:tcPr>
            <w:tcW w:w="1209" w:type="dxa"/>
            <w:vMerge w:val="restart"/>
            <w:tcBorders>
              <w:bottom w:val="nil"/>
            </w:tcBorders>
            <w:vAlign w:val="top"/>
          </w:tcPr>
          <w:p w14:paraId="330C373C">
            <w:pPr>
              <w:spacing w:line="307" w:lineRule="auto"/>
              <w:rPr>
                <w:rFonts w:ascii="Arial"/>
                <w:sz w:val="21"/>
              </w:rPr>
            </w:pPr>
          </w:p>
          <w:p w14:paraId="4EB0299E">
            <w:pPr>
              <w:spacing w:line="307" w:lineRule="auto"/>
              <w:rPr>
                <w:rFonts w:ascii="Arial"/>
                <w:sz w:val="21"/>
              </w:rPr>
            </w:pPr>
          </w:p>
          <w:p w14:paraId="32CFF085">
            <w:pPr>
              <w:spacing w:before="51" w:line="188" w:lineRule="auto"/>
              <w:ind w:left="35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180000</w:t>
            </w:r>
          </w:p>
        </w:tc>
        <w:tc>
          <w:tcPr>
            <w:tcW w:w="1740" w:type="dxa"/>
            <w:vAlign w:val="top"/>
          </w:tcPr>
          <w:p w14:paraId="12908C7D">
            <w:pPr>
              <w:pStyle w:val="6"/>
              <w:spacing w:before="98" w:line="220" w:lineRule="auto"/>
              <w:ind w:left="604"/>
              <w:rPr>
                <w:sz w:val="18"/>
                <w:szCs w:val="18"/>
              </w:rPr>
            </w:pPr>
            <w:r>
              <w:rPr>
                <w:spacing w:val="-3"/>
                <w:sz w:val="18"/>
                <w:szCs w:val="18"/>
              </w:rPr>
              <w:t>颗粒物</w:t>
            </w:r>
          </w:p>
        </w:tc>
        <w:tc>
          <w:tcPr>
            <w:tcW w:w="989" w:type="dxa"/>
            <w:vAlign w:val="top"/>
          </w:tcPr>
          <w:p w14:paraId="16A0B82C">
            <w:pPr>
              <w:spacing w:before="127" w:line="188" w:lineRule="auto"/>
              <w:ind w:left="20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2335.74</w:t>
            </w:r>
          </w:p>
        </w:tc>
        <w:tc>
          <w:tcPr>
            <w:tcW w:w="993" w:type="dxa"/>
            <w:vAlign w:val="top"/>
          </w:tcPr>
          <w:p w14:paraId="3C9E9FE2">
            <w:pPr>
              <w:spacing w:before="141" w:line="188" w:lineRule="auto"/>
              <w:ind w:left="25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343.84</w:t>
            </w:r>
          </w:p>
        </w:tc>
        <w:tc>
          <w:tcPr>
            <w:tcW w:w="1131" w:type="dxa"/>
            <w:vAlign w:val="top"/>
          </w:tcPr>
          <w:p w14:paraId="2A8DA18F">
            <w:pPr>
              <w:spacing w:before="141" w:line="188" w:lineRule="auto"/>
              <w:ind w:left="27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2750.69</w:t>
            </w:r>
          </w:p>
        </w:tc>
        <w:tc>
          <w:tcPr>
            <w:tcW w:w="1313" w:type="dxa"/>
            <w:vMerge w:val="restart"/>
            <w:tcBorders>
              <w:bottom w:val="nil"/>
            </w:tcBorders>
            <w:vAlign w:val="top"/>
          </w:tcPr>
          <w:p w14:paraId="7E9D8D79">
            <w:pPr>
              <w:pStyle w:val="6"/>
              <w:spacing w:before="297" w:line="219" w:lineRule="auto"/>
              <w:ind w:left="69"/>
              <w:rPr>
                <w:sz w:val="18"/>
                <w:szCs w:val="18"/>
              </w:rPr>
            </w:pPr>
            <w:r>
              <w:rPr>
                <w:spacing w:val="-2"/>
                <w:sz w:val="18"/>
                <w:szCs w:val="18"/>
              </w:rPr>
              <w:t>布袋除尘器</w:t>
            </w:r>
            <w:r>
              <w:rPr>
                <w:rFonts w:ascii="Times New Roman" w:hAnsi="Times New Roman" w:eastAsia="Times New Roman" w:cs="Times New Roman"/>
                <w:spacing w:val="-2"/>
                <w:sz w:val="18"/>
                <w:szCs w:val="18"/>
              </w:rPr>
              <w:t>+</w:t>
            </w:r>
            <w:r>
              <w:rPr>
                <w:spacing w:val="-2"/>
                <w:sz w:val="18"/>
                <w:szCs w:val="18"/>
              </w:rPr>
              <w:t>石</w:t>
            </w:r>
          </w:p>
          <w:p w14:paraId="659E750D">
            <w:pPr>
              <w:pStyle w:val="6"/>
              <w:spacing w:before="115" w:line="219" w:lineRule="auto"/>
              <w:ind w:left="92"/>
              <w:rPr>
                <w:sz w:val="18"/>
                <w:szCs w:val="18"/>
              </w:rPr>
            </w:pPr>
            <w:r>
              <w:rPr>
                <w:spacing w:val="-2"/>
                <w:sz w:val="18"/>
                <w:szCs w:val="18"/>
              </w:rPr>
              <w:t>灰石</w:t>
            </w:r>
            <w:r>
              <w:rPr>
                <w:rFonts w:ascii="Times New Roman" w:hAnsi="Times New Roman" w:eastAsia="Times New Roman" w:cs="Times New Roman"/>
                <w:spacing w:val="-2"/>
                <w:sz w:val="18"/>
                <w:szCs w:val="18"/>
              </w:rPr>
              <w:t>-</w:t>
            </w:r>
            <w:r>
              <w:rPr>
                <w:spacing w:val="-2"/>
                <w:sz w:val="18"/>
                <w:szCs w:val="18"/>
              </w:rPr>
              <w:t>石膏脱硫</w:t>
            </w:r>
          </w:p>
          <w:p w14:paraId="62112127">
            <w:pPr>
              <w:pStyle w:val="6"/>
              <w:spacing w:before="113" w:line="221" w:lineRule="auto"/>
              <w:ind w:left="571"/>
              <w:rPr>
                <w:sz w:val="18"/>
                <w:szCs w:val="18"/>
              </w:rPr>
            </w:pPr>
            <w:r>
              <w:rPr>
                <w:sz w:val="18"/>
                <w:szCs w:val="18"/>
              </w:rPr>
              <w:t>塔</w:t>
            </w:r>
          </w:p>
        </w:tc>
        <w:tc>
          <w:tcPr>
            <w:tcW w:w="1058" w:type="dxa"/>
            <w:vMerge w:val="restart"/>
            <w:tcBorders>
              <w:bottom w:val="nil"/>
            </w:tcBorders>
            <w:vAlign w:val="top"/>
          </w:tcPr>
          <w:p w14:paraId="7434AF88">
            <w:pPr>
              <w:spacing w:line="400" w:lineRule="auto"/>
              <w:rPr>
                <w:rFonts w:ascii="Arial"/>
                <w:sz w:val="21"/>
              </w:rPr>
            </w:pPr>
          </w:p>
          <w:p w14:paraId="1F7C1D28">
            <w:pPr>
              <w:pStyle w:val="6"/>
              <w:spacing w:before="58" w:line="322" w:lineRule="auto"/>
              <w:ind w:left="264" w:right="233" w:hanging="14"/>
              <w:rPr>
                <w:rFonts w:ascii="Times New Roman" w:hAnsi="Times New Roman" w:eastAsia="Times New Roman" w:cs="Times New Roman"/>
                <w:sz w:val="18"/>
                <w:szCs w:val="18"/>
              </w:rPr>
            </w:pPr>
            <w:r>
              <w:rPr>
                <w:spacing w:val="-6"/>
                <w:sz w:val="18"/>
                <w:szCs w:val="18"/>
              </w:rPr>
              <w:t>除尘</w:t>
            </w:r>
            <w:r>
              <w:rPr>
                <w:spacing w:val="-38"/>
                <w:sz w:val="18"/>
                <w:szCs w:val="18"/>
              </w:rPr>
              <w:t xml:space="preserve"> </w:t>
            </w:r>
            <w:r>
              <w:rPr>
                <w:rFonts w:ascii="Times New Roman" w:hAnsi="Times New Roman" w:eastAsia="Times New Roman" w:cs="Times New Roman"/>
                <w:spacing w:val="-6"/>
                <w:sz w:val="18"/>
                <w:szCs w:val="18"/>
              </w:rPr>
              <w:t>99</w:t>
            </w:r>
            <w:r>
              <w:rPr>
                <w:rFonts w:ascii="Times New Roman" w:hAnsi="Times New Roman" w:eastAsia="Times New Roman" w:cs="Times New Roman"/>
                <w:sz w:val="18"/>
                <w:szCs w:val="18"/>
              </w:rPr>
              <w:t xml:space="preserve"> </w:t>
            </w:r>
            <w:r>
              <w:rPr>
                <w:spacing w:val="-2"/>
                <w:sz w:val="18"/>
                <w:szCs w:val="18"/>
              </w:rPr>
              <w:t>脱硫</w:t>
            </w:r>
            <w:r>
              <w:rPr>
                <w:rFonts w:ascii="Times New Roman" w:hAnsi="Times New Roman" w:eastAsia="Times New Roman" w:cs="Times New Roman"/>
                <w:spacing w:val="-2"/>
                <w:sz w:val="18"/>
                <w:szCs w:val="18"/>
              </w:rPr>
              <w:t>88</w:t>
            </w:r>
          </w:p>
        </w:tc>
        <w:tc>
          <w:tcPr>
            <w:tcW w:w="980" w:type="dxa"/>
            <w:vAlign w:val="top"/>
          </w:tcPr>
          <w:p w14:paraId="023B0D30">
            <w:pPr>
              <w:spacing w:before="127" w:line="188" w:lineRule="auto"/>
              <w:ind w:left="30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18.23</w:t>
            </w:r>
          </w:p>
        </w:tc>
        <w:tc>
          <w:tcPr>
            <w:tcW w:w="980" w:type="dxa"/>
            <w:vAlign w:val="top"/>
          </w:tcPr>
          <w:p w14:paraId="577A004C">
            <w:pPr>
              <w:spacing w:before="127" w:line="188" w:lineRule="auto"/>
              <w:ind w:left="33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6.38</w:t>
            </w:r>
          </w:p>
        </w:tc>
        <w:tc>
          <w:tcPr>
            <w:tcW w:w="661" w:type="dxa"/>
            <w:vMerge w:val="restart"/>
            <w:tcBorders>
              <w:bottom w:val="nil"/>
            </w:tcBorders>
            <w:vAlign w:val="top"/>
          </w:tcPr>
          <w:p w14:paraId="5CB2B5F2">
            <w:pPr>
              <w:spacing w:line="299" w:lineRule="auto"/>
              <w:rPr>
                <w:rFonts w:ascii="Arial"/>
                <w:sz w:val="21"/>
              </w:rPr>
            </w:pPr>
          </w:p>
          <w:p w14:paraId="7AE2297E">
            <w:pPr>
              <w:spacing w:line="300" w:lineRule="auto"/>
              <w:rPr>
                <w:rFonts w:ascii="Arial"/>
                <w:sz w:val="21"/>
              </w:rPr>
            </w:pPr>
          </w:p>
          <w:p w14:paraId="700D571C">
            <w:pPr>
              <w:spacing w:before="52"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0FD7A1C2">
            <w:pPr>
              <w:spacing w:before="127" w:line="188" w:lineRule="auto"/>
              <w:ind w:left="32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51.06</w:t>
            </w:r>
          </w:p>
        </w:tc>
        <w:tc>
          <w:tcPr>
            <w:tcW w:w="639" w:type="dxa"/>
            <w:vMerge w:val="restart"/>
            <w:tcBorders>
              <w:bottom w:val="nil"/>
            </w:tcBorders>
            <w:vAlign w:val="top"/>
          </w:tcPr>
          <w:p w14:paraId="33B4D557">
            <w:pPr>
              <w:spacing w:line="316" w:lineRule="auto"/>
              <w:rPr>
                <w:rFonts w:ascii="Arial"/>
                <w:sz w:val="21"/>
              </w:rPr>
            </w:pPr>
          </w:p>
          <w:p w14:paraId="4D9FAA18">
            <w:pPr>
              <w:spacing w:line="317" w:lineRule="auto"/>
              <w:rPr>
                <w:rFonts w:ascii="Arial"/>
                <w:sz w:val="21"/>
              </w:rPr>
            </w:pPr>
          </w:p>
          <w:p w14:paraId="6B4DEC4C">
            <w:pPr>
              <w:spacing w:line="317" w:lineRule="auto"/>
              <w:rPr>
                <w:rFonts w:ascii="Arial"/>
                <w:sz w:val="21"/>
              </w:rPr>
            </w:pPr>
          </w:p>
          <w:p w14:paraId="15C1C8B9">
            <w:pPr>
              <w:spacing w:before="52" w:line="188" w:lineRule="auto"/>
              <w:ind w:left="23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30</w:t>
            </w:r>
          </w:p>
        </w:tc>
        <w:tc>
          <w:tcPr>
            <w:tcW w:w="812" w:type="dxa"/>
            <w:vMerge w:val="restart"/>
            <w:tcBorders>
              <w:bottom w:val="nil"/>
            </w:tcBorders>
            <w:vAlign w:val="top"/>
          </w:tcPr>
          <w:p w14:paraId="6A6C1A17">
            <w:pPr>
              <w:spacing w:line="316" w:lineRule="auto"/>
              <w:rPr>
                <w:rFonts w:ascii="Arial"/>
                <w:sz w:val="21"/>
              </w:rPr>
            </w:pPr>
          </w:p>
          <w:p w14:paraId="1F9CB002">
            <w:pPr>
              <w:spacing w:line="317" w:lineRule="auto"/>
              <w:rPr>
                <w:rFonts w:ascii="Arial"/>
                <w:sz w:val="21"/>
              </w:rPr>
            </w:pPr>
          </w:p>
          <w:p w14:paraId="5366FED3">
            <w:pPr>
              <w:spacing w:line="317" w:lineRule="auto"/>
              <w:rPr>
                <w:rFonts w:ascii="Arial"/>
                <w:sz w:val="21"/>
              </w:rPr>
            </w:pPr>
          </w:p>
          <w:p w14:paraId="4F4E640C">
            <w:pPr>
              <w:spacing w:before="52" w:line="188" w:lineRule="auto"/>
              <w:ind w:left="29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w:t>
            </w:r>
          </w:p>
        </w:tc>
        <w:tc>
          <w:tcPr>
            <w:tcW w:w="799" w:type="dxa"/>
            <w:vMerge w:val="restart"/>
            <w:tcBorders>
              <w:bottom w:val="nil"/>
            </w:tcBorders>
            <w:vAlign w:val="top"/>
          </w:tcPr>
          <w:p w14:paraId="6B44A373">
            <w:pPr>
              <w:spacing w:line="316" w:lineRule="auto"/>
              <w:rPr>
                <w:rFonts w:ascii="Arial"/>
                <w:sz w:val="21"/>
              </w:rPr>
            </w:pPr>
          </w:p>
          <w:p w14:paraId="045AD66F">
            <w:pPr>
              <w:spacing w:line="317" w:lineRule="auto"/>
              <w:rPr>
                <w:rFonts w:ascii="Arial"/>
                <w:sz w:val="21"/>
              </w:rPr>
            </w:pPr>
          </w:p>
          <w:p w14:paraId="133E9C6A">
            <w:pPr>
              <w:spacing w:line="317" w:lineRule="auto"/>
              <w:rPr>
                <w:rFonts w:ascii="Arial"/>
                <w:sz w:val="21"/>
              </w:rPr>
            </w:pPr>
          </w:p>
          <w:p w14:paraId="2A87D396">
            <w:pPr>
              <w:spacing w:before="52" w:line="188" w:lineRule="auto"/>
              <w:ind w:left="28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1196" w:type="dxa"/>
            <w:vMerge w:val="restart"/>
            <w:tcBorders>
              <w:bottom w:val="nil"/>
              <w:right w:val="nil"/>
            </w:tcBorders>
            <w:vAlign w:val="top"/>
          </w:tcPr>
          <w:p w14:paraId="5F306F41">
            <w:pPr>
              <w:spacing w:line="316" w:lineRule="auto"/>
              <w:rPr>
                <w:rFonts w:ascii="Arial"/>
                <w:sz w:val="21"/>
              </w:rPr>
            </w:pPr>
          </w:p>
          <w:p w14:paraId="6ACF4F78">
            <w:pPr>
              <w:spacing w:line="317" w:lineRule="auto"/>
              <w:rPr>
                <w:rFonts w:ascii="Arial"/>
                <w:sz w:val="21"/>
              </w:rPr>
            </w:pPr>
          </w:p>
          <w:p w14:paraId="1269E5F7">
            <w:pPr>
              <w:spacing w:line="317" w:lineRule="auto"/>
              <w:rPr>
                <w:rFonts w:ascii="Arial"/>
                <w:sz w:val="21"/>
              </w:rPr>
            </w:pPr>
          </w:p>
          <w:p w14:paraId="7E51BE50">
            <w:pPr>
              <w:spacing w:before="52" w:line="188" w:lineRule="auto"/>
              <w:ind w:left="33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DA004</w:t>
            </w:r>
          </w:p>
        </w:tc>
      </w:tr>
      <w:tr w14:paraId="4DADBB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bottom w:val="nil"/>
            </w:tcBorders>
            <w:vAlign w:val="top"/>
          </w:tcPr>
          <w:p w14:paraId="21D96486">
            <w:pPr>
              <w:rPr>
                <w:rFonts w:ascii="Arial"/>
                <w:sz w:val="21"/>
              </w:rPr>
            </w:pPr>
          </w:p>
        </w:tc>
        <w:tc>
          <w:tcPr>
            <w:tcW w:w="2010" w:type="dxa"/>
            <w:vMerge w:val="continue"/>
            <w:tcBorders>
              <w:top w:val="nil"/>
              <w:bottom w:val="nil"/>
            </w:tcBorders>
            <w:vAlign w:val="top"/>
          </w:tcPr>
          <w:p w14:paraId="3B7E885F">
            <w:pPr>
              <w:rPr>
                <w:rFonts w:ascii="Arial"/>
                <w:sz w:val="21"/>
              </w:rPr>
            </w:pPr>
          </w:p>
        </w:tc>
        <w:tc>
          <w:tcPr>
            <w:tcW w:w="1080" w:type="dxa"/>
            <w:vMerge w:val="continue"/>
            <w:tcBorders>
              <w:top w:val="nil"/>
              <w:bottom w:val="nil"/>
            </w:tcBorders>
            <w:vAlign w:val="top"/>
          </w:tcPr>
          <w:p w14:paraId="24DA5C5A">
            <w:pPr>
              <w:rPr>
                <w:rFonts w:ascii="Arial"/>
                <w:sz w:val="21"/>
              </w:rPr>
            </w:pPr>
          </w:p>
        </w:tc>
        <w:tc>
          <w:tcPr>
            <w:tcW w:w="730" w:type="dxa"/>
            <w:vMerge w:val="continue"/>
            <w:tcBorders>
              <w:top w:val="nil"/>
              <w:bottom w:val="nil"/>
            </w:tcBorders>
            <w:vAlign w:val="top"/>
          </w:tcPr>
          <w:p w14:paraId="276F1435">
            <w:pPr>
              <w:rPr>
                <w:rFonts w:ascii="Arial"/>
                <w:sz w:val="21"/>
              </w:rPr>
            </w:pPr>
          </w:p>
        </w:tc>
        <w:tc>
          <w:tcPr>
            <w:tcW w:w="1412" w:type="dxa"/>
            <w:vMerge w:val="continue"/>
            <w:tcBorders>
              <w:top w:val="nil"/>
              <w:bottom w:val="nil"/>
            </w:tcBorders>
            <w:vAlign w:val="top"/>
          </w:tcPr>
          <w:p w14:paraId="7C99A727">
            <w:pPr>
              <w:rPr>
                <w:rFonts w:ascii="Arial"/>
                <w:sz w:val="21"/>
              </w:rPr>
            </w:pPr>
          </w:p>
        </w:tc>
        <w:tc>
          <w:tcPr>
            <w:tcW w:w="1209" w:type="dxa"/>
            <w:vMerge w:val="continue"/>
            <w:tcBorders>
              <w:top w:val="nil"/>
              <w:bottom w:val="nil"/>
            </w:tcBorders>
            <w:vAlign w:val="top"/>
          </w:tcPr>
          <w:p w14:paraId="570E4834">
            <w:pPr>
              <w:rPr>
                <w:rFonts w:ascii="Arial"/>
                <w:sz w:val="21"/>
              </w:rPr>
            </w:pPr>
          </w:p>
        </w:tc>
        <w:tc>
          <w:tcPr>
            <w:tcW w:w="1740" w:type="dxa"/>
            <w:vAlign w:val="top"/>
          </w:tcPr>
          <w:p w14:paraId="0D17DEAD">
            <w:pPr>
              <w:pStyle w:val="6"/>
              <w:spacing w:before="97" w:line="221" w:lineRule="auto"/>
              <w:ind w:left="334"/>
              <w:rPr>
                <w:sz w:val="18"/>
                <w:szCs w:val="18"/>
              </w:rPr>
            </w:pPr>
            <w:r>
              <w:rPr>
                <w:spacing w:val="-2"/>
                <w:sz w:val="18"/>
                <w:szCs w:val="18"/>
              </w:rPr>
              <w:t>锰及其化合物</w:t>
            </w:r>
          </w:p>
        </w:tc>
        <w:tc>
          <w:tcPr>
            <w:tcW w:w="989" w:type="dxa"/>
            <w:vAlign w:val="top"/>
          </w:tcPr>
          <w:p w14:paraId="2B2FBC4E">
            <w:pPr>
              <w:spacing w:before="129" w:line="188" w:lineRule="auto"/>
              <w:ind w:left="25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830.59</w:t>
            </w:r>
          </w:p>
        </w:tc>
        <w:tc>
          <w:tcPr>
            <w:tcW w:w="993" w:type="dxa"/>
            <w:vAlign w:val="top"/>
          </w:tcPr>
          <w:p w14:paraId="5D250B3A">
            <w:pPr>
              <w:spacing w:before="129" w:line="188" w:lineRule="auto"/>
              <w:ind w:left="26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122.27</w:t>
            </w:r>
          </w:p>
        </w:tc>
        <w:tc>
          <w:tcPr>
            <w:tcW w:w="1131" w:type="dxa"/>
            <w:vAlign w:val="top"/>
          </w:tcPr>
          <w:p w14:paraId="2D9E541B">
            <w:pPr>
              <w:spacing w:before="129" w:line="188" w:lineRule="auto"/>
              <w:ind w:left="32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978.15</w:t>
            </w:r>
          </w:p>
        </w:tc>
        <w:tc>
          <w:tcPr>
            <w:tcW w:w="1313" w:type="dxa"/>
            <w:vMerge w:val="continue"/>
            <w:tcBorders>
              <w:top w:val="nil"/>
              <w:bottom w:val="nil"/>
            </w:tcBorders>
            <w:vAlign w:val="top"/>
          </w:tcPr>
          <w:p w14:paraId="51812645">
            <w:pPr>
              <w:rPr>
                <w:rFonts w:ascii="Arial"/>
                <w:sz w:val="21"/>
              </w:rPr>
            </w:pPr>
          </w:p>
        </w:tc>
        <w:tc>
          <w:tcPr>
            <w:tcW w:w="1058" w:type="dxa"/>
            <w:vMerge w:val="continue"/>
            <w:tcBorders>
              <w:top w:val="nil"/>
              <w:bottom w:val="nil"/>
            </w:tcBorders>
            <w:vAlign w:val="top"/>
          </w:tcPr>
          <w:p w14:paraId="26D63288">
            <w:pPr>
              <w:rPr>
                <w:rFonts w:ascii="Arial"/>
                <w:sz w:val="21"/>
              </w:rPr>
            </w:pPr>
          </w:p>
        </w:tc>
        <w:tc>
          <w:tcPr>
            <w:tcW w:w="980" w:type="dxa"/>
            <w:vAlign w:val="top"/>
          </w:tcPr>
          <w:p w14:paraId="4DAE05D8">
            <w:pPr>
              <w:spacing w:before="129" w:line="188" w:lineRule="auto"/>
              <w:ind w:left="33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5.01</w:t>
            </w:r>
          </w:p>
        </w:tc>
        <w:tc>
          <w:tcPr>
            <w:tcW w:w="980" w:type="dxa"/>
            <w:vAlign w:val="top"/>
          </w:tcPr>
          <w:p w14:paraId="1CC45DB8">
            <w:pPr>
              <w:spacing w:before="129" w:line="188" w:lineRule="auto"/>
              <w:ind w:left="349"/>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1.75</w:t>
            </w:r>
          </w:p>
        </w:tc>
        <w:tc>
          <w:tcPr>
            <w:tcW w:w="661" w:type="dxa"/>
            <w:vMerge w:val="continue"/>
            <w:tcBorders>
              <w:top w:val="nil"/>
              <w:bottom w:val="nil"/>
            </w:tcBorders>
            <w:vAlign w:val="top"/>
          </w:tcPr>
          <w:p w14:paraId="24B5B8EC">
            <w:pPr>
              <w:rPr>
                <w:rFonts w:ascii="Arial"/>
                <w:sz w:val="21"/>
              </w:rPr>
            </w:pPr>
          </w:p>
        </w:tc>
        <w:tc>
          <w:tcPr>
            <w:tcW w:w="1036" w:type="dxa"/>
            <w:vAlign w:val="top"/>
          </w:tcPr>
          <w:p w14:paraId="061282AC">
            <w:pPr>
              <w:spacing w:before="129" w:line="188" w:lineRule="auto"/>
              <w:ind w:left="33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14.02</w:t>
            </w:r>
          </w:p>
        </w:tc>
        <w:tc>
          <w:tcPr>
            <w:tcW w:w="639" w:type="dxa"/>
            <w:vMerge w:val="continue"/>
            <w:tcBorders>
              <w:top w:val="nil"/>
              <w:bottom w:val="nil"/>
            </w:tcBorders>
            <w:vAlign w:val="top"/>
          </w:tcPr>
          <w:p w14:paraId="3D3A1F24">
            <w:pPr>
              <w:rPr>
                <w:rFonts w:ascii="Arial"/>
                <w:sz w:val="21"/>
              </w:rPr>
            </w:pPr>
          </w:p>
        </w:tc>
        <w:tc>
          <w:tcPr>
            <w:tcW w:w="812" w:type="dxa"/>
            <w:vMerge w:val="continue"/>
            <w:tcBorders>
              <w:top w:val="nil"/>
              <w:bottom w:val="nil"/>
            </w:tcBorders>
            <w:vAlign w:val="top"/>
          </w:tcPr>
          <w:p w14:paraId="12891344">
            <w:pPr>
              <w:rPr>
                <w:rFonts w:ascii="Arial"/>
                <w:sz w:val="21"/>
              </w:rPr>
            </w:pPr>
          </w:p>
        </w:tc>
        <w:tc>
          <w:tcPr>
            <w:tcW w:w="799" w:type="dxa"/>
            <w:vMerge w:val="continue"/>
            <w:tcBorders>
              <w:top w:val="nil"/>
              <w:bottom w:val="nil"/>
            </w:tcBorders>
            <w:vAlign w:val="top"/>
          </w:tcPr>
          <w:p w14:paraId="7B940FDF">
            <w:pPr>
              <w:rPr>
                <w:rFonts w:ascii="Arial"/>
                <w:sz w:val="21"/>
              </w:rPr>
            </w:pPr>
          </w:p>
        </w:tc>
        <w:tc>
          <w:tcPr>
            <w:tcW w:w="1196" w:type="dxa"/>
            <w:vMerge w:val="continue"/>
            <w:tcBorders>
              <w:top w:val="nil"/>
              <w:bottom w:val="nil"/>
              <w:right w:val="nil"/>
            </w:tcBorders>
            <w:vAlign w:val="top"/>
          </w:tcPr>
          <w:p w14:paraId="1B035201">
            <w:pPr>
              <w:rPr>
                <w:rFonts w:ascii="Arial"/>
                <w:sz w:val="21"/>
              </w:rPr>
            </w:pPr>
          </w:p>
        </w:tc>
      </w:tr>
      <w:tr w14:paraId="481D74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bottom w:val="nil"/>
            </w:tcBorders>
            <w:vAlign w:val="top"/>
          </w:tcPr>
          <w:p w14:paraId="53224644">
            <w:pPr>
              <w:rPr>
                <w:rFonts w:ascii="Arial"/>
                <w:sz w:val="21"/>
              </w:rPr>
            </w:pPr>
          </w:p>
        </w:tc>
        <w:tc>
          <w:tcPr>
            <w:tcW w:w="2010" w:type="dxa"/>
            <w:vMerge w:val="continue"/>
            <w:tcBorders>
              <w:top w:val="nil"/>
              <w:bottom w:val="nil"/>
            </w:tcBorders>
            <w:vAlign w:val="top"/>
          </w:tcPr>
          <w:p w14:paraId="52199511">
            <w:pPr>
              <w:rPr>
                <w:rFonts w:ascii="Arial"/>
                <w:sz w:val="21"/>
              </w:rPr>
            </w:pPr>
          </w:p>
        </w:tc>
        <w:tc>
          <w:tcPr>
            <w:tcW w:w="1080" w:type="dxa"/>
            <w:vMerge w:val="continue"/>
            <w:tcBorders>
              <w:top w:val="nil"/>
              <w:bottom w:val="nil"/>
            </w:tcBorders>
            <w:vAlign w:val="top"/>
          </w:tcPr>
          <w:p w14:paraId="5DCA6BA0">
            <w:pPr>
              <w:rPr>
                <w:rFonts w:ascii="Arial"/>
                <w:sz w:val="21"/>
              </w:rPr>
            </w:pPr>
          </w:p>
        </w:tc>
        <w:tc>
          <w:tcPr>
            <w:tcW w:w="730" w:type="dxa"/>
            <w:vMerge w:val="continue"/>
            <w:tcBorders>
              <w:top w:val="nil"/>
              <w:bottom w:val="nil"/>
            </w:tcBorders>
            <w:vAlign w:val="top"/>
          </w:tcPr>
          <w:p w14:paraId="144E034F">
            <w:pPr>
              <w:rPr>
                <w:rFonts w:ascii="Arial"/>
                <w:sz w:val="21"/>
              </w:rPr>
            </w:pPr>
          </w:p>
        </w:tc>
        <w:tc>
          <w:tcPr>
            <w:tcW w:w="1412" w:type="dxa"/>
            <w:vMerge w:val="continue"/>
            <w:tcBorders>
              <w:top w:val="nil"/>
              <w:bottom w:val="nil"/>
            </w:tcBorders>
            <w:vAlign w:val="top"/>
          </w:tcPr>
          <w:p w14:paraId="7AC14BDA">
            <w:pPr>
              <w:rPr>
                <w:rFonts w:ascii="Arial"/>
                <w:sz w:val="21"/>
              </w:rPr>
            </w:pPr>
          </w:p>
        </w:tc>
        <w:tc>
          <w:tcPr>
            <w:tcW w:w="1209" w:type="dxa"/>
            <w:vMerge w:val="continue"/>
            <w:tcBorders>
              <w:top w:val="nil"/>
              <w:bottom w:val="nil"/>
            </w:tcBorders>
            <w:vAlign w:val="top"/>
          </w:tcPr>
          <w:p w14:paraId="13E09113">
            <w:pPr>
              <w:rPr>
                <w:rFonts w:ascii="Arial"/>
                <w:sz w:val="21"/>
              </w:rPr>
            </w:pPr>
          </w:p>
        </w:tc>
        <w:tc>
          <w:tcPr>
            <w:tcW w:w="1740" w:type="dxa"/>
            <w:vAlign w:val="top"/>
          </w:tcPr>
          <w:p w14:paraId="6A2577D6">
            <w:pPr>
              <w:spacing w:before="127" w:line="194" w:lineRule="auto"/>
              <w:ind w:left="734"/>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tc>
        <w:tc>
          <w:tcPr>
            <w:tcW w:w="989" w:type="dxa"/>
            <w:vAlign w:val="top"/>
          </w:tcPr>
          <w:p w14:paraId="7E889DF8">
            <w:pPr>
              <w:spacing w:before="128" w:line="188" w:lineRule="auto"/>
              <w:ind w:left="24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469.47</w:t>
            </w:r>
          </w:p>
        </w:tc>
        <w:tc>
          <w:tcPr>
            <w:tcW w:w="993" w:type="dxa"/>
            <w:vAlign w:val="top"/>
          </w:tcPr>
          <w:p w14:paraId="11F6A52E">
            <w:pPr>
              <w:spacing w:before="142" w:line="188" w:lineRule="auto"/>
              <w:ind w:left="298"/>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69.</w:t>
            </w:r>
            <w:r>
              <w:rPr>
                <w:rFonts w:ascii="Times New Roman" w:hAnsi="Times New Roman" w:eastAsia="Times New Roman" w:cs="Times New Roman"/>
                <w:spacing w:val="-22"/>
                <w:sz w:val="18"/>
                <w:szCs w:val="18"/>
              </w:rPr>
              <w:t xml:space="preserve"> </w:t>
            </w:r>
            <w:r>
              <w:rPr>
                <w:rFonts w:ascii="Times New Roman" w:hAnsi="Times New Roman" w:eastAsia="Times New Roman" w:cs="Times New Roman"/>
                <w:spacing w:val="-6"/>
                <w:sz w:val="18"/>
                <w:szCs w:val="18"/>
              </w:rPr>
              <w:t>11</w:t>
            </w:r>
          </w:p>
        </w:tc>
        <w:tc>
          <w:tcPr>
            <w:tcW w:w="1131" w:type="dxa"/>
            <w:vAlign w:val="top"/>
          </w:tcPr>
          <w:p w14:paraId="4A6A942E">
            <w:pPr>
              <w:spacing w:before="142" w:line="188" w:lineRule="auto"/>
              <w:ind w:left="32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552.91</w:t>
            </w:r>
          </w:p>
        </w:tc>
        <w:tc>
          <w:tcPr>
            <w:tcW w:w="1313" w:type="dxa"/>
            <w:vMerge w:val="continue"/>
            <w:tcBorders>
              <w:top w:val="nil"/>
              <w:bottom w:val="nil"/>
            </w:tcBorders>
            <w:vAlign w:val="top"/>
          </w:tcPr>
          <w:p w14:paraId="77D0946B">
            <w:pPr>
              <w:rPr>
                <w:rFonts w:ascii="Arial"/>
                <w:sz w:val="21"/>
              </w:rPr>
            </w:pPr>
          </w:p>
        </w:tc>
        <w:tc>
          <w:tcPr>
            <w:tcW w:w="1058" w:type="dxa"/>
            <w:vMerge w:val="continue"/>
            <w:tcBorders>
              <w:top w:val="nil"/>
              <w:bottom w:val="nil"/>
            </w:tcBorders>
            <w:vAlign w:val="top"/>
          </w:tcPr>
          <w:p w14:paraId="46835F13">
            <w:pPr>
              <w:rPr>
                <w:rFonts w:ascii="Arial"/>
                <w:sz w:val="21"/>
              </w:rPr>
            </w:pPr>
          </w:p>
        </w:tc>
        <w:tc>
          <w:tcPr>
            <w:tcW w:w="980" w:type="dxa"/>
            <w:vAlign w:val="top"/>
          </w:tcPr>
          <w:p w14:paraId="2B48C373">
            <w:pPr>
              <w:spacing w:before="128" w:line="188" w:lineRule="auto"/>
              <w:ind w:left="28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23.70</w:t>
            </w:r>
          </w:p>
        </w:tc>
        <w:tc>
          <w:tcPr>
            <w:tcW w:w="980" w:type="dxa"/>
            <w:vAlign w:val="top"/>
          </w:tcPr>
          <w:p w14:paraId="7B864392">
            <w:pPr>
              <w:spacing w:before="128" w:line="188" w:lineRule="auto"/>
              <w:ind w:left="33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8.29</w:t>
            </w:r>
          </w:p>
        </w:tc>
        <w:tc>
          <w:tcPr>
            <w:tcW w:w="661" w:type="dxa"/>
            <w:vMerge w:val="continue"/>
            <w:tcBorders>
              <w:top w:val="nil"/>
              <w:bottom w:val="nil"/>
            </w:tcBorders>
            <w:vAlign w:val="top"/>
          </w:tcPr>
          <w:p w14:paraId="1637625E">
            <w:pPr>
              <w:rPr>
                <w:rFonts w:ascii="Arial"/>
                <w:sz w:val="21"/>
              </w:rPr>
            </w:pPr>
          </w:p>
        </w:tc>
        <w:tc>
          <w:tcPr>
            <w:tcW w:w="1036" w:type="dxa"/>
            <w:vAlign w:val="top"/>
          </w:tcPr>
          <w:p w14:paraId="64CEF31A">
            <w:pPr>
              <w:spacing w:before="128" w:line="188" w:lineRule="auto"/>
              <w:ind w:left="32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66.35</w:t>
            </w:r>
          </w:p>
        </w:tc>
        <w:tc>
          <w:tcPr>
            <w:tcW w:w="639" w:type="dxa"/>
            <w:vMerge w:val="continue"/>
            <w:tcBorders>
              <w:top w:val="nil"/>
              <w:bottom w:val="nil"/>
            </w:tcBorders>
            <w:vAlign w:val="top"/>
          </w:tcPr>
          <w:p w14:paraId="3E5111F9">
            <w:pPr>
              <w:rPr>
                <w:rFonts w:ascii="Arial"/>
                <w:sz w:val="21"/>
              </w:rPr>
            </w:pPr>
          </w:p>
        </w:tc>
        <w:tc>
          <w:tcPr>
            <w:tcW w:w="812" w:type="dxa"/>
            <w:vMerge w:val="continue"/>
            <w:tcBorders>
              <w:top w:val="nil"/>
              <w:bottom w:val="nil"/>
            </w:tcBorders>
            <w:vAlign w:val="top"/>
          </w:tcPr>
          <w:p w14:paraId="237C5182">
            <w:pPr>
              <w:rPr>
                <w:rFonts w:ascii="Arial"/>
                <w:sz w:val="21"/>
              </w:rPr>
            </w:pPr>
          </w:p>
        </w:tc>
        <w:tc>
          <w:tcPr>
            <w:tcW w:w="799" w:type="dxa"/>
            <w:vMerge w:val="continue"/>
            <w:tcBorders>
              <w:top w:val="nil"/>
              <w:bottom w:val="nil"/>
            </w:tcBorders>
            <w:vAlign w:val="top"/>
          </w:tcPr>
          <w:p w14:paraId="22A87273">
            <w:pPr>
              <w:rPr>
                <w:rFonts w:ascii="Arial"/>
                <w:sz w:val="21"/>
              </w:rPr>
            </w:pPr>
          </w:p>
        </w:tc>
        <w:tc>
          <w:tcPr>
            <w:tcW w:w="1196" w:type="dxa"/>
            <w:vMerge w:val="continue"/>
            <w:tcBorders>
              <w:top w:val="nil"/>
              <w:bottom w:val="nil"/>
              <w:right w:val="nil"/>
            </w:tcBorders>
            <w:vAlign w:val="top"/>
          </w:tcPr>
          <w:p w14:paraId="6F809AC7">
            <w:pPr>
              <w:rPr>
                <w:rFonts w:ascii="Arial"/>
                <w:sz w:val="21"/>
              </w:rPr>
            </w:pPr>
          </w:p>
        </w:tc>
      </w:tr>
      <w:tr w14:paraId="2392CB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tcBorders>
            <w:vAlign w:val="top"/>
          </w:tcPr>
          <w:p w14:paraId="7060543B">
            <w:pPr>
              <w:rPr>
                <w:rFonts w:ascii="Arial"/>
                <w:sz w:val="21"/>
              </w:rPr>
            </w:pPr>
          </w:p>
        </w:tc>
        <w:tc>
          <w:tcPr>
            <w:tcW w:w="2010" w:type="dxa"/>
            <w:vMerge w:val="continue"/>
            <w:tcBorders>
              <w:top w:val="nil"/>
            </w:tcBorders>
            <w:vAlign w:val="top"/>
          </w:tcPr>
          <w:p w14:paraId="11EE6C27">
            <w:pPr>
              <w:rPr>
                <w:rFonts w:ascii="Arial"/>
                <w:sz w:val="21"/>
              </w:rPr>
            </w:pPr>
          </w:p>
        </w:tc>
        <w:tc>
          <w:tcPr>
            <w:tcW w:w="1080" w:type="dxa"/>
            <w:vMerge w:val="continue"/>
            <w:tcBorders>
              <w:top w:val="nil"/>
            </w:tcBorders>
            <w:vAlign w:val="top"/>
          </w:tcPr>
          <w:p w14:paraId="673F4718">
            <w:pPr>
              <w:rPr>
                <w:rFonts w:ascii="Arial"/>
                <w:sz w:val="21"/>
              </w:rPr>
            </w:pPr>
          </w:p>
        </w:tc>
        <w:tc>
          <w:tcPr>
            <w:tcW w:w="730" w:type="dxa"/>
            <w:vMerge w:val="continue"/>
            <w:tcBorders>
              <w:top w:val="nil"/>
            </w:tcBorders>
            <w:vAlign w:val="top"/>
          </w:tcPr>
          <w:p w14:paraId="51E27AB5">
            <w:pPr>
              <w:rPr>
                <w:rFonts w:ascii="Arial"/>
                <w:sz w:val="21"/>
              </w:rPr>
            </w:pPr>
          </w:p>
        </w:tc>
        <w:tc>
          <w:tcPr>
            <w:tcW w:w="1412" w:type="dxa"/>
            <w:vMerge w:val="continue"/>
            <w:tcBorders>
              <w:top w:val="nil"/>
            </w:tcBorders>
            <w:vAlign w:val="top"/>
          </w:tcPr>
          <w:p w14:paraId="06DD92FE">
            <w:pPr>
              <w:rPr>
                <w:rFonts w:ascii="Arial"/>
                <w:sz w:val="21"/>
              </w:rPr>
            </w:pPr>
          </w:p>
        </w:tc>
        <w:tc>
          <w:tcPr>
            <w:tcW w:w="1209" w:type="dxa"/>
            <w:vMerge w:val="continue"/>
            <w:tcBorders>
              <w:top w:val="nil"/>
            </w:tcBorders>
            <w:vAlign w:val="top"/>
          </w:tcPr>
          <w:p w14:paraId="6AD8B222">
            <w:pPr>
              <w:rPr>
                <w:rFonts w:ascii="Arial"/>
                <w:sz w:val="21"/>
              </w:rPr>
            </w:pPr>
          </w:p>
        </w:tc>
        <w:tc>
          <w:tcPr>
            <w:tcW w:w="1740" w:type="dxa"/>
            <w:vAlign w:val="top"/>
          </w:tcPr>
          <w:p w14:paraId="587F3B37">
            <w:pPr>
              <w:spacing w:before="129" w:line="194" w:lineRule="auto"/>
              <w:ind w:left="692"/>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989" w:type="dxa"/>
            <w:vAlign w:val="top"/>
          </w:tcPr>
          <w:p w14:paraId="7D49E987">
            <w:pPr>
              <w:spacing w:before="130" w:line="188" w:lineRule="auto"/>
              <w:ind w:left="2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282.12</w:t>
            </w:r>
          </w:p>
        </w:tc>
        <w:tc>
          <w:tcPr>
            <w:tcW w:w="993" w:type="dxa"/>
            <w:vAlign w:val="top"/>
          </w:tcPr>
          <w:p w14:paraId="352A870D">
            <w:pPr>
              <w:spacing w:before="144" w:line="188" w:lineRule="auto"/>
              <w:ind w:left="29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41.53</w:t>
            </w:r>
          </w:p>
        </w:tc>
        <w:tc>
          <w:tcPr>
            <w:tcW w:w="1131" w:type="dxa"/>
            <w:vAlign w:val="top"/>
          </w:tcPr>
          <w:p w14:paraId="4B520AEA">
            <w:pPr>
              <w:spacing w:before="144" w:line="188" w:lineRule="auto"/>
              <w:ind w:left="32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332.27</w:t>
            </w:r>
          </w:p>
        </w:tc>
        <w:tc>
          <w:tcPr>
            <w:tcW w:w="1313" w:type="dxa"/>
            <w:vMerge w:val="continue"/>
            <w:tcBorders>
              <w:top w:val="nil"/>
            </w:tcBorders>
            <w:vAlign w:val="top"/>
          </w:tcPr>
          <w:p w14:paraId="659AACFF">
            <w:pPr>
              <w:rPr>
                <w:rFonts w:ascii="Arial"/>
                <w:sz w:val="21"/>
              </w:rPr>
            </w:pPr>
          </w:p>
        </w:tc>
        <w:tc>
          <w:tcPr>
            <w:tcW w:w="1058" w:type="dxa"/>
            <w:vMerge w:val="continue"/>
            <w:tcBorders>
              <w:top w:val="nil"/>
            </w:tcBorders>
            <w:vAlign w:val="top"/>
          </w:tcPr>
          <w:p w14:paraId="522539B3">
            <w:pPr>
              <w:rPr>
                <w:rFonts w:ascii="Arial"/>
                <w:sz w:val="21"/>
              </w:rPr>
            </w:pPr>
          </w:p>
        </w:tc>
        <w:tc>
          <w:tcPr>
            <w:tcW w:w="980" w:type="dxa"/>
            <w:vAlign w:val="top"/>
          </w:tcPr>
          <w:p w14:paraId="03C4B5EF">
            <w:pPr>
              <w:spacing w:before="130" w:line="188" w:lineRule="auto"/>
              <w:ind w:left="264"/>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118.67</w:t>
            </w:r>
          </w:p>
        </w:tc>
        <w:tc>
          <w:tcPr>
            <w:tcW w:w="980" w:type="dxa"/>
            <w:vAlign w:val="top"/>
          </w:tcPr>
          <w:p w14:paraId="56C64C73">
            <w:pPr>
              <w:spacing w:before="130" w:line="188" w:lineRule="auto"/>
              <w:ind w:left="28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41.53</w:t>
            </w:r>
          </w:p>
        </w:tc>
        <w:tc>
          <w:tcPr>
            <w:tcW w:w="661" w:type="dxa"/>
            <w:vMerge w:val="continue"/>
            <w:tcBorders>
              <w:top w:val="nil"/>
            </w:tcBorders>
            <w:vAlign w:val="top"/>
          </w:tcPr>
          <w:p w14:paraId="2C232381">
            <w:pPr>
              <w:rPr>
                <w:rFonts w:ascii="Arial"/>
                <w:sz w:val="21"/>
              </w:rPr>
            </w:pPr>
          </w:p>
        </w:tc>
        <w:tc>
          <w:tcPr>
            <w:tcW w:w="1036" w:type="dxa"/>
            <w:vAlign w:val="top"/>
          </w:tcPr>
          <w:p w14:paraId="4972A961">
            <w:pPr>
              <w:spacing w:before="130" w:line="188" w:lineRule="auto"/>
              <w:ind w:left="27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332.27</w:t>
            </w:r>
          </w:p>
        </w:tc>
        <w:tc>
          <w:tcPr>
            <w:tcW w:w="639" w:type="dxa"/>
            <w:vMerge w:val="continue"/>
            <w:tcBorders>
              <w:top w:val="nil"/>
              <w:bottom w:val="nil"/>
            </w:tcBorders>
            <w:vAlign w:val="top"/>
          </w:tcPr>
          <w:p w14:paraId="37C953BD">
            <w:pPr>
              <w:rPr>
                <w:rFonts w:ascii="Arial"/>
                <w:sz w:val="21"/>
              </w:rPr>
            </w:pPr>
          </w:p>
        </w:tc>
        <w:tc>
          <w:tcPr>
            <w:tcW w:w="812" w:type="dxa"/>
            <w:vMerge w:val="continue"/>
            <w:tcBorders>
              <w:top w:val="nil"/>
              <w:bottom w:val="nil"/>
            </w:tcBorders>
            <w:vAlign w:val="top"/>
          </w:tcPr>
          <w:p w14:paraId="44C27281">
            <w:pPr>
              <w:rPr>
                <w:rFonts w:ascii="Arial"/>
                <w:sz w:val="21"/>
              </w:rPr>
            </w:pPr>
          </w:p>
        </w:tc>
        <w:tc>
          <w:tcPr>
            <w:tcW w:w="799" w:type="dxa"/>
            <w:vMerge w:val="continue"/>
            <w:tcBorders>
              <w:top w:val="nil"/>
              <w:bottom w:val="nil"/>
            </w:tcBorders>
            <w:vAlign w:val="top"/>
          </w:tcPr>
          <w:p w14:paraId="7F56C245">
            <w:pPr>
              <w:rPr>
                <w:rFonts w:ascii="Arial"/>
                <w:sz w:val="21"/>
              </w:rPr>
            </w:pPr>
          </w:p>
        </w:tc>
        <w:tc>
          <w:tcPr>
            <w:tcW w:w="1196" w:type="dxa"/>
            <w:vMerge w:val="continue"/>
            <w:tcBorders>
              <w:top w:val="nil"/>
              <w:bottom w:val="nil"/>
              <w:right w:val="nil"/>
            </w:tcBorders>
            <w:vAlign w:val="top"/>
          </w:tcPr>
          <w:p w14:paraId="5B6FD955">
            <w:pPr>
              <w:rPr>
                <w:rFonts w:ascii="Arial"/>
                <w:sz w:val="21"/>
              </w:rPr>
            </w:pPr>
          </w:p>
        </w:tc>
      </w:tr>
      <w:tr w14:paraId="29D0A4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restart"/>
            <w:tcBorders>
              <w:left w:val="nil"/>
              <w:bottom w:val="nil"/>
            </w:tcBorders>
            <w:vAlign w:val="top"/>
          </w:tcPr>
          <w:p w14:paraId="1E8D0AF9">
            <w:pPr>
              <w:spacing w:line="253" w:lineRule="auto"/>
              <w:rPr>
                <w:rFonts w:ascii="Arial"/>
                <w:sz w:val="21"/>
              </w:rPr>
            </w:pPr>
          </w:p>
          <w:p w14:paraId="37D27908">
            <w:pPr>
              <w:spacing w:before="52" w:line="204" w:lineRule="auto"/>
              <w:ind w:left="267"/>
              <w:rPr>
                <w:rFonts w:ascii="Times New Roman" w:hAnsi="Times New Roman" w:eastAsia="Times New Roman" w:cs="Times New Roman"/>
                <w:sz w:val="11"/>
                <w:szCs w:val="11"/>
              </w:rPr>
            </w:pPr>
            <w:r>
              <w:rPr>
                <w:rFonts w:ascii="Times New Roman" w:hAnsi="Times New Roman" w:eastAsia="Times New Roman" w:cs="Times New Roman"/>
                <w:sz w:val="18"/>
                <w:szCs w:val="18"/>
              </w:rPr>
              <w:t>G</w:t>
            </w:r>
            <w:r>
              <w:rPr>
                <w:rFonts w:ascii="Times New Roman" w:hAnsi="Times New Roman" w:eastAsia="Times New Roman" w:cs="Times New Roman"/>
                <w:sz w:val="11"/>
                <w:szCs w:val="11"/>
              </w:rPr>
              <w:t>1-7</w:t>
            </w:r>
          </w:p>
        </w:tc>
        <w:tc>
          <w:tcPr>
            <w:tcW w:w="2010" w:type="dxa"/>
            <w:vMerge w:val="restart"/>
            <w:tcBorders>
              <w:bottom w:val="nil"/>
            </w:tcBorders>
            <w:vAlign w:val="top"/>
          </w:tcPr>
          <w:p w14:paraId="16DDA22B">
            <w:pPr>
              <w:pStyle w:val="6"/>
              <w:spacing w:before="278" w:line="219" w:lineRule="auto"/>
              <w:ind w:left="469"/>
              <w:rPr>
                <w:sz w:val="18"/>
                <w:szCs w:val="18"/>
              </w:rPr>
            </w:pPr>
            <w:r>
              <w:rPr>
                <w:spacing w:val="-2"/>
                <w:sz w:val="18"/>
                <w:szCs w:val="18"/>
              </w:rPr>
              <w:t>烧结机尾粉尘</w:t>
            </w:r>
          </w:p>
        </w:tc>
        <w:tc>
          <w:tcPr>
            <w:tcW w:w="1080" w:type="dxa"/>
            <w:vMerge w:val="restart"/>
            <w:tcBorders>
              <w:bottom w:val="nil"/>
            </w:tcBorders>
            <w:vAlign w:val="top"/>
          </w:tcPr>
          <w:p w14:paraId="741D4E18">
            <w:pPr>
              <w:pStyle w:val="6"/>
              <w:spacing w:before="278" w:line="220" w:lineRule="auto"/>
              <w:ind w:left="275"/>
              <w:rPr>
                <w:sz w:val="18"/>
                <w:szCs w:val="18"/>
              </w:rPr>
            </w:pPr>
            <w:r>
              <w:rPr>
                <w:spacing w:val="-3"/>
                <w:sz w:val="18"/>
                <w:szCs w:val="18"/>
              </w:rPr>
              <w:t>有组织</w:t>
            </w:r>
          </w:p>
        </w:tc>
        <w:tc>
          <w:tcPr>
            <w:tcW w:w="730" w:type="dxa"/>
            <w:vMerge w:val="restart"/>
            <w:tcBorders>
              <w:bottom w:val="nil"/>
            </w:tcBorders>
            <w:vAlign w:val="top"/>
          </w:tcPr>
          <w:p w14:paraId="6A6C7AD1">
            <w:pPr>
              <w:pStyle w:val="6"/>
              <w:spacing w:before="278" w:line="220" w:lineRule="auto"/>
              <w:ind w:left="189"/>
              <w:rPr>
                <w:sz w:val="18"/>
                <w:szCs w:val="18"/>
              </w:rPr>
            </w:pPr>
            <w:r>
              <w:rPr>
                <w:spacing w:val="-4"/>
                <w:sz w:val="18"/>
                <w:szCs w:val="18"/>
              </w:rPr>
              <w:t>连续</w:t>
            </w:r>
          </w:p>
        </w:tc>
        <w:tc>
          <w:tcPr>
            <w:tcW w:w="1412" w:type="dxa"/>
            <w:vMerge w:val="restart"/>
            <w:tcBorders>
              <w:bottom w:val="nil"/>
            </w:tcBorders>
            <w:vAlign w:val="top"/>
          </w:tcPr>
          <w:p w14:paraId="5DF555EE">
            <w:pPr>
              <w:pStyle w:val="6"/>
              <w:spacing w:before="278" w:line="219" w:lineRule="auto"/>
              <w:ind w:left="259"/>
              <w:rPr>
                <w:sz w:val="18"/>
                <w:szCs w:val="18"/>
              </w:rPr>
            </w:pPr>
            <w:r>
              <w:rPr>
                <w:spacing w:val="-2"/>
                <w:sz w:val="18"/>
                <w:szCs w:val="18"/>
              </w:rPr>
              <w:t>产污系数法</w:t>
            </w:r>
          </w:p>
        </w:tc>
        <w:tc>
          <w:tcPr>
            <w:tcW w:w="1209" w:type="dxa"/>
            <w:vMerge w:val="restart"/>
            <w:tcBorders>
              <w:bottom w:val="nil"/>
            </w:tcBorders>
            <w:vAlign w:val="top"/>
          </w:tcPr>
          <w:p w14:paraId="7903F8F1">
            <w:pPr>
              <w:spacing w:line="268" w:lineRule="auto"/>
              <w:rPr>
                <w:rFonts w:ascii="Arial"/>
                <w:sz w:val="21"/>
              </w:rPr>
            </w:pPr>
          </w:p>
          <w:p w14:paraId="1126423B">
            <w:pPr>
              <w:spacing w:before="52" w:line="188" w:lineRule="auto"/>
              <w:ind w:left="35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170000</w:t>
            </w:r>
          </w:p>
        </w:tc>
        <w:tc>
          <w:tcPr>
            <w:tcW w:w="1740" w:type="dxa"/>
            <w:vAlign w:val="top"/>
          </w:tcPr>
          <w:p w14:paraId="4511F8E3">
            <w:pPr>
              <w:pStyle w:val="6"/>
              <w:spacing w:before="100" w:line="220" w:lineRule="auto"/>
              <w:ind w:left="604"/>
              <w:rPr>
                <w:sz w:val="18"/>
                <w:szCs w:val="18"/>
              </w:rPr>
            </w:pPr>
            <w:r>
              <w:rPr>
                <w:spacing w:val="-3"/>
                <w:sz w:val="18"/>
                <w:szCs w:val="18"/>
              </w:rPr>
              <w:t>颗粒物</w:t>
            </w:r>
          </w:p>
        </w:tc>
        <w:tc>
          <w:tcPr>
            <w:tcW w:w="989" w:type="dxa"/>
            <w:vAlign w:val="top"/>
          </w:tcPr>
          <w:p w14:paraId="4E036053">
            <w:pPr>
              <w:spacing w:before="132" w:line="188" w:lineRule="auto"/>
              <w:ind w:left="22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1931.06</w:t>
            </w:r>
          </w:p>
        </w:tc>
        <w:tc>
          <w:tcPr>
            <w:tcW w:w="993" w:type="dxa"/>
            <w:vAlign w:val="top"/>
          </w:tcPr>
          <w:p w14:paraId="337F0414">
            <w:pPr>
              <w:spacing w:before="144" w:line="188" w:lineRule="auto"/>
              <w:ind w:left="2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294.42</w:t>
            </w:r>
          </w:p>
        </w:tc>
        <w:tc>
          <w:tcPr>
            <w:tcW w:w="1131" w:type="dxa"/>
            <w:vAlign w:val="top"/>
          </w:tcPr>
          <w:p w14:paraId="006C1537">
            <w:pPr>
              <w:spacing w:before="144" w:line="188" w:lineRule="auto"/>
              <w:ind w:left="27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2355.33</w:t>
            </w:r>
          </w:p>
        </w:tc>
        <w:tc>
          <w:tcPr>
            <w:tcW w:w="1313" w:type="dxa"/>
            <w:vMerge w:val="restart"/>
            <w:tcBorders>
              <w:bottom w:val="nil"/>
            </w:tcBorders>
            <w:vAlign w:val="top"/>
          </w:tcPr>
          <w:p w14:paraId="50C93E32">
            <w:pPr>
              <w:pStyle w:val="6"/>
              <w:spacing w:before="113" w:line="294" w:lineRule="auto"/>
              <w:ind w:left="480" w:right="64" w:hanging="411"/>
              <w:rPr>
                <w:sz w:val="18"/>
                <w:szCs w:val="18"/>
              </w:rPr>
            </w:pPr>
            <w:r>
              <w:rPr>
                <w:spacing w:val="-2"/>
                <w:sz w:val="18"/>
                <w:szCs w:val="18"/>
              </w:rPr>
              <w:t>集尘罩</w:t>
            </w:r>
            <w:r>
              <w:rPr>
                <w:rFonts w:ascii="Times New Roman" w:hAnsi="Times New Roman" w:eastAsia="Times New Roman" w:cs="Times New Roman"/>
                <w:spacing w:val="-2"/>
                <w:sz w:val="18"/>
                <w:szCs w:val="18"/>
              </w:rPr>
              <w:t>+</w:t>
            </w:r>
            <w:r>
              <w:rPr>
                <w:spacing w:val="-2"/>
                <w:sz w:val="18"/>
                <w:szCs w:val="18"/>
              </w:rPr>
              <w:t>布袋除</w:t>
            </w:r>
            <w:r>
              <w:rPr>
                <w:spacing w:val="5"/>
                <w:sz w:val="18"/>
                <w:szCs w:val="18"/>
              </w:rPr>
              <w:t xml:space="preserve"> </w:t>
            </w:r>
            <w:r>
              <w:rPr>
                <w:spacing w:val="-5"/>
                <w:sz w:val="18"/>
                <w:szCs w:val="18"/>
              </w:rPr>
              <w:t>尘器</w:t>
            </w:r>
          </w:p>
        </w:tc>
        <w:tc>
          <w:tcPr>
            <w:tcW w:w="1058" w:type="dxa"/>
            <w:vMerge w:val="restart"/>
            <w:tcBorders>
              <w:bottom w:val="nil"/>
            </w:tcBorders>
            <w:vAlign w:val="top"/>
          </w:tcPr>
          <w:p w14:paraId="46085751">
            <w:pPr>
              <w:pStyle w:val="6"/>
              <w:spacing w:before="278" w:line="219" w:lineRule="auto"/>
              <w:ind w:left="250"/>
              <w:rPr>
                <w:rFonts w:ascii="Times New Roman" w:hAnsi="Times New Roman" w:eastAsia="Times New Roman" w:cs="Times New Roman"/>
                <w:sz w:val="18"/>
                <w:szCs w:val="18"/>
              </w:rPr>
            </w:pPr>
            <w:r>
              <w:rPr>
                <w:spacing w:val="-6"/>
                <w:sz w:val="18"/>
                <w:szCs w:val="18"/>
              </w:rPr>
              <w:t>除尘</w:t>
            </w:r>
            <w:r>
              <w:rPr>
                <w:spacing w:val="-38"/>
                <w:sz w:val="18"/>
                <w:szCs w:val="18"/>
              </w:rPr>
              <w:t xml:space="preserve"> </w:t>
            </w:r>
            <w:r>
              <w:rPr>
                <w:rFonts w:ascii="Times New Roman" w:hAnsi="Times New Roman" w:eastAsia="Times New Roman" w:cs="Times New Roman"/>
                <w:spacing w:val="-6"/>
                <w:sz w:val="18"/>
                <w:szCs w:val="18"/>
              </w:rPr>
              <w:t>99</w:t>
            </w:r>
          </w:p>
        </w:tc>
        <w:tc>
          <w:tcPr>
            <w:tcW w:w="980" w:type="dxa"/>
            <w:vAlign w:val="top"/>
          </w:tcPr>
          <w:p w14:paraId="16F1063D">
            <w:pPr>
              <w:spacing w:before="128"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37A523AE">
            <w:pPr>
              <w:spacing w:before="128" w:line="192" w:lineRule="auto"/>
              <w:ind w:left="463"/>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61" w:type="dxa"/>
            <w:vMerge w:val="restart"/>
            <w:tcBorders>
              <w:bottom w:val="nil"/>
            </w:tcBorders>
            <w:vAlign w:val="top"/>
          </w:tcPr>
          <w:p w14:paraId="1789D0C3">
            <w:pPr>
              <w:spacing w:line="253" w:lineRule="auto"/>
              <w:rPr>
                <w:rFonts w:ascii="Arial"/>
                <w:sz w:val="21"/>
              </w:rPr>
            </w:pPr>
          </w:p>
          <w:p w14:paraId="73BB279A">
            <w:pPr>
              <w:spacing w:before="52"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08AFDA37">
            <w:pPr>
              <w:spacing w:before="128" w:line="192" w:lineRule="auto"/>
              <w:ind w:left="49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39" w:type="dxa"/>
            <w:vMerge w:val="continue"/>
            <w:tcBorders>
              <w:top w:val="nil"/>
              <w:bottom w:val="nil"/>
            </w:tcBorders>
            <w:vAlign w:val="top"/>
          </w:tcPr>
          <w:p w14:paraId="34048206">
            <w:pPr>
              <w:rPr>
                <w:rFonts w:ascii="Arial"/>
                <w:sz w:val="21"/>
              </w:rPr>
            </w:pPr>
          </w:p>
        </w:tc>
        <w:tc>
          <w:tcPr>
            <w:tcW w:w="812" w:type="dxa"/>
            <w:vMerge w:val="continue"/>
            <w:tcBorders>
              <w:top w:val="nil"/>
              <w:bottom w:val="nil"/>
            </w:tcBorders>
            <w:vAlign w:val="top"/>
          </w:tcPr>
          <w:p w14:paraId="44968FC7">
            <w:pPr>
              <w:rPr>
                <w:rFonts w:ascii="Arial"/>
                <w:sz w:val="21"/>
              </w:rPr>
            </w:pPr>
          </w:p>
        </w:tc>
        <w:tc>
          <w:tcPr>
            <w:tcW w:w="799" w:type="dxa"/>
            <w:vMerge w:val="continue"/>
            <w:tcBorders>
              <w:top w:val="nil"/>
              <w:bottom w:val="nil"/>
            </w:tcBorders>
            <w:vAlign w:val="top"/>
          </w:tcPr>
          <w:p w14:paraId="53C2BB77">
            <w:pPr>
              <w:rPr>
                <w:rFonts w:ascii="Arial"/>
                <w:sz w:val="21"/>
              </w:rPr>
            </w:pPr>
          </w:p>
        </w:tc>
        <w:tc>
          <w:tcPr>
            <w:tcW w:w="1196" w:type="dxa"/>
            <w:vMerge w:val="continue"/>
            <w:tcBorders>
              <w:top w:val="nil"/>
              <w:bottom w:val="nil"/>
              <w:right w:val="nil"/>
            </w:tcBorders>
            <w:vAlign w:val="top"/>
          </w:tcPr>
          <w:p w14:paraId="2CB4EF40">
            <w:pPr>
              <w:rPr>
                <w:rFonts w:ascii="Arial"/>
                <w:sz w:val="21"/>
              </w:rPr>
            </w:pPr>
          </w:p>
        </w:tc>
      </w:tr>
      <w:tr w14:paraId="7BAF27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tcBorders>
            <w:vAlign w:val="top"/>
          </w:tcPr>
          <w:p w14:paraId="7C665205">
            <w:pPr>
              <w:rPr>
                <w:rFonts w:ascii="Arial"/>
                <w:sz w:val="21"/>
              </w:rPr>
            </w:pPr>
          </w:p>
        </w:tc>
        <w:tc>
          <w:tcPr>
            <w:tcW w:w="2010" w:type="dxa"/>
            <w:vMerge w:val="continue"/>
            <w:tcBorders>
              <w:top w:val="nil"/>
            </w:tcBorders>
            <w:vAlign w:val="top"/>
          </w:tcPr>
          <w:p w14:paraId="753655D8">
            <w:pPr>
              <w:rPr>
                <w:rFonts w:ascii="Arial"/>
                <w:sz w:val="21"/>
              </w:rPr>
            </w:pPr>
          </w:p>
        </w:tc>
        <w:tc>
          <w:tcPr>
            <w:tcW w:w="1080" w:type="dxa"/>
            <w:vMerge w:val="continue"/>
            <w:tcBorders>
              <w:top w:val="nil"/>
            </w:tcBorders>
            <w:vAlign w:val="top"/>
          </w:tcPr>
          <w:p w14:paraId="0523E897">
            <w:pPr>
              <w:rPr>
                <w:rFonts w:ascii="Arial"/>
                <w:sz w:val="21"/>
              </w:rPr>
            </w:pPr>
          </w:p>
        </w:tc>
        <w:tc>
          <w:tcPr>
            <w:tcW w:w="730" w:type="dxa"/>
            <w:vMerge w:val="continue"/>
            <w:tcBorders>
              <w:top w:val="nil"/>
            </w:tcBorders>
            <w:vAlign w:val="top"/>
          </w:tcPr>
          <w:p w14:paraId="7F66F8E7">
            <w:pPr>
              <w:rPr>
                <w:rFonts w:ascii="Arial"/>
                <w:sz w:val="21"/>
              </w:rPr>
            </w:pPr>
          </w:p>
        </w:tc>
        <w:tc>
          <w:tcPr>
            <w:tcW w:w="1412" w:type="dxa"/>
            <w:vMerge w:val="continue"/>
            <w:tcBorders>
              <w:top w:val="nil"/>
            </w:tcBorders>
            <w:vAlign w:val="top"/>
          </w:tcPr>
          <w:p w14:paraId="3F896910">
            <w:pPr>
              <w:rPr>
                <w:rFonts w:ascii="Arial"/>
                <w:sz w:val="21"/>
              </w:rPr>
            </w:pPr>
          </w:p>
        </w:tc>
        <w:tc>
          <w:tcPr>
            <w:tcW w:w="1209" w:type="dxa"/>
            <w:vMerge w:val="continue"/>
            <w:tcBorders>
              <w:top w:val="nil"/>
            </w:tcBorders>
            <w:vAlign w:val="top"/>
          </w:tcPr>
          <w:p w14:paraId="1BFD680B">
            <w:pPr>
              <w:rPr>
                <w:rFonts w:ascii="Arial"/>
                <w:sz w:val="21"/>
              </w:rPr>
            </w:pPr>
          </w:p>
        </w:tc>
        <w:tc>
          <w:tcPr>
            <w:tcW w:w="1740" w:type="dxa"/>
            <w:vAlign w:val="top"/>
          </w:tcPr>
          <w:p w14:paraId="5A57E8EB">
            <w:pPr>
              <w:pStyle w:val="6"/>
              <w:spacing w:before="102" w:line="221" w:lineRule="auto"/>
              <w:ind w:left="334"/>
              <w:rPr>
                <w:sz w:val="18"/>
                <w:szCs w:val="18"/>
              </w:rPr>
            </w:pPr>
            <w:r>
              <w:rPr>
                <w:spacing w:val="-2"/>
                <w:sz w:val="18"/>
                <w:szCs w:val="18"/>
              </w:rPr>
              <w:t>锰及其化合物</w:t>
            </w:r>
          </w:p>
        </w:tc>
        <w:tc>
          <w:tcPr>
            <w:tcW w:w="989" w:type="dxa"/>
            <w:vAlign w:val="top"/>
          </w:tcPr>
          <w:p w14:paraId="565A66F8">
            <w:pPr>
              <w:spacing w:before="131" w:line="188" w:lineRule="auto"/>
              <w:ind w:left="25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347.62</w:t>
            </w:r>
          </w:p>
        </w:tc>
        <w:tc>
          <w:tcPr>
            <w:tcW w:w="993" w:type="dxa"/>
            <w:vAlign w:val="top"/>
          </w:tcPr>
          <w:p w14:paraId="7B61EC46">
            <w:pPr>
              <w:spacing w:before="131" w:line="188" w:lineRule="auto"/>
              <w:ind w:left="29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53.00</w:t>
            </w:r>
          </w:p>
        </w:tc>
        <w:tc>
          <w:tcPr>
            <w:tcW w:w="1131" w:type="dxa"/>
            <w:vAlign w:val="top"/>
          </w:tcPr>
          <w:p w14:paraId="64154281">
            <w:pPr>
              <w:spacing w:before="131" w:line="188" w:lineRule="auto"/>
              <w:ind w:left="31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423.96</w:t>
            </w:r>
          </w:p>
        </w:tc>
        <w:tc>
          <w:tcPr>
            <w:tcW w:w="1313" w:type="dxa"/>
            <w:vMerge w:val="continue"/>
            <w:tcBorders>
              <w:top w:val="nil"/>
            </w:tcBorders>
            <w:vAlign w:val="top"/>
          </w:tcPr>
          <w:p w14:paraId="06AA8F59">
            <w:pPr>
              <w:rPr>
                <w:rFonts w:ascii="Arial"/>
                <w:sz w:val="21"/>
              </w:rPr>
            </w:pPr>
          </w:p>
        </w:tc>
        <w:tc>
          <w:tcPr>
            <w:tcW w:w="1058" w:type="dxa"/>
            <w:vMerge w:val="continue"/>
            <w:tcBorders>
              <w:top w:val="nil"/>
            </w:tcBorders>
            <w:vAlign w:val="top"/>
          </w:tcPr>
          <w:p w14:paraId="2EB465E4">
            <w:pPr>
              <w:rPr>
                <w:rFonts w:ascii="Arial"/>
                <w:sz w:val="21"/>
              </w:rPr>
            </w:pPr>
          </w:p>
        </w:tc>
        <w:tc>
          <w:tcPr>
            <w:tcW w:w="980" w:type="dxa"/>
            <w:vAlign w:val="top"/>
          </w:tcPr>
          <w:p w14:paraId="35A66C57">
            <w:pPr>
              <w:spacing w:before="128"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13D152D4">
            <w:pPr>
              <w:spacing w:before="128" w:line="192" w:lineRule="auto"/>
              <w:ind w:left="463"/>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61" w:type="dxa"/>
            <w:vMerge w:val="continue"/>
            <w:tcBorders>
              <w:top w:val="nil"/>
            </w:tcBorders>
            <w:vAlign w:val="top"/>
          </w:tcPr>
          <w:p w14:paraId="257BF375">
            <w:pPr>
              <w:rPr>
                <w:rFonts w:ascii="Arial"/>
                <w:sz w:val="21"/>
              </w:rPr>
            </w:pPr>
          </w:p>
        </w:tc>
        <w:tc>
          <w:tcPr>
            <w:tcW w:w="1036" w:type="dxa"/>
            <w:vAlign w:val="top"/>
          </w:tcPr>
          <w:p w14:paraId="049504CE">
            <w:pPr>
              <w:spacing w:before="128" w:line="192" w:lineRule="auto"/>
              <w:ind w:left="49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39" w:type="dxa"/>
            <w:vMerge w:val="continue"/>
            <w:tcBorders>
              <w:top w:val="nil"/>
            </w:tcBorders>
            <w:vAlign w:val="top"/>
          </w:tcPr>
          <w:p w14:paraId="1010AAAD">
            <w:pPr>
              <w:rPr>
                <w:rFonts w:ascii="Arial"/>
                <w:sz w:val="21"/>
              </w:rPr>
            </w:pPr>
          </w:p>
        </w:tc>
        <w:tc>
          <w:tcPr>
            <w:tcW w:w="812" w:type="dxa"/>
            <w:vMerge w:val="continue"/>
            <w:tcBorders>
              <w:top w:val="nil"/>
            </w:tcBorders>
            <w:vAlign w:val="top"/>
          </w:tcPr>
          <w:p w14:paraId="19F6A863">
            <w:pPr>
              <w:rPr>
                <w:rFonts w:ascii="Arial"/>
                <w:sz w:val="21"/>
              </w:rPr>
            </w:pPr>
          </w:p>
        </w:tc>
        <w:tc>
          <w:tcPr>
            <w:tcW w:w="799" w:type="dxa"/>
            <w:vMerge w:val="continue"/>
            <w:tcBorders>
              <w:top w:val="nil"/>
            </w:tcBorders>
            <w:vAlign w:val="top"/>
          </w:tcPr>
          <w:p w14:paraId="331F1FD9">
            <w:pPr>
              <w:rPr>
                <w:rFonts w:ascii="Arial"/>
                <w:sz w:val="21"/>
              </w:rPr>
            </w:pPr>
          </w:p>
        </w:tc>
        <w:tc>
          <w:tcPr>
            <w:tcW w:w="1196" w:type="dxa"/>
            <w:vMerge w:val="continue"/>
            <w:tcBorders>
              <w:top w:val="nil"/>
              <w:right w:val="nil"/>
            </w:tcBorders>
            <w:vAlign w:val="top"/>
          </w:tcPr>
          <w:p w14:paraId="325D5B21">
            <w:pPr>
              <w:rPr>
                <w:rFonts w:ascii="Arial"/>
                <w:sz w:val="21"/>
              </w:rPr>
            </w:pPr>
          </w:p>
        </w:tc>
      </w:tr>
      <w:tr w14:paraId="1BBDAD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restart"/>
            <w:tcBorders>
              <w:left w:val="nil"/>
              <w:bottom w:val="nil"/>
            </w:tcBorders>
            <w:vAlign w:val="top"/>
          </w:tcPr>
          <w:p w14:paraId="00A660B8">
            <w:pPr>
              <w:spacing w:line="254" w:lineRule="auto"/>
              <w:rPr>
                <w:rFonts w:ascii="Arial"/>
                <w:sz w:val="21"/>
              </w:rPr>
            </w:pPr>
          </w:p>
          <w:p w14:paraId="778C5915">
            <w:pPr>
              <w:spacing w:before="52" w:line="204" w:lineRule="auto"/>
              <w:ind w:left="267"/>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G</w:t>
            </w:r>
            <w:r>
              <w:rPr>
                <w:rFonts w:ascii="Times New Roman" w:hAnsi="Times New Roman" w:eastAsia="Times New Roman" w:cs="Times New Roman"/>
                <w:spacing w:val="1"/>
                <w:sz w:val="11"/>
                <w:szCs w:val="11"/>
              </w:rPr>
              <w:t>1-8</w:t>
            </w:r>
          </w:p>
        </w:tc>
        <w:tc>
          <w:tcPr>
            <w:tcW w:w="2010" w:type="dxa"/>
            <w:vMerge w:val="restart"/>
            <w:tcBorders>
              <w:bottom w:val="nil"/>
            </w:tcBorders>
            <w:vAlign w:val="top"/>
          </w:tcPr>
          <w:p w14:paraId="75DE2A0B">
            <w:pPr>
              <w:pStyle w:val="6"/>
              <w:spacing w:before="279" w:line="219" w:lineRule="auto"/>
              <w:ind w:left="290"/>
              <w:rPr>
                <w:sz w:val="18"/>
                <w:szCs w:val="18"/>
              </w:rPr>
            </w:pPr>
            <w:r>
              <w:rPr>
                <w:spacing w:val="-1"/>
                <w:sz w:val="18"/>
                <w:szCs w:val="18"/>
              </w:rPr>
              <w:t>锰硅电炉配料粉尘</w:t>
            </w:r>
          </w:p>
        </w:tc>
        <w:tc>
          <w:tcPr>
            <w:tcW w:w="1080" w:type="dxa"/>
            <w:vMerge w:val="restart"/>
            <w:tcBorders>
              <w:bottom w:val="nil"/>
            </w:tcBorders>
            <w:vAlign w:val="top"/>
          </w:tcPr>
          <w:p w14:paraId="1656E4E6">
            <w:pPr>
              <w:pStyle w:val="6"/>
              <w:spacing w:before="279" w:line="220" w:lineRule="auto"/>
              <w:ind w:left="275"/>
              <w:rPr>
                <w:sz w:val="18"/>
                <w:szCs w:val="18"/>
              </w:rPr>
            </w:pPr>
            <w:r>
              <w:rPr>
                <w:spacing w:val="-3"/>
                <w:sz w:val="18"/>
                <w:szCs w:val="18"/>
              </w:rPr>
              <w:t>有组织</w:t>
            </w:r>
          </w:p>
        </w:tc>
        <w:tc>
          <w:tcPr>
            <w:tcW w:w="730" w:type="dxa"/>
            <w:vMerge w:val="restart"/>
            <w:tcBorders>
              <w:bottom w:val="nil"/>
            </w:tcBorders>
            <w:vAlign w:val="top"/>
          </w:tcPr>
          <w:p w14:paraId="20798246">
            <w:pPr>
              <w:pStyle w:val="6"/>
              <w:spacing w:before="279" w:line="220" w:lineRule="auto"/>
              <w:ind w:left="189"/>
              <w:rPr>
                <w:sz w:val="18"/>
                <w:szCs w:val="18"/>
              </w:rPr>
            </w:pPr>
            <w:r>
              <w:rPr>
                <w:spacing w:val="-4"/>
                <w:sz w:val="18"/>
                <w:szCs w:val="18"/>
              </w:rPr>
              <w:t>连续</w:t>
            </w:r>
          </w:p>
        </w:tc>
        <w:tc>
          <w:tcPr>
            <w:tcW w:w="1412" w:type="dxa"/>
            <w:vMerge w:val="restart"/>
            <w:tcBorders>
              <w:bottom w:val="nil"/>
            </w:tcBorders>
            <w:vAlign w:val="top"/>
          </w:tcPr>
          <w:p w14:paraId="77E39B63">
            <w:pPr>
              <w:pStyle w:val="6"/>
              <w:spacing w:before="279" w:line="219" w:lineRule="auto"/>
              <w:ind w:left="259"/>
              <w:rPr>
                <w:sz w:val="18"/>
                <w:szCs w:val="18"/>
              </w:rPr>
            </w:pPr>
            <w:r>
              <w:rPr>
                <w:spacing w:val="-2"/>
                <w:sz w:val="18"/>
                <w:szCs w:val="18"/>
              </w:rPr>
              <w:t>产污系数法</w:t>
            </w:r>
          </w:p>
        </w:tc>
        <w:tc>
          <w:tcPr>
            <w:tcW w:w="1209" w:type="dxa"/>
            <w:vMerge w:val="restart"/>
            <w:tcBorders>
              <w:bottom w:val="nil"/>
            </w:tcBorders>
            <w:vAlign w:val="top"/>
          </w:tcPr>
          <w:p w14:paraId="443F619B">
            <w:pPr>
              <w:spacing w:line="255" w:lineRule="auto"/>
              <w:rPr>
                <w:rFonts w:ascii="Arial"/>
                <w:sz w:val="21"/>
              </w:rPr>
            </w:pPr>
          </w:p>
          <w:p w14:paraId="24384CEB">
            <w:pPr>
              <w:spacing w:before="51" w:line="188" w:lineRule="auto"/>
              <w:ind w:left="28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3×60000</w:t>
            </w:r>
          </w:p>
        </w:tc>
        <w:tc>
          <w:tcPr>
            <w:tcW w:w="1740" w:type="dxa"/>
            <w:vAlign w:val="top"/>
          </w:tcPr>
          <w:p w14:paraId="41E4455E">
            <w:pPr>
              <w:pStyle w:val="6"/>
              <w:spacing w:before="104" w:line="220" w:lineRule="auto"/>
              <w:ind w:left="604"/>
              <w:rPr>
                <w:sz w:val="18"/>
                <w:szCs w:val="18"/>
              </w:rPr>
            </w:pPr>
            <w:r>
              <w:rPr>
                <w:spacing w:val="-3"/>
                <w:sz w:val="18"/>
                <w:szCs w:val="18"/>
              </w:rPr>
              <w:t>颗粒物</w:t>
            </w:r>
          </w:p>
        </w:tc>
        <w:tc>
          <w:tcPr>
            <w:tcW w:w="989" w:type="dxa"/>
            <w:vAlign w:val="top"/>
          </w:tcPr>
          <w:p w14:paraId="2FD864F3">
            <w:pPr>
              <w:spacing w:before="133" w:line="188" w:lineRule="auto"/>
              <w:ind w:left="2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576.33</w:t>
            </w:r>
          </w:p>
        </w:tc>
        <w:tc>
          <w:tcPr>
            <w:tcW w:w="993" w:type="dxa"/>
            <w:vAlign w:val="top"/>
          </w:tcPr>
          <w:p w14:paraId="1B8A87FB">
            <w:pPr>
              <w:spacing w:before="133" w:line="188" w:lineRule="auto"/>
              <w:ind w:left="20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3×34.58</w:t>
            </w:r>
          </w:p>
        </w:tc>
        <w:tc>
          <w:tcPr>
            <w:tcW w:w="1131" w:type="dxa"/>
            <w:vAlign w:val="top"/>
          </w:tcPr>
          <w:p w14:paraId="3053847F">
            <w:pPr>
              <w:spacing w:before="133" w:line="188" w:lineRule="auto"/>
              <w:ind w:left="32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829.89</w:t>
            </w:r>
          </w:p>
        </w:tc>
        <w:tc>
          <w:tcPr>
            <w:tcW w:w="1313" w:type="dxa"/>
            <w:vMerge w:val="restart"/>
            <w:tcBorders>
              <w:bottom w:val="nil"/>
            </w:tcBorders>
            <w:vAlign w:val="top"/>
          </w:tcPr>
          <w:p w14:paraId="6ABF802D">
            <w:pPr>
              <w:pStyle w:val="6"/>
              <w:spacing w:before="115" w:line="293" w:lineRule="auto"/>
              <w:ind w:left="480" w:right="64" w:hanging="411"/>
              <w:rPr>
                <w:sz w:val="18"/>
                <w:szCs w:val="18"/>
              </w:rPr>
            </w:pPr>
            <w:r>
              <w:rPr>
                <w:spacing w:val="-2"/>
                <w:sz w:val="18"/>
                <w:szCs w:val="18"/>
              </w:rPr>
              <w:t>集尘罩</w:t>
            </w:r>
            <w:r>
              <w:rPr>
                <w:rFonts w:ascii="Times New Roman" w:hAnsi="Times New Roman" w:eastAsia="Times New Roman" w:cs="Times New Roman"/>
                <w:spacing w:val="-2"/>
                <w:sz w:val="18"/>
                <w:szCs w:val="18"/>
              </w:rPr>
              <w:t>+</w:t>
            </w:r>
            <w:r>
              <w:rPr>
                <w:spacing w:val="-2"/>
                <w:sz w:val="18"/>
                <w:szCs w:val="18"/>
              </w:rPr>
              <w:t>布袋除</w:t>
            </w:r>
            <w:r>
              <w:rPr>
                <w:spacing w:val="5"/>
                <w:sz w:val="18"/>
                <w:szCs w:val="18"/>
              </w:rPr>
              <w:t xml:space="preserve"> </w:t>
            </w:r>
            <w:r>
              <w:rPr>
                <w:spacing w:val="-5"/>
                <w:sz w:val="18"/>
                <w:szCs w:val="18"/>
              </w:rPr>
              <w:t>尘器</w:t>
            </w:r>
          </w:p>
        </w:tc>
        <w:tc>
          <w:tcPr>
            <w:tcW w:w="1058" w:type="dxa"/>
            <w:vMerge w:val="restart"/>
            <w:tcBorders>
              <w:bottom w:val="nil"/>
            </w:tcBorders>
            <w:vAlign w:val="top"/>
          </w:tcPr>
          <w:p w14:paraId="3AACDABB">
            <w:pPr>
              <w:pStyle w:val="6"/>
              <w:spacing w:before="115" w:line="293" w:lineRule="auto"/>
              <w:ind w:left="250" w:right="233" w:hanging="4"/>
              <w:rPr>
                <w:rFonts w:ascii="Times New Roman" w:hAnsi="Times New Roman" w:eastAsia="Times New Roman" w:cs="Times New Roman"/>
                <w:sz w:val="18"/>
                <w:szCs w:val="18"/>
              </w:rPr>
            </w:pPr>
            <w:r>
              <w:rPr>
                <w:spacing w:val="-5"/>
                <w:sz w:val="18"/>
                <w:szCs w:val="18"/>
              </w:rPr>
              <w:t>收集</w:t>
            </w:r>
            <w:r>
              <w:rPr>
                <w:spacing w:val="-38"/>
                <w:sz w:val="18"/>
                <w:szCs w:val="18"/>
              </w:rPr>
              <w:t xml:space="preserve"> </w:t>
            </w:r>
            <w:r>
              <w:rPr>
                <w:rFonts w:ascii="Times New Roman" w:hAnsi="Times New Roman" w:eastAsia="Times New Roman" w:cs="Times New Roman"/>
                <w:spacing w:val="-5"/>
                <w:sz w:val="18"/>
                <w:szCs w:val="18"/>
              </w:rPr>
              <w:t>95</w:t>
            </w:r>
            <w:r>
              <w:rPr>
                <w:rFonts w:ascii="Times New Roman" w:hAnsi="Times New Roman" w:eastAsia="Times New Roman" w:cs="Times New Roman"/>
                <w:sz w:val="18"/>
                <w:szCs w:val="18"/>
              </w:rPr>
              <w:t xml:space="preserve"> </w:t>
            </w:r>
            <w:r>
              <w:rPr>
                <w:spacing w:val="-6"/>
                <w:sz w:val="18"/>
                <w:szCs w:val="18"/>
              </w:rPr>
              <w:t>除尘</w:t>
            </w:r>
            <w:r>
              <w:rPr>
                <w:spacing w:val="-38"/>
                <w:sz w:val="18"/>
                <w:szCs w:val="18"/>
              </w:rPr>
              <w:t xml:space="preserve"> </w:t>
            </w:r>
            <w:r>
              <w:rPr>
                <w:rFonts w:ascii="Times New Roman" w:hAnsi="Times New Roman" w:eastAsia="Times New Roman" w:cs="Times New Roman"/>
                <w:spacing w:val="-6"/>
                <w:sz w:val="18"/>
                <w:szCs w:val="18"/>
              </w:rPr>
              <w:t>99</w:t>
            </w:r>
          </w:p>
        </w:tc>
        <w:tc>
          <w:tcPr>
            <w:tcW w:w="980" w:type="dxa"/>
            <w:vAlign w:val="top"/>
          </w:tcPr>
          <w:p w14:paraId="35EC3EF0">
            <w:pPr>
              <w:spacing w:before="133" w:line="188" w:lineRule="auto"/>
              <w:ind w:left="33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5.83</w:t>
            </w:r>
          </w:p>
        </w:tc>
        <w:tc>
          <w:tcPr>
            <w:tcW w:w="980" w:type="dxa"/>
            <w:vAlign w:val="top"/>
          </w:tcPr>
          <w:p w14:paraId="2E175335">
            <w:pPr>
              <w:spacing w:before="133" w:line="188" w:lineRule="auto"/>
              <w:ind w:left="2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3×0.35</w:t>
            </w:r>
          </w:p>
        </w:tc>
        <w:tc>
          <w:tcPr>
            <w:tcW w:w="661" w:type="dxa"/>
            <w:vMerge w:val="restart"/>
            <w:tcBorders>
              <w:bottom w:val="nil"/>
            </w:tcBorders>
            <w:vAlign w:val="top"/>
          </w:tcPr>
          <w:p w14:paraId="0E96E639">
            <w:pPr>
              <w:spacing w:line="255" w:lineRule="auto"/>
              <w:rPr>
                <w:rFonts w:ascii="Arial"/>
                <w:sz w:val="21"/>
              </w:rPr>
            </w:pPr>
          </w:p>
          <w:p w14:paraId="31A1A40C">
            <w:pPr>
              <w:spacing w:before="51"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763CD9D0">
            <w:pPr>
              <w:spacing w:before="133" w:line="188"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8.30</w:t>
            </w:r>
          </w:p>
        </w:tc>
        <w:tc>
          <w:tcPr>
            <w:tcW w:w="639" w:type="dxa"/>
            <w:vMerge w:val="restart"/>
            <w:tcBorders>
              <w:bottom w:val="nil"/>
            </w:tcBorders>
            <w:vAlign w:val="top"/>
          </w:tcPr>
          <w:p w14:paraId="21A5AD4C">
            <w:pPr>
              <w:spacing w:line="302" w:lineRule="auto"/>
              <w:rPr>
                <w:rFonts w:ascii="Arial"/>
                <w:sz w:val="21"/>
              </w:rPr>
            </w:pPr>
          </w:p>
          <w:p w14:paraId="48362896">
            <w:pPr>
              <w:spacing w:line="303" w:lineRule="auto"/>
              <w:rPr>
                <w:rFonts w:ascii="Arial"/>
                <w:sz w:val="21"/>
              </w:rPr>
            </w:pPr>
          </w:p>
          <w:p w14:paraId="655B6965">
            <w:pPr>
              <w:spacing w:before="52" w:line="188" w:lineRule="auto"/>
              <w:ind w:left="23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812" w:type="dxa"/>
            <w:vMerge w:val="restart"/>
            <w:tcBorders>
              <w:bottom w:val="nil"/>
            </w:tcBorders>
            <w:vAlign w:val="top"/>
          </w:tcPr>
          <w:p w14:paraId="67C5E182">
            <w:pPr>
              <w:spacing w:line="302" w:lineRule="auto"/>
              <w:rPr>
                <w:rFonts w:ascii="Arial"/>
                <w:sz w:val="21"/>
              </w:rPr>
            </w:pPr>
          </w:p>
          <w:p w14:paraId="47C7A3EE">
            <w:pPr>
              <w:spacing w:line="303" w:lineRule="auto"/>
              <w:rPr>
                <w:rFonts w:ascii="Arial"/>
                <w:sz w:val="21"/>
              </w:rPr>
            </w:pPr>
          </w:p>
          <w:p w14:paraId="236D1791">
            <w:pPr>
              <w:spacing w:before="52" w:line="188" w:lineRule="auto"/>
              <w:ind w:left="31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w:t>
            </w:r>
          </w:p>
        </w:tc>
        <w:tc>
          <w:tcPr>
            <w:tcW w:w="799" w:type="dxa"/>
            <w:vMerge w:val="restart"/>
            <w:tcBorders>
              <w:bottom w:val="nil"/>
            </w:tcBorders>
            <w:vAlign w:val="top"/>
          </w:tcPr>
          <w:p w14:paraId="59AA7D34">
            <w:pPr>
              <w:spacing w:line="285" w:lineRule="auto"/>
              <w:rPr>
                <w:rFonts w:ascii="Arial"/>
                <w:sz w:val="21"/>
              </w:rPr>
            </w:pPr>
          </w:p>
          <w:p w14:paraId="10B5EBBE">
            <w:pPr>
              <w:spacing w:line="285" w:lineRule="auto"/>
              <w:rPr>
                <w:rFonts w:ascii="Arial"/>
                <w:sz w:val="21"/>
              </w:rPr>
            </w:pPr>
          </w:p>
          <w:p w14:paraId="391EA9BA">
            <w:pPr>
              <w:pStyle w:val="6"/>
              <w:spacing w:before="58" w:line="220" w:lineRule="auto"/>
              <w:ind w:left="227"/>
              <w:rPr>
                <w:sz w:val="18"/>
                <w:szCs w:val="18"/>
              </w:rPr>
            </w:pPr>
            <w:r>
              <w:rPr>
                <w:spacing w:val="-6"/>
                <w:sz w:val="18"/>
                <w:szCs w:val="18"/>
              </w:rPr>
              <w:t>常温</w:t>
            </w:r>
          </w:p>
        </w:tc>
        <w:tc>
          <w:tcPr>
            <w:tcW w:w="1196" w:type="dxa"/>
            <w:vMerge w:val="restart"/>
            <w:tcBorders>
              <w:bottom w:val="nil"/>
              <w:right w:val="nil"/>
            </w:tcBorders>
            <w:vAlign w:val="top"/>
          </w:tcPr>
          <w:p w14:paraId="50298C27">
            <w:pPr>
              <w:spacing w:line="302" w:lineRule="auto"/>
              <w:rPr>
                <w:rFonts w:ascii="Arial"/>
                <w:sz w:val="21"/>
              </w:rPr>
            </w:pPr>
          </w:p>
          <w:p w14:paraId="52396A0C">
            <w:pPr>
              <w:spacing w:line="303" w:lineRule="auto"/>
              <w:rPr>
                <w:rFonts w:ascii="Arial"/>
                <w:sz w:val="21"/>
              </w:rPr>
            </w:pPr>
          </w:p>
          <w:p w14:paraId="2AFC0D91">
            <w:pPr>
              <w:spacing w:before="52" w:line="188" w:lineRule="auto"/>
              <w:ind w:left="1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DA005~DA007</w:t>
            </w:r>
          </w:p>
        </w:tc>
      </w:tr>
      <w:tr w14:paraId="17BC6D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tcBorders>
            <w:vAlign w:val="top"/>
          </w:tcPr>
          <w:p w14:paraId="2661DCDB">
            <w:pPr>
              <w:rPr>
                <w:rFonts w:ascii="Arial"/>
                <w:sz w:val="21"/>
              </w:rPr>
            </w:pPr>
          </w:p>
        </w:tc>
        <w:tc>
          <w:tcPr>
            <w:tcW w:w="2010" w:type="dxa"/>
            <w:vMerge w:val="continue"/>
            <w:tcBorders>
              <w:top w:val="nil"/>
            </w:tcBorders>
            <w:vAlign w:val="top"/>
          </w:tcPr>
          <w:p w14:paraId="50C6EF01">
            <w:pPr>
              <w:rPr>
                <w:rFonts w:ascii="Arial"/>
                <w:sz w:val="21"/>
              </w:rPr>
            </w:pPr>
          </w:p>
        </w:tc>
        <w:tc>
          <w:tcPr>
            <w:tcW w:w="1080" w:type="dxa"/>
            <w:vMerge w:val="continue"/>
            <w:tcBorders>
              <w:top w:val="nil"/>
            </w:tcBorders>
            <w:vAlign w:val="top"/>
          </w:tcPr>
          <w:p w14:paraId="0E89371E">
            <w:pPr>
              <w:rPr>
                <w:rFonts w:ascii="Arial"/>
                <w:sz w:val="21"/>
              </w:rPr>
            </w:pPr>
          </w:p>
        </w:tc>
        <w:tc>
          <w:tcPr>
            <w:tcW w:w="730" w:type="dxa"/>
            <w:vMerge w:val="continue"/>
            <w:tcBorders>
              <w:top w:val="nil"/>
            </w:tcBorders>
            <w:vAlign w:val="top"/>
          </w:tcPr>
          <w:p w14:paraId="5596E4E4">
            <w:pPr>
              <w:rPr>
                <w:rFonts w:ascii="Arial"/>
                <w:sz w:val="21"/>
              </w:rPr>
            </w:pPr>
          </w:p>
        </w:tc>
        <w:tc>
          <w:tcPr>
            <w:tcW w:w="1412" w:type="dxa"/>
            <w:vMerge w:val="continue"/>
            <w:tcBorders>
              <w:top w:val="nil"/>
            </w:tcBorders>
            <w:vAlign w:val="top"/>
          </w:tcPr>
          <w:p w14:paraId="1E924BA7">
            <w:pPr>
              <w:rPr>
                <w:rFonts w:ascii="Arial"/>
                <w:sz w:val="21"/>
              </w:rPr>
            </w:pPr>
          </w:p>
        </w:tc>
        <w:tc>
          <w:tcPr>
            <w:tcW w:w="1209" w:type="dxa"/>
            <w:vMerge w:val="continue"/>
            <w:tcBorders>
              <w:top w:val="nil"/>
            </w:tcBorders>
            <w:vAlign w:val="top"/>
          </w:tcPr>
          <w:p w14:paraId="07FD821A">
            <w:pPr>
              <w:rPr>
                <w:rFonts w:ascii="Arial"/>
                <w:sz w:val="21"/>
              </w:rPr>
            </w:pPr>
          </w:p>
        </w:tc>
        <w:tc>
          <w:tcPr>
            <w:tcW w:w="1740" w:type="dxa"/>
            <w:vAlign w:val="top"/>
          </w:tcPr>
          <w:p w14:paraId="42AEA094">
            <w:pPr>
              <w:pStyle w:val="6"/>
              <w:spacing w:before="103" w:line="221" w:lineRule="auto"/>
              <w:ind w:left="334"/>
              <w:rPr>
                <w:sz w:val="18"/>
                <w:szCs w:val="18"/>
              </w:rPr>
            </w:pPr>
            <w:r>
              <w:rPr>
                <w:spacing w:val="-2"/>
                <w:sz w:val="18"/>
                <w:szCs w:val="18"/>
              </w:rPr>
              <w:t>锰及其化合物</w:t>
            </w:r>
          </w:p>
        </w:tc>
        <w:tc>
          <w:tcPr>
            <w:tcW w:w="989" w:type="dxa"/>
            <w:vAlign w:val="top"/>
          </w:tcPr>
          <w:p w14:paraId="1695EF84">
            <w:pPr>
              <w:spacing w:before="135" w:line="188" w:lineRule="auto"/>
              <w:ind w:left="29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60.17</w:t>
            </w:r>
          </w:p>
        </w:tc>
        <w:tc>
          <w:tcPr>
            <w:tcW w:w="993" w:type="dxa"/>
            <w:vAlign w:val="top"/>
          </w:tcPr>
          <w:p w14:paraId="13C03F60">
            <w:pPr>
              <w:spacing w:before="135" w:line="188" w:lineRule="auto"/>
              <w:ind w:left="24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3×3.61</w:t>
            </w:r>
          </w:p>
        </w:tc>
        <w:tc>
          <w:tcPr>
            <w:tcW w:w="1131" w:type="dxa"/>
            <w:vAlign w:val="top"/>
          </w:tcPr>
          <w:p w14:paraId="22276750">
            <w:pPr>
              <w:spacing w:before="135" w:line="188" w:lineRule="auto"/>
              <w:ind w:left="372"/>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86.55</w:t>
            </w:r>
          </w:p>
        </w:tc>
        <w:tc>
          <w:tcPr>
            <w:tcW w:w="1313" w:type="dxa"/>
            <w:vMerge w:val="continue"/>
            <w:tcBorders>
              <w:top w:val="nil"/>
            </w:tcBorders>
            <w:vAlign w:val="top"/>
          </w:tcPr>
          <w:p w14:paraId="46FCCA86">
            <w:pPr>
              <w:rPr>
                <w:rFonts w:ascii="Arial"/>
                <w:sz w:val="21"/>
              </w:rPr>
            </w:pPr>
          </w:p>
        </w:tc>
        <w:tc>
          <w:tcPr>
            <w:tcW w:w="1058" w:type="dxa"/>
            <w:vMerge w:val="continue"/>
            <w:tcBorders>
              <w:top w:val="nil"/>
            </w:tcBorders>
            <w:vAlign w:val="top"/>
          </w:tcPr>
          <w:p w14:paraId="4EE7F7AB">
            <w:pPr>
              <w:rPr>
                <w:rFonts w:ascii="Arial"/>
                <w:sz w:val="21"/>
              </w:rPr>
            </w:pPr>
          </w:p>
        </w:tc>
        <w:tc>
          <w:tcPr>
            <w:tcW w:w="980" w:type="dxa"/>
            <w:vAlign w:val="top"/>
          </w:tcPr>
          <w:p w14:paraId="4E67DFD7">
            <w:pPr>
              <w:spacing w:before="135"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0.67</w:t>
            </w:r>
          </w:p>
        </w:tc>
        <w:tc>
          <w:tcPr>
            <w:tcW w:w="980" w:type="dxa"/>
            <w:vAlign w:val="top"/>
          </w:tcPr>
          <w:p w14:paraId="47513EB8">
            <w:pPr>
              <w:spacing w:before="135" w:line="188" w:lineRule="auto"/>
              <w:ind w:left="24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3×0.04</w:t>
            </w:r>
          </w:p>
        </w:tc>
        <w:tc>
          <w:tcPr>
            <w:tcW w:w="661" w:type="dxa"/>
            <w:vMerge w:val="continue"/>
            <w:tcBorders>
              <w:top w:val="nil"/>
            </w:tcBorders>
            <w:vAlign w:val="top"/>
          </w:tcPr>
          <w:p w14:paraId="742CDF2D">
            <w:pPr>
              <w:rPr>
                <w:rFonts w:ascii="Arial"/>
                <w:sz w:val="21"/>
              </w:rPr>
            </w:pPr>
          </w:p>
        </w:tc>
        <w:tc>
          <w:tcPr>
            <w:tcW w:w="1036" w:type="dxa"/>
            <w:vAlign w:val="top"/>
          </w:tcPr>
          <w:p w14:paraId="1DC4199E">
            <w:pPr>
              <w:spacing w:before="135" w:line="188" w:lineRule="auto"/>
              <w:ind w:left="36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0.87</w:t>
            </w:r>
          </w:p>
        </w:tc>
        <w:tc>
          <w:tcPr>
            <w:tcW w:w="639" w:type="dxa"/>
            <w:vMerge w:val="continue"/>
            <w:tcBorders>
              <w:top w:val="nil"/>
              <w:bottom w:val="nil"/>
            </w:tcBorders>
            <w:vAlign w:val="top"/>
          </w:tcPr>
          <w:p w14:paraId="03D5F4B3">
            <w:pPr>
              <w:rPr>
                <w:rFonts w:ascii="Arial"/>
                <w:sz w:val="21"/>
              </w:rPr>
            </w:pPr>
          </w:p>
        </w:tc>
        <w:tc>
          <w:tcPr>
            <w:tcW w:w="812" w:type="dxa"/>
            <w:vMerge w:val="continue"/>
            <w:tcBorders>
              <w:top w:val="nil"/>
              <w:bottom w:val="nil"/>
            </w:tcBorders>
            <w:vAlign w:val="top"/>
          </w:tcPr>
          <w:p w14:paraId="11CFC5E3">
            <w:pPr>
              <w:rPr>
                <w:rFonts w:ascii="Arial"/>
                <w:sz w:val="21"/>
              </w:rPr>
            </w:pPr>
          </w:p>
        </w:tc>
        <w:tc>
          <w:tcPr>
            <w:tcW w:w="799" w:type="dxa"/>
            <w:vMerge w:val="continue"/>
            <w:tcBorders>
              <w:top w:val="nil"/>
              <w:bottom w:val="nil"/>
            </w:tcBorders>
            <w:vAlign w:val="top"/>
          </w:tcPr>
          <w:p w14:paraId="28A66120">
            <w:pPr>
              <w:rPr>
                <w:rFonts w:ascii="Arial"/>
                <w:sz w:val="21"/>
              </w:rPr>
            </w:pPr>
          </w:p>
        </w:tc>
        <w:tc>
          <w:tcPr>
            <w:tcW w:w="1196" w:type="dxa"/>
            <w:vMerge w:val="continue"/>
            <w:tcBorders>
              <w:top w:val="nil"/>
              <w:bottom w:val="nil"/>
              <w:right w:val="nil"/>
            </w:tcBorders>
            <w:vAlign w:val="top"/>
          </w:tcPr>
          <w:p w14:paraId="3BE69CFD">
            <w:pPr>
              <w:rPr>
                <w:rFonts w:ascii="Arial"/>
                <w:sz w:val="21"/>
              </w:rPr>
            </w:pPr>
          </w:p>
        </w:tc>
      </w:tr>
      <w:tr w14:paraId="00FD55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restart"/>
            <w:tcBorders>
              <w:left w:val="nil"/>
              <w:bottom w:val="nil"/>
            </w:tcBorders>
            <w:vAlign w:val="top"/>
          </w:tcPr>
          <w:p w14:paraId="322C8182">
            <w:pPr>
              <w:spacing w:line="258" w:lineRule="auto"/>
              <w:rPr>
                <w:rFonts w:ascii="Arial"/>
                <w:sz w:val="21"/>
              </w:rPr>
            </w:pPr>
          </w:p>
          <w:p w14:paraId="33F2D09D">
            <w:pPr>
              <w:spacing w:before="51" w:line="204" w:lineRule="auto"/>
              <w:ind w:left="267"/>
              <w:rPr>
                <w:rFonts w:ascii="Times New Roman" w:hAnsi="Times New Roman" w:eastAsia="Times New Roman" w:cs="Times New Roman"/>
                <w:sz w:val="11"/>
                <w:szCs w:val="11"/>
              </w:rPr>
            </w:pPr>
            <w:r>
              <w:rPr>
                <w:rFonts w:ascii="Times New Roman" w:hAnsi="Times New Roman" w:eastAsia="Times New Roman" w:cs="Times New Roman"/>
                <w:sz w:val="18"/>
                <w:szCs w:val="18"/>
              </w:rPr>
              <w:t>G</w:t>
            </w:r>
            <w:r>
              <w:rPr>
                <w:rFonts w:ascii="Times New Roman" w:hAnsi="Times New Roman" w:eastAsia="Times New Roman" w:cs="Times New Roman"/>
                <w:sz w:val="11"/>
                <w:szCs w:val="11"/>
              </w:rPr>
              <w:t>1-9</w:t>
            </w:r>
          </w:p>
        </w:tc>
        <w:tc>
          <w:tcPr>
            <w:tcW w:w="2010" w:type="dxa"/>
            <w:vMerge w:val="restart"/>
            <w:tcBorders>
              <w:bottom w:val="nil"/>
            </w:tcBorders>
            <w:vAlign w:val="top"/>
          </w:tcPr>
          <w:p w14:paraId="0DD29DFA">
            <w:pPr>
              <w:pStyle w:val="6"/>
              <w:spacing w:before="281" w:line="219" w:lineRule="auto"/>
              <w:ind w:left="290"/>
              <w:rPr>
                <w:sz w:val="18"/>
                <w:szCs w:val="18"/>
              </w:rPr>
            </w:pPr>
            <w:r>
              <w:rPr>
                <w:spacing w:val="-1"/>
                <w:sz w:val="18"/>
                <w:szCs w:val="18"/>
              </w:rPr>
              <w:t>锰硅电炉加料粉尘</w:t>
            </w:r>
          </w:p>
        </w:tc>
        <w:tc>
          <w:tcPr>
            <w:tcW w:w="1080" w:type="dxa"/>
            <w:vMerge w:val="restart"/>
            <w:tcBorders>
              <w:bottom w:val="nil"/>
            </w:tcBorders>
            <w:vAlign w:val="top"/>
          </w:tcPr>
          <w:p w14:paraId="085421D9">
            <w:pPr>
              <w:pStyle w:val="6"/>
              <w:spacing w:before="280" w:line="220" w:lineRule="auto"/>
              <w:ind w:left="275"/>
              <w:rPr>
                <w:sz w:val="18"/>
                <w:szCs w:val="18"/>
              </w:rPr>
            </w:pPr>
            <w:r>
              <w:rPr>
                <w:spacing w:val="-3"/>
                <w:sz w:val="18"/>
                <w:szCs w:val="18"/>
              </w:rPr>
              <w:t>有组织</w:t>
            </w:r>
          </w:p>
        </w:tc>
        <w:tc>
          <w:tcPr>
            <w:tcW w:w="730" w:type="dxa"/>
            <w:vMerge w:val="restart"/>
            <w:tcBorders>
              <w:bottom w:val="nil"/>
            </w:tcBorders>
            <w:vAlign w:val="top"/>
          </w:tcPr>
          <w:p w14:paraId="7464E8F7">
            <w:pPr>
              <w:pStyle w:val="6"/>
              <w:spacing w:before="281" w:line="219" w:lineRule="auto"/>
              <w:ind w:left="202"/>
              <w:rPr>
                <w:sz w:val="18"/>
                <w:szCs w:val="18"/>
              </w:rPr>
            </w:pPr>
            <w:r>
              <w:rPr>
                <w:spacing w:val="-11"/>
                <w:sz w:val="18"/>
                <w:szCs w:val="18"/>
              </w:rPr>
              <w:t>间断</w:t>
            </w:r>
          </w:p>
        </w:tc>
        <w:tc>
          <w:tcPr>
            <w:tcW w:w="1412" w:type="dxa"/>
            <w:vMerge w:val="restart"/>
            <w:tcBorders>
              <w:bottom w:val="nil"/>
            </w:tcBorders>
            <w:vAlign w:val="top"/>
          </w:tcPr>
          <w:p w14:paraId="77F782EE">
            <w:pPr>
              <w:pStyle w:val="6"/>
              <w:spacing w:before="281" w:line="219" w:lineRule="auto"/>
              <w:ind w:left="259"/>
              <w:rPr>
                <w:sz w:val="18"/>
                <w:szCs w:val="18"/>
              </w:rPr>
            </w:pPr>
            <w:r>
              <w:rPr>
                <w:spacing w:val="-2"/>
                <w:sz w:val="18"/>
                <w:szCs w:val="18"/>
              </w:rPr>
              <w:t>产污系数法</w:t>
            </w:r>
          </w:p>
        </w:tc>
        <w:tc>
          <w:tcPr>
            <w:tcW w:w="1209" w:type="dxa"/>
            <w:vMerge w:val="restart"/>
            <w:tcBorders>
              <w:bottom w:val="nil"/>
            </w:tcBorders>
            <w:vAlign w:val="top"/>
          </w:tcPr>
          <w:p w14:paraId="533B35D0">
            <w:pPr>
              <w:spacing w:line="255" w:lineRule="auto"/>
              <w:rPr>
                <w:rFonts w:ascii="Arial"/>
                <w:sz w:val="21"/>
              </w:rPr>
            </w:pPr>
          </w:p>
          <w:p w14:paraId="20A6A2EA">
            <w:pPr>
              <w:spacing w:before="52" w:line="192" w:lineRule="auto"/>
              <w:ind w:left="57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740" w:type="dxa"/>
            <w:vAlign w:val="top"/>
          </w:tcPr>
          <w:p w14:paraId="573CC8F7">
            <w:pPr>
              <w:pStyle w:val="6"/>
              <w:spacing w:before="105" w:line="220" w:lineRule="auto"/>
              <w:ind w:left="604"/>
              <w:rPr>
                <w:sz w:val="18"/>
                <w:szCs w:val="18"/>
              </w:rPr>
            </w:pPr>
            <w:r>
              <w:rPr>
                <w:spacing w:val="-3"/>
                <w:sz w:val="18"/>
                <w:szCs w:val="18"/>
              </w:rPr>
              <w:t>颗粒物</w:t>
            </w:r>
          </w:p>
        </w:tc>
        <w:tc>
          <w:tcPr>
            <w:tcW w:w="989" w:type="dxa"/>
            <w:vAlign w:val="top"/>
          </w:tcPr>
          <w:p w14:paraId="2B3A2AF1">
            <w:pPr>
              <w:spacing w:before="131"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vAlign w:val="top"/>
          </w:tcPr>
          <w:p w14:paraId="634827F3">
            <w:pPr>
              <w:spacing w:before="131" w:line="192" w:lineRule="auto"/>
              <w:ind w:left="46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131" w:type="dxa"/>
            <w:vAlign w:val="top"/>
          </w:tcPr>
          <w:p w14:paraId="5E39CF1F">
            <w:pPr>
              <w:spacing w:before="131" w:line="192" w:lineRule="auto"/>
              <w:ind w:left="5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313" w:type="dxa"/>
            <w:vMerge w:val="restart"/>
            <w:tcBorders>
              <w:bottom w:val="nil"/>
            </w:tcBorders>
            <w:vAlign w:val="top"/>
          </w:tcPr>
          <w:p w14:paraId="75B68426">
            <w:pPr>
              <w:spacing w:line="255" w:lineRule="auto"/>
              <w:rPr>
                <w:rFonts w:ascii="Arial"/>
                <w:sz w:val="21"/>
              </w:rPr>
            </w:pPr>
          </w:p>
          <w:p w14:paraId="1A92AA14">
            <w:pPr>
              <w:spacing w:before="52" w:line="192" w:lineRule="auto"/>
              <w:ind w:left="629"/>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58" w:type="dxa"/>
            <w:vMerge w:val="restart"/>
            <w:tcBorders>
              <w:bottom w:val="nil"/>
            </w:tcBorders>
            <w:vAlign w:val="top"/>
          </w:tcPr>
          <w:p w14:paraId="717E6355">
            <w:pPr>
              <w:spacing w:line="255" w:lineRule="auto"/>
              <w:rPr>
                <w:rFonts w:ascii="Arial"/>
                <w:sz w:val="21"/>
              </w:rPr>
            </w:pPr>
          </w:p>
          <w:p w14:paraId="686BD145">
            <w:pPr>
              <w:spacing w:before="52"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729CB3E7">
            <w:pPr>
              <w:spacing w:before="131"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357DF360">
            <w:pPr>
              <w:spacing w:before="131" w:line="192" w:lineRule="auto"/>
              <w:ind w:left="463"/>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61" w:type="dxa"/>
            <w:vMerge w:val="restart"/>
            <w:tcBorders>
              <w:bottom w:val="nil"/>
            </w:tcBorders>
            <w:vAlign w:val="top"/>
          </w:tcPr>
          <w:p w14:paraId="0028B2BA">
            <w:pPr>
              <w:spacing w:line="255" w:lineRule="auto"/>
              <w:rPr>
                <w:rFonts w:ascii="Arial"/>
                <w:sz w:val="21"/>
              </w:rPr>
            </w:pPr>
          </w:p>
          <w:p w14:paraId="57ECC50E">
            <w:pPr>
              <w:spacing w:before="52" w:line="192" w:lineRule="auto"/>
              <w:ind w:left="30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36" w:type="dxa"/>
            <w:vAlign w:val="top"/>
          </w:tcPr>
          <w:p w14:paraId="4C0A8FC4">
            <w:pPr>
              <w:spacing w:before="131" w:line="192" w:lineRule="auto"/>
              <w:ind w:left="49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39" w:type="dxa"/>
            <w:vMerge w:val="continue"/>
            <w:tcBorders>
              <w:top w:val="nil"/>
              <w:bottom w:val="nil"/>
            </w:tcBorders>
            <w:vAlign w:val="top"/>
          </w:tcPr>
          <w:p w14:paraId="30642AA6">
            <w:pPr>
              <w:rPr>
                <w:rFonts w:ascii="Arial"/>
                <w:sz w:val="21"/>
              </w:rPr>
            </w:pPr>
          </w:p>
        </w:tc>
        <w:tc>
          <w:tcPr>
            <w:tcW w:w="812" w:type="dxa"/>
            <w:vMerge w:val="continue"/>
            <w:tcBorders>
              <w:top w:val="nil"/>
              <w:bottom w:val="nil"/>
            </w:tcBorders>
            <w:vAlign w:val="top"/>
          </w:tcPr>
          <w:p w14:paraId="2EF22894">
            <w:pPr>
              <w:rPr>
                <w:rFonts w:ascii="Arial"/>
                <w:sz w:val="21"/>
              </w:rPr>
            </w:pPr>
          </w:p>
        </w:tc>
        <w:tc>
          <w:tcPr>
            <w:tcW w:w="799" w:type="dxa"/>
            <w:vMerge w:val="continue"/>
            <w:tcBorders>
              <w:top w:val="nil"/>
              <w:bottom w:val="nil"/>
            </w:tcBorders>
            <w:vAlign w:val="top"/>
          </w:tcPr>
          <w:p w14:paraId="05E3C5DA">
            <w:pPr>
              <w:rPr>
                <w:rFonts w:ascii="Arial"/>
                <w:sz w:val="21"/>
              </w:rPr>
            </w:pPr>
          </w:p>
        </w:tc>
        <w:tc>
          <w:tcPr>
            <w:tcW w:w="1196" w:type="dxa"/>
            <w:vMerge w:val="continue"/>
            <w:tcBorders>
              <w:top w:val="nil"/>
              <w:bottom w:val="nil"/>
              <w:right w:val="nil"/>
            </w:tcBorders>
            <w:vAlign w:val="top"/>
          </w:tcPr>
          <w:p w14:paraId="1391C115">
            <w:pPr>
              <w:rPr>
                <w:rFonts w:ascii="Arial"/>
                <w:sz w:val="21"/>
              </w:rPr>
            </w:pPr>
          </w:p>
        </w:tc>
      </w:tr>
      <w:tr w14:paraId="2617A6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808" w:type="dxa"/>
            <w:vMerge w:val="continue"/>
            <w:tcBorders>
              <w:top w:val="nil"/>
              <w:left w:val="nil"/>
            </w:tcBorders>
            <w:vAlign w:val="top"/>
          </w:tcPr>
          <w:p w14:paraId="78285D21">
            <w:pPr>
              <w:rPr>
                <w:rFonts w:ascii="Arial"/>
                <w:sz w:val="21"/>
              </w:rPr>
            </w:pPr>
          </w:p>
        </w:tc>
        <w:tc>
          <w:tcPr>
            <w:tcW w:w="2010" w:type="dxa"/>
            <w:vMerge w:val="continue"/>
            <w:tcBorders>
              <w:top w:val="nil"/>
            </w:tcBorders>
            <w:vAlign w:val="top"/>
          </w:tcPr>
          <w:p w14:paraId="3684EC44">
            <w:pPr>
              <w:rPr>
                <w:rFonts w:ascii="Arial"/>
                <w:sz w:val="21"/>
              </w:rPr>
            </w:pPr>
          </w:p>
        </w:tc>
        <w:tc>
          <w:tcPr>
            <w:tcW w:w="1080" w:type="dxa"/>
            <w:vMerge w:val="continue"/>
            <w:tcBorders>
              <w:top w:val="nil"/>
            </w:tcBorders>
            <w:vAlign w:val="top"/>
          </w:tcPr>
          <w:p w14:paraId="6EC50791">
            <w:pPr>
              <w:rPr>
                <w:rFonts w:ascii="Arial"/>
                <w:sz w:val="21"/>
              </w:rPr>
            </w:pPr>
          </w:p>
        </w:tc>
        <w:tc>
          <w:tcPr>
            <w:tcW w:w="730" w:type="dxa"/>
            <w:vMerge w:val="continue"/>
            <w:tcBorders>
              <w:top w:val="nil"/>
            </w:tcBorders>
            <w:vAlign w:val="top"/>
          </w:tcPr>
          <w:p w14:paraId="69BA831B">
            <w:pPr>
              <w:rPr>
                <w:rFonts w:ascii="Arial"/>
                <w:sz w:val="21"/>
              </w:rPr>
            </w:pPr>
          </w:p>
        </w:tc>
        <w:tc>
          <w:tcPr>
            <w:tcW w:w="1412" w:type="dxa"/>
            <w:vMerge w:val="continue"/>
            <w:tcBorders>
              <w:top w:val="nil"/>
            </w:tcBorders>
            <w:vAlign w:val="top"/>
          </w:tcPr>
          <w:p w14:paraId="77B5EC5E">
            <w:pPr>
              <w:rPr>
                <w:rFonts w:ascii="Arial"/>
                <w:sz w:val="21"/>
              </w:rPr>
            </w:pPr>
          </w:p>
        </w:tc>
        <w:tc>
          <w:tcPr>
            <w:tcW w:w="1209" w:type="dxa"/>
            <w:vMerge w:val="continue"/>
            <w:tcBorders>
              <w:top w:val="nil"/>
            </w:tcBorders>
            <w:vAlign w:val="top"/>
          </w:tcPr>
          <w:p w14:paraId="7F61C7C8">
            <w:pPr>
              <w:rPr>
                <w:rFonts w:ascii="Arial"/>
                <w:sz w:val="21"/>
              </w:rPr>
            </w:pPr>
          </w:p>
        </w:tc>
        <w:tc>
          <w:tcPr>
            <w:tcW w:w="1740" w:type="dxa"/>
            <w:vAlign w:val="top"/>
          </w:tcPr>
          <w:p w14:paraId="7DDA0357">
            <w:pPr>
              <w:pStyle w:val="6"/>
              <w:spacing w:before="107" w:line="221" w:lineRule="auto"/>
              <w:ind w:left="334"/>
              <w:rPr>
                <w:sz w:val="18"/>
                <w:szCs w:val="18"/>
              </w:rPr>
            </w:pPr>
            <w:r>
              <w:rPr>
                <w:spacing w:val="-2"/>
                <w:sz w:val="18"/>
                <w:szCs w:val="18"/>
              </w:rPr>
              <w:t>锰及其化合物</w:t>
            </w:r>
          </w:p>
        </w:tc>
        <w:tc>
          <w:tcPr>
            <w:tcW w:w="989" w:type="dxa"/>
            <w:vAlign w:val="top"/>
          </w:tcPr>
          <w:p w14:paraId="5C679FD8">
            <w:pPr>
              <w:spacing w:before="132"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vAlign w:val="top"/>
          </w:tcPr>
          <w:p w14:paraId="115242C8">
            <w:pPr>
              <w:spacing w:before="132" w:line="192" w:lineRule="auto"/>
              <w:ind w:left="46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131" w:type="dxa"/>
            <w:vAlign w:val="top"/>
          </w:tcPr>
          <w:p w14:paraId="6B590BA2">
            <w:pPr>
              <w:spacing w:before="132" w:line="192" w:lineRule="auto"/>
              <w:ind w:left="5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313" w:type="dxa"/>
            <w:vMerge w:val="continue"/>
            <w:tcBorders>
              <w:top w:val="nil"/>
            </w:tcBorders>
            <w:vAlign w:val="top"/>
          </w:tcPr>
          <w:p w14:paraId="421C5DBC">
            <w:pPr>
              <w:rPr>
                <w:rFonts w:ascii="Arial"/>
                <w:sz w:val="21"/>
              </w:rPr>
            </w:pPr>
          </w:p>
        </w:tc>
        <w:tc>
          <w:tcPr>
            <w:tcW w:w="1058" w:type="dxa"/>
            <w:vMerge w:val="continue"/>
            <w:tcBorders>
              <w:top w:val="nil"/>
            </w:tcBorders>
            <w:vAlign w:val="top"/>
          </w:tcPr>
          <w:p w14:paraId="00C3BB3A">
            <w:pPr>
              <w:rPr>
                <w:rFonts w:ascii="Arial"/>
                <w:sz w:val="21"/>
              </w:rPr>
            </w:pPr>
          </w:p>
        </w:tc>
        <w:tc>
          <w:tcPr>
            <w:tcW w:w="980" w:type="dxa"/>
            <w:vAlign w:val="top"/>
          </w:tcPr>
          <w:p w14:paraId="335CEE3C">
            <w:pPr>
              <w:spacing w:before="132"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46C4029F">
            <w:pPr>
              <w:spacing w:before="132" w:line="192" w:lineRule="auto"/>
              <w:ind w:left="463"/>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61" w:type="dxa"/>
            <w:vMerge w:val="continue"/>
            <w:tcBorders>
              <w:top w:val="nil"/>
            </w:tcBorders>
            <w:vAlign w:val="top"/>
          </w:tcPr>
          <w:p w14:paraId="24FA540E">
            <w:pPr>
              <w:rPr>
                <w:rFonts w:ascii="Arial"/>
                <w:sz w:val="21"/>
              </w:rPr>
            </w:pPr>
          </w:p>
        </w:tc>
        <w:tc>
          <w:tcPr>
            <w:tcW w:w="1036" w:type="dxa"/>
            <w:vAlign w:val="top"/>
          </w:tcPr>
          <w:p w14:paraId="375741D8">
            <w:pPr>
              <w:spacing w:before="132" w:line="192" w:lineRule="auto"/>
              <w:ind w:left="49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639" w:type="dxa"/>
            <w:vMerge w:val="continue"/>
            <w:tcBorders>
              <w:top w:val="nil"/>
            </w:tcBorders>
            <w:vAlign w:val="top"/>
          </w:tcPr>
          <w:p w14:paraId="0C6290DB">
            <w:pPr>
              <w:rPr>
                <w:rFonts w:ascii="Arial"/>
                <w:sz w:val="21"/>
              </w:rPr>
            </w:pPr>
          </w:p>
        </w:tc>
        <w:tc>
          <w:tcPr>
            <w:tcW w:w="812" w:type="dxa"/>
            <w:vMerge w:val="continue"/>
            <w:tcBorders>
              <w:top w:val="nil"/>
            </w:tcBorders>
            <w:vAlign w:val="top"/>
          </w:tcPr>
          <w:p w14:paraId="38B37B12">
            <w:pPr>
              <w:rPr>
                <w:rFonts w:ascii="Arial"/>
                <w:sz w:val="21"/>
              </w:rPr>
            </w:pPr>
          </w:p>
        </w:tc>
        <w:tc>
          <w:tcPr>
            <w:tcW w:w="799" w:type="dxa"/>
            <w:vMerge w:val="continue"/>
            <w:tcBorders>
              <w:top w:val="nil"/>
            </w:tcBorders>
            <w:vAlign w:val="top"/>
          </w:tcPr>
          <w:p w14:paraId="06D34451">
            <w:pPr>
              <w:rPr>
                <w:rFonts w:ascii="Arial"/>
                <w:sz w:val="21"/>
              </w:rPr>
            </w:pPr>
          </w:p>
        </w:tc>
        <w:tc>
          <w:tcPr>
            <w:tcW w:w="1196" w:type="dxa"/>
            <w:vMerge w:val="continue"/>
            <w:tcBorders>
              <w:top w:val="nil"/>
              <w:right w:val="nil"/>
            </w:tcBorders>
            <w:vAlign w:val="top"/>
          </w:tcPr>
          <w:p w14:paraId="0B9B210B">
            <w:pPr>
              <w:rPr>
                <w:rFonts w:ascii="Arial"/>
                <w:sz w:val="21"/>
              </w:rPr>
            </w:pPr>
          </w:p>
        </w:tc>
      </w:tr>
      <w:tr w14:paraId="0DE7C5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restart"/>
            <w:tcBorders>
              <w:left w:val="nil"/>
              <w:bottom w:val="nil"/>
            </w:tcBorders>
            <w:vAlign w:val="top"/>
          </w:tcPr>
          <w:p w14:paraId="4B4BDEFC">
            <w:pPr>
              <w:spacing w:line="258" w:lineRule="auto"/>
              <w:rPr>
                <w:rFonts w:ascii="Arial"/>
                <w:sz w:val="21"/>
              </w:rPr>
            </w:pPr>
          </w:p>
          <w:p w14:paraId="3CE64646">
            <w:pPr>
              <w:spacing w:before="51" w:line="204" w:lineRule="auto"/>
              <w:ind w:left="238"/>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G</w:t>
            </w:r>
            <w:r>
              <w:rPr>
                <w:rFonts w:ascii="Times New Roman" w:hAnsi="Times New Roman" w:eastAsia="Times New Roman" w:cs="Times New Roman"/>
                <w:spacing w:val="-3"/>
                <w:sz w:val="11"/>
                <w:szCs w:val="11"/>
              </w:rPr>
              <w:t>1-</w:t>
            </w:r>
            <w:r>
              <w:rPr>
                <w:rFonts w:ascii="Times New Roman" w:hAnsi="Times New Roman" w:eastAsia="Times New Roman" w:cs="Times New Roman"/>
                <w:spacing w:val="-11"/>
                <w:sz w:val="11"/>
                <w:szCs w:val="11"/>
              </w:rPr>
              <w:t xml:space="preserve"> </w:t>
            </w:r>
            <w:r>
              <w:rPr>
                <w:rFonts w:ascii="Times New Roman" w:hAnsi="Times New Roman" w:eastAsia="Times New Roman" w:cs="Times New Roman"/>
                <w:spacing w:val="-3"/>
                <w:sz w:val="11"/>
                <w:szCs w:val="11"/>
              </w:rPr>
              <w:t>10</w:t>
            </w:r>
          </w:p>
        </w:tc>
        <w:tc>
          <w:tcPr>
            <w:tcW w:w="2010" w:type="dxa"/>
            <w:vMerge w:val="restart"/>
            <w:tcBorders>
              <w:bottom w:val="nil"/>
            </w:tcBorders>
            <w:vAlign w:val="top"/>
          </w:tcPr>
          <w:p w14:paraId="58D6D60E">
            <w:pPr>
              <w:pStyle w:val="6"/>
              <w:spacing w:before="283" w:line="220" w:lineRule="auto"/>
              <w:ind w:left="19"/>
              <w:rPr>
                <w:sz w:val="18"/>
                <w:szCs w:val="18"/>
              </w:rPr>
            </w:pPr>
            <w:r>
              <w:rPr>
                <w:spacing w:val="-1"/>
                <w:sz w:val="18"/>
                <w:szCs w:val="18"/>
              </w:rPr>
              <w:t>锰硅出铁出渣及浇铸烟气</w:t>
            </w:r>
          </w:p>
        </w:tc>
        <w:tc>
          <w:tcPr>
            <w:tcW w:w="1080" w:type="dxa"/>
            <w:vMerge w:val="restart"/>
            <w:tcBorders>
              <w:bottom w:val="nil"/>
            </w:tcBorders>
            <w:vAlign w:val="top"/>
          </w:tcPr>
          <w:p w14:paraId="4F5806B3">
            <w:pPr>
              <w:pStyle w:val="6"/>
              <w:spacing w:before="283" w:line="220" w:lineRule="auto"/>
              <w:ind w:left="275"/>
              <w:rPr>
                <w:sz w:val="18"/>
                <w:szCs w:val="18"/>
              </w:rPr>
            </w:pPr>
            <w:r>
              <w:rPr>
                <w:spacing w:val="-3"/>
                <w:sz w:val="18"/>
                <w:szCs w:val="18"/>
              </w:rPr>
              <w:t>有组织</w:t>
            </w:r>
          </w:p>
        </w:tc>
        <w:tc>
          <w:tcPr>
            <w:tcW w:w="730" w:type="dxa"/>
            <w:vMerge w:val="restart"/>
            <w:tcBorders>
              <w:bottom w:val="nil"/>
            </w:tcBorders>
            <w:vAlign w:val="top"/>
          </w:tcPr>
          <w:p w14:paraId="045C3793">
            <w:pPr>
              <w:pStyle w:val="6"/>
              <w:spacing w:before="283" w:line="219" w:lineRule="auto"/>
              <w:ind w:left="202"/>
              <w:rPr>
                <w:sz w:val="18"/>
                <w:szCs w:val="18"/>
              </w:rPr>
            </w:pPr>
            <w:r>
              <w:rPr>
                <w:spacing w:val="-11"/>
                <w:sz w:val="18"/>
                <w:szCs w:val="18"/>
              </w:rPr>
              <w:t>间断</w:t>
            </w:r>
          </w:p>
        </w:tc>
        <w:tc>
          <w:tcPr>
            <w:tcW w:w="1412" w:type="dxa"/>
            <w:vMerge w:val="restart"/>
            <w:tcBorders>
              <w:bottom w:val="nil"/>
            </w:tcBorders>
            <w:vAlign w:val="top"/>
          </w:tcPr>
          <w:p w14:paraId="680B829C">
            <w:pPr>
              <w:pStyle w:val="6"/>
              <w:spacing w:before="283" w:line="219" w:lineRule="auto"/>
              <w:ind w:left="259"/>
              <w:rPr>
                <w:sz w:val="18"/>
                <w:szCs w:val="18"/>
              </w:rPr>
            </w:pPr>
            <w:r>
              <w:rPr>
                <w:spacing w:val="-2"/>
                <w:sz w:val="18"/>
                <w:szCs w:val="18"/>
              </w:rPr>
              <w:t>产污系数法</w:t>
            </w:r>
          </w:p>
        </w:tc>
        <w:tc>
          <w:tcPr>
            <w:tcW w:w="1209" w:type="dxa"/>
            <w:vMerge w:val="restart"/>
            <w:tcBorders>
              <w:bottom w:val="nil"/>
            </w:tcBorders>
            <w:vAlign w:val="top"/>
          </w:tcPr>
          <w:p w14:paraId="252A237C">
            <w:pPr>
              <w:spacing w:line="258" w:lineRule="auto"/>
              <w:rPr>
                <w:rFonts w:ascii="Arial"/>
                <w:sz w:val="21"/>
              </w:rPr>
            </w:pPr>
          </w:p>
          <w:p w14:paraId="476EBAD6">
            <w:pPr>
              <w:spacing w:before="52" w:line="188" w:lineRule="auto"/>
              <w:ind w:left="28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6×50000</w:t>
            </w:r>
          </w:p>
        </w:tc>
        <w:tc>
          <w:tcPr>
            <w:tcW w:w="1740" w:type="dxa"/>
            <w:vAlign w:val="top"/>
          </w:tcPr>
          <w:p w14:paraId="76331FAF">
            <w:pPr>
              <w:pStyle w:val="6"/>
              <w:spacing w:before="105" w:line="220" w:lineRule="auto"/>
              <w:ind w:left="604"/>
              <w:rPr>
                <w:sz w:val="18"/>
                <w:szCs w:val="18"/>
              </w:rPr>
            </w:pPr>
            <w:r>
              <w:rPr>
                <w:spacing w:val="-3"/>
                <w:sz w:val="18"/>
                <w:szCs w:val="18"/>
              </w:rPr>
              <w:t>颗粒物</w:t>
            </w:r>
          </w:p>
        </w:tc>
        <w:tc>
          <w:tcPr>
            <w:tcW w:w="989" w:type="dxa"/>
            <w:vAlign w:val="top"/>
          </w:tcPr>
          <w:p w14:paraId="17697ADF">
            <w:pPr>
              <w:spacing w:before="137" w:line="188" w:lineRule="auto"/>
              <w:ind w:left="29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677.0</w:t>
            </w:r>
          </w:p>
        </w:tc>
        <w:tc>
          <w:tcPr>
            <w:tcW w:w="993" w:type="dxa"/>
            <w:vAlign w:val="top"/>
          </w:tcPr>
          <w:p w14:paraId="1B01171A">
            <w:pPr>
              <w:spacing w:before="137" w:line="188" w:lineRule="auto"/>
              <w:ind w:left="20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6×33.85</w:t>
            </w:r>
          </w:p>
        </w:tc>
        <w:tc>
          <w:tcPr>
            <w:tcW w:w="1131" w:type="dxa"/>
            <w:vAlign w:val="top"/>
          </w:tcPr>
          <w:p w14:paraId="1BCD4642">
            <w:pPr>
              <w:spacing w:before="137" w:line="188" w:lineRule="auto"/>
              <w:ind w:left="32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338.15</w:t>
            </w:r>
          </w:p>
        </w:tc>
        <w:tc>
          <w:tcPr>
            <w:tcW w:w="1313" w:type="dxa"/>
            <w:vMerge w:val="restart"/>
            <w:tcBorders>
              <w:bottom w:val="nil"/>
            </w:tcBorders>
            <w:vAlign w:val="top"/>
          </w:tcPr>
          <w:p w14:paraId="52A45F8A">
            <w:pPr>
              <w:pStyle w:val="6"/>
              <w:spacing w:before="117" w:line="292" w:lineRule="auto"/>
              <w:ind w:left="480" w:right="64" w:hanging="411"/>
              <w:rPr>
                <w:sz w:val="18"/>
                <w:szCs w:val="18"/>
              </w:rPr>
            </w:pPr>
            <w:r>
              <w:rPr>
                <w:spacing w:val="-2"/>
                <w:sz w:val="18"/>
                <w:szCs w:val="18"/>
              </w:rPr>
              <w:t>集尘罩</w:t>
            </w:r>
            <w:r>
              <w:rPr>
                <w:rFonts w:ascii="Times New Roman" w:hAnsi="Times New Roman" w:eastAsia="Times New Roman" w:cs="Times New Roman"/>
                <w:spacing w:val="-2"/>
                <w:sz w:val="18"/>
                <w:szCs w:val="18"/>
              </w:rPr>
              <w:t>+</w:t>
            </w:r>
            <w:r>
              <w:rPr>
                <w:spacing w:val="-2"/>
                <w:sz w:val="18"/>
                <w:szCs w:val="18"/>
              </w:rPr>
              <w:t>布袋除</w:t>
            </w:r>
            <w:r>
              <w:rPr>
                <w:spacing w:val="5"/>
                <w:sz w:val="18"/>
                <w:szCs w:val="18"/>
              </w:rPr>
              <w:t xml:space="preserve"> </w:t>
            </w:r>
            <w:r>
              <w:rPr>
                <w:spacing w:val="-5"/>
                <w:sz w:val="18"/>
                <w:szCs w:val="18"/>
              </w:rPr>
              <w:t>尘器</w:t>
            </w:r>
          </w:p>
        </w:tc>
        <w:tc>
          <w:tcPr>
            <w:tcW w:w="1058" w:type="dxa"/>
            <w:vMerge w:val="restart"/>
            <w:tcBorders>
              <w:bottom w:val="nil"/>
            </w:tcBorders>
            <w:vAlign w:val="top"/>
          </w:tcPr>
          <w:p w14:paraId="1FC9130E">
            <w:pPr>
              <w:pStyle w:val="6"/>
              <w:spacing w:before="117" w:line="292" w:lineRule="auto"/>
              <w:ind w:left="183" w:right="165" w:firstLine="62"/>
              <w:rPr>
                <w:rFonts w:ascii="Times New Roman" w:hAnsi="Times New Roman" w:eastAsia="Times New Roman" w:cs="Times New Roman"/>
                <w:sz w:val="18"/>
                <w:szCs w:val="18"/>
              </w:rPr>
            </w:pPr>
            <w:r>
              <w:rPr>
                <w:spacing w:val="-5"/>
                <w:sz w:val="18"/>
                <w:szCs w:val="18"/>
              </w:rPr>
              <w:t>收集</w:t>
            </w:r>
            <w:r>
              <w:rPr>
                <w:spacing w:val="-38"/>
                <w:sz w:val="18"/>
                <w:szCs w:val="18"/>
              </w:rPr>
              <w:t xml:space="preserve"> </w:t>
            </w:r>
            <w:r>
              <w:rPr>
                <w:rFonts w:ascii="Times New Roman" w:hAnsi="Times New Roman" w:eastAsia="Times New Roman" w:cs="Times New Roman"/>
                <w:spacing w:val="-5"/>
                <w:sz w:val="18"/>
                <w:szCs w:val="18"/>
              </w:rPr>
              <w:t>95</w:t>
            </w:r>
            <w:r>
              <w:rPr>
                <w:rFonts w:ascii="Times New Roman" w:hAnsi="Times New Roman" w:eastAsia="Times New Roman" w:cs="Times New Roman"/>
                <w:sz w:val="18"/>
                <w:szCs w:val="18"/>
              </w:rPr>
              <w:t xml:space="preserve">  </w:t>
            </w:r>
            <w:r>
              <w:rPr>
                <w:spacing w:val="-5"/>
                <w:sz w:val="18"/>
                <w:szCs w:val="18"/>
              </w:rPr>
              <w:t>除尘</w:t>
            </w:r>
            <w:r>
              <w:rPr>
                <w:spacing w:val="-33"/>
                <w:sz w:val="18"/>
                <w:szCs w:val="18"/>
              </w:rPr>
              <w:t xml:space="preserve"> </w:t>
            </w:r>
            <w:r>
              <w:rPr>
                <w:rFonts w:ascii="Times New Roman" w:hAnsi="Times New Roman" w:eastAsia="Times New Roman" w:cs="Times New Roman"/>
                <w:spacing w:val="-5"/>
                <w:sz w:val="18"/>
                <w:szCs w:val="18"/>
              </w:rPr>
              <w:t>99.5</w:t>
            </w:r>
          </w:p>
        </w:tc>
        <w:tc>
          <w:tcPr>
            <w:tcW w:w="980" w:type="dxa"/>
            <w:vAlign w:val="top"/>
          </w:tcPr>
          <w:p w14:paraId="14A76F3B">
            <w:pPr>
              <w:spacing w:before="137" w:line="188" w:lineRule="auto"/>
              <w:ind w:left="33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6.80</w:t>
            </w:r>
          </w:p>
        </w:tc>
        <w:tc>
          <w:tcPr>
            <w:tcW w:w="980" w:type="dxa"/>
            <w:vAlign w:val="top"/>
          </w:tcPr>
          <w:p w14:paraId="79074B51">
            <w:pPr>
              <w:spacing w:before="137" w:line="188" w:lineRule="auto"/>
              <w:ind w:left="2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6×0.34</w:t>
            </w:r>
          </w:p>
        </w:tc>
        <w:tc>
          <w:tcPr>
            <w:tcW w:w="661" w:type="dxa"/>
            <w:vMerge w:val="restart"/>
            <w:tcBorders>
              <w:bottom w:val="nil"/>
            </w:tcBorders>
            <w:vAlign w:val="top"/>
          </w:tcPr>
          <w:p w14:paraId="3521F39D">
            <w:pPr>
              <w:spacing w:line="258" w:lineRule="auto"/>
              <w:rPr>
                <w:rFonts w:ascii="Arial"/>
                <w:sz w:val="21"/>
              </w:rPr>
            </w:pPr>
          </w:p>
          <w:p w14:paraId="56A51103">
            <w:pPr>
              <w:spacing w:before="52" w:line="188" w:lineRule="auto"/>
              <w:ind w:left="16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1036" w:type="dxa"/>
            <w:vAlign w:val="top"/>
          </w:tcPr>
          <w:p w14:paraId="6665DA28">
            <w:pPr>
              <w:spacing w:before="137" w:line="188" w:lineRule="auto"/>
              <w:ind w:left="36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3.38</w:t>
            </w:r>
          </w:p>
        </w:tc>
        <w:tc>
          <w:tcPr>
            <w:tcW w:w="639" w:type="dxa"/>
            <w:vMerge w:val="restart"/>
            <w:tcBorders>
              <w:bottom w:val="nil"/>
            </w:tcBorders>
            <w:vAlign w:val="top"/>
          </w:tcPr>
          <w:p w14:paraId="54DEB4FF">
            <w:pPr>
              <w:spacing w:line="258" w:lineRule="auto"/>
              <w:rPr>
                <w:rFonts w:ascii="Arial"/>
                <w:sz w:val="21"/>
              </w:rPr>
            </w:pPr>
          </w:p>
          <w:p w14:paraId="6FD5922A">
            <w:pPr>
              <w:spacing w:before="52" w:line="188" w:lineRule="auto"/>
              <w:ind w:left="23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812" w:type="dxa"/>
            <w:vMerge w:val="restart"/>
            <w:tcBorders>
              <w:bottom w:val="nil"/>
            </w:tcBorders>
            <w:vAlign w:val="top"/>
          </w:tcPr>
          <w:p w14:paraId="126DF289">
            <w:pPr>
              <w:spacing w:line="258" w:lineRule="auto"/>
              <w:rPr>
                <w:rFonts w:ascii="Arial"/>
                <w:sz w:val="21"/>
              </w:rPr>
            </w:pPr>
          </w:p>
          <w:p w14:paraId="3ADB07A2">
            <w:pPr>
              <w:spacing w:before="52" w:line="188" w:lineRule="auto"/>
              <w:ind w:left="31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799" w:type="dxa"/>
            <w:vMerge w:val="restart"/>
            <w:tcBorders>
              <w:bottom w:val="nil"/>
            </w:tcBorders>
            <w:vAlign w:val="top"/>
          </w:tcPr>
          <w:p w14:paraId="569FEEB0">
            <w:pPr>
              <w:spacing w:line="258" w:lineRule="auto"/>
              <w:rPr>
                <w:rFonts w:ascii="Arial"/>
                <w:sz w:val="21"/>
              </w:rPr>
            </w:pPr>
          </w:p>
          <w:p w14:paraId="371E47AF">
            <w:pPr>
              <w:spacing w:before="52" w:line="188" w:lineRule="auto"/>
              <w:ind w:left="28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1196" w:type="dxa"/>
            <w:vMerge w:val="restart"/>
            <w:tcBorders>
              <w:bottom w:val="nil"/>
              <w:right w:val="nil"/>
            </w:tcBorders>
            <w:vAlign w:val="top"/>
          </w:tcPr>
          <w:p w14:paraId="615BF076">
            <w:pPr>
              <w:spacing w:line="258" w:lineRule="auto"/>
              <w:rPr>
                <w:rFonts w:ascii="Arial"/>
                <w:sz w:val="21"/>
              </w:rPr>
            </w:pPr>
          </w:p>
          <w:p w14:paraId="66E8C68E">
            <w:pPr>
              <w:spacing w:before="52" w:line="188" w:lineRule="auto"/>
              <w:ind w:left="1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DA008~DA013</w:t>
            </w:r>
          </w:p>
        </w:tc>
      </w:tr>
      <w:tr w14:paraId="26BB88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tcBorders>
            <w:vAlign w:val="top"/>
          </w:tcPr>
          <w:p w14:paraId="4EB99796">
            <w:pPr>
              <w:rPr>
                <w:rFonts w:ascii="Arial"/>
                <w:sz w:val="21"/>
              </w:rPr>
            </w:pPr>
          </w:p>
        </w:tc>
        <w:tc>
          <w:tcPr>
            <w:tcW w:w="2010" w:type="dxa"/>
            <w:vMerge w:val="continue"/>
            <w:tcBorders>
              <w:top w:val="nil"/>
            </w:tcBorders>
            <w:vAlign w:val="top"/>
          </w:tcPr>
          <w:p w14:paraId="5CF7195E">
            <w:pPr>
              <w:rPr>
                <w:rFonts w:ascii="Arial"/>
                <w:sz w:val="21"/>
              </w:rPr>
            </w:pPr>
          </w:p>
        </w:tc>
        <w:tc>
          <w:tcPr>
            <w:tcW w:w="1080" w:type="dxa"/>
            <w:vMerge w:val="continue"/>
            <w:tcBorders>
              <w:top w:val="nil"/>
            </w:tcBorders>
            <w:vAlign w:val="top"/>
          </w:tcPr>
          <w:p w14:paraId="43213238">
            <w:pPr>
              <w:rPr>
                <w:rFonts w:ascii="Arial"/>
                <w:sz w:val="21"/>
              </w:rPr>
            </w:pPr>
          </w:p>
        </w:tc>
        <w:tc>
          <w:tcPr>
            <w:tcW w:w="730" w:type="dxa"/>
            <w:vMerge w:val="continue"/>
            <w:tcBorders>
              <w:top w:val="nil"/>
            </w:tcBorders>
            <w:vAlign w:val="top"/>
          </w:tcPr>
          <w:p w14:paraId="4A3E4F12">
            <w:pPr>
              <w:rPr>
                <w:rFonts w:ascii="Arial"/>
                <w:sz w:val="21"/>
              </w:rPr>
            </w:pPr>
          </w:p>
        </w:tc>
        <w:tc>
          <w:tcPr>
            <w:tcW w:w="1412" w:type="dxa"/>
            <w:vMerge w:val="continue"/>
            <w:tcBorders>
              <w:top w:val="nil"/>
            </w:tcBorders>
            <w:vAlign w:val="top"/>
          </w:tcPr>
          <w:p w14:paraId="0010CE4F">
            <w:pPr>
              <w:rPr>
                <w:rFonts w:ascii="Arial"/>
                <w:sz w:val="21"/>
              </w:rPr>
            </w:pPr>
          </w:p>
        </w:tc>
        <w:tc>
          <w:tcPr>
            <w:tcW w:w="1209" w:type="dxa"/>
            <w:vMerge w:val="continue"/>
            <w:tcBorders>
              <w:top w:val="nil"/>
            </w:tcBorders>
            <w:vAlign w:val="top"/>
          </w:tcPr>
          <w:p w14:paraId="5C5C4085">
            <w:pPr>
              <w:rPr>
                <w:rFonts w:ascii="Arial"/>
                <w:sz w:val="21"/>
              </w:rPr>
            </w:pPr>
          </w:p>
        </w:tc>
        <w:tc>
          <w:tcPr>
            <w:tcW w:w="1740" w:type="dxa"/>
            <w:vAlign w:val="top"/>
          </w:tcPr>
          <w:p w14:paraId="0B532C76">
            <w:pPr>
              <w:pStyle w:val="6"/>
              <w:spacing w:before="107" w:line="221" w:lineRule="auto"/>
              <w:ind w:left="334"/>
              <w:rPr>
                <w:sz w:val="18"/>
                <w:szCs w:val="18"/>
              </w:rPr>
            </w:pPr>
            <w:r>
              <w:rPr>
                <w:spacing w:val="-2"/>
                <w:sz w:val="18"/>
                <w:szCs w:val="18"/>
              </w:rPr>
              <w:t>锰及其化合物</w:t>
            </w:r>
          </w:p>
        </w:tc>
        <w:tc>
          <w:tcPr>
            <w:tcW w:w="989" w:type="dxa"/>
            <w:vAlign w:val="top"/>
          </w:tcPr>
          <w:p w14:paraId="4F7C3A8E">
            <w:pPr>
              <w:spacing w:before="136" w:line="188" w:lineRule="auto"/>
              <w:ind w:left="26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181.40</w:t>
            </w:r>
          </w:p>
        </w:tc>
        <w:tc>
          <w:tcPr>
            <w:tcW w:w="993" w:type="dxa"/>
            <w:vAlign w:val="top"/>
          </w:tcPr>
          <w:p w14:paraId="2AD78288">
            <w:pPr>
              <w:spacing w:before="136" w:line="188" w:lineRule="auto"/>
              <w:ind w:left="24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6×9.07</w:t>
            </w:r>
          </w:p>
        </w:tc>
        <w:tc>
          <w:tcPr>
            <w:tcW w:w="1131" w:type="dxa"/>
            <w:vAlign w:val="top"/>
          </w:tcPr>
          <w:p w14:paraId="78700C1D">
            <w:pPr>
              <w:spacing w:before="136" w:line="188" w:lineRule="auto"/>
              <w:ind w:left="36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90.62</w:t>
            </w:r>
          </w:p>
        </w:tc>
        <w:tc>
          <w:tcPr>
            <w:tcW w:w="1313" w:type="dxa"/>
            <w:vMerge w:val="continue"/>
            <w:tcBorders>
              <w:top w:val="nil"/>
            </w:tcBorders>
            <w:vAlign w:val="top"/>
          </w:tcPr>
          <w:p w14:paraId="68C9912B">
            <w:pPr>
              <w:rPr>
                <w:rFonts w:ascii="Arial"/>
                <w:sz w:val="21"/>
              </w:rPr>
            </w:pPr>
          </w:p>
        </w:tc>
        <w:tc>
          <w:tcPr>
            <w:tcW w:w="1058" w:type="dxa"/>
            <w:vMerge w:val="continue"/>
            <w:tcBorders>
              <w:top w:val="nil"/>
            </w:tcBorders>
            <w:vAlign w:val="top"/>
          </w:tcPr>
          <w:p w14:paraId="5D51B89F">
            <w:pPr>
              <w:rPr>
                <w:rFonts w:ascii="Arial"/>
                <w:sz w:val="21"/>
              </w:rPr>
            </w:pPr>
          </w:p>
        </w:tc>
        <w:tc>
          <w:tcPr>
            <w:tcW w:w="980" w:type="dxa"/>
            <w:vAlign w:val="top"/>
          </w:tcPr>
          <w:p w14:paraId="479E2F9C">
            <w:pPr>
              <w:spacing w:before="136" w:line="188" w:lineRule="auto"/>
              <w:ind w:left="350"/>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1.80</w:t>
            </w:r>
          </w:p>
        </w:tc>
        <w:tc>
          <w:tcPr>
            <w:tcW w:w="980" w:type="dxa"/>
            <w:vAlign w:val="top"/>
          </w:tcPr>
          <w:p w14:paraId="7F84FDF8">
            <w:pPr>
              <w:spacing w:before="136" w:line="188" w:lineRule="auto"/>
              <w:ind w:left="2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6×0.09</w:t>
            </w:r>
          </w:p>
        </w:tc>
        <w:tc>
          <w:tcPr>
            <w:tcW w:w="661" w:type="dxa"/>
            <w:vMerge w:val="continue"/>
            <w:tcBorders>
              <w:top w:val="nil"/>
            </w:tcBorders>
            <w:vAlign w:val="top"/>
          </w:tcPr>
          <w:p w14:paraId="6E7B3C24">
            <w:pPr>
              <w:rPr>
                <w:rFonts w:ascii="Arial"/>
                <w:sz w:val="21"/>
              </w:rPr>
            </w:pPr>
          </w:p>
        </w:tc>
        <w:tc>
          <w:tcPr>
            <w:tcW w:w="1036" w:type="dxa"/>
            <w:vAlign w:val="top"/>
          </w:tcPr>
          <w:p w14:paraId="2448E883">
            <w:pPr>
              <w:spacing w:before="136" w:line="188" w:lineRule="auto"/>
              <w:ind w:left="36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0.91</w:t>
            </w:r>
          </w:p>
        </w:tc>
        <w:tc>
          <w:tcPr>
            <w:tcW w:w="639" w:type="dxa"/>
            <w:vMerge w:val="continue"/>
            <w:tcBorders>
              <w:top w:val="nil"/>
            </w:tcBorders>
            <w:vAlign w:val="top"/>
          </w:tcPr>
          <w:p w14:paraId="0F83954F">
            <w:pPr>
              <w:rPr>
                <w:rFonts w:ascii="Arial"/>
                <w:sz w:val="21"/>
              </w:rPr>
            </w:pPr>
          </w:p>
        </w:tc>
        <w:tc>
          <w:tcPr>
            <w:tcW w:w="812" w:type="dxa"/>
            <w:vMerge w:val="continue"/>
            <w:tcBorders>
              <w:top w:val="nil"/>
            </w:tcBorders>
            <w:vAlign w:val="top"/>
          </w:tcPr>
          <w:p w14:paraId="4E20960F">
            <w:pPr>
              <w:rPr>
                <w:rFonts w:ascii="Arial"/>
                <w:sz w:val="21"/>
              </w:rPr>
            </w:pPr>
          </w:p>
        </w:tc>
        <w:tc>
          <w:tcPr>
            <w:tcW w:w="799" w:type="dxa"/>
            <w:vMerge w:val="continue"/>
            <w:tcBorders>
              <w:top w:val="nil"/>
            </w:tcBorders>
            <w:vAlign w:val="top"/>
          </w:tcPr>
          <w:p w14:paraId="176BACEA">
            <w:pPr>
              <w:rPr>
                <w:rFonts w:ascii="Arial"/>
                <w:sz w:val="21"/>
              </w:rPr>
            </w:pPr>
          </w:p>
        </w:tc>
        <w:tc>
          <w:tcPr>
            <w:tcW w:w="1196" w:type="dxa"/>
            <w:vMerge w:val="continue"/>
            <w:tcBorders>
              <w:top w:val="nil"/>
              <w:right w:val="nil"/>
            </w:tcBorders>
            <w:vAlign w:val="top"/>
          </w:tcPr>
          <w:p w14:paraId="4DDE04A3">
            <w:pPr>
              <w:rPr>
                <w:rFonts w:ascii="Arial"/>
                <w:sz w:val="21"/>
              </w:rPr>
            </w:pPr>
          </w:p>
        </w:tc>
      </w:tr>
      <w:tr w14:paraId="038983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808" w:type="dxa"/>
            <w:vMerge w:val="restart"/>
            <w:tcBorders>
              <w:left w:val="nil"/>
              <w:bottom w:val="nil"/>
            </w:tcBorders>
            <w:vAlign w:val="top"/>
          </w:tcPr>
          <w:p w14:paraId="78F5AD10">
            <w:pPr>
              <w:spacing w:line="261" w:lineRule="auto"/>
              <w:rPr>
                <w:rFonts w:ascii="Arial"/>
                <w:sz w:val="21"/>
              </w:rPr>
            </w:pPr>
          </w:p>
          <w:p w14:paraId="4E606F24">
            <w:pPr>
              <w:spacing w:line="261" w:lineRule="auto"/>
              <w:rPr>
                <w:rFonts w:ascii="Arial"/>
                <w:sz w:val="21"/>
              </w:rPr>
            </w:pPr>
          </w:p>
          <w:p w14:paraId="1DA7EDBC">
            <w:pPr>
              <w:spacing w:line="262" w:lineRule="auto"/>
              <w:rPr>
                <w:rFonts w:ascii="Arial"/>
                <w:sz w:val="21"/>
              </w:rPr>
            </w:pPr>
          </w:p>
          <w:p w14:paraId="3C0FBF0D">
            <w:pPr>
              <w:spacing w:before="52" w:line="202" w:lineRule="auto"/>
              <w:ind w:left="267"/>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G</w:t>
            </w:r>
            <w:r>
              <w:rPr>
                <w:rFonts w:ascii="Times New Roman" w:hAnsi="Times New Roman" w:eastAsia="Times New Roman" w:cs="Times New Roman"/>
                <w:spacing w:val="-1"/>
                <w:sz w:val="11"/>
                <w:szCs w:val="11"/>
              </w:rPr>
              <w:t>2-</w:t>
            </w:r>
            <w:r>
              <w:rPr>
                <w:rFonts w:ascii="Times New Roman" w:hAnsi="Times New Roman" w:eastAsia="Times New Roman" w:cs="Times New Roman"/>
                <w:spacing w:val="-14"/>
                <w:sz w:val="11"/>
                <w:szCs w:val="11"/>
              </w:rPr>
              <w:t xml:space="preserve"> </w:t>
            </w:r>
            <w:r>
              <w:rPr>
                <w:rFonts w:ascii="Times New Roman" w:hAnsi="Times New Roman" w:eastAsia="Times New Roman" w:cs="Times New Roman"/>
                <w:spacing w:val="-1"/>
                <w:sz w:val="11"/>
                <w:szCs w:val="11"/>
              </w:rPr>
              <w:t>1</w:t>
            </w:r>
          </w:p>
        </w:tc>
        <w:tc>
          <w:tcPr>
            <w:tcW w:w="2010" w:type="dxa"/>
            <w:vMerge w:val="restart"/>
            <w:tcBorders>
              <w:bottom w:val="nil"/>
            </w:tcBorders>
            <w:vAlign w:val="top"/>
          </w:tcPr>
          <w:p w14:paraId="705096AE">
            <w:pPr>
              <w:spacing w:line="249" w:lineRule="auto"/>
              <w:rPr>
                <w:rFonts w:ascii="Arial"/>
                <w:sz w:val="21"/>
              </w:rPr>
            </w:pPr>
          </w:p>
          <w:p w14:paraId="56FCE4E9">
            <w:pPr>
              <w:spacing w:line="250" w:lineRule="auto"/>
              <w:rPr>
                <w:rFonts w:ascii="Arial"/>
                <w:sz w:val="21"/>
              </w:rPr>
            </w:pPr>
          </w:p>
          <w:p w14:paraId="743B916E">
            <w:pPr>
              <w:spacing w:line="250" w:lineRule="auto"/>
              <w:rPr>
                <w:rFonts w:ascii="Arial"/>
                <w:sz w:val="21"/>
              </w:rPr>
            </w:pPr>
          </w:p>
          <w:p w14:paraId="04EB8E76">
            <w:pPr>
              <w:pStyle w:val="6"/>
              <w:spacing w:before="59" w:line="220" w:lineRule="auto"/>
              <w:ind w:left="291"/>
              <w:rPr>
                <w:sz w:val="18"/>
                <w:szCs w:val="18"/>
              </w:rPr>
            </w:pPr>
            <w:r>
              <w:rPr>
                <w:spacing w:val="-1"/>
                <w:sz w:val="18"/>
                <w:szCs w:val="18"/>
              </w:rPr>
              <w:t>燃气发电锅炉烟气</w:t>
            </w:r>
          </w:p>
        </w:tc>
        <w:tc>
          <w:tcPr>
            <w:tcW w:w="1080" w:type="dxa"/>
            <w:vMerge w:val="restart"/>
            <w:tcBorders>
              <w:bottom w:val="nil"/>
            </w:tcBorders>
            <w:vAlign w:val="top"/>
          </w:tcPr>
          <w:p w14:paraId="0FA5AE05">
            <w:pPr>
              <w:spacing w:line="249" w:lineRule="auto"/>
              <w:rPr>
                <w:rFonts w:ascii="Arial"/>
                <w:sz w:val="21"/>
              </w:rPr>
            </w:pPr>
          </w:p>
          <w:p w14:paraId="58609DD7">
            <w:pPr>
              <w:spacing w:line="250" w:lineRule="auto"/>
              <w:rPr>
                <w:rFonts w:ascii="Arial"/>
                <w:sz w:val="21"/>
              </w:rPr>
            </w:pPr>
          </w:p>
          <w:p w14:paraId="25E28A65">
            <w:pPr>
              <w:spacing w:line="250" w:lineRule="auto"/>
              <w:rPr>
                <w:rFonts w:ascii="Arial"/>
                <w:sz w:val="21"/>
              </w:rPr>
            </w:pPr>
          </w:p>
          <w:p w14:paraId="585AE30D">
            <w:pPr>
              <w:pStyle w:val="6"/>
              <w:spacing w:before="59" w:line="220" w:lineRule="auto"/>
              <w:ind w:left="275"/>
              <w:rPr>
                <w:sz w:val="18"/>
                <w:szCs w:val="18"/>
              </w:rPr>
            </w:pPr>
            <w:r>
              <w:rPr>
                <w:spacing w:val="-3"/>
                <w:sz w:val="18"/>
                <w:szCs w:val="18"/>
              </w:rPr>
              <w:t>有组织</w:t>
            </w:r>
          </w:p>
        </w:tc>
        <w:tc>
          <w:tcPr>
            <w:tcW w:w="730" w:type="dxa"/>
            <w:vMerge w:val="restart"/>
            <w:tcBorders>
              <w:bottom w:val="nil"/>
            </w:tcBorders>
            <w:vAlign w:val="top"/>
          </w:tcPr>
          <w:p w14:paraId="14B1CBE9">
            <w:pPr>
              <w:spacing w:line="249" w:lineRule="auto"/>
              <w:rPr>
                <w:rFonts w:ascii="Arial"/>
                <w:sz w:val="21"/>
              </w:rPr>
            </w:pPr>
          </w:p>
          <w:p w14:paraId="304DB8CD">
            <w:pPr>
              <w:spacing w:line="250" w:lineRule="auto"/>
              <w:rPr>
                <w:rFonts w:ascii="Arial"/>
                <w:sz w:val="21"/>
              </w:rPr>
            </w:pPr>
          </w:p>
          <w:p w14:paraId="5CAFB68A">
            <w:pPr>
              <w:spacing w:line="250" w:lineRule="auto"/>
              <w:rPr>
                <w:rFonts w:ascii="Arial"/>
                <w:sz w:val="21"/>
              </w:rPr>
            </w:pPr>
          </w:p>
          <w:p w14:paraId="64A4E776">
            <w:pPr>
              <w:pStyle w:val="6"/>
              <w:spacing w:before="59" w:line="220" w:lineRule="auto"/>
              <w:ind w:left="189"/>
              <w:rPr>
                <w:sz w:val="18"/>
                <w:szCs w:val="18"/>
              </w:rPr>
            </w:pPr>
            <w:r>
              <w:rPr>
                <w:spacing w:val="-4"/>
                <w:sz w:val="18"/>
                <w:szCs w:val="18"/>
              </w:rPr>
              <w:t>连续</w:t>
            </w:r>
          </w:p>
        </w:tc>
        <w:tc>
          <w:tcPr>
            <w:tcW w:w="1412" w:type="dxa"/>
            <w:vMerge w:val="restart"/>
            <w:tcBorders>
              <w:bottom w:val="nil"/>
            </w:tcBorders>
            <w:vAlign w:val="top"/>
          </w:tcPr>
          <w:p w14:paraId="45715028">
            <w:pPr>
              <w:spacing w:line="249" w:lineRule="auto"/>
              <w:rPr>
                <w:rFonts w:ascii="Arial"/>
                <w:sz w:val="21"/>
              </w:rPr>
            </w:pPr>
          </w:p>
          <w:p w14:paraId="63D0C5CC">
            <w:pPr>
              <w:spacing w:line="250" w:lineRule="auto"/>
              <w:rPr>
                <w:rFonts w:ascii="Arial"/>
                <w:sz w:val="21"/>
              </w:rPr>
            </w:pPr>
          </w:p>
          <w:p w14:paraId="155F532C">
            <w:pPr>
              <w:spacing w:line="250" w:lineRule="auto"/>
              <w:rPr>
                <w:rFonts w:ascii="Arial"/>
                <w:sz w:val="21"/>
              </w:rPr>
            </w:pPr>
          </w:p>
          <w:p w14:paraId="40E62837">
            <w:pPr>
              <w:pStyle w:val="6"/>
              <w:spacing w:before="59" w:line="219" w:lineRule="auto"/>
              <w:ind w:left="259"/>
              <w:rPr>
                <w:sz w:val="18"/>
                <w:szCs w:val="18"/>
              </w:rPr>
            </w:pPr>
            <w:r>
              <w:rPr>
                <w:spacing w:val="-2"/>
                <w:sz w:val="18"/>
                <w:szCs w:val="18"/>
              </w:rPr>
              <w:t>产污系数法</w:t>
            </w:r>
          </w:p>
        </w:tc>
        <w:tc>
          <w:tcPr>
            <w:tcW w:w="1209" w:type="dxa"/>
            <w:vMerge w:val="restart"/>
            <w:tcBorders>
              <w:bottom w:val="nil"/>
            </w:tcBorders>
            <w:vAlign w:val="top"/>
          </w:tcPr>
          <w:p w14:paraId="36B2EBEF">
            <w:pPr>
              <w:spacing w:line="261" w:lineRule="auto"/>
              <w:rPr>
                <w:rFonts w:ascii="Arial"/>
                <w:sz w:val="21"/>
              </w:rPr>
            </w:pPr>
          </w:p>
          <w:p w14:paraId="21285DD6">
            <w:pPr>
              <w:spacing w:line="261" w:lineRule="auto"/>
              <w:rPr>
                <w:rFonts w:ascii="Arial"/>
                <w:sz w:val="21"/>
              </w:rPr>
            </w:pPr>
          </w:p>
          <w:p w14:paraId="746E0357">
            <w:pPr>
              <w:spacing w:line="262" w:lineRule="auto"/>
              <w:rPr>
                <w:rFonts w:ascii="Arial"/>
                <w:sz w:val="21"/>
              </w:rPr>
            </w:pPr>
          </w:p>
          <w:p w14:paraId="42D78D58">
            <w:pPr>
              <w:spacing w:before="52" w:line="188" w:lineRule="auto"/>
              <w:ind w:left="22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222223.10</w:t>
            </w:r>
          </w:p>
        </w:tc>
        <w:tc>
          <w:tcPr>
            <w:tcW w:w="1740" w:type="dxa"/>
            <w:vAlign w:val="top"/>
          </w:tcPr>
          <w:p w14:paraId="5F7A45A3">
            <w:pPr>
              <w:pStyle w:val="6"/>
              <w:spacing w:before="119" w:line="220" w:lineRule="auto"/>
              <w:ind w:left="604"/>
              <w:rPr>
                <w:sz w:val="18"/>
                <w:szCs w:val="18"/>
              </w:rPr>
            </w:pPr>
            <w:r>
              <w:rPr>
                <w:spacing w:val="-3"/>
                <w:sz w:val="18"/>
                <w:szCs w:val="18"/>
              </w:rPr>
              <w:t>颗粒物</w:t>
            </w:r>
          </w:p>
        </w:tc>
        <w:tc>
          <w:tcPr>
            <w:tcW w:w="989" w:type="dxa"/>
            <w:vAlign w:val="top"/>
          </w:tcPr>
          <w:p w14:paraId="03C54831">
            <w:pPr>
              <w:spacing w:before="138" w:line="188" w:lineRule="auto"/>
              <w:ind w:left="33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2.59</w:t>
            </w:r>
          </w:p>
        </w:tc>
        <w:tc>
          <w:tcPr>
            <w:tcW w:w="993" w:type="dxa"/>
            <w:vAlign w:val="top"/>
          </w:tcPr>
          <w:p w14:paraId="3C9C0C0B">
            <w:pPr>
              <w:spacing w:before="138"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0.58</w:t>
            </w:r>
          </w:p>
        </w:tc>
        <w:tc>
          <w:tcPr>
            <w:tcW w:w="1131" w:type="dxa"/>
            <w:vAlign w:val="top"/>
          </w:tcPr>
          <w:p w14:paraId="4413D6FC">
            <w:pPr>
              <w:spacing w:before="138" w:line="188" w:lineRule="auto"/>
              <w:ind w:left="40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4.61</w:t>
            </w:r>
          </w:p>
        </w:tc>
        <w:tc>
          <w:tcPr>
            <w:tcW w:w="1313" w:type="dxa"/>
            <w:vMerge w:val="restart"/>
            <w:tcBorders>
              <w:bottom w:val="nil"/>
            </w:tcBorders>
            <w:vAlign w:val="top"/>
          </w:tcPr>
          <w:p w14:paraId="57BC349E">
            <w:pPr>
              <w:spacing w:line="293" w:lineRule="auto"/>
              <w:rPr>
                <w:rFonts w:ascii="Arial"/>
                <w:sz w:val="21"/>
              </w:rPr>
            </w:pPr>
          </w:p>
          <w:p w14:paraId="4515D465">
            <w:pPr>
              <w:spacing w:line="294" w:lineRule="auto"/>
              <w:rPr>
                <w:rFonts w:ascii="Arial"/>
                <w:sz w:val="21"/>
              </w:rPr>
            </w:pPr>
          </w:p>
          <w:p w14:paraId="40E0FE40">
            <w:pPr>
              <w:pStyle w:val="6"/>
              <w:spacing w:before="59" w:line="322" w:lineRule="auto"/>
              <w:ind w:left="233" w:right="23" w:hanging="197"/>
              <w:rPr>
                <w:sz w:val="18"/>
                <w:szCs w:val="18"/>
              </w:rPr>
            </w:pPr>
            <w:r>
              <w:rPr>
                <w:spacing w:val="-2"/>
                <w:sz w:val="18"/>
                <w:szCs w:val="18"/>
              </w:rPr>
              <w:t>小苏打干法脱硫</w:t>
            </w:r>
            <w:r>
              <w:rPr>
                <w:spacing w:val="1"/>
                <w:sz w:val="18"/>
                <w:szCs w:val="18"/>
              </w:rPr>
              <w:t xml:space="preserve"> </w:t>
            </w:r>
            <w:r>
              <w:rPr>
                <w:rFonts w:ascii="Times New Roman" w:hAnsi="Times New Roman" w:eastAsia="Times New Roman" w:cs="Times New Roman"/>
                <w:spacing w:val="-1"/>
                <w:sz w:val="18"/>
                <w:szCs w:val="18"/>
              </w:rPr>
              <w:t xml:space="preserve">+SCR </w:t>
            </w:r>
            <w:r>
              <w:rPr>
                <w:spacing w:val="-1"/>
                <w:sz w:val="18"/>
                <w:szCs w:val="18"/>
              </w:rPr>
              <w:t>脱硝</w:t>
            </w:r>
          </w:p>
        </w:tc>
        <w:tc>
          <w:tcPr>
            <w:tcW w:w="1058" w:type="dxa"/>
            <w:vAlign w:val="top"/>
          </w:tcPr>
          <w:p w14:paraId="6F86D1AF">
            <w:pPr>
              <w:spacing w:before="134"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2D98DEDF">
            <w:pPr>
              <w:spacing w:before="138" w:line="188" w:lineRule="auto"/>
              <w:ind w:left="33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2.59</w:t>
            </w:r>
          </w:p>
        </w:tc>
        <w:tc>
          <w:tcPr>
            <w:tcW w:w="980" w:type="dxa"/>
            <w:vAlign w:val="top"/>
          </w:tcPr>
          <w:p w14:paraId="736FAA47">
            <w:pPr>
              <w:spacing w:before="138"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0.58</w:t>
            </w:r>
          </w:p>
        </w:tc>
        <w:tc>
          <w:tcPr>
            <w:tcW w:w="661" w:type="dxa"/>
            <w:vMerge w:val="restart"/>
            <w:tcBorders>
              <w:bottom w:val="nil"/>
            </w:tcBorders>
            <w:vAlign w:val="top"/>
          </w:tcPr>
          <w:p w14:paraId="7D7AD355">
            <w:pPr>
              <w:spacing w:line="261" w:lineRule="auto"/>
              <w:rPr>
                <w:rFonts w:ascii="Arial"/>
                <w:sz w:val="21"/>
              </w:rPr>
            </w:pPr>
          </w:p>
          <w:p w14:paraId="51C3BD3F">
            <w:pPr>
              <w:spacing w:line="261" w:lineRule="auto"/>
              <w:rPr>
                <w:rFonts w:ascii="Arial"/>
                <w:sz w:val="21"/>
              </w:rPr>
            </w:pPr>
          </w:p>
          <w:p w14:paraId="583FE669">
            <w:pPr>
              <w:spacing w:line="262" w:lineRule="auto"/>
              <w:rPr>
                <w:rFonts w:ascii="Arial"/>
                <w:sz w:val="21"/>
              </w:rPr>
            </w:pPr>
          </w:p>
          <w:p w14:paraId="79C56EBE">
            <w:pPr>
              <w:spacing w:before="52"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0D6F8F0F">
            <w:pPr>
              <w:spacing w:before="138" w:line="188" w:lineRule="auto"/>
              <w:ind w:left="36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4.61</w:t>
            </w:r>
          </w:p>
        </w:tc>
        <w:tc>
          <w:tcPr>
            <w:tcW w:w="639" w:type="dxa"/>
            <w:vMerge w:val="restart"/>
            <w:tcBorders>
              <w:bottom w:val="nil"/>
            </w:tcBorders>
            <w:vAlign w:val="top"/>
          </w:tcPr>
          <w:p w14:paraId="00B8AC06">
            <w:pPr>
              <w:spacing w:line="261" w:lineRule="auto"/>
              <w:rPr>
                <w:rFonts w:ascii="Arial"/>
                <w:sz w:val="21"/>
              </w:rPr>
            </w:pPr>
          </w:p>
          <w:p w14:paraId="58FE1CF7">
            <w:pPr>
              <w:spacing w:line="261" w:lineRule="auto"/>
              <w:rPr>
                <w:rFonts w:ascii="Arial"/>
                <w:sz w:val="21"/>
              </w:rPr>
            </w:pPr>
          </w:p>
          <w:p w14:paraId="73D2D4DE">
            <w:pPr>
              <w:spacing w:line="262" w:lineRule="auto"/>
              <w:rPr>
                <w:rFonts w:ascii="Arial"/>
                <w:sz w:val="21"/>
              </w:rPr>
            </w:pPr>
          </w:p>
          <w:p w14:paraId="2DB7A5DF">
            <w:pPr>
              <w:spacing w:before="52" w:line="188" w:lineRule="auto"/>
              <w:ind w:left="23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25</w:t>
            </w:r>
          </w:p>
        </w:tc>
        <w:tc>
          <w:tcPr>
            <w:tcW w:w="812" w:type="dxa"/>
            <w:vMerge w:val="restart"/>
            <w:tcBorders>
              <w:bottom w:val="nil"/>
            </w:tcBorders>
            <w:vAlign w:val="top"/>
          </w:tcPr>
          <w:p w14:paraId="7A009A12">
            <w:pPr>
              <w:spacing w:line="261" w:lineRule="auto"/>
              <w:rPr>
                <w:rFonts w:ascii="Arial"/>
                <w:sz w:val="21"/>
              </w:rPr>
            </w:pPr>
          </w:p>
          <w:p w14:paraId="4C89C526">
            <w:pPr>
              <w:spacing w:line="261" w:lineRule="auto"/>
              <w:rPr>
                <w:rFonts w:ascii="Arial"/>
                <w:sz w:val="21"/>
              </w:rPr>
            </w:pPr>
          </w:p>
          <w:p w14:paraId="45E4917B">
            <w:pPr>
              <w:spacing w:line="262" w:lineRule="auto"/>
              <w:rPr>
                <w:rFonts w:ascii="Arial"/>
                <w:sz w:val="21"/>
              </w:rPr>
            </w:pPr>
          </w:p>
          <w:p w14:paraId="3AD756F9">
            <w:pPr>
              <w:spacing w:before="52" w:line="188" w:lineRule="auto"/>
              <w:ind w:left="29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2.5</w:t>
            </w:r>
          </w:p>
        </w:tc>
        <w:tc>
          <w:tcPr>
            <w:tcW w:w="799" w:type="dxa"/>
            <w:vMerge w:val="restart"/>
            <w:tcBorders>
              <w:bottom w:val="nil"/>
            </w:tcBorders>
            <w:vAlign w:val="top"/>
          </w:tcPr>
          <w:p w14:paraId="46C7265C">
            <w:pPr>
              <w:spacing w:line="261" w:lineRule="auto"/>
              <w:rPr>
                <w:rFonts w:ascii="Arial"/>
                <w:sz w:val="21"/>
              </w:rPr>
            </w:pPr>
          </w:p>
          <w:p w14:paraId="1BEBEB31">
            <w:pPr>
              <w:spacing w:line="261" w:lineRule="auto"/>
              <w:rPr>
                <w:rFonts w:ascii="Arial"/>
                <w:sz w:val="21"/>
              </w:rPr>
            </w:pPr>
          </w:p>
          <w:p w14:paraId="678FD414">
            <w:pPr>
              <w:spacing w:line="262" w:lineRule="auto"/>
              <w:rPr>
                <w:rFonts w:ascii="Arial"/>
                <w:sz w:val="21"/>
              </w:rPr>
            </w:pPr>
          </w:p>
          <w:p w14:paraId="4374808A">
            <w:pPr>
              <w:spacing w:before="52" w:line="188" w:lineRule="auto"/>
              <w:ind w:left="28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160</w:t>
            </w:r>
          </w:p>
        </w:tc>
        <w:tc>
          <w:tcPr>
            <w:tcW w:w="1196" w:type="dxa"/>
            <w:vMerge w:val="restart"/>
            <w:tcBorders>
              <w:bottom w:val="nil"/>
              <w:right w:val="nil"/>
            </w:tcBorders>
            <w:vAlign w:val="top"/>
          </w:tcPr>
          <w:p w14:paraId="38F89ADD">
            <w:pPr>
              <w:spacing w:line="261" w:lineRule="auto"/>
              <w:rPr>
                <w:rFonts w:ascii="Arial"/>
                <w:sz w:val="21"/>
              </w:rPr>
            </w:pPr>
          </w:p>
          <w:p w14:paraId="5CD568B7">
            <w:pPr>
              <w:spacing w:line="261" w:lineRule="auto"/>
              <w:rPr>
                <w:rFonts w:ascii="Arial"/>
                <w:sz w:val="21"/>
              </w:rPr>
            </w:pPr>
          </w:p>
          <w:p w14:paraId="3D7C1F2C">
            <w:pPr>
              <w:spacing w:line="262" w:lineRule="auto"/>
              <w:rPr>
                <w:rFonts w:ascii="Arial"/>
                <w:sz w:val="21"/>
              </w:rPr>
            </w:pPr>
          </w:p>
          <w:p w14:paraId="44C71BBC">
            <w:pPr>
              <w:spacing w:before="52" w:line="188" w:lineRule="auto"/>
              <w:ind w:left="33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DA014</w:t>
            </w:r>
          </w:p>
        </w:tc>
      </w:tr>
      <w:tr w14:paraId="6FB320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bottom w:val="nil"/>
            </w:tcBorders>
            <w:vAlign w:val="top"/>
          </w:tcPr>
          <w:p w14:paraId="43165D27">
            <w:pPr>
              <w:rPr>
                <w:rFonts w:ascii="Arial"/>
                <w:sz w:val="21"/>
              </w:rPr>
            </w:pPr>
          </w:p>
        </w:tc>
        <w:tc>
          <w:tcPr>
            <w:tcW w:w="2010" w:type="dxa"/>
            <w:vMerge w:val="continue"/>
            <w:tcBorders>
              <w:top w:val="nil"/>
              <w:bottom w:val="nil"/>
            </w:tcBorders>
            <w:vAlign w:val="top"/>
          </w:tcPr>
          <w:p w14:paraId="6A458A4C">
            <w:pPr>
              <w:rPr>
                <w:rFonts w:ascii="Arial"/>
                <w:sz w:val="21"/>
              </w:rPr>
            </w:pPr>
          </w:p>
        </w:tc>
        <w:tc>
          <w:tcPr>
            <w:tcW w:w="1080" w:type="dxa"/>
            <w:vMerge w:val="continue"/>
            <w:tcBorders>
              <w:top w:val="nil"/>
              <w:bottom w:val="nil"/>
            </w:tcBorders>
            <w:vAlign w:val="top"/>
          </w:tcPr>
          <w:p w14:paraId="4C579712">
            <w:pPr>
              <w:rPr>
                <w:rFonts w:ascii="Arial"/>
                <w:sz w:val="21"/>
              </w:rPr>
            </w:pPr>
          </w:p>
        </w:tc>
        <w:tc>
          <w:tcPr>
            <w:tcW w:w="730" w:type="dxa"/>
            <w:vMerge w:val="continue"/>
            <w:tcBorders>
              <w:top w:val="nil"/>
              <w:bottom w:val="nil"/>
            </w:tcBorders>
            <w:vAlign w:val="top"/>
          </w:tcPr>
          <w:p w14:paraId="38EBCFDB">
            <w:pPr>
              <w:rPr>
                <w:rFonts w:ascii="Arial"/>
                <w:sz w:val="21"/>
              </w:rPr>
            </w:pPr>
          </w:p>
        </w:tc>
        <w:tc>
          <w:tcPr>
            <w:tcW w:w="1412" w:type="dxa"/>
            <w:vMerge w:val="continue"/>
            <w:tcBorders>
              <w:top w:val="nil"/>
              <w:bottom w:val="nil"/>
            </w:tcBorders>
            <w:vAlign w:val="top"/>
          </w:tcPr>
          <w:p w14:paraId="3A281E7E">
            <w:pPr>
              <w:rPr>
                <w:rFonts w:ascii="Arial"/>
                <w:sz w:val="21"/>
              </w:rPr>
            </w:pPr>
          </w:p>
        </w:tc>
        <w:tc>
          <w:tcPr>
            <w:tcW w:w="1209" w:type="dxa"/>
            <w:vMerge w:val="continue"/>
            <w:tcBorders>
              <w:top w:val="nil"/>
              <w:bottom w:val="nil"/>
            </w:tcBorders>
            <w:vAlign w:val="top"/>
          </w:tcPr>
          <w:p w14:paraId="1988AEDD">
            <w:pPr>
              <w:rPr>
                <w:rFonts w:ascii="Arial"/>
                <w:sz w:val="21"/>
              </w:rPr>
            </w:pPr>
          </w:p>
        </w:tc>
        <w:tc>
          <w:tcPr>
            <w:tcW w:w="1740" w:type="dxa"/>
            <w:vAlign w:val="top"/>
          </w:tcPr>
          <w:p w14:paraId="2D5FB535">
            <w:pPr>
              <w:pStyle w:val="6"/>
              <w:spacing w:before="117" w:line="221" w:lineRule="auto"/>
              <w:ind w:left="334"/>
              <w:rPr>
                <w:sz w:val="18"/>
                <w:szCs w:val="18"/>
              </w:rPr>
            </w:pPr>
            <w:r>
              <w:rPr>
                <w:spacing w:val="-2"/>
                <w:sz w:val="18"/>
                <w:szCs w:val="18"/>
              </w:rPr>
              <w:t>锰及其化合物</w:t>
            </w:r>
          </w:p>
        </w:tc>
        <w:tc>
          <w:tcPr>
            <w:tcW w:w="989" w:type="dxa"/>
            <w:vAlign w:val="top"/>
          </w:tcPr>
          <w:p w14:paraId="69F96C7F">
            <w:pPr>
              <w:spacing w:before="139" w:line="188" w:lineRule="auto"/>
              <w:ind w:left="3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0.22</w:t>
            </w:r>
          </w:p>
        </w:tc>
        <w:tc>
          <w:tcPr>
            <w:tcW w:w="993" w:type="dxa"/>
            <w:vAlign w:val="top"/>
          </w:tcPr>
          <w:p w14:paraId="6D6AE6B9">
            <w:pPr>
              <w:spacing w:before="139" w:line="188" w:lineRule="auto"/>
              <w:ind w:left="29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0.048</w:t>
            </w:r>
          </w:p>
        </w:tc>
        <w:tc>
          <w:tcPr>
            <w:tcW w:w="1131" w:type="dxa"/>
            <w:vAlign w:val="top"/>
          </w:tcPr>
          <w:p w14:paraId="37C250A7">
            <w:pPr>
              <w:spacing w:before="139" w:line="188" w:lineRule="auto"/>
              <w:ind w:left="4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0.38</w:t>
            </w:r>
          </w:p>
        </w:tc>
        <w:tc>
          <w:tcPr>
            <w:tcW w:w="1313" w:type="dxa"/>
            <w:vMerge w:val="continue"/>
            <w:tcBorders>
              <w:top w:val="nil"/>
              <w:bottom w:val="nil"/>
            </w:tcBorders>
            <w:vAlign w:val="top"/>
          </w:tcPr>
          <w:p w14:paraId="7A79CCFB">
            <w:pPr>
              <w:rPr>
                <w:rFonts w:ascii="Arial"/>
                <w:sz w:val="21"/>
              </w:rPr>
            </w:pPr>
          </w:p>
        </w:tc>
        <w:tc>
          <w:tcPr>
            <w:tcW w:w="1058" w:type="dxa"/>
            <w:vAlign w:val="top"/>
          </w:tcPr>
          <w:p w14:paraId="3EE4DF8C">
            <w:pPr>
              <w:spacing w:before="135"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394D86C5">
            <w:pPr>
              <w:spacing w:before="139"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0.22</w:t>
            </w:r>
          </w:p>
        </w:tc>
        <w:tc>
          <w:tcPr>
            <w:tcW w:w="980" w:type="dxa"/>
            <w:vAlign w:val="top"/>
          </w:tcPr>
          <w:p w14:paraId="3FFEE58D">
            <w:pPr>
              <w:spacing w:before="139" w:line="188" w:lineRule="auto"/>
              <w:ind w:left="29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0.048</w:t>
            </w:r>
          </w:p>
        </w:tc>
        <w:tc>
          <w:tcPr>
            <w:tcW w:w="661" w:type="dxa"/>
            <w:vMerge w:val="continue"/>
            <w:tcBorders>
              <w:top w:val="nil"/>
              <w:bottom w:val="nil"/>
            </w:tcBorders>
            <w:vAlign w:val="top"/>
          </w:tcPr>
          <w:p w14:paraId="0D791B24">
            <w:pPr>
              <w:rPr>
                <w:rFonts w:ascii="Arial"/>
                <w:sz w:val="21"/>
              </w:rPr>
            </w:pPr>
          </w:p>
        </w:tc>
        <w:tc>
          <w:tcPr>
            <w:tcW w:w="1036" w:type="dxa"/>
            <w:vAlign w:val="top"/>
          </w:tcPr>
          <w:p w14:paraId="63142E37">
            <w:pPr>
              <w:spacing w:before="139" w:line="188" w:lineRule="auto"/>
              <w:ind w:left="36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0.38</w:t>
            </w:r>
          </w:p>
        </w:tc>
        <w:tc>
          <w:tcPr>
            <w:tcW w:w="639" w:type="dxa"/>
            <w:vMerge w:val="continue"/>
            <w:tcBorders>
              <w:top w:val="nil"/>
              <w:bottom w:val="nil"/>
            </w:tcBorders>
            <w:vAlign w:val="top"/>
          </w:tcPr>
          <w:p w14:paraId="0877938D">
            <w:pPr>
              <w:rPr>
                <w:rFonts w:ascii="Arial"/>
                <w:sz w:val="21"/>
              </w:rPr>
            </w:pPr>
          </w:p>
        </w:tc>
        <w:tc>
          <w:tcPr>
            <w:tcW w:w="812" w:type="dxa"/>
            <w:vMerge w:val="continue"/>
            <w:tcBorders>
              <w:top w:val="nil"/>
              <w:bottom w:val="nil"/>
            </w:tcBorders>
            <w:vAlign w:val="top"/>
          </w:tcPr>
          <w:p w14:paraId="13D59DED">
            <w:pPr>
              <w:rPr>
                <w:rFonts w:ascii="Arial"/>
                <w:sz w:val="21"/>
              </w:rPr>
            </w:pPr>
          </w:p>
        </w:tc>
        <w:tc>
          <w:tcPr>
            <w:tcW w:w="799" w:type="dxa"/>
            <w:vMerge w:val="continue"/>
            <w:tcBorders>
              <w:top w:val="nil"/>
              <w:bottom w:val="nil"/>
            </w:tcBorders>
            <w:vAlign w:val="top"/>
          </w:tcPr>
          <w:p w14:paraId="727AAF4B">
            <w:pPr>
              <w:rPr>
                <w:rFonts w:ascii="Arial"/>
                <w:sz w:val="21"/>
              </w:rPr>
            </w:pPr>
          </w:p>
        </w:tc>
        <w:tc>
          <w:tcPr>
            <w:tcW w:w="1196" w:type="dxa"/>
            <w:vMerge w:val="continue"/>
            <w:tcBorders>
              <w:top w:val="nil"/>
              <w:bottom w:val="nil"/>
              <w:right w:val="nil"/>
            </w:tcBorders>
            <w:vAlign w:val="top"/>
          </w:tcPr>
          <w:p w14:paraId="1CEEE891">
            <w:pPr>
              <w:rPr>
                <w:rFonts w:ascii="Arial"/>
                <w:sz w:val="21"/>
              </w:rPr>
            </w:pPr>
          </w:p>
        </w:tc>
      </w:tr>
      <w:tr w14:paraId="58C507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808" w:type="dxa"/>
            <w:vMerge w:val="continue"/>
            <w:tcBorders>
              <w:top w:val="nil"/>
              <w:left w:val="nil"/>
              <w:bottom w:val="nil"/>
            </w:tcBorders>
            <w:vAlign w:val="top"/>
          </w:tcPr>
          <w:p w14:paraId="2D1BA3A4">
            <w:pPr>
              <w:rPr>
                <w:rFonts w:ascii="Arial"/>
                <w:sz w:val="21"/>
              </w:rPr>
            </w:pPr>
          </w:p>
        </w:tc>
        <w:tc>
          <w:tcPr>
            <w:tcW w:w="2010" w:type="dxa"/>
            <w:vMerge w:val="continue"/>
            <w:tcBorders>
              <w:top w:val="nil"/>
              <w:bottom w:val="nil"/>
            </w:tcBorders>
            <w:vAlign w:val="top"/>
          </w:tcPr>
          <w:p w14:paraId="4C6BC255">
            <w:pPr>
              <w:rPr>
                <w:rFonts w:ascii="Arial"/>
                <w:sz w:val="21"/>
              </w:rPr>
            </w:pPr>
          </w:p>
        </w:tc>
        <w:tc>
          <w:tcPr>
            <w:tcW w:w="1080" w:type="dxa"/>
            <w:vMerge w:val="continue"/>
            <w:tcBorders>
              <w:top w:val="nil"/>
              <w:bottom w:val="nil"/>
            </w:tcBorders>
            <w:vAlign w:val="top"/>
          </w:tcPr>
          <w:p w14:paraId="75AAE153">
            <w:pPr>
              <w:rPr>
                <w:rFonts w:ascii="Arial"/>
                <w:sz w:val="21"/>
              </w:rPr>
            </w:pPr>
          </w:p>
        </w:tc>
        <w:tc>
          <w:tcPr>
            <w:tcW w:w="730" w:type="dxa"/>
            <w:vMerge w:val="continue"/>
            <w:tcBorders>
              <w:top w:val="nil"/>
              <w:bottom w:val="nil"/>
            </w:tcBorders>
            <w:vAlign w:val="top"/>
          </w:tcPr>
          <w:p w14:paraId="5A4AE385">
            <w:pPr>
              <w:rPr>
                <w:rFonts w:ascii="Arial"/>
                <w:sz w:val="21"/>
              </w:rPr>
            </w:pPr>
          </w:p>
        </w:tc>
        <w:tc>
          <w:tcPr>
            <w:tcW w:w="1412" w:type="dxa"/>
            <w:vMerge w:val="continue"/>
            <w:tcBorders>
              <w:top w:val="nil"/>
              <w:bottom w:val="nil"/>
            </w:tcBorders>
            <w:vAlign w:val="top"/>
          </w:tcPr>
          <w:p w14:paraId="2BDE8B7C">
            <w:pPr>
              <w:rPr>
                <w:rFonts w:ascii="Arial"/>
                <w:sz w:val="21"/>
              </w:rPr>
            </w:pPr>
          </w:p>
        </w:tc>
        <w:tc>
          <w:tcPr>
            <w:tcW w:w="1209" w:type="dxa"/>
            <w:vMerge w:val="continue"/>
            <w:tcBorders>
              <w:top w:val="nil"/>
              <w:bottom w:val="nil"/>
            </w:tcBorders>
            <w:vAlign w:val="top"/>
          </w:tcPr>
          <w:p w14:paraId="1C6F2CCE">
            <w:pPr>
              <w:rPr>
                <w:rFonts w:ascii="Arial"/>
                <w:sz w:val="21"/>
              </w:rPr>
            </w:pPr>
          </w:p>
        </w:tc>
        <w:tc>
          <w:tcPr>
            <w:tcW w:w="1740" w:type="dxa"/>
            <w:vAlign w:val="top"/>
          </w:tcPr>
          <w:p w14:paraId="25F6B03D">
            <w:pPr>
              <w:spacing w:before="150" w:line="191" w:lineRule="auto"/>
              <w:ind w:left="734"/>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tc>
        <w:tc>
          <w:tcPr>
            <w:tcW w:w="989" w:type="dxa"/>
            <w:vAlign w:val="top"/>
          </w:tcPr>
          <w:p w14:paraId="46A68AE2">
            <w:pPr>
              <w:spacing w:before="138" w:line="188" w:lineRule="auto"/>
              <w:ind w:left="29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49.74</w:t>
            </w:r>
          </w:p>
        </w:tc>
        <w:tc>
          <w:tcPr>
            <w:tcW w:w="993" w:type="dxa"/>
            <w:vAlign w:val="top"/>
          </w:tcPr>
          <w:p w14:paraId="31B02FDC">
            <w:pPr>
              <w:spacing w:before="138" w:line="188" w:lineRule="auto"/>
              <w:ind w:left="314"/>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11.05</w:t>
            </w:r>
          </w:p>
        </w:tc>
        <w:tc>
          <w:tcPr>
            <w:tcW w:w="1131" w:type="dxa"/>
            <w:vAlign w:val="top"/>
          </w:tcPr>
          <w:p w14:paraId="2FD91F3C">
            <w:pPr>
              <w:spacing w:before="138" w:line="188" w:lineRule="auto"/>
              <w:ind w:left="372"/>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88.43</w:t>
            </w:r>
          </w:p>
        </w:tc>
        <w:tc>
          <w:tcPr>
            <w:tcW w:w="1313" w:type="dxa"/>
            <w:vMerge w:val="continue"/>
            <w:tcBorders>
              <w:top w:val="nil"/>
              <w:bottom w:val="nil"/>
            </w:tcBorders>
            <w:vAlign w:val="top"/>
          </w:tcPr>
          <w:p w14:paraId="15FA577D">
            <w:pPr>
              <w:rPr>
                <w:rFonts w:ascii="Arial"/>
                <w:sz w:val="21"/>
              </w:rPr>
            </w:pPr>
          </w:p>
        </w:tc>
        <w:tc>
          <w:tcPr>
            <w:tcW w:w="1058" w:type="dxa"/>
            <w:vAlign w:val="top"/>
          </w:tcPr>
          <w:p w14:paraId="1E23C788">
            <w:pPr>
              <w:spacing w:before="138" w:line="188" w:lineRule="auto"/>
              <w:ind w:left="44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60</w:t>
            </w:r>
          </w:p>
        </w:tc>
        <w:tc>
          <w:tcPr>
            <w:tcW w:w="980" w:type="dxa"/>
            <w:vAlign w:val="top"/>
          </w:tcPr>
          <w:p w14:paraId="6579EF40">
            <w:pPr>
              <w:spacing w:before="138" w:line="188" w:lineRule="auto"/>
              <w:ind w:left="30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19.89</w:t>
            </w:r>
          </w:p>
        </w:tc>
        <w:tc>
          <w:tcPr>
            <w:tcW w:w="980" w:type="dxa"/>
            <w:vAlign w:val="top"/>
          </w:tcPr>
          <w:p w14:paraId="06DE2EB9">
            <w:pPr>
              <w:spacing w:before="138" w:line="188" w:lineRule="auto"/>
              <w:ind w:left="33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4.42</w:t>
            </w:r>
          </w:p>
        </w:tc>
        <w:tc>
          <w:tcPr>
            <w:tcW w:w="661" w:type="dxa"/>
            <w:vMerge w:val="continue"/>
            <w:tcBorders>
              <w:top w:val="nil"/>
              <w:bottom w:val="nil"/>
            </w:tcBorders>
            <w:vAlign w:val="top"/>
          </w:tcPr>
          <w:p w14:paraId="09F7E41E">
            <w:pPr>
              <w:rPr>
                <w:rFonts w:ascii="Arial"/>
                <w:sz w:val="21"/>
              </w:rPr>
            </w:pPr>
          </w:p>
        </w:tc>
        <w:tc>
          <w:tcPr>
            <w:tcW w:w="1036" w:type="dxa"/>
            <w:vAlign w:val="top"/>
          </w:tcPr>
          <w:p w14:paraId="35DB2C23">
            <w:pPr>
              <w:spacing w:before="138" w:line="188" w:lineRule="auto"/>
              <w:ind w:left="31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35.37</w:t>
            </w:r>
          </w:p>
        </w:tc>
        <w:tc>
          <w:tcPr>
            <w:tcW w:w="639" w:type="dxa"/>
            <w:vMerge w:val="continue"/>
            <w:tcBorders>
              <w:top w:val="nil"/>
              <w:bottom w:val="nil"/>
            </w:tcBorders>
            <w:vAlign w:val="top"/>
          </w:tcPr>
          <w:p w14:paraId="74262973">
            <w:pPr>
              <w:rPr>
                <w:rFonts w:ascii="Arial"/>
                <w:sz w:val="21"/>
              </w:rPr>
            </w:pPr>
          </w:p>
        </w:tc>
        <w:tc>
          <w:tcPr>
            <w:tcW w:w="812" w:type="dxa"/>
            <w:vMerge w:val="continue"/>
            <w:tcBorders>
              <w:top w:val="nil"/>
              <w:bottom w:val="nil"/>
            </w:tcBorders>
            <w:vAlign w:val="top"/>
          </w:tcPr>
          <w:p w14:paraId="176DCACB">
            <w:pPr>
              <w:rPr>
                <w:rFonts w:ascii="Arial"/>
                <w:sz w:val="21"/>
              </w:rPr>
            </w:pPr>
          </w:p>
        </w:tc>
        <w:tc>
          <w:tcPr>
            <w:tcW w:w="799" w:type="dxa"/>
            <w:vMerge w:val="continue"/>
            <w:tcBorders>
              <w:top w:val="nil"/>
              <w:bottom w:val="nil"/>
            </w:tcBorders>
            <w:vAlign w:val="top"/>
          </w:tcPr>
          <w:p w14:paraId="6CC8AD19">
            <w:pPr>
              <w:rPr>
                <w:rFonts w:ascii="Arial"/>
                <w:sz w:val="21"/>
              </w:rPr>
            </w:pPr>
          </w:p>
        </w:tc>
        <w:tc>
          <w:tcPr>
            <w:tcW w:w="1196" w:type="dxa"/>
            <w:vMerge w:val="continue"/>
            <w:tcBorders>
              <w:top w:val="nil"/>
              <w:bottom w:val="nil"/>
              <w:right w:val="nil"/>
            </w:tcBorders>
            <w:vAlign w:val="top"/>
          </w:tcPr>
          <w:p w14:paraId="1B9F45CE">
            <w:pPr>
              <w:rPr>
                <w:rFonts w:ascii="Arial"/>
                <w:sz w:val="21"/>
              </w:rPr>
            </w:pPr>
          </w:p>
        </w:tc>
      </w:tr>
      <w:tr w14:paraId="1DDBDE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bottom w:val="nil"/>
            </w:tcBorders>
            <w:vAlign w:val="top"/>
          </w:tcPr>
          <w:p w14:paraId="0DE718D5">
            <w:pPr>
              <w:rPr>
                <w:rFonts w:ascii="Arial"/>
                <w:sz w:val="21"/>
              </w:rPr>
            </w:pPr>
          </w:p>
        </w:tc>
        <w:tc>
          <w:tcPr>
            <w:tcW w:w="2010" w:type="dxa"/>
            <w:vMerge w:val="continue"/>
            <w:tcBorders>
              <w:top w:val="nil"/>
              <w:bottom w:val="nil"/>
            </w:tcBorders>
            <w:vAlign w:val="top"/>
          </w:tcPr>
          <w:p w14:paraId="24D7CBDF">
            <w:pPr>
              <w:rPr>
                <w:rFonts w:ascii="Arial"/>
                <w:sz w:val="21"/>
              </w:rPr>
            </w:pPr>
          </w:p>
        </w:tc>
        <w:tc>
          <w:tcPr>
            <w:tcW w:w="1080" w:type="dxa"/>
            <w:vMerge w:val="continue"/>
            <w:tcBorders>
              <w:top w:val="nil"/>
              <w:bottom w:val="nil"/>
            </w:tcBorders>
            <w:vAlign w:val="top"/>
          </w:tcPr>
          <w:p w14:paraId="1BC25ADF">
            <w:pPr>
              <w:rPr>
                <w:rFonts w:ascii="Arial"/>
                <w:sz w:val="21"/>
              </w:rPr>
            </w:pPr>
          </w:p>
        </w:tc>
        <w:tc>
          <w:tcPr>
            <w:tcW w:w="730" w:type="dxa"/>
            <w:vMerge w:val="continue"/>
            <w:tcBorders>
              <w:top w:val="nil"/>
              <w:bottom w:val="nil"/>
            </w:tcBorders>
            <w:vAlign w:val="top"/>
          </w:tcPr>
          <w:p w14:paraId="03AD842E">
            <w:pPr>
              <w:rPr>
                <w:rFonts w:ascii="Arial"/>
                <w:sz w:val="21"/>
              </w:rPr>
            </w:pPr>
          </w:p>
        </w:tc>
        <w:tc>
          <w:tcPr>
            <w:tcW w:w="1412" w:type="dxa"/>
            <w:vMerge w:val="continue"/>
            <w:tcBorders>
              <w:top w:val="nil"/>
              <w:bottom w:val="nil"/>
            </w:tcBorders>
            <w:vAlign w:val="top"/>
          </w:tcPr>
          <w:p w14:paraId="3DE11A3E">
            <w:pPr>
              <w:rPr>
                <w:rFonts w:ascii="Arial"/>
                <w:sz w:val="21"/>
              </w:rPr>
            </w:pPr>
          </w:p>
        </w:tc>
        <w:tc>
          <w:tcPr>
            <w:tcW w:w="1209" w:type="dxa"/>
            <w:vMerge w:val="continue"/>
            <w:tcBorders>
              <w:top w:val="nil"/>
              <w:bottom w:val="nil"/>
            </w:tcBorders>
            <w:vAlign w:val="top"/>
          </w:tcPr>
          <w:p w14:paraId="39E96836">
            <w:pPr>
              <w:rPr>
                <w:rFonts w:ascii="Arial"/>
                <w:sz w:val="21"/>
              </w:rPr>
            </w:pPr>
          </w:p>
        </w:tc>
        <w:tc>
          <w:tcPr>
            <w:tcW w:w="1740" w:type="dxa"/>
            <w:vAlign w:val="top"/>
          </w:tcPr>
          <w:p w14:paraId="71BA7DB0">
            <w:pPr>
              <w:spacing w:before="148" w:line="194" w:lineRule="auto"/>
              <w:ind w:left="706"/>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989" w:type="dxa"/>
            <w:vAlign w:val="top"/>
          </w:tcPr>
          <w:p w14:paraId="2CFF66E2">
            <w:pPr>
              <w:spacing w:before="139" w:line="188" w:lineRule="auto"/>
              <w:ind w:left="2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222.80</w:t>
            </w:r>
          </w:p>
        </w:tc>
        <w:tc>
          <w:tcPr>
            <w:tcW w:w="993" w:type="dxa"/>
            <w:vAlign w:val="top"/>
          </w:tcPr>
          <w:p w14:paraId="55ED1720">
            <w:pPr>
              <w:spacing w:before="139" w:line="188" w:lineRule="auto"/>
              <w:ind w:left="29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49.51</w:t>
            </w:r>
          </w:p>
        </w:tc>
        <w:tc>
          <w:tcPr>
            <w:tcW w:w="1131" w:type="dxa"/>
            <w:vAlign w:val="top"/>
          </w:tcPr>
          <w:p w14:paraId="136A6BEC">
            <w:pPr>
              <w:spacing w:before="139" w:line="188" w:lineRule="auto"/>
              <w:ind w:left="32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396.09</w:t>
            </w:r>
          </w:p>
        </w:tc>
        <w:tc>
          <w:tcPr>
            <w:tcW w:w="1313" w:type="dxa"/>
            <w:vMerge w:val="continue"/>
            <w:tcBorders>
              <w:top w:val="nil"/>
              <w:bottom w:val="nil"/>
            </w:tcBorders>
            <w:vAlign w:val="top"/>
          </w:tcPr>
          <w:p w14:paraId="0E87D459">
            <w:pPr>
              <w:rPr>
                <w:rFonts w:ascii="Arial"/>
                <w:sz w:val="21"/>
              </w:rPr>
            </w:pPr>
          </w:p>
        </w:tc>
        <w:tc>
          <w:tcPr>
            <w:tcW w:w="1058" w:type="dxa"/>
            <w:vAlign w:val="top"/>
          </w:tcPr>
          <w:p w14:paraId="33DDC8EA">
            <w:pPr>
              <w:spacing w:before="139" w:line="188" w:lineRule="auto"/>
              <w:ind w:left="44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65</w:t>
            </w:r>
          </w:p>
        </w:tc>
        <w:tc>
          <w:tcPr>
            <w:tcW w:w="980" w:type="dxa"/>
            <w:vAlign w:val="top"/>
          </w:tcPr>
          <w:p w14:paraId="77C05304">
            <w:pPr>
              <w:spacing w:before="139" w:line="188" w:lineRule="auto"/>
              <w:ind w:left="29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77.98</w:t>
            </w:r>
          </w:p>
        </w:tc>
        <w:tc>
          <w:tcPr>
            <w:tcW w:w="980" w:type="dxa"/>
            <w:vAlign w:val="top"/>
          </w:tcPr>
          <w:p w14:paraId="48543B7E">
            <w:pPr>
              <w:spacing w:before="139" w:line="188" w:lineRule="auto"/>
              <w:ind w:left="306"/>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17.33</w:t>
            </w:r>
          </w:p>
        </w:tc>
        <w:tc>
          <w:tcPr>
            <w:tcW w:w="661" w:type="dxa"/>
            <w:vMerge w:val="continue"/>
            <w:tcBorders>
              <w:top w:val="nil"/>
              <w:bottom w:val="nil"/>
            </w:tcBorders>
            <w:vAlign w:val="top"/>
          </w:tcPr>
          <w:p w14:paraId="46C66746">
            <w:pPr>
              <w:rPr>
                <w:rFonts w:ascii="Arial"/>
                <w:sz w:val="21"/>
              </w:rPr>
            </w:pPr>
          </w:p>
        </w:tc>
        <w:tc>
          <w:tcPr>
            <w:tcW w:w="1036" w:type="dxa"/>
            <w:vAlign w:val="top"/>
          </w:tcPr>
          <w:p w14:paraId="795DFBD7">
            <w:pPr>
              <w:spacing w:before="139" w:line="188" w:lineRule="auto"/>
              <w:ind w:left="28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138.63</w:t>
            </w:r>
          </w:p>
        </w:tc>
        <w:tc>
          <w:tcPr>
            <w:tcW w:w="639" w:type="dxa"/>
            <w:vMerge w:val="continue"/>
            <w:tcBorders>
              <w:top w:val="nil"/>
              <w:bottom w:val="nil"/>
            </w:tcBorders>
            <w:vAlign w:val="top"/>
          </w:tcPr>
          <w:p w14:paraId="780242CB">
            <w:pPr>
              <w:rPr>
                <w:rFonts w:ascii="Arial"/>
                <w:sz w:val="21"/>
              </w:rPr>
            </w:pPr>
          </w:p>
        </w:tc>
        <w:tc>
          <w:tcPr>
            <w:tcW w:w="812" w:type="dxa"/>
            <w:vMerge w:val="continue"/>
            <w:tcBorders>
              <w:top w:val="nil"/>
              <w:bottom w:val="nil"/>
            </w:tcBorders>
            <w:vAlign w:val="top"/>
          </w:tcPr>
          <w:p w14:paraId="34CD4818">
            <w:pPr>
              <w:rPr>
                <w:rFonts w:ascii="Arial"/>
                <w:sz w:val="21"/>
              </w:rPr>
            </w:pPr>
          </w:p>
        </w:tc>
        <w:tc>
          <w:tcPr>
            <w:tcW w:w="799" w:type="dxa"/>
            <w:vMerge w:val="continue"/>
            <w:tcBorders>
              <w:top w:val="nil"/>
              <w:bottom w:val="nil"/>
            </w:tcBorders>
            <w:vAlign w:val="top"/>
          </w:tcPr>
          <w:p w14:paraId="328B9807">
            <w:pPr>
              <w:rPr>
                <w:rFonts w:ascii="Arial"/>
                <w:sz w:val="21"/>
              </w:rPr>
            </w:pPr>
          </w:p>
        </w:tc>
        <w:tc>
          <w:tcPr>
            <w:tcW w:w="1196" w:type="dxa"/>
            <w:vMerge w:val="continue"/>
            <w:tcBorders>
              <w:top w:val="nil"/>
              <w:bottom w:val="nil"/>
              <w:right w:val="nil"/>
            </w:tcBorders>
            <w:vAlign w:val="top"/>
          </w:tcPr>
          <w:p w14:paraId="002309DF">
            <w:pPr>
              <w:rPr>
                <w:rFonts w:ascii="Arial"/>
                <w:sz w:val="21"/>
              </w:rPr>
            </w:pPr>
          </w:p>
        </w:tc>
      </w:tr>
      <w:tr w14:paraId="525049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08" w:type="dxa"/>
            <w:vMerge w:val="continue"/>
            <w:tcBorders>
              <w:top w:val="nil"/>
              <w:left w:val="nil"/>
            </w:tcBorders>
            <w:vAlign w:val="top"/>
          </w:tcPr>
          <w:p w14:paraId="51F3A2E3">
            <w:pPr>
              <w:rPr>
                <w:rFonts w:ascii="Arial"/>
                <w:sz w:val="21"/>
              </w:rPr>
            </w:pPr>
          </w:p>
        </w:tc>
        <w:tc>
          <w:tcPr>
            <w:tcW w:w="2010" w:type="dxa"/>
            <w:vMerge w:val="continue"/>
            <w:tcBorders>
              <w:top w:val="nil"/>
            </w:tcBorders>
            <w:vAlign w:val="top"/>
          </w:tcPr>
          <w:p w14:paraId="7D761AC1">
            <w:pPr>
              <w:rPr>
                <w:rFonts w:ascii="Arial"/>
                <w:sz w:val="21"/>
              </w:rPr>
            </w:pPr>
          </w:p>
        </w:tc>
        <w:tc>
          <w:tcPr>
            <w:tcW w:w="1080" w:type="dxa"/>
            <w:vMerge w:val="continue"/>
            <w:tcBorders>
              <w:top w:val="nil"/>
            </w:tcBorders>
            <w:vAlign w:val="top"/>
          </w:tcPr>
          <w:p w14:paraId="14F4A5B5">
            <w:pPr>
              <w:rPr>
                <w:rFonts w:ascii="Arial"/>
                <w:sz w:val="21"/>
              </w:rPr>
            </w:pPr>
          </w:p>
        </w:tc>
        <w:tc>
          <w:tcPr>
            <w:tcW w:w="730" w:type="dxa"/>
            <w:vMerge w:val="continue"/>
            <w:tcBorders>
              <w:top w:val="nil"/>
            </w:tcBorders>
            <w:vAlign w:val="top"/>
          </w:tcPr>
          <w:p w14:paraId="3F8CBB24">
            <w:pPr>
              <w:rPr>
                <w:rFonts w:ascii="Arial"/>
                <w:sz w:val="21"/>
              </w:rPr>
            </w:pPr>
          </w:p>
        </w:tc>
        <w:tc>
          <w:tcPr>
            <w:tcW w:w="1412" w:type="dxa"/>
            <w:vMerge w:val="continue"/>
            <w:tcBorders>
              <w:top w:val="nil"/>
            </w:tcBorders>
            <w:vAlign w:val="top"/>
          </w:tcPr>
          <w:p w14:paraId="229BF692">
            <w:pPr>
              <w:rPr>
                <w:rFonts w:ascii="Arial"/>
                <w:sz w:val="21"/>
              </w:rPr>
            </w:pPr>
          </w:p>
        </w:tc>
        <w:tc>
          <w:tcPr>
            <w:tcW w:w="1209" w:type="dxa"/>
            <w:vMerge w:val="continue"/>
            <w:tcBorders>
              <w:top w:val="nil"/>
            </w:tcBorders>
            <w:vAlign w:val="top"/>
          </w:tcPr>
          <w:p w14:paraId="528DDA20">
            <w:pPr>
              <w:rPr>
                <w:rFonts w:ascii="Arial"/>
                <w:sz w:val="21"/>
              </w:rPr>
            </w:pPr>
          </w:p>
        </w:tc>
        <w:tc>
          <w:tcPr>
            <w:tcW w:w="1740" w:type="dxa"/>
            <w:vAlign w:val="top"/>
          </w:tcPr>
          <w:p w14:paraId="384098E7">
            <w:pPr>
              <w:spacing w:before="153" w:line="190" w:lineRule="auto"/>
              <w:ind w:left="706"/>
              <w:rPr>
                <w:rFonts w:ascii="Times New Roman" w:hAnsi="Times New Roman" w:eastAsia="Times New Roman" w:cs="Times New Roman"/>
                <w:sz w:val="11"/>
                <w:szCs w:val="11"/>
              </w:rPr>
            </w:pPr>
            <w:r>
              <w:rPr>
                <w:rFonts w:ascii="Times New Roman" w:hAnsi="Times New Roman" w:eastAsia="Times New Roman" w:cs="Times New Roman"/>
                <w:sz w:val="18"/>
                <w:szCs w:val="18"/>
              </w:rPr>
              <w:t>NH</w:t>
            </w:r>
            <w:r>
              <w:rPr>
                <w:rFonts w:ascii="Times New Roman" w:hAnsi="Times New Roman" w:eastAsia="Times New Roman" w:cs="Times New Roman"/>
                <w:spacing w:val="3"/>
                <w:position w:val="-1"/>
                <w:sz w:val="11"/>
                <w:szCs w:val="11"/>
              </w:rPr>
              <w:t>3</w:t>
            </w:r>
          </w:p>
        </w:tc>
        <w:tc>
          <w:tcPr>
            <w:tcW w:w="989" w:type="dxa"/>
            <w:vAlign w:val="top"/>
          </w:tcPr>
          <w:p w14:paraId="0305DD5F">
            <w:pPr>
              <w:spacing w:before="141" w:line="188" w:lineRule="auto"/>
              <w:ind w:left="33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2.50</w:t>
            </w:r>
          </w:p>
        </w:tc>
        <w:tc>
          <w:tcPr>
            <w:tcW w:w="993" w:type="dxa"/>
            <w:vAlign w:val="top"/>
          </w:tcPr>
          <w:p w14:paraId="7DE81040">
            <w:pPr>
              <w:spacing w:before="141"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0.56</w:t>
            </w:r>
          </w:p>
        </w:tc>
        <w:tc>
          <w:tcPr>
            <w:tcW w:w="1131" w:type="dxa"/>
            <w:vAlign w:val="top"/>
          </w:tcPr>
          <w:p w14:paraId="0EB6E41D">
            <w:pPr>
              <w:spacing w:before="141" w:line="188" w:lineRule="auto"/>
              <w:ind w:left="40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4.44</w:t>
            </w:r>
          </w:p>
        </w:tc>
        <w:tc>
          <w:tcPr>
            <w:tcW w:w="1313" w:type="dxa"/>
            <w:vMerge w:val="continue"/>
            <w:tcBorders>
              <w:top w:val="nil"/>
            </w:tcBorders>
            <w:vAlign w:val="top"/>
          </w:tcPr>
          <w:p w14:paraId="56720D62">
            <w:pPr>
              <w:rPr>
                <w:rFonts w:ascii="Arial"/>
                <w:sz w:val="21"/>
              </w:rPr>
            </w:pPr>
          </w:p>
        </w:tc>
        <w:tc>
          <w:tcPr>
            <w:tcW w:w="1058" w:type="dxa"/>
            <w:vAlign w:val="top"/>
          </w:tcPr>
          <w:p w14:paraId="77568D14">
            <w:pPr>
              <w:spacing w:before="137"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2F3433EF">
            <w:pPr>
              <w:spacing w:before="141" w:line="188" w:lineRule="auto"/>
              <w:ind w:left="33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2.50</w:t>
            </w:r>
          </w:p>
        </w:tc>
        <w:tc>
          <w:tcPr>
            <w:tcW w:w="980" w:type="dxa"/>
            <w:vAlign w:val="top"/>
          </w:tcPr>
          <w:p w14:paraId="34C21291">
            <w:pPr>
              <w:spacing w:before="141"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0.56</w:t>
            </w:r>
          </w:p>
        </w:tc>
        <w:tc>
          <w:tcPr>
            <w:tcW w:w="661" w:type="dxa"/>
            <w:vMerge w:val="continue"/>
            <w:tcBorders>
              <w:top w:val="nil"/>
            </w:tcBorders>
            <w:vAlign w:val="top"/>
          </w:tcPr>
          <w:p w14:paraId="77E5781A">
            <w:pPr>
              <w:rPr>
                <w:rFonts w:ascii="Arial"/>
                <w:sz w:val="21"/>
              </w:rPr>
            </w:pPr>
          </w:p>
        </w:tc>
        <w:tc>
          <w:tcPr>
            <w:tcW w:w="1036" w:type="dxa"/>
            <w:vAlign w:val="top"/>
          </w:tcPr>
          <w:p w14:paraId="658031C3">
            <w:pPr>
              <w:spacing w:before="141" w:line="188" w:lineRule="auto"/>
              <w:ind w:left="36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4.44</w:t>
            </w:r>
          </w:p>
        </w:tc>
        <w:tc>
          <w:tcPr>
            <w:tcW w:w="639" w:type="dxa"/>
            <w:vMerge w:val="continue"/>
            <w:tcBorders>
              <w:top w:val="nil"/>
            </w:tcBorders>
            <w:vAlign w:val="top"/>
          </w:tcPr>
          <w:p w14:paraId="02C621AB">
            <w:pPr>
              <w:rPr>
                <w:rFonts w:ascii="Arial"/>
                <w:sz w:val="21"/>
              </w:rPr>
            </w:pPr>
          </w:p>
        </w:tc>
        <w:tc>
          <w:tcPr>
            <w:tcW w:w="812" w:type="dxa"/>
            <w:vMerge w:val="continue"/>
            <w:tcBorders>
              <w:top w:val="nil"/>
            </w:tcBorders>
            <w:vAlign w:val="top"/>
          </w:tcPr>
          <w:p w14:paraId="5C95B782">
            <w:pPr>
              <w:rPr>
                <w:rFonts w:ascii="Arial"/>
                <w:sz w:val="21"/>
              </w:rPr>
            </w:pPr>
          </w:p>
        </w:tc>
        <w:tc>
          <w:tcPr>
            <w:tcW w:w="799" w:type="dxa"/>
            <w:vMerge w:val="continue"/>
            <w:tcBorders>
              <w:top w:val="nil"/>
            </w:tcBorders>
            <w:vAlign w:val="top"/>
          </w:tcPr>
          <w:p w14:paraId="13AF2CA8">
            <w:pPr>
              <w:rPr>
                <w:rFonts w:ascii="Arial"/>
                <w:sz w:val="21"/>
              </w:rPr>
            </w:pPr>
          </w:p>
        </w:tc>
        <w:tc>
          <w:tcPr>
            <w:tcW w:w="1196" w:type="dxa"/>
            <w:vMerge w:val="continue"/>
            <w:tcBorders>
              <w:top w:val="nil"/>
              <w:right w:val="nil"/>
            </w:tcBorders>
            <w:vAlign w:val="top"/>
          </w:tcPr>
          <w:p w14:paraId="3F5D2FB2">
            <w:pPr>
              <w:rPr>
                <w:rFonts w:ascii="Arial"/>
                <w:sz w:val="21"/>
              </w:rPr>
            </w:pPr>
          </w:p>
        </w:tc>
      </w:tr>
      <w:tr w14:paraId="27EE9A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808" w:type="dxa"/>
            <w:tcBorders>
              <w:left w:val="nil"/>
            </w:tcBorders>
            <w:vAlign w:val="top"/>
          </w:tcPr>
          <w:p w14:paraId="5395523D">
            <w:pPr>
              <w:spacing w:before="139" w:line="194" w:lineRule="auto"/>
              <w:ind w:left="315"/>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G</w:t>
            </w:r>
            <w:r>
              <w:rPr>
                <w:rFonts w:ascii="Times New Roman" w:hAnsi="Times New Roman" w:eastAsia="Times New Roman" w:cs="Times New Roman"/>
                <w:spacing w:val="-3"/>
                <w:position w:val="-1"/>
                <w:sz w:val="11"/>
                <w:szCs w:val="11"/>
              </w:rPr>
              <w:t>3</w:t>
            </w:r>
          </w:p>
        </w:tc>
        <w:tc>
          <w:tcPr>
            <w:tcW w:w="2010" w:type="dxa"/>
            <w:vAlign w:val="top"/>
          </w:tcPr>
          <w:p w14:paraId="09C32FAF">
            <w:pPr>
              <w:pStyle w:val="6"/>
              <w:spacing w:before="111" w:line="219" w:lineRule="auto"/>
              <w:ind w:left="472"/>
              <w:rPr>
                <w:sz w:val="18"/>
                <w:szCs w:val="18"/>
              </w:rPr>
            </w:pPr>
            <w:r>
              <w:rPr>
                <w:spacing w:val="-2"/>
                <w:sz w:val="18"/>
                <w:szCs w:val="18"/>
              </w:rPr>
              <w:t>厂区餐厅油烟</w:t>
            </w:r>
          </w:p>
        </w:tc>
        <w:tc>
          <w:tcPr>
            <w:tcW w:w="1080" w:type="dxa"/>
            <w:vAlign w:val="top"/>
          </w:tcPr>
          <w:p w14:paraId="243A4AE6">
            <w:pPr>
              <w:pStyle w:val="6"/>
              <w:spacing w:before="111" w:line="220" w:lineRule="auto"/>
              <w:ind w:left="275"/>
              <w:rPr>
                <w:sz w:val="18"/>
                <w:szCs w:val="18"/>
              </w:rPr>
            </w:pPr>
            <w:r>
              <w:rPr>
                <w:spacing w:val="-3"/>
                <w:sz w:val="18"/>
                <w:szCs w:val="18"/>
              </w:rPr>
              <w:t>有组织</w:t>
            </w:r>
          </w:p>
        </w:tc>
        <w:tc>
          <w:tcPr>
            <w:tcW w:w="730" w:type="dxa"/>
            <w:vAlign w:val="top"/>
          </w:tcPr>
          <w:p w14:paraId="783E6D3E">
            <w:pPr>
              <w:pStyle w:val="6"/>
              <w:spacing w:before="111" w:line="219" w:lineRule="auto"/>
              <w:ind w:left="202"/>
              <w:rPr>
                <w:sz w:val="18"/>
                <w:szCs w:val="18"/>
              </w:rPr>
            </w:pPr>
            <w:r>
              <w:rPr>
                <w:spacing w:val="-11"/>
                <w:sz w:val="18"/>
                <w:szCs w:val="18"/>
              </w:rPr>
              <w:t>间断</w:t>
            </w:r>
          </w:p>
        </w:tc>
        <w:tc>
          <w:tcPr>
            <w:tcW w:w="1412" w:type="dxa"/>
            <w:vAlign w:val="top"/>
          </w:tcPr>
          <w:p w14:paraId="257FF16B">
            <w:pPr>
              <w:pStyle w:val="6"/>
              <w:spacing w:before="111" w:line="219" w:lineRule="auto"/>
              <w:ind w:left="259"/>
              <w:rPr>
                <w:sz w:val="18"/>
                <w:szCs w:val="18"/>
              </w:rPr>
            </w:pPr>
            <w:r>
              <w:rPr>
                <w:spacing w:val="-2"/>
                <w:sz w:val="18"/>
                <w:szCs w:val="18"/>
              </w:rPr>
              <w:t>产污系数法</w:t>
            </w:r>
          </w:p>
        </w:tc>
        <w:tc>
          <w:tcPr>
            <w:tcW w:w="1209" w:type="dxa"/>
            <w:vAlign w:val="top"/>
          </w:tcPr>
          <w:p w14:paraId="531E54F1">
            <w:pPr>
              <w:spacing w:before="140" w:line="188" w:lineRule="auto"/>
              <w:ind w:left="397"/>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10000</w:t>
            </w:r>
          </w:p>
        </w:tc>
        <w:tc>
          <w:tcPr>
            <w:tcW w:w="1740" w:type="dxa"/>
            <w:vAlign w:val="top"/>
          </w:tcPr>
          <w:p w14:paraId="25A6B58D">
            <w:pPr>
              <w:pStyle w:val="6"/>
              <w:spacing w:before="111" w:line="221" w:lineRule="auto"/>
              <w:ind w:left="696"/>
              <w:rPr>
                <w:sz w:val="18"/>
                <w:szCs w:val="18"/>
              </w:rPr>
            </w:pPr>
            <w:r>
              <w:rPr>
                <w:spacing w:val="-5"/>
                <w:sz w:val="18"/>
                <w:szCs w:val="18"/>
              </w:rPr>
              <w:t>油烟</w:t>
            </w:r>
          </w:p>
        </w:tc>
        <w:tc>
          <w:tcPr>
            <w:tcW w:w="989" w:type="dxa"/>
            <w:vAlign w:val="top"/>
          </w:tcPr>
          <w:p w14:paraId="30F0A72C">
            <w:pPr>
              <w:spacing w:before="140" w:line="188" w:lineRule="auto"/>
              <w:ind w:left="30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10.50</w:t>
            </w:r>
          </w:p>
        </w:tc>
        <w:tc>
          <w:tcPr>
            <w:tcW w:w="993" w:type="dxa"/>
            <w:vAlign w:val="top"/>
          </w:tcPr>
          <w:p w14:paraId="4D23D48F">
            <w:pPr>
              <w:spacing w:before="140"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0.10</w:t>
            </w:r>
          </w:p>
        </w:tc>
        <w:tc>
          <w:tcPr>
            <w:tcW w:w="1131" w:type="dxa"/>
            <w:vAlign w:val="top"/>
          </w:tcPr>
          <w:p w14:paraId="4F55B780">
            <w:pPr>
              <w:spacing w:before="140" w:line="188" w:lineRule="auto"/>
              <w:ind w:left="4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0.21</w:t>
            </w:r>
          </w:p>
        </w:tc>
        <w:tc>
          <w:tcPr>
            <w:tcW w:w="1313" w:type="dxa"/>
            <w:vAlign w:val="top"/>
          </w:tcPr>
          <w:p w14:paraId="31E7B210">
            <w:pPr>
              <w:pStyle w:val="6"/>
              <w:spacing w:before="111" w:line="220" w:lineRule="auto"/>
              <w:ind w:left="123"/>
              <w:rPr>
                <w:sz w:val="18"/>
                <w:szCs w:val="18"/>
              </w:rPr>
            </w:pPr>
            <w:r>
              <w:rPr>
                <w:spacing w:val="-2"/>
                <w:sz w:val="18"/>
                <w:szCs w:val="18"/>
              </w:rPr>
              <w:t>油烟净化装置</w:t>
            </w:r>
          </w:p>
        </w:tc>
        <w:tc>
          <w:tcPr>
            <w:tcW w:w="1058" w:type="dxa"/>
            <w:vAlign w:val="top"/>
          </w:tcPr>
          <w:p w14:paraId="583C6FC0">
            <w:pPr>
              <w:spacing w:before="140" w:line="188" w:lineRule="auto"/>
              <w:ind w:left="44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85</w:t>
            </w:r>
          </w:p>
        </w:tc>
        <w:tc>
          <w:tcPr>
            <w:tcW w:w="980" w:type="dxa"/>
            <w:vAlign w:val="top"/>
          </w:tcPr>
          <w:p w14:paraId="203A545B">
            <w:pPr>
              <w:spacing w:before="140" w:line="188" w:lineRule="auto"/>
              <w:ind w:left="350"/>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1.57</w:t>
            </w:r>
          </w:p>
        </w:tc>
        <w:tc>
          <w:tcPr>
            <w:tcW w:w="980" w:type="dxa"/>
            <w:vAlign w:val="top"/>
          </w:tcPr>
          <w:p w14:paraId="589ACCDB">
            <w:pPr>
              <w:spacing w:before="140" w:line="188" w:lineRule="auto"/>
              <w:ind w:left="29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0.015</w:t>
            </w:r>
          </w:p>
        </w:tc>
        <w:tc>
          <w:tcPr>
            <w:tcW w:w="661" w:type="dxa"/>
            <w:vAlign w:val="top"/>
          </w:tcPr>
          <w:p w14:paraId="69ABAA21">
            <w:pPr>
              <w:spacing w:before="140" w:line="188" w:lineRule="auto"/>
              <w:ind w:left="16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1998</w:t>
            </w:r>
          </w:p>
        </w:tc>
        <w:tc>
          <w:tcPr>
            <w:tcW w:w="1036" w:type="dxa"/>
            <w:vAlign w:val="top"/>
          </w:tcPr>
          <w:p w14:paraId="57D3E763">
            <w:pPr>
              <w:spacing w:before="140" w:line="188" w:lineRule="auto"/>
              <w:ind w:left="36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0.03</w:t>
            </w:r>
          </w:p>
        </w:tc>
        <w:tc>
          <w:tcPr>
            <w:tcW w:w="3446" w:type="dxa"/>
            <w:gridSpan w:val="4"/>
            <w:tcBorders>
              <w:right w:val="nil"/>
            </w:tcBorders>
            <w:vAlign w:val="top"/>
          </w:tcPr>
          <w:p w14:paraId="25471185">
            <w:pPr>
              <w:pStyle w:val="6"/>
              <w:spacing w:before="111" w:line="219" w:lineRule="auto"/>
              <w:ind w:left="557"/>
              <w:rPr>
                <w:sz w:val="18"/>
                <w:szCs w:val="18"/>
              </w:rPr>
            </w:pPr>
            <w:r>
              <w:rPr>
                <w:spacing w:val="-1"/>
                <w:sz w:val="18"/>
                <w:szCs w:val="18"/>
              </w:rPr>
              <w:t>通过餐厅专用井道至屋顶排放</w:t>
            </w:r>
          </w:p>
        </w:tc>
      </w:tr>
      <w:tr w14:paraId="612892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808" w:type="dxa"/>
            <w:tcBorders>
              <w:left w:val="nil"/>
            </w:tcBorders>
            <w:vAlign w:val="top"/>
          </w:tcPr>
          <w:p w14:paraId="628D75D8">
            <w:pPr>
              <w:spacing w:before="269" w:line="192" w:lineRule="auto"/>
              <w:ind w:left="37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10" w:type="dxa"/>
            <w:vAlign w:val="top"/>
          </w:tcPr>
          <w:p w14:paraId="790A474B">
            <w:pPr>
              <w:pStyle w:val="6"/>
              <w:spacing w:before="242" w:line="220" w:lineRule="auto"/>
              <w:ind w:left="383"/>
              <w:rPr>
                <w:sz w:val="18"/>
                <w:szCs w:val="18"/>
              </w:rPr>
            </w:pPr>
            <w:r>
              <w:rPr>
                <w:spacing w:val="-2"/>
                <w:sz w:val="18"/>
                <w:szCs w:val="18"/>
              </w:rPr>
              <w:t>原料大棚无组织</w:t>
            </w:r>
          </w:p>
        </w:tc>
        <w:tc>
          <w:tcPr>
            <w:tcW w:w="1080" w:type="dxa"/>
            <w:vAlign w:val="top"/>
          </w:tcPr>
          <w:p w14:paraId="6E0B2171">
            <w:pPr>
              <w:pStyle w:val="6"/>
              <w:spacing w:before="242" w:line="220" w:lineRule="auto"/>
              <w:ind w:left="276"/>
              <w:rPr>
                <w:sz w:val="18"/>
                <w:szCs w:val="18"/>
              </w:rPr>
            </w:pPr>
            <w:r>
              <w:rPr>
                <w:spacing w:val="-3"/>
                <w:sz w:val="18"/>
                <w:szCs w:val="18"/>
              </w:rPr>
              <w:t>无组织</w:t>
            </w:r>
          </w:p>
        </w:tc>
        <w:tc>
          <w:tcPr>
            <w:tcW w:w="730" w:type="dxa"/>
            <w:vAlign w:val="top"/>
          </w:tcPr>
          <w:p w14:paraId="1B92F677">
            <w:pPr>
              <w:pStyle w:val="6"/>
              <w:spacing w:before="242" w:line="220" w:lineRule="auto"/>
              <w:ind w:left="189"/>
              <w:rPr>
                <w:sz w:val="18"/>
                <w:szCs w:val="18"/>
              </w:rPr>
            </w:pPr>
            <w:r>
              <w:rPr>
                <w:spacing w:val="-4"/>
                <w:sz w:val="18"/>
                <w:szCs w:val="18"/>
              </w:rPr>
              <w:t>连续</w:t>
            </w:r>
          </w:p>
        </w:tc>
        <w:tc>
          <w:tcPr>
            <w:tcW w:w="1412" w:type="dxa"/>
            <w:vAlign w:val="top"/>
          </w:tcPr>
          <w:p w14:paraId="0E8BA39E">
            <w:pPr>
              <w:pStyle w:val="6"/>
              <w:spacing w:before="242" w:line="219" w:lineRule="auto"/>
              <w:ind w:left="259"/>
              <w:rPr>
                <w:sz w:val="18"/>
                <w:szCs w:val="18"/>
              </w:rPr>
            </w:pPr>
            <w:r>
              <w:rPr>
                <w:spacing w:val="-2"/>
                <w:sz w:val="18"/>
                <w:szCs w:val="18"/>
              </w:rPr>
              <w:t>产污系数法</w:t>
            </w:r>
          </w:p>
        </w:tc>
        <w:tc>
          <w:tcPr>
            <w:tcW w:w="1209" w:type="dxa"/>
            <w:vAlign w:val="top"/>
          </w:tcPr>
          <w:p w14:paraId="410E6C37">
            <w:pPr>
              <w:spacing w:before="269" w:line="192" w:lineRule="auto"/>
              <w:ind w:left="57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740" w:type="dxa"/>
            <w:vAlign w:val="top"/>
          </w:tcPr>
          <w:p w14:paraId="17BACD44">
            <w:pPr>
              <w:pStyle w:val="6"/>
              <w:spacing w:before="242" w:line="220" w:lineRule="auto"/>
              <w:ind w:left="604"/>
              <w:rPr>
                <w:sz w:val="18"/>
                <w:szCs w:val="18"/>
              </w:rPr>
            </w:pPr>
            <w:r>
              <w:rPr>
                <w:spacing w:val="-3"/>
                <w:sz w:val="18"/>
                <w:szCs w:val="18"/>
              </w:rPr>
              <w:t>颗粒物</w:t>
            </w:r>
          </w:p>
        </w:tc>
        <w:tc>
          <w:tcPr>
            <w:tcW w:w="989" w:type="dxa"/>
            <w:vAlign w:val="top"/>
          </w:tcPr>
          <w:p w14:paraId="2B9EBACA">
            <w:pPr>
              <w:spacing w:before="269"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vAlign w:val="top"/>
          </w:tcPr>
          <w:p w14:paraId="0DAFEF04">
            <w:pPr>
              <w:spacing w:before="273"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0.42</w:t>
            </w:r>
          </w:p>
        </w:tc>
        <w:tc>
          <w:tcPr>
            <w:tcW w:w="1131" w:type="dxa"/>
            <w:vAlign w:val="top"/>
          </w:tcPr>
          <w:p w14:paraId="59FF89D2">
            <w:pPr>
              <w:spacing w:before="273" w:line="188" w:lineRule="auto"/>
              <w:ind w:left="41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3.38</w:t>
            </w:r>
          </w:p>
        </w:tc>
        <w:tc>
          <w:tcPr>
            <w:tcW w:w="1313" w:type="dxa"/>
            <w:vAlign w:val="top"/>
          </w:tcPr>
          <w:p w14:paraId="2303A686">
            <w:pPr>
              <w:pStyle w:val="6"/>
              <w:spacing w:before="242" w:line="219" w:lineRule="auto"/>
              <w:ind w:left="30"/>
              <w:rPr>
                <w:sz w:val="18"/>
                <w:szCs w:val="18"/>
              </w:rPr>
            </w:pPr>
            <w:r>
              <w:rPr>
                <w:spacing w:val="-1"/>
                <w:sz w:val="18"/>
                <w:szCs w:val="18"/>
              </w:rPr>
              <w:t>封闭，喷雾降尘</w:t>
            </w:r>
          </w:p>
        </w:tc>
        <w:tc>
          <w:tcPr>
            <w:tcW w:w="1058" w:type="dxa"/>
            <w:vAlign w:val="top"/>
          </w:tcPr>
          <w:p w14:paraId="2E4DAE6D">
            <w:pPr>
              <w:spacing w:before="269"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46228B91">
            <w:pPr>
              <w:spacing w:before="269"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49DA9C25">
            <w:pPr>
              <w:spacing w:before="273"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0.42</w:t>
            </w:r>
          </w:p>
        </w:tc>
        <w:tc>
          <w:tcPr>
            <w:tcW w:w="661" w:type="dxa"/>
            <w:vAlign w:val="top"/>
          </w:tcPr>
          <w:p w14:paraId="106ED191">
            <w:pPr>
              <w:spacing w:before="273"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5F5411CF">
            <w:pPr>
              <w:spacing w:before="273" w:line="188" w:lineRule="auto"/>
              <w:ind w:left="36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3.38</w:t>
            </w:r>
          </w:p>
        </w:tc>
        <w:tc>
          <w:tcPr>
            <w:tcW w:w="3446" w:type="dxa"/>
            <w:gridSpan w:val="4"/>
            <w:tcBorders>
              <w:right w:val="nil"/>
            </w:tcBorders>
            <w:vAlign w:val="top"/>
          </w:tcPr>
          <w:p w14:paraId="0845D18C">
            <w:pPr>
              <w:pStyle w:val="6"/>
              <w:spacing w:before="242" w:line="219" w:lineRule="auto"/>
              <w:ind w:left="49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623.</w:t>
            </w:r>
            <w:r>
              <w:rPr>
                <w:rFonts w:ascii="Times New Roman" w:hAnsi="Times New Roman" w:eastAsia="Times New Roman" w:cs="Times New Roman"/>
                <w:spacing w:val="-15"/>
                <w:sz w:val="18"/>
                <w:szCs w:val="18"/>
              </w:rPr>
              <w:t xml:space="preserve"> </w:t>
            </w:r>
            <w:r>
              <w:rPr>
                <w:rFonts w:ascii="Times New Roman" w:hAnsi="Times New Roman" w:eastAsia="Times New Roman" w:cs="Times New Roman"/>
                <w:spacing w:val="-3"/>
                <w:sz w:val="18"/>
                <w:szCs w:val="18"/>
              </w:rPr>
              <w:t>12m×50m</w:t>
            </w:r>
            <w:r>
              <w:rPr>
                <w:rFonts w:ascii="Times New Roman" w:hAnsi="Times New Roman" w:eastAsia="Times New Roman" w:cs="Times New Roman"/>
                <w:spacing w:val="-24"/>
                <w:sz w:val="18"/>
                <w:szCs w:val="18"/>
              </w:rPr>
              <w:t xml:space="preserve"> </w:t>
            </w:r>
            <w:r>
              <w:rPr>
                <w:spacing w:val="-3"/>
                <w:sz w:val="18"/>
                <w:szCs w:val="18"/>
              </w:rPr>
              <w:t>，排放高度</w:t>
            </w:r>
            <w:r>
              <w:rPr>
                <w:spacing w:val="-41"/>
                <w:sz w:val="18"/>
                <w:szCs w:val="18"/>
              </w:rPr>
              <w:t xml:space="preserve"> </w:t>
            </w:r>
            <w:r>
              <w:rPr>
                <w:rFonts w:ascii="Times New Roman" w:hAnsi="Times New Roman" w:eastAsia="Times New Roman" w:cs="Times New Roman"/>
                <w:spacing w:val="-3"/>
                <w:sz w:val="18"/>
                <w:szCs w:val="18"/>
              </w:rPr>
              <w:t>24.3m</w:t>
            </w:r>
          </w:p>
        </w:tc>
      </w:tr>
      <w:tr w14:paraId="74B266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808" w:type="dxa"/>
            <w:tcBorders>
              <w:left w:val="nil"/>
            </w:tcBorders>
            <w:vAlign w:val="top"/>
          </w:tcPr>
          <w:p w14:paraId="464123E8">
            <w:pPr>
              <w:spacing w:before="270" w:line="192" w:lineRule="auto"/>
              <w:ind w:left="37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10" w:type="dxa"/>
            <w:vAlign w:val="top"/>
          </w:tcPr>
          <w:p w14:paraId="1539C7E3">
            <w:pPr>
              <w:pStyle w:val="6"/>
              <w:spacing w:before="242" w:line="219" w:lineRule="auto"/>
              <w:ind w:left="199"/>
              <w:rPr>
                <w:sz w:val="18"/>
                <w:szCs w:val="18"/>
              </w:rPr>
            </w:pPr>
            <w:r>
              <w:rPr>
                <w:spacing w:val="-1"/>
                <w:sz w:val="18"/>
                <w:szCs w:val="18"/>
              </w:rPr>
              <w:t>焦炭烘干车间无组织</w:t>
            </w:r>
          </w:p>
        </w:tc>
        <w:tc>
          <w:tcPr>
            <w:tcW w:w="1080" w:type="dxa"/>
            <w:vAlign w:val="top"/>
          </w:tcPr>
          <w:p w14:paraId="56250A37">
            <w:pPr>
              <w:pStyle w:val="6"/>
              <w:spacing w:before="242" w:line="220" w:lineRule="auto"/>
              <w:ind w:left="276"/>
              <w:rPr>
                <w:sz w:val="18"/>
                <w:szCs w:val="18"/>
              </w:rPr>
            </w:pPr>
            <w:r>
              <w:rPr>
                <w:spacing w:val="-3"/>
                <w:sz w:val="18"/>
                <w:szCs w:val="18"/>
              </w:rPr>
              <w:t>无组织</w:t>
            </w:r>
          </w:p>
        </w:tc>
        <w:tc>
          <w:tcPr>
            <w:tcW w:w="730" w:type="dxa"/>
            <w:vAlign w:val="top"/>
          </w:tcPr>
          <w:p w14:paraId="7F7896E4">
            <w:pPr>
              <w:pStyle w:val="6"/>
              <w:spacing w:before="242" w:line="220" w:lineRule="auto"/>
              <w:ind w:left="189"/>
              <w:rPr>
                <w:sz w:val="18"/>
                <w:szCs w:val="18"/>
              </w:rPr>
            </w:pPr>
            <w:r>
              <w:rPr>
                <w:spacing w:val="-4"/>
                <w:sz w:val="18"/>
                <w:szCs w:val="18"/>
              </w:rPr>
              <w:t>连续</w:t>
            </w:r>
          </w:p>
        </w:tc>
        <w:tc>
          <w:tcPr>
            <w:tcW w:w="1412" w:type="dxa"/>
            <w:vAlign w:val="top"/>
          </w:tcPr>
          <w:p w14:paraId="6F9EDFEB">
            <w:pPr>
              <w:pStyle w:val="6"/>
              <w:spacing w:before="242" w:line="219" w:lineRule="auto"/>
              <w:ind w:left="259"/>
              <w:rPr>
                <w:sz w:val="18"/>
                <w:szCs w:val="18"/>
              </w:rPr>
            </w:pPr>
            <w:r>
              <w:rPr>
                <w:spacing w:val="-2"/>
                <w:sz w:val="18"/>
                <w:szCs w:val="18"/>
              </w:rPr>
              <w:t>产污系数法</w:t>
            </w:r>
          </w:p>
        </w:tc>
        <w:tc>
          <w:tcPr>
            <w:tcW w:w="1209" w:type="dxa"/>
            <w:vAlign w:val="top"/>
          </w:tcPr>
          <w:p w14:paraId="7C19380A">
            <w:pPr>
              <w:spacing w:before="270" w:line="192" w:lineRule="auto"/>
              <w:ind w:left="57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740" w:type="dxa"/>
            <w:vAlign w:val="top"/>
          </w:tcPr>
          <w:p w14:paraId="6B25A745">
            <w:pPr>
              <w:pStyle w:val="6"/>
              <w:spacing w:before="242" w:line="220" w:lineRule="auto"/>
              <w:ind w:left="604"/>
              <w:rPr>
                <w:sz w:val="18"/>
                <w:szCs w:val="18"/>
              </w:rPr>
            </w:pPr>
            <w:r>
              <w:rPr>
                <w:spacing w:val="-3"/>
                <w:sz w:val="18"/>
                <w:szCs w:val="18"/>
              </w:rPr>
              <w:t>颗粒物</w:t>
            </w:r>
          </w:p>
        </w:tc>
        <w:tc>
          <w:tcPr>
            <w:tcW w:w="989" w:type="dxa"/>
            <w:vAlign w:val="top"/>
          </w:tcPr>
          <w:p w14:paraId="5D1729E4">
            <w:pPr>
              <w:spacing w:before="270"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vAlign w:val="top"/>
          </w:tcPr>
          <w:p w14:paraId="47A5FC4C">
            <w:pPr>
              <w:spacing w:before="273"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0.</w:t>
            </w:r>
            <w:r>
              <w:rPr>
                <w:rFonts w:ascii="Times New Roman" w:hAnsi="Times New Roman" w:eastAsia="Times New Roman" w:cs="Times New Roman"/>
                <w:spacing w:val="-23"/>
                <w:sz w:val="18"/>
                <w:szCs w:val="18"/>
              </w:rPr>
              <w:t xml:space="preserve"> </w:t>
            </w:r>
            <w:r>
              <w:rPr>
                <w:rFonts w:ascii="Times New Roman" w:hAnsi="Times New Roman" w:eastAsia="Times New Roman" w:cs="Times New Roman"/>
                <w:spacing w:val="-7"/>
                <w:sz w:val="18"/>
                <w:szCs w:val="18"/>
              </w:rPr>
              <w:t>11</w:t>
            </w:r>
          </w:p>
        </w:tc>
        <w:tc>
          <w:tcPr>
            <w:tcW w:w="1131" w:type="dxa"/>
            <w:vAlign w:val="top"/>
          </w:tcPr>
          <w:p w14:paraId="7126722C">
            <w:pPr>
              <w:spacing w:before="273" w:line="188" w:lineRule="auto"/>
              <w:ind w:left="4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0.87</w:t>
            </w:r>
          </w:p>
        </w:tc>
        <w:tc>
          <w:tcPr>
            <w:tcW w:w="1313" w:type="dxa"/>
            <w:vAlign w:val="top"/>
          </w:tcPr>
          <w:p w14:paraId="141CA5E0">
            <w:pPr>
              <w:pStyle w:val="6"/>
              <w:spacing w:before="242" w:line="219" w:lineRule="auto"/>
              <w:ind w:left="30"/>
              <w:rPr>
                <w:sz w:val="18"/>
                <w:szCs w:val="18"/>
              </w:rPr>
            </w:pPr>
            <w:r>
              <w:rPr>
                <w:spacing w:val="-1"/>
                <w:sz w:val="18"/>
                <w:szCs w:val="18"/>
              </w:rPr>
              <w:t>封闭，喷雾降尘</w:t>
            </w:r>
          </w:p>
        </w:tc>
        <w:tc>
          <w:tcPr>
            <w:tcW w:w="1058" w:type="dxa"/>
            <w:vAlign w:val="top"/>
          </w:tcPr>
          <w:p w14:paraId="390555B9">
            <w:pPr>
              <w:spacing w:before="270"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7F1319EA">
            <w:pPr>
              <w:spacing w:before="270"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3202E59E">
            <w:pPr>
              <w:spacing w:before="273"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0.</w:t>
            </w:r>
            <w:r>
              <w:rPr>
                <w:rFonts w:ascii="Times New Roman" w:hAnsi="Times New Roman" w:eastAsia="Times New Roman" w:cs="Times New Roman"/>
                <w:spacing w:val="-23"/>
                <w:sz w:val="18"/>
                <w:szCs w:val="18"/>
              </w:rPr>
              <w:t xml:space="preserve"> </w:t>
            </w:r>
            <w:r>
              <w:rPr>
                <w:rFonts w:ascii="Times New Roman" w:hAnsi="Times New Roman" w:eastAsia="Times New Roman" w:cs="Times New Roman"/>
                <w:spacing w:val="-7"/>
                <w:sz w:val="18"/>
                <w:szCs w:val="18"/>
              </w:rPr>
              <w:t>11</w:t>
            </w:r>
          </w:p>
        </w:tc>
        <w:tc>
          <w:tcPr>
            <w:tcW w:w="661" w:type="dxa"/>
            <w:vAlign w:val="top"/>
          </w:tcPr>
          <w:p w14:paraId="0DD016BA">
            <w:pPr>
              <w:spacing w:before="273"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72B09FC3">
            <w:pPr>
              <w:spacing w:before="273" w:line="188" w:lineRule="auto"/>
              <w:ind w:left="36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0.87</w:t>
            </w:r>
          </w:p>
        </w:tc>
        <w:tc>
          <w:tcPr>
            <w:tcW w:w="3446" w:type="dxa"/>
            <w:gridSpan w:val="4"/>
            <w:tcBorders>
              <w:right w:val="nil"/>
            </w:tcBorders>
            <w:vAlign w:val="top"/>
          </w:tcPr>
          <w:p w14:paraId="5F02A1EF">
            <w:pPr>
              <w:pStyle w:val="6"/>
              <w:spacing w:before="242" w:line="219" w:lineRule="auto"/>
              <w:ind w:left="58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70m×50.4m</w:t>
            </w:r>
            <w:r>
              <w:rPr>
                <w:rFonts w:ascii="Times New Roman" w:hAnsi="Times New Roman" w:eastAsia="Times New Roman" w:cs="Times New Roman"/>
                <w:spacing w:val="-16"/>
                <w:sz w:val="18"/>
                <w:szCs w:val="18"/>
              </w:rPr>
              <w:t xml:space="preserve"> </w:t>
            </w:r>
            <w:r>
              <w:rPr>
                <w:spacing w:val="-3"/>
                <w:sz w:val="18"/>
                <w:szCs w:val="18"/>
              </w:rPr>
              <w:t>，排放高度</w:t>
            </w:r>
            <w:r>
              <w:rPr>
                <w:spacing w:val="-26"/>
                <w:sz w:val="18"/>
                <w:szCs w:val="18"/>
              </w:rPr>
              <w:t xml:space="preserve"> </w:t>
            </w:r>
            <w:r>
              <w:rPr>
                <w:rFonts w:ascii="Times New Roman" w:hAnsi="Times New Roman" w:eastAsia="Times New Roman" w:cs="Times New Roman"/>
                <w:spacing w:val="-3"/>
                <w:sz w:val="18"/>
                <w:szCs w:val="18"/>
              </w:rPr>
              <w:t>17.9m</w:t>
            </w:r>
          </w:p>
        </w:tc>
      </w:tr>
      <w:tr w14:paraId="3CB854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808" w:type="dxa"/>
            <w:tcBorders>
              <w:left w:val="nil"/>
              <w:bottom w:val="single" w:color="000000" w:sz="10" w:space="0"/>
            </w:tcBorders>
            <w:vAlign w:val="top"/>
          </w:tcPr>
          <w:p w14:paraId="66AD6EFE">
            <w:pPr>
              <w:spacing w:before="270" w:line="192" w:lineRule="auto"/>
              <w:ind w:left="37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10" w:type="dxa"/>
            <w:tcBorders>
              <w:bottom w:val="single" w:color="000000" w:sz="10" w:space="0"/>
            </w:tcBorders>
            <w:vAlign w:val="top"/>
          </w:tcPr>
          <w:p w14:paraId="243FA854">
            <w:pPr>
              <w:pStyle w:val="6"/>
              <w:spacing w:before="244" w:line="219" w:lineRule="auto"/>
              <w:ind w:left="110"/>
              <w:rPr>
                <w:sz w:val="18"/>
                <w:szCs w:val="18"/>
              </w:rPr>
            </w:pPr>
            <w:r>
              <w:rPr>
                <w:spacing w:val="-1"/>
                <w:sz w:val="18"/>
                <w:szCs w:val="18"/>
              </w:rPr>
              <w:t>锰矿石烘干车间无组织</w:t>
            </w:r>
          </w:p>
        </w:tc>
        <w:tc>
          <w:tcPr>
            <w:tcW w:w="1080" w:type="dxa"/>
            <w:tcBorders>
              <w:bottom w:val="single" w:color="000000" w:sz="10" w:space="0"/>
            </w:tcBorders>
            <w:vAlign w:val="top"/>
          </w:tcPr>
          <w:p w14:paraId="43C25482">
            <w:pPr>
              <w:pStyle w:val="6"/>
              <w:spacing w:before="245" w:line="220" w:lineRule="auto"/>
              <w:ind w:left="276"/>
              <w:rPr>
                <w:sz w:val="18"/>
                <w:szCs w:val="18"/>
              </w:rPr>
            </w:pPr>
            <w:r>
              <w:rPr>
                <w:spacing w:val="-3"/>
                <w:sz w:val="18"/>
                <w:szCs w:val="18"/>
              </w:rPr>
              <w:t>无组织</w:t>
            </w:r>
          </w:p>
        </w:tc>
        <w:tc>
          <w:tcPr>
            <w:tcW w:w="730" w:type="dxa"/>
            <w:tcBorders>
              <w:bottom w:val="single" w:color="000000" w:sz="10" w:space="0"/>
            </w:tcBorders>
            <w:vAlign w:val="top"/>
          </w:tcPr>
          <w:p w14:paraId="7EB854CD">
            <w:pPr>
              <w:pStyle w:val="6"/>
              <w:spacing w:before="245" w:line="220" w:lineRule="auto"/>
              <w:ind w:left="189"/>
              <w:rPr>
                <w:sz w:val="18"/>
                <w:szCs w:val="18"/>
              </w:rPr>
            </w:pPr>
            <w:r>
              <w:rPr>
                <w:spacing w:val="-4"/>
                <w:sz w:val="18"/>
                <w:szCs w:val="18"/>
              </w:rPr>
              <w:t>连续</w:t>
            </w:r>
          </w:p>
        </w:tc>
        <w:tc>
          <w:tcPr>
            <w:tcW w:w="1412" w:type="dxa"/>
            <w:tcBorders>
              <w:bottom w:val="single" w:color="000000" w:sz="10" w:space="0"/>
            </w:tcBorders>
            <w:vAlign w:val="top"/>
          </w:tcPr>
          <w:p w14:paraId="79135A45">
            <w:pPr>
              <w:pStyle w:val="6"/>
              <w:spacing w:before="245" w:line="219" w:lineRule="auto"/>
              <w:ind w:left="259"/>
              <w:rPr>
                <w:sz w:val="18"/>
                <w:szCs w:val="18"/>
              </w:rPr>
            </w:pPr>
            <w:r>
              <w:rPr>
                <w:spacing w:val="-2"/>
                <w:sz w:val="18"/>
                <w:szCs w:val="18"/>
              </w:rPr>
              <w:t>产污系数法</w:t>
            </w:r>
          </w:p>
        </w:tc>
        <w:tc>
          <w:tcPr>
            <w:tcW w:w="1209" w:type="dxa"/>
            <w:tcBorders>
              <w:bottom w:val="single" w:color="000000" w:sz="10" w:space="0"/>
            </w:tcBorders>
            <w:vAlign w:val="top"/>
          </w:tcPr>
          <w:p w14:paraId="480782DD">
            <w:pPr>
              <w:spacing w:before="270" w:line="192" w:lineRule="auto"/>
              <w:ind w:left="57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740" w:type="dxa"/>
            <w:tcBorders>
              <w:bottom w:val="single" w:color="000000" w:sz="10" w:space="0"/>
            </w:tcBorders>
            <w:vAlign w:val="top"/>
          </w:tcPr>
          <w:p w14:paraId="2068F5E9">
            <w:pPr>
              <w:pStyle w:val="6"/>
              <w:spacing w:before="245" w:line="220" w:lineRule="auto"/>
              <w:ind w:left="604"/>
              <w:rPr>
                <w:sz w:val="18"/>
                <w:szCs w:val="18"/>
              </w:rPr>
            </w:pPr>
            <w:r>
              <w:rPr>
                <w:spacing w:val="-3"/>
                <w:sz w:val="18"/>
                <w:szCs w:val="18"/>
              </w:rPr>
              <w:t>颗粒物</w:t>
            </w:r>
          </w:p>
        </w:tc>
        <w:tc>
          <w:tcPr>
            <w:tcW w:w="989" w:type="dxa"/>
            <w:tcBorders>
              <w:bottom w:val="single" w:color="000000" w:sz="10" w:space="0"/>
            </w:tcBorders>
            <w:vAlign w:val="top"/>
          </w:tcPr>
          <w:p w14:paraId="7CD54F78">
            <w:pPr>
              <w:spacing w:before="270"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tcBorders>
              <w:bottom w:val="single" w:color="000000" w:sz="10" w:space="0"/>
            </w:tcBorders>
            <w:vAlign w:val="top"/>
          </w:tcPr>
          <w:p w14:paraId="74547B83">
            <w:pPr>
              <w:spacing w:before="274" w:line="188" w:lineRule="auto"/>
              <w:ind w:left="29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0.009</w:t>
            </w:r>
          </w:p>
        </w:tc>
        <w:tc>
          <w:tcPr>
            <w:tcW w:w="1131" w:type="dxa"/>
            <w:tcBorders>
              <w:bottom w:val="single" w:color="000000" w:sz="10" w:space="0"/>
            </w:tcBorders>
            <w:vAlign w:val="top"/>
          </w:tcPr>
          <w:p w14:paraId="3B0561EF">
            <w:pPr>
              <w:spacing w:before="274" w:line="188" w:lineRule="auto"/>
              <w:ind w:left="4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0.07</w:t>
            </w:r>
          </w:p>
        </w:tc>
        <w:tc>
          <w:tcPr>
            <w:tcW w:w="1313" w:type="dxa"/>
            <w:tcBorders>
              <w:bottom w:val="single" w:color="000000" w:sz="10" w:space="0"/>
            </w:tcBorders>
            <w:vAlign w:val="top"/>
          </w:tcPr>
          <w:p w14:paraId="13B1A1D8">
            <w:pPr>
              <w:pStyle w:val="6"/>
              <w:spacing w:before="245" w:line="219" w:lineRule="auto"/>
              <w:ind w:left="30"/>
              <w:rPr>
                <w:sz w:val="18"/>
                <w:szCs w:val="18"/>
              </w:rPr>
            </w:pPr>
            <w:r>
              <w:rPr>
                <w:spacing w:val="-1"/>
                <w:sz w:val="18"/>
                <w:szCs w:val="18"/>
              </w:rPr>
              <w:t>封闭，喷雾降尘</w:t>
            </w:r>
          </w:p>
        </w:tc>
        <w:tc>
          <w:tcPr>
            <w:tcW w:w="1058" w:type="dxa"/>
            <w:tcBorders>
              <w:bottom w:val="single" w:color="000000" w:sz="10" w:space="0"/>
            </w:tcBorders>
            <w:vAlign w:val="top"/>
          </w:tcPr>
          <w:p w14:paraId="024A9010">
            <w:pPr>
              <w:spacing w:before="270"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tcBorders>
              <w:bottom w:val="single" w:color="000000" w:sz="10" w:space="0"/>
            </w:tcBorders>
            <w:vAlign w:val="top"/>
          </w:tcPr>
          <w:p w14:paraId="261145DD">
            <w:pPr>
              <w:spacing w:before="270"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tcBorders>
              <w:bottom w:val="single" w:color="000000" w:sz="10" w:space="0"/>
            </w:tcBorders>
            <w:vAlign w:val="top"/>
          </w:tcPr>
          <w:p w14:paraId="1A50275C">
            <w:pPr>
              <w:spacing w:before="274" w:line="188" w:lineRule="auto"/>
              <w:ind w:left="29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0.009</w:t>
            </w:r>
          </w:p>
        </w:tc>
        <w:tc>
          <w:tcPr>
            <w:tcW w:w="661" w:type="dxa"/>
            <w:tcBorders>
              <w:bottom w:val="single" w:color="000000" w:sz="10" w:space="0"/>
            </w:tcBorders>
            <w:vAlign w:val="top"/>
          </w:tcPr>
          <w:p w14:paraId="56238520">
            <w:pPr>
              <w:spacing w:before="274"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tcBorders>
              <w:bottom w:val="single" w:color="000000" w:sz="10" w:space="0"/>
            </w:tcBorders>
            <w:vAlign w:val="top"/>
          </w:tcPr>
          <w:p w14:paraId="5E68BF88">
            <w:pPr>
              <w:spacing w:before="274" w:line="188" w:lineRule="auto"/>
              <w:ind w:left="36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0.07</w:t>
            </w:r>
          </w:p>
        </w:tc>
        <w:tc>
          <w:tcPr>
            <w:tcW w:w="3446" w:type="dxa"/>
            <w:gridSpan w:val="4"/>
            <w:tcBorders>
              <w:bottom w:val="single" w:color="000000" w:sz="10" w:space="0"/>
              <w:right w:val="nil"/>
            </w:tcBorders>
            <w:vAlign w:val="top"/>
          </w:tcPr>
          <w:p w14:paraId="711C7B6B">
            <w:pPr>
              <w:pStyle w:val="6"/>
              <w:spacing w:before="245" w:line="219" w:lineRule="auto"/>
              <w:ind w:left="58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70m×50.4m</w:t>
            </w:r>
            <w:r>
              <w:rPr>
                <w:rFonts w:ascii="Times New Roman" w:hAnsi="Times New Roman" w:eastAsia="Times New Roman" w:cs="Times New Roman"/>
                <w:spacing w:val="-16"/>
                <w:sz w:val="18"/>
                <w:szCs w:val="18"/>
              </w:rPr>
              <w:t xml:space="preserve"> </w:t>
            </w:r>
            <w:r>
              <w:rPr>
                <w:spacing w:val="-3"/>
                <w:sz w:val="18"/>
                <w:szCs w:val="18"/>
              </w:rPr>
              <w:t>，排放高度</w:t>
            </w:r>
            <w:r>
              <w:rPr>
                <w:spacing w:val="-26"/>
                <w:sz w:val="18"/>
                <w:szCs w:val="18"/>
              </w:rPr>
              <w:t xml:space="preserve"> </w:t>
            </w:r>
            <w:r>
              <w:rPr>
                <w:rFonts w:ascii="Times New Roman" w:hAnsi="Times New Roman" w:eastAsia="Times New Roman" w:cs="Times New Roman"/>
                <w:spacing w:val="-3"/>
                <w:sz w:val="18"/>
                <w:szCs w:val="18"/>
              </w:rPr>
              <w:t>17.9m</w:t>
            </w:r>
          </w:p>
        </w:tc>
      </w:tr>
    </w:tbl>
    <w:p w14:paraId="13660A49">
      <w:pPr>
        <w:pStyle w:val="2"/>
      </w:pPr>
    </w:p>
    <w:p w14:paraId="36FBA1BB">
      <w:pPr>
        <w:sectPr>
          <w:headerReference r:id="rId178" w:type="default"/>
          <w:footerReference r:id="rId179" w:type="default"/>
          <w:pgSz w:w="23814" w:h="16840"/>
          <w:pgMar w:top="1544" w:right="1118" w:bottom="1241" w:left="1119" w:header="1235" w:footer="1079" w:gutter="0"/>
          <w:cols w:space="720" w:num="1"/>
        </w:sectPr>
      </w:pPr>
    </w:p>
    <w:p w14:paraId="3899817F">
      <w:pPr>
        <w:pStyle w:val="2"/>
        <w:spacing w:line="261" w:lineRule="auto"/>
      </w:pPr>
    </w:p>
    <w:p w14:paraId="20841D20">
      <w:pPr>
        <w:pStyle w:val="2"/>
        <w:spacing w:line="261" w:lineRule="auto"/>
      </w:pPr>
    </w:p>
    <w:p w14:paraId="25AFCAB7">
      <w:pPr>
        <w:pStyle w:val="2"/>
        <w:spacing w:line="262" w:lineRule="auto"/>
      </w:pPr>
    </w:p>
    <w:p w14:paraId="3226C7ED">
      <w:pPr>
        <w:spacing w:before="65" w:line="226" w:lineRule="auto"/>
        <w:ind w:left="6656"/>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直流锰硅</w:t>
      </w:r>
      <w:r>
        <w:rPr>
          <w:rFonts w:ascii="宋体" w:hAnsi="宋体" w:eastAsia="宋体" w:cs="宋体"/>
          <w:b/>
          <w:bCs/>
          <w:spacing w:val="7"/>
          <w:sz w:val="20"/>
          <w:szCs w:val="20"/>
        </w:rPr>
        <w:t>合金全密闭电炉项目环境影响报告书</w:t>
      </w:r>
    </w:p>
    <w:p w14:paraId="16967690">
      <w:pPr>
        <w:spacing w:before="16" w:line="58" w:lineRule="exact"/>
        <w:ind w:firstLine="15"/>
      </w:pPr>
      <w:r>
        <w:rPr>
          <w:position w:val="-1"/>
        </w:rPr>
        <w:pict>
          <v:shape id="_x0000_s1210" o:spid="_x0000_s1210" style="height:2.9pt;width:1077.35pt;" fillcolor="#000000" filled="t" stroked="f" coordsize="21546,58" path="m0,0l21546,0,21546,28,0,28,0,0xem0,43l21546,43,21546,57,0,57,0,43xe">
            <v:path/>
            <v:fill on="t" focussize="0,0"/>
            <v:stroke on="f"/>
            <v:imagedata o:title=""/>
            <o:lock v:ext="edit"/>
            <w10:wrap type="none"/>
            <w10:anchorlock/>
          </v:shape>
        </w:pict>
      </w:r>
    </w:p>
    <w:p w14:paraId="3003B016">
      <w:pPr>
        <w:spacing w:line="70" w:lineRule="exact"/>
      </w:pPr>
    </w:p>
    <w:tbl>
      <w:tblPr>
        <w:tblStyle w:val="5"/>
        <w:tblW w:w="21576"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08"/>
        <w:gridCol w:w="2010"/>
        <w:gridCol w:w="1080"/>
        <w:gridCol w:w="730"/>
        <w:gridCol w:w="1412"/>
        <w:gridCol w:w="1209"/>
        <w:gridCol w:w="1740"/>
        <w:gridCol w:w="989"/>
        <w:gridCol w:w="993"/>
        <w:gridCol w:w="1131"/>
        <w:gridCol w:w="1313"/>
        <w:gridCol w:w="1058"/>
        <w:gridCol w:w="980"/>
        <w:gridCol w:w="980"/>
        <w:gridCol w:w="661"/>
        <w:gridCol w:w="1036"/>
        <w:gridCol w:w="639"/>
        <w:gridCol w:w="812"/>
        <w:gridCol w:w="799"/>
        <w:gridCol w:w="1196"/>
      </w:tblGrid>
      <w:tr w14:paraId="1BFD0D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trPr>
        <w:tc>
          <w:tcPr>
            <w:tcW w:w="808" w:type="dxa"/>
            <w:vMerge w:val="restart"/>
            <w:tcBorders>
              <w:top w:val="single" w:color="000000" w:sz="10" w:space="0"/>
              <w:left w:val="nil"/>
              <w:bottom w:val="nil"/>
            </w:tcBorders>
            <w:vAlign w:val="top"/>
          </w:tcPr>
          <w:p w14:paraId="0E4FEAF4">
            <w:pPr>
              <w:spacing w:line="456" w:lineRule="auto"/>
              <w:rPr>
                <w:rFonts w:ascii="Arial"/>
                <w:sz w:val="21"/>
              </w:rPr>
            </w:pPr>
          </w:p>
          <w:p w14:paraId="7E8EC22E">
            <w:pPr>
              <w:pStyle w:val="6"/>
              <w:spacing w:before="58" w:line="219" w:lineRule="auto"/>
              <w:ind w:left="231"/>
              <w:rPr>
                <w:sz w:val="18"/>
                <w:szCs w:val="18"/>
              </w:rPr>
            </w:pPr>
            <w:r>
              <w:rPr>
                <w:b/>
                <w:bCs/>
                <w:spacing w:val="-7"/>
                <w:sz w:val="18"/>
                <w:szCs w:val="18"/>
              </w:rPr>
              <w:t>编号</w:t>
            </w:r>
          </w:p>
        </w:tc>
        <w:tc>
          <w:tcPr>
            <w:tcW w:w="2010" w:type="dxa"/>
            <w:vMerge w:val="restart"/>
            <w:tcBorders>
              <w:top w:val="single" w:color="000000" w:sz="10" w:space="0"/>
              <w:bottom w:val="nil"/>
            </w:tcBorders>
            <w:vAlign w:val="top"/>
          </w:tcPr>
          <w:p w14:paraId="43768CF3">
            <w:pPr>
              <w:spacing w:line="456" w:lineRule="auto"/>
              <w:rPr>
                <w:rFonts w:ascii="Arial"/>
                <w:sz w:val="21"/>
              </w:rPr>
            </w:pPr>
          </w:p>
          <w:p w14:paraId="213DE27F">
            <w:pPr>
              <w:pStyle w:val="6"/>
              <w:spacing w:before="58" w:line="220" w:lineRule="auto"/>
              <w:ind w:left="740"/>
              <w:rPr>
                <w:sz w:val="18"/>
                <w:szCs w:val="18"/>
              </w:rPr>
            </w:pPr>
            <w:r>
              <w:rPr>
                <w:b/>
                <w:bCs/>
                <w:spacing w:val="-4"/>
                <w:sz w:val="18"/>
                <w:szCs w:val="18"/>
              </w:rPr>
              <w:t>污染源</w:t>
            </w:r>
          </w:p>
        </w:tc>
        <w:tc>
          <w:tcPr>
            <w:tcW w:w="1080" w:type="dxa"/>
            <w:vMerge w:val="restart"/>
            <w:tcBorders>
              <w:top w:val="single" w:color="000000" w:sz="10" w:space="0"/>
              <w:bottom w:val="nil"/>
            </w:tcBorders>
            <w:vAlign w:val="top"/>
          </w:tcPr>
          <w:p w14:paraId="6D7DEBD7">
            <w:pPr>
              <w:spacing w:line="456" w:lineRule="auto"/>
              <w:rPr>
                <w:rFonts w:ascii="Arial"/>
                <w:sz w:val="21"/>
              </w:rPr>
            </w:pPr>
          </w:p>
          <w:p w14:paraId="02DD7A07">
            <w:pPr>
              <w:pStyle w:val="6"/>
              <w:spacing w:before="58" w:line="219" w:lineRule="auto"/>
              <w:ind w:left="363"/>
              <w:rPr>
                <w:sz w:val="18"/>
                <w:szCs w:val="18"/>
              </w:rPr>
            </w:pPr>
            <w:r>
              <w:rPr>
                <w:b/>
                <w:bCs/>
                <w:spacing w:val="-6"/>
                <w:sz w:val="18"/>
                <w:szCs w:val="18"/>
              </w:rPr>
              <w:t>类型</w:t>
            </w:r>
          </w:p>
        </w:tc>
        <w:tc>
          <w:tcPr>
            <w:tcW w:w="730" w:type="dxa"/>
            <w:vMerge w:val="restart"/>
            <w:tcBorders>
              <w:top w:val="single" w:color="000000" w:sz="10" w:space="0"/>
              <w:bottom w:val="nil"/>
            </w:tcBorders>
            <w:vAlign w:val="top"/>
          </w:tcPr>
          <w:p w14:paraId="03012B35">
            <w:pPr>
              <w:spacing w:line="294" w:lineRule="auto"/>
              <w:rPr>
                <w:rFonts w:ascii="Arial"/>
                <w:sz w:val="21"/>
              </w:rPr>
            </w:pPr>
          </w:p>
          <w:p w14:paraId="3F00C487">
            <w:pPr>
              <w:pStyle w:val="6"/>
              <w:spacing w:before="58" w:line="322" w:lineRule="auto"/>
              <w:ind w:left="188" w:right="183"/>
              <w:rPr>
                <w:sz w:val="18"/>
                <w:szCs w:val="18"/>
              </w:rPr>
            </w:pPr>
            <w:r>
              <w:rPr>
                <w:b/>
                <w:bCs/>
                <w:spacing w:val="-6"/>
                <w:sz w:val="18"/>
                <w:szCs w:val="18"/>
              </w:rPr>
              <w:t>排放</w:t>
            </w:r>
            <w:r>
              <w:rPr>
                <w:sz w:val="18"/>
                <w:szCs w:val="18"/>
              </w:rPr>
              <w:t xml:space="preserve"> </w:t>
            </w:r>
            <w:r>
              <w:rPr>
                <w:b/>
                <w:bCs/>
                <w:spacing w:val="-6"/>
                <w:sz w:val="18"/>
                <w:szCs w:val="18"/>
              </w:rPr>
              <w:t>方式</w:t>
            </w:r>
          </w:p>
        </w:tc>
        <w:tc>
          <w:tcPr>
            <w:tcW w:w="1412" w:type="dxa"/>
            <w:vMerge w:val="restart"/>
            <w:tcBorders>
              <w:top w:val="single" w:color="000000" w:sz="10" w:space="0"/>
              <w:bottom w:val="nil"/>
            </w:tcBorders>
            <w:vAlign w:val="top"/>
          </w:tcPr>
          <w:p w14:paraId="59AD4574">
            <w:pPr>
              <w:spacing w:line="456" w:lineRule="auto"/>
              <w:rPr>
                <w:rFonts w:ascii="Arial"/>
                <w:sz w:val="21"/>
              </w:rPr>
            </w:pPr>
          </w:p>
          <w:p w14:paraId="3F9F9ACA">
            <w:pPr>
              <w:pStyle w:val="6"/>
              <w:spacing w:before="58" w:line="219" w:lineRule="auto"/>
              <w:ind w:left="78"/>
              <w:rPr>
                <w:sz w:val="18"/>
                <w:szCs w:val="18"/>
              </w:rPr>
            </w:pPr>
            <w:r>
              <w:rPr>
                <w:b/>
                <w:bCs/>
                <w:spacing w:val="-3"/>
                <w:sz w:val="18"/>
                <w:szCs w:val="18"/>
              </w:rPr>
              <w:t>污染源核算方法</w:t>
            </w:r>
          </w:p>
        </w:tc>
        <w:tc>
          <w:tcPr>
            <w:tcW w:w="6062" w:type="dxa"/>
            <w:gridSpan w:val="5"/>
            <w:tcBorders>
              <w:top w:val="single" w:color="000000" w:sz="10" w:space="0"/>
            </w:tcBorders>
            <w:vAlign w:val="top"/>
          </w:tcPr>
          <w:p w14:paraId="54901475">
            <w:pPr>
              <w:pStyle w:val="6"/>
              <w:spacing w:before="95" w:line="219" w:lineRule="auto"/>
              <w:ind w:left="2494"/>
              <w:rPr>
                <w:sz w:val="18"/>
                <w:szCs w:val="18"/>
              </w:rPr>
            </w:pPr>
            <w:r>
              <w:rPr>
                <w:b/>
                <w:bCs/>
                <w:spacing w:val="-3"/>
                <w:sz w:val="18"/>
                <w:szCs w:val="18"/>
              </w:rPr>
              <w:t>污染物的产生</w:t>
            </w:r>
          </w:p>
        </w:tc>
        <w:tc>
          <w:tcPr>
            <w:tcW w:w="2371" w:type="dxa"/>
            <w:gridSpan w:val="2"/>
            <w:tcBorders>
              <w:top w:val="single" w:color="000000" w:sz="10" w:space="0"/>
            </w:tcBorders>
            <w:vAlign w:val="top"/>
          </w:tcPr>
          <w:p w14:paraId="5A8F92A5">
            <w:pPr>
              <w:pStyle w:val="6"/>
              <w:spacing w:before="94" w:line="219" w:lineRule="auto"/>
              <w:ind w:left="557"/>
              <w:rPr>
                <w:sz w:val="18"/>
                <w:szCs w:val="18"/>
              </w:rPr>
            </w:pPr>
            <w:r>
              <w:rPr>
                <w:b/>
                <w:bCs/>
                <w:spacing w:val="-3"/>
                <w:sz w:val="18"/>
                <w:szCs w:val="18"/>
              </w:rPr>
              <w:t>拟采取治理措施</w:t>
            </w:r>
          </w:p>
        </w:tc>
        <w:tc>
          <w:tcPr>
            <w:tcW w:w="3657" w:type="dxa"/>
            <w:gridSpan w:val="4"/>
            <w:tcBorders>
              <w:top w:val="single" w:color="000000" w:sz="10" w:space="0"/>
            </w:tcBorders>
            <w:vAlign w:val="top"/>
          </w:tcPr>
          <w:p w14:paraId="5994F939">
            <w:pPr>
              <w:pStyle w:val="6"/>
              <w:spacing w:before="95" w:line="220" w:lineRule="auto"/>
              <w:ind w:left="1290"/>
              <w:rPr>
                <w:sz w:val="18"/>
                <w:szCs w:val="18"/>
              </w:rPr>
            </w:pPr>
            <w:r>
              <w:rPr>
                <w:b/>
                <w:bCs/>
                <w:spacing w:val="-3"/>
                <w:sz w:val="18"/>
                <w:szCs w:val="18"/>
              </w:rPr>
              <w:t>污染物的排放</w:t>
            </w:r>
          </w:p>
        </w:tc>
        <w:tc>
          <w:tcPr>
            <w:tcW w:w="3446" w:type="dxa"/>
            <w:gridSpan w:val="4"/>
            <w:tcBorders>
              <w:top w:val="single" w:color="000000" w:sz="10" w:space="0"/>
              <w:right w:val="nil"/>
            </w:tcBorders>
            <w:vAlign w:val="top"/>
          </w:tcPr>
          <w:p w14:paraId="4FD9FAD4">
            <w:pPr>
              <w:pStyle w:val="6"/>
              <w:spacing w:before="95" w:line="219" w:lineRule="auto"/>
              <w:ind w:left="1364"/>
              <w:rPr>
                <w:sz w:val="18"/>
                <w:szCs w:val="18"/>
              </w:rPr>
            </w:pPr>
            <w:r>
              <w:rPr>
                <w:b/>
                <w:bCs/>
                <w:spacing w:val="-4"/>
                <w:sz w:val="18"/>
                <w:szCs w:val="18"/>
              </w:rPr>
              <w:t>排放参数</w:t>
            </w:r>
          </w:p>
        </w:tc>
      </w:tr>
      <w:tr w14:paraId="42E220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7" w:hRule="atLeast"/>
        </w:trPr>
        <w:tc>
          <w:tcPr>
            <w:tcW w:w="808" w:type="dxa"/>
            <w:vMerge w:val="continue"/>
            <w:tcBorders>
              <w:top w:val="nil"/>
              <w:left w:val="nil"/>
            </w:tcBorders>
            <w:vAlign w:val="top"/>
          </w:tcPr>
          <w:p w14:paraId="5908EAB4">
            <w:pPr>
              <w:rPr>
                <w:rFonts w:ascii="Arial"/>
                <w:sz w:val="21"/>
              </w:rPr>
            </w:pPr>
          </w:p>
        </w:tc>
        <w:tc>
          <w:tcPr>
            <w:tcW w:w="2010" w:type="dxa"/>
            <w:vMerge w:val="continue"/>
            <w:tcBorders>
              <w:top w:val="nil"/>
            </w:tcBorders>
            <w:vAlign w:val="top"/>
          </w:tcPr>
          <w:p w14:paraId="3C02DFA2">
            <w:pPr>
              <w:rPr>
                <w:rFonts w:ascii="Arial"/>
                <w:sz w:val="21"/>
              </w:rPr>
            </w:pPr>
          </w:p>
        </w:tc>
        <w:tc>
          <w:tcPr>
            <w:tcW w:w="1080" w:type="dxa"/>
            <w:vMerge w:val="continue"/>
            <w:tcBorders>
              <w:top w:val="nil"/>
            </w:tcBorders>
            <w:vAlign w:val="top"/>
          </w:tcPr>
          <w:p w14:paraId="51CAD8B5">
            <w:pPr>
              <w:rPr>
                <w:rFonts w:ascii="Arial"/>
                <w:sz w:val="21"/>
              </w:rPr>
            </w:pPr>
          </w:p>
        </w:tc>
        <w:tc>
          <w:tcPr>
            <w:tcW w:w="730" w:type="dxa"/>
            <w:vMerge w:val="continue"/>
            <w:tcBorders>
              <w:top w:val="nil"/>
            </w:tcBorders>
            <w:vAlign w:val="top"/>
          </w:tcPr>
          <w:p w14:paraId="163DB60B">
            <w:pPr>
              <w:rPr>
                <w:rFonts w:ascii="Arial"/>
                <w:sz w:val="21"/>
              </w:rPr>
            </w:pPr>
          </w:p>
        </w:tc>
        <w:tc>
          <w:tcPr>
            <w:tcW w:w="1412" w:type="dxa"/>
            <w:vMerge w:val="continue"/>
            <w:tcBorders>
              <w:top w:val="nil"/>
            </w:tcBorders>
            <w:vAlign w:val="top"/>
          </w:tcPr>
          <w:p w14:paraId="1C4CB71D">
            <w:pPr>
              <w:rPr>
                <w:rFonts w:ascii="Arial"/>
                <w:sz w:val="21"/>
              </w:rPr>
            </w:pPr>
          </w:p>
        </w:tc>
        <w:tc>
          <w:tcPr>
            <w:tcW w:w="1209" w:type="dxa"/>
            <w:vAlign w:val="top"/>
          </w:tcPr>
          <w:p w14:paraId="5A77817B">
            <w:pPr>
              <w:spacing w:line="280" w:lineRule="auto"/>
              <w:rPr>
                <w:rFonts w:ascii="Arial"/>
                <w:sz w:val="21"/>
              </w:rPr>
            </w:pPr>
          </w:p>
          <w:p w14:paraId="54CEEC2F">
            <w:pPr>
              <w:pStyle w:val="6"/>
              <w:spacing w:before="59" w:line="221" w:lineRule="auto"/>
              <w:ind w:left="71"/>
              <w:rPr>
                <w:rFonts w:ascii="Times New Roman" w:hAnsi="Times New Roman" w:eastAsia="Times New Roman" w:cs="Times New Roman"/>
                <w:sz w:val="18"/>
                <w:szCs w:val="18"/>
              </w:rPr>
            </w:pPr>
            <w:r>
              <w:rPr>
                <w:b/>
                <w:bCs/>
                <w:spacing w:val="-2"/>
                <w:sz w:val="18"/>
                <w:szCs w:val="18"/>
              </w:rPr>
              <w:t>排气量</w:t>
            </w:r>
            <w:r>
              <w:rPr>
                <w:spacing w:val="-39"/>
                <w:sz w:val="18"/>
                <w:szCs w:val="18"/>
              </w:rPr>
              <w:t xml:space="preserve"> </w:t>
            </w:r>
            <w:r>
              <w:rPr>
                <w:rFonts w:ascii="Times New Roman" w:hAnsi="Times New Roman" w:eastAsia="Times New Roman" w:cs="Times New Roman"/>
                <w:b/>
                <w:bCs/>
                <w:spacing w:val="-2"/>
                <w:sz w:val="18"/>
                <w:szCs w:val="18"/>
              </w:rPr>
              <w:t>Nm</w:t>
            </w:r>
            <w:r>
              <w:rPr>
                <w:rFonts w:ascii="Times New Roman" w:hAnsi="Times New Roman" w:eastAsia="Times New Roman" w:cs="Times New Roman"/>
                <w:b/>
                <w:bCs/>
                <w:spacing w:val="-2"/>
                <w:position w:val="5"/>
                <w:sz w:val="11"/>
                <w:szCs w:val="11"/>
              </w:rPr>
              <w:t>3</w:t>
            </w:r>
            <w:r>
              <w:rPr>
                <w:rFonts w:ascii="Times New Roman" w:hAnsi="Times New Roman" w:eastAsia="Times New Roman" w:cs="Times New Roman"/>
                <w:b/>
                <w:bCs/>
                <w:spacing w:val="-2"/>
                <w:sz w:val="18"/>
                <w:szCs w:val="18"/>
              </w:rPr>
              <w:t>/h</w:t>
            </w:r>
          </w:p>
        </w:tc>
        <w:tc>
          <w:tcPr>
            <w:tcW w:w="1740" w:type="dxa"/>
            <w:vAlign w:val="top"/>
          </w:tcPr>
          <w:p w14:paraId="2D0D6EBF">
            <w:pPr>
              <w:spacing w:line="280" w:lineRule="auto"/>
              <w:rPr>
                <w:rFonts w:ascii="Arial"/>
                <w:sz w:val="21"/>
              </w:rPr>
            </w:pPr>
          </w:p>
          <w:p w14:paraId="4F95A200">
            <w:pPr>
              <w:pStyle w:val="6"/>
              <w:spacing w:before="59" w:line="220" w:lineRule="auto"/>
              <w:ind w:left="604"/>
              <w:rPr>
                <w:sz w:val="18"/>
                <w:szCs w:val="18"/>
              </w:rPr>
            </w:pPr>
            <w:r>
              <w:rPr>
                <w:b/>
                <w:bCs/>
                <w:spacing w:val="-4"/>
                <w:sz w:val="18"/>
                <w:szCs w:val="18"/>
              </w:rPr>
              <w:t>污染物</w:t>
            </w:r>
          </w:p>
        </w:tc>
        <w:tc>
          <w:tcPr>
            <w:tcW w:w="989" w:type="dxa"/>
            <w:vAlign w:val="top"/>
          </w:tcPr>
          <w:p w14:paraId="3B193A47">
            <w:pPr>
              <w:pStyle w:val="6"/>
              <w:spacing w:before="175" w:line="338" w:lineRule="auto"/>
              <w:ind w:left="184" w:right="179" w:firstLine="132"/>
              <w:rPr>
                <w:rFonts w:ascii="Times New Roman" w:hAnsi="Times New Roman" w:eastAsia="Times New Roman" w:cs="Times New Roman"/>
                <w:sz w:val="11"/>
                <w:szCs w:val="11"/>
              </w:rPr>
            </w:pPr>
            <w:r>
              <w:rPr>
                <w:b/>
                <w:bCs/>
                <w:spacing w:val="-6"/>
                <w:sz w:val="18"/>
                <w:szCs w:val="18"/>
              </w:rPr>
              <w:t>浓度</w:t>
            </w:r>
            <w:r>
              <w:rPr>
                <w:sz w:val="18"/>
                <w:szCs w:val="18"/>
              </w:rPr>
              <w:t xml:space="preserve">  </w:t>
            </w:r>
            <w:r>
              <w:rPr>
                <w:rFonts w:ascii="Times New Roman" w:hAnsi="Times New Roman" w:eastAsia="Times New Roman" w:cs="Times New Roman"/>
                <w:b/>
                <w:bCs/>
                <w:spacing w:val="-1"/>
                <w:sz w:val="18"/>
                <w:szCs w:val="18"/>
              </w:rPr>
              <w:t>mg/Nm</w:t>
            </w:r>
            <w:r>
              <w:rPr>
                <w:rFonts w:ascii="Times New Roman" w:hAnsi="Times New Roman" w:eastAsia="Times New Roman" w:cs="Times New Roman"/>
                <w:b/>
                <w:bCs/>
                <w:spacing w:val="-1"/>
                <w:position w:val="5"/>
                <w:sz w:val="11"/>
                <w:szCs w:val="11"/>
              </w:rPr>
              <w:t>3</w:t>
            </w:r>
          </w:p>
        </w:tc>
        <w:tc>
          <w:tcPr>
            <w:tcW w:w="993" w:type="dxa"/>
            <w:vAlign w:val="top"/>
          </w:tcPr>
          <w:p w14:paraId="6FBD7BE3">
            <w:pPr>
              <w:spacing w:line="280" w:lineRule="auto"/>
              <w:rPr>
                <w:rFonts w:ascii="Arial"/>
                <w:sz w:val="21"/>
              </w:rPr>
            </w:pPr>
          </w:p>
          <w:p w14:paraId="16C46AA7">
            <w:pPr>
              <w:pStyle w:val="6"/>
              <w:spacing w:before="58" w:line="210" w:lineRule="auto"/>
              <w:ind w:left="126"/>
              <w:rPr>
                <w:rFonts w:ascii="Times New Roman" w:hAnsi="Times New Roman" w:eastAsia="Times New Roman" w:cs="Times New Roman"/>
                <w:sz w:val="18"/>
                <w:szCs w:val="18"/>
              </w:rPr>
            </w:pPr>
            <w:r>
              <w:rPr>
                <w:b/>
                <w:bCs/>
                <w:spacing w:val="-3"/>
                <w:sz w:val="18"/>
                <w:szCs w:val="18"/>
              </w:rPr>
              <w:t>速率</w:t>
            </w:r>
            <w:r>
              <w:rPr>
                <w:spacing w:val="-38"/>
                <w:sz w:val="18"/>
                <w:szCs w:val="18"/>
              </w:rPr>
              <w:t xml:space="preserve"> </w:t>
            </w:r>
            <w:r>
              <w:rPr>
                <w:rFonts w:ascii="Times New Roman" w:hAnsi="Times New Roman" w:eastAsia="Times New Roman" w:cs="Times New Roman"/>
                <w:b/>
                <w:bCs/>
                <w:spacing w:val="-3"/>
                <w:sz w:val="18"/>
                <w:szCs w:val="18"/>
              </w:rPr>
              <w:t>kg/h</w:t>
            </w:r>
          </w:p>
        </w:tc>
        <w:tc>
          <w:tcPr>
            <w:tcW w:w="1131" w:type="dxa"/>
            <w:vAlign w:val="top"/>
          </w:tcPr>
          <w:p w14:paraId="3469246E">
            <w:pPr>
              <w:spacing w:line="281" w:lineRule="auto"/>
              <w:rPr>
                <w:rFonts w:ascii="Arial"/>
                <w:sz w:val="21"/>
              </w:rPr>
            </w:pPr>
          </w:p>
          <w:p w14:paraId="60B06E8A">
            <w:pPr>
              <w:pStyle w:val="6"/>
              <w:spacing w:before="58" w:line="219" w:lineRule="auto"/>
              <w:ind w:left="176"/>
              <w:rPr>
                <w:rFonts w:ascii="Times New Roman" w:hAnsi="Times New Roman" w:eastAsia="Times New Roman" w:cs="Times New Roman"/>
                <w:sz w:val="18"/>
                <w:szCs w:val="18"/>
              </w:rPr>
            </w:pPr>
            <w:r>
              <w:rPr>
                <w:b/>
                <w:bCs/>
                <w:spacing w:val="-3"/>
                <w:sz w:val="18"/>
                <w:szCs w:val="18"/>
              </w:rPr>
              <w:t>产生量</w:t>
            </w:r>
            <w:r>
              <w:rPr>
                <w:spacing w:val="-38"/>
                <w:sz w:val="18"/>
                <w:szCs w:val="18"/>
              </w:rPr>
              <w:t xml:space="preserve"> </w:t>
            </w:r>
            <w:r>
              <w:rPr>
                <w:rFonts w:ascii="Times New Roman" w:hAnsi="Times New Roman" w:eastAsia="Times New Roman" w:cs="Times New Roman"/>
                <w:b/>
                <w:bCs/>
                <w:spacing w:val="-3"/>
                <w:sz w:val="18"/>
                <w:szCs w:val="18"/>
              </w:rPr>
              <w:t>t/a</w:t>
            </w:r>
          </w:p>
        </w:tc>
        <w:tc>
          <w:tcPr>
            <w:tcW w:w="1313" w:type="dxa"/>
            <w:vAlign w:val="top"/>
          </w:tcPr>
          <w:p w14:paraId="41A6CDA5">
            <w:pPr>
              <w:spacing w:line="281" w:lineRule="auto"/>
              <w:rPr>
                <w:rFonts w:ascii="Arial"/>
                <w:sz w:val="21"/>
              </w:rPr>
            </w:pPr>
          </w:p>
          <w:p w14:paraId="4AD95507">
            <w:pPr>
              <w:pStyle w:val="6"/>
              <w:spacing w:before="58" w:line="229" w:lineRule="auto"/>
              <w:ind w:left="482"/>
              <w:rPr>
                <w:sz w:val="18"/>
                <w:szCs w:val="18"/>
              </w:rPr>
            </w:pPr>
            <w:r>
              <w:rPr>
                <w:b/>
                <w:bCs/>
                <w:spacing w:val="-7"/>
                <w:sz w:val="18"/>
                <w:szCs w:val="18"/>
              </w:rPr>
              <w:t>工艺</w:t>
            </w:r>
          </w:p>
        </w:tc>
        <w:tc>
          <w:tcPr>
            <w:tcW w:w="1058" w:type="dxa"/>
            <w:vAlign w:val="top"/>
          </w:tcPr>
          <w:p w14:paraId="13D0BBD3">
            <w:pPr>
              <w:spacing w:line="281" w:lineRule="auto"/>
              <w:rPr>
                <w:rFonts w:ascii="Arial"/>
                <w:sz w:val="21"/>
              </w:rPr>
            </w:pPr>
          </w:p>
          <w:p w14:paraId="2054C778">
            <w:pPr>
              <w:pStyle w:val="6"/>
              <w:spacing w:before="58" w:line="219" w:lineRule="auto"/>
              <w:ind w:left="242"/>
              <w:rPr>
                <w:rFonts w:ascii="Times New Roman" w:hAnsi="Times New Roman" w:eastAsia="Times New Roman" w:cs="Times New Roman"/>
                <w:sz w:val="18"/>
                <w:szCs w:val="18"/>
              </w:rPr>
            </w:pPr>
            <w:r>
              <w:rPr>
                <w:b/>
                <w:bCs/>
                <w:spacing w:val="-4"/>
                <w:sz w:val="18"/>
                <w:szCs w:val="18"/>
              </w:rPr>
              <w:t>效率</w:t>
            </w:r>
            <w:r>
              <w:rPr>
                <w:rFonts w:ascii="Times New Roman" w:hAnsi="Times New Roman" w:eastAsia="Times New Roman" w:cs="Times New Roman"/>
                <w:b/>
                <w:bCs/>
                <w:spacing w:val="-4"/>
                <w:sz w:val="18"/>
                <w:szCs w:val="18"/>
              </w:rPr>
              <w:t>/%</w:t>
            </w:r>
          </w:p>
        </w:tc>
        <w:tc>
          <w:tcPr>
            <w:tcW w:w="980" w:type="dxa"/>
            <w:vAlign w:val="top"/>
          </w:tcPr>
          <w:p w14:paraId="6C01CBD0">
            <w:pPr>
              <w:pStyle w:val="6"/>
              <w:spacing w:before="175" w:line="338" w:lineRule="auto"/>
              <w:ind w:left="180" w:right="175" w:firstLine="132"/>
              <w:rPr>
                <w:rFonts w:ascii="Times New Roman" w:hAnsi="Times New Roman" w:eastAsia="Times New Roman" w:cs="Times New Roman"/>
                <w:sz w:val="11"/>
                <w:szCs w:val="11"/>
              </w:rPr>
            </w:pPr>
            <w:r>
              <w:rPr>
                <w:b/>
                <w:bCs/>
                <w:spacing w:val="-6"/>
                <w:sz w:val="18"/>
                <w:szCs w:val="18"/>
              </w:rPr>
              <w:t>浓度</w:t>
            </w:r>
            <w:r>
              <w:rPr>
                <w:sz w:val="18"/>
                <w:szCs w:val="18"/>
              </w:rPr>
              <w:t xml:space="preserve">  </w:t>
            </w:r>
            <w:r>
              <w:rPr>
                <w:rFonts w:ascii="Times New Roman" w:hAnsi="Times New Roman" w:eastAsia="Times New Roman" w:cs="Times New Roman"/>
                <w:b/>
                <w:bCs/>
                <w:spacing w:val="-1"/>
                <w:sz w:val="18"/>
                <w:szCs w:val="18"/>
              </w:rPr>
              <w:t>mg/Nm</w:t>
            </w:r>
            <w:r>
              <w:rPr>
                <w:rFonts w:ascii="Times New Roman" w:hAnsi="Times New Roman" w:eastAsia="Times New Roman" w:cs="Times New Roman"/>
                <w:b/>
                <w:bCs/>
                <w:spacing w:val="-1"/>
                <w:position w:val="5"/>
                <w:sz w:val="11"/>
                <w:szCs w:val="11"/>
              </w:rPr>
              <w:t>3</w:t>
            </w:r>
          </w:p>
        </w:tc>
        <w:tc>
          <w:tcPr>
            <w:tcW w:w="980" w:type="dxa"/>
            <w:vAlign w:val="top"/>
          </w:tcPr>
          <w:p w14:paraId="08DDAF93">
            <w:pPr>
              <w:spacing w:line="280" w:lineRule="auto"/>
              <w:rPr>
                <w:rFonts w:ascii="Arial"/>
                <w:sz w:val="21"/>
              </w:rPr>
            </w:pPr>
          </w:p>
          <w:p w14:paraId="2DF941AF">
            <w:pPr>
              <w:pStyle w:val="6"/>
              <w:spacing w:before="58" w:line="210" w:lineRule="auto"/>
              <w:ind w:left="118"/>
              <w:rPr>
                <w:rFonts w:ascii="Times New Roman" w:hAnsi="Times New Roman" w:eastAsia="Times New Roman" w:cs="Times New Roman"/>
                <w:sz w:val="18"/>
                <w:szCs w:val="18"/>
              </w:rPr>
            </w:pPr>
            <w:r>
              <w:rPr>
                <w:b/>
                <w:bCs/>
                <w:spacing w:val="-3"/>
                <w:sz w:val="18"/>
                <w:szCs w:val="18"/>
              </w:rPr>
              <w:t>速率</w:t>
            </w:r>
            <w:r>
              <w:rPr>
                <w:spacing w:val="-38"/>
                <w:sz w:val="18"/>
                <w:szCs w:val="18"/>
              </w:rPr>
              <w:t xml:space="preserve"> </w:t>
            </w:r>
            <w:r>
              <w:rPr>
                <w:rFonts w:ascii="Times New Roman" w:hAnsi="Times New Roman" w:eastAsia="Times New Roman" w:cs="Times New Roman"/>
                <w:b/>
                <w:bCs/>
                <w:spacing w:val="-3"/>
                <w:sz w:val="18"/>
                <w:szCs w:val="18"/>
              </w:rPr>
              <w:t>kg/h</w:t>
            </w:r>
          </w:p>
        </w:tc>
        <w:tc>
          <w:tcPr>
            <w:tcW w:w="661" w:type="dxa"/>
            <w:vAlign w:val="top"/>
          </w:tcPr>
          <w:p w14:paraId="1D5B0B89">
            <w:pPr>
              <w:spacing w:line="281" w:lineRule="auto"/>
              <w:rPr>
                <w:rFonts w:ascii="Arial"/>
                <w:sz w:val="21"/>
              </w:rPr>
            </w:pPr>
          </w:p>
          <w:p w14:paraId="1F6DA28E">
            <w:pPr>
              <w:pStyle w:val="6"/>
              <w:spacing w:before="58" w:line="221" w:lineRule="auto"/>
              <w:ind w:left="28"/>
              <w:rPr>
                <w:rFonts w:ascii="Times New Roman" w:hAnsi="Times New Roman" w:eastAsia="Times New Roman" w:cs="Times New Roman"/>
                <w:sz w:val="18"/>
                <w:szCs w:val="18"/>
              </w:rPr>
            </w:pPr>
            <w:r>
              <w:rPr>
                <w:b/>
                <w:bCs/>
                <w:spacing w:val="1"/>
                <w:sz w:val="18"/>
                <w:szCs w:val="18"/>
              </w:rPr>
              <w:t>时间</w:t>
            </w:r>
            <w:r>
              <w:rPr>
                <w:rFonts w:ascii="Times New Roman" w:hAnsi="Times New Roman" w:eastAsia="Times New Roman" w:cs="Times New Roman"/>
                <w:b/>
                <w:bCs/>
                <w:spacing w:val="1"/>
                <w:sz w:val="18"/>
                <w:szCs w:val="18"/>
              </w:rPr>
              <w:t>h/a</w:t>
            </w:r>
          </w:p>
        </w:tc>
        <w:tc>
          <w:tcPr>
            <w:tcW w:w="1036" w:type="dxa"/>
            <w:vAlign w:val="top"/>
          </w:tcPr>
          <w:p w14:paraId="0BDC2F55">
            <w:pPr>
              <w:spacing w:line="280" w:lineRule="auto"/>
              <w:rPr>
                <w:rFonts w:ascii="Arial"/>
                <w:sz w:val="21"/>
              </w:rPr>
            </w:pPr>
          </w:p>
          <w:p w14:paraId="59DC4BB8">
            <w:pPr>
              <w:pStyle w:val="6"/>
              <w:spacing w:before="59" w:line="221" w:lineRule="auto"/>
              <w:ind w:left="127"/>
              <w:rPr>
                <w:rFonts w:ascii="Times New Roman" w:hAnsi="Times New Roman" w:eastAsia="Times New Roman" w:cs="Times New Roman"/>
                <w:sz w:val="18"/>
                <w:szCs w:val="18"/>
              </w:rPr>
            </w:pPr>
            <w:r>
              <w:rPr>
                <w:b/>
                <w:bCs/>
                <w:spacing w:val="-3"/>
                <w:sz w:val="18"/>
                <w:szCs w:val="18"/>
              </w:rPr>
              <w:t>排放量</w:t>
            </w:r>
            <w:r>
              <w:rPr>
                <w:spacing w:val="-38"/>
                <w:sz w:val="18"/>
                <w:szCs w:val="18"/>
              </w:rPr>
              <w:t xml:space="preserve"> </w:t>
            </w:r>
            <w:r>
              <w:rPr>
                <w:rFonts w:ascii="Times New Roman" w:hAnsi="Times New Roman" w:eastAsia="Times New Roman" w:cs="Times New Roman"/>
                <w:b/>
                <w:bCs/>
                <w:spacing w:val="-3"/>
                <w:sz w:val="18"/>
                <w:szCs w:val="18"/>
              </w:rPr>
              <w:t>t/a</w:t>
            </w:r>
          </w:p>
        </w:tc>
        <w:tc>
          <w:tcPr>
            <w:tcW w:w="639" w:type="dxa"/>
            <w:vAlign w:val="top"/>
          </w:tcPr>
          <w:p w14:paraId="7938F00A">
            <w:pPr>
              <w:spacing w:line="281" w:lineRule="auto"/>
              <w:rPr>
                <w:rFonts w:ascii="Arial"/>
                <w:sz w:val="21"/>
              </w:rPr>
            </w:pPr>
          </w:p>
          <w:p w14:paraId="0A071071">
            <w:pPr>
              <w:pStyle w:val="6"/>
              <w:spacing w:before="58" w:line="219" w:lineRule="auto"/>
              <w:ind w:left="49"/>
              <w:rPr>
                <w:rFonts w:ascii="Times New Roman" w:hAnsi="Times New Roman" w:eastAsia="Times New Roman" w:cs="Times New Roman"/>
                <w:sz w:val="18"/>
                <w:szCs w:val="18"/>
              </w:rPr>
            </w:pPr>
            <w:r>
              <w:rPr>
                <w:b/>
                <w:bCs/>
                <w:spacing w:val="-4"/>
                <w:sz w:val="18"/>
                <w:szCs w:val="18"/>
              </w:rPr>
              <w:t>高度</w:t>
            </w:r>
            <w:r>
              <w:rPr>
                <w:rFonts w:ascii="Times New Roman" w:hAnsi="Times New Roman" w:eastAsia="Times New Roman" w:cs="Times New Roman"/>
                <w:b/>
                <w:bCs/>
                <w:spacing w:val="-4"/>
                <w:sz w:val="18"/>
                <w:szCs w:val="18"/>
              </w:rPr>
              <w:t>/m</w:t>
            </w:r>
          </w:p>
        </w:tc>
        <w:tc>
          <w:tcPr>
            <w:tcW w:w="812" w:type="dxa"/>
            <w:vAlign w:val="top"/>
          </w:tcPr>
          <w:p w14:paraId="4BA2479E">
            <w:pPr>
              <w:spacing w:line="281" w:lineRule="auto"/>
              <w:rPr>
                <w:rFonts w:ascii="Arial"/>
                <w:sz w:val="21"/>
              </w:rPr>
            </w:pPr>
          </w:p>
          <w:p w14:paraId="45ED1A76">
            <w:pPr>
              <w:pStyle w:val="6"/>
              <w:spacing w:before="58" w:line="219" w:lineRule="auto"/>
              <w:ind w:left="151"/>
              <w:rPr>
                <w:rFonts w:ascii="Times New Roman" w:hAnsi="Times New Roman" w:eastAsia="Times New Roman" w:cs="Times New Roman"/>
                <w:sz w:val="18"/>
                <w:szCs w:val="18"/>
              </w:rPr>
            </w:pPr>
            <w:r>
              <w:rPr>
                <w:b/>
                <w:bCs/>
                <w:spacing w:val="-9"/>
                <w:sz w:val="18"/>
                <w:szCs w:val="18"/>
              </w:rPr>
              <w:t>内径</w:t>
            </w:r>
            <w:r>
              <w:rPr>
                <w:rFonts w:ascii="Times New Roman" w:hAnsi="Times New Roman" w:eastAsia="Times New Roman" w:cs="Times New Roman"/>
                <w:b/>
                <w:bCs/>
                <w:spacing w:val="-9"/>
                <w:sz w:val="18"/>
                <w:szCs w:val="18"/>
              </w:rPr>
              <w:t>/m</w:t>
            </w:r>
          </w:p>
        </w:tc>
        <w:tc>
          <w:tcPr>
            <w:tcW w:w="799" w:type="dxa"/>
            <w:vAlign w:val="top"/>
          </w:tcPr>
          <w:p w14:paraId="5C6FA984">
            <w:pPr>
              <w:spacing w:line="280" w:lineRule="auto"/>
              <w:rPr>
                <w:rFonts w:ascii="Arial"/>
                <w:sz w:val="21"/>
              </w:rPr>
            </w:pPr>
          </w:p>
          <w:p w14:paraId="2D945FDE">
            <w:pPr>
              <w:pStyle w:val="6"/>
              <w:spacing w:before="59" w:line="220" w:lineRule="auto"/>
              <w:ind w:left="101"/>
              <w:rPr>
                <w:rFonts w:ascii="Times New Roman" w:hAnsi="Times New Roman" w:eastAsia="Times New Roman" w:cs="Times New Roman"/>
                <w:sz w:val="18"/>
                <w:szCs w:val="18"/>
              </w:rPr>
            </w:pPr>
            <w:r>
              <w:rPr>
                <w:b/>
                <w:bCs/>
                <w:spacing w:val="-3"/>
                <w:sz w:val="18"/>
                <w:szCs w:val="18"/>
              </w:rPr>
              <w:t>温度</w:t>
            </w:r>
            <w:r>
              <w:rPr>
                <w:rFonts w:ascii="Times New Roman" w:hAnsi="Times New Roman" w:eastAsia="Times New Roman" w:cs="Times New Roman"/>
                <w:b/>
                <w:bCs/>
                <w:spacing w:val="-3"/>
                <w:sz w:val="18"/>
                <w:szCs w:val="18"/>
              </w:rPr>
              <w:t>/℃</w:t>
            </w:r>
          </w:p>
        </w:tc>
        <w:tc>
          <w:tcPr>
            <w:tcW w:w="1196" w:type="dxa"/>
            <w:tcBorders>
              <w:right w:val="nil"/>
            </w:tcBorders>
            <w:vAlign w:val="top"/>
          </w:tcPr>
          <w:p w14:paraId="46C6D867">
            <w:pPr>
              <w:spacing w:line="281" w:lineRule="auto"/>
              <w:rPr>
                <w:rFonts w:ascii="Arial"/>
                <w:sz w:val="21"/>
              </w:rPr>
            </w:pPr>
          </w:p>
          <w:p w14:paraId="1A87C1D7">
            <w:pPr>
              <w:pStyle w:val="6"/>
              <w:spacing w:before="58" w:line="219" w:lineRule="auto"/>
              <w:ind w:left="151"/>
              <w:rPr>
                <w:sz w:val="18"/>
                <w:szCs w:val="18"/>
              </w:rPr>
            </w:pPr>
            <w:r>
              <w:rPr>
                <w:b/>
                <w:bCs/>
                <w:spacing w:val="-3"/>
                <w:sz w:val="18"/>
                <w:szCs w:val="18"/>
              </w:rPr>
              <w:t>排气筒编号</w:t>
            </w:r>
          </w:p>
        </w:tc>
      </w:tr>
      <w:tr w14:paraId="3402E3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808" w:type="dxa"/>
            <w:vMerge w:val="restart"/>
            <w:tcBorders>
              <w:left w:val="nil"/>
              <w:bottom w:val="nil"/>
            </w:tcBorders>
            <w:vAlign w:val="top"/>
          </w:tcPr>
          <w:p w14:paraId="3700D3E5">
            <w:pPr>
              <w:spacing w:line="248" w:lineRule="auto"/>
              <w:rPr>
                <w:rFonts w:ascii="Arial"/>
                <w:sz w:val="21"/>
              </w:rPr>
            </w:pPr>
          </w:p>
          <w:p w14:paraId="4FC692A3">
            <w:pPr>
              <w:spacing w:before="52" w:line="192" w:lineRule="auto"/>
              <w:ind w:left="37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10" w:type="dxa"/>
            <w:vMerge w:val="restart"/>
            <w:tcBorders>
              <w:bottom w:val="nil"/>
            </w:tcBorders>
            <w:vAlign w:val="top"/>
          </w:tcPr>
          <w:p w14:paraId="4EABB163">
            <w:pPr>
              <w:pStyle w:val="6"/>
              <w:spacing w:before="273" w:line="219" w:lineRule="auto"/>
              <w:ind w:left="289"/>
              <w:rPr>
                <w:sz w:val="18"/>
                <w:szCs w:val="18"/>
              </w:rPr>
            </w:pPr>
            <w:r>
              <w:rPr>
                <w:spacing w:val="-1"/>
                <w:sz w:val="18"/>
                <w:szCs w:val="18"/>
              </w:rPr>
              <w:t>烧结原料库无组织</w:t>
            </w:r>
          </w:p>
        </w:tc>
        <w:tc>
          <w:tcPr>
            <w:tcW w:w="1080" w:type="dxa"/>
            <w:vMerge w:val="restart"/>
            <w:tcBorders>
              <w:bottom w:val="nil"/>
            </w:tcBorders>
            <w:vAlign w:val="top"/>
          </w:tcPr>
          <w:p w14:paraId="20500AC4">
            <w:pPr>
              <w:pStyle w:val="6"/>
              <w:spacing w:before="274" w:line="220" w:lineRule="auto"/>
              <w:ind w:left="276"/>
              <w:rPr>
                <w:sz w:val="18"/>
                <w:szCs w:val="18"/>
              </w:rPr>
            </w:pPr>
            <w:r>
              <w:rPr>
                <w:spacing w:val="-3"/>
                <w:sz w:val="18"/>
                <w:szCs w:val="18"/>
              </w:rPr>
              <w:t>无组织</w:t>
            </w:r>
          </w:p>
        </w:tc>
        <w:tc>
          <w:tcPr>
            <w:tcW w:w="730" w:type="dxa"/>
            <w:vMerge w:val="restart"/>
            <w:tcBorders>
              <w:bottom w:val="nil"/>
            </w:tcBorders>
            <w:vAlign w:val="top"/>
          </w:tcPr>
          <w:p w14:paraId="662DF544">
            <w:pPr>
              <w:pStyle w:val="6"/>
              <w:spacing w:before="274" w:line="220" w:lineRule="auto"/>
              <w:ind w:left="189"/>
              <w:rPr>
                <w:sz w:val="18"/>
                <w:szCs w:val="18"/>
              </w:rPr>
            </w:pPr>
            <w:r>
              <w:rPr>
                <w:spacing w:val="-4"/>
                <w:sz w:val="18"/>
                <w:szCs w:val="18"/>
              </w:rPr>
              <w:t>连续</w:t>
            </w:r>
          </w:p>
        </w:tc>
        <w:tc>
          <w:tcPr>
            <w:tcW w:w="1412" w:type="dxa"/>
            <w:vMerge w:val="restart"/>
            <w:tcBorders>
              <w:bottom w:val="nil"/>
            </w:tcBorders>
            <w:vAlign w:val="top"/>
          </w:tcPr>
          <w:p w14:paraId="33031040">
            <w:pPr>
              <w:pStyle w:val="6"/>
              <w:spacing w:before="274" w:line="219" w:lineRule="auto"/>
              <w:ind w:left="259"/>
              <w:rPr>
                <w:sz w:val="18"/>
                <w:szCs w:val="18"/>
              </w:rPr>
            </w:pPr>
            <w:r>
              <w:rPr>
                <w:spacing w:val="-2"/>
                <w:sz w:val="18"/>
                <w:szCs w:val="18"/>
              </w:rPr>
              <w:t>产污系数法</w:t>
            </w:r>
          </w:p>
        </w:tc>
        <w:tc>
          <w:tcPr>
            <w:tcW w:w="1209" w:type="dxa"/>
            <w:vMerge w:val="restart"/>
            <w:tcBorders>
              <w:bottom w:val="nil"/>
            </w:tcBorders>
            <w:vAlign w:val="top"/>
          </w:tcPr>
          <w:p w14:paraId="5BE99494">
            <w:pPr>
              <w:spacing w:line="248" w:lineRule="auto"/>
              <w:rPr>
                <w:rFonts w:ascii="Arial"/>
                <w:sz w:val="21"/>
              </w:rPr>
            </w:pPr>
          </w:p>
          <w:p w14:paraId="7256E156">
            <w:pPr>
              <w:spacing w:before="52" w:line="192" w:lineRule="auto"/>
              <w:ind w:left="57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740" w:type="dxa"/>
            <w:vAlign w:val="top"/>
          </w:tcPr>
          <w:p w14:paraId="73BCB60E">
            <w:pPr>
              <w:pStyle w:val="6"/>
              <w:spacing w:before="99" w:line="220" w:lineRule="auto"/>
              <w:ind w:left="604"/>
              <w:rPr>
                <w:sz w:val="18"/>
                <w:szCs w:val="18"/>
              </w:rPr>
            </w:pPr>
            <w:r>
              <w:rPr>
                <w:spacing w:val="-3"/>
                <w:sz w:val="18"/>
                <w:szCs w:val="18"/>
              </w:rPr>
              <w:t>颗粒物</w:t>
            </w:r>
          </w:p>
        </w:tc>
        <w:tc>
          <w:tcPr>
            <w:tcW w:w="989" w:type="dxa"/>
            <w:vAlign w:val="top"/>
          </w:tcPr>
          <w:p w14:paraId="577813A7">
            <w:pPr>
              <w:spacing w:before="124"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vAlign w:val="top"/>
          </w:tcPr>
          <w:p w14:paraId="5167ED5D">
            <w:pPr>
              <w:spacing w:before="127"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0.39</w:t>
            </w:r>
          </w:p>
        </w:tc>
        <w:tc>
          <w:tcPr>
            <w:tcW w:w="1131" w:type="dxa"/>
            <w:vAlign w:val="top"/>
          </w:tcPr>
          <w:p w14:paraId="68ECB77B">
            <w:pPr>
              <w:spacing w:before="127" w:line="188" w:lineRule="auto"/>
              <w:ind w:left="41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3.15</w:t>
            </w:r>
          </w:p>
        </w:tc>
        <w:tc>
          <w:tcPr>
            <w:tcW w:w="1313" w:type="dxa"/>
            <w:vMerge w:val="restart"/>
            <w:tcBorders>
              <w:bottom w:val="nil"/>
            </w:tcBorders>
            <w:vAlign w:val="top"/>
          </w:tcPr>
          <w:p w14:paraId="01912447">
            <w:pPr>
              <w:pStyle w:val="6"/>
              <w:spacing w:before="274" w:line="219" w:lineRule="auto"/>
              <w:ind w:left="30"/>
              <w:rPr>
                <w:sz w:val="18"/>
                <w:szCs w:val="18"/>
              </w:rPr>
            </w:pPr>
            <w:r>
              <w:rPr>
                <w:spacing w:val="-1"/>
                <w:sz w:val="18"/>
                <w:szCs w:val="18"/>
              </w:rPr>
              <w:t>封闭，喷雾降尘</w:t>
            </w:r>
          </w:p>
        </w:tc>
        <w:tc>
          <w:tcPr>
            <w:tcW w:w="1058" w:type="dxa"/>
            <w:vMerge w:val="restart"/>
            <w:tcBorders>
              <w:bottom w:val="nil"/>
            </w:tcBorders>
            <w:vAlign w:val="top"/>
          </w:tcPr>
          <w:p w14:paraId="1DB36812">
            <w:pPr>
              <w:spacing w:line="248" w:lineRule="auto"/>
              <w:rPr>
                <w:rFonts w:ascii="Arial"/>
                <w:sz w:val="21"/>
              </w:rPr>
            </w:pPr>
          </w:p>
          <w:p w14:paraId="3F35D96F">
            <w:pPr>
              <w:spacing w:before="52"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0D633C20">
            <w:pPr>
              <w:spacing w:before="124"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3E7444FA">
            <w:pPr>
              <w:spacing w:before="127"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0.39</w:t>
            </w:r>
          </w:p>
        </w:tc>
        <w:tc>
          <w:tcPr>
            <w:tcW w:w="661" w:type="dxa"/>
            <w:vMerge w:val="restart"/>
            <w:tcBorders>
              <w:bottom w:val="nil"/>
            </w:tcBorders>
            <w:vAlign w:val="top"/>
          </w:tcPr>
          <w:p w14:paraId="61AA4F47">
            <w:pPr>
              <w:spacing w:line="252" w:lineRule="auto"/>
              <w:rPr>
                <w:rFonts w:ascii="Arial"/>
                <w:sz w:val="21"/>
              </w:rPr>
            </w:pPr>
          </w:p>
          <w:p w14:paraId="38D3582D">
            <w:pPr>
              <w:spacing w:before="51"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2FEBB467">
            <w:pPr>
              <w:spacing w:before="127" w:line="188" w:lineRule="auto"/>
              <w:ind w:left="36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3.15</w:t>
            </w:r>
          </w:p>
        </w:tc>
        <w:tc>
          <w:tcPr>
            <w:tcW w:w="3446" w:type="dxa"/>
            <w:gridSpan w:val="4"/>
            <w:vMerge w:val="restart"/>
            <w:tcBorders>
              <w:bottom w:val="nil"/>
              <w:right w:val="nil"/>
            </w:tcBorders>
            <w:vAlign w:val="top"/>
          </w:tcPr>
          <w:p w14:paraId="43483C45">
            <w:pPr>
              <w:pStyle w:val="6"/>
              <w:spacing w:before="274" w:line="219" w:lineRule="auto"/>
              <w:ind w:left="55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165m×60.6m</w:t>
            </w:r>
            <w:r>
              <w:rPr>
                <w:rFonts w:ascii="Times New Roman" w:hAnsi="Times New Roman" w:eastAsia="Times New Roman" w:cs="Times New Roman"/>
                <w:spacing w:val="-11"/>
                <w:sz w:val="18"/>
                <w:szCs w:val="18"/>
              </w:rPr>
              <w:t xml:space="preserve"> </w:t>
            </w:r>
            <w:r>
              <w:rPr>
                <w:spacing w:val="-3"/>
                <w:sz w:val="18"/>
                <w:szCs w:val="18"/>
              </w:rPr>
              <w:t>，排放高度</w:t>
            </w:r>
            <w:r>
              <w:rPr>
                <w:spacing w:val="-41"/>
                <w:sz w:val="18"/>
                <w:szCs w:val="18"/>
              </w:rPr>
              <w:t xml:space="preserve"> </w:t>
            </w:r>
            <w:r>
              <w:rPr>
                <w:rFonts w:ascii="Times New Roman" w:hAnsi="Times New Roman" w:eastAsia="Times New Roman" w:cs="Times New Roman"/>
                <w:spacing w:val="-3"/>
                <w:sz w:val="18"/>
                <w:szCs w:val="18"/>
              </w:rPr>
              <w:t>21.5m</w:t>
            </w:r>
          </w:p>
        </w:tc>
      </w:tr>
      <w:tr w14:paraId="5A47FD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808" w:type="dxa"/>
            <w:vMerge w:val="continue"/>
            <w:tcBorders>
              <w:top w:val="nil"/>
              <w:left w:val="nil"/>
            </w:tcBorders>
            <w:vAlign w:val="top"/>
          </w:tcPr>
          <w:p w14:paraId="7609656A">
            <w:pPr>
              <w:rPr>
                <w:rFonts w:ascii="Arial"/>
                <w:sz w:val="21"/>
              </w:rPr>
            </w:pPr>
          </w:p>
        </w:tc>
        <w:tc>
          <w:tcPr>
            <w:tcW w:w="2010" w:type="dxa"/>
            <w:vMerge w:val="continue"/>
            <w:tcBorders>
              <w:top w:val="nil"/>
            </w:tcBorders>
            <w:vAlign w:val="top"/>
          </w:tcPr>
          <w:p w14:paraId="465A4993">
            <w:pPr>
              <w:rPr>
                <w:rFonts w:ascii="Arial"/>
                <w:sz w:val="21"/>
              </w:rPr>
            </w:pPr>
          </w:p>
        </w:tc>
        <w:tc>
          <w:tcPr>
            <w:tcW w:w="1080" w:type="dxa"/>
            <w:vMerge w:val="continue"/>
            <w:tcBorders>
              <w:top w:val="nil"/>
            </w:tcBorders>
            <w:vAlign w:val="top"/>
          </w:tcPr>
          <w:p w14:paraId="2043EAC2">
            <w:pPr>
              <w:rPr>
                <w:rFonts w:ascii="Arial"/>
                <w:sz w:val="21"/>
              </w:rPr>
            </w:pPr>
          </w:p>
        </w:tc>
        <w:tc>
          <w:tcPr>
            <w:tcW w:w="730" w:type="dxa"/>
            <w:vMerge w:val="continue"/>
            <w:tcBorders>
              <w:top w:val="nil"/>
            </w:tcBorders>
            <w:vAlign w:val="top"/>
          </w:tcPr>
          <w:p w14:paraId="223A1143">
            <w:pPr>
              <w:rPr>
                <w:rFonts w:ascii="Arial"/>
                <w:sz w:val="21"/>
              </w:rPr>
            </w:pPr>
          </w:p>
        </w:tc>
        <w:tc>
          <w:tcPr>
            <w:tcW w:w="1412" w:type="dxa"/>
            <w:vMerge w:val="continue"/>
            <w:tcBorders>
              <w:top w:val="nil"/>
            </w:tcBorders>
            <w:vAlign w:val="top"/>
          </w:tcPr>
          <w:p w14:paraId="15E41042">
            <w:pPr>
              <w:rPr>
                <w:rFonts w:ascii="Arial"/>
                <w:sz w:val="21"/>
              </w:rPr>
            </w:pPr>
          </w:p>
        </w:tc>
        <w:tc>
          <w:tcPr>
            <w:tcW w:w="1209" w:type="dxa"/>
            <w:vMerge w:val="continue"/>
            <w:tcBorders>
              <w:top w:val="nil"/>
            </w:tcBorders>
            <w:vAlign w:val="top"/>
          </w:tcPr>
          <w:p w14:paraId="265FFDCE">
            <w:pPr>
              <w:rPr>
                <w:rFonts w:ascii="Arial"/>
                <w:sz w:val="21"/>
              </w:rPr>
            </w:pPr>
          </w:p>
        </w:tc>
        <w:tc>
          <w:tcPr>
            <w:tcW w:w="1740" w:type="dxa"/>
            <w:vAlign w:val="top"/>
          </w:tcPr>
          <w:p w14:paraId="5930AEF1">
            <w:pPr>
              <w:pStyle w:val="6"/>
              <w:spacing w:before="99" w:line="221" w:lineRule="auto"/>
              <w:ind w:left="334"/>
              <w:rPr>
                <w:sz w:val="18"/>
                <w:szCs w:val="18"/>
              </w:rPr>
            </w:pPr>
            <w:r>
              <w:rPr>
                <w:spacing w:val="-2"/>
                <w:sz w:val="18"/>
                <w:szCs w:val="18"/>
              </w:rPr>
              <w:t>锰及其化合物</w:t>
            </w:r>
          </w:p>
        </w:tc>
        <w:tc>
          <w:tcPr>
            <w:tcW w:w="989" w:type="dxa"/>
            <w:vAlign w:val="top"/>
          </w:tcPr>
          <w:p w14:paraId="0BCC40B6">
            <w:pPr>
              <w:spacing w:before="127"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vAlign w:val="top"/>
          </w:tcPr>
          <w:p w14:paraId="1E6CF81E">
            <w:pPr>
              <w:spacing w:before="130"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0.15</w:t>
            </w:r>
          </w:p>
        </w:tc>
        <w:tc>
          <w:tcPr>
            <w:tcW w:w="1131" w:type="dxa"/>
            <w:vAlign w:val="top"/>
          </w:tcPr>
          <w:p w14:paraId="33560BD9">
            <w:pPr>
              <w:spacing w:before="130" w:line="188" w:lineRule="auto"/>
              <w:ind w:left="425"/>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1.23</w:t>
            </w:r>
          </w:p>
        </w:tc>
        <w:tc>
          <w:tcPr>
            <w:tcW w:w="1313" w:type="dxa"/>
            <w:vMerge w:val="continue"/>
            <w:tcBorders>
              <w:top w:val="nil"/>
            </w:tcBorders>
            <w:vAlign w:val="top"/>
          </w:tcPr>
          <w:p w14:paraId="7D494A75">
            <w:pPr>
              <w:rPr>
                <w:rFonts w:ascii="Arial"/>
                <w:sz w:val="21"/>
              </w:rPr>
            </w:pPr>
          </w:p>
        </w:tc>
        <w:tc>
          <w:tcPr>
            <w:tcW w:w="1058" w:type="dxa"/>
            <w:vMerge w:val="continue"/>
            <w:tcBorders>
              <w:top w:val="nil"/>
            </w:tcBorders>
            <w:vAlign w:val="top"/>
          </w:tcPr>
          <w:p w14:paraId="7F5F02C1">
            <w:pPr>
              <w:rPr>
                <w:rFonts w:ascii="Arial"/>
                <w:sz w:val="21"/>
              </w:rPr>
            </w:pPr>
          </w:p>
        </w:tc>
        <w:tc>
          <w:tcPr>
            <w:tcW w:w="980" w:type="dxa"/>
            <w:vAlign w:val="top"/>
          </w:tcPr>
          <w:p w14:paraId="6218B791">
            <w:pPr>
              <w:spacing w:before="127"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0BCF4A6F">
            <w:pPr>
              <w:spacing w:before="130"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0.15</w:t>
            </w:r>
          </w:p>
        </w:tc>
        <w:tc>
          <w:tcPr>
            <w:tcW w:w="661" w:type="dxa"/>
            <w:vMerge w:val="continue"/>
            <w:tcBorders>
              <w:top w:val="nil"/>
            </w:tcBorders>
            <w:vAlign w:val="top"/>
          </w:tcPr>
          <w:p w14:paraId="760B3C22">
            <w:pPr>
              <w:rPr>
                <w:rFonts w:ascii="Arial"/>
                <w:sz w:val="21"/>
              </w:rPr>
            </w:pPr>
          </w:p>
        </w:tc>
        <w:tc>
          <w:tcPr>
            <w:tcW w:w="1036" w:type="dxa"/>
            <w:vAlign w:val="top"/>
          </w:tcPr>
          <w:p w14:paraId="763CD02F">
            <w:pPr>
              <w:spacing w:before="130" w:line="188" w:lineRule="auto"/>
              <w:ind w:left="379"/>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1.23</w:t>
            </w:r>
          </w:p>
        </w:tc>
        <w:tc>
          <w:tcPr>
            <w:tcW w:w="3446" w:type="dxa"/>
            <w:gridSpan w:val="4"/>
            <w:vMerge w:val="continue"/>
            <w:tcBorders>
              <w:top w:val="nil"/>
              <w:right w:val="nil"/>
            </w:tcBorders>
            <w:vAlign w:val="top"/>
          </w:tcPr>
          <w:p w14:paraId="2C4686C5">
            <w:pPr>
              <w:rPr>
                <w:rFonts w:ascii="Arial"/>
                <w:sz w:val="21"/>
              </w:rPr>
            </w:pPr>
          </w:p>
        </w:tc>
      </w:tr>
      <w:tr w14:paraId="5D37A4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808" w:type="dxa"/>
            <w:vMerge w:val="restart"/>
            <w:tcBorders>
              <w:left w:val="nil"/>
              <w:bottom w:val="nil"/>
            </w:tcBorders>
            <w:vAlign w:val="top"/>
          </w:tcPr>
          <w:p w14:paraId="2D8A8C8D">
            <w:pPr>
              <w:spacing w:line="251" w:lineRule="auto"/>
              <w:rPr>
                <w:rFonts w:ascii="Arial"/>
                <w:sz w:val="21"/>
              </w:rPr>
            </w:pPr>
          </w:p>
          <w:p w14:paraId="6E600F3E">
            <w:pPr>
              <w:spacing w:before="52" w:line="192" w:lineRule="auto"/>
              <w:ind w:left="37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10" w:type="dxa"/>
            <w:vMerge w:val="restart"/>
            <w:tcBorders>
              <w:bottom w:val="nil"/>
            </w:tcBorders>
            <w:vAlign w:val="top"/>
          </w:tcPr>
          <w:p w14:paraId="75829A74">
            <w:pPr>
              <w:pStyle w:val="6"/>
              <w:spacing w:before="277" w:line="219" w:lineRule="auto"/>
              <w:ind w:left="378"/>
              <w:rPr>
                <w:sz w:val="18"/>
                <w:szCs w:val="18"/>
              </w:rPr>
            </w:pPr>
            <w:r>
              <w:rPr>
                <w:spacing w:val="-1"/>
                <w:sz w:val="18"/>
                <w:szCs w:val="18"/>
              </w:rPr>
              <w:t>烧结系统无组织</w:t>
            </w:r>
          </w:p>
        </w:tc>
        <w:tc>
          <w:tcPr>
            <w:tcW w:w="1080" w:type="dxa"/>
            <w:vMerge w:val="restart"/>
            <w:tcBorders>
              <w:bottom w:val="nil"/>
            </w:tcBorders>
            <w:vAlign w:val="top"/>
          </w:tcPr>
          <w:p w14:paraId="284BE80D">
            <w:pPr>
              <w:pStyle w:val="6"/>
              <w:spacing w:before="277" w:line="220" w:lineRule="auto"/>
              <w:ind w:left="276"/>
              <w:rPr>
                <w:sz w:val="18"/>
                <w:szCs w:val="18"/>
              </w:rPr>
            </w:pPr>
            <w:r>
              <w:rPr>
                <w:spacing w:val="-3"/>
                <w:sz w:val="18"/>
                <w:szCs w:val="18"/>
              </w:rPr>
              <w:t>无组织</w:t>
            </w:r>
          </w:p>
        </w:tc>
        <w:tc>
          <w:tcPr>
            <w:tcW w:w="730" w:type="dxa"/>
            <w:vMerge w:val="restart"/>
            <w:tcBorders>
              <w:bottom w:val="nil"/>
            </w:tcBorders>
            <w:vAlign w:val="top"/>
          </w:tcPr>
          <w:p w14:paraId="2C23A773">
            <w:pPr>
              <w:pStyle w:val="6"/>
              <w:spacing w:before="277" w:line="220" w:lineRule="auto"/>
              <w:ind w:left="189"/>
              <w:rPr>
                <w:sz w:val="18"/>
                <w:szCs w:val="18"/>
              </w:rPr>
            </w:pPr>
            <w:r>
              <w:rPr>
                <w:spacing w:val="-4"/>
                <w:sz w:val="18"/>
                <w:szCs w:val="18"/>
              </w:rPr>
              <w:t>连续</w:t>
            </w:r>
          </w:p>
        </w:tc>
        <w:tc>
          <w:tcPr>
            <w:tcW w:w="1412" w:type="dxa"/>
            <w:vMerge w:val="restart"/>
            <w:tcBorders>
              <w:bottom w:val="nil"/>
            </w:tcBorders>
            <w:vAlign w:val="top"/>
          </w:tcPr>
          <w:p w14:paraId="7D43720E">
            <w:pPr>
              <w:pStyle w:val="6"/>
              <w:spacing w:before="277" w:line="219" w:lineRule="auto"/>
              <w:ind w:left="259"/>
              <w:rPr>
                <w:sz w:val="18"/>
                <w:szCs w:val="18"/>
              </w:rPr>
            </w:pPr>
            <w:r>
              <w:rPr>
                <w:spacing w:val="-2"/>
                <w:sz w:val="18"/>
                <w:szCs w:val="18"/>
              </w:rPr>
              <w:t>产污系数法</w:t>
            </w:r>
          </w:p>
        </w:tc>
        <w:tc>
          <w:tcPr>
            <w:tcW w:w="1209" w:type="dxa"/>
            <w:vMerge w:val="restart"/>
            <w:tcBorders>
              <w:bottom w:val="nil"/>
            </w:tcBorders>
            <w:vAlign w:val="top"/>
          </w:tcPr>
          <w:p w14:paraId="5E6E6203">
            <w:pPr>
              <w:spacing w:line="251" w:lineRule="auto"/>
              <w:rPr>
                <w:rFonts w:ascii="Arial"/>
                <w:sz w:val="21"/>
              </w:rPr>
            </w:pPr>
          </w:p>
          <w:p w14:paraId="2FD9840C">
            <w:pPr>
              <w:spacing w:before="52" w:line="192" w:lineRule="auto"/>
              <w:ind w:left="57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740" w:type="dxa"/>
            <w:vAlign w:val="top"/>
          </w:tcPr>
          <w:p w14:paraId="15CFA0CB">
            <w:pPr>
              <w:pStyle w:val="6"/>
              <w:spacing w:before="102" w:line="220" w:lineRule="auto"/>
              <w:ind w:left="604"/>
              <w:rPr>
                <w:sz w:val="18"/>
                <w:szCs w:val="18"/>
              </w:rPr>
            </w:pPr>
            <w:r>
              <w:rPr>
                <w:spacing w:val="-3"/>
                <w:sz w:val="18"/>
                <w:szCs w:val="18"/>
              </w:rPr>
              <w:t>颗粒物</w:t>
            </w:r>
          </w:p>
        </w:tc>
        <w:tc>
          <w:tcPr>
            <w:tcW w:w="989" w:type="dxa"/>
            <w:vAlign w:val="top"/>
          </w:tcPr>
          <w:p w14:paraId="280C2EFC">
            <w:pPr>
              <w:spacing w:before="130"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vAlign w:val="top"/>
          </w:tcPr>
          <w:p w14:paraId="506EDCCE">
            <w:pPr>
              <w:spacing w:before="133"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0.80</w:t>
            </w:r>
          </w:p>
        </w:tc>
        <w:tc>
          <w:tcPr>
            <w:tcW w:w="1131" w:type="dxa"/>
            <w:vAlign w:val="top"/>
          </w:tcPr>
          <w:p w14:paraId="0C458FED">
            <w:pPr>
              <w:spacing w:before="133" w:line="188" w:lineRule="auto"/>
              <w:ind w:left="41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6.38</w:t>
            </w:r>
          </w:p>
        </w:tc>
        <w:tc>
          <w:tcPr>
            <w:tcW w:w="1313" w:type="dxa"/>
            <w:vMerge w:val="restart"/>
            <w:tcBorders>
              <w:bottom w:val="nil"/>
            </w:tcBorders>
            <w:vAlign w:val="top"/>
          </w:tcPr>
          <w:p w14:paraId="6E88901C">
            <w:pPr>
              <w:pStyle w:val="6"/>
              <w:spacing w:before="277" w:line="219" w:lineRule="auto"/>
              <w:ind w:left="30"/>
              <w:rPr>
                <w:sz w:val="18"/>
                <w:szCs w:val="18"/>
              </w:rPr>
            </w:pPr>
            <w:r>
              <w:rPr>
                <w:spacing w:val="-1"/>
                <w:sz w:val="18"/>
                <w:szCs w:val="18"/>
              </w:rPr>
              <w:t>封闭，喷雾降尘</w:t>
            </w:r>
          </w:p>
        </w:tc>
        <w:tc>
          <w:tcPr>
            <w:tcW w:w="1058" w:type="dxa"/>
            <w:vMerge w:val="restart"/>
            <w:tcBorders>
              <w:bottom w:val="nil"/>
            </w:tcBorders>
            <w:vAlign w:val="top"/>
          </w:tcPr>
          <w:p w14:paraId="1D8DE51D">
            <w:pPr>
              <w:spacing w:line="251" w:lineRule="auto"/>
              <w:rPr>
                <w:rFonts w:ascii="Arial"/>
                <w:sz w:val="21"/>
              </w:rPr>
            </w:pPr>
          </w:p>
          <w:p w14:paraId="347F9B17">
            <w:pPr>
              <w:spacing w:before="52"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15D06CB3">
            <w:pPr>
              <w:spacing w:before="130"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1B9D4FBB">
            <w:pPr>
              <w:spacing w:before="133"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0.80</w:t>
            </w:r>
          </w:p>
        </w:tc>
        <w:tc>
          <w:tcPr>
            <w:tcW w:w="661" w:type="dxa"/>
            <w:vMerge w:val="restart"/>
            <w:tcBorders>
              <w:bottom w:val="nil"/>
            </w:tcBorders>
            <w:vAlign w:val="top"/>
          </w:tcPr>
          <w:p w14:paraId="4186BCD9">
            <w:pPr>
              <w:spacing w:line="255" w:lineRule="auto"/>
              <w:rPr>
                <w:rFonts w:ascii="Arial"/>
                <w:sz w:val="21"/>
              </w:rPr>
            </w:pPr>
          </w:p>
          <w:p w14:paraId="58FAA319">
            <w:pPr>
              <w:spacing w:before="52"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1E844236">
            <w:pPr>
              <w:spacing w:before="133" w:line="188" w:lineRule="auto"/>
              <w:ind w:left="36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6.38</w:t>
            </w:r>
          </w:p>
        </w:tc>
        <w:tc>
          <w:tcPr>
            <w:tcW w:w="3446" w:type="dxa"/>
            <w:gridSpan w:val="4"/>
            <w:vMerge w:val="restart"/>
            <w:tcBorders>
              <w:bottom w:val="nil"/>
              <w:right w:val="nil"/>
            </w:tcBorders>
            <w:vAlign w:val="top"/>
          </w:tcPr>
          <w:p w14:paraId="6898977C">
            <w:pPr>
              <w:pStyle w:val="6"/>
              <w:spacing w:before="277" w:line="219" w:lineRule="auto"/>
              <w:ind w:left="581"/>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165m×160m</w:t>
            </w:r>
            <w:r>
              <w:rPr>
                <w:rFonts w:ascii="Times New Roman" w:hAnsi="Times New Roman" w:eastAsia="Times New Roman" w:cs="Times New Roman"/>
                <w:spacing w:val="-15"/>
                <w:sz w:val="18"/>
                <w:szCs w:val="18"/>
              </w:rPr>
              <w:t xml:space="preserve"> </w:t>
            </w:r>
            <w:r>
              <w:rPr>
                <w:spacing w:val="-3"/>
                <w:sz w:val="18"/>
                <w:szCs w:val="18"/>
              </w:rPr>
              <w:t>，排放高度</w:t>
            </w:r>
            <w:r>
              <w:rPr>
                <w:spacing w:val="-41"/>
                <w:sz w:val="18"/>
                <w:szCs w:val="18"/>
              </w:rPr>
              <w:t xml:space="preserve"> </w:t>
            </w:r>
            <w:r>
              <w:rPr>
                <w:rFonts w:ascii="Times New Roman" w:hAnsi="Times New Roman" w:eastAsia="Times New Roman" w:cs="Times New Roman"/>
                <w:spacing w:val="-3"/>
                <w:sz w:val="18"/>
                <w:szCs w:val="18"/>
              </w:rPr>
              <w:t>28.5m</w:t>
            </w:r>
          </w:p>
        </w:tc>
      </w:tr>
      <w:tr w14:paraId="0A5ABE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808" w:type="dxa"/>
            <w:vMerge w:val="continue"/>
            <w:tcBorders>
              <w:top w:val="nil"/>
              <w:left w:val="nil"/>
            </w:tcBorders>
            <w:vAlign w:val="top"/>
          </w:tcPr>
          <w:p w14:paraId="425B9A69">
            <w:pPr>
              <w:rPr>
                <w:rFonts w:ascii="Arial"/>
                <w:sz w:val="21"/>
              </w:rPr>
            </w:pPr>
          </w:p>
        </w:tc>
        <w:tc>
          <w:tcPr>
            <w:tcW w:w="2010" w:type="dxa"/>
            <w:vMerge w:val="continue"/>
            <w:tcBorders>
              <w:top w:val="nil"/>
            </w:tcBorders>
            <w:vAlign w:val="top"/>
          </w:tcPr>
          <w:p w14:paraId="73CFCC31">
            <w:pPr>
              <w:rPr>
                <w:rFonts w:ascii="Arial"/>
                <w:sz w:val="21"/>
              </w:rPr>
            </w:pPr>
          </w:p>
        </w:tc>
        <w:tc>
          <w:tcPr>
            <w:tcW w:w="1080" w:type="dxa"/>
            <w:vMerge w:val="continue"/>
            <w:tcBorders>
              <w:top w:val="nil"/>
            </w:tcBorders>
            <w:vAlign w:val="top"/>
          </w:tcPr>
          <w:p w14:paraId="12645BB9">
            <w:pPr>
              <w:rPr>
                <w:rFonts w:ascii="Arial"/>
                <w:sz w:val="21"/>
              </w:rPr>
            </w:pPr>
          </w:p>
        </w:tc>
        <w:tc>
          <w:tcPr>
            <w:tcW w:w="730" w:type="dxa"/>
            <w:vMerge w:val="continue"/>
            <w:tcBorders>
              <w:top w:val="nil"/>
            </w:tcBorders>
            <w:vAlign w:val="top"/>
          </w:tcPr>
          <w:p w14:paraId="4EBA13AD">
            <w:pPr>
              <w:rPr>
                <w:rFonts w:ascii="Arial"/>
                <w:sz w:val="21"/>
              </w:rPr>
            </w:pPr>
          </w:p>
        </w:tc>
        <w:tc>
          <w:tcPr>
            <w:tcW w:w="1412" w:type="dxa"/>
            <w:vMerge w:val="continue"/>
            <w:tcBorders>
              <w:top w:val="nil"/>
            </w:tcBorders>
            <w:vAlign w:val="top"/>
          </w:tcPr>
          <w:p w14:paraId="074C13B2">
            <w:pPr>
              <w:rPr>
                <w:rFonts w:ascii="Arial"/>
                <w:sz w:val="21"/>
              </w:rPr>
            </w:pPr>
          </w:p>
        </w:tc>
        <w:tc>
          <w:tcPr>
            <w:tcW w:w="1209" w:type="dxa"/>
            <w:vMerge w:val="continue"/>
            <w:tcBorders>
              <w:top w:val="nil"/>
            </w:tcBorders>
            <w:vAlign w:val="top"/>
          </w:tcPr>
          <w:p w14:paraId="220CFF0D">
            <w:pPr>
              <w:rPr>
                <w:rFonts w:ascii="Arial"/>
                <w:sz w:val="21"/>
              </w:rPr>
            </w:pPr>
          </w:p>
        </w:tc>
        <w:tc>
          <w:tcPr>
            <w:tcW w:w="1740" w:type="dxa"/>
            <w:vAlign w:val="top"/>
          </w:tcPr>
          <w:p w14:paraId="6BE75DCD">
            <w:pPr>
              <w:pStyle w:val="6"/>
              <w:spacing w:before="104" w:line="221" w:lineRule="auto"/>
              <w:ind w:left="334"/>
              <w:rPr>
                <w:sz w:val="18"/>
                <w:szCs w:val="18"/>
              </w:rPr>
            </w:pPr>
            <w:r>
              <w:rPr>
                <w:spacing w:val="-2"/>
                <w:sz w:val="18"/>
                <w:szCs w:val="18"/>
              </w:rPr>
              <w:t>锰及其化合物</w:t>
            </w:r>
          </w:p>
        </w:tc>
        <w:tc>
          <w:tcPr>
            <w:tcW w:w="989" w:type="dxa"/>
            <w:vAlign w:val="top"/>
          </w:tcPr>
          <w:p w14:paraId="32885E32">
            <w:pPr>
              <w:spacing w:before="130"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vAlign w:val="top"/>
          </w:tcPr>
          <w:p w14:paraId="511C7863">
            <w:pPr>
              <w:spacing w:before="133"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0.13</w:t>
            </w:r>
          </w:p>
        </w:tc>
        <w:tc>
          <w:tcPr>
            <w:tcW w:w="1131" w:type="dxa"/>
            <w:vAlign w:val="top"/>
          </w:tcPr>
          <w:p w14:paraId="2D7B127C">
            <w:pPr>
              <w:spacing w:before="133" w:line="188" w:lineRule="auto"/>
              <w:ind w:left="470"/>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1313" w:type="dxa"/>
            <w:vMerge w:val="continue"/>
            <w:tcBorders>
              <w:top w:val="nil"/>
            </w:tcBorders>
            <w:vAlign w:val="top"/>
          </w:tcPr>
          <w:p w14:paraId="599D6F69">
            <w:pPr>
              <w:rPr>
                <w:rFonts w:ascii="Arial"/>
                <w:sz w:val="21"/>
              </w:rPr>
            </w:pPr>
          </w:p>
        </w:tc>
        <w:tc>
          <w:tcPr>
            <w:tcW w:w="1058" w:type="dxa"/>
            <w:vMerge w:val="continue"/>
            <w:tcBorders>
              <w:top w:val="nil"/>
            </w:tcBorders>
            <w:vAlign w:val="top"/>
          </w:tcPr>
          <w:p w14:paraId="2F43B75D">
            <w:pPr>
              <w:rPr>
                <w:rFonts w:ascii="Arial"/>
                <w:sz w:val="21"/>
              </w:rPr>
            </w:pPr>
          </w:p>
        </w:tc>
        <w:tc>
          <w:tcPr>
            <w:tcW w:w="980" w:type="dxa"/>
            <w:vAlign w:val="top"/>
          </w:tcPr>
          <w:p w14:paraId="1F415FF9">
            <w:pPr>
              <w:spacing w:before="130"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3FF85C58">
            <w:pPr>
              <w:spacing w:before="133" w:line="188" w:lineRule="auto"/>
              <w:ind w:left="33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0.13</w:t>
            </w:r>
          </w:p>
        </w:tc>
        <w:tc>
          <w:tcPr>
            <w:tcW w:w="661" w:type="dxa"/>
            <w:vMerge w:val="continue"/>
            <w:tcBorders>
              <w:top w:val="nil"/>
            </w:tcBorders>
            <w:vAlign w:val="top"/>
          </w:tcPr>
          <w:p w14:paraId="17BF8943">
            <w:pPr>
              <w:rPr>
                <w:rFonts w:ascii="Arial"/>
                <w:sz w:val="21"/>
              </w:rPr>
            </w:pPr>
          </w:p>
        </w:tc>
        <w:tc>
          <w:tcPr>
            <w:tcW w:w="1036" w:type="dxa"/>
            <w:vAlign w:val="top"/>
          </w:tcPr>
          <w:p w14:paraId="5BF15ED3">
            <w:pPr>
              <w:spacing w:before="133" w:line="188" w:lineRule="auto"/>
              <w:ind w:left="42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3446" w:type="dxa"/>
            <w:gridSpan w:val="4"/>
            <w:vMerge w:val="continue"/>
            <w:tcBorders>
              <w:top w:val="nil"/>
              <w:right w:val="nil"/>
            </w:tcBorders>
            <w:vAlign w:val="top"/>
          </w:tcPr>
          <w:p w14:paraId="7DF51D02">
            <w:pPr>
              <w:rPr>
                <w:rFonts w:ascii="Arial"/>
                <w:sz w:val="21"/>
              </w:rPr>
            </w:pPr>
          </w:p>
        </w:tc>
      </w:tr>
      <w:tr w14:paraId="0313E9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808" w:type="dxa"/>
            <w:vMerge w:val="restart"/>
            <w:tcBorders>
              <w:left w:val="nil"/>
              <w:bottom w:val="nil"/>
            </w:tcBorders>
            <w:vAlign w:val="top"/>
          </w:tcPr>
          <w:p w14:paraId="6CB4E511">
            <w:pPr>
              <w:spacing w:line="255" w:lineRule="auto"/>
              <w:rPr>
                <w:rFonts w:ascii="Arial"/>
                <w:sz w:val="21"/>
              </w:rPr>
            </w:pPr>
          </w:p>
          <w:p w14:paraId="6A6FBCED">
            <w:pPr>
              <w:spacing w:before="51" w:line="192" w:lineRule="auto"/>
              <w:ind w:left="37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10" w:type="dxa"/>
            <w:vMerge w:val="restart"/>
            <w:tcBorders>
              <w:bottom w:val="nil"/>
            </w:tcBorders>
            <w:vAlign w:val="top"/>
          </w:tcPr>
          <w:p w14:paraId="77F7BA43">
            <w:pPr>
              <w:pStyle w:val="6"/>
              <w:spacing w:before="283" w:line="219" w:lineRule="auto"/>
              <w:ind w:left="40"/>
              <w:rPr>
                <w:sz w:val="18"/>
                <w:szCs w:val="18"/>
              </w:rPr>
            </w:pPr>
            <w:r>
              <w:rPr>
                <w:spacing w:val="-3"/>
                <w:sz w:val="18"/>
                <w:szCs w:val="18"/>
              </w:rPr>
              <w:t>电炉生产区配料站无组织</w:t>
            </w:r>
          </w:p>
        </w:tc>
        <w:tc>
          <w:tcPr>
            <w:tcW w:w="1080" w:type="dxa"/>
            <w:vMerge w:val="restart"/>
            <w:tcBorders>
              <w:bottom w:val="nil"/>
            </w:tcBorders>
            <w:vAlign w:val="top"/>
          </w:tcPr>
          <w:p w14:paraId="540B97AE">
            <w:pPr>
              <w:pStyle w:val="6"/>
              <w:spacing w:before="283" w:line="220" w:lineRule="auto"/>
              <w:ind w:left="276"/>
              <w:rPr>
                <w:sz w:val="18"/>
                <w:szCs w:val="18"/>
              </w:rPr>
            </w:pPr>
            <w:r>
              <w:rPr>
                <w:spacing w:val="-3"/>
                <w:sz w:val="18"/>
                <w:szCs w:val="18"/>
              </w:rPr>
              <w:t>无组织</w:t>
            </w:r>
          </w:p>
        </w:tc>
        <w:tc>
          <w:tcPr>
            <w:tcW w:w="730" w:type="dxa"/>
            <w:vMerge w:val="restart"/>
            <w:tcBorders>
              <w:bottom w:val="nil"/>
            </w:tcBorders>
            <w:vAlign w:val="top"/>
          </w:tcPr>
          <w:p w14:paraId="61CE9489">
            <w:pPr>
              <w:pStyle w:val="6"/>
              <w:spacing w:before="283" w:line="220" w:lineRule="auto"/>
              <w:ind w:left="189"/>
              <w:rPr>
                <w:sz w:val="18"/>
                <w:szCs w:val="18"/>
              </w:rPr>
            </w:pPr>
            <w:r>
              <w:rPr>
                <w:spacing w:val="-4"/>
                <w:sz w:val="18"/>
                <w:szCs w:val="18"/>
              </w:rPr>
              <w:t>连续</w:t>
            </w:r>
          </w:p>
        </w:tc>
        <w:tc>
          <w:tcPr>
            <w:tcW w:w="1412" w:type="dxa"/>
            <w:vMerge w:val="restart"/>
            <w:tcBorders>
              <w:bottom w:val="nil"/>
            </w:tcBorders>
            <w:vAlign w:val="top"/>
          </w:tcPr>
          <w:p w14:paraId="6800B553">
            <w:pPr>
              <w:pStyle w:val="6"/>
              <w:spacing w:before="283" w:line="219" w:lineRule="auto"/>
              <w:ind w:left="259"/>
              <w:rPr>
                <w:sz w:val="18"/>
                <w:szCs w:val="18"/>
              </w:rPr>
            </w:pPr>
            <w:r>
              <w:rPr>
                <w:spacing w:val="-2"/>
                <w:sz w:val="18"/>
                <w:szCs w:val="18"/>
              </w:rPr>
              <w:t>产污系数法</w:t>
            </w:r>
          </w:p>
        </w:tc>
        <w:tc>
          <w:tcPr>
            <w:tcW w:w="1209" w:type="dxa"/>
            <w:vMerge w:val="restart"/>
            <w:tcBorders>
              <w:bottom w:val="nil"/>
            </w:tcBorders>
            <w:vAlign w:val="top"/>
          </w:tcPr>
          <w:p w14:paraId="63F1FFC6">
            <w:pPr>
              <w:spacing w:line="255" w:lineRule="auto"/>
              <w:rPr>
                <w:rFonts w:ascii="Arial"/>
                <w:sz w:val="21"/>
              </w:rPr>
            </w:pPr>
          </w:p>
          <w:p w14:paraId="1E808ACF">
            <w:pPr>
              <w:spacing w:before="51" w:line="192" w:lineRule="auto"/>
              <w:ind w:left="57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740" w:type="dxa"/>
            <w:vAlign w:val="top"/>
          </w:tcPr>
          <w:p w14:paraId="7485E7C6">
            <w:pPr>
              <w:pStyle w:val="6"/>
              <w:spacing w:before="105" w:line="220" w:lineRule="auto"/>
              <w:ind w:left="604"/>
              <w:rPr>
                <w:sz w:val="18"/>
                <w:szCs w:val="18"/>
              </w:rPr>
            </w:pPr>
            <w:r>
              <w:rPr>
                <w:spacing w:val="-3"/>
                <w:sz w:val="18"/>
                <w:szCs w:val="18"/>
              </w:rPr>
              <w:t>颗粒物</w:t>
            </w:r>
          </w:p>
        </w:tc>
        <w:tc>
          <w:tcPr>
            <w:tcW w:w="989" w:type="dxa"/>
            <w:vAlign w:val="top"/>
          </w:tcPr>
          <w:p w14:paraId="64CC8298">
            <w:pPr>
              <w:spacing w:before="133"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vAlign w:val="top"/>
          </w:tcPr>
          <w:p w14:paraId="758D6C3B">
            <w:pPr>
              <w:spacing w:before="136" w:line="188" w:lineRule="auto"/>
              <w:ind w:left="24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3×0.17</w:t>
            </w:r>
          </w:p>
        </w:tc>
        <w:tc>
          <w:tcPr>
            <w:tcW w:w="1131" w:type="dxa"/>
            <w:vAlign w:val="top"/>
          </w:tcPr>
          <w:p w14:paraId="76E4221F">
            <w:pPr>
              <w:spacing w:before="136" w:line="188" w:lineRule="auto"/>
              <w:ind w:left="31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3×1.38</w:t>
            </w:r>
          </w:p>
        </w:tc>
        <w:tc>
          <w:tcPr>
            <w:tcW w:w="1313" w:type="dxa"/>
            <w:vMerge w:val="restart"/>
            <w:tcBorders>
              <w:bottom w:val="nil"/>
            </w:tcBorders>
            <w:vAlign w:val="top"/>
          </w:tcPr>
          <w:p w14:paraId="5A939154">
            <w:pPr>
              <w:pStyle w:val="6"/>
              <w:spacing w:before="283" w:line="219" w:lineRule="auto"/>
              <w:ind w:left="30"/>
              <w:rPr>
                <w:sz w:val="18"/>
                <w:szCs w:val="18"/>
              </w:rPr>
            </w:pPr>
            <w:r>
              <w:rPr>
                <w:spacing w:val="-1"/>
                <w:sz w:val="18"/>
                <w:szCs w:val="18"/>
              </w:rPr>
              <w:t>封闭，喷雾降尘</w:t>
            </w:r>
          </w:p>
        </w:tc>
        <w:tc>
          <w:tcPr>
            <w:tcW w:w="1058" w:type="dxa"/>
            <w:vMerge w:val="restart"/>
            <w:tcBorders>
              <w:bottom w:val="nil"/>
            </w:tcBorders>
            <w:vAlign w:val="top"/>
          </w:tcPr>
          <w:p w14:paraId="56D4F584">
            <w:pPr>
              <w:spacing w:line="255" w:lineRule="auto"/>
              <w:rPr>
                <w:rFonts w:ascii="Arial"/>
                <w:sz w:val="21"/>
              </w:rPr>
            </w:pPr>
          </w:p>
          <w:p w14:paraId="6826CFA9">
            <w:pPr>
              <w:spacing w:before="51"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5F11D504">
            <w:pPr>
              <w:spacing w:before="133"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6B08E642">
            <w:pPr>
              <w:spacing w:before="136" w:line="188" w:lineRule="auto"/>
              <w:ind w:left="24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3×0.17</w:t>
            </w:r>
          </w:p>
        </w:tc>
        <w:tc>
          <w:tcPr>
            <w:tcW w:w="661" w:type="dxa"/>
            <w:vMerge w:val="restart"/>
            <w:tcBorders>
              <w:bottom w:val="nil"/>
            </w:tcBorders>
            <w:vAlign w:val="top"/>
          </w:tcPr>
          <w:p w14:paraId="6C470812">
            <w:pPr>
              <w:spacing w:line="258" w:lineRule="auto"/>
              <w:rPr>
                <w:rFonts w:ascii="Arial"/>
                <w:sz w:val="21"/>
              </w:rPr>
            </w:pPr>
          </w:p>
          <w:p w14:paraId="111499AB">
            <w:pPr>
              <w:spacing w:before="52"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4759EB58">
            <w:pPr>
              <w:spacing w:before="136"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3×1.38</w:t>
            </w:r>
          </w:p>
        </w:tc>
        <w:tc>
          <w:tcPr>
            <w:tcW w:w="3446" w:type="dxa"/>
            <w:gridSpan w:val="4"/>
            <w:vMerge w:val="restart"/>
            <w:tcBorders>
              <w:bottom w:val="nil"/>
              <w:right w:val="nil"/>
            </w:tcBorders>
            <w:vAlign w:val="top"/>
          </w:tcPr>
          <w:p w14:paraId="5BAA56A2">
            <w:pPr>
              <w:pStyle w:val="6"/>
              <w:spacing w:before="283" w:line="219" w:lineRule="auto"/>
              <w:ind w:left="5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3×110m×25m</w:t>
            </w:r>
            <w:r>
              <w:rPr>
                <w:rFonts w:ascii="Times New Roman" w:hAnsi="Times New Roman" w:eastAsia="Times New Roman" w:cs="Times New Roman"/>
                <w:spacing w:val="-22"/>
                <w:sz w:val="18"/>
                <w:szCs w:val="18"/>
              </w:rPr>
              <w:t xml:space="preserve"> </w:t>
            </w:r>
            <w:r>
              <w:rPr>
                <w:spacing w:val="-2"/>
                <w:sz w:val="18"/>
                <w:szCs w:val="18"/>
              </w:rPr>
              <w:t>，排放高度</w:t>
            </w:r>
            <w:r>
              <w:rPr>
                <w:spacing w:val="-41"/>
                <w:sz w:val="18"/>
                <w:szCs w:val="18"/>
              </w:rPr>
              <w:t xml:space="preserve"> </w:t>
            </w:r>
            <w:r>
              <w:rPr>
                <w:rFonts w:ascii="Times New Roman" w:hAnsi="Times New Roman" w:eastAsia="Times New Roman" w:cs="Times New Roman"/>
                <w:spacing w:val="-2"/>
                <w:sz w:val="18"/>
                <w:szCs w:val="18"/>
              </w:rPr>
              <w:t>20m</w:t>
            </w:r>
          </w:p>
        </w:tc>
      </w:tr>
      <w:tr w14:paraId="3F9691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808" w:type="dxa"/>
            <w:vMerge w:val="continue"/>
            <w:tcBorders>
              <w:top w:val="nil"/>
              <w:left w:val="nil"/>
            </w:tcBorders>
            <w:vAlign w:val="top"/>
          </w:tcPr>
          <w:p w14:paraId="73C42F6C">
            <w:pPr>
              <w:rPr>
                <w:rFonts w:ascii="Arial"/>
                <w:sz w:val="21"/>
              </w:rPr>
            </w:pPr>
          </w:p>
        </w:tc>
        <w:tc>
          <w:tcPr>
            <w:tcW w:w="2010" w:type="dxa"/>
            <w:vMerge w:val="continue"/>
            <w:tcBorders>
              <w:top w:val="nil"/>
            </w:tcBorders>
            <w:vAlign w:val="top"/>
          </w:tcPr>
          <w:p w14:paraId="1B9768C1">
            <w:pPr>
              <w:rPr>
                <w:rFonts w:ascii="Arial"/>
                <w:sz w:val="21"/>
              </w:rPr>
            </w:pPr>
          </w:p>
        </w:tc>
        <w:tc>
          <w:tcPr>
            <w:tcW w:w="1080" w:type="dxa"/>
            <w:vMerge w:val="continue"/>
            <w:tcBorders>
              <w:top w:val="nil"/>
            </w:tcBorders>
            <w:vAlign w:val="top"/>
          </w:tcPr>
          <w:p w14:paraId="3192B68E">
            <w:pPr>
              <w:rPr>
                <w:rFonts w:ascii="Arial"/>
                <w:sz w:val="21"/>
              </w:rPr>
            </w:pPr>
          </w:p>
        </w:tc>
        <w:tc>
          <w:tcPr>
            <w:tcW w:w="730" w:type="dxa"/>
            <w:vMerge w:val="continue"/>
            <w:tcBorders>
              <w:top w:val="nil"/>
            </w:tcBorders>
            <w:vAlign w:val="top"/>
          </w:tcPr>
          <w:p w14:paraId="2065CB17">
            <w:pPr>
              <w:rPr>
                <w:rFonts w:ascii="Arial"/>
                <w:sz w:val="21"/>
              </w:rPr>
            </w:pPr>
          </w:p>
        </w:tc>
        <w:tc>
          <w:tcPr>
            <w:tcW w:w="1412" w:type="dxa"/>
            <w:vMerge w:val="continue"/>
            <w:tcBorders>
              <w:top w:val="nil"/>
            </w:tcBorders>
            <w:vAlign w:val="top"/>
          </w:tcPr>
          <w:p w14:paraId="68815FF6">
            <w:pPr>
              <w:rPr>
                <w:rFonts w:ascii="Arial"/>
                <w:sz w:val="21"/>
              </w:rPr>
            </w:pPr>
          </w:p>
        </w:tc>
        <w:tc>
          <w:tcPr>
            <w:tcW w:w="1209" w:type="dxa"/>
            <w:vMerge w:val="continue"/>
            <w:tcBorders>
              <w:top w:val="nil"/>
            </w:tcBorders>
            <w:vAlign w:val="top"/>
          </w:tcPr>
          <w:p w14:paraId="6704BF0A">
            <w:pPr>
              <w:rPr>
                <w:rFonts w:ascii="Arial"/>
                <w:sz w:val="21"/>
              </w:rPr>
            </w:pPr>
          </w:p>
        </w:tc>
        <w:tc>
          <w:tcPr>
            <w:tcW w:w="1740" w:type="dxa"/>
            <w:vAlign w:val="top"/>
          </w:tcPr>
          <w:p w14:paraId="6CBF74F5">
            <w:pPr>
              <w:pStyle w:val="6"/>
              <w:spacing w:before="107" w:line="221" w:lineRule="auto"/>
              <w:ind w:left="334"/>
              <w:rPr>
                <w:sz w:val="18"/>
                <w:szCs w:val="18"/>
              </w:rPr>
            </w:pPr>
            <w:r>
              <w:rPr>
                <w:spacing w:val="-2"/>
                <w:sz w:val="18"/>
                <w:szCs w:val="18"/>
              </w:rPr>
              <w:t>锰及其化合物</w:t>
            </w:r>
          </w:p>
        </w:tc>
        <w:tc>
          <w:tcPr>
            <w:tcW w:w="989" w:type="dxa"/>
            <w:vAlign w:val="top"/>
          </w:tcPr>
          <w:p w14:paraId="35A091BC">
            <w:pPr>
              <w:spacing w:before="136"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vAlign w:val="top"/>
          </w:tcPr>
          <w:p w14:paraId="6762B588">
            <w:pPr>
              <w:spacing w:before="139" w:line="188" w:lineRule="auto"/>
              <w:ind w:left="24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3×0.02</w:t>
            </w:r>
          </w:p>
        </w:tc>
        <w:tc>
          <w:tcPr>
            <w:tcW w:w="1131" w:type="dxa"/>
            <w:vAlign w:val="top"/>
          </w:tcPr>
          <w:p w14:paraId="1B4F9BEE">
            <w:pPr>
              <w:spacing w:before="139" w:line="188" w:lineRule="auto"/>
              <w:ind w:left="315"/>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3×0.</w:t>
            </w:r>
            <w:r>
              <w:rPr>
                <w:rFonts w:ascii="Times New Roman" w:hAnsi="Times New Roman" w:eastAsia="Times New Roman" w:cs="Times New Roman"/>
                <w:spacing w:val="-22"/>
                <w:sz w:val="18"/>
                <w:szCs w:val="18"/>
              </w:rPr>
              <w:t xml:space="preserve"> </w:t>
            </w:r>
            <w:r>
              <w:rPr>
                <w:rFonts w:ascii="Times New Roman" w:hAnsi="Times New Roman" w:eastAsia="Times New Roman" w:cs="Times New Roman"/>
                <w:spacing w:val="-5"/>
                <w:sz w:val="18"/>
                <w:szCs w:val="18"/>
              </w:rPr>
              <w:t>14</w:t>
            </w:r>
          </w:p>
        </w:tc>
        <w:tc>
          <w:tcPr>
            <w:tcW w:w="1313" w:type="dxa"/>
            <w:vMerge w:val="continue"/>
            <w:tcBorders>
              <w:top w:val="nil"/>
            </w:tcBorders>
            <w:vAlign w:val="top"/>
          </w:tcPr>
          <w:p w14:paraId="662EEBE3">
            <w:pPr>
              <w:rPr>
                <w:rFonts w:ascii="Arial"/>
                <w:sz w:val="21"/>
              </w:rPr>
            </w:pPr>
          </w:p>
        </w:tc>
        <w:tc>
          <w:tcPr>
            <w:tcW w:w="1058" w:type="dxa"/>
            <w:vMerge w:val="continue"/>
            <w:tcBorders>
              <w:top w:val="nil"/>
            </w:tcBorders>
            <w:vAlign w:val="top"/>
          </w:tcPr>
          <w:p w14:paraId="22CEB0A2">
            <w:pPr>
              <w:rPr>
                <w:rFonts w:ascii="Arial"/>
                <w:sz w:val="21"/>
              </w:rPr>
            </w:pPr>
          </w:p>
        </w:tc>
        <w:tc>
          <w:tcPr>
            <w:tcW w:w="980" w:type="dxa"/>
            <w:vAlign w:val="top"/>
          </w:tcPr>
          <w:p w14:paraId="3C18603F">
            <w:pPr>
              <w:spacing w:before="136"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63B3BE93">
            <w:pPr>
              <w:spacing w:before="139" w:line="188" w:lineRule="auto"/>
              <w:ind w:left="24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3×0.02</w:t>
            </w:r>
          </w:p>
        </w:tc>
        <w:tc>
          <w:tcPr>
            <w:tcW w:w="661" w:type="dxa"/>
            <w:vMerge w:val="continue"/>
            <w:tcBorders>
              <w:top w:val="nil"/>
            </w:tcBorders>
            <w:vAlign w:val="top"/>
          </w:tcPr>
          <w:p w14:paraId="1263698F">
            <w:pPr>
              <w:rPr>
                <w:rFonts w:ascii="Arial"/>
                <w:sz w:val="21"/>
              </w:rPr>
            </w:pPr>
          </w:p>
        </w:tc>
        <w:tc>
          <w:tcPr>
            <w:tcW w:w="1036" w:type="dxa"/>
            <w:vAlign w:val="top"/>
          </w:tcPr>
          <w:p w14:paraId="2D70AE36">
            <w:pPr>
              <w:spacing w:before="139"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3×0.</w:t>
            </w:r>
            <w:r>
              <w:rPr>
                <w:rFonts w:ascii="Times New Roman" w:hAnsi="Times New Roman" w:eastAsia="Times New Roman" w:cs="Times New Roman"/>
                <w:spacing w:val="-24"/>
                <w:sz w:val="18"/>
                <w:szCs w:val="18"/>
              </w:rPr>
              <w:t xml:space="preserve"> </w:t>
            </w:r>
            <w:r>
              <w:rPr>
                <w:rFonts w:ascii="Times New Roman" w:hAnsi="Times New Roman" w:eastAsia="Times New Roman" w:cs="Times New Roman"/>
                <w:spacing w:val="-5"/>
                <w:sz w:val="18"/>
                <w:szCs w:val="18"/>
              </w:rPr>
              <w:t>14</w:t>
            </w:r>
          </w:p>
        </w:tc>
        <w:tc>
          <w:tcPr>
            <w:tcW w:w="3446" w:type="dxa"/>
            <w:gridSpan w:val="4"/>
            <w:vMerge w:val="continue"/>
            <w:tcBorders>
              <w:top w:val="nil"/>
              <w:right w:val="nil"/>
            </w:tcBorders>
            <w:vAlign w:val="top"/>
          </w:tcPr>
          <w:p w14:paraId="0E6B184E">
            <w:pPr>
              <w:rPr>
                <w:rFonts w:ascii="Arial"/>
                <w:sz w:val="21"/>
              </w:rPr>
            </w:pPr>
          </w:p>
        </w:tc>
      </w:tr>
      <w:tr w14:paraId="0E8E46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808" w:type="dxa"/>
            <w:vMerge w:val="restart"/>
            <w:tcBorders>
              <w:left w:val="nil"/>
              <w:bottom w:val="nil"/>
            </w:tcBorders>
            <w:vAlign w:val="top"/>
          </w:tcPr>
          <w:p w14:paraId="3E32502B">
            <w:pPr>
              <w:spacing w:line="260" w:lineRule="auto"/>
              <w:rPr>
                <w:rFonts w:ascii="Arial"/>
                <w:sz w:val="21"/>
              </w:rPr>
            </w:pPr>
          </w:p>
          <w:p w14:paraId="4E8036D4">
            <w:pPr>
              <w:spacing w:before="52" w:line="192" w:lineRule="auto"/>
              <w:ind w:left="37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10" w:type="dxa"/>
            <w:vMerge w:val="restart"/>
            <w:tcBorders>
              <w:bottom w:val="nil"/>
            </w:tcBorders>
            <w:vAlign w:val="top"/>
          </w:tcPr>
          <w:p w14:paraId="22A1DA45">
            <w:pPr>
              <w:pStyle w:val="6"/>
              <w:spacing w:before="286" w:line="219" w:lineRule="auto"/>
              <w:ind w:left="400"/>
              <w:rPr>
                <w:sz w:val="18"/>
                <w:szCs w:val="18"/>
              </w:rPr>
            </w:pPr>
            <w:r>
              <w:rPr>
                <w:spacing w:val="-5"/>
                <w:sz w:val="18"/>
                <w:szCs w:val="18"/>
              </w:rPr>
              <w:t>电炉车间无组织</w:t>
            </w:r>
          </w:p>
        </w:tc>
        <w:tc>
          <w:tcPr>
            <w:tcW w:w="1080" w:type="dxa"/>
            <w:vMerge w:val="restart"/>
            <w:tcBorders>
              <w:bottom w:val="nil"/>
            </w:tcBorders>
            <w:vAlign w:val="top"/>
          </w:tcPr>
          <w:p w14:paraId="16B150AB">
            <w:pPr>
              <w:pStyle w:val="6"/>
              <w:spacing w:before="286" w:line="220" w:lineRule="auto"/>
              <w:ind w:left="276"/>
              <w:rPr>
                <w:sz w:val="18"/>
                <w:szCs w:val="18"/>
              </w:rPr>
            </w:pPr>
            <w:r>
              <w:rPr>
                <w:spacing w:val="-3"/>
                <w:sz w:val="18"/>
                <w:szCs w:val="18"/>
              </w:rPr>
              <w:t>无组织</w:t>
            </w:r>
          </w:p>
        </w:tc>
        <w:tc>
          <w:tcPr>
            <w:tcW w:w="730" w:type="dxa"/>
            <w:vMerge w:val="restart"/>
            <w:tcBorders>
              <w:bottom w:val="nil"/>
            </w:tcBorders>
            <w:vAlign w:val="top"/>
          </w:tcPr>
          <w:p w14:paraId="35B46C41">
            <w:pPr>
              <w:pStyle w:val="6"/>
              <w:spacing w:before="286" w:line="220" w:lineRule="auto"/>
              <w:ind w:left="189"/>
              <w:rPr>
                <w:sz w:val="18"/>
                <w:szCs w:val="18"/>
              </w:rPr>
            </w:pPr>
            <w:r>
              <w:rPr>
                <w:spacing w:val="-4"/>
                <w:sz w:val="18"/>
                <w:szCs w:val="18"/>
              </w:rPr>
              <w:t>连续</w:t>
            </w:r>
          </w:p>
        </w:tc>
        <w:tc>
          <w:tcPr>
            <w:tcW w:w="1412" w:type="dxa"/>
            <w:vMerge w:val="restart"/>
            <w:tcBorders>
              <w:bottom w:val="nil"/>
            </w:tcBorders>
            <w:vAlign w:val="top"/>
          </w:tcPr>
          <w:p w14:paraId="64CF958D">
            <w:pPr>
              <w:pStyle w:val="6"/>
              <w:spacing w:before="286" w:line="219" w:lineRule="auto"/>
              <w:ind w:left="259"/>
              <w:rPr>
                <w:sz w:val="18"/>
                <w:szCs w:val="18"/>
              </w:rPr>
            </w:pPr>
            <w:r>
              <w:rPr>
                <w:spacing w:val="-2"/>
                <w:sz w:val="18"/>
                <w:szCs w:val="18"/>
              </w:rPr>
              <w:t>产污系数法</w:t>
            </w:r>
          </w:p>
        </w:tc>
        <w:tc>
          <w:tcPr>
            <w:tcW w:w="1209" w:type="dxa"/>
            <w:vMerge w:val="restart"/>
            <w:tcBorders>
              <w:bottom w:val="nil"/>
            </w:tcBorders>
            <w:vAlign w:val="top"/>
          </w:tcPr>
          <w:p w14:paraId="57D0E80D">
            <w:pPr>
              <w:spacing w:line="260" w:lineRule="auto"/>
              <w:rPr>
                <w:rFonts w:ascii="Arial"/>
                <w:sz w:val="21"/>
              </w:rPr>
            </w:pPr>
          </w:p>
          <w:p w14:paraId="68E47B37">
            <w:pPr>
              <w:spacing w:before="52" w:line="192" w:lineRule="auto"/>
              <w:ind w:left="57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740" w:type="dxa"/>
            <w:vAlign w:val="top"/>
          </w:tcPr>
          <w:p w14:paraId="633D4D7B">
            <w:pPr>
              <w:pStyle w:val="6"/>
              <w:spacing w:before="111" w:line="220" w:lineRule="auto"/>
              <w:ind w:left="604"/>
              <w:rPr>
                <w:sz w:val="18"/>
                <w:szCs w:val="18"/>
              </w:rPr>
            </w:pPr>
            <w:r>
              <w:rPr>
                <w:spacing w:val="-3"/>
                <w:sz w:val="18"/>
                <w:szCs w:val="18"/>
              </w:rPr>
              <w:t>颗粒物</w:t>
            </w:r>
          </w:p>
        </w:tc>
        <w:tc>
          <w:tcPr>
            <w:tcW w:w="989" w:type="dxa"/>
            <w:vAlign w:val="top"/>
          </w:tcPr>
          <w:p w14:paraId="3D1DED55">
            <w:pPr>
              <w:spacing w:before="136"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vAlign w:val="top"/>
          </w:tcPr>
          <w:p w14:paraId="39132016">
            <w:pPr>
              <w:spacing w:before="139" w:line="188" w:lineRule="auto"/>
              <w:ind w:left="24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3×0.08</w:t>
            </w:r>
          </w:p>
        </w:tc>
        <w:tc>
          <w:tcPr>
            <w:tcW w:w="1131" w:type="dxa"/>
            <w:vAlign w:val="top"/>
          </w:tcPr>
          <w:p w14:paraId="41EABBA0">
            <w:pPr>
              <w:spacing w:before="139" w:line="188" w:lineRule="auto"/>
              <w:ind w:left="31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3×0.63</w:t>
            </w:r>
          </w:p>
        </w:tc>
        <w:tc>
          <w:tcPr>
            <w:tcW w:w="1313" w:type="dxa"/>
            <w:vMerge w:val="restart"/>
            <w:tcBorders>
              <w:bottom w:val="nil"/>
            </w:tcBorders>
            <w:vAlign w:val="top"/>
          </w:tcPr>
          <w:p w14:paraId="2B44C795">
            <w:pPr>
              <w:pStyle w:val="6"/>
              <w:spacing w:before="286" w:line="219" w:lineRule="auto"/>
              <w:ind w:left="30"/>
              <w:rPr>
                <w:sz w:val="18"/>
                <w:szCs w:val="18"/>
              </w:rPr>
            </w:pPr>
            <w:r>
              <w:rPr>
                <w:spacing w:val="-1"/>
                <w:sz w:val="18"/>
                <w:szCs w:val="18"/>
              </w:rPr>
              <w:t>封闭，喷雾降尘</w:t>
            </w:r>
          </w:p>
        </w:tc>
        <w:tc>
          <w:tcPr>
            <w:tcW w:w="1058" w:type="dxa"/>
            <w:vMerge w:val="restart"/>
            <w:tcBorders>
              <w:bottom w:val="nil"/>
            </w:tcBorders>
            <w:vAlign w:val="top"/>
          </w:tcPr>
          <w:p w14:paraId="471F0419">
            <w:pPr>
              <w:spacing w:line="260" w:lineRule="auto"/>
              <w:rPr>
                <w:rFonts w:ascii="Arial"/>
                <w:sz w:val="21"/>
              </w:rPr>
            </w:pPr>
          </w:p>
          <w:p w14:paraId="1B0C7FB6">
            <w:pPr>
              <w:spacing w:before="52"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3B62B5F4">
            <w:pPr>
              <w:spacing w:before="136"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vAlign w:val="top"/>
          </w:tcPr>
          <w:p w14:paraId="3A3CD044">
            <w:pPr>
              <w:spacing w:before="139" w:line="188" w:lineRule="auto"/>
              <w:ind w:left="24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3×0.08</w:t>
            </w:r>
          </w:p>
        </w:tc>
        <w:tc>
          <w:tcPr>
            <w:tcW w:w="661" w:type="dxa"/>
            <w:vMerge w:val="restart"/>
            <w:tcBorders>
              <w:bottom w:val="nil"/>
            </w:tcBorders>
            <w:vAlign w:val="top"/>
          </w:tcPr>
          <w:p w14:paraId="720412F9">
            <w:pPr>
              <w:spacing w:line="264" w:lineRule="auto"/>
              <w:rPr>
                <w:rFonts w:ascii="Arial"/>
                <w:sz w:val="21"/>
              </w:rPr>
            </w:pPr>
          </w:p>
          <w:p w14:paraId="1C417809">
            <w:pPr>
              <w:spacing w:before="51" w:line="188" w:lineRule="auto"/>
              <w:ind w:left="15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1036" w:type="dxa"/>
            <w:vAlign w:val="top"/>
          </w:tcPr>
          <w:p w14:paraId="7FB7739F">
            <w:pPr>
              <w:spacing w:before="139"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3×0.63</w:t>
            </w:r>
          </w:p>
        </w:tc>
        <w:tc>
          <w:tcPr>
            <w:tcW w:w="3446" w:type="dxa"/>
            <w:gridSpan w:val="4"/>
            <w:vMerge w:val="restart"/>
            <w:tcBorders>
              <w:bottom w:val="nil"/>
              <w:right w:val="nil"/>
            </w:tcBorders>
            <w:vAlign w:val="top"/>
          </w:tcPr>
          <w:p w14:paraId="63375A7E">
            <w:pPr>
              <w:pStyle w:val="6"/>
              <w:spacing w:before="286" w:line="219" w:lineRule="auto"/>
              <w:ind w:left="5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3×137m×93m</w:t>
            </w:r>
            <w:r>
              <w:rPr>
                <w:rFonts w:ascii="Times New Roman" w:hAnsi="Times New Roman" w:eastAsia="Times New Roman" w:cs="Times New Roman"/>
                <w:spacing w:val="-24"/>
                <w:sz w:val="18"/>
                <w:szCs w:val="18"/>
              </w:rPr>
              <w:t xml:space="preserve"> </w:t>
            </w:r>
            <w:r>
              <w:rPr>
                <w:spacing w:val="-2"/>
                <w:sz w:val="18"/>
                <w:szCs w:val="18"/>
              </w:rPr>
              <w:t>，排放高度</w:t>
            </w:r>
            <w:r>
              <w:rPr>
                <w:spacing w:val="-37"/>
                <w:sz w:val="18"/>
                <w:szCs w:val="18"/>
              </w:rPr>
              <w:t xml:space="preserve"> </w:t>
            </w:r>
            <w:r>
              <w:rPr>
                <w:rFonts w:ascii="Times New Roman" w:hAnsi="Times New Roman" w:eastAsia="Times New Roman" w:cs="Times New Roman"/>
                <w:spacing w:val="-2"/>
                <w:sz w:val="18"/>
                <w:szCs w:val="18"/>
              </w:rPr>
              <w:t>30m</w:t>
            </w:r>
          </w:p>
        </w:tc>
      </w:tr>
      <w:tr w14:paraId="669CD3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808" w:type="dxa"/>
            <w:vMerge w:val="continue"/>
            <w:tcBorders>
              <w:top w:val="nil"/>
              <w:left w:val="nil"/>
              <w:bottom w:val="single" w:color="000000" w:sz="10" w:space="0"/>
            </w:tcBorders>
            <w:vAlign w:val="top"/>
          </w:tcPr>
          <w:p w14:paraId="36E0EC61">
            <w:pPr>
              <w:rPr>
                <w:rFonts w:ascii="Arial"/>
                <w:sz w:val="21"/>
              </w:rPr>
            </w:pPr>
          </w:p>
        </w:tc>
        <w:tc>
          <w:tcPr>
            <w:tcW w:w="2010" w:type="dxa"/>
            <w:vMerge w:val="continue"/>
            <w:tcBorders>
              <w:top w:val="nil"/>
              <w:bottom w:val="single" w:color="000000" w:sz="10" w:space="0"/>
            </w:tcBorders>
            <w:vAlign w:val="top"/>
          </w:tcPr>
          <w:p w14:paraId="778DFAC8">
            <w:pPr>
              <w:rPr>
                <w:rFonts w:ascii="Arial"/>
                <w:sz w:val="21"/>
              </w:rPr>
            </w:pPr>
          </w:p>
        </w:tc>
        <w:tc>
          <w:tcPr>
            <w:tcW w:w="1080" w:type="dxa"/>
            <w:vMerge w:val="continue"/>
            <w:tcBorders>
              <w:top w:val="nil"/>
              <w:bottom w:val="single" w:color="000000" w:sz="10" w:space="0"/>
            </w:tcBorders>
            <w:vAlign w:val="top"/>
          </w:tcPr>
          <w:p w14:paraId="50CFD3F2">
            <w:pPr>
              <w:rPr>
                <w:rFonts w:ascii="Arial"/>
                <w:sz w:val="21"/>
              </w:rPr>
            </w:pPr>
          </w:p>
        </w:tc>
        <w:tc>
          <w:tcPr>
            <w:tcW w:w="730" w:type="dxa"/>
            <w:vMerge w:val="continue"/>
            <w:tcBorders>
              <w:top w:val="nil"/>
              <w:bottom w:val="single" w:color="000000" w:sz="10" w:space="0"/>
            </w:tcBorders>
            <w:vAlign w:val="top"/>
          </w:tcPr>
          <w:p w14:paraId="6D7CDA74">
            <w:pPr>
              <w:rPr>
                <w:rFonts w:ascii="Arial"/>
                <w:sz w:val="21"/>
              </w:rPr>
            </w:pPr>
          </w:p>
        </w:tc>
        <w:tc>
          <w:tcPr>
            <w:tcW w:w="1412" w:type="dxa"/>
            <w:vMerge w:val="continue"/>
            <w:tcBorders>
              <w:top w:val="nil"/>
              <w:bottom w:val="single" w:color="000000" w:sz="10" w:space="0"/>
            </w:tcBorders>
            <w:vAlign w:val="top"/>
          </w:tcPr>
          <w:p w14:paraId="52C37DC7">
            <w:pPr>
              <w:rPr>
                <w:rFonts w:ascii="Arial"/>
                <w:sz w:val="21"/>
              </w:rPr>
            </w:pPr>
          </w:p>
        </w:tc>
        <w:tc>
          <w:tcPr>
            <w:tcW w:w="1209" w:type="dxa"/>
            <w:vMerge w:val="continue"/>
            <w:tcBorders>
              <w:top w:val="nil"/>
              <w:bottom w:val="single" w:color="000000" w:sz="10" w:space="0"/>
            </w:tcBorders>
            <w:vAlign w:val="top"/>
          </w:tcPr>
          <w:p w14:paraId="41CD1088">
            <w:pPr>
              <w:rPr>
                <w:rFonts w:ascii="Arial"/>
                <w:sz w:val="21"/>
              </w:rPr>
            </w:pPr>
          </w:p>
        </w:tc>
        <w:tc>
          <w:tcPr>
            <w:tcW w:w="1740" w:type="dxa"/>
            <w:tcBorders>
              <w:bottom w:val="single" w:color="000000" w:sz="10" w:space="0"/>
            </w:tcBorders>
            <w:vAlign w:val="top"/>
          </w:tcPr>
          <w:p w14:paraId="75227AEF">
            <w:pPr>
              <w:pStyle w:val="6"/>
              <w:spacing w:before="111" w:line="221" w:lineRule="auto"/>
              <w:ind w:left="334"/>
              <w:rPr>
                <w:sz w:val="18"/>
                <w:szCs w:val="18"/>
              </w:rPr>
            </w:pPr>
            <w:r>
              <w:rPr>
                <w:spacing w:val="-2"/>
                <w:sz w:val="18"/>
                <w:szCs w:val="18"/>
              </w:rPr>
              <w:t>锰及其化合物</w:t>
            </w:r>
          </w:p>
        </w:tc>
        <w:tc>
          <w:tcPr>
            <w:tcW w:w="989" w:type="dxa"/>
            <w:tcBorders>
              <w:bottom w:val="single" w:color="000000" w:sz="10" w:space="0"/>
            </w:tcBorders>
            <w:vAlign w:val="top"/>
          </w:tcPr>
          <w:p w14:paraId="176FC375">
            <w:pPr>
              <w:spacing w:before="139" w:line="192" w:lineRule="auto"/>
              <w:ind w:left="46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93" w:type="dxa"/>
            <w:tcBorders>
              <w:bottom w:val="single" w:color="000000" w:sz="10" w:space="0"/>
            </w:tcBorders>
            <w:vAlign w:val="top"/>
          </w:tcPr>
          <w:p w14:paraId="1E9FA81D">
            <w:pPr>
              <w:spacing w:before="142" w:line="188" w:lineRule="auto"/>
              <w:ind w:left="24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3×0.02</w:t>
            </w:r>
          </w:p>
        </w:tc>
        <w:tc>
          <w:tcPr>
            <w:tcW w:w="1131" w:type="dxa"/>
            <w:tcBorders>
              <w:bottom w:val="single" w:color="000000" w:sz="10" w:space="0"/>
            </w:tcBorders>
            <w:vAlign w:val="top"/>
          </w:tcPr>
          <w:p w14:paraId="7694C73B">
            <w:pPr>
              <w:spacing w:before="142" w:line="188" w:lineRule="auto"/>
              <w:ind w:left="31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3×0.17</w:t>
            </w:r>
          </w:p>
        </w:tc>
        <w:tc>
          <w:tcPr>
            <w:tcW w:w="1313" w:type="dxa"/>
            <w:vMerge w:val="continue"/>
            <w:tcBorders>
              <w:top w:val="nil"/>
              <w:bottom w:val="single" w:color="000000" w:sz="10" w:space="0"/>
            </w:tcBorders>
            <w:vAlign w:val="top"/>
          </w:tcPr>
          <w:p w14:paraId="1FD5D8BF">
            <w:pPr>
              <w:rPr>
                <w:rFonts w:ascii="Arial"/>
                <w:sz w:val="21"/>
              </w:rPr>
            </w:pPr>
          </w:p>
        </w:tc>
        <w:tc>
          <w:tcPr>
            <w:tcW w:w="1058" w:type="dxa"/>
            <w:vMerge w:val="continue"/>
            <w:tcBorders>
              <w:top w:val="nil"/>
              <w:bottom w:val="single" w:color="000000" w:sz="10" w:space="0"/>
            </w:tcBorders>
            <w:vAlign w:val="top"/>
          </w:tcPr>
          <w:p w14:paraId="1DE2EDD4">
            <w:pPr>
              <w:rPr>
                <w:rFonts w:ascii="Arial"/>
                <w:sz w:val="21"/>
              </w:rPr>
            </w:pPr>
          </w:p>
        </w:tc>
        <w:tc>
          <w:tcPr>
            <w:tcW w:w="980" w:type="dxa"/>
            <w:tcBorders>
              <w:bottom w:val="single" w:color="000000" w:sz="10" w:space="0"/>
            </w:tcBorders>
            <w:vAlign w:val="top"/>
          </w:tcPr>
          <w:p w14:paraId="5CC55336">
            <w:pPr>
              <w:spacing w:before="139" w:line="192" w:lineRule="auto"/>
              <w:ind w:left="46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980" w:type="dxa"/>
            <w:tcBorders>
              <w:bottom w:val="single" w:color="000000" w:sz="10" w:space="0"/>
            </w:tcBorders>
            <w:vAlign w:val="top"/>
          </w:tcPr>
          <w:p w14:paraId="38F4137B">
            <w:pPr>
              <w:spacing w:before="142" w:line="188" w:lineRule="auto"/>
              <w:ind w:left="24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3×0.02</w:t>
            </w:r>
          </w:p>
        </w:tc>
        <w:tc>
          <w:tcPr>
            <w:tcW w:w="661" w:type="dxa"/>
            <w:vMerge w:val="continue"/>
            <w:tcBorders>
              <w:top w:val="nil"/>
              <w:bottom w:val="single" w:color="000000" w:sz="10" w:space="0"/>
            </w:tcBorders>
            <w:vAlign w:val="top"/>
          </w:tcPr>
          <w:p w14:paraId="06FCA55D">
            <w:pPr>
              <w:rPr>
                <w:rFonts w:ascii="Arial"/>
                <w:sz w:val="21"/>
              </w:rPr>
            </w:pPr>
          </w:p>
        </w:tc>
        <w:tc>
          <w:tcPr>
            <w:tcW w:w="1036" w:type="dxa"/>
            <w:tcBorders>
              <w:bottom w:val="single" w:color="000000" w:sz="10" w:space="0"/>
            </w:tcBorders>
            <w:vAlign w:val="top"/>
          </w:tcPr>
          <w:p w14:paraId="4374020E">
            <w:pPr>
              <w:spacing w:before="142"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3×0.17</w:t>
            </w:r>
          </w:p>
        </w:tc>
        <w:tc>
          <w:tcPr>
            <w:tcW w:w="3446" w:type="dxa"/>
            <w:gridSpan w:val="4"/>
            <w:vMerge w:val="continue"/>
            <w:tcBorders>
              <w:top w:val="nil"/>
              <w:bottom w:val="single" w:color="000000" w:sz="10" w:space="0"/>
              <w:right w:val="nil"/>
            </w:tcBorders>
            <w:vAlign w:val="top"/>
          </w:tcPr>
          <w:p w14:paraId="61CFAE93">
            <w:pPr>
              <w:rPr>
                <w:rFonts w:ascii="Arial"/>
                <w:sz w:val="21"/>
              </w:rPr>
            </w:pPr>
          </w:p>
        </w:tc>
      </w:tr>
    </w:tbl>
    <w:p w14:paraId="7AC59074">
      <w:pPr>
        <w:pStyle w:val="2"/>
      </w:pPr>
    </w:p>
    <w:p w14:paraId="11FFFC01">
      <w:pPr>
        <w:sectPr>
          <w:headerReference r:id="rId180" w:type="default"/>
          <w:footerReference r:id="rId181" w:type="default"/>
          <w:pgSz w:w="23814" w:h="16840"/>
          <w:pgMar w:top="400" w:right="1118" w:bottom="1241" w:left="1119" w:header="0" w:footer="1079" w:gutter="0"/>
          <w:cols w:space="720" w:num="1"/>
        </w:sectPr>
      </w:pPr>
    </w:p>
    <w:p w14:paraId="4D313E4D">
      <w:pPr>
        <w:pStyle w:val="2"/>
        <w:spacing w:line="264" w:lineRule="auto"/>
      </w:pPr>
      <w:r>
        <w:pict>
          <v:shape id="_x0000_s1211" o:spid="_x0000_s1211" style="position:absolute;left:0pt;margin-left:0pt;margin-top:0.7pt;height:0.75pt;width:450.75pt;z-index:251869184;mso-width-relative:page;mso-height-relative:page;" fillcolor="#000000" filled="t" stroked="f" coordsize="9015,15" path="m0,0l9014,0,9014,14,0,14,0,0xe">
            <v:path/>
            <v:fill on="t" focussize="0,0"/>
            <v:stroke on="f"/>
            <v:imagedata o:title=""/>
            <o:lock v:ext="edit"/>
          </v:shape>
        </w:pict>
      </w:r>
    </w:p>
    <w:p w14:paraId="035E2292">
      <w:pPr>
        <w:spacing w:before="78" w:line="219" w:lineRule="auto"/>
        <w:ind w:left="4"/>
        <w:outlineLvl w:val="3"/>
        <w:rPr>
          <w:rFonts w:ascii="宋体" w:hAnsi="宋体" w:eastAsia="宋体" w:cs="宋体"/>
          <w:sz w:val="24"/>
          <w:szCs w:val="24"/>
        </w:rPr>
      </w:pPr>
      <w:r>
        <w:fldChar w:fldCharType="begin"/>
      </w:r>
      <w:r>
        <w:instrText xml:space="preserve"> HYPERLINK "2.3.3.2" </w:instrText>
      </w:r>
      <w:r>
        <w:fldChar w:fldCharType="separate"/>
      </w:r>
      <w:r>
        <w:rPr>
          <w:rFonts w:ascii="Times New Roman" w:hAnsi="Times New Roman" w:eastAsia="Times New Roman" w:cs="Times New Roman"/>
          <w:b/>
          <w:bCs/>
          <w:spacing w:val="-2"/>
          <w:sz w:val="24"/>
          <w:szCs w:val="24"/>
        </w:rPr>
        <w:t>2.3.3.2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废水排放分析</w:t>
      </w:r>
    </w:p>
    <w:p w14:paraId="517ACB4A">
      <w:pPr>
        <w:spacing w:before="190" w:line="359" w:lineRule="auto"/>
        <w:ind w:left="7" w:right="61" w:firstLine="541"/>
        <w:jc w:val="both"/>
        <w:rPr>
          <w:rFonts w:ascii="宋体" w:hAnsi="宋体" w:eastAsia="宋体" w:cs="宋体"/>
          <w:sz w:val="24"/>
          <w:szCs w:val="24"/>
        </w:rPr>
      </w:pPr>
      <w:r>
        <w:rPr>
          <w:rFonts w:ascii="宋体" w:hAnsi="宋体" w:eastAsia="宋体" w:cs="宋体"/>
          <w:spacing w:val="-1"/>
          <w:sz w:val="24"/>
          <w:szCs w:val="24"/>
        </w:rPr>
        <w:t>本项目生产、生活废水产生量为</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23.245m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，生产废水全部回用；生活污</w:t>
      </w:r>
      <w:r>
        <w:rPr>
          <w:rFonts w:ascii="宋体" w:hAnsi="宋体" w:eastAsia="宋体" w:cs="宋体"/>
          <w:spacing w:val="-2"/>
          <w:sz w:val="24"/>
          <w:szCs w:val="24"/>
        </w:rPr>
        <w:t>水及化</w:t>
      </w:r>
      <w:r>
        <w:rPr>
          <w:rFonts w:ascii="宋体" w:hAnsi="宋体" w:eastAsia="宋体" w:cs="宋体"/>
          <w:sz w:val="24"/>
          <w:szCs w:val="24"/>
        </w:rPr>
        <w:t xml:space="preserve">  </w:t>
      </w:r>
      <w:r>
        <w:rPr>
          <w:rFonts w:ascii="宋体" w:hAnsi="宋体" w:eastAsia="宋体" w:cs="宋体"/>
          <w:spacing w:val="-3"/>
          <w:sz w:val="24"/>
          <w:szCs w:val="24"/>
        </w:rPr>
        <w:t>验室废水经地埋式一体化污水处理设施处理后，由罐车运至苏尼特右旗赛汉塔拉镇污水</w:t>
      </w:r>
      <w:r>
        <w:rPr>
          <w:rFonts w:ascii="宋体" w:hAnsi="宋体" w:eastAsia="宋体" w:cs="宋体"/>
          <w:spacing w:val="1"/>
          <w:sz w:val="24"/>
          <w:szCs w:val="24"/>
        </w:rPr>
        <w:t xml:space="preserve"> </w:t>
      </w:r>
      <w:r>
        <w:rPr>
          <w:rFonts w:ascii="宋体" w:hAnsi="宋体" w:eastAsia="宋体" w:cs="宋体"/>
          <w:spacing w:val="-2"/>
          <w:sz w:val="24"/>
          <w:szCs w:val="24"/>
        </w:rPr>
        <w:t>处理厂进一步处理，外排水量为</w:t>
      </w:r>
      <w:r>
        <w:rPr>
          <w:rFonts w:ascii="宋体" w:hAnsi="宋体" w:eastAsia="宋体" w:cs="宋体"/>
          <w:spacing w:val="-26"/>
          <w:sz w:val="24"/>
          <w:szCs w:val="24"/>
        </w:rPr>
        <w:t xml:space="preserve"> </w:t>
      </w:r>
      <w:r>
        <w:rPr>
          <w:rFonts w:ascii="Times New Roman" w:hAnsi="Times New Roman" w:eastAsia="Times New Roman" w:cs="Times New Roman"/>
          <w:spacing w:val="-2"/>
          <w:sz w:val="24"/>
          <w:szCs w:val="24"/>
        </w:rPr>
        <w:t>1.445m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。废水产生及排放见表</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2.3-22</w:t>
      </w:r>
      <w:r>
        <w:rPr>
          <w:rFonts w:ascii="宋体" w:hAnsi="宋体" w:eastAsia="宋体" w:cs="宋体"/>
          <w:spacing w:val="-2"/>
          <w:sz w:val="24"/>
          <w:szCs w:val="24"/>
        </w:rPr>
        <w:t>。</w:t>
      </w:r>
    </w:p>
    <w:p w14:paraId="769BC252">
      <w:pPr>
        <w:spacing w:before="46" w:line="221" w:lineRule="auto"/>
        <w:ind w:left="1943"/>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2.3-22        </w:t>
      </w:r>
      <w:r>
        <w:rPr>
          <w:rFonts w:ascii="宋体" w:hAnsi="宋体" w:eastAsia="宋体" w:cs="宋体"/>
          <w:b/>
          <w:bCs/>
          <w:spacing w:val="6"/>
          <w:sz w:val="20"/>
          <w:szCs w:val="20"/>
        </w:rPr>
        <w:t>本项目废水产生情况汇</w:t>
      </w:r>
      <w:r>
        <w:rPr>
          <w:rFonts w:ascii="宋体" w:hAnsi="宋体" w:eastAsia="宋体" w:cs="宋体"/>
          <w:b/>
          <w:bCs/>
          <w:spacing w:val="5"/>
          <w:sz w:val="20"/>
          <w:szCs w:val="20"/>
        </w:rPr>
        <w:t>总表（</w:t>
      </w:r>
      <w:r>
        <w:rPr>
          <w:rFonts w:ascii="Times New Roman" w:hAnsi="Times New Roman" w:eastAsia="Times New Roman" w:cs="Times New Roman"/>
          <w:b/>
          <w:bCs/>
          <w:sz w:val="20"/>
          <w:szCs w:val="20"/>
        </w:rPr>
        <w:t>pH</w:t>
      </w:r>
      <w:r>
        <w:rPr>
          <w:rFonts w:ascii="Times New Roman" w:hAnsi="Times New Roman" w:eastAsia="Times New Roman" w:cs="Times New Roman"/>
          <w:b/>
          <w:bCs/>
          <w:spacing w:val="5"/>
          <w:sz w:val="20"/>
          <w:szCs w:val="20"/>
        </w:rPr>
        <w:t xml:space="preserve"> </w:t>
      </w:r>
      <w:r>
        <w:rPr>
          <w:rFonts w:ascii="宋体" w:hAnsi="宋体" w:eastAsia="宋体" w:cs="宋体"/>
          <w:b/>
          <w:bCs/>
          <w:spacing w:val="5"/>
          <w:sz w:val="20"/>
          <w:szCs w:val="20"/>
        </w:rPr>
        <w:t>无量纲）</w:t>
      </w:r>
    </w:p>
    <w:p w14:paraId="6DC710A3">
      <w:pPr>
        <w:spacing w:line="105" w:lineRule="exact"/>
      </w:pPr>
    </w:p>
    <w:tbl>
      <w:tblPr>
        <w:tblStyle w:val="5"/>
        <w:tblW w:w="9011"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0"/>
        <w:gridCol w:w="1785"/>
        <w:gridCol w:w="921"/>
        <w:gridCol w:w="1113"/>
        <w:gridCol w:w="1031"/>
        <w:gridCol w:w="1001"/>
        <w:gridCol w:w="2410"/>
      </w:tblGrid>
      <w:tr w14:paraId="3C9D68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750" w:type="dxa"/>
            <w:tcBorders>
              <w:top w:val="single" w:color="000000" w:sz="10" w:space="0"/>
              <w:left w:val="nil"/>
            </w:tcBorders>
            <w:vAlign w:val="top"/>
          </w:tcPr>
          <w:p w14:paraId="2B5E64C3">
            <w:pPr>
              <w:pStyle w:val="6"/>
              <w:spacing w:before="218" w:line="228" w:lineRule="auto"/>
              <w:ind w:left="174"/>
              <w:rPr>
                <w:sz w:val="20"/>
                <w:szCs w:val="20"/>
              </w:rPr>
            </w:pPr>
            <w:r>
              <w:rPr>
                <w:spacing w:val="3"/>
                <w:sz w:val="20"/>
                <w:szCs w:val="20"/>
              </w:rPr>
              <w:t>编号</w:t>
            </w:r>
          </w:p>
        </w:tc>
        <w:tc>
          <w:tcPr>
            <w:tcW w:w="1785" w:type="dxa"/>
            <w:tcBorders>
              <w:top w:val="single" w:color="000000" w:sz="10" w:space="0"/>
            </w:tcBorders>
            <w:vAlign w:val="top"/>
          </w:tcPr>
          <w:p w14:paraId="246114D1">
            <w:pPr>
              <w:pStyle w:val="6"/>
              <w:spacing w:before="218" w:line="228" w:lineRule="auto"/>
              <w:ind w:left="583"/>
              <w:rPr>
                <w:sz w:val="20"/>
                <w:szCs w:val="20"/>
              </w:rPr>
            </w:pPr>
            <w:r>
              <w:rPr>
                <w:spacing w:val="6"/>
                <w:sz w:val="20"/>
                <w:szCs w:val="20"/>
              </w:rPr>
              <w:t>污染源</w:t>
            </w:r>
          </w:p>
        </w:tc>
        <w:tc>
          <w:tcPr>
            <w:tcW w:w="921" w:type="dxa"/>
            <w:tcBorders>
              <w:top w:val="single" w:color="000000" w:sz="10" w:space="0"/>
            </w:tcBorders>
            <w:vAlign w:val="top"/>
          </w:tcPr>
          <w:p w14:paraId="4ED50239">
            <w:pPr>
              <w:pStyle w:val="6"/>
              <w:spacing w:before="59" w:line="264" w:lineRule="auto"/>
              <w:ind w:left="69" w:right="71" w:firstLine="80"/>
              <w:rPr>
                <w:sz w:val="20"/>
                <w:szCs w:val="20"/>
              </w:rPr>
            </w:pPr>
            <w:r>
              <w:rPr>
                <w:spacing w:val="7"/>
                <w:sz w:val="20"/>
                <w:szCs w:val="20"/>
              </w:rPr>
              <w:t>废水量</w:t>
            </w:r>
            <w:r>
              <w:rPr>
                <w:sz w:val="20"/>
                <w:szCs w:val="20"/>
              </w:rPr>
              <w:t xml:space="preserve"> </w:t>
            </w:r>
            <w:r>
              <w:rPr>
                <w:spacing w:val="-1"/>
                <w:sz w:val="20"/>
                <w:szCs w:val="20"/>
              </w:rPr>
              <w:t>（</w:t>
            </w:r>
            <w:r>
              <w:rPr>
                <w:rFonts w:ascii="Times New Roman" w:hAnsi="Times New Roman" w:eastAsia="Times New Roman" w:cs="Times New Roman"/>
                <w:spacing w:val="-1"/>
                <w:sz w:val="20"/>
                <w:szCs w:val="20"/>
              </w:rPr>
              <w:t>m</w:t>
            </w:r>
            <w:r>
              <w:rPr>
                <w:rFonts w:ascii="Times New Roman" w:hAnsi="Times New Roman" w:eastAsia="Times New Roman" w:cs="Times New Roman"/>
                <w:spacing w:val="-1"/>
                <w:position w:val="6"/>
                <w:sz w:val="13"/>
                <w:szCs w:val="13"/>
              </w:rPr>
              <w:t>3</w:t>
            </w:r>
            <w:r>
              <w:rPr>
                <w:rFonts w:ascii="Times New Roman" w:hAnsi="Times New Roman" w:eastAsia="Times New Roman" w:cs="Times New Roman"/>
                <w:spacing w:val="-1"/>
                <w:sz w:val="20"/>
                <w:szCs w:val="20"/>
              </w:rPr>
              <w:t>/h</w:t>
            </w:r>
            <w:r>
              <w:rPr>
                <w:spacing w:val="-1"/>
                <w:sz w:val="20"/>
                <w:szCs w:val="20"/>
              </w:rPr>
              <w:t>）</w:t>
            </w:r>
          </w:p>
        </w:tc>
        <w:tc>
          <w:tcPr>
            <w:tcW w:w="1113" w:type="dxa"/>
            <w:tcBorders>
              <w:top w:val="single" w:color="000000" w:sz="10" w:space="0"/>
            </w:tcBorders>
            <w:vAlign w:val="top"/>
          </w:tcPr>
          <w:p w14:paraId="3BD5C1D8">
            <w:pPr>
              <w:pStyle w:val="6"/>
              <w:spacing w:before="218" w:line="228" w:lineRule="auto"/>
              <w:ind w:left="37"/>
              <w:rPr>
                <w:sz w:val="20"/>
                <w:szCs w:val="20"/>
              </w:rPr>
            </w:pPr>
            <w:r>
              <w:rPr>
                <w:spacing w:val="7"/>
                <w:sz w:val="20"/>
                <w:szCs w:val="20"/>
              </w:rPr>
              <w:t>主要污染物</w:t>
            </w:r>
          </w:p>
        </w:tc>
        <w:tc>
          <w:tcPr>
            <w:tcW w:w="1031" w:type="dxa"/>
            <w:tcBorders>
              <w:top w:val="single" w:color="000000" w:sz="10" w:space="0"/>
            </w:tcBorders>
            <w:vAlign w:val="top"/>
          </w:tcPr>
          <w:p w14:paraId="35E8211E">
            <w:pPr>
              <w:pStyle w:val="6"/>
              <w:spacing w:before="59" w:line="264" w:lineRule="auto"/>
              <w:ind w:left="92" w:right="94" w:firstLine="9"/>
              <w:rPr>
                <w:sz w:val="20"/>
                <w:szCs w:val="20"/>
              </w:rPr>
            </w:pPr>
            <w:r>
              <w:rPr>
                <w:spacing w:val="7"/>
                <w:sz w:val="20"/>
                <w:szCs w:val="20"/>
              </w:rPr>
              <w:t>产生浓度</w:t>
            </w:r>
            <w:r>
              <w:rPr>
                <w:sz w:val="20"/>
                <w:szCs w:val="20"/>
              </w:rPr>
              <w:t xml:space="preserve"> （</w:t>
            </w:r>
            <w:r>
              <w:rPr>
                <w:rFonts w:ascii="Times New Roman" w:hAnsi="Times New Roman" w:eastAsia="Times New Roman" w:cs="Times New Roman"/>
                <w:sz w:val="20"/>
                <w:szCs w:val="20"/>
              </w:rPr>
              <w:t>mg/L</w:t>
            </w:r>
            <w:r>
              <w:rPr>
                <w:sz w:val="20"/>
                <w:szCs w:val="20"/>
              </w:rPr>
              <w:t>）</w:t>
            </w:r>
          </w:p>
        </w:tc>
        <w:tc>
          <w:tcPr>
            <w:tcW w:w="1001" w:type="dxa"/>
            <w:tcBorders>
              <w:top w:val="single" w:color="000000" w:sz="10" w:space="0"/>
            </w:tcBorders>
            <w:vAlign w:val="top"/>
          </w:tcPr>
          <w:p w14:paraId="35FD6B4C">
            <w:pPr>
              <w:pStyle w:val="6"/>
              <w:spacing w:before="59" w:line="264" w:lineRule="auto"/>
              <w:ind w:left="119" w:right="120" w:firstLine="71"/>
              <w:rPr>
                <w:sz w:val="20"/>
                <w:szCs w:val="20"/>
              </w:rPr>
            </w:pPr>
            <w:r>
              <w:rPr>
                <w:spacing w:val="6"/>
                <w:sz w:val="20"/>
                <w:szCs w:val="20"/>
              </w:rPr>
              <w:t>产生量</w:t>
            </w:r>
            <w:r>
              <w:rPr>
                <w:spacing w:val="1"/>
                <w:sz w:val="20"/>
                <w:szCs w:val="20"/>
              </w:rPr>
              <w:t xml:space="preserve"> </w:t>
            </w:r>
            <w:r>
              <w:rPr>
                <w:sz w:val="20"/>
                <w:szCs w:val="20"/>
              </w:rPr>
              <w:t>（</w:t>
            </w:r>
            <w:r>
              <w:rPr>
                <w:rFonts w:ascii="Times New Roman" w:hAnsi="Times New Roman" w:eastAsia="Times New Roman" w:cs="Times New Roman"/>
                <w:sz w:val="20"/>
                <w:szCs w:val="20"/>
              </w:rPr>
              <w:t>kg/h</w:t>
            </w:r>
            <w:r>
              <w:rPr>
                <w:sz w:val="20"/>
                <w:szCs w:val="20"/>
              </w:rPr>
              <w:t>）</w:t>
            </w:r>
          </w:p>
        </w:tc>
        <w:tc>
          <w:tcPr>
            <w:tcW w:w="2410" w:type="dxa"/>
            <w:tcBorders>
              <w:top w:val="single" w:color="000000" w:sz="10" w:space="0"/>
              <w:right w:val="nil"/>
            </w:tcBorders>
            <w:vAlign w:val="top"/>
          </w:tcPr>
          <w:p w14:paraId="56C8A782">
            <w:pPr>
              <w:pStyle w:val="6"/>
              <w:spacing w:before="218" w:line="227" w:lineRule="auto"/>
              <w:ind w:left="371"/>
              <w:rPr>
                <w:sz w:val="20"/>
                <w:szCs w:val="20"/>
              </w:rPr>
            </w:pPr>
            <w:r>
              <w:rPr>
                <w:spacing w:val="8"/>
                <w:sz w:val="20"/>
                <w:szCs w:val="20"/>
              </w:rPr>
              <w:t>拟处置方案及去向</w:t>
            </w:r>
          </w:p>
        </w:tc>
      </w:tr>
      <w:tr w14:paraId="4571E8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2" w:hRule="atLeast"/>
        </w:trPr>
        <w:tc>
          <w:tcPr>
            <w:tcW w:w="750" w:type="dxa"/>
            <w:tcBorders>
              <w:left w:val="nil"/>
            </w:tcBorders>
            <w:vAlign w:val="top"/>
          </w:tcPr>
          <w:p w14:paraId="7823AEF2">
            <w:pPr>
              <w:spacing w:line="350" w:lineRule="auto"/>
              <w:rPr>
                <w:rFonts w:ascii="Arial"/>
                <w:sz w:val="21"/>
              </w:rPr>
            </w:pPr>
          </w:p>
          <w:p w14:paraId="15F4A126">
            <w:pPr>
              <w:spacing w:before="57" w:line="206" w:lineRule="auto"/>
              <w:ind w:left="186"/>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1-</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3"/>
                <w:sz w:val="13"/>
                <w:szCs w:val="13"/>
              </w:rPr>
              <w:t>1</w:t>
            </w:r>
          </w:p>
        </w:tc>
        <w:tc>
          <w:tcPr>
            <w:tcW w:w="1785" w:type="dxa"/>
            <w:vAlign w:val="top"/>
          </w:tcPr>
          <w:p w14:paraId="7423F9E9">
            <w:pPr>
              <w:spacing w:line="303" w:lineRule="auto"/>
              <w:rPr>
                <w:rFonts w:ascii="Arial"/>
                <w:sz w:val="21"/>
              </w:rPr>
            </w:pPr>
          </w:p>
          <w:p w14:paraId="26F74353">
            <w:pPr>
              <w:pStyle w:val="6"/>
              <w:spacing w:before="65" w:line="228" w:lineRule="auto"/>
              <w:ind w:left="477"/>
              <w:rPr>
                <w:sz w:val="20"/>
                <w:szCs w:val="20"/>
              </w:rPr>
            </w:pPr>
            <w:r>
              <w:rPr>
                <w:spacing w:val="7"/>
                <w:sz w:val="20"/>
                <w:szCs w:val="20"/>
              </w:rPr>
              <w:t>脱硫废水</w:t>
            </w:r>
          </w:p>
        </w:tc>
        <w:tc>
          <w:tcPr>
            <w:tcW w:w="921" w:type="dxa"/>
            <w:vAlign w:val="top"/>
          </w:tcPr>
          <w:p w14:paraId="46C52659">
            <w:pPr>
              <w:spacing w:line="346" w:lineRule="auto"/>
              <w:rPr>
                <w:rFonts w:ascii="Arial"/>
                <w:sz w:val="21"/>
              </w:rPr>
            </w:pPr>
          </w:p>
          <w:p w14:paraId="09C39CE9">
            <w:pPr>
              <w:spacing w:before="58" w:line="195" w:lineRule="auto"/>
              <w:ind w:left="2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0.65</w:t>
            </w:r>
          </w:p>
        </w:tc>
        <w:tc>
          <w:tcPr>
            <w:tcW w:w="1113" w:type="dxa"/>
            <w:vAlign w:val="top"/>
          </w:tcPr>
          <w:p w14:paraId="0E22FA23">
            <w:pPr>
              <w:spacing w:before="92" w:line="194" w:lineRule="auto"/>
              <w:ind w:left="426"/>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pH</w:t>
            </w:r>
          </w:p>
          <w:p w14:paraId="30BDB438">
            <w:pPr>
              <w:spacing w:before="128" w:line="195" w:lineRule="auto"/>
              <w:ind w:left="36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TDS</w:t>
            </w:r>
          </w:p>
          <w:p w14:paraId="0B55B2AB">
            <w:pPr>
              <w:spacing w:before="132" w:line="195" w:lineRule="auto"/>
              <w:ind w:left="44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SS</w:t>
            </w:r>
          </w:p>
        </w:tc>
        <w:tc>
          <w:tcPr>
            <w:tcW w:w="1031" w:type="dxa"/>
            <w:vAlign w:val="top"/>
          </w:tcPr>
          <w:p w14:paraId="37B29209">
            <w:pPr>
              <w:spacing w:before="89" w:line="195" w:lineRule="auto"/>
              <w:ind w:left="3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5~6</w:t>
            </w:r>
          </w:p>
          <w:p w14:paraId="400331D4">
            <w:pPr>
              <w:spacing w:before="130" w:line="145" w:lineRule="exact"/>
              <w:ind w:left="360"/>
              <w:rPr>
                <w:rFonts w:ascii="Times New Roman" w:hAnsi="Times New Roman" w:eastAsia="Times New Roman" w:cs="Times New Roman"/>
                <w:sz w:val="20"/>
                <w:szCs w:val="20"/>
              </w:rPr>
            </w:pPr>
            <w:r>
              <w:pict>
                <v:shape id="_x0000_s1212" o:spid="_x0000_s1212" o:spt="202" type="#_x0000_t202" style="position:absolute;left:0pt;margin-left:11.3pt;margin-top:9.15pt;height:7.6pt;width:7.55pt;z-index:251883520;mso-width-relative:page;mso-height-relative:page;" filled="f" stroked="f" coordsize="21600,21600">
                  <v:path/>
                  <v:fill on="f" focussize="0,0"/>
                  <v:stroke on="f"/>
                  <v:imagedata o:title=""/>
                  <o:lock v:ext="edit" aspectratio="f"/>
                  <v:textbox inset="0mm,0mm,0mm,0mm">
                    <w:txbxContent>
                      <w:p w14:paraId="1BA4E3A8">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4"/>
                <w:position w:val="-2"/>
                <w:sz w:val="20"/>
                <w:szCs w:val="20"/>
              </w:rPr>
              <w:t>4500</w:t>
            </w:r>
          </w:p>
          <w:p w14:paraId="0E6FE6DA">
            <w:pPr>
              <w:spacing w:before="173" w:line="146" w:lineRule="exact"/>
              <w:ind w:left="331"/>
              <w:rPr>
                <w:rFonts w:ascii="Times New Roman" w:hAnsi="Times New Roman" w:eastAsia="Times New Roman" w:cs="Times New Roman"/>
                <w:sz w:val="20"/>
                <w:szCs w:val="20"/>
              </w:rPr>
            </w:pPr>
            <w:r>
              <w:pict>
                <v:shape id="_x0000_s1213" o:spid="_x0000_s1213" o:spt="202" type="#_x0000_t202" style="position:absolute;left:0pt;margin-left:8.8pt;margin-top:11.3pt;height:7.6pt;width:7.55pt;z-index:251892736;mso-width-relative:page;mso-height-relative:page;" filled="f" stroked="f" coordsize="21600,21600">
                  <v:path/>
                  <v:fill on="f" focussize="0,0"/>
                  <v:stroke on="f"/>
                  <v:imagedata o:title=""/>
                  <o:lock v:ext="edit" aspectratio="f"/>
                  <v:textbox inset="0mm,0mm,0mm,0mm">
                    <w:txbxContent>
                      <w:p w14:paraId="7300713D">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position w:val="-2"/>
                <w:sz w:val="20"/>
                <w:szCs w:val="20"/>
              </w:rPr>
              <w:t>10000</w:t>
            </w:r>
          </w:p>
        </w:tc>
        <w:tc>
          <w:tcPr>
            <w:tcW w:w="1001" w:type="dxa"/>
            <w:vAlign w:val="top"/>
          </w:tcPr>
          <w:p w14:paraId="7673BD16">
            <w:pPr>
              <w:spacing w:before="91" w:line="296" w:lineRule="auto"/>
              <w:ind w:left="266" w:right="261" w:firstLine="7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5~6</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3"/>
                <w:sz w:val="20"/>
                <w:szCs w:val="20"/>
              </w:rPr>
              <w:t>2.925</w:t>
            </w:r>
            <w:r>
              <w:rPr>
                <w:rFonts w:ascii="Times New Roman" w:hAnsi="Times New Roman" w:eastAsia="Times New Roman" w:cs="Times New Roman"/>
                <w:spacing w:val="1"/>
                <w:sz w:val="20"/>
                <w:szCs w:val="20"/>
              </w:rPr>
              <w:t xml:space="preserve"> </w:t>
            </w:r>
            <w:r>
              <w:rPr>
                <w:rFonts w:ascii="Times New Roman" w:hAnsi="Times New Roman" w:eastAsia="Times New Roman" w:cs="Times New Roman"/>
                <w:spacing w:val="16"/>
                <w:sz w:val="20"/>
                <w:szCs w:val="20"/>
              </w:rPr>
              <w:t>6.50</w:t>
            </w:r>
          </w:p>
        </w:tc>
        <w:tc>
          <w:tcPr>
            <w:tcW w:w="2410" w:type="dxa"/>
            <w:tcBorders>
              <w:right w:val="nil"/>
            </w:tcBorders>
            <w:vAlign w:val="top"/>
          </w:tcPr>
          <w:p w14:paraId="79707EF5">
            <w:pPr>
              <w:pStyle w:val="6"/>
              <w:spacing w:before="212" w:line="280" w:lineRule="auto"/>
              <w:ind w:left="584" w:right="49" w:hanging="528"/>
              <w:rPr>
                <w:sz w:val="20"/>
                <w:szCs w:val="20"/>
              </w:rPr>
            </w:pPr>
            <w:r>
              <w:rPr>
                <w:spacing w:val="9"/>
                <w:sz w:val="20"/>
                <w:szCs w:val="20"/>
              </w:rPr>
              <w:t>三联箱处理后用作浊循环</w:t>
            </w:r>
            <w:r>
              <w:rPr>
                <w:sz w:val="20"/>
                <w:szCs w:val="20"/>
              </w:rPr>
              <w:t xml:space="preserve"> </w:t>
            </w:r>
            <w:r>
              <w:rPr>
                <w:spacing w:val="7"/>
                <w:sz w:val="20"/>
                <w:szCs w:val="20"/>
              </w:rPr>
              <w:t>水系统补充水</w:t>
            </w:r>
          </w:p>
        </w:tc>
      </w:tr>
      <w:tr w14:paraId="07628F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86" w:hRule="atLeast"/>
        </w:trPr>
        <w:tc>
          <w:tcPr>
            <w:tcW w:w="750" w:type="dxa"/>
            <w:tcBorders>
              <w:left w:val="nil"/>
            </w:tcBorders>
            <w:vAlign w:val="top"/>
          </w:tcPr>
          <w:p w14:paraId="762D8097">
            <w:pPr>
              <w:spacing w:line="334" w:lineRule="auto"/>
              <w:rPr>
                <w:rFonts w:ascii="Arial"/>
                <w:sz w:val="21"/>
              </w:rPr>
            </w:pPr>
          </w:p>
          <w:p w14:paraId="70BFDB1F">
            <w:pPr>
              <w:spacing w:line="334" w:lineRule="auto"/>
              <w:rPr>
                <w:rFonts w:ascii="Arial"/>
                <w:sz w:val="21"/>
              </w:rPr>
            </w:pPr>
          </w:p>
          <w:p w14:paraId="1459ADC7">
            <w:pPr>
              <w:spacing w:before="57" w:line="206" w:lineRule="auto"/>
              <w:ind w:left="186"/>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1-2</w:t>
            </w:r>
          </w:p>
        </w:tc>
        <w:tc>
          <w:tcPr>
            <w:tcW w:w="1785" w:type="dxa"/>
            <w:vAlign w:val="top"/>
          </w:tcPr>
          <w:p w14:paraId="38CAD350">
            <w:pPr>
              <w:spacing w:line="310" w:lineRule="auto"/>
              <w:rPr>
                <w:rFonts w:ascii="Arial"/>
                <w:sz w:val="21"/>
              </w:rPr>
            </w:pPr>
          </w:p>
          <w:p w14:paraId="612F5EB2">
            <w:pPr>
              <w:spacing w:line="311" w:lineRule="auto"/>
              <w:rPr>
                <w:rFonts w:ascii="Arial"/>
                <w:sz w:val="21"/>
              </w:rPr>
            </w:pPr>
          </w:p>
          <w:p w14:paraId="36141606">
            <w:pPr>
              <w:pStyle w:val="6"/>
              <w:spacing w:before="65" w:line="228" w:lineRule="auto"/>
              <w:ind w:left="268"/>
              <w:rPr>
                <w:sz w:val="20"/>
                <w:szCs w:val="20"/>
              </w:rPr>
            </w:pPr>
            <w:r>
              <w:rPr>
                <w:spacing w:val="8"/>
                <w:sz w:val="20"/>
                <w:szCs w:val="20"/>
              </w:rPr>
              <w:t>煤气冷凝废水</w:t>
            </w:r>
          </w:p>
        </w:tc>
        <w:tc>
          <w:tcPr>
            <w:tcW w:w="921" w:type="dxa"/>
            <w:vAlign w:val="top"/>
          </w:tcPr>
          <w:p w14:paraId="5ECD580E">
            <w:pPr>
              <w:spacing w:line="332" w:lineRule="auto"/>
              <w:rPr>
                <w:rFonts w:ascii="Arial"/>
                <w:sz w:val="21"/>
              </w:rPr>
            </w:pPr>
          </w:p>
          <w:p w14:paraId="2EE79BAA">
            <w:pPr>
              <w:spacing w:line="332" w:lineRule="auto"/>
              <w:rPr>
                <w:rFonts w:ascii="Arial"/>
                <w:sz w:val="21"/>
              </w:rPr>
            </w:pPr>
          </w:p>
          <w:p w14:paraId="2B112AAC">
            <w:pPr>
              <w:spacing w:before="58" w:line="195" w:lineRule="auto"/>
              <w:ind w:left="2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w:t>
            </w:r>
          </w:p>
        </w:tc>
        <w:tc>
          <w:tcPr>
            <w:tcW w:w="1113" w:type="dxa"/>
            <w:vAlign w:val="top"/>
          </w:tcPr>
          <w:p w14:paraId="260BAB67">
            <w:pPr>
              <w:spacing w:before="93" w:line="316" w:lineRule="auto"/>
              <w:ind w:left="287" w:right="279" w:firstLine="138"/>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pH</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3"/>
                <w:sz w:val="20"/>
                <w:szCs w:val="20"/>
              </w:rPr>
              <w:t>COD</w:t>
            </w:r>
            <w:r>
              <w:rPr>
                <w:rFonts w:ascii="Times New Roman" w:hAnsi="Times New Roman" w:eastAsia="Times New Roman" w:cs="Times New Roman"/>
                <w:spacing w:val="3"/>
                <w:position w:val="-1"/>
                <w:sz w:val="13"/>
                <w:szCs w:val="13"/>
              </w:rPr>
              <w:t>cr</w:t>
            </w:r>
            <w:r>
              <w:rPr>
                <w:rFonts w:ascii="Times New Roman" w:hAnsi="Times New Roman" w:eastAsia="Times New Roman" w:cs="Times New Roman"/>
                <w:spacing w:val="1"/>
                <w:position w:val="-1"/>
                <w:sz w:val="13"/>
                <w:szCs w:val="13"/>
              </w:rPr>
              <w:t xml:space="preserve"> </w:t>
            </w:r>
            <w:r>
              <w:rPr>
                <w:rFonts w:ascii="Times New Roman" w:hAnsi="Times New Roman" w:eastAsia="Times New Roman" w:cs="Times New Roman"/>
                <w:spacing w:val="8"/>
                <w:sz w:val="20"/>
                <w:szCs w:val="20"/>
              </w:rPr>
              <w:t>BOD</w:t>
            </w:r>
            <w:r>
              <w:rPr>
                <w:rFonts w:ascii="Times New Roman" w:hAnsi="Times New Roman" w:eastAsia="Times New Roman" w:cs="Times New Roman"/>
                <w:spacing w:val="8"/>
                <w:position w:val="-1"/>
                <w:sz w:val="13"/>
                <w:szCs w:val="13"/>
              </w:rPr>
              <w:t>5</w:t>
            </w:r>
          </w:p>
          <w:p w14:paraId="690D0906">
            <w:pPr>
              <w:spacing w:before="43" w:line="195" w:lineRule="auto"/>
              <w:ind w:left="44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SS</w:t>
            </w:r>
          </w:p>
          <w:p w14:paraId="38FA723D">
            <w:pPr>
              <w:pStyle w:val="6"/>
              <w:spacing w:before="93" w:line="228" w:lineRule="auto"/>
              <w:ind w:left="248"/>
              <w:rPr>
                <w:sz w:val="20"/>
                <w:szCs w:val="20"/>
              </w:rPr>
            </w:pPr>
            <w:r>
              <w:rPr>
                <w:spacing w:val="6"/>
                <w:sz w:val="20"/>
                <w:szCs w:val="20"/>
              </w:rPr>
              <w:t>石油类</w:t>
            </w:r>
          </w:p>
        </w:tc>
        <w:tc>
          <w:tcPr>
            <w:tcW w:w="1031" w:type="dxa"/>
            <w:vAlign w:val="top"/>
          </w:tcPr>
          <w:p w14:paraId="55FCB818">
            <w:pPr>
              <w:spacing w:before="90" w:line="195" w:lineRule="auto"/>
              <w:ind w:left="35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6~9</w:t>
            </w:r>
          </w:p>
          <w:p w14:paraId="00BF3523">
            <w:pPr>
              <w:spacing w:before="132" w:line="146" w:lineRule="exact"/>
              <w:ind w:left="434"/>
              <w:rPr>
                <w:rFonts w:ascii="Times New Roman" w:hAnsi="Times New Roman" w:eastAsia="Times New Roman" w:cs="Times New Roman"/>
                <w:sz w:val="20"/>
                <w:szCs w:val="20"/>
              </w:rPr>
            </w:pPr>
            <w:r>
              <w:pict>
                <v:shape id="_x0000_s1214" o:spid="_x0000_s1214" o:spt="202" type="#_x0000_t202" style="position:absolute;left:0pt;margin-left:13.95pt;margin-top:9.25pt;height:7.6pt;width:7.55pt;z-index:251882496;mso-width-relative:page;mso-height-relative:page;" filled="f" stroked="f" coordsize="21600,21600">
                  <v:path/>
                  <v:fill on="f" focussize="0,0"/>
                  <v:stroke on="f"/>
                  <v:imagedata o:title=""/>
                  <o:lock v:ext="edit" aspectratio="f"/>
                  <v:textbox inset="0mm,0mm,0mm,0mm">
                    <w:txbxContent>
                      <w:p w14:paraId="3A0F9CC4">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3"/>
                <w:position w:val="-2"/>
                <w:sz w:val="20"/>
                <w:szCs w:val="20"/>
              </w:rPr>
              <w:t>180</w:t>
            </w:r>
          </w:p>
          <w:p w14:paraId="6A550C9F">
            <w:pPr>
              <w:spacing w:before="171" w:line="146" w:lineRule="exact"/>
              <w:ind w:left="470"/>
              <w:rPr>
                <w:rFonts w:ascii="Times New Roman" w:hAnsi="Times New Roman" w:eastAsia="Times New Roman" w:cs="Times New Roman"/>
                <w:sz w:val="20"/>
                <w:szCs w:val="20"/>
              </w:rPr>
            </w:pPr>
            <w:r>
              <w:pict>
                <v:shape id="_x0000_s1215" o:spid="_x0000_s1215" o:spt="202" type="#_x0000_t202" style="position:absolute;left:0pt;margin-left:16.6pt;margin-top:11.2pt;height:7.6pt;width:7.55pt;z-index:251891712;mso-width-relative:page;mso-height-relative:page;" filled="f" stroked="f" coordsize="21600,21600">
                  <v:path/>
                  <v:fill on="f" focussize="0,0"/>
                  <v:stroke on="f"/>
                  <v:imagedata o:title=""/>
                  <o:lock v:ext="edit" aspectratio="f"/>
                  <v:textbox inset="0mm,0mm,0mm,0mm">
                    <w:txbxContent>
                      <w:p w14:paraId="763621C7">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1"/>
                <w:position w:val="-2"/>
                <w:sz w:val="20"/>
                <w:szCs w:val="20"/>
              </w:rPr>
              <w:t>70</w:t>
            </w:r>
          </w:p>
          <w:p w14:paraId="71309BAA">
            <w:pPr>
              <w:spacing w:before="173" w:line="145" w:lineRule="exact"/>
              <w:ind w:left="434"/>
              <w:rPr>
                <w:rFonts w:ascii="Times New Roman" w:hAnsi="Times New Roman" w:eastAsia="Times New Roman" w:cs="Times New Roman"/>
                <w:sz w:val="20"/>
                <w:szCs w:val="20"/>
              </w:rPr>
            </w:pPr>
            <w:r>
              <w:pict>
                <v:shape id="_x0000_s1216" o:spid="_x0000_s1216" o:spt="202" type="#_x0000_t202" style="position:absolute;left:0pt;margin-left:13.95pt;margin-top:11.3pt;height:7.6pt;width:7.55pt;z-index:251881472;mso-width-relative:page;mso-height-relative:page;" filled="f" stroked="f" coordsize="21600,21600">
                  <v:path/>
                  <v:fill on="f" focussize="0,0"/>
                  <v:stroke on="f"/>
                  <v:imagedata o:title=""/>
                  <o:lock v:ext="edit" aspectratio="f"/>
                  <v:textbox inset="0mm,0mm,0mm,0mm">
                    <w:txbxContent>
                      <w:p w14:paraId="6A03969A">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3"/>
                <w:position w:val="-2"/>
                <w:sz w:val="20"/>
                <w:szCs w:val="20"/>
              </w:rPr>
              <w:t>120</w:t>
            </w:r>
          </w:p>
          <w:p w14:paraId="00DFA26F">
            <w:pPr>
              <w:spacing w:before="171" w:line="145" w:lineRule="exact"/>
              <w:ind w:left="414"/>
              <w:rPr>
                <w:rFonts w:ascii="Times New Roman" w:hAnsi="Times New Roman" w:eastAsia="Times New Roman" w:cs="Times New Roman"/>
                <w:sz w:val="20"/>
                <w:szCs w:val="20"/>
              </w:rPr>
            </w:pPr>
            <w:r>
              <w:pict>
                <v:shape id="_x0000_s1217" o:spid="_x0000_s1217" o:spt="202" type="#_x0000_t202" style="position:absolute;left:0pt;margin-left:13.95pt;margin-top:11.2pt;height:7.6pt;width:7.55pt;z-index:251880448;mso-width-relative:page;mso-height-relative:page;" filled="f" stroked="f" coordsize="21600,21600">
                  <v:path/>
                  <v:fill on="f" focussize="0,0"/>
                  <v:stroke on="f"/>
                  <v:imagedata o:title=""/>
                  <o:lock v:ext="edit" aspectratio="f"/>
                  <v:textbox inset="0mm,0mm,0mm,0mm">
                    <w:txbxContent>
                      <w:p w14:paraId="023E5141">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3"/>
                <w:position w:val="-2"/>
                <w:sz w:val="20"/>
                <w:szCs w:val="20"/>
              </w:rPr>
              <w:t>260</w:t>
            </w:r>
          </w:p>
        </w:tc>
        <w:tc>
          <w:tcPr>
            <w:tcW w:w="1001" w:type="dxa"/>
            <w:vAlign w:val="top"/>
          </w:tcPr>
          <w:p w14:paraId="69C57B65">
            <w:pPr>
              <w:spacing w:before="90" w:line="310" w:lineRule="auto"/>
              <w:ind w:left="214" w:right="211" w:firstLine="12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6~9</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3"/>
                <w:sz w:val="20"/>
                <w:szCs w:val="20"/>
              </w:rPr>
              <w:t>0.0018</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3"/>
                <w:sz w:val="20"/>
                <w:szCs w:val="20"/>
              </w:rPr>
              <w:t>0.0007</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3"/>
                <w:sz w:val="20"/>
                <w:szCs w:val="20"/>
              </w:rPr>
              <w:t>0.0012</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3"/>
                <w:sz w:val="20"/>
                <w:szCs w:val="20"/>
              </w:rPr>
              <w:t>0.0026</w:t>
            </w:r>
          </w:p>
        </w:tc>
        <w:tc>
          <w:tcPr>
            <w:tcW w:w="2410" w:type="dxa"/>
            <w:tcBorders>
              <w:right w:val="nil"/>
            </w:tcBorders>
            <w:vAlign w:val="top"/>
          </w:tcPr>
          <w:p w14:paraId="7B12FF0E">
            <w:pPr>
              <w:spacing w:line="463" w:lineRule="auto"/>
              <w:rPr>
                <w:rFonts w:ascii="Arial"/>
                <w:sz w:val="21"/>
              </w:rPr>
            </w:pPr>
          </w:p>
          <w:p w14:paraId="4BA01F5A">
            <w:pPr>
              <w:pStyle w:val="6"/>
              <w:spacing w:before="65" w:line="280" w:lineRule="auto"/>
              <w:ind w:left="61" w:right="49" w:firstLine="8"/>
              <w:rPr>
                <w:sz w:val="20"/>
                <w:szCs w:val="20"/>
              </w:rPr>
            </w:pPr>
            <w:r>
              <w:rPr>
                <w:spacing w:val="8"/>
                <w:sz w:val="20"/>
                <w:szCs w:val="20"/>
              </w:rPr>
              <w:t>隔油池处理后作为制作矿</w:t>
            </w:r>
            <w:r>
              <w:rPr>
                <w:sz w:val="20"/>
                <w:szCs w:val="20"/>
              </w:rPr>
              <w:t xml:space="preserve"> </w:t>
            </w:r>
            <w:r>
              <w:rPr>
                <w:spacing w:val="8"/>
                <w:sz w:val="20"/>
                <w:szCs w:val="20"/>
              </w:rPr>
              <w:t>热炉开堵眼机堵塞泥用水</w:t>
            </w:r>
          </w:p>
        </w:tc>
      </w:tr>
      <w:tr w14:paraId="426A03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750" w:type="dxa"/>
            <w:tcBorders>
              <w:left w:val="nil"/>
            </w:tcBorders>
            <w:vAlign w:val="top"/>
          </w:tcPr>
          <w:p w14:paraId="6528F789">
            <w:pPr>
              <w:spacing w:before="257" w:line="206" w:lineRule="auto"/>
              <w:ind w:left="186"/>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2-</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3"/>
                <w:sz w:val="13"/>
                <w:szCs w:val="13"/>
              </w:rPr>
              <w:t>1</w:t>
            </w:r>
          </w:p>
        </w:tc>
        <w:tc>
          <w:tcPr>
            <w:tcW w:w="1785" w:type="dxa"/>
            <w:vAlign w:val="top"/>
          </w:tcPr>
          <w:p w14:paraId="027CD11D">
            <w:pPr>
              <w:pStyle w:val="6"/>
              <w:spacing w:before="217" w:line="228" w:lineRule="auto"/>
              <w:ind w:left="268"/>
              <w:rPr>
                <w:sz w:val="20"/>
                <w:szCs w:val="20"/>
              </w:rPr>
            </w:pPr>
            <w:r>
              <w:rPr>
                <w:spacing w:val="8"/>
                <w:sz w:val="20"/>
                <w:szCs w:val="20"/>
              </w:rPr>
              <w:t>化水车间排污</w:t>
            </w:r>
          </w:p>
        </w:tc>
        <w:tc>
          <w:tcPr>
            <w:tcW w:w="921" w:type="dxa"/>
            <w:vAlign w:val="top"/>
          </w:tcPr>
          <w:p w14:paraId="415BEE6C">
            <w:pPr>
              <w:spacing w:before="253"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1.50</w:t>
            </w:r>
          </w:p>
        </w:tc>
        <w:tc>
          <w:tcPr>
            <w:tcW w:w="1113" w:type="dxa"/>
            <w:vAlign w:val="top"/>
          </w:tcPr>
          <w:p w14:paraId="068AE2F4">
            <w:pPr>
              <w:pStyle w:val="6"/>
              <w:spacing w:before="95" w:line="259" w:lineRule="auto"/>
              <w:ind w:left="352" w:right="347" w:firstLine="96"/>
              <w:rPr>
                <w:sz w:val="20"/>
                <w:szCs w:val="20"/>
              </w:rPr>
            </w:pPr>
            <w:r>
              <w:rPr>
                <w:rFonts w:ascii="Times New Roman" w:hAnsi="Times New Roman" w:eastAsia="Times New Roman" w:cs="Times New Roman"/>
                <w:spacing w:val="-3"/>
                <w:sz w:val="20"/>
                <w:szCs w:val="20"/>
              </w:rPr>
              <w:t>SS</w:t>
            </w:r>
            <w:r>
              <w:rPr>
                <w:rFonts w:ascii="Times New Roman" w:hAnsi="Times New Roman" w:eastAsia="Times New Roman" w:cs="Times New Roman"/>
                <w:sz w:val="20"/>
                <w:szCs w:val="20"/>
              </w:rPr>
              <w:t xml:space="preserve">   </w:t>
            </w:r>
            <w:r>
              <w:rPr>
                <w:spacing w:val="3"/>
                <w:sz w:val="20"/>
                <w:szCs w:val="20"/>
              </w:rPr>
              <w:t>盐分</w:t>
            </w:r>
          </w:p>
        </w:tc>
        <w:tc>
          <w:tcPr>
            <w:tcW w:w="1031" w:type="dxa"/>
            <w:vAlign w:val="top"/>
          </w:tcPr>
          <w:p w14:paraId="72D55200">
            <w:pPr>
              <w:spacing w:before="95" w:line="146" w:lineRule="exact"/>
              <w:ind w:left="414"/>
              <w:rPr>
                <w:rFonts w:ascii="Times New Roman" w:hAnsi="Times New Roman" w:eastAsia="Times New Roman" w:cs="Times New Roman"/>
                <w:sz w:val="20"/>
                <w:szCs w:val="20"/>
              </w:rPr>
            </w:pPr>
            <w:r>
              <w:pict>
                <v:shape id="_x0000_s1218" o:spid="_x0000_s1218" o:spt="202" type="#_x0000_t202" style="position:absolute;left:0pt;margin-left:13.95pt;margin-top:7.4pt;height:7.6pt;width:7.55pt;z-index:251879424;mso-width-relative:page;mso-height-relative:page;" filled="f" stroked="f" coordsize="21600,21600">
                  <v:path/>
                  <v:fill on="f" focussize="0,0"/>
                  <v:stroke on="f"/>
                  <v:imagedata o:title=""/>
                  <o:lock v:ext="edit" aspectratio="f"/>
                  <v:textbox inset="0mm,0mm,0mm,0mm">
                    <w:txbxContent>
                      <w:p w14:paraId="6352E38F">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3"/>
                <w:position w:val="-2"/>
                <w:sz w:val="20"/>
                <w:szCs w:val="20"/>
              </w:rPr>
              <w:t>200</w:t>
            </w:r>
          </w:p>
          <w:p w14:paraId="0F1C706A">
            <w:pPr>
              <w:spacing w:before="171" w:line="145" w:lineRule="exact"/>
              <w:ind w:left="361"/>
              <w:rPr>
                <w:rFonts w:ascii="Times New Roman" w:hAnsi="Times New Roman" w:eastAsia="Times New Roman" w:cs="Times New Roman"/>
                <w:sz w:val="20"/>
                <w:szCs w:val="20"/>
              </w:rPr>
            </w:pPr>
            <w:r>
              <w:pict>
                <v:shape id="_x0000_s1219" o:spid="_x0000_s1219" o:spt="202" type="#_x0000_t202" style="position:absolute;left:0pt;margin-left:11.3pt;margin-top:11.2pt;height:7.6pt;width:7.55pt;z-index:251890688;mso-width-relative:page;mso-height-relative:page;" filled="f" stroked="f" coordsize="21600,21600">
                  <v:path/>
                  <v:fill on="f" focussize="0,0"/>
                  <v:stroke on="f"/>
                  <v:imagedata o:title=""/>
                  <o:lock v:ext="edit" aspectratio="f"/>
                  <v:textbox inset="0mm,0mm,0mm,0mm">
                    <w:txbxContent>
                      <w:p w14:paraId="7C52FAC7">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4"/>
                <w:position w:val="-2"/>
                <w:sz w:val="20"/>
                <w:szCs w:val="20"/>
              </w:rPr>
              <w:t>2000</w:t>
            </w:r>
          </w:p>
        </w:tc>
        <w:tc>
          <w:tcPr>
            <w:tcW w:w="1001" w:type="dxa"/>
            <w:vAlign w:val="top"/>
          </w:tcPr>
          <w:p w14:paraId="48B1E426">
            <w:pPr>
              <w:spacing w:before="95" w:line="276" w:lineRule="auto"/>
              <w:ind w:left="373" w:right="314" w:hanging="5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0.30</w:t>
            </w:r>
            <w:r>
              <w:rPr>
                <w:rFonts w:ascii="Times New Roman" w:hAnsi="Times New Roman" w:eastAsia="Times New Roman" w:cs="Times New Roman"/>
                <w:spacing w:val="1"/>
                <w:sz w:val="20"/>
                <w:szCs w:val="20"/>
              </w:rPr>
              <w:t xml:space="preserve"> 3.0</w:t>
            </w:r>
          </w:p>
        </w:tc>
        <w:tc>
          <w:tcPr>
            <w:tcW w:w="2410" w:type="dxa"/>
            <w:tcBorders>
              <w:right w:val="nil"/>
            </w:tcBorders>
            <w:vAlign w:val="top"/>
          </w:tcPr>
          <w:p w14:paraId="4C657AAE">
            <w:pPr>
              <w:pStyle w:val="6"/>
              <w:spacing w:before="217" w:line="228" w:lineRule="auto"/>
              <w:ind w:left="265"/>
              <w:rPr>
                <w:sz w:val="20"/>
                <w:szCs w:val="20"/>
              </w:rPr>
            </w:pPr>
            <w:r>
              <w:rPr>
                <w:spacing w:val="8"/>
                <w:sz w:val="20"/>
                <w:szCs w:val="20"/>
              </w:rPr>
              <w:t>补充到浊循环水系统</w:t>
            </w:r>
          </w:p>
        </w:tc>
      </w:tr>
      <w:tr w14:paraId="4A78D7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750" w:type="dxa"/>
            <w:tcBorders>
              <w:left w:val="nil"/>
            </w:tcBorders>
            <w:vAlign w:val="top"/>
          </w:tcPr>
          <w:p w14:paraId="316551CD">
            <w:pPr>
              <w:spacing w:before="258" w:line="206" w:lineRule="auto"/>
              <w:ind w:left="186"/>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2-2</w:t>
            </w:r>
          </w:p>
        </w:tc>
        <w:tc>
          <w:tcPr>
            <w:tcW w:w="1785" w:type="dxa"/>
            <w:vAlign w:val="top"/>
          </w:tcPr>
          <w:p w14:paraId="1E7066E5">
            <w:pPr>
              <w:pStyle w:val="6"/>
              <w:spacing w:before="220" w:line="228" w:lineRule="auto"/>
              <w:ind w:left="268"/>
              <w:rPr>
                <w:sz w:val="20"/>
                <w:szCs w:val="20"/>
              </w:rPr>
            </w:pPr>
            <w:r>
              <w:rPr>
                <w:spacing w:val="8"/>
                <w:sz w:val="20"/>
                <w:szCs w:val="20"/>
              </w:rPr>
              <w:t>燃气锅炉排污</w:t>
            </w:r>
          </w:p>
        </w:tc>
        <w:tc>
          <w:tcPr>
            <w:tcW w:w="921" w:type="dxa"/>
            <w:vAlign w:val="top"/>
          </w:tcPr>
          <w:p w14:paraId="5F4B328F">
            <w:pPr>
              <w:spacing w:before="255" w:line="195" w:lineRule="auto"/>
              <w:ind w:left="2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3.60</w:t>
            </w:r>
          </w:p>
        </w:tc>
        <w:tc>
          <w:tcPr>
            <w:tcW w:w="1113" w:type="dxa"/>
            <w:vAlign w:val="top"/>
          </w:tcPr>
          <w:p w14:paraId="3C0D4C63">
            <w:pPr>
              <w:pStyle w:val="6"/>
              <w:spacing w:before="97" w:line="258" w:lineRule="auto"/>
              <w:ind w:left="352" w:right="347" w:firstLine="96"/>
              <w:rPr>
                <w:sz w:val="20"/>
                <w:szCs w:val="20"/>
              </w:rPr>
            </w:pPr>
            <w:r>
              <w:rPr>
                <w:rFonts w:ascii="Times New Roman" w:hAnsi="Times New Roman" w:eastAsia="Times New Roman" w:cs="Times New Roman"/>
                <w:spacing w:val="-3"/>
                <w:sz w:val="20"/>
                <w:szCs w:val="20"/>
              </w:rPr>
              <w:t>SS</w:t>
            </w:r>
            <w:r>
              <w:rPr>
                <w:rFonts w:ascii="Times New Roman" w:hAnsi="Times New Roman" w:eastAsia="Times New Roman" w:cs="Times New Roman"/>
                <w:sz w:val="20"/>
                <w:szCs w:val="20"/>
              </w:rPr>
              <w:t xml:space="preserve">   </w:t>
            </w:r>
            <w:r>
              <w:rPr>
                <w:spacing w:val="3"/>
                <w:sz w:val="20"/>
                <w:szCs w:val="20"/>
              </w:rPr>
              <w:t>盐分</w:t>
            </w:r>
          </w:p>
        </w:tc>
        <w:tc>
          <w:tcPr>
            <w:tcW w:w="1031" w:type="dxa"/>
            <w:vAlign w:val="top"/>
          </w:tcPr>
          <w:p w14:paraId="40B1DA93">
            <w:pPr>
              <w:spacing w:before="97" w:line="146" w:lineRule="exact"/>
              <w:ind w:left="473"/>
              <w:rPr>
                <w:rFonts w:ascii="Times New Roman" w:hAnsi="Times New Roman" w:eastAsia="Times New Roman" w:cs="Times New Roman"/>
                <w:sz w:val="20"/>
                <w:szCs w:val="20"/>
              </w:rPr>
            </w:pPr>
            <w:r>
              <w:pict>
                <v:shape id="_x0000_s1220" o:spid="_x0000_s1220" o:spt="202" type="#_x0000_t202" style="position:absolute;left:0pt;margin-left:16.6pt;margin-top:7.5pt;height:7.6pt;width:7.55pt;z-index:251878400;mso-width-relative:page;mso-height-relative:page;" filled="f" stroked="f" coordsize="21600,21600">
                  <v:path/>
                  <v:fill on="f" focussize="0,0"/>
                  <v:stroke on="f"/>
                  <v:imagedata o:title=""/>
                  <o:lock v:ext="edit" aspectratio="f"/>
                  <v:textbox inset="0mm,0mm,0mm,0mm">
                    <w:txbxContent>
                      <w:p w14:paraId="6F56120E">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position w:val="-2"/>
                <w:sz w:val="20"/>
                <w:szCs w:val="20"/>
              </w:rPr>
              <w:t>50</w:t>
            </w:r>
          </w:p>
          <w:p w14:paraId="6FE56CC8">
            <w:pPr>
              <w:spacing w:before="173" w:line="146" w:lineRule="exact"/>
              <w:ind w:left="418"/>
              <w:rPr>
                <w:rFonts w:ascii="Times New Roman" w:hAnsi="Times New Roman" w:eastAsia="Times New Roman" w:cs="Times New Roman"/>
                <w:sz w:val="20"/>
                <w:szCs w:val="20"/>
              </w:rPr>
            </w:pPr>
            <w:r>
              <w:pict>
                <v:shape id="_x0000_s1221" o:spid="_x0000_s1221" o:spt="202" type="#_x0000_t202" style="position:absolute;left:0pt;margin-left:13.95pt;margin-top:11.3pt;height:7.6pt;width:7.55pt;z-index:251889664;mso-width-relative:page;mso-height-relative:page;" filled="f" stroked="f" coordsize="21600,21600">
                  <v:path/>
                  <v:fill on="f" focussize="0,0"/>
                  <v:stroke on="f"/>
                  <v:imagedata o:title=""/>
                  <o:lock v:ext="edit" aspectratio="f"/>
                  <v:textbox inset="0mm,0mm,0mm,0mm">
                    <w:txbxContent>
                      <w:p w14:paraId="1C6AB91F">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2"/>
                <w:position w:val="-2"/>
                <w:sz w:val="20"/>
                <w:szCs w:val="20"/>
              </w:rPr>
              <w:t>300</w:t>
            </w:r>
          </w:p>
        </w:tc>
        <w:tc>
          <w:tcPr>
            <w:tcW w:w="1001" w:type="dxa"/>
            <w:vAlign w:val="top"/>
          </w:tcPr>
          <w:p w14:paraId="681B11A9">
            <w:pPr>
              <w:spacing w:before="96" w:line="275" w:lineRule="auto"/>
              <w:ind w:left="336" w:right="314" w:hanging="1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0.18</w:t>
            </w:r>
            <w:r>
              <w:rPr>
                <w:rFonts w:ascii="Times New Roman" w:hAnsi="Times New Roman" w:eastAsia="Times New Roman" w:cs="Times New Roman"/>
                <w:spacing w:val="1"/>
                <w:sz w:val="20"/>
                <w:szCs w:val="20"/>
              </w:rPr>
              <w:t xml:space="preserve"> </w:t>
            </w:r>
            <w:r>
              <w:rPr>
                <w:rFonts w:ascii="Times New Roman" w:hAnsi="Times New Roman" w:eastAsia="Times New Roman" w:cs="Times New Roman"/>
                <w:spacing w:val="-2"/>
                <w:sz w:val="20"/>
                <w:szCs w:val="20"/>
              </w:rPr>
              <w:t>1.08</w:t>
            </w:r>
          </w:p>
        </w:tc>
        <w:tc>
          <w:tcPr>
            <w:tcW w:w="2410" w:type="dxa"/>
            <w:tcBorders>
              <w:right w:val="nil"/>
            </w:tcBorders>
            <w:vAlign w:val="top"/>
          </w:tcPr>
          <w:p w14:paraId="7A19F98F">
            <w:pPr>
              <w:pStyle w:val="6"/>
              <w:spacing w:before="219" w:line="228" w:lineRule="auto"/>
              <w:ind w:left="265"/>
              <w:rPr>
                <w:sz w:val="20"/>
                <w:szCs w:val="20"/>
              </w:rPr>
            </w:pPr>
            <w:r>
              <w:rPr>
                <w:spacing w:val="8"/>
                <w:sz w:val="20"/>
                <w:szCs w:val="20"/>
              </w:rPr>
              <w:t>补充到浊循环水系统</w:t>
            </w:r>
          </w:p>
        </w:tc>
      </w:tr>
      <w:tr w14:paraId="06322E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750" w:type="dxa"/>
            <w:tcBorders>
              <w:left w:val="nil"/>
            </w:tcBorders>
            <w:vAlign w:val="top"/>
          </w:tcPr>
          <w:p w14:paraId="5A48C3BA">
            <w:pPr>
              <w:spacing w:before="260" w:line="208" w:lineRule="auto"/>
              <w:ind w:left="186"/>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2-3</w:t>
            </w:r>
          </w:p>
        </w:tc>
        <w:tc>
          <w:tcPr>
            <w:tcW w:w="1785" w:type="dxa"/>
            <w:vAlign w:val="top"/>
          </w:tcPr>
          <w:p w14:paraId="2771F308">
            <w:pPr>
              <w:pStyle w:val="6"/>
              <w:spacing w:before="62" w:line="259" w:lineRule="auto"/>
              <w:ind w:left="687" w:right="53" w:hanging="629"/>
              <w:rPr>
                <w:sz w:val="20"/>
                <w:szCs w:val="20"/>
              </w:rPr>
            </w:pPr>
            <w:r>
              <w:rPr>
                <w:spacing w:val="8"/>
                <w:sz w:val="20"/>
                <w:szCs w:val="20"/>
              </w:rPr>
              <w:t>辅机冷却循环水站</w:t>
            </w:r>
            <w:r>
              <w:rPr>
                <w:spacing w:val="2"/>
                <w:sz w:val="20"/>
                <w:szCs w:val="20"/>
              </w:rPr>
              <w:t xml:space="preserve"> </w:t>
            </w:r>
            <w:r>
              <w:rPr>
                <w:spacing w:val="4"/>
                <w:sz w:val="20"/>
                <w:szCs w:val="20"/>
              </w:rPr>
              <w:t>排污</w:t>
            </w:r>
          </w:p>
        </w:tc>
        <w:tc>
          <w:tcPr>
            <w:tcW w:w="921" w:type="dxa"/>
            <w:vAlign w:val="top"/>
          </w:tcPr>
          <w:p w14:paraId="0BE5E1CC">
            <w:pPr>
              <w:spacing w:before="257" w:line="195" w:lineRule="auto"/>
              <w:ind w:left="2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2.40</w:t>
            </w:r>
          </w:p>
        </w:tc>
        <w:tc>
          <w:tcPr>
            <w:tcW w:w="1113" w:type="dxa"/>
            <w:vAlign w:val="top"/>
          </w:tcPr>
          <w:p w14:paraId="5463094B">
            <w:pPr>
              <w:pStyle w:val="6"/>
              <w:spacing w:before="99" w:line="257" w:lineRule="auto"/>
              <w:ind w:left="352" w:right="347" w:firstLine="96"/>
              <w:rPr>
                <w:sz w:val="20"/>
                <w:szCs w:val="20"/>
              </w:rPr>
            </w:pPr>
            <w:r>
              <w:rPr>
                <w:rFonts w:ascii="Times New Roman" w:hAnsi="Times New Roman" w:eastAsia="Times New Roman" w:cs="Times New Roman"/>
                <w:spacing w:val="-3"/>
                <w:sz w:val="20"/>
                <w:szCs w:val="20"/>
              </w:rPr>
              <w:t>SS</w:t>
            </w:r>
            <w:r>
              <w:rPr>
                <w:rFonts w:ascii="Times New Roman" w:hAnsi="Times New Roman" w:eastAsia="Times New Roman" w:cs="Times New Roman"/>
                <w:sz w:val="20"/>
                <w:szCs w:val="20"/>
              </w:rPr>
              <w:t xml:space="preserve">   </w:t>
            </w:r>
            <w:r>
              <w:rPr>
                <w:spacing w:val="3"/>
                <w:sz w:val="20"/>
                <w:szCs w:val="20"/>
              </w:rPr>
              <w:t>盐分</w:t>
            </w:r>
          </w:p>
        </w:tc>
        <w:tc>
          <w:tcPr>
            <w:tcW w:w="1031" w:type="dxa"/>
            <w:vAlign w:val="top"/>
          </w:tcPr>
          <w:p w14:paraId="4607CCBC">
            <w:pPr>
              <w:spacing w:before="99" w:line="145" w:lineRule="exact"/>
              <w:ind w:left="414"/>
              <w:rPr>
                <w:rFonts w:ascii="Times New Roman" w:hAnsi="Times New Roman" w:eastAsia="Times New Roman" w:cs="Times New Roman"/>
                <w:sz w:val="20"/>
                <w:szCs w:val="20"/>
              </w:rPr>
            </w:pPr>
            <w:r>
              <w:pict>
                <v:shape id="_x0000_s1222" o:spid="_x0000_s1222" o:spt="202" type="#_x0000_t202" style="position:absolute;left:0pt;margin-left:13.95pt;margin-top:7.6pt;height:7.6pt;width:7.55pt;z-index:251877376;mso-width-relative:page;mso-height-relative:page;" filled="f" stroked="f" coordsize="21600,21600">
                  <v:path/>
                  <v:fill on="f" focussize="0,0"/>
                  <v:stroke on="f"/>
                  <v:imagedata o:title=""/>
                  <o:lock v:ext="edit" aspectratio="f"/>
                  <v:textbox inset="0mm,0mm,0mm,0mm">
                    <w:txbxContent>
                      <w:p w14:paraId="7A3961DC">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3"/>
                <w:position w:val="-2"/>
                <w:sz w:val="20"/>
                <w:szCs w:val="20"/>
              </w:rPr>
              <w:t>200</w:t>
            </w:r>
          </w:p>
          <w:p w14:paraId="4588D45B">
            <w:pPr>
              <w:spacing w:before="173" w:line="146" w:lineRule="exact"/>
              <w:ind w:left="381"/>
              <w:rPr>
                <w:rFonts w:ascii="Times New Roman" w:hAnsi="Times New Roman" w:eastAsia="Times New Roman" w:cs="Times New Roman"/>
                <w:sz w:val="20"/>
                <w:szCs w:val="20"/>
              </w:rPr>
            </w:pPr>
            <w:r>
              <w:pict>
                <v:shape id="_x0000_s1223" o:spid="_x0000_s1223" o:spt="202" type="#_x0000_t202" style="position:absolute;left:0pt;margin-left:11.3pt;margin-top:11.3pt;height:7.6pt;width:7.55pt;z-index:251888640;mso-width-relative:page;mso-height-relative:page;" filled="f" stroked="f" coordsize="21600,21600">
                  <v:path/>
                  <v:fill on="f" focussize="0,0"/>
                  <v:stroke on="f"/>
                  <v:imagedata o:title=""/>
                  <o:lock v:ext="edit" aspectratio="f"/>
                  <v:textbox inset="0mm,0mm,0mm,0mm">
                    <w:txbxContent>
                      <w:p w14:paraId="056BD061">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1"/>
                <w:position w:val="-2"/>
                <w:sz w:val="20"/>
                <w:szCs w:val="20"/>
              </w:rPr>
              <w:t>1500</w:t>
            </w:r>
          </w:p>
        </w:tc>
        <w:tc>
          <w:tcPr>
            <w:tcW w:w="1001" w:type="dxa"/>
            <w:vAlign w:val="top"/>
          </w:tcPr>
          <w:p w14:paraId="2722B795">
            <w:pPr>
              <w:spacing w:before="98" w:line="274" w:lineRule="auto"/>
              <w:ind w:left="321" w:right="314" w:hanging="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0.48</w:t>
            </w:r>
            <w:r>
              <w:rPr>
                <w:rFonts w:ascii="Times New Roman" w:hAnsi="Times New Roman" w:eastAsia="Times New Roman" w:cs="Times New Roman"/>
                <w:spacing w:val="1"/>
                <w:sz w:val="20"/>
                <w:szCs w:val="20"/>
              </w:rPr>
              <w:t xml:space="preserve"> </w:t>
            </w:r>
            <w:r>
              <w:rPr>
                <w:rFonts w:ascii="Times New Roman" w:hAnsi="Times New Roman" w:eastAsia="Times New Roman" w:cs="Times New Roman"/>
                <w:spacing w:val="2"/>
                <w:sz w:val="20"/>
                <w:szCs w:val="20"/>
              </w:rPr>
              <w:t>3.60</w:t>
            </w:r>
          </w:p>
        </w:tc>
        <w:tc>
          <w:tcPr>
            <w:tcW w:w="2410" w:type="dxa"/>
            <w:tcBorders>
              <w:right w:val="nil"/>
            </w:tcBorders>
            <w:vAlign w:val="top"/>
          </w:tcPr>
          <w:p w14:paraId="693164E6">
            <w:pPr>
              <w:pStyle w:val="6"/>
              <w:spacing w:before="221" w:line="228" w:lineRule="auto"/>
              <w:ind w:left="265"/>
              <w:rPr>
                <w:sz w:val="20"/>
                <w:szCs w:val="20"/>
              </w:rPr>
            </w:pPr>
            <w:r>
              <w:rPr>
                <w:spacing w:val="8"/>
                <w:sz w:val="20"/>
                <w:szCs w:val="20"/>
              </w:rPr>
              <w:t>补充到浊循环水系统</w:t>
            </w:r>
          </w:p>
        </w:tc>
      </w:tr>
      <w:tr w14:paraId="5A7F95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86" w:hRule="atLeast"/>
        </w:trPr>
        <w:tc>
          <w:tcPr>
            <w:tcW w:w="750" w:type="dxa"/>
            <w:tcBorders>
              <w:left w:val="nil"/>
            </w:tcBorders>
            <w:vAlign w:val="top"/>
          </w:tcPr>
          <w:p w14:paraId="3EDD1866">
            <w:pPr>
              <w:spacing w:line="339" w:lineRule="auto"/>
              <w:rPr>
                <w:rFonts w:ascii="Arial"/>
                <w:sz w:val="21"/>
              </w:rPr>
            </w:pPr>
          </w:p>
          <w:p w14:paraId="1EC84B51">
            <w:pPr>
              <w:spacing w:line="339" w:lineRule="auto"/>
              <w:rPr>
                <w:rFonts w:ascii="Arial"/>
                <w:sz w:val="21"/>
              </w:rPr>
            </w:pPr>
          </w:p>
          <w:p w14:paraId="0CCD9B27">
            <w:pPr>
              <w:spacing w:before="57" w:line="199" w:lineRule="auto"/>
              <w:ind w:left="244"/>
              <w:rPr>
                <w:rFonts w:ascii="Times New Roman" w:hAnsi="Times New Roman" w:eastAsia="Times New Roman" w:cs="Times New Roman"/>
                <w:sz w:val="13"/>
                <w:szCs w:val="13"/>
              </w:rPr>
            </w:pPr>
            <w:r>
              <w:rPr>
                <w:rFonts w:ascii="Times New Roman" w:hAnsi="Times New Roman" w:eastAsia="Times New Roman" w:cs="Times New Roman"/>
                <w:spacing w:val="4"/>
                <w:sz w:val="20"/>
                <w:szCs w:val="20"/>
              </w:rPr>
              <w:t>W</w:t>
            </w:r>
            <w:r>
              <w:rPr>
                <w:rFonts w:ascii="Times New Roman" w:hAnsi="Times New Roman" w:eastAsia="Times New Roman" w:cs="Times New Roman"/>
                <w:spacing w:val="4"/>
                <w:position w:val="-1"/>
                <w:sz w:val="13"/>
                <w:szCs w:val="13"/>
              </w:rPr>
              <w:t>3</w:t>
            </w:r>
          </w:p>
        </w:tc>
        <w:tc>
          <w:tcPr>
            <w:tcW w:w="1785" w:type="dxa"/>
            <w:vAlign w:val="top"/>
          </w:tcPr>
          <w:p w14:paraId="2AA6214A">
            <w:pPr>
              <w:spacing w:line="315" w:lineRule="auto"/>
              <w:rPr>
                <w:rFonts w:ascii="Arial"/>
                <w:sz w:val="21"/>
              </w:rPr>
            </w:pPr>
          </w:p>
          <w:p w14:paraId="3E7024C9">
            <w:pPr>
              <w:spacing w:line="316" w:lineRule="auto"/>
              <w:rPr>
                <w:rFonts w:ascii="Arial"/>
                <w:sz w:val="21"/>
              </w:rPr>
            </w:pPr>
          </w:p>
          <w:p w14:paraId="2CA797CC">
            <w:pPr>
              <w:pStyle w:val="6"/>
              <w:spacing w:before="65" w:line="228" w:lineRule="auto"/>
              <w:ind w:left="478"/>
              <w:rPr>
                <w:sz w:val="20"/>
                <w:szCs w:val="20"/>
              </w:rPr>
            </w:pPr>
            <w:r>
              <w:rPr>
                <w:spacing w:val="6"/>
                <w:sz w:val="20"/>
                <w:szCs w:val="20"/>
              </w:rPr>
              <w:t>生活污水</w:t>
            </w:r>
          </w:p>
        </w:tc>
        <w:tc>
          <w:tcPr>
            <w:tcW w:w="921" w:type="dxa"/>
            <w:vAlign w:val="top"/>
          </w:tcPr>
          <w:p w14:paraId="49980750">
            <w:pPr>
              <w:spacing w:line="337" w:lineRule="auto"/>
              <w:rPr>
                <w:rFonts w:ascii="Arial"/>
                <w:sz w:val="21"/>
              </w:rPr>
            </w:pPr>
          </w:p>
          <w:p w14:paraId="25D3C66F">
            <w:pPr>
              <w:spacing w:line="338" w:lineRule="auto"/>
              <w:rPr>
                <w:rFonts w:ascii="Arial"/>
                <w:sz w:val="21"/>
              </w:rPr>
            </w:pPr>
          </w:p>
          <w:p w14:paraId="78349DC8">
            <w:pPr>
              <w:spacing w:before="57"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1.40</w:t>
            </w:r>
          </w:p>
        </w:tc>
        <w:tc>
          <w:tcPr>
            <w:tcW w:w="1113" w:type="dxa"/>
            <w:vAlign w:val="top"/>
          </w:tcPr>
          <w:p w14:paraId="12BA601E">
            <w:pPr>
              <w:spacing w:before="104" w:line="316" w:lineRule="auto"/>
              <w:ind w:left="287" w:right="279" w:firstLine="138"/>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pH</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3"/>
                <w:sz w:val="20"/>
                <w:szCs w:val="20"/>
              </w:rPr>
              <w:t>COD</w:t>
            </w:r>
            <w:r>
              <w:rPr>
                <w:rFonts w:ascii="Times New Roman" w:hAnsi="Times New Roman" w:eastAsia="Times New Roman" w:cs="Times New Roman"/>
                <w:spacing w:val="3"/>
                <w:position w:val="-1"/>
                <w:sz w:val="13"/>
                <w:szCs w:val="13"/>
              </w:rPr>
              <w:t>cr</w:t>
            </w:r>
            <w:r>
              <w:rPr>
                <w:rFonts w:ascii="Times New Roman" w:hAnsi="Times New Roman" w:eastAsia="Times New Roman" w:cs="Times New Roman"/>
                <w:spacing w:val="1"/>
                <w:position w:val="-1"/>
                <w:sz w:val="13"/>
                <w:szCs w:val="13"/>
              </w:rPr>
              <w:t xml:space="preserve"> </w:t>
            </w:r>
            <w:r>
              <w:rPr>
                <w:rFonts w:ascii="Times New Roman" w:hAnsi="Times New Roman" w:eastAsia="Times New Roman" w:cs="Times New Roman"/>
                <w:spacing w:val="8"/>
                <w:sz w:val="20"/>
                <w:szCs w:val="20"/>
              </w:rPr>
              <w:t>BOD</w:t>
            </w:r>
            <w:r>
              <w:rPr>
                <w:rFonts w:ascii="Times New Roman" w:hAnsi="Times New Roman" w:eastAsia="Times New Roman" w:cs="Times New Roman"/>
                <w:spacing w:val="8"/>
                <w:position w:val="-1"/>
                <w:sz w:val="13"/>
                <w:szCs w:val="13"/>
              </w:rPr>
              <w:t>5</w:t>
            </w:r>
          </w:p>
          <w:p w14:paraId="0DD133C4">
            <w:pPr>
              <w:pStyle w:val="6"/>
              <w:spacing w:before="42" w:line="255" w:lineRule="auto"/>
              <w:ind w:left="350" w:right="347" w:firstLine="98"/>
              <w:rPr>
                <w:sz w:val="20"/>
                <w:szCs w:val="20"/>
              </w:rPr>
            </w:pPr>
            <w:r>
              <w:rPr>
                <w:rFonts w:ascii="Times New Roman" w:hAnsi="Times New Roman" w:eastAsia="Times New Roman" w:cs="Times New Roman"/>
                <w:spacing w:val="-3"/>
                <w:sz w:val="20"/>
                <w:szCs w:val="20"/>
              </w:rPr>
              <w:t>SS</w:t>
            </w:r>
            <w:r>
              <w:rPr>
                <w:rFonts w:ascii="Times New Roman" w:hAnsi="Times New Roman" w:eastAsia="Times New Roman" w:cs="Times New Roman"/>
                <w:sz w:val="20"/>
                <w:szCs w:val="20"/>
              </w:rPr>
              <w:t xml:space="preserve">   </w:t>
            </w:r>
            <w:r>
              <w:rPr>
                <w:spacing w:val="4"/>
                <w:sz w:val="20"/>
                <w:szCs w:val="20"/>
              </w:rPr>
              <w:t>氨氮</w:t>
            </w:r>
          </w:p>
        </w:tc>
        <w:tc>
          <w:tcPr>
            <w:tcW w:w="1031" w:type="dxa"/>
            <w:vAlign w:val="top"/>
          </w:tcPr>
          <w:p w14:paraId="133E5FEF">
            <w:pPr>
              <w:pStyle w:val="6"/>
              <w:spacing w:before="64" w:line="265" w:lineRule="exact"/>
              <w:ind w:left="311"/>
              <w:rPr>
                <w:rFonts w:ascii="Times New Roman" w:hAnsi="Times New Roman" w:eastAsia="Times New Roman" w:cs="Times New Roman"/>
                <w:sz w:val="20"/>
                <w:szCs w:val="20"/>
              </w:rPr>
            </w:pPr>
            <w:r>
              <w:rPr>
                <w:rFonts w:ascii="Times New Roman" w:hAnsi="Times New Roman" w:eastAsia="Times New Roman" w:cs="Times New Roman"/>
                <w:spacing w:val="3"/>
                <w:position w:val="1"/>
                <w:sz w:val="20"/>
                <w:szCs w:val="20"/>
              </w:rPr>
              <w:t>6</w:t>
            </w:r>
            <w:r>
              <w:rPr>
                <w:spacing w:val="3"/>
                <w:position w:val="1"/>
                <w:sz w:val="20"/>
                <w:szCs w:val="20"/>
              </w:rPr>
              <w:t>～</w:t>
            </w:r>
            <w:r>
              <w:rPr>
                <w:rFonts w:ascii="Times New Roman" w:hAnsi="Times New Roman" w:eastAsia="Times New Roman" w:cs="Times New Roman"/>
                <w:spacing w:val="3"/>
                <w:position w:val="1"/>
                <w:sz w:val="20"/>
                <w:szCs w:val="20"/>
              </w:rPr>
              <w:t>9</w:t>
            </w:r>
          </w:p>
          <w:p w14:paraId="42794323">
            <w:pPr>
              <w:spacing w:before="91" w:line="145" w:lineRule="exact"/>
              <w:ind w:left="413"/>
              <w:rPr>
                <w:rFonts w:ascii="Times New Roman" w:hAnsi="Times New Roman" w:eastAsia="Times New Roman" w:cs="Times New Roman"/>
                <w:sz w:val="20"/>
                <w:szCs w:val="20"/>
              </w:rPr>
            </w:pPr>
            <w:r>
              <w:pict>
                <v:shape id="_x0000_s1224" o:spid="_x0000_s1224" o:spt="202" type="#_x0000_t202" style="position:absolute;left:0pt;margin-left:13.95pt;margin-top:7.2pt;height:7.6pt;width:7.55pt;z-index:251876352;mso-width-relative:page;mso-height-relative:page;" filled="f" stroked="f" coordsize="21600,21600">
                  <v:path/>
                  <v:fill on="f" focussize="0,0"/>
                  <v:stroke on="f"/>
                  <v:imagedata o:title=""/>
                  <o:lock v:ext="edit" aspectratio="f"/>
                  <v:textbox inset="0mm,0mm,0mm,0mm">
                    <w:txbxContent>
                      <w:p w14:paraId="56820729">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4"/>
                <w:position w:val="-2"/>
                <w:sz w:val="20"/>
                <w:szCs w:val="20"/>
              </w:rPr>
              <w:t>400</w:t>
            </w:r>
          </w:p>
          <w:p w14:paraId="0D05E471">
            <w:pPr>
              <w:spacing w:before="171" w:line="145" w:lineRule="exact"/>
              <w:ind w:left="418"/>
              <w:rPr>
                <w:rFonts w:ascii="Times New Roman" w:hAnsi="Times New Roman" w:eastAsia="Times New Roman" w:cs="Times New Roman"/>
                <w:sz w:val="20"/>
                <w:szCs w:val="20"/>
              </w:rPr>
            </w:pPr>
            <w:r>
              <w:pict>
                <v:shape id="_x0000_s1225" o:spid="_x0000_s1225" o:spt="202" type="#_x0000_t202" style="position:absolute;left:0pt;margin-left:13.95pt;margin-top:11.2pt;height:7.6pt;width:7.55pt;z-index:251887616;mso-width-relative:page;mso-height-relative:page;" filled="f" stroked="f" coordsize="21600,21600">
                  <v:path/>
                  <v:fill on="f" focussize="0,0"/>
                  <v:stroke on="f"/>
                  <v:imagedata o:title=""/>
                  <o:lock v:ext="edit" aspectratio="f"/>
                  <v:textbox inset="0mm,0mm,0mm,0mm">
                    <w:txbxContent>
                      <w:p w14:paraId="31E76FF8">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2"/>
                <w:position w:val="-2"/>
                <w:sz w:val="20"/>
                <w:szCs w:val="20"/>
              </w:rPr>
              <w:t>300</w:t>
            </w:r>
          </w:p>
          <w:p w14:paraId="2A4E763A">
            <w:pPr>
              <w:spacing w:before="173" w:line="146" w:lineRule="exact"/>
              <w:ind w:left="414"/>
              <w:rPr>
                <w:rFonts w:ascii="Times New Roman" w:hAnsi="Times New Roman" w:eastAsia="Times New Roman" w:cs="Times New Roman"/>
                <w:sz w:val="20"/>
                <w:szCs w:val="20"/>
              </w:rPr>
            </w:pPr>
            <w:r>
              <w:pict>
                <v:shape id="_x0000_s1226" o:spid="_x0000_s1226" o:spt="202" type="#_x0000_t202" style="position:absolute;left:0pt;margin-left:13.95pt;margin-top:11.3pt;height:7.6pt;width:7.55pt;z-index:251875328;mso-width-relative:page;mso-height-relative:page;" filled="f" stroked="f" coordsize="21600,21600">
                  <v:path/>
                  <v:fill on="f" focussize="0,0"/>
                  <v:stroke on="f"/>
                  <v:imagedata o:title=""/>
                  <o:lock v:ext="edit" aspectratio="f"/>
                  <v:textbox inset="0mm,0mm,0mm,0mm">
                    <w:txbxContent>
                      <w:p w14:paraId="32C483E8">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3"/>
                <w:position w:val="-2"/>
                <w:sz w:val="20"/>
                <w:szCs w:val="20"/>
              </w:rPr>
              <w:t>250</w:t>
            </w:r>
          </w:p>
          <w:p w14:paraId="208E5A9A">
            <w:pPr>
              <w:spacing w:before="171" w:line="145" w:lineRule="exact"/>
              <w:ind w:left="471"/>
              <w:rPr>
                <w:rFonts w:ascii="Times New Roman" w:hAnsi="Times New Roman" w:eastAsia="Times New Roman" w:cs="Times New Roman"/>
                <w:sz w:val="20"/>
                <w:szCs w:val="20"/>
              </w:rPr>
            </w:pPr>
            <w:r>
              <w:pict>
                <v:shape id="_x0000_s1227" o:spid="_x0000_s1227" o:spt="202" type="#_x0000_t202" style="position:absolute;left:0pt;margin-left:16.6pt;margin-top:11.2pt;height:7.6pt;width:7.55pt;z-index:251873280;mso-width-relative:page;mso-height-relative:page;" filled="f" stroked="f" coordsize="21600,21600">
                  <v:path/>
                  <v:fill on="f" focussize="0,0"/>
                  <v:stroke on="f"/>
                  <v:imagedata o:title=""/>
                  <o:lock v:ext="edit" aspectratio="f"/>
                  <v:textbox inset="0mm,0mm,0mm,0mm">
                    <w:txbxContent>
                      <w:p w14:paraId="19B09052">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position w:val="-2"/>
                <w:sz w:val="20"/>
                <w:szCs w:val="20"/>
              </w:rPr>
              <w:t>35</w:t>
            </w:r>
          </w:p>
        </w:tc>
        <w:tc>
          <w:tcPr>
            <w:tcW w:w="1001" w:type="dxa"/>
            <w:vAlign w:val="top"/>
          </w:tcPr>
          <w:p w14:paraId="770DC40A">
            <w:pPr>
              <w:pStyle w:val="6"/>
              <w:spacing w:before="66" w:line="307" w:lineRule="auto"/>
              <w:ind w:left="270" w:right="261" w:firstLine="25"/>
              <w:jc w:val="both"/>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6</w:t>
            </w:r>
            <w:r>
              <w:rPr>
                <w:spacing w:val="4"/>
                <w:sz w:val="20"/>
                <w:szCs w:val="20"/>
              </w:rPr>
              <w:t>～</w:t>
            </w:r>
            <w:r>
              <w:rPr>
                <w:rFonts w:ascii="Times New Roman" w:hAnsi="Times New Roman" w:eastAsia="Times New Roman" w:cs="Times New Roman"/>
                <w:spacing w:val="4"/>
                <w:sz w:val="20"/>
                <w:szCs w:val="20"/>
              </w:rPr>
              <w:t>9</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15"/>
                <w:sz w:val="20"/>
                <w:szCs w:val="20"/>
              </w:rPr>
              <w:t>0.56</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14"/>
                <w:sz w:val="20"/>
                <w:szCs w:val="20"/>
              </w:rPr>
              <w:t>0.42</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15"/>
                <w:sz w:val="20"/>
                <w:szCs w:val="20"/>
              </w:rPr>
              <w:t>0.35</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2"/>
                <w:sz w:val="20"/>
                <w:szCs w:val="20"/>
              </w:rPr>
              <w:t>0.049</w:t>
            </w:r>
          </w:p>
        </w:tc>
        <w:tc>
          <w:tcPr>
            <w:tcW w:w="2410" w:type="dxa"/>
            <w:tcBorders>
              <w:right w:val="nil"/>
            </w:tcBorders>
            <w:vAlign w:val="top"/>
          </w:tcPr>
          <w:p w14:paraId="289D07B1">
            <w:pPr>
              <w:pStyle w:val="6"/>
              <w:spacing w:before="222" w:line="228" w:lineRule="auto"/>
              <w:ind w:left="56"/>
              <w:rPr>
                <w:sz w:val="20"/>
                <w:szCs w:val="20"/>
              </w:rPr>
            </w:pPr>
            <w:r>
              <w:rPr>
                <w:spacing w:val="9"/>
                <w:sz w:val="20"/>
                <w:szCs w:val="20"/>
              </w:rPr>
              <w:t>地埋式一体化污水处理设</w:t>
            </w:r>
          </w:p>
          <w:p w14:paraId="7598B775">
            <w:pPr>
              <w:pStyle w:val="6"/>
              <w:spacing w:before="72" w:line="228" w:lineRule="auto"/>
              <w:ind w:left="55"/>
              <w:rPr>
                <w:sz w:val="20"/>
                <w:szCs w:val="20"/>
              </w:rPr>
            </w:pPr>
            <w:r>
              <w:rPr>
                <w:spacing w:val="5"/>
                <w:sz w:val="20"/>
                <w:szCs w:val="20"/>
              </w:rPr>
              <w:t>施处理，</w:t>
            </w:r>
            <w:r>
              <w:rPr>
                <w:spacing w:val="-55"/>
                <w:sz w:val="20"/>
                <w:szCs w:val="20"/>
              </w:rPr>
              <w:t xml:space="preserve"> </w:t>
            </w:r>
            <w:r>
              <w:rPr>
                <w:spacing w:val="5"/>
                <w:sz w:val="20"/>
                <w:szCs w:val="20"/>
              </w:rPr>
              <w:t>由罐车运至苏尼</w:t>
            </w:r>
          </w:p>
          <w:p w14:paraId="3E33964A">
            <w:pPr>
              <w:pStyle w:val="6"/>
              <w:spacing w:before="69" w:line="228" w:lineRule="auto"/>
              <w:ind w:left="56"/>
              <w:rPr>
                <w:sz w:val="20"/>
                <w:szCs w:val="20"/>
              </w:rPr>
            </w:pPr>
            <w:r>
              <w:rPr>
                <w:spacing w:val="9"/>
                <w:sz w:val="20"/>
                <w:szCs w:val="20"/>
              </w:rPr>
              <w:t>特右旗赛汉塔拉镇污水处</w:t>
            </w:r>
          </w:p>
          <w:p w14:paraId="2673727B">
            <w:pPr>
              <w:pStyle w:val="6"/>
              <w:spacing w:before="72" w:line="228" w:lineRule="auto"/>
              <w:ind w:left="479"/>
              <w:rPr>
                <w:sz w:val="20"/>
                <w:szCs w:val="20"/>
              </w:rPr>
            </w:pPr>
            <w:r>
              <w:rPr>
                <w:spacing w:val="8"/>
                <w:sz w:val="20"/>
                <w:szCs w:val="20"/>
              </w:rPr>
              <w:t>理厂进一步处理</w:t>
            </w:r>
          </w:p>
        </w:tc>
      </w:tr>
      <w:tr w14:paraId="139CD4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750" w:type="dxa"/>
            <w:tcBorders>
              <w:left w:val="nil"/>
            </w:tcBorders>
            <w:vAlign w:val="top"/>
          </w:tcPr>
          <w:p w14:paraId="4C465F69">
            <w:pPr>
              <w:spacing w:before="267" w:line="199" w:lineRule="auto"/>
              <w:ind w:left="244"/>
              <w:rPr>
                <w:rFonts w:ascii="Times New Roman" w:hAnsi="Times New Roman" w:eastAsia="Times New Roman" w:cs="Times New Roman"/>
                <w:sz w:val="13"/>
                <w:szCs w:val="13"/>
              </w:rPr>
            </w:pPr>
            <w:r>
              <w:rPr>
                <w:rFonts w:ascii="Times New Roman" w:hAnsi="Times New Roman" w:eastAsia="Times New Roman" w:cs="Times New Roman"/>
                <w:spacing w:val="4"/>
                <w:sz w:val="20"/>
                <w:szCs w:val="20"/>
              </w:rPr>
              <w:t>W</w:t>
            </w:r>
            <w:r>
              <w:rPr>
                <w:rFonts w:ascii="Times New Roman" w:hAnsi="Times New Roman" w:eastAsia="Times New Roman" w:cs="Times New Roman"/>
                <w:spacing w:val="4"/>
                <w:position w:val="-1"/>
                <w:sz w:val="13"/>
                <w:szCs w:val="13"/>
              </w:rPr>
              <w:t>4</w:t>
            </w:r>
          </w:p>
        </w:tc>
        <w:tc>
          <w:tcPr>
            <w:tcW w:w="1785" w:type="dxa"/>
            <w:vAlign w:val="top"/>
          </w:tcPr>
          <w:p w14:paraId="0A7E442A">
            <w:pPr>
              <w:pStyle w:val="6"/>
              <w:spacing w:before="69" w:line="256" w:lineRule="auto"/>
              <w:ind w:left="586" w:right="53" w:hanging="527"/>
              <w:rPr>
                <w:sz w:val="20"/>
                <w:szCs w:val="20"/>
              </w:rPr>
            </w:pPr>
            <w:r>
              <w:rPr>
                <w:spacing w:val="8"/>
                <w:sz w:val="20"/>
                <w:szCs w:val="20"/>
              </w:rPr>
              <w:t>设备冷却循环水系</w:t>
            </w:r>
            <w:r>
              <w:rPr>
                <w:spacing w:val="1"/>
                <w:sz w:val="20"/>
                <w:szCs w:val="20"/>
              </w:rPr>
              <w:t xml:space="preserve"> </w:t>
            </w:r>
            <w:r>
              <w:rPr>
                <w:spacing w:val="5"/>
                <w:sz w:val="20"/>
                <w:szCs w:val="20"/>
              </w:rPr>
              <w:t>统排污</w:t>
            </w:r>
          </w:p>
        </w:tc>
        <w:tc>
          <w:tcPr>
            <w:tcW w:w="921" w:type="dxa"/>
            <w:vAlign w:val="top"/>
          </w:tcPr>
          <w:p w14:paraId="2E8D1013">
            <w:pPr>
              <w:spacing w:before="264" w:line="195" w:lineRule="auto"/>
              <w:ind w:left="2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9.79</w:t>
            </w:r>
          </w:p>
        </w:tc>
        <w:tc>
          <w:tcPr>
            <w:tcW w:w="1113" w:type="dxa"/>
            <w:vAlign w:val="top"/>
          </w:tcPr>
          <w:p w14:paraId="37938835">
            <w:pPr>
              <w:spacing w:before="106" w:line="270" w:lineRule="auto"/>
              <w:ind w:left="360" w:right="358" w:firstLine="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SS</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3"/>
                <w:sz w:val="20"/>
                <w:szCs w:val="20"/>
              </w:rPr>
              <w:t>TDS</w:t>
            </w:r>
          </w:p>
        </w:tc>
        <w:tc>
          <w:tcPr>
            <w:tcW w:w="1031" w:type="dxa"/>
            <w:vAlign w:val="top"/>
          </w:tcPr>
          <w:p w14:paraId="41BEB8BF">
            <w:pPr>
              <w:spacing w:before="106" w:line="145" w:lineRule="exact"/>
              <w:ind w:left="414"/>
              <w:rPr>
                <w:rFonts w:ascii="Times New Roman" w:hAnsi="Times New Roman" w:eastAsia="Times New Roman" w:cs="Times New Roman"/>
                <w:sz w:val="20"/>
                <w:szCs w:val="20"/>
              </w:rPr>
            </w:pPr>
            <w:r>
              <w:pict>
                <v:shape id="_x0000_s1228" o:spid="_x0000_s1228" o:spt="202" type="#_x0000_t202" style="position:absolute;left:0pt;margin-left:13.95pt;margin-top:7.95pt;height:7.6pt;width:7.55pt;z-index:251874304;mso-width-relative:page;mso-height-relative:page;" filled="f" stroked="f" coordsize="21600,21600">
                  <v:path/>
                  <v:fill on="f" focussize="0,0"/>
                  <v:stroke on="f"/>
                  <v:imagedata o:title=""/>
                  <o:lock v:ext="edit" aspectratio="f"/>
                  <v:textbox inset="0mm,0mm,0mm,0mm">
                    <w:txbxContent>
                      <w:p w14:paraId="7ECB49E1">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3"/>
                <w:position w:val="-2"/>
                <w:sz w:val="20"/>
                <w:szCs w:val="20"/>
              </w:rPr>
              <w:t>200</w:t>
            </w:r>
          </w:p>
          <w:p w14:paraId="2719F611">
            <w:pPr>
              <w:spacing w:before="171" w:line="145" w:lineRule="exact"/>
              <w:ind w:left="361"/>
              <w:rPr>
                <w:rFonts w:ascii="Times New Roman" w:hAnsi="Times New Roman" w:eastAsia="Times New Roman" w:cs="Times New Roman"/>
                <w:sz w:val="20"/>
                <w:szCs w:val="20"/>
              </w:rPr>
            </w:pPr>
            <w:r>
              <w:pict>
                <v:shape id="_x0000_s1229" o:spid="_x0000_s1229" o:spt="202" type="#_x0000_t202" style="position:absolute;left:0pt;margin-left:11.3pt;margin-top:11.2pt;height:7.6pt;width:7.55pt;z-index:251886592;mso-width-relative:page;mso-height-relative:page;" filled="f" stroked="f" coordsize="21600,21600">
                  <v:path/>
                  <v:fill on="f" focussize="0,0"/>
                  <v:stroke on="f"/>
                  <v:imagedata o:title=""/>
                  <o:lock v:ext="edit" aspectratio="f"/>
                  <v:textbox inset="0mm,0mm,0mm,0mm">
                    <w:txbxContent>
                      <w:p w14:paraId="570343A3">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4"/>
                <w:position w:val="-2"/>
                <w:sz w:val="20"/>
                <w:szCs w:val="20"/>
              </w:rPr>
              <w:t>2000</w:t>
            </w:r>
          </w:p>
        </w:tc>
        <w:tc>
          <w:tcPr>
            <w:tcW w:w="1001" w:type="dxa"/>
            <w:vAlign w:val="top"/>
          </w:tcPr>
          <w:p w14:paraId="3F05B79E">
            <w:pPr>
              <w:spacing w:before="106" w:line="270" w:lineRule="auto"/>
              <w:ind w:left="286" w:right="26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1.958</w:t>
            </w:r>
            <w:r>
              <w:rPr>
                <w:rFonts w:ascii="Times New Roman" w:hAnsi="Times New Roman" w:eastAsia="Times New Roman" w:cs="Times New Roman"/>
                <w:spacing w:val="1"/>
                <w:sz w:val="20"/>
                <w:szCs w:val="20"/>
              </w:rPr>
              <w:t xml:space="preserve"> </w:t>
            </w:r>
            <w:r>
              <w:rPr>
                <w:rFonts w:ascii="Times New Roman" w:hAnsi="Times New Roman" w:eastAsia="Times New Roman" w:cs="Times New Roman"/>
                <w:spacing w:val="-1"/>
                <w:sz w:val="20"/>
                <w:szCs w:val="20"/>
              </w:rPr>
              <w:t>19.58</w:t>
            </w:r>
          </w:p>
        </w:tc>
        <w:tc>
          <w:tcPr>
            <w:tcW w:w="2410" w:type="dxa"/>
            <w:tcBorders>
              <w:right w:val="nil"/>
            </w:tcBorders>
            <w:vAlign w:val="top"/>
          </w:tcPr>
          <w:p w14:paraId="2D185E6D">
            <w:pPr>
              <w:pStyle w:val="6"/>
              <w:spacing w:before="227" w:line="228" w:lineRule="auto"/>
              <w:ind w:left="265"/>
              <w:rPr>
                <w:sz w:val="20"/>
                <w:szCs w:val="20"/>
              </w:rPr>
            </w:pPr>
            <w:r>
              <w:rPr>
                <w:spacing w:val="8"/>
                <w:sz w:val="20"/>
                <w:szCs w:val="20"/>
              </w:rPr>
              <w:t>补充到浊循环水系统</w:t>
            </w:r>
          </w:p>
        </w:tc>
      </w:tr>
      <w:tr w14:paraId="173F0F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750" w:type="dxa"/>
            <w:tcBorders>
              <w:left w:val="nil"/>
            </w:tcBorders>
            <w:vAlign w:val="top"/>
          </w:tcPr>
          <w:p w14:paraId="0E14ADEC">
            <w:pPr>
              <w:spacing w:before="268" w:line="199" w:lineRule="auto"/>
              <w:ind w:left="244"/>
              <w:rPr>
                <w:rFonts w:ascii="Times New Roman" w:hAnsi="Times New Roman" w:eastAsia="Times New Roman" w:cs="Times New Roman"/>
                <w:sz w:val="13"/>
                <w:szCs w:val="13"/>
              </w:rPr>
            </w:pPr>
            <w:r>
              <w:rPr>
                <w:rFonts w:ascii="Times New Roman" w:hAnsi="Times New Roman" w:eastAsia="Times New Roman" w:cs="Times New Roman"/>
                <w:spacing w:val="4"/>
                <w:sz w:val="20"/>
                <w:szCs w:val="20"/>
              </w:rPr>
              <w:t>W</w:t>
            </w:r>
            <w:r>
              <w:rPr>
                <w:rFonts w:ascii="Times New Roman" w:hAnsi="Times New Roman" w:eastAsia="Times New Roman" w:cs="Times New Roman"/>
                <w:spacing w:val="4"/>
                <w:position w:val="-1"/>
                <w:sz w:val="13"/>
                <w:szCs w:val="13"/>
              </w:rPr>
              <w:t>5</w:t>
            </w:r>
          </w:p>
        </w:tc>
        <w:tc>
          <w:tcPr>
            <w:tcW w:w="1785" w:type="dxa"/>
            <w:vAlign w:val="top"/>
          </w:tcPr>
          <w:p w14:paraId="2104685D">
            <w:pPr>
              <w:pStyle w:val="6"/>
              <w:spacing w:before="229" w:line="228" w:lineRule="auto"/>
              <w:ind w:left="270"/>
              <w:rPr>
                <w:sz w:val="20"/>
                <w:szCs w:val="20"/>
              </w:rPr>
            </w:pPr>
            <w:r>
              <w:rPr>
                <w:spacing w:val="7"/>
                <w:sz w:val="20"/>
                <w:szCs w:val="20"/>
              </w:rPr>
              <w:t>软水制备排污</w:t>
            </w:r>
          </w:p>
        </w:tc>
        <w:tc>
          <w:tcPr>
            <w:tcW w:w="921" w:type="dxa"/>
            <w:vAlign w:val="top"/>
          </w:tcPr>
          <w:p w14:paraId="75450EBD">
            <w:pPr>
              <w:spacing w:before="265" w:line="195" w:lineRule="auto"/>
              <w:ind w:left="2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3.86</w:t>
            </w:r>
          </w:p>
        </w:tc>
        <w:tc>
          <w:tcPr>
            <w:tcW w:w="1113" w:type="dxa"/>
            <w:vAlign w:val="top"/>
          </w:tcPr>
          <w:p w14:paraId="18BFBD12">
            <w:pPr>
              <w:spacing w:before="108" w:line="269" w:lineRule="auto"/>
              <w:ind w:left="360" w:right="358" w:firstLine="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SS</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3"/>
                <w:sz w:val="20"/>
                <w:szCs w:val="20"/>
              </w:rPr>
              <w:t>TDS</w:t>
            </w:r>
          </w:p>
        </w:tc>
        <w:tc>
          <w:tcPr>
            <w:tcW w:w="1031" w:type="dxa"/>
            <w:vAlign w:val="top"/>
          </w:tcPr>
          <w:p w14:paraId="607125EF">
            <w:pPr>
              <w:spacing w:before="107" w:line="146" w:lineRule="exact"/>
              <w:ind w:left="434"/>
              <w:rPr>
                <w:rFonts w:ascii="Times New Roman" w:hAnsi="Times New Roman" w:eastAsia="Times New Roman" w:cs="Times New Roman"/>
                <w:sz w:val="20"/>
                <w:szCs w:val="20"/>
              </w:rPr>
            </w:pPr>
            <w:r>
              <w:pict>
                <v:shape id="_x0000_s1230" o:spid="_x0000_s1230" o:spt="202" type="#_x0000_t202" style="position:absolute;left:0pt;margin-left:13.95pt;margin-top:8pt;height:7.6pt;width:7.55pt;z-index:251872256;mso-width-relative:page;mso-height-relative:page;" filled="f" stroked="f" coordsize="21600,21600">
                  <v:path/>
                  <v:fill on="f" focussize="0,0"/>
                  <v:stroke on="f"/>
                  <v:imagedata o:title=""/>
                  <o:lock v:ext="edit" aspectratio="f"/>
                  <v:textbox inset="0mm,0mm,0mm,0mm">
                    <w:txbxContent>
                      <w:p w14:paraId="553CA742">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3"/>
                <w:position w:val="-2"/>
                <w:sz w:val="20"/>
                <w:szCs w:val="20"/>
              </w:rPr>
              <w:t>100</w:t>
            </w:r>
          </w:p>
          <w:p w14:paraId="2B9625EC">
            <w:pPr>
              <w:spacing w:before="171" w:line="145" w:lineRule="exact"/>
              <w:ind w:left="361"/>
              <w:rPr>
                <w:rFonts w:ascii="Times New Roman" w:hAnsi="Times New Roman" w:eastAsia="Times New Roman" w:cs="Times New Roman"/>
                <w:sz w:val="20"/>
                <w:szCs w:val="20"/>
              </w:rPr>
            </w:pPr>
            <w:r>
              <w:pict>
                <v:shape id="_x0000_s1231" o:spid="_x0000_s1231" o:spt="202" type="#_x0000_t202" style="position:absolute;left:0pt;margin-left:11.3pt;margin-top:11.2pt;height:7.6pt;width:7.55pt;z-index:251885568;mso-width-relative:page;mso-height-relative:page;" filled="f" stroked="f" coordsize="21600,21600">
                  <v:path/>
                  <v:fill on="f" focussize="0,0"/>
                  <v:stroke on="f"/>
                  <v:imagedata o:title=""/>
                  <o:lock v:ext="edit" aspectratio="f"/>
                  <v:textbox inset="0mm,0mm,0mm,0mm">
                    <w:txbxContent>
                      <w:p w14:paraId="7111F691">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4"/>
                <w:position w:val="-2"/>
                <w:sz w:val="20"/>
                <w:szCs w:val="20"/>
              </w:rPr>
              <w:t>2500</w:t>
            </w:r>
          </w:p>
        </w:tc>
        <w:tc>
          <w:tcPr>
            <w:tcW w:w="1001" w:type="dxa"/>
            <w:vAlign w:val="top"/>
          </w:tcPr>
          <w:p w14:paraId="4E39A4DE">
            <w:pPr>
              <w:spacing w:before="108" w:line="269" w:lineRule="auto"/>
              <w:ind w:left="321" w:right="261" w:hanging="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0.386</w:t>
            </w:r>
            <w:r>
              <w:rPr>
                <w:rFonts w:ascii="Times New Roman" w:hAnsi="Times New Roman" w:eastAsia="Times New Roman" w:cs="Times New Roman"/>
                <w:spacing w:val="3"/>
                <w:sz w:val="20"/>
                <w:szCs w:val="20"/>
              </w:rPr>
              <w:t xml:space="preserve"> </w:t>
            </w:r>
            <w:r>
              <w:rPr>
                <w:rFonts w:ascii="Times New Roman" w:hAnsi="Times New Roman" w:eastAsia="Times New Roman" w:cs="Times New Roman"/>
                <w:spacing w:val="2"/>
                <w:sz w:val="20"/>
                <w:szCs w:val="20"/>
              </w:rPr>
              <w:t>9.65</w:t>
            </w:r>
          </w:p>
        </w:tc>
        <w:tc>
          <w:tcPr>
            <w:tcW w:w="2410" w:type="dxa"/>
            <w:tcBorders>
              <w:right w:val="nil"/>
            </w:tcBorders>
            <w:vAlign w:val="top"/>
          </w:tcPr>
          <w:p w14:paraId="48E5E595">
            <w:pPr>
              <w:pStyle w:val="6"/>
              <w:spacing w:before="229" w:line="228" w:lineRule="auto"/>
              <w:ind w:left="265"/>
              <w:rPr>
                <w:sz w:val="20"/>
                <w:szCs w:val="20"/>
              </w:rPr>
            </w:pPr>
            <w:r>
              <w:rPr>
                <w:spacing w:val="8"/>
                <w:sz w:val="20"/>
                <w:szCs w:val="20"/>
              </w:rPr>
              <w:t>补充到浊循环水系统</w:t>
            </w:r>
          </w:p>
        </w:tc>
      </w:tr>
      <w:tr w14:paraId="7C40E0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9" w:hRule="atLeast"/>
        </w:trPr>
        <w:tc>
          <w:tcPr>
            <w:tcW w:w="750" w:type="dxa"/>
            <w:tcBorders>
              <w:left w:val="nil"/>
            </w:tcBorders>
            <w:vAlign w:val="top"/>
          </w:tcPr>
          <w:p w14:paraId="4C7FE243">
            <w:pPr>
              <w:spacing w:line="264" w:lineRule="auto"/>
              <w:rPr>
                <w:rFonts w:ascii="Arial"/>
                <w:sz w:val="21"/>
              </w:rPr>
            </w:pPr>
          </w:p>
          <w:p w14:paraId="4EAD2488">
            <w:pPr>
              <w:spacing w:line="265" w:lineRule="auto"/>
              <w:rPr>
                <w:rFonts w:ascii="Arial"/>
                <w:sz w:val="21"/>
              </w:rPr>
            </w:pPr>
          </w:p>
          <w:p w14:paraId="23477B28">
            <w:pPr>
              <w:spacing w:before="57" w:line="199" w:lineRule="auto"/>
              <w:ind w:left="244"/>
              <w:rPr>
                <w:rFonts w:ascii="Times New Roman" w:hAnsi="Times New Roman" w:eastAsia="Times New Roman" w:cs="Times New Roman"/>
                <w:sz w:val="13"/>
                <w:szCs w:val="13"/>
              </w:rPr>
            </w:pPr>
            <w:r>
              <w:rPr>
                <w:rFonts w:ascii="Times New Roman" w:hAnsi="Times New Roman" w:eastAsia="Times New Roman" w:cs="Times New Roman"/>
                <w:spacing w:val="4"/>
                <w:sz w:val="20"/>
                <w:szCs w:val="20"/>
              </w:rPr>
              <w:t>W</w:t>
            </w:r>
            <w:r>
              <w:rPr>
                <w:rFonts w:ascii="Times New Roman" w:hAnsi="Times New Roman" w:eastAsia="Times New Roman" w:cs="Times New Roman"/>
                <w:spacing w:val="4"/>
                <w:position w:val="-1"/>
                <w:sz w:val="13"/>
                <w:szCs w:val="13"/>
              </w:rPr>
              <w:t>6</w:t>
            </w:r>
          </w:p>
        </w:tc>
        <w:tc>
          <w:tcPr>
            <w:tcW w:w="1785" w:type="dxa"/>
            <w:vAlign w:val="top"/>
          </w:tcPr>
          <w:p w14:paraId="3A330B0E">
            <w:pPr>
              <w:spacing w:line="241" w:lineRule="auto"/>
              <w:rPr>
                <w:rFonts w:ascii="Arial"/>
                <w:sz w:val="21"/>
              </w:rPr>
            </w:pPr>
          </w:p>
          <w:p w14:paraId="5F47288C">
            <w:pPr>
              <w:spacing w:line="241" w:lineRule="auto"/>
              <w:rPr>
                <w:rFonts w:ascii="Arial"/>
                <w:sz w:val="21"/>
              </w:rPr>
            </w:pPr>
          </w:p>
          <w:p w14:paraId="78C73646">
            <w:pPr>
              <w:pStyle w:val="6"/>
              <w:spacing w:before="65" w:line="228" w:lineRule="auto"/>
              <w:ind w:left="374"/>
              <w:rPr>
                <w:sz w:val="20"/>
                <w:szCs w:val="20"/>
              </w:rPr>
            </w:pPr>
            <w:r>
              <w:rPr>
                <w:spacing w:val="7"/>
                <w:sz w:val="20"/>
                <w:szCs w:val="20"/>
              </w:rPr>
              <w:t>化验室废水</w:t>
            </w:r>
          </w:p>
        </w:tc>
        <w:tc>
          <w:tcPr>
            <w:tcW w:w="921" w:type="dxa"/>
            <w:vAlign w:val="top"/>
          </w:tcPr>
          <w:p w14:paraId="67B0B0E2">
            <w:pPr>
              <w:spacing w:line="263" w:lineRule="auto"/>
              <w:rPr>
                <w:rFonts w:ascii="Arial"/>
                <w:sz w:val="21"/>
              </w:rPr>
            </w:pPr>
          </w:p>
          <w:p w14:paraId="43609517">
            <w:pPr>
              <w:spacing w:line="263" w:lineRule="auto"/>
              <w:rPr>
                <w:rFonts w:ascii="Arial"/>
                <w:sz w:val="21"/>
              </w:rPr>
            </w:pPr>
          </w:p>
          <w:p w14:paraId="7E7BB65B">
            <w:pPr>
              <w:spacing w:before="57" w:line="195"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0.045</w:t>
            </w:r>
          </w:p>
        </w:tc>
        <w:tc>
          <w:tcPr>
            <w:tcW w:w="1113" w:type="dxa"/>
            <w:vAlign w:val="top"/>
          </w:tcPr>
          <w:p w14:paraId="5E46D5A1">
            <w:pPr>
              <w:spacing w:before="112" w:line="194" w:lineRule="auto"/>
              <w:ind w:left="426"/>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pH</w:t>
            </w:r>
          </w:p>
          <w:p w14:paraId="70F68B77">
            <w:pPr>
              <w:spacing w:before="127" w:line="205" w:lineRule="auto"/>
              <w:ind w:left="287"/>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COD</w:t>
            </w:r>
            <w:r>
              <w:rPr>
                <w:rFonts w:ascii="Times New Roman" w:hAnsi="Times New Roman" w:eastAsia="Times New Roman" w:cs="Times New Roman"/>
                <w:spacing w:val="3"/>
                <w:position w:val="-1"/>
                <w:sz w:val="13"/>
                <w:szCs w:val="13"/>
              </w:rPr>
              <w:t>cr</w:t>
            </w:r>
          </w:p>
          <w:p w14:paraId="2868D924">
            <w:pPr>
              <w:spacing w:before="123" w:line="202" w:lineRule="auto"/>
              <w:ind w:left="302"/>
              <w:rPr>
                <w:rFonts w:ascii="Times New Roman" w:hAnsi="Times New Roman" w:eastAsia="Times New Roman" w:cs="Times New Roman"/>
                <w:sz w:val="13"/>
                <w:szCs w:val="13"/>
              </w:rPr>
            </w:pPr>
            <w:r>
              <w:rPr>
                <w:rFonts w:ascii="Times New Roman" w:hAnsi="Times New Roman" w:eastAsia="Times New Roman" w:cs="Times New Roman"/>
                <w:sz w:val="20"/>
                <w:szCs w:val="20"/>
              </w:rPr>
              <w:t>BOD</w:t>
            </w:r>
            <w:r>
              <w:rPr>
                <w:rFonts w:ascii="Times New Roman" w:hAnsi="Times New Roman" w:eastAsia="Times New Roman" w:cs="Times New Roman"/>
                <w:spacing w:val="19"/>
                <w:position w:val="-1"/>
                <w:sz w:val="13"/>
                <w:szCs w:val="13"/>
              </w:rPr>
              <w:t>5</w:t>
            </w:r>
          </w:p>
          <w:p w14:paraId="72B023C5">
            <w:pPr>
              <w:spacing w:before="123" w:line="195" w:lineRule="auto"/>
              <w:ind w:left="44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SS</w:t>
            </w:r>
          </w:p>
        </w:tc>
        <w:tc>
          <w:tcPr>
            <w:tcW w:w="1031" w:type="dxa"/>
            <w:vAlign w:val="top"/>
          </w:tcPr>
          <w:p w14:paraId="52FA1EF8">
            <w:pPr>
              <w:spacing w:before="109" w:line="195" w:lineRule="auto"/>
              <w:ind w:left="35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6~9</w:t>
            </w:r>
          </w:p>
          <w:p w14:paraId="30382001">
            <w:pPr>
              <w:spacing w:before="130" w:line="145" w:lineRule="exact"/>
              <w:ind w:left="414"/>
              <w:rPr>
                <w:rFonts w:ascii="Times New Roman" w:hAnsi="Times New Roman" w:eastAsia="Times New Roman" w:cs="Times New Roman"/>
                <w:sz w:val="20"/>
                <w:szCs w:val="20"/>
              </w:rPr>
            </w:pPr>
            <w:r>
              <w:pict>
                <v:shape id="_x0000_s1232" o:spid="_x0000_s1232" o:spt="202" type="#_x0000_t202" style="position:absolute;left:0pt;margin-left:13.95pt;margin-top:9.15pt;height:7.6pt;width:7.55pt;z-index:251871232;mso-width-relative:page;mso-height-relative:page;" filled="f" stroked="f" coordsize="21600,21600">
                  <v:path/>
                  <v:fill on="f" focussize="0,0"/>
                  <v:stroke on="f"/>
                  <v:imagedata o:title=""/>
                  <o:lock v:ext="edit" aspectratio="f"/>
                  <v:textbox inset="0mm,0mm,0mm,0mm">
                    <w:txbxContent>
                      <w:p w14:paraId="50BCA904">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3"/>
                <w:position w:val="-2"/>
                <w:sz w:val="20"/>
                <w:szCs w:val="20"/>
              </w:rPr>
              <w:t>250</w:t>
            </w:r>
          </w:p>
          <w:p w14:paraId="4157D830">
            <w:pPr>
              <w:spacing w:before="173" w:line="146" w:lineRule="exact"/>
              <w:ind w:left="414"/>
              <w:rPr>
                <w:rFonts w:ascii="Times New Roman" w:hAnsi="Times New Roman" w:eastAsia="Times New Roman" w:cs="Times New Roman"/>
                <w:sz w:val="20"/>
                <w:szCs w:val="20"/>
              </w:rPr>
            </w:pPr>
            <w:r>
              <w:pict>
                <v:shape id="_x0000_s1233" o:spid="_x0000_s1233" o:spt="202" type="#_x0000_t202" style="position:absolute;left:0pt;margin-left:13.95pt;margin-top:11.3pt;height:7.6pt;width:7.55pt;z-index:251884544;mso-width-relative:page;mso-height-relative:page;" filled="f" stroked="f" coordsize="21600,21600">
                  <v:path/>
                  <v:fill on="f" focussize="0,0"/>
                  <v:stroke on="f"/>
                  <v:imagedata o:title=""/>
                  <o:lock v:ext="edit" aspectratio="f"/>
                  <v:textbox inset="0mm,0mm,0mm,0mm">
                    <w:txbxContent>
                      <w:p w14:paraId="14B430B7">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spacing w:val="3"/>
                <w:position w:val="-2"/>
                <w:sz w:val="20"/>
                <w:szCs w:val="20"/>
              </w:rPr>
              <w:t>200</w:t>
            </w:r>
          </w:p>
          <w:p w14:paraId="611B00E2">
            <w:pPr>
              <w:spacing w:before="171" w:line="145" w:lineRule="exact"/>
              <w:ind w:left="473"/>
              <w:rPr>
                <w:rFonts w:ascii="Times New Roman" w:hAnsi="Times New Roman" w:eastAsia="Times New Roman" w:cs="Times New Roman"/>
                <w:sz w:val="20"/>
                <w:szCs w:val="20"/>
              </w:rPr>
            </w:pPr>
            <w:r>
              <w:pict>
                <v:shape id="_x0000_s1234" o:spid="_x0000_s1234" o:spt="202" type="#_x0000_t202" style="position:absolute;left:0pt;margin-left:16.6pt;margin-top:11.2pt;height:7.6pt;width:7.55pt;z-index:251870208;mso-width-relative:page;mso-height-relative:page;" filled="f" stroked="f" coordsize="21600,21600">
                  <v:path/>
                  <v:fill on="f" focussize="0,0"/>
                  <v:stroke on="f"/>
                  <v:imagedata o:title=""/>
                  <o:lock v:ext="edit" aspectratio="f"/>
                  <v:textbox inset="0mm,0mm,0mm,0mm">
                    <w:txbxContent>
                      <w:p w14:paraId="014F92AA">
                        <w:pPr>
                          <w:spacing w:before="20" w:line="111" w:lineRule="exact"/>
                          <w:ind w:left="20"/>
                          <w:rPr>
                            <w:rFonts w:ascii="Times New Roman" w:hAnsi="Times New Roman" w:eastAsia="Times New Roman" w:cs="Times New Roman"/>
                            <w:sz w:val="20"/>
                            <w:szCs w:val="20"/>
                          </w:rPr>
                        </w:pPr>
                        <w:r>
                          <w:rPr>
                            <w:rFonts w:ascii="Times New Roman" w:hAnsi="Times New Roman" w:eastAsia="Times New Roman" w:cs="Times New Roman"/>
                            <w:spacing w:val="2"/>
                            <w:position w:val="-2"/>
                            <w:sz w:val="20"/>
                            <w:szCs w:val="20"/>
                          </w:rPr>
                          <w:t>~</w:t>
                        </w:r>
                      </w:p>
                    </w:txbxContent>
                  </v:textbox>
                </v:shape>
              </w:pict>
            </w:r>
            <w:r>
              <w:rPr>
                <w:rFonts w:ascii="Times New Roman" w:hAnsi="Times New Roman" w:eastAsia="Times New Roman" w:cs="Times New Roman"/>
                <w:position w:val="-2"/>
                <w:sz w:val="20"/>
                <w:szCs w:val="20"/>
              </w:rPr>
              <w:t>50</w:t>
            </w:r>
          </w:p>
        </w:tc>
        <w:tc>
          <w:tcPr>
            <w:tcW w:w="1001" w:type="dxa"/>
            <w:vAlign w:val="top"/>
          </w:tcPr>
          <w:p w14:paraId="1B7254B8">
            <w:pPr>
              <w:pStyle w:val="6"/>
              <w:spacing w:before="73" w:line="264" w:lineRule="exact"/>
              <w:ind w:left="295"/>
              <w:rPr>
                <w:rFonts w:ascii="Times New Roman" w:hAnsi="Times New Roman" w:eastAsia="Times New Roman" w:cs="Times New Roman"/>
                <w:sz w:val="20"/>
                <w:szCs w:val="20"/>
              </w:rPr>
            </w:pPr>
            <w:r>
              <w:rPr>
                <w:rFonts w:ascii="Times New Roman" w:hAnsi="Times New Roman" w:eastAsia="Times New Roman" w:cs="Times New Roman"/>
                <w:spacing w:val="4"/>
                <w:position w:val="1"/>
                <w:sz w:val="20"/>
                <w:szCs w:val="20"/>
              </w:rPr>
              <w:t>6</w:t>
            </w:r>
            <w:r>
              <w:rPr>
                <w:spacing w:val="4"/>
                <w:position w:val="1"/>
                <w:sz w:val="20"/>
                <w:szCs w:val="20"/>
              </w:rPr>
              <w:t>～</w:t>
            </w:r>
            <w:r>
              <w:rPr>
                <w:rFonts w:ascii="Times New Roman" w:hAnsi="Times New Roman" w:eastAsia="Times New Roman" w:cs="Times New Roman"/>
                <w:spacing w:val="4"/>
                <w:position w:val="1"/>
                <w:sz w:val="20"/>
                <w:szCs w:val="20"/>
              </w:rPr>
              <w:t>9</w:t>
            </w:r>
          </w:p>
          <w:p w14:paraId="752227E3">
            <w:pPr>
              <w:spacing w:before="88" w:line="195" w:lineRule="auto"/>
              <w:ind w:left="16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0.01125</w:t>
            </w:r>
          </w:p>
          <w:p w14:paraId="1262C487">
            <w:pPr>
              <w:spacing w:before="132" w:line="195" w:lineRule="auto"/>
              <w:ind w:left="2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0.009</w:t>
            </w:r>
          </w:p>
          <w:p w14:paraId="07E823D6">
            <w:pPr>
              <w:spacing w:before="129" w:line="195" w:lineRule="auto"/>
              <w:ind w:left="16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0.00225</w:t>
            </w:r>
          </w:p>
        </w:tc>
        <w:tc>
          <w:tcPr>
            <w:tcW w:w="2410" w:type="dxa"/>
            <w:tcBorders>
              <w:right w:val="nil"/>
            </w:tcBorders>
            <w:vAlign w:val="top"/>
          </w:tcPr>
          <w:p w14:paraId="599B31AC">
            <w:pPr>
              <w:spacing w:line="323" w:lineRule="auto"/>
              <w:rPr>
                <w:rFonts w:ascii="Arial"/>
                <w:sz w:val="21"/>
              </w:rPr>
            </w:pPr>
          </w:p>
          <w:p w14:paraId="357CBAA3">
            <w:pPr>
              <w:pStyle w:val="6"/>
              <w:spacing w:before="65" w:line="280" w:lineRule="auto"/>
              <w:ind w:left="166" w:right="49" w:hanging="105"/>
              <w:rPr>
                <w:sz w:val="20"/>
                <w:szCs w:val="20"/>
              </w:rPr>
            </w:pPr>
            <w:r>
              <w:rPr>
                <w:spacing w:val="8"/>
                <w:sz w:val="20"/>
                <w:szCs w:val="20"/>
              </w:rPr>
              <w:t>与生活污水一同排入地埋</w:t>
            </w:r>
            <w:r>
              <w:rPr>
                <w:spacing w:val="7"/>
                <w:sz w:val="20"/>
                <w:szCs w:val="20"/>
              </w:rPr>
              <w:t xml:space="preserve"> </w:t>
            </w:r>
            <w:r>
              <w:rPr>
                <w:spacing w:val="8"/>
                <w:sz w:val="20"/>
                <w:szCs w:val="20"/>
              </w:rPr>
              <w:t>式一体化污水处理设施</w:t>
            </w:r>
          </w:p>
        </w:tc>
      </w:tr>
      <w:tr w14:paraId="0440B9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750" w:type="dxa"/>
            <w:tcBorders>
              <w:left w:val="nil"/>
              <w:bottom w:val="single" w:color="000000" w:sz="10" w:space="0"/>
            </w:tcBorders>
            <w:vAlign w:val="top"/>
          </w:tcPr>
          <w:p w14:paraId="02947BF3">
            <w:pPr>
              <w:spacing w:before="108" w:line="199" w:lineRule="auto"/>
              <w:ind w:left="3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785" w:type="dxa"/>
            <w:tcBorders>
              <w:bottom w:val="single" w:color="000000" w:sz="10" w:space="0"/>
            </w:tcBorders>
            <w:vAlign w:val="top"/>
          </w:tcPr>
          <w:p w14:paraId="16D22E51">
            <w:pPr>
              <w:pStyle w:val="6"/>
              <w:spacing w:before="76" w:line="229" w:lineRule="auto"/>
              <w:ind w:left="688"/>
              <w:rPr>
                <w:sz w:val="20"/>
                <w:szCs w:val="20"/>
              </w:rPr>
            </w:pPr>
            <w:r>
              <w:rPr>
                <w:spacing w:val="4"/>
                <w:sz w:val="20"/>
                <w:szCs w:val="20"/>
              </w:rPr>
              <w:t>合计</w:t>
            </w:r>
          </w:p>
        </w:tc>
        <w:tc>
          <w:tcPr>
            <w:tcW w:w="921" w:type="dxa"/>
            <w:tcBorders>
              <w:bottom w:val="single" w:color="000000" w:sz="10" w:space="0"/>
            </w:tcBorders>
            <w:vAlign w:val="top"/>
          </w:tcPr>
          <w:p w14:paraId="23A0E162">
            <w:pPr>
              <w:spacing w:before="112" w:line="195" w:lineRule="auto"/>
              <w:ind w:left="17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23.245</w:t>
            </w:r>
          </w:p>
        </w:tc>
        <w:tc>
          <w:tcPr>
            <w:tcW w:w="1113" w:type="dxa"/>
            <w:tcBorders>
              <w:bottom w:val="single" w:color="000000" w:sz="10" w:space="0"/>
            </w:tcBorders>
            <w:vAlign w:val="top"/>
          </w:tcPr>
          <w:p w14:paraId="79F1B8F5">
            <w:pPr>
              <w:spacing w:before="108" w:line="199" w:lineRule="auto"/>
              <w:ind w:left="5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31" w:type="dxa"/>
            <w:tcBorders>
              <w:bottom w:val="single" w:color="000000" w:sz="10" w:space="0"/>
            </w:tcBorders>
            <w:vAlign w:val="top"/>
          </w:tcPr>
          <w:p w14:paraId="16BBCF5E">
            <w:pPr>
              <w:spacing w:before="108" w:line="199" w:lineRule="auto"/>
              <w:ind w:left="48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01" w:type="dxa"/>
            <w:tcBorders>
              <w:bottom w:val="single" w:color="000000" w:sz="10" w:space="0"/>
            </w:tcBorders>
            <w:vAlign w:val="top"/>
          </w:tcPr>
          <w:p w14:paraId="16C898FB">
            <w:pPr>
              <w:spacing w:before="108" w:line="199" w:lineRule="auto"/>
              <w:ind w:left="4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410" w:type="dxa"/>
            <w:tcBorders>
              <w:bottom w:val="single" w:color="000000" w:sz="10" w:space="0"/>
              <w:right w:val="nil"/>
            </w:tcBorders>
            <w:vAlign w:val="top"/>
          </w:tcPr>
          <w:p w14:paraId="1FEA34F9">
            <w:pPr>
              <w:spacing w:before="108" w:line="199" w:lineRule="auto"/>
              <w:ind w:left="11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bl>
    <w:p w14:paraId="13CEF461">
      <w:pPr>
        <w:spacing w:before="120" w:line="219" w:lineRule="auto"/>
        <w:ind w:left="4"/>
        <w:outlineLvl w:val="3"/>
        <w:rPr>
          <w:rFonts w:ascii="宋体" w:hAnsi="宋体" w:eastAsia="宋体" w:cs="宋体"/>
          <w:sz w:val="24"/>
          <w:szCs w:val="24"/>
        </w:rPr>
      </w:pPr>
      <w:r>
        <w:fldChar w:fldCharType="begin"/>
      </w:r>
      <w:r>
        <w:instrText xml:space="preserve"> HYPERLINK "2.3.3.3" </w:instrText>
      </w:r>
      <w:r>
        <w:fldChar w:fldCharType="separate"/>
      </w:r>
      <w:r>
        <w:rPr>
          <w:rFonts w:ascii="Times New Roman" w:hAnsi="Times New Roman" w:eastAsia="Times New Roman" w:cs="Times New Roman"/>
          <w:b/>
          <w:bCs/>
          <w:spacing w:val="-3"/>
          <w:sz w:val="24"/>
          <w:szCs w:val="24"/>
        </w:rPr>
        <w:t>2.3.3.3</w:t>
      </w:r>
      <w:r>
        <w:rPr>
          <w:rFonts w:ascii="Times New Roman" w:hAnsi="Times New Roman" w:eastAsia="Times New Roman" w:cs="Times New Roman"/>
          <w:b/>
          <w:bCs/>
          <w:spacing w:val="-3"/>
          <w:sz w:val="24"/>
          <w:szCs w:val="24"/>
        </w:rPr>
        <w:fldChar w:fldCharType="end"/>
      </w:r>
      <w:r>
        <w:rPr>
          <w:rFonts w:ascii="Times New Roman" w:hAnsi="Times New Roman" w:eastAsia="Times New Roman" w:cs="Times New Roman"/>
          <w:b/>
          <w:bCs/>
          <w:spacing w:val="29"/>
          <w:sz w:val="24"/>
          <w:szCs w:val="24"/>
        </w:rPr>
        <w:t xml:space="preserve"> </w:t>
      </w:r>
      <w:r>
        <w:rPr>
          <w:rFonts w:ascii="宋体" w:hAnsi="宋体" w:eastAsia="宋体" w:cs="宋体"/>
          <w:b/>
          <w:bCs/>
          <w:spacing w:val="-3"/>
          <w:sz w:val="24"/>
          <w:szCs w:val="24"/>
        </w:rPr>
        <w:t>噪声产生、治理与排放情况</w:t>
      </w:r>
    </w:p>
    <w:p w14:paraId="6DE737F7">
      <w:pPr>
        <w:spacing w:before="191" w:line="358" w:lineRule="auto"/>
        <w:ind w:left="7" w:firstLine="484"/>
        <w:jc w:val="both"/>
        <w:rPr>
          <w:rFonts w:ascii="宋体" w:hAnsi="宋体" w:eastAsia="宋体" w:cs="宋体"/>
          <w:sz w:val="24"/>
          <w:szCs w:val="24"/>
        </w:rPr>
      </w:pPr>
      <w:r>
        <w:rPr>
          <w:rFonts w:ascii="宋体" w:hAnsi="宋体" w:eastAsia="宋体" w:cs="宋体"/>
          <w:spacing w:val="-8"/>
          <w:sz w:val="24"/>
          <w:szCs w:val="24"/>
        </w:rPr>
        <w:t>项目噪声源较多，设计主要采取建筑隔声和消声、减振、距离衰减等措施降低噪声，</w:t>
      </w:r>
      <w:r>
        <w:rPr>
          <w:rFonts w:ascii="宋体" w:hAnsi="宋体" w:eastAsia="宋体" w:cs="宋体"/>
          <w:sz w:val="24"/>
          <w:szCs w:val="24"/>
        </w:rPr>
        <w:t xml:space="preserve"> </w:t>
      </w:r>
      <w:r>
        <w:rPr>
          <w:rFonts w:ascii="宋体" w:hAnsi="宋体" w:eastAsia="宋体" w:cs="宋体"/>
          <w:spacing w:val="30"/>
          <w:sz w:val="24"/>
          <w:szCs w:val="24"/>
        </w:rPr>
        <w:t>采取措施后可以确保厂界环境噪声达到《</w:t>
      </w:r>
      <w:r>
        <w:rPr>
          <w:rFonts w:ascii="宋体" w:hAnsi="宋体" w:eastAsia="宋体" w:cs="宋体"/>
          <w:spacing w:val="-48"/>
          <w:sz w:val="24"/>
          <w:szCs w:val="24"/>
        </w:rPr>
        <w:t xml:space="preserve"> </w:t>
      </w:r>
      <w:r>
        <w:rPr>
          <w:rFonts w:ascii="宋体" w:hAnsi="宋体" w:eastAsia="宋体" w:cs="宋体"/>
          <w:spacing w:val="30"/>
          <w:sz w:val="24"/>
          <w:szCs w:val="24"/>
        </w:rPr>
        <w:t>工业企业</w:t>
      </w:r>
      <w:r>
        <w:rPr>
          <w:rFonts w:ascii="宋体" w:hAnsi="宋体" w:eastAsia="宋体" w:cs="宋体"/>
          <w:spacing w:val="29"/>
          <w:sz w:val="24"/>
          <w:szCs w:val="24"/>
        </w:rPr>
        <w:t>厂界环境噪声排放标准</w:t>
      </w:r>
      <w:r>
        <w:rPr>
          <w:rFonts w:ascii="宋体" w:hAnsi="宋体" w:eastAsia="宋体" w:cs="宋体"/>
          <w:spacing w:val="-64"/>
          <w:sz w:val="24"/>
          <w:szCs w:val="24"/>
        </w:rPr>
        <w:t xml:space="preserve"> </w:t>
      </w:r>
      <w:r>
        <w:rPr>
          <w:rFonts w:ascii="宋体" w:hAnsi="宋体" w:eastAsia="宋体" w:cs="宋体"/>
          <w:spacing w:val="29"/>
          <w:sz w:val="24"/>
          <w:szCs w:val="24"/>
        </w:rPr>
        <w:t>》</w:t>
      </w:r>
      <w:r>
        <w:rPr>
          <w:rFonts w:ascii="宋体" w:hAnsi="宋体" w:eastAsia="宋体" w:cs="宋体"/>
          <w:sz w:val="24"/>
          <w:szCs w:val="24"/>
        </w:rPr>
        <w:t xml:space="preserve"> （</w:t>
      </w:r>
      <w:r>
        <w:rPr>
          <w:rFonts w:ascii="Times New Roman" w:hAnsi="Times New Roman" w:eastAsia="Times New Roman" w:cs="Times New Roman"/>
          <w:sz w:val="24"/>
          <w:szCs w:val="24"/>
        </w:rPr>
        <w:t>GB12348-2008</w:t>
      </w:r>
      <w:r>
        <w:rPr>
          <w:rFonts w:ascii="宋体" w:hAnsi="宋体" w:eastAsia="宋体" w:cs="宋体"/>
          <w:sz w:val="24"/>
          <w:szCs w:val="24"/>
        </w:rPr>
        <w:t>）</w:t>
      </w:r>
      <w:r>
        <w:rPr>
          <w:rFonts w:ascii="Times New Roman" w:hAnsi="Times New Roman" w:eastAsia="Times New Roman" w:cs="Times New Roman"/>
          <w:sz w:val="24"/>
          <w:szCs w:val="24"/>
        </w:rPr>
        <w:t xml:space="preserve">3 </w:t>
      </w:r>
      <w:r>
        <w:rPr>
          <w:rFonts w:ascii="宋体" w:hAnsi="宋体" w:eastAsia="宋体" w:cs="宋体"/>
          <w:sz w:val="24"/>
          <w:szCs w:val="24"/>
        </w:rPr>
        <w:t>类标准的要求。项目主要噪声源</w:t>
      </w:r>
      <w:r>
        <w:rPr>
          <w:rFonts w:ascii="宋体" w:hAnsi="宋体" w:eastAsia="宋体" w:cs="宋体"/>
          <w:spacing w:val="-1"/>
          <w:sz w:val="24"/>
          <w:szCs w:val="24"/>
        </w:rPr>
        <w:t>源强及防治措施见表</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2.3-23</w:t>
      </w:r>
      <w:r>
        <w:rPr>
          <w:rFonts w:ascii="宋体" w:hAnsi="宋体" w:eastAsia="宋体" w:cs="宋体"/>
          <w:spacing w:val="-1"/>
          <w:sz w:val="24"/>
          <w:szCs w:val="24"/>
        </w:rPr>
        <w:t>。</w:t>
      </w:r>
    </w:p>
    <w:p w14:paraId="23F1364A">
      <w:pPr>
        <w:spacing w:line="358" w:lineRule="auto"/>
        <w:rPr>
          <w:rFonts w:ascii="宋体" w:hAnsi="宋体" w:eastAsia="宋体" w:cs="宋体"/>
          <w:sz w:val="24"/>
          <w:szCs w:val="24"/>
        </w:rPr>
        <w:sectPr>
          <w:headerReference r:id="rId182" w:type="default"/>
          <w:footerReference r:id="rId183" w:type="default"/>
          <w:pgSz w:w="11850" w:h="16781"/>
          <w:pgMar w:top="1190" w:right="1354" w:bottom="1013" w:left="1417" w:header="882" w:footer="850" w:gutter="0"/>
          <w:cols w:space="720" w:num="1"/>
        </w:sectPr>
      </w:pPr>
    </w:p>
    <w:p w14:paraId="20C48C05">
      <w:pPr>
        <w:pStyle w:val="2"/>
        <w:spacing w:line="277" w:lineRule="auto"/>
      </w:pPr>
      <w:r>
        <w:pict>
          <v:shape id="_x0000_s1235" o:spid="_x0000_s1235" style="position:absolute;left:0pt;margin-left:0pt;margin-top:0.7pt;height:0.75pt;width:450.75pt;z-index:251893760;mso-width-relative:page;mso-height-relative:page;" fillcolor="#000000" filled="t" stroked="f" coordsize="9015,15" path="m0,0l9014,0,9014,14,0,14,0,0xe">
            <v:path/>
            <v:fill on="t" focussize="0,0"/>
            <v:stroke on="f"/>
            <v:imagedata o:title=""/>
            <o:lock v:ext="edit"/>
          </v:shape>
        </w:pict>
      </w:r>
    </w:p>
    <w:p w14:paraId="081D4626">
      <w:pPr>
        <w:spacing w:before="65" w:line="228" w:lineRule="auto"/>
        <w:ind w:left="2953"/>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5"/>
          <w:sz w:val="20"/>
          <w:szCs w:val="20"/>
        </w:rPr>
        <w:t xml:space="preserve">2.3-23        </w:t>
      </w:r>
      <w:r>
        <w:rPr>
          <w:rFonts w:ascii="宋体" w:hAnsi="宋体" w:eastAsia="宋体" w:cs="宋体"/>
          <w:b/>
          <w:bCs/>
          <w:spacing w:val="5"/>
          <w:sz w:val="20"/>
          <w:szCs w:val="20"/>
        </w:rPr>
        <w:t>项目噪声源</w:t>
      </w:r>
      <w:r>
        <w:rPr>
          <w:rFonts w:ascii="宋体" w:hAnsi="宋体" w:eastAsia="宋体" w:cs="宋体"/>
          <w:b/>
          <w:bCs/>
          <w:spacing w:val="4"/>
          <w:sz w:val="20"/>
          <w:szCs w:val="20"/>
        </w:rPr>
        <w:t>强一览表</w:t>
      </w:r>
    </w:p>
    <w:p w14:paraId="09FFD89E">
      <w:pPr>
        <w:spacing w:line="79" w:lineRule="exact"/>
      </w:pPr>
    </w:p>
    <w:tbl>
      <w:tblPr>
        <w:tblStyle w:val="5"/>
        <w:tblW w:w="901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7"/>
        <w:gridCol w:w="1669"/>
        <w:gridCol w:w="1406"/>
        <w:gridCol w:w="834"/>
        <w:gridCol w:w="870"/>
        <w:gridCol w:w="2138"/>
        <w:gridCol w:w="1350"/>
      </w:tblGrid>
      <w:tr w14:paraId="0E7057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47" w:type="dxa"/>
            <w:tcBorders>
              <w:top w:val="single" w:color="000000" w:sz="10" w:space="0"/>
              <w:left w:val="nil"/>
            </w:tcBorders>
            <w:vAlign w:val="top"/>
          </w:tcPr>
          <w:p w14:paraId="61BF4609">
            <w:pPr>
              <w:pStyle w:val="6"/>
              <w:spacing w:before="58" w:line="229" w:lineRule="auto"/>
              <w:ind w:left="169"/>
              <w:rPr>
                <w:sz w:val="20"/>
                <w:szCs w:val="20"/>
              </w:rPr>
            </w:pPr>
            <w:r>
              <w:rPr>
                <w:spacing w:val="5"/>
                <w:sz w:val="20"/>
                <w:szCs w:val="20"/>
              </w:rPr>
              <w:t>序号</w:t>
            </w:r>
          </w:p>
        </w:tc>
        <w:tc>
          <w:tcPr>
            <w:tcW w:w="1669" w:type="dxa"/>
            <w:tcBorders>
              <w:top w:val="single" w:color="000000" w:sz="10" w:space="0"/>
            </w:tcBorders>
            <w:vAlign w:val="top"/>
          </w:tcPr>
          <w:p w14:paraId="0638E994">
            <w:pPr>
              <w:pStyle w:val="6"/>
              <w:spacing w:before="58" w:line="228" w:lineRule="auto"/>
              <w:ind w:left="534"/>
              <w:rPr>
                <w:sz w:val="20"/>
                <w:szCs w:val="20"/>
              </w:rPr>
            </w:pPr>
            <w:r>
              <w:rPr>
                <w:spacing w:val="3"/>
                <w:sz w:val="20"/>
                <w:szCs w:val="20"/>
              </w:rPr>
              <w:t>噪声源</w:t>
            </w:r>
          </w:p>
        </w:tc>
        <w:tc>
          <w:tcPr>
            <w:tcW w:w="1406" w:type="dxa"/>
            <w:tcBorders>
              <w:top w:val="single" w:color="000000" w:sz="10" w:space="0"/>
            </w:tcBorders>
            <w:vAlign w:val="top"/>
          </w:tcPr>
          <w:p w14:paraId="20A0022F">
            <w:pPr>
              <w:pStyle w:val="6"/>
              <w:spacing w:before="58" w:line="221" w:lineRule="auto"/>
              <w:ind w:left="103"/>
              <w:rPr>
                <w:rFonts w:ascii="Times New Roman" w:hAnsi="Times New Roman" w:eastAsia="Times New Roman" w:cs="Times New Roman"/>
                <w:sz w:val="20"/>
                <w:szCs w:val="20"/>
              </w:rPr>
            </w:pPr>
            <w:r>
              <w:rPr>
                <w:spacing w:val="5"/>
                <w:sz w:val="20"/>
                <w:szCs w:val="20"/>
              </w:rPr>
              <w:t>声压级</w:t>
            </w:r>
            <w:r>
              <w:rPr>
                <w:spacing w:val="-38"/>
                <w:sz w:val="20"/>
                <w:szCs w:val="20"/>
              </w:rPr>
              <w:t xml:space="preserve"> </w:t>
            </w:r>
            <w:r>
              <w:rPr>
                <w:rFonts w:ascii="Times New Roman" w:hAnsi="Times New Roman" w:eastAsia="Times New Roman" w:cs="Times New Roman"/>
                <w:sz w:val="20"/>
                <w:szCs w:val="20"/>
              </w:rPr>
              <w:t>dB</w:t>
            </w:r>
            <w:r>
              <w:rPr>
                <w:rFonts w:ascii="Times New Roman" w:hAnsi="Times New Roman" w:eastAsia="Times New Roman" w:cs="Times New Roman"/>
                <w:spacing w:val="5"/>
                <w:sz w:val="20"/>
                <w:szCs w:val="20"/>
              </w:rPr>
              <w:t>(A)</w:t>
            </w:r>
          </w:p>
        </w:tc>
        <w:tc>
          <w:tcPr>
            <w:tcW w:w="834" w:type="dxa"/>
            <w:tcBorders>
              <w:top w:val="single" w:color="000000" w:sz="10" w:space="0"/>
            </w:tcBorders>
            <w:vAlign w:val="top"/>
          </w:tcPr>
          <w:p w14:paraId="62E7FDB9">
            <w:pPr>
              <w:pStyle w:val="6"/>
              <w:spacing w:before="58" w:line="228" w:lineRule="auto"/>
              <w:ind w:left="214"/>
              <w:rPr>
                <w:sz w:val="20"/>
                <w:szCs w:val="20"/>
              </w:rPr>
            </w:pPr>
            <w:r>
              <w:rPr>
                <w:spacing w:val="4"/>
                <w:sz w:val="20"/>
                <w:szCs w:val="20"/>
              </w:rPr>
              <w:t>特点</w:t>
            </w:r>
          </w:p>
        </w:tc>
        <w:tc>
          <w:tcPr>
            <w:tcW w:w="870" w:type="dxa"/>
            <w:tcBorders>
              <w:top w:val="single" w:color="000000" w:sz="10" w:space="0"/>
            </w:tcBorders>
            <w:vAlign w:val="top"/>
          </w:tcPr>
          <w:p w14:paraId="5B2256E8">
            <w:pPr>
              <w:pStyle w:val="6"/>
              <w:spacing w:before="58" w:line="229" w:lineRule="auto"/>
              <w:ind w:left="232"/>
              <w:rPr>
                <w:sz w:val="20"/>
                <w:szCs w:val="20"/>
              </w:rPr>
            </w:pPr>
            <w:r>
              <w:rPr>
                <w:spacing w:val="4"/>
                <w:sz w:val="20"/>
                <w:szCs w:val="20"/>
              </w:rPr>
              <w:t>位置</w:t>
            </w:r>
          </w:p>
        </w:tc>
        <w:tc>
          <w:tcPr>
            <w:tcW w:w="2138" w:type="dxa"/>
            <w:tcBorders>
              <w:top w:val="single" w:color="000000" w:sz="10" w:space="0"/>
            </w:tcBorders>
            <w:vAlign w:val="top"/>
          </w:tcPr>
          <w:p w14:paraId="5333B133">
            <w:pPr>
              <w:pStyle w:val="6"/>
              <w:spacing w:before="58" w:line="228" w:lineRule="auto"/>
              <w:ind w:left="655"/>
              <w:rPr>
                <w:sz w:val="20"/>
                <w:szCs w:val="20"/>
              </w:rPr>
            </w:pPr>
            <w:r>
              <w:rPr>
                <w:spacing w:val="7"/>
                <w:sz w:val="20"/>
                <w:szCs w:val="20"/>
              </w:rPr>
              <w:t>控制措施</w:t>
            </w:r>
          </w:p>
        </w:tc>
        <w:tc>
          <w:tcPr>
            <w:tcW w:w="1350" w:type="dxa"/>
            <w:tcBorders>
              <w:top w:val="single" w:color="000000" w:sz="10" w:space="0"/>
              <w:right w:val="nil"/>
            </w:tcBorders>
            <w:vAlign w:val="top"/>
          </w:tcPr>
          <w:p w14:paraId="7ECDF6FC">
            <w:pPr>
              <w:pStyle w:val="6"/>
              <w:spacing w:before="58" w:line="221" w:lineRule="auto"/>
              <w:ind w:left="89"/>
              <w:rPr>
                <w:rFonts w:ascii="Times New Roman" w:hAnsi="Times New Roman" w:eastAsia="Times New Roman" w:cs="Times New Roman"/>
                <w:sz w:val="20"/>
                <w:szCs w:val="20"/>
              </w:rPr>
            </w:pPr>
            <w:r>
              <w:rPr>
                <w:spacing w:val="3"/>
                <w:sz w:val="20"/>
                <w:szCs w:val="20"/>
              </w:rPr>
              <w:t>降噪后</w:t>
            </w:r>
            <w:r>
              <w:rPr>
                <w:spacing w:val="-38"/>
                <w:sz w:val="20"/>
                <w:szCs w:val="20"/>
              </w:rPr>
              <w:t xml:space="preserve"> </w:t>
            </w:r>
            <w:r>
              <w:rPr>
                <w:rFonts w:ascii="Times New Roman" w:hAnsi="Times New Roman" w:eastAsia="Times New Roman" w:cs="Times New Roman"/>
                <w:sz w:val="20"/>
                <w:szCs w:val="20"/>
              </w:rPr>
              <w:t>dB</w:t>
            </w:r>
            <w:r>
              <w:rPr>
                <w:rFonts w:ascii="Times New Roman" w:hAnsi="Times New Roman" w:eastAsia="Times New Roman" w:cs="Times New Roman"/>
                <w:spacing w:val="3"/>
                <w:sz w:val="20"/>
                <w:szCs w:val="20"/>
              </w:rPr>
              <w:t>(A)</w:t>
            </w:r>
          </w:p>
        </w:tc>
      </w:tr>
      <w:tr w14:paraId="375A89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47" w:type="dxa"/>
            <w:tcBorders>
              <w:left w:val="nil"/>
            </w:tcBorders>
            <w:vAlign w:val="top"/>
          </w:tcPr>
          <w:p w14:paraId="6062EF24">
            <w:pPr>
              <w:spacing w:before="89" w:line="195" w:lineRule="auto"/>
              <w:ind w:left="345"/>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669" w:type="dxa"/>
            <w:vAlign w:val="top"/>
          </w:tcPr>
          <w:p w14:paraId="675972EB">
            <w:pPr>
              <w:pStyle w:val="6"/>
              <w:spacing w:before="53" w:line="227" w:lineRule="auto"/>
              <w:ind w:left="330"/>
              <w:rPr>
                <w:sz w:val="20"/>
                <w:szCs w:val="20"/>
              </w:rPr>
            </w:pPr>
            <w:r>
              <w:rPr>
                <w:spacing w:val="4"/>
                <w:sz w:val="20"/>
                <w:szCs w:val="20"/>
              </w:rPr>
              <w:t>圆筒混合机</w:t>
            </w:r>
          </w:p>
        </w:tc>
        <w:tc>
          <w:tcPr>
            <w:tcW w:w="1406" w:type="dxa"/>
            <w:vAlign w:val="top"/>
          </w:tcPr>
          <w:p w14:paraId="51F08547">
            <w:pPr>
              <w:spacing w:before="89" w:line="195"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90~</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1"/>
                <w:sz w:val="20"/>
                <w:szCs w:val="20"/>
              </w:rPr>
              <w:t>100</w:t>
            </w:r>
          </w:p>
        </w:tc>
        <w:tc>
          <w:tcPr>
            <w:tcW w:w="834" w:type="dxa"/>
            <w:vAlign w:val="top"/>
          </w:tcPr>
          <w:p w14:paraId="7DD78690">
            <w:pPr>
              <w:pStyle w:val="6"/>
              <w:spacing w:before="53" w:line="228" w:lineRule="auto"/>
              <w:ind w:left="215"/>
              <w:rPr>
                <w:sz w:val="20"/>
                <w:szCs w:val="20"/>
              </w:rPr>
            </w:pPr>
            <w:r>
              <w:rPr>
                <w:spacing w:val="4"/>
                <w:sz w:val="20"/>
                <w:szCs w:val="20"/>
              </w:rPr>
              <w:t>连续</w:t>
            </w:r>
          </w:p>
        </w:tc>
        <w:tc>
          <w:tcPr>
            <w:tcW w:w="870" w:type="dxa"/>
            <w:vAlign w:val="top"/>
          </w:tcPr>
          <w:p w14:paraId="07D85C48">
            <w:pPr>
              <w:pStyle w:val="6"/>
              <w:spacing w:before="53" w:line="228" w:lineRule="auto"/>
              <w:ind w:left="235"/>
              <w:rPr>
                <w:sz w:val="20"/>
                <w:szCs w:val="20"/>
              </w:rPr>
            </w:pPr>
            <w:r>
              <w:rPr>
                <w:spacing w:val="3"/>
                <w:sz w:val="20"/>
                <w:szCs w:val="20"/>
              </w:rPr>
              <w:t>室内</w:t>
            </w:r>
          </w:p>
        </w:tc>
        <w:tc>
          <w:tcPr>
            <w:tcW w:w="2138" w:type="dxa"/>
            <w:vAlign w:val="top"/>
          </w:tcPr>
          <w:p w14:paraId="03A2ED2E">
            <w:pPr>
              <w:pStyle w:val="6"/>
              <w:spacing w:before="53" w:line="228" w:lineRule="auto"/>
              <w:ind w:left="37"/>
              <w:rPr>
                <w:sz w:val="20"/>
                <w:szCs w:val="20"/>
              </w:rPr>
            </w:pPr>
            <w:r>
              <w:rPr>
                <w:spacing w:val="7"/>
                <w:sz w:val="20"/>
                <w:szCs w:val="20"/>
              </w:rPr>
              <w:t>隔声、减振、距离衰减</w:t>
            </w:r>
          </w:p>
        </w:tc>
        <w:tc>
          <w:tcPr>
            <w:tcW w:w="1350" w:type="dxa"/>
            <w:tcBorders>
              <w:right w:val="nil"/>
            </w:tcBorders>
            <w:vAlign w:val="top"/>
          </w:tcPr>
          <w:p w14:paraId="0DEAF7D5">
            <w:pPr>
              <w:spacing w:before="92" w:line="192"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≤75</w:t>
            </w:r>
          </w:p>
        </w:tc>
      </w:tr>
      <w:tr w14:paraId="23A3D7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47" w:type="dxa"/>
            <w:tcBorders>
              <w:left w:val="nil"/>
            </w:tcBorders>
            <w:vAlign w:val="top"/>
          </w:tcPr>
          <w:p w14:paraId="6085E93A">
            <w:pPr>
              <w:spacing w:before="92" w:line="195" w:lineRule="auto"/>
              <w:ind w:left="32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669" w:type="dxa"/>
            <w:vAlign w:val="top"/>
          </w:tcPr>
          <w:p w14:paraId="3B1AE606">
            <w:pPr>
              <w:pStyle w:val="6"/>
              <w:spacing w:before="56" w:line="227" w:lineRule="auto"/>
              <w:ind w:left="523"/>
              <w:rPr>
                <w:sz w:val="20"/>
                <w:szCs w:val="20"/>
              </w:rPr>
            </w:pPr>
            <w:r>
              <w:rPr>
                <w:spacing w:val="7"/>
                <w:sz w:val="20"/>
                <w:szCs w:val="20"/>
              </w:rPr>
              <w:t>烧结机</w:t>
            </w:r>
          </w:p>
        </w:tc>
        <w:tc>
          <w:tcPr>
            <w:tcW w:w="1406" w:type="dxa"/>
            <w:vAlign w:val="top"/>
          </w:tcPr>
          <w:p w14:paraId="2AB064EA">
            <w:pPr>
              <w:spacing w:before="92" w:line="195"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95~</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1"/>
                <w:sz w:val="20"/>
                <w:szCs w:val="20"/>
              </w:rPr>
              <w:t>100</w:t>
            </w:r>
          </w:p>
        </w:tc>
        <w:tc>
          <w:tcPr>
            <w:tcW w:w="834" w:type="dxa"/>
            <w:vAlign w:val="top"/>
          </w:tcPr>
          <w:p w14:paraId="78C018F1">
            <w:pPr>
              <w:pStyle w:val="6"/>
              <w:spacing w:before="56" w:line="228" w:lineRule="auto"/>
              <w:ind w:left="215"/>
              <w:rPr>
                <w:sz w:val="20"/>
                <w:szCs w:val="20"/>
              </w:rPr>
            </w:pPr>
            <w:r>
              <w:rPr>
                <w:spacing w:val="4"/>
                <w:sz w:val="20"/>
                <w:szCs w:val="20"/>
              </w:rPr>
              <w:t>连续</w:t>
            </w:r>
          </w:p>
        </w:tc>
        <w:tc>
          <w:tcPr>
            <w:tcW w:w="870" w:type="dxa"/>
            <w:vAlign w:val="top"/>
          </w:tcPr>
          <w:p w14:paraId="216A9CB5">
            <w:pPr>
              <w:pStyle w:val="6"/>
              <w:spacing w:before="56" w:line="228" w:lineRule="auto"/>
              <w:ind w:left="235"/>
              <w:rPr>
                <w:sz w:val="20"/>
                <w:szCs w:val="20"/>
              </w:rPr>
            </w:pPr>
            <w:r>
              <w:rPr>
                <w:spacing w:val="3"/>
                <w:sz w:val="20"/>
                <w:szCs w:val="20"/>
              </w:rPr>
              <w:t>室外</w:t>
            </w:r>
          </w:p>
        </w:tc>
        <w:tc>
          <w:tcPr>
            <w:tcW w:w="2138" w:type="dxa"/>
            <w:vAlign w:val="top"/>
          </w:tcPr>
          <w:p w14:paraId="5CAB9C7F">
            <w:pPr>
              <w:pStyle w:val="6"/>
              <w:spacing w:before="56" w:line="228" w:lineRule="auto"/>
              <w:ind w:left="339"/>
              <w:rPr>
                <w:sz w:val="20"/>
                <w:szCs w:val="20"/>
              </w:rPr>
            </w:pPr>
            <w:r>
              <w:rPr>
                <w:spacing w:val="8"/>
                <w:sz w:val="20"/>
                <w:szCs w:val="20"/>
              </w:rPr>
              <w:t>减振、距离衰减</w:t>
            </w:r>
          </w:p>
        </w:tc>
        <w:tc>
          <w:tcPr>
            <w:tcW w:w="1350" w:type="dxa"/>
            <w:tcBorders>
              <w:right w:val="nil"/>
            </w:tcBorders>
            <w:vAlign w:val="top"/>
          </w:tcPr>
          <w:p w14:paraId="611B6429">
            <w:pPr>
              <w:spacing w:before="92" w:line="195"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≤80</w:t>
            </w:r>
          </w:p>
        </w:tc>
      </w:tr>
      <w:tr w14:paraId="4284E5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47" w:type="dxa"/>
            <w:tcBorders>
              <w:left w:val="nil"/>
            </w:tcBorders>
            <w:vAlign w:val="top"/>
          </w:tcPr>
          <w:p w14:paraId="4764CEEE">
            <w:pPr>
              <w:spacing w:before="91" w:line="195" w:lineRule="auto"/>
              <w:ind w:left="329"/>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669" w:type="dxa"/>
            <w:vAlign w:val="top"/>
          </w:tcPr>
          <w:p w14:paraId="5FEB0347">
            <w:pPr>
              <w:pStyle w:val="6"/>
              <w:spacing w:before="55" w:line="227" w:lineRule="auto"/>
              <w:ind w:left="315"/>
              <w:rPr>
                <w:sz w:val="20"/>
                <w:szCs w:val="20"/>
              </w:rPr>
            </w:pPr>
            <w:r>
              <w:rPr>
                <w:spacing w:val="7"/>
                <w:sz w:val="20"/>
                <w:szCs w:val="20"/>
              </w:rPr>
              <w:t>单辊破碎机</w:t>
            </w:r>
          </w:p>
        </w:tc>
        <w:tc>
          <w:tcPr>
            <w:tcW w:w="1406" w:type="dxa"/>
            <w:vAlign w:val="top"/>
          </w:tcPr>
          <w:p w14:paraId="09112DB5">
            <w:pPr>
              <w:spacing w:before="91" w:line="195" w:lineRule="auto"/>
              <w:ind w:left="4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85~90</w:t>
            </w:r>
          </w:p>
        </w:tc>
        <w:tc>
          <w:tcPr>
            <w:tcW w:w="834" w:type="dxa"/>
            <w:vAlign w:val="top"/>
          </w:tcPr>
          <w:p w14:paraId="3F724163">
            <w:pPr>
              <w:pStyle w:val="6"/>
              <w:spacing w:before="56" w:line="228" w:lineRule="auto"/>
              <w:ind w:left="215"/>
              <w:rPr>
                <w:sz w:val="20"/>
                <w:szCs w:val="20"/>
              </w:rPr>
            </w:pPr>
            <w:r>
              <w:rPr>
                <w:spacing w:val="4"/>
                <w:sz w:val="20"/>
                <w:szCs w:val="20"/>
              </w:rPr>
              <w:t>连续</w:t>
            </w:r>
          </w:p>
        </w:tc>
        <w:tc>
          <w:tcPr>
            <w:tcW w:w="870" w:type="dxa"/>
            <w:vAlign w:val="top"/>
          </w:tcPr>
          <w:p w14:paraId="29791937">
            <w:pPr>
              <w:pStyle w:val="6"/>
              <w:spacing w:before="55" w:line="228" w:lineRule="auto"/>
              <w:ind w:left="235"/>
              <w:rPr>
                <w:sz w:val="20"/>
                <w:szCs w:val="20"/>
              </w:rPr>
            </w:pPr>
            <w:r>
              <w:rPr>
                <w:spacing w:val="3"/>
                <w:sz w:val="20"/>
                <w:szCs w:val="20"/>
              </w:rPr>
              <w:t>室内</w:t>
            </w:r>
          </w:p>
        </w:tc>
        <w:tc>
          <w:tcPr>
            <w:tcW w:w="2138" w:type="dxa"/>
            <w:vAlign w:val="top"/>
          </w:tcPr>
          <w:p w14:paraId="34447CF6">
            <w:pPr>
              <w:pStyle w:val="6"/>
              <w:spacing w:before="56" w:line="228" w:lineRule="auto"/>
              <w:ind w:left="562"/>
              <w:rPr>
                <w:sz w:val="20"/>
                <w:szCs w:val="20"/>
              </w:rPr>
            </w:pPr>
            <w:r>
              <w:rPr>
                <w:spacing w:val="5"/>
                <w:sz w:val="20"/>
                <w:szCs w:val="20"/>
              </w:rPr>
              <w:t>隔声、减振</w:t>
            </w:r>
          </w:p>
        </w:tc>
        <w:tc>
          <w:tcPr>
            <w:tcW w:w="1350" w:type="dxa"/>
            <w:tcBorders>
              <w:right w:val="nil"/>
            </w:tcBorders>
            <w:vAlign w:val="top"/>
          </w:tcPr>
          <w:p w14:paraId="5AE40FAC">
            <w:pPr>
              <w:spacing w:before="92" w:line="195"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≤70</w:t>
            </w:r>
          </w:p>
        </w:tc>
      </w:tr>
      <w:tr w14:paraId="752896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47" w:type="dxa"/>
            <w:tcBorders>
              <w:left w:val="nil"/>
            </w:tcBorders>
            <w:vAlign w:val="top"/>
          </w:tcPr>
          <w:p w14:paraId="66581CAC">
            <w:pPr>
              <w:spacing w:before="94" w:line="195" w:lineRule="auto"/>
              <w:ind w:left="32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669" w:type="dxa"/>
            <w:vAlign w:val="top"/>
          </w:tcPr>
          <w:p w14:paraId="7105E196">
            <w:pPr>
              <w:pStyle w:val="6"/>
              <w:spacing w:before="57" w:line="228" w:lineRule="auto"/>
              <w:ind w:left="524"/>
              <w:rPr>
                <w:sz w:val="20"/>
                <w:szCs w:val="20"/>
              </w:rPr>
            </w:pPr>
            <w:r>
              <w:rPr>
                <w:spacing w:val="6"/>
                <w:sz w:val="20"/>
                <w:szCs w:val="20"/>
              </w:rPr>
              <w:t>滚筒筛</w:t>
            </w:r>
          </w:p>
        </w:tc>
        <w:tc>
          <w:tcPr>
            <w:tcW w:w="1406" w:type="dxa"/>
            <w:vAlign w:val="top"/>
          </w:tcPr>
          <w:p w14:paraId="594F120B">
            <w:pPr>
              <w:spacing w:before="93" w:line="195" w:lineRule="auto"/>
              <w:ind w:left="4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80~85</w:t>
            </w:r>
          </w:p>
        </w:tc>
        <w:tc>
          <w:tcPr>
            <w:tcW w:w="834" w:type="dxa"/>
            <w:vAlign w:val="top"/>
          </w:tcPr>
          <w:p w14:paraId="6043C5EF">
            <w:pPr>
              <w:pStyle w:val="6"/>
              <w:spacing w:before="58" w:line="228" w:lineRule="auto"/>
              <w:ind w:left="215"/>
              <w:rPr>
                <w:sz w:val="20"/>
                <w:szCs w:val="20"/>
              </w:rPr>
            </w:pPr>
            <w:r>
              <w:rPr>
                <w:spacing w:val="4"/>
                <w:sz w:val="20"/>
                <w:szCs w:val="20"/>
              </w:rPr>
              <w:t>连续</w:t>
            </w:r>
          </w:p>
        </w:tc>
        <w:tc>
          <w:tcPr>
            <w:tcW w:w="870" w:type="dxa"/>
            <w:vAlign w:val="top"/>
          </w:tcPr>
          <w:p w14:paraId="1F54DC00">
            <w:pPr>
              <w:pStyle w:val="6"/>
              <w:spacing w:before="57" w:line="228" w:lineRule="auto"/>
              <w:ind w:left="235"/>
              <w:rPr>
                <w:sz w:val="20"/>
                <w:szCs w:val="20"/>
              </w:rPr>
            </w:pPr>
            <w:r>
              <w:rPr>
                <w:spacing w:val="3"/>
                <w:sz w:val="20"/>
                <w:szCs w:val="20"/>
              </w:rPr>
              <w:t>室内</w:t>
            </w:r>
          </w:p>
        </w:tc>
        <w:tc>
          <w:tcPr>
            <w:tcW w:w="2138" w:type="dxa"/>
            <w:vAlign w:val="top"/>
          </w:tcPr>
          <w:p w14:paraId="341FCC76">
            <w:pPr>
              <w:pStyle w:val="6"/>
              <w:spacing w:before="58" w:line="228" w:lineRule="auto"/>
              <w:ind w:left="550"/>
              <w:rPr>
                <w:sz w:val="20"/>
                <w:szCs w:val="20"/>
              </w:rPr>
            </w:pPr>
            <w:r>
              <w:rPr>
                <w:spacing w:val="8"/>
                <w:sz w:val="20"/>
                <w:szCs w:val="20"/>
              </w:rPr>
              <w:t>减振、隔声</w:t>
            </w:r>
          </w:p>
        </w:tc>
        <w:tc>
          <w:tcPr>
            <w:tcW w:w="1350" w:type="dxa"/>
            <w:tcBorders>
              <w:right w:val="nil"/>
            </w:tcBorders>
            <w:vAlign w:val="top"/>
          </w:tcPr>
          <w:p w14:paraId="58D3812F">
            <w:pPr>
              <w:spacing w:before="97" w:line="192"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≤75</w:t>
            </w:r>
          </w:p>
        </w:tc>
      </w:tr>
      <w:tr w14:paraId="2657D9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47" w:type="dxa"/>
            <w:tcBorders>
              <w:left w:val="nil"/>
            </w:tcBorders>
            <w:vAlign w:val="top"/>
          </w:tcPr>
          <w:p w14:paraId="7FC484A5">
            <w:pPr>
              <w:spacing w:before="96" w:line="192" w:lineRule="auto"/>
              <w:ind w:left="330"/>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669" w:type="dxa"/>
            <w:vAlign w:val="top"/>
          </w:tcPr>
          <w:p w14:paraId="58ED2775">
            <w:pPr>
              <w:pStyle w:val="6"/>
              <w:spacing w:before="57" w:line="227" w:lineRule="auto"/>
              <w:ind w:left="524"/>
              <w:rPr>
                <w:sz w:val="20"/>
                <w:szCs w:val="20"/>
              </w:rPr>
            </w:pPr>
            <w:r>
              <w:rPr>
                <w:spacing w:val="6"/>
                <w:sz w:val="20"/>
                <w:szCs w:val="20"/>
              </w:rPr>
              <w:t>球磨机</w:t>
            </w:r>
          </w:p>
        </w:tc>
        <w:tc>
          <w:tcPr>
            <w:tcW w:w="1406" w:type="dxa"/>
            <w:vAlign w:val="top"/>
          </w:tcPr>
          <w:p w14:paraId="303BCA1B">
            <w:pPr>
              <w:spacing w:before="93" w:line="195"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90~</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1"/>
                <w:sz w:val="20"/>
                <w:szCs w:val="20"/>
              </w:rPr>
              <w:t>100</w:t>
            </w:r>
          </w:p>
        </w:tc>
        <w:tc>
          <w:tcPr>
            <w:tcW w:w="834" w:type="dxa"/>
            <w:vAlign w:val="top"/>
          </w:tcPr>
          <w:p w14:paraId="77BC72F3">
            <w:pPr>
              <w:pStyle w:val="6"/>
              <w:spacing w:before="58" w:line="228" w:lineRule="auto"/>
              <w:ind w:left="215"/>
              <w:rPr>
                <w:sz w:val="20"/>
                <w:szCs w:val="20"/>
              </w:rPr>
            </w:pPr>
            <w:r>
              <w:rPr>
                <w:spacing w:val="4"/>
                <w:sz w:val="20"/>
                <w:szCs w:val="20"/>
              </w:rPr>
              <w:t>连续</w:t>
            </w:r>
          </w:p>
        </w:tc>
        <w:tc>
          <w:tcPr>
            <w:tcW w:w="870" w:type="dxa"/>
            <w:vAlign w:val="top"/>
          </w:tcPr>
          <w:p w14:paraId="6E0C1A94">
            <w:pPr>
              <w:pStyle w:val="6"/>
              <w:spacing w:before="57" w:line="228" w:lineRule="auto"/>
              <w:ind w:left="235"/>
              <w:rPr>
                <w:sz w:val="20"/>
                <w:szCs w:val="20"/>
              </w:rPr>
            </w:pPr>
            <w:r>
              <w:rPr>
                <w:spacing w:val="3"/>
                <w:sz w:val="20"/>
                <w:szCs w:val="20"/>
              </w:rPr>
              <w:t>室内</w:t>
            </w:r>
          </w:p>
        </w:tc>
        <w:tc>
          <w:tcPr>
            <w:tcW w:w="2138" w:type="dxa"/>
            <w:vAlign w:val="top"/>
          </w:tcPr>
          <w:p w14:paraId="221AC215">
            <w:pPr>
              <w:pStyle w:val="6"/>
              <w:spacing w:before="58" w:line="228" w:lineRule="auto"/>
              <w:ind w:left="550"/>
              <w:rPr>
                <w:sz w:val="20"/>
                <w:szCs w:val="20"/>
              </w:rPr>
            </w:pPr>
            <w:r>
              <w:rPr>
                <w:spacing w:val="8"/>
                <w:sz w:val="20"/>
                <w:szCs w:val="20"/>
              </w:rPr>
              <w:t>减振、隔声</w:t>
            </w:r>
          </w:p>
        </w:tc>
        <w:tc>
          <w:tcPr>
            <w:tcW w:w="1350" w:type="dxa"/>
            <w:tcBorders>
              <w:right w:val="nil"/>
            </w:tcBorders>
            <w:vAlign w:val="top"/>
          </w:tcPr>
          <w:p w14:paraId="303353FE">
            <w:pPr>
              <w:spacing w:before="94" w:line="195"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≤80</w:t>
            </w:r>
          </w:p>
        </w:tc>
      </w:tr>
      <w:tr w14:paraId="365BBD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47" w:type="dxa"/>
            <w:tcBorders>
              <w:left w:val="nil"/>
            </w:tcBorders>
            <w:vAlign w:val="top"/>
          </w:tcPr>
          <w:p w14:paraId="386A2248">
            <w:pPr>
              <w:spacing w:before="96" w:line="195" w:lineRule="auto"/>
              <w:ind w:left="329"/>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669" w:type="dxa"/>
            <w:vAlign w:val="top"/>
          </w:tcPr>
          <w:p w14:paraId="715A8256">
            <w:pPr>
              <w:pStyle w:val="6"/>
              <w:spacing w:before="60" w:line="227" w:lineRule="auto"/>
              <w:ind w:left="525"/>
              <w:rPr>
                <w:sz w:val="20"/>
                <w:szCs w:val="20"/>
              </w:rPr>
            </w:pPr>
            <w:r>
              <w:rPr>
                <w:spacing w:val="6"/>
                <w:sz w:val="20"/>
                <w:szCs w:val="20"/>
              </w:rPr>
              <w:t>压滤机</w:t>
            </w:r>
          </w:p>
        </w:tc>
        <w:tc>
          <w:tcPr>
            <w:tcW w:w="1406" w:type="dxa"/>
            <w:vAlign w:val="top"/>
          </w:tcPr>
          <w:p w14:paraId="0D0F9AA1">
            <w:pPr>
              <w:spacing w:before="96" w:line="195" w:lineRule="auto"/>
              <w:ind w:left="4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80~85</w:t>
            </w:r>
          </w:p>
        </w:tc>
        <w:tc>
          <w:tcPr>
            <w:tcW w:w="834" w:type="dxa"/>
            <w:vAlign w:val="top"/>
          </w:tcPr>
          <w:p w14:paraId="09D6C45E">
            <w:pPr>
              <w:pStyle w:val="6"/>
              <w:spacing w:before="61" w:line="227" w:lineRule="auto"/>
              <w:ind w:left="215"/>
              <w:rPr>
                <w:sz w:val="20"/>
                <w:szCs w:val="20"/>
              </w:rPr>
            </w:pPr>
            <w:r>
              <w:rPr>
                <w:spacing w:val="4"/>
                <w:sz w:val="20"/>
                <w:szCs w:val="20"/>
              </w:rPr>
              <w:t>连续</w:t>
            </w:r>
          </w:p>
        </w:tc>
        <w:tc>
          <w:tcPr>
            <w:tcW w:w="870" w:type="dxa"/>
            <w:vAlign w:val="top"/>
          </w:tcPr>
          <w:p w14:paraId="328562BE">
            <w:pPr>
              <w:pStyle w:val="6"/>
              <w:spacing w:before="61" w:line="227" w:lineRule="auto"/>
              <w:ind w:left="235"/>
              <w:rPr>
                <w:sz w:val="20"/>
                <w:szCs w:val="20"/>
              </w:rPr>
            </w:pPr>
            <w:r>
              <w:rPr>
                <w:spacing w:val="3"/>
                <w:sz w:val="20"/>
                <w:szCs w:val="20"/>
              </w:rPr>
              <w:t>室内</w:t>
            </w:r>
          </w:p>
        </w:tc>
        <w:tc>
          <w:tcPr>
            <w:tcW w:w="2138" w:type="dxa"/>
            <w:vAlign w:val="top"/>
          </w:tcPr>
          <w:p w14:paraId="002AE23B">
            <w:pPr>
              <w:pStyle w:val="6"/>
              <w:spacing w:before="61" w:line="227" w:lineRule="auto"/>
              <w:ind w:left="550"/>
              <w:rPr>
                <w:sz w:val="20"/>
                <w:szCs w:val="20"/>
              </w:rPr>
            </w:pPr>
            <w:r>
              <w:rPr>
                <w:spacing w:val="8"/>
                <w:sz w:val="20"/>
                <w:szCs w:val="20"/>
              </w:rPr>
              <w:t>减振、隔声</w:t>
            </w:r>
          </w:p>
        </w:tc>
        <w:tc>
          <w:tcPr>
            <w:tcW w:w="1350" w:type="dxa"/>
            <w:tcBorders>
              <w:right w:val="nil"/>
            </w:tcBorders>
            <w:vAlign w:val="top"/>
          </w:tcPr>
          <w:p w14:paraId="3909CDE0">
            <w:pPr>
              <w:spacing w:before="100" w:line="192"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≤75</w:t>
            </w:r>
          </w:p>
        </w:tc>
      </w:tr>
      <w:tr w14:paraId="2DD365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47" w:type="dxa"/>
            <w:tcBorders>
              <w:left w:val="nil"/>
            </w:tcBorders>
            <w:vAlign w:val="top"/>
          </w:tcPr>
          <w:p w14:paraId="7E28C798">
            <w:pPr>
              <w:spacing w:before="99" w:line="192" w:lineRule="auto"/>
              <w:ind w:left="328"/>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1669" w:type="dxa"/>
            <w:vAlign w:val="top"/>
          </w:tcPr>
          <w:p w14:paraId="72F38F29">
            <w:pPr>
              <w:pStyle w:val="6"/>
              <w:spacing w:before="60" w:line="227" w:lineRule="auto"/>
              <w:ind w:left="318"/>
              <w:rPr>
                <w:sz w:val="20"/>
                <w:szCs w:val="20"/>
              </w:rPr>
            </w:pPr>
            <w:r>
              <w:rPr>
                <w:spacing w:val="7"/>
                <w:sz w:val="20"/>
                <w:szCs w:val="20"/>
              </w:rPr>
              <w:t>强力混合机</w:t>
            </w:r>
          </w:p>
        </w:tc>
        <w:tc>
          <w:tcPr>
            <w:tcW w:w="1406" w:type="dxa"/>
            <w:vAlign w:val="top"/>
          </w:tcPr>
          <w:p w14:paraId="77657958">
            <w:pPr>
              <w:spacing w:before="96" w:line="195"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70~80</w:t>
            </w:r>
          </w:p>
        </w:tc>
        <w:tc>
          <w:tcPr>
            <w:tcW w:w="834" w:type="dxa"/>
            <w:vAlign w:val="top"/>
          </w:tcPr>
          <w:p w14:paraId="603C729C">
            <w:pPr>
              <w:pStyle w:val="6"/>
              <w:spacing w:before="60" w:line="227" w:lineRule="auto"/>
              <w:ind w:left="215"/>
              <w:rPr>
                <w:sz w:val="20"/>
                <w:szCs w:val="20"/>
              </w:rPr>
            </w:pPr>
            <w:r>
              <w:rPr>
                <w:spacing w:val="4"/>
                <w:sz w:val="20"/>
                <w:szCs w:val="20"/>
              </w:rPr>
              <w:t>连续</w:t>
            </w:r>
          </w:p>
        </w:tc>
        <w:tc>
          <w:tcPr>
            <w:tcW w:w="870" w:type="dxa"/>
            <w:vAlign w:val="top"/>
          </w:tcPr>
          <w:p w14:paraId="1734B300">
            <w:pPr>
              <w:pStyle w:val="6"/>
              <w:spacing w:before="60" w:line="227" w:lineRule="auto"/>
              <w:ind w:left="235"/>
              <w:rPr>
                <w:sz w:val="20"/>
                <w:szCs w:val="20"/>
              </w:rPr>
            </w:pPr>
            <w:r>
              <w:rPr>
                <w:spacing w:val="3"/>
                <w:sz w:val="20"/>
                <w:szCs w:val="20"/>
              </w:rPr>
              <w:t>室内</w:t>
            </w:r>
          </w:p>
        </w:tc>
        <w:tc>
          <w:tcPr>
            <w:tcW w:w="2138" w:type="dxa"/>
            <w:vAlign w:val="top"/>
          </w:tcPr>
          <w:p w14:paraId="1F94DF7A">
            <w:pPr>
              <w:pStyle w:val="6"/>
              <w:spacing w:before="60" w:line="227" w:lineRule="auto"/>
              <w:ind w:left="562"/>
              <w:rPr>
                <w:sz w:val="20"/>
                <w:szCs w:val="20"/>
              </w:rPr>
            </w:pPr>
            <w:r>
              <w:rPr>
                <w:spacing w:val="5"/>
                <w:sz w:val="20"/>
                <w:szCs w:val="20"/>
              </w:rPr>
              <w:t>隔声、减振</w:t>
            </w:r>
          </w:p>
        </w:tc>
        <w:tc>
          <w:tcPr>
            <w:tcW w:w="1350" w:type="dxa"/>
            <w:tcBorders>
              <w:right w:val="nil"/>
            </w:tcBorders>
            <w:vAlign w:val="top"/>
          </w:tcPr>
          <w:p w14:paraId="365C95AD">
            <w:pPr>
              <w:spacing w:before="99" w:line="192"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≤55</w:t>
            </w:r>
          </w:p>
        </w:tc>
      </w:tr>
      <w:tr w14:paraId="5EF053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47" w:type="dxa"/>
            <w:tcBorders>
              <w:left w:val="nil"/>
            </w:tcBorders>
            <w:vAlign w:val="top"/>
          </w:tcPr>
          <w:p w14:paraId="648DAA2C">
            <w:pPr>
              <w:spacing w:before="99" w:line="195" w:lineRule="auto"/>
              <w:ind w:left="333"/>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1669" w:type="dxa"/>
            <w:vAlign w:val="top"/>
          </w:tcPr>
          <w:p w14:paraId="4D84BC85">
            <w:pPr>
              <w:pStyle w:val="6"/>
              <w:spacing w:before="63" w:line="225" w:lineRule="auto"/>
              <w:ind w:left="315"/>
              <w:rPr>
                <w:sz w:val="20"/>
                <w:szCs w:val="20"/>
              </w:rPr>
            </w:pPr>
            <w:r>
              <w:rPr>
                <w:spacing w:val="7"/>
                <w:sz w:val="20"/>
                <w:szCs w:val="20"/>
              </w:rPr>
              <w:t>单筒烘干机</w:t>
            </w:r>
          </w:p>
        </w:tc>
        <w:tc>
          <w:tcPr>
            <w:tcW w:w="1406" w:type="dxa"/>
            <w:vAlign w:val="top"/>
          </w:tcPr>
          <w:p w14:paraId="2EB9828E">
            <w:pPr>
              <w:spacing w:before="99" w:line="195"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90~</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1"/>
                <w:sz w:val="20"/>
                <w:szCs w:val="20"/>
              </w:rPr>
              <w:t>120</w:t>
            </w:r>
          </w:p>
        </w:tc>
        <w:tc>
          <w:tcPr>
            <w:tcW w:w="834" w:type="dxa"/>
            <w:vAlign w:val="top"/>
          </w:tcPr>
          <w:p w14:paraId="77FBE360">
            <w:pPr>
              <w:pStyle w:val="6"/>
              <w:spacing w:before="63" w:line="225" w:lineRule="auto"/>
              <w:ind w:left="215"/>
              <w:rPr>
                <w:sz w:val="20"/>
                <w:szCs w:val="20"/>
              </w:rPr>
            </w:pPr>
            <w:r>
              <w:rPr>
                <w:spacing w:val="4"/>
                <w:sz w:val="20"/>
                <w:szCs w:val="20"/>
              </w:rPr>
              <w:t>连续</w:t>
            </w:r>
          </w:p>
        </w:tc>
        <w:tc>
          <w:tcPr>
            <w:tcW w:w="870" w:type="dxa"/>
            <w:vAlign w:val="top"/>
          </w:tcPr>
          <w:p w14:paraId="4861AC10">
            <w:pPr>
              <w:pStyle w:val="6"/>
              <w:spacing w:before="63" w:line="225" w:lineRule="auto"/>
              <w:ind w:left="235"/>
              <w:rPr>
                <w:sz w:val="20"/>
                <w:szCs w:val="20"/>
              </w:rPr>
            </w:pPr>
            <w:r>
              <w:rPr>
                <w:spacing w:val="3"/>
                <w:sz w:val="20"/>
                <w:szCs w:val="20"/>
              </w:rPr>
              <w:t>室外</w:t>
            </w:r>
          </w:p>
        </w:tc>
        <w:tc>
          <w:tcPr>
            <w:tcW w:w="2138" w:type="dxa"/>
            <w:vAlign w:val="top"/>
          </w:tcPr>
          <w:p w14:paraId="76F14EE1">
            <w:pPr>
              <w:pStyle w:val="6"/>
              <w:spacing w:before="63" w:line="225" w:lineRule="auto"/>
              <w:ind w:left="339"/>
              <w:rPr>
                <w:sz w:val="20"/>
                <w:szCs w:val="20"/>
              </w:rPr>
            </w:pPr>
            <w:r>
              <w:rPr>
                <w:spacing w:val="8"/>
                <w:sz w:val="20"/>
                <w:szCs w:val="20"/>
              </w:rPr>
              <w:t>减振、距离衰减</w:t>
            </w:r>
          </w:p>
        </w:tc>
        <w:tc>
          <w:tcPr>
            <w:tcW w:w="1350" w:type="dxa"/>
            <w:tcBorders>
              <w:right w:val="nil"/>
            </w:tcBorders>
            <w:vAlign w:val="top"/>
          </w:tcPr>
          <w:p w14:paraId="17E2ACF8">
            <w:pPr>
              <w:spacing w:before="99" w:line="195"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≤95</w:t>
            </w:r>
          </w:p>
        </w:tc>
      </w:tr>
      <w:tr w14:paraId="1D0A63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47" w:type="dxa"/>
            <w:tcBorders>
              <w:left w:val="nil"/>
            </w:tcBorders>
            <w:vAlign w:val="top"/>
          </w:tcPr>
          <w:p w14:paraId="7CBE9BB7">
            <w:pPr>
              <w:spacing w:before="101" w:line="195" w:lineRule="auto"/>
              <w:ind w:left="328"/>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1669" w:type="dxa"/>
            <w:vAlign w:val="top"/>
          </w:tcPr>
          <w:p w14:paraId="21006ADA">
            <w:pPr>
              <w:pStyle w:val="6"/>
              <w:spacing w:before="65" w:line="223" w:lineRule="auto"/>
              <w:ind w:left="314"/>
              <w:rPr>
                <w:sz w:val="20"/>
                <w:szCs w:val="20"/>
              </w:rPr>
            </w:pPr>
            <w:r>
              <w:rPr>
                <w:spacing w:val="7"/>
                <w:sz w:val="20"/>
                <w:szCs w:val="20"/>
              </w:rPr>
              <w:t>颚式破碎机</w:t>
            </w:r>
          </w:p>
        </w:tc>
        <w:tc>
          <w:tcPr>
            <w:tcW w:w="1406" w:type="dxa"/>
            <w:vAlign w:val="top"/>
          </w:tcPr>
          <w:p w14:paraId="48E19CD2">
            <w:pPr>
              <w:spacing w:before="101" w:line="195" w:lineRule="auto"/>
              <w:ind w:left="4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85~90</w:t>
            </w:r>
          </w:p>
        </w:tc>
        <w:tc>
          <w:tcPr>
            <w:tcW w:w="834" w:type="dxa"/>
            <w:vAlign w:val="top"/>
          </w:tcPr>
          <w:p w14:paraId="67EF5323">
            <w:pPr>
              <w:pStyle w:val="6"/>
              <w:spacing w:before="65" w:line="223" w:lineRule="auto"/>
              <w:ind w:left="215"/>
              <w:rPr>
                <w:sz w:val="20"/>
                <w:szCs w:val="20"/>
              </w:rPr>
            </w:pPr>
            <w:r>
              <w:rPr>
                <w:spacing w:val="4"/>
                <w:sz w:val="20"/>
                <w:szCs w:val="20"/>
              </w:rPr>
              <w:t>连续</w:t>
            </w:r>
          </w:p>
        </w:tc>
        <w:tc>
          <w:tcPr>
            <w:tcW w:w="870" w:type="dxa"/>
            <w:vAlign w:val="top"/>
          </w:tcPr>
          <w:p w14:paraId="10005B21">
            <w:pPr>
              <w:pStyle w:val="6"/>
              <w:spacing w:before="65" w:line="223" w:lineRule="auto"/>
              <w:ind w:left="235"/>
              <w:rPr>
                <w:sz w:val="20"/>
                <w:szCs w:val="20"/>
              </w:rPr>
            </w:pPr>
            <w:r>
              <w:rPr>
                <w:spacing w:val="3"/>
                <w:sz w:val="20"/>
                <w:szCs w:val="20"/>
              </w:rPr>
              <w:t>室内</w:t>
            </w:r>
          </w:p>
        </w:tc>
        <w:tc>
          <w:tcPr>
            <w:tcW w:w="2138" w:type="dxa"/>
            <w:vAlign w:val="top"/>
          </w:tcPr>
          <w:p w14:paraId="27FE00C9">
            <w:pPr>
              <w:pStyle w:val="6"/>
              <w:spacing w:before="65" w:line="223" w:lineRule="auto"/>
              <w:ind w:left="562"/>
              <w:rPr>
                <w:sz w:val="20"/>
                <w:szCs w:val="20"/>
              </w:rPr>
            </w:pPr>
            <w:r>
              <w:rPr>
                <w:spacing w:val="5"/>
                <w:sz w:val="20"/>
                <w:szCs w:val="20"/>
              </w:rPr>
              <w:t>隔声、减振</w:t>
            </w:r>
          </w:p>
        </w:tc>
        <w:tc>
          <w:tcPr>
            <w:tcW w:w="1350" w:type="dxa"/>
            <w:tcBorders>
              <w:right w:val="nil"/>
            </w:tcBorders>
            <w:vAlign w:val="top"/>
          </w:tcPr>
          <w:p w14:paraId="6464642F">
            <w:pPr>
              <w:spacing w:before="101" w:line="195"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≤70</w:t>
            </w:r>
          </w:p>
        </w:tc>
      </w:tr>
      <w:tr w14:paraId="5E0CE3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47" w:type="dxa"/>
            <w:tcBorders>
              <w:left w:val="nil"/>
            </w:tcBorders>
            <w:vAlign w:val="top"/>
          </w:tcPr>
          <w:p w14:paraId="61F2F109">
            <w:pPr>
              <w:spacing w:before="100"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669" w:type="dxa"/>
            <w:vAlign w:val="top"/>
          </w:tcPr>
          <w:p w14:paraId="4440A8CD">
            <w:pPr>
              <w:pStyle w:val="6"/>
              <w:spacing w:before="64" w:line="223" w:lineRule="auto"/>
              <w:ind w:left="654"/>
              <w:rPr>
                <w:sz w:val="20"/>
                <w:szCs w:val="20"/>
              </w:rPr>
            </w:pPr>
            <w:r>
              <w:rPr>
                <w:spacing w:val="-8"/>
                <w:sz w:val="20"/>
                <w:szCs w:val="20"/>
              </w:rPr>
              <w:t>电炉</w:t>
            </w:r>
          </w:p>
        </w:tc>
        <w:tc>
          <w:tcPr>
            <w:tcW w:w="1406" w:type="dxa"/>
            <w:vAlign w:val="top"/>
          </w:tcPr>
          <w:p w14:paraId="179FAA80">
            <w:pPr>
              <w:spacing w:before="100" w:line="195" w:lineRule="auto"/>
              <w:ind w:left="44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90~95</w:t>
            </w:r>
          </w:p>
        </w:tc>
        <w:tc>
          <w:tcPr>
            <w:tcW w:w="834" w:type="dxa"/>
            <w:vAlign w:val="top"/>
          </w:tcPr>
          <w:p w14:paraId="5EA59F0A">
            <w:pPr>
              <w:pStyle w:val="6"/>
              <w:spacing w:before="64" w:line="223" w:lineRule="auto"/>
              <w:ind w:left="215"/>
              <w:rPr>
                <w:sz w:val="20"/>
                <w:szCs w:val="20"/>
              </w:rPr>
            </w:pPr>
            <w:r>
              <w:rPr>
                <w:spacing w:val="4"/>
                <w:sz w:val="20"/>
                <w:szCs w:val="20"/>
              </w:rPr>
              <w:t>连续</w:t>
            </w:r>
          </w:p>
        </w:tc>
        <w:tc>
          <w:tcPr>
            <w:tcW w:w="870" w:type="dxa"/>
            <w:vAlign w:val="top"/>
          </w:tcPr>
          <w:p w14:paraId="5F21844C">
            <w:pPr>
              <w:pStyle w:val="6"/>
              <w:spacing w:before="64" w:line="223" w:lineRule="auto"/>
              <w:ind w:left="235"/>
              <w:rPr>
                <w:sz w:val="20"/>
                <w:szCs w:val="20"/>
              </w:rPr>
            </w:pPr>
            <w:r>
              <w:rPr>
                <w:spacing w:val="3"/>
                <w:sz w:val="20"/>
                <w:szCs w:val="20"/>
              </w:rPr>
              <w:t>室内</w:t>
            </w:r>
          </w:p>
        </w:tc>
        <w:tc>
          <w:tcPr>
            <w:tcW w:w="2138" w:type="dxa"/>
            <w:vAlign w:val="top"/>
          </w:tcPr>
          <w:p w14:paraId="33E3E213">
            <w:pPr>
              <w:pStyle w:val="6"/>
              <w:spacing w:before="64" w:line="223" w:lineRule="auto"/>
              <w:ind w:left="562"/>
              <w:rPr>
                <w:sz w:val="20"/>
                <w:szCs w:val="20"/>
              </w:rPr>
            </w:pPr>
            <w:r>
              <w:rPr>
                <w:spacing w:val="5"/>
                <w:sz w:val="20"/>
                <w:szCs w:val="20"/>
              </w:rPr>
              <w:t>隔声、减振</w:t>
            </w:r>
          </w:p>
        </w:tc>
        <w:tc>
          <w:tcPr>
            <w:tcW w:w="1350" w:type="dxa"/>
            <w:tcBorders>
              <w:right w:val="nil"/>
            </w:tcBorders>
            <w:vAlign w:val="top"/>
          </w:tcPr>
          <w:p w14:paraId="646CD6A7">
            <w:pPr>
              <w:spacing w:before="104" w:line="192"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≤75</w:t>
            </w:r>
          </w:p>
        </w:tc>
      </w:tr>
      <w:tr w14:paraId="733F33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47" w:type="dxa"/>
            <w:tcBorders>
              <w:left w:val="nil"/>
            </w:tcBorders>
            <w:vAlign w:val="top"/>
          </w:tcPr>
          <w:p w14:paraId="0C97F24C">
            <w:pPr>
              <w:spacing w:before="103"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11</w:t>
            </w:r>
          </w:p>
        </w:tc>
        <w:tc>
          <w:tcPr>
            <w:tcW w:w="1669" w:type="dxa"/>
            <w:vAlign w:val="top"/>
          </w:tcPr>
          <w:p w14:paraId="5BE8F91B">
            <w:pPr>
              <w:pStyle w:val="6"/>
              <w:spacing w:before="67" w:line="221" w:lineRule="auto"/>
              <w:ind w:left="525"/>
              <w:rPr>
                <w:sz w:val="20"/>
                <w:szCs w:val="20"/>
              </w:rPr>
            </w:pPr>
            <w:r>
              <w:rPr>
                <w:spacing w:val="6"/>
                <w:sz w:val="20"/>
                <w:szCs w:val="20"/>
              </w:rPr>
              <w:t>浇铸机</w:t>
            </w:r>
          </w:p>
        </w:tc>
        <w:tc>
          <w:tcPr>
            <w:tcW w:w="1406" w:type="dxa"/>
            <w:vAlign w:val="top"/>
          </w:tcPr>
          <w:p w14:paraId="586FBDBD">
            <w:pPr>
              <w:spacing w:before="103" w:line="195"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75~90</w:t>
            </w:r>
          </w:p>
        </w:tc>
        <w:tc>
          <w:tcPr>
            <w:tcW w:w="834" w:type="dxa"/>
            <w:vAlign w:val="top"/>
          </w:tcPr>
          <w:p w14:paraId="72AA847B">
            <w:pPr>
              <w:pStyle w:val="6"/>
              <w:spacing w:before="67" w:line="221" w:lineRule="auto"/>
              <w:ind w:left="215"/>
              <w:rPr>
                <w:sz w:val="20"/>
                <w:szCs w:val="20"/>
              </w:rPr>
            </w:pPr>
            <w:r>
              <w:rPr>
                <w:spacing w:val="4"/>
                <w:sz w:val="20"/>
                <w:szCs w:val="20"/>
              </w:rPr>
              <w:t>连续</w:t>
            </w:r>
          </w:p>
        </w:tc>
        <w:tc>
          <w:tcPr>
            <w:tcW w:w="870" w:type="dxa"/>
            <w:vAlign w:val="top"/>
          </w:tcPr>
          <w:p w14:paraId="556496EF">
            <w:pPr>
              <w:pStyle w:val="6"/>
              <w:spacing w:before="67" w:line="221" w:lineRule="auto"/>
              <w:ind w:left="235"/>
              <w:rPr>
                <w:sz w:val="20"/>
                <w:szCs w:val="20"/>
              </w:rPr>
            </w:pPr>
            <w:r>
              <w:rPr>
                <w:spacing w:val="3"/>
                <w:sz w:val="20"/>
                <w:szCs w:val="20"/>
              </w:rPr>
              <w:t>室内</w:t>
            </w:r>
          </w:p>
        </w:tc>
        <w:tc>
          <w:tcPr>
            <w:tcW w:w="2138" w:type="dxa"/>
            <w:vAlign w:val="top"/>
          </w:tcPr>
          <w:p w14:paraId="4783BEA8">
            <w:pPr>
              <w:pStyle w:val="6"/>
              <w:spacing w:before="67" w:line="221" w:lineRule="auto"/>
              <w:ind w:left="562"/>
              <w:rPr>
                <w:sz w:val="20"/>
                <w:szCs w:val="20"/>
              </w:rPr>
            </w:pPr>
            <w:r>
              <w:rPr>
                <w:spacing w:val="5"/>
                <w:sz w:val="20"/>
                <w:szCs w:val="20"/>
              </w:rPr>
              <w:t>隔声、减振</w:t>
            </w:r>
          </w:p>
        </w:tc>
        <w:tc>
          <w:tcPr>
            <w:tcW w:w="1350" w:type="dxa"/>
            <w:tcBorders>
              <w:right w:val="nil"/>
            </w:tcBorders>
            <w:vAlign w:val="top"/>
          </w:tcPr>
          <w:p w14:paraId="187F6EED">
            <w:pPr>
              <w:spacing w:before="104" w:line="195"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≤65</w:t>
            </w:r>
          </w:p>
        </w:tc>
      </w:tr>
      <w:tr w14:paraId="52482F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47" w:type="dxa"/>
            <w:tcBorders>
              <w:left w:val="nil"/>
            </w:tcBorders>
            <w:vAlign w:val="top"/>
          </w:tcPr>
          <w:p w14:paraId="7C576F08">
            <w:pPr>
              <w:spacing w:before="103"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1669" w:type="dxa"/>
            <w:vAlign w:val="top"/>
          </w:tcPr>
          <w:p w14:paraId="0F635675">
            <w:pPr>
              <w:pStyle w:val="6"/>
              <w:spacing w:before="67" w:line="220" w:lineRule="auto"/>
              <w:ind w:left="421"/>
              <w:rPr>
                <w:sz w:val="20"/>
                <w:szCs w:val="20"/>
              </w:rPr>
            </w:pPr>
            <w:r>
              <w:rPr>
                <w:spacing w:val="6"/>
                <w:sz w:val="20"/>
                <w:szCs w:val="20"/>
              </w:rPr>
              <w:t>各类风机</w:t>
            </w:r>
          </w:p>
        </w:tc>
        <w:tc>
          <w:tcPr>
            <w:tcW w:w="1406" w:type="dxa"/>
            <w:vAlign w:val="top"/>
          </w:tcPr>
          <w:p w14:paraId="0BE9B208">
            <w:pPr>
              <w:spacing w:before="103" w:line="195" w:lineRule="auto"/>
              <w:ind w:left="44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90~95</w:t>
            </w:r>
          </w:p>
        </w:tc>
        <w:tc>
          <w:tcPr>
            <w:tcW w:w="834" w:type="dxa"/>
            <w:vAlign w:val="top"/>
          </w:tcPr>
          <w:p w14:paraId="3704BBF7">
            <w:pPr>
              <w:pStyle w:val="6"/>
              <w:spacing w:before="67" w:line="220" w:lineRule="auto"/>
              <w:ind w:left="215"/>
              <w:rPr>
                <w:sz w:val="20"/>
                <w:szCs w:val="20"/>
              </w:rPr>
            </w:pPr>
            <w:r>
              <w:rPr>
                <w:spacing w:val="4"/>
                <w:sz w:val="20"/>
                <w:szCs w:val="20"/>
              </w:rPr>
              <w:t>连续</w:t>
            </w:r>
          </w:p>
        </w:tc>
        <w:tc>
          <w:tcPr>
            <w:tcW w:w="870" w:type="dxa"/>
            <w:vAlign w:val="top"/>
          </w:tcPr>
          <w:p w14:paraId="77F63F72">
            <w:pPr>
              <w:pStyle w:val="6"/>
              <w:spacing w:before="67" w:line="220" w:lineRule="auto"/>
              <w:ind w:left="235"/>
              <w:rPr>
                <w:sz w:val="20"/>
                <w:szCs w:val="20"/>
              </w:rPr>
            </w:pPr>
            <w:r>
              <w:rPr>
                <w:spacing w:val="3"/>
                <w:sz w:val="20"/>
                <w:szCs w:val="20"/>
              </w:rPr>
              <w:t>室内</w:t>
            </w:r>
          </w:p>
        </w:tc>
        <w:tc>
          <w:tcPr>
            <w:tcW w:w="2138" w:type="dxa"/>
            <w:vAlign w:val="top"/>
          </w:tcPr>
          <w:p w14:paraId="2F552CDE">
            <w:pPr>
              <w:pStyle w:val="6"/>
              <w:spacing w:before="67" w:line="220" w:lineRule="auto"/>
              <w:ind w:left="134"/>
              <w:rPr>
                <w:sz w:val="20"/>
                <w:szCs w:val="20"/>
              </w:rPr>
            </w:pPr>
            <w:r>
              <w:rPr>
                <w:spacing w:val="8"/>
                <w:sz w:val="20"/>
                <w:szCs w:val="20"/>
              </w:rPr>
              <w:t>消声器、减振、隔声</w:t>
            </w:r>
          </w:p>
        </w:tc>
        <w:tc>
          <w:tcPr>
            <w:tcW w:w="1350" w:type="dxa"/>
            <w:tcBorders>
              <w:right w:val="nil"/>
            </w:tcBorders>
            <w:vAlign w:val="top"/>
          </w:tcPr>
          <w:p w14:paraId="40F00B35">
            <w:pPr>
              <w:spacing w:before="106" w:line="192"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≤75</w:t>
            </w:r>
          </w:p>
        </w:tc>
      </w:tr>
      <w:tr w14:paraId="64C9D7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47" w:type="dxa"/>
            <w:tcBorders>
              <w:left w:val="nil"/>
            </w:tcBorders>
            <w:vAlign w:val="top"/>
          </w:tcPr>
          <w:p w14:paraId="0BB53E73">
            <w:pPr>
              <w:spacing w:before="106"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13</w:t>
            </w:r>
          </w:p>
        </w:tc>
        <w:tc>
          <w:tcPr>
            <w:tcW w:w="1669" w:type="dxa"/>
            <w:vAlign w:val="top"/>
          </w:tcPr>
          <w:p w14:paraId="5F124189">
            <w:pPr>
              <w:pStyle w:val="6"/>
              <w:spacing w:before="70" w:line="218" w:lineRule="auto"/>
              <w:ind w:left="632"/>
              <w:rPr>
                <w:sz w:val="20"/>
                <w:szCs w:val="20"/>
              </w:rPr>
            </w:pPr>
            <w:r>
              <w:rPr>
                <w:spacing w:val="3"/>
                <w:sz w:val="20"/>
                <w:szCs w:val="20"/>
              </w:rPr>
              <w:t>水泵</w:t>
            </w:r>
          </w:p>
        </w:tc>
        <w:tc>
          <w:tcPr>
            <w:tcW w:w="1406" w:type="dxa"/>
            <w:vAlign w:val="top"/>
          </w:tcPr>
          <w:p w14:paraId="30B75303">
            <w:pPr>
              <w:spacing w:before="106" w:line="195" w:lineRule="auto"/>
              <w:ind w:left="44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90~95</w:t>
            </w:r>
          </w:p>
        </w:tc>
        <w:tc>
          <w:tcPr>
            <w:tcW w:w="834" w:type="dxa"/>
            <w:vAlign w:val="top"/>
          </w:tcPr>
          <w:p w14:paraId="573B25D7">
            <w:pPr>
              <w:pStyle w:val="6"/>
              <w:spacing w:before="70" w:line="218" w:lineRule="auto"/>
              <w:ind w:left="215"/>
              <w:rPr>
                <w:sz w:val="20"/>
                <w:szCs w:val="20"/>
              </w:rPr>
            </w:pPr>
            <w:r>
              <w:rPr>
                <w:spacing w:val="4"/>
                <w:sz w:val="20"/>
                <w:szCs w:val="20"/>
              </w:rPr>
              <w:t>连续</w:t>
            </w:r>
          </w:p>
        </w:tc>
        <w:tc>
          <w:tcPr>
            <w:tcW w:w="870" w:type="dxa"/>
            <w:vAlign w:val="top"/>
          </w:tcPr>
          <w:p w14:paraId="25C4142D">
            <w:pPr>
              <w:pStyle w:val="6"/>
              <w:spacing w:before="70" w:line="218" w:lineRule="auto"/>
              <w:ind w:left="235"/>
              <w:rPr>
                <w:sz w:val="20"/>
                <w:szCs w:val="20"/>
              </w:rPr>
            </w:pPr>
            <w:r>
              <w:rPr>
                <w:spacing w:val="3"/>
                <w:sz w:val="20"/>
                <w:szCs w:val="20"/>
              </w:rPr>
              <w:t>室内</w:t>
            </w:r>
          </w:p>
        </w:tc>
        <w:tc>
          <w:tcPr>
            <w:tcW w:w="2138" w:type="dxa"/>
            <w:vAlign w:val="top"/>
          </w:tcPr>
          <w:p w14:paraId="6C6C4201">
            <w:pPr>
              <w:pStyle w:val="6"/>
              <w:spacing w:before="70" w:line="218" w:lineRule="auto"/>
              <w:ind w:left="562"/>
              <w:rPr>
                <w:sz w:val="20"/>
                <w:szCs w:val="20"/>
              </w:rPr>
            </w:pPr>
            <w:r>
              <w:rPr>
                <w:spacing w:val="5"/>
                <w:sz w:val="20"/>
                <w:szCs w:val="20"/>
              </w:rPr>
              <w:t>隔声、减振</w:t>
            </w:r>
          </w:p>
        </w:tc>
        <w:tc>
          <w:tcPr>
            <w:tcW w:w="1350" w:type="dxa"/>
            <w:tcBorders>
              <w:right w:val="nil"/>
            </w:tcBorders>
            <w:vAlign w:val="top"/>
          </w:tcPr>
          <w:p w14:paraId="3DB3DAD1">
            <w:pPr>
              <w:spacing w:before="107" w:line="195"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≤72</w:t>
            </w:r>
          </w:p>
        </w:tc>
      </w:tr>
      <w:tr w14:paraId="340E4D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47" w:type="dxa"/>
            <w:tcBorders>
              <w:left w:val="nil"/>
            </w:tcBorders>
            <w:vAlign w:val="top"/>
          </w:tcPr>
          <w:p w14:paraId="53C92CC3">
            <w:pPr>
              <w:spacing w:before="108"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14</w:t>
            </w:r>
          </w:p>
        </w:tc>
        <w:tc>
          <w:tcPr>
            <w:tcW w:w="1669" w:type="dxa"/>
            <w:vAlign w:val="top"/>
          </w:tcPr>
          <w:p w14:paraId="51737AF5">
            <w:pPr>
              <w:pStyle w:val="6"/>
              <w:spacing w:before="71" w:line="216" w:lineRule="auto"/>
              <w:ind w:left="531"/>
              <w:rPr>
                <w:sz w:val="20"/>
                <w:szCs w:val="20"/>
              </w:rPr>
            </w:pPr>
            <w:r>
              <w:rPr>
                <w:spacing w:val="4"/>
                <w:sz w:val="20"/>
                <w:szCs w:val="20"/>
              </w:rPr>
              <w:t>空压机</w:t>
            </w:r>
          </w:p>
        </w:tc>
        <w:tc>
          <w:tcPr>
            <w:tcW w:w="1406" w:type="dxa"/>
            <w:vAlign w:val="top"/>
          </w:tcPr>
          <w:p w14:paraId="55FB7266">
            <w:pPr>
              <w:spacing w:before="108" w:line="195"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95~</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1"/>
                <w:sz w:val="20"/>
                <w:szCs w:val="20"/>
              </w:rPr>
              <w:t>105</w:t>
            </w:r>
          </w:p>
        </w:tc>
        <w:tc>
          <w:tcPr>
            <w:tcW w:w="834" w:type="dxa"/>
            <w:vAlign w:val="top"/>
          </w:tcPr>
          <w:p w14:paraId="47D260EF">
            <w:pPr>
              <w:pStyle w:val="6"/>
              <w:spacing w:before="71" w:line="216" w:lineRule="auto"/>
              <w:ind w:left="215"/>
              <w:rPr>
                <w:sz w:val="20"/>
                <w:szCs w:val="20"/>
              </w:rPr>
            </w:pPr>
            <w:r>
              <w:rPr>
                <w:spacing w:val="4"/>
                <w:sz w:val="20"/>
                <w:szCs w:val="20"/>
              </w:rPr>
              <w:t>连续</w:t>
            </w:r>
          </w:p>
        </w:tc>
        <w:tc>
          <w:tcPr>
            <w:tcW w:w="870" w:type="dxa"/>
            <w:vAlign w:val="top"/>
          </w:tcPr>
          <w:p w14:paraId="2779F556">
            <w:pPr>
              <w:pStyle w:val="6"/>
              <w:spacing w:before="71" w:line="216" w:lineRule="auto"/>
              <w:ind w:left="235"/>
              <w:rPr>
                <w:sz w:val="20"/>
                <w:szCs w:val="20"/>
              </w:rPr>
            </w:pPr>
            <w:r>
              <w:rPr>
                <w:spacing w:val="3"/>
                <w:sz w:val="20"/>
                <w:szCs w:val="20"/>
              </w:rPr>
              <w:t>室内</w:t>
            </w:r>
          </w:p>
        </w:tc>
        <w:tc>
          <w:tcPr>
            <w:tcW w:w="2138" w:type="dxa"/>
            <w:vAlign w:val="top"/>
          </w:tcPr>
          <w:p w14:paraId="3721DDA3">
            <w:pPr>
              <w:pStyle w:val="6"/>
              <w:spacing w:before="71" w:line="216" w:lineRule="auto"/>
              <w:ind w:left="562"/>
              <w:rPr>
                <w:sz w:val="20"/>
                <w:szCs w:val="20"/>
              </w:rPr>
            </w:pPr>
            <w:r>
              <w:rPr>
                <w:spacing w:val="5"/>
                <w:sz w:val="20"/>
                <w:szCs w:val="20"/>
              </w:rPr>
              <w:t>隔声、减振</w:t>
            </w:r>
          </w:p>
        </w:tc>
        <w:tc>
          <w:tcPr>
            <w:tcW w:w="1350" w:type="dxa"/>
            <w:tcBorders>
              <w:right w:val="nil"/>
            </w:tcBorders>
            <w:vAlign w:val="top"/>
          </w:tcPr>
          <w:p w14:paraId="2321DB49">
            <w:pPr>
              <w:spacing w:before="109" w:line="195"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≤80</w:t>
            </w:r>
          </w:p>
        </w:tc>
      </w:tr>
      <w:tr w14:paraId="01E2D7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47" w:type="dxa"/>
            <w:tcBorders>
              <w:left w:val="nil"/>
            </w:tcBorders>
            <w:vAlign w:val="top"/>
          </w:tcPr>
          <w:p w14:paraId="353E5813">
            <w:pPr>
              <w:spacing w:before="108"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1669" w:type="dxa"/>
            <w:vAlign w:val="top"/>
          </w:tcPr>
          <w:p w14:paraId="66A5EAAB">
            <w:pPr>
              <w:pStyle w:val="6"/>
              <w:spacing w:before="73" w:line="216" w:lineRule="auto"/>
              <w:ind w:left="524"/>
              <w:rPr>
                <w:sz w:val="20"/>
                <w:szCs w:val="20"/>
              </w:rPr>
            </w:pPr>
            <w:r>
              <w:rPr>
                <w:spacing w:val="6"/>
                <w:sz w:val="20"/>
                <w:szCs w:val="20"/>
              </w:rPr>
              <w:t>装载机</w:t>
            </w:r>
          </w:p>
        </w:tc>
        <w:tc>
          <w:tcPr>
            <w:tcW w:w="1406" w:type="dxa"/>
            <w:vAlign w:val="top"/>
          </w:tcPr>
          <w:p w14:paraId="6C1631A7">
            <w:pPr>
              <w:spacing w:before="108" w:line="195" w:lineRule="auto"/>
              <w:ind w:left="44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90~95</w:t>
            </w:r>
          </w:p>
        </w:tc>
        <w:tc>
          <w:tcPr>
            <w:tcW w:w="834" w:type="dxa"/>
            <w:vAlign w:val="top"/>
          </w:tcPr>
          <w:p w14:paraId="406634D6">
            <w:pPr>
              <w:pStyle w:val="6"/>
              <w:spacing w:before="73" w:line="216" w:lineRule="auto"/>
              <w:ind w:left="215"/>
              <w:rPr>
                <w:sz w:val="20"/>
                <w:szCs w:val="20"/>
              </w:rPr>
            </w:pPr>
            <w:r>
              <w:rPr>
                <w:spacing w:val="4"/>
                <w:sz w:val="20"/>
                <w:szCs w:val="20"/>
              </w:rPr>
              <w:t>连续</w:t>
            </w:r>
          </w:p>
        </w:tc>
        <w:tc>
          <w:tcPr>
            <w:tcW w:w="870" w:type="dxa"/>
            <w:vAlign w:val="top"/>
          </w:tcPr>
          <w:p w14:paraId="39816B42">
            <w:pPr>
              <w:pStyle w:val="6"/>
              <w:spacing w:before="73" w:line="216" w:lineRule="auto"/>
              <w:ind w:left="235"/>
              <w:rPr>
                <w:sz w:val="20"/>
                <w:szCs w:val="20"/>
              </w:rPr>
            </w:pPr>
            <w:r>
              <w:rPr>
                <w:spacing w:val="3"/>
                <w:sz w:val="20"/>
                <w:szCs w:val="20"/>
              </w:rPr>
              <w:t>室外</w:t>
            </w:r>
          </w:p>
        </w:tc>
        <w:tc>
          <w:tcPr>
            <w:tcW w:w="2138" w:type="dxa"/>
            <w:vAlign w:val="top"/>
          </w:tcPr>
          <w:p w14:paraId="539F7925">
            <w:pPr>
              <w:pStyle w:val="6"/>
              <w:spacing w:before="73" w:line="216" w:lineRule="auto"/>
              <w:ind w:left="865"/>
              <w:rPr>
                <w:sz w:val="20"/>
                <w:szCs w:val="20"/>
              </w:rPr>
            </w:pPr>
            <w:r>
              <w:rPr>
                <w:spacing w:val="4"/>
                <w:sz w:val="20"/>
                <w:szCs w:val="20"/>
              </w:rPr>
              <w:t>减振</w:t>
            </w:r>
          </w:p>
        </w:tc>
        <w:tc>
          <w:tcPr>
            <w:tcW w:w="1350" w:type="dxa"/>
            <w:tcBorders>
              <w:right w:val="nil"/>
            </w:tcBorders>
            <w:vAlign w:val="top"/>
          </w:tcPr>
          <w:p w14:paraId="6E9463B7">
            <w:pPr>
              <w:spacing w:before="109" w:line="195"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≤80</w:t>
            </w:r>
          </w:p>
        </w:tc>
      </w:tr>
      <w:tr w14:paraId="115F1C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47" w:type="dxa"/>
            <w:tcBorders>
              <w:left w:val="nil"/>
            </w:tcBorders>
            <w:vAlign w:val="top"/>
          </w:tcPr>
          <w:p w14:paraId="3B628BE8">
            <w:pPr>
              <w:spacing w:before="110"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16</w:t>
            </w:r>
          </w:p>
        </w:tc>
        <w:tc>
          <w:tcPr>
            <w:tcW w:w="1669" w:type="dxa"/>
            <w:vAlign w:val="top"/>
          </w:tcPr>
          <w:p w14:paraId="7751D9A7">
            <w:pPr>
              <w:pStyle w:val="6"/>
              <w:spacing w:before="75" w:line="214" w:lineRule="auto"/>
              <w:ind w:left="528"/>
              <w:rPr>
                <w:sz w:val="20"/>
                <w:szCs w:val="20"/>
              </w:rPr>
            </w:pPr>
            <w:r>
              <w:rPr>
                <w:spacing w:val="5"/>
                <w:sz w:val="20"/>
                <w:szCs w:val="20"/>
              </w:rPr>
              <w:t>皮带机</w:t>
            </w:r>
          </w:p>
        </w:tc>
        <w:tc>
          <w:tcPr>
            <w:tcW w:w="1406" w:type="dxa"/>
            <w:vAlign w:val="top"/>
          </w:tcPr>
          <w:p w14:paraId="47F0C073">
            <w:pPr>
              <w:spacing w:before="110" w:line="195" w:lineRule="auto"/>
              <w:ind w:left="44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90~95</w:t>
            </w:r>
          </w:p>
        </w:tc>
        <w:tc>
          <w:tcPr>
            <w:tcW w:w="834" w:type="dxa"/>
            <w:vAlign w:val="top"/>
          </w:tcPr>
          <w:p w14:paraId="281FD931">
            <w:pPr>
              <w:pStyle w:val="6"/>
              <w:spacing w:before="75" w:line="214" w:lineRule="auto"/>
              <w:ind w:left="215"/>
              <w:rPr>
                <w:sz w:val="20"/>
                <w:szCs w:val="20"/>
              </w:rPr>
            </w:pPr>
            <w:r>
              <w:rPr>
                <w:spacing w:val="4"/>
                <w:sz w:val="20"/>
                <w:szCs w:val="20"/>
              </w:rPr>
              <w:t>连续</w:t>
            </w:r>
          </w:p>
        </w:tc>
        <w:tc>
          <w:tcPr>
            <w:tcW w:w="870" w:type="dxa"/>
            <w:vAlign w:val="top"/>
          </w:tcPr>
          <w:p w14:paraId="5FB254C9">
            <w:pPr>
              <w:pStyle w:val="6"/>
              <w:spacing w:before="75" w:line="214" w:lineRule="auto"/>
              <w:ind w:left="235"/>
              <w:rPr>
                <w:sz w:val="20"/>
                <w:szCs w:val="20"/>
              </w:rPr>
            </w:pPr>
            <w:r>
              <w:rPr>
                <w:spacing w:val="3"/>
                <w:sz w:val="20"/>
                <w:szCs w:val="20"/>
              </w:rPr>
              <w:t>室内</w:t>
            </w:r>
          </w:p>
        </w:tc>
        <w:tc>
          <w:tcPr>
            <w:tcW w:w="2138" w:type="dxa"/>
            <w:vAlign w:val="top"/>
          </w:tcPr>
          <w:p w14:paraId="290F5520">
            <w:pPr>
              <w:pStyle w:val="6"/>
              <w:spacing w:before="75" w:line="214" w:lineRule="auto"/>
              <w:ind w:left="562"/>
              <w:rPr>
                <w:sz w:val="20"/>
                <w:szCs w:val="20"/>
              </w:rPr>
            </w:pPr>
            <w:r>
              <w:rPr>
                <w:spacing w:val="5"/>
                <w:sz w:val="20"/>
                <w:szCs w:val="20"/>
              </w:rPr>
              <w:t>隔声、减振</w:t>
            </w:r>
          </w:p>
        </w:tc>
        <w:tc>
          <w:tcPr>
            <w:tcW w:w="1350" w:type="dxa"/>
            <w:tcBorders>
              <w:right w:val="nil"/>
            </w:tcBorders>
            <w:vAlign w:val="top"/>
          </w:tcPr>
          <w:p w14:paraId="77A7E6A9">
            <w:pPr>
              <w:spacing w:before="111" w:line="195"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≤80</w:t>
            </w:r>
          </w:p>
        </w:tc>
      </w:tr>
      <w:tr w14:paraId="05181D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0" w:hRule="atLeast"/>
        </w:trPr>
        <w:tc>
          <w:tcPr>
            <w:tcW w:w="747" w:type="dxa"/>
            <w:tcBorders>
              <w:left w:val="nil"/>
              <w:bottom w:val="single" w:color="000000" w:sz="10" w:space="0"/>
            </w:tcBorders>
            <w:vAlign w:val="top"/>
          </w:tcPr>
          <w:p w14:paraId="528F7E06">
            <w:pPr>
              <w:spacing w:before="271"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17</w:t>
            </w:r>
          </w:p>
        </w:tc>
        <w:tc>
          <w:tcPr>
            <w:tcW w:w="1669" w:type="dxa"/>
            <w:tcBorders>
              <w:bottom w:val="single" w:color="000000" w:sz="10" w:space="0"/>
            </w:tcBorders>
            <w:vAlign w:val="top"/>
          </w:tcPr>
          <w:p w14:paraId="7ED0100D">
            <w:pPr>
              <w:pStyle w:val="6"/>
              <w:spacing w:before="235" w:line="227" w:lineRule="auto"/>
              <w:ind w:left="422"/>
              <w:rPr>
                <w:sz w:val="20"/>
                <w:szCs w:val="20"/>
              </w:rPr>
            </w:pPr>
            <w:r>
              <w:rPr>
                <w:spacing w:val="6"/>
                <w:sz w:val="20"/>
                <w:szCs w:val="20"/>
              </w:rPr>
              <w:t>发电机组</w:t>
            </w:r>
          </w:p>
        </w:tc>
        <w:tc>
          <w:tcPr>
            <w:tcW w:w="1406" w:type="dxa"/>
            <w:tcBorders>
              <w:bottom w:val="single" w:color="000000" w:sz="10" w:space="0"/>
            </w:tcBorders>
            <w:vAlign w:val="top"/>
          </w:tcPr>
          <w:p w14:paraId="51C976D6">
            <w:pPr>
              <w:spacing w:before="271" w:line="195" w:lineRule="auto"/>
              <w:ind w:left="4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80~85</w:t>
            </w:r>
          </w:p>
        </w:tc>
        <w:tc>
          <w:tcPr>
            <w:tcW w:w="834" w:type="dxa"/>
            <w:tcBorders>
              <w:bottom w:val="single" w:color="000000" w:sz="10" w:space="0"/>
            </w:tcBorders>
            <w:vAlign w:val="top"/>
          </w:tcPr>
          <w:p w14:paraId="01855DEB">
            <w:pPr>
              <w:pStyle w:val="6"/>
              <w:spacing w:before="235" w:line="228" w:lineRule="auto"/>
              <w:ind w:left="215"/>
              <w:rPr>
                <w:sz w:val="20"/>
                <w:szCs w:val="20"/>
              </w:rPr>
            </w:pPr>
            <w:r>
              <w:rPr>
                <w:spacing w:val="4"/>
                <w:sz w:val="20"/>
                <w:szCs w:val="20"/>
              </w:rPr>
              <w:t>连续</w:t>
            </w:r>
          </w:p>
        </w:tc>
        <w:tc>
          <w:tcPr>
            <w:tcW w:w="870" w:type="dxa"/>
            <w:tcBorders>
              <w:bottom w:val="single" w:color="000000" w:sz="10" w:space="0"/>
            </w:tcBorders>
            <w:vAlign w:val="top"/>
          </w:tcPr>
          <w:p w14:paraId="241B3EC2">
            <w:pPr>
              <w:pStyle w:val="6"/>
              <w:spacing w:before="235" w:line="228" w:lineRule="auto"/>
              <w:ind w:left="235"/>
              <w:rPr>
                <w:sz w:val="20"/>
                <w:szCs w:val="20"/>
              </w:rPr>
            </w:pPr>
            <w:r>
              <w:rPr>
                <w:spacing w:val="3"/>
                <w:sz w:val="20"/>
                <w:szCs w:val="20"/>
              </w:rPr>
              <w:t>室内</w:t>
            </w:r>
          </w:p>
        </w:tc>
        <w:tc>
          <w:tcPr>
            <w:tcW w:w="2138" w:type="dxa"/>
            <w:tcBorders>
              <w:bottom w:val="single" w:color="000000" w:sz="10" w:space="0"/>
            </w:tcBorders>
            <w:vAlign w:val="top"/>
          </w:tcPr>
          <w:p w14:paraId="2A7A16EE">
            <w:pPr>
              <w:pStyle w:val="6"/>
              <w:spacing w:before="73" w:line="266" w:lineRule="auto"/>
              <w:ind w:left="866" w:right="18" w:hanging="829"/>
              <w:rPr>
                <w:sz w:val="20"/>
                <w:szCs w:val="20"/>
              </w:rPr>
            </w:pPr>
            <w:r>
              <w:rPr>
                <w:spacing w:val="7"/>
                <w:sz w:val="20"/>
                <w:szCs w:val="20"/>
              </w:rPr>
              <w:t>隔声、减振，设置隔声</w:t>
            </w:r>
            <w:r>
              <w:rPr>
                <w:spacing w:val="6"/>
                <w:sz w:val="20"/>
                <w:szCs w:val="20"/>
              </w:rPr>
              <w:t xml:space="preserve"> </w:t>
            </w:r>
            <w:r>
              <w:rPr>
                <w:spacing w:val="3"/>
                <w:sz w:val="20"/>
                <w:szCs w:val="20"/>
              </w:rPr>
              <w:t>屏障</w:t>
            </w:r>
          </w:p>
        </w:tc>
        <w:tc>
          <w:tcPr>
            <w:tcW w:w="1350" w:type="dxa"/>
            <w:tcBorders>
              <w:bottom w:val="single" w:color="000000" w:sz="10" w:space="0"/>
              <w:right w:val="nil"/>
            </w:tcBorders>
            <w:vAlign w:val="top"/>
          </w:tcPr>
          <w:p w14:paraId="0C7386F3">
            <w:pPr>
              <w:spacing w:before="272" w:line="195" w:lineRule="auto"/>
              <w:ind w:left="5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≤60</w:t>
            </w:r>
          </w:p>
        </w:tc>
      </w:tr>
    </w:tbl>
    <w:p w14:paraId="0FDCF399">
      <w:pPr>
        <w:spacing w:before="120" w:line="220" w:lineRule="auto"/>
        <w:ind w:left="4"/>
        <w:outlineLvl w:val="3"/>
        <w:rPr>
          <w:rFonts w:ascii="宋体" w:hAnsi="宋体" w:eastAsia="宋体" w:cs="宋体"/>
          <w:sz w:val="24"/>
          <w:szCs w:val="24"/>
        </w:rPr>
      </w:pPr>
      <w:r>
        <w:fldChar w:fldCharType="begin"/>
      </w:r>
      <w:r>
        <w:instrText xml:space="preserve"> HYPERLINK "2.3.3.4" </w:instrText>
      </w:r>
      <w:r>
        <w:fldChar w:fldCharType="separate"/>
      </w:r>
      <w:r>
        <w:rPr>
          <w:rFonts w:ascii="Times New Roman" w:hAnsi="Times New Roman" w:eastAsia="Times New Roman" w:cs="Times New Roman"/>
          <w:b/>
          <w:bCs/>
          <w:spacing w:val="-4"/>
          <w:sz w:val="24"/>
          <w:szCs w:val="24"/>
        </w:rPr>
        <w:t>2.3.3.4</w:t>
      </w:r>
      <w:r>
        <w:rPr>
          <w:rFonts w:ascii="Times New Roman" w:hAnsi="Times New Roman" w:eastAsia="Times New Roman" w:cs="Times New Roman"/>
          <w:b/>
          <w:bCs/>
          <w:spacing w:val="-4"/>
          <w:sz w:val="24"/>
          <w:szCs w:val="24"/>
        </w:rPr>
        <w:fldChar w:fldCharType="end"/>
      </w:r>
      <w:r>
        <w:rPr>
          <w:rFonts w:ascii="Times New Roman" w:hAnsi="Times New Roman" w:eastAsia="Times New Roman" w:cs="Times New Roman"/>
          <w:b/>
          <w:bCs/>
          <w:spacing w:val="40"/>
          <w:sz w:val="24"/>
          <w:szCs w:val="24"/>
        </w:rPr>
        <w:t xml:space="preserve"> </w:t>
      </w:r>
      <w:r>
        <w:rPr>
          <w:rFonts w:ascii="宋体" w:hAnsi="宋体" w:eastAsia="宋体" w:cs="宋体"/>
          <w:b/>
          <w:bCs/>
          <w:spacing w:val="-4"/>
          <w:sz w:val="24"/>
          <w:szCs w:val="24"/>
        </w:rPr>
        <w:t>固体废物处置分析</w:t>
      </w:r>
    </w:p>
    <w:p w14:paraId="58EB8821">
      <w:pPr>
        <w:spacing w:before="187" w:line="359" w:lineRule="auto"/>
        <w:ind w:left="8" w:firstLine="483"/>
        <w:jc w:val="both"/>
        <w:rPr>
          <w:rFonts w:ascii="宋体" w:hAnsi="宋体" w:eastAsia="宋体" w:cs="宋体"/>
          <w:sz w:val="24"/>
          <w:szCs w:val="24"/>
        </w:rPr>
      </w:pPr>
      <w:r>
        <w:rPr>
          <w:rFonts w:ascii="宋体" w:hAnsi="宋体" w:eastAsia="宋体" w:cs="宋体"/>
          <w:spacing w:val="-3"/>
          <w:sz w:val="24"/>
          <w:szCs w:val="24"/>
        </w:rPr>
        <w:t>项目固体废物产生的总量为</w:t>
      </w:r>
      <w:r>
        <w:rPr>
          <w:rFonts w:ascii="宋体" w:hAnsi="宋体" w:eastAsia="宋体" w:cs="宋体"/>
          <w:spacing w:val="-41"/>
          <w:sz w:val="24"/>
          <w:szCs w:val="24"/>
        </w:rPr>
        <w:t xml:space="preserve"> </w:t>
      </w:r>
      <w:r>
        <w:rPr>
          <w:rFonts w:ascii="Times New Roman" w:hAnsi="Times New Roman" w:eastAsia="Times New Roman" w:cs="Times New Roman"/>
          <w:spacing w:val="-3"/>
          <w:sz w:val="24"/>
          <w:szCs w:val="24"/>
        </w:rPr>
        <w:t>287259.87</w:t>
      </w:r>
      <w:r>
        <w:rPr>
          <w:rFonts w:ascii="Times New Roman" w:hAnsi="Times New Roman" w:eastAsia="Times New Roman" w:cs="Times New Roman"/>
          <w:spacing w:val="21"/>
          <w:w w:val="101"/>
          <w:sz w:val="24"/>
          <w:szCs w:val="24"/>
        </w:rPr>
        <w:t xml:space="preserve"> </w:t>
      </w:r>
      <w:r>
        <w:rPr>
          <w:rFonts w:ascii="宋体" w:hAnsi="宋体" w:eastAsia="宋体" w:cs="宋体"/>
          <w:spacing w:val="-3"/>
          <w:sz w:val="24"/>
          <w:szCs w:val="24"/>
        </w:rPr>
        <w:t>吨</w:t>
      </w:r>
      <w:r>
        <w:rPr>
          <w:rFonts w:ascii="Times New Roman" w:hAnsi="Times New Roman" w:eastAsia="Times New Roman" w:cs="Times New Roman"/>
          <w:spacing w:val="-3"/>
          <w:sz w:val="24"/>
          <w:szCs w:val="24"/>
        </w:rPr>
        <w:t>/</w:t>
      </w:r>
      <w:r>
        <w:rPr>
          <w:rFonts w:ascii="宋体" w:hAnsi="宋体" w:eastAsia="宋体" w:cs="宋体"/>
          <w:spacing w:val="-3"/>
          <w:sz w:val="24"/>
          <w:szCs w:val="24"/>
        </w:rPr>
        <w:t>年，其中一般工业固废</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287029.20</w:t>
      </w:r>
      <w:r>
        <w:rPr>
          <w:rFonts w:ascii="Times New Roman" w:hAnsi="Times New Roman" w:eastAsia="Times New Roman" w:cs="Times New Roman"/>
          <w:spacing w:val="20"/>
          <w:w w:val="101"/>
          <w:sz w:val="24"/>
          <w:szCs w:val="24"/>
        </w:rPr>
        <w:t xml:space="preserve"> </w:t>
      </w:r>
      <w:r>
        <w:rPr>
          <w:rFonts w:ascii="宋体" w:hAnsi="宋体" w:eastAsia="宋体" w:cs="宋体"/>
          <w:spacing w:val="-3"/>
          <w:sz w:val="24"/>
          <w:szCs w:val="24"/>
        </w:rPr>
        <w:t>吨</w:t>
      </w:r>
      <w:r>
        <w:rPr>
          <w:rFonts w:ascii="Times New Roman" w:hAnsi="Times New Roman" w:eastAsia="Times New Roman" w:cs="Times New Roman"/>
          <w:spacing w:val="-3"/>
          <w:sz w:val="24"/>
          <w:szCs w:val="24"/>
        </w:rPr>
        <w:t>/</w:t>
      </w:r>
      <w:r>
        <w:rPr>
          <w:rFonts w:ascii="宋体" w:hAnsi="宋体" w:eastAsia="宋体" w:cs="宋体"/>
          <w:spacing w:val="-3"/>
          <w:sz w:val="24"/>
          <w:szCs w:val="24"/>
        </w:rPr>
        <w:t>年，</w:t>
      </w:r>
      <w:r>
        <w:rPr>
          <w:rFonts w:ascii="宋体" w:hAnsi="宋体" w:eastAsia="宋体" w:cs="宋体"/>
          <w:sz w:val="24"/>
          <w:szCs w:val="24"/>
        </w:rPr>
        <w:t xml:space="preserve"> </w:t>
      </w:r>
      <w:r>
        <w:rPr>
          <w:rFonts w:ascii="宋体" w:hAnsi="宋体" w:eastAsia="宋体" w:cs="宋体"/>
          <w:spacing w:val="-5"/>
          <w:sz w:val="24"/>
          <w:szCs w:val="24"/>
        </w:rPr>
        <w:t>危险废物</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114.12</w:t>
      </w:r>
      <w:r>
        <w:rPr>
          <w:rFonts w:ascii="Times New Roman" w:hAnsi="Times New Roman" w:eastAsia="Times New Roman" w:cs="Times New Roman"/>
          <w:spacing w:val="21"/>
          <w:sz w:val="24"/>
          <w:szCs w:val="24"/>
        </w:rPr>
        <w:t xml:space="preserve"> </w:t>
      </w:r>
      <w:r>
        <w:rPr>
          <w:rFonts w:ascii="宋体" w:hAnsi="宋体" w:eastAsia="宋体" w:cs="宋体"/>
          <w:spacing w:val="-5"/>
          <w:sz w:val="24"/>
          <w:szCs w:val="24"/>
        </w:rPr>
        <w:t>吨</w:t>
      </w:r>
      <w:r>
        <w:rPr>
          <w:rFonts w:ascii="Times New Roman" w:hAnsi="Times New Roman" w:eastAsia="Times New Roman" w:cs="Times New Roman"/>
          <w:spacing w:val="-5"/>
          <w:sz w:val="24"/>
          <w:szCs w:val="24"/>
        </w:rPr>
        <w:t>/</w:t>
      </w:r>
      <w:r>
        <w:rPr>
          <w:rFonts w:ascii="宋体" w:hAnsi="宋体" w:eastAsia="宋体" w:cs="宋体"/>
          <w:spacing w:val="-5"/>
          <w:sz w:val="24"/>
          <w:szCs w:val="24"/>
        </w:rPr>
        <w:t>年，生活垃圾</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116.55</w:t>
      </w:r>
      <w:r>
        <w:rPr>
          <w:rFonts w:ascii="Times New Roman" w:hAnsi="Times New Roman" w:eastAsia="Times New Roman" w:cs="Times New Roman"/>
          <w:spacing w:val="21"/>
          <w:sz w:val="24"/>
          <w:szCs w:val="24"/>
        </w:rPr>
        <w:t xml:space="preserve"> </w:t>
      </w:r>
      <w:r>
        <w:rPr>
          <w:rFonts w:ascii="宋体" w:hAnsi="宋体" w:eastAsia="宋体" w:cs="宋体"/>
          <w:spacing w:val="-5"/>
          <w:sz w:val="24"/>
          <w:szCs w:val="24"/>
        </w:rPr>
        <w:t>吨</w:t>
      </w:r>
      <w:r>
        <w:rPr>
          <w:rFonts w:ascii="Times New Roman" w:hAnsi="Times New Roman" w:eastAsia="Times New Roman" w:cs="Times New Roman"/>
          <w:spacing w:val="-5"/>
          <w:sz w:val="24"/>
          <w:szCs w:val="24"/>
        </w:rPr>
        <w:t>/</w:t>
      </w:r>
      <w:r>
        <w:rPr>
          <w:rFonts w:ascii="宋体" w:hAnsi="宋体" w:eastAsia="宋体" w:cs="宋体"/>
          <w:spacing w:val="-5"/>
          <w:sz w:val="24"/>
          <w:szCs w:val="24"/>
        </w:rPr>
        <w:t>年，全部得到了合理处置，产生情况及处置</w:t>
      </w:r>
      <w:r>
        <w:rPr>
          <w:rFonts w:ascii="宋体" w:hAnsi="宋体" w:eastAsia="宋体" w:cs="宋体"/>
          <w:sz w:val="24"/>
          <w:szCs w:val="24"/>
        </w:rPr>
        <w:t xml:space="preserve"> </w:t>
      </w:r>
      <w:r>
        <w:rPr>
          <w:rFonts w:ascii="宋体" w:hAnsi="宋体" w:eastAsia="宋体" w:cs="宋体"/>
          <w:spacing w:val="-2"/>
          <w:sz w:val="24"/>
          <w:szCs w:val="24"/>
        </w:rPr>
        <w:t>措施详见表</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2.3-24</w:t>
      </w:r>
      <w:r>
        <w:rPr>
          <w:rFonts w:ascii="宋体" w:hAnsi="宋体" w:eastAsia="宋体" w:cs="宋体"/>
          <w:spacing w:val="-2"/>
          <w:sz w:val="24"/>
          <w:szCs w:val="24"/>
        </w:rPr>
        <w:t>。</w:t>
      </w:r>
    </w:p>
    <w:p w14:paraId="61B066C0">
      <w:pPr>
        <w:spacing w:line="359" w:lineRule="auto"/>
        <w:rPr>
          <w:rFonts w:ascii="宋体" w:hAnsi="宋体" w:eastAsia="宋体" w:cs="宋体"/>
          <w:sz w:val="24"/>
          <w:szCs w:val="24"/>
        </w:rPr>
        <w:sectPr>
          <w:headerReference r:id="rId184" w:type="default"/>
          <w:footerReference r:id="rId185" w:type="default"/>
          <w:pgSz w:w="11850" w:h="16781"/>
          <w:pgMar w:top="1190" w:right="1357" w:bottom="1013" w:left="1417" w:header="882" w:footer="850" w:gutter="0"/>
          <w:cols w:space="720" w:num="1"/>
        </w:sectPr>
      </w:pPr>
    </w:p>
    <w:p w14:paraId="42EE0482">
      <w:pPr>
        <w:pStyle w:val="2"/>
        <w:spacing w:line="292" w:lineRule="auto"/>
      </w:pPr>
      <w:r>
        <w:pict>
          <v:shape id="_x0000_s1236" o:spid="_x0000_s1236" style="position:absolute;left:0pt;margin-left:0.75pt;margin-top:0.7pt;height:0.75pt;width:450.75pt;z-index:251894784;mso-width-relative:page;mso-height-relative:page;" fillcolor="#000000" filled="t" stroked="f" coordsize="9015,15" path="m0,0l9014,0,9014,14,0,14,0,0xe">
            <v:path/>
            <v:fill on="t" focussize="0,0"/>
            <v:stroke on="f"/>
            <v:imagedata o:title=""/>
            <o:lock v:ext="edit"/>
          </v:shape>
        </w:pict>
      </w:r>
    </w:p>
    <w:p w14:paraId="5E746E32">
      <w:pPr>
        <w:spacing w:before="65" w:line="228" w:lineRule="auto"/>
        <w:ind w:left="2008"/>
        <w:rPr>
          <w:rFonts w:ascii="Times New Roman" w:hAnsi="Times New Roman" w:eastAsia="Times New Roman" w:cs="Times New Roman"/>
          <w:sz w:val="20"/>
          <w:szCs w:val="20"/>
        </w:rPr>
      </w:pPr>
      <w:r>
        <w:rPr>
          <w:rFonts w:ascii="宋体" w:hAnsi="宋体" w:eastAsia="宋体" w:cs="宋体"/>
          <w:b/>
          <w:bCs/>
          <w:spacing w:val="5"/>
          <w:sz w:val="20"/>
          <w:szCs w:val="20"/>
        </w:rPr>
        <w:t>表</w:t>
      </w:r>
      <w:r>
        <w:rPr>
          <w:rFonts w:ascii="宋体" w:hAnsi="宋体" w:eastAsia="宋体" w:cs="宋体"/>
          <w:spacing w:val="-25"/>
          <w:sz w:val="20"/>
          <w:szCs w:val="20"/>
        </w:rPr>
        <w:t xml:space="preserve"> </w:t>
      </w:r>
      <w:r>
        <w:rPr>
          <w:rFonts w:ascii="Times New Roman" w:hAnsi="Times New Roman" w:eastAsia="Times New Roman" w:cs="Times New Roman"/>
          <w:b/>
          <w:bCs/>
          <w:spacing w:val="5"/>
          <w:sz w:val="20"/>
          <w:szCs w:val="20"/>
        </w:rPr>
        <w:t xml:space="preserve">2.3-24        </w:t>
      </w:r>
      <w:r>
        <w:rPr>
          <w:rFonts w:ascii="宋体" w:hAnsi="宋体" w:eastAsia="宋体" w:cs="宋体"/>
          <w:b/>
          <w:bCs/>
          <w:spacing w:val="5"/>
          <w:sz w:val="20"/>
          <w:szCs w:val="20"/>
        </w:rPr>
        <w:t>全厂固废污染源排放一览表</w:t>
      </w:r>
      <w:r>
        <w:rPr>
          <w:rFonts w:ascii="宋体" w:hAnsi="宋体" w:eastAsia="宋体" w:cs="宋体"/>
          <w:spacing w:val="5"/>
          <w:sz w:val="20"/>
          <w:szCs w:val="20"/>
        </w:rPr>
        <w:t xml:space="preserve">    </w:t>
      </w:r>
      <w:r>
        <w:rPr>
          <w:rFonts w:ascii="宋体" w:hAnsi="宋体" w:eastAsia="宋体" w:cs="宋体"/>
          <w:b/>
          <w:bCs/>
          <w:spacing w:val="5"/>
          <w:sz w:val="20"/>
          <w:szCs w:val="20"/>
        </w:rPr>
        <w:t>单位：</w:t>
      </w:r>
      <w:r>
        <w:rPr>
          <w:rFonts w:ascii="Times New Roman" w:hAnsi="Times New Roman" w:eastAsia="Times New Roman" w:cs="Times New Roman"/>
          <w:b/>
          <w:bCs/>
          <w:spacing w:val="5"/>
          <w:sz w:val="20"/>
          <w:szCs w:val="20"/>
        </w:rPr>
        <w:t>t/a</w:t>
      </w:r>
    </w:p>
    <w:p w14:paraId="70AACD8C">
      <w:pPr>
        <w:spacing w:line="97" w:lineRule="exact"/>
      </w:pPr>
    </w:p>
    <w:tbl>
      <w:tblPr>
        <w:tblStyle w:val="5"/>
        <w:tblW w:w="903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47"/>
        <w:gridCol w:w="1555"/>
        <w:gridCol w:w="1092"/>
        <w:gridCol w:w="2294"/>
        <w:gridCol w:w="1123"/>
        <w:gridCol w:w="2528"/>
      </w:tblGrid>
      <w:tr w14:paraId="4CDAE0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447" w:type="dxa"/>
            <w:tcBorders>
              <w:top w:val="single" w:color="000000" w:sz="10" w:space="0"/>
              <w:left w:val="nil"/>
            </w:tcBorders>
            <w:textDirection w:val="tbRlV"/>
            <w:vAlign w:val="top"/>
          </w:tcPr>
          <w:p w14:paraId="5942B28C">
            <w:pPr>
              <w:pStyle w:val="6"/>
              <w:spacing w:before="118" w:line="214" w:lineRule="auto"/>
              <w:ind w:left="74"/>
              <w:rPr>
                <w:sz w:val="20"/>
                <w:szCs w:val="20"/>
              </w:rPr>
            </w:pPr>
            <w:r>
              <w:rPr>
                <w:b/>
                <w:bCs/>
                <w:spacing w:val="7"/>
                <w:sz w:val="20"/>
                <w:szCs w:val="20"/>
              </w:rPr>
              <w:t>编</w:t>
            </w:r>
            <w:r>
              <w:rPr>
                <w:spacing w:val="7"/>
                <w:sz w:val="20"/>
                <w:szCs w:val="20"/>
              </w:rPr>
              <w:t xml:space="preserve"> </w:t>
            </w:r>
            <w:r>
              <w:rPr>
                <w:b/>
                <w:bCs/>
                <w:spacing w:val="7"/>
                <w:sz w:val="20"/>
                <w:szCs w:val="20"/>
              </w:rPr>
              <w:t>号</w:t>
            </w:r>
          </w:p>
        </w:tc>
        <w:tc>
          <w:tcPr>
            <w:tcW w:w="1555" w:type="dxa"/>
            <w:tcBorders>
              <w:top w:val="single" w:color="000000" w:sz="10" w:space="0"/>
            </w:tcBorders>
            <w:vAlign w:val="top"/>
          </w:tcPr>
          <w:p w14:paraId="547B2F15">
            <w:pPr>
              <w:pStyle w:val="6"/>
              <w:spacing w:before="233" w:line="228" w:lineRule="auto"/>
              <w:ind w:left="380"/>
              <w:rPr>
                <w:sz w:val="20"/>
                <w:szCs w:val="20"/>
              </w:rPr>
            </w:pPr>
            <w:r>
              <w:rPr>
                <w:b/>
                <w:bCs/>
                <w:spacing w:val="2"/>
                <w:sz w:val="20"/>
                <w:szCs w:val="20"/>
              </w:rPr>
              <w:t>固废名称</w:t>
            </w:r>
          </w:p>
        </w:tc>
        <w:tc>
          <w:tcPr>
            <w:tcW w:w="1092" w:type="dxa"/>
            <w:tcBorders>
              <w:top w:val="single" w:color="000000" w:sz="10" w:space="0"/>
            </w:tcBorders>
            <w:vAlign w:val="top"/>
          </w:tcPr>
          <w:p w14:paraId="0EB1BFE6">
            <w:pPr>
              <w:pStyle w:val="6"/>
              <w:spacing w:before="232" w:line="228" w:lineRule="auto"/>
              <w:ind w:left="235"/>
              <w:rPr>
                <w:sz w:val="20"/>
                <w:szCs w:val="20"/>
              </w:rPr>
            </w:pPr>
            <w:r>
              <w:rPr>
                <w:b/>
                <w:bCs/>
                <w:spacing w:val="5"/>
                <w:sz w:val="20"/>
                <w:szCs w:val="20"/>
              </w:rPr>
              <w:t>产生量</w:t>
            </w:r>
          </w:p>
        </w:tc>
        <w:tc>
          <w:tcPr>
            <w:tcW w:w="2294" w:type="dxa"/>
            <w:tcBorders>
              <w:top w:val="single" w:color="000000" w:sz="10" w:space="0"/>
            </w:tcBorders>
            <w:vAlign w:val="top"/>
          </w:tcPr>
          <w:p w14:paraId="04325778">
            <w:pPr>
              <w:pStyle w:val="6"/>
              <w:spacing w:before="233" w:line="228" w:lineRule="auto"/>
              <w:ind w:left="731"/>
              <w:rPr>
                <w:sz w:val="20"/>
                <w:szCs w:val="20"/>
              </w:rPr>
            </w:pPr>
            <w:r>
              <w:rPr>
                <w:b/>
                <w:bCs/>
                <w:spacing w:val="6"/>
                <w:sz w:val="20"/>
                <w:szCs w:val="20"/>
              </w:rPr>
              <w:t>主要成分</w:t>
            </w:r>
          </w:p>
        </w:tc>
        <w:tc>
          <w:tcPr>
            <w:tcW w:w="1123" w:type="dxa"/>
            <w:tcBorders>
              <w:top w:val="single" w:color="000000" w:sz="10" w:space="0"/>
            </w:tcBorders>
            <w:vAlign w:val="top"/>
          </w:tcPr>
          <w:p w14:paraId="13696535">
            <w:pPr>
              <w:pStyle w:val="6"/>
              <w:spacing w:before="232" w:line="229" w:lineRule="auto"/>
              <w:ind w:left="357"/>
              <w:rPr>
                <w:sz w:val="20"/>
                <w:szCs w:val="20"/>
              </w:rPr>
            </w:pPr>
            <w:r>
              <w:rPr>
                <w:b/>
                <w:bCs/>
                <w:spacing w:val="3"/>
                <w:sz w:val="20"/>
                <w:szCs w:val="20"/>
              </w:rPr>
              <w:t>属性</w:t>
            </w:r>
          </w:p>
        </w:tc>
        <w:tc>
          <w:tcPr>
            <w:tcW w:w="2528" w:type="dxa"/>
            <w:tcBorders>
              <w:top w:val="single" w:color="000000" w:sz="10" w:space="0"/>
              <w:right w:val="nil"/>
            </w:tcBorders>
            <w:vAlign w:val="top"/>
          </w:tcPr>
          <w:p w14:paraId="3952A618">
            <w:pPr>
              <w:pStyle w:val="6"/>
              <w:spacing w:before="232" w:line="227" w:lineRule="auto"/>
              <w:ind w:left="531"/>
              <w:rPr>
                <w:sz w:val="20"/>
                <w:szCs w:val="20"/>
              </w:rPr>
            </w:pPr>
            <w:r>
              <w:rPr>
                <w:b/>
                <w:bCs/>
                <w:spacing w:val="7"/>
                <w:sz w:val="20"/>
                <w:szCs w:val="20"/>
              </w:rPr>
              <w:t>拟采取处理措施</w:t>
            </w:r>
          </w:p>
        </w:tc>
      </w:tr>
      <w:tr w14:paraId="357853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4" w:hRule="atLeast"/>
        </w:trPr>
        <w:tc>
          <w:tcPr>
            <w:tcW w:w="447" w:type="dxa"/>
            <w:tcBorders>
              <w:left w:val="nil"/>
            </w:tcBorders>
            <w:vAlign w:val="top"/>
          </w:tcPr>
          <w:p w14:paraId="0691A920">
            <w:pPr>
              <w:spacing w:before="267" w:line="209" w:lineRule="auto"/>
              <w:ind w:left="8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1-</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1"/>
                <w:sz w:val="13"/>
                <w:szCs w:val="13"/>
              </w:rPr>
              <w:t>1</w:t>
            </w:r>
          </w:p>
        </w:tc>
        <w:tc>
          <w:tcPr>
            <w:tcW w:w="1555" w:type="dxa"/>
            <w:vAlign w:val="top"/>
          </w:tcPr>
          <w:p w14:paraId="5DFD2C6E">
            <w:pPr>
              <w:pStyle w:val="6"/>
              <w:spacing w:before="69" w:line="265" w:lineRule="auto"/>
              <w:ind w:left="363" w:right="41" w:hanging="316"/>
              <w:rPr>
                <w:sz w:val="20"/>
                <w:szCs w:val="20"/>
              </w:rPr>
            </w:pPr>
            <w:r>
              <w:rPr>
                <w:spacing w:val="8"/>
                <w:sz w:val="20"/>
                <w:szCs w:val="20"/>
              </w:rPr>
              <w:t>焦炭烘干布袋除</w:t>
            </w:r>
            <w:r>
              <w:rPr>
                <w:spacing w:val="3"/>
                <w:sz w:val="20"/>
                <w:szCs w:val="20"/>
              </w:rPr>
              <w:t xml:space="preserve"> </w:t>
            </w:r>
            <w:r>
              <w:rPr>
                <w:spacing w:val="6"/>
                <w:sz w:val="20"/>
                <w:szCs w:val="20"/>
              </w:rPr>
              <w:t>尘器收尘</w:t>
            </w:r>
          </w:p>
        </w:tc>
        <w:tc>
          <w:tcPr>
            <w:tcW w:w="1092" w:type="dxa"/>
            <w:vAlign w:val="top"/>
          </w:tcPr>
          <w:p w14:paraId="480687EA">
            <w:pPr>
              <w:spacing w:before="267" w:line="195"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225.88</w:t>
            </w:r>
          </w:p>
        </w:tc>
        <w:tc>
          <w:tcPr>
            <w:tcW w:w="2294" w:type="dxa"/>
            <w:vAlign w:val="top"/>
          </w:tcPr>
          <w:p w14:paraId="142C58CF">
            <w:pPr>
              <w:pStyle w:val="6"/>
              <w:spacing w:before="230" w:line="228" w:lineRule="auto"/>
              <w:ind w:left="849"/>
              <w:rPr>
                <w:sz w:val="20"/>
                <w:szCs w:val="20"/>
              </w:rPr>
            </w:pPr>
            <w:r>
              <w:rPr>
                <w:spacing w:val="2"/>
                <w:sz w:val="20"/>
                <w:szCs w:val="20"/>
              </w:rPr>
              <w:t>除尘灰</w:t>
            </w:r>
          </w:p>
        </w:tc>
        <w:tc>
          <w:tcPr>
            <w:tcW w:w="1123" w:type="dxa"/>
            <w:vAlign w:val="top"/>
          </w:tcPr>
          <w:p w14:paraId="698A864A">
            <w:pPr>
              <w:pStyle w:val="6"/>
              <w:spacing w:before="231" w:line="228" w:lineRule="auto"/>
              <w:ind w:left="150"/>
              <w:rPr>
                <w:sz w:val="20"/>
                <w:szCs w:val="20"/>
              </w:rPr>
            </w:pPr>
            <w:r>
              <w:rPr>
                <w:spacing w:val="6"/>
                <w:sz w:val="20"/>
                <w:szCs w:val="20"/>
              </w:rPr>
              <w:t>一般固废</w:t>
            </w:r>
          </w:p>
        </w:tc>
        <w:tc>
          <w:tcPr>
            <w:tcW w:w="2528" w:type="dxa"/>
            <w:tcBorders>
              <w:right w:val="nil"/>
            </w:tcBorders>
            <w:vAlign w:val="top"/>
          </w:tcPr>
          <w:p w14:paraId="6801E262">
            <w:pPr>
              <w:pStyle w:val="6"/>
              <w:spacing w:before="231" w:line="227" w:lineRule="auto"/>
              <w:ind w:left="639"/>
              <w:rPr>
                <w:sz w:val="20"/>
                <w:szCs w:val="20"/>
              </w:rPr>
            </w:pPr>
            <w:r>
              <w:rPr>
                <w:spacing w:val="8"/>
                <w:sz w:val="20"/>
                <w:szCs w:val="20"/>
              </w:rPr>
              <w:t>返回烧结系统</w:t>
            </w:r>
          </w:p>
        </w:tc>
      </w:tr>
      <w:tr w14:paraId="589573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447" w:type="dxa"/>
            <w:tcBorders>
              <w:left w:val="nil"/>
            </w:tcBorders>
            <w:vAlign w:val="top"/>
          </w:tcPr>
          <w:p w14:paraId="5C1A90B3">
            <w:pPr>
              <w:spacing w:before="268" w:line="209" w:lineRule="auto"/>
              <w:ind w:left="8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1-2</w:t>
            </w:r>
          </w:p>
        </w:tc>
        <w:tc>
          <w:tcPr>
            <w:tcW w:w="1555" w:type="dxa"/>
            <w:vAlign w:val="top"/>
          </w:tcPr>
          <w:p w14:paraId="3D82A5BF">
            <w:pPr>
              <w:pStyle w:val="6"/>
              <w:spacing w:before="72" w:line="264" w:lineRule="auto"/>
              <w:ind w:left="268" w:right="41" w:hanging="221"/>
              <w:rPr>
                <w:sz w:val="20"/>
                <w:szCs w:val="20"/>
              </w:rPr>
            </w:pPr>
            <w:r>
              <w:rPr>
                <w:spacing w:val="8"/>
                <w:sz w:val="20"/>
                <w:szCs w:val="20"/>
              </w:rPr>
              <w:t>锰矿石烘干布袋</w:t>
            </w:r>
            <w:r>
              <w:rPr>
                <w:spacing w:val="3"/>
                <w:sz w:val="20"/>
                <w:szCs w:val="20"/>
              </w:rPr>
              <w:t xml:space="preserve"> </w:t>
            </w:r>
            <w:r>
              <w:rPr>
                <w:spacing w:val="5"/>
                <w:sz w:val="20"/>
                <w:szCs w:val="20"/>
              </w:rPr>
              <w:t>除尘器收尘</w:t>
            </w:r>
          </w:p>
        </w:tc>
        <w:tc>
          <w:tcPr>
            <w:tcW w:w="1092" w:type="dxa"/>
            <w:vAlign w:val="top"/>
          </w:tcPr>
          <w:p w14:paraId="6FF3AA9D">
            <w:pPr>
              <w:spacing w:before="268" w:line="195" w:lineRule="auto"/>
              <w:ind w:left="20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2462.89</w:t>
            </w:r>
          </w:p>
        </w:tc>
        <w:tc>
          <w:tcPr>
            <w:tcW w:w="2294" w:type="dxa"/>
            <w:vAlign w:val="top"/>
          </w:tcPr>
          <w:p w14:paraId="692AB8CD">
            <w:pPr>
              <w:pStyle w:val="6"/>
              <w:spacing w:before="231" w:line="228" w:lineRule="auto"/>
              <w:ind w:left="849"/>
              <w:rPr>
                <w:sz w:val="20"/>
                <w:szCs w:val="20"/>
              </w:rPr>
            </w:pPr>
            <w:r>
              <w:rPr>
                <w:spacing w:val="2"/>
                <w:sz w:val="20"/>
                <w:szCs w:val="20"/>
              </w:rPr>
              <w:t>除尘灰</w:t>
            </w:r>
          </w:p>
        </w:tc>
        <w:tc>
          <w:tcPr>
            <w:tcW w:w="1123" w:type="dxa"/>
            <w:vAlign w:val="top"/>
          </w:tcPr>
          <w:p w14:paraId="7D87FED8">
            <w:pPr>
              <w:pStyle w:val="6"/>
              <w:spacing w:before="232" w:line="228" w:lineRule="auto"/>
              <w:ind w:left="150"/>
              <w:rPr>
                <w:sz w:val="20"/>
                <w:szCs w:val="20"/>
              </w:rPr>
            </w:pPr>
            <w:r>
              <w:rPr>
                <w:spacing w:val="6"/>
                <w:sz w:val="20"/>
                <w:szCs w:val="20"/>
              </w:rPr>
              <w:t>一般固废</w:t>
            </w:r>
          </w:p>
        </w:tc>
        <w:tc>
          <w:tcPr>
            <w:tcW w:w="2528" w:type="dxa"/>
            <w:tcBorders>
              <w:right w:val="nil"/>
            </w:tcBorders>
            <w:vAlign w:val="top"/>
          </w:tcPr>
          <w:p w14:paraId="5507863D">
            <w:pPr>
              <w:pStyle w:val="6"/>
              <w:spacing w:before="232" w:line="227" w:lineRule="auto"/>
              <w:ind w:left="639"/>
              <w:rPr>
                <w:sz w:val="20"/>
                <w:szCs w:val="20"/>
              </w:rPr>
            </w:pPr>
            <w:r>
              <w:rPr>
                <w:spacing w:val="8"/>
                <w:sz w:val="20"/>
                <w:szCs w:val="20"/>
              </w:rPr>
              <w:t>返回烧结系统</w:t>
            </w:r>
          </w:p>
        </w:tc>
      </w:tr>
      <w:tr w14:paraId="2C7E9F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447" w:type="dxa"/>
            <w:tcBorders>
              <w:left w:val="nil"/>
            </w:tcBorders>
            <w:vAlign w:val="top"/>
          </w:tcPr>
          <w:p w14:paraId="394DC190">
            <w:pPr>
              <w:spacing w:before="112" w:line="208" w:lineRule="auto"/>
              <w:ind w:left="8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1-3</w:t>
            </w:r>
          </w:p>
        </w:tc>
        <w:tc>
          <w:tcPr>
            <w:tcW w:w="1555" w:type="dxa"/>
            <w:vAlign w:val="top"/>
          </w:tcPr>
          <w:p w14:paraId="5A4DCBA1">
            <w:pPr>
              <w:pStyle w:val="6"/>
              <w:spacing w:before="73" w:line="227" w:lineRule="auto"/>
              <w:ind w:left="255"/>
              <w:rPr>
                <w:sz w:val="20"/>
                <w:szCs w:val="20"/>
              </w:rPr>
            </w:pPr>
            <w:r>
              <w:rPr>
                <w:spacing w:val="8"/>
                <w:sz w:val="20"/>
                <w:szCs w:val="20"/>
              </w:rPr>
              <w:t>废耐火材料</w:t>
            </w:r>
          </w:p>
        </w:tc>
        <w:tc>
          <w:tcPr>
            <w:tcW w:w="1092" w:type="dxa"/>
            <w:vAlign w:val="top"/>
          </w:tcPr>
          <w:p w14:paraId="265B6B89">
            <w:pPr>
              <w:spacing w:before="112" w:line="195" w:lineRule="auto"/>
              <w:ind w:left="3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1200</w:t>
            </w:r>
          </w:p>
        </w:tc>
        <w:tc>
          <w:tcPr>
            <w:tcW w:w="2294" w:type="dxa"/>
            <w:vAlign w:val="top"/>
          </w:tcPr>
          <w:p w14:paraId="370953EA">
            <w:pPr>
              <w:pStyle w:val="6"/>
              <w:spacing w:before="73" w:line="227" w:lineRule="auto"/>
              <w:ind w:left="625"/>
              <w:rPr>
                <w:sz w:val="20"/>
                <w:szCs w:val="20"/>
              </w:rPr>
            </w:pPr>
            <w:r>
              <w:rPr>
                <w:spacing w:val="8"/>
                <w:sz w:val="20"/>
                <w:szCs w:val="20"/>
              </w:rPr>
              <w:t>废耐火材料</w:t>
            </w:r>
          </w:p>
        </w:tc>
        <w:tc>
          <w:tcPr>
            <w:tcW w:w="1123" w:type="dxa"/>
            <w:vAlign w:val="top"/>
          </w:tcPr>
          <w:p w14:paraId="2A1B380A">
            <w:pPr>
              <w:pStyle w:val="6"/>
              <w:spacing w:before="74" w:line="228" w:lineRule="auto"/>
              <w:ind w:left="150"/>
              <w:rPr>
                <w:sz w:val="20"/>
                <w:szCs w:val="20"/>
              </w:rPr>
            </w:pPr>
            <w:r>
              <w:rPr>
                <w:spacing w:val="6"/>
                <w:sz w:val="20"/>
                <w:szCs w:val="20"/>
              </w:rPr>
              <w:t>一般固废</w:t>
            </w:r>
          </w:p>
        </w:tc>
        <w:tc>
          <w:tcPr>
            <w:tcW w:w="2528" w:type="dxa"/>
            <w:tcBorders>
              <w:right w:val="nil"/>
            </w:tcBorders>
            <w:vAlign w:val="top"/>
          </w:tcPr>
          <w:p w14:paraId="7173275F">
            <w:pPr>
              <w:pStyle w:val="6"/>
              <w:spacing w:before="73" w:line="227" w:lineRule="auto"/>
              <w:ind w:left="434"/>
              <w:rPr>
                <w:sz w:val="20"/>
                <w:szCs w:val="20"/>
              </w:rPr>
            </w:pPr>
            <w:r>
              <w:rPr>
                <w:spacing w:val="8"/>
                <w:sz w:val="20"/>
                <w:szCs w:val="20"/>
              </w:rPr>
              <w:t>外售用于生产建材</w:t>
            </w:r>
          </w:p>
        </w:tc>
      </w:tr>
      <w:tr w14:paraId="204672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447" w:type="dxa"/>
            <w:tcBorders>
              <w:left w:val="nil"/>
            </w:tcBorders>
            <w:vAlign w:val="top"/>
          </w:tcPr>
          <w:p w14:paraId="3B9D8BB3">
            <w:pPr>
              <w:spacing w:before="113" w:line="207" w:lineRule="auto"/>
              <w:ind w:left="8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1-4</w:t>
            </w:r>
          </w:p>
        </w:tc>
        <w:tc>
          <w:tcPr>
            <w:tcW w:w="1555" w:type="dxa"/>
            <w:vAlign w:val="top"/>
          </w:tcPr>
          <w:p w14:paraId="646793A4">
            <w:pPr>
              <w:pStyle w:val="6"/>
              <w:spacing w:before="74" w:line="227" w:lineRule="auto"/>
              <w:ind w:left="363"/>
              <w:rPr>
                <w:sz w:val="20"/>
                <w:szCs w:val="20"/>
              </w:rPr>
            </w:pPr>
            <w:r>
              <w:rPr>
                <w:spacing w:val="7"/>
                <w:sz w:val="20"/>
                <w:szCs w:val="20"/>
              </w:rPr>
              <w:t>脱硫石膏</w:t>
            </w:r>
          </w:p>
        </w:tc>
        <w:tc>
          <w:tcPr>
            <w:tcW w:w="1092" w:type="dxa"/>
            <w:vAlign w:val="top"/>
          </w:tcPr>
          <w:p w14:paraId="029C4284">
            <w:pPr>
              <w:spacing w:before="113" w:line="195" w:lineRule="auto"/>
              <w:ind w:left="20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2528.58</w:t>
            </w:r>
          </w:p>
        </w:tc>
        <w:tc>
          <w:tcPr>
            <w:tcW w:w="2294" w:type="dxa"/>
            <w:vAlign w:val="top"/>
          </w:tcPr>
          <w:p w14:paraId="5B0AE8A3">
            <w:pPr>
              <w:spacing w:before="113" w:line="200" w:lineRule="auto"/>
              <w:ind w:left="594"/>
              <w:rPr>
                <w:rFonts w:ascii="Times New Roman" w:hAnsi="Times New Roman" w:eastAsia="Times New Roman" w:cs="Times New Roman"/>
                <w:sz w:val="20"/>
                <w:szCs w:val="20"/>
              </w:rPr>
            </w:pPr>
            <w:r>
              <w:rPr>
                <w:rFonts w:ascii="Times New Roman" w:hAnsi="Times New Roman" w:eastAsia="Times New Roman" w:cs="Times New Roman"/>
                <w:sz w:val="20"/>
                <w:szCs w:val="20"/>
              </w:rPr>
              <w:t>CaSO</w:t>
            </w:r>
            <w:r>
              <w:rPr>
                <w:rFonts w:ascii="Times New Roman" w:hAnsi="Times New Roman" w:eastAsia="Times New Roman" w:cs="Times New Roman"/>
                <w:spacing w:val="7"/>
                <w:position w:val="-1"/>
                <w:sz w:val="13"/>
                <w:szCs w:val="13"/>
              </w:rPr>
              <w:t>4</w:t>
            </w:r>
            <w:r>
              <w:rPr>
                <w:rFonts w:ascii="Times New Roman" w:hAnsi="Times New Roman" w:eastAsia="Times New Roman" w:cs="Times New Roman"/>
                <w:spacing w:val="7"/>
                <w:sz w:val="20"/>
                <w:szCs w:val="20"/>
              </w:rPr>
              <w:t>·2H</w:t>
            </w:r>
            <w:r>
              <w:rPr>
                <w:rFonts w:ascii="Times New Roman" w:hAnsi="Times New Roman" w:eastAsia="Times New Roman" w:cs="Times New Roman"/>
                <w:spacing w:val="7"/>
                <w:position w:val="-1"/>
                <w:sz w:val="13"/>
                <w:szCs w:val="13"/>
              </w:rPr>
              <w:t>2</w:t>
            </w:r>
            <w:r>
              <w:rPr>
                <w:rFonts w:ascii="Times New Roman" w:hAnsi="Times New Roman" w:eastAsia="Times New Roman" w:cs="Times New Roman"/>
                <w:spacing w:val="7"/>
                <w:sz w:val="20"/>
                <w:szCs w:val="20"/>
              </w:rPr>
              <w:t>O</w:t>
            </w:r>
          </w:p>
        </w:tc>
        <w:tc>
          <w:tcPr>
            <w:tcW w:w="1123" w:type="dxa"/>
            <w:vAlign w:val="top"/>
          </w:tcPr>
          <w:p w14:paraId="65EF249F">
            <w:pPr>
              <w:pStyle w:val="6"/>
              <w:spacing w:before="75" w:line="228" w:lineRule="auto"/>
              <w:ind w:left="150"/>
              <w:rPr>
                <w:sz w:val="20"/>
                <w:szCs w:val="20"/>
              </w:rPr>
            </w:pPr>
            <w:r>
              <w:rPr>
                <w:spacing w:val="6"/>
                <w:sz w:val="20"/>
                <w:szCs w:val="20"/>
              </w:rPr>
              <w:t>一般固废</w:t>
            </w:r>
          </w:p>
        </w:tc>
        <w:tc>
          <w:tcPr>
            <w:tcW w:w="2528" w:type="dxa"/>
            <w:tcBorders>
              <w:right w:val="nil"/>
            </w:tcBorders>
            <w:vAlign w:val="top"/>
          </w:tcPr>
          <w:p w14:paraId="5198FB7E">
            <w:pPr>
              <w:pStyle w:val="6"/>
              <w:spacing w:before="74" w:line="227" w:lineRule="auto"/>
              <w:ind w:left="434"/>
              <w:rPr>
                <w:sz w:val="20"/>
                <w:szCs w:val="20"/>
              </w:rPr>
            </w:pPr>
            <w:r>
              <w:rPr>
                <w:spacing w:val="8"/>
                <w:sz w:val="20"/>
                <w:szCs w:val="20"/>
              </w:rPr>
              <w:t>外售用于生产建材</w:t>
            </w:r>
          </w:p>
        </w:tc>
      </w:tr>
      <w:tr w14:paraId="5A7280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447" w:type="dxa"/>
            <w:tcBorders>
              <w:left w:val="nil"/>
            </w:tcBorders>
            <w:vAlign w:val="top"/>
          </w:tcPr>
          <w:p w14:paraId="1577193C">
            <w:pPr>
              <w:spacing w:before="112" w:line="211" w:lineRule="auto"/>
              <w:ind w:left="8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1-5</w:t>
            </w:r>
          </w:p>
        </w:tc>
        <w:tc>
          <w:tcPr>
            <w:tcW w:w="1555" w:type="dxa"/>
            <w:vAlign w:val="top"/>
          </w:tcPr>
          <w:p w14:paraId="68669EDE">
            <w:pPr>
              <w:pStyle w:val="6"/>
              <w:spacing w:before="75" w:line="228" w:lineRule="auto"/>
              <w:ind w:left="154"/>
              <w:rPr>
                <w:sz w:val="20"/>
                <w:szCs w:val="20"/>
              </w:rPr>
            </w:pPr>
            <w:r>
              <w:rPr>
                <w:spacing w:val="8"/>
                <w:sz w:val="20"/>
                <w:szCs w:val="20"/>
              </w:rPr>
              <w:t>煤气净化收尘</w:t>
            </w:r>
          </w:p>
        </w:tc>
        <w:tc>
          <w:tcPr>
            <w:tcW w:w="1092" w:type="dxa"/>
            <w:vAlign w:val="top"/>
          </w:tcPr>
          <w:p w14:paraId="7FB50902">
            <w:pPr>
              <w:spacing w:before="112" w:line="195" w:lineRule="auto"/>
              <w:ind w:left="17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17835.36</w:t>
            </w:r>
          </w:p>
        </w:tc>
        <w:tc>
          <w:tcPr>
            <w:tcW w:w="2294" w:type="dxa"/>
            <w:vAlign w:val="top"/>
          </w:tcPr>
          <w:p w14:paraId="0F760FE6">
            <w:pPr>
              <w:pStyle w:val="6"/>
              <w:spacing w:before="75" w:line="228" w:lineRule="auto"/>
              <w:ind w:left="849"/>
              <w:rPr>
                <w:sz w:val="20"/>
                <w:szCs w:val="20"/>
              </w:rPr>
            </w:pPr>
            <w:r>
              <w:rPr>
                <w:spacing w:val="2"/>
                <w:sz w:val="20"/>
                <w:szCs w:val="20"/>
              </w:rPr>
              <w:t>除尘灰</w:t>
            </w:r>
          </w:p>
        </w:tc>
        <w:tc>
          <w:tcPr>
            <w:tcW w:w="1123" w:type="dxa"/>
            <w:vAlign w:val="top"/>
          </w:tcPr>
          <w:p w14:paraId="1CE43CC3">
            <w:pPr>
              <w:pStyle w:val="6"/>
              <w:spacing w:before="76" w:line="228" w:lineRule="auto"/>
              <w:ind w:left="150"/>
              <w:rPr>
                <w:sz w:val="20"/>
                <w:szCs w:val="20"/>
              </w:rPr>
            </w:pPr>
            <w:r>
              <w:rPr>
                <w:spacing w:val="6"/>
                <w:sz w:val="20"/>
                <w:szCs w:val="20"/>
              </w:rPr>
              <w:t>一般固废</w:t>
            </w:r>
          </w:p>
        </w:tc>
        <w:tc>
          <w:tcPr>
            <w:tcW w:w="2528" w:type="dxa"/>
            <w:tcBorders>
              <w:right w:val="nil"/>
            </w:tcBorders>
            <w:vAlign w:val="top"/>
          </w:tcPr>
          <w:p w14:paraId="6BEE879D">
            <w:pPr>
              <w:pStyle w:val="6"/>
              <w:spacing w:before="76" w:line="227" w:lineRule="auto"/>
              <w:ind w:left="639"/>
              <w:rPr>
                <w:sz w:val="20"/>
                <w:szCs w:val="20"/>
              </w:rPr>
            </w:pPr>
            <w:r>
              <w:rPr>
                <w:spacing w:val="8"/>
                <w:sz w:val="20"/>
                <w:szCs w:val="20"/>
              </w:rPr>
              <w:t>返回烧结系统</w:t>
            </w:r>
          </w:p>
        </w:tc>
      </w:tr>
      <w:tr w14:paraId="49C305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447" w:type="dxa"/>
            <w:tcBorders>
              <w:left w:val="nil"/>
            </w:tcBorders>
            <w:vAlign w:val="top"/>
          </w:tcPr>
          <w:p w14:paraId="181CE6D4">
            <w:pPr>
              <w:spacing w:before="274" w:line="208" w:lineRule="auto"/>
              <w:ind w:left="8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1-6</w:t>
            </w:r>
          </w:p>
        </w:tc>
        <w:tc>
          <w:tcPr>
            <w:tcW w:w="1555" w:type="dxa"/>
            <w:vAlign w:val="top"/>
          </w:tcPr>
          <w:p w14:paraId="21CDC5FF">
            <w:pPr>
              <w:pStyle w:val="6"/>
              <w:spacing w:before="236" w:line="228" w:lineRule="auto"/>
              <w:ind w:left="153"/>
              <w:rPr>
                <w:sz w:val="20"/>
                <w:szCs w:val="20"/>
              </w:rPr>
            </w:pPr>
            <w:r>
              <w:rPr>
                <w:spacing w:val="8"/>
                <w:sz w:val="20"/>
                <w:szCs w:val="20"/>
              </w:rPr>
              <w:t>锰硅冶炼炉渣</w:t>
            </w:r>
          </w:p>
        </w:tc>
        <w:tc>
          <w:tcPr>
            <w:tcW w:w="1092" w:type="dxa"/>
            <w:vAlign w:val="top"/>
          </w:tcPr>
          <w:p w14:paraId="3D8AAD4C">
            <w:pPr>
              <w:spacing w:before="274" w:line="195" w:lineRule="auto"/>
              <w:ind w:left="23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233696</w:t>
            </w:r>
          </w:p>
        </w:tc>
        <w:tc>
          <w:tcPr>
            <w:tcW w:w="2294" w:type="dxa"/>
            <w:vAlign w:val="top"/>
          </w:tcPr>
          <w:p w14:paraId="10169FED">
            <w:pPr>
              <w:pStyle w:val="6"/>
              <w:spacing w:before="110" w:line="242" w:lineRule="auto"/>
              <w:ind w:left="807" w:hanging="790"/>
              <w:rPr>
                <w:sz w:val="20"/>
                <w:szCs w:val="20"/>
              </w:rPr>
            </w:pPr>
            <w:r>
              <w:rPr>
                <w:rFonts w:ascii="Times New Roman" w:hAnsi="Times New Roman" w:eastAsia="Times New Roman" w:cs="Times New Roman"/>
                <w:spacing w:val="-10"/>
                <w:sz w:val="20"/>
                <w:szCs w:val="20"/>
              </w:rPr>
              <w:t>MnO</w:t>
            </w:r>
            <w:r>
              <w:rPr>
                <w:spacing w:val="-10"/>
                <w:sz w:val="20"/>
                <w:szCs w:val="20"/>
              </w:rPr>
              <w:t>、</w:t>
            </w:r>
            <w:r>
              <w:rPr>
                <w:rFonts w:ascii="Times New Roman" w:hAnsi="Times New Roman" w:eastAsia="Times New Roman" w:cs="Times New Roman"/>
                <w:spacing w:val="-10"/>
                <w:sz w:val="20"/>
                <w:szCs w:val="20"/>
              </w:rPr>
              <w:t>SiO</w:t>
            </w:r>
            <w:r>
              <w:rPr>
                <w:rFonts w:ascii="Times New Roman" w:hAnsi="Times New Roman" w:eastAsia="Times New Roman" w:cs="Times New Roman"/>
                <w:spacing w:val="7"/>
                <w:position w:val="-1"/>
                <w:sz w:val="13"/>
                <w:szCs w:val="13"/>
              </w:rPr>
              <w:t>2</w:t>
            </w:r>
            <w:r>
              <w:rPr>
                <w:spacing w:val="-18"/>
                <w:w w:val="95"/>
                <w:position w:val="-1"/>
                <w:sz w:val="20"/>
                <w:szCs w:val="20"/>
              </w:rPr>
              <w:t>、</w:t>
            </w:r>
            <w:r>
              <w:rPr>
                <w:rFonts w:ascii="Times New Roman" w:hAnsi="Times New Roman" w:eastAsia="Times New Roman" w:cs="Times New Roman"/>
                <w:spacing w:val="-18"/>
                <w:w w:val="95"/>
                <w:sz w:val="20"/>
                <w:szCs w:val="20"/>
              </w:rPr>
              <w:t>Al</w:t>
            </w:r>
            <w:r>
              <w:rPr>
                <w:rFonts w:ascii="Times New Roman" w:hAnsi="Times New Roman" w:eastAsia="Times New Roman" w:cs="Times New Roman"/>
                <w:spacing w:val="2"/>
                <w:position w:val="-1"/>
                <w:sz w:val="13"/>
                <w:szCs w:val="13"/>
              </w:rPr>
              <w:t>2</w:t>
            </w:r>
            <w:r>
              <w:rPr>
                <w:rFonts w:ascii="Times New Roman" w:hAnsi="Times New Roman" w:eastAsia="Times New Roman" w:cs="Times New Roman"/>
                <w:spacing w:val="2"/>
                <w:sz w:val="20"/>
                <w:szCs w:val="20"/>
              </w:rPr>
              <w:t>O</w:t>
            </w:r>
            <w:r>
              <w:rPr>
                <w:rFonts w:ascii="Times New Roman" w:hAnsi="Times New Roman" w:eastAsia="Times New Roman" w:cs="Times New Roman"/>
                <w:spacing w:val="2"/>
                <w:position w:val="-1"/>
                <w:sz w:val="13"/>
                <w:szCs w:val="13"/>
              </w:rPr>
              <w:t>3</w:t>
            </w:r>
            <w:r>
              <w:rPr>
                <w:spacing w:val="-19"/>
                <w:position w:val="-1"/>
                <w:sz w:val="20"/>
                <w:szCs w:val="20"/>
              </w:rPr>
              <w:t>、</w:t>
            </w:r>
            <w:r>
              <w:rPr>
                <w:rFonts w:ascii="Times New Roman" w:hAnsi="Times New Roman" w:eastAsia="Times New Roman" w:cs="Times New Roman"/>
                <w:spacing w:val="-19"/>
                <w:sz w:val="20"/>
                <w:szCs w:val="20"/>
              </w:rPr>
              <w:t>MgO</w:t>
            </w:r>
            <w:r>
              <w:rPr>
                <w:spacing w:val="-19"/>
                <w:sz w:val="20"/>
                <w:szCs w:val="20"/>
              </w:rPr>
              <w:t>、</w:t>
            </w:r>
            <w:r>
              <w:rPr>
                <w:spacing w:val="1"/>
                <w:sz w:val="20"/>
                <w:szCs w:val="20"/>
              </w:rPr>
              <w:t xml:space="preserve"> </w:t>
            </w:r>
            <w:r>
              <w:rPr>
                <w:rFonts w:ascii="Times New Roman" w:hAnsi="Times New Roman" w:eastAsia="Times New Roman" w:cs="Times New Roman"/>
                <w:sz w:val="20"/>
                <w:szCs w:val="20"/>
              </w:rPr>
              <w:t>CaO</w:t>
            </w:r>
            <w:r>
              <w:rPr>
                <w:rFonts w:ascii="Times New Roman" w:hAnsi="Times New Roman" w:eastAsia="Times New Roman" w:cs="Times New Roman"/>
                <w:spacing w:val="11"/>
                <w:sz w:val="20"/>
                <w:szCs w:val="20"/>
              </w:rPr>
              <w:t xml:space="preserve"> </w:t>
            </w:r>
            <w:r>
              <w:rPr>
                <w:sz w:val="20"/>
                <w:szCs w:val="20"/>
              </w:rPr>
              <w:t>等</w:t>
            </w:r>
          </w:p>
        </w:tc>
        <w:tc>
          <w:tcPr>
            <w:tcW w:w="1123" w:type="dxa"/>
            <w:vAlign w:val="top"/>
          </w:tcPr>
          <w:p w14:paraId="3F2A0C13">
            <w:pPr>
              <w:pStyle w:val="6"/>
              <w:spacing w:before="236" w:line="228" w:lineRule="auto"/>
              <w:ind w:left="150"/>
              <w:rPr>
                <w:sz w:val="20"/>
                <w:szCs w:val="20"/>
              </w:rPr>
            </w:pPr>
            <w:r>
              <w:rPr>
                <w:spacing w:val="6"/>
                <w:sz w:val="20"/>
                <w:szCs w:val="20"/>
              </w:rPr>
              <w:t>一般固废</w:t>
            </w:r>
          </w:p>
        </w:tc>
        <w:tc>
          <w:tcPr>
            <w:tcW w:w="2528" w:type="dxa"/>
            <w:tcBorders>
              <w:right w:val="nil"/>
            </w:tcBorders>
            <w:vAlign w:val="top"/>
          </w:tcPr>
          <w:p w14:paraId="4DF6D319">
            <w:pPr>
              <w:pStyle w:val="6"/>
              <w:spacing w:before="235" w:line="228" w:lineRule="auto"/>
              <w:ind w:left="327"/>
              <w:rPr>
                <w:sz w:val="20"/>
                <w:szCs w:val="20"/>
              </w:rPr>
            </w:pPr>
            <w:r>
              <w:rPr>
                <w:spacing w:val="8"/>
                <w:sz w:val="20"/>
                <w:szCs w:val="20"/>
              </w:rPr>
              <w:t>水淬后外售综合利用</w:t>
            </w:r>
          </w:p>
        </w:tc>
      </w:tr>
      <w:tr w14:paraId="00D665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4" w:hRule="atLeast"/>
        </w:trPr>
        <w:tc>
          <w:tcPr>
            <w:tcW w:w="447" w:type="dxa"/>
            <w:tcBorders>
              <w:left w:val="nil"/>
            </w:tcBorders>
            <w:vAlign w:val="top"/>
          </w:tcPr>
          <w:p w14:paraId="341C5F80">
            <w:pPr>
              <w:spacing w:before="274" w:line="211" w:lineRule="auto"/>
              <w:ind w:left="8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1-7</w:t>
            </w:r>
          </w:p>
        </w:tc>
        <w:tc>
          <w:tcPr>
            <w:tcW w:w="1555" w:type="dxa"/>
            <w:vAlign w:val="top"/>
          </w:tcPr>
          <w:p w14:paraId="0A4316C6">
            <w:pPr>
              <w:pStyle w:val="6"/>
              <w:spacing w:before="238" w:line="234" w:lineRule="auto"/>
              <w:ind w:left="362"/>
              <w:rPr>
                <w:sz w:val="20"/>
                <w:szCs w:val="20"/>
              </w:rPr>
            </w:pPr>
            <w:r>
              <w:rPr>
                <w:spacing w:val="7"/>
                <w:sz w:val="20"/>
                <w:szCs w:val="20"/>
              </w:rPr>
              <w:t>锰硅重渣</w:t>
            </w:r>
          </w:p>
        </w:tc>
        <w:tc>
          <w:tcPr>
            <w:tcW w:w="1092" w:type="dxa"/>
            <w:vAlign w:val="top"/>
          </w:tcPr>
          <w:p w14:paraId="5A0AF3CD">
            <w:pPr>
              <w:spacing w:before="274" w:line="195" w:lineRule="auto"/>
              <w:ind w:left="20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28984.8</w:t>
            </w:r>
          </w:p>
        </w:tc>
        <w:tc>
          <w:tcPr>
            <w:tcW w:w="2294" w:type="dxa"/>
            <w:vAlign w:val="top"/>
          </w:tcPr>
          <w:p w14:paraId="13D0C7FA">
            <w:pPr>
              <w:pStyle w:val="6"/>
              <w:spacing w:before="109" w:line="242" w:lineRule="auto"/>
              <w:ind w:left="807" w:hanging="790"/>
              <w:rPr>
                <w:sz w:val="20"/>
                <w:szCs w:val="20"/>
              </w:rPr>
            </w:pPr>
            <w:r>
              <w:rPr>
                <w:rFonts w:ascii="Times New Roman" w:hAnsi="Times New Roman" w:eastAsia="Times New Roman" w:cs="Times New Roman"/>
                <w:spacing w:val="-10"/>
                <w:sz w:val="20"/>
                <w:szCs w:val="20"/>
              </w:rPr>
              <w:t>MnO</w:t>
            </w:r>
            <w:r>
              <w:rPr>
                <w:spacing w:val="-10"/>
                <w:sz w:val="20"/>
                <w:szCs w:val="20"/>
              </w:rPr>
              <w:t>、</w:t>
            </w:r>
            <w:r>
              <w:rPr>
                <w:rFonts w:ascii="Times New Roman" w:hAnsi="Times New Roman" w:eastAsia="Times New Roman" w:cs="Times New Roman"/>
                <w:spacing w:val="-10"/>
                <w:sz w:val="20"/>
                <w:szCs w:val="20"/>
              </w:rPr>
              <w:t>SiO</w:t>
            </w:r>
            <w:r>
              <w:rPr>
                <w:rFonts w:ascii="Times New Roman" w:hAnsi="Times New Roman" w:eastAsia="Times New Roman" w:cs="Times New Roman"/>
                <w:spacing w:val="7"/>
                <w:position w:val="-1"/>
                <w:sz w:val="13"/>
                <w:szCs w:val="13"/>
              </w:rPr>
              <w:t>2</w:t>
            </w:r>
            <w:r>
              <w:rPr>
                <w:spacing w:val="-18"/>
                <w:w w:val="95"/>
                <w:position w:val="-1"/>
                <w:sz w:val="20"/>
                <w:szCs w:val="20"/>
              </w:rPr>
              <w:t>、</w:t>
            </w:r>
            <w:r>
              <w:rPr>
                <w:rFonts w:ascii="Times New Roman" w:hAnsi="Times New Roman" w:eastAsia="Times New Roman" w:cs="Times New Roman"/>
                <w:spacing w:val="-18"/>
                <w:w w:val="95"/>
                <w:sz w:val="20"/>
                <w:szCs w:val="20"/>
              </w:rPr>
              <w:t>Al</w:t>
            </w:r>
            <w:r>
              <w:rPr>
                <w:rFonts w:ascii="Times New Roman" w:hAnsi="Times New Roman" w:eastAsia="Times New Roman" w:cs="Times New Roman"/>
                <w:spacing w:val="2"/>
                <w:position w:val="-1"/>
                <w:sz w:val="13"/>
                <w:szCs w:val="13"/>
              </w:rPr>
              <w:t>2</w:t>
            </w:r>
            <w:r>
              <w:rPr>
                <w:rFonts w:ascii="Times New Roman" w:hAnsi="Times New Roman" w:eastAsia="Times New Roman" w:cs="Times New Roman"/>
                <w:spacing w:val="2"/>
                <w:sz w:val="20"/>
                <w:szCs w:val="20"/>
              </w:rPr>
              <w:t>O</w:t>
            </w:r>
            <w:r>
              <w:rPr>
                <w:rFonts w:ascii="Times New Roman" w:hAnsi="Times New Roman" w:eastAsia="Times New Roman" w:cs="Times New Roman"/>
                <w:spacing w:val="2"/>
                <w:position w:val="-1"/>
                <w:sz w:val="13"/>
                <w:szCs w:val="13"/>
              </w:rPr>
              <w:t>3</w:t>
            </w:r>
            <w:r>
              <w:rPr>
                <w:spacing w:val="-19"/>
                <w:position w:val="-1"/>
                <w:sz w:val="20"/>
                <w:szCs w:val="20"/>
              </w:rPr>
              <w:t>、</w:t>
            </w:r>
            <w:r>
              <w:rPr>
                <w:rFonts w:ascii="Times New Roman" w:hAnsi="Times New Roman" w:eastAsia="Times New Roman" w:cs="Times New Roman"/>
                <w:spacing w:val="-19"/>
                <w:sz w:val="20"/>
                <w:szCs w:val="20"/>
              </w:rPr>
              <w:t>MgO</w:t>
            </w:r>
            <w:r>
              <w:rPr>
                <w:spacing w:val="-19"/>
                <w:sz w:val="20"/>
                <w:szCs w:val="20"/>
              </w:rPr>
              <w:t>、</w:t>
            </w:r>
            <w:r>
              <w:rPr>
                <w:spacing w:val="1"/>
                <w:sz w:val="20"/>
                <w:szCs w:val="20"/>
              </w:rPr>
              <w:t xml:space="preserve"> </w:t>
            </w:r>
            <w:r>
              <w:rPr>
                <w:rFonts w:ascii="Times New Roman" w:hAnsi="Times New Roman" w:eastAsia="Times New Roman" w:cs="Times New Roman"/>
                <w:sz w:val="20"/>
                <w:szCs w:val="20"/>
              </w:rPr>
              <w:t>CaO</w:t>
            </w:r>
            <w:r>
              <w:rPr>
                <w:rFonts w:ascii="Times New Roman" w:hAnsi="Times New Roman" w:eastAsia="Times New Roman" w:cs="Times New Roman"/>
                <w:spacing w:val="11"/>
                <w:sz w:val="20"/>
                <w:szCs w:val="20"/>
              </w:rPr>
              <w:t xml:space="preserve"> </w:t>
            </w:r>
            <w:r>
              <w:rPr>
                <w:sz w:val="20"/>
                <w:szCs w:val="20"/>
              </w:rPr>
              <w:t>等</w:t>
            </w:r>
          </w:p>
        </w:tc>
        <w:tc>
          <w:tcPr>
            <w:tcW w:w="1123" w:type="dxa"/>
            <w:vAlign w:val="top"/>
          </w:tcPr>
          <w:p w14:paraId="4130B3A2">
            <w:pPr>
              <w:pStyle w:val="6"/>
              <w:spacing w:before="238" w:line="228" w:lineRule="auto"/>
              <w:ind w:left="150"/>
              <w:rPr>
                <w:sz w:val="20"/>
                <w:szCs w:val="20"/>
              </w:rPr>
            </w:pPr>
            <w:r>
              <w:rPr>
                <w:spacing w:val="6"/>
                <w:sz w:val="20"/>
                <w:szCs w:val="20"/>
              </w:rPr>
              <w:t>一般固废</w:t>
            </w:r>
          </w:p>
        </w:tc>
        <w:tc>
          <w:tcPr>
            <w:tcW w:w="2528" w:type="dxa"/>
            <w:tcBorders>
              <w:right w:val="nil"/>
            </w:tcBorders>
            <w:vAlign w:val="top"/>
          </w:tcPr>
          <w:p w14:paraId="179D743E">
            <w:pPr>
              <w:pStyle w:val="6"/>
              <w:spacing w:before="78" w:line="261" w:lineRule="auto"/>
              <w:ind w:left="1165" w:right="111" w:hanging="1053"/>
              <w:rPr>
                <w:sz w:val="20"/>
                <w:szCs w:val="20"/>
              </w:rPr>
            </w:pPr>
            <w:r>
              <w:rPr>
                <w:spacing w:val="9"/>
                <w:sz w:val="20"/>
                <w:szCs w:val="20"/>
              </w:rPr>
              <w:t>破碎后返回配料站综合利</w:t>
            </w:r>
            <w:r>
              <w:rPr>
                <w:spacing w:val="1"/>
                <w:sz w:val="20"/>
                <w:szCs w:val="20"/>
              </w:rPr>
              <w:t xml:space="preserve"> </w:t>
            </w:r>
            <w:r>
              <w:rPr>
                <w:sz w:val="20"/>
                <w:szCs w:val="20"/>
              </w:rPr>
              <w:t>用</w:t>
            </w:r>
          </w:p>
        </w:tc>
      </w:tr>
      <w:tr w14:paraId="6CFA25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447" w:type="dxa"/>
            <w:tcBorders>
              <w:left w:val="nil"/>
            </w:tcBorders>
            <w:vAlign w:val="top"/>
          </w:tcPr>
          <w:p w14:paraId="3526A757">
            <w:pPr>
              <w:spacing w:before="116" w:line="211" w:lineRule="auto"/>
              <w:ind w:left="8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1-8</w:t>
            </w:r>
          </w:p>
        </w:tc>
        <w:tc>
          <w:tcPr>
            <w:tcW w:w="1555" w:type="dxa"/>
            <w:vAlign w:val="top"/>
          </w:tcPr>
          <w:p w14:paraId="2CC5743B">
            <w:pPr>
              <w:pStyle w:val="6"/>
              <w:spacing w:before="81" w:line="224" w:lineRule="auto"/>
              <w:ind w:left="363"/>
              <w:rPr>
                <w:sz w:val="20"/>
                <w:szCs w:val="20"/>
              </w:rPr>
            </w:pPr>
            <w:r>
              <w:rPr>
                <w:spacing w:val="6"/>
                <w:sz w:val="20"/>
                <w:szCs w:val="20"/>
              </w:rPr>
              <w:t>车间沉降</w:t>
            </w:r>
          </w:p>
        </w:tc>
        <w:tc>
          <w:tcPr>
            <w:tcW w:w="1092" w:type="dxa"/>
            <w:vAlign w:val="top"/>
          </w:tcPr>
          <w:p w14:paraId="50C44A66">
            <w:pPr>
              <w:spacing w:before="116" w:line="195" w:lineRule="auto"/>
              <w:ind w:left="31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74.29</w:t>
            </w:r>
          </w:p>
        </w:tc>
        <w:tc>
          <w:tcPr>
            <w:tcW w:w="2294" w:type="dxa"/>
            <w:vAlign w:val="top"/>
          </w:tcPr>
          <w:p w14:paraId="20F55653">
            <w:pPr>
              <w:pStyle w:val="6"/>
              <w:spacing w:before="81" w:line="224" w:lineRule="auto"/>
              <w:ind w:left="732"/>
              <w:rPr>
                <w:sz w:val="20"/>
                <w:szCs w:val="20"/>
              </w:rPr>
            </w:pPr>
            <w:r>
              <w:rPr>
                <w:spacing w:val="7"/>
                <w:sz w:val="20"/>
                <w:szCs w:val="20"/>
              </w:rPr>
              <w:t>沉降下灰</w:t>
            </w:r>
          </w:p>
        </w:tc>
        <w:tc>
          <w:tcPr>
            <w:tcW w:w="1123" w:type="dxa"/>
            <w:vAlign w:val="top"/>
          </w:tcPr>
          <w:p w14:paraId="5E9D1937">
            <w:pPr>
              <w:pStyle w:val="6"/>
              <w:spacing w:before="81" w:line="224" w:lineRule="auto"/>
              <w:ind w:left="150"/>
              <w:rPr>
                <w:sz w:val="20"/>
                <w:szCs w:val="20"/>
              </w:rPr>
            </w:pPr>
            <w:r>
              <w:rPr>
                <w:spacing w:val="6"/>
                <w:sz w:val="20"/>
                <w:szCs w:val="20"/>
              </w:rPr>
              <w:t>一般固废</w:t>
            </w:r>
          </w:p>
        </w:tc>
        <w:tc>
          <w:tcPr>
            <w:tcW w:w="2528" w:type="dxa"/>
            <w:tcBorders>
              <w:right w:val="nil"/>
            </w:tcBorders>
            <w:vAlign w:val="top"/>
          </w:tcPr>
          <w:p w14:paraId="252620A5">
            <w:pPr>
              <w:pStyle w:val="6"/>
              <w:spacing w:before="81" w:line="224" w:lineRule="auto"/>
              <w:ind w:left="639"/>
              <w:rPr>
                <w:sz w:val="20"/>
                <w:szCs w:val="20"/>
              </w:rPr>
            </w:pPr>
            <w:r>
              <w:rPr>
                <w:spacing w:val="8"/>
                <w:sz w:val="20"/>
                <w:szCs w:val="20"/>
              </w:rPr>
              <w:t>返回烧结系统</w:t>
            </w:r>
          </w:p>
        </w:tc>
      </w:tr>
      <w:tr w14:paraId="7163A2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447" w:type="dxa"/>
            <w:tcBorders>
              <w:left w:val="nil"/>
            </w:tcBorders>
            <w:vAlign w:val="top"/>
          </w:tcPr>
          <w:p w14:paraId="653B7C0D">
            <w:pPr>
              <w:spacing w:before="277" w:line="211" w:lineRule="auto"/>
              <w:ind w:left="8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1-9</w:t>
            </w:r>
          </w:p>
        </w:tc>
        <w:tc>
          <w:tcPr>
            <w:tcW w:w="1555" w:type="dxa"/>
            <w:vAlign w:val="top"/>
          </w:tcPr>
          <w:p w14:paraId="021773BB">
            <w:pPr>
              <w:pStyle w:val="6"/>
              <w:spacing w:before="79" w:line="261" w:lineRule="auto"/>
              <w:ind w:left="364" w:right="41" w:hanging="316"/>
              <w:rPr>
                <w:sz w:val="20"/>
                <w:szCs w:val="20"/>
              </w:rPr>
            </w:pPr>
            <w:r>
              <w:rPr>
                <w:spacing w:val="8"/>
                <w:sz w:val="20"/>
                <w:szCs w:val="20"/>
              </w:rPr>
              <w:t>煤气冷凝废水隔</w:t>
            </w:r>
            <w:r>
              <w:rPr>
                <w:spacing w:val="2"/>
                <w:sz w:val="20"/>
                <w:szCs w:val="20"/>
              </w:rPr>
              <w:t xml:space="preserve"> </w:t>
            </w:r>
            <w:r>
              <w:rPr>
                <w:spacing w:val="6"/>
                <w:sz w:val="20"/>
                <w:szCs w:val="20"/>
              </w:rPr>
              <w:t>油池浮渣</w:t>
            </w:r>
          </w:p>
        </w:tc>
        <w:tc>
          <w:tcPr>
            <w:tcW w:w="1092" w:type="dxa"/>
            <w:vAlign w:val="top"/>
          </w:tcPr>
          <w:p w14:paraId="7086A94D">
            <w:pPr>
              <w:spacing w:before="276" w:line="195"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2.35</w:t>
            </w:r>
          </w:p>
        </w:tc>
        <w:tc>
          <w:tcPr>
            <w:tcW w:w="2294" w:type="dxa"/>
            <w:vAlign w:val="top"/>
          </w:tcPr>
          <w:p w14:paraId="5C565E90">
            <w:pPr>
              <w:pStyle w:val="6"/>
              <w:spacing w:before="241" w:line="229" w:lineRule="auto"/>
              <w:ind w:left="943"/>
              <w:rPr>
                <w:sz w:val="20"/>
                <w:szCs w:val="20"/>
              </w:rPr>
            </w:pPr>
            <w:r>
              <w:rPr>
                <w:spacing w:val="4"/>
                <w:sz w:val="20"/>
                <w:szCs w:val="20"/>
              </w:rPr>
              <w:t>焦油</w:t>
            </w:r>
          </w:p>
        </w:tc>
        <w:tc>
          <w:tcPr>
            <w:tcW w:w="1123" w:type="dxa"/>
            <w:vAlign w:val="top"/>
          </w:tcPr>
          <w:p w14:paraId="7C699216">
            <w:pPr>
              <w:pStyle w:val="6"/>
              <w:spacing w:before="241" w:line="228" w:lineRule="auto"/>
              <w:ind w:left="149"/>
              <w:rPr>
                <w:sz w:val="20"/>
                <w:szCs w:val="20"/>
              </w:rPr>
            </w:pPr>
            <w:r>
              <w:rPr>
                <w:spacing w:val="6"/>
                <w:sz w:val="20"/>
                <w:szCs w:val="20"/>
              </w:rPr>
              <w:t>危险废物</w:t>
            </w:r>
          </w:p>
        </w:tc>
        <w:tc>
          <w:tcPr>
            <w:tcW w:w="2528" w:type="dxa"/>
            <w:tcBorders>
              <w:right w:val="nil"/>
            </w:tcBorders>
            <w:vAlign w:val="top"/>
          </w:tcPr>
          <w:p w14:paraId="3177E693">
            <w:pPr>
              <w:pStyle w:val="6"/>
              <w:spacing w:before="241" w:line="228" w:lineRule="auto"/>
              <w:ind w:left="323"/>
              <w:rPr>
                <w:sz w:val="20"/>
                <w:szCs w:val="20"/>
              </w:rPr>
            </w:pPr>
            <w:r>
              <w:rPr>
                <w:spacing w:val="9"/>
                <w:sz w:val="20"/>
                <w:szCs w:val="20"/>
              </w:rPr>
              <w:t>委托有资质单位处理</w:t>
            </w:r>
          </w:p>
        </w:tc>
      </w:tr>
      <w:tr w14:paraId="13E27D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447" w:type="dxa"/>
            <w:tcBorders>
              <w:left w:val="nil"/>
            </w:tcBorders>
            <w:vAlign w:val="top"/>
          </w:tcPr>
          <w:p w14:paraId="636A1291">
            <w:pPr>
              <w:spacing w:before="118" w:line="211" w:lineRule="auto"/>
              <w:ind w:left="53"/>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sz w:val="13"/>
                <w:szCs w:val="13"/>
              </w:rPr>
              <w:t>1-</w:t>
            </w:r>
            <w:r>
              <w:rPr>
                <w:rFonts w:ascii="Times New Roman" w:hAnsi="Times New Roman" w:eastAsia="Times New Roman" w:cs="Times New Roman"/>
                <w:spacing w:val="-16"/>
                <w:sz w:val="13"/>
                <w:szCs w:val="13"/>
              </w:rPr>
              <w:t xml:space="preserve"> </w:t>
            </w:r>
            <w:r>
              <w:rPr>
                <w:rFonts w:ascii="Times New Roman" w:hAnsi="Times New Roman" w:eastAsia="Times New Roman" w:cs="Times New Roman"/>
                <w:spacing w:val="-3"/>
                <w:sz w:val="13"/>
                <w:szCs w:val="13"/>
              </w:rPr>
              <w:t>10</w:t>
            </w:r>
          </w:p>
        </w:tc>
        <w:tc>
          <w:tcPr>
            <w:tcW w:w="1555" w:type="dxa"/>
            <w:vAlign w:val="top"/>
          </w:tcPr>
          <w:p w14:paraId="25D39251">
            <w:pPr>
              <w:pStyle w:val="6"/>
              <w:spacing w:before="82" w:line="223" w:lineRule="auto"/>
              <w:ind w:left="362"/>
              <w:rPr>
                <w:sz w:val="20"/>
                <w:szCs w:val="20"/>
              </w:rPr>
            </w:pPr>
            <w:r>
              <w:rPr>
                <w:spacing w:val="7"/>
                <w:sz w:val="20"/>
                <w:szCs w:val="20"/>
              </w:rPr>
              <w:t>焦油杂质</w:t>
            </w:r>
          </w:p>
        </w:tc>
        <w:tc>
          <w:tcPr>
            <w:tcW w:w="1092" w:type="dxa"/>
            <w:vAlign w:val="top"/>
          </w:tcPr>
          <w:p w14:paraId="481781FF">
            <w:pPr>
              <w:spacing w:before="118"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12.27</w:t>
            </w:r>
          </w:p>
        </w:tc>
        <w:tc>
          <w:tcPr>
            <w:tcW w:w="2294" w:type="dxa"/>
            <w:vAlign w:val="top"/>
          </w:tcPr>
          <w:p w14:paraId="031DAB72">
            <w:pPr>
              <w:pStyle w:val="6"/>
              <w:spacing w:before="82" w:line="223" w:lineRule="auto"/>
              <w:ind w:left="626"/>
              <w:rPr>
                <w:sz w:val="20"/>
                <w:szCs w:val="20"/>
              </w:rPr>
            </w:pPr>
            <w:r>
              <w:rPr>
                <w:spacing w:val="8"/>
                <w:sz w:val="20"/>
                <w:szCs w:val="20"/>
              </w:rPr>
              <w:t>焦油、灰尘</w:t>
            </w:r>
          </w:p>
        </w:tc>
        <w:tc>
          <w:tcPr>
            <w:tcW w:w="1123" w:type="dxa"/>
            <w:vAlign w:val="top"/>
          </w:tcPr>
          <w:p w14:paraId="5DC2FEC2">
            <w:pPr>
              <w:pStyle w:val="6"/>
              <w:spacing w:before="82" w:line="223" w:lineRule="auto"/>
              <w:ind w:left="149"/>
              <w:rPr>
                <w:sz w:val="20"/>
                <w:szCs w:val="20"/>
              </w:rPr>
            </w:pPr>
            <w:r>
              <w:rPr>
                <w:spacing w:val="6"/>
                <w:sz w:val="20"/>
                <w:szCs w:val="20"/>
              </w:rPr>
              <w:t>危险废物</w:t>
            </w:r>
          </w:p>
        </w:tc>
        <w:tc>
          <w:tcPr>
            <w:tcW w:w="2528" w:type="dxa"/>
            <w:tcBorders>
              <w:right w:val="nil"/>
            </w:tcBorders>
            <w:vAlign w:val="top"/>
          </w:tcPr>
          <w:p w14:paraId="21B69E2E">
            <w:pPr>
              <w:pStyle w:val="6"/>
              <w:spacing w:before="82" w:line="223" w:lineRule="auto"/>
              <w:ind w:left="323"/>
              <w:rPr>
                <w:sz w:val="20"/>
                <w:szCs w:val="20"/>
              </w:rPr>
            </w:pPr>
            <w:r>
              <w:rPr>
                <w:spacing w:val="9"/>
                <w:sz w:val="20"/>
                <w:szCs w:val="20"/>
              </w:rPr>
              <w:t>委托有资质单位处理</w:t>
            </w:r>
          </w:p>
        </w:tc>
      </w:tr>
      <w:tr w14:paraId="635FC6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447" w:type="dxa"/>
            <w:tcBorders>
              <w:left w:val="nil"/>
            </w:tcBorders>
            <w:vAlign w:val="top"/>
          </w:tcPr>
          <w:p w14:paraId="7F0B31A0">
            <w:pPr>
              <w:spacing w:before="120" w:line="209" w:lineRule="auto"/>
              <w:ind w:left="53"/>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sz w:val="13"/>
                <w:szCs w:val="13"/>
              </w:rPr>
              <w:t>1-</w:t>
            </w:r>
            <w:r>
              <w:rPr>
                <w:rFonts w:ascii="Times New Roman" w:hAnsi="Times New Roman" w:eastAsia="Times New Roman" w:cs="Times New Roman"/>
                <w:spacing w:val="-16"/>
                <w:sz w:val="13"/>
                <w:szCs w:val="13"/>
              </w:rPr>
              <w:t xml:space="preserve"> </w:t>
            </w:r>
            <w:r>
              <w:rPr>
                <w:rFonts w:ascii="Times New Roman" w:hAnsi="Times New Roman" w:eastAsia="Times New Roman" w:cs="Times New Roman"/>
                <w:spacing w:val="-3"/>
                <w:sz w:val="13"/>
                <w:szCs w:val="13"/>
              </w:rPr>
              <w:t>11</w:t>
            </w:r>
          </w:p>
        </w:tc>
        <w:tc>
          <w:tcPr>
            <w:tcW w:w="1555" w:type="dxa"/>
            <w:vAlign w:val="top"/>
          </w:tcPr>
          <w:p w14:paraId="31503F0F">
            <w:pPr>
              <w:pStyle w:val="6"/>
              <w:spacing w:before="84" w:line="221" w:lineRule="auto"/>
              <w:ind w:left="363"/>
              <w:rPr>
                <w:sz w:val="20"/>
                <w:szCs w:val="20"/>
              </w:rPr>
            </w:pPr>
            <w:r>
              <w:rPr>
                <w:spacing w:val="7"/>
                <w:sz w:val="20"/>
                <w:szCs w:val="20"/>
              </w:rPr>
              <w:t>过滤杂质</w:t>
            </w:r>
          </w:p>
        </w:tc>
        <w:tc>
          <w:tcPr>
            <w:tcW w:w="1092" w:type="dxa"/>
            <w:vAlign w:val="top"/>
          </w:tcPr>
          <w:p w14:paraId="4BD19A2F">
            <w:pPr>
              <w:spacing w:before="120" w:line="195"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2.57</w:t>
            </w:r>
          </w:p>
        </w:tc>
        <w:tc>
          <w:tcPr>
            <w:tcW w:w="2294" w:type="dxa"/>
            <w:vAlign w:val="top"/>
          </w:tcPr>
          <w:p w14:paraId="3A2B5463">
            <w:pPr>
              <w:pStyle w:val="6"/>
              <w:spacing w:before="84" w:line="221" w:lineRule="auto"/>
              <w:ind w:left="626"/>
              <w:rPr>
                <w:sz w:val="20"/>
                <w:szCs w:val="20"/>
              </w:rPr>
            </w:pPr>
            <w:r>
              <w:rPr>
                <w:spacing w:val="8"/>
                <w:sz w:val="20"/>
                <w:szCs w:val="20"/>
              </w:rPr>
              <w:t>焦油、灰尘</w:t>
            </w:r>
          </w:p>
        </w:tc>
        <w:tc>
          <w:tcPr>
            <w:tcW w:w="1123" w:type="dxa"/>
            <w:vAlign w:val="top"/>
          </w:tcPr>
          <w:p w14:paraId="439515D7">
            <w:pPr>
              <w:pStyle w:val="6"/>
              <w:spacing w:before="84" w:line="221" w:lineRule="auto"/>
              <w:ind w:left="149"/>
              <w:rPr>
                <w:sz w:val="20"/>
                <w:szCs w:val="20"/>
              </w:rPr>
            </w:pPr>
            <w:r>
              <w:rPr>
                <w:spacing w:val="6"/>
                <w:sz w:val="20"/>
                <w:szCs w:val="20"/>
              </w:rPr>
              <w:t>危险废物</w:t>
            </w:r>
          </w:p>
        </w:tc>
        <w:tc>
          <w:tcPr>
            <w:tcW w:w="2528" w:type="dxa"/>
            <w:tcBorders>
              <w:right w:val="nil"/>
            </w:tcBorders>
            <w:vAlign w:val="top"/>
          </w:tcPr>
          <w:p w14:paraId="5A280998">
            <w:pPr>
              <w:pStyle w:val="6"/>
              <w:spacing w:before="84" w:line="221" w:lineRule="auto"/>
              <w:ind w:left="323"/>
              <w:rPr>
                <w:sz w:val="20"/>
                <w:szCs w:val="20"/>
              </w:rPr>
            </w:pPr>
            <w:r>
              <w:rPr>
                <w:spacing w:val="9"/>
                <w:sz w:val="20"/>
                <w:szCs w:val="20"/>
              </w:rPr>
              <w:t>委托有资质单位处理</w:t>
            </w:r>
          </w:p>
        </w:tc>
      </w:tr>
      <w:tr w14:paraId="77CBE8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8" w:hRule="atLeast"/>
        </w:trPr>
        <w:tc>
          <w:tcPr>
            <w:tcW w:w="447" w:type="dxa"/>
            <w:tcBorders>
              <w:left w:val="nil"/>
            </w:tcBorders>
            <w:vAlign w:val="top"/>
          </w:tcPr>
          <w:p w14:paraId="094D5824">
            <w:pPr>
              <w:spacing w:line="307" w:lineRule="auto"/>
              <w:rPr>
                <w:rFonts w:ascii="Arial"/>
                <w:sz w:val="21"/>
              </w:rPr>
            </w:pPr>
          </w:p>
          <w:p w14:paraId="3E4E7ED7">
            <w:pPr>
              <w:spacing w:before="58" w:line="209" w:lineRule="auto"/>
              <w:ind w:left="8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2-</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1"/>
                <w:sz w:val="13"/>
                <w:szCs w:val="13"/>
              </w:rPr>
              <w:t>1</w:t>
            </w:r>
          </w:p>
        </w:tc>
        <w:tc>
          <w:tcPr>
            <w:tcW w:w="1555" w:type="dxa"/>
            <w:vAlign w:val="top"/>
          </w:tcPr>
          <w:p w14:paraId="368216F5">
            <w:pPr>
              <w:spacing w:line="264" w:lineRule="auto"/>
              <w:rPr>
                <w:rFonts w:ascii="Arial"/>
                <w:sz w:val="21"/>
              </w:rPr>
            </w:pPr>
          </w:p>
          <w:p w14:paraId="1FD3D13D">
            <w:pPr>
              <w:pStyle w:val="6"/>
              <w:spacing w:before="65" w:line="228" w:lineRule="auto"/>
              <w:ind w:left="46"/>
              <w:rPr>
                <w:sz w:val="20"/>
                <w:szCs w:val="20"/>
              </w:rPr>
            </w:pPr>
            <w:r>
              <w:rPr>
                <w:spacing w:val="8"/>
                <w:sz w:val="20"/>
                <w:szCs w:val="20"/>
              </w:rPr>
              <w:t>废反渗透膜组件</w:t>
            </w:r>
          </w:p>
        </w:tc>
        <w:tc>
          <w:tcPr>
            <w:tcW w:w="1092" w:type="dxa"/>
            <w:vAlign w:val="top"/>
          </w:tcPr>
          <w:p w14:paraId="0546B9CC">
            <w:pPr>
              <w:spacing w:line="307" w:lineRule="auto"/>
              <w:rPr>
                <w:rFonts w:ascii="Arial"/>
                <w:sz w:val="21"/>
              </w:rPr>
            </w:pPr>
          </w:p>
          <w:p w14:paraId="1B0AA9C9">
            <w:pPr>
              <w:spacing w:before="58" w:line="195" w:lineRule="auto"/>
              <w:ind w:left="4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1.6</w:t>
            </w:r>
          </w:p>
        </w:tc>
        <w:tc>
          <w:tcPr>
            <w:tcW w:w="2294" w:type="dxa"/>
            <w:vAlign w:val="top"/>
          </w:tcPr>
          <w:p w14:paraId="654A204F">
            <w:pPr>
              <w:spacing w:line="264" w:lineRule="auto"/>
              <w:rPr>
                <w:rFonts w:ascii="Arial"/>
                <w:sz w:val="21"/>
              </w:rPr>
            </w:pPr>
          </w:p>
          <w:p w14:paraId="0B25671A">
            <w:pPr>
              <w:pStyle w:val="6"/>
              <w:spacing w:before="65" w:line="228" w:lineRule="auto"/>
              <w:ind w:left="416"/>
              <w:rPr>
                <w:sz w:val="20"/>
                <w:szCs w:val="20"/>
              </w:rPr>
            </w:pPr>
            <w:r>
              <w:rPr>
                <w:spacing w:val="8"/>
                <w:sz w:val="20"/>
                <w:szCs w:val="20"/>
              </w:rPr>
              <w:t>废反渗透膜组件</w:t>
            </w:r>
          </w:p>
        </w:tc>
        <w:tc>
          <w:tcPr>
            <w:tcW w:w="1123" w:type="dxa"/>
            <w:vAlign w:val="top"/>
          </w:tcPr>
          <w:p w14:paraId="2AE33451">
            <w:pPr>
              <w:spacing w:line="264" w:lineRule="auto"/>
              <w:rPr>
                <w:rFonts w:ascii="Arial"/>
                <w:sz w:val="21"/>
              </w:rPr>
            </w:pPr>
          </w:p>
          <w:p w14:paraId="6B0FD432">
            <w:pPr>
              <w:pStyle w:val="6"/>
              <w:spacing w:before="65" w:line="228" w:lineRule="auto"/>
              <w:ind w:left="150"/>
              <w:rPr>
                <w:sz w:val="20"/>
                <w:szCs w:val="20"/>
              </w:rPr>
            </w:pPr>
            <w:r>
              <w:rPr>
                <w:spacing w:val="6"/>
                <w:sz w:val="20"/>
                <w:szCs w:val="20"/>
              </w:rPr>
              <w:t>一般固废</w:t>
            </w:r>
          </w:p>
        </w:tc>
        <w:tc>
          <w:tcPr>
            <w:tcW w:w="2528" w:type="dxa"/>
            <w:tcBorders>
              <w:right w:val="nil"/>
            </w:tcBorders>
            <w:vAlign w:val="top"/>
          </w:tcPr>
          <w:p w14:paraId="07631549">
            <w:pPr>
              <w:spacing w:line="264" w:lineRule="auto"/>
              <w:rPr>
                <w:rFonts w:ascii="Arial"/>
                <w:sz w:val="21"/>
              </w:rPr>
            </w:pPr>
          </w:p>
          <w:p w14:paraId="136DE87A">
            <w:pPr>
              <w:pStyle w:val="6"/>
              <w:spacing w:before="65" w:line="228" w:lineRule="auto"/>
              <w:ind w:left="455"/>
              <w:rPr>
                <w:sz w:val="20"/>
                <w:szCs w:val="20"/>
              </w:rPr>
            </w:pPr>
            <w:r>
              <w:rPr>
                <w:spacing w:val="5"/>
                <w:sz w:val="20"/>
                <w:szCs w:val="20"/>
              </w:rPr>
              <w:t>由其生产厂家回收</w:t>
            </w:r>
          </w:p>
        </w:tc>
      </w:tr>
      <w:tr w14:paraId="6FD444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447" w:type="dxa"/>
            <w:tcBorders>
              <w:left w:val="nil"/>
            </w:tcBorders>
            <w:vAlign w:val="top"/>
          </w:tcPr>
          <w:p w14:paraId="1EECE1B1">
            <w:pPr>
              <w:spacing w:before="282" w:line="207" w:lineRule="auto"/>
              <w:ind w:left="87"/>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S</w:t>
            </w:r>
            <w:r>
              <w:rPr>
                <w:rFonts w:ascii="Times New Roman" w:hAnsi="Times New Roman" w:eastAsia="Times New Roman" w:cs="Times New Roman"/>
                <w:spacing w:val="-1"/>
                <w:sz w:val="13"/>
                <w:szCs w:val="13"/>
              </w:rPr>
              <w:t>2-2</w:t>
            </w:r>
          </w:p>
        </w:tc>
        <w:tc>
          <w:tcPr>
            <w:tcW w:w="1555" w:type="dxa"/>
            <w:vAlign w:val="top"/>
          </w:tcPr>
          <w:p w14:paraId="76EE726C">
            <w:pPr>
              <w:pStyle w:val="6"/>
              <w:spacing w:before="85" w:line="258" w:lineRule="auto"/>
              <w:ind w:left="466" w:right="26" w:hanging="436"/>
              <w:rPr>
                <w:sz w:val="20"/>
                <w:szCs w:val="20"/>
              </w:rPr>
            </w:pPr>
            <w:r>
              <w:rPr>
                <w:spacing w:val="7"/>
                <w:sz w:val="20"/>
                <w:szCs w:val="20"/>
              </w:rPr>
              <w:t>废</w:t>
            </w:r>
            <w:r>
              <w:rPr>
                <w:spacing w:val="-41"/>
                <w:sz w:val="20"/>
                <w:szCs w:val="20"/>
              </w:rPr>
              <w:t xml:space="preserve"> </w:t>
            </w:r>
            <w:r>
              <w:rPr>
                <w:rFonts w:ascii="Times New Roman" w:hAnsi="Times New Roman" w:eastAsia="Times New Roman" w:cs="Times New Roman"/>
                <w:sz w:val="20"/>
                <w:szCs w:val="20"/>
              </w:rPr>
              <w:t>EDI</w:t>
            </w:r>
            <w:r>
              <w:rPr>
                <w:rFonts w:ascii="Times New Roman" w:hAnsi="Times New Roman" w:eastAsia="Times New Roman" w:cs="Times New Roman"/>
                <w:spacing w:val="14"/>
                <w:w w:val="101"/>
                <w:sz w:val="20"/>
                <w:szCs w:val="20"/>
              </w:rPr>
              <w:t xml:space="preserve"> </w:t>
            </w:r>
            <w:r>
              <w:rPr>
                <w:spacing w:val="7"/>
                <w:sz w:val="20"/>
                <w:szCs w:val="20"/>
              </w:rPr>
              <w:t>离子交换</w:t>
            </w:r>
            <w:r>
              <w:rPr>
                <w:sz w:val="20"/>
                <w:szCs w:val="20"/>
              </w:rPr>
              <w:t xml:space="preserve"> </w:t>
            </w:r>
            <w:r>
              <w:rPr>
                <w:spacing w:val="7"/>
                <w:sz w:val="20"/>
                <w:szCs w:val="20"/>
              </w:rPr>
              <w:t>膜组件</w:t>
            </w:r>
          </w:p>
        </w:tc>
        <w:tc>
          <w:tcPr>
            <w:tcW w:w="1092" w:type="dxa"/>
            <w:vAlign w:val="top"/>
          </w:tcPr>
          <w:p w14:paraId="54F4D03C">
            <w:pPr>
              <w:spacing w:before="280" w:line="195" w:lineRule="auto"/>
              <w:ind w:left="41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2294" w:type="dxa"/>
            <w:vAlign w:val="top"/>
          </w:tcPr>
          <w:p w14:paraId="7229897E">
            <w:pPr>
              <w:pStyle w:val="6"/>
              <w:spacing w:before="244" w:line="228" w:lineRule="auto"/>
              <w:ind w:left="83"/>
              <w:rPr>
                <w:sz w:val="20"/>
                <w:szCs w:val="20"/>
              </w:rPr>
            </w:pPr>
            <w:r>
              <w:rPr>
                <w:spacing w:val="8"/>
                <w:sz w:val="20"/>
                <w:szCs w:val="20"/>
              </w:rPr>
              <w:t>废</w:t>
            </w:r>
            <w:r>
              <w:rPr>
                <w:spacing w:val="-39"/>
                <w:sz w:val="20"/>
                <w:szCs w:val="20"/>
              </w:rPr>
              <w:t xml:space="preserve"> </w:t>
            </w:r>
            <w:r>
              <w:rPr>
                <w:rFonts w:ascii="Times New Roman" w:hAnsi="Times New Roman" w:eastAsia="Times New Roman" w:cs="Times New Roman"/>
                <w:sz w:val="20"/>
                <w:szCs w:val="20"/>
              </w:rPr>
              <w:t>EDI</w:t>
            </w:r>
            <w:r>
              <w:rPr>
                <w:rFonts w:ascii="Times New Roman" w:hAnsi="Times New Roman" w:eastAsia="Times New Roman" w:cs="Times New Roman"/>
                <w:spacing w:val="17"/>
                <w:sz w:val="20"/>
                <w:szCs w:val="20"/>
              </w:rPr>
              <w:t xml:space="preserve"> </w:t>
            </w:r>
            <w:r>
              <w:rPr>
                <w:spacing w:val="8"/>
                <w:sz w:val="20"/>
                <w:szCs w:val="20"/>
              </w:rPr>
              <w:t>离子交换膜组件</w:t>
            </w:r>
          </w:p>
        </w:tc>
        <w:tc>
          <w:tcPr>
            <w:tcW w:w="1123" w:type="dxa"/>
            <w:vAlign w:val="top"/>
          </w:tcPr>
          <w:p w14:paraId="5B42A94C">
            <w:pPr>
              <w:pStyle w:val="6"/>
              <w:spacing w:before="244" w:line="228" w:lineRule="auto"/>
              <w:ind w:left="150"/>
              <w:rPr>
                <w:sz w:val="20"/>
                <w:szCs w:val="20"/>
              </w:rPr>
            </w:pPr>
            <w:r>
              <w:rPr>
                <w:spacing w:val="6"/>
                <w:sz w:val="20"/>
                <w:szCs w:val="20"/>
              </w:rPr>
              <w:t>一般固废</w:t>
            </w:r>
          </w:p>
        </w:tc>
        <w:tc>
          <w:tcPr>
            <w:tcW w:w="2528" w:type="dxa"/>
            <w:tcBorders>
              <w:right w:val="nil"/>
            </w:tcBorders>
            <w:vAlign w:val="top"/>
          </w:tcPr>
          <w:p w14:paraId="14FF393E">
            <w:pPr>
              <w:pStyle w:val="6"/>
              <w:spacing w:before="244" w:line="228" w:lineRule="auto"/>
              <w:ind w:left="455"/>
              <w:rPr>
                <w:sz w:val="20"/>
                <w:szCs w:val="20"/>
              </w:rPr>
            </w:pPr>
            <w:r>
              <w:rPr>
                <w:spacing w:val="5"/>
                <w:sz w:val="20"/>
                <w:szCs w:val="20"/>
              </w:rPr>
              <w:t>由其生产厂家回收</w:t>
            </w:r>
          </w:p>
        </w:tc>
      </w:tr>
      <w:tr w14:paraId="5DA9DE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trPr>
        <w:tc>
          <w:tcPr>
            <w:tcW w:w="447" w:type="dxa"/>
            <w:tcBorders>
              <w:left w:val="nil"/>
            </w:tcBorders>
            <w:vAlign w:val="top"/>
          </w:tcPr>
          <w:p w14:paraId="32954FB4">
            <w:pPr>
              <w:spacing w:before="234" w:line="211" w:lineRule="auto"/>
              <w:ind w:left="87"/>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2-3</w:t>
            </w:r>
          </w:p>
        </w:tc>
        <w:tc>
          <w:tcPr>
            <w:tcW w:w="1555" w:type="dxa"/>
            <w:vAlign w:val="top"/>
          </w:tcPr>
          <w:p w14:paraId="25BB9505">
            <w:pPr>
              <w:pStyle w:val="6"/>
              <w:spacing w:before="198" w:line="227" w:lineRule="auto"/>
              <w:ind w:left="152"/>
              <w:rPr>
                <w:sz w:val="20"/>
                <w:szCs w:val="20"/>
              </w:rPr>
            </w:pPr>
            <w:r>
              <w:rPr>
                <w:spacing w:val="8"/>
                <w:sz w:val="20"/>
                <w:szCs w:val="20"/>
              </w:rPr>
              <w:t>废脱硝催化剂</w:t>
            </w:r>
          </w:p>
        </w:tc>
        <w:tc>
          <w:tcPr>
            <w:tcW w:w="1092" w:type="dxa"/>
            <w:vAlign w:val="top"/>
          </w:tcPr>
          <w:p w14:paraId="19B326A2">
            <w:pPr>
              <w:spacing w:before="234" w:line="195" w:lineRule="auto"/>
              <w:ind w:left="4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w:t>
            </w:r>
          </w:p>
        </w:tc>
        <w:tc>
          <w:tcPr>
            <w:tcW w:w="2294" w:type="dxa"/>
            <w:vAlign w:val="top"/>
          </w:tcPr>
          <w:p w14:paraId="2D16281D">
            <w:pPr>
              <w:pStyle w:val="6"/>
              <w:spacing w:before="230" w:line="196" w:lineRule="auto"/>
              <w:ind w:left="303"/>
              <w:rPr>
                <w:rFonts w:ascii="Times New Roman" w:hAnsi="Times New Roman" w:eastAsia="Times New Roman" w:cs="Times New Roman"/>
                <w:sz w:val="13"/>
                <w:szCs w:val="13"/>
              </w:rPr>
            </w:pPr>
            <w:r>
              <w:rPr>
                <w:rFonts w:ascii="Times New Roman" w:hAnsi="Times New Roman" w:eastAsia="Times New Roman" w:cs="Times New Roman"/>
                <w:spacing w:val="4"/>
                <w:sz w:val="20"/>
                <w:szCs w:val="20"/>
              </w:rPr>
              <w:t>V</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4"/>
                <w:sz w:val="20"/>
                <w:szCs w:val="20"/>
              </w:rPr>
              <w:t>O</w:t>
            </w:r>
            <w:r>
              <w:rPr>
                <w:rFonts w:ascii="Times New Roman" w:hAnsi="Times New Roman" w:eastAsia="Times New Roman" w:cs="Times New Roman"/>
                <w:spacing w:val="4"/>
                <w:position w:val="-1"/>
                <w:sz w:val="13"/>
                <w:szCs w:val="13"/>
              </w:rPr>
              <w:t>5</w:t>
            </w:r>
            <w:r>
              <w:rPr>
                <w:rFonts w:ascii="Times New Roman" w:hAnsi="Times New Roman" w:eastAsia="Times New Roman" w:cs="Times New Roman"/>
                <w:spacing w:val="-10"/>
                <w:position w:val="-1"/>
                <w:sz w:val="13"/>
                <w:szCs w:val="13"/>
              </w:rPr>
              <w:t xml:space="preserve"> </w:t>
            </w:r>
            <w:r>
              <w:rPr>
                <w:spacing w:val="4"/>
                <w:sz w:val="20"/>
                <w:szCs w:val="20"/>
              </w:rPr>
              <w:t>、</w:t>
            </w:r>
            <w:r>
              <w:rPr>
                <w:rFonts w:ascii="Times New Roman" w:hAnsi="Times New Roman" w:eastAsia="Times New Roman" w:cs="Times New Roman"/>
                <w:sz w:val="20"/>
                <w:szCs w:val="20"/>
              </w:rPr>
              <w:t>TiO</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11"/>
                <w:position w:val="-1"/>
                <w:sz w:val="13"/>
                <w:szCs w:val="13"/>
              </w:rPr>
              <w:t xml:space="preserve"> </w:t>
            </w:r>
            <w:r>
              <w:rPr>
                <w:spacing w:val="4"/>
                <w:sz w:val="20"/>
                <w:szCs w:val="20"/>
              </w:rPr>
              <w:t>、</w:t>
            </w:r>
            <w:r>
              <w:rPr>
                <w:rFonts w:ascii="Times New Roman" w:hAnsi="Times New Roman" w:eastAsia="Times New Roman" w:cs="Times New Roman"/>
                <w:sz w:val="20"/>
                <w:szCs w:val="20"/>
              </w:rPr>
              <w:t>WO</w:t>
            </w:r>
            <w:r>
              <w:rPr>
                <w:rFonts w:ascii="Times New Roman" w:hAnsi="Times New Roman" w:eastAsia="Times New Roman" w:cs="Times New Roman"/>
                <w:spacing w:val="4"/>
                <w:position w:val="-1"/>
                <w:sz w:val="13"/>
                <w:szCs w:val="13"/>
              </w:rPr>
              <w:t>3</w:t>
            </w:r>
          </w:p>
        </w:tc>
        <w:tc>
          <w:tcPr>
            <w:tcW w:w="1123" w:type="dxa"/>
            <w:vAlign w:val="top"/>
          </w:tcPr>
          <w:p w14:paraId="7E9C11C8">
            <w:pPr>
              <w:pStyle w:val="6"/>
              <w:spacing w:before="199" w:line="228" w:lineRule="auto"/>
              <w:ind w:left="149"/>
              <w:rPr>
                <w:sz w:val="20"/>
                <w:szCs w:val="20"/>
              </w:rPr>
            </w:pPr>
            <w:r>
              <w:rPr>
                <w:spacing w:val="6"/>
                <w:sz w:val="20"/>
                <w:szCs w:val="20"/>
              </w:rPr>
              <w:t>危险废物</w:t>
            </w:r>
          </w:p>
        </w:tc>
        <w:tc>
          <w:tcPr>
            <w:tcW w:w="2528" w:type="dxa"/>
            <w:tcBorders>
              <w:right w:val="nil"/>
            </w:tcBorders>
            <w:vAlign w:val="top"/>
          </w:tcPr>
          <w:p w14:paraId="1B704771">
            <w:pPr>
              <w:pStyle w:val="6"/>
              <w:spacing w:before="199" w:line="228" w:lineRule="auto"/>
              <w:ind w:left="323"/>
              <w:rPr>
                <w:sz w:val="20"/>
                <w:szCs w:val="20"/>
              </w:rPr>
            </w:pPr>
            <w:r>
              <w:rPr>
                <w:spacing w:val="9"/>
                <w:sz w:val="20"/>
                <w:szCs w:val="20"/>
              </w:rPr>
              <w:t>委托有资质单位处理</w:t>
            </w:r>
          </w:p>
        </w:tc>
      </w:tr>
      <w:tr w14:paraId="735F31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447" w:type="dxa"/>
            <w:tcBorders>
              <w:left w:val="nil"/>
            </w:tcBorders>
            <w:vAlign w:val="top"/>
          </w:tcPr>
          <w:p w14:paraId="2424C279">
            <w:pPr>
              <w:spacing w:before="284" w:line="200" w:lineRule="auto"/>
              <w:ind w:left="144"/>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position w:val="-1"/>
                <w:sz w:val="13"/>
                <w:szCs w:val="13"/>
              </w:rPr>
              <w:t>3</w:t>
            </w:r>
          </w:p>
        </w:tc>
        <w:tc>
          <w:tcPr>
            <w:tcW w:w="1555" w:type="dxa"/>
            <w:vAlign w:val="top"/>
          </w:tcPr>
          <w:p w14:paraId="5872C8C3">
            <w:pPr>
              <w:pStyle w:val="6"/>
              <w:spacing w:before="246" w:line="228" w:lineRule="auto"/>
              <w:ind w:left="361"/>
              <w:rPr>
                <w:sz w:val="20"/>
                <w:szCs w:val="20"/>
              </w:rPr>
            </w:pPr>
            <w:r>
              <w:rPr>
                <w:spacing w:val="7"/>
                <w:sz w:val="20"/>
                <w:szCs w:val="20"/>
              </w:rPr>
              <w:t>废矿物油</w:t>
            </w:r>
          </w:p>
        </w:tc>
        <w:tc>
          <w:tcPr>
            <w:tcW w:w="1092" w:type="dxa"/>
            <w:vAlign w:val="top"/>
          </w:tcPr>
          <w:p w14:paraId="3B5BA70F">
            <w:pPr>
              <w:spacing w:before="282"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10.73</w:t>
            </w:r>
          </w:p>
        </w:tc>
        <w:tc>
          <w:tcPr>
            <w:tcW w:w="2294" w:type="dxa"/>
            <w:vAlign w:val="top"/>
          </w:tcPr>
          <w:p w14:paraId="188AE04C">
            <w:pPr>
              <w:pStyle w:val="6"/>
              <w:spacing w:before="88" w:line="257" w:lineRule="auto"/>
              <w:ind w:left="625" w:right="14" w:hanging="605"/>
              <w:rPr>
                <w:sz w:val="20"/>
                <w:szCs w:val="20"/>
              </w:rPr>
            </w:pPr>
            <w:r>
              <w:rPr>
                <w:spacing w:val="4"/>
                <w:sz w:val="20"/>
                <w:szCs w:val="20"/>
              </w:rPr>
              <w:t>废液压油、废润滑油、废</w:t>
            </w:r>
            <w:r>
              <w:rPr>
                <w:spacing w:val="8"/>
                <w:sz w:val="20"/>
                <w:szCs w:val="20"/>
              </w:rPr>
              <w:t xml:space="preserve"> 变压器油等</w:t>
            </w:r>
          </w:p>
        </w:tc>
        <w:tc>
          <w:tcPr>
            <w:tcW w:w="1123" w:type="dxa"/>
            <w:vAlign w:val="top"/>
          </w:tcPr>
          <w:p w14:paraId="0B112140">
            <w:pPr>
              <w:pStyle w:val="6"/>
              <w:spacing w:before="247" w:line="228" w:lineRule="auto"/>
              <w:ind w:left="149"/>
              <w:rPr>
                <w:sz w:val="20"/>
                <w:szCs w:val="20"/>
              </w:rPr>
            </w:pPr>
            <w:r>
              <w:rPr>
                <w:spacing w:val="6"/>
                <w:sz w:val="20"/>
                <w:szCs w:val="20"/>
              </w:rPr>
              <w:t>危险废物</w:t>
            </w:r>
          </w:p>
        </w:tc>
        <w:tc>
          <w:tcPr>
            <w:tcW w:w="2528" w:type="dxa"/>
            <w:tcBorders>
              <w:right w:val="nil"/>
            </w:tcBorders>
            <w:vAlign w:val="top"/>
          </w:tcPr>
          <w:p w14:paraId="0FFA750C">
            <w:pPr>
              <w:pStyle w:val="6"/>
              <w:spacing w:before="247" w:line="228" w:lineRule="auto"/>
              <w:ind w:left="323"/>
              <w:rPr>
                <w:sz w:val="20"/>
                <w:szCs w:val="20"/>
              </w:rPr>
            </w:pPr>
            <w:r>
              <w:rPr>
                <w:spacing w:val="9"/>
                <w:sz w:val="20"/>
                <w:szCs w:val="20"/>
              </w:rPr>
              <w:t>委托有资质单位处理</w:t>
            </w:r>
          </w:p>
        </w:tc>
      </w:tr>
      <w:tr w14:paraId="4068F3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trPr>
        <w:tc>
          <w:tcPr>
            <w:tcW w:w="447" w:type="dxa"/>
            <w:tcBorders>
              <w:left w:val="nil"/>
            </w:tcBorders>
            <w:vAlign w:val="top"/>
          </w:tcPr>
          <w:p w14:paraId="17664478">
            <w:pPr>
              <w:spacing w:before="237" w:line="202" w:lineRule="auto"/>
              <w:ind w:left="144"/>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position w:val="-1"/>
                <w:sz w:val="13"/>
                <w:szCs w:val="13"/>
              </w:rPr>
              <w:t>4</w:t>
            </w:r>
          </w:p>
        </w:tc>
        <w:tc>
          <w:tcPr>
            <w:tcW w:w="1555" w:type="dxa"/>
            <w:vAlign w:val="top"/>
          </w:tcPr>
          <w:p w14:paraId="4CECF770">
            <w:pPr>
              <w:pStyle w:val="6"/>
              <w:spacing w:before="201" w:line="228" w:lineRule="auto"/>
              <w:ind w:left="363"/>
              <w:rPr>
                <w:sz w:val="20"/>
                <w:szCs w:val="20"/>
              </w:rPr>
            </w:pPr>
            <w:r>
              <w:rPr>
                <w:spacing w:val="6"/>
                <w:sz w:val="20"/>
                <w:szCs w:val="20"/>
              </w:rPr>
              <w:t>生活垃圾</w:t>
            </w:r>
          </w:p>
        </w:tc>
        <w:tc>
          <w:tcPr>
            <w:tcW w:w="1092" w:type="dxa"/>
            <w:vAlign w:val="top"/>
          </w:tcPr>
          <w:p w14:paraId="4D74F1A8">
            <w:pPr>
              <w:spacing w:before="237" w:line="195" w:lineRule="auto"/>
              <w:ind w:left="28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116.55</w:t>
            </w:r>
          </w:p>
        </w:tc>
        <w:tc>
          <w:tcPr>
            <w:tcW w:w="2294" w:type="dxa"/>
            <w:vAlign w:val="top"/>
          </w:tcPr>
          <w:p w14:paraId="732163AE">
            <w:pPr>
              <w:pStyle w:val="6"/>
              <w:spacing w:before="200" w:line="228" w:lineRule="auto"/>
              <w:ind w:left="313"/>
              <w:rPr>
                <w:sz w:val="20"/>
                <w:szCs w:val="20"/>
              </w:rPr>
            </w:pPr>
            <w:r>
              <w:rPr>
                <w:spacing w:val="8"/>
                <w:sz w:val="20"/>
                <w:szCs w:val="20"/>
              </w:rPr>
              <w:t>纸张、食物残渣等</w:t>
            </w:r>
          </w:p>
        </w:tc>
        <w:tc>
          <w:tcPr>
            <w:tcW w:w="1123" w:type="dxa"/>
            <w:vAlign w:val="top"/>
          </w:tcPr>
          <w:p w14:paraId="67149F0F">
            <w:pPr>
              <w:spacing w:before="233" w:line="199" w:lineRule="auto"/>
              <w:ind w:left="5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28" w:type="dxa"/>
            <w:tcBorders>
              <w:right w:val="nil"/>
            </w:tcBorders>
            <w:vAlign w:val="top"/>
          </w:tcPr>
          <w:p w14:paraId="51DB073E">
            <w:pPr>
              <w:pStyle w:val="6"/>
              <w:spacing w:before="200" w:line="228" w:lineRule="auto"/>
              <w:ind w:left="429"/>
              <w:rPr>
                <w:sz w:val="20"/>
                <w:szCs w:val="20"/>
              </w:rPr>
            </w:pPr>
            <w:r>
              <w:rPr>
                <w:spacing w:val="8"/>
                <w:sz w:val="20"/>
                <w:szCs w:val="20"/>
              </w:rPr>
              <w:t>委托环卫部门清理</w:t>
            </w:r>
          </w:p>
        </w:tc>
      </w:tr>
      <w:tr w14:paraId="1C1832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trPr>
        <w:tc>
          <w:tcPr>
            <w:tcW w:w="447" w:type="dxa"/>
            <w:tcBorders>
              <w:left w:val="nil"/>
            </w:tcBorders>
            <w:vAlign w:val="top"/>
          </w:tcPr>
          <w:p w14:paraId="5D78B33B">
            <w:pPr>
              <w:spacing w:before="237" w:line="202" w:lineRule="auto"/>
              <w:ind w:left="144"/>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position w:val="-1"/>
                <w:sz w:val="13"/>
                <w:szCs w:val="13"/>
              </w:rPr>
              <w:t>5</w:t>
            </w:r>
          </w:p>
        </w:tc>
        <w:tc>
          <w:tcPr>
            <w:tcW w:w="1555" w:type="dxa"/>
            <w:vAlign w:val="top"/>
          </w:tcPr>
          <w:p w14:paraId="33437A1E">
            <w:pPr>
              <w:pStyle w:val="6"/>
              <w:spacing w:before="200" w:line="228" w:lineRule="auto"/>
              <w:ind w:left="46"/>
              <w:rPr>
                <w:sz w:val="20"/>
                <w:szCs w:val="20"/>
              </w:rPr>
            </w:pPr>
            <w:r>
              <w:rPr>
                <w:spacing w:val="8"/>
                <w:sz w:val="20"/>
                <w:szCs w:val="20"/>
              </w:rPr>
              <w:t>废离子交换树脂</w:t>
            </w:r>
          </w:p>
        </w:tc>
        <w:tc>
          <w:tcPr>
            <w:tcW w:w="1092" w:type="dxa"/>
            <w:vAlign w:val="top"/>
          </w:tcPr>
          <w:p w14:paraId="5955B3C7">
            <w:pPr>
              <w:spacing w:before="237" w:line="195" w:lineRule="auto"/>
              <w:ind w:left="38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10.6</w:t>
            </w:r>
          </w:p>
        </w:tc>
        <w:tc>
          <w:tcPr>
            <w:tcW w:w="2294" w:type="dxa"/>
            <w:vAlign w:val="top"/>
          </w:tcPr>
          <w:p w14:paraId="70AE72CF">
            <w:pPr>
              <w:pStyle w:val="6"/>
              <w:spacing w:before="200" w:line="228" w:lineRule="auto"/>
              <w:ind w:left="416"/>
              <w:rPr>
                <w:sz w:val="20"/>
                <w:szCs w:val="20"/>
              </w:rPr>
            </w:pPr>
            <w:r>
              <w:rPr>
                <w:spacing w:val="8"/>
                <w:sz w:val="20"/>
                <w:szCs w:val="20"/>
              </w:rPr>
              <w:t>废离子交换树脂</w:t>
            </w:r>
          </w:p>
        </w:tc>
        <w:tc>
          <w:tcPr>
            <w:tcW w:w="1123" w:type="dxa"/>
            <w:vAlign w:val="top"/>
          </w:tcPr>
          <w:p w14:paraId="6ABCB5F9">
            <w:pPr>
              <w:pStyle w:val="6"/>
              <w:spacing w:before="201" w:line="228" w:lineRule="auto"/>
              <w:ind w:left="150"/>
              <w:rPr>
                <w:sz w:val="20"/>
                <w:szCs w:val="20"/>
              </w:rPr>
            </w:pPr>
            <w:r>
              <w:rPr>
                <w:spacing w:val="6"/>
                <w:sz w:val="20"/>
                <w:szCs w:val="20"/>
              </w:rPr>
              <w:t>一般固废</w:t>
            </w:r>
          </w:p>
        </w:tc>
        <w:tc>
          <w:tcPr>
            <w:tcW w:w="2528" w:type="dxa"/>
            <w:tcBorders>
              <w:right w:val="nil"/>
            </w:tcBorders>
            <w:vAlign w:val="top"/>
          </w:tcPr>
          <w:p w14:paraId="765AA608">
            <w:pPr>
              <w:pStyle w:val="6"/>
              <w:spacing w:before="200" w:line="228" w:lineRule="auto"/>
              <w:ind w:left="455"/>
              <w:rPr>
                <w:sz w:val="20"/>
                <w:szCs w:val="20"/>
              </w:rPr>
            </w:pPr>
            <w:r>
              <w:rPr>
                <w:spacing w:val="5"/>
                <w:sz w:val="20"/>
                <w:szCs w:val="20"/>
              </w:rPr>
              <w:t>由其生产厂家回收</w:t>
            </w:r>
          </w:p>
        </w:tc>
      </w:tr>
      <w:tr w14:paraId="09009E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trPr>
        <w:tc>
          <w:tcPr>
            <w:tcW w:w="447" w:type="dxa"/>
            <w:tcBorders>
              <w:left w:val="nil"/>
            </w:tcBorders>
            <w:vAlign w:val="top"/>
          </w:tcPr>
          <w:p w14:paraId="4829CE4A">
            <w:pPr>
              <w:spacing w:before="239" w:line="202" w:lineRule="auto"/>
              <w:ind w:left="144"/>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position w:val="-1"/>
                <w:sz w:val="13"/>
                <w:szCs w:val="13"/>
              </w:rPr>
              <w:t>6</w:t>
            </w:r>
          </w:p>
        </w:tc>
        <w:tc>
          <w:tcPr>
            <w:tcW w:w="1555" w:type="dxa"/>
            <w:vAlign w:val="top"/>
          </w:tcPr>
          <w:p w14:paraId="51098229">
            <w:pPr>
              <w:pStyle w:val="6"/>
              <w:spacing w:before="200" w:line="228" w:lineRule="auto"/>
              <w:ind w:left="361"/>
              <w:rPr>
                <w:sz w:val="20"/>
                <w:szCs w:val="20"/>
              </w:rPr>
            </w:pPr>
            <w:r>
              <w:rPr>
                <w:spacing w:val="7"/>
                <w:sz w:val="20"/>
                <w:szCs w:val="20"/>
              </w:rPr>
              <w:t>废分子筛</w:t>
            </w:r>
          </w:p>
        </w:tc>
        <w:tc>
          <w:tcPr>
            <w:tcW w:w="1092" w:type="dxa"/>
            <w:vAlign w:val="top"/>
          </w:tcPr>
          <w:p w14:paraId="67CFD7B8">
            <w:pPr>
              <w:spacing w:before="237" w:line="195" w:lineRule="auto"/>
              <w:ind w:left="41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2294" w:type="dxa"/>
            <w:vAlign w:val="top"/>
          </w:tcPr>
          <w:p w14:paraId="11C48CD6">
            <w:pPr>
              <w:pStyle w:val="6"/>
              <w:spacing w:before="200" w:line="228" w:lineRule="auto"/>
              <w:ind w:left="838"/>
              <w:rPr>
                <w:sz w:val="20"/>
                <w:szCs w:val="20"/>
              </w:rPr>
            </w:pPr>
            <w:r>
              <w:rPr>
                <w:spacing w:val="6"/>
                <w:sz w:val="20"/>
                <w:szCs w:val="20"/>
              </w:rPr>
              <w:t>沸石等</w:t>
            </w:r>
          </w:p>
        </w:tc>
        <w:tc>
          <w:tcPr>
            <w:tcW w:w="1123" w:type="dxa"/>
            <w:vAlign w:val="top"/>
          </w:tcPr>
          <w:p w14:paraId="66F4027F">
            <w:pPr>
              <w:pStyle w:val="6"/>
              <w:spacing w:before="201" w:line="228" w:lineRule="auto"/>
              <w:ind w:left="150"/>
              <w:rPr>
                <w:sz w:val="20"/>
                <w:szCs w:val="20"/>
              </w:rPr>
            </w:pPr>
            <w:r>
              <w:rPr>
                <w:spacing w:val="6"/>
                <w:sz w:val="20"/>
                <w:szCs w:val="20"/>
              </w:rPr>
              <w:t>一般固废</w:t>
            </w:r>
          </w:p>
        </w:tc>
        <w:tc>
          <w:tcPr>
            <w:tcW w:w="2528" w:type="dxa"/>
            <w:tcBorders>
              <w:right w:val="nil"/>
            </w:tcBorders>
            <w:vAlign w:val="top"/>
          </w:tcPr>
          <w:p w14:paraId="0B607F93">
            <w:pPr>
              <w:pStyle w:val="6"/>
              <w:spacing w:before="200" w:line="228" w:lineRule="auto"/>
              <w:ind w:left="455"/>
              <w:rPr>
                <w:sz w:val="20"/>
                <w:szCs w:val="20"/>
              </w:rPr>
            </w:pPr>
            <w:r>
              <w:rPr>
                <w:spacing w:val="5"/>
                <w:sz w:val="20"/>
                <w:szCs w:val="20"/>
              </w:rPr>
              <w:t>由其生产厂家回收</w:t>
            </w:r>
          </w:p>
        </w:tc>
      </w:tr>
      <w:tr w14:paraId="59217F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13" w:hRule="atLeast"/>
        </w:trPr>
        <w:tc>
          <w:tcPr>
            <w:tcW w:w="447" w:type="dxa"/>
            <w:tcBorders>
              <w:left w:val="nil"/>
              <w:bottom w:val="single" w:color="000000" w:sz="10" w:space="0"/>
            </w:tcBorders>
            <w:vAlign w:val="top"/>
          </w:tcPr>
          <w:p w14:paraId="64D07568">
            <w:pPr>
              <w:spacing w:line="272" w:lineRule="auto"/>
              <w:rPr>
                <w:rFonts w:ascii="Arial"/>
                <w:sz w:val="21"/>
              </w:rPr>
            </w:pPr>
          </w:p>
          <w:p w14:paraId="5AA1DE68">
            <w:pPr>
              <w:spacing w:line="273" w:lineRule="auto"/>
              <w:rPr>
                <w:rFonts w:ascii="Arial"/>
                <w:sz w:val="21"/>
              </w:rPr>
            </w:pPr>
          </w:p>
          <w:p w14:paraId="7D4963D0">
            <w:pPr>
              <w:spacing w:before="58" w:line="200" w:lineRule="auto"/>
              <w:ind w:left="144"/>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S</w:t>
            </w:r>
            <w:r>
              <w:rPr>
                <w:rFonts w:ascii="Times New Roman" w:hAnsi="Times New Roman" w:eastAsia="Times New Roman" w:cs="Times New Roman"/>
                <w:spacing w:val="-3"/>
                <w:position w:val="-1"/>
                <w:sz w:val="13"/>
                <w:szCs w:val="13"/>
              </w:rPr>
              <w:t>7</w:t>
            </w:r>
          </w:p>
        </w:tc>
        <w:tc>
          <w:tcPr>
            <w:tcW w:w="1555" w:type="dxa"/>
            <w:tcBorders>
              <w:bottom w:val="single" w:color="000000" w:sz="10" w:space="0"/>
            </w:tcBorders>
            <w:vAlign w:val="top"/>
          </w:tcPr>
          <w:p w14:paraId="58594536">
            <w:pPr>
              <w:spacing w:line="250" w:lineRule="auto"/>
              <w:rPr>
                <w:rFonts w:ascii="Arial"/>
                <w:sz w:val="21"/>
              </w:rPr>
            </w:pPr>
          </w:p>
          <w:p w14:paraId="3DCB4445">
            <w:pPr>
              <w:spacing w:line="250" w:lineRule="auto"/>
              <w:rPr>
                <w:rFonts w:ascii="Arial"/>
                <w:sz w:val="21"/>
              </w:rPr>
            </w:pPr>
          </w:p>
          <w:p w14:paraId="0F217D74">
            <w:pPr>
              <w:pStyle w:val="6"/>
              <w:spacing w:before="65" w:line="228" w:lineRule="auto"/>
              <w:ind w:left="257"/>
              <w:rPr>
                <w:sz w:val="20"/>
                <w:szCs w:val="20"/>
              </w:rPr>
            </w:pPr>
            <w:r>
              <w:rPr>
                <w:spacing w:val="7"/>
                <w:sz w:val="20"/>
                <w:szCs w:val="20"/>
              </w:rPr>
              <w:t>化验室废液</w:t>
            </w:r>
          </w:p>
        </w:tc>
        <w:tc>
          <w:tcPr>
            <w:tcW w:w="1092" w:type="dxa"/>
            <w:tcBorders>
              <w:bottom w:val="single" w:color="000000" w:sz="10" w:space="0"/>
            </w:tcBorders>
            <w:vAlign w:val="top"/>
          </w:tcPr>
          <w:p w14:paraId="3378D819">
            <w:pPr>
              <w:spacing w:line="271" w:lineRule="auto"/>
              <w:rPr>
                <w:rFonts w:ascii="Arial"/>
                <w:sz w:val="21"/>
              </w:rPr>
            </w:pPr>
          </w:p>
          <w:p w14:paraId="15A00F48">
            <w:pPr>
              <w:spacing w:line="272" w:lineRule="auto"/>
              <w:rPr>
                <w:rFonts w:ascii="Arial"/>
                <w:sz w:val="21"/>
              </w:rPr>
            </w:pPr>
          </w:p>
          <w:p w14:paraId="0E5C35F9">
            <w:pPr>
              <w:spacing w:before="58" w:line="195" w:lineRule="auto"/>
              <w:ind w:left="4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c>
          <w:tcPr>
            <w:tcW w:w="2294" w:type="dxa"/>
            <w:tcBorders>
              <w:bottom w:val="single" w:color="000000" w:sz="10" w:space="0"/>
            </w:tcBorders>
            <w:vAlign w:val="top"/>
          </w:tcPr>
          <w:p w14:paraId="34D66CE2">
            <w:pPr>
              <w:pStyle w:val="6"/>
              <w:spacing w:before="92" w:line="228" w:lineRule="auto"/>
              <w:ind w:left="21"/>
              <w:rPr>
                <w:sz w:val="20"/>
                <w:szCs w:val="20"/>
              </w:rPr>
            </w:pPr>
            <w:r>
              <w:rPr>
                <w:spacing w:val="4"/>
                <w:sz w:val="20"/>
                <w:szCs w:val="20"/>
              </w:rPr>
              <w:t>检验废液（包含各种化学</w:t>
            </w:r>
          </w:p>
          <w:p w14:paraId="35D356D8">
            <w:pPr>
              <w:pStyle w:val="6"/>
              <w:spacing w:before="70" w:line="227" w:lineRule="auto"/>
              <w:ind w:left="20"/>
              <w:rPr>
                <w:sz w:val="20"/>
                <w:szCs w:val="20"/>
              </w:rPr>
            </w:pPr>
            <w:r>
              <w:rPr>
                <w:spacing w:val="4"/>
                <w:sz w:val="20"/>
                <w:szCs w:val="20"/>
              </w:rPr>
              <w:t>废液、含有化学试剂的废</w:t>
            </w:r>
          </w:p>
          <w:p w14:paraId="6BB60BA7">
            <w:pPr>
              <w:pStyle w:val="6"/>
              <w:spacing w:before="72" w:line="228" w:lineRule="auto"/>
              <w:ind w:left="24"/>
              <w:rPr>
                <w:sz w:val="20"/>
                <w:szCs w:val="20"/>
              </w:rPr>
            </w:pPr>
            <w:r>
              <w:rPr>
                <w:spacing w:val="4"/>
                <w:sz w:val="20"/>
                <w:szCs w:val="20"/>
              </w:rPr>
              <w:t>水）、含重金属清洗废水</w:t>
            </w:r>
          </w:p>
          <w:p w14:paraId="0C0060D1">
            <w:pPr>
              <w:pStyle w:val="6"/>
              <w:spacing w:before="69" w:line="228" w:lineRule="auto"/>
              <w:ind w:left="311"/>
              <w:rPr>
                <w:sz w:val="20"/>
                <w:szCs w:val="20"/>
              </w:rPr>
            </w:pPr>
            <w:r>
              <w:rPr>
                <w:spacing w:val="8"/>
                <w:sz w:val="20"/>
                <w:szCs w:val="20"/>
              </w:rPr>
              <w:t>及高浓度清洗废水</w:t>
            </w:r>
          </w:p>
        </w:tc>
        <w:tc>
          <w:tcPr>
            <w:tcW w:w="1123" w:type="dxa"/>
            <w:tcBorders>
              <w:bottom w:val="single" w:color="000000" w:sz="10" w:space="0"/>
            </w:tcBorders>
            <w:vAlign w:val="top"/>
          </w:tcPr>
          <w:p w14:paraId="58228127">
            <w:pPr>
              <w:spacing w:line="250" w:lineRule="auto"/>
              <w:rPr>
                <w:rFonts w:ascii="Arial"/>
                <w:sz w:val="21"/>
              </w:rPr>
            </w:pPr>
          </w:p>
          <w:p w14:paraId="75D4FB22">
            <w:pPr>
              <w:spacing w:line="250" w:lineRule="auto"/>
              <w:rPr>
                <w:rFonts w:ascii="Arial"/>
                <w:sz w:val="21"/>
              </w:rPr>
            </w:pPr>
          </w:p>
          <w:p w14:paraId="28259E03">
            <w:pPr>
              <w:pStyle w:val="6"/>
              <w:spacing w:before="65" w:line="228" w:lineRule="auto"/>
              <w:ind w:left="149"/>
              <w:rPr>
                <w:sz w:val="20"/>
                <w:szCs w:val="20"/>
              </w:rPr>
            </w:pPr>
            <w:r>
              <w:rPr>
                <w:spacing w:val="6"/>
                <w:sz w:val="20"/>
                <w:szCs w:val="20"/>
              </w:rPr>
              <w:t>危险废物</w:t>
            </w:r>
          </w:p>
        </w:tc>
        <w:tc>
          <w:tcPr>
            <w:tcW w:w="2528" w:type="dxa"/>
            <w:tcBorders>
              <w:bottom w:val="single" w:color="000000" w:sz="10" w:space="0"/>
              <w:right w:val="nil"/>
            </w:tcBorders>
            <w:vAlign w:val="top"/>
          </w:tcPr>
          <w:p w14:paraId="6D07F00C">
            <w:pPr>
              <w:spacing w:line="250" w:lineRule="auto"/>
              <w:rPr>
                <w:rFonts w:ascii="Arial"/>
                <w:sz w:val="21"/>
              </w:rPr>
            </w:pPr>
          </w:p>
          <w:p w14:paraId="68A8CDBF">
            <w:pPr>
              <w:spacing w:line="250" w:lineRule="auto"/>
              <w:rPr>
                <w:rFonts w:ascii="Arial"/>
                <w:sz w:val="21"/>
              </w:rPr>
            </w:pPr>
          </w:p>
          <w:p w14:paraId="06945A63">
            <w:pPr>
              <w:pStyle w:val="6"/>
              <w:spacing w:before="65" w:line="228" w:lineRule="auto"/>
              <w:ind w:left="323"/>
              <w:rPr>
                <w:sz w:val="20"/>
                <w:szCs w:val="20"/>
              </w:rPr>
            </w:pPr>
            <w:r>
              <w:rPr>
                <w:spacing w:val="9"/>
                <w:sz w:val="20"/>
                <w:szCs w:val="20"/>
              </w:rPr>
              <w:t>委托有资质单位处理</w:t>
            </w:r>
          </w:p>
        </w:tc>
      </w:tr>
    </w:tbl>
    <w:p w14:paraId="52BF6779">
      <w:pPr>
        <w:spacing w:before="119" w:line="218" w:lineRule="auto"/>
        <w:jc w:val="right"/>
        <w:rPr>
          <w:rFonts w:ascii="宋体" w:hAnsi="宋体" w:eastAsia="宋体" w:cs="宋体"/>
          <w:sz w:val="24"/>
          <w:szCs w:val="24"/>
        </w:rPr>
      </w:pPr>
      <w:r>
        <w:rPr>
          <w:rFonts w:ascii="宋体" w:hAnsi="宋体" w:eastAsia="宋体" w:cs="宋体"/>
          <w:spacing w:val="2"/>
          <w:sz w:val="24"/>
          <w:szCs w:val="24"/>
        </w:rPr>
        <w:t>根据《建设项目危险废物环境影响评价指南》和《国家危险废物</w:t>
      </w:r>
      <w:r>
        <w:rPr>
          <w:rFonts w:ascii="宋体" w:hAnsi="宋体" w:eastAsia="宋体" w:cs="宋体"/>
          <w:spacing w:val="1"/>
          <w:sz w:val="24"/>
          <w:szCs w:val="24"/>
        </w:rPr>
        <w:t>名录》（</w:t>
      </w:r>
      <w:r>
        <w:rPr>
          <w:rFonts w:ascii="Times New Roman" w:hAnsi="Times New Roman" w:eastAsia="Times New Roman" w:cs="Times New Roman"/>
          <w:spacing w:val="1"/>
          <w:sz w:val="24"/>
          <w:szCs w:val="24"/>
        </w:rPr>
        <w:t xml:space="preserve">2021 </w:t>
      </w:r>
      <w:r>
        <w:rPr>
          <w:rFonts w:ascii="宋体" w:hAnsi="宋体" w:eastAsia="宋体" w:cs="宋体"/>
          <w:spacing w:val="1"/>
          <w:sz w:val="24"/>
          <w:szCs w:val="24"/>
        </w:rPr>
        <w:t>年</w:t>
      </w:r>
    </w:p>
    <w:p w14:paraId="47EB9D11">
      <w:pPr>
        <w:spacing w:before="193" w:line="219" w:lineRule="auto"/>
        <w:ind w:left="24"/>
        <w:rPr>
          <w:rFonts w:ascii="宋体" w:hAnsi="宋体" w:eastAsia="宋体" w:cs="宋体"/>
          <w:sz w:val="24"/>
          <w:szCs w:val="24"/>
        </w:rPr>
      </w:pPr>
      <w:r>
        <w:rPr>
          <w:rFonts w:ascii="宋体" w:hAnsi="宋体" w:eastAsia="宋体" w:cs="宋体"/>
          <w:spacing w:val="-1"/>
          <w:sz w:val="24"/>
          <w:szCs w:val="24"/>
        </w:rPr>
        <w:t>版</w:t>
      </w:r>
      <w:r>
        <w:rPr>
          <w:rFonts w:ascii="宋体" w:hAnsi="宋体" w:eastAsia="宋体" w:cs="宋体"/>
          <w:spacing w:val="5"/>
          <w:sz w:val="24"/>
          <w:szCs w:val="24"/>
        </w:rPr>
        <w:t>），</w:t>
      </w:r>
      <w:r>
        <w:rPr>
          <w:rFonts w:ascii="宋体" w:hAnsi="宋体" w:eastAsia="宋体" w:cs="宋体"/>
          <w:spacing w:val="-1"/>
          <w:sz w:val="24"/>
          <w:szCs w:val="24"/>
        </w:rPr>
        <w:t>确定本项目的危险废物产生量和详细信息见表</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2.3-25</w:t>
      </w:r>
      <w:r>
        <w:rPr>
          <w:rFonts w:ascii="宋体" w:hAnsi="宋体" w:eastAsia="宋体" w:cs="宋体"/>
          <w:spacing w:val="-1"/>
          <w:sz w:val="24"/>
          <w:szCs w:val="24"/>
        </w:rPr>
        <w:t>。</w:t>
      </w:r>
    </w:p>
    <w:p w14:paraId="286D03E8">
      <w:pPr>
        <w:spacing w:line="219" w:lineRule="auto"/>
        <w:rPr>
          <w:rFonts w:ascii="宋体" w:hAnsi="宋体" w:eastAsia="宋体" w:cs="宋体"/>
          <w:sz w:val="24"/>
          <w:szCs w:val="24"/>
        </w:rPr>
        <w:sectPr>
          <w:headerReference r:id="rId186" w:type="default"/>
          <w:footerReference r:id="rId187" w:type="default"/>
          <w:pgSz w:w="11850" w:h="16781"/>
          <w:pgMar w:top="1190" w:right="1407" w:bottom="1013" w:left="1401" w:header="882" w:footer="850" w:gutter="0"/>
          <w:cols w:space="720" w:num="1"/>
        </w:sectPr>
      </w:pPr>
    </w:p>
    <w:p w14:paraId="0D78B016">
      <w:pPr>
        <w:pStyle w:val="2"/>
        <w:spacing w:line="306" w:lineRule="auto"/>
      </w:pPr>
      <w:r>
        <w:pict>
          <v:shape id="_x0000_s1237" o:spid="_x0000_s1237" style="position:absolute;left:0pt;margin-left:0.4pt;margin-top:0.7pt;height:0.75pt;width:700.25pt;z-index:251895808;mso-width-relative:page;mso-height-relative:page;" fillcolor="#000000" filled="t" stroked="f" coordsize="14005,15" path="m0,0l14004,0,14004,14,0,14,0,0xe">
            <v:path/>
            <v:fill on="t" focussize="0,0"/>
            <v:stroke on="f"/>
            <v:imagedata o:title=""/>
            <o:lock v:ext="edit"/>
          </v:shape>
        </w:pict>
      </w:r>
    </w:p>
    <w:p w14:paraId="24A11629">
      <w:pPr>
        <w:spacing w:before="65" w:line="228" w:lineRule="auto"/>
        <w:ind w:left="5510"/>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4"/>
          <w:sz w:val="20"/>
          <w:szCs w:val="20"/>
        </w:rPr>
        <w:t xml:space="preserve">2.3-25              </w:t>
      </w:r>
      <w:r>
        <w:rPr>
          <w:rFonts w:ascii="宋体" w:hAnsi="宋体" w:eastAsia="宋体" w:cs="宋体"/>
          <w:b/>
          <w:bCs/>
          <w:spacing w:val="4"/>
          <w:sz w:val="20"/>
          <w:szCs w:val="20"/>
        </w:rPr>
        <w:t>危险废物汇总表</w:t>
      </w:r>
    </w:p>
    <w:p w14:paraId="36593662">
      <w:pPr>
        <w:spacing w:line="108" w:lineRule="exact"/>
      </w:pPr>
    </w:p>
    <w:tbl>
      <w:tblPr>
        <w:tblStyle w:val="5"/>
        <w:tblW w:w="1401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63"/>
        <w:gridCol w:w="1445"/>
        <w:gridCol w:w="1639"/>
        <w:gridCol w:w="1071"/>
        <w:gridCol w:w="667"/>
        <w:gridCol w:w="2072"/>
        <w:gridCol w:w="524"/>
        <w:gridCol w:w="2246"/>
        <w:gridCol w:w="1842"/>
        <w:gridCol w:w="563"/>
        <w:gridCol w:w="648"/>
        <w:gridCol w:w="939"/>
      </w:tblGrid>
      <w:tr w14:paraId="72C92F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1" w:hRule="atLeast"/>
        </w:trPr>
        <w:tc>
          <w:tcPr>
            <w:tcW w:w="363" w:type="dxa"/>
            <w:tcBorders>
              <w:top w:val="single" w:color="000000" w:sz="10" w:space="0"/>
              <w:left w:val="nil"/>
            </w:tcBorders>
            <w:textDirection w:val="tbRlV"/>
            <w:vAlign w:val="top"/>
          </w:tcPr>
          <w:p w14:paraId="3079C9AC">
            <w:pPr>
              <w:pStyle w:val="6"/>
              <w:spacing w:before="74" w:line="218" w:lineRule="auto"/>
              <w:ind w:left="65"/>
              <w:rPr>
                <w:sz w:val="20"/>
                <w:szCs w:val="20"/>
              </w:rPr>
            </w:pPr>
            <w:r>
              <w:rPr>
                <w:b/>
                <w:bCs/>
                <w:spacing w:val="6"/>
                <w:sz w:val="20"/>
                <w:szCs w:val="20"/>
              </w:rPr>
              <w:t>序</w:t>
            </w:r>
            <w:r>
              <w:rPr>
                <w:spacing w:val="-9"/>
                <w:sz w:val="20"/>
                <w:szCs w:val="20"/>
              </w:rPr>
              <w:t xml:space="preserve"> </w:t>
            </w:r>
            <w:r>
              <w:rPr>
                <w:b/>
                <w:bCs/>
                <w:spacing w:val="6"/>
                <w:sz w:val="20"/>
                <w:szCs w:val="20"/>
              </w:rPr>
              <w:t>号</w:t>
            </w:r>
          </w:p>
        </w:tc>
        <w:tc>
          <w:tcPr>
            <w:tcW w:w="1445" w:type="dxa"/>
            <w:tcBorders>
              <w:top w:val="single" w:color="000000" w:sz="10" w:space="0"/>
            </w:tcBorders>
            <w:vAlign w:val="top"/>
          </w:tcPr>
          <w:p w14:paraId="6D53CAB8">
            <w:pPr>
              <w:pStyle w:val="6"/>
              <w:spacing w:before="214" w:line="228" w:lineRule="auto"/>
              <w:ind w:left="98"/>
              <w:rPr>
                <w:sz w:val="20"/>
                <w:szCs w:val="20"/>
              </w:rPr>
            </w:pPr>
            <w:r>
              <w:rPr>
                <w:b/>
                <w:bCs/>
                <w:spacing w:val="6"/>
                <w:sz w:val="20"/>
                <w:szCs w:val="20"/>
              </w:rPr>
              <w:t>危险废物名称</w:t>
            </w:r>
          </w:p>
        </w:tc>
        <w:tc>
          <w:tcPr>
            <w:tcW w:w="1639" w:type="dxa"/>
            <w:tcBorders>
              <w:top w:val="single" w:color="000000" w:sz="10" w:space="0"/>
            </w:tcBorders>
            <w:vAlign w:val="top"/>
          </w:tcPr>
          <w:p w14:paraId="6DC4DF84">
            <w:pPr>
              <w:pStyle w:val="6"/>
              <w:spacing w:before="213" w:line="228" w:lineRule="auto"/>
              <w:ind w:left="194"/>
              <w:rPr>
                <w:sz w:val="20"/>
                <w:szCs w:val="20"/>
              </w:rPr>
            </w:pPr>
            <w:r>
              <w:rPr>
                <w:b/>
                <w:bCs/>
                <w:spacing w:val="6"/>
                <w:sz w:val="20"/>
                <w:szCs w:val="20"/>
              </w:rPr>
              <w:t>危险废物类别</w:t>
            </w:r>
          </w:p>
        </w:tc>
        <w:tc>
          <w:tcPr>
            <w:tcW w:w="1071" w:type="dxa"/>
            <w:tcBorders>
              <w:top w:val="single" w:color="000000" w:sz="10" w:space="0"/>
            </w:tcBorders>
            <w:vAlign w:val="top"/>
          </w:tcPr>
          <w:p w14:paraId="0D86EE79">
            <w:pPr>
              <w:pStyle w:val="6"/>
              <w:spacing w:before="64" w:line="252" w:lineRule="auto"/>
              <w:ind w:left="327" w:right="111" w:hanging="205"/>
              <w:rPr>
                <w:sz w:val="20"/>
                <w:szCs w:val="20"/>
              </w:rPr>
            </w:pPr>
            <w:r>
              <w:rPr>
                <w:b/>
                <w:bCs/>
                <w:spacing w:val="5"/>
                <w:sz w:val="20"/>
                <w:szCs w:val="20"/>
              </w:rPr>
              <w:t>危险废物</w:t>
            </w:r>
            <w:r>
              <w:rPr>
                <w:spacing w:val="2"/>
                <w:sz w:val="20"/>
                <w:szCs w:val="20"/>
              </w:rPr>
              <w:t xml:space="preserve"> </w:t>
            </w:r>
            <w:r>
              <w:rPr>
                <w:b/>
                <w:bCs/>
                <w:spacing w:val="4"/>
                <w:sz w:val="20"/>
                <w:szCs w:val="20"/>
              </w:rPr>
              <w:t>代码</w:t>
            </w:r>
          </w:p>
        </w:tc>
        <w:tc>
          <w:tcPr>
            <w:tcW w:w="667" w:type="dxa"/>
            <w:tcBorders>
              <w:top w:val="single" w:color="000000" w:sz="10" w:space="0"/>
            </w:tcBorders>
            <w:vAlign w:val="top"/>
          </w:tcPr>
          <w:p w14:paraId="1765FF53">
            <w:pPr>
              <w:pStyle w:val="6"/>
              <w:spacing w:before="64" w:line="252" w:lineRule="auto"/>
              <w:ind w:left="30" w:right="14" w:hanging="7"/>
              <w:rPr>
                <w:sz w:val="20"/>
                <w:szCs w:val="20"/>
              </w:rPr>
            </w:pPr>
            <w:r>
              <w:rPr>
                <w:b/>
                <w:bCs/>
                <w:spacing w:val="5"/>
                <w:sz w:val="20"/>
                <w:szCs w:val="20"/>
              </w:rPr>
              <w:t>产生量</w:t>
            </w:r>
            <w:r>
              <w:rPr>
                <w:sz w:val="20"/>
                <w:szCs w:val="20"/>
              </w:rPr>
              <w:t xml:space="preserve"> </w:t>
            </w:r>
            <w:r>
              <w:rPr>
                <w:b/>
                <w:bCs/>
                <w:spacing w:val="-2"/>
                <w:sz w:val="20"/>
                <w:szCs w:val="20"/>
              </w:rPr>
              <w:t>（</w:t>
            </w:r>
            <w:r>
              <w:rPr>
                <w:rFonts w:ascii="Times New Roman" w:hAnsi="Times New Roman" w:eastAsia="Times New Roman" w:cs="Times New Roman"/>
                <w:b/>
                <w:bCs/>
                <w:spacing w:val="-2"/>
                <w:sz w:val="20"/>
                <w:szCs w:val="20"/>
              </w:rPr>
              <w:t>t/a</w:t>
            </w:r>
            <w:r>
              <w:rPr>
                <w:b/>
                <w:bCs/>
                <w:spacing w:val="-2"/>
                <w:sz w:val="20"/>
                <w:szCs w:val="20"/>
              </w:rPr>
              <w:t>）</w:t>
            </w:r>
          </w:p>
        </w:tc>
        <w:tc>
          <w:tcPr>
            <w:tcW w:w="2072" w:type="dxa"/>
            <w:tcBorders>
              <w:top w:val="single" w:color="000000" w:sz="10" w:space="0"/>
            </w:tcBorders>
            <w:vAlign w:val="top"/>
          </w:tcPr>
          <w:p w14:paraId="43B2CB71">
            <w:pPr>
              <w:pStyle w:val="6"/>
              <w:spacing w:before="213" w:line="228" w:lineRule="auto"/>
              <w:ind w:left="304"/>
              <w:rPr>
                <w:sz w:val="20"/>
                <w:szCs w:val="20"/>
              </w:rPr>
            </w:pPr>
            <w:r>
              <w:rPr>
                <w:b/>
                <w:bCs/>
                <w:spacing w:val="7"/>
                <w:sz w:val="20"/>
                <w:szCs w:val="20"/>
              </w:rPr>
              <w:t>产生工序及装置</w:t>
            </w:r>
          </w:p>
        </w:tc>
        <w:tc>
          <w:tcPr>
            <w:tcW w:w="524" w:type="dxa"/>
            <w:tcBorders>
              <w:top w:val="single" w:color="000000" w:sz="10" w:space="0"/>
            </w:tcBorders>
            <w:vAlign w:val="top"/>
          </w:tcPr>
          <w:p w14:paraId="3B940C4F">
            <w:pPr>
              <w:pStyle w:val="6"/>
              <w:spacing w:before="213" w:line="230" w:lineRule="auto"/>
              <w:ind w:left="58"/>
              <w:rPr>
                <w:sz w:val="20"/>
                <w:szCs w:val="20"/>
              </w:rPr>
            </w:pPr>
            <w:r>
              <w:rPr>
                <w:b/>
                <w:bCs/>
                <w:spacing w:val="2"/>
                <w:sz w:val="20"/>
                <w:szCs w:val="20"/>
              </w:rPr>
              <w:t>形态</w:t>
            </w:r>
          </w:p>
        </w:tc>
        <w:tc>
          <w:tcPr>
            <w:tcW w:w="2246" w:type="dxa"/>
            <w:tcBorders>
              <w:top w:val="single" w:color="000000" w:sz="10" w:space="0"/>
            </w:tcBorders>
            <w:vAlign w:val="top"/>
          </w:tcPr>
          <w:p w14:paraId="16C3004D">
            <w:pPr>
              <w:pStyle w:val="6"/>
              <w:spacing w:before="214" w:line="228" w:lineRule="auto"/>
              <w:ind w:left="707"/>
              <w:rPr>
                <w:sz w:val="20"/>
                <w:szCs w:val="20"/>
              </w:rPr>
            </w:pPr>
            <w:r>
              <w:rPr>
                <w:b/>
                <w:bCs/>
                <w:spacing w:val="6"/>
                <w:sz w:val="20"/>
                <w:szCs w:val="20"/>
              </w:rPr>
              <w:t>主要成分</w:t>
            </w:r>
          </w:p>
        </w:tc>
        <w:tc>
          <w:tcPr>
            <w:tcW w:w="1842" w:type="dxa"/>
            <w:tcBorders>
              <w:top w:val="single" w:color="000000" w:sz="10" w:space="0"/>
            </w:tcBorders>
            <w:vAlign w:val="top"/>
          </w:tcPr>
          <w:p w14:paraId="2FC727EB">
            <w:pPr>
              <w:pStyle w:val="6"/>
              <w:spacing w:before="214" w:line="228" w:lineRule="auto"/>
              <w:ind w:left="505"/>
              <w:rPr>
                <w:sz w:val="20"/>
                <w:szCs w:val="20"/>
              </w:rPr>
            </w:pPr>
            <w:r>
              <w:rPr>
                <w:b/>
                <w:bCs/>
                <w:spacing w:val="6"/>
                <w:sz w:val="20"/>
                <w:szCs w:val="20"/>
              </w:rPr>
              <w:t>有害成分</w:t>
            </w:r>
          </w:p>
        </w:tc>
        <w:tc>
          <w:tcPr>
            <w:tcW w:w="563" w:type="dxa"/>
            <w:tcBorders>
              <w:top w:val="single" w:color="000000" w:sz="10" w:space="0"/>
            </w:tcBorders>
            <w:vAlign w:val="top"/>
          </w:tcPr>
          <w:p w14:paraId="7847FF09">
            <w:pPr>
              <w:pStyle w:val="6"/>
              <w:spacing w:before="64" w:line="252" w:lineRule="auto"/>
              <w:ind w:left="76" w:right="69"/>
              <w:rPr>
                <w:sz w:val="20"/>
                <w:szCs w:val="20"/>
              </w:rPr>
            </w:pPr>
            <w:r>
              <w:rPr>
                <w:b/>
                <w:bCs/>
                <w:spacing w:val="3"/>
                <w:sz w:val="20"/>
                <w:szCs w:val="20"/>
              </w:rPr>
              <w:t>产废</w:t>
            </w:r>
            <w:r>
              <w:rPr>
                <w:sz w:val="20"/>
                <w:szCs w:val="20"/>
              </w:rPr>
              <w:t xml:space="preserve"> </w:t>
            </w:r>
            <w:r>
              <w:rPr>
                <w:b/>
                <w:bCs/>
                <w:spacing w:val="3"/>
                <w:sz w:val="20"/>
                <w:szCs w:val="20"/>
              </w:rPr>
              <w:t>周期</w:t>
            </w:r>
          </w:p>
        </w:tc>
        <w:tc>
          <w:tcPr>
            <w:tcW w:w="648" w:type="dxa"/>
            <w:tcBorders>
              <w:top w:val="single" w:color="000000" w:sz="10" w:space="0"/>
            </w:tcBorders>
            <w:vAlign w:val="top"/>
          </w:tcPr>
          <w:p w14:paraId="75995F52">
            <w:pPr>
              <w:pStyle w:val="6"/>
              <w:spacing w:before="64" w:line="252" w:lineRule="auto"/>
              <w:ind w:left="120" w:right="110" w:firstLine="2"/>
              <w:rPr>
                <w:sz w:val="20"/>
                <w:szCs w:val="20"/>
              </w:rPr>
            </w:pPr>
            <w:r>
              <w:rPr>
                <w:b/>
                <w:bCs/>
                <w:spacing w:val="2"/>
                <w:sz w:val="20"/>
                <w:szCs w:val="20"/>
              </w:rPr>
              <w:t>危险</w:t>
            </w:r>
            <w:r>
              <w:rPr>
                <w:sz w:val="20"/>
                <w:szCs w:val="20"/>
              </w:rPr>
              <w:t xml:space="preserve"> </w:t>
            </w:r>
            <w:r>
              <w:rPr>
                <w:b/>
                <w:bCs/>
                <w:spacing w:val="3"/>
                <w:sz w:val="20"/>
                <w:szCs w:val="20"/>
              </w:rPr>
              <w:t>特性</w:t>
            </w:r>
          </w:p>
        </w:tc>
        <w:tc>
          <w:tcPr>
            <w:tcW w:w="939" w:type="dxa"/>
            <w:tcBorders>
              <w:top w:val="single" w:color="000000" w:sz="10" w:space="0"/>
              <w:right w:val="nil"/>
            </w:tcBorders>
            <w:vAlign w:val="top"/>
          </w:tcPr>
          <w:p w14:paraId="0FA8CC30">
            <w:pPr>
              <w:pStyle w:val="6"/>
              <w:spacing w:before="64" w:line="252" w:lineRule="auto"/>
              <w:ind w:left="264" w:right="48" w:hanging="209"/>
              <w:rPr>
                <w:sz w:val="20"/>
                <w:szCs w:val="20"/>
              </w:rPr>
            </w:pPr>
            <w:r>
              <w:rPr>
                <w:b/>
                <w:bCs/>
                <w:spacing w:val="6"/>
                <w:sz w:val="20"/>
                <w:szCs w:val="20"/>
              </w:rPr>
              <w:t>污染防治</w:t>
            </w:r>
            <w:r>
              <w:rPr>
                <w:sz w:val="20"/>
                <w:szCs w:val="20"/>
              </w:rPr>
              <w:t xml:space="preserve"> </w:t>
            </w:r>
            <w:r>
              <w:rPr>
                <w:b/>
                <w:bCs/>
                <w:spacing w:val="3"/>
                <w:sz w:val="20"/>
                <w:szCs w:val="20"/>
              </w:rPr>
              <w:t>措施</w:t>
            </w:r>
          </w:p>
        </w:tc>
      </w:tr>
      <w:tr w14:paraId="75AD36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6" w:hRule="atLeast"/>
        </w:trPr>
        <w:tc>
          <w:tcPr>
            <w:tcW w:w="363" w:type="dxa"/>
            <w:tcBorders>
              <w:left w:val="nil"/>
            </w:tcBorders>
            <w:vAlign w:val="top"/>
          </w:tcPr>
          <w:p w14:paraId="67174EFA">
            <w:pPr>
              <w:spacing w:before="274" w:line="195" w:lineRule="auto"/>
              <w:ind w:left="15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445" w:type="dxa"/>
            <w:vAlign w:val="top"/>
          </w:tcPr>
          <w:p w14:paraId="19B82F34">
            <w:pPr>
              <w:pStyle w:val="6"/>
              <w:spacing w:before="103" w:line="255" w:lineRule="auto"/>
              <w:ind w:left="213" w:right="91" w:hanging="114"/>
              <w:rPr>
                <w:sz w:val="20"/>
                <w:szCs w:val="20"/>
              </w:rPr>
            </w:pPr>
            <w:r>
              <w:rPr>
                <w:spacing w:val="8"/>
                <w:sz w:val="20"/>
                <w:szCs w:val="20"/>
              </w:rPr>
              <w:t>煤气冷凝废水</w:t>
            </w:r>
            <w:r>
              <w:rPr>
                <w:sz w:val="20"/>
                <w:szCs w:val="20"/>
              </w:rPr>
              <w:t xml:space="preserve"> </w:t>
            </w:r>
            <w:r>
              <w:rPr>
                <w:spacing w:val="5"/>
                <w:sz w:val="20"/>
                <w:szCs w:val="20"/>
              </w:rPr>
              <w:t>隔油池浮渣</w:t>
            </w:r>
          </w:p>
        </w:tc>
        <w:tc>
          <w:tcPr>
            <w:tcW w:w="1639" w:type="dxa"/>
            <w:vAlign w:val="top"/>
          </w:tcPr>
          <w:p w14:paraId="3F79B899">
            <w:pPr>
              <w:pStyle w:val="6"/>
              <w:spacing w:before="103" w:line="255" w:lineRule="auto"/>
              <w:ind w:left="613" w:right="12" w:hanging="597"/>
              <w:rPr>
                <w:sz w:val="20"/>
                <w:szCs w:val="20"/>
              </w:rPr>
            </w:pPr>
            <w:r>
              <w:rPr>
                <w:rFonts w:ascii="Times New Roman" w:hAnsi="Times New Roman" w:eastAsia="Times New Roman" w:cs="Times New Roman"/>
                <w:sz w:val="20"/>
                <w:szCs w:val="20"/>
              </w:rPr>
              <w:t>HW</w:t>
            </w:r>
            <w:r>
              <w:rPr>
                <w:rFonts w:ascii="Times New Roman" w:hAnsi="Times New Roman" w:eastAsia="Times New Roman" w:cs="Times New Roman"/>
                <w:spacing w:val="2"/>
                <w:sz w:val="20"/>
                <w:szCs w:val="20"/>
              </w:rPr>
              <w:t xml:space="preserve">11 </w:t>
            </w:r>
            <w:r>
              <w:rPr>
                <w:spacing w:val="2"/>
                <w:sz w:val="20"/>
                <w:szCs w:val="20"/>
              </w:rPr>
              <w:t>精（蒸）馏</w:t>
            </w:r>
            <w:r>
              <w:rPr>
                <w:spacing w:val="4"/>
                <w:sz w:val="20"/>
                <w:szCs w:val="20"/>
              </w:rPr>
              <w:t xml:space="preserve"> 残渣</w:t>
            </w:r>
          </w:p>
        </w:tc>
        <w:tc>
          <w:tcPr>
            <w:tcW w:w="1071" w:type="dxa"/>
            <w:vAlign w:val="top"/>
          </w:tcPr>
          <w:p w14:paraId="50B33FFF">
            <w:pPr>
              <w:spacing w:before="288"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451-003-11</w:t>
            </w:r>
          </w:p>
        </w:tc>
        <w:tc>
          <w:tcPr>
            <w:tcW w:w="667" w:type="dxa"/>
            <w:vAlign w:val="top"/>
          </w:tcPr>
          <w:p w14:paraId="09FB71DE">
            <w:pPr>
              <w:spacing w:before="288" w:line="195" w:lineRule="auto"/>
              <w:ind w:left="1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2.35</w:t>
            </w:r>
          </w:p>
        </w:tc>
        <w:tc>
          <w:tcPr>
            <w:tcW w:w="2072" w:type="dxa"/>
            <w:vAlign w:val="top"/>
          </w:tcPr>
          <w:p w14:paraId="0F5ED7BB">
            <w:pPr>
              <w:pStyle w:val="6"/>
              <w:spacing w:before="252" w:line="228" w:lineRule="auto"/>
              <w:ind w:left="96"/>
              <w:rPr>
                <w:sz w:val="20"/>
                <w:szCs w:val="20"/>
              </w:rPr>
            </w:pPr>
            <w:r>
              <w:rPr>
                <w:spacing w:val="8"/>
                <w:sz w:val="20"/>
                <w:szCs w:val="20"/>
              </w:rPr>
              <w:t>煤气冷凝废水隔油池</w:t>
            </w:r>
          </w:p>
        </w:tc>
        <w:tc>
          <w:tcPr>
            <w:tcW w:w="524" w:type="dxa"/>
            <w:vAlign w:val="top"/>
          </w:tcPr>
          <w:p w14:paraId="7B6DFFEB">
            <w:pPr>
              <w:pStyle w:val="6"/>
              <w:spacing w:before="253" w:line="228" w:lineRule="auto"/>
              <w:ind w:left="58"/>
              <w:rPr>
                <w:sz w:val="20"/>
                <w:szCs w:val="20"/>
              </w:rPr>
            </w:pPr>
            <w:r>
              <w:rPr>
                <w:spacing w:val="3"/>
                <w:sz w:val="20"/>
                <w:szCs w:val="20"/>
              </w:rPr>
              <w:t>液态</w:t>
            </w:r>
          </w:p>
        </w:tc>
        <w:tc>
          <w:tcPr>
            <w:tcW w:w="2246" w:type="dxa"/>
            <w:vAlign w:val="top"/>
          </w:tcPr>
          <w:p w14:paraId="330C955E">
            <w:pPr>
              <w:pStyle w:val="6"/>
              <w:spacing w:before="252" w:line="229" w:lineRule="auto"/>
              <w:ind w:left="919"/>
              <w:rPr>
                <w:sz w:val="20"/>
                <w:szCs w:val="20"/>
              </w:rPr>
            </w:pPr>
            <w:r>
              <w:rPr>
                <w:spacing w:val="4"/>
                <w:sz w:val="20"/>
                <w:szCs w:val="20"/>
              </w:rPr>
              <w:t>焦油</w:t>
            </w:r>
          </w:p>
        </w:tc>
        <w:tc>
          <w:tcPr>
            <w:tcW w:w="1842" w:type="dxa"/>
            <w:vAlign w:val="top"/>
          </w:tcPr>
          <w:p w14:paraId="19377593">
            <w:pPr>
              <w:pStyle w:val="6"/>
              <w:spacing w:before="252" w:line="229" w:lineRule="auto"/>
              <w:ind w:left="716"/>
              <w:rPr>
                <w:sz w:val="20"/>
                <w:szCs w:val="20"/>
              </w:rPr>
            </w:pPr>
            <w:r>
              <w:rPr>
                <w:spacing w:val="4"/>
                <w:sz w:val="20"/>
                <w:szCs w:val="20"/>
              </w:rPr>
              <w:t>焦油</w:t>
            </w:r>
          </w:p>
        </w:tc>
        <w:tc>
          <w:tcPr>
            <w:tcW w:w="563" w:type="dxa"/>
            <w:vAlign w:val="top"/>
          </w:tcPr>
          <w:p w14:paraId="2AC66EF4">
            <w:pPr>
              <w:pStyle w:val="6"/>
              <w:spacing w:before="253" w:line="228" w:lineRule="auto"/>
              <w:ind w:left="77"/>
              <w:rPr>
                <w:sz w:val="20"/>
                <w:szCs w:val="20"/>
              </w:rPr>
            </w:pPr>
            <w:r>
              <w:rPr>
                <w:spacing w:val="4"/>
                <w:sz w:val="20"/>
                <w:szCs w:val="20"/>
              </w:rPr>
              <w:t>连续</w:t>
            </w:r>
          </w:p>
        </w:tc>
        <w:tc>
          <w:tcPr>
            <w:tcW w:w="648" w:type="dxa"/>
            <w:vAlign w:val="top"/>
          </w:tcPr>
          <w:p w14:paraId="65F65C87">
            <w:pPr>
              <w:spacing w:before="277" w:line="192" w:lineRule="auto"/>
              <w:ind w:left="265"/>
              <w:rPr>
                <w:rFonts w:ascii="Times New Roman" w:hAnsi="Times New Roman" w:eastAsia="Times New Roman" w:cs="Times New Roman"/>
                <w:sz w:val="20"/>
                <w:szCs w:val="20"/>
              </w:rPr>
            </w:pPr>
            <w:r>
              <w:rPr>
                <w:rFonts w:ascii="Times New Roman" w:hAnsi="Times New Roman" w:eastAsia="Times New Roman" w:cs="Times New Roman"/>
                <w:sz w:val="20"/>
                <w:szCs w:val="20"/>
              </w:rPr>
              <w:t>T</w:t>
            </w:r>
          </w:p>
        </w:tc>
        <w:tc>
          <w:tcPr>
            <w:tcW w:w="939" w:type="dxa"/>
            <w:tcBorders>
              <w:right w:val="nil"/>
            </w:tcBorders>
            <w:vAlign w:val="top"/>
          </w:tcPr>
          <w:p w14:paraId="712BDBA5">
            <w:pPr>
              <w:rPr>
                <w:rFonts w:ascii="Arial"/>
                <w:sz w:val="21"/>
              </w:rPr>
            </w:pPr>
          </w:p>
        </w:tc>
      </w:tr>
      <w:tr w14:paraId="5CCEF4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1" w:hRule="atLeast"/>
        </w:trPr>
        <w:tc>
          <w:tcPr>
            <w:tcW w:w="363" w:type="dxa"/>
            <w:tcBorders>
              <w:left w:val="nil"/>
            </w:tcBorders>
            <w:vAlign w:val="top"/>
          </w:tcPr>
          <w:p w14:paraId="534847DF">
            <w:pPr>
              <w:spacing w:before="265" w:line="195" w:lineRule="auto"/>
              <w:ind w:left="133"/>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445" w:type="dxa"/>
            <w:vAlign w:val="top"/>
          </w:tcPr>
          <w:p w14:paraId="76F019F1">
            <w:pPr>
              <w:pStyle w:val="6"/>
              <w:spacing w:before="243" w:line="228" w:lineRule="auto"/>
              <w:ind w:left="307"/>
              <w:rPr>
                <w:sz w:val="20"/>
                <w:szCs w:val="20"/>
              </w:rPr>
            </w:pPr>
            <w:r>
              <w:rPr>
                <w:spacing w:val="7"/>
                <w:sz w:val="20"/>
                <w:szCs w:val="20"/>
              </w:rPr>
              <w:t>焦油杂质</w:t>
            </w:r>
          </w:p>
        </w:tc>
        <w:tc>
          <w:tcPr>
            <w:tcW w:w="1639" w:type="dxa"/>
            <w:vAlign w:val="top"/>
          </w:tcPr>
          <w:p w14:paraId="45EC5137">
            <w:pPr>
              <w:pStyle w:val="6"/>
              <w:spacing w:before="95" w:line="247" w:lineRule="auto"/>
              <w:ind w:left="613" w:right="12" w:hanging="597"/>
              <w:rPr>
                <w:sz w:val="20"/>
                <w:szCs w:val="20"/>
              </w:rPr>
            </w:pPr>
            <w:r>
              <w:rPr>
                <w:rFonts w:ascii="Times New Roman" w:hAnsi="Times New Roman" w:eastAsia="Times New Roman" w:cs="Times New Roman"/>
                <w:sz w:val="20"/>
                <w:szCs w:val="20"/>
              </w:rPr>
              <w:t>HW</w:t>
            </w:r>
            <w:r>
              <w:rPr>
                <w:rFonts w:ascii="Times New Roman" w:hAnsi="Times New Roman" w:eastAsia="Times New Roman" w:cs="Times New Roman"/>
                <w:spacing w:val="2"/>
                <w:sz w:val="20"/>
                <w:szCs w:val="20"/>
              </w:rPr>
              <w:t xml:space="preserve">11 </w:t>
            </w:r>
            <w:r>
              <w:rPr>
                <w:spacing w:val="2"/>
                <w:sz w:val="20"/>
                <w:szCs w:val="20"/>
              </w:rPr>
              <w:t>精（蒸）馏</w:t>
            </w:r>
            <w:r>
              <w:rPr>
                <w:spacing w:val="4"/>
                <w:sz w:val="20"/>
                <w:szCs w:val="20"/>
              </w:rPr>
              <w:t xml:space="preserve"> 残渣</w:t>
            </w:r>
          </w:p>
        </w:tc>
        <w:tc>
          <w:tcPr>
            <w:tcW w:w="1071" w:type="dxa"/>
            <w:vAlign w:val="top"/>
          </w:tcPr>
          <w:p w14:paraId="1D7C5D90">
            <w:pPr>
              <w:spacing w:before="280"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451-003-11</w:t>
            </w:r>
          </w:p>
        </w:tc>
        <w:tc>
          <w:tcPr>
            <w:tcW w:w="667" w:type="dxa"/>
            <w:vAlign w:val="top"/>
          </w:tcPr>
          <w:p w14:paraId="6ACA7291">
            <w:pPr>
              <w:spacing w:before="280"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12.27</w:t>
            </w:r>
          </w:p>
        </w:tc>
        <w:tc>
          <w:tcPr>
            <w:tcW w:w="2072" w:type="dxa"/>
            <w:vAlign w:val="top"/>
          </w:tcPr>
          <w:p w14:paraId="3B0AA493">
            <w:pPr>
              <w:pStyle w:val="6"/>
              <w:spacing w:before="244" w:line="228" w:lineRule="auto"/>
              <w:ind w:left="540"/>
              <w:rPr>
                <w:sz w:val="20"/>
                <w:szCs w:val="20"/>
              </w:rPr>
            </w:pPr>
            <w:r>
              <w:rPr>
                <w:spacing w:val="3"/>
                <w:sz w:val="20"/>
                <w:szCs w:val="20"/>
              </w:rPr>
              <w:t>电捕焦油器</w:t>
            </w:r>
          </w:p>
        </w:tc>
        <w:tc>
          <w:tcPr>
            <w:tcW w:w="524" w:type="dxa"/>
            <w:vAlign w:val="top"/>
          </w:tcPr>
          <w:p w14:paraId="2D4B34B5">
            <w:pPr>
              <w:pStyle w:val="6"/>
              <w:spacing w:before="244" w:line="228" w:lineRule="auto"/>
              <w:ind w:left="74"/>
              <w:rPr>
                <w:sz w:val="20"/>
                <w:szCs w:val="20"/>
              </w:rPr>
            </w:pPr>
            <w:r>
              <w:rPr>
                <w:spacing w:val="-5"/>
                <w:sz w:val="20"/>
                <w:szCs w:val="20"/>
              </w:rPr>
              <w:t>固态</w:t>
            </w:r>
          </w:p>
        </w:tc>
        <w:tc>
          <w:tcPr>
            <w:tcW w:w="2246" w:type="dxa"/>
            <w:vAlign w:val="top"/>
          </w:tcPr>
          <w:p w14:paraId="02CF27B1">
            <w:pPr>
              <w:pStyle w:val="6"/>
              <w:spacing w:before="243" w:line="228" w:lineRule="auto"/>
              <w:ind w:left="601"/>
              <w:rPr>
                <w:sz w:val="20"/>
                <w:szCs w:val="20"/>
              </w:rPr>
            </w:pPr>
            <w:r>
              <w:rPr>
                <w:spacing w:val="8"/>
                <w:sz w:val="20"/>
                <w:szCs w:val="20"/>
              </w:rPr>
              <w:t>粉尘、焦油</w:t>
            </w:r>
          </w:p>
        </w:tc>
        <w:tc>
          <w:tcPr>
            <w:tcW w:w="1842" w:type="dxa"/>
            <w:vAlign w:val="top"/>
          </w:tcPr>
          <w:p w14:paraId="67DA43B2">
            <w:pPr>
              <w:pStyle w:val="6"/>
              <w:spacing w:before="244" w:line="229" w:lineRule="auto"/>
              <w:ind w:left="716"/>
              <w:rPr>
                <w:sz w:val="20"/>
                <w:szCs w:val="20"/>
              </w:rPr>
            </w:pPr>
            <w:r>
              <w:rPr>
                <w:spacing w:val="4"/>
                <w:sz w:val="20"/>
                <w:szCs w:val="20"/>
              </w:rPr>
              <w:t>焦油</w:t>
            </w:r>
          </w:p>
        </w:tc>
        <w:tc>
          <w:tcPr>
            <w:tcW w:w="563" w:type="dxa"/>
            <w:vAlign w:val="top"/>
          </w:tcPr>
          <w:p w14:paraId="70DB819E">
            <w:pPr>
              <w:pStyle w:val="6"/>
              <w:spacing w:before="243" w:line="228" w:lineRule="auto"/>
              <w:ind w:left="76"/>
              <w:rPr>
                <w:sz w:val="20"/>
                <w:szCs w:val="20"/>
              </w:rPr>
            </w:pPr>
            <w:r>
              <w:rPr>
                <w:spacing w:val="4"/>
                <w:sz w:val="20"/>
                <w:szCs w:val="20"/>
              </w:rPr>
              <w:t>每天</w:t>
            </w:r>
          </w:p>
        </w:tc>
        <w:tc>
          <w:tcPr>
            <w:tcW w:w="648" w:type="dxa"/>
            <w:vAlign w:val="top"/>
          </w:tcPr>
          <w:p w14:paraId="2335DF38">
            <w:pPr>
              <w:spacing w:before="268" w:line="192" w:lineRule="auto"/>
              <w:ind w:left="265"/>
              <w:rPr>
                <w:rFonts w:ascii="Times New Roman" w:hAnsi="Times New Roman" w:eastAsia="Times New Roman" w:cs="Times New Roman"/>
                <w:sz w:val="20"/>
                <w:szCs w:val="20"/>
              </w:rPr>
            </w:pPr>
            <w:r>
              <w:rPr>
                <w:rFonts w:ascii="Times New Roman" w:hAnsi="Times New Roman" w:eastAsia="Times New Roman" w:cs="Times New Roman"/>
                <w:sz w:val="20"/>
                <w:szCs w:val="20"/>
              </w:rPr>
              <w:t>T</w:t>
            </w:r>
          </w:p>
        </w:tc>
        <w:tc>
          <w:tcPr>
            <w:tcW w:w="939" w:type="dxa"/>
            <w:tcBorders>
              <w:right w:val="nil"/>
            </w:tcBorders>
            <w:vAlign w:val="top"/>
          </w:tcPr>
          <w:p w14:paraId="113C7222">
            <w:pPr>
              <w:rPr>
                <w:rFonts w:ascii="Arial"/>
                <w:sz w:val="21"/>
              </w:rPr>
            </w:pPr>
          </w:p>
        </w:tc>
      </w:tr>
      <w:tr w14:paraId="0683AD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6" w:hRule="atLeast"/>
        </w:trPr>
        <w:tc>
          <w:tcPr>
            <w:tcW w:w="363" w:type="dxa"/>
            <w:tcBorders>
              <w:left w:val="nil"/>
            </w:tcBorders>
            <w:vAlign w:val="top"/>
          </w:tcPr>
          <w:p w14:paraId="684575FD">
            <w:pPr>
              <w:spacing w:before="248" w:line="195" w:lineRule="auto"/>
              <w:ind w:left="137"/>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445" w:type="dxa"/>
            <w:vAlign w:val="top"/>
          </w:tcPr>
          <w:p w14:paraId="2BF77573">
            <w:pPr>
              <w:pStyle w:val="6"/>
              <w:spacing w:before="226" w:line="228" w:lineRule="auto"/>
              <w:ind w:left="308"/>
              <w:rPr>
                <w:sz w:val="20"/>
                <w:szCs w:val="20"/>
              </w:rPr>
            </w:pPr>
            <w:r>
              <w:rPr>
                <w:spacing w:val="7"/>
                <w:sz w:val="20"/>
                <w:szCs w:val="20"/>
              </w:rPr>
              <w:t>过滤杂质</w:t>
            </w:r>
          </w:p>
        </w:tc>
        <w:tc>
          <w:tcPr>
            <w:tcW w:w="1639" w:type="dxa"/>
            <w:vAlign w:val="top"/>
          </w:tcPr>
          <w:p w14:paraId="57794719">
            <w:pPr>
              <w:pStyle w:val="6"/>
              <w:spacing w:before="85" w:line="231" w:lineRule="auto"/>
              <w:ind w:left="613" w:right="12" w:hanging="597"/>
              <w:rPr>
                <w:sz w:val="20"/>
                <w:szCs w:val="20"/>
              </w:rPr>
            </w:pPr>
            <w:r>
              <w:rPr>
                <w:rFonts w:ascii="Times New Roman" w:hAnsi="Times New Roman" w:eastAsia="Times New Roman" w:cs="Times New Roman"/>
                <w:sz w:val="20"/>
                <w:szCs w:val="20"/>
              </w:rPr>
              <w:t>HW</w:t>
            </w:r>
            <w:r>
              <w:rPr>
                <w:rFonts w:ascii="Times New Roman" w:hAnsi="Times New Roman" w:eastAsia="Times New Roman" w:cs="Times New Roman"/>
                <w:spacing w:val="2"/>
                <w:sz w:val="20"/>
                <w:szCs w:val="20"/>
              </w:rPr>
              <w:t xml:space="preserve">11 </w:t>
            </w:r>
            <w:r>
              <w:rPr>
                <w:spacing w:val="2"/>
                <w:sz w:val="20"/>
                <w:szCs w:val="20"/>
              </w:rPr>
              <w:t>精（蒸）馏</w:t>
            </w:r>
            <w:r>
              <w:rPr>
                <w:spacing w:val="4"/>
                <w:sz w:val="20"/>
                <w:szCs w:val="20"/>
              </w:rPr>
              <w:t xml:space="preserve"> 残渣</w:t>
            </w:r>
          </w:p>
        </w:tc>
        <w:tc>
          <w:tcPr>
            <w:tcW w:w="1071" w:type="dxa"/>
            <w:vAlign w:val="top"/>
          </w:tcPr>
          <w:p w14:paraId="2B0D9093">
            <w:pPr>
              <w:spacing w:before="262"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451-003-11</w:t>
            </w:r>
          </w:p>
        </w:tc>
        <w:tc>
          <w:tcPr>
            <w:tcW w:w="667" w:type="dxa"/>
            <w:vAlign w:val="top"/>
          </w:tcPr>
          <w:p w14:paraId="09DF6365">
            <w:pPr>
              <w:spacing w:before="262" w:line="195" w:lineRule="auto"/>
              <w:ind w:left="1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2.57</w:t>
            </w:r>
          </w:p>
        </w:tc>
        <w:tc>
          <w:tcPr>
            <w:tcW w:w="2072" w:type="dxa"/>
            <w:vAlign w:val="top"/>
          </w:tcPr>
          <w:p w14:paraId="19484623">
            <w:pPr>
              <w:pStyle w:val="6"/>
              <w:spacing w:before="227" w:line="228" w:lineRule="auto"/>
              <w:ind w:left="307"/>
              <w:rPr>
                <w:sz w:val="20"/>
                <w:szCs w:val="20"/>
              </w:rPr>
            </w:pPr>
            <w:r>
              <w:rPr>
                <w:spacing w:val="8"/>
                <w:sz w:val="20"/>
                <w:szCs w:val="20"/>
              </w:rPr>
              <w:t>煤气柜后过滤器</w:t>
            </w:r>
          </w:p>
        </w:tc>
        <w:tc>
          <w:tcPr>
            <w:tcW w:w="524" w:type="dxa"/>
            <w:vAlign w:val="top"/>
          </w:tcPr>
          <w:p w14:paraId="7545C13A">
            <w:pPr>
              <w:pStyle w:val="6"/>
              <w:spacing w:before="227" w:line="228" w:lineRule="auto"/>
              <w:ind w:left="74"/>
              <w:rPr>
                <w:sz w:val="20"/>
                <w:szCs w:val="20"/>
              </w:rPr>
            </w:pPr>
            <w:r>
              <w:rPr>
                <w:spacing w:val="-5"/>
                <w:sz w:val="20"/>
                <w:szCs w:val="20"/>
              </w:rPr>
              <w:t>固态</w:t>
            </w:r>
          </w:p>
        </w:tc>
        <w:tc>
          <w:tcPr>
            <w:tcW w:w="2246" w:type="dxa"/>
            <w:vAlign w:val="top"/>
          </w:tcPr>
          <w:p w14:paraId="3B347E03">
            <w:pPr>
              <w:pStyle w:val="6"/>
              <w:spacing w:before="226" w:line="228" w:lineRule="auto"/>
              <w:ind w:left="601"/>
              <w:rPr>
                <w:sz w:val="20"/>
                <w:szCs w:val="20"/>
              </w:rPr>
            </w:pPr>
            <w:r>
              <w:rPr>
                <w:spacing w:val="8"/>
                <w:sz w:val="20"/>
                <w:szCs w:val="20"/>
              </w:rPr>
              <w:t>粉尘、焦油</w:t>
            </w:r>
          </w:p>
        </w:tc>
        <w:tc>
          <w:tcPr>
            <w:tcW w:w="1842" w:type="dxa"/>
            <w:vAlign w:val="top"/>
          </w:tcPr>
          <w:p w14:paraId="2F926169">
            <w:pPr>
              <w:pStyle w:val="6"/>
              <w:spacing w:before="227" w:line="229" w:lineRule="auto"/>
              <w:ind w:left="716"/>
              <w:rPr>
                <w:sz w:val="20"/>
                <w:szCs w:val="20"/>
              </w:rPr>
            </w:pPr>
            <w:r>
              <w:rPr>
                <w:spacing w:val="4"/>
                <w:sz w:val="20"/>
                <w:szCs w:val="20"/>
              </w:rPr>
              <w:t>焦油</w:t>
            </w:r>
          </w:p>
        </w:tc>
        <w:tc>
          <w:tcPr>
            <w:tcW w:w="563" w:type="dxa"/>
            <w:vAlign w:val="top"/>
          </w:tcPr>
          <w:p w14:paraId="02B837AD">
            <w:pPr>
              <w:pStyle w:val="6"/>
              <w:spacing w:before="226" w:line="228" w:lineRule="auto"/>
              <w:ind w:left="76"/>
              <w:rPr>
                <w:sz w:val="20"/>
                <w:szCs w:val="20"/>
              </w:rPr>
            </w:pPr>
            <w:r>
              <w:rPr>
                <w:spacing w:val="4"/>
                <w:sz w:val="20"/>
                <w:szCs w:val="20"/>
              </w:rPr>
              <w:t>每天</w:t>
            </w:r>
          </w:p>
        </w:tc>
        <w:tc>
          <w:tcPr>
            <w:tcW w:w="648" w:type="dxa"/>
            <w:vAlign w:val="top"/>
          </w:tcPr>
          <w:p w14:paraId="6F85E64B">
            <w:pPr>
              <w:spacing w:before="251" w:line="192" w:lineRule="auto"/>
              <w:ind w:left="265"/>
              <w:rPr>
                <w:rFonts w:ascii="Times New Roman" w:hAnsi="Times New Roman" w:eastAsia="Times New Roman" w:cs="Times New Roman"/>
                <w:sz w:val="20"/>
                <w:szCs w:val="20"/>
              </w:rPr>
            </w:pPr>
            <w:r>
              <w:rPr>
                <w:rFonts w:ascii="Times New Roman" w:hAnsi="Times New Roman" w:eastAsia="Times New Roman" w:cs="Times New Roman"/>
                <w:sz w:val="20"/>
                <w:szCs w:val="20"/>
              </w:rPr>
              <w:t>T</w:t>
            </w:r>
          </w:p>
        </w:tc>
        <w:tc>
          <w:tcPr>
            <w:tcW w:w="939" w:type="dxa"/>
            <w:tcBorders>
              <w:right w:val="nil"/>
            </w:tcBorders>
            <w:vAlign w:val="top"/>
          </w:tcPr>
          <w:p w14:paraId="52F88160">
            <w:pPr>
              <w:rPr>
                <w:rFonts w:ascii="Arial"/>
                <w:sz w:val="21"/>
              </w:rPr>
            </w:pPr>
          </w:p>
        </w:tc>
      </w:tr>
      <w:tr w14:paraId="4B2BFF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363" w:type="dxa"/>
            <w:tcBorders>
              <w:left w:val="nil"/>
            </w:tcBorders>
            <w:vAlign w:val="top"/>
          </w:tcPr>
          <w:p w14:paraId="1AD673C4">
            <w:pPr>
              <w:spacing w:before="120"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445" w:type="dxa"/>
            <w:vAlign w:val="top"/>
          </w:tcPr>
          <w:p w14:paraId="5F76FFD6">
            <w:pPr>
              <w:pStyle w:val="6"/>
              <w:spacing w:before="91" w:line="214" w:lineRule="auto"/>
              <w:ind w:left="97"/>
              <w:rPr>
                <w:sz w:val="20"/>
                <w:szCs w:val="20"/>
              </w:rPr>
            </w:pPr>
            <w:r>
              <w:rPr>
                <w:spacing w:val="8"/>
                <w:sz w:val="20"/>
                <w:szCs w:val="20"/>
              </w:rPr>
              <w:t>废脱硝催化剂</w:t>
            </w:r>
          </w:p>
        </w:tc>
        <w:tc>
          <w:tcPr>
            <w:tcW w:w="1639" w:type="dxa"/>
            <w:vAlign w:val="top"/>
          </w:tcPr>
          <w:p w14:paraId="2E3759C6">
            <w:pPr>
              <w:pStyle w:val="6"/>
              <w:spacing w:before="91" w:line="214" w:lineRule="auto"/>
              <w:ind w:left="93"/>
              <w:rPr>
                <w:sz w:val="20"/>
                <w:szCs w:val="20"/>
              </w:rPr>
            </w:pPr>
            <w:r>
              <w:rPr>
                <w:rFonts w:ascii="Times New Roman" w:hAnsi="Times New Roman" w:eastAsia="Times New Roman" w:cs="Times New Roman"/>
                <w:sz w:val="20"/>
                <w:szCs w:val="20"/>
              </w:rPr>
              <w:t>HW</w:t>
            </w:r>
            <w:r>
              <w:rPr>
                <w:rFonts w:ascii="Times New Roman" w:hAnsi="Times New Roman" w:eastAsia="Times New Roman" w:cs="Times New Roman"/>
                <w:spacing w:val="9"/>
                <w:sz w:val="20"/>
                <w:szCs w:val="20"/>
              </w:rPr>
              <w:t xml:space="preserve">50 </w:t>
            </w:r>
            <w:r>
              <w:rPr>
                <w:spacing w:val="9"/>
                <w:sz w:val="20"/>
                <w:szCs w:val="20"/>
              </w:rPr>
              <w:t>废催化剂</w:t>
            </w:r>
          </w:p>
        </w:tc>
        <w:tc>
          <w:tcPr>
            <w:tcW w:w="1071" w:type="dxa"/>
            <w:vAlign w:val="top"/>
          </w:tcPr>
          <w:p w14:paraId="019B6562">
            <w:pPr>
              <w:spacing w:before="127"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772-007-50</w:t>
            </w:r>
          </w:p>
        </w:tc>
        <w:tc>
          <w:tcPr>
            <w:tcW w:w="667" w:type="dxa"/>
            <w:vAlign w:val="top"/>
          </w:tcPr>
          <w:p w14:paraId="15E206E5">
            <w:pPr>
              <w:spacing w:before="127"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w:t>
            </w:r>
          </w:p>
        </w:tc>
        <w:tc>
          <w:tcPr>
            <w:tcW w:w="2072" w:type="dxa"/>
            <w:vAlign w:val="top"/>
          </w:tcPr>
          <w:p w14:paraId="327B7ADC">
            <w:pPr>
              <w:pStyle w:val="6"/>
              <w:spacing w:before="91" w:line="214" w:lineRule="auto"/>
              <w:ind w:left="400"/>
              <w:rPr>
                <w:sz w:val="20"/>
                <w:szCs w:val="20"/>
              </w:rPr>
            </w:pPr>
            <w:r>
              <w:rPr>
                <w:rFonts w:ascii="Times New Roman" w:hAnsi="Times New Roman" w:eastAsia="Times New Roman" w:cs="Times New Roman"/>
                <w:sz w:val="20"/>
                <w:szCs w:val="20"/>
              </w:rPr>
              <w:t>SCR</w:t>
            </w:r>
            <w:r>
              <w:rPr>
                <w:rFonts w:ascii="Times New Roman" w:hAnsi="Times New Roman" w:eastAsia="Times New Roman" w:cs="Times New Roman"/>
                <w:spacing w:val="9"/>
                <w:sz w:val="20"/>
                <w:szCs w:val="20"/>
              </w:rPr>
              <w:t xml:space="preserve"> </w:t>
            </w:r>
            <w:r>
              <w:rPr>
                <w:spacing w:val="9"/>
                <w:sz w:val="20"/>
                <w:szCs w:val="20"/>
              </w:rPr>
              <w:t>脱硝装置</w:t>
            </w:r>
          </w:p>
        </w:tc>
        <w:tc>
          <w:tcPr>
            <w:tcW w:w="524" w:type="dxa"/>
            <w:vAlign w:val="top"/>
          </w:tcPr>
          <w:p w14:paraId="7972654F">
            <w:pPr>
              <w:pStyle w:val="6"/>
              <w:spacing w:before="91" w:line="214" w:lineRule="auto"/>
              <w:ind w:left="74"/>
              <w:rPr>
                <w:sz w:val="20"/>
                <w:szCs w:val="20"/>
              </w:rPr>
            </w:pPr>
            <w:r>
              <w:rPr>
                <w:spacing w:val="-5"/>
                <w:sz w:val="20"/>
                <w:szCs w:val="20"/>
              </w:rPr>
              <w:t>固态</w:t>
            </w:r>
          </w:p>
        </w:tc>
        <w:tc>
          <w:tcPr>
            <w:tcW w:w="2246" w:type="dxa"/>
            <w:vAlign w:val="top"/>
          </w:tcPr>
          <w:p w14:paraId="331C0B1D">
            <w:pPr>
              <w:pStyle w:val="6"/>
              <w:spacing w:before="123" w:line="184" w:lineRule="auto"/>
              <w:ind w:left="279"/>
              <w:rPr>
                <w:rFonts w:ascii="Times New Roman" w:hAnsi="Times New Roman" w:eastAsia="Times New Roman" w:cs="Times New Roman"/>
                <w:sz w:val="13"/>
                <w:szCs w:val="13"/>
              </w:rPr>
            </w:pPr>
            <w:r>
              <w:rPr>
                <w:rFonts w:ascii="Times New Roman" w:hAnsi="Times New Roman" w:eastAsia="Times New Roman" w:cs="Times New Roman"/>
                <w:spacing w:val="4"/>
                <w:sz w:val="20"/>
                <w:szCs w:val="20"/>
              </w:rPr>
              <w:t>V</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4"/>
                <w:sz w:val="20"/>
                <w:szCs w:val="20"/>
              </w:rPr>
              <w:t>O</w:t>
            </w:r>
            <w:r>
              <w:rPr>
                <w:rFonts w:ascii="Times New Roman" w:hAnsi="Times New Roman" w:eastAsia="Times New Roman" w:cs="Times New Roman"/>
                <w:spacing w:val="4"/>
                <w:position w:val="-1"/>
                <w:sz w:val="13"/>
                <w:szCs w:val="13"/>
              </w:rPr>
              <w:t>5</w:t>
            </w:r>
            <w:r>
              <w:rPr>
                <w:rFonts w:ascii="Times New Roman" w:hAnsi="Times New Roman" w:eastAsia="Times New Roman" w:cs="Times New Roman"/>
                <w:spacing w:val="-12"/>
                <w:position w:val="-1"/>
                <w:sz w:val="13"/>
                <w:szCs w:val="13"/>
              </w:rPr>
              <w:t xml:space="preserve"> </w:t>
            </w:r>
            <w:r>
              <w:rPr>
                <w:spacing w:val="4"/>
                <w:sz w:val="20"/>
                <w:szCs w:val="20"/>
              </w:rPr>
              <w:t>、</w:t>
            </w:r>
            <w:r>
              <w:rPr>
                <w:rFonts w:ascii="Times New Roman" w:hAnsi="Times New Roman" w:eastAsia="Times New Roman" w:cs="Times New Roman"/>
                <w:sz w:val="20"/>
                <w:szCs w:val="20"/>
              </w:rPr>
              <w:t>TiO</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9"/>
                <w:position w:val="-1"/>
                <w:sz w:val="13"/>
                <w:szCs w:val="13"/>
              </w:rPr>
              <w:t xml:space="preserve"> </w:t>
            </w:r>
            <w:r>
              <w:rPr>
                <w:spacing w:val="4"/>
                <w:sz w:val="20"/>
                <w:szCs w:val="20"/>
              </w:rPr>
              <w:t>、</w:t>
            </w:r>
            <w:r>
              <w:rPr>
                <w:rFonts w:ascii="Times New Roman" w:hAnsi="Times New Roman" w:eastAsia="Times New Roman" w:cs="Times New Roman"/>
                <w:sz w:val="20"/>
                <w:szCs w:val="20"/>
              </w:rPr>
              <w:t>WO</w:t>
            </w:r>
            <w:r>
              <w:rPr>
                <w:rFonts w:ascii="Times New Roman" w:hAnsi="Times New Roman" w:eastAsia="Times New Roman" w:cs="Times New Roman"/>
                <w:spacing w:val="4"/>
                <w:position w:val="-1"/>
                <w:sz w:val="13"/>
                <w:szCs w:val="13"/>
              </w:rPr>
              <w:t>3</w:t>
            </w:r>
          </w:p>
        </w:tc>
        <w:tc>
          <w:tcPr>
            <w:tcW w:w="1842" w:type="dxa"/>
            <w:vAlign w:val="top"/>
          </w:tcPr>
          <w:p w14:paraId="10DDABD9">
            <w:pPr>
              <w:pStyle w:val="6"/>
              <w:spacing w:before="123" w:line="184" w:lineRule="auto"/>
              <w:ind w:left="78"/>
              <w:rPr>
                <w:rFonts w:ascii="Times New Roman" w:hAnsi="Times New Roman" w:eastAsia="Times New Roman" w:cs="Times New Roman"/>
                <w:sz w:val="13"/>
                <w:szCs w:val="13"/>
              </w:rPr>
            </w:pPr>
            <w:r>
              <w:rPr>
                <w:rFonts w:ascii="Times New Roman" w:hAnsi="Times New Roman" w:eastAsia="Times New Roman" w:cs="Times New Roman"/>
                <w:spacing w:val="4"/>
                <w:sz w:val="20"/>
                <w:szCs w:val="20"/>
              </w:rPr>
              <w:t>V</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4"/>
                <w:sz w:val="20"/>
                <w:szCs w:val="20"/>
              </w:rPr>
              <w:t>O</w:t>
            </w:r>
            <w:r>
              <w:rPr>
                <w:rFonts w:ascii="Times New Roman" w:hAnsi="Times New Roman" w:eastAsia="Times New Roman" w:cs="Times New Roman"/>
                <w:spacing w:val="4"/>
                <w:position w:val="-1"/>
                <w:sz w:val="13"/>
                <w:szCs w:val="13"/>
              </w:rPr>
              <w:t>5</w:t>
            </w:r>
            <w:r>
              <w:rPr>
                <w:rFonts w:ascii="Times New Roman" w:hAnsi="Times New Roman" w:eastAsia="Times New Roman" w:cs="Times New Roman"/>
                <w:spacing w:val="-9"/>
                <w:position w:val="-1"/>
                <w:sz w:val="13"/>
                <w:szCs w:val="13"/>
              </w:rPr>
              <w:t xml:space="preserve"> </w:t>
            </w:r>
            <w:r>
              <w:rPr>
                <w:spacing w:val="4"/>
                <w:sz w:val="20"/>
                <w:szCs w:val="20"/>
              </w:rPr>
              <w:t>、</w:t>
            </w:r>
            <w:r>
              <w:rPr>
                <w:rFonts w:ascii="Times New Roman" w:hAnsi="Times New Roman" w:eastAsia="Times New Roman" w:cs="Times New Roman"/>
                <w:sz w:val="20"/>
                <w:szCs w:val="20"/>
              </w:rPr>
              <w:t>TiO</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12"/>
                <w:position w:val="-1"/>
                <w:sz w:val="13"/>
                <w:szCs w:val="13"/>
              </w:rPr>
              <w:t xml:space="preserve"> </w:t>
            </w:r>
            <w:r>
              <w:rPr>
                <w:spacing w:val="4"/>
                <w:sz w:val="20"/>
                <w:szCs w:val="20"/>
              </w:rPr>
              <w:t>、</w:t>
            </w:r>
            <w:r>
              <w:rPr>
                <w:rFonts w:ascii="Times New Roman" w:hAnsi="Times New Roman" w:eastAsia="Times New Roman" w:cs="Times New Roman"/>
                <w:sz w:val="20"/>
                <w:szCs w:val="20"/>
              </w:rPr>
              <w:t>WO</w:t>
            </w:r>
            <w:r>
              <w:rPr>
                <w:rFonts w:ascii="Times New Roman" w:hAnsi="Times New Roman" w:eastAsia="Times New Roman" w:cs="Times New Roman"/>
                <w:spacing w:val="4"/>
                <w:position w:val="-1"/>
                <w:sz w:val="13"/>
                <w:szCs w:val="13"/>
              </w:rPr>
              <w:t>3</w:t>
            </w:r>
          </w:p>
        </w:tc>
        <w:tc>
          <w:tcPr>
            <w:tcW w:w="563" w:type="dxa"/>
            <w:vAlign w:val="top"/>
          </w:tcPr>
          <w:p w14:paraId="6B39B642">
            <w:pPr>
              <w:pStyle w:val="6"/>
              <w:spacing w:before="91" w:line="214" w:lineRule="auto"/>
              <w:ind w:left="76"/>
              <w:rPr>
                <w:sz w:val="20"/>
                <w:szCs w:val="20"/>
              </w:rPr>
            </w:pPr>
            <w:r>
              <w:rPr>
                <w:spacing w:val="4"/>
                <w:sz w:val="20"/>
                <w:szCs w:val="20"/>
              </w:rPr>
              <w:t>每年</w:t>
            </w:r>
          </w:p>
        </w:tc>
        <w:tc>
          <w:tcPr>
            <w:tcW w:w="648" w:type="dxa"/>
            <w:vAlign w:val="top"/>
          </w:tcPr>
          <w:p w14:paraId="06DFA9A5">
            <w:pPr>
              <w:spacing w:before="130" w:line="192" w:lineRule="auto"/>
              <w:ind w:left="265"/>
              <w:rPr>
                <w:rFonts w:ascii="Times New Roman" w:hAnsi="Times New Roman" w:eastAsia="Times New Roman" w:cs="Times New Roman"/>
                <w:sz w:val="20"/>
                <w:szCs w:val="20"/>
              </w:rPr>
            </w:pPr>
            <w:r>
              <w:rPr>
                <w:rFonts w:ascii="Times New Roman" w:hAnsi="Times New Roman" w:eastAsia="Times New Roman" w:cs="Times New Roman"/>
                <w:sz w:val="20"/>
                <w:szCs w:val="20"/>
              </w:rPr>
              <w:t>T</w:t>
            </w:r>
          </w:p>
        </w:tc>
        <w:tc>
          <w:tcPr>
            <w:tcW w:w="939" w:type="dxa"/>
            <w:vMerge w:val="restart"/>
            <w:tcBorders>
              <w:bottom w:val="nil"/>
              <w:right w:val="nil"/>
            </w:tcBorders>
            <w:vAlign w:val="top"/>
          </w:tcPr>
          <w:p w14:paraId="2762BE3E">
            <w:pPr>
              <w:spacing w:line="370" w:lineRule="auto"/>
              <w:rPr>
                <w:rFonts w:ascii="Arial"/>
                <w:sz w:val="21"/>
              </w:rPr>
            </w:pPr>
          </w:p>
          <w:p w14:paraId="47B947BE">
            <w:pPr>
              <w:pStyle w:val="6"/>
              <w:spacing w:before="65" w:line="228" w:lineRule="auto"/>
              <w:ind w:left="54"/>
              <w:rPr>
                <w:sz w:val="20"/>
                <w:szCs w:val="20"/>
              </w:rPr>
            </w:pPr>
            <w:r>
              <w:rPr>
                <w:spacing w:val="7"/>
                <w:sz w:val="20"/>
                <w:szCs w:val="20"/>
              </w:rPr>
              <w:t>委托有资</w:t>
            </w:r>
          </w:p>
          <w:p w14:paraId="6EBAC3CB">
            <w:pPr>
              <w:pStyle w:val="6"/>
              <w:spacing w:before="53" w:line="228" w:lineRule="auto"/>
              <w:ind w:left="56"/>
              <w:rPr>
                <w:sz w:val="20"/>
                <w:szCs w:val="20"/>
              </w:rPr>
            </w:pPr>
            <w:r>
              <w:rPr>
                <w:spacing w:val="7"/>
                <w:sz w:val="20"/>
                <w:szCs w:val="20"/>
              </w:rPr>
              <w:t>质单位处</w:t>
            </w:r>
          </w:p>
          <w:p w14:paraId="1396DB9E">
            <w:pPr>
              <w:pStyle w:val="6"/>
              <w:spacing w:before="52" w:line="238" w:lineRule="auto"/>
              <w:ind w:left="372"/>
              <w:rPr>
                <w:sz w:val="20"/>
                <w:szCs w:val="20"/>
              </w:rPr>
            </w:pPr>
            <w:r>
              <w:rPr>
                <w:sz w:val="20"/>
                <w:szCs w:val="20"/>
              </w:rPr>
              <w:t>理</w:t>
            </w:r>
          </w:p>
        </w:tc>
      </w:tr>
      <w:tr w14:paraId="4BC4D0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363" w:type="dxa"/>
            <w:tcBorders>
              <w:left w:val="nil"/>
            </w:tcBorders>
            <w:vAlign w:val="top"/>
          </w:tcPr>
          <w:p w14:paraId="3254CEB1">
            <w:pPr>
              <w:spacing w:before="282" w:line="192" w:lineRule="auto"/>
              <w:ind w:left="139"/>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445" w:type="dxa"/>
            <w:vAlign w:val="top"/>
          </w:tcPr>
          <w:p w14:paraId="08F91E1C">
            <w:pPr>
              <w:pStyle w:val="6"/>
              <w:spacing w:before="240" w:line="228" w:lineRule="auto"/>
              <w:ind w:left="306"/>
              <w:rPr>
                <w:sz w:val="20"/>
                <w:szCs w:val="20"/>
              </w:rPr>
            </w:pPr>
            <w:r>
              <w:rPr>
                <w:spacing w:val="7"/>
                <w:sz w:val="20"/>
                <w:szCs w:val="20"/>
              </w:rPr>
              <w:t>废矿物油</w:t>
            </w:r>
          </w:p>
        </w:tc>
        <w:tc>
          <w:tcPr>
            <w:tcW w:w="1639" w:type="dxa"/>
            <w:vAlign w:val="top"/>
          </w:tcPr>
          <w:p w14:paraId="7D8F3C7B">
            <w:pPr>
              <w:pStyle w:val="6"/>
              <w:spacing w:before="94" w:line="250" w:lineRule="auto"/>
              <w:ind w:left="92" w:right="84"/>
              <w:rPr>
                <w:sz w:val="20"/>
                <w:szCs w:val="20"/>
              </w:rPr>
            </w:pPr>
            <w:r>
              <w:rPr>
                <w:rFonts w:ascii="Times New Roman" w:hAnsi="Times New Roman" w:eastAsia="Times New Roman" w:cs="Times New Roman"/>
                <w:sz w:val="20"/>
                <w:szCs w:val="20"/>
              </w:rPr>
              <w:t>HW</w:t>
            </w:r>
            <w:r>
              <w:rPr>
                <w:rFonts w:ascii="Times New Roman" w:hAnsi="Times New Roman" w:eastAsia="Times New Roman" w:cs="Times New Roman"/>
                <w:spacing w:val="9"/>
                <w:sz w:val="20"/>
                <w:szCs w:val="20"/>
              </w:rPr>
              <w:t xml:space="preserve">08 </w:t>
            </w:r>
            <w:r>
              <w:rPr>
                <w:spacing w:val="9"/>
                <w:sz w:val="20"/>
                <w:szCs w:val="20"/>
              </w:rPr>
              <w:t>废矿物油</w:t>
            </w:r>
            <w:r>
              <w:rPr>
                <w:sz w:val="20"/>
                <w:szCs w:val="20"/>
              </w:rPr>
              <w:t xml:space="preserve"> </w:t>
            </w:r>
            <w:r>
              <w:rPr>
                <w:spacing w:val="8"/>
                <w:sz w:val="20"/>
                <w:szCs w:val="20"/>
              </w:rPr>
              <w:t>与含矿物油废物</w:t>
            </w:r>
          </w:p>
        </w:tc>
        <w:tc>
          <w:tcPr>
            <w:tcW w:w="1071" w:type="dxa"/>
            <w:vAlign w:val="top"/>
          </w:tcPr>
          <w:p w14:paraId="250C55E5">
            <w:pPr>
              <w:spacing w:before="130"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900-214-08</w:t>
            </w:r>
          </w:p>
          <w:p w14:paraId="572464F6">
            <w:pPr>
              <w:spacing w:before="149" w:line="177"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900-217-08</w:t>
            </w:r>
          </w:p>
        </w:tc>
        <w:tc>
          <w:tcPr>
            <w:tcW w:w="667" w:type="dxa"/>
            <w:vAlign w:val="top"/>
          </w:tcPr>
          <w:p w14:paraId="1DF91261">
            <w:pPr>
              <w:spacing w:before="276"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10.73</w:t>
            </w:r>
          </w:p>
        </w:tc>
        <w:tc>
          <w:tcPr>
            <w:tcW w:w="2072" w:type="dxa"/>
            <w:vAlign w:val="top"/>
          </w:tcPr>
          <w:p w14:paraId="2E2A7DEF">
            <w:pPr>
              <w:pStyle w:val="6"/>
              <w:spacing w:before="240" w:line="228" w:lineRule="auto"/>
              <w:ind w:left="24"/>
              <w:rPr>
                <w:sz w:val="20"/>
                <w:szCs w:val="20"/>
              </w:rPr>
            </w:pPr>
            <w:r>
              <w:rPr>
                <w:spacing w:val="2"/>
                <w:sz w:val="20"/>
                <w:szCs w:val="20"/>
              </w:rPr>
              <w:t>设备保养、检修、维修</w:t>
            </w:r>
          </w:p>
        </w:tc>
        <w:tc>
          <w:tcPr>
            <w:tcW w:w="524" w:type="dxa"/>
            <w:vAlign w:val="top"/>
          </w:tcPr>
          <w:p w14:paraId="1C430122">
            <w:pPr>
              <w:pStyle w:val="6"/>
              <w:spacing w:before="241" w:line="228" w:lineRule="auto"/>
              <w:ind w:left="58"/>
              <w:rPr>
                <w:sz w:val="20"/>
                <w:szCs w:val="20"/>
              </w:rPr>
            </w:pPr>
            <w:r>
              <w:rPr>
                <w:spacing w:val="3"/>
                <w:sz w:val="20"/>
                <w:szCs w:val="20"/>
              </w:rPr>
              <w:t>液态</w:t>
            </w:r>
          </w:p>
        </w:tc>
        <w:tc>
          <w:tcPr>
            <w:tcW w:w="2246" w:type="dxa"/>
            <w:vAlign w:val="top"/>
          </w:tcPr>
          <w:p w14:paraId="02B4428D">
            <w:pPr>
              <w:pStyle w:val="6"/>
              <w:spacing w:before="241" w:line="228" w:lineRule="auto"/>
              <w:ind w:left="814"/>
              <w:rPr>
                <w:sz w:val="20"/>
                <w:szCs w:val="20"/>
              </w:rPr>
            </w:pPr>
            <w:r>
              <w:rPr>
                <w:spacing w:val="6"/>
                <w:sz w:val="20"/>
                <w:szCs w:val="20"/>
              </w:rPr>
              <w:t>石油烃</w:t>
            </w:r>
          </w:p>
        </w:tc>
        <w:tc>
          <w:tcPr>
            <w:tcW w:w="1842" w:type="dxa"/>
            <w:vAlign w:val="top"/>
          </w:tcPr>
          <w:p w14:paraId="1E81AFA6">
            <w:pPr>
              <w:pStyle w:val="6"/>
              <w:spacing w:before="241" w:line="228" w:lineRule="auto"/>
              <w:ind w:left="611"/>
              <w:rPr>
                <w:sz w:val="20"/>
                <w:szCs w:val="20"/>
              </w:rPr>
            </w:pPr>
            <w:r>
              <w:rPr>
                <w:spacing w:val="6"/>
                <w:sz w:val="20"/>
                <w:szCs w:val="20"/>
              </w:rPr>
              <w:t>石油烃</w:t>
            </w:r>
          </w:p>
        </w:tc>
        <w:tc>
          <w:tcPr>
            <w:tcW w:w="563" w:type="dxa"/>
            <w:vAlign w:val="top"/>
          </w:tcPr>
          <w:p w14:paraId="6418FC36">
            <w:pPr>
              <w:pStyle w:val="6"/>
              <w:spacing w:before="240" w:line="228" w:lineRule="auto"/>
              <w:ind w:left="76"/>
              <w:rPr>
                <w:sz w:val="20"/>
                <w:szCs w:val="20"/>
              </w:rPr>
            </w:pPr>
            <w:r>
              <w:rPr>
                <w:spacing w:val="4"/>
                <w:sz w:val="20"/>
                <w:szCs w:val="20"/>
              </w:rPr>
              <w:t>每天</w:t>
            </w:r>
          </w:p>
        </w:tc>
        <w:tc>
          <w:tcPr>
            <w:tcW w:w="648" w:type="dxa"/>
            <w:vAlign w:val="top"/>
          </w:tcPr>
          <w:p w14:paraId="771A5BDC">
            <w:pPr>
              <w:spacing w:before="272" w:line="199"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T/I</w:t>
            </w:r>
          </w:p>
        </w:tc>
        <w:tc>
          <w:tcPr>
            <w:tcW w:w="939" w:type="dxa"/>
            <w:vMerge w:val="continue"/>
            <w:tcBorders>
              <w:top w:val="nil"/>
              <w:bottom w:val="nil"/>
              <w:right w:val="nil"/>
            </w:tcBorders>
            <w:vAlign w:val="top"/>
          </w:tcPr>
          <w:p w14:paraId="058D57A7">
            <w:pPr>
              <w:rPr>
                <w:rFonts w:ascii="Arial"/>
                <w:sz w:val="21"/>
              </w:rPr>
            </w:pPr>
          </w:p>
        </w:tc>
      </w:tr>
      <w:tr w14:paraId="52B0A8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0" w:hRule="atLeast"/>
        </w:trPr>
        <w:tc>
          <w:tcPr>
            <w:tcW w:w="363" w:type="dxa"/>
            <w:tcBorders>
              <w:left w:val="nil"/>
              <w:bottom w:val="single" w:color="000000" w:sz="10" w:space="0"/>
            </w:tcBorders>
            <w:vAlign w:val="top"/>
          </w:tcPr>
          <w:p w14:paraId="1421B779">
            <w:pPr>
              <w:spacing w:before="283" w:line="195" w:lineRule="auto"/>
              <w:ind w:left="138"/>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445" w:type="dxa"/>
            <w:tcBorders>
              <w:bottom w:val="single" w:color="000000" w:sz="10" w:space="0"/>
            </w:tcBorders>
            <w:vAlign w:val="top"/>
          </w:tcPr>
          <w:p w14:paraId="5FE8AE64">
            <w:pPr>
              <w:pStyle w:val="6"/>
              <w:spacing w:before="247" w:line="228" w:lineRule="auto"/>
              <w:ind w:left="202"/>
              <w:rPr>
                <w:sz w:val="20"/>
                <w:szCs w:val="20"/>
              </w:rPr>
            </w:pPr>
            <w:r>
              <w:rPr>
                <w:spacing w:val="7"/>
                <w:sz w:val="20"/>
                <w:szCs w:val="20"/>
              </w:rPr>
              <w:t>化验室废液</w:t>
            </w:r>
          </w:p>
        </w:tc>
        <w:tc>
          <w:tcPr>
            <w:tcW w:w="1639" w:type="dxa"/>
            <w:tcBorders>
              <w:bottom w:val="single" w:color="000000" w:sz="10" w:space="0"/>
            </w:tcBorders>
            <w:vAlign w:val="top"/>
          </w:tcPr>
          <w:p w14:paraId="216DFF1E">
            <w:pPr>
              <w:pStyle w:val="6"/>
              <w:spacing w:before="247" w:line="228" w:lineRule="auto"/>
              <w:ind w:left="93"/>
              <w:rPr>
                <w:sz w:val="20"/>
                <w:szCs w:val="20"/>
              </w:rPr>
            </w:pPr>
            <w:r>
              <w:rPr>
                <w:rFonts w:ascii="Times New Roman" w:hAnsi="Times New Roman" w:eastAsia="Times New Roman" w:cs="Times New Roman"/>
                <w:sz w:val="20"/>
                <w:szCs w:val="20"/>
              </w:rPr>
              <w:t>HW</w:t>
            </w:r>
            <w:r>
              <w:rPr>
                <w:rFonts w:ascii="Times New Roman" w:hAnsi="Times New Roman" w:eastAsia="Times New Roman" w:cs="Times New Roman"/>
                <w:spacing w:val="9"/>
                <w:sz w:val="20"/>
                <w:szCs w:val="20"/>
              </w:rPr>
              <w:t xml:space="preserve">49 </w:t>
            </w:r>
            <w:r>
              <w:rPr>
                <w:spacing w:val="9"/>
                <w:sz w:val="20"/>
                <w:szCs w:val="20"/>
              </w:rPr>
              <w:t>其他废物</w:t>
            </w:r>
          </w:p>
        </w:tc>
        <w:tc>
          <w:tcPr>
            <w:tcW w:w="1071" w:type="dxa"/>
            <w:tcBorders>
              <w:bottom w:val="single" w:color="000000" w:sz="10" w:space="0"/>
            </w:tcBorders>
            <w:vAlign w:val="top"/>
          </w:tcPr>
          <w:p w14:paraId="4121F371">
            <w:pPr>
              <w:spacing w:before="283"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900-047-49</w:t>
            </w:r>
          </w:p>
        </w:tc>
        <w:tc>
          <w:tcPr>
            <w:tcW w:w="667" w:type="dxa"/>
            <w:tcBorders>
              <w:bottom w:val="single" w:color="000000" w:sz="10" w:space="0"/>
            </w:tcBorders>
            <w:vAlign w:val="top"/>
          </w:tcPr>
          <w:p w14:paraId="134BB997">
            <w:pPr>
              <w:spacing w:before="283" w:line="195" w:lineRule="auto"/>
              <w:ind w:left="1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2072" w:type="dxa"/>
            <w:tcBorders>
              <w:bottom w:val="single" w:color="000000" w:sz="10" w:space="0"/>
            </w:tcBorders>
            <w:vAlign w:val="top"/>
          </w:tcPr>
          <w:p w14:paraId="0534FC67">
            <w:pPr>
              <w:pStyle w:val="6"/>
              <w:spacing w:before="247" w:line="228" w:lineRule="auto"/>
              <w:ind w:left="516"/>
              <w:rPr>
                <w:sz w:val="20"/>
                <w:szCs w:val="20"/>
              </w:rPr>
            </w:pPr>
            <w:r>
              <w:rPr>
                <w:spacing w:val="7"/>
                <w:sz w:val="20"/>
                <w:szCs w:val="20"/>
              </w:rPr>
              <w:t>化验室运行</w:t>
            </w:r>
          </w:p>
        </w:tc>
        <w:tc>
          <w:tcPr>
            <w:tcW w:w="524" w:type="dxa"/>
            <w:tcBorders>
              <w:bottom w:val="single" w:color="000000" w:sz="10" w:space="0"/>
            </w:tcBorders>
            <w:vAlign w:val="top"/>
          </w:tcPr>
          <w:p w14:paraId="4623E999">
            <w:pPr>
              <w:pStyle w:val="6"/>
              <w:spacing w:before="247" w:line="228" w:lineRule="auto"/>
              <w:ind w:left="58"/>
              <w:rPr>
                <w:sz w:val="20"/>
                <w:szCs w:val="20"/>
              </w:rPr>
            </w:pPr>
            <w:r>
              <w:rPr>
                <w:spacing w:val="3"/>
                <w:sz w:val="20"/>
                <w:szCs w:val="20"/>
              </w:rPr>
              <w:t>液态</w:t>
            </w:r>
          </w:p>
        </w:tc>
        <w:tc>
          <w:tcPr>
            <w:tcW w:w="2246" w:type="dxa"/>
            <w:tcBorders>
              <w:bottom w:val="single" w:color="000000" w:sz="10" w:space="0"/>
            </w:tcBorders>
            <w:vAlign w:val="top"/>
          </w:tcPr>
          <w:p w14:paraId="2B7C6C1C">
            <w:pPr>
              <w:pStyle w:val="6"/>
              <w:spacing w:before="247" w:line="227" w:lineRule="auto"/>
              <w:ind w:left="20"/>
              <w:rPr>
                <w:sz w:val="20"/>
                <w:szCs w:val="20"/>
              </w:rPr>
            </w:pPr>
            <w:r>
              <w:rPr>
                <w:sz w:val="20"/>
                <w:szCs w:val="20"/>
              </w:rPr>
              <w:t>酸、碱、有机物、重金属</w:t>
            </w:r>
          </w:p>
        </w:tc>
        <w:tc>
          <w:tcPr>
            <w:tcW w:w="1842" w:type="dxa"/>
            <w:tcBorders>
              <w:bottom w:val="single" w:color="000000" w:sz="10" w:space="0"/>
            </w:tcBorders>
            <w:vAlign w:val="top"/>
          </w:tcPr>
          <w:p w14:paraId="41AF98E1">
            <w:pPr>
              <w:pStyle w:val="6"/>
              <w:spacing w:before="96" w:line="260" w:lineRule="auto"/>
              <w:ind w:left="716" w:right="12" w:hanging="696"/>
              <w:rPr>
                <w:sz w:val="20"/>
                <w:szCs w:val="20"/>
              </w:rPr>
            </w:pPr>
            <w:r>
              <w:rPr>
                <w:sz w:val="20"/>
                <w:szCs w:val="20"/>
              </w:rPr>
              <w:t>酸、碱、有机物、重</w:t>
            </w:r>
            <w:r>
              <w:rPr>
                <w:spacing w:val="2"/>
                <w:sz w:val="20"/>
                <w:szCs w:val="20"/>
              </w:rPr>
              <w:t xml:space="preserve"> </w:t>
            </w:r>
            <w:r>
              <w:rPr>
                <w:spacing w:val="3"/>
                <w:sz w:val="20"/>
                <w:szCs w:val="20"/>
              </w:rPr>
              <w:t>金属</w:t>
            </w:r>
          </w:p>
        </w:tc>
        <w:tc>
          <w:tcPr>
            <w:tcW w:w="563" w:type="dxa"/>
            <w:tcBorders>
              <w:bottom w:val="single" w:color="000000" w:sz="10" w:space="0"/>
            </w:tcBorders>
            <w:vAlign w:val="top"/>
          </w:tcPr>
          <w:p w14:paraId="7B4061FA">
            <w:pPr>
              <w:pStyle w:val="6"/>
              <w:spacing w:before="247" w:line="228" w:lineRule="auto"/>
              <w:ind w:left="77"/>
              <w:rPr>
                <w:sz w:val="20"/>
                <w:szCs w:val="20"/>
              </w:rPr>
            </w:pPr>
            <w:r>
              <w:rPr>
                <w:spacing w:val="4"/>
                <w:sz w:val="20"/>
                <w:szCs w:val="20"/>
              </w:rPr>
              <w:t>连续</w:t>
            </w:r>
          </w:p>
        </w:tc>
        <w:tc>
          <w:tcPr>
            <w:tcW w:w="648" w:type="dxa"/>
            <w:tcBorders>
              <w:bottom w:val="single" w:color="000000" w:sz="10" w:space="0"/>
            </w:tcBorders>
            <w:vAlign w:val="top"/>
          </w:tcPr>
          <w:p w14:paraId="2ADE252C">
            <w:pPr>
              <w:spacing w:before="129" w:line="277" w:lineRule="auto"/>
              <w:ind w:left="254" w:right="66" w:hanging="1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T/C/I/</w:t>
            </w:r>
            <w:r>
              <w:rPr>
                <w:rFonts w:ascii="Times New Roman" w:hAnsi="Times New Roman" w:eastAsia="Times New Roman" w:cs="Times New Roman"/>
                <w:spacing w:val="3"/>
                <w:sz w:val="20"/>
                <w:szCs w:val="20"/>
              </w:rPr>
              <w:t xml:space="preserve"> </w:t>
            </w:r>
            <w:r>
              <w:rPr>
                <w:rFonts w:ascii="Times New Roman" w:hAnsi="Times New Roman" w:eastAsia="Times New Roman" w:cs="Times New Roman"/>
                <w:spacing w:val="4"/>
                <w:sz w:val="20"/>
                <w:szCs w:val="20"/>
              </w:rPr>
              <w:t>R</w:t>
            </w:r>
          </w:p>
        </w:tc>
        <w:tc>
          <w:tcPr>
            <w:tcW w:w="939" w:type="dxa"/>
            <w:vMerge w:val="continue"/>
            <w:tcBorders>
              <w:top w:val="nil"/>
              <w:bottom w:val="single" w:color="000000" w:sz="10" w:space="0"/>
              <w:right w:val="nil"/>
            </w:tcBorders>
            <w:vAlign w:val="top"/>
          </w:tcPr>
          <w:p w14:paraId="21182200">
            <w:pPr>
              <w:rPr>
                <w:rFonts w:ascii="Arial"/>
                <w:sz w:val="21"/>
              </w:rPr>
            </w:pPr>
          </w:p>
        </w:tc>
      </w:tr>
    </w:tbl>
    <w:p w14:paraId="3D346E58">
      <w:pPr>
        <w:pStyle w:val="2"/>
      </w:pPr>
    </w:p>
    <w:p w14:paraId="6047BE5D">
      <w:pPr>
        <w:sectPr>
          <w:headerReference r:id="rId188" w:type="default"/>
          <w:footerReference r:id="rId189" w:type="default"/>
          <w:pgSz w:w="16839" w:h="11905"/>
          <w:pgMar w:top="1190" w:right="1409" w:bottom="1013" w:left="1409" w:header="882" w:footer="851" w:gutter="0"/>
          <w:cols w:space="720" w:num="1"/>
        </w:sectPr>
      </w:pPr>
    </w:p>
    <w:p w14:paraId="5A5D8E7A">
      <w:pPr>
        <w:spacing w:before="290" w:line="221" w:lineRule="auto"/>
        <w:ind w:left="20"/>
        <w:outlineLvl w:val="2"/>
        <w:rPr>
          <w:rFonts w:ascii="宋体" w:hAnsi="宋体" w:eastAsia="宋体" w:cs="宋体"/>
          <w:sz w:val="28"/>
          <w:szCs w:val="28"/>
        </w:rPr>
      </w:pPr>
      <w:r>
        <w:pict>
          <v:shape id="_x0000_s1238" o:spid="_x0000_s1238" style="position:absolute;left:0pt;margin-left:70.85pt;margin-top:65.95pt;height:0.75pt;width:450.75pt;mso-position-horizontal-relative:page;mso-position-vertical-relative:page;z-index:251896832;mso-width-relative:page;mso-height-relative:page;" fillcolor="#000000" filled="t" stroked="f" coordsize="9015,15" o:allowincell="f" path="m0,0l9014,0,9014,14,0,14,0,0xe">
            <v:path/>
            <v:fill on="t" focussize="0,0"/>
            <v:stroke on="f"/>
            <v:imagedata o:title=""/>
            <o:lock v:ext="edit"/>
          </v:shape>
        </w:pict>
      </w:r>
      <w:bookmarkStart w:id="326" w:name="bookmark120"/>
      <w:bookmarkEnd w:id="326"/>
      <w:r>
        <w:rPr>
          <w:rFonts w:ascii="Times New Roman" w:hAnsi="Times New Roman" w:eastAsia="Times New Roman" w:cs="Times New Roman"/>
          <w:b/>
          <w:bCs/>
          <w:spacing w:val="-2"/>
          <w:sz w:val="28"/>
          <w:szCs w:val="28"/>
        </w:rPr>
        <w:t xml:space="preserve">2.3.4 </w:t>
      </w:r>
      <w:r>
        <w:rPr>
          <w:rFonts w:ascii="宋体" w:hAnsi="宋体" w:eastAsia="宋体" w:cs="宋体"/>
          <w:b/>
          <w:bCs/>
          <w:spacing w:val="-2"/>
          <w:sz w:val="28"/>
          <w:szCs w:val="28"/>
        </w:rPr>
        <w:t>非正常工况污染物排放分析</w:t>
      </w:r>
    </w:p>
    <w:p w14:paraId="1C0AC713">
      <w:pPr>
        <w:spacing w:before="241" w:line="358" w:lineRule="auto"/>
        <w:ind w:left="23" w:right="80" w:firstLine="486"/>
        <w:jc w:val="both"/>
        <w:rPr>
          <w:rFonts w:ascii="宋体" w:hAnsi="宋体" w:eastAsia="宋体" w:cs="宋体"/>
          <w:sz w:val="24"/>
          <w:szCs w:val="24"/>
        </w:rPr>
      </w:pPr>
      <w:r>
        <w:rPr>
          <w:rFonts w:ascii="宋体" w:hAnsi="宋体" w:eastAsia="宋体" w:cs="宋体"/>
          <w:spacing w:val="-3"/>
          <w:sz w:val="24"/>
          <w:szCs w:val="24"/>
        </w:rPr>
        <w:t>非正常工况指生产过程中开停车（工、炉）、设备检修</w:t>
      </w:r>
      <w:r>
        <w:rPr>
          <w:rFonts w:ascii="宋体" w:hAnsi="宋体" w:eastAsia="宋体" w:cs="宋体"/>
          <w:spacing w:val="-4"/>
          <w:sz w:val="24"/>
          <w:szCs w:val="24"/>
        </w:rPr>
        <w:t>、工艺设备运转异常等非正</w:t>
      </w:r>
      <w:r>
        <w:rPr>
          <w:rFonts w:ascii="宋体" w:hAnsi="宋体" w:eastAsia="宋体" w:cs="宋体"/>
          <w:sz w:val="24"/>
          <w:szCs w:val="24"/>
        </w:rPr>
        <w:t xml:space="preserve"> </w:t>
      </w:r>
      <w:r>
        <w:rPr>
          <w:rFonts w:ascii="宋体" w:hAnsi="宋体" w:eastAsia="宋体" w:cs="宋体"/>
          <w:spacing w:val="3"/>
          <w:sz w:val="24"/>
          <w:szCs w:val="24"/>
        </w:rPr>
        <w:t>常工况下的污染物排放，以及污染排放控制措施达不到应有效率等情况下污染物的排</w:t>
      </w:r>
      <w:r>
        <w:rPr>
          <w:rFonts w:ascii="宋体" w:hAnsi="宋体" w:eastAsia="宋体" w:cs="宋体"/>
          <w:spacing w:val="12"/>
          <w:sz w:val="24"/>
          <w:szCs w:val="24"/>
        </w:rPr>
        <w:t xml:space="preserve"> </w:t>
      </w:r>
      <w:r>
        <w:rPr>
          <w:rFonts w:ascii="宋体" w:hAnsi="宋体" w:eastAsia="宋体" w:cs="宋体"/>
          <w:spacing w:val="-1"/>
          <w:sz w:val="24"/>
          <w:szCs w:val="24"/>
        </w:rPr>
        <w:t>放。本项目非正常工况主要考虑以下情况：</w:t>
      </w:r>
    </w:p>
    <w:p w14:paraId="6B3D950F">
      <w:pPr>
        <w:spacing w:before="36" w:line="317" w:lineRule="auto"/>
        <w:ind w:left="22" w:right="80" w:firstLine="480"/>
        <w:rPr>
          <w:rFonts w:ascii="宋体" w:hAnsi="宋体" w:eastAsia="宋体" w:cs="宋体"/>
          <w:sz w:val="24"/>
          <w:szCs w:val="24"/>
        </w:rPr>
      </w:pPr>
      <w:r>
        <w:rPr>
          <w:rFonts w:ascii="宋体" w:hAnsi="宋体" w:eastAsia="宋体" w:cs="宋体"/>
          <w:spacing w:val="-3"/>
          <w:sz w:val="24"/>
          <w:szCs w:val="24"/>
        </w:rPr>
        <w:t>①除尘系统、脱硫系统设备运转不正常时，因除尘效率、脱硫效率的降</w:t>
      </w:r>
      <w:r>
        <w:rPr>
          <w:rFonts w:ascii="宋体" w:hAnsi="宋体" w:eastAsia="宋体" w:cs="宋体"/>
          <w:spacing w:val="-4"/>
          <w:sz w:val="24"/>
          <w:szCs w:val="24"/>
        </w:rPr>
        <w:t>低（假定降</w:t>
      </w:r>
      <w:r>
        <w:rPr>
          <w:rFonts w:ascii="宋体" w:hAnsi="宋体" w:eastAsia="宋体" w:cs="宋体"/>
          <w:sz w:val="24"/>
          <w:szCs w:val="24"/>
        </w:rPr>
        <w:t xml:space="preserve"> </w:t>
      </w:r>
      <w:r>
        <w:rPr>
          <w:rFonts w:ascii="宋体" w:hAnsi="宋体" w:eastAsia="宋体" w:cs="宋体"/>
          <w:spacing w:val="2"/>
          <w:sz w:val="24"/>
          <w:szCs w:val="24"/>
        </w:rPr>
        <w:t>低为正常工况的</w:t>
      </w:r>
      <w:r>
        <w:rPr>
          <w:rFonts w:ascii="宋体" w:hAnsi="宋体" w:eastAsia="宋体" w:cs="宋体"/>
          <w:spacing w:val="-43"/>
          <w:sz w:val="24"/>
          <w:szCs w:val="24"/>
        </w:rPr>
        <w:t xml:space="preserve"> </w:t>
      </w:r>
      <w:r>
        <w:rPr>
          <w:rFonts w:ascii="Times New Roman" w:hAnsi="Times New Roman" w:eastAsia="Times New Roman" w:cs="Times New Roman"/>
          <w:spacing w:val="2"/>
          <w:sz w:val="24"/>
          <w:szCs w:val="24"/>
        </w:rPr>
        <w:t>50%</w:t>
      </w:r>
      <w:r>
        <w:rPr>
          <w:rFonts w:ascii="宋体" w:hAnsi="宋体" w:eastAsia="宋体" w:cs="宋体"/>
          <w:spacing w:val="2"/>
          <w:sz w:val="24"/>
          <w:szCs w:val="24"/>
        </w:rPr>
        <w:t>时</w:t>
      </w:r>
      <w:r>
        <w:rPr>
          <w:rFonts w:ascii="宋体" w:hAnsi="宋体" w:eastAsia="宋体" w:cs="宋体"/>
          <w:spacing w:val="9"/>
          <w:sz w:val="24"/>
          <w:szCs w:val="24"/>
        </w:rPr>
        <w:t>），</w:t>
      </w:r>
      <w:r>
        <w:rPr>
          <w:rFonts w:ascii="宋体" w:hAnsi="宋体" w:eastAsia="宋体" w:cs="宋体"/>
          <w:spacing w:val="2"/>
          <w:sz w:val="24"/>
          <w:szCs w:val="24"/>
        </w:rPr>
        <w:t>造成的非正常工况排放。本次评价主要考虑烧结机机头、</w:t>
      </w:r>
      <w:r>
        <w:rPr>
          <w:rFonts w:ascii="宋体" w:hAnsi="宋体" w:eastAsia="宋体" w:cs="宋体"/>
          <w:sz w:val="24"/>
          <w:szCs w:val="24"/>
        </w:rPr>
        <w:t xml:space="preserve"> 机尾及燃气发电锅炉废气除尘效率和脱硫、脱硝效</w:t>
      </w:r>
      <w:r>
        <w:rPr>
          <w:rFonts w:ascii="宋体" w:hAnsi="宋体" w:eastAsia="宋体" w:cs="宋体"/>
          <w:spacing w:val="-1"/>
          <w:sz w:val="24"/>
          <w:szCs w:val="24"/>
        </w:rPr>
        <w:t>率降低的非正常排放。</w:t>
      </w:r>
    </w:p>
    <w:p w14:paraId="11C3A0F7">
      <w:pPr>
        <w:spacing w:before="194" w:line="317" w:lineRule="auto"/>
        <w:ind w:left="22" w:right="80" w:firstLine="479"/>
        <w:rPr>
          <w:rFonts w:ascii="宋体" w:hAnsi="宋体" w:eastAsia="宋体" w:cs="宋体"/>
          <w:sz w:val="24"/>
          <w:szCs w:val="24"/>
        </w:rPr>
      </w:pPr>
      <w:r>
        <w:rPr>
          <w:rFonts w:ascii="宋体" w:hAnsi="宋体" w:eastAsia="宋体" w:cs="宋体"/>
          <w:spacing w:val="4"/>
          <w:sz w:val="24"/>
          <w:szCs w:val="24"/>
        </w:rPr>
        <w:t>②当电炉出现故障或煤气质量不能满足回收条件时，</w:t>
      </w:r>
      <w:r>
        <w:rPr>
          <w:rFonts w:ascii="宋体" w:hAnsi="宋体" w:eastAsia="宋体" w:cs="宋体"/>
          <w:spacing w:val="3"/>
          <w:sz w:val="24"/>
          <w:szCs w:val="24"/>
        </w:rPr>
        <w:t>电炉煤气无法进入煤气柜储</w:t>
      </w:r>
      <w:r>
        <w:rPr>
          <w:rFonts w:ascii="宋体" w:hAnsi="宋体" w:eastAsia="宋体" w:cs="宋体"/>
          <w:sz w:val="24"/>
          <w:szCs w:val="24"/>
        </w:rPr>
        <w:t xml:space="preserve"> </w:t>
      </w:r>
      <w:r>
        <w:rPr>
          <w:rFonts w:ascii="宋体" w:hAnsi="宋体" w:eastAsia="宋体" w:cs="宋体"/>
          <w:spacing w:val="-3"/>
          <w:sz w:val="24"/>
          <w:szCs w:val="24"/>
        </w:rPr>
        <w:t>存，从安全考虑，必须从旁路输送到煤气放散管顶部排放，旁路系统设多管冷却和布袋</w:t>
      </w:r>
      <w:r>
        <w:rPr>
          <w:rFonts w:ascii="宋体" w:hAnsi="宋体" w:eastAsia="宋体" w:cs="宋体"/>
          <w:spacing w:val="1"/>
          <w:sz w:val="24"/>
          <w:szCs w:val="24"/>
        </w:rPr>
        <w:t xml:space="preserve"> </w:t>
      </w:r>
      <w:r>
        <w:rPr>
          <w:rFonts w:ascii="宋体" w:hAnsi="宋体" w:eastAsia="宋体" w:cs="宋体"/>
          <w:spacing w:val="-1"/>
          <w:sz w:val="24"/>
          <w:szCs w:val="24"/>
        </w:rPr>
        <w:t>除尘器，放散管设点火装置，煤气燃烧后外排。</w:t>
      </w:r>
    </w:p>
    <w:p w14:paraId="2E919416">
      <w:pPr>
        <w:spacing w:before="194" w:line="358" w:lineRule="auto"/>
        <w:ind w:left="27" w:firstLine="475"/>
        <w:jc w:val="both"/>
        <w:rPr>
          <w:rFonts w:ascii="宋体" w:hAnsi="宋体" w:eastAsia="宋体" w:cs="宋体"/>
          <w:sz w:val="24"/>
          <w:szCs w:val="24"/>
        </w:rPr>
      </w:pPr>
      <w:r>
        <w:rPr>
          <w:rFonts w:ascii="宋体" w:hAnsi="宋体" w:eastAsia="宋体" w:cs="宋体"/>
          <w:spacing w:val="-3"/>
          <w:sz w:val="24"/>
          <w:szCs w:val="24"/>
        </w:rPr>
        <w:t>解决上述问题除确保生产设备和施工安装质量先进可靠外，最直接经济</w:t>
      </w:r>
      <w:r>
        <w:rPr>
          <w:rFonts w:ascii="宋体" w:hAnsi="宋体" w:eastAsia="宋体" w:cs="宋体"/>
          <w:spacing w:val="-4"/>
          <w:sz w:val="24"/>
          <w:szCs w:val="24"/>
        </w:rPr>
        <w:t>有效的措施</w:t>
      </w:r>
      <w:r>
        <w:rPr>
          <w:rFonts w:ascii="宋体" w:hAnsi="宋体" w:eastAsia="宋体" w:cs="宋体"/>
          <w:sz w:val="24"/>
          <w:szCs w:val="24"/>
        </w:rPr>
        <w:t xml:space="preserve"> </w:t>
      </w:r>
      <w:r>
        <w:rPr>
          <w:rFonts w:ascii="宋体" w:hAnsi="宋体" w:eastAsia="宋体" w:cs="宋体"/>
          <w:spacing w:val="-7"/>
          <w:sz w:val="24"/>
          <w:szCs w:val="24"/>
        </w:rPr>
        <w:t>是加强管理，做好设备维护和检修工作，提高操作工技术水平，严格按照操作</w:t>
      </w:r>
      <w:r>
        <w:rPr>
          <w:rFonts w:ascii="宋体" w:hAnsi="宋体" w:eastAsia="宋体" w:cs="宋体"/>
          <w:spacing w:val="-8"/>
          <w:sz w:val="24"/>
          <w:szCs w:val="24"/>
        </w:rPr>
        <w:t>规程生产，</w:t>
      </w:r>
      <w:r>
        <w:rPr>
          <w:rFonts w:ascii="宋体" w:hAnsi="宋体" w:eastAsia="宋体" w:cs="宋体"/>
          <w:sz w:val="24"/>
          <w:szCs w:val="24"/>
        </w:rPr>
        <w:t xml:space="preserve"> </w:t>
      </w:r>
      <w:r>
        <w:rPr>
          <w:rFonts w:ascii="宋体" w:hAnsi="宋体" w:eastAsia="宋体" w:cs="宋体"/>
          <w:spacing w:val="-7"/>
          <w:sz w:val="24"/>
          <w:szCs w:val="24"/>
        </w:rPr>
        <w:t>同时本工程设有事故火炬，将非正常的排气送去火炬系统烧掉，降低对周围环</w:t>
      </w:r>
      <w:r>
        <w:rPr>
          <w:rFonts w:ascii="宋体" w:hAnsi="宋体" w:eastAsia="宋体" w:cs="宋体"/>
          <w:spacing w:val="-8"/>
          <w:sz w:val="24"/>
          <w:szCs w:val="24"/>
        </w:rPr>
        <w:t>境的危害。</w:t>
      </w:r>
    </w:p>
    <w:p w14:paraId="4BBF2A16">
      <w:pPr>
        <w:spacing w:before="48" w:line="228" w:lineRule="auto"/>
        <w:ind w:left="2651"/>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6"/>
          <w:sz w:val="20"/>
          <w:szCs w:val="20"/>
        </w:rPr>
        <w:t xml:space="preserve"> </w:t>
      </w:r>
      <w:r>
        <w:rPr>
          <w:rFonts w:ascii="Times New Roman" w:hAnsi="Times New Roman" w:eastAsia="Times New Roman" w:cs="Times New Roman"/>
          <w:b/>
          <w:bCs/>
          <w:spacing w:val="5"/>
          <w:sz w:val="20"/>
          <w:szCs w:val="20"/>
        </w:rPr>
        <w:t xml:space="preserve">2.3-26        </w:t>
      </w:r>
      <w:r>
        <w:rPr>
          <w:rFonts w:ascii="宋体" w:hAnsi="宋体" w:eastAsia="宋体" w:cs="宋体"/>
          <w:b/>
          <w:bCs/>
          <w:spacing w:val="5"/>
          <w:sz w:val="20"/>
          <w:szCs w:val="20"/>
        </w:rPr>
        <w:t>非正常大气污染源排放情况</w:t>
      </w:r>
    </w:p>
    <w:p w14:paraId="3274B01F">
      <w:pPr>
        <w:spacing w:line="97" w:lineRule="exact"/>
      </w:pPr>
    </w:p>
    <w:tbl>
      <w:tblPr>
        <w:tblStyle w:val="5"/>
        <w:tblW w:w="904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86"/>
        <w:gridCol w:w="647"/>
        <w:gridCol w:w="761"/>
        <w:gridCol w:w="1289"/>
        <w:gridCol w:w="1235"/>
        <w:gridCol w:w="633"/>
        <w:gridCol w:w="575"/>
        <w:gridCol w:w="564"/>
        <w:gridCol w:w="532"/>
        <w:gridCol w:w="482"/>
        <w:gridCol w:w="636"/>
      </w:tblGrid>
      <w:tr w14:paraId="05C656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8" w:hRule="atLeast"/>
        </w:trPr>
        <w:tc>
          <w:tcPr>
            <w:tcW w:w="1686" w:type="dxa"/>
            <w:vMerge w:val="restart"/>
            <w:tcBorders>
              <w:top w:val="single" w:color="000000" w:sz="10" w:space="0"/>
              <w:left w:val="nil"/>
              <w:bottom w:val="nil"/>
            </w:tcBorders>
            <w:vAlign w:val="top"/>
          </w:tcPr>
          <w:p w14:paraId="28E69D1E">
            <w:pPr>
              <w:spacing w:line="326" w:lineRule="auto"/>
              <w:rPr>
                <w:rFonts w:ascii="Arial"/>
                <w:sz w:val="21"/>
              </w:rPr>
            </w:pPr>
          </w:p>
          <w:p w14:paraId="6E471FD9">
            <w:pPr>
              <w:spacing w:line="327" w:lineRule="auto"/>
              <w:rPr>
                <w:rFonts w:ascii="Arial"/>
                <w:sz w:val="21"/>
              </w:rPr>
            </w:pPr>
          </w:p>
          <w:p w14:paraId="1ED3B939">
            <w:pPr>
              <w:pStyle w:val="6"/>
              <w:spacing w:before="65" w:line="228" w:lineRule="auto"/>
              <w:ind w:left="537"/>
              <w:rPr>
                <w:sz w:val="20"/>
                <w:szCs w:val="20"/>
              </w:rPr>
            </w:pPr>
            <w:r>
              <w:rPr>
                <w:b/>
                <w:bCs/>
                <w:spacing w:val="5"/>
                <w:sz w:val="20"/>
                <w:szCs w:val="20"/>
              </w:rPr>
              <w:t>污染源</w:t>
            </w:r>
          </w:p>
        </w:tc>
        <w:tc>
          <w:tcPr>
            <w:tcW w:w="647" w:type="dxa"/>
            <w:vMerge w:val="restart"/>
            <w:tcBorders>
              <w:top w:val="single" w:color="000000" w:sz="10" w:space="0"/>
              <w:bottom w:val="nil"/>
            </w:tcBorders>
            <w:vAlign w:val="top"/>
          </w:tcPr>
          <w:p w14:paraId="4F3CDD58">
            <w:pPr>
              <w:spacing w:line="336" w:lineRule="auto"/>
              <w:rPr>
                <w:rFonts w:ascii="Arial"/>
                <w:sz w:val="21"/>
              </w:rPr>
            </w:pPr>
          </w:p>
          <w:p w14:paraId="294B8420">
            <w:pPr>
              <w:pStyle w:val="6"/>
              <w:spacing w:before="65" w:line="229" w:lineRule="auto"/>
              <w:ind w:left="116"/>
              <w:rPr>
                <w:sz w:val="20"/>
                <w:szCs w:val="20"/>
              </w:rPr>
            </w:pPr>
            <w:r>
              <w:rPr>
                <w:b/>
                <w:bCs/>
                <w:spacing w:val="3"/>
                <w:sz w:val="20"/>
                <w:szCs w:val="20"/>
              </w:rPr>
              <w:t>排气</w:t>
            </w:r>
          </w:p>
          <w:p w14:paraId="685CBE35">
            <w:pPr>
              <w:pStyle w:val="6"/>
              <w:spacing w:before="71" w:line="233" w:lineRule="auto"/>
              <w:ind w:left="248"/>
              <w:rPr>
                <w:sz w:val="20"/>
                <w:szCs w:val="20"/>
              </w:rPr>
            </w:pPr>
            <w:r>
              <w:rPr>
                <w:b/>
                <w:bCs/>
                <w:spacing w:val="-2"/>
                <w:sz w:val="20"/>
                <w:szCs w:val="20"/>
              </w:rPr>
              <w:t>量</w:t>
            </w:r>
          </w:p>
          <w:p w14:paraId="52146F2B">
            <w:pPr>
              <w:spacing w:before="82" w:line="213" w:lineRule="auto"/>
              <w:ind w:left="37"/>
              <w:rPr>
                <w:rFonts w:ascii="Times New Roman" w:hAnsi="Times New Roman" w:eastAsia="Times New Roman" w:cs="Times New Roman"/>
                <w:sz w:val="20"/>
                <w:szCs w:val="20"/>
              </w:rPr>
            </w:pPr>
            <w:r>
              <w:rPr>
                <w:rFonts w:ascii="Times New Roman" w:hAnsi="Times New Roman" w:eastAsia="Times New Roman" w:cs="Times New Roman"/>
                <w:b/>
                <w:bCs/>
                <w:sz w:val="20"/>
                <w:szCs w:val="20"/>
              </w:rPr>
              <w:t>Nm</w:t>
            </w:r>
            <w:r>
              <w:rPr>
                <w:rFonts w:ascii="Times New Roman" w:hAnsi="Times New Roman" w:eastAsia="Times New Roman" w:cs="Times New Roman"/>
                <w:b/>
                <w:bCs/>
                <w:spacing w:val="8"/>
                <w:position w:val="5"/>
                <w:sz w:val="13"/>
                <w:szCs w:val="13"/>
              </w:rPr>
              <w:t>3</w:t>
            </w:r>
            <w:r>
              <w:rPr>
                <w:rFonts w:ascii="Times New Roman" w:hAnsi="Times New Roman" w:eastAsia="Times New Roman" w:cs="Times New Roman"/>
                <w:b/>
                <w:bCs/>
                <w:spacing w:val="8"/>
                <w:sz w:val="20"/>
                <w:szCs w:val="20"/>
              </w:rPr>
              <w:t>/h</w:t>
            </w:r>
          </w:p>
        </w:tc>
        <w:tc>
          <w:tcPr>
            <w:tcW w:w="761" w:type="dxa"/>
            <w:vMerge w:val="restart"/>
            <w:tcBorders>
              <w:top w:val="single" w:color="000000" w:sz="10" w:space="0"/>
              <w:bottom w:val="nil"/>
            </w:tcBorders>
            <w:vAlign w:val="top"/>
          </w:tcPr>
          <w:p w14:paraId="40FF7516">
            <w:pPr>
              <w:spacing w:line="326" w:lineRule="auto"/>
              <w:rPr>
                <w:rFonts w:ascii="Arial"/>
                <w:sz w:val="21"/>
              </w:rPr>
            </w:pPr>
          </w:p>
          <w:p w14:paraId="29BE10E4">
            <w:pPr>
              <w:spacing w:line="327" w:lineRule="auto"/>
              <w:rPr>
                <w:rFonts w:ascii="Arial"/>
                <w:sz w:val="21"/>
              </w:rPr>
            </w:pPr>
          </w:p>
          <w:p w14:paraId="0ECAAC71">
            <w:pPr>
              <w:pStyle w:val="6"/>
              <w:spacing w:before="65" w:line="228" w:lineRule="auto"/>
              <w:ind w:left="71"/>
              <w:rPr>
                <w:sz w:val="20"/>
                <w:szCs w:val="20"/>
              </w:rPr>
            </w:pPr>
            <w:r>
              <w:rPr>
                <w:b/>
                <w:bCs/>
                <w:spacing w:val="5"/>
                <w:sz w:val="20"/>
                <w:szCs w:val="20"/>
              </w:rPr>
              <w:t>污染物</w:t>
            </w:r>
          </w:p>
        </w:tc>
        <w:tc>
          <w:tcPr>
            <w:tcW w:w="1289" w:type="dxa"/>
            <w:vMerge w:val="restart"/>
            <w:tcBorders>
              <w:top w:val="single" w:color="000000" w:sz="10" w:space="0"/>
              <w:bottom w:val="nil"/>
            </w:tcBorders>
            <w:vAlign w:val="top"/>
          </w:tcPr>
          <w:p w14:paraId="27944E63">
            <w:pPr>
              <w:spacing w:line="248" w:lineRule="auto"/>
              <w:rPr>
                <w:rFonts w:ascii="Arial"/>
                <w:sz w:val="21"/>
              </w:rPr>
            </w:pPr>
          </w:p>
          <w:p w14:paraId="4CF45D2B">
            <w:pPr>
              <w:spacing w:line="248" w:lineRule="auto"/>
              <w:rPr>
                <w:rFonts w:ascii="Arial"/>
                <w:sz w:val="21"/>
              </w:rPr>
            </w:pPr>
          </w:p>
          <w:p w14:paraId="45FDB469">
            <w:pPr>
              <w:pStyle w:val="6"/>
              <w:spacing w:before="65" w:line="279" w:lineRule="auto"/>
              <w:ind w:left="443" w:right="118" w:hanging="318"/>
              <w:rPr>
                <w:sz w:val="20"/>
                <w:szCs w:val="20"/>
              </w:rPr>
            </w:pPr>
            <w:r>
              <w:rPr>
                <w:b/>
                <w:bCs/>
                <w:spacing w:val="5"/>
                <w:sz w:val="20"/>
                <w:szCs w:val="20"/>
              </w:rPr>
              <w:t>非正常排放</w:t>
            </w:r>
            <w:r>
              <w:rPr>
                <w:spacing w:val="3"/>
                <w:sz w:val="20"/>
                <w:szCs w:val="20"/>
              </w:rPr>
              <w:t xml:space="preserve"> </w:t>
            </w:r>
            <w:r>
              <w:rPr>
                <w:b/>
                <w:bCs/>
                <w:spacing w:val="1"/>
                <w:sz w:val="20"/>
                <w:szCs w:val="20"/>
              </w:rPr>
              <w:t>原因</w:t>
            </w:r>
          </w:p>
        </w:tc>
        <w:tc>
          <w:tcPr>
            <w:tcW w:w="1235" w:type="dxa"/>
            <w:vMerge w:val="restart"/>
            <w:tcBorders>
              <w:top w:val="single" w:color="000000" w:sz="10" w:space="0"/>
              <w:bottom w:val="nil"/>
            </w:tcBorders>
            <w:vAlign w:val="top"/>
          </w:tcPr>
          <w:p w14:paraId="4268CC6A">
            <w:pPr>
              <w:spacing w:line="326" w:lineRule="auto"/>
              <w:rPr>
                <w:rFonts w:ascii="Arial"/>
                <w:sz w:val="21"/>
              </w:rPr>
            </w:pPr>
          </w:p>
          <w:p w14:paraId="156CC2FC">
            <w:pPr>
              <w:spacing w:line="327" w:lineRule="auto"/>
              <w:rPr>
                <w:rFonts w:ascii="Arial"/>
                <w:sz w:val="21"/>
              </w:rPr>
            </w:pPr>
          </w:p>
          <w:p w14:paraId="64D30BAB">
            <w:pPr>
              <w:pStyle w:val="6"/>
              <w:spacing w:before="65" w:line="228" w:lineRule="auto"/>
              <w:ind w:left="205"/>
              <w:rPr>
                <w:sz w:val="20"/>
                <w:szCs w:val="20"/>
              </w:rPr>
            </w:pPr>
            <w:r>
              <w:rPr>
                <w:b/>
                <w:bCs/>
                <w:spacing w:val="5"/>
                <w:sz w:val="20"/>
                <w:szCs w:val="20"/>
              </w:rPr>
              <w:t>处理效率</w:t>
            </w:r>
          </w:p>
        </w:tc>
        <w:tc>
          <w:tcPr>
            <w:tcW w:w="1208" w:type="dxa"/>
            <w:gridSpan w:val="2"/>
            <w:tcBorders>
              <w:top w:val="single" w:color="000000" w:sz="10" w:space="0"/>
            </w:tcBorders>
            <w:vAlign w:val="top"/>
          </w:tcPr>
          <w:p w14:paraId="18F26984">
            <w:pPr>
              <w:pStyle w:val="6"/>
              <w:spacing w:before="73" w:line="265" w:lineRule="auto"/>
              <w:ind w:left="502" w:right="77" w:hanging="418"/>
              <w:rPr>
                <w:sz w:val="20"/>
                <w:szCs w:val="20"/>
              </w:rPr>
            </w:pPr>
            <w:r>
              <w:rPr>
                <w:b/>
                <w:bCs/>
                <w:spacing w:val="6"/>
                <w:sz w:val="20"/>
                <w:szCs w:val="20"/>
              </w:rPr>
              <w:t>污染物的排</w:t>
            </w:r>
            <w:r>
              <w:rPr>
                <w:sz w:val="20"/>
                <w:szCs w:val="20"/>
              </w:rPr>
              <w:t xml:space="preserve"> </w:t>
            </w:r>
            <w:r>
              <w:rPr>
                <w:b/>
                <w:bCs/>
                <w:spacing w:val="-2"/>
                <w:sz w:val="20"/>
                <w:szCs w:val="20"/>
              </w:rPr>
              <w:t>放</w:t>
            </w:r>
          </w:p>
        </w:tc>
        <w:tc>
          <w:tcPr>
            <w:tcW w:w="2214" w:type="dxa"/>
            <w:gridSpan w:val="4"/>
            <w:tcBorders>
              <w:top w:val="single" w:color="000000" w:sz="10" w:space="0"/>
              <w:right w:val="nil"/>
            </w:tcBorders>
            <w:vAlign w:val="top"/>
          </w:tcPr>
          <w:p w14:paraId="44C61DBC">
            <w:pPr>
              <w:pStyle w:val="6"/>
              <w:spacing w:before="232" w:line="228" w:lineRule="auto"/>
              <w:ind w:left="691"/>
              <w:rPr>
                <w:sz w:val="20"/>
                <w:szCs w:val="20"/>
              </w:rPr>
            </w:pPr>
            <w:r>
              <w:rPr>
                <w:b/>
                <w:bCs/>
                <w:spacing w:val="6"/>
                <w:sz w:val="20"/>
                <w:szCs w:val="20"/>
              </w:rPr>
              <w:t>排放参数</w:t>
            </w:r>
          </w:p>
        </w:tc>
      </w:tr>
      <w:tr w14:paraId="7D92D5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0" w:hRule="atLeast"/>
        </w:trPr>
        <w:tc>
          <w:tcPr>
            <w:tcW w:w="1686" w:type="dxa"/>
            <w:vMerge w:val="continue"/>
            <w:tcBorders>
              <w:top w:val="nil"/>
              <w:left w:val="nil"/>
            </w:tcBorders>
            <w:vAlign w:val="top"/>
          </w:tcPr>
          <w:p w14:paraId="298D8F2F">
            <w:pPr>
              <w:rPr>
                <w:rFonts w:ascii="Arial"/>
                <w:sz w:val="21"/>
              </w:rPr>
            </w:pPr>
          </w:p>
        </w:tc>
        <w:tc>
          <w:tcPr>
            <w:tcW w:w="647" w:type="dxa"/>
            <w:vMerge w:val="continue"/>
            <w:tcBorders>
              <w:top w:val="nil"/>
            </w:tcBorders>
            <w:vAlign w:val="top"/>
          </w:tcPr>
          <w:p w14:paraId="133D02E9">
            <w:pPr>
              <w:rPr>
                <w:rFonts w:ascii="Arial"/>
                <w:sz w:val="21"/>
              </w:rPr>
            </w:pPr>
          </w:p>
        </w:tc>
        <w:tc>
          <w:tcPr>
            <w:tcW w:w="761" w:type="dxa"/>
            <w:vMerge w:val="continue"/>
            <w:tcBorders>
              <w:top w:val="nil"/>
            </w:tcBorders>
            <w:vAlign w:val="top"/>
          </w:tcPr>
          <w:p w14:paraId="0632C914">
            <w:pPr>
              <w:rPr>
                <w:rFonts w:ascii="Arial"/>
                <w:sz w:val="21"/>
              </w:rPr>
            </w:pPr>
          </w:p>
        </w:tc>
        <w:tc>
          <w:tcPr>
            <w:tcW w:w="1289" w:type="dxa"/>
            <w:vMerge w:val="continue"/>
            <w:tcBorders>
              <w:top w:val="nil"/>
            </w:tcBorders>
            <w:vAlign w:val="top"/>
          </w:tcPr>
          <w:p w14:paraId="2FFACFD2">
            <w:pPr>
              <w:rPr>
                <w:rFonts w:ascii="Arial"/>
                <w:sz w:val="21"/>
              </w:rPr>
            </w:pPr>
          </w:p>
        </w:tc>
        <w:tc>
          <w:tcPr>
            <w:tcW w:w="1235" w:type="dxa"/>
            <w:vMerge w:val="continue"/>
            <w:tcBorders>
              <w:top w:val="nil"/>
            </w:tcBorders>
            <w:vAlign w:val="top"/>
          </w:tcPr>
          <w:p w14:paraId="4CD1C983">
            <w:pPr>
              <w:rPr>
                <w:rFonts w:ascii="Arial"/>
                <w:sz w:val="21"/>
              </w:rPr>
            </w:pPr>
          </w:p>
        </w:tc>
        <w:tc>
          <w:tcPr>
            <w:tcW w:w="633" w:type="dxa"/>
            <w:vAlign w:val="top"/>
          </w:tcPr>
          <w:p w14:paraId="0C4D3C39">
            <w:pPr>
              <w:pStyle w:val="6"/>
              <w:spacing w:before="71" w:line="228" w:lineRule="auto"/>
              <w:ind w:left="111"/>
              <w:rPr>
                <w:sz w:val="20"/>
                <w:szCs w:val="20"/>
              </w:rPr>
            </w:pPr>
            <w:r>
              <w:rPr>
                <w:b/>
                <w:bCs/>
                <w:spacing w:val="2"/>
                <w:sz w:val="20"/>
                <w:szCs w:val="20"/>
              </w:rPr>
              <w:t>浓度</w:t>
            </w:r>
          </w:p>
          <w:p w14:paraId="03CD8EA9">
            <w:pPr>
              <w:spacing w:before="107" w:line="197" w:lineRule="auto"/>
              <w:ind w:left="77"/>
              <w:rPr>
                <w:rFonts w:ascii="Times New Roman" w:hAnsi="Times New Roman" w:eastAsia="Times New Roman" w:cs="Times New Roman"/>
                <w:sz w:val="20"/>
                <w:szCs w:val="20"/>
              </w:rPr>
            </w:pPr>
            <w:r>
              <w:rPr>
                <w:rFonts w:ascii="Times New Roman" w:hAnsi="Times New Roman" w:eastAsia="Times New Roman" w:cs="Times New Roman"/>
                <w:b/>
                <w:bCs/>
                <w:sz w:val="20"/>
                <w:szCs w:val="20"/>
              </w:rPr>
              <w:t>mg</w:t>
            </w:r>
            <w:r>
              <w:rPr>
                <w:rFonts w:ascii="Times New Roman" w:hAnsi="Times New Roman" w:eastAsia="Times New Roman" w:cs="Times New Roman"/>
                <w:b/>
                <w:bCs/>
                <w:spacing w:val="6"/>
                <w:sz w:val="20"/>
                <w:szCs w:val="20"/>
              </w:rPr>
              <w:t>/N</w:t>
            </w:r>
          </w:p>
          <w:p w14:paraId="0DE5D8E5">
            <w:pPr>
              <w:spacing w:before="110" w:line="213" w:lineRule="auto"/>
              <w:ind w:left="199"/>
              <w:rPr>
                <w:rFonts w:ascii="Times New Roman" w:hAnsi="Times New Roman" w:eastAsia="Times New Roman" w:cs="Times New Roman"/>
                <w:sz w:val="13"/>
                <w:szCs w:val="13"/>
              </w:rPr>
            </w:pPr>
            <w:r>
              <w:rPr>
                <w:rFonts w:ascii="Times New Roman" w:hAnsi="Times New Roman" w:eastAsia="Times New Roman" w:cs="Times New Roman"/>
                <w:b/>
                <w:bCs/>
                <w:spacing w:val="2"/>
                <w:position w:val="-3"/>
                <w:sz w:val="20"/>
                <w:szCs w:val="20"/>
              </w:rPr>
              <w:t>m</w:t>
            </w:r>
            <w:r>
              <w:rPr>
                <w:rFonts w:ascii="Times New Roman" w:hAnsi="Times New Roman" w:eastAsia="Times New Roman" w:cs="Times New Roman"/>
                <w:b/>
                <w:bCs/>
                <w:spacing w:val="2"/>
                <w:position w:val="3"/>
                <w:sz w:val="13"/>
                <w:szCs w:val="13"/>
              </w:rPr>
              <w:t>3</w:t>
            </w:r>
          </w:p>
        </w:tc>
        <w:tc>
          <w:tcPr>
            <w:tcW w:w="575" w:type="dxa"/>
            <w:vAlign w:val="top"/>
          </w:tcPr>
          <w:p w14:paraId="7F5C2532">
            <w:pPr>
              <w:pStyle w:val="6"/>
              <w:spacing w:before="231" w:line="300" w:lineRule="auto"/>
              <w:ind w:left="92" w:right="77" w:hanging="13"/>
              <w:rPr>
                <w:rFonts w:ascii="Times New Roman" w:hAnsi="Times New Roman" w:eastAsia="Times New Roman" w:cs="Times New Roman"/>
                <w:sz w:val="20"/>
                <w:szCs w:val="20"/>
              </w:rPr>
            </w:pPr>
            <w:r>
              <w:rPr>
                <w:b/>
                <w:bCs/>
                <w:spacing w:val="4"/>
                <w:sz w:val="20"/>
                <w:szCs w:val="20"/>
              </w:rPr>
              <w:t>速率</w:t>
            </w:r>
            <w:r>
              <w:rPr>
                <w:sz w:val="20"/>
                <w:szCs w:val="20"/>
              </w:rPr>
              <w:t xml:space="preserve"> </w:t>
            </w:r>
            <w:r>
              <w:rPr>
                <w:rFonts w:ascii="Times New Roman" w:hAnsi="Times New Roman" w:eastAsia="Times New Roman" w:cs="Times New Roman"/>
                <w:b/>
                <w:bCs/>
                <w:sz w:val="20"/>
                <w:szCs w:val="20"/>
              </w:rPr>
              <w:t>kg</w:t>
            </w:r>
            <w:r>
              <w:rPr>
                <w:rFonts w:ascii="Times New Roman" w:hAnsi="Times New Roman" w:eastAsia="Times New Roman" w:cs="Times New Roman"/>
                <w:b/>
                <w:bCs/>
                <w:spacing w:val="4"/>
                <w:sz w:val="20"/>
                <w:szCs w:val="20"/>
              </w:rPr>
              <w:t>/h</w:t>
            </w:r>
          </w:p>
        </w:tc>
        <w:tc>
          <w:tcPr>
            <w:tcW w:w="564" w:type="dxa"/>
            <w:vAlign w:val="top"/>
          </w:tcPr>
          <w:p w14:paraId="0F985A13">
            <w:pPr>
              <w:pStyle w:val="6"/>
              <w:spacing w:before="233" w:line="293" w:lineRule="auto"/>
              <w:ind w:left="162" w:right="70" w:hanging="80"/>
              <w:rPr>
                <w:rFonts w:ascii="Times New Roman" w:hAnsi="Times New Roman" w:eastAsia="Times New Roman" w:cs="Times New Roman"/>
                <w:sz w:val="20"/>
                <w:szCs w:val="20"/>
              </w:rPr>
            </w:pPr>
            <w:r>
              <w:rPr>
                <w:b/>
                <w:bCs/>
                <w:spacing w:val="1"/>
                <w:sz w:val="20"/>
                <w:szCs w:val="20"/>
              </w:rPr>
              <w:t>高度</w:t>
            </w:r>
            <w:r>
              <w:rPr>
                <w:sz w:val="20"/>
                <w:szCs w:val="20"/>
              </w:rPr>
              <w:t xml:space="preserve"> </w:t>
            </w:r>
            <w:r>
              <w:rPr>
                <w:rFonts w:ascii="Times New Roman" w:hAnsi="Times New Roman" w:eastAsia="Times New Roman" w:cs="Times New Roman"/>
                <w:b/>
                <w:bCs/>
                <w:spacing w:val="4"/>
                <w:sz w:val="20"/>
                <w:szCs w:val="20"/>
              </w:rPr>
              <w:t>/m</w:t>
            </w:r>
          </w:p>
        </w:tc>
        <w:tc>
          <w:tcPr>
            <w:tcW w:w="532" w:type="dxa"/>
            <w:vAlign w:val="top"/>
          </w:tcPr>
          <w:p w14:paraId="4CE0A665">
            <w:pPr>
              <w:pStyle w:val="6"/>
              <w:spacing w:before="233" w:line="293" w:lineRule="auto"/>
              <w:ind w:left="145" w:right="54" w:hanging="60"/>
              <w:rPr>
                <w:rFonts w:ascii="Times New Roman" w:hAnsi="Times New Roman" w:eastAsia="Times New Roman" w:cs="Times New Roman"/>
                <w:sz w:val="20"/>
                <w:szCs w:val="20"/>
              </w:rPr>
            </w:pPr>
            <w:r>
              <w:rPr>
                <w:b/>
                <w:bCs/>
                <w:spacing w:val="-9"/>
                <w:sz w:val="20"/>
                <w:szCs w:val="20"/>
              </w:rPr>
              <w:t>内径</w:t>
            </w:r>
            <w:r>
              <w:rPr>
                <w:sz w:val="20"/>
                <w:szCs w:val="20"/>
              </w:rPr>
              <w:t xml:space="preserve"> </w:t>
            </w:r>
            <w:r>
              <w:rPr>
                <w:rFonts w:ascii="Times New Roman" w:hAnsi="Times New Roman" w:eastAsia="Times New Roman" w:cs="Times New Roman"/>
                <w:b/>
                <w:bCs/>
                <w:spacing w:val="4"/>
                <w:sz w:val="20"/>
                <w:szCs w:val="20"/>
              </w:rPr>
              <w:t>/m</w:t>
            </w:r>
          </w:p>
        </w:tc>
        <w:tc>
          <w:tcPr>
            <w:tcW w:w="482" w:type="dxa"/>
            <w:vAlign w:val="top"/>
          </w:tcPr>
          <w:p w14:paraId="307288E0">
            <w:pPr>
              <w:pStyle w:val="6"/>
              <w:spacing w:before="233" w:line="293" w:lineRule="auto"/>
              <w:ind w:left="95" w:right="30" w:hanging="59"/>
              <w:rPr>
                <w:rFonts w:ascii="Times New Roman" w:hAnsi="Times New Roman" w:eastAsia="Times New Roman" w:cs="Times New Roman"/>
                <w:sz w:val="20"/>
                <w:szCs w:val="20"/>
              </w:rPr>
            </w:pPr>
            <w:r>
              <w:rPr>
                <w:b/>
                <w:bCs/>
                <w:spacing w:val="3"/>
                <w:sz w:val="20"/>
                <w:szCs w:val="20"/>
              </w:rPr>
              <w:t>温度</w:t>
            </w:r>
            <w:r>
              <w:rPr>
                <w:sz w:val="20"/>
                <w:szCs w:val="20"/>
              </w:rPr>
              <w:t xml:space="preserve"> </w:t>
            </w:r>
            <w:r>
              <w:rPr>
                <w:rFonts w:ascii="Times New Roman" w:hAnsi="Times New Roman" w:eastAsia="Times New Roman" w:cs="Times New Roman"/>
                <w:b/>
                <w:bCs/>
                <w:spacing w:val="5"/>
                <w:sz w:val="20"/>
                <w:szCs w:val="20"/>
              </w:rPr>
              <w:t>/℃</w:t>
            </w:r>
          </w:p>
        </w:tc>
        <w:tc>
          <w:tcPr>
            <w:tcW w:w="636" w:type="dxa"/>
            <w:tcBorders>
              <w:right w:val="nil"/>
            </w:tcBorders>
            <w:vAlign w:val="top"/>
          </w:tcPr>
          <w:p w14:paraId="7F9F0DCA">
            <w:pPr>
              <w:spacing w:line="323" w:lineRule="auto"/>
              <w:rPr>
                <w:rFonts w:ascii="Arial"/>
                <w:sz w:val="21"/>
              </w:rPr>
            </w:pPr>
          </w:p>
          <w:p w14:paraId="42ADB151">
            <w:pPr>
              <w:pStyle w:val="6"/>
              <w:spacing w:before="65" w:line="229" w:lineRule="auto"/>
              <w:ind w:left="117"/>
              <w:rPr>
                <w:sz w:val="20"/>
                <w:szCs w:val="20"/>
              </w:rPr>
            </w:pPr>
            <w:r>
              <w:rPr>
                <w:b/>
                <w:bCs/>
                <w:spacing w:val="2"/>
                <w:sz w:val="20"/>
                <w:szCs w:val="20"/>
              </w:rPr>
              <w:t>去向</w:t>
            </w:r>
          </w:p>
        </w:tc>
      </w:tr>
      <w:tr w14:paraId="098744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3" w:hRule="atLeast"/>
        </w:trPr>
        <w:tc>
          <w:tcPr>
            <w:tcW w:w="1686" w:type="dxa"/>
            <w:vMerge w:val="restart"/>
            <w:tcBorders>
              <w:left w:val="nil"/>
              <w:bottom w:val="nil"/>
            </w:tcBorders>
            <w:vAlign w:val="top"/>
          </w:tcPr>
          <w:p w14:paraId="3963B495">
            <w:pPr>
              <w:spacing w:line="340" w:lineRule="auto"/>
              <w:rPr>
                <w:rFonts w:ascii="Arial"/>
                <w:sz w:val="21"/>
              </w:rPr>
            </w:pPr>
          </w:p>
          <w:p w14:paraId="5E11E3D5">
            <w:pPr>
              <w:spacing w:line="341" w:lineRule="auto"/>
              <w:rPr>
                <w:rFonts w:ascii="Arial"/>
                <w:sz w:val="21"/>
              </w:rPr>
            </w:pPr>
          </w:p>
          <w:p w14:paraId="285AC7D9">
            <w:pPr>
              <w:pStyle w:val="6"/>
              <w:spacing w:before="65" w:line="278" w:lineRule="auto"/>
              <w:ind w:left="747" w:right="13" w:hanging="726"/>
              <w:rPr>
                <w:sz w:val="20"/>
                <w:szCs w:val="20"/>
              </w:rPr>
            </w:pPr>
            <w:r>
              <w:rPr>
                <w:spacing w:val="6"/>
                <w:sz w:val="20"/>
                <w:szCs w:val="20"/>
              </w:rPr>
              <w:t>烧结机头、机尾废</w:t>
            </w:r>
            <w:r>
              <w:rPr>
                <w:sz w:val="20"/>
                <w:szCs w:val="20"/>
              </w:rPr>
              <w:t xml:space="preserve"> 气</w:t>
            </w:r>
          </w:p>
        </w:tc>
        <w:tc>
          <w:tcPr>
            <w:tcW w:w="647" w:type="dxa"/>
            <w:vMerge w:val="restart"/>
            <w:tcBorders>
              <w:bottom w:val="nil"/>
            </w:tcBorders>
            <w:vAlign w:val="top"/>
          </w:tcPr>
          <w:p w14:paraId="22571F48">
            <w:pPr>
              <w:spacing w:line="241" w:lineRule="auto"/>
              <w:rPr>
                <w:rFonts w:ascii="Arial"/>
                <w:sz w:val="21"/>
              </w:rPr>
            </w:pPr>
          </w:p>
          <w:p w14:paraId="54C66894">
            <w:pPr>
              <w:spacing w:line="241" w:lineRule="auto"/>
              <w:rPr>
                <w:rFonts w:ascii="Arial"/>
                <w:sz w:val="21"/>
              </w:rPr>
            </w:pPr>
          </w:p>
          <w:p w14:paraId="020976FA">
            <w:pPr>
              <w:spacing w:line="241" w:lineRule="auto"/>
              <w:rPr>
                <w:rFonts w:ascii="Arial"/>
                <w:sz w:val="21"/>
              </w:rPr>
            </w:pPr>
          </w:p>
          <w:p w14:paraId="63C5F293">
            <w:pPr>
              <w:spacing w:before="58" w:line="329" w:lineRule="auto"/>
              <w:ind w:left="145" w:right="59" w:hanging="8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29967</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1"/>
                <w:sz w:val="20"/>
                <w:szCs w:val="20"/>
              </w:rPr>
              <w:t>3.39</w:t>
            </w:r>
          </w:p>
        </w:tc>
        <w:tc>
          <w:tcPr>
            <w:tcW w:w="761" w:type="dxa"/>
            <w:vAlign w:val="top"/>
          </w:tcPr>
          <w:p w14:paraId="23DB15BC">
            <w:pPr>
              <w:pStyle w:val="6"/>
              <w:spacing w:before="236" w:line="228" w:lineRule="auto"/>
              <w:ind w:left="68"/>
              <w:rPr>
                <w:sz w:val="20"/>
                <w:szCs w:val="20"/>
              </w:rPr>
            </w:pPr>
            <w:r>
              <w:rPr>
                <w:spacing w:val="7"/>
                <w:sz w:val="20"/>
                <w:szCs w:val="20"/>
              </w:rPr>
              <w:t>颗粒物</w:t>
            </w:r>
          </w:p>
        </w:tc>
        <w:tc>
          <w:tcPr>
            <w:tcW w:w="1289" w:type="dxa"/>
            <w:vMerge w:val="restart"/>
            <w:tcBorders>
              <w:bottom w:val="nil"/>
            </w:tcBorders>
            <w:vAlign w:val="top"/>
          </w:tcPr>
          <w:p w14:paraId="57424260">
            <w:pPr>
              <w:spacing w:line="340" w:lineRule="auto"/>
              <w:rPr>
                <w:rFonts w:ascii="Arial"/>
                <w:sz w:val="21"/>
              </w:rPr>
            </w:pPr>
          </w:p>
          <w:p w14:paraId="302AF8FE">
            <w:pPr>
              <w:spacing w:line="340" w:lineRule="auto"/>
              <w:rPr>
                <w:rFonts w:ascii="Arial"/>
                <w:sz w:val="21"/>
              </w:rPr>
            </w:pPr>
          </w:p>
          <w:p w14:paraId="3BAC4659">
            <w:pPr>
              <w:pStyle w:val="6"/>
              <w:spacing w:before="65" w:line="278" w:lineRule="auto"/>
              <w:ind w:left="335" w:right="118" w:hanging="198"/>
              <w:rPr>
                <w:sz w:val="20"/>
                <w:szCs w:val="20"/>
              </w:rPr>
            </w:pPr>
            <w:r>
              <w:rPr>
                <w:spacing w:val="5"/>
                <w:sz w:val="20"/>
                <w:szCs w:val="20"/>
              </w:rPr>
              <w:t>除尘脱硫效</w:t>
            </w:r>
            <w:r>
              <w:rPr>
                <w:spacing w:val="2"/>
                <w:sz w:val="20"/>
                <w:szCs w:val="20"/>
              </w:rPr>
              <w:t xml:space="preserve"> </w:t>
            </w:r>
            <w:r>
              <w:rPr>
                <w:spacing w:val="6"/>
                <w:sz w:val="20"/>
                <w:szCs w:val="20"/>
              </w:rPr>
              <w:t>率下降</w:t>
            </w:r>
          </w:p>
        </w:tc>
        <w:tc>
          <w:tcPr>
            <w:tcW w:w="1235" w:type="dxa"/>
            <w:vMerge w:val="restart"/>
            <w:tcBorders>
              <w:bottom w:val="nil"/>
            </w:tcBorders>
            <w:vAlign w:val="top"/>
          </w:tcPr>
          <w:p w14:paraId="7F1457FE">
            <w:pPr>
              <w:spacing w:line="260" w:lineRule="auto"/>
              <w:rPr>
                <w:rFonts w:ascii="Arial"/>
                <w:sz w:val="21"/>
              </w:rPr>
            </w:pPr>
          </w:p>
          <w:p w14:paraId="1EA40F25">
            <w:pPr>
              <w:spacing w:line="260" w:lineRule="auto"/>
              <w:rPr>
                <w:rFonts w:ascii="Arial"/>
                <w:sz w:val="21"/>
              </w:rPr>
            </w:pPr>
          </w:p>
          <w:p w14:paraId="77DFCD7D">
            <w:pPr>
              <w:pStyle w:val="6"/>
              <w:spacing w:before="65" w:line="228" w:lineRule="auto"/>
              <w:ind w:left="104"/>
              <w:rPr>
                <w:sz w:val="20"/>
                <w:szCs w:val="20"/>
              </w:rPr>
            </w:pPr>
            <w:r>
              <w:rPr>
                <w:spacing w:val="6"/>
                <w:sz w:val="20"/>
                <w:szCs w:val="20"/>
              </w:rPr>
              <w:t>下降为正常</w:t>
            </w:r>
          </w:p>
          <w:p w14:paraId="5DC89E11">
            <w:pPr>
              <w:pStyle w:val="6"/>
              <w:spacing w:before="72" w:line="228" w:lineRule="auto"/>
              <w:ind w:left="100"/>
              <w:rPr>
                <w:sz w:val="20"/>
                <w:szCs w:val="20"/>
              </w:rPr>
            </w:pPr>
            <w:r>
              <w:rPr>
                <w:spacing w:val="7"/>
                <w:sz w:val="20"/>
                <w:szCs w:val="20"/>
              </w:rPr>
              <w:t>工况下效率</w:t>
            </w:r>
          </w:p>
          <w:p w14:paraId="1ACA8D4E">
            <w:pPr>
              <w:spacing w:before="106" w:line="195" w:lineRule="auto"/>
              <w:ind w:left="43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w:t>
            </w:r>
          </w:p>
        </w:tc>
        <w:tc>
          <w:tcPr>
            <w:tcW w:w="633" w:type="dxa"/>
            <w:vAlign w:val="top"/>
          </w:tcPr>
          <w:p w14:paraId="29D95EB9">
            <w:pPr>
              <w:spacing w:before="114" w:line="276" w:lineRule="auto"/>
              <w:ind w:left="269" w:right="26" w:hanging="221"/>
              <w:rPr>
                <w:rFonts w:ascii="Times New Roman" w:hAnsi="Times New Roman" w:eastAsia="Times New Roman" w:cs="Times New Roman"/>
                <w:sz w:val="20"/>
                <w:szCs w:val="20"/>
              </w:rPr>
            </w:pPr>
            <w:r>
              <w:rPr>
                <w:rFonts w:ascii="Times New Roman" w:hAnsi="Times New Roman" w:eastAsia="Times New Roman" w:cs="Times New Roman"/>
                <w:sz w:val="20"/>
                <w:szCs w:val="20"/>
              </w:rPr>
              <w:t>1064.9</w:t>
            </w:r>
            <w:r>
              <w:rPr>
                <w:rFonts w:ascii="Times New Roman" w:hAnsi="Times New Roman" w:eastAsia="Times New Roman" w:cs="Times New Roman"/>
                <w:spacing w:val="1"/>
                <w:sz w:val="20"/>
                <w:szCs w:val="20"/>
              </w:rPr>
              <w:t xml:space="preserve"> </w:t>
            </w:r>
            <w:r>
              <w:rPr>
                <w:rFonts w:ascii="Times New Roman" w:hAnsi="Times New Roman" w:eastAsia="Times New Roman" w:cs="Times New Roman"/>
                <w:sz w:val="20"/>
                <w:szCs w:val="20"/>
              </w:rPr>
              <w:t>3</w:t>
            </w:r>
          </w:p>
        </w:tc>
        <w:tc>
          <w:tcPr>
            <w:tcW w:w="575" w:type="dxa"/>
            <w:vAlign w:val="top"/>
          </w:tcPr>
          <w:p w14:paraId="7E60A3C5">
            <w:pPr>
              <w:spacing w:before="114" w:line="276" w:lineRule="auto"/>
              <w:ind w:left="241" w:right="47" w:hanging="1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319.</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2"/>
                <w:sz w:val="20"/>
                <w:szCs w:val="20"/>
              </w:rPr>
              <w:t>1</w:t>
            </w:r>
            <w:r>
              <w:rPr>
                <w:rFonts w:ascii="Times New Roman" w:hAnsi="Times New Roman" w:eastAsia="Times New Roman" w:cs="Times New Roman"/>
                <w:sz w:val="20"/>
                <w:szCs w:val="20"/>
              </w:rPr>
              <w:t xml:space="preserve"> 3</w:t>
            </w:r>
          </w:p>
        </w:tc>
        <w:tc>
          <w:tcPr>
            <w:tcW w:w="564" w:type="dxa"/>
            <w:vMerge w:val="restart"/>
            <w:tcBorders>
              <w:bottom w:val="nil"/>
            </w:tcBorders>
            <w:vAlign w:val="top"/>
          </w:tcPr>
          <w:p w14:paraId="486A468B">
            <w:pPr>
              <w:spacing w:line="293" w:lineRule="auto"/>
              <w:rPr>
                <w:rFonts w:ascii="Arial"/>
                <w:sz w:val="21"/>
              </w:rPr>
            </w:pPr>
          </w:p>
          <w:p w14:paraId="614941C7">
            <w:pPr>
              <w:spacing w:line="294" w:lineRule="auto"/>
              <w:rPr>
                <w:rFonts w:ascii="Arial"/>
                <w:sz w:val="21"/>
              </w:rPr>
            </w:pPr>
          </w:p>
          <w:p w14:paraId="57B8F64F">
            <w:pPr>
              <w:spacing w:line="294" w:lineRule="auto"/>
              <w:rPr>
                <w:rFonts w:ascii="Arial"/>
                <w:sz w:val="21"/>
              </w:rPr>
            </w:pPr>
          </w:p>
          <w:p w14:paraId="1D91D4B0">
            <w:pPr>
              <w:spacing w:before="57" w:line="195" w:lineRule="auto"/>
              <w:ind w:left="182"/>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532" w:type="dxa"/>
            <w:vMerge w:val="restart"/>
            <w:tcBorders>
              <w:bottom w:val="nil"/>
            </w:tcBorders>
            <w:vAlign w:val="top"/>
          </w:tcPr>
          <w:p w14:paraId="648CCC5D">
            <w:pPr>
              <w:spacing w:line="293" w:lineRule="auto"/>
              <w:rPr>
                <w:rFonts w:ascii="Arial"/>
                <w:sz w:val="21"/>
              </w:rPr>
            </w:pPr>
          </w:p>
          <w:p w14:paraId="4DDBCB1B">
            <w:pPr>
              <w:spacing w:line="294" w:lineRule="auto"/>
              <w:rPr>
                <w:rFonts w:ascii="Arial"/>
                <w:sz w:val="21"/>
              </w:rPr>
            </w:pPr>
          </w:p>
          <w:p w14:paraId="6CD0093A">
            <w:pPr>
              <w:spacing w:line="294" w:lineRule="auto"/>
              <w:rPr>
                <w:rFonts w:ascii="Arial"/>
                <w:sz w:val="21"/>
              </w:rPr>
            </w:pPr>
          </w:p>
          <w:p w14:paraId="549EE196">
            <w:pPr>
              <w:spacing w:before="57" w:line="195" w:lineRule="auto"/>
              <w:ind w:left="1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w:t>
            </w:r>
          </w:p>
        </w:tc>
        <w:tc>
          <w:tcPr>
            <w:tcW w:w="482" w:type="dxa"/>
            <w:vMerge w:val="restart"/>
            <w:tcBorders>
              <w:bottom w:val="nil"/>
            </w:tcBorders>
            <w:vAlign w:val="top"/>
          </w:tcPr>
          <w:p w14:paraId="260685EA">
            <w:pPr>
              <w:spacing w:line="293" w:lineRule="auto"/>
              <w:rPr>
                <w:rFonts w:ascii="Arial"/>
                <w:sz w:val="21"/>
              </w:rPr>
            </w:pPr>
          </w:p>
          <w:p w14:paraId="20AE81F6">
            <w:pPr>
              <w:spacing w:line="294" w:lineRule="auto"/>
              <w:rPr>
                <w:rFonts w:ascii="Arial"/>
                <w:sz w:val="21"/>
              </w:rPr>
            </w:pPr>
          </w:p>
          <w:p w14:paraId="3527CEE0">
            <w:pPr>
              <w:spacing w:line="294" w:lineRule="auto"/>
              <w:rPr>
                <w:rFonts w:ascii="Arial"/>
                <w:sz w:val="21"/>
              </w:rPr>
            </w:pPr>
          </w:p>
          <w:p w14:paraId="6FDF0119">
            <w:pPr>
              <w:spacing w:before="57" w:line="195" w:lineRule="auto"/>
              <w:ind w:left="10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120</w:t>
            </w:r>
          </w:p>
        </w:tc>
        <w:tc>
          <w:tcPr>
            <w:tcW w:w="636" w:type="dxa"/>
            <w:vMerge w:val="restart"/>
            <w:tcBorders>
              <w:bottom w:val="nil"/>
              <w:right w:val="nil"/>
            </w:tcBorders>
            <w:vAlign w:val="top"/>
          </w:tcPr>
          <w:p w14:paraId="1EDC8AD5">
            <w:pPr>
              <w:spacing w:line="279" w:lineRule="auto"/>
              <w:rPr>
                <w:rFonts w:ascii="Arial"/>
                <w:sz w:val="21"/>
              </w:rPr>
            </w:pPr>
          </w:p>
          <w:p w14:paraId="77A113F1">
            <w:pPr>
              <w:spacing w:line="279" w:lineRule="auto"/>
              <w:rPr>
                <w:rFonts w:ascii="Arial"/>
                <w:sz w:val="21"/>
              </w:rPr>
            </w:pPr>
          </w:p>
          <w:p w14:paraId="3D0219C2">
            <w:pPr>
              <w:spacing w:line="280" w:lineRule="auto"/>
              <w:rPr>
                <w:rFonts w:ascii="Arial"/>
                <w:sz w:val="21"/>
              </w:rPr>
            </w:pPr>
          </w:p>
          <w:p w14:paraId="04209E52">
            <w:pPr>
              <w:pStyle w:val="6"/>
              <w:spacing w:before="65" w:line="228" w:lineRule="auto"/>
              <w:ind w:left="116"/>
              <w:rPr>
                <w:sz w:val="20"/>
                <w:szCs w:val="20"/>
              </w:rPr>
            </w:pPr>
            <w:r>
              <w:rPr>
                <w:spacing w:val="3"/>
                <w:sz w:val="20"/>
                <w:szCs w:val="20"/>
              </w:rPr>
              <w:t>大气</w:t>
            </w:r>
          </w:p>
        </w:tc>
      </w:tr>
      <w:tr w14:paraId="374749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3" w:hRule="atLeast"/>
        </w:trPr>
        <w:tc>
          <w:tcPr>
            <w:tcW w:w="1686" w:type="dxa"/>
            <w:vMerge w:val="continue"/>
            <w:tcBorders>
              <w:top w:val="nil"/>
              <w:left w:val="nil"/>
              <w:bottom w:val="nil"/>
            </w:tcBorders>
            <w:vAlign w:val="top"/>
          </w:tcPr>
          <w:p w14:paraId="27D61649">
            <w:pPr>
              <w:rPr>
                <w:rFonts w:ascii="Arial"/>
                <w:sz w:val="21"/>
              </w:rPr>
            </w:pPr>
          </w:p>
        </w:tc>
        <w:tc>
          <w:tcPr>
            <w:tcW w:w="647" w:type="dxa"/>
            <w:vMerge w:val="continue"/>
            <w:tcBorders>
              <w:top w:val="nil"/>
              <w:bottom w:val="nil"/>
            </w:tcBorders>
            <w:vAlign w:val="top"/>
          </w:tcPr>
          <w:p w14:paraId="028D03D1">
            <w:pPr>
              <w:rPr>
                <w:rFonts w:ascii="Arial"/>
                <w:sz w:val="21"/>
              </w:rPr>
            </w:pPr>
          </w:p>
        </w:tc>
        <w:tc>
          <w:tcPr>
            <w:tcW w:w="761" w:type="dxa"/>
            <w:vAlign w:val="top"/>
          </w:tcPr>
          <w:p w14:paraId="50D39E42">
            <w:pPr>
              <w:pStyle w:val="6"/>
              <w:spacing w:before="79" w:line="260" w:lineRule="auto"/>
              <w:ind w:left="69" w:right="65"/>
              <w:rPr>
                <w:sz w:val="20"/>
                <w:szCs w:val="20"/>
              </w:rPr>
            </w:pPr>
            <w:r>
              <w:rPr>
                <w:spacing w:val="6"/>
                <w:sz w:val="20"/>
                <w:szCs w:val="20"/>
              </w:rPr>
              <w:t>锰及其</w:t>
            </w:r>
            <w:r>
              <w:rPr>
                <w:spacing w:val="1"/>
                <w:sz w:val="20"/>
                <w:szCs w:val="20"/>
              </w:rPr>
              <w:t xml:space="preserve"> </w:t>
            </w:r>
            <w:r>
              <w:rPr>
                <w:spacing w:val="6"/>
                <w:sz w:val="20"/>
                <w:szCs w:val="20"/>
              </w:rPr>
              <w:t>化合物</w:t>
            </w:r>
          </w:p>
        </w:tc>
        <w:tc>
          <w:tcPr>
            <w:tcW w:w="1289" w:type="dxa"/>
            <w:vMerge w:val="continue"/>
            <w:tcBorders>
              <w:top w:val="nil"/>
              <w:bottom w:val="nil"/>
            </w:tcBorders>
            <w:vAlign w:val="top"/>
          </w:tcPr>
          <w:p w14:paraId="78F030CA">
            <w:pPr>
              <w:rPr>
                <w:rFonts w:ascii="Arial"/>
                <w:sz w:val="21"/>
              </w:rPr>
            </w:pPr>
          </w:p>
        </w:tc>
        <w:tc>
          <w:tcPr>
            <w:tcW w:w="1235" w:type="dxa"/>
            <w:vMerge w:val="continue"/>
            <w:tcBorders>
              <w:top w:val="nil"/>
              <w:bottom w:val="nil"/>
            </w:tcBorders>
            <w:vAlign w:val="top"/>
          </w:tcPr>
          <w:p w14:paraId="7330B980">
            <w:pPr>
              <w:rPr>
                <w:rFonts w:ascii="Arial"/>
                <w:sz w:val="21"/>
              </w:rPr>
            </w:pPr>
          </w:p>
        </w:tc>
        <w:tc>
          <w:tcPr>
            <w:tcW w:w="633" w:type="dxa"/>
            <w:vAlign w:val="top"/>
          </w:tcPr>
          <w:p w14:paraId="6FB847D3">
            <w:pPr>
              <w:spacing w:before="274"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292.44</w:t>
            </w:r>
          </w:p>
        </w:tc>
        <w:tc>
          <w:tcPr>
            <w:tcW w:w="575" w:type="dxa"/>
            <w:vAlign w:val="top"/>
          </w:tcPr>
          <w:p w14:paraId="4E1606A3">
            <w:pPr>
              <w:spacing w:before="274"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87.64</w:t>
            </w:r>
          </w:p>
        </w:tc>
        <w:tc>
          <w:tcPr>
            <w:tcW w:w="564" w:type="dxa"/>
            <w:vMerge w:val="continue"/>
            <w:tcBorders>
              <w:top w:val="nil"/>
              <w:bottom w:val="nil"/>
            </w:tcBorders>
            <w:vAlign w:val="top"/>
          </w:tcPr>
          <w:p w14:paraId="519D10DD">
            <w:pPr>
              <w:rPr>
                <w:rFonts w:ascii="Arial"/>
                <w:sz w:val="21"/>
              </w:rPr>
            </w:pPr>
          </w:p>
        </w:tc>
        <w:tc>
          <w:tcPr>
            <w:tcW w:w="532" w:type="dxa"/>
            <w:vMerge w:val="continue"/>
            <w:tcBorders>
              <w:top w:val="nil"/>
              <w:bottom w:val="nil"/>
            </w:tcBorders>
            <w:vAlign w:val="top"/>
          </w:tcPr>
          <w:p w14:paraId="32DB966A">
            <w:pPr>
              <w:rPr>
                <w:rFonts w:ascii="Arial"/>
                <w:sz w:val="21"/>
              </w:rPr>
            </w:pPr>
          </w:p>
        </w:tc>
        <w:tc>
          <w:tcPr>
            <w:tcW w:w="482" w:type="dxa"/>
            <w:vMerge w:val="continue"/>
            <w:tcBorders>
              <w:top w:val="nil"/>
              <w:bottom w:val="nil"/>
            </w:tcBorders>
            <w:vAlign w:val="top"/>
          </w:tcPr>
          <w:p w14:paraId="192F6819">
            <w:pPr>
              <w:rPr>
                <w:rFonts w:ascii="Arial"/>
                <w:sz w:val="21"/>
              </w:rPr>
            </w:pPr>
          </w:p>
        </w:tc>
        <w:tc>
          <w:tcPr>
            <w:tcW w:w="636" w:type="dxa"/>
            <w:vMerge w:val="continue"/>
            <w:tcBorders>
              <w:top w:val="nil"/>
              <w:bottom w:val="nil"/>
              <w:right w:val="nil"/>
            </w:tcBorders>
            <w:vAlign w:val="top"/>
          </w:tcPr>
          <w:p w14:paraId="18E295A6">
            <w:pPr>
              <w:rPr>
                <w:rFonts w:ascii="Arial"/>
                <w:sz w:val="21"/>
              </w:rPr>
            </w:pPr>
          </w:p>
        </w:tc>
      </w:tr>
      <w:tr w14:paraId="33919E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1686" w:type="dxa"/>
            <w:vMerge w:val="continue"/>
            <w:tcBorders>
              <w:top w:val="nil"/>
              <w:left w:val="nil"/>
              <w:bottom w:val="nil"/>
            </w:tcBorders>
            <w:vAlign w:val="top"/>
          </w:tcPr>
          <w:p w14:paraId="5A962ABE">
            <w:pPr>
              <w:rPr>
                <w:rFonts w:ascii="Arial"/>
                <w:sz w:val="21"/>
              </w:rPr>
            </w:pPr>
          </w:p>
        </w:tc>
        <w:tc>
          <w:tcPr>
            <w:tcW w:w="647" w:type="dxa"/>
            <w:vMerge w:val="continue"/>
            <w:tcBorders>
              <w:top w:val="nil"/>
              <w:bottom w:val="nil"/>
            </w:tcBorders>
            <w:vAlign w:val="top"/>
          </w:tcPr>
          <w:p w14:paraId="20785E4F">
            <w:pPr>
              <w:rPr>
                <w:rFonts w:ascii="Arial"/>
                <w:sz w:val="21"/>
              </w:rPr>
            </w:pPr>
          </w:p>
        </w:tc>
        <w:tc>
          <w:tcPr>
            <w:tcW w:w="761" w:type="dxa"/>
            <w:vAlign w:val="top"/>
          </w:tcPr>
          <w:p w14:paraId="6D58781C">
            <w:pPr>
              <w:spacing w:before="118" w:line="202" w:lineRule="auto"/>
              <w:ind w:left="223"/>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289" w:type="dxa"/>
            <w:vMerge w:val="continue"/>
            <w:tcBorders>
              <w:top w:val="nil"/>
              <w:bottom w:val="nil"/>
            </w:tcBorders>
            <w:vAlign w:val="top"/>
          </w:tcPr>
          <w:p w14:paraId="1FA9E4B9">
            <w:pPr>
              <w:rPr>
                <w:rFonts w:ascii="Arial"/>
                <w:sz w:val="21"/>
              </w:rPr>
            </w:pPr>
          </w:p>
        </w:tc>
        <w:tc>
          <w:tcPr>
            <w:tcW w:w="1235" w:type="dxa"/>
            <w:vMerge w:val="continue"/>
            <w:tcBorders>
              <w:top w:val="nil"/>
              <w:bottom w:val="nil"/>
            </w:tcBorders>
            <w:vAlign w:val="top"/>
          </w:tcPr>
          <w:p w14:paraId="779AE6F4">
            <w:pPr>
              <w:rPr>
                <w:rFonts w:ascii="Arial"/>
                <w:sz w:val="21"/>
              </w:rPr>
            </w:pPr>
          </w:p>
        </w:tc>
        <w:tc>
          <w:tcPr>
            <w:tcW w:w="633" w:type="dxa"/>
            <w:vAlign w:val="top"/>
          </w:tcPr>
          <w:p w14:paraId="5BA15E61">
            <w:pPr>
              <w:spacing w:before="120"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234.74</w:t>
            </w:r>
          </w:p>
        </w:tc>
        <w:tc>
          <w:tcPr>
            <w:tcW w:w="575" w:type="dxa"/>
            <w:vAlign w:val="top"/>
          </w:tcPr>
          <w:p w14:paraId="449C6DBE">
            <w:pPr>
              <w:spacing w:before="120"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34.56</w:t>
            </w:r>
          </w:p>
        </w:tc>
        <w:tc>
          <w:tcPr>
            <w:tcW w:w="564" w:type="dxa"/>
            <w:vMerge w:val="continue"/>
            <w:tcBorders>
              <w:top w:val="nil"/>
              <w:bottom w:val="nil"/>
            </w:tcBorders>
            <w:vAlign w:val="top"/>
          </w:tcPr>
          <w:p w14:paraId="64375C99">
            <w:pPr>
              <w:rPr>
                <w:rFonts w:ascii="Arial"/>
                <w:sz w:val="21"/>
              </w:rPr>
            </w:pPr>
          </w:p>
        </w:tc>
        <w:tc>
          <w:tcPr>
            <w:tcW w:w="532" w:type="dxa"/>
            <w:vMerge w:val="continue"/>
            <w:tcBorders>
              <w:top w:val="nil"/>
              <w:bottom w:val="nil"/>
            </w:tcBorders>
            <w:vAlign w:val="top"/>
          </w:tcPr>
          <w:p w14:paraId="12F2C1CE">
            <w:pPr>
              <w:rPr>
                <w:rFonts w:ascii="Arial"/>
                <w:sz w:val="21"/>
              </w:rPr>
            </w:pPr>
          </w:p>
        </w:tc>
        <w:tc>
          <w:tcPr>
            <w:tcW w:w="482" w:type="dxa"/>
            <w:vMerge w:val="continue"/>
            <w:tcBorders>
              <w:top w:val="nil"/>
              <w:bottom w:val="nil"/>
            </w:tcBorders>
            <w:vAlign w:val="top"/>
          </w:tcPr>
          <w:p w14:paraId="6F9D349E">
            <w:pPr>
              <w:rPr>
                <w:rFonts w:ascii="Arial"/>
                <w:sz w:val="21"/>
              </w:rPr>
            </w:pPr>
          </w:p>
        </w:tc>
        <w:tc>
          <w:tcPr>
            <w:tcW w:w="636" w:type="dxa"/>
            <w:vMerge w:val="continue"/>
            <w:tcBorders>
              <w:top w:val="nil"/>
              <w:bottom w:val="nil"/>
              <w:right w:val="nil"/>
            </w:tcBorders>
            <w:vAlign w:val="top"/>
          </w:tcPr>
          <w:p w14:paraId="57E9976A">
            <w:pPr>
              <w:rPr>
                <w:rFonts w:ascii="Arial"/>
                <w:sz w:val="21"/>
              </w:rPr>
            </w:pPr>
          </w:p>
        </w:tc>
      </w:tr>
      <w:tr w14:paraId="700C35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1686" w:type="dxa"/>
            <w:vMerge w:val="continue"/>
            <w:tcBorders>
              <w:top w:val="nil"/>
              <w:left w:val="nil"/>
            </w:tcBorders>
            <w:vAlign w:val="top"/>
          </w:tcPr>
          <w:p w14:paraId="2E390EF8">
            <w:pPr>
              <w:rPr>
                <w:rFonts w:ascii="Arial"/>
                <w:sz w:val="21"/>
              </w:rPr>
            </w:pPr>
          </w:p>
        </w:tc>
        <w:tc>
          <w:tcPr>
            <w:tcW w:w="647" w:type="dxa"/>
            <w:vMerge w:val="continue"/>
            <w:tcBorders>
              <w:top w:val="nil"/>
            </w:tcBorders>
            <w:vAlign w:val="top"/>
          </w:tcPr>
          <w:p w14:paraId="25AEF2A1">
            <w:pPr>
              <w:rPr>
                <w:rFonts w:ascii="Arial"/>
                <w:sz w:val="21"/>
              </w:rPr>
            </w:pPr>
          </w:p>
        </w:tc>
        <w:tc>
          <w:tcPr>
            <w:tcW w:w="761" w:type="dxa"/>
            <w:vAlign w:val="top"/>
          </w:tcPr>
          <w:p w14:paraId="42573A0F">
            <w:pPr>
              <w:spacing w:before="119" w:line="202" w:lineRule="auto"/>
              <w:ind w:left="174"/>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289" w:type="dxa"/>
            <w:vMerge w:val="continue"/>
            <w:tcBorders>
              <w:top w:val="nil"/>
            </w:tcBorders>
            <w:vAlign w:val="top"/>
          </w:tcPr>
          <w:p w14:paraId="3B672149">
            <w:pPr>
              <w:rPr>
                <w:rFonts w:ascii="Arial"/>
                <w:sz w:val="21"/>
              </w:rPr>
            </w:pPr>
          </w:p>
        </w:tc>
        <w:tc>
          <w:tcPr>
            <w:tcW w:w="1235" w:type="dxa"/>
            <w:vMerge w:val="continue"/>
            <w:tcBorders>
              <w:top w:val="nil"/>
            </w:tcBorders>
            <w:vAlign w:val="top"/>
          </w:tcPr>
          <w:p w14:paraId="4C3725AF">
            <w:pPr>
              <w:rPr>
                <w:rFonts w:ascii="Arial"/>
                <w:sz w:val="21"/>
              </w:rPr>
            </w:pPr>
          </w:p>
        </w:tc>
        <w:tc>
          <w:tcPr>
            <w:tcW w:w="633" w:type="dxa"/>
            <w:vAlign w:val="top"/>
          </w:tcPr>
          <w:p w14:paraId="1CCD4604">
            <w:pPr>
              <w:spacing w:before="119"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282.</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1"/>
                <w:sz w:val="20"/>
                <w:szCs w:val="20"/>
              </w:rPr>
              <w:t>12</w:t>
            </w:r>
          </w:p>
        </w:tc>
        <w:tc>
          <w:tcPr>
            <w:tcW w:w="575" w:type="dxa"/>
            <w:vAlign w:val="top"/>
          </w:tcPr>
          <w:p w14:paraId="126463B1">
            <w:pPr>
              <w:spacing w:before="119" w:line="195" w:lineRule="auto"/>
              <w:ind w:left="5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41.53</w:t>
            </w:r>
          </w:p>
        </w:tc>
        <w:tc>
          <w:tcPr>
            <w:tcW w:w="564" w:type="dxa"/>
            <w:vMerge w:val="continue"/>
            <w:tcBorders>
              <w:top w:val="nil"/>
            </w:tcBorders>
            <w:vAlign w:val="top"/>
          </w:tcPr>
          <w:p w14:paraId="14E569CB">
            <w:pPr>
              <w:rPr>
                <w:rFonts w:ascii="Arial"/>
                <w:sz w:val="21"/>
              </w:rPr>
            </w:pPr>
          </w:p>
        </w:tc>
        <w:tc>
          <w:tcPr>
            <w:tcW w:w="532" w:type="dxa"/>
            <w:vMerge w:val="continue"/>
            <w:tcBorders>
              <w:top w:val="nil"/>
            </w:tcBorders>
            <w:vAlign w:val="top"/>
          </w:tcPr>
          <w:p w14:paraId="6E6045E5">
            <w:pPr>
              <w:rPr>
                <w:rFonts w:ascii="Arial"/>
                <w:sz w:val="21"/>
              </w:rPr>
            </w:pPr>
          </w:p>
        </w:tc>
        <w:tc>
          <w:tcPr>
            <w:tcW w:w="482" w:type="dxa"/>
            <w:vMerge w:val="continue"/>
            <w:tcBorders>
              <w:top w:val="nil"/>
            </w:tcBorders>
            <w:vAlign w:val="top"/>
          </w:tcPr>
          <w:p w14:paraId="79A5AD69">
            <w:pPr>
              <w:rPr>
                <w:rFonts w:ascii="Arial"/>
                <w:sz w:val="21"/>
              </w:rPr>
            </w:pPr>
          </w:p>
        </w:tc>
        <w:tc>
          <w:tcPr>
            <w:tcW w:w="636" w:type="dxa"/>
            <w:vMerge w:val="continue"/>
            <w:tcBorders>
              <w:top w:val="nil"/>
              <w:right w:val="nil"/>
            </w:tcBorders>
            <w:vAlign w:val="top"/>
          </w:tcPr>
          <w:p w14:paraId="242946C1">
            <w:pPr>
              <w:rPr>
                <w:rFonts w:ascii="Arial"/>
                <w:sz w:val="21"/>
              </w:rPr>
            </w:pPr>
          </w:p>
        </w:tc>
      </w:tr>
      <w:tr w14:paraId="0D0033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4" w:hRule="atLeast"/>
        </w:trPr>
        <w:tc>
          <w:tcPr>
            <w:tcW w:w="1686" w:type="dxa"/>
            <w:vMerge w:val="restart"/>
            <w:tcBorders>
              <w:left w:val="nil"/>
              <w:bottom w:val="nil"/>
            </w:tcBorders>
            <w:vAlign w:val="top"/>
          </w:tcPr>
          <w:p w14:paraId="6413EA36">
            <w:pPr>
              <w:spacing w:line="278" w:lineRule="auto"/>
              <w:rPr>
                <w:rFonts w:ascii="Arial"/>
                <w:sz w:val="21"/>
              </w:rPr>
            </w:pPr>
          </w:p>
          <w:p w14:paraId="364A519D">
            <w:pPr>
              <w:spacing w:line="278" w:lineRule="auto"/>
              <w:rPr>
                <w:rFonts w:ascii="Arial"/>
                <w:sz w:val="21"/>
              </w:rPr>
            </w:pPr>
          </w:p>
          <w:p w14:paraId="1013368A">
            <w:pPr>
              <w:spacing w:line="278" w:lineRule="auto"/>
              <w:rPr>
                <w:rFonts w:ascii="Arial"/>
                <w:sz w:val="21"/>
              </w:rPr>
            </w:pPr>
          </w:p>
          <w:p w14:paraId="6F6DCC4F">
            <w:pPr>
              <w:pStyle w:val="6"/>
              <w:spacing w:before="65" w:line="228" w:lineRule="auto"/>
              <w:ind w:left="245"/>
              <w:rPr>
                <w:sz w:val="20"/>
                <w:szCs w:val="20"/>
              </w:rPr>
            </w:pPr>
            <w:r>
              <w:rPr>
                <w:spacing w:val="4"/>
                <w:sz w:val="20"/>
                <w:szCs w:val="20"/>
              </w:rPr>
              <w:t>电炉放散煤气</w:t>
            </w:r>
          </w:p>
        </w:tc>
        <w:tc>
          <w:tcPr>
            <w:tcW w:w="647" w:type="dxa"/>
            <w:vMerge w:val="restart"/>
            <w:tcBorders>
              <w:bottom w:val="nil"/>
            </w:tcBorders>
            <w:vAlign w:val="top"/>
          </w:tcPr>
          <w:p w14:paraId="2FD1C683">
            <w:pPr>
              <w:rPr>
                <w:rFonts w:ascii="Arial"/>
                <w:sz w:val="21"/>
              </w:rPr>
            </w:pPr>
          </w:p>
          <w:p w14:paraId="0F8E7537">
            <w:pPr>
              <w:rPr>
                <w:rFonts w:ascii="Arial"/>
                <w:sz w:val="21"/>
              </w:rPr>
            </w:pPr>
          </w:p>
          <w:p w14:paraId="1BC52ADB">
            <w:pPr>
              <w:rPr>
                <w:rFonts w:ascii="Arial"/>
                <w:sz w:val="21"/>
              </w:rPr>
            </w:pPr>
          </w:p>
          <w:p w14:paraId="6467CAB8">
            <w:pPr>
              <w:spacing w:before="58" w:line="327" w:lineRule="auto"/>
              <w:ind w:left="94" w:right="52" w:hanging="3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6×116</w:t>
            </w:r>
            <w:r>
              <w:rPr>
                <w:rFonts w:ascii="Times New Roman" w:hAnsi="Times New Roman" w:eastAsia="Times New Roman" w:cs="Times New Roman"/>
                <w:spacing w:val="1"/>
                <w:sz w:val="20"/>
                <w:szCs w:val="20"/>
              </w:rPr>
              <w:t xml:space="preserve"> </w:t>
            </w:r>
            <w:r>
              <w:rPr>
                <w:rFonts w:ascii="Times New Roman" w:hAnsi="Times New Roman" w:eastAsia="Times New Roman" w:cs="Times New Roman"/>
                <w:spacing w:val="2"/>
                <w:sz w:val="20"/>
                <w:szCs w:val="20"/>
              </w:rPr>
              <w:t>52.05</w:t>
            </w:r>
          </w:p>
        </w:tc>
        <w:tc>
          <w:tcPr>
            <w:tcW w:w="761" w:type="dxa"/>
            <w:vAlign w:val="top"/>
          </w:tcPr>
          <w:p w14:paraId="53278407">
            <w:pPr>
              <w:pStyle w:val="6"/>
              <w:spacing w:before="243" w:line="228" w:lineRule="auto"/>
              <w:ind w:left="68"/>
              <w:rPr>
                <w:sz w:val="20"/>
                <w:szCs w:val="20"/>
              </w:rPr>
            </w:pPr>
            <w:r>
              <w:rPr>
                <w:spacing w:val="7"/>
                <w:sz w:val="20"/>
                <w:szCs w:val="20"/>
              </w:rPr>
              <w:t>颗粒物</w:t>
            </w:r>
          </w:p>
        </w:tc>
        <w:tc>
          <w:tcPr>
            <w:tcW w:w="1289" w:type="dxa"/>
            <w:vMerge w:val="restart"/>
            <w:tcBorders>
              <w:bottom w:val="nil"/>
            </w:tcBorders>
            <w:vAlign w:val="top"/>
          </w:tcPr>
          <w:p w14:paraId="5A3BB865">
            <w:pPr>
              <w:pStyle w:val="6"/>
              <w:spacing w:before="107" w:line="288" w:lineRule="auto"/>
              <w:ind w:left="42" w:right="63" w:firstLine="107"/>
              <w:jc w:val="right"/>
              <w:rPr>
                <w:sz w:val="20"/>
                <w:szCs w:val="20"/>
              </w:rPr>
            </w:pPr>
            <w:r>
              <w:rPr>
                <w:spacing w:val="2"/>
                <w:sz w:val="20"/>
                <w:szCs w:val="20"/>
              </w:rPr>
              <w:t xml:space="preserve">电炉出现故 </w:t>
            </w:r>
            <w:r>
              <w:rPr>
                <w:spacing w:val="24"/>
                <w:sz w:val="20"/>
                <w:szCs w:val="20"/>
              </w:rPr>
              <w:t>障或煤气质</w:t>
            </w:r>
            <w:r>
              <w:rPr>
                <w:spacing w:val="2"/>
                <w:sz w:val="20"/>
                <w:szCs w:val="20"/>
              </w:rPr>
              <w:t xml:space="preserve"> </w:t>
            </w:r>
            <w:r>
              <w:rPr>
                <w:spacing w:val="24"/>
                <w:sz w:val="20"/>
                <w:szCs w:val="20"/>
              </w:rPr>
              <w:t>量不能满足</w:t>
            </w:r>
            <w:r>
              <w:rPr>
                <w:spacing w:val="2"/>
                <w:sz w:val="20"/>
                <w:szCs w:val="20"/>
              </w:rPr>
              <w:t xml:space="preserve"> </w:t>
            </w:r>
            <w:r>
              <w:rPr>
                <w:spacing w:val="-4"/>
                <w:sz w:val="20"/>
                <w:szCs w:val="20"/>
              </w:rPr>
              <w:t>回收条件时，</w:t>
            </w:r>
            <w:r>
              <w:rPr>
                <w:spacing w:val="1"/>
                <w:sz w:val="20"/>
                <w:szCs w:val="20"/>
              </w:rPr>
              <w:t xml:space="preserve"> </w:t>
            </w:r>
            <w:r>
              <w:rPr>
                <w:spacing w:val="2"/>
                <w:sz w:val="20"/>
                <w:szCs w:val="20"/>
              </w:rPr>
              <w:t>电炉煤气放</w:t>
            </w:r>
          </w:p>
          <w:p w14:paraId="3D2B4218">
            <w:pPr>
              <w:pStyle w:val="6"/>
              <w:spacing w:before="31" w:line="228" w:lineRule="auto"/>
              <w:ind w:left="543"/>
              <w:rPr>
                <w:sz w:val="20"/>
                <w:szCs w:val="20"/>
              </w:rPr>
            </w:pPr>
            <w:r>
              <w:rPr>
                <w:spacing w:val="1"/>
                <w:sz w:val="20"/>
                <w:szCs w:val="20"/>
              </w:rPr>
              <w:t>散</w:t>
            </w:r>
          </w:p>
        </w:tc>
        <w:tc>
          <w:tcPr>
            <w:tcW w:w="1235" w:type="dxa"/>
            <w:vMerge w:val="restart"/>
            <w:tcBorders>
              <w:bottom w:val="nil"/>
            </w:tcBorders>
            <w:vAlign w:val="top"/>
          </w:tcPr>
          <w:p w14:paraId="1FFF0E1E">
            <w:pPr>
              <w:spacing w:line="291" w:lineRule="auto"/>
              <w:rPr>
                <w:rFonts w:ascii="Arial"/>
                <w:sz w:val="21"/>
              </w:rPr>
            </w:pPr>
          </w:p>
          <w:p w14:paraId="05DB7583">
            <w:pPr>
              <w:spacing w:line="291" w:lineRule="auto"/>
              <w:rPr>
                <w:rFonts w:ascii="Arial"/>
                <w:sz w:val="21"/>
              </w:rPr>
            </w:pPr>
          </w:p>
          <w:p w14:paraId="08C28160">
            <w:pPr>
              <w:spacing w:line="292" w:lineRule="auto"/>
              <w:rPr>
                <w:rFonts w:ascii="Arial"/>
                <w:sz w:val="21"/>
              </w:rPr>
            </w:pPr>
          </w:p>
          <w:p w14:paraId="3DCD8567">
            <w:pPr>
              <w:spacing w:before="57" w:line="199" w:lineRule="auto"/>
              <w:ind w:left="5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633" w:type="dxa"/>
            <w:vAlign w:val="top"/>
          </w:tcPr>
          <w:p w14:paraId="2C7B88C6">
            <w:pPr>
              <w:spacing w:before="120" w:line="273" w:lineRule="auto"/>
              <w:ind w:left="264" w:right="26" w:hanging="2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 xml:space="preserve">2234.2 </w:t>
            </w:r>
            <w:r>
              <w:rPr>
                <w:rFonts w:ascii="Times New Roman" w:hAnsi="Times New Roman" w:eastAsia="Times New Roman" w:cs="Times New Roman"/>
                <w:spacing w:val="1"/>
                <w:sz w:val="20"/>
                <w:szCs w:val="20"/>
              </w:rPr>
              <w:t>4</w:t>
            </w:r>
          </w:p>
        </w:tc>
        <w:tc>
          <w:tcPr>
            <w:tcW w:w="575" w:type="dxa"/>
            <w:vAlign w:val="top"/>
          </w:tcPr>
          <w:p w14:paraId="37123A68">
            <w:pPr>
              <w:spacing w:before="120" w:line="273" w:lineRule="auto"/>
              <w:ind w:left="187" w:right="42" w:hanging="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6×26.</w:t>
            </w:r>
            <w:r>
              <w:rPr>
                <w:rFonts w:ascii="Times New Roman" w:hAnsi="Times New Roman" w:eastAsia="Times New Roman" w:cs="Times New Roman"/>
                <w:spacing w:val="3"/>
                <w:sz w:val="20"/>
                <w:szCs w:val="20"/>
              </w:rPr>
              <w:t xml:space="preserve"> </w:t>
            </w:r>
            <w:r>
              <w:rPr>
                <w:rFonts w:ascii="Times New Roman" w:hAnsi="Times New Roman" w:eastAsia="Times New Roman" w:cs="Times New Roman"/>
                <w:spacing w:val="1"/>
                <w:sz w:val="20"/>
                <w:szCs w:val="20"/>
              </w:rPr>
              <w:t>03</w:t>
            </w:r>
          </w:p>
        </w:tc>
        <w:tc>
          <w:tcPr>
            <w:tcW w:w="564" w:type="dxa"/>
            <w:vMerge w:val="restart"/>
            <w:tcBorders>
              <w:bottom w:val="nil"/>
            </w:tcBorders>
            <w:vAlign w:val="top"/>
          </w:tcPr>
          <w:p w14:paraId="1DEB04B3">
            <w:pPr>
              <w:spacing w:line="292" w:lineRule="auto"/>
              <w:rPr>
                <w:rFonts w:ascii="Arial"/>
                <w:sz w:val="21"/>
              </w:rPr>
            </w:pPr>
          </w:p>
          <w:p w14:paraId="25BB5490">
            <w:pPr>
              <w:spacing w:line="293" w:lineRule="auto"/>
              <w:rPr>
                <w:rFonts w:ascii="Arial"/>
                <w:sz w:val="21"/>
              </w:rPr>
            </w:pPr>
          </w:p>
          <w:p w14:paraId="07FBE4A8">
            <w:pPr>
              <w:spacing w:line="293" w:lineRule="auto"/>
              <w:rPr>
                <w:rFonts w:ascii="Arial"/>
                <w:sz w:val="21"/>
              </w:rPr>
            </w:pPr>
          </w:p>
          <w:p w14:paraId="52A6DE79">
            <w:pPr>
              <w:spacing w:before="57" w:line="195" w:lineRule="auto"/>
              <w:ind w:left="182"/>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532" w:type="dxa"/>
            <w:vMerge w:val="restart"/>
            <w:tcBorders>
              <w:bottom w:val="nil"/>
            </w:tcBorders>
            <w:vAlign w:val="top"/>
          </w:tcPr>
          <w:p w14:paraId="2C17A4B8">
            <w:pPr>
              <w:spacing w:line="292" w:lineRule="auto"/>
              <w:rPr>
                <w:rFonts w:ascii="Arial"/>
                <w:sz w:val="21"/>
              </w:rPr>
            </w:pPr>
          </w:p>
          <w:p w14:paraId="1169579F">
            <w:pPr>
              <w:spacing w:line="293" w:lineRule="auto"/>
              <w:rPr>
                <w:rFonts w:ascii="Arial"/>
                <w:sz w:val="21"/>
              </w:rPr>
            </w:pPr>
          </w:p>
          <w:p w14:paraId="44DC5CE0">
            <w:pPr>
              <w:spacing w:line="293" w:lineRule="auto"/>
              <w:rPr>
                <w:rFonts w:ascii="Arial"/>
                <w:sz w:val="21"/>
              </w:rPr>
            </w:pPr>
          </w:p>
          <w:p w14:paraId="2A8A39A5">
            <w:pPr>
              <w:spacing w:before="57" w:line="195" w:lineRule="auto"/>
              <w:ind w:left="15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c>
          <w:tcPr>
            <w:tcW w:w="482" w:type="dxa"/>
            <w:vMerge w:val="restart"/>
            <w:tcBorders>
              <w:bottom w:val="nil"/>
            </w:tcBorders>
            <w:vAlign w:val="top"/>
          </w:tcPr>
          <w:p w14:paraId="5119B494">
            <w:pPr>
              <w:spacing w:line="292" w:lineRule="auto"/>
              <w:rPr>
                <w:rFonts w:ascii="Arial"/>
                <w:sz w:val="21"/>
              </w:rPr>
            </w:pPr>
          </w:p>
          <w:p w14:paraId="17A9EB05">
            <w:pPr>
              <w:spacing w:line="293" w:lineRule="auto"/>
              <w:rPr>
                <w:rFonts w:ascii="Arial"/>
                <w:sz w:val="21"/>
              </w:rPr>
            </w:pPr>
          </w:p>
          <w:p w14:paraId="56958E8D">
            <w:pPr>
              <w:spacing w:line="293" w:lineRule="auto"/>
              <w:rPr>
                <w:rFonts w:ascii="Arial"/>
                <w:sz w:val="21"/>
              </w:rPr>
            </w:pPr>
          </w:p>
          <w:p w14:paraId="54215BA6">
            <w:pPr>
              <w:spacing w:before="57" w:line="195" w:lineRule="auto"/>
              <w:ind w:left="10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120</w:t>
            </w:r>
          </w:p>
        </w:tc>
        <w:tc>
          <w:tcPr>
            <w:tcW w:w="636" w:type="dxa"/>
            <w:vMerge w:val="restart"/>
            <w:tcBorders>
              <w:bottom w:val="nil"/>
              <w:right w:val="nil"/>
            </w:tcBorders>
            <w:vAlign w:val="top"/>
          </w:tcPr>
          <w:p w14:paraId="552A502C">
            <w:pPr>
              <w:spacing w:line="278" w:lineRule="auto"/>
              <w:rPr>
                <w:rFonts w:ascii="Arial"/>
                <w:sz w:val="21"/>
              </w:rPr>
            </w:pPr>
          </w:p>
          <w:p w14:paraId="60B7A807">
            <w:pPr>
              <w:spacing w:line="278" w:lineRule="auto"/>
              <w:rPr>
                <w:rFonts w:ascii="Arial"/>
                <w:sz w:val="21"/>
              </w:rPr>
            </w:pPr>
          </w:p>
          <w:p w14:paraId="5EA86F91">
            <w:pPr>
              <w:spacing w:line="279" w:lineRule="auto"/>
              <w:rPr>
                <w:rFonts w:ascii="Arial"/>
                <w:sz w:val="21"/>
              </w:rPr>
            </w:pPr>
          </w:p>
          <w:p w14:paraId="2DC3ADC4">
            <w:pPr>
              <w:pStyle w:val="6"/>
              <w:spacing w:before="65" w:line="228" w:lineRule="auto"/>
              <w:ind w:left="116"/>
              <w:rPr>
                <w:sz w:val="20"/>
                <w:szCs w:val="20"/>
              </w:rPr>
            </w:pPr>
            <w:r>
              <w:rPr>
                <w:spacing w:val="3"/>
                <w:sz w:val="20"/>
                <w:szCs w:val="20"/>
              </w:rPr>
              <w:t>大气</w:t>
            </w:r>
          </w:p>
        </w:tc>
      </w:tr>
      <w:tr w14:paraId="4D9D3B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3" w:hRule="atLeast"/>
        </w:trPr>
        <w:tc>
          <w:tcPr>
            <w:tcW w:w="1686" w:type="dxa"/>
            <w:vMerge w:val="continue"/>
            <w:tcBorders>
              <w:top w:val="nil"/>
              <w:left w:val="nil"/>
              <w:bottom w:val="nil"/>
            </w:tcBorders>
            <w:vAlign w:val="top"/>
          </w:tcPr>
          <w:p w14:paraId="10E303C8">
            <w:pPr>
              <w:rPr>
                <w:rFonts w:ascii="Arial"/>
                <w:sz w:val="21"/>
              </w:rPr>
            </w:pPr>
          </w:p>
        </w:tc>
        <w:tc>
          <w:tcPr>
            <w:tcW w:w="647" w:type="dxa"/>
            <w:vMerge w:val="continue"/>
            <w:tcBorders>
              <w:top w:val="nil"/>
              <w:bottom w:val="nil"/>
            </w:tcBorders>
            <w:vAlign w:val="top"/>
          </w:tcPr>
          <w:p w14:paraId="2C479351">
            <w:pPr>
              <w:rPr>
                <w:rFonts w:ascii="Arial"/>
                <w:sz w:val="21"/>
              </w:rPr>
            </w:pPr>
          </w:p>
        </w:tc>
        <w:tc>
          <w:tcPr>
            <w:tcW w:w="761" w:type="dxa"/>
            <w:vAlign w:val="top"/>
          </w:tcPr>
          <w:p w14:paraId="1B30D006">
            <w:pPr>
              <w:spacing w:before="282" w:line="202" w:lineRule="auto"/>
              <w:ind w:left="223"/>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289" w:type="dxa"/>
            <w:vMerge w:val="continue"/>
            <w:tcBorders>
              <w:top w:val="nil"/>
              <w:bottom w:val="nil"/>
            </w:tcBorders>
            <w:vAlign w:val="top"/>
          </w:tcPr>
          <w:p w14:paraId="0D719216">
            <w:pPr>
              <w:rPr>
                <w:rFonts w:ascii="Arial"/>
                <w:sz w:val="21"/>
              </w:rPr>
            </w:pPr>
          </w:p>
        </w:tc>
        <w:tc>
          <w:tcPr>
            <w:tcW w:w="1235" w:type="dxa"/>
            <w:vMerge w:val="continue"/>
            <w:tcBorders>
              <w:top w:val="nil"/>
              <w:bottom w:val="nil"/>
            </w:tcBorders>
            <w:vAlign w:val="top"/>
          </w:tcPr>
          <w:p w14:paraId="505A042E">
            <w:pPr>
              <w:rPr>
                <w:rFonts w:ascii="Arial"/>
                <w:sz w:val="21"/>
              </w:rPr>
            </w:pPr>
          </w:p>
        </w:tc>
        <w:tc>
          <w:tcPr>
            <w:tcW w:w="633" w:type="dxa"/>
            <w:vAlign w:val="top"/>
          </w:tcPr>
          <w:p w14:paraId="0ED47DD4">
            <w:pPr>
              <w:spacing w:before="282" w:line="195" w:lineRule="auto"/>
              <w:ind w:left="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51.</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3"/>
                <w:sz w:val="20"/>
                <w:szCs w:val="20"/>
              </w:rPr>
              <w:t>14</w:t>
            </w:r>
          </w:p>
        </w:tc>
        <w:tc>
          <w:tcPr>
            <w:tcW w:w="575" w:type="dxa"/>
            <w:vAlign w:val="top"/>
          </w:tcPr>
          <w:p w14:paraId="02862FD2">
            <w:pPr>
              <w:spacing w:before="123" w:line="271" w:lineRule="auto"/>
              <w:ind w:left="240" w:right="42" w:hanging="1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6×0.6</w:t>
            </w:r>
            <w:r>
              <w:rPr>
                <w:rFonts w:ascii="Times New Roman" w:hAnsi="Times New Roman" w:eastAsia="Times New Roman" w:cs="Times New Roman"/>
                <w:spacing w:val="3"/>
                <w:sz w:val="20"/>
                <w:szCs w:val="20"/>
              </w:rPr>
              <w:t xml:space="preserve"> </w:t>
            </w:r>
            <w:r>
              <w:rPr>
                <w:rFonts w:ascii="Times New Roman" w:hAnsi="Times New Roman" w:eastAsia="Times New Roman" w:cs="Times New Roman"/>
                <w:sz w:val="20"/>
                <w:szCs w:val="20"/>
              </w:rPr>
              <w:t>0</w:t>
            </w:r>
          </w:p>
        </w:tc>
        <w:tc>
          <w:tcPr>
            <w:tcW w:w="564" w:type="dxa"/>
            <w:vMerge w:val="continue"/>
            <w:tcBorders>
              <w:top w:val="nil"/>
              <w:bottom w:val="nil"/>
            </w:tcBorders>
            <w:vAlign w:val="top"/>
          </w:tcPr>
          <w:p w14:paraId="1C629FE8">
            <w:pPr>
              <w:rPr>
                <w:rFonts w:ascii="Arial"/>
                <w:sz w:val="21"/>
              </w:rPr>
            </w:pPr>
          </w:p>
        </w:tc>
        <w:tc>
          <w:tcPr>
            <w:tcW w:w="532" w:type="dxa"/>
            <w:vMerge w:val="continue"/>
            <w:tcBorders>
              <w:top w:val="nil"/>
              <w:bottom w:val="nil"/>
            </w:tcBorders>
            <w:vAlign w:val="top"/>
          </w:tcPr>
          <w:p w14:paraId="150ACD07">
            <w:pPr>
              <w:rPr>
                <w:rFonts w:ascii="Arial"/>
                <w:sz w:val="21"/>
              </w:rPr>
            </w:pPr>
          </w:p>
        </w:tc>
        <w:tc>
          <w:tcPr>
            <w:tcW w:w="482" w:type="dxa"/>
            <w:vMerge w:val="continue"/>
            <w:tcBorders>
              <w:top w:val="nil"/>
              <w:bottom w:val="nil"/>
            </w:tcBorders>
            <w:vAlign w:val="top"/>
          </w:tcPr>
          <w:p w14:paraId="27FCE505">
            <w:pPr>
              <w:rPr>
                <w:rFonts w:ascii="Arial"/>
                <w:sz w:val="21"/>
              </w:rPr>
            </w:pPr>
          </w:p>
        </w:tc>
        <w:tc>
          <w:tcPr>
            <w:tcW w:w="636" w:type="dxa"/>
            <w:vMerge w:val="continue"/>
            <w:tcBorders>
              <w:top w:val="nil"/>
              <w:bottom w:val="nil"/>
              <w:right w:val="nil"/>
            </w:tcBorders>
            <w:vAlign w:val="top"/>
          </w:tcPr>
          <w:p w14:paraId="4E1E4E00">
            <w:pPr>
              <w:rPr>
                <w:rFonts w:ascii="Arial"/>
                <w:sz w:val="21"/>
              </w:rPr>
            </w:pPr>
          </w:p>
        </w:tc>
      </w:tr>
      <w:tr w14:paraId="5F8A04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4" w:hRule="atLeast"/>
        </w:trPr>
        <w:tc>
          <w:tcPr>
            <w:tcW w:w="1686" w:type="dxa"/>
            <w:vMerge w:val="continue"/>
            <w:tcBorders>
              <w:top w:val="nil"/>
              <w:left w:val="nil"/>
            </w:tcBorders>
            <w:vAlign w:val="top"/>
          </w:tcPr>
          <w:p w14:paraId="09FCDF4D">
            <w:pPr>
              <w:rPr>
                <w:rFonts w:ascii="Arial"/>
                <w:sz w:val="21"/>
              </w:rPr>
            </w:pPr>
          </w:p>
        </w:tc>
        <w:tc>
          <w:tcPr>
            <w:tcW w:w="647" w:type="dxa"/>
            <w:vMerge w:val="continue"/>
            <w:tcBorders>
              <w:top w:val="nil"/>
            </w:tcBorders>
            <w:vAlign w:val="top"/>
          </w:tcPr>
          <w:p w14:paraId="11E3D699">
            <w:pPr>
              <w:rPr>
                <w:rFonts w:ascii="Arial"/>
                <w:sz w:val="21"/>
              </w:rPr>
            </w:pPr>
          </w:p>
        </w:tc>
        <w:tc>
          <w:tcPr>
            <w:tcW w:w="761" w:type="dxa"/>
            <w:vAlign w:val="top"/>
          </w:tcPr>
          <w:p w14:paraId="37B79019">
            <w:pPr>
              <w:spacing w:before="284" w:line="202" w:lineRule="auto"/>
              <w:ind w:left="174"/>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289" w:type="dxa"/>
            <w:vMerge w:val="continue"/>
            <w:tcBorders>
              <w:top w:val="nil"/>
            </w:tcBorders>
            <w:vAlign w:val="top"/>
          </w:tcPr>
          <w:p w14:paraId="159E8D38">
            <w:pPr>
              <w:rPr>
                <w:rFonts w:ascii="Arial"/>
                <w:sz w:val="21"/>
              </w:rPr>
            </w:pPr>
          </w:p>
        </w:tc>
        <w:tc>
          <w:tcPr>
            <w:tcW w:w="1235" w:type="dxa"/>
            <w:vMerge w:val="continue"/>
            <w:tcBorders>
              <w:top w:val="nil"/>
            </w:tcBorders>
            <w:vAlign w:val="top"/>
          </w:tcPr>
          <w:p w14:paraId="5B7074DA">
            <w:pPr>
              <w:rPr>
                <w:rFonts w:ascii="Arial"/>
                <w:sz w:val="21"/>
              </w:rPr>
            </w:pPr>
          </w:p>
        </w:tc>
        <w:tc>
          <w:tcPr>
            <w:tcW w:w="633" w:type="dxa"/>
            <w:vAlign w:val="top"/>
          </w:tcPr>
          <w:p w14:paraId="7DC2BC5C">
            <w:pPr>
              <w:spacing w:before="284"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353.23</w:t>
            </w:r>
          </w:p>
        </w:tc>
        <w:tc>
          <w:tcPr>
            <w:tcW w:w="575" w:type="dxa"/>
            <w:vAlign w:val="top"/>
          </w:tcPr>
          <w:p w14:paraId="3CFA912D">
            <w:pPr>
              <w:spacing w:before="126" w:line="270" w:lineRule="auto"/>
              <w:ind w:left="190" w:right="42" w:hanging="1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6×70.</w:t>
            </w:r>
            <w:r>
              <w:rPr>
                <w:rFonts w:ascii="Times New Roman" w:hAnsi="Times New Roman" w:eastAsia="Times New Roman" w:cs="Times New Roman"/>
                <w:spacing w:val="3"/>
                <w:sz w:val="20"/>
                <w:szCs w:val="20"/>
              </w:rPr>
              <w:t xml:space="preserve"> </w:t>
            </w:r>
            <w:r>
              <w:rPr>
                <w:rFonts w:ascii="Times New Roman" w:hAnsi="Times New Roman" w:eastAsia="Times New Roman" w:cs="Times New Roman"/>
                <w:sz w:val="20"/>
                <w:szCs w:val="20"/>
              </w:rPr>
              <w:t>58</w:t>
            </w:r>
          </w:p>
        </w:tc>
        <w:tc>
          <w:tcPr>
            <w:tcW w:w="564" w:type="dxa"/>
            <w:vMerge w:val="continue"/>
            <w:tcBorders>
              <w:top w:val="nil"/>
            </w:tcBorders>
            <w:vAlign w:val="top"/>
          </w:tcPr>
          <w:p w14:paraId="68D8CBA0">
            <w:pPr>
              <w:rPr>
                <w:rFonts w:ascii="Arial"/>
                <w:sz w:val="21"/>
              </w:rPr>
            </w:pPr>
          </w:p>
        </w:tc>
        <w:tc>
          <w:tcPr>
            <w:tcW w:w="532" w:type="dxa"/>
            <w:vMerge w:val="continue"/>
            <w:tcBorders>
              <w:top w:val="nil"/>
            </w:tcBorders>
            <w:vAlign w:val="top"/>
          </w:tcPr>
          <w:p w14:paraId="084702F1">
            <w:pPr>
              <w:rPr>
                <w:rFonts w:ascii="Arial"/>
                <w:sz w:val="21"/>
              </w:rPr>
            </w:pPr>
          </w:p>
        </w:tc>
        <w:tc>
          <w:tcPr>
            <w:tcW w:w="482" w:type="dxa"/>
            <w:vMerge w:val="continue"/>
            <w:tcBorders>
              <w:top w:val="nil"/>
            </w:tcBorders>
            <w:vAlign w:val="top"/>
          </w:tcPr>
          <w:p w14:paraId="1C28459D">
            <w:pPr>
              <w:rPr>
                <w:rFonts w:ascii="Arial"/>
                <w:sz w:val="21"/>
              </w:rPr>
            </w:pPr>
          </w:p>
        </w:tc>
        <w:tc>
          <w:tcPr>
            <w:tcW w:w="636" w:type="dxa"/>
            <w:vMerge w:val="continue"/>
            <w:tcBorders>
              <w:top w:val="nil"/>
              <w:right w:val="nil"/>
            </w:tcBorders>
            <w:vAlign w:val="top"/>
          </w:tcPr>
          <w:p w14:paraId="6E1BFB82">
            <w:pPr>
              <w:rPr>
                <w:rFonts w:ascii="Arial"/>
                <w:sz w:val="21"/>
              </w:rPr>
            </w:pPr>
          </w:p>
        </w:tc>
      </w:tr>
      <w:tr w14:paraId="53E2FE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686" w:type="dxa"/>
            <w:vMerge w:val="restart"/>
            <w:tcBorders>
              <w:left w:val="nil"/>
              <w:bottom w:val="nil"/>
            </w:tcBorders>
            <w:vAlign w:val="top"/>
          </w:tcPr>
          <w:p w14:paraId="78366178">
            <w:pPr>
              <w:spacing w:line="270" w:lineRule="auto"/>
              <w:rPr>
                <w:rFonts w:ascii="Arial"/>
                <w:sz w:val="21"/>
              </w:rPr>
            </w:pPr>
          </w:p>
          <w:p w14:paraId="65190BCA">
            <w:pPr>
              <w:pStyle w:val="6"/>
              <w:spacing w:before="65" w:line="281" w:lineRule="auto"/>
              <w:ind w:left="747" w:right="106" w:hanging="631"/>
              <w:rPr>
                <w:sz w:val="20"/>
                <w:szCs w:val="20"/>
              </w:rPr>
            </w:pPr>
            <w:r>
              <w:rPr>
                <w:spacing w:val="8"/>
                <w:sz w:val="20"/>
                <w:szCs w:val="20"/>
              </w:rPr>
              <w:t>燃气发电锅炉烟</w:t>
            </w:r>
            <w:r>
              <w:rPr>
                <w:spacing w:val="2"/>
                <w:sz w:val="20"/>
                <w:szCs w:val="20"/>
              </w:rPr>
              <w:t xml:space="preserve"> </w:t>
            </w:r>
            <w:r>
              <w:rPr>
                <w:sz w:val="20"/>
                <w:szCs w:val="20"/>
              </w:rPr>
              <w:t>气</w:t>
            </w:r>
          </w:p>
        </w:tc>
        <w:tc>
          <w:tcPr>
            <w:tcW w:w="647" w:type="dxa"/>
            <w:vMerge w:val="restart"/>
            <w:tcBorders>
              <w:bottom w:val="nil"/>
            </w:tcBorders>
            <w:vAlign w:val="top"/>
          </w:tcPr>
          <w:p w14:paraId="18495803">
            <w:pPr>
              <w:spacing w:line="314" w:lineRule="auto"/>
              <w:rPr>
                <w:rFonts w:ascii="Arial"/>
                <w:sz w:val="21"/>
              </w:rPr>
            </w:pPr>
          </w:p>
          <w:p w14:paraId="3B66CF13">
            <w:pPr>
              <w:spacing w:before="57" w:line="332" w:lineRule="auto"/>
              <w:ind w:left="145" w:right="59" w:hanging="8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22222</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1"/>
                <w:sz w:val="20"/>
                <w:szCs w:val="20"/>
              </w:rPr>
              <w:t>3.10</w:t>
            </w:r>
          </w:p>
        </w:tc>
        <w:tc>
          <w:tcPr>
            <w:tcW w:w="761" w:type="dxa"/>
            <w:vAlign w:val="top"/>
          </w:tcPr>
          <w:p w14:paraId="36F07694">
            <w:pPr>
              <w:pStyle w:val="6"/>
              <w:spacing w:before="112" w:line="228" w:lineRule="auto"/>
              <w:ind w:left="68"/>
              <w:rPr>
                <w:sz w:val="20"/>
                <w:szCs w:val="20"/>
              </w:rPr>
            </w:pPr>
            <w:r>
              <w:rPr>
                <w:spacing w:val="7"/>
                <w:sz w:val="20"/>
                <w:szCs w:val="20"/>
              </w:rPr>
              <w:t>颗粒物</w:t>
            </w:r>
          </w:p>
        </w:tc>
        <w:tc>
          <w:tcPr>
            <w:tcW w:w="1289" w:type="dxa"/>
            <w:vMerge w:val="restart"/>
            <w:tcBorders>
              <w:bottom w:val="nil"/>
            </w:tcBorders>
            <w:vAlign w:val="top"/>
          </w:tcPr>
          <w:p w14:paraId="59BDACC0">
            <w:pPr>
              <w:spacing w:line="271" w:lineRule="auto"/>
              <w:rPr>
                <w:rFonts w:ascii="Arial"/>
                <w:sz w:val="21"/>
              </w:rPr>
            </w:pPr>
          </w:p>
          <w:p w14:paraId="69A624D1">
            <w:pPr>
              <w:pStyle w:val="6"/>
              <w:spacing w:before="65" w:line="280" w:lineRule="auto"/>
              <w:ind w:left="334" w:right="118" w:hanging="209"/>
              <w:rPr>
                <w:sz w:val="20"/>
                <w:szCs w:val="20"/>
              </w:rPr>
            </w:pPr>
            <w:r>
              <w:rPr>
                <w:spacing w:val="7"/>
                <w:sz w:val="20"/>
                <w:szCs w:val="20"/>
              </w:rPr>
              <w:t>脱硝脱硫效</w:t>
            </w:r>
            <w:r>
              <w:rPr>
                <w:spacing w:val="3"/>
                <w:sz w:val="20"/>
                <w:szCs w:val="20"/>
              </w:rPr>
              <w:t xml:space="preserve"> </w:t>
            </w:r>
            <w:r>
              <w:rPr>
                <w:spacing w:val="6"/>
                <w:sz w:val="20"/>
                <w:szCs w:val="20"/>
              </w:rPr>
              <w:t>率下降</w:t>
            </w:r>
          </w:p>
        </w:tc>
        <w:tc>
          <w:tcPr>
            <w:tcW w:w="1235" w:type="dxa"/>
            <w:vMerge w:val="restart"/>
            <w:tcBorders>
              <w:bottom w:val="nil"/>
            </w:tcBorders>
            <w:vAlign w:val="top"/>
          </w:tcPr>
          <w:p w14:paraId="666497E5">
            <w:pPr>
              <w:pStyle w:val="6"/>
              <w:spacing w:before="179" w:line="228" w:lineRule="auto"/>
              <w:ind w:left="104"/>
              <w:rPr>
                <w:sz w:val="20"/>
                <w:szCs w:val="20"/>
              </w:rPr>
            </w:pPr>
            <w:r>
              <w:rPr>
                <w:spacing w:val="6"/>
                <w:sz w:val="20"/>
                <w:szCs w:val="20"/>
              </w:rPr>
              <w:t>下降为正常</w:t>
            </w:r>
          </w:p>
          <w:p w14:paraId="760FCB84">
            <w:pPr>
              <w:pStyle w:val="6"/>
              <w:spacing w:before="69" w:line="228" w:lineRule="auto"/>
              <w:ind w:left="100"/>
              <w:rPr>
                <w:sz w:val="20"/>
                <w:szCs w:val="20"/>
              </w:rPr>
            </w:pPr>
            <w:r>
              <w:rPr>
                <w:spacing w:val="7"/>
                <w:sz w:val="20"/>
                <w:szCs w:val="20"/>
              </w:rPr>
              <w:t>工况下效率</w:t>
            </w:r>
          </w:p>
          <w:p w14:paraId="484636D0">
            <w:pPr>
              <w:spacing w:before="108" w:line="195" w:lineRule="auto"/>
              <w:ind w:left="43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w:t>
            </w:r>
          </w:p>
        </w:tc>
        <w:tc>
          <w:tcPr>
            <w:tcW w:w="633" w:type="dxa"/>
            <w:vAlign w:val="top"/>
          </w:tcPr>
          <w:p w14:paraId="2DE65B02">
            <w:pPr>
              <w:spacing w:before="148" w:line="195" w:lineRule="auto"/>
              <w:ind w:left="1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2.59</w:t>
            </w:r>
          </w:p>
        </w:tc>
        <w:tc>
          <w:tcPr>
            <w:tcW w:w="575" w:type="dxa"/>
            <w:vAlign w:val="top"/>
          </w:tcPr>
          <w:p w14:paraId="2D7965C8">
            <w:pPr>
              <w:spacing w:before="148"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0.58</w:t>
            </w:r>
          </w:p>
        </w:tc>
        <w:tc>
          <w:tcPr>
            <w:tcW w:w="564" w:type="dxa"/>
            <w:vMerge w:val="restart"/>
            <w:tcBorders>
              <w:bottom w:val="nil"/>
            </w:tcBorders>
            <w:vAlign w:val="top"/>
          </w:tcPr>
          <w:p w14:paraId="3DE8F3C5">
            <w:pPr>
              <w:spacing w:line="471" w:lineRule="auto"/>
              <w:rPr>
                <w:rFonts w:ascii="Arial"/>
                <w:sz w:val="21"/>
              </w:rPr>
            </w:pPr>
          </w:p>
          <w:p w14:paraId="035ED147">
            <w:pPr>
              <w:spacing w:before="58" w:line="195" w:lineRule="auto"/>
              <w:ind w:left="182"/>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532" w:type="dxa"/>
            <w:vMerge w:val="restart"/>
            <w:tcBorders>
              <w:bottom w:val="nil"/>
            </w:tcBorders>
            <w:vAlign w:val="top"/>
          </w:tcPr>
          <w:p w14:paraId="6511CEA0">
            <w:pPr>
              <w:spacing w:line="471" w:lineRule="auto"/>
              <w:rPr>
                <w:rFonts w:ascii="Arial"/>
                <w:sz w:val="21"/>
              </w:rPr>
            </w:pPr>
          </w:p>
          <w:p w14:paraId="278A443D">
            <w:pPr>
              <w:spacing w:before="58" w:line="195" w:lineRule="auto"/>
              <w:ind w:left="1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482" w:type="dxa"/>
            <w:vMerge w:val="restart"/>
            <w:tcBorders>
              <w:bottom w:val="nil"/>
            </w:tcBorders>
            <w:vAlign w:val="top"/>
          </w:tcPr>
          <w:p w14:paraId="6787E7F5">
            <w:pPr>
              <w:spacing w:line="471" w:lineRule="auto"/>
              <w:rPr>
                <w:rFonts w:ascii="Arial"/>
                <w:sz w:val="21"/>
              </w:rPr>
            </w:pPr>
          </w:p>
          <w:p w14:paraId="31E71005">
            <w:pPr>
              <w:spacing w:before="58" w:line="195" w:lineRule="auto"/>
              <w:ind w:left="10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160</w:t>
            </w:r>
          </w:p>
        </w:tc>
        <w:tc>
          <w:tcPr>
            <w:tcW w:w="636" w:type="dxa"/>
            <w:vMerge w:val="restart"/>
            <w:tcBorders>
              <w:bottom w:val="nil"/>
              <w:right w:val="nil"/>
            </w:tcBorders>
            <w:vAlign w:val="top"/>
          </w:tcPr>
          <w:p w14:paraId="5AEAD6C0">
            <w:pPr>
              <w:spacing w:line="429" w:lineRule="auto"/>
              <w:rPr>
                <w:rFonts w:ascii="Arial"/>
                <w:sz w:val="21"/>
              </w:rPr>
            </w:pPr>
          </w:p>
          <w:p w14:paraId="396C505B">
            <w:pPr>
              <w:pStyle w:val="6"/>
              <w:spacing w:before="65" w:line="228" w:lineRule="auto"/>
              <w:ind w:left="116"/>
              <w:rPr>
                <w:sz w:val="20"/>
                <w:szCs w:val="20"/>
              </w:rPr>
            </w:pPr>
            <w:r>
              <w:rPr>
                <w:spacing w:val="3"/>
                <w:sz w:val="20"/>
                <w:szCs w:val="20"/>
              </w:rPr>
              <w:t>大气</w:t>
            </w:r>
          </w:p>
        </w:tc>
      </w:tr>
      <w:tr w14:paraId="2B6C3F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686" w:type="dxa"/>
            <w:vMerge w:val="continue"/>
            <w:tcBorders>
              <w:top w:val="nil"/>
              <w:left w:val="nil"/>
              <w:bottom w:val="nil"/>
            </w:tcBorders>
            <w:vAlign w:val="top"/>
          </w:tcPr>
          <w:p w14:paraId="2C3608A8">
            <w:pPr>
              <w:rPr>
                <w:rFonts w:ascii="Arial"/>
                <w:sz w:val="21"/>
              </w:rPr>
            </w:pPr>
          </w:p>
        </w:tc>
        <w:tc>
          <w:tcPr>
            <w:tcW w:w="647" w:type="dxa"/>
            <w:vMerge w:val="continue"/>
            <w:tcBorders>
              <w:top w:val="nil"/>
              <w:bottom w:val="nil"/>
            </w:tcBorders>
            <w:vAlign w:val="top"/>
          </w:tcPr>
          <w:p w14:paraId="25CC965F">
            <w:pPr>
              <w:rPr>
                <w:rFonts w:ascii="Arial"/>
                <w:sz w:val="21"/>
              </w:rPr>
            </w:pPr>
          </w:p>
        </w:tc>
        <w:tc>
          <w:tcPr>
            <w:tcW w:w="761" w:type="dxa"/>
            <w:vAlign w:val="top"/>
          </w:tcPr>
          <w:p w14:paraId="420D6FE6">
            <w:pPr>
              <w:spacing w:before="148" w:line="202" w:lineRule="auto"/>
              <w:ind w:left="223"/>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289" w:type="dxa"/>
            <w:vMerge w:val="continue"/>
            <w:tcBorders>
              <w:top w:val="nil"/>
              <w:bottom w:val="nil"/>
            </w:tcBorders>
            <w:vAlign w:val="top"/>
          </w:tcPr>
          <w:p w14:paraId="796B9423">
            <w:pPr>
              <w:rPr>
                <w:rFonts w:ascii="Arial"/>
                <w:sz w:val="21"/>
              </w:rPr>
            </w:pPr>
          </w:p>
        </w:tc>
        <w:tc>
          <w:tcPr>
            <w:tcW w:w="1235" w:type="dxa"/>
            <w:vMerge w:val="continue"/>
            <w:tcBorders>
              <w:top w:val="nil"/>
              <w:bottom w:val="nil"/>
            </w:tcBorders>
            <w:vAlign w:val="top"/>
          </w:tcPr>
          <w:p w14:paraId="11474D3A">
            <w:pPr>
              <w:rPr>
                <w:rFonts w:ascii="Arial"/>
                <w:sz w:val="21"/>
              </w:rPr>
            </w:pPr>
          </w:p>
        </w:tc>
        <w:tc>
          <w:tcPr>
            <w:tcW w:w="633" w:type="dxa"/>
            <w:vAlign w:val="top"/>
          </w:tcPr>
          <w:p w14:paraId="77CC6438">
            <w:pPr>
              <w:spacing w:before="150" w:line="195" w:lineRule="auto"/>
              <w:ind w:left="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34.82</w:t>
            </w:r>
          </w:p>
        </w:tc>
        <w:tc>
          <w:tcPr>
            <w:tcW w:w="575" w:type="dxa"/>
            <w:vAlign w:val="top"/>
          </w:tcPr>
          <w:p w14:paraId="379E1CC1">
            <w:pPr>
              <w:spacing w:before="150" w:line="195" w:lineRule="auto"/>
              <w:ind w:left="1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7.74</w:t>
            </w:r>
          </w:p>
        </w:tc>
        <w:tc>
          <w:tcPr>
            <w:tcW w:w="564" w:type="dxa"/>
            <w:vMerge w:val="continue"/>
            <w:tcBorders>
              <w:top w:val="nil"/>
              <w:bottom w:val="nil"/>
            </w:tcBorders>
            <w:vAlign w:val="top"/>
          </w:tcPr>
          <w:p w14:paraId="1E0EE15C">
            <w:pPr>
              <w:rPr>
                <w:rFonts w:ascii="Arial"/>
                <w:sz w:val="21"/>
              </w:rPr>
            </w:pPr>
          </w:p>
        </w:tc>
        <w:tc>
          <w:tcPr>
            <w:tcW w:w="532" w:type="dxa"/>
            <w:vMerge w:val="continue"/>
            <w:tcBorders>
              <w:top w:val="nil"/>
              <w:bottom w:val="nil"/>
            </w:tcBorders>
            <w:vAlign w:val="top"/>
          </w:tcPr>
          <w:p w14:paraId="22D19C4E">
            <w:pPr>
              <w:rPr>
                <w:rFonts w:ascii="Arial"/>
                <w:sz w:val="21"/>
              </w:rPr>
            </w:pPr>
          </w:p>
        </w:tc>
        <w:tc>
          <w:tcPr>
            <w:tcW w:w="482" w:type="dxa"/>
            <w:vMerge w:val="continue"/>
            <w:tcBorders>
              <w:top w:val="nil"/>
              <w:bottom w:val="nil"/>
            </w:tcBorders>
            <w:vAlign w:val="top"/>
          </w:tcPr>
          <w:p w14:paraId="5A0665BF">
            <w:pPr>
              <w:rPr>
                <w:rFonts w:ascii="Arial"/>
                <w:sz w:val="21"/>
              </w:rPr>
            </w:pPr>
          </w:p>
        </w:tc>
        <w:tc>
          <w:tcPr>
            <w:tcW w:w="636" w:type="dxa"/>
            <w:vMerge w:val="continue"/>
            <w:tcBorders>
              <w:top w:val="nil"/>
              <w:bottom w:val="nil"/>
              <w:right w:val="nil"/>
            </w:tcBorders>
            <w:vAlign w:val="top"/>
          </w:tcPr>
          <w:p w14:paraId="6D05365C">
            <w:pPr>
              <w:rPr>
                <w:rFonts w:ascii="Arial"/>
                <w:sz w:val="21"/>
              </w:rPr>
            </w:pPr>
          </w:p>
        </w:tc>
      </w:tr>
      <w:tr w14:paraId="675756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1686" w:type="dxa"/>
            <w:vMerge w:val="continue"/>
            <w:tcBorders>
              <w:top w:val="nil"/>
              <w:left w:val="nil"/>
              <w:bottom w:val="single" w:color="000000" w:sz="10" w:space="0"/>
            </w:tcBorders>
            <w:vAlign w:val="top"/>
          </w:tcPr>
          <w:p w14:paraId="4AEEA323">
            <w:pPr>
              <w:rPr>
                <w:rFonts w:ascii="Arial"/>
                <w:sz w:val="21"/>
              </w:rPr>
            </w:pPr>
          </w:p>
        </w:tc>
        <w:tc>
          <w:tcPr>
            <w:tcW w:w="647" w:type="dxa"/>
            <w:vMerge w:val="continue"/>
            <w:tcBorders>
              <w:top w:val="nil"/>
              <w:bottom w:val="single" w:color="000000" w:sz="10" w:space="0"/>
            </w:tcBorders>
            <w:vAlign w:val="top"/>
          </w:tcPr>
          <w:p w14:paraId="101FA22C">
            <w:pPr>
              <w:rPr>
                <w:rFonts w:ascii="Arial"/>
                <w:sz w:val="21"/>
              </w:rPr>
            </w:pPr>
          </w:p>
        </w:tc>
        <w:tc>
          <w:tcPr>
            <w:tcW w:w="761" w:type="dxa"/>
            <w:tcBorders>
              <w:bottom w:val="single" w:color="000000" w:sz="10" w:space="0"/>
            </w:tcBorders>
            <w:vAlign w:val="top"/>
          </w:tcPr>
          <w:p w14:paraId="6AD9504C">
            <w:pPr>
              <w:spacing w:before="150" w:line="202" w:lineRule="auto"/>
              <w:ind w:left="174"/>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289" w:type="dxa"/>
            <w:vMerge w:val="continue"/>
            <w:tcBorders>
              <w:top w:val="nil"/>
              <w:bottom w:val="single" w:color="000000" w:sz="10" w:space="0"/>
            </w:tcBorders>
            <w:vAlign w:val="top"/>
          </w:tcPr>
          <w:p w14:paraId="1E740AA5">
            <w:pPr>
              <w:rPr>
                <w:rFonts w:ascii="Arial"/>
                <w:sz w:val="21"/>
              </w:rPr>
            </w:pPr>
          </w:p>
        </w:tc>
        <w:tc>
          <w:tcPr>
            <w:tcW w:w="1235" w:type="dxa"/>
            <w:vMerge w:val="continue"/>
            <w:tcBorders>
              <w:top w:val="nil"/>
              <w:bottom w:val="single" w:color="000000" w:sz="10" w:space="0"/>
            </w:tcBorders>
            <w:vAlign w:val="top"/>
          </w:tcPr>
          <w:p w14:paraId="43BB1D74">
            <w:pPr>
              <w:rPr>
                <w:rFonts w:ascii="Arial"/>
                <w:sz w:val="21"/>
              </w:rPr>
            </w:pPr>
          </w:p>
        </w:tc>
        <w:tc>
          <w:tcPr>
            <w:tcW w:w="633" w:type="dxa"/>
            <w:tcBorders>
              <w:bottom w:val="single" w:color="000000" w:sz="10" w:space="0"/>
            </w:tcBorders>
            <w:vAlign w:val="top"/>
          </w:tcPr>
          <w:p w14:paraId="3F8CE4A7">
            <w:pPr>
              <w:spacing w:before="150" w:line="195" w:lineRule="auto"/>
              <w:ind w:left="48"/>
              <w:rPr>
                <w:rFonts w:ascii="Times New Roman" w:hAnsi="Times New Roman" w:eastAsia="Times New Roman" w:cs="Times New Roman"/>
                <w:sz w:val="20"/>
                <w:szCs w:val="20"/>
              </w:rPr>
            </w:pPr>
            <w:r>
              <w:rPr>
                <w:rFonts w:ascii="Times New Roman" w:hAnsi="Times New Roman" w:eastAsia="Times New Roman" w:cs="Times New Roman"/>
                <w:sz w:val="20"/>
                <w:szCs w:val="20"/>
              </w:rPr>
              <w:t>155.96</w:t>
            </w:r>
          </w:p>
        </w:tc>
        <w:tc>
          <w:tcPr>
            <w:tcW w:w="575" w:type="dxa"/>
            <w:tcBorders>
              <w:bottom w:val="single" w:color="000000" w:sz="10" w:space="0"/>
            </w:tcBorders>
            <w:vAlign w:val="top"/>
          </w:tcPr>
          <w:p w14:paraId="26DA35FC">
            <w:pPr>
              <w:spacing w:before="150"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34.66</w:t>
            </w:r>
          </w:p>
        </w:tc>
        <w:tc>
          <w:tcPr>
            <w:tcW w:w="564" w:type="dxa"/>
            <w:vMerge w:val="continue"/>
            <w:tcBorders>
              <w:top w:val="nil"/>
              <w:bottom w:val="single" w:color="000000" w:sz="10" w:space="0"/>
            </w:tcBorders>
            <w:vAlign w:val="top"/>
          </w:tcPr>
          <w:p w14:paraId="603E8989">
            <w:pPr>
              <w:rPr>
                <w:rFonts w:ascii="Arial"/>
                <w:sz w:val="21"/>
              </w:rPr>
            </w:pPr>
          </w:p>
        </w:tc>
        <w:tc>
          <w:tcPr>
            <w:tcW w:w="532" w:type="dxa"/>
            <w:vMerge w:val="continue"/>
            <w:tcBorders>
              <w:top w:val="nil"/>
              <w:bottom w:val="single" w:color="000000" w:sz="10" w:space="0"/>
            </w:tcBorders>
            <w:vAlign w:val="top"/>
          </w:tcPr>
          <w:p w14:paraId="6E7FE73D">
            <w:pPr>
              <w:rPr>
                <w:rFonts w:ascii="Arial"/>
                <w:sz w:val="21"/>
              </w:rPr>
            </w:pPr>
          </w:p>
        </w:tc>
        <w:tc>
          <w:tcPr>
            <w:tcW w:w="482" w:type="dxa"/>
            <w:vMerge w:val="continue"/>
            <w:tcBorders>
              <w:top w:val="nil"/>
              <w:bottom w:val="single" w:color="000000" w:sz="10" w:space="0"/>
            </w:tcBorders>
            <w:vAlign w:val="top"/>
          </w:tcPr>
          <w:p w14:paraId="1346E5AC">
            <w:pPr>
              <w:rPr>
                <w:rFonts w:ascii="Arial"/>
                <w:sz w:val="21"/>
              </w:rPr>
            </w:pPr>
          </w:p>
        </w:tc>
        <w:tc>
          <w:tcPr>
            <w:tcW w:w="636" w:type="dxa"/>
            <w:vMerge w:val="continue"/>
            <w:tcBorders>
              <w:top w:val="nil"/>
              <w:bottom w:val="single" w:color="000000" w:sz="10" w:space="0"/>
              <w:right w:val="nil"/>
            </w:tcBorders>
            <w:vAlign w:val="top"/>
          </w:tcPr>
          <w:p w14:paraId="4252E625">
            <w:pPr>
              <w:rPr>
                <w:rFonts w:ascii="Arial"/>
                <w:sz w:val="21"/>
              </w:rPr>
            </w:pPr>
          </w:p>
        </w:tc>
      </w:tr>
    </w:tbl>
    <w:p w14:paraId="28E99943">
      <w:pPr>
        <w:pStyle w:val="2"/>
      </w:pPr>
    </w:p>
    <w:p w14:paraId="569A01BC">
      <w:pPr>
        <w:sectPr>
          <w:headerReference r:id="rId190" w:type="default"/>
          <w:footerReference r:id="rId191" w:type="default"/>
          <w:pgSz w:w="11850" w:h="16781"/>
          <w:pgMar w:top="1304" w:right="1336" w:bottom="1183" w:left="1401" w:header="995" w:footer="1021" w:gutter="0"/>
          <w:cols w:space="720" w:num="1"/>
        </w:sectPr>
      </w:pPr>
    </w:p>
    <w:p w14:paraId="1DD570A1">
      <w:pPr>
        <w:pStyle w:val="2"/>
        <w:spacing w:line="321" w:lineRule="auto"/>
      </w:pPr>
      <w:r>
        <w:pict>
          <v:shape id="_x0000_s1239" o:spid="_x0000_s1239" style="position:absolute;left:0pt;margin-left:0.75pt;margin-top:0.65pt;height:0.75pt;width:1049pt;z-index:251897856;mso-width-relative:page;mso-height-relative:page;" fillcolor="#000000" filled="t" stroked="f" coordsize="20980,15" path="m0,0l20979,0,20979,14,0,14,0,0xe">
            <v:path/>
            <v:fill on="t" focussize="0,0"/>
            <v:stroke on="f"/>
            <v:imagedata o:title=""/>
            <o:lock v:ext="edit"/>
          </v:shape>
        </w:pict>
      </w:r>
    </w:p>
    <w:p w14:paraId="13978296">
      <w:pPr>
        <w:spacing w:before="91" w:line="221" w:lineRule="auto"/>
        <w:ind w:left="22"/>
        <w:outlineLvl w:val="2"/>
        <w:rPr>
          <w:rFonts w:ascii="宋体" w:hAnsi="宋体" w:eastAsia="宋体" w:cs="宋体"/>
          <w:sz w:val="28"/>
          <w:szCs w:val="28"/>
        </w:rPr>
      </w:pPr>
      <w:bookmarkStart w:id="327" w:name="bookmark122"/>
      <w:bookmarkEnd w:id="327"/>
      <w:r>
        <w:rPr>
          <w:rFonts w:ascii="Times New Roman" w:hAnsi="Times New Roman" w:eastAsia="Times New Roman" w:cs="Times New Roman"/>
          <w:b/>
          <w:bCs/>
          <w:spacing w:val="-2"/>
          <w:sz w:val="28"/>
          <w:szCs w:val="28"/>
        </w:rPr>
        <w:t xml:space="preserve">2.3.5 </w:t>
      </w:r>
      <w:r>
        <w:rPr>
          <w:rFonts w:ascii="宋体" w:hAnsi="宋体" w:eastAsia="宋体" w:cs="宋体"/>
          <w:b/>
          <w:bCs/>
          <w:spacing w:val="-2"/>
          <w:sz w:val="28"/>
          <w:szCs w:val="28"/>
        </w:rPr>
        <w:t>污染物达标排放分析</w:t>
      </w:r>
    </w:p>
    <w:p w14:paraId="5A339375">
      <w:pPr>
        <w:spacing w:before="262" w:line="220" w:lineRule="auto"/>
        <w:ind w:left="21"/>
        <w:outlineLvl w:val="3"/>
        <w:rPr>
          <w:rFonts w:ascii="宋体" w:hAnsi="宋体" w:eastAsia="宋体" w:cs="宋体"/>
          <w:sz w:val="24"/>
          <w:szCs w:val="24"/>
        </w:rPr>
      </w:pPr>
      <w:r>
        <w:fldChar w:fldCharType="begin"/>
      </w:r>
      <w:r>
        <w:instrText xml:space="preserve"> HYPERLINK "2.3.5.1" </w:instrText>
      </w:r>
      <w:r>
        <w:fldChar w:fldCharType="separate"/>
      </w:r>
      <w:r>
        <w:rPr>
          <w:rFonts w:ascii="Times New Roman" w:hAnsi="Times New Roman" w:eastAsia="Times New Roman" w:cs="Times New Roman"/>
          <w:b/>
          <w:bCs/>
          <w:spacing w:val="-2"/>
          <w:sz w:val="24"/>
          <w:szCs w:val="24"/>
        </w:rPr>
        <w:t>2.3.5.1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大气污染物达标排放分析</w:t>
      </w:r>
    </w:p>
    <w:p w14:paraId="6BBE9F96">
      <w:pPr>
        <w:spacing w:before="207" w:line="219" w:lineRule="auto"/>
        <w:ind w:left="505"/>
        <w:rPr>
          <w:rFonts w:ascii="宋体" w:hAnsi="宋体" w:eastAsia="宋体" w:cs="宋体"/>
          <w:sz w:val="24"/>
          <w:szCs w:val="24"/>
        </w:rPr>
      </w:pPr>
      <w:r>
        <w:rPr>
          <w:rFonts w:ascii="宋体" w:hAnsi="宋体" w:eastAsia="宋体" w:cs="宋体"/>
          <w:spacing w:val="-1"/>
          <w:sz w:val="24"/>
          <w:szCs w:val="24"/>
        </w:rPr>
        <w:t>本项目有组织大气污染物达标排放分析见表</w:t>
      </w:r>
      <w:r>
        <w:rPr>
          <w:rFonts w:ascii="宋体" w:hAnsi="宋体" w:eastAsia="宋体" w:cs="宋体"/>
          <w:spacing w:val="-47"/>
          <w:sz w:val="24"/>
          <w:szCs w:val="24"/>
        </w:rPr>
        <w:t xml:space="preserve"> </w:t>
      </w:r>
      <w:r>
        <w:rPr>
          <w:rFonts w:ascii="Times New Roman" w:hAnsi="Times New Roman" w:eastAsia="Times New Roman" w:cs="Times New Roman"/>
          <w:spacing w:val="-1"/>
          <w:sz w:val="24"/>
          <w:szCs w:val="24"/>
        </w:rPr>
        <w:t>2.3-27</w:t>
      </w:r>
      <w:r>
        <w:rPr>
          <w:rFonts w:ascii="宋体" w:hAnsi="宋体" w:eastAsia="宋体" w:cs="宋体"/>
          <w:spacing w:val="-1"/>
          <w:sz w:val="24"/>
          <w:szCs w:val="24"/>
        </w:rPr>
        <w:t>。</w:t>
      </w:r>
    </w:p>
    <w:p w14:paraId="20FBC558">
      <w:pPr>
        <w:spacing w:before="225" w:line="228" w:lineRule="auto"/>
        <w:ind w:left="8132"/>
        <w:rPr>
          <w:rFonts w:ascii="宋体" w:hAnsi="宋体" w:eastAsia="宋体" w:cs="宋体"/>
          <w:sz w:val="20"/>
          <w:szCs w:val="20"/>
        </w:rPr>
      </w:pPr>
      <w:r>
        <w:rPr>
          <w:rFonts w:ascii="宋体" w:hAnsi="宋体" w:eastAsia="宋体" w:cs="宋体"/>
          <w:b/>
          <w:bCs/>
          <w:spacing w:val="6"/>
          <w:sz w:val="20"/>
          <w:szCs w:val="20"/>
        </w:rPr>
        <w:t>表</w:t>
      </w:r>
      <w:r>
        <w:rPr>
          <w:rFonts w:ascii="Times New Roman" w:hAnsi="Times New Roman" w:eastAsia="Times New Roman" w:cs="Times New Roman"/>
          <w:b/>
          <w:bCs/>
          <w:spacing w:val="6"/>
          <w:sz w:val="20"/>
          <w:szCs w:val="20"/>
        </w:rPr>
        <w:t xml:space="preserve">2.3-27        </w:t>
      </w:r>
      <w:r>
        <w:rPr>
          <w:rFonts w:ascii="宋体" w:hAnsi="宋体" w:eastAsia="宋体" w:cs="宋体"/>
          <w:b/>
          <w:bCs/>
          <w:spacing w:val="6"/>
          <w:sz w:val="20"/>
          <w:szCs w:val="20"/>
        </w:rPr>
        <w:t>有组织大气污染物达标排放分析一览表</w:t>
      </w:r>
    </w:p>
    <w:p w14:paraId="123E6C9B">
      <w:pPr>
        <w:spacing w:line="103" w:lineRule="exact"/>
      </w:pPr>
    </w:p>
    <w:tbl>
      <w:tblPr>
        <w:tblStyle w:val="5"/>
        <w:tblW w:w="2100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87"/>
        <w:gridCol w:w="3591"/>
        <w:gridCol w:w="2439"/>
        <w:gridCol w:w="1542"/>
        <w:gridCol w:w="1505"/>
        <w:gridCol w:w="1614"/>
        <w:gridCol w:w="1694"/>
        <w:gridCol w:w="2090"/>
        <w:gridCol w:w="3717"/>
        <w:gridCol w:w="1429"/>
      </w:tblGrid>
      <w:tr w14:paraId="047126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2" w:hRule="atLeast"/>
        </w:trPr>
        <w:tc>
          <w:tcPr>
            <w:tcW w:w="1387" w:type="dxa"/>
            <w:vMerge w:val="restart"/>
            <w:tcBorders>
              <w:top w:val="single" w:color="000000" w:sz="10" w:space="0"/>
              <w:left w:val="nil"/>
              <w:bottom w:val="nil"/>
            </w:tcBorders>
            <w:vAlign w:val="top"/>
          </w:tcPr>
          <w:p w14:paraId="368993A6">
            <w:pPr>
              <w:spacing w:line="351" w:lineRule="auto"/>
              <w:rPr>
                <w:rFonts w:ascii="Arial"/>
                <w:sz w:val="21"/>
              </w:rPr>
            </w:pPr>
          </w:p>
          <w:p w14:paraId="28D4FF5C">
            <w:pPr>
              <w:pStyle w:val="6"/>
              <w:spacing w:before="65" w:line="228" w:lineRule="auto"/>
              <w:ind w:left="490"/>
              <w:rPr>
                <w:sz w:val="20"/>
                <w:szCs w:val="20"/>
              </w:rPr>
            </w:pPr>
            <w:r>
              <w:rPr>
                <w:b/>
                <w:bCs/>
                <w:spacing w:val="3"/>
                <w:sz w:val="20"/>
                <w:szCs w:val="20"/>
              </w:rPr>
              <w:t>编号</w:t>
            </w:r>
          </w:p>
        </w:tc>
        <w:tc>
          <w:tcPr>
            <w:tcW w:w="3591" w:type="dxa"/>
            <w:vMerge w:val="restart"/>
            <w:tcBorders>
              <w:top w:val="single" w:color="000000" w:sz="10" w:space="0"/>
              <w:bottom w:val="nil"/>
            </w:tcBorders>
            <w:vAlign w:val="top"/>
          </w:tcPr>
          <w:p w14:paraId="5C5D7818">
            <w:pPr>
              <w:spacing w:line="352" w:lineRule="auto"/>
              <w:rPr>
                <w:rFonts w:ascii="Arial"/>
                <w:sz w:val="21"/>
              </w:rPr>
            </w:pPr>
          </w:p>
          <w:p w14:paraId="2D666748">
            <w:pPr>
              <w:pStyle w:val="6"/>
              <w:spacing w:before="65" w:line="228" w:lineRule="auto"/>
              <w:ind w:left="1486"/>
              <w:rPr>
                <w:sz w:val="20"/>
                <w:szCs w:val="20"/>
              </w:rPr>
            </w:pPr>
            <w:r>
              <w:rPr>
                <w:b/>
                <w:bCs/>
                <w:spacing w:val="5"/>
                <w:sz w:val="20"/>
                <w:szCs w:val="20"/>
              </w:rPr>
              <w:t>污染源</w:t>
            </w:r>
          </w:p>
        </w:tc>
        <w:tc>
          <w:tcPr>
            <w:tcW w:w="2439" w:type="dxa"/>
            <w:vMerge w:val="restart"/>
            <w:tcBorders>
              <w:top w:val="single" w:color="000000" w:sz="10" w:space="0"/>
              <w:bottom w:val="nil"/>
            </w:tcBorders>
            <w:vAlign w:val="top"/>
          </w:tcPr>
          <w:p w14:paraId="4D929D13">
            <w:pPr>
              <w:spacing w:line="352" w:lineRule="auto"/>
              <w:rPr>
                <w:rFonts w:ascii="Arial"/>
                <w:sz w:val="21"/>
              </w:rPr>
            </w:pPr>
          </w:p>
          <w:p w14:paraId="036C9394">
            <w:pPr>
              <w:pStyle w:val="6"/>
              <w:spacing w:before="65" w:line="228" w:lineRule="auto"/>
              <w:ind w:left="910"/>
              <w:rPr>
                <w:sz w:val="20"/>
                <w:szCs w:val="20"/>
              </w:rPr>
            </w:pPr>
            <w:r>
              <w:rPr>
                <w:b/>
                <w:bCs/>
                <w:spacing w:val="5"/>
                <w:sz w:val="20"/>
                <w:szCs w:val="20"/>
              </w:rPr>
              <w:t>污染物</w:t>
            </w:r>
          </w:p>
        </w:tc>
        <w:tc>
          <w:tcPr>
            <w:tcW w:w="4661" w:type="dxa"/>
            <w:gridSpan w:val="3"/>
            <w:tcBorders>
              <w:top w:val="single" w:color="000000" w:sz="10" w:space="0"/>
            </w:tcBorders>
            <w:vAlign w:val="top"/>
          </w:tcPr>
          <w:p w14:paraId="21CD084C">
            <w:pPr>
              <w:pStyle w:val="6"/>
              <w:spacing w:before="80" w:line="228" w:lineRule="auto"/>
              <w:ind w:left="1812"/>
              <w:rPr>
                <w:sz w:val="20"/>
                <w:szCs w:val="20"/>
              </w:rPr>
            </w:pPr>
            <w:r>
              <w:rPr>
                <w:b/>
                <w:bCs/>
                <w:spacing w:val="6"/>
                <w:sz w:val="20"/>
                <w:szCs w:val="20"/>
              </w:rPr>
              <w:t>污染物排放</w:t>
            </w:r>
          </w:p>
        </w:tc>
        <w:tc>
          <w:tcPr>
            <w:tcW w:w="3784" w:type="dxa"/>
            <w:gridSpan w:val="2"/>
            <w:tcBorders>
              <w:top w:val="single" w:color="000000" w:sz="10" w:space="0"/>
            </w:tcBorders>
            <w:vAlign w:val="top"/>
          </w:tcPr>
          <w:p w14:paraId="2D0F1D2B">
            <w:pPr>
              <w:pStyle w:val="6"/>
              <w:spacing w:before="80" w:line="228" w:lineRule="auto"/>
              <w:ind w:left="1688"/>
              <w:rPr>
                <w:sz w:val="20"/>
                <w:szCs w:val="20"/>
              </w:rPr>
            </w:pPr>
            <w:r>
              <w:rPr>
                <w:b/>
                <w:bCs/>
                <w:spacing w:val="3"/>
                <w:sz w:val="20"/>
                <w:szCs w:val="20"/>
              </w:rPr>
              <w:t>标准</w:t>
            </w:r>
          </w:p>
        </w:tc>
        <w:tc>
          <w:tcPr>
            <w:tcW w:w="3717" w:type="dxa"/>
            <w:vMerge w:val="restart"/>
            <w:tcBorders>
              <w:top w:val="single" w:color="000000" w:sz="10" w:space="0"/>
              <w:bottom w:val="nil"/>
            </w:tcBorders>
            <w:vAlign w:val="top"/>
          </w:tcPr>
          <w:p w14:paraId="594CC68D">
            <w:pPr>
              <w:spacing w:line="351" w:lineRule="auto"/>
              <w:rPr>
                <w:rFonts w:ascii="Arial"/>
                <w:sz w:val="21"/>
              </w:rPr>
            </w:pPr>
          </w:p>
          <w:p w14:paraId="4CCF4521">
            <w:pPr>
              <w:pStyle w:val="6"/>
              <w:spacing w:before="65" w:line="228" w:lineRule="auto"/>
              <w:ind w:left="1444"/>
              <w:rPr>
                <w:sz w:val="20"/>
                <w:szCs w:val="20"/>
              </w:rPr>
            </w:pPr>
            <w:r>
              <w:rPr>
                <w:b/>
                <w:bCs/>
                <w:spacing w:val="6"/>
                <w:sz w:val="20"/>
                <w:szCs w:val="20"/>
              </w:rPr>
              <w:t>标准来源</w:t>
            </w:r>
          </w:p>
        </w:tc>
        <w:tc>
          <w:tcPr>
            <w:tcW w:w="1429" w:type="dxa"/>
            <w:vMerge w:val="restart"/>
            <w:tcBorders>
              <w:top w:val="single" w:color="000000" w:sz="10" w:space="0"/>
              <w:bottom w:val="nil"/>
              <w:right w:val="nil"/>
            </w:tcBorders>
            <w:vAlign w:val="top"/>
          </w:tcPr>
          <w:p w14:paraId="18033C3B">
            <w:pPr>
              <w:pStyle w:val="6"/>
              <w:spacing w:before="256" w:line="289" w:lineRule="auto"/>
              <w:ind w:left="507" w:right="506" w:firstLine="4"/>
              <w:rPr>
                <w:sz w:val="20"/>
                <w:szCs w:val="20"/>
              </w:rPr>
            </w:pPr>
            <w:r>
              <w:rPr>
                <w:b/>
                <w:bCs/>
                <w:spacing w:val="2"/>
                <w:sz w:val="20"/>
                <w:szCs w:val="20"/>
              </w:rPr>
              <w:t>是否</w:t>
            </w:r>
            <w:r>
              <w:rPr>
                <w:sz w:val="20"/>
                <w:szCs w:val="20"/>
              </w:rPr>
              <w:t xml:space="preserve"> </w:t>
            </w:r>
            <w:r>
              <w:rPr>
                <w:b/>
                <w:bCs/>
                <w:spacing w:val="4"/>
                <w:sz w:val="20"/>
                <w:szCs w:val="20"/>
              </w:rPr>
              <w:t>达标</w:t>
            </w:r>
          </w:p>
        </w:tc>
      </w:tr>
      <w:tr w14:paraId="480C00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6" w:hRule="atLeast"/>
        </w:trPr>
        <w:tc>
          <w:tcPr>
            <w:tcW w:w="1387" w:type="dxa"/>
            <w:vMerge w:val="continue"/>
            <w:tcBorders>
              <w:top w:val="nil"/>
              <w:left w:val="nil"/>
            </w:tcBorders>
            <w:vAlign w:val="top"/>
          </w:tcPr>
          <w:p w14:paraId="040AC940">
            <w:pPr>
              <w:rPr>
                <w:rFonts w:ascii="Arial"/>
                <w:sz w:val="21"/>
              </w:rPr>
            </w:pPr>
          </w:p>
        </w:tc>
        <w:tc>
          <w:tcPr>
            <w:tcW w:w="3591" w:type="dxa"/>
            <w:vMerge w:val="continue"/>
            <w:tcBorders>
              <w:top w:val="nil"/>
            </w:tcBorders>
            <w:vAlign w:val="top"/>
          </w:tcPr>
          <w:p w14:paraId="524C56BB">
            <w:pPr>
              <w:rPr>
                <w:rFonts w:ascii="Arial"/>
                <w:sz w:val="21"/>
              </w:rPr>
            </w:pPr>
          </w:p>
        </w:tc>
        <w:tc>
          <w:tcPr>
            <w:tcW w:w="2439" w:type="dxa"/>
            <w:vMerge w:val="continue"/>
            <w:tcBorders>
              <w:top w:val="nil"/>
            </w:tcBorders>
            <w:vAlign w:val="top"/>
          </w:tcPr>
          <w:p w14:paraId="4C85A168">
            <w:pPr>
              <w:rPr>
                <w:rFonts w:ascii="Arial"/>
                <w:sz w:val="21"/>
              </w:rPr>
            </w:pPr>
          </w:p>
        </w:tc>
        <w:tc>
          <w:tcPr>
            <w:tcW w:w="1542" w:type="dxa"/>
            <w:vAlign w:val="top"/>
          </w:tcPr>
          <w:p w14:paraId="36B88AF8">
            <w:pPr>
              <w:pStyle w:val="6"/>
              <w:spacing w:before="75" w:line="289" w:lineRule="auto"/>
              <w:ind w:left="410" w:right="402" w:firstLine="153"/>
              <w:rPr>
                <w:rFonts w:ascii="Times New Roman" w:hAnsi="Times New Roman" w:eastAsia="Times New Roman" w:cs="Times New Roman"/>
                <w:sz w:val="13"/>
                <w:szCs w:val="13"/>
              </w:rPr>
            </w:pPr>
            <w:r>
              <w:rPr>
                <w:b/>
                <w:bCs/>
                <w:spacing w:val="3"/>
                <w:sz w:val="20"/>
                <w:szCs w:val="20"/>
              </w:rPr>
              <w:t>浓度</w:t>
            </w:r>
            <w:r>
              <w:rPr>
                <w:sz w:val="20"/>
                <w:szCs w:val="20"/>
              </w:rPr>
              <w:t xml:space="preserve">  </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12"/>
                <w:sz w:val="20"/>
                <w:szCs w:val="20"/>
              </w:rPr>
              <w:t>/</w:t>
            </w:r>
            <w:r>
              <w:rPr>
                <w:rFonts w:ascii="Times New Roman" w:hAnsi="Times New Roman" w:eastAsia="Times New Roman" w:cs="Times New Roman"/>
                <w:b/>
                <w:bCs/>
                <w:sz w:val="20"/>
                <w:szCs w:val="20"/>
              </w:rPr>
              <w:t>Nm</w:t>
            </w:r>
            <w:r>
              <w:rPr>
                <w:rFonts w:ascii="Times New Roman" w:hAnsi="Times New Roman" w:eastAsia="Times New Roman" w:cs="Times New Roman"/>
                <w:b/>
                <w:bCs/>
                <w:spacing w:val="12"/>
                <w:position w:val="6"/>
                <w:sz w:val="13"/>
                <w:szCs w:val="13"/>
              </w:rPr>
              <w:t>3</w:t>
            </w:r>
          </w:p>
        </w:tc>
        <w:tc>
          <w:tcPr>
            <w:tcW w:w="1505" w:type="dxa"/>
            <w:vAlign w:val="top"/>
          </w:tcPr>
          <w:p w14:paraId="403A380F">
            <w:pPr>
              <w:pStyle w:val="6"/>
              <w:spacing w:before="75" w:line="289" w:lineRule="auto"/>
              <w:ind w:left="559" w:right="541" w:hanging="14"/>
              <w:rPr>
                <w:rFonts w:ascii="Times New Roman" w:hAnsi="Times New Roman" w:eastAsia="Times New Roman" w:cs="Times New Roman"/>
                <w:sz w:val="20"/>
                <w:szCs w:val="20"/>
              </w:rPr>
            </w:pPr>
            <w:r>
              <w:rPr>
                <w:b/>
                <w:bCs/>
                <w:spacing w:val="4"/>
                <w:sz w:val="20"/>
                <w:szCs w:val="20"/>
              </w:rPr>
              <w:t>速率</w:t>
            </w:r>
            <w:r>
              <w:rPr>
                <w:sz w:val="20"/>
                <w:szCs w:val="20"/>
              </w:rPr>
              <w:t xml:space="preserve"> </w:t>
            </w:r>
            <w:r>
              <w:rPr>
                <w:rFonts w:ascii="Times New Roman" w:hAnsi="Times New Roman" w:eastAsia="Times New Roman" w:cs="Times New Roman"/>
                <w:b/>
                <w:bCs/>
                <w:sz w:val="20"/>
                <w:szCs w:val="20"/>
              </w:rPr>
              <w:t>kg</w:t>
            </w:r>
            <w:r>
              <w:rPr>
                <w:rFonts w:ascii="Times New Roman" w:hAnsi="Times New Roman" w:eastAsia="Times New Roman" w:cs="Times New Roman"/>
                <w:b/>
                <w:bCs/>
                <w:spacing w:val="4"/>
                <w:sz w:val="20"/>
                <w:szCs w:val="20"/>
              </w:rPr>
              <w:t>/h</w:t>
            </w:r>
          </w:p>
        </w:tc>
        <w:tc>
          <w:tcPr>
            <w:tcW w:w="1614" w:type="dxa"/>
            <w:vAlign w:val="top"/>
          </w:tcPr>
          <w:p w14:paraId="37EF99CC">
            <w:pPr>
              <w:pStyle w:val="6"/>
              <w:spacing w:before="239" w:line="228" w:lineRule="auto"/>
              <w:ind w:left="169"/>
              <w:rPr>
                <w:rFonts w:ascii="Times New Roman" w:hAnsi="Times New Roman" w:eastAsia="Times New Roman" w:cs="Times New Roman"/>
                <w:sz w:val="20"/>
                <w:szCs w:val="20"/>
              </w:rPr>
            </w:pPr>
            <w:r>
              <w:rPr>
                <w:b/>
                <w:bCs/>
                <w:spacing w:val="6"/>
                <w:sz w:val="20"/>
                <w:szCs w:val="20"/>
              </w:rPr>
              <w:t>排气筒高度</w:t>
            </w:r>
            <w:r>
              <w:rPr>
                <w:rFonts w:ascii="Times New Roman" w:hAnsi="Times New Roman" w:eastAsia="Times New Roman" w:cs="Times New Roman"/>
                <w:b/>
                <w:bCs/>
                <w:spacing w:val="6"/>
                <w:sz w:val="20"/>
                <w:szCs w:val="20"/>
              </w:rPr>
              <w:t>/m</w:t>
            </w:r>
          </w:p>
        </w:tc>
        <w:tc>
          <w:tcPr>
            <w:tcW w:w="1694" w:type="dxa"/>
            <w:vAlign w:val="top"/>
          </w:tcPr>
          <w:p w14:paraId="029D59E6">
            <w:pPr>
              <w:pStyle w:val="6"/>
              <w:spacing w:before="75" w:line="289" w:lineRule="auto"/>
              <w:ind w:left="485" w:right="478" w:firstLine="156"/>
              <w:rPr>
                <w:rFonts w:ascii="Times New Roman" w:hAnsi="Times New Roman" w:eastAsia="Times New Roman" w:cs="Times New Roman"/>
                <w:sz w:val="13"/>
                <w:szCs w:val="13"/>
              </w:rPr>
            </w:pPr>
            <w:r>
              <w:rPr>
                <w:b/>
                <w:bCs/>
                <w:spacing w:val="3"/>
                <w:sz w:val="20"/>
                <w:szCs w:val="20"/>
              </w:rPr>
              <w:t>浓度</w:t>
            </w:r>
            <w:r>
              <w:rPr>
                <w:sz w:val="20"/>
                <w:szCs w:val="20"/>
              </w:rPr>
              <w:t xml:space="preserve">  </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13"/>
                <w:sz w:val="20"/>
                <w:szCs w:val="20"/>
              </w:rPr>
              <w:t>/</w:t>
            </w:r>
            <w:r>
              <w:rPr>
                <w:rFonts w:ascii="Times New Roman" w:hAnsi="Times New Roman" w:eastAsia="Times New Roman" w:cs="Times New Roman"/>
                <w:b/>
                <w:bCs/>
                <w:sz w:val="20"/>
                <w:szCs w:val="20"/>
              </w:rPr>
              <w:t>Nm</w:t>
            </w:r>
            <w:r>
              <w:rPr>
                <w:rFonts w:ascii="Times New Roman" w:hAnsi="Times New Roman" w:eastAsia="Times New Roman" w:cs="Times New Roman"/>
                <w:b/>
                <w:bCs/>
                <w:spacing w:val="13"/>
                <w:position w:val="6"/>
                <w:sz w:val="13"/>
                <w:szCs w:val="13"/>
              </w:rPr>
              <w:t>3</w:t>
            </w:r>
          </w:p>
        </w:tc>
        <w:tc>
          <w:tcPr>
            <w:tcW w:w="2090" w:type="dxa"/>
            <w:vAlign w:val="top"/>
          </w:tcPr>
          <w:p w14:paraId="49B1165C">
            <w:pPr>
              <w:pStyle w:val="6"/>
              <w:spacing w:before="75" w:line="289" w:lineRule="auto"/>
              <w:ind w:left="851" w:right="831" w:hanging="11"/>
              <w:rPr>
                <w:rFonts w:ascii="Times New Roman" w:hAnsi="Times New Roman" w:eastAsia="Times New Roman" w:cs="Times New Roman"/>
                <w:sz w:val="20"/>
                <w:szCs w:val="20"/>
              </w:rPr>
            </w:pPr>
            <w:r>
              <w:rPr>
                <w:b/>
                <w:bCs/>
                <w:spacing w:val="4"/>
                <w:sz w:val="20"/>
                <w:szCs w:val="20"/>
              </w:rPr>
              <w:t>速率</w:t>
            </w:r>
            <w:r>
              <w:rPr>
                <w:sz w:val="20"/>
                <w:szCs w:val="20"/>
              </w:rPr>
              <w:t xml:space="preserve"> </w:t>
            </w:r>
            <w:r>
              <w:rPr>
                <w:rFonts w:ascii="Times New Roman" w:hAnsi="Times New Roman" w:eastAsia="Times New Roman" w:cs="Times New Roman"/>
                <w:b/>
                <w:bCs/>
                <w:sz w:val="20"/>
                <w:szCs w:val="20"/>
              </w:rPr>
              <w:t>kg</w:t>
            </w:r>
            <w:r>
              <w:rPr>
                <w:rFonts w:ascii="Times New Roman" w:hAnsi="Times New Roman" w:eastAsia="Times New Roman" w:cs="Times New Roman"/>
                <w:b/>
                <w:bCs/>
                <w:spacing w:val="4"/>
                <w:sz w:val="20"/>
                <w:szCs w:val="20"/>
              </w:rPr>
              <w:t>/h</w:t>
            </w:r>
          </w:p>
        </w:tc>
        <w:tc>
          <w:tcPr>
            <w:tcW w:w="3717" w:type="dxa"/>
            <w:vMerge w:val="continue"/>
            <w:tcBorders>
              <w:top w:val="nil"/>
            </w:tcBorders>
            <w:vAlign w:val="top"/>
          </w:tcPr>
          <w:p w14:paraId="2A6C0DA0">
            <w:pPr>
              <w:rPr>
                <w:rFonts w:ascii="Arial"/>
                <w:sz w:val="21"/>
              </w:rPr>
            </w:pPr>
          </w:p>
        </w:tc>
        <w:tc>
          <w:tcPr>
            <w:tcW w:w="1429" w:type="dxa"/>
            <w:vMerge w:val="continue"/>
            <w:tcBorders>
              <w:top w:val="nil"/>
              <w:right w:val="nil"/>
            </w:tcBorders>
            <w:vAlign w:val="top"/>
          </w:tcPr>
          <w:p w14:paraId="5BE7A4E6">
            <w:pPr>
              <w:rPr>
                <w:rFonts w:ascii="Arial"/>
                <w:sz w:val="21"/>
              </w:rPr>
            </w:pPr>
          </w:p>
        </w:tc>
      </w:tr>
      <w:tr w14:paraId="13F5AE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restart"/>
            <w:tcBorders>
              <w:left w:val="nil"/>
              <w:bottom w:val="nil"/>
            </w:tcBorders>
            <w:vAlign w:val="top"/>
          </w:tcPr>
          <w:p w14:paraId="37F8CED1">
            <w:pPr>
              <w:spacing w:line="408" w:lineRule="auto"/>
              <w:rPr>
                <w:rFonts w:ascii="Arial"/>
                <w:sz w:val="21"/>
              </w:rPr>
            </w:pPr>
          </w:p>
          <w:p w14:paraId="5F79E2A8">
            <w:pPr>
              <w:spacing w:before="57" w:line="209" w:lineRule="auto"/>
              <w:ind w:left="262"/>
              <w:rPr>
                <w:rFonts w:ascii="Times New Roman" w:hAnsi="Times New Roman" w:eastAsia="Times New Roman" w:cs="Times New Roman"/>
                <w:sz w:val="13"/>
                <w:szCs w:val="13"/>
              </w:rPr>
            </w:pPr>
            <w:r>
              <w:rPr>
                <w:rFonts w:ascii="Times New Roman" w:hAnsi="Times New Roman" w:eastAsia="Times New Roman" w:cs="Times New Roman"/>
                <w:sz w:val="20"/>
                <w:szCs w:val="20"/>
              </w:rPr>
              <w:t>G</w:t>
            </w:r>
            <w:r>
              <w:rPr>
                <w:rFonts w:ascii="Times New Roman" w:hAnsi="Times New Roman" w:eastAsia="Times New Roman" w:cs="Times New Roman"/>
                <w:sz w:val="13"/>
                <w:szCs w:val="13"/>
              </w:rPr>
              <w:t>1-</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z w:val="13"/>
                <w:szCs w:val="13"/>
              </w:rPr>
              <w:t>1</w:t>
            </w:r>
            <w:r>
              <w:rPr>
                <w:rFonts w:ascii="Times New Roman" w:hAnsi="Times New Roman" w:eastAsia="Times New Roman" w:cs="Times New Roman"/>
                <w:spacing w:val="-6"/>
                <w:sz w:val="13"/>
                <w:szCs w:val="13"/>
              </w:rPr>
              <w:t xml:space="preserve"> </w:t>
            </w:r>
            <w:r>
              <w:rPr>
                <w:rFonts w:ascii="微软雅黑" w:hAnsi="微软雅黑" w:eastAsia="微软雅黑" w:cs="微软雅黑"/>
                <w:position w:val="2"/>
                <w:sz w:val="13"/>
                <w:szCs w:val="13"/>
              </w:rPr>
              <w:t>、</w:t>
            </w:r>
            <w:r>
              <w:rPr>
                <w:rFonts w:ascii="微软雅黑" w:hAnsi="微软雅黑" w:eastAsia="微软雅黑" w:cs="微软雅黑"/>
                <w:spacing w:val="22"/>
                <w:w w:val="101"/>
                <w:position w:val="2"/>
                <w:sz w:val="13"/>
                <w:szCs w:val="13"/>
              </w:rPr>
              <w:t xml:space="preserve"> </w:t>
            </w:r>
            <w:r>
              <w:rPr>
                <w:rFonts w:ascii="Times New Roman" w:hAnsi="Times New Roman" w:eastAsia="Times New Roman" w:cs="Times New Roman"/>
                <w:sz w:val="20"/>
                <w:szCs w:val="20"/>
              </w:rPr>
              <w:t>G</w:t>
            </w:r>
            <w:r>
              <w:rPr>
                <w:rFonts w:ascii="Times New Roman" w:hAnsi="Times New Roman" w:eastAsia="Times New Roman" w:cs="Times New Roman"/>
                <w:sz w:val="13"/>
                <w:szCs w:val="13"/>
              </w:rPr>
              <w:t>1-2</w:t>
            </w:r>
          </w:p>
        </w:tc>
        <w:tc>
          <w:tcPr>
            <w:tcW w:w="3591" w:type="dxa"/>
            <w:vMerge w:val="restart"/>
            <w:tcBorders>
              <w:bottom w:val="nil"/>
            </w:tcBorders>
            <w:vAlign w:val="top"/>
          </w:tcPr>
          <w:p w14:paraId="56F024B3">
            <w:pPr>
              <w:spacing w:line="364" w:lineRule="auto"/>
              <w:rPr>
                <w:rFonts w:ascii="Arial"/>
                <w:sz w:val="21"/>
              </w:rPr>
            </w:pPr>
          </w:p>
          <w:p w14:paraId="66F2EE05">
            <w:pPr>
              <w:pStyle w:val="6"/>
              <w:spacing w:before="65" w:line="227" w:lineRule="auto"/>
              <w:ind w:left="645"/>
              <w:rPr>
                <w:sz w:val="20"/>
                <w:szCs w:val="20"/>
              </w:rPr>
            </w:pPr>
            <w:r>
              <w:rPr>
                <w:spacing w:val="9"/>
                <w:sz w:val="20"/>
                <w:szCs w:val="20"/>
              </w:rPr>
              <w:t>焦炭烘干、筛分出料废气</w:t>
            </w:r>
          </w:p>
        </w:tc>
        <w:tc>
          <w:tcPr>
            <w:tcW w:w="2439" w:type="dxa"/>
            <w:vAlign w:val="top"/>
          </w:tcPr>
          <w:p w14:paraId="5D6916FA">
            <w:pPr>
              <w:pStyle w:val="6"/>
              <w:spacing w:before="77" w:line="228" w:lineRule="auto"/>
              <w:ind w:left="907"/>
              <w:rPr>
                <w:sz w:val="20"/>
                <w:szCs w:val="20"/>
              </w:rPr>
            </w:pPr>
            <w:r>
              <w:rPr>
                <w:spacing w:val="7"/>
                <w:sz w:val="20"/>
                <w:szCs w:val="20"/>
              </w:rPr>
              <w:t>颗粒物</w:t>
            </w:r>
          </w:p>
        </w:tc>
        <w:tc>
          <w:tcPr>
            <w:tcW w:w="1542" w:type="dxa"/>
            <w:vAlign w:val="top"/>
          </w:tcPr>
          <w:p w14:paraId="4D3010A2">
            <w:pPr>
              <w:spacing w:before="115" w:line="195" w:lineRule="auto"/>
              <w:ind w:left="5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15.94</w:t>
            </w:r>
          </w:p>
        </w:tc>
        <w:tc>
          <w:tcPr>
            <w:tcW w:w="1505" w:type="dxa"/>
            <w:vAlign w:val="top"/>
          </w:tcPr>
          <w:p w14:paraId="05940F55">
            <w:pPr>
              <w:spacing w:before="115" w:line="195" w:lineRule="auto"/>
              <w:ind w:left="5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0.29</w:t>
            </w:r>
          </w:p>
        </w:tc>
        <w:tc>
          <w:tcPr>
            <w:tcW w:w="1614" w:type="dxa"/>
            <w:vMerge w:val="restart"/>
            <w:tcBorders>
              <w:bottom w:val="nil"/>
            </w:tcBorders>
            <w:vAlign w:val="top"/>
          </w:tcPr>
          <w:p w14:paraId="753994ED">
            <w:pPr>
              <w:spacing w:line="407" w:lineRule="auto"/>
              <w:rPr>
                <w:rFonts w:ascii="Arial"/>
                <w:sz w:val="21"/>
              </w:rPr>
            </w:pPr>
          </w:p>
          <w:p w14:paraId="3FF9AB93">
            <w:pPr>
              <w:spacing w:before="58" w:line="195" w:lineRule="auto"/>
              <w:ind w:left="707"/>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1694" w:type="dxa"/>
            <w:vAlign w:val="top"/>
          </w:tcPr>
          <w:p w14:paraId="6C28FC5E">
            <w:pPr>
              <w:spacing w:before="115" w:line="195" w:lineRule="auto"/>
              <w:ind w:left="7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2090" w:type="dxa"/>
            <w:vAlign w:val="top"/>
          </w:tcPr>
          <w:p w14:paraId="3ECB1CF0">
            <w:pPr>
              <w:spacing w:before="111"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restart"/>
            <w:tcBorders>
              <w:bottom w:val="nil"/>
            </w:tcBorders>
            <w:vAlign w:val="top"/>
          </w:tcPr>
          <w:p w14:paraId="30C76C83">
            <w:pPr>
              <w:spacing w:line="400" w:lineRule="auto"/>
              <w:rPr>
                <w:rFonts w:ascii="Arial"/>
                <w:sz w:val="21"/>
              </w:rPr>
            </w:pPr>
          </w:p>
          <w:p w14:paraId="6F036518">
            <w:pPr>
              <w:pStyle w:val="6"/>
              <w:spacing w:before="65" w:line="228" w:lineRule="auto"/>
              <w:jc w:val="right"/>
              <w:rPr>
                <w:sz w:val="20"/>
                <w:szCs w:val="20"/>
              </w:rPr>
            </w:pPr>
            <w:r>
              <w:rPr>
                <w:rFonts w:ascii="Times New Roman" w:hAnsi="Times New Roman" w:eastAsia="Times New Roman" w:cs="Times New Roman"/>
                <w:sz w:val="20"/>
                <w:szCs w:val="20"/>
              </w:rPr>
              <w:t xml:space="preserve">GB 28666-2012 </w:t>
            </w:r>
            <w:r>
              <w:rPr>
                <w:sz w:val="20"/>
                <w:szCs w:val="20"/>
              </w:rPr>
              <w:t>表</w:t>
            </w:r>
            <w:r>
              <w:rPr>
                <w:spacing w:val="-24"/>
                <w:sz w:val="20"/>
                <w:szCs w:val="20"/>
              </w:rPr>
              <w:t xml:space="preserve"> </w:t>
            </w:r>
            <w:r>
              <w:rPr>
                <w:rFonts w:ascii="Times New Roman" w:hAnsi="Times New Roman" w:eastAsia="Times New Roman" w:cs="Times New Roman"/>
                <w:sz w:val="20"/>
                <w:szCs w:val="20"/>
              </w:rPr>
              <w:t xml:space="preserve">6 </w:t>
            </w:r>
            <w:r>
              <w:rPr>
                <w:sz w:val="20"/>
                <w:szCs w:val="20"/>
              </w:rPr>
              <w:t>特别排放限值、</w:t>
            </w:r>
            <w:r>
              <w:rPr>
                <w:rFonts w:ascii="Times New Roman" w:hAnsi="Times New Roman" w:eastAsia="Times New Roman" w:cs="Times New Roman"/>
                <w:sz w:val="20"/>
                <w:szCs w:val="20"/>
              </w:rPr>
              <w:t>SO</w:t>
            </w:r>
            <w:r>
              <w:rPr>
                <w:rFonts w:ascii="Times New Roman" w:hAnsi="Times New Roman" w:eastAsia="Times New Roman" w:cs="Times New Roman"/>
                <w:position w:val="-1"/>
                <w:sz w:val="13"/>
                <w:szCs w:val="13"/>
              </w:rPr>
              <w:t>2</w:t>
            </w:r>
            <w:r>
              <w:rPr>
                <w:sz w:val="20"/>
                <w:szCs w:val="20"/>
              </w:rPr>
              <w:t>、</w:t>
            </w:r>
          </w:p>
          <w:p w14:paraId="36F926EB">
            <w:pPr>
              <w:pStyle w:val="6"/>
              <w:spacing w:before="81" w:line="228" w:lineRule="auto"/>
              <w:ind w:left="9"/>
              <w:rPr>
                <w:sz w:val="20"/>
                <w:szCs w:val="20"/>
              </w:rPr>
            </w:pPr>
            <w:r>
              <w:rPr>
                <w:rFonts w:ascii="Times New Roman" w:hAnsi="Times New Roman" w:eastAsia="Times New Roman" w:cs="Times New Roman"/>
                <w:sz w:val="20"/>
                <w:szCs w:val="20"/>
              </w:rPr>
              <w:t>NO</w:t>
            </w:r>
            <w:r>
              <w:rPr>
                <w:rFonts w:ascii="Times New Roman" w:hAnsi="Times New Roman" w:eastAsia="Times New Roman" w:cs="Times New Roman"/>
                <w:position w:val="-1"/>
                <w:sz w:val="13"/>
                <w:szCs w:val="13"/>
              </w:rPr>
              <w:t>x</w:t>
            </w:r>
            <w:r>
              <w:rPr>
                <w:rFonts w:ascii="Times New Roman" w:hAnsi="Times New Roman" w:eastAsia="Times New Roman" w:cs="Times New Roman"/>
                <w:spacing w:val="21"/>
                <w:w w:val="102"/>
                <w:position w:val="-1"/>
                <w:sz w:val="13"/>
                <w:szCs w:val="13"/>
              </w:rPr>
              <w:t xml:space="preserve"> </w:t>
            </w:r>
            <w:r>
              <w:rPr>
                <w:spacing w:val="5"/>
                <w:sz w:val="20"/>
                <w:szCs w:val="20"/>
              </w:rPr>
              <w:t>参照执行《工业窑炉大气污染综合治</w:t>
            </w:r>
          </w:p>
          <w:p w14:paraId="0303394B">
            <w:pPr>
              <w:pStyle w:val="6"/>
              <w:spacing w:before="82" w:line="223" w:lineRule="auto"/>
              <w:ind w:left="23"/>
              <w:rPr>
                <w:sz w:val="20"/>
                <w:szCs w:val="20"/>
              </w:rPr>
            </w:pPr>
            <w:r>
              <w:rPr>
                <w:spacing w:val="3"/>
                <w:sz w:val="20"/>
                <w:szCs w:val="20"/>
              </w:rPr>
              <w:t>理》（环大气</w:t>
            </w:r>
            <w:r>
              <w:rPr>
                <w:rFonts w:ascii="Times New Roman" w:hAnsi="Times New Roman" w:eastAsia="Times New Roman" w:cs="Times New Roman"/>
                <w:spacing w:val="3"/>
                <w:sz w:val="20"/>
                <w:szCs w:val="20"/>
              </w:rPr>
              <w:t>[2019]56</w:t>
            </w:r>
            <w:r>
              <w:rPr>
                <w:rFonts w:ascii="Times New Roman" w:hAnsi="Times New Roman" w:eastAsia="Times New Roman" w:cs="Times New Roman"/>
                <w:spacing w:val="25"/>
                <w:w w:val="101"/>
                <w:sz w:val="20"/>
                <w:szCs w:val="20"/>
              </w:rPr>
              <w:t xml:space="preserve"> </w:t>
            </w:r>
            <w:r>
              <w:rPr>
                <w:spacing w:val="3"/>
                <w:sz w:val="20"/>
                <w:szCs w:val="20"/>
              </w:rPr>
              <w:t>号）中重点区域工</w:t>
            </w:r>
          </w:p>
          <w:p w14:paraId="2BB9EA31">
            <w:pPr>
              <w:pStyle w:val="6"/>
              <w:spacing w:before="86" w:line="228" w:lineRule="auto"/>
              <w:ind w:left="1128"/>
              <w:rPr>
                <w:sz w:val="20"/>
                <w:szCs w:val="20"/>
              </w:rPr>
            </w:pPr>
            <w:r>
              <w:rPr>
                <w:spacing w:val="8"/>
                <w:sz w:val="20"/>
                <w:szCs w:val="20"/>
              </w:rPr>
              <w:t>业窑炉浓度限值</w:t>
            </w:r>
          </w:p>
        </w:tc>
        <w:tc>
          <w:tcPr>
            <w:tcW w:w="1429" w:type="dxa"/>
            <w:tcBorders>
              <w:right w:val="nil"/>
            </w:tcBorders>
            <w:vAlign w:val="top"/>
          </w:tcPr>
          <w:p w14:paraId="431EBE53">
            <w:pPr>
              <w:pStyle w:val="6"/>
              <w:spacing w:before="77" w:line="228" w:lineRule="auto"/>
              <w:ind w:left="509"/>
              <w:rPr>
                <w:sz w:val="20"/>
                <w:szCs w:val="20"/>
              </w:rPr>
            </w:pPr>
            <w:r>
              <w:rPr>
                <w:spacing w:val="5"/>
                <w:sz w:val="20"/>
                <w:szCs w:val="20"/>
              </w:rPr>
              <w:t>达标</w:t>
            </w:r>
          </w:p>
        </w:tc>
      </w:tr>
      <w:tr w14:paraId="5571F2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bottom w:val="nil"/>
            </w:tcBorders>
            <w:vAlign w:val="top"/>
          </w:tcPr>
          <w:p w14:paraId="2BBBDD34">
            <w:pPr>
              <w:rPr>
                <w:rFonts w:ascii="Arial"/>
                <w:sz w:val="21"/>
              </w:rPr>
            </w:pPr>
          </w:p>
        </w:tc>
        <w:tc>
          <w:tcPr>
            <w:tcW w:w="3591" w:type="dxa"/>
            <w:vMerge w:val="continue"/>
            <w:tcBorders>
              <w:top w:val="nil"/>
              <w:bottom w:val="nil"/>
            </w:tcBorders>
            <w:vAlign w:val="top"/>
          </w:tcPr>
          <w:p w14:paraId="4F4BA490">
            <w:pPr>
              <w:rPr>
                <w:rFonts w:ascii="Arial"/>
                <w:sz w:val="21"/>
              </w:rPr>
            </w:pPr>
          </w:p>
        </w:tc>
        <w:tc>
          <w:tcPr>
            <w:tcW w:w="2439" w:type="dxa"/>
            <w:vAlign w:val="top"/>
          </w:tcPr>
          <w:p w14:paraId="66A42587">
            <w:pPr>
              <w:spacing w:before="115" w:line="202" w:lineRule="auto"/>
              <w:ind w:left="106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542" w:type="dxa"/>
            <w:vAlign w:val="top"/>
          </w:tcPr>
          <w:p w14:paraId="30495CB0">
            <w:pPr>
              <w:spacing w:before="114" w:line="195" w:lineRule="auto"/>
              <w:ind w:left="5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27.28</w:t>
            </w:r>
          </w:p>
        </w:tc>
        <w:tc>
          <w:tcPr>
            <w:tcW w:w="1505" w:type="dxa"/>
            <w:vAlign w:val="top"/>
          </w:tcPr>
          <w:p w14:paraId="125C35D8">
            <w:pPr>
              <w:spacing w:before="114" w:line="195" w:lineRule="auto"/>
              <w:ind w:left="5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0.36</w:t>
            </w:r>
          </w:p>
        </w:tc>
        <w:tc>
          <w:tcPr>
            <w:tcW w:w="1614" w:type="dxa"/>
            <w:vMerge w:val="continue"/>
            <w:tcBorders>
              <w:top w:val="nil"/>
              <w:bottom w:val="nil"/>
            </w:tcBorders>
            <w:vAlign w:val="top"/>
          </w:tcPr>
          <w:p w14:paraId="2545BDAB">
            <w:pPr>
              <w:rPr>
                <w:rFonts w:ascii="Arial"/>
                <w:sz w:val="21"/>
              </w:rPr>
            </w:pPr>
          </w:p>
        </w:tc>
        <w:tc>
          <w:tcPr>
            <w:tcW w:w="1694" w:type="dxa"/>
            <w:vAlign w:val="top"/>
          </w:tcPr>
          <w:p w14:paraId="218A388F">
            <w:pPr>
              <w:spacing w:before="114" w:line="195" w:lineRule="auto"/>
              <w:ind w:left="6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2090" w:type="dxa"/>
            <w:vAlign w:val="top"/>
          </w:tcPr>
          <w:p w14:paraId="480A1D9E">
            <w:pPr>
              <w:spacing w:before="111"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bottom w:val="nil"/>
            </w:tcBorders>
            <w:vAlign w:val="top"/>
          </w:tcPr>
          <w:p w14:paraId="774B7EFB">
            <w:pPr>
              <w:rPr>
                <w:rFonts w:ascii="Arial"/>
                <w:sz w:val="21"/>
              </w:rPr>
            </w:pPr>
          </w:p>
        </w:tc>
        <w:tc>
          <w:tcPr>
            <w:tcW w:w="1429" w:type="dxa"/>
            <w:tcBorders>
              <w:right w:val="nil"/>
            </w:tcBorders>
            <w:vAlign w:val="top"/>
          </w:tcPr>
          <w:p w14:paraId="5A297326">
            <w:pPr>
              <w:pStyle w:val="6"/>
              <w:spacing w:before="79" w:line="228" w:lineRule="auto"/>
              <w:ind w:left="509"/>
              <w:rPr>
                <w:sz w:val="20"/>
                <w:szCs w:val="20"/>
              </w:rPr>
            </w:pPr>
            <w:r>
              <w:rPr>
                <w:spacing w:val="5"/>
                <w:sz w:val="20"/>
                <w:szCs w:val="20"/>
              </w:rPr>
              <w:t>达标</w:t>
            </w:r>
          </w:p>
        </w:tc>
      </w:tr>
      <w:tr w14:paraId="567A96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tcBorders>
            <w:vAlign w:val="top"/>
          </w:tcPr>
          <w:p w14:paraId="307410A0">
            <w:pPr>
              <w:rPr>
                <w:rFonts w:ascii="Arial"/>
                <w:sz w:val="21"/>
              </w:rPr>
            </w:pPr>
          </w:p>
        </w:tc>
        <w:tc>
          <w:tcPr>
            <w:tcW w:w="3591" w:type="dxa"/>
            <w:vMerge w:val="continue"/>
            <w:tcBorders>
              <w:top w:val="nil"/>
            </w:tcBorders>
            <w:vAlign w:val="top"/>
          </w:tcPr>
          <w:p w14:paraId="21D8B3A2">
            <w:pPr>
              <w:rPr>
                <w:rFonts w:ascii="Arial"/>
                <w:sz w:val="21"/>
              </w:rPr>
            </w:pPr>
          </w:p>
        </w:tc>
        <w:tc>
          <w:tcPr>
            <w:tcW w:w="2439" w:type="dxa"/>
            <w:vAlign w:val="top"/>
          </w:tcPr>
          <w:p w14:paraId="49171727">
            <w:pPr>
              <w:spacing w:before="116" w:line="200" w:lineRule="auto"/>
              <w:ind w:left="101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542" w:type="dxa"/>
            <w:vAlign w:val="top"/>
          </w:tcPr>
          <w:p w14:paraId="23DF3D10">
            <w:pPr>
              <w:spacing w:before="117" w:line="195" w:lineRule="auto"/>
              <w:ind w:left="5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12.13</w:t>
            </w:r>
          </w:p>
        </w:tc>
        <w:tc>
          <w:tcPr>
            <w:tcW w:w="1505" w:type="dxa"/>
            <w:vAlign w:val="top"/>
          </w:tcPr>
          <w:p w14:paraId="7D2E5D14">
            <w:pPr>
              <w:spacing w:before="114" w:line="195" w:lineRule="auto"/>
              <w:ind w:left="5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0.16</w:t>
            </w:r>
          </w:p>
        </w:tc>
        <w:tc>
          <w:tcPr>
            <w:tcW w:w="1614" w:type="dxa"/>
            <w:vMerge w:val="continue"/>
            <w:tcBorders>
              <w:top w:val="nil"/>
            </w:tcBorders>
            <w:vAlign w:val="top"/>
          </w:tcPr>
          <w:p w14:paraId="21078043">
            <w:pPr>
              <w:rPr>
                <w:rFonts w:ascii="Arial"/>
                <w:sz w:val="21"/>
              </w:rPr>
            </w:pPr>
          </w:p>
        </w:tc>
        <w:tc>
          <w:tcPr>
            <w:tcW w:w="1694" w:type="dxa"/>
            <w:vAlign w:val="top"/>
          </w:tcPr>
          <w:p w14:paraId="37D0A41F">
            <w:pPr>
              <w:spacing w:before="117" w:line="195" w:lineRule="auto"/>
              <w:ind w:left="6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2090" w:type="dxa"/>
            <w:vAlign w:val="top"/>
          </w:tcPr>
          <w:p w14:paraId="26AAE458">
            <w:pPr>
              <w:spacing w:before="113"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bottom w:val="nil"/>
            </w:tcBorders>
            <w:vAlign w:val="top"/>
          </w:tcPr>
          <w:p w14:paraId="243BE736">
            <w:pPr>
              <w:rPr>
                <w:rFonts w:ascii="Arial"/>
                <w:sz w:val="21"/>
              </w:rPr>
            </w:pPr>
          </w:p>
        </w:tc>
        <w:tc>
          <w:tcPr>
            <w:tcW w:w="1429" w:type="dxa"/>
            <w:tcBorders>
              <w:right w:val="nil"/>
            </w:tcBorders>
            <w:vAlign w:val="top"/>
          </w:tcPr>
          <w:p w14:paraId="7C121C7F">
            <w:pPr>
              <w:pStyle w:val="6"/>
              <w:spacing w:before="79" w:line="228" w:lineRule="auto"/>
              <w:ind w:left="509"/>
              <w:rPr>
                <w:sz w:val="20"/>
                <w:szCs w:val="20"/>
              </w:rPr>
            </w:pPr>
            <w:r>
              <w:rPr>
                <w:spacing w:val="5"/>
                <w:sz w:val="20"/>
                <w:szCs w:val="20"/>
              </w:rPr>
              <w:t>达标</w:t>
            </w:r>
          </w:p>
        </w:tc>
      </w:tr>
      <w:tr w14:paraId="7EB21E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restart"/>
            <w:tcBorders>
              <w:left w:val="nil"/>
              <w:bottom w:val="nil"/>
            </w:tcBorders>
            <w:vAlign w:val="top"/>
          </w:tcPr>
          <w:p w14:paraId="63A9B5AD">
            <w:pPr>
              <w:spacing w:line="395" w:lineRule="auto"/>
              <w:rPr>
                <w:rFonts w:ascii="Arial"/>
                <w:sz w:val="21"/>
              </w:rPr>
            </w:pPr>
          </w:p>
          <w:p w14:paraId="2D6F1C43">
            <w:pPr>
              <w:spacing w:before="58" w:line="205" w:lineRule="auto"/>
              <w:ind w:left="262"/>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1-3</w:t>
            </w:r>
            <w:r>
              <w:rPr>
                <w:rFonts w:ascii="Times New Roman" w:hAnsi="Times New Roman" w:eastAsia="Times New Roman" w:cs="Times New Roman"/>
                <w:spacing w:val="-1"/>
                <w:sz w:val="13"/>
                <w:szCs w:val="13"/>
              </w:rPr>
              <w:t xml:space="preserve"> </w:t>
            </w:r>
            <w:r>
              <w:rPr>
                <w:rFonts w:ascii="微软雅黑" w:hAnsi="微软雅黑" w:eastAsia="微软雅黑" w:cs="微软雅黑"/>
                <w:spacing w:val="1"/>
                <w:sz w:val="13"/>
                <w:szCs w:val="13"/>
              </w:rPr>
              <w:t>、</w:t>
            </w:r>
            <w:r>
              <w:rPr>
                <w:rFonts w:ascii="微软雅黑" w:hAnsi="微软雅黑" w:eastAsia="微软雅黑" w:cs="微软雅黑"/>
                <w:spacing w:val="22"/>
                <w:sz w:val="13"/>
                <w:szCs w:val="13"/>
              </w:rPr>
              <w:t xml:space="preserve"> </w:t>
            </w: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1-4</w:t>
            </w:r>
          </w:p>
        </w:tc>
        <w:tc>
          <w:tcPr>
            <w:tcW w:w="3591" w:type="dxa"/>
            <w:vMerge w:val="restart"/>
            <w:tcBorders>
              <w:bottom w:val="nil"/>
            </w:tcBorders>
            <w:vAlign w:val="top"/>
          </w:tcPr>
          <w:p w14:paraId="4655FA7F">
            <w:pPr>
              <w:spacing w:line="366" w:lineRule="auto"/>
              <w:rPr>
                <w:rFonts w:ascii="Arial"/>
                <w:sz w:val="21"/>
              </w:rPr>
            </w:pPr>
          </w:p>
          <w:p w14:paraId="1207AA96">
            <w:pPr>
              <w:pStyle w:val="6"/>
              <w:spacing w:before="65" w:line="227" w:lineRule="auto"/>
              <w:ind w:left="750"/>
              <w:rPr>
                <w:sz w:val="20"/>
                <w:szCs w:val="20"/>
              </w:rPr>
            </w:pPr>
            <w:r>
              <w:rPr>
                <w:spacing w:val="8"/>
                <w:sz w:val="20"/>
                <w:szCs w:val="20"/>
              </w:rPr>
              <w:t>锰矿石烘干、出料废气</w:t>
            </w:r>
          </w:p>
        </w:tc>
        <w:tc>
          <w:tcPr>
            <w:tcW w:w="2439" w:type="dxa"/>
            <w:vAlign w:val="top"/>
          </w:tcPr>
          <w:p w14:paraId="496532D1">
            <w:pPr>
              <w:pStyle w:val="6"/>
              <w:spacing w:before="81" w:line="228" w:lineRule="auto"/>
              <w:ind w:left="907"/>
              <w:rPr>
                <w:sz w:val="20"/>
                <w:szCs w:val="20"/>
              </w:rPr>
            </w:pPr>
            <w:r>
              <w:rPr>
                <w:spacing w:val="7"/>
                <w:sz w:val="20"/>
                <w:szCs w:val="20"/>
              </w:rPr>
              <w:t>颗粒物</w:t>
            </w:r>
          </w:p>
        </w:tc>
        <w:tc>
          <w:tcPr>
            <w:tcW w:w="1542" w:type="dxa"/>
            <w:vAlign w:val="top"/>
          </w:tcPr>
          <w:p w14:paraId="5DDE201A">
            <w:pPr>
              <w:spacing w:before="116" w:line="195" w:lineRule="auto"/>
              <w:ind w:left="5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15.17</w:t>
            </w:r>
          </w:p>
        </w:tc>
        <w:tc>
          <w:tcPr>
            <w:tcW w:w="1505" w:type="dxa"/>
            <w:vAlign w:val="top"/>
          </w:tcPr>
          <w:p w14:paraId="15D5E3C2">
            <w:pPr>
              <w:spacing w:before="116" w:line="195" w:lineRule="auto"/>
              <w:ind w:left="576"/>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5"/>
                <w:sz w:val="20"/>
                <w:szCs w:val="20"/>
              </w:rPr>
              <w:t>11</w:t>
            </w:r>
          </w:p>
        </w:tc>
        <w:tc>
          <w:tcPr>
            <w:tcW w:w="1614" w:type="dxa"/>
            <w:vMerge w:val="restart"/>
            <w:tcBorders>
              <w:bottom w:val="nil"/>
            </w:tcBorders>
            <w:vAlign w:val="top"/>
          </w:tcPr>
          <w:p w14:paraId="2FDDEA96">
            <w:pPr>
              <w:spacing w:line="409" w:lineRule="auto"/>
              <w:rPr>
                <w:rFonts w:ascii="Arial"/>
                <w:sz w:val="21"/>
              </w:rPr>
            </w:pPr>
          </w:p>
          <w:p w14:paraId="41E099D1">
            <w:pPr>
              <w:spacing w:before="58" w:line="195" w:lineRule="auto"/>
              <w:ind w:left="707"/>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1694" w:type="dxa"/>
            <w:vAlign w:val="top"/>
          </w:tcPr>
          <w:p w14:paraId="64D7C1CE">
            <w:pPr>
              <w:spacing w:before="116" w:line="195" w:lineRule="auto"/>
              <w:ind w:left="7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2090" w:type="dxa"/>
            <w:vAlign w:val="top"/>
          </w:tcPr>
          <w:p w14:paraId="717327A3">
            <w:pPr>
              <w:spacing w:before="113"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bottom w:val="nil"/>
            </w:tcBorders>
            <w:vAlign w:val="top"/>
          </w:tcPr>
          <w:p w14:paraId="5594BFCA">
            <w:pPr>
              <w:rPr>
                <w:rFonts w:ascii="Arial"/>
                <w:sz w:val="21"/>
              </w:rPr>
            </w:pPr>
          </w:p>
        </w:tc>
        <w:tc>
          <w:tcPr>
            <w:tcW w:w="1429" w:type="dxa"/>
            <w:tcBorders>
              <w:right w:val="nil"/>
            </w:tcBorders>
            <w:vAlign w:val="top"/>
          </w:tcPr>
          <w:p w14:paraId="64C3BE84">
            <w:pPr>
              <w:pStyle w:val="6"/>
              <w:spacing w:before="81" w:line="228" w:lineRule="auto"/>
              <w:ind w:left="509"/>
              <w:rPr>
                <w:sz w:val="20"/>
                <w:szCs w:val="20"/>
              </w:rPr>
            </w:pPr>
            <w:r>
              <w:rPr>
                <w:spacing w:val="5"/>
                <w:sz w:val="20"/>
                <w:szCs w:val="20"/>
              </w:rPr>
              <w:t>达标</w:t>
            </w:r>
          </w:p>
        </w:tc>
      </w:tr>
      <w:tr w14:paraId="047E56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bottom w:val="nil"/>
            </w:tcBorders>
            <w:vAlign w:val="top"/>
          </w:tcPr>
          <w:p w14:paraId="3F71DF91">
            <w:pPr>
              <w:rPr>
                <w:rFonts w:ascii="Arial"/>
                <w:sz w:val="21"/>
              </w:rPr>
            </w:pPr>
          </w:p>
        </w:tc>
        <w:tc>
          <w:tcPr>
            <w:tcW w:w="3591" w:type="dxa"/>
            <w:vMerge w:val="continue"/>
            <w:tcBorders>
              <w:top w:val="nil"/>
              <w:bottom w:val="nil"/>
            </w:tcBorders>
            <w:vAlign w:val="top"/>
          </w:tcPr>
          <w:p w14:paraId="1BAD42F0">
            <w:pPr>
              <w:rPr>
                <w:rFonts w:ascii="Arial"/>
                <w:sz w:val="21"/>
              </w:rPr>
            </w:pPr>
          </w:p>
        </w:tc>
        <w:tc>
          <w:tcPr>
            <w:tcW w:w="2439" w:type="dxa"/>
            <w:vAlign w:val="top"/>
          </w:tcPr>
          <w:p w14:paraId="3688C31F">
            <w:pPr>
              <w:spacing w:before="118" w:line="200" w:lineRule="auto"/>
              <w:ind w:left="106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542" w:type="dxa"/>
            <w:vAlign w:val="top"/>
          </w:tcPr>
          <w:p w14:paraId="3F393803">
            <w:pPr>
              <w:spacing w:before="119" w:line="195" w:lineRule="auto"/>
              <w:ind w:left="5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2.88</w:t>
            </w:r>
          </w:p>
        </w:tc>
        <w:tc>
          <w:tcPr>
            <w:tcW w:w="1505" w:type="dxa"/>
            <w:vAlign w:val="top"/>
          </w:tcPr>
          <w:p w14:paraId="64E0170C">
            <w:pPr>
              <w:spacing w:before="116" w:line="195" w:lineRule="auto"/>
              <w:ind w:left="5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0.59</w:t>
            </w:r>
          </w:p>
        </w:tc>
        <w:tc>
          <w:tcPr>
            <w:tcW w:w="1614" w:type="dxa"/>
            <w:vMerge w:val="continue"/>
            <w:tcBorders>
              <w:top w:val="nil"/>
              <w:bottom w:val="nil"/>
            </w:tcBorders>
            <w:vAlign w:val="top"/>
          </w:tcPr>
          <w:p w14:paraId="2B9B6DD8">
            <w:pPr>
              <w:rPr>
                <w:rFonts w:ascii="Arial"/>
                <w:sz w:val="21"/>
              </w:rPr>
            </w:pPr>
          </w:p>
        </w:tc>
        <w:tc>
          <w:tcPr>
            <w:tcW w:w="1694" w:type="dxa"/>
            <w:vAlign w:val="top"/>
          </w:tcPr>
          <w:p w14:paraId="1867196D">
            <w:pPr>
              <w:spacing w:before="119" w:line="195" w:lineRule="auto"/>
              <w:ind w:left="6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2090" w:type="dxa"/>
            <w:vAlign w:val="top"/>
          </w:tcPr>
          <w:p w14:paraId="56208AE2">
            <w:pPr>
              <w:spacing w:before="115"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bottom w:val="nil"/>
            </w:tcBorders>
            <w:vAlign w:val="top"/>
          </w:tcPr>
          <w:p w14:paraId="452D3FBD">
            <w:pPr>
              <w:rPr>
                <w:rFonts w:ascii="Arial"/>
                <w:sz w:val="21"/>
              </w:rPr>
            </w:pPr>
          </w:p>
        </w:tc>
        <w:tc>
          <w:tcPr>
            <w:tcW w:w="1429" w:type="dxa"/>
            <w:tcBorders>
              <w:right w:val="nil"/>
            </w:tcBorders>
            <w:vAlign w:val="top"/>
          </w:tcPr>
          <w:p w14:paraId="0C60362B">
            <w:pPr>
              <w:pStyle w:val="6"/>
              <w:spacing w:before="81" w:line="228" w:lineRule="auto"/>
              <w:ind w:left="509"/>
              <w:rPr>
                <w:sz w:val="20"/>
                <w:szCs w:val="20"/>
              </w:rPr>
            </w:pPr>
            <w:r>
              <w:rPr>
                <w:spacing w:val="5"/>
                <w:sz w:val="20"/>
                <w:szCs w:val="20"/>
              </w:rPr>
              <w:t>达标</w:t>
            </w:r>
          </w:p>
        </w:tc>
      </w:tr>
      <w:tr w14:paraId="5ABDD1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tcBorders>
            <w:vAlign w:val="top"/>
          </w:tcPr>
          <w:p w14:paraId="60F51D32">
            <w:pPr>
              <w:rPr>
                <w:rFonts w:ascii="Arial"/>
                <w:sz w:val="21"/>
              </w:rPr>
            </w:pPr>
          </w:p>
        </w:tc>
        <w:tc>
          <w:tcPr>
            <w:tcW w:w="3591" w:type="dxa"/>
            <w:vMerge w:val="continue"/>
            <w:tcBorders>
              <w:top w:val="nil"/>
            </w:tcBorders>
            <w:vAlign w:val="top"/>
          </w:tcPr>
          <w:p w14:paraId="3EA9ACBF">
            <w:pPr>
              <w:rPr>
                <w:rFonts w:ascii="Arial"/>
                <w:sz w:val="21"/>
              </w:rPr>
            </w:pPr>
          </w:p>
        </w:tc>
        <w:tc>
          <w:tcPr>
            <w:tcW w:w="2439" w:type="dxa"/>
            <w:vAlign w:val="top"/>
          </w:tcPr>
          <w:p w14:paraId="210D818E">
            <w:pPr>
              <w:spacing w:before="119" w:line="202" w:lineRule="auto"/>
              <w:ind w:left="101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542" w:type="dxa"/>
            <w:vAlign w:val="top"/>
          </w:tcPr>
          <w:p w14:paraId="152FF0FE">
            <w:pPr>
              <w:spacing w:before="118" w:line="195" w:lineRule="auto"/>
              <w:ind w:left="59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3.41</w:t>
            </w:r>
          </w:p>
        </w:tc>
        <w:tc>
          <w:tcPr>
            <w:tcW w:w="1505" w:type="dxa"/>
            <w:vAlign w:val="top"/>
          </w:tcPr>
          <w:p w14:paraId="596A18BB">
            <w:pPr>
              <w:spacing w:before="118" w:line="195" w:lineRule="auto"/>
              <w:ind w:left="5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0.70</w:t>
            </w:r>
          </w:p>
        </w:tc>
        <w:tc>
          <w:tcPr>
            <w:tcW w:w="1614" w:type="dxa"/>
            <w:vMerge w:val="continue"/>
            <w:tcBorders>
              <w:top w:val="nil"/>
            </w:tcBorders>
            <w:vAlign w:val="top"/>
          </w:tcPr>
          <w:p w14:paraId="41A3725D">
            <w:pPr>
              <w:rPr>
                <w:rFonts w:ascii="Arial"/>
                <w:sz w:val="21"/>
              </w:rPr>
            </w:pPr>
          </w:p>
        </w:tc>
        <w:tc>
          <w:tcPr>
            <w:tcW w:w="1694" w:type="dxa"/>
            <w:vAlign w:val="top"/>
          </w:tcPr>
          <w:p w14:paraId="647657A4">
            <w:pPr>
              <w:spacing w:before="118" w:line="195" w:lineRule="auto"/>
              <w:ind w:left="6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2090" w:type="dxa"/>
            <w:vAlign w:val="top"/>
          </w:tcPr>
          <w:p w14:paraId="49662E07">
            <w:pPr>
              <w:spacing w:before="115"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tcBorders>
            <w:vAlign w:val="top"/>
          </w:tcPr>
          <w:p w14:paraId="1C4D7CB9">
            <w:pPr>
              <w:rPr>
                <w:rFonts w:ascii="Arial"/>
                <w:sz w:val="21"/>
              </w:rPr>
            </w:pPr>
          </w:p>
        </w:tc>
        <w:tc>
          <w:tcPr>
            <w:tcW w:w="1429" w:type="dxa"/>
            <w:tcBorders>
              <w:right w:val="nil"/>
            </w:tcBorders>
            <w:vAlign w:val="top"/>
          </w:tcPr>
          <w:p w14:paraId="134A9013">
            <w:pPr>
              <w:pStyle w:val="6"/>
              <w:spacing w:before="83" w:line="228" w:lineRule="auto"/>
              <w:ind w:left="509"/>
              <w:rPr>
                <w:sz w:val="20"/>
                <w:szCs w:val="20"/>
              </w:rPr>
            </w:pPr>
            <w:r>
              <w:rPr>
                <w:spacing w:val="5"/>
                <w:sz w:val="20"/>
                <w:szCs w:val="20"/>
              </w:rPr>
              <w:t>达标</w:t>
            </w:r>
          </w:p>
        </w:tc>
      </w:tr>
      <w:tr w14:paraId="2963C0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restart"/>
            <w:tcBorders>
              <w:left w:val="nil"/>
              <w:bottom w:val="nil"/>
            </w:tcBorders>
            <w:vAlign w:val="top"/>
          </w:tcPr>
          <w:p w14:paraId="0679213B">
            <w:pPr>
              <w:spacing w:before="296" w:line="211" w:lineRule="auto"/>
              <w:ind w:left="53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G</w:t>
            </w:r>
            <w:r>
              <w:rPr>
                <w:rFonts w:ascii="Times New Roman" w:hAnsi="Times New Roman" w:eastAsia="Times New Roman" w:cs="Times New Roman"/>
                <w:spacing w:val="2"/>
                <w:sz w:val="13"/>
                <w:szCs w:val="13"/>
              </w:rPr>
              <w:t>1-5</w:t>
            </w:r>
          </w:p>
        </w:tc>
        <w:tc>
          <w:tcPr>
            <w:tcW w:w="3591" w:type="dxa"/>
            <w:vMerge w:val="restart"/>
            <w:tcBorders>
              <w:bottom w:val="nil"/>
            </w:tcBorders>
            <w:vAlign w:val="top"/>
          </w:tcPr>
          <w:p w14:paraId="7BB08A9B">
            <w:pPr>
              <w:pStyle w:val="6"/>
              <w:spacing w:before="260" w:line="227" w:lineRule="auto"/>
              <w:ind w:left="1064"/>
              <w:rPr>
                <w:sz w:val="20"/>
                <w:szCs w:val="20"/>
              </w:rPr>
            </w:pPr>
            <w:r>
              <w:rPr>
                <w:spacing w:val="8"/>
                <w:sz w:val="20"/>
                <w:szCs w:val="20"/>
              </w:rPr>
              <w:t>烧结配料站粉尘</w:t>
            </w:r>
          </w:p>
        </w:tc>
        <w:tc>
          <w:tcPr>
            <w:tcW w:w="2439" w:type="dxa"/>
            <w:vAlign w:val="top"/>
          </w:tcPr>
          <w:p w14:paraId="5BFE4882">
            <w:pPr>
              <w:pStyle w:val="6"/>
              <w:spacing w:before="83" w:line="228" w:lineRule="auto"/>
              <w:ind w:left="907"/>
              <w:rPr>
                <w:sz w:val="20"/>
                <w:szCs w:val="20"/>
              </w:rPr>
            </w:pPr>
            <w:r>
              <w:rPr>
                <w:spacing w:val="7"/>
                <w:sz w:val="20"/>
                <w:szCs w:val="20"/>
              </w:rPr>
              <w:t>颗粒物</w:t>
            </w:r>
          </w:p>
        </w:tc>
        <w:tc>
          <w:tcPr>
            <w:tcW w:w="1542" w:type="dxa"/>
            <w:vAlign w:val="top"/>
          </w:tcPr>
          <w:p w14:paraId="7177213F">
            <w:pPr>
              <w:spacing w:before="121" w:line="195" w:lineRule="auto"/>
              <w:ind w:left="5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15.70</w:t>
            </w:r>
          </w:p>
        </w:tc>
        <w:tc>
          <w:tcPr>
            <w:tcW w:w="1505" w:type="dxa"/>
            <w:vAlign w:val="top"/>
          </w:tcPr>
          <w:p w14:paraId="3D13B93E">
            <w:pPr>
              <w:spacing w:before="121" w:line="195" w:lineRule="auto"/>
              <w:ind w:left="5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0.39</w:t>
            </w:r>
          </w:p>
        </w:tc>
        <w:tc>
          <w:tcPr>
            <w:tcW w:w="1614" w:type="dxa"/>
            <w:vMerge w:val="restart"/>
            <w:tcBorders>
              <w:bottom w:val="nil"/>
            </w:tcBorders>
            <w:vAlign w:val="top"/>
          </w:tcPr>
          <w:p w14:paraId="522904A1">
            <w:pPr>
              <w:spacing w:before="296" w:line="195" w:lineRule="auto"/>
              <w:ind w:left="707"/>
              <w:rPr>
                <w:rFonts w:ascii="Times New Roman" w:hAnsi="Times New Roman" w:eastAsia="Times New Roman" w:cs="Times New Roman"/>
                <w:sz w:val="20"/>
                <w:szCs w:val="20"/>
              </w:rPr>
            </w:pPr>
            <w:r>
              <w:rPr>
                <w:rFonts w:ascii="Times New Roman" w:hAnsi="Times New Roman" w:eastAsia="Times New Roman" w:cs="Times New Roman"/>
                <w:sz w:val="20"/>
                <w:szCs w:val="20"/>
              </w:rPr>
              <w:t>33</w:t>
            </w:r>
          </w:p>
        </w:tc>
        <w:tc>
          <w:tcPr>
            <w:tcW w:w="1694" w:type="dxa"/>
            <w:vAlign w:val="top"/>
          </w:tcPr>
          <w:p w14:paraId="51CF9033">
            <w:pPr>
              <w:spacing w:before="121" w:line="195" w:lineRule="auto"/>
              <w:ind w:left="7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2090" w:type="dxa"/>
            <w:vAlign w:val="top"/>
          </w:tcPr>
          <w:p w14:paraId="1C554FE1">
            <w:pPr>
              <w:spacing w:before="117"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restart"/>
            <w:tcBorders>
              <w:bottom w:val="nil"/>
            </w:tcBorders>
            <w:vAlign w:val="top"/>
          </w:tcPr>
          <w:p w14:paraId="04A39641">
            <w:pPr>
              <w:pStyle w:val="6"/>
              <w:spacing w:before="260" w:line="228" w:lineRule="auto"/>
              <w:ind w:left="343"/>
              <w:rPr>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 xml:space="preserve">28666-2012 </w:t>
            </w:r>
            <w:r>
              <w:rPr>
                <w:spacing w:val="6"/>
                <w:sz w:val="20"/>
                <w:szCs w:val="20"/>
              </w:rPr>
              <w:t>表</w:t>
            </w:r>
            <w:r>
              <w:rPr>
                <w:spacing w:val="-35"/>
                <w:sz w:val="20"/>
                <w:szCs w:val="20"/>
              </w:rPr>
              <w:t xml:space="preserve"> </w:t>
            </w:r>
            <w:r>
              <w:rPr>
                <w:rFonts w:ascii="Times New Roman" w:hAnsi="Times New Roman" w:eastAsia="Times New Roman" w:cs="Times New Roman"/>
                <w:spacing w:val="6"/>
                <w:sz w:val="20"/>
                <w:szCs w:val="20"/>
              </w:rPr>
              <w:t xml:space="preserve">6 </w:t>
            </w:r>
            <w:r>
              <w:rPr>
                <w:spacing w:val="6"/>
                <w:sz w:val="20"/>
                <w:szCs w:val="20"/>
              </w:rPr>
              <w:t>特别排放限值</w:t>
            </w:r>
          </w:p>
        </w:tc>
        <w:tc>
          <w:tcPr>
            <w:tcW w:w="1429" w:type="dxa"/>
            <w:tcBorders>
              <w:right w:val="nil"/>
            </w:tcBorders>
            <w:vAlign w:val="top"/>
          </w:tcPr>
          <w:p w14:paraId="6DBB58AE">
            <w:pPr>
              <w:pStyle w:val="6"/>
              <w:spacing w:before="83" w:line="228" w:lineRule="auto"/>
              <w:ind w:left="509"/>
              <w:rPr>
                <w:sz w:val="20"/>
                <w:szCs w:val="20"/>
              </w:rPr>
            </w:pPr>
            <w:r>
              <w:rPr>
                <w:spacing w:val="5"/>
                <w:sz w:val="20"/>
                <w:szCs w:val="20"/>
              </w:rPr>
              <w:t>达标</w:t>
            </w:r>
          </w:p>
        </w:tc>
      </w:tr>
      <w:tr w14:paraId="627427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tcBorders>
            <w:vAlign w:val="top"/>
          </w:tcPr>
          <w:p w14:paraId="04B6843D">
            <w:pPr>
              <w:rPr>
                <w:rFonts w:ascii="Arial"/>
                <w:sz w:val="21"/>
              </w:rPr>
            </w:pPr>
          </w:p>
        </w:tc>
        <w:tc>
          <w:tcPr>
            <w:tcW w:w="3591" w:type="dxa"/>
            <w:vMerge w:val="continue"/>
            <w:tcBorders>
              <w:top w:val="nil"/>
            </w:tcBorders>
            <w:vAlign w:val="top"/>
          </w:tcPr>
          <w:p w14:paraId="52CE2AAB">
            <w:pPr>
              <w:rPr>
                <w:rFonts w:ascii="Arial"/>
                <w:sz w:val="21"/>
              </w:rPr>
            </w:pPr>
          </w:p>
        </w:tc>
        <w:tc>
          <w:tcPr>
            <w:tcW w:w="2439" w:type="dxa"/>
            <w:vAlign w:val="top"/>
          </w:tcPr>
          <w:p w14:paraId="407AF2E9">
            <w:pPr>
              <w:pStyle w:val="6"/>
              <w:spacing w:before="85" w:line="229" w:lineRule="auto"/>
              <w:ind w:left="594"/>
              <w:rPr>
                <w:sz w:val="20"/>
                <w:szCs w:val="20"/>
              </w:rPr>
            </w:pPr>
            <w:r>
              <w:rPr>
                <w:spacing w:val="8"/>
                <w:sz w:val="20"/>
                <w:szCs w:val="20"/>
              </w:rPr>
              <w:t>锰及其化合物</w:t>
            </w:r>
          </w:p>
        </w:tc>
        <w:tc>
          <w:tcPr>
            <w:tcW w:w="1542" w:type="dxa"/>
            <w:vAlign w:val="top"/>
          </w:tcPr>
          <w:p w14:paraId="745999AB">
            <w:pPr>
              <w:spacing w:before="120" w:line="195" w:lineRule="auto"/>
              <w:ind w:left="5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2.85</w:t>
            </w:r>
          </w:p>
        </w:tc>
        <w:tc>
          <w:tcPr>
            <w:tcW w:w="1505" w:type="dxa"/>
            <w:vAlign w:val="top"/>
          </w:tcPr>
          <w:p w14:paraId="6515BF21">
            <w:pPr>
              <w:spacing w:before="120" w:line="195" w:lineRule="auto"/>
              <w:ind w:left="5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0.07</w:t>
            </w:r>
          </w:p>
        </w:tc>
        <w:tc>
          <w:tcPr>
            <w:tcW w:w="1614" w:type="dxa"/>
            <w:vMerge w:val="continue"/>
            <w:tcBorders>
              <w:top w:val="nil"/>
            </w:tcBorders>
            <w:vAlign w:val="top"/>
          </w:tcPr>
          <w:p w14:paraId="0D458C4A">
            <w:pPr>
              <w:rPr>
                <w:rFonts w:ascii="Arial"/>
                <w:sz w:val="21"/>
              </w:rPr>
            </w:pPr>
          </w:p>
        </w:tc>
        <w:tc>
          <w:tcPr>
            <w:tcW w:w="1694" w:type="dxa"/>
            <w:vAlign w:val="top"/>
          </w:tcPr>
          <w:p w14:paraId="5A507306">
            <w:pPr>
              <w:spacing w:before="117" w:line="199" w:lineRule="auto"/>
              <w:ind w:left="8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090" w:type="dxa"/>
            <w:vAlign w:val="top"/>
          </w:tcPr>
          <w:p w14:paraId="10ECC6E7">
            <w:pPr>
              <w:spacing w:before="117"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tcBorders>
            <w:vAlign w:val="top"/>
          </w:tcPr>
          <w:p w14:paraId="20615145">
            <w:pPr>
              <w:rPr>
                <w:rFonts w:ascii="Arial"/>
                <w:sz w:val="21"/>
              </w:rPr>
            </w:pPr>
          </w:p>
        </w:tc>
        <w:tc>
          <w:tcPr>
            <w:tcW w:w="1429" w:type="dxa"/>
            <w:tcBorders>
              <w:right w:val="nil"/>
            </w:tcBorders>
            <w:vAlign w:val="top"/>
          </w:tcPr>
          <w:p w14:paraId="59BA5D05">
            <w:pPr>
              <w:pStyle w:val="6"/>
              <w:spacing w:before="85" w:line="228" w:lineRule="auto"/>
              <w:ind w:left="509"/>
              <w:rPr>
                <w:sz w:val="20"/>
                <w:szCs w:val="20"/>
              </w:rPr>
            </w:pPr>
            <w:r>
              <w:rPr>
                <w:spacing w:val="5"/>
                <w:sz w:val="20"/>
                <w:szCs w:val="20"/>
              </w:rPr>
              <w:t>达标</w:t>
            </w:r>
          </w:p>
        </w:tc>
      </w:tr>
      <w:tr w14:paraId="754F2D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restart"/>
            <w:tcBorders>
              <w:left w:val="nil"/>
              <w:bottom w:val="nil"/>
            </w:tcBorders>
            <w:vAlign w:val="top"/>
          </w:tcPr>
          <w:p w14:paraId="05749A32">
            <w:pPr>
              <w:spacing w:line="296" w:lineRule="auto"/>
              <w:rPr>
                <w:rFonts w:ascii="Arial"/>
                <w:sz w:val="21"/>
              </w:rPr>
            </w:pPr>
          </w:p>
          <w:p w14:paraId="52277276">
            <w:pPr>
              <w:spacing w:line="296" w:lineRule="auto"/>
              <w:rPr>
                <w:rFonts w:ascii="Arial"/>
                <w:sz w:val="21"/>
              </w:rPr>
            </w:pPr>
          </w:p>
          <w:p w14:paraId="4ADB2EDE">
            <w:pPr>
              <w:spacing w:before="58" w:line="211" w:lineRule="auto"/>
              <w:ind w:left="262"/>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1-6</w:t>
            </w:r>
            <w:r>
              <w:rPr>
                <w:rFonts w:ascii="Times New Roman" w:hAnsi="Times New Roman" w:eastAsia="Times New Roman" w:cs="Times New Roman"/>
                <w:sz w:val="13"/>
                <w:szCs w:val="13"/>
              </w:rPr>
              <w:t xml:space="preserve"> </w:t>
            </w:r>
            <w:r>
              <w:rPr>
                <w:rFonts w:ascii="微软雅黑" w:hAnsi="微软雅黑" w:eastAsia="微软雅黑" w:cs="微软雅黑"/>
                <w:spacing w:val="1"/>
                <w:position w:val="2"/>
                <w:sz w:val="13"/>
                <w:szCs w:val="13"/>
              </w:rPr>
              <w:t>、</w:t>
            </w:r>
            <w:r>
              <w:rPr>
                <w:rFonts w:ascii="微软雅黑" w:hAnsi="微软雅黑" w:eastAsia="微软雅黑" w:cs="微软雅黑"/>
                <w:spacing w:val="22"/>
                <w:w w:val="101"/>
                <w:position w:val="2"/>
                <w:sz w:val="13"/>
                <w:szCs w:val="13"/>
              </w:rPr>
              <w:t xml:space="preserve"> </w:t>
            </w: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1-7</w:t>
            </w:r>
          </w:p>
        </w:tc>
        <w:tc>
          <w:tcPr>
            <w:tcW w:w="3591" w:type="dxa"/>
            <w:vMerge w:val="restart"/>
            <w:tcBorders>
              <w:bottom w:val="nil"/>
            </w:tcBorders>
            <w:vAlign w:val="top"/>
          </w:tcPr>
          <w:p w14:paraId="6ED64F47">
            <w:pPr>
              <w:spacing w:line="273" w:lineRule="auto"/>
              <w:rPr>
                <w:rFonts w:ascii="Arial"/>
                <w:sz w:val="21"/>
              </w:rPr>
            </w:pPr>
          </w:p>
          <w:p w14:paraId="0E2D1355">
            <w:pPr>
              <w:spacing w:line="273" w:lineRule="auto"/>
              <w:rPr>
                <w:rFonts w:ascii="Arial"/>
                <w:sz w:val="21"/>
              </w:rPr>
            </w:pPr>
          </w:p>
          <w:p w14:paraId="72EB53D0">
            <w:pPr>
              <w:pStyle w:val="6"/>
              <w:spacing w:before="65" w:line="227" w:lineRule="auto"/>
              <w:ind w:left="855"/>
              <w:rPr>
                <w:sz w:val="20"/>
                <w:szCs w:val="20"/>
              </w:rPr>
            </w:pPr>
            <w:r>
              <w:rPr>
                <w:spacing w:val="8"/>
                <w:sz w:val="20"/>
                <w:szCs w:val="20"/>
              </w:rPr>
              <w:t>烧结机头、机尾废气</w:t>
            </w:r>
          </w:p>
        </w:tc>
        <w:tc>
          <w:tcPr>
            <w:tcW w:w="2439" w:type="dxa"/>
            <w:vAlign w:val="top"/>
          </w:tcPr>
          <w:p w14:paraId="072F0C75">
            <w:pPr>
              <w:pStyle w:val="6"/>
              <w:spacing w:before="85" w:line="228" w:lineRule="auto"/>
              <w:ind w:left="907"/>
              <w:rPr>
                <w:sz w:val="20"/>
                <w:szCs w:val="20"/>
              </w:rPr>
            </w:pPr>
            <w:r>
              <w:rPr>
                <w:spacing w:val="7"/>
                <w:sz w:val="20"/>
                <w:szCs w:val="20"/>
              </w:rPr>
              <w:t>颗粒物</w:t>
            </w:r>
          </w:p>
        </w:tc>
        <w:tc>
          <w:tcPr>
            <w:tcW w:w="1542" w:type="dxa"/>
            <w:vAlign w:val="top"/>
          </w:tcPr>
          <w:p w14:paraId="3E133750">
            <w:pPr>
              <w:spacing w:before="123" w:line="195" w:lineRule="auto"/>
              <w:ind w:left="5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18.23</w:t>
            </w:r>
          </w:p>
        </w:tc>
        <w:tc>
          <w:tcPr>
            <w:tcW w:w="1505" w:type="dxa"/>
            <w:vAlign w:val="top"/>
          </w:tcPr>
          <w:p w14:paraId="38B2A5D1">
            <w:pPr>
              <w:spacing w:before="123" w:line="195" w:lineRule="auto"/>
              <w:ind w:left="57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6.38</w:t>
            </w:r>
          </w:p>
        </w:tc>
        <w:tc>
          <w:tcPr>
            <w:tcW w:w="1614" w:type="dxa"/>
            <w:vMerge w:val="restart"/>
            <w:tcBorders>
              <w:bottom w:val="nil"/>
            </w:tcBorders>
            <w:vAlign w:val="top"/>
          </w:tcPr>
          <w:p w14:paraId="3E1F9DD0">
            <w:pPr>
              <w:spacing w:line="296" w:lineRule="auto"/>
              <w:rPr>
                <w:rFonts w:ascii="Arial"/>
                <w:sz w:val="21"/>
              </w:rPr>
            </w:pPr>
          </w:p>
          <w:p w14:paraId="067AA323">
            <w:pPr>
              <w:spacing w:line="296" w:lineRule="auto"/>
              <w:rPr>
                <w:rFonts w:ascii="Arial"/>
                <w:sz w:val="21"/>
              </w:rPr>
            </w:pPr>
          </w:p>
          <w:p w14:paraId="6BA9348C">
            <w:pPr>
              <w:spacing w:before="57" w:line="195" w:lineRule="auto"/>
              <w:ind w:left="707"/>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1694" w:type="dxa"/>
            <w:vAlign w:val="top"/>
          </w:tcPr>
          <w:p w14:paraId="221D8C43">
            <w:pPr>
              <w:spacing w:before="123" w:line="195" w:lineRule="auto"/>
              <w:ind w:left="7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2090" w:type="dxa"/>
            <w:vAlign w:val="top"/>
          </w:tcPr>
          <w:p w14:paraId="4BC0AA21">
            <w:pPr>
              <w:spacing w:before="119"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restart"/>
            <w:tcBorders>
              <w:bottom w:val="nil"/>
            </w:tcBorders>
            <w:vAlign w:val="top"/>
          </w:tcPr>
          <w:p w14:paraId="62469E67">
            <w:pPr>
              <w:spacing w:line="263" w:lineRule="auto"/>
              <w:rPr>
                <w:rFonts w:ascii="Arial"/>
                <w:sz w:val="21"/>
              </w:rPr>
            </w:pPr>
          </w:p>
          <w:p w14:paraId="36B710A8">
            <w:pPr>
              <w:spacing w:line="263" w:lineRule="auto"/>
              <w:rPr>
                <w:rFonts w:ascii="Arial"/>
                <w:sz w:val="21"/>
              </w:rPr>
            </w:pPr>
          </w:p>
          <w:p w14:paraId="39313855">
            <w:pPr>
              <w:pStyle w:val="6"/>
              <w:spacing w:before="86" w:line="191" w:lineRule="auto"/>
              <w:ind w:left="343"/>
              <w:rPr>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 xml:space="preserve">28662-2012 </w:t>
            </w:r>
            <w:r>
              <w:rPr>
                <w:rFonts w:ascii="微软雅黑" w:hAnsi="微软雅黑" w:eastAsia="微软雅黑" w:cs="微软雅黑"/>
                <w:spacing w:val="6"/>
                <w:sz w:val="20"/>
                <w:szCs w:val="20"/>
              </w:rPr>
              <w:t xml:space="preserve">表 </w:t>
            </w:r>
            <w:r>
              <w:rPr>
                <w:rFonts w:ascii="Times New Roman" w:hAnsi="Times New Roman" w:eastAsia="Times New Roman" w:cs="Times New Roman"/>
                <w:spacing w:val="6"/>
                <w:sz w:val="20"/>
                <w:szCs w:val="20"/>
              </w:rPr>
              <w:t xml:space="preserve">3 </w:t>
            </w:r>
            <w:r>
              <w:rPr>
                <w:spacing w:val="6"/>
                <w:sz w:val="20"/>
                <w:szCs w:val="20"/>
              </w:rPr>
              <w:t>特别排放限值</w:t>
            </w:r>
          </w:p>
        </w:tc>
        <w:tc>
          <w:tcPr>
            <w:tcW w:w="1429" w:type="dxa"/>
            <w:tcBorders>
              <w:right w:val="nil"/>
            </w:tcBorders>
            <w:vAlign w:val="top"/>
          </w:tcPr>
          <w:p w14:paraId="4CC2A945">
            <w:pPr>
              <w:pStyle w:val="6"/>
              <w:spacing w:before="85" w:line="228" w:lineRule="auto"/>
              <w:ind w:left="509"/>
              <w:rPr>
                <w:sz w:val="20"/>
                <w:szCs w:val="20"/>
              </w:rPr>
            </w:pPr>
            <w:r>
              <w:rPr>
                <w:spacing w:val="5"/>
                <w:sz w:val="20"/>
                <w:szCs w:val="20"/>
              </w:rPr>
              <w:t>达标</w:t>
            </w:r>
          </w:p>
        </w:tc>
      </w:tr>
      <w:tr w14:paraId="1BF879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bottom w:val="nil"/>
            </w:tcBorders>
            <w:vAlign w:val="top"/>
          </w:tcPr>
          <w:p w14:paraId="3E90CDAC">
            <w:pPr>
              <w:rPr>
                <w:rFonts w:ascii="Arial"/>
                <w:sz w:val="21"/>
              </w:rPr>
            </w:pPr>
          </w:p>
        </w:tc>
        <w:tc>
          <w:tcPr>
            <w:tcW w:w="3591" w:type="dxa"/>
            <w:vMerge w:val="continue"/>
            <w:tcBorders>
              <w:top w:val="nil"/>
              <w:bottom w:val="nil"/>
            </w:tcBorders>
            <w:vAlign w:val="top"/>
          </w:tcPr>
          <w:p w14:paraId="3ACCB43D">
            <w:pPr>
              <w:rPr>
                <w:rFonts w:ascii="Arial"/>
                <w:sz w:val="21"/>
              </w:rPr>
            </w:pPr>
          </w:p>
        </w:tc>
        <w:tc>
          <w:tcPr>
            <w:tcW w:w="2439" w:type="dxa"/>
            <w:vAlign w:val="top"/>
          </w:tcPr>
          <w:p w14:paraId="63FA213A">
            <w:pPr>
              <w:pStyle w:val="6"/>
              <w:spacing w:before="87" w:line="229" w:lineRule="auto"/>
              <w:ind w:left="594"/>
              <w:rPr>
                <w:sz w:val="20"/>
                <w:szCs w:val="20"/>
              </w:rPr>
            </w:pPr>
            <w:r>
              <w:rPr>
                <w:spacing w:val="8"/>
                <w:sz w:val="20"/>
                <w:szCs w:val="20"/>
              </w:rPr>
              <w:t>锰及其化合物</w:t>
            </w:r>
          </w:p>
        </w:tc>
        <w:tc>
          <w:tcPr>
            <w:tcW w:w="1542" w:type="dxa"/>
            <w:vAlign w:val="top"/>
          </w:tcPr>
          <w:p w14:paraId="1A736E4B">
            <w:pPr>
              <w:spacing w:before="122" w:line="195" w:lineRule="auto"/>
              <w:ind w:left="59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5.01</w:t>
            </w:r>
          </w:p>
        </w:tc>
        <w:tc>
          <w:tcPr>
            <w:tcW w:w="1505" w:type="dxa"/>
            <w:vAlign w:val="top"/>
          </w:tcPr>
          <w:p w14:paraId="6F7856BC">
            <w:pPr>
              <w:spacing w:before="122" w:line="195" w:lineRule="auto"/>
              <w:ind w:left="5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1.75</w:t>
            </w:r>
          </w:p>
        </w:tc>
        <w:tc>
          <w:tcPr>
            <w:tcW w:w="1614" w:type="dxa"/>
            <w:vMerge w:val="continue"/>
            <w:tcBorders>
              <w:top w:val="nil"/>
              <w:bottom w:val="nil"/>
            </w:tcBorders>
            <w:vAlign w:val="top"/>
          </w:tcPr>
          <w:p w14:paraId="3ACB636C">
            <w:pPr>
              <w:rPr>
                <w:rFonts w:ascii="Arial"/>
                <w:sz w:val="21"/>
              </w:rPr>
            </w:pPr>
          </w:p>
        </w:tc>
        <w:tc>
          <w:tcPr>
            <w:tcW w:w="1694" w:type="dxa"/>
            <w:vAlign w:val="top"/>
          </w:tcPr>
          <w:p w14:paraId="730B7460">
            <w:pPr>
              <w:spacing w:before="119" w:line="199" w:lineRule="auto"/>
              <w:ind w:left="8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090" w:type="dxa"/>
            <w:vAlign w:val="top"/>
          </w:tcPr>
          <w:p w14:paraId="26DC28CE">
            <w:pPr>
              <w:spacing w:before="119"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bottom w:val="nil"/>
            </w:tcBorders>
            <w:vAlign w:val="top"/>
          </w:tcPr>
          <w:p w14:paraId="1E30C30B">
            <w:pPr>
              <w:rPr>
                <w:rFonts w:ascii="Arial"/>
                <w:sz w:val="21"/>
              </w:rPr>
            </w:pPr>
          </w:p>
        </w:tc>
        <w:tc>
          <w:tcPr>
            <w:tcW w:w="1429" w:type="dxa"/>
            <w:tcBorders>
              <w:right w:val="nil"/>
            </w:tcBorders>
            <w:vAlign w:val="top"/>
          </w:tcPr>
          <w:p w14:paraId="47EA5EBC">
            <w:pPr>
              <w:pStyle w:val="6"/>
              <w:spacing w:before="87" w:line="228" w:lineRule="auto"/>
              <w:ind w:left="509"/>
              <w:rPr>
                <w:sz w:val="20"/>
                <w:szCs w:val="20"/>
              </w:rPr>
            </w:pPr>
            <w:r>
              <w:rPr>
                <w:spacing w:val="5"/>
                <w:sz w:val="20"/>
                <w:szCs w:val="20"/>
              </w:rPr>
              <w:t>达标</w:t>
            </w:r>
          </w:p>
        </w:tc>
      </w:tr>
      <w:tr w14:paraId="6F8EF8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bottom w:val="nil"/>
            </w:tcBorders>
            <w:vAlign w:val="top"/>
          </w:tcPr>
          <w:p w14:paraId="595D47F8">
            <w:pPr>
              <w:rPr>
                <w:rFonts w:ascii="Arial"/>
                <w:sz w:val="21"/>
              </w:rPr>
            </w:pPr>
          </w:p>
        </w:tc>
        <w:tc>
          <w:tcPr>
            <w:tcW w:w="3591" w:type="dxa"/>
            <w:vMerge w:val="continue"/>
            <w:tcBorders>
              <w:top w:val="nil"/>
              <w:bottom w:val="nil"/>
            </w:tcBorders>
            <w:vAlign w:val="top"/>
          </w:tcPr>
          <w:p w14:paraId="04C1B190">
            <w:pPr>
              <w:rPr>
                <w:rFonts w:ascii="Arial"/>
                <w:sz w:val="21"/>
              </w:rPr>
            </w:pPr>
          </w:p>
        </w:tc>
        <w:tc>
          <w:tcPr>
            <w:tcW w:w="2439" w:type="dxa"/>
            <w:vAlign w:val="top"/>
          </w:tcPr>
          <w:p w14:paraId="69255532">
            <w:pPr>
              <w:spacing w:before="124" w:line="200" w:lineRule="auto"/>
              <w:ind w:left="106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542" w:type="dxa"/>
            <w:vAlign w:val="top"/>
          </w:tcPr>
          <w:p w14:paraId="62747CB9">
            <w:pPr>
              <w:spacing w:before="125" w:line="195" w:lineRule="auto"/>
              <w:ind w:left="5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23.70</w:t>
            </w:r>
          </w:p>
        </w:tc>
        <w:tc>
          <w:tcPr>
            <w:tcW w:w="1505" w:type="dxa"/>
            <w:vAlign w:val="top"/>
          </w:tcPr>
          <w:p w14:paraId="32CC8D29">
            <w:pPr>
              <w:spacing w:before="125" w:line="195" w:lineRule="auto"/>
              <w:ind w:left="580"/>
              <w:rPr>
                <w:rFonts w:ascii="Times New Roman" w:hAnsi="Times New Roman" w:eastAsia="Times New Roman" w:cs="Times New Roman"/>
                <w:sz w:val="20"/>
                <w:szCs w:val="20"/>
              </w:rPr>
            </w:pPr>
            <w:r>
              <w:rPr>
                <w:rFonts w:ascii="Times New Roman" w:hAnsi="Times New Roman" w:eastAsia="Times New Roman" w:cs="Times New Roman"/>
                <w:sz w:val="20"/>
                <w:szCs w:val="20"/>
              </w:rPr>
              <w:t>8.29</w:t>
            </w:r>
          </w:p>
        </w:tc>
        <w:tc>
          <w:tcPr>
            <w:tcW w:w="1614" w:type="dxa"/>
            <w:vMerge w:val="continue"/>
            <w:tcBorders>
              <w:top w:val="nil"/>
              <w:bottom w:val="nil"/>
            </w:tcBorders>
            <w:vAlign w:val="top"/>
          </w:tcPr>
          <w:p w14:paraId="65297000">
            <w:pPr>
              <w:rPr>
                <w:rFonts w:ascii="Arial"/>
                <w:sz w:val="21"/>
              </w:rPr>
            </w:pPr>
          </w:p>
        </w:tc>
        <w:tc>
          <w:tcPr>
            <w:tcW w:w="1694" w:type="dxa"/>
            <w:vAlign w:val="top"/>
          </w:tcPr>
          <w:p w14:paraId="10406D34">
            <w:pPr>
              <w:spacing w:before="125" w:line="195" w:lineRule="auto"/>
              <w:ind w:left="71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180</w:t>
            </w:r>
          </w:p>
        </w:tc>
        <w:tc>
          <w:tcPr>
            <w:tcW w:w="2090" w:type="dxa"/>
            <w:vAlign w:val="top"/>
          </w:tcPr>
          <w:p w14:paraId="7FB62007">
            <w:pPr>
              <w:spacing w:before="121"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bottom w:val="nil"/>
            </w:tcBorders>
            <w:vAlign w:val="top"/>
          </w:tcPr>
          <w:p w14:paraId="2E83702B">
            <w:pPr>
              <w:rPr>
                <w:rFonts w:ascii="Arial"/>
                <w:sz w:val="21"/>
              </w:rPr>
            </w:pPr>
          </w:p>
        </w:tc>
        <w:tc>
          <w:tcPr>
            <w:tcW w:w="1429" w:type="dxa"/>
            <w:tcBorders>
              <w:right w:val="nil"/>
            </w:tcBorders>
            <w:vAlign w:val="top"/>
          </w:tcPr>
          <w:p w14:paraId="3D3B09F3">
            <w:pPr>
              <w:pStyle w:val="6"/>
              <w:spacing w:before="87" w:line="228" w:lineRule="auto"/>
              <w:ind w:left="509"/>
              <w:rPr>
                <w:sz w:val="20"/>
                <w:szCs w:val="20"/>
              </w:rPr>
            </w:pPr>
            <w:r>
              <w:rPr>
                <w:spacing w:val="5"/>
                <w:sz w:val="20"/>
                <w:szCs w:val="20"/>
              </w:rPr>
              <w:t>达标</w:t>
            </w:r>
          </w:p>
        </w:tc>
      </w:tr>
      <w:tr w14:paraId="2BD5B9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tcBorders>
            <w:vAlign w:val="top"/>
          </w:tcPr>
          <w:p w14:paraId="0580DF12">
            <w:pPr>
              <w:rPr>
                <w:rFonts w:ascii="Arial"/>
                <w:sz w:val="21"/>
              </w:rPr>
            </w:pPr>
          </w:p>
        </w:tc>
        <w:tc>
          <w:tcPr>
            <w:tcW w:w="3591" w:type="dxa"/>
            <w:vMerge w:val="continue"/>
            <w:tcBorders>
              <w:top w:val="nil"/>
            </w:tcBorders>
            <w:vAlign w:val="top"/>
          </w:tcPr>
          <w:p w14:paraId="75DEA33E">
            <w:pPr>
              <w:rPr>
                <w:rFonts w:ascii="Arial"/>
                <w:sz w:val="21"/>
              </w:rPr>
            </w:pPr>
          </w:p>
        </w:tc>
        <w:tc>
          <w:tcPr>
            <w:tcW w:w="2439" w:type="dxa"/>
            <w:vAlign w:val="top"/>
          </w:tcPr>
          <w:p w14:paraId="0103E520">
            <w:pPr>
              <w:spacing w:before="125" w:line="202" w:lineRule="auto"/>
              <w:ind w:left="101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542" w:type="dxa"/>
            <w:vAlign w:val="top"/>
          </w:tcPr>
          <w:p w14:paraId="113D443F">
            <w:pPr>
              <w:spacing w:before="124" w:line="195" w:lineRule="auto"/>
              <w:ind w:left="5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118.67</w:t>
            </w:r>
          </w:p>
        </w:tc>
        <w:tc>
          <w:tcPr>
            <w:tcW w:w="1505" w:type="dxa"/>
            <w:vAlign w:val="top"/>
          </w:tcPr>
          <w:p w14:paraId="5F845D5F">
            <w:pPr>
              <w:spacing w:before="124" w:line="195" w:lineRule="auto"/>
              <w:ind w:left="51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41.53</w:t>
            </w:r>
          </w:p>
        </w:tc>
        <w:tc>
          <w:tcPr>
            <w:tcW w:w="1614" w:type="dxa"/>
            <w:vMerge w:val="continue"/>
            <w:tcBorders>
              <w:top w:val="nil"/>
            </w:tcBorders>
            <w:vAlign w:val="top"/>
          </w:tcPr>
          <w:p w14:paraId="75548AE4">
            <w:pPr>
              <w:rPr>
                <w:rFonts w:ascii="Arial"/>
                <w:sz w:val="21"/>
              </w:rPr>
            </w:pPr>
          </w:p>
        </w:tc>
        <w:tc>
          <w:tcPr>
            <w:tcW w:w="1694" w:type="dxa"/>
            <w:vAlign w:val="top"/>
          </w:tcPr>
          <w:p w14:paraId="7F21C219">
            <w:pPr>
              <w:spacing w:before="124" w:line="195" w:lineRule="auto"/>
              <w:ind w:left="6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2090" w:type="dxa"/>
            <w:vAlign w:val="top"/>
          </w:tcPr>
          <w:p w14:paraId="1F4FB0B5">
            <w:pPr>
              <w:spacing w:before="121"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tcBorders>
            <w:vAlign w:val="top"/>
          </w:tcPr>
          <w:p w14:paraId="620B77BD">
            <w:pPr>
              <w:rPr>
                <w:rFonts w:ascii="Arial"/>
                <w:sz w:val="21"/>
              </w:rPr>
            </w:pPr>
          </w:p>
        </w:tc>
        <w:tc>
          <w:tcPr>
            <w:tcW w:w="1429" w:type="dxa"/>
            <w:tcBorders>
              <w:right w:val="nil"/>
            </w:tcBorders>
            <w:vAlign w:val="top"/>
          </w:tcPr>
          <w:p w14:paraId="1BEA7621">
            <w:pPr>
              <w:pStyle w:val="6"/>
              <w:spacing w:before="89" w:line="228" w:lineRule="auto"/>
              <w:ind w:left="509"/>
              <w:rPr>
                <w:sz w:val="20"/>
                <w:szCs w:val="20"/>
              </w:rPr>
            </w:pPr>
            <w:r>
              <w:rPr>
                <w:spacing w:val="5"/>
                <w:sz w:val="20"/>
                <w:szCs w:val="20"/>
              </w:rPr>
              <w:t>达标</w:t>
            </w:r>
          </w:p>
        </w:tc>
      </w:tr>
      <w:tr w14:paraId="6B0A9B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restart"/>
            <w:tcBorders>
              <w:left w:val="nil"/>
              <w:bottom w:val="nil"/>
            </w:tcBorders>
            <w:vAlign w:val="top"/>
          </w:tcPr>
          <w:p w14:paraId="6776C23E">
            <w:pPr>
              <w:spacing w:line="243" w:lineRule="auto"/>
              <w:rPr>
                <w:rFonts w:ascii="Arial"/>
                <w:sz w:val="21"/>
              </w:rPr>
            </w:pPr>
          </w:p>
          <w:p w14:paraId="60EE2527">
            <w:pPr>
              <w:spacing w:before="58" w:line="211" w:lineRule="auto"/>
              <w:ind w:left="262"/>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 xml:space="preserve">1-8 </w:t>
            </w:r>
            <w:r>
              <w:rPr>
                <w:rFonts w:ascii="微软雅黑" w:hAnsi="微软雅黑" w:eastAsia="微软雅黑" w:cs="微软雅黑"/>
                <w:spacing w:val="1"/>
                <w:position w:val="2"/>
                <w:sz w:val="13"/>
                <w:szCs w:val="13"/>
              </w:rPr>
              <w:t>、</w:t>
            </w:r>
            <w:r>
              <w:rPr>
                <w:rFonts w:ascii="微软雅黑" w:hAnsi="微软雅黑" w:eastAsia="微软雅黑" w:cs="微软雅黑"/>
                <w:spacing w:val="22"/>
                <w:position w:val="2"/>
                <w:sz w:val="13"/>
                <w:szCs w:val="13"/>
              </w:rPr>
              <w:t xml:space="preserve"> </w:t>
            </w: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1-9</w:t>
            </w:r>
          </w:p>
        </w:tc>
        <w:tc>
          <w:tcPr>
            <w:tcW w:w="3591" w:type="dxa"/>
            <w:vMerge w:val="restart"/>
            <w:tcBorders>
              <w:bottom w:val="nil"/>
            </w:tcBorders>
            <w:vAlign w:val="top"/>
          </w:tcPr>
          <w:p w14:paraId="0E03FB03">
            <w:pPr>
              <w:pStyle w:val="6"/>
              <w:spacing w:before="266" w:line="228" w:lineRule="auto"/>
              <w:ind w:left="645"/>
              <w:rPr>
                <w:sz w:val="20"/>
                <w:szCs w:val="20"/>
              </w:rPr>
            </w:pPr>
            <w:r>
              <w:rPr>
                <w:spacing w:val="9"/>
                <w:sz w:val="20"/>
                <w:szCs w:val="20"/>
              </w:rPr>
              <w:t>锰硅电炉配料、加料粉尘</w:t>
            </w:r>
          </w:p>
        </w:tc>
        <w:tc>
          <w:tcPr>
            <w:tcW w:w="2439" w:type="dxa"/>
            <w:vAlign w:val="top"/>
          </w:tcPr>
          <w:p w14:paraId="787E1259">
            <w:pPr>
              <w:pStyle w:val="6"/>
              <w:spacing w:before="89" w:line="228" w:lineRule="auto"/>
              <w:ind w:left="907"/>
              <w:rPr>
                <w:sz w:val="20"/>
                <w:szCs w:val="20"/>
              </w:rPr>
            </w:pPr>
            <w:r>
              <w:rPr>
                <w:spacing w:val="7"/>
                <w:sz w:val="20"/>
                <w:szCs w:val="20"/>
              </w:rPr>
              <w:t>颗粒物</w:t>
            </w:r>
          </w:p>
        </w:tc>
        <w:tc>
          <w:tcPr>
            <w:tcW w:w="1542" w:type="dxa"/>
            <w:vAlign w:val="top"/>
          </w:tcPr>
          <w:p w14:paraId="663028A5">
            <w:pPr>
              <w:spacing w:before="127" w:line="195" w:lineRule="auto"/>
              <w:ind w:left="59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5.83</w:t>
            </w:r>
          </w:p>
        </w:tc>
        <w:tc>
          <w:tcPr>
            <w:tcW w:w="1505" w:type="dxa"/>
            <w:vAlign w:val="top"/>
          </w:tcPr>
          <w:p w14:paraId="73F3A261">
            <w:pPr>
              <w:spacing w:before="127" w:line="195" w:lineRule="auto"/>
              <w:ind w:left="46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3×0.35</w:t>
            </w:r>
          </w:p>
        </w:tc>
        <w:tc>
          <w:tcPr>
            <w:tcW w:w="1614" w:type="dxa"/>
            <w:vMerge w:val="restart"/>
            <w:tcBorders>
              <w:bottom w:val="nil"/>
            </w:tcBorders>
            <w:vAlign w:val="top"/>
          </w:tcPr>
          <w:p w14:paraId="73D9BF36">
            <w:pPr>
              <w:spacing w:line="243" w:lineRule="auto"/>
              <w:rPr>
                <w:rFonts w:ascii="Arial"/>
                <w:sz w:val="21"/>
              </w:rPr>
            </w:pPr>
          </w:p>
          <w:p w14:paraId="435AB7AA">
            <w:pPr>
              <w:spacing w:before="57" w:line="195" w:lineRule="auto"/>
              <w:ind w:left="707"/>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1694" w:type="dxa"/>
            <w:vAlign w:val="top"/>
          </w:tcPr>
          <w:p w14:paraId="4ABED169">
            <w:pPr>
              <w:spacing w:before="127" w:line="195" w:lineRule="auto"/>
              <w:ind w:left="7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2090" w:type="dxa"/>
            <w:vAlign w:val="top"/>
          </w:tcPr>
          <w:p w14:paraId="69D7D68B">
            <w:pPr>
              <w:spacing w:before="123"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restart"/>
            <w:tcBorders>
              <w:bottom w:val="nil"/>
            </w:tcBorders>
            <w:vAlign w:val="top"/>
          </w:tcPr>
          <w:p w14:paraId="670A0E3A">
            <w:pPr>
              <w:pStyle w:val="6"/>
              <w:spacing w:before="266" w:line="228" w:lineRule="auto"/>
              <w:ind w:left="343"/>
              <w:rPr>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 xml:space="preserve">28666-2012 </w:t>
            </w:r>
            <w:r>
              <w:rPr>
                <w:spacing w:val="6"/>
                <w:sz w:val="20"/>
                <w:szCs w:val="20"/>
              </w:rPr>
              <w:t>表</w:t>
            </w:r>
            <w:r>
              <w:rPr>
                <w:spacing w:val="-35"/>
                <w:sz w:val="20"/>
                <w:szCs w:val="20"/>
              </w:rPr>
              <w:t xml:space="preserve"> </w:t>
            </w:r>
            <w:r>
              <w:rPr>
                <w:rFonts w:ascii="Times New Roman" w:hAnsi="Times New Roman" w:eastAsia="Times New Roman" w:cs="Times New Roman"/>
                <w:spacing w:val="6"/>
                <w:sz w:val="20"/>
                <w:szCs w:val="20"/>
              </w:rPr>
              <w:t xml:space="preserve">6 </w:t>
            </w:r>
            <w:r>
              <w:rPr>
                <w:spacing w:val="6"/>
                <w:sz w:val="20"/>
                <w:szCs w:val="20"/>
              </w:rPr>
              <w:t>特别排放限值</w:t>
            </w:r>
          </w:p>
        </w:tc>
        <w:tc>
          <w:tcPr>
            <w:tcW w:w="1429" w:type="dxa"/>
            <w:tcBorders>
              <w:right w:val="nil"/>
            </w:tcBorders>
            <w:vAlign w:val="top"/>
          </w:tcPr>
          <w:p w14:paraId="7BEB6231">
            <w:pPr>
              <w:pStyle w:val="6"/>
              <w:spacing w:before="89" w:line="228" w:lineRule="auto"/>
              <w:ind w:left="509"/>
              <w:rPr>
                <w:sz w:val="20"/>
                <w:szCs w:val="20"/>
              </w:rPr>
            </w:pPr>
            <w:r>
              <w:rPr>
                <w:spacing w:val="5"/>
                <w:sz w:val="20"/>
                <w:szCs w:val="20"/>
              </w:rPr>
              <w:t>达标</w:t>
            </w:r>
          </w:p>
        </w:tc>
      </w:tr>
      <w:tr w14:paraId="30DBCD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tcBorders>
            <w:vAlign w:val="top"/>
          </w:tcPr>
          <w:p w14:paraId="44179FBE">
            <w:pPr>
              <w:rPr>
                <w:rFonts w:ascii="Arial"/>
                <w:sz w:val="21"/>
              </w:rPr>
            </w:pPr>
          </w:p>
        </w:tc>
        <w:tc>
          <w:tcPr>
            <w:tcW w:w="3591" w:type="dxa"/>
            <w:vMerge w:val="continue"/>
            <w:tcBorders>
              <w:top w:val="nil"/>
            </w:tcBorders>
            <w:vAlign w:val="top"/>
          </w:tcPr>
          <w:p w14:paraId="79511761">
            <w:pPr>
              <w:rPr>
                <w:rFonts w:ascii="Arial"/>
                <w:sz w:val="21"/>
              </w:rPr>
            </w:pPr>
          </w:p>
        </w:tc>
        <w:tc>
          <w:tcPr>
            <w:tcW w:w="2439" w:type="dxa"/>
            <w:vAlign w:val="top"/>
          </w:tcPr>
          <w:p w14:paraId="577CA91D">
            <w:pPr>
              <w:pStyle w:val="6"/>
              <w:spacing w:before="90" w:line="228" w:lineRule="auto"/>
              <w:ind w:left="594"/>
              <w:rPr>
                <w:sz w:val="20"/>
                <w:szCs w:val="20"/>
              </w:rPr>
            </w:pPr>
            <w:r>
              <w:rPr>
                <w:spacing w:val="8"/>
                <w:sz w:val="20"/>
                <w:szCs w:val="20"/>
              </w:rPr>
              <w:t>锰及其化合物</w:t>
            </w:r>
          </w:p>
        </w:tc>
        <w:tc>
          <w:tcPr>
            <w:tcW w:w="1542" w:type="dxa"/>
            <w:vAlign w:val="top"/>
          </w:tcPr>
          <w:p w14:paraId="3CC1C51F">
            <w:pPr>
              <w:spacing w:before="126" w:line="195" w:lineRule="auto"/>
              <w:ind w:left="5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0.67</w:t>
            </w:r>
          </w:p>
        </w:tc>
        <w:tc>
          <w:tcPr>
            <w:tcW w:w="1505" w:type="dxa"/>
            <w:vAlign w:val="top"/>
          </w:tcPr>
          <w:p w14:paraId="6207F9D2">
            <w:pPr>
              <w:spacing w:before="126" w:line="195" w:lineRule="auto"/>
              <w:ind w:left="46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3×0.04</w:t>
            </w:r>
          </w:p>
        </w:tc>
        <w:tc>
          <w:tcPr>
            <w:tcW w:w="1614" w:type="dxa"/>
            <w:vMerge w:val="continue"/>
            <w:tcBorders>
              <w:top w:val="nil"/>
            </w:tcBorders>
            <w:vAlign w:val="top"/>
          </w:tcPr>
          <w:p w14:paraId="6A210C53">
            <w:pPr>
              <w:rPr>
                <w:rFonts w:ascii="Arial"/>
                <w:sz w:val="21"/>
              </w:rPr>
            </w:pPr>
          </w:p>
        </w:tc>
        <w:tc>
          <w:tcPr>
            <w:tcW w:w="1694" w:type="dxa"/>
            <w:vAlign w:val="top"/>
          </w:tcPr>
          <w:p w14:paraId="7D13750A">
            <w:pPr>
              <w:spacing w:before="123" w:line="199" w:lineRule="auto"/>
              <w:ind w:left="8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090" w:type="dxa"/>
            <w:vAlign w:val="top"/>
          </w:tcPr>
          <w:p w14:paraId="74361B83">
            <w:pPr>
              <w:spacing w:before="123"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tcBorders>
            <w:vAlign w:val="top"/>
          </w:tcPr>
          <w:p w14:paraId="710EC206">
            <w:pPr>
              <w:rPr>
                <w:rFonts w:ascii="Arial"/>
                <w:sz w:val="21"/>
              </w:rPr>
            </w:pPr>
          </w:p>
        </w:tc>
        <w:tc>
          <w:tcPr>
            <w:tcW w:w="1429" w:type="dxa"/>
            <w:tcBorders>
              <w:right w:val="nil"/>
            </w:tcBorders>
            <w:vAlign w:val="top"/>
          </w:tcPr>
          <w:p w14:paraId="7E435169">
            <w:pPr>
              <w:pStyle w:val="6"/>
              <w:spacing w:before="90" w:line="228" w:lineRule="auto"/>
              <w:ind w:left="509"/>
              <w:rPr>
                <w:sz w:val="20"/>
                <w:szCs w:val="20"/>
              </w:rPr>
            </w:pPr>
            <w:r>
              <w:rPr>
                <w:spacing w:val="5"/>
                <w:sz w:val="20"/>
                <w:szCs w:val="20"/>
              </w:rPr>
              <w:t>达标</w:t>
            </w:r>
          </w:p>
        </w:tc>
      </w:tr>
      <w:tr w14:paraId="76AC21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restart"/>
            <w:tcBorders>
              <w:left w:val="nil"/>
              <w:bottom w:val="nil"/>
            </w:tcBorders>
            <w:vAlign w:val="top"/>
          </w:tcPr>
          <w:p w14:paraId="4448B5CA">
            <w:pPr>
              <w:spacing w:line="245" w:lineRule="auto"/>
              <w:rPr>
                <w:rFonts w:ascii="Arial"/>
                <w:sz w:val="21"/>
              </w:rPr>
            </w:pPr>
          </w:p>
          <w:p w14:paraId="379E80A3">
            <w:pPr>
              <w:spacing w:before="57" w:line="211" w:lineRule="auto"/>
              <w:ind w:left="500"/>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w:t>
            </w:r>
            <w:r>
              <w:rPr>
                <w:rFonts w:ascii="Times New Roman" w:hAnsi="Times New Roman" w:eastAsia="Times New Roman" w:cs="Times New Roman"/>
                <w:spacing w:val="-17"/>
                <w:sz w:val="13"/>
                <w:szCs w:val="13"/>
              </w:rPr>
              <w:t xml:space="preserve"> </w:t>
            </w:r>
            <w:r>
              <w:rPr>
                <w:rFonts w:ascii="Times New Roman" w:hAnsi="Times New Roman" w:eastAsia="Times New Roman" w:cs="Times New Roman"/>
                <w:spacing w:val="-1"/>
                <w:sz w:val="13"/>
                <w:szCs w:val="13"/>
              </w:rPr>
              <w:t>10</w:t>
            </w:r>
          </w:p>
        </w:tc>
        <w:tc>
          <w:tcPr>
            <w:tcW w:w="3591" w:type="dxa"/>
            <w:vMerge w:val="restart"/>
            <w:tcBorders>
              <w:bottom w:val="nil"/>
            </w:tcBorders>
            <w:vAlign w:val="top"/>
          </w:tcPr>
          <w:p w14:paraId="59685F3F">
            <w:pPr>
              <w:pStyle w:val="6"/>
              <w:spacing w:before="268" w:line="228" w:lineRule="auto"/>
              <w:ind w:left="645"/>
              <w:rPr>
                <w:sz w:val="20"/>
                <w:szCs w:val="20"/>
              </w:rPr>
            </w:pPr>
            <w:r>
              <w:rPr>
                <w:spacing w:val="9"/>
                <w:sz w:val="20"/>
                <w:szCs w:val="20"/>
              </w:rPr>
              <w:t>锰硅出铁出渣及浇铸烟气</w:t>
            </w:r>
          </w:p>
        </w:tc>
        <w:tc>
          <w:tcPr>
            <w:tcW w:w="2439" w:type="dxa"/>
            <w:vAlign w:val="top"/>
          </w:tcPr>
          <w:p w14:paraId="48BF2D60">
            <w:pPr>
              <w:pStyle w:val="6"/>
              <w:spacing w:before="90" w:line="228" w:lineRule="auto"/>
              <w:ind w:left="907"/>
              <w:rPr>
                <w:sz w:val="20"/>
                <w:szCs w:val="20"/>
              </w:rPr>
            </w:pPr>
            <w:r>
              <w:rPr>
                <w:spacing w:val="7"/>
                <w:sz w:val="20"/>
                <w:szCs w:val="20"/>
              </w:rPr>
              <w:t>颗粒物</w:t>
            </w:r>
          </w:p>
        </w:tc>
        <w:tc>
          <w:tcPr>
            <w:tcW w:w="1542" w:type="dxa"/>
            <w:vAlign w:val="top"/>
          </w:tcPr>
          <w:p w14:paraId="725B4A66">
            <w:pPr>
              <w:spacing w:before="129" w:line="195" w:lineRule="auto"/>
              <w:ind w:left="59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3.80</w:t>
            </w:r>
          </w:p>
        </w:tc>
        <w:tc>
          <w:tcPr>
            <w:tcW w:w="1505" w:type="dxa"/>
            <w:vAlign w:val="top"/>
          </w:tcPr>
          <w:p w14:paraId="18000CC7">
            <w:pPr>
              <w:spacing w:before="129" w:line="195" w:lineRule="auto"/>
              <w:ind w:left="46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6×0.34</w:t>
            </w:r>
          </w:p>
        </w:tc>
        <w:tc>
          <w:tcPr>
            <w:tcW w:w="1614" w:type="dxa"/>
            <w:vMerge w:val="restart"/>
            <w:tcBorders>
              <w:bottom w:val="nil"/>
            </w:tcBorders>
            <w:vAlign w:val="top"/>
          </w:tcPr>
          <w:p w14:paraId="7EB9C9D1">
            <w:pPr>
              <w:spacing w:line="245" w:lineRule="auto"/>
              <w:rPr>
                <w:rFonts w:ascii="Arial"/>
                <w:sz w:val="21"/>
              </w:rPr>
            </w:pPr>
          </w:p>
          <w:p w14:paraId="71914BBB">
            <w:pPr>
              <w:spacing w:before="57" w:line="195" w:lineRule="auto"/>
              <w:ind w:left="707"/>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1694" w:type="dxa"/>
            <w:vAlign w:val="top"/>
          </w:tcPr>
          <w:p w14:paraId="31983F88">
            <w:pPr>
              <w:spacing w:before="129" w:line="195" w:lineRule="auto"/>
              <w:ind w:left="7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2090" w:type="dxa"/>
            <w:vAlign w:val="top"/>
          </w:tcPr>
          <w:p w14:paraId="032F2CD1">
            <w:pPr>
              <w:spacing w:before="125"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restart"/>
            <w:tcBorders>
              <w:bottom w:val="nil"/>
            </w:tcBorders>
            <w:vAlign w:val="top"/>
          </w:tcPr>
          <w:p w14:paraId="10401973">
            <w:pPr>
              <w:pStyle w:val="6"/>
              <w:spacing w:before="268" w:line="228" w:lineRule="auto"/>
              <w:ind w:left="343"/>
              <w:rPr>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 xml:space="preserve">28666-2012 </w:t>
            </w:r>
            <w:r>
              <w:rPr>
                <w:spacing w:val="6"/>
                <w:sz w:val="20"/>
                <w:szCs w:val="20"/>
              </w:rPr>
              <w:t>表</w:t>
            </w:r>
            <w:r>
              <w:rPr>
                <w:spacing w:val="-35"/>
                <w:sz w:val="20"/>
                <w:szCs w:val="20"/>
              </w:rPr>
              <w:t xml:space="preserve"> </w:t>
            </w:r>
            <w:r>
              <w:rPr>
                <w:rFonts w:ascii="Times New Roman" w:hAnsi="Times New Roman" w:eastAsia="Times New Roman" w:cs="Times New Roman"/>
                <w:spacing w:val="6"/>
                <w:sz w:val="20"/>
                <w:szCs w:val="20"/>
              </w:rPr>
              <w:t xml:space="preserve">6 </w:t>
            </w:r>
            <w:r>
              <w:rPr>
                <w:spacing w:val="6"/>
                <w:sz w:val="20"/>
                <w:szCs w:val="20"/>
              </w:rPr>
              <w:t>特别排放限值</w:t>
            </w:r>
          </w:p>
        </w:tc>
        <w:tc>
          <w:tcPr>
            <w:tcW w:w="1429" w:type="dxa"/>
            <w:tcBorders>
              <w:right w:val="nil"/>
            </w:tcBorders>
            <w:vAlign w:val="top"/>
          </w:tcPr>
          <w:p w14:paraId="6E146913">
            <w:pPr>
              <w:pStyle w:val="6"/>
              <w:spacing w:before="90" w:line="228" w:lineRule="auto"/>
              <w:ind w:left="509"/>
              <w:rPr>
                <w:sz w:val="20"/>
                <w:szCs w:val="20"/>
              </w:rPr>
            </w:pPr>
            <w:r>
              <w:rPr>
                <w:spacing w:val="5"/>
                <w:sz w:val="20"/>
                <w:szCs w:val="20"/>
              </w:rPr>
              <w:t>达标</w:t>
            </w:r>
          </w:p>
        </w:tc>
      </w:tr>
      <w:tr w14:paraId="21972A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tcBorders>
            <w:vAlign w:val="top"/>
          </w:tcPr>
          <w:p w14:paraId="34476C37">
            <w:pPr>
              <w:rPr>
                <w:rFonts w:ascii="Arial"/>
                <w:sz w:val="21"/>
              </w:rPr>
            </w:pPr>
          </w:p>
        </w:tc>
        <w:tc>
          <w:tcPr>
            <w:tcW w:w="3591" w:type="dxa"/>
            <w:vMerge w:val="continue"/>
            <w:tcBorders>
              <w:top w:val="nil"/>
            </w:tcBorders>
            <w:vAlign w:val="top"/>
          </w:tcPr>
          <w:p w14:paraId="69809CB5">
            <w:pPr>
              <w:rPr>
                <w:rFonts w:ascii="Arial"/>
                <w:sz w:val="21"/>
              </w:rPr>
            </w:pPr>
          </w:p>
        </w:tc>
        <w:tc>
          <w:tcPr>
            <w:tcW w:w="2439" w:type="dxa"/>
            <w:vAlign w:val="top"/>
          </w:tcPr>
          <w:p w14:paraId="5973C810">
            <w:pPr>
              <w:pStyle w:val="6"/>
              <w:spacing w:before="93" w:line="226" w:lineRule="auto"/>
              <w:ind w:left="594"/>
              <w:rPr>
                <w:sz w:val="20"/>
                <w:szCs w:val="20"/>
              </w:rPr>
            </w:pPr>
            <w:r>
              <w:rPr>
                <w:spacing w:val="8"/>
                <w:sz w:val="20"/>
                <w:szCs w:val="20"/>
              </w:rPr>
              <w:t>锰及其化合物</w:t>
            </w:r>
          </w:p>
        </w:tc>
        <w:tc>
          <w:tcPr>
            <w:tcW w:w="1542" w:type="dxa"/>
            <w:vAlign w:val="top"/>
          </w:tcPr>
          <w:p w14:paraId="6DA4A330">
            <w:pPr>
              <w:spacing w:before="128" w:line="195" w:lineRule="auto"/>
              <w:ind w:left="6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1.80</w:t>
            </w:r>
          </w:p>
        </w:tc>
        <w:tc>
          <w:tcPr>
            <w:tcW w:w="1505" w:type="dxa"/>
            <w:vAlign w:val="top"/>
          </w:tcPr>
          <w:p w14:paraId="4109D079">
            <w:pPr>
              <w:spacing w:before="128" w:line="195" w:lineRule="auto"/>
              <w:ind w:left="46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6×0.09</w:t>
            </w:r>
          </w:p>
        </w:tc>
        <w:tc>
          <w:tcPr>
            <w:tcW w:w="1614" w:type="dxa"/>
            <w:vMerge w:val="continue"/>
            <w:tcBorders>
              <w:top w:val="nil"/>
            </w:tcBorders>
            <w:vAlign w:val="top"/>
          </w:tcPr>
          <w:p w14:paraId="5C70C5D1">
            <w:pPr>
              <w:rPr>
                <w:rFonts w:ascii="Arial"/>
                <w:sz w:val="21"/>
              </w:rPr>
            </w:pPr>
          </w:p>
        </w:tc>
        <w:tc>
          <w:tcPr>
            <w:tcW w:w="1694" w:type="dxa"/>
            <w:vAlign w:val="top"/>
          </w:tcPr>
          <w:p w14:paraId="73BB84AA">
            <w:pPr>
              <w:spacing w:before="125" w:line="199" w:lineRule="auto"/>
              <w:ind w:left="8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090" w:type="dxa"/>
            <w:vAlign w:val="top"/>
          </w:tcPr>
          <w:p w14:paraId="769D7630">
            <w:pPr>
              <w:spacing w:before="125"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tcBorders>
            <w:vAlign w:val="top"/>
          </w:tcPr>
          <w:p w14:paraId="5DB8E5DE">
            <w:pPr>
              <w:rPr>
                <w:rFonts w:ascii="Arial"/>
                <w:sz w:val="21"/>
              </w:rPr>
            </w:pPr>
          </w:p>
        </w:tc>
        <w:tc>
          <w:tcPr>
            <w:tcW w:w="1429" w:type="dxa"/>
            <w:tcBorders>
              <w:right w:val="nil"/>
            </w:tcBorders>
            <w:vAlign w:val="top"/>
          </w:tcPr>
          <w:p w14:paraId="001A897B">
            <w:pPr>
              <w:pStyle w:val="6"/>
              <w:spacing w:before="93" w:line="226" w:lineRule="auto"/>
              <w:ind w:left="509"/>
              <w:rPr>
                <w:sz w:val="20"/>
                <w:szCs w:val="20"/>
              </w:rPr>
            </w:pPr>
            <w:r>
              <w:rPr>
                <w:spacing w:val="5"/>
                <w:sz w:val="20"/>
                <w:szCs w:val="20"/>
              </w:rPr>
              <w:t>达标</w:t>
            </w:r>
          </w:p>
        </w:tc>
      </w:tr>
      <w:tr w14:paraId="1B6F05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restart"/>
            <w:tcBorders>
              <w:left w:val="nil"/>
              <w:bottom w:val="nil"/>
            </w:tcBorders>
            <w:vAlign w:val="top"/>
          </w:tcPr>
          <w:p w14:paraId="27AD8163">
            <w:pPr>
              <w:spacing w:line="258" w:lineRule="auto"/>
              <w:rPr>
                <w:rFonts w:ascii="Arial"/>
                <w:sz w:val="21"/>
              </w:rPr>
            </w:pPr>
          </w:p>
          <w:p w14:paraId="6B690C37">
            <w:pPr>
              <w:spacing w:line="259" w:lineRule="auto"/>
              <w:rPr>
                <w:rFonts w:ascii="Arial"/>
                <w:sz w:val="21"/>
              </w:rPr>
            </w:pPr>
          </w:p>
          <w:p w14:paraId="1CC76972">
            <w:pPr>
              <w:spacing w:line="259" w:lineRule="auto"/>
              <w:rPr>
                <w:rFonts w:ascii="Arial"/>
                <w:sz w:val="21"/>
              </w:rPr>
            </w:pPr>
          </w:p>
          <w:p w14:paraId="7F841B43">
            <w:pPr>
              <w:spacing w:before="58" w:line="207" w:lineRule="auto"/>
              <w:ind w:left="533"/>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2-</w:t>
            </w:r>
            <w:r>
              <w:rPr>
                <w:rFonts w:ascii="Times New Roman" w:hAnsi="Times New Roman" w:eastAsia="Times New Roman" w:cs="Times New Roman"/>
                <w:spacing w:val="-18"/>
                <w:sz w:val="13"/>
                <w:szCs w:val="13"/>
              </w:rPr>
              <w:t xml:space="preserve"> </w:t>
            </w:r>
            <w:r>
              <w:rPr>
                <w:rFonts w:ascii="Times New Roman" w:hAnsi="Times New Roman" w:eastAsia="Times New Roman" w:cs="Times New Roman"/>
                <w:spacing w:val="1"/>
                <w:sz w:val="13"/>
                <w:szCs w:val="13"/>
              </w:rPr>
              <w:t>1</w:t>
            </w:r>
          </w:p>
        </w:tc>
        <w:tc>
          <w:tcPr>
            <w:tcW w:w="3591" w:type="dxa"/>
            <w:vMerge w:val="restart"/>
            <w:tcBorders>
              <w:bottom w:val="nil"/>
            </w:tcBorders>
            <w:vAlign w:val="top"/>
          </w:tcPr>
          <w:p w14:paraId="52F6DC41">
            <w:pPr>
              <w:spacing w:line="243" w:lineRule="auto"/>
              <w:rPr>
                <w:rFonts w:ascii="Arial"/>
                <w:sz w:val="21"/>
              </w:rPr>
            </w:pPr>
          </w:p>
          <w:p w14:paraId="4378951C">
            <w:pPr>
              <w:spacing w:line="244" w:lineRule="auto"/>
              <w:rPr>
                <w:rFonts w:ascii="Arial"/>
                <w:sz w:val="21"/>
              </w:rPr>
            </w:pPr>
          </w:p>
          <w:p w14:paraId="58D83CF4">
            <w:pPr>
              <w:spacing w:line="244" w:lineRule="auto"/>
              <w:rPr>
                <w:rFonts w:ascii="Arial"/>
                <w:sz w:val="21"/>
              </w:rPr>
            </w:pPr>
          </w:p>
          <w:p w14:paraId="7087EFA2">
            <w:pPr>
              <w:pStyle w:val="6"/>
              <w:spacing w:before="65" w:line="228" w:lineRule="auto"/>
              <w:ind w:left="960"/>
              <w:rPr>
                <w:sz w:val="20"/>
                <w:szCs w:val="20"/>
              </w:rPr>
            </w:pPr>
            <w:r>
              <w:rPr>
                <w:spacing w:val="8"/>
                <w:sz w:val="20"/>
                <w:szCs w:val="20"/>
              </w:rPr>
              <w:t>燃气发电锅炉废气</w:t>
            </w:r>
          </w:p>
        </w:tc>
        <w:tc>
          <w:tcPr>
            <w:tcW w:w="2439" w:type="dxa"/>
            <w:vAlign w:val="top"/>
          </w:tcPr>
          <w:p w14:paraId="6245D2C7">
            <w:pPr>
              <w:pStyle w:val="6"/>
              <w:spacing w:before="93" w:line="226" w:lineRule="auto"/>
              <w:ind w:left="907"/>
              <w:rPr>
                <w:sz w:val="20"/>
                <w:szCs w:val="20"/>
              </w:rPr>
            </w:pPr>
            <w:r>
              <w:rPr>
                <w:spacing w:val="7"/>
                <w:sz w:val="20"/>
                <w:szCs w:val="20"/>
              </w:rPr>
              <w:t>颗粒物</w:t>
            </w:r>
          </w:p>
        </w:tc>
        <w:tc>
          <w:tcPr>
            <w:tcW w:w="1542" w:type="dxa"/>
            <w:vAlign w:val="top"/>
          </w:tcPr>
          <w:p w14:paraId="4061646C">
            <w:pPr>
              <w:spacing w:before="131" w:line="195" w:lineRule="auto"/>
              <w:ind w:left="5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2.59</w:t>
            </w:r>
          </w:p>
        </w:tc>
        <w:tc>
          <w:tcPr>
            <w:tcW w:w="1505" w:type="dxa"/>
            <w:vAlign w:val="top"/>
          </w:tcPr>
          <w:p w14:paraId="3ADFA245">
            <w:pPr>
              <w:spacing w:before="131" w:line="195" w:lineRule="auto"/>
              <w:ind w:left="5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0.58</w:t>
            </w:r>
          </w:p>
        </w:tc>
        <w:tc>
          <w:tcPr>
            <w:tcW w:w="1614" w:type="dxa"/>
            <w:vMerge w:val="restart"/>
            <w:tcBorders>
              <w:bottom w:val="nil"/>
            </w:tcBorders>
            <w:vAlign w:val="top"/>
          </w:tcPr>
          <w:p w14:paraId="5970477C">
            <w:pPr>
              <w:spacing w:line="258" w:lineRule="auto"/>
              <w:rPr>
                <w:rFonts w:ascii="Arial"/>
                <w:sz w:val="21"/>
              </w:rPr>
            </w:pPr>
          </w:p>
          <w:p w14:paraId="58759205">
            <w:pPr>
              <w:spacing w:line="259" w:lineRule="auto"/>
              <w:rPr>
                <w:rFonts w:ascii="Arial"/>
                <w:sz w:val="21"/>
              </w:rPr>
            </w:pPr>
          </w:p>
          <w:p w14:paraId="49493AF0">
            <w:pPr>
              <w:spacing w:line="259" w:lineRule="auto"/>
              <w:rPr>
                <w:rFonts w:ascii="Arial"/>
                <w:sz w:val="21"/>
              </w:rPr>
            </w:pPr>
          </w:p>
          <w:p w14:paraId="373B82F1">
            <w:pPr>
              <w:spacing w:before="58" w:line="195" w:lineRule="auto"/>
              <w:ind w:left="70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1694" w:type="dxa"/>
            <w:vAlign w:val="top"/>
          </w:tcPr>
          <w:p w14:paraId="785D2A59">
            <w:pPr>
              <w:spacing w:before="134" w:line="192" w:lineRule="auto"/>
              <w:ind w:left="801"/>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090" w:type="dxa"/>
            <w:vAlign w:val="top"/>
          </w:tcPr>
          <w:p w14:paraId="2FB501B5">
            <w:pPr>
              <w:spacing w:before="127"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restart"/>
            <w:tcBorders>
              <w:bottom w:val="nil"/>
            </w:tcBorders>
            <w:vAlign w:val="top"/>
          </w:tcPr>
          <w:p w14:paraId="7886737B">
            <w:pPr>
              <w:spacing w:line="404" w:lineRule="auto"/>
              <w:rPr>
                <w:rFonts w:ascii="Arial"/>
                <w:sz w:val="21"/>
              </w:rPr>
            </w:pPr>
          </w:p>
          <w:p w14:paraId="31476A56">
            <w:pPr>
              <w:pStyle w:val="6"/>
              <w:spacing w:before="65" w:line="228" w:lineRule="auto"/>
              <w:ind w:left="20"/>
              <w:rPr>
                <w:sz w:val="20"/>
                <w:szCs w:val="20"/>
              </w:rPr>
            </w:pPr>
            <w:r>
              <w:rPr>
                <w:spacing w:val="5"/>
                <w:sz w:val="20"/>
                <w:szCs w:val="20"/>
              </w:rPr>
              <w:t>执行</w:t>
            </w:r>
            <w:r>
              <w:rPr>
                <w:spacing w:val="-38"/>
                <w:sz w:val="20"/>
                <w:szCs w:val="20"/>
              </w:rPr>
              <w:t xml:space="preserve"> </w:t>
            </w: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 xml:space="preserve">13223-2011 </w:t>
            </w:r>
            <w:r>
              <w:rPr>
                <w:spacing w:val="5"/>
                <w:sz w:val="20"/>
                <w:szCs w:val="20"/>
              </w:rPr>
              <w:t>表</w:t>
            </w:r>
            <w:r>
              <w:rPr>
                <w:spacing w:val="-41"/>
                <w:sz w:val="20"/>
                <w:szCs w:val="20"/>
              </w:rPr>
              <w:t xml:space="preserve"> </w:t>
            </w:r>
            <w:r>
              <w:rPr>
                <w:rFonts w:ascii="Times New Roman" w:hAnsi="Times New Roman" w:eastAsia="Times New Roman" w:cs="Times New Roman"/>
                <w:spacing w:val="5"/>
                <w:sz w:val="20"/>
                <w:szCs w:val="20"/>
              </w:rPr>
              <w:t xml:space="preserve">2 </w:t>
            </w:r>
            <w:r>
              <w:rPr>
                <w:spacing w:val="5"/>
                <w:sz w:val="20"/>
                <w:szCs w:val="20"/>
              </w:rPr>
              <w:t>标准（</w:t>
            </w:r>
            <w:r>
              <w:rPr>
                <w:spacing w:val="4"/>
                <w:sz w:val="20"/>
                <w:szCs w:val="20"/>
              </w:rPr>
              <w:t>以气体为</w:t>
            </w:r>
          </w:p>
          <w:p w14:paraId="6B2163AB">
            <w:pPr>
              <w:pStyle w:val="6"/>
              <w:spacing w:before="81" w:line="228" w:lineRule="auto"/>
              <w:ind w:left="395"/>
              <w:rPr>
                <w:sz w:val="20"/>
                <w:szCs w:val="20"/>
              </w:rPr>
            </w:pPr>
            <w:r>
              <w:rPr>
                <w:spacing w:val="8"/>
                <w:sz w:val="20"/>
                <w:szCs w:val="20"/>
              </w:rPr>
              <w:t>燃料的燃气锅炉</w:t>
            </w:r>
            <w:r>
              <w:rPr>
                <w:spacing w:val="15"/>
                <w:sz w:val="20"/>
                <w:szCs w:val="20"/>
              </w:rPr>
              <w:t>），</w:t>
            </w:r>
            <w:r>
              <w:rPr>
                <w:spacing w:val="8"/>
                <w:sz w:val="20"/>
                <w:szCs w:val="20"/>
              </w:rPr>
              <w:t>散逸氨执行</w:t>
            </w:r>
          </w:p>
          <w:p w14:paraId="3253D3EC">
            <w:pPr>
              <w:pStyle w:val="6"/>
              <w:spacing w:before="82" w:line="228" w:lineRule="auto"/>
              <w:ind w:left="685"/>
              <w:rPr>
                <w:sz w:val="20"/>
                <w:szCs w:val="20"/>
              </w:rPr>
            </w:pPr>
            <w:r>
              <w:rPr>
                <w:rFonts w:ascii="Times New Roman" w:hAnsi="Times New Roman" w:eastAsia="Times New Roman" w:cs="Times New Roman"/>
                <w:sz w:val="20"/>
                <w:szCs w:val="20"/>
              </w:rPr>
              <w:t>HJ</w:t>
            </w:r>
            <w:r>
              <w:rPr>
                <w:rFonts w:ascii="Times New Roman" w:hAnsi="Times New Roman" w:eastAsia="Times New Roman" w:cs="Times New Roman"/>
                <w:spacing w:val="5"/>
                <w:sz w:val="20"/>
                <w:szCs w:val="20"/>
              </w:rPr>
              <w:t>562-2010</w:t>
            </w:r>
            <w:r>
              <w:rPr>
                <w:rFonts w:ascii="Times New Roman" w:hAnsi="Times New Roman" w:eastAsia="Times New Roman" w:cs="Times New Roman"/>
                <w:spacing w:val="33"/>
                <w:w w:val="101"/>
                <w:sz w:val="20"/>
                <w:szCs w:val="20"/>
              </w:rPr>
              <w:t xml:space="preserve"> </w:t>
            </w:r>
            <w:r>
              <w:rPr>
                <w:spacing w:val="5"/>
                <w:sz w:val="20"/>
                <w:szCs w:val="20"/>
              </w:rPr>
              <w:t>中的控制要求</w:t>
            </w:r>
          </w:p>
        </w:tc>
        <w:tc>
          <w:tcPr>
            <w:tcW w:w="1429" w:type="dxa"/>
            <w:tcBorders>
              <w:right w:val="nil"/>
            </w:tcBorders>
            <w:vAlign w:val="top"/>
          </w:tcPr>
          <w:p w14:paraId="5084A0E0">
            <w:pPr>
              <w:pStyle w:val="6"/>
              <w:spacing w:before="93" w:line="226" w:lineRule="auto"/>
              <w:ind w:left="509"/>
              <w:rPr>
                <w:sz w:val="20"/>
                <w:szCs w:val="20"/>
              </w:rPr>
            </w:pPr>
            <w:r>
              <w:rPr>
                <w:spacing w:val="5"/>
                <w:sz w:val="20"/>
                <w:szCs w:val="20"/>
              </w:rPr>
              <w:t>达标</w:t>
            </w:r>
          </w:p>
        </w:tc>
      </w:tr>
      <w:tr w14:paraId="49D6E9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bottom w:val="nil"/>
            </w:tcBorders>
            <w:vAlign w:val="top"/>
          </w:tcPr>
          <w:p w14:paraId="13B11CBC">
            <w:pPr>
              <w:rPr>
                <w:rFonts w:ascii="Arial"/>
                <w:sz w:val="21"/>
              </w:rPr>
            </w:pPr>
          </w:p>
        </w:tc>
        <w:tc>
          <w:tcPr>
            <w:tcW w:w="3591" w:type="dxa"/>
            <w:vMerge w:val="continue"/>
            <w:tcBorders>
              <w:top w:val="nil"/>
              <w:bottom w:val="nil"/>
            </w:tcBorders>
            <w:vAlign w:val="top"/>
          </w:tcPr>
          <w:p w14:paraId="78CDBFC3">
            <w:pPr>
              <w:rPr>
                <w:rFonts w:ascii="Arial"/>
                <w:sz w:val="21"/>
              </w:rPr>
            </w:pPr>
          </w:p>
        </w:tc>
        <w:tc>
          <w:tcPr>
            <w:tcW w:w="2439" w:type="dxa"/>
            <w:vAlign w:val="top"/>
          </w:tcPr>
          <w:p w14:paraId="633BFE56">
            <w:pPr>
              <w:pStyle w:val="6"/>
              <w:spacing w:before="95" w:line="224" w:lineRule="auto"/>
              <w:ind w:left="594"/>
              <w:rPr>
                <w:sz w:val="20"/>
                <w:szCs w:val="20"/>
              </w:rPr>
            </w:pPr>
            <w:r>
              <w:rPr>
                <w:spacing w:val="8"/>
                <w:sz w:val="20"/>
                <w:szCs w:val="20"/>
              </w:rPr>
              <w:t>锰及其化合物</w:t>
            </w:r>
          </w:p>
        </w:tc>
        <w:tc>
          <w:tcPr>
            <w:tcW w:w="1542" w:type="dxa"/>
            <w:vAlign w:val="top"/>
          </w:tcPr>
          <w:p w14:paraId="4EB742E7">
            <w:pPr>
              <w:spacing w:before="130" w:line="195" w:lineRule="auto"/>
              <w:ind w:left="5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0.22</w:t>
            </w:r>
          </w:p>
        </w:tc>
        <w:tc>
          <w:tcPr>
            <w:tcW w:w="1505" w:type="dxa"/>
            <w:vAlign w:val="top"/>
          </w:tcPr>
          <w:p w14:paraId="21AF1E8F">
            <w:pPr>
              <w:spacing w:before="130" w:line="195" w:lineRule="auto"/>
              <w:ind w:left="5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0.048</w:t>
            </w:r>
          </w:p>
        </w:tc>
        <w:tc>
          <w:tcPr>
            <w:tcW w:w="1614" w:type="dxa"/>
            <w:vMerge w:val="continue"/>
            <w:tcBorders>
              <w:top w:val="nil"/>
              <w:bottom w:val="nil"/>
            </w:tcBorders>
            <w:vAlign w:val="top"/>
          </w:tcPr>
          <w:p w14:paraId="73AB43EF">
            <w:pPr>
              <w:rPr>
                <w:rFonts w:ascii="Arial"/>
                <w:sz w:val="21"/>
              </w:rPr>
            </w:pPr>
          </w:p>
        </w:tc>
        <w:tc>
          <w:tcPr>
            <w:tcW w:w="1694" w:type="dxa"/>
            <w:vAlign w:val="top"/>
          </w:tcPr>
          <w:p w14:paraId="45105EEA">
            <w:pPr>
              <w:spacing w:before="127" w:line="199" w:lineRule="auto"/>
              <w:ind w:left="8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090" w:type="dxa"/>
            <w:vAlign w:val="top"/>
          </w:tcPr>
          <w:p w14:paraId="2BFA56C2">
            <w:pPr>
              <w:spacing w:before="127"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bottom w:val="nil"/>
            </w:tcBorders>
            <w:vAlign w:val="top"/>
          </w:tcPr>
          <w:p w14:paraId="5D80F341">
            <w:pPr>
              <w:rPr>
                <w:rFonts w:ascii="Arial"/>
                <w:sz w:val="21"/>
              </w:rPr>
            </w:pPr>
          </w:p>
        </w:tc>
        <w:tc>
          <w:tcPr>
            <w:tcW w:w="1429" w:type="dxa"/>
            <w:tcBorders>
              <w:right w:val="nil"/>
            </w:tcBorders>
            <w:vAlign w:val="top"/>
          </w:tcPr>
          <w:p w14:paraId="295CA369">
            <w:pPr>
              <w:pStyle w:val="6"/>
              <w:spacing w:before="95" w:line="224" w:lineRule="auto"/>
              <w:ind w:left="509"/>
              <w:rPr>
                <w:sz w:val="20"/>
                <w:szCs w:val="20"/>
              </w:rPr>
            </w:pPr>
            <w:r>
              <w:rPr>
                <w:spacing w:val="5"/>
                <w:sz w:val="20"/>
                <w:szCs w:val="20"/>
              </w:rPr>
              <w:t>达标</w:t>
            </w:r>
          </w:p>
        </w:tc>
      </w:tr>
      <w:tr w14:paraId="1E1C4B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bottom w:val="nil"/>
            </w:tcBorders>
            <w:vAlign w:val="top"/>
          </w:tcPr>
          <w:p w14:paraId="720BB236">
            <w:pPr>
              <w:rPr>
                <w:rFonts w:ascii="Arial"/>
                <w:sz w:val="21"/>
              </w:rPr>
            </w:pPr>
          </w:p>
        </w:tc>
        <w:tc>
          <w:tcPr>
            <w:tcW w:w="3591" w:type="dxa"/>
            <w:vMerge w:val="continue"/>
            <w:tcBorders>
              <w:top w:val="nil"/>
              <w:bottom w:val="nil"/>
            </w:tcBorders>
            <w:vAlign w:val="top"/>
          </w:tcPr>
          <w:p w14:paraId="02804366">
            <w:pPr>
              <w:rPr>
                <w:rFonts w:ascii="Arial"/>
                <w:sz w:val="21"/>
              </w:rPr>
            </w:pPr>
          </w:p>
        </w:tc>
        <w:tc>
          <w:tcPr>
            <w:tcW w:w="2439" w:type="dxa"/>
            <w:vAlign w:val="top"/>
          </w:tcPr>
          <w:p w14:paraId="0787B6CB">
            <w:pPr>
              <w:spacing w:before="130" w:line="202" w:lineRule="auto"/>
              <w:ind w:left="106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542" w:type="dxa"/>
            <w:vAlign w:val="top"/>
          </w:tcPr>
          <w:p w14:paraId="5417B3AC">
            <w:pPr>
              <w:spacing w:before="133" w:line="195" w:lineRule="auto"/>
              <w:ind w:left="5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19.89</w:t>
            </w:r>
          </w:p>
        </w:tc>
        <w:tc>
          <w:tcPr>
            <w:tcW w:w="1505" w:type="dxa"/>
            <w:vAlign w:val="top"/>
          </w:tcPr>
          <w:p w14:paraId="369077C9">
            <w:pPr>
              <w:spacing w:before="130" w:line="195" w:lineRule="auto"/>
              <w:ind w:left="57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4.42</w:t>
            </w:r>
          </w:p>
        </w:tc>
        <w:tc>
          <w:tcPr>
            <w:tcW w:w="1614" w:type="dxa"/>
            <w:vMerge w:val="continue"/>
            <w:tcBorders>
              <w:top w:val="nil"/>
              <w:bottom w:val="nil"/>
            </w:tcBorders>
            <w:vAlign w:val="top"/>
          </w:tcPr>
          <w:p w14:paraId="3CDA60B4">
            <w:pPr>
              <w:rPr>
                <w:rFonts w:ascii="Arial"/>
                <w:sz w:val="21"/>
              </w:rPr>
            </w:pPr>
          </w:p>
        </w:tc>
        <w:tc>
          <w:tcPr>
            <w:tcW w:w="1694" w:type="dxa"/>
            <w:vAlign w:val="top"/>
          </w:tcPr>
          <w:p w14:paraId="3C9105E7">
            <w:pPr>
              <w:spacing w:before="133" w:line="195" w:lineRule="auto"/>
              <w:ind w:left="749"/>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2090" w:type="dxa"/>
            <w:vAlign w:val="top"/>
          </w:tcPr>
          <w:p w14:paraId="33836A5F">
            <w:pPr>
              <w:rPr>
                <w:rFonts w:ascii="Arial"/>
                <w:sz w:val="21"/>
              </w:rPr>
            </w:pPr>
          </w:p>
        </w:tc>
        <w:tc>
          <w:tcPr>
            <w:tcW w:w="3717" w:type="dxa"/>
            <w:vMerge w:val="continue"/>
            <w:tcBorders>
              <w:top w:val="nil"/>
              <w:bottom w:val="nil"/>
            </w:tcBorders>
            <w:vAlign w:val="top"/>
          </w:tcPr>
          <w:p w14:paraId="27E6B830">
            <w:pPr>
              <w:rPr>
                <w:rFonts w:ascii="Arial"/>
                <w:sz w:val="21"/>
              </w:rPr>
            </w:pPr>
          </w:p>
        </w:tc>
        <w:tc>
          <w:tcPr>
            <w:tcW w:w="1429" w:type="dxa"/>
            <w:tcBorders>
              <w:right w:val="nil"/>
            </w:tcBorders>
            <w:vAlign w:val="top"/>
          </w:tcPr>
          <w:p w14:paraId="53625D13">
            <w:pPr>
              <w:pStyle w:val="6"/>
              <w:spacing w:before="95" w:line="224" w:lineRule="auto"/>
              <w:ind w:left="509"/>
              <w:rPr>
                <w:sz w:val="20"/>
                <w:szCs w:val="20"/>
              </w:rPr>
            </w:pPr>
            <w:r>
              <w:rPr>
                <w:spacing w:val="5"/>
                <w:sz w:val="20"/>
                <w:szCs w:val="20"/>
              </w:rPr>
              <w:t>达标</w:t>
            </w:r>
          </w:p>
        </w:tc>
      </w:tr>
      <w:tr w14:paraId="01BC25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bottom w:val="nil"/>
            </w:tcBorders>
            <w:vAlign w:val="top"/>
          </w:tcPr>
          <w:p w14:paraId="57F2674B">
            <w:pPr>
              <w:rPr>
                <w:rFonts w:ascii="Arial"/>
                <w:sz w:val="21"/>
              </w:rPr>
            </w:pPr>
          </w:p>
        </w:tc>
        <w:tc>
          <w:tcPr>
            <w:tcW w:w="3591" w:type="dxa"/>
            <w:vMerge w:val="continue"/>
            <w:tcBorders>
              <w:top w:val="nil"/>
              <w:bottom w:val="nil"/>
            </w:tcBorders>
            <w:vAlign w:val="top"/>
          </w:tcPr>
          <w:p w14:paraId="753D4BFB">
            <w:pPr>
              <w:rPr>
                <w:rFonts w:ascii="Arial"/>
                <w:sz w:val="21"/>
              </w:rPr>
            </w:pPr>
          </w:p>
        </w:tc>
        <w:tc>
          <w:tcPr>
            <w:tcW w:w="2439" w:type="dxa"/>
            <w:vAlign w:val="top"/>
          </w:tcPr>
          <w:p w14:paraId="2B722A8E">
            <w:pPr>
              <w:spacing w:before="133" w:line="202" w:lineRule="auto"/>
              <w:ind w:left="1029"/>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x</w:t>
            </w:r>
          </w:p>
        </w:tc>
        <w:tc>
          <w:tcPr>
            <w:tcW w:w="1542" w:type="dxa"/>
            <w:vAlign w:val="top"/>
          </w:tcPr>
          <w:p w14:paraId="7C36487D">
            <w:pPr>
              <w:spacing w:before="132" w:line="195" w:lineRule="auto"/>
              <w:ind w:left="5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77.98</w:t>
            </w:r>
          </w:p>
        </w:tc>
        <w:tc>
          <w:tcPr>
            <w:tcW w:w="1505" w:type="dxa"/>
            <w:vAlign w:val="top"/>
          </w:tcPr>
          <w:p w14:paraId="1C1BBD3E">
            <w:pPr>
              <w:spacing w:before="132" w:line="195" w:lineRule="auto"/>
              <w:ind w:left="5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17.33</w:t>
            </w:r>
          </w:p>
        </w:tc>
        <w:tc>
          <w:tcPr>
            <w:tcW w:w="1614" w:type="dxa"/>
            <w:vMerge w:val="continue"/>
            <w:tcBorders>
              <w:top w:val="nil"/>
              <w:bottom w:val="nil"/>
            </w:tcBorders>
            <w:vAlign w:val="top"/>
          </w:tcPr>
          <w:p w14:paraId="031C5F83">
            <w:pPr>
              <w:rPr>
                <w:rFonts w:ascii="Arial"/>
                <w:sz w:val="21"/>
              </w:rPr>
            </w:pPr>
          </w:p>
        </w:tc>
        <w:tc>
          <w:tcPr>
            <w:tcW w:w="1694" w:type="dxa"/>
            <w:vAlign w:val="top"/>
          </w:tcPr>
          <w:p w14:paraId="6BB7835A">
            <w:pPr>
              <w:spacing w:before="132" w:line="195" w:lineRule="auto"/>
              <w:ind w:left="71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2090" w:type="dxa"/>
            <w:vAlign w:val="top"/>
          </w:tcPr>
          <w:p w14:paraId="0E88E6FA">
            <w:pPr>
              <w:rPr>
                <w:rFonts w:ascii="Arial"/>
                <w:sz w:val="21"/>
              </w:rPr>
            </w:pPr>
          </w:p>
        </w:tc>
        <w:tc>
          <w:tcPr>
            <w:tcW w:w="3717" w:type="dxa"/>
            <w:vMerge w:val="continue"/>
            <w:tcBorders>
              <w:top w:val="nil"/>
              <w:bottom w:val="nil"/>
            </w:tcBorders>
            <w:vAlign w:val="top"/>
          </w:tcPr>
          <w:p w14:paraId="18574C81">
            <w:pPr>
              <w:rPr>
                <w:rFonts w:ascii="Arial"/>
                <w:sz w:val="21"/>
              </w:rPr>
            </w:pPr>
          </w:p>
        </w:tc>
        <w:tc>
          <w:tcPr>
            <w:tcW w:w="1429" w:type="dxa"/>
            <w:tcBorders>
              <w:right w:val="nil"/>
            </w:tcBorders>
            <w:vAlign w:val="top"/>
          </w:tcPr>
          <w:p w14:paraId="2788BFF4">
            <w:pPr>
              <w:pStyle w:val="6"/>
              <w:spacing w:before="97" w:line="222" w:lineRule="auto"/>
              <w:ind w:left="509"/>
              <w:rPr>
                <w:sz w:val="20"/>
                <w:szCs w:val="20"/>
              </w:rPr>
            </w:pPr>
            <w:r>
              <w:rPr>
                <w:spacing w:val="5"/>
                <w:sz w:val="20"/>
                <w:szCs w:val="20"/>
              </w:rPr>
              <w:t>达标</w:t>
            </w:r>
          </w:p>
        </w:tc>
      </w:tr>
      <w:tr w14:paraId="37273D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1387" w:type="dxa"/>
            <w:vMerge w:val="continue"/>
            <w:tcBorders>
              <w:top w:val="nil"/>
              <w:left w:val="nil"/>
            </w:tcBorders>
            <w:vAlign w:val="top"/>
          </w:tcPr>
          <w:p w14:paraId="11FD798A">
            <w:pPr>
              <w:rPr>
                <w:rFonts w:ascii="Arial"/>
                <w:sz w:val="21"/>
              </w:rPr>
            </w:pPr>
          </w:p>
        </w:tc>
        <w:tc>
          <w:tcPr>
            <w:tcW w:w="3591" w:type="dxa"/>
            <w:vMerge w:val="continue"/>
            <w:tcBorders>
              <w:top w:val="nil"/>
            </w:tcBorders>
            <w:vAlign w:val="top"/>
          </w:tcPr>
          <w:p w14:paraId="3F62FBF6">
            <w:pPr>
              <w:rPr>
                <w:rFonts w:ascii="Arial"/>
                <w:sz w:val="21"/>
              </w:rPr>
            </w:pPr>
          </w:p>
        </w:tc>
        <w:tc>
          <w:tcPr>
            <w:tcW w:w="2439" w:type="dxa"/>
            <w:vAlign w:val="top"/>
          </w:tcPr>
          <w:p w14:paraId="2F753F49">
            <w:pPr>
              <w:spacing w:before="135" w:line="199" w:lineRule="auto"/>
              <w:ind w:left="1029"/>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NH</w:t>
            </w:r>
            <w:r>
              <w:rPr>
                <w:rFonts w:ascii="Times New Roman" w:hAnsi="Times New Roman" w:eastAsia="Times New Roman" w:cs="Times New Roman"/>
                <w:spacing w:val="6"/>
                <w:position w:val="-1"/>
                <w:sz w:val="13"/>
                <w:szCs w:val="13"/>
              </w:rPr>
              <w:t>3</w:t>
            </w:r>
          </w:p>
        </w:tc>
        <w:tc>
          <w:tcPr>
            <w:tcW w:w="1542" w:type="dxa"/>
            <w:vAlign w:val="top"/>
          </w:tcPr>
          <w:p w14:paraId="2E3EA1A8">
            <w:pPr>
              <w:spacing w:before="135" w:line="195" w:lineRule="auto"/>
              <w:ind w:left="5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2.50</w:t>
            </w:r>
          </w:p>
        </w:tc>
        <w:tc>
          <w:tcPr>
            <w:tcW w:w="1505" w:type="dxa"/>
            <w:vAlign w:val="top"/>
          </w:tcPr>
          <w:p w14:paraId="66A5D210">
            <w:pPr>
              <w:spacing w:before="135" w:line="195" w:lineRule="auto"/>
              <w:ind w:left="5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0.56</w:t>
            </w:r>
          </w:p>
        </w:tc>
        <w:tc>
          <w:tcPr>
            <w:tcW w:w="1614" w:type="dxa"/>
            <w:vMerge w:val="continue"/>
            <w:tcBorders>
              <w:top w:val="nil"/>
            </w:tcBorders>
            <w:vAlign w:val="top"/>
          </w:tcPr>
          <w:p w14:paraId="6214EA0D">
            <w:pPr>
              <w:rPr>
                <w:rFonts w:ascii="Arial"/>
                <w:sz w:val="21"/>
              </w:rPr>
            </w:pPr>
          </w:p>
        </w:tc>
        <w:tc>
          <w:tcPr>
            <w:tcW w:w="1694" w:type="dxa"/>
            <w:vAlign w:val="top"/>
          </w:tcPr>
          <w:p w14:paraId="6F8D34F8">
            <w:pPr>
              <w:spacing w:before="135" w:line="195" w:lineRule="auto"/>
              <w:ind w:left="6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c>
          <w:tcPr>
            <w:tcW w:w="2090" w:type="dxa"/>
            <w:vAlign w:val="top"/>
          </w:tcPr>
          <w:p w14:paraId="1FFEE558">
            <w:pPr>
              <w:spacing w:before="131"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vMerge w:val="continue"/>
            <w:tcBorders>
              <w:top w:val="nil"/>
            </w:tcBorders>
            <w:vAlign w:val="top"/>
          </w:tcPr>
          <w:p w14:paraId="3B34472F">
            <w:pPr>
              <w:rPr>
                <w:rFonts w:ascii="Arial"/>
                <w:sz w:val="21"/>
              </w:rPr>
            </w:pPr>
          </w:p>
        </w:tc>
        <w:tc>
          <w:tcPr>
            <w:tcW w:w="1429" w:type="dxa"/>
            <w:tcBorders>
              <w:right w:val="nil"/>
            </w:tcBorders>
            <w:vAlign w:val="top"/>
          </w:tcPr>
          <w:p w14:paraId="5ACC66F7">
            <w:pPr>
              <w:pStyle w:val="6"/>
              <w:spacing w:before="96" w:line="223" w:lineRule="auto"/>
              <w:ind w:left="509"/>
              <w:rPr>
                <w:sz w:val="20"/>
                <w:szCs w:val="20"/>
              </w:rPr>
            </w:pPr>
            <w:r>
              <w:rPr>
                <w:spacing w:val="5"/>
                <w:sz w:val="20"/>
                <w:szCs w:val="20"/>
              </w:rPr>
              <w:t>达标</w:t>
            </w:r>
          </w:p>
        </w:tc>
      </w:tr>
      <w:tr w14:paraId="2F7C59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1387" w:type="dxa"/>
            <w:tcBorders>
              <w:left w:val="nil"/>
              <w:bottom w:val="single" w:color="000000" w:sz="10" w:space="0"/>
            </w:tcBorders>
            <w:vAlign w:val="top"/>
          </w:tcPr>
          <w:p w14:paraId="2015033A">
            <w:pPr>
              <w:spacing w:before="135" w:line="202" w:lineRule="auto"/>
              <w:ind w:left="589"/>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position w:val="-1"/>
                <w:sz w:val="13"/>
                <w:szCs w:val="13"/>
              </w:rPr>
              <w:t>3</w:t>
            </w:r>
          </w:p>
        </w:tc>
        <w:tc>
          <w:tcPr>
            <w:tcW w:w="3591" w:type="dxa"/>
            <w:tcBorders>
              <w:bottom w:val="single" w:color="000000" w:sz="10" w:space="0"/>
            </w:tcBorders>
            <w:vAlign w:val="top"/>
          </w:tcPr>
          <w:p w14:paraId="26FD0AC6">
            <w:pPr>
              <w:pStyle w:val="6"/>
              <w:spacing w:before="98" w:line="228" w:lineRule="auto"/>
              <w:ind w:left="1381"/>
              <w:rPr>
                <w:sz w:val="20"/>
                <w:szCs w:val="20"/>
              </w:rPr>
            </w:pPr>
            <w:r>
              <w:rPr>
                <w:spacing w:val="6"/>
                <w:sz w:val="20"/>
                <w:szCs w:val="20"/>
              </w:rPr>
              <w:t>餐厅油烟</w:t>
            </w:r>
          </w:p>
        </w:tc>
        <w:tc>
          <w:tcPr>
            <w:tcW w:w="2439" w:type="dxa"/>
            <w:tcBorders>
              <w:bottom w:val="single" w:color="000000" w:sz="10" w:space="0"/>
            </w:tcBorders>
            <w:vAlign w:val="top"/>
          </w:tcPr>
          <w:p w14:paraId="2E070C48">
            <w:pPr>
              <w:pStyle w:val="6"/>
              <w:spacing w:before="99" w:line="229" w:lineRule="auto"/>
              <w:ind w:left="1017"/>
              <w:rPr>
                <w:sz w:val="20"/>
                <w:szCs w:val="20"/>
              </w:rPr>
            </w:pPr>
            <w:r>
              <w:rPr>
                <w:spacing w:val="3"/>
                <w:sz w:val="20"/>
                <w:szCs w:val="20"/>
              </w:rPr>
              <w:t>油烟</w:t>
            </w:r>
          </w:p>
        </w:tc>
        <w:tc>
          <w:tcPr>
            <w:tcW w:w="1542" w:type="dxa"/>
            <w:tcBorders>
              <w:bottom w:val="single" w:color="000000" w:sz="10" w:space="0"/>
            </w:tcBorders>
            <w:vAlign w:val="top"/>
          </w:tcPr>
          <w:p w14:paraId="33A4545F">
            <w:pPr>
              <w:spacing w:before="134" w:line="195" w:lineRule="auto"/>
              <w:ind w:left="6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1.57</w:t>
            </w:r>
          </w:p>
        </w:tc>
        <w:tc>
          <w:tcPr>
            <w:tcW w:w="1505" w:type="dxa"/>
            <w:tcBorders>
              <w:bottom w:val="single" w:color="000000" w:sz="10" w:space="0"/>
            </w:tcBorders>
            <w:vAlign w:val="top"/>
          </w:tcPr>
          <w:p w14:paraId="63812DFF">
            <w:pPr>
              <w:spacing w:before="134" w:line="195" w:lineRule="auto"/>
              <w:ind w:left="52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0.015</w:t>
            </w:r>
          </w:p>
        </w:tc>
        <w:tc>
          <w:tcPr>
            <w:tcW w:w="1614" w:type="dxa"/>
            <w:tcBorders>
              <w:bottom w:val="single" w:color="000000" w:sz="10" w:space="0"/>
            </w:tcBorders>
            <w:vAlign w:val="top"/>
          </w:tcPr>
          <w:p w14:paraId="4F5C5294">
            <w:pPr>
              <w:spacing w:before="131" w:line="199" w:lineRule="auto"/>
              <w:ind w:left="7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694" w:type="dxa"/>
            <w:tcBorders>
              <w:bottom w:val="single" w:color="000000" w:sz="10" w:space="0"/>
            </w:tcBorders>
            <w:vAlign w:val="top"/>
          </w:tcPr>
          <w:p w14:paraId="4FF48E61">
            <w:pPr>
              <w:spacing w:before="135" w:line="195" w:lineRule="auto"/>
              <w:ind w:left="796"/>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090" w:type="dxa"/>
            <w:tcBorders>
              <w:bottom w:val="single" w:color="000000" w:sz="10" w:space="0"/>
            </w:tcBorders>
            <w:vAlign w:val="top"/>
          </w:tcPr>
          <w:p w14:paraId="25B464B0">
            <w:pPr>
              <w:spacing w:before="131" w:line="199"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717" w:type="dxa"/>
            <w:tcBorders>
              <w:bottom w:val="single" w:color="000000" w:sz="10" w:space="0"/>
            </w:tcBorders>
            <w:vAlign w:val="top"/>
          </w:tcPr>
          <w:p w14:paraId="0A666790">
            <w:pPr>
              <w:spacing w:before="134" w:line="195" w:lineRule="auto"/>
              <w:ind w:left="1183"/>
              <w:rPr>
                <w:rFonts w:ascii="Times New Roman" w:hAnsi="Times New Roman" w:eastAsia="Times New Roman" w:cs="Times New Roman"/>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36"/>
                <w:w w:val="101"/>
                <w:sz w:val="20"/>
                <w:szCs w:val="20"/>
              </w:rPr>
              <w:t xml:space="preserve"> </w:t>
            </w:r>
            <w:r>
              <w:rPr>
                <w:rFonts w:ascii="Times New Roman" w:hAnsi="Times New Roman" w:eastAsia="Times New Roman" w:cs="Times New Roman"/>
                <w:spacing w:val="2"/>
                <w:sz w:val="20"/>
                <w:szCs w:val="20"/>
              </w:rPr>
              <w:t>18483-2001</w:t>
            </w:r>
          </w:p>
        </w:tc>
        <w:tc>
          <w:tcPr>
            <w:tcW w:w="1429" w:type="dxa"/>
            <w:tcBorders>
              <w:bottom w:val="single" w:color="000000" w:sz="10" w:space="0"/>
              <w:right w:val="nil"/>
            </w:tcBorders>
            <w:vAlign w:val="top"/>
          </w:tcPr>
          <w:p w14:paraId="160AF5C5">
            <w:pPr>
              <w:pStyle w:val="6"/>
              <w:spacing w:before="99" w:line="228" w:lineRule="auto"/>
              <w:ind w:left="509"/>
              <w:rPr>
                <w:sz w:val="20"/>
                <w:szCs w:val="20"/>
              </w:rPr>
            </w:pPr>
            <w:r>
              <w:rPr>
                <w:spacing w:val="5"/>
                <w:sz w:val="20"/>
                <w:szCs w:val="20"/>
              </w:rPr>
              <w:t>达标</w:t>
            </w:r>
          </w:p>
        </w:tc>
      </w:tr>
    </w:tbl>
    <w:p w14:paraId="3A241DE9">
      <w:pPr>
        <w:pStyle w:val="2"/>
      </w:pPr>
    </w:p>
    <w:p w14:paraId="05590B53">
      <w:pPr>
        <w:sectPr>
          <w:headerReference r:id="rId192" w:type="default"/>
          <w:footerReference r:id="rId193" w:type="default"/>
          <w:pgSz w:w="23814" w:h="16840"/>
          <w:pgMar w:top="1190" w:right="1401" w:bottom="1013" w:left="1403" w:header="882" w:footer="851" w:gutter="0"/>
          <w:cols w:space="720" w:num="1"/>
        </w:sectPr>
      </w:pPr>
    </w:p>
    <w:p w14:paraId="78BE8F62">
      <w:pPr>
        <w:spacing w:before="67" w:line="219" w:lineRule="auto"/>
        <w:ind w:left="17"/>
        <w:outlineLvl w:val="3"/>
        <w:rPr>
          <w:rFonts w:ascii="宋体" w:hAnsi="宋体" w:eastAsia="宋体" w:cs="宋体"/>
          <w:sz w:val="24"/>
          <w:szCs w:val="24"/>
        </w:rPr>
      </w:pPr>
      <w:r>
        <w:pict>
          <v:shape id="_x0000_s1240" o:spid="_x0000_s1240" style="position:absolute;left:0pt;margin-left:70.85pt;margin-top:80.1pt;height:0.75pt;width:453.65pt;mso-position-horizontal-relative:page;mso-position-vertical-relative:page;z-index:251898880;mso-width-relative:page;mso-height-relative:page;" fillcolor="#000000" filled="t" stroked="f" coordsize="9072,15" o:allowincell="f" path="m0,0l9072,0,9072,14,0,14,0,0xe">
            <v:path/>
            <v:fill on="t" focussize="0,0"/>
            <v:stroke on="f"/>
            <v:imagedata o:title=""/>
            <o:lock v:ext="edit"/>
          </v:shape>
        </w:pict>
      </w:r>
      <w:r>
        <w:fldChar w:fldCharType="begin"/>
      </w:r>
      <w:r>
        <w:instrText xml:space="preserve"> HYPERLINK "2.3.5.2" </w:instrText>
      </w:r>
      <w:r>
        <w:fldChar w:fldCharType="separate"/>
      </w:r>
      <w:r>
        <w:rPr>
          <w:rFonts w:ascii="Times New Roman" w:hAnsi="Times New Roman" w:eastAsia="Times New Roman" w:cs="Times New Roman"/>
          <w:b/>
          <w:bCs/>
          <w:spacing w:val="-2"/>
          <w:sz w:val="24"/>
          <w:szCs w:val="24"/>
        </w:rPr>
        <w:t>2.3.5.2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水污染物达标排放分析</w:t>
      </w:r>
    </w:p>
    <w:p w14:paraId="355AAB77">
      <w:pPr>
        <w:spacing w:before="181" w:line="350" w:lineRule="auto"/>
        <w:ind w:left="22" w:right="11" w:firstLine="480"/>
        <w:jc w:val="both"/>
        <w:rPr>
          <w:rFonts w:ascii="宋体" w:hAnsi="宋体" w:eastAsia="宋体" w:cs="宋体"/>
          <w:sz w:val="24"/>
          <w:szCs w:val="24"/>
        </w:rPr>
      </w:pPr>
      <w:r>
        <w:rPr>
          <w:rFonts w:ascii="宋体" w:hAnsi="宋体" w:eastAsia="宋体" w:cs="宋体"/>
          <w:spacing w:val="-2"/>
          <w:sz w:val="24"/>
          <w:szCs w:val="24"/>
        </w:rPr>
        <w:t>本项目生活污水、化验室废水经地埋式一体化污水处理设施处理后，达到《铁合金</w:t>
      </w:r>
      <w:r>
        <w:rPr>
          <w:rFonts w:ascii="宋体" w:hAnsi="宋体" w:eastAsia="宋体" w:cs="宋体"/>
          <w:spacing w:val="12"/>
          <w:sz w:val="24"/>
          <w:szCs w:val="24"/>
        </w:rPr>
        <w:t xml:space="preserve"> </w:t>
      </w:r>
      <w:r>
        <w:rPr>
          <w:rFonts w:ascii="宋体" w:hAnsi="宋体" w:eastAsia="宋体" w:cs="宋体"/>
          <w:spacing w:val="-3"/>
          <w:sz w:val="24"/>
          <w:szCs w:val="24"/>
        </w:rPr>
        <w:t>工业污染物排放标准》（</w:t>
      </w:r>
      <w:r>
        <w:rPr>
          <w:rFonts w:ascii="Times New Roman" w:hAnsi="Times New Roman" w:eastAsia="Times New Roman" w:cs="Times New Roman"/>
          <w:spacing w:val="-3"/>
          <w:sz w:val="24"/>
          <w:szCs w:val="24"/>
        </w:rPr>
        <w:t>GB28666-2012</w:t>
      </w:r>
      <w:r>
        <w:rPr>
          <w:rFonts w:ascii="宋体" w:hAnsi="宋体" w:eastAsia="宋体" w:cs="宋体"/>
          <w:spacing w:val="-3"/>
          <w:sz w:val="24"/>
          <w:szCs w:val="24"/>
        </w:rPr>
        <w:t>）表</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w:t>
      </w:r>
      <w:r>
        <w:rPr>
          <w:rFonts w:ascii="Times New Roman" w:hAnsi="Times New Roman" w:eastAsia="Times New Roman" w:cs="Times New Roman"/>
          <w:spacing w:val="32"/>
          <w:w w:val="101"/>
          <w:sz w:val="24"/>
          <w:szCs w:val="24"/>
        </w:rPr>
        <w:t xml:space="preserve"> </w:t>
      </w:r>
      <w:r>
        <w:rPr>
          <w:rFonts w:ascii="宋体" w:hAnsi="宋体" w:eastAsia="宋体" w:cs="宋体"/>
          <w:spacing w:val="-3"/>
          <w:sz w:val="24"/>
          <w:szCs w:val="24"/>
        </w:rPr>
        <w:t>中间</w:t>
      </w:r>
      <w:r>
        <w:rPr>
          <w:rFonts w:ascii="宋体" w:hAnsi="宋体" w:eastAsia="宋体" w:cs="宋体"/>
          <w:spacing w:val="-4"/>
          <w:sz w:val="24"/>
          <w:szCs w:val="24"/>
        </w:rPr>
        <w:t>接排放标准后由罐车运至苏尼特右旗</w:t>
      </w:r>
      <w:r>
        <w:rPr>
          <w:rFonts w:ascii="宋体" w:hAnsi="宋体" w:eastAsia="宋体" w:cs="宋体"/>
          <w:sz w:val="24"/>
          <w:szCs w:val="24"/>
        </w:rPr>
        <w:t xml:space="preserve"> </w:t>
      </w:r>
      <w:r>
        <w:rPr>
          <w:rFonts w:ascii="宋体" w:hAnsi="宋体" w:eastAsia="宋体" w:cs="宋体"/>
          <w:spacing w:val="-1"/>
          <w:sz w:val="24"/>
          <w:szCs w:val="24"/>
        </w:rPr>
        <w:t>赛汉塔拉镇污水处理厂进一步处理，其他生产废水全部回用。</w:t>
      </w:r>
    </w:p>
    <w:p w14:paraId="2A5C433A">
      <w:pPr>
        <w:spacing w:before="40" w:line="221" w:lineRule="auto"/>
        <w:ind w:left="18"/>
        <w:outlineLvl w:val="2"/>
        <w:rPr>
          <w:rFonts w:ascii="宋体" w:hAnsi="宋体" w:eastAsia="宋体" w:cs="宋体"/>
          <w:sz w:val="28"/>
          <w:szCs w:val="28"/>
        </w:rPr>
      </w:pPr>
      <w:bookmarkStart w:id="328" w:name="bookmark124"/>
      <w:bookmarkEnd w:id="328"/>
      <w:r>
        <w:rPr>
          <w:rFonts w:ascii="Times New Roman" w:hAnsi="Times New Roman" w:eastAsia="Times New Roman" w:cs="Times New Roman"/>
          <w:b/>
          <w:bCs/>
          <w:spacing w:val="-2"/>
          <w:sz w:val="28"/>
          <w:szCs w:val="28"/>
        </w:rPr>
        <w:t xml:space="preserve">2.3.6 </w:t>
      </w:r>
      <w:r>
        <w:rPr>
          <w:rFonts w:ascii="宋体" w:hAnsi="宋体" w:eastAsia="宋体" w:cs="宋体"/>
          <w:b/>
          <w:bCs/>
          <w:spacing w:val="-2"/>
          <w:sz w:val="28"/>
          <w:szCs w:val="28"/>
        </w:rPr>
        <w:t>污染物排放变化情况分析</w:t>
      </w:r>
    </w:p>
    <w:p w14:paraId="2FBD411B">
      <w:pPr>
        <w:spacing w:before="203" w:line="219" w:lineRule="auto"/>
        <w:ind w:left="504"/>
        <w:rPr>
          <w:rFonts w:ascii="宋体" w:hAnsi="宋体" w:eastAsia="宋体" w:cs="宋体"/>
          <w:sz w:val="24"/>
          <w:szCs w:val="24"/>
        </w:rPr>
      </w:pPr>
      <w:r>
        <w:rPr>
          <w:rFonts w:ascii="宋体" w:hAnsi="宋体" w:eastAsia="宋体" w:cs="宋体"/>
          <w:spacing w:val="-1"/>
          <w:sz w:val="24"/>
          <w:szCs w:val="24"/>
        </w:rPr>
        <w:t>本项目全厂污染物排放变化情况分析详见表</w:t>
      </w:r>
      <w:r>
        <w:rPr>
          <w:rFonts w:ascii="宋体" w:hAnsi="宋体" w:eastAsia="宋体" w:cs="宋体"/>
          <w:spacing w:val="-47"/>
          <w:sz w:val="24"/>
          <w:szCs w:val="24"/>
        </w:rPr>
        <w:t xml:space="preserve"> </w:t>
      </w:r>
      <w:r>
        <w:rPr>
          <w:rFonts w:ascii="Times New Roman" w:hAnsi="Times New Roman" w:eastAsia="Times New Roman" w:cs="Times New Roman"/>
          <w:spacing w:val="-1"/>
          <w:sz w:val="24"/>
          <w:szCs w:val="24"/>
        </w:rPr>
        <w:t>2.3-28</w:t>
      </w:r>
      <w:r>
        <w:rPr>
          <w:rFonts w:ascii="宋体" w:hAnsi="宋体" w:eastAsia="宋体" w:cs="宋体"/>
          <w:spacing w:val="-1"/>
          <w:sz w:val="24"/>
          <w:szCs w:val="24"/>
        </w:rPr>
        <w:t>。</w:t>
      </w:r>
    </w:p>
    <w:p w14:paraId="6C99146B">
      <w:pPr>
        <w:spacing w:before="179" w:line="227" w:lineRule="auto"/>
        <w:ind w:left="1536"/>
        <w:rPr>
          <w:rFonts w:ascii="Times New Roman" w:hAnsi="Times New Roman" w:eastAsia="Times New Roman" w:cs="Times New Roman"/>
          <w:sz w:val="20"/>
          <w:szCs w:val="20"/>
        </w:rPr>
      </w:pPr>
      <w:r>
        <w:rPr>
          <w:rFonts w:ascii="宋体" w:hAnsi="宋体" w:eastAsia="宋体" w:cs="宋体"/>
          <w:b/>
          <w:bCs/>
          <w:spacing w:val="6"/>
          <w:sz w:val="20"/>
          <w:szCs w:val="20"/>
        </w:rPr>
        <w:t>表</w:t>
      </w:r>
      <w:r>
        <w:rPr>
          <w:rFonts w:ascii="Times New Roman" w:hAnsi="Times New Roman" w:eastAsia="Times New Roman" w:cs="Times New Roman"/>
          <w:b/>
          <w:bCs/>
          <w:spacing w:val="6"/>
          <w:sz w:val="20"/>
          <w:szCs w:val="20"/>
        </w:rPr>
        <w:t xml:space="preserve">2.3-28        </w:t>
      </w:r>
      <w:r>
        <w:rPr>
          <w:rFonts w:ascii="宋体" w:hAnsi="宋体" w:eastAsia="宋体" w:cs="宋体"/>
          <w:b/>
          <w:bCs/>
          <w:spacing w:val="6"/>
          <w:sz w:val="20"/>
          <w:szCs w:val="20"/>
        </w:rPr>
        <w:t>本项目全厂污染物排放变化情况分析表</w:t>
      </w:r>
      <w:r>
        <w:rPr>
          <w:rFonts w:ascii="宋体" w:hAnsi="宋体" w:eastAsia="宋体" w:cs="宋体"/>
          <w:spacing w:val="6"/>
          <w:sz w:val="20"/>
          <w:szCs w:val="20"/>
        </w:rPr>
        <w:t xml:space="preserve">    </w:t>
      </w:r>
      <w:r>
        <w:rPr>
          <w:rFonts w:ascii="宋体" w:hAnsi="宋体" w:eastAsia="宋体" w:cs="宋体"/>
          <w:b/>
          <w:bCs/>
          <w:spacing w:val="6"/>
          <w:sz w:val="20"/>
          <w:szCs w:val="20"/>
        </w:rPr>
        <w:t>单位</w:t>
      </w:r>
      <w:r>
        <w:rPr>
          <w:rFonts w:ascii="宋体" w:hAnsi="宋体" w:eastAsia="宋体" w:cs="宋体"/>
          <w:b/>
          <w:bCs/>
          <w:spacing w:val="5"/>
          <w:sz w:val="20"/>
          <w:szCs w:val="20"/>
        </w:rPr>
        <w:t>：</w:t>
      </w:r>
      <w:r>
        <w:rPr>
          <w:rFonts w:ascii="Times New Roman" w:hAnsi="Times New Roman" w:eastAsia="Times New Roman" w:cs="Times New Roman"/>
          <w:b/>
          <w:bCs/>
          <w:spacing w:val="5"/>
          <w:sz w:val="20"/>
          <w:szCs w:val="20"/>
        </w:rPr>
        <w:t>t/a</w:t>
      </w:r>
    </w:p>
    <w:p w14:paraId="63E02203">
      <w:pPr>
        <w:spacing w:line="131" w:lineRule="exact"/>
      </w:pPr>
    </w:p>
    <w:tbl>
      <w:tblPr>
        <w:tblStyle w:val="5"/>
        <w:tblW w:w="909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48"/>
        <w:gridCol w:w="3107"/>
        <w:gridCol w:w="1830"/>
        <w:gridCol w:w="1644"/>
        <w:gridCol w:w="1668"/>
      </w:tblGrid>
      <w:tr w14:paraId="3F7225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848" w:type="dxa"/>
            <w:tcBorders>
              <w:top w:val="single" w:color="000000" w:sz="10" w:space="0"/>
              <w:left w:val="nil"/>
            </w:tcBorders>
            <w:vAlign w:val="top"/>
          </w:tcPr>
          <w:p w14:paraId="1EEC0C3E">
            <w:pPr>
              <w:pStyle w:val="6"/>
              <w:spacing w:before="74" w:line="216" w:lineRule="auto"/>
              <w:ind w:left="221"/>
              <w:rPr>
                <w:sz w:val="20"/>
                <w:szCs w:val="20"/>
              </w:rPr>
            </w:pPr>
            <w:r>
              <w:rPr>
                <w:b/>
                <w:bCs/>
                <w:spacing w:val="3"/>
                <w:sz w:val="20"/>
                <w:szCs w:val="20"/>
              </w:rPr>
              <w:t>类别</w:t>
            </w:r>
          </w:p>
        </w:tc>
        <w:tc>
          <w:tcPr>
            <w:tcW w:w="3107" w:type="dxa"/>
            <w:tcBorders>
              <w:top w:val="single" w:color="000000" w:sz="10" w:space="0"/>
            </w:tcBorders>
            <w:vAlign w:val="top"/>
          </w:tcPr>
          <w:p w14:paraId="3A3708D6">
            <w:pPr>
              <w:pStyle w:val="6"/>
              <w:spacing w:before="74" w:line="216" w:lineRule="auto"/>
              <w:ind w:left="1244"/>
              <w:rPr>
                <w:sz w:val="20"/>
                <w:szCs w:val="20"/>
              </w:rPr>
            </w:pPr>
            <w:r>
              <w:rPr>
                <w:b/>
                <w:bCs/>
                <w:spacing w:val="5"/>
                <w:sz w:val="20"/>
                <w:szCs w:val="20"/>
              </w:rPr>
              <w:t>污染物</w:t>
            </w:r>
          </w:p>
        </w:tc>
        <w:tc>
          <w:tcPr>
            <w:tcW w:w="1830" w:type="dxa"/>
            <w:tcBorders>
              <w:top w:val="single" w:color="000000" w:sz="10" w:space="0"/>
            </w:tcBorders>
            <w:vAlign w:val="top"/>
          </w:tcPr>
          <w:p w14:paraId="6D81413B">
            <w:pPr>
              <w:pStyle w:val="6"/>
              <w:spacing w:before="74" w:line="216" w:lineRule="auto"/>
              <w:ind w:left="603"/>
              <w:rPr>
                <w:sz w:val="20"/>
                <w:szCs w:val="20"/>
              </w:rPr>
            </w:pPr>
            <w:r>
              <w:rPr>
                <w:b/>
                <w:bCs/>
                <w:spacing w:val="5"/>
                <w:sz w:val="20"/>
                <w:szCs w:val="20"/>
              </w:rPr>
              <w:t>产生量</w:t>
            </w:r>
          </w:p>
        </w:tc>
        <w:tc>
          <w:tcPr>
            <w:tcW w:w="1644" w:type="dxa"/>
            <w:tcBorders>
              <w:top w:val="single" w:color="000000" w:sz="10" w:space="0"/>
            </w:tcBorders>
            <w:vAlign w:val="top"/>
          </w:tcPr>
          <w:p w14:paraId="34B4BD78">
            <w:pPr>
              <w:pStyle w:val="6"/>
              <w:spacing w:before="74" w:line="216" w:lineRule="auto"/>
              <w:ind w:left="524"/>
              <w:rPr>
                <w:sz w:val="20"/>
                <w:szCs w:val="20"/>
              </w:rPr>
            </w:pPr>
            <w:r>
              <w:rPr>
                <w:b/>
                <w:bCs/>
                <w:spacing w:val="1"/>
                <w:sz w:val="20"/>
                <w:szCs w:val="20"/>
              </w:rPr>
              <w:t>削减量</w:t>
            </w:r>
          </w:p>
        </w:tc>
        <w:tc>
          <w:tcPr>
            <w:tcW w:w="1668" w:type="dxa"/>
            <w:tcBorders>
              <w:top w:val="single" w:color="000000" w:sz="10" w:space="0"/>
              <w:right w:val="nil"/>
            </w:tcBorders>
            <w:vAlign w:val="top"/>
          </w:tcPr>
          <w:p w14:paraId="758D0D94">
            <w:pPr>
              <w:pStyle w:val="6"/>
              <w:spacing w:before="74" w:line="216" w:lineRule="auto"/>
              <w:ind w:left="523"/>
              <w:rPr>
                <w:sz w:val="20"/>
                <w:szCs w:val="20"/>
              </w:rPr>
            </w:pPr>
            <w:r>
              <w:rPr>
                <w:b/>
                <w:bCs/>
                <w:spacing w:val="5"/>
                <w:sz w:val="20"/>
                <w:szCs w:val="20"/>
              </w:rPr>
              <w:t>排放量</w:t>
            </w:r>
          </w:p>
        </w:tc>
      </w:tr>
      <w:tr w14:paraId="72C0FC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848" w:type="dxa"/>
            <w:vMerge w:val="restart"/>
            <w:tcBorders>
              <w:left w:val="nil"/>
              <w:bottom w:val="nil"/>
            </w:tcBorders>
            <w:vAlign w:val="top"/>
          </w:tcPr>
          <w:p w14:paraId="366EFB6C">
            <w:pPr>
              <w:spacing w:line="283" w:lineRule="auto"/>
              <w:rPr>
                <w:rFonts w:ascii="Arial"/>
                <w:sz w:val="21"/>
              </w:rPr>
            </w:pPr>
          </w:p>
          <w:p w14:paraId="018ACCBA">
            <w:pPr>
              <w:spacing w:line="283" w:lineRule="auto"/>
              <w:rPr>
                <w:rFonts w:ascii="Arial"/>
                <w:sz w:val="21"/>
              </w:rPr>
            </w:pPr>
          </w:p>
          <w:p w14:paraId="52331B22">
            <w:pPr>
              <w:spacing w:line="283" w:lineRule="auto"/>
              <w:rPr>
                <w:rFonts w:ascii="Arial"/>
                <w:sz w:val="21"/>
              </w:rPr>
            </w:pPr>
          </w:p>
          <w:p w14:paraId="27041E21">
            <w:pPr>
              <w:pStyle w:val="6"/>
              <w:spacing w:before="65" w:line="228" w:lineRule="auto"/>
              <w:ind w:left="220"/>
              <w:rPr>
                <w:sz w:val="20"/>
                <w:szCs w:val="20"/>
              </w:rPr>
            </w:pPr>
            <w:r>
              <w:rPr>
                <w:spacing w:val="5"/>
                <w:sz w:val="20"/>
                <w:szCs w:val="20"/>
              </w:rPr>
              <w:t>废气</w:t>
            </w:r>
          </w:p>
        </w:tc>
        <w:tc>
          <w:tcPr>
            <w:tcW w:w="3107" w:type="dxa"/>
            <w:vAlign w:val="top"/>
          </w:tcPr>
          <w:p w14:paraId="44CE00FF">
            <w:pPr>
              <w:pStyle w:val="6"/>
              <w:spacing w:before="67" w:line="228" w:lineRule="auto"/>
              <w:ind w:left="1242"/>
              <w:rPr>
                <w:sz w:val="20"/>
                <w:szCs w:val="20"/>
              </w:rPr>
            </w:pPr>
            <w:r>
              <w:rPr>
                <w:spacing w:val="7"/>
                <w:sz w:val="20"/>
                <w:szCs w:val="20"/>
              </w:rPr>
              <w:t>颗粒物</w:t>
            </w:r>
          </w:p>
        </w:tc>
        <w:tc>
          <w:tcPr>
            <w:tcW w:w="1830" w:type="dxa"/>
            <w:vAlign w:val="top"/>
          </w:tcPr>
          <w:p w14:paraId="4E44F26F">
            <w:pPr>
              <w:spacing w:before="103" w:line="195" w:lineRule="auto"/>
              <w:ind w:left="5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9332.95</w:t>
            </w:r>
          </w:p>
        </w:tc>
        <w:tc>
          <w:tcPr>
            <w:tcW w:w="1644" w:type="dxa"/>
            <w:vAlign w:val="top"/>
          </w:tcPr>
          <w:p w14:paraId="69D9CEBA">
            <w:pPr>
              <w:spacing w:before="103" w:line="195" w:lineRule="auto"/>
              <w:ind w:left="4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9215.42</w:t>
            </w:r>
          </w:p>
        </w:tc>
        <w:tc>
          <w:tcPr>
            <w:tcW w:w="1668" w:type="dxa"/>
            <w:tcBorders>
              <w:right w:val="nil"/>
            </w:tcBorders>
            <w:vAlign w:val="top"/>
          </w:tcPr>
          <w:p w14:paraId="7B27CA28">
            <w:pPr>
              <w:spacing w:before="103" w:line="195" w:lineRule="auto"/>
              <w:ind w:left="565"/>
              <w:rPr>
                <w:rFonts w:ascii="Times New Roman" w:hAnsi="Times New Roman" w:eastAsia="Times New Roman" w:cs="Times New Roman"/>
                <w:sz w:val="20"/>
                <w:szCs w:val="20"/>
              </w:rPr>
            </w:pPr>
            <w:r>
              <w:rPr>
                <w:rFonts w:ascii="Times New Roman" w:hAnsi="Times New Roman" w:eastAsia="Times New Roman" w:cs="Times New Roman"/>
                <w:sz w:val="20"/>
                <w:szCs w:val="20"/>
              </w:rPr>
              <w:t>117.53</w:t>
            </w:r>
          </w:p>
        </w:tc>
      </w:tr>
      <w:tr w14:paraId="642B73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848" w:type="dxa"/>
            <w:vMerge w:val="continue"/>
            <w:tcBorders>
              <w:top w:val="nil"/>
              <w:left w:val="nil"/>
              <w:bottom w:val="nil"/>
            </w:tcBorders>
            <w:vAlign w:val="top"/>
          </w:tcPr>
          <w:p w14:paraId="3D3211F3">
            <w:pPr>
              <w:rPr>
                <w:rFonts w:ascii="Arial"/>
                <w:sz w:val="21"/>
              </w:rPr>
            </w:pPr>
          </w:p>
        </w:tc>
        <w:tc>
          <w:tcPr>
            <w:tcW w:w="3107" w:type="dxa"/>
            <w:vAlign w:val="top"/>
          </w:tcPr>
          <w:p w14:paraId="441098F2">
            <w:pPr>
              <w:pStyle w:val="6"/>
              <w:spacing w:before="70" w:line="229" w:lineRule="auto"/>
              <w:ind w:left="928"/>
              <w:rPr>
                <w:sz w:val="20"/>
                <w:szCs w:val="20"/>
              </w:rPr>
            </w:pPr>
            <w:r>
              <w:rPr>
                <w:spacing w:val="8"/>
                <w:sz w:val="20"/>
                <w:szCs w:val="20"/>
              </w:rPr>
              <w:t>锰及其化合物</w:t>
            </w:r>
          </w:p>
        </w:tc>
        <w:tc>
          <w:tcPr>
            <w:tcW w:w="1830" w:type="dxa"/>
            <w:vAlign w:val="top"/>
          </w:tcPr>
          <w:p w14:paraId="552EFDF7">
            <w:pPr>
              <w:spacing w:before="105" w:line="195" w:lineRule="auto"/>
              <w:ind w:left="59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1639.35</w:t>
            </w:r>
          </w:p>
        </w:tc>
        <w:tc>
          <w:tcPr>
            <w:tcW w:w="1644" w:type="dxa"/>
            <w:vAlign w:val="top"/>
          </w:tcPr>
          <w:p w14:paraId="768FA1AF">
            <w:pPr>
              <w:spacing w:before="105" w:line="195" w:lineRule="auto"/>
              <w:ind w:left="50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1619.44</w:t>
            </w:r>
          </w:p>
        </w:tc>
        <w:tc>
          <w:tcPr>
            <w:tcW w:w="1668" w:type="dxa"/>
            <w:tcBorders>
              <w:right w:val="nil"/>
            </w:tcBorders>
            <w:vAlign w:val="top"/>
          </w:tcPr>
          <w:p w14:paraId="6E5B35F9">
            <w:pPr>
              <w:spacing w:before="105" w:line="195" w:lineRule="auto"/>
              <w:ind w:left="6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19.91</w:t>
            </w:r>
          </w:p>
        </w:tc>
      </w:tr>
      <w:tr w14:paraId="7AAB44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848" w:type="dxa"/>
            <w:vMerge w:val="continue"/>
            <w:tcBorders>
              <w:top w:val="nil"/>
              <w:left w:val="nil"/>
              <w:bottom w:val="nil"/>
            </w:tcBorders>
            <w:vAlign w:val="top"/>
          </w:tcPr>
          <w:p w14:paraId="3A7FA94F">
            <w:pPr>
              <w:rPr>
                <w:rFonts w:ascii="Arial"/>
                <w:sz w:val="21"/>
              </w:rPr>
            </w:pPr>
          </w:p>
        </w:tc>
        <w:tc>
          <w:tcPr>
            <w:tcW w:w="3107" w:type="dxa"/>
            <w:vAlign w:val="top"/>
          </w:tcPr>
          <w:p w14:paraId="3AD16C75">
            <w:pPr>
              <w:spacing w:before="108" w:line="202" w:lineRule="auto"/>
              <w:ind w:left="1394"/>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1830" w:type="dxa"/>
            <w:vAlign w:val="top"/>
          </w:tcPr>
          <w:p w14:paraId="3B4C8891">
            <w:pPr>
              <w:spacing w:before="108" w:line="195" w:lineRule="auto"/>
              <w:ind w:left="6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648.96</w:t>
            </w:r>
          </w:p>
        </w:tc>
        <w:tc>
          <w:tcPr>
            <w:tcW w:w="1644" w:type="dxa"/>
            <w:vAlign w:val="top"/>
          </w:tcPr>
          <w:p w14:paraId="098E250C">
            <w:pPr>
              <w:spacing w:before="108" w:line="195" w:lineRule="auto"/>
              <w:ind w:left="5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539.62</w:t>
            </w:r>
          </w:p>
        </w:tc>
        <w:tc>
          <w:tcPr>
            <w:tcW w:w="1668" w:type="dxa"/>
            <w:tcBorders>
              <w:right w:val="nil"/>
            </w:tcBorders>
            <w:vAlign w:val="top"/>
          </w:tcPr>
          <w:p w14:paraId="27CA49D8">
            <w:pPr>
              <w:spacing w:before="108" w:line="195" w:lineRule="auto"/>
              <w:ind w:left="565"/>
              <w:rPr>
                <w:rFonts w:ascii="Times New Roman" w:hAnsi="Times New Roman" w:eastAsia="Times New Roman" w:cs="Times New Roman"/>
                <w:sz w:val="20"/>
                <w:szCs w:val="20"/>
              </w:rPr>
            </w:pPr>
            <w:r>
              <w:rPr>
                <w:rFonts w:ascii="Times New Roman" w:hAnsi="Times New Roman" w:eastAsia="Times New Roman" w:cs="Times New Roman"/>
                <w:sz w:val="20"/>
                <w:szCs w:val="20"/>
              </w:rPr>
              <w:t>109.34</w:t>
            </w:r>
          </w:p>
        </w:tc>
      </w:tr>
      <w:tr w14:paraId="1436F4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848" w:type="dxa"/>
            <w:vMerge w:val="continue"/>
            <w:tcBorders>
              <w:top w:val="nil"/>
              <w:left w:val="nil"/>
              <w:bottom w:val="nil"/>
            </w:tcBorders>
            <w:vAlign w:val="top"/>
          </w:tcPr>
          <w:p w14:paraId="5CBF9513">
            <w:pPr>
              <w:rPr>
                <w:rFonts w:ascii="Arial"/>
                <w:sz w:val="21"/>
              </w:rPr>
            </w:pPr>
          </w:p>
        </w:tc>
        <w:tc>
          <w:tcPr>
            <w:tcW w:w="3107" w:type="dxa"/>
            <w:vAlign w:val="top"/>
          </w:tcPr>
          <w:p w14:paraId="78C8452B">
            <w:pPr>
              <w:spacing w:before="108" w:line="205" w:lineRule="auto"/>
              <w:ind w:left="1347"/>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830" w:type="dxa"/>
            <w:vAlign w:val="top"/>
          </w:tcPr>
          <w:p w14:paraId="3B2AF480">
            <w:pPr>
              <w:spacing w:before="109" w:line="195" w:lineRule="auto"/>
              <w:ind w:left="6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735.26</w:t>
            </w:r>
          </w:p>
        </w:tc>
        <w:tc>
          <w:tcPr>
            <w:tcW w:w="1644" w:type="dxa"/>
            <w:vAlign w:val="top"/>
          </w:tcPr>
          <w:p w14:paraId="5B339DFD">
            <w:pPr>
              <w:spacing w:before="109" w:line="195" w:lineRule="auto"/>
              <w:ind w:left="5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257.46</w:t>
            </w:r>
          </w:p>
        </w:tc>
        <w:tc>
          <w:tcPr>
            <w:tcW w:w="1668" w:type="dxa"/>
            <w:tcBorders>
              <w:right w:val="nil"/>
            </w:tcBorders>
            <w:vAlign w:val="top"/>
          </w:tcPr>
          <w:p w14:paraId="1D64534C">
            <w:pPr>
              <w:spacing w:before="109" w:line="195" w:lineRule="auto"/>
              <w:ind w:left="54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477.80</w:t>
            </w:r>
          </w:p>
        </w:tc>
      </w:tr>
      <w:tr w14:paraId="1FD6D1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848" w:type="dxa"/>
            <w:vMerge w:val="continue"/>
            <w:tcBorders>
              <w:top w:val="nil"/>
              <w:left w:val="nil"/>
              <w:bottom w:val="nil"/>
            </w:tcBorders>
            <w:vAlign w:val="top"/>
          </w:tcPr>
          <w:p w14:paraId="2EEB37A6">
            <w:pPr>
              <w:rPr>
                <w:rFonts w:ascii="Arial"/>
                <w:sz w:val="21"/>
              </w:rPr>
            </w:pPr>
          </w:p>
        </w:tc>
        <w:tc>
          <w:tcPr>
            <w:tcW w:w="3107" w:type="dxa"/>
            <w:vAlign w:val="top"/>
          </w:tcPr>
          <w:p w14:paraId="42F29913">
            <w:pPr>
              <w:spacing w:before="114" w:line="199" w:lineRule="auto"/>
              <w:ind w:left="1362"/>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NH</w:t>
            </w:r>
            <w:r>
              <w:rPr>
                <w:rFonts w:ascii="Times New Roman" w:hAnsi="Times New Roman" w:eastAsia="Times New Roman" w:cs="Times New Roman"/>
                <w:spacing w:val="7"/>
                <w:position w:val="-1"/>
                <w:sz w:val="13"/>
                <w:szCs w:val="13"/>
              </w:rPr>
              <w:t>3</w:t>
            </w:r>
          </w:p>
        </w:tc>
        <w:tc>
          <w:tcPr>
            <w:tcW w:w="1830" w:type="dxa"/>
            <w:vAlign w:val="top"/>
          </w:tcPr>
          <w:p w14:paraId="33C4EA0A">
            <w:pPr>
              <w:spacing w:before="111" w:line="195" w:lineRule="auto"/>
              <w:ind w:left="7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4.44</w:t>
            </w:r>
          </w:p>
        </w:tc>
        <w:tc>
          <w:tcPr>
            <w:tcW w:w="1644" w:type="dxa"/>
            <w:vAlign w:val="top"/>
          </w:tcPr>
          <w:p w14:paraId="04988963">
            <w:pPr>
              <w:spacing w:before="111" w:line="195" w:lineRule="auto"/>
              <w:ind w:left="774"/>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668" w:type="dxa"/>
            <w:tcBorders>
              <w:right w:val="nil"/>
            </w:tcBorders>
            <w:vAlign w:val="top"/>
          </w:tcPr>
          <w:p w14:paraId="43C298D7">
            <w:pPr>
              <w:spacing w:before="111" w:line="195" w:lineRule="auto"/>
              <w:ind w:left="6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4.44</w:t>
            </w:r>
          </w:p>
        </w:tc>
      </w:tr>
      <w:tr w14:paraId="0B09DA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848" w:type="dxa"/>
            <w:vMerge w:val="continue"/>
            <w:tcBorders>
              <w:top w:val="nil"/>
              <w:left w:val="nil"/>
            </w:tcBorders>
            <w:vAlign w:val="top"/>
          </w:tcPr>
          <w:p w14:paraId="48A8B135">
            <w:pPr>
              <w:rPr>
                <w:rFonts w:ascii="Arial"/>
                <w:sz w:val="21"/>
              </w:rPr>
            </w:pPr>
          </w:p>
        </w:tc>
        <w:tc>
          <w:tcPr>
            <w:tcW w:w="3107" w:type="dxa"/>
            <w:vAlign w:val="top"/>
          </w:tcPr>
          <w:p w14:paraId="401D6470">
            <w:pPr>
              <w:pStyle w:val="6"/>
              <w:spacing w:before="79" w:line="225" w:lineRule="auto"/>
              <w:ind w:left="1352"/>
              <w:rPr>
                <w:sz w:val="20"/>
                <w:szCs w:val="20"/>
              </w:rPr>
            </w:pPr>
            <w:r>
              <w:rPr>
                <w:spacing w:val="3"/>
                <w:sz w:val="20"/>
                <w:szCs w:val="20"/>
              </w:rPr>
              <w:t>油烟</w:t>
            </w:r>
          </w:p>
        </w:tc>
        <w:tc>
          <w:tcPr>
            <w:tcW w:w="1830" w:type="dxa"/>
            <w:vAlign w:val="top"/>
          </w:tcPr>
          <w:p w14:paraId="6869D2C6">
            <w:pPr>
              <w:spacing w:before="114" w:line="195" w:lineRule="auto"/>
              <w:ind w:left="7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0.21</w:t>
            </w:r>
          </w:p>
        </w:tc>
        <w:tc>
          <w:tcPr>
            <w:tcW w:w="1644" w:type="dxa"/>
            <w:vAlign w:val="top"/>
          </w:tcPr>
          <w:p w14:paraId="336F432A">
            <w:pPr>
              <w:spacing w:before="114" w:line="195" w:lineRule="auto"/>
              <w:ind w:left="6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0.18</w:t>
            </w:r>
          </w:p>
        </w:tc>
        <w:tc>
          <w:tcPr>
            <w:tcW w:w="1668" w:type="dxa"/>
            <w:tcBorders>
              <w:right w:val="nil"/>
            </w:tcBorders>
            <w:vAlign w:val="top"/>
          </w:tcPr>
          <w:p w14:paraId="04408AAA">
            <w:pPr>
              <w:spacing w:before="114" w:line="195" w:lineRule="auto"/>
              <w:ind w:left="65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r>
      <w:tr w14:paraId="398CCF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848" w:type="dxa"/>
            <w:vMerge w:val="restart"/>
            <w:tcBorders>
              <w:left w:val="nil"/>
              <w:bottom w:val="nil"/>
            </w:tcBorders>
            <w:vAlign w:val="top"/>
          </w:tcPr>
          <w:p w14:paraId="4D60E6E5">
            <w:pPr>
              <w:spacing w:line="352" w:lineRule="auto"/>
              <w:rPr>
                <w:rFonts w:ascii="Arial"/>
                <w:sz w:val="21"/>
              </w:rPr>
            </w:pPr>
          </w:p>
          <w:p w14:paraId="1ACD63E5">
            <w:pPr>
              <w:pStyle w:val="6"/>
              <w:spacing w:before="65" w:line="228" w:lineRule="auto"/>
              <w:ind w:left="220"/>
              <w:rPr>
                <w:sz w:val="20"/>
                <w:szCs w:val="20"/>
              </w:rPr>
            </w:pPr>
            <w:r>
              <w:rPr>
                <w:spacing w:val="5"/>
                <w:sz w:val="20"/>
                <w:szCs w:val="20"/>
              </w:rPr>
              <w:t>废水</w:t>
            </w:r>
          </w:p>
        </w:tc>
        <w:tc>
          <w:tcPr>
            <w:tcW w:w="3107" w:type="dxa"/>
            <w:vAlign w:val="top"/>
          </w:tcPr>
          <w:p w14:paraId="73FCD669">
            <w:pPr>
              <w:pStyle w:val="6"/>
              <w:spacing w:before="79" w:line="225" w:lineRule="auto"/>
              <w:ind w:left="841"/>
              <w:rPr>
                <w:sz w:val="20"/>
                <w:szCs w:val="20"/>
              </w:rPr>
            </w:pPr>
            <w:r>
              <w:rPr>
                <w:spacing w:val="5"/>
                <w:sz w:val="20"/>
                <w:szCs w:val="20"/>
              </w:rPr>
              <w:t>废水量（</w:t>
            </w:r>
            <w:r>
              <w:rPr>
                <w:rFonts w:ascii="Times New Roman" w:hAnsi="Times New Roman" w:eastAsia="Times New Roman" w:cs="Times New Roman"/>
                <w:spacing w:val="5"/>
                <w:sz w:val="20"/>
                <w:szCs w:val="20"/>
              </w:rPr>
              <w:t>m</w:t>
            </w:r>
            <w:r>
              <w:rPr>
                <w:rFonts w:ascii="Times New Roman" w:hAnsi="Times New Roman" w:eastAsia="Times New Roman" w:cs="Times New Roman"/>
                <w:spacing w:val="5"/>
                <w:position w:val="6"/>
                <w:sz w:val="13"/>
                <w:szCs w:val="13"/>
              </w:rPr>
              <w:t>3</w:t>
            </w:r>
            <w:r>
              <w:rPr>
                <w:rFonts w:ascii="Times New Roman" w:hAnsi="Times New Roman" w:eastAsia="Times New Roman" w:cs="Times New Roman"/>
                <w:spacing w:val="5"/>
                <w:sz w:val="20"/>
                <w:szCs w:val="20"/>
              </w:rPr>
              <w:t>/a</w:t>
            </w:r>
            <w:r>
              <w:rPr>
                <w:spacing w:val="5"/>
                <w:sz w:val="20"/>
                <w:szCs w:val="20"/>
              </w:rPr>
              <w:t>）</w:t>
            </w:r>
          </w:p>
        </w:tc>
        <w:tc>
          <w:tcPr>
            <w:tcW w:w="1830" w:type="dxa"/>
            <w:vAlign w:val="top"/>
          </w:tcPr>
          <w:p w14:paraId="249D21AE">
            <w:pPr>
              <w:spacing w:before="115" w:line="195" w:lineRule="auto"/>
              <w:ind w:left="622"/>
              <w:rPr>
                <w:rFonts w:ascii="Times New Roman" w:hAnsi="Times New Roman" w:eastAsia="Times New Roman" w:cs="Times New Roman"/>
                <w:sz w:val="20"/>
                <w:szCs w:val="20"/>
              </w:rPr>
            </w:pPr>
            <w:r>
              <w:rPr>
                <w:rFonts w:ascii="Times New Roman" w:hAnsi="Times New Roman" w:eastAsia="Times New Roman" w:cs="Times New Roman"/>
                <w:sz w:val="20"/>
                <w:szCs w:val="20"/>
              </w:rPr>
              <w:t>185960</w:t>
            </w:r>
          </w:p>
        </w:tc>
        <w:tc>
          <w:tcPr>
            <w:tcW w:w="1644" w:type="dxa"/>
            <w:vAlign w:val="top"/>
          </w:tcPr>
          <w:p w14:paraId="0DCC045F">
            <w:pPr>
              <w:spacing w:before="115" w:line="195" w:lineRule="auto"/>
              <w:ind w:left="529"/>
              <w:rPr>
                <w:rFonts w:ascii="Times New Roman" w:hAnsi="Times New Roman" w:eastAsia="Times New Roman" w:cs="Times New Roman"/>
                <w:sz w:val="20"/>
                <w:szCs w:val="20"/>
              </w:rPr>
            </w:pPr>
            <w:r>
              <w:rPr>
                <w:rFonts w:ascii="Times New Roman" w:hAnsi="Times New Roman" w:eastAsia="Times New Roman" w:cs="Times New Roman"/>
                <w:sz w:val="20"/>
                <w:szCs w:val="20"/>
              </w:rPr>
              <w:t>174400</w:t>
            </w:r>
          </w:p>
        </w:tc>
        <w:tc>
          <w:tcPr>
            <w:tcW w:w="1668" w:type="dxa"/>
            <w:tcBorders>
              <w:right w:val="nil"/>
            </w:tcBorders>
            <w:vAlign w:val="top"/>
          </w:tcPr>
          <w:p w14:paraId="3CA1FB77">
            <w:pPr>
              <w:spacing w:before="115" w:line="195" w:lineRule="auto"/>
              <w:ind w:left="594"/>
              <w:rPr>
                <w:rFonts w:ascii="Times New Roman" w:hAnsi="Times New Roman" w:eastAsia="Times New Roman" w:cs="Times New Roman"/>
                <w:sz w:val="20"/>
                <w:szCs w:val="20"/>
              </w:rPr>
            </w:pPr>
            <w:r>
              <w:rPr>
                <w:rFonts w:ascii="Times New Roman" w:hAnsi="Times New Roman" w:eastAsia="Times New Roman" w:cs="Times New Roman"/>
                <w:sz w:val="20"/>
                <w:szCs w:val="20"/>
              </w:rPr>
              <w:t>11560</w:t>
            </w:r>
          </w:p>
        </w:tc>
      </w:tr>
      <w:tr w14:paraId="0D7449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848" w:type="dxa"/>
            <w:vMerge w:val="continue"/>
            <w:tcBorders>
              <w:top w:val="nil"/>
              <w:left w:val="nil"/>
              <w:bottom w:val="nil"/>
            </w:tcBorders>
            <w:vAlign w:val="top"/>
          </w:tcPr>
          <w:p w14:paraId="4A736E89">
            <w:pPr>
              <w:rPr>
                <w:rFonts w:ascii="Arial"/>
                <w:sz w:val="21"/>
              </w:rPr>
            </w:pPr>
          </w:p>
        </w:tc>
        <w:tc>
          <w:tcPr>
            <w:tcW w:w="3107" w:type="dxa"/>
            <w:vAlign w:val="top"/>
          </w:tcPr>
          <w:p w14:paraId="4BA55CFB">
            <w:pPr>
              <w:spacing w:before="118" w:line="202" w:lineRule="auto"/>
              <w:ind w:left="1283"/>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COD</w:t>
            </w:r>
            <w:r>
              <w:rPr>
                <w:rFonts w:ascii="Times New Roman" w:hAnsi="Times New Roman" w:eastAsia="Times New Roman" w:cs="Times New Roman"/>
                <w:spacing w:val="3"/>
                <w:position w:val="-1"/>
                <w:sz w:val="13"/>
                <w:szCs w:val="13"/>
              </w:rPr>
              <w:t>cr</w:t>
            </w:r>
          </w:p>
        </w:tc>
        <w:tc>
          <w:tcPr>
            <w:tcW w:w="1830" w:type="dxa"/>
            <w:vAlign w:val="top"/>
          </w:tcPr>
          <w:p w14:paraId="2B923870">
            <w:pPr>
              <w:spacing w:before="117" w:line="195" w:lineRule="auto"/>
              <w:ind w:left="7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4.58</w:t>
            </w:r>
          </w:p>
        </w:tc>
        <w:tc>
          <w:tcPr>
            <w:tcW w:w="1644" w:type="dxa"/>
            <w:vAlign w:val="top"/>
          </w:tcPr>
          <w:p w14:paraId="25CA7310">
            <w:pPr>
              <w:spacing w:before="117" w:line="195" w:lineRule="auto"/>
              <w:ind w:left="58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4.306</w:t>
            </w:r>
          </w:p>
        </w:tc>
        <w:tc>
          <w:tcPr>
            <w:tcW w:w="1668" w:type="dxa"/>
            <w:tcBorders>
              <w:right w:val="nil"/>
            </w:tcBorders>
            <w:vAlign w:val="top"/>
          </w:tcPr>
          <w:p w14:paraId="72040ABC">
            <w:pPr>
              <w:spacing w:before="117" w:line="195" w:lineRule="auto"/>
              <w:ind w:left="60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0.274</w:t>
            </w:r>
          </w:p>
        </w:tc>
      </w:tr>
      <w:tr w14:paraId="29EA3B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848" w:type="dxa"/>
            <w:vMerge w:val="continue"/>
            <w:tcBorders>
              <w:top w:val="nil"/>
              <w:left w:val="nil"/>
            </w:tcBorders>
            <w:vAlign w:val="top"/>
          </w:tcPr>
          <w:p w14:paraId="35F6215F">
            <w:pPr>
              <w:rPr>
                <w:rFonts w:ascii="Arial"/>
                <w:sz w:val="21"/>
              </w:rPr>
            </w:pPr>
          </w:p>
        </w:tc>
        <w:tc>
          <w:tcPr>
            <w:tcW w:w="3107" w:type="dxa"/>
            <w:vAlign w:val="top"/>
          </w:tcPr>
          <w:p w14:paraId="0DBD2A38">
            <w:pPr>
              <w:spacing w:before="123" w:line="208" w:lineRule="auto"/>
              <w:ind w:left="1251"/>
              <w:rPr>
                <w:rFonts w:ascii="Times New Roman" w:hAnsi="Times New Roman" w:eastAsia="Times New Roman" w:cs="Times New Roman"/>
                <w:sz w:val="20"/>
                <w:szCs w:val="20"/>
              </w:rPr>
            </w:pPr>
            <w:r>
              <w:rPr>
                <w:rFonts w:ascii="Times New Roman" w:hAnsi="Times New Roman" w:eastAsia="Times New Roman" w:cs="Times New Roman"/>
                <w:sz w:val="20"/>
                <w:szCs w:val="20"/>
              </w:rPr>
              <w:t>NH</w:t>
            </w:r>
            <w:r>
              <w:rPr>
                <w:rFonts w:ascii="Times New Roman" w:hAnsi="Times New Roman" w:eastAsia="Times New Roman" w:cs="Times New Roman"/>
                <w:spacing w:val="9"/>
                <w:sz w:val="13"/>
                <w:szCs w:val="13"/>
              </w:rPr>
              <w:t>3</w:t>
            </w:r>
            <w:r>
              <w:rPr>
                <w:rFonts w:ascii="Times New Roman" w:hAnsi="Times New Roman" w:eastAsia="Times New Roman" w:cs="Times New Roman"/>
                <w:spacing w:val="9"/>
                <w:sz w:val="20"/>
                <w:szCs w:val="20"/>
              </w:rPr>
              <w:t>-N</w:t>
            </w:r>
          </w:p>
        </w:tc>
        <w:tc>
          <w:tcPr>
            <w:tcW w:w="1830" w:type="dxa"/>
            <w:vAlign w:val="top"/>
          </w:tcPr>
          <w:p w14:paraId="0DF23018">
            <w:pPr>
              <w:spacing w:before="120" w:line="195" w:lineRule="auto"/>
              <w:ind w:left="7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0.39</w:t>
            </w:r>
          </w:p>
        </w:tc>
        <w:tc>
          <w:tcPr>
            <w:tcW w:w="1644" w:type="dxa"/>
            <w:vAlign w:val="top"/>
          </w:tcPr>
          <w:p w14:paraId="6FE84BFB">
            <w:pPr>
              <w:spacing w:before="120" w:line="195" w:lineRule="auto"/>
              <w:ind w:left="5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0.296</w:t>
            </w:r>
          </w:p>
        </w:tc>
        <w:tc>
          <w:tcPr>
            <w:tcW w:w="1668" w:type="dxa"/>
            <w:tcBorders>
              <w:right w:val="nil"/>
            </w:tcBorders>
            <w:vAlign w:val="top"/>
          </w:tcPr>
          <w:p w14:paraId="204FDD4F">
            <w:pPr>
              <w:spacing w:before="120" w:line="195" w:lineRule="auto"/>
              <w:ind w:left="60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0.094</w:t>
            </w:r>
          </w:p>
        </w:tc>
      </w:tr>
      <w:tr w14:paraId="6B04BA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848" w:type="dxa"/>
            <w:vMerge w:val="restart"/>
            <w:tcBorders>
              <w:left w:val="nil"/>
              <w:bottom w:val="nil"/>
            </w:tcBorders>
            <w:vAlign w:val="top"/>
          </w:tcPr>
          <w:p w14:paraId="37C56D3E">
            <w:pPr>
              <w:spacing w:line="359" w:lineRule="auto"/>
              <w:rPr>
                <w:rFonts w:ascii="Arial"/>
                <w:sz w:val="21"/>
              </w:rPr>
            </w:pPr>
          </w:p>
          <w:p w14:paraId="5E1FF59F">
            <w:pPr>
              <w:pStyle w:val="6"/>
              <w:spacing w:before="65" w:line="228" w:lineRule="auto"/>
              <w:ind w:left="239"/>
              <w:rPr>
                <w:sz w:val="20"/>
                <w:szCs w:val="20"/>
              </w:rPr>
            </w:pPr>
            <w:r>
              <w:rPr>
                <w:spacing w:val="-5"/>
                <w:sz w:val="20"/>
                <w:szCs w:val="20"/>
              </w:rPr>
              <w:t>固废</w:t>
            </w:r>
          </w:p>
        </w:tc>
        <w:tc>
          <w:tcPr>
            <w:tcW w:w="3107" w:type="dxa"/>
            <w:vAlign w:val="top"/>
          </w:tcPr>
          <w:p w14:paraId="74F5B5AB">
            <w:pPr>
              <w:pStyle w:val="6"/>
              <w:spacing w:before="85" w:line="219" w:lineRule="auto"/>
              <w:ind w:left="1140"/>
              <w:rPr>
                <w:sz w:val="20"/>
                <w:szCs w:val="20"/>
              </w:rPr>
            </w:pPr>
            <w:r>
              <w:rPr>
                <w:spacing w:val="6"/>
                <w:sz w:val="20"/>
                <w:szCs w:val="20"/>
              </w:rPr>
              <w:t>一般固废</w:t>
            </w:r>
          </w:p>
        </w:tc>
        <w:tc>
          <w:tcPr>
            <w:tcW w:w="1830" w:type="dxa"/>
            <w:vAlign w:val="top"/>
          </w:tcPr>
          <w:p w14:paraId="5A65E351">
            <w:pPr>
              <w:spacing w:before="121" w:line="195" w:lineRule="auto"/>
              <w:ind w:left="52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287043.4</w:t>
            </w:r>
          </w:p>
        </w:tc>
        <w:tc>
          <w:tcPr>
            <w:tcW w:w="1644" w:type="dxa"/>
            <w:vAlign w:val="top"/>
          </w:tcPr>
          <w:p w14:paraId="0E4AA95D">
            <w:pPr>
              <w:spacing w:before="121" w:line="195" w:lineRule="auto"/>
              <w:ind w:left="43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287043.4</w:t>
            </w:r>
          </w:p>
        </w:tc>
        <w:tc>
          <w:tcPr>
            <w:tcW w:w="1668" w:type="dxa"/>
            <w:tcBorders>
              <w:right w:val="nil"/>
            </w:tcBorders>
            <w:vAlign w:val="top"/>
          </w:tcPr>
          <w:p w14:paraId="3DC4438E">
            <w:pPr>
              <w:spacing w:before="121" w:line="195" w:lineRule="auto"/>
              <w:ind w:left="786"/>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r>
      <w:tr w14:paraId="419636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848" w:type="dxa"/>
            <w:vMerge w:val="continue"/>
            <w:tcBorders>
              <w:top w:val="nil"/>
              <w:left w:val="nil"/>
              <w:bottom w:val="nil"/>
            </w:tcBorders>
            <w:vAlign w:val="top"/>
          </w:tcPr>
          <w:p w14:paraId="611CECE8">
            <w:pPr>
              <w:rPr>
                <w:rFonts w:ascii="Arial"/>
                <w:sz w:val="21"/>
              </w:rPr>
            </w:pPr>
          </w:p>
        </w:tc>
        <w:tc>
          <w:tcPr>
            <w:tcW w:w="3107" w:type="dxa"/>
            <w:vAlign w:val="top"/>
          </w:tcPr>
          <w:p w14:paraId="44BDBFD6">
            <w:pPr>
              <w:pStyle w:val="6"/>
              <w:spacing w:before="87" w:line="217" w:lineRule="auto"/>
              <w:ind w:left="1140"/>
              <w:rPr>
                <w:sz w:val="20"/>
                <w:szCs w:val="20"/>
              </w:rPr>
            </w:pPr>
            <w:r>
              <w:rPr>
                <w:spacing w:val="6"/>
                <w:sz w:val="20"/>
                <w:szCs w:val="20"/>
              </w:rPr>
              <w:t>危险固废</w:t>
            </w:r>
          </w:p>
        </w:tc>
        <w:tc>
          <w:tcPr>
            <w:tcW w:w="1830" w:type="dxa"/>
            <w:vAlign w:val="top"/>
          </w:tcPr>
          <w:p w14:paraId="4E662A2B">
            <w:pPr>
              <w:spacing w:before="123" w:line="195" w:lineRule="auto"/>
              <w:ind w:left="64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114.</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1644" w:type="dxa"/>
            <w:vAlign w:val="top"/>
          </w:tcPr>
          <w:p w14:paraId="47126EEE">
            <w:pPr>
              <w:spacing w:before="123" w:line="195" w:lineRule="auto"/>
              <w:ind w:left="55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114.</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1668" w:type="dxa"/>
            <w:tcBorders>
              <w:right w:val="nil"/>
            </w:tcBorders>
            <w:vAlign w:val="top"/>
          </w:tcPr>
          <w:p w14:paraId="5F8F6962">
            <w:pPr>
              <w:spacing w:before="123" w:line="195" w:lineRule="auto"/>
              <w:ind w:left="786"/>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r>
      <w:tr w14:paraId="34B90F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7" w:hRule="atLeast"/>
        </w:trPr>
        <w:tc>
          <w:tcPr>
            <w:tcW w:w="848" w:type="dxa"/>
            <w:vMerge w:val="continue"/>
            <w:tcBorders>
              <w:top w:val="nil"/>
              <w:left w:val="nil"/>
              <w:bottom w:val="single" w:color="000000" w:sz="10" w:space="0"/>
            </w:tcBorders>
            <w:vAlign w:val="top"/>
          </w:tcPr>
          <w:p w14:paraId="452CA6F9">
            <w:pPr>
              <w:rPr>
                <w:rFonts w:ascii="Arial"/>
                <w:sz w:val="21"/>
              </w:rPr>
            </w:pPr>
          </w:p>
        </w:tc>
        <w:tc>
          <w:tcPr>
            <w:tcW w:w="3107" w:type="dxa"/>
            <w:tcBorders>
              <w:bottom w:val="single" w:color="000000" w:sz="10" w:space="0"/>
            </w:tcBorders>
            <w:vAlign w:val="top"/>
          </w:tcPr>
          <w:p w14:paraId="0706D2EE">
            <w:pPr>
              <w:pStyle w:val="6"/>
              <w:spacing w:before="91" w:line="228" w:lineRule="auto"/>
              <w:ind w:left="1139"/>
              <w:rPr>
                <w:sz w:val="20"/>
                <w:szCs w:val="20"/>
              </w:rPr>
            </w:pPr>
            <w:r>
              <w:rPr>
                <w:spacing w:val="6"/>
                <w:sz w:val="20"/>
                <w:szCs w:val="20"/>
              </w:rPr>
              <w:t>生活垃圾</w:t>
            </w:r>
          </w:p>
        </w:tc>
        <w:tc>
          <w:tcPr>
            <w:tcW w:w="1830" w:type="dxa"/>
            <w:tcBorders>
              <w:bottom w:val="single" w:color="000000" w:sz="10" w:space="0"/>
            </w:tcBorders>
            <w:vAlign w:val="top"/>
          </w:tcPr>
          <w:p w14:paraId="75C13843">
            <w:pPr>
              <w:spacing w:before="126" w:line="195" w:lineRule="auto"/>
              <w:ind w:left="648"/>
              <w:rPr>
                <w:rFonts w:ascii="Times New Roman" w:hAnsi="Times New Roman" w:eastAsia="Times New Roman" w:cs="Times New Roman"/>
                <w:sz w:val="20"/>
                <w:szCs w:val="20"/>
              </w:rPr>
            </w:pPr>
            <w:r>
              <w:rPr>
                <w:rFonts w:ascii="Times New Roman" w:hAnsi="Times New Roman" w:eastAsia="Times New Roman" w:cs="Times New Roman"/>
                <w:sz w:val="20"/>
                <w:szCs w:val="20"/>
              </w:rPr>
              <w:t>116.55</w:t>
            </w:r>
          </w:p>
        </w:tc>
        <w:tc>
          <w:tcPr>
            <w:tcW w:w="1644" w:type="dxa"/>
            <w:tcBorders>
              <w:bottom w:val="single" w:color="000000" w:sz="10" w:space="0"/>
            </w:tcBorders>
            <w:vAlign w:val="top"/>
          </w:tcPr>
          <w:p w14:paraId="1817931C">
            <w:pPr>
              <w:spacing w:before="126" w:line="195" w:lineRule="auto"/>
              <w:ind w:left="774"/>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668" w:type="dxa"/>
            <w:tcBorders>
              <w:bottom w:val="single" w:color="000000" w:sz="10" w:space="0"/>
              <w:right w:val="nil"/>
            </w:tcBorders>
            <w:vAlign w:val="top"/>
          </w:tcPr>
          <w:p w14:paraId="3DC3ECA4">
            <w:pPr>
              <w:spacing w:before="126" w:line="195" w:lineRule="auto"/>
              <w:ind w:left="565"/>
              <w:rPr>
                <w:rFonts w:ascii="Times New Roman" w:hAnsi="Times New Roman" w:eastAsia="Times New Roman" w:cs="Times New Roman"/>
                <w:sz w:val="20"/>
                <w:szCs w:val="20"/>
              </w:rPr>
            </w:pPr>
            <w:r>
              <w:rPr>
                <w:rFonts w:ascii="Times New Roman" w:hAnsi="Times New Roman" w:eastAsia="Times New Roman" w:cs="Times New Roman"/>
                <w:sz w:val="20"/>
                <w:szCs w:val="20"/>
              </w:rPr>
              <w:t>116.55</w:t>
            </w:r>
          </w:p>
        </w:tc>
      </w:tr>
    </w:tbl>
    <w:p w14:paraId="47273E8A">
      <w:pPr>
        <w:spacing w:before="48" w:line="228" w:lineRule="auto"/>
        <w:ind w:left="19"/>
        <w:outlineLvl w:val="1"/>
        <w:rPr>
          <w:rFonts w:ascii="黑体" w:hAnsi="黑体" w:eastAsia="黑体" w:cs="黑体"/>
          <w:sz w:val="31"/>
          <w:szCs w:val="31"/>
        </w:rPr>
      </w:pPr>
      <w:bookmarkStart w:id="329" w:name="bookmark126"/>
      <w:bookmarkEnd w:id="329"/>
      <w:r>
        <w:rPr>
          <w:rFonts w:ascii="Times New Roman" w:hAnsi="Times New Roman" w:eastAsia="Times New Roman" w:cs="Times New Roman"/>
          <w:b/>
          <w:bCs/>
          <w:spacing w:val="5"/>
          <w:sz w:val="31"/>
          <w:szCs w:val="31"/>
        </w:rPr>
        <w:t xml:space="preserve">2.4 </w:t>
      </w:r>
      <w:r>
        <w:rPr>
          <w:rFonts w:ascii="黑体" w:hAnsi="黑体" w:eastAsia="黑体" w:cs="黑体"/>
          <w:b/>
          <w:bCs/>
          <w:spacing w:val="5"/>
          <w:sz w:val="31"/>
          <w:szCs w:val="31"/>
        </w:rPr>
        <w:t>总量控制分析</w:t>
      </w:r>
    </w:p>
    <w:p w14:paraId="5E08F7BA">
      <w:pPr>
        <w:spacing w:before="227" w:line="353" w:lineRule="auto"/>
        <w:ind w:left="19" w:right="11" w:firstLine="482"/>
        <w:jc w:val="both"/>
        <w:rPr>
          <w:rFonts w:ascii="宋体" w:hAnsi="宋体" w:eastAsia="宋体" w:cs="宋体"/>
          <w:sz w:val="24"/>
          <w:szCs w:val="24"/>
        </w:rPr>
      </w:pPr>
      <w:r>
        <w:rPr>
          <w:rFonts w:ascii="宋体" w:hAnsi="宋体" w:eastAsia="宋体" w:cs="宋体"/>
          <w:spacing w:val="-2"/>
          <w:sz w:val="24"/>
          <w:szCs w:val="24"/>
        </w:rPr>
        <w:t>本项目建成，项目生产废水全部综合利用，生活污水、化验室废水经一体化污水处</w:t>
      </w:r>
      <w:r>
        <w:rPr>
          <w:rFonts w:ascii="宋体" w:hAnsi="宋体" w:eastAsia="宋体" w:cs="宋体"/>
          <w:spacing w:val="15"/>
          <w:sz w:val="24"/>
          <w:szCs w:val="24"/>
        </w:rPr>
        <w:t xml:space="preserve"> </w:t>
      </w:r>
      <w:r>
        <w:rPr>
          <w:rFonts w:ascii="宋体" w:hAnsi="宋体" w:eastAsia="宋体" w:cs="宋体"/>
          <w:sz w:val="24"/>
          <w:szCs w:val="24"/>
        </w:rPr>
        <w:t>理设施处理后由罐车运至苏尼特右旗赛汉塔拉</w:t>
      </w:r>
      <w:r>
        <w:rPr>
          <w:rFonts w:ascii="宋体" w:hAnsi="宋体" w:eastAsia="宋体" w:cs="宋体"/>
          <w:spacing w:val="-1"/>
          <w:sz w:val="24"/>
          <w:szCs w:val="24"/>
        </w:rPr>
        <w:t>镇污水处理厂进一步处理，</w:t>
      </w:r>
      <w:r>
        <w:rPr>
          <w:rFonts w:ascii="Times New Roman" w:hAnsi="Times New Roman" w:eastAsia="Times New Roman" w:cs="Times New Roman"/>
          <w:spacing w:val="-1"/>
          <w:sz w:val="24"/>
          <w:szCs w:val="24"/>
        </w:rPr>
        <w:t>COD</w:t>
      </w:r>
      <w:r>
        <w:rPr>
          <w:rFonts w:ascii="Times New Roman" w:hAnsi="Times New Roman" w:eastAsia="Times New Roman" w:cs="Times New Roman"/>
          <w:spacing w:val="-1"/>
          <w:position w:val="-1"/>
          <w:sz w:val="15"/>
          <w:szCs w:val="15"/>
        </w:rPr>
        <w:t>Cr</w:t>
      </w:r>
      <w:r>
        <w:rPr>
          <w:rFonts w:ascii="Times New Roman" w:hAnsi="Times New Roman" w:eastAsia="Times New Roman" w:cs="Times New Roman"/>
          <w:spacing w:val="-11"/>
          <w:position w:val="-1"/>
          <w:sz w:val="15"/>
          <w:szCs w:val="15"/>
        </w:rPr>
        <w:t xml:space="preserve"> </w:t>
      </w:r>
      <w:r>
        <w:rPr>
          <w:rFonts w:ascii="宋体" w:hAnsi="宋体" w:eastAsia="宋体" w:cs="宋体"/>
          <w:spacing w:val="-1"/>
          <w:sz w:val="24"/>
          <w:szCs w:val="24"/>
        </w:rPr>
        <w:t>、氨氮</w:t>
      </w:r>
      <w:r>
        <w:rPr>
          <w:rFonts w:ascii="宋体" w:hAnsi="宋体" w:eastAsia="宋体" w:cs="宋体"/>
          <w:sz w:val="24"/>
          <w:szCs w:val="24"/>
        </w:rPr>
        <w:t xml:space="preserve"> </w:t>
      </w:r>
      <w:r>
        <w:rPr>
          <w:rFonts w:ascii="宋体" w:hAnsi="宋体" w:eastAsia="宋体" w:cs="宋体"/>
          <w:spacing w:val="-1"/>
          <w:sz w:val="24"/>
          <w:szCs w:val="24"/>
        </w:rPr>
        <w:t>排放量分别为</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0.274t/a</w:t>
      </w:r>
      <w:r>
        <w:rPr>
          <w:rFonts w:ascii="Times New Roman" w:hAnsi="Times New Roman" w:eastAsia="Times New Roman" w:cs="Times New Roman"/>
          <w:spacing w:val="-35"/>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0.094t/a</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，总量已包含在污水处理厂总量</w:t>
      </w:r>
      <w:r>
        <w:rPr>
          <w:rFonts w:ascii="宋体" w:hAnsi="宋体" w:eastAsia="宋体" w:cs="宋体"/>
          <w:spacing w:val="-2"/>
          <w:sz w:val="24"/>
          <w:szCs w:val="24"/>
        </w:rPr>
        <w:t>指标中，不需要进行申</w:t>
      </w:r>
      <w:r>
        <w:rPr>
          <w:rFonts w:ascii="宋体" w:hAnsi="宋体" w:eastAsia="宋体" w:cs="宋体"/>
          <w:sz w:val="24"/>
          <w:szCs w:val="24"/>
        </w:rPr>
        <w:t xml:space="preserve"> </w:t>
      </w:r>
      <w:r>
        <w:rPr>
          <w:rFonts w:ascii="宋体" w:hAnsi="宋体" w:eastAsia="宋体" w:cs="宋体"/>
          <w:spacing w:val="-4"/>
          <w:sz w:val="24"/>
          <w:szCs w:val="24"/>
        </w:rPr>
        <w:t>请。</w:t>
      </w:r>
    </w:p>
    <w:p w14:paraId="48459D2D">
      <w:pPr>
        <w:spacing w:before="30" w:line="355" w:lineRule="auto"/>
        <w:ind w:left="20" w:right="11" w:firstLine="483"/>
        <w:jc w:val="both"/>
        <w:rPr>
          <w:rFonts w:ascii="宋体" w:hAnsi="宋体" w:eastAsia="宋体" w:cs="宋体"/>
          <w:sz w:val="24"/>
          <w:szCs w:val="24"/>
        </w:rPr>
      </w:pPr>
      <w:r>
        <w:rPr>
          <w:rFonts w:ascii="宋体" w:hAnsi="宋体" w:eastAsia="宋体" w:cs="宋体"/>
          <w:sz w:val="24"/>
          <w:szCs w:val="24"/>
        </w:rPr>
        <w:t>根据</w:t>
      </w:r>
      <w:bookmarkStart w:id="513" w:name="_GoBack"/>
      <w:bookmarkEnd w:id="513"/>
      <w:r>
        <w:rPr>
          <w:rFonts w:ascii="宋体" w:hAnsi="宋体" w:eastAsia="宋体" w:cs="宋体"/>
          <w:sz w:val="24"/>
          <w:szCs w:val="24"/>
        </w:rPr>
        <w:t>生态环境部《关于进一步加强重金属污染防控的意见》</w:t>
      </w:r>
      <w:r>
        <w:rPr>
          <w:rFonts w:ascii="宋体" w:hAnsi="宋体" w:eastAsia="宋体" w:cs="宋体"/>
          <w:spacing w:val="-1"/>
          <w:sz w:val="24"/>
          <w:szCs w:val="24"/>
        </w:rPr>
        <w:t>（环固体</w:t>
      </w:r>
      <w:r>
        <w:rPr>
          <w:rFonts w:ascii="Times New Roman" w:hAnsi="Times New Roman" w:eastAsia="Times New Roman" w:cs="Times New Roman"/>
          <w:spacing w:val="-1"/>
          <w:sz w:val="24"/>
          <w:szCs w:val="24"/>
        </w:rPr>
        <w:t>[2022]17</w:t>
      </w:r>
      <w:r>
        <w:rPr>
          <w:rFonts w:ascii="Times New Roman" w:hAnsi="Times New Roman" w:eastAsia="Times New Roman" w:cs="Times New Roman"/>
          <w:sz w:val="24"/>
          <w:szCs w:val="24"/>
        </w:rPr>
        <w:t xml:space="preserve"> </w:t>
      </w:r>
      <w:r>
        <w:rPr>
          <w:rFonts w:ascii="宋体" w:hAnsi="宋体" w:eastAsia="宋体" w:cs="宋体"/>
          <w:sz w:val="24"/>
          <w:szCs w:val="24"/>
        </w:rPr>
        <w:t>号）、内蒙古自治区生态环境厅《关于印发</w:t>
      </w:r>
      <w:r>
        <w:rPr>
          <w:rFonts w:ascii="Times New Roman" w:hAnsi="Times New Roman" w:eastAsia="Times New Roman" w:cs="Times New Roman"/>
          <w:sz w:val="24"/>
          <w:szCs w:val="24"/>
        </w:rPr>
        <w:t>&lt;</w:t>
      </w:r>
      <w:r>
        <w:rPr>
          <w:rFonts w:ascii="Times New Roman" w:hAnsi="Times New Roman" w:eastAsia="Times New Roman" w:cs="Times New Roman"/>
          <w:spacing w:val="-11"/>
          <w:sz w:val="24"/>
          <w:szCs w:val="24"/>
        </w:rPr>
        <w:t xml:space="preserve"> </w:t>
      </w:r>
      <w:r>
        <w:rPr>
          <w:rFonts w:ascii="宋体" w:hAnsi="宋体" w:eastAsia="宋体" w:cs="宋体"/>
          <w:sz w:val="24"/>
          <w:szCs w:val="24"/>
        </w:rPr>
        <w:t>内蒙古自治区进一步加强重金属污染防控 工作方案</w:t>
      </w:r>
      <w:r>
        <w:rPr>
          <w:rFonts w:ascii="Times New Roman" w:hAnsi="Times New Roman" w:eastAsia="Times New Roman" w:cs="Times New Roman"/>
          <w:sz w:val="24"/>
          <w:szCs w:val="24"/>
        </w:rPr>
        <w:t>&gt;</w:t>
      </w:r>
      <w:r>
        <w:rPr>
          <w:rFonts w:ascii="Times New Roman" w:hAnsi="Times New Roman" w:eastAsia="Times New Roman" w:cs="Times New Roman"/>
          <w:spacing w:val="-11"/>
          <w:sz w:val="24"/>
          <w:szCs w:val="24"/>
        </w:rPr>
        <w:t xml:space="preserve"> </w:t>
      </w:r>
      <w:r>
        <w:rPr>
          <w:rFonts w:ascii="宋体" w:hAnsi="宋体" w:eastAsia="宋体" w:cs="宋体"/>
          <w:sz w:val="24"/>
          <w:szCs w:val="24"/>
        </w:rPr>
        <w:t xml:space="preserve">的通知》要求，对铅、汞、镉、铬和砷五种重点重金属污染物排放量实施总 </w:t>
      </w:r>
      <w:r>
        <w:rPr>
          <w:rFonts w:ascii="宋体" w:hAnsi="宋体" w:eastAsia="宋体" w:cs="宋体"/>
          <w:spacing w:val="-1"/>
          <w:sz w:val="24"/>
          <w:szCs w:val="24"/>
        </w:rPr>
        <w:t>量控制，本项目不属于重点行业（包括重有色</w:t>
      </w:r>
      <w:r>
        <w:rPr>
          <w:rFonts w:ascii="宋体" w:hAnsi="宋体" w:eastAsia="宋体" w:cs="宋体"/>
          <w:spacing w:val="-2"/>
          <w:sz w:val="24"/>
          <w:szCs w:val="24"/>
        </w:rPr>
        <w:t>金属矿采选业（铜、铅锌、镍钴、锡、锑</w:t>
      </w:r>
      <w:r>
        <w:rPr>
          <w:rFonts w:ascii="宋体" w:hAnsi="宋体" w:eastAsia="宋体" w:cs="宋体"/>
          <w:sz w:val="24"/>
          <w:szCs w:val="24"/>
        </w:rPr>
        <w:t xml:space="preserve"> </w:t>
      </w:r>
      <w:r>
        <w:rPr>
          <w:rFonts w:ascii="宋体" w:hAnsi="宋体" w:eastAsia="宋体" w:cs="宋体"/>
          <w:spacing w:val="-2"/>
          <w:sz w:val="24"/>
          <w:szCs w:val="24"/>
        </w:rPr>
        <w:t>和汞矿采选</w:t>
      </w:r>
      <w:r>
        <w:rPr>
          <w:rFonts w:ascii="宋体" w:hAnsi="宋体" w:eastAsia="宋体" w:cs="宋体"/>
          <w:spacing w:val="3"/>
          <w:sz w:val="24"/>
          <w:szCs w:val="24"/>
        </w:rPr>
        <w:t>），</w:t>
      </w:r>
      <w:r>
        <w:rPr>
          <w:rFonts w:ascii="宋体" w:hAnsi="宋体" w:eastAsia="宋体" w:cs="宋体"/>
          <w:spacing w:val="-2"/>
          <w:sz w:val="24"/>
          <w:szCs w:val="24"/>
        </w:rPr>
        <w:t>不属于有色金属冶炼业（铜、铅锌、镍钴、锡、锑和汞冶炼</w:t>
      </w:r>
      <w:r>
        <w:rPr>
          <w:rFonts w:ascii="宋体" w:hAnsi="宋体" w:eastAsia="宋体" w:cs="宋体"/>
          <w:spacing w:val="3"/>
          <w:sz w:val="24"/>
          <w:szCs w:val="24"/>
        </w:rPr>
        <w:t>），</w:t>
      </w:r>
      <w:r>
        <w:rPr>
          <w:rFonts w:ascii="宋体" w:hAnsi="宋体" w:eastAsia="宋体" w:cs="宋体"/>
          <w:spacing w:val="-2"/>
          <w:sz w:val="24"/>
          <w:szCs w:val="24"/>
        </w:rPr>
        <w:t>铅蓄电</w:t>
      </w:r>
      <w:r>
        <w:rPr>
          <w:rFonts w:ascii="宋体" w:hAnsi="宋体" w:eastAsia="宋体" w:cs="宋体"/>
          <w:sz w:val="24"/>
          <w:szCs w:val="24"/>
        </w:rPr>
        <w:t xml:space="preserve"> </w:t>
      </w:r>
      <w:r>
        <w:rPr>
          <w:rFonts w:ascii="宋体" w:hAnsi="宋体" w:eastAsia="宋体" w:cs="宋体"/>
          <w:spacing w:val="-1"/>
          <w:sz w:val="24"/>
          <w:szCs w:val="24"/>
        </w:rPr>
        <w:t>池制造业，电镀行业，化学原料及化学制品制</w:t>
      </w:r>
      <w:r>
        <w:rPr>
          <w:rFonts w:ascii="宋体" w:hAnsi="宋体" w:eastAsia="宋体" w:cs="宋体"/>
          <w:spacing w:val="-2"/>
          <w:sz w:val="24"/>
          <w:szCs w:val="24"/>
        </w:rPr>
        <w:t>造业（电石法（聚）氯乙烯制造、铬盐制</w:t>
      </w:r>
      <w:r>
        <w:rPr>
          <w:rFonts w:ascii="宋体" w:hAnsi="宋体" w:eastAsia="宋体" w:cs="宋体"/>
          <w:sz w:val="24"/>
          <w:szCs w:val="24"/>
        </w:rPr>
        <w:t xml:space="preserve"> </w:t>
      </w:r>
      <w:r>
        <w:rPr>
          <w:rFonts w:ascii="宋体" w:hAnsi="宋体" w:eastAsia="宋体" w:cs="宋体"/>
          <w:spacing w:val="-2"/>
          <w:sz w:val="24"/>
          <w:szCs w:val="24"/>
        </w:rPr>
        <w:t>造、以工业固体废物为原料的锌无机化合物工业</w:t>
      </w:r>
      <w:r>
        <w:rPr>
          <w:rFonts w:ascii="宋体" w:hAnsi="宋体" w:eastAsia="宋体" w:cs="宋体"/>
          <w:spacing w:val="4"/>
          <w:sz w:val="24"/>
          <w:szCs w:val="24"/>
        </w:rPr>
        <w:t>），</w:t>
      </w:r>
      <w:r>
        <w:rPr>
          <w:rFonts w:ascii="宋体" w:hAnsi="宋体" w:eastAsia="宋体" w:cs="宋体"/>
          <w:spacing w:val="-2"/>
          <w:sz w:val="24"/>
          <w:szCs w:val="24"/>
        </w:rPr>
        <w:t>皮革鞣制加工业等</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 xml:space="preserve">6 </w:t>
      </w:r>
      <w:r>
        <w:rPr>
          <w:rFonts w:ascii="宋体" w:hAnsi="宋体" w:eastAsia="宋体" w:cs="宋体"/>
          <w:spacing w:val="-2"/>
          <w:sz w:val="24"/>
          <w:szCs w:val="24"/>
        </w:rPr>
        <w:t>个行业）、重</w:t>
      </w:r>
    </w:p>
    <w:p w14:paraId="4A93BEA2">
      <w:pPr>
        <w:spacing w:line="355" w:lineRule="auto"/>
        <w:rPr>
          <w:rFonts w:ascii="宋体" w:hAnsi="宋体" w:eastAsia="宋体" w:cs="宋体"/>
          <w:sz w:val="24"/>
          <w:szCs w:val="24"/>
        </w:rPr>
        <w:sectPr>
          <w:headerReference r:id="rId194" w:type="default"/>
          <w:footerReference r:id="rId195" w:type="default"/>
          <w:pgSz w:w="11907" w:h="16840"/>
          <w:pgMar w:top="1587" w:right="1405" w:bottom="1297" w:left="1403" w:header="1278" w:footer="1135" w:gutter="0"/>
          <w:cols w:space="720" w:num="1"/>
        </w:sectPr>
      </w:pPr>
    </w:p>
    <w:p w14:paraId="4DC45404">
      <w:pPr>
        <w:spacing w:before="65" w:line="345" w:lineRule="auto"/>
        <w:ind w:left="7" w:right="101" w:firstLine="13"/>
        <w:rPr>
          <w:rFonts w:ascii="宋体" w:hAnsi="宋体" w:eastAsia="宋体" w:cs="宋体"/>
          <w:sz w:val="24"/>
          <w:szCs w:val="24"/>
        </w:rPr>
      </w:pPr>
      <w:r>
        <w:pict>
          <v:shape id="_x0000_s1241" o:spid="_x0000_s1241" style="position:absolute;left:0pt;margin-left:70.85pt;margin-top:80.1pt;height:0.75pt;width:453.65pt;mso-position-horizontal-relative:page;mso-position-vertical-relative:page;z-index:25189990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spacing w:val="-2"/>
          <w:sz w:val="24"/>
          <w:szCs w:val="24"/>
        </w:rPr>
        <w:t>点区域，因此本项目无需申请重金属总量。本项目大气污染物排放总量指标为：二氧化</w:t>
      </w:r>
      <w:r>
        <w:rPr>
          <w:rFonts w:ascii="宋体" w:hAnsi="宋体" w:eastAsia="宋体" w:cs="宋体"/>
          <w:spacing w:val="5"/>
          <w:sz w:val="24"/>
          <w:szCs w:val="24"/>
        </w:rPr>
        <w:t xml:space="preserve"> </w:t>
      </w:r>
      <w:r>
        <w:rPr>
          <w:rFonts w:ascii="宋体" w:hAnsi="宋体" w:eastAsia="宋体" w:cs="宋体"/>
          <w:spacing w:val="-3"/>
          <w:sz w:val="24"/>
          <w:szCs w:val="24"/>
        </w:rPr>
        <w:t>硫</w:t>
      </w:r>
      <w:r>
        <w:rPr>
          <w:rFonts w:ascii="宋体" w:hAnsi="宋体" w:eastAsia="宋体" w:cs="宋体"/>
          <w:spacing w:val="-23"/>
          <w:sz w:val="24"/>
          <w:szCs w:val="24"/>
        </w:rPr>
        <w:t xml:space="preserve"> </w:t>
      </w:r>
      <w:r>
        <w:rPr>
          <w:rFonts w:ascii="Times New Roman" w:hAnsi="Times New Roman" w:eastAsia="Times New Roman" w:cs="Times New Roman"/>
          <w:spacing w:val="-3"/>
          <w:sz w:val="24"/>
          <w:szCs w:val="24"/>
        </w:rPr>
        <w:t>109.34t/a</w:t>
      </w:r>
      <w:r>
        <w:rPr>
          <w:rFonts w:ascii="Times New Roman" w:hAnsi="Times New Roman" w:eastAsia="Times New Roman" w:cs="Times New Roman"/>
          <w:spacing w:val="-35"/>
          <w:sz w:val="24"/>
          <w:szCs w:val="24"/>
        </w:rPr>
        <w:t xml:space="preserve"> </w:t>
      </w:r>
      <w:r>
        <w:rPr>
          <w:rFonts w:ascii="宋体" w:hAnsi="宋体" w:eastAsia="宋体" w:cs="宋体"/>
          <w:spacing w:val="-3"/>
          <w:sz w:val="24"/>
          <w:szCs w:val="24"/>
        </w:rPr>
        <w:t>、氮氧化物</w:t>
      </w:r>
      <w:r>
        <w:rPr>
          <w:rFonts w:ascii="宋体" w:hAnsi="宋体" w:eastAsia="宋体" w:cs="宋体"/>
          <w:spacing w:val="-56"/>
          <w:sz w:val="24"/>
          <w:szCs w:val="24"/>
        </w:rPr>
        <w:t xml:space="preserve"> </w:t>
      </w:r>
      <w:r>
        <w:rPr>
          <w:rFonts w:ascii="Times New Roman" w:hAnsi="Times New Roman" w:eastAsia="Times New Roman" w:cs="Times New Roman"/>
          <w:spacing w:val="-3"/>
          <w:sz w:val="24"/>
          <w:szCs w:val="24"/>
        </w:rPr>
        <w:t>477.80t/a</w:t>
      </w:r>
      <w:r>
        <w:rPr>
          <w:rFonts w:ascii="宋体" w:hAnsi="宋体" w:eastAsia="宋体" w:cs="宋体"/>
          <w:spacing w:val="-3"/>
          <w:sz w:val="24"/>
          <w:szCs w:val="24"/>
        </w:rPr>
        <w:t>。</w:t>
      </w:r>
    </w:p>
    <w:p w14:paraId="54FDB490">
      <w:pPr>
        <w:spacing w:before="49" w:line="226" w:lineRule="auto"/>
        <w:ind w:left="6"/>
        <w:outlineLvl w:val="1"/>
        <w:rPr>
          <w:rFonts w:ascii="黑体" w:hAnsi="黑体" w:eastAsia="黑体" w:cs="黑体"/>
          <w:sz w:val="31"/>
          <w:szCs w:val="31"/>
        </w:rPr>
      </w:pPr>
      <w:bookmarkStart w:id="330" w:name="bookmark128"/>
      <w:bookmarkEnd w:id="330"/>
      <w:r>
        <w:rPr>
          <w:rFonts w:ascii="Times New Roman" w:hAnsi="Times New Roman" w:eastAsia="Times New Roman" w:cs="Times New Roman"/>
          <w:b/>
          <w:bCs/>
          <w:spacing w:val="5"/>
          <w:sz w:val="31"/>
          <w:szCs w:val="31"/>
        </w:rPr>
        <w:t>2.5</w:t>
      </w:r>
      <w:r>
        <w:rPr>
          <w:rFonts w:ascii="Times New Roman" w:hAnsi="Times New Roman" w:eastAsia="Times New Roman" w:cs="Times New Roman"/>
          <w:b/>
          <w:bCs/>
          <w:spacing w:val="44"/>
          <w:sz w:val="31"/>
          <w:szCs w:val="31"/>
        </w:rPr>
        <w:t xml:space="preserve"> </w:t>
      </w:r>
      <w:r>
        <w:rPr>
          <w:rFonts w:ascii="黑体" w:hAnsi="黑体" w:eastAsia="黑体" w:cs="黑体"/>
          <w:b/>
          <w:bCs/>
          <w:spacing w:val="5"/>
          <w:sz w:val="31"/>
          <w:szCs w:val="31"/>
        </w:rPr>
        <w:t>与排污许可证申请与核发技术规范的衔接</w:t>
      </w:r>
    </w:p>
    <w:p w14:paraId="13C7D16F">
      <w:pPr>
        <w:spacing w:before="229" w:line="347" w:lineRule="auto"/>
        <w:ind w:left="14" w:right="99" w:firstLine="475"/>
        <w:rPr>
          <w:rFonts w:ascii="宋体" w:hAnsi="宋体" w:eastAsia="宋体" w:cs="宋体"/>
          <w:sz w:val="24"/>
          <w:szCs w:val="24"/>
        </w:rPr>
      </w:pPr>
      <w:r>
        <w:rPr>
          <w:rFonts w:ascii="宋体" w:hAnsi="宋体" w:eastAsia="宋体" w:cs="宋体"/>
          <w:spacing w:val="-2"/>
          <w:sz w:val="24"/>
          <w:szCs w:val="24"/>
        </w:rPr>
        <w:t>根据行业类别结合生产工艺特点，本项目应执行《排污许可证申请与核发技术规范</w:t>
      </w:r>
      <w:r>
        <w:rPr>
          <w:rFonts w:ascii="宋体" w:hAnsi="宋体" w:eastAsia="宋体" w:cs="宋体"/>
          <w:spacing w:val="13"/>
          <w:sz w:val="24"/>
          <w:szCs w:val="24"/>
        </w:rPr>
        <w:t xml:space="preserve"> </w:t>
      </w:r>
      <w:r>
        <w:rPr>
          <w:rFonts w:ascii="宋体" w:hAnsi="宋体" w:eastAsia="宋体" w:cs="宋体"/>
          <w:sz w:val="24"/>
          <w:szCs w:val="24"/>
        </w:rPr>
        <w:t>总则》（</w:t>
      </w:r>
      <w:r>
        <w:rPr>
          <w:rFonts w:ascii="Times New Roman" w:hAnsi="Times New Roman" w:eastAsia="Times New Roman" w:cs="Times New Roman"/>
          <w:sz w:val="24"/>
          <w:szCs w:val="24"/>
        </w:rPr>
        <w:t>HJ942-2018</w:t>
      </w:r>
      <w:r>
        <w:rPr>
          <w:rFonts w:ascii="宋体" w:hAnsi="宋体" w:eastAsia="宋体" w:cs="宋体"/>
          <w:sz w:val="24"/>
          <w:szCs w:val="24"/>
        </w:rPr>
        <w:t>）、《排污许可证申请与核</w:t>
      </w:r>
      <w:r>
        <w:rPr>
          <w:rFonts w:ascii="宋体" w:hAnsi="宋体" w:eastAsia="宋体" w:cs="宋体"/>
          <w:spacing w:val="-1"/>
          <w:sz w:val="24"/>
          <w:szCs w:val="24"/>
        </w:rPr>
        <w:t>发技术规范 铁合金、电解锰工业》</w:t>
      </w:r>
    </w:p>
    <w:p w14:paraId="142E50C4">
      <w:pPr>
        <w:spacing w:before="32" w:line="347" w:lineRule="auto"/>
        <w:ind w:left="8" w:firstLine="11"/>
        <w:rPr>
          <w:rFonts w:ascii="宋体" w:hAnsi="宋体" w:eastAsia="宋体" w:cs="宋体"/>
          <w:sz w:val="24"/>
          <w:szCs w:val="24"/>
        </w:rPr>
      </w:pPr>
      <w:r>
        <w:rPr>
          <w:rFonts w:ascii="宋体" w:hAnsi="宋体" w:eastAsia="宋体" w:cs="宋体"/>
          <w:spacing w:val="-6"/>
          <w:sz w:val="24"/>
          <w:szCs w:val="24"/>
        </w:rPr>
        <w:t>（</w:t>
      </w:r>
      <w:r>
        <w:rPr>
          <w:rFonts w:ascii="Times New Roman" w:hAnsi="Times New Roman" w:eastAsia="Times New Roman" w:cs="Times New Roman"/>
          <w:spacing w:val="-6"/>
          <w:sz w:val="24"/>
          <w:szCs w:val="24"/>
        </w:rPr>
        <w:t>HJ1117-2020</w:t>
      </w:r>
      <w:r>
        <w:rPr>
          <w:rFonts w:ascii="宋体" w:hAnsi="宋体" w:eastAsia="宋体" w:cs="宋体"/>
          <w:spacing w:val="-61"/>
          <w:sz w:val="24"/>
          <w:szCs w:val="24"/>
        </w:rPr>
        <w:t>），</w:t>
      </w:r>
      <w:r>
        <w:rPr>
          <w:rFonts w:ascii="宋体" w:hAnsi="宋体" w:eastAsia="宋体" w:cs="宋体"/>
          <w:spacing w:val="-6"/>
          <w:sz w:val="24"/>
          <w:szCs w:val="24"/>
        </w:rPr>
        <w:t>同时参考《排污许可证申请与核发技术规范 钢铁工业》（</w:t>
      </w:r>
      <w:r>
        <w:rPr>
          <w:rFonts w:ascii="Times New Roman" w:hAnsi="Times New Roman" w:eastAsia="Times New Roman" w:cs="Times New Roman"/>
          <w:spacing w:val="-6"/>
          <w:sz w:val="24"/>
          <w:szCs w:val="24"/>
        </w:rPr>
        <w:t>HJ84</w:t>
      </w:r>
      <w:r>
        <w:rPr>
          <w:rFonts w:ascii="Times New Roman" w:hAnsi="Times New Roman" w:eastAsia="Times New Roman" w:cs="Times New Roman"/>
          <w:spacing w:val="-7"/>
          <w:sz w:val="24"/>
          <w:szCs w:val="24"/>
        </w:rPr>
        <w:t>6-2017</w:t>
      </w:r>
      <w:r>
        <w:rPr>
          <w:rFonts w:ascii="宋体" w:hAnsi="宋体" w:eastAsia="宋体" w:cs="宋体"/>
          <w:spacing w:val="-7"/>
          <w:sz w:val="24"/>
          <w:szCs w:val="24"/>
        </w:rPr>
        <w:t>）</w:t>
      </w:r>
      <w:r>
        <w:rPr>
          <w:rFonts w:ascii="宋体" w:hAnsi="宋体" w:eastAsia="宋体" w:cs="宋体"/>
          <w:spacing w:val="1"/>
          <w:sz w:val="24"/>
          <w:szCs w:val="24"/>
        </w:rPr>
        <w:t xml:space="preserve"> </w:t>
      </w:r>
      <w:r>
        <w:rPr>
          <w:rFonts w:ascii="宋体" w:hAnsi="宋体" w:eastAsia="宋体" w:cs="宋体"/>
          <w:spacing w:val="-2"/>
          <w:sz w:val="24"/>
          <w:szCs w:val="24"/>
        </w:rPr>
        <w:t>相关要求。</w:t>
      </w:r>
    </w:p>
    <w:p w14:paraId="6D2D0708">
      <w:pPr>
        <w:spacing w:before="37" w:line="220" w:lineRule="auto"/>
        <w:ind w:left="5"/>
        <w:outlineLvl w:val="2"/>
        <w:rPr>
          <w:rFonts w:ascii="宋体" w:hAnsi="宋体" w:eastAsia="宋体" w:cs="宋体"/>
          <w:sz w:val="28"/>
          <w:szCs w:val="28"/>
        </w:rPr>
      </w:pPr>
      <w:bookmarkStart w:id="331" w:name="bookmark130"/>
      <w:bookmarkEnd w:id="331"/>
      <w:r>
        <w:rPr>
          <w:rFonts w:ascii="Times New Roman" w:hAnsi="Times New Roman" w:eastAsia="Times New Roman" w:cs="Times New Roman"/>
          <w:b/>
          <w:bCs/>
          <w:spacing w:val="-2"/>
          <w:sz w:val="28"/>
          <w:szCs w:val="28"/>
        </w:rPr>
        <w:t xml:space="preserve">2.5.1 </w:t>
      </w:r>
      <w:r>
        <w:rPr>
          <w:rFonts w:ascii="宋体" w:hAnsi="宋体" w:eastAsia="宋体" w:cs="宋体"/>
          <w:b/>
          <w:bCs/>
          <w:spacing w:val="-2"/>
          <w:sz w:val="28"/>
          <w:szCs w:val="28"/>
        </w:rPr>
        <w:t>排污许可证申请与核发技术规范相关要求</w:t>
      </w:r>
    </w:p>
    <w:p w14:paraId="2E0D31AE">
      <w:pPr>
        <w:spacing w:before="206" w:line="219" w:lineRule="auto"/>
        <w:ind w:left="50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）产排污环节对应排放口及许可排放限值确定方法</w:t>
      </w:r>
    </w:p>
    <w:p w14:paraId="185B1270">
      <w:pPr>
        <w:spacing w:before="183" w:line="352" w:lineRule="auto"/>
        <w:ind w:left="8" w:right="37" w:firstLine="486"/>
        <w:rPr>
          <w:rFonts w:ascii="宋体" w:hAnsi="宋体" w:eastAsia="宋体" w:cs="宋体"/>
          <w:sz w:val="24"/>
          <w:szCs w:val="24"/>
        </w:rPr>
      </w:pPr>
      <w:r>
        <w:rPr>
          <w:rFonts w:ascii="宋体" w:hAnsi="宋体" w:eastAsia="宋体" w:cs="宋体"/>
          <w:spacing w:val="-7"/>
          <w:sz w:val="24"/>
          <w:szCs w:val="24"/>
        </w:rPr>
        <w:t>一般原则：许可排放限值包括污染物许可排放浓度和许可排放量。对于大气污染物，</w:t>
      </w:r>
      <w:r>
        <w:rPr>
          <w:rFonts w:ascii="宋体" w:hAnsi="宋体" w:eastAsia="宋体" w:cs="宋体"/>
          <w:spacing w:val="18"/>
          <w:sz w:val="24"/>
          <w:szCs w:val="24"/>
        </w:rPr>
        <w:t xml:space="preserve"> </w:t>
      </w:r>
      <w:r>
        <w:rPr>
          <w:rFonts w:ascii="宋体" w:hAnsi="宋体" w:eastAsia="宋体" w:cs="宋体"/>
          <w:spacing w:val="-1"/>
          <w:sz w:val="24"/>
          <w:szCs w:val="24"/>
        </w:rPr>
        <w:t>以排放口为单位确定有组织主要排放口和一般</w:t>
      </w:r>
      <w:r>
        <w:rPr>
          <w:rFonts w:ascii="宋体" w:hAnsi="宋体" w:eastAsia="宋体" w:cs="宋体"/>
          <w:spacing w:val="-2"/>
          <w:sz w:val="24"/>
          <w:szCs w:val="24"/>
        </w:rPr>
        <w:t>排放口许可排放浓度，以排污单位边界为</w:t>
      </w:r>
      <w:r>
        <w:rPr>
          <w:rFonts w:ascii="宋体" w:hAnsi="宋体" w:eastAsia="宋体" w:cs="宋体"/>
          <w:sz w:val="24"/>
          <w:szCs w:val="24"/>
        </w:rPr>
        <w:t xml:space="preserve"> </w:t>
      </w:r>
      <w:r>
        <w:rPr>
          <w:rFonts w:ascii="宋体" w:hAnsi="宋体" w:eastAsia="宋体" w:cs="宋体"/>
          <w:spacing w:val="-1"/>
          <w:sz w:val="24"/>
          <w:szCs w:val="24"/>
        </w:rPr>
        <w:t>单位确定无组织许可排放浓度。主要排放口逐</w:t>
      </w:r>
      <w:r>
        <w:rPr>
          <w:rFonts w:ascii="宋体" w:hAnsi="宋体" w:eastAsia="宋体" w:cs="宋体"/>
          <w:spacing w:val="-2"/>
          <w:sz w:val="24"/>
          <w:szCs w:val="24"/>
        </w:rPr>
        <w:t>一计算许可排放量，排污单位年许可排放</w:t>
      </w:r>
      <w:r>
        <w:rPr>
          <w:rFonts w:ascii="宋体" w:hAnsi="宋体" w:eastAsia="宋体" w:cs="宋体"/>
          <w:sz w:val="24"/>
          <w:szCs w:val="24"/>
        </w:rPr>
        <w:t xml:space="preserve"> 量为各主要排放口年许可排放量之和；一般排放口和无</w:t>
      </w:r>
      <w:r>
        <w:rPr>
          <w:rFonts w:ascii="宋体" w:hAnsi="宋体" w:eastAsia="宋体" w:cs="宋体"/>
          <w:spacing w:val="-1"/>
          <w:sz w:val="24"/>
          <w:szCs w:val="24"/>
        </w:rPr>
        <w:t>组织废气不许可排放量。</w:t>
      </w:r>
    </w:p>
    <w:p w14:paraId="37211EBE">
      <w:pPr>
        <w:spacing w:before="37" w:line="350" w:lineRule="auto"/>
        <w:ind w:left="7" w:right="99" w:firstLine="482"/>
        <w:rPr>
          <w:rFonts w:ascii="宋体" w:hAnsi="宋体" w:eastAsia="宋体" w:cs="宋体"/>
          <w:sz w:val="24"/>
          <w:szCs w:val="24"/>
        </w:rPr>
      </w:pPr>
      <w:r>
        <w:rPr>
          <w:rFonts w:ascii="宋体" w:hAnsi="宋体" w:eastAsia="宋体" w:cs="宋体"/>
          <w:spacing w:val="-2"/>
          <w:sz w:val="24"/>
          <w:szCs w:val="24"/>
        </w:rPr>
        <w:t>对于水污染物，以车间或生产设施排放口和排污单位废水总排放口确定许可排污浓</w:t>
      </w:r>
      <w:r>
        <w:rPr>
          <w:rFonts w:ascii="宋体" w:hAnsi="宋体" w:eastAsia="宋体" w:cs="宋体"/>
          <w:spacing w:val="14"/>
          <w:sz w:val="24"/>
          <w:szCs w:val="24"/>
        </w:rPr>
        <w:t xml:space="preserve"> </w:t>
      </w:r>
      <w:r>
        <w:rPr>
          <w:rFonts w:ascii="宋体" w:hAnsi="宋体" w:eastAsia="宋体" w:cs="宋体"/>
          <w:sz w:val="24"/>
          <w:szCs w:val="24"/>
        </w:rPr>
        <w:t>度和许可排放量。单独排入城镇集中污水处理设施的生活污水</w:t>
      </w:r>
      <w:r>
        <w:rPr>
          <w:rFonts w:ascii="宋体" w:hAnsi="宋体" w:eastAsia="宋体" w:cs="宋体"/>
          <w:spacing w:val="-1"/>
          <w:sz w:val="24"/>
          <w:szCs w:val="24"/>
        </w:rPr>
        <w:t>不许可排放浓度和排放</w:t>
      </w:r>
      <w:r>
        <w:rPr>
          <w:rFonts w:ascii="宋体" w:hAnsi="宋体" w:eastAsia="宋体" w:cs="宋体"/>
          <w:sz w:val="24"/>
          <w:szCs w:val="24"/>
        </w:rPr>
        <w:t xml:space="preserve">  </w:t>
      </w:r>
      <w:r>
        <w:rPr>
          <w:rFonts w:ascii="宋体" w:hAnsi="宋体" w:eastAsia="宋体" w:cs="宋体"/>
          <w:spacing w:val="-1"/>
          <w:sz w:val="24"/>
          <w:szCs w:val="24"/>
        </w:rPr>
        <w:t>量，仅说明排放去向。</w:t>
      </w:r>
    </w:p>
    <w:p w14:paraId="0ACD8B89">
      <w:pPr>
        <w:spacing w:before="36" w:line="219" w:lineRule="auto"/>
        <w:ind w:left="502"/>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）产排污节点及对应排放口</w:t>
      </w:r>
    </w:p>
    <w:p w14:paraId="71982C9B">
      <w:pPr>
        <w:spacing w:before="176" w:line="228" w:lineRule="auto"/>
        <w:ind w:left="1823"/>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29"/>
          <w:sz w:val="20"/>
          <w:szCs w:val="20"/>
        </w:rPr>
        <w:t xml:space="preserve"> </w:t>
      </w:r>
      <w:r>
        <w:rPr>
          <w:rFonts w:ascii="Times New Roman" w:hAnsi="Times New Roman" w:eastAsia="Times New Roman" w:cs="Times New Roman"/>
          <w:b/>
          <w:bCs/>
          <w:spacing w:val="6"/>
          <w:sz w:val="20"/>
          <w:szCs w:val="20"/>
        </w:rPr>
        <w:t xml:space="preserve">2.5-1      </w:t>
      </w:r>
      <w:r>
        <w:rPr>
          <w:rFonts w:ascii="宋体" w:hAnsi="宋体" w:eastAsia="宋体" w:cs="宋体"/>
          <w:b/>
          <w:bCs/>
          <w:spacing w:val="6"/>
          <w:sz w:val="20"/>
          <w:szCs w:val="20"/>
        </w:rPr>
        <w:t>排污单位主要污染源、污染物项目及排污口类型</w:t>
      </w:r>
    </w:p>
    <w:p w14:paraId="7F6100F4">
      <w:pPr>
        <w:spacing w:line="131" w:lineRule="exact"/>
      </w:pPr>
    </w:p>
    <w:tbl>
      <w:tblPr>
        <w:tblStyle w:val="5"/>
        <w:tblW w:w="8721" w:type="dxa"/>
        <w:tblInd w:w="17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336"/>
        <w:gridCol w:w="1576"/>
        <w:gridCol w:w="1344"/>
        <w:gridCol w:w="2465"/>
      </w:tblGrid>
      <w:tr w14:paraId="165B7B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3336" w:type="dxa"/>
            <w:tcBorders>
              <w:top w:val="single" w:color="000000" w:sz="10" w:space="0"/>
              <w:left w:val="nil"/>
            </w:tcBorders>
            <w:vAlign w:val="top"/>
          </w:tcPr>
          <w:p w14:paraId="30FB9865">
            <w:pPr>
              <w:pStyle w:val="6"/>
              <w:spacing w:before="65" w:line="216" w:lineRule="auto"/>
              <w:ind w:left="1151"/>
              <w:rPr>
                <w:sz w:val="20"/>
                <w:szCs w:val="20"/>
              </w:rPr>
            </w:pPr>
            <w:r>
              <w:rPr>
                <w:spacing w:val="8"/>
                <w:sz w:val="20"/>
                <w:szCs w:val="20"/>
              </w:rPr>
              <w:t>产排污节点</w:t>
            </w:r>
          </w:p>
        </w:tc>
        <w:tc>
          <w:tcPr>
            <w:tcW w:w="1576" w:type="dxa"/>
            <w:tcBorders>
              <w:top w:val="single" w:color="000000" w:sz="10" w:space="0"/>
            </w:tcBorders>
            <w:vAlign w:val="top"/>
          </w:tcPr>
          <w:p w14:paraId="785DD021">
            <w:pPr>
              <w:pStyle w:val="6"/>
              <w:spacing w:before="65" w:line="216" w:lineRule="auto"/>
              <w:ind w:left="479"/>
              <w:rPr>
                <w:sz w:val="20"/>
                <w:szCs w:val="20"/>
              </w:rPr>
            </w:pPr>
            <w:r>
              <w:rPr>
                <w:spacing w:val="6"/>
                <w:sz w:val="20"/>
                <w:szCs w:val="20"/>
              </w:rPr>
              <w:t>排放口</w:t>
            </w:r>
          </w:p>
        </w:tc>
        <w:tc>
          <w:tcPr>
            <w:tcW w:w="1344" w:type="dxa"/>
            <w:tcBorders>
              <w:top w:val="single" w:color="000000" w:sz="10" w:space="0"/>
            </w:tcBorders>
            <w:vAlign w:val="top"/>
          </w:tcPr>
          <w:p w14:paraId="324CC47C">
            <w:pPr>
              <w:pStyle w:val="6"/>
              <w:spacing w:before="65" w:line="216" w:lineRule="auto"/>
              <w:ind w:left="153"/>
              <w:rPr>
                <w:sz w:val="20"/>
                <w:szCs w:val="20"/>
              </w:rPr>
            </w:pPr>
            <w:r>
              <w:rPr>
                <w:spacing w:val="8"/>
                <w:sz w:val="20"/>
                <w:szCs w:val="20"/>
              </w:rPr>
              <w:t>排污口类型</w:t>
            </w:r>
          </w:p>
        </w:tc>
        <w:tc>
          <w:tcPr>
            <w:tcW w:w="2465" w:type="dxa"/>
            <w:tcBorders>
              <w:top w:val="single" w:color="000000" w:sz="10" w:space="0"/>
              <w:right w:val="nil"/>
            </w:tcBorders>
            <w:vAlign w:val="top"/>
          </w:tcPr>
          <w:p w14:paraId="2F84AF4D">
            <w:pPr>
              <w:pStyle w:val="6"/>
              <w:spacing w:before="65" w:line="216" w:lineRule="auto"/>
              <w:ind w:left="819"/>
              <w:rPr>
                <w:sz w:val="20"/>
                <w:szCs w:val="20"/>
              </w:rPr>
            </w:pPr>
            <w:r>
              <w:rPr>
                <w:spacing w:val="6"/>
                <w:sz w:val="20"/>
                <w:szCs w:val="20"/>
              </w:rPr>
              <w:t>污染因子</w:t>
            </w:r>
          </w:p>
        </w:tc>
      </w:tr>
    </w:tbl>
    <w:p w14:paraId="374DA13A">
      <w:pPr>
        <w:spacing w:before="60" w:line="222" w:lineRule="auto"/>
        <w:ind w:left="3807"/>
        <w:rPr>
          <w:rFonts w:ascii="宋体" w:hAnsi="宋体" w:eastAsia="宋体" w:cs="宋体"/>
          <w:sz w:val="20"/>
          <w:szCs w:val="20"/>
        </w:rPr>
      </w:pPr>
      <w:r>
        <w:rPr>
          <w:rFonts w:ascii="宋体" w:hAnsi="宋体" w:eastAsia="宋体" w:cs="宋体"/>
          <w:spacing w:val="8"/>
          <w:sz w:val="20"/>
          <w:szCs w:val="20"/>
        </w:rPr>
        <w:t>废气有组织排放</w:t>
      </w:r>
    </w:p>
    <w:tbl>
      <w:tblPr>
        <w:tblStyle w:val="5"/>
        <w:tblW w:w="8721" w:type="dxa"/>
        <w:tblInd w:w="17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53"/>
        <w:gridCol w:w="2683"/>
        <w:gridCol w:w="1576"/>
        <w:gridCol w:w="1344"/>
        <w:gridCol w:w="2465"/>
      </w:tblGrid>
      <w:tr w14:paraId="091AD8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653" w:type="dxa"/>
            <w:vMerge w:val="restart"/>
            <w:tcBorders>
              <w:left w:val="nil"/>
              <w:bottom w:val="nil"/>
            </w:tcBorders>
            <w:vAlign w:val="top"/>
          </w:tcPr>
          <w:p w14:paraId="7F802F24">
            <w:pPr>
              <w:spacing w:line="323" w:lineRule="auto"/>
              <w:rPr>
                <w:rFonts w:ascii="Arial"/>
                <w:sz w:val="21"/>
              </w:rPr>
            </w:pPr>
          </w:p>
          <w:p w14:paraId="359F9B09">
            <w:pPr>
              <w:pStyle w:val="6"/>
              <w:spacing w:before="65" w:line="234" w:lineRule="auto"/>
              <w:ind w:left="123"/>
              <w:rPr>
                <w:sz w:val="20"/>
                <w:szCs w:val="20"/>
              </w:rPr>
            </w:pPr>
            <w:r>
              <w:rPr>
                <w:spacing w:val="4"/>
                <w:sz w:val="20"/>
                <w:szCs w:val="20"/>
              </w:rPr>
              <w:t>锰硅</w:t>
            </w:r>
          </w:p>
          <w:p w14:paraId="48FBFA69">
            <w:pPr>
              <w:pStyle w:val="6"/>
              <w:spacing w:before="46" w:line="231" w:lineRule="auto"/>
              <w:ind w:left="124"/>
              <w:rPr>
                <w:sz w:val="20"/>
                <w:szCs w:val="20"/>
              </w:rPr>
            </w:pPr>
            <w:r>
              <w:rPr>
                <w:spacing w:val="4"/>
                <w:sz w:val="20"/>
                <w:szCs w:val="20"/>
              </w:rPr>
              <w:t>合金</w:t>
            </w:r>
          </w:p>
          <w:p w14:paraId="34672E02">
            <w:pPr>
              <w:pStyle w:val="6"/>
              <w:spacing w:before="49" w:line="228" w:lineRule="auto"/>
              <w:ind w:left="125"/>
              <w:rPr>
                <w:sz w:val="20"/>
                <w:szCs w:val="20"/>
              </w:rPr>
            </w:pPr>
            <w:r>
              <w:rPr>
                <w:spacing w:val="3"/>
                <w:sz w:val="20"/>
                <w:szCs w:val="20"/>
              </w:rPr>
              <w:t>生产</w:t>
            </w:r>
          </w:p>
          <w:p w14:paraId="08CC48FC">
            <w:pPr>
              <w:pStyle w:val="6"/>
              <w:spacing w:before="53" w:line="233" w:lineRule="auto"/>
              <w:ind w:left="245"/>
              <w:rPr>
                <w:sz w:val="20"/>
                <w:szCs w:val="20"/>
              </w:rPr>
            </w:pPr>
            <w:r>
              <w:rPr>
                <w:sz w:val="20"/>
                <w:szCs w:val="20"/>
              </w:rPr>
              <w:t>区</w:t>
            </w:r>
          </w:p>
        </w:tc>
        <w:tc>
          <w:tcPr>
            <w:tcW w:w="2683" w:type="dxa"/>
            <w:vAlign w:val="top"/>
          </w:tcPr>
          <w:p w14:paraId="27781BB3">
            <w:pPr>
              <w:pStyle w:val="6"/>
              <w:spacing w:before="63" w:line="217" w:lineRule="auto"/>
              <w:ind w:left="190"/>
              <w:rPr>
                <w:sz w:val="20"/>
                <w:szCs w:val="20"/>
              </w:rPr>
            </w:pPr>
            <w:r>
              <w:rPr>
                <w:spacing w:val="9"/>
                <w:sz w:val="20"/>
                <w:szCs w:val="20"/>
              </w:rPr>
              <w:t>焦炭烘干、筛分出料废气</w:t>
            </w:r>
          </w:p>
        </w:tc>
        <w:tc>
          <w:tcPr>
            <w:tcW w:w="1576" w:type="dxa"/>
            <w:vAlign w:val="top"/>
          </w:tcPr>
          <w:p w14:paraId="5A1230BA">
            <w:pPr>
              <w:spacing w:before="99" w:line="195" w:lineRule="auto"/>
              <w:ind w:left="479"/>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001</w:t>
            </w:r>
          </w:p>
        </w:tc>
        <w:tc>
          <w:tcPr>
            <w:tcW w:w="1344" w:type="dxa"/>
            <w:vAlign w:val="top"/>
          </w:tcPr>
          <w:p w14:paraId="7FD3883D">
            <w:pPr>
              <w:pStyle w:val="6"/>
              <w:spacing w:before="63" w:line="217" w:lineRule="auto"/>
              <w:ind w:left="156"/>
              <w:rPr>
                <w:sz w:val="20"/>
                <w:szCs w:val="20"/>
              </w:rPr>
            </w:pPr>
            <w:r>
              <w:rPr>
                <w:spacing w:val="7"/>
                <w:sz w:val="20"/>
                <w:szCs w:val="20"/>
              </w:rPr>
              <w:t>一般排放口</w:t>
            </w:r>
          </w:p>
        </w:tc>
        <w:tc>
          <w:tcPr>
            <w:tcW w:w="2465" w:type="dxa"/>
            <w:tcBorders>
              <w:right w:val="nil"/>
            </w:tcBorders>
            <w:vAlign w:val="top"/>
          </w:tcPr>
          <w:p w14:paraId="6D5AC3D3">
            <w:pPr>
              <w:pStyle w:val="6"/>
              <w:spacing w:before="63" w:line="217" w:lineRule="auto"/>
              <w:ind w:left="339"/>
              <w:rPr>
                <w:rFonts w:ascii="Times New Roman" w:hAnsi="Times New Roman" w:eastAsia="Times New Roman" w:cs="Times New Roman"/>
                <w:sz w:val="20"/>
                <w:szCs w:val="20"/>
              </w:rPr>
            </w:pPr>
            <w:r>
              <w:rPr>
                <w:spacing w:val="8"/>
                <w:sz w:val="20"/>
                <w:szCs w:val="20"/>
              </w:rPr>
              <w:t>颗粒物、</w:t>
            </w:r>
            <w:r>
              <w:rPr>
                <w:rFonts w:ascii="Times New Roman" w:hAnsi="Times New Roman" w:eastAsia="Times New Roman" w:cs="Times New Roman"/>
                <w:sz w:val="20"/>
                <w:szCs w:val="20"/>
              </w:rPr>
              <w:t>SO</w:t>
            </w:r>
            <w:r>
              <w:rPr>
                <w:rFonts w:ascii="Times New Roman" w:hAnsi="Times New Roman" w:eastAsia="Times New Roman" w:cs="Times New Roman"/>
                <w:spacing w:val="8"/>
                <w:position w:val="-1"/>
                <w:sz w:val="13"/>
                <w:szCs w:val="13"/>
              </w:rPr>
              <w:t>2</w:t>
            </w:r>
            <w:r>
              <w:rPr>
                <w:rFonts w:ascii="Times New Roman" w:hAnsi="Times New Roman" w:eastAsia="Times New Roman" w:cs="Times New Roman"/>
                <w:spacing w:val="-7"/>
                <w:position w:val="-1"/>
                <w:sz w:val="13"/>
                <w:szCs w:val="13"/>
              </w:rPr>
              <w:t xml:space="preserve"> </w:t>
            </w:r>
            <w:r>
              <w:rPr>
                <w:spacing w:val="8"/>
                <w:sz w:val="20"/>
                <w:szCs w:val="20"/>
              </w:rPr>
              <w:t>、</w:t>
            </w:r>
            <w:r>
              <w:rPr>
                <w:rFonts w:ascii="Times New Roman" w:hAnsi="Times New Roman" w:eastAsia="Times New Roman" w:cs="Times New Roman"/>
                <w:sz w:val="20"/>
                <w:szCs w:val="20"/>
              </w:rPr>
              <w:t>NOx</w:t>
            </w:r>
          </w:p>
        </w:tc>
      </w:tr>
      <w:tr w14:paraId="44CF99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trPr>
        <w:tc>
          <w:tcPr>
            <w:tcW w:w="653" w:type="dxa"/>
            <w:vMerge w:val="continue"/>
            <w:tcBorders>
              <w:top w:val="nil"/>
              <w:left w:val="nil"/>
              <w:bottom w:val="nil"/>
            </w:tcBorders>
            <w:vAlign w:val="top"/>
          </w:tcPr>
          <w:p w14:paraId="1B34B33B">
            <w:pPr>
              <w:rPr>
                <w:rFonts w:ascii="Arial"/>
                <w:sz w:val="21"/>
              </w:rPr>
            </w:pPr>
          </w:p>
        </w:tc>
        <w:tc>
          <w:tcPr>
            <w:tcW w:w="2683" w:type="dxa"/>
            <w:vAlign w:val="top"/>
          </w:tcPr>
          <w:p w14:paraId="46534523">
            <w:pPr>
              <w:pStyle w:val="6"/>
              <w:spacing w:before="60" w:line="216" w:lineRule="auto"/>
              <w:ind w:left="114"/>
              <w:rPr>
                <w:sz w:val="20"/>
                <w:szCs w:val="20"/>
              </w:rPr>
            </w:pPr>
            <w:r>
              <w:rPr>
                <w:spacing w:val="4"/>
                <w:sz w:val="20"/>
                <w:szCs w:val="20"/>
              </w:rPr>
              <w:t>锰矿石烘干筛分、出料废气</w:t>
            </w:r>
          </w:p>
        </w:tc>
        <w:tc>
          <w:tcPr>
            <w:tcW w:w="1576" w:type="dxa"/>
            <w:vAlign w:val="top"/>
          </w:tcPr>
          <w:p w14:paraId="7D6C4605">
            <w:pPr>
              <w:spacing w:before="95" w:line="195" w:lineRule="auto"/>
              <w:ind w:left="479"/>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002</w:t>
            </w:r>
          </w:p>
        </w:tc>
        <w:tc>
          <w:tcPr>
            <w:tcW w:w="1344" w:type="dxa"/>
            <w:vAlign w:val="top"/>
          </w:tcPr>
          <w:p w14:paraId="3A0B956E">
            <w:pPr>
              <w:pStyle w:val="6"/>
              <w:spacing w:before="60" w:line="216" w:lineRule="auto"/>
              <w:ind w:left="156"/>
              <w:rPr>
                <w:sz w:val="20"/>
                <w:szCs w:val="20"/>
              </w:rPr>
            </w:pPr>
            <w:r>
              <w:rPr>
                <w:spacing w:val="7"/>
                <w:sz w:val="20"/>
                <w:szCs w:val="20"/>
              </w:rPr>
              <w:t>一般排放口</w:t>
            </w:r>
          </w:p>
        </w:tc>
        <w:tc>
          <w:tcPr>
            <w:tcW w:w="2465" w:type="dxa"/>
            <w:tcBorders>
              <w:right w:val="nil"/>
            </w:tcBorders>
            <w:vAlign w:val="top"/>
          </w:tcPr>
          <w:p w14:paraId="16D46011">
            <w:pPr>
              <w:pStyle w:val="6"/>
              <w:spacing w:before="60" w:line="216" w:lineRule="auto"/>
              <w:ind w:left="339"/>
              <w:rPr>
                <w:rFonts w:ascii="Times New Roman" w:hAnsi="Times New Roman" w:eastAsia="Times New Roman" w:cs="Times New Roman"/>
                <w:sz w:val="20"/>
                <w:szCs w:val="20"/>
              </w:rPr>
            </w:pPr>
            <w:r>
              <w:rPr>
                <w:spacing w:val="8"/>
                <w:sz w:val="20"/>
                <w:szCs w:val="20"/>
              </w:rPr>
              <w:t>颗粒物、</w:t>
            </w:r>
            <w:r>
              <w:rPr>
                <w:rFonts w:ascii="Times New Roman" w:hAnsi="Times New Roman" w:eastAsia="Times New Roman" w:cs="Times New Roman"/>
                <w:sz w:val="20"/>
                <w:szCs w:val="20"/>
              </w:rPr>
              <w:t>SO</w:t>
            </w:r>
            <w:r>
              <w:rPr>
                <w:rFonts w:ascii="Times New Roman" w:hAnsi="Times New Roman" w:eastAsia="Times New Roman" w:cs="Times New Roman"/>
                <w:spacing w:val="8"/>
                <w:position w:val="-1"/>
                <w:sz w:val="13"/>
                <w:szCs w:val="13"/>
              </w:rPr>
              <w:t>2</w:t>
            </w:r>
            <w:r>
              <w:rPr>
                <w:rFonts w:ascii="Times New Roman" w:hAnsi="Times New Roman" w:eastAsia="Times New Roman" w:cs="Times New Roman"/>
                <w:spacing w:val="-7"/>
                <w:position w:val="-1"/>
                <w:sz w:val="13"/>
                <w:szCs w:val="13"/>
              </w:rPr>
              <w:t xml:space="preserve"> </w:t>
            </w:r>
            <w:r>
              <w:rPr>
                <w:spacing w:val="8"/>
                <w:sz w:val="20"/>
                <w:szCs w:val="20"/>
              </w:rPr>
              <w:t>、</w:t>
            </w:r>
            <w:r>
              <w:rPr>
                <w:rFonts w:ascii="Times New Roman" w:hAnsi="Times New Roman" w:eastAsia="Times New Roman" w:cs="Times New Roman"/>
                <w:sz w:val="20"/>
                <w:szCs w:val="20"/>
              </w:rPr>
              <w:t>NOx</w:t>
            </w:r>
          </w:p>
        </w:tc>
      </w:tr>
      <w:tr w14:paraId="50188C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trPr>
        <w:tc>
          <w:tcPr>
            <w:tcW w:w="653" w:type="dxa"/>
            <w:vMerge w:val="continue"/>
            <w:tcBorders>
              <w:top w:val="nil"/>
              <w:left w:val="nil"/>
              <w:bottom w:val="nil"/>
            </w:tcBorders>
            <w:vAlign w:val="top"/>
          </w:tcPr>
          <w:p w14:paraId="06285016">
            <w:pPr>
              <w:rPr>
                <w:rFonts w:ascii="Arial"/>
                <w:sz w:val="21"/>
              </w:rPr>
            </w:pPr>
          </w:p>
        </w:tc>
        <w:tc>
          <w:tcPr>
            <w:tcW w:w="2683" w:type="dxa"/>
            <w:vAlign w:val="top"/>
          </w:tcPr>
          <w:p w14:paraId="57438611">
            <w:pPr>
              <w:pStyle w:val="6"/>
              <w:spacing w:before="59" w:line="216" w:lineRule="auto"/>
              <w:ind w:left="609"/>
              <w:rPr>
                <w:sz w:val="20"/>
                <w:szCs w:val="20"/>
              </w:rPr>
            </w:pPr>
            <w:r>
              <w:rPr>
                <w:spacing w:val="8"/>
                <w:sz w:val="20"/>
                <w:szCs w:val="20"/>
              </w:rPr>
              <w:t>烧结机配料粉尘</w:t>
            </w:r>
          </w:p>
        </w:tc>
        <w:tc>
          <w:tcPr>
            <w:tcW w:w="1576" w:type="dxa"/>
            <w:vAlign w:val="top"/>
          </w:tcPr>
          <w:p w14:paraId="6241DA65">
            <w:pPr>
              <w:spacing w:before="96" w:line="195" w:lineRule="auto"/>
              <w:ind w:left="479"/>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003</w:t>
            </w:r>
          </w:p>
        </w:tc>
        <w:tc>
          <w:tcPr>
            <w:tcW w:w="1344" w:type="dxa"/>
            <w:vAlign w:val="top"/>
          </w:tcPr>
          <w:p w14:paraId="0688A8D2">
            <w:pPr>
              <w:pStyle w:val="6"/>
              <w:spacing w:before="59" w:line="216" w:lineRule="auto"/>
              <w:ind w:left="156"/>
              <w:rPr>
                <w:sz w:val="20"/>
                <w:szCs w:val="20"/>
              </w:rPr>
            </w:pPr>
            <w:r>
              <w:rPr>
                <w:spacing w:val="7"/>
                <w:sz w:val="20"/>
                <w:szCs w:val="20"/>
              </w:rPr>
              <w:t>一般排放口</w:t>
            </w:r>
          </w:p>
        </w:tc>
        <w:tc>
          <w:tcPr>
            <w:tcW w:w="2465" w:type="dxa"/>
            <w:tcBorders>
              <w:right w:val="nil"/>
            </w:tcBorders>
            <w:vAlign w:val="top"/>
          </w:tcPr>
          <w:p w14:paraId="61D458D3">
            <w:pPr>
              <w:pStyle w:val="6"/>
              <w:spacing w:before="59" w:line="216" w:lineRule="auto"/>
              <w:ind w:left="920"/>
              <w:rPr>
                <w:sz w:val="20"/>
                <w:szCs w:val="20"/>
              </w:rPr>
            </w:pPr>
            <w:r>
              <w:rPr>
                <w:spacing w:val="7"/>
                <w:sz w:val="20"/>
                <w:szCs w:val="20"/>
              </w:rPr>
              <w:t>颗粒物</w:t>
            </w:r>
          </w:p>
        </w:tc>
      </w:tr>
      <w:tr w14:paraId="6CC070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trPr>
        <w:tc>
          <w:tcPr>
            <w:tcW w:w="653" w:type="dxa"/>
            <w:vMerge w:val="continue"/>
            <w:tcBorders>
              <w:top w:val="nil"/>
              <w:left w:val="nil"/>
              <w:bottom w:val="nil"/>
            </w:tcBorders>
            <w:vAlign w:val="top"/>
          </w:tcPr>
          <w:p w14:paraId="4ADEA3EE">
            <w:pPr>
              <w:rPr>
                <w:rFonts w:ascii="Arial"/>
                <w:sz w:val="21"/>
              </w:rPr>
            </w:pPr>
          </w:p>
        </w:tc>
        <w:tc>
          <w:tcPr>
            <w:tcW w:w="2683" w:type="dxa"/>
            <w:vAlign w:val="top"/>
          </w:tcPr>
          <w:p w14:paraId="4956210F">
            <w:pPr>
              <w:pStyle w:val="6"/>
              <w:spacing w:before="63" w:line="213" w:lineRule="auto"/>
              <w:ind w:left="401"/>
              <w:rPr>
                <w:sz w:val="20"/>
                <w:szCs w:val="20"/>
              </w:rPr>
            </w:pPr>
            <w:r>
              <w:rPr>
                <w:spacing w:val="8"/>
                <w:sz w:val="20"/>
                <w:szCs w:val="20"/>
              </w:rPr>
              <w:t>烧结机头、机尾废气</w:t>
            </w:r>
          </w:p>
        </w:tc>
        <w:tc>
          <w:tcPr>
            <w:tcW w:w="1576" w:type="dxa"/>
            <w:vAlign w:val="top"/>
          </w:tcPr>
          <w:p w14:paraId="325974F9">
            <w:pPr>
              <w:spacing w:before="99" w:line="195" w:lineRule="auto"/>
              <w:ind w:left="479"/>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004</w:t>
            </w:r>
          </w:p>
        </w:tc>
        <w:tc>
          <w:tcPr>
            <w:tcW w:w="1344" w:type="dxa"/>
            <w:vAlign w:val="top"/>
          </w:tcPr>
          <w:p w14:paraId="2BD2AF03">
            <w:pPr>
              <w:pStyle w:val="6"/>
              <w:spacing w:before="63" w:line="213" w:lineRule="auto"/>
              <w:ind w:left="155"/>
              <w:rPr>
                <w:sz w:val="20"/>
                <w:szCs w:val="20"/>
              </w:rPr>
            </w:pPr>
            <w:r>
              <w:rPr>
                <w:spacing w:val="7"/>
                <w:sz w:val="20"/>
                <w:szCs w:val="20"/>
              </w:rPr>
              <w:t>主要排放口</w:t>
            </w:r>
          </w:p>
        </w:tc>
        <w:tc>
          <w:tcPr>
            <w:tcW w:w="2465" w:type="dxa"/>
            <w:tcBorders>
              <w:right w:val="nil"/>
            </w:tcBorders>
            <w:vAlign w:val="top"/>
          </w:tcPr>
          <w:p w14:paraId="6DE44237">
            <w:pPr>
              <w:pStyle w:val="6"/>
              <w:spacing w:before="63" w:line="213" w:lineRule="auto"/>
              <w:ind w:left="339"/>
              <w:rPr>
                <w:rFonts w:ascii="Times New Roman" w:hAnsi="Times New Roman" w:eastAsia="Times New Roman" w:cs="Times New Roman"/>
                <w:sz w:val="20"/>
                <w:szCs w:val="20"/>
              </w:rPr>
            </w:pPr>
            <w:r>
              <w:rPr>
                <w:spacing w:val="8"/>
                <w:sz w:val="20"/>
                <w:szCs w:val="20"/>
              </w:rPr>
              <w:t>颗粒物、</w:t>
            </w:r>
            <w:r>
              <w:rPr>
                <w:rFonts w:ascii="Times New Roman" w:hAnsi="Times New Roman" w:eastAsia="Times New Roman" w:cs="Times New Roman"/>
                <w:sz w:val="20"/>
                <w:szCs w:val="20"/>
              </w:rPr>
              <w:t>SO</w:t>
            </w:r>
            <w:r>
              <w:rPr>
                <w:rFonts w:ascii="Times New Roman" w:hAnsi="Times New Roman" w:eastAsia="Times New Roman" w:cs="Times New Roman"/>
                <w:spacing w:val="8"/>
                <w:position w:val="-1"/>
                <w:sz w:val="13"/>
                <w:szCs w:val="13"/>
              </w:rPr>
              <w:t>2</w:t>
            </w:r>
            <w:r>
              <w:rPr>
                <w:rFonts w:ascii="Times New Roman" w:hAnsi="Times New Roman" w:eastAsia="Times New Roman" w:cs="Times New Roman"/>
                <w:spacing w:val="-7"/>
                <w:position w:val="-1"/>
                <w:sz w:val="13"/>
                <w:szCs w:val="13"/>
              </w:rPr>
              <w:t xml:space="preserve"> </w:t>
            </w:r>
            <w:r>
              <w:rPr>
                <w:spacing w:val="8"/>
                <w:sz w:val="20"/>
                <w:szCs w:val="20"/>
              </w:rPr>
              <w:t>、</w:t>
            </w:r>
            <w:r>
              <w:rPr>
                <w:rFonts w:ascii="Times New Roman" w:hAnsi="Times New Roman" w:eastAsia="Times New Roman" w:cs="Times New Roman"/>
                <w:sz w:val="20"/>
                <w:szCs w:val="20"/>
              </w:rPr>
              <w:t>NOx</w:t>
            </w:r>
          </w:p>
        </w:tc>
      </w:tr>
      <w:tr w14:paraId="6779CD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653" w:type="dxa"/>
            <w:vMerge w:val="continue"/>
            <w:tcBorders>
              <w:top w:val="nil"/>
              <w:left w:val="nil"/>
              <w:bottom w:val="nil"/>
            </w:tcBorders>
            <w:vAlign w:val="top"/>
          </w:tcPr>
          <w:p w14:paraId="61AD4D7D">
            <w:pPr>
              <w:rPr>
                <w:rFonts w:ascii="Arial"/>
                <w:sz w:val="21"/>
              </w:rPr>
            </w:pPr>
          </w:p>
        </w:tc>
        <w:tc>
          <w:tcPr>
            <w:tcW w:w="2683" w:type="dxa"/>
            <w:vAlign w:val="top"/>
          </w:tcPr>
          <w:p w14:paraId="1E64F750">
            <w:pPr>
              <w:pStyle w:val="6"/>
              <w:spacing w:before="64" w:line="213" w:lineRule="auto"/>
              <w:ind w:left="426"/>
              <w:rPr>
                <w:sz w:val="20"/>
                <w:szCs w:val="20"/>
              </w:rPr>
            </w:pPr>
            <w:r>
              <w:rPr>
                <w:spacing w:val="6"/>
                <w:sz w:val="20"/>
                <w:szCs w:val="20"/>
              </w:rPr>
              <w:t>电炉配料、加料粉尘</w:t>
            </w:r>
          </w:p>
        </w:tc>
        <w:tc>
          <w:tcPr>
            <w:tcW w:w="1576" w:type="dxa"/>
            <w:vAlign w:val="top"/>
          </w:tcPr>
          <w:p w14:paraId="38B7FAC5">
            <w:pPr>
              <w:spacing w:before="85" w:line="195" w:lineRule="auto"/>
              <w:ind w:left="114"/>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005~</w:t>
            </w: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007</w:t>
            </w:r>
          </w:p>
        </w:tc>
        <w:tc>
          <w:tcPr>
            <w:tcW w:w="1344" w:type="dxa"/>
            <w:vAlign w:val="top"/>
          </w:tcPr>
          <w:p w14:paraId="36C63041">
            <w:pPr>
              <w:pStyle w:val="6"/>
              <w:spacing w:before="64" w:line="213" w:lineRule="auto"/>
              <w:ind w:left="156"/>
              <w:rPr>
                <w:sz w:val="20"/>
                <w:szCs w:val="20"/>
              </w:rPr>
            </w:pPr>
            <w:r>
              <w:rPr>
                <w:spacing w:val="7"/>
                <w:sz w:val="20"/>
                <w:szCs w:val="20"/>
              </w:rPr>
              <w:t>一般排放口</w:t>
            </w:r>
          </w:p>
        </w:tc>
        <w:tc>
          <w:tcPr>
            <w:tcW w:w="2465" w:type="dxa"/>
            <w:tcBorders>
              <w:right w:val="nil"/>
            </w:tcBorders>
            <w:vAlign w:val="top"/>
          </w:tcPr>
          <w:p w14:paraId="0C63951D">
            <w:pPr>
              <w:pStyle w:val="6"/>
              <w:spacing w:before="64" w:line="213" w:lineRule="auto"/>
              <w:ind w:left="920"/>
              <w:rPr>
                <w:sz w:val="20"/>
                <w:szCs w:val="20"/>
              </w:rPr>
            </w:pPr>
            <w:r>
              <w:rPr>
                <w:spacing w:val="7"/>
                <w:sz w:val="20"/>
                <w:szCs w:val="20"/>
              </w:rPr>
              <w:t>颗粒物</w:t>
            </w:r>
          </w:p>
        </w:tc>
      </w:tr>
      <w:tr w14:paraId="511DBA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653" w:type="dxa"/>
            <w:vMerge w:val="continue"/>
            <w:tcBorders>
              <w:top w:val="nil"/>
              <w:left w:val="nil"/>
            </w:tcBorders>
            <w:vAlign w:val="top"/>
          </w:tcPr>
          <w:p w14:paraId="393A17D1">
            <w:pPr>
              <w:rPr>
                <w:rFonts w:ascii="Arial"/>
                <w:sz w:val="21"/>
              </w:rPr>
            </w:pPr>
          </w:p>
        </w:tc>
        <w:tc>
          <w:tcPr>
            <w:tcW w:w="2683" w:type="dxa"/>
            <w:vAlign w:val="top"/>
          </w:tcPr>
          <w:p w14:paraId="571C87E0">
            <w:pPr>
              <w:pStyle w:val="6"/>
              <w:spacing w:before="63" w:line="214" w:lineRule="auto"/>
              <w:ind w:left="114"/>
              <w:rPr>
                <w:sz w:val="20"/>
                <w:szCs w:val="20"/>
              </w:rPr>
            </w:pPr>
            <w:r>
              <w:rPr>
                <w:spacing w:val="4"/>
                <w:sz w:val="20"/>
                <w:szCs w:val="20"/>
              </w:rPr>
              <w:t>锰硅出铁、出渣及浇铸烟气</w:t>
            </w:r>
          </w:p>
        </w:tc>
        <w:tc>
          <w:tcPr>
            <w:tcW w:w="1576" w:type="dxa"/>
            <w:vAlign w:val="top"/>
          </w:tcPr>
          <w:p w14:paraId="0B943F23">
            <w:pPr>
              <w:spacing w:before="84" w:line="195" w:lineRule="auto"/>
              <w:ind w:left="114"/>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008~</w:t>
            </w: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013</w:t>
            </w:r>
          </w:p>
        </w:tc>
        <w:tc>
          <w:tcPr>
            <w:tcW w:w="1344" w:type="dxa"/>
            <w:vAlign w:val="top"/>
          </w:tcPr>
          <w:p w14:paraId="21E12141">
            <w:pPr>
              <w:pStyle w:val="6"/>
              <w:spacing w:before="63" w:line="214" w:lineRule="auto"/>
              <w:ind w:left="156"/>
              <w:rPr>
                <w:sz w:val="20"/>
                <w:szCs w:val="20"/>
              </w:rPr>
            </w:pPr>
            <w:r>
              <w:rPr>
                <w:spacing w:val="7"/>
                <w:sz w:val="20"/>
                <w:szCs w:val="20"/>
              </w:rPr>
              <w:t>一般排放口</w:t>
            </w:r>
          </w:p>
        </w:tc>
        <w:tc>
          <w:tcPr>
            <w:tcW w:w="2465" w:type="dxa"/>
            <w:tcBorders>
              <w:right w:val="nil"/>
            </w:tcBorders>
            <w:vAlign w:val="top"/>
          </w:tcPr>
          <w:p w14:paraId="00567905">
            <w:pPr>
              <w:pStyle w:val="6"/>
              <w:spacing w:before="63" w:line="214" w:lineRule="auto"/>
              <w:ind w:left="920"/>
              <w:rPr>
                <w:sz w:val="20"/>
                <w:szCs w:val="20"/>
              </w:rPr>
            </w:pPr>
            <w:r>
              <w:rPr>
                <w:spacing w:val="7"/>
                <w:sz w:val="20"/>
                <w:szCs w:val="20"/>
              </w:rPr>
              <w:t>颗粒物</w:t>
            </w:r>
          </w:p>
        </w:tc>
      </w:tr>
      <w:tr w14:paraId="5B4325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8" w:hRule="atLeast"/>
        </w:trPr>
        <w:tc>
          <w:tcPr>
            <w:tcW w:w="653" w:type="dxa"/>
            <w:tcBorders>
              <w:left w:val="nil"/>
            </w:tcBorders>
            <w:vAlign w:val="top"/>
          </w:tcPr>
          <w:p w14:paraId="4B576966">
            <w:pPr>
              <w:pStyle w:val="6"/>
              <w:spacing w:before="62" w:line="262" w:lineRule="auto"/>
              <w:ind w:left="123" w:right="116" w:firstLine="24"/>
              <w:jc w:val="both"/>
              <w:rPr>
                <w:sz w:val="20"/>
                <w:szCs w:val="20"/>
              </w:rPr>
            </w:pPr>
            <w:r>
              <w:rPr>
                <w:spacing w:val="-8"/>
                <w:sz w:val="20"/>
                <w:szCs w:val="20"/>
              </w:rPr>
              <w:t>电炉</w:t>
            </w:r>
            <w:r>
              <w:rPr>
                <w:sz w:val="20"/>
                <w:szCs w:val="20"/>
              </w:rPr>
              <w:t xml:space="preserve"> </w:t>
            </w:r>
            <w:r>
              <w:rPr>
                <w:spacing w:val="4"/>
                <w:sz w:val="20"/>
                <w:szCs w:val="20"/>
              </w:rPr>
              <w:t>煤气</w:t>
            </w:r>
            <w:r>
              <w:rPr>
                <w:sz w:val="20"/>
                <w:szCs w:val="20"/>
              </w:rPr>
              <w:t xml:space="preserve"> </w:t>
            </w:r>
            <w:r>
              <w:rPr>
                <w:spacing w:val="4"/>
                <w:sz w:val="20"/>
                <w:szCs w:val="20"/>
              </w:rPr>
              <w:t>发电</w:t>
            </w:r>
            <w:r>
              <w:rPr>
                <w:sz w:val="20"/>
                <w:szCs w:val="20"/>
              </w:rPr>
              <w:t xml:space="preserve"> </w:t>
            </w:r>
            <w:r>
              <w:rPr>
                <w:spacing w:val="4"/>
                <w:sz w:val="20"/>
                <w:szCs w:val="20"/>
              </w:rPr>
              <w:t>装置</w:t>
            </w:r>
          </w:p>
        </w:tc>
        <w:tc>
          <w:tcPr>
            <w:tcW w:w="2683" w:type="dxa"/>
            <w:vAlign w:val="top"/>
          </w:tcPr>
          <w:p w14:paraId="74B76FCD">
            <w:pPr>
              <w:spacing w:line="430" w:lineRule="auto"/>
              <w:rPr>
                <w:rFonts w:ascii="Arial"/>
                <w:sz w:val="21"/>
              </w:rPr>
            </w:pPr>
          </w:p>
          <w:p w14:paraId="0966D422">
            <w:pPr>
              <w:pStyle w:val="6"/>
              <w:spacing w:before="65" w:line="228" w:lineRule="auto"/>
              <w:ind w:left="717"/>
              <w:rPr>
                <w:sz w:val="20"/>
                <w:szCs w:val="20"/>
              </w:rPr>
            </w:pPr>
            <w:r>
              <w:rPr>
                <w:spacing w:val="8"/>
                <w:sz w:val="20"/>
                <w:szCs w:val="20"/>
              </w:rPr>
              <w:t>燃气锅炉废气</w:t>
            </w:r>
          </w:p>
        </w:tc>
        <w:tc>
          <w:tcPr>
            <w:tcW w:w="1576" w:type="dxa"/>
            <w:vAlign w:val="top"/>
          </w:tcPr>
          <w:p w14:paraId="6A704247">
            <w:pPr>
              <w:spacing w:line="244" w:lineRule="auto"/>
              <w:rPr>
                <w:rFonts w:ascii="Arial"/>
                <w:sz w:val="21"/>
              </w:rPr>
            </w:pPr>
          </w:p>
          <w:p w14:paraId="7BC51BED">
            <w:pPr>
              <w:spacing w:line="245" w:lineRule="auto"/>
              <w:rPr>
                <w:rFonts w:ascii="Arial"/>
                <w:sz w:val="21"/>
              </w:rPr>
            </w:pPr>
          </w:p>
          <w:p w14:paraId="14988D40">
            <w:pPr>
              <w:spacing w:before="58" w:line="195" w:lineRule="auto"/>
              <w:ind w:left="479"/>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014</w:t>
            </w:r>
          </w:p>
        </w:tc>
        <w:tc>
          <w:tcPr>
            <w:tcW w:w="1344" w:type="dxa"/>
            <w:vAlign w:val="top"/>
          </w:tcPr>
          <w:p w14:paraId="5B6AF7CF">
            <w:pPr>
              <w:spacing w:line="446" w:lineRule="auto"/>
              <w:rPr>
                <w:rFonts w:ascii="Arial"/>
                <w:sz w:val="21"/>
              </w:rPr>
            </w:pPr>
          </w:p>
          <w:p w14:paraId="453967CD">
            <w:pPr>
              <w:pStyle w:val="6"/>
              <w:spacing w:before="65" w:line="229" w:lineRule="auto"/>
              <w:ind w:left="155"/>
              <w:rPr>
                <w:sz w:val="20"/>
                <w:szCs w:val="20"/>
              </w:rPr>
            </w:pPr>
            <w:r>
              <w:rPr>
                <w:spacing w:val="7"/>
                <w:sz w:val="20"/>
                <w:szCs w:val="20"/>
              </w:rPr>
              <w:t>主要排放口</w:t>
            </w:r>
          </w:p>
        </w:tc>
        <w:tc>
          <w:tcPr>
            <w:tcW w:w="2465" w:type="dxa"/>
            <w:tcBorders>
              <w:right w:val="nil"/>
            </w:tcBorders>
            <w:vAlign w:val="top"/>
          </w:tcPr>
          <w:p w14:paraId="0BBCCACF">
            <w:pPr>
              <w:spacing w:line="446" w:lineRule="auto"/>
              <w:rPr>
                <w:rFonts w:ascii="Arial"/>
                <w:sz w:val="21"/>
              </w:rPr>
            </w:pPr>
          </w:p>
          <w:p w14:paraId="17914FE2">
            <w:pPr>
              <w:pStyle w:val="6"/>
              <w:spacing w:before="65" w:line="228" w:lineRule="auto"/>
              <w:ind w:left="111"/>
              <w:rPr>
                <w:rFonts w:ascii="Times New Roman" w:hAnsi="Times New Roman" w:eastAsia="Times New Roman" w:cs="Times New Roman"/>
                <w:sz w:val="13"/>
                <w:szCs w:val="13"/>
              </w:rPr>
            </w:pPr>
            <w:r>
              <w:rPr>
                <w:spacing w:val="-2"/>
                <w:sz w:val="20"/>
                <w:szCs w:val="20"/>
              </w:rPr>
              <w:t>颗粒物、</w:t>
            </w:r>
            <w:r>
              <w:rPr>
                <w:rFonts w:ascii="Times New Roman" w:hAnsi="Times New Roman" w:eastAsia="Times New Roman" w:cs="Times New Roman"/>
                <w:spacing w:val="-2"/>
                <w:sz w:val="20"/>
                <w:szCs w:val="20"/>
              </w:rPr>
              <w:t>SO</w:t>
            </w:r>
            <w:r>
              <w:rPr>
                <w:rFonts w:ascii="Times New Roman" w:hAnsi="Times New Roman" w:eastAsia="Times New Roman" w:cs="Times New Roman"/>
                <w:spacing w:val="-2"/>
                <w:position w:val="-1"/>
                <w:sz w:val="13"/>
                <w:szCs w:val="13"/>
              </w:rPr>
              <w:t>2</w:t>
            </w:r>
            <w:r>
              <w:rPr>
                <w:spacing w:val="-2"/>
                <w:sz w:val="20"/>
                <w:szCs w:val="20"/>
              </w:rPr>
              <w:t>、</w:t>
            </w:r>
            <w:r>
              <w:rPr>
                <w:rFonts w:ascii="Times New Roman" w:hAnsi="Times New Roman" w:eastAsia="Times New Roman" w:cs="Times New Roman"/>
                <w:spacing w:val="-2"/>
                <w:sz w:val="20"/>
                <w:szCs w:val="20"/>
              </w:rPr>
              <w:t>NOx</w:t>
            </w:r>
            <w:r>
              <w:rPr>
                <w:spacing w:val="-2"/>
                <w:sz w:val="20"/>
                <w:szCs w:val="20"/>
              </w:rPr>
              <w:t>、</w:t>
            </w:r>
            <w:r>
              <w:rPr>
                <w:rFonts w:ascii="Times New Roman" w:hAnsi="Times New Roman" w:eastAsia="Times New Roman" w:cs="Times New Roman"/>
                <w:spacing w:val="-2"/>
                <w:sz w:val="20"/>
                <w:szCs w:val="20"/>
              </w:rPr>
              <w:t>NH</w:t>
            </w:r>
            <w:r>
              <w:rPr>
                <w:rFonts w:ascii="Times New Roman" w:hAnsi="Times New Roman" w:eastAsia="Times New Roman" w:cs="Times New Roman"/>
                <w:spacing w:val="-2"/>
                <w:position w:val="-1"/>
                <w:sz w:val="13"/>
                <w:szCs w:val="13"/>
              </w:rPr>
              <w:t>3</w:t>
            </w:r>
          </w:p>
        </w:tc>
      </w:tr>
    </w:tbl>
    <w:p w14:paraId="45061F6D">
      <w:pPr>
        <w:spacing w:before="76" w:line="228" w:lineRule="auto"/>
        <w:ind w:left="3807"/>
        <w:rPr>
          <w:rFonts w:ascii="宋体" w:hAnsi="宋体" w:eastAsia="宋体" w:cs="宋体"/>
          <w:sz w:val="20"/>
          <w:szCs w:val="20"/>
        </w:rPr>
      </w:pPr>
      <w:r>
        <w:rPr>
          <w:rFonts w:ascii="宋体" w:hAnsi="宋体" w:eastAsia="宋体" w:cs="宋体"/>
          <w:spacing w:val="8"/>
          <w:sz w:val="20"/>
          <w:szCs w:val="20"/>
        </w:rPr>
        <w:t>废气无组织排放</w:t>
      </w:r>
    </w:p>
    <w:p w14:paraId="3DB66FC5">
      <w:pPr>
        <w:spacing w:line="84" w:lineRule="auto"/>
        <w:rPr>
          <w:rFonts w:ascii="Arial"/>
          <w:sz w:val="2"/>
        </w:rPr>
      </w:pPr>
    </w:p>
    <w:tbl>
      <w:tblPr>
        <w:tblStyle w:val="5"/>
        <w:tblW w:w="8721" w:type="dxa"/>
        <w:tblInd w:w="17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912"/>
        <w:gridCol w:w="1344"/>
        <w:gridCol w:w="2465"/>
      </w:tblGrid>
      <w:tr w14:paraId="257694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4912" w:type="dxa"/>
            <w:tcBorders>
              <w:left w:val="nil"/>
              <w:bottom w:val="single" w:color="000000" w:sz="10" w:space="0"/>
            </w:tcBorders>
            <w:vAlign w:val="top"/>
          </w:tcPr>
          <w:p w14:paraId="3EEBA341">
            <w:pPr>
              <w:pStyle w:val="6"/>
              <w:spacing w:before="79" w:line="228" w:lineRule="auto"/>
              <w:ind w:left="1941"/>
              <w:rPr>
                <w:sz w:val="20"/>
                <w:szCs w:val="20"/>
              </w:rPr>
            </w:pPr>
            <w:r>
              <w:rPr>
                <w:spacing w:val="7"/>
                <w:sz w:val="20"/>
                <w:szCs w:val="20"/>
              </w:rPr>
              <w:t>项目区厂界</w:t>
            </w:r>
          </w:p>
        </w:tc>
        <w:tc>
          <w:tcPr>
            <w:tcW w:w="1344" w:type="dxa"/>
            <w:tcBorders>
              <w:bottom w:val="single" w:color="000000" w:sz="10" w:space="0"/>
            </w:tcBorders>
            <w:vAlign w:val="top"/>
          </w:tcPr>
          <w:p w14:paraId="12FA0601">
            <w:pPr>
              <w:pStyle w:val="6"/>
              <w:spacing w:before="78" w:line="230" w:lineRule="auto"/>
              <w:ind w:left="259"/>
              <w:rPr>
                <w:sz w:val="20"/>
                <w:szCs w:val="20"/>
              </w:rPr>
            </w:pPr>
            <w:r>
              <w:rPr>
                <w:spacing w:val="6"/>
                <w:sz w:val="20"/>
                <w:szCs w:val="20"/>
              </w:rPr>
              <w:t>企业周边</w:t>
            </w:r>
          </w:p>
        </w:tc>
        <w:tc>
          <w:tcPr>
            <w:tcW w:w="2465" w:type="dxa"/>
            <w:tcBorders>
              <w:bottom w:val="single" w:color="000000" w:sz="10" w:space="0"/>
              <w:right w:val="nil"/>
            </w:tcBorders>
            <w:vAlign w:val="top"/>
          </w:tcPr>
          <w:p w14:paraId="2306B76C">
            <w:pPr>
              <w:pStyle w:val="6"/>
              <w:spacing w:before="79" w:line="228" w:lineRule="auto"/>
              <w:ind w:left="632"/>
              <w:rPr>
                <w:rFonts w:ascii="Times New Roman" w:hAnsi="Times New Roman" w:eastAsia="Times New Roman" w:cs="Times New Roman"/>
                <w:sz w:val="13"/>
                <w:szCs w:val="13"/>
              </w:rPr>
            </w:pPr>
            <w:r>
              <w:rPr>
                <w:spacing w:val="9"/>
                <w:sz w:val="20"/>
                <w:szCs w:val="20"/>
              </w:rPr>
              <w:t>颗粒物、</w:t>
            </w:r>
            <w:r>
              <w:rPr>
                <w:rFonts w:ascii="Times New Roman" w:hAnsi="Times New Roman" w:eastAsia="Times New Roman" w:cs="Times New Roman"/>
                <w:sz w:val="20"/>
                <w:szCs w:val="20"/>
              </w:rPr>
              <w:t>NH</w:t>
            </w:r>
            <w:r>
              <w:rPr>
                <w:rFonts w:ascii="Times New Roman" w:hAnsi="Times New Roman" w:eastAsia="Times New Roman" w:cs="Times New Roman"/>
                <w:spacing w:val="9"/>
                <w:position w:val="-1"/>
                <w:sz w:val="13"/>
                <w:szCs w:val="13"/>
              </w:rPr>
              <w:t>3</w:t>
            </w:r>
          </w:p>
        </w:tc>
      </w:tr>
    </w:tbl>
    <w:p w14:paraId="796BCFB1">
      <w:pPr>
        <w:pStyle w:val="2"/>
      </w:pPr>
    </w:p>
    <w:p w14:paraId="7C3CD9B7">
      <w:pPr>
        <w:sectPr>
          <w:headerReference r:id="rId196" w:type="default"/>
          <w:footerReference r:id="rId197" w:type="default"/>
          <w:pgSz w:w="11907" w:h="16840"/>
          <w:pgMar w:top="1587" w:right="1317" w:bottom="1297" w:left="1417" w:header="1278" w:footer="1135" w:gutter="0"/>
          <w:cols w:space="720" w:num="1"/>
        </w:sectPr>
      </w:pPr>
    </w:p>
    <w:p w14:paraId="13C19033">
      <w:pPr>
        <w:spacing w:before="73" w:line="219" w:lineRule="auto"/>
        <w:ind w:left="108"/>
        <w:outlineLvl w:val="2"/>
        <w:rPr>
          <w:rFonts w:ascii="宋体" w:hAnsi="宋体" w:eastAsia="宋体" w:cs="宋体"/>
          <w:sz w:val="28"/>
          <w:szCs w:val="28"/>
        </w:rPr>
      </w:pPr>
      <w:r>
        <w:pict>
          <v:shape id="_x0000_s1242" o:spid="_x0000_s1242" style="position:absolute;left:0pt;margin-left:70.85pt;margin-top:80.1pt;height:0.75pt;width:453.65pt;mso-position-horizontal-relative:page;mso-position-vertical-relative:page;z-index:251900928;mso-width-relative:page;mso-height-relative:page;" fillcolor="#000000" filled="t" stroked="f" coordsize="9072,15" o:allowincell="f" path="m0,0l9072,0,9072,14,0,14,0,0xe">
            <v:path/>
            <v:fill on="t" focussize="0,0"/>
            <v:stroke on="f"/>
            <v:imagedata o:title=""/>
            <o:lock v:ext="edit"/>
          </v:shape>
        </w:pict>
      </w:r>
      <w:bookmarkStart w:id="332" w:name="bookmark132"/>
      <w:bookmarkEnd w:id="332"/>
      <w:r>
        <w:rPr>
          <w:rFonts w:ascii="Times New Roman" w:hAnsi="Times New Roman" w:eastAsia="Times New Roman" w:cs="Times New Roman"/>
          <w:b/>
          <w:bCs/>
          <w:spacing w:val="-2"/>
          <w:sz w:val="28"/>
          <w:szCs w:val="28"/>
        </w:rPr>
        <w:t xml:space="preserve">2.5.2 </w:t>
      </w:r>
      <w:r>
        <w:rPr>
          <w:rFonts w:ascii="宋体" w:hAnsi="宋体" w:eastAsia="宋体" w:cs="宋体"/>
          <w:b/>
          <w:bCs/>
          <w:spacing w:val="-2"/>
          <w:sz w:val="28"/>
          <w:szCs w:val="28"/>
        </w:rPr>
        <w:t>本项目排污许可情况</w:t>
      </w:r>
    </w:p>
    <w:p w14:paraId="1FA177B0">
      <w:pPr>
        <w:spacing w:before="208" w:line="352" w:lineRule="auto"/>
        <w:ind w:left="110" w:right="101" w:firstLine="483"/>
        <w:jc w:val="both"/>
        <w:rPr>
          <w:rFonts w:ascii="宋体" w:hAnsi="宋体" w:eastAsia="宋体" w:cs="宋体"/>
          <w:sz w:val="24"/>
          <w:szCs w:val="24"/>
        </w:rPr>
      </w:pPr>
      <w:r>
        <w:rPr>
          <w:rFonts w:ascii="宋体" w:hAnsi="宋体" w:eastAsia="宋体" w:cs="宋体"/>
          <w:spacing w:val="-2"/>
          <w:sz w:val="24"/>
          <w:szCs w:val="24"/>
        </w:rPr>
        <w:t>根据产排污节点及对应排放口类型，确定本项目废气污染源中烧结生产系统烧结机</w:t>
      </w:r>
      <w:r>
        <w:rPr>
          <w:rFonts w:ascii="宋体" w:hAnsi="宋体" w:eastAsia="宋体" w:cs="宋体"/>
          <w:spacing w:val="13"/>
          <w:sz w:val="24"/>
          <w:szCs w:val="24"/>
        </w:rPr>
        <w:t xml:space="preserve"> </w:t>
      </w:r>
      <w:r>
        <w:rPr>
          <w:rFonts w:ascii="宋体" w:hAnsi="宋体" w:eastAsia="宋体" w:cs="宋体"/>
          <w:spacing w:val="-2"/>
          <w:sz w:val="24"/>
          <w:szCs w:val="24"/>
        </w:rPr>
        <w:t>机头废气、机尾废气排放口为主要排放口，许可排放浓度及排放量；其余废气排放口为</w:t>
      </w:r>
      <w:r>
        <w:rPr>
          <w:rFonts w:ascii="宋体" w:hAnsi="宋体" w:eastAsia="宋体" w:cs="宋体"/>
          <w:spacing w:val="18"/>
          <w:sz w:val="24"/>
          <w:szCs w:val="24"/>
        </w:rPr>
        <w:t xml:space="preserve"> </w:t>
      </w:r>
      <w:r>
        <w:rPr>
          <w:rFonts w:ascii="宋体" w:hAnsi="宋体" w:eastAsia="宋体" w:cs="宋体"/>
          <w:spacing w:val="-1"/>
          <w:sz w:val="24"/>
          <w:szCs w:val="24"/>
        </w:rPr>
        <w:t>一般排放口，只许可浓度，不许可排放量；运</w:t>
      </w:r>
      <w:r>
        <w:rPr>
          <w:rFonts w:ascii="宋体" w:hAnsi="宋体" w:eastAsia="宋体" w:cs="宋体"/>
          <w:spacing w:val="-2"/>
          <w:sz w:val="24"/>
          <w:szCs w:val="24"/>
        </w:rPr>
        <w:t>营期废水经厂区内污水处理站处理后全部</w:t>
      </w:r>
      <w:r>
        <w:rPr>
          <w:rFonts w:ascii="宋体" w:hAnsi="宋体" w:eastAsia="宋体" w:cs="宋体"/>
          <w:sz w:val="24"/>
          <w:szCs w:val="24"/>
        </w:rPr>
        <w:t xml:space="preserve"> </w:t>
      </w:r>
      <w:r>
        <w:rPr>
          <w:rFonts w:ascii="宋体" w:hAnsi="宋体" w:eastAsia="宋体" w:cs="宋体"/>
          <w:spacing w:val="-1"/>
          <w:sz w:val="24"/>
          <w:szCs w:val="24"/>
        </w:rPr>
        <w:t>回用，不外排，不许可排放浓度和排放量。</w:t>
      </w:r>
    </w:p>
    <w:p w14:paraId="6DD74DA9">
      <w:pPr>
        <w:spacing w:before="30" w:line="223" w:lineRule="auto"/>
        <w:ind w:left="2557"/>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1"/>
          <w:sz w:val="20"/>
          <w:szCs w:val="20"/>
        </w:rPr>
        <w:t xml:space="preserve"> </w:t>
      </w:r>
      <w:r>
        <w:rPr>
          <w:rFonts w:ascii="Times New Roman" w:hAnsi="Times New Roman" w:eastAsia="Times New Roman" w:cs="Times New Roman"/>
          <w:b/>
          <w:bCs/>
          <w:spacing w:val="5"/>
          <w:sz w:val="20"/>
          <w:szCs w:val="20"/>
        </w:rPr>
        <w:t xml:space="preserve">2.5-2          </w:t>
      </w:r>
      <w:r>
        <w:rPr>
          <w:rFonts w:ascii="宋体" w:hAnsi="宋体" w:eastAsia="宋体" w:cs="宋体"/>
          <w:b/>
          <w:bCs/>
          <w:spacing w:val="5"/>
          <w:sz w:val="20"/>
          <w:szCs w:val="20"/>
        </w:rPr>
        <w:t>本项目废气许可浓度及许可限值</w:t>
      </w:r>
    </w:p>
    <w:tbl>
      <w:tblPr>
        <w:tblStyle w:val="5"/>
        <w:tblW w:w="927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26"/>
        <w:gridCol w:w="2300"/>
        <w:gridCol w:w="1163"/>
        <w:gridCol w:w="938"/>
        <w:gridCol w:w="1011"/>
        <w:gridCol w:w="800"/>
        <w:gridCol w:w="998"/>
        <w:gridCol w:w="841"/>
      </w:tblGrid>
      <w:tr w14:paraId="2F8E54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3526" w:type="dxa"/>
            <w:gridSpan w:val="2"/>
            <w:vMerge w:val="restart"/>
            <w:tcBorders>
              <w:top w:val="single" w:color="000000" w:sz="10" w:space="0"/>
              <w:left w:val="nil"/>
              <w:bottom w:val="nil"/>
            </w:tcBorders>
            <w:vAlign w:val="top"/>
          </w:tcPr>
          <w:p w14:paraId="56921C21">
            <w:pPr>
              <w:spacing w:line="262" w:lineRule="auto"/>
              <w:rPr>
                <w:rFonts w:ascii="Arial"/>
                <w:sz w:val="21"/>
              </w:rPr>
            </w:pPr>
          </w:p>
          <w:p w14:paraId="6D89BC5F">
            <w:pPr>
              <w:pStyle w:val="6"/>
              <w:spacing w:before="58" w:line="220" w:lineRule="auto"/>
              <w:ind w:left="1322"/>
              <w:rPr>
                <w:sz w:val="18"/>
                <w:szCs w:val="18"/>
              </w:rPr>
            </w:pPr>
            <w:r>
              <w:rPr>
                <w:spacing w:val="-2"/>
                <w:sz w:val="18"/>
                <w:szCs w:val="18"/>
              </w:rPr>
              <w:t>污染源名称</w:t>
            </w:r>
          </w:p>
        </w:tc>
        <w:tc>
          <w:tcPr>
            <w:tcW w:w="1163" w:type="dxa"/>
            <w:vMerge w:val="restart"/>
            <w:tcBorders>
              <w:top w:val="single" w:color="000000" w:sz="10" w:space="0"/>
              <w:bottom w:val="nil"/>
            </w:tcBorders>
            <w:vAlign w:val="top"/>
          </w:tcPr>
          <w:p w14:paraId="5ED0597C">
            <w:pPr>
              <w:spacing w:line="262" w:lineRule="auto"/>
              <w:rPr>
                <w:rFonts w:ascii="Arial"/>
                <w:sz w:val="21"/>
              </w:rPr>
            </w:pPr>
          </w:p>
          <w:p w14:paraId="28E74DA8">
            <w:pPr>
              <w:pStyle w:val="6"/>
              <w:spacing w:before="58" w:line="219" w:lineRule="auto"/>
              <w:ind w:left="134"/>
              <w:rPr>
                <w:sz w:val="18"/>
                <w:szCs w:val="18"/>
              </w:rPr>
            </w:pPr>
            <w:r>
              <w:rPr>
                <w:spacing w:val="-2"/>
                <w:sz w:val="18"/>
                <w:szCs w:val="18"/>
              </w:rPr>
              <w:t>排放口类型</w:t>
            </w:r>
          </w:p>
        </w:tc>
        <w:tc>
          <w:tcPr>
            <w:tcW w:w="938" w:type="dxa"/>
            <w:vMerge w:val="restart"/>
            <w:tcBorders>
              <w:top w:val="single" w:color="000000" w:sz="10" w:space="0"/>
              <w:bottom w:val="nil"/>
            </w:tcBorders>
            <w:vAlign w:val="top"/>
          </w:tcPr>
          <w:p w14:paraId="0CA72A0D">
            <w:pPr>
              <w:spacing w:line="262" w:lineRule="auto"/>
              <w:rPr>
                <w:rFonts w:ascii="Arial"/>
                <w:sz w:val="21"/>
              </w:rPr>
            </w:pPr>
          </w:p>
          <w:p w14:paraId="0D483B58">
            <w:pPr>
              <w:pStyle w:val="6"/>
              <w:spacing w:before="58" w:line="220" w:lineRule="auto"/>
              <w:ind w:left="204"/>
              <w:rPr>
                <w:sz w:val="18"/>
                <w:szCs w:val="18"/>
              </w:rPr>
            </w:pPr>
            <w:r>
              <w:rPr>
                <w:spacing w:val="-3"/>
                <w:sz w:val="18"/>
                <w:szCs w:val="18"/>
              </w:rPr>
              <w:t>污染物</w:t>
            </w:r>
          </w:p>
        </w:tc>
        <w:tc>
          <w:tcPr>
            <w:tcW w:w="1811" w:type="dxa"/>
            <w:gridSpan w:val="2"/>
            <w:tcBorders>
              <w:top w:val="single" w:color="000000" w:sz="10" w:space="0"/>
            </w:tcBorders>
            <w:vAlign w:val="top"/>
          </w:tcPr>
          <w:p w14:paraId="35EE835E">
            <w:pPr>
              <w:pStyle w:val="6"/>
              <w:spacing w:before="77" w:line="219" w:lineRule="auto"/>
              <w:ind w:left="641"/>
              <w:rPr>
                <w:sz w:val="18"/>
                <w:szCs w:val="18"/>
              </w:rPr>
            </w:pPr>
            <w:r>
              <w:rPr>
                <w:spacing w:val="-3"/>
                <w:sz w:val="18"/>
                <w:szCs w:val="18"/>
              </w:rPr>
              <w:t>预测值</w:t>
            </w:r>
          </w:p>
        </w:tc>
        <w:tc>
          <w:tcPr>
            <w:tcW w:w="1839" w:type="dxa"/>
            <w:gridSpan w:val="2"/>
            <w:tcBorders>
              <w:top w:val="single" w:color="000000" w:sz="10" w:space="0"/>
              <w:right w:val="nil"/>
            </w:tcBorders>
            <w:vAlign w:val="top"/>
          </w:tcPr>
          <w:p w14:paraId="3F6FFDA2">
            <w:pPr>
              <w:pStyle w:val="6"/>
              <w:spacing w:before="77" w:line="219" w:lineRule="auto"/>
              <w:ind w:left="565"/>
              <w:rPr>
                <w:sz w:val="18"/>
                <w:szCs w:val="18"/>
              </w:rPr>
            </w:pPr>
            <w:r>
              <w:rPr>
                <w:spacing w:val="-2"/>
                <w:sz w:val="18"/>
                <w:szCs w:val="18"/>
              </w:rPr>
              <w:t>许可限值</w:t>
            </w:r>
          </w:p>
        </w:tc>
      </w:tr>
      <w:tr w14:paraId="4702AE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atLeast"/>
        </w:trPr>
        <w:tc>
          <w:tcPr>
            <w:tcW w:w="3526" w:type="dxa"/>
            <w:gridSpan w:val="2"/>
            <w:vMerge w:val="continue"/>
            <w:tcBorders>
              <w:top w:val="nil"/>
              <w:left w:val="nil"/>
            </w:tcBorders>
            <w:vAlign w:val="top"/>
          </w:tcPr>
          <w:p w14:paraId="03F4254C">
            <w:pPr>
              <w:rPr>
                <w:rFonts w:ascii="Arial"/>
                <w:sz w:val="21"/>
              </w:rPr>
            </w:pPr>
          </w:p>
        </w:tc>
        <w:tc>
          <w:tcPr>
            <w:tcW w:w="1163" w:type="dxa"/>
            <w:vMerge w:val="continue"/>
            <w:tcBorders>
              <w:top w:val="nil"/>
            </w:tcBorders>
            <w:vAlign w:val="top"/>
          </w:tcPr>
          <w:p w14:paraId="46051EC0">
            <w:pPr>
              <w:rPr>
                <w:rFonts w:ascii="Arial"/>
                <w:sz w:val="21"/>
              </w:rPr>
            </w:pPr>
          </w:p>
        </w:tc>
        <w:tc>
          <w:tcPr>
            <w:tcW w:w="938" w:type="dxa"/>
            <w:vMerge w:val="continue"/>
            <w:tcBorders>
              <w:top w:val="nil"/>
            </w:tcBorders>
            <w:vAlign w:val="top"/>
          </w:tcPr>
          <w:p w14:paraId="3CA5242B">
            <w:pPr>
              <w:rPr>
                <w:rFonts w:ascii="Arial"/>
                <w:sz w:val="21"/>
              </w:rPr>
            </w:pPr>
          </w:p>
        </w:tc>
        <w:tc>
          <w:tcPr>
            <w:tcW w:w="1011" w:type="dxa"/>
            <w:vAlign w:val="top"/>
          </w:tcPr>
          <w:p w14:paraId="6C36E21C">
            <w:pPr>
              <w:pStyle w:val="6"/>
              <w:spacing w:before="39" w:line="222" w:lineRule="auto"/>
              <w:ind w:left="122" w:right="79" w:firstLine="26"/>
              <w:rPr>
                <w:sz w:val="18"/>
                <w:szCs w:val="18"/>
              </w:rPr>
            </w:pPr>
            <w:r>
              <w:rPr>
                <w:spacing w:val="-2"/>
                <w:sz w:val="18"/>
                <w:szCs w:val="18"/>
              </w:rPr>
              <w:t>排放浓度</w:t>
            </w:r>
            <w:r>
              <w:rPr>
                <w:sz w:val="18"/>
                <w:szCs w:val="18"/>
              </w:rPr>
              <w:t xml:space="preserve"> </w:t>
            </w:r>
            <w:r>
              <w:rPr>
                <w:spacing w:val="-5"/>
                <w:sz w:val="18"/>
                <w:szCs w:val="18"/>
              </w:rPr>
              <w:t>（</w:t>
            </w:r>
            <w:r>
              <w:rPr>
                <w:rFonts w:ascii="Times New Roman" w:hAnsi="Times New Roman" w:eastAsia="Times New Roman" w:cs="Times New Roman"/>
                <w:spacing w:val="-5"/>
                <w:sz w:val="18"/>
                <w:szCs w:val="18"/>
              </w:rPr>
              <w:t>mg/m</w:t>
            </w:r>
            <w:r>
              <w:rPr>
                <w:rFonts w:ascii="Times New Roman" w:hAnsi="Times New Roman" w:eastAsia="Times New Roman" w:cs="Times New Roman"/>
                <w:spacing w:val="-5"/>
                <w:position w:val="5"/>
                <w:sz w:val="11"/>
                <w:szCs w:val="11"/>
              </w:rPr>
              <w:t>3</w:t>
            </w:r>
            <w:r>
              <w:rPr>
                <w:spacing w:val="-5"/>
                <w:sz w:val="18"/>
                <w:szCs w:val="18"/>
              </w:rPr>
              <w:t>）</w:t>
            </w:r>
          </w:p>
        </w:tc>
        <w:tc>
          <w:tcPr>
            <w:tcW w:w="800" w:type="dxa"/>
            <w:vAlign w:val="top"/>
          </w:tcPr>
          <w:p w14:paraId="3E02D65F">
            <w:pPr>
              <w:pStyle w:val="6"/>
              <w:spacing w:before="39" w:line="222" w:lineRule="auto"/>
              <w:ind w:left="142" w:right="128" w:hanging="9"/>
              <w:rPr>
                <w:sz w:val="18"/>
                <w:szCs w:val="18"/>
              </w:rPr>
            </w:pPr>
            <w:r>
              <w:rPr>
                <w:spacing w:val="-3"/>
                <w:sz w:val="18"/>
                <w:szCs w:val="18"/>
              </w:rPr>
              <w:t>排放量</w:t>
            </w:r>
            <w:r>
              <w:rPr>
                <w:sz w:val="18"/>
                <w:szCs w:val="18"/>
              </w:rPr>
              <w:t xml:space="preserve"> </w:t>
            </w:r>
            <w:r>
              <w:rPr>
                <w:spacing w:val="-4"/>
                <w:sz w:val="18"/>
                <w:szCs w:val="18"/>
              </w:rPr>
              <w:t>（</w:t>
            </w:r>
            <w:r>
              <w:rPr>
                <w:rFonts w:ascii="Times New Roman" w:hAnsi="Times New Roman" w:eastAsia="Times New Roman" w:cs="Times New Roman"/>
                <w:spacing w:val="-4"/>
                <w:sz w:val="18"/>
                <w:szCs w:val="18"/>
              </w:rPr>
              <w:t>t/a</w:t>
            </w:r>
            <w:r>
              <w:rPr>
                <w:spacing w:val="-4"/>
                <w:sz w:val="18"/>
                <w:szCs w:val="18"/>
              </w:rPr>
              <w:t>）</w:t>
            </w:r>
          </w:p>
        </w:tc>
        <w:tc>
          <w:tcPr>
            <w:tcW w:w="998" w:type="dxa"/>
            <w:vAlign w:val="top"/>
          </w:tcPr>
          <w:p w14:paraId="461D3953">
            <w:pPr>
              <w:pStyle w:val="6"/>
              <w:spacing w:before="40" w:line="220" w:lineRule="auto"/>
              <w:ind w:left="324"/>
              <w:rPr>
                <w:sz w:val="18"/>
                <w:szCs w:val="18"/>
              </w:rPr>
            </w:pPr>
            <w:r>
              <w:rPr>
                <w:spacing w:val="-4"/>
                <w:sz w:val="18"/>
                <w:szCs w:val="18"/>
              </w:rPr>
              <w:t>浓度</w:t>
            </w:r>
          </w:p>
          <w:p w14:paraId="0D645188">
            <w:pPr>
              <w:pStyle w:val="6"/>
              <w:spacing w:before="25" w:line="197" w:lineRule="auto"/>
              <w:ind w:left="123"/>
              <w:rPr>
                <w:sz w:val="18"/>
                <w:szCs w:val="18"/>
              </w:rPr>
            </w:pPr>
            <w:r>
              <w:rPr>
                <w:spacing w:val="-3"/>
                <w:sz w:val="18"/>
                <w:szCs w:val="18"/>
              </w:rPr>
              <w:t>（</w:t>
            </w:r>
            <w:r>
              <w:rPr>
                <w:rFonts w:ascii="Times New Roman" w:hAnsi="Times New Roman" w:eastAsia="Times New Roman" w:cs="Times New Roman"/>
                <w:spacing w:val="-3"/>
                <w:sz w:val="18"/>
                <w:szCs w:val="18"/>
              </w:rPr>
              <w:t>mg/m</w:t>
            </w:r>
            <w:r>
              <w:rPr>
                <w:rFonts w:ascii="Times New Roman" w:hAnsi="Times New Roman" w:eastAsia="Times New Roman" w:cs="Times New Roman"/>
                <w:spacing w:val="-3"/>
                <w:position w:val="5"/>
                <w:sz w:val="11"/>
                <w:szCs w:val="11"/>
              </w:rPr>
              <w:t>3</w:t>
            </w:r>
            <w:r>
              <w:rPr>
                <w:spacing w:val="-3"/>
                <w:sz w:val="18"/>
                <w:szCs w:val="18"/>
              </w:rPr>
              <w:t>）</w:t>
            </w:r>
          </w:p>
        </w:tc>
        <w:tc>
          <w:tcPr>
            <w:tcW w:w="841" w:type="dxa"/>
            <w:tcBorders>
              <w:right w:val="nil"/>
            </w:tcBorders>
            <w:vAlign w:val="top"/>
          </w:tcPr>
          <w:p w14:paraId="14B891A0">
            <w:pPr>
              <w:pStyle w:val="6"/>
              <w:spacing w:before="39" w:line="222" w:lineRule="auto"/>
              <w:ind w:left="164" w:right="150" w:hanging="9"/>
              <w:rPr>
                <w:sz w:val="18"/>
                <w:szCs w:val="18"/>
              </w:rPr>
            </w:pPr>
            <w:r>
              <w:rPr>
                <w:spacing w:val="-3"/>
                <w:sz w:val="18"/>
                <w:szCs w:val="18"/>
              </w:rPr>
              <w:t>许可量</w:t>
            </w:r>
            <w:r>
              <w:rPr>
                <w:sz w:val="18"/>
                <w:szCs w:val="18"/>
              </w:rPr>
              <w:t xml:space="preserve"> </w:t>
            </w:r>
            <w:r>
              <w:rPr>
                <w:spacing w:val="-4"/>
                <w:sz w:val="18"/>
                <w:szCs w:val="18"/>
              </w:rPr>
              <w:t>（</w:t>
            </w:r>
            <w:r>
              <w:rPr>
                <w:rFonts w:ascii="Times New Roman" w:hAnsi="Times New Roman" w:eastAsia="Times New Roman" w:cs="Times New Roman"/>
                <w:spacing w:val="-4"/>
                <w:sz w:val="18"/>
                <w:szCs w:val="18"/>
              </w:rPr>
              <w:t>t/a</w:t>
            </w:r>
            <w:r>
              <w:rPr>
                <w:spacing w:val="-4"/>
                <w:sz w:val="18"/>
                <w:szCs w:val="18"/>
              </w:rPr>
              <w:t>）</w:t>
            </w:r>
          </w:p>
        </w:tc>
      </w:tr>
      <w:tr w14:paraId="793901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226" w:type="dxa"/>
            <w:vMerge w:val="restart"/>
            <w:tcBorders>
              <w:left w:val="nil"/>
              <w:bottom w:val="nil"/>
            </w:tcBorders>
            <w:vAlign w:val="top"/>
          </w:tcPr>
          <w:p w14:paraId="1A77A4E1">
            <w:pPr>
              <w:spacing w:line="286" w:lineRule="auto"/>
              <w:rPr>
                <w:rFonts w:ascii="Arial"/>
                <w:sz w:val="21"/>
              </w:rPr>
            </w:pPr>
          </w:p>
          <w:p w14:paraId="4859BCD6">
            <w:pPr>
              <w:spacing w:line="287" w:lineRule="auto"/>
              <w:rPr>
                <w:rFonts w:ascii="Arial"/>
                <w:sz w:val="21"/>
              </w:rPr>
            </w:pPr>
          </w:p>
          <w:p w14:paraId="5D041CCD">
            <w:pPr>
              <w:spacing w:line="287" w:lineRule="auto"/>
              <w:rPr>
                <w:rFonts w:ascii="Arial"/>
                <w:sz w:val="21"/>
              </w:rPr>
            </w:pPr>
          </w:p>
          <w:p w14:paraId="63F7A6BF">
            <w:pPr>
              <w:spacing w:line="287" w:lineRule="auto"/>
              <w:rPr>
                <w:rFonts w:ascii="Arial"/>
                <w:sz w:val="21"/>
              </w:rPr>
            </w:pPr>
          </w:p>
          <w:p w14:paraId="67F491D6">
            <w:pPr>
              <w:spacing w:line="287" w:lineRule="auto"/>
              <w:rPr>
                <w:rFonts w:ascii="Arial"/>
                <w:sz w:val="21"/>
              </w:rPr>
            </w:pPr>
          </w:p>
          <w:p w14:paraId="0E871808">
            <w:pPr>
              <w:pStyle w:val="6"/>
              <w:spacing w:before="58" w:line="233" w:lineRule="auto"/>
              <w:ind w:left="440" w:right="161" w:hanging="271"/>
              <w:rPr>
                <w:sz w:val="18"/>
                <w:szCs w:val="18"/>
              </w:rPr>
            </w:pPr>
            <w:r>
              <w:rPr>
                <w:spacing w:val="-2"/>
                <w:sz w:val="18"/>
                <w:szCs w:val="18"/>
              </w:rPr>
              <w:t>锰硅合金生</w:t>
            </w:r>
            <w:r>
              <w:rPr>
                <w:spacing w:val="1"/>
                <w:sz w:val="18"/>
                <w:szCs w:val="18"/>
              </w:rPr>
              <w:t xml:space="preserve"> </w:t>
            </w:r>
            <w:r>
              <w:rPr>
                <w:spacing w:val="-4"/>
                <w:sz w:val="18"/>
                <w:szCs w:val="18"/>
              </w:rPr>
              <w:t>产区</w:t>
            </w:r>
          </w:p>
        </w:tc>
        <w:tc>
          <w:tcPr>
            <w:tcW w:w="2300" w:type="dxa"/>
            <w:vMerge w:val="restart"/>
            <w:tcBorders>
              <w:bottom w:val="nil"/>
            </w:tcBorders>
            <w:vAlign w:val="top"/>
          </w:tcPr>
          <w:p w14:paraId="4BAFBA74">
            <w:pPr>
              <w:spacing w:line="281" w:lineRule="auto"/>
              <w:rPr>
                <w:rFonts w:ascii="Arial"/>
                <w:sz w:val="21"/>
              </w:rPr>
            </w:pPr>
          </w:p>
          <w:p w14:paraId="02BF4DF8">
            <w:pPr>
              <w:pStyle w:val="6"/>
              <w:spacing w:before="59" w:line="219" w:lineRule="auto"/>
              <w:ind w:left="164"/>
              <w:rPr>
                <w:sz w:val="18"/>
                <w:szCs w:val="18"/>
              </w:rPr>
            </w:pPr>
            <w:r>
              <w:rPr>
                <w:spacing w:val="-1"/>
                <w:sz w:val="18"/>
                <w:szCs w:val="18"/>
              </w:rPr>
              <w:t>焦炭烘干、筛分出料废气</w:t>
            </w:r>
          </w:p>
        </w:tc>
        <w:tc>
          <w:tcPr>
            <w:tcW w:w="1163" w:type="dxa"/>
            <w:vMerge w:val="restart"/>
            <w:tcBorders>
              <w:bottom w:val="nil"/>
            </w:tcBorders>
            <w:vAlign w:val="top"/>
          </w:tcPr>
          <w:p w14:paraId="652A8706">
            <w:pPr>
              <w:spacing w:line="282" w:lineRule="auto"/>
              <w:rPr>
                <w:rFonts w:ascii="Arial"/>
                <w:sz w:val="21"/>
              </w:rPr>
            </w:pPr>
          </w:p>
          <w:p w14:paraId="6D2ED54F">
            <w:pPr>
              <w:pStyle w:val="6"/>
              <w:spacing w:before="58" w:line="221" w:lineRule="auto"/>
              <w:ind w:left="137"/>
              <w:rPr>
                <w:sz w:val="18"/>
                <w:szCs w:val="18"/>
              </w:rPr>
            </w:pPr>
            <w:r>
              <w:rPr>
                <w:spacing w:val="-2"/>
                <w:sz w:val="18"/>
                <w:szCs w:val="18"/>
              </w:rPr>
              <w:t>一般排放口</w:t>
            </w:r>
          </w:p>
        </w:tc>
        <w:tc>
          <w:tcPr>
            <w:tcW w:w="938" w:type="dxa"/>
            <w:vAlign w:val="top"/>
          </w:tcPr>
          <w:p w14:paraId="55B2D4F3">
            <w:pPr>
              <w:pStyle w:val="6"/>
              <w:spacing w:before="59" w:line="214" w:lineRule="auto"/>
              <w:ind w:left="202"/>
              <w:rPr>
                <w:sz w:val="18"/>
                <w:szCs w:val="18"/>
              </w:rPr>
            </w:pPr>
            <w:r>
              <w:rPr>
                <w:spacing w:val="-3"/>
                <w:sz w:val="18"/>
                <w:szCs w:val="18"/>
              </w:rPr>
              <w:t>颗粒物</w:t>
            </w:r>
          </w:p>
        </w:tc>
        <w:tc>
          <w:tcPr>
            <w:tcW w:w="1011" w:type="dxa"/>
            <w:vAlign w:val="top"/>
          </w:tcPr>
          <w:p w14:paraId="2A35B71D">
            <w:pPr>
              <w:spacing w:before="90" w:line="188" w:lineRule="auto"/>
              <w:ind w:left="325"/>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11.01</w:t>
            </w:r>
          </w:p>
        </w:tc>
        <w:tc>
          <w:tcPr>
            <w:tcW w:w="800" w:type="dxa"/>
            <w:vAlign w:val="top"/>
          </w:tcPr>
          <w:p w14:paraId="7548B0CE">
            <w:pPr>
              <w:spacing w:before="90" w:line="188" w:lineRule="auto"/>
              <w:ind w:left="260"/>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1.16</w:t>
            </w:r>
          </w:p>
        </w:tc>
        <w:tc>
          <w:tcPr>
            <w:tcW w:w="998" w:type="dxa"/>
            <w:vAlign w:val="top"/>
          </w:tcPr>
          <w:p w14:paraId="1688ACE7">
            <w:pPr>
              <w:spacing w:before="90" w:line="188" w:lineRule="auto"/>
              <w:ind w:left="4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c>
          <w:tcPr>
            <w:tcW w:w="841" w:type="dxa"/>
            <w:tcBorders>
              <w:right w:val="nil"/>
            </w:tcBorders>
            <w:vAlign w:val="top"/>
          </w:tcPr>
          <w:p w14:paraId="3AC81716">
            <w:pPr>
              <w:spacing w:before="87" w:line="192" w:lineRule="auto"/>
              <w:ind w:left="39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58BD72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226" w:type="dxa"/>
            <w:vMerge w:val="continue"/>
            <w:tcBorders>
              <w:top w:val="nil"/>
              <w:left w:val="nil"/>
              <w:bottom w:val="nil"/>
            </w:tcBorders>
            <w:vAlign w:val="top"/>
          </w:tcPr>
          <w:p w14:paraId="2EB38475">
            <w:pPr>
              <w:rPr>
                <w:rFonts w:ascii="Arial"/>
                <w:sz w:val="21"/>
              </w:rPr>
            </w:pPr>
          </w:p>
        </w:tc>
        <w:tc>
          <w:tcPr>
            <w:tcW w:w="2300" w:type="dxa"/>
            <w:vMerge w:val="continue"/>
            <w:tcBorders>
              <w:top w:val="nil"/>
              <w:bottom w:val="nil"/>
            </w:tcBorders>
            <w:vAlign w:val="top"/>
          </w:tcPr>
          <w:p w14:paraId="1C544621">
            <w:pPr>
              <w:rPr>
                <w:rFonts w:ascii="Arial"/>
                <w:sz w:val="21"/>
              </w:rPr>
            </w:pPr>
          </w:p>
        </w:tc>
        <w:tc>
          <w:tcPr>
            <w:tcW w:w="1163" w:type="dxa"/>
            <w:vMerge w:val="continue"/>
            <w:tcBorders>
              <w:top w:val="nil"/>
              <w:bottom w:val="nil"/>
            </w:tcBorders>
            <w:vAlign w:val="top"/>
          </w:tcPr>
          <w:p w14:paraId="0550E562">
            <w:pPr>
              <w:rPr>
                <w:rFonts w:ascii="Arial"/>
                <w:sz w:val="21"/>
              </w:rPr>
            </w:pPr>
          </w:p>
        </w:tc>
        <w:tc>
          <w:tcPr>
            <w:tcW w:w="938" w:type="dxa"/>
            <w:vAlign w:val="top"/>
          </w:tcPr>
          <w:p w14:paraId="1499549E">
            <w:pPr>
              <w:spacing w:before="70" w:line="202" w:lineRule="auto"/>
              <w:ind w:left="31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011" w:type="dxa"/>
            <w:vAlign w:val="top"/>
          </w:tcPr>
          <w:p w14:paraId="1D98126F">
            <w:pPr>
              <w:spacing w:before="90"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27.28</w:t>
            </w:r>
          </w:p>
        </w:tc>
        <w:tc>
          <w:tcPr>
            <w:tcW w:w="800" w:type="dxa"/>
            <w:vAlign w:val="top"/>
          </w:tcPr>
          <w:p w14:paraId="264C6E57">
            <w:pPr>
              <w:spacing w:before="90" w:line="188" w:lineRule="auto"/>
              <w:ind w:left="24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2.91</w:t>
            </w:r>
          </w:p>
        </w:tc>
        <w:tc>
          <w:tcPr>
            <w:tcW w:w="998" w:type="dxa"/>
            <w:vAlign w:val="top"/>
          </w:tcPr>
          <w:p w14:paraId="1B20D3C0">
            <w:pPr>
              <w:spacing w:before="90" w:line="188" w:lineRule="auto"/>
              <w:ind w:left="36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200</w:t>
            </w:r>
          </w:p>
        </w:tc>
        <w:tc>
          <w:tcPr>
            <w:tcW w:w="841" w:type="dxa"/>
            <w:tcBorders>
              <w:right w:val="nil"/>
            </w:tcBorders>
            <w:vAlign w:val="top"/>
          </w:tcPr>
          <w:p w14:paraId="74861019">
            <w:pPr>
              <w:spacing w:before="87" w:line="192" w:lineRule="auto"/>
              <w:ind w:left="39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046EFB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226" w:type="dxa"/>
            <w:vMerge w:val="continue"/>
            <w:tcBorders>
              <w:top w:val="nil"/>
              <w:left w:val="nil"/>
              <w:bottom w:val="nil"/>
            </w:tcBorders>
            <w:vAlign w:val="top"/>
          </w:tcPr>
          <w:p w14:paraId="0203C5B2">
            <w:pPr>
              <w:rPr>
                <w:rFonts w:ascii="Arial"/>
                <w:sz w:val="21"/>
              </w:rPr>
            </w:pPr>
          </w:p>
        </w:tc>
        <w:tc>
          <w:tcPr>
            <w:tcW w:w="2300" w:type="dxa"/>
            <w:vMerge w:val="continue"/>
            <w:tcBorders>
              <w:top w:val="nil"/>
            </w:tcBorders>
            <w:vAlign w:val="top"/>
          </w:tcPr>
          <w:p w14:paraId="634F0F89">
            <w:pPr>
              <w:rPr>
                <w:rFonts w:ascii="Arial"/>
                <w:sz w:val="21"/>
              </w:rPr>
            </w:pPr>
          </w:p>
        </w:tc>
        <w:tc>
          <w:tcPr>
            <w:tcW w:w="1163" w:type="dxa"/>
            <w:vMerge w:val="continue"/>
            <w:tcBorders>
              <w:top w:val="nil"/>
            </w:tcBorders>
            <w:vAlign w:val="top"/>
          </w:tcPr>
          <w:p w14:paraId="5C3706C7">
            <w:pPr>
              <w:rPr>
                <w:rFonts w:ascii="Arial"/>
                <w:sz w:val="21"/>
              </w:rPr>
            </w:pPr>
          </w:p>
        </w:tc>
        <w:tc>
          <w:tcPr>
            <w:tcW w:w="938" w:type="dxa"/>
            <w:vAlign w:val="top"/>
          </w:tcPr>
          <w:p w14:paraId="745307F0">
            <w:pPr>
              <w:spacing w:before="71" w:line="202" w:lineRule="auto"/>
              <w:ind w:left="26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011" w:type="dxa"/>
            <w:vAlign w:val="top"/>
          </w:tcPr>
          <w:p w14:paraId="5E0CC493">
            <w:pPr>
              <w:spacing w:before="92" w:line="188" w:lineRule="auto"/>
              <w:ind w:left="320"/>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12.13</w:t>
            </w:r>
          </w:p>
        </w:tc>
        <w:tc>
          <w:tcPr>
            <w:tcW w:w="800" w:type="dxa"/>
            <w:vAlign w:val="top"/>
          </w:tcPr>
          <w:p w14:paraId="08210002">
            <w:pPr>
              <w:spacing w:before="92" w:line="188" w:lineRule="auto"/>
              <w:ind w:left="260"/>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1.30</w:t>
            </w:r>
          </w:p>
        </w:tc>
        <w:tc>
          <w:tcPr>
            <w:tcW w:w="998" w:type="dxa"/>
            <w:vAlign w:val="top"/>
          </w:tcPr>
          <w:p w14:paraId="6C992219">
            <w:pPr>
              <w:spacing w:before="92" w:line="188" w:lineRule="auto"/>
              <w:ind w:left="3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300</w:t>
            </w:r>
          </w:p>
        </w:tc>
        <w:tc>
          <w:tcPr>
            <w:tcW w:w="841" w:type="dxa"/>
            <w:tcBorders>
              <w:right w:val="nil"/>
            </w:tcBorders>
            <w:vAlign w:val="top"/>
          </w:tcPr>
          <w:p w14:paraId="3DDD2AE2">
            <w:pPr>
              <w:spacing w:before="88" w:line="192" w:lineRule="auto"/>
              <w:ind w:left="39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095A67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226" w:type="dxa"/>
            <w:vMerge w:val="continue"/>
            <w:tcBorders>
              <w:top w:val="nil"/>
              <w:left w:val="nil"/>
              <w:bottom w:val="nil"/>
            </w:tcBorders>
            <w:vAlign w:val="top"/>
          </w:tcPr>
          <w:p w14:paraId="5E5C7568">
            <w:pPr>
              <w:rPr>
                <w:rFonts w:ascii="Arial"/>
                <w:sz w:val="21"/>
              </w:rPr>
            </w:pPr>
          </w:p>
        </w:tc>
        <w:tc>
          <w:tcPr>
            <w:tcW w:w="2300" w:type="dxa"/>
            <w:vMerge w:val="restart"/>
            <w:tcBorders>
              <w:bottom w:val="nil"/>
            </w:tcBorders>
            <w:vAlign w:val="top"/>
          </w:tcPr>
          <w:p w14:paraId="715FA030">
            <w:pPr>
              <w:spacing w:line="285" w:lineRule="auto"/>
              <w:rPr>
                <w:rFonts w:ascii="Arial"/>
                <w:sz w:val="21"/>
              </w:rPr>
            </w:pPr>
          </w:p>
          <w:p w14:paraId="7F76A4E5">
            <w:pPr>
              <w:pStyle w:val="6"/>
              <w:spacing w:before="59" w:line="219" w:lineRule="auto"/>
              <w:ind w:left="111"/>
              <w:rPr>
                <w:sz w:val="18"/>
                <w:szCs w:val="18"/>
              </w:rPr>
            </w:pPr>
            <w:r>
              <w:rPr>
                <w:spacing w:val="-7"/>
                <w:sz w:val="18"/>
                <w:szCs w:val="18"/>
              </w:rPr>
              <w:t>锰矿石烘干筛分、出料废气</w:t>
            </w:r>
          </w:p>
        </w:tc>
        <w:tc>
          <w:tcPr>
            <w:tcW w:w="1163" w:type="dxa"/>
            <w:vMerge w:val="restart"/>
            <w:tcBorders>
              <w:bottom w:val="nil"/>
            </w:tcBorders>
            <w:vAlign w:val="top"/>
          </w:tcPr>
          <w:p w14:paraId="1E389BA7">
            <w:pPr>
              <w:spacing w:line="286" w:lineRule="auto"/>
              <w:rPr>
                <w:rFonts w:ascii="Arial"/>
                <w:sz w:val="21"/>
              </w:rPr>
            </w:pPr>
          </w:p>
          <w:p w14:paraId="630DA189">
            <w:pPr>
              <w:pStyle w:val="6"/>
              <w:spacing w:before="58" w:line="221" w:lineRule="auto"/>
              <w:ind w:left="137"/>
              <w:rPr>
                <w:sz w:val="18"/>
                <w:szCs w:val="18"/>
              </w:rPr>
            </w:pPr>
            <w:r>
              <w:rPr>
                <w:spacing w:val="-2"/>
                <w:sz w:val="18"/>
                <w:szCs w:val="18"/>
              </w:rPr>
              <w:t>一般排放口</w:t>
            </w:r>
          </w:p>
        </w:tc>
        <w:tc>
          <w:tcPr>
            <w:tcW w:w="938" w:type="dxa"/>
            <w:vAlign w:val="top"/>
          </w:tcPr>
          <w:p w14:paraId="6502D256">
            <w:pPr>
              <w:pStyle w:val="6"/>
              <w:spacing w:before="63" w:line="209" w:lineRule="auto"/>
              <w:ind w:left="202"/>
              <w:rPr>
                <w:sz w:val="18"/>
                <w:szCs w:val="18"/>
              </w:rPr>
            </w:pPr>
            <w:r>
              <w:rPr>
                <w:spacing w:val="-3"/>
                <w:sz w:val="18"/>
                <w:szCs w:val="18"/>
              </w:rPr>
              <w:t>颗粒物</w:t>
            </w:r>
          </w:p>
        </w:tc>
        <w:tc>
          <w:tcPr>
            <w:tcW w:w="1011" w:type="dxa"/>
            <w:vAlign w:val="top"/>
          </w:tcPr>
          <w:p w14:paraId="34468F2A">
            <w:pPr>
              <w:spacing w:before="94" w:line="188" w:lineRule="auto"/>
              <w:ind w:left="35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7.58</w:t>
            </w:r>
          </w:p>
        </w:tc>
        <w:tc>
          <w:tcPr>
            <w:tcW w:w="800" w:type="dxa"/>
            <w:vAlign w:val="top"/>
          </w:tcPr>
          <w:p w14:paraId="219C3BEF">
            <w:pPr>
              <w:spacing w:before="94" w:line="188" w:lineRule="auto"/>
              <w:ind w:left="21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12.44</w:t>
            </w:r>
          </w:p>
        </w:tc>
        <w:tc>
          <w:tcPr>
            <w:tcW w:w="998" w:type="dxa"/>
            <w:vAlign w:val="top"/>
          </w:tcPr>
          <w:p w14:paraId="6EBF9599">
            <w:pPr>
              <w:spacing w:before="94" w:line="188" w:lineRule="auto"/>
              <w:ind w:left="4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c>
          <w:tcPr>
            <w:tcW w:w="841" w:type="dxa"/>
            <w:tcBorders>
              <w:right w:val="nil"/>
            </w:tcBorders>
            <w:vAlign w:val="top"/>
          </w:tcPr>
          <w:p w14:paraId="304632B1">
            <w:pPr>
              <w:spacing w:before="91" w:line="192" w:lineRule="auto"/>
              <w:ind w:left="39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492511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226" w:type="dxa"/>
            <w:vMerge w:val="continue"/>
            <w:tcBorders>
              <w:top w:val="nil"/>
              <w:left w:val="nil"/>
              <w:bottom w:val="nil"/>
            </w:tcBorders>
            <w:vAlign w:val="top"/>
          </w:tcPr>
          <w:p w14:paraId="2A0EB7E5">
            <w:pPr>
              <w:rPr>
                <w:rFonts w:ascii="Arial"/>
                <w:sz w:val="21"/>
              </w:rPr>
            </w:pPr>
          </w:p>
        </w:tc>
        <w:tc>
          <w:tcPr>
            <w:tcW w:w="2300" w:type="dxa"/>
            <w:vMerge w:val="continue"/>
            <w:tcBorders>
              <w:top w:val="nil"/>
              <w:bottom w:val="nil"/>
            </w:tcBorders>
            <w:vAlign w:val="top"/>
          </w:tcPr>
          <w:p w14:paraId="0AA632C9">
            <w:pPr>
              <w:rPr>
                <w:rFonts w:ascii="Arial"/>
                <w:sz w:val="21"/>
              </w:rPr>
            </w:pPr>
          </w:p>
        </w:tc>
        <w:tc>
          <w:tcPr>
            <w:tcW w:w="1163" w:type="dxa"/>
            <w:vMerge w:val="continue"/>
            <w:tcBorders>
              <w:top w:val="nil"/>
              <w:bottom w:val="nil"/>
            </w:tcBorders>
            <w:vAlign w:val="top"/>
          </w:tcPr>
          <w:p w14:paraId="6DD71AB4">
            <w:pPr>
              <w:rPr>
                <w:rFonts w:ascii="Arial"/>
                <w:sz w:val="21"/>
              </w:rPr>
            </w:pPr>
          </w:p>
        </w:tc>
        <w:tc>
          <w:tcPr>
            <w:tcW w:w="938" w:type="dxa"/>
            <w:vAlign w:val="top"/>
          </w:tcPr>
          <w:p w14:paraId="58DA24A3">
            <w:pPr>
              <w:spacing w:before="75" w:line="201" w:lineRule="auto"/>
              <w:ind w:left="31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011" w:type="dxa"/>
            <w:vAlign w:val="top"/>
          </w:tcPr>
          <w:p w14:paraId="7B4BB2BE">
            <w:pPr>
              <w:spacing w:before="95" w:line="188" w:lineRule="auto"/>
              <w:ind w:left="3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2.88</w:t>
            </w:r>
          </w:p>
        </w:tc>
        <w:tc>
          <w:tcPr>
            <w:tcW w:w="800" w:type="dxa"/>
            <w:vAlign w:val="top"/>
          </w:tcPr>
          <w:p w14:paraId="02C45BD1">
            <w:pPr>
              <w:spacing w:before="95"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4.71</w:t>
            </w:r>
          </w:p>
        </w:tc>
        <w:tc>
          <w:tcPr>
            <w:tcW w:w="998" w:type="dxa"/>
            <w:vAlign w:val="top"/>
          </w:tcPr>
          <w:p w14:paraId="1C40DA15">
            <w:pPr>
              <w:spacing w:before="95" w:line="188" w:lineRule="auto"/>
              <w:ind w:left="36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200</w:t>
            </w:r>
          </w:p>
        </w:tc>
        <w:tc>
          <w:tcPr>
            <w:tcW w:w="841" w:type="dxa"/>
            <w:tcBorders>
              <w:right w:val="nil"/>
            </w:tcBorders>
            <w:vAlign w:val="top"/>
          </w:tcPr>
          <w:p w14:paraId="622EE43B">
            <w:pPr>
              <w:spacing w:before="92" w:line="192" w:lineRule="auto"/>
              <w:ind w:left="39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26794D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226" w:type="dxa"/>
            <w:vMerge w:val="continue"/>
            <w:tcBorders>
              <w:top w:val="nil"/>
              <w:left w:val="nil"/>
              <w:bottom w:val="nil"/>
            </w:tcBorders>
            <w:vAlign w:val="top"/>
          </w:tcPr>
          <w:p w14:paraId="714DB66C">
            <w:pPr>
              <w:rPr>
                <w:rFonts w:ascii="Arial"/>
                <w:sz w:val="21"/>
              </w:rPr>
            </w:pPr>
          </w:p>
        </w:tc>
        <w:tc>
          <w:tcPr>
            <w:tcW w:w="2300" w:type="dxa"/>
            <w:vMerge w:val="continue"/>
            <w:tcBorders>
              <w:top w:val="nil"/>
            </w:tcBorders>
            <w:vAlign w:val="top"/>
          </w:tcPr>
          <w:p w14:paraId="3B1FE805">
            <w:pPr>
              <w:rPr>
                <w:rFonts w:ascii="Arial"/>
                <w:sz w:val="21"/>
              </w:rPr>
            </w:pPr>
          </w:p>
        </w:tc>
        <w:tc>
          <w:tcPr>
            <w:tcW w:w="1163" w:type="dxa"/>
            <w:vMerge w:val="continue"/>
            <w:tcBorders>
              <w:top w:val="nil"/>
            </w:tcBorders>
            <w:vAlign w:val="top"/>
          </w:tcPr>
          <w:p w14:paraId="0AB2E898">
            <w:pPr>
              <w:rPr>
                <w:rFonts w:ascii="Arial"/>
                <w:sz w:val="21"/>
              </w:rPr>
            </w:pPr>
          </w:p>
        </w:tc>
        <w:tc>
          <w:tcPr>
            <w:tcW w:w="938" w:type="dxa"/>
            <w:vAlign w:val="top"/>
          </w:tcPr>
          <w:p w14:paraId="1BFFEFC6">
            <w:pPr>
              <w:spacing w:before="75" w:line="201" w:lineRule="auto"/>
              <w:ind w:left="26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011" w:type="dxa"/>
            <w:vAlign w:val="top"/>
          </w:tcPr>
          <w:p w14:paraId="0570C826">
            <w:pPr>
              <w:spacing w:before="96" w:line="188" w:lineRule="auto"/>
              <w:ind w:left="35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3.41</w:t>
            </w:r>
          </w:p>
        </w:tc>
        <w:tc>
          <w:tcPr>
            <w:tcW w:w="800" w:type="dxa"/>
            <w:vAlign w:val="top"/>
          </w:tcPr>
          <w:p w14:paraId="624093D1">
            <w:pPr>
              <w:spacing w:before="96" w:line="188" w:lineRule="auto"/>
              <w:ind w:left="24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5.60</w:t>
            </w:r>
          </w:p>
        </w:tc>
        <w:tc>
          <w:tcPr>
            <w:tcW w:w="998" w:type="dxa"/>
            <w:vAlign w:val="top"/>
          </w:tcPr>
          <w:p w14:paraId="303AFA50">
            <w:pPr>
              <w:spacing w:before="96" w:line="188" w:lineRule="auto"/>
              <w:ind w:left="3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300</w:t>
            </w:r>
          </w:p>
        </w:tc>
        <w:tc>
          <w:tcPr>
            <w:tcW w:w="841" w:type="dxa"/>
            <w:tcBorders>
              <w:right w:val="nil"/>
            </w:tcBorders>
            <w:vAlign w:val="top"/>
          </w:tcPr>
          <w:p w14:paraId="441CA15C">
            <w:pPr>
              <w:spacing w:before="92" w:line="192" w:lineRule="auto"/>
              <w:ind w:left="39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6B6EA0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226" w:type="dxa"/>
            <w:vMerge w:val="continue"/>
            <w:tcBorders>
              <w:top w:val="nil"/>
              <w:left w:val="nil"/>
              <w:bottom w:val="nil"/>
            </w:tcBorders>
            <w:vAlign w:val="top"/>
          </w:tcPr>
          <w:p w14:paraId="09998D0C">
            <w:pPr>
              <w:rPr>
                <w:rFonts w:ascii="Arial"/>
                <w:sz w:val="21"/>
              </w:rPr>
            </w:pPr>
          </w:p>
        </w:tc>
        <w:tc>
          <w:tcPr>
            <w:tcW w:w="2300" w:type="dxa"/>
            <w:vAlign w:val="top"/>
          </w:tcPr>
          <w:p w14:paraId="03BB2936">
            <w:pPr>
              <w:pStyle w:val="6"/>
              <w:spacing w:before="67" w:line="205" w:lineRule="auto"/>
              <w:ind w:left="523"/>
              <w:rPr>
                <w:sz w:val="18"/>
                <w:szCs w:val="18"/>
              </w:rPr>
            </w:pPr>
            <w:r>
              <w:rPr>
                <w:spacing w:val="-1"/>
                <w:sz w:val="18"/>
                <w:szCs w:val="18"/>
              </w:rPr>
              <w:t>烧结机配料粉尘</w:t>
            </w:r>
          </w:p>
        </w:tc>
        <w:tc>
          <w:tcPr>
            <w:tcW w:w="1163" w:type="dxa"/>
            <w:vAlign w:val="top"/>
          </w:tcPr>
          <w:p w14:paraId="030FC66C">
            <w:pPr>
              <w:pStyle w:val="6"/>
              <w:spacing w:before="67" w:line="205" w:lineRule="auto"/>
              <w:ind w:left="137"/>
              <w:rPr>
                <w:sz w:val="18"/>
                <w:szCs w:val="18"/>
              </w:rPr>
            </w:pPr>
            <w:r>
              <w:rPr>
                <w:spacing w:val="-2"/>
                <w:sz w:val="18"/>
                <w:szCs w:val="18"/>
              </w:rPr>
              <w:t>一般排放口</w:t>
            </w:r>
          </w:p>
        </w:tc>
        <w:tc>
          <w:tcPr>
            <w:tcW w:w="938" w:type="dxa"/>
            <w:vAlign w:val="top"/>
          </w:tcPr>
          <w:p w14:paraId="56052AB0">
            <w:pPr>
              <w:pStyle w:val="6"/>
              <w:spacing w:before="67" w:line="205" w:lineRule="auto"/>
              <w:ind w:left="202"/>
              <w:rPr>
                <w:sz w:val="18"/>
                <w:szCs w:val="18"/>
              </w:rPr>
            </w:pPr>
            <w:r>
              <w:rPr>
                <w:spacing w:val="-3"/>
                <w:sz w:val="18"/>
                <w:szCs w:val="18"/>
              </w:rPr>
              <w:t>颗粒物</w:t>
            </w:r>
          </w:p>
        </w:tc>
        <w:tc>
          <w:tcPr>
            <w:tcW w:w="1011" w:type="dxa"/>
            <w:vAlign w:val="top"/>
          </w:tcPr>
          <w:p w14:paraId="7A895FC7">
            <w:pPr>
              <w:spacing w:before="98" w:line="188" w:lineRule="auto"/>
              <w:ind w:left="35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7.85</w:t>
            </w:r>
          </w:p>
        </w:tc>
        <w:tc>
          <w:tcPr>
            <w:tcW w:w="800" w:type="dxa"/>
            <w:vAlign w:val="top"/>
          </w:tcPr>
          <w:p w14:paraId="36E2270D">
            <w:pPr>
              <w:spacing w:before="98" w:line="188" w:lineRule="auto"/>
              <w:ind w:left="260"/>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1.57</w:t>
            </w:r>
          </w:p>
        </w:tc>
        <w:tc>
          <w:tcPr>
            <w:tcW w:w="998" w:type="dxa"/>
            <w:vAlign w:val="top"/>
          </w:tcPr>
          <w:p w14:paraId="07288FF3">
            <w:pPr>
              <w:spacing w:before="98" w:line="188" w:lineRule="auto"/>
              <w:ind w:left="4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c>
          <w:tcPr>
            <w:tcW w:w="841" w:type="dxa"/>
            <w:tcBorders>
              <w:right w:val="nil"/>
            </w:tcBorders>
            <w:vAlign w:val="top"/>
          </w:tcPr>
          <w:p w14:paraId="54EFC294">
            <w:pPr>
              <w:spacing w:before="95" w:line="192" w:lineRule="auto"/>
              <w:ind w:left="39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117883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226" w:type="dxa"/>
            <w:vMerge w:val="continue"/>
            <w:tcBorders>
              <w:top w:val="nil"/>
              <w:left w:val="nil"/>
              <w:bottom w:val="nil"/>
            </w:tcBorders>
            <w:vAlign w:val="top"/>
          </w:tcPr>
          <w:p w14:paraId="0B199565">
            <w:pPr>
              <w:rPr>
                <w:rFonts w:ascii="Arial"/>
                <w:sz w:val="21"/>
              </w:rPr>
            </w:pPr>
          </w:p>
        </w:tc>
        <w:tc>
          <w:tcPr>
            <w:tcW w:w="2300" w:type="dxa"/>
            <w:vMerge w:val="restart"/>
            <w:tcBorders>
              <w:bottom w:val="nil"/>
            </w:tcBorders>
            <w:vAlign w:val="top"/>
          </w:tcPr>
          <w:p w14:paraId="0B4965D1">
            <w:pPr>
              <w:spacing w:line="293" w:lineRule="auto"/>
              <w:rPr>
                <w:rFonts w:ascii="Arial"/>
                <w:sz w:val="21"/>
              </w:rPr>
            </w:pPr>
          </w:p>
          <w:p w14:paraId="39456678">
            <w:pPr>
              <w:pStyle w:val="6"/>
              <w:spacing w:before="58" w:line="219" w:lineRule="auto"/>
              <w:ind w:left="343"/>
              <w:rPr>
                <w:sz w:val="18"/>
                <w:szCs w:val="18"/>
              </w:rPr>
            </w:pPr>
            <w:r>
              <w:rPr>
                <w:spacing w:val="-1"/>
                <w:sz w:val="18"/>
                <w:szCs w:val="18"/>
              </w:rPr>
              <w:t>烧结机头、机尾废气</w:t>
            </w:r>
          </w:p>
        </w:tc>
        <w:tc>
          <w:tcPr>
            <w:tcW w:w="1163" w:type="dxa"/>
            <w:vMerge w:val="restart"/>
            <w:tcBorders>
              <w:bottom w:val="nil"/>
            </w:tcBorders>
            <w:vAlign w:val="top"/>
          </w:tcPr>
          <w:p w14:paraId="4F082FE7">
            <w:pPr>
              <w:spacing w:line="293" w:lineRule="auto"/>
              <w:rPr>
                <w:rFonts w:ascii="Arial"/>
                <w:sz w:val="21"/>
              </w:rPr>
            </w:pPr>
          </w:p>
          <w:p w14:paraId="250F02F7">
            <w:pPr>
              <w:pStyle w:val="6"/>
              <w:spacing w:before="59" w:line="221" w:lineRule="auto"/>
              <w:ind w:left="136"/>
              <w:rPr>
                <w:sz w:val="18"/>
                <w:szCs w:val="18"/>
              </w:rPr>
            </w:pPr>
            <w:r>
              <w:rPr>
                <w:spacing w:val="-2"/>
                <w:sz w:val="18"/>
                <w:szCs w:val="18"/>
              </w:rPr>
              <w:t>主要排放口</w:t>
            </w:r>
          </w:p>
        </w:tc>
        <w:tc>
          <w:tcPr>
            <w:tcW w:w="938" w:type="dxa"/>
            <w:vAlign w:val="top"/>
          </w:tcPr>
          <w:p w14:paraId="07A6F00F">
            <w:pPr>
              <w:pStyle w:val="6"/>
              <w:spacing w:before="68" w:line="205" w:lineRule="auto"/>
              <w:ind w:left="202"/>
              <w:rPr>
                <w:sz w:val="18"/>
                <w:szCs w:val="18"/>
              </w:rPr>
            </w:pPr>
            <w:r>
              <w:rPr>
                <w:spacing w:val="-3"/>
                <w:sz w:val="18"/>
                <w:szCs w:val="18"/>
              </w:rPr>
              <w:t>颗粒物</w:t>
            </w:r>
          </w:p>
        </w:tc>
        <w:tc>
          <w:tcPr>
            <w:tcW w:w="1011" w:type="dxa"/>
            <w:vAlign w:val="top"/>
          </w:tcPr>
          <w:p w14:paraId="4EA0C030">
            <w:pPr>
              <w:spacing w:before="99" w:line="188" w:lineRule="auto"/>
              <w:ind w:left="320"/>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10.65</w:t>
            </w:r>
          </w:p>
        </w:tc>
        <w:tc>
          <w:tcPr>
            <w:tcW w:w="800" w:type="dxa"/>
            <w:vAlign w:val="top"/>
          </w:tcPr>
          <w:p w14:paraId="089C2DE9">
            <w:pPr>
              <w:spacing w:before="99" w:line="188" w:lineRule="auto"/>
              <w:ind w:left="19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25.53</w:t>
            </w:r>
          </w:p>
        </w:tc>
        <w:tc>
          <w:tcPr>
            <w:tcW w:w="998" w:type="dxa"/>
            <w:vAlign w:val="top"/>
          </w:tcPr>
          <w:p w14:paraId="01380C17">
            <w:pPr>
              <w:spacing w:before="99" w:line="188" w:lineRule="auto"/>
              <w:ind w:left="4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c>
          <w:tcPr>
            <w:tcW w:w="841" w:type="dxa"/>
            <w:tcBorders>
              <w:right w:val="nil"/>
            </w:tcBorders>
            <w:vAlign w:val="top"/>
          </w:tcPr>
          <w:p w14:paraId="2503062F">
            <w:pPr>
              <w:spacing w:before="99" w:line="188" w:lineRule="auto"/>
              <w:ind w:left="21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25.53</w:t>
            </w:r>
          </w:p>
        </w:tc>
      </w:tr>
      <w:tr w14:paraId="68EA23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226" w:type="dxa"/>
            <w:vMerge w:val="continue"/>
            <w:tcBorders>
              <w:top w:val="nil"/>
              <w:left w:val="nil"/>
              <w:bottom w:val="nil"/>
            </w:tcBorders>
            <w:vAlign w:val="top"/>
          </w:tcPr>
          <w:p w14:paraId="24434558">
            <w:pPr>
              <w:rPr>
                <w:rFonts w:ascii="Arial"/>
                <w:sz w:val="21"/>
              </w:rPr>
            </w:pPr>
          </w:p>
        </w:tc>
        <w:tc>
          <w:tcPr>
            <w:tcW w:w="2300" w:type="dxa"/>
            <w:vMerge w:val="continue"/>
            <w:tcBorders>
              <w:top w:val="nil"/>
              <w:bottom w:val="nil"/>
            </w:tcBorders>
            <w:vAlign w:val="top"/>
          </w:tcPr>
          <w:p w14:paraId="3791BF5B">
            <w:pPr>
              <w:rPr>
                <w:rFonts w:ascii="Arial"/>
                <w:sz w:val="21"/>
              </w:rPr>
            </w:pPr>
          </w:p>
        </w:tc>
        <w:tc>
          <w:tcPr>
            <w:tcW w:w="1163" w:type="dxa"/>
            <w:vMerge w:val="continue"/>
            <w:tcBorders>
              <w:top w:val="nil"/>
              <w:bottom w:val="nil"/>
            </w:tcBorders>
            <w:vAlign w:val="top"/>
          </w:tcPr>
          <w:p w14:paraId="5CC63160">
            <w:pPr>
              <w:rPr>
                <w:rFonts w:ascii="Arial"/>
                <w:sz w:val="21"/>
              </w:rPr>
            </w:pPr>
          </w:p>
        </w:tc>
        <w:tc>
          <w:tcPr>
            <w:tcW w:w="938" w:type="dxa"/>
            <w:vAlign w:val="top"/>
          </w:tcPr>
          <w:p w14:paraId="6B26C8A8">
            <w:pPr>
              <w:spacing w:before="80" w:line="196" w:lineRule="auto"/>
              <w:ind w:left="31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011" w:type="dxa"/>
            <w:vAlign w:val="top"/>
          </w:tcPr>
          <w:p w14:paraId="730473B4">
            <w:pPr>
              <w:spacing w:before="100" w:line="188" w:lineRule="auto"/>
              <w:ind w:left="30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27.68</w:t>
            </w:r>
          </w:p>
        </w:tc>
        <w:tc>
          <w:tcPr>
            <w:tcW w:w="800" w:type="dxa"/>
            <w:vAlign w:val="top"/>
          </w:tcPr>
          <w:p w14:paraId="44AD3CD4">
            <w:pPr>
              <w:spacing w:before="100" w:line="188" w:lineRule="auto"/>
              <w:ind w:left="20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66.35</w:t>
            </w:r>
          </w:p>
        </w:tc>
        <w:tc>
          <w:tcPr>
            <w:tcW w:w="998" w:type="dxa"/>
            <w:vAlign w:val="top"/>
          </w:tcPr>
          <w:p w14:paraId="07481928">
            <w:pPr>
              <w:spacing w:before="100" w:line="188" w:lineRule="auto"/>
              <w:ind w:left="38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180</w:t>
            </w:r>
          </w:p>
        </w:tc>
        <w:tc>
          <w:tcPr>
            <w:tcW w:w="841" w:type="dxa"/>
            <w:tcBorders>
              <w:right w:val="nil"/>
            </w:tcBorders>
            <w:vAlign w:val="top"/>
          </w:tcPr>
          <w:p w14:paraId="554C322B">
            <w:pPr>
              <w:spacing w:before="100" w:line="188" w:lineRule="auto"/>
              <w:ind w:left="22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66.35</w:t>
            </w:r>
          </w:p>
        </w:tc>
      </w:tr>
      <w:tr w14:paraId="57CEA9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226" w:type="dxa"/>
            <w:vMerge w:val="continue"/>
            <w:tcBorders>
              <w:top w:val="nil"/>
              <w:left w:val="nil"/>
              <w:bottom w:val="nil"/>
            </w:tcBorders>
            <w:vAlign w:val="top"/>
          </w:tcPr>
          <w:p w14:paraId="39AC0B92">
            <w:pPr>
              <w:rPr>
                <w:rFonts w:ascii="Arial"/>
                <w:sz w:val="21"/>
              </w:rPr>
            </w:pPr>
          </w:p>
        </w:tc>
        <w:tc>
          <w:tcPr>
            <w:tcW w:w="2300" w:type="dxa"/>
            <w:vMerge w:val="continue"/>
            <w:tcBorders>
              <w:top w:val="nil"/>
            </w:tcBorders>
            <w:vAlign w:val="top"/>
          </w:tcPr>
          <w:p w14:paraId="02FEDD8A">
            <w:pPr>
              <w:rPr>
                <w:rFonts w:ascii="Arial"/>
                <w:sz w:val="21"/>
              </w:rPr>
            </w:pPr>
          </w:p>
        </w:tc>
        <w:tc>
          <w:tcPr>
            <w:tcW w:w="1163" w:type="dxa"/>
            <w:vMerge w:val="continue"/>
            <w:tcBorders>
              <w:top w:val="nil"/>
            </w:tcBorders>
            <w:vAlign w:val="top"/>
          </w:tcPr>
          <w:p w14:paraId="6B494774">
            <w:pPr>
              <w:rPr>
                <w:rFonts w:ascii="Arial"/>
                <w:sz w:val="21"/>
              </w:rPr>
            </w:pPr>
          </w:p>
        </w:tc>
        <w:tc>
          <w:tcPr>
            <w:tcW w:w="938" w:type="dxa"/>
            <w:vAlign w:val="top"/>
          </w:tcPr>
          <w:p w14:paraId="0881C0A4">
            <w:pPr>
              <w:spacing w:before="82" w:line="193" w:lineRule="auto"/>
              <w:ind w:left="26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011" w:type="dxa"/>
            <w:vAlign w:val="top"/>
          </w:tcPr>
          <w:p w14:paraId="754E994D">
            <w:pPr>
              <w:spacing w:before="102" w:line="188" w:lineRule="auto"/>
              <w:ind w:left="27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138.58</w:t>
            </w:r>
          </w:p>
        </w:tc>
        <w:tc>
          <w:tcPr>
            <w:tcW w:w="800" w:type="dxa"/>
            <w:vAlign w:val="top"/>
          </w:tcPr>
          <w:p w14:paraId="67FB3719">
            <w:pPr>
              <w:spacing w:before="102" w:line="188" w:lineRule="auto"/>
              <w:ind w:left="15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332.27</w:t>
            </w:r>
          </w:p>
        </w:tc>
        <w:tc>
          <w:tcPr>
            <w:tcW w:w="998" w:type="dxa"/>
            <w:vAlign w:val="top"/>
          </w:tcPr>
          <w:p w14:paraId="077E5AEE">
            <w:pPr>
              <w:spacing w:before="102" w:line="188" w:lineRule="auto"/>
              <w:ind w:left="3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300</w:t>
            </w:r>
          </w:p>
        </w:tc>
        <w:tc>
          <w:tcPr>
            <w:tcW w:w="841" w:type="dxa"/>
            <w:tcBorders>
              <w:right w:val="nil"/>
            </w:tcBorders>
            <w:vAlign w:val="top"/>
          </w:tcPr>
          <w:p w14:paraId="7C739962">
            <w:pPr>
              <w:spacing w:before="102" w:line="188" w:lineRule="auto"/>
              <w:ind w:left="17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332.27</w:t>
            </w:r>
          </w:p>
        </w:tc>
      </w:tr>
      <w:tr w14:paraId="4B7C4E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226" w:type="dxa"/>
            <w:vMerge w:val="continue"/>
            <w:tcBorders>
              <w:top w:val="nil"/>
              <w:left w:val="nil"/>
              <w:bottom w:val="nil"/>
            </w:tcBorders>
            <w:vAlign w:val="top"/>
          </w:tcPr>
          <w:p w14:paraId="6AA22713">
            <w:pPr>
              <w:rPr>
                <w:rFonts w:ascii="Arial"/>
                <w:sz w:val="21"/>
              </w:rPr>
            </w:pPr>
          </w:p>
        </w:tc>
        <w:tc>
          <w:tcPr>
            <w:tcW w:w="2300" w:type="dxa"/>
            <w:vAlign w:val="top"/>
          </w:tcPr>
          <w:p w14:paraId="2C19F708">
            <w:pPr>
              <w:pStyle w:val="6"/>
              <w:spacing w:before="72" w:line="200" w:lineRule="auto"/>
              <w:ind w:left="365"/>
              <w:rPr>
                <w:sz w:val="18"/>
                <w:szCs w:val="18"/>
              </w:rPr>
            </w:pPr>
            <w:r>
              <w:rPr>
                <w:spacing w:val="-4"/>
                <w:sz w:val="18"/>
                <w:szCs w:val="18"/>
              </w:rPr>
              <w:t>电炉配料、加料粉尘</w:t>
            </w:r>
          </w:p>
        </w:tc>
        <w:tc>
          <w:tcPr>
            <w:tcW w:w="1163" w:type="dxa"/>
            <w:vAlign w:val="top"/>
          </w:tcPr>
          <w:p w14:paraId="2CB38532">
            <w:pPr>
              <w:pStyle w:val="6"/>
              <w:spacing w:before="72" w:line="200" w:lineRule="auto"/>
              <w:ind w:left="137"/>
              <w:rPr>
                <w:sz w:val="18"/>
                <w:szCs w:val="18"/>
              </w:rPr>
            </w:pPr>
            <w:r>
              <w:rPr>
                <w:spacing w:val="-2"/>
                <w:sz w:val="18"/>
                <w:szCs w:val="18"/>
              </w:rPr>
              <w:t>一般排放口</w:t>
            </w:r>
          </w:p>
        </w:tc>
        <w:tc>
          <w:tcPr>
            <w:tcW w:w="938" w:type="dxa"/>
            <w:vAlign w:val="top"/>
          </w:tcPr>
          <w:p w14:paraId="1F31B094">
            <w:pPr>
              <w:pStyle w:val="6"/>
              <w:spacing w:before="72" w:line="200" w:lineRule="auto"/>
              <w:ind w:left="202"/>
              <w:rPr>
                <w:sz w:val="18"/>
                <w:szCs w:val="18"/>
              </w:rPr>
            </w:pPr>
            <w:r>
              <w:rPr>
                <w:spacing w:val="-3"/>
                <w:sz w:val="18"/>
                <w:szCs w:val="18"/>
              </w:rPr>
              <w:t>颗粒物</w:t>
            </w:r>
          </w:p>
        </w:tc>
        <w:tc>
          <w:tcPr>
            <w:tcW w:w="1011" w:type="dxa"/>
            <w:vAlign w:val="top"/>
          </w:tcPr>
          <w:p w14:paraId="18E185FA">
            <w:pPr>
              <w:spacing w:before="103" w:line="188" w:lineRule="auto"/>
              <w:ind w:left="3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2.88</w:t>
            </w:r>
          </w:p>
        </w:tc>
        <w:tc>
          <w:tcPr>
            <w:tcW w:w="800" w:type="dxa"/>
            <w:vAlign w:val="top"/>
          </w:tcPr>
          <w:p w14:paraId="33AD626D">
            <w:pPr>
              <w:spacing w:before="103"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4.15</w:t>
            </w:r>
          </w:p>
        </w:tc>
        <w:tc>
          <w:tcPr>
            <w:tcW w:w="998" w:type="dxa"/>
            <w:vAlign w:val="top"/>
          </w:tcPr>
          <w:p w14:paraId="6B60B2A3">
            <w:pPr>
              <w:spacing w:before="103" w:line="188" w:lineRule="auto"/>
              <w:ind w:left="4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c>
          <w:tcPr>
            <w:tcW w:w="841" w:type="dxa"/>
            <w:tcBorders>
              <w:right w:val="nil"/>
            </w:tcBorders>
            <w:vAlign w:val="top"/>
          </w:tcPr>
          <w:p w14:paraId="7DB79A34">
            <w:pPr>
              <w:spacing w:before="100" w:line="192" w:lineRule="auto"/>
              <w:ind w:left="39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05F674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226" w:type="dxa"/>
            <w:vMerge w:val="continue"/>
            <w:tcBorders>
              <w:top w:val="nil"/>
              <w:left w:val="nil"/>
            </w:tcBorders>
            <w:vAlign w:val="top"/>
          </w:tcPr>
          <w:p w14:paraId="448E3B47">
            <w:pPr>
              <w:rPr>
                <w:rFonts w:ascii="Arial"/>
                <w:sz w:val="21"/>
              </w:rPr>
            </w:pPr>
          </w:p>
        </w:tc>
        <w:tc>
          <w:tcPr>
            <w:tcW w:w="2300" w:type="dxa"/>
            <w:vAlign w:val="top"/>
          </w:tcPr>
          <w:p w14:paraId="7BF29787">
            <w:pPr>
              <w:pStyle w:val="6"/>
              <w:spacing w:before="74" w:line="197" w:lineRule="auto"/>
              <w:ind w:left="111"/>
              <w:rPr>
                <w:sz w:val="18"/>
                <w:szCs w:val="18"/>
              </w:rPr>
            </w:pPr>
            <w:r>
              <w:rPr>
                <w:spacing w:val="-7"/>
                <w:sz w:val="18"/>
                <w:szCs w:val="18"/>
              </w:rPr>
              <w:t>锰硅出铁、出渣及浇铸烟气</w:t>
            </w:r>
          </w:p>
        </w:tc>
        <w:tc>
          <w:tcPr>
            <w:tcW w:w="1163" w:type="dxa"/>
            <w:vAlign w:val="top"/>
          </w:tcPr>
          <w:p w14:paraId="3B687A85">
            <w:pPr>
              <w:pStyle w:val="6"/>
              <w:spacing w:before="74" w:line="197" w:lineRule="auto"/>
              <w:ind w:left="137"/>
              <w:rPr>
                <w:sz w:val="18"/>
                <w:szCs w:val="18"/>
              </w:rPr>
            </w:pPr>
            <w:r>
              <w:rPr>
                <w:spacing w:val="-2"/>
                <w:sz w:val="18"/>
                <w:szCs w:val="18"/>
              </w:rPr>
              <w:t>一般排放口</w:t>
            </w:r>
          </w:p>
        </w:tc>
        <w:tc>
          <w:tcPr>
            <w:tcW w:w="938" w:type="dxa"/>
            <w:vAlign w:val="top"/>
          </w:tcPr>
          <w:p w14:paraId="167A426C">
            <w:pPr>
              <w:pStyle w:val="6"/>
              <w:spacing w:before="74" w:line="197" w:lineRule="auto"/>
              <w:ind w:left="202"/>
              <w:rPr>
                <w:sz w:val="18"/>
                <w:szCs w:val="18"/>
              </w:rPr>
            </w:pPr>
            <w:r>
              <w:rPr>
                <w:spacing w:val="-3"/>
                <w:sz w:val="18"/>
                <w:szCs w:val="18"/>
              </w:rPr>
              <w:t>颗粒物</w:t>
            </w:r>
          </w:p>
        </w:tc>
        <w:tc>
          <w:tcPr>
            <w:tcW w:w="1011" w:type="dxa"/>
            <w:vAlign w:val="top"/>
          </w:tcPr>
          <w:p w14:paraId="576495E5">
            <w:pPr>
              <w:spacing w:before="104" w:line="188" w:lineRule="auto"/>
              <w:ind w:left="35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3.39</w:t>
            </w:r>
          </w:p>
        </w:tc>
        <w:tc>
          <w:tcPr>
            <w:tcW w:w="800" w:type="dxa"/>
            <w:vAlign w:val="top"/>
          </w:tcPr>
          <w:p w14:paraId="2E7EAB20">
            <w:pPr>
              <w:spacing w:before="104" w:line="188" w:lineRule="auto"/>
              <w:ind w:left="260"/>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1.69</w:t>
            </w:r>
          </w:p>
        </w:tc>
        <w:tc>
          <w:tcPr>
            <w:tcW w:w="998" w:type="dxa"/>
            <w:vAlign w:val="top"/>
          </w:tcPr>
          <w:p w14:paraId="79B3E0E0">
            <w:pPr>
              <w:spacing w:before="104" w:line="188" w:lineRule="auto"/>
              <w:ind w:left="4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c>
          <w:tcPr>
            <w:tcW w:w="841" w:type="dxa"/>
            <w:tcBorders>
              <w:right w:val="nil"/>
            </w:tcBorders>
            <w:vAlign w:val="top"/>
          </w:tcPr>
          <w:p w14:paraId="3BD95596">
            <w:pPr>
              <w:spacing w:before="100" w:line="192" w:lineRule="auto"/>
              <w:ind w:left="39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03CC28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226" w:type="dxa"/>
            <w:vMerge w:val="restart"/>
            <w:tcBorders>
              <w:left w:val="nil"/>
              <w:bottom w:val="nil"/>
            </w:tcBorders>
            <w:vAlign w:val="top"/>
          </w:tcPr>
          <w:p w14:paraId="604F51AE">
            <w:pPr>
              <w:pStyle w:val="6"/>
              <w:spacing w:before="239" w:line="233" w:lineRule="auto"/>
              <w:ind w:left="281" w:right="161" w:hanging="91"/>
              <w:rPr>
                <w:sz w:val="18"/>
                <w:szCs w:val="18"/>
              </w:rPr>
            </w:pPr>
            <w:r>
              <w:rPr>
                <w:spacing w:val="-6"/>
                <w:sz w:val="18"/>
                <w:szCs w:val="18"/>
              </w:rPr>
              <w:t>电炉煤气发</w:t>
            </w:r>
            <w:r>
              <w:rPr>
                <w:sz w:val="18"/>
                <w:szCs w:val="18"/>
              </w:rPr>
              <w:t xml:space="preserve"> </w:t>
            </w:r>
            <w:r>
              <w:rPr>
                <w:spacing w:val="-8"/>
                <w:sz w:val="18"/>
                <w:szCs w:val="18"/>
              </w:rPr>
              <w:t>电生产区</w:t>
            </w:r>
          </w:p>
        </w:tc>
        <w:tc>
          <w:tcPr>
            <w:tcW w:w="2300" w:type="dxa"/>
            <w:vMerge w:val="restart"/>
            <w:tcBorders>
              <w:bottom w:val="nil"/>
            </w:tcBorders>
            <w:vAlign w:val="top"/>
          </w:tcPr>
          <w:p w14:paraId="00361141">
            <w:pPr>
              <w:spacing w:line="299" w:lineRule="auto"/>
              <w:rPr>
                <w:rFonts w:ascii="Arial"/>
                <w:sz w:val="21"/>
              </w:rPr>
            </w:pPr>
          </w:p>
          <w:p w14:paraId="23DF41E5">
            <w:pPr>
              <w:pStyle w:val="6"/>
              <w:spacing w:before="58" w:line="220" w:lineRule="auto"/>
              <w:ind w:left="614"/>
              <w:rPr>
                <w:sz w:val="18"/>
                <w:szCs w:val="18"/>
              </w:rPr>
            </w:pPr>
            <w:r>
              <w:rPr>
                <w:spacing w:val="-2"/>
                <w:sz w:val="18"/>
                <w:szCs w:val="18"/>
              </w:rPr>
              <w:t>燃气锅炉废气</w:t>
            </w:r>
          </w:p>
        </w:tc>
        <w:tc>
          <w:tcPr>
            <w:tcW w:w="1163" w:type="dxa"/>
            <w:vMerge w:val="restart"/>
            <w:tcBorders>
              <w:bottom w:val="nil"/>
            </w:tcBorders>
            <w:vAlign w:val="top"/>
          </w:tcPr>
          <w:p w14:paraId="6CAEE425">
            <w:pPr>
              <w:spacing w:line="298" w:lineRule="auto"/>
              <w:rPr>
                <w:rFonts w:ascii="Arial"/>
                <w:sz w:val="21"/>
              </w:rPr>
            </w:pPr>
          </w:p>
          <w:p w14:paraId="114DC72D">
            <w:pPr>
              <w:pStyle w:val="6"/>
              <w:spacing w:before="59" w:line="221" w:lineRule="auto"/>
              <w:ind w:left="136"/>
              <w:rPr>
                <w:sz w:val="18"/>
                <w:szCs w:val="18"/>
              </w:rPr>
            </w:pPr>
            <w:r>
              <w:rPr>
                <w:spacing w:val="-2"/>
                <w:sz w:val="18"/>
                <w:szCs w:val="18"/>
              </w:rPr>
              <w:t>主要排放口</w:t>
            </w:r>
          </w:p>
        </w:tc>
        <w:tc>
          <w:tcPr>
            <w:tcW w:w="938" w:type="dxa"/>
            <w:vAlign w:val="top"/>
          </w:tcPr>
          <w:p w14:paraId="4E129509">
            <w:pPr>
              <w:pStyle w:val="6"/>
              <w:spacing w:before="75" w:line="197" w:lineRule="auto"/>
              <w:ind w:left="202"/>
              <w:rPr>
                <w:sz w:val="18"/>
                <w:szCs w:val="18"/>
              </w:rPr>
            </w:pPr>
            <w:r>
              <w:rPr>
                <w:spacing w:val="-3"/>
                <w:sz w:val="18"/>
                <w:szCs w:val="18"/>
              </w:rPr>
              <w:t>颗粒物</w:t>
            </w:r>
          </w:p>
        </w:tc>
        <w:tc>
          <w:tcPr>
            <w:tcW w:w="1011" w:type="dxa"/>
            <w:vAlign w:val="top"/>
          </w:tcPr>
          <w:p w14:paraId="7CB835AB">
            <w:pPr>
              <w:spacing w:before="107" w:line="186" w:lineRule="auto"/>
              <w:ind w:left="3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2.59</w:t>
            </w:r>
          </w:p>
        </w:tc>
        <w:tc>
          <w:tcPr>
            <w:tcW w:w="800" w:type="dxa"/>
            <w:vAlign w:val="top"/>
          </w:tcPr>
          <w:p w14:paraId="0E506284">
            <w:pPr>
              <w:spacing w:before="107" w:line="186"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4.61</w:t>
            </w:r>
          </w:p>
        </w:tc>
        <w:tc>
          <w:tcPr>
            <w:tcW w:w="998" w:type="dxa"/>
            <w:vAlign w:val="top"/>
          </w:tcPr>
          <w:p w14:paraId="2C4E5391">
            <w:pPr>
              <w:spacing w:before="110" w:line="183" w:lineRule="auto"/>
              <w:ind w:left="460"/>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tc>
        <w:tc>
          <w:tcPr>
            <w:tcW w:w="841" w:type="dxa"/>
            <w:tcBorders>
              <w:right w:val="nil"/>
            </w:tcBorders>
            <w:vAlign w:val="top"/>
          </w:tcPr>
          <w:p w14:paraId="6D49021C">
            <w:pPr>
              <w:spacing w:before="107" w:line="186" w:lineRule="auto"/>
              <w:ind w:left="26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4.61</w:t>
            </w:r>
          </w:p>
        </w:tc>
      </w:tr>
      <w:tr w14:paraId="2E18D0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226" w:type="dxa"/>
            <w:vMerge w:val="continue"/>
            <w:tcBorders>
              <w:top w:val="nil"/>
              <w:left w:val="nil"/>
              <w:bottom w:val="nil"/>
            </w:tcBorders>
            <w:vAlign w:val="top"/>
          </w:tcPr>
          <w:p w14:paraId="1A3DAD37">
            <w:pPr>
              <w:rPr>
                <w:rFonts w:ascii="Arial"/>
                <w:sz w:val="21"/>
              </w:rPr>
            </w:pPr>
          </w:p>
        </w:tc>
        <w:tc>
          <w:tcPr>
            <w:tcW w:w="2300" w:type="dxa"/>
            <w:vMerge w:val="continue"/>
            <w:tcBorders>
              <w:top w:val="nil"/>
              <w:bottom w:val="nil"/>
            </w:tcBorders>
            <w:vAlign w:val="top"/>
          </w:tcPr>
          <w:p w14:paraId="63116166">
            <w:pPr>
              <w:rPr>
                <w:rFonts w:ascii="Arial"/>
                <w:sz w:val="21"/>
              </w:rPr>
            </w:pPr>
          </w:p>
        </w:tc>
        <w:tc>
          <w:tcPr>
            <w:tcW w:w="1163" w:type="dxa"/>
            <w:vMerge w:val="continue"/>
            <w:tcBorders>
              <w:top w:val="nil"/>
              <w:bottom w:val="nil"/>
            </w:tcBorders>
            <w:vAlign w:val="top"/>
          </w:tcPr>
          <w:p w14:paraId="4FF2DA12">
            <w:pPr>
              <w:rPr>
                <w:rFonts w:ascii="Arial"/>
                <w:sz w:val="21"/>
              </w:rPr>
            </w:pPr>
          </w:p>
        </w:tc>
        <w:tc>
          <w:tcPr>
            <w:tcW w:w="938" w:type="dxa"/>
            <w:vAlign w:val="top"/>
          </w:tcPr>
          <w:p w14:paraId="2C6F51B2">
            <w:pPr>
              <w:spacing w:before="87" w:line="188" w:lineRule="auto"/>
              <w:ind w:left="31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011" w:type="dxa"/>
            <w:vAlign w:val="top"/>
          </w:tcPr>
          <w:p w14:paraId="1AF2414E">
            <w:pPr>
              <w:spacing w:before="107" w:line="186" w:lineRule="auto"/>
              <w:ind w:left="320"/>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19.89</w:t>
            </w:r>
          </w:p>
        </w:tc>
        <w:tc>
          <w:tcPr>
            <w:tcW w:w="800" w:type="dxa"/>
            <w:vAlign w:val="top"/>
          </w:tcPr>
          <w:p w14:paraId="49A773FF">
            <w:pPr>
              <w:spacing w:before="107" w:line="186" w:lineRule="auto"/>
              <w:ind w:left="20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35.37</w:t>
            </w:r>
          </w:p>
        </w:tc>
        <w:tc>
          <w:tcPr>
            <w:tcW w:w="998" w:type="dxa"/>
            <w:vAlign w:val="top"/>
          </w:tcPr>
          <w:p w14:paraId="749035DE">
            <w:pPr>
              <w:spacing w:before="107" w:line="186" w:lineRule="auto"/>
              <w:ind w:left="41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841" w:type="dxa"/>
            <w:tcBorders>
              <w:right w:val="nil"/>
            </w:tcBorders>
            <w:vAlign w:val="top"/>
          </w:tcPr>
          <w:p w14:paraId="72C907D5">
            <w:pPr>
              <w:spacing w:before="107" w:line="186" w:lineRule="auto"/>
              <w:ind w:left="22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35.37</w:t>
            </w:r>
          </w:p>
        </w:tc>
      </w:tr>
      <w:tr w14:paraId="7B5FBC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1" w:hRule="atLeast"/>
        </w:trPr>
        <w:tc>
          <w:tcPr>
            <w:tcW w:w="1226" w:type="dxa"/>
            <w:vMerge w:val="continue"/>
            <w:tcBorders>
              <w:top w:val="nil"/>
              <w:left w:val="nil"/>
              <w:bottom w:val="single" w:color="000000" w:sz="10" w:space="0"/>
            </w:tcBorders>
            <w:vAlign w:val="top"/>
          </w:tcPr>
          <w:p w14:paraId="2FC1C37B">
            <w:pPr>
              <w:rPr>
                <w:rFonts w:ascii="Arial"/>
                <w:sz w:val="21"/>
              </w:rPr>
            </w:pPr>
          </w:p>
        </w:tc>
        <w:tc>
          <w:tcPr>
            <w:tcW w:w="2300" w:type="dxa"/>
            <w:vMerge w:val="continue"/>
            <w:tcBorders>
              <w:top w:val="nil"/>
              <w:bottom w:val="single" w:color="000000" w:sz="10" w:space="0"/>
            </w:tcBorders>
            <w:vAlign w:val="top"/>
          </w:tcPr>
          <w:p w14:paraId="4168B076">
            <w:pPr>
              <w:rPr>
                <w:rFonts w:ascii="Arial"/>
                <w:sz w:val="21"/>
              </w:rPr>
            </w:pPr>
          </w:p>
        </w:tc>
        <w:tc>
          <w:tcPr>
            <w:tcW w:w="1163" w:type="dxa"/>
            <w:vMerge w:val="continue"/>
            <w:tcBorders>
              <w:top w:val="nil"/>
              <w:bottom w:val="single" w:color="000000" w:sz="10" w:space="0"/>
            </w:tcBorders>
            <w:vAlign w:val="top"/>
          </w:tcPr>
          <w:p w14:paraId="03009611">
            <w:pPr>
              <w:rPr>
                <w:rFonts w:ascii="Arial"/>
                <w:sz w:val="21"/>
              </w:rPr>
            </w:pPr>
          </w:p>
        </w:tc>
        <w:tc>
          <w:tcPr>
            <w:tcW w:w="938" w:type="dxa"/>
            <w:tcBorders>
              <w:bottom w:val="single" w:color="000000" w:sz="10" w:space="0"/>
            </w:tcBorders>
            <w:vAlign w:val="top"/>
          </w:tcPr>
          <w:p w14:paraId="1C62E8B5">
            <w:pPr>
              <w:spacing w:before="87" w:line="202" w:lineRule="auto"/>
              <w:ind w:left="26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011" w:type="dxa"/>
            <w:tcBorders>
              <w:bottom w:val="single" w:color="000000" w:sz="10" w:space="0"/>
            </w:tcBorders>
            <w:vAlign w:val="top"/>
          </w:tcPr>
          <w:p w14:paraId="040FCDC3">
            <w:pPr>
              <w:spacing w:before="108" w:line="188" w:lineRule="auto"/>
              <w:ind w:left="30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77.98</w:t>
            </w:r>
          </w:p>
        </w:tc>
        <w:tc>
          <w:tcPr>
            <w:tcW w:w="800" w:type="dxa"/>
            <w:tcBorders>
              <w:bottom w:val="single" w:color="000000" w:sz="10" w:space="0"/>
            </w:tcBorders>
            <w:vAlign w:val="top"/>
          </w:tcPr>
          <w:p w14:paraId="1BEA87AD">
            <w:pPr>
              <w:spacing w:before="108" w:line="188" w:lineRule="auto"/>
              <w:ind w:left="17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138.63</w:t>
            </w:r>
          </w:p>
        </w:tc>
        <w:tc>
          <w:tcPr>
            <w:tcW w:w="998" w:type="dxa"/>
            <w:tcBorders>
              <w:bottom w:val="single" w:color="000000" w:sz="10" w:space="0"/>
            </w:tcBorders>
            <w:vAlign w:val="top"/>
          </w:tcPr>
          <w:p w14:paraId="135DCF7E">
            <w:pPr>
              <w:spacing w:before="108" w:line="188" w:lineRule="auto"/>
              <w:ind w:left="38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100</w:t>
            </w:r>
          </w:p>
        </w:tc>
        <w:tc>
          <w:tcPr>
            <w:tcW w:w="841" w:type="dxa"/>
            <w:tcBorders>
              <w:bottom w:val="single" w:color="000000" w:sz="10" w:space="0"/>
              <w:right w:val="nil"/>
            </w:tcBorders>
            <w:vAlign w:val="top"/>
          </w:tcPr>
          <w:p w14:paraId="277682DA">
            <w:pPr>
              <w:spacing w:before="108" w:line="188" w:lineRule="auto"/>
              <w:ind w:left="19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138.63</w:t>
            </w:r>
          </w:p>
        </w:tc>
      </w:tr>
    </w:tbl>
    <w:p w14:paraId="565D22D0">
      <w:pPr>
        <w:spacing w:before="47" w:line="228" w:lineRule="auto"/>
        <w:ind w:left="109"/>
        <w:outlineLvl w:val="1"/>
        <w:rPr>
          <w:rFonts w:ascii="黑体" w:hAnsi="黑体" w:eastAsia="黑体" w:cs="黑体"/>
          <w:sz w:val="31"/>
          <w:szCs w:val="31"/>
        </w:rPr>
      </w:pPr>
      <w:bookmarkStart w:id="333" w:name="bookmark134"/>
      <w:bookmarkEnd w:id="333"/>
      <w:r>
        <w:rPr>
          <w:rFonts w:ascii="Times New Roman" w:hAnsi="Times New Roman" w:eastAsia="Times New Roman" w:cs="Times New Roman"/>
          <w:b/>
          <w:bCs/>
          <w:spacing w:val="5"/>
          <w:sz w:val="31"/>
          <w:szCs w:val="31"/>
        </w:rPr>
        <w:t xml:space="preserve">2.6 </w:t>
      </w:r>
      <w:r>
        <w:rPr>
          <w:rFonts w:ascii="黑体" w:hAnsi="黑体" w:eastAsia="黑体" w:cs="黑体"/>
          <w:b/>
          <w:bCs/>
          <w:spacing w:val="5"/>
          <w:sz w:val="31"/>
          <w:szCs w:val="31"/>
        </w:rPr>
        <w:t>清洁生产分析</w:t>
      </w:r>
    </w:p>
    <w:p w14:paraId="449EB1A1">
      <w:pPr>
        <w:spacing w:before="228" w:line="350" w:lineRule="auto"/>
        <w:ind w:left="115" w:right="101" w:firstLine="477"/>
        <w:jc w:val="both"/>
        <w:rPr>
          <w:rFonts w:ascii="宋体" w:hAnsi="宋体" w:eastAsia="宋体" w:cs="宋体"/>
          <w:sz w:val="24"/>
          <w:szCs w:val="24"/>
        </w:rPr>
      </w:pPr>
      <w:r>
        <w:rPr>
          <w:rFonts w:ascii="宋体" w:hAnsi="宋体" w:eastAsia="宋体" w:cs="宋体"/>
          <w:spacing w:val="3"/>
          <w:sz w:val="24"/>
          <w:szCs w:val="24"/>
        </w:rPr>
        <w:t>本次评价根据《钢铁行业（铁合金）清洁生产评价</w:t>
      </w:r>
      <w:r>
        <w:rPr>
          <w:rFonts w:ascii="宋体" w:hAnsi="宋体" w:eastAsia="宋体" w:cs="宋体"/>
          <w:spacing w:val="2"/>
          <w:sz w:val="24"/>
          <w:szCs w:val="24"/>
        </w:rPr>
        <w:t>指标体系》（</w:t>
      </w:r>
      <w:r>
        <w:rPr>
          <w:rFonts w:ascii="Times New Roman" w:hAnsi="Times New Roman" w:eastAsia="Times New Roman" w:cs="Times New Roman"/>
          <w:spacing w:val="2"/>
          <w:sz w:val="24"/>
          <w:szCs w:val="24"/>
        </w:rPr>
        <w:t>2018</w:t>
      </w:r>
      <w:r>
        <w:rPr>
          <w:rFonts w:ascii="Times New Roman" w:hAnsi="Times New Roman" w:eastAsia="Times New Roman" w:cs="Times New Roman"/>
          <w:spacing w:val="17"/>
          <w:w w:val="101"/>
          <w:sz w:val="24"/>
          <w:szCs w:val="24"/>
        </w:rPr>
        <w:t xml:space="preserve"> </w:t>
      </w:r>
      <w:r>
        <w:rPr>
          <w:rFonts w:ascii="宋体" w:hAnsi="宋体" w:eastAsia="宋体" w:cs="宋体"/>
          <w:spacing w:val="2"/>
          <w:sz w:val="24"/>
          <w:szCs w:val="24"/>
        </w:rPr>
        <w:t>年</w:t>
      </w:r>
      <w:r>
        <w:rPr>
          <w:rFonts w:ascii="宋体" w:hAnsi="宋体" w:eastAsia="宋体" w:cs="宋体"/>
          <w:spacing w:val="-28"/>
          <w:sz w:val="24"/>
          <w:szCs w:val="24"/>
        </w:rPr>
        <w:t xml:space="preserve"> </w:t>
      </w:r>
      <w:r>
        <w:rPr>
          <w:rFonts w:ascii="Times New Roman" w:hAnsi="Times New Roman" w:eastAsia="Times New Roman" w:cs="Times New Roman"/>
          <w:spacing w:val="2"/>
          <w:sz w:val="24"/>
          <w:szCs w:val="24"/>
        </w:rPr>
        <w:t>12</w:t>
      </w:r>
      <w:r>
        <w:rPr>
          <w:rFonts w:ascii="Times New Roman" w:hAnsi="Times New Roman" w:eastAsia="Times New Roman" w:cs="Times New Roman"/>
          <w:spacing w:val="23"/>
          <w:sz w:val="24"/>
          <w:szCs w:val="24"/>
        </w:rPr>
        <w:t xml:space="preserve"> </w:t>
      </w:r>
      <w:r>
        <w:rPr>
          <w:rFonts w:ascii="宋体" w:hAnsi="宋体" w:eastAsia="宋体" w:cs="宋体"/>
          <w:spacing w:val="2"/>
          <w:sz w:val="24"/>
          <w:szCs w:val="24"/>
        </w:rPr>
        <w:t>月</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29</w:t>
      </w:r>
      <w:r>
        <w:rPr>
          <w:rFonts w:ascii="Times New Roman" w:hAnsi="Times New Roman" w:eastAsia="Times New Roman" w:cs="Times New Roman"/>
          <w:sz w:val="24"/>
          <w:szCs w:val="24"/>
        </w:rPr>
        <w:t xml:space="preserve"> </w:t>
      </w:r>
      <w:r>
        <w:rPr>
          <w:rFonts w:ascii="宋体" w:hAnsi="宋体" w:eastAsia="宋体" w:cs="宋体"/>
          <w:spacing w:val="-2"/>
          <w:sz w:val="24"/>
          <w:szCs w:val="24"/>
        </w:rPr>
        <w:t>日）对本项目清洁生产水平进行评价。不同等级清洁生产水平综合评价指数判定值规定</w:t>
      </w:r>
      <w:r>
        <w:rPr>
          <w:rFonts w:ascii="宋体" w:hAnsi="宋体" w:eastAsia="宋体" w:cs="宋体"/>
          <w:spacing w:val="16"/>
          <w:sz w:val="24"/>
          <w:szCs w:val="24"/>
        </w:rPr>
        <w:t xml:space="preserve"> </w:t>
      </w:r>
      <w:r>
        <w:rPr>
          <w:rFonts w:ascii="宋体" w:hAnsi="宋体" w:eastAsia="宋体" w:cs="宋体"/>
          <w:spacing w:val="-3"/>
          <w:sz w:val="24"/>
          <w:szCs w:val="24"/>
        </w:rPr>
        <w:t>见表</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2.6-1</w:t>
      </w:r>
      <w:r>
        <w:rPr>
          <w:rFonts w:ascii="宋体" w:hAnsi="宋体" w:eastAsia="宋体" w:cs="宋体"/>
          <w:spacing w:val="-3"/>
          <w:sz w:val="24"/>
          <w:szCs w:val="24"/>
        </w:rPr>
        <w:t>。</w:t>
      </w:r>
    </w:p>
    <w:p w14:paraId="62240251">
      <w:pPr>
        <w:spacing w:before="31" w:line="222" w:lineRule="auto"/>
        <w:ind w:left="2398"/>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2.6-1        </w:t>
      </w:r>
      <w:r>
        <w:rPr>
          <w:rFonts w:ascii="宋体" w:hAnsi="宋体" w:eastAsia="宋体" w:cs="宋体"/>
          <w:b/>
          <w:bCs/>
          <w:spacing w:val="6"/>
          <w:sz w:val="20"/>
          <w:szCs w:val="20"/>
        </w:rPr>
        <w:t>铁合金生产企业清</w:t>
      </w:r>
      <w:r>
        <w:rPr>
          <w:rFonts w:ascii="宋体" w:hAnsi="宋体" w:eastAsia="宋体" w:cs="宋体"/>
          <w:b/>
          <w:bCs/>
          <w:spacing w:val="5"/>
          <w:sz w:val="20"/>
          <w:szCs w:val="20"/>
        </w:rPr>
        <w:t>洁生产水平判定表</w:t>
      </w:r>
    </w:p>
    <w:tbl>
      <w:tblPr>
        <w:tblStyle w:val="5"/>
        <w:tblW w:w="9068" w:type="dxa"/>
        <w:tblInd w:w="10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471"/>
        <w:gridCol w:w="5597"/>
      </w:tblGrid>
      <w:tr w14:paraId="0E9D20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3471" w:type="dxa"/>
            <w:tcBorders>
              <w:top w:val="single" w:color="000000" w:sz="10" w:space="0"/>
              <w:left w:val="nil"/>
            </w:tcBorders>
            <w:vAlign w:val="top"/>
          </w:tcPr>
          <w:p w14:paraId="68BF9E5C">
            <w:pPr>
              <w:pStyle w:val="6"/>
              <w:spacing w:before="36" w:line="208" w:lineRule="auto"/>
              <w:ind w:left="1113"/>
              <w:rPr>
                <w:sz w:val="20"/>
                <w:szCs w:val="20"/>
              </w:rPr>
            </w:pPr>
            <w:r>
              <w:rPr>
                <w:spacing w:val="8"/>
                <w:sz w:val="20"/>
                <w:szCs w:val="20"/>
              </w:rPr>
              <w:t>清洁生产水平</w:t>
            </w:r>
          </w:p>
        </w:tc>
        <w:tc>
          <w:tcPr>
            <w:tcW w:w="5597" w:type="dxa"/>
            <w:tcBorders>
              <w:top w:val="single" w:color="000000" w:sz="10" w:space="0"/>
              <w:right w:val="nil"/>
            </w:tcBorders>
            <w:vAlign w:val="top"/>
          </w:tcPr>
          <w:p w14:paraId="38F63CCB">
            <w:pPr>
              <w:pStyle w:val="6"/>
              <w:spacing w:before="36" w:line="208" w:lineRule="auto"/>
              <w:ind w:left="1756"/>
              <w:rPr>
                <w:sz w:val="20"/>
                <w:szCs w:val="20"/>
              </w:rPr>
            </w:pPr>
            <w:r>
              <w:rPr>
                <w:spacing w:val="8"/>
                <w:sz w:val="20"/>
                <w:szCs w:val="20"/>
              </w:rPr>
              <w:t>清洁生产综合评价指数</w:t>
            </w:r>
          </w:p>
        </w:tc>
      </w:tr>
      <w:tr w14:paraId="319EFC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3471" w:type="dxa"/>
            <w:tcBorders>
              <w:left w:val="nil"/>
            </w:tcBorders>
            <w:vAlign w:val="top"/>
          </w:tcPr>
          <w:p w14:paraId="01C5D11D">
            <w:pPr>
              <w:pStyle w:val="6"/>
              <w:spacing w:before="36" w:line="204" w:lineRule="auto"/>
              <w:ind w:left="714"/>
              <w:rPr>
                <w:sz w:val="20"/>
                <w:szCs w:val="20"/>
              </w:rPr>
            </w:pPr>
            <w:r>
              <w:rPr>
                <w:spacing w:val="6"/>
                <w:sz w:val="20"/>
                <w:szCs w:val="20"/>
              </w:rPr>
              <w:t>国际清洁生产领先水平</w:t>
            </w:r>
          </w:p>
        </w:tc>
        <w:tc>
          <w:tcPr>
            <w:tcW w:w="5597" w:type="dxa"/>
            <w:tcBorders>
              <w:right w:val="nil"/>
            </w:tcBorders>
            <w:vAlign w:val="top"/>
          </w:tcPr>
          <w:p w14:paraId="18D2828D">
            <w:pPr>
              <w:pStyle w:val="6"/>
              <w:spacing w:before="36" w:line="204" w:lineRule="auto"/>
              <w:ind w:left="647"/>
              <w:rPr>
                <w:rFonts w:ascii="Times New Roman" w:hAnsi="Times New Roman" w:eastAsia="Times New Roman" w:cs="Times New Roman"/>
                <w:sz w:val="20"/>
                <w:szCs w:val="20"/>
              </w:rPr>
            </w:pPr>
            <w:r>
              <w:rPr>
                <w:spacing w:val="7"/>
                <w:sz w:val="20"/>
                <w:szCs w:val="20"/>
              </w:rPr>
              <w:t>全部达到</w:t>
            </w:r>
            <w:r>
              <w:rPr>
                <w:rFonts w:ascii="Times New Roman" w:hAnsi="Times New Roman" w:eastAsia="Times New Roman" w:cs="Times New Roman"/>
                <w:spacing w:val="7"/>
                <w:sz w:val="20"/>
                <w:szCs w:val="20"/>
              </w:rPr>
              <w:t>Ⅰ</w:t>
            </w:r>
            <w:r>
              <w:rPr>
                <w:spacing w:val="7"/>
                <w:sz w:val="20"/>
                <w:szCs w:val="20"/>
              </w:rPr>
              <w:t>级限定性指标要求，同时</w:t>
            </w:r>
            <w:r>
              <w:rPr>
                <w:spacing w:val="-17"/>
                <w:sz w:val="20"/>
                <w:szCs w:val="20"/>
              </w:rPr>
              <w:t xml:space="preserve"> </w:t>
            </w:r>
            <w:r>
              <w:rPr>
                <w:rFonts w:ascii="Times New Roman" w:hAnsi="Times New Roman" w:eastAsia="Times New Roman" w:cs="Times New Roman"/>
                <w:spacing w:val="7"/>
                <w:sz w:val="20"/>
                <w:szCs w:val="20"/>
              </w:rPr>
              <w:t>100≥</w:t>
            </w:r>
            <w:r>
              <w:rPr>
                <w:rFonts w:ascii="Times New Roman" w:hAnsi="Times New Roman" w:eastAsia="Times New Roman" w:cs="Times New Roman"/>
                <w:sz w:val="20"/>
                <w:szCs w:val="20"/>
              </w:rPr>
              <w:t>Y</w:t>
            </w:r>
            <w:r>
              <w:rPr>
                <w:rFonts w:ascii="Times New Roman" w:hAnsi="Times New Roman" w:eastAsia="Times New Roman" w:cs="Times New Roman"/>
                <w:position w:val="-1"/>
                <w:sz w:val="13"/>
                <w:szCs w:val="13"/>
              </w:rPr>
              <w:t>gk</w:t>
            </w:r>
            <w:r>
              <w:rPr>
                <w:rFonts w:ascii="Times New Roman" w:hAnsi="Times New Roman" w:eastAsia="Times New Roman" w:cs="Times New Roman"/>
                <w:spacing w:val="7"/>
                <w:sz w:val="20"/>
                <w:szCs w:val="20"/>
              </w:rPr>
              <w:t>≥90</w:t>
            </w:r>
          </w:p>
        </w:tc>
      </w:tr>
      <w:tr w14:paraId="48A635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6" w:hRule="atLeast"/>
        </w:trPr>
        <w:tc>
          <w:tcPr>
            <w:tcW w:w="3471" w:type="dxa"/>
            <w:tcBorders>
              <w:left w:val="nil"/>
            </w:tcBorders>
            <w:vAlign w:val="top"/>
          </w:tcPr>
          <w:p w14:paraId="47D88A26">
            <w:pPr>
              <w:pStyle w:val="6"/>
              <w:spacing w:before="42" w:line="197" w:lineRule="auto"/>
              <w:ind w:left="714"/>
              <w:rPr>
                <w:sz w:val="20"/>
                <w:szCs w:val="20"/>
              </w:rPr>
            </w:pPr>
            <w:r>
              <w:rPr>
                <w:spacing w:val="6"/>
                <w:sz w:val="20"/>
                <w:szCs w:val="20"/>
              </w:rPr>
              <w:t>国内清洁生产先进水平</w:t>
            </w:r>
          </w:p>
        </w:tc>
        <w:tc>
          <w:tcPr>
            <w:tcW w:w="5597" w:type="dxa"/>
            <w:tcBorders>
              <w:right w:val="nil"/>
            </w:tcBorders>
            <w:vAlign w:val="top"/>
          </w:tcPr>
          <w:p w14:paraId="5C80C7E9">
            <w:pPr>
              <w:pStyle w:val="6"/>
              <w:spacing w:before="42" w:line="197" w:lineRule="auto"/>
              <w:ind w:left="621"/>
              <w:rPr>
                <w:rFonts w:ascii="Times New Roman" w:hAnsi="Times New Roman" w:eastAsia="Times New Roman" w:cs="Times New Roman"/>
                <w:sz w:val="20"/>
                <w:szCs w:val="20"/>
              </w:rPr>
            </w:pPr>
            <w:r>
              <w:rPr>
                <w:spacing w:val="8"/>
                <w:sz w:val="20"/>
                <w:szCs w:val="20"/>
              </w:rPr>
              <w:t>全部达到</w:t>
            </w:r>
            <w:r>
              <w:rPr>
                <w:rFonts w:ascii="Times New Roman" w:hAnsi="Times New Roman" w:eastAsia="Times New Roman" w:cs="Times New Roman"/>
                <w:spacing w:val="8"/>
                <w:sz w:val="20"/>
                <w:szCs w:val="20"/>
              </w:rPr>
              <w:t>Ⅱ</w:t>
            </w:r>
            <w:r>
              <w:rPr>
                <w:spacing w:val="8"/>
                <w:sz w:val="20"/>
                <w:szCs w:val="20"/>
              </w:rPr>
              <w:t>级限定性指标要求，同时</w:t>
            </w:r>
            <w:r>
              <w:rPr>
                <w:spacing w:val="-30"/>
                <w:sz w:val="20"/>
                <w:szCs w:val="20"/>
              </w:rPr>
              <w:t xml:space="preserve"> </w:t>
            </w:r>
            <w:r>
              <w:rPr>
                <w:rFonts w:ascii="Times New Roman" w:hAnsi="Times New Roman" w:eastAsia="Times New Roman" w:cs="Times New Roman"/>
                <w:spacing w:val="8"/>
                <w:sz w:val="20"/>
                <w:szCs w:val="20"/>
              </w:rPr>
              <w:t>90</w:t>
            </w:r>
            <w:r>
              <w:rPr>
                <w:spacing w:val="8"/>
                <w:sz w:val="20"/>
                <w:szCs w:val="20"/>
              </w:rPr>
              <w:t>＞</w:t>
            </w:r>
            <w:r>
              <w:rPr>
                <w:rFonts w:ascii="Times New Roman" w:hAnsi="Times New Roman" w:eastAsia="Times New Roman" w:cs="Times New Roman"/>
                <w:sz w:val="20"/>
                <w:szCs w:val="20"/>
              </w:rPr>
              <w:t>Y</w:t>
            </w:r>
            <w:r>
              <w:rPr>
                <w:rFonts w:ascii="Times New Roman" w:hAnsi="Times New Roman" w:eastAsia="Times New Roman" w:cs="Times New Roman"/>
                <w:position w:val="-1"/>
                <w:sz w:val="13"/>
                <w:szCs w:val="13"/>
              </w:rPr>
              <w:t>gk</w:t>
            </w:r>
            <w:r>
              <w:rPr>
                <w:rFonts w:ascii="Times New Roman" w:hAnsi="Times New Roman" w:eastAsia="Times New Roman" w:cs="Times New Roman"/>
                <w:spacing w:val="8"/>
                <w:sz w:val="20"/>
                <w:szCs w:val="20"/>
              </w:rPr>
              <w:t>≥80</w:t>
            </w:r>
          </w:p>
        </w:tc>
      </w:tr>
      <w:tr w14:paraId="7C3B19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2" w:hRule="atLeast"/>
        </w:trPr>
        <w:tc>
          <w:tcPr>
            <w:tcW w:w="3471" w:type="dxa"/>
            <w:tcBorders>
              <w:left w:val="nil"/>
              <w:bottom w:val="single" w:color="000000" w:sz="10" w:space="0"/>
            </w:tcBorders>
            <w:vAlign w:val="top"/>
          </w:tcPr>
          <w:p w14:paraId="2B73162D">
            <w:pPr>
              <w:pStyle w:val="6"/>
              <w:spacing w:before="49" w:line="215" w:lineRule="auto"/>
              <w:ind w:left="714"/>
              <w:rPr>
                <w:sz w:val="20"/>
                <w:szCs w:val="20"/>
              </w:rPr>
            </w:pPr>
            <w:r>
              <w:rPr>
                <w:spacing w:val="6"/>
                <w:sz w:val="20"/>
                <w:szCs w:val="20"/>
              </w:rPr>
              <w:t>国内清洁生产一般水平</w:t>
            </w:r>
          </w:p>
        </w:tc>
        <w:tc>
          <w:tcPr>
            <w:tcW w:w="5597" w:type="dxa"/>
            <w:tcBorders>
              <w:bottom w:val="single" w:color="000000" w:sz="10" w:space="0"/>
              <w:right w:val="nil"/>
            </w:tcBorders>
            <w:vAlign w:val="top"/>
          </w:tcPr>
          <w:p w14:paraId="2608D523">
            <w:pPr>
              <w:pStyle w:val="6"/>
              <w:spacing w:before="49" w:line="215" w:lineRule="auto"/>
              <w:ind w:left="587"/>
              <w:rPr>
                <w:rFonts w:ascii="Times New Roman" w:hAnsi="Times New Roman" w:eastAsia="Times New Roman" w:cs="Times New Roman"/>
                <w:sz w:val="20"/>
                <w:szCs w:val="20"/>
              </w:rPr>
            </w:pPr>
            <w:r>
              <w:rPr>
                <w:spacing w:val="8"/>
                <w:sz w:val="20"/>
                <w:szCs w:val="20"/>
              </w:rPr>
              <w:t>全部达到</w:t>
            </w:r>
            <w:r>
              <w:rPr>
                <w:rFonts w:ascii="Times New Roman" w:hAnsi="Times New Roman" w:eastAsia="Times New Roman" w:cs="Times New Roman"/>
                <w:spacing w:val="8"/>
                <w:sz w:val="20"/>
                <w:szCs w:val="20"/>
              </w:rPr>
              <w:t>Ⅲ</w:t>
            </w:r>
            <w:r>
              <w:rPr>
                <w:spacing w:val="8"/>
                <w:sz w:val="20"/>
                <w:szCs w:val="20"/>
              </w:rPr>
              <w:t>级限定性指标要求，同时</w:t>
            </w:r>
            <w:r>
              <w:rPr>
                <w:spacing w:val="-25"/>
                <w:sz w:val="20"/>
                <w:szCs w:val="20"/>
              </w:rPr>
              <w:t xml:space="preserve"> </w:t>
            </w:r>
            <w:r>
              <w:rPr>
                <w:rFonts w:ascii="Times New Roman" w:hAnsi="Times New Roman" w:eastAsia="Times New Roman" w:cs="Times New Roman"/>
                <w:spacing w:val="8"/>
                <w:sz w:val="20"/>
                <w:szCs w:val="20"/>
              </w:rPr>
              <w:t>80</w:t>
            </w:r>
            <w:r>
              <w:rPr>
                <w:spacing w:val="8"/>
                <w:sz w:val="20"/>
                <w:szCs w:val="20"/>
              </w:rPr>
              <w:t>＞</w:t>
            </w:r>
            <w:r>
              <w:rPr>
                <w:rFonts w:ascii="Times New Roman" w:hAnsi="Times New Roman" w:eastAsia="Times New Roman" w:cs="Times New Roman"/>
                <w:sz w:val="20"/>
                <w:szCs w:val="20"/>
              </w:rPr>
              <w:t>Y</w:t>
            </w:r>
            <w:r>
              <w:rPr>
                <w:rFonts w:ascii="Times New Roman" w:hAnsi="Times New Roman" w:eastAsia="Times New Roman" w:cs="Times New Roman"/>
                <w:position w:val="-1"/>
                <w:sz w:val="13"/>
                <w:szCs w:val="13"/>
              </w:rPr>
              <w:t>gk</w:t>
            </w:r>
            <w:r>
              <w:rPr>
                <w:rFonts w:ascii="Times New Roman" w:hAnsi="Times New Roman" w:eastAsia="Times New Roman" w:cs="Times New Roman"/>
                <w:spacing w:val="8"/>
                <w:sz w:val="20"/>
                <w:szCs w:val="20"/>
              </w:rPr>
              <w:t>≥70</w:t>
            </w:r>
          </w:p>
        </w:tc>
      </w:tr>
    </w:tbl>
    <w:p w14:paraId="71E7C770">
      <w:pPr>
        <w:spacing w:before="37" w:line="344" w:lineRule="auto"/>
        <w:ind w:left="112" w:right="40" w:firstLine="479"/>
        <w:jc w:val="both"/>
        <w:rPr>
          <w:rFonts w:ascii="宋体" w:hAnsi="宋体" w:eastAsia="宋体" w:cs="宋体"/>
          <w:sz w:val="24"/>
          <w:szCs w:val="24"/>
        </w:rPr>
      </w:pPr>
      <w:r>
        <w:rPr>
          <w:rFonts w:ascii="宋体" w:hAnsi="宋体" w:eastAsia="宋体" w:cs="宋体"/>
          <w:spacing w:val="-2"/>
          <w:sz w:val="24"/>
          <w:szCs w:val="24"/>
        </w:rPr>
        <w:t>根据《钢铁行业（铁合金）清洁生产评价指标体系》，清洁生产评价指标体系技术</w:t>
      </w:r>
      <w:r>
        <w:rPr>
          <w:rFonts w:ascii="宋体" w:hAnsi="宋体" w:eastAsia="宋体" w:cs="宋体"/>
          <w:spacing w:val="16"/>
          <w:sz w:val="24"/>
          <w:szCs w:val="24"/>
        </w:rPr>
        <w:t xml:space="preserve"> </w:t>
      </w:r>
      <w:r>
        <w:rPr>
          <w:rFonts w:ascii="宋体" w:hAnsi="宋体" w:eastAsia="宋体" w:cs="宋体"/>
          <w:spacing w:val="-6"/>
          <w:sz w:val="24"/>
          <w:szCs w:val="24"/>
        </w:rPr>
        <w:t>要求及本项目评价指标计算详见表</w:t>
      </w:r>
      <w:r>
        <w:rPr>
          <w:rFonts w:ascii="宋体" w:hAnsi="宋体" w:eastAsia="宋体" w:cs="宋体"/>
          <w:spacing w:val="-67"/>
          <w:sz w:val="24"/>
          <w:szCs w:val="24"/>
        </w:rPr>
        <w:t xml:space="preserve"> </w:t>
      </w:r>
      <w:r>
        <w:rPr>
          <w:rFonts w:ascii="Times New Roman" w:hAnsi="Times New Roman" w:eastAsia="Times New Roman" w:cs="Times New Roman"/>
          <w:spacing w:val="-6"/>
          <w:sz w:val="24"/>
          <w:szCs w:val="24"/>
        </w:rPr>
        <w:t>2.6-2</w:t>
      </w:r>
      <w:r>
        <w:rPr>
          <w:rFonts w:ascii="宋体" w:hAnsi="宋体" w:eastAsia="宋体" w:cs="宋体"/>
          <w:spacing w:val="-6"/>
          <w:sz w:val="24"/>
          <w:szCs w:val="24"/>
        </w:rPr>
        <w:t>。根</w:t>
      </w:r>
      <w:r>
        <w:rPr>
          <w:rFonts w:ascii="宋体" w:hAnsi="宋体" w:eastAsia="宋体" w:cs="宋体"/>
          <w:spacing w:val="-7"/>
          <w:sz w:val="24"/>
          <w:szCs w:val="24"/>
        </w:rPr>
        <w:t>据表</w:t>
      </w:r>
      <w:r>
        <w:rPr>
          <w:rFonts w:ascii="宋体" w:hAnsi="宋体" w:eastAsia="宋体" w:cs="宋体"/>
          <w:spacing w:val="-67"/>
          <w:sz w:val="24"/>
          <w:szCs w:val="24"/>
        </w:rPr>
        <w:t xml:space="preserve"> </w:t>
      </w:r>
      <w:r>
        <w:rPr>
          <w:rFonts w:ascii="Times New Roman" w:hAnsi="Times New Roman" w:eastAsia="Times New Roman" w:cs="Times New Roman"/>
          <w:spacing w:val="-7"/>
          <w:sz w:val="24"/>
          <w:szCs w:val="24"/>
        </w:rPr>
        <w:t>2.6-2</w:t>
      </w:r>
      <w:r>
        <w:rPr>
          <w:rFonts w:ascii="宋体" w:hAnsi="宋体" w:eastAsia="宋体" w:cs="宋体"/>
          <w:spacing w:val="-7"/>
          <w:sz w:val="24"/>
          <w:szCs w:val="24"/>
        </w:rPr>
        <w:t>，本项目锰硅合金生产</w:t>
      </w:r>
      <w:r>
        <w:rPr>
          <w:rFonts w:ascii="宋体" w:hAnsi="宋体" w:eastAsia="宋体" w:cs="宋体"/>
          <w:spacing w:val="-69"/>
          <w:sz w:val="24"/>
          <w:szCs w:val="24"/>
        </w:rPr>
        <w:t xml:space="preserve"> </w:t>
      </w:r>
      <w:r>
        <w:rPr>
          <w:rFonts w:ascii="Times New Roman" w:hAnsi="Times New Roman" w:eastAsia="Times New Roman" w:cs="Times New Roman"/>
          <w:spacing w:val="-7"/>
          <w:sz w:val="24"/>
          <w:szCs w:val="24"/>
        </w:rPr>
        <w:t>Ygk=94.29</w:t>
      </w:r>
      <w:r>
        <w:rPr>
          <w:rFonts w:ascii="宋体" w:hAnsi="宋体" w:eastAsia="宋体" w:cs="宋体"/>
          <w:spacing w:val="-7"/>
          <w:sz w:val="24"/>
          <w:szCs w:val="24"/>
        </w:rPr>
        <w:t>，</w:t>
      </w:r>
      <w:r>
        <w:rPr>
          <w:rFonts w:ascii="宋体" w:hAnsi="宋体" w:eastAsia="宋体" w:cs="宋体"/>
          <w:sz w:val="24"/>
          <w:szCs w:val="24"/>
        </w:rPr>
        <w:t xml:space="preserve"> </w:t>
      </w:r>
      <w:r>
        <w:rPr>
          <w:rFonts w:ascii="宋体" w:hAnsi="宋体" w:eastAsia="宋体" w:cs="宋体"/>
          <w:spacing w:val="1"/>
          <w:sz w:val="24"/>
          <w:szCs w:val="24"/>
        </w:rPr>
        <w:t>限定性指标全部达到</w:t>
      </w:r>
      <w:r>
        <w:rPr>
          <w:rFonts w:ascii="Times New Roman" w:hAnsi="Times New Roman" w:eastAsia="Times New Roman" w:cs="Times New Roman"/>
          <w:spacing w:val="1"/>
          <w:sz w:val="24"/>
          <w:szCs w:val="24"/>
        </w:rPr>
        <w:t>Ⅱ</w:t>
      </w:r>
      <w:r>
        <w:rPr>
          <w:rFonts w:ascii="宋体" w:hAnsi="宋体" w:eastAsia="宋体" w:cs="宋体"/>
          <w:spacing w:val="1"/>
          <w:sz w:val="24"/>
          <w:szCs w:val="24"/>
        </w:rPr>
        <w:t>级基准值要求，锰硅合金生产清洁生产</w:t>
      </w:r>
      <w:r>
        <w:rPr>
          <w:rFonts w:ascii="宋体" w:hAnsi="宋体" w:eastAsia="宋体" w:cs="宋体"/>
          <w:sz w:val="24"/>
          <w:szCs w:val="24"/>
        </w:rPr>
        <w:t xml:space="preserve">水平达到国内清洁生产领 </w:t>
      </w:r>
      <w:r>
        <w:rPr>
          <w:rFonts w:ascii="宋体" w:hAnsi="宋体" w:eastAsia="宋体" w:cs="宋体"/>
          <w:spacing w:val="-3"/>
          <w:sz w:val="24"/>
          <w:szCs w:val="24"/>
        </w:rPr>
        <w:t>先水平。</w:t>
      </w:r>
    </w:p>
    <w:p w14:paraId="22DB109E">
      <w:pPr>
        <w:spacing w:line="344" w:lineRule="auto"/>
        <w:rPr>
          <w:rFonts w:ascii="宋体" w:hAnsi="宋体" w:eastAsia="宋体" w:cs="宋体"/>
          <w:sz w:val="24"/>
          <w:szCs w:val="24"/>
        </w:rPr>
        <w:sectPr>
          <w:headerReference r:id="rId198" w:type="default"/>
          <w:footerReference r:id="rId199" w:type="default"/>
          <w:pgSz w:w="11907" w:h="16840"/>
          <w:pgMar w:top="1587" w:right="1315" w:bottom="1297" w:left="1313" w:header="1278" w:footer="1135" w:gutter="0"/>
          <w:cols w:space="720" w:num="1"/>
        </w:sectPr>
      </w:pPr>
    </w:p>
    <w:p w14:paraId="7EAB4A25">
      <w:pPr>
        <w:spacing w:line="28" w:lineRule="exact"/>
      </w:pPr>
      <w:r>
        <w:pict>
          <v:shape id="_x0000_s1243" o:spid="_x0000_s1243" style="height:1.45pt;width:700.25pt;" fillcolor="#000000" filled="t" stroked="f" coordsize="14005,29" path="m0,0l14005,0,14005,28,0,28,0,0xe">
            <v:path/>
            <v:fill on="t" focussize="0,0"/>
            <v:stroke on="f"/>
            <v:imagedata o:title=""/>
            <o:lock v:ext="edit"/>
            <w10:wrap type="none"/>
            <w10:anchorlock/>
          </v:shape>
        </w:pict>
      </w:r>
    </w:p>
    <w:p w14:paraId="71F87113">
      <w:pPr>
        <w:spacing w:before="229" w:line="226" w:lineRule="auto"/>
        <w:ind w:left="3207"/>
        <w:rPr>
          <w:rFonts w:ascii="宋体" w:hAnsi="宋体" w:eastAsia="宋体" w:cs="宋体"/>
          <w:sz w:val="20"/>
          <w:szCs w:val="20"/>
        </w:rPr>
      </w:pPr>
      <w:r>
        <w:rPr>
          <w:rFonts w:ascii="宋体" w:hAnsi="宋体" w:eastAsia="宋体" w:cs="宋体"/>
          <w:b/>
          <w:bCs/>
          <w:spacing w:val="7"/>
          <w:sz w:val="20"/>
          <w:szCs w:val="20"/>
        </w:rPr>
        <w:t>表</w:t>
      </w:r>
      <w:r>
        <w:rPr>
          <w:rFonts w:ascii="Times New Roman" w:hAnsi="Times New Roman" w:eastAsia="Times New Roman" w:cs="Times New Roman"/>
          <w:b/>
          <w:bCs/>
          <w:spacing w:val="7"/>
          <w:sz w:val="20"/>
          <w:szCs w:val="20"/>
        </w:rPr>
        <w:t xml:space="preserve">2.6-2        </w:t>
      </w:r>
      <w:r>
        <w:rPr>
          <w:rFonts w:ascii="宋体" w:hAnsi="宋体" w:eastAsia="宋体" w:cs="宋体"/>
          <w:b/>
          <w:bCs/>
          <w:spacing w:val="7"/>
          <w:sz w:val="20"/>
          <w:szCs w:val="20"/>
        </w:rPr>
        <w:t>锰硅合金产品清洁生产评价指标体系技术要求及本项目</w:t>
      </w:r>
      <w:r>
        <w:rPr>
          <w:rFonts w:ascii="宋体" w:hAnsi="宋体" w:eastAsia="宋体" w:cs="宋体"/>
          <w:b/>
          <w:bCs/>
          <w:spacing w:val="6"/>
          <w:sz w:val="20"/>
          <w:szCs w:val="20"/>
        </w:rPr>
        <w:t>评价指标计算表</w:t>
      </w:r>
    </w:p>
    <w:p w14:paraId="46279F60">
      <w:pPr>
        <w:spacing w:line="132" w:lineRule="exact"/>
      </w:pPr>
    </w:p>
    <w:tbl>
      <w:tblPr>
        <w:tblStyle w:val="5"/>
        <w:tblW w:w="1399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7"/>
        <w:gridCol w:w="762"/>
        <w:gridCol w:w="636"/>
        <w:gridCol w:w="708"/>
        <w:gridCol w:w="1257"/>
        <w:gridCol w:w="949"/>
        <w:gridCol w:w="2156"/>
        <w:gridCol w:w="1811"/>
        <w:gridCol w:w="2133"/>
        <w:gridCol w:w="1626"/>
        <w:gridCol w:w="669"/>
        <w:gridCol w:w="574"/>
      </w:tblGrid>
      <w:tr w14:paraId="5B9600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1479" w:type="dxa"/>
            <w:gridSpan w:val="2"/>
            <w:tcBorders>
              <w:top w:val="single" w:color="000000" w:sz="10" w:space="0"/>
              <w:left w:val="nil"/>
            </w:tcBorders>
            <w:vAlign w:val="top"/>
          </w:tcPr>
          <w:p w14:paraId="550384CB">
            <w:pPr>
              <w:pStyle w:val="6"/>
              <w:spacing w:before="35" w:line="216" w:lineRule="auto"/>
              <w:ind w:left="329"/>
              <w:rPr>
                <w:sz w:val="20"/>
                <w:szCs w:val="20"/>
              </w:rPr>
            </w:pPr>
            <w:r>
              <w:rPr>
                <w:spacing w:val="6"/>
                <w:sz w:val="20"/>
                <w:szCs w:val="20"/>
              </w:rPr>
              <w:t>一级指标</w:t>
            </w:r>
          </w:p>
        </w:tc>
        <w:tc>
          <w:tcPr>
            <w:tcW w:w="9650" w:type="dxa"/>
            <w:gridSpan w:val="7"/>
            <w:tcBorders>
              <w:top w:val="single" w:color="000000" w:sz="10" w:space="0"/>
            </w:tcBorders>
            <w:vAlign w:val="top"/>
          </w:tcPr>
          <w:p w14:paraId="6BAA0261">
            <w:pPr>
              <w:pStyle w:val="6"/>
              <w:spacing w:before="35" w:line="216" w:lineRule="auto"/>
              <w:ind w:left="4413"/>
              <w:rPr>
                <w:sz w:val="20"/>
                <w:szCs w:val="20"/>
              </w:rPr>
            </w:pPr>
            <w:r>
              <w:rPr>
                <w:spacing w:val="6"/>
                <w:sz w:val="20"/>
                <w:szCs w:val="20"/>
              </w:rPr>
              <w:t>二级指标</w:t>
            </w:r>
          </w:p>
        </w:tc>
        <w:tc>
          <w:tcPr>
            <w:tcW w:w="1626" w:type="dxa"/>
            <w:vMerge w:val="restart"/>
            <w:tcBorders>
              <w:top w:val="single" w:color="000000" w:sz="10" w:space="0"/>
              <w:bottom w:val="nil"/>
            </w:tcBorders>
            <w:vAlign w:val="top"/>
          </w:tcPr>
          <w:p w14:paraId="336306AF">
            <w:pPr>
              <w:spacing w:line="241" w:lineRule="auto"/>
              <w:rPr>
                <w:rFonts w:ascii="Arial"/>
                <w:sz w:val="21"/>
              </w:rPr>
            </w:pPr>
          </w:p>
          <w:p w14:paraId="0DF2420B">
            <w:pPr>
              <w:pStyle w:val="6"/>
              <w:spacing w:before="65" w:line="227" w:lineRule="auto"/>
              <w:ind w:left="295"/>
              <w:rPr>
                <w:sz w:val="20"/>
                <w:szCs w:val="20"/>
              </w:rPr>
            </w:pPr>
            <w:r>
              <w:rPr>
                <w:spacing w:val="7"/>
                <w:sz w:val="20"/>
                <w:szCs w:val="20"/>
              </w:rPr>
              <w:t>本项目情况</w:t>
            </w:r>
          </w:p>
        </w:tc>
        <w:tc>
          <w:tcPr>
            <w:tcW w:w="669" w:type="dxa"/>
            <w:vMerge w:val="restart"/>
            <w:tcBorders>
              <w:top w:val="single" w:color="000000" w:sz="10" w:space="0"/>
              <w:bottom w:val="nil"/>
            </w:tcBorders>
            <w:vAlign w:val="top"/>
          </w:tcPr>
          <w:p w14:paraId="1C195396">
            <w:pPr>
              <w:pStyle w:val="6"/>
              <w:spacing w:before="172" w:line="239" w:lineRule="auto"/>
              <w:ind w:left="29" w:right="16"/>
              <w:rPr>
                <w:sz w:val="20"/>
                <w:szCs w:val="20"/>
              </w:rPr>
            </w:pPr>
            <w:r>
              <w:rPr>
                <w:spacing w:val="5"/>
                <w:sz w:val="20"/>
                <w:szCs w:val="20"/>
              </w:rPr>
              <w:t>二级单</w:t>
            </w:r>
            <w:r>
              <w:rPr>
                <w:spacing w:val="1"/>
                <w:sz w:val="20"/>
                <w:szCs w:val="20"/>
              </w:rPr>
              <w:t xml:space="preserve"> </w:t>
            </w:r>
            <w:r>
              <w:rPr>
                <w:spacing w:val="5"/>
                <w:sz w:val="20"/>
                <w:szCs w:val="20"/>
              </w:rPr>
              <w:t>项指标</w:t>
            </w:r>
          </w:p>
        </w:tc>
        <w:tc>
          <w:tcPr>
            <w:tcW w:w="574" w:type="dxa"/>
            <w:vMerge w:val="restart"/>
            <w:tcBorders>
              <w:top w:val="single" w:color="000000" w:sz="10" w:space="0"/>
              <w:bottom w:val="nil"/>
              <w:right w:val="nil"/>
            </w:tcBorders>
            <w:vAlign w:val="top"/>
          </w:tcPr>
          <w:p w14:paraId="736903A1">
            <w:pPr>
              <w:pStyle w:val="6"/>
              <w:spacing w:before="33"/>
              <w:ind w:left="83" w:right="77" w:firstLine="3"/>
              <w:jc w:val="both"/>
              <w:rPr>
                <w:sz w:val="20"/>
                <w:szCs w:val="20"/>
              </w:rPr>
            </w:pPr>
            <w:r>
              <w:rPr>
                <w:spacing w:val="3"/>
                <w:sz w:val="20"/>
                <w:szCs w:val="20"/>
              </w:rPr>
              <w:t>综合</w:t>
            </w:r>
            <w:r>
              <w:rPr>
                <w:sz w:val="20"/>
                <w:szCs w:val="20"/>
              </w:rPr>
              <w:t xml:space="preserve"> </w:t>
            </w:r>
            <w:r>
              <w:rPr>
                <w:spacing w:val="5"/>
                <w:sz w:val="20"/>
                <w:szCs w:val="20"/>
              </w:rPr>
              <w:t>评价</w:t>
            </w:r>
            <w:r>
              <w:rPr>
                <w:sz w:val="20"/>
                <w:szCs w:val="20"/>
              </w:rPr>
              <w:t xml:space="preserve"> </w:t>
            </w:r>
            <w:r>
              <w:rPr>
                <w:spacing w:val="5"/>
                <w:sz w:val="20"/>
                <w:szCs w:val="20"/>
              </w:rPr>
              <w:t>指数</w:t>
            </w:r>
          </w:p>
        </w:tc>
      </w:tr>
      <w:tr w14:paraId="7C9295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9" w:hRule="atLeast"/>
        </w:trPr>
        <w:tc>
          <w:tcPr>
            <w:tcW w:w="717" w:type="dxa"/>
            <w:tcBorders>
              <w:left w:val="nil"/>
            </w:tcBorders>
            <w:vAlign w:val="top"/>
          </w:tcPr>
          <w:p w14:paraId="7FB1BF1E">
            <w:pPr>
              <w:pStyle w:val="6"/>
              <w:spacing w:before="161" w:line="228" w:lineRule="auto"/>
              <w:ind w:left="52"/>
              <w:rPr>
                <w:sz w:val="20"/>
                <w:szCs w:val="20"/>
              </w:rPr>
            </w:pPr>
            <w:r>
              <w:rPr>
                <w:spacing w:val="6"/>
                <w:sz w:val="20"/>
                <w:szCs w:val="20"/>
              </w:rPr>
              <w:t>指标项</w:t>
            </w:r>
          </w:p>
        </w:tc>
        <w:tc>
          <w:tcPr>
            <w:tcW w:w="762" w:type="dxa"/>
            <w:vAlign w:val="top"/>
          </w:tcPr>
          <w:p w14:paraId="3C525534">
            <w:pPr>
              <w:pStyle w:val="6"/>
              <w:spacing w:before="160" w:line="228" w:lineRule="auto"/>
              <w:ind w:left="70"/>
              <w:rPr>
                <w:sz w:val="20"/>
                <w:szCs w:val="20"/>
              </w:rPr>
            </w:pPr>
            <w:r>
              <w:rPr>
                <w:spacing w:val="7"/>
                <w:sz w:val="20"/>
                <w:szCs w:val="20"/>
              </w:rPr>
              <w:t>权重值</w:t>
            </w:r>
          </w:p>
        </w:tc>
        <w:tc>
          <w:tcPr>
            <w:tcW w:w="636" w:type="dxa"/>
            <w:vAlign w:val="top"/>
          </w:tcPr>
          <w:p w14:paraId="22280C59">
            <w:pPr>
              <w:pStyle w:val="6"/>
              <w:spacing w:before="160" w:line="229" w:lineRule="auto"/>
              <w:ind w:left="110"/>
              <w:rPr>
                <w:sz w:val="20"/>
                <w:szCs w:val="20"/>
              </w:rPr>
            </w:pPr>
            <w:r>
              <w:rPr>
                <w:spacing w:val="5"/>
                <w:sz w:val="20"/>
                <w:szCs w:val="20"/>
              </w:rPr>
              <w:t>序号</w:t>
            </w:r>
          </w:p>
        </w:tc>
        <w:tc>
          <w:tcPr>
            <w:tcW w:w="1965" w:type="dxa"/>
            <w:gridSpan w:val="2"/>
            <w:vAlign w:val="top"/>
          </w:tcPr>
          <w:p w14:paraId="67F2713C">
            <w:pPr>
              <w:pStyle w:val="6"/>
              <w:spacing w:before="161" w:line="228" w:lineRule="auto"/>
              <w:ind w:left="675"/>
              <w:rPr>
                <w:sz w:val="20"/>
                <w:szCs w:val="20"/>
              </w:rPr>
            </w:pPr>
            <w:r>
              <w:rPr>
                <w:spacing w:val="6"/>
                <w:sz w:val="20"/>
                <w:szCs w:val="20"/>
              </w:rPr>
              <w:t>指标项</w:t>
            </w:r>
          </w:p>
        </w:tc>
        <w:tc>
          <w:tcPr>
            <w:tcW w:w="949" w:type="dxa"/>
            <w:vAlign w:val="top"/>
          </w:tcPr>
          <w:p w14:paraId="0ED3D393">
            <w:pPr>
              <w:pStyle w:val="6"/>
              <w:spacing w:before="160" w:line="228" w:lineRule="auto"/>
              <w:ind w:left="64"/>
              <w:rPr>
                <w:sz w:val="20"/>
                <w:szCs w:val="20"/>
              </w:rPr>
            </w:pPr>
            <w:r>
              <w:rPr>
                <w:spacing w:val="6"/>
                <w:sz w:val="20"/>
                <w:szCs w:val="20"/>
              </w:rPr>
              <w:t>分权重值</w:t>
            </w:r>
          </w:p>
        </w:tc>
        <w:tc>
          <w:tcPr>
            <w:tcW w:w="2156" w:type="dxa"/>
            <w:vAlign w:val="top"/>
          </w:tcPr>
          <w:p w14:paraId="1C39C682">
            <w:pPr>
              <w:pStyle w:val="6"/>
              <w:spacing w:before="160" w:line="228" w:lineRule="auto"/>
              <w:ind w:left="285"/>
              <w:rPr>
                <w:sz w:val="20"/>
                <w:szCs w:val="20"/>
              </w:rPr>
            </w:pPr>
            <w:r>
              <w:rPr>
                <w:rFonts w:ascii="Times New Roman" w:hAnsi="Times New Roman" w:eastAsia="Times New Roman" w:cs="Times New Roman"/>
                <w:spacing w:val="5"/>
                <w:sz w:val="20"/>
                <w:szCs w:val="20"/>
              </w:rPr>
              <w:t>Ⅰ</w:t>
            </w:r>
            <w:r>
              <w:rPr>
                <w:spacing w:val="5"/>
                <w:sz w:val="20"/>
                <w:szCs w:val="20"/>
              </w:rPr>
              <w:t>级基准值（</w:t>
            </w:r>
            <w:r>
              <w:rPr>
                <w:rFonts w:ascii="Times New Roman" w:hAnsi="Times New Roman" w:eastAsia="Times New Roman" w:cs="Times New Roman"/>
                <w:spacing w:val="5"/>
                <w:sz w:val="20"/>
                <w:szCs w:val="20"/>
              </w:rPr>
              <w:t>1.0</w:t>
            </w:r>
            <w:r>
              <w:rPr>
                <w:spacing w:val="5"/>
                <w:sz w:val="20"/>
                <w:szCs w:val="20"/>
              </w:rPr>
              <w:t>）</w:t>
            </w:r>
          </w:p>
        </w:tc>
        <w:tc>
          <w:tcPr>
            <w:tcW w:w="1811" w:type="dxa"/>
            <w:vAlign w:val="top"/>
          </w:tcPr>
          <w:p w14:paraId="15AF0C7F">
            <w:pPr>
              <w:pStyle w:val="6"/>
              <w:spacing w:before="160" w:line="228" w:lineRule="auto"/>
              <w:ind w:left="78"/>
              <w:rPr>
                <w:sz w:val="20"/>
                <w:szCs w:val="20"/>
              </w:rPr>
            </w:pPr>
            <w:r>
              <w:rPr>
                <w:rFonts w:ascii="Times New Roman" w:hAnsi="Times New Roman" w:eastAsia="Times New Roman" w:cs="Times New Roman"/>
                <w:spacing w:val="6"/>
                <w:sz w:val="20"/>
                <w:szCs w:val="20"/>
              </w:rPr>
              <w:t>Ⅱ</w:t>
            </w:r>
            <w:r>
              <w:rPr>
                <w:spacing w:val="6"/>
                <w:sz w:val="20"/>
                <w:szCs w:val="20"/>
              </w:rPr>
              <w:t>级基准值（</w:t>
            </w:r>
            <w:r>
              <w:rPr>
                <w:rFonts w:ascii="Times New Roman" w:hAnsi="Times New Roman" w:eastAsia="Times New Roman" w:cs="Times New Roman"/>
                <w:spacing w:val="6"/>
                <w:sz w:val="20"/>
                <w:szCs w:val="20"/>
              </w:rPr>
              <w:t>0.8</w:t>
            </w:r>
            <w:r>
              <w:rPr>
                <w:spacing w:val="6"/>
                <w:sz w:val="20"/>
                <w:szCs w:val="20"/>
              </w:rPr>
              <w:t>）</w:t>
            </w:r>
          </w:p>
        </w:tc>
        <w:tc>
          <w:tcPr>
            <w:tcW w:w="2133" w:type="dxa"/>
            <w:vAlign w:val="top"/>
          </w:tcPr>
          <w:p w14:paraId="38825837">
            <w:pPr>
              <w:pStyle w:val="6"/>
              <w:spacing w:before="160" w:line="228" w:lineRule="auto"/>
              <w:ind w:left="206"/>
              <w:rPr>
                <w:sz w:val="20"/>
                <w:szCs w:val="20"/>
              </w:rPr>
            </w:pPr>
            <w:r>
              <w:rPr>
                <w:rFonts w:ascii="Times New Roman" w:hAnsi="Times New Roman" w:eastAsia="Times New Roman" w:cs="Times New Roman"/>
                <w:spacing w:val="6"/>
                <w:sz w:val="20"/>
                <w:szCs w:val="20"/>
              </w:rPr>
              <w:t>Ⅲ</w:t>
            </w:r>
            <w:r>
              <w:rPr>
                <w:spacing w:val="6"/>
                <w:sz w:val="20"/>
                <w:szCs w:val="20"/>
              </w:rPr>
              <w:t>级基准值（</w:t>
            </w:r>
            <w:r>
              <w:rPr>
                <w:rFonts w:ascii="Times New Roman" w:hAnsi="Times New Roman" w:eastAsia="Times New Roman" w:cs="Times New Roman"/>
                <w:spacing w:val="6"/>
                <w:sz w:val="20"/>
                <w:szCs w:val="20"/>
              </w:rPr>
              <w:t>0.6</w:t>
            </w:r>
            <w:r>
              <w:rPr>
                <w:spacing w:val="6"/>
                <w:sz w:val="20"/>
                <w:szCs w:val="20"/>
              </w:rPr>
              <w:t>）</w:t>
            </w:r>
          </w:p>
        </w:tc>
        <w:tc>
          <w:tcPr>
            <w:tcW w:w="1626" w:type="dxa"/>
            <w:vMerge w:val="continue"/>
            <w:tcBorders>
              <w:top w:val="nil"/>
            </w:tcBorders>
            <w:vAlign w:val="top"/>
          </w:tcPr>
          <w:p w14:paraId="284CA4A0">
            <w:pPr>
              <w:rPr>
                <w:rFonts w:ascii="Arial"/>
                <w:sz w:val="21"/>
              </w:rPr>
            </w:pPr>
          </w:p>
        </w:tc>
        <w:tc>
          <w:tcPr>
            <w:tcW w:w="669" w:type="dxa"/>
            <w:vMerge w:val="continue"/>
            <w:tcBorders>
              <w:top w:val="nil"/>
            </w:tcBorders>
            <w:vAlign w:val="top"/>
          </w:tcPr>
          <w:p w14:paraId="27A557E9">
            <w:pPr>
              <w:rPr>
                <w:rFonts w:ascii="Arial"/>
                <w:sz w:val="21"/>
              </w:rPr>
            </w:pPr>
          </w:p>
        </w:tc>
        <w:tc>
          <w:tcPr>
            <w:tcW w:w="574" w:type="dxa"/>
            <w:vMerge w:val="continue"/>
            <w:tcBorders>
              <w:top w:val="nil"/>
              <w:right w:val="nil"/>
            </w:tcBorders>
            <w:vAlign w:val="top"/>
          </w:tcPr>
          <w:p w14:paraId="43AA0B07">
            <w:pPr>
              <w:rPr>
                <w:rFonts w:ascii="Arial"/>
                <w:sz w:val="21"/>
              </w:rPr>
            </w:pPr>
          </w:p>
        </w:tc>
      </w:tr>
      <w:tr w14:paraId="229544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17" w:type="dxa"/>
            <w:vMerge w:val="restart"/>
            <w:tcBorders>
              <w:left w:val="nil"/>
              <w:bottom w:val="nil"/>
            </w:tcBorders>
            <w:vAlign w:val="top"/>
          </w:tcPr>
          <w:p w14:paraId="59E8E198">
            <w:pPr>
              <w:rPr>
                <w:rFonts w:ascii="Arial"/>
                <w:sz w:val="21"/>
              </w:rPr>
            </w:pPr>
          </w:p>
          <w:p w14:paraId="0E8E8150">
            <w:pPr>
              <w:rPr>
                <w:rFonts w:ascii="Arial"/>
                <w:sz w:val="21"/>
              </w:rPr>
            </w:pPr>
          </w:p>
          <w:p w14:paraId="0AE122F9">
            <w:pPr>
              <w:rPr>
                <w:rFonts w:ascii="Arial"/>
                <w:sz w:val="21"/>
              </w:rPr>
            </w:pPr>
          </w:p>
          <w:p w14:paraId="4DE9D1AB">
            <w:pPr>
              <w:rPr>
                <w:rFonts w:ascii="Arial"/>
                <w:sz w:val="21"/>
              </w:rPr>
            </w:pPr>
          </w:p>
          <w:p w14:paraId="7A190D56">
            <w:pPr>
              <w:rPr>
                <w:rFonts w:ascii="Arial"/>
                <w:sz w:val="21"/>
              </w:rPr>
            </w:pPr>
          </w:p>
          <w:p w14:paraId="656C1BD1">
            <w:pPr>
              <w:spacing w:line="241" w:lineRule="auto"/>
              <w:rPr>
                <w:rFonts w:ascii="Arial"/>
                <w:sz w:val="21"/>
              </w:rPr>
            </w:pPr>
          </w:p>
          <w:p w14:paraId="2B1444C8">
            <w:pPr>
              <w:spacing w:line="241" w:lineRule="auto"/>
              <w:rPr>
                <w:rFonts w:ascii="Arial"/>
                <w:sz w:val="21"/>
              </w:rPr>
            </w:pPr>
          </w:p>
          <w:p w14:paraId="5BC90AB4">
            <w:pPr>
              <w:spacing w:line="241" w:lineRule="auto"/>
              <w:rPr>
                <w:rFonts w:ascii="Arial"/>
                <w:sz w:val="21"/>
              </w:rPr>
            </w:pPr>
          </w:p>
          <w:p w14:paraId="6277AEEB">
            <w:pPr>
              <w:spacing w:line="241" w:lineRule="auto"/>
              <w:rPr>
                <w:rFonts w:ascii="Arial"/>
                <w:sz w:val="21"/>
              </w:rPr>
            </w:pPr>
          </w:p>
          <w:p w14:paraId="6B9694EC">
            <w:pPr>
              <w:spacing w:line="241" w:lineRule="auto"/>
              <w:rPr>
                <w:rFonts w:ascii="Arial"/>
                <w:sz w:val="21"/>
              </w:rPr>
            </w:pPr>
          </w:p>
          <w:p w14:paraId="3326F8B5">
            <w:pPr>
              <w:spacing w:line="241" w:lineRule="auto"/>
              <w:rPr>
                <w:rFonts w:ascii="Arial"/>
                <w:sz w:val="21"/>
              </w:rPr>
            </w:pPr>
          </w:p>
          <w:p w14:paraId="0B0BD498">
            <w:pPr>
              <w:spacing w:line="241" w:lineRule="auto"/>
              <w:rPr>
                <w:rFonts w:ascii="Arial"/>
                <w:sz w:val="21"/>
              </w:rPr>
            </w:pPr>
          </w:p>
          <w:p w14:paraId="58242405">
            <w:pPr>
              <w:spacing w:line="241" w:lineRule="auto"/>
              <w:rPr>
                <w:rFonts w:ascii="Arial"/>
                <w:sz w:val="21"/>
              </w:rPr>
            </w:pPr>
          </w:p>
          <w:p w14:paraId="093173ED">
            <w:pPr>
              <w:spacing w:line="241" w:lineRule="auto"/>
              <w:rPr>
                <w:rFonts w:ascii="Arial"/>
                <w:sz w:val="21"/>
              </w:rPr>
            </w:pPr>
          </w:p>
          <w:p w14:paraId="2AC2C3DE">
            <w:pPr>
              <w:pStyle w:val="6"/>
              <w:spacing w:before="65" w:line="244" w:lineRule="auto"/>
              <w:ind w:left="48" w:right="43" w:firstLine="2"/>
              <w:jc w:val="both"/>
              <w:rPr>
                <w:sz w:val="20"/>
                <w:szCs w:val="20"/>
              </w:rPr>
            </w:pPr>
            <w:r>
              <w:rPr>
                <w:spacing w:val="6"/>
                <w:sz w:val="20"/>
                <w:szCs w:val="20"/>
              </w:rPr>
              <w:t>生产工</w:t>
            </w:r>
            <w:r>
              <w:rPr>
                <w:sz w:val="20"/>
                <w:szCs w:val="20"/>
              </w:rPr>
              <w:t xml:space="preserve"> </w:t>
            </w:r>
            <w:r>
              <w:rPr>
                <w:spacing w:val="7"/>
                <w:sz w:val="20"/>
                <w:szCs w:val="20"/>
              </w:rPr>
              <w:t>艺装备</w:t>
            </w:r>
            <w:r>
              <w:rPr>
                <w:sz w:val="20"/>
                <w:szCs w:val="20"/>
              </w:rPr>
              <w:t xml:space="preserve"> </w:t>
            </w:r>
            <w:r>
              <w:rPr>
                <w:spacing w:val="7"/>
                <w:sz w:val="20"/>
                <w:szCs w:val="20"/>
              </w:rPr>
              <w:t>及技术</w:t>
            </w:r>
          </w:p>
        </w:tc>
        <w:tc>
          <w:tcPr>
            <w:tcW w:w="762" w:type="dxa"/>
            <w:vMerge w:val="restart"/>
            <w:tcBorders>
              <w:bottom w:val="nil"/>
            </w:tcBorders>
            <w:vAlign w:val="top"/>
          </w:tcPr>
          <w:p w14:paraId="783C825D">
            <w:pPr>
              <w:spacing w:line="245" w:lineRule="auto"/>
              <w:rPr>
                <w:rFonts w:ascii="Arial"/>
                <w:sz w:val="21"/>
              </w:rPr>
            </w:pPr>
          </w:p>
          <w:p w14:paraId="3903CE94">
            <w:pPr>
              <w:spacing w:line="245" w:lineRule="auto"/>
              <w:rPr>
                <w:rFonts w:ascii="Arial"/>
                <w:sz w:val="21"/>
              </w:rPr>
            </w:pPr>
          </w:p>
          <w:p w14:paraId="2910E206">
            <w:pPr>
              <w:spacing w:line="245" w:lineRule="auto"/>
              <w:rPr>
                <w:rFonts w:ascii="Arial"/>
                <w:sz w:val="21"/>
              </w:rPr>
            </w:pPr>
          </w:p>
          <w:p w14:paraId="6C811291">
            <w:pPr>
              <w:spacing w:line="245" w:lineRule="auto"/>
              <w:rPr>
                <w:rFonts w:ascii="Arial"/>
                <w:sz w:val="21"/>
              </w:rPr>
            </w:pPr>
          </w:p>
          <w:p w14:paraId="5DB422F0">
            <w:pPr>
              <w:spacing w:line="246" w:lineRule="auto"/>
              <w:rPr>
                <w:rFonts w:ascii="Arial"/>
                <w:sz w:val="21"/>
              </w:rPr>
            </w:pPr>
          </w:p>
          <w:p w14:paraId="542A241A">
            <w:pPr>
              <w:spacing w:line="246" w:lineRule="auto"/>
              <w:rPr>
                <w:rFonts w:ascii="Arial"/>
                <w:sz w:val="21"/>
              </w:rPr>
            </w:pPr>
          </w:p>
          <w:p w14:paraId="23B6B0F4">
            <w:pPr>
              <w:spacing w:line="246" w:lineRule="auto"/>
              <w:rPr>
                <w:rFonts w:ascii="Arial"/>
                <w:sz w:val="21"/>
              </w:rPr>
            </w:pPr>
          </w:p>
          <w:p w14:paraId="4CE0CEB7">
            <w:pPr>
              <w:spacing w:line="246" w:lineRule="auto"/>
              <w:rPr>
                <w:rFonts w:ascii="Arial"/>
                <w:sz w:val="21"/>
              </w:rPr>
            </w:pPr>
          </w:p>
          <w:p w14:paraId="57C2D254">
            <w:pPr>
              <w:spacing w:line="246" w:lineRule="auto"/>
              <w:rPr>
                <w:rFonts w:ascii="Arial"/>
                <w:sz w:val="21"/>
              </w:rPr>
            </w:pPr>
          </w:p>
          <w:p w14:paraId="2780F271">
            <w:pPr>
              <w:spacing w:line="246" w:lineRule="auto"/>
              <w:rPr>
                <w:rFonts w:ascii="Arial"/>
                <w:sz w:val="21"/>
              </w:rPr>
            </w:pPr>
          </w:p>
          <w:p w14:paraId="04808059">
            <w:pPr>
              <w:spacing w:line="246" w:lineRule="auto"/>
              <w:rPr>
                <w:rFonts w:ascii="Arial"/>
                <w:sz w:val="21"/>
              </w:rPr>
            </w:pPr>
          </w:p>
          <w:p w14:paraId="3523383D">
            <w:pPr>
              <w:spacing w:line="246" w:lineRule="auto"/>
              <w:rPr>
                <w:rFonts w:ascii="Arial"/>
                <w:sz w:val="21"/>
              </w:rPr>
            </w:pPr>
          </w:p>
          <w:p w14:paraId="6535B746">
            <w:pPr>
              <w:spacing w:line="246" w:lineRule="auto"/>
              <w:rPr>
                <w:rFonts w:ascii="Arial"/>
                <w:sz w:val="21"/>
              </w:rPr>
            </w:pPr>
          </w:p>
          <w:p w14:paraId="6C4D5C95">
            <w:pPr>
              <w:spacing w:line="246" w:lineRule="auto"/>
              <w:rPr>
                <w:rFonts w:ascii="Arial"/>
                <w:sz w:val="21"/>
              </w:rPr>
            </w:pPr>
          </w:p>
          <w:p w14:paraId="3DC976DC">
            <w:pPr>
              <w:spacing w:line="246" w:lineRule="auto"/>
              <w:rPr>
                <w:rFonts w:ascii="Arial"/>
                <w:sz w:val="21"/>
              </w:rPr>
            </w:pPr>
          </w:p>
          <w:p w14:paraId="5C82A6FB">
            <w:pPr>
              <w:spacing w:before="57" w:line="195"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w:t>
            </w:r>
          </w:p>
        </w:tc>
        <w:tc>
          <w:tcPr>
            <w:tcW w:w="636" w:type="dxa"/>
            <w:vAlign w:val="top"/>
          </w:tcPr>
          <w:p w14:paraId="44506811">
            <w:pPr>
              <w:spacing w:before="65" w:line="195" w:lineRule="auto"/>
              <w:ind w:left="28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965" w:type="dxa"/>
            <w:gridSpan w:val="2"/>
            <w:vAlign w:val="top"/>
          </w:tcPr>
          <w:p w14:paraId="12B3C8CF">
            <w:pPr>
              <w:pStyle w:val="6"/>
              <w:spacing w:before="29" w:line="214" w:lineRule="auto"/>
              <w:ind w:left="73"/>
              <w:rPr>
                <w:rFonts w:ascii="Times New Roman" w:hAnsi="Times New Roman" w:eastAsia="Times New Roman" w:cs="Times New Roman"/>
                <w:sz w:val="20"/>
                <w:szCs w:val="20"/>
              </w:rPr>
            </w:pPr>
            <w:r>
              <w:rPr>
                <w:spacing w:val="7"/>
                <w:sz w:val="20"/>
                <w:szCs w:val="20"/>
              </w:rPr>
              <w:t>电炉额定容量，</w:t>
            </w:r>
            <w:r>
              <w:rPr>
                <w:rFonts w:ascii="Times New Roman" w:hAnsi="Times New Roman" w:eastAsia="Times New Roman" w:cs="Times New Roman"/>
                <w:sz w:val="20"/>
                <w:szCs w:val="20"/>
              </w:rPr>
              <w:t>kVA</w:t>
            </w:r>
          </w:p>
        </w:tc>
        <w:tc>
          <w:tcPr>
            <w:tcW w:w="949" w:type="dxa"/>
            <w:vAlign w:val="top"/>
          </w:tcPr>
          <w:p w14:paraId="4D137407">
            <w:pPr>
              <w:spacing w:before="65"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14</w:t>
            </w:r>
          </w:p>
        </w:tc>
        <w:tc>
          <w:tcPr>
            <w:tcW w:w="2156" w:type="dxa"/>
            <w:vAlign w:val="top"/>
          </w:tcPr>
          <w:p w14:paraId="73634697">
            <w:pPr>
              <w:spacing w:before="66" w:line="195" w:lineRule="auto"/>
              <w:ind w:left="75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≥50000</w:t>
            </w:r>
          </w:p>
        </w:tc>
        <w:tc>
          <w:tcPr>
            <w:tcW w:w="1811" w:type="dxa"/>
            <w:vAlign w:val="top"/>
          </w:tcPr>
          <w:p w14:paraId="7536028D">
            <w:pPr>
              <w:spacing w:before="66" w:line="195" w:lineRule="auto"/>
              <w:ind w:left="58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≥25000</w:t>
            </w:r>
          </w:p>
        </w:tc>
        <w:tc>
          <w:tcPr>
            <w:tcW w:w="2133" w:type="dxa"/>
            <w:vAlign w:val="top"/>
          </w:tcPr>
          <w:p w14:paraId="7B38201B">
            <w:pPr>
              <w:spacing w:before="66" w:line="195" w:lineRule="auto"/>
              <w:ind w:left="74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≥12500</w:t>
            </w:r>
          </w:p>
        </w:tc>
        <w:tc>
          <w:tcPr>
            <w:tcW w:w="1626" w:type="dxa"/>
            <w:vAlign w:val="top"/>
          </w:tcPr>
          <w:p w14:paraId="14582555">
            <w:pPr>
              <w:spacing w:before="65" w:line="195" w:lineRule="auto"/>
              <w:ind w:left="44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6×36000</w:t>
            </w:r>
          </w:p>
        </w:tc>
        <w:tc>
          <w:tcPr>
            <w:tcW w:w="669" w:type="dxa"/>
            <w:vAlign w:val="top"/>
          </w:tcPr>
          <w:p w14:paraId="7A2FA39B">
            <w:pPr>
              <w:spacing w:before="65"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w:t>
            </w:r>
          </w:p>
        </w:tc>
        <w:tc>
          <w:tcPr>
            <w:tcW w:w="574" w:type="dxa"/>
            <w:vMerge w:val="restart"/>
            <w:tcBorders>
              <w:bottom w:val="nil"/>
              <w:right w:val="nil"/>
            </w:tcBorders>
            <w:vAlign w:val="top"/>
          </w:tcPr>
          <w:p w14:paraId="1F5C3ED6">
            <w:pPr>
              <w:spacing w:line="245" w:lineRule="auto"/>
              <w:rPr>
                <w:rFonts w:ascii="Arial"/>
                <w:sz w:val="21"/>
              </w:rPr>
            </w:pPr>
          </w:p>
          <w:p w14:paraId="3C4662B8">
            <w:pPr>
              <w:spacing w:line="245" w:lineRule="auto"/>
              <w:rPr>
                <w:rFonts w:ascii="Arial"/>
                <w:sz w:val="21"/>
              </w:rPr>
            </w:pPr>
          </w:p>
          <w:p w14:paraId="76586DD8">
            <w:pPr>
              <w:spacing w:line="245" w:lineRule="auto"/>
              <w:rPr>
                <w:rFonts w:ascii="Arial"/>
                <w:sz w:val="21"/>
              </w:rPr>
            </w:pPr>
          </w:p>
          <w:p w14:paraId="6941155C">
            <w:pPr>
              <w:spacing w:line="245" w:lineRule="auto"/>
              <w:rPr>
                <w:rFonts w:ascii="Arial"/>
                <w:sz w:val="21"/>
              </w:rPr>
            </w:pPr>
          </w:p>
          <w:p w14:paraId="0C8893AC">
            <w:pPr>
              <w:spacing w:line="246" w:lineRule="auto"/>
              <w:rPr>
                <w:rFonts w:ascii="Arial"/>
                <w:sz w:val="21"/>
              </w:rPr>
            </w:pPr>
          </w:p>
          <w:p w14:paraId="6109013E">
            <w:pPr>
              <w:spacing w:line="246" w:lineRule="auto"/>
              <w:rPr>
                <w:rFonts w:ascii="Arial"/>
                <w:sz w:val="21"/>
              </w:rPr>
            </w:pPr>
          </w:p>
          <w:p w14:paraId="2E84DD7A">
            <w:pPr>
              <w:spacing w:line="246" w:lineRule="auto"/>
              <w:rPr>
                <w:rFonts w:ascii="Arial"/>
                <w:sz w:val="21"/>
              </w:rPr>
            </w:pPr>
          </w:p>
          <w:p w14:paraId="22313370">
            <w:pPr>
              <w:spacing w:line="246" w:lineRule="auto"/>
              <w:rPr>
                <w:rFonts w:ascii="Arial"/>
                <w:sz w:val="21"/>
              </w:rPr>
            </w:pPr>
          </w:p>
          <w:p w14:paraId="2FC90192">
            <w:pPr>
              <w:spacing w:line="246" w:lineRule="auto"/>
              <w:rPr>
                <w:rFonts w:ascii="Arial"/>
                <w:sz w:val="21"/>
              </w:rPr>
            </w:pPr>
          </w:p>
          <w:p w14:paraId="01E28CB3">
            <w:pPr>
              <w:spacing w:line="246" w:lineRule="auto"/>
              <w:rPr>
                <w:rFonts w:ascii="Arial"/>
                <w:sz w:val="21"/>
              </w:rPr>
            </w:pPr>
          </w:p>
          <w:p w14:paraId="77F9B1A9">
            <w:pPr>
              <w:spacing w:line="246" w:lineRule="auto"/>
              <w:rPr>
                <w:rFonts w:ascii="Arial"/>
                <w:sz w:val="21"/>
              </w:rPr>
            </w:pPr>
          </w:p>
          <w:p w14:paraId="31CB9A09">
            <w:pPr>
              <w:spacing w:line="246" w:lineRule="auto"/>
              <w:rPr>
                <w:rFonts w:ascii="Arial"/>
                <w:sz w:val="21"/>
              </w:rPr>
            </w:pPr>
          </w:p>
          <w:p w14:paraId="099BE92A">
            <w:pPr>
              <w:spacing w:line="246" w:lineRule="auto"/>
              <w:rPr>
                <w:rFonts w:ascii="Arial"/>
                <w:sz w:val="21"/>
              </w:rPr>
            </w:pPr>
          </w:p>
          <w:p w14:paraId="5A170942">
            <w:pPr>
              <w:spacing w:line="246" w:lineRule="auto"/>
              <w:rPr>
                <w:rFonts w:ascii="Arial"/>
                <w:sz w:val="21"/>
              </w:rPr>
            </w:pPr>
          </w:p>
          <w:p w14:paraId="3561F7E8">
            <w:pPr>
              <w:spacing w:line="246" w:lineRule="auto"/>
              <w:rPr>
                <w:rFonts w:ascii="Arial"/>
                <w:sz w:val="21"/>
              </w:rPr>
            </w:pPr>
          </w:p>
          <w:p w14:paraId="471C0B00">
            <w:pPr>
              <w:spacing w:before="57" w:line="195" w:lineRule="auto"/>
              <w:ind w:left="10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24.3</w:t>
            </w:r>
          </w:p>
        </w:tc>
      </w:tr>
      <w:tr w14:paraId="26AB0B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17" w:type="dxa"/>
            <w:vMerge w:val="continue"/>
            <w:tcBorders>
              <w:top w:val="nil"/>
              <w:left w:val="nil"/>
              <w:bottom w:val="nil"/>
            </w:tcBorders>
            <w:vAlign w:val="top"/>
          </w:tcPr>
          <w:p w14:paraId="5E71BBBF">
            <w:pPr>
              <w:rPr>
                <w:rFonts w:ascii="Arial"/>
                <w:sz w:val="21"/>
              </w:rPr>
            </w:pPr>
          </w:p>
        </w:tc>
        <w:tc>
          <w:tcPr>
            <w:tcW w:w="762" w:type="dxa"/>
            <w:vMerge w:val="continue"/>
            <w:tcBorders>
              <w:top w:val="nil"/>
              <w:bottom w:val="nil"/>
            </w:tcBorders>
            <w:vAlign w:val="top"/>
          </w:tcPr>
          <w:p w14:paraId="67A21FC1">
            <w:pPr>
              <w:rPr>
                <w:rFonts w:ascii="Arial"/>
                <w:sz w:val="21"/>
              </w:rPr>
            </w:pPr>
          </w:p>
        </w:tc>
        <w:tc>
          <w:tcPr>
            <w:tcW w:w="636" w:type="dxa"/>
            <w:vAlign w:val="top"/>
          </w:tcPr>
          <w:p w14:paraId="6F468DF3">
            <w:pPr>
              <w:spacing w:before="65" w:line="195" w:lineRule="auto"/>
              <w:ind w:left="266"/>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965" w:type="dxa"/>
            <w:gridSpan w:val="2"/>
            <w:vAlign w:val="top"/>
          </w:tcPr>
          <w:p w14:paraId="02014374">
            <w:pPr>
              <w:pStyle w:val="6"/>
              <w:spacing w:before="29" w:line="214" w:lineRule="auto"/>
              <w:ind w:left="591"/>
              <w:rPr>
                <w:sz w:val="20"/>
                <w:szCs w:val="20"/>
              </w:rPr>
            </w:pPr>
            <w:r>
              <w:rPr>
                <w:spacing w:val="1"/>
                <w:sz w:val="20"/>
                <w:szCs w:val="20"/>
              </w:rPr>
              <w:t>电炉装置</w:t>
            </w:r>
          </w:p>
        </w:tc>
        <w:tc>
          <w:tcPr>
            <w:tcW w:w="949" w:type="dxa"/>
            <w:vAlign w:val="top"/>
          </w:tcPr>
          <w:p w14:paraId="3557B83C">
            <w:pPr>
              <w:spacing w:before="65"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3967" w:type="dxa"/>
            <w:gridSpan w:val="2"/>
            <w:vAlign w:val="top"/>
          </w:tcPr>
          <w:p w14:paraId="6FA5C5E5">
            <w:pPr>
              <w:pStyle w:val="6"/>
              <w:spacing w:before="29" w:line="214" w:lineRule="auto"/>
              <w:ind w:left="1567"/>
              <w:rPr>
                <w:sz w:val="20"/>
                <w:szCs w:val="20"/>
              </w:rPr>
            </w:pPr>
            <w:r>
              <w:rPr>
                <w:spacing w:val="7"/>
                <w:sz w:val="20"/>
                <w:szCs w:val="20"/>
              </w:rPr>
              <w:t>全封闭式</w:t>
            </w:r>
          </w:p>
        </w:tc>
        <w:tc>
          <w:tcPr>
            <w:tcW w:w="2133" w:type="dxa"/>
            <w:vAlign w:val="top"/>
          </w:tcPr>
          <w:p w14:paraId="57865C34">
            <w:pPr>
              <w:pStyle w:val="6"/>
              <w:spacing w:before="29" w:line="214" w:lineRule="auto"/>
              <w:ind w:left="128"/>
              <w:rPr>
                <w:sz w:val="20"/>
                <w:szCs w:val="20"/>
              </w:rPr>
            </w:pPr>
            <w:r>
              <w:rPr>
                <w:spacing w:val="8"/>
                <w:sz w:val="20"/>
                <w:szCs w:val="20"/>
              </w:rPr>
              <w:t>全封闭式或半封闭式</w:t>
            </w:r>
          </w:p>
        </w:tc>
        <w:tc>
          <w:tcPr>
            <w:tcW w:w="1626" w:type="dxa"/>
            <w:vAlign w:val="top"/>
          </w:tcPr>
          <w:p w14:paraId="10F33730">
            <w:pPr>
              <w:pStyle w:val="6"/>
              <w:spacing w:before="29" w:line="214" w:lineRule="auto"/>
              <w:ind w:left="397"/>
              <w:rPr>
                <w:sz w:val="20"/>
                <w:szCs w:val="20"/>
              </w:rPr>
            </w:pPr>
            <w:r>
              <w:rPr>
                <w:spacing w:val="7"/>
                <w:sz w:val="20"/>
                <w:szCs w:val="20"/>
              </w:rPr>
              <w:t>全封闭式</w:t>
            </w:r>
          </w:p>
        </w:tc>
        <w:tc>
          <w:tcPr>
            <w:tcW w:w="669" w:type="dxa"/>
            <w:vAlign w:val="top"/>
          </w:tcPr>
          <w:p w14:paraId="14DFA65E">
            <w:pPr>
              <w:spacing w:before="65"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574" w:type="dxa"/>
            <w:vMerge w:val="continue"/>
            <w:tcBorders>
              <w:top w:val="nil"/>
              <w:bottom w:val="nil"/>
              <w:right w:val="nil"/>
            </w:tcBorders>
            <w:vAlign w:val="top"/>
          </w:tcPr>
          <w:p w14:paraId="5991CA80">
            <w:pPr>
              <w:rPr>
                <w:rFonts w:ascii="Arial"/>
                <w:sz w:val="21"/>
              </w:rPr>
            </w:pPr>
          </w:p>
        </w:tc>
      </w:tr>
      <w:tr w14:paraId="0B43ED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717" w:type="dxa"/>
            <w:vMerge w:val="continue"/>
            <w:tcBorders>
              <w:top w:val="nil"/>
              <w:left w:val="nil"/>
              <w:bottom w:val="nil"/>
            </w:tcBorders>
            <w:vAlign w:val="top"/>
          </w:tcPr>
          <w:p w14:paraId="3B2923BA">
            <w:pPr>
              <w:rPr>
                <w:rFonts w:ascii="Arial"/>
                <w:sz w:val="21"/>
              </w:rPr>
            </w:pPr>
          </w:p>
        </w:tc>
        <w:tc>
          <w:tcPr>
            <w:tcW w:w="762" w:type="dxa"/>
            <w:vMerge w:val="continue"/>
            <w:tcBorders>
              <w:top w:val="nil"/>
              <w:bottom w:val="nil"/>
            </w:tcBorders>
            <w:vAlign w:val="top"/>
          </w:tcPr>
          <w:p w14:paraId="300230C8">
            <w:pPr>
              <w:rPr>
                <w:rFonts w:ascii="Arial"/>
                <w:sz w:val="21"/>
              </w:rPr>
            </w:pPr>
          </w:p>
        </w:tc>
        <w:tc>
          <w:tcPr>
            <w:tcW w:w="636" w:type="dxa"/>
            <w:vAlign w:val="top"/>
          </w:tcPr>
          <w:p w14:paraId="5AF01E83">
            <w:pPr>
              <w:spacing w:before="204" w:line="195" w:lineRule="auto"/>
              <w:ind w:left="270"/>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965" w:type="dxa"/>
            <w:gridSpan w:val="2"/>
            <w:vAlign w:val="top"/>
          </w:tcPr>
          <w:p w14:paraId="5056CDFD">
            <w:pPr>
              <w:pStyle w:val="6"/>
              <w:spacing w:before="166" w:line="228" w:lineRule="auto"/>
              <w:ind w:left="359"/>
              <w:rPr>
                <w:sz w:val="20"/>
                <w:szCs w:val="20"/>
              </w:rPr>
            </w:pPr>
            <w:r>
              <w:rPr>
                <w:spacing w:val="8"/>
                <w:sz w:val="20"/>
                <w:szCs w:val="20"/>
              </w:rPr>
              <w:t>煤气净化装置</w:t>
            </w:r>
          </w:p>
        </w:tc>
        <w:tc>
          <w:tcPr>
            <w:tcW w:w="949" w:type="dxa"/>
            <w:vAlign w:val="top"/>
          </w:tcPr>
          <w:p w14:paraId="6AE7D229">
            <w:pPr>
              <w:spacing w:before="204"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11</w:t>
            </w:r>
          </w:p>
        </w:tc>
        <w:tc>
          <w:tcPr>
            <w:tcW w:w="3967" w:type="dxa"/>
            <w:gridSpan w:val="2"/>
            <w:vAlign w:val="top"/>
          </w:tcPr>
          <w:p w14:paraId="3DA5A43C">
            <w:pPr>
              <w:pStyle w:val="6"/>
              <w:spacing w:before="166" w:line="227" w:lineRule="auto"/>
              <w:ind w:left="1355"/>
              <w:rPr>
                <w:sz w:val="20"/>
                <w:szCs w:val="20"/>
              </w:rPr>
            </w:pPr>
            <w:r>
              <w:rPr>
                <w:spacing w:val="8"/>
                <w:sz w:val="20"/>
                <w:szCs w:val="20"/>
              </w:rPr>
              <w:t>干式净化装置</w:t>
            </w:r>
          </w:p>
        </w:tc>
        <w:tc>
          <w:tcPr>
            <w:tcW w:w="2133" w:type="dxa"/>
            <w:vAlign w:val="top"/>
          </w:tcPr>
          <w:p w14:paraId="5368FE9E">
            <w:pPr>
              <w:pStyle w:val="6"/>
              <w:spacing w:before="32" w:line="231" w:lineRule="auto"/>
              <w:ind w:left="759" w:right="15" w:hanging="737"/>
              <w:rPr>
                <w:sz w:val="20"/>
                <w:szCs w:val="20"/>
              </w:rPr>
            </w:pPr>
            <w:r>
              <w:rPr>
                <w:spacing w:val="8"/>
                <w:sz w:val="20"/>
                <w:szCs w:val="20"/>
              </w:rPr>
              <w:t xml:space="preserve">全封闭炉干式或湿式净 </w:t>
            </w:r>
            <w:r>
              <w:rPr>
                <w:spacing w:val="6"/>
                <w:sz w:val="20"/>
                <w:szCs w:val="20"/>
              </w:rPr>
              <w:t>化装置</w:t>
            </w:r>
          </w:p>
        </w:tc>
        <w:tc>
          <w:tcPr>
            <w:tcW w:w="1626" w:type="dxa"/>
            <w:vAlign w:val="top"/>
          </w:tcPr>
          <w:p w14:paraId="0FB78B2C">
            <w:pPr>
              <w:pStyle w:val="6"/>
              <w:spacing w:before="166" w:line="227" w:lineRule="auto"/>
              <w:ind w:left="187"/>
              <w:rPr>
                <w:sz w:val="20"/>
                <w:szCs w:val="20"/>
              </w:rPr>
            </w:pPr>
            <w:r>
              <w:rPr>
                <w:spacing w:val="8"/>
                <w:sz w:val="20"/>
                <w:szCs w:val="20"/>
              </w:rPr>
              <w:t>干式净化装置</w:t>
            </w:r>
          </w:p>
        </w:tc>
        <w:tc>
          <w:tcPr>
            <w:tcW w:w="669" w:type="dxa"/>
            <w:vAlign w:val="top"/>
          </w:tcPr>
          <w:p w14:paraId="1BF1CA40">
            <w:pPr>
              <w:spacing w:before="204"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11.0</w:t>
            </w:r>
          </w:p>
        </w:tc>
        <w:tc>
          <w:tcPr>
            <w:tcW w:w="574" w:type="dxa"/>
            <w:vMerge w:val="continue"/>
            <w:tcBorders>
              <w:top w:val="nil"/>
              <w:bottom w:val="nil"/>
              <w:right w:val="nil"/>
            </w:tcBorders>
            <w:vAlign w:val="top"/>
          </w:tcPr>
          <w:p w14:paraId="2318A49F">
            <w:pPr>
              <w:rPr>
                <w:rFonts w:ascii="Arial"/>
                <w:sz w:val="21"/>
              </w:rPr>
            </w:pPr>
          </w:p>
        </w:tc>
      </w:tr>
      <w:tr w14:paraId="5B67CA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87" w:hRule="atLeast"/>
        </w:trPr>
        <w:tc>
          <w:tcPr>
            <w:tcW w:w="717" w:type="dxa"/>
            <w:vMerge w:val="continue"/>
            <w:tcBorders>
              <w:top w:val="nil"/>
              <w:left w:val="nil"/>
              <w:bottom w:val="nil"/>
            </w:tcBorders>
            <w:vAlign w:val="top"/>
          </w:tcPr>
          <w:p w14:paraId="7A2A73CD">
            <w:pPr>
              <w:rPr>
                <w:rFonts w:ascii="Arial"/>
                <w:sz w:val="21"/>
              </w:rPr>
            </w:pPr>
          </w:p>
        </w:tc>
        <w:tc>
          <w:tcPr>
            <w:tcW w:w="762" w:type="dxa"/>
            <w:vMerge w:val="continue"/>
            <w:tcBorders>
              <w:top w:val="nil"/>
              <w:bottom w:val="nil"/>
            </w:tcBorders>
            <w:vAlign w:val="top"/>
          </w:tcPr>
          <w:p w14:paraId="41FD14A0">
            <w:pPr>
              <w:rPr>
                <w:rFonts w:ascii="Arial"/>
                <w:sz w:val="21"/>
              </w:rPr>
            </w:pPr>
          </w:p>
        </w:tc>
        <w:tc>
          <w:tcPr>
            <w:tcW w:w="636" w:type="dxa"/>
            <w:vAlign w:val="top"/>
          </w:tcPr>
          <w:p w14:paraId="3ABE19FC">
            <w:pPr>
              <w:spacing w:line="272" w:lineRule="auto"/>
              <w:rPr>
                <w:rFonts w:ascii="Arial"/>
                <w:sz w:val="21"/>
              </w:rPr>
            </w:pPr>
          </w:p>
          <w:p w14:paraId="0584D49D">
            <w:pPr>
              <w:spacing w:line="273" w:lineRule="auto"/>
              <w:rPr>
                <w:rFonts w:ascii="Arial"/>
                <w:sz w:val="21"/>
              </w:rPr>
            </w:pPr>
          </w:p>
          <w:p w14:paraId="76F03030">
            <w:pPr>
              <w:spacing w:line="273" w:lineRule="auto"/>
              <w:rPr>
                <w:rFonts w:ascii="Arial"/>
                <w:sz w:val="21"/>
              </w:rPr>
            </w:pPr>
          </w:p>
          <w:p w14:paraId="59BB6AE7">
            <w:pPr>
              <w:spacing w:line="273" w:lineRule="auto"/>
              <w:rPr>
                <w:rFonts w:ascii="Arial"/>
                <w:sz w:val="21"/>
              </w:rPr>
            </w:pPr>
          </w:p>
          <w:p w14:paraId="03A4C699">
            <w:pPr>
              <w:spacing w:line="273" w:lineRule="auto"/>
              <w:rPr>
                <w:rFonts w:ascii="Arial"/>
                <w:sz w:val="21"/>
              </w:rPr>
            </w:pPr>
          </w:p>
          <w:p w14:paraId="403DA17A">
            <w:pPr>
              <w:spacing w:before="57" w:line="195" w:lineRule="auto"/>
              <w:ind w:left="26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965" w:type="dxa"/>
            <w:gridSpan w:val="2"/>
            <w:vAlign w:val="top"/>
          </w:tcPr>
          <w:p w14:paraId="091B7247">
            <w:pPr>
              <w:spacing w:line="264" w:lineRule="auto"/>
              <w:rPr>
                <w:rFonts w:ascii="Arial"/>
                <w:sz w:val="21"/>
              </w:rPr>
            </w:pPr>
          </w:p>
          <w:p w14:paraId="730BA5F6">
            <w:pPr>
              <w:spacing w:line="264" w:lineRule="auto"/>
              <w:rPr>
                <w:rFonts w:ascii="Arial"/>
                <w:sz w:val="21"/>
              </w:rPr>
            </w:pPr>
          </w:p>
          <w:p w14:paraId="6F34742E">
            <w:pPr>
              <w:spacing w:line="264" w:lineRule="auto"/>
              <w:rPr>
                <w:rFonts w:ascii="Arial"/>
                <w:sz w:val="21"/>
              </w:rPr>
            </w:pPr>
          </w:p>
          <w:p w14:paraId="443F3AC7">
            <w:pPr>
              <w:spacing w:line="264" w:lineRule="auto"/>
              <w:rPr>
                <w:rFonts w:ascii="Arial"/>
                <w:sz w:val="21"/>
              </w:rPr>
            </w:pPr>
          </w:p>
          <w:p w14:paraId="661E829F">
            <w:pPr>
              <w:spacing w:line="264" w:lineRule="auto"/>
              <w:rPr>
                <w:rFonts w:ascii="Arial"/>
                <w:sz w:val="21"/>
              </w:rPr>
            </w:pPr>
          </w:p>
          <w:p w14:paraId="52863FE7">
            <w:pPr>
              <w:pStyle w:val="6"/>
              <w:spacing w:before="65" w:line="228" w:lineRule="auto"/>
              <w:ind w:left="579"/>
              <w:rPr>
                <w:sz w:val="20"/>
                <w:szCs w:val="20"/>
              </w:rPr>
            </w:pPr>
            <w:r>
              <w:rPr>
                <w:spacing w:val="4"/>
                <w:sz w:val="20"/>
                <w:szCs w:val="20"/>
              </w:rPr>
              <w:t>除尘设施</w:t>
            </w:r>
          </w:p>
        </w:tc>
        <w:tc>
          <w:tcPr>
            <w:tcW w:w="949" w:type="dxa"/>
            <w:vAlign w:val="top"/>
          </w:tcPr>
          <w:p w14:paraId="009832EF">
            <w:pPr>
              <w:spacing w:line="272" w:lineRule="auto"/>
              <w:rPr>
                <w:rFonts w:ascii="Arial"/>
                <w:sz w:val="21"/>
              </w:rPr>
            </w:pPr>
          </w:p>
          <w:p w14:paraId="7102F97E">
            <w:pPr>
              <w:spacing w:line="273" w:lineRule="auto"/>
              <w:rPr>
                <w:rFonts w:ascii="Arial"/>
                <w:sz w:val="21"/>
              </w:rPr>
            </w:pPr>
          </w:p>
          <w:p w14:paraId="5EBC2A5E">
            <w:pPr>
              <w:spacing w:line="273" w:lineRule="auto"/>
              <w:rPr>
                <w:rFonts w:ascii="Arial"/>
                <w:sz w:val="21"/>
              </w:rPr>
            </w:pPr>
          </w:p>
          <w:p w14:paraId="4EC20C72">
            <w:pPr>
              <w:spacing w:line="273" w:lineRule="auto"/>
              <w:rPr>
                <w:rFonts w:ascii="Arial"/>
                <w:sz w:val="21"/>
              </w:rPr>
            </w:pPr>
          </w:p>
          <w:p w14:paraId="7F3D27C6">
            <w:pPr>
              <w:spacing w:line="273" w:lineRule="auto"/>
              <w:rPr>
                <w:rFonts w:ascii="Arial"/>
                <w:sz w:val="21"/>
              </w:rPr>
            </w:pPr>
          </w:p>
          <w:p w14:paraId="32CC77B2">
            <w:pPr>
              <w:spacing w:before="57"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3967" w:type="dxa"/>
            <w:gridSpan w:val="2"/>
            <w:vAlign w:val="top"/>
          </w:tcPr>
          <w:p w14:paraId="04325FD8">
            <w:pPr>
              <w:spacing w:line="322" w:lineRule="auto"/>
              <w:rPr>
                <w:rFonts w:ascii="Arial"/>
                <w:sz w:val="21"/>
              </w:rPr>
            </w:pPr>
          </w:p>
          <w:p w14:paraId="7513CBB4">
            <w:pPr>
              <w:spacing w:line="323" w:lineRule="auto"/>
              <w:rPr>
                <w:rFonts w:ascii="Arial"/>
                <w:sz w:val="21"/>
              </w:rPr>
            </w:pPr>
          </w:p>
          <w:p w14:paraId="574504E0">
            <w:pPr>
              <w:pStyle w:val="6"/>
              <w:spacing w:before="65" w:line="247" w:lineRule="auto"/>
              <w:ind w:left="6" w:firstLine="6"/>
              <w:jc w:val="both"/>
              <w:rPr>
                <w:sz w:val="20"/>
                <w:szCs w:val="20"/>
              </w:rPr>
            </w:pPr>
            <w:r>
              <w:rPr>
                <w:spacing w:val="7"/>
                <w:sz w:val="20"/>
                <w:szCs w:val="20"/>
              </w:rPr>
              <w:t>原料场为封闭料场，原料转运及输送系统采</w:t>
            </w:r>
            <w:r>
              <w:rPr>
                <w:spacing w:val="12"/>
                <w:sz w:val="20"/>
                <w:szCs w:val="20"/>
              </w:rPr>
              <w:t xml:space="preserve"> </w:t>
            </w:r>
            <w:r>
              <w:rPr>
                <w:spacing w:val="8"/>
                <w:sz w:val="20"/>
                <w:szCs w:val="20"/>
              </w:rPr>
              <w:t>用密闭输送方式；原料处理、熔炼、产品加</w:t>
            </w:r>
            <w:r>
              <w:rPr>
                <w:spacing w:val="2"/>
                <w:sz w:val="20"/>
                <w:szCs w:val="20"/>
              </w:rPr>
              <w:t xml:space="preserve"> </w:t>
            </w:r>
            <w:r>
              <w:rPr>
                <w:spacing w:val="8"/>
                <w:sz w:val="20"/>
                <w:szCs w:val="20"/>
              </w:rPr>
              <w:t>工产尘部位配备有除尘装置，在熔炼除尘装</w:t>
            </w:r>
            <w:r>
              <w:rPr>
                <w:sz w:val="20"/>
                <w:szCs w:val="20"/>
              </w:rPr>
              <w:t xml:space="preserve"> </w:t>
            </w:r>
            <w:r>
              <w:rPr>
                <w:spacing w:val="8"/>
                <w:sz w:val="20"/>
                <w:szCs w:val="20"/>
              </w:rPr>
              <w:t>置废气排放部位安装有在线监测装置，对烟</w:t>
            </w:r>
            <w:r>
              <w:rPr>
                <w:sz w:val="20"/>
                <w:szCs w:val="20"/>
              </w:rPr>
              <w:t xml:space="preserve"> </w:t>
            </w:r>
            <w:r>
              <w:rPr>
                <w:spacing w:val="3"/>
                <w:sz w:val="20"/>
                <w:szCs w:val="20"/>
              </w:rPr>
              <w:t>粉尘净化采用干式除尘装置和</w:t>
            </w:r>
            <w:r>
              <w:rPr>
                <w:spacing w:val="-28"/>
                <w:sz w:val="20"/>
                <w:szCs w:val="20"/>
              </w:rPr>
              <w:t xml:space="preserve"> </w:t>
            </w:r>
            <w:r>
              <w:rPr>
                <w:rFonts w:ascii="Times New Roman" w:hAnsi="Times New Roman" w:eastAsia="Times New Roman" w:cs="Times New Roman"/>
                <w:sz w:val="20"/>
                <w:szCs w:val="20"/>
              </w:rPr>
              <w:t>PLC</w:t>
            </w:r>
            <w:r>
              <w:rPr>
                <w:rFonts w:ascii="Times New Roman" w:hAnsi="Times New Roman" w:eastAsia="Times New Roman" w:cs="Times New Roman"/>
                <w:spacing w:val="15"/>
                <w:sz w:val="20"/>
                <w:szCs w:val="20"/>
              </w:rPr>
              <w:t xml:space="preserve"> </w:t>
            </w:r>
            <w:r>
              <w:rPr>
                <w:spacing w:val="3"/>
                <w:sz w:val="20"/>
                <w:szCs w:val="20"/>
              </w:rPr>
              <w:t>控制，除</w:t>
            </w:r>
            <w:r>
              <w:rPr>
                <w:sz w:val="20"/>
                <w:szCs w:val="20"/>
              </w:rPr>
              <w:t xml:space="preserve"> </w:t>
            </w:r>
            <w:r>
              <w:rPr>
                <w:spacing w:val="7"/>
                <w:sz w:val="20"/>
                <w:szCs w:val="20"/>
              </w:rPr>
              <w:t>尘装置配置率和同步运行率均达到</w:t>
            </w:r>
            <w:r>
              <w:rPr>
                <w:spacing w:val="-22"/>
                <w:sz w:val="20"/>
                <w:szCs w:val="20"/>
              </w:rPr>
              <w:t xml:space="preserve"> </w:t>
            </w:r>
            <w:r>
              <w:rPr>
                <w:rFonts w:ascii="Times New Roman" w:hAnsi="Times New Roman" w:eastAsia="Times New Roman" w:cs="Times New Roman"/>
                <w:spacing w:val="7"/>
                <w:sz w:val="20"/>
                <w:szCs w:val="20"/>
              </w:rPr>
              <w:t>100%</w:t>
            </w:r>
            <w:r>
              <w:rPr>
                <w:spacing w:val="7"/>
                <w:sz w:val="20"/>
                <w:szCs w:val="20"/>
              </w:rPr>
              <w:t>。</w:t>
            </w:r>
          </w:p>
        </w:tc>
        <w:tc>
          <w:tcPr>
            <w:tcW w:w="2133" w:type="dxa"/>
            <w:vAlign w:val="top"/>
          </w:tcPr>
          <w:p w14:paraId="31DD484B">
            <w:pPr>
              <w:pStyle w:val="6"/>
              <w:spacing w:before="301" w:line="248" w:lineRule="auto"/>
              <w:ind w:left="6" w:firstLine="6"/>
              <w:rPr>
                <w:sz w:val="20"/>
                <w:szCs w:val="20"/>
              </w:rPr>
            </w:pPr>
            <w:r>
              <w:rPr>
                <w:spacing w:val="34"/>
                <w:sz w:val="20"/>
                <w:szCs w:val="20"/>
              </w:rPr>
              <w:t>原料场设有防尘抑尘</w:t>
            </w:r>
            <w:r>
              <w:rPr>
                <w:spacing w:val="7"/>
                <w:sz w:val="20"/>
                <w:szCs w:val="20"/>
              </w:rPr>
              <w:t xml:space="preserve"> </w:t>
            </w:r>
            <w:r>
              <w:rPr>
                <w:spacing w:val="12"/>
                <w:sz w:val="20"/>
                <w:szCs w:val="20"/>
              </w:rPr>
              <w:t>网；原料处理、转运、</w:t>
            </w:r>
            <w:r>
              <w:rPr>
                <w:sz w:val="20"/>
                <w:szCs w:val="20"/>
              </w:rPr>
              <w:t xml:space="preserve"> </w:t>
            </w:r>
            <w:r>
              <w:rPr>
                <w:spacing w:val="12"/>
                <w:sz w:val="20"/>
                <w:szCs w:val="20"/>
              </w:rPr>
              <w:t>输送、熔炼、产品加工</w:t>
            </w:r>
            <w:r>
              <w:rPr>
                <w:sz w:val="20"/>
                <w:szCs w:val="20"/>
              </w:rPr>
              <w:t xml:space="preserve"> </w:t>
            </w:r>
            <w:r>
              <w:rPr>
                <w:spacing w:val="12"/>
                <w:sz w:val="20"/>
                <w:szCs w:val="20"/>
              </w:rPr>
              <w:t>产尘部位配备有除尘装</w:t>
            </w:r>
            <w:r>
              <w:rPr>
                <w:sz w:val="20"/>
                <w:szCs w:val="20"/>
              </w:rPr>
              <w:t xml:space="preserve"> </w:t>
            </w:r>
            <w:r>
              <w:rPr>
                <w:spacing w:val="12"/>
                <w:sz w:val="20"/>
                <w:szCs w:val="20"/>
              </w:rPr>
              <w:t>置，对烟粉尘净化采用</w:t>
            </w:r>
            <w:r>
              <w:rPr>
                <w:sz w:val="20"/>
                <w:szCs w:val="20"/>
              </w:rPr>
              <w:t xml:space="preserve"> </w:t>
            </w:r>
            <w:r>
              <w:rPr>
                <w:spacing w:val="3"/>
                <w:sz w:val="20"/>
                <w:szCs w:val="20"/>
              </w:rPr>
              <w:t>干</w:t>
            </w:r>
            <w:r>
              <w:rPr>
                <w:spacing w:val="-54"/>
                <w:sz w:val="20"/>
                <w:szCs w:val="20"/>
              </w:rPr>
              <w:t xml:space="preserve"> </w:t>
            </w:r>
            <w:r>
              <w:rPr>
                <w:spacing w:val="3"/>
                <w:sz w:val="20"/>
                <w:szCs w:val="20"/>
              </w:rPr>
              <w:t>式</w:t>
            </w:r>
            <w:r>
              <w:rPr>
                <w:spacing w:val="-49"/>
                <w:sz w:val="20"/>
                <w:szCs w:val="20"/>
              </w:rPr>
              <w:t xml:space="preserve"> </w:t>
            </w:r>
            <w:r>
              <w:rPr>
                <w:spacing w:val="3"/>
                <w:sz w:val="20"/>
                <w:szCs w:val="20"/>
              </w:rPr>
              <w:t>除</w:t>
            </w:r>
            <w:r>
              <w:rPr>
                <w:spacing w:val="-57"/>
                <w:sz w:val="20"/>
                <w:szCs w:val="20"/>
              </w:rPr>
              <w:t xml:space="preserve"> </w:t>
            </w:r>
            <w:r>
              <w:rPr>
                <w:spacing w:val="3"/>
                <w:sz w:val="20"/>
                <w:szCs w:val="20"/>
              </w:rPr>
              <w:t>尘</w:t>
            </w:r>
            <w:r>
              <w:rPr>
                <w:spacing w:val="-58"/>
                <w:sz w:val="20"/>
                <w:szCs w:val="20"/>
              </w:rPr>
              <w:t xml:space="preserve"> </w:t>
            </w:r>
            <w:r>
              <w:rPr>
                <w:spacing w:val="3"/>
                <w:sz w:val="20"/>
                <w:szCs w:val="20"/>
              </w:rPr>
              <w:t>装置</w:t>
            </w:r>
            <w:r>
              <w:rPr>
                <w:spacing w:val="-58"/>
                <w:sz w:val="20"/>
                <w:szCs w:val="20"/>
              </w:rPr>
              <w:t xml:space="preserve"> </w:t>
            </w:r>
            <w:r>
              <w:rPr>
                <w:spacing w:val="3"/>
                <w:sz w:val="20"/>
                <w:szCs w:val="20"/>
              </w:rPr>
              <w:t xml:space="preserve">和 </w:t>
            </w:r>
            <w:r>
              <w:rPr>
                <w:rFonts w:ascii="Times New Roman" w:hAnsi="Times New Roman" w:eastAsia="Times New Roman" w:cs="Times New Roman"/>
                <w:sz w:val="20"/>
                <w:szCs w:val="20"/>
              </w:rPr>
              <w:t xml:space="preserve">PLC </w:t>
            </w:r>
            <w:r>
              <w:rPr>
                <w:spacing w:val="12"/>
                <w:sz w:val="20"/>
                <w:szCs w:val="20"/>
              </w:rPr>
              <w:t>控制，除尘装置配置率</w:t>
            </w:r>
            <w:r>
              <w:rPr>
                <w:sz w:val="20"/>
                <w:szCs w:val="20"/>
              </w:rPr>
              <w:t xml:space="preserve"> </w:t>
            </w:r>
            <w:r>
              <w:rPr>
                <w:spacing w:val="35"/>
                <w:sz w:val="20"/>
                <w:szCs w:val="20"/>
              </w:rPr>
              <w:t>和同步运行率均达到</w:t>
            </w:r>
            <w:r>
              <w:rPr>
                <w:spacing w:val="3"/>
                <w:sz w:val="20"/>
                <w:szCs w:val="20"/>
              </w:rPr>
              <w:t xml:space="preserve"> </w:t>
            </w:r>
            <w:r>
              <w:rPr>
                <w:rFonts w:ascii="Times New Roman" w:hAnsi="Times New Roman" w:eastAsia="Times New Roman" w:cs="Times New Roman"/>
                <w:spacing w:val="3"/>
                <w:sz w:val="20"/>
                <w:szCs w:val="20"/>
              </w:rPr>
              <w:t>100%</w:t>
            </w:r>
            <w:r>
              <w:rPr>
                <w:spacing w:val="3"/>
                <w:sz w:val="20"/>
                <w:szCs w:val="20"/>
              </w:rPr>
              <w:t>。</w:t>
            </w:r>
          </w:p>
        </w:tc>
        <w:tc>
          <w:tcPr>
            <w:tcW w:w="1626" w:type="dxa"/>
            <w:vAlign w:val="top"/>
          </w:tcPr>
          <w:p w14:paraId="5DD01B6C">
            <w:pPr>
              <w:pStyle w:val="6"/>
              <w:spacing w:before="33" w:line="247" w:lineRule="auto"/>
              <w:ind w:left="6" w:firstLine="6"/>
              <w:jc w:val="both"/>
              <w:rPr>
                <w:sz w:val="20"/>
                <w:szCs w:val="20"/>
              </w:rPr>
            </w:pPr>
            <w:r>
              <w:rPr>
                <w:spacing w:val="20"/>
                <w:sz w:val="20"/>
                <w:szCs w:val="20"/>
              </w:rPr>
              <w:t>原料库全封闭建</w:t>
            </w:r>
            <w:r>
              <w:rPr>
                <w:spacing w:val="1"/>
                <w:sz w:val="20"/>
                <w:szCs w:val="20"/>
              </w:rPr>
              <w:t xml:space="preserve"> </w:t>
            </w:r>
            <w:r>
              <w:rPr>
                <w:spacing w:val="-7"/>
                <w:sz w:val="20"/>
                <w:szCs w:val="20"/>
              </w:rPr>
              <w:t>设，原料转运及输</w:t>
            </w:r>
            <w:r>
              <w:rPr>
                <w:spacing w:val="1"/>
                <w:sz w:val="20"/>
                <w:szCs w:val="20"/>
              </w:rPr>
              <w:t xml:space="preserve"> </w:t>
            </w:r>
            <w:r>
              <w:rPr>
                <w:spacing w:val="21"/>
                <w:sz w:val="20"/>
                <w:szCs w:val="20"/>
              </w:rPr>
              <w:t>送系统采用密闭</w:t>
            </w:r>
            <w:r>
              <w:rPr>
                <w:sz w:val="20"/>
                <w:szCs w:val="20"/>
              </w:rPr>
              <w:t xml:space="preserve"> </w:t>
            </w:r>
            <w:r>
              <w:rPr>
                <w:spacing w:val="-21"/>
                <w:sz w:val="20"/>
                <w:szCs w:val="20"/>
              </w:rPr>
              <w:t>廊道；配料、上料、</w:t>
            </w:r>
            <w:r>
              <w:rPr>
                <w:spacing w:val="2"/>
                <w:sz w:val="20"/>
                <w:szCs w:val="20"/>
              </w:rPr>
              <w:t xml:space="preserve"> </w:t>
            </w:r>
            <w:r>
              <w:rPr>
                <w:spacing w:val="21"/>
                <w:sz w:val="20"/>
                <w:szCs w:val="20"/>
              </w:rPr>
              <w:t>出铁及矿热炉及</w:t>
            </w:r>
            <w:r>
              <w:rPr>
                <w:sz w:val="20"/>
                <w:szCs w:val="20"/>
              </w:rPr>
              <w:t xml:space="preserve"> </w:t>
            </w:r>
            <w:r>
              <w:rPr>
                <w:spacing w:val="21"/>
                <w:sz w:val="20"/>
                <w:szCs w:val="20"/>
              </w:rPr>
              <w:t>产品破碎均配置</w:t>
            </w:r>
            <w:r>
              <w:rPr>
                <w:sz w:val="20"/>
                <w:szCs w:val="20"/>
              </w:rPr>
              <w:t xml:space="preserve"> </w:t>
            </w:r>
            <w:r>
              <w:rPr>
                <w:spacing w:val="-7"/>
                <w:sz w:val="20"/>
                <w:szCs w:val="20"/>
              </w:rPr>
              <w:t>布袋除尘器，并采</w:t>
            </w:r>
            <w:r>
              <w:rPr>
                <w:spacing w:val="1"/>
                <w:sz w:val="20"/>
                <w:szCs w:val="20"/>
              </w:rPr>
              <w:t xml:space="preserve"> </w:t>
            </w:r>
            <w:r>
              <w:rPr>
                <w:spacing w:val="-2"/>
                <w:sz w:val="20"/>
                <w:szCs w:val="20"/>
              </w:rPr>
              <w:t>用</w:t>
            </w:r>
            <w:r>
              <w:rPr>
                <w:spacing w:val="-25"/>
                <w:sz w:val="20"/>
                <w:szCs w:val="20"/>
              </w:rPr>
              <w:t xml:space="preserve"> </w:t>
            </w:r>
            <w:r>
              <w:rPr>
                <w:rFonts w:ascii="Times New Roman" w:hAnsi="Times New Roman" w:eastAsia="Times New Roman" w:cs="Times New Roman"/>
                <w:spacing w:val="-2"/>
                <w:sz w:val="20"/>
                <w:szCs w:val="20"/>
              </w:rPr>
              <w:t>PLC</w:t>
            </w:r>
            <w:r>
              <w:rPr>
                <w:rFonts w:ascii="Times New Roman" w:hAnsi="Times New Roman" w:eastAsia="Times New Roman" w:cs="Times New Roman"/>
                <w:spacing w:val="26"/>
                <w:w w:val="101"/>
                <w:sz w:val="20"/>
                <w:szCs w:val="20"/>
              </w:rPr>
              <w:t xml:space="preserve"> </w:t>
            </w:r>
            <w:r>
              <w:rPr>
                <w:spacing w:val="-2"/>
                <w:sz w:val="20"/>
                <w:szCs w:val="20"/>
              </w:rPr>
              <w:t>控制</w:t>
            </w:r>
            <w:r>
              <w:rPr>
                <w:spacing w:val="-58"/>
                <w:sz w:val="20"/>
                <w:szCs w:val="20"/>
              </w:rPr>
              <w:t xml:space="preserve"> </w:t>
            </w:r>
            <w:r>
              <w:rPr>
                <w:spacing w:val="-2"/>
                <w:sz w:val="20"/>
                <w:szCs w:val="20"/>
              </w:rPr>
              <w:t>，除</w:t>
            </w:r>
            <w:r>
              <w:rPr>
                <w:sz w:val="20"/>
                <w:szCs w:val="20"/>
              </w:rPr>
              <w:t xml:space="preserve"> </w:t>
            </w:r>
            <w:r>
              <w:rPr>
                <w:spacing w:val="21"/>
                <w:sz w:val="20"/>
                <w:szCs w:val="20"/>
              </w:rPr>
              <w:t>尘装置配置率和</w:t>
            </w:r>
            <w:r>
              <w:rPr>
                <w:sz w:val="20"/>
                <w:szCs w:val="20"/>
              </w:rPr>
              <w:t xml:space="preserve"> </w:t>
            </w:r>
            <w:r>
              <w:rPr>
                <w:spacing w:val="21"/>
                <w:sz w:val="20"/>
                <w:szCs w:val="20"/>
              </w:rPr>
              <w:t>同步运行率均达</w:t>
            </w:r>
            <w:r>
              <w:rPr>
                <w:sz w:val="20"/>
                <w:szCs w:val="20"/>
              </w:rPr>
              <w:t xml:space="preserve"> </w:t>
            </w:r>
            <w:r>
              <w:rPr>
                <w:spacing w:val="-5"/>
                <w:sz w:val="20"/>
                <w:szCs w:val="20"/>
              </w:rPr>
              <w:t>到</w:t>
            </w:r>
            <w:r>
              <w:rPr>
                <w:spacing w:val="-26"/>
                <w:sz w:val="20"/>
                <w:szCs w:val="20"/>
              </w:rPr>
              <w:t xml:space="preserve"> </w:t>
            </w:r>
            <w:r>
              <w:rPr>
                <w:rFonts w:ascii="Times New Roman" w:hAnsi="Times New Roman" w:eastAsia="Times New Roman" w:cs="Times New Roman"/>
                <w:spacing w:val="-5"/>
                <w:sz w:val="20"/>
                <w:szCs w:val="20"/>
              </w:rPr>
              <w:t>100%</w:t>
            </w:r>
            <w:r>
              <w:rPr>
                <w:spacing w:val="-5"/>
                <w:sz w:val="20"/>
                <w:szCs w:val="20"/>
              </w:rPr>
              <w:t>。</w:t>
            </w:r>
          </w:p>
        </w:tc>
        <w:tc>
          <w:tcPr>
            <w:tcW w:w="669" w:type="dxa"/>
            <w:vAlign w:val="top"/>
          </w:tcPr>
          <w:p w14:paraId="78A67CB8">
            <w:pPr>
              <w:spacing w:line="272" w:lineRule="auto"/>
              <w:rPr>
                <w:rFonts w:ascii="Arial"/>
                <w:sz w:val="21"/>
              </w:rPr>
            </w:pPr>
          </w:p>
          <w:p w14:paraId="0C65A27A">
            <w:pPr>
              <w:spacing w:line="273" w:lineRule="auto"/>
              <w:rPr>
                <w:rFonts w:ascii="Arial"/>
                <w:sz w:val="21"/>
              </w:rPr>
            </w:pPr>
          </w:p>
          <w:p w14:paraId="6507B12C">
            <w:pPr>
              <w:spacing w:line="273" w:lineRule="auto"/>
              <w:rPr>
                <w:rFonts w:ascii="Arial"/>
                <w:sz w:val="21"/>
              </w:rPr>
            </w:pPr>
          </w:p>
          <w:p w14:paraId="3D881C89">
            <w:pPr>
              <w:spacing w:line="273" w:lineRule="auto"/>
              <w:rPr>
                <w:rFonts w:ascii="Arial"/>
                <w:sz w:val="21"/>
              </w:rPr>
            </w:pPr>
          </w:p>
          <w:p w14:paraId="6CEC608E">
            <w:pPr>
              <w:spacing w:line="273" w:lineRule="auto"/>
              <w:rPr>
                <w:rFonts w:ascii="Arial"/>
                <w:sz w:val="21"/>
              </w:rPr>
            </w:pPr>
          </w:p>
          <w:p w14:paraId="50AC57C9">
            <w:pPr>
              <w:spacing w:before="57"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574" w:type="dxa"/>
            <w:vMerge w:val="continue"/>
            <w:tcBorders>
              <w:top w:val="nil"/>
              <w:bottom w:val="nil"/>
              <w:right w:val="nil"/>
            </w:tcBorders>
            <w:vAlign w:val="top"/>
          </w:tcPr>
          <w:p w14:paraId="1820DA9E">
            <w:pPr>
              <w:rPr>
                <w:rFonts w:ascii="Arial"/>
                <w:sz w:val="21"/>
              </w:rPr>
            </w:pPr>
          </w:p>
        </w:tc>
      </w:tr>
      <w:tr w14:paraId="4584E5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2" w:hRule="atLeast"/>
        </w:trPr>
        <w:tc>
          <w:tcPr>
            <w:tcW w:w="717" w:type="dxa"/>
            <w:vMerge w:val="continue"/>
            <w:tcBorders>
              <w:top w:val="nil"/>
              <w:left w:val="nil"/>
              <w:bottom w:val="nil"/>
            </w:tcBorders>
            <w:vAlign w:val="top"/>
          </w:tcPr>
          <w:p w14:paraId="34016094">
            <w:pPr>
              <w:rPr>
                <w:rFonts w:ascii="Arial"/>
                <w:sz w:val="21"/>
              </w:rPr>
            </w:pPr>
          </w:p>
        </w:tc>
        <w:tc>
          <w:tcPr>
            <w:tcW w:w="762" w:type="dxa"/>
            <w:vMerge w:val="continue"/>
            <w:tcBorders>
              <w:top w:val="nil"/>
              <w:bottom w:val="nil"/>
            </w:tcBorders>
            <w:vAlign w:val="top"/>
          </w:tcPr>
          <w:p w14:paraId="41B014CC">
            <w:pPr>
              <w:rPr>
                <w:rFonts w:ascii="Arial"/>
                <w:sz w:val="21"/>
              </w:rPr>
            </w:pPr>
          </w:p>
        </w:tc>
        <w:tc>
          <w:tcPr>
            <w:tcW w:w="636" w:type="dxa"/>
            <w:vAlign w:val="top"/>
          </w:tcPr>
          <w:p w14:paraId="64B2502D">
            <w:pPr>
              <w:spacing w:before="217" w:line="192" w:lineRule="auto"/>
              <w:ind w:left="271"/>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965" w:type="dxa"/>
            <w:gridSpan w:val="2"/>
            <w:vAlign w:val="top"/>
          </w:tcPr>
          <w:p w14:paraId="4D85BC8A">
            <w:pPr>
              <w:pStyle w:val="6"/>
              <w:spacing w:before="178" w:line="228" w:lineRule="auto"/>
              <w:ind w:left="572"/>
              <w:rPr>
                <w:sz w:val="20"/>
                <w:szCs w:val="20"/>
              </w:rPr>
            </w:pPr>
            <w:r>
              <w:rPr>
                <w:spacing w:val="6"/>
                <w:sz w:val="20"/>
                <w:szCs w:val="20"/>
              </w:rPr>
              <w:t>原料处理</w:t>
            </w:r>
          </w:p>
        </w:tc>
        <w:tc>
          <w:tcPr>
            <w:tcW w:w="949" w:type="dxa"/>
            <w:vAlign w:val="top"/>
          </w:tcPr>
          <w:p w14:paraId="00A58492">
            <w:pPr>
              <w:spacing w:before="214"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6100" w:type="dxa"/>
            <w:gridSpan w:val="3"/>
            <w:vAlign w:val="top"/>
          </w:tcPr>
          <w:p w14:paraId="367A430C">
            <w:pPr>
              <w:pStyle w:val="6"/>
              <w:spacing w:before="42" w:line="226" w:lineRule="auto"/>
              <w:ind w:left="6"/>
              <w:rPr>
                <w:sz w:val="20"/>
                <w:szCs w:val="20"/>
              </w:rPr>
            </w:pPr>
            <w:r>
              <w:rPr>
                <w:spacing w:val="15"/>
                <w:sz w:val="20"/>
                <w:szCs w:val="20"/>
              </w:rPr>
              <w:t>采用原料预处理技术（包括锰矿及富锰渣的整粒、锰粉</w:t>
            </w:r>
            <w:r>
              <w:rPr>
                <w:spacing w:val="14"/>
                <w:sz w:val="20"/>
                <w:szCs w:val="20"/>
              </w:rPr>
              <w:t>矿的烧结</w:t>
            </w:r>
            <w:r>
              <w:rPr>
                <w:rFonts w:ascii="Times New Roman" w:hAnsi="Times New Roman" w:eastAsia="Times New Roman" w:cs="Times New Roman"/>
                <w:spacing w:val="14"/>
                <w:sz w:val="20"/>
                <w:szCs w:val="20"/>
              </w:rPr>
              <w:t>/</w:t>
            </w:r>
            <w:r>
              <w:rPr>
                <w:rFonts w:ascii="Times New Roman" w:hAnsi="Times New Roman" w:eastAsia="Times New Roman" w:cs="Times New Roman"/>
                <w:sz w:val="20"/>
                <w:szCs w:val="20"/>
              </w:rPr>
              <w:t xml:space="preserve"> </w:t>
            </w:r>
            <w:r>
              <w:rPr>
                <w:spacing w:val="7"/>
                <w:sz w:val="20"/>
                <w:szCs w:val="20"/>
              </w:rPr>
              <w:t>球团</w:t>
            </w:r>
            <w:r>
              <w:rPr>
                <w:rFonts w:ascii="Times New Roman" w:hAnsi="Times New Roman" w:eastAsia="Times New Roman" w:cs="Times New Roman"/>
                <w:spacing w:val="7"/>
                <w:sz w:val="20"/>
                <w:szCs w:val="20"/>
              </w:rPr>
              <w:t>/</w:t>
            </w:r>
            <w:r>
              <w:rPr>
                <w:spacing w:val="7"/>
                <w:sz w:val="20"/>
                <w:szCs w:val="20"/>
              </w:rPr>
              <w:t>造块，炭质还原剂及熔剂整粒等）。</w:t>
            </w:r>
          </w:p>
        </w:tc>
        <w:tc>
          <w:tcPr>
            <w:tcW w:w="1626" w:type="dxa"/>
            <w:vAlign w:val="top"/>
          </w:tcPr>
          <w:p w14:paraId="26C4089D">
            <w:pPr>
              <w:pStyle w:val="6"/>
              <w:spacing w:before="178" w:line="227" w:lineRule="auto"/>
              <w:ind w:left="294"/>
              <w:rPr>
                <w:sz w:val="20"/>
                <w:szCs w:val="20"/>
              </w:rPr>
            </w:pPr>
            <w:r>
              <w:rPr>
                <w:spacing w:val="8"/>
                <w:sz w:val="20"/>
                <w:szCs w:val="20"/>
              </w:rPr>
              <w:t>锰粉矿烧结</w:t>
            </w:r>
          </w:p>
        </w:tc>
        <w:tc>
          <w:tcPr>
            <w:tcW w:w="669" w:type="dxa"/>
            <w:vAlign w:val="top"/>
          </w:tcPr>
          <w:p w14:paraId="2FDB3A30">
            <w:pPr>
              <w:spacing w:before="214"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574" w:type="dxa"/>
            <w:vMerge w:val="continue"/>
            <w:tcBorders>
              <w:top w:val="nil"/>
              <w:bottom w:val="nil"/>
              <w:right w:val="nil"/>
            </w:tcBorders>
            <w:vAlign w:val="top"/>
          </w:tcPr>
          <w:p w14:paraId="0C1FEE89">
            <w:pPr>
              <w:rPr>
                <w:rFonts w:ascii="Arial"/>
                <w:sz w:val="21"/>
              </w:rPr>
            </w:pPr>
          </w:p>
        </w:tc>
      </w:tr>
      <w:tr w14:paraId="11CF19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717" w:type="dxa"/>
            <w:vMerge w:val="continue"/>
            <w:tcBorders>
              <w:top w:val="nil"/>
              <w:left w:val="nil"/>
              <w:bottom w:val="nil"/>
            </w:tcBorders>
            <w:vAlign w:val="top"/>
          </w:tcPr>
          <w:p w14:paraId="4628FF2A">
            <w:pPr>
              <w:rPr>
                <w:rFonts w:ascii="Arial"/>
                <w:sz w:val="21"/>
              </w:rPr>
            </w:pPr>
          </w:p>
        </w:tc>
        <w:tc>
          <w:tcPr>
            <w:tcW w:w="762" w:type="dxa"/>
            <w:vMerge w:val="continue"/>
            <w:tcBorders>
              <w:top w:val="nil"/>
              <w:bottom w:val="nil"/>
            </w:tcBorders>
            <w:vAlign w:val="top"/>
          </w:tcPr>
          <w:p w14:paraId="675EA172">
            <w:pPr>
              <w:rPr>
                <w:rFonts w:ascii="Arial"/>
                <w:sz w:val="21"/>
              </w:rPr>
            </w:pPr>
          </w:p>
        </w:tc>
        <w:tc>
          <w:tcPr>
            <w:tcW w:w="636" w:type="dxa"/>
            <w:vMerge w:val="restart"/>
            <w:tcBorders>
              <w:bottom w:val="nil"/>
            </w:tcBorders>
            <w:vAlign w:val="top"/>
          </w:tcPr>
          <w:p w14:paraId="444C7172">
            <w:pPr>
              <w:spacing w:line="353" w:lineRule="auto"/>
              <w:rPr>
                <w:rFonts w:ascii="Arial"/>
                <w:sz w:val="21"/>
              </w:rPr>
            </w:pPr>
          </w:p>
          <w:p w14:paraId="4D076CB0">
            <w:pPr>
              <w:spacing w:line="354" w:lineRule="auto"/>
              <w:rPr>
                <w:rFonts w:ascii="Arial"/>
                <w:sz w:val="21"/>
              </w:rPr>
            </w:pPr>
          </w:p>
          <w:p w14:paraId="330D48A4">
            <w:pPr>
              <w:spacing w:before="57" w:line="195" w:lineRule="auto"/>
              <w:ind w:left="270"/>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708" w:type="dxa"/>
            <w:vMerge w:val="restart"/>
            <w:tcBorders>
              <w:bottom w:val="nil"/>
            </w:tcBorders>
            <w:vAlign w:val="top"/>
          </w:tcPr>
          <w:p w14:paraId="326DB043">
            <w:pPr>
              <w:spacing w:line="264" w:lineRule="auto"/>
              <w:rPr>
                <w:rFonts w:ascii="Arial"/>
                <w:sz w:val="21"/>
              </w:rPr>
            </w:pPr>
          </w:p>
          <w:p w14:paraId="0D25B2DD">
            <w:pPr>
              <w:spacing w:line="264" w:lineRule="auto"/>
              <w:rPr>
                <w:rFonts w:ascii="Arial"/>
                <w:sz w:val="21"/>
              </w:rPr>
            </w:pPr>
          </w:p>
          <w:p w14:paraId="0DC98180">
            <w:pPr>
              <w:pStyle w:val="6"/>
              <w:spacing w:before="65"/>
              <w:ind w:left="48" w:right="37" w:hanging="3"/>
              <w:rPr>
                <w:sz w:val="20"/>
                <w:szCs w:val="20"/>
              </w:rPr>
            </w:pPr>
            <w:r>
              <w:rPr>
                <w:spacing w:val="6"/>
                <w:sz w:val="20"/>
                <w:szCs w:val="20"/>
              </w:rPr>
              <w:t>生产工</w:t>
            </w:r>
            <w:r>
              <w:rPr>
                <w:sz w:val="20"/>
                <w:szCs w:val="20"/>
              </w:rPr>
              <w:t xml:space="preserve"> </w:t>
            </w:r>
            <w:r>
              <w:rPr>
                <w:spacing w:val="5"/>
                <w:sz w:val="20"/>
                <w:szCs w:val="20"/>
              </w:rPr>
              <w:t>艺操作</w:t>
            </w:r>
          </w:p>
        </w:tc>
        <w:tc>
          <w:tcPr>
            <w:tcW w:w="1257" w:type="dxa"/>
            <w:vAlign w:val="top"/>
          </w:tcPr>
          <w:p w14:paraId="14FF5143">
            <w:pPr>
              <w:pStyle w:val="6"/>
              <w:spacing w:before="181" w:line="228" w:lineRule="auto"/>
              <w:ind w:left="114"/>
              <w:rPr>
                <w:sz w:val="20"/>
                <w:szCs w:val="20"/>
              </w:rPr>
            </w:pPr>
            <w:r>
              <w:rPr>
                <w:spacing w:val="7"/>
                <w:sz w:val="20"/>
                <w:szCs w:val="20"/>
              </w:rPr>
              <w:t>原辅料上料</w:t>
            </w:r>
          </w:p>
        </w:tc>
        <w:tc>
          <w:tcPr>
            <w:tcW w:w="949" w:type="dxa"/>
            <w:vAlign w:val="top"/>
          </w:tcPr>
          <w:p w14:paraId="1A79924A">
            <w:pPr>
              <w:spacing w:before="216"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3967" w:type="dxa"/>
            <w:gridSpan w:val="2"/>
            <w:vAlign w:val="top"/>
          </w:tcPr>
          <w:p w14:paraId="752CABCB">
            <w:pPr>
              <w:pStyle w:val="6"/>
              <w:spacing w:before="180" w:line="227" w:lineRule="auto"/>
              <w:ind w:left="483"/>
              <w:rPr>
                <w:sz w:val="20"/>
                <w:szCs w:val="20"/>
              </w:rPr>
            </w:pPr>
            <w:r>
              <w:rPr>
                <w:spacing w:val="9"/>
                <w:sz w:val="20"/>
                <w:szCs w:val="20"/>
              </w:rPr>
              <w:t>配料、上料、布料实现</w:t>
            </w:r>
            <w:r>
              <w:rPr>
                <w:spacing w:val="-36"/>
                <w:sz w:val="20"/>
                <w:szCs w:val="20"/>
              </w:rPr>
              <w:t xml:space="preserve"> </w:t>
            </w:r>
            <w:r>
              <w:rPr>
                <w:rFonts w:ascii="Times New Roman" w:hAnsi="Times New Roman" w:eastAsia="Times New Roman" w:cs="Times New Roman"/>
                <w:sz w:val="20"/>
                <w:szCs w:val="20"/>
              </w:rPr>
              <w:t>PLC</w:t>
            </w:r>
            <w:r>
              <w:rPr>
                <w:rFonts w:ascii="Times New Roman" w:hAnsi="Times New Roman" w:eastAsia="Times New Roman" w:cs="Times New Roman"/>
                <w:spacing w:val="9"/>
                <w:sz w:val="20"/>
                <w:szCs w:val="20"/>
              </w:rPr>
              <w:t xml:space="preserve"> </w:t>
            </w:r>
            <w:r>
              <w:rPr>
                <w:spacing w:val="9"/>
                <w:sz w:val="20"/>
                <w:szCs w:val="20"/>
              </w:rPr>
              <w:t>控制</w:t>
            </w:r>
          </w:p>
        </w:tc>
        <w:tc>
          <w:tcPr>
            <w:tcW w:w="2133" w:type="dxa"/>
            <w:vAlign w:val="top"/>
          </w:tcPr>
          <w:p w14:paraId="75D401A8">
            <w:pPr>
              <w:pStyle w:val="6"/>
              <w:spacing w:before="43" w:line="226" w:lineRule="auto"/>
              <w:ind w:left="755" w:right="15" w:hanging="733"/>
              <w:rPr>
                <w:sz w:val="20"/>
                <w:szCs w:val="20"/>
              </w:rPr>
            </w:pPr>
            <w:r>
              <w:rPr>
                <w:spacing w:val="8"/>
                <w:sz w:val="20"/>
                <w:szCs w:val="20"/>
              </w:rPr>
              <w:t xml:space="preserve">配料、上料、布料实现 </w:t>
            </w:r>
            <w:r>
              <w:rPr>
                <w:spacing w:val="7"/>
                <w:sz w:val="20"/>
                <w:szCs w:val="20"/>
              </w:rPr>
              <w:t>机械化</w:t>
            </w:r>
          </w:p>
        </w:tc>
        <w:tc>
          <w:tcPr>
            <w:tcW w:w="1626" w:type="dxa"/>
            <w:vAlign w:val="top"/>
          </w:tcPr>
          <w:p w14:paraId="16A63A9B">
            <w:pPr>
              <w:pStyle w:val="6"/>
              <w:spacing w:before="180" w:line="227" w:lineRule="auto"/>
              <w:ind w:left="151"/>
              <w:rPr>
                <w:sz w:val="20"/>
                <w:szCs w:val="20"/>
              </w:rPr>
            </w:pPr>
            <w:r>
              <w:rPr>
                <w:spacing w:val="21"/>
                <w:sz w:val="20"/>
                <w:szCs w:val="20"/>
              </w:rPr>
              <w:t>采用</w:t>
            </w:r>
            <w:r>
              <w:rPr>
                <w:rFonts w:ascii="Times New Roman" w:hAnsi="Times New Roman" w:eastAsia="Times New Roman" w:cs="Times New Roman"/>
                <w:sz w:val="20"/>
                <w:szCs w:val="20"/>
              </w:rPr>
              <w:t>PCL</w:t>
            </w:r>
            <w:r>
              <w:rPr>
                <w:rFonts w:ascii="Times New Roman" w:hAnsi="Times New Roman" w:eastAsia="Times New Roman" w:cs="Times New Roman"/>
                <w:spacing w:val="21"/>
                <w:sz w:val="20"/>
                <w:szCs w:val="20"/>
              </w:rPr>
              <w:t xml:space="preserve"> </w:t>
            </w:r>
            <w:r>
              <w:rPr>
                <w:spacing w:val="21"/>
                <w:sz w:val="20"/>
                <w:szCs w:val="20"/>
              </w:rPr>
              <w:t>控制</w:t>
            </w:r>
          </w:p>
        </w:tc>
        <w:tc>
          <w:tcPr>
            <w:tcW w:w="669" w:type="dxa"/>
            <w:vAlign w:val="top"/>
          </w:tcPr>
          <w:p w14:paraId="31AA6E4A">
            <w:pPr>
              <w:spacing w:before="216"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574" w:type="dxa"/>
            <w:vMerge w:val="continue"/>
            <w:tcBorders>
              <w:top w:val="nil"/>
              <w:bottom w:val="nil"/>
              <w:right w:val="nil"/>
            </w:tcBorders>
            <w:vAlign w:val="top"/>
          </w:tcPr>
          <w:p w14:paraId="0A919582">
            <w:pPr>
              <w:rPr>
                <w:rFonts w:ascii="Arial"/>
                <w:sz w:val="21"/>
              </w:rPr>
            </w:pPr>
          </w:p>
        </w:tc>
      </w:tr>
      <w:tr w14:paraId="1D419B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17" w:type="dxa"/>
            <w:vMerge w:val="continue"/>
            <w:tcBorders>
              <w:top w:val="nil"/>
              <w:left w:val="nil"/>
              <w:bottom w:val="nil"/>
            </w:tcBorders>
            <w:vAlign w:val="top"/>
          </w:tcPr>
          <w:p w14:paraId="5EF62C94">
            <w:pPr>
              <w:rPr>
                <w:rFonts w:ascii="Arial"/>
                <w:sz w:val="21"/>
              </w:rPr>
            </w:pPr>
          </w:p>
        </w:tc>
        <w:tc>
          <w:tcPr>
            <w:tcW w:w="762" w:type="dxa"/>
            <w:vMerge w:val="continue"/>
            <w:tcBorders>
              <w:top w:val="nil"/>
              <w:bottom w:val="nil"/>
            </w:tcBorders>
            <w:vAlign w:val="top"/>
          </w:tcPr>
          <w:p w14:paraId="3F658DDC">
            <w:pPr>
              <w:rPr>
                <w:rFonts w:ascii="Arial"/>
                <w:sz w:val="21"/>
              </w:rPr>
            </w:pPr>
          </w:p>
        </w:tc>
        <w:tc>
          <w:tcPr>
            <w:tcW w:w="636" w:type="dxa"/>
            <w:vMerge w:val="continue"/>
            <w:tcBorders>
              <w:top w:val="nil"/>
              <w:bottom w:val="nil"/>
            </w:tcBorders>
            <w:vAlign w:val="top"/>
          </w:tcPr>
          <w:p w14:paraId="29B220CD">
            <w:pPr>
              <w:rPr>
                <w:rFonts w:ascii="Arial"/>
                <w:sz w:val="21"/>
              </w:rPr>
            </w:pPr>
          </w:p>
        </w:tc>
        <w:tc>
          <w:tcPr>
            <w:tcW w:w="708" w:type="dxa"/>
            <w:vMerge w:val="continue"/>
            <w:tcBorders>
              <w:top w:val="nil"/>
              <w:bottom w:val="nil"/>
            </w:tcBorders>
            <w:vAlign w:val="top"/>
          </w:tcPr>
          <w:p w14:paraId="6CFBB00C">
            <w:pPr>
              <w:rPr>
                <w:rFonts w:ascii="Arial"/>
                <w:sz w:val="21"/>
              </w:rPr>
            </w:pPr>
          </w:p>
        </w:tc>
        <w:tc>
          <w:tcPr>
            <w:tcW w:w="1257" w:type="dxa"/>
            <w:vMerge w:val="restart"/>
            <w:tcBorders>
              <w:bottom w:val="nil"/>
            </w:tcBorders>
            <w:vAlign w:val="top"/>
          </w:tcPr>
          <w:p w14:paraId="55C3083D">
            <w:pPr>
              <w:pStyle w:val="6"/>
              <w:spacing w:before="185" w:line="228" w:lineRule="auto"/>
              <w:ind w:left="217"/>
              <w:rPr>
                <w:sz w:val="20"/>
                <w:szCs w:val="20"/>
              </w:rPr>
            </w:pPr>
            <w:r>
              <w:rPr>
                <w:spacing w:val="6"/>
                <w:sz w:val="20"/>
                <w:szCs w:val="20"/>
              </w:rPr>
              <w:t>冶炼控制</w:t>
            </w:r>
          </w:p>
        </w:tc>
        <w:tc>
          <w:tcPr>
            <w:tcW w:w="949" w:type="dxa"/>
            <w:vMerge w:val="restart"/>
            <w:tcBorders>
              <w:bottom w:val="nil"/>
            </w:tcBorders>
            <w:vAlign w:val="top"/>
          </w:tcPr>
          <w:p w14:paraId="6F375C98">
            <w:pPr>
              <w:spacing w:before="220"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w:t>
            </w:r>
          </w:p>
        </w:tc>
        <w:tc>
          <w:tcPr>
            <w:tcW w:w="3967" w:type="dxa"/>
            <w:gridSpan w:val="2"/>
            <w:vAlign w:val="top"/>
          </w:tcPr>
          <w:p w14:paraId="0D4D3719">
            <w:pPr>
              <w:pStyle w:val="6"/>
              <w:spacing w:before="48" w:line="196" w:lineRule="auto"/>
              <w:ind w:left="401"/>
              <w:rPr>
                <w:sz w:val="20"/>
                <w:szCs w:val="20"/>
              </w:rPr>
            </w:pPr>
            <w:r>
              <w:rPr>
                <w:spacing w:val="7"/>
                <w:sz w:val="20"/>
                <w:szCs w:val="20"/>
              </w:rPr>
              <w:t>电极压放、功率调节实现</w:t>
            </w:r>
            <w:r>
              <w:rPr>
                <w:spacing w:val="-30"/>
                <w:sz w:val="20"/>
                <w:szCs w:val="20"/>
              </w:rPr>
              <w:t xml:space="preserve"> </w:t>
            </w:r>
            <w:r>
              <w:rPr>
                <w:rFonts w:ascii="Times New Roman" w:hAnsi="Times New Roman" w:eastAsia="Times New Roman" w:cs="Times New Roman"/>
                <w:sz w:val="20"/>
                <w:szCs w:val="20"/>
              </w:rPr>
              <w:t>PLC</w:t>
            </w:r>
            <w:r>
              <w:rPr>
                <w:rFonts w:ascii="Times New Roman" w:hAnsi="Times New Roman" w:eastAsia="Times New Roman" w:cs="Times New Roman"/>
                <w:spacing w:val="7"/>
                <w:sz w:val="20"/>
                <w:szCs w:val="20"/>
              </w:rPr>
              <w:t xml:space="preserve"> </w:t>
            </w:r>
            <w:r>
              <w:rPr>
                <w:spacing w:val="7"/>
                <w:sz w:val="20"/>
                <w:szCs w:val="20"/>
              </w:rPr>
              <w:t>控制</w:t>
            </w:r>
          </w:p>
        </w:tc>
        <w:tc>
          <w:tcPr>
            <w:tcW w:w="2133" w:type="dxa"/>
            <w:vAlign w:val="top"/>
          </w:tcPr>
          <w:p w14:paraId="0BFE9F90">
            <w:pPr>
              <w:pStyle w:val="6"/>
              <w:spacing w:before="48" w:line="196" w:lineRule="auto"/>
              <w:ind w:left="150"/>
              <w:rPr>
                <w:sz w:val="20"/>
                <w:szCs w:val="20"/>
              </w:rPr>
            </w:pPr>
            <w:r>
              <w:rPr>
                <w:spacing w:val="6"/>
                <w:sz w:val="20"/>
                <w:szCs w:val="20"/>
              </w:rPr>
              <w:t>电极压放实现机械化</w:t>
            </w:r>
          </w:p>
        </w:tc>
        <w:tc>
          <w:tcPr>
            <w:tcW w:w="1626" w:type="dxa"/>
            <w:vAlign w:val="top"/>
          </w:tcPr>
          <w:p w14:paraId="0980AAF9">
            <w:pPr>
              <w:pStyle w:val="6"/>
              <w:spacing w:before="48" w:line="196" w:lineRule="auto"/>
              <w:ind w:left="151"/>
              <w:rPr>
                <w:sz w:val="20"/>
                <w:szCs w:val="20"/>
              </w:rPr>
            </w:pPr>
            <w:r>
              <w:rPr>
                <w:spacing w:val="21"/>
                <w:sz w:val="20"/>
                <w:szCs w:val="20"/>
              </w:rPr>
              <w:t>采用</w:t>
            </w:r>
            <w:r>
              <w:rPr>
                <w:rFonts w:ascii="Times New Roman" w:hAnsi="Times New Roman" w:eastAsia="Times New Roman" w:cs="Times New Roman"/>
                <w:sz w:val="20"/>
                <w:szCs w:val="20"/>
              </w:rPr>
              <w:t>PCL</w:t>
            </w:r>
            <w:r>
              <w:rPr>
                <w:rFonts w:ascii="Times New Roman" w:hAnsi="Times New Roman" w:eastAsia="Times New Roman" w:cs="Times New Roman"/>
                <w:spacing w:val="21"/>
                <w:sz w:val="20"/>
                <w:szCs w:val="20"/>
              </w:rPr>
              <w:t xml:space="preserve"> </w:t>
            </w:r>
            <w:r>
              <w:rPr>
                <w:spacing w:val="21"/>
                <w:sz w:val="20"/>
                <w:szCs w:val="20"/>
              </w:rPr>
              <w:t>控制</w:t>
            </w:r>
          </w:p>
        </w:tc>
        <w:tc>
          <w:tcPr>
            <w:tcW w:w="669" w:type="dxa"/>
            <w:vMerge w:val="restart"/>
            <w:tcBorders>
              <w:bottom w:val="nil"/>
            </w:tcBorders>
            <w:vAlign w:val="top"/>
          </w:tcPr>
          <w:p w14:paraId="036DC6AA">
            <w:pPr>
              <w:spacing w:before="220" w:line="195" w:lineRule="auto"/>
              <w:ind w:left="213"/>
              <w:rPr>
                <w:rFonts w:ascii="Times New Roman" w:hAnsi="Times New Roman" w:eastAsia="Times New Roman" w:cs="Times New Roman"/>
                <w:sz w:val="20"/>
                <w:szCs w:val="20"/>
              </w:rPr>
            </w:pPr>
            <w:r>
              <w:rPr>
                <w:rFonts w:ascii="Times New Roman" w:hAnsi="Times New Roman" w:eastAsia="Times New Roman" w:cs="Times New Roman"/>
                <w:sz w:val="20"/>
                <w:szCs w:val="20"/>
              </w:rPr>
              <w:t>8.0</w:t>
            </w:r>
          </w:p>
        </w:tc>
        <w:tc>
          <w:tcPr>
            <w:tcW w:w="574" w:type="dxa"/>
            <w:vMerge w:val="continue"/>
            <w:tcBorders>
              <w:top w:val="nil"/>
              <w:bottom w:val="nil"/>
              <w:right w:val="nil"/>
            </w:tcBorders>
            <w:vAlign w:val="top"/>
          </w:tcPr>
          <w:p w14:paraId="6C4D136C">
            <w:pPr>
              <w:rPr>
                <w:rFonts w:ascii="Arial"/>
                <w:sz w:val="21"/>
              </w:rPr>
            </w:pPr>
          </w:p>
        </w:tc>
      </w:tr>
      <w:tr w14:paraId="11C55B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717" w:type="dxa"/>
            <w:vMerge w:val="continue"/>
            <w:tcBorders>
              <w:top w:val="nil"/>
              <w:left w:val="nil"/>
              <w:bottom w:val="nil"/>
            </w:tcBorders>
            <w:vAlign w:val="top"/>
          </w:tcPr>
          <w:p w14:paraId="20CCC2DC">
            <w:pPr>
              <w:rPr>
                <w:rFonts w:ascii="Arial"/>
                <w:sz w:val="21"/>
              </w:rPr>
            </w:pPr>
          </w:p>
        </w:tc>
        <w:tc>
          <w:tcPr>
            <w:tcW w:w="762" w:type="dxa"/>
            <w:vMerge w:val="continue"/>
            <w:tcBorders>
              <w:top w:val="nil"/>
              <w:bottom w:val="nil"/>
            </w:tcBorders>
            <w:vAlign w:val="top"/>
          </w:tcPr>
          <w:p w14:paraId="3E61670A">
            <w:pPr>
              <w:rPr>
                <w:rFonts w:ascii="Arial"/>
                <w:sz w:val="21"/>
              </w:rPr>
            </w:pPr>
          </w:p>
        </w:tc>
        <w:tc>
          <w:tcPr>
            <w:tcW w:w="636" w:type="dxa"/>
            <w:vMerge w:val="continue"/>
            <w:tcBorders>
              <w:top w:val="nil"/>
              <w:bottom w:val="nil"/>
            </w:tcBorders>
            <w:vAlign w:val="top"/>
          </w:tcPr>
          <w:p w14:paraId="0DB42741">
            <w:pPr>
              <w:rPr>
                <w:rFonts w:ascii="Arial"/>
                <w:sz w:val="21"/>
              </w:rPr>
            </w:pPr>
          </w:p>
        </w:tc>
        <w:tc>
          <w:tcPr>
            <w:tcW w:w="708" w:type="dxa"/>
            <w:vMerge w:val="continue"/>
            <w:tcBorders>
              <w:top w:val="nil"/>
              <w:bottom w:val="nil"/>
            </w:tcBorders>
            <w:vAlign w:val="top"/>
          </w:tcPr>
          <w:p w14:paraId="618723BD">
            <w:pPr>
              <w:rPr>
                <w:rFonts w:ascii="Arial"/>
                <w:sz w:val="21"/>
              </w:rPr>
            </w:pPr>
          </w:p>
        </w:tc>
        <w:tc>
          <w:tcPr>
            <w:tcW w:w="1257" w:type="dxa"/>
            <w:vMerge w:val="continue"/>
            <w:tcBorders>
              <w:top w:val="nil"/>
            </w:tcBorders>
            <w:vAlign w:val="top"/>
          </w:tcPr>
          <w:p w14:paraId="5A4715A1">
            <w:pPr>
              <w:rPr>
                <w:rFonts w:ascii="Arial"/>
                <w:sz w:val="21"/>
              </w:rPr>
            </w:pPr>
          </w:p>
        </w:tc>
        <w:tc>
          <w:tcPr>
            <w:tcW w:w="949" w:type="dxa"/>
            <w:vMerge w:val="continue"/>
            <w:tcBorders>
              <w:top w:val="nil"/>
            </w:tcBorders>
            <w:vAlign w:val="top"/>
          </w:tcPr>
          <w:p w14:paraId="4DA1A62C">
            <w:pPr>
              <w:rPr>
                <w:rFonts w:ascii="Arial"/>
                <w:sz w:val="21"/>
              </w:rPr>
            </w:pPr>
          </w:p>
        </w:tc>
        <w:tc>
          <w:tcPr>
            <w:tcW w:w="6100" w:type="dxa"/>
            <w:gridSpan w:val="3"/>
            <w:vAlign w:val="top"/>
          </w:tcPr>
          <w:p w14:paraId="2F2FFE06">
            <w:pPr>
              <w:pStyle w:val="6"/>
              <w:spacing w:before="48" w:line="197" w:lineRule="auto"/>
              <w:ind w:left="2321"/>
              <w:rPr>
                <w:sz w:val="20"/>
                <w:szCs w:val="20"/>
              </w:rPr>
            </w:pPr>
            <w:r>
              <w:rPr>
                <w:spacing w:val="8"/>
                <w:sz w:val="20"/>
                <w:szCs w:val="20"/>
              </w:rPr>
              <w:t>加料实现机械化</w:t>
            </w:r>
          </w:p>
        </w:tc>
        <w:tc>
          <w:tcPr>
            <w:tcW w:w="1626" w:type="dxa"/>
            <w:vAlign w:val="top"/>
          </w:tcPr>
          <w:p w14:paraId="5550EFEE">
            <w:pPr>
              <w:pStyle w:val="6"/>
              <w:spacing w:before="48" w:line="197" w:lineRule="auto"/>
              <w:ind w:left="82"/>
              <w:rPr>
                <w:sz w:val="20"/>
                <w:szCs w:val="20"/>
              </w:rPr>
            </w:pPr>
            <w:r>
              <w:rPr>
                <w:spacing w:val="8"/>
                <w:sz w:val="20"/>
                <w:szCs w:val="20"/>
              </w:rPr>
              <w:t>采用机械化加料</w:t>
            </w:r>
          </w:p>
        </w:tc>
        <w:tc>
          <w:tcPr>
            <w:tcW w:w="669" w:type="dxa"/>
            <w:vMerge w:val="continue"/>
            <w:tcBorders>
              <w:top w:val="nil"/>
            </w:tcBorders>
            <w:vAlign w:val="top"/>
          </w:tcPr>
          <w:p w14:paraId="2D9C71E2">
            <w:pPr>
              <w:rPr>
                <w:rFonts w:ascii="Arial"/>
                <w:sz w:val="21"/>
              </w:rPr>
            </w:pPr>
          </w:p>
        </w:tc>
        <w:tc>
          <w:tcPr>
            <w:tcW w:w="574" w:type="dxa"/>
            <w:vMerge w:val="continue"/>
            <w:tcBorders>
              <w:top w:val="nil"/>
              <w:bottom w:val="nil"/>
              <w:right w:val="nil"/>
            </w:tcBorders>
            <w:vAlign w:val="top"/>
          </w:tcPr>
          <w:p w14:paraId="69783DA6">
            <w:pPr>
              <w:rPr>
                <w:rFonts w:ascii="Arial"/>
                <w:sz w:val="21"/>
              </w:rPr>
            </w:pPr>
          </w:p>
        </w:tc>
      </w:tr>
      <w:tr w14:paraId="5B51E7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2" w:hRule="atLeast"/>
        </w:trPr>
        <w:tc>
          <w:tcPr>
            <w:tcW w:w="717" w:type="dxa"/>
            <w:vMerge w:val="continue"/>
            <w:tcBorders>
              <w:top w:val="nil"/>
              <w:left w:val="nil"/>
              <w:bottom w:val="nil"/>
            </w:tcBorders>
            <w:vAlign w:val="top"/>
          </w:tcPr>
          <w:p w14:paraId="1BB9E2CD">
            <w:pPr>
              <w:rPr>
                <w:rFonts w:ascii="Arial"/>
                <w:sz w:val="21"/>
              </w:rPr>
            </w:pPr>
          </w:p>
        </w:tc>
        <w:tc>
          <w:tcPr>
            <w:tcW w:w="762" w:type="dxa"/>
            <w:vMerge w:val="continue"/>
            <w:tcBorders>
              <w:top w:val="nil"/>
              <w:bottom w:val="nil"/>
            </w:tcBorders>
            <w:vAlign w:val="top"/>
          </w:tcPr>
          <w:p w14:paraId="5283F47F">
            <w:pPr>
              <w:rPr>
                <w:rFonts w:ascii="Arial"/>
                <w:sz w:val="21"/>
              </w:rPr>
            </w:pPr>
          </w:p>
        </w:tc>
        <w:tc>
          <w:tcPr>
            <w:tcW w:w="636" w:type="dxa"/>
            <w:vMerge w:val="continue"/>
            <w:tcBorders>
              <w:top w:val="nil"/>
            </w:tcBorders>
            <w:vAlign w:val="top"/>
          </w:tcPr>
          <w:p w14:paraId="0F9B4497">
            <w:pPr>
              <w:rPr>
                <w:rFonts w:ascii="Arial"/>
                <w:sz w:val="21"/>
              </w:rPr>
            </w:pPr>
          </w:p>
        </w:tc>
        <w:tc>
          <w:tcPr>
            <w:tcW w:w="708" w:type="dxa"/>
            <w:vMerge w:val="continue"/>
            <w:tcBorders>
              <w:top w:val="nil"/>
            </w:tcBorders>
            <w:vAlign w:val="top"/>
          </w:tcPr>
          <w:p w14:paraId="1E4E7E93">
            <w:pPr>
              <w:rPr>
                <w:rFonts w:ascii="Arial"/>
                <w:sz w:val="21"/>
              </w:rPr>
            </w:pPr>
          </w:p>
        </w:tc>
        <w:tc>
          <w:tcPr>
            <w:tcW w:w="1257" w:type="dxa"/>
            <w:vAlign w:val="top"/>
          </w:tcPr>
          <w:p w14:paraId="626514F6">
            <w:pPr>
              <w:pStyle w:val="6"/>
              <w:spacing w:before="184" w:line="228" w:lineRule="auto"/>
              <w:ind w:left="217"/>
              <w:rPr>
                <w:sz w:val="20"/>
                <w:szCs w:val="20"/>
              </w:rPr>
            </w:pPr>
            <w:r>
              <w:rPr>
                <w:spacing w:val="6"/>
                <w:sz w:val="20"/>
                <w:szCs w:val="20"/>
              </w:rPr>
              <w:t>炉前出炉</w:t>
            </w:r>
          </w:p>
        </w:tc>
        <w:tc>
          <w:tcPr>
            <w:tcW w:w="949" w:type="dxa"/>
            <w:vAlign w:val="top"/>
          </w:tcPr>
          <w:p w14:paraId="4E11689D">
            <w:pPr>
              <w:spacing w:before="219"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w:t>
            </w:r>
          </w:p>
        </w:tc>
        <w:tc>
          <w:tcPr>
            <w:tcW w:w="3967" w:type="dxa"/>
            <w:gridSpan w:val="2"/>
            <w:vAlign w:val="top"/>
          </w:tcPr>
          <w:p w14:paraId="5491CCB8">
            <w:pPr>
              <w:pStyle w:val="6"/>
              <w:spacing w:before="183" w:line="227" w:lineRule="auto"/>
              <w:ind w:left="728"/>
              <w:rPr>
                <w:sz w:val="20"/>
                <w:szCs w:val="20"/>
              </w:rPr>
            </w:pPr>
            <w:r>
              <w:rPr>
                <w:spacing w:val="9"/>
                <w:sz w:val="20"/>
                <w:szCs w:val="20"/>
              </w:rPr>
              <w:t>开堵炉眼及浇注实现机械化</w:t>
            </w:r>
          </w:p>
        </w:tc>
        <w:tc>
          <w:tcPr>
            <w:tcW w:w="2133" w:type="dxa"/>
            <w:vAlign w:val="top"/>
          </w:tcPr>
          <w:p w14:paraId="781508CB">
            <w:pPr>
              <w:pStyle w:val="6"/>
              <w:spacing w:before="183" w:line="227" w:lineRule="auto"/>
              <w:ind w:left="130"/>
              <w:rPr>
                <w:sz w:val="20"/>
                <w:szCs w:val="20"/>
              </w:rPr>
            </w:pPr>
            <w:r>
              <w:rPr>
                <w:spacing w:val="8"/>
                <w:sz w:val="20"/>
                <w:szCs w:val="20"/>
              </w:rPr>
              <w:t>炉前浇注实现机械化</w:t>
            </w:r>
          </w:p>
        </w:tc>
        <w:tc>
          <w:tcPr>
            <w:tcW w:w="1626" w:type="dxa"/>
            <w:vAlign w:val="top"/>
          </w:tcPr>
          <w:p w14:paraId="21B3A276">
            <w:pPr>
              <w:pStyle w:val="6"/>
              <w:spacing w:before="46" w:line="224" w:lineRule="auto"/>
              <w:ind w:left="298" w:right="77" w:hanging="215"/>
              <w:rPr>
                <w:sz w:val="20"/>
                <w:szCs w:val="20"/>
              </w:rPr>
            </w:pPr>
            <w:r>
              <w:rPr>
                <w:spacing w:val="8"/>
                <w:sz w:val="20"/>
                <w:szCs w:val="20"/>
              </w:rPr>
              <w:t>开堵炉眼及浇注</w:t>
            </w:r>
            <w:r>
              <w:rPr>
                <w:spacing w:val="2"/>
                <w:sz w:val="20"/>
                <w:szCs w:val="20"/>
              </w:rPr>
              <w:t xml:space="preserve"> </w:t>
            </w:r>
            <w:r>
              <w:rPr>
                <w:spacing w:val="7"/>
                <w:sz w:val="20"/>
                <w:szCs w:val="20"/>
              </w:rPr>
              <w:t>实现机械化</w:t>
            </w:r>
          </w:p>
        </w:tc>
        <w:tc>
          <w:tcPr>
            <w:tcW w:w="669" w:type="dxa"/>
            <w:vAlign w:val="top"/>
          </w:tcPr>
          <w:p w14:paraId="75172949">
            <w:pPr>
              <w:spacing w:before="219" w:line="195" w:lineRule="auto"/>
              <w:ind w:left="210"/>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574" w:type="dxa"/>
            <w:vMerge w:val="continue"/>
            <w:tcBorders>
              <w:top w:val="nil"/>
              <w:bottom w:val="nil"/>
              <w:right w:val="nil"/>
            </w:tcBorders>
            <w:vAlign w:val="top"/>
          </w:tcPr>
          <w:p w14:paraId="1F7D3A16">
            <w:pPr>
              <w:rPr>
                <w:rFonts w:ascii="Arial"/>
                <w:sz w:val="21"/>
              </w:rPr>
            </w:pPr>
          </w:p>
        </w:tc>
      </w:tr>
      <w:tr w14:paraId="7EAEFD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5" w:hRule="atLeast"/>
        </w:trPr>
        <w:tc>
          <w:tcPr>
            <w:tcW w:w="717" w:type="dxa"/>
            <w:vMerge w:val="continue"/>
            <w:tcBorders>
              <w:top w:val="nil"/>
              <w:left w:val="nil"/>
              <w:bottom w:val="nil"/>
            </w:tcBorders>
            <w:vAlign w:val="top"/>
          </w:tcPr>
          <w:p w14:paraId="279E6FB7">
            <w:pPr>
              <w:rPr>
                <w:rFonts w:ascii="Arial"/>
                <w:sz w:val="21"/>
              </w:rPr>
            </w:pPr>
          </w:p>
        </w:tc>
        <w:tc>
          <w:tcPr>
            <w:tcW w:w="762" w:type="dxa"/>
            <w:vMerge w:val="continue"/>
            <w:tcBorders>
              <w:top w:val="nil"/>
              <w:bottom w:val="nil"/>
            </w:tcBorders>
            <w:vAlign w:val="top"/>
          </w:tcPr>
          <w:p w14:paraId="54EA3C9D">
            <w:pPr>
              <w:rPr>
                <w:rFonts w:ascii="Arial"/>
                <w:sz w:val="21"/>
              </w:rPr>
            </w:pPr>
          </w:p>
        </w:tc>
        <w:tc>
          <w:tcPr>
            <w:tcW w:w="636" w:type="dxa"/>
            <w:vAlign w:val="top"/>
          </w:tcPr>
          <w:p w14:paraId="238BF37A">
            <w:pPr>
              <w:spacing w:line="302" w:lineRule="auto"/>
              <w:rPr>
                <w:rFonts w:ascii="Arial"/>
                <w:sz w:val="21"/>
              </w:rPr>
            </w:pPr>
          </w:p>
          <w:p w14:paraId="1B42C664">
            <w:pPr>
              <w:spacing w:before="58" w:line="192" w:lineRule="auto"/>
              <w:ind w:left="269"/>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1965" w:type="dxa"/>
            <w:gridSpan w:val="2"/>
            <w:vAlign w:val="top"/>
          </w:tcPr>
          <w:p w14:paraId="44DFD592">
            <w:pPr>
              <w:spacing w:line="256" w:lineRule="auto"/>
              <w:rPr>
                <w:rFonts w:ascii="Arial"/>
                <w:sz w:val="21"/>
              </w:rPr>
            </w:pPr>
          </w:p>
          <w:p w14:paraId="23EF579B">
            <w:pPr>
              <w:pStyle w:val="6"/>
              <w:spacing w:before="65" w:line="228" w:lineRule="auto"/>
              <w:ind w:left="42"/>
              <w:rPr>
                <w:sz w:val="20"/>
                <w:szCs w:val="20"/>
              </w:rPr>
            </w:pPr>
            <w:r>
              <w:rPr>
                <w:spacing w:val="8"/>
                <w:sz w:val="20"/>
                <w:szCs w:val="20"/>
              </w:rPr>
              <w:t>煤气或余热回收利用</w:t>
            </w:r>
          </w:p>
        </w:tc>
        <w:tc>
          <w:tcPr>
            <w:tcW w:w="949" w:type="dxa"/>
            <w:vAlign w:val="top"/>
          </w:tcPr>
          <w:p w14:paraId="2D8F2F38">
            <w:pPr>
              <w:spacing w:line="300" w:lineRule="auto"/>
              <w:rPr>
                <w:rFonts w:ascii="Arial"/>
                <w:sz w:val="21"/>
              </w:rPr>
            </w:pPr>
          </w:p>
          <w:p w14:paraId="08E5F60D">
            <w:pPr>
              <w:spacing w:before="57"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3967" w:type="dxa"/>
            <w:gridSpan w:val="2"/>
            <w:vAlign w:val="top"/>
          </w:tcPr>
          <w:p w14:paraId="4D3B8BE5">
            <w:pPr>
              <w:spacing w:line="256" w:lineRule="auto"/>
              <w:rPr>
                <w:rFonts w:ascii="Arial"/>
                <w:sz w:val="21"/>
              </w:rPr>
            </w:pPr>
          </w:p>
          <w:p w14:paraId="104B467C">
            <w:pPr>
              <w:pStyle w:val="6"/>
              <w:spacing w:before="65" w:line="228" w:lineRule="auto"/>
              <w:ind w:left="727"/>
              <w:rPr>
                <w:sz w:val="20"/>
                <w:szCs w:val="20"/>
              </w:rPr>
            </w:pPr>
            <w:r>
              <w:rPr>
                <w:spacing w:val="9"/>
                <w:sz w:val="20"/>
                <w:szCs w:val="20"/>
              </w:rPr>
              <w:t>全封闭电炉回收煤气并利用</w:t>
            </w:r>
          </w:p>
        </w:tc>
        <w:tc>
          <w:tcPr>
            <w:tcW w:w="2133" w:type="dxa"/>
            <w:vAlign w:val="top"/>
          </w:tcPr>
          <w:p w14:paraId="6286049E">
            <w:pPr>
              <w:pStyle w:val="6"/>
              <w:spacing w:before="51" w:line="228" w:lineRule="auto"/>
              <w:ind w:left="22"/>
              <w:rPr>
                <w:sz w:val="20"/>
                <w:szCs w:val="20"/>
              </w:rPr>
            </w:pPr>
            <w:r>
              <w:rPr>
                <w:spacing w:val="8"/>
                <w:sz w:val="20"/>
                <w:szCs w:val="20"/>
              </w:rPr>
              <w:t>全封闭电炉回收煤气并</w:t>
            </w:r>
          </w:p>
          <w:p w14:paraId="33F59F98">
            <w:pPr>
              <w:pStyle w:val="6"/>
              <w:spacing w:before="24" w:line="228" w:lineRule="auto"/>
              <w:ind w:left="23"/>
              <w:rPr>
                <w:sz w:val="20"/>
                <w:szCs w:val="20"/>
              </w:rPr>
            </w:pPr>
            <w:r>
              <w:rPr>
                <w:spacing w:val="8"/>
                <w:sz w:val="20"/>
                <w:szCs w:val="20"/>
              </w:rPr>
              <w:t>利用，半封闭式电炉回</w:t>
            </w:r>
          </w:p>
          <w:p w14:paraId="7873387B">
            <w:pPr>
              <w:pStyle w:val="6"/>
              <w:spacing w:before="23" w:line="194" w:lineRule="auto"/>
              <w:ind w:left="238"/>
              <w:rPr>
                <w:sz w:val="20"/>
                <w:szCs w:val="20"/>
              </w:rPr>
            </w:pPr>
            <w:r>
              <w:rPr>
                <w:spacing w:val="7"/>
                <w:sz w:val="20"/>
                <w:szCs w:val="20"/>
              </w:rPr>
              <w:t>收烟气余热并利用</w:t>
            </w:r>
          </w:p>
        </w:tc>
        <w:tc>
          <w:tcPr>
            <w:tcW w:w="1626" w:type="dxa"/>
            <w:vAlign w:val="top"/>
          </w:tcPr>
          <w:p w14:paraId="18DA77FF">
            <w:pPr>
              <w:pStyle w:val="6"/>
              <w:spacing w:before="186"/>
              <w:ind w:left="295" w:right="77" w:hanging="212"/>
              <w:rPr>
                <w:sz w:val="20"/>
                <w:szCs w:val="20"/>
              </w:rPr>
            </w:pPr>
            <w:r>
              <w:rPr>
                <w:spacing w:val="8"/>
                <w:sz w:val="20"/>
                <w:szCs w:val="20"/>
              </w:rPr>
              <w:t>全封闭电炉回收</w:t>
            </w:r>
            <w:r>
              <w:rPr>
                <w:spacing w:val="3"/>
                <w:sz w:val="20"/>
                <w:szCs w:val="20"/>
              </w:rPr>
              <w:t xml:space="preserve"> </w:t>
            </w:r>
            <w:r>
              <w:rPr>
                <w:spacing w:val="7"/>
                <w:sz w:val="20"/>
                <w:szCs w:val="20"/>
              </w:rPr>
              <w:t>煤气并利用</w:t>
            </w:r>
          </w:p>
        </w:tc>
        <w:tc>
          <w:tcPr>
            <w:tcW w:w="669" w:type="dxa"/>
            <w:vAlign w:val="top"/>
          </w:tcPr>
          <w:p w14:paraId="5074282F">
            <w:pPr>
              <w:spacing w:line="300" w:lineRule="auto"/>
              <w:rPr>
                <w:rFonts w:ascii="Arial"/>
                <w:sz w:val="21"/>
              </w:rPr>
            </w:pPr>
          </w:p>
          <w:p w14:paraId="70A484BD">
            <w:pPr>
              <w:spacing w:before="57"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574" w:type="dxa"/>
            <w:vMerge w:val="continue"/>
            <w:tcBorders>
              <w:top w:val="nil"/>
              <w:bottom w:val="nil"/>
              <w:right w:val="nil"/>
            </w:tcBorders>
            <w:vAlign w:val="top"/>
          </w:tcPr>
          <w:p w14:paraId="21F43C01">
            <w:pPr>
              <w:rPr>
                <w:rFonts w:ascii="Arial"/>
                <w:sz w:val="21"/>
              </w:rPr>
            </w:pPr>
          </w:p>
        </w:tc>
      </w:tr>
      <w:tr w14:paraId="216ECE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717" w:type="dxa"/>
            <w:vMerge w:val="continue"/>
            <w:tcBorders>
              <w:top w:val="nil"/>
              <w:left w:val="nil"/>
              <w:bottom w:val="single" w:color="000000" w:sz="10" w:space="0"/>
            </w:tcBorders>
            <w:vAlign w:val="top"/>
          </w:tcPr>
          <w:p w14:paraId="6E53EBA6">
            <w:pPr>
              <w:rPr>
                <w:rFonts w:ascii="Arial"/>
                <w:sz w:val="21"/>
              </w:rPr>
            </w:pPr>
          </w:p>
        </w:tc>
        <w:tc>
          <w:tcPr>
            <w:tcW w:w="762" w:type="dxa"/>
            <w:vMerge w:val="continue"/>
            <w:tcBorders>
              <w:top w:val="nil"/>
              <w:bottom w:val="single" w:color="000000" w:sz="10" w:space="0"/>
            </w:tcBorders>
            <w:vAlign w:val="top"/>
          </w:tcPr>
          <w:p w14:paraId="037103BA">
            <w:pPr>
              <w:rPr>
                <w:rFonts w:ascii="Arial"/>
                <w:sz w:val="21"/>
              </w:rPr>
            </w:pPr>
          </w:p>
        </w:tc>
        <w:tc>
          <w:tcPr>
            <w:tcW w:w="636" w:type="dxa"/>
            <w:tcBorders>
              <w:bottom w:val="single" w:color="000000" w:sz="10" w:space="0"/>
            </w:tcBorders>
            <w:vAlign w:val="top"/>
          </w:tcPr>
          <w:p w14:paraId="61270BDF">
            <w:pPr>
              <w:spacing w:before="225" w:line="195" w:lineRule="auto"/>
              <w:ind w:left="274"/>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1965" w:type="dxa"/>
            <w:gridSpan w:val="2"/>
            <w:tcBorders>
              <w:bottom w:val="single" w:color="000000" w:sz="10" w:space="0"/>
            </w:tcBorders>
            <w:vAlign w:val="top"/>
          </w:tcPr>
          <w:p w14:paraId="316CA665">
            <w:pPr>
              <w:pStyle w:val="6"/>
              <w:spacing w:before="187" w:line="228" w:lineRule="auto"/>
              <w:ind w:left="464"/>
              <w:rPr>
                <w:sz w:val="20"/>
                <w:szCs w:val="20"/>
              </w:rPr>
            </w:pPr>
            <w:r>
              <w:rPr>
                <w:spacing w:val="7"/>
                <w:sz w:val="20"/>
                <w:szCs w:val="20"/>
              </w:rPr>
              <w:t>水处理技术</w:t>
            </w:r>
          </w:p>
        </w:tc>
        <w:tc>
          <w:tcPr>
            <w:tcW w:w="949" w:type="dxa"/>
            <w:tcBorders>
              <w:bottom w:val="single" w:color="000000" w:sz="10" w:space="0"/>
            </w:tcBorders>
            <w:vAlign w:val="top"/>
          </w:tcPr>
          <w:p w14:paraId="3E6A6516">
            <w:pPr>
              <w:spacing w:before="225"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w:t>
            </w:r>
          </w:p>
        </w:tc>
        <w:tc>
          <w:tcPr>
            <w:tcW w:w="3967" w:type="dxa"/>
            <w:gridSpan w:val="2"/>
            <w:tcBorders>
              <w:bottom w:val="single" w:color="000000" w:sz="10" w:space="0"/>
            </w:tcBorders>
            <w:vAlign w:val="top"/>
          </w:tcPr>
          <w:p w14:paraId="58AE4465">
            <w:pPr>
              <w:pStyle w:val="6"/>
              <w:spacing w:before="187" w:line="227" w:lineRule="auto"/>
              <w:ind w:left="518"/>
              <w:rPr>
                <w:sz w:val="20"/>
                <w:szCs w:val="20"/>
              </w:rPr>
            </w:pPr>
            <w:r>
              <w:rPr>
                <w:spacing w:val="9"/>
                <w:sz w:val="20"/>
                <w:szCs w:val="20"/>
              </w:rPr>
              <w:t>采用软水、净环水闭路循环技术</w:t>
            </w:r>
          </w:p>
        </w:tc>
        <w:tc>
          <w:tcPr>
            <w:tcW w:w="2133" w:type="dxa"/>
            <w:tcBorders>
              <w:bottom w:val="single" w:color="000000" w:sz="10" w:space="0"/>
            </w:tcBorders>
            <w:vAlign w:val="top"/>
          </w:tcPr>
          <w:p w14:paraId="5EB33713">
            <w:pPr>
              <w:pStyle w:val="6"/>
              <w:spacing w:before="53" w:line="233" w:lineRule="auto"/>
              <w:ind w:left="916" w:right="15" w:hanging="895"/>
              <w:rPr>
                <w:sz w:val="10"/>
                <w:szCs w:val="10"/>
              </w:rPr>
            </w:pPr>
            <w:r>
              <w:rPr>
                <w:spacing w:val="9"/>
                <w:sz w:val="20"/>
                <w:szCs w:val="20"/>
              </w:rPr>
              <w:t>采用净环水闭路循环技</w:t>
            </w:r>
            <w:r>
              <w:rPr>
                <w:sz w:val="20"/>
                <w:szCs w:val="20"/>
              </w:rPr>
              <w:t xml:space="preserve"> </w:t>
            </w:r>
            <w:r>
              <w:rPr>
                <w:spacing w:val="2"/>
                <w:position w:val="-2"/>
                <w:sz w:val="20"/>
                <w:szCs w:val="20"/>
              </w:rPr>
              <w:t>术</w:t>
            </w:r>
            <w:r>
              <w:rPr>
                <w:spacing w:val="2"/>
                <w:position w:val="8"/>
                <w:sz w:val="10"/>
                <w:szCs w:val="10"/>
              </w:rPr>
              <w:t>①</w:t>
            </w:r>
          </w:p>
        </w:tc>
        <w:tc>
          <w:tcPr>
            <w:tcW w:w="1626" w:type="dxa"/>
            <w:tcBorders>
              <w:bottom w:val="single" w:color="000000" w:sz="10" w:space="0"/>
            </w:tcBorders>
            <w:vAlign w:val="top"/>
          </w:tcPr>
          <w:p w14:paraId="01112803">
            <w:pPr>
              <w:pStyle w:val="6"/>
              <w:spacing w:before="53" w:line="233" w:lineRule="auto"/>
              <w:ind w:left="208" w:hanging="201"/>
              <w:rPr>
                <w:sz w:val="20"/>
                <w:szCs w:val="20"/>
              </w:rPr>
            </w:pPr>
            <w:r>
              <w:rPr>
                <w:spacing w:val="1"/>
                <w:sz w:val="20"/>
                <w:szCs w:val="20"/>
              </w:rPr>
              <w:t>采用软水、净环水</w:t>
            </w:r>
            <w:r>
              <w:rPr>
                <w:spacing w:val="3"/>
                <w:sz w:val="20"/>
                <w:szCs w:val="20"/>
              </w:rPr>
              <w:t xml:space="preserve"> </w:t>
            </w:r>
            <w:r>
              <w:rPr>
                <w:spacing w:val="4"/>
                <w:sz w:val="20"/>
                <w:szCs w:val="20"/>
              </w:rPr>
              <w:t>闭路循环技术</w:t>
            </w:r>
          </w:p>
        </w:tc>
        <w:tc>
          <w:tcPr>
            <w:tcW w:w="669" w:type="dxa"/>
            <w:tcBorders>
              <w:bottom w:val="single" w:color="000000" w:sz="10" w:space="0"/>
            </w:tcBorders>
            <w:vAlign w:val="top"/>
          </w:tcPr>
          <w:p w14:paraId="0FE71A07">
            <w:pPr>
              <w:spacing w:before="225" w:line="195" w:lineRule="auto"/>
              <w:ind w:left="213"/>
              <w:rPr>
                <w:rFonts w:ascii="Times New Roman" w:hAnsi="Times New Roman" w:eastAsia="Times New Roman" w:cs="Times New Roman"/>
                <w:sz w:val="20"/>
                <w:szCs w:val="20"/>
              </w:rPr>
            </w:pPr>
            <w:r>
              <w:rPr>
                <w:rFonts w:ascii="Times New Roman" w:hAnsi="Times New Roman" w:eastAsia="Times New Roman" w:cs="Times New Roman"/>
                <w:sz w:val="20"/>
                <w:szCs w:val="20"/>
              </w:rPr>
              <w:t>8.0</w:t>
            </w:r>
          </w:p>
        </w:tc>
        <w:tc>
          <w:tcPr>
            <w:tcW w:w="574" w:type="dxa"/>
            <w:vMerge w:val="continue"/>
            <w:tcBorders>
              <w:top w:val="nil"/>
              <w:bottom w:val="single" w:color="000000" w:sz="10" w:space="0"/>
              <w:right w:val="nil"/>
            </w:tcBorders>
            <w:vAlign w:val="top"/>
          </w:tcPr>
          <w:p w14:paraId="54A9F196">
            <w:pPr>
              <w:rPr>
                <w:rFonts w:ascii="Arial"/>
                <w:sz w:val="21"/>
              </w:rPr>
            </w:pPr>
          </w:p>
        </w:tc>
      </w:tr>
    </w:tbl>
    <w:p w14:paraId="23B72EB1">
      <w:pPr>
        <w:pStyle w:val="2"/>
      </w:pPr>
    </w:p>
    <w:p w14:paraId="53CB4DBF">
      <w:pPr>
        <w:sectPr>
          <w:headerReference r:id="rId200" w:type="default"/>
          <w:footerReference r:id="rId201" w:type="default"/>
          <w:pgSz w:w="16840" w:h="11907"/>
          <w:pgMar w:top="1190" w:right="1417" w:bottom="1002" w:left="1417" w:header="882" w:footer="837" w:gutter="0"/>
          <w:cols w:space="720" w:num="1"/>
        </w:sectPr>
      </w:pPr>
    </w:p>
    <w:p w14:paraId="39654067">
      <w:pPr>
        <w:spacing w:line="28" w:lineRule="exact"/>
      </w:pPr>
      <w:r>
        <w:pict>
          <v:shape id="_x0000_s1244" o:spid="_x0000_s1244" style="height:1.45pt;width:700.25pt;" fillcolor="#000000" filled="t" stroked="f" coordsize="14005,29" path="m0,0l14005,0,14005,28,0,28,0,0xe">
            <v:path/>
            <v:fill on="t" focussize="0,0"/>
            <v:stroke on="f"/>
            <v:imagedata o:title=""/>
            <o:lock v:ext="edit"/>
            <w10:wrap type="none"/>
            <w10:anchorlock/>
          </v:shape>
        </w:pict>
      </w:r>
    </w:p>
    <w:p w14:paraId="1A9E279F">
      <w:pPr>
        <w:spacing w:line="197" w:lineRule="exact"/>
      </w:pPr>
    </w:p>
    <w:tbl>
      <w:tblPr>
        <w:tblStyle w:val="5"/>
        <w:tblW w:w="1399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7"/>
        <w:gridCol w:w="762"/>
        <w:gridCol w:w="636"/>
        <w:gridCol w:w="1965"/>
        <w:gridCol w:w="949"/>
        <w:gridCol w:w="2156"/>
        <w:gridCol w:w="1811"/>
        <w:gridCol w:w="2133"/>
        <w:gridCol w:w="1627"/>
        <w:gridCol w:w="669"/>
        <w:gridCol w:w="574"/>
      </w:tblGrid>
      <w:tr w14:paraId="3CC0C5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1479" w:type="dxa"/>
            <w:gridSpan w:val="2"/>
            <w:tcBorders>
              <w:top w:val="single" w:color="000000" w:sz="10" w:space="0"/>
              <w:left w:val="nil"/>
            </w:tcBorders>
            <w:vAlign w:val="top"/>
          </w:tcPr>
          <w:p w14:paraId="1E2D5E70">
            <w:pPr>
              <w:pStyle w:val="6"/>
              <w:spacing w:before="35" w:line="216" w:lineRule="auto"/>
              <w:ind w:left="329"/>
              <w:rPr>
                <w:sz w:val="20"/>
                <w:szCs w:val="20"/>
              </w:rPr>
            </w:pPr>
            <w:r>
              <w:rPr>
                <w:spacing w:val="6"/>
                <w:sz w:val="20"/>
                <w:szCs w:val="20"/>
              </w:rPr>
              <w:t>一级指标</w:t>
            </w:r>
          </w:p>
        </w:tc>
        <w:tc>
          <w:tcPr>
            <w:tcW w:w="9650" w:type="dxa"/>
            <w:gridSpan w:val="6"/>
            <w:tcBorders>
              <w:top w:val="single" w:color="000000" w:sz="10" w:space="0"/>
            </w:tcBorders>
            <w:vAlign w:val="top"/>
          </w:tcPr>
          <w:p w14:paraId="63BEFA9C">
            <w:pPr>
              <w:pStyle w:val="6"/>
              <w:spacing w:before="35" w:line="216" w:lineRule="auto"/>
              <w:ind w:left="4413"/>
              <w:rPr>
                <w:sz w:val="20"/>
                <w:szCs w:val="20"/>
              </w:rPr>
            </w:pPr>
            <w:r>
              <w:rPr>
                <w:spacing w:val="6"/>
                <w:sz w:val="20"/>
                <w:szCs w:val="20"/>
              </w:rPr>
              <w:t>二级指标</w:t>
            </w:r>
          </w:p>
        </w:tc>
        <w:tc>
          <w:tcPr>
            <w:tcW w:w="1627" w:type="dxa"/>
            <w:vMerge w:val="restart"/>
            <w:tcBorders>
              <w:top w:val="single" w:color="000000" w:sz="10" w:space="0"/>
              <w:bottom w:val="nil"/>
            </w:tcBorders>
            <w:vAlign w:val="top"/>
          </w:tcPr>
          <w:p w14:paraId="471F5ECA">
            <w:pPr>
              <w:spacing w:line="242" w:lineRule="auto"/>
              <w:rPr>
                <w:rFonts w:ascii="Arial"/>
                <w:sz w:val="21"/>
              </w:rPr>
            </w:pPr>
          </w:p>
          <w:p w14:paraId="55C50BB1">
            <w:pPr>
              <w:pStyle w:val="6"/>
              <w:spacing w:before="65" w:line="227" w:lineRule="auto"/>
              <w:ind w:left="295"/>
              <w:rPr>
                <w:sz w:val="20"/>
                <w:szCs w:val="20"/>
              </w:rPr>
            </w:pPr>
            <w:r>
              <w:rPr>
                <w:spacing w:val="7"/>
                <w:sz w:val="20"/>
                <w:szCs w:val="20"/>
              </w:rPr>
              <w:t>本项目情况</w:t>
            </w:r>
          </w:p>
        </w:tc>
        <w:tc>
          <w:tcPr>
            <w:tcW w:w="669" w:type="dxa"/>
            <w:vMerge w:val="restart"/>
            <w:tcBorders>
              <w:top w:val="single" w:color="000000" w:sz="10" w:space="0"/>
              <w:bottom w:val="nil"/>
            </w:tcBorders>
            <w:vAlign w:val="top"/>
          </w:tcPr>
          <w:p w14:paraId="3EFDE3FA">
            <w:pPr>
              <w:pStyle w:val="6"/>
              <w:spacing w:before="173" w:line="239" w:lineRule="auto"/>
              <w:ind w:left="28" w:right="17"/>
              <w:rPr>
                <w:sz w:val="20"/>
                <w:szCs w:val="20"/>
              </w:rPr>
            </w:pPr>
            <w:r>
              <w:rPr>
                <w:spacing w:val="5"/>
                <w:sz w:val="20"/>
                <w:szCs w:val="20"/>
              </w:rPr>
              <w:t>二级单</w:t>
            </w:r>
            <w:r>
              <w:rPr>
                <w:spacing w:val="1"/>
                <w:sz w:val="20"/>
                <w:szCs w:val="20"/>
              </w:rPr>
              <w:t xml:space="preserve"> </w:t>
            </w:r>
            <w:r>
              <w:rPr>
                <w:spacing w:val="5"/>
                <w:sz w:val="20"/>
                <w:szCs w:val="20"/>
              </w:rPr>
              <w:t>项指标</w:t>
            </w:r>
          </w:p>
        </w:tc>
        <w:tc>
          <w:tcPr>
            <w:tcW w:w="574" w:type="dxa"/>
            <w:vMerge w:val="restart"/>
            <w:tcBorders>
              <w:top w:val="single" w:color="000000" w:sz="10" w:space="0"/>
              <w:bottom w:val="nil"/>
              <w:right w:val="nil"/>
            </w:tcBorders>
            <w:vAlign w:val="top"/>
          </w:tcPr>
          <w:p w14:paraId="2396CEAB">
            <w:pPr>
              <w:pStyle w:val="6"/>
              <w:spacing w:before="36" w:line="239" w:lineRule="auto"/>
              <w:ind w:left="82" w:right="78" w:firstLine="3"/>
              <w:jc w:val="both"/>
              <w:rPr>
                <w:sz w:val="20"/>
                <w:szCs w:val="20"/>
              </w:rPr>
            </w:pPr>
            <w:r>
              <w:rPr>
                <w:spacing w:val="3"/>
                <w:sz w:val="20"/>
                <w:szCs w:val="20"/>
              </w:rPr>
              <w:t>综合</w:t>
            </w:r>
            <w:r>
              <w:rPr>
                <w:sz w:val="20"/>
                <w:szCs w:val="20"/>
              </w:rPr>
              <w:t xml:space="preserve"> </w:t>
            </w:r>
            <w:r>
              <w:rPr>
                <w:spacing w:val="5"/>
                <w:sz w:val="20"/>
                <w:szCs w:val="20"/>
              </w:rPr>
              <w:t>评价</w:t>
            </w:r>
            <w:r>
              <w:rPr>
                <w:sz w:val="20"/>
                <w:szCs w:val="20"/>
              </w:rPr>
              <w:t xml:space="preserve"> </w:t>
            </w:r>
            <w:r>
              <w:rPr>
                <w:spacing w:val="5"/>
                <w:sz w:val="20"/>
                <w:szCs w:val="20"/>
              </w:rPr>
              <w:t>指数</w:t>
            </w:r>
          </w:p>
        </w:tc>
      </w:tr>
      <w:tr w14:paraId="553F04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9" w:hRule="atLeast"/>
        </w:trPr>
        <w:tc>
          <w:tcPr>
            <w:tcW w:w="717" w:type="dxa"/>
            <w:tcBorders>
              <w:left w:val="nil"/>
            </w:tcBorders>
            <w:vAlign w:val="top"/>
          </w:tcPr>
          <w:p w14:paraId="436C6F3C">
            <w:pPr>
              <w:pStyle w:val="6"/>
              <w:spacing w:before="162" w:line="228" w:lineRule="auto"/>
              <w:ind w:left="52"/>
              <w:rPr>
                <w:sz w:val="20"/>
                <w:szCs w:val="20"/>
              </w:rPr>
            </w:pPr>
            <w:r>
              <w:rPr>
                <w:spacing w:val="6"/>
                <w:sz w:val="20"/>
                <w:szCs w:val="20"/>
              </w:rPr>
              <w:t>指标项</w:t>
            </w:r>
          </w:p>
        </w:tc>
        <w:tc>
          <w:tcPr>
            <w:tcW w:w="762" w:type="dxa"/>
            <w:vAlign w:val="top"/>
          </w:tcPr>
          <w:p w14:paraId="19B1F03C">
            <w:pPr>
              <w:pStyle w:val="6"/>
              <w:spacing w:before="161" w:line="228" w:lineRule="auto"/>
              <w:ind w:left="70"/>
              <w:rPr>
                <w:sz w:val="20"/>
                <w:szCs w:val="20"/>
              </w:rPr>
            </w:pPr>
            <w:r>
              <w:rPr>
                <w:spacing w:val="7"/>
                <w:sz w:val="20"/>
                <w:szCs w:val="20"/>
              </w:rPr>
              <w:t>权重值</w:t>
            </w:r>
          </w:p>
        </w:tc>
        <w:tc>
          <w:tcPr>
            <w:tcW w:w="636" w:type="dxa"/>
            <w:vAlign w:val="top"/>
          </w:tcPr>
          <w:p w14:paraId="6F4E401A">
            <w:pPr>
              <w:pStyle w:val="6"/>
              <w:spacing w:before="161" w:line="229" w:lineRule="auto"/>
              <w:ind w:left="110"/>
              <w:rPr>
                <w:sz w:val="20"/>
                <w:szCs w:val="20"/>
              </w:rPr>
            </w:pPr>
            <w:r>
              <w:rPr>
                <w:spacing w:val="5"/>
                <w:sz w:val="20"/>
                <w:szCs w:val="20"/>
              </w:rPr>
              <w:t>序号</w:t>
            </w:r>
          </w:p>
        </w:tc>
        <w:tc>
          <w:tcPr>
            <w:tcW w:w="1965" w:type="dxa"/>
            <w:vAlign w:val="top"/>
          </w:tcPr>
          <w:p w14:paraId="0CBB45A0">
            <w:pPr>
              <w:pStyle w:val="6"/>
              <w:spacing w:before="162" w:line="228" w:lineRule="auto"/>
              <w:ind w:left="675"/>
              <w:rPr>
                <w:sz w:val="20"/>
                <w:szCs w:val="20"/>
              </w:rPr>
            </w:pPr>
            <w:r>
              <w:rPr>
                <w:spacing w:val="6"/>
                <w:sz w:val="20"/>
                <w:szCs w:val="20"/>
              </w:rPr>
              <w:t>指标项</w:t>
            </w:r>
          </w:p>
        </w:tc>
        <w:tc>
          <w:tcPr>
            <w:tcW w:w="949" w:type="dxa"/>
            <w:vAlign w:val="top"/>
          </w:tcPr>
          <w:p w14:paraId="45B24E91">
            <w:pPr>
              <w:pStyle w:val="6"/>
              <w:spacing w:before="161" w:line="228" w:lineRule="auto"/>
              <w:ind w:left="64"/>
              <w:rPr>
                <w:sz w:val="20"/>
                <w:szCs w:val="20"/>
              </w:rPr>
            </w:pPr>
            <w:r>
              <w:rPr>
                <w:spacing w:val="6"/>
                <w:sz w:val="20"/>
                <w:szCs w:val="20"/>
              </w:rPr>
              <w:t>分权重值</w:t>
            </w:r>
          </w:p>
        </w:tc>
        <w:tc>
          <w:tcPr>
            <w:tcW w:w="2156" w:type="dxa"/>
            <w:vAlign w:val="top"/>
          </w:tcPr>
          <w:p w14:paraId="1C207BFA">
            <w:pPr>
              <w:pStyle w:val="6"/>
              <w:spacing w:before="161" w:line="228" w:lineRule="auto"/>
              <w:ind w:left="285"/>
              <w:rPr>
                <w:sz w:val="20"/>
                <w:szCs w:val="20"/>
              </w:rPr>
            </w:pPr>
            <w:r>
              <w:rPr>
                <w:rFonts w:ascii="Times New Roman" w:hAnsi="Times New Roman" w:eastAsia="Times New Roman" w:cs="Times New Roman"/>
                <w:spacing w:val="5"/>
                <w:sz w:val="20"/>
                <w:szCs w:val="20"/>
              </w:rPr>
              <w:t>Ⅰ</w:t>
            </w:r>
            <w:r>
              <w:rPr>
                <w:spacing w:val="5"/>
                <w:sz w:val="20"/>
                <w:szCs w:val="20"/>
              </w:rPr>
              <w:t>级基准值（</w:t>
            </w:r>
            <w:r>
              <w:rPr>
                <w:rFonts w:ascii="Times New Roman" w:hAnsi="Times New Roman" w:eastAsia="Times New Roman" w:cs="Times New Roman"/>
                <w:spacing w:val="5"/>
                <w:sz w:val="20"/>
                <w:szCs w:val="20"/>
              </w:rPr>
              <w:t>1.0</w:t>
            </w:r>
            <w:r>
              <w:rPr>
                <w:spacing w:val="5"/>
                <w:sz w:val="20"/>
                <w:szCs w:val="20"/>
              </w:rPr>
              <w:t>）</w:t>
            </w:r>
          </w:p>
        </w:tc>
        <w:tc>
          <w:tcPr>
            <w:tcW w:w="1811" w:type="dxa"/>
            <w:vAlign w:val="top"/>
          </w:tcPr>
          <w:p w14:paraId="6D9448E2">
            <w:pPr>
              <w:pStyle w:val="6"/>
              <w:spacing w:before="161" w:line="228" w:lineRule="auto"/>
              <w:ind w:left="78"/>
              <w:rPr>
                <w:sz w:val="20"/>
                <w:szCs w:val="20"/>
              </w:rPr>
            </w:pPr>
            <w:r>
              <w:rPr>
                <w:rFonts w:ascii="Times New Roman" w:hAnsi="Times New Roman" w:eastAsia="Times New Roman" w:cs="Times New Roman"/>
                <w:spacing w:val="6"/>
                <w:sz w:val="20"/>
                <w:szCs w:val="20"/>
              </w:rPr>
              <w:t>Ⅱ</w:t>
            </w:r>
            <w:r>
              <w:rPr>
                <w:spacing w:val="6"/>
                <w:sz w:val="20"/>
                <w:szCs w:val="20"/>
              </w:rPr>
              <w:t>级基准值（</w:t>
            </w:r>
            <w:r>
              <w:rPr>
                <w:rFonts w:ascii="Times New Roman" w:hAnsi="Times New Roman" w:eastAsia="Times New Roman" w:cs="Times New Roman"/>
                <w:spacing w:val="6"/>
                <w:sz w:val="20"/>
                <w:szCs w:val="20"/>
              </w:rPr>
              <w:t>0.8</w:t>
            </w:r>
            <w:r>
              <w:rPr>
                <w:spacing w:val="6"/>
                <w:sz w:val="20"/>
                <w:szCs w:val="20"/>
              </w:rPr>
              <w:t>）</w:t>
            </w:r>
          </w:p>
        </w:tc>
        <w:tc>
          <w:tcPr>
            <w:tcW w:w="2133" w:type="dxa"/>
            <w:vAlign w:val="top"/>
          </w:tcPr>
          <w:p w14:paraId="2FC749D2">
            <w:pPr>
              <w:pStyle w:val="6"/>
              <w:spacing w:before="161" w:line="228" w:lineRule="auto"/>
              <w:ind w:left="206"/>
              <w:rPr>
                <w:sz w:val="20"/>
                <w:szCs w:val="20"/>
              </w:rPr>
            </w:pPr>
            <w:r>
              <w:rPr>
                <w:rFonts w:ascii="Times New Roman" w:hAnsi="Times New Roman" w:eastAsia="Times New Roman" w:cs="Times New Roman"/>
                <w:spacing w:val="6"/>
                <w:sz w:val="20"/>
                <w:szCs w:val="20"/>
              </w:rPr>
              <w:t>Ⅲ</w:t>
            </w:r>
            <w:r>
              <w:rPr>
                <w:spacing w:val="6"/>
                <w:sz w:val="20"/>
                <w:szCs w:val="20"/>
              </w:rPr>
              <w:t>级基准值（</w:t>
            </w:r>
            <w:r>
              <w:rPr>
                <w:rFonts w:ascii="Times New Roman" w:hAnsi="Times New Roman" w:eastAsia="Times New Roman" w:cs="Times New Roman"/>
                <w:spacing w:val="6"/>
                <w:sz w:val="20"/>
                <w:szCs w:val="20"/>
              </w:rPr>
              <w:t>0.6</w:t>
            </w:r>
            <w:r>
              <w:rPr>
                <w:spacing w:val="6"/>
                <w:sz w:val="20"/>
                <w:szCs w:val="20"/>
              </w:rPr>
              <w:t>）</w:t>
            </w:r>
          </w:p>
        </w:tc>
        <w:tc>
          <w:tcPr>
            <w:tcW w:w="1627" w:type="dxa"/>
            <w:vMerge w:val="continue"/>
            <w:tcBorders>
              <w:top w:val="nil"/>
            </w:tcBorders>
            <w:vAlign w:val="top"/>
          </w:tcPr>
          <w:p w14:paraId="4C55067C">
            <w:pPr>
              <w:rPr>
                <w:rFonts w:ascii="Arial"/>
                <w:sz w:val="21"/>
              </w:rPr>
            </w:pPr>
          </w:p>
        </w:tc>
        <w:tc>
          <w:tcPr>
            <w:tcW w:w="669" w:type="dxa"/>
            <w:vMerge w:val="continue"/>
            <w:tcBorders>
              <w:top w:val="nil"/>
            </w:tcBorders>
            <w:vAlign w:val="top"/>
          </w:tcPr>
          <w:p w14:paraId="14D5E353">
            <w:pPr>
              <w:rPr>
                <w:rFonts w:ascii="Arial"/>
                <w:sz w:val="21"/>
              </w:rPr>
            </w:pPr>
          </w:p>
        </w:tc>
        <w:tc>
          <w:tcPr>
            <w:tcW w:w="574" w:type="dxa"/>
            <w:vMerge w:val="continue"/>
            <w:tcBorders>
              <w:top w:val="nil"/>
              <w:right w:val="nil"/>
            </w:tcBorders>
            <w:vAlign w:val="top"/>
          </w:tcPr>
          <w:p w14:paraId="02E7C67E">
            <w:pPr>
              <w:rPr>
                <w:rFonts w:ascii="Arial"/>
                <w:sz w:val="21"/>
              </w:rPr>
            </w:pPr>
          </w:p>
        </w:tc>
      </w:tr>
      <w:tr w14:paraId="38EB0D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3" w:hRule="atLeast"/>
        </w:trPr>
        <w:tc>
          <w:tcPr>
            <w:tcW w:w="717" w:type="dxa"/>
            <w:vMerge w:val="restart"/>
            <w:tcBorders>
              <w:left w:val="nil"/>
              <w:bottom w:val="nil"/>
            </w:tcBorders>
            <w:vAlign w:val="top"/>
          </w:tcPr>
          <w:p w14:paraId="728B30CD">
            <w:pPr>
              <w:spacing w:line="263" w:lineRule="auto"/>
              <w:rPr>
                <w:rFonts w:ascii="Arial"/>
                <w:sz w:val="21"/>
              </w:rPr>
            </w:pPr>
          </w:p>
          <w:p w14:paraId="5F3F0F4F">
            <w:pPr>
              <w:spacing w:line="263" w:lineRule="auto"/>
              <w:rPr>
                <w:rFonts w:ascii="Arial"/>
                <w:sz w:val="21"/>
              </w:rPr>
            </w:pPr>
          </w:p>
          <w:p w14:paraId="171FB4BC">
            <w:pPr>
              <w:spacing w:line="263" w:lineRule="auto"/>
              <w:rPr>
                <w:rFonts w:ascii="Arial"/>
                <w:sz w:val="21"/>
              </w:rPr>
            </w:pPr>
          </w:p>
          <w:p w14:paraId="127D485B">
            <w:pPr>
              <w:spacing w:line="263" w:lineRule="auto"/>
              <w:rPr>
                <w:rFonts w:ascii="Arial"/>
                <w:sz w:val="21"/>
              </w:rPr>
            </w:pPr>
          </w:p>
          <w:p w14:paraId="0624D452">
            <w:pPr>
              <w:spacing w:line="264" w:lineRule="auto"/>
              <w:rPr>
                <w:rFonts w:ascii="Arial"/>
                <w:sz w:val="21"/>
              </w:rPr>
            </w:pPr>
          </w:p>
          <w:p w14:paraId="2D9AA35F">
            <w:pPr>
              <w:spacing w:line="264" w:lineRule="auto"/>
              <w:rPr>
                <w:rFonts w:ascii="Arial"/>
                <w:sz w:val="21"/>
              </w:rPr>
            </w:pPr>
          </w:p>
          <w:p w14:paraId="514E8435">
            <w:pPr>
              <w:pStyle w:val="6"/>
              <w:spacing w:before="65" w:line="229" w:lineRule="auto"/>
              <w:ind w:left="58"/>
              <w:rPr>
                <w:sz w:val="20"/>
                <w:szCs w:val="20"/>
              </w:rPr>
            </w:pPr>
            <w:r>
              <w:rPr>
                <w:spacing w:val="3"/>
                <w:sz w:val="20"/>
                <w:szCs w:val="20"/>
              </w:rPr>
              <w:t>资源与</w:t>
            </w:r>
          </w:p>
          <w:p w14:paraId="0576AD32">
            <w:pPr>
              <w:pStyle w:val="6"/>
              <w:spacing w:before="23" w:line="229" w:lineRule="auto"/>
              <w:ind w:left="57"/>
              <w:rPr>
                <w:sz w:val="20"/>
                <w:szCs w:val="20"/>
              </w:rPr>
            </w:pPr>
            <w:r>
              <w:rPr>
                <w:spacing w:val="4"/>
                <w:sz w:val="20"/>
                <w:szCs w:val="20"/>
              </w:rPr>
              <w:t>能源消</w:t>
            </w:r>
          </w:p>
          <w:p w14:paraId="76FCAF5D">
            <w:pPr>
              <w:pStyle w:val="6"/>
              <w:spacing w:before="25" w:line="228" w:lineRule="auto"/>
              <w:ind w:left="261"/>
              <w:rPr>
                <w:sz w:val="20"/>
                <w:szCs w:val="20"/>
              </w:rPr>
            </w:pPr>
            <w:r>
              <w:rPr>
                <w:sz w:val="20"/>
                <w:szCs w:val="20"/>
              </w:rPr>
              <w:t>耗</w:t>
            </w:r>
          </w:p>
        </w:tc>
        <w:tc>
          <w:tcPr>
            <w:tcW w:w="762" w:type="dxa"/>
            <w:vMerge w:val="restart"/>
            <w:tcBorders>
              <w:bottom w:val="nil"/>
            </w:tcBorders>
            <w:vAlign w:val="top"/>
          </w:tcPr>
          <w:p w14:paraId="4181CBFB">
            <w:pPr>
              <w:spacing w:line="270" w:lineRule="auto"/>
              <w:rPr>
                <w:rFonts w:ascii="Arial"/>
                <w:sz w:val="21"/>
              </w:rPr>
            </w:pPr>
          </w:p>
          <w:p w14:paraId="3AC89E74">
            <w:pPr>
              <w:spacing w:line="270" w:lineRule="auto"/>
              <w:rPr>
                <w:rFonts w:ascii="Arial"/>
                <w:sz w:val="21"/>
              </w:rPr>
            </w:pPr>
          </w:p>
          <w:p w14:paraId="7BF35FFC">
            <w:pPr>
              <w:spacing w:line="271" w:lineRule="auto"/>
              <w:rPr>
                <w:rFonts w:ascii="Arial"/>
                <w:sz w:val="21"/>
              </w:rPr>
            </w:pPr>
          </w:p>
          <w:p w14:paraId="69D84F33">
            <w:pPr>
              <w:spacing w:line="271" w:lineRule="auto"/>
              <w:rPr>
                <w:rFonts w:ascii="Arial"/>
                <w:sz w:val="21"/>
              </w:rPr>
            </w:pPr>
          </w:p>
          <w:p w14:paraId="523BF763">
            <w:pPr>
              <w:spacing w:line="271" w:lineRule="auto"/>
              <w:rPr>
                <w:rFonts w:ascii="Arial"/>
                <w:sz w:val="21"/>
              </w:rPr>
            </w:pPr>
          </w:p>
          <w:p w14:paraId="1B9EECB3">
            <w:pPr>
              <w:spacing w:line="271" w:lineRule="auto"/>
              <w:rPr>
                <w:rFonts w:ascii="Arial"/>
                <w:sz w:val="21"/>
              </w:rPr>
            </w:pPr>
          </w:p>
          <w:p w14:paraId="453E98F1">
            <w:pPr>
              <w:spacing w:line="271" w:lineRule="auto"/>
              <w:rPr>
                <w:rFonts w:ascii="Arial"/>
                <w:sz w:val="21"/>
              </w:rPr>
            </w:pPr>
          </w:p>
          <w:p w14:paraId="68C2E677">
            <w:pPr>
              <w:spacing w:before="58" w:line="195"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w:t>
            </w:r>
          </w:p>
        </w:tc>
        <w:tc>
          <w:tcPr>
            <w:tcW w:w="636" w:type="dxa"/>
            <w:vMerge w:val="restart"/>
            <w:tcBorders>
              <w:bottom w:val="nil"/>
            </w:tcBorders>
            <w:vAlign w:val="top"/>
          </w:tcPr>
          <w:p w14:paraId="44D9DCF5">
            <w:pPr>
              <w:spacing w:line="339" w:lineRule="auto"/>
              <w:rPr>
                <w:rFonts w:ascii="Arial"/>
                <w:sz w:val="21"/>
              </w:rPr>
            </w:pPr>
          </w:p>
          <w:p w14:paraId="2A3C7C17">
            <w:pPr>
              <w:spacing w:line="340" w:lineRule="auto"/>
              <w:rPr>
                <w:rFonts w:ascii="Arial"/>
                <w:sz w:val="21"/>
              </w:rPr>
            </w:pPr>
          </w:p>
          <w:p w14:paraId="69122459">
            <w:pPr>
              <w:spacing w:before="57" w:line="195" w:lineRule="auto"/>
              <w:ind w:left="28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965" w:type="dxa"/>
            <w:vMerge w:val="restart"/>
            <w:tcBorders>
              <w:bottom w:val="nil"/>
            </w:tcBorders>
            <w:vAlign w:val="top"/>
          </w:tcPr>
          <w:p w14:paraId="2D9DAA9D">
            <w:pPr>
              <w:spacing w:line="249" w:lineRule="auto"/>
              <w:rPr>
                <w:rFonts w:ascii="Arial"/>
                <w:sz w:val="21"/>
              </w:rPr>
            </w:pPr>
          </w:p>
          <w:p w14:paraId="6C60D2BD">
            <w:pPr>
              <w:spacing w:line="250" w:lineRule="auto"/>
              <w:rPr>
                <w:rFonts w:ascii="Arial"/>
                <w:sz w:val="21"/>
              </w:rPr>
            </w:pPr>
          </w:p>
          <w:p w14:paraId="185C8C6C">
            <w:pPr>
              <w:pStyle w:val="6"/>
              <w:spacing w:before="65" w:line="228" w:lineRule="auto"/>
              <w:ind w:left="171"/>
              <w:rPr>
                <w:sz w:val="20"/>
                <w:szCs w:val="20"/>
              </w:rPr>
            </w:pPr>
            <w:r>
              <w:rPr>
                <w:spacing w:val="5"/>
                <w:sz w:val="20"/>
                <w:szCs w:val="20"/>
              </w:rPr>
              <w:t>电炉自然功率因数</w:t>
            </w:r>
          </w:p>
          <w:p w14:paraId="58CFE00D">
            <w:pPr>
              <w:pStyle w:val="6"/>
              <w:spacing w:before="26" w:line="221" w:lineRule="auto"/>
              <w:ind w:left="522"/>
              <w:rPr>
                <w:sz w:val="20"/>
                <w:szCs w:val="20"/>
              </w:rPr>
            </w:pPr>
            <w:r>
              <w:rPr>
                <w:spacing w:val="5"/>
                <w:sz w:val="20"/>
                <w:szCs w:val="20"/>
              </w:rPr>
              <w:t>（</w:t>
            </w:r>
            <w:r>
              <w:rPr>
                <w:rFonts w:ascii="Times New Roman" w:hAnsi="Times New Roman" w:eastAsia="Times New Roman" w:cs="Times New Roman"/>
                <w:sz w:val="20"/>
                <w:szCs w:val="20"/>
              </w:rPr>
              <w:t>COS</w:t>
            </w:r>
            <w:r>
              <w:rPr>
                <w:rFonts w:ascii="Times New Roman" w:hAnsi="Times New Roman" w:eastAsia="Times New Roman" w:cs="Times New Roman"/>
                <w:spacing w:val="5"/>
                <w:sz w:val="20"/>
                <w:szCs w:val="20"/>
              </w:rPr>
              <w:t>φ</w:t>
            </w:r>
            <w:r>
              <w:rPr>
                <w:spacing w:val="5"/>
                <w:sz w:val="20"/>
                <w:szCs w:val="20"/>
              </w:rPr>
              <w:t>)</w:t>
            </w:r>
          </w:p>
        </w:tc>
        <w:tc>
          <w:tcPr>
            <w:tcW w:w="949" w:type="dxa"/>
            <w:vMerge w:val="restart"/>
            <w:tcBorders>
              <w:bottom w:val="nil"/>
            </w:tcBorders>
            <w:vAlign w:val="top"/>
          </w:tcPr>
          <w:p w14:paraId="0926CB85">
            <w:pPr>
              <w:spacing w:line="339" w:lineRule="auto"/>
              <w:rPr>
                <w:rFonts w:ascii="Arial"/>
                <w:sz w:val="21"/>
              </w:rPr>
            </w:pPr>
          </w:p>
          <w:p w14:paraId="308328FB">
            <w:pPr>
              <w:spacing w:line="340" w:lineRule="auto"/>
              <w:rPr>
                <w:rFonts w:ascii="Arial"/>
                <w:sz w:val="21"/>
              </w:rPr>
            </w:pPr>
          </w:p>
          <w:p w14:paraId="4B440F5D">
            <w:pPr>
              <w:spacing w:before="57"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3967" w:type="dxa"/>
            <w:gridSpan w:val="2"/>
            <w:vAlign w:val="top"/>
          </w:tcPr>
          <w:p w14:paraId="3E898936">
            <w:pPr>
              <w:pStyle w:val="6"/>
              <w:spacing w:before="150" w:line="221" w:lineRule="auto"/>
              <w:ind w:left="529"/>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t>
            </w:r>
            <w:r>
              <w:rPr>
                <w:spacing w:val="6"/>
                <w:sz w:val="20"/>
                <w:szCs w:val="20"/>
              </w:rPr>
              <w:t>电炉额定容量</w:t>
            </w:r>
            <w:r>
              <w:rPr>
                <w:spacing w:val="-34"/>
                <w:sz w:val="20"/>
                <w:szCs w:val="20"/>
              </w:rPr>
              <w:t xml:space="preserve"> </w:t>
            </w:r>
            <w:r>
              <w:rPr>
                <w:rFonts w:ascii="Times New Roman" w:hAnsi="Times New Roman" w:eastAsia="Times New Roman" w:cs="Times New Roman"/>
                <w:spacing w:val="6"/>
                <w:sz w:val="20"/>
                <w:szCs w:val="20"/>
              </w:rPr>
              <w:t xml:space="preserve">25000 </w:t>
            </w:r>
            <w:r>
              <w:rPr>
                <w:rFonts w:ascii="Times New Roman" w:hAnsi="Times New Roman" w:eastAsia="Times New Roman" w:cs="Times New Roman"/>
                <w:sz w:val="20"/>
                <w:szCs w:val="20"/>
              </w:rPr>
              <w:t>kVA</w:t>
            </w:r>
            <w:r>
              <w:rPr>
                <w:rFonts w:ascii="Times New Roman" w:hAnsi="Times New Roman" w:eastAsia="Times New Roman" w:cs="Times New Roman"/>
                <w:spacing w:val="6"/>
                <w:sz w:val="20"/>
                <w:szCs w:val="20"/>
              </w:rPr>
              <w:t>)≥0.76</w:t>
            </w:r>
          </w:p>
        </w:tc>
        <w:tc>
          <w:tcPr>
            <w:tcW w:w="2133" w:type="dxa"/>
            <w:vAlign w:val="top"/>
          </w:tcPr>
          <w:p w14:paraId="0C57086F">
            <w:pPr>
              <w:pStyle w:val="6"/>
              <w:spacing w:before="31" w:line="231" w:lineRule="auto"/>
              <w:ind w:left="345" w:right="322" w:firstLine="60"/>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w:t>
            </w:r>
            <w:r>
              <w:rPr>
                <w:spacing w:val="7"/>
                <w:sz w:val="20"/>
                <w:szCs w:val="20"/>
              </w:rPr>
              <w:t>电炉额定容量</w:t>
            </w:r>
            <w:r>
              <w:rPr>
                <w:spacing w:val="1"/>
                <w:sz w:val="20"/>
                <w:szCs w:val="20"/>
              </w:rPr>
              <w:t xml:space="preserve">  </w:t>
            </w:r>
            <w:r>
              <w:rPr>
                <w:rFonts w:ascii="Times New Roman" w:hAnsi="Times New Roman" w:eastAsia="Times New Roman" w:cs="Times New Roman"/>
                <w:spacing w:val="4"/>
                <w:sz w:val="20"/>
                <w:szCs w:val="20"/>
              </w:rPr>
              <w:t>12500</w:t>
            </w:r>
            <w:r>
              <w:rPr>
                <w:rFonts w:ascii="Times New Roman" w:hAnsi="Times New Roman" w:eastAsia="Times New Roman" w:cs="Times New Roman"/>
                <w:sz w:val="20"/>
                <w:szCs w:val="20"/>
              </w:rPr>
              <w:t>kVA</w:t>
            </w:r>
            <w:r>
              <w:rPr>
                <w:rFonts w:ascii="Times New Roman" w:hAnsi="Times New Roman" w:eastAsia="Times New Roman" w:cs="Times New Roman"/>
                <w:spacing w:val="4"/>
                <w:sz w:val="20"/>
                <w:szCs w:val="20"/>
              </w:rPr>
              <w:t>)≥0.83</w:t>
            </w:r>
          </w:p>
        </w:tc>
        <w:tc>
          <w:tcPr>
            <w:tcW w:w="1627" w:type="dxa"/>
            <w:vMerge w:val="restart"/>
            <w:tcBorders>
              <w:bottom w:val="nil"/>
            </w:tcBorders>
            <w:vAlign w:val="top"/>
          </w:tcPr>
          <w:p w14:paraId="2CE998B3">
            <w:pPr>
              <w:spacing w:line="250" w:lineRule="auto"/>
              <w:rPr>
                <w:rFonts w:ascii="Arial"/>
                <w:sz w:val="21"/>
              </w:rPr>
            </w:pPr>
          </w:p>
          <w:p w14:paraId="77689E51">
            <w:pPr>
              <w:spacing w:line="250" w:lineRule="auto"/>
              <w:rPr>
                <w:rFonts w:ascii="Arial"/>
                <w:sz w:val="21"/>
              </w:rPr>
            </w:pPr>
          </w:p>
          <w:p w14:paraId="44383584">
            <w:pPr>
              <w:pStyle w:val="6"/>
              <w:spacing w:before="65"/>
              <w:ind w:left="314" w:right="1" w:hanging="307"/>
              <w:rPr>
                <w:rFonts w:ascii="Times New Roman" w:hAnsi="Times New Roman" w:eastAsia="Times New Roman" w:cs="Times New Roman"/>
                <w:sz w:val="20"/>
                <w:szCs w:val="20"/>
              </w:rPr>
            </w:pPr>
            <w:r>
              <w:rPr>
                <w:spacing w:val="1"/>
                <w:sz w:val="20"/>
                <w:szCs w:val="20"/>
              </w:rPr>
              <w:t>低频电炉，自然功</w:t>
            </w:r>
            <w:r>
              <w:rPr>
                <w:spacing w:val="3"/>
                <w:sz w:val="20"/>
                <w:szCs w:val="20"/>
              </w:rPr>
              <w:t xml:space="preserve"> </w:t>
            </w:r>
            <w:r>
              <w:rPr>
                <w:spacing w:val="5"/>
                <w:sz w:val="20"/>
                <w:szCs w:val="20"/>
              </w:rPr>
              <w:t>率因数</w:t>
            </w:r>
            <w:r>
              <w:rPr>
                <w:rFonts w:ascii="Times New Roman" w:hAnsi="Times New Roman" w:eastAsia="Times New Roman" w:cs="Times New Roman"/>
                <w:spacing w:val="5"/>
                <w:sz w:val="20"/>
                <w:szCs w:val="20"/>
              </w:rPr>
              <w:t>≥0.9</w:t>
            </w:r>
          </w:p>
        </w:tc>
        <w:tc>
          <w:tcPr>
            <w:tcW w:w="669" w:type="dxa"/>
            <w:vMerge w:val="restart"/>
            <w:tcBorders>
              <w:bottom w:val="nil"/>
            </w:tcBorders>
            <w:vAlign w:val="top"/>
          </w:tcPr>
          <w:p w14:paraId="7BEBD975">
            <w:pPr>
              <w:spacing w:line="339" w:lineRule="auto"/>
              <w:rPr>
                <w:rFonts w:ascii="Arial"/>
                <w:sz w:val="21"/>
              </w:rPr>
            </w:pPr>
          </w:p>
          <w:p w14:paraId="48579D04">
            <w:pPr>
              <w:spacing w:line="340" w:lineRule="auto"/>
              <w:rPr>
                <w:rFonts w:ascii="Arial"/>
                <w:sz w:val="21"/>
              </w:rPr>
            </w:pPr>
          </w:p>
          <w:p w14:paraId="5F0B962C">
            <w:pPr>
              <w:spacing w:before="57" w:line="195" w:lineRule="auto"/>
              <w:ind w:left="1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574" w:type="dxa"/>
            <w:vMerge w:val="restart"/>
            <w:tcBorders>
              <w:bottom w:val="nil"/>
              <w:right w:val="nil"/>
            </w:tcBorders>
            <w:vAlign w:val="top"/>
          </w:tcPr>
          <w:p w14:paraId="7DFB4C8D">
            <w:pPr>
              <w:spacing w:line="270" w:lineRule="auto"/>
              <w:rPr>
                <w:rFonts w:ascii="Arial"/>
                <w:sz w:val="21"/>
              </w:rPr>
            </w:pPr>
          </w:p>
          <w:p w14:paraId="2A21E4C1">
            <w:pPr>
              <w:spacing w:line="270" w:lineRule="auto"/>
              <w:rPr>
                <w:rFonts w:ascii="Arial"/>
                <w:sz w:val="21"/>
              </w:rPr>
            </w:pPr>
          </w:p>
          <w:p w14:paraId="240A1486">
            <w:pPr>
              <w:spacing w:line="271" w:lineRule="auto"/>
              <w:rPr>
                <w:rFonts w:ascii="Arial"/>
                <w:sz w:val="21"/>
              </w:rPr>
            </w:pPr>
          </w:p>
          <w:p w14:paraId="342C2DAF">
            <w:pPr>
              <w:spacing w:line="271" w:lineRule="auto"/>
              <w:rPr>
                <w:rFonts w:ascii="Arial"/>
                <w:sz w:val="21"/>
              </w:rPr>
            </w:pPr>
          </w:p>
          <w:p w14:paraId="2514FBF5">
            <w:pPr>
              <w:spacing w:line="271" w:lineRule="auto"/>
              <w:rPr>
                <w:rFonts w:ascii="Arial"/>
                <w:sz w:val="21"/>
              </w:rPr>
            </w:pPr>
          </w:p>
          <w:p w14:paraId="6AE891BC">
            <w:pPr>
              <w:spacing w:line="271" w:lineRule="auto"/>
              <w:rPr>
                <w:rFonts w:ascii="Arial"/>
                <w:sz w:val="21"/>
              </w:rPr>
            </w:pPr>
          </w:p>
          <w:p w14:paraId="15697E1E">
            <w:pPr>
              <w:spacing w:line="271" w:lineRule="auto"/>
              <w:rPr>
                <w:rFonts w:ascii="Arial"/>
                <w:sz w:val="21"/>
              </w:rPr>
            </w:pPr>
          </w:p>
          <w:p w14:paraId="2B9AE36F">
            <w:pPr>
              <w:spacing w:before="58"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r>
      <w:tr w14:paraId="3D9472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17" w:type="dxa"/>
            <w:vMerge w:val="continue"/>
            <w:tcBorders>
              <w:top w:val="nil"/>
              <w:left w:val="nil"/>
              <w:bottom w:val="nil"/>
            </w:tcBorders>
            <w:vAlign w:val="top"/>
          </w:tcPr>
          <w:p w14:paraId="319698DD">
            <w:pPr>
              <w:rPr>
                <w:rFonts w:ascii="Arial"/>
                <w:sz w:val="21"/>
              </w:rPr>
            </w:pPr>
          </w:p>
        </w:tc>
        <w:tc>
          <w:tcPr>
            <w:tcW w:w="762" w:type="dxa"/>
            <w:vMerge w:val="continue"/>
            <w:tcBorders>
              <w:top w:val="nil"/>
              <w:bottom w:val="nil"/>
            </w:tcBorders>
            <w:vAlign w:val="top"/>
          </w:tcPr>
          <w:p w14:paraId="6F8CCED0">
            <w:pPr>
              <w:rPr>
                <w:rFonts w:ascii="Arial"/>
                <w:sz w:val="21"/>
              </w:rPr>
            </w:pPr>
          </w:p>
        </w:tc>
        <w:tc>
          <w:tcPr>
            <w:tcW w:w="636" w:type="dxa"/>
            <w:vMerge w:val="continue"/>
            <w:tcBorders>
              <w:top w:val="nil"/>
              <w:bottom w:val="nil"/>
            </w:tcBorders>
            <w:vAlign w:val="top"/>
          </w:tcPr>
          <w:p w14:paraId="2296E2AC">
            <w:pPr>
              <w:rPr>
                <w:rFonts w:ascii="Arial"/>
                <w:sz w:val="21"/>
              </w:rPr>
            </w:pPr>
          </w:p>
        </w:tc>
        <w:tc>
          <w:tcPr>
            <w:tcW w:w="1965" w:type="dxa"/>
            <w:vMerge w:val="continue"/>
            <w:tcBorders>
              <w:top w:val="nil"/>
              <w:bottom w:val="nil"/>
            </w:tcBorders>
            <w:vAlign w:val="top"/>
          </w:tcPr>
          <w:p w14:paraId="0176BDB8">
            <w:pPr>
              <w:rPr>
                <w:rFonts w:ascii="Arial"/>
                <w:sz w:val="21"/>
              </w:rPr>
            </w:pPr>
          </w:p>
        </w:tc>
        <w:tc>
          <w:tcPr>
            <w:tcW w:w="949" w:type="dxa"/>
            <w:vMerge w:val="continue"/>
            <w:tcBorders>
              <w:top w:val="nil"/>
              <w:bottom w:val="nil"/>
            </w:tcBorders>
            <w:vAlign w:val="top"/>
          </w:tcPr>
          <w:p w14:paraId="1D6FF872">
            <w:pPr>
              <w:rPr>
                <w:rFonts w:ascii="Arial"/>
                <w:sz w:val="21"/>
              </w:rPr>
            </w:pPr>
          </w:p>
        </w:tc>
        <w:tc>
          <w:tcPr>
            <w:tcW w:w="3967" w:type="dxa"/>
            <w:gridSpan w:val="2"/>
            <w:vAlign w:val="top"/>
          </w:tcPr>
          <w:p w14:paraId="0DD068B3">
            <w:pPr>
              <w:pStyle w:val="6"/>
              <w:spacing w:before="31" w:line="212" w:lineRule="auto"/>
              <w:ind w:left="529"/>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t>
            </w:r>
            <w:r>
              <w:rPr>
                <w:spacing w:val="6"/>
                <w:sz w:val="20"/>
                <w:szCs w:val="20"/>
              </w:rPr>
              <w:t>电炉额定容量</w:t>
            </w:r>
            <w:r>
              <w:rPr>
                <w:spacing w:val="-34"/>
                <w:sz w:val="20"/>
                <w:szCs w:val="20"/>
              </w:rPr>
              <w:t xml:space="preserve"> </w:t>
            </w:r>
            <w:r>
              <w:rPr>
                <w:rFonts w:ascii="Times New Roman" w:hAnsi="Times New Roman" w:eastAsia="Times New Roman" w:cs="Times New Roman"/>
                <w:spacing w:val="6"/>
                <w:sz w:val="20"/>
                <w:szCs w:val="20"/>
              </w:rPr>
              <w:t xml:space="preserve">33000 </w:t>
            </w:r>
            <w:r>
              <w:rPr>
                <w:rFonts w:ascii="Times New Roman" w:hAnsi="Times New Roman" w:eastAsia="Times New Roman" w:cs="Times New Roman"/>
                <w:sz w:val="20"/>
                <w:szCs w:val="20"/>
              </w:rPr>
              <w:t>kVA</w:t>
            </w:r>
            <w:r>
              <w:rPr>
                <w:rFonts w:ascii="Times New Roman" w:hAnsi="Times New Roman" w:eastAsia="Times New Roman" w:cs="Times New Roman"/>
                <w:spacing w:val="6"/>
                <w:sz w:val="20"/>
                <w:szCs w:val="20"/>
              </w:rPr>
              <w:t>)≥0.70</w:t>
            </w:r>
          </w:p>
        </w:tc>
        <w:tc>
          <w:tcPr>
            <w:tcW w:w="2133" w:type="dxa"/>
            <w:vMerge w:val="restart"/>
            <w:tcBorders>
              <w:bottom w:val="nil"/>
            </w:tcBorders>
            <w:vAlign w:val="top"/>
          </w:tcPr>
          <w:p w14:paraId="7E695469">
            <w:pPr>
              <w:spacing w:line="259" w:lineRule="auto"/>
              <w:rPr>
                <w:rFonts w:ascii="Arial"/>
                <w:sz w:val="21"/>
              </w:rPr>
            </w:pPr>
          </w:p>
          <w:p w14:paraId="7DFF6FC7">
            <w:pPr>
              <w:pStyle w:val="6"/>
              <w:spacing w:before="65" w:line="236" w:lineRule="auto"/>
              <w:ind w:left="345" w:right="322" w:firstLine="60"/>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w:t>
            </w:r>
            <w:r>
              <w:rPr>
                <w:spacing w:val="7"/>
                <w:sz w:val="20"/>
                <w:szCs w:val="20"/>
              </w:rPr>
              <w:t>电炉额定容量</w:t>
            </w:r>
            <w:r>
              <w:rPr>
                <w:spacing w:val="1"/>
                <w:sz w:val="20"/>
                <w:szCs w:val="20"/>
              </w:rPr>
              <w:t xml:space="preserve">  </w:t>
            </w:r>
            <w:r>
              <w:rPr>
                <w:rFonts w:ascii="Times New Roman" w:hAnsi="Times New Roman" w:eastAsia="Times New Roman" w:cs="Times New Roman"/>
                <w:spacing w:val="4"/>
                <w:sz w:val="20"/>
                <w:szCs w:val="20"/>
              </w:rPr>
              <w:t>16500</w:t>
            </w:r>
            <w:r>
              <w:rPr>
                <w:rFonts w:ascii="Times New Roman" w:hAnsi="Times New Roman" w:eastAsia="Times New Roman" w:cs="Times New Roman"/>
                <w:sz w:val="20"/>
                <w:szCs w:val="20"/>
              </w:rPr>
              <w:t>kVA</w:t>
            </w:r>
            <w:r>
              <w:rPr>
                <w:rFonts w:ascii="Times New Roman" w:hAnsi="Times New Roman" w:eastAsia="Times New Roman" w:cs="Times New Roman"/>
                <w:spacing w:val="4"/>
                <w:sz w:val="20"/>
                <w:szCs w:val="20"/>
              </w:rPr>
              <w:t>)≥0.80</w:t>
            </w:r>
          </w:p>
        </w:tc>
        <w:tc>
          <w:tcPr>
            <w:tcW w:w="1627" w:type="dxa"/>
            <w:vMerge w:val="continue"/>
            <w:tcBorders>
              <w:top w:val="nil"/>
              <w:bottom w:val="nil"/>
            </w:tcBorders>
            <w:vAlign w:val="top"/>
          </w:tcPr>
          <w:p w14:paraId="47DC5BF1">
            <w:pPr>
              <w:rPr>
                <w:rFonts w:ascii="Arial"/>
                <w:sz w:val="21"/>
              </w:rPr>
            </w:pPr>
          </w:p>
        </w:tc>
        <w:tc>
          <w:tcPr>
            <w:tcW w:w="669" w:type="dxa"/>
            <w:vMerge w:val="continue"/>
            <w:tcBorders>
              <w:top w:val="nil"/>
              <w:bottom w:val="nil"/>
            </w:tcBorders>
            <w:vAlign w:val="top"/>
          </w:tcPr>
          <w:p w14:paraId="13B4BD2F">
            <w:pPr>
              <w:rPr>
                <w:rFonts w:ascii="Arial"/>
                <w:sz w:val="21"/>
              </w:rPr>
            </w:pPr>
          </w:p>
        </w:tc>
        <w:tc>
          <w:tcPr>
            <w:tcW w:w="574" w:type="dxa"/>
            <w:vMerge w:val="continue"/>
            <w:tcBorders>
              <w:top w:val="nil"/>
              <w:bottom w:val="nil"/>
              <w:right w:val="nil"/>
            </w:tcBorders>
            <w:vAlign w:val="top"/>
          </w:tcPr>
          <w:p w14:paraId="4BA3BDC6">
            <w:pPr>
              <w:rPr>
                <w:rFonts w:ascii="Arial"/>
                <w:sz w:val="21"/>
              </w:rPr>
            </w:pPr>
          </w:p>
        </w:tc>
      </w:tr>
      <w:tr w14:paraId="32F4C2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717" w:type="dxa"/>
            <w:vMerge w:val="continue"/>
            <w:tcBorders>
              <w:top w:val="nil"/>
              <w:left w:val="nil"/>
              <w:bottom w:val="nil"/>
            </w:tcBorders>
            <w:vAlign w:val="top"/>
          </w:tcPr>
          <w:p w14:paraId="55B84521">
            <w:pPr>
              <w:rPr>
                <w:rFonts w:ascii="Arial"/>
                <w:sz w:val="21"/>
              </w:rPr>
            </w:pPr>
          </w:p>
        </w:tc>
        <w:tc>
          <w:tcPr>
            <w:tcW w:w="762" w:type="dxa"/>
            <w:vMerge w:val="continue"/>
            <w:tcBorders>
              <w:top w:val="nil"/>
              <w:bottom w:val="nil"/>
            </w:tcBorders>
            <w:vAlign w:val="top"/>
          </w:tcPr>
          <w:p w14:paraId="5BF686B6">
            <w:pPr>
              <w:rPr>
                <w:rFonts w:ascii="Arial"/>
                <w:sz w:val="21"/>
              </w:rPr>
            </w:pPr>
          </w:p>
        </w:tc>
        <w:tc>
          <w:tcPr>
            <w:tcW w:w="636" w:type="dxa"/>
            <w:vMerge w:val="continue"/>
            <w:tcBorders>
              <w:top w:val="nil"/>
              <w:bottom w:val="nil"/>
            </w:tcBorders>
            <w:vAlign w:val="top"/>
          </w:tcPr>
          <w:p w14:paraId="23ADFC48">
            <w:pPr>
              <w:rPr>
                <w:rFonts w:ascii="Arial"/>
                <w:sz w:val="21"/>
              </w:rPr>
            </w:pPr>
          </w:p>
        </w:tc>
        <w:tc>
          <w:tcPr>
            <w:tcW w:w="1965" w:type="dxa"/>
            <w:vMerge w:val="continue"/>
            <w:tcBorders>
              <w:top w:val="nil"/>
              <w:bottom w:val="nil"/>
            </w:tcBorders>
            <w:vAlign w:val="top"/>
          </w:tcPr>
          <w:p w14:paraId="4E3B91EE">
            <w:pPr>
              <w:rPr>
                <w:rFonts w:ascii="Arial"/>
                <w:sz w:val="21"/>
              </w:rPr>
            </w:pPr>
          </w:p>
        </w:tc>
        <w:tc>
          <w:tcPr>
            <w:tcW w:w="949" w:type="dxa"/>
            <w:vMerge w:val="continue"/>
            <w:tcBorders>
              <w:top w:val="nil"/>
              <w:bottom w:val="nil"/>
            </w:tcBorders>
            <w:vAlign w:val="top"/>
          </w:tcPr>
          <w:p w14:paraId="4E96C649">
            <w:pPr>
              <w:rPr>
                <w:rFonts w:ascii="Arial"/>
                <w:sz w:val="21"/>
              </w:rPr>
            </w:pPr>
          </w:p>
        </w:tc>
        <w:tc>
          <w:tcPr>
            <w:tcW w:w="3967" w:type="dxa"/>
            <w:gridSpan w:val="2"/>
            <w:vAlign w:val="top"/>
          </w:tcPr>
          <w:p w14:paraId="2BE4E7C3">
            <w:pPr>
              <w:pStyle w:val="6"/>
              <w:spacing w:before="33" w:line="211" w:lineRule="auto"/>
              <w:ind w:left="529"/>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t>
            </w:r>
            <w:r>
              <w:rPr>
                <w:spacing w:val="6"/>
                <w:sz w:val="20"/>
                <w:szCs w:val="20"/>
              </w:rPr>
              <w:t>电炉额定容量</w:t>
            </w:r>
            <w:r>
              <w:rPr>
                <w:spacing w:val="-34"/>
                <w:sz w:val="20"/>
                <w:szCs w:val="20"/>
              </w:rPr>
              <w:t xml:space="preserve"> </w:t>
            </w:r>
            <w:r>
              <w:rPr>
                <w:rFonts w:ascii="Times New Roman" w:hAnsi="Times New Roman" w:eastAsia="Times New Roman" w:cs="Times New Roman"/>
                <w:spacing w:val="6"/>
                <w:sz w:val="20"/>
                <w:szCs w:val="20"/>
              </w:rPr>
              <w:t xml:space="preserve">50000 </w:t>
            </w:r>
            <w:r>
              <w:rPr>
                <w:rFonts w:ascii="Times New Roman" w:hAnsi="Times New Roman" w:eastAsia="Times New Roman" w:cs="Times New Roman"/>
                <w:sz w:val="20"/>
                <w:szCs w:val="20"/>
              </w:rPr>
              <w:t>kVA</w:t>
            </w:r>
            <w:r>
              <w:rPr>
                <w:rFonts w:ascii="Times New Roman" w:hAnsi="Times New Roman" w:eastAsia="Times New Roman" w:cs="Times New Roman"/>
                <w:spacing w:val="6"/>
                <w:sz w:val="20"/>
                <w:szCs w:val="20"/>
              </w:rPr>
              <w:t>)≥0.62</w:t>
            </w:r>
          </w:p>
        </w:tc>
        <w:tc>
          <w:tcPr>
            <w:tcW w:w="2133" w:type="dxa"/>
            <w:vMerge w:val="continue"/>
            <w:tcBorders>
              <w:top w:val="nil"/>
              <w:bottom w:val="nil"/>
            </w:tcBorders>
            <w:vAlign w:val="top"/>
          </w:tcPr>
          <w:p w14:paraId="76BA9934">
            <w:pPr>
              <w:rPr>
                <w:rFonts w:ascii="Arial"/>
                <w:sz w:val="21"/>
              </w:rPr>
            </w:pPr>
          </w:p>
        </w:tc>
        <w:tc>
          <w:tcPr>
            <w:tcW w:w="1627" w:type="dxa"/>
            <w:vMerge w:val="continue"/>
            <w:tcBorders>
              <w:top w:val="nil"/>
              <w:bottom w:val="nil"/>
            </w:tcBorders>
            <w:vAlign w:val="top"/>
          </w:tcPr>
          <w:p w14:paraId="46923D74">
            <w:pPr>
              <w:rPr>
                <w:rFonts w:ascii="Arial"/>
                <w:sz w:val="21"/>
              </w:rPr>
            </w:pPr>
          </w:p>
        </w:tc>
        <w:tc>
          <w:tcPr>
            <w:tcW w:w="669" w:type="dxa"/>
            <w:vMerge w:val="continue"/>
            <w:tcBorders>
              <w:top w:val="nil"/>
              <w:bottom w:val="nil"/>
            </w:tcBorders>
            <w:vAlign w:val="top"/>
          </w:tcPr>
          <w:p w14:paraId="366B4F80">
            <w:pPr>
              <w:rPr>
                <w:rFonts w:ascii="Arial"/>
                <w:sz w:val="21"/>
              </w:rPr>
            </w:pPr>
          </w:p>
        </w:tc>
        <w:tc>
          <w:tcPr>
            <w:tcW w:w="574" w:type="dxa"/>
            <w:vMerge w:val="continue"/>
            <w:tcBorders>
              <w:top w:val="nil"/>
              <w:bottom w:val="nil"/>
              <w:right w:val="nil"/>
            </w:tcBorders>
            <w:vAlign w:val="top"/>
          </w:tcPr>
          <w:p w14:paraId="0236BBB9">
            <w:pPr>
              <w:rPr>
                <w:rFonts w:ascii="Arial"/>
                <w:sz w:val="21"/>
              </w:rPr>
            </w:pPr>
          </w:p>
        </w:tc>
      </w:tr>
      <w:tr w14:paraId="14F3A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17" w:type="dxa"/>
            <w:vMerge w:val="continue"/>
            <w:tcBorders>
              <w:top w:val="nil"/>
              <w:left w:val="nil"/>
              <w:bottom w:val="nil"/>
            </w:tcBorders>
            <w:vAlign w:val="top"/>
          </w:tcPr>
          <w:p w14:paraId="48F9AC81">
            <w:pPr>
              <w:rPr>
                <w:rFonts w:ascii="Arial"/>
                <w:sz w:val="21"/>
              </w:rPr>
            </w:pPr>
          </w:p>
        </w:tc>
        <w:tc>
          <w:tcPr>
            <w:tcW w:w="762" w:type="dxa"/>
            <w:vMerge w:val="continue"/>
            <w:tcBorders>
              <w:top w:val="nil"/>
              <w:bottom w:val="nil"/>
            </w:tcBorders>
            <w:vAlign w:val="top"/>
          </w:tcPr>
          <w:p w14:paraId="598560DA">
            <w:pPr>
              <w:rPr>
                <w:rFonts w:ascii="Arial"/>
                <w:sz w:val="21"/>
              </w:rPr>
            </w:pPr>
          </w:p>
        </w:tc>
        <w:tc>
          <w:tcPr>
            <w:tcW w:w="636" w:type="dxa"/>
            <w:vMerge w:val="continue"/>
            <w:tcBorders>
              <w:top w:val="nil"/>
              <w:bottom w:val="nil"/>
            </w:tcBorders>
            <w:vAlign w:val="top"/>
          </w:tcPr>
          <w:p w14:paraId="358D62AB">
            <w:pPr>
              <w:rPr>
                <w:rFonts w:ascii="Arial"/>
                <w:sz w:val="21"/>
              </w:rPr>
            </w:pPr>
          </w:p>
        </w:tc>
        <w:tc>
          <w:tcPr>
            <w:tcW w:w="1965" w:type="dxa"/>
            <w:vMerge w:val="continue"/>
            <w:tcBorders>
              <w:top w:val="nil"/>
              <w:bottom w:val="nil"/>
            </w:tcBorders>
            <w:vAlign w:val="top"/>
          </w:tcPr>
          <w:p w14:paraId="0D60B9D1">
            <w:pPr>
              <w:rPr>
                <w:rFonts w:ascii="Arial"/>
                <w:sz w:val="21"/>
              </w:rPr>
            </w:pPr>
          </w:p>
        </w:tc>
        <w:tc>
          <w:tcPr>
            <w:tcW w:w="949" w:type="dxa"/>
            <w:vMerge w:val="continue"/>
            <w:tcBorders>
              <w:top w:val="nil"/>
              <w:bottom w:val="nil"/>
            </w:tcBorders>
            <w:vAlign w:val="top"/>
          </w:tcPr>
          <w:p w14:paraId="319F9179">
            <w:pPr>
              <w:rPr>
                <w:rFonts w:ascii="Arial"/>
                <w:sz w:val="21"/>
              </w:rPr>
            </w:pPr>
          </w:p>
        </w:tc>
        <w:tc>
          <w:tcPr>
            <w:tcW w:w="3967" w:type="dxa"/>
            <w:gridSpan w:val="2"/>
            <w:vAlign w:val="top"/>
          </w:tcPr>
          <w:p w14:paraId="372E1812">
            <w:pPr>
              <w:pStyle w:val="6"/>
              <w:spacing w:before="32" w:line="211" w:lineRule="auto"/>
              <w:ind w:left="529"/>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t>
            </w:r>
            <w:r>
              <w:rPr>
                <w:spacing w:val="6"/>
                <w:sz w:val="20"/>
                <w:szCs w:val="20"/>
              </w:rPr>
              <w:t>电炉额定容量</w:t>
            </w:r>
            <w:r>
              <w:rPr>
                <w:spacing w:val="-34"/>
                <w:sz w:val="20"/>
                <w:szCs w:val="20"/>
              </w:rPr>
              <w:t xml:space="preserve"> </w:t>
            </w:r>
            <w:r>
              <w:rPr>
                <w:rFonts w:ascii="Times New Roman" w:hAnsi="Times New Roman" w:eastAsia="Times New Roman" w:cs="Times New Roman"/>
                <w:spacing w:val="6"/>
                <w:sz w:val="20"/>
                <w:szCs w:val="20"/>
              </w:rPr>
              <w:t xml:space="preserve">66000 </w:t>
            </w:r>
            <w:r>
              <w:rPr>
                <w:rFonts w:ascii="Times New Roman" w:hAnsi="Times New Roman" w:eastAsia="Times New Roman" w:cs="Times New Roman"/>
                <w:sz w:val="20"/>
                <w:szCs w:val="20"/>
              </w:rPr>
              <w:t>kVA</w:t>
            </w:r>
            <w:r>
              <w:rPr>
                <w:rFonts w:ascii="Times New Roman" w:hAnsi="Times New Roman" w:eastAsia="Times New Roman" w:cs="Times New Roman"/>
                <w:spacing w:val="6"/>
                <w:sz w:val="20"/>
                <w:szCs w:val="20"/>
              </w:rPr>
              <w:t>)≥0.58</w:t>
            </w:r>
          </w:p>
        </w:tc>
        <w:tc>
          <w:tcPr>
            <w:tcW w:w="2133" w:type="dxa"/>
            <w:vMerge w:val="continue"/>
            <w:tcBorders>
              <w:top w:val="nil"/>
              <w:bottom w:val="nil"/>
            </w:tcBorders>
            <w:vAlign w:val="top"/>
          </w:tcPr>
          <w:p w14:paraId="68739346">
            <w:pPr>
              <w:rPr>
                <w:rFonts w:ascii="Arial"/>
                <w:sz w:val="21"/>
              </w:rPr>
            </w:pPr>
          </w:p>
        </w:tc>
        <w:tc>
          <w:tcPr>
            <w:tcW w:w="1627" w:type="dxa"/>
            <w:vMerge w:val="continue"/>
            <w:tcBorders>
              <w:top w:val="nil"/>
              <w:bottom w:val="nil"/>
            </w:tcBorders>
            <w:vAlign w:val="top"/>
          </w:tcPr>
          <w:p w14:paraId="19EB4154">
            <w:pPr>
              <w:rPr>
                <w:rFonts w:ascii="Arial"/>
                <w:sz w:val="21"/>
              </w:rPr>
            </w:pPr>
          </w:p>
        </w:tc>
        <w:tc>
          <w:tcPr>
            <w:tcW w:w="669" w:type="dxa"/>
            <w:vMerge w:val="continue"/>
            <w:tcBorders>
              <w:top w:val="nil"/>
              <w:bottom w:val="nil"/>
            </w:tcBorders>
            <w:vAlign w:val="top"/>
          </w:tcPr>
          <w:p w14:paraId="7907B28E">
            <w:pPr>
              <w:rPr>
                <w:rFonts w:ascii="Arial"/>
                <w:sz w:val="21"/>
              </w:rPr>
            </w:pPr>
          </w:p>
        </w:tc>
        <w:tc>
          <w:tcPr>
            <w:tcW w:w="574" w:type="dxa"/>
            <w:vMerge w:val="continue"/>
            <w:tcBorders>
              <w:top w:val="nil"/>
              <w:bottom w:val="nil"/>
              <w:right w:val="nil"/>
            </w:tcBorders>
            <w:vAlign w:val="top"/>
          </w:tcPr>
          <w:p w14:paraId="445528B1">
            <w:pPr>
              <w:rPr>
                <w:rFonts w:ascii="Arial"/>
                <w:sz w:val="21"/>
              </w:rPr>
            </w:pPr>
          </w:p>
        </w:tc>
      </w:tr>
      <w:tr w14:paraId="3C9416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17" w:type="dxa"/>
            <w:vMerge w:val="continue"/>
            <w:tcBorders>
              <w:top w:val="nil"/>
              <w:left w:val="nil"/>
              <w:bottom w:val="nil"/>
            </w:tcBorders>
            <w:vAlign w:val="top"/>
          </w:tcPr>
          <w:p w14:paraId="11E0BBBA">
            <w:pPr>
              <w:rPr>
                <w:rFonts w:ascii="Arial"/>
                <w:sz w:val="21"/>
              </w:rPr>
            </w:pPr>
          </w:p>
        </w:tc>
        <w:tc>
          <w:tcPr>
            <w:tcW w:w="762" w:type="dxa"/>
            <w:vMerge w:val="continue"/>
            <w:tcBorders>
              <w:top w:val="nil"/>
              <w:bottom w:val="nil"/>
            </w:tcBorders>
            <w:vAlign w:val="top"/>
          </w:tcPr>
          <w:p w14:paraId="3F31DD17">
            <w:pPr>
              <w:rPr>
                <w:rFonts w:ascii="Arial"/>
                <w:sz w:val="21"/>
              </w:rPr>
            </w:pPr>
          </w:p>
        </w:tc>
        <w:tc>
          <w:tcPr>
            <w:tcW w:w="636" w:type="dxa"/>
            <w:vMerge w:val="continue"/>
            <w:tcBorders>
              <w:top w:val="nil"/>
            </w:tcBorders>
            <w:vAlign w:val="top"/>
          </w:tcPr>
          <w:p w14:paraId="7E77698F">
            <w:pPr>
              <w:rPr>
                <w:rFonts w:ascii="Arial"/>
                <w:sz w:val="21"/>
              </w:rPr>
            </w:pPr>
          </w:p>
        </w:tc>
        <w:tc>
          <w:tcPr>
            <w:tcW w:w="1965" w:type="dxa"/>
            <w:vMerge w:val="continue"/>
            <w:tcBorders>
              <w:top w:val="nil"/>
            </w:tcBorders>
            <w:vAlign w:val="top"/>
          </w:tcPr>
          <w:p w14:paraId="7070C2C2">
            <w:pPr>
              <w:rPr>
                <w:rFonts w:ascii="Arial"/>
                <w:sz w:val="21"/>
              </w:rPr>
            </w:pPr>
          </w:p>
        </w:tc>
        <w:tc>
          <w:tcPr>
            <w:tcW w:w="949" w:type="dxa"/>
            <w:vMerge w:val="continue"/>
            <w:tcBorders>
              <w:top w:val="nil"/>
            </w:tcBorders>
            <w:vAlign w:val="top"/>
          </w:tcPr>
          <w:p w14:paraId="6174AAEF">
            <w:pPr>
              <w:rPr>
                <w:rFonts w:ascii="Arial"/>
                <w:sz w:val="21"/>
              </w:rPr>
            </w:pPr>
          </w:p>
        </w:tc>
        <w:tc>
          <w:tcPr>
            <w:tcW w:w="3967" w:type="dxa"/>
            <w:gridSpan w:val="2"/>
            <w:vAlign w:val="top"/>
          </w:tcPr>
          <w:p w14:paraId="7C863415">
            <w:pPr>
              <w:pStyle w:val="6"/>
              <w:spacing w:before="32" w:line="211" w:lineRule="auto"/>
              <w:ind w:left="529"/>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t>
            </w:r>
            <w:r>
              <w:rPr>
                <w:spacing w:val="6"/>
                <w:sz w:val="20"/>
                <w:szCs w:val="20"/>
              </w:rPr>
              <w:t>电炉额定容量</w:t>
            </w:r>
            <w:r>
              <w:rPr>
                <w:spacing w:val="-34"/>
                <w:sz w:val="20"/>
                <w:szCs w:val="20"/>
              </w:rPr>
              <w:t xml:space="preserve"> </w:t>
            </w:r>
            <w:r>
              <w:rPr>
                <w:rFonts w:ascii="Times New Roman" w:hAnsi="Times New Roman" w:eastAsia="Times New Roman" w:cs="Times New Roman"/>
                <w:spacing w:val="6"/>
                <w:sz w:val="20"/>
                <w:szCs w:val="20"/>
              </w:rPr>
              <w:t xml:space="preserve">75000 </w:t>
            </w:r>
            <w:r>
              <w:rPr>
                <w:rFonts w:ascii="Times New Roman" w:hAnsi="Times New Roman" w:eastAsia="Times New Roman" w:cs="Times New Roman"/>
                <w:sz w:val="20"/>
                <w:szCs w:val="20"/>
              </w:rPr>
              <w:t>kVA</w:t>
            </w:r>
            <w:r>
              <w:rPr>
                <w:rFonts w:ascii="Times New Roman" w:hAnsi="Times New Roman" w:eastAsia="Times New Roman" w:cs="Times New Roman"/>
                <w:spacing w:val="6"/>
                <w:sz w:val="20"/>
                <w:szCs w:val="20"/>
              </w:rPr>
              <w:t>)≥0.55</w:t>
            </w:r>
          </w:p>
        </w:tc>
        <w:tc>
          <w:tcPr>
            <w:tcW w:w="2133" w:type="dxa"/>
            <w:vMerge w:val="continue"/>
            <w:tcBorders>
              <w:top w:val="nil"/>
            </w:tcBorders>
            <w:vAlign w:val="top"/>
          </w:tcPr>
          <w:p w14:paraId="46A69B68">
            <w:pPr>
              <w:rPr>
                <w:rFonts w:ascii="Arial"/>
                <w:sz w:val="21"/>
              </w:rPr>
            </w:pPr>
          </w:p>
        </w:tc>
        <w:tc>
          <w:tcPr>
            <w:tcW w:w="1627" w:type="dxa"/>
            <w:vMerge w:val="continue"/>
            <w:tcBorders>
              <w:top w:val="nil"/>
            </w:tcBorders>
            <w:vAlign w:val="top"/>
          </w:tcPr>
          <w:p w14:paraId="2FF7204D">
            <w:pPr>
              <w:rPr>
                <w:rFonts w:ascii="Arial"/>
                <w:sz w:val="21"/>
              </w:rPr>
            </w:pPr>
          </w:p>
        </w:tc>
        <w:tc>
          <w:tcPr>
            <w:tcW w:w="669" w:type="dxa"/>
            <w:vMerge w:val="continue"/>
            <w:tcBorders>
              <w:top w:val="nil"/>
            </w:tcBorders>
            <w:vAlign w:val="top"/>
          </w:tcPr>
          <w:p w14:paraId="1A4A2507">
            <w:pPr>
              <w:rPr>
                <w:rFonts w:ascii="Arial"/>
                <w:sz w:val="21"/>
              </w:rPr>
            </w:pPr>
          </w:p>
        </w:tc>
        <w:tc>
          <w:tcPr>
            <w:tcW w:w="574" w:type="dxa"/>
            <w:vMerge w:val="continue"/>
            <w:tcBorders>
              <w:top w:val="nil"/>
              <w:bottom w:val="nil"/>
              <w:right w:val="nil"/>
            </w:tcBorders>
            <w:vAlign w:val="top"/>
          </w:tcPr>
          <w:p w14:paraId="287BF1D8">
            <w:pPr>
              <w:rPr>
                <w:rFonts w:ascii="Arial"/>
                <w:sz w:val="21"/>
              </w:rPr>
            </w:pPr>
          </w:p>
        </w:tc>
      </w:tr>
      <w:tr w14:paraId="361F57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717" w:type="dxa"/>
            <w:vMerge w:val="continue"/>
            <w:tcBorders>
              <w:top w:val="nil"/>
              <w:left w:val="nil"/>
              <w:bottom w:val="nil"/>
            </w:tcBorders>
            <w:vAlign w:val="top"/>
          </w:tcPr>
          <w:p w14:paraId="4386A2E1">
            <w:pPr>
              <w:rPr>
                <w:rFonts w:ascii="Arial"/>
                <w:sz w:val="21"/>
              </w:rPr>
            </w:pPr>
          </w:p>
        </w:tc>
        <w:tc>
          <w:tcPr>
            <w:tcW w:w="762" w:type="dxa"/>
            <w:vMerge w:val="continue"/>
            <w:tcBorders>
              <w:top w:val="nil"/>
              <w:bottom w:val="nil"/>
            </w:tcBorders>
            <w:vAlign w:val="top"/>
          </w:tcPr>
          <w:p w14:paraId="58407D32">
            <w:pPr>
              <w:rPr>
                <w:rFonts w:ascii="Arial"/>
                <w:sz w:val="21"/>
              </w:rPr>
            </w:pPr>
          </w:p>
        </w:tc>
        <w:tc>
          <w:tcPr>
            <w:tcW w:w="636" w:type="dxa"/>
            <w:vAlign w:val="top"/>
          </w:tcPr>
          <w:p w14:paraId="057EE847">
            <w:pPr>
              <w:spacing w:before="70" w:line="195" w:lineRule="auto"/>
              <w:ind w:left="266"/>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965" w:type="dxa"/>
            <w:vAlign w:val="top"/>
          </w:tcPr>
          <w:p w14:paraId="0ABAE01A">
            <w:pPr>
              <w:pStyle w:val="6"/>
              <w:spacing w:before="34" w:line="210" w:lineRule="auto"/>
              <w:ind w:left="166"/>
              <w:rPr>
                <w:rFonts w:ascii="Times New Roman" w:hAnsi="Times New Roman" w:eastAsia="Times New Roman" w:cs="Times New Roman"/>
                <w:sz w:val="20"/>
                <w:szCs w:val="20"/>
              </w:rPr>
            </w:pPr>
            <w:r>
              <w:rPr>
                <w:spacing w:val="8"/>
                <w:sz w:val="20"/>
                <w:szCs w:val="20"/>
              </w:rPr>
              <w:t>锰矿入炉品位，</w:t>
            </w:r>
            <w:r>
              <w:rPr>
                <w:rFonts w:ascii="Times New Roman" w:hAnsi="Times New Roman" w:eastAsia="Times New Roman" w:cs="Times New Roman"/>
                <w:spacing w:val="8"/>
                <w:sz w:val="20"/>
                <w:szCs w:val="20"/>
              </w:rPr>
              <w:t>%</w:t>
            </w:r>
          </w:p>
        </w:tc>
        <w:tc>
          <w:tcPr>
            <w:tcW w:w="949" w:type="dxa"/>
            <w:vAlign w:val="top"/>
          </w:tcPr>
          <w:p w14:paraId="351E6F73">
            <w:pPr>
              <w:spacing w:before="70"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0.16</w:t>
            </w:r>
          </w:p>
        </w:tc>
        <w:tc>
          <w:tcPr>
            <w:tcW w:w="6100" w:type="dxa"/>
            <w:gridSpan w:val="3"/>
            <w:vAlign w:val="top"/>
          </w:tcPr>
          <w:p w14:paraId="2802092D">
            <w:pPr>
              <w:pStyle w:val="6"/>
              <w:spacing w:before="34" w:line="210" w:lineRule="auto"/>
              <w:ind w:left="2506"/>
              <w:rPr>
                <w:rFonts w:ascii="Times New Roman" w:hAnsi="Times New Roman" w:eastAsia="Times New Roman" w:cs="Times New Roman"/>
                <w:sz w:val="20"/>
                <w:szCs w:val="20"/>
              </w:rPr>
            </w:pPr>
            <w:r>
              <w:rPr>
                <w:rFonts w:ascii="Times New Roman" w:hAnsi="Times New Roman" w:eastAsia="Times New Roman" w:cs="Times New Roman"/>
                <w:sz w:val="20"/>
                <w:szCs w:val="20"/>
              </w:rPr>
              <w:t>Mn</w:t>
            </w:r>
            <w:r>
              <w:rPr>
                <w:rFonts w:ascii="Times New Roman" w:hAnsi="Times New Roman" w:eastAsia="Times New Roman" w:cs="Times New Roman"/>
                <w:spacing w:val="12"/>
                <w:sz w:val="20"/>
                <w:szCs w:val="20"/>
              </w:rPr>
              <w:t xml:space="preserve"> </w:t>
            </w:r>
            <w:r>
              <w:rPr>
                <w:spacing w:val="7"/>
                <w:sz w:val="20"/>
                <w:szCs w:val="20"/>
              </w:rPr>
              <w:t>含量</w:t>
            </w:r>
            <w:r>
              <w:rPr>
                <w:rFonts w:ascii="Times New Roman" w:hAnsi="Times New Roman" w:eastAsia="Times New Roman" w:cs="Times New Roman"/>
                <w:spacing w:val="7"/>
                <w:sz w:val="20"/>
                <w:szCs w:val="20"/>
              </w:rPr>
              <w:t>≥34</w:t>
            </w:r>
          </w:p>
        </w:tc>
        <w:tc>
          <w:tcPr>
            <w:tcW w:w="1627" w:type="dxa"/>
            <w:vAlign w:val="top"/>
          </w:tcPr>
          <w:p w14:paraId="1BA6DAD7">
            <w:pPr>
              <w:spacing w:before="70" w:line="195" w:lineRule="auto"/>
              <w:ind w:left="6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38.6</w:t>
            </w:r>
          </w:p>
        </w:tc>
        <w:tc>
          <w:tcPr>
            <w:tcW w:w="669" w:type="dxa"/>
            <w:vAlign w:val="top"/>
          </w:tcPr>
          <w:p w14:paraId="4EE463A4">
            <w:pPr>
              <w:spacing w:before="70" w:line="195" w:lineRule="auto"/>
              <w:ind w:left="1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16.0</w:t>
            </w:r>
          </w:p>
        </w:tc>
        <w:tc>
          <w:tcPr>
            <w:tcW w:w="574" w:type="dxa"/>
            <w:vMerge w:val="continue"/>
            <w:tcBorders>
              <w:top w:val="nil"/>
              <w:bottom w:val="nil"/>
              <w:right w:val="nil"/>
            </w:tcBorders>
            <w:vAlign w:val="top"/>
          </w:tcPr>
          <w:p w14:paraId="7DA76F42">
            <w:pPr>
              <w:rPr>
                <w:rFonts w:ascii="Arial"/>
                <w:sz w:val="21"/>
              </w:rPr>
            </w:pPr>
          </w:p>
        </w:tc>
      </w:tr>
      <w:tr w14:paraId="448BBE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717" w:type="dxa"/>
            <w:vMerge w:val="continue"/>
            <w:tcBorders>
              <w:top w:val="nil"/>
              <w:left w:val="nil"/>
              <w:bottom w:val="nil"/>
            </w:tcBorders>
            <w:vAlign w:val="top"/>
          </w:tcPr>
          <w:p w14:paraId="7E479455">
            <w:pPr>
              <w:rPr>
                <w:rFonts w:ascii="Arial"/>
                <w:sz w:val="21"/>
              </w:rPr>
            </w:pPr>
          </w:p>
        </w:tc>
        <w:tc>
          <w:tcPr>
            <w:tcW w:w="762" w:type="dxa"/>
            <w:vMerge w:val="continue"/>
            <w:tcBorders>
              <w:top w:val="nil"/>
              <w:bottom w:val="nil"/>
            </w:tcBorders>
            <w:vAlign w:val="top"/>
          </w:tcPr>
          <w:p w14:paraId="49B8F0F9">
            <w:pPr>
              <w:rPr>
                <w:rFonts w:ascii="Arial"/>
                <w:sz w:val="21"/>
              </w:rPr>
            </w:pPr>
          </w:p>
        </w:tc>
        <w:tc>
          <w:tcPr>
            <w:tcW w:w="636" w:type="dxa"/>
            <w:vAlign w:val="top"/>
          </w:tcPr>
          <w:p w14:paraId="56B2460A">
            <w:pPr>
              <w:spacing w:before="206" w:line="195" w:lineRule="auto"/>
              <w:ind w:left="270"/>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965" w:type="dxa"/>
            <w:vAlign w:val="top"/>
          </w:tcPr>
          <w:p w14:paraId="1DFEE5B7">
            <w:pPr>
              <w:pStyle w:val="6"/>
              <w:spacing w:before="36" w:line="229" w:lineRule="auto"/>
              <w:ind w:left="690" w:right="102" w:hanging="584"/>
              <w:rPr>
                <w:rFonts w:ascii="Times New Roman" w:hAnsi="Times New Roman" w:eastAsia="Times New Roman" w:cs="Times New Roman"/>
                <w:sz w:val="20"/>
                <w:szCs w:val="20"/>
              </w:rPr>
            </w:pPr>
            <w:r>
              <w:rPr>
                <w:spacing w:val="10"/>
                <w:sz w:val="20"/>
                <w:szCs w:val="20"/>
              </w:rPr>
              <w:t>锰（</w:t>
            </w:r>
            <w:r>
              <w:rPr>
                <w:rFonts w:ascii="Times New Roman" w:hAnsi="Times New Roman" w:eastAsia="Times New Roman" w:cs="Times New Roman"/>
                <w:sz w:val="20"/>
                <w:szCs w:val="20"/>
              </w:rPr>
              <w:t>Mn</w:t>
            </w:r>
            <w:r>
              <w:rPr>
                <w:spacing w:val="10"/>
                <w:sz w:val="20"/>
                <w:szCs w:val="20"/>
              </w:rPr>
              <w:t>）元素回收</w:t>
            </w:r>
            <w:r>
              <w:rPr>
                <w:spacing w:val="2"/>
                <w:sz w:val="20"/>
                <w:szCs w:val="20"/>
              </w:rPr>
              <w:t xml:space="preserve"> </w:t>
            </w:r>
            <w:r>
              <w:rPr>
                <w:spacing w:val="5"/>
                <w:sz w:val="20"/>
                <w:szCs w:val="20"/>
              </w:rPr>
              <w:t>率，</w:t>
            </w:r>
            <w:r>
              <w:rPr>
                <w:rFonts w:ascii="Times New Roman" w:hAnsi="Times New Roman" w:eastAsia="Times New Roman" w:cs="Times New Roman"/>
                <w:spacing w:val="5"/>
                <w:sz w:val="20"/>
                <w:szCs w:val="20"/>
              </w:rPr>
              <w:t>%</w:t>
            </w:r>
          </w:p>
        </w:tc>
        <w:tc>
          <w:tcPr>
            <w:tcW w:w="949" w:type="dxa"/>
            <w:vAlign w:val="top"/>
          </w:tcPr>
          <w:p w14:paraId="6879FABD">
            <w:pPr>
              <w:spacing w:before="206"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0.20</w:t>
            </w:r>
          </w:p>
        </w:tc>
        <w:tc>
          <w:tcPr>
            <w:tcW w:w="6100" w:type="dxa"/>
            <w:gridSpan w:val="3"/>
            <w:vAlign w:val="top"/>
          </w:tcPr>
          <w:p w14:paraId="715FD30A">
            <w:pPr>
              <w:spacing w:before="207" w:line="195" w:lineRule="auto"/>
              <w:ind w:left="288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≥82</w:t>
            </w:r>
          </w:p>
        </w:tc>
        <w:tc>
          <w:tcPr>
            <w:tcW w:w="1627" w:type="dxa"/>
            <w:vAlign w:val="top"/>
          </w:tcPr>
          <w:p w14:paraId="19054A49">
            <w:pPr>
              <w:spacing w:before="206" w:line="195" w:lineRule="auto"/>
              <w:ind w:left="714"/>
              <w:rPr>
                <w:rFonts w:ascii="Times New Roman" w:hAnsi="Times New Roman" w:eastAsia="Times New Roman" w:cs="Times New Roman"/>
                <w:sz w:val="20"/>
                <w:szCs w:val="20"/>
              </w:rPr>
            </w:pPr>
            <w:r>
              <w:rPr>
                <w:rFonts w:ascii="Times New Roman" w:hAnsi="Times New Roman" w:eastAsia="Times New Roman" w:cs="Times New Roman"/>
                <w:sz w:val="20"/>
                <w:szCs w:val="20"/>
              </w:rPr>
              <w:t>90</w:t>
            </w:r>
          </w:p>
        </w:tc>
        <w:tc>
          <w:tcPr>
            <w:tcW w:w="669" w:type="dxa"/>
            <w:vAlign w:val="top"/>
          </w:tcPr>
          <w:p w14:paraId="4938B1D2">
            <w:pPr>
              <w:spacing w:before="206" w:line="195" w:lineRule="auto"/>
              <w:ind w:left="15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574" w:type="dxa"/>
            <w:vMerge w:val="continue"/>
            <w:tcBorders>
              <w:top w:val="nil"/>
              <w:bottom w:val="nil"/>
              <w:right w:val="nil"/>
            </w:tcBorders>
            <w:vAlign w:val="top"/>
          </w:tcPr>
          <w:p w14:paraId="56D6552E">
            <w:pPr>
              <w:rPr>
                <w:rFonts w:ascii="Arial"/>
                <w:sz w:val="21"/>
              </w:rPr>
            </w:pPr>
          </w:p>
        </w:tc>
      </w:tr>
      <w:tr w14:paraId="6432DE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3" w:hRule="atLeast"/>
        </w:trPr>
        <w:tc>
          <w:tcPr>
            <w:tcW w:w="717" w:type="dxa"/>
            <w:vMerge w:val="continue"/>
            <w:tcBorders>
              <w:top w:val="nil"/>
              <w:left w:val="nil"/>
              <w:bottom w:val="nil"/>
            </w:tcBorders>
            <w:vAlign w:val="top"/>
          </w:tcPr>
          <w:p w14:paraId="454E200B">
            <w:pPr>
              <w:rPr>
                <w:rFonts w:ascii="Arial"/>
                <w:sz w:val="21"/>
              </w:rPr>
            </w:pPr>
          </w:p>
        </w:tc>
        <w:tc>
          <w:tcPr>
            <w:tcW w:w="762" w:type="dxa"/>
            <w:vMerge w:val="continue"/>
            <w:tcBorders>
              <w:top w:val="nil"/>
              <w:bottom w:val="nil"/>
            </w:tcBorders>
            <w:vAlign w:val="top"/>
          </w:tcPr>
          <w:p w14:paraId="48C9884C">
            <w:pPr>
              <w:rPr>
                <w:rFonts w:ascii="Arial"/>
                <w:sz w:val="21"/>
              </w:rPr>
            </w:pPr>
          </w:p>
        </w:tc>
        <w:tc>
          <w:tcPr>
            <w:tcW w:w="636" w:type="dxa"/>
            <w:vAlign w:val="top"/>
          </w:tcPr>
          <w:p w14:paraId="68E2F79C">
            <w:pPr>
              <w:spacing w:before="193" w:line="195" w:lineRule="auto"/>
              <w:ind w:left="26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965" w:type="dxa"/>
            <w:vAlign w:val="top"/>
          </w:tcPr>
          <w:p w14:paraId="0B2FD05D">
            <w:pPr>
              <w:pStyle w:val="6"/>
              <w:spacing w:before="37" w:line="228" w:lineRule="auto"/>
              <w:ind w:left="718" w:right="88" w:hanging="675"/>
              <w:rPr>
                <w:rFonts w:ascii="Times New Roman" w:hAnsi="Times New Roman" w:eastAsia="Times New Roman" w:cs="Times New Roman"/>
                <w:sz w:val="20"/>
                <w:szCs w:val="20"/>
              </w:rPr>
            </w:pPr>
            <w:r>
              <w:rPr>
                <w:spacing w:val="3"/>
                <w:sz w:val="20"/>
                <w:szCs w:val="20"/>
              </w:rPr>
              <w:t>单位产品冶炼电耗，</w:t>
            </w:r>
            <w:r>
              <w:rPr>
                <w:sz w:val="20"/>
                <w:szCs w:val="20"/>
              </w:rPr>
              <w:t xml:space="preserve"> </w:t>
            </w:r>
            <w:r>
              <w:rPr>
                <w:rFonts w:ascii="Times New Roman" w:hAnsi="Times New Roman" w:eastAsia="Times New Roman" w:cs="Times New Roman"/>
                <w:sz w:val="20"/>
                <w:szCs w:val="20"/>
              </w:rPr>
              <w:t>kWh</w:t>
            </w:r>
            <w:r>
              <w:rPr>
                <w:rFonts w:ascii="Times New Roman" w:hAnsi="Times New Roman" w:eastAsia="Times New Roman" w:cs="Times New Roman"/>
                <w:spacing w:val="11"/>
                <w:sz w:val="20"/>
                <w:szCs w:val="20"/>
              </w:rPr>
              <w:t>/t</w:t>
            </w:r>
          </w:p>
        </w:tc>
        <w:tc>
          <w:tcPr>
            <w:tcW w:w="949" w:type="dxa"/>
            <w:vAlign w:val="top"/>
          </w:tcPr>
          <w:p w14:paraId="1789D630">
            <w:pPr>
              <w:spacing w:before="193"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0.16</w:t>
            </w:r>
          </w:p>
        </w:tc>
        <w:tc>
          <w:tcPr>
            <w:tcW w:w="2156" w:type="dxa"/>
            <w:vAlign w:val="top"/>
          </w:tcPr>
          <w:p w14:paraId="0EE6176C">
            <w:pPr>
              <w:spacing w:before="194" w:line="195" w:lineRule="auto"/>
              <w:ind w:left="81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≤3800</w:t>
            </w:r>
          </w:p>
        </w:tc>
        <w:tc>
          <w:tcPr>
            <w:tcW w:w="1811" w:type="dxa"/>
            <w:vAlign w:val="top"/>
          </w:tcPr>
          <w:p w14:paraId="4A9D5D22">
            <w:pPr>
              <w:spacing w:before="194" w:line="195" w:lineRule="auto"/>
              <w:ind w:left="63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≤4050</w:t>
            </w:r>
          </w:p>
        </w:tc>
        <w:tc>
          <w:tcPr>
            <w:tcW w:w="2133" w:type="dxa"/>
            <w:vAlign w:val="top"/>
          </w:tcPr>
          <w:p w14:paraId="21AFFDFB">
            <w:pPr>
              <w:spacing w:before="194" w:line="195" w:lineRule="auto"/>
              <w:ind w:left="79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≤4250</w:t>
            </w:r>
          </w:p>
        </w:tc>
        <w:tc>
          <w:tcPr>
            <w:tcW w:w="1627" w:type="dxa"/>
            <w:vAlign w:val="top"/>
          </w:tcPr>
          <w:p w14:paraId="5FDBE5BB">
            <w:pPr>
              <w:spacing w:before="193" w:line="195" w:lineRule="auto"/>
              <w:ind w:left="6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3780</w:t>
            </w:r>
          </w:p>
        </w:tc>
        <w:tc>
          <w:tcPr>
            <w:tcW w:w="669" w:type="dxa"/>
            <w:vAlign w:val="top"/>
          </w:tcPr>
          <w:p w14:paraId="5B2E8EF5">
            <w:pPr>
              <w:spacing w:before="193" w:line="195" w:lineRule="auto"/>
              <w:ind w:left="1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16.0</w:t>
            </w:r>
          </w:p>
        </w:tc>
        <w:tc>
          <w:tcPr>
            <w:tcW w:w="574" w:type="dxa"/>
            <w:vMerge w:val="continue"/>
            <w:tcBorders>
              <w:top w:val="nil"/>
              <w:bottom w:val="nil"/>
              <w:right w:val="nil"/>
            </w:tcBorders>
            <w:vAlign w:val="top"/>
          </w:tcPr>
          <w:p w14:paraId="1AA0007B">
            <w:pPr>
              <w:rPr>
                <w:rFonts w:ascii="Arial"/>
                <w:sz w:val="21"/>
              </w:rPr>
            </w:pPr>
          </w:p>
        </w:tc>
      </w:tr>
      <w:tr w14:paraId="734197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5" w:hRule="atLeast"/>
        </w:trPr>
        <w:tc>
          <w:tcPr>
            <w:tcW w:w="717" w:type="dxa"/>
            <w:vMerge w:val="continue"/>
            <w:tcBorders>
              <w:top w:val="nil"/>
              <w:left w:val="nil"/>
              <w:bottom w:val="nil"/>
            </w:tcBorders>
            <w:vAlign w:val="top"/>
          </w:tcPr>
          <w:p w14:paraId="19DF60B3">
            <w:pPr>
              <w:rPr>
                <w:rFonts w:ascii="Arial"/>
                <w:sz w:val="21"/>
              </w:rPr>
            </w:pPr>
          </w:p>
        </w:tc>
        <w:tc>
          <w:tcPr>
            <w:tcW w:w="762" w:type="dxa"/>
            <w:vMerge w:val="continue"/>
            <w:tcBorders>
              <w:top w:val="nil"/>
              <w:bottom w:val="nil"/>
            </w:tcBorders>
            <w:vAlign w:val="top"/>
          </w:tcPr>
          <w:p w14:paraId="7F2DA6D0">
            <w:pPr>
              <w:rPr>
                <w:rFonts w:ascii="Arial"/>
                <w:sz w:val="21"/>
              </w:rPr>
            </w:pPr>
          </w:p>
        </w:tc>
        <w:tc>
          <w:tcPr>
            <w:tcW w:w="636" w:type="dxa"/>
            <w:vAlign w:val="top"/>
          </w:tcPr>
          <w:p w14:paraId="06373E0F">
            <w:pPr>
              <w:spacing w:line="288" w:lineRule="auto"/>
              <w:rPr>
                <w:rFonts w:ascii="Arial"/>
                <w:sz w:val="21"/>
              </w:rPr>
            </w:pPr>
          </w:p>
          <w:p w14:paraId="5C8F34AD">
            <w:pPr>
              <w:spacing w:before="58" w:line="192" w:lineRule="auto"/>
              <w:ind w:left="271"/>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965" w:type="dxa"/>
            <w:vAlign w:val="top"/>
          </w:tcPr>
          <w:p w14:paraId="776C74DB">
            <w:pPr>
              <w:pStyle w:val="6"/>
              <w:spacing w:before="37" w:line="228" w:lineRule="auto"/>
              <w:jc w:val="right"/>
              <w:rPr>
                <w:sz w:val="20"/>
                <w:szCs w:val="20"/>
              </w:rPr>
            </w:pPr>
            <w:r>
              <w:rPr>
                <w:spacing w:val="4"/>
                <w:sz w:val="20"/>
                <w:szCs w:val="20"/>
              </w:rPr>
              <w:t>综合能耗</w:t>
            </w:r>
            <w:r>
              <w:rPr>
                <w:rFonts w:ascii="Times New Roman" w:hAnsi="Times New Roman" w:eastAsia="Times New Roman" w:cs="Times New Roman"/>
                <w:spacing w:val="4"/>
                <w:sz w:val="20"/>
                <w:szCs w:val="20"/>
              </w:rPr>
              <w:t>*</w:t>
            </w:r>
            <w:r>
              <w:rPr>
                <w:spacing w:val="4"/>
                <w:sz w:val="20"/>
                <w:szCs w:val="20"/>
              </w:rPr>
              <w:t>（折标煤）</w:t>
            </w:r>
          </w:p>
          <w:p w14:paraId="73B8F068">
            <w:pPr>
              <w:pStyle w:val="6"/>
              <w:spacing w:before="24" w:line="228" w:lineRule="auto"/>
              <w:ind w:left="157"/>
              <w:rPr>
                <w:sz w:val="20"/>
                <w:szCs w:val="20"/>
              </w:rPr>
            </w:pPr>
            <w:r>
              <w:rPr>
                <w:spacing w:val="7"/>
                <w:sz w:val="20"/>
                <w:szCs w:val="20"/>
              </w:rPr>
              <w:t>（按电力折标系数</w:t>
            </w:r>
          </w:p>
          <w:p w14:paraId="4949DA0F">
            <w:pPr>
              <w:pStyle w:val="6"/>
              <w:spacing w:before="26" w:line="205" w:lineRule="auto"/>
              <w:ind w:left="1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3"/>
                <w:sz w:val="20"/>
                <w:szCs w:val="20"/>
              </w:rPr>
              <w:t xml:space="preserve">1229 </w:t>
            </w:r>
            <w:r>
              <w:rPr>
                <w:spacing w:val="3"/>
                <w:sz w:val="20"/>
                <w:szCs w:val="20"/>
              </w:rPr>
              <w:t>折算</w:t>
            </w:r>
            <w:r>
              <w:rPr>
                <w:spacing w:val="-2"/>
                <w:sz w:val="20"/>
                <w:szCs w:val="20"/>
              </w:rPr>
              <w:t>），</w:t>
            </w:r>
            <w:r>
              <w:rPr>
                <w:rFonts w:ascii="Times New Roman" w:hAnsi="Times New Roman" w:eastAsia="Times New Roman" w:cs="Times New Roman"/>
                <w:sz w:val="20"/>
                <w:szCs w:val="20"/>
              </w:rPr>
              <w:t>kgce</w:t>
            </w:r>
            <w:r>
              <w:rPr>
                <w:rFonts w:ascii="Times New Roman" w:hAnsi="Times New Roman" w:eastAsia="Times New Roman" w:cs="Times New Roman"/>
                <w:spacing w:val="3"/>
                <w:sz w:val="20"/>
                <w:szCs w:val="20"/>
              </w:rPr>
              <w:t>/t</w:t>
            </w:r>
          </w:p>
        </w:tc>
        <w:tc>
          <w:tcPr>
            <w:tcW w:w="949" w:type="dxa"/>
            <w:vAlign w:val="top"/>
          </w:tcPr>
          <w:p w14:paraId="492EEF53">
            <w:pPr>
              <w:spacing w:line="286" w:lineRule="auto"/>
              <w:rPr>
                <w:rFonts w:ascii="Arial"/>
                <w:sz w:val="21"/>
              </w:rPr>
            </w:pPr>
          </w:p>
          <w:p w14:paraId="35537CFA">
            <w:pPr>
              <w:spacing w:before="57"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0.26</w:t>
            </w:r>
          </w:p>
        </w:tc>
        <w:tc>
          <w:tcPr>
            <w:tcW w:w="2156" w:type="dxa"/>
            <w:vAlign w:val="top"/>
          </w:tcPr>
          <w:p w14:paraId="3604E794">
            <w:pPr>
              <w:spacing w:line="286" w:lineRule="auto"/>
              <w:rPr>
                <w:rFonts w:ascii="Arial"/>
                <w:sz w:val="21"/>
              </w:rPr>
            </w:pPr>
          </w:p>
          <w:p w14:paraId="798D70E2">
            <w:pPr>
              <w:spacing w:before="58" w:line="195" w:lineRule="auto"/>
              <w:ind w:left="8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≤860</w:t>
            </w:r>
          </w:p>
        </w:tc>
        <w:tc>
          <w:tcPr>
            <w:tcW w:w="1811" w:type="dxa"/>
            <w:vAlign w:val="top"/>
          </w:tcPr>
          <w:p w14:paraId="1BAA270A">
            <w:pPr>
              <w:spacing w:line="286" w:lineRule="auto"/>
              <w:rPr>
                <w:rFonts w:ascii="Arial"/>
                <w:sz w:val="21"/>
              </w:rPr>
            </w:pPr>
          </w:p>
          <w:p w14:paraId="2896C151">
            <w:pPr>
              <w:spacing w:before="58" w:line="195" w:lineRule="auto"/>
              <w:ind w:left="69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≤910</w:t>
            </w:r>
          </w:p>
        </w:tc>
        <w:tc>
          <w:tcPr>
            <w:tcW w:w="2133" w:type="dxa"/>
            <w:vAlign w:val="top"/>
          </w:tcPr>
          <w:p w14:paraId="1356FD01">
            <w:pPr>
              <w:spacing w:line="286" w:lineRule="auto"/>
              <w:rPr>
                <w:rFonts w:ascii="Arial"/>
                <w:sz w:val="21"/>
              </w:rPr>
            </w:pPr>
          </w:p>
          <w:p w14:paraId="23A05C36">
            <w:pPr>
              <w:spacing w:before="58" w:line="195" w:lineRule="auto"/>
              <w:ind w:left="79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≤1010</w:t>
            </w:r>
          </w:p>
        </w:tc>
        <w:tc>
          <w:tcPr>
            <w:tcW w:w="1627" w:type="dxa"/>
            <w:vAlign w:val="top"/>
          </w:tcPr>
          <w:p w14:paraId="5F7210E6">
            <w:pPr>
              <w:spacing w:line="286" w:lineRule="auto"/>
              <w:rPr>
                <w:rFonts w:ascii="Arial"/>
                <w:sz w:val="21"/>
              </w:rPr>
            </w:pPr>
          </w:p>
          <w:p w14:paraId="7F0C0DDE">
            <w:pPr>
              <w:spacing w:before="57" w:line="195" w:lineRule="auto"/>
              <w:ind w:left="5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811.37</w:t>
            </w:r>
          </w:p>
        </w:tc>
        <w:tc>
          <w:tcPr>
            <w:tcW w:w="669" w:type="dxa"/>
            <w:vAlign w:val="top"/>
          </w:tcPr>
          <w:p w14:paraId="4854E254">
            <w:pPr>
              <w:spacing w:line="286" w:lineRule="auto"/>
              <w:rPr>
                <w:rFonts w:ascii="Arial"/>
                <w:sz w:val="21"/>
              </w:rPr>
            </w:pPr>
          </w:p>
          <w:p w14:paraId="1B253435">
            <w:pPr>
              <w:spacing w:before="57" w:line="195" w:lineRule="auto"/>
              <w:ind w:left="15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26.0</w:t>
            </w:r>
          </w:p>
        </w:tc>
        <w:tc>
          <w:tcPr>
            <w:tcW w:w="574" w:type="dxa"/>
            <w:vMerge w:val="continue"/>
            <w:tcBorders>
              <w:top w:val="nil"/>
              <w:bottom w:val="nil"/>
              <w:right w:val="nil"/>
            </w:tcBorders>
            <w:vAlign w:val="top"/>
          </w:tcPr>
          <w:p w14:paraId="1B27C971">
            <w:pPr>
              <w:rPr>
                <w:rFonts w:ascii="Arial"/>
                <w:sz w:val="21"/>
              </w:rPr>
            </w:pPr>
          </w:p>
        </w:tc>
      </w:tr>
      <w:tr w14:paraId="4DBC1B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17" w:type="dxa"/>
            <w:vMerge w:val="continue"/>
            <w:tcBorders>
              <w:top w:val="nil"/>
              <w:left w:val="nil"/>
            </w:tcBorders>
            <w:vAlign w:val="top"/>
          </w:tcPr>
          <w:p w14:paraId="374C1EFE">
            <w:pPr>
              <w:rPr>
                <w:rFonts w:ascii="Arial"/>
                <w:sz w:val="21"/>
              </w:rPr>
            </w:pPr>
          </w:p>
        </w:tc>
        <w:tc>
          <w:tcPr>
            <w:tcW w:w="762" w:type="dxa"/>
            <w:vMerge w:val="continue"/>
            <w:tcBorders>
              <w:top w:val="nil"/>
            </w:tcBorders>
            <w:vAlign w:val="top"/>
          </w:tcPr>
          <w:p w14:paraId="535FCC97">
            <w:pPr>
              <w:rPr>
                <w:rFonts w:ascii="Arial"/>
                <w:sz w:val="21"/>
              </w:rPr>
            </w:pPr>
          </w:p>
        </w:tc>
        <w:tc>
          <w:tcPr>
            <w:tcW w:w="636" w:type="dxa"/>
            <w:vAlign w:val="top"/>
          </w:tcPr>
          <w:p w14:paraId="6E35BFD2">
            <w:pPr>
              <w:spacing w:before="77" w:line="191" w:lineRule="auto"/>
              <w:ind w:left="270"/>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965" w:type="dxa"/>
            <w:vAlign w:val="top"/>
          </w:tcPr>
          <w:p w14:paraId="7C01B10F">
            <w:pPr>
              <w:pStyle w:val="6"/>
              <w:spacing w:before="41" w:line="203" w:lineRule="auto"/>
              <w:ind w:left="185"/>
              <w:rPr>
                <w:rFonts w:ascii="Times New Roman" w:hAnsi="Times New Roman" w:eastAsia="Times New Roman" w:cs="Times New Roman"/>
                <w:sz w:val="20"/>
                <w:szCs w:val="20"/>
              </w:rPr>
            </w:pPr>
            <w:r>
              <w:rPr>
                <w:spacing w:val="6"/>
                <w:sz w:val="20"/>
                <w:szCs w:val="20"/>
              </w:rPr>
              <w:t>生产取水量，</w:t>
            </w:r>
            <w:r>
              <w:rPr>
                <w:rFonts w:ascii="Times New Roman" w:hAnsi="Times New Roman" w:eastAsia="Times New Roman" w:cs="Times New Roman"/>
                <w:spacing w:val="6"/>
                <w:sz w:val="20"/>
                <w:szCs w:val="20"/>
              </w:rPr>
              <w:t>m</w:t>
            </w:r>
            <w:r>
              <w:rPr>
                <w:rFonts w:ascii="Times New Roman" w:hAnsi="Times New Roman" w:eastAsia="Times New Roman" w:cs="Times New Roman"/>
                <w:spacing w:val="6"/>
                <w:position w:val="6"/>
                <w:sz w:val="13"/>
                <w:szCs w:val="13"/>
              </w:rPr>
              <w:t>3</w:t>
            </w:r>
            <w:r>
              <w:rPr>
                <w:rFonts w:ascii="Times New Roman" w:hAnsi="Times New Roman" w:eastAsia="Times New Roman" w:cs="Times New Roman"/>
                <w:spacing w:val="6"/>
                <w:sz w:val="20"/>
                <w:szCs w:val="20"/>
              </w:rPr>
              <w:t>/t</w:t>
            </w:r>
          </w:p>
        </w:tc>
        <w:tc>
          <w:tcPr>
            <w:tcW w:w="949" w:type="dxa"/>
            <w:vAlign w:val="top"/>
          </w:tcPr>
          <w:p w14:paraId="1EFF489C">
            <w:pPr>
              <w:spacing w:before="77" w:line="191"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3967" w:type="dxa"/>
            <w:gridSpan w:val="2"/>
            <w:vAlign w:val="top"/>
          </w:tcPr>
          <w:p w14:paraId="746C6F97">
            <w:pPr>
              <w:spacing w:before="77" w:line="191" w:lineRule="auto"/>
              <w:ind w:left="17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w:t>
            </w:r>
          </w:p>
        </w:tc>
        <w:tc>
          <w:tcPr>
            <w:tcW w:w="2133" w:type="dxa"/>
            <w:vAlign w:val="top"/>
          </w:tcPr>
          <w:p w14:paraId="2E3924A8">
            <w:pPr>
              <w:spacing w:before="77" w:line="191" w:lineRule="auto"/>
              <w:ind w:left="8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1627" w:type="dxa"/>
            <w:vAlign w:val="top"/>
          </w:tcPr>
          <w:p w14:paraId="17F3DF85">
            <w:pPr>
              <w:spacing w:before="77" w:line="191" w:lineRule="auto"/>
              <w:ind w:left="6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0.92</w:t>
            </w:r>
          </w:p>
        </w:tc>
        <w:tc>
          <w:tcPr>
            <w:tcW w:w="669" w:type="dxa"/>
            <w:vAlign w:val="top"/>
          </w:tcPr>
          <w:p w14:paraId="04013A5F">
            <w:pPr>
              <w:spacing w:before="77" w:line="191" w:lineRule="auto"/>
              <w:ind w:left="1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574" w:type="dxa"/>
            <w:vMerge w:val="continue"/>
            <w:tcBorders>
              <w:top w:val="nil"/>
              <w:right w:val="nil"/>
            </w:tcBorders>
            <w:vAlign w:val="top"/>
          </w:tcPr>
          <w:p w14:paraId="524813A9">
            <w:pPr>
              <w:rPr>
                <w:rFonts w:ascii="Arial"/>
                <w:sz w:val="21"/>
              </w:rPr>
            </w:pPr>
          </w:p>
        </w:tc>
      </w:tr>
      <w:tr w14:paraId="30D029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717" w:type="dxa"/>
            <w:tcBorders>
              <w:left w:val="nil"/>
            </w:tcBorders>
            <w:vAlign w:val="top"/>
          </w:tcPr>
          <w:p w14:paraId="248E026B">
            <w:pPr>
              <w:pStyle w:val="6"/>
              <w:spacing w:before="41" w:line="227" w:lineRule="auto"/>
              <w:ind w:left="262" w:right="43" w:hanging="213"/>
              <w:rPr>
                <w:sz w:val="20"/>
                <w:szCs w:val="20"/>
              </w:rPr>
            </w:pPr>
            <w:r>
              <w:rPr>
                <w:spacing w:val="6"/>
                <w:sz w:val="20"/>
                <w:szCs w:val="20"/>
              </w:rPr>
              <w:t>产品特</w:t>
            </w:r>
            <w:r>
              <w:rPr>
                <w:spacing w:val="1"/>
                <w:sz w:val="20"/>
                <w:szCs w:val="20"/>
              </w:rPr>
              <w:t xml:space="preserve"> </w:t>
            </w:r>
            <w:r>
              <w:rPr>
                <w:sz w:val="20"/>
                <w:szCs w:val="20"/>
              </w:rPr>
              <w:t>征</w:t>
            </w:r>
          </w:p>
        </w:tc>
        <w:tc>
          <w:tcPr>
            <w:tcW w:w="762" w:type="dxa"/>
            <w:vAlign w:val="top"/>
          </w:tcPr>
          <w:p w14:paraId="71915CE0">
            <w:pPr>
              <w:spacing w:before="214" w:line="195"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w:t>
            </w:r>
          </w:p>
        </w:tc>
        <w:tc>
          <w:tcPr>
            <w:tcW w:w="636" w:type="dxa"/>
            <w:vAlign w:val="top"/>
          </w:tcPr>
          <w:p w14:paraId="7AFAD09F">
            <w:pPr>
              <w:spacing w:before="214" w:line="195" w:lineRule="auto"/>
              <w:ind w:left="28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965" w:type="dxa"/>
            <w:vAlign w:val="top"/>
          </w:tcPr>
          <w:p w14:paraId="3C8A6996">
            <w:pPr>
              <w:pStyle w:val="6"/>
              <w:spacing w:before="175" w:line="228" w:lineRule="auto"/>
              <w:ind w:left="269"/>
              <w:rPr>
                <w:rFonts w:ascii="Times New Roman" w:hAnsi="Times New Roman" w:eastAsia="Times New Roman" w:cs="Times New Roman"/>
                <w:sz w:val="20"/>
                <w:szCs w:val="20"/>
              </w:rPr>
            </w:pPr>
            <w:r>
              <w:rPr>
                <w:spacing w:val="8"/>
                <w:sz w:val="20"/>
                <w:szCs w:val="20"/>
              </w:rPr>
              <w:t>产品合格率，</w:t>
            </w:r>
            <w:r>
              <w:rPr>
                <w:rFonts w:ascii="Times New Roman" w:hAnsi="Times New Roman" w:eastAsia="Times New Roman" w:cs="Times New Roman"/>
                <w:spacing w:val="8"/>
                <w:sz w:val="20"/>
                <w:szCs w:val="20"/>
              </w:rPr>
              <w:t>%</w:t>
            </w:r>
          </w:p>
        </w:tc>
        <w:tc>
          <w:tcPr>
            <w:tcW w:w="949" w:type="dxa"/>
            <w:vAlign w:val="top"/>
          </w:tcPr>
          <w:p w14:paraId="049C696E">
            <w:pPr>
              <w:spacing w:before="214" w:line="195" w:lineRule="auto"/>
              <w:ind w:left="445"/>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156" w:type="dxa"/>
            <w:vAlign w:val="top"/>
          </w:tcPr>
          <w:p w14:paraId="58278033">
            <w:pPr>
              <w:spacing w:before="214" w:line="195" w:lineRule="auto"/>
              <w:ind w:left="9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1811" w:type="dxa"/>
            <w:vAlign w:val="top"/>
          </w:tcPr>
          <w:p w14:paraId="5D8B778A">
            <w:pPr>
              <w:spacing w:before="214" w:line="195" w:lineRule="auto"/>
              <w:ind w:left="6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≥99.5</w:t>
            </w:r>
          </w:p>
        </w:tc>
        <w:tc>
          <w:tcPr>
            <w:tcW w:w="2133" w:type="dxa"/>
            <w:vAlign w:val="top"/>
          </w:tcPr>
          <w:p w14:paraId="07D38505">
            <w:pPr>
              <w:spacing w:before="214" w:line="195" w:lineRule="auto"/>
              <w:ind w:left="8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≥99.0</w:t>
            </w:r>
          </w:p>
        </w:tc>
        <w:tc>
          <w:tcPr>
            <w:tcW w:w="1627" w:type="dxa"/>
            <w:vAlign w:val="top"/>
          </w:tcPr>
          <w:p w14:paraId="7309632C">
            <w:pPr>
              <w:spacing w:before="214" w:line="195" w:lineRule="auto"/>
              <w:ind w:left="6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99.9</w:t>
            </w:r>
          </w:p>
        </w:tc>
        <w:tc>
          <w:tcPr>
            <w:tcW w:w="669" w:type="dxa"/>
            <w:vAlign w:val="top"/>
          </w:tcPr>
          <w:p w14:paraId="6FABB3C6">
            <w:pPr>
              <w:spacing w:before="214" w:line="195" w:lineRule="auto"/>
              <w:ind w:left="15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80.0</w:t>
            </w:r>
          </w:p>
        </w:tc>
        <w:tc>
          <w:tcPr>
            <w:tcW w:w="574" w:type="dxa"/>
            <w:tcBorders>
              <w:right w:val="nil"/>
            </w:tcBorders>
            <w:vAlign w:val="top"/>
          </w:tcPr>
          <w:p w14:paraId="079A4CDB">
            <w:pPr>
              <w:spacing w:before="214" w:line="195" w:lineRule="auto"/>
              <w:ind w:left="15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r>
      <w:tr w14:paraId="771D0E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7" w:hRule="atLeast"/>
        </w:trPr>
        <w:tc>
          <w:tcPr>
            <w:tcW w:w="717" w:type="dxa"/>
            <w:vMerge w:val="restart"/>
            <w:tcBorders>
              <w:left w:val="nil"/>
              <w:bottom w:val="nil"/>
            </w:tcBorders>
            <w:vAlign w:val="top"/>
          </w:tcPr>
          <w:p w14:paraId="65258E6C">
            <w:pPr>
              <w:spacing w:line="265" w:lineRule="auto"/>
              <w:rPr>
                <w:rFonts w:ascii="Arial"/>
                <w:sz w:val="21"/>
              </w:rPr>
            </w:pPr>
          </w:p>
          <w:p w14:paraId="02D2927B">
            <w:pPr>
              <w:spacing w:line="265" w:lineRule="auto"/>
              <w:rPr>
                <w:rFonts w:ascii="Arial"/>
                <w:sz w:val="21"/>
              </w:rPr>
            </w:pPr>
          </w:p>
          <w:p w14:paraId="33971135">
            <w:pPr>
              <w:spacing w:line="265" w:lineRule="auto"/>
              <w:rPr>
                <w:rFonts w:ascii="Arial"/>
                <w:sz w:val="21"/>
              </w:rPr>
            </w:pPr>
          </w:p>
          <w:p w14:paraId="1D658B74">
            <w:pPr>
              <w:spacing w:line="265" w:lineRule="auto"/>
              <w:rPr>
                <w:rFonts w:ascii="Arial"/>
                <w:sz w:val="21"/>
              </w:rPr>
            </w:pPr>
          </w:p>
          <w:p w14:paraId="25C409B0">
            <w:pPr>
              <w:spacing w:line="266" w:lineRule="auto"/>
              <w:rPr>
                <w:rFonts w:ascii="Arial"/>
                <w:sz w:val="21"/>
              </w:rPr>
            </w:pPr>
          </w:p>
          <w:p w14:paraId="4063BEF6">
            <w:pPr>
              <w:pStyle w:val="6"/>
              <w:spacing w:before="65" w:line="228" w:lineRule="auto"/>
              <w:ind w:left="51"/>
              <w:rPr>
                <w:sz w:val="20"/>
                <w:szCs w:val="20"/>
              </w:rPr>
            </w:pPr>
            <w:r>
              <w:rPr>
                <w:spacing w:val="6"/>
                <w:sz w:val="20"/>
                <w:szCs w:val="20"/>
              </w:rPr>
              <w:t>污染物</w:t>
            </w:r>
          </w:p>
          <w:p w14:paraId="3AA79EAE">
            <w:pPr>
              <w:pStyle w:val="6"/>
              <w:spacing w:before="24" w:line="228" w:lineRule="auto"/>
              <w:ind w:left="49"/>
              <w:rPr>
                <w:sz w:val="20"/>
                <w:szCs w:val="20"/>
              </w:rPr>
            </w:pPr>
            <w:r>
              <w:rPr>
                <w:spacing w:val="6"/>
                <w:sz w:val="20"/>
                <w:szCs w:val="20"/>
              </w:rPr>
              <w:t>排放控</w:t>
            </w:r>
          </w:p>
          <w:p w14:paraId="1319A54C">
            <w:pPr>
              <w:pStyle w:val="6"/>
              <w:spacing w:before="24" w:line="228" w:lineRule="auto"/>
              <w:ind w:left="261"/>
              <w:rPr>
                <w:sz w:val="20"/>
                <w:szCs w:val="20"/>
              </w:rPr>
            </w:pPr>
            <w:r>
              <w:rPr>
                <w:sz w:val="20"/>
                <w:szCs w:val="20"/>
              </w:rPr>
              <w:t>制</w:t>
            </w:r>
          </w:p>
        </w:tc>
        <w:tc>
          <w:tcPr>
            <w:tcW w:w="762" w:type="dxa"/>
            <w:vMerge w:val="restart"/>
            <w:tcBorders>
              <w:bottom w:val="nil"/>
            </w:tcBorders>
            <w:vAlign w:val="top"/>
          </w:tcPr>
          <w:p w14:paraId="5A8491AC">
            <w:pPr>
              <w:spacing w:line="273" w:lineRule="auto"/>
              <w:rPr>
                <w:rFonts w:ascii="Arial"/>
                <w:sz w:val="21"/>
              </w:rPr>
            </w:pPr>
          </w:p>
          <w:p w14:paraId="56A9025A">
            <w:pPr>
              <w:spacing w:line="273" w:lineRule="auto"/>
              <w:rPr>
                <w:rFonts w:ascii="Arial"/>
                <w:sz w:val="21"/>
              </w:rPr>
            </w:pPr>
          </w:p>
          <w:p w14:paraId="759D2387">
            <w:pPr>
              <w:spacing w:line="273" w:lineRule="auto"/>
              <w:rPr>
                <w:rFonts w:ascii="Arial"/>
                <w:sz w:val="21"/>
              </w:rPr>
            </w:pPr>
          </w:p>
          <w:p w14:paraId="7C9FB6C0">
            <w:pPr>
              <w:spacing w:line="273" w:lineRule="auto"/>
              <w:rPr>
                <w:rFonts w:ascii="Arial"/>
                <w:sz w:val="21"/>
              </w:rPr>
            </w:pPr>
          </w:p>
          <w:p w14:paraId="3EBC378B">
            <w:pPr>
              <w:spacing w:line="273" w:lineRule="auto"/>
              <w:rPr>
                <w:rFonts w:ascii="Arial"/>
                <w:sz w:val="21"/>
              </w:rPr>
            </w:pPr>
          </w:p>
          <w:p w14:paraId="3186A193">
            <w:pPr>
              <w:spacing w:line="273" w:lineRule="auto"/>
              <w:rPr>
                <w:rFonts w:ascii="Arial"/>
                <w:sz w:val="21"/>
              </w:rPr>
            </w:pPr>
          </w:p>
          <w:p w14:paraId="47BC58CE">
            <w:pPr>
              <w:spacing w:before="58" w:line="195"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0.20</w:t>
            </w:r>
          </w:p>
        </w:tc>
        <w:tc>
          <w:tcPr>
            <w:tcW w:w="636" w:type="dxa"/>
            <w:vAlign w:val="top"/>
          </w:tcPr>
          <w:p w14:paraId="404D18F6">
            <w:pPr>
              <w:spacing w:line="274" w:lineRule="auto"/>
              <w:rPr>
                <w:rFonts w:ascii="Arial"/>
                <w:sz w:val="21"/>
              </w:rPr>
            </w:pPr>
          </w:p>
          <w:p w14:paraId="66A47F89">
            <w:pPr>
              <w:spacing w:line="274" w:lineRule="auto"/>
              <w:rPr>
                <w:rFonts w:ascii="Arial"/>
                <w:sz w:val="21"/>
              </w:rPr>
            </w:pPr>
          </w:p>
          <w:p w14:paraId="43272F88">
            <w:pPr>
              <w:spacing w:before="58" w:line="195" w:lineRule="auto"/>
              <w:ind w:left="28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965" w:type="dxa"/>
            <w:vAlign w:val="top"/>
          </w:tcPr>
          <w:p w14:paraId="663B4AAF">
            <w:pPr>
              <w:spacing w:line="366" w:lineRule="auto"/>
              <w:rPr>
                <w:rFonts w:ascii="Arial"/>
                <w:sz w:val="21"/>
              </w:rPr>
            </w:pPr>
          </w:p>
          <w:p w14:paraId="39A58316">
            <w:pPr>
              <w:pStyle w:val="6"/>
              <w:spacing w:before="65" w:line="243" w:lineRule="auto"/>
              <w:ind w:left="526" w:right="142" w:hanging="377"/>
              <w:rPr>
                <w:rFonts w:ascii="Times New Roman" w:hAnsi="Times New Roman" w:eastAsia="Times New Roman" w:cs="Times New Roman"/>
                <w:sz w:val="20"/>
                <w:szCs w:val="20"/>
              </w:rPr>
            </w:pPr>
            <w:r>
              <w:rPr>
                <w:spacing w:val="8"/>
                <w:sz w:val="20"/>
                <w:szCs w:val="20"/>
              </w:rPr>
              <w:t>单位产品炉气产生</w:t>
            </w:r>
            <w:r>
              <w:rPr>
                <w:spacing w:val="2"/>
                <w:sz w:val="20"/>
                <w:szCs w:val="20"/>
              </w:rPr>
              <w:t xml:space="preserve"> </w:t>
            </w:r>
            <w:r>
              <w:rPr>
                <w:spacing w:val="7"/>
                <w:sz w:val="20"/>
                <w:szCs w:val="20"/>
              </w:rPr>
              <w:t>量，</w:t>
            </w:r>
            <w:r>
              <w:rPr>
                <w:rFonts w:ascii="Times New Roman" w:hAnsi="Times New Roman" w:eastAsia="Times New Roman" w:cs="Times New Roman"/>
                <w:sz w:val="20"/>
                <w:szCs w:val="20"/>
              </w:rPr>
              <w:t>Nm</w:t>
            </w:r>
            <w:r>
              <w:rPr>
                <w:rFonts w:ascii="Times New Roman" w:hAnsi="Times New Roman" w:eastAsia="Times New Roman" w:cs="Times New Roman"/>
                <w:spacing w:val="7"/>
                <w:position w:val="6"/>
                <w:sz w:val="13"/>
                <w:szCs w:val="13"/>
              </w:rPr>
              <w:t>3</w:t>
            </w:r>
            <w:r>
              <w:rPr>
                <w:rFonts w:ascii="Times New Roman" w:hAnsi="Times New Roman" w:eastAsia="Times New Roman" w:cs="Times New Roman"/>
                <w:spacing w:val="7"/>
                <w:sz w:val="20"/>
                <w:szCs w:val="20"/>
              </w:rPr>
              <w:t>/t</w:t>
            </w:r>
          </w:p>
        </w:tc>
        <w:tc>
          <w:tcPr>
            <w:tcW w:w="949" w:type="dxa"/>
            <w:vAlign w:val="top"/>
          </w:tcPr>
          <w:p w14:paraId="1F7DDB61">
            <w:pPr>
              <w:spacing w:line="274" w:lineRule="auto"/>
              <w:rPr>
                <w:rFonts w:ascii="Arial"/>
                <w:sz w:val="21"/>
              </w:rPr>
            </w:pPr>
          </w:p>
          <w:p w14:paraId="4E319E97">
            <w:pPr>
              <w:spacing w:line="274" w:lineRule="auto"/>
              <w:rPr>
                <w:rFonts w:ascii="Arial"/>
                <w:sz w:val="21"/>
              </w:rPr>
            </w:pPr>
          </w:p>
          <w:p w14:paraId="71378818">
            <w:pPr>
              <w:spacing w:before="58" w:line="195" w:lineRule="auto"/>
              <w:ind w:left="3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0.3</w:t>
            </w:r>
          </w:p>
        </w:tc>
        <w:tc>
          <w:tcPr>
            <w:tcW w:w="3967" w:type="dxa"/>
            <w:gridSpan w:val="2"/>
            <w:vAlign w:val="top"/>
          </w:tcPr>
          <w:p w14:paraId="537C001F">
            <w:pPr>
              <w:spacing w:line="251" w:lineRule="auto"/>
              <w:rPr>
                <w:rFonts w:ascii="Arial"/>
                <w:sz w:val="21"/>
              </w:rPr>
            </w:pPr>
          </w:p>
          <w:p w14:paraId="4B714F0A">
            <w:pPr>
              <w:spacing w:line="252" w:lineRule="auto"/>
              <w:rPr>
                <w:rFonts w:ascii="Arial"/>
                <w:sz w:val="21"/>
              </w:rPr>
            </w:pPr>
          </w:p>
          <w:p w14:paraId="5575BE2D">
            <w:pPr>
              <w:pStyle w:val="6"/>
              <w:spacing w:before="65" w:line="228" w:lineRule="auto"/>
              <w:ind w:left="541"/>
              <w:rPr>
                <w:sz w:val="20"/>
                <w:szCs w:val="20"/>
              </w:rPr>
            </w:pPr>
            <w:r>
              <w:rPr>
                <w:spacing w:val="4"/>
                <w:sz w:val="20"/>
                <w:szCs w:val="20"/>
              </w:rPr>
              <w:t>煤气</w:t>
            </w:r>
            <w:r>
              <w:rPr>
                <w:spacing w:val="-9"/>
                <w:sz w:val="20"/>
                <w:szCs w:val="20"/>
              </w:rPr>
              <w:t xml:space="preserve"> </w:t>
            </w:r>
            <w:r>
              <w:rPr>
                <w:rFonts w:ascii="Times New Roman" w:hAnsi="Times New Roman" w:eastAsia="Times New Roman" w:cs="Times New Roman"/>
                <w:spacing w:val="4"/>
                <w:sz w:val="20"/>
                <w:szCs w:val="20"/>
              </w:rPr>
              <w:t>1000-1050</w:t>
            </w:r>
            <w:r>
              <w:rPr>
                <w:spacing w:val="4"/>
                <w:sz w:val="20"/>
                <w:szCs w:val="20"/>
              </w:rPr>
              <w:t>（</w:t>
            </w:r>
            <w:r>
              <w:rPr>
                <w:rFonts w:ascii="Times New Roman" w:hAnsi="Times New Roman" w:eastAsia="Times New Roman" w:cs="Times New Roman"/>
                <w:spacing w:val="4"/>
                <w:sz w:val="20"/>
                <w:szCs w:val="20"/>
              </w:rPr>
              <w:t>9-11</w:t>
            </w:r>
            <w:r>
              <w:rPr>
                <w:rFonts w:ascii="Times New Roman" w:hAnsi="Times New Roman" w:eastAsia="Times New Roman" w:cs="Times New Roman"/>
                <w:sz w:val="20"/>
                <w:szCs w:val="20"/>
              </w:rPr>
              <w:t>MJ</w:t>
            </w:r>
            <w:r>
              <w:rPr>
                <w:rFonts w:ascii="Times New Roman" w:hAnsi="Times New Roman" w:eastAsia="Times New Roman" w:cs="Times New Roman"/>
                <w:spacing w:val="4"/>
                <w:sz w:val="20"/>
                <w:szCs w:val="20"/>
              </w:rPr>
              <w:t>/</w:t>
            </w:r>
            <w:r>
              <w:rPr>
                <w:rFonts w:ascii="Times New Roman" w:hAnsi="Times New Roman" w:eastAsia="Times New Roman" w:cs="Times New Roman"/>
                <w:sz w:val="20"/>
                <w:szCs w:val="20"/>
              </w:rPr>
              <w:t>Nm</w:t>
            </w:r>
            <w:r>
              <w:rPr>
                <w:rFonts w:ascii="Times New Roman" w:hAnsi="Times New Roman" w:eastAsia="Times New Roman" w:cs="Times New Roman"/>
                <w:spacing w:val="4"/>
                <w:position w:val="6"/>
                <w:sz w:val="13"/>
                <w:szCs w:val="13"/>
              </w:rPr>
              <w:t>3</w:t>
            </w:r>
            <w:r>
              <w:rPr>
                <w:spacing w:val="4"/>
                <w:sz w:val="20"/>
                <w:szCs w:val="20"/>
              </w:rPr>
              <w:t>）</w:t>
            </w:r>
          </w:p>
        </w:tc>
        <w:tc>
          <w:tcPr>
            <w:tcW w:w="2133" w:type="dxa"/>
            <w:vAlign w:val="top"/>
          </w:tcPr>
          <w:p w14:paraId="561A537F">
            <w:pPr>
              <w:pStyle w:val="6"/>
              <w:spacing w:before="43" w:line="228" w:lineRule="auto"/>
              <w:ind w:left="442"/>
              <w:rPr>
                <w:sz w:val="20"/>
                <w:szCs w:val="20"/>
              </w:rPr>
            </w:pPr>
            <w:r>
              <w:rPr>
                <w:spacing w:val="8"/>
                <w:sz w:val="20"/>
                <w:szCs w:val="20"/>
              </w:rPr>
              <w:t>全封闭炉煤气</w:t>
            </w:r>
          </w:p>
          <w:p w14:paraId="70DAFB07">
            <w:pPr>
              <w:spacing w:before="45" w:line="195" w:lineRule="auto"/>
              <w:ind w:left="63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1000-1050</w:t>
            </w:r>
          </w:p>
          <w:p w14:paraId="15660B35">
            <w:pPr>
              <w:pStyle w:val="6"/>
              <w:spacing w:before="34" w:line="228" w:lineRule="auto"/>
              <w:ind w:right="1"/>
              <w:jc w:val="right"/>
              <w:rPr>
                <w:sz w:val="20"/>
                <w:szCs w:val="20"/>
              </w:rPr>
            </w:pPr>
            <w:r>
              <w:rPr>
                <w:spacing w:val="4"/>
                <w:sz w:val="20"/>
                <w:szCs w:val="20"/>
              </w:rPr>
              <w:t>（</w:t>
            </w:r>
            <w:r>
              <w:rPr>
                <w:rFonts w:ascii="Times New Roman" w:hAnsi="Times New Roman" w:eastAsia="Times New Roman" w:cs="Times New Roman"/>
                <w:spacing w:val="4"/>
                <w:sz w:val="20"/>
                <w:szCs w:val="20"/>
              </w:rPr>
              <w:t>9-10</w:t>
            </w:r>
            <w:r>
              <w:rPr>
                <w:rFonts w:ascii="Times New Roman" w:hAnsi="Times New Roman" w:eastAsia="Times New Roman" w:cs="Times New Roman"/>
                <w:sz w:val="20"/>
                <w:szCs w:val="20"/>
              </w:rPr>
              <w:t>MJ</w:t>
            </w:r>
            <w:r>
              <w:rPr>
                <w:rFonts w:ascii="Times New Roman" w:hAnsi="Times New Roman" w:eastAsia="Times New Roman" w:cs="Times New Roman"/>
                <w:spacing w:val="4"/>
                <w:sz w:val="20"/>
                <w:szCs w:val="20"/>
              </w:rPr>
              <w:t>/</w:t>
            </w:r>
            <w:r>
              <w:rPr>
                <w:rFonts w:ascii="Times New Roman" w:hAnsi="Times New Roman" w:eastAsia="Times New Roman" w:cs="Times New Roman"/>
                <w:sz w:val="20"/>
                <w:szCs w:val="20"/>
              </w:rPr>
              <w:t>Nm</w:t>
            </w:r>
            <w:r>
              <w:rPr>
                <w:rFonts w:ascii="Times New Roman" w:hAnsi="Times New Roman" w:eastAsia="Times New Roman" w:cs="Times New Roman"/>
                <w:spacing w:val="4"/>
                <w:position w:val="6"/>
                <w:sz w:val="13"/>
                <w:szCs w:val="13"/>
              </w:rPr>
              <w:t xml:space="preserve">3 </w:t>
            </w:r>
            <w:r>
              <w:rPr>
                <w:spacing w:val="-5"/>
                <w:sz w:val="20"/>
                <w:szCs w:val="20"/>
              </w:rPr>
              <w:t>），</w:t>
            </w:r>
            <w:r>
              <w:rPr>
                <w:spacing w:val="4"/>
                <w:sz w:val="20"/>
                <w:szCs w:val="20"/>
              </w:rPr>
              <w:t>半封</w:t>
            </w:r>
          </w:p>
          <w:p w14:paraId="4A64E41E">
            <w:pPr>
              <w:pStyle w:val="6"/>
              <w:spacing w:before="26" w:line="228" w:lineRule="auto"/>
              <w:ind w:left="54"/>
              <w:rPr>
                <w:rFonts w:ascii="Times New Roman" w:hAnsi="Times New Roman" w:eastAsia="Times New Roman" w:cs="Times New Roman"/>
                <w:sz w:val="20"/>
                <w:szCs w:val="20"/>
              </w:rPr>
            </w:pPr>
            <w:r>
              <w:rPr>
                <w:spacing w:val="4"/>
                <w:sz w:val="20"/>
                <w:szCs w:val="20"/>
              </w:rPr>
              <w:t>闭炉烟气</w:t>
            </w:r>
            <w:r>
              <w:rPr>
                <w:rFonts w:ascii="Times New Roman" w:hAnsi="Times New Roman" w:eastAsia="Times New Roman" w:cs="Times New Roman"/>
                <w:spacing w:val="4"/>
                <w:sz w:val="20"/>
                <w:szCs w:val="20"/>
              </w:rPr>
              <w:t>≤15000-18000</w:t>
            </w:r>
          </w:p>
          <w:p w14:paraId="441D9AA5">
            <w:pPr>
              <w:pStyle w:val="6"/>
              <w:spacing w:before="23" w:line="199" w:lineRule="auto"/>
              <w:ind w:left="420"/>
              <w:rPr>
                <w:sz w:val="20"/>
                <w:szCs w:val="20"/>
              </w:rPr>
            </w:pPr>
            <w:r>
              <w:rPr>
                <w:spacing w:val="5"/>
                <w:sz w:val="20"/>
                <w:szCs w:val="20"/>
              </w:rPr>
              <w:t>(</w:t>
            </w:r>
            <w:r>
              <w:rPr>
                <w:rFonts w:ascii="Times New Roman" w:hAnsi="Times New Roman" w:eastAsia="Times New Roman" w:cs="Times New Roman"/>
                <w:spacing w:val="5"/>
                <w:sz w:val="20"/>
                <w:szCs w:val="20"/>
              </w:rPr>
              <w:t>≥500</w:t>
            </w:r>
            <w:r>
              <w:rPr>
                <w:rFonts w:ascii="Times New Roman" w:hAnsi="Times New Roman" w:eastAsia="Times New Roman" w:cs="Times New Roman"/>
                <w:sz w:val="20"/>
                <w:szCs w:val="20"/>
              </w:rPr>
              <w:t>KJ</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Nm</w:t>
            </w:r>
            <w:r>
              <w:rPr>
                <w:rFonts w:ascii="Times New Roman" w:hAnsi="Times New Roman" w:eastAsia="Times New Roman" w:cs="Times New Roman"/>
                <w:spacing w:val="5"/>
                <w:position w:val="6"/>
                <w:sz w:val="13"/>
                <w:szCs w:val="13"/>
              </w:rPr>
              <w:t>3</w:t>
            </w:r>
            <w:r>
              <w:rPr>
                <w:spacing w:val="5"/>
                <w:sz w:val="20"/>
                <w:szCs w:val="20"/>
              </w:rPr>
              <w:t>）</w:t>
            </w:r>
          </w:p>
        </w:tc>
        <w:tc>
          <w:tcPr>
            <w:tcW w:w="1627" w:type="dxa"/>
            <w:vAlign w:val="top"/>
          </w:tcPr>
          <w:p w14:paraId="72AE1F52">
            <w:pPr>
              <w:spacing w:line="251" w:lineRule="auto"/>
              <w:rPr>
                <w:rFonts w:ascii="Arial"/>
                <w:sz w:val="21"/>
              </w:rPr>
            </w:pPr>
          </w:p>
          <w:p w14:paraId="003DCB3D">
            <w:pPr>
              <w:spacing w:line="251" w:lineRule="auto"/>
              <w:rPr>
                <w:rFonts w:ascii="Arial"/>
                <w:sz w:val="21"/>
              </w:rPr>
            </w:pPr>
          </w:p>
          <w:p w14:paraId="33DC3CBF">
            <w:pPr>
              <w:pStyle w:val="6"/>
              <w:spacing w:before="65"/>
              <w:jc w:val="right"/>
              <w:rPr>
                <w:sz w:val="20"/>
                <w:szCs w:val="20"/>
              </w:rPr>
            </w:pPr>
            <w:r>
              <w:rPr>
                <w:rFonts w:ascii="Times New Roman" w:hAnsi="Times New Roman" w:eastAsia="Times New Roman" w:cs="Times New Roman"/>
                <w:spacing w:val="-11"/>
                <w:sz w:val="20"/>
                <w:szCs w:val="20"/>
              </w:rPr>
              <w:t>1200</w:t>
            </w:r>
            <w:r>
              <w:rPr>
                <w:spacing w:val="-11"/>
                <w:sz w:val="20"/>
                <w:szCs w:val="20"/>
              </w:rPr>
              <w:t>（</w:t>
            </w:r>
            <w:r>
              <w:rPr>
                <w:rFonts w:ascii="Times New Roman" w:hAnsi="Times New Roman" w:eastAsia="Times New Roman" w:cs="Times New Roman"/>
                <w:spacing w:val="-11"/>
                <w:sz w:val="20"/>
                <w:szCs w:val="20"/>
              </w:rPr>
              <w:t>9.</w:t>
            </w:r>
            <w:r>
              <w:rPr>
                <w:rFonts w:ascii="Times New Roman" w:hAnsi="Times New Roman" w:eastAsia="Times New Roman" w:cs="Times New Roman"/>
                <w:spacing w:val="-27"/>
                <w:sz w:val="20"/>
                <w:szCs w:val="20"/>
              </w:rPr>
              <w:t xml:space="preserve"> </w:t>
            </w:r>
            <w:r>
              <w:rPr>
                <w:rFonts w:ascii="Times New Roman" w:hAnsi="Times New Roman" w:eastAsia="Times New Roman" w:cs="Times New Roman"/>
                <w:spacing w:val="-11"/>
                <w:sz w:val="20"/>
                <w:szCs w:val="20"/>
              </w:rPr>
              <w:t>1MJ/Nm</w:t>
            </w:r>
            <w:r>
              <w:rPr>
                <w:rFonts w:ascii="Times New Roman" w:hAnsi="Times New Roman" w:eastAsia="Times New Roman" w:cs="Times New Roman"/>
                <w:spacing w:val="9"/>
                <w:position w:val="6"/>
                <w:sz w:val="13"/>
                <w:szCs w:val="13"/>
              </w:rPr>
              <w:t>3</w:t>
            </w:r>
            <w:r>
              <w:rPr>
                <w:spacing w:val="-20"/>
                <w:sz w:val="20"/>
                <w:szCs w:val="20"/>
              </w:rPr>
              <w:t>）</w:t>
            </w:r>
          </w:p>
        </w:tc>
        <w:tc>
          <w:tcPr>
            <w:tcW w:w="669" w:type="dxa"/>
            <w:vAlign w:val="top"/>
          </w:tcPr>
          <w:p w14:paraId="52F73C2E">
            <w:pPr>
              <w:spacing w:line="274" w:lineRule="auto"/>
              <w:rPr>
                <w:rFonts w:ascii="Arial"/>
                <w:sz w:val="21"/>
              </w:rPr>
            </w:pPr>
          </w:p>
          <w:p w14:paraId="5D4B9A73">
            <w:pPr>
              <w:spacing w:line="274" w:lineRule="auto"/>
              <w:rPr>
                <w:rFonts w:ascii="Arial"/>
                <w:sz w:val="21"/>
              </w:rPr>
            </w:pPr>
          </w:p>
          <w:p w14:paraId="4A8E4975">
            <w:pPr>
              <w:spacing w:before="58" w:line="195" w:lineRule="auto"/>
              <w:ind w:left="1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18.0</w:t>
            </w:r>
          </w:p>
        </w:tc>
        <w:tc>
          <w:tcPr>
            <w:tcW w:w="574" w:type="dxa"/>
            <w:vMerge w:val="restart"/>
            <w:tcBorders>
              <w:bottom w:val="nil"/>
              <w:right w:val="nil"/>
            </w:tcBorders>
            <w:vAlign w:val="top"/>
          </w:tcPr>
          <w:p w14:paraId="54F18605">
            <w:pPr>
              <w:spacing w:line="273" w:lineRule="auto"/>
              <w:rPr>
                <w:rFonts w:ascii="Arial"/>
                <w:sz w:val="21"/>
              </w:rPr>
            </w:pPr>
          </w:p>
          <w:p w14:paraId="4EF2BA54">
            <w:pPr>
              <w:spacing w:line="273" w:lineRule="auto"/>
              <w:rPr>
                <w:rFonts w:ascii="Arial"/>
                <w:sz w:val="21"/>
              </w:rPr>
            </w:pPr>
          </w:p>
          <w:p w14:paraId="4F9F0572">
            <w:pPr>
              <w:spacing w:line="273" w:lineRule="auto"/>
              <w:rPr>
                <w:rFonts w:ascii="Arial"/>
                <w:sz w:val="21"/>
              </w:rPr>
            </w:pPr>
          </w:p>
          <w:p w14:paraId="2D9A38F8">
            <w:pPr>
              <w:spacing w:line="273" w:lineRule="auto"/>
              <w:rPr>
                <w:rFonts w:ascii="Arial"/>
                <w:sz w:val="21"/>
              </w:rPr>
            </w:pPr>
          </w:p>
          <w:p w14:paraId="02277B53">
            <w:pPr>
              <w:spacing w:line="273" w:lineRule="auto"/>
              <w:rPr>
                <w:rFonts w:ascii="Arial"/>
                <w:sz w:val="21"/>
              </w:rPr>
            </w:pPr>
          </w:p>
          <w:p w14:paraId="097AE882">
            <w:pPr>
              <w:spacing w:line="273" w:lineRule="auto"/>
              <w:rPr>
                <w:rFonts w:ascii="Arial"/>
                <w:sz w:val="21"/>
              </w:rPr>
            </w:pPr>
          </w:p>
          <w:p w14:paraId="589D1760">
            <w:pPr>
              <w:spacing w:before="58" w:line="195"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17.6</w:t>
            </w:r>
          </w:p>
        </w:tc>
      </w:tr>
      <w:tr w14:paraId="6434D0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717" w:type="dxa"/>
            <w:vMerge w:val="continue"/>
            <w:tcBorders>
              <w:top w:val="nil"/>
              <w:left w:val="nil"/>
              <w:bottom w:val="nil"/>
            </w:tcBorders>
            <w:vAlign w:val="top"/>
          </w:tcPr>
          <w:p w14:paraId="38A7540F">
            <w:pPr>
              <w:rPr>
                <w:rFonts w:ascii="Arial"/>
                <w:sz w:val="21"/>
              </w:rPr>
            </w:pPr>
          </w:p>
        </w:tc>
        <w:tc>
          <w:tcPr>
            <w:tcW w:w="762" w:type="dxa"/>
            <w:vMerge w:val="continue"/>
            <w:tcBorders>
              <w:top w:val="nil"/>
              <w:bottom w:val="nil"/>
            </w:tcBorders>
            <w:vAlign w:val="top"/>
          </w:tcPr>
          <w:p w14:paraId="4C363E72">
            <w:pPr>
              <w:rPr>
                <w:rFonts w:ascii="Arial"/>
                <w:sz w:val="21"/>
              </w:rPr>
            </w:pPr>
          </w:p>
        </w:tc>
        <w:tc>
          <w:tcPr>
            <w:tcW w:w="636" w:type="dxa"/>
            <w:vAlign w:val="top"/>
          </w:tcPr>
          <w:p w14:paraId="111BCC67">
            <w:pPr>
              <w:spacing w:before="218" w:line="195" w:lineRule="auto"/>
              <w:ind w:left="266"/>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965" w:type="dxa"/>
            <w:vAlign w:val="top"/>
          </w:tcPr>
          <w:p w14:paraId="6244001D">
            <w:pPr>
              <w:pStyle w:val="6"/>
              <w:spacing w:before="47" w:line="224" w:lineRule="auto"/>
              <w:ind w:left="562" w:right="37" w:hanging="519"/>
              <w:rPr>
                <w:rFonts w:ascii="Times New Roman" w:hAnsi="Times New Roman" w:eastAsia="Times New Roman" w:cs="Times New Roman"/>
                <w:sz w:val="20"/>
                <w:szCs w:val="20"/>
              </w:rPr>
            </w:pPr>
            <w:r>
              <w:rPr>
                <w:spacing w:val="8"/>
                <w:sz w:val="20"/>
                <w:szCs w:val="20"/>
              </w:rPr>
              <w:t>单位产品颗粒物排放</w:t>
            </w:r>
            <w:r>
              <w:rPr>
                <w:spacing w:val="6"/>
                <w:sz w:val="20"/>
                <w:szCs w:val="20"/>
              </w:rPr>
              <w:t xml:space="preserve"> </w:t>
            </w:r>
            <w:r>
              <w:rPr>
                <w:sz w:val="20"/>
                <w:szCs w:val="20"/>
              </w:rPr>
              <w:t>量</w:t>
            </w:r>
            <w:r>
              <w:rPr>
                <w:rFonts w:ascii="Times New Roman" w:hAnsi="Times New Roman" w:eastAsia="Times New Roman" w:cs="Times New Roman"/>
                <w:sz w:val="20"/>
                <w:szCs w:val="20"/>
              </w:rPr>
              <w:t>*</w:t>
            </w:r>
            <w:r>
              <w:rPr>
                <w:rFonts w:ascii="Times New Roman" w:hAnsi="Times New Roman" w:eastAsia="Times New Roman" w:cs="Times New Roman"/>
                <w:spacing w:val="-23"/>
                <w:sz w:val="20"/>
                <w:szCs w:val="20"/>
              </w:rPr>
              <w:t xml:space="preserve"> </w:t>
            </w:r>
            <w:r>
              <w:rPr>
                <w:sz w:val="20"/>
                <w:szCs w:val="20"/>
              </w:rPr>
              <w:t>，</w:t>
            </w:r>
            <w:r>
              <w:rPr>
                <w:rFonts w:ascii="Times New Roman" w:hAnsi="Times New Roman" w:eastAsia="Times New Roman" w:cs="Times New Roman"/>
                <w:sz w:val="20"/>
                <w:szCs w:val="20"/>
              </w:rPr>
              <w:t>kg/t</w:t>
            </w:r>
          </w:p>
        </w:tc>
        <w:tc>
          <w:tcPr>
            <w:tcW w:w="949" w:type="dxa"/>
            <w:vAlign w:val="top"/>
          </w:tcPr>
          <w:p w14:paraId="61A51546">
            <w:pPr>
              <w:spacing w:before="218" w:line="195" w:lineRule="auto"/>
              <w:ind w:left="3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0.3</w:t>
            </w:r>
          </w:p>
        </w:tc>
        <w:tc>
          <w:tcPr>
            <w:tcW w:w="3967" w:type="dxa"/>
            <w:gridSpan w:val="2"/>
            <w:vAlign w:val="top"/>
          </w:tcPr>
          <w:p w14:paraId="43AE294B">
            <w:pPr>
              <w:spacing w:before="218" w:line="195" w:lineRule="auto"/>
              <w:ind w:left="174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≤0.15</w:t>
            </w:r>
          </w:p>
        </w:tc>
        <w:tc>
          <w:tcPr>
            <w:tcW w:w="2133" w:type="dxa"/>
            <w:vAlign w:val="top"/>
          </w:tcPr>
          <w:p w14:paraId="15AF1F56">
            <w:pPr>
              <w:pStyle w:val="6"/>
              <w:spacing w:before="47" w:line="224" w:lineRule="auto"/>
              <w:ind w:left="780" w:right="1" w:hanging="772"/>
              <w:rPr>
                <w:rFonts w:ascii="Times New Roman" w:hAnsi="Times New Roman" w:eastAsia="Times New Roman" w:cs="Times New Roman"/>
                <w:sz w:val="20"/>
                <w:szCs w:val="20"/>
              </w:rPr>
            </w:pPr>
            <w:r>
              <w:rPr>
                <w:spacing w:val="4"/>
                <w:sz w:val="20"/>
                <w:szCs w:val="20"/>
              </w:rPr>
              <w:t>全封闭炉</w:t>
            </w:r>
            <w:r>
              <w:rPr>
                <w:rFonts w:ascii="Times New Roman" w:hAnsi="Times New Roman" w:eastAsia="Times New Roman" w:cs="Times New Roman"/>
                <w:spacing w:val="4"/>
                <w:sz w:val="20"/>
                <w:szCs w:val="20"/>
              </w:rPr>
              <w:t>≤0.20</w:t>
            </w:r>
            <w:r>
              <w:rPr>
                <w:spacing w:val="4"/>
                <w:sz w:val="20"/>
                <w:szCs w:val="20"/>
              </w:rPr>
              <w:t>，半封闭</w:t>
            </w:r>
            <w:r>
              <w:rPr>
                <w:spacing w:val="5"/>
                <w:sz w:val="20"/>
                <w:szCs w:val="20"/>
              </w:rPr>
              <w:t xml:space="preserve"> </w:t>
            </w:r>
            <w:r>
              <w:rPr>
                <w:spacing w:val="3"/>
                <w:sz w:val="20"/>
                <w:szCs w:val="20"/>
              </w:rPr>
              <w:t>炉</w:t>
            </w:r>
            <w:r>
              <w:rPr>
                <w:rFonts w:ascii="Times New Roman" w:hAnsi="Times New Roman" w:eastAsia="Times New Roman" w:cs="Times New Roman"/>
                <w:spacing w:val="3"/>
                <w:sz w:val="20"/>
                <w:szCs w:val="20"/>
              </w:rPr>
              <w:t>≤2.0</w:t>
            </w:r>
          </w:p>
        </w:tc>
        <w:tc>
          <w:tcPr>
            <w:tcW w:w="1627" w:type="dxa"/>
            <w:vAlign w:val="top"/>
          </w:tcPr>
          <w:p w14:paraId="2A405B5B">
            <w:pPr>
              <w:pStyle w:val="6"/>
              <w:spacing w:before="182" w:line="227" w:lineRule="auto"/>
              <w:jc w:val="right"/>
              <w:rPr>
                <w:sz w:val="20"/>
                <w:szCs w:val="20"/>
              </w:rPr>
            </w:pPr>
            <w:r>
              <w:rPr>
                <w:rFonts w:ascii="Times New Roman" w:hAnsi="Times New Roman" w:eastAsia="Times New Roman" w:cs="Times New Roman"/>
                <w:spacing w:val="-4"/>
                <w:sz w:val="20"/>
                <w:szCs w:val="20"/>
              </w:rPr>
              <w:t>0.043</w:t>
            </w:r>
            <w:r>
              <w:rPr>
                <w:spacing w:val="-4"/>
                <w:sz w:val="20"/>
                <w:szCs w:val="20"/>
              </w:rPr>
              <w:t>（不含烧结）</w:t>
            </w:r>
          </w:p>
        </w:tc>
        <w:tc>
          <w:tcPr>
            <w:tcW w:w="669" w:type="dxa"/>
            <w:vAlign w:val="top"/>
          </w:tcPr>
          <w:p w14:paraId="59A517E2">
            <w:pPr>
              <w:spacing w:before="218" w:line="195" w:lineRule="auto"/>
              <w:ind w:left="1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574" w:type="dxa"/>
            <w:vMerge w:val="continue"/>
            <w:tcBorders>
              <w:top w:val="nil"/>
              <w:bottom w:val="nil"/>
              <w:right w:val="nil"/>
            </w:tcBorders>
            <w:vAlign w:val="top"/>
          </w:tcPr>
          <w:p w14:paraId="48D1A7A4">
            <w:pPr>
              <w:rPr>
                <w:rFonts w:ascii="Arial"/>
                <w:sz w:val="21"/>
              </w:rPr>
            </w:pPr>
          </w:p>
        </w:tc>
      </w:tr>
      <w:tr w14:paraId="172D6C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2" w:hRule="atLeast"/>
        </w:trPr>
        <w:tc>
          <w:tcPr>
            <w:tcW w:w="717" w:type="dxa"/>
            <w:vMerge w:val="continue"/>
            <w:tcBorders>
              <w:top w:val="nil"/>
              <w:left w:val="nil"/>
              <w:bottom w:val="nil"/>
            </w:tcBorders>
            <w:vAlign w:val="top"/>
          </w:tcPr>
          <w:p w14:paraId="56786A6C">
            <w:pPr>
              <w:rPr>
                <w:rFonts w:ascii="Arial"/>
                <w:sz w:val="21"/>
              </w:rPr>
            </w:pPr>
          </w:p>
        </w:tc>
        <w:tc>
          <w:tcPr>
            <w:tcW w:w="762" w:type="dxa"/>
            <w:vMerge w:val="continue"/>
            <w:tcBorders>
              <w:top w:val="nil"/>
              <w:bottom w:val="nil"/>
            </w:tcBorders>
            <w:vAlign w:val="top"/>
          </w:tcPr>
          <w:p w14:paraId="10745FF7">
            <w:pPr>
              <w:rPr>
                <w:rFonts w:ascii="Arial"/>
                <w:sz w:val="21"/>
              </w:rPr>
            </w:pPr>
          </w:p>
        </w:tc>
        <w:tc>
          <w:tcPr>
            <w:tcW w:w="636" w:type="dxa"/>
            <w:vAlign w:val="top"/>
          </w:tcPr>
          <w:p w14:paraId="2D30D58C">
            <w:pPr>
              <w:spacing w:before="219" w:line="195" w:lineRule="auto"/>
              <w:ind w:left="270"/>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965" w:type="dxa"/>
            <w:vAlign w:val="top"/>
          </w:tcPr>
          <w:p w14:paraId="38981073">
            <w:pPr>
              <w:pStyle w:val="6"/>
              <w:spacing w:before="48" w:line="223" w:lineRule="auto"/>
              <w:ind w:left="603" w:right="142" w:hanging="454"/>
              <w:rPr>
                <w:rFonts w:ascii="Times New Roman" w:hAnsi="Times New Roman" w:eastAsia="Times New Roman" w:cs="Times New Roman"/>
                <w:sz w:val="20"/>
                <w:szCs w:val="20"/>
              </w:rPr>
            </w:pPr>
            <w:r>
              <w:rPr>
                <w:spacing w:val="8"/>
                <w:sz w:val="20"/>
                <w:szCs w:val="20"/>
              </w:rPr>
              <w:t>单位产品废水排放</w:t>
            </w:r>
            <w:r>
              <w:rPr>
                <w:spacing w:val="2"/>
                <w:sz w:val="20"/>
                <w:szCs w:val="20"/>
              </w:rPr>
              <w:t xml:space="preserve"> </w:t>
            </w:r>
            <w:r>
              <w:rPr>
                <w:spacing w:val="4"/>
                <w:sz w:val="20"/>
                <w:szCs w:val="20"/>
              </w:rPr>
              <w:t>量，</w:t>
            </w:r>
            <w:r>
              <w:rPr>
                <w:rFonts w:ascii="Times New Roman" w:hAnsi="Times New Roman" w:eastAsia="Times New Roman" w:cs="Times New Roman"/>
                <w:spacing w:val="4"/>
                <w:sz w:val="20"/>
                <w:szCs w:val="20"/>
              </w:rPr>
              <w:t>m</w:t>
            </w:r>
            <w:r>
              <w:rPr>
                <w:rFonts w:ascii="Times New Roman" w:hAnsi="Times New Roman" w:eastAsia="Times New Roman" w:cs="Times New Roman"/>
                <w:spacing w:val="4"/>
                <w:position w:val="6"/>
                <w:sz w:val="13"/>
                <w:szCs w:val="13"/>
              </w:rPr>
              <w:t>3</w:t>
            </w:r>
            <w:r>
              <w:rPr>
                <w:rFonts w:ascii="Times New Roman" w:hAnsi="Times New Roman" w:eastAsia="Times New Roman" w:cs="Times New Roman"/>
                <w:spacing w:val="4"/>
                <w:sz w:val="20"/>
                <w:szCs w:val="20"/>
              </w:rPr>
              <w:t>/t</w:t>
            </w:r>
          </w:p>
        </w:tc>
        <w:tc>
          <w:tcPr>
            <w:tcW w:w="949" w:type="dxa"/>
            <w:vAlign w:val="top"/>
          </w:tcPr>
          <w:p w14:paraId="3D53C31C">
            <w:pPr>
              <w:spacing w:before="219" w:line="195" w:lineRule="auto"/>
              <w:ind w:left="3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0.2</w:t>
            </w:r>
          </w:p>
        </w:tc>
        <w:tc>
          <w:tcPr>
            <w:tcW w:w="3967" w:type="dxa"/>
            <w:gridSpan w:val="2"/>
            <w:vAlign w:val="top"/>
          </w:tcPr>
          <w:p w14:paraId="56CDB7D0">
            <w:pPr>
              <w:spacing w:before="220" w:line="195" w:lineRule="auto"/>
              <w:ind w:left="17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w:t>
            </w:r>
          </w:p>
        </w:tc>
        <w:tc>
          <w:tcPr>
            <w:tcW w:w="2133" w:type="dxa"/>
            <w:vAlign w:val="top"/>
          </w:tcPr>
          <w:p w14:paraId="0E82916E">
            <w:pPr>
              <w:spacing w:before="220" w:line="195" w:lineRule="auto"/>
              <w:ind w:left="8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w:t>
            </w:r>
          </w:p>
        </w:tc>
        <w:tc>
          <w:tcPr>
            <w:tcW w:w="1627" w:type="dxa"/>
            <w:vAlign w:val="top"/>
          </w:tcPr>
          <w:p w14:paraId="57141F28">
            <w:pPr>
              <w:spacing w:before="219" w:line="195" w:lineRule="auto"/>
              <w:ind w:left="766"/>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69" w:type="dxa"/>
            <w:vAlign w:val="top"/>
          </w:tcPr>
          <w:p w14:paraId="236E5F28">
            <w:pPr>
              <w:spacing w:before="219" w:line="195" w:lineRule="auto"/>
              <w:ind w:left="15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574" w:type="dxa"/>
            <w:vMerge w:val="continue"/>
            <w:tcBorders>
              <w:top w:val="nil"/>
              <w:bottom w:val="nil"/>
              <w:right w:val="nil"/>
            </w:tcBorders>
            <w:vAlign w:val="top"/>
          </w:tcPr>
          <w:p w14:paraId="5BDE3153">
            <w:pPr>
              <w:rPr>
                <w:rFonts w:ascii="Arial"/>
                <w:sz w:val="21"/>
              </w:rPr>
            </w:pPr>
          </w:p>
        </w:tc>
      </w:tr>
      <w:tr w14:paraId="62465A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717" w:type="dxa"/>
            <w:vMerge w:val="continue"/>
            <w:tcBorders>
              <w:top w:val="nil"/>
              <w:left w:val="nil"/>
              <w:bottom w:val="nil"/>
            </w:tcBorders>
            <w:vAlign w:val="top"/>
          </w:tcPr>
          <w:p w14:paraId="60DC10FE">
            <w:pPr>
              <w:rPr>
                <w:rFonts w:ascii="Arial"/>
                <w:sz w:val="21"/>
              </w:rPr>
            </w:pPr>
          </w:p>
        </w:tc>
        <w:tc>
          <w:tcPr>
            <w:tcW w:w="762" w:type="dxa"/>
            <w:vMerge w:val="continue"/>
            <w:tcBorders>
              <w:top w:val="nil"/>
              <w:bottom w:val="nil"/>
            </w:tcBorders>
            <w:vAlign w:val="top"/>
          </w:tcPr>
          <w:p w14:paraId="1F2734D2">
            <w:pPr>
              <w:rPr>
                <w:rFonts w:ascii="Arial"/>
                <w:sz w:val="21"/>
              </w:rPr>
            </w:pPr>
          </w:p>
        </w:tc>
        <w:tc>
          <w:tcPr>
            <w:tcW w:w="636" w:type="dxa"/>
            <w:vAlign w:val="top"/>
          </w:tcPr>
          <w:p w14:paraId="150D9A3B">
            <w:pPr>
              <w:spacing w:before="222" w:line="195" w:lineRule="auto"/>
              <w:ind w:left="26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965" w:type="dxa"/>
            <w:vAlign w:val="top"/>
          </w:tcPr>
          <w:p w14:paraId="0B222E80">
            <w:pPr>
              <w:pStyle w:val="6"/>
              <w:spacing w:before="52" w:line="222" w:lineRule="auto"/>
              <w:ind w:left="403" w:right="37" w:hanging="360"/>
              <w:rPr>
                <w:rFonts w:ascii="Times New Roman" w:hAnsi="Times New Roman" w:eastAsia="Times New Roman" w:cs="Times New Roman"/>
                <w:sz w:val="20"/>
                <w:szCs w:val="20"/>
              </w:rPr>
            </w:pPr>
            <w:r>
              <w:rPr>
                <w:spacing w:val="8"/>
                <w:sz w:val="20"/>
                <w:szCs w:val="20"/>
              </w:rPr>
              <w:t>单位产品化学需氧量</w:t>
            </w:r>
            <w:r>
              <w:rPr>
                <w:spacing w:val="6"/>
                <w:sz w:val="20"/>
                <w:szCs w:val="20"/>
              </w:rPr>
              <w:t xml:space="preserve"> </w:t>
            </w:r>
            <w:r>
              <w:rPr>
                <w:spacing w:val="7"/>
                <w:sz w:val="20"/>
                <w:szCs w:val="20"/>
              </w:rPr>
              <w:t>排放量，</w:t>
            </w:r>
            <w:r>
              <w:rPr>
                <w:rFonts w:ascii="Times New Roman" w:hAnsi="Times New Roman" w:eastAsia="Times New Roman" w:cs="Times New Roman"/>
                <w:sz w:val="20"/>
                <w:szCs w:val="20"/>
              </w:rPr>
              <w:t>kg</w:t>
            </w:r>
            <w:r>
              <w:rPr>
                <w:rFonts w:ascii="Times New Roman" w:hAnsi="Times New Roman" w:eastAsia="Times New Roman" w:cs="Times New Roman"/>
                <w:spacing w:val="7"/>
                <w:sz w:val="20"/>
                <w:szCs w:val="20"/>
              </w:rPr>
              <w:t>/t</w:t>
            </w:r>
          </w:p>
        </w:tc>
        <w:tc>
          <w:tcPr>
            <w:tcW w:w="949" w:type="dxa"/>
            <w:vAlign w:val="top"/>
          </w:tcPr>
          <w:p w14:paraId="75688FED">
            <w:pPr>
              <w:spacing w:before="222" w:line="195" w:lineRule="auto"/>
              <w:ind w:left="349"/>
              <w:rPr>
                <w:rFonts w:ascii="Times New Roman" w:hAnsi="Times New Roman" w:eastAsia="Times New Roman" w:cs="Times New Roman"/>
                <w:sz w:val="20"/>
                <w:szCs w:val="20"/>
              </w:rPr>
            </w:pPr>
            <w:r>
              <w:rPr>
                <w:rFonts w:ascii="Times New Roman" w:hAnsi="Times New Roman" w:eastAsia="Times New Roman" w:cs="Times New Roman"/>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c>
          <w:tcPr>
            <w:tcW w:w="3967" w:type="dxa"/>
            <w:gridSpan w:val="2"/>
            <w:vAlign w:val="top"/>
          </w:tcPr>
          <w:p w14:paraId="35CAC5F9">
            <w:pPr>
              <w:spacing w:before="222" w:line="195" w:lineRule="auto"/>
              <w:ind w:left="174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12</w:t>
            </w:r>
          </w:p>
        </w:tc>
        <w:tc>
          <w:tcPr>
            <w:tcW w:w="2133" w:type="dxa"/>
            <w:vAlign w:val="top"/>
          </w:tcPr>
          <w:p w14:paraId="21D1F7BD">
            <w:pPr>
              <w:spacing w:before="222" w:line="195" w:lineRule="auto"/>
              <w:ind w:left="8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≤0.30</w:t>
            </w:r>
          </w:p>
        </w:tc>
        <w:tc>
          <w:tcPr>
            <w:tcW w:w="1627" w:type="dxa"/>
            <w:vAlign w:val="top"/>
          </w:tcPr>
          <w:p w14:paraId="17B151F7">
            <w:pPr>
              <w:spacing w:before="222" w:line="195" w:lineRule="auto"/>
              <w:ind w:left="766"/>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69" w:type="dxa"/>
            <w:vAlign w:val="top"/>
          </w:tcPr>
          <w:p w14:paraId="03A1E36E">
            <w:pPr>
              <w:spacing w:before="222" w:line="195" w:lineRule="auto"/>
              <w:ind w:left="1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574" w:type="dxa"/>
            <w:vMerge w:val="continue"/>
            <w:tcBorders>
              <w:top w:val="nil"/>
              <w:bottom w:val="nil"/>
              <w:right w:val="nil"/>
            </w:tcBorders>
            <w:vAlign w:val="top"/>
          </w:tcPr>
          <w:p w14:paraId="341B25E1">
            <w:pPr>
              <w:rPr>
                <w:rFonts w:ascii="Arial"/>
                <w:sz w:val="21"/>
              </w:rPr>
            </w:pPr>
          </w:p>
        </w:tc>
      </w:tr>
      <w:tr w14:paraId="249C04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717" w:type="dxa"/>
            <w:vMerge w:val="continue"/>
            <w:tcBorders>
              <w:top w:val="nil"/>
              <w:left w:val="nil"/>
              <w:bottom w:val="single" w:color="000000" w:sz="10" w:space="0"/>
            </w:tcBorders>
            <w:vAlign w:val="top"/>
          </w:tcPr>
          <w:p w14:paraId="12A8BF52">
            <w:pPr>
              <w:rPr>
                <w:rFonts w:ascii="Arial"/>
                <w:sz w:val="21"/>
              </w:rPr>
            </w:pPr>
          </w:p>
        </w:tc>
        <w:tc>
          <w:tcPr>
            <w:tcW w:w="762" w:type="dxa"/>
            <w:vMerge w:val="continue"/>
            <w:tcBorders>
              <w:top w:val="nil"/>
              <w:bottom w:val="single" w:color="000000" w:sz="10" w:space="0"/>
            </w:tcBorders>
            <w:vAlign w:val="top"/>
          </w:tcPr>
          <w:p w14:paraId="3EF605C1">
            <w:pPr>
              <w:rPr>
                <w:rFonts w:ascii="Arial"/>
                <w:sz w:val="21"/>
              </w:rPr>
            </w:pPr>
          </w:p>
        </w:tc>
        <w:tc>
          <w:tcPr>
            <w:tcW w:w="636" w:type="dxa"/>
            <w:tcBorders>
              <w:bottom w:val="single" w:color="000000" w:sz="10" w:space="0"/>
            </w:tcBorders>
            <w:vAlign w:val="top"/>
          </w:tcPr>
          <w:p w14:paraId="7A29F5CC">
            <w:pPr>
              <w:spacing w:before="229" w:line="192" w:lineRule="auto"/>
              <w:ind w:left="271"/>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965" w:type="dxa"/>
            <w:tcBorders>
              <w:bottom w:val="single" w:color="000000" w:sz="10" w:space="0"/>
            </w:tcBorders>
            <w:vAlign w:val="top"/>
          </w:tcPr>
          <w:p w14:paraId="385E3B6B">
            <w:pPr>
              <w:pStyle w:val="6"/>
              <w:spacing w:before="53" w:line="233" w:lineRule="auto"/>
              <w:ind w:left="615" w:right="142" w:hanging="466"/>
              <w:rPr>
                <w:rFonts w:ascii="Times New Roman" w:hAnsi="Times New Roman" w:eastAsia="Times New Roman" w:cs="Times New Roman"/>
                <w:sz w:val="20"/>
                <w:szCs w:val="20"/>
              </w:rPr>
            </w:pPr>
            <w:r>
              <w:rPr>
                <w:spacing w:val="8"/>
                <w:sz w:val="20"/>
                <w:szCs w:val="20"/>
              </w:rPr>
              <w:t>单位产品氨氮排放</w:t>
            </w:r>
            <w:r>
              <w:rPr>
                <w:spacing w:val="2"/>
                <w:sz w:val="20"/>
                <w:szCs w:val="20"/>
              </w:rPr>
              <w:t xml:space="preserve"> </w:t>
            </w:r>
            <w:r>
              <w:rPr>
                <w:spacing w:val="6"/>
                <w:sz w:val="20"/>
                <w:szCs w:val="20"/>
              </w:rPr>
              <w:t>量，</w:t>
            </w:r>
            <w:r>
              <w:rPr>
                <w:rFonts w:ascii="Times New Roman" w:hAnsi="Times New Roman" w:eastAsia="Times New Roman" w:cs="Times New Roman"/>
                <w:sz w:val="20"/>
                <w:szCs w:val="20"/>
              </w:rPr>
              <w:t>kg</w:t>
            </w:r>
            <w:r>
              <w:rPr>
                <w:rFonts w:ascii="Times New Roman" w:hAnsi="Times New Roman" w:eastAsia="Times New Roman" w:cs="Times New Roman"/>
                <w:spacing w:val="6"/>
                <w:sz w:val="20"/>
                <w:szCs w:val="20"/>
              </w:rPr>
              <w:t>/t</w:t>
            </w:r>
          </w:p>
        </w:tc>
        <w:tc>
          <w:tcPr>
            <w:tcW w:w="949" w:type="dxa"/>
            <w:tcBorders>
              <w:bottom w:val="single" w:color="000000" w:sz="10" w:space="0"/>
            </w:tcBorders>
            <w:vAlign w:val="top"/>
          </w:tcPr>
          <w:p w14:paraId="608C6B0C">
            <w:pPr>
              <w:spacing w:before="226" w:line="195" w:lineRule="auto"/>
              <w:ind w:left="349"/>
              <w:rPr>
                <w:rFonts w:ascii="Times New Roman" w:hAnsi="Times New Roman" w:eastAsia="Times New Roman" w:cs="Times New Roman"/>
                <w:sz w:val="20"/>
                <w:szCs w:val="20"/>
              </w:rPr>
            </w:pPr>
            <w:r>
              <w:rPr>
                <w:rFonts w:ascii="Times New Roman" w:hAnsi="Times New Roman" w:eastAsia="Times New Roman" w:cs="Times New Roman"/>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c>
          <w:tcPr>
            <w:tcW w:w="3967" w:type="dxa"/>
            <w:gridSpan w:val="2"/>
            <w:tcBorders>
              <w:bottom w:val="single" w:color="000000" w:sz="10" w:space="0"/>
            </w:tcBorders>
            <w:vAlign w:val="top"/>
          </w:tcPr>
          <w:p w14:paraId="026117C5">
            <w:pPr>
              <w:spacing w:before="226" w:line="195" w:lineRule="auto"/>
              <w:ind w:left="174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≤0.02</w:t>
            </w:r>
          </w:p>
        </w:tc>
        <w:tc>
          <w:tcPr>
            <w:tcW w:w="2133" w:type="dxa"/>
            <w:tcBorders>
              <w:bottom w:val="single" w:color="000000" w:sz="10" w:space="0"/>
            </w:tcBorders>
            <w:vAlign w:val="top"/>
          </w:tcPr>
          <w:p w14:paraId="248CB1A8">
            <w:pPr>
              <w:spacing w:before="226" w:line="195" w:lineRule="auto"/>
              <w:ind w:left="8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≤0.03</w:t>
            </w:r>
          </w:p>
        </w:tc>
        <w:tc>
          <w:tcPr>
            <w:tcW w:w="1627" w:type="dxa"/>
            <w:tcBorders>
              <w:bottom w:val="single" w:color="000000" w:sz="10" w:space="0"/>
            </w:tcBorders>
            <w:vAlign w:val="top"/>
          </w:tcPr>
          <w:p w14:paraId="792B4E56">
            <w:pPr>
              <w:spacing w:before="226" w:line="195" w:lineRule="auto"/>
              <w:ind w:left="766"/>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69" w:type="dxa"/>
            <w:tcBorders>
              <w:bottom w:val="single" w:color="000000" w:sz="10" w:space="0"/>
            </w:tcBorders>
            <w:vAlign w:val="top"/>
          </w:tcPr>
          <w:p w14:paraId="1A1F6911">
            <w:pPr>
              <w:spacing w:before="226" w:line="195" w:lineRule="auto"/>
              <w:ind w:left="1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574" w:type="dxa"/>
            <w:vMerge w:val="continue"/>
            <w:tcBorders>
              <w:top w:val="nil"/>
              <w:bottom w:val="single" w:color="000000" w:sz="10" w:space="0"/>
              <w:right w:val="nil"/>
            </w:tcBorders>
            <w:vAlign w:val="top"/>
          </w:tcPr>
          <w:p w14:paraId="7C59B8DC">
            <w:pPr>
              <w:rPr>
                <w:rFonts w:ascii="Arial"/>
                <w:sz w:val="21"/>
              </w:rPr>
            </w:pPr>
          </w:p>
        </w:tc>
      </w:tr>
    </w:tbl>
    <w:p w14:paraId="52650357">
      <w:pPr>
        <w:pStyle w:val="2"/>
      </w:pPr>
    </w:p>
    <w:p w14:paraId="2A5DAF79">
      <w:pPr>
        <w:sectPr>
          <w:pgSz w:w="16840" w:h="11907"/>
          <w:pgMar w:top="1190" w:right="1417" w:bottom="1002" w:left="1417" w:header="882" w:footer="837" w:gutter="0"/>
          <w:cols w:space="720" w:num="1"/>
        </w:sectPr>
      </w:pPr>
    </w:p>
    <w:p w14:paraId="26A6B2ED">
      <w:pPr>
        <w:spacing w:line="28" w:lineRule="exact"/>
      </w:pPr>
      <w:r>
        <w:pict>
          <v:shape id="_x0000_s1245" o:spid="_x0000_s1245" style="height:1.45pt;width:700.25pt;" fillcolor="#000000" filled="t" stroked="f" coordsize="14005,29" path="m0,0l14005,0,14005,28,0,28,0,0xe">
            <v:path/>
            <v:fill on="t" focussize="0,0"/>
            <v:stroke on="f"/>
            <v:imagedata o:title=""/>
            <o:lock v:ext="edit"/>
            <w10:wrap type="none"/>
            <w10:anchorlock/>
          </v:shape>
        </w:pict>
      </w:r>
    </w:p>
    <w:p w14:paraId="6818945D">
      <w:pPr>
        <w:spacing w:line="197" w:lineRule="exact"/>
      </w:pPr>
    </w:p>
    <w:tbl>
      <w:tblPr>
        <w:tblStyle w:val="5"/>
        <w:tblW w:w="1399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7"/>
        <w:gridCol w:w="762"/>
        <w:gridCol w:w="636"/>
        <w:gridCol w:w="1965"/>
        <w:gridCol w:w="949"/>
        <w:gridCol w:w="2156"/>
        <w:gridCol w:w="1811"/>
        <w:gridCol w:w="2133"/>
        <w:gridCol w:w="1626"/>
        <w:gridCol w:w="669"/>
        <w:gridCol w:w="574"/>
      </w:tblGrid>
      <w:tr w14:paraId="3F7D51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1479" w:type="dxa"/>
            <w:gridSpan w:val="2"/>
            <w:tcBorders>
              <w:top w:val="single" w:color="000000" w:sz="10" w:space="0"/>
              <w:left w:val="nil"/>
            </w:tcBorders>
            <w:vAlign w:val="top"/>
          </w:tcPr>
          <w:p w14:paraId="184FCBBF">
            <w:pPr>
              <w:pStyle w:val="6"/>
              <w:spacing w:before="35" w:line="216" w:lineRule="auto"/>
              <w:ind w:left="329"/>
              <w:rPr>
                <w:sz w:val="20"/>
                <w:szCs w:val="20"/>
              </w:rPr>
            </w:pPr>
            <w:r>
              <w:rPr>
                <w:spacing w:val="6"/>
                <w:sz w:val="20"/>
                <w:szCs w:val="20"/>
              </w:rPr>
              <w:t>一级指标</w:t>
            </w:r>
          </w:p>
        </w:tc>
        <w:tc>
          <w:tcPr>
            <w:tcW w:w="9650" w:type="dxa"/>
            <w:gridSpan w:val="6"/>
            <w:tcBorders>
              <w:top w:val="single" w:color="000000" w:sz="10" w:space="0"/>
            </w:tcBorders>
            <w:vAlign w:val="top"/>
          </w:tcPr>
          <w:p w14:paraId="58AB90B6">
            <w:pPr>
              <w:pStyle w:val="6"/>
              <w:spacing w:before="35" w:line="216" w:lineRule="auto"/>
              <w:ind w:left="4413"/>
              <w:rPr>
                <w:sz w:val="20"/>
                <w:szCs w:val="20"/>
              </w:rPr>
            </w:pPr>
            <w:r>
              <w:rPr>
                <w:spacing w:val="6"/>
                <w:sz w:val="20"/>
                <w:szCs w:val="20"/>
              </w:rPr>
              <w:t>二级指标</w:t>
            </w:r>
          </w:p>
        </w:tc>
        <w:tc>
          <w:tcPr>
            <w:tcW w:w="1626" w:type="dxa"/>
            <w:vMerge w:val="restart"/>
            <w:tcBorders>
              <w:top w:val="single" w:color="000000" w:sz="10" w:space="0"/>
              <w:bottom w:val="nil"/>
            </w:tcBorders>
            <w:vAlign w:val="top"/>
          </w:tcPr>
          <w:p w14:paraId="31F1D9DA">
            <w:pPr>
              <w:spacing w:line="242" w:lineRule="auto"/>
              <w:rPr>
                <w:rFonts w:ascii="Arial"/>
                <w:sz w:val="21"/>
              </w:rPr>
            </w:pPr>
          </w:p>
          <w:p w14:paraId="1E136965">
            <w:pPr>
              <w:pStyle w:val="6"/>
              <w:spacing w:before="65" w:line="227" w:lineRule="auto"/>
              <w:ind w:left="295"/>
              <w:rPr>
                <w:sz w:val="20"/>
                <w:szCs w:val="20"/>
              </w:rPr>
            </w:pPr>
            <w:r>
              <w:rPr>
                <w:spacing w:val="7"/>
                <w:sz w:val="20"/>
                <w:szCs w:val="20"/>
              </w:rPr>
              <w:t>本项目情况</w:t>
            </w:r>
          </w:p>
        </w:tc>
        <w:tc>
          <w:tcPr>
            <w:tcW w:w="669" w:type="dxa"/>
            <w:vMerge w:val="restart"/>
            <w:tcBorders>
              <w:top w:val="single" w:color="000000" w:sz="10" w:space="0"/>
              <w:bottom w:val="nil"/>
            </w:tcBorders>
            <w:vAlign w:val="top"/>
          </w:tcPr>
          <w:p w14:paraId="0DEFC7A3">
            <w:pPr>
              <w:pStyle w:val="6"/>
              <w:spacing w:before="173" w:line="239" w:lineRule="auto"/>
              <w:ind w:left="29" w:right="16"/>
              <w:rPr>
                <w:sz w:val="20"/>
                <w:szCs w:val="20"/>
              </w:rPr>
            </w:pPr>
            <w:r>
              <w:rPr>
                <w:spacing w:val="5"/>
                <w:sz w:val="20"/>
                <w:szCs w:val="20"/>
              </w:rPr>
              <w:t>二级单</w:t>
            </w:r>
            <w:r>
              <w:rPr>
                <w:spacing w:val="1"/>
                <w:sz w:val="20"/>
                <w:szCs w:val="20"/>
              </w:rPr>
              <w:t xml:space="preserve"> </w:t>
            </w:r>
            <w:r>
              <w:rPr>
                <w:spacing w:val="5"/>
                <w:sz w:val="20"/>
                <w:szCs w:val="20"/>
              </w:rPr>
              <w:t>项指标</w:t>
            </w:r>
          </w:p>
        </w:tc>
        <w:tc>
          <w:tcPr>
            <w:tcW w:w="574" w:type="dxa"/>
            <w:vMerge w:val="restart"/>
            <w:tcBorders>
              <w:top w:val="single" w:color="000000" w:sz="10" w:space="0"/>
              <w:bottom w:val="nil"/>
              <w:right w:val="nil"/>
            </w:tcBorders>
            <w:vAlign w:val="top"/>
          </w:tcPr>
          <w:p w14:paraId="70E3E868">
            <w:pPr>
              <w:pStyle w:val="6"/>
              <w:spacing w:before="36" w:line="239" w:lineRule="auto"/>
              <w:ind w:left="83" w:right="77" w:firstLine="3"/>
              <w:jc w:val="both"/>
              <w:rPr>
                <w:sz w:val="20"/>
                <w:szCs w:val="20"/>
              </w:rPr>
            </w:pPr>
            <w:r>
              <w:rPr>
                <w:spacing w:val="3"/>
                <w:sz w:val="20"/>
                <w:szCs w:val="20"/>
              </w:rPr>
              <w:t>综合</w:t>
            </w:r>
            <w:r>
              <w:rPr>
                <w:sz w:val="20"/>
                <w:szCs w:val="20"/>
              </w:rPr>
              <w:t xml:space="preserve"> </w:t>
            </w:r>
            <w:r>
              <w:rPr>
                <w:spacing w:val="5"/>
                <w:sz w:val="20"/>
                <w:szCs w:val="20"/>
              </w:rPr>
              <w:t>评价</w:t>
            </w:r>
            <w:r>
              <w:rPr>
                <w:sz w:val="20"/>
                <w:szCs w:val="20"/>
              </w:rPr>
              <w:t xml:space="preserve"> </w:t>
            </w:r>
            <w:r>
              <w:rPr>
                <w:spacing w:val="5"/>
                <w:sz w:val="20"/>
                <w:szCs w:val="20"/>
              </w:rPr>
              <w:t>指数</w:t>
            </w:r>
          </w:p>
        </w:tc>
      </w:tr>
      <w:tr w14:paraId="76E035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9" w:hRule="atLeast"/>
        </w:trPr>
        <w:tc>
          <w:tcPr>
            <w:tcW w:w="717" w:type="dxa"/>
            <w:tcBorders>
              <w:left w:val="nil"/>
            </w:tcBorders>
            <w:vAlign w:val="top"/>
          </w:tcPr>
          <w:p w14:paraId="62CE011B">
            <w:pPr>
              <w:pStyle w:val="6"/>
              <w:spacing w:before="162" w:line="228" w:lineRule="auto"/>
              <w:ind w:left="52"/>
              <w:rPr>
                <w:sz w:val="20"/>
                <w:szCs w:val="20"/>
              </w:rPr>
            </w:pPr>
            <w:r>
              <w:rPr>
                <w:spacing w:val="6"/>
                <w:sz w:val="20"/>
                <w:szCs w:val="20"/>
              </w:rPr>
              <w:t>指标项</w:t>
            </w:r>
          </w:p>
        </w:tc>
        <w:tc>
          <w:tcPr>
            <w:tcW w:w="762" w:type="dxa"/>
            <w:vAlign w:val="top"/>
          </w:tcPr>
          <w:p w14:paraId="58ECF40A">
            <w:pPr>
              <w:pStyle w:val="6"/>
              <w:spacing w:before="161" w:line="228" w:lineRule="auto"/>
              <w:ind w:left="70"/>
              <w:rPr>
                <w:sz w:val="20"/>
                <w:szCs w:val="20"/>
              </w:rPr>
            </w:pPr>
            <w:r>
              <w:rPr>
                <w:spacing w:val="7"/>
                <w:sz w:val="20"/>
                <w:szCs w:val="20"/>
              </w:rPr>
              <w:t>权重值</w:t>
            </w:r>
          </w:p>
        </w:tc>
        <w:tc>
          <w:tcPr>
            <w:tcW w:w="636" w:type="dxa"/>
            <w:vAlign w:val="top"/>
          </w:tcPr>
          <w:p w14:paraId="3442848E">
            <w:pPr>
              <w:pStyle w:val="6"/>
              <w:spacing w:before="161" w:line="229" w:lineRule="auto"/>
              <w:ind w:left="110"/>
              <w:rPr>
                <w:sz w:val="20"/>
                <w:szCs w:val="20"/>
              </w:rPr>
            </w:pPr>
            <w:r>
              <w:rPr>
                <w:spacing w:val="5"/>
                <w:sz w:val="20"/>
                <w:szCs w:val="20"/>
              </w:rPr>
              <w:t>序号</w:t>
            </w:r>
          </w:p>
        </w:tc>
        <w:tc>
          <w:tcPr>
            <w:tcW w:w="1965" w:type="dxa"/>
            <w:vAlign w:val="top"/>
          </w:tcPr>
          <w:p w14:paraId="356C3C27">
            <w:pPr>
              <w:pStyle w:val="6"/>
              <w:spacing w:before="162" w:line="228" w:lineRule="auto"/>
              <w:ind w:left="675"/>
              <w:rPr>
                <w:sz w:val="20"/>
                <w:szCs w:val="20"/>
              </w:rPr>
            </w:pPr>
            <w:r>
              <w:rPr>
                <w:spacing w:val="6"/>
                <w:sz w:val="20"/>
                <w:szCs w:val="20"/>
              </w:rPr>
              <w:t>指标项</w:t>
            </w:r>
          </w:p>
        </w:tc>
        <w:tc>
          <w:tcPr>
            <w:tcW w:w="949" w:type="dxa"/>
            <w:vAlign w:val="top"/>
          </w:tcPr>
          <w:p w14:paraId="2EE463D6">
            <w:pPr>
              <w:pStyle w:val="6"/>
              <w:spacing w:before="161" w:line="228" w:lineRule="auto"/>
              <w:ind w:left="64"/>
              <w:rPr>
                <w:sz w:val="20"/>
                <w:szCs w:val="20"/>
              </w:rPr>
            </w:pPr>
            <w:r>
              <w:rPr>
                <w:spacing w:val="6"/>
                <w:sz w:val="20"/>
                <w:szCs w:val="20"/>
              </w:rPr>
              <w:t>分权重值</w:t>
            </w:r>
          </w:p>
        </w:tc>
        <w:tc>
          <w:tcPr>
            <w:tcW w:w="2156" w:type="dxa"/>
            <w:vAlign w:val="top"/>
          </w:tcPr>
          <w:p w14:paraId="738B0434">
            <w:pPr>
              <w:pStyle w:val="6"/>
              <w:spacing w:before="161" w:line="228" w:lineRule="auto"/>
              <w:ind w:left="285"/>
              <w:rPr>
                <w:sz w:val="20"/>
                <w:szCs w:val="20"/>
              </w:rPr>
            </w:pPr>
            <w:r>
              <w:rPr>
                <w:rFonts w:ascii="Times New Roman" w:hAnsi="Times New Roman" w:eastAsia="Times New Roman" w:cs="Times New Roman"/>
                <w:spacing w:val="5"/>
                <w:sz w:val="20"/>
                <w:szCs w:val="20"/>
              </w:rPr>
              <w:t>Ⅰ</w:t>
            </w:r>
            <w:r>
              <w:rPr>
                <w:spacing w:val="5"/>
                <w:sz w:val="20"/>
                <w:szCs w:val="20"/>
              </w:rPr>
              <w:t>级基准值（</w:t>
            </w:r>
            <w:r>
              <w:rPr>
                <w:rFonts w:ascii="Times New Roman" w:hAnsi="Times New Roman" w:eastAsia="Times New Roman" w:cs="Times New Roman"/>
                <w:spacing w:val="5"/>
                <w:sz w:val="20"/>
                <w:szCs w:val="20"/>
              </w:rPr>
              <w:t>1.0</w:t>
            </w:r>
            <w:r>
              <w:rPr>
                <w:spacing w:val="5"/>
                <w:sz w:val="20"/>
                <w:szCs w:val="20"/>
              </w:rPr>
              <w:t>）</w:t>
            </w:r>
          </w:p>
        </w:tc>
        <w:tc>
          <w:tcPr>
            <w:tcW w:w="1811" w:type="dxa"/>
            <w:vAlign w:val="top"/>
          </w:tcPr>
          <w:p w14:paraId="3DCAFFE6">
            <w:pPr>
              <w:pStyle w:val="6"/>
              <w:spacing w:before="161" w:line="228" w:lineRule="auto"/>
              <w:ind w:left="78"/>
              <w:rPr>
                <w:sz w:val="20"/>
                <w:szCs w:val="20"/>
              </w:rPr>
            </w:pPr>
            <w:r>
              <w:rPr>
                <w:rFonts w:ascii="Times New Roman" w:hAnsi="Times New Roman" w:eastAsia="Times New Roman" w:cs="Times New Roman"/>
                <w:spacing w:val="6"/>
                <w:sz w:val="20"/>
                <w:szCs w:val="20"/>
              </w:rPr>
              <w:t>Ⅱ</w:t>
            </w:r>
            <w:r>
              <w:rPr>
                <w:spacing w:val="6"/>
                <w:sz w:val="20"/>
                <w:szCs w:val="20"/>
              </w:rPr>
              <w:t>级基准值（</w:t>
            </w:r>
            <w:r>
              <w:rPr>
                <w:rFonts w:ascii="Times New Roman" w:hAnsi="Times New Roman" w:eastAsia="Times New Roman" w:cs="Times New Roman"/>
                <w:spacing w:val="6"/>
                <w:sz w:val="20"/>
                <w:szCs w:val="20"/>
              </w:rPr>
              <w:t>0.8</w:t>
            </w:r>
            <w:r>
              <w:rPr>
                <w:spacing w:val="6"/>
                <w:sz w:val="20"/>
                <w:szCs w:val="20"/>
              </w:rPr>
              <w:t>）</w:t>
            </w:r>
          </w:p>
        </w:tc>
        <w:tc>
          <w:tcPr>
            <w:tcW w:w="2133" w:type="dxa"/>
            <w:vAlign w:val="top"/>
          </w:tcPr>
          <w:p w14:paraId="774BC076">
            <w:pPr>
              <w:pStyle w:val="6"/>
              <w:spacing w:before="161" w:line="228" w:lineRule="auto"/>
              <w:ind w:left="206"/>
              <w:rPr>
                <w:sz w:val="20"/>
                <w:szCs w:val="20"/>
              </w:rPr>
            </w:pPr>
            <w:r>
              <w:rPr>
                <w:rFonts w:ascii="Times New Roman" w:hAnsi="Times New Roman" w:eastAsia="Times New Roman" w:cs="Times New Roman"/>
                <w:spacing w:val="6"/>
                <w:sz w:val="20"/>
                <w:szCs w:val="20"/>
              </w:rPr>
              <w:t>Ⅲ</w:t>
            </w:r>
            <w:r>
              <w:rPr>
                <w:spacing w:val="6"/>
                <w:sz w:val="20"/>
                <w:szCs w:val="20"/>
              </w:rPr>
              <w:t>级基准值（</w:t>
            </w:r>
            <w:r>
              <w:rPr>
                <w:rFonts w:ascii="Times New Roman" w:hAnsi="Times New Roman" w:eastAsia="Times New Roman" w:cs="Times New Roman"/>
                <w:spacing w:val="6"/>
                <w:sz w:val="20"/>
                <w:szCs w:val="20"/>
              </w:rPr>
              <w:t>0.6</w:t>
            </w:r>
            <w:r>
              <w:rPr>
                <w:spacing w:val="6"/>
                <w:sz w:val="20"/>
                <w:szCs w:val="20"/>
              </w:rPr>
              <w:t>）</w:t>
            </w:r>
          </w:p>
        </w:tc>
        <w:tc>
          <w:tcPr>
            <w:tcW w:w="1626" w:type="dxa"/>
            <w:vMerge w:val="continue"/>
            <w:tcBorders>
              <w:top w:val="nil"/>
            </w:tcBorders>
            <w:vAlign w:val="top"/>
          </w:tcPr>
          <w:p w14:paraId="0E63B88A">
            <w:pPr>
              <w:rPr>
                <w:rFonts w:ascii="Arial"/>
                <w:sz w:val="21"/>
              </w:rPr>
            </w:pPr>
          </w:p>
        </w:tc>
        <w:tc>
          <w:tcPr>
            <w:tcW w:w="669" w:type="dxa"/>
            <w:vMerge w:val="continue"/>
            <w:tcBorders>
              <w:top w:val="nil"/>
            </w:tcBorders>
            <w:vAlign w:val="top"/>
          </w:tcPr>
          <w:p w14:paraId="2E7B475B">
            <w:pPr>
              <w:rPr>
                <w:rFonts w:ascii="Arial"/>
                <w:sz w:val="21"/>
              </w:rPr>
            </w:pPr>
          </w:p>
        </w:tc>
        <w:tc>
          <w:tcPr>
            <w:tcW w:w="574" w:type="dxa"/>
            <w:vMerge w:val="continue"/>
            <w:tcBorders>
              <w:top w:val="nil"/>
              <w:right w:val="nil"/>
            </w:tcBorders>
            <w:vAlign w:val="top"/>
          </w:tcPr>
          <w:p w14:paraId="6CCC371D">
            <w:pPr>
              <w:rPr>
                <w:rFonts w:ascii="Arial"/>
                <w:sz w:val="21"/>
              </w:rPr>
            </w:pPr>
          </w:p>
        </w:tc>
      </w:tr>
      <w:tr w14:paraId="20F6E3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17" w:type="dxa"/>
            <w:vMerge w:val="restart"/>
            <w:tcBorders>
              <w:left w:val="nil"/>
              <w:bottom w:val="nil"/>
            </w:tcBorders>
            <w:vAlign w:val="top"/>
          </w:tcPr>
          <w:p w14:paraId="4204C072">
            <w:pPr>
              <w:spacing w:line="241" w:lineRule="auto"/>
              <w:rPr>
                <w:rFonts w:ascii="Arial"/>
                <w:sz w:val="21"/>
              </w:rPr>
            </w:pPr>
          </w:p>
          <w:p w14:paraId="72D2D985">
            <w:pPr>
              <w:pStyle w:val="6"/>
              <w:spacing w:before="65"/>
              <w:ind w:left="50" w:right="43" w:firstLine="8"/>
              <w:rPr>
                <w:sz w:val="20"/>
                <w:szCs w:val="20"/>
              </w:rPr>
            </w:pPr>
            <w:r>
              <w:rPr>
                <w:spacing w:val="3"/>
                <w:sz w:val="20"/>
                <w:szCs w:val="20"/>
              </w:rPr>
              <w:t>资源综</w:t>
            </w:r>
            <w:r>
              <w:rPr>
                <w:spacing w:val="1"/>
                <w:sz w:val="20"/>
                <w:szCs w:val="20"/>
              </w:rPr>
              <w:t xml:space="preserve"> </w:t>
            </w:r>
            <w:r>
              <w:rPr>
                <w:spacing w:val="6"/>
                <w:sz w:val="20"/>
                <w:szCs w:val="20"/>
              </w:rPr>
              <w:t>合利用</w:t>
            </w:r>
          </w:p>
        </w:tc>
        <w:tc>
          <w:tcPr>
            <w:tcW w:w="762" w:type="dxa"/>
            <w:vMerge w:val="restart"/>
            <w:tcBorders>
              <w:bottom w:val="nil"/>
            </w:tcBorders>
            <w:vAlign w:val="top"/>
          </w:tcPr>
          <w:p w14:paraId="3E58089C">
            <w:pPr>
              <w:spacing w:line="421" w:lineRule="auto"/>
              <w:rPr>
                <w:rFonts w:ascii="Arial"/>
                <w:sz w:val="21"/>
              </w:rPr>
            </w:pPr>
          </w:p>
          <w:p w14:paraId="4667EC96">
            <w:pPr>
              <w:spacing w:before="58" w:line="195"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636" w:type="dxa"/>
            <w:vAlign w:val="top"/>
          </w:tcPr>
          <w:p w14:paraId="22155082">
            <w:pPr>
              <w:spacing w:before="66" w:line="195" w:lineRule="auto"/>
              <w:ind w:left="286"/>
              <w:outlineLvl w:val="1"/>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965" w:type="dxa"/>
            <w:vAlign w:val="top"/>
          </w:tcPr>
          <w:p w14:paraId="2CD95CFC">
            <w:pPr>
              <w:pStyle w:val="6"/>
              <w:spacing w:before="30" w:line="213" w:lineRule="auto"/>
              <w:ind w:left="169"/>
              <w:rPr>
                <w:rFonts w:ascii="Times New Roman" w:hAnsi="Times New Roman" w:eastAsia="Times New Roman" w:cs="Times New Roman"/>
                <w:sz w:val="20"/>
                <w:szCs w:val="20"/>
              </w:rPr>
            </w:pPr>
            <w:r>
              <w:rPr>
                <w:spacing w:val="8"/>
                <w:sz w:val="20"/>
                <w:szCs w:val="20"/>
              </w:rPr>
              <w:t>水重复利用率，</w:t>
            </w:r>
            <w:r>
              <w:rPr>
                <w:rFonts w:ascii="Times New Roman" w:hAnsi="Times New Roman" w:eastAsia="Times New Roman" w:cs="Times New Roman"/>
                <w:spacing w:val="8"/>
                <w:sz w:val="20"/>
                <w:szCs w:val="20"/>
              </w:rPr>
              <w:t>%</w:t>
            </w:r>
          </w:p>
        </w:tc>
        <w:tc>
          <w:tcPr>
            <w:tcW w:w="949" w:type="dxa"/>
            <w:vAlign w:val="top"/>
          </w:tcPr>
          <w:p w14:paraId="3BA423BF">
            <w:pPr>
              <w:spacing w:before="66"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0.27</w:t>
            </w:r>
          </w:p>
        </w:tc>
        <w:tc>
          <w:tcPr>
            <w:tcW w:w="2156" w:type="dxa"/>
            <w:vAlign w:val="top"/>
          </w:tcPr>
          <w:p w14:paraId="7C7C748C">
            <w:pPr>
              <w:spacing w:before="67" w:line="195" w:lineRule="auto"/>
              <w:ind w:left="9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≥97</w:t>
            </w:r>
          </w:p>
        </w:tc>
        <w:tc>
          <w:tcPr>
            <w:tcW w:w="1811" w:type="dxa"/>
            <w:vAlign w:val="top"/>
          </w:tcPr>
          <w:p w14:paraId="091351C8">
            <w:pPr>
              <w:spacing w:before="67" w:line="195" w:lineRule="auto"/>
              <w:ind w:left="74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≥95</w:t>
            </w:r>
          </w:p>
        </w:tc>
        <w:tc>
          <w:tcPr>
            <w:tcW w:w="2133" w:type="dxa"/>
            <w:vAlign w:val="top"/>
          </w:tcPr>
          <w:p w14:paraId="7DE75BFC">
            <w:pPr>
              <w:spacing w:before="67" w:line="195" w:lineRule="auto"/>
              <w:ind w:left="9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≥92</w:t>
            </w:r>
          </w:p>
        </w:tc>
        <w:tc>
          <w:tcPr>
            <w:tcW w:w="1626" w:type="dxa"/>
            <w:vAlign w:val="top"/>
          </w:tcPr>
          <w:p w14:paraId="6737AF84">
            <w:pPr>
              <w:spacing w:before="67" w:line="195" w:lineRule="auto"/>
              <w:ind w:left="65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≥95</w:t>
            </w:r>
          </w:p>
        </w:tc>
        <w:tc>
          <w:tcPr>
            <w:tcW w:w="669" w:type="dxa"/>
            <w:vAlign w:val="top"/>
          </w:tcPr>
          <w:p w14:paraId="2313E877">
            <w:pPr>
              <w:spacing w:before="66" w:line="195" w:lineRule="auto"/>
              <w:ind w:left="1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21.6</w:t>
            </w:r>
          </w:p>
        </w:tc>
        <w:tc>
          <w:tcPr>
            <w:tcW w:w="574" w:type="dxa"/>
            <w:vMerge w:val="restart"/>
            <w:tcBorders>
              <w:bottom w:val="nil"/>
              <w:right w:val="nil"/>
            </w:tcBorders>
            <w:vAlign w:val="top"/>
          </w:tcPr>
          <w:p w14:paraId="674C6DF6">
            <w:pPr>
              <w:spacing w:line="421" w:lineRule="auto"/>
              <w:rPr>
                <w:rFonts w:ascii="Arial"/>
                <w:sz w:val="21"/>
              </w:rPr>
            </w:pPr>
          </w:p>
          <w:p w14:paraId="1507DAF2">
            <w:pPr>
              <w:spacing w:before="58" w:line="195" w:lineRule="auto"/>
              <w:ind w:left="7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14.19</w:t>
            </w:r>
          </w:p>
        </w:tc>
      </w:tr>
      <w:tr w14:paraId="178274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717" w:type="dxa"/>
            <w:vMerge w:val="continue"/>
            <w:tcBorders>
              <w:top w:val="nil"/>
              <w:left w:val="nil"/>
              <w:bottom w:val="nil"/>
            </w:tcBorders>
            <w:vAlign w:val="top"/>
          </w:tcPr>
          <w:p w14:paraId="7E804271">
            <w:pPr>
              <w:rPr>
                <w:rFonts w:ascii="Arial"/>
                <w:sz w:val="21"/>
              </w:rPr>
            </w:pPr>
          </w:p>
        </w:tc>
        <w:tc>
          <w:tcPr>
            <w:tcW w:w="762" w:type="dxa"/>
            <w:vMerge w:val="continue"/>
            <w:tcBorders>
              <w:top w:val="nil"/>
              <w:bottom w:val="nil"/>
            </w:tcBorders>
            <w:vAlign w:val="top"/>
          </w:tcPr>
          <w:p w14:paraId="70224616">
            <w:pPr>
              <w:rPr>
                <w:rFonts w:ascii="Arial"/>
                <w:sz w:val="21"/>
              </w:rPr>
            </w:pPr>
          </w:p>
        </w:tc>
        <w:tc>
          <w:tcPr>
            <w:tcW w:w="636" w:type="dxa"/>
            <w:vAlign w:val="top"/>
          </w:tcPr>
          <w:p w14:paraId="777D5BF1">
            <w:pPr>
              <w:spacing w:before="66" w:line="195" w:lineRule="auto"/>
              <w:ind w:left="266"/>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965" w:type="dxa"/>
            <w:vAlign w:val="top"/>
          </w:tcPr>
          <w:p w14:paraId="628A1E50">
            <w:pPr>
              <w:pStyle w:val="6"/>
              <w:spacing w:before="30" w:line="214" w:lineRule="auto"/>
              <w:ind w:left="61"/>
              <w:rPr>
                <w:rFonts w:ascii="Times New Roman" w:hAnsi="Times New Roman" w:eastAsia="Times New Roman" w:cs="Times New Roman"/>
                <w:sz w:val="20"/>
                <w:szCs w:val="20"/>
              </w:rPr>
            </w:pPr>
            <w:r>
              <w:rPr>
                <w:spacing w:val="8"/>
                <w:sz w:val="20"/>
                <w:szCs w:val="20"/>
              </w:rPr>
              <w:t>煤气回收利用率，</w:t>
            </w:r>
            <w:r>
              <w:rPr>
                <w:rFonts w:ascii="Times New Roman" w:hAnsi="Times New Roman" w:eastAsia="Times New Roman" w:cs="Times New Roman"/>
                <w:spacing w:val="8"/>
                <w:sz w:val="20"/>
                <w:szCs w:val="20"/>
              </w:rPr>
              <w:t>%</w:t>
            </w:r>
          </w:p>
        </w:tc>
        <w:tc>
          <w:tcPr>
            <w:tcW w:w="949" w:type="dxa"/>
            <w:vAlign w:val="top"/>
          </w:tcPr>
          <w:p w14:paraId="757EC690">
            <w:pPr>
              <w:spacing w:before="66"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0.27</w:t>
            </w:r>
          </w:p>
        </w:tc>
        <w:tc>
          <w:tcPr>
            <w:tcW w:w="2156" w:type="dxa"/>
            <w:vAlign w:val="top"/>
          </w:tcPr>
          <w:p w14:paraId="5AE6F368">
            <w:pPr>
              <w:spacing w:before="66" w:line="195" w:lineRule="auto"/>
              <w:ind w:left="9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1811" w:type="dxa"/>
            <w:vAlign w:val="top"/>
          </w:tcPr>
          <w:p w14:paraId="4AC53D6E">
            <w:pPr>
              <w:spacing w:before="67" w:line="195" w:lineRule="auto"/>
              <w:ind w:left="74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≥95</w:t>
            </w:r>
          </w:p>
        </w:tc>
        <w:tc>
          <w:tcPr>
            <w:tcW w:w="2133" w:type="dxa"/>
            <w:vAlign w:val="top"/>
          </w:tcPr>
          <w:p w14:paraId="2EC51063">
            <w:pPr>
              <w:pStyle w:val="6"/>
              <w:spacing w:before="30" w:line="214" w:lineRule="auto"/>
              <w:ind w:left="291"/>
              <w:rPr>
                <w:rFonts w:ascii="Times New Roman" w:hAnsi="Times New Roman" w:eastAsia="Times New Roman" w:cs="Times New Roman"/>
                <w:sz w:val="20"/>
                <w:szCs w:val="20"/>
              </w:rPr>
            </w:pPr>
            <w:r>
              <w:rPr>
                <w:spacing w:val="6"/>
                <w:sz w:val="20"/>
                <w:szCs w:val="20"/>
              </w:rPr>
              <w:t>（全封闭炉）</w:t>
            </w:r>
            <w:r>
              <w:rPr>
                <w:rFonts w:ascii="Times New Roman" w:hAnsi="Times New Roman" w:eastAsia="Times New Roman" w:cs="Times New Roman"/>
                <w:spacing w:val="6"/>
                <w:sz w:val="20"/>
                <w:szCs w:val="20"/>
              </w:rPr>
              <w:t>≥85</w:t>
            </w:r>
          </w:p>
        </w:tc>
        <w:tc>
          <w:tcPr>
            <w:tcW w:w="1626" w:type="dxa"/>
            <w:vAlign w:val="top"/>
          </w:tcPr>
          <w:p w14:paraId="24BDF353">
            <w:pPr>
              <w:spacing w:before="66" w:line="195" w:lineRule="auto"/>
              <w:ind w:left="6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669" w:type="dxa"/>
            <w:vAlign w:val="top"/>
          </w:tcPr>
          <w:p w14:paraId="45670DC6">
            <w:pPr>
              <w:spacing w:before="66" w:line="195" w:lineRule="auto"/>
              <w:ind w:left="1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27.0</w:t>
            </w:r>
          </w:p>
        </w:tc>
        <w:tc>
          <w:tcPr>
            <w:tcW w:w="574" w:type="dxa"/>
            <w:vMerge w:val="continue"/>
            <w:tcBorders>
              <w:top w:val="nil"/>
              <w:bottom w:val="nil"/>
              <w:right w:val="nil"/>
            </w:tcBorders>
            <w:vAlign w:val="top"/>
          </w:tcPr>
          <w:p w14:paraId="683E8527">
            <w:pPr>
              <w:rPr>
                <w:rFonts w:ascii="Arial"/>
                <w:sz w:val="21"/>
              </w:rPr>
            </w:pPr>
          </w:p>
        </w:tc>
      </w:tr>
      <w:tr w14:paraId="78BF86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17" w:type="dxa"/>
            <w:vMerge w:val="continue"/>
            <w:tcBorders>
              <w:top w:val="nil"/>
              <w:left w:val="nil"/>
              <w:bottom w:val="nil"/>
            </w:tcBorders>
            <w:vAlign w:val="top"/>
          </w:tcPr>
          <w:p w14:paraId="697655D8">
            <w:pPr>
              <w:rPr>
                <w:rFonts w:ascii="Arial"/>
                <w:sz w:val="21"/>
              </w:rPr>
            </w:pPr>
          </w:p>
        </w:tc>
        <w:tc>
          <w:tcPr>
            <w:tcW w:w="762" w:type="dxa"/>
            <w:vMerge w:val="continue"/>
            <w:tcBorders>
              <w:top w:val="nil"/>
              <w:bottom w:val="nil"/>
            </w:tcBorders>
            <w:vAlign w:val="top"/>
          </w:tcPr>
          <w:p w14:paraId="7BAF7F4D">
            <w:pPr>
              <w:rPr>
                <w:rFonts w:ascii="Arial"/>
                <w:sz w:val="21"/>
              </w:rPr>
            </w:pPr>
          </w:p>
        </w:tc>
        <w:tc>
          <w:tcPr>
            <w:tcW w:w="636" w:type="dxa"/>
            <w:vAlign w:val="top"/>
          </w:tcPr>
          <w:p w14:paraId="09A4D1CD">
            <w:pPr>
              <w:spacing w:before="67" w:line="195" w:lineRule="auto"/>
              <w:ind w:left="270"/>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965" w:type="dxa"/>
            <w:vAlign w:val="top"/>
          </w:tcPr>
          <w:p w14:paraId="1419F433">
            <w:pPr>
              <w:pStyle w:val="6"/>
              <w:spacing w:before="32" w:line="211" w:lineRule="auto"/>
              <w:ind w:left="272"/>
              <w:rPr>
                <w:rFonts w:ascii="Times New Roman" w:hAnsi="Times New Roman" w:eastAsia="Times New Roman" w:cs="Times New Roman"/>
                <w:sz w:val="20"/>
                <w:szCs w:val="20"/>
              </w:rPr>
            </w:pPr>
            <w:r>
              <w:rPr>
                <w:spacing w:val="8"/>
                <w:sz w:val="20"/>
                <w:szCs w:val="20"/>
              </w:rPr>
              <w:t>炉渣利用率，</w:t>
            </w:r>
            <w:r>
              <w:rPr>
                <w:rFonts w:ascii="Times New Roman" w:hAnsi="Times New Roman" w:eastAsia="Times New Roman" w:cs="Times New Roman"/>
                <w:spacing w:val="8"/>
                <w:sz w:val="20"/>
                <w:szCs w:val="20"/>
              </w:rPr>
              <w:t>%</w:t>
            </w:r>
          </w:p>
        </w:tc>
        <w:tc>
          <w:tcPr>
            <w:tcW w:w="949" w:type="dxa"/>
            <w:vAlign w:val="top"/>
          </w:tcPr>
          <w:p w14:paraId="3E543759">
            <w:pPr>
              <w:spacing w:before="67"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0.20</w:t>
            </w:r>
          </w:p>
        </w:tc>
        <w:tc>
          <w:tcPr>
            <w:tcW w:w="2156" w:type="dxa"/>
            <w:vAlign w:val="top"/>
          </w:tcPr>
          <w:p w14:paraId="394F3DF3">
            <w:pPr>
              <w:spacing w:before="67" w:line="195" w:lineRule="auto"/>
              <w:ind w:left="9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1811" w:type="dxa"/>
            <w:vAlign w:val="top"/>
          </w:tcPr>
          <w:p w14:paraId="1A74D686">
            <w:pPr>
              <w:spacing w:before="68" w:line="195" w:lineRule="auto"/>
              <w:ind w:left="74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≥95</w:t>
            </w:r>
          </w:p>
        </w:tc>
        <w:tc>
          <w:tcPr>
            <w:tcW w:w="2133" w:type="dxa"/>
            <w:vAlign w:val="top"/>
          </w:tcPr>
          <w:p w14:paraId="0523910D">
            <w:pPr>
              <w:spacing w:before="68" w:line="195" w:lineRule="auto"/>
              <w:ind w:left="9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≥90</w:t>
            </w:r>
          </w:p>
        </w:tc>
        <w:tc>
          <w:tcPr>
            <w:tcW w:w="1626" w:type="dxa"/>
            <w:vAlign w:val="top"/>
          </w:tcPr>
          <w:p w14:paraId="7AA238CB">
            <w:pPr>
              <w:spacing w:before="67" w:line="195" w:lineRule="auto"/>
              <w:ind w:left="6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669" w:type="dxa"/>
            <w:vAlign w:val="top"/>
          </w:tcPr>
          <w:p w14:paraId="7B158246">
            <w:pPr>
              <w:spacing w:before="67" w:line="195" w:lineRule="auto"/>
              <w:ind w:left="1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574" w:type="dxa"/>
            <w:vMerge w:val="continue"/>
            <w:tcBorders>
              <w:top w:val="nil"/>
              <w:bottom w:val="nil"/>
              <w:right w:val="nil"/>
            </w:tcBorders>
            <w:vAlign w:val="top"/>
          </w:tcPr>
          <w:p w14:paraId="4E5E423E">
            <w:pPr>
              <w:rPr>
                <w:rFonts w:ascii="Arial"/>
                <w:sz w:val="21"/>
              </w:rPr>
            </w:pPr>
          </w:p>
        </w:tc>
      </w:tr>
      <w:tr w14:paraId="4E4BA5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17" w:type="dxa"/>
            <w:vMerge w:val="continue"/>
            <w:tcBorders>
              <w:top w:val="nil"/>
              <w:left w:val="nil"/>
            </w:tcBorders>
            <w:vAlign w:val="top"/>
          </w:tcPr>
          <w:p w14:paraId="003C846E">
            <w:pPr>
              <w:rPr>
                <w:rFonts w:ascii="Arial"/>
                <w:sz w:val="21"/>
              </w:rPr>
            </w:pPr>
          </w:p>
        </w:tc>
        <w:tc>
          <w:tcPr>
            <w:tcW w:w="762" w:type="dxa"/>
            <w:vMerge w:val="continue"/>
            <w:tcBorders>
              <w:top w:val="nil"/>
            </w:tcBorders>
            <w:vAlign w:val="top"/>
          </w:tcPr>
          <w:p w14:paraId="0608FD09">
            <w:pPr>
              <w:rPr>
                <w:rFonts w:ascii="Arial"/>
                <w:sz w:val="21"/>
              </w:rPr>
            </w:pPr>
          </w:p>
        </w:tc>
        <w:tc>
          <w:tcPr>
            <w:tcW w:w="636" w:type="dxa"/>
            <w:vAlign w:val="top"/>
          </w:tcPr>
          <w:p w14:paraId="59956F7F">
            <w:pPr>
              <w:spacing w:before="70" w:line="195" w:lineRule="auto"/>
              <w:ind w:left="26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965" w:type="dxa"/>
            <w:vAlign w:val="top"/>
          </w:tcPr>
          <w:p w14:paraId="1BF2E8CF">
            <w:pPr>
              <w:pStyle w:val="6"/>
              <w:spacing w:before="34" w:line="209" w:lineRule="auto"/>
              <w:ind w:left="62"/>
              <w:rPr>
                <w:rFonts w:ascii="Times New Roman" w:hAnsi="Times New Roman" w:eastAsia="Times New Roman" w:cs="Times New Roman"/>
                <w:sz w:val="20"/>
                <w:szCs w:val="20"/>
              </w:rPr>
            </w:pPr>
            <w:r>
              <w:rPr>
                <w:spacing w:val="8"/>
                <w:sz w:val="20"/>
                <w:szCs w:val="20"/>
              </w:rPr>
              <w:t>尘泥回收利用率，</w:t>
            </w:r>
            <w:r>
              <w:rPr>
                <w:rFonts w:ascii="Times New Roman" w:hAnsi="Times New Roman" w:eastAsia="Times New Roman" w:cs="Times New Roman"/>
                <w:spacing w:val="8"/>
                <w:sz w:val="20"/>
                <w:szCs w:val="20"/>
              </w:rPr>
              <w:t>%</w:t>
            </w:r>
          </w:p>
        </w:tc>
        <w:tc>
          <w:tcPr>
            <w:tcW w:w="949" w:type="dxa"/>
            <w:vAlign w:val="top"/>
          </w:tcPr>
          <w:p w14:paraId="57C24E95">
            <w:pPr>
              <w:spacing w:before="70"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0.26</w:t>
            </w:r>
          </w:p>
        </w:tc>
        <w:tc>
          <w:tcPr>
            <w:tcW w:w="2156" w:type="dxa"/>
            <w:vAlign w:val="top"/>
          </w:tcPr>
          <w:p w14:paraId="44A3D3BC">
            <w:pPr>
              <w:spacing w:before="70" w:line="195" w:lineRule="auto"/>
              <w:ind w:left="9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1811" w:type="dxa"/>
            <w:vAlign w:val="top"/>
          </w:tcPr>
          <w:p w14:paraId="265C47FA">
            <w:pPr>
              <w:spacing w:before="70" w:line="195" w:lineRule="auto"/>
              <w:ind w:left="74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≥95</w:t>
            </w:r>
          </w:p>
        </w:tc>
        <w:tc>
          <w:tcPr>
            <w:tcW w:w="2133" w:type="dxa"/>
            <w:vAlign w:val="top"/>
          </w:tcPr>
          <w:p w14:paraId="7E7E1FBF">
            <w:pPr>
              <w:spacing w:before="70" w:line="195" w:lineRule="auto"/>
              <w:ind w:left="9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≥90</w:t>
            </w:r>
          </w:p>
        </w:tc>
        <w:tc>
          <w:tcPr>
            <w:tcW w:w="1626" w:type="dxa"/>
            <w:vAlign w:val="top"/>
          </w:tcPr>
          <w:p w14:paraId="4A785F1F">
            <w:pPr>
              <w:spacing w:before="70" w:line="195" w:lineRule="auto"/>
              <w:ind w:left="6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669" w:type="dxa"/>
            <w:vAlign w:val="top"/>
          </w:tcPr>
          <w:p w14:paraId="2CEC7FA0">
            <w:pPr>
              <w:spacing w:before="70" w:line="195" w:lineRule="auto"/>
              <w:ind w:left="1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26.0</w:t>
            </w:r>
          </w:p>
        </w:tc>
        <w:tc>
          <w:tcPr>
            <w:tcW w:w="574" w:type="dxa"/>
            <w:vMerge w:val="continue"/>
            <w:tcBorders>
              <w:top w:val="nil"/>
              <w:right w:val="nil"/>
            </w:tcBorders>
            <w:vAlign w:val="top"/>
          </w:tcPr>
          <w:p w14:paraId="277253ED">
            <w:pPr>
              <w:rPr>
                <w:rFonts w:ascii="Arial"/>
                <w:sz w:val="21"/>
              </w:rPr>
            </w:pPr>
          </w:p>
        </w:tc>
      </w:tr>
      <w:tr w14:paraId="27544F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717" w:type="dxa"/>
            <w:vMerge w:val="restart"/>
            <w:tcBorders>
              <w:left w:val="nil"/>
              <w:bottom w:val="nil"/>
            </w:tcBorders>
            <w:vAlign w:val="top"/>
          </w:tcPr>
          <w:p w14:paraId="3FD39A7F">
            <w:pPr>
              <w:spacing w:line="257" w:lineRule="auto"/>
              <w:rPr>
                <w:rFonts w:ascii="Arial"/>
                <w:sz w:val="21"/>
              </w:rPr>
            </w:pPr>
          </w:p>
          <w:p w14:paraId="74FD3226">
            <w:pPr>
              <w:spacing w:line="257" w:lineRule="auto"/>
              <w:rPr>
                <w:rFonts w:ascii="Arial"/>
                <w:sz w:val="21"/>
              </w:rPr>
            </w:pPr>
          </w:p>
          <w:p w14:paraId="40538F0F">
            <w:pPr>
              <w:spacing w:line="258" w:lineRule="auto"/>
              <w:rPr>
                <w:rFonts w:ascii="Arial"/>
                <w:sz w:val="21"/>
              </w:rPr>
            </w:pPr>
          </w:p>
          <w:p w14:paraId="1F7FB7B7">
            <w:pPr>
              <w:spacing w:line="258" w:lineRule="auto"/>
              <w:rPr>
                <w:rFonts w:ascii="Arial"/>
                <w:sz w:val="21"/>
              </w:rPr>
            </w:pPr>
          </w:p>
          <w:p w14:paraId="7762B587">
            <w:pPr>
              <w:spacing w:line="258" w:lineRule="auto"/>
              <w:rPr>
                <w:rFonts w:ascii="Arial"/>
                <w:sz w:val="21"/>
              </w:rPr>
            </w:pPr>
          </w:p>
          <w:p w14:paraId="63A1EAB2">
            <w:pPr>
              <w:spacing w:line="258" w:lineRule="auto"/>
              <w:rPr>
                <w:rFonts w:ascii="Arial"/>
                <w:sz w:val="21"/>
              </w:rPr>
            </w:pPr>
          </w:p>
          <w:p w14:paraId="668C024D">
            <w:pPr>
              <w:spacing w:line="258" w:lineRule="auto"/>
              <w:rPr>
                <w:rFonts w:ascii="Arial"/>
                <w:sz w:val="21"/>
              </w:rPr>
            </w:pPr>
          </w:p>
          <w:p w14:paraId="39B7994F">
            <w:pPr>
              <w:spacing w:line="258" w:lineRule="auto"/>
              <w:rPr>
                <w:rFonts w:ascii="Arial"/>
                <w:sz w:val="21"/>
              </w:rPr>
            </w:pPr>
          </w:p>
          <w:p w14:paraId="48E62C69">
            <w:pPr>
              <w:spacing w:line="258" w:lineRule="auto"/>
              <w:rPr>
                <w:rFonts w:ascii="Arial"/>
                <w:sz w:val="21"/>
              </w:rPr>
            </w:pPr>
          </w:p>
          <w:p w14:paraId="513FB2A1">
            <w:pPr>
              <w:spacing w:line="258" w:lineRule="auto"/>
              <w:rPr>
                <w:rFonts w:ascii="Arial"/>
                <w:sz w:val="21"/>
              </w:rPr>
            </w:pPr>
          </w:p>
          <w:p w14:paraId="2C11BEE4">
            <w:pPr>
              <w:spacing w:line="258" w:lineRule="auto"/>
              <w:rPr>
                <w:rFonts w:ascii="Arial"/>
                <w:sz w:val="21"/>
              </w:rPr>
            </w:pPr>
          </w:p>
          <w:p w14:paraId="68A7442A">
            <w:pPr>
              <w:spacing w:line="258" w:lineRule="auto"/>
              <w:rPr>
                <w:rFonts w:ascii="Arial"/>
                <w:sz w:val="21"/>
              </w:rPr>
            </w:pPr>
          </w:p>
          <w:p w14:paraId="63BCCEEA">
            <w:pPr>
              <w:pStyle w:val="6"/>
              <w:spacing w:before="65" w:line="239" w:lineRule="auto"/>
              <w:ind w:left="49" w:right="43"/>
              <w:rPr>
                <w:sz w:val="20"/>
                <w:szCs w:val="20"/>
              </w:rPr>
            </w:pPr>
            <w:r>
              <w:rPr>
                <w:spacing w:val="6"/>
                <w:sz w:val="20"/>
                <w:szCs w:val="20"/>
              </w:rPr>
              <w:t>清洁生</w:t>
            </w:r>
            <w:r>
              <w:rPr>
                <w:spacing w:val="1"/>
                <w:sz w:val="20"/>
                <w:szCs w:val="20"/>
              </w:rPr>
              <w:t xml:space="preserve"> </w:t>
            </w:r>
            <w:r>
              <w:rPr>
                <w:spacing w:val="6"/>
                <w:sz w:val="20"/>
                <w:szCs w:val="20"/>
              </w:rPr>
              <w:t>产管理</w:t>
            </w:r>
          </w:p>
        </w:tc>
        <w:tc>
          <w:tcPr>
            <w:tcW w:w="762" w:type="dxa"/>
            <w:vMerge w:val="restart"/>
            <w:tcBorders>
              <w:bottom w:val="nil"/>
            </w:tcBorders>
            <w:vAlign w:val="top"/>
          </w:tcPr>
          <w:p w14:paraId="547C2371">
            <w:pPr>
              <w:spacing w:line="251" w:lineRule="auto"/>
              <w:rPr>
                <w:rFonts w:ascii="Arial"/>
                <w:sz w:val="21"/>
              </w:rPr>
            </w:pPr>
          </w:p>
          <w:p w14:paraId="1E1BED5E">
            <w:pPr>
              <w:spacing w:line="251" w:lineRule="auto"/>
              <w:rPr>
                <w:rFonts w:ascii="Arial"/>
                <w:sz w:val="21"/>
              </w:rPr>
            </w:pPr>
          </w:p>
          <w:p w14:paraId="03B77785">
            <w:pPr>
              <w:spacing w:line="251" w:lineRule="auto"/>
              <w:rPr>
                <w:rFonts w:ascii="Arial"/>
                <w:sz w:val="21"/>
              </w:rPr>
            </w:pPr>
          </w:p>
          <w:p w14:paraId="7F48B7D0">
            <w:pPr>
              <w:spacing w:line="252" w:lineRule="auto"/>
              <w:rPr>
                <w:rFonts w:ascii="Arial"/>
                <w:sz w:val="21"/>
              </w:rPr>
            </w:pPr>
          </w:p>
          <w:p w14:paraId="6C7BC836">
            <w:pPr>
              <w:spacing w:line="252" w:lineRule="auto"/>
              <w:rPr>
                <w:rFonts w:ascii="Arial"/>
                <w:sz w:val="21"/>
              </w:rPr>
            </w:pPr>
          </w:p>
          <w:p w14:paraId="46473AB4">
            <w:pPr>
              <w:spacing w:line="252" w:lineRule="auto"/>
              <w:rPr>
                <w:rFonts w:ascii="Arial"/>
                <w:sz w:val="21"/>
              </w:rPr>
            </w:pPr>
          </w:p>
          <w:p w14:paraId="1CF40A1E">
            <w:pPr>
              <w:spacing w:line="252" w:lineRule="auto"/>
              <w:rPr>
                <w:rFonts w:ascii="Arial"/>
                <w:sz w:val="21"/>
              </w:rPr>
            </w:pPr>
          </w:p>
          <w:p w14:paraId="54CDFD0E">
            <w:pPr>
              <w:spacing w:line="252" w:lineRule="auto"/>
              <w:rPr>
                <w:rFonts w:ascii="Arial"/>
                <w:sz w:val="21"/>
              </w:rPr>
            </w:pPr>
          </w:p>
          <w:p w14:paraId="009EDBC5">
            <w:pPr>
              <w:spacing w:line="252" w:lineRule="auto"/>
              <w:rPr>
                <w:rFonts w:ascii="Arial"/>
                <w:sz w:val="21"/>
              </w:rPr>
            </w:pPr>
          </w:p>
          <w:p w14:paraId="3946810E">
            <w:pPr>
              <w:spacing w:line="252" w:lineRule="auto"/>
              <w:rPr>
                <w:rFonts w:ascii="Arial"/>
                <w:sz w:val="21"/>
              </w:rPr>
            </w:pPr>
          </w:p>
          <w:p w14:paraId="21AE86A4">
            <w:pPr>
              <w:spacing w:line="252" w:lineRule="auto"/>
              <w:rPr>
                <w:rFonts w:ascii="Arial"/>
                <w:sz w:val="21"/>
              </w:rPr>
            </w:pPr>
          </w:p>
          <w:p w14:paraId="7D4C2659">
            <w:pPr>
              <w:spacing w:line="252" w:lineRule="auto"/>
              <w:rPr>
                <w:rFonts w:ascii="Arial"/>
                <w:sz w:val="21"/>
              </w:rPr>
            </w:pPr>
          </w:p>
          <w:p w14:paraId="785A39F3">
            <w:pPr>
              <w:spacing w:line="252" w:lineRule="auto"/>
              <w:rPr>
                <w:rFonts w:ascii="Arial"/>
                <w:sz w:val="21"/>
              </w:rPr>
            </w:pPr>
          </w:p>
          <w:p w14:paraId="5F1BA12A">
            <w:pPr>
              <w:spacing w:before="58" w:line="195" w:lineRule="auto"/>
              <w:ind w:left="2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636" w:type="dxa"/>
            <w:vAlign w:val="top"/>
          </w:tcPr>
          <w:p w14:paraId="3DD4513A">
            <w:pPr>
              <w:spacing w:before="70" w:line="195" w:lineRule="auto"/>
              <w:ind w:left="28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965" w:type="dxa"/>
            <w:vAlign w:val="top"/>
          </w:tcPr>
          <w:p w14:paraId="2A65CACF">
            <w:pPr>
              <w:pStyle w:val="6"/>
              <w:spacing w:before="34" w:line="210" w:lineRule="auto"/>
              <w:ind w:left="200"/>
              <w:rPr>
                <w:rFonts w:ascii="Times New Roman" w:hAnsi="Times New Roman" w:eastAsia="Times New Roman" w:cs="Times New Roman"/>
                <w:sz w:val="20"/>
                <w:szCs w:val="20"/>
              </w:rPr>
            </w:pPr>
            <w:r>
              <w:rPr>
                <w:spacing w:val="8"/>
                <w:sz w:val="20"/>
                <w:szCs w:val="20"/>
              </w:rPr>
              <w:t>产业政策符合性</w:t>
            </w:r>
            <w:r>
              <w:rPr>
                <w:rFonts w:ascii="Times New Roman" w:hAnsi="Times New Roman" w:eastAsia="Times New Roman" w:cs="Times New Roman"/>
                <w:spacing w:val="8"/>
                <w:sz w:val="20"/>
                <w:szCs w:val="20"/>
              </w:rPr>
              <w:t>*</w:t>
            </w:r>
          </w:p>
        </w:tc>
        <w:tc>
          <w:tcPr>
            <w:tcW w:w="949" w:type="dxa"/>
            <w:vAlign w:val="top"/>
          </w:tcPr>
          <w:p w14:paraId="4F817255">
            <w:pPr>
              <w:spacing w:before="70"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6100" w:type="dxa"/>
            <w:gridSpan w:val="3"/>
            <w:vAlign w:val="top"/>
          </w:tcPr>
          <w:p w14:paraId="19C1CD89">
            <w:pPr>
              <w:pStyle w:val="6"/>
              <w:spacing w:before="34" w:line="210" w:lineRule="auto"/>
              <w:ind w:left="959"/>
              <w:rPr>
                <w:sz w:val="20"/>
                <w:szCs w:val="20"/>
              </w:rPr>
            </w:pPr>
            <w:r>
              <w:rPr>
                <w:spacing w:val="9"/>
                <w:sz w:val="20"/>
                <w:szCs w:val="20"/>
              </w:rPr>
              <w:t>未采用国家明令禁止和淘汰的生产工艺、装备</w:t>
            </w:r>
          </w:p>
        </w:tc>
        <w:tc>
          <w:tcPr>
            <w:tcW w:w="1626" w:type="dxa"/>
            <w:vAlign w:val="top"/>
          </w:tcPr>
          <w:p w14:paraId="15D85BC3">
            <w:pPr>
              <w:pStyle w:val="6"/>
              <w:spacing w:before="34" w:line="210" w:lineRule="auto"/>
              <w:ind w:left="506"/>
              <w:rPr>
                <w:sz w:val="20"/>
                <w:szCs w:val="20"/>
              </w:rPr>
            </w:pPr>
            <w:r>
              <w:rPr>
                <w:spacing w:val="5"/>
                <w:sz w:val="20"/>
                <w:szCs w:val="20"/>
              </w:rPr>
              <w:t>未采用</w:t>
            </w:r>
          </w:p>
        </w:tc>
        <w:tc>
          <w:tcPr>
            <w:tcW w:w="669" w:type="dxa"/>
            <w:vAlign w:val="top"/>
          </w:tcPr>
          <w:p w14:paraId="4941795F">
            <w:pPr>
              <w:spacing w:before="70"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15.0</w:t>
            </w:r>
          </w:p>
        </w:tc>
        <w:tc>
          <w:tcPr>
            <w:tcW w:w="574" w:type="dxa"/>
            <w:vMerge w:val="restart"/>
            <w:tcBorders>
              <w:bottom w:val="nil"/>
              <w:right w:val="nil"/>
            </w:tcBorders>
            <w:vAlign w:val="top"/>
          </w:tcPr>
          <w:p w14:paraId="1480A5DD">
            <w:pPr>
              <w:spacing w:line="251" w:lineRule="auto"/>
              <w:rPr>
                <w:rFonts w:ascii="Arial"/>
                <w:sz w:val="21"/>
              </w:rPr>
            </w:pPr>
          </w:p>
          <w:p w14:paraId="04348C33">
            <w:pPr>
              <w:spacing w:line="251" w:lineRule="auto"/>
              <w:rPr>
                <w:rFonts w:ascii="Arial"/>
                <w:sz w:val="21"/>
              </w:rPr>
            </w:pPr>
          </w:p>
          <w:p w14:paraId="4366D904">
            <w:pPr>
              <w:spacing w:line="251" w:lineRule="auto"/>
              <w:rPr>
                <w:rFonts w:ascii="Arial"/>
                <w:sz w:val="21"/>
              </w:rPr>
            </w:pPr>
          </w:p>
          <w:p w14:paraId="69C17D8E">
            <w:pPr>
              <w:spacing w:line="252" w:lineRule="auto"/>
              <w:rPr>
                <w:rFonts w:ascii="Arial"/>
                <w:sz w:val="21"/>
              </w:rPr>
            </w:pPr>
          </w:p>
          <w:p w14:paraId="4C255787">
            <w:pPr>
              <w:spacing w:line="252" w:lineRule="auto"/>
              <w:rPr>
                <w:rFonts w:ascii="Arial"/>
                <w:sz w:val="21"/>
              </w:rPr>
            </w:pPr>
          </w:p>
          <w:p w14:paraId="0ABF01B9">
            <w:pPr>
              <w:spacing w:line="252" w:lineRule="auto"/>
              <w:rPr>
                <w:rFonts w:ascii="Arial"/>
                <w:sz w:val="21"/>
              </w:rPr>
            </w:pPr>
          </w:p>
          <w:p w14:paraId="7F52A93D">
            <w:pPr>
              <w:spacing w:line="252" w:lineRule="auto"/>
              <w:rPr>
                <w:rFonts w:ascii="Arial"/>
                <w:sz w:val="21"/>
              </w:rPr>
            </w:pPr>
          </w:p>
          <w:p w14:paraId="558A5E55">
            <w:pPr>
              <w:spacing w:line="252" w:lineRule="auto"/>
              <w:rPr>
                <w:rFonts w:ascii="Arial"/>
                <w:sz w:val="21"/>
              </w:rPr>
            </w:pPr>
          </w:p>
          <w:p w14:paraId="043DA0D4">
            <w:pPr>
              <w:spacing w:line="252" w:lineRule="auto"/>
              <w:rPr>
                <w:rFonts w:ascii="Arial"/>
                <w:sz w:val="21"/>
              </w:rPr>
            </w:pPr>
          </w:p>
          <w:p w14:paraId="74664344">
            <w:pPr>
              <w:spacing w:line="252" w:lineRule="auto"/>
              <w:rPr>
                <w:rFonts w:ascii="Arial"/>
                <w:sz w:val="21"/>
              </w:rPr>
            </w:pPr>
          </w:p>
          <w:p w14:paraId="45F7329D">
            <w:pPr>
              <w:spacing w:line="252" w:lineRule="auto"/>
              <w:rPr>
                <w:rFonts w:ascii="Arial"/>
                <w:sz w:val="21"/>
              </w:rPr>
            </w:pPr>
          </w:p>
          <w:p w14:paraId="33759928">
            <w:pPr>
              <w:spacing w:line="252" w:lineRule="auto"/>
              <w:rPr>
                <w:rFonts w:ascii="Arial"/>
                <w:sz w:val="21"/>
              </w:rPr>
            </w:pPr>
          </w:p>
          <w:p w14:paraId="7D30A30D">
            <w:pPr>
              <w:spacing w:line="252" w:lineRule="auto"/>
              <w:rPr>
                <w:rFonts w:ascii="Arial"/>
                <w:sz w:val="21"/>
              </w:rPr>
            </w:pPr>
          </w:p>
          <w:p w14:paraId="4D99C3F1">
            <w:pPr>
              <w:spacing w:before="58" w:line="195" w:lineRule="auto"/>
              <w:ind w:left="16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9.2</w:t>
            </w:r>
          </w:p>
        </w:tc>
      </w:tr>
      <w:tr w14:paraId="008F10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717" w:type="dxa"/>
            <w:vMerge w:val="continue"/>
            <w:tcBorders>
              <w:top w:val="nil"/>
              <w:left w:val="nil"/>
              <w:bottom w:val="nil"/>
            </w:tcBorders>
            <w:vAlign w:val="top"/>
          </w:tcPr>
          <w:p w14:paraId="1D760192">
            <w:pPr>
              <w:rPr>
                <w:rFonts w:ascii="Arial"/>
                <w:sz w:val="21"/>
              </w:rPr>
            </w:pPr>
          </w:p>
        </w:tc>
        <w:tc>
          <w:tcPr>
            <w:tcW w:w="762" w:type="dxa"/>
            <w:vMerge w:val="continue"/>
            <w:tcBorders>
              <w:top w:val="nil"/>
              <w:bottom w:val="nil"/>
            </w:tcBorders>
            <w:vAlign w:val="top"/>
          </w:tcPr>
          <w:p w14:paraId="7BD5456E">
            <w:pPr>
              <w:rPr>
                <w:rFonts w:ascii="Arial"/>
                <w:sz w:val="21"/>
              </w:rPr>
            </w:pPr>
          </w:p>
        </w:tc>
        <w:tc>
          <w:tcPr>
            <w:tcW w:w="636" w:type="dxa"/>
            <w:vAlign w:val="top"/>
          </w:tcPr>
          <w:p w14:paraId="22736441">
            <w:pPr>
              <w:spacing w:before="69" w:line="195" w:lineRule="auto"/>
              <w:ind w:left="266"/>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965" w:type="dxa"/>
            <w:vAlign w:val="top"/>
          </w:tcPr>
          <w:p w14:paraId="16100B5C">
            <w:pPr>
              <w:pStyle w:val="6"/>
              <w:spacing w:before="33" w:line="210" w:lineRule="auto"/>
              <w:ind w:left="513"/>
              <w:rPr>
                <w:rFonts w:ascii="Times New Roman" w:hAnsi="Times New Roman" w:eastAsia="Times New Roman" w:cs="Times New Roman"/>
                <w:sz w:val="20"/>
                <w:szCs w:val="20"/>
              </w:rPr>
            </w:pPr>
            <w:r>
              <w:rPr>
                <w:spacing w:val="7"/>
                <w:sz w:val="20"/>
                <w:szCs w:val="20"/>
              </w:rPr>
              <w:t>达标排放</w:t>
            </w:r>
            <w:r>
              <w:rPr>
                <w:rFonts w:ascii="Times New Roman" w:hAnsi="Times New Roman" w:eastAsia="Times New Roman" w:cs="Times New Roman"/>
                <w:spacing w:val="7"/>
                <w:sz w:val="20"/>
                <w:szCs w:val="20"/>
              </w:rPr>
              <w:t>*</w:t>
            </w:r>
          </w:p>
        </w:tc>
        <w:tc>
          <w:tcPr>
            <w:tcW w:w="949" w:type="dxa"/>
            <w:vAlign w:val="top"/>
          </w:tcPr>
          <w:p w14:paraId="33851ED2">
            <w:pPr>
              <w:spacing w:before="69"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6100" w:type="dxa"/>
            <w:gridSpan w:val="3"/>
            <w:vAlign w:val="top"/>
          </w:tcPr>
          <w:p w14:paraId="552B9EEE">
            <w:pPr>
              <w:pStyle w:val="6"/>
              <w:spacing w:before="33" w:line="210" w:lineRule="auto"/>
              <w:ind w:left="957"/>
              <w:rPr>
                <w:sz w:val="20"/>
                <w:szCs w:val="20"/>
              </w:rPr>
            </w:pPr>
            <w:r>
              <w:rPr>
                <w:spacing w:val="9"/>
                <w:sz w:val="20"/>
                <w:szCs w:val="20"/>
              </w:rPr>
              <w:t>污染物排放满足国家及地方政府相关规定要求</w:t>
            </w:r>
          </w:p>
        </w:tc>
        <w:tc>
          <w:tcPr>
            <w:tcW w:w="1626" w:type="dxa"/>
            <w:vAlign w:val="top"/>
          </w:tcPr>
          <w:p w14:paraId="62B92E92">
            <w:pPr>
              <w:pStyle w:val="6"/>
              <w:spacing w:before="33" w:line="210" w:lineRule="auto"/>
              <w:ind w:left="396"/>
              <w:rPr>
                <w:sz w:val="20"/>
                <w:szCs w:val="20"/>
              </w:rPr>
            </w:pPr>
            <w:r>
              <w:rPr>
                <w:spacing w:val="7"/>
                <w:sz w:val="20"/>
                <w:szCs w:val="20"/>
              </w:rPr>
              <w:t>达标排放</w:t>
            </w:r>
          </w:p>
        </w:tc>
        <w:tc>
          <w:tcPr>
            <w:tcW w:w="669" w:type="dxa"/>
            <w:vAlign w:val="top"/>
          </w:tcPr>
          <w:p w14:paraId="7DC386ED">
            <w:pPr>
              <w:spacing w:before="69"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15.0</w:t>
            </w:r>
          </w:p>
        </w:tc>
        <w:tc>
          <w:tcPr>
            <w:tcW w:w="574" w:type="dxa"/>
            <w:vMerge w:val="continue"/>
            <w:tcBorders>
              <w:top w:val="nil"/>
              <w:bottom w:val="nil"/>
              <w:right w:val="nil"/>
            </w:tcBorders>
            <w:vAlign w:val="top"/>
          </w:tcPr>
          <w:p w14:paraId="777A9870">
            <w:pPr>
              <w:rPr>
                <w:rFonts w:ascii="Arial"/>
                <w:sz w:val="21"/>
              </w:rPr>
            </w:pPr>
          </w:p>
        </w:tc>
      </w:tr>
      <w:tr w14:paraId="7CF164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717" w:type="dxa"/>
            <w:vMerge w:val="continue"/>
            <w:tcBorders>
              <w:top w:val="nil"/>
              <w:left w:val="nil"/>
              <w:bottom w:val="nil"/>
            </w:tcBorders>
            <w:vAlign w:val="top"/>
          </w:tcPr>
          <w:p w14:paraId="1CFFCE0B">
            <w:pPr>
              <w:rPr>
                <w:rFonts w:ascii="Arial"/>
                <w:sz w:val="21"/>
              </w:rPr>
            </w:pPr>
          </w:p>
        </w:tc>
        <w:tc>
          <w:tcPr>
            <w:tcW w:w="762" w:type="dxa"/>
            <w:vMerge w:val="continue"/>
            <w:tcBorders>
              <w:top w:val="nil"/>
              <w:bottom w:val="nil"/>
            </w:tcBorders>
            <w:vAlign w:val="top"/>
          </w:tcPr>
          <w:p w14:paraId="38A143F7">
            <w:pPr>
              <w:rPr>
                <w:rFonts w:ascii="Arial"/>
                <w:sz w:val="21"/>
              </w:rPr>
            </w:pPr>
          </w:p>
        </w:tc>
        <w:tc>
          <w:tcPr>
            <w:tcW w:w="636" w:type="dxa"/>
            <w:vAlign w:val="top"/>
          </w:tcPr>
          <w:p w14:paraId="0A57B4E9">
            <w:pPr>
              <w:spacing w:before="208" w:line="195" w:lineRule="auto"/>
              <w:ind w:left="270"/>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965" w:type="dxa"/>
            <w:vAlign w:val="top"/>
          </w:tcPr>
          <w:p w14:paraId="0542E439">
            <w:pPr>
              <w:pStyle w:val="6"/>
              <w:spacing w:before="170" w:line="228" w:lineRule="auto"/>
              <w:ind w:left="520"/>
              <w:rPr>
                <w:rFonts w:ascii="Times New Roman" w:hAnsi="Times New Roman" w:eastAsia="Times New Roman" w:cs="Times New Roman"/>
                <w:sz w:val="20"/>
                <w:szCs w:val="20"/>
              </w:rPr>
            </w:pPr>
            <w:r>
              <w:rPr>
                <w:spacing w:val="6"/>
                <w:sz w:val="20"/>
                <w:szCs w:val="20"/>
              </w:rPr>
              <w:t>总量控制</w:t>
            </w:r>
            <w:r>
              <w:rPr>
                <w:rFonts w:ascii="Times New Roman" w:hAnsi="Times New Roman" w:eastAsia="Times New Roman" w:cs="Times New Roman"/>
                <w:spacing w:val="6"/>
                <w:sz w:val="20"/>
                <w:szCs w:val="20"/>
              </w:rPr>
              <w:t>*</w:t>
            </w:r>
          </w:p>
        </w:tc>
        <w:tc>
          <w:tcPr>
            <w:tcW w:w="949" w:type="dxa"/>
            <w:vAlign w:val="top"/>
          </w:tcPr>
          <w:p w14:paraId="77900EAC">
            <w:pPr>
              <w:spacing w:before="208"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6100" w:type="dxa"/>
            <w:gridSpan w:val="3"/>
            <w:vAlign w:val="top"/>
          </w:tcPr>
          <w:p w14:paraId="2ABE42D7">
            <w:pPr>
              <w:pStyle w:val="6"/>
              <w:spacing w:before="36" w:line="229" w:lineRule="auto"/>
              <w:ind w:left="2423" w:right="4" w:hanging="2412"/>
              <w:rPr>
                <w:sz w:val="20"/>
                <w:szCs w:val="20"/>
              </w:rPr>
            </w:pPr>
            <w:r>
              <w:rPr>
                <w:spacing w:val="9"/>
                <w:sz w:val="20"/>
                <w:szCs w:val="20"/>
              </w:rPr>
              <w:t>污染物排放量、二氧化碳排放量及能源消耗量满足国家及地方政府</w:t>
            </w:r>
            <w:r>
              <w:rPr>
                <w:spacing w:val="16"/>
                <w:sz w:val="20"/>
                <w:szCs w:val="20"/>
              </w:rPr>
              <w:t xml:space="preserve"> </w:t>
            </w:r>
            <w:r>
              <w:rPr>
                <w:spacing w:val="8"/>
                <w:sz w:val="20"/>
                <w:szCs w:val="20"/>
              </w:rPr>
              <w:t>相关规定要求</w:t>
            </w:r>
          </w:p>
        </w:tc>
        <w:tc>
          <w:tcPr>
            <w:tcW w:w="1626" w:type="dxa"/>
            <w:vAlign w:val="top"/>
          </w:tcPr>
          <w:p w14:paraId="084C5C02">
            <w:pPr>
              <w:pStyle w:val="6"/>
              <w:spacing w:before="169" w:line="228" w:lineRule="auto"/>
              <w:ind w:left="608"/>
              <w:rPr>
                <w:sz w:val="20"/>
                <w:szCs w:val="20"/>
              </w:rPr>
            </w:pPr>
            <w:r>
              <w:rPr>
                <w:spacing w:val="4"/>
                <w:sz w:val="20"/>
                <w:szCs w:val="20"/>
              </w:rPr>
              <w:t>满足</w:t>
            </w:r>
          </w:p>
        </w:tc>
        <w:tc>
          <w:tcPr>
            <w:tcW w:w="669" w:type="dxa"/>
            <w:vAlign w:val="top"/>
          </w:tcPr>
          <w:p w14:paraId="220BA94C">
            <w:pPr>
              <w:spacing w:before="208"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15.0</w:t>
            </w:r>
          </w:p>
        </w:tc>
        <w:tc>
          <w:tcPr>
            <w:tcW w:w="574" w:type="dxa"/>
            <w:vMerge w:val="continue"/>
            <w:tcBorders>
              <w:top w:val="nil"/>
              <w:bottom w:val="nil"/>
              <w:right w:val="nil"/>
            </w:tcBorders>
            <w:vAlign w:val="top"/>
          </w:tcPr>
          <w:p w14:paraId="15CB3E1A">
            <w:pPr>
              <w:rPr>
                <w:rFonts w:ascii="Arial"/>
                <w:sz w:val="21"/>
              </w:rPr>
            </w:pPr>
          </w:p>
        </w:tc>
      </w:tr>
      <w:tr w14:paraId="40B8CA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29" w:hRule="atLeast"/>
        </w:trPr>
        <w:tc>
          <w:tcPr>
            <w:tcW w:w="717" w:type="dxa"/>
            <w:vMerge w:val="continue"/>
            <w:tcBorders>
              <w:top w:val="nil"/>
              <w:left w:val="nil"/>
              <w:bottom w:val="nil"/>
            </w:tcBorders>
            <w:vAlign w:val="top"/>
          </w:tcPr>
          <w:p w14:paraId="5EBC91F4">
            <w:pPr>
              <w:rPr>
                <w:rFonts w:ascii="Arial"/>
                <w:sz w:val="21"/>
              </w:rPr>
            </w:pPr>
          </w:p>
        </w:tc>
        <w:tc>
          <w:tcPr>
            <w:tcW w:w="762" w:type="dxa"/>
            <w:vMerge w:val="continue"/>
            <w:tcBorders>
              <w:top w:val="nil"/>
              <w:bottom w:val="nil"/>
            </w:tcBorders>
            <w:vAlign w:val="top"/>
          </w:tcPr>
          <w:p w14:paraId="2E292CD8">
            <w:pPr>
              <w:rPr>
                <w:rFonts w:ascii="Arial"/>
                <w:sz w:val="21"/>
              </w:rPr>
            </w:pPr>
          </w:p>
        </w:tc>
        <w:tc>
          <w:tcPr>
            <w:tcW w:w="636" w:type="dxa"/>
            <w:vAlign w:val="top"/>
          </w:tcPr>
          <w:p w14:paraId="53533F99">
            <w:pPr>
              <w:spacing w:line="346" w:lineRule="auto"/>
              <w:rPr>
                <w:rFonts w:ascii="Arial"/>
                <w:sz w:val="21"/>
              </w:rPr>
            </w:pPr>
          </w:p>
          <w:p w14:paraId="6556C30C">
            <w:pPr>
              <w:spacing w:line="347" w:lineRule="auto"/>
              <w:rPr>
                <w:rFonts w:ascii="Arial"/>
                <w:sz w:val="21"/>
              </w:rPr>
            </w:pPr>
          </w:p>
          <w:p w14:paraId="199BBAA0">
            <w:pPr>
              <w:spacing w:before="57" w:line="195" w:lineRule="auto"/>
              <w:ind w:left="26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965" w:type="dxa"/>
            <w:vAlign w:val="top"/>
          </w:tcPr>
          <w:p w14:paraId="16F0F0C1">
            <w:pPr>
              <w:spacing w:line="323" w:lineRule="auto"/>
              <w:rPr>
                <w:rFonts w:ascii="Arial"/>
                <w:sz w:val="21"/>
              </w:rPr>
            </w:pPr>
          </w:p>
          <w:p w14:paraId="740163C5">
            <w:pPr>
              <w:spacing w:line="324" w:lineRule="auto"/>
              <w:rPr>
                <w:rFonts w:ascii="Arial"/>
                <w:sz w:val="21"/>
              </w:rPr>
            </w:pPr>
          </w:p>
          <w:p w14:paraId="763D6A82">
            <w:pPr>
              <w:pStyle w:val="6"/>
              <w:spacing w:before="65" w:line="228" w:lineRule="auto"/>
              <w:ind w:left="101"/>
              <w:rPr>
                <w:rFonts w:ascii="Times New Roman" w:hAnsi="Times New Roman" w:eastAsia="Times New Roman" w:cs="Times New Roman"/>
                <w:sz w:val="20"/>
                <w:szCs w:val="20"/>
              </w:rPr>
            </w:pPr>
            <w:r>
              <w:rPr>
                <w:spacing w:val="7"/>
                <w:sz w:val="20"/>
                <w:szCs w:val="20"/>
              </w:rPr>
              <w:t>突发环境事件预防</w:t>
            </w:r>
            <w:r>
              <w:rPr>
                <w:rFonts w:ascii="Times New Roman" w:hAnsi="Times New Roman" w:eastAsia="Times New Roman" w:cs="Times New Roman"/>
                <w:spacing w:val="7"/>
                <w:sz w:val="20"/>
                <w:szCs w:val="20"/>
              </w:rPr>
              <w:t>*</w:t>
            </w:r>
          </w:p>
        </w:tc>
        <w:tc>
          <w:tcPr>
            <w:tcW w:w="949" w:type="dxa"/>
            <w:vAlign w:val="top"/>
          </w:tcPr>
          <w:p w14:paraId="59612490">
            <w:pPr>
              <w:spacing w:line="346" w:lineRule="auto"/>
              <w:rPr>
                <w:rFonts w:ascii="Arial"/>
                <w:sz w:val="21"/>
              </w:rPr>
            </w:pPr>
          </w:p>
          <w:p w14:paraId="58380DD4">
            <w:pPr>
              <w:spacing w:line="347" w:lineRule="auto"/>
              <w:rPr>
                <w:rFonts w:ascii="Arial"/>
                <w:sz w:val="21"/>
              </w:rPr>
            </w:pPr>
          </w:p>
          <w:p w14:paraId="261E8E83">
            <w:pPr>
              <w:spacing w:before="57"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6100" w:type="dxa"/>
            <w:gridSpan w:val="3"/>
            <w:vAlign w:val="top"/>
          </w:tcPr>
          <w:p w14:paraId="1BAAF6D9">
            <w:pPr>
              <w:spacing w:line="257" w:lineRule="auto"/>
              <w:rPr>
                <w:rFonts w:ascii="Arial"/>
                <w:sz w:val="21"/>
              </w:rPr>
            </w:pPr>
          </w:p>
          <w:p w14:paraId="53EAD6F7">
            <w:pPr>
              <w:spacing w:line="257" w:lineRule="auto"/>
              <w:rPr>
                <w:rFonts w:ascii="Arial"/>
                <w:sz w:val="21"/>
              </w:rPr>
            </w:pPr>
          </w:p>
          <w:p w14:paraId="3AA0AD67">
            <w:pPr>
              <w:pStyle w:val="6"/>
              <w:spacing w:before="65" w:line="239" w:lineRule="auto"/>
              <w:ind w:left="1688" w:right="4" w:hanging="1677"/>
              <w:rPr>
                <w:sz w:val="20"/>
                <w:szCs w:val="20"/>
              </w:rPr>
            </w:pPr>
            <w:r>
              <w:rPr>
                <w:spacing w:val="9"/>
                <w:sz w:val="20"/>
                <w:szCs w:val="20"/>
              </w:rPr>
              <w:t>按照国家相关规定要求，建立健全环境管理制度及污染事故防范措</w:t>
            </w:r>
            <w:r>
              <w:rPr>
                <w:spacing w:val="16"/>
                <w:sz w:val="20"/>
                <w:szCs w:val="20"/>
              </w:rPr>
              <w:t xml:space="preserve"> </w:t>
            </w:r>
            <w:r>
              <w:rPr>
                <w:spacing w:val="9"/>
                <w:sz w:val="20"/>
                <w:szCs w:val="20"/>
              </w:rPr>
              <w:t>施，无重大环境污染事故发生</w:t>
            </w:r>
          </w:p>
        </w:tc>
        <w:tc>
          <w:tcPr>
            <w:tcW w:w="1626" w:type="dxa"/>
            <w:vAlign w:val="top"/>
          </w:tcPr>
          <w:p w14:paraId="6C63614D">
            <w:pPr>
              <w:pStyle w:val="6"/>
              <w:spacing w:before="37" w:line="228" w:lineRule="auto"/>
              <w:ind w:left="83"/>
              <w:rPr>
                <w:sz w:val="20"/>
                <w:szCs w:val="20"/>
              </w:rPr>
            </w:pPr>
            <w:r>
              <w:rPr>
                <w:spacing w:val="8"/>
                <w:sz w:val="20"/>
                <w:szCs w:val="20"/>
              </w:rPr>
              <w:t>制定环境风险应</w:t>
            </w:r>
          </w:p>
          <w:p w14:paraId="22520742">
            <w:pPr>
              <w:pStyle w:val="6"/>
              <w:spacing w:before="24" w:line="226" w:lineRule="auto"/>
              <w:jc w:val="right"/>
              <w:rPr>
                <w:sz w:val="20"/>
                <w:szCs w:val="20"/>
              </w:rPr>
            </w:pPr>
            <w:r>
              <w:rPr>
                <w:sz w:val="20"/>
                <w:szCs w:val="20"/>
              </w:rPr>
              <w:t>急预案，报告中提</w:t>
            </w:r>
          </w:p>
          <w:p w14:paraId="6A389D88">
            <w:pPr>
              <w:pStyle w:val="6"/>
              <w:spacing w:before="28" w:line="228" w:lineRule="auto"/>
              <w:ind w:left="101"/>
              <w:rPr>
                <w:sz w:val="20"/>
                <w:szCs w:val="20"/>
              </w:rPr>
            </w:pPr>
            <w:r>
              <w:rPr>
                <w:spacing w:val="6"/>
                <w:sz w:val="20"/>
                <w:szCs w:val="20"/>
              </w:rPr>
              <w:t>出严格的防控措</w:t>
            </w:r>
          </w:p>
          <w:p w14:paraId="5A6CD4FD">
            <w:pPr>
              <w:pStyle w:val="6"/>
              <w:spacing w:before="24" w:line="228" w:lineRule="auto"/>
              <w:jc w:val="right"/>
              <w:rPr>
                <w:sz w:val="20"/>
                <w:szCs w:val="20"/>
              </w:rPr>
            </w:pPr>
            <w:r>
              <w:rPr>
                <w:spacing w:val="1"/>
                <w:sz w:val="20"/>
                <w:szCs w:val="20"/>
              </w:rPr>
              <w:t>施，现有工程未发</w:t>
            </w:r>
          </w:p>
          <w:p w14:paraId="67223551">
            <w:pPr>
              <w:pStyle w:val="6"/>
              <w:spacing w:before="26" w:line="228" w:lineRule="auto"/>
              <w:ind w:left="84"/>
              <w:rPr>
                <w:sz w:val="20"/>
                <w:szCs w:val="20"/>
              </w:rPr>
            </w:pPr>
            <w:r>
              <w:rPr>
                <w:spacing w:val="8"/>
                <w:sz w:val="20"/>
                <w:szCs w:val="20"/>
              </w:rPr>
              <w:t>生过重大环境污</w:t>
            </w:r>
          </w:p>
          <w:p w14:paraId="2A1775A3">
            <w:pPr>
              <w:pStyle w:val="6"/>
              <w:spacing w:before="24" w:line="204" w:lineRule="auto"/>
              <w:ind w:left="506"/>
              <w:rPr>
                <w:sz w:val="20"/>
                <w:szCs w:val="20"/>
              </w:rPr>
            </w:pPr>
            <w:r>
              <w:rPr>
                <w:spacing w:val="5"/>
                <w:sz w:val="20"/>
                <w:szCs w:val="20"/>
              </w:rPr>
              <w:t>染事故</w:t>
            </w:r>
          </w:p>
        </w:tc>
        <w:tc>
          <w:tcPr>
            <w:tcW w:w="669" w:type="dxa"/>
            <w:vAlign w:val="top"/>
          </w:tcPr>
          <w:p w14:paraId="4D7E0764">
            <w:pPr>
              <w:spacing w:line="346" w:lineRule="auto"/>
              <w:rPr>
                <w:rFonts w:ascii="Arial"/>
                <w:sz w:val="21"/>
              </w:rPr>
            </w:pPr>
          </w:p>
          <w:p w14:paraId="05479505">
            <w:pPr>
              <w:spacing w:line="347" w:lineRule="auto"/>
              <w:rPr>
                <w:rFonts w:ascii="Arial"/>
                <w:sz w:val="21"/>
              </w:rPr>
            </w:pPr>
          </w:p>
          <w:p w14:paraId="0E6F6E4B">
            <w:pPr>
              <w:spacing w:before="57"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15.0</w:t>
            </w:r>
          </w:p>
        </w:tc>
        <w:tc>
          <w:tcPr>
            <w:tcW w:w="574" w:type="dxa"/>
            <w:vMerge w:val="continue"/>
            <w:tcBorders>
              <w:top w:val="nil"/>
              <w:bottom w:val="nil"/>
              <w:right w:val="nil"/>
            </w:tcBorders>
            <w:vAlign w:val="top"/>
          </w:tcPr>
          <w:p w14:paraId="6E428853">
            <w:pPr>
              <w:rPr>
                <w:rFonts w:ascii="Arial"/>
                <w:sz w:val="21"/>
              </w:rPr>
            </w:pPr>
          </w:p>
        </w:tc>
      </w:tr>
      <w:tr w14:paraId="0F3249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5" w:hRule="atLeast"/>
        </w:trPr>
        <w:tc>
          <w:tcPr>
            <w:tcW w:w="717" w:type="dxa"/>
            <w:vMerge w:val="continue"/>
            <w:tcBorders>
              <w:top w:val="nil"/>
              <w:left w:val="nil"/>
              <w:bottom w:val="nil"/>
            </w:tcBorders>
            <w:vAlign w:val="top"/>
          </w:tcPr>
          <w:p w14:paraId="64B28C97">
            <w:pPr>
              <w:rPr>
                <w:rFonts w:ascii="Arial"/>
                <w:sz w:val="21"/>
              </w:rPr>
            </w:pPr>
          </w:p>
        </w:tc>
        <w:tc>
          <w:tcPr>
            <w:tcW w:w="762" w:type="dxa"/>
            <w:vMerge w:val="continue"/>
            <w:tcBorders>
              <w:top w:val="nil"/>
              <w:bottom w:val="nil"/>
            </w:tcBorders>
            <w:vAlign w:val="top"/>
          </w:tcPr>
          <w:p w14:paraId="0695E672">
            <w:pPr>
              <w:rPr>
                <w:rFonts w:ascii="Arial"/>
                <w:sz w:val="21"/>
              </w:rPr>
            </w:pPr>
          </w:p>
        </w:tc>
        <w:tc>
          <w:tcPr>
            <w:tcW w:w="636" w:type="dxa"/>
            <w:vAlign w:val="top"/>
          </w:tcPr>
          <w:p w14:paraId="26550240">
            <w:pPr>
              <w:spacing w:line="248" w:lineRule="auto"/>
              <w:rPr>
                <w:rFonts w:ascii="Arial"/>
                <w:sz w:val="21"/>
              </w:rPr>
            </w:pPr>
          </w:p>
          <w:p w14:paraId="332B7129">
            <w:pPr>
              <w:spacing w:line="248" w:lineRule="auto"/>
              <w:rPr>
                <w:rFonts w:ascii="Arial"/>
                <w:sz w:val="21"/>
              </w:rPr>
            </w:pPr>
          </w:p>
          <w:p w14:paraId="62277755">
            <w:pPr>
              <w:spacing w:line="248" w:lineRule="auto"/>
              <w:rPr>
                <w:rFonts w:ascii="Arial"/>
                <w:sz w:val="21"/>
              </w:rPr>
            </w:pPr>
          </w:p>
          <w:p w14:paraId="0D1AEF66">
            <w:pPr>
              <w:spacing w:line="248" w:lineRule="auto"/>
              <w:rPr>
                <w:rFonts w:ascii="Arial"/>
                <w:sz w:val="21"/>
              </w:rPr>
            </w:pPr>
          </w:p>
          <w:p w14:paraId="274DA3CE">
            <w:pPr>
              <w:spacing w:line="248" w:lineRule="auto"/>
              <w:rPr>
                <w:rFonts w:ascii="Arial"/>
                <w:sz w:val="21"/>
              </w:rPr>
            </w:pPr>
          </w:p>
          <w:p w14:paraId="73334631">
            <w:pPr>
              <w:spacing w:before="57" w:line="192" w:lineRule="auto"/>
              <w:ind w:left="271"/>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965" w:type="dxa"/>
            <w:vAlign w:val="top"/>
          </w:tcPr>
          <w:p w14:paraId="514753C9">
            <w:pPr>
              <w:spacing w:line="265" w:lineRule="auto"/>
              <w:rPr>
                <w:rFonts w:ascii="Arial"/>
                <w:sz w:val="21"/>
              </w:rPr>
            </w:pPr>
          </w:p>
          <w:p w14:paraId="3AF10CD3">
            <w:pPr>
              <w:spacing w:line="265" w:lineRule="auto"/>
              <w:rPr>
                <w:rFonts w:ascii="Arial"/>
                <w:sz w:val="21"/>
              </w:rPr>
            </w:pPr>
          </w:p>
          <w:p w14:paraId="2B5310E5">
            <w:pPr>
              <w:spacing w:line="265" w:lineRule="auto"/>
              <w:rPr>
                <w:rFonts w:ascii="Arial"/>
                <w:sz w:val="21"/>
              </w:rPr>
            </w:pPr>
          </w:p>
          <w:p w14:paraId="7BD2D0ED">
            <w:pPr>
              <w:spacing w:line="265" w:lineRule="auto"/>
              <w:rPr>
                <w:rFonts w:ascii="Arial"/>
                <w:sz w:val="21"/>
              </w:rPr>
            </w:pPr>
          </w:p>
          <w:p w14:paraId="7A218CA4">
            <w:pPr>
              <w:pStyle w:val="6"/>
              <w:spacing w:before="65"/>
              <w:ind w:left="885" w:right="37" w:hanging="841"/>
              <w:rPr>
                <w:sz w:val="20"/>
                <w:szCs w:val="20"/>
              </w:rPr>
            </w:pPr>
            <w:r>
              <w:rPr>
                <w:spacing w:val="8"/>
                <w:sz w:val="20"/>
                <w:szCs w:val="20"/>
              </w:rPr>
              <w:t>建立健全环境管理体</w:t>
            </w:r>
            <w:r>
              <w:rPr>
                <w:spacing w:val="5"/>
                <w:sz w:val="20"/>
                <w:szCs w:val="20"/>
              </w:rPr>
              <w:t xml:space="preserve"> </w:t>
            </w:r>
            <w:r>
              <w:rPr>
                <w:sz w:val="20"/>
                <w:szCs w:val="20"/>
              </w:rPr>
              <w:t>系</w:t>
            </w:r>
          </w:p>
        </w:tc>
        <w:tc>
          <w:tcPr>
            <w:tcW w:w="949" w:type="dxa"/>
            <w:vAlign w:val="top"/>
          </w:tcPr>
          <w:p w14:paraId="6A20BF1D">
            <w:pPr>
              <w:spacing w:line="247" w:lineRule="auto"/>
              <w:rPr>
                <w:rFonts w:ascii="Arial"/>
                <w:sz w:val="21"/>
              </w:rPr>
            </w:pPr>
          </w:p>
          <w:p w14:paraId="7397BF87">
            <w:pPr>
              <w:spacing w:line="247" w:lineRule="auto"/>
              <w:rPr>
                <w:rFonts w:ascii="Arial"/>
                <w:sz w:val="21"/>
              </w:rPr>
            </w:pPr>
          </w:p>
          <w:p w14:paraId="279BBDDA">
            <w:pPr>
              <w:spacing w:line="247" w:lineRule="auto"/>
              <w:rPr>
                <w:rFonts w:ascii="Arial"/>
                <w:sz w:val="21"/>
              </w:rPr>
            </w:pPr>
          </w:p>
          <w:p w14:paraId="1CCC299C">
            <w:pPr>
              <w:spacing w:line="248" w:lineRule="auto"/>
              <w:rPr>
                <w:rFonts w:ascii="Arial"/>
                <w:sz w:val="21"/>
              </w:rPr>
            </w:pPr>
          </w:p>
          <w:p w14:paraId="4B02B8D5">
            <w:pPr>
              <w:spacing w:line="248" w:lineRule="auto"/>
              <w:rPr>
                <w:rFonts w:ascii="Arial"/>
                <w:sz w:val="21"/>
              </w:rPr>
            </w:pPr>
          </w:p>
          <w:p w14:paraId="7CE9C578">
            <w:pPr>
              <w:spacing w:before="57"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w:t>
            </w:r>
          </w:p>
        </w:tc>
        <w:tc>
          <w:tcPr>
            <w:tcW w:w="2156" w:type="dxa"/>
            <w:vAlign w:val="top"/>
          </w:tcPr>
          <w:p w14:paraId="367F1547">
            <w:pPr>
              <w:spacing w:line="246" w:lineRule="auto"/>
              <w:rPr>
                <w:rFonts w:ascii="Arial"/>
                <w:sz w:val="21"/>
              </w:rPr>
            </w:pPr>
          </w:p>
          <w:p w14:paraId="0A87BD85">
            <w:pPr>
              <w:pStyle w:val="6"/>
              <w:spacing w:before="65" w:line="228" w:lineRule="auto"/>
              <w:ind w:left="36"/>
              <w:rPr>
                <w:sz w:val="20"/>
                <w:szCs w:val="20"/>
              </w:rPr>
            </w:pPr>
            <w:r>
              <w:rPr>
                <w:spacing w:val="9"/>
                <w:sz w:val="20"/>
                <w:szCs w:val="20"/>
              </w:rPr>
              <w:t>建有环境管理体系，并</w:t>
            </w:r>
          </w:p>
          <w:p w14:paraId="15289E5C">
            <w:pPr>
              <w:pStyle w:val="6"/>
              <w:spacing w:before="26" w:line="228" w:lineRule="auto"/>
              <w:jc w:val="right"/>
              <w:rPr>
                <w:sz w:val="20"/>
                <w:szCs w:val="20"/>
              </w:rPr>
            </w:pPr>
            <w:r>
              <w:rPr>
                <w:spacing w:val="-6"/>
                <w:sz w:val="20"/>
                <w:szCs w:val="20"/>
              </w:rPr>
              <w:t>取得认证，能有效运行；</w:t>
            </w:r>
          </w:p>
          <w:p w14:paraId="59FBA644">
            <w:pPr>
              <w:pStyle w:val="6"/>
              <w:spacing w:before="24" w:line="228" w:lineRule="auto"/>
              <w:ind w:left="137"/>
              <w:rPr>
                <w:sz w:val="20"/>
                <w:szCs w:val="20"/>
              </w:rPr>
            </w:pPr>
            <w:r>
              <w:rPr>
                <w:spacing w:val="8"/>
                <w:sz w:val="20"/>
                <w:szCs w:val="20"/>
              </w:rPr>
              <w:t>全部完成年度环境目</w:t>
            </w:r>
          </w:p>
          <w:p w14:paraId="590BB980">
            <w:pPr>
              <w:pStyle w:val="6"/>
              <w:spacing w:before="26" w:line="228" w:lineRule="auto"/>
              <w:ind w:left="35"/>
              <w:rPr>
                <w:sz w:val="20"/>
                <w:szCs w:val="20"/>
              </w:rPr>
            </w:pPr>
            <w:r>
              <w:rPr>
                <w:spacing w:val="8"/>
                <w:sz w:val="20"/>
                <w:szCs w:val="20"/>
              </w:rPr>
              <w:t>标、指标和环境管理方</w:t>
            </w:r>
          </w:p>
          <w:p w14:paraId="2393CE75">
            <w:pPr>
              <w:pStyle w:val="6"/>
              <w:spacing w:before="24" w:line="228" w:lineRule="auto"/>
              <w:ind w:left="35"/>
              <w:rPr>
                <w:sz w:val="20"/>
                <w:szCs w:val="20"/>
              </w:rPr>
            </w:pPr>
            <w:r>
              <w:rPr>
                <w:spacing w:val="8"/>
                <w:sz w:val="20"/>
                <w:szCs w:val="20"/>
              </w:rPr>
              <w:t>案，并达到环境持续改</w:t>
            </w:r>
          </w:p>
          <w:p w14:paraId="6DBF3807">
            <w:pPr>
              <w:pStyle w:val="6"/>
              <w:spacing w:before="24" w:line="228" w:lineRule="auto"/>
              <w:ind w:left="32"/>
              <w:rPr>
                <w:sz w:val="20"/>
                <w:szCs w:val="20"/>
              </w:rPr>
            </w:pPr>
            <w:r>
              <w:rPr>
                <w:spacing w:val="9"/>
                <w:sz w:val="20"/>
                <w:szCs w:val="20"/>
              </w:rPr>
              <w:t>进的要求；环境管理手</w:t>
            </w:r>
          </w:p>
          <w:p w14:paraId="4340215B">
            <w:pPr>
              <w:pStyle w:val="6"/>
              <w:spacing w:before="27" w:line="228" w:lineRule="auto"/>
              <w:ind w:left="34"/>
              <w:rPr>
                <w:sz w:val="20"/>
                <w:szCs w:val="20"/>
              </w:rPr>
            </w:pPr>
            <w:r>
              <w:rPr>
                <w:spacing w:val="8"/>
                <w:sz w:val="20"/>
                <w:szCs w:val="20"/>
              </w:rPr>
              <w:t>册、程序文件及作业文</w:t>
            </w:r>
          </w:p>
          <w:p w14:paraId="53C5032C">
            <w:pPr>
              <w:pStyle w:val="6"/>
              <w:spacing w:before="24" w:line="228" w:lineRule="auto"/>
              <w:ind w:left="453"/>
              <w:rPr>
                <w:sz w:val="20"/>
                <w:szCs w:val="20"/>
              </w:rPr>
            </w:pPr>
            <w:r>
              <w:rPr>
                <w:spacing w:val="8"/>
                <w:sz w:val="20"/>
                <w:szCs w:val="20"/>
              </w:rPr>
              <w:t>件齐备、有效</w:t>
            </w:r>
          </w:p>
        </w:tc>
        <w:tc>
          <w:tcPr>
            <w:tcW w:w="1811" w:type="dxa"/>
            <w:vAlign w:val="top"/>
          </w:tcPr>
          <w:p w14:paraId="020A457A">
            <w:pPr>
              <w:pStyle w:val="6"/>
              <w:spacing w:before="176" w:line="228" w:lineRule="auto"/>
              <w:jc w:val="right"/>
              <w:rPr>
                <w:sz w:val="20"/>
                <w:szCs w:val="20"/>
              </w:rPr>
            </w:pPr>
            <w:r>
              <w:rPr>
                <w:spacing w:val="-1"/>
                <w:sz w:val="20"/>
                <w:szCs w:val="20"/>
              </w:rPr>
              <w:t>建有环境管理体系，</w:t>
            </w:r>
          </w:p>
          <w:p w14:paraId="42C7E21D">
            <w:pPr>
              <w:pStyle w:val="6"/>
              <w:spacing w:before="24" w:line="228" w:lineRule="auto"/>
              <w:jc w:val="right"/>
              <w:rPr>
                <w:sz w:val="20"/>
                <w:szCs w:val="20"/>
              </w:rPr>
            </w:pPr>
            <w:r>
              <w:rPr>
                <w:spacing w:val="-2"/>
                <w:sz w:val="20"/>
                <w:szCs w:val="20"/>
              </w:rPr>
              <w:t>能有效运行；完成年</w:t>
            </w:r>
          </w:p>
          <w:p w14:paraId="058E0F2C">
            <w:pPr>
              <w:pStyle w:val="6"/>
              <w:spacing w:before="27" w:line="228" w:lineRule="auto"/>
              <w:jc w:val="right"/>
              <w:rPr>
                <w:sz w:val="20"/>
                <w:szCs w:val="20"/>
              </w:rPr>
            </w:pPr>
            <w:r>
              <w:rPr>
                <w:spacing w:val="-1"/>
                <w:sz w:val="20"/>
                <w:szCs w:val="20"/>
              </w:rPr>
              <w:t>度环境目标、指标和</w:t>
            </w:r>
          </w:p>
          <w:p w14:paraId="191BA5F0">
            <w:pPr>
              <w:pStyle w:val="6"/>
              <w:spacing w:before="25" w:line="228" w:lineRule="auto"/>
              <w:ind w:left="280"/>
              <w:rPr>
                <w:sz w:val="20"/>
                <w:szCs w:val="20"/>
              </w:rPr>
            </w:pPr>
            <w:r>
              <w:rPr>
                <w:spacing w:val="8"/>
                <w:sz w:val="20"/>
                <w:szCs w:val="20"/>
              </w:rPr>
              <w:t>环境管理方案</w:t>
            </w:r>
          </w:p>
          <w:p w14:paraId="5D03DB59">
            <w:pPr>
              <w:pStyle w:val="6"/>
              <w:spacing w:before="24" w:line="228" w:lineRule="auto"/>
              <w:ind w:left="25"/>
              <w:rPr>
                <w:sz w:val="20"/>
                <w:szCs w:val="20"/>
              </w:rPr>
            </w:pPr>
            <w:r>
              <w:rPr>
                <w:rFonts w:ascii="Times New Roman" w:hAnsi="Times New Roman" w:eastAsia="Times New Roman" w:cs="Times New Roman"/>
                <w:spacing w:val="5"/>
                <w:sz w:val="20"/>
                <w:szCs w:val="20"/>
              </w:rPr>
              <w:t>≥80%</w:t>
            </w:r>
            <w:r>
              <w:rPr>
                <w:rFonts w:ascii="Times New Roman" w:hAnsi="Times New Roman" w:eastAsia="Times New Roman" w:cs="Times New Roman"/>
                <w:spacing w:val="-23"/>
                <w:sz w:val="20"/>
                <w:szCs w:val="20"/>
              </w:rPr>
              <w:t xml:space="preserve"> </w:t>
            </w:r>
            <w:r>
              <w:rPr>
                <w:spacing w:val="5"/>
                <w:sz w:val="20"/>
                <w:szCs w:val="20"/>
              </w:rPr>
              <w:t>，达到环境持</w:t>
            </w:r>
          </w:p>
          <w:p w14:paraId="66EC93F3">
            <w:pPr>
              <w:pStyle w:val="6"/>
              <w:spacing w:before="24" w:line="228" w:lineRule="auto"/>
              <w:ind w:left="9"/>
              <w:rPr>
                <w:sz w:val="20"/>
                <w:szCs w:val="20"/>
              </w:rPr>
            </w:pPr>
            <w:r>
              <w:rPr>
                <w:spacing w:val="-1"/>
                <w:sz w:val="20"/>
                <w:szCs w:val="20"/>
              </w:rPr>
              <w:t>续改进的要求；环境</w:t>
            </w:r>
          </w:p>
          <w:p w14:paraId="7782E22C">
            <w:pPr>
              <w:pStyle w:val="6"/>
              <w:spacing w:before="27" w:line="228" w:lineRule="auto"/>
              <w:ind w:left="12"/>
              <w:rPr>
                <w:sz w:val="20"/>
                <w:szCs w:val="20"/>
              </w:rPr>
            </w:pPr>
            <w:r>
              <w:rPr>
                <w:spacing w:val="-1"/>
                <w:sz w:val="20"/>
                <w:szCs w:val="20"/>
              </w:rPr>
              <w:t>管理手册、程序文件</w:t>
            </w:r>
          </w:p>
          <w:p w14:paraId="0FDBFFA6">
            <w:pPr>
              <w:pStyle w:val="6"/>
              <w:spacing w:before="24" w:line="228" w:lineRule="auto"/>
              <w:jc w:val="right"/>
              <w:rPr>
                <w:sz w:val="20"/>
                <w:szCs w:val="20"/>
              </w:rPr>
            </w:pPr>
            <w:r>
              <w:rPr>
                <w:spacing w:val="-1"/>
                <w:sz w:val="20"/>
                <w:szCs w:val="20"/>
              </w:rPr>
              <w:t>及作业文件齐备、有</w:t>
            </w:r>
          </w:p>
          <w:p w14:paraId="426AA8BF">
            <w:pPr>
              <w:pStyle w:val="6"/>
              <w:spacing w:before="27" w:line="228" w:lineRule="auto"/>
              <w:ind w:left="811"/>
              <w:rPr>
                <w:sz w:val="20"/>
                <w:szCs w:val="20"/>
              </w:rPr>
            </w:pPr>
            <w:r>
              <w:rPr>
                <w:sz w:val="20"/>
                <w:szCs w:val="20"/>
              </w:rPr>
              <w:t>效</w:t>
            </w:r>
          </w:p>
        </w:tc>
        <w:tc>
          <w:tcPr>
            <w:tcW w:w="2133" w:type="dxa"/>
            <w:vAlign w:val="top"/>
          </w:tcPr>
          <w:p w14:paraId="3F440850">
            <w:pPr>
              <w:spacing w:line="382" w:lineRule="auto"/>
              <w:rPr>
                <w:rFonts w:ascii="Arial"/>
                <w:sz w:val="21"/>
              </w:rPr>
            </w:pPr>
          </w:p>
          <w:p w14:paraId="7A5A97AD">
            <w:pPr>
              <w:pStyle w:val="6"/>
              <w:spacing w:before="65" w:line="228" w:lineRule="auto"/>
              <w:ind w:left="24"/>
              <w:rPr>
                <w:sz w:val="20"/>
                <w:szCs w:val="20"/>
              </w:rPr>
            </w:pPr>
            <w:r>
              <w:rPr>
                <w:spacing w:val="7"/>
                <w:sz w:val="20"/>
                <w:szCs w:val="20"/>
              </w:rPr>
              <w:t>建立有环境管理体系，</w:t>
            </w:r>
          </w:p>
          <w:p w14:paraId="57F97D5F">
            <w:pPr>
              <w:pStyle w:val="6"/>
              <w:spacing w:before="24" w:line="228" w:lineRule="auto"/>
              <w:ind w:left="30"/>
              <w:rPr>
                <w:sz w:val="20"/>
                <w:szCs w:val="20"/>
              </w:rPr>
            </w:pPr>
            <w:r>
              <w:rPr>
                <w:spacing w:val="8"/>
                <w:sz w:val="20"/>
                <w:szCs w:val="20"/>
              </w:rPr>
              <w:t>能有效运行；完成年度</w:t>
            </w:r>
          </w:p>
          <w:p w14:paraId="264D7B69">
            <w:pPr>
              <w:pStyle w:val="6"/>
              <w:spacing w:before="27" w:line="228" w:lineRule="auto"/>
              <w:ind w:left="22"/>
              <w:rPr>
                <w:sz w:val="20"/>
                <w:szCs w:val="20"/>
              </w:rPr>
            </w:pPr>
            <w:r>
              <w:rPr>
                <w:spacing w:val="8"/>
                <w:sz w:val="20"/>
                <w:szCs w:val="20"/>
              </w:rPr>
              <w:t>环境目标、指标和环境</w:t>
            </w:r>
          </w:p>
          <w:p w14:paraId="5B7F2B8E">
            <w:pPr>
              <w:pStyle w:val="6"/>
              <w:spacing w:before="23" w:line="228" w:lineRule="auto"/>
              <w:ind w:right="1"/>
              <w:jc w:val="right"/>
              <w:rPr>
                <w:sz w:val="20"/>
                <w:szCs w:val="20"/>
              </w:rPr>
            </w:pPr>
            <w:r>
              <w:rPr>
                <w:spacing w:val="3"/>
                <w:sz w:val="20"/>
                <w:szCs w:val="20"/>
              </w:rPr>
              <w:t>管理方案</w:t>
            </w:r>
            <w:r>
              <w:rPr>
                <w:rFonts w:ascii="Times New Roman" w:hAnsi="Times New Roman" w:eastAsia="Times New Roman" w:cs="Times New Roman"/>
                <w:spacing w:val="3"/>
                <w:sz w:val="20"/>
                <w:szCs w:val="20"/>
              </w:rPr>
              <w:t>≥60%</w:t>
            </w:r>
            <w:r>
              <w:rPr>
                <w:spacing w:val="3"/>
                <w:sz w:val="20"/>
                <w:szCs w:val="20"/>
              </w:rPr>
              <w:t>，部分达</w:t>
            </w:r>
          </w:p>
          <w:p w14:paraId="26F0B4D4">
            <w:pPr>
              <w:pStyle w:val="6"/>
              <w:spacing w:before="26" w:line="228" w:lineRule="auto"/>
              <w:ind w:left="131"/>
              <w:rPr>
                <w:sz w:val="20"/>
                <w:szCs w:val="20"/>
              </w:rPr>
            </w:pPr>
            <w:r>
              <w:rPr>
                <w:spacing w:val="8"/>
                <w:sz w:val="20"/>
                <w:szCs w:val="20"/>
              </w:rPr>
              <w:t>到环境持续改进的要</w:t>
            </w:r>
          </w:p>
          <w:p w14:paraId="2576294F">
            <w:pPr>
              <w:pStyle w:val="6"/>
              <w:spacing w:before="24" w:line="228" w:lineRule="auto"/>
              <w:ind w:left="24"/>
              <w:rPr>
                <w:sz w:val="20"/>
                <w:szCs w:val="20"/>
              </w:rPr>
            </w:pPr>
            <w:r>
              <w:rPr>
                <w:spacing w:val="8"/>
                <w:sz w:val="20"/>
                <w:szCs w:val="20"/>
              </w:rPr>
              <w:t>求；环境管理手册、程</w:t>
            </w:r>
          </w:p>
          <w:p w14:paraId="18E72B84">
            <w:pPr>
              <w:pStyle w:val="6"/>
              <w:spacing w:before="27" w:line="228" w:lineRule="auto"/>
              <w:ind w:left="21"/>
              <w:rPr>
                <w:sz w:val="20"/>
                <w:szCs w:val="20"/>
              </w:rPr>
            </w:pPr>
            <w:r>
              <w:rPr>
                <w:spacing w:val="9"/>
                <w:sz w:val="20"/>
                <w:szCs w:val="20"/>
              </w:rPr>
              <w:t>序文件及作业文件齐备</w:t>
            </w:r>
          </w:p>
        </w:tc>
        <w:tc>
          <w:tcPr>
            <w:tcW w:w="1626" w:type="dxa"/>
            <w:vAlign w:val="top"/>
          </w:tcPr>
          <w:p w14:paraId="25BEC503">
            <w:pPr>
              <w:pStyle w:val="6"/>
              <w:spacing w:before="42" w:line="228" w:lineRule="auto"/>
              <w:ind w:left="85"/>
              <w:rPr>
                <w:sz w:val="20"/>
                <w:szCs w:val="20"/>
              </w:rPr>
            </w:pPr>
            <w:r>
              <w:rPr>
                <w:spacing w:val="8"/>
                <w:sz w:val="20"/>
                <w:szCs w:val="20"/>
              </w:rPr>
              <w:t>建有环境管理体</w:t>
            </w:r>
          </w:p>
          <w:p w14:paraId="2CC488E7">
            <w:pPr>
              <w:pStyle w:val="6"/>
              <w:spacing w:before="24" w:line="228" w:lineRule="auto"/>
              <w:jc w:val="right"/>
              <w:rPr>
                <w:sz w:val="20"/>
                <w:szCs w:val="20"/>
              </w:rPr>
            </w:pPr>
            <w:r>
              <w:rPr>
                <w:spacing w:val="1"/>
                <w:sz w:val="20"/>
                <w:szCs w:val="20"/>
              </w:rPr>
              <w:t>系，能有效运行；</w:t>
            </w:r>
          </w:p>
          <w:p w14:paraId="2C415770">
            <w:pPr>
              <w:pStyle w:val="6"/>
              <w:spacing w:before="25" w:line="228" w:lineRule="auto"/>
              <w:ind w:left="84"/>
              <w:rPr>
                <w:sz w:val="20"/>
                <w:szCs w:val="20"/>
              </w:rPr>
            </w:pPr>
            <w:r>
              <w:rPr>
                <w:spacing w:val="8"/>
                <w:sz w:val="20"/>
                <w:szCs w:val="20"/>
              </w:rPr>
              <w:t>完成年度环境目</w:t>
            </w:r>
          </w:p>
          <w:p w14:paraId="4007B298">
            <w:pPr>
              <w:pStyle w:val="6"/>
              <w:spacing w:before="24" w:line="228" w:lineRule="auto"/>
              <w:jc w:val="right"/>
              <w:rPr>
                <w:sz w:val="20"/>
                <w:szCs w:val="20"/>
              </w:rPr>
            </w:pPr>
            <w:r>
              <w:rPr>
                <w:spacing w:val="1"/>
                <w:sz w:val="20"/>
                <w:szCs w:val="20"/>
              </w:rPr>
              <w:t>标、指标和环境管</w:t>
            </w:r>
          </w:p>
          <w:p w14:paraId="2F3B2E96">
            <w:pPr>
              <w:pStyle w:val="6"/>
              <w:spacing w:before="27" w:line="228" w:lineRule="auto"/>
              <w:ind w:left="47"/>
              <w:rPr>
                <w:sz w:val="20"/>
                <w:szCs w:val="20"/>
              </w:rPr>
            </w:pPr>
            <w:r>
              <w:rPr>
                <w:spacing w:val="3"/>
                <w:sz w:val="20"/>
                <w:szCs w:val="20"/>
              </w:rPr>
              <w:t>理方案</w:t>
            </w:r>
            <w:r>
              <w:rPr>
                <w:rFonts w:ascii="Times New Roman" w:hAnsi="Times New Roman" w:eastAsia="Times New Roman" w:cs="Times New Roman"/>
                <w:spacing w:val="3"/>
                <w:sz w:val="20"/>
                <w:szCs w:val="20"/>
              </w:rPr>
              <w:t>≥80%</w:t>
            </w:r>
            <w:r>
              <w:rPr>
                <w:rFonts w:ascii="Times New Roman" w:hAnsi="Times New Roman" w:eastAsia="Times New Roman" w:cs="Times New Roman"/>
                <w:spacing w:val="-20"/>
                <w:sz w:val="20"/>
                <w:szCs w:val="20"/>
              </w:rPr>
              <w:t xml:space="preserve"> </w:t>
            </w:r>
            <w:r>
              <w:rPr>
                <w:spacing w:val="3"/>
                <w:sz w:val="20"/>
                <w:szCs w:val="20"/>
              </w:rPr>
              <w:t>，达</w:t>
            </w:r>
          </w:p>
          <w:p w14:paraId="12545C25">
            <w:pPr>
              <w:pStyle w:val="6"/>
              <w:spacing w:before="24" w:line="228" w:lineRule="auto"/>
              <w:ind w:left="88"/>
              <w:rPr>
                <w:sz w:val="20"/>
                <w:szCs w:val="20"/>
              </w:rPr>
            </w:pPr>
            <w:r>
              <w:rPr>
                <w:spacing w:val="7"/>
                <w:sz w:val="20"/>
                <w:szCs w:val="20"/>
              </w:rPr>
              <w:t>到环境持续改进</w:t>
            </w:r>
          </w:p>
          <w:p w14:paraId="64BD95CA">
            <w:pPr>
              <w:pStyle w:val="6"/>
              <w:spacing w:before="26" w:line="228" w:lineRule="auto"/>
              <w:jc w:val="right"/>
              <w:rPr>
                <w:sz w:val="20"/>
                <w:szCs w:val="20"/>
              </w:rPr>
            </w:pPr>
            <w:r>
              <w:rPr>
                <w:spacing w:val="-1"/>
                <w:sz w:val="20"/>
                <w:szCs w:val="20"/>
              </w:rPr>
              <w:t>的要求；环境管理</w:t>
            </w:r>
          </w:p>
          <w:p w14:paraId="72412929">
            <w:pPr>
              <w:pStyle w:val="6"/>
              <w:spacing w:before="24" w:line="228" w:lineRule="auto"/>
              <w:jc w:val="right"/>
              <w:rPr>
                <w:sz w:val="20"/>
                <w:szCs w:val="20"/>
              </w:rPr>
            </w:pPr>
            <w:r>
              <w:rPr>
                <w:spacing w:val="1"/>
                <w:sz w:val="20"/>
                <w:szCs w:val="20"/>
              </w:rPr>
              <w:t>手册、程序文件及</w:t>
            </w:r>
          </w:p>
          <w:p w14:paraId="5EF654D5">
            <w:pPr>
              <w:pStyle w:val="6"/>
              <w:spacing w:before="25" w:line="228" w:lineRule="auto"/>
              <w:jc w:val="right"/>
              <w:rPr>
                <w:sz w:val="20"/>
                <w:szCs w:val="20"/>
              </w:rPr>
            </w:pPr>
            <w:r>
              <w:rPr>
                <w:spacing w:val="1"/>
                <w:sz w:val="20"/>
                <w:szCs w:val="20"/>
              </w:rPr>
              <w:t>作业文件齐备、有</w:t>
            </w:r>
          </w:p>
          <w:p w14:paraId="63AF9204">
            <w:pPr>
              <w:pStyle w:val="6"/>
              <w:spacing w:before="26" w:line="196" w:lineRule="auto"/>
              <w:ind w:left="719"/>
              <w:rPr>
                <w:sz w:val="20"/>
                <w:szCs w:val="20"/>
              </w:rPr>
            </w:pPr>
            <w:r>
              <w:rPr>
                <w:sz w:val="20"/>
                <w:szCs w:val="20"/>
              </w:rPr>
              <w:t>效</w:t>
            </w:r>
          </w:p>
        </w:tc>
        <w:tc>
          <w:tcPr>
            <w:tcW w:w="669" w:type="dxa"/>
            <w:vAlign w:val="top"/>
          </w:tcPr>
          <w:p w14:paraId="4BAF2605">
            <w:pPr>
              <w:spacing w:line="247" w:lineRule="auto"/>
              <w:rPr>
                <w:rFonts w:ascii="Arial"/>
                <w:sz w:val="21"/>
              </w:rPr>
            </w:pPr>
          </w:p>
          <w:p w14:paraId="217FEF52">
            <w:pPr>
              <w:spacing w:line="247" w:lineRule="auto"/>
              <w:rPr>
                <w:rFonts w:ascii="Arial"/>
                <w:sz w:val="21"/>
              </w:rPr>
            </w:pPr>
          </w:p>
          <w:p w14:paraId="45BB8D75">
            <w:pPr>
              <w:spacing w:line="247" w:lineRule="auto"/>
              <w:rPr>
                <w:rFonts w:ascii="Arial"/>
                <w:sz w:val="21"/>
              </w:rPr>
            </w:pPr>
          </w:p>
          <w:p w14:paraId="3287C3CF">
            <w:pPr>
              <w:spacing w:line="248" w:lineRule="auto"/>
              <w:rPr>
                <w:rFonts w:ascii="Arial"/>
                <w:sz w:val="21"/>
              </w:rPr>
            </w:pPr>
          </w:p>
          <w:p w14:paraId="59B9BA5B">
            <w:pPr>
              <w:spacing w:line="248" w:lineRule="auto"/>
              <w:rPr>
                <w:rFonts w:ascii="Arial"/>
                <w:sz w:val="21"/>
              </w:rPr>
            </w:pPr>
          </w:p>
          <w:p w14:paraId="1D3D5614">
            <w:pPr>
              <w:spacing w:before="57" w:line="195" w:lineRule="auto"/>
              <w:ind w:left="2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574" w:type="dxa"/>
            <w:vMerge w:val="continue"/>
            <w:tcBorders>
              <w:top w:val="nil"/>
              <w:bottom w:val="nil"/>
              <w:right w:val="nil"/>
            </w:tcBorders>
            <w:vAlign w:val="top"/>
          </w:tcPr>
          <w:p w14:paraId="624988BC">
            <w:pPr>
              <w:rPr>
                <w:rFonts w:ascii="Arial"/>
                <w:sz w:val="21"/>
              </w:rPr>
            </w:pPr>
          </w:p>
        </w:tc>
      </w:tr>
      <w:tr w14:paraId="02F254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83" w:hRule="atLeast"/>
        </w:trPr>
        <w:tc>
          <w:tcPr>
            <w:tcW w:w="717" w:type="dxa"/>
            <w:vMerge w:val="continue"/>
            <w:tcBorders>
              <w:top w:val="nil"/>
              <w:left w:val="nil"/>
              <w:bottom w:val="single" w:color="000000" w:sz="10" w:space="0"/>
            </w:tcBorders>
            <w:vAlign w:val="top"/>
          </w:tcPr>
          <w:p w14:paraId="6B42F1FE">
            <w:pPr>
              <w:rPr>
                <w:rFonts w:ascii="Arial"/>
                <w:sz w:val="21"/>
              </w:rPr>
            </w:pPr>
          </w:p>
        </w:tc>
        <w:tc>
          <w:tcPr>
            <w:tcW w:w="762" w:type="dxa"/>
            <w:vMerge w:val="continue"/>
            <w:tcBorders>
              <w:top w:val="nil"/>
              <w:bottom w:val="single" w:color="000000" w:sz="10" w:space="0"/>
            </w:tcBorders>
            <w:vAlign w:val="top"/>
          </w:tcPr>
          <w:p w14:paraId="45E43850">
            <w:pPr>
              <w:rPr>
                <w:rFonts w:ascii="Arial"/>
                <w:sz w:val="21"/>
              </w:rPr>
            </w:pPr>
          </w:p>
        </w:tc>
        <w:tc>
          <w:tcPr>
            <w:tcW w:w="636" w:type="dxa"/>
            <w:tcBorders>
              <w:bottom w:val="single" w:color="000000" w:sz="10" w:space="0"/>
            </w:tcBorders>
            <w:vAlign w:val="top"/>
          </w:tcPr>
          <w:p w14:paraId="362F068D">
            <w:pPr>
              <w:spacing w:line="285" w:lineRule="auto"/>
              <w:rPr>
                <w:rFonts w:ascii="Arial"/>
                <w:sz w:val="21"/>
              </w:rPr>
            </w:pPr>
          </w:p>
          <w:p w14:paraId="36CB3FDD">
            <w:pPr>
              <w:spacing w:line="286" w:lineRule="auto"/>
              <w:rPr>
                <w:rFonts w:ascii="Arial"/>
                <w:sz w:val="21"/>
              </w:rPr>
            </w:pPr>
          </w:p>
          <w:p w14:paraId="19576A79">
            <w:pPr>
              <w:spacing w:before="57" w:line="195" w:lineRule="auto"/>
              <w:ind w:left="270"/>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965" w:type="dxa"/>
            <w:tcBorders>
              <w:bottom w:val="single" w:color="000000" w:sz="10" w:space="0"/>
            </w:tcBorders>
            <w:vAlign w:val="top"/>
          </w:tcPr>
          <w:p w14:paraId="5C3148B2">
            <w:pPr>
              <w:spacing w:line="263" w:lineRule="auto"/>
              <w:rPr>
                <w:rFonts w:ascii="Arial"/>
                <w:sz w:val="21"/>
              </w:rPr>
            </w:pPr>
          </w:p>
          <w:p w14:paraId="67182EE2">
            <w:pPr>
              <w:spacing w:line="264" w:lineRule="auto"/>
              <w:rPr>
                <w:rFonts w:ascii="Arial"/>
                <w:sz w:val="21"/>
              </w:rPr>
            </w:pPr>
          </w:p>
          <w:p w14:paraId="6314D3EE">
            <w:pPr>
              <w:pStyle w:val="6"/>
              <w:spacing w:before="65" w:line="228" w:lineRule="auto"/>
              <w:ind w:left="253"/>
              <w:rPr>
                <w:sz w:val="20"/>
                <w:szCs w:val="20"/>
              </w:rPr>
            </w:pPr>
            <w:r>
              <w:rPr>
                <w:spacing w:val="8"/>
                <w:sz w:val="20"/>
                <w:szCs w:val="20"/>
              </w:rPr>
              <w:t>物料和产品运输</w:t>
            </w:r>
          </w:p>
        </w:tc>
        <w:tc>
          <w:tcPr>
            <w:tcW w:w="949" w:type="dxa"/>
            <w:tcBorders>
              <w:bottom w:val="single" w:color="000000" w:sz="10" w:space="0"/>
            </w:tcBorders>
            <w:vAlign w:val="top"/>
          </w:tcPr>
          <w:p w14:paraId="12FF4F45">
            <w:pPr>
              <w:spacing w:line="285" w:lineRule="auto"/>
              <w:rPr>
                <w:rFonts w:ascii="Arial"/>
                <w:sz w:val="21"/>
              </w:rPr>
            </w:pPr>
          </w:p>
          <w:p w14:paraId="7E066923">
            <w:pPr>
              <w:spacing w:line="286" w:lineRule="auto"/>
              <w:rPr>
                <w:rFonts w:ascii="Arial"/>
                <w:sz w:val="21"/>
              </w:rPr>
            </w:pPr>
          </w:p>
          <w:p w14:paraId="5BE8A125">
            <w:pPr>
              <w:spacing w:before="57" w:line="195" w:lineRule="auto"/>
              <w:ind w:left="2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3967" w:type="dxa"/>
            <w:gridSpan w:val="2"/>
            <w:tcBorders>
              <w:bottom w:val="single" w:color="000000" w:sz="10" w:space="0"/>
            </w:tcBorders>
            <w:vAlign w:val="top"/>
          </w:tcPr>
          <w:p w14:paraId="3CE9BC68">
            <w:pPr>
              <w:pStyle w:val="6"/>
              <w:spacing w:before="51" w:line="228" w:lineRule="auto"/>
              <w:ind w:left="97"/>
              <w:rPr>
                <w:sz w:val="20"/>
                <w:szCs w:val="20"/>
              </w:rPr>
            </w:pPr>
            <w:r>
              <w:rPr>
                <w:spacing w:val="9"/>
                <w:sz w:val="20"/>
                <w:szCs w:val="20"/>
              </w:rPr>
              <w:t>进出企业的原辅料及燃料等大宗物料和产</w:t>
            </w:r>
          </w:p>
          <w:p w14:paraId="428D2998">
            <w:pPr>
              <w:pStyle w:val="6"/>
              <w:spacing w:before="24" w:line="227" w:lineRule="auto"/>
              <w:ind w:right="2"/>
              <w:jc w:val="right"/>
              <w:rPr>
                <w:sz w:val="20"/>
                <w:szCs w:val="20"/>
              </w:rPr>
            </w:pPr>
            <w:r>
              <w:rPr>
                <w:spacing w:val="7"/>
                <w:sz w:val="20"/>
                <w:szCs w:val="20"/>
              </w:rPr>
              <w:t>品采用铁路、水路、管道或管状带式输送机</w:t>
            </w:r>
          </w:p>
          <w:p w14:paraId="7E82CA53">
            <w:pPr>
              <w:pStyle w:val="6"/>
              <w:spacing w:before="27" w:line="227" w:lineRule="auto"/>
              <w:ind w:left="9"/>
              <w:rPr>
                <w:sz w:val="20"/>
                <w:szCs w:val="20"/>
              </w:rPr>
            </w:pPr>
            <w:r>
              <w:rPr>
                <w:spacing w:val="5"/>
                <w:sz w:val="20"/>
                <w:szCs w:val="20"/>
              </w:rPr>
              <w:t>等清洁方式运输比例不低于</w:t>
            </w:r>
            <w:r>
              <w:rPr>
                <w:spacing w:val="-18"/>
                <w:sz w:val="20"/>
                <w:szCs w:val="20"/>
              </w:rPr>
              <w:t xml:space="preserve"> </w:t>
            </w:r>
            <w:r>
              <w:rPr>
                <w:rFonts w:ascii="Times New Roman" w:hAnsi="Times New Roman" w:eastAsia="Times New Roman" w:cs="Times New Roman"/>
                <w:spacing w:val="5"/>
                <w:sz w:val="20"/>
                <w:szCs w:val="20"/>
              </w:rPr>
              <w:t>80%</w:t>
            </w:r>
            <w:r>
              <w:rPr>
                <w:spacing w:val="5"/>
                <w:sz w:val="20"/>
                <w:szCs w:val="20"/>
              </w:rPr>
              <w:t>；或全部采</w:t>
            </w:r>
          </w:p>
          <w:p w14:paraId="302156D8">
            <w:pPr>
              <w:pStyle w:val="6"/>
              <w:spacing w:before="24" w:line="228" w:lineRule="auto"/>
              <w:ind w:left="100"/>
              <w:rPr>
                <w:sz w:val="20"/>
                <w:szCs w:val="20"/>
              </w:rPr>
            </w:pPr>
            <w:r>
              <w:rPr>
                <w:spacing w:val="9"/>
                <w:sz w:val="20"/>
                <w:szCs w:val="20"/>
              </w:rPr>
              <w:t>用新能源汽车或达到国六排放标准的汽车</w:t>
            </w:r>
          </w:p>
          <w:p w14:paraId="37ED555A">
            <w:pPr>
              <w:pStyle w:val="6"/>
              <w:spacing w:before="27" w:line="214" w:lineRule="auto"/>
              <w:ind w:left="1779"/>
              <w:rPr>
                <w:sz w:val="20"/>
                <w:szCs w:val="20"/>
              </w:rPr>
            </w:pPr>
            <w:r>
              <w:rPr>
                <w:spacing w:val="4"/>
                <w:sz w:val="20"/>
                <w:szCs w:val="20"/>
              </w:rPr>
              <w:t>运输</w:t>
            </w:r>
          </w:p>
        </w:tc>
        <w:tc>
          <w:tcPr>
            <w:tcW w:w="2133" w:type="dxa"/>
            <w:tcBorders>
              <w:bottom w:val="single" w:color="000000" w:sz="10" w:space="0"/>
            </w:tcBorders>
            <w:vAlign w:val="top"/>
          </w:tcPr>
          <w:p w14:paraId="4E8AC84B">
            <w:pPr>
              <w:spacing w:line="392" w:lineRule="auto"/>
              <w:rPr>
                <w:rFonts w:ascii="Arial"/>
                <w:sz w:val="21"/>
              </w:rPr>
            </w:pPr>
          </w:p>
          <w:p w14:paraId="0D5A7C79">
            <w:pPr>
              <w:pStyle w:val="6"/>
              <w:spacing w:before="65" w:line="239" w:lineRule="auto"/>
              <w:ind w:left="337" w:right="15" w:hanging="316"/>
              <w:rPr>
                <w:sz w:val="20"/>
                <w:szCs w:val="20"/>
              </w:rPr>
            </w:pPr>
            <w:r>
              <w:rPr>
                <w:spacing w:val="9"/>
                <w:sz w:val="20"/>
                <w:szCs w:val="20"/>
              </w:rPr>
              <w:t>采用清洁运输方式，减</w:t>
            </w:r>
            <w:r>
              <w:rPr>
                <w:sz w:val="20"/>
                <w:szCs w:val="20"/>
              </w:rPr>
              <w:t xml:space="preserve"> </w:t>
            </w:r>
            <w:r>
              <w:rPr>
                <w:spacing w:val="8"/>
                <w:sz w:val="20"/>
                <w:szCs w:val="20"/>
              </w:rPr>
              <w:t>少公路运输比例</w:t>
            </w:r>
          </w:p>
        </w:tc>
        <w:tc>
          <w:tcPr>
            <w:tcW w:w="1626" w:type="dxa"/>
            <w:tcBorders>
              <w:bottom w:val="single" w:color="000000" w:sz="10" w:space="0"/>
            </w:tcBorders>
            <w:vAlign w:val="top"/>
          </w:tcPr>
          <w:p w14:paraId="5B6E5BC9">
            <w:pPr>
              <w:spacing w:line="255" w:lineRule="auto"/>
              <w:rPr>
                <w:rFonts w:ascii="Arial"/>
                <w:sz w:val="21"/>
              </w:rPr>
            </w:pPr>
          </w:p>
          <w:p w14:paraId="6CF46629">
            <w:pPr>
              <w:pStyle w:val="6"/>
              <w:spacing w:before="65" w:line="227" w:lineRule="auto"/>
              <w:ind w:left="83"/>
              <w:rPr>
                <w:sz w:val="20"/>
                <w:szCs w:val="20"/>
              </w:rPr>
            </w:pPr>
            <w:r>
              <w:rPr>
                <w:spacing w:val="8"/>
                <w:sz w:val="20"/>
                <w:szCs w:val="20"/>
              </w:rPr>
              <w:t>要求采用清洁运</w:t>
            </w:r>
          </w:p>
          <w:p w14:paraId="44BD8E3C">
            <w:pPr>
              <w:pStyle w:val="6"/>
              <w:spacing w:before="24" w:line="228" w:lineRule="auto"/>
              <w:jc w:val="right"/>
              <w:rPr>
                <w:sz w:val="20"/>
                <w:szCs w:val="20"/>
              </w:rPr>
            </w:pPr>
            <w:r>
              <w:rPr>
                <w:spacing w:val="1"/>
                <w:sz w:val="20"/>
                <w:szCs w:val="20"/>
              </w:rPr>
              <w:t>输方式，减少公路</w:t>
            </w:r>
          </w:p>
          <w:p w14:paraId="0288B2F5">
            <w:pPr>
              <w:pStyle w:val="6"/>
              <w:spacing w:before="26" w:line="228" w:lineRule="auto"/>
              <w:ind w:left="397"/>
              <w:rPr>
                <w:sz w:val="20"/>
                <w:szCs w:val="20"/>
              </w:rPr>
            </w:pPr>
            <w:r>
              <w:rPr>
                <w:spacing w:val="7"/>
                <w:sz w:val="20"/>
                <w:szCs w:val="20"/>
              </w:rPr>
              <w:t>运输比例</w:t>
            </w:r>
          </w:p>
        </w:tc>
        <w:tc>
          <w:tcPr>
            <w:tcW w:w="669" w:type="dxa"/>
            <w:tcBorders>
              <w:bottom w:val="single" w:color="000000" w:sz="10" w:space="0"/>
            </w:tcBorders>
            <w:vAlign w:val="top"/>
          </w:tcPr>
          <w:p w14:paraId="22C4C129">
            <w:pPr>
              <w:spacing w:line="285" w:lineRule="auto"/>
              <w:rPr>
                <w:rFonts w:ascii="Arial"/>
                <w:sz w:val="21"/>
              </w:rPr>
            </w:pPr>
          </w:p>
          <w:p w14:paraId="3FFB3A19">
            <w:pPr>
              <w:spacing w:line="286" w:lineRule="auto"/>
              <w:rPr>
                <w:rFonts w:ascii="Arial"/>
                <w:sz w:val="21"/>
              </w:rPr>
            </w:pPr>
          </w:p>
          <w:p w14:paraId="0EF00212">
            <w:pPr>
              <w:spacing w:before="57" w:line="195" w:lineRule="auto"/>
              <w:ind w:left="213"/>
              <w:rPr>
                <w:rFonts w:ascii="Times New Roman" w:hAnsi="Times New Roman" w:eastAsia="Times New Roman" w:cs="Times New Roman"/>
                <w:sz w:val="20"/>
                <w:szCs w:val="20"/>
              </w:rPr>
            </w:pPr>
            <w:r>
              <w:rPr>
                <w:rFonts w:ascii="Times New Roman" w:hAnsi="Times New Roman" w:eastAsia="Times New Roman" w:cs="Times New Roman"/>
                <w:sz w:val="20"/>
                <w:szCs w:val="20"/>
              </w:rPr>
              <w:t>8.0</w:t>
            </w:r>
          </w:p>
        </w:tc>
        <w:tc>
          <w:tcPr>
            <w:tcW w:w="574" w:type="dxa"/>
            <w:vMerge w:val="continue"/>
            <w:tcBorders>
              <w:top w:val="nil"/>
              <w:bottom w:val="single" w:color="000000" w:sz="10" w:space="0"/>
              <w:right w:val="nil"/>
            </w:tcBorders>
            <w:vAlign w:val="top"/>
          </w:tcPr>
          <w:p w14:paraId="5D49EAA7">
            <w:pPr>
              <w:rPr>
                <w:rFonts w:ascii="Arial"/>
                <w:sz w:val="21"/>
              </w:rPr>
            </w:pPr>
          </w:p>
        </w:tc>
      </w:tr>
    </w:tbl>
    <w:p w14:paraId="5DB09B24">
      <w:pPr>
        <w:pStyle w:val="2"/>
      </w:pPr>
    </w:p>
    <w:p w14:paraId="7EF737B1">
      <w:pPr>
        <w:sectPr>
          <w:pgSz w:w="16840" w:h="11907"/>
          <w:pgMar w:top="1190" w:right="1417" w:bottom="1002" w:left="1417" w:header="882" w:footer="837" w:gutter="0"/>
          <w:cols w:space="720" w:num="1"/>
        </w:sectPr>
      </w:pPr>
    </w:p>
    <w:p w14:paraId="2A346754">
      <w:pPr>
        <w:spacing w:line="28" w:lineRule="exact"/>
      </w:pPr>
      <w:r>
        <w:pict>
          <v:shape id="_x0000_s1246" o:spid="_x0000_s1246" style="height:1.45pt;width:700.25pt;" fillcolor="#000000" filled="t" stroked="f" coordsize="14005,29" path="m0,0l14005,0,14005,28,0,28,0,0xe">
            <v:path/>
            <v:fill on="t" focussize="0,0"/>
            <v:stroke on="f"/>
            <v:imagedata o:title=""/>
            <o:lock v:ext="edit"/>
            <w10:wrap type="none"/>
            <w10:anchorlock/>
          </v:shape>
        </w:pict>
      </w:r>
    </w:p>
    <w:p w14:paraId="76490A86">
      <w:pPr>
        <w:spacing w:line="197" w:lineRule="exact"/>
      </w:pPr>
    </w:p>
    <w:tbl>
      <w:tblPr>
        <w:tblStyle w:val="5"/>
        <w:tblW w:w="1399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7"/>
        <w:gridCol w:w="762"/>
        <w:gridCol w:w="636"/>
        <w:gridCol w:w="1966"/>
        <w:gridCol w:w="950"/>
        <w:gridCol w:w="2140"/>
        <w:gridCol w:w="1820"/>
        <w:gridCol w:w="2136"/>
        <w:gridCol w:w="1628"/>
        <w:gridCol w:w="669"/>
        <w:gridCol w:w="574"/>
      </w:tblGrid>
      <w:tr w14:paraId="08E9D4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479" w:type="dxa"/>
            <w:gridSpan w:val="2"/>
            <w:tcBorders>
              <w:top w:val="single" w:color="000000" w:sz="10" w:space="0"/>
              <w:left w:val="nil"/>
            </w:tcBorders>
            <w:vAlign w:val="top"/>
          </w:tcPr>
          <w:p w14:paraId="50AF2977">
            <w:pPr>
              <w:pStyle w:val="6"/>
              <w:spacing w:before="35" w:line="215" w:lineRule="auto"/>
              <w:ind w:left="329"/>
              <w:rPr>
                <w:sz w:val="20"/>
                <w:szCs w:val="20"/>
              </w:rPr>
            </w:pPr>
            <w:r>
              <w:rPr>
                <w:spacing w:val="6"/>
                <w:sz w:val="20"/>
                <w:szCs w:val="20"/>
              </w:rPr>
              <w:t>一级指标</w:t>
            </w:r>
          </w:p>
        </w:tc>
        <w:tc>
          <w:tcPr>
            <w:tcW w:w="9648" w:type="dxa"/>
            <w:gridSpan w:val="6"/>
            <w:tcBorders>
              <w:top w:val="single" w:color="000000" w:sz="10" w:space="0"/>
            </w:tcBorders>
            <w:vAlign w:val="top"/>
          </w:tcPr>
          <w:p w14:paraId="4FE66F14">
            <w:pPr>
              <w:pStyle w:val="6"/>
              <w:spacing w:before="35" w:line="215" w:lineRule="auto"/>
              <w:ind w:left="4413"/>
              <w:rPr>
                <w:sz w:val="20"/>
                <w:szCs w:val="20"/>
              </w:rPr>
            </w:pPr>
            <w:r>
              <w:rPr>
                <w:spacing w:val="6"/>
                <w:sz w:val="20"/>
                <w:szCs w:val="20"/>
              </w:rPr>
              <w:t>二级指标</w:t>
            </w:r>
          </w:p>
        </w:tc>
        <w:tc>
          <w:tcPr>
            <w:tcW w:w="1628" w:type="dxa"/>
            <w:vMerge w:val="restart"/>
            <w:tcBorders>
              <w:top w:val="single" w:color="000000" w:sz="10" w:space="0"/>
              <w:bottom w:val="nil"/>
            </w:tcBorders>
            <w:vAlign w:val="top"/>
          </w:tcPr>
          <w:p w14:paraId="3FEBF8CF">
            <w:pPr>
              <w:spacing w:line="242" w:lineRule="auto"/>
              <w:rPr>
                <w:rFonts w:ascii="Arial"/>
                <w:sz w:val="21"/>
              </w:rPr>
            </w:pPr>
          </w:p>
          <w:p w14:paraId="01A99F20">
            <w:pPr>
              <w:pStyle w:val="6"/>
              <w:spacing w:before="65" w:line="227" w:lineRule="auto"/>
              <w:ind w:left="297"/>
              <w:rPr>
                <w:sz w:val="20"/>
                <w:szCs w:val="20"/>
              </w:rPr>
            </w:pPr>
            <w:r>
              <w:rPr>
                <w:spacing w:val="7"/>
                <w:sz w:val="20"/>
                <w:szCs w:val="20"/>
              </w:rPr>
              <w:t>本项目情况</w:t>
            </w:r>
          </w:p>
        </w:tc>
        <w:tc>
          <w:tcPr>
            <w:tcW w:w="669" w:type="dxa"/>
            <w:vMerge w:val="restart"/>
            <w:tcBorders>
              <w:top w:val="single" w:color="000000" w:sz="10" w:space="0"/>
              <w:bottom w:val="nil"/>
            </w:tcBorders>
            <w:vAlign w:val="top"/>
          </w:tcPr>
          <w:p w14:paraId="66EFB8C5">
            <w:pPr>
              <w:pStyle w:val="6"/>
              <w:spacing w:before="173" w:line="239" w:lineRule="auto"/>
              <w:ind w:left="29" w:right="16"/>
              <w:rPr>
                <w:sz w:val="20"/>
                <w:szCs w:val="20"/>
              </w:rPr>
            </w:pPr>
            <w:r>
              <w:rPr>
                <w:spacing w:val="5"/>
                <w:sz w:val="20"/>
                <w:szCs w:val="20"/>
              </w:rPr>
              <w:t>二级单</w:t>
            </w:r>
            <w:r>
              <w:rPr>
                <w:spacing w:val="1"/>
                <w:sz w:val="20"/>
                <w:szCs w:val="20"/>
              </w:rPr>
              <w:t xml:space="preserve"> </w:t>
            </w:r>
            <w:r>
              <w:rPr>
                <w:spacing w:val="5"/>
                <w:sz w:val="20"/>
                <w:szCs w:val="20"/>
              </w:rPr>
              <w:t>项指标</w:t>
            </w:r>
          </w:p>
        </w:tc>
        <w:tc>
          <w:tcPr>
            <w:tcW w:w="574" w:type="dxa"/>
            <w:vMerge w:val="restart"/>
            <w:tcBorders>
              <w:top w:val="single" w:color="000000" w:sz="10" w:space="0"/>
              <w:bottom w:val="nil"/>
              <w:right w:val="nil"/>
            </w:tcBorders>
            <w:vAlign w:val="top"/>
          </w:tcPr>
          <w:p w14:paraId="1E4C6C82">
            <w:pPr>
              <w:pStyle w:val="6"/>
              <w:spacing w:before="34" w:line="239" w:lineRule="auto"/>
              <w:ind w:left="83" w:right="77" w:firstLine="3"/>
              <w:jc w:val="both"/>
              <w:rPr>
                <w:sz w:val="20"/>
                <w:szCs w:val="20"/>
              </w:rPr>
            </w:pPr>
            <w:r>
              <w:rPr>
                <w:spacing w:val="3"/>
                <w:sz w:val="20"/>
                <w:szCs w:val="20"/>
              </w:rPr>
              <w:t>综合</w:t>
            </w:r>
            <w:r>
              <w:rPr>
                <w:sz w:val="20"/>
                <w:szCs w:val="20"/>
              </w:rPr>
              <w:t xml:space="preserve"> </w:t>
            </w:r>
            <w:r>
              <w:rPr>
                <w:spacing w:val="5"/>
                <w:sz w:val="20"/>
                <w:szCs w:val="20"/>
              </w:rPr>
              <w:t>评价</w:t>
            </w:r>
            <w:r>
              <w:rPr>
                <w:sz w:val="20"/>
                <w:szCs w:val="20"/>
              </w:rPr>
              <w:t xml:space="preserve"> </w:t>
            </w:r>
            <w:r>
              <w:rPr>
                <w:spacing w:val="5"/>
                <w:sz w:val="20"/>
                <w:szCs w:val="20"/>
              </w:rPr>
              <w:t>指数</w:t>
            </w:r>
          </w:p>
        </w:tc>
      </w:tr>
      <w:tr w14:paraId="027475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717" w:type="dxa"/>
            <w:tcBorders>
              <w:left w:val="nil"/>
            </w:tcBorders>
            <w:vAlign w:val="top"/>
          </w:tcPr>
          <w:p w14:paraId="7DB881D0">
            <w:pPr>
              <w:pStyle w:val="6"/>
              <w:spacing w:before="163" w:line="228" w:lineRule="auto"/>
              <w:ind w:left="52"/>
              <w:rPr>
                <w:sz w:val="20"/>
                <w:szCs w:val="20"/>
              </w:rPr>
            </w:pPr>
            <w:r>
              <w:rPr>
                <w:spacing w:val="6"/>
                <w:sz w:val="20"/>
                <w:szCs w:val="20"/>
              </w:rPr>
              <w:t>指标项</w:t>
            </w:r>
          </w:p>
        </w:tc>
        <w:tc>
          <w:tcPr>
            <w:tcW w:w="762" w:type="dxa"/>
            <w:vAlign w:val="top"/>
          </w:tcPr>
          <w:p w14:paraId="6946ECF5">
            <w:pPr>
              <w:pStyle w:val="6"/>
              <w:spacing w:before="162" w:line="228" w:lineRule="auto"/>
              <w:ind w:left="70"/>
              <w:rPr>
                <w:sz w:val="20"/>
                <w:szCs w:val="20"/>
              </w:rPr>
            </w:pPr>
            <w:r>
              <w:rPr>
                <w:spacing w:val="7"/>
                <w:sz w:val="20"/>
                <w:szCs w:val="20"/>
              </w:rPr>
              <w:t>权重值</w:t>
            </w:r>
          </w:p>
        </w:tc>
        <w:tc>
          <w:tcPr>
            <w:tcW w:w="636" w:type="dxa"/>
            <w:vAlign w:val="top"/>
          </w:tcPr>
          <w:p w14:paraId="7D98551F">
            <w:pPr>
              <w:pStyle w:val="6"/>
              <w:spacing w:before="162" w:line="229" w:lineRule="auto"/>
              <w:ind w:left="110"/>
              <w:rPr>
                <w:sz w:val="20"/>
                <w:szCs w:val="20"/>
              </w:rPr>
            </w:pPr>
            <w:r>
              <w:rPr>
                <w:spacing w:val="5"/>
                <w:sz w:val="20"/>
                <w:szCs w:val="20"/>
              </w:rPr>
              <w:t>序号</w:t>
            </w:r>
          </w:p>
        </w:tc>
        <w:tc>
          <w:tcPr>
            <w:tcW w:w="1966" w:type="dxa"/>
            <w:vAlign w:val="top"/>
          </w:tcPr>
          <w:p w14:paraId="17D19D5D">
            <w:pPr>
              <w:pStyle w:val="6"/>
              <w:spacing w:before="163" w:line="228" w:lineRule="auto"/>
              <w:ind w:left="675"/>
              <w:rPr>
                <w:sz w:val="20"/>
                <w:szCs w:val="20"/>
              </w:rPr>
            </w:pPr>
            <w:r>
              <w:rPr>
                <w:spacing w:val="6"/>
                <w:sz w:val="20"/>
                <w:szCs w:val="20"/>
              </w:rPr>
              <w:t>指标项</w:t>
            </w:r>
          </w:p>
        </w:tc>
        <w:tc>
          <w:tcPr>
            <w:tcW w:w="950" w:type="dxa"/>
            <w:vAlign w:val="top"/>
          </w:tcPr>
          <w:p w14:paraId="1253874B">
            <w:pPr>
              <w:pStyle w:val="6"/>
              <w:spacing w:before="162" w:line="228" w:lineRule="auto"/>
              <w:ind w:left="63"/>
              <w:rPr>
                <w:sz w:val="20"/>
                <w:szCs w:val="20"/>
              </w:rPr>
            </w:pPr>
            <w:r>
              <w:rPr>
                <w:spacing w:val="6"/>
                <w:sz w:val="20"/>
                <w:szCs w:val="20"/>
              </w:rPr>
              <w:t>分权重值</w:t>
            </w:r>
          </w:p>
        </w:tc>
        <w:tc>
          <w:tcPr>
            <w:tcW w:w="2140" w:type="dxa"/>
            <w:vAlign w:val="top"/>
          </w:tcPr>
          <w:p w14:paraId="3BB852D0">
            <w:pPr>
              <w:pStyle w:val="6"/>
              <w:spacing w:before="162" w:line="228" w:lineRule="auto"/>
              <w:ind w:left="283"/>
              <w:rPr>
                <w:sz w:val="20"/>
                <w:szCs w:val="20"/>
              </w:rPr>
            </w:pPr>
            <w:r>
              <w:rPr>
                <w:rFonts w:ascii="Times New Roman" w:hAnsi="Times New Roman" w:eastAsia="Times New Roman" w:cs="Times New Roman"/>
                <w:spacing w:val="5"/>
                <w:sz w:val="20"/>
                <w:szCs w:val="20"/>
              </w:rPr>
              <w:t>Ⅰ</w:t>
            </w:r>
            <w:r>
              <w:rPr>
                <w:spacing w:val="5"/>
                <w:sz w:val="20"/>
                <w:szCs w:val="20"/>
              </w:rPr>
              <w:t>级基准值（</w:t>
            </w:r>
            <w:r>
              <w:rPr>
                <w:rFonts w:ascii="Times New Roman" w:hAnsi="Times New Roman" w:eastAsia="Times New Roman" w:cs="Times New Roman"/>
                <w:spacing w:val="5"/>
                <w:sz w:val="20"/>
                <w:szCs w:val="20"/>
              </w:rPr>
              <w:t>1.0</w:t>
            </w:r>
            <w:r>
              <w:rPr>
                <w:spacing w:val="5"/>
                <w:sz w:val="20"/>
                <w:szCs w:val="20"/>
              </w:rPr>
              <w:t>）</w:t>
            </w:r>
          </w:p>
        </w:tc>
        <w:tc>
          <w:tcPr>
            <w:tcW w:w="1820" w:type="dxa"/>
            <w:vAlign w:val="top"/>
          </w:tcPr>
          <w:p w14:paraId="0AB7E85C">
            <w:pPr>
              <w:pStyle w:val="6"/>
              <w:spacing w:before="162" w:line="228" w:lineRule="auto"/>
              <w:ind w:left="92"/>
              <w:rPr>
                <w:sz w:val="20"/>
                <w:szCs w:val="20"/>
              </w:rPr>
            </w:pPr>
            <w:r>
              <w:rPr>
                <w:rFonts w:ascii="Times New Roman" w:hAnsi="Times New Roman" w:eastAsia="Times New Roman" w:cs="Times New Roman"/>
                <w:spacing w:val="6"/>
                <w:sz w:val="20"/>
                <w:szCs w:val="20"/>
              </w:rPr>
              <w:t>Ⅱ</w:t>
            </w:r>
            <w:r>
              <w:rPr>
                <w:spacing w:val="6"/>
                <w:sz w:val="20"/>
                <w:szCs w:val="20"/>
              </w:rPr>
              <w:t>级基准值（</w:t>
            </w:r>
            <w:r>
              <w:rPr>
                <w:rFonts w:ascii="Times New Roman" w:hAnsi="Times New Roman" w:eastAsia="Times New Roman" w:cs="Times New Roman"/>
                <w:spacing w:val="6"/>
                <w:sz w:val="20"/>
                <w:szCs w:val="20"/>
              </w:rPr>
              <w:t>0.8</w:t>
            </w:r>
            <w:r>
              <w:rPr>
                <w:spacing w:val="6"/>
                <w:sz w:val="20"/>
                <w:szCs w:val="20"/>
              </w:rPr>
              <w:t>）</w:t>
            </w:r>
          </w:p>
        </w:tc>
        <w:tc>
          <w:tcPr>
            <w:tcW w:w="2136" w:type="dxa"/>
            <w:vAlign w:val="top"/>
          </w:tcPr>
          <w:p w14:paraId="30DE9E55">
            <w:pPr>
              <w:pStyle w:val="6"/>
              <w:spacing w:before="162" w:line="228" w:lineRule="auto"/>
              <w:ind w:left="211"/>
              <w:rPr>
                <w:sz w:val="20"/>
                <w:szCs w:val="20"/>
              </w:rPr>
            </w:pPr>
            <w:r>
              <w:rPr>
                <w:rFonts w:ascii="Times New Roman" w:hAnsi="Times New Roman" w:eastAsia="Times New Roman" w:cs="Times New Roman"/>
                <w:spacing w:val="6"/>
                <w:sz w:val="20"/>
                <w:szCs w:val="20"/>
              </w:rPr>
              <w:t>Ⅲ</w:t>
            </w:r>
            <w:r>
              <w:rPr>
                <w:spacing w:val="6"/>
                <w:sz w:val="20"/>
                <w:szCs w:val="20"/>
              </w:rPr>
              <w:t>级基准值（</w:t>
            </w:r>
            <w:r>
              <w:rPr>
                <w:rFonts w:ascii="Times New Roman" w:hAnsi="Times New Roman" w:eastAsia="Times New Roman" w:cs="Times New Roman"/>
                <w:spacing w:val="6"/>
                <w:sz w:val="20"/>
                <w:szCs w:val="20"/>
              </w:rPr>
              <w:t>0.6</w:t>
            </w:r>
            <w:r>
              <w:rPr>
                <w:spacing w:val="6"/>
                <w:sz w:val="20"/>
                <w:szCs w:val="20"/>
              </w:rPr>
              <w:t>）</w:t>
            </w:r>
          </w:p>
        </w:tc>
        <w:tc>
          <w:tcPr>
            <w:tcW w:w="1628" w:type="dxa"/>
            <w:vMerge w:val="continue"/>
            <w:tcBorders>
              <w:top w:val="nil"/>
            </w:tcBorders>
            <w:vAlign w:val="top"/>
          </w:tcPr>
          <w:p w14:paraId="3F2735C4">
            <w:pPr>
              <w:rPr>
                <w:rFonts w:ascii="Arial"/>
                <w:sz w:val="21"/>
              </w:rPr>
            </w:pPr>
          </w:p>
        </w:tc>
        <w:tc>
          <w:tcPr>
            <w:tcW w:w="669" w:type="dxa"/>
            <w:vMerge w:val="continue"/>
            <w:tcBorders>
              <w:top w:val="nil"/>
            </w:tcBorders>
            <w:vAlign w:val="top"/>
          </w:tcPr>
          <w:p w14:paraId="073BDEEB">
            <w:pPr>
              <w:rPr>
                <w:rFonts w:ascii="Arial"/>
                <w:sz w:val="21"/>
              </w:rPr>
            </w:pPr>
          </w:p>
        </w:tc>
        <w:tc>
          <w:tcPr>
            <w:tcW w:w="574" w:type="dxa"/>
            <w:vMerge w:val="continue"/>
            <w:tcBorders>
              <w:top w:val="nil"/>
              <w:right w:val="nil"/>
            </w:tcBorders>
            <w:vAlign w:val="top"/>
          </w:tcPr>
          <w:p w14:paraId="27880AA0">
            <w:pPr>
              <w:rPr>
                <w:rFonts w:ascii="Arial"/>
                <w:sz w:val="21"/>
              </w:rPr>
            </w:pPr>
          </w:p>
        </w:tc>
      </w:tr>
      <w:tr w14:paraId="46C7AF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73" w:hRule="atLeast"/>
        </w:trPr>
        <w:tc>
          <w:tcPr>
            <w:tcW w:w="717" w:type="dxa"/>
            <w:vMerge w:val="restart"/>
            <w:tcBorders>
              <w:left w:val="nil"/>
              <w:bottom w:val="nil"/>
            </w:tcBorders>
            <w:vAlign w:val="top"/>
          </w:tcPr>
          <w:p w14:paraId="172A613E">
            <w:pPr>
              <w:rPr>
                <w:rFonts w:ascii="Arial"/>
                <w:sz w:val="21"/>
              </w:rPr>
            </w:pPr>
          </w:p>
        </w:tc>
        <w:tc>
          <w:tcPr>
            <w:tcW w:w="762" w:type="dxa"/>
            <w:vMerge w:val="restart"/>
            <w:tcBorders>
              <w:bottom w:val="nil"/>
            </w:tcBorders>
            <w:vAlign w:val="top"/>
          </w:tcPr>
          <w:p w14:paraId="10DDB13A">
            <w:pPr>
              <w:rPr>
                <w:rFonts w:ascii="Arial"/>
                <w:sz w:val="21"/>
              </w:rPr>
            </w:pPr>
          </w:p>
        </w:tc>
        <w:tc>
          <w:tcPr>
            <w:tcW w:w="636" w:type="dxa"/>
            <w:vAlign w:val="top"/>
          </w:tcPr>
          <w:p w14:paraId="49DECC49">
            <w:pPr>
              <w:rPr>
                <w:rFonts w:ascii="Arial"/>
                <w:sz w:val="21"/>
              </w:rPr>
            </w:pPr>
          </w:p>
          <w:p w14:paraId="54B746E5">
            <w:pPr>
              <w:rPr>
                <w:rFonts w:ascii="Arial"/>
                <w:sz w:val="21"/>
              </w:rPr>
            </w:pPr>
          </w:p>
          <w:p w14:paraId="11E4377A">
            <w:pPr>
              <w:rPr>
                <w:rFonts w:ascii="Arial"/>
                <w:sz w:val="21"/>
              </w:rPr>
            </w:pPr>
          </w:p>
          <w:p w14:paraId="0E60B006">
            <w:pPr>
              <w:rPr>
                <w:rFonts w:ascii="Arial"/>
                <w:sz w:val="21"/>
              </w:rPr>
            </w:pPr>
          </w:p>
          <w:p w14:paraId="28090604">
            <w:pPr>
              <w:spacing w:before="58" w:line="192" w:lineRule="auto"/>
              <w:ind w:left="269"/>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1966" w:type="dxa"/>
            <w:vAlign w:val="top"/>
          </w:tcPr>
          <w:p w14:paraId="5A02805F">
            <w:pPr>
              <w:spacing w:line="305" w:lineRule="auto"/>
              <w:rPr>
                <w:rFonts w:ascii="Arial"/>
                <w:sz w:val="21"/>
              </w:rPr>
            </w:pPr>
          </w:p>
          <w:p w14:paraId="52126101">
            <w:pPr>
              <w:spacing w:line="305" w:lineRule="auto"/>
              <w:rPr>
                <w:rFonts w:ascii="Arial"/>
                <w:sz w:val="21"/>
              </w:rPr>
            </w:pPr>
          </w:p>
          <w:p w14:paraId="3E11D6A6">
            <w:pPr>
              <w:spacing w:line="305" w:lineRule="auto"/>
              <w:rPr>
                <w:rFonts w:ascii="Arial"/>
                <w:sz w:val="21"/>
              </w:rPr>
            </w:pPr>
          </w:p>
          <w:p w14:paraId="581279CB">
            <w:pPr>
              <w:pStyle w:val="6"/>
              <w:spacing w:before="65" w:line="228" w:lineRule="auto"/>
              <w:ind w:left="376"/>
              <w:rPr>
                <w:sz w:val="20"/>
                <w:szCs w:val="20"/>
              </w:rPr>
            </w:pPr>
            <w:r>
              <w:rPr>
                <w:spacing w:val="5"/>
                <w:sz w:val="20"/>
                <w:szCs w:val="20"/>
              </w:rPr>
              <w:t>固体废物处置</w:t>
            </w:r>
          </w:p>
        </w:tc>
        <w:tc>
          <w:tcPr>
            <w:tcW w:w="950" w:type="dxa"/>
            <w:vAlign w:val="top"/>
          </w:tcPr>
          <w:p w14:paraId="1DC1FC01">
            <w:pPr>
              <w:spacing w:line="319" w:lineRule="auto"/>
              <w:rPr>
                <w:rFonts w:ascii="Arial"/>
                <w:sz w:val="21"/>
              </w:rPr>
            </w:pPr>
          </w:p>
          <w:p w14:paraId="3A2681C0">
            <w:pPr>
              <w:spacing w:line="319" w:lineRule="auto"/>
              <w:rPr>
                <w:rFonts w:ascii="Arial"/>
                <w:sz w:val="21"/>
              </w:rPr>
            </w:pPr>
          </w:p>
          <w:p w14:paraId="62B49663">
            <w:pPr>
              <w:spacing w:line="319" w:lineRule="auto"/>
              <w:rPr>
                <w:rFonts w:ascii="Arial"/>
                <w:sz w:val="21"/>
              </w:rPr>
            </w:pPr>
          </w:p>
          <w:p w14:paraId="19DA2208">
            <w:pPr>
              <w:spacing w:before="58" w:line="195"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w:t>
            </w:r>
          </w:p>
        </w:tc>
        <w:tc>
          <w:tcPr>
            <w:tcW w:w="2140" w:type="dxa"/>
            <w:vAlign w:val="top"/>
          </w:tcPr>
          <w:p w14:paraId="0D99DFD3">
            <w:pPr>
              <w:pStyle w:val="6"/>
              <w:spacing w:before="302" w:line="247" w:lineRule="auto"/>
              <w:ind w:left="21" w:right="22" w:firstLine="108"/>
              <w:rPr>
                <w:sz w:val="20"/>
                <w:szCs w:val="20"/>
              </w:rPr>
            </w:pPr>
            <w:r>
              <w:rPr>
                <w:spacing w:val="8"/>
                <w:sz w:val="20"/>
                <w:szCs w:val="20"/>
              </w:rPr>
              <w:t>建立固体废物管理制</w:t>
            </w:r>
            <w:r>
              <w:rPr>
                <w:spacing w:val="2"/>
                <w:sz w:val="20"/>
                <w:szCs w:val="20"/>
              </w:rPr>
              <w:t xml:space="preserve">  </w:t>
            </w:r>
            <w:r>
              <w:rPr>
                <w:spacing w:val="9"/>
                <w:sz w:val="20"/>
                <w:szCs w:val="20"/>
              </w:rPr>
              <w:t>度。危险废物贮存设有</w:t>
            </w:r>
            <w:r>
              <w:rPr>
                <w:sz w:val="20"/>
                <w:szCs w:val="20"/>
              </w:rPr>
              <w:t xml:space="preserve"> </w:t>
            </w:r>
            <w:r>
              <w:rPr>
                <w:spacing w:val="9"/>
                <w:sz w:val="20"/>
                <w:szCs w:val="20"/>
              </w:rPr>
              <w:t>标识，转移联单完备，</w:t>
            </w:r>
            <w:r>
              <w:rPr>
                <w:sz w:val="20"/>
                <w:szCs w:val="20"/>
              </w:rPr>
              <w:t xml:space="preserve"> </w:t>
            </w:r>
            <w:r>
              <w:rPr>
                <w:spacing w:val="9"/>
                <w:sz w:val="20"/>
                <w:szCs w:val="20"/>
              </w:rPr>
              <w:t>制定有防范措施和应急</w:t>
            </w:r>
            <w:r>
              <w:rPr>
                <w:sz w:val="20"/>
                <w:szCs w:val="20"/>
              </w:rPr>
              <w:t xml:space="preserve"> </w:t>
            </w:r>
            <w:r>
              <w:rPr>
                <w:spacing w:val="9"/>
                <w:sz w:val="20"/>
                <w:szCs w:val="20"/>
              </w:rPr>
              <w:t>预案，无害化处理后综</w:t>
            </w:r>
          </w:p>
          <w:p w14:paraId="6399658E">
            <w:pPr>
              <w:pStyle w:val="6"/>
              <w:spacing w:before="23" w:line="228" w:lineRule="auto"/>
              <w:ind w:left="402"/>
              <w:rPr>
                <w:rFonts w:ascii="Times New Roman" w:hAnsi="Times New Roman" w:eastAsia="Times New Roman" w:cs="Times New Roman"/>
                <w:sz w:val="20"/>
                <w:szCs w:val="20"/>
              </w:rPr>
            </w:pPr>
            <w:r>
              <w:rPr>
                <w:spacing w:val="6"/>
                <w:sz w:val="20"/>
                <w:szCs w:val="20"/>
              </w:rPr>
              <w:t>合利用率</w:t>
            </w:r>
            <w:r>
              <w:rPr>
                <w:rFonts w:ascii="Times New Roman" w:hAnsi="Times New Roman" w:eastAsia="Times New Roman" w:cs="Times New Roman"/>
                <w:spacing w:val="6"/>
                <w:sz w:val="20"/>
                <w:szCs w:val="20"/>
              </w:rPr>
              <w:t>≥80%</w:t>
            </w:r>
          </w:p>
        </w:tc>
        <w:tc>
          <w:tcPr>
            <w:tcW w:w="1820" w:type="dxa"/>
            <w:vAlign w:val="top"/>
          </w:tcPr>
          <w:p w14:paraId="4665CE4F">
            <w:pPr>
              <w:pStyle w:val="6"/>
              <w:spacing w:before="166" w:line="228" w:lineRule="auto"/>
              <w:ind w:left="78"/>
              <w:rPr>
                <w:sz w:val="20"/>
                <w:szCs w:val="20"/>
              </w:rPr>
            </w:pPr>
            <w:r>
              <w:rPr>
                <w:spacing w:val="8"/>
                <w:sz w:val="20"/>
                <w:szCs w:val="20"/>
              </w:rPr>
              <w:t>建立固体废物管理</w:t>
            </w:r>
          </w:p>
          <w:p w14:paraId="79B56261">
            <w:pPr>
              <w:pStyle w:val="6"/>
              <w:spacing w:before="24" w:line="228" w:lineRule="auto"/>
              <w:jc w:val="right"/>
              <w:rPr>
                <w:sz w:val="20"/>
                <w:szCs w:val="20"/>
              </w:rPr>
            </w:pPr>
            <w:r>
              <w:rPr>
                <w:spacing w:val="1"/>
                <w:sz w:val="20"/>
                <w:szCs w:val="20"/>
              </w:rPr>
              <w:t>制度。危险废物贮存</w:t>
            </w:r>
          </w:p>
          <w:p w14:paraId="7163DB6C">
            <w:pPr>
              <w:pStyle w:val="6"/>
              <w:spacing w:before="27" w:line="228" w:lineRule="auto"/>
              <w:jc w:val="right"/>
              <w:rPr>
                <w:sz w:val="20"/>
                <w:szCs w:val="20"/>
              </w:rPr>
            </w:pPr>
            <w:r>
              <w:rPr>
                <w:sz w:val="20"/>
                <w:szCs w:val="20"/>
              </w:rPr>
              <w:t>设有标识，转移联单</w:t>
            </w:r>
          </w:p>
          <w:p w14:paraId="45C0E503">
            <w:pPr>
              <w:pStyle w:val="6"/>
              <w:spacing w:before="25" w:line="228" w:lineRule="auto"/>
              <w:jc w:val="right"/>
              <w:rPr>
                <w:sz w:val="20"/>
                <w:szCs w:val="20"/>
              </w:rPr>
            </w:pPr>
            <w:r>
              <w:rPr>
                <w:spacing w:val="1"/>
                <w:sz w:val="20"/>
                <w:szCs w:val="20"/>
              </w:rPr>
              <w:t>完备，制定有防范措</w:t>
            </w:r>
          </w:p>
          <w:p w14:paraId="13212542">
            <w:pPr>
              <w:pStyle w:val="6"/>
              <w:spacing w:before="25" w:line="228" w:lineRule="auto"/>
              <w:jc w:val="right"/>
              <w:rPr>
                <w:sz w:val="20"/>
                <w:szCs w:val="20"/>
              </w:rPr>
            </w:pPr>
            <w:r>
              <w:rPr>
                <w:spacing w:val="1"/>
                <w:sz w:val="20"/>
                <w:szCs w:val="20"/>
              </w:rPr>
              <w:t>施和应急预案，无害</w:t>
            </w:r>
          </w:p>
          <w:p w14:paraId="4B46091F">
            <w:pPr>
              <w:pStyle w:val="6"/>
              <w:spacing w:before="24" w:line="228" w:lineRule="auto"/>
              <w:ind w:left="77"/>
              <w:rPr>
                <w:sz w:val="20"/>
                <w:szCs w:val="20"/>
              </w:rPr>
            </w:pPr>
            <w:r>
              <w:rPr>
                <w:spacing w:val="8"/>
                <w:sz w:val="20"/>
                <w:szCs w:val="20"/>
              </w:rPr>
              <w:t>化处理后综合利用</w:t>
            </w:r>
          </w:p>
          <w:p w14:paraId="26027BF3">
            <w:pPr>
              <w:pStyle w:val="6"/>
              <w:spacing w:before="26" w:line="228" w:lineRule="auto"/>
              <w:ind w:left="562"/>
              <w:rPr>
                <w:rFonts w:ascii="Times New Roman" w:hAnsi="Times New Roman" w:eastAsia="Times New Roman" w:cs="Times New Roman"/>
                <w:sz w:val="20"/>
                <w:szCs w:val="20"/>
              </w:rPr>
            </w:pPr>
            <w:r>
              <w:rPr>
                <w:spacing w:val="5"/>
                <w:sz w:val="20"/>
                <w:szCs w:val="20"/>
              </w:rPr>
              <w:t>率</w:t>
            </w:r>
            <w:r>
              <w:rPr>
                <w:rFonts w:ascii="Times New Roman" w:hAnsi="Times New Roman" w:eastAsia="Times New Roman" w:cs="Times New Roman"/>
                <w:spacing w:val="5"/>
                <w:sz w:val="20"/>
                <w:szCs w:val="20"/>
              </w:rPr>
              <w:t>≥70%</w:t>
            </w:r>
          </w:p>
        </w:tc>
        <w:tc>
          <w:tcPr>
            <w:tcW w:w="2136" w:type="dxa"/>
            <w:vAlign w:val="top"/>
          </w:tcPr>
          <w:p w14:paraId="291C2A0F">
            <w:pPr>
              <w:pStyle w:val="6"/>
              <w:spacing w:before="302" w:line="247" w:lineRule="auto"/>
              <w:ind w:left="26" w:right="13" w:firstLine="106"/>
              <w:rPr>
                <w:sz w:val="20"/>
                <w:szCs w:val="20"/>
              </w:rPr>
            </w:pPr>
            <w:r>
              <w:rPr>
                <w:spacing w:val="8"/>
                <w:sz w:val="20"/>
                <w:szCs w:val="20"/>
              </w:rPr>
              <w:t>建立固体废物管理制</w:t>
            </w:r>
            <w:r>
              <w:rPr>
                <w:spacing w:val="2"/>
                <w:sz w:val="20"/>
                <w:szCs w:val="20"/>
              </w:rPr>
              <w:t xml:space="preserve">  </w:t>
            </w:r>
            <w:r>
              <w:rPr>
                <w:spacing w:val="9"/>
                <w:sz w:val="20"/>
                <w:szCs w:val="20"/>
              </w:rPr>
              <w:t>度。危险废物贮存设有</w:t>
            </w:r>
            <w:r>
              <w:rPr>
                <w:sz w:val="20"/>
                <w:szCs w:val="20"/>
              </w:rPr>
              <w:t xml:space="preserve"> </w:t>
            </w:r>
            <w:r>
              <w:rPr>
                <w:spacing w:val="9"/>
                <w:sz w:val="20"/>
                <w:szCs w:val="20"/>
              </w:rPr>
              <w:t>标识，转移联单完备，</w:t>
            </w:r>
            <w:r>
              <w:rPr>
                <w:sz w:val="20"/>
                <w:szCs w:val="20"/>
              </w:rPr>
              <w:t xml:space="preserve"> </w:t>
            </w:r>
            <w:r>
              <w:rPr>
                <w:spacing w:val="9"/>
                <w:sz w:val="20"/>
                <w:szCs w:val="20"/>
              </w:rPr>
              <w:t>制定有防范措施和应急</w:t>
            </w:r>
            <w:r>
              <w:rPr>
                <w:sz w:val="20"/>
                <w:szCs w:val="20"/>
              </w:rPr>
              <w:t xml:space="preserve"> </w:t>
            </w:r>
            <w:r>
              <w:rPr>
                <w:spacing w:val="9"/>
                <w:sz w:val="20"/>
                <w:szCs w:val="20"/>
              </w:rPr>
              <w:t>预案，无害化处理后综</w:t>
            </w:r>
          </w:p>
          <w:p w14:paraId="0C6F2B1D">
            <w:pPr>
              <w:pStyle w:val="6"/>
              <w:spacing w:before="23" w:line="228" w:lineRule="auto"/>
              <w:ind w:left="407"/>
              <w:rPr>
                <w:rFonts w:ascii="Times New Roman" w:hAnsi="Times New Roman" w:eastAsia="Times New Roman" w:cs="Times New Roman"/>
                <w:sz w:val="20"/>
                <w:szCs w:val="20"/>
              </w:rPr>
            </w:pPr>
            <w:r>
              <w:rPr>
                <w:spacing w:val="6"/>
                <w:sz w:val="20"/>
                <w:szCs w:val="20"/>
              </w:rPr>
              <w:t>合利用率</w:t>
            </w:r>
            <w:r>
              <w:rPr>
                <w:rFonts w:ascii="Times New Roman" w:hAnsi="Times New Roman" w:eastAsia="Times New Roman" w:cs="Times New Roman"/>
                <w:spacing w:val="6"/>
                <w:sz w:val="20"/>
                <w:szCs w:val="20"/>
              </w:rPr>
              <w:t>≥50%</w:t>
            </w:r>
          </w:p>
        </w:tc>
        <w:tc>
          <w:tcPr>
            <w:tcW w:w="1628" w:type="dxa"/>
            <w:vAlign w:val="top"/>
          </w:tcPr>
          <w:p w14:paraId="0068F766">
            <w:pPr>
              <w:pStyle w:val="6"/>
              <w:spacing w:before="32" w:line="228" w:lineRule="auto"/>
              <w:ind w:left="87"/>
              <w:rPr>
                <w:sz w:val="20"/>
                <w:szCs w:val="20"/>
              </w:rPr>
            </w:pPr>
            <w:r>
              <w:rPr>
                <w:spacing w:val="8"/>
                <w:sz w:val="20"/>
                <w:szCs w:val="20"/>
              </w:rPr>
              <w:t>建立固体废物管</w:t>
            </w:r>
          </w:p>
          <w:p w14:paraId="4BD0E738">
            <w:pPr>
              <w:pStyle w:val="6"/>
              <w:spacing w:before="25" w:line="228" w:lineRule="auto"/>
              <w:jc w:val="right"/>
              <w:rPr>
                <w:sz w:val="20"/>
                <w:szCs w:val="20"/>
              </w:rPr>
            </w:pPr>
            <w:r>
              <w:rPr>
                <w:spacing w:val="1"/>
                <w:sz w:val="20"/>
                <w:szCs w:val="20"/>
              </w:rPr>
              <w:t>理制度。危险废物</w:t>
            </w:r>
          </w:p>
          <w:p w14:paraId="7FB2A805">
            <w:pPr>
              <w:pStyle w:val="6"/>
              <w:spacing w:before="25" w:line="228" w:lineRule="auto"/>
              <w:jc w:val="right"/>
              <w:rPr>
                <w:sz w:val="20"/>
                <w:szCs w:val="20"/>
              </w:rPr>
            </w:pPr>
            <w:r>
              <w:rPr>
                <w:spacing w:val="1"/>
                <w:sz w:val="20"/>
                <w:szCs w:val="20"/>
              </w:rPr>
              <w:t>贮存设有标识，转</w:t>
            </w:r>
          </w:p>
          <w:p w14:paraId="5657A2A7">
            <w:pPr>
              <w:pStyle w:val="6"/>
              <w:spacing w:before="24" w:line="228" w:lineRule="auto"/>
              <w:jc w:val="right"/>
              <w:rPr>
                <w:sz w:val="20"/>
                <w:szCs w:val="20"/>
              </w:rPr>
            </w:pPr>
            <w:r>
              <w:rPr>
                <w:spacing w:val="1"/>
                <w:sz w:val="20"/>
                <w:szCs w:val="20"/>
              </w:rPr>
              <w:t>移联单完备，制定</w:t>
            </w:r>
          </w:p>
          <w:p w14:paraId="7A7C7599">
            <w:pPr>
              <w:pStyle w:val="6"/>
              <w:spacing w:before="27" w:line="228" w:lineRule="auto"/>
              <w:ind w:left="85"/>
              <w:rPr>
                <w:sz w:val="20"/>
                <w:szCs w:val="20"/>
              </w:rPr>
            </w:pPr>
            <w:r>
              <w:rPr>
                <w:spacing w:val="8"/>
                <w:sz w:val="20"/>
                <w:szCs w:val="20"/>
              </w:rPr>
              <w:t>有防范措施和应</w:t>
            </w:r>
          </w:p>
          <w:p w14:paraId="0720204D">
            <w:pPr>
              <w:pStyle w:val="6"/>
              <w:spacing w:before="24" w:line="228" w:lineRule="auto"/>
              <w:jc w:val="right"/>
              <w:rPr>
                <w:sz w:val="20"/>
                <w:szCs w:val="20"/>
              </w:rPr>
            </w:pPr>
            <w:r>
              <w:rPr>
                <w:sz w:val="20"/>
                <w:szCs w:val="20"/>
              </w:rPr>
              <w:t>急预案，无害化处</w:t>
            </w:r>
          </w:p>
          <w:p w14:paraId="7F4FACDD">
            <w:pPr>
              <w:pStyle w:val="6"/>
              <w:spacing w:before="25" w:line="228" w:lineRule="auto"/>
              <w:ind w:left="87"/>
              <w:rPr>
                <w:sz w:val="20"/>
                <w:szCs w:val="20"/>
              </w:rPr>
            </w:pPr>
            <w:r>
              <w:rPr>
                <w:spacing w:val="8"/>
                <w:sz w:val="20"/>
                <w:szCs w:val="20"/>
              </w:rPr>
              <w:t>理后综合利用率</w:t>
            </w:r>
          </w:p>
          <w:p w14:paraId="25C98BAF">
            <w:pPr>
              <w:pStyle w:val="6"/>
              <w:spacing w:before="25" w:line="207" w:lineRule="auto"/>
              <w:ind w:left="574"/>
              <w:rPr>
                <w:rFonts w:ascii="Times New Roman" w:hAnsi="Times New Roman" w:eastAsia="Times New Roman" w:cs="Times New Roman"/>
                <w:sz w:val="20"/>
                <w:szCs w:val="20"/>
              </w:rPr>
            </w:pPr>
            <w:r>
              <w:rPr>
                <w:spacing w:val="-8"/>
                <w:sz w:val="20"/>
                <w:szCs w:val="20"/>
              </w:rPr>
              <w:t>﹤</w:t>
            </w:r>
            <w:r>
              <w:rPr>
                <w:rFonts w:ascii="Times New Roman" w:hAnsi="Times New Roman" w:eastAsia="Times New Roman" w:cs="Times New Roman"/>
                <w:spacing w:val="-8"/>
                <w:sz w:val="20"/>
                <w:szCs w:val="20"/>
              </w:rPr>
              <w:t>50%</w:t>
            </w:r>
          </w:p>
        </w:tc>
        <w:tc>
          <w:tcPr>
            <w:tcW w:w="669" w:type="dxa"/>
            <w:vAlign w:val="top"/>
          </w:tcPr>
          <w:p w14:paraId="5FDCD67B">
            <w:pPr>
              <w:spacing w:line="319" w:lineRule="auto"/>
              <w:rPr>
                <w:rFonts w:ascii="Arial"/>
                <w:sz w:val="21"/>
              </w:rPr>
            </w:pPr>
          </w:p>
          <w:p w14:paraId="19535E2B">
            <w:pPr>
              <w:spacing w:line="319" w:lineRule="auto"/>
              <w:rPr>
                <w:rFonts w:ascii="Arial"/>
                <w:sz w:val="21"/>
              </w:rPr>
            </w:pPr>
          </w:p>
          <w:p w14:paraId="4CD37C41">
            <w:pPr>
              <w:spacing w:line="319" w:lineRule="auto"/>
              <w:rPr>
                <w:rFonts w:ascii="Arial"/>
                <w:sz w:val="21"/>
              </w:rPr>
            </w:pPr>
          </w:p>
          <w:p w14:paraId="0500136B">
            <w:pPr>
              <w:spacing w:before="58" w:line="195" w:lineRule="auto"/>
              <w:ind w:left="287"/>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574" w:type="dxa"/>
            <w:vMerge w:val="restart"/>
            <w:tcBorders>
              <w:bottom w:val="nil"/>
              <w:right w:val="nil"/>
            </w:tcBorders>
            <w:vAlign w:val="top"/>
          </w:tcPr>
          <w:p w14:paraId="694623DC">
            <w:pPr>
              <w:rPr>
                <w:rFonts w:ascii="Arial"/>
                <w:sz w:val="21"/>
              </w:rPr>
            </w:pPr>
          </w:p>
        </w:tc>
      </w:tr>
      <w:tr w14:paraId="2953C8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88" w:hRule="atLeast"/>
        </w:trPr>
        <w:tc>
          <w:tcPr>
            <w:tcW w:w="717" w:type="dxa"/>
            <w:vMerge w:val="continue"/>
            <w:tcBorders>
              <w:top w:val="nil"/>
              <w:left w:val="nil"/>
              <w:bottom w:val="nil"/>
            </w:tcBorders>
            <w:vAlign w:val="top"/>
          </w:tcPr>
          <w:p w14:paraId="4CC960F3">
            <w:pPr>
              <w:rPr>
                <w:rFonts w:ascii="Arial"/>
                <w:sz w:val="21"/>
              </w:rPr>
            </w:pPr>
          </w:p>
        </w:tc>
        <w:tc>
          <w:tcPr>
            <w:tcW w:w="762" w:type="dxa"/>
            <w:vMerge w:val="continue"/>
            <w:tcBorders>
              <w:top w:val="nil"/>
              <w:bottom w:val="nil"/>
            </w:tcBorders>
            <w:vAlign w:val="top"/>
          </w:tcPr>
          <w:p w14:paraId="33DBF0E0">
            <w:pPr>
              <w:rPr>
                <w:rFonts w:ascii="Arial"/>
                <w:sz w:val="21"/>
              </w:rPr>
            </w:pPr>
          </w:p>
        </w:tc>
        <w:tc>
          <w:tcPr>
            <w:tcW w:w="636" w:type="dxa"/>
            <w:vAlign w:val="top"/>
          </w:tcPr>
          <w:p w14:paraId="080812EF">
            <w:pPr>
              <w:spacing w:line="273" w:lineRule="auto"/>
              <w:rPr>
                <w:rFonts w:ascii="Arial"/>
                <w:sz w:val="21"/>
              </w:rPr>
            </w:pPr>
          </w:p>
          <w:p w14:paraId="78F61203">
            <w:pPr>
              <w:spacing w:line="274" w:lineRule="auto"/>
              <w:rPr>
                <w:rFonts w:ascii="Arial"/>
                <w:sz w:val="21"/>
              </w:rPr>
            </w:pPr>
          </w:p>
          <w:p w14:paraId="1FEDDC58">
            <w:pPr>
              <w:spacing w:line="274" w:lineRule="auto"/>
              <w:rPr>
                <w:rFonts w:ascii="Arial"/>
                <w:sz w:val="21"/>
              </w:rPr>
            </w:pPr>
          </w:p>
          <w:p w14:paraId="50DF6E1F">
            <w:pPr>
              <w:spacing w:line="274" w:lineRule="auto"/>
              <w:rPr>
                <w:rFonts w:ascii="Arial"/>
                <w:sz w:val="21"/>
              </w:rPr>
            </w:pPr>
          </w:p>
          <w:p w14:paraId="1DBB8352">
            <w:pPr>
              <w:spacing w:line="274" w:lineRule="auto"/>
              <w:rPr>
                <w:rFonts w:ascii="Arial"/>
                <w:sz w:val="21"/>
              </w:rPr>
            </w:pPr>
          </w:p>
          <w:p w14:paraId="1001DFB5">
            <w:pPr>
              <w:spacing w:before="57" w:line="195" w:lineRule="auto"/>
              <w:ind w:left="274"/>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1966" w:type="dxa"/>
            <w:vAlign w:val="top"/>
          </w:tcPr>
          <w:p w14:paraId="41DCBEC6">
            <w:pPr>
              <w:spacing w:line="297" w:lineRule="auto"/>
              <w:rPr>
                <w:rFonts w:ascii="Arial"/>
                <w:sz w:val="21"/>
              </w:rPr>
            </w:pPr>
          </w:p>
          <w:p w14:paraId="6165BBCA">
            <w:pPr>
              <w:spacing w:line="297" w:lineRule="auto"/>
              <w:rPr>
                <w:rFonts w:ascii="Arial"/>
                <w:sz w:val="21"/>
              </w:rPr>
            </w:pPr>
          </w:p>
          <w:p w14:paraId="76900183">
            <w:pPr>
              <w:spacing w:line="298" w:lineRule="auto"/>
              <w:rPr>
                <w:rFonts w:ascii="Arial"/>
                <w:sz w:val="21"/>
              </w:rPr>
            </w:pPr>
          </w:p>
          <w:p w14:paraId="5185B8B9">
            <w:pPr>
              <w:spacing w:line="298" w:lineRule="auto"/>
              <w:rPr>
                <w:rFonts w:ascii="Arial"/>
                <w:sz w:val="21"/>
              </w:rPr>
            </w:pPr>
          </w:p>
          <w:p w14:paraId="0EA5E64F">
            <w:pPr>
              <w:pStyle w:val="6"/>
              <w:spacing w:before="65" w:line="239" w:lineRule="auto"/>
              <w:ind w:left="357" w:right="38" w:hanging="316"/>
              <w:rPr>
                <w:sz w:val="20"/>
                <w:szCs w:val="20"/>
              </w:rPr>
            </w:pPr>
            <w:r>
              <w:rPr>
                <w:spacing w:val="8"/>
                <w:sz w:val="20"/>
                <w:szCs w:val="20"/>
              </w:rPr>
              <w:t>清洁生产机制建设与</w:t>
            </w:r>
            <w:r>
              <w:rPr>
                <w:spacing w:val="7"/>
                <w:sz w:val="20"/>
                <w:szCs w:val="20"/>
              </w:rPr>
              <w:t xml:space="preserve"> </w:t>
            </w:r>
            <w:r>
              <w:rPr>
                <w:spacing w:val="8"/>
                <w:sz w:val="20"/>
                <w:szCs w:val="20"/>
              </w:rPr>
              <w:t>清洁生产审核</w:t>
            </w:r>
          </w:p>
        </w:tc>
        <w:tc>
          <w:tcPr>
            <w:tcW w:w="950" w:type="dxa"/>
            <w:vAlign w:val="top"/>
          </w:tcPr>
          <w:p w14:paraId="4D3D1C09">
            <w:pPr>
              <w:spacing w:line="273" w:lineRule="auto"/>
              <w:rPr>
                <w:rFonts w:ascii="Arial"/>
                <w:sz w:val="21"/>
              </w:rPr>
            </w:pPr>
          </w:p>
          <w:p w14:paraId="2F9E9EA6">
            <w:pPr>
              <w:spacing w:line="274" w:lineRule="auto"/>
              <w:rPr>
                <w:rFonts w:ascii="Arial"/>
                <w:sz w:val="21"/>
              </w:rPr>
            </w:pPr>
          </w:p>
          <w:p w14:paraId="761B5CE4">
            <w:pPr>
              <w:spacing w:line="274" w:lineRule="auto"/>
              <w:rPr>
                <w:rFonts w:ascii="Arial"/>
                <w:sz w:val="21"/>
              </w:rPr>
            </w:pPr>
          </w:p>
          <w:p w14:paraId="6B64BBC4">
            <w:pPr>
              <w:spacing w:line="274" w:lineRule="auto"/>
              <w:rPr>
                <w:rFonts w:ascii="Arial"/>
                <w:sz w:val="21"/>
              </w:rPr>
            </w:pPr>
          </w:p>
          <w:p w14:paraId="64E1D15E">
            <w:pPr>
              <w:spacing w:line="274" w:lineRule="auto"/>
              <w:rPr>
                <w:rFonts w:ascii="Arial"/>
                <w:sz w:val="21"/>
              </w:rPr>
            </w:pPr>
          </w:p>
          <w:p w14:paraId="06BF11BE">
            <w:pPr>
              <w:spacing w:before="57" w:line="195"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2140" w:type="dxa"/>
            <w:vAlign w:val="top"/>
          </w:tcPr>
          <w:p w14:paraId="228D7DE0">
            <w:pPr>
              <w:spacing w:line="241" w:lineRule="auto"/>
              <w:rPr>
                <w:rFonts w:ascii="Arial"/>
                <w:sz w:val="21"/>
              </w:rPr>
            </w:pPr>
          </w:p>
          <w:p w14:paraId="4BF8A0BD">
            <w:pPr>
              <w:pStyle w:val="6"/>
              <w:spacing w:before="65" w:line="248" w:lineRule="auto"/>
              <w:ind w:left="7" w:right="11" w:firstLine="123"/>
              <w:jc w:val="both"/>
              <w:rPr>
                <w:sz w:val="20"/>
                <w:szCs w:val="20"/>
              </w:rPr>
            </w:pPr>
            <w:r>
              <w:rPr>
                <w:spacing w:val="8"/>
                <w:sz w:val="20"/>
                <w:szCs w:val="20"/>
              </w:rPr>
              <w:t>建有清洁生产领导机</w:t>
            </w:r>
            <w:r>
              <w:rPr>
                <w:spacing w:val="2"/>
                <w:sz w:val="20"/>
                <w:szCs w:val="20"/>
              </w:rPr>
              <w:t xml:space="preserve">  </w:t>
            </w:r>
            <w:r>
              <w:rPr>
                <w:spacing w:val="10"/>
                <w:sz w:val="20"/>
                <w:szCs w:val="20"/>
              </w:rPr>
              <w:t>构，成员单位与主管人</w:t>
            </w:r>
            <w:r>
              <w:rPr>
                <w:spacing w:val="3"/>
                <w:sz w:val="20"/>
                <w:szCs w:val="20"/>
              </w:rPr>
              <w:t xml:space="preserve"> </w:t>
            </w:r>
            <w:r>
              <w:rPr>
                <w:spacing w:val="10"/>
                <w:sz w:val="20"/>
                <w:szCs w:val="20"/>
              </w:rPr>
              <w:t>员职责分工明确；有清</w:t>
            </w:r>
            <w:r>
              <w:rPr>
                <w:spacing w:val="3"/>
                <w:sz w:val="20"/>
                <w:szCs w:val="20"/>
              </w:rPr>
              <w:t xml:space="preserve"> </w:t>
            </w:r>
            <w:r>
              <w:rPr>
                <w:spacing w:val="10"/>
                <w:sz w:val="20"/>
                <w:szCs w:val="20"/>
              </w:rPr>
              <w:t>洁生产管理制度和奖励</w:t>
            </w:r>
            <w:r>
              <w:rPr>
                <w:spacing w:val="3"/>
                <w:sz w:val="20"/>
                <w:szCs w:val="20"/>
              </w:rPr>
              <w:t xml:space="preserve"> </w:t>
            </w:r>
            <w:r>
              <w:rPr>
                <w:spacing w:val="10"/>
                <w:sz w:val="20"/>
                <w:szCs w:val="20"/>
              </w:rPr>
              <w:t>管理办法；定期开展清</w:t>
            </w:r>
            <w:r>
              <w:rPr>
                <w:spacing w:val="3"/>
                <w:sz w:val="20"/>
                <w:szCs w:val="20"/>
              </w:rPr>
              <w:t xml:space="preserve"> </w:t>
            </w:r>
            <w:r>
              <w:rPr>
                <w:spacing w:val="10"/>
                <w:sz w:val="20"/>
                <w:szCs w:val="20"/>
              </w:rPr>
              <w:t>洁生产审核活动，清洁</w:t>
            </w:r>
            <w:r>
              <w:rPr>
                <w:spacing w:val="3"/>
                <w:sz w:val="20"/>
                <w:szCs w:val="20"/>
              </w:rPr>
              <w:t xml:space="preserve"> 生产方案实施率</w:t>
            </w:r>
            <w:r>
              <w:rPr>
                <w:rFonts w:ascii="Times New Roman" w:hAnsi="Times New Roman" w:eastAsia="Times New Roman" w:cs="Times New Roman"/>
                <w:spacing w:val="3"/>
                <w:sz w:val="20"/>
                <w:szCs w:val="20"/>
              </w:rPr>
              <w:t>≥90%</w:t>
            </w:r>
            <w:r>
              <w:rPr>
                <w:spacing w:val="3"/>
                <w:sz w:val="20"/>
                <w:szCs w:val="20"/>
              </w:rPr>
              <w:t>；</w:t>
            </w:r>
          </w:p>
          <w:p w14:paraId="1710F3F0">
            <w:pPr>
              <w:pStyle w:val="6"/>
              <w:spacing w:before="27"/>
              <w:ind w:left="968" w:right="22" w:hanging="945"/>
              <w:rPr>
                <w:sz w:val="20"/>
                <w:szCs w:val="20"/>
              </w:rPr>
            </w:pPr>
            <w:r>
              <w:rPr>
                <w:spacing w:val="8"/>
                <w:sz w:val="20"/>
                <w:szCs w:val="20"/>
              </w:rPr>
              <w:t>有开展清洁生产工作记</w:t>
            </w:r>
            <w:r>
              <w:rPr>
                <w:spacing w:val="7"/>
                <w:sz w:val="20"/>
                <w:szCs w:val="20"/>
              </w:rPr>
              <w:t xml:space="preserve"> </w:t>
            </w:r>
            <w:r>
              <w:rPr>
                <w:sz w:val="20"/>
                <w:szCs w:val="20"/>
              </w:rPr>
              <w:t>录</w:t>
            </w:r>
          </w:p>
        </w:tc>
        <w:tc>
          <w:tcPr>
            <w:tcW w:w="1820" w:type="dxa"/>
            <w:vAlign w:val="top"/>
          </w:tcPr>
          <w:p w14:paraId="31B56180">
            <w:pPr>
              <w:pStyle w:val="6"/>
              <w:spacing w:before="172" w:line="228" w:lineRule="auto"/>
              <w:ind w:left="78"/>
              <w:rPr>
                <w:sz w:val="20"/>
                <w:szCs w:val="20"/>
              </w:rPr>
            </w:pPr>
            <w:r>
              <w:rPr>
                <w:spacing w:val="8"/>
                <w:sz w:val="20"/>
                <w:szCs w:val="20"/>
              </w:rPr>
              <w:t>建有清洁生产领导</w:t>
            </w:r>
          </w:p>
          <w:p w14:paraId="45F3F342">
            <w:pPr>
              <w:pStyle w:val="6"/>
              <w:spacing w:before="24" w:line="227" w:lineRule="auto"/>
              <w:jc w:val="right"/>
              <w:rPr>
                <w:sz w:val="20"/>
                <w:szCs w:val="20"/>
              </w:rPr>
            </w:pPr>
            <w:r>
              <w:rPr>
                <w:spacing w:val="1"/>
                <w:sz w:val="20"/>
                <w:szCs w:val="20"/>
              </w:rPr>
              <w:t>机构，成员单位与主</w:t>
            </w:r>
          </w:p>
          <w:p w14:paraId="37157BDC">
            <w:pPr>
              <w:pStyle w:val="6"/>
              <w:spacing w:before="24" w:line="228" w:lineRule="auto"/>
              <w:jc w:val="right"/>
              <w:rPr>
                <w:sz w:val="20"/>
                <w:szCs w:val="20"/>
              </w:rPr>
            </w:pPr>
            <w:r>
              <w:rPr>
                <w:sz w:val="20"/>
                <w:szCs w:val="20"/>
              </w:rPr>
              <w:t>管人员分工明确；有</w:t>
            </w:r>
          </w:p>
          <w:p w14:paraId="47192DC7">
            <w:pPr>
              <w:pStyle w:val="6"/>
              <w:spacing w:before="26" w:line="228" w:lineRule="auto"/>
              <w:ind w:left="76"/>
              <w:rPr>
                <w:sz w:val="20"/>
                <w:szCs w:val="20"/>
              </w:rPr>
            </w:pPr>
            <w:r>
              <w:rPr>
                <w:spacing w:val="8"/>
                <w:sz w:val="20"/>
                <w:szCs w:val="20"/>
              </w:rPr>
              <w:t>清洁生产管理制度</w:t>
            </w:r>
          </w:p>
          <w:p w14:paraId="4BD5BACD">
            <w:pPr>
              <w:pStyle w:val="6"/>
              <w:spacing w:before="24" w:line="228" w:lineRule="auto"/>
              <w:jc w:val="right"/>
              <w:rPr>
                <w:sz w:val="20"/>
                <w:szCs w:val="20"/>
              </w:rPr>
            </w:pPr>
            <w:r>
              <w:rPr>
                <w:spacing w:val="1"/>
                <w:sz w:val="20"/>
                <w:szCs w:val="20"/>
              </w:rPr>
              <w:t>和奖励管理办法；定</w:t>
            </w:r>
          </w:p>
          <w:p w14:paraId="15A46A6F">
            <w:pPr>
              <w:pStyle w:val="6"/>
              <w:spacing w:before="27" w:line="228" w:lineRule="auto"/>
              <w:ind w:left="78"/>
              <w:rPr>
                <w:sz w:val="20"/>
                <w:szCs w:val="20"/>
              </w:rPr>
            </w:pPr>
            <w:r>
              <w:rPr>
                <w:spacing w:val="8"/>
                <w:sz w:val="20"/>
                <w:szCs w:val="20"/>
              </w:rPr>
              <w:t>期开展清洁生产审</w:t>
            </w:r>
          </w:p>
          <w:p w14:paraId="02BE638F">
            <w:pPr>
              <w:pStyle w:val="6"/>
              <w:spacing w:before="27" w:line="228" w:lineRule="auto"/>
              <w:jc w:val="right"/>
              <w:rPr>
                <w:sz w:val="20"/>
                <w:szCs w:val="20"/>
              </w:rPr>
            </w:pPr>
            <w:r>
              <w:rPr>
                <w:sz w:val="20"/>
                <w:szCs w:val="20"/>
              </w:rPr>
              <w:t>核活动，清洁生产方</w:t>
            </w:r>
          </w:p>
          <w:p w14:paraId="30E0737B">
            <w:pPr>
              <w:pStyle w:val="6"/>
              <w:spacing w:before="24" w:line="228" w:lineRule="auto"/>
              <w:ind w:left="37"/>
              <w:rPr>
                <w:sz w:val="20"/>
                <w:szCs w:val="20"/>
              </w:rPr>
            </w:pPr>
            <w:r>
              <w:rPr>
                <w:spacing w:val="7"/>
                <w:sz w:val="20"/>
                <w:szCs w:val="20"/>
              </w:rPr>
              <w:t>案实施率</w:t>
            </w:r>
            <w:r>
              <w:rPr>
                <w:rFonts w:ascii="Times New Roman" w:hAnsi="Times New Roman" w:eastAsia="Times New Roman" w:cs="Times New Roman"/>
                <w:spacing w:val="7"/>
                <w:sz w:val="20"/>
                <w:szCs w:val="20"/>
              </w:rPr>
              <w:t>≥70%</w:t>
            </w:r>
            <w:r>
              <w:rPr>
                <w:spacing w:val="7"/>
                <w:sz w:val="20"/>
                <w:szCs w:val="20"/>
              </w:rPr>
              <w:t>；有</w:t>
            </w:r>
          </w:p>
          <w:p w14:paraId="4C9C656F">
            <w:pPr>
              <w:pStyle w:val="6"/>
              <w:spacing w:before="24" w:line="228" w:lineRule="auto"/>
              <w:ind w:left="77"/>
              <w:rPr>
                <w:sz w:val="20"/>
                <w:szCs w:val="20"/>
              </w:rPr>
            </w:pPr>
            <w:r>
              <w:rPr>
                <w:spacing w:val="8"/>
                <w:sz w:val="20"/>
                <w:szCs w:val="20"/>
              </w:rPr>
              <w:t>开展清洁生产工作</w:t>
            </w:r>
          </w:p>
          <w:p w14:paraId="0C2349E6">
            <w:pPr>
              <w:pStyle w:val="6"/>
              <w:spacing w:before="27" w:line="230" w:lineRule="auto"/>
              <w:ind w:left="706"/>
              <w:rPr>
                <w:sz w:val="20"/>
                <w:szCs w:val="20"/>
              </w:rPr>
            </w:pPr>
            <w:r>
              <w:rPr>
                <w:spacing w:val="5"/>
                <w:sz w:val="20"/>
                <w:szCs w:val="20"/>
              </w:rPr>
              <w:t>记录</w:t>
            </w:r>
          </w:p>
        </w:tc>
        <w:tc>
          <w:tcPr>
            <w:tcW w:w="2136" w:type="dxa"/>
            <w:vAlign w:val="top"/>
          </w:tcPr>
          <w:p w14:paraId="79FF400C">
            <w:pPr>
              <w:spacing w:line="376" w:lineRule="auto"/>
              <w:rPr>
                <w:rFonts w:ascii="Arial"/>
                <w:sz w:val="21"/>
              </w:rPr>
            </w:pPr>
          </w:p>
          <w:p w14:paraId="00D92F63">
            <w:pPr>
              <w:pStyle w:val="6"/>
              <w:spacing w:before="65" w:line="227" w:lineRule="auto"/>
              <w:ind w:left="133"/>
              <w:rPr>
                <w:sz w:val="20"/>
                <w:szCs w:val="20"/>
              </w:rPr>
            </w:pPr>
            <w:r>
              <w:rPr>
                <w:spacing w:val="8"/>
                <w:sz w:val="20"/>
                <w:szCs w:val="20"/>
              </w:rPr>
              <w:t>建有清洁生产领导机</w:t>
            </w:r>
          </w:p>
          <w:p w14:paraId="2BD8C500">
            <w:pPr>
              <w:pStyle w:val="6"/>
              <w:spacing w:before="27" w:line="228" w:lineRule="auto"/>
              <w:ind w:left="29"/>
              <w:rPr>
                <w:sz w:val="20"/>
                <w:szCs w:val="20"/>
              </w:rPr>
            </w:pPr>
            <w:r>
              <w:rPr>
                <w:spacing w:val="8"/>
                <w:sz w:val="20"/>
                <w:szCs w:val="20"/>
              </w:rPr>
              <w:t>构，成员单位与主管人</w:t>
            </w:r>
          </w:p>
          <w:p w14:paraId="008635E3">
            <w:pPr>
              <w:pStyle w:val="6"/>
              <w:spacing w:before="24" w:line="228" w:lineRule="auto"/>
              <w:ind w:left="35"/>
              <w:rPr>
                <w:sz w:val="20"/>
                <w:szCs w:val="20"/>
              </w:rPr>
            </w:pPr>
            <w:r>
              <w:rPr>
                <w:spacing w:val="8"/>
                <w:sz w:val="20"/>
                <w:szCs w:val="20"/>
              </w:rPr>
              <w:t>员分工明确；有清洁生</w:t>
            </w:r>
          </w:p>
          <w:p w14:paraId="11E56702">
            <w:pPr>
              <w:pStyle w:val="6"/>
              <w:spacing w:before="26" w:line="228" w:lineRule="auto"/>
              <w:ind w:left="27"/>
              <w:rPr>
                <w:sz w:val="20"/>
                <w:szCs w:val="20"/>
              </w:rPr>
            </w:pPr>
            <w:r>
              <w:rPr>
                <w:spacing w:val="8"/>
                <w:sz w:val="20"/>
                <w:szCs w:val="20"/>
              </w:rPr>
              <w:t>产管理制度和奖励管理</w:t>
            </w:r>
          </w:p>
          <w:p w14:paraId="6D541F75">
            <w:pPr>
              <w:pStyle w:val="6"/>
              <w:spacing w:before="24" w:line="228" w:lineRule="auto"/>
              <w:ind w:left="31"/>
              <w:rPr>
                <w:sz w:val="20"/>
                <w:szCs w:val="20"/>
              </w:rPr>
            </w:pPr>
            <w:r>
              <w:rPr>
                <w:spacing w:val="8"/>
                <w:sz w:val="20"/>
                <w:szCs w:val="20"/>
              </w:rPr>
              <w:t>办法；定期开展清洁生</w:t>
            </w:r>
          </w:p>
          <w:p w14:paraId="43C2CDC4">
            <w:pPr>
              <w:pStyle w:val="6"/>
              <w:spacing w:before="26" w:line="228" w:lineRule="auto"/>
              <w:ind w:left="27"/>
              <w:rPr>
                <w:sz w:val="20"/>
                <w:szCs w:val="20"/>
              </w:rPr>
            </w:pPr>
            <w:r>
              <w:rPr>
                <w:spacing w:val="8"/>
                <w:sz w:val="20"/>
                <w:szCs w:val="20"/>
              </w:rPr>
              <w:t>产审核活动，清洁生产</w:t>
            </w:r>
          </w:p>
          <w:p w14:paraId="05CB9021">
            <w:pPr>
              <w:pStyle w:val="6"/>
              <w:spacing w:before="25" w:line="228" w:lineRule="auto"/>
              <w:jc w:val="right"/>
              <w:rPr>
                <w:sz w:val="20"/>
                <w:szCs w:val="20"/>
              </w:rPr>
            </w:pPr>
            <w:r>
              <w:rPr>
                <w:spacing w:val="3"/>
                <w:sz w:val="20"/>
                <w:szCs w:val="20"/>
              </w:rPr>
              <w:t>方案实施率</w:t>
            </w:r>
            <w:r>
              <w:rPr>
                <w:rFonts w:ascii="Times New Roman" w:hAnsi="Times New Roman" w:eastAsia="Times New Roman" w:cs="Times New Roman"/>
                <w:spacing w:val="3"/>
                <w:sz w:val="20"/>
                <w:szCs w:val="20"/>
              </w:rPr>
              <w:t>≥50%</w:t>
            </w:r>
            <w:r>
              <w:rPr>
                <w:spacing w:val="3"/>
                <w:sz w:val="20"/>
                <w:szCs w:val="20"/>
              </w:rPr>
              <w:t>；有开</w:t>
            </w:r>
          </w:p>
          <w:p w14:paraId="6284368D">
            <w:pPr>
              <w:pStyle w:val="6"/>
              <w:spacing w:before="26" w:line="228" w:lineRule="auto"/>
              <w:ind w:left="132"/>
              <w:rPr>
                <w:sz w:val="20"/>
                <w:szCs w:val="20"/>
              </w:rPr>
            </w:pPr>
            <w:r>
              <w:rPr>
                <w:spacing w:val="8"/>
                <w:sz w:val="20"/>
                <w:szCs w:val="20"/>
              </w:rPr>
              <w:t>展清洁生产工作记录</w:t>
            </w:r>
          </w:p>
        </w:tc>
        <w:tc>
          <w:tcPr>
            <w:tcW w:w="1628" w:type="dxa"/>
            <w:vAlign w:val="top"/>
          </w:tcPr>
          <w:p w14:paraId="32A319B9">
            <w:pPr>
              <w:pStyle w:val="6"/>
              <w:spacing w:before="35" w:line="228" w:lineRule="auto"/>
              <w:ind w:left="87"/>
              <w:rPr>
                <w:sz w:val="20"/>
                <w:szCs w:val="20"/>
              </w:rPr>
            </w:pPr>
            <w:r>
              <w:rPr>
                <w:spacing w:val="8"/>
                <w:sz w:val="20"/>
                <w:szCs w:val="20"/>
              </w:rPr>
              <w:t>建有清洁生产领</w:t>
            </w:r>
          </w:p>
          <w:p w14:paraId="1B0D2442">
            <w:pPr>
              <w:pStyle w:val="6"/>
              <w:spacing w:before="26" w:line="227" w:lineRule="auto"/>
              <w:jc w:val="right"/>
              <w:rPr>
                <w:sz w:val="20"/>
                <w:szCs w:val="20"/>
              </w:rPr>
            </w:pPr>
            <w:r>
              <w:rPr>
                <w:sz w:val="20"/>
                <w:szCs w:val="20"/>
              </w:rPr>
              <w:t>导机构，成员单位</w:t>
            </w:r>
          </w:p>
          <w:p w14:paraId="2A15A36C">
            <w:pPr>
              <w:pStyle w:val="6"/>
              <w:spacing w:before="24" w:line="228" w:lineRule="auto"/>
              <w:ind w:left="89"/>
              <w:rPr>
                <w:sz w:val="20"/>
                <w:szCs w:val="20"/>
              </w:rPr>
            </w:pPr>
            <w:r>
              <w:rPr>
                <w:spacing w:val="8"/>
                <w:sz w:val="20"/>
                <w:szCs w:val="20"/>
              </w:rPr>
              <w:t>与主管人员职责</w:t>
            </w:r>
          </w:p>
          <w:p w14:paraId="5DA9B5A8">
            <w:pPr>
              <w:pStyle w:val="6"/>
              <w:spacing w:before="27" w:line="228" w:lineRule="auto"/>
              <w:jc w:val="right"/>
              <w:rPr>
                <w:sz w:val="20"/>
                <w:szCs w:val="20"/>
              </w:rPr>
            </w:pPr>
            <w:r>
              <w:rPr>
                <w:spacing w:val="1"/>
                <w:sz w:val="20"/>
                <w:szCs w:val="20"/>
              </w:rPr>
              <w:t>分工明确；有清洁</w:t>
            </w:r>
          </w:p>
          <w:p w14:paraId="319A6383">
            <w:pPr>
              <w:pStyle w:val="6"/>
              <w:spacing w:before="24" w:line="228" w:lineRule="auto"/>
              <w:ind w:left="86"/>
              <w:rPr>
                <w:sz w:val="20"/>
                <w:szCs w:val="20"/>
              </w:rPr>
            </w:pPr>
            <w:r>
              <w:rPr>
                <w:spacing w:val="8"/>
                <w:sz w:val="20"/>
                <w:szCs w:val="20"/>
              </w:rPr>
              <w:t>生产管理制度和</w:t>
            </w:r>
          </w:p>
          <w:p w14:paraId="447910C6">
            <w:pPr>
              <w:pStyle w:val="6"/>
              <w:spacing w:before="27" w:line="228" w:lineRule="auto"/>
              <w:jc w:val="right"/>
              <w:rPr>
                <w:sz w:val="20"/>
                <w:szCs w:val="20"/>
              </w:rPr>
            </w:pPr>
            <w:r>
              <w:rPr>
                <w:spacing w:val="1"/>
                <w:sz w:val="20"/>
                <w:szCs w:val="20"/>
              </w:rPr>
              <w:t>奖励管理办法；定</w:t>
            </w:r>
          </w:p>
          <w:p w14:paraId="01AE04FB">
            <w:pPr>
              <w:pStyle w:val="6"/>
              <w:spacing w:before="24" w:line="228" w:lineRule="auto"/>
              <w:ind w:left="87"/>
              <w:rPr>
                <w:sz w:val="20"/>
                <w:szCs w:val="20"/>
              </w:rPr>
            </w:pPr>
            <w:r>
              <w:rPr>
                <w:spacing w:val="8"/>
                <w:sz w:val="20"/>
                <w:szCs w:val="20"/>
              </w:rPr>
              <w:t>期开展清洁生产</w:t>
            </w:r>
          </w:p>
          <w:p w14:paraId="6722AF2E">
            <w:pPr>
              <w:pStyle w:val="6"/>
              <w:spacing w:before="27" w:line="228" w:lineRule="auto"/>
              <w:jc w:val="right"/>
              <w:rPr>
                <w:sz w:val="20"/>
                <w:szCs w:val="20"/>
              </w:rPr>
            </w:pPr>
            <w:r>
              <w:rPr>
                <w:sz w:val="20"/>
                <w:szCs w:val="20"/>
              </w:rPr>
              <w:t>审核活动，清洁生</w:t>
            </w:r>
          </w:p>
          <w:p w14:paraId="4523EFE7">
            <w:pPr>
              <w:pStyle w:val="6"/>
              <w:spacing w:before="24" w:line="228" w:lineRule="auto"/>
              <w:ind w:left="190"/>
              <w:rPr>
                <w:sz w:val="20"/>
                <w:szCs w:val="20"/>
              </w:rPr>
            </w:pPr>
            <w:r>
              <w:rPr>
                <w:spacing w:val="8"/>
                <w:sz w:val="20"/>
                <w:szCs w:val="20"/>
              </w:rPr>
              <w:t>产方案实施率</w:t>
            </w:r>
          </w:p>
          <w:p w14:paraId="45021E6E">
            <w:pPr>
              <w:pStyle w:val="6"/>
              <w:spacing w:before="27" w:line="228" w:lineRule="auto"/>
              <w:ind w:left="41"/>
              <w:rPr>
                <w:sz w:val="20"/>
                <w:szCs w:val="20"/>
              </w:rPr>
            </w:pPr>
            <w:r>
              <w:rPr>
                <w:rFonts w:ascii="Times New Roman" w:hAnsi="Times New Roman" w:eastAsia="Times New Roman" w:cs="Times New Roman"/>
                <w:spacing w:val="7"/>
                <w:sz w:val="20"/>
                <w:szCs w:val="20"/>
              </w:rPr>
              <w:t>≥90%</w:t>
            </w:r>
            <w:r>
              <w:rPr>
                <w:spacing w:val="7"/>
                <w:sz w:val="20"/>
                <w:szCs w:val="20"/>
              </w:rPr>
              <w:t>；有开展清</w:t>
            </w:r>
          </w:p>
          <w:p w14:paraId="452F08BB">
            <w:pPr>
              <w:pStyle w:val="6"/>
              <w:spacing w:before="24" w:line="201" w:lineRule="auto"/>
              <w:ind w:left="88"/>
              <w:rPr>
                <w:sz w:val="20"/>
                <w:szCs w:val="20"/>
              </w:rPr>
            </w:pPr>
            <w:r>
              <w:rPr>
                <w:spacing w:val="8"/>
                <w:sz w:val="20"/>
                <w:szCs w:val="20"/>
              </w:rPr>
              <w:t>洁生产工作记录</w:t>
            </w:r>
          </w:p>
        </w:tc>
        <w:tc>
          <w:tcPr>
            <w:tcW w:w="669" w:type="dxa"/>
            <w:vAlign w:val="top"/>
          </w:tcPr>
          <w:p w14:paraId="46E84AD0">
            <w:pPr>
              <w:spacing w:line="273" w:lineRule="auto"/>
              <w:rPr>
                <w:rFonts w:ascii="Arial"/>
                <w:sz w:val="21"/>
              </w:rPr>
            </w:pPr>
          </w:p>
          <w:p w14:paraId="7D74CDDF">
            <w:pPr>
              <w:spacing w:line="274" w:lineRule="auto"/>
              <w:rPr>
                <w:rFonts w:ascii="Arial"/>
                <w:sz w:val="21"/>
              </w:rPr>
            </w:pPr>
          </w:p>
          <w:p w14:paraId="610F7BEB">
            <w:pPr>
              <w:spacing w:line="274" w:lineRule="auto"/>
              <w:rPr>
                <w:rFonts w:ascii="Arial"/>
                <w:sz w:val="21"/>
              </w:rPr>
            </w:pPr>
          </w:p>
          <w:p w14:paraId="1542C260">
            <w:pPr>
              <w:spacing w:line="274" w:lineRule="auto"/>
              <w:rPr>
                <w:rFonts w:ascii="Arial"/>
                <w:sz w:val="21"/>
              </w:rPr>
            </w:pPr>
          </w:p>
          <w:p w14:paraId="102169C2">
            <w:pPr>
              <w:spacing w:line="274" w:lineRule="auto"/>
              <w:rPr>
                <w:rFonts w:ascii="Arial"/>
                <w:sz w:val="21"/>
              </w:rPr>
            </w:pPr>
          </w:p>
          <w:p w14:paraId="2B48890C">
            <w:pPr>
              <w:spacing w:before="57"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574" w:type="dxa"/>
            <w:vMerge w:val="continue"/>
            <w:tcBorders>
              <w:top w:val="nil"/>
              <w:bottom w:val="nil"/>
              <w:right w:val="nil"/>
            </w:tcBorders>
            <w:vAlign w:val="top"/>
          </w:tcPr>
          <w:p w14:paraId="299C6840">
            <w:pPr>
              <w:rPr>
                <w:rFonts w:ascii="Arial"/>
                <w:sz w:val="21"/>
              </w:rPr>
            </w:pPr>
          </w:p>
        </w:tc>
      </w:tr>
      <w:tr w14:paraId="77542A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11" w:hRule="atLeast"/>
        </w:trPr>
        <w:tc>
          <w:tcPr>
            <w:tcW w:w="717" w:type="dxa"/>
            <w:vMerge w:val="continue"/>
            <w:tcBorders>
              <w:top w:val="nil"/>
              <w:left w:val="nil"/>
              <w:bottom w:val="single" w:color="000000" w:sz="10" w:space="0"/>
            </w:tcBorders>
            <w:vAlign w:val="top"/>
          </w:tcPr>
          <w:p w14:paraId="3A5FE83B">
            <w:pPr>
              <w:rPr>
                <w:rFonts w:ascii="Arial"/>
                <w:sz w:val="21"/>
              </w:rPr>
            </w:pPr>
          </w:p>
        </w:tc>
        <w:tc>
          <w:tcPr>
            <w:tcW w:w="762" w:type="dxa"/>
            <w:vMerge w:val="continue"/>
            <w:tcBorders>
              <w:top w:val="nil"/>
              <w:bottom w:val="single" w:color="000000" w:sz="10" w:space="0"/>
            </w:tcBorders>
            <w:vAlign w:val="top"/>
          </w:tcPr>
          <w:p w14:paraId="061118E6">
            <w:pPr>
              <w:rPr>
                <w:rFonts w:ascii="Arial"/>
                <w:sz w:val="21"/>
              </w:rPr>
            </w:pPr>
          </w:p>
        </w:tc>
        <w:tc>
          <w:tcPr>
            <w:tcW w:w="636" w:type="dxa"/>
            <w:tcBorders>
              <w:bottom w:val="single" w:color="000000" w:sz="10" w:space="0"/>
            </w:tcBorders>
            <w:vAlign w:val="top"/>
          </w:tcPr>
          <w:p w14:paraId="710C68C0">
            <w:pPr>
              <w:spacing w:line="275" w:lineRule="auto"/>
              <w:rPr>
                <w:rFonts w:ascii="Arial"/>
                <w:sz w:val="21"/>
              </w:rPr>
            </w:pPr>
          </w:p>
          <w:p w14:paraId="2638E4C9">
            <w:pPr>
              <w:spacing w:line="275" w:lineRule="auto"/>
              <w:rPr>
                <w:rFonts w:ascii="Arial"/>
                <w:sz w:val="21"/>
              </w:rPr>
            </w:pPr>
          </w:p>
          <w:p w14:paraId="6155DFD7">
            <w:pPr>
              <w:spacing w:line="275" w:lineRule="auto"/>
              <w:rPr>
                <w:rFonts w:ascii="Arial"/>
                <w:sz w:val="21"/>
              </w:rPr>
            </w:pPr>
          </w:p>
          <w:p w14:paraId="7B476AF8">
            <w:pPr>
              <w:spacing w:line="275" w:lineRule="auto"/>
              <w:rPr>
                <w:rFonts w:ascii="Arial"/>
                <w:sz w:val="21"/>
              </w:rPr>
            </w:pPr>
          </w:p>
          <w:p w14:paraId="132F1C61">
            <w:pPr>
              <w:spacing w:line="276" w:lineRule="auto"/>
              <w:rPr>
                <w:rFonts w:ascii="Arial"/>
                <w:sz w:val="21"/>
              </w:rPr>
            </w:pPr>
          </w:p>
          <w:p w14:paraId="6626D4D5">
            <w:pPr>
              <w:spacing w:before="57" w:line="195" w:lineRule="auto"/>
              <w:ind w:left="270"/>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1966" w:type="dxa"/>
            <w:tcBorders>
              <w:bottom w:val="single" w:color="000000" w:sz="10" w:space="0"/>
            </w:tcBorders>
            <w:vAlign w:val="top"/>
          </w:tcPr>
          <w:p w14:paraId="70BBF5F0">
            <w:pPr>
              <w:spacing w:line="299" w:lineRule="auto"/>
              <w:rPr>
                <w:rFonts w:ascii="Arial"/>
                <w:sz w:val="21"/>
              </w:rPr>
            </w:pPr>
          </w:p>
          <w:p w14:paraId="623F09EA">
            <w:pPr>
              <w:spacing w:line="299" w:lineRule="auto"/>
              <w:rPr>
                <w:rFonts w:ascii="Arial"/>
                <w:sz w:val="21"/>
              </w:rPr>
            </w:pPr>
          </w:p>
          <w:p w14:paraId="2C4A94D6">
            <w:pPr>
              <w:spacing w:line="300" w:lineRule="auto"/>
              <w:rPr>
                <w:rFonts w:ascii="Arial"/>
                <w:sz w:val="21"/>
              </w:rPr>
            </w:pPr>
          </w:p>
          <w:p w14:paraId="12B2AC0F">
            <w:pPr>
              <w:spacing w:line="300" w:lineRule="auto"/>
              <w:rPr>
                <w:rFonts w:ascii="Arial"/>
                <w:sz w:val="21"/>
              </w:rPr>
            </w:pPr>
          </w:p>
          <w:p w14:paraId="3E0A1398">
            <w:pPr>
              <w:pStyle w:val="6"/>
              <w:spacing w:before="65"/>
              <w:ind w:left="357" w:right="38" w:hanging="316"/>
              <w:rPr>
                <w:sz w:val="20"/>
                <w:szCs w:val="20"/>
              </w:rPr>
            </w:pPr>
            <w:r>
              <w:rPr>
                <w:spacing w:val="8"/>
                <w:sz w:val="20"/>
                <w:szCs w:val="20"/>
              </w:rPr>
              <w:t>节能减碳机制建设与</w:t>
            </w:r>
            <w:r>
              <w:rPr>
                <w:spacing w:val="7"/>
                <w:sz w:val="20"/>
                <w:szCs w:val="20"/>
              </w:rPr>
              <w:t xml:space="preserve"> </w:t>
            </w:r>
            <w:r>
              <w:rPr>
                <w:spacing w:val="8"/>
                <w:sz w:val="20"/>
                <w:szCs w:val="20"/>
              </w:rPr>
              <w:t>节能减碳活动</w:t>
            </w:r>
          </w:p>
        </w:tc>
        <w:tc>
          <w:tcPr>
            <w:tcW w:w="950" w:type="dxa"/>
            <w:tcBorders>
              <w:bottom w:val="single" w:color="000000" w:sz="10" w:space="0"/>
            </w:tcBorders>
            <w:vAlign w:val="top"/>
          </w:tcPr>
          <w:p w14:paraId="4BB6929E">
            <w:pPr>
              <w:spacing w:line="275" w:lineRule="auto"/>
              <w:rPr>
                <w:rFonts w:ascii="Arial"/>
                <w:sz w:val="21"/>
              </w:rPr>
            </w:pPr>
          </w:p>
          <w:p w14:paraId="624234E6">
            <w:pPr>
              <w:spacing w:line="275" w:lineRule="auto"/>
              <w:rPr>
                <w:rFonts w:ascii="Arial"/>
                <w:sz w:val="21"/>
              </w:rPr>
            </w:pPr>
          </w:p>
          <w:p w14:paraId="3D029BF7">
            <w:pPr>
              <w:spacing w:line="275" w:lineRule="auto"/>
              <w:rPr>
                <w:rFonts w:ascii="Arial"/>
                <w:sz w:val="21"/>
              </w:rPr>
            </w:pPr>
          </w:p>
          <w:p w14:paraId="3DE1F6EC">
            <w:pPr>
              <w:spacing w:line="275" w:lineRule="auto"/>
              <w:rPr>
                <w:rFonts w:ascii="Arial"/>
                <w:sz w:val="21"/>
              </w:rPr>
            </w:pPr>
          </w:p>
          <w:p w14:paraId="3F9218EA">
            <w:pPr>
              <w:spacing w:line="276" w:lineRule="auto"/>
              <w:rPr>
                <w:rFonts w:ascii="Arial"/>
                <w:sz w:val="21"/>
              </w:rPr>
            </w:pPr>
          </w:p>
          <w:p w14:paraId="13A8B0F9">
            <w:pPr>
              <w:spacing w:before="57" w:line="195"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2140" w:type="dxa"/>
            <w:tcBorders>
              <w:bottom w:val="single" w:color="000000" w:sz="10" w:space="0"/>
            </w:tcBorders>
            <w:vAlign w:val="top"/>
          </w:tcPr>
          <w:p w14:paraId="398195D0">
            <w:pPr>
              <w:pStyle w:val="6"/>
              <w:spacing w:before="41" w:line="249" w:lineRule="auto"/>
              <w:ind w:left="10" w:right="11" w:firstLine="119"/>
              <w:jc w:val="both"/>
              <w:rPr>
                <w:sz w:val="20"/>
                <w:szCs w:val="20"/>
              </w:rPr>
            </w:pPr>
            <w:r>
              <w:rPr>
                <w:spacing w:val="8"/>
                <w:sz w:val="20"/>
                <w:szCs w:val="20"/>
              </w:rPr>
              <w:t>建有节能减碳领导机</w:t>
            </w:r>
            <w:r>
              <w:rPr>
                <w:spacing w:val="2"/>
                <w:sz w:val="20"/>
                <w:szCs w:val="20"/>
              </w:rPr>
              <w:t xml:space="preserve">  </w:t>
            </w:r>
            <w:r>
              <w:rPr>
                <w:spacing w:val="10"/>
                <w:sz w:val="20"/>
                <w:szCs w:val="20"/>
              </w:rPr>
              <w:t>构，成员单位及主管人</w:t>
            </w:r>
            <w:r>
              <w:rPr>
                <w:sz w:val="20"/>
                <w:szCs w:val="20"/>
              </w:rPr>
              <w:t xml:space="preserve"> </w:t>
            </w:r>
            <w:r>
              <w:rPr>
                <w:spacing w:val="10"/>
                <w:sz w:val="20"/>
                <w:szCs w:val="20"/>
              </w:rPr>
              <w:t>员职责分工明确；与所</w:t>
            </w:r>
            <w:r>
              <w:rPr>
                <w:sz w:val="20"/>
                <w:szCs w:val="20"/>
              </w:rPr>
              <w:t xml:space="preserve"> </w:t>
            </w:r>
            <w:r>
              <w:rPr>
                <w:spacing w:val="10"/>
                <w:sz w:val="20"/>
                <w:szCs w:val="20"/>
              </w:rPr>
              <w:t>在企业同步建立有能源</w:t>
            </w:r>
            <w:r>
              <w:rPr>
                <w:sz w:val="20"/>
                <w:szCs w:val="20"/>
              </w:rPr>
              <w:t xml:space="preserve"> </w:t>
            </w:r>
            <w:r>
              <w:rPr>
                <w:spacing w:val="10"/>
                <w:sz w:val="20"/>
                <w:szCs w:val="20"/>
              </w:rPr>
              <w:t>与低碳管理体系并有效</w:t>
            </w:r>
            <w:r>
              <w:rPr>
                <w:sz w:val="20"/>
                <w:szCs w:val="20"/>
              </w:rPr>
              <w:t xml:space="preserve"> </w:t>
            </w:r>
            <w:r>
              <w:rPr>
                <w:spacing w:val="10"/>
                <w:sz w:val="20"/>
                <w:szCs w:val="20"/>
              </w:rPr>
              <w:t>运行；制定有节能减碳</w:t>
            </w:r>
            <w:r>
              <w:rPr>
                <w:sz w:val="20"/>
                <w:szCs w:val="20"/>
              </w:rPr>
              <w:t xml:space="preserve"> </w:t>
            </w:r>
            <w:r>
              <w:rPr>
                <w:spacing w:val="10"/>
                <w:sz w:val="20"/>
                <w:szCs w:val="20"/>
              </w:rPr>
              <w:t>年度工作计划，组织开</w:t>
            </w:r>
            <w:r>
              <w:rPr>
                <w:sz w:val="20"/>
                <w:szCs w:val="20"/>
              </w:rPr>
              <w:t xml:space="preserve"> </w:t>
            </w:r>
            <w:r>
              <w:rPr>
                <w:spacing w:val="10"/>
                <w:sz w:val="20"/>
                <w:szCs w:val="20"/>
              </w:rPr>
              <w:t>展节能减碳工作，年度</w:t>
            </w:r>
            <w:r>
              <w:rPr>
                <w:sz w:val="20"/>
                <w:szCs w:val="20"/>
              </w:rPr>
              <w:t xml:space="preserve"> </w:t>
            </w:r>
            <w:r>
              <w:rPr>
                <w:spacing w:val="3"/>
                <w:sz w:val="20"/>
                <w:szCs w:val="20"/>
              </w:rPr>
              <w:t>管控目标完成率</w:t>
            </w:r>
            <w:r>
              <w:rPr>
                <w:rFonts w:ascii="Times New Roman" w:hAnsi="Times New Roman" w:eastAsia="Times New Roman" w:cs="Times New Roman"/>
                <w:spacing w:val="3"/>
                <w:sz w:val="20"/>
                <w:szCs w:val="20"/>
              </w:rPr>
              <w:t>≥90%</w:t>
            </w:r>
            <w:r>
              <w:rPr>
                <w:spacing w:val="3"/>
                <w:sz w:val="20"/>
                <w:szCs w:val="20"/>
              </w:rPr>
              <w:t>；</w:t>
            </w:r>
          </w:p>
          <w:p w14:paraId="2641D42E">
            <w:pPr>
              <w:pStyle w:val="6"/>
              <w:spacing w:before="27" w:line="233" w:lineRule="auto"/>
              <w:ind w:left="671" w:right="22" w:hanging="648"/>
              <w:rPr>
                <w:sz w:val="20"/>
                <w:szCs w:val="20"/>
              </w:rPr>
            </w:pPr>
            <w:r>
              <w:rPr>
                <w:spacing w:val="8"/>
                <w:sz w:val="20"/>
                <w:szCs w:val="20"/>
              </w:rPr>
              <w:t>年度节能减碳任务达到</w:t>
            </w:r>
            <w:r>
              <w:rPr>
                <w:spacing w:val="7"/>
                <w:sz w:val="20"/>
                <w:szCs w:val="20"/>
              </w:rPr>
              <w:t xml:space="preserve"> </w:t>
            </w:r>
            <w:r>
              <w:rPr>
                <w:spacing w:val="2"/>
                <w:sz w:val="20"/>
                <w:szCs w:val="20"/>
              </w:rPr>
              <w:t>国家要求</w:t>
            </w:r>
          </w:p>
        </w:tc>
        <w:tc>
          <w:tcPr>
            <w:tcW w:w="1820" w:type="dxa"/>
            <w:tcBorders>
              <w:bottom w:val="single" w:color="000000" w:sz="10" w:space="0"/>
            </w:tcBorders>
            <w:vAlign w:val="top"/>
          </w:tcPr>
          <w:p w14:paraId="1B63FA4E">
            <w:pPr>
              <w:pStyle w:val="6"/>
              <w:spacing w:before="46" w:line="228" w:lineRule="auto"/>
              <w:ind w:left="78"/>
              <w:rPr>
                <w:sz w:val="20"/>
                <w:szCs w:val="20"/>
              </w:rPr>
            </w:pPr>
            <w:r>
              <w:rPr>
                <w:spacing w:val="8"/>
                <w:sz w:val="20"/>
                <w:szCs w:val="20"/>
              </w:rPr>
              <w:t>建有节能减碳领导</w:t>
            </w:r>
          </w:p>
          <w:p w14:paraId="5FE37C18">
            <w:pPr>
              <w:pStyle w:val="6"/>
              <w:spacing w:before="23" w:line="227" w:lineRule="auto"/>
              <w:ind w:left="286"/>
              <w:rPr>
                <w:sz w:val="20"/>
                <w:szCs w:val="20"/>
              </w:rPr>
            </w:pPr>
            <w:r>
              <w:rPr>
                <w:spacing w:val="8"/>
                <w:sz w:val="20"/>
                <w:szCs w:val="20"/>
              </w:rPr>
              <w:t>机构，成员单</w:t>
            </w:r>
          </w:p>
          <w:p w14:paraId="0AAF8148">
            <w:pPr>
              <w:pStyle w:val="6"/>
              <w:spacing w:before="27" w:line="228" w:lineRule="auto"/>
              <w:ind w:left="76"/>
              <w:rPr>
                <w:sz w:val="20"/>
                <w:szCs w:val="20"/>
              </w:rPr>
            </w:pPr>
            <w:r>
              <w:rPr>
                <w:spacing w:val="8"/>
                <w:sz w:val="20"/>
                <w:szCs w:val="20"/>
              </w:rPr>
              <w:t>位及主管人员职责</w:t>
            </w:r>
          </w:p>
          <w:p w14:paraId="71FE9947">
            <w:pPr>
              <w:pStyle w:val="6"/>
              <w:spacing w:before="24" w:line="228" w:lineRule="auto"/>
              <w:jc w:val="right"/>
              <w:rPr>
                <w:sz w:val="20"/>
                <w:szCs w:val="20"/>
              </w:rPr>
            </w:pPr>
            <w:r>
              <w:rPr>
                <w:sz w:val="20"/>
                <w:szCs w:val="20"/>
              </w:rPr>
              <w:t>分工明确；与所在企</w:t>
            </w:r>
          </w:p>
          <w:p w14:paraId="251E677B">
            <w:pPr>
              <w:pStyle w:val="6"/>
              <w:spacing w:before="26" w:line="228" w:lineRule="auto"/>
              <w:ind w:left="75"/>
              <w:rPr>
                <w:sz w:val="20"/>
                <w:szCs w:val="20"/>
              </w:rPr>
            </w:pPr>
            <w:r>
              <w:rPr>
                <w:spacing w:val="8"/>
                <w:sz w:val="20"/>
                <w:szCs w:val="20"/>
              </w:rPr>
              <w:t>业同步建立有能源</w:t>
            </w:r>
          </w:p>
          <w:p w14:paraId="77ED81DF">
            <w:pPr>
              <w:pStyle w:val="6"/>
              <w:spacing w:before="24" w:line="228" w:lineRule="auto"/>
              <w:ind w:left="80"/>
              <w:rPr>
                <w:sz w:val="20"/>
                <w:szCs w:val="20"/>
              </w:rPr>
            </w:pPr>
            <w:r>
              <w:rPr>
                <w:spacing w:val="8"/>
                <w:sz w:val="20"/>
                <w:szCs w:val="20"/>
              </w:rPr>
              <w:t>与低碳管理体系并</w:t>
            </w:r>
          </w:p>
          <w:p w14:paraId="2BD6C2F8">
            <w:pPr>
              <w:pStyle w:val="6"/>
              <w:spacing w:before="27" w:line="228" w:lineRule="auto"/>
              <w:jc w:val="right"/>
              <w:rPr>
                <w:sz w:val="20"/>
                <w:szCs w:val="20"/>
              </w:rPr>
            </w:pPr>
            <w:r>
              <w:rPr>
                <w:spacing w:val="1"/>
                <w:sz w:val="20"/>
                <w:szCs w:val="20"/>
              </w:rPr>
              <w:t>有效运行；制定有节</w:t>
            </w:r>
          </w:p>
          <w:p w14:paraId="6DDF53E6">
            <w:pPr>
              <w:pStyle w:val="6"/>
              <w:spacing w:before="23" w:line="228" w:lineRule="auto"/>
              <w:ind w:left="84"/>
              <w:rPr>
                <w:sz w:val="20"/>
                <w:szCs w:val="20"/>
              </w:rPr>
            </w:pPr>
            <w:r>
              <w:rPr>
                <w:spacing w:val="7"/>
                <w:sz w:val="20"/>
                <w:szCs w:val="20"/>
              </w:rPr>
              <w:t>能减碳年度工作计</w:t>
            </w:r>
          </w:p>
          <w:p w14:paraId="41467546">
            <w:pPr>
              <w:pStyle w:val="6"/>
              <w:spacing w:before="25" w:line="228" w:lineRule="auto"/>
              <w:jc w:val="right"/>
              <w:rPr>
                <w:sz w:val="20"/>
                <w:szCs w:val="20"/>
              </w:rPr>
            </w:pPr>
            <w:r>
              <w:rPr>
                <w:spacing w:val="1"/>
                <w:sz w:val="20"/>
                <w:szCs w:val="20"/>
              </w:rPr>
              <w:t>划，组织开展节能减</w:t>
            </w:r>
          </w:p>
          <w:p w14:paraId="27E72936">
            <w:pPr>
              <w:pStyle w:val="6"/>
              <w:spacing w:before="26" w:line="228" w:lineRule="auto"/>
              <w:jc w:val="right"/>
              <w:rPr>
                <w:sz w:val="20"/>
                <w:szCs w:val="20"/>
              </w:rPr>
            </w:pPr>
            <w:r>
              <w:rPr>
                <w:spacing w:val="1"/>
                <w:sz w:val="20"/>
                <w:szCs w:val="20"/>
              </w:rPr>
              <w:t>碳工作，年度管控目</w:t>
            </w:r>
          </w:p>
          <w:p w14:paraId="5BEEF51C">
            <w:pPr>
              <w:pStyle w:val="6"/>
              <w:spacing w:before="25" w:line="216" w:lineRule="auto"/>
              <w:ind w:left="36"/>
              <w:rPr>
                <w:sz w:val="20"/>
                <w:szCs w:val="20"/>
              </w:rPr>
            </w:pPr>
            <w:r>
              <w:rPr>
                <w:spacing w:val="7"/>
                <w:sz w:val="20"/>
                <w:szCs w:val="20"/>
              </w:rPr>
              <w:t>标完成率</w:t>
            </w:r>
            <w:r>
              <w:rPr>
                <w:rFonts w:ascii="Times New Roman" w:hAnsi="Times New Roman" w:eastAsia="Times New Roman" w:cs="Times New Roman"/>
                <w:spacing w:val="7"/>
                <w:sz w:val="20"/>
                <w:szCs w:val="20"/>
              </w:rPr>
              <w:t>≥80%</w:t>
            </w:r>
            <w:r>
              <w:rPr>
                <w:spacing w:val="7"/>
                <w:sz w:val="20"/>
                <w:szCs w:val="20"/>
              </w:rPr>
              <w:t>；年</w:t>
            </w:r>
          </w:p>
        </w:tc>
        <w:tc>
          <w:tcPr>
            <w:tcW w:w="2136" w:type="dxa"/>
            <w:tcBorders>
              <w:bottom w:val="single" w:color="000000" w:sz="10" w:space="0"/>
            </w:tcBorders>
            <w:vAlign w:val="top"/>
          </w:tcPr>
          <w:p w14:paraId="1E97B5C9">
            <w:pPr>
              <w:pStyle w:val="6"/>
              <w:spacing w:before="46" w:line="228" w:lineRule="auto"/>
              <w:ind w:left="26"/>
              <w:rPr>
                <w:sz w:val="20"/>
                <w:szCs w:val="20"/>
              </w:rPr>
            </w:pPr>
            <w:r>
              <w:rPr>
                <w:spacing w:val="9"/>
                <w:sz w:val="20"/>
                <w:szCs w:val="20"/>
              </w:rPr>
              <w:t>达到国家要求建有节能</w:t>
            </w:r>
          </w:p>
          <w:p w14:paraId="1BAEA15A">
            <w:pPr>
              <w:pStyle w:val="6"/>
              <w:spacing w:before="23" w:line="227" w:lineRule="auto"/>
              <w:ind w:left="27"/>
              <w:rPr>
                <w:sz w:val="20"/>
                <w:szCs w:val="20"/>
              </w:rPr>
            </w:pPr>
            <w:r>
              <w:rPr>
                <w:spacing w:val="8"/>
                <w:sz w:val="20"/>
                <w:szCs w:val="20"/>
              </w:rPr>
              <w:t>减碳领导机构，成员单</w:t>
            </w:r>
          </w:p>
          <w:p w14:paraId="0801E2F4">
            <w:pPr>
              <w:pStyle w:val="6"/>
              <w:spacing w:before="27" w:line="228" w:lineRule="auto"/>
              <w:ind w:left="27"/>
              <w:rPr>
                <w:sz w:val="20"/>
                <w:szCs w:val="20"/>
              </w:rPr>
            </w:pPr>
            <w:r>
              <w:rPr>
                <w:spacing w:val="8"/>
                <w:sz w:val="20"/>
                <w:szCs w:val="20"/>
              </w:rPr>
              <w:t>位及主管人员职责分工</w:t>
            </w:r>
          </w:p>
          <w:p w14:paraId="25A73ABE">
            <w:pPr>
              <w:pStyle w:val="6"/>
              <w:spacing w:before="24" w:line="228" w:lineRule="auto"/>
              <w:ind w:left="675"/>
              <w:rPr>
                <w:sz w:val="20"/>
                <w:szCs w:val="20"/>
              </w:rPr>
            </w:pPr>
            <w:r>
              <w:rPr>
                <w:spacing w:val="3"/>
                <w:sz w:val="20"/>
                <w:szCs w:val="20"/>
              </w:rPr>
              <w:t>明确；与</w:t>
            </w:r>
          </w:p>
          <w:p w14:paraId="490648DE">
            <w:pPr>
              <w:pStyle w:val="6"/>
              <w:spacing w:before="29" w:line="246" w:lineRule="auto"/>
              <w:ind w:left="27" w:right="13" w:hanging="14"/>
              <w:jc w:val="both"/>
              <w:rPr>
                <w:sz w:val="20"/>
                <w:szCs w:val="20"/>
              </w:rPr>
            </w:pPr>
            <w:r>
              <w:rPr>
                <w:spacing w:val="8"/>
                <w:sz w:val="20"/>
                <w:szCs w:val="20"/>
              </w:rPr>
              <w:t xml:space="preserve">所在企业同步建立有能 </w:t>
            </w:r>
            <w:r>
              <w:rPr>
                <w:rFonts w:ascii="Times New Roman" w:hAnsi="Times New Roman" w:eastAsia="Times New Roman" w:cs="Times New Roman"/>
                <w:spacing w:val="10"/>
                <w:sz w:val="20"/>
                <w:szCs w:val="20"/>
              </w:rPr>
              <w:t xml:space="preserve">1 </w:t>
            </w:r>
            <w:r>
              <w:rPr>
                <w:spacing w:val="10"/>
                <w:sz w:val="20"/>
                <w:szCs w:val="20"/>
              </w:rPr>
              <w:t>源与低碳管理体系并</w:t>
            </w:r>
            <w:r>
              <w:rPr>
                <w:spacing w:val="2"/>
                <w:sz w:val="20"/>
                <w:szCs w:val="20"/>
              </w:rPr>
              <w:t xml:space="preserve"> </w:t>
            </w:r>
            <w:r>
              <w:rPr>
                <w:spacing w:val="8"/>
                <w:sz w:val="20"/>
                <w:szCs w:val="20"/>
              </w:rPr>
              <w:t>有效运行；制定有节能 减碳年度工作计划，组 织开展节能减碳工作，</w:t>
            </w:r>
          </w:p>
          <w:p w14:paraId="27955D8E">
            <w:pPr>
              <w:pStyle w:val="6"/>
              <w:spacing w:before="26" w:line="233" w:lineRule="auto"/>
              <w:ind w:left="7" w:firstLine="124"/>
              <w:rPr>
                <w:sz w:val="20"/>
                <w:szCs w:val="20"/>
              </w:rPr>
            </w:pPr>
            <w:r>
              <w:rPr>
                <w:spacing w:val="8"/>
                <w:sz w:val="20"/>
                <w:szCs w:val="20"/>
              </w:rPr>
              <w:t>年度管控目标完成率</w:t>
            </w:r>
            <w:r>
              <w:rPr>
                <w:spacing w:val="3"/>
                <w:sz w:val="20"/>
                <w:szCs w:val="20"/>
              </w:rPr>
              <w:t xml:space="preserve">  </w:t>
            </w:r>
            <w:r>
              <w:rPr>
                <w:rFonts w:ascii="Times New Roman" w:hAnsi="Times New Roman" w:eastAsia="Times New Roman" w:cs="Times New Roman"/>
                <w:spacing w:val="3"/>
                <w:sz w:val="20"/>
                <w:szCs w:val="20"/>
              </w:rPr>
              <w:t>≥70%</w:t>
            </w:r>
            <w:r>
              <w:rPr>
                <w:spacing w:val="3"/>
                <w:sz w:val="20"/>
                <w:szCs w:val="20"/>
              </w:rPr>
              <w:t>；年度节能减碳任</w:t>
            </w:r>
          </w:p>
        </w:tc>
        <w:tc>
          <w:tcPr>
            <w:tcW w:w="1628" w:type="dxa"/>
            <w:tcBorders>
              <w:bottom w:val="single" w:color="000000" w:sz="10" w:space="0"/>
            </w:tcBorders>
            <w:vAlign w:val="top"/>
          </w:tcPr>
          <w:p w14:paraId="22F3137E">
            <w:pPr>
              <w:pStyle w:val="6"/>
              <w:spacing w:before="45" w:line="248" w:lineRule="auto"/>
              <w:ind w:left="10" w:firstLine="76"/>
              <w:jc w:val="both"/>
              <w:rPr>
                <w:sz w:val="20"/>
                <w:szCs w:val="20"/>
              </w:rPr>
            </w:pPr>
            <w:r>
              <w:rPr>
                <w:spacing w:val="7"/>
                <w:sz w:val="20"/>
                <w:szCs w:val="20"/>
              </w:rPr>
              <w:t>建有节能减碳领</w:t>
            </w:r>
            <w:r>
              <w:rPr>
                <w:spacing w:val="2"/>
                <w:sz w:val="20"/>
                <w:szCs w:val="20"/>
              </w:rPr>
              <w:t xml:space="preserve">  </w:t>
            </w:r>
            <w:r>
              <w:rPr>
                <w:spacing w:val="1"/>
                <w:sz w:val="20"/>
                <w:szCs w:val="20"/>
              </w:rPr>
              <w:t>导机构，成员单位</w:t>
            </w:r>
            <w:r>
              <w:rPr>
                <w:sz w:val="20"/>
                <w:szCs w:val="20"/>
              </w:rPr>
              <w:t xml:space="preserve"> </w:t>
            </w:r>
            <w:r>
              <w:rPr>
                <w:spacing w:val="18"/>
                <w:sz w:val="20"/>
                <w:szCs w:val="20"/>
              </w:rPr>
              <w:t>及主管人员职责</w:t>
            </w:r>
            <w:r>
              <w:rPr>
                <w:spacing w:val="2"/>
                <w:sz w:val="20"/>
                <w:szCs w:val="20"/>
              </w:rPr>
              <w:t xml:space="preserve">  </w:t>
            </w:r>
            <w:r>
              <w:rPr>
                <w:spacing w:val="1"/>
                <w:sz w:val="20"/>
                <w:szCs w:val="20"/>
              </w:rPr>
              <w:t>分工明确；与所在</w:t>
            </w:r>
            <w:r>
              <w:rPr>
                <w:sz w:val="20"/>
                <w:szCs w:val="20"/>
              </w:rPr>
              <w:t xml:space="preserve"> </w:t>
            </w:r>
            <w:r>
              <w:rPr>
                <w:spacing w:val="18"/>
                <w:sz w:val="20"/>
                <w:szCs w:val="20"/>
              </w:rPr>
              <w:t>企业同步建立有</w:t>
            </w:r>
            <w:r>
              <w:rPr>
                <w:spacing w:val="2"/>
                <w:sz w:val="20"/>
                <w:szCs w:val="20"/>
              </w:rPr>
              <w:t xml:space="preserve">  </w:t>
            </w:r>
            <w:r>
              <w:rPr>
                <w:spacing w:val="18"/>
                <w:sz w:val="20"/>
                <w:szCs w:val="20"/>
              </w:rPr>
              <w:t>能源与低碳管理</w:t>
            </w:r>
            <w:r>
              <w:rPr>
                <w:spacing w:val="2"/>
                <w:sz w:val="20"/>
                <w:szCs w:val="20"/>
              </w:rPr>
              <w:t xml:space="preserve">  </w:t>
            </w:r>
            <w:r>
              <w:rPr>
                <w:spacing w:val="1"/>
                <w:sz w:val="20"/>
                <w:szCs w:val="20"/>
              </w:rPr>
              <w:t>体系并有效运行；</w:t>
            </w:r>
            <w:r>
              <w:rPr>
                <w:spacing w:val="3"/>
                <w:sz w:val="20"/>
                <w:szCs w:val="20"/>
              </w:rPr>
              <w:t xml:space="preserve"> </w:t>
            </w:r>
            <w:r>
              <w:rPr>
                <w:spacing w:val="18"/>
                <w:sz w:val="20"/>
                <w:szCs w:val="20"/>
              </w:rPr>
              <w:t>制定有节能减碳</w:t>
            </w:r>
            <w:r>
              <w:rPr>
                <w:spacing w:val="2"/>
                <w:sz w:val="20"/>
                <w:szCs w:val="20"/>
              </w:rPr>
              <w:t xml:space="preserve">  </w:t>
            </w:r>
            <w:r>
              <w:rPr>
                <w:spacing w:val="1"/>
                <w:sz w:val="20"/>
                <w:szCs w:val="20"/>
              </w:rPr>
              <w:t>年度工作计划，组</w:t>
            </w:r>
            <w:r>
              <w:rPr>
                <w:sz w:val="20"/>
                <w:szCs w:val="20"/>
              </w:rPr>
              <w:t xml:space="preserve"> </w:t>
            </w:r>
            <w:r>
              <w:rPr>
                <w:spacing w:val="18"/>
                <w:sz w:val="20"/>
                <w:szCs w:val="20"/>
              </w:rPr>
              <w:t>织开展节能减碳</w:t>
            </w:r>
            <w:r>
              <w:rPr>
                <w:spacing w:val="2"/>
                <w:sz w:val="20"/>
                <w:szCs w:val="20"/>
              </w:rPr>
              <w:t xml:space="preserve">  </w:t>
            </w:r>
            <w:r>
              <w:rPr>
                <w:spacing w:val="1"/>
                <w:sz w:val="20"/>
                <w:szCs w:val="20"/>
              </w:rPr>
              <w:t>工作，年度管控目</w:t>
            </w:r>
          </w:p>
        </w:tc>
        <w:tc>
          <w:tcPr>
            <w:tcW w:w="669" w:type="dxa"/>
            <w:tcBorders>
              <w:bottom w:val="single" w:color="000000" w:sz="10" w:space="0"/>
            </w:tcBorders>
            <w:vAlign w:val="top"/>
          </w:tcPr>
          <w:p w14:paraId="0C3E3E04">
            <w:pPr>
              <w:spacing w:line="275" w:lineRule="auto"/>
              <w:rPr>
                <w:rFonts w:ascii="Arial"/>
                <w:sz w:val="21"/>
              </w:rPr>
            </w:pPr>
          </w:p>
          <w:p w14:paraId="10CBDC0C">
            <w:pPr>
              <w:spacing w:line="275" w:lineRule="auto"/>
              <w:rPr>
                <w:rFonts w:ascii="Arial"/>
                <w:sz w:val="21"/>
              </w:rPr>
            </w:pPr>
          </w:p>
          <w:p w14:paraId="65FFAAAB">
            <w:pPr>
              <w:spacing w:line="275" w:lineRule="auto"/>
              <w:rPr>
                <w:rFonts w:ascii="Arial"/>
                <w:sz w:val="21"/>
              </w:rPr>
            </w:pPr>
          </w:p>
          <w:p w14:paraId="1F82DBA4">
            <w:pPr>
              <w:spacing w:line="275" w:lineRule="auto"/>
              <w:rPr>
                <w:rFonts w:ascii="Arial"/>
                <w:sz w:val="21"/>
              </w:rPr>
            </w:pPr>
          </w:p>
          <w:p w14:paraId="2EA91D99">
            <w:pPr>
              <w:spacing w:line="276" w:lineRule="auto"/>
              <w:rPr>
                <w:rFonts w:ascii="Arial"/>
                <w:sz w:val="21"/>
              </w:rPr>
            </w:pPr>
          </w:p>
          <w:p w14:paraId="4E8B6082">
            <w:pPr>
              <w:spacing w:before="57"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574" w:type="dxa"/>
            <w:vMerge w:val="continue"/>
            <w:tcBorders>
              <w:top w:val="nil"/>
              <w:bottom w:val="single" w:color="000000" w:sz="10" w:space="0"/>
              <w:right w:val="nil"/>
            </w:tcBorders>
            <w:vAlign w:val="top"/>
          </w:tcPr>
          <w:p w14:paraId="4C95AA8C">
            <w:pPr>
              <w:rPr>
                <w:rFonts w:ascii="Arial"/>
                <w:sz w:val="21"/>
              </w:rPr>
            </w:pPr>
          </w:p>
        </w:tc>
      </w:tr>
    </w:tbl>
    <w:p w14:paraId="6AC7F3E8">
      <w:pPr>
        <w:pStyle w:val="2"/>
      </w:pPr>
    </w:p>
    <w:p w14:paraId="38D86281">
      <w:pPr>
        <w:sectPr>
          <w:pgSz w:w="16840" w:h="11907"/>
          <w:pgMar w:top="1190" w:right="1417" w:bottom="1002" w:left="1417" w:header="882" w:footer="837" w:gutter="0"/>
          <w:cols w:space="720" w:num="1"/>
        </w:sectPr>
      </w:pPr>
    </w:p>
    <w:p w14:paraId="119171C5">
      <w:pPr>
        <w:spacing w:line="28" w:lineRule="exact"/>
      </w:pPr>
      <w:r>
        <w:pict>
          <v:shape id="_x0000_s1247" o:spid="_x0000_s1247" style="height:1.45pt;width:700.25pt;" fillcolor="#000000" filled="t" stroked="f" coordsize="14005,29" path="m0,0l14005,0,14005,28,0,28,0,0xe">
            <v:path/>
            <v:fill on="t" focussize="0,0"/>
            <v:stroke on="f"/>
            <v:imagedata o:title=""/>
            <o:lock v:ext="edit"/>
            <w10:wrap type="none"/>
            <w10:anchorlock/>
          </v:shape>
        </w:pict>
      </w:r>
    </w:p>
    <w:p w14:paraId="45E17A40">
      <w:pPr>
        <w:spacing w:line="197" w:lineRule="exact"/>
      </w:pPr>
    </w:p>
    <w:tbl>
      <w:tblPr>
        <w:tblStyle w:val="5"/>
        <w:tblW w:w="1399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8"/>
        <w:gridCol w:w="763"/>
        <w:gridCol w:w="636"/>
        <w:gridCol w:w="1966"/>
        <w:gridCol w:w="950"/>
        <w:gridCol w:w="2140"/>
        <w:gridCol w:w="1812"/>
        <w:gridCol w:w="2140"/>
        <w:gridCol w:w="1628"/>
        <w:gridCol w:w="672"/>
        <w:gridCol w:w="574"/>
      </w:tblGrid>
      <w:tr w14:paraId="10A7B5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1481" w:type="dxa"/>
            <w:gridSpan w:val="2"/>
            <w:tcBorders>
              <w:top w:val="single" w:color="000000" w:sz="10" w:space="0"/>
              <w:left w:val="nil"/>
            </w:tcBorders>
            <w:vAlign w:val="top"/>
          </w:tcPr>
          <w:p w14:paraId="73DB899D">
            <w:pPr>
              <w:pStyle w:val="6"/>
              <w:spacing w:before="35" w:line="212" w:lineRule="auto"/>
              <w:ind w:left="329"/>
              <w:rPr>
                <w:sz w:val="20"/>
                <w:szCs w:val="20"/>
              </w:rPr>
            </w:pPr>
            <w:r>
              <w:rPr>
                <w:spacing w:val="6"/>
                <w:sz w:val="20"/>
                <w:szCs w:val="20"/>
              </w:rPr>
              <w:t>一级指标</w:t>
            </w:r>
          </w:p>
        </w:tc>
        <w:tc>
          <w:tcPr>
            <w:tcW w:w="9644" w:type="dxa"/>
            <w:gridSpan w:val="6"/>
            <w:tcBorders>
              <w:top w:val="single" w:color="000000" w:sz="10" w:space="0"/>
            </w:tcBorders>
            <w:vAlign w:val="top"/>
          </w:tcPr>
          <w:p w14:paraId="399FC6AA">
            <w:pPr>
              <w:pStyle w:val="6"/>
              <w:spacing w:before="35" w:line="212" w:lineRule="auto"/>
              <w:ind w:left="4411"/>
              <w:rPr>
                <w:sz w:val="20"/>
                <w:szCs w:val="20"/>
              </w:rPr>
            </w:pPr>
            <w:r>
              <w:rPr>
                <w:spacing w:val="6"/>
                <w:sz w:val="20"/>
                <w:szCs w:val="20"/>
              </w:rPr>
              <w:t>二级指标</w:t>
            </w:r>
          </w:p>
        </w:tc>
        <w:tc>
          <w:tcPr>
            <w:tcW w:w="1628" w:type="dxa"/>
            <w:vMerge w:val="restart"/>
            <w:tcBorders>
              <w:top w:val="single" w:color="000000" w:sz="10" w:space="0"/>
              <w:bottom w:val="nil"/>
            </w:tcBorders>
            <w:vAlign w:val="top"/>
          </w:tcPr>
          <w:p w14:paraId="27D1CDEC">
            <w:pPr>
              <w:spacing w:line="242" w:lineRule="auto"/>
              <w:rPr>
                <w:rFonts w:ascii="Arial"/>
                <w:sz w:val="21"/>
              </w:rPr>
            </w:pPr>
          </w:p>
          <w:p w14:paraId="5F2ED341">
            <w:pPr>
              <w:pStyle w:val="6"/>
              <w:spacing w:before="65" w:line="227" w:lineRule="auto"/>
              <w:ind w:left="299"/>
              <w:rPr>
                <w:sz w:val="20"/>
                <w:szCs w:val="20"/>
              </w:rPr>
            </w:pPr>
            <w:r>
              <w:rPr>
                <w:spacing w:val="7"/>
                <w:sz w:val="20"/>
                <w:szCs w:val="20"/>
              </w:rPr>
              <w:t>本项目情况</w:t>
            </w:r>
          </w:p>
        </w:tc>
        <w:tc>
          <w:tcPr>
            <w:tcW w:w="672" w:type="dxa"/>
            <w:vMerge w:val="restart"/>
            <w:tcBorders>
              <w:top w:val="single" w:color="000000" w:sz="10" w:space="0"/>
              <w:bottom w:val="nil"/>
            </w:tcBorders>
            <w:vAlign w:val="top"/>
          </w:tcPr>
          <w:p w14:paraId="2D546463">
            <w:pPr>
              <w:pStyle w:val="6"/>
              <w:spacing w:before="173" w:line="239" w:lineRule="auto"/>
              <w:ind w:left="31" w:right="17"/>
              <w:rPr>
                <w:sz w:val="20"/>
                <w:szCs w:val="20"/>
              </w:rPr>
            </w:pPr>
            <w:r>
              <w:rPr>
                <w:spacing w:val="5"/>
                <w:sz w:val="20"/>
                <w:szCs w:val="20"/>
              </w:rPr>
              <w:t>二级单</w:t>
            </w:r>
            <w:r>
              <w:rPr>
                <w:spacing w:val="1"/>
                <w:sz w:val="20"/>
                <w:szCs w:val="20"/>
              </w:rPr>
              <w:t xml:space="preserve"> </w:t>
            </w:r>
            <w:r>
              <w:rPr>
                <w:spacing w:val="5"/>
                <w:sz w:val="20"/>
                <w:szCs w:val="20"/>
              </w:rPr>
              <w:t>项指标</w:t>
            </w:r>
          </w:p>
        </w:tc>
        <w:tc>
          <w:tcPr>
            <w:tcW w:w="574" w:type="dxa"/>
            <w:vMerge w:val="restart"/>
            <w:tcBorders>
              <w:top w:val="single" w:color="000000" w:sz="10" w:space="0"/>
              <w:bottom w:val="nil"/>
              <w:right w:val="nil"/>
            </w:tcBorders>
            <w:vAlign w:val="top"/>
          </w:tcPr>
          <w:p w14:paraId="13F65925">
            <w:pPr>
              <w:pStyle w:val="6"/>
              <w:spacing w:before="35" w:line="236" w:lineRule="auto"/>
              <w:ind w:left="82" w:right="78" w:firstLine="3"/>
              <w:jc w:val="both"/>
              <w:rPr>
                <w:sz w:val="20"/>
                <w:szCs w:val="20"/>
              </w:rPr>
            </w:pPr>
            <w:r>
              <w:rPr>
                <w:spacing w:val="3"/>
                <w:sz w:val="20"/>
                <w:szCs w:val="20"/>
              </w:rPr>
              <w:t>综合</w:t>
            </w:r>
            <w:r>
              <w:rPr>
                <w:sz w:val="20"/>
                <w:szCs w:val="20"/>
              </w:rPr>
              <w:t xml:space="preserve"> </w:t>
            </w:r>
            <w:r>
              <w:rPr>
                <w:spacing w:val="5"/>
                <w:sz w:val="20"/>
                <w:szCs w:val="20"/>
              </w:rPr>
              <w:t>评价</w:t>
            </w:r>
            <w:r>
              <w:rPr>
                <w:sz w:val="20"/>
                <w:szCs w:val="20"/>
              </w:rPr>
              <w:t xml:space="preserve"> </w:t>
            </w:r>
            <w:r>
              <w:rPr>
                <w:spacing w:val="5"/>
                <w:sz w:val="20"/>
                <w:szCs w:val="20"/>
              </w:rPr>
              <w:t>指数</w:t>
            </w:r>
          </w:p>
        </w:tc>
      </w:tr>
      <w:tr w14:paraId="38CC90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3" w:hRule="atLeast"/>
        </w:trPr>
        <w:tc>
          <w:tcPr>
            <w:tcW w:w="718" w:type="dxa"/>
            <w:tcBorders>
              <w:left w:val="nil"/>
            </w:tcBorders>
            <w:vAlign w:val="top"/>
          </w:tcPr>
          <w:p w14:paraId="58121B89">
            <w:pPr>
              <w:pStyle w:val="6"/>
              <w:spacing w:before="166" w:line="228" w:lineRule="auto"/>
              <w:ind w:left="52"/>
              <w:rPr>
                <w:sz w:val="20"/>
                <w:szCs w:val="20"/>
              </w:rPr>
            </w:pPr>
            <w:r>
              <w:rPr>
                <w:spacing w:val="6"/>
                <w:sz w:val="20"/>
                <w:szCs w:val="20"/>
              </w:rPr>
              <w:t>指标项</w:t>
            </w:r>
          </w:p>
        </w:tc>
        <w:tc>
          <w:tcPr>
            <w:tcW w:w="763" w:type="dxa"/>
            <w:vAlign w:val="top"/>
          </w:tcPr>
          <w:p w14:paraId="3F9249A4">
            <w:pPr>
              <w:pStyle w:val="6"/>
              <w:spacing w:before="165" w:line="228" w:lineRule="auto"/>
              <w:ind w:left="69"/>
              <w:rPr>
                <w:sz w:val="20"/>
                <w:szCs w:val="20"/>
              </w:rPr>
            </w:pPr>
            <w:r>
              <w:rPr>
                <w:spacing w:val="7"/>
                <w:sz w:val="20"/>
                <w:szCs w:val="20"/>
              </w:rPr>
              <w:t>权重值</w:t>
            </w:r>
          </w:p>
        </w:tc>
        <w:tc>
          <w:tcPr>
            <w:tcW w:w="636" w:type="dxa"/>
            <w:vAlign w:val="top"/>
          </w:tcPr>
          <w:p w14:paraId="346FB8EB">
            <w:pPr>
              <w:pStyle w:val="6"/>
              <w:spacing w:before="165" w:line="229" w:lineRule="auto"/>
              <w:ind w:left="108"/>
              <w:rPr>
                <w:sz w:val="20"/>
                <w:szCs w:val="20"/>
              </w:rPr>
            </w:pPr>
            <w:r>
              <w:rPr>
                <w:spacing w:val="5"/>
                <w:sz w:val="20"/>
                <w:szCs w:val="20"/>
              </w:rPr>
              <w:t>序号</w:t>
            </w:r>
          </w:p>
        </w:tc>
        <w:tc>
          <w:tcPr>
            <w:tcW w:w="1966" w:type="dxa"/>
            <w:vAlign w:val="top"/>
          </w:tcPr>
          <w:p w14:paraId="108324D4">
            <w:pPr>
              <w:pStyle w:val="6"/>
              <w:spacing w:before="166" w:line="228" w:lineRule="auto"/>
              <w:ind w:left="673"/>
              <w:rPr>
                <w:sz w:val="20"/>
                <w:szCs w:val="20"/>
              </w:rPr>
            </w:pPr>
            <w:r>
              <w:rPr>
                <w:spacing w:val="6"/>
                <w:sz w:val="20"/>
                <w:szCs w:val="20"/>
              </w:rPr>
              <w:t>指标项</w:t>
            </w:r>
          </w:p>
        </w:tc>
        <w:tc>
          <w:tcPr>
            <w:tcW w:w="950" w:type="dxa"/>
            <w:vAlign w:val="top"/>
          </w:tcPr>
          <w:p w14:paraId="3A9FB58C">
            <w:pPr>
              <w:pStyle w:val="6"/>
              <w:spacing w:before="165" w:line="228" w:lineRule="auto"/>
              <w:ind w:left="61"/>
              <w:rPr>
                <w:sz w:val="20"/>
                <w:szCs w:val="20"/>
              </w:rPr>
            </w:pPr>
            <w:r>
              <w:rPr>
                <w:spacing w:val="6"/>
                <w:sz w:val="20"/>
                <w:szCs w:val="20"/>
              </w:rPr>
              <w:t>分权重值</w:t>
            </w:r>
          </w:p>
        </w:tc>
        <w:tc>
          <w:tcPr>
            <w:tcW w:w="2140" w:type="dxa"/>
            <w:vAlign w:val="top"/>
          </w:tcPr>
          <w:p w14:paraId="785FC82C">
            <w:pPr>
              <w:pStyle w:val="6"/>
              <w:spacing w:before="165" w:line="228" w:lineRule="auto"/>
              <w:ind w:left="281"/>
              <w:rPr>
                <w:sz w:val="20"/>
                <w:szCs w:val="20"/>
              </w:rPr>
            </w:pPr>
            <w:r>
              <w:rPr>
                <w:rFonts w:ascii="Times New Roman" w:hAnsi="Times New Roman" w:eastAsia="Times New Roman" w:cs="Times New Roman"/>
                <w:spacing w:val="5"/>
                <w:sz w:val="20"/>
                <w:szCs w:val="20"/>
              </w:rPr>
              <w:t>Ⅰ</w:t>
            </w:r>
            <w:r>
              <w:rPr>
                <w:spacing w:val="5"/>
                <w:sz w:val="20"/>
                <w:szCs w:val="20"/>
              </w:rPr>
              <w:t>级基准值（</w:t>
            </w:r>
            <w:r>
              <w:rPr>
                <w:rFonts w:ascii="Times New Roman" w:hAnsi="Times New Roman" w:eastAsia="Times New Roman" w:cs="Times New Roman"/>
                <w:spacing w:val="5"/>
                <w:sz w:val="20"/>
                <w:szCs w:val="20"/>
              </w:rPr>
              <w:t>1.0</w:t>
            </w:r>
            <w:r>
              <w:rPr>
                <w:spacing w:val="5"/>
                <w:sz w:val="20"/>
                <w:szCs w:val="20"/>
              </w:rPr>
              <w:t>）</w:t>
            </w:r>
          </w:p>
        </w:tc>
        <w:tc>
          <w:tcPr>
            <w:tcW w:w="1812" w:type="dxa"/>
            <w:vAlign w:val="top"/>
          </w:tcPr>
          <w:p w14:paraId="04D1CFB0">
            <w:pPr>
              <w:pStyle w:val="6"/>
              <w:spacing w:before="165" w:line="228" w:lineRule="auto"/>
              <w:ind w:left="90"/>
              <w:rPr>
                <w:sz w:val="20"/>
                <w:szCs w:val="20"/>
              </w:rPr>
            </w:pPr>
            <w:r>
              <w:rPr>
                <w:rFonts w:ascii="Times New Roman" w:hAnsi="Times New Roman" w:eastAsia="Times New Roman" w:cs="Times New Roman"/>
                <w:spacing w:val="6"/>
                <w:sz w:val="20"/>
                <w:szCs w:val="20"/>
              </w:rPr>
              <w:t>Ⅱ</w:t>
            </w:r>
            <w:r>
              <w:rPr>
                <w:spacing w:val="6"/>
                <w:sz w:val="20"/>
                <w:szCs w:val="20"/>
              </w:rPr>
              <w:t>级基准值（</w:t>
            </w:r>
            <w:r>
              <w:rPr>
                <w:rFonts w:ascii="Times New Roman" w:hAnsi="Times New Roman" w:eastAsia="Times New Roman" w:cs="Times New Roman"/>
                <w:spacing w:val="6"/>
                <w:sz w:val="20"/>
                <w:szCs w:val="20"/>
              </w:rPr>
              <w:t>0.8</w:t>
            </w:r>
            <w:r>
              <w:rPr>
                <w:spacing w:val="6"/>
                <w:sz w:val="20"/>
                <w:szCs w:val="20"/>
              </w:rPr>
              <w:t>）</w:t>
            </w:r>
          </w:p>
        </w:tc>
        <w:tc>
          <w:tcPr>
            <w:tcW w:w="2140" w:type="dxa"/>
            <w:vAlign w:val="top"/>
          </w:tcPr>
          <w:p w14:paraId="6BEB520F">
            <w:pPr>
              <w:pStyle w:val="6"/>
              <w:spacing w:before="165" w:line="228" w:lineRule="auto"/>
              <w:ind w:left="217"/>
              <w:rPr>
                <w:sz w:val="20"/>
                <w:szCs w:val="20"/>
              </w:rPr>
            </w:pPr>
            <w:r>
              <w:rPr>
                <w:rFonts w:ascii="Times New Roman" w:hAnsi="Times New Roman" w:eastAsia="Times New Roman" w:cs="Times New Roman"/>
                <w:spacing w:val="6"/>
                <w:sz w:val="20"/>
                <w:szCs w:val="20"/>
              </w:rPr>
              <w:t>Ⅲ</w:t>
            </w:r>
            <w:r>
              <w:rPr>
                <w:spacing w:val="6"/>
                <w:sz w:val="20"/>
                <w:szCs w:val="20"/>
              </w:rPr>
              <w:t>级基准值（</w:t>
            </w:r>
            <w:r>
              <w:rPr>
                <w:rFonts w:ascii="Times New Roman" w:hAnsi="Times New Roman" w:eastAsia="Times New Roman" w:cs="Times New Roman"/>
                <w:spacing w:val="6"/>
                <w:sz w:val="20"/>
                <w:szCs w:val="20"/>
              </w:rPr>
              <w:t>0.6</w:t>
            </w:r>
            <w:r>
              <w:rPr>
                <w:spacing w:val="6"/>
                <w:sz w:val="20"/>
                <w:szCs w:val="20"/>
              </w:rPr>
              <w:t>）</w:t>
            </w:r>
          </w:p>
        </w:tc>
        <w:tc>
          <w:tcPr>
            <w:tcW w:w="1628" w:type="dxa"/>
            <w:vMerge w:val="continue"/>
            <w:tcBorders>
              <w:top w:val="nil"/>
            </w:tcBorders>
            <w:vAlign w:val="top"/>
          </w:tcPr>
          <w:p w14:paraId="1B0ED873">
            <w:pPr>
              <w:rPr>
                <w:rFonts w:ascii="Arial"/>
                <w:sz w:val="21"/>
              </w:rPr>
            </w:pPr>
          </w:p>
        </w:tc>
        <w:tc>
          <w:tcPr>
            <w:tcW w:w="672" w:type="dxa"/>
            <w:vMerge w:val="continue"/>
            <w:tcBorders>
              <w:top w:val="nil"/>
            </w:tcBorders>
            <w:vAlign w:val="top"/>
          </w:tcPr>
          <w:p w14:paraId="581D014A">
            <w:pPr>
              <w:rPr>
                <w:rFonts w:ascii="Arial"/>
                <w:sz w:val="21"/>
              </w:rPr>
            </w:pPr>
          </w:p>
        </w:tc>
        <w:tc>
          <w:tcPr>
            <w:tcW w:w="574" w:type="dxa"/>
            <w:vMerge w:val="continue"/>
            <w:tcBorders>
              <w:top w:val="nil"/>
              <w:right w:val="nil"/>
            </w:tcBorders>
            <w:vAlign w:val="top"/>
          </w:tcPr>
          <w:p w14:paraId="382C1F31">
            <w:pPr>
              <w:rPr>
                <w:rFonts w:ascii="Arial"/>
                <w:sz w:val="21"/>
              </w:rPr>
            </w:pPr>
          </w:p>
        </w:tc>
      </w:tr>
      <w:tr w14:paraId="708BB6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6" w:hRule="atLeast"/>
        </w:trPr>
        <w:tc>
          <w:tcPr>
            <w:tcW w:w="718" w:type="dxa"/>
            <w:tcBorders>
              <w:left w:val="nil"/>
            </w:tcBorders>
            <w:vAlign w:val="top"/>
          </w:tcPr>
          <w:p w14:paraId="380430D9">
            <w:pPr>
              <w:rPr>
                <w:rFonts w:ascii="Arial"/>
                <w:sz w:val="21"/>
              </w:rPr>
            </w:pPr>
          </w:p>
        </w:tc>
        <w:tc>
          <w:tcPr>
            <w:tcW w:w="763" w:type="dxa"/>
            <w:vAlign w:val="top"/>
          </w:tcPr>
          <w:p w14:paraId="2BA8EA4F">
            <w:pPr>
              <w:rPr>
                <w:rFonts w:ascii="Arial"/>
                <w:sz w:val="21"/>
              </w:rPr>
            </w:pPr>
          </w:p>
        </w:tc>
        <w:tc>
          <w:tcPr>
            <w:tcW w:w="636" w:type="dxa"/>
            <w:vAlign w:val="top"/>
          </w:tcPr>
          <w:p w14:paraId="0760B5AB">
            <w:pPr>
              <w:rPr>
                <w:rFonts w:ascii="Arial"/>
                <w:sz w:val="21"/>
              </w:rPr>
            </w:pPr>
          </w:p>
        </w:tc>
        <w:tc>
          <w:tcPr>
            <w:tcW w:w="1966" w:type="dxa"/>
            <w:vAlign w:val="top"/>
          </w:tcPr>
          <w:p w14:paraId="63E21975">
            <w:pPr>
              <w:rPr>
                <w:rFonts w:ascii="Arial"/>
                <w:sz w:val="21"/>
              </w:rPr>
            </w:pPr>
          </w:p>
        </w:tc>
        <w:tc>
          <w:tcPr>
            <w:tcW w:w="950" w:type="dxa"/>
            <w:vAlign w:val="top"/>
          </w:tcPr>
          <w:p w14:paraId="5DF3BE5A">
            <w:pPr>
              <w:rPr>
                <w:rFonts w:ascii="Arial"/>
                <w:sz w:val="21"/>
              </w:rPr>
            </w:pPr>
          </w:p>
        </w:tc>
        <w:tc>
          <w:tcPr>
            <w:tcW w:w="2140" w:type="dxa"/>
            <w:vAlign w:val="top"/>
          </w:tcPr>
          <w:p w14:paraId="1B795E65">
            <w:pPr>
              <w:rPr>
                <w:rFonts w:ascii="Arial"/>
                <w:sz w:val="21"/>
              </w:rPr>
            </w:pPr>
          </w:p>
        </w:tc>
        <w:tc>
          <w:tcPr>
            <w:tcW w:w="1812" w:type="dxa"/>
            <w:vAlign w:val="top"/>
          </w:tcPr>
          <w:p w14:paraId="59898971">
            <w:pPr>
              <w:pStyle w:val="6"/>
              <w:spacing w:before="40" w:line="228" w:lineRule="auto"/>
              <w:ind w:left="178"/>
              <w:rPr>
                <w:sz w:val="20"/>
                <w:szCs w:val="20"/>
              </w:rPr>
            </w:pPr>
            <w:r>
              <w:rPr>
                <w:spacing w:val="8"/>
                <w:sz w:val="20"/>
                <w:szCs w:val="20"/>
              </w:rPr>
              <w:t>度节能减碳任务</w:t>
            </w:r>
          </w:p>
        </w:tc>
        <w:tc>
          <w:tcPr>
            <w:tcW w:w="2140" w:type="dxa"/>
            <w:vAlign w:val="top"/>
          </w:tcPr>
          <w:p w14:paraId="761BB684">
            <w:pPr>
              <w:pStyle w:val="6"/>
              <w:spacing w:before="40" w:line="227" w:lineRule="auto"/>
              <w:ind w:left="138"/>
              <w:rPr>
                <w:sz w:val="20"/>
                <w:szCs w:val="20"/>
              </w:rPr>
            </w:pPr>
            <w:r>
              <w:rPr>
                <w:spacing w:val="8"/>
                <w:sz w:val="20"/>
                <w:szCs w:val="20"/>
              </w:rPr>
              <w:t>务基本达到国家要求</w:t>
            </w:r>
          </w:p>
        </w:tc>
        <w:tc>
          <w:tcPr>
            <w:tcW w:w="1628" w:type="dxa"/>
            <w:vAlign w:val="top"/>
          </w:tcPr>
          <w:p w14:paraId="1DB91F47">
            <w:pPr>
              <w:pStyle w:val="6"/>
              <w:spacing w:before="41" w:line="232" w:lineRule="auto"/>
              <w:ind w:left="87" w:right="75" w:hanging="38"/>
              <w:rPr>
                <w:sz w:val="20"/>
                <w:szCs w:val="20"/>
              </w:rPr>
            </w:pPr>
            <w:r>
              <w:rPr>
                <w:spacing w:val="2"/>
                <w:sz w:val="20"/>
                <w:szCs w:val="20"/>
              </w:rPr>
              <w:t>标完成率</w:t>
            </w:r>
            <w:r>
              <w:rPr>
                <w:rFonts w:ascii="Times New Roman" w:hAnsi="Times New Roman" w:eastAsia="Times New Roman" w:cs="Times New Roman"/>
                <w:spacing w:val="2"/>
                <w:sz w:val="20"/>
                <w:szCs w:val="20"/>
              </w:rPr>
              <w:t>≥90%</w:t>
            </w:r>
            <w:r>
              <w:rPr>
                <w:spacing w:val="2"/>
                <w:sz w:val="20"/>
                <w:szCs w:val="20"/>
              </w:rPr>
              <w:t>；</w:t>
            </w:r>
            <w:r>
              <w:rPr>
                <w:spacing w:val="3"/>
                <w:sz w:val="20"/>
                <w:szCs w:val="20"/>
              </w:rPr>
              <w:t xml:space="preserve"> </w:t>
            </w:r>
            <w:r>
              <w:rPr>
                <w:spacing w:val="8"/>
                <w:sz w:val="20"/>
                <w:szCs w:val="20"/>
              </w:rPr>
              <w:t>年度节能减碳任</w:t>
            </w:r>
            <w:r>
              <w:rPr>
                <w:spacing w:val="2"/>
                <w:sz w:val="20"/>
                <w:szCs w:val="20"/>
              </w:rPr>
              <w:t xml:space="preserve"> </w:t>
            </w:r>
            <w:r>
              <w:rPr>
                <w:spacing w:val="8"/>
                <w:sz w:val="20"/>
                <w:szCs w:val="20"/>
              </w:rPr>
              <w:t>务达到国家要求</w:t>
            </w:r>
          </w:p>
        </w:tc>
        <w:tc>
          <w:tcPr>
            <w:tcW w:w="672" w:type="dxa"/>
            <w:vAlign w:val="top"/>
          </w:tcPr>
          <w:p w14:paraId="4B67FDEB">
            <w:pPr>
              <w:rPr>
                <w:rFonts w:ascii="Arial"/>
                <w:sz w:val="21"/>
              </w:rPr>
            </w:pPr>
          </w:p>
        </w:tc>
        <w:tc>
          <w:tcPr>
            <w:tcW w:w="574" w:type="dxa"/>
            <w:tcBorders>
              <w:right w:val="nil"/>
            </w:tcBorders>
            <w:vAlign w:val="top"/>
          </w:tcPr>
          <w:p w14:paraId="563D2585">
            <w:pPr>
              <w:rPr>
                <w:rFonts w:ascii="Arial"/>
                <w:sz w:val="21"/>
              </w:rPr>
            </w:pPr>
          </w:p>
        </w:tc>
      </w:tr>
      <w:tr w14:paraId="51117C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5" w:hRule="atLeast"/>
        </w:trPr>
        <w:tc>
          <w:tcPr>
            <w:tcW w:w="13425" w:type="dxa"/>
            <w:gridSpan w:val="10"/>
            <w:tcBorders>
              <w:left w:val="nil"/>
              <w:bottom w:val="single" w:color="000000" w:sz="10" w:space="0"/>
            </w:tcBorders>
            <w:vAlign w:val="top"/>
          </w:tcPr>
          <w:p w14:paraId="2879E1B6">
            <w:pPr>
              <w:spacing w:line="255" w:lineRule="exact"/>
              <w:ind w:left="6273"/>
              <w:rPr>
                <w:rFonts w:ascii="Times New Roman" w:hAnsi="Times New Roman" w:eastAsia="Times New Roman" w:cs="Times New Roman"/>
                <w:sz w:val="20"/>
                <w:szCs w:val="20"/>
              </w:rPr>
            </w:pPr>
            <w:r>
              <w:rPr>
                <w:rFonts w:ascii="Times New Roman" w:hAnsi="Times New Roman" w:eastAsia="Times New Roman" w:cs="Times New Roman"/>
                <w:position w:val="3"/>
                <w:sz w:val="20"/>
                <w:szCs w:val="20"/>
              </w:rPr>
              <w:t>Y</w:t>
            </w:r>
            <w:r>
              <w:rPr>
                <w:rFonts w:ascii="Times New Roman" w:hAnsi="Times New Roman" w:eastAsia="Times New Roman" w:cs="Times New Roman"/>
                <w:position w:val="2"/>
                <w:sz w:val="13"/>
                <w:szCs w:val="13"/>
              </w:rPr>
              <w:t>gk</w:t>
            </w:r>
            <w:r>
              <w:rPr>
                <w:rFonts w:ascii="Times New Roman" w:hAnsi="Times New Roman" w:eastAsia="Times New Roman" w:cs="Times New Roman"/>
                <w:spacing w:val="6"/>
                <w:position w:val="3"/>
                <w:sz w:val="20"/>
                <w:szCs w:val="20"/>
              </w:rPr>
              <w:t>=91.29</w:t>
            </w:r>
          </w:p>
        </w:tc>
        <w:tc>
          <w:tcPr>
            <w:tcW w:w="574" w:type="dxa"/>
            <w:tcBorders>
              <w:bottom w:val="single" w:color="000000" w:sz="10" w:space="0"/>
              <w:right w:val="nil"/>
            </w:tcBorders>
            <w:vAlign w:val="top"/>
          </w:tcPr>
          <w:p w14:paraId="2E61A401">
            <w:pPr>
              <w:spacing w:before="71" w:line="191"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94.29</w:t>
            </w:r>
          </w:p>
        </w:tc>
      </w:tr>
    </w:tbl>
    <w:p w14:paraId="0F109C1A">
      <w:pPr>
        <w:spacing w:before="76" w:line="228" w:lineRule="auto"/>
        <w:ind w:left="427"/>
        <w:rPr>
          <w:rFonts w:ascii="宋体" w:hAnsi="宋体" w:eastAsia="宋体" w:cs="宋体"/>
          <w:sz w:val="20"/>
          <w:szCs w:val="20"/>
        </w:rPr>
      </w:pPr>
      <w:r>
        <w:rPr>
          <w:rFonts w:ascii="宋体" w:hAnsi="宋体" w:eastAsia="宋体" w:cs="宋体"/>
          <w:spacing w:val="7"/>
          <w:sz w:val="20"/>
          <w:szCs w:val="20"/>
        </w:rPr>
        <w:t>注：</w:t>
      </w:r>
      <w:r>
        <w:rPr>
          <w:rFonts w:ascii="Times New Roman" w:hAnsi="Times New Roman" w:eastAsia="Times New Roman" w:cs="Times New Roman"/>
          <w:spacing w:val="7"/>
          <w:sz w:val="20"/>
          <w:szCs w:val="20"/>
        </w:rPr>
        <w:t>1.</w:t>
      </w:r>
      <w:r>
        <w:rPr>
          <w:rFonts w:ascii="宋体" w:hAnsi="宋体" w:eastAsia="宋体" w:cs="宋体"/>
          <w:spacing w:val="7"/>
          <w:sz w:val="20"/>
          <w:szCs w:val="20"/>
        </w:rPr>
        <w:t xml:space="preserve">锰硅合金产品标准执行 </w:t>
      </w:r>
      <w:r>
        <w:rPr>
          <w:rFonts w:ascii="Times New Roman" w:hAnsi="Times New Roman" w:eastAsia="Times New Roman" w:cs="Times New Roman"/>
          <w:sz w:val="20"/>
          <w:szCs w:val="20"/>
        </w:rPr>
        <w:t>GB</w:t>
      </w:r>
      <w:r>
        <w:rPr>
          <w:rFonts w:ascii="Times New Roman" w:hAnsi="Times New Roman" w:eastAsia="Times New Roman" w:cs="Times New Roman"/>
          <w:spacing w:val="7"/>
          <w:sz w:val="20"/>
          <w:szCs w:val="20"/>
        </w:rPr>
        <w:t>/T 4008</w:t>
      </w:r>
      <w:r>
        <w:rPr>
          <w:rFonts w:ascii="宋体" w:hAnsi="宋体" w:eastAsia="宋体" w:cs="宋体"/>
          <w:spacing w:val="7"/>
          <w:sz w:val="20"/>
          <w:szCs w:val="20"/>
        </w:rPr>
        <w:t>；</w:t>
      </w:r>
    </w:p>
    <w:p w14:paraId="2AA5AB3A">
      <w:pPr>
        <w:spacing w:before="34" w:line="282" w:lineRule="exact"/>
        <w:ind w:left="843"/>
        <w:rPr>
          <w:rFonts w:ascii="宋体" w:hAnsi="宋体" w:eastAsia="宋体" w:cs="宋体"/>
          <w:sz w:val="20"/>
          <w:szCs w:val="20"/>
        </w:rPr>
      </w:pPr>
      <w:r>
        <w:rPr>
          <w:rFonts w:ascii="Times New Roman" w:hAnsi="Times New Roman" w:eastAsia="Times New Roman" w:cs="Times New Roman"/>
          <w:spacing w:val="9"/>
          <w:position w:val="1"/>
          <w:sz w:val="20"/>
          <w:szCs w:val="20"/>
        </w:rPr>
        <w:t>2.</w:t>
      </w:r>
      <w:r>
        <w:rPr>
          <w:rFonts w:ascii="宋体" w:hAnsi="宋体" w:eastAsia="宋体" w:cs="宋体"/>
          <w:spacing w:val="9"/>
          <w:position w:val="1"/>
          <w:sz w:val="20"/>
          <w:szCs w:val="20"/>
        </w:rPr>
        <w:t xml:space="preserve">锰硅合金产品实物量以 </w:t>
      </w:r>
      <w:r>
        <w:rPr>
          <w:rFonts w:ascii="Times New Roman" w:hAnsi="Times New Roman" w:eastAsia="Times New Roman" w:cs="Times New Roman"/>
          <w:position w:val="1"/>
          <w:sz w:val="20"/>
          <w:szCs w:val="20"/>
        </w:rPr>
        <w:t>Mn</w:t>
      </w:r>
      <w:r>
        <w:rPr>
          <w:rFonts w:ascii="Times New Roman" w:hAnsi="Times New Roman" w:eastAsia="Times New Roman" w:cs="Times New Roman"/>
          <w:spacing w:val="9"/>
          <w:position w:val="1"/>
          <w:sz w:val="20"/>
          <w:szCs w:val="20"/>
        </w:rPr>
        <w:t xml:space="preserve"> +</w:t>
      </w:r>
      <w:r>
        <w:rPr>
          <w:rFonts w:ascii="Times New Roman" w:hAnsi="Times New Roman" w:eastAsia="Times New Roman" w:cs="Times New Roman"/>
          <w:position w:val="1"/>
          <w:sz w:val="20"/>
          <w:szCs w:val="20"/>
        </w:rPr>
        <w:t>Si</w:t>
      </w:r>
      <w:r>
        <w:rPr>
          <w:rFonts w:ascii="Times New Roman" w:hAnsi="Times New Roman" w:eastAsia="Times New Roman" w:cs="Times New Roman"/>
          <w:spacing w:val="9"/>
          <w:position w:val="1"/>
          <w:sz w:val="20"/>
          <w:szCs w:val="20"/>
        </w:rPr>
        <w:t>=82%</w:t>
      </w:r>
      <w:r>
        <w:rPr>
          <w:rFonts w:ascii="宋体" w:hAnsi="宋体" w:eastAsia="宋体" w:cs="宋体"/>
          <w:spacing w:val="9"/>
          <w:position w:val="1"/>
          <w:sz w:val="20"/>
          <w:szCs w:val="20"/>
        </w:rPr>
        <w:t>为基准折合成基准吨，然后以基准吨为基础再折算单位产品能耗、物耗；</w:t>
      </w:r>
    </w:p>
    <w:p w14:paraId="2FCDA73F">
      <w:pPr>
        <w:spacing w:before="78" w:line="227" w:lineRule="auto"/>
        <w:ind w:left="847"/>
        <w:rPr>
          <w:rFonts w:ascii="宋体" w:hAnsi="宋体" w:eastAsia="宋体" w:cs="宋体"/>
          <w:sz w:val="20"/>
          <w:szCs w:val="20"/>
        </w:rPr>
      </w:pPr>
      <w:r>
        <w:rPr>
          <w:rFonts w:ascii="Times New Roman" w:hAnsi="Times New Roman" w:eastAsia="Times New Roman" w:cs="Times New Roman"/>
          <w:spacing w:val="10"/>
          <w:sz w:val="20"/>
          <w:szCs w:val="20"/>
        </w:rPr>
        <w:t>3.</w:t>
      </w:r>
      <w:r>
        <w:rPr>
          <w:rFonts w:ascii="宋体" w:hAnsi="宋体" w:eastAsia="宋体" w:cs="宋体"/>
          <w:spacing w:val="10"/>
          <w:sz w:val="20"/>
          <w:szCs w:val="20"/>
        </w:rPr>
        <w:t>在执行电炉自然功率因数指标时，当电</w:t>
      </w:r>
      <w:r>
        <w:rPr>
          <w:rFonts w:ascii="宋体" w:hAnsi="宋体" w:eastAsia="宋体" w:cs="宋体"/>
          <w:spacing w:val="9"/>
          <w:sz w:val="20"/>
          <w:szCs w:val="20"/>
        </w:rPr>
        <w:t>炉容量与本表所列不一致时，可就近靠本表所列电炉容量，执行相应标准值；</w:t>
      </w:r>
    </w:p>
    <w:p w14:paraId="57B48212">
      <w:pPr>
        <w:spacing w:before="73" w:line="280" w:lineRule="auto"/>
        <w:ind w:left="848" w:right="2138" w:hanging="6"/>
        <w:rPr>
          <w:rFonts w:ascii="宋体" w:hAnsi="宋体" w:eastAsia="宋体" w:cs="宋体"/>
          <w:sz w:val="20"/>
          <w:szCs w:val="20"/>
        </w:rPr>
      </w:pPr>
      <w:r>
        <w:rPr>
          <w:rFonts w:ascii="Times New Roman" w:hAnsi="Times New Roman" w:eastAsia="Times New Roman" w:cs="Times New Roman"/>
          <w:spacing w:val="7"/>
          <w:sz w:val="20"/>
          <w:szCs w:val="20"/>
        </w:rPr>
        <w:t>4.</w:t>
      </w:r>
      <w:r>
        <w:rPr>
          <w:rFonts w:ascii="宋体" w:hAnsi="宋体" w:eastAsia="宋体" w:cs="宋体"/>
          <w:spacing w:val="7"/>
          <w:sz w:val="20"/>
          <w:szCs w:val="20"/>
        </w:rPr>
        <w:t>入炉矿品位每升高或降低</w:t>
      </w:r>
      <w:r>
        <w:rPr>
          <w:rFonts w:ascii="宋体" w:hAnsi="宋体" w:eastAsia="宋体" w:cs="宋体"/>
          <w:spacing w:val="-23"/>
          <w:sz w:val="20"/>
          <w:szCs w:val="20"/>
        </w:rPr>
        <w:t xml:space="preserve"> </w:t>
      </w:r>
      <w:r>
        <w:rPr>
          <w:rFonts w:ascii="Times New Roman" w:hAnsi="Times New Roman" w:eastAsia="Times New Roman" w:cs="Times New Roman"/>
          <w:spacing w:val="7"/>
          <w:sz w:val="20"/>
          <w:szCs w:val="20"/>
        </w:rPr>
        <w:t>1%</w:t>
      </w:r>
      <w:r>
        <w:rPr>
          <w:rFonts w:ascii="Times New Roman" w:hAnsi="Times New Roman" w:eastAsia="Times New Roman" w:cs="Times New Roman"/>
          <w:spacing w:val="-23"/>
          <w:sz w:val="20"/>
          <w:szCs w:val="20"/>
        </w:rPr>
        <w:t xml:space="preserve"> </w:t>
      </w:r>
      <w:r>
        <w:rPr>
          <w:rFonts w:ascii="宋体" w:hAnsi="宋体" w:eastAsia="宋体" w:cs="宋体"/>
          <w:spacing w:val="7"/>
          <w:sz w:val="20"/>
          <w:szCs w:val="20"/>
        </w:rPr>
        <w:t>，相应冶炼电耗也降低或升高</w:t>
      </w:r>
      <w:r>
        <w:rPr>
          <w:rFonts w:ascii="Times New Roman" w:hAnsi="Times New Roman" w:eastAsia="Times New Roman" w:cs="Times New Roman"/>
          <w:spacing w:val="6"/>
          <w:sz w:val="20"/>
          <w:szCs w:val="20"/>
        </w:rPr>
        <w:t>≤100</w:t>
      </w:r>
      <w:r>
        <w:rPr>
          <w:rFonts w:ascii="Times New Roman" w:hAnsi="Times New Roman" w:eastAsia="Times New Roman" w:cs="Times New Roman"/>
          <w:sz w:val="20"/>
          <w:szCs w:val="20"/>
        </w:rPr>
        <w:t>kW</w:t>
      </w:r>
      <w:r>
        <w:rPr>
          <w:rFonts w:ascii="Times New Roman" w:hAnsi="Times New Roman" w:eastAsia="Times New Roman" w:cs="Times New Roman"/>
          <w:spacing w:val="6"/>
          <w:sz w:val="20"/>
          <w:szCs w:val="20"/>
        </w:rPr>
        <w:t>.h/t</w:t>
      </w:r>
      <w:r>
        <w:rPr>
          <w:rFonts w:ascii="Times New Roman" w:hAnsi="Times New Roman" w:eastAsia="Times New Roman" w:cs="Times New Roman"/>
          <w:spacing w:val="-23"/>
          <w:sz w:val="20"/>
          <w:szCs w:val="20"/>
        </w:rPr>
        <w:t xml:space="preserve"> </w:t>
      </w:r>
      <w:r>
        <w:rPr>
          <w:rFonts w:ascii="宋体" w:hAnsi="宋体" w:eastAsia="宋体" w:cs="宋体"/>
          <w:spacing w:val="6"/>
          <w:sz w:val="20"/>
          <w:szCs w:val="20"/>
        </w:rPr>
        <w:t xml:space="preserve">，详见铁合金单位产品能源消耗限额 </w:t>
      </w: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 xml:space="preserve"> 21341</w:t>
      </w:r>
      <w:r>
        <w:rPr>
          <w:rFonts w:ascii="宋体" w:hAnsi="宋体" w:eastAsia="宋体" w:cs="宋体"/>
          <w:spacing w:val="6"/>
          <w:sz w:val="20"/>
          <w:szCs w:val="20"/>
        </w:rPr>
        <w:t>；</w:t>
      </w:r>
      <w:r>
        <w:rPr>
          <w:rFonts w:ascii="宋体" w:hAnsi="宋体" w:eastAsia="宋体" w:cs="宋体"/>
          <w:sz w:val="20"/>
          <w:szCs w:val="20"/>
        </w:rPr>
        <w:t xml:space="preserve"> </w:t>
      </w:r>
      <w:r>
        <w:rPr>
          <w:rFonts w:ascii="Times New Roman" w:hAnsi="Times New Roman" w:eastAsia="Times New Roman" w:cs="Times New Roman"/>
          <w:spacing w:val="7"/>
          <w:sz w:val="20"/>
          <w:szCs w:val="20"/>
        </w:rPr>
        <w:t>5.</w:t>
      </w:r>
      <w:r>
        <w:rPr>
          <w:rFonts w:ascii="宋体" w:hAnsi="宋体" w:eastAsia="宋体" w:cs="宋体"/>
          <w:spacing w:val="7"/>
          <w:sz w:val="20"/>
          <w:szCs w:val="20"/>
        </w:rPr>
        <w:t>带</w:t>
      </w:r>
      <w:r>
        <w:rPr>
          <w:rFonts w:ascii="Times New Roman" w:hAnsi="Times New Roman" w:eastAsia="Times New Roman" w:cs="Times New Roman"/>
          <w:spacing w:val="7"/>
          <w:sz w:val="20"/>
          <w:szCs w:val="20"/>
        </w:rPr>
        <w:t>*</w:t>
      </w:r>
      <w:r>
        <w:rPr>
          <w:rFonts w:ascii="宋体" w:hAnsi="宋体" w:eastAsia="宋体" w:cs="宋体"/>
          <w:spacing w:val="7"/>
          <w:sz w:val="20"/>
          <w:szCs w:val="20"/>
        </w:rPr>
        <w:t>的指标为限定性指标；</w:t>
      </w:r>
    </w:p>
    <w:p w14:paraId="590DFDD4">
      <w:pPr>
        <w:spacing w:before="33" w:line="279" w:lineRule="auto"/>
        <w:ind w:left="846" w:right="6972" w:firstLine="1"/>
        <w:rPr>
          <w:rFonts w:ascii="宋体" w:hAnsi="宋体" w:eastAsia="宋体" w:cs="宋体"/>
          <w:sz w:val="20"/>
          <w:szCs w:val="20"/>
        </w:rPr>
      </w:pPr>
      <w:r>
        <w:rPr>
          <w:rFonts w:ascii="Times New Roman" w:hAnsi="Times New Roman" w:eastAsia="Times New Roman" w:cs="Times New Roman"/>
          <w:spacing w:val="7"/>
          <w:sz w:val="20"/>
          <w:szCs w:val="20"/>
        </w:rPr>
        <w:t>6.</w:t>
      </w:r>
      <w:r>
        <w:rPr>
          <w:rFonts w:ascii="宋体" w:hAnsi="宋体" w:eastAsia="宋体" w:cs="宋体"/>
          <w:spacing w:val="7"/>
          <w:sz w:val="20"/>
          <w:szCs w:val="20"/>
        </w:rPr>
        <w:t>表中冶炼电耗、综合能耗适用于本表中所规定不同额定容量电炉；</w:t>
      </w:r>
      <w:r>
        <w:rPr>
          <w:rFonts w:ascii="宋体" w:hAnsi="宋体" w:eastAsia="宋体" w:cs="宋体"/>
          <w:spacing w:val="16"/>
          <w:sz w:val="20"/>
          <w:szCs w:val="20"/>
        </w:rPr>
        <w:t xml:space="preserve"> </w:t>
      </w:r>
      <w:r>
        <w:rPr>
          <w:rFonts w:ascii="Times New Roman" w:hAnsi="Times New Roman" w:eastAsia="Times New Roman" w:cs="Times New Roman"/>
          <w:spacing w:val="9"/>
          <w:sz w:val="20"/>
          <w:szCs w:val="20"/>
        </w:rPr>
        <w:t>7.</w:t>
      </w:r>
      <w:r>
        <w:rPr>
          <w:rFonts w:ascii="宋体" w:hAnsi="宋体" w:eastAsia="宋体" w:cs="宋体"/>
          <w:spacing w:val="9"/>
          <w:sz w:val="20"/>
          <w:szCs w:val="20"/>
        </w:rPr>
        <w:t>表中①净环水是指不带软水处理装置的间接</w:t>
      </w:r>
      <w:r>
        <w:rPr>
          <w:rFonts w:ascii="宋体" w:hAnsi="宋体" w:eastAsia="宋体" w:cs="宋体"/>
          <w:spacing w:val="8"/>
          <w:sz w:val="20"/>
          <w:szCs w:val="20"/>
        </w:rPr>
        <w:t>冷却循环水。</w:t>
      </w:r>
    </w:p>
    <w:p w14:paraId="55601CBE">
      <w:pPr>
        <w:spacing w:line="279" w:lineRule="auto"/>
        <w:rPr>
          <w:rFonts w:ascii="宋体" w:hAnsi="宋体" w:eastAsia="宋体" w:cs="宋体"/>
          <w:sz w:val="20"/>
          <w:szCs w:val="20"/>
        </w:rPr>
        <w:sectPr>
          <w:pgSz w:w="16840" w:h="11907"/>
          <w:pgMar w:top="1190" w:right="1417" w:bottom="1002" w:left="1417" w:header="882" w:footer="837" w:gutter="0"/>
          <w:cols w:space="720" w:num="1"/>
        </w:sectPr>
      </w:pPr>
    </w:p>
    <w:p w14:paraId="7BFA87E4">
      <w:pPr>
        <w:spacing w:line="28" w:lineRule="exact"/>
        <w:ind w:firstLine="2"/>
      </w:pPr>
      <w:r>
        <w:pict>
          <v:shape id="_x0000_s1248" o:spid="_x0000_s1248" style="height:1.45pt;width:453.65pt;" fillcolor="#000000" filled="t" stroked="f" coordsize="9072,29" path="m0,0l9072,0,9072,28,0,28,0,0xe">
            <v:path/>
            <v:fill on="t" focussize="0,0"/>
            <v:stroke on="f"/>
            <v:imagedata o:title=""/>
            <o:lock v:ext="edit"/>
            <w10:wrap type="none"/>
            <w10:anchorlock/>
          </v:shape>
        </w:pict>
      </w:r>
    </w:p>
    <w:p w14:paraId="59721B09">
      <w:pPr>
        <w:pStyle w:val="2"/>
        <w:spacing w:line="367" w:lineRule="auto"/>
      </w:pPr>
    </w:p>
    <w:p w14:paraId="1D649023">
      <w:pPr>
        <w:spacing w:before="113" w:line="227" w:lineRule="auto"/>
        <w:ind w:left="2744"/>
        <w:outlineLvl w:val="0"/>
        <w:rPr>
          <w:rFonts w:ascii="黑体" w:hAnsi="黑体" w:eastAsia="黑体" w:cs="黑体"/>
          <w:sz w:val="35"/>
          <w:szCs w:val="35"/>
        </w:rPr>
      </w:pPr>
      <w:bookmarkStart w:id="334" w:name="bookmark136"/>
      <w:bookmarkEnd w:id="334"/>
      <w:bookmarkStart w:id="335" w:name="bookmark138"/>
      <w:bookmarkEnd w:id="335"/>
      <w:r>
        <w:rPr>
          <w:rFonts w:ascii="黑体" w:hAnsi="黑体" w:eastAsia="黑体" w:cs="黑体"/>
          <w:b/>
          <w:bCs/>
          <w:spacing w:val="1"/>
          <w:sz w:val="35"/>
          <w:szCs w:val="35"/>
        </w:rPr>
        <w:t>第三章</w:t>
      </w:r>
      <w:r>
        <w:rPr>
          <w:rFonts w:ascii="黑体" w:hAnsi="黑体" w:eastAsia="黑体" w:cs="黑体"/>
          <w:spacing w:val="27"/>
          <w:sz w:val="35"/>
          <w:szCs w:val="35"/>
        </w:rPr>
        <w:t xml:space="preserve">  </w:t>
      </w:r>
      <w:r>
        <w:rPr>
          <w:rFonts w:ascii="黑体" w:hAnsi="黑体" w:eastAsia="黑体" w:cs="黑体"/>
          <w:b/>
          <w:bCs/>
          <w:spacing w:val="1"/>
          <w:sz w:val="35"/>
          <w:szCs w:val="35"/>
        </w:rPr>
        <w:t>区域环境现状</w:t>
      </w:r>
    </w:p>
    <w:p w14:paraId="11BCC301">
      <w:pPr>
        <w:pStyle w:val="2"/>
        <w:spacing w:line="255" w:lineRule="auto"/>
      </w:pPr>
    </w:p>
    <w:p w14:paraId="0BACCD89">
      <w:pPr>
        <w:pStyle w:val="2"/>
        <w:spacing w:line="255" w:lineRule="auto"/>
      </w:pPr>
    </w:p>
    <w:p w14:paraId="2B55014D">
      <w:pPr>
        <w:pStyle w:val="2"/>
        <w:spacing w:line="256" w:lineRule="auto"/>
      </w:pPr>
    </w:p>
    <w:p w14:paraId="5681BFB1">
      <w:pPr>
        <w:spacing w:before="101" w:line="227" w:lineRule="auto"/>
        <w:ind w:left="7"/>
        <w:outlineLvl w:val="1"/>
        <w:rPr>
          <w:rFonts w:ascii="黑体" w:hAnsi="黑体" w:eastAsia="黑体" w:cs="黑体"/>
          <w:sz w:val="31"/>
          <w:szCs w:val="31"/>
        </w:rPr>
      </w:pPr>
      <w:bookmarkStart w:id="336" w:name="bookmark140"/>
      <w:bookmarkEnd w:id="336"/>
      <w:r>
        <w:rPr>
          <w:rFonts w:ascii="Times New Roman" w:hAnsi="Times New Roman" w:eastAsia="Times New Roman" w:cs="Times New Roman"/>
          <w:b/>
          <w:bCs/>
          <w:spacing w:val="-3"/>
          <w:sz w:val="31"/>
          <w:szCs w:val="31"/>
        </w:rPr>
        <w:t>3.1</w:t>
      </w:r>
      <w:r>
        <w:rPr>
          <w:rFonts w:ascii="Times New Roman" w:hAnsi="Times New Roman" w:eastAsia="Times New Roman" w:cs="Times New Roman"/>
          <w:b/>
          <w:bCs/>
          <w:spacing w:val="60"/>
          <w:sz w:val="31"/>
          <w:szCs w:val="31"/>
        </w:rPr>
        <w:t xml:space="preserve"> </w:t>
      </w:r>
      <w:r>
        <w:rPr>
          <w:rFonts w:ascii="黑体" w:hAnsi="黑体" w:eastAsia="黑体" w:cs="黑体"/>
          <w:b/>
          <w:bCs/>
          <w:spacing w:val="-3"/>
          <w:sz w:val="31"/>
          <w:szCs w:val="31"/>
        </w:rPr>
        <w:t>自然环境</w:t>
      </w:r>
    </w:p>
    <w:p w14:paraId="4767CDF8">
      <w:pPr>
        <w:spacing w:before="329" w:line="222" w:lineRule="auto"/>
        <w:ind w:left="14"/>
        <w:outlineLvl w:val="2"/>
        <w:rPr>
          <w:rFonts w:ascii="黑体" w:hAnsi="黑体" w:eastAsia="黑体" w:cs="黑体"/>
          <w:sz w:val="30"/>
          <w:szCs w:val="30"/>
        </w:rPr>
      </w:pPr>
      <w:r>
        <w:rPr>
          <w:rFonts w:ascii="Times New Roman" w:hAnsi="Times New Roman" w:eastAsia="Times New Roman" w:cs="Times New Roman"/>
          <w:spacing w:val="-2"/>
          <w:sz w:val="30"/>
          <w:szCs w:val="30"/>
        </w:rPr>
        <w:t xml:space="preserve">3.1.1 </w:t>
      </w:r>
      <w:r>
        <w:rPr>
          <w:rFonts w:ascii="黑体" w:hAnsi="黑体" w:eastAsia="黑体" w:cs="黑体"/>
          <w:spacing w:val="-2"/>
          <w:sz w:val="30"/>
          <w:szCs w:val="30"/>
        </w:rPr>
        <w:t>地理位置</w:t>
      </w:r>
    </w:p>
    <w:p w14:paraId="03FEA69D">
      <w:pPr>
        <w:spacing w:before="176" w:line="354" w:lineRule="auto"/>
        <w:ind w:right="80" w:firstLine="496"/>
        <w:rPr>
          <w:rFonts w:ascii="宋体" w:hAnsi="宋体" w:eastAsia="宋体" w:cs="宋体"/>
          <w:sz w:val="24"/>
          <w:szCs w:val="24"/>
        </w:rPr>
      </w:pPr>
      <w:r>
        <w:rPr>
          <w:rFonts w:ascii="宋体" w:hAnsi="宋体" w:eastAsia="宋体" w:cs="宋体"/>
          <w:spacing w:val="-2"/>
          <w:sz w:val="24"/>
          <w:szCs w:val="24"/>
        </w:rPr>
        <w:t>苏尼特右旗位于内蒙古自治区锡林郭勒盟西部，东北与苏尼特左旗为邻，东南与镶</w:t>
      </w:r>
      <w:r>
        <w:rPr>
          <w:rFonts w:ascii="宋体" w:hAnsi="宋体" w:eastAsia="宋体" w:cs="宋体"/>
          <w:spacing w:val="8"/>
          <w:sz w:val="24"/>
          <w:szCs w:val="24"/>
        </w:rPr>
        <w:t xml:space="preserve"> </w:t>
      </w:r>
      <w:r>
        <w:rPr>
          <w:rFonts w:ascii="宋体" w:hAnsi="宋体" w:eastAsia="宋体" w:cs="宋体"/>
          <w:spacing w:val="-1"/>
          <w:sz w:val="24"/>
          <w:szCs w:val="24"/>
        </w:rPr>
        <w:t>黄旗相连，南与乌兰察布市察哈尔右翼后旗、商都县相接，西接</w:t>
      </w:r>
      <w:r>
        <w:rPr>
          <w:rFonts w:ascii="宋体" w:hAnsi="宋体" w:eastAsia="宋体" w:cs="宋体"/>
          <w:spacing w:val="-2"/>
          <w:sz w:val="24"/>
          <w:szCs w:val="24"/>
        </w:rPr>
        <w:t>乌兰察布市四子王旗，</w:t>
      </w:r>
      <w:r>
        <w:rPr>
          <w:rFonts w:ascii="宋体" w:hAnsi="宋体" w:eastAsia="宋体" w:cs="宋体"/>
          <w:sz w:val="24"/>
          <w:szCs w:val="24"/>
        </w:rPr>
        <w:t xml:space="preserve"> </w:t>
      </w:r>
      <w:r>
        <w:rPr>
          <w:rFonts w:ascii="宋体" w:hAnsi="宋体" w:eastAsia="宋体" w:cs="宋体"/>
          <w:spacing w:val="-1"/>
          <w:sz w:val="24"/>
          <w:szCs w:val="24"/>
        </w:rPr>
        <w:t>西北与二连浩特市、蒙古国交界，国界线长</w:t>
      </w:r>
      <w:r>
        <w:rPr>
          <w:rFonts w:ascii="宋体" w:hAnsi="宋体" w:eastAsia="宋体" w:cs="宋体"/>
          <w:spacing w:val="-30"/>
          <w:sz w:val="24"/>
          <w:szCs w:val="24"/>
        </w:rPr>
        <w:t xml:space="preserve"> </w:t>
      </w:r>
      <w:r>
        <w:rPr>
          <w:rFonts w:ascii="Times New Roman" w:hAnsi="Times New Roman" w:eastAsia="Times New Roman" w:cs="Times New Roman"/>
          <w:spacing w:val="-1"/>
          <w:sz w:val="24"/>
          <w:szCs w:val="24"/>
        </w:rPr>
        <w:t>18.5km</w:t>
      </w:r>
      <w:r>
        <w:rPr>
          <w:rFonts w:ascii="Times New Roman" w:hAnsi="Times New Roman" w:eastAsia="Times New Roman" w:cs="Times New Roman"/>
          <w:spacing w:val="-30"/>
          <w:sz w:val="24"/>
          <w:szCs w:val="24"/>
        </w:rPr>
        <w:t xml:space="preserve"> </w:t>
      </w:r>
      <w:r>
        <w:rPr>
          <w:rFonts w:ascii="宋体" w:hAnsi="宋体" w:eastAsia="宋体" w:cs="宋体"/>
          <w:spacing w:val="-1"/>
          <w:sz w:val="24"/>
          <w:szCs w:val="24"/>
        </w:rPr>
        <w:t>，区域面</w:t>
      </w:r>
      <w:r>
        <w:rPr>
          <w:rFonts w:ascii="宋体" w:hAnsi="宋体" w:eastAsia="宋体" w:cs="宋体"/>
          <w:spacing w:val="-2"/>
          <w:sz w:val="24"/>
          <w:szCs w:val="24"/>
        </w:rPr>
        <w:t>积</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22461km</w:t>
      </w:r>
      <w:r>
        <w:rPr>
          <w:rFonts w:ascii="Times New Roman" w:hAnsi="Times New Roman" w:eastAsia="Times New Roman" w:cs="Times New Roman"/>
          <w:spacing w:val="-2"/>
          <w:position w:val="8"/>
          <w:sz w:val="15"/>
          <w:szCs w:val="15"/>
        </w:rPr>
        <w:t xml:space="preserve">2 </w:t>
      </w:r>
      <w:r>
        <w:rPr>
          <w:rFonts w:ascii="宋体" w:hAnsi="宋体" w:eastAsia="宋体" w:cs="宋体"/>
          <w:spacing w:val="-2"/>
          <w:sz w:val="24"/>
          <w:szCs w:val="24"/>
        </w:rPr>
        <w:t>。地理位置为</w:t>
      </w:r>
      <w:r>
        <w:rPr>
          <w:rFonts w:ascii="宋体" w:hAnsi="宋体" w:eastAsia="宋体" w:cs="宋体"/>
          <w:sz w:val="24"/>
          <w:szCs w:val="24"/>
        </w:rPr>
        <w:t xml:space="preserve"> </w:t>
      </w:r>
      <w:r>
        <w:rPr>
          <w:rFonts w:ascii="宋体" w:hAnsi="宋体" w:eastAsia="宋体" w:cs="宋体"/>
          <w:spacing w:val="-3"/>
          <w:sz w:val="24"/>
          <w:szCs w:val="24"/>
        </w:rPr>
        <w:t>东经</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111°08′</w:t>
      </w:r>
      <w:r>
        <w:rPr>
          <w:rFonts w:ascii="宋体" w:hAnsi="宋体" w:eastAsia="宋体" w:cs="宋体"/>
          <w:spacing w:val="-3"/>
          <w:sz w:val="24"/>
          <w:szCs w:val="24"/>
        </w:rPr>
        <w:t>～</w:t>
      </w:r>
      <w:r>
        <w:rPr>
          <w:rFonts w:ascii="Times New Roman" w:hAnsi="Times New Roman" w:eastAsia="Times New Roman" w:cs="Times New Roman"/>
          <w:spacing w:val="-3"/>
          <w:sz w:val="24"/>
          <w:szCs w:val="24"/>
        </w:rPr>
        <w:t>114°</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16′</w:t>
      </w:r>
      <w:r>
        <w:rPr>
          <w:rFonts w:ascii="Times New Roman" w:hAnsi="Times New Roman" w:eastAsia="Times New Roman" w:cs="Times New Roman"/>
          <w:spacing w:val="-30"/>
          <w:sz w:val="24"/>
          <w:szCs w:val="24"/>
        </w:rPr>
        <w:t xml:space="preserve"> </w:t>
      </w:r>
      <w:r>
        <w:rPr>
          <w:rFonts w:ascii="宋体" w:hAnsi="宋体" w:eastAsia="宋体" w:cs="宋体"/>
          <w:spacing w:val="-3"/>
          <w:sz w:val="24"/>
          <w:szCs w:val="24"/>
        </w:rPr>
        <w:t>，北纬</w:t>
      </w:r>
      <w:r>
        <w:rPr>
          <w:rFonts w:ascii="宋体" w:hAnsi="宋体" w:eastAsia="宋体" w:cs="宋体"/>
          <w:spacing w:val="-56"/>
          <w:sz w:val="24"/>
          <w:szCs w:val="24"/>
        </w:rPr>
        <w:t xml:space="preserve"> </w:t>
      </w:r>
      <w:r>
        <w:rPr>
          <w:rFonts w:ascii="Times New Roman" w:hAnsi="Times New Roman" w:eastAsia="Times New Roman" w:cs="Times New Roman"/>
          <w:spacing w:val="-3"/>
          <w:sz w:val="24"/>
          <w:szCs w:val="24"/>
        </w:rPr>
        <w:t>41°55′</w:t>
      </w:r>
      <w:r>
        <w:rPr>
          <w:rFonts w:ascii="宋体" w:hAnsi="宋体" w:eastAsia="宋体" w:cs="宋体"/>
          <w:spacing w:val="-3"/>
          <w:sz w:val="24"/>
          <w:szCs w:val="24"/>
        </w:rPr>
        <w:t>～</w:t>
      </w:r>
      <w:r>
        <w:rPr>
          <w:rFonts w:ascii="Times New Roman" w:hAnsi="Times New Roman" w:eastAsia="Times New Roman" w:cs="Times New Roman"/>
          <w:spacing w:val="-3"/>
          <w:sz w:val="24"/>
          <w:szCs w:val="24"/>
        </w:rPr>
        <w:t>43°39′</w:t>
      </w:r>
      <w:r>
        <w:rPr>
          <w:rFonts w:ascii="Times New Roman" w:hAnsi="Times New Roman" w:eastAsia="Times New Roman" w:cs="Times New Roman"/>
          <w:spacing w:val="-29"/>
          <w:sz w:val="24"/>
          <w:szCs w:val="24"/>
        </w:rPr>
        <w:t xml:space="preserve"> </w:t>
      </w:r>
      <w:r>
        <w:rPr>
          <w:rFonts w:ascii="宋体" w:hAnsi="宋体" w:eastAsia="宋体" w:cs="宋体"/>
          <w:spacing w:val="-3"/>
          <w:sz w:val="24"/>
          <w:szCs w:val="24"/>
        </w:rPr>
        <w:t>。连接欧亚大陆的交通枢纽北</w:t>
      </w:r>
      <w:r>
        <w:rPr>
          <w:rFonts w:ascii="宋体" w:hAnsi="宋体" w:eastAsia="宋体" w:cs="宋体"/>
          <w:spacing w:val="-4"/>
          <w:sz w:val="24"/>
          <w:szCs w:val="24"/>
        </w:rPr>
        <w:t>京</w:t>
      </w:r>
      <w:r>
        <w:rPr>
          <w:rFonts w:ascii="Times New Roman" w:hAnsi="Times New Roman" w:eastAsia="Times New Roman" w:cs="Times New Roman"/>
          <w:spacing w:val="-4"/>
          <w:sz w:val="24"/>
          <w:szCs w:val="24"/>
        </w:rPr>
        <w:t>—</w:t>
      </w:r>
      <w:r>
        <w:rPr>
          <w:rFonts w:ascii="宋体" w:hAnsi="宋体" w:eastAsia="宋体" w:cs="宋体"/>
          <w:spacing w:val="-4"/>
          <w:sz w:val="24"/>
          <w:szCs w:val="24"/>
        </w:rPr>
        <w:t>乌兰巴托</w:t>
      </w:r>
      <w:r>
        <w:rPr>
          <w:rFonts w:ascii="宋体" w:hAnsi="宋体" w:eastAsia="宋体" w:cs="宋体"/>
          <w:sz w:val="24"/>
          <w:szCs w:val="24"/>
        </w:rPr>
        <w:t xml:space="preserve"> </w:t>
      </w:r>
      <w:r>
        <w:rPr>
          <w:rFonts w:ascii="Times New Roman" w:hAnsi="Times New Roman" w:eastAsia="Times New Roman" w:cs="Times New Roman"/>
          <w:spacing w:val="4"/>
          <w:sz w:val="24"/>
          <w:szCs w:val="24"/>
        </w:rPr>
        <w:t>—</w:t>
      </w:r>
      <w:r>
        <w:rPr>
          <w:rFonts w:ascii="宋体" w:hAnsi="宋体" w:eastAsia="宋体" w:cs="宋体"/>
          <w:spacing w:val="4"/>
          <w:sz w:val="24"/>
          <w:szCs w:val="24"/>
        </w:rPr>
        <w:t>莫斯科国际铁路线贯穿全境。旗政府所在地赛汉塔拉</w:t>
      </w:r>
      <w:r>
        <w:rPr>
          <w:rFonts w:ascii="宋体" w:hAnsi="宋体" w:eastAsia="宋体" w:cs="宋体"/>
          <w:spacing w:val="3"/>
          <w:sz w:val="24"/>
          <w:szCs w:val="24"/>
        </w:rPr>
        <w:t>镇至北京</w:t>
      </w:r>
      <w:r>
        <w:rPr>
          <w:rFonts w:ascii="宋体" w:hAnsi="宋体" w:eastAsia="宋体" w:cs="宋体"/>
          <w:spacing w:val="-44"/>
          <w:sz w:val="24"/>
          <w:szCs w:val="24"/>
        </w:rPr>
        <w:t xml:space="preserve"> </w:t>
      </w:r>
      <w:r>
        <w:rPr>
          <w:rFonts w:ascii="Times New Roman" w:hAnsi="Times New Roman" w:eastAsia="Times New Roman" w:cs="Times New Roman"/>
          <w:spacing w:val="3"/>
          <w:sz w:val="24"/>
          <w:szCs w:val="24"/>
        </w:rPr>
        <w:t>727</w:t>
      </w:r>
      <w:r>
        <w:rPr>
          <w:rFonts w:ascii="Times New Roman" w:hAnsi="Times New Roman" w:eastAsia="Times New Roman" w:cs="Times New Roman"/>
          <w:sz w:val="24"/>
          <w:szCs w:val="24"/>
        </w:rPr>
        <w:t>km</w:t>
      </w:r>
      <w:r>
        <w:rPr>
          <w:rFonts w:ascii="Times New Roman" w:hAnsi="Times New Roman" w:eastAsia="Times New Roman" w:cs="Times New Roman"/>
          <w:spacing w:val="-25"/>
          <w:sz w:val="24"/>
          <w:szCs w:val="24"/>
        </w:rPr>
        <w:t xml:space="preserve"> </w:t>
      </w:r>
      <w:r>
        <w:rPr>
          <w:rFonts w:ascii="宋体" w:hAnsi="宋体" w:eastAsia="宋体" w:cs="宋体"/>
          <w:spacing w:val="3"/>
          <w:sz w:val="24"/>
          <w:szCs w:val="24"/>
        </w:rPr>
        <w:t>，呼和浩特市</w:t>
      </w:r>
      <w:r>
        <w:rPr>
          <w:rFonts w:ascii="宋体" w:hAnsi="宋体" w:eastAsia="宋体" w:cs="宋体"/>
          <w:sz w:val="24"/>
          <w:szCs w:val="24"/>
        </w:rPr>
        <w:t xml:space="preserve"> </w:t>
      </w:r>
      <w:r>
        <w:rPr>
          <w:rFonts w:ascii="Times New Roman" w:hAnsi="Times New Roman" w:eastAsia="Times New Roman" w:cs="Times New Roman"/>
          <w:spacing w:val="-2"/>
          <w:sz w:val="24"/>
          <w:szCs w:val="24"/>
        </w:rPr>
        <w:t>275km</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，东距锡林浩特市</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375km</w:t>
      </w:r>
      <w:r>
        <w:rPr>
          <w:rFonts w:ascii="宋体" w:hAnsi="宋体" w:eastAsia="宋体" w:cs="宋体"/>
          <w:spacing w:val="-2"/>
          <w:sz w:val="24"/>
          <w:szCs w:val="24"/>
        </w:rPr>
        <w:t>。</w:t>
      </w:r>
    </w:p>
    <w:p w14:paraId="643146D0">
      <w:pPr>
        <w:spacing w:before="36" w:line="219" w:lineRule="auto"/>
        <w:jc w:val="right"/>
        <w:rPr>
          <w:rFonts w:ascii="宋体" w:hAnsi="宋体" w:eastAsia="宋体" w:cs="宋体"/>
          <w:sz w:val="24"/>
          <w:szCs w:val="24"/>
        </w:rPr>
      </w:pPr>
      <w:r>
        <w:rPr>
          <w:rFonts w:ascii="宋体" w:hAnsi="宋体" w:eastAsia="宋体" w:cs="宋体"/>
          <w:spacing w:val="-2"/>
          <w:sz w:val="24"/>
          <w:szCs w:val="24"/>
        </w:rPr>
        <w:t>本项目位于内蒙古锡林郭勒苏尼特经济开发区朱日和产业园，地理位置见图</w:t>
      </w:r>
      <w:r>
        <w:rPr>
          <w:rFonts w:ascii="宋体" w:hAnsi="宋体" w:eastAsia="宋体" w:cs="宋体"/>
          <w:spacing w:val="-42"/>
          <w:sz w:val="24"/>
          <w:szCs w:val="24"/>
        </w:rPr>
        <w:t xml:space="preserve"> </w:t>
      </w:r>
      <w:r>
        <w:rPr>
          <w:rFonts w:ascii="Times New Roman" w:hAnsi="Times New Roman" w:eastAsia="Times New Roman" w:cs="Times New Roman"/>
          <w:spacing w:val="-2"/>
          <w:sz w:val="24"/>
          <w:szCs w:val="24"/>
        </w:rPr>
        <w:t>2.1-1</w:t>
      </w:r>
      <w:r>
        <w:rPr>
          <w:rFonts w:ascii="宋体" w:hAnsi="宋体" w:eastAsia="宋体" w:cs="宋体"/>
          <w:spacing w:val="-2"/>
          <w:sz w:val="24"/>
          <w:szCs w:val="24"/>
        </w:rPr>
        <w:t>。</w:t>
      </w:r>
    </w:p>
    <w:p w14:paraId="6C71AFEA">
      <w:pPr>
        <w:spacing w:before="192" w:line="222" w:lineRule="auto"/>
        <w:ind w:left="14"/>
        <w:outlineLvl w:val="2"/>
        <w:rPr>
          <w:rFonts w:ascii="黑体" w:hAnsi="黑体" w:eastAsia="黑体" w:cs="黑体"/>
          <w:sz w:val="30"/>
          <w:szCs w:val="30"/>
        </w:rPr>
      </w:pPr>
      <w:bookmarkStart w:id="337" w:name="bookmark142"/>
      <w:bookmarkEnd w:id="337"/>
      <w:r>
        <w:rPr>
          <w:rFonts w:ascii="Times New Roman" w:hAnsi="Times New Roman" w:eastAsia="Times New Roman" w:cs="Times New Roman"/>
          <w:spacing w:val="-2"/>
          <w:sz w:val="30"/>
          <w:szCs w:val="30"/>
        </w:rPr>
        <w:t xml:space="preserve">3.1.2 </w:t>
      </w:r>
      <w:r>
        <w:rPr>
          <w:rFonts w:ascii="黑体" w:hAnsi="黑体" w:eastAsia="黑体" w:cs="黑体"/>
          <w:spacing w:val="-2"/>
          <w:sz w:val="30"/>
          <w:szCs w:val="30"/>
        </w:rPr>
        <w:t>地形地貌</w:t>
      </w:r>
    </w:p>
    <w:p w14:paraId="07C96A17">
      <w:pPr>
        <w:spacing w:before="211" w:line="351" w:lineRule="auto"/>
        <w:ind w:left="17" w:right="18" w:firstLine="478"/>
        <w:jc w:val="both"/>
        <w:rPr>
          <w:rFonts w:ascii="宋体" w:hAnsi="宋体" w:eastAsia="宋体" w:cs="宋体"/>
          <w:sz w:val="24"/>
          <w:szCs w:val="24"/>
        </w:rPr>
      </w:pPr>
      <w:r>
        <w:rPr>
          <w:rFonts w:ascii="宋体" w:hAnsi="宋体" w:eastAsia="宋体" w:cs="宋体"/>
          <w:spacing w:val="-2"/>
          <w:sz w:val="24"/>
          <w:szCs w:val="24"/>
        </w:rPr>
        <w:t>苏尼特右旗位于乌兰察布高平原东侧，阴山山脉之北，属古湖盆地上升而形成剥蚀</w:t>
      </w:r>
      <w:r>
        <w:rPr>
          <w:rFonts w:ascii="宋体" w:hAnsi="宋体" w:eastAsia="宋体" w:cs="宋体"/>
          <w:spacing w:val="8"/>
          <w:sz w:val="24"/>
          <w:szCs w:val="24"/>
        </w:rPr>
        <w:t xml:space="preserve"> </w:t>
      </w:r>
      <w:r>
        <w:rPr>
          <w:rFonts w:ascii="宋体" w:hAnsi="宋体" w:eastAsia="宋体" w:cs="宋体"/>
          <w:spacing w:val="-7"/>
          <w:sz w:val="24"/>
          <w:szCs w:val="24"/>
        </w:rPr>
        <w:t>高原，平均海拔高度为</w:t>
      </w:r>
      <w:r>
        <w:rPr>
          <w:rFonts w:ascii="宋体" w:hAnsi="宋体" w:eastAsia="宋体" w:cs="宋体"/>
          <w:spacing w:val="-30"/>
          <w:sz w:val="24"/>
          <w:szCs w:val="24"/>
        </w:rPr>
        <w:t xml:space="preserve"> </w:t>
      </w:r>
      <w:r>
        <w:rPr>
          <w:rFonts w:ascii="Times New Roman" w:hAnsi="Times New Roman" w:eastAsia="Times New Roman" w:cs="Times New Roman"/>
          <w:spacing w:val="-7"/>
          <w:sz w:val="24"/>
          <w:szCs w:val="24"/>
        </w:rPr>
        <w:t>1000</w:t>
      </w:r>
      <w:r>
        <w:rPr>
          <w:rFonts w:ascii="宋体" w:hAnsi="宋体" w:eastAsia="宋体" w:cs="宋体"/>
          <w:spacing w:val="-7"/>
          <w:sz w:val="24"/>
          <w:szCs w:val="24"/>
        </w:rPr>
        <w:t>～</w:t>
      </w:r>
      <w:r>
        <w:rPr>
          <w:rFonts w:ascii="Times New Roman" w:hAnsi="Times New Roman" w:eastAsia="Times New Roman" w:cs="Times New Roman"/>
          <w:spacing w:val="-7"/>
          <w:sz w:val="24"/>
          <w:szCs w:val="24"/>
        </w:rPr>
        <w:t>1400m</w:t>
      </w:r>
      <w:r>
        <w:rPr>
          <w:rFonts w:ascii="宋体" w:hAnsi="宋体" w:eastAsia="宋体" w:cs="宋体"/>
          <w:spacing w:val="-7"/>
          <w:sz w:val="24"/>
          <w:szCs w:val="24"/>
        </w:rPr>
        <w:t>，最高</w:t>
      </w:r>
      <w:r>
        <w:rPr>
          <w:rFonts w:ascii="宋体" w:hAnsi="宋体" w:eastAsia="宋体" w:cs="宋体"/>
          <w:spacing w:val="-32"/>
          <w:sz w:val="24"/>
          <w:szCs w:val="24"/>
        </w:rPr>
        <w:t xml:space="preserve"> </w:t>
      </w:r>
      <w:r>
        <w:rPr>
          <w:rFonts w:ascii="Times New Roman" w:hAnsi="Times New Roman" w:eastAsia="Times New Roman" w:cs="Times New Roman"/>
          <w:spacing w:val="-7"/>
          <w:sz w:val="24"/>
          <w:szCs w:val="24"/>
        </w:rPr>
        <w:t>1670m</w:t>
      </w:r>
      <w:r>
        <w:rPr>
          <w:rFonts w:ascii="宋体" w:hAnsi="宋体" w:eastAsia="宋体" w:cs="宋体"/>
          <w:spacing w:val="-7"/>
          <w:sz w:val="24"/>
          <w:szCs w:val="24"/>
        </w:rPr>
        <w:t>。地势由南向北倾斜，地形南高北低，</w:t>
      </w:r>
      <w:r>
        <w:rPr>
          <w:rFonts w:ascii="宋体" w:hAnsi="宋体" w:eastAsia="宋体" w:cs="宋体"/>
          <w:sz w:val="24"/>
          <w:szCs w:val="24"/>
        </w:rPr>
        <w:t xml:space="preserve"> </w:t>
      </w:r>
      <w:r>
        <w:rPr>
          <w:rFonts w:ascii="宋体" w:hAnsi="宋体" w:eastAsia="宋体" w:cs="宋体"/>
          <w:spacing w:val="-1"/>
          <w:sz w:val="24"/>
          <w:szCs w:val="24"/>
        </w:rPr>
        <w:t>中北部为坦荡的高平原和丘陵，南部多山、东部为浑善达克沙地延伸部分。</w:t>
      </w:r>
    </w:p>
    <w:p w14:paraId="7A86BC3D">
      <w:pPr>
        <w:spacing w:before="32" w:line="356" w:lineRule="auto"/>
        <w:ind w:left="10" w:right="80" w:firstLine="483"/>
        <w:jc w:val="both"/>
        <w:rPr>
          <w:rFonts w:ascii="宋体" w:hAnsi="宋体" w:eastAsia="宋体" w:cs="宋体"/>
          <w:sz w:val="24"/>
          <w:szCs w:val="24"/>
        </w:rPr>
      </w:pPr>
      <w:r>
        <w:rPr>
          <w:rFonts w:ascii="宋体" w:hAnsi="宋体" w:eastAsia="宋体" w:cs="宋体"/>
          <w:spacing w:val="-5"/>
          <w:sz w:val="24"/>
          <w:szCs w:val="24"/>
        </w:rPr>
        <w:t>大致可分三个阶梯，第一阶梯南接阴山山脉北麓，地势最高，海拔</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1200m</w:t>
      </w:r>
      <w:r>
        <w:rPr>
          <w:rFonts w:ascii="Times New Roman" w:hAnsi="Times New Roman" w:eastAsia="Times New Roman" w:cs="Times New Roman"/>
          <w:spacing w:val="38"/>
          <w:sz w:val="24"/>
          <w:szCs w:val="24"/>
        </w:rPr>
        <w:t xml:space="preserve"> </w:t>
      </w:r>
      <w:r>
        <w:rPr>
          <w:rFonts w:ascii="宋体" w:hAnsi="宋体" w:eastAsia="宋体" w:cs="宋体"/>
          <w:spacing w:val="-6"/>
          <w:sz w:val="24"/>
          <w:szCs w:val="24"/>
        </w:rPr>
        <w:t>以上，山</w:t>
      </w:r>
      <w:r>
        <w:rPr>
          <w:rFonts w:ascii="宋体" w:hAnsi="宋体" w:eastAsia="宋体" w:cs="宋体"/>
          <w:sz w:val="24"/>
          <w:szCs w:val="24"/>
        </w:rPr>
        <w:t xml:space="preserve"> </w:t>
      </w:r>
      <w:r>
        <w:rPr>
          <w:rFonts w:ascii="宋体" w:hAnsi="宋体" w:eastAsia="宋体" w:cs="宋体"/>
          <w:spacing w:val="-2"/>
          <w:sz w:val="24"/>
          <w:szCs w:val="24"/>
        </w:rPr>
        <w:t>丘起伏较大，河谷侵蚀切割较明显，由变质岩和不同时期的花岗岩组成。第二阶段为朱</w:t>
      </w:r>
      <w:r>
        <w:rPr>
          <w:rFonts w:ascii="宋体" w:hAnsi="宋体" w:eastAsia="宋体" w:cs="宋体"/>
          <w:spacing w:val="18"/>
          <w:sz w:val="24"/>
          <w:szCs w:val="24"/>
        </w:rPr>
        <w:t xml:space="preserve"> </w:t>
      </w:r>
      <w:r>
        <w:rPr>
          <w:rFonts w:ascii="宋体" w:hAnsi="宋体" w:eastAsia="宋体" w:cs="宋体"/>
          <w:spacing w:val="-3"/>
          <w:sz w:val="24"/>
          <w:szCs w:val="24"/>
        </w:rPr>
        <w:t>日和镇以北至赛乌素，海拔</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1000</w:t>
      </w:r>
      <w:r>
        <w:rPr>
          <w:rFonts w:ascii="宋体" w:hAnsi="宋体" w:eastAsia="宋体" w:cs="宋体"/>
          <w:spacing w:val="-3"/>
          <w:sz w:val="24"/>
          <w:szCs w:val="24"/>
        </w:rPr>
        <w:t>～</w:t>
      </w:r>
      <w:r>
        <w:rPr>
          <w:rFonts w:ascii="Times New Roman" w:hAnsi="Times New Roman" w:eastAsia="Times New Roman" w:cs="Times New Roman"/>
          <w:spacing w:val="-3"/>
          <w:sz w:val="24"/>
          <w:szCs w:val="24"/>
        </w:rPr>
        <w:t>12</w:t>
      </w:r>
      <w:r>
        <w:rPr>
          <w:rFonts w:ascii="Times New Roman" w:hAnsi="Times New Roman" w:eastAsia="Times New Roman" w:cs="Times New Roman"/>
          <w:spacing w:val="-4"/>
          <w:sz w:val="24"/>
          <w:szCs w:val="24"/>
        </w:rPr>
        <w:t xml:space="preserve">00m </w:t>
      </w:r>
      <w:r>
        <w:rPr>
          <w:rFonts w:ascii="宋体" w:hAnsi="宋体" w:eastAsia="宋体" w:cs="宋体"/>
          <w:spacing w:val="-4"/>
          <w:sz w:val="24"/>
          <w:szCs w:val="24"/>
        </w:rPr>
        <w:t>之间，地势较平坦，其间有大小不等的古湖泊</w:t>
      </w:r>
      <w:r>
        <w:rPr>
          <w:rFonts w:ascii="宋体" w:hAnsi="宋体" w:eastAsia="宋体" w:cs="宋体"/>
          <w:sz w:val="24"/>
          <w:szCs w:val="24"/>
        </w:rPr>
        <w:t xml:space="preserve"> </w:t>
      </w:r>
      <w:r>
        <w:rPr>
          <w:rFonts w:ascii="宋体" w:hAnsi="宋体" w:eastAsia="宋体" w:cs="宋体"/>
          <w:spacing w:val="-2"/>
          <w:sz w:val="24"/>
          <w:szCs w:val="24"/>
        </w:rPr>
        <w:t>及古河道遗迹，表层大部分以第三组和中生代的红色砂岩、泥岩和砂砾岩为基底，上面</w:t>
      </w:r>
      <w:r>
        <w:rPr>
          <w:rFonts w:ascii="宋体" w:hAnsi="宋体" w:eastAsia="宋体" w:cs="宋体"/>
          <w:spacing w:val="18"/>
          <w:sz w:val="24"/>
          <w:szCs w:val="24"/>
        </w:rPr>
        <w:t xml:space="preserve"> </w:t>
      </w:r>
      <w:r>
        <w:rPr>
          <w:rFonts w:ascii="宋体" w:hAnsi="宋体" w:eastAsia="宋体" w:cs="宋体"/>
          <w:spacing w:val="-2"/>
          <w:sz w:val="24"/>
          <w:szCs w:val="24"/>
        </w:rPr>
        <w:t>覆有不厚的第四组残积物和风积物。第三阶梯海拔低于</w:t>
      </w:r>
      <w:r>
        <w:rPr>
          <w:rFonts w:ascii="宋体" w:hAnsi="宋体" w:eastAsia="宋体" w:cs="宋体"/>
          <w:spacing w:val="-27"/>
          <w:sz w:val="24"/>
          <w:szCs w:val="24"/>
        </w:rPr>
        <w:t xml:space="preserve"> </w:t>
      </w:r>
      <w:r>
        <w:rPr>
          <w:rFonts w:ascii="Times New Roman" w:hAnsi="Times New Roman" w:eastAsia="Times New Roman" w:cs="Times New Roman"/>
          <w:spacing w:val="-2"/>
          <w:sz w:val="24"/>
          <w:szCs w:val="24"/>
        </w:rPr>
        <w:t>1000m</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，多在</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 xml:space="preserve">900m </w:t>
      </w:r>
      <w:r>
        <w:rPr>
          <w:rFonts w:ascii="宋体" w:hAnsi="宋体" w:eastAsia="宋体" w:cs="宋体"/>
          <w:spacing w:val="-2"/>
          <w:sz w:val="24"/>
          <w:szCs w:val="24"/>
        </w:rPr>
        <w:t>左右，为全</w:t>
      </w:r>
      <w:r>
        <w:rPr>
          <w:rFonts w:ascii="宋体" w:hAnsi="宋体" w:eastAsia="宋体" w:cs="宋体"/>
          <w:sz w:val="24"/>
          <w:szCs w:val="24"/>
        </w:rPr>
        <w:t xml:space="preserve"> </w:t>
      </w:r>
      <w:r>
        <w:rPr>
          <w:rFonts w:ascii="宋体" w:hAnsi="宋体" w:eastAsia="宋体" w:cs="宋体"/>
          <w:spacing w:val="-2"/>
          <w:sz w:val="24"/>
          <w:szCs w:val="24"/>
        </w:rPr>
        <w:t>旗最低点，是著名的二连盆地。区内有面积不大的盐湖、碱湖低地。西北角有一片剥蚀</w:t>
      </w:r>
      <w:r>
        <w:rPr>
          <w:rFonts w:ascii="宋体" w:hAnsi="宋体" w:eastAsia="宋体" w:cs="宋体"/>
          <w:spacing w:val="18"/>
          <w:sz w:val="24"/>
          <w:szCs w:val="24"/>
        </w:rPr>
        <w:t xml:space="preserve"> </w:t>
      </w:r>
      <w:r>
        <w:rPr>
          <w:rFonts w:ascii="宋体" w:hAnsi="宋体" w:eastAsia="宋体" w:cs="宋体"/>
          <w:spacing w:val="-2"/>
          <w:sz w:val="24"/>
          <w:szCs w:val="24"/>
        </w:rPr>
        <w:t>丘陵，由古老的变质岩和火成岩组成，在强烈的剥蚀作用下，岩石裸露，同时由于西北</w:t>
      </w:r>
      <w:r>
        <w:rPr>
          <w:rFonts w:ascii="宋体" w:hAnsi="宋体" w:eastAsia="宋体" w:cs="宋体"/>
          <w:spacing w:val="18"/>
          <w:sz w:val="24"/>
          <w:szCs w:val="24"/>
        </w:rPr>
        <w:t xml:space="preserve"> </w:t>
      </w:r>
      <w:r>
        <w:rPr>
          <w:rFonts w:ascii="宋体" w:hAnsi="宋体" w:eastAsia="宋体" w:cs="宋体"/>
          <w:spacing w:val="-1"/>
          <w:sz w:val="24"/>
          <w:szCs w:val="24"/>
        </w:rPr>
        <w:t>风的搬运作用，沿其东南缘形成一条顺风而下的沙地。</w:t>
      </w:r>
    </w:p>
    <w:p w14:paraId="1B27FD61">
      <w:pPr>
        <w:spacing w:before="45" w:line="222" w:lineRule="auto"/>
        <w:ind w:left="14"/>
        <w:outlineLvl w:val="2"/>
        <w:rPr>
          <w:rFonts w:ascii="黑体" w:hAnsi="黑体" w:eastAsia="黑体" w:cs="黑体"/>
          <w:sz w:val="30"/>
          <w:szCs w:val="30"/>
        </w:rPr>
      </w:pPr>
      <w:bookmarkStart w:id="338" w:name="bookmark144"/>
      <w:bookmarkEnd w:id="338"/>
      <w:r>
        <w:rPr>
          <w:rFonts w:ascii="Times New Roman" w:hAnsi="Times New Roman" w:eastAsia="Times New Roman" w:cs="Times New Roman"/>
          <w:spacing w:val="-4"/>
          <w:sz w:val="30"/>
          <w:szCs w:val="30"/>
        </w:rPr>
        <w:t>3.1.3</w:t>
      </w:r>
      <w:r>
        <w:rPr>
          <w:rFonts w:ascii="Times New Roman" w:hAnsi="Times New Roman" w:eastAsia="Times New Roman" w:cs="Times New Roman"/>
          <w:spacing w:val="24"/>
          <w:sz w:val="30"/>
          <w:szCs w:val="30"/>
        </w:rPr>
        <w:t xml:space="preserve"> </w:t>
      </w:r>
      <w:r>
        <w:rPr>
          <w:rFonts w:ascii="黑体" w:hAnsi="黑体" w:eastAsia="黑体" w:cs="黑体"/>
          <w:spacing w:val="-4"/>
          <w:sz w:val="30"/>
          <w:szCs w:val="30"/>
        </w:rPr>
        <w:t>气象条件</w:t>
      </w:r>
    </w:p>
    <w:p w14:paraId="2B29B828">
      <w:pPr>
        <w:spacing w:before="212" w:line="350" w:lineRule="auto"/>
        <w:ind w:left="11" w:right="80" w:firstLine="484"/>
        <w:jc w:val="both"/>
        <w:rPr>
          <w:rFonts w:ascii="宋体" w:hAnsi="宋体" w:eastAsia="宋体" w:cs="宋体"/>
          <w:sz w:val="24"/>
          <w:szCs w:val="24"/>
        </w:rPr>
      </w:pPr>
      <w:r>
        <w:rPr>
          <w:rFonts w:ascii="宋体" w:hAnsi="宋体" w:eastAsia="宋体" w:cs="宋体"/>
          <w:spacing w:val="1"/>
          <w:sz w:val="24"/>
          <w:szCs w:val="24"/>
        </w:rPr>
        <w:t>苏尼特右旗地区年平均气温为</w:t>
      </w:r>
      <w:r>
        <w:rPr>
          <w:rFonts w:ascii="宋体" w:hAnsi="宋体" w:eastAsia="宋体" w:cs="宋体"/>
          <w:spacing w:val="-39"/>
          <w:sz w:val="24"/>
          <w:szCs w:val="24"/>
        </w:rPr>
        <w:t xml:space="preserve"> </w:t>
      </w:r>
      <w:r>
        <w:rPr>
          <w:rFonts w:ascii="Times New Roman" w:hAnsi="Times New Roman" w:eastAsia="Times New Roman" w:cs="Times New Roman"/>
          <w:spacing w:val="1"/>
          <w:sz w:val="24"/>
          <w:szCs w:val="24"/>
        </w:rPr>
        <w:t>5.5</w:t>
      </w:r>
      <w:r>
        <w:rPr>
          <w:rFonts w:ascii="宋体" w:hAnsi="宋体" w:eastAsia="宋体" w:cs="宋体"/>
          <w:spacing w:val="1"/>
          <w:sz w:val="24"/>
          <w:szCs w:val="24"/>
        </w:rPr>
        <w:t>℃</w:t>
      </w:r>
      <w:r>
        <w:rPr>
          <w:rFonts w:ascii="宋体" w:hAnsi="宋体" w:eastAsia="宋体" w:cs="宋体"/>
          <w:spacing w:val="-81"/>
          <w:sz w:val="24"/>
          <w:szCs w:val="24"/>
        </w:rPr>
        <w:t xml:space="preserve"> </w:t>
      </w:r>
      <w:r>
        <w:rPr>
          <w:rFonts w:ascii="宋体" w:hAnsi="宋体" w:eastAsia="宋体" w:cs="宋体"/>
          <w:spacing w:val="1"/>
          <w:sz w:val="24"/>
          <w:szCs w:val="24"/>
        </w:rPr>
        <w:t>,</w:t>
      </w:r>
      <w:r>
        <w:rPr>
          <w:rFonts w:ascii="宋体" w:hAnsi="宋体" w:eastAsia="宋体" w:cs="宋体"/>
          <w:spacing w:val="75"/>
          <w:sz w:val="24"/>
          <w:szCs w:val="24"/>
        </w:rPr>
        <w:t xml:space="preserve"> </w:t>
      </w:r>
      <w:r>
        <w:rPr>
          <w:rFonts w:ascii="宋体" w:hAnsi="宋体" w:eastAsia="宋体" w:cs="宋体"/>
          <w:spacing w:val="1"/>
          <w:sz w:val="24"/>
          <w:szCs w:val="24"/>
        </w:rPr>
        <w:t>极端最高气温为</w:t>
      </w:r>
      <w:r>
        <w:rPr>
          <w:rFonts w:ascii="宋体" w:hAnsi="宋体" w:eastAsia="宋体" w:cs="宋体"/>
          <w:spacing w:val="-44"/>
          <w:sz w:val="24"/>
          <w:szCs w:val="24"/>
        </w:rPr>
        <w:t xml:space="preserve"> </w:t>
      </w:r>
      <w:r>
        <w:rPr>
          <w:rFonts w:ascii="Times New Roman" w:hAnsi="Times New Roman" w:eastAsia="Times New Roman" w:cs="Times New Roman"/>
          <w:spacing w:val="1"/>
          <w:sz w:val="24"/>
          <w:szCs w:val="24"/>
        </w:rPr>
        <w:t>40.5</w:t>
      </w:r>
      <w:r>
        <w:rPr>
          <w:rFonts w:ascii="宋体" w:hAnsi="宋体" w:eastAsia="宋体" w:cs="宋体"/>
          <w:spacing w:val="1"/>
          <w:sz w:val="24"/>
          <w:szCs w:val="24"/>
        </w:rPr>
        <w:t>℃</w:t>
      </w:r>
      <w:r>
        <w:rPr>
          <w:rFonts w:ascii="宋体" w:hAnsi="宋体" w:eastAsia="宋体" w:cs="宋体"/>
          <w:spacing w:val="-81"/>
          <w:sz w:val="24"/>
          <w:szCs w:val="24"/>
        </w:rPr>
        <w:t xml:space="preserve"> </w:t>
      </w:r>
      <w:r>
        <w:rPr>
          <w:rFonts w:ascii="宋体" w:hAnsi="宋体" w:eastAsia="宋体" w:cs="宋体"/>
          <w:spacing w:val="1"/>
          <w:sz w:val="24"/>
          <w:szCs w:val="24"/>
        </w:rPr>
        <w:t>,</w:t>
      </w:r>
      <w:r>
        <w:rPr>
          <w:rFonts w:ascii="宋体" w:hAnsi="宋体" w:eastAsia="宋体" w:cs="宋体"/>
          <w:spacing w:val="75"/>
          <w:sz w:val="24"/>
          <w:szCs w:val="24"/>
        </w:rPr>
        <w:t xml:space="preserve"> </w:t>
      </w:r>
      <w:r>
        <w:rPr>
          <w:rFonts w:ascii="宋体" w:hAnsi="宋体" w:eastAsia="宋体" w:cs="宋体"/>
          <w:sz w:val="24"/>
          <w:szCs w:val="24"/>
        </w:rPr>
        <w:t xml:space="preserve">极端最低气温为 </w:t>
      </w:r>
      <w:r>
        <w:rPr>
          <w:rFonts w:ascii="Times New Roman" w:hAnsi="Times New Roman" w:eastAsia="Times New Roman" w:cs="Times New Roman"/>
          <w:spacing w:val="-4"/>
          <w:sz w:val="24"/>
          <w:szCs w:val="24"/>
        </w:rPr>
        <w:t>-35.4</w:t>
      </w:r>
      <w:r>
        <w:rPr>
          <w:rFonts w:ascii="宋体" w:hAnsi="宋体" w:eastAsia="宋体" w:cs="宋体"/>
          <w:spacing w:val="-4"/>
          <w:sz w:val="24"/>
          <w:szCs w:val="24"/>
        </w:rPr>
        <w:t>℃;</w:t>
      </w:r>
      <w:r>
        <w:rPr>
          <w:rFonts w:ascii="宋体" w:hAnsi="宋体" w:eastAsia="宋体" w:cs="宋体"/>
          <w:spacing w:val="45"/>
          <w:sz w:val="24"/>
          <w:szCs w:val="24"/>
        </w:rPr>
        <w:t xml:space="preserve"> </w:t>
      </w:r>
      <w:r>
        <w:rPr>
          <w:rFonts w:ascii="宋体" w:hAnsi="宋体" w:eastAsia="宋体" w:cs="宋体"/>
          <w:spacing w:val="-4"/>
          <w:sz w:val="24"/>
          <w:szCs w:val="24"/>
        </w:rPr>
        <w:t>年平均气压为</w:t>
      </w:r>
      <w:r>
        <w:rPr>
          <w:rFonts w:ascii="宋体" w:hAnsi="宋体" w:eastAsia="宋体" w:cs="宋体"/>
          <w:spacing w:val="-46"/>
          <w:sz w:val="24"/>
          <w:szCs w:val="24"/>
        </w:rPr>
        <w:t xml:space="preserve"> </w:t>
      </w:r>
      <w:r>
        <w:rPr>
          <w:rFonts w:ascii="Times New Roman" w:hAnsi="Times New Roman" w:eastAsia="Times New Roman" w:cs="Times New Roman"/>
          <w:spacing w:val="-4"/>
          <w:sz w:val="24"/>
          <w:szCs w:val="24"/>
        </w:rPr>
        <w:t>890.4hPa</w:t>
      </w:r>
      <w:r>
        <w:rPr>
          <w:rFonts w:ascii="宋体" w:hAnsi="宋体" w:eastAsia="宋体" w:cs="宋体"/>
          <w:spacing w:val="-4"/>
          <w:sz w:val="24"/>
          <w:szCs w:val="24"/>
        </w:rPr>
        <w:t>；年平均相对湿度为</w:t>
      </w:r>
      <w:r>
        <w:rPr>
          <w:rFonts w:ascii="宋体" w:hAnsi="宋体" w:eastAsia="宋体" w:cs="宋体"/>
          <w:spacing w:val="-56"/>
          <w:sz w:val="24"/>
          <w:szCs w:val="24"/>
        </w:rPr>
        <w:t xml:space="preserve"> </w:t>
      </w:r>
      <w:r>
        <w:rPr>
          <w:rFonts w:ascii="Times New Roman" w:hAnsi="Times New Roman" w:eastAsia="Times New Roman" w:cs="Times New Roman"/>
          <w:spacing w:val="-4"/>
          <w:sz w:val="24"/>
          <w:szCs w:val="24"/>
        </w:rPr>
        <w:t>46%</w:t>
      </w:r>
      <w:r>
        <w:rPr>
          <w:rFonts w:ascii="宋体" w:hAnsi="宋体" w:eastAsia="宋体" w:cs="宋体"/>
          <w:spacing w:val="-4"/>
          <w:sz w:val="24"/>
          <w:szCs w:val="24"/>
        </w:rPr>
        <w:t>；年平均水汽压</w:t>
      </w:r>
      <w:r>
        <w:rPr>
          <w:rFonts w:ascii="宋体" w:hAnsi="宋体" w:eastAsia="宋体" w:cs="宋体"/>
          <w:spacing w:val="-48"/>
          <w:sz w:val="24"/>
          <w:szCs w:val="24"/>
        </w:rPr>
        <w:t xml:space="preserve"> </w:t>
      </w:r>
      <w:r>
        <w:rPr>
          <w:rFonts w:ascii="Times New Roman" w:hAnsi="Times New Roman" w:eastAsia="Times New Roman" w:cs="Times New Roman"/>
          <w:spacing w:val="-4"/>
          <w:sz w:val="24"/>
          <w:szCs w:val="24"/>
        </w:rPr>
        <w:t>5.</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4"/>
          <w:sz w:val="24"/>
          <w:szCs w:val="24"/>
        </w:rPr>
        <w:t>1</w:t>
      </w:r>
      <w:r>
        <w:rPr>
          <w:rFonts w:ascii="Times New Roman" w:hAnsi="Times New Roman" w:eastAsia="Times New Roman" w:cs="Times New Roman"/>
          <w:spacing w:val="-5"/>
          <w:sz w:val="24"/>
          <w:szCs w:val="24"/>
        </w:rPr>
        <w:t>hPa</w:t>
      </w:r>
      <w:r>
        <w:rPr>
          <w:rFonts w:ascii="宋体" w:hAnsi="宋体" w:eastAsia="宋体" w:cs="宋体"/>
          <w:spacing w:val="-5"/>
          <w:sz w:val="24"/>
          <w:szCs w:val="24"/>
        </w:rPr>
        <w:t>；年降</w:t>
      </w:r>
      <w:r>
        <w:rPr>
          <w:rFonts w:ascii="宋体" w:hAnsi="宋体" w:eastAsia="宋体" w:cs="宋体"/>
          <w:sz w:val="24"/>
          <w:szCs w:val="24"/>
        </w:rPr>
        <w:t xml:space="preserve"> </w:t>
      </w:r>
      <w:r>
        <w:rPr>
          <w:rFonts w:ascii="宋体" w:hAnsi="宋体" w:eastAsia="宋体" w:cs="宋体"/>
          <w:spacing w:val="-2"/>
          <w:sz w:val="24"/>
          <w:szCs w:val="24"/>
        </w:rPr>
        <w:t>水量为</w:t>
      </w:r>
      <w:r>
        <w:rPr>
          <w:rFonts w:ascii="宋体" w:hAnsi="宋体" w:eastAsia="宋体" w:cs="宋体"/>
          <w:spacing w:val="-21"/>
          <w:sz w:val="24"/>
          <w:szCs w:val="24"/>
        </w:rPr>
        <w:t xml:space="preserve"> </w:t>
      </w:r>
      <w:r>
        <w:rPr>
          <w:rFonts w:ascii="Times New Roman" w:hAnsi="Times New Roman" w:eastAsia="Times New Roman" w:cs="Times New Roman"/>
          <w:spacing w:val="-2"/>
          <w:sz w:val="24"/>
          <w:szCs w:val="24"/>
        </w:rPr>
        <w:t>184.0mm</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，年极端最高降水量为</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342.0mm</w:t>
      </w:r>
      <w:r>
        <w:rPr>
          <w:rFonts w:ascii="宋体" w:hAnsi="宋体" w:eastAsia="宋体" w:cs="宋体"/>
          <w:spacing w:val="-2"/>
          <w:sz w:val="24"/>
          <w:szCs w:val="24"/>
        </w:rPr>
        <w:t>；年蒸发量为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2494.4mm</w:t>
      </w:r>
      <w:r>
        <w:rPr>
          <w:rFonts w:ascii="宋体" w:hAnsi="宋体" w:eastAsia="宋体" w:cs="宋体"/>
          <w:spacing w:val="-2"/>
          <w:sz w:val="24"/>
          <w:szCs w:val="24"/>
        </w:rPr>
        <w:t>；年日照时数</w:t>
      </w:r>
    </w:p>
    <w:p w14:paraId="0925FC7E">
      <w:pPr>
        <w:spacing w:line="350" w:lineRule="auto"/>
        <w:rPr>
          <w:rFonts w:ascii="宋体" w:hAnsi="宋体" w:eastAsia="宋体" w:cs="宋体"/>
          <w:sz w:val="24"/>
          <w:szCs w:val="24"/>
        </w:rPr>
        <w:sectPr>
          <w:headerReference r:id="rId202" w:type="default"/>
          <w:footerReference r:id="rId203" w:type="default"/>
          <w:pgSz w:w="11906" w:h="16839"/>
          <w:pgMar w:top="1190" w:right="1337" w:bottom="993" w:left="1414" w:header="882" w:footer="831" w:gutter="0"/>
          <w:cols w:space="720" w:num="1"/>
        </w:sectPr>
      </w:pPr>
    </w:p>
    <w:p w14:paraId="3B64412D">
      <w:pPr>
        <w:spacing w:line="28" w:lineRule="exact"/>
      </w:pPr>
      <w:r>
        <w:pict>
          <v:shape id="_x0000_s1249" o:spid="_x0000_s1249" style="height:1.45pt;width:453.65pt;" fillcolor="#000000" filled="t" stroked="f" coordsize="9072,29" path="m0,0l9072,0,9072,28,0,28,0,0xe">
            <v:path/>
            <v:fill on="t" focussize="0,0"/>
            <v:stroke on="f"/>
            <v:imagedata o:title=""/>
            <o:lock v:ext="edit"/>
            <w10:wrap type="none"/>
            <w10:anchorlock/>
          </v:shape>
        </w:pict>
      </w:r>
    </w:p>
    <w:p w14:paraId="1692CF56">
      <w:pPr>
        <w:spacing w:before="235" w:line="350" w:lineRule="auto"/>
        <w:ind w:left="10" w:right="61" w:hanging="2"/>
        <w:jc w:val="both"/>
        <w:rPr>
          <w:rFonts w:ascii="宋体" w:hAnsi="宋体" w:eastAsia="宋体" w:cs="宋体"/>
          <w:sz w:val="24"/>
          <w:szCs w:val="24"/>
        </w:rPr>
      </w:pPr>
      <w:r>
        <w:rPr>
          <w:rFonts w:ascii="Times New Roman" w:hAnsi="Times New Roman" w:eastAsia="Times New Roman" w:cs="Times New Roman"/>
          <w:spacing w:val="-2"/>
          <w:sz w:val="24"/>
          <w:szCs w:val="24"/>
        </w:rPr>
        <w:t>3153.4h</w:t>
      </w:r>
      <w:r>
        <w:rPr>
          <w:rFonts w:ascii="宋体" w:hAnsi="宋体" w:eastAsia="宋体" w:cs="宋体"/>
          <w:spacing w:val="-2"/>
          <w:sz w:val="24"/>
          <w:szCs w:val="24"/>
        </w:rPr>
        <w:t>；年平均风速为</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3.9m/s</w:t>
      </w:r>
      <w:r>
        <w:rPr>
          <w:rFonts w:ascii="宋体" w:hAnsi="宋体" w:eastAsia="宋体" w:cs="宋体"/>
          <w:spacing w:val="-2"/>
          <w:sz w:val="24"/>
          <w:szCs w:val="24"/>
        </w:rPr>
        <w:t>，年最大风速为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27m/s</w:t>
      </w:r>
      <w:r>
        <w:rPr>
          <w:rFonts w:ascii="宋体" w:hAnsi="宋体" w:eastAsia="宋体" w:cs="宋体"/>
          <w:spacing w:val="-2"/>
          <w:sz w:val="24"/>
          <w:szCs w:val="24"/>
        </w:rPr>
        <w:t xml:space="preserve">；年最大冻土深度为 </w:t>
      </w:r>
      <w:r>
        <w:rPr>
          <w:rFonts w:ascii="Times New Roman" w:hAnsi="Times New Roman" w:eastAsia="Times New Roman" w:cs="Times New Roman"/>
          <w:spacing w:val="-2"/>
          <w:sz w:val="24"/>
          <w:szCs w:val="24"/>
        </w:rPr>
        <w:t>231cm</w:t>
      </w:r>
      <w:r>
        <w:rPr>
          <w:rFonts w:ascii="宋体" w:hAnsi="宋体" w:eastAsia="宋体" w:cs="宋体"/>
          <w:spacing w:val="-2"/>
          <w:sz w:val="24"/>
          <w:szCs w:val="24"/>
        </w:rPr>
        <w:t>，年最</w:t>
      </w:r>
      <w:r>
        <w:rPr>
          <w:rFonts w:ascii="宋体" w:hAnsi="宋体" w:eastAsia="宋体" w:cs="宋体"/>
          <w:sz w:val="24"/>
          <w:szCs w:val="24"/>
        </w:rPr>
        <w:t xml:space="preserve"> </w:t>
      </w:r>
      <w:r>
        <w:rPr>
          <w:rFonts w:ascii="宋体" w:hAnsi="宋体" w:eastAsia="宋体" w:cs="宋体"/>
          <w:spacing w:val="-1"/>
          <w:sz w:val="24"/>
          <w:szCs w:val="24"/>
        </w:rPr>
        <w:t>大积雪深度为</w:t>
      </w:r>
      <w:r>
        <w:rPr>
          <w:rFonts w:ascii="宋体" w:hAnsi="宋体" w:eastAsia="宋体" w:cs="宋体"/>
          <w:spacing w:val="-20"/>
          <w:sz w:val="24"/>
          <w:szCs w:val="24"/>
        </w:rPr>
        <w:t xml:space="preserve"> </w:t>
      </w:r>
      <w:r>
        <w:rPr>
          <w:rFonts w:ascii="Times New Roman" w:hAnsi="Times New Roman" w:eastAsia="Times New Roman" w:cs="Times New Roman"/>
          <w:spacing w:val="-1"/>
          <w:sz w:val="24"/>
          <w:szCs w:val="24"/>
        </w:rPr>
        <w:t>11cm</w:t>
      </w:r>
      <w:r>
        <w:rPr>
          <w:rFonts w:ascii="Times New Roman" w:hAnsi="Times New Roman" w:eastAsia="Times New Roman" w:cs="Times New Roman"/>
          <w:spacing w:val="-25"/>
          <w:sz w:val="24"/>
          <w:szCs w:val="24"/>
        </w:rPr>
        <w:t xml:space="preserve"> </w:t>
      </w:r>
      <w:r>
        <w:rPr>
          <w:rFonts w:ascii="宋体" w:hAnsi="宋体" w:eastAsia="宋体" w:cs="宋体"/>
          <w:spacing w:val="-1"/>
          <w:sz w:val="24"/>
          <w:szCs w:val="24"/>
        </w:rPr>
        <w:t>，全年沙暴日数为</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7</w:t>
      </w:r>
      <w:r>
        <w:rPr>
          <w:rFonts w:ascii="Times New Roman" w:hAnsi="Times New Roman" w:eastAsia="Times New Roman" w:cs="Times New Roman"/>
          <w:spacing w:val="16"/>
          <w:w w:val="101"/>
          <w:sz w:val="24"/>
          <w:szCs w:val="24"/>
        </w:rPr>
        <w:t xml:space="preserve"> </w:t>
      </w:r>
      <w:r>
        <w:rPr>
          <w:rFonts w:ascii="宋体" w:hAnsi="宋体" w:eastAsia="宋体" w:cs="宋体"/>
          <w:spacing w:val="-1"/>
          <w:sz w:val="24"/>
          <w:szCs w:val="24"/>
        </w:rPr>
        <w:t>天，全年雷暴日数</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20.6</w:t>
      </w:r>
      <w:r>
        <w:rPr>
          <w:rFonts w:ascii="Times New Roman" w:hAnsi="Times New Roman" w:eastAsia="Times New Roman" w:cs="Times New Roman"/>
          <w:spacing w:val="17"/>
          <w:sz w:val="24"/>
          <w:szCs w:val="24"/>
        </w:rPr>
        <w:t xml:space="preserve"> </w:t>
      </w:r>
      <w:r>
        <w:rPr>
          <w:rFonts w:ascii="宋体" w:hAnsi="宋体" w:eastAsia="宋体" w:cs="宋体"/>
          <w:spacing w:val="-1"/>
          <w:sz w:val="24"/>
          <w:szCs w:val="24"/>
        </w:rPr>
        <w:t>天，全年冰雹日数</w:t>
      </w:r>
      <w:r>
        <w:rPr>
          <w:rFonts w:ascii="宋体" w:hAnsi="宋体" w:eastAsia="宋体" w:cs="宋体"/>
          <w:spacing w:val="-28"/>
          <w:sz w:val="24"/>
          <w:szCs w:val="24"/>
        </w:rPr>
        <w:t xml:space="preserve"> </w:t>
      </w:r>
      <w:r>
        <w:rPr>
          <w:rFonts w:ascii="Times New Roman" w:hAnsi="Times New Roman" w:eastAsia="Times New Roman" w:cs="Times New Roman"/>
          <w:spacing w:val="-1"/>
          <w:sz w:val="24"/>
          <w:szCs w:val="24"/>
        </w:rPr>
        <w:t>1.1</w:t>
      </w:r>
      <w:r>
        <w:rPr>
          <w:rFonts w:ascii="Times New Roman" w:hAnsi="Times New Roman" w:eastAsia="Times New Roman" w:cs="Times New Roman"/>
          <w:sz w:val="24"/>
          <w:szCs w:val="24"/>
        </w:rPr>
        <w:t xml:space="preserve"> </w:t>
      </w:r>
      <w:r>
        <w:rPr>
          <w:rFonts w:ascii="宋体" w:hAnsi="宋体" w:eastAsia="宋体" w:cs="宋体"/>
          <w:spacing w:val="-7"/>
          <w:sz w:val="24"/>
          <w:szCs w:val="24"/>
        </w:rPr>
        <w:t>天。</w:t>
      </w:r>
    </w:p>
    <w:p w14:paraId="405CB8B1">
      <w:pPr>
        <w:spacing w:before="33" w:line="350" w:lineRule="auto"/>
        <w:ind w:left="6" w:right="61" w:firstLine="483"/>
        <w:jc w:val="both"/>
        <w:rPr>
          <w:rFonts w:ascii="宋体" w:hAnsi="宋体" w:eastAsia="宋体" w:cs="宋体"/>
          <w:sz w:val="24"/>
          <w:szCs w:val="24"/>
        </w:rPr>
      </w:pPr>
      <w:r>
        <w:rPr>
          <w:rFonts w:ascii="宋体" w:hAnsi="宋体" w:eastAsia="宋体" w:cs="宋体"/>
          <w:spacing w:val="1"/>
          <w:sz w:val="24"/>
          <w:szCs w:val="24"/>
        </w:rPr>
        <w:t>光能资源较为丰富。太阳辐射年总量为</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 xml:space="preserve">6204.8 </w:t>
      </w:r>
      <w:r>
        <w:rPr>
          <w:rFonts w:ascii="宋体" w:hAnsi="宋体" w:eastAsia="宋体" w:cs="宋体"/>
          <w:spacing w:val="1"/>
          <w:sz w:val="24"/>
          <w:szCs w:val="24"/>
        </w:rPr>
        <w:t>兆焦耳</w:t>
      </w:r>
      <w:r>
        <w:rPr>
          <w:rFonts w:ascii="Times New Roman" w:hAnsi="Times New Roman" w:eastAsia="Times New Roman" w:cs="Times New Roman"/>
          <w:spacing w:val="1"/>
          <w:sz w:val="24"/>
          <w:szCs w:val="24"/>
        </w:rPr>
        <w:t>/</w:t>
      </w:r>
      <w:r>
        <w:rPr>
          <w:rFonts w:ascii="宋体" w:hAnsi="宋体" w:eastAsia="宋体" w:cs="宋体"/>
          <w:spacing w:val="1"/>
          <w:sz w:val="24"/>
          <w:szCs w:val="24"/>
        </w:rPr>
        <w:t>平方米，空间分布特征是北</w:t>
      </w:r>
      <w:r>
        <w:rPr>
          <w:rFonts w:ascii="宋体" w:hAnsi="宋体" w:eastAsia="宋体" w:cs="宋体"/>
          <w:sz w:val="24"/>
          <w:szCs w:val="24"/>
        </w:rPr>
        <w:t xml:space="preserve"> </w:t>
      </w:r>
      <w:r>
        <w:rPr>
          <w:rFonts w:ascii="宋体" w:hAnsi="宋体" w:eastAsia="宋体" w:cs="宋体"/>
          <w:spacing w:val="-1"/>
          <w:sz w:val="24"/>
          <w:szCs w:val="24"/>
        </w:rPr>
        <w:t>部大于南部。牧草生长期（</w:t>
      </w:r>
      <w:r>
        <w:rPr>
          <w:rFonts w:ascii="Times New Roman" w:hAnsi="Times New Roman" w:eastAsia="Times New Roman" w:cs="Times New Roman"/>
          <w:spacing w:val="-1"/>
          <w:sz w:val="24"/>
          <w:szCs w:val="24"/>
        </w:rPr>
        <w:t>4~9</w:t>
      </w:r>
      <w:r>
        <w:rPr>
          <w:rFonts w:ascii="Times New Roman" w:hAnsi="Times New Roman" w:eastAsia="Times New Roman" w:cs="Times New Roman"/>
          <w:spacing w:val="15"/>
          <w:sz w:val="24"/>
          <w:szCs w:val="24"/>
        </w:rPr>
        <w:t xml:space="preserve"> </w:t>
      </w:r>
      <w:r>
        <w:rPr>
          <w:rFonts w:ascii="宋体" w:hAnsi="宋体" w:eastAsia="宋体" w:cs="宋体"/>
          <w:spacing w:val="-1"/>
          <w:sz w:val="24"/>
          <w:szCs w:val="24"/>
        </w:rPr>
        <w:t>月</w:t>
      </w:r>
      <w:r>
        <w:rPr>
          <w:rFonts w:ascii="宋体" w:hAnsi="宋体" w:eastAsia="宋体" w:cs="宋体"/>
          <w:spacing w:val="-14"/>
          <w:sz w:val="24"/>
          <w:szCs w:val="24"/>
        </w:rPr>
        <w:t>），</w:t>
      </w:r>
      <w:r>
        <w:rPr>
          <w:rFonts w:ascii="宋体" w:hAnsi="宋体" w:eastAsia="宋体" w:cs="宋体"/>
          <w:spacing w:val="-1"/>
          <w:sz w:val="24"/>
          <w:szCs w:val="24"/>
        </w:rPr>
        <w:t>太阳辐射总量为</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 xml:space="preserve">4031.80 </w:t>
      </w:r>
      <w:r>
        <w:rPr>
          <w:rFonts w:ascii="宋体" w:hAnsi="宋体" w:eastAsia="宋体" w:cs="宋体"/>
          <w:spacing w:val="-2"/>
          <w:sz w:val="24"/>
          <w:szCs w:val="24"/>
        </w:rPr>
        <w:t>兆焦耳</w:t>
      </w:r>
      <w:r>
        <w:rPr>
          <w:rFonts w:ascii="Times New Roman" w:hAnsi="Times New Roman" w:eastAsia="Times New Roman" w:cs="Times New Roman"/>
          <w:spacing w:val="-2"/>
          <w:sz w:val="24"/>
          <w:szCs w:val="24"/>
        </w:rPr>
        <w:t>/</w:t>
      </w:r>
      <w:r>
        <w:rPr>
          <w:rFonts w:ascii="宋体" w:hAnsi="宋体" w:eastAsia="宋体" w:cs="宋体"/>
          <w:spacing w:val="-2"/>
          <w:sz w:val="24"/>
          <w:szCs w:val="24"/>
        </w:rPr>
        <w:t>平方米，</w:t>
      </w:r>
      <w:r>
        <w:rPr>
          <w:rFonts w:ascii="宋体" w:hAnsi="宋体" w:eastAsia="宋体" w:cs="宋体"/>
          <w:spacing w:val="-71"/>
          <w:sz w:val="24"/>
          <w:szCs w:val="24"/>
        </w:rPr>
        <w:t xml:space="preserve"> </w:t>
      </w:r>
      <w:r>
        <w:rPr>
          <w:rFonts w:ascii="宋体" w:hAnsi="宋体" w:eastAsia="宋体" w:cs="宋体"/>
          <w:spacing w:val="-2"/>
          <w:sz w:val="24"/>
          <w:szCs w:val="24"/>
        </w:rPr>
        <w:t>占年总</w:t>
      </w:r>
      <w:r>
        <w:rPr>
          <w:rFonts w:ascii="宋体" w:hAnsi="宋体" w:eastAsia="宋体" w:cs="宋体"/>
          <w:sz w:val="24"/>
          <w:szCs w:val="24"/>
        </w:rPr>
        <w:t xml:space="preserve"> </w:t>
      </w:r>
      <w:r>
        <w:rPr>
          <w:rFonts w:ascii="宋体" w:hAnsi="宋体" w:eastAsia="宋体" w:cs="宋体"/>
          <w:spacing w:val="-4"/>
          <w:sz w:val="24"/>
          <w:szCs w:val="24"/>
        </w:rPr>
        <w:t>辐射量的</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65%</w:t>
      </w:r>
      <w:r>
        <w:rPr>
          <w:rFonts w:ascii="Times New Roman" w:hAnsi="Times New Roman" w:eastAsia="Times New Roman" w:cs="Times New Roman"/>
          <w:spacing w:val="-28"/>
          <w:sz w:val="24"/>
          <w:szCs w:val="24"/>
        </w:rPr>
        <w:t xml:space="preserve"> </w:t>
      </w:r>
      <w:r>
        <w:rPr>
          <w:rFonts w:ascii="宋体" w:hAnsi="宋体" w:eastAsia="宋体" w:cs="宋体"/>
          <w:spacing w:val="-4"/>
          <w:sz w:val="24"/>
          <w:szCs w:val="24"/>
        </w:rPr>
        <w:t>。年光照总时数为</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3205.8</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小时</w:t>
      </w:r>
      <w:r>
        <w:rPr>
          <w:rFonts w:ascii="宋体" w:hAnsi="宋体" w:eastAsia="宋体" w:cs="宋体"/>
          <w:spacing w:val="-5"/>
          <w:sz w:val="24"/>
          <w:szCs w:val="24"/>
        </w:rPr>
        <w:t>，</w:t>
      </w:r>
      <w:r>
        <w:rPr>
          <w:rFonts w:ascii="宋体" w:hAnsi="宋体" w:eastAsia="宋体" w:cs="宋体"/>
          <w:spacing w:val="-70"/>
          <w:sz w:val="24"/>
          <w:szCs w:val="24"/>
        </w:rPr>
        <w:t xml:space="preserve"> </w:t>
      </w:r>
      <w:r>
        <w:rPr>
          <w:rFonts w:ascii="宋体" w:hAnsi="宋体" w:eastAsia="宋体" w:cs="宋体"/>
          <w:spacing w:val="-5"/>
          <w:sz w:val="24"/>
          <w:szCs w:val="24"/>
        </w:rPr>
        <w:t>日照率达</w:t>
      </w:r>
      <w:r>
        <w:rPr>
          <w:rFonts w:ascii="宋体" w:hAnsi="宋体" w:eastAsia="宋体" w:cs="宋体"/>
          <w:spacing w:val="-51"/>
          <w:sz w:val="24"/>
          <w:szCs w:val="24"/>
        </w:rPr>
        <w:t xml:space="preserve"> </w:t>
      </w:r>
      <w:r>
        <w:rPr>
          <w:rFonts w:ascii="Times New Roman" w:hAnsi="Times New Roman" w:eastAsia="Times New Roman" w:cs="Times New Roman"/>
          <w:spacing w:val="-5"/>
          <w:sz w:val="24"/>
          <w:szCs w:val="24"/>
        </w:rPr>
        <w:t>73%</w:t>
      </w:r>
      <w:r>
        <w:rPr>
          <w:rFonts w:ascii="宋体" w:hAnsi="宋体" w:eastAsia="宋体" w:cs="宋体"/>
          <w:spacing w:val="-5"/>
          <w:sz w:val="24"/>
          <w:szCs w:val="24"/>
        </w:rPr>
        <w:t>。</w:t>
      </w:r>
    </w:p>
    <w:p w14:paraId="47712EAD">
      <w:pPr>
        <w:spacing w:before="43" w:line="222" w:lineRule="auto"/>
        <w:ind w:left="11"/>
        <w:outlineLvl w:val="2"/>
        <w:rPr>
          <w:rFonts w:ascii="黑体" w:hAnsi="黑体" w:eastAsia="黑体" w:cs="黑体"/>
          <w:sz w:val="30"/>
          <w:szCs w:val="30"/>
        </w:rPr>
      </w:pPr>
      <w:bookmarkStart w:id="339" w:name="bookmark146"/>
      <w:bookmarkEnd w:id="339"/>
      <w:r>
        <w:rPr>
          <w:rFonts w:ascii="Times New Roman" w:hAnsi="Times New Roman" w:eastAsia="Times New Roman" w:cs="Times New Roman"/>
          <w:spacing w:val="-2"/>
          <w:sz w:val="30"/>
          <w:szCs w:val="30"/>
        </w:rPr>
        <w:t xml:space="preserve">3.1.4 </w:t>
      </w:r>
      <w:r>
        <w:rPr>
          <w:rFonts w:ascii="黑体" w:hAnsi="黑体" w:eastAsia="黑体" w:cs="黑体"/>
          <w:spacing w:val="-2"/>
          <w:sz w:val="30"/>
          <w:szCs w:val="30"/>
        </w:rPr>
        <w:t>水文水系</w:t>
      </w:r>
    </w:p>
    <w:p w14:paraId="6EFF4F5D">
      <w:pPr>
        <w:spacing w:before="213" w:line="355" w:lineRule="auto"/>
        <w:ind w:left="6" w:right="61" w:firstLine="486"/>
        <w:rPr>
          <w:rFonts w:ascii="宋体" w:hAnsi="宋体" w:eastAsia="宋体" w:cs="宋体"/>
          <w:sz w:val="24"/>
          <w:szCs w:val="24"/>
        </w:rPr>
      </w:pPr>
      <w:r>
        <w:rPr>
          <w:rFonts w:ascii="宋体" w:hAnsi="宋体" w:eastAsia="宋体" w:cs="宋体"/>
          <w:spacing w:val="-3"/>
          <w:sz w:val="24"/>
          <w:szCs w:val="24"/>
        </w:rPr>
        <w:t>苏尼特右旗由于深居内陆，地处高原、缺乏各种形态的地表水。有湖泊</w:t>
      </w:r>
      <w:r>
        <w:rPr>
          <w:rFonts w:ascii="宋体" w:hAnsi="宋体" w:eastAsia="宋体" w:cs="宋体"/>
          <w:spacing w:val="-33"/>
          <w:sz w:val="24"/>
          <w:szCs w:val="24"/>
        </w:rPr>
        <w:t xml:space="preserve"> </w:t>
      </w:r>
      <w:r>
        <w:rPr>
          <w:rFonts w:ascii="Times New Roman" w:hAnsi="Times New Roman" w:eastAsia="Times New Roman" w:cs="Times New Roman"/>
          <w:spacing w:val="-3"/>
          <w:sz w:val="24"/>
          <w:szCs w:val="24"/>
        </w:rPr>
        <w:t>300</w:t>
      </w:r>
      <w:r>
        <w:rPr>
          <w:rFonts w:ascii="Times New Roman" w:hAnsi="Times New Roman" w:eastAsia="Times New Roman" w:cs="Times New Roman"/>
          <w:spacing w:val="20"/>
          <w:w w:val="101"/>
          <w:sz w:val="24"/>
          <w:szCs w:val="24"/>
        </w:rPr>
        <w:t xml:space="preserve"> </w:t>
      </w:r>
      <w:r>
        <w:rPr>
          <w:rFonts w:ascii="宋体" w:hAnsi="宋体" w:eastAsia="宋体" w:cs="宋体"/>
          <w:spacing w:val="-3"/>
          <w:sz w:val="24"/>
          <w:szCs w:val="24"/>
        </w:rPr>
        <w:t>多处，</w:t>
      </w:r>
      <w:r>
        <w:rPr>
          <w:rFonts w:ascii="宋体" w:hAnsi="宋体" w:eastAsia="宋体" w:cs="宋体"/>
          <w:sz w:val="24"/>
          <w:szCs w:val="24"/>
        </w:rPr>
        <w:t xml:space="preserve"> </w:t>
      </w:r>
      <w:r>
        <w:rPr>
          <w:rFonts w:ascii="宋体" w:hAnsi="宋体" w:eastAsia="宋体" w:cs="宋体"/>
          <w:spacing w:val="-1"/>
          <w:sz w:val="24"/>
          <w:szCs w:val="24"/>
        </w:rPr>
        <w:t>但大多是雨季暂时存水，其它季节多处于干</w:t>
      </w:r>
      <w:r>
        <w:rPr>
          <w:rFonts w:ascii="宋体" w:hAnsi="宋体" w:eastAsia="宋体" w:cs="宋体"/>
          <w:spacing w:val="-2"/>
          <w:sz w:val="24"/>
          <w:szCs w:val="24"/>
        </w:rPr>
        <w:t>涸状态。南部山谷间虽有些河床，除雨季会</w:t>
      </w:r>
      <w:r>
        <w:rPr>
          <w:rFonts w:ascii="宋体" w:hAnsi="宋体" w:eastAsia="宋体" w:cs="宋体"/>
          <w:sz w:val="24"/>
          <w:szCs w:val="24"/>
        </w:rPr>
        <w:t xml:space="preserve"> </w:t>
      </w:r>
      <w:r>
        <w:rPr>
          <w:rFonts w:ascii="宋体" w:hAnsi="宋体" w:eastAsia="宋体" w:cs="宋体"/>
          <w:spacing w:val="-1"/>
          <w:sz w:val="24"/>
          <w:szCs w:val="24"/>
        </w:rPr>
        <w:t>出现洪水外，其它时间无水或水少。地下水</w:t>
      </w:r>
      <w:r>
        <w:rPr>
          <w:rFonts w:ascii="宋体" w:hAnsi="宋体" w:eastAsia="宋体" w:cs="宋体"/>
          <w:spacing w:val="-2"/>
          <w:sz w:val="24"/>
          <w:szCs w:val="24"/>
        </w:rPr>
        <w:t>位深、贮量少，其流向与整个地势相一致，</w:t>
      </w:r>
      <w:r>
        <w:rPr>
          <w:rFonts w:ascii="宋体" w:hAnsi="宋体" w:eastAsia="宋体" w:cs="宋体"/>
          <w:sz w:val="24"/>
          <w:szCs w:val="24"/>
        </w:rPr>
        <w:t xml:space="preserve"> </w:t>
      </w:r>
      <w:r>
        <w:rPr>
          <w:rFonts w:ascii="宋体" w:hAnsi="宋体" w:eastAsia="宋体" w:cs="宋体"/>
          <w:spacing w:val="-1"/>
          <w:sz w:val="24"/>
          <w:szCs w:val="24"/>
        </w:rPr>
        <w:t>含水层埋藏深度从南向北由深至浅，降水少</w:t>
      </w:r>
      <w:r>
        <w:rPr>
          <w:rFonts w:ascii="宋体" w:hAnsi="宋体" w:eastAsia="宋体" w:cs="宋体"/>
          <w:spacing w:val="-2"/>
          <w:sz w:val="24"/>
          <w:szCs w:val="24"/>
        </w:rPr>
        <w:t>，地表水贫乏，地下水不稳定，深层水开发</w:t>
      </w:r>
      <w:r>
        <w:rPr>
          <w:rFonts w:ascii="宋体" w:hAnsi="宋体" w:eastAsia="宋体" w:cs="宋体"/>
          <w:sz w:val="24"/>
          <w:szCs w:val="24"/>
        </w:rPr>
        <w:t xml:space="preserve"> </w:t>
      </w:r>
      <w:r>
        <w:rPr>
          <w:rFonts w:ascii="宋体" w:hAnsi="宋体" w:eastAsia="宋体" w:cs="宋体"/>
          <w:spacing w:val="-1"/>
          <w:sz w:val="24"/>
          <w:szCs w:val="24"/>
        </w:rPr>
        <w:t>困难，在一些地区形成缺水草场。境内无长</w:t>
      </w:r>
      <w:r>
        <w:rPr>
          <w:rFonts w:ascii="宋体" w:hAnsi="宋体" w:eastAsia="宋体" w:cs="宋体"/>
          <w:spacing w:val="-2"/>
          <w:sz w:val="24"/>
          <w:szCs w:val="24"/>
        </w:rPr>
        <w:t>年河流，地表水贫乏，地下水资源分布不均</w:t>
      </w:r>
      <w:r>
        <w:rPr>
          <w:rFonts w:ascii="宋体" w:hAnsi="宋体" w:eastAsia="宋体" w:cs="宋体"/>
          <w:sz w:val="24"/>
          <w:szCs w:val="24"/>
        </w:rPr>
        <w:t xml:space="preserve"> </w:t>
      </w:r>
      <w:r>
        <w:rPr>
          <w:rFonts w:ascii="宋体" w:hAnsi="宋体" w:eastAsia="宋体" w:cs="宋体"/>
          <w:spacing w:val="-2"/>
          <w:sz w:val="24"/>
          <w:szCs w:val="24"/>
        </w:rPr>
        <w:t>匀且埋藏较深。</w:t>
      </w:r>
    </w:p>
    <w:p w14:paraId="2B722E21">
      <w:pPr>
        <w:spacing w:before="44" w:line="222" w:lineRule="auto"/>
        <w:ind w:left="11"/>
        <w:outlineLvl w:val="2"/>
        <w:rPr>
          <w:rFonts w:ascii="黑体" w:hAnsi="黑体" w:eastAsia="黑体" w:cs="黑体"/>
          <w:sz w:val="30"/>
          <w:szCs w:val="30"/>
        </w:rPr>
      </w:pPr>
      <w:bookmarkStart w:id="340" w:name="bookmark148"/>
      <w:bookmarkEnd w:id="340"/>
      <w:r>
        <w:rPr>
          <w:rFonts w:ascii="Times New Roman" w:hAnsi="Times New Roman" w:eastAsia="Times New Roman" w:cs="Times New Roman"/>
          <w:spacing w:val="-4"/>
          <w:sz w:val="30"/>
          <w:szCs w:val="30"/>
        </w:rPr>
        <w:t>3.1.5</w:t>
      </w:r>
      <w:r>
        <w:rPr>
          <w:rFonts w:ascii="Times New Roman" w:hAnsi="Times New Roman" w:eastAsia="Times New Roman" w:cs="Times New Roman"/>
          <w:spacing w:val="16"/>
          <w:sz w:val="30"/>
          <w:szCs w:val="30"/>
        </w:rPr>
        <w:t xml:space="preserve"> </w:t>
      </w:r>
      <w:r>
        <w:rPr>
          <w:rFonts w:ascii="黑体" w:hAnsi="黑体" w:eastAsia="黑体" w:cs="黑体"/>
          <w:spacing w:val="-4"/>
          <w:sz w:val="30"/>
          <w:szCs w:val="30"/>
        </w:rPr>
        <w:t>土壤</w:t>
      </w:r>
    </w:p>
    <w:p w14:paraId="42154EE9">
      <w:pPr>
        <w:spacing w:before="212" w:line="350" w:lineRule="auto"/>
        <w:ind w:left="10" w:right="61" w:firstLine="482"/>
        <w:jc w:val="both"/>
        <w:rPr>
          <w:rFonts w:ascii="宋体" w:hAnsi="宋体" w:eastAsia="宋体" w:cs="宋体"/>
          <w:sz w:val="24"/>
          <w:szCs w:val="24"/>
        </w:rPr>
      </w:pPr>
      <w:r>
        <w:rPr>
          <w:rFonts w:ascii="宋体" w:hAnsi="宋体" w:eastAsia="宋体" w:cs="宋体"/>
          <w:spacing w:val="-2"/>
          <w:sz w:val="24"/>
          <w:szCs w:val="24"/>
        </w:rPr>
        <w:t>苏尼特右旗地处干旱、半荒漠地区，降水量很少，蒸发量大，风大频度高，在这种</w:t>
      </w:r>
      <w:r>
        <w:rPr>
          <w:rFonts w:ascii="宋体" w:hAnsi="宋体" w:eastAsia="宋体" w:cs="宋体"/>
          <w:spacing w:val="8"/>
          <w:sz w:val="24"/>
          <w:szCs w:val="24"/>
        </w:rPr>
        <w:t xml:space="preserve"> </w:t>
      </w:r>
      <w:r>
        <w:rPr>
          <w:rFonts w:ascii="宋体" w:hAnsi="宋体" w:eastAsia="宋体" w:cs="宋体"/>
          <w:spacing w:val="-2"/>
          <w:sz w:val="24"/>
          <w:szCs w:val="24"/>
        </w:rPr>
        <w:t>条件下，形成的土壤为草原土，其特点是具有腐殖质积累与钙积化过程。根据土壤普查</w:t>
      </w:r>
      <w:r>
        <w:rPr>
          <w:rFonts w:ascii="宋体" w:hAnsi="宋体" w:eastAsia="宋体" w:cs="宋体"/>
          <w:spacing w:val="15"/>
          <w:sz w:val="24"/>
          <w:szCs w:val="24"/>
        </w:rPr>
        <w:t xml:space="preserve"> </w:t>
      </w:r>
      <w:r>
        <w:rPr>
          <w:rFonts w:ascii="宋体" w:hAnsi="宋体" w:eastAsia="宋体" w:cs="宋体"/>
          <w:spacing w:val="-1"/>
          <w:sz w:val="24"/>
          <w:szCs w:val="24"/>
        </w:rPr>
        <w:t>资料，分为</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 xml:space="preserve">8 </w:t>
      </w:r>
      <w:r>
        <w:rPr>
          <w:rFonts w:ascii="宋体" w:hAnsi="宋体" w:eastAsia="宋体" w:cs="宋体"/>
          <w:spacing w:val="-1"/>
          <w:sz w:val="24"/>
          <w:szCs w:val="24"/>
        </w:rPr>
        <w:t>个土类，</w:t>
      </w:r>
      <w:r>
        <w:rPr>
          <w:rFonts w:ascii="Times New Roman" w:hAnsi="Times New Roman" w:eastAsia="Times New Roman" w:cs="Times New Roman"/>
          <w:spacing w:val="-1"/>
          <w:sz w:val="24"/>
          <w:szCs w:val="24"/>
        </w:rPr>
        <w:t xml:space="preserve">17 </w:t>
      </w:r>
      <w:r>
        <w:rPr>
          <w:rFonts w:ascii="宋体" w:hAnsi="宋体" w:eastAsia="宋体" w:cs="宋体"/>
          <w:spacing w:val="-1"/>
          <w:sz w:val="24"/>
          <w:szCs w:val="24"/>
        </w:rPr>
        <w:t>个亚类，</w:t>
      </w:r>
      <w:r>
        <w:rPr>
          <w:rFonts w:ascii="Times New Roman" w:hAnsi="Times New Roman" w:eastAsia="Times New Roman" w:cs="Times New Roman"/>
          <w:spacing w:val="-1"/>
          <w:sz w:val="24"/>
          <w:szCs w:val="24"/>
        </w:rPr>
        <w:t xml:space="preserve">31 </w:t>
      </w:r>
      <w:r>
        <w:rPr>
          <w:rFonts w:ascii="宋体" w:hAnsi="宋体" w:eastAsia="宋体" w:cs="宋体"/>
          <w:spacing w:val="-1"/>
          <w:sz w:val="24"/>
          <w:szCs w:val="24"/>
        </w:rPr>
        <w:t>个土</w:t>
      </w:r>
      <w:r>
        <w:rPr>
          <w:rFonts w:ascii="宋体" w:hAnsi="宋体" w:eastAsia="宋体" w:cs="宋体"/>
          <w:spacing w:val="-2"/>
          <w:sz w:val="24"/>
          <w:szCs w:val="24"/>
        </w:rPr>
        <w:t>属。</w:t>
      </w:r>
    </w:p>
    <w:p w14:paraId="1A60793F">
      <w:pPr>
        <w:spacing w:before="37" w:line="352" w:lineRule="auto"/>
        <w:ind w:left="8" w:right="61" w:firstLine="482"/>
        <w:jc w:val="both"/>
        <w:rPr>
          <w:rFonts w:ascii="宋体" w:hAnsi="宋体" w:eastAsia="宋体" w:cs="宋体"/>
          <w:sz w:val="24"/>
          <w:szCs w:val="24"/>
        </w:rPr>
      </w:pPr>
      <w:r>
        <w:rPr>
          <w:rFonts w:ascii="宋体" w:hAnsi="宋体" w:eastAsia="宋体" w:cs="宋体"/>
          <w:spacing w:val="-2"/>
          <w:sz w:val="24"/>
          <w:szCs w:val="24"/>
        </w:rPr>
        <w:t>从整体上来看以朱日和为界分南（栗钙土）北（棕钙土）两个地带性土壤。隐域性</w:t>
      </w:r>
      <w:r>
        <w:rPr>
          <w:rFonts w:ascii="宋体" w:hAnsi="宋体" w:eastAsia="宋体" w:cs="宋体"/>
          <w:spacing w:val="10"/>
          <w:sz w:val="24"/>
          <w:szCs w:val="24"/>
        </w:rPr>
        <w:t xml:space="preserve"> </w:t>
      </w:r>
      <w:r>
        <w:rPr>
          <w:rFonts w:ascii="宋体" w:hAnsi="宋体" w:eastAsia="宋体" w:cs="宋体"/>
          <w:spacing w:val="-2"/>
          <w:sz w:val="24"/>
          <w:szCs w:val="24"/>
        </w:rPr>
        <w:t>土壤有灰色草甸土、沼泽土、盐土、碱土、风沙土和潮土。土壤肥力总的状况是有机质</w:t>
      </w:r>
      <w:r>
        <w:rPr>
          <w:rFonts w:ascii="宋体" w:hAnsi="宋体" w:eastAsia="宋体" w:cs="宋体"/>
          <w:spacing w:val="17"/>
          <w:sz w:val="24"/>
          <w:szCs w:val="24"/>
        </w:rPr>
        <w:t xml:space="preserve"> </w:t>
      </w:r>
      <w:r>
        <w:rPr>
          <w:rFonts w:ascii="宋体" w:hAnsi="宋体" w:eastAsia="宋体" w:cs="宋体"/>
          <w:spacing w:val="-2"/>
          <w:sz w:val="24"/>
          <w:szCs w:val="24"/>
        </w:rPr>
        <w:t>含量少、缺磷缺氮。从分布趋势看，由南向北肥力递减。适用于畜牧业的土地面积为最</w:t>
      </w:r>
      <w:r>
        <w:rPr>
          <w:rFonts w:ascii="宋体" w:hAnsi="宋体" w:eastAsia="宋体" w:cs="宋体"/>
          <w:spacing w:val="17"/>
          <w:sz w:val="24"/>
          <w:szCs w:val="24"/>
        </w:rPr>
        <w:t xml:space="preserve"> </w:t>
      </w:r>
      <w:r>
        <w:rPr>
          <w:rFonts w:ascii="宋体" w:hAnsi="宋体" w:eastAsia="宋体" w:cs="宋体"/>
          <w:spacing w:val="-1"/>
          <w:sz w:val="24"/>
          <w:szCs w:val="24"/>
        </w:rPr>
        <w:t>大，适用于发展林业的次之，不利用发展农业生产。</w:t>
      </w:r>
    </w:p>
    <w:p w14:paraId="34DCB7A8">
      <w:pPr>
        <w:spacing w:before="44" w:line="222" w:lineRule="auto"/>
        <w:ind w:left="11"/>
        <w:outlineLvl w:val="2"/>
        <w:rPr>
          <w:rFonts w:ascii="黑体" w:hAnsi="黑体" w:eastAsia="黑体" w:cs="黑体"/>
          <w:sz w:val="30"/>
          <w:szCs w:val="30"/>
        </w:rPr>
      </w:pPr>
      <w:bookmarkStart w:id="341" w:name="bookmark150"/>
      <w:bookmarkEnd w:id="341"/>
      <w:r>
        <w:rPr>
          <w:rFonts w:ascii="Times New Roman" w:hAnsi="Times New Roman" w:eastAsia="Times New Roman" w:cs="Times New Roman"/>
          <w:spacing w:val="-4"/>
          <w:sz w:val="30"/>
          <w:szCs w:val="30"/>
        </w:rPr>
        <w:t>3.1.6</w:t>
      </w:r>
      <w:r>
        <w:rPr>
          <w:rFonts w:ascii="Times New Roman" w:hAnsi="Times New Roman" w:eastAsia="Times New Roman" w:cs="Times New Roman"/>
          <w:spacing w:val="20"/>
          <w:sz w:val="30"/>
          <w:szCs w:val="30"/>
        </w:rPr>
        <w:t xml:space="preserve"> </w:t>
      </w:r>
      <w:r>
        <w:rPr>
          <w:rFonts w:ascii="黑体" w:hAnsi="黑体" w:eastAsia="黑体" w:cs="黑体"/>
          <w:spacing w:val="-4"/>
          <w:sz w:val="30"/>
          <w:szCs w:val="30"/>
        </w:rPr>
        <w:t>动植物</w:t>
      </w:r>
    </w:p>
    <w:p w14:paraId="171B7BFA">
      <w:pPr>
        <w:spacing w:before="217" w:line="355" w:lineRule="auto"/>
        <w:ind w:left="9" w:firstLine="483"/>
        <w:rPr>
          <w:rFonts w:ascii="宋体" w:hAnsi="宋体" w:eastAsia="宋体" w:cs="宋体"/>
          <w:sz w:val="24"/>
          <w:szCs w:val="24"/>
        </w:rPr>
      </w:pPr>
      <w:r>
        <w:rPr>
          <w:rFonts w:ascii="宋体" w:hAnsi="宋体" w:eastAsia="宋体" w:cs="宋体"/>
          <w:spacing w:val="-2"/>
          <w:sz w:val="24"/>
          <w:szCs w:val="24"/>
        </w:rPr>
        <w:t>苏尼特右旗植被为干旱草原向荒漠化草原过渡植被类型，共有野生植物</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 xml:space="preserve">48 </w:t>
      </w:r>
      <w:r>
        <w:rPr>
          <w:rFonts w:ascii="宋体" w:hAnsi="宋体" w:eastAsia="宋体" w:cs="宋体"/>
          <w:spacing w:val="-2"/>
          <w:sz w:val="24"/>
          <w:szCs w:val="24"/>
        </w:rPr>
        <w:t>科、</w:t>
      </w:r>
      <w:r>
        <w:rPr>
          <w:rFonts w:ascii="Times New Roman" w:hAnsi="Times New Roman" w:eastAsia="Times New Roman" w:cs="Times New Roman"/>
          <w:spacing w:val="-2"/>
          <w:sz w:val="24"/>
          <w:szCs w:val="24"/>
        </w:rPr>
        <w:t>155</w:t>
      </w:r>
      <w:r>
        <w:rPr>
          <w:rFonts w:ascii="Times New Roman" w:hAnsi="Times New Roman" w:eastAsia="Times New Roman" w:cs="Times New Roman"/>
          <w:sz w:val="24"/>
          <w:szCs w:val="24"/>
        </w:rPr>
        <w:t xml:space="preserve">  </w:t>
      </w:r>
      <w:r>
        <w:rPr>
          <w:rFonts w:ascii="宋体" w:hAnsi="宋体" w:eastAsia="宋体" w:cs="宋体"/>
          <w:spacing w:val="-1"/>
          <w:sz w:val="24"/>
          <w:szCs w:val="24"/>
        </w:rPr>
        <w:t>属、</w:t>
      </w:r>
      <w:r>
        <w:rPr>
          <w:rFonts w:ascii="Times New Roman" w:hAnsi="Times New Roman" w:eastAsia="Times New Roman" w:cs="Times New Roman"/>
          <w:spacing w:val="-1"/>
          <w:sz w:val="24"/>
          <w:szCs w:val="24"/>
        </w:rPr>
        <w:t xml:space="preserve">246 </w:t>
      </w:r>
      <w:r>
        <w:rPr>
          <w:rFonts w:ascii="宋体" w:hAnsi="宋体" w:eastAsia="宋体" w:cs="宋体"/>
          <w:spacing w:val="-1"/>
          <w:sz w:val="24"/>
          <w:szCs w:val="24"/>
        </w:rPr>
        <w:t>种，有禾本科</w:t>
      </w:r>
      <w:r>
        <w:rPr>
          <w:rFonts w:ascii="宋体" w:hAnsi="宋体" w:eastAsia="宋体" w:cs="宋体"/>
          <w:spacing w:val="-36"/>
          <w:sz w:val="24"/>
          <w:szCs w:val="24"/>
        </w:rPr>
        <w:t xml:space="preserve"> </w:t>
      </w:r>
      <w:r>
        <w:rPr>
          <w:rFonts w:ascii="Times New Roman" w:hAnsi="Times New Roman" w:eastAsia="Times New Roman" w:cs="Times New Roman"/>
          <w:spacing w:val="-1"/>
          <w:sz w:val="24"/>
          <w:szCs w:val="24"/>
        </w:rPr>
        <w:t xml:space="preserve">35 </w:t>
      </w:r>
      <w:r>
        <w:rPr>
          <w:rFonts w:ascii="宋体" w:hAnsi="宋体" w:eastAsia="宋体" w:cs="宋体"/>
          <w:spacing w:val="-1"/>
          <w:sz w:val="24"/>
          <w:szCs w:val="24"/>
        </w:rPr>
        <w:t>种，菊科</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 xml:space="preserve">31 </w:t>
      </w:r>
      <w:r>
        <w:rPr>
          <w:rFonts w:ascii="宋体" w:hAnsi="宋体" w:eastAsia="宋体" w:cs="宋体"/>
          <w:spacing w:val="-1"/>
          <w:sz w:val="24"/>
          <w:szCs w:val="24"/>
        </w:rPr>
        <w:t>种，其次豆科</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 xml:space="preserve">23 </w:t>
      </w:r>
      <w:r>
        <w:rPr>
          <w:rFonts w:ascii="宋体" w:hAnsi="宋体" w:eastAsia="宋体" w:cs="宋体"/>
          <w:spacing w:val="-1"/>
          <w:sz w:val="24"/>
          <w:szCs w:val="24"/>
        </w:rPr>
        <w:t>种；藜科</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 xml:space="preserve">22 </w:t>
      </w:r>
      <w:r>
        <w:rPr>
          <w:rFonts w:ascii="宋体" w:hAnsi="宋体" w:eastAsia="宋体" w:cs="宋体"/>
          <w:spacing w:val="-1"/>
          <w:sz w:val="24"/>
          <w:szCs w:val="24"/>
        </w:rPr>
        <w:t>种，主要分布在其</w:t>
      </w:r>
      <w:r>
        <w:rPr>
          <w:rFonts w:ascii="宋体" w:hAnsi="宋体" w:eastAsia="宋体" w:cs="宋体"/>
          <w:sz w:val="24"/>
          <w:szCs w:val="24"/>
        </w:rPr>
        <w:t xml:space="preserve"> </w:t>
      </w:r>
      <w:r>
        <w:rPr>
          <w:rFonts w:ascii="宋体" w:hAnsi="宋体" w:eastAsia="宋体" w:cs="宋体"/>
          <w:spacing w:val="-2"/>
          <w:sz w:val="24"/>
          <w:szCs w:val="24"/>
        </w:rPr>
        <w:t>境内的中部、西部和北部地区。主要植被为小灌木、禾草类。丘间低地，干河道和湖盆</w:t>
      </w:r>
      <w:r>
        <w:rPr>
          <w:rFonts w:ascii="宋体" w:hAnsi="宋体" w:eastAsia="宋体" w:cs="宋体"/>
          <w:spacing w:val="16"/>
          <w:sz w:val="24"/>
          <w:szCs w:val="24"/>
        </w:rPr>
        <w:t xml:space="preserve"> </w:t>
      </w:r>
      <w:r>
        <w:rPr>
          <w:rFonts w:ascii="宋体" w:hAnsi="宋体" w:eastAsia="宋体" w:cs="宋体"/>
          <w:spacing w:val="-2"/>
          <w:sz w:val="24"/>
          <w:szCs w:val="24"/>
        </w:rPr>
        <w:t>洼地上主要植被有沙柳、芦苇、芨芨草、苔草、白刺、红砂、柠条锦鸡、盐爪爪、马莲</w:t>
      </w:r>
      <w:r>
        <w:rPr>
          <w:rFonts w:ascii="宋体" w:hAnsi="宋体" w:eastAsia="宋体" w:cs="宋体"/>
          <w:spacing w:val="16"/>
          <w:sz w:val="24"/>
          <w:szCs w:val="24"/>
        </w:rPr>
        <w:t xml:space="preserve"> </w:t>
      </w:r>
      <w:r>
        <w:rPr>
          <w:rFonts w:ascii="宋体" w:hAnsi="宋体" w:eastAsia="宋体" w:cs="宋体"/>
          <w:sz w:val="24"/>
          <w:szCs w:val="24"/>
        </w:rPr>
        <w:t>等。森林植被包括天然林和人工林。天然林主要分布在呼木苏木、额仁卓尔苏木等地，</w:t>
      </w:r>
      <w:r>
        <w:rPr>
          <w:rFonts w:ascii="宋体" w:hAnsi="宋体" w:eastAsia="宋体" w:cs="宋体"/>
          <w:spacing w:val="2"/>
          <w:sz w:val="24"/>
          <w:szCs w:val="24"/>
        </w:rPr>
        <w:t xml:space="preserve"> </w:t>
      </w:r>
      <w:r>
        <w:rPr>
          <w:rFonts w:ascii="宋体" w:hAnsi="宋体" w:eastAsia="宋体" w:cs="宋体"/>
          <w:spacing w:val="-6"/>
          <w:sz w:val="24"/>
          <w:szCs w:val="24"/>
        </w:rPr>
        <w:t>各地都有零星分布，主要树种为榆树、山杏和柳树等。人工林主要分布在赛汉镇</w:t>
      </w:r>
      <w:r>
        <w:rPr>
          <w:rFonts w:ascii="宋体" w:hAnsi="宋体" w:eastAsia="宋体" w:cs="宋体"/>
          <w:spacing w:val="-7"/>
          <w:sz w:val="24"/>
          <w:szCs w:val="24"/>
        </w:rPr>
        <w:t>西南部，</w:t>
      </w:r>
      <w:r>
        <w:rPr>
          <w:rFonts w:ascii="宋体" w:hAnsi="宋体" w:eastAsia="宋体" w:cs="宋体"/>
          <w:sz w:val="24"/>
          <w:szCs w:val="24"/>
        </w:rPr>
        <w:t xml:space="preserve"> </w:t>
      </w:r>
      <w:r>
        <w:rPr>
          <w:rFonts w:ascii="宋体" w:hAnsi="宋体" w:eastAsia="宋体" w:cs="宋体"/>
          <w:spacing w:val="-1"/>
          <w:sz w:val="24"/>
          <w:szCs w:val="24"/>
        </w:rPr>
        <w:t>白音哈尔林场分场。苏尼特右旗境内野生经济植物种类也比</w:t>
      </w:r>
      <w:r>
        <w:rPr>
          <w:rFonts w:ascii="宋体" w:hAnsi="宋体" w:eastAsia="宋体" w:cs="宋体"/>
          <w:spacing w:val="-2"/>
          <w:sz w:val="24"/>
          <w:szCs w:val="24"/>
        </w:rPr>
        <w:t>较多，以药用植物居多，有</w:t>
      </w:r>
    </w:p>
    <w:p w14:paraId="47C5DFE1">
      <w:pPr>
        <w:spacing w:line="355" w:lineRule="auto"/>
        <w:rPr>
          <w:rFonts w:ascii="宋体" w:hAnsi="宋体" w:eastAsia="宋体" w:cs="宋体"/>
          <w:sz w:val="24"/>
          <w:szCs w:val="24"/>
        </w:rPr>
        <w:sectPr>
          <w:headerReference r:id="rId204" w:type="default"/>
          <w:footerReference r:id="rId205" w:type="default"/>
          <w:pgSz w:w="11906" w:h="16839"/>
          <w:pgMar w:top="1190" w:right="1356" w:bottom="993" w:left="1417" w:header="882" w:footer="831" w:gutter="0"/>
          <w:cols w:space="720" w:num="1"/>
        </w:sectPr>
      </w:pPr>
    </w:p>
    <w:p w14:paraId="7290C676">
      <w:pPr>
        <w:spacing w:line="28" w:lineRule="exact"/>
      </w:pPr>
      <w:r>
        <w:pict>
          <v:shape id="_x0000_s1250" o:spid="_x0000_s1250" style="height:1.45pt;width:453.65pt;" fillcolor="#000000" filled="t" stroked="f" coordsize="9072,29" path="m0,0l9072,0,9072,28,0,28,0,0xe">
            <v:path/>
            <v:fill on="t" focussize="0,0"/>
            <v:stroke on="f"/>
            <v:imagedata o:title=""/>
            <o:lock v:ext="edit"/>
            <w10:wrap type="none"/>
            <w10:anchorlock/>
          </v:shape>
        </w:pict>
      </w:r>
    </w:p>
    <w:p w14:paraId="5531A145">
      <w:pPr>
        <w:spacing w:before="234" w:line="219" w:lineRule="auto"/>
        <w:ind w:left="9"/>
        <w:rPr>
          <w:rFonts w:ascii="宋体" w:hAnsi="宋体" w:eastAsia="宋体" w:cs="宋体"/>
          <w:sz w:val="24"/>
          <w:szCs w:val="24"/>
        </w:rPr>
      </w:pPr>
      <w:r>
        <w:rPr>
          <w:rFonts w:ascii="宋体" w:hAnsi="宋体" w:eastAsia="宋体" w:cs="宋体"/>
          <w:sz w:val="24"/>
          <w:szCs w:val="24"/>
        </w:rPr>
        <w:t>麻黄草、甘草、知母、天冬等，食用菌及食用植</w:t>
      </w:r>
      <w:r>
        <w:rPr>
          <w:rFonts w:ascii="宋体" w:hAnsi="宋体" w:eastAsia="宋体" w:cs="宋体"/>
          <w:spacing w:val="-1"/>
          <w:sz w:val="24"/>
          <w:szCs w:val="24"/>
        </w:rPr>
        <w:t>物有发菜、蘑菇、蕨菜等。</w:t>
      </w:r>
    </w:p>
    <w:p w14:paraId="46E442E0">
      <w:pPr>
        <w:spacing w:before="180" w:line="219" w:lineRule="auto"/>
        <w:ind w:left="488"/>
        <w:rPr>
          <w:rFonts w:ascii="宋体" w:hAnsi="宋体" w:eastAsia="宋体" w:cs="宋体"/>
          <w:sz w:val="24"/>
          <w:szCs w:val="24"/>
        </w:rPr>
      </w:pPr>
      <w:r>
        <w:rPr>
          <w:rFonts w:ascii="宋体" w:hAnsi="宋体" w:eastAsia="宋体" w:cs="宋体"/>
          <w:spacing w:val="-1"/>
          <w:sz w:val="24"/>
          <w:szCs w:val="24"/>
        </w:rPr>
        <w:t>野生动物资源有黄羊、地鸨、百灵、狐狸、蛇、刺猬、黄鼠狼、野</w:t>
      </w:r>
      <w:r>
        <w:rPr>
          <w:rFonts w:ascii="宋体" w:hAnsi="宋体" w:eastAsia="宋体" w:cs="宋体"/>
          <w:spacing w:val="-2"/>
          <w:sz w:val="24"/>
          <w:szCs w:val="24"/>
        </w:rPr>
        <w:t>兔等</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50</w:t>
      </w:r>
      <w:r>
        <w:rPr>
          <w:rFonts w:ascii="Times New Roman" w:hAnsi="Times New Roman" w:eastAsia="Times New Roman" w:cs="Times New Roman"/>
          <w:spacing w:val="21"/>
          <w:w w:val="101"/>
          <w:sz w:val="24"/>
          <w:szCs w:val="24"/>
        </w:rPr>
        <w:t xml:space="preserve"> </w:t>
      </w:r>
      <w:r>
        <w:rPr>
          <w:rFonts w:ascii="宋体" w:hAnsi="宋体" w:eastAsia="宋体" w:cs="宋体"/>
          <w:spacing w:val="-2"/>
          <w:sz w:val="24"/>
          <w:szCs w:val="24"/>
        </w:rPr>
        <w:t>多种。</w:t>
      </w:r>
    </w:p>
    <w:p w14:paraId="550EAE2D">
      <w:pPr>
        <w:spacing w:before="191" w:line="221" w:lineRule="auto"/>
        <w:ind w:left="11"/>
        <w:outlineLvl w:val="2"/>
        <w:rPr>
          <w:rFonts w:ascii="黑体" w:hAnsi="黑体" w:eastAsia="黑体" w:cs="黑体"/>
          <w:sz w:val="30"/>
          <w:szCs w:val="30"/>
        </w:rPr>
      </w:pPr>
      <w:bookmarkStart w:id="342" w:name="bookmark152"/>
      <w:bookmarkEnd w:id="342"/>
      <w:r>
        <w:rPr>
          <w:rFonts w:ascii="Times New Roman" w:hAnsi="Times New Roman" w:eastAsia="Times New Roman" w:cs="Times New Roman"/>
          <w:spacing w:val="-2"/>
          <w:sz w:val="30"/>
          <w:szCs w:val="30"/>
        </w:rPr>
        <w:t xml:space="preserve">3.1.7 </w:t>
      </w:r>
      <w:r>
        <w:rPr>
          <w:rFonts w:ascii="黑体" w:hAnsi="黑体" w:eastAsia="黑体" w:cs="黑体"/>
          <w:spacing w:val="-2"/>
          <w:sz w:val="30"/>
          <w:szCs w:val="30"/>
        </w:rPr>
        <w:t>矿产资源</w:t>
      </w:r>
    </w:p>
    <w:p w14:paraId="412BE02E">
      <w:pPr>
        <w:spacing w:before="218" w:line="354" w:lineRule="auto"/>
        <w:ind w:left="7" w:right="44" w:firstLine="485"/>
        <w:jc w:val="both"/>
        <w:rPr>
          <w:rFonts w:ascii="宋体" w:hAnsi="宋体" w:eastAsia="宋体" w:cs="宋体"/>
          <w:sz w:val="24"/>
          <w:szCs w:val="24"/>
        </w:rPr>
      </w:pPr>
      <w:r>
        <w:rPr>
          <w:rFonts w:ascii="宋体" w:hAnsi="宋体" w:eastAsia="宋体" w:cs="宋体"/>
          <w:spacing w:val="-2"/>
          <w:sz w:val="24"/>
          <w:szCs w:val="24"/>
        </w:rPr>
        <w:t>苏右旗矿产资源比较丰富，目前已发现的矿产资源有能源矿产，黑色金属矿产，有</w:t>
      </w:r>
      <w:r>
        <w:rPr>
          <w:rFonts w:ascii="宋体" w:hAnsi="宋体" w:eastAsia="宋体" w:cs="宋体"/>
          <w:spacing w:val="8"/>
          <w:sz w:val="24"/>
          <w:szCs w:val="24"/>
        </w:rPr>
        <w:t xml:space="preserve"> </w:t>
      </w:r>
      <w:r>
        <w:rPr>
          <w:rFonts w:ascii="宋体" w:hAnsi="宋体" w:eastAsia="宋体" w:cs="宋体"/>
          <w:sz w:val="24"/>
          <w:szCs w:val="24"/>
        </w:rPr>
        <w:t>色金属矿产，贵金属矿产，稀散元素、冶金辅助原料矿产、化工原料矿产、建筑材料、</w:t>
      </w:r>
      <w:r>
        <w:rPr>
          <w:rFonts w:ascii="宋体" w:hAnsi="宋体" w:eastAsia="宋体" w:cs="宋体"/>
          <w:spacing w:val="4"/>
          <w:sz w:val="24"/>
          <w:szCs w:val="24"/>
        </w:rPr>
        <w:t xml:space="preserve"> </w:t>
      </w:r>
      <w:r>
        <w:rPr>
          <w:rFonts w:ascii="宋体" w:hAnsi="宋体" w:eastAsia="宋体" w:cs="宋体"/>
          <w:spacing w:val="-6"/>
          <w:sz w:val="24"/>
          <w:szCs w:val="24"/>
        </w:rPr>
        <w:t>非金属矿产及水气矿产等，共十大类，</w:t>
      </w:r>
      <w:r>
        <w:rPr>
          <w:rFonts w:ascii="Times New Roman" w:hAnsi="Times New Roman" w:eastAsia="Times New Roman" w:cs="Times New Roman"/>
          <w:spacing w:val="-6"/>
          <w:sz w:val="24"/>
          <w:szCs w:val="24"/>
        </w:rPr>
        <w:t xml:space="preserve">35 </w:t>
      </w:r>
      <w:r>
        <w:rPr>
          <w:rFonts w:ascii="宋体" w:hAnsi="宋体" w:eastAsia="宋体" w:cs="宋体"/>
          <w:spacing w:val="-6"/>
          <w:sz w:val="24"/>
          <w:szCs w:val="24"/>
        </w:rPr>
        <w:t>种矿产，</w:t>
      </w:r>
      <w:r>
        <w:rPr>
          <w:rFonts w:ascii="Times New Roman" w:hAnsi="Times New Roman" w:eastAsia="Times New Roman" w:cs="Times New Roman"/>
          <w:spacing w:val="-6"/>
          <w:sz w:val="24"/>
          <w:szCs w:val="24"/>
        </w:rPr>
        <w:t>120</w:t>
      </w:r>
      <w:r>
        <w:rPr>
          <w:rFonts w:ascii="Times New Roman" w:hAnsi="Times New Roman" w:eastAsia="Times New Roman" w:cs="Times New Roman"/>
          <w:spacing w:val="21"/>
          <w:sz w:val="24"/>
          <w:szCs w:val="24"/>
        </w:rPr>
        <w:t xml:space="preserve"> </w:t>
      </w:r>
      <w:r>
        <w:rPr>
          <w:rFonts w:ascii="宋体" w:hAnsi="宋体" w:eastAsia="宋体" w:cs="宋体"/>
          <w:spacing w:val="-6"/>
          <w:sz w:val="24"/>
          <w:szCs w:val="24"/>
        </w:rPr>
        <w:t>多处矿产地。在已知的</w:t>
      </w:r>
      <w:r>
        <w:rPr>
          <w:rFonts w:ascii="宋体" w:hAnsi="宋体" w:eastAsia="宋体" w:cs="宋体"/>
          <w:spacing w:val="-7"/>
          <w:sz w:val="24"/>
          <w:szCs w:val="24"/>
        </w:rPr>
        <w:t>矿产地中，</w:t>
      </w:r>
      <w:r>
        <w:rPr>
          <w:rFonts w:ascii="宋体" w:hAnsi="宋体" w:eastAsia="宋体" w:cs="宋体"/>
          <w:sz w:val="24"/>
          <w:szCs w:val="24"/>
        </w:rPr>
        <w:t xml:space="preserve"> </w:t>
      </w:r>
      <w:r>
        <w:rPr>
          <w:rFonts w:ascii="宋体" w:hAnsi="宋体" w:eastAsia="宋体" w:cs="宋体"/>
          <w:spacing w:val="-4"/>
          <w:sz w:val="24"/>
          <w:szCs w:val="24"/>
        </w:rPr>
        <w:t>探明矿床规模的有</w:t>
      </w:r>
      <w:r>
        <w:rPr>
          <w:rFonts w:ascii="宋体" w:hAnsi="宋体" w:eastAsia="宋体" w:cs="宋体"/>
          <w:spacing w:val="-39"/>
          <w:sz w:val="24"/>
          <w:szCs w:val="24"/>
        </w:rPr>
        <w:t xml:space="preserve"> </w:t>
      </w:r>
      <w:r>
        <w:rPr>
          <w:rFonts w:ascii="Times New Roman" w:hAnsi="Times New Roman" w:eastAsia="Times New Roman" w:cs="Times New Roman"/>
          <w:spacing w:val="-4"/>
          <w:sz w:val="24"/>
          <w:szCs w:val="24"/>
        </w:rPr>
        <w:t xml:space="preserve">30 </w:t>
      </w:r>
      <w:r>
        <w:rPr>
          <w:rFonts w:ascii="宋体" w:hAnsi="宋体" w:eastAsia="宋体" w:cs="宋体"/>
          <w:spacing w:val="-4"/>
          <w:sz w:val="24"/>
          <w:szCs w:val="24"/>
        </w:rPr>
        <w:t>余处，有</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15 </w:t>
      </w:r>
      <w:r>
        <w:rPr>
          <w:rFonts w:ascii="宋体" w:hAnsi="宋体" w:eastAsia="宋体" w:cs="宋体"/>
          <w:spacing w:val="-4"/>
          <w:sz w:val="24"/>
          <w:szCs w:val="24"/>
        </w:rPr>
        <w:t>种矿产资源获得了不同级别的储量，主要有石油</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2000</w:t>
      </w:r>
      <w:r>
        <w:rPr>
          <w:rFonts w:ascii="Times New Roman" w:hAnsi="Times New Roman" w:eastAsia="Times New Roman" w:cs="Times New Roman"/>
          <w:sz w:val="24"/>
          <w:szCs w:val="24"/>
        </w:rPr>
        <w:t xml:space="preserve">  </w:t>
      </w:r>
      <w:r>
        <w:rPr>
          <w:rFonts w:ascii="宋体" w:hAnsi="宋体" w:eastAsia="宋体" w:cs="宋体"/>
          <w:spacing w:val="-8"/>
          <w:sz w:val="24"/>
          <w:szCs w:val="24"/>
        </w:rPr>
        <w:t>万</w:t>
      </w:r>
      <w:r>
        <w:rPr>
          <w:rFonts w:ascii="宋体" w:hAnsi="宋体" w:eastAsia="宋体" w:cs="宋体"/>
          <w:spacing w:val="-48"/>
          <w:sz w:val="24"/>
          <w:szCs w:val="24"/>
        </w:rPr>
        <w:t xml:space="preserve"> </w:t>
      </w:r>
      <w:r>
        <w:rPr>
          <w:rFonts w:ascii="Times New Roman" w:hAnsi="Times New Roman" w:eastAsia="Times New Roman" w:cs="Times New Roman"/>
          <w:spacing w:val="-8"/>
          <w:sz w:val="24"/>
          <w:szCs w:val="24"/>
        </w:rPr>
        <w:t>t</w:t>
      </w:r>
      <w:r>
        <w:rPr>
          <w:rFonts w:ascii="Times New Roman" w:hAnsi="Times New Roman" w:eastAsia="Times New Roman" w:cs="Times New Roman"/>
          <w:spacing w:val="-30"/>
          <w:sz w:val="24"/>
          <w:szCs w:val="24"/>
        </w:rPr>
        <w:t xml:space="preserve"> </w:t>
      </w:r>
      <w:r>
        <w:rPr>
          <w:rFonts w:ascii="宋体" w:hAnsi="宋体" w:eastAsia="宋体" w:cs="宋体"/>
          <w:spacing w:val="-8"/>
          <w:sz w:val="24"/>
          <w:szCs w:val="24"/>
        </w:rPr>
        <w:t>，铁矿石</w:t>
      </w:r>
      <w:r>
        <w:rPr>
          <w:rFonts w:ascii="宋体" w:hAnsi="宋体" w:eastAsia="宋体" w:cs="宋体"/>
          <w:spacing w:val="-32"/>
          <w:sz w:val="24"/>
          <w:szCs w:val="24"/>
        </w:rPr>
        <w:t xml:space="preserve"> </w:t>
      </w:r>
      <w:r>
        <w:rPr>
          <w:rFonts w:ascii="Times New Roman" w:hAnsi="Times New Roman" w:eastAsia="Times New Roman" w:cs="Times New Roman"/>
          <w:spacing w:val="-8"/>
          <w:sz w:val="24"/>
          <w:szCs w:val="24"/>
        </w:rPr>
        <w:t xml:space="preserve">1.6 </w:t>
      </w:r>
      <w:r>
        <w:rPr>
          <w:rFonts w:ascii="宋体" w:hAnsi="宋体" w:eastAsia="宋体" w:cs="宋体"/>
          <w:spacing w:val="-8"/>
          <w:sz w:val="24"/>
          <w:szCs w:val="24"/>
        </w:rPr>
        <w:t>亿</w:t>
      </w:r>
      <w:r>
        <w:rPr>
          <w:rFonts w:ascii="宋体" w:hAnsi="宋体" w:eastAsia="宋体" w:cs="宋体"/>
          <w:spacing w:val="-58"/>
          <w:sz w:val="24"/>
          <w:szCs w:val="24"/>
        </w:rPr>
        <w:t xml:space="preserve"> </w:t>
      </w:r>
      <w:r>
        <w:rPr>
          <w:rFonts w:ascii="Times New Roman" w:hAnsi="Times New Roman" w:eastAsia="Times New Roman" w:cs="Times New Roman"/>
          <w:spacing w:val="-8"/>
          <w:sz w:val="24"/>
          <w:szCs w:val="24"/>
        </w:rPr>
        <w:t>t</w:t>
      </w:r>
      <w:r>
        <w:rPr>
          <w:rFonts w:ascii="Times New Roman" w:hAnsi="Times New Roman" w:eastAsia="Times New Roman" w:cs="Times New Roman"/>
          <w:spacing w:val="-33"/>
          <w:sz w:val="24"/>
          <w:szCs w:val="24"/>
        </w:rPr>
        <w:t xml:space="preserve"> </w:t>
      </w:r>
      <w:r>
        <w:rPr>
          <w:rFonts w:ascii="宋体" w:hAnsi="宋体" w:eastAsia="宋体" w:cs="宋体"/>
          <w:spacing w:val="-8"/>
          <w:sz w:val="24"/>
          <w:szCs w:val="24"/>
        </w:rPr>
        <w:t>、碱</w:t>
      </w:r>
      <w:r>
        <w:rPr>
          <w:rFonts w:ascii="宋体" w:hAnsi="宋体" w:eastAsia="宋体" w:cs="宋体"/>
          <w:spacing w:val="-57"/>
          <w:sz w:val="24"/>
          <w:szCs w:val="24"/>
        </w:rPr>
        <w:t xml:space="preserve"> </w:t>
      </w:r>
      <w:r>
        <w:rPr>
          <w:rFonts w:ascii="Times New Roman" w:hAnsi="Times New Roman" w:eastAsia="Times New Roman" w:cs="Times New Roman"/>
          <w:spacing w:val="-8"/>
          <w:sz w:val="24"/>
          <w:szCs w:val="24"/>
        </w:rPr>
        <w:t>4000</w:t>
      </w:r>
      <w:r>
        <w:rPr>
          <w:rFonts w:ascii="Times New Roman" w:hAnsi="Times New Roman" w:eastAsia="Times New Roman" w:cs="Times New Roman"/>
          <w:spacing w:val="15"/>
          <w:w w:val="101"/>
          <w:sz w:val="24"/>
          <w:szCs w:val="24"/>
        </w:rPr>
        <w:t xml:space="preserve"> </w:t>
      </w:r>
      <w:r>
        <w:rPr>
          <w:rFonts w:ascii="宋体" w:hAnsi="宋体" w:eastAsia="宋体" w:cs="宋体"/>
          <w:spacing w:val="-8"/>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8"/>
          <w:sz w:val="24"/>
          <w:szCs w:val="24"/>
        </w:rPr>
        <w:t>t</w:t>
      </w:r>
      <w:r>
        <w:rPr>
          <w:rFonts w:ascii="Times New Roman" w:hAnsi="Times New Roman" w:eastAsia="Times New Roman" w:cs="Times New Roman"/>
          <w:spacing w:val="-33"/>
          <w:sz w:val="24"/>
          <w:szCs w:val="24"/>
        </w:rPr>
        <w:t xml:space="preserve"> </w:t>
      </w:r>
      <w:r>
        <w:rPr>
          <w:rFonts w:ascii="宋体" w:hAnsi="宋体" w:eastAsia="宋体" w:cs="宋体"/>
          <w:spacing w:val="-8"/>
          <w:sz w:val="24"/>
          <w:szCs w:val="24"/>
        </w:rPr>
        <w:t>、芒硝</w:t>
      </w:r>
      <w:r>
        <w:rPr>
          <w:rFonts w:ascii="宋体" w:hAnsi="宋体" w:eastAsia="宋体" w:cs="宋体"/>
          <w:spacing w:val="-56"/>
          <w:sz w:val="24"/>
          <w:szCs w:val="24"/>
        </w:rPr>
        <w:t xml:space="preserve"> </w:t>
      </w:r>
      <w:r>
        <w:rPr>
          <w:rFonts w:ascii="Times New Roman" w:hAnsi="Times New Roman" w:eastAsia="Times New Roman" w:cs="Times New Roman"/>
          <w:spacing w:val="-8"/>
          <w:sz w:val="24"/>
          <w:szCs w:val="24"/>
        </w:rPr>
        <w:t>414</w:t>
      </w:r>
      <w:r>
        <w:rPr>
          <w:rFonts w:ascii="Times New Roman" w:hAnsi="Times New Roman" w:eastAsia="Times New Roman" w:cs="Times New Roman"/>
          <w:spacing w:val="15"/>
          <w:sz w:val="24"/>
          <w:szCs w:val="24"/>
        </w:rPr>
        <w:t xml:space="preserve"> </w:t>
      </w:r>
      <w:r>
        <w:rPr>
          <w:rFonts w:ascii="宋体" w:hAnsi="宋体" w:eastAsia="宋体" w:cs="宋体"/>
          <w:spacing w:val="-8"/>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8"/>
          <w:sz w:val="24"/>
          <w:szCs w:val="24"/>
        </w:rPr>
        <w:t>t</w:t>
      </w:r>
      <w:r>
        <w:rPr>
          <w:rFonts w:ascii="Times New Roman" w:hAnsi="Times New Roman" w:eastAsia="Times New Roman" w:cs="Times New Roman"/>
          <w:spacing w:val="-34"/>
          <w:sz w:val="24"/>
          <w:szCs w:val="24"/>
        </w:rPr>
        <w:t xml:space="preserve"> </w:t>
      </w:r>
      <w:r>
        <w:rPr>
          <w:rFonts w:ascii="宋体" w:hAnsi="宋体" w:eastAsia="宋体" w:cs="宋体"/>
          <w:spacing w:val="-8"/>
          <w:sz w:val="24"/>
          <w:szCs w:val="24"/>
        </w:rPr>
        <w:t>、铜</w:t>
      </w:r>
      <w:r>
        <w:rPr>
          <w:rFonts w:ascii="宋体" w:hAnsi="宋体" w:eastAsia="宋体" w:cs="宋体"/>
          <w:spacing w:val="-51"/>
          <w:sz w:val="24"/>
          <w:szCs w:val="24"/>
        </w:rPr>
        <w:t xml:space="preserve"> </w:t>
      </w:r>
      <w:r>
        <w:rPr>
          <w:rFonts w:ascii="Times New Roman" w:hAnsi="Times New Roman" w:eastAsia="Times New Roman" w:cs="Times New Roman"/>
          <w:spacing w:val="-8"/>
          <w:sz w:val="24"/>
          <w:szCs w:val="24"/>
        </w:rPr>
        <w:t>7</w:t>
      </w:r>
      <w:r>
        <w:rPr>
          <w:rFonts w:ascii="Times New Roman" w:hAnsi="Times New Roman" w:eastAsia="Times New Roman" w:cs="Times New Roman"/>
          <w:spacing w:val="15"/>
          <w:w w:val="101"/>
          <w:sz w:val="24"/>
          <w:szCs w:val="24"/>
        </w:rPr>
        <w:t xml:space="preserve"> </w:t>
      </w:r>
      <w:r>
        <w:rPr>
          <w:rFonts w:ascii="宋体" w:hAnsi="宋体" w:eastAsia="宋体" w:cs="宋体"/>
          <w:spacing w:val="-8"/>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8"/>
          <w:sz w:val="24"/>
          <w:szCs w:val="24"/>
        </w:rPr>
        <w:t>t</w:t>
      </w:r>
      <w:r>
        <w:rPr>
          <w:rFonts w:ascii="Times New Roman" w:hAnsi="Times New Roman" w:eastAsia="Times New Roman" w:cs="Times New Roman"/>
          <w:spacing w:val="-33"/>
          <w:sz w:val="24"/>
          <w:szCs w:val="24"/>
        </w:rPr>
        <w:t xml:space="preserve"> </w:t>
      </w:r>
      <w:r>
        <w:rPr>
          <w:rFonts w:ascii="宋体" w:hAnsi="宋体" w:eastAsia="宋体" w:cs="宋体"/>
          <w:spacing w:val="-8"/>
          <w:sz w:val="24"/>
          <w:szCs w:val="24"/>
        </w:rPr>
        <w:t>、金</w:t>
      </w:r>
      <w:r>
        <w:rPr>
          <w:rFonts w:ascii="宋体" w:hAnsi="宋体" w:eastAsia="宋体" w:cs="宋体"/>
          <w:spacing w:val="-55"/>
          <w:sz w:val="24"/>
          <w:szCs w:val="24"/>
        </w:rPr>
        <w:t xml:space="preserve"> </w:t>
      </w:r>
      <w:r>
        <w:rPr>
          <w:rFonts w:ascii="Times New Roman" w:hAnsi="Times New Roman" w:eastAsia="Times New Roman" w:cs="Times New Roman"/>
          <w:spacing w:val="-8"/>
          <w:sz w:val="24"/>
          <w:szCs w:val="24"/>
        </w:rPr>
        <w:t>2t</w:t>
      </w:r>
      <w:r>
        <w:rPr>
          <w:rFonts w:ascii="Times New Roman" w:hAnsi="Times New Roman" w:eastAsia="Times New Roman" w:cs="Times New Roman"/>
          <w:spacing w:val="-34"/>
          <w:sz w:val="24"/>
          <w:szCs w:val="24"/>
        </w:rPr>
        <w:t xml:space="preserve"> </w:t>
      </w:r>
      <w:r>
        <w:rPr>
          <w:rFonts w:ascii="宋体" w:hAnsi="宋体" w:eastAsia="宋体" w:cs="宋体"/>
          <w:spacing w:val="-8"/>
          <w:sz w:val="24"/>
          <w:szCs w:val="24"/>
        </w:rPr>
        <w:t>、锰</w:t>
      </w:r>
      <w:r>
        <w:rPr>
          <w:rFonts w:ascii="宋体" w:hAnsi="宋体" w:eastAsia="宋体" w:cs="宋体"/>
          <w:spacing w:val="-48"/>
          <w:sz w:val="24"/>
          <w:szCs w:val="24"/>
        </w:rPr>
        <w:t xml:space="preserve"> </w:t>
      </w:r>
      <w:r>
        <w:rPr>
          <w:rFonts w:ascii="Times New Roman" w:hAnsi="Times New Roman" w:eastAsia="Times New Roman" w:cs="Times New Roman"/>
          <w:spacing w:val="-8"/>
          <w:sz w:val="24"/>
          <w:szCs w:val="24"/>
        </w:rPr>
        <w:t>53</w:t>
      </w:r>
      <w:r>
        <w:rPr>
          <w:rFonts w:ascii="Times New Roman" w:hAnsi="Times New Roman" w:eastAsia="Times New Roman" w:cs="Times New Roman"/>
          <w:spacing w:val="15"/>
          <w:sz w:val="24"/>
          <w:szCs w:val="24"/>
        </w:rPr>
        <w:t xml:space="preserve"> </w:t>
      </w:r>
      <w:r>
        <w:rPr>
          <w:rFonts w:ascii="宋体" w:hAnsi="宋体" w:eastAsia="宋体" w:cs="宋体"/>
          <w:spacing w:val="-8"/>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8"/>
          <w:sz w:val="24"/>
          <w:szCs w:val="24"/>
        </w:rPr>
        <w:t>t</w:t>
      </w:r>
      <w:r>
        <w:rPr>
          <w:rFonts w:ascii="Times New Roman" w:hAnsi="Times New Roman" w:eastAsia="Times New Roman" w:cs="Times New Roman"/>
          <w:spacing w:val="-36"/>
          <w:sz w:val="24"/>
          <w:szCs w:val="24"/>
        </w:rPr>
        <w:t xml:space="preserve"> </w:t>
      </w:r>
      <w:r>
        <w:rPr>
          <w:rFonts w:ascii="宋体" w:hAnsi="宋体" w:eastAsia="宋体" w:cs="宋体"/>
          <w:spacing w:val="-8"/>
          <w:sz w:val="24"/>
          <w:szCs w:val="24"/>
        </w:rPr>
        <w:t>、蛇文岩</w:t>
      </w:r>
      <w:r>
        <w:rPr>
          <w:rFonts w:ascii="宋体" w:hAnsi="宋体" w:eastAsia="宋体" w:cs="宋体"/>
          <w:sz w:val="24"/>
          <w:szCs w:val="24"/>
        </w:rPr>
        <w:t xml:space="preserve"> </w:t>
      </w:r>
      <w:r>
        <w:rPr>
          <w:rFonts w:ascii="Times New Roman" w:hAnsi="Times New Roman" w:eastAsia="Times New Roman" w:cs="Times New Roman"/>
          <w:spacing w:val="-3"/>
          <w:sz w:val="24"/>
          <w:szCs w:val="24"/>
        </w:rPr>
        <w:t>521</w:t>
      </w:r>
      <w:r>
        <w:rPr>
          <w:rFonts w:ascii="Times New Roman" w:hAnsi="Times New Roman" w:eastAsia="Times New Roman" w:cs="Times New Roman"/>
          <w:spacing w:val="15"/>
          <w:w w:val="101"/>
          <w:sz w:val="24"/>
          <w:szCs w:val="24"/>
        </w:rPr>
        <w:t xml:space="preserve"> </w:t>
      </w:r>
      <w:r>
        <w:rPr>
          <w:rFonts w:ascii="宋体" w:hAnsi="宋体" w:eastAsia="宋体" w:cs="宋体"/>
          <w:spacing w:val="-3"/>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3"/>
          <w:sz w:val="24"/>
          <w:szCs w:val="24"/>
        </w:rPr>
        <w:t>t</w:t>
      </w:r>
      <w:r>
        <w:rPr>
          <w:rFonts w:ascii="Times New Roman" w:hAnsi="Times New Roman" w:eastAsia="Times New Roman" w:cs="Times New Roman"/>
          <w:spacing w:val="-33"/>
          <w:sz w:val="24"/>
          <w:szCs w:val="24"/>
        </w:rPr>
        <w:t xml:space="preserve"> </w:t>
      </w:r>
      <w:r>
        <w:rPr>
          <w:rFonts w:ascii="宋体" w:hAnsi="宋体" w:eastAsia="宋体" w:cs="宋体"/>
          <w:spacing w:val="-3"/>
          <w:sz w:val="24"/>
          <w:szCs w:val="24"/>
        </w:rPr>
        <w:t>、萤石</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60</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3"/>
          <w:sz w:val="24"/>
          <w:szCs w:val="24"/>
        </w:rPr>
        <w:t>t</w:t>
      </w:r>
      <w:r>
        <w:rPr>
          <w:rFonts w:ascii="Times New Roman" w:hAnsi="Times New Roman" w:eastAsia="Times New Roman" w:cs="Times New Roman"/>
          <w:spacing w:val="-26"/>
          <w:sz w:val="24"/>
          <w:szCs w:val="24"/>
        </w:rPr>
        <w:t xml:space="preserve"> </w:t>
      </w:r>
      <w:r>
        <w:rPr>
          <w:rFonts w:ascii="宋体" w:hAnsi="宋体" w:eastAsia="宋体" w:cs="宋体"/>
          <w:spacing w:val="-3"/>
          <w:sz w:val="24"/>
          <w:szCs w:val="24"/>
        </w:rPr>
        <w:t>。现已开采的主要有金矿、铁矿、碱矿、石油、石灰石等。</w:t>
      </w:r>
    </w:p>
    <w:p w14:paraId="61B5754B">
      <w:pPr>
        <w:spacing w:before="50" w:line="225" w:lineRule="auto"/>
        <w:ind w:left="4"/>
        <w:outlineLvl w:val="1"/>
        <w:rPr>
          <w:rFonts w:ascii="黑体" w:hAnsi="黑体" w:eastAsia="黑体" w:cs="黑体"/>
          <w:sz w:val="31"/>
          <w:szCs w:val="31"/>
        </w:rPr>
      </w:pPr>
      <w:bookmarkStart w:id="343" w:name="bookmark154"/>
      <w:bookmarkEnd w:id="343"/>
      <w:r>
        <w:rPr>
          <w:rFonts w:ascii="Times New Roman" w:hAnsi="Times New Roman" w:eastAsia="Times New Roman" w:cs="Times New Roman"/>
          <w:b/>
          <w:bCs/>
          <w:spacing w:val="5"/>
          <w:sz w:val="31"/>
          <w:szCs w:val="31"/>
        </w:rPr>
        <w:t>3.2</w:t>
      </w:r>
      <w:r>
        <w:rPr>
          <w:rFonts w:ascii="Times New Roman" w:hAnsi="Times New Roman" w:eastAsia="Times New Roman" w:cs="Times New Roman"/>
          <w:b/>
          <w:bCs/>
          <w:spacing w:val="54"/>
          <w:sz w:val="31"/>
          <w:szCs w:val="31"/>
        </w:rPr>
        <w:t xml:space="preserve"> </w:t>
      </w:r>
      <w:r>
        <w:rPr>
          <w:rFonts w:ascii="黑体" w:hAnsi="黑体" w:eastAsia="黑体" w:cs="黑体"/>
          <w:b/>
          <w:bCs/>
          <w:spacing w:val="5"/>
          <w:sz w:val="31"/>
          <w:szCs w:val="31"/>
        </w:rPr>
        <w:t>内蒙古锡林郭勒苏尼特经济开发区朱日和产业园</w:t>
      </w:r>
    </w:p>
    <w:p w14:paraId="52A1D6C5">
      <w:pPr>
        <w:spacing w:before="231" w:line="347" w:lineRule="auto"/>
        <w:ind w:left="11" w:firstLine="472"/>
        <w:jc w:val="both"/>
        <w:rPr>
          <w:rFonts w:ascii="宋体" w:hAnsi="宋体" w:eastAsia="宋体" w:cs="宋体"/>
          <w:sz w:val="24"/>
          <w:szCs w:val="24"/>
        </w:rPr>
      </w:pPr>
      <w:r>
        <w:rPr>
          <w:rFonts w:ascii="Times New Roman" w:hAnsi="Times New Roman" w:eastAsia="Times New Roman" w:cs="Times New Roman"/>
          <w:spacing w:val="-6"/>
          <w:sz w:val="24"/>
          <w:szCs w:val="24"/>
        </w:rPr>
        <w:t xml:space="preserve">2003 </w:t>
      </w:r>
      <w:r>
        <w:rPr>
          <w:rFonts w:ascii="宋体" w:hAnsi="宋体" w:eastAsia="宋体" w:cs="宋体"/>
          <w:spacing w:val="-6"/>
          <w:sz w:val="24"/>
          <w:szCs w:val="24"/>
        </w:rPr>
        <w:t>年，锡林郭勒盟行政公署经《关于同意建立朱日和盟级高载</w:t>
      </w:r>
      <w:r>
        <w:rPr>
          <w:rFonts w:ascii="宋体" w:hAnsi="宋体" w:eastAsia="宋体" w:cs="宋体"/>
          <w:spacing w:val="-7"/>
          <w:sz w:val="24"/>
          <w:szCs w:val="24"/>
        </w:rPr>
        <w:t>能工业园区的批复》</w:t>
      </w:r>
      <w:r>
        <w:rPr>
          <w:rFonts w:ascii="宋体" w:hAnsi="宋体" w:eastAsia="宋体" w:cs="宋体"/>
          <w:sz w:val="24"/>
          <w:szCs w:val="24"/>
        </w:rPr>
        <w:t xml:space="preserve"> （锡署字</w:t>
      </w:r>
      <w:r>
        <w:rPr>
          <w:rFonts w:ascii="Times New Roman" w:hAnsi="Times New Roman" w:eastAsia="Times New Roman" w:cs="Times New Roman"/>
          <w:sz w:val="24"/>
          <w:szCs w:val="24"/>
        </w:rPr>
        <w:t>[2003]113</w:t>
      </w:r>
      <w:r>
        <w:rPr>
          <w:rFonts w:ascii="Times New Roman" w:hAnsi="Times New Roman" w:eastAsia="Times New Roman" w:cs="Times New Roman"/>
          <w:spacing w:val="18"/>
          <w:w w:val="101"/>
          <w:sz w:val="24"/>
          <w:szCs w:val="24"/>
        </w:rPr>
        <w:t xml:space="preserve"> </w:t>
      </w:r>
      <w:r>
        <w:rPr>
          <w:rFonts w:ascii="宋体" w:hAnsi="宋体" w:eastAsia="宋体" w:cs="宋体"/>
          <w:sz w:val="24"/>
          <w:szCs w:val="24"/>
        </w:rPr>
        <w:t>号）文件成立了苏尼特右旗朱日和盟级高载能工业园区，</w:t>
      </w:r>
      <w:r>
        <w:rPr>
          <w:rFonts w:ascii="Times New Roman" w:hAnsi="Times New Roman" w:eastAsia="Times New Roman" w:cs="Times New Roman"/>
          <w:sz w:val="24"/>
          <w:szCs w:val="24"/>
        </w:rPr>
        <w:t xml:space="preserve">2013 </w:t>
      </w:r>
      <w:r>
        <w:rPr>
          <w:rFonts w:ascii="宋体" w:hAnsi="宋体" w:eastAsia="宋体" w:cs="宋体"/>
          <w:sz w:val="24"/>
          <w:szCs w:val="24"/>
        </w:rPr>
        <w:t xml:space="preserve">年更  </w:t>
      </w:r>
      <w:r>
        <w:rPr>
          <w:rFonts w:ascii="宋体" w:hAnsi="宋体" w:eastAsia="宋体" w:cs="宋体"/>
          <w:spacing w:val="-1"/>
          <w:sz w:val="24"/>
          <w:szCs w:val="24"/>
        </w:rPr>
        <w:t>名为苏尼特右旗朱日和工业区。</w:t>
      </w:r>
    </w:p>
    <w:p w14:paraId="498D2532">
      <w:pPr>
        <w:spacing w:before="49" w:line="354" w:lineRule="auto"/>
        <w:ind w:left="9" w:right="105" w:firstLine="474"/>
        <w:rPr>
          <w:rFonts w:ascii="宋体" w:hAnsi="宋体" w:eastAsia="宋体" w:cs="宋体"/>
          <w:sz w:val="24"/>
          <w:szCs w:val="24"/>
        </w:rPr>
      </w:pPr>
      <w:r>
        <w:rPr>
          <w:rFonts w:ascii="Times New Roman" w:hAnsi="Times New Roman" w:eastAsia="Times New Roman" w:cs="Times New Roman"/>
          <w:spacing w:val="-3"/>
          <w:sz w:val="24"/>
          <w:szCs w:val="24"/>
        </w:rPr>
        <w:t xml:space="preserve">2013 </w:t>
      </w:r>
      <w:r>
        <w:rPr>
          <w:rFonts w:ascii="宋体" w:hAnsi="宋体" w:eastAsia="宋体" w:cs="宋体"/>
          <w:spacing w:val="-3"/>
          <w:sz w:val="24"/>
          <w:szCs w:val="24"/>
        </w:rPr>
        <w:t>年，锡林郭勒盟行政公署经《关于苏尼特右旗整合工业园区的批复》（锡署字</w:t>
      </w:r>
      <w:r>
        <w:rPr>
          <w:rFonts w:ascii="宋体" w:hAnsi="宋体" w:eastAsia="宋体" w:cs="宋体"/>
          <w:spacing w:val="2"/>
          <w:sz w:val="24"/>
          <w:szCs w:val="24"/>
        </w:rPr>
        <w:t xml:space="preserve"> </w:t>
      </w:r>
      <w:r>
        <w:rPr>
          <w:rFonts w:ascii="Times New Roman" w:hAnsi="Times New Roman" w:eastAsia="Times New Roman" w:cs="Times New Roman"/>
          <w:spacing w:val="-1"/>
          <w:sz w:val="24"/>
          <w:szCs w:val="24"/>
        </w:rPr>
        <w:t>[2013]31</w:t>
      </w:r>
      <w:r>
        <w:rPr>
          <w:rFonts w:ascii="Times New Roman" w:hAnsi="Times New Roman" w:eastAsia="Times New Roman" w:cs="Times New Roman"/>
          <w:spacing w:val="15"/>
          <w:w w:val="101"/>
          <w:sz w:val="24"/>
          <w:szCs w:val="24"/>
        </w:rPr>
        <w:t xml:space="preserve"> </w:t>
      </w:r>
      <w:r>
        <w:rPr>
          <w:rFonts w:ascii="宋体" w:hAnsi="宋体" w:eastAsia="宋体" w:cs="宋体"/>
          <w:spacing w:val="-1"/>
          <w:sz w:val="24"/>
          <w:szCs w:val="24"/>
        </w:rPr>
        <w:t>号）文件，对苏尼特右旗境内工业区进行整合，</w:t>
      </w:r>
      <w:r>
        <w:rPr>
          <w:rFonts w:ascii="宋体" w:hAnsi="宋体" w:eastAsia="宋体" w:cs="宋体"/>
          <w:spacing w:val="-2"/>
          <w:sz w:val="24"/>
          <w:szCs w:val="24"/>
        </w:rPr>
        <w:t>将苏尼特右旗朱日和工业区、</w:t>
      </w:r>
      <w:r>
        <w:rPr>
          <w:rFonts w:ascii="宋体" w:hAnsi="宋体" w:eastAsia="宋体" w:cs="宋体"/>
          <w:sz w:val="24"/>
          <w:szCs w:val="24"/>
        </w:rPr>
        <w:t xml:space="preserve"> </w:t>
      </w:r>
      <w:r>
        <w:rPr>
          <w:rFonts w:ascii="宋体" w:hAnsi="宋体" w:eastAsia="宋体" w:cs="宋体"/>
          <w:spacing w:val="-2"/>
          <w:sz w:val="24"/>
          <w:szCs w:val="24"/>
        </w:rPr>
        <w:t>赛汉塔拉畜产品加工园区、乌日根塔拉化工园区和都呼木装备制造及物流园区进行整合</w:t>
      </w:r>
      <w:r>
        <w:rPr>
          <w:rFonts w:ascii="宋体" w:hAnsi="宋体" w:eastAsia="宋体" w:cs="宋体"/>
          <w:spacing w:val="16"/>
          <w:sz w:val="24"/>
          <w:szCs w:val="24"/>
        </w:rPr>
        <w:t xml:space="preserve"> </w:t>
      </w:r>
      <w:r>
        <w:rPr>
          <w:rFonts w:ascii="宋体" w:hAnsi="宋体" w:eastAsia="宋体" w:cs="宋体"/>
          <w:spacing w:val="-2"/>
          <w:sz w:val="24"/>
          <w:szCs w:val="24"/>
        </w:rPr>
        <w:t>为苏尼特右旗朱日和工业园区，取消了乌日根塔拉化工园区，原朱日和工业区更名为朱</w:t>
      </w:r>
      <w:r>
        <w:rPr>
          <w:rFonts w:ascii="宋体" w:hAnsi="宋体" w:eastAsia="宋体" w:cs="宋体"/>
          <w:spacing w:val="16"/>
          <w:sz w:val="24"/>
          <w:szCs w:val="24"/>
        </w:rPr>
        <w:t xml:space="preserve"> </w:t>
      </w:r>
      <w:r>
        <w:rPr>
          <w:rFonts w:ascii="宋体" w:hAnsi="宋体" w:eastAsia="宋体" w:cs="宋体"/>
          <w:spacing w:val="-1"/>
          <w:sz w:val="24"/>
          <w:szCs w:val="24"/>
        </w:rPr>
        <w:t>日和冶金产业园（南区</w:t>
      </w:r>
      <w:r>
        <w:rPr>
          <w:rFonts w:ascii="宋体" w:hAnsi="宋体" w:eastAsia="宋体" w:cs="宋体"/>
          <w:spacing w:val="-7"/>
          <w:sz w:val="24"/>
          <w:szCs w:val="24"/>
        </w:rPr>
        <w:t>），</w:t>
      </w:r>
      <w:r>
        <w:rPr>
          <w:rFonts w:ascii="宋体" w:hAnsi="宋体" w:eastAsia="宋体" w:cs="宋体"/>
          <w:spacing w:val="-1"/>
          <w:sz w:val="24"/>
          <w:szCs w:val="24"/>
        </w:rPr>
        <w:t>赛汉塔拉产品加工园区、都呼木装备</w:t>
      </w:r>
      <w:r>
        <w:rPr>
          <w:rFonts w:ascii="宋体" w:hAnsi="宋体" w:eastAsia="宋体" w:cs="宋体"/>
          <w:spacing w:val="-2"/>
          <w:sz w:val="24"/>
          <w:szCs w:val="24"/>
        </w:rPr>
        <w:t>制造及物流园区整合为</w:t>
      </w:r>
      <w:r>
        <w:rPr>
          <w:rFonts w:ascii="宋体" w:hAnsi="宋体" w:eastAsia="宋体" w:cs="宋体"/>
          <w:sz w:val="24"/>
          <w:szCs w:val="24"/>
        </w:rPr>
        <w:t xml:space="preserve"> </w:t>
      </w:r>
      <w:r>
        <w:rPr>
          <w:rFonts w:ascii="宋体" w:hAnsi="宋体" w:eastAsia="宋体" w:cs="宋体"/>
          <w:spacing w:val="-1"/>
          <w:sz w:val="24"/>
          <w:szCs w:val="24"/>
        </w:rPr>
        <w:t>赛罕塔拉轻工产业园（北区）。</w:t>
      </w:r>
    </w:p>
    <w:p w14:paraId="7A049984">
      <w:pPr>
        <w:spacing w:before="38" w:line="347" w:lineRule="auto"/>
        <w:ind w:left="9" w:right="105" w:firstLine="474"/>
        <w:rPr>
          <w:rFonts w:ascii="宋体" w:hAnsi="宋体" w:eastAsia="宋体" w:cs="宋体"/>
          <w:sz w:val="24"/>
          <w:szCs w:val="24"/>
        </w:rPr>
      </w:pPr>
      <w:r>
        <w:rPr>
          <w:rFonts w:ascii="Times New Roman" w:hAnsi="Times New Roman" w:eastAsia="Times New Roman" w:cs="Times New Roman"/>
          <w:spacing w:val="-3"/>
          <w:sz w:val="24"/>
          <w:szCs w:val="24"/>
        </w:rPr>
        <w:t xml:space="preserve">2013 </w:t>
      </w:r>
      <w:r>
        <w:rPr>
          <w:rFonts w:ascii="宋体" w:hAnsi="宋体" w:eastAsia="宋体" w:cs="宋体"/>
          <w:spacing w:val="-3"/>
          <w:sz w:val="24"/>
          <w:szCs w:val="24"/>
        </w:rPr>
        <w:t>年，苏尼特右旗人民政府委托中国中轻国际工程有限公司编制了《苏尼特右旗</w:t>
      </w:r>
      <w:r>
        <w:rPr>
          <w:rFonts w:ascii="宋体" w:hAnsi="宋体" w:eastAsia="宋体" w:cs="宋体"/>
          <w:spacing w:val="2"/>
          <w:sz w:val="24"/>
          <w:szCs w:val="24"/>
        </w:rPr>
        <w:t xml:space="preserve"> </w:t>
      </w:r>
      <w:r>
        <w:rPr>
          <w:rFonts w:ascii="宋体" w:hAnsi="宋体" w:eastAsia="宋体" w:cs="宋体"/>
          <w:spacing w:val="-1"/>
          <w:sz w:val="24"/>
          <w:szCs w:val="24"/>
        </w:rPr>
        <w:t>朱日和工业园区总体规划（</w:t>
      </w:r>
      <w:r>
        <w:rPr>
          <w:rFonts w:ascii="Times New Roman" w:hAnsi="Times New Roman" w:eastAsia="Times New Roman" w:cs="Times New Roman"/>
          <w:spacing w:val="-1"/>
          <w:sz w:val="24"/>
          <w:szCs w:val="24"/>
        </w:rPr>
        <w:t>2013-2030</w:t>
      </w:r>
      <w:r>
        <w:rPr>
          <w:rFonts w:ascii="宋体" w:hAnsi="宋体" w:eastAsia="宋体" w:cs="宋体"/>
          <w:spacing w:val="-1"/>
          <w:sz w:val="24"/>
          <w:szCs w:val="24"/>
        </w:rPr>
        <w:t>）》。</w:t>
      </w:r>
    </w:p>
    <w:p w14:paraId="7961684F">
      <w:pPr>
        <w:spacing w:before="33" w:line="350" w:lineRule="auto"/>
        <w:ind w:left="10" w:right="105" w:firstLine="473"/>
        <w:jc w:val="both"/>
        <w:rPr>
          <w:rFonts w:ascii="宋体" w:hAnsi="宋体" w:eastAsia="宋体" w:cs="宋体"/>
          <w:sz w:val="24"/>
          <w:szCs w:val="24"/>
        </w:rPr>
      </w:pPr>
      <w:r>
        <w:rPr>
          <w:rFonts w:ascii="Times New Roman" w:hAnsi="Times New Roman" w:eastAsia="Times New Roman" w:cs="Times New Roman"/>
          <w:spacing w:val="-3"/>
          <w:sz w:val="24"/>
          <w:szCs w:val="24"/>
        </w:rPr>
        <w:t xml:space="preserve">2014 </w:t>
      </w:r>
      <w:r>
        <w:rPr>
          <w:rFonts w:ascii="宋体" w:hAnsi="宋体" w:eastAsia="宋体" w:cs="宋体"/>
          <w:spacing w:val="-3"/>
          <w:sz w:val="24"/>
          <w:szCs w:val="24"/>
        </w:rPr>
        <w:t>年，园区管理委员会委托内蒙古环科园环境科技有限责任公司编制了《苏尼特</w:t>
      </w:r>
      <w:r>
        <w:rPr>
          <w:rFonts w:ascii="宋体" w:hAnsi="宋体" w:eastAsia="宋体" w:cs="宋体"/>
          <w:spacing w:val="2"/>
          <w:sz w:val="24"/>
          <w:szCs w:val="24"/>
        </w:rPr>
        <w:t xml:space="preserve"> </w:t>
      </w:r>
      <w:r>
        <w:rPr>
          <w:rFonts w:ascii="宋体" w:hAnsi="宋体" w:eastAsia="宋体" w:cs="宋体"/>
          <w:spacing w:val="-2"/>
          <w:sz w:val="24"/>
          <w:szCs w:val="24"/>
        </w:rPr>
        <w:t>右旗朱日和工业园区总体规划环境影响报告书》，并取得了</w:t>
      </w:r>
      <w:r>
        <w:rPr>
          <w:rFonts w:hint="eastAsia" w:ascii="宋体" w:hAnsi="宋体" w:eastAsia="宋体" w:cs="宋体"/>
          <w:spacing w:val="-2"/>
          <w:sz w:val="24"/>
          <w:szCs w:val="24"/>
        </w:rPr>
        <w:t>锡林郭勒盟</w:t>
      </w:r>
      <w:r>
        <w:rPr>
          <w:rFonts w:ascii="宋体" w:hAnsi="宋体" w:eastAsia="宋体" w:cs="宋体"/>
          <w:spacing w:val="-2"/>
          <w:sz w:val="24"/>
          <w:szCs w:val="24"/>
        </w:rPr>
        <w:t>环境保护局审查</w:t>
      </w:r>
      <w:r>
        <w:rPr>
          <w:rFonts w:ascii="宋体" w:hAnsi="宋体" w:eastAsia="宋体" w:cs="宋体"/>
          <w:spacing w:val="15"/>
          <w:sz w:val="24"/>
          <w:szCs w:val="24"/>
        </w:rPr>
        <w:t xml:space="preserve"> </w:t>
      </w:r>
      <w:r>
        <w:rPr>
          <w:rFonts w:ascii="宋体" w:hAnsi="宋体" w:eastAsia="宋体" w:cs="宋体"/>
          <w:spacing w:val="-4"/>
          <w:sz w:val="24"/>
          <w:szCs w:val="24"/>
        </w:rPr>
        <w:t>意见。</w:t>
      </w:r>
    </w:p>
    <w:p w14:paraId="30735D3E">
      <w:pPr>
        <w:spacing w:before="36" w:line="352" w:lineRule="auto"/>
        <w:ind w:left="7" w:right="105" w:firstLine="482"/>
        <w:jc w:val="both"/>
        <w:rPr>
          <w:rFonts w:ascii="宋体" w:hAnsi="宋体" w:eastAsia="宋体" w:cs="宋体"/>
          <w:sz w:val="24"/>
          <w:szCs w:val="24"/>
        </w:rPr>
      </w:pPr>
      <w:r>
        <w:rPr>
          <w:rFonts w:ascii="宋体" w:hAnsi="宋体" w:eastAsia="宋体" w:cs="宋体"/>
          <w:sz w:val="24"/>
          <w:szCs w:val="24"/>
        </w:rPr>
        <w:t>按照《内蒙古自治区开发区优化调整实施方案》（内蒙古自治区人民政府第</w:t>
      </w:r>
      <w:r>
        <w:rPr>
          <w:rFonts w:ascii="宋体" w:hAnsi="宋体" w:eastAsia="宋体" w:cs="宋体"/>
          <w:spacing w:val="-19"/>
          <w:sz w:val="24"/>
          <w:szCs w:val="24"/>
        </w:rPr>
        <w:t xml:space="preserve"> </w:t>
      </w:r>
      <w:r>
        <w:rPr>
          <w:rFonts w:ascii="Times New Roman" w:hAnsi="Times New Roman" w:eastAsia="Times New Roman" w:cs="Times New Roman"/>
          <w:sz w:val="24"/>
          <w:szCs w:val="24"/>
        </w:rPr>
        <w:t>14</w:t>
      </w:r>
      <w:r>
        <w:rPr>
          <w:rFonts w:ascii="Times New Roman" w:hAnsi="Times New Roman" w:eastAsia="Times New Roman" w:cs="Times New Roman"/>
          <w:spacing w:val="18"/>
          <w:w w:val="101"/>
          <w:sz w:val="24"/>
          <w:szCs w:val="24"/>
        </w:rPr>
        <w:t xml:space="preserve"> </w:t>
      </w:r>
      <w:r>
        <w:rPr>
          <w:rFonts w:ascii="宋体" w:hAnsi="宋体" w:eastAsia="宋体" w:cs="宋体"/>
          <w:sz w:val="24"/>
          <w:szCs w:val="24"/>
        </w:rPr>
        <w:t xml:space="preserve">次 </w:t>
      </w:r>
      <w:r>
        <w:rPr>
          <w:rFonts w:ascii="宋体" w:hAnsi="宋体" w:eastAsia="宋体" w:cs="宋体"/>
          <w:spacing w:val="-1"/>
          <w:sz w:val="24"/>
          <w:szCs w:val="24"/>
        </w:rPr>
        <w:t>常务会议审议通过</w:t>
      </w:r>
      <w:r>
        <w:rPr>
          <w:rFonts w:ascii="宋体" w:hAnsi="宋体" w:eastAsia="宋体" w:cs="宋体"/>
          <w:spacing w:val="-11"/>
          <w:sz w:val="24"/>
          <w:szCs w:val="24"/>
        </w:rPr>
        <w:t>），</w:t>
      </w:r>
      <w:r>
        <w:rPr>
          <w:rFonts w:ascii="宋体" w:hAnsi="宋体" w:eastAsia="宋体" w:cs="宋体"/>
          <w:spacing w:val="-1"/>
          <w:sz w:val="24"/>
          <w:szCs w:val="24"/>
        </w:rPr>
        <w:t>锡林郭勒盟人民政府将苏尼特左旗芒来工业园区、苏尼特右旗朱</w:t>
      </w:r>
      <w:r>
        <w:rPr>
          <w:rFonts w:ascii="宋体" w:hAnsi="宋体" w:eastAsia="宋体" w:cs="宋体"/>
          <w:sz w:val="24"/>
          <w:szCs w:val="24"/>
        </w:rPr>
        <w:t xml:space="preserve"> </w:t>
      </w:r>
      <w:r>
        <w:rPr>
          <w:rFonts w:ascii="宋体" w:hAnsi="宋体" w:eastAsia="宋体" w:cs="宋体"/>
          <w:spacing w:val="-2"/>
          <w:sz w:val="24"/>
          <w:szCs w:val="24"/>
        </w:rPr>
        <w:t>日和工业园区整合更名为内蒙古锡林郭勒苏尼特经济开发区，包括</w:t>
      </w:r>
      <w:r>
        <w:rPr>
          <w:rFonts w:ascii="宋体" w:hAnsi="宋体" w:eastAsia="宋体" w:cs="宋体"/>
          <w:spacing w:val="-40"/>
          <w:sz w:val="24"/>
          <w:szCs w:val="24"/>
        </w:rPr>
        <w:t xml:space="preserve"> </w:t>
      </w:r>
      <w:r>
        <w:rPr>
          <w:rFonts w:ascii="Times New Roman" w:hAnsi="Times New Roman" w:eastAsia="Times New Roman" w:cs="Times New Roman"/>
          <w:spacing w:val="-2"/>
          <w:sz w:val="24"/>
          <w:szCs w:val="24"/>
        </w:rPr>
        <w:t xml:space="preserve">3 </w:t>
      </w:r>
      <w:r>
        <w:rPr>
          <w:rFonts w:ascii="宋体" w:hAnsi="宋体" w:eastAsia="宋体" w:cs="宋体"/>
          <w:spacing w:val="-2"/>
          <w:sz w:val="24"/>
          <w:szCs w:val="24"/>
        </w:rPr>
        <w:t>个区块，苏尼特左</w:t>
      </w:r>
      <w:r>
        <w:rPr>
          <w:rFonts w:ascii="宋体" w:hAnsi="宋体" w:eastAsia="宋体" w:cs="宋体"/>
          <w:sz w:val="24"/>
          <w:szCs w:val="24"/>
        </w:rPr>
        <w:t xml:space="preserve"> </w:t>
      </w:r>
      <w:r>
        <w:rPr>
          <w:rFonts w:ascii="宋体" w:hAnsi="宋体" w:eastAsia="宋体" w:cs="宋体"/>
          <w:spacing w:val="-1"/>
          <w:sz w:val="24"/>
          <w:szCs w:val="24"/>
        </w:rPr>
        <w:t>旗产业园、苏尼特右旗产业园及朱日和产业园。</w:t>
      </w:r>
    </w:p>
    <w:p w14:paraId="5D46FC08">
      <w:pPr>
        <w:spacing w:before="36" w:line="219" w:lineRule="auto"/>
        <w:ind w:left="484"/>
        <w:rPr>
          <w:rFonts w:ascii="宋体" w:hAnsi="宋体" w:eastAsia="宋体" w:cs="宋体"/>
          <w:sz w:val="24"/>
          <w:szCs w:val="24"/>
        </w:rPr>
      </w:pPr>
      <w:r>
        <w:rPr>
          <w:rFonts w:ascii="Times New Roman" w:hAnsi="Times New Roman" w:eastAsia="Times New Roman" w:cs="Times New Roman"/>
          <w:spacing w:val="-3"/>
          <w:sz w:val="24"/>
          <w:szCs w:val="24"/>
        </w:rPr>
        <w:t xml:space="preserve">2021 </w:t>
      </w:r>
      <w:r>
        <w:rPr>
          <w:rFonts w:ascii="宋体" w:hAnsi="宋体" w:eastAsia="宋体" w:cs="宋体"/>
          <w:spacing w:val="-3"/>
          <w:sz w:val="24"/>
          <w:szCs w:val="24"/>
        </w:rPr>
        <w:t>年，苏尼特右旗朱日和工业区管理委员会委托内蒙古优碳项目管理咨询有限公</w:t>
      </w:r>
    </w:p>
    <w:p w14:paraId="384B2470">
      <w:pPr>
        <w:spacing w:line="219" w:lineRule="auto"/>
        <w:rPr>
          <w:rFonts w:ascii="宋体" w:hAnsi="宋体" w:eastAsia="宋体" w:cs="宋体"/>
          <w:sz w:val="24"/>
          <w:szCs w:val="24"/>
        </w:rPr>
        <w:sectPr>
          <w:headerReference r:id="rId206" w:type="default"/>
          <w:footerReference r:id="rId207" w:type="default"/>
          <w:pgSz w:w="11906" w:h="16839"/>
          <w:pgMar w:top="1190" w:right="1312" w:bottom="993" w:left="1417" w:header="882" w:footer="831" w:gutter="0"/>
          <w:cols w:space="720" w:num="1"/>
        </w:sectPr>
      </w:pPr>
    </w:p>
    <w:p w14:paraId="05123878">
      <w:pPr>
        <w:spacing w:line="28" w:lineRule="exact"/>
      </w:pPr>
      <w:r>
        <w:pict>
          <v:shape id="_x0000_s1251" o:spid="_x0000_s1251" style="height:1.45pt;width:453.65pt;" fillcolor="#000000" filled="t" stroked="f" coordsize="9072,29" path="m0,0l9072,0,9072,28,0,28,0,0xe">
            <v:path/>
            <v:fill on="t" focussize="0,0"/>
            <v:stroke on="f"/>
            <v:imagedata o:title=""/>
            <o:lock v:ext="edit"/>
            <w10:wrap type="none"/>
            <w10:anchorlock/>
          </v:shape>
        </w:pict>
      </w:r>
    </w:p>
    <w:p w14:paraId="2E2CE105">
      <w:pPr>
        <w:spacing w:before="233" w:line="218" w:lineRule="auto"/>
        <w:ind w:left="17"/>
        <w:rPr>
          <w:rFonts w:ascii="宋体" w:hAnsi="宋体" w:eastAsia="宋体" w:cs="宋体"/>
          <w:sz w:val="24"/>
          <w:szCs w:val="24"/>
        </w:rPr>
      </w:pPr>
      <w:r>
        <w:rPr>
          <w:rFonts w:ascii="宋体" w:hAnsi="宋体" w:eastAsia="宋体" w:cs="宋体"/>
          <w:spacing w:val="-1"/>
          <w:sz w:val="24"/>
          <w:szCs w:val="24"/>
        </w:rPr>
        <w:t>司编制了《苏尼特右旗朱日和工业园区环境影响区域评估》。</w:t>
      </w:r>
    </w:p>
    <w:p w14:paraId="1CBC49EC">
      <w:pPr>
        <w:spacing w:before="181" w:line="350" w:lineRule="auto"/>
        <w:ind w:left="10" w:right="80" w:firstLine="479"/>
        <w:jc w:val="both"/>
        <w:rPr>
          <w:rFonts w:ascii="宋体" w:hAnsi="宋体" w:eastAsia="宋体" w:cs="宋体"/>
          <w:sz w:val="24"/>
          <w:szCs w:val="24"/>
        </w:rPr>
      </w:pPr>
      <w:r>
        <w:rPr>
          <w:rFonts w:ascii="宋体" w:hAnsi="宋体" w:eastAsia="宋体" w:cs="宋体"/>
          <w:spacing w:val="3"/>
          <w:sz w:val="24"/>
          <w:szCs w:val="24"/>
        </w:rPr>
        <w:t>本次评价根据《苏尼特右旗朱日和工业园区总</w:t>
      </w:r>
      <w:r>
        <w:rPr>
          <w:rFonts w:ascii="宋体" w:hAnsi="宋体" w:eastAsia="宋体" w:cs="宋体"/>
          <w:spacing w:val="2"/>
          <w:sz w:val="24"/>
          <w:szCs w:val="24"/>
        </w:rPr>
        <w:t>体规划》（</w:t>
      </w:r>
      <w:r>
        <w:rPr>
          <w:rFonts w:ascii="Times New Roman" w:hAnsi="Times New Roman" w:eastAsia="Times New Roman" w:cs="Times New Roman"/>
          <w:spacing w:val="2"/>
          <w:sz w:val="24"/>
          <w:szCs w:val="24"/>
        </w:rPr>
        <w:t>2013-2030</w:t>
      </w:r>
      <w:r>
        <w:rPr>
          <w:rFonts w:ascii="宋体" w:hAnsi="宋体" w:eastAsia="宋体" w:cs="宋体"/>
          <w:spacing w:val="2"/>
          <w:sz w:val="24"/>
          <w:szCs w:val="24"/>
        </w:rPr>
        <w:t>）、《苏尼特</w:t>
      </w:r>
      <w:r>
        <w:rPr>
          <w:rFonts w:ascii="宋体" w:hAnsi="宋体" w:eastAsia="宋体" w:cs="宋体"/>
          <w:sz w:val="24"/>
          <w:szCs w:val="24"/>
        </w:rPr>
        <w:t xml:space="preserve"> </w:t>
      </w:r>
      <w:r>
        <w:rPr>
          <w:rFonts w:ascii="宋体" w:hAnsi="宋体" w:eastAsia="宋体" w:cs="宋体"/>
          <w:spacing w:val="-3"/>
          <w:sz w:val="24"/>
          <w:szCs w:val="24"/>
        </w:rPr>
        <w:t>右旗朱日和工业园区总体规划环境影响报告书》（</w:t>
      </w:r>
      <w:r>
        <w:rPr>
          <w:rFonts w:ascii="Times New Roman" w:hAnsi="Times New Roman" w:eastAsia="Times New Roman" w:cs="Times New Roman"/>
          <w:spacing w:val="-3"/>
          <w:sz w:val="24"/>
          <w:szCs w:val="24"/>
        </w:rPr>
        <w:t xml:space="preserve">2014 </w:t>
      </w:r>
      <w:r>
        <w:rPr>
          <w:rFonts w:ascii="宋体" w:hAnsi="宋体" w:eastAsia="宋体" w:cs="宋体"/>
          <w:spacing w:val="-3"/>
          <w:sz w:val="24"/>
          <w:szCs w:val="24"/>
        </w:rPr>
        <w:t>年）及《苏尼特右旗朱日和工业</w:t>
      </w:r>
      <w:r>
        <w:rPr>
          <w:rFonts w:ascii="宋体" w:hAnsi="宋体" w:eastAsia="宋体" w:cs="宋体"/>
          <w:spacing w:val="2"/>
          <w:sz w:val="24"/>
          <w:szCs w:val="24"/>
        </w:rPr>
        <w:t xml:space="preserve"> </w:t>
      </w:r>
      <w:r>
        <w:rPr>
          <w:rFonts w:ascii="宋体" w:hAnsi="宋体" w:eastAsia="宋体" w:cs="宋体"/>
          <w:spacing w:val="1"/>
          <w:sz w:val="24"/>
          <w:szCs w:val="24"/>
        </w:rPr>
        <w:t>园区环境影响区域评估》（</w:t>
      </w:r>
      <w:r>
        <w:rPr>
          <w:rFonts w:ascii="Times New Roman" w:hAnsi="Times New Roman" w:eastAsia="Times New Roman" w:cs="Times New Roman"/>
          <w:spacing w:val="1"/>
          <w:sz w:val="24"/>
          <w:szCs w:val="24"/>
        </w:rPr>
        <w:t>2021</w:t>
      </w:r>
      <w:r>
        <w:rPr>
          <w:rFonts w:ascii="宋体" w:hAnsi="宋体" w:eastAsia="宋体" w:cs="宋体"/>
          <w:spacing w:val="1"/>
          <w:sz w:val="24"/>
          <w:szCs w:val="24"/>
        </w:rPr>
        <w:t>年）对朱日和产业园进行介绍。</w:t>
      </w:r>
    </w:p>
    <w:p w14:paraId="476070EE">
      <w:pPr>
        <w:spacing w:before="202" w:line="223" w:lineRule="auto"/>
        <w:ind w:left="11"/>
        <w:outlineLvl w:val="2"/>
        <w:rPr>
          <w:rFonts w:ascii="黑体" w:hAnsi="黑体" w:eastAsia="黑体" w:cs="黑体"/>
          <w:sz w:val="30"/>
          <w:szCs w:val="30"/>
        </w:rPr>
      </w:pPr>
      <w:bookmarkStart w:id="344" w:name="bookmark156"/>
      <w:bookmarkEnd w:id="344"/>
      <w:r>
        <w:rPr>
          <w:rFonts w:ascii="Times New Roman" w:hAnsi="Times New Roman" w:eastAsia="Times New Roman" w:cs="Times New Roman"/>
          <w:spacing w:val="-2"/>
          <w:sz w:val="30"/>
          <w:szCs w:val="30"/>
        </w:rPr>
        <w:t xml:space="preserve">3.2.1 </w:t>
      </w:r>
      <w:r>
        <w:rPr>
          <w:rFonts w:ascii="黑体" w:hAnsi="黑体" w:eastAsia="黑体" w:cs="黑体"/>
          <w:spacing w:val="-2"/>
          <w:sz w:val="30"/>
          <w:szCs w:val="30"/>
        </w:rPr>
        <w:t>规划范围</w:t>
      </w:r>
    </w:p>
    <w:p w14:paraId="469A803A">
      <w:pPr>
        <w:spacing w:before="171" w:line="219" w:lineRule="auto"/>
        <w:ind w:left="495"/>
        <w:rPr>
          <w:rFonts w:ascii="宋体" w:hAnsi="宋体" w:eastAsia="宋体" w:cs="宋体"/>
          <w:sz w:val="24"/>
          <w:szCs w:val="24"/>
        </w:rPr>
      </w:pPr>
      <w:r>
        <w:rPr>
          <w:rFonts w:ascii="宋体" w:hAnsi="宋体" w:eastAsia="宋体" w:cs="宋体"/>
          <w:spacing w:val="-1"/>
          <w:sz w:val="24"/>
          <w:szCs w:val="24"/>
        </w:rPr>
        <w:t>苏尼特右旗朱日和工业区，由冶金产业园区、轻工产业园区两个园区构成。</w:t>
      </w:r>
    </w:p>
    <w:p w14:paraId="400B4222">
      <w:pPr>
        <w:spacing w:before="185" w:line="350" w:lineRule="auto"/>
        <w:ind w:left="9" w:firstLine="484"/>
        <w:rPr>
          <w:rFonts w:ascii="宋体" w:hAnsi="宋体" w:eastAsia="宋体" w:cs="宋体"/>
          <w:sz w:val="24"/>
          <w:szCs w:val="24"/>
        </w:rPr>
      </w:pPr>
      <w:r>
        <w:rPr>
          <w:rFonts w:ascii="宋体" w:hAnsi="宋体" w:eastAsia="宋体" w:cs="宋体"/>
          <w:spacing w:val="-7"/>
          <w:sz w:val="24"/>
          <w:szCs w:val="24"/>
        </w:rPr>
        <w:t>冶金产业园区位于朱日和镇北部，具体四至范围为东至小敖包山下、西至</w:t>
      </w:r>
      <w:r>
        <w:rPr>
          <w:rFonts w:ascii="宋体" w:hAnsi="宋体" w:eastAsia="宋体" w:cs="宋体"/>
          <w:spacing w:val="-51"/>
          <w:sz w:val="24"/>
          <w:szCs w:val="24"/>
        </w:rPr>
        <w:t xml:space="preserve"> </w:t>
      </w:r>
      <w:r>
        <w:rPr>
          <w:rFonts w:ascii="Times New Roman" w:hAnsi="Times New Roman" w:eastAsia="Times New Roman" w:cs="Times New Roman"/>
          <w:spacing w:val="-7"/>
          <w:sz w:val="24"/>
          <w:szCs w:val="24"/>
        </w:rPr>
        <w:t>208</w:t>
      </w:r>
      <w:r>
        <w:rPr>
          <w:rFonts w:ascii="Times New Roman" w:hAnsi="Times New Roman" w:eastAsia="Times New Roman" w:cs="Times New Roman"/>
          <w:spacing w:val="33"/>
          <w:sz w:val="24"/>
          <w:szCs w:val="24"/>
        </w:rPr>
        <w:t xml:space="preserve"> </w:t>
      </w:r>
      <w:r>
        <w:rPr>
          <w:rFonts w:ascii="宋体" w:hAnsi="宋体" w:eastAsia="宋体" w:cs="宋体"/>
          <w:spacing w:val="-7"/>
          <w:sz w:val="24"/>
          <w:szCs w:val="24"/>
        </w:rPr>
        <w:t>国道、</w:t>
      </w:r>
      <w:r>
        <w:rPr>
          <w:rFonts w:ascii="宋体" w:hAnsi="宋体" w:eastAsia="宋体" w:cs="宋体"/>
          <w:sz w:val="24"/>
          <w:szCs w:val="24"/>
        </w:rPr>
        <w:t xml:space="preserve"> </w:t>
      </w:r>
      <w:r>
        <w:rPr>
          <w:rFonts w:ascii="宋体" w:hAnsi="宋体" w:eastAsia="宋体" w:cs="宋体"/>
          <w:spacing w:val="-2"/>
          <w:sz w:val="24"/>
          <w:szCs w:val="24"/>
        </w:rPr>
        <w:t>南至海源化工、蒙达冶炼、宏宇钛等三家企业南墙，北至赛汉塔拉至镶黄旗公路南，总</w:t>
      </w:r>
      <w:r>
        <w:rPr>
          <w:rFonts w:ascii="宋体" w:hAnsi="宋体" w:eastAsia="宋体" w:cs="宋体"/>
          <w:spacing w:val="16"/>
          <w:sz w:val="24"/>
          <w:szCs w:val="24"/>
        </w:rPr>
        <w:t xml:space="preserve"> </w:t>
      </w:r>
      <w:r>
        <w:rPr>
          <w:rFonts w:ascii="宋体" w:hAnsi="宋体" w:eastAsia="宋体" w:cs="宋体"/>
          <w:spacing w:val="-3"/>
          <w:sz w:val="24"/>
          <w:szCs w:val="24"/>
        </w:rPr>
        <w:t>面积</w:t>
      </w:r>
      <w:r>
        <w:rPr>
          <w:rFonts w:ascii="宋体" w:hAnsi="宋体" w:eastAsia="宋体" w:cs="宋体"/>
          <w:spacing w:val="-41"/>
          <w:sz w:val="24"/>
          <w:szCs w:val="24"/>
        </w:rPr>
        <w:t xml:space="preserve"> </w:t>
      </w:r>
      <w:r>
        <w:rPr>
          <w:rFonts w:ascii="Times New Roman" w:hAnsi="Times New Roman" w:eastAsia="Times New Roman" w:cs="Times New Roman"/>
          <w:spacing w:val="-3"/>
          <w:sz w:val="24"/>
          <w:szCs w:val="24"/>
        </w:rPr>
        <w:t>5.4km</w:t>
      </w:r>
      <w:r>
        <w:rPr>
          <w:rFonts w:ascii="Times New Roman" w:hAnsi="Times New Roman" w:eastAsia="Times New Roman" w:cs="Times New Roman"/>
          <w:spacing w:val="-3"/>
          <w:position w:val="7"/>
          <w:sz w:val="15"/>
          <w:szCs w:val="15"/>
        </w:rPr>
        <w:t>2</w:t>
      </w:r>
      <w:r>
        <w:rPr>
          <w:rFonts w:ascii="宋体" w:hAnsi="宋体" w:eastAsia="宋体" w:cs="宋体"/>
          <w:spacing w:val="-3"/>
          <w:sz w:val="24"/>
          <w:szCs w:val="24"/>
        </w:rPr>
        <w:t>。</w:t>
      </w:r>
    </w:p>
    <w:p w14:paraId="098AD746">
      <w:pPr>
        <w:spacing w:before="33" w:line="350" w:lineRule="auto"/>
        <w:ind w:left="7" w:right="80" w:firstLine="484"/>
        <w:jc w:val="both"/>
        <w:rPr>
          <w:rFonts w:ascii="宋体" w:hAnsi="宋体" w:eastAsia="宋体" w:cs="宋体"/>
          <w:sz w:val="24"/>
          <w:szCs w:val="24"/>
        </w:rPr>
      </w:pPr>
      <w:r>
        <w:rPr>
          <w:rFonts w:ascii="宋体" w:hAnsi="宋体" w:eastAsia="宋体" w:cs="宋体"/>
          <w:spacing w:val="-3"/>
          <w:sz w:val="24"/>
          <w:szCs w:val="24"/>
        </w:rPr>
        <w:t>轻工产业园位于赛汉塔拉镇东部和南部，东部四至范围为东至</w:t>
      </w:r>
      <w:r>
        <w:rPr>
          <w:rFonts w:ascii="宋体" w:hAnsi="宋体" w:eastAsia="宋体" w:cs="宋体"/>
          <w:spacing w:val="-44"/>
          <w:sz w:val="24"/>
          <w:szCs w:val="24"/>
        </w:rPr>
        <w:t xml:space="preserve"> </w:t>
      </w:r>
      <w:r>
        <w:rPr>
          <w:rFonts w:ascii="Times New Roman" w:hAnsi="Times New Roman" w:eastAsia="Times New Roman" w:cs="Times New Roman"/>
          <w:spacing w:val="-3"/>
          <w:sz w:val="24"/>
          <w:szCs w:val="24"/>
        </w:rPr>
        <w:t>208</w:t>
      </w:r>
      <w:r>
        <w:rPr>
          <w:rFonts w:ascii="Times New Roman" w:hAnsi="Times New Roman" w:eastAsia="Times New Roman" w:cs="Times New Roman"/>
          <w:spacing w:val="33"/>
          <w:sz w:val="24"/>
          <w:szCs w:val="24"/>
        </w:rPr>
        <w:t xml:space="preserve"> </w:t>
      </w:r>
      <w:r>
        <w:rPr>
          <w:rFonts w:ascii="宋体" w:hAnsi="宋体" w:eastAsia="宋体" w:cs="宋体"/>
          <w:spacing w:val="-3"/>
          <w:sz w:val="24"/>
          <w:szCs w:val="24"/>
        </w:rPr>
        <w:t>国道、西至集二</w:t>
      </w:r>
      <w:r>
        <w:rPr>
          <w:rFonts w:ascii="宋体" w:hAnsi="宋体" w:eastAsia="宋体" w:cs="宋体"/>
          <w:sz w:val="24"/>
          <w:szCs w:val="24"/>
        </w:rPr>
        <w:t xml:space="preserve"> </w:t>
      </w:r>
      <w:r>
        <w:rPr>
          <w:rFonts w:ascii="宋体" w:hAnsi="宋体" w:eastAsia="宋体" w:cs="宋体"/>
          <w:spacing w:val="-4"/>
          <w:sz w:val="24"/>
          <w:szCs w:val="24"/>
        </w:rPr>
        <w:t>铁路、南至宝力嘎街、北至</w:t>
      </w:r>
      <w:r>
        <w:rPr>
          <w:rFonts w:ascii="宋体" w:hAnsi="宋体" w:eastAsia="宋体" w:cs="宋体"/>
          <w:spacing w:val="-22"/>
          <w:sz w:val="24"/>
          <w:szCs w:val="24"/>
        </w:rPr>
        <w:t xml:space="preserve"> </w:t>
      </w:r>
      <w:r>
        <w:rPr>
          <w:rFonts w:ascii="Times New Roman" w:hAnsi="Times New Roman" w:eastAsia="Times New Roman" w:cs="Times New Roman"/>
          <w:spacing w:val="-4"/>
          <w:sz w:val="24"/>
          <w:szCs w:val="24"/>
        </w:rPr>
        <w:t xml:space="preserve">101 </w:t>
      </w:r>
      <w:r>
        <w:rPr>
          <w:rFonts w:ascii="宋体" w:hAnsi="宋体" w:eastAsia="宋体" w:cs="宋体"/>
          <w:spacing w:val="-4"/>
          <w:sz w:val="24"/>
          <w:szCs w:val="24"/>
        </w:rPr>
        <w:t>省道，总面积</w:t>
      </w:r>
      <w:r>
        <w:rPr>
          <w:rFonts w:ascii="宋体" w:hAnsi="宋体" w:eastAsia="宋体" w:cs="宋体"/>
          <w:spacing w:val="-51"/>
          <w:sz w:val="24"/>
          <w:szCs w:val="24"/>
        </w:rPr>
        <w:t xml:space="preserve"> </w:t>
      </w:r>
      <w:r>
        <w:rPr>
          <w:rFonts w:ascii="Times New Roman" w:hAnsi="Times New Roman" w:eastAsia="Times New Roman" w:cs="Times New Roman"/>
          <w:spacing w:val="-4"/>
          <w:sz w:val="24"/>
          <w:szCs w:val="24"/>
        </w:rPr>
        <w:t>3.5km2</w:t>
      </w:r>
      <w:r>
        <w:rPr>
          <w:rFonts w:ascii="宋体" w:hAnsi="宋体" w:eastAsia="宋体" w:cs="宋体"/>
          <w:spacing w:val="-4"/>
          <w:sz w:val="24"/>
          <w:szCs w:val="24"/>
        </w:rPr>
        <w:t>。南部四至范围为北至脑干街、南</w:t>
      </w:r>
      <w:r>
        <w:rPr>
          <w:rFonts w:ascii="宋体" w:hAnsi="宋体" w:eastAsia="宋体" w:cs="宋体"/>
          <w:sz w:val="24"/>
          <w:szCs w:val="24"/>
        </w:rPr>
        <w:t xml:space="preserve"> </w:t>
      </w:r>
      <w:r>
        <w:rPr>
          <w:rFonts w:ascii="宋体" w:hAnsi="宋体" w:eastAsia="宋体" w:cs="宋体"/>
          <w:spacing w:val="-2"/>
          <w:sz w:val="24"/>
          <w:szCs w:val="24"/>
        </w:rPr>
        <w:t>抵都呼木街、东至集二线、西至</w:t>
      </w:r>
      <w:r>
        <w:rPr>
          <w:rFonts w:ascii="宋体" w:hAnsi="宋体" w:eastAsia="宋体" w:cs="宋体"/>
          <w:spacing w:val="-30"/>
          <w:sz w:val="24"/>
          <w:szCs w:val="24"/>
        </w:rPr>
        <w:t xml:space="preserve"> </w:t>
      </w:r>
      <w:r>
        <w:rPr>
          <w:rFonts w:ascii="Times New Roman" w:hAnsi="Times New Roman" w:eastAsia="Times New Roman" w:cs="Times New Roman"/>
          <w:spacing w:val="-2"/>
          <w:sz w:val="24"/>
          <w:szCs w:val="24"/>
        </w:rPr>
        <w:t xml:space="preserve">101 </w:t>
      </w:r>
      <w:r>
        <w:rPr>
          <w:rFonts w:ascii="宋体" w:hAnsi="宋体" w:eastAsia="宋体" w:cs="宋体"/>
          <w:spacing w:val="-2"/>
          <w:sz w:val="24"/>
          <w:szCs w:val="24"/>
        </w:rPr>
        <w:t>省道，总面积</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10.7km</w:t>
      </w:r>
      <w:r>
        <w:rPr>
          <w:rFonts w:ascii="Times New Roman" w:hAnsi="Times New Roman" w:eastAsia="Times New Roman" w:cs="Times New Roman"/>
          <w:spacing w:val="-2"/>
          <w:position w:val="8"/>
          <w:sz w:val="15"/>
          <w:szCs w:val="15"/>
        </w:rPr>
        <w:t>2</w:t>
      </w:r>
      <w:r>
        <w:rPr>
          <w:rFonts w:ascii="宋体" w:hAnsi="宋体" w:eastAsia="宋体" w:cs="宋体"/>
          <w:spacing w:val="-2"/>
          <w:sz w:val="24"/>
          <w:szCs w:val="24"/>
        </w:rPr>
        <w:t>。</w:t>
      </w:r>
    </w:p>
    <w:p w14:paraId="20D6CC69">
      <w:pPr>
        <w:spacing w:before="201" w:line="222" w:lineRule="auto"/>
        <w:ind w:left="11"/>
        <w:outlineLvl w:val="2"/>
        <w:rPr>
          <w:rFonts w:ascii="黑体" w:hAnsi="黑体" w:eastAsia="黑体" w:cs="黑体"/>
          <w:sz w:val="30"/>
          <w:szCs w:val="30"/>
        </w:rPr>
      </w:pPr>
      <w:bookmarkStart w:id="345" w:name="bookmark158"/>
      <w:bookmarkEnd w:id="345"/>
      <w:r>
        <w:rPr>
          <w:rFonts w:ascii="Times New Roman" w:hAnsi="Times New Roman" w:eastAsia="Times New Roman" w:cs="Times New Roman"/>
          <w:spacing w:val="-2"/>
          <w:sz w:val="30"/>
          <w:szCs w:val="30"/>
        </w:rPr>
        <w:t xml:space="preserve">3.2.2 </w:t>
      </w:r>
      <w:r>
        <w:rPr>
          <w:rFonts w:ascii="黑体" w:hAnsi="黑体" w:eastAsia="黑体" w:cs="黑体"/>
          <w:spacing w:val="-2"/>
          <w:sz w:val="30"/>
          <w:szCs w:val="30"/>
        </w:rPr>
        <w:t>产业定位</w:t>
      </w:r>
    </w:p>
    <w:p w14:paraId="28EE2634">
      <w:pPr>
        <w:spacing w:before="173" w:line="350" w:lineRule="auto"/>
        <w:ind w:left="8" w:right="18" w:firstLine="485"/>
        <w:jc w:val="both"/>
        <w:rPr>
          <w:rFonts w:ascii="宋体" w:hAnsi="宋体" w:eastAsia="宋体" w:cs="宋体"/>
          <w:sz w:val="24"/>
          <w:szCs w:val="24"/>
        </w:rPr>
      </w:pPr>
      <w:r>
        <w:rPr>
          <w:rFonts w:ascii="宋体" w:hAnsi="宋体" w:eastAsia="宋体" w:cs="宋体"/>
          <w:spacing w:val="-2"/>
          <w:sz w:val="24"/>
          <w:szCs w:val="24"/>
        </w:rPr>
        <w:t>冶金产业园产业定位为与发展方向为：以发展矿产品采选业、金属冶选铸造业、石</w:t>
      </w:r>
      <w:r>
        <w:rPr>
          <w:rFonts w:ascii="宋体" w:hAnsi="宋体" w:eastAsia="宋体" w:cs="宋体"/>
          <w:spacing w:val="8"/>
          <w:sz w:val="24"/>
          <w:szCs w:val="24"/>
        </w:rPr>
        <w:t xml:space="preserve"> </w:t>
      </w:r>
      <w:r>
        <w:rPr>
          <w:rFonts w:ascii="宋体" w:hAnsi="宋体" w:eastAsia="宋体" w:cs="宋体"/>
          <w:spacing w:val="-6"/>
          <w:sz w:val="24"/>
          <w:szCs w:val="24"/>
        </w:rPr>
        <w:t>材加工业、石油化工、清洁能源、装备制造业为主，配备有完善的基础设施与生产</w:t>
      </w:r>
      <w:r>
        <w:rPr>
          <w:rFonts w:ascii="宋体" w:hAnsi="宋体" w:eastAsia="宋体" w:cs="宋体"/>
          <w:spacing w:val="-7"/>
          <w:sz w:val="24"/>
          <w:szCs w:val="24"/>
        </w:rPr>
        <w:t>设施，</w:t>
      </w:r>
      <w:r>
        <w:rPr>
          <w:rFonts w:ascii="宋体" w:hAnsi="宋体" w:eastAsia="宋体" w:cs="宋体"/>
          <w:sz w:val="24"/>
          <w:szCs w:val="24"/>
        </w:rPr>
        <w:t xml:space="preserve"> </w:t>
      </w:r>
      <w:r>
        <w:rPr>
          <w:rFonts w:ascii="宋体" w:hAnsi="宋体" w:eastAsia="宋体" w:cs="宋体"/>
          <w:spacing w:val="-1"/>
          <w:sz w:val="24"/>
          <w:szCs w:val="24"/>
        </w:rPr>
        <w:t>是苏尼特右旗重要的冶金产业基地。</w:t>
      </w:r>
    </w:p>
    <w:p w14:paraId="3EB3B49C">
      <w:pPr>
        <w:spacing w:before="37" w:line="350" w:lineRule="auto"/>
        <w:ind w:left="8" w:right="69" w:firstLine="483"/>
        <w:jc w:val="both"/>
        <w:rPr>
          <w:rFonts w:ascii="宋体" w:hAnsi="宋体" w:eastAsia="宋体" w:cs="宋体"/>
          <w:sz w:val="24"/>
          <w:szCs w:val="24"/>
        </w:rPr>
      </w:pPr>
      <w:r>
        <w:rPr>
          <w:rFonts w:ascii="宋体" w:hAnsi="宋体" w:eastAsia="宋体" w:cs="宋体"/>
          <w:spacing w:val="-1"/>
          <w:sz w:val="24"/>
          <w:szCs w:val="24"/>
        </w:rPr>
        <w:t>轻工产业园产业定位与发展方向为：发展绒毛</w:t>
      </w:r>
      <w:r>
        <w:rPr>
          <w:rFonts w:ascii="宋体" w:hAnsi="宋体" w:eastAsia="宋体" w:cs="宋体"/>
          <w:spacing w:val="-2"/>
          <w:sz w:val="24"/>
          <w:szCs w:val="24"/>
        </w:rPr>
        <w:t>及羊绒制品系列加工、肉食品加工、</w:t>
      </w:r>
      <w:r>
        <w:rPr>
          <w:rFonts w:ascii="宋体" w:hAnsi="宋体" w:eastAsia="宋体" w:cs="宋体"/>
          <w:sz w:val="24"/>
          <w:szCs w:val="24"/>
        </w:rPr>
        <w:t xml:space="preserve"> </w:t>
      </w:r>
      <w:r>
        <w:rPr>
          <w:rFonts w:ascii="宋体" w:hAnsi="宋体" w:eastAsia="宋体" w:cs="宋体"/>
          <w:spacing w:val="-2"/>
          <w:sz w:val="24"/>
          <w:szCs w:val="24"/>
        </w:rPr>
        <w:t>皮革深加工、乳制品加工业、生物医药和包装业为主，未来发展为内蒙古中部重要的畜</w:t>
      </w:r>
      <w:r>
        <w:rPr>
          <w:rFonts w:ascii="宋体" w:hAnsi="宋体" w:eastAsia="宋体" w:cs="宋体"/>
          <w:spacing w:val="17"/>
          <w:sz w:val="24"/>
          <w:szCs w:val="24"/>
        </w:rPr>
        <w:t xml:space="preserve"> </w:t>
      </w:r>
      <w:r>
        <w:rPr>
          <w:rFonts w:ascii="宋体" w:hAnsi="宋体" w:eastAsia="宋体" w:cs="宋体"/>
          <w:spacing w:val="-2"/>
          <w:sz w:val="24"/>
          <w:szCs w:val="24"/>
        </w:rPr>
        <w:t>产品加工集散基地。</w:t>
      </w:r>
    </w:p>
    <w:p w14:paraId="672525AB">
      <w:pPr>
        <w:spacing w:line="350" w:lineRule="auto"/>
        <w:rPr>
          <w:rFonts w:ascii="宋体" w:hAnsi="宋体" w:eastAsia="宋体" w:cs="宋体"/>
          <w:sz w:val="24"/>
          <w:szCs w:val="24"/>
        </w:rPr>
        <w:sectPr>
          <w:headerReference r:id="rId208" w:type="default"/>
          <w:footerReference r:id="rId209" w:type="default"/>
          <w:pgSz w:w="11906" w:h="16839"/>
          <w:pgMar w:top="1190" w:right="1337" w:bottom="993" w:left="1417" w:header="882" w:footer="830" w:gutter="0"/>
          <w:cols w:space="720" w:num="1"/>
        </w:sectPr>
      </w:pPr>
    </w:p>
    <w:p w14:paraId="6F55518A">
      <w:pPr>
        <w:spacing w:line="28" w:lineRule="exact"/>
      </w:pPr>
      <w:r>
        <w:pict>
          <v:shape id="_x0000_s1252" o:spid="_x0000_s1252" style="height:1.45pt;width:453.65pt;" fillcolor="#000000" filled="t" stroked="f" coordsize="9072,29" path="m0,0l9072,0,9072,28,0,28,0,0xe">
            <v:path/>
            <v:fill on="t" focussize="0,0"/>
            <v:stroke on="f"/>
            <v:imagedata o:title=""/>
            <o:lock v:ext="edit"/>
            <w10:wrap type="none"/>
            <w10:anchorlock/>
          </v:shape>
        </w:pict>
      </w:r>
    </w:p>
    <w:p w14:paraId="229279F8">
      <w:pPr>
        <w:pStyle w:val="2"/>
        <w:spacing w:line="241" w:lineRule="auto"/>
      </w:pPr>
    </w:p>
    <w:p w14:paraId="6A09BC0E">
      <w:pPr>
        <w:pStyle w:val="2"/>
        <w:spacing w:line="241" w:lineRule="auto"/>
      </w:pPr>
    </w:p>
    <w:p w14:paraId="20A8821F">
      <w:pPr>
        <w:pStyle w:val="2"/>
        <w:spacing w:line="241" w:lineRule="auto"/>
      </w:pPr>
    </w:p>
    <w:p w14:paraId="0ECB1D3C">
      <w:pPr>
        <w:pStyle w:val="2"/>
        <w:spacing w:line="241" w:lineRule="auto"/>
      </w:pPr>
    </w:p>
    <w:p w14:paraId="4C014C8E">
      <w:pPr>
        <w:pStyle w:val="2"/>
        <w:spacing w:line="241" w:lineRule="auto"/>
      </w:pPr>
    </w:p>
    <w:p w14:paraId="5E4F7F7C">
      <w:pPr>
        <w:pStyle w:val="2"/>
        <w:spacing w:line="241" w:lineRule="auto"/>
      </w:pPr>
    </w:p>
    <w:p w14:paraId="68159277">
      <w:pPr>
        <w:pStyle w:val="2"/>
        <w:spacing w:line="241" w:lineRule="auto"/>
      </w:pPr>
    </w:p>
    <w:p w14:paraId="65D8BC1F">
      <w:pPr>
        <w:pStyle w:val="2"/>
        <w:spacing w:line="241" w:lineRule="auto"/>
      </w:pPr>
    </w:p>
    <w:p w14:paraId="172AC855">
      <w:pPr>
        <w:pStyle w:val="2"/>
        <w:spacing w:line="241" w:lineRule="auto"/>
      </w:pPr>
    </w:p>
    <w:p w14:paraId="5881C600">
      <w:pPr>
        <w:pStyle w:val="2"/>
        <w:spacing w:line="241" w:lineRule="auto"/>
      </w:pPr>
    </w:p>
    <w:p w14:paraId="538A7D76">
      <w:pPr>
        <w:pStyle w:val="2"/>
        <w:spacing w:line="241" w:lineRule="auto"/>
      </w:pPr>
    </w:p>
    <w:p w14:paraId="687DDF6C">
      <w:pPr>
        <w:pStyle w:val="2"/>
        <w:spacing w:line="241" w:lineRule="auto"/>
      </w:pPr>
    </w:p>
    <w:p w14:paraId="4F084BE0">
      <w:pPr>
        <w:pStyle w:val="2"/>
        <w:spacing w:line="241" w:lineRule="auto"/>
      </w:pPr>
    </w:p>
    <w:p w14:paraId="4F488949">
      <w:pPr>
        <w:pStyle w:val="2"/>
        <w:spacing w:line="241" w:lineRule="auto"/>
      </w:pPr>
    </w:p>
    <w:p w14:paraId="5C4837E1">
      <w:pPr>
        <w:pStyle w:val="2"/>
        <w:spacing w:line="241" w:lineRule="auto"/>
      </w:pPr>
    </w:p>
    <w:p w14:paraId="61910821">
      <w:pPr>
        <w:pStyle w:val="2"/>
        <w:spacing w:line="242" w:lineRule="auto"/>
      </w:pPr>
    </w:p>
    <w:p w14:paraId="48F087B9">
      <w:pPr>
        <w:pStyle w:val="2"/>
        <w:spacing w:line="242" w:lineRule="auto"/>
      </w:pPr>
    </w:p>
    <w:p w14:paraId="45DFCC58">
      <w:pPr>
        <w:pStyle w:val="2"/>
        <w:spacing w:line="242" w:lineRule="auto"/>
      </w:pPr>
    </w:p>
    <w:p w14:paraId="039CD9E0">
      <w:pPr>
        <w:pStyle w:val="2"/>
        <w:spacing w:line="242" w:lineRule="auto"/>
      </w:pPr>
    </w:p>
    <w:p w14:paraId="543B57CC">
      <w:pPr>
        <w:pStyle w:val="2"/>
        <w:spacing w:line="242" w:lineRule="auto"/>
      </w:pPr>
    </w:p>
    <w:p w14:paraId="6BAA2DA2">
      <w:pPr>
        <w:pStyle w:val="2"/>
        <w:spacing w:line="242" w:lineRule="auto"/>
      </w:pPr>
    </w:p>
    <w:p w14:paraId="64E1C1FC">
      <w:pPr>
        <w:pStyle w:val="2"/>
        <w:spacing w:line="242" w:lineRule="auto"/>
      </w:pPr>
    </w:p>
    <w:p w14:paraId="71FF82B4">
      <w:pPr>
        <w:pStyle w:val="2"/>
        <w:spacing w:line="242" w:lineRule="auto"/>
      </w:pPr>
    </w:p>
    <w:p w14:paraId="40C5903F">
      <w:pPr>
        <w:pStyle w:val="2"/>
        <w:spacing w:line="242" w:lineRule="auto"/>
      </w:pPr>
    </w:p>
    <w:p w14:paraId="624C277A">
      <w:pPr>
        <w:pStyle w:val="2"/>
        <w:spacing w:line="242" w:lineRule="auto"/>
      </w:pPr>
    </w:p>
    <w:p w14:paraId="4383E114">
      <w:pPr>
        <w:pStyle w:val="2"/>
        <w:spacing w:line="242" w:lineRule="auto"/>
      </w:pPr>
    </w:p>
    <w:p w14:paraId="17AC3EEC">
      <w:pPr>
        <w:pStyle w:val="2"/>
        <w:spacing w:line="242" w:lineRule="auto"/>
      </w:pPr>
    </w:p>
    <w:p w14:paraId="199EC769">
      <w:pPr>
        <w:pStyle w:val="2"/>
        <w:spacing w:line="242" w:lineRule="auto"/>
      </w:pPr>
    </w:p>
    <w:p w14:paraId="726044BA">
      <w:pPr>
        <w:pStyle w:val="2"/>
        <w:spacing w:line="242" w:lineRule="auto"/>
      </w:pPr>
    </w:p>
    <w:p w14:paraId="3859E75A">
      <w:pPr>
        <w:pStyle w:val="2"/>
        <w:spacing w:line="242" w:lineRule="auto"/>
      </w:pPr>
    </w:p>
    <w:p w14:paraId="50E9A589">
      <w:pPr>
        <w:pStyle w:val="2"/>
        <w:spacing w:line="242" w:lineRule="auto"/>
      </w:pPr>
    </w:p>
    <w:p w14:paraId="39F234E3">
      <w:pPr>
        <w:pStyle w:val="2"/>
        <w:spacing w:line="242" w:lineRule="auto"/>
      </w:pPr>
    </w:p>
    <w:p w14:paraId="43EF43BD">
      <w:pPr>
        <w:spacing w:before="65" w:line="227" w:lineRule="auto"/>
        <w:ind w:left="4049"/>
        <w:outlineLvl w:val="2"/>
        <w:rPr>
          <w:rFonts w:ascii="宋体" w:hAnsi="宋体" w:eastAsia="宋体" w:cs="宋体"/>
          <w:sz w:val="20"/>
          <w:szCs w:val="20"/>
        </w:rPr>
      </w:pPr>
      <w:r>
        <w:drawing>
          <wp:anchor distT="0" distB="0" distL="0" distR="0" simplePos="0" relativeHeight="251902976" behindDoc="1" locked="0" layoutInCell="1" allowOverlap="1">
            <wp:simplePos x="0" y="0"/>
            <wp:positionH relativeFrom="column">
              <wp:posOffset>2454275</wp:posOffset>
            </wp:positionH>
            <wp:positionV relativeFrom="paragraph">
              <wp:posOffset>-20320</wp:posOffset>
            </wp:positionV>
            <wp:extent cx="848360" cy="477520"/>
            <wp:effectExtent l="0" t="0" r="0" b="0"/>
            <wp:wrapNone/>
            <wp:docPr id="46" name="IM 46"/>
            <wp:cNvGraphicFramePr/>
            <a:graphic xmlns:a="http://schemas.openxmlformats.org/drawingml/2006/main">
              <a:graphicData uri="http://schemas.openxmlformats.org/drawingml/2006/picture">
                <pic:pic xmlns:pic="http://schemas.openxmlformats.org/drawingml/2006/picture">
                  <pic:nvPicPr>
                    <pic:cNvPr id="46" name="IM 46"/>
                    <pic:cNvPicPr/>
                  </pic:nvPicPr>
                  <pic:blipFill>
                    <a:blip r:embed="rId601"/>
                    <a:stretch>
                      <a:fillRect/>
                    </a:stretch>
                  </pic:blipFill>
                  <pic:spPr>
                    <a:xfrm>
                      <a:off x="0" y="0"/>
                      <a:ext cx="848118" cy="477646"/>
                    </a:xfrm>
                    <a:prstGeom prst="rect">
                      <a:avLst/>
                    </a:prstGeom>
                  </pic:spPr>
                </pic:pic>
              </a:graphicData>
            </a:graphic>
          </wp:anchor>
        </w:drawing>
      </w:r>
      <w:r>
        <w:drawing>
          <wp:anchor distT="0" distB="0" distL="0" distR="0" simplePos="0" relativeHeight="251901952" behindDoc="1" locked="0" layoutInCell="1" allowOverlap="1">
            <wp:simplePos x="0" y="0"/>
            <wp:positionH relativeFrom="column">
              <wp:posOffset>183515</wp:posOffset>
            </wp:positionH>
            <wp:positionV relativeFrom="paragraph">
              <wp:posOffset>-4747895</wp:posOffset>
            </wp:positionV>
            <wp:extent cx="5393690" cy="7266305"/>
            <wp:effectExtent l="0" t="0" r="0" b="0"/>
            <wp:wrapNone/>
            <wp:docPr id="48" name="IM 48"/>
            <wp:cNvGraphicFramePr/>
            <a:graphic xmlns:a="http://schemas.openxmlformats.org/drawingml/2006/main">
              <a:graphicData uri="http://schemas.openxmlformats.org/drawingml/2006/picture">
                <pic:pic xmlns:pic="http://schemas.openxmlformats.org/drawingml/2006/picture">
                  <pic:nvPicPr>
                    <pic:cNvPr id="48" name="IM 48"/>
                    <pic:cNvPicPr/>
                  </pic:nvPicPr>
                  <pic:blipFill>
                    <a:blip r:embed="rId602"/>
                    <a:stretch>
                      <a:fillRect/>
                    </a:stretch>
                  </pic:blipFill>
                  <pic:spPr>
                    <a:xfrm>
                      <a:off x="0" y="0"/>
                      <a:ext cx="5393435" cy="7266431"/>
                    </a:xfrm>
                    <a:prstGeom prst="rect">
                      <a:avLst/>
                    </a:prstGeom>
                  </pic:spPr>
                </pic:pic>
              </a:graphicData>
            </a:graphic>
          </wp:anchor>
        </w:drawing>
      </w:r>
      <w:r>
        <w:rPr>
          <w:rFonts w:ascii="宋体" w:hAnsi="宋体" w:eastAsia="宋体" w:cs="宋体"/>
          <w:b/>
          <w:bCs/>
          <w:color w:val="FF0000"/>
          <w:spacing w:val="6"/>
          <w:sz w:val="20"/>
          <w:szCs w:val="20"/>
        </w:rPr>
        <w:t>本项目位置</w:t>
      </w:r>
    </w:p>
    <w:p w14:paraId="5162B42D">
      <w:pPr>
        <w:pStyle w:val="2"/>
        <w:spacing w:line="356" w:lineRule="auto"/>
      </w:pPr>
    </w:p>
    <w:p w14:paraId="5C4EFB2B">
      <w:pPr>
        <w:spacing w:line="988" w:lineRule="exact"/>
        <w:ind w:firstLine="3058"/>
      </w:pPr>
      <w:r>
        <w:rPr>
          <w:position w:val="-19"/>
        </w:rPr>
        <w:drawing>
          <wp:inline distT="0" distB="0" distL="0" distR="0">
            <wp:extent cx="598170" cy="626745"/>
            <wp:effectExtent l="0" t="0" r="0" b="0"/>
            <wp:docPr id="50" name="IM 50"/>
            <wp:cNvGraphicFramePr/>
            <a:graphic xmlns:a="http://schemas.openxmlformats.org/drawingml/2006/main">
              <a:graphicData uri="http://schemas.openxmlformats.org/drawingml/2006/picture">
                <pic:pic xmlns:pic="http://schemas.openxmlformats.org/drawingml/2006/picture">
                  <pic:nvPicPr>
                    <pic:cNvPr id="50" name="IM 50"/>
                    <pic:cNvPicPr/>
                  </pic:nvPicPr>
                  <pic:blipFill>
                    <a:blip r:embed="rId603"/>
                    <a:stretch>
                      <a:fillRect/>
                    </a:stretch>
                  </pic:blipFill>
                  <pic:spPr>
                    <a:xfrm>
                      <a:off x="0" y="0"/>
                      <a:ext cx="598347" cy="627202"/>
                    </a:xfrm>
                    <a:prstGeom prst="rect">
                      <a:avLst/>
                    </a:prstGeom>
                  </pic:spPr>
                </pic:pic>
              </a:graphicData>
            </a:graphic>
          </wp:inline>
        </w:drawing>
      </w:r>
    </w:p>
    <w:p w14:paraId="5FA3E441">
      <w:pPr>
        <w:pStyle w:val="2"/>
        <w:spacing w:line="262" w:lineRule="auto"/>
      </w:pPr>
    </w:p>
    <w:p w14:paraId="1A483656">
      <w:pPr>
        <w:pStyle w:val="2"/>
        <w:spacing w:line="262" w:lineRule="auto"/>
      </w:pPr>
    </w:p>
    <w:p w14:paraId="7D171A89">
      <w:pPr>
        <w:pStyle w:val="2"/>
        <w:spacing w:line="263" w:lineRule="auto"/>
      </w:pPr>
    </w:p>
    <w:p w14:paraId="6D454E32">
      <w:pPr>
        <w:pStyle w:val="2"/>
        <w:spacing w:line="263" w:lineRule="auto"/>
      </w:pPr>
    </w:p>
    <w:p w14:paraId="697DB36D">
      <w:pPr>
        <w:pStyle w:val="2"/>
        <w:spacing w:line="263" w:lineRule="auto"/>
      </w:pPr>
    </w:p>
    <w:p w14:paraId="2B426C3A">
      <w:pPr>
        <w:pStyle w:val="2"/>
        <w:spacing w:line="263" w:lineRule="auto"/>
      </w:pPr>
    </w:p>
    <w:p w14:paraId="175FB6BB">
      <w:pPr>
        <w:pStyle w:val="2"/>
        <w:spacing w:line="263" w:lineRule="auto"/>
      </w:pPr>
    </w:p>
    <w:p w14:paraId="31C96A99">
      <w:pPr>
        <w:pStyle w:val="2"/>
        <w:spacing w:line="263" w:lineRule="auto"/>
      </w:pPr>
    </w:p>
    <w:p w14:paraId="017FD79E">
      <w:pPr>
        <w:pStyle w:val="2"/>
        <w:spacing w:line="263" w:lineRule="auto"/>
      </w:pPr>
    </w:p>
    <w:p w14:paraId="4D9B319B">
      <w:pPr>
        <w:spacing w:before="65" w:line="227" w:lineRule="auto"/>
        <w:ind w:left="2000"/>
        <w:rPr>
          <w:rFonts w:ascii="宋体" w:hAnsi="宋体" w:eastAsia="宋体" w:cs="宋体"/>
          <w:sz w:val="20"/>
          <w:szCs w:val="20"/>
        </w:rPr>
      </w:pPr>
      <w:r>
        <w:rPr>
          <w:rFonts w:ascii="宋体" w:hAnsi="宋体" w:eastAsia="宋体" w:cs="宋体"/>
          <w:b/>
          <w:bCs/>
          <w:spacing w:val="5"/>
          <w:sz w:val="20"/>
          <w:szCs w:val="20"/>
        </w:rPr>
        <w:t>图</w:t>
      </w:r>
      <w:r>
        <w:rPr>
          <w:rFonts w:ascii="宋体" w:hAnsi="宋体" w:eastAsia="宋体" w:cs="宋体"/>
          <w:spacing w:val="-30"/>
          <w:sz w:val="20"/>
          <w:szCs w:val="20"/>
        </w:rPr>
        <w:t xml:space="preserve"> </w:t>
      </w:r>
      <w:r>
        <w:rPr>
          <w:rFonts w:ascii="Times New Roman" w:hAnsi="Times New Roman" w:eastAsia="Times New Roman" w:cs="Times New Roman"/>
          <w:b/>
          <w:bCs/>
          <w:spacing w:val="5"/>
          <w:sz w:val="20"/>
          <w:szCs w:val="20"/>
        </w:rPr>
        <w:t xml:space="preserve">3.2-1        </w:t>
      </w:r>
      <w:r>
        <w:rPr>
          <w:rFonts w:ascii="宋体" w:hAnsi="宋体" w:eastAsia="宋体" w:cs="宋体"/>
          <w:b/>
          <w:bCs/>
          <w:spacing w:val="5"/>
          <w:sz w:val="20"/>
          <w:szCs w:val="20"/>
        </w:rPr>
        <w:t>朱日和产业园（冶金产业园）空间布局规划</w:t>
      </w:r>
    </w:p>
    <w:p w14:paraId="0CFA6EB4">
      <w:pPr>
        <w:spacing w:before="174" w:line="221" w:lineRule="auto"/>
        <w:ind w:left="11"/>
        <w:outlineLvl w:val="2"/>
        <w:rPr>
          <w:rFonts w:ascii="黑体" w:hAnsi="黑体" w:eastAsia="黑体" w:cs="黑体"/>
          <w:sz w:val="30"/>
          <w:szCs w:val="30"/>
        </w:rPr>
      </w:pPr>
      <w:bookmarkStart w:id="346" w:name="bookmark160"/>
      <w:bookmarkEnd w:id="346"/>
      <w:r>
        <w:rPr>
          <w:rFonts w:ascii="Times New Roman" w:hAnsi="Times New Roman" w:eastAsia="Times New Roman" w:cs="Times New Roman"/>
          <w:spacing w:val="-2"/>
          <w:sz w:val="30"/>
          <w:szCs w:val="30"/>
        </w:rPr>
        <w:t xml:space="preserve">3.2.3 </w:t>
      </w:r>
      <w:r>
        <w:rPr>
          <w:rFonts w:ascii="黑体" w:hAnsi="黑体" w:eastAsia="黑体" w:cs="黑体"/>
          <w:spacing w:val="-2"/>
          <w:sz w:val="30"/>
          <w:szCs w:val="30"/>
        </w:rPr>
        <w:t>发展目标</w:t>
      </w:r>
    </w:p>
    <w:p w14:paraId="11CD50B9">
      <w:pPr>
        <w:spacing w:before="215" w:line="220" w:lineRule="auto"/>
        <w:ind w:left="502"/>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1</w:t>
      </w:r>
      <w:r>
        <w:rPr>
          <w:rFonts w:ascii="宋体" w:hAnsi="宋体" w:eastAsia="宋体" w:cs="宋体"/>
          <w:spacing w:val="-4"/>
          <w:sz w:val="24"/>
          <w:szCs w:val="24"/>
        </w:rPr>
        <w:t>）总目标</w:t>
      </w:r>
    </w:p>
    <w:p w14:paraId="19E1DCC9">
      <w:pPr>
        <w:spacing w:before="181" w:line="346" w:lineRule="auto"/>
        <w:ind w:left="7" w:right="1" w:firstLine="510"/>
        <w:rPr>
          <w:rFonts w:ascii="宋体" w:hAnsi="宋体" w:eastAsia="宋体" w:cs="宋体"/>
          <w:sz w:val="24"/>
          <w:szCs w:val="24"/>
        </w:rPr>
      </w:pPr>
      <w:r>
        <w:rPr>
          <w:rFonts w:ascii="宋体" w:hAnsi="宋体" w:eastAsia="宋体" w:cs="宋体"/>
          <w:spacing w:val="-2"/>
          <w:sz w:val="24"/>
          <w:szCs w:val="24"/>
        </w:rPr>
        <w:t>以创新的思路，发掘经济发展方式，加快产业</w:t>
      </w:r>
      <w:r>
        <w:rPr>
          <w:rFonts w:ascii="宋体" w:hAnsi="宋体" w:eastAsia="宋体" w:cs="宋体"/>
          <w:spacing w:val="-3"/>
          <w:sz w:val="24"/>
          <w:szCs w:val="24"/>
        </w:rPr>
        <w:t>结构调整和优化，发挥区位优势和资</w:t>
      </w:r>
      <w:r>
        <w:rPr>
          <w:rFonts w:ascii="宋体" w:hAnsi="宋体" w:eastAsia="宋体" w:cs="宋体"/>
          <w:sz w:val="24"/>
          <w:szCs w:val="24"/>
        </w:rPr>
        <w:t xml:space="preserve"> </w:t>
      </w:r>
      <w:r>
        <w:rPr>
          <w:rFonts w:ascii="宋体" w:hAnsi="宋体" w:eastAsia="宋体" w:cs="宋体"/>
          <w:spacing w:val="-2"/>
          <w:sz w:val="24"/>
          <w:szCs w:val="24"/>
        </w:rPr>
        <w:t>源优势，以建设发展成为内蒙古中部重要的有色金属采选加工基地、锡林郭勒盟重要的</w:t>
      </w:r>
    </w:p>
    <w:p w14:paraId="04C7896D">
      <w:pPr>
        <w:spacing w:line="346" w:lineRule="auto"/>
        <w:rPr>
          <w:rFonts w:ascii="宋体" w:hAnsi="宋体" w:eastAsia="宋体" w:cs="宋体"/>
          <w:sz w:val="24"/>
          <w:szCs w:val="24"/>
        </w:rPr>
        <w:sectPr>
          <w:headerReference r:id="rId210" w:type="default"/>
          <w:footerReference r:id="rId211" w:type="default"/>
          <w:pgSz w:w="11906" w:h="16839"/>
          <w:pgMar w:top="1190" w:right="1416" w:bottom="993" w:left="1417" w:header="882" w:footer="830" w:gutter="0"/>
          <w:cols w:space="720" w:num="1"/>
        </w:sectPr>
      </w:pPr>
    </w:p>
    <w:p w14:paraId="73CADD99">
      <w:pPr>
        <w:spacing w:line="28" w:lineRule="exact"/>
      </w:pPr>
      <w:r>
        <w:pict>
          <v:shape id="_x0000_s1253" o:spid="_x0000_s1253" style="height:1.45pt;width:453.65pt;" fillcolor="#000000" filled="t" stroked="f" coordsize="9072,29" path="m0,0l9072,0,9072,28,0,28,0,0xe">
            <v:path/>
            <v:fill on="t" focussize="0,0"/>
            <v:stroke on="f"/>
            <v:imagedata o:title=""/>
            <o:lock v:ext="edit"/>
            <w10:wrap type="none"/>
            <w10:anchorlock/>
          </v:shape>
        </w:pict>
      </w:r>
    </w:p>
    <w:p w14:paraId="35FD43F2">
      <w:pPr>
        <w:spacing w:before="233" w:line="219" w:lineRule="auto"/>
        <w:ind w:left="23"/>
        <w:rPr>
          <w:rFonts w:ascii="宋体" w:hAnsi="宋体" w:eastAsia="宋体" w:cs="宋体"/>
          <w:sz w:val="24"/>
          <w:szCs w:val="24"/>
        </w:rPr>
      </w:pPr>
      <w:r>
        <w:rPr>
          <w:rFonts w:ascii="宋体" w:hAnsi="宋体" w:eastAsia="宋体" w:cs="宋体"/>
          <w:spacing w:val="-2"/>
          <w:sz w:val="24"/>
          <w:szCs w:val="24"/>
        </w:rPr>
        <w:t>畜产品加工基地、锡林郭勒盟重要的冶金基地。</w:t>
      </w:r>
    </w:p>
    <w:p w14:paraId="6765C6FD">
      <w:pPr>
        <w:spacing w:before="181" w:line="220" w:lineRule="auto"/>
        <w:ind w:left="502"/>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）经济发展目标</w:t>
      </w:r>
    </w:p>
    <w:p w14:paraId="37D8A6F2">
      <w:pPr>
        <w:spacing w:before="182" w:line="352" w:lineRule="auto"/>
        <w:ind w:left="12" w:right="80" w:firstLine="481"/>
        <w:rPr>
          <w:rFonts w:ascii="宋体" w:hAnsi="宋体" w:eastAsia="宋体" w:cs="宋体"/>
          <w:sz w:val="24"/>
          <w:szCs w:val="24"/>
        </w:rPr>
      </w:pPr>
      <w:r>
        <w:rPr>
          <w:rFonts w:ascii="宋体" w:hAnsi="宋体" w:eastAsia="宋体" w:cs="宋体"/>
          <w:spacing w:val="-2"/>
          <w:sz w:val="24"/>
          <w:szCs w:val="24"/>
        </w:rPr>
        <w:t>建设朱日和工业园区，在一定程度上整合周边的各类资源，集中优势力量建设工业</w:t>
      </w:r>
      <w:r>
        <w:rPr>
          <w:rFonts w:ascii="宋体" w:hAnsi="宋体" w:eastAsia="宋体" w:cs="宋体"/>
          <w:spacing w:val="8"/>
          <w:sz w:val="24"/>
          <w:szCs w:val="24"/>
        </w:rPr>
        <w:t xml:space="preserve"> </w:t>
      </w:r>
      <w:r>
        <w:rPr>
          <w:rFonts w:ascii="宋体" w:hAnsi="宋体" w:eastAsia="宋体" w:cs="宋体"/>
          <w:spacing w:val="-2"/>
          <w:sz w:val="24"/>
          <w:szCs w:val="24"/>
        </w:rPr>
        <w:t>园区，配套公共设施，为工业项目创造便利的投资条件，推动项目进展。通过建设工业</w:t>
      </w:r>
      <w:r>
        <w:rPr>
          <w:rFonts w:ascii="宋体" w:hAnsi="宋体" w:eastAsia="宋体" w:cs="宋体"/>
          <w:spacing w:val="13"/>
          <w:sz w:val="24"/>
          <w:szCs w:val="24"/>
        </w:rPr>
        <w:t xml:space="preserve"> </w:t>
      </w:r>
      <w:r>
        <w:rPr>
          <w:rFonts w:ascii="宋体" w:hAnsi="宋体" w:eastAsia="宋体" w:cs="宋体"/>
          <w:spacing w:val="-2"/>
          <w:sz w:val="24"/>
          <w:szCs w:val="24"/>
        </w:rPr>
        <w:t>园区可以使全旗产业结构得到优化，建设一个新型的工业园区，推动苏尼特右旗的经济</w:t>
      </w:r>
      <w:r>
        <w:rPr>
          <w:rFonts w:ascii="宋体" w:hAnsi="宋体" w:eastAsia="宋体" w:cs="宋体"/>
          <w:spacing w:val="13"/>
          <w:sz w:val="24"/>
          <w:szCs w:val="24"/>
        </w:rPr>
        <w:t xml:space="preserve"> </w:t>
      </w:r>
      <w:r>
        <w:rPr>
          <w:rFonts w:ascii="宋体" w:hAnsi="宋体" w:eastAsia="宋体" w:cs="宋体"/>
          <w:spacing w:val="-2"/>
          <w:sz w:val="24"/>
          <w:szCs w:val="24"/>
        </w:rPr>
        <w:t>发展和产业结构升级。</w:t>
      </w:r>
    </w:p>
    <w:p w14:paraId="0C9B58B6">
      <w:pPr>
        <w:spacing w:before="35" w:line="219" w:lineRule="auto"/>
        <w:ind w:left="502"/>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）社会发展目标</w:t>
      </w:r>
    </w:p>
    <w:p w14:paraId="6E92864F">
      <w:pPr>
        <w:spacing w:before="182" w:line="350" w:lineRule="auto"/>
        <w:ind w:left="9" w:right="80" w:firstLine="482"/>
        <w:rPr>
          <w:rFonts w:ascii="宋体" w:hAnsi="宋体" w:eastAsia="宋体" w:cs="宋体"/>
          <w:sz w:val="24"/>
          <w:szCs w:val="24"/>
        </w:rPr>
      </w:pPr>
      <w:r>
        <w:rPr>
          <w:rFonts w:ascii="宋体" w:hAnsi="宋体" w:eastAsia="宋体" w:cs="宋体"/>
          <w:spacing w:val="-2"/>
          <w:sz w:val="24"/>
          <w:szCs w:val="24"/>
        </w:rPr>
        <w:t>提升能源结构，为保障国家能源安全做贡献，同时对于推动地方经济发展发挥巨大</w:t>
      </w:r>
      <w:r>
        <w:rPr>
          <w:rFonts w:ascii="宋体" w:hAnsi="宋体" w:eastAsia="宋体" w:cs="宋体"/>
          <w:spacing w:val="10"/>
          <w:sz w:val="24"/>
          <w:szCs w:val="24"/>
        </w:rPr>
        <w:t xml:space="preserve"> </w:t>
      </w:r>
      <w:r>
        <w:rPr>
          <w:rFonts w:ascii="宋体" w:hAnsi="宋体" w:eastAsia="宋体" w:cs="宋体"/>
          <w:spacing w:val="-2"/>
          <w:sz w:val="24"/>
          <w:szCs w:val="24"/>
        </w:rPr>
        <w:t>作用。除此之外，园区的实施，将大大推动当地的城镇化进程，促进第三产业的发展，</w:t>
      </w:r>
      <w:r>
        <w:rPr>
          <w:rFonts w:ascii="宋体" w:hAnsi="宋体" w:eastAsia="宋体" w:cs="宋体"/>
          <w:spacing w:val="16"/>
          <w:sz w:val="24"/>
          <w:szCs w:val="24"/>
        </w:rPr>
        <w:t xml:space="preserve"> </w:t>
      </w:r>
      <w:r>
        <w:rPr>
          <w:rFonts w:ascii="宋体" w:hAnsi="宋体" w:eastAsia="宋体" w:cs="宋体"/>
          <w:spacing w:val="-1"/>
          <w:sz w:val="24"/>
          <w:szCs w:val="24"/>
        </w:rPr>
        <w:t>带动赛汉塔拉镇、朱日和镇和乌日根塔拉镇的居民生活和消费水平。</w:t>
      </w:r>
    </w:p>
    <w:p w14:paraId="368D7559">
      <w:pPr>
        <w:spacing w:before="36" w:line="350" w:lineRule="auto"/>
        <w:ind w:left="9" w:right="80" w:firstLine="504"/>
        <w:rPr>
          <w:rFonts w:ascii="宋体" w:hAnsi="宋体" w:eastAsia="宋体" w:cs="宋体"/>
          <w:sz w:val="24"/>
          <w:szCs w:val="24"/>
        </w:rPr>
      </w:pPr>
      <w:r>
        <w:rPr>
          <w:rFonts w:ascii="宋体" w:hAnsi="宋体" w:eastAsia="宋体" w:cs="宋体"/>
          <w:spacing w:val="-2"/>
          <w:sz w:val="24"/>
          <w:szCs w:val="24"/>
        </w:rPr>
        <w:t>同时，项目的实施，也将吸引人才和科技力量进入园</w:t>
      </w:r>
      <w:r>
        <w:rPr>
          <w:rFonts w:ascii="宋体" w:hAnsi="宋体" w:eastAsia="宋体" w:cs="宋体"/>
          <w:spacing w:val="-3"/>
          <w:sz w:val="24"/>
          <w:szCs w:val="24"/>
        </w:rPr>
        <w:t>区，进一步促进当地的科教和</w:t>
      </w:r>
      <w:r>
        <w:rPr>
          <w:rFonts w:ascii="宋体" w:hAnsi="宋体" w:eastAsia="宋体" w:cs="宋体"/>
          <w:sz w:val="24"/>
          <w:szCs w:val="24"/>
        </w:rPr>
        <w:t xml:space="preserve"> </w:t>
      </w:r>
      <w:r>
        <w:rPr>
          <w:rFonts w:ascii="宋体" w:hAnsi="宋体" w:eastAsia="宋体" w:cs="宋体"/>
          <w:spacing w:val="-2"/>
          <w:sz w:val="24"/>
          <w:szCs w:val="24"/>
        </w:rPr>
        <w:t>文化事业的发展，增加了就业机会，改善投资环境。这对于贯彻西部大开发战略，创建</w:t>
      </w:r>
      <w:r>
        <w:rPr>
          <w:rFonts w:ascii="宋体" w:hAnsi="宋体" w:eastAsia="宋体" w:cs="宋体"/>
          <w:spacing w:val="16"/>
          <w:sz w:val="24"/>
          <w:szCs w:val="24"/>
        </w:rPr>
        <w:t xml:space="preserve"> </w:t>
      </w:r>
      <w:r>
        <w:rPr>
          <w:rFonts w:ascii="宋体" w:hAnsi="宋体" w:eastAsia="宋体" w:cs="宋体"/>
          <w:spacing w:val="-1"/>
          <w:sz w:val="24"/>
          <w:szCs w:val="24"/>
        </w:rPr>
        <w:t>和谐社会有着十分重要的意义。</w:t>
      </w:r>
    </w:p>
    <w:p w14:paraId="05B09A8F">
      <w:pPr>
        <w:spacing w:before="37" w:line="220" w:lineRule="auto"/>
        <w:ind w:left="502"/>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）生态发展目标</w:t>
      </w:r>
    </w:p>
    <w:p w14:paraId="5EB07938">
      <w:pPr>
        <w:spacing w:before="180" w:line="352" w:lineRule="auto"/>
        <w:ind w:left="9" w:right="80" w:firstLine="485"/>
        <w:rPr>
          <w:rFonts w:ascii="宋体" w:hAnsi="宋体" w:eastAsia="宋体" w:cs="宋体"/>
          <w:sz w:val="24"/>
          <w:szCs w:val="24"/>
        </w:rPr>
      </w:pPr>
      <w:r>
        <w:rPr>
          <w:rFonts w:ascii="宋体" w:hAnsi="宋体" w:eastAsia="宋体" w:cs="宋体"/>
          <w:spacing w:val="-2"/>
          <w:sz w:val="24"/>
          <w:szCs w:val="24"/>
        </w:rPr>
        <w:t>坚持可持续发展，关注生态安全。在生态健康的基础上，注重人文环境与生态环境</w:t>
      </w:r>
      <w:r>
        <w:rPr>
          <w:rFonts w:ascii="宋体" w:hAnsi="宋体" w:eastAsia="宋体" w:cs="宋体"/>
          <w:spacing w:val="7"/>
          <w:sz w:val="24"/>
          <w:szCs w:val="24"/>
        </w:rPr>
        <w:t xml:space="preserve"> </w:t>
      </w:r>
      <w:r>
        <w:rPr>
          <w:rFonts w:ascii="宋体" w:hAnsi="宋体" w:eastAsia="宋体" w:cs="宋体"/>
          <w:spacing w:val="-2"/>
          <w:sz w:val="24"/>
          <w:szCs w:val="24"/>
        </w:rPr>
        <w:t>的协调发展。严格控制环境排放标准，控制大气、水、噪声和固体废弃物的污染，加强</w:t>
      </w:r>
      <w:r>
        <w:rPr>
          <w:rFonts w:ascii="宋体" w:hAnsi="宋体" w:eastAsia="宋体" w:cs="宋体"/>
          <w:spacing w:val="16"/>
          <w:sz w:val="24"/>
          <w:szCs w:val="24"/>
        </w:rPr>
        <w:t xml:space="preserve"> </w:t>
      </w:r>
      <w:r>
        <w:rPr>
          <w:rFonts w:ascii="宋体" w:hAnsi="宋体" w:eastAsia="宋体" w:cs="宋体"/>
          <w:spacing w:val="-2"/>
          <w:sz w:val="24"/>
          <w:szCs w:val="24"/>
        </w:rPr>
        <w:t>重点污染源的监督与管理。注重资源的节约、集约利用，合理控制建设用地规模，提高</w:t>
      </w:r>
      <w:r>
        <w:rPr>
          <w:rFonts w:ascii="宋体" w:hAnsi="宋体" w:eastAsia="宋体" w:cs="宋体"/>
          <w:spacing w:val="16"/>
          <w:sz w:val="24"/>
          <w:szCs w:val="24"/>
        </w:rPr>
        <w:t xml:space="preserve"> </w:t>
      </w:r>
      <w:r>
        <w:rPr>
          <w:rFonts w:ascii="宋体" w:hAnsi="宋体" w:eastAsia="宋体" w:cs="宋体"/>
          <w:sz w:val="24"/>
          <w:szCs w:val="24"/>
        </w:rPr>
        <w:t>土地的使用效率；加强水资源的保护和合理利用，达到经</w:t>
      </w:r>
      <w:r>
        <w:rPr>
          <w:rFonts w:ascii="宋体" w:hAnsi="宋体" w:eastAsia="宋体" w:cs="宋体"/>
          <w:spacing w:val="-1"/>
          <w:sz w:val="24"/>
          <w:szCs w:val="24"/>
        </w:rPr>
        <w:t>济发展和环境保护的双赢。</w:t>
      </w:r>
    </w:p>
    <w:p w14:paraId="52C28278">
      <w:pPr>
        <w:spacing w:before="45" w:line="223" w:lineRule="auto"/>
        <w:ind w:left="11"/>
        <w:outlineLvl w:val="2"/>
        <w:rPr>
          <w:rFonts w:ascii="黑体" w:hAnsi="黑体" w:eastAsia="黑体" w:cs="黑体"/>
          <w:sz w:val="30"/>
          <w:szCs w:val="30"/>
        </w:rPr>
      </w:pPr>
      <w:bookmarkStart w:id="347" w:name="bookmark162"/>
      <w:bookmarkEnd w:id="347"/>
      <w:r>
        <w:rPr>
          <w:rFonts w:ascii="Times New Roman" w:hAnsi="Times New Roman" w:eastAsia="Times New Roman" w:cs="Times New Roman"/>
          <w:spacing w:val="-4"/>
          <w:sz w:val="30"/>
          <w:szCs w:val="30"/>
        </w:rPr>
        <w:t>3.2.4</w:t>
      </w:r>
      <w:r>
        <w:rPr>
          <w:rFonts w:ascii="Times New Roman" w:hAnsi="Times New Roman" w:eastAsia="Times New Roman" w:cs="Times New Roman"/>
          <w:spacing w:val="24"/>
          <w:sz w:val="30"/>
          <w:szCs w:val="30"/>
        </w:rPr>
        <w:t xml:space="preserve"> </w:t>
      </w:r>
      <w:r>
        <w:rPr>
          <w:rFonts w:ascii="黑体" w:hAnsi="黑体" w:eastAsia="黑体" w:cs="黑体"/>
          <w:spacing w:val="-4"/>
          <w:sz w:val="30"/>
          <w:szCs w:val="30"/>
        </w:rPr>
        <w:t>空间管制</w:t>
      </w:r>
    </w:p>
    <w:p w14:paraId="27CB4B11">
      <w:pPr>
        <w:spacing w:before="211" w:line="347" w:lineRule="auto"/>
        <w:ind w:left="7" w:right="80" w:firstLine="483"/>
        <w:rPr>
          <w:rFonts w:ascii="宋体" w:hAnsi="宋体" w:eastAsia="宋体" w:cs="宋体"/>
          <w:sz w:val="24"/>
          <w:szCs w:val="24"/>
        </w:rPr>
      </w:pPr>
      <w:r>
        <w:rPr>
          <w:rFonts w:ascii="宋体" w:hAnsi="宋体" w:eastAsia="宋体" w:cs="宋体"/>
          <w:spacing w:val="-2"/>
          <w:sz w:val="24"/>
          <w:szCs w:val="24"/>
        </w:rPr>
        <w:t>根据资源环境承载能力、资源保护、工程地质、防灾减灾等方面的因素，规划明确</w:t>
      </w:r>
      <w:r>
        <w:rPr>
          <w:rFonts w:ascii="宋体" w:hAnsi="宋体" w:eastAsia="宋体" w:cs="宋体"/>
          <w:spacing w:val="11"/>
          <w:sz w:val="24"/>
          <w:szCs w:val="24"/>
        </w:rPr>
        <w:t xml:space="preserve"> </w:t>
      </w:r>
      <w:r>
        <w:rPr>
          <w:rFonts w:ascii="宋体" w:hAnsi="宋体" w:eastAsia="宋体" w:cs="宋体"/>
          <w:sz w:val="24"/>
          <w:szCs w:val="24"/>
        </w:rPr>
        <w:t>划定禁止建设区、限制建设区、适宜建设区</w:t>
      </w:r>
      <w:r>
        <w:rPr>
          <w:rFonts w:ascii="宋体" w:hAnsi="宋体" w:eastAsia="宋体" w:cs="宋体"/>
          <w:spacing w:val="-1"/>
          <w:sz w:val="24"/>
          <w:szCs w:val="24"/>
        </w:rPr>
        <w:t>和已建设区四类区域。</w:t>
      </w:r>
    </w:p>
    <w:p w14:paraId="25A68135">
      <w:pPr>
        <w:spacing w:before="35" w:line="219" w:lineRule="auto"/>
        <w:ind w:left="490"/>
        <w:rPr>
          <w:rFonts w:ascii="宋体" w:hAnsi="宋体" w:eastAsia="宋体" w:cs="宋体"/>
          <w:sz w:val="24"/>
          <w:szCs w:val="24"/>
        </w:rPr>
      </w:pPr>
      <w:r>
        <w:rPr>
          <w:rFonts w:ascii="宋体" w:hAnsi="宋体" w:eastAsia="宋体" w:cs="宋体"/>
          <w:spacing w:val="-2"/>
          <w:sz w:val="24"/>
          <w:szCs w:val="24"/>
        </w:rPr>
        <w:t>禁止建设区：</w:t>
      </w:r>
      <w:r>
        <w:rPr>
          <w:rFonts w:ascii="Times New Roman" w:hAnsi="Times New Roman" w:eastAsia="Times New Roman" w:cs="Times New Roman"/>
          <w:spacing w:val="-2"/>
          <w:sz w:val="24"/>
          <w:szCs w:val="24"/>
        </w:rPr>
        <w:t>208</w:t>
      </w:r>
      <w:r>
        <w:rPr>
          <w:rFonts w:ascii="Times New Roman" w:hAnsi="Times New Roman" w:eastAsia="Times New Roman" w:cs="Times New Roman"/>
          <w:spacing w:val="45"/>
          <w:w w:val="101"/>
          <w:sz w:val="24"/>
          <w:szCs w:val="24"/>
        </w:rPr>
        <w:t xml:space="preserve"> </w:t>
      </w:r>
      <w:r>
        <w:rPr>
          <w:rFonts w:ascii="宋体" w:hAnsi="宋体" w:eastAsia="宋体" w:cs="宋体"/>
          <w:spacing w:val="-2"/>
          <w:sz w:val="24"/>
          <w:szCs w:val="24"/>
        </w:rPr>
        <w:t>国道东侧部分保护用地、高压线走廊用地。</w:t>
      </w:r>
    </w:p>
    <w:p w14:paraId="3A307916">
      <w:pPr>
        <w:spacing w:before="181" w:line="350" w:lineRule="auto"/>
        <w:ind w:left="490" w:firstLine="16"/>
        <w:jc w:val="both"/>
        <w:rPr>
          <w:rFonts w:ascii="宋体" w:hAnsi="宋体" w:eastAsia="宋体" w:cs="宋体"/>
          <w:sz w:val="24"/>
          <w:szCs w:val="24"/>
        </w:rPr>
      </w:pPr>
      <w:r>
        <w:rPr>
          <w:rFonts w:ascii="宋体" w:hAnsi="宋体" w:eastAsia="宋体" w:cs="宋体"/>
          <w:sz w:val="24"/>
          <w:szCs w:val="24"/>
        </w:rPr>
        <w:t>限制建设区：矿产资源勘探范围、地下水源涵养保护区、绿地控制范围为限建区。</w:t>
      </w:r>
      <w:r>
        <w:rPr>
          <w:rFonts w:ascii="宋体" w:hAnsi="宋体" w:eastAsia="宋体" w:cs="宋体"/>
          <w:spacing w:val="2"/>
          <w:sz w:val="24"/>
          <w:szCs w:val="24"/>
        </w:rPr>
        <w:t xml:space="preserve"> </w:t>
      </w:r>
      <w:r>
        <w:rPr>
          <w:rFonts w:ascii="宋体" w:hAnsi="宋体" w:eastAsia="宋体" w:cs="宋体"/>
          <w:spacing w:val="-6"/>
          <w:sz w:val="24"/>
          <w:szCs w:val="24"/>
        </w:rPr>
        <w:t>适宜建设区：地质构成简单且稳定的非农用地的脊地、荒坡地等，划入适宜建设区。</w:t>
      </w:r>
      <w:r>
        <w:rPr>
          <w:rFonts w:ascii="宋体" w:hAnsi="宋体" w:eastAsia="宋体" w:cs="宋体"/>
          <w:spacing w:val="1"/>
          <w:sz w:val="24"/>
          <w:szCs w:val="24"/>
        </w:rPr>
        <w:t xml:space="preserve"> </w:t>
      </w:r>
      <w:r>
        <w:rPr>
          <w:rFonts w:ascii="宋体" w:hAnsi="宋体" w:eastAsia="宋体" w:cs="宋体"/>
          <w:spacing w:val="-1"/>
          <w:sz w:val="24"/>
          <w:szCs w:val="24"/>
        </w:rPr>
        <w:t>已经建设区：主要为现状入驻企业。</w:t>
      </w:r>
    </w:p>
    <w:p w14:paraId="0891A2E5">
      <w:pPr>
        <w:spacing w:before="199" w:line="222" w:lineRule="auto"/>
        <w:ind w:left="11"/>
        <w:outlineLvl w:val="2"/>
        <w:rPr>
          <w:rFonts w:ascii="黑体" w:hAnsi="黑体" w:eastAsia="黑体" w:cs="黑体"/>
          <w:sz w:val="30"/>
          <w:szCs w:val="30"/>
        </w:rPr>
      </w:pPr>
      <w:bookmarkStart w:id="348" w:name="bookmark164"/>
      <w:bookmarkEnd w:id="348"/>
      <w:r>
        <w:rPr>
          <w:rFonts w:ascii="Times New Roman" w:hAnsi="Times New Roman" w:eastAsia="Times New Roman" w:cs="Times New Roman"/>
          <w:spacing w:val="-1"/>
          <w:sz w:val="30"/>
          <w:szCs w:val="30"/>
        </w:rPr>
        <w:t xml:space="preserve">3.2.5 </w:t>
      </w:r>
      <w:r>
        <w:rPr>
          <w:rFonts w:ascii="黑体" w:hAnsi="黑体" w:eastAsia="黑体" w:cs="黑体"/>
          <w:spacing w:val="-1"/>
          <w:sz w:val="30"/>
          <w:szCs w:val="30"/>
        </w:rPr>
        <w:t>规划主要内容</w:t>
      </w:r>
    </w:p>
    <w:p w14:paraId="4693456E">
      <w:pPr>
        <w:spacing w:before="175" w:line="219" w:lineRule="auto"/>
        <w:ind w:left="2"/>
        <w:outlineLvl w:val="3"/>
        <w:rPr>
          <w:rFonts w:ascii="宋体" w:hAnsi="宋体" w:eastAsia="宋体" w:cs="宋体"/>
          <w:sz w:val="24"/>
          <w:szCs w:val="24"/>
        </w:rPr>
      </w:pPr>
      <w:r>
        <w:fldChar w:fldCharType="begin"/>
      </w:r>
      <w:r>
        <w:instrText xml:space="preserve"> HYPERLINK "3.2.5.1" </w:instrText>
      </w:r>
      <w:r>
        <w:fldChar w:fldCharType="separate"/>
      </w:r>
      <w:r>
        <w:rPr>
          <w:rFonts w:ascii="Times New Roman" w:hAnsi="Times New Roman" w:eastAsia="Times New Roman" w:cs="Times New Roman"/>
          <w:b/>
          <w:bCs/>
          <w:spacing w:val="-2"/>
          <w:sz w:val="24"/>
          <w:szCs w:val="24"/>
        </w:rPr>
        <w:t>3.2.5.1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道路交通规划</w:t>
      </w:r>
    </w:p>
    <w:p w14:paraId="028447A6">
      <w:pPr>
        <w:spacing w:before="182" w:line="346" w:lineRule="auto"/>
        <w:ind w:left="9" w:right="80" w:firstLine="498"/>
        <w:rPr>
          <w:rFonts w:ascii="宋体" w:hAnsi="宋体" w:eastAsia="宋体" w:cs="宋体"/>
          <w:sz w:val="24"/>
          <w:szCs w:val="24"/>
        </w:rPr>
      </w:pPr>
      <w:r>
        <w:rPr>
          <w:rFonts w:ascii="宋体" w:hAnsi="宋体" w:eastAsia="宋体" w:cs="宋体"/>
          <w:spacing w:val="5"/>
          <w:sz w:val="24"/>
          <w:szCs w:val="24"/>
        </w:rPr>
        <w:t>园区路网结构为规则的方格网式。规划形成两纵</w:t>
      </w:r>
      <w:r>
        <w:rPr>
          <w:rFonts w:ascii="宋体" w:hAnsi="宋体" w:eastAsia="宋体" w:cs="宋体"/>
          <w:spacing w:val="4"/>
          <w:sz w:val="24"/>
          <w:szCs w:val="24"/>
        </w:rPr>
        <w:t>两横主干道系统，主干道间距为</w:t>
      </w:r>
      <w:r>
        <w:rPr>
          <w:rFonts w:ascii="宋体" w:hAnsi="宋体" w:eastAsia="宋体" w:cs="宋体"/>
          <w:sz w:val="24"/>
          <w:szCs w:val="24"/>
        </w:rPr>
        <w:t xml:space="preserve"> </w:t>
      </w:r>
      <w:r>
        <w:rPr>
          <w:rFonts w:ascii="Times New Roman" w:hAnsi="Times New Roman" w:eastAsia="Times New Roman" w:cs="Times New Roman"/>
          <w:spacing w:val="-3"/>
          <w:sz w:val="24"/>
          <w:szCs w:val="24"/>
        </w:rPr>
        <w:t>600</w:t>
      </w:r>
      <w:r>
        <w:rPr>
          <w:rFonts w:ascii="宋体" w:hAnsi="宋体" w:eastAsia="宋体" w:cs="宋体"/>
          <w:spacing w:val="-3"/>
          <w:sz w:val="24"/>
          <w:szCs w:val="24"/>
        </w:rPr>
        <w:t>～</w:t>
      </w:r>
      <w:r>
        <w:rPr>
          <w:rFonts w:ascii="Times New Roman" w:hAnsi="Times New Roman" w:eastAsia="Times New Roman" w:cs="Times New Roman"/>
          <w:spacing w:val="-3"/>
          <w:sz w:val="24"/>
          <w:szCs w:val="24"/>
        </w:rPr>
        <w:t xml:space="preserve">1000 </w:t>
      </w:r>
      <w:r>
        <w:rPr>
          <w:rFonts w:ascii="宋体" w:hAnsi="宋体" w:eastAsia="宋体" w:cs="宋体"/>
          <w:spacing w:val="-3"/>
          <w:sz w:val="24"/>
          <w:szCs w:val="24"/>
        </w:rPr>
        <w:t>米，道路控制红线为</w:t>
      </w:r>
      <w:r>
        <w:rPr>
          <w:rFonts w:ascii="宋体" w:hAnsi="宋体" w:eastAsia="宋体" w:cs="宋体"/>
          <w:spacing w:val="-45"/>
          <w:sz w:val="24"/>
          <w:szCs w:val="24"/>
        </w:rPr>
        <w:t xml:space="preserve"> </w:t>
      </w:r>
      <w:r>
        <w:rPr>
          <w:rFonts w:ascii="Times New Roman" w:hAnsi="Times New Roman" w:eastAsia="Times New Roman" w:cs="Times New Roman"/>
          <w:spacing w:val="-3"/>
          <w:sz w:val="24"/>
          <w:szCs w:val="24"/>
        </w:rPr>
        <w:t>30</w:t>
      </w:r>
      <w:r>
        <w:rPr>
          <w:rFonts w:ascii="宋体" w:hAnsi="宋体" w:eastAsia="宋体" w:cs="宋体"/>
          <w:spacing w:val="-3"/>
          <w:sz w:val="24"/>
          <w:szCs w:val="24"/>
        </w:rPr>
        <w:t>～</w:t>
      </w:r>
      <w:r>
        <w:rPr>
          <w:rFonts w:ascii="Times New Roman" w:hAnsi="Times New Roman" w:eastAsia="Times New Roman" w:cs="Times New Roman"/>
          <w:spacing w:val="-3"/>
          <w:sz w:val="24"/>
          <w:szCs w:val="24"/>
        </w:rPr>
        <w:t xml:space="preserve">40 </w:t>
      </w:r>
      <w:r>
        <w:rPr>
          <w:rFonts w:ascii="宋体" w:hAnsi="宋体" w:eastAsia="宋体" w:cs="宋体"/>
          <w:spacing w:val="-3"/>
          <w:sz w:val="24"/>
          <w:szCs w:val="24"/>
        </w:rPr>
        <w:t>米，主干道为工业区内部与外部区域联系主要交</w:t>
      </w:r>
    </w:p>
    <w:p w14:paraId="6467A1D7">
      <w:pPr>
        <w:spacing w:line="346" w:lineRule="auto"/>
        <w:rPr>
          <w:rFonts w:ascii="宋体" w:hAnsi="宋体" w:eastAsia="宋体" w:cs="宋体"/>
          <w:sz w:val="24"/>
          <w:szCs w:val="24"/>
        </w:rPr>
        <w:sectPr>
          <w:headerReference r:id="rId212" w:type="default"/>
          <w:footerReference r:id="rId213" w:type="default"/>
          <w:pgSz w:w="11906" w:h="16839"/>
          <w:pgMar w:top="1190" w:right="1337" w:bottom="993" w:left="1417" w:header="882" w:footer="831" w:gutter="0"/>
          <w:cols w:space="720" w:num="1"/>
        </w:sectPr>
      </w:pPr>
    </w:p>
    <w:p w14:paraId="59F9B3B7">
      <w:pPr>
        <w:spacing w:line="28" w:lineRule="exact"/>
      </w:pPr>
      <w:r>
        <w:pict>
          <v:shape id="_x0000_s1254" o:spid="_x0000_s1254" style="height:1.45pt;width:453.65pt;" fillcolor="#000000" filled="t" stroked="f" coordsize="9072,29" path="m0,0l9072,0,9072,28,0,28,0,0xe">
            <v:path/>
            <v:fill on="t" focussize="0,0"/>
            <v:stroke on="f"/>
            <v:imagedata o:title=""/>
            <o:lock v:ext="edit"/>
            <w10:wrap type="none"/>
            <w10:anchorlock/>
          </v:shape>
        </w:pict>
      </w:r>
    </w:p>
    <w:p w14:paraId="6303153A">
      <w:pPr>
        <w:spacing w:before="234" w:line="352" w:lineRule="auto"/>
        <w:ind w:left="8" w:right="1"/>
        <w:jc w:val="both"/>
        <w:rPr>
          <w:rFonts w:ascii="宋体" w:hAnsi="宋体" w:eastAsia="宋体" w:cs="宋体"/>
          <w:sz w:val="24"/>
          <w:szCs w:val="24"/>
        </w:rPr>
      </w:pPr>
      <w:r>
        <w:rPr>
          <w:rFonts w:ascii="宋体" w:hAnsi="宋体" w:eastAsia="宋体" w:cs="宋体"/>
          <w:spacing w:val="-2"/>
          <w:sz w:val="24"/>
          <w:szCs w:val="24"/>
        </w:rPr>
        <w:t>通通道；次干道穿插其中，道路间距为</w:t>
      </w:r>
      <w:r>
        <w:rPr>
          <w:rFonts w:ascii="宋体" w:hAnsi="宋体" w:eastAsia="宋体" w:cs="宋体"/>
          <w:spacing w:val="-36"/>
          <w:sz w:val="24"/>
          <w:szCs w:val="24"/>
        </w:rPr>
        <w:t xml:space="preserve"> </w:t>
      </w:r>
      <w:r>
        <w:rPr>
          <w:rFonts w:ascii="Times New Roman" w:hAnsi="Times New Roman" w:eastAsia="Times New Roman" w:cs="Times New Roman"/>
          <w:spacing w:val="-2"/>
          <w:sz w:val="24"/>
          <w:szCs w:val="24"/>
        </w:rPr>
        <w:t>300</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400 </w:t>
      </w:r>
      <w:r>
        <w:rPr>
          <w:rFonts w:ascii="宋体" w:hAnsi="宋体" w:eastAsia="宋体" w:cs="宋体"/>
          <w:spacing w:val="-2"/>
          <w:sz w:val="24"/>
          <w:szCs w:val="24"/>
        </w:rPr>
        <w:t>米，道路控制红线为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24</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30 </w:t>
      </w:r>
      <w:r>
        <w:rPr>
          <w:rFonts w:ascii="宋体" w:hAnsi="宋体" w:eastAsia="宋体" w:cs="宋体"/>
          <w:spacing w:val="-2"/>
          <w:sz w:val="24"/>
          <w:szCs w:val="24"/>
        </w:rPr>
        <w:t>米。规划</w:t>
      </w:r>
      <w:r>
        <w:rPr>
          <w:rFonts w:ascii="宋体" w:hAnsi="宋体" w:eastAsia="宋体" w:cs="宋体"/>
          <w:sz w:val="24"/>
          <w:szCs w:val="24"/>
        </w:rPr>
        <w:t xml:space="preserve"> </w:t>
      </w:r>
      <w:r>
        <w:rPr>
          <w:rFonts w:ascii="宋体" w:hAnsi="宋体" w:eastAsia="宋体" w:cs="宋体"/>
          <w:spacing w:val="-2"/>
          <w:sz w:val="24"/>
          <w:szCs w:val="24"/>
        </w:rPr>
        <w:t>区从而形成完整紧凑的道路系统；主次干道两侧加上各</w:t>
      </w:r>
      <w:r>
        <w:rPr>
          <w:rFonts w:ascii="宋体" w:hAnsi="宋体" w:eastAsia="宋体" w:cs="宋体"/>
          <w:spacing w:val="-40"/>
          <w:sz w:val="24"/>
          <w:szCs w:val="24"/>
        </w:rPr>
        <w:t xml:space="preserve"> </w:t>
      </w:r>
      <w:r>
        <w:rPr>
          <w:rFonts w:ascii="Times New Roman" w:hAnsi="Times New Roman" w:eastAsia="Times New Roman" w:cs="Times New Roman"/>
          <w:spacing w:val="-2"/>
          <w:sz w:val="24"/>
          <w:szCs w:val="24"/>
        </w:rPr>
        <w:t>5</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15 </w:t>
      </w:r>
      <w:r>
        <w:rPr>
          <w:rFonts w:ascii="宋体" w:hAnsi="宋体" w:eastAsia="宋体" w:cs="宋体"/>
          <w:spacing w:val="-2"/>
          <w:sz w:val="24"/>
          <w:szCs w:val="24"/>
        </w:rPr>
        <w:t>米的绿化带，形成重要的</w:t>
      </w:r>
      <w:r>
        <w:rPr>
          <w:rFonts w:ascii="宋体" w:hAnsi="宋体" w:eastAsia="宋体" w:cs="宋体"/>
          <w:sz w:val="24"/>
          <w:szCs w:val="24"/>
        </w:rPr>
        <w:t xml:space="preserve"> </w:t>
      </w:r>
      <w:r>
        <w:rPr>
          <w:rFonts w:ascii="宋体" w:hAnsi="宋体" w:eastAsia="宋体" w:cs="宋体"/>
          <w:spacing w:val="-2"/>
          <w:sz w:val="24"/>
          <w:szCs w:val="24"/>
        </w:rPr>
        <w:t>林荫大道和景观性道路；规划区外围形成环路，道路等级以不低于工业区次干道等级建</w:t>
      </w:r>
      <w:r>
        <w:rPr>
          <w:rFonts w:ascii="宋体" w:hAnsi="宋体" w:eastAsia="宋体" w:cs="宋体"/>
          <w:spacing w:val="16"/>
          <w:sz w:val="24"/>
          <w:szCs w:val="24"/>
        </w:rPr>
        <w:t xml:space="preserve"> </w:t>
      </w:r>
      <w:r>
        <w:rPr>
          <w:rFonts w:ascii="宋体" w:hAnsi="宋体" w:eastAsia="宋体" w:cs="宋体"/>
          <w:spacing w:val="2"/>
          <w:sz w:val="24"/>
          <w:szCs w:val="24"/>
        </w:rPr>
        <w:t>设，并于环路外围规划</w:t>
      </w:r>
      <w:r>
        <w:rPr>
          <w:rFonts w:ascii="Times New Roman" w:hAnsi="Times New Roman" w:eastAsia="Times New Roman" w:cs="Times New Roman"/>
          <w:spacing w:val="2"/>
          <w:sz w:val="24"/>
          <w:szCs w:val="24"/>
        </w:rPr>
        <w:t>30</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100 </w:t>
      </w:r>
      <w:r>
        <w:rPr>
          <w:rFonts w:ascii="宋体" w:hAnsi="宋体" w:eastAsia="宋体" w:cs="宋体"/>
          <w:spacing w:val="2"/>
          <w:sz w:val="24"/>
          <w:szCs w:val="24"/>
        </w:rPr>
        <w:t>米环规划区</w:t>
      </w:r>
      <w:r>
        <w:rPr>
          <w:rFonts w:ascii="宋体" w:hAnsi="宋体" w:eastAsia="宋体" w:cs="宋体"/>
          <w:spacing w:val="1"/>
          <w:sz w:val="24"/>
          <w:szCs w:val="24"/>
        </w:rPr>
        <w:t>绿化带。</w:t>
      </w:r>
    </w:p>
    <w:p w14:paraId="1BBF458F">
      <w:pPr>
        <w:spacing w:before="36" w:line="350" w:lineRule="auto"/>
        <w:ind w:left="7" w:right="1" w:firstLine="481"/>
        <w:jc w:val="both"/>
        <w:rPr>
          <w:rFonts w:ascii="宋体" w:hAnsi="宋体" w:eastAsia="宋体" w:cs="宋体"/>
          <w:sz w:val="24"/>
          <w:szCs w:val="24"/>
        </w:rPr>
      </w:pPr>
      <w:r>
        <w:rPr>
          <w:rFonts w:ascii="宋体" w:hAnsi="宋体" w:eastAsia="宋体" w:cs="宋体"/>
          <w:spacing w:val="-2"/>
          <w:sz w:val="24"/>
          <w:szCs w:val="24"/>
        </w:rPr>
        <w:t>规划区设置加油站</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 xml:space="preserve">2 </w:t>
      </w:r>
      <w:r>
        <w:rPr>
          <w:rFonts w:ascii="宋体" w:hAnsi="宋体" w:eastAsia="宋体" w:cs="宋体"/>
          <w:spacing w:val="-2"/>
          <w:sz w:val="24"/>
          <w:szCs w:val="24"/>
        </w:rPr>
        <w:t>处，加油站要求附设车辆等候加油的停车道。规划在朱日和工</w:t>
      </w:r>
      <w:r>
        <w:rPr>
          <w:rFonts w:ascii="宋体" w:hAnsi="宋体" w:eastAsia="宋体" w:cs="宋体"/>
          <w:sz w:val="24"/>
          <w:szCs w:val="24"/>
        </w:rPr>
        <w:t xml:space="preserve"> </w:t>
      </w:r>
      <w:r>
        <w:rPr>
          <w:rFonts w:ascii="宋体" w:hAnsi="宋体" w:eastAsia="宋体" w:cs="宋体"/>
          <w:spacing w:val="-2"/>
          <w:sz w:val="24"/>
          <w:szCs w:val="24"/>
        </w:rPr>
        <w:t>业区冶金产业园适当位置根据车流集散情况配建社会公共停车场，满足工业区交通停车</w:t>
      </w:r>
      <w:r>
        <w:rPr>
          <w:rFonts w:ascii="宋体" w:hAnsi="宋体" w:eastAsia="宋体" w:cs="宋体"/>
          <w:spacing w:val="18"/>
          <w:sz w:val="24"/>
          <w:szCs w:val="24"/>
        </w:rPr>
        <w:t xml:space="preserve"> </w:t>
      </w:r>
      <w:r>
        <w:rPr>
          <w:rFonts w:ascii="宋体" w:hAnsi="宋体" w:eastAsia="宋体" w:cs="宋体"/>
          <w:spacing w:val="-1"/>
          <w:sz w:val="24"/>
          <w:szCs w:val="24"/>
        </w:rPr>
        <w:t>需要，同时设置相应的自行车泊位。</w:t>
      </w:r>
    </w:p>
    <w:p w14:paraId="386D77C5">
      <w:pPr>
        <w:spacing w:before="33" w:line="221" w:lineRule="auto"/>
        <w:ind w:left="2"/>
        <w:outlineLvl w:val="3"/>
        <w:rPr>
          <w:rFonts w:ascii="宋体" w:hAnsi="宋体" w:eastAsia="宋体" w:cs="宋体"/>
          <w:sz w:val="24"/>
          <w:szCs w:val="24"/>
        </w:rPr>
      </w:pPr>
      <w:r>
        <w:fldChar w:fldCharType="begin"/>
      </w:r>
      <w:r>
        <w:instrText xml:space="preserve"> HYPERLINK "3.2.5.2" </w:instrText>
      </w:r>
      <w:r>
        <w:fldChar w:fldCharType="separate"/>
      </w:r>
      <w:r>
        <w:rPr>
          <w:rFonts w:ascii="Times New Roman" w:hAnsi="Times New Roman" w:eastAsia="Times New Roman" w:cs="Times New Roman"/>
          <w:b/>
          <w:bCs/>
          <w:spacing w:val="-2"/>
          <w:sz w:val="24"/>
          <w:szCs w:val="24"/>
        </w:rPr>
        <w:t>3.2.5.2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基础设施规划</w:t>
      </w:r>
    </w:p>
    <w:p w14:paraId="2BD9A7C1">
      <w:pPr>
        <w:spacing w:before="181"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）给水工程规划</w:t>
      </w:r>
    </w:p>
    <w:p w14:paraId="2FD484AA">
      <w:pPr>
        <w:spacing w:before="179" w:line="353" w:lineRule="auto"/>
        <w:ind w:left="9" w:right="1" w:firstLine="480"/>
        <w:jc w:val="both"/>
        <w:rPr>
          <w:rFonts w:ascii="宋体" w:hAnsi="宋体" w:eastAsia="宋体" w:cs="宋体"/>
          <w:sz w:val="24"/>
          <w:szCs w:val="24"/>
        </w:rPr>
      </w:pPr>
      <w:r>
        <w:rPr>
          <w:rFonts w:ascii="宋体" w:hAnsi="宋体" w:eastAsia="宋体" w:cs="宋体"/>
          <w:spacing w:val="-2"/>
          <w:sz w:val="24"/>
          <w:szCs w:val="24"/>
        </w:rPr>
        <w:t>规划区用水水源近期来自地表水，地表水主要来自拟建中的乌兰敖包水库。由于四</w:t>
      </w:r>
      <w:r>
        <w:rPr>
          <w:rFonts w:ascii="宋体" w:hAnsi="宋体" w:eastAsia="宋体" w:cs="宋体"/>
          <w:spacing w:val="12"/>
          <w:sz w:val="24"/>
          <w:szCs w:val="24"/>
        </w:rPr>
        <w:t xml:space="preserve"> </w:t>
      </w:r>
      <w:r>
        <w:rPr>
          <w:rFonts w:ascii="宋体" w:hAnsi="宋体" w:eastAsia="宋体" w:cs="宋体"/>
          <w:spacing w:val="-2"/>
          <w:sz w:val="24"/>
          <w:szCs w:val="24"/>
        </w:rPr>
        <w:t>子王旗水资源比较丰富，远期可以考虑从该旗引进一定的水资源满足冶金产业园的用水</w:t>
      </w:r>
      <w:r>
        <w:rPr>
          <w:rFonts w:ascii="宋体" w:hAnsi="宋体" w:eastAsia="宋体" w:cs="宋体"/>
          <w:spacing w:val="16"/>
          <w:sz w:val="24"/>
          <w:szCs w:val="24"/>
        </w:rPr>
        <w:t xml:space="preserve"> </w:t>
      </w:r>
      <w:r>
        <w:rPr>
          <w:rFonts w:ascii="宋体" w:hAnsi="宋体" w:eastAsia="宋体" w:cs="宋体"/>
          <w:spacing w:val="-2"/>
          <w:sz w:val="24"/>
          <w:szCs w:val="24"/>
        </w:rPr>
        <w:t>需求。根据现有的水文地质及地下水可开采量，规划供水水源近期考虑由地下水和地表</w:t>
      </w:r>
      <w:r>
        <w:rPr>
          <w:rFonts w:ascii="宋体" w:hAnsi="宋体" w:eastAsia="宋体" w:cs="宋体"/>
          <w:spacing w:val="16"/>
          <w:sz w:val="24"/>
          <w:szCs w:val="24"/>
        </w:rPr>
        <w:t xml:space="preserve"> </w:t>
      </w:r>
      <w:r>
        <w:rPr>
          <w:rFonts w:ascii="宋体" w:hAnsi="宋体" w:eastAsia="宋体" w:cs="宋体"/>
          <w:spacing w:val="-2"/>
          <w:sz w:val="24"/>
          <w:szCs w:val="24"/>
        </w:rPr>
        <w:t>水两部分组成。</w:t>
      </w:r>
    </w:p>
    <w:p w14:paraId="10A71F4B">
      <w:pPr>
        <w:spacing w:before="34" w:line="345" w:lineRule="auto"/>
        <w:ind w:firstLine="492"/>
        <w:rPr>
          <w:rFonts w:ascii="宋体" w:hAnsi="宋体" w:eastAsia="宋体" w:cs="宋体"/>
          <w:sz w:val="24"/>
          <w:szCs w:val="24"/>
        </w:rPr>
      </w:pPr>
      <w:r>
        <w:rPr>
          <w:rFonts w:ascii="宋体" w:hAnsi="宋体" w:eastAsia="宋体" w:cs="宋体"/>
          <w:spacing w:val="2"/>
          <w:sz w:val="24"/>
          <w:szCs w:val="24"/>
        </w:rPr>
        <w:t>与最高日用水量相对应，规划在朱日和镇区建二级水厂一座，水厂规模为</w:t>
      </w:r>
      <w:r>
        <w:rPr>
          <w:rFonts w:ascii="宋体" w:hAnsi="宋体" w:eastAsia="宋体" w:cs="宋体"/>
          <w:spacing w:val="-35"/>
          <w:sz w:val="24"/>
          <w:szCs w:val="24"/>
        </w:rPr>
        <w:t xml:space="preserve"> </w:t>
      </w:r>
      <w:r>
        <w:rPr>
          <w:rFonts w:ascii="Times New Roman" w:hAnsi="Times New Roman" w:eastAsia="Times New Roman" w:cs="Times New Roman"/>
          <w:spacing w:val="2"/>
          <w:sz w:val="24"/>
          <w:szCs w:val="24"/>
        </w:rPr>
        <w:t>20.0</w:t>
      </w:r>
      <w:r>
        <w:rPr>
          <w:rFonts w:ascii="Times New Roman" w:hAnsi="Times New Roman" w:eastAsia="Times New Roman" w:cs="Times New Roman"/>
          <w:spacing w:val="17"/>
          <w:w w:val="101"/>
          <w:sz w:val="24"/>
          <w:szCs w:val="24"/>
        </w:rPr>
        <w:t xml:space="preserve"> </w:t>
      </w:r>
      <w:r>
        <w:rPr>
          <w:rFonts w:ascii="宋体" w:hAnsi="宋体" w:eastAsia="宋体" w:cs="宋体"/>
          <w:spacing w:val="2"/>
          <w:sz w:val="24"/>
          <w:szCs w:val="24"/>
        </w:rPr>
        <w:t>万</w:t>
      </w:r>
      <w:r>
        <w:rPr>
          <w:rFonts w:ascii="宋体" w:hAnsi="宋体" w:eastAsia="宋体" w:cs="宋体"/>
          <w:sz w:val="24"/>
          <w:szCs w:val="24"/>
        </w:rPr>
        <w:t xml:space="preserve"> </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w:t>
      </w:r>
      <w:r>
        <w:rPr>
          <w:rFonts w:ascii="宋体" w:hAnsi="宋体" w:eastAsia="宋体" w:cs="宋体"/>
          <w:spacing w:val="1"/>
          <w:sz w:val="24"/>
          <w:szCs w:val="24"/>
        </w:rPr>
        <w:t>日（水厂自用水考虑</w:t>
      </w:r>
      <w:r>
        <w:rPr>
          <w:rFonts w:ascii="Times New Roman" w:hAnsi="Times New Roman" w:eastAsia="Times New Roman" w:cs="Times New Roman"/>
          <w:spacing w:val="1"/>
          <w:sz w:val="24"/>
          <w:szCs w:val="24"/>
        </w:rPr>
        <w:t>5%</w:t>
      </w:r>
      <w:r>
        <w:rPr>
          <w:rFonts w:ascii="宋体" w:hAnsi="宋体" w:eastAsia="宋体" w:cs="宋体"/>
          <w:spacing w:val="14"/>
          <w:sz w:val="24"/>
          <w:szCs w:val="24"/>
        </w:rPr>
        <w:t>），</w:t>
      </w:r>
      <w:r>
        <w:rPr>
          <w:rFonts w:ascii="宋体" w:hAnsi="宋体" w:eastAsia="宋体" w:cs="宋体"/>
          <w:spacing w:val="1"/>
          <w:sz w:val="24"/>
          <w:szCs w:val="24"/>
        </w:rPr>
        <w:t>水厂建设用地按地表水水厂进行控制。</w:t>
      </w:r>
    </w:p>
    <w:p w14:paraId="6EF4A81D">
      <w:pPr>
        <w:spacing w:before="38" w:line="352" w:lineRule="auto"/>
        <w:ind w:left="9" w:firstLine="479"/>
        <w:rPr>
          <w:rFonts w:ascii="宋体" w:hAnsi="宋体" w:eastAsia="宋体" w:cs="宋体"/>
          <w:sz w:val="24"/>
          <w:szCs w:val="24"/>
        </w:rPr>
      </w:pPr>
      <w:r>
        <w:rPr>
          <w:rFonts w:ascii="宋体" w:hAnsi="宋体" w:eastAsia="宋体" w:cs="宋体"/>
          <w:spacing w:val="-2"/>
          <w:sz w:val="24"/>
          <w:szCs w:val="24"/>
        </w:rPr>
        <w:t>配水管网在已建管网的基础上进行扩建，规划配水管网采用环状与枝状结合管网系</w:t>
      </w:r>
      <w:r>
        <w:rPr>
          <w:rFonts w:ascii="宋体" w:hAnsi="宋体" w:eastAsia="宋体" w:cs="宋体"/>
          <w:spacing w:val="13"/>
          <w:sz w:val="24"/>
          <w:szCs w:val="24"/>
        </w:rPr>
        <w:t xml:space="preserve"> </w:t>
      </w:r>
      <w:r>
        <w:rPr>
          <w:rFonts w:ascii="宋体" w:hAnsi="宋体" w:eastAsia="宋体" w:cs="宋体"/>
          <w:spacing w:val="-3"/>
          <w:sz w:val="24"/>
          <w:szCs w:val="24"/>
        </w:rPr>
        <w:t>统，从水厂引两根</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DN600</w:t>
      </w:r>
      <w:r>
        <w:rPr>
          <w:rFonts w:ascii="Times New Roman" w:hAnsi="Times New Roman" w:eastAsia="Times New Roman" w:cs="Times New Roman"/>
          <w:spacing w:val="29"/>
          <w:w w:val="101"/>
          <w:sz w:val="24"/>
          <w:szCs w:val="24"/>
        </w:rPr>
        <w:t xml:space="preserve"> </w:t>
      </w:r>
      <w:r>
        <w:rPr>
          <w:rFonts w:ascii="宋体" w:hAnsi="宋体" w:eastAsia="宋体" w:cs="宋体"/>
          <w:spacing w:val="-3"/>
          <w:sz w:val="24"/>
          <w:szCs w:val="24"/>
        </w:rPr>
        <w:t>的输水管向规划区供水。各次干路下形成环状</w:t>
      </w:r>
      <w:r>
        <w:rPr>
          <w:rFonts w:ascii="宋体" w:hAnsi="宋体" w:eastAsia="宋体" w:cs="宋体"/>
          <w:spacing w:val="-56"/>
          <w:sz w:val="24"/>
          <w:szCs w:val="24"/>
        </w:rPr>
        <w:t xml:space="preserve"> </w:t>
      </w:r>
      <w:r>
        <w:rPr>
          <w:rFonts w:ascii="Times New Roman" w:hAnsi="Times New Roman" w:eastAsia="Times New Roman" w:cs="Times New Roman"/>
          <w:spacing w:val="-3"/>
          <w:sz w:val="24"/>
          <w:szCs w:val="24"/>
        </w:rPr>
        <w:t>DN200~DN300</w:t>
      </w:r>
      <w:r>
        <w:rPr>
          <w:rFonts w:ascii="Times New Roman" w:hAnsi="Times New Roman" w:eastAsia="Times New Roman" w:cs="Times New Roman"/>
          <w:sz w:val="24"/>
          <w:szCs w:val="24"/>
        </w:rPr>
        <w:t xml:space="preserve"> </w:t>
      </w:r>
      <w:r>
        <w:rPr>
          <w:rFonts w:ascii="宋体" w:hAnsi="宋体" w:eastAsia="宋体" w:cs="宋体"/>
          <w:spacing w:val="-2"/>
          <w:sz w:val="24"/>
          <w:szCs w:val="24"/>
        </w:rPr>
        <w:t>给水管供水。给水管道一般布置在城市道路的东、北侧，人行道下面，距人行道路缘石</w:t>
      </w:r>
      <w:r>
        <w:rPr>
          <w:rFonts w:ascii="宋体" w:hAnsi="宋体" w:eastAsia="宋体" w:cs="宋体"/>
          <w:spacing w:val="16"/>
          <w:sz w:val="24"/>
          <w:szCs w:val="24"/>
        </w:rPr>
        <w:t xml:space="preserve"> </w:t>
      </w:r>
      <w:r>
        <w:rPr>
          <w:rFonts w:ascii="Times New Roman" w:hAnsi="Times New Roman" w:eastAsia="Times New Roman" w:cs="Times New Roman"/>
          <w:spacing w:val="-2"/>
          <w:sz w:val="24"/>
          <w:szCs w:val="24"/>
        </w:rPr>
        <w:t>1</w:t>
      </w:r>
      <w:r>
        <w:rPr>
          <w:rFonts w:ascii="宋体" w:hAnsi="宋体" w:eastAsia="宋体" w:cs="宋体"/>
          <w:spacing w:val="-2"/>
          <w:sz w:val="24"/>
          <w:szCs w:val="24"/>
        </w:rPr>
        <w:t>～</w:t>
      </w:r>
      <w:r>
        <w:rPr>
          <w:rFonts w:ascii="Times New Roman" w:hAnsi="Times New Roman" w:eastAsia="Times New Roman" w:cs="Times New Roman"/>
          <w:spacing w:val="-2"/>
          <w:sz w:val="24"/>
          <w:szCs w:val="24"/>
        </w:rPr>
        <w:t>4m</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，埋深一般为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3.0</w:t>
      </w:r>
      <w:r>
        <w:rPr>
          <w:rFonts w:ascii="宋体" w:hAnsi="宋体" w:eastAsia="宋体" w:cs="宋体"/>
          <w:spacing w:val="-2"/>
          <w:sz w:val="24"/>
          <w:szCs w:val="24"/>
        </w:rPr>
        <w:t>～</w:t>
      </w:r>
      <w:r>
        <w:rPr>
          <w:rFonts w:ascii="Times New Roman" w:hAnsi="Times New Roman" w:eastAsia="Times New Roman" w:cs="Times New Roman"/>
          <w:spacing w:val="-2"/>
          <w:sz w:val="24"/>
          <w:szCs w:val="24"/>
        </w:rPr>
        <w:t>3.5m</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。道路宽度大于</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 xml:space="preserve">40 </w:t>
      </w:r>
      <w:r>
        <w:rPr>
          <w:rFonts w:ascii="宋体" w:hAnsi="宋体" w:eastAsia="宋体" w:cs="宋体"/>
          <w:spacing w:val="-2"/>
          <w:sz w:val="24"/>
          <w:szCs w:val="24"/>
        </w:rPr>
        <w:t>米的干道，给水管道双</w:t>
      </w:r>
      <w:r>
        <w:rPr>
          <w:rFonts w:ascii="宋体" w:hAnsi="宋体" w:eastAsia="宋体" w:cs="宋体"/>
          <w:spacing w:val="-3"/>
          <w:sz w:val="24"/>
          <w:szCs w:val="24"/>
        </w:rPr>
        <w:t>侧布置。</w:t>
      </w:r>
    </w:p>
    <w:p w14:paraId="6735BB59">
      <w:pPr>
        <w:spacing w:before="36" w:line="355" w:lineRule="auto"/>
        <w:ind w:left="7" w:firstLine="482"/>
        <w:rPr>
          <w:rFonts w:ascii="宋体" w:hAnsi="宋体" w:eastAsia="宋体" w:cs="宋体"/>
          <w:sz w:val="24"/>
          <w:szCs w:val="24"/>
        </w:rPr>
      </w:pPr>
      <w:r>
        <w:rPr>
          <w:rFonts w:ascii="宋体" w:hAnsi="宋体" w:eastAsia="宋体" w:cs="宋体"/>
          <w:spacing w:val="-2"/>
          <w:sz w:val="24"/>
          <w:szCs w:val="24"/>
        </w:rPr>
        <w:t>现状朱日和工业园区轻工产业园企业用水由苏尼特右旗给排水公司供给，水源为地</w:t>
      </w:r>
      <w:r>
        <w:rPr>
          <w:rFonts w:ascii="宋体" w:hAnsi="宋体" w:eastAsia="宋体" w:cs="宋体"/>
          <w:spacing w:val="11"/>
          <w:sz w:val="24"/>
          <w:szCs w:val="24"/>
        </w:rPr>
        <w:t xml:space="preserve"> </w:t>
      </w:r>
      <w:r>
        <w:rPr>
          <w:rFonts w:ascii="宋体" w:hAnsi="宋体" w:eastAsia="宋体" w:cs="宋体"/>
          <w:spacing w:val="-3"/>
          <w:sz w:val="24"/>
          <w:szCs w:val="24"/>
        </w:rPr>
        <w:t>下井水，在园区共打井</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w:t>
      </w:r>
      <w:r>
        <w:rPr>
          <w:rFonts w:ascii="Times New Roman" w:hAnsi="Times New Roman" w:eastAsia="Times New Roman" w:cs="Times New Roman"/>
          <w:spacing w:val="24"/>
          <w:w w:val="101"/>
          <w:sz w:val="24"/>
          <w:szCs w:val="24"/>
        </w:rPr>
        <w:t xml:space="preserve"> </w:t>
      </w:r>
      <w:r>
        <w:rPr>
          <w:rFonts w:ascii="宋体" w:hAnsi="宋体" w:eastAsia="宋体" w:cs="宋体"/>
          <w:spacing w:val="-3"/>
          <w:sz w:val="24"/>
          <w:szCs w:val="24"/>
        </w:rPr>
        <w:t>眼，供水能力为</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3000m</w:t>
      </w:r>
      <w:r>
        <w:rPr>
          <w:rFonts w:ascii="Times New Roman" w:hAnsi="Times New Roman" w:eastAsia="Times New Roman" w:cs="Times New Roman"/>
          <w:spacing w:val="-3"/>
          <w:position w:val="8"/>
          <w:sz w:val="15"/>
          <w:szCs w:val="15"/>
        </w:rPr>
        <w:t>3</w:t>
      </w:r>
      <w:r>
        <w:rPr>
          <w:rFonts w:ascii="Times New Roman" w:hAnsi="Times New Roman" w:eastAsia="Times New Roman" w:cs="Times New Roman"/>
          <w:spacing w:val="-3"/>
          <w:sz w:val="24"/>
          <w:szCs w:val="24"/>
        </w:rPr>
        <w:t>/d</w:t>
      </w:r>
      <w:r>
        <w:rPr>
          <w:rFonts w:ascii="宋体" w:hAnsi="宋体" w:eastAsia="宋体" w:cs="宋体"/>
          <w:spacing w:val="-3"/>
          <w:sz w:val="24"/>
          <w:szCs w:val="24"/>
        </w:rPr>
        <w:t>，其余用水由企业自打井。本项目生</w:t>
      </w:r>
      <w:r>
        <w:rPr>
          <w:rFonts w:ascii="宋体" w:hAnsi="宋体" w:eastAsia="宋体" w:cs="宋体"/>
          <w:sz w:val="24"/>
          <w:szCs w:val="24"/>
        </w:rPr>
        <w:t xml:space="preserve"> </w:t>
      </w:r>
      <w:r>
        <w:rPr>
          <w:rFonts w:ascii="宋体" w:hAnsi="宋体" w:eastAsia="宋体" w:cs="宋体"/>
          <w:spacing w:val="-2"/>
          <w:sz w:val="24"/>
          <w:szCs w:val="24"/>
        </w:rPr>
        <w:t>活用水由园区自来水管网供给，水源为地下水；生产用水来自苏尼特右旗赛罕塔拉镇污</w:t>
      </w:r>
      <w:r>
        <w:rPr>
          <w:rFonts w:ascii="宋体" w:hAnsi="宋体" w:eastAsia="宋体" w:cs="宋体"/>
          <w:spacing w:val="18"/>
          <w:sz w:val="24"/>
          <w:szCs w:val="24"/>
        </w:rPr>
        <w:t xml:space="preserve"> </w:t>
      </w:r>
      <w:r>
        <w:rPr>
          <w:rFonts w:ascii="宋体" w:hAnsi="宋体" w:eastAsia="宋体" w:cs="宋体"/>
          <w:spacing w:val="-2"/>
          <w:sz w:val="24"/>
          <w:szCs w:val="24"/>
        </w:rPr>
        <w:t>水处理厂中水。苏尼特右旗赛罕塔拉镇污水处理厂至锡林郭勒苏尼特经济开发区朱日和</w:t>
      </w:r>
      <w:r>
        <w:rPr>
          <w:rFonts w:ascii="宋体" w:hAnsi="宋体" w:eastAsia="宋体" w:cs="宋体"/>
          <w:spacing w:val="18"/>
          <w:sz w:val="24"/>
          <w:szCs w:val="24"/>
        </w:rPr>
        <w:t xml:space="preserve"> </w:t>
      </w:r>
      <w:r>
        <w:rPr>
          <w:rFonts w:ascii="宋体" w:hAnsi="宋体" w:eastAsia="宋体" w:cs="宋体"/>
          <w:spacing w:val="6"/>
          <w:sz w:val="24"/>
          <w:szCs w:val="24"/>
        </w:rPr>
        <w:t>产业园中水输送管道工程已基本建设完成，于</w:t>
      </w:r>
      <w:r>
        <w:rPr>
          <w:rFonts w:ascii="宋体" w:hAnsi="宋体" w:eastAsia="宋体" w:cs="宋体"/>
          <w:spacing w:val="-45"/>
          <w:sz w:val="24"/>
          <w:szCs w:val="24"/>
        </w:rPr>
        <w:t xml:space="preserve"> </w:t>
      </w:r>
      <w:r>
        <w:rPr>
          <w:rFonts w:ascii="Times New Roman" w:hAnsi="Times New Roman" w:eastAsia="Times New Roman" w:cs="Times New Roman"/>
          <w:spacing w:val="6"/>
          <w:sz w:val="24"/>
          <w:szCs w:val="24"/>
        </w:rPr>
        <w:t>2023</w:t>
      </w:r>
      <w:r>
        <w:rPr>
          <w:rFonts w:ascii="Times New Roman" w:hAnsi="Times New Roman" w:eastAsia="Times New Roman" w:cs="Times New Roman"/>
          <w:spacing w:val="18"/>
          <w:sz w:val="24"/>
          <w:szCs w:val="24"/>
        </w:rPr>
        <w:t xml:space="preserve"> </w:t>
      </w:r>
      <w:r>
        <w:rPr>
          <w:rFonts w:ascii="宋体" w:hAnsi="宋体" w:eastAsia="宋体" w:cs="宋体"/>
          <w:spacing w:val="6"/>
          <w:sz w:val="24"/>
          <w:szCs w:val="24"/>
        </w:rPr>
        <w:t>年</w:t>
      </w:r>
      <w:r>
        <w:rPr>
          <w:rFonts w:ascii="宋体" w:hAnsi="宋体" w:eastAsia="宋体" w:cs="宋体"/>
          <w:spacing w:val="-36"/>
          <w:sz w:val="24"/>
          <w:szCs w:val="24"/>
        </w:rPr>
        <w:t xml:space="preserve"> </w:t>
      </w:r>
      <w:r>
        <w:rPr>
          <w:rFonts w:ascii="Times New Roman" w:hAnsi="Times New Roman" w:eastAsia="Times New Roman" w:cs="Times New Roman"/>
          <w:spacing w:val="6"/>
          <w:sz w:val="24"/>
          <w:szCs w:val="24"/>
        </w:rPr>
        <w:t>8</w:t>
      </w:r>
      <w:r>
        <w:rPr>
          <w:rFonts w:ascii="Times New Roman" w:hAnsi="Times New Roman" w:eastAsia="Times New Roman" w:cs="Times New Roman"/>
          <w:spacing w:val="25"/>
          <w:sz w:val="24"/>
          <w:szCs w:val="24"/>
        </w:rPr>
        <w:t xml:space="preserve"> </w:t>
      </w:r>
      <w:r>
        <w:rPr>
          <w:rFonts w:ascii="宋体" w:hAnsi="宋体" w:eastAsia="宋体" w:cs="宋体"/>
          <w:spacing w:val="6"/>
          <w:sz w:val="24"/>
          <w:szCs w:val="24"/>
        </w:rPr>
        <w:t>月份开始</w:t>
      </w:r>
      <w:r>
        <w:rPr>
          <w:rFonts w:ascii="宋体" w:hAnsi="宋体" w:eastAsia="宋体" w:cs="宋体"/>
          <w:spacing w:val="5"/>
          <w:sz w:val="24"/>
          <w:szCs w:val="24"/>
        </w:rPr>
        <w:t>输水，供水能力为</w:t>
      </w:r>
      <w:r>
        <w:rPr>
          <w:rFonts w:ascii="宋体" w:hAnsi="宋体" w:eastAsia="宋体" w:cs="宋体"/>
          <w:sz w:val="24"/>
          <w:szCs w:val="24"/>
        </w:rPr>
        <w:t xml:space="preserve"> </w:t>
      </w:r>
      <w:r>
        <w:rPr>
          <w:rFonts w:ascii="Times New Roman" w:hAnsi="Times New Roman" w:eastAsia="Times New Roman" w:cs="Times New Roman"/>
          <w:spacing w:val="-2"/>
          <w:sz w:val="24"/>
          <w:szCs w:val="24"/>
        </w:rPr>
        <w:t>7000m</w:t>
      </w:r>
      <w:r>
        <w:rPr>
          <w:rFonts w:ascii="Times New Roman" w:hAnsi="Times New Roman" w:eastAsia="Times New Roman" w:cs="Times New Roman"/>
          <w:spacing w:val="-2"/>
          <w:position w:val="7"/>
          <w:sz w:val="15"/>
          <w:szCs w:val="15"/>
        </w:rPr>
        <w:t>3</w:t>
      </w:r>
      <w:r>
        <w:rPr>
          <w:rFonts w:ascii="Times New Roman" w:hAnsi="Times New Roman" w:eastAsia="Times New Roman" w:cs="Times New Roman"/>
          <w:spacing w:val="-2"/>
          <w:sz w:val="24"/>
          <w:szCs w:val="24"/>
        </w:rPr>
        <w:t>/d</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，满足项目使用需求。</w:t>
      </w:r>
    </w:p>
    <w:p w14:paraId="5CBF6749">
      <w:pPr>
        <w:spacing w:before="33"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）排水工程规划</w:t>
      </w:r>
    </w:p>
    <w:p w14:paraId="257467C2">
      <w:pPr>
        <w:spacing w:before="178" w:line="353" w:lineRule="auto"/>
        <w:ind w:left="6" w:firstLine="482"/>
        <w:rPr>
          <w:rFonts w:ascii="宋体" w:hAnsi="宋体" w:eastAsia="宋体" w:cs="宋体"/>
          <w:sz w:val="24"/>
          <w:szCs w:val="24"/>
        </w:rPr>
      </w:pPr>
      <w:r>
        <w:rPr>
          <w:rFonts w:ascii="宋体" w:hAnsi="宋体" w:eastAsia="宋体" w:cs="宋体"/>
          <w:spacing w:val="-2"/>
          <w:sz w:val="24"/>
          <w:szCs w:val="24"/>
        </w:rPr>
        <w:t>规划排水体制采用雨污分流制。园区总体地形趋势为南北高、中间低，南侧地形相</w:t>
      </w:r>
      <w:r>
        <w:rPr>
          <w:rFonts w:ascii="宋体" w:hAnsi="宋体" w:eastAsia="宋体" w:cs="宋体"/>
          <w:spacing w:val="12"/>
          <w:sz w:val="24"/>
          <w:szCs w:val="24"/>
        </w:rPr>
        <w:t xml:space="preserve"> </w:t>
      </w:r>
      <w:r>
        <w:rPr>
          <w:rFonts w:ascii="宋体" w:hAnsi="宋体" w:eastAsia="宋体" w:cs="宋体"/>
          <w:spacing w:val="-4"/>
          <w:sz w:val="24"/>
          <w:szCs w:val="24"/>
        </w:rPr>
        <w:t>对北侧略高，地形坡度大都在</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4</w:t>
      </w:r>
      <w:r>
        <w:rPr>
          <w:rFonts w:ascii="宋体" w:hAnsi="宋体" w:eastAsia="宋体" w:cs="宋体"/>
          <w:spacing w:val="-4"/>
          <w:sz w:val="24"/>
          <w:szCs w:val="24"/>
        </w:rPr>
        <w:t>‰</w:t>
      </w:r>
      <w:r>
        <w:rPr>
          <w:rFonts w:ascii="Times New Roman" w:hAnsi="Times New Roman" w:eastAsia="Times New Roman" w:cs="Times New Roman"/>
          <w:spacing w:val="-4"/>
          <w:sz w:val="24"/>
          <w:szCs w:val="24"/>
        </w:rPr>
        <w:t>~</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4"/>
          <w:sz w:val="24"/>
          <w:szCs w:val="24"/>
        </w:rPr>
        <w:t>10</w:t>
      </w:r>
      <w:r>
        <w:rPr>
          <w:rFonts w:ascii="宋体" w:hAnsi="宋体" w:eastAsia="宋体" w:cs="宋体"/>
          <w:spacing w:val="-4"/>
          <w:sz w:val="24"/>
          <w:szCs w:val="24"/>
        </w:rPr>
        <w:t>‰之间。因此，污水管网大都由西向东、由南向北</w:t>
      </w:r>
      <w:r>
        <w:rPr>
          <w:rFonts w:ascii="宋体" w:hAnsi="宋体" w:eastAsia="宋体" w:cs="宋体"/>
          <w:sz w:val="24"/>
          <w:szCs w:val="24"/>
        </w:rPr>
        <w:t xml:space="preserve"> </w:t>
      </w:r>
      <w:r>
        <w:rPr>
          <w:rFonts w:ascii="宋体" w:hAnsi="宋体" w:eastAsia="宋体" w:cs="宋体"/>
          <w:spacing w:val="1"/>
          <w:sz w:val="24"/>
          <w:szCs w:val="24"/>
        </w:rPr>
        <w:t>进行布设，以充分利用地形，减少管道埋深，降低工程造价。污水管网按远期</w:t>
      </w:r>
      <w:r>
        <w:rPr>
          <w:rFonts w:ascii="宋体" w:hAnsi="宋体" w:eastAsia="宋体" w:cs="宋体"/>
          <w:spacing w:val="-37"/>
          <w:sz w:val="24"/>
          <w:szCs w:val="24"/>
        </w:rPr>
        <w:t xml:space="preserve"> </w:t>
      </w:r>
      <w:r>
        <w:rPr>
          <w:rFonts w:ascii="Times New Roman" w:hAnsi="Times New Roman" w:eastAsia="Times New Roman" w:cs="Times New Roman"/>
          <w:spacing w:val="1"/>
          <w:sz w:val="24"/>
          <w:szCs w:val="24"/>
        </w:rPr>
        <w:t xml:space="preserve">2020 </w:t>
      </w:r>
      <w:r>
        <w:rPr>
          <w:rFonts w:ascii="宋体" w:hAnsi="宋体" w:eastAsia="宋体" w:cs="宋体"/>
          <w:spacing w:val="1"/>
          <w:sz w:val="24"/>
          <w:szCs w:val="24"/>
        </w:rPr>
        <w:t>年</w:t>
      </w:r>
      <w:r>
        <w:rPr>
          <w:rFonts w:ascii="宋体" w:hAnsi="宋体" w:eastAsia="宋体" w:cs="宋体"/>
          <w:sz w:val="24"/>
          <w:szCs w:val="24"/>
        </w:rPr>
        <w:t xml:space="preserve"> </w:t>
      </w:r>
      <w:r>
        <w:rPr>
          <w:rFonts w:ascii="宋体" w:hAnsi="宋体" w:eastAsia="宋体" w:cs="宋体"/>
          <w:spacing w:val="-1"/>
          <w:sz w:val="24"/>
          <w:szCs w:val="24"/>
        </w:rPr>
        <w:t>污水规模进行布设。</w:t>
      </w:r>
    </w:p>
    <w:p w14:paraId="3D23C207">
      <w:pPr>
        <w:spacing w:line="353" w:lineRule="auto"/>
        <w:rPr>
          <w:rFonts w:ascii="宋体" w:hAnsi="宋体" w:eastAsia="宋体" w:cs="宋体"/>
          <w:sz w:val="24"/>
          <w:szCs w:val="24"/>
        </w:rPr>
        <w:sectPr>
          <w:headerReference r:id="rId214" w:type="default"/>
          <w:footerReference r:id="rId215" w:type="default"/>
          <w:pgSz w:w="11906" w:h="16839"/>
          <w:pgMar w:top="1190" w:right="1416" w:bottom="993" w:left="1417" w:header="882" w:footer="830" w:gutter="0"/>
          <w:cols w:space="720" w:num="1"/>
        </w:sectPr>
      </w:pPr>
    </w:p>
    <w:p w14:paraId="16736F8C">
      <w:pPr>
        <w:spacing w:line="28" w:lineRule="exact"/>
      </w:pPr>
      <w:r>
        <w:pict>
          <v:shape id="_x0000_s1255" o:spid="_x0000_s1255" style="height:1.45pt;width:453.65pt;" fillcolor="#000000" filled="t" stroked="f" coordsize="9072,29" path="m0,0l9072,0,9072,28,0,28,0,0xe">
            <v:path/>
            <v:fill on="t" focussize="0,0"/>
            <v:stroke on="f"/>
            <v:imagedata o:title=""/>
            <o:lock v:ext="edit"/>
            <w10:wrap type="none"/>
            <w10:anchorlock/>
          </v:shape>
        </w:pict>
      </w:r>
    </w:p>
    <w:p w14:paraId="2F69BA89">
      <w:pPr>
        <w:spacing w:before="233" w:line="352" w:lineRule="auto"/>
        <w:ind w:left="9" w:firstLine="481"/>
        <w:rPr>
          <w:rFonts w:ascii="宋体" w:hAnsi="宋体" w:eastAsia="宋体" w:cs="宋体"/>
          <w:sz w:val="24"/>
          <w:szCs w:val="24"/>
        </w:rPr>
      </w:pPr>
      <w:r>
        <w:rPr>
          <w:rFonts w:ascii="宋体" w:hAnsi="宋体" w:eastAsia="宋体" w:cs="宋体"/>
          <w:spacing w:val="-6"/>
          <w:sz w:val="24"/>
          <w:szCs w:val="24"/>
        </w:rPr>
        <w:t>各企业的工业废水必须达到《污水排入城市下水道水质标准》后方可排入市政管网。</w:t>
      </w:r>
      <w:r>
        <w:rPr>
          <w:rFonts w:ascii="宋体" w:hAnsi="宋体" w:eastAsia="宋体" w:cs="宋体"/>
          <w:sz w:val="24"/>
          <w:szCs w:val="24"/>
        </w:rPr>
        <w:t xml:space="preserve"> </w:t>
      </w:r>
      <w:r>
        <w:rPr>
          <w:rFonts w:ascii="宋体" w:hAnsi="宋体" w:eastAsia="宋体" w:cs="宋体"/>
          <w:spacing w:val="-3"/>
          <w:sz w:val="24"/>
          <w:szCs w:val="24"/>
        </w:rPr>
        <w:t>规划在靠近朱日和镇区建污水处理厂一座，供镇区和园区共同使用，规</w:t>
      </w:r>
      <w:r>
        <w:rPr>
          <w:rFonts w:ascii="宋体" w:hAnsi="宋体" w:eastAsia="宋体" w:cs="宋体"/>
          <w:spacing w:val="-4"/>
          <w:sz w:val="24"/>
          <w:szCs w:val="24"/>
        </w:rPr>
        <w:t>划总处理规模</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20</w:t>
      </w:r>
      <w:r>
        <w:rPr>
          <w:rFonts w:ascii="Times New Roman" w:hAnsi="Times New Roman" w:eastAsia="Times New Roman" w:cs="Times New Roman"/>
          <w:sz w:val="24"/>
          <w:szCs w:val="24"/>
        </w:rPr>
        <w:t xml:space="preserve">  </w:t>
      </w:r>
      <w:r>
        <w:rPr>
          <w:rFonts w:ascii="宋体" w:hAnsi="宋体" w:eastAsia="宋体" w:cs="宋体"/>
          <w:spacing w:val="1"/>
          <w:sz w:val="24"/>
          <w:szCs w:val="24"/>
        </w:rPr>
        <w:t>万</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w:t>
      </w:r>
      <w:r>
        <w:rPr>
          <w:rFonts w:ascii="宋体" w:hAnsi="宋体" w:eastAsia="宋体" w:cs="宋体"/>
          <w:spacing w:val="1"/>
          <w:sz w:val="24"/>
          <w:szCs w:val="24"/>
        </w:rPr>
        <w:t>日。处理后的污水，应优先考虑综合利用（如园区景</w:t>
      </w:r>
      <w:r>
        <w:rPr>
          <w:rFonts w:ascii="宋体" w:hAnsi="宋体" w:eastAsia="宋体" w:cs="宋体"/>
          <w:sz w:val="24"/>
          <w:szCs w:val="24"/>
        </w:rPr>
        <w:t>观用水、农田灌溉用水、园 林绿化用水、消防贮备用水等）以缓解日益紧张的供</w:t>
      </w:r>
      <w:r>
        <w:rPr>
          <w:rFonts w:ascii="宋体" w:hAnsi="宋体" w:eastAsia="宋体" w:cs="宋体"/>
          <w:spacing w:val="-1"/>
          <w:sz w:val="24"/>
          <w:szCs w:val="24"/>
        </w:rPr>
        <w:t>水局势，然后再考虑排放。</w:t>
      </w:r>
    </w:p>
    <w:p w14:paraId="0A7A3498">
      <w:pPr>
        <w:spacing w:before="40" w:line="354" w:lineRule="auto"/>
        <w:ind w:left="7" w:right="80" w:firstLine="541"/>
        <w:rPr>
          <w:rFonts w:ascii="宋体" w:hAnsi="宋体" w:eastAsia="宋体" w:cs="宋体"/>
          <w:sz w:val="24"/>
          <w:szCs w:val="24"/>
        </w:rPr>
      </w:pPr>
      <w:r>
        <w:rPr>
          <w:rFonts w:ascii="宋体" w:hAnsi="宋体" w:eastAsia="宋体" w:cs="宋体"/>
          <w:spacing w:val="-3"/>
          <w:sz w:val="24"/>
          <w:szCs w:val="24"/>
        </w:rPr>
        <w:t>朱日和园区现状无集中污水处理厂，本项目生活污水、</w:t>
      </w:r>
      <w:r>
        <w:rPr>
          <w:rFonts w:ascii="宋体" w:hAnsi="宋体" w:eastAsia="宋体" w:cs="宋体"/>
          <w:spacing w:val="-4"/>
          <w:sz w:val="24"/>
          <w:szCs w:val="24"/>
        </w:rPr>
        <w:t>化验室废水经地埋式一体化</w:t>
      </w:r>
      <w:r>
        <w:rPr>
          <w:rFonts w:ascii="宋体" w:hAnsi="宋体" w:eastAsia="宋体" w:cs="宋体"/>
          <w:sz w:val="24"/>
          <w:szCs w:val="24"/>
        </w:rPr>
        <w:t xml:space="preserve"> </w:t>
      </w:r>
      <w:r>
        <w:rPr>
          <w:rFonts w:ascii="宋体" w:hAnsi="宋体" w:eastAsia="宋体" w:cs="宋体"/>
          <w:spacing w:val="-2"/>
          <w:sz w:val="24"/>
          <w:szCs w:val="24"/>
        </w:rPr>
        <w:t>污水处理设施处理后，由罐车运至苏尼特右旗赛汉塔拉镇污水处理厂进一步处理；脱硫</w:t>
      </w:r>
      <w:r>
        <w:rPr>
          <w:rFonts w:ascii="宋体" w:hAnsi="宋体" w:eastAsia="宋体" w:cs="宋体"/>
          <w:spacing w:val="18"/>
          <w:sz w:val="24"/>
          <w:szCs w:val="24"/>
        </w:rPr>
        <w:t xml:space="preserve"> </w:t>
      </w:r>
      <w:r>
        <w:rPr>
          <w:rFonts w:ascii="宋体" w:hAnsi="宋体" w:eastAsia="宋体" w:cs="宋体"/>
          <w:spacing w:val="-2"/>
          <w:sz w:val="24"/>
          <w:szCs w:val="24"/>
        </w:rPr>
        <w:t>废水采用三联箱工艺处理后补充到浊循环水系统中；过滤水循环使用；煤气冷凝废水采</w:t>
      </w:r>
      <w:r>
        <w:rPr>
          <w:rFonts w:ascii="宋体" w:hAnsi="宋体" w:eastAsia="宋体" w:cs="宋体"/>
          <w:spacing w:val="18"/>
          <w:sz w:val="24"/>
          <w:szCs w:val="24"/>
        </w:rPr>
        <w:t xml:space="preserve"> </w:t>
      </w:r>
      <w:r>
        <w:rPr>
          <w:rFonts w:ascii="宋体" w:hAnsi="宋体" w:eastAsia="宋体" w:cs="宋体"/>
          <w:spacing w:val="-2"/>
          <w:sz w:val="24"/>
          <w:szCs w:val="24"/>
        </w:rPr>
        <w:t>用隔油池进行隔油处理，出水用作矿热炉开堵眼机堵塞泥制作用水；化水车间排污、余</w:t>
      </w:r>
      <w:r>
        <w:rPr>
          <w:rFonts w:ascii="宋体" w:hAnsi="宋体" w:eastAsia="宋体" w:cs="宋体"/>
          <w:spacing w:val="18"/>
          <w:sz w:val="24"/>
          <w:szCs w:val="24"/>
        </w:rPr>
        <w:t xml:space="preserve"> </w:t>
      </w:r>
      <w:r>
        <w:rPr>
          <w:rFonts w:ascii="宋体" w:hAnsi="宋体" w:eastAsia="宋体" w:cs="宋体"/>
          <w:spacing w:val="-2"/>
          <w:sz w:val="24"/>
          <w:szCs w:val="24"/>
        </w:rPr>
        <w:t>热锅炉排污、辅机冷却循环水站排污、循环水系统排污及软水制备排污全部作为浊循环</w:t>
      </w:r>
      <w:r>
        <w:rPr>
          <w:rFonts w:ascii="宋体" w:hAnsi="宋体" w:eastAsia="宋体" w:cs="宋体"/>
          <w:spacing w:val="18"/>
          <w:sz w:val="24"/>
          <w:szCs w:val="24"/>
        </w:rPr>
        <w:t xml:space="preserve"> </w:t>
      </w:r>
      <w:r>
        <w:rPr>
          <w:rFonts w:ascii="宋体" w:hAnsi="宋体" w:eastAsia="宋体" w:cs="宋体"/>
          <w:spacing w:val="-1"/>
          <w:sz w:val="24"/>
          <w:szCs w:val="24"/>
        </w:rPr>
        <w:t>水系统补充水，均不外排。</w:t>
      </w:r>
    </w:p>
    <w:p w14:paraId="2286F0CA">
      <w:pPr>
        <w:spacing w:before="36"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）雨水工程规划</w:t>
      </w:r>
    </w:p>
    <w:p w14:paraId="728F0F2F">
      <w:pPr>
        <w:spacing w:before="179" w:line="347" w:lineRule="auto"/>
        <w:ind w:left="35" w:right="18" w:firstLine="452"/>
        <w:rPr>
          <w:rFonts w:ascii="宋体" w:hAnsi="宋体" w:eastAsia="宋体" w:cs="宋体"/>
          <w:sz w:val="24"/>
          <w:szCs w:val="24"/>
        </w:rPr>
      </w:pPr>
      <w:r>
        <w:rPr>
          <w:rFonts w:ascii="宋体" w:hAnsi="宋体" w:eastAsia="宋体" w:cs="宋体"/>
          <w:spacing w:val="-6"/>
          <w:sz w:val="24"/>
          <w:szCs w:val="24"/>
        </w:rPr>
        <w:t>针对当地干旱少雨的特点，结合可分散出流的地形</w:t>
      </w:r>
      <w:r>
        <w:rPr>
          <w:rFonts w:ascii="宋体" w:hAnsi="宋体" w:eastAsia="宋体" w:cs="宋体"/>
          <w:spacing w:val="-7"/>
          <w:sz w:val="24"/>
          <w:szCs w:val="24"/>
        </w:rPr>
        <w:t>，本规划期内雨水依靠路面散排，</w:t>
      </w:r>
      <w:r>
        <w:rPr>
          <w:rFonts w:ascii="宋体" w:hAnsi="宋体" w:eastAsia="宋体" w:cs="宋体"/>
          <w:sz w:val="24"/>
          <w:szCs w:val="24"/>
        </w:rPr>
        <w:t xml:space="preserve"> </w:t>
      </w:r>
      <w:r>
        <w:rPr>
          <w:rFonts w:ascii="宋体" w:hAnsi="宋体" w:eastAsia="宋体" w:cs="宋体"/>
          <w:spacing w:val="-1"/>
          <w:sz w:val="24"/>
          <w:szCs w:val="24"/>
        </w:rPr>
        <w:t>以节省工程投入，局部低洼地区雨水汇入已建和新</w:t>
      </w:r>
      <w:r>
        <w:rPr>
          <w:rFonts w:ascii="宋体" w:hAnsi="宋体" w:eastAsia="宋体" w:cs="宋体"/>
          <w:spacing w:val="-2"/>
          <w:sz w:val="24"/>
          <w:szCs w:val="24"/>
        </w:rPr>
        <w:t>建污水系统排出。</w:t>
      </w:r>
    </w:p>
    <w:p w14:paraId="1D7FF830">
      <w:pPr>
        <w:spacing w:before="3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）供电工程规划</w:t>
      </w:r>
    </w:p>
    <w:p w14:paraId="4E8AAD04">
      <w:pPr>
        <w:spacing w:before="183" w:line="352" w:lineRule="auto"/>
        <w:ind w:right="79" w:firstLine="492"/>
        <w:rPr>
          <w:rFonts w:ascii="宋体" w:hAnsi="宋体" w:eastAsia="宋体" w:cs="宋体"/>
          <w:sz w:val="24"/>
          <w:szCs w:val="24"/>
        </w:rPr>
      </w:pPr>
      <w:r>
        <w:rPr>
          <w:rFonts w:ascii="宋体" w:hAnsi="宋体" w:eastAsia="宋体" w:cs="宋体"/>
          <w:spacing w:val="-2"/>
          <w:sz w:val="24"/>
          <w:szCs w:val="24"/>
        </w:rPr>
        <w:t>苏尼特右旗朱日和冶金园用电量按单位建设用地负荷密度法预测远期约为</w:t>
      </w:r>
      <w:r>
        <w:rPr>
          <w:rFonts w:ascii="宋体" w:hAnsi="宋体" w:eastAsia="宋体" w:cs="宋体"/>
          <w:spacing w:val="-15"/>
          <w:sz w:val="24"/>
          <w:szCs w:val="24"/>
        </w:rPr>
        <w:t xml:space="preserve"> </w:t>
      </w:r>
      <w:r>
        <w:rPr>
          <w:rFonts w:ascii="Times New Roman" w:hAnsi="Times New Roman" w:eastAsia="Times New Roman" w:cs="Times New Roman"/>
          <w:spacing w:val="-2"/>
          <w:sz w:val="24"/>
          <w:szCs w:val="24"/>
        </w:rPr>
        <w:t>19.23</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万</w:t>
      </w:r>
      <w:r>
        <w:rPr>
          <w:rFonts w:ascii="宋体" w:hAnsi="宋体" w:eastAsia="宋体" w:cs="宋体"/>
          <w:sz w:val="24"/>
          <w:szCs w:val="24"/>
        </w:rPr>
        <w:t xml:space="preserve"> </w:t>
      </w:r>
      <w:r>
        <w:rPr>
          <w:rFonts w:ascii="Times New Roman" w:hAnsi="Times New Roman" w:eastAsia="Times New Roman" w:cs="Times New Roman"/>
          <w:spacing w:val="-2"/>
          <w:sz w:val="24"/>
          <w:szCs w:val="24"/>
        </w:rPr>
        <w:t xml:space="preserve">kW </w:t>
      </w:r>
      <w:r>
        <w:rPr>
          <w:rFonts w:ascii="宋体" w:hAnsi="宋体" w:eastAsia="宋体" w:cs="宋体"/>
          <w:spacing w:val="-2"/>
          <w:sz w:val="24"/>
          <w:szCs w:val="24"/>
        </w:rPr>
        <w:t>左右，区内近期新建一座</w:t>
      </w:r>
      <w:r>
        <w:rPr>
          <w:rFonts w:ascii="宋体" w:hAnsi="宋体" w:eastAsia="宋体" w:cs="宋体"/>
          <w:spacing w:val="-39"/>
          <w:sz w:val="24"/>
          <w:szCs w:val="24"/>
        </w:rPr>
        <w:t xml:space="preserve"> </w:t>
      </w:r>
      <w:r>
        <w:rPr>
          <w:rFonts w:ascii="Times New Roman" w:hAnsi="Times New Roman" w:eastAsia="Times New Roman" w:cs="Times New Roman"/>
          <w:spacing w:val="-2"/>
          <w:sz w:val="24"/>
          <w:szCs w:val="24"/>
        </w:rPr>
        <w:t xml:space="preserve">35kV/10kV </w:t>
      </w:r>
      <w:r>
        <w:rPr>
          <w:rFonts w:ascii="宋体" w:hAnsi="宋体" w:eastAsia="宋体" w:cs="宋体"/>
          <w:spacing w:val="-2"/>
          <w:sz w:val="24"/>
          <w:szCs w:val="24"/>
        </w:rPr>
        <w:t>变电站，位于工业区北侧，电源引自</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208</w:t>
      </w:r>
      <w:r>
        <w:rPr>
          <w:rFonts w:ascii="Times New Roman" w:hAnsi="Times New Roman" w:eastAsia="Times New Roman" w:cs="Times New Roman"/>
          <w:spacing w:val="33"/>
          <w:sz w:val="24"/>
          <w:szCs w:val="24"/>
        </w:rPr>
        <w:t xml:space="preserve"> </w:t>
      </w:r>
      <w:r>
        <w:rPr>
          <w:rFonts w:ascii="宋体" w:hAnsi="宋体" w:eastAsia="宋体" w:cs="宋体"/>
          <w:spacing w:val="-2"/>
          <w:sz w:val="24"/>
          <w:szCs w:val="24"/>
        </w:rPr>
        <w:t>国道</w:t>
      </w:r>
      <w:r>
        <w:rPr>
          <w:rFonts w:ascii="宋体" w:hAnsi="宋体" w:eastAsia="宋体" w:cs="宋体"/>
          <w:sz w:val="24"/>
          <w:szCs w:val="24"/>
        </w:rPr>
        <w:t xml:space="preserve"> </w:t>
      </w:r>
      <w:r>
        <w:rPr>
          <w:rFonts w:ascii="宋体" w:hAnsi="宋体" w:eastAsia="宋体" w:cs="宋体"/>
          <w:spacing w:val="-6"/>
          <w:sz w:val="24"/>
          <w:szCs w:val="24"/>
        </w:rPr>
        <w:t>东侧</w:t>
      </w:r>
      <w:r>
        <w:rPr>
          <w:rFonts w:ascii="宋体" w:hAnsi="宋体" w:eastAsia="宋体" w:cs="宋体"/>
          <w:spacing w:val="-55"/>
          <w:sz w:val="24"/>
          <w:szCs w:val="24"/>
        </w:rPr>
        <w:t xml:space="preserve"> </w:t>
      </w:r>
      <w:r>
        <w:rPr>
          <w:rFonts w:ascii="Times New Roman" w:hAnsi="Times New Roman" w:eastAsia="Times New Roman" w:cs="Times New Roman"/>
          <w:spacing w:val="-6"/>
          <w:sz w:val="24"/>
          <w:szCs w:val="24"/>
        </w:rPr>
        <w:t xml:space="preserve">220kV </w:t>
      </w:r>
      <w:r>
        <w:rPr>
          <w:rFonts w:ascii="宋体" w:hAnsi="宋体" w:eastAsia="宋体" w:cs="宋体"/>
          <w:spacing w:val="-6"/>
          <w:sz w:val="24"/>
          <w:szCs w:val="24"/>
        </w:rPr>
        <w:t>变电站，占地约</w:t>
      </w:r>
      <w:r>
        <w:rPr>
          <w:rFonts w:ascii="宋体" w:hAnsi="宋体" w:eastAsia="宋体" w:cs="宋体"/>
          <w:spacing w:val="-57"/>
          <w:sz w:val="24"/>
          <w:szCs w:val="24"/>
        </w:rPr>
        <w:t xml:space="preserve"> </w:t>
      </w:r>
      <w:r>
        <w:rPr>
          <w:rFonts w:ascii="Times New Roman" w:hAnsi="Times New Roman" w:eastAsia="Times New Roman" w:cs="Times New Roman"/>
          <w:spacing w:val="-6"/>
          <w:sz w:val="24"/>
          <w:szCs w:val="24"/>
        </w:rPr>
        <w:t xml:space="preserve">41832 </w:t>
      </w:r>
      <w:r>
        <w:rPr>
          <w:rFonts w:ascii="宋体" w:hAnsi="宋体" w:eastAsia="宋体" w:cs="宋体"/>
          <w:spacing w:val="-6"/>
          <w:sz w:val="24"/>
          <w:szCs w:val="24"/>
        </w:rPr>
        <w:t>平米左右，主变容量为</w:t>
      </w:r>
      <w:r>
        <w:rPr>
          <w:rFonts w:ascii="宋体" w:hAnsi="宋体" w:eastAsia="宋体" w:cs="宋体"/>
          <w:spacing w:val="-55"/>
          <w:sz w:val="24"/>
          <w:szCs w:val="24"/>
        </w:rPr>
        <w:t xml:space="preserve"> </w:t>
      </w:r>
      <w:r>
        <w:rPr>
          <w:rFonts w:ascii="Times New Roman" w:hAnsi="Times New Roman" w:eastAsia="Times New Roman" w:cs="Times New Roman"/>
          <w:spacing w:val="-6"/>
          <w:sz w:val="24"/>
          <w:szCs w:val="24"/>
        </w:rPr>
        <w:t>2×50MVA</w:t>
      </w:r>
      <w:r>
        <w:rPr>
          <w:rFonts w:ascii="宋体" w:hAnsi="宋体" w:eastAsia="宋体" w:cs="宋体"/>
          <w:spacing w:val="-6"/>
          <w:sz w:val="24"/>
          <w:szCs w:val="24"/>
        </w:rPr>
        <w:t>，远期扩建为</w:t>
      </w:r>
      <w:r>
        <w:rPr>
          <w:rFonts w:ascii="宋体" w:hAnsi="宋体" w:eastAsia="宋体" w:cs="宋体"/>
          <w:spacing w:val="-32"/>
          <w:sz w:val="24"/>
          <w:szCs w:val="24"/>
        </w:rPr>
        <w:t xml:space="preserve"> </w:t>
      </w:r>
      <w:r>
        <w:rPr>
          <w:rFonts w:ascii="Times New Roman" w:hAnsi="Times New Roman" w:eastAsia="Times New Roman" w:cs="Times New Roman"/>
          <w:spacing w:val="-6"/>
          <w:sz w:val="24"/>
          <w:szCs w:val="24"/>
        </w:rPr>
        <w:t>110kV</w:t>
      </w:r>
      <w:r>
        <w:rPr>
          <w:rFonts w:ascii="Times New Roman" w:hAnsi="Times New Roman" w:eastAsia="Times New Roman" w:cs="Times New Roman"/>
          <w:sz w:val="24"/>
          <w:szCs w:val="24"/>
        </w:rPr>
        <w:t xml:space="preserve"> </w:t>
      </w:r>
      <w:r>
        <w:rPr>
          <w:rFonts w:ascii="宋体" w:hAnsi="宋体" w:eastAsia="宋体" w:cs="宋体"/>
          <w:spacing w:val="-1"/>
          <w:sz w:val="24"/>
          <w:szCs w:val="24"/>
        </w:rPr>
        <w:t>变电站。</w:t>
      </w:r>
    </w:p>
    <w:p w14:paraId="60253706">
      <w:pPr>
        <w:spacing w:before="34"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）供热工程规划</w:t>
      </w:r>
    </w:p>
    <w:p w14:paraId="10E6F3B6">
      <w:pPr>
        <w:spacing w:before="185" w:line="344" w:lineRule="auto"/>
        <w:ind w:left="11" w:right="64" w:firstLine="496"/>
        <w:rPr>
          <w:rFonts w:ascii="宋体" w:hAnsi="宋体" w:eastAsia="宋体" w:cs="宋体"/>
          <w:sz w:val="24"/>
          <w:szCs w:val="24"/>
        </w:rPr>
      </w:pPr>
      <w:r>
        <w:rPr>
          <w:rFonts w:ascii="宋体" w:hAnsi="宋体" w:eastAsia="宋体" w:cs="宋体"/>
          <w:spacing w:val="-2"/>
          <w:sz w:val="24"/>
          <w:szCs w:val="24"/>
        </w:rPr>
        <w:t>园区规划供热系统拟采用集中供热锅炉房为热源的方式进行供热，</w:t>
      </w:r>
      <w:r>
        <w:rPr>
          <w:rFonts w:ascii="宋体" w:hAnsi="宋体" w:eastAsia="宋体" w:cs="宋体"/>
          <w:spacing w:val="-3"/>
          <w:sz w:val="24"/>
          <w:szCs w:val="24"/>
        </w:rPr>
        <w:t>供热介质为高温</w:t>
      </w:r>
      <w:r>
        <w:rPr>
          <w:rFonts w:ascii="宋体" w:hAnsi="宋体" w:eastAsia="宋体" w:cs="宋体"/>
          <w:sz w:val="24"/>
          <w:szCs w:val="24"/>
        </w:rPr>
        <w:t xml:space="preserve"> </w:t>
      </w:r>
      <w:r>
        <w:rPr>
          <w:rFonts w:ascii="宋体" w:hAnsi="宋体" w:eastAsia="宋体" w:cs="宋体"/>
          <w:spacing w:val="-3"/>
          <w:sz w:val="24"/>
          <w:szCs w:val="24"/>
        </w:rPr>
        <w:t>水，一级网供回水温度</w:t>
      </w:r>
      <w:r>
        <w:rPr>
          <w:rFonts w:ascii="宋体" w:hAnsi="宋体" w:eastAsia="宋体" w:cs="宋体"/>
          <w:spacing w:val="-23"/>
          <w:sz w:val="24"/>
          <w:szCs w:val="24"/>
        </w:rPr>
        <w:t xml:space="preserve"> </w:t>
      </w:r>
      <w:r>
        <w:rPr>
          <w:rFonts w:ascii="Times New Roman" w:hAnsi="Times New Roman" w:eastAsia="Times New Roman" w:cs="Times New Roman"/>
          <w:spacing w:val="-3"/>
          <w:sz w:val="24"/>
          <w:szCs w:val="24"/>
        </w:rPr>
        <w:t>120/80</w:t>
      </w:r>
      <w:r>
        <w:rPr>
          <w:rFonts w:ascii="宋体" w:hAnsi="宋体" w:eastAsia="宋体" w:cs="宋体"/>
          <w:spacing w:val="-3"/>
          <w:sz w:val="24"/>
          <w:szCs w:val="24"/>
        </w:rPr>
        <w:t>℃</w:t>
      </w:r>
      <w:r>
        <w:rPr>
          <w:rFonts w:ascii="宋体" w:hAnsi="宋体" w:eastAsia="宋体" w:cs="宋体"/>
          <w:spacing w:val="-87"/>
          <w:sz w:val="24"/>
          <w:szCs w:val="24"/>
        </w:rPr>
        <w:t xml:space="preserve"> </w:t>
      </w:r>
      <w:r>
        <w:rPr>
          <w:rFonts w:ascii="宋体" w:hAnsi="宋体" w:eastAsia="宋体" w:cs="宋体"/>
          <w:spacing w:val="-3"/>
          <w:sz w:val="24"/>
          <w:szCs w:val="24"/>
        </w:rPr>
        <w:t>。根据目前实际操作情况，近期新建集中供热锅炉房。</w:t>
      </w:r>
    </w:p>
    <w:p w14:paraId="29AE0A97">
      <w:pPr>
        <w:spacing w:before="38" w:line="350" w:lineRule="auto"/>
        <w:ind w:left="9" w:right="80" w:firstLine="480"/>
        <w:rPr>
          <w:rFonts w:ascii="宋体" w:hAnsi="宋体" w:eastAsia="宋体" w:cs="宋体"/>
          <w:sz w:val="24"/>
          <w:szCs w:val="24"/>
        </w:rPr>
      </w:pPr>
      <w:r>
        <w:rPr>
          <w:rFonts w:ascii="宋体" w:hAnsi="宋体" w:eastAsia="宋体" w:cs="宋体"/>
          <w:spacing w:val="-3"/>
          <w:sz w:val="24"/>
          <w:szCs w:val="24"/>
        </w:rPr>
        <w:t>规划确定一级网供回水温度</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120/80</w:t>
      </w:r>
      <w:r>
        <w:rPr>
          <w:rFonts w:ascii="宋体" w:hAnsi="宋体" w:eastAsia="宋体" w:cs="宋体"/>
          <w:spacing w:val="-3"/>
          <w:sz w:val="24"/>
          <w:szCs w:val="24"/>
        </w:rPr>
        <w:t>℃</w:t>
      </w:r>
      <w:r>
        <w:rPr>
          <w:rFonts w:ascii="宋体" w:hAnsi="宋体" w:eastAsia="宋体" w:cs="宋体"/>
          <w:spacing w:val="-91"/>
          <w:sz w:val="24"/>
          <w:szCs w:val="24"/>
        </w:rPr>
        <w:t xml:space="preserve"> </w:t>
      </w:r>
      <w:r>
        <w:rPr>
          <w:rFonts w:ascii="宋体" w:hAnsi="宋体" w:eastAsia="宋体" w:cs="宋体"/>
          <w:spacing w:val="-3"/>
          <w:sz w:val="24"/>
          <w:szCs w:val="24"/>
        </w:rPr>
        <w:t>, 通过高温水供热管道输送到各用热</w:t>
      </w:r>
      <w:r>
        <w:rPr>
          <w:rFonts w:ascii="宋体" w:hAnsi="宋体" w:eastAsia="宋体" w:cs="宋体"/>
          <w:spacing w:val="-4"/>
          <w:sz w:val="24"/>
          <w:szCs w:val="24"/>
        </w:rPr>
        <w:t>区的换热</w:t>
      </w:r>
      <w:r>
        <w:rPr>
          <w:rFonts w:ascii="宋体" w:hAnsi="宋体" w:eastAsia="宋体" w:cs="宋体"/>
          <w:sz w:val="24"/>
          <w:szCs w:val="24"/>
        </w:rPr>
        <w:t xml:space="preserve"> </w:t>
      </w:r>
      <w:r>
        <w:rPr>
          <w:rFonts w:ascii="宋体" w:hAnsi="宋体" w:eastAsia="宋体" w:cs="宋体"/>
          <w:spacing w:val="-2"/>
          <w:sz w:val="24"/>
          <w:szCs w:val="24"/>
        </w:rPr>
        <w:t>站，经换热站变成低温管网向用户供热，根据不同的用热标准，不同的使用要求，提供</w:t>
      </w:r>
      <w:r>
        <w:rPr>
          <w:rFonts w:ascii="宋体" w:hAnsi="宋体" w:eastAsia="宋体" w:cs="宋体"/>
          <w:spacing w:val="16"/>
          <w:sz w:val="24"/>
          <w:szCs w:val="24"/>
        </w:rPr>
        <w:t xml:space="preserve"> </w:t>
      </w:r>
      <w:r>
        <w:rPr>
          <w:rFonts w:ascii="宋体" w:hAnsi="宋体" w:eastAsia="宋体" w:cs="宋体"/>
          <w:spacing w:val="-2"/>
          <w:sz w:val="24"/>
          <w:szCs w:val="24"/>
        </w:rPr>
        <w:t>各种热力效应，本规划共设热力站</w:t>
      </w:r>
      <w:r>
        <w:rPr>
          <w:rFonts w:ascii="宋体" w:hAnsi="宋体" w:eastAsia="宋体" w:cs="宋体"/>
          <w:spacing w:val="-29"/>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2"/>
          <w:sz w:val="24"/>
          <w:szCs w:val="24"/>
        </w:rPr>
        <w:t>座，供热面积</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460</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m</w:t>
      </w:r>
      <w:r>
        <w:rPr>
          <w:rFonts w:ascii="Times New Roman" w:hAnsi="Times New Roman" w:eastAsia="Times New Roman" w:cs="Times New Roman"/>
          <w:spacing w:val="-2"/>
          <w:position w:val="8"/>
          <w:sz w:val="15"/>
          <w:szCs w:val="15"/>
        </w:rPr>
        <w:t>2</w:t>
      </w:r>
      <w:r>
        <w:rPr>
          <w:rFonts w:ascii="宋体" w:hAnsi="宋体" w:eastAsia="宋体" w:cs="宋体"/>
          <w:spacing w:val="-2"/>
          <w:sz w:val="24"/>
          <w:szCs w:val="24"/>
        </w:rPr>
        <w:t>。</w:t>
      </w:r>
    </w:p>
    <w:p w14:paraId="099F67D2">
      <w:pPr>
        <w:spacing w:before="39" w:line="351" w:lineRule="auto"/>
        <w:ind w:left="7" w:right="80" w:firstLine="481"/>
        <w:rPr>
          <w:rFonts w:ascii="宋体" w:hAnsi="宋体" w:eastAsia="宋体" w:cs="宋体"/>
          <w:sz w:val="24"/>
          <w:szCs w:val="24"/>
        </w:rPr>
      </w:pPr>
      <w:r>
        <w:rPr>
          <w:rFonts w:ascii="宋体" w:hAnsi="宋体" w:eastAsia="宋体" w:cs="宋体"/>
          <w:spacing w:val="-2"/>
          <w:sz w:val="24"/>
          <w:szCs w:val="24"/>
        </w:rPr>
        <w:t>朱日和园区内现状无集中供热热源，现状供热热源为企业自建小锅炉或生产余热，</w:t>
      </w:r>
      <w:r>
        <w:rPr>
          <w:rFonts w:ascii="宋体" w:hAnsi="宋体" w:eastAsia="宋体" w:cs="宋体"/>
          <w:spacing w:val="12"/>
          <w:sz w:val="24"/>
          <w:szCs w:val="24"/>
        </w:rPr>
        <w:t xml:space="preserve"> </w:t>
      </w:r>
      <w:r>
        <w:rPr>
          <w:rFonts w:ascii="宋体" w:hAnsi="宋体" w:eastAsia="宋体" w:cs="宋体"/>
          <w:spacing w:val="1"/>
          <w:sz w:val="24"/>
          <w:szCs w:val="24"/>
        </w:rPr>
        <w:t>总用热负荷为</w:t>
      </w:r>
      <w:r>
        <w:rPr>
          <w:rFonts w:ascii="宋体" w:hAnsi="宋体" w:eastAsia="宋体" w:cs="宋体"/>
          <w:spacing w:val="-27"/>
          <w:sz w:val="24"/>
          <w:szCs w:val="24"/>
        </w:rPr>
        <w:t xml:space="preserve"> </w:t>
      </w:r>
      <w:r>
        <w:rPr>
          <w:rFonts w:ascii="Times New Roman" w:hAnsi="Times New Roman" w:eastAsia="Times New Roman" w:cs="Times New Roman"/>
          <w:spacing w:val="1"/>
          <w:sz w:val="24"/>
          <w:szCs w:val="24"/>
        </w:rPr>
        <w:t>50t/h</w:t>
      </w:r>
      <w:r>
        <w:rPr>
          <w:rFonts w:ascii="Times New Roman" w:hAnsi="Times New Roman" w:eastAsia="Times New Roman" w:cs="Times New Roman"/>
          <w:spacing w:val="-24"/>
          <w:sz w:val="24"/>
          <w:szCs w:val="24"/>
        </w:rPr>
        <w:t xml:space="preserve"> </w:t>
      </w:r>
      <w:r>
        <w:rPr>
          <w:rFonts w:ascii="宋体" w:hAnsi="宋体" w:eastAsia="宋体" w:cs="宋体"/>
          <w:spacing w:val="1"/>
          <w:sz w:val="24"/>
          <w:szCs w:val="24"/>
        </w:rPr>
        <w:t>。本项目利用锰硅矿热炉及煤气冷却循环水余热作为热源，矿热炉</w:t>
      </w:r>
      <w:r>
        <w:rPr>
          <w:rFonts w:ascii="宋体" w:hAnsi="宋体" w:eastAsia="宋体" w:cs="宋体"/>
          <w:sz w:val="24"/>
          <w:szCs w:val="24"/>
        </w:rPr>
        <w:t xml:space="preserve"> </w:t>
      </w:r>
      <w:r>
        <w:rPr>
          <w:rFonts w:ascii="宋体" w:hAnsi="宋体" w:eastAsia="宋体" w:cs="宋体"/>
          <w:spacing w:val="5"/>
          <w:sz w:val="24"/>
          <w:szCs w:val="24"/>
        </w:rPr>
        <w:t>及煤气冷却循环水作为采暖用水供应办公生活区采暖系统，回水返回设备冷却</w:t>
      </w:r>
      <w:r>
        <w:rPr>
          <w:rFonts w:ascii="宋体" w:hAnsi="宋体" w:eastAsia="宋体" w:cs="宋体"/>
          <w:spacing w:val="4"/>
          <w:sz w:val="24"/>
          <w:szCs w:val="24"/>
        </w:rPr>
        <w:t>循环水</w:t>
      </w:r>
      <w:r>
        <w:rPr>
          <w:rFonts w:ascii="宋体" w:hAnsi="宋体" w:eastAsia="宋体" w:cs="宋体"/>
          <w:sz w:val="24"/>
          <w:szCs w:val="24"/>
        </w:rPr>
        <w:t xml:space="preserve"> </w:t>
      </w:r>
      <w:r>
        <w:rPr>
          <w:rFonts w:ascii="宋体" w:hAnsi="宋体" w:eastAsia="宋体" w:cs="宋体"/>
          <w:spacing w:val="-6"/>
          <w:sz w:val="24"/>
          <w:szCs w:val="24"/>
        </w:rPr>
        <w:t>站，冷却水回水温度为</w:t>
      </w:r>
      <w:r>
        <w:rPr>
          <w:rFonts w:ascii="宋体" w:hAnsi="宋体" w:eastAsia="宋体" w:cs="宋体"/>
          <w:spacing w:val="-50"/>
          <w:sz w:val="24"/>
          <w:szCs w:val="24"/>
        </w:rPr>
        <w:t xml:space="preserve"> </w:t>
      </w:r>
      <w:r>
        <w:rPr>
          <w:rFonts w:ascii="Times New Roman" w:hAnsi="Times New Roman" w:eastAsia="Times New Roman" w:cs="Times New Roman"/>
          <w:spacing w:val="-6"/>
          <w:sz w:val="24"/>
          <w:szCs w:val="24"/>
        </w:rPr>
        <w:t>60℃</w:t>
      </w:r>
      <w:r>
        <w:rPr>
          <w:rFonts w:ascii="Times New Roman" w:hAnsi="Times New Roman" w:eastAsia="Times New Roman" w:cs="Times New Roman"/>
          <w:spacing w:val="-32"/>
          <w:sz w:val="24"/>
          <w:szCs w:val="24"/>
        </w:rPr>
        <w:t xml:space="preserve"> </w:t>
      </w:r>
      <w:r>
        <w:rPr>
          <w:rFonts w:ascii="宋体" w:hAnsi="宋体" w:eastAsia="宋体" w:cs="宋体"/>
          <w:spacing w:val="-6"/>
          <w:sz w:val="24"/>
          <w:szCs w:val="24"/>
        </w:rPr>
        <w:t>,</w:t>
      </w:r>
      <w:r>
        <w:rPr>
          <w:rFonts w:ascii="宋体" w:hAnsi="宋体" w:eastAsia="宋体" w:cs="宋体"/>
          <w:spacing w:val="65"/>
          <w:sz w:val="24"/>
          <w:szCs w:val="24"/>
        </w:rPr>
        <w:t xml:space="preserve"> </w:t>
      </w:r>
      <w:r>
        <w:rPr>
          <w:rFonts w:ascii="宋体" w:hAnsi="宋体" w:eastAsia="宋体" w:cs="宋体"/>
          <w:spacing w:val="-6"/>
          <w:sz w:val="24"/>
          <w:szCs w:val="24"/>
        </w:rPr>
        <w:t>换热后温度为</w:t>
      </w:r>
      <w:r>
        <w:rPr>
          <w:rFonts w:ascii="宋体" w:hAnsi="宋体" w:eastAsia="宋体" w:cs="宋体"/>
          <w:spacing w:val="-56"/>
          <w:sz w:val="24"/>
          <w:szCs w:val="24"/>
        </w:rPr>
        <w:t xml:space="preserve"> </w:t>
      </w:r>
      <w:r>
        <w:rPr>
          <w:rFonts w:ascii="Times New Roman" w:hAnsi="Times New Roman" w:eastAsia="Times New Roman" w:cs="Times New Roman"/>
          <w:spacing w:val="-6"/>
          <w:sz w:val="24"/>
          <w:szCs w:val="24"/>
        </w:rPr>
        <w:t>4</w:t>
      </w:r>
      <w:r>
        <w:rPr>
          <w:rFonts w:ascii="Times New Roman" w:hAnsi="Times New Roman" w:eastAsia="Times New Roman" w:cs="Times New Roman"/>
          <w:spacing w:val="-7"/>
          <w:sz w:val="24"/>
          <w:szCs w:val="24"/>
        </w:rPr>
        <w:t>5℃</w:t>
      </w:r>
      <w:r>
        <w:rPr>
          <w:rFonts w:ascii="Times New Roman" w:hAnsi="Times New Roman" w:eastAsia="Times New Roman" w:cs="Times New Roman"/>
          <w:spacing w:val="-29"/>
          <w:sz w:val="24"/>
          <w:szCs w:val="24"/>
        </w:rPr>
        <w:t xml:space="preserve"> </w:t>
      </w:r>
      <w:r>
        <w:rPr>
          <w:rFonts w:ascii="宋体" w:hAnsi="宋体" w:eastAsia="宋体" w:cs="宋体"/>
          <w:spacing w:val="-7"/>
          <w:sz w:val="24"/>
          <w:szCs w:val="24"/>
        </w:rPr>
        <w:t>,</w:t>
      </w:r>
      <w:r>
        <w:rPr>
          <w:rFonts w:ascii="宋体" w:hAnsi="宋体" w:eastAsia="宋体" w:cs="宋体"/>
          <w:spacing w:val="63"/>
          <w:sz w:val="24"/>
          <w:szCs w:val="24"/>
        </w:rPr>
        <w:t xml:space="preserve"> </w:t>
      </w:r>
      <w:r>
        <w:rPr>
          <w:rFonts w:ascii="宋体" w:hAnsi="宋体" w:eastAsia="宋体" w:cs="宋体"/>
          <w:spacing w:val="-7"/>
          <w:sz w:val="24"/>
          <w:szCs w:val="24"/>
        </w:rPr>
        <w:t>满足厂区采暖需求。</w:t>
      </w:r>
    </w:p>
    <w:p w14:paraId="18CA355B">
      <w:pPr>
        <w:spacing w:before="48" w:line="222" w:lineRule="auto"/>
        <w:ind w:left="11"/>
        <w:outlineLvl w:val="2"/>
        <w:rPr>
          <w:rFonts w:ascii="黑体" w:hAnsi="黑体" w:eastAsia="黑体" w:cs="黑体"/>
          <w:sz w:val="30"/>
          <w:szCs w:val="30"/>
        </w:rPr>
      </w:pPr>
      <w:bookmarkStart w:id="349" w:name="bookmark166"/>
      <w:bookmarkEnd w:id="349"/>
      <w:r>
        <w:rPr>
          <w:rFonts w:ascii="Times New Roman" w:hAnsi="Times New Roman" w:eastAsia="Times New Roman" w:cs="Times New Roman"/>
          <w:spacing w:val="-3"/>
          <w:sz w:val="30"/>
          <w:szCs w:val="30"/>
        </w:rPr>
        <w:t>3.2.6</w:t>
      </w:r>
      <w:r>
        <w:rPr>
          <w:rFonts w:ascii="Times New Roman" w:hAnsi="Times New Roman" w:eastAsia="Times New Roman" w:cs="Times New Roman"/>
          <w:spacing w:val="33"/>
          <w:sz w:val="30"/>
          <w:szCs w:val="30"/>
        </w:rPr>
        <w:t xml:space="preserve"> </w:t>
      </w:r>
      <w:r>
        <w:rPr>
          <w:rFonts w:ascii="黑体" w:hAnsi="黑体" w:eastAsia="黑体" w:cs="黑体"/>
          <w:spacing w:val="-3"/>
          <w:sz w:val="30"/>
          <w:szCs w:val="30"/>
        </w:rPr>
        <w:t>固废处置设施建设现状</w:t>
      </w:r>
    </w:p>
    <w:p w14:paraId="6D65A73D">
      <w:pPr>
        <w:spacing w:before="215" w:line="219" w:lineRule="auto"/>
        <w:jc w:val="right"/>
        <w:rPr>
          <w:rFonts w:ascii="宋体" w:hAnsi="宋体" w:eastAsia="宋体" w:cs="宋体"/>
          <w:sz w:val="24"/>
          <w:szCs w:val="24"/>
        </w:rPr>
      </w:pPr>
      <w:r>
        <w:rPr>
          <w:rFonts w:ascii="宋体" w:hAnsi="宋体" w:eastAsia="宋体" w:cs="宋体"/>
          <w:spacing w:val="-6"/>
          <w:sz w:val="24"/>
          <w:szCs w:val="24"/>
        </w:rPr>
        <w:t>赛汉塔拉镇生活垃圾填埋场已建成，填埋区占</w:t>
      </w:r>
      <w:r>
        <w:rPr>
          <w:rFonts w:ascii="宋体" w:hAnsi="宋体" w:eastAsia="宋体" w:cs="宋体"/>
          <w:spacing w:val="-7"/>
          <w:sz w:val="24"/>
          <w:szCs w:val="24"/>
        </w:rPr>
        <w:t>地面积</w:t>
      </w:r>
      <w:r>
        <w:rPr>
          <w:rFonts w:ascii="宋体" w:hAnsi="宋体" w:eastAsia="宋体" w:cs="宋体"/>
          <w:spacing w:val="-56"/>
          <w:sz w:val="24"/>
          <w:szCs w:val="24"/>
        </w:rPr>
        <w:t xml:space="preserve"> </w:t>
      </w:r>
      <w:r>
        <w:rPr>
          <w:rFonts w:ascii="Times New Roman" w:hAnsi="Times New Roman" w:eastAsia="Times New Roman" w:cs="Times New Roman"/>
          <w:spacing w:val="-7"/>
          <w:sz w:val="24"/>
          <w:szCs w:val="24"/>
        </w:rPr>
        <w:t>43947.9m</w:t>
      </w:r>
      <w:r>
        <w:rPr>
          <w:rFonts w:ascii="Times New Roman" w:hAnsi="Times New Roman" w:eastAsia="Times New Roman" w:cs="Times New Roman"/>
          <w:spacing w:val="-7"/>
          <w:position w:val="8"/>
          <w:sz w:val="15"/>
          <w:szCs w:val="15"/>
        </w:rPr>
        <w:t>2</w:t>
      </w:r>
      <w:r>
        <w:rPr>
          <w:rFonts w:ascii="宋体" w:hAnsi="宋体" w:eastAsia="宋体" w:cs="宋体"/>
          <w:spacing w:val="-7"/>
          <w:sz w:val="24"/>
          <w:szCs w:val="24"/>
        </w:rPr>
        <w:t>，日处理能力为</w:t>
      </w:r>
      <w:r>
        <w:rPr>
          <w:rFonts w:ascii="宋体" w:hAnsi="宋体" w:eastAsia="宋体" w:cs="宋体"/>
          <w:spacing w:val="-50"/>
          <w:sz w:val="24"/>
          <w:szCs w:val="24"/>
        </w:rPr>
        <w:t xml:space="preserve"> </w:t>
      </w:r>
      <w:r>
        <w:rPr>
          <w:rFonts w:ascii="Times New Roman" w:hAnsi="Times New Roman" w:eastAsia="Times New Roman" w:cs="Times New Roman"/>
          <w:spacing w:val="-7"/>
          <w:sz w:val="24"/>
          <w:szCs w:val="24"/>
        </w:rPr>
        <w:t>60t</w:t>
      </w:r>
      <w:r>
        <w:rPr>
          <w:rFonts w:ascii="宋体" w:hAnsi="宋体" w:eastAsia="宋体" w:cs="宋体"/>
          <w:spacing w:val="-7"/>
          <w:sz w:val="24"/>
          <w:szCs w:val="24"/>
        </w:rPr>
        <w:t>，</w:t>
      </w:r>
    </w:p>
    <w:p w14:paraId="42735305">
      <w:pPr>
        <w:spacing w:line="219" w:lineRule="auto"/>
        <w:rPr>
          <w:rFonts w:ascii="宋体" w:hAnsi="宋体" w:eastAsia="宋体" w:cs="宋体"/>
          <w:sz w:val="24"/>
          <w:szCs w:val="24"/>
        </w:rPr>
        <w:sectPr>
          <w:headerReference r:id="rId216" w:type="default"/>
          <w:footerReference r:id="rId217" w:type="default"/>
          <w:pgSz w:w="11906" w:h="16839"/>
          <w:pgMar w:top="1190" w:right="1337" w:bottom="993" w:left="1417" w:header="882" w:footer="831" w:gutter="0"/>
          <w:cols w:space="720" w:num="1"/>
        </w:sectPr>
      </w:pPr>
    </w:p>
    <w:p w14:paraId="14F383DB">
      <w:pPr>
        <w:spacing w:line="28" w:lineRule="exact"/>
      </w:pPr>
      <w:r>
        <w:pict>
          <v:shape id="_x0000_s1256" o:spid="_x0000_s1256" style="height:1.45pt;width:453.65pt;" fillcolor="#000000" filled="t" stroked="f" coordsize="9072,29" path="m0,0l9072,0,9072,28,0,28,0,0xe">
            <v:path/>
            <v:fill on="t" focussize="0,0"/>
            <v:stroke on="f"/>
            <v:imagedata o:title=""/>
            <o:lock v:ext="edit"/>
            <w10:wrap type="none"/>
            <w10:anchorlock/>
          </v:shape>
        </w:pict>
      </w:r>
    </w:p>
    <w:p w14:paraId="1169895A">
      <w:pPr>
        <w:spacing w:before="235" w:line="350" w:lineRule="auto"/>
        <w:ind w:left="7" w:right="80"/>
        <w:jc w:val="both"/>
        <w:rPr>
          <w:rFonts w:ascii="宋体" w:hAnsi="宋体" w:eastAsia="宋体" w:cs="宋体"/>
          <w:sz w:val="24"/>
          <w:szCs w:val="24"/>
        </w:rPr>
      </w:pPr>
      <w:r>
        <w:rPr>
          <w:rFonts w:ascii="宋体" w:hAnsi="宋体" w:eastAsia="宋体" w:cs="宋体"/>
          <w:spacing w:val="1"/>
          <w:sz w:val="24"/>
          <w:szCs w:val="24"/>
        </w:rPr>
        <w:t>服务年限为</w:t>
      </w:r>
      <w:r>
        <w:rPr>
          <w:rFonts w:ascii="宋体" w:hAnsi="宋体" w:eastAsia="宋体" w:cs="宋体"/>
          <w:spacing w:val="-27"/>
          <w:sz w:val="24"/>
          <w:szCs w:val="24"/>
        </w:rPr>
        <w:t xml:space="preserve"> </w:t>
      </w:r>
      <w:r>
        <w:rPr>
          <w:rFonts w:ascii="Times New Roman" w:hAnsi="Times New Roman" w:eastAsia="Times New Roman" w:cs="Times New Roman"/>
          <w:spacing w:val="1"/>
          <w:sz w:val="24"/>
          <w:szCs w:val="24"/>
        </w:rPr>
        <w:t xml:space="preserve">12 </w:t>
      </w:r>
      <w:r>
        <w:rPr>
          <w:rFonts w:ascii="宋体" w:hAnsi="宋体" w:eastAsia="宋体" w:cs="宋体"/>
          <w:spacing w:val="1"/>
          <w:sz w:val="24"/>
          <w:szCs w:val="24"/>
        </w:rPr>
        <w:t>年。建有规范的防渗、气体导排、渗滤液收集</w:t>
      </w:r>
      <w:r>
        <w:rPr>
          <w:rFonts w:ascii="宋体" w:hAnsi="宋体" w:eastAsia="宋体" w:cs="宋体"/>
          <w:sz w:val="24"/>
          <w:szCs w:val="24"/>
        </w:rPr>
        <w:t xml:space="preserve">处理设施。本项目生活垃 </w:t>
      </w:r>
      <w:r>
        <w:rPr>
          <w:rFonts w:ascii="宋体" w:hAnsi="宋体" w:eastAsia="宋体" w:cs="宋体"/>
          <w:spacing w:val="-2"/>
          <w:sz w:val="24"/>
          <w:szCs w:val="24"/>
        </w:rPr>
        <w:t>圾在厂区内集中收集，委托当地环卫部门定期清理，最终运往赛汉塔拉镇生活垃圾填埋</w:t>
      </w:r>
      <w:r>
        <w:rPr>
          <w:rFonts w:ascii="宋体" w:hAnsi="宋体" w:eastAsia="宋体" w:cs="宋体"/>
          <w:spacing w:val="18"/>
          <w:sz w:val="24"/>
          <w:szCs w:val="24"/>
        </w:rPr>
        <w:t xml:space="preserve"> </w:t>
      </w:r>
      <w:r>
        <w:rPr>
          <w:rFonts w:ascii="宋体" w:hAnsi="宋体" w:eastAsia="宋体" w:cs="宋体"/>
          <w:spacing w:val="-2"/>
          <w:sz w:val="24"/>
          <w:szCs w:val="24"/>
        </w:rPr>
        <w:t>场填埋处理。</w:t>
      </w:r>
    </w:p>
    <w:p w14:paraId="5F6B5F81">
      <w:pPr>
        <w:spacing w:before="31" w:line="355" w:lineRule="auto"/>
        <w:ind w:left="8" w:right="77" w:firstLine="499"/>
        <w:rPr>
          <w:rFonts w:ascii="宋体" w:hAnsi="宋体" w:eastAsia="宋体" w:cs="宋体"/>
          <w:sz w:val="24"/>
          <w:szCs w:val="24"/>
        </w:rPr>
      </w:pPr>
      <w:r>
        <w:rPr>
          <w:rFonts w:ascii="宋体" w:hAnsi="宋体" w:eastAsia="宋体" w:cs="宋体"/>
          <w:spacing w:val="-4"/>
          <w:sz w:val="24"/>
          <w:szCs w:val="24"/>
        </w:rPr>
        <w:t>园区固废填埋场于</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2020 </w:t>
      </w:r>
      <w:r>
        <w:rPr>
          <w:rFonts w:ascii="宋体" w:hAnsi="宋体" w:eastAsia="宋体" w:cs="宋体"/>
          <w:spacing w:val="-4"/>
          <w:sz w:val="24"/>
          <w:szCs w:val="24"/>
        </w:rPr>
        <w:t>年</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3</w:t>
      </w:r>
      <w:r>
        <w:rPr>
          <w:rFonts w:ascii="Times New Roman" w:hAnsi="Times New Roman" w:eastAsia="Times New Roman" w:cs="Times New Roman"/>
          <w:spacing w:val="15"/>
          <w:w w:val="101"/>
          <w:sz w:val="24"/>
          <w:szCs w:val="24"/>
        </w:rPr>
        <w:t xml:space="preserve"> </w:t>
      </w:r>
      <w:r>
        <w:rPr>
          <w:rFonts w:ascii="宋体" w:hAnsi="宋体" w:eastAsia="宋体" w:cs="宋体"/>
          <w:spacing w:val="-4"/>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27  </w:t>
      </w:r>
      <w:r>
        <w:rPr>
          <w:rFonts w:ascii="宋体" w:hAnsi="宋体" w:eastAsia="宋体" w:cs="宋体"/>
          <w:spacing w:val="-4"/>
          <w:sz w:val="24"/>
          <w:szCs w:val="24"/>
        </w:rPr>
        <w:t>日经原苏尼特右旗环境保</w:t>
      </w:r>
      <w:r>
        <w:rPr>
          <w:rFonts w:ascii="宋体" w:hAnsi="宋体" w:eastAsia="宋体" w:cs="宋体"/>
          <w:spacing w:val="-5"/>
          <w:sz w:val="24"/>
          <w:szCs w:val="24"/>
        </w:rPr>
        <w:t>护局《关于内蒙古自治</w:t>
      </w:r>
      <w:r>
        <w:rPr>
          <w:rFonts w:ascii="宋体" w:hAnsi="宋体" w:eastAsia="宋体" w:cs="宋体"/>
          <w:sz w:val="24"/>
          <w:szCs w:val="24"/>
        </w:rPr>
        <w:t xml:space="preserve"> </w:t>
      </w:r>
      <w:r>
        <w:rPr>
          <w:rFonts w:ascii="宋体" w:hAnsi="宋体" w:eastAsia="宋体" w:cs="宋体"/>
          <w:spacing w:val="1"/>
          <w:sz w:val="24"/>
          <w:szCs w:val="24"/>
        </w:rPr>
        <w:t>区苏尼特右旗朱日和工业园区冶金固废填埋场项目的批复》（苏右环审书</w:t>
      </w:r>
      <w:r>
        <w:rPr>
          <w:rFonts w:ascii="Times New Roman" w:hAnsi="Times New Roman" w:eastAsia="Times New Roman" w:cs="Times New Roman"/>
          <w:spacing w:val="1"/>
          <w:sz w:val="24"/>
          <w:szCs w:val="24"/>
        </w:rPr>
        <w:t>[2020]5</w:t>
      </w:r>
      <w:r>
        <w:rPr>
          <w:rFonts w:ascii="Times New Roman" w:hAnsi="Times New Roman" w:eastAsia="Times New Roman" w:cs="Times New Roman"/>
          <w:spacing w:val="24"/>
          <w:w w:val="101"/>
          <w:sz w:val="24"/>
          <w:szCs w:val="24"/>
        </w:rPr>
        <w:t xml:space="preserve"> </w:t>
      </w:r>
      <w:r>
        <w:rPr>
          <w:rFonts w:ascii="宋体" w:hAnsi="宋体" w:eastAsia="宋体" w:cs="宋体"/>
          <w:spacing w:val="1"/>
          <w:sz w:val="24"/>
          <w:szCs w:val="24"/>
        </w:rPr>
        <w:t>号）</w:t>
      </w:r>
      <w:r>
        <w:rPr>
          <w:rFonts w:ascii="宋体" w:hAnsi="宋体" w:eastAsia="宋体" w:cs="宋体"/>
          <w:sz w:val="24"/>
          <w:szCs w:val="24"/>
        </w:rPr>
        <w:t xml:space="preserve"> </w:t>
      </w:r>
      <w:r>
        <w:rPr>
          <w:rFonts w:ascii="宋体" w:hAnsi="宋体" w:eastAsia="宋体" w:cs="宋体"/>
          <w:spacing w:val="-2"/>
          <w:sz w:val="24"/>
          <w:szCs w:val="24"/>
        </w:rPr>
        <w:t>文件对其环境影响报告书进行了批复。该固废填埋场位于朱日和镇东北方向</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2.5k</w:t>
      </w:r>
      <w:r>
        <w:rPr>
          <w:rFonts w:ascii="Times New Roman" w:hAnsi="Times New Roman" w:eastAsia="Times New Roman" w:cs="Times New Roman"/>
          <w:spacing w:val="-3"/>
          <w:sz w:val="24"/>
          <w:szCs w:val="24"/>
        </w:rPr>
        <w:t>m</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处，</w:t>
      </w:r>
      <w:r>
        <w:rPr>
          <w:rFonts w:ascii="宋体" w:hAnsi="宋体" w:eastAsia="宋体" w:cs="宋体"/>
          <w:sz w:val="24"/>
          <w:szCs w:val="24"/>
        </w:rPr>
        <w:t xml:space="preserve"> </w:t>
      </w:r>
      <w:r>
        <w:rPr>
          <w:rFonts w:ascii="宋体" w:hAnsi="宋体" w:eastAsia="宋体" w:cs="宋体"/>
          <w:spacing w:val="-2"/>
          <w:sz w:val="24"/>
          <w:szCs w:val="24"/>
        </w:rPr>
        <w:t>占地面积为</w:t>
      </w:r>
      <w:r>
        <w:rPr>
          <w:rFonts w:ascii="宋体" w:hAnsi="宋体" w:eastAsia="宋体" w:cs="宋体"/>
          <w:spacing w:val="-37"/>
          <w:sz w:val="24"/>
          <w:szCs w:val="24"/>
        </w:rPr>
        <w:t xml:space="preserve"> </w:t>
      </w:r>
      <w:r>
        <w:rPr>
          <w:rFonts w:ascii="Times New Roman" w:hAnsi="Times New Roman" w:eastAsia="Times New Roman" w:cs="Times New Roman"/>
          <w:spacing w:val="-2"/>
          <w:sz w:val="24"/>
          <w:szCs w:val="24"/>
        </w:rPr>
        <w:t>44.2hm</w:t>
      </w:r>
      <w:r>
        <w:rPr>
          <w:rFonts w:ascii="Times New Roman" w:hAnsi="Times New Roman" w:eastAsia="Times New Roman" w:cs="Times New Roman"/>
          <w:spacing w:val="-2"/>
          <w:position w:val="8"/>
          <w:sz w:val="15"/>
          <w:szCs w:val="15"/>
        </w:rPr>
        <w:t>2</w:t>
      </w:r>
      <w:r>
        <w:rPr>
          <w:rFonts w:ascii="Times New Roman" w:hAnsi="Times New Roman" w:eastAsia="Times New Roman" w:cs="Times New Roman"/>
          <w:spacing w:val="-10"/>
          <w:position w:val="8"/>
          <w:sz w:val="15"/>
          <w:szCs w:val="15"/>
        </w:rPr>
        <w:t xml:space="preserve"> </w:t>
      </w:r>
      <w:r>
        <w:rPr>
          <w:rFonts w:ascii="宋体" w:hAnsi="宋体" w:eastAsia="宋体" w:cs="宋体"/>
          <w:spacing w:val="-2"/>
          <w:sz w:val="24"/>
          <w:szCs w:val="24"/>
        </w:rPr>
        <w:t>，设计堆置高度为</w:t>
      </w:r>
      <w:r>
        <w:rPr>
          <w:rFonts w:ascii="宋体" w:hAnsi="宋体" w:eastAsia="宋体" w:cs="宋体"/>
          <w:spacing w:val="-54"/>
          <w:sz w:val="24"/>
          <w:szCs w:val="24"/>
        </w:rPr>
        <w:t xml:space="preserve"> </w:t>
      </w:r>
      <w:r>
        <w:rPr>
          <w:rFonts w:ascii="Times New Roman" w:hAnsi="Times New Roman" w:eastAsia="Times New Roman" w:cs="Times New Roman"/>
          <w:spacing w:val="-2"/>
          <w:sz w:val="24"/>
          <w:szCs w:val="24"/>
        </w:rPr>
        <w:t>47m</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，总有效库容为</w:t>
      </w:r>
      <w:r>
        <w:rPr>
          <w:rFonts w:ascii="宋体" w:hAnsi="宋体" w:eastAsia="宋体" w:cs="宋体"/>
          <w:spacing w:val="-43"/>
          <w:sz w:val="24"/>
          <w:szCs w:val="24"/>
        </w:rPr>
        <w:t xml:space="preserve"> </w:t>
      </w:r>
      <w:r>
        <w:rPr>
          <w:rFonts w:ascii="Times New Roman" w:hAnsi="Times New Roman" w:eastAsia="Times New Roman" w:cs="Times New Roman"/>
          <w:spacing w:val="-2"/>
          <w:sz w:val="24"/>
          <w:szCs w:val="24"/>
        </w:rPr>
        <w:t>860</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万立方米，固废处置量</w:t>
      </w:r>
      <w:r>
        <w:rPr>
          <w:rFonts w:ascii="宋体" w:hAnsi="宋体" w:eastAsia="宋体" w:cs="宋体"/>
          <w:sz w:val="24"/>
          <w:szCs w:val="24"/>
        </w:rPr>
        <w:t xml:space="preserve"> </w:t>
      </w:r>
      <w:r>
        <w:rPr>
          <w:rFonts w:ascii="宋体" w:hAnsi="宋体" w:eastAsia="宋体" w:cs="宋体"/>
          <w:spacing w:val="-1"/>
          <w:sz w:val="24"/>
          <w:szCs w:val="24"/>
        </w:rPr>
        <w:t>为</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133.3</w:t>
      </w:r>
      <w:r>
        <w:rPr>
          <w:rFonts w:ascii="Times New Roman" w:hAnsi="Times New Roman" w:eastAsia="Times New Roman" w:cs="Times New Roman"/>
          <w:spacing w:val="15"/>
          <w:w w:val="101"/>
          <w:sz w:val="24"/>
          <w:szCs w:val="24"/>
        </w:rPr>
        <w:t xml:space="preserve"> </w:t>
      </w:r>
      <w:r>
        <w:rPr>
          <w:rFonts w:ascii="宋体" w:hAnsi="宋体" w:eastAsia="宋体" w:cs="宋体"/>
          <w:spacing w:val="-1"/>
          <w:sz w:val="24"/>
          <w:szCs w:val="24"/>
        </w:rPr>
        <w:t>万吨</w:t>
      </w:r>
      <w:r>
        <w:rPr>
          <w:rFonts w:ascii="Times New Roman" w:hAnsi="Times New Roman" w:eastAsia="Times New Roman" w:cs="Times New Roman"/>
          <w:spacing w:val="-1"/>
          <w:sz w:val="24"/>
          <w:szCs w:val="24"/>
        </w:rPr>
        <w:t>/</w:t>
      </w:r>
      <w:r>
        <w:rPr>
          <w:rFonts w:ascii="宋体" w:hAnsi="宋体" w:eastAsia="宋体" w:cs="宋体"/>
          <w:spacing w:val="-1"/>
          <w:sz w:val="24"/>
          <w:szCs w:val="24"/>
        </w:rPr>
        <w:t>年，设计服务年限</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8.6</w:t>
      </w:r>
      <w:r>
        <w:rPr>
          <w:rFonts w:ascii="Times New Roman" w:hAnsi="Times New Roman" w:eastAsia="Times New Roman" w:cs="Times New Roman"/>
          <w:spacing w:val="-2"/>
          <w:sz w:val="24"/>
          <w:szCs w:val="24"/>
        </w:rPr>
        <w:t xml:space="preserve"> </w:t>
      </w:r>
      <w:r>
        <w:rPr>
          <w:rFonts w:ascii="宋体" w:hAnsi="宋体" w:eastAsia="宋体" w:cs="宋体"/>
          <w:spacing w:val="-2"/>
          <w:sz w:val="24"/>
          <w:szCs w:val="24"/>
        </w:rPr>
        <w:t>年，主要用于处置朱日和园区金属冶炼生产过程中</w:t>
      </w:r>
      <w:r>
        <w:rPr>
          <w:rFonts w:ascii="宋体" w:hAnsi="宋体" w:eastAsia="宋体" w:cs="宋体"/>
          <w:sz w:val="24"/>
          <w:szCs w:val="24"/>
        </w:rPr>
        <w:t xml:space="preserve"> </w:t>
      </w:r>
      <w:r>
        <w:rPr>
          <w:rFonts w:ascii="宋体" w:hAnsi="宋体" w:eastAsia="宋体" w:cs="宋体"/>
          <w:spacing w:val="1"/>
          <w:sz w:val="24"/>
          <w:szCs w:val="24"/>
        </w:rPr>
        <w:t>产生的废渣。该项目已建成投入使用，其二期工程已于</w:t>
      </w:r>
      <w:r>
        <w:rPr>
          <w:rFonts w:ascii="宋体" w:hAnsi="宋体" w:eastAsia="宋体" w:cs="宋体"/>
          <w:spacing w:val="-37"/>
          <w:sz w:val="24"/>
          <w:szCs w:val="24"/>
        </w:rPr>
        <w:t xml:space="preserve"> </w:t>
      </w:r>
      <w:r>
        <w:rPr>
          <w:rFonts w:ascii="Times New Roman" w:hAnsi="Times New Roman" w:eastAsia="Times New Roman" w:cs="Times New Roman"/>
          <w:spacing w:val="1"/>
          <w:sz w:val="24"/>
          <w:szCs w:val="24"/>
        </w:rPr>
        <w:t xml:space="preserve">2022 </w:t>
      </w:r>
      <w:r>
        <w:rPr>
          <w:rFonts w:ascii="宋体" w:hAnsi="宋体" w:eastAsia="宋体" w:cs="宋体"/>
          <w:spacing w:val="1"/>
          <w:sz w:val="24"/>
          <w:szCs w:val="24"/>
        </w:rPr>
        <w:t>年开始招标建设，现正在</w:t>
      </w:r>
      <w:r>
        <w:rPr>
          <w:rFonts w:ascii="宋体" w:hAnsi="宋体" w:eastAsia="宋体" w:cs="宋体"/>
          <w:sz w:val="24"/>
          <w:szCs w:val="24"/>
        </w:rPr>
        <w:t xml:space="preserve"> </w:t>
      </w:r>
      <w:r>
        <w:rPr>
          <w:rFonts w:ascii="宋体" w:hAnsi="宋体" w:eastAsia="宋体" w:cs="宋体"/>
          <w:spacing w:val="-1"/>
          <w:sz w:val="24"/>
          <w:szCs w:val="24"/>
        </w:rPr>
        <w:t>办理前期手续工作中。</w:t>
      </w:r>
    </w:p>
    <w:p w14:paraId="3CCF7851">
      <w:pPr>
        <w:spacing w:before="38" w:line="345" w:lineRule="auto"/>
        <w:ind w:left="19" w:right="80" w:firstLine="469"/>
        <w:rPr>
          <w:rFonts w:ascii="宋体" w:hAnsi="宋体" w:eastAsia="宋体" w:cs="宋体"/>
          <w:sz w:val="24"/>
          <w:szCs w:val="24"/>
        </w:rPr>
      </w:pPr>
      <w:r>
        <w:rPr>
          <w:rFonts w:ascii="宋体" w:hAnsi="宋体" w:eastAsia="宋体" w:cs="宋体"/>
          <w:spacing w:val="-2"/>
          <w:sz w:val="24"/>
          <w:szCs w:val="24"/>
        </w:rPr>
        <w:t>本项目产生的锰硅炉渣外售进行综合利用或由其生产单位回收综合利用，外售不畅</w:t>
      </w:r>
      <w:r>
        <w:rPr>
          <w:rFonts w:ascii="宋体" w:hAnsi="宋体" w:eastAsia="宋体" w:cs="宋体"/>
          <w:spacing w:val="12"/>
          <w:sz w:val="24"/>
          <w:szCs w:val="24"/>
        </w:rPr>
        <w:t xml:space="preserve"> </w:t>
      </w:r>
      <w:r>
        <w:rPr>
          <w:rFonts w:ascii="宋体" w:hAnsi="宋体" w:eastAsia="宋体" w:cs="宋体"/>
          <w:spacing w:val="-2"/>
          <w:sz w:val="24"/>
          <w:szCs w:val="24"/>
        </w:rPr>
        <w:t>时废渣外排该渣场填埋处理，可以依托。</w:t>
      </w:r>
    </w:p>
    <w:p w14:paraId="464A6260">
      <w:pPr>
        <w:spacing w:before="45" w:line="222" w:lineRule="auto"/>
        <w:ind w:left="11"/>
        <w:outlineLvl w:val="2"/>
        <w:rPr>
          <w:rFonts w:ascii="黑体" w:hAnsi="黑体" w:eastAsia="黑体" w:cs="黑体"/>
          <w:sz w:val="30"/>
          <w:szCs w:val="30"/>
        </w:rPr>
      </w:pPr>
      <w:bookmarkStart w:id="350" w:name="bookmark168"/>
      <w:bookmarkEnd w:id="350"/>
      <w:r>
        <w:rPr>
          <w:rFonts w:ascii="Times New Roman" w:hAnsi="Times New Roman" w:eastAsia="Times New Roman" w:cs="Times New Roman"/>
          <w:spacing w:val="-4"/>
          <w:sz w:val="30"/>
          <w:szCs w:val="30"/>
        </w:rPr>
        <w:t>3.2.7</w:t>
      </w:r>
      <w:r>
        <w:rPr>
          <w:rFonts w:ascii="Times New Roman" w:hAnsi="Times New Roman" w:eastAsia="Times New Roman" w:cs="Times New Roman"/>
          <w:spacing w:val="36"/>
          <w:sz w:val="30"/>
          <w:szCs w:val="30"/>
        </w:rPr>
        <w:t xml:space="preserve"> </w:t>
      </w:r>
      <w:r>
        <w:rPr>
          <w:rFonts w:ascii="黑体" w:hAnsi="黑体" w:eastAsia="黑体" w:cs="黑体"/>
          <w:spacing w:val="-4"/>
          <w:sz w:val="30"/>
          <w:szCs w:val="30"/>
        </w:rPr>
        <w:t>园区规划符合性</w:t>
      </w:r>
    </w:p>
    <w:p w14:paraId="25646B46">
      <w:pPr>
        <w:spacing w:before="216" w:line="356" w:lineRule="auto"/>
        <w:ind w:left="8" w:firstLine="480"/>
        <w:jc w:val="both"/>
        <w:rPr>
          <w:rFonts w:ascii="宋体" w:hAnsi="宋体" w:eastAsia="宋体" w:cs="宋体"/>
          <w:sz w:val="24"/>
          <w:szCs w:val="24"/>
        </w:rPr>
      </w:pPr>
      <w:r>
        <w:rPr>
          <w:rFonts w:ascii="宋体" w:hAnsi="宋体" w:eastAsia="宋体" w:cs="宋体"/>
          <w:spacing w:val="3"/>
          <w:sz w:val="24"/>
          <w:szCs w:val="24"/>
        </w:rPr>
        <w:t>根据《苏尼特右旗朱日和工业园区总体规划》（</w:t>
      </w:r>
      <w:r>
        <w:rPr>
          <w:rFonts w:ascii="Times New Roman" w:hAnsi="Times New Roman" w:eastAsia="Times New Roman" w:cs="Times New Roman"/>
          <w:spacing w:val="3"/>
          <w:sz w:val="24"/>
          <w:szCs w:val="24"/>
        </w:rPr>
        <w:t>201</w:t>
      </w:r>
      <w:r>
        <w:rPr>
          <w:rFonts w:ascii="Times New Roman" w:hAnsi="Times New Roman" w:eastAsia="Times New Roman" w:cs="Times New Roman"/>
          <w:spacing w:val="2"/>
          <w:sz w:val="24"/>
          <w:szCs w:val="24"/>
        </w:rPr>
        <w:t>3-2030</w:t>
      </w:r>
      <w:r>
        <w:rPr>
          <w:rFonts w:ascii="宋体" w:hAnsi="宋体" w:eastAsia="宋体" w:cs="宋体"/>
          <w:spacing w:val="2"/>
          <w:sz w:val="24"/>
          <w:szCs w:val="24"/>
        </w:rPr>
        <w:t>）及审查意见，朱日和</w:t>
      </w:r>
      <w:r>
        <w:rPr>
          <w:rFonts w:ascii="宋体" w:hAnsi="宋体" w:eastAsia="宋体" w:cs="宋体"/>
          <w:sz w:val="24"/>
          <w:szCs w:val="24"/>
        </w:rPr>
        <w:t xml:space="preserve"> </w:t>
      </w:r>
      <w:r>
        <w:rPr>
          <w:rFonts w:ascii="宋体" w:hAnsi="宋体" w:eastAsia="宋体" w:cs="宋体"/>
          <w:spacing w:val="-2"/>
          <w:sz w:val="24"/>
          <w:szCs w:val="24"/>
        </w:rPr>
        <w:t>工业园区由南区和北区组成。南区为冶金产业园，产业定位与发展方向为：以发展矿产</w:t>
      </w:r>
      <w:r>
        <w:rPr>
          <w:rFonts w:ascii="宋体" w:hAnsi="宋体" w:eastAsia="宋体" w:cs="宋体"/>
          <w:spacing w:val="17"/>
          <w:sz w:val="24"/>
          <w:szCs w:val="24"/>
        </w:rPr>
        <w:t xml:space="preserve"> </w:t>
      </w:r>
      <w:r>
        <w:rPr>
          <w:rFonts w:ascii="宋体" w:hAnsi="宋体" w:eastAsia="宋体" w:cs="宋体"/>
          <w:spacing w:val="-2"/>
          <w:sz w:val="24"/>
          <w:szCs w:val="24"/>
        </w:rPr>
        <w:t>品采选业、金属冶选铸造业、石材加工业、石油化工、清洁能源、装备制造业为主，配</w:t>
      </w:r>
      <w:r>
        <w:rPr>
          <w:rFonts w:ascii="宋体" w:hAnsi="宋体" w:eastAsia="宋体" w:cs="宋体"/>
          <w:spacing w:val="17"/>
          <w:sz w:val="24"/>
          <w:szCs w:val="24"/>
        </w:rPr>
        <w:t xml:space="preserve"> </w:t>
      </w:r>
      <w:r>
        <w:rPr>
          <w:rFonts w:ascii="宋体" w:hAnsi="宋体" w:eastAsia="宋体" w:cs="宋体"/>
          <w:spacing w:val="-2"/>
          <w:sz w:val="24"/>
          <w:szCs w:val="24"/>
        </w:rPr>
        <w:t>备有完善的基础设施与生产设施，是苏尼特右旗重要的冶金产业基地。北区为轻工产业</w:t>
      </w:r>
      <w:r>
        <w:rPr>
          <w:rFonts w:ascii="宋体" w:hAnsi="宋体" w:eastAsia="宋体" w:cs="宋体"/>
          <w:spacing w:val="17"/>
          <w:sz w:val="24"/>
          <w:szCs w:val="24"/>
        </w:rPr>
        <w:t xml:space="preserve"> </w:t>
      </w:r>
      <w:r>
        <w:rPr>
          <w:rFonts w:ascii="宋体" w:hAnsi="宋体" w:eastAsia="宋体" w:cs="宋体"/>
          <w:spacing w:val="-6"/>
          <w:sz w:val="24"/>
          <w:szCs w:val="24"/>
        </w:rPr>
        <w:t>园，产业定位与发展方向为：发展绒毛及羊绒制品系列加工、肉食品加工、皮革深加工、</w:t>
      </w:r>
      <w:r>
        <w:rPr>
          <w:rFonts w:ascii="宋体" w:hAnsi="宋体" w:eastAsia="宋体" w:cs="宋体"/>
          <w:spacing w:val="15"/>
          <w:sz w:val="24"/>
          <w:szCs w:val="24"/>
        </w:rPr>
        <w:t xml:space="preserve"> </w:t>
      </w:r>
      <w:r>
        <w:rPr>
          <w:rFonts w:ascii="宋体" w:hAnsi="宋体" w:eastAsia="宋体" w:cs="宋体"/>
          <w:spacing w:val="-2"/>
          <w:sz w:val="24"/>
          <w:szCs w:val="24"/>
        </w:rPr>
        <w:t>乳制品加工业、生物医药和包装业为主，未来发展为内蒙古中部重要的畜产品加工集散</w:t>
      </w:r>
      <w:r>
        <w:rPr>
          <w:rFonts w:ascii="宋体" w:hAnsi="宋体" w:eastAsia="宋体" w:cs="宋体"/>
          <w:spacing w:val="17"/>
          <w:sz w:val="24"/>
          <w:szCs w:val="24"/>
        </w:rPr>
        <w:t xml:space="preserve"> </w:t>
      </w:r>
      <w:r>
        <w:rPr>
          <w:rFonts w:ascii="宋体" w:hAnsi="宋体" w:eastAsia="宋体" w:cs="宋体"/>
          <w:spacing w:val="-4"/>
          <w:sz w:val="24"/>
          <w:szCs w:val="24"/>
        </w:rPr>
        <w:t>基地。</w:t>
      </w:r>
    </w:p>
    <w:p w14:paraId="3E1067A1">
      <w:pPr>
        <w:spacing w:before="27" w:line="347" w:lineRule="auto"/>
        <w:ind w:left="10" w:right="80" w:firstLine="479"/>
        <w:rPr>
          <w:rFonts w:ascii="宋体" w:hAnsi="宋体" w:eastAsia="宋体" w:cs="宋体"/>
          <w:sz w:val="24"/>
          <w:szCs w:val="24"/>
        </w:rPr>
      </w:pPr>
      <w:r>
        <w:rPr>
          <w:rFonts w:ascii="宋体" w:hAnsi="宋体" w:eastAsia="宋体" w:cs="宋体"/>
          <w:spacing w:val="-2"/>
          <w:sz w:val="24"/>
          <w:szCs w:val="24"/>
        </w:rPr>
        <w:t>本项目位于南区冶金产业园，属于铁合金冶炼项目，符合园区现行规划（《苏尼特</w:t>
      </w:r>
      <w:r>
        <w:rPr>
          <w:rFonts w:ascii="宋体" w:hAnsi="宋体" w:eastAsia="宋体" w:cs="宋体"/>
          <w:spacing w:val="12"/>
          <w:sz w:val="24"/>
          <w:szCs w:val="24"/>
        </w:rPr>
        <w:t xml:space="preserve"> </w:t>
      </w:r>
      <w:r>
        <w:rPr>
          <w:rFonts w:ascii="宋体" w:hAnsi="宋体" w:eastAsia="宋体" w:cs="宋体"/>
          <w:spacing w:val="-1"/>
          <w:sz w:val="24"/>
          <w:szCs w:val="24"/>
        </w:rPr>
        <w:t>右旗朱日和工业园区总体规划》（</w:t>
      </w:r>
      <w:r>
        <w:rPr>
          <w:rFonts w:ascii="Times New Roman" w:hAnsi="Times New Roman" w:eastAsia="Times New Roman" w:cs="Times New Roman"/>
          <w:spacing w:val="-1"/>
          <w:sz w:val="24"/>
          <w:szCs w:val="24"/>
        </w:rPr>
        <w:t>2013-2030</w:t>
      </w:r>
      <w:r>
        <w:rPr>
          <w:rFonts w:ascii="宋体" w:hAnsi="宋体" w:eastAsia="宋体" w:cs="宋体"/>
          <w:spacing w:val="6"/>
          <w:sz w:val="24"/>
          <w:szCs w:val="24"/>
        </w:rPr>
        <w:t>））</w:t>
      </w:r>
      <w:r>
        <w:rPr>
          <w:rFonts w:ascii="宋体" w:hAnsi="宋体" w:eastAsia="宋体" w:cs="宋体"/>
          <w:spacing w:val="-1"/>
          <w:sz w:val="24"/>
          <w:szCs w:val="24"/>
        </w:rPr>
        <w:t>要求。</w:t>
      </w:r>
    </w:p>
    <w:p w14:paraId="1BEDCC34">
      <w:pPr>
        <w:spacing w:before="43" w:line="227" w:lineRule="auto"/>
        <w:ind w:left="12"/>
        <w:outlineLvl w:val="1"/>
        <w:rPr>
          <w:rFonts w:ascii="黑体" w:hAnsi="黑体" w:eastAsia="黑体" w:cs="黑体"/>
          <w:sz w:val="31"/>
          <w:szCs w:val="31"/>
        </w:rPr>
      </w:pPr>
      <w:bookmarkStart w:id="351" w:name="bookmark170"/>
      <w:bookmarkEnd w:id="351"/>
      <w:r>
        <w:rPr>
          <w:rFonts w:ascii="Times New Roman" w:hAnsi="Times New Roman" w:eastAsia="Times New Roman" w:cs="Times New Roman"/>
          <w:spacing w:val="7"/>
          <w:sz w:val="31"/>
          <w:szCs w:val="31"/>
        </w:rPr>
        <w:t xml:space="preserve">3.3 </w:t>
      </w:r>
      <w:r>
        <w:rPr>
          <w:rFonts w:ascii="黑体" w:hAnsi="黑体" w:eastAsia="黑体" w:cs="黑体"/>
          <w:spacing w:val="7"/>
          <w:sz w:val="31"/>
          <w:szCs w:val="31"/>
        </w:rPr>
        <w:t>环境质量现状监测与评价</w:t>
      </w:r>
    </w:p>
    <w:p w14:paraId="202E5D71">
      <w:pPr>
        <w:spacing w:before="240" w:line="222" w:lineRule="auto"/>
        <w:ind w:left="11"/>
        <w:outlineLvl w:val="2"/>
        <w:rPr>
          <w:rFonts w:ascii="黑体" w:hAnsi="黑体" w:eastAsia="黑体" w:cs="黑体"/>
          <w:sz w:val="30"/>
          <w:szCs w:val="30"/>
        </w:rPr>
      </w:pPr>
      <w:bookmarkStart w:id="352" w:name="bookmark172"/>
      <w:bookmarkEnd w:id="352"/>
      <w:r>
        <w:rPr>
          <w:rFonts w:ascii="Times New Roman" w:hAnsi="Times New Roman" w:eastAsia="Times New Roman" w:cs="Times New Roman"/>
          <w:spacing w:val="-1"/>
          <w:sz w:val="30"/>
          <w:szCs w:val="30"/>
        </w:rPr>
        <w:t xml:space="preserve">3.3.1 </w:t>
      </w:r>
      <w:r>
        <w:rPr>
          <w:rFonts w:ascii="黑体" w:hAnsi="黑体" w:eastAsia="黑体" w:cs="黑体"/>
          <w:spacing w:val="-1"/>
          <w:sz w:val="30"/>
          <w:szCs w:val="30"/>
        </w:rPr>
        <w:t>大气环境质量现状监测与评价</w:t>
      </w:r>
    </w:p>
    <w:p w14:paraId="096C39CF">
      <w:pPr>
        <w:spacing w:before="215" w:line="219" w:lineRule="auto"/>
        <w:ind w:left="494"/>
        <w:rPr>
          <w:rFonts w:ascii="宋体" w:hAnsi="宋体" w:eastAsia="宋体" w:cs="宋体"/>
          <w:sz w:val="24"/>
          <w:szCs w:val="24"/>
        </w:rPr>
      </w:pPr>
      <w:r>
        <w:rPr>
          <w:rFonts w:ascii="Times New Roman" w:hAnsi="Times New Roman" w:eastAsia="Times New Roman" w:cs="Times New Roman"/>
          <w:b/>
          <w:bCs/>
          <w:spacing w:val="-8"/>
          <w:sz w:val="24"/>
          <w:szCs w:val="24"/>
        </w:rPr>
        <w:t>1</w:t>
      </w:r>
      <w:r>
        <w:rPr>
          <w:rFonts w:ascii="Times New Roman" w:hAnsi="Times New Roman" w:eastAsia="Times New Roman" w:cs="Times New Roman"/>
          <w:b/>
          <w:bCs/>
          <w:spacing w:val="-32"/>
          <w:sz w:val="24"/>
          <w:szCs w:val="24"/>
        </w:rPr>
        <w:t xml:space="preserve"> </w:t>
      </w:r>
      <w:r>
        <w:rPr>
          <w:rFonts w:ascii="宋体" w:hAnsi="宋体" w:eastAsia="宋体" w:cs="宋体"/>
          <w:b/>
          <w:bCs/>
          <w:spacing w:val="-8"/>
          <w:sz w:val="24"/>
          <w:szCs w:val="24"/>
        </w:rPr>
        <w:t>、达标区判断</w:t>
      </w:r>
    </w:p>
    <w:p w14:paraId="1A713F03">
      <w:pPr>
        <w:spacing w:before="178" w:line="353" w:lineRule="auto"/>
        <w:ind w:left="8" w:right="77" w:firstLine="480"/>
        <w:jc w:val="both"/>
        <w:rPr>
          <w:rFonts w:ascii="宋体" w:hAnsi="宋体" w:eastAsia="宋体" w:cs="宋体"/>
          <w:sz w:val="24"/>
          <w:szCs w:val="24"/>
        </w:rPr>
      </w:pPr>
      <w:r>
        <w:rPr>
          <w:rFonts w:ascii="宋体" w:hAnsi="宋体" w:eastAsia="宋体" w:cs="宋体"/>
          <w:spacing w:val="-1"/>
          <w:sz w:val="24"/>
          <w:szCs w:val="24"/>
        </w:rPr>
        <w:t>根据《环境影响评价技术导则 大气环境》（</w:t>
      </w:r>
      <w:r>
        <w:rPr>
          <w:rFonts w:ascii="Times New Roman" w:hAnsi="Times New Roman" w:eastAsia="Times New Roman" w:cs="Times New Roman"/>
          <w:spacing w:val="-1"/>
          <w:sz w:val="24"/>
          <w:szCs w:val="24"/>
        </w:rPr>
        <w:t>HJ2.2-2018</w:t>
      </w:r>
      <w:r>
        <w:rPr>
          <w:rFonts w:ascii="宋体" w:hAnsi="宋体" w:eastAsia="宋体" w:cs="宋体"/>
          <w:spacing w:val="-1"/>
          <w:sz w:val="24"/>
          <w:szCs w:val="24"/>
        </w:rPr>
        <w:t>）中</w:t>
      </w:r>
      <w:r>
        <w:rPr>
          <w:rFonts w:ascii="宋体" w:hAnsi="宋体" w:eastAsia="宋体" w:cs="宋体"/>
          <w:spacing w:val="-45"/>
          <w:sz w:val="24"/>
          <w:szCs w:val="24"/>
        </w:rPr>
        <w:t xml:space="preserve"> </w:t>
      </w:r>
      <w:r>
        <w:rPr>
          <w:rFonts w:ascii="Times New Roman" w:hAnsi="Times New Roman" w:eastAsia="Times New Roman" w:cs="Times New Roman"/>
          <w:spacing w:val="-1"/>
          <w:sz w:val="24"/>
          <w:szCs w:val="24"/>
        </w:rPr>
        <w:t xml:space="preserve">6.2.1.1 </w:t>
      </w:r>
      <w:r>
        <w:rPr>
          <w:rFonts w:ascii="宋体" w:hAnsi="宋体" w:eastAsia="宋体" w:cs="宋体"/>
          <w:spacing w:val="-1"/>
          <w:sz w:val="24"/>
          <w:szCs w:val="24"/>
        </w:rPr>
        <w:t>规定</w:t>
      </w:r>
      <w:r>
        <w:rPr>
          <w:rFonts w:ascii="Times New Roman" w:hAnsi="Times New Roman" w:eastAsia="Times New Roman" w:cs="Times New Roman"/>
          <w:spacing w:val="-1"/>
          <w:sz w:val="24"/>
          <w:szCs w:val="24"/>
        </w:rPr>
        <w:t>“</w:t>
      </w:r>
      <w:r>
        <w:rPr>
          <w:rFonts w:ascii="宋体" w:hAnsi="宋体" w:eastAsia="宋体" w:cs="宋体"/>
          <w:spacing w:val="-1"/>
          <w:sz w:val="24"/>
          <w:szCs w:val="24"/>
        </w:rPr>
        <w:t>项目所在</w:t>
      </w:r>
      <w:r>
        <w:rPr>
          <w:rFonts w:ascii="宋体" w:hAnsi="宋体" w:eastAsia="宋体" w:cs="宋体"/>
          <w:sz w:val="24"/>
          <w:szCs w:val="24"/>
        </w:rPr>
        <w:t xml:space="preserve"> </w:t>
      </w:r>
      <w:r>
        <w:rPr>
          <w:rFonts w:ascii="宋体" w:hAnsi="宋体" w:eastAsia="宋体" w:cs="宋体"/>
          <w:spacing w:val="-2"/>
          <w:sz w:val="24"/>
          <w:szCs w:val="24"/>
        </w:rPr>
        <w:t>区域达标判定，优先采用国家或地方生态环境主管部门公开发布的评价基准年环境，质</w:t>
      </w:r>
      <w:r>
        <w:rPr>
          <w:rFonts w:ascii="宋体" w:hAnsi="宋体" w:eastAsia="宋体" w:cs="宋体"/>
          <w:spacing w:val="17"/>
          <w:sz w:val="24"/>
          <w:szCs w:val="24"/>
        </w:rPr>
        <w:t xml:space="preserve"> </w:t>
      </w:r>
      <w:r>
        <w:rPr>
          <w:rFonts w:ascii="宋体" w:hAnsi="宋体" w:eastAsia="宋体" w:cs="宋体"/>
          <w:spacing w:val="3"/>
          <w:sz w:val="24"/>
          <w:szCs w:val="24"/>
        </w:rPr>
        <w:t>量公告或环境质量报告中的数据或结论</w:t>
      </w:r>
      <w:r>
        <w:rPr>
          <w:rFonts w:ascii="Times New Roman" w:hAnsi="Times New Roman" w:eastAsia="Times New Roman" w:cs="Times New Roman"/>
          <w:spacing w:val="3"/>
          <w:sz w:val="24"/>
          <w:szCs w:val="24"/>
        </w:rPr>
        <w:t>”</w:t>
      </w:r>
      <w:r>
        <w:rPr>
          <w:rFonts w:ascii="宋体" w:hAnsi="宋体" w:eastAsia="宋体" w:cs="宋体"/>
          <w:spacing w:val="3"/>
          <w:sz w:val="24"/>
          <w:szCs w:val="24"/>
        </w:rPr>
        <w:t>以及</w:t>
      </w:r>
      <w:r>
        <w:rPr>
          <w:rFonts w:ascii="宋体" w:hAnsi="宋体" w:eastAsia="宋体" w:cs="宋体"/>
          <w:spacing w:val="-39"/>
          <w:sz w:val="24"/>
          <w:szCs w:val="24"/>
        </w:rPr>
        <w:t xml:space="preserve"> </w:t>
      </w:r>
      <w:r>
        <w:rPr>
          <w:rFonts w:ascii="Times New Roman" w:hAnsi="Times New Roman" w:eastAsia="Times New Roman" w:cs="Times New Roman"/>
          <w:spacing w:val="3"/>
          <w:sz w:val="24"/>
          <w:szCs w:val="24"/>
        </w:rPr>
        <w:t xml:space="preserve">6.2.1.3 </w:t>
      </w:r>
      <w:r>
        <w:rPr>
          <w:rFonts w:ascii="宋体" w:hAnsi="宋体" w:eastAsia="宋体" w:cs="宋体"/>
          <w:spacing w:val="3"/>
          <w:sz w:val="24"/>
          <w:szCs w:val="24"/>
        </w:rPr>
        <w:t>规定</w:t>
      </w:r>
      <w:r>
        <w:rPr>
          <w:rFonts w:ascii="Times New Roman" w:hAnsi="Times New Roman" w:eastAsia="Times New Roman" w:cs="Times New Roman"/>
          <w:spacing w:val="3"/>
          <w:sz w:val="24"/>
          <w:szCs w:val="24"/>
        </w:rPr>
        <w:t>“</w:t>
      </w:r>
      <w:r>
        <w:rPr>
          <w:rFonts w:ascii="宋体" w:hAnsi="宋体" w:eastAsia="宋体" w:cs="宋体"/>
          <w:spacing w:val="3"/>
          <w:sz w:val="24"/>
          <w:szCs w:val="24"/>
        </w:rPr>
        <w:t>评价范围内没有环境空气质</w:t>
      </w:r>
      <w:r>
        <w:rPr>
          <w:rFonts w:ascii="宋体" w:hAnsi="宋体" w:eastAsia="宋体" w:cs="宋体"/>
          <w:sz w:val="24"/>
          <w:szCs w:val="24"/>
        </w:rPr>
        <w:t xml:space="preserve"> </w:t>
      </w:r>
      <w:r>
        <w:rPr>
          <w:rFonts w:ascii="宋体" w:hAnsi="宋体" w:eastAsia="宋体" w:cs="宋体"/>
          <w:spacing w:val="-2"/>
          <w:sz w:val="24"/>
          <w:szCs w:val="24"/>
        </w:rPr>
        <w:t>量监测网数据或公开发布的环境空气质量现状数据的，可选择符合</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HJ66</w:t>
      </w:r>
      <w:r>
        <w:rPr>
          <w:rFonts w:ascii="Times New Roman" w:hAnsi="Times New Roman" w:eastAsia="Times New Roman" w:cs="Times New Roman"/>
          <w:spacing w:val="-3"/>
          <w:sz w:val="24"/>
          <w:szCs w:val="24"/>
        </w:rPr>
        <w:t xml:space="preserve">4 </w:t>
      </w:r>
      <w:r>
        <w:rPr>
          <w:rFonts w:ascii="宋体" w:hAnsi="宋体" w:eastAsia="宋体" w:cs="宋体"/>
          <w:spacing w:val="-3"/>
          <w:sz w:val="24"/>
          <w:szCs w:val="24"/>
        </w:rPr>
        <w:t>规定，并且与</w:t>
      </w:r>
    </w:p>
    <w:p w14:paraId="229057DC">
      <w:pPr>
        <w:spacing w:line="353" w:lineRule="auto"/>
        <w:rPr>
          <w:rFonts w:ascii="宋体" w:hAnsi="宋体" w:eastAsia="宋体" w:cs="宋体"/>
          <w:sz w:val="24"/>
          <w:szCs w:val="24"/>
        </w:rPr>
        <w:sectPr>
          <w:footerReference r:id="rId218" w:type="default"/>
          <w:pgSz w:w="11906" w:h="16839"/>
          <w:pgMar w:top="1190" w:right="1337" w:bottom="993" w:left="1417" w:header="882" w:footer="831" w:gutter="0"/>
          <w:cols w:space="720" w:num="1"/>
        </w:sectPr>
      </w:pPr>
    </w:p>
    <w:p w14:paraId="59F5E2DF">
      <w:pPr>
        <w:spacing w:line="28" w:lineRule="exact"/>
      </w:pPr>
      <w:r>
        <w:pict>
          <v:shape id="_x0000_s1257" o:spid="_x0000_s1257" style="height:1.45pt;width:453.65pt;" fillcolor="#000000" filled="t" stroked="f" coordsize="9072,29" path="m0,0l9072,0,9072,28,0,28,0,0xe">
            <v:path/>
            <v:fill on="t" focussize="0,0"/>
            <v:stroke on="f"/>
            <v:imagedata o:title=""/>
            <o:lock v:ext="edit"/>
            <w10:wrap type="none"/>
            <w10:anchorlock/>
          </v:shape>
        </w:pict>
      </w:r>
    </w:p>
    <w:p w14:paraId="60AE2F36">
      <w:pPr>
        <w:spacing w:before="233" w:line="345" w:lineRule="auto"/>
        <w:ind w:left="7" w:right="61"/>
        <w:rPr>
          <w:rFonts w:ascii="宋体" w:hAnsi="宋体" w:eastAsia="宋体" w:cs="宋体"/>
          <w:sz w:val="24"/>
          <w:szCs w:val="24"/>
        </w:rPr>
      </w:pPr>
      <w:r>
        <w:rPr>
          <w:rFonts w:ascii="宋体" w:hAnsi="宋体" w:eastAsia="宋体" w:cs="宋体"/>
          <w:spacing w:val="5"/>
          <w:sz w:val="24"/>
          <w:szCs w:val="24"/>
        </w:rPr>
        <w:t>评价范围地理位置邻近，地形、气候条件相近的环境空气质量城市点或区域点</w:t>
      </w:r>
      <w:r>
        <w:rPr>
          <w:rFonts w:ascii="宋体" w:hAnsi="宋体" w:eastAsia="宋体" w:cs="宋体"/>
          <w:spacing w:val="4"/>
          <w:sz w:val="24"/>
          <w:szCs w:val="24"/>
        </w:rPr>
        <w:t>监测数</w:t>
      </w:r>
      <w:r>
        <w:rPr>
          <w:rFonts w:ascii="宋体" w:hAnsi="宋体" w:eastAsia="宋体" w:cs="宋体"/>
          <w:sz w:val="24"/>
          <w:szCs w:val="24"/>
        </w:rPr>
        <w:t xml:space="preserve"> </w:t>
      </w:r>
      <w:r>
        <w:rPr>
          <w:rFonts w:ascii="宋体" w:hAnsi="宋体" w:eastAsia="宋体" w:cs="宋体"/>
          <w:spacing w:val="-3"/>
          <w:sz w:val="24"/>
          <w:szCs w:val="24"/>
        </w:rPr>
        <w:t>据</w:t>
      </w:r>
      <w:r>
        <w:rPr>
          <w:rFonts w:ascii="Times New Roman" w:hAnsi="Times New Roman" w:eastAsia="Times New Roman" w:cs="Times New Roman"/>
          <w:spacing w:val="-3"/>
          <w:sz w:val="24"/>
          <w:szCs w:val="24"/>
        </w:rPr>
        <w:t>”</w:t>
      </w:r>
      <w:r>
        <w:rPr>
          <w:rFonts w:ascii="宋体" w:hAnsi="宋体" w:eastAsia="宋体" w:cs="宋体"/>
          <w:spacing w:val="-3"/>
          <w:sz w:val="24"/>
          <w:szCs w:val="24"/>
        </w:rPr>
        <w:t>。</w:t>
      </w:r>
    </w:p>
    <w:p w14:paraId="73A8D98A">
      <w:pPr>
        <w:spacing w:before="38" w:line="352" w:lineRule="auto"/>
        <w:ind w:left="8" w:firstLine="480"/>
        <w:jc w:val="both"/>
        <w:rPr>
          <w:rFonts w:ascii="宋体" w:hAnsi="宋体" w:eastAsia="宋体" w:cs="宋体"/>
          <w:sz w:val="24"/>
          <w:szCs w:val="24"/>
        </w:rPr>
      </w:pPr>
      <w:r>
        <w:rPr>
          <w:rFonts w:ascii="宋体" w:hAnsi="宋体" w:eastAsia="宋体" w:cs="宋体"/>
          <w:spacing w:val="1"/>
          <w:sz w:val="24"/>
          <w:szCs w:val="24"/>
        </w:rPr>
        <w:t>本项目位于锡林郭勒盟苏尼特右旗，评价基准年为</w:t>
      </w:r>
      <w:r>
        <w:rPr>
          <w:rFonts w:ascii="宋体" w:hAnsi="宋体" w:eastAsia="宋体" w:cs="宋体"/>
          <w:spacing w:val="-38"/>
          <w:sz w:val="24"/>
          <w:szCs w:val="24"/>
        </w:rPr>
        <w:t xml:space="preserve"> </w:t>
      </w:r>
      <w:r>
        <w:rPr>
          <w:rFonts w:ascii="Times New Roman" w:hAnsi="Times New Roman" w:eastAsia="Times New Roman" w:cs="Times New Roman"/>
          <w:spacing w:val="1"/>
          <w:sz w:val="24"/>
          <w:szCs w:val="24"/>
        </w:rPr>
        <w:t xml:space="preserve">2023 </w:t>
      </w:r>
      <w:r>
        <w:rPr>
          <w:rFonts w:ascii="宋体" w:hAnsi="宋体" w:eastAsia="宋体" w:cs="宋体"/>
          <w:spacing w:val="1"/>
          <w:sz w:val="24"/>
          <w:szCs w:val="24"/>
        </w:rPr>
        <w:t>年。根据内蒙古自治区生</w:t>
      </w:r>
      <w:r>
        <w:rPr>
          <w:rFonts w:ascii="宋体" w:hAnsi="宋体" w:eastAsia="宋体" w:cs="宋体"/>
          <w:sz w:val="24"/>
          <w:szCs w:val="24"/>
        </w:rPr>
        <w:t xml:space="preserve"> </w:t>
      </w:r>
      <w:r>
        <w:rPr>
          <w:rFonts w:ascii="宋体" w:hAnsi="宋体" w:eastAsia="宋体" w:cs="宋体"/>
          <w:spacing w:val="-3"/>
          <w:sz w:val="24"/>
          <w:szCs w:val="24"/>
        </w:rPr>
        <w:t>态环境厅发布的《内蒙古自治区生态环境状况公报</w:t>
      </w:r>
      <w:r>
        <w:rPr>
          <w:rFonts w:ascii="宋体" w:hAnsi="宋体" w:eastAsia="宋体" w:cs="宋体"/>
          <w:spacing w:val="-54"/>
          <w:sz w:val="24"/>
          <w:szCs w:val="24"/>
        </w:rPr>
        <w:t xml:space="preserve"> </w:t>
      </w:r>
      <w:r>
        <w:rPr>
          <w:rFonts w:ascii="Times New Roman" w:hAnsi="Times New Roman" w:eastAsia="Times New Roman" w:cs="Times New Roman"/>
          <w:spacing w:val="-3"/>
          <w:sz w:val="24"/>
          <w:szCs w:val="24"/>
        </w:rPr>
        <w:t>2023</w:t>
      </w:r>
      <w:r>
        <w:rPr>
          <w:rFonts w:ascii="宋体" w:hAnsi="宋体" w:eastAsia="宋体" w:cs="宋体"/>
          <w:spacing w:val="-3"/>
          <w:sz w:val="24"/>
          <w:szCs w:val="24"/>
        </w:rPr>
        <w:t>》</w:t>
      </w:r>
      <w:r>
        <w:rPr>
          <w:rFonts w:ascii="Times New Roman" w:hAnsi="Times New Roman" w:eastAsia="Times New Roman" w:cs="Times New Roman"/>
          <w:spacing w:val="-3"/>
          <w:sz w:val="24"/>
          <w:szCs w:val="24"/>
        </w:rPr>
        <w:t>P3“202</w:t>
      </w:r>
      <w:r>
        <w:rPr>
          <w:rFonts w:ascii="Times New Roman" w:hAnsi="Times New Roman" w:eastAsia="Times New Roman" w:cs="Times New Roman"/>
          <w:spacing w:val="-4"/>
          <w:sz w:val="24"/>
          <w:szCs w:val="24"/>
        </w:rPr>
        <w:t xml:space="preserve">3 </w:t>
      </w:r>
      <w:r>
        <w:rPr>
          <w:rFonts w:ascii="宋体" w:hAnsi="宋体" w:eastAsia="宋体" w:cs="宋体"/>
          <w:spacing w:val="-4"/>
          <w:sz w:val="24"/>
          <w:szCs w:val="24"/>
        </w:rPr>
        <w:t>年，全区</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12 </w:t>
      </w:r>
      <w:r>
        <w:rPr>
          <w:rFonts w:ascii="宋体" w:hAnsi="宋体" w:eastAsia="宋体" w:cs="宋体"/>
          <w:spacing w:val="-4"/>
          <w:sz w:val="24"/>
          <w:szCs w:val="24"/>
        </w:rPr>
        <w:t>盟市中，</w:t>
      </w:r>
      <w:r>
        <w:rPr>
          <w:rFonts w:ascii="宋体" w:hAnsi="宋体" w:eastAsia="宋体" w:cs="宋体"/>
          <w:sz w:val="24"/>
          <w:szCs w:val="24"/>
        </w:rPr>
        <w:t xml:space="preserve"> </w:t>
      </w:r>
      <w:r>
        <w:rPr>
          <w:rFonts w:ascii="宋体" w:hAnsi="宋体" w:eastAsia="宋体" w:cs="宋体"/>
          <w:spacing w:val="-3"/>
          <w:sz w:val="24"/>
          <w:szCs w:val="24"/>
        </w:rPr>
        <w:t>除乌海市，其他</w:t>
      </w:r>
      <w:r>
        <w:rPr>
          <w:rFonts w:ascii="宋体" w:hAnsi="宋体" w:eastAsia="宋体" w:cs="宋体"/>
          <w:spacing w:val="-14"/>
          <w:sz w:val="24"/>
          <w:szCs w:val="24"/>
        </w:rPr>
        <w:t xml:space="preserve"> </w:t>
      </w:r>
      <w:r>
        <w:rPr>
          <w:rFonts w:ascii="Times New Roman" w:hAnsi="Times New Roman" w:eastAsia="Times New Roman" w:cs="Times New Roman"/>
          <w:spacing w:val="-3"/>
          <w:sz w:val="24"/>
          <w:szCs w:val="24"/>
        </w:rPr>
        <w:t xml:space="preserve">11 </w:t>
      </w:r>
      <w:r>
        <w:rPr>
          <w:rFonts w:ascii="宋体" w:hAnsi="宋体" w:eastAsia="宋体" w:cs="宋体"/>
          <w:spacing w:val="-3"/>
          <w:sz w:val="24"/>
          <w:szCs w:val="24"/>
        </w:rPr>
        <w:t>个盟市环境空气质量均达标</w:t>
      </w:r>
      <w:r>
        <w:rPr>
          <w:rFonts w:ascii="Times New Roman" w:hAnsi="Times New Roman" w:eastAsia="Times New Roman" w:cs="Times New Roman"/>
          <w:spacing w:val="-3"/>
          <w:sz w:val="24"/>
          <w:szCs w:val="24"/>
        </w:rPr>
        <w:t>”</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，故本项目所在区域为环境空气质量达</w:t>
      </w:r>
      <w:r>
        <w:rPr>
          <w:rFonts w:ascii="宋体" w:hAnsi="宋体" w:eastAsia="宋体" w:cs="宋体"/>
          <w:sz w:val="24"/>
          <w:szCs w:val="24"/>
        </w:rPr>
        <w:t xml:space="preserve"> </w:t>
      </w:r>
      <w:r>
        <w:rPr>
          <w:rFonts w:ascii="宋体" w:hAnsi="宋体" w:eastAsia="宋体" w:cs="宋体"/>
          <w:spacing w:val="-4"/>
          <w:sz w:val="24"/>
          <w:szCs w:val="24"/>
        </w:rPr>
        <w:t>标区。</w:t>
      </w:r>
    </w:p>
    <w:p w14:paraId="12427C20">
      <w:pPr>
        <w:spacing w:before="36" w:line="350" w:lineRule="auto"/>
        <w:ind w:left="8" w:right="61" w:firstLine="480"/>
        <w:jc w:val="both"/>
        <w:rPr>
          <w:rFonts w:ascii="宋体" w:hAnsi="宋体" w:eastAsia="宋体" w:cs="宋体"/>
          <w:sz w:val="24"/>
          <w:szCs w:val="24"/>
        </w:rPr>
      </w:pPr>
      <w:r>
        <w:rPr>
          <w:rFonts w:ascii="宋体" w:hAnsi="宋体" w:eastAsia="宋体" w:cs="宋体"/>
          <w:spacing w:val="-3"/>
          <w:sz w:val="24"/>
          <w:szCs w:val="24"/>
        </w:rPr>
        <w:t>根据公报监测数据，</w:t>
      </w:r>
      <w:r>
        <w:rPr>
          <w:rFonts w:ascii="Times New Roman" w:hAnsi="Times New Roman" w:eastAsia="Times New Roman" w:cs="Times New Roman"/>
          <w:spacing w:val="-3"/>
          <w:sz w:val="24"/>
          <w:szCs w:val="24"/>
        </w:rPr>
        <w:t xml:space="preserve">6 </w:t>
      </w:r>
      <w:r>
        <w:rPr>
          <w:rFonts w:ascii="宋体" w:hAnsi="宋体" w:eastAsia="宋体" w:cs="宋体"/>
          <w:spacing w:val="-3"/>
          <w:sz w:val="24"/>
          <w:szCs w:val="24"/>
        </w:rPr>
        <w:t>项基本污染物中，细颗粒物、可吸入颗粒物</w:t>
      </w:r>
      <w:r>
        <w:rPr>
          <w:rFonts w:ascii="宋体" w:hAnsi="宋体" w:eastAsia="宋体" w:cs="宋体"/>
          <w:spacing w:val="-4"/>
          <w:sz w:val="24"/>
          <w:szCs w:val="24"/>
        </w:rPr>
        <w:t>、</w:t>
      </w:r>
      <w:r>
        <w:rPr>
          <w:rFonts w:ascii="Times New Roman" w:hAnsi="Times New Roman" w:eastAsia="Times New Roman" w:cs="Times New Roman"/>
          <w:spacing w:val="-4"/>
          <w:sz w:val="24"/>
          <w:szCs w:val="24"/>
        </w:rPr>
        <w:t>SO</w:t>
      </w:r>
      <w:r>
        <w:rPr>
          <w:rFonts w:ascii="Times New Roman" w:hAnsi="Times New Roman" w:eastAsia="Times New Roman" w:cs="Times New Roman"/>
          <w:spacing w:val="-4"/>
          <w:position w:val="-1"/>
          <w:sz w:val="15"/>
          <w:szCs w:val="15"/>
        </w:rPr>
        <w:t>2</w:t>
      </w:r>
      <w:r>
        <w:rPr>
          <w:rFonts w:ascii="宋体" w:hAnsi="宋体" w:eastAsia="宋体" w:cs="宋体"/>
          <w:spacing w:val="-4"/>
          <w:sz w:val="24"/>
          <w:szCs w:val="24"/>
        </w:rPr>
        <w:t>、</w:t>
      </w:r>
      <w:r>
        <w:rPr>
          <w:rFonts w:ascii="Times New Roman" w:hAnsi="Times New Roman" w:eastAsia="Times New Roman" w:cs="Times New Roman"/>
          <w:spacing w:val="-4"/>
          <w:sz w:val="24"/>
          <w:szCs w:val="24"/>
        </w:rPr>
        <w:t>NO</w:t>
      </w:r>
      <w:r>
        <w:rPr>
          <w:rFonts w:ascii="Times New Roman" w:hAnsi="Times New Roman" w:eastAsia="Times New Roman" w:cs="Times New Roman"/>
          <w:spacing w:val="-4"/>
          <w:position w:val="-1"/>
          <w:sz w:val="15"/>
          <w:szCs w:val="15"/>
        </w:rPr>
        <w:t>2</w:t>
      </w:r>
      <w:r>
        <w:rPr>
          <w:rFonts w:ascii="Times New Roman" w:hAnsi="Times New Roman" w:eastAsia="Times New Roman" w:cs="Times New Roman"/>
          <w:spacing w:val="10"/>
          <w:w w:val="101"/>
          <w:position w:val="-1"/>
          <w:sz w:val="15"/>
          <w:szCs w:val="15"/>
        </w:rPr>
        <w:t xml:space="preserve"> </w:t>
      </w:r>
      <w:r>
        <w:rPr>
          <w:rFonts w:ascii="宋体" w:hAnsi="宋体" w:eastAsia="宋体" w:cs="宋体"/>
          <w:spacing w:val="-4"/>
          <w:sz w:val="24"/>
          <w:szCs w:val="24"/>
        </w:rPr>
        <w:t>年均</w:t>
      </w:r>
      <w:r>
        <w:rPr>
          <w:rFonts w:ascii="宋体" w:hAnsi="宋体" w:eastAsia="宋体" w:cs="宋体"/>
          <w:sz w:val="24"/>
          <w:szCs w:val="24"/>
        </w:rPr>
        <w:t xml:space="preserve"> </w:t>
      </w:r>
      <w:r>
        <w:rPr>
          <w:rFonts w:ascii="宋体" w:hAnsi="宋体" w:eastAsia="宋体" w:cs="宋体"/>
          <w:spacing w:val="-5"/>
          <w:sz w:val="24"/>
          <w:szCs w:val="24"/>
        </w:rPr>
        <w:t>浓度，</w:t>
      </w:r>
      <w:r>
        <w:rPr>
          <w:rFonts w:ascii="Times New Roman" w:hAnsi="Times New Roman" w:eastAsia="Times New Roman" w:cs="Times New Roman"/>
          <w:spacing w:val="-5"/>
          <w:sz w:val="24"/>
          <w:szCs w:val="24"/>
        </w:rPr>
        <w:t>CO 24</w:t>
      </w:r>
      <w:r>
        <w:rPr>
          <w:rFonts w:ascii="Times New Roman" w:hAnsi="Times New Roman" w:eastAsia="Times New Roman" w:cs="Times New Roman"/>
          <w:spacing w:val="19"/>
          <w:w w:val="101"/>
          <w:sz w:val="24"/>
          <w:szCs w:val="24"/>
        </w:rPr>
        <w:t xml:space="preserve"> </w:t>
      </w:r>
      <w:r>
        <w:rPr>
          <w:rFonts w:ascii="宋体" w:hAnsi="宋体" w:eastAsia="宋体" w:cs="宋体"/>
          <w:spacing w:val="-5"/>
          <w:sz w:val="24"/>
          <w:szCs w:val="24"/>
        </w:rPr>
        <w:t>小时平均第</w:t>
      </w:r>
      <w:r>
        <w:rPr>
          <w:rFonts w:ascii="宋体" w:hAnsi="宋体" w:eastAsia="宋体" w:cs="宋体"/>
          <w:spacing w:val="-51"/>
          <w:sz w:val="24"/>
          <w:szCs w:val="24"/>
        </w:rPr>
        <w:t xml:space="preserve"> </w:t>
      </w:r>
      <w:r>
        <w:rPr>
          <w:rFonts w:ascii="Times New Roman" w:hAnsi="Times New Roman" w:eastAsia="Times New Roman" w:cs="Times New Roman"/>
          <w:spacing w:val="-5"/>
          <w:sz w:val="24"/>
          <w:szCs w:val="24"/>
        </w:rPr>
        <w:t>95</w:t>
      </w:r>
      <w:r>
        <w:rPr>
          <w:rFonts w:ascii="Times New Roman" w:hAnsi="Times New Roman" w:eastAsia="Times New Roman" w:cs="Times New Roman"/>
          <w:spacing w:val="18"/>
          <w:sz w:val="24"/>
          <w:szCs w:val="24"/>
        </w:rPr>
        <w:t xml:space="preserve"> </w:t>
      </w:r>
      <w:r>
        <w:rPr>
          <w:rFonts w:ascii="宋体" w:hAnsi="宋体" w:eastAsia="宋体" w:cs="宋体"/>
          <w:spacing w:val="-5"/>
          <w:sz w:val="24"/>
          <w:szCs w:val="24"/>
        </w:rPr>
        <w:t>百分位数、</w:t>
      </w:r>
      <w:r>
        <w:rPr>
          <w:rFonts w:ascii="Times New Roman" w:hAnsi="Times New Roman" w:eastAsia="Times New Roman" w:cs="Times New Roman"/>
          <w:spacing w:val="-5"/>
          <w:sz w:val="24"/>
          <w:szCs w:val="24"/>
        </w:rPr>
        <w:t>O</w:t>
      </w:r>
      <w:r>
        <w:rPr>
          <w:rFonts w:ascii="Times New Roman" w:hAnsi="Times New Roman" w:eastAsia="Times New Roman" w:cs="Times New Roman"/>
          <w:spacing w:val="-5"/>
          <w:position w:val="-1"/>
          <w:sz w:val="15"/>
          <w:szCs w:val="15"/>
        </w:rPr>
        <w:t xml:space="preserve">3  </w:t>
      </w:r>
      <w:r>
        <w:rPr>
          <w:rFonts w:ascii="宋体" w:hAnsi="宋体" w:eastAsia="宋体" w:cs="宋体"/>
          <w:spacing w:val="-5"/>
          <w:sz w:val="24"/>
          <w:szCs w:val="24"/>
        </w:rPr>
        <w:t>日最大</w:t>
      </w:r>
      <w:r>
        <w:rPr>
          <w:rFonts w:ascii="宋体" w:hAnsi="宋体" w:eastAsia="宋体" w:cs="宋体"/>
          <w:spacing w:val="-45"/>
          <w:sz w:val="24"/>
          <w:szCs w:val="24"/>
        </w:rPr>
        <w:t xml:space="preserve"> </w:t>
      </w:r>
      <w:r>
        <w:rPr>
          <w:rFonts w:ascii="Times New Roman" w:hAnsi="Times New Roman" w:eastAsia="Times New Roman" w:cs="Times New Roman"/>
          <w:spacing w:val="-5"/>
          <w:sz w:val="24"/>
          <w:szCs w:val="24"/>
        </w:rPr>
        <w:t>8</w:t>
      </w:r>
      <w:r>
        <w:rPr>
          <w:rFonts w:ascii="Times New Roman" w:hAnsi="Times New Roman" w:eastAsia="Times New Roman" w:cs="Times New Roman"/>
          <w:spacing w:val="15"/>
          <w:w w:val="101"/>
          <w:sz w:val="24"/>
          <w:szCs w:val="24"/>
        </w:rPr>
        <w:t xml:space="preserve"> </w:t>
      </w:r>
      <w:r>
        <w:rPr>
          <w:rFonts w:ascii="宋体" w:hAnsi="宋体" w:eastAsia="宋体" w:cs="宋体"/>
          <w:spacing w:val="-5"/>
          <w:sz w:val="24"/>
          <w:szCs w:val="24"/>
        </w:rPr>
        <w:t>小时平均第</w:t>
      </w:r>
      <w:r>
        <w:rPr>
          <w:rFonts w:ascii="宋体" w:hAnsi="宋体" w:eastAsia="宋体" w:cs="宋体"/>
          <w:spacing w:val="-51"/>
          <w:sz w:val="24"/>
          <w:szCs w:val="24"/>
        </w:rPr>
        <w:t xml:space="preserve"> </w:t>
      </w:r>
      <w:r>
        <w:rPr>
          <w:rFonts w:ascii="Times New Roman" w:hAnsi="Times New Roman" w:eastAsia="Times New Roman" w:cs="Times New Roman"/>
          <w:spacing w:val="-5"/>
          <w:sz w:val="24"/>
          <w:szCs w:val="24"/>
        </w:rPr>
        <w:t>90</w:t>
      </w:r>
      <w:r>
        <w:rPr>
          <w:rFonts w:ascii="Times New Roman" w:hAnsi="Times New Roman" w:eastAsia="Times New Roman" w:cs="Times New Roman"/>
          <w:spacing w:val="18"/>
          <w:w w:val="101"/>
          <w:sz w:val="24"/>
          <w:szCs w:val="24"/>
        </w:rPr>
        <w:t xml:space="preserve"> </w:t>
      </w:r>
      <w:r>
        <w:rPr>
          <w:rFonts w:ascii="宋体" w:hAnsi="宋体" w:eastAsia="宋体" w:cs="宋体"/>
          <w:spacing w:val="-5"/>
          <w:sz w:val="24"/>
          <w:szCs w:val="24"/>
        </w:rPr>
        <w:t>百分位数，具体浓度</w:t>
      </w:r>
      <w:r>
        <w:rPr>
          <w:rFonts w:ascii="宋体" w:hAnsi="宋体" w:eastAsia="宋体" w:cs="宋体"/>
          <w:sz w:val="24"/>
          <w:szCs w:val="24"/>
        </w:rPr>
        <w:t xml:space="preserve"> </w:t>
      </w:r>
      <w:r>
        <w:rPr>
          <w:rFonts w:ascii="宋体" w:hAnsi="宋体" w:eastAsia="宋体" w:cs="宋体"/>
          <w:spacing w:val="-2"/>
          <w:sz w:val="24"/>
          <w:szCs w:val="24"/>
        </w:rPr>
        <w:t>值结果见表</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3.3-1</w:t>
      </w:r>
      <w:r>
        <w:rPr>
          <w:rFonts w:ascii="宋体" w:hAnsi="宋体" w:eastAsia="宋体" w:cs="宋体"/>
          <w:spacing w:val="-2"/>
          <w:sz w:val="24"/>
          <w:szCs w:val="24"/>
        </w:rPr>
        <w:t>。</w:t>
      </w:r>
    </w:p>
    <w:p w14:paraId="573C92EB">
      <w:pPr>
        <w:spacing w:before="28" w:line="221" w:lineRule="auto"/>
        <w:ind w:left="1506"/>
        <w:rPr>
          <w:rFonts w:ascii="Times New Roman" w:hAnsi="Times New Roman" w:eastAsia="Times New Roman" w:cs="Times New Roman"/>
          <w:sz w:val="13"/>
          <w:szCs w:val="13"/>
        </w:rPr>
      </w:pPr>
      <w:r>
        <w:rPr>
          <w:rFonts w:ascii="宋体" w:hAnsi="宋体" w:eastAsia="宋体" w:cs="宋体"/>
          <w:b/>
          <w:bCs/>
          <w:spacing w:val="6"/>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6"/>
          <w:sz w:val="20"/>
          <w:szCs w:val="20"/>
        </w:rPr>
        <w:t xml:space="preserve">3.3-1        </w:t>
      </w:r>
      <w:r>
        <w:rPr>
          <w:rFonts w:ascii="宋体" w:hAnsi="宋体" w:eastAsia="宋体" w:cs="宋体"/>
          <w:b/>
          <w:bCs/>
          <w:spacing w:val="6"/>
          <w:sz w:val="20"/>
          <w:szCs w:val="20"/>
        </w:rPr>
        <w:t>锡林郭勒盟环境空气质量达标区判定表</w:t>
      </w:r>
      <w:r>
        <w:rPr>
          <w:rFonts w:ascii="宋体" w:hAnsi="宋体" w:eastAsia="宋体" w:cs="宋体"/>
          <w:spacing w:val="6"/>
          <w:sz w:val="20"/>
          <w:szCs w:val="20"/>
        </w:rPr>
        <w:t xml:space="preserve">    </w:t>
      </w:r>
      <w:r>
        <w:rPr>
          <w:rFonts w:ascii="宋体" w:hAnsi="宋体" w:eastAsia="宋体" w:cs="宋体"/>
          <w:b/>
          <w:bCs/>
          <w:spacing w:val="6"/>
          <w:sz w:val="20"/>
          <w:szCs w:val="20"/>
        </w:rPr>
        <w:t>单位</w:t>
      </w:r>
      <w:r>
        <w:rPr>
          <w:rFonts w:ascii="Times New Roman" w:hAnsi="Times New Roman" w:eastAsia="Times New Roman" w:cs="Times New Roman"/>
          <w:b/>
          <w:bCs/>
          <w:spacing w:val="5"/>
          <w:sz w:val="20"/>
          <w:szCs w:val="20"/>
        </w:rPr>
        <w:t>μg/m</w:t>
      </w:r>
      <w:r>
        <w:rPr>
          <w:rFonts w:ascii="Times New Roman" w:hAnsi="Times New Roman" w:eastAsia="Times New Roman" w:cs="Times New Roman"/>
          <w:b/>
          <w:bCs/>
          <w:spacing w:val="5"/>
          <w:position w:val="6"/>
          <w:sz w:val="13"/>
          <w:szCs w:val="13"/>
        </w:rPr>
        <w:t>3</w:t>
      </w:r>
    </w:p>
    <w:p w14:paraId="1CC3DF35">
      <w:pPr>
        <w:spacing w:line="139" w:lineRule="exact"/>
      </w:pPr>
    </w:p>
    <w:tbl>
      <w:tblPr>
        <w:tblStyle w:val="5"/>
        <w:tblW w:w="907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86"/>
        <w:gridCol w:w="2853"/>
        <w:gridCol w:w="1336"/>
        <w:gridCol w:w="1478"/>
        <w:gridCol w:w="1059"/>
        <w:gridCol w:w="1059"/>
      </w:tblGrid>
      <w:tr w14:paraId="655290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1286" w:type="dxa"/>
            <w:tcBorders>
              <w:top w:val="single" w:color="000000" w:sz="10" w:space="0"/>
              <w:left w:val="nil"/>
            </w:tcBorders>
            <w:vAlign w:val="top"/>
          </w:tcPr>
          <w:p w14:paraId="55FB66CF">
            <w:pPr>
              <w:pStyle w:val="6"/>
              <w:spacing w:before="55" w:line="228" w:lineRule="auto"/>
              <w:ind w:left="337"/>
              <w:rPr>
                <w:sz w:val="20"/>
                <w:szCs w:val="20"/>
              </w:rPr>
            </w:pPr>
            <w:r>
              <w:rPr>
                <w:spacing w:val="6"/>
                <w:sz w:val="20"/>
                <w:szCs w:val="20"/>
              </w:rPr>
              <w:t>污染物</w:t>
            </w:r>
          </w:p>
        </w:tc>
        <w:tc>
          <w:tcPr>
            <w:tcW w:w="2853" w:type="dxa"/>
            <w:tcBorders>
              <w:top w:val="single" w:color="000000" w:sz="10" w:space="0"/>
            </w:tcBorders>
            <w:vAlign w:val="top"/>
          </w:tcPr>
          <w:p w14:paraId="14678EBF">
            <w:pPr>
              <w:pStyle w:val="6"/>
              <w:spacing w:before="70" w:line="216" w:lineRule="auto"/>
              <w:ind w:left="908"/>
              <w:rPr>
                <w:sz w:val="20"/>
                <w:szCs w:val="20"/>
              </w:rPr>
            </w:pPr>
            <w:r>
              <w:rPr>
                <w:spacing w:val="7"/>
                <w:sz w:val="20"/>
                <w:szCs w:val="20"/>
              </w:rPr>
              <w:t>年评价指标</w:t>
            </w:r>
          </w:p>
        </w:tc>
        <w:tc>
          <w:tcPr>
            <w:tcW w:w="1336" w:type="dxa"/>
            <w:tcBorders>
              <w:top w:val="single" w:color="000000" w:sz="10" w:space="0"/>
            </w:tcBorders>
            <w:vAlign w:val="top"/>
          </w:tcPr>
          <w:p w14:paraId="0B9043F8">
            <w:pPr>
              <w:pStyle w:val="6"/>
              <w:spacing w:before="70" w:line="216" w:lineRule="auto"/>
              <w:jc w:val="right"/>
              <w:rPr>
                <w:sz w:val="20"/>
                <w:szCs w:val="20"/>
              </w:rPr>
            </w:pPr>
            <w:r>
              <w:rPr>
                <w:spacing w:val="1"/>
                <w:sz w:val="20"/>
                <w:szCs w:val="20"/>
              </w:rPr>
              <w:t>浓度</w:t>
            </w:r>
            <w:r>
              <w:rPr>
                <w:spacing w:val="26"/>
                <w:sz w:val="20"/>
                <w:szCs w:val="20"/>
              </w:rPr>
              <w:t xml:space="preserve"> </w:t>
            </w:r>
            <w:r>
              <w:rPr>
                <w:spacing w:val="1"/>
                <w:sz w:val="20"/>
                <w:szCs w:val="20"/>
              </w:rPr>
              <w:t>(</w:t>
            </w:r>
            <w:r>
              <w:rPr>
                <w:rFonts w:ascii="Times New Roman" w:hAnsi="Times New Roman" w:eastAsia="Times New Roman" w:cs="Times New Roman"/>
                <w:spacing w:val="1"/>
                <w:sz w:val="20"/>
                <w:szCs w:val="20"/>
              </w:rPr>
              <w:t>μg/m</w:t>
            </w:r>
            <w:r>
              <w:rPr>
                <w:rFonts w:ascii="Times New Roman" w:hAnsi="Times New Roman" w:eastAsia="Times New Roman" w:cs="Times New Roman"/>
                <w:spacing w:val="1"/>
                <w:position w:val="6"/>
                <w:sz w:val="13"/>
                <w:szCs w:val="13"/>
              </w:rPr>
              <w:t>3</w:t>
            </w:r>
            <w:r>
              <w:rPr>
                <w:spacing w:val="1"/>
                <w:sz w:val="20"/>
                <w:szCs w:val="20"/>
              </w:rPr>
              <w:t>）</w:t>
            </w:r>
          </w:p>
        </w:tc>
        <w:tc>
          <w:tcPr>
            <w:tcW w:w="1478" w:type="dxa"/>
            <w:tcBorders>
              <w:top w:val="single" w:color="000000" w:sz="10" w:space="0"/>
            </w:tcBorders>
            <w:vAlign w:val="top"/>
          </w:tcPr>
          <w:p w14:paraId="54CBFC10">
            <w:pPr>
              <w:pStyle w:val="6"/>
              <w:spacing w:before="70" w:line="216" w:lineRule="auto"/>
              <w:jc w:val="right"/>
              <w:rPr>
                <w:sz w:val="20"/>
                <w:szCs w:val="20"/>
              </w:rPr>
            </w:pPr>
            <w:r>
              <w:rPr>
                <w:spacing w:val="-4"/>
                <w:sz w:val="20"/>
                <w:szCs w:val="20"/>
              </w:rPr>
              <w:t>标准值</w:t>
            </w:r>
            <w:r>
              <w:rPr>
                <w:spacing w:val="18"/>
                <w:sz w:val="20"/>
                <w:szCs w:val="20"/>
              </w:rPr>
              <w:t xml:space="preserve"> </w:t>
            </w:r>
            <w:r>
              <w:rPr>
                <w:spacing w:val="-4"/>
                <w:sz w:val="20"/>
                <w:szCs w:val="20"/>
              </w:rPr>
              <w:t>(</w:t>
            </w:r>
            <w:r>
              <w:rPr>
                <w:rFonts w:ascii="Times New Roman" w:hAnsi="Times New Roman" w:eastAsia="Times New Roman" w:cs="Times New Roman"/>
                <w:spacing w:val="-4"/>
                <w:sz w:val="20"/>
                <w:szCs w:val="20"/>
              </w:rPr>
              <w:t>μg/m</w:t>
            </w:r>
            <w:r>
              <w:rPr>
                <w:rFonts w:ascii="Times New Roman" w:hAnsi="Times New Roman" w:eastAsia="Times New Roman" w:cs="Times New Roman"/>
                <w:spacing w:val="-4"/>
                <w:position w:val="6"/>
                <w:sz w:val="13"/>
                <w:szCs w:val="13"/>
              </w:rPr>
              <w:t>3</w:t>
            </w:r>
            <w:r>
              <w:rPr>
                <w:spacing w:val="-4"/>
                <w:sz w:val="20"/>
                <w:szCs w:val="20"/>
              </w:rPr>
              <w:t>）</w:t>
            </w:r>
          </w:p>
        </w:tc>
        <w:tc>
          <w:tcPr>
            <w:tcW w:w="1059" w:type="dxa"/>
            <w:tcBorders>
              <w:top w:val="single" w:color="000000" w:sz="10" w:space="0"/>
            </w:tcBorders>
            <w:vAlign w:val="top"/>
          </w:tcPr>
          <w:p w14:paraId="53F1066F">
            <w:pPr>
              <w:pStyle w:val="6"/>
              <w:spacing w:before="54" w:line="228" w:lineRule="auto"/>
              <w:ind w:left="139"/>
              <w:rPr>
                <w:rFonts w:ascii="Times New Roman" w:hAnsi="Times New Roman" w:eastAsia="Times New Roman" w:cs="Times New Roman"/>
                <w:sz w:val="20"/>
                <w:szCs w:val="20"/>
              </w:rPr>
            </w:pPr>
            <w:r>
              <w:rPr>
                <w:spacing w:val="-1"/>
                <w:sz w:val="20"/>
                <w:szCs w:val="20"/>
              </w:rPr>
              <w:t>占标率</w:t>
            </w:r>
            <w:r>
              <w:rPr>
                <w:rFonts w:ascii="Times New Roman" w:hAnsi="Times New Roman" w:eastAsia="Times New Roman" w:cs="Times New Roman"/>
                <w:spacing w:val="-1"/>
                <w:sz w:val="20"/>
                <w:szCs w:val="20"/>
              </w:rPr>
              <w:t>/%</w:t>
            </w:r>
          </w:p>
        </w:tc>
        <w:tc>
          <w:tcPr>
            <w:tcW w:w="1059" w:type="dxa"/>
            <w:tcBorders>
              <w:top w:val="single" w:color="000000" w:sz="10" w:space="0"/>
              <w:right w:val="nil"/>
            </w:tcBorders>
            <w:vAlign w:val="top"/>
          </w:tcPr>
          <w:p w14:paraId="268962E8">
            <w:pPr>
              <w:pStyle w:val="6"/>
              <w:spacing w:before="55" w:line="228" w:lineRule="auto"/>
              <w:ind w:left="115"/>
              <w:rPr>
                <w:sz w:val="20"/>
                <w:szCs w:val="20"/>
              </w:rPr>
            </w:pPr>
            <w:r>
              <w:rPr>
                <w:spacing w:val="7"/>
                <w:sz w:val="20"/>
                <w:szCs w:val="20"/>
              </w:rPr>
              <w:t>达标情况</w:t>
            </w:r>
          </w:p>
        </w:tc>
      </w:tr>
      <w:tr w14:paraId="477C2D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286" w:type="dxa"/>
            <w:tcBorders>
              <w:left w:val="nil"/>
            </w:tcBorders>
            <w:vAlign w:val="top"/>
          </w:tcPr>
          <w:p w14:paraId="39BD7AAB">
            <w:pPr>
              <w:spacing w:before="98" w:line="202" w:lineRule="auto"/>
              <w:ind w:left="487"/>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2853" w:type="dxa"/>
            <w:vAlign w:val="top"/>
          </w:tcPr>
          <w:p w14:paraId="35E8A3D9">
            <w:pPr>
              <w:pStyle w:val="6"/>
              <w:spacing w:before="79" w:line="224" w:lineRule="auto"/>
              <w:ind w:left="699"/>
              <w:rPr>
                <w:sz w:val="20"/>
                <w:szCs w:val="20"/>
              </w:rPr>
            </w:pPr>
            <w:r>
              <w:rPr>
                <w:spacing w:val="8"/>
                <w:sz w:val="20"/>
                <w:szCs w:val="20"/>
              </w:rPr>
              <w:t>年平均质量浓度</w:t>
            </w:r>
          </w:p>
        </w:tc>
        <w:tc>
          <w:tcPr>
            <w:tcW w:w="1336" w:type="dxa"/>
            <w:vAlign w:val="top"/>
          </w:tcPr>
          <w:p w14:paraId="6A7A2F90">
            <w:pPr>
              <w:spacing w:before="115" w:line="195" w:lineRule="auto"/>
              <w:ind w:left="622"/>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1478" w:type="dxa"/>
            <w:vAlign w:val="top"/>
          </w:tcPr>
          <w:p w14:paraId="258EC97A">
            <w:pPr>
              <w:spacing w:before="115" w:line="195" w:lineRule="auto"/>
              <w:ind w:left="640"/>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059" w:type="dxa"/>
            <w:vAlign w:val="top"/>
          </w:tcPr>
          <w:p w14:paraId="08189832">
            <w:pPr>
              <w:spacing w:before="165" w:line="163"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15.00</w:t>
            </w:r>
          </w:p>
        </w:tc>
        <w:tc>
          <w:tcPr>
            <w:tcW w:w="1059" w:type="dxa"/>
            <w:vMerge w:val="restart"/>
            <w:tcBorders>
              <w:bottom w:val="nil"/>
              <w:right w:val="nil"/>
            </w:tcBorders>
            <w:vAlign w:val="top"/>
          </w:tcPr>
          <w:p w14:paraId="0051178A">
            <w:pPr>
              <w:spacing w:line="315" w:lineRule="auto"/>
              <w:rPr>
                <w:rFonts w:ascii="Arial"/>
                <w:sz w:val="21"/>
              </w:rPr>
            </w:pPr>
          </w:p>
          <w:p w14:paraId="4C5AE519">
            <w:pPr>
              <w:spacing w:line="316" w:lineRule="auto"/>
              <w:rPr>
                <w:rFonts w:ascii="Arial"/>
                <w:sz w:val="21"/>
              </w:rPr>
            </w:pPr>
          </w:p>
          <w:p w14:paraId="1B02D8D7">
            <w:pPr>
              <w:spacing w:line="316" w:lineRule="auto"/>
              <w:rPr>
                <w:rFonts w:ascii="Arial"/>
                <w:sz w:val="21"/>
              </w:rPr>
            </w:pPr>
          </w:p>
          <w:p w14:paraId="55D4F185">
            <w:pPr>
              <w:pStyle w:val="6"/>
              <w:spacing w:before="65" w:line="228" w:lineRule="auto"/>
              <w:ind w:left="324"/>
              <w:rPr>
                <w:sz w:val="20"/>
                <w:szCs w:val="20"/>
              </w:rPr>
            </w:pPr>
            <w:r>
              <w:rPr>
                <w:spacing w:val="5"/>
                <w:sz w:val="20"/>
                <w:szCs w:val="20"/>
              </w:rPr>
              <w:t>达标</w:t>
            </w:r>
          </w:p>
        </w:tc>
      </w:tr>
      <w:tr w14:paraId="4BA976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1286" w:type="dxa"/>
            <w:tcBorders>
              <w:left w:val="nil"/>
            </w:tcBorders>
            <w:vAlign w:val="top"/>
          </w:tcPr>
          <w:p w14:paraId="0BCF7C80">
            <w:pPr>
              <w:spacing w:before="102" w:line="202" w:lineRule="auto"/>
              <w:ind w:left="452"/>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2</w:t>
            </w:r>
          </w:p>
        </w:tc>
        <w:tc>
          <w:tcPr>
            <w:tcW w:w="2853" w:type="dxa"/>
            <w:vAlign w:val="top"/>
          </w:tcPr>
          <w:p w14:paraId="4E45AFE8">
            <w:pPr>
              <w:pStyle w:val="6"/>
              <w:spacing w:before="80" w:line="222" w:lineRule="auto"/>
              <w:ind w:left="699"/>
              <w:rPr>
                <w:sz w:val="20"/>
                <w:szCs w:val="20"/>
              </w:rPr>
            </w:pPr>
            <w:r>
              <w:rPr>
                <w:spacing w:val="8"/>
                <w:sz w:val="20"/>
                <w:szCs w:val="20"/>
              </w:rPr>
              <w:t>年平均质量浓度</w:t>
            </w:r>
          </w:p>
        </w:tc>
        <w:tc>
          <w:tcPr>
            <w:tcW w:w="1336" w:type="dxa"/>
            <w:vAlign w:val="top"/>
          </w:tcPr>
          <w:p w14:paraId="7A39DA61">
            <w:pPr>
              <w:spacing w:before="116" w:line="195" w:lineRule="auto"/>
              <w:ind w:left="585"/>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478" w:type="dxa"/>
            <w:vAlign w:val="top"/>
          </w:tcPr>
          <w:p w14:paraId="2F36B805">
            <w:pPr>
              <w:spacing w:before="116" w:line="195" w:lineRule="auto"/>
              <w:ind w:left="6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1059" w:type="dxa"/>
            <w:vAlign w:val="top"/>
          </w:tcPr>
          <w:p w14:paraId="41FB7F79">
            <w:pPr>
              <w:spacing w:before="169" w:line="158"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25.00</w:t>
            </w:r>
          </w:p>
        </w:tc>
        <w:tc>
          <w:tcPr>
            <w:tcW w:w="1059" w:type="dxa"/>
            <w:vMerge w:val="continue"/>
            <w:tcBorders>
              <w:top w:val="nil"/>
              <w:bottom w:val="nil"/>
              <w:right w:val="nil"/>
            </w:tcBorders>
            <w:vAlign w:val="top"/>
          </w:tcPr>
          <w:p w14:paraId="112D4146">
            <w:pPr>
              <w:rPr>
                <w:rFonts w:ascii="Arial"/>
                <w:sz w:val="21"/>
              </w:rPr>
            </w:pPr>
          </w:p>
        </w:tc>
      </w:tr>
      <w:tr w14:paraId="3695BA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1286" w:type="dxa"/>
            <w:tcBorders>
              <w:left w:val="nil"/>
            </w:tcBorders>
            <w:vAlign w:val="top"/>
          </w:tcPr>
          <w:p w14:paraId="335D0708">
            <w:pPr>
              <w:spacing w:before="109" w:line="199" w:lineRule="auto"/>
              <w:ind w:left="424"/>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8"/>
                <w:position w:val="-1"/>
                <w:sz w:val="13"/>
                <w:szCs w:val="13"/>
              </w:rPr>
              <w:t>10</w:t>
            </w:r>
          </w:p>
        </w:tc>
        <w:tc>
          <w:tcPr>
            <w:tcW w:w="2853" w:type="dxa"/>
            <w:vAlign w:val="top"/>
          </w:tcPr>
          <w:p w14:paraId="21F66DC7">
            <w:pPr>
              <w:pStyle w:val="6"/>
              <w:spacing w:before="85" w:line="217" w:lineRule="auto"/>
              <w:ind w:left="699"/>
              <w:rPr>
                <w:sz w:val="20"/>
                <w:szCs w:val="20"/>
              </w:rPr>
            </w:pPr>
            <w:r>
              <w:rPr>
                <w:spacing w:val="8"/>
                <w:sz w:val="20"/>
                <w:szCs w:val="20"/>
              </w:rPr>
              <w:t>年平均质量浓度</w:t>
            </w:r>
          </w:p>
        </w:tc>
        <w:tc>
          <w:tcPr>
            <w:tcW w:w="1336" w:type="dxa"/>
            <w:vAlign w:val="top"/>
          </w:tcPr>
          <w:p w14:paraId="4E1647BA">
            <w:pPr>
              <w:spacing w:before="121" w:line="195" w:lineRule="auto"/>
              <w:ind w:left="571"/>
              <w:rPr>
                <w:rFonts w:ascii="Times New Roman" w:hAnsi="Times New Roman" w:eastAsia="Times New Roman" w:cs="Times New Roman"/>
                <w:sz w:val="20"/>
                <w:szCs w:val="20"/>
              </w:rPr>
            </w:pPr>
            <w:r>
              <w:rPr>
                <w:rFonts w:ascii="Times New Roman" w:hAnsi="Times New Roman" w:eastAsia="Times New Roman" w:cs="Times New Roman"/>
                <w:sz w:val="20"/>
                <w:szCs w:val="20"/>
              </w:rPr>
              <w:t>51</w:t>
            </w:r>
          </w:p>
        </w:tc>
        <w:tc>
          <w:tcPr>
            <w:tcW w:w="1478" w:type="dxa"/>
            <w:vAlign w:val="top"/>
          </w:tcPr>
          <w:p w14:paraId="10611B7F">
            <w:pPr>
              <w:spacing w:before="121" w:line="195" w:lineRule="auto"/>
              <w:ind w:left="6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1059" w:type="dxa"/>
            <w:vAlign w:val="top"/>
          </w:tcPr>
          <w:p w14:paraId="50E485C9">
            <w:pPr>
              <w:spacing w:before="174" w:line="146" w:lineRule="exact"/>
              <w:ind w:left="299"/>
              <w:rPr>
                <w:rFonts w:ascii="Times New Roman" w:hAnsi="Times New Roman" w:eastAsia="Times New Roman" w:cs="Times New Roman"/>
                <w:sz w:val="20"/>
                <w:szCs w:val="20"/>
              </w:rPr>
            </w:pPr>
            <w:r>
              <w:rPr>
                <w:rFonts w:ascii="Times New Roman" w:hAnsi="Times New Roman" w:eastAsia="Times New Roman" w:cs="Times New Roman"/>
                <w:spacing w:val="3"/>
                <w:position w:val="-2"/>
                <w:sz w:val="20"/>
                <w:szCs w:val="20"/>
              </w:rPr>
              <w:t>72.86</w:t>
            </w:r>
          </w:p>
        </w:tc>
        <w:tc>
          <w:tcPr>
            <w:tcW w:w="1059" w:type="dxa"/>
            <w:vMerge w:val="continue"/>
            <w:tcBorders>
              <w:top w:val="nil"/>
              <w:bottom w:val="nil"/>
              <w:right w:val="nil"/>
            </w:tcBorders>
            <w:vAlign w:val="top"/>
          </w:tcPr>
          <w:p w14:paraId="4E0E24D0">
            <w:pPr>
              <w:rPr>
                <w:rFonts w:ascii="Arial"/>
                <w:sz w:val="21"/>
              </w:rPr>
            </w:pPr>
          </w:p>
        </w:tc>
      </w:tr>
      <w:tr w14:paraId="03C2C3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286" w:type="dxa"/>
            <w:tcBorders>
              <w:left w:val="nil"/>
            </w:tcBorders>
            <w:vAlign w:val="top"/>
          </w:tcPr>
          <w:p w14:paraId="68A04342">
            <w:pPr>
              <w:spacing w:before="112" w:line="199" w:lineRule="auto"/>
              <w:ind w:left="408"/>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6"/>
                <w:position w:val="-1"/>
                <w:sz w:val="13"/>
                <w:szCs w:val="13"/>
              </w:rPr>
              <w:t>2.5</w:t>
            </w:r>
          </w:p>
        </w:tc>
        <w:tc>
          <w:tcPr>
            <w:tcW w:w="2853" w:type="dxa"/>
            <w:vAlign w:val="top"/>
          </w:tcPr>
          <w:p w14:paraId="36DA6D91">
            <w:pPr>
              <w:pStyle w:val="6"/>
              <w:spacing w:before="90" w:line="214" w:lineRule="auto"/>
              <w:ind w:left="699"/>
              <w:rPr>
                <w:sz w:val="20"/>
                <w:szCs w:val="20"/>
              </w:rPr>
            </w:pPr>
            <w:r>
              <w:rPr>
                <w:spacing w:val="8"/>
                <w:sz w:val="20"/>
                <w:szCs w:val="20"/>
              </w:rPr>
              <w:t>年平均质量浓度</w:t>
            </w:r>
          </w:p>
        </w:tc>
        <w:tc>
          <w:tcPr>
            <w:tcW w:w="1336" w:type="dxa"/>
            <w:vAlign w:val="top"/>
          </w:tcPr>
          <w:p w14:paraId="60931042">
            <w:pPr>
              <w:spacing w:before="126" w:line="195" w:lineRule="auto"/>
              <w:ind w:left="585"/>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1478" w:type="dxa"/>
            <w:vAlign w:val="top"/>
          </w:tcPr>
          <w:p w14:paraId="46DE1D46">
            <w:pPr>
              <w:spacing w:before="126" w:line="195" w:lineRule="auto"/>
              <w:ind w:left="640"/>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1059" w:type="dxa"/>
            <w:vAlign w:val="top"/>
          </w:tcPr>
          <w:p w14:paraId="29599B84">
            <w:pPr>
              <w:spacing w:before="176" w:line="146" w:lineRule="exact"/>
              <w:ind w:left="300"/>
              <w:rPr>
                <w:rFonts w:ascii="Times New Roman" w:hAnsi="Times New Roman" w:eastAsia="Times New Roman" w:cs="Times New Roman"/>
                <w:sz w:val="20"/>
                <w:szCs w:val="20"/>
              </w:rPr>
            </w:pPr>
            <w:r>
              <w:rPr>
                <w:rFonts w:ascii="Times New Roman" w:hAnsi="Times New Roman" w:eastAsia="Times New Roman" w:cs="Times New Roman"/>
                <w:spacing w:val="3"/>
                <w:position w:val="-2"/>
                <w:sz w:val="20"/>
                <w:szCs w:val="20"/>
              </w:rPr>
              <w:t>34.29</w:t>
            </w:r>
          </w:p>
        </w:tc>
        <w:tc>
          <w:tcPr>
            <w:tcW w:w="1059" w:type="dxa"/>
            <w:vMerge w:val="continue"/>
            <w:tcBorders>
              <w:top w:val="nil"/>
              <w:bottom w:val="nil"/>
              <w:right w:val="nil"/>
            </w:tcBorders>
            <w:vAlign w:val="top"/>
          </w:tcPr>
          <w:p w14:paraId="1AA81B0C">
            <w:pPr>
              <w:rPr>
                <w:rFonts w:ascii="Arial"/>
                <w:sz w:val="21"/>
              </w:rPr>
            </w:pPr>
          </w:p>
        </w:tc>
      </w:tr>
      <w:tr w14:paraId="18D51F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286" w:type="dxa"/>
            <w:tcBorders>
              <w:left w:val="nil"/>
            </w:tcBorders>
            <w:vAlign w:val="top"/>
          </w:tcPr>
          <w:p w14:paraId="1FF44BBF">
            <w:pPr>
              <w:spacing w:before="113" w:line="195" w:lineRule="auto"/>
              <w:ind w:left="50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CO</w:t>
            </w:r>
          </w:p>
        </w:tc>
        <w:tc>
          <w:tcPr>
            <w:tcW w:w="2853" w:type="dxa"/>
            <w:vAlign w:val="top"/>
          </w:tcPr>
          <w:p w14:paraId="7365D0A0">
            <w:pPr>
              <w:pStyle w:val="6"/>
              <w:spacing w:before="91" w:line="213" w:lineRule="auto"/>
              <w:ind w:left="434"/>
              <w:rPr>
                <w:sz w:val="20"/>
                <w:szCs w:val="20"/>
              </w:rPr>
            </w:pPr>
            <w:r>
              <w:rPr>
                <w:spacing w:val="5"/>
                <w:sz w:val="20"/>
                <w:szCs w:val="20"/>
              </w:rPr>
              <w:t>第</w:t>
            </w:r>
            <w:r>
              <w:rPr>
                <w:spacing w:val="-34"/>
                <w:sz w:val="20"/>
                <w:szCs w:val="20"/>
              </w:rPr>
              <w:t xml:space="preserve"> </w:t>
            </w:r>
            <w:r>
              <w:rPr>
                <w:rFonts w:ascii="Times New Roman" w:hAnsi="Times New Roman" w:eastAsia="Times New Roman" w:cs="Times New Roman"/>
                <w:spacing w:val="5"/>
                <w:sz w:val="20"/>
                <w:szCs w:val="20"/>
              </w:rPr>
              <w:t>95</w:t>
            </w:r>
            <w:r>
              <w:rPr>
                <w:rFonts w:ascii="Times New Roman" w:hAnsi="Times New Roman" w:eastAsia="Times New Roman" w:cs="Times New Roman"/>
                <w:spacing w:val="19"/>
                <w:sz w:val="20"/>
                <w:szCs w:val="20"/>
              </w:rPr>
              <w:t xml:space="preserve"> </w:t>
            </w:r>
            <w:r>
              <w:rPr>
                <w:spacing w:val="5"/>
                <w:sz w:val="20"/>
                <w:szCs w:val="20"/>
              </w:rPr>
              <w:t>百分位数日平均</w:t>
            </w:r>
          </w:p>
        </w:tc>
        <w:tc>
          <w:tcPr>
            <w:tcW w:w="1336" w:type="dxa"/>
            <w:vAlign w:val="top"/>
          </w:tcPr>
          <w:p w14:paraId="0D107355">
            <w:pPr>
              <w:spacing w:before="127" w:line="195" w:lineRule="auto"/>
              <w:ind w:left="51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400</w:t>
            </w:r>
          </w:p>
        </w:tc>
        <w:tc>
          <w:tcPr>
            <w:tcW w:w="1478" w:type="dxa"/>
            <w:vAlign w:val="top"/>
          </w:tcPr>
          <w:p w14:paraId="41D3856F">
            <w:pPr>
              <w:spacing w:before="127" w:line="195" w:lineRule="auto"/>
              <w:ind w:left="52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4000</w:t>
            </w:r>
          </w:p>
        </w:tc>
        <w:tc>
          <w:tcPr>
            <w:tcW w:w="1059" w:type="dxa"/>
            <w:vAlign w:val="top"/>
          </w:tcPr>
          <w:p w14:paraId="192FC3AD">
            <w:pPr>
              <w:spacing w:before="180" w:line="142" w:lineRule="exact"/>
              <w:ind w:left="315"/>
              <w:rPr>
                <w:rFonts w:ascii="Times New Roman" w:hAnsi="Times New Roman" w:eastAsia="Times New Roman" w:cs="Times New Roman"/>
                <w:sz w:val="20"/>
                <w:szCs w:val="20"/>
              </w:rPr>
            </w:pPr>
            <w:r>
              <w:rPr>
                <w:rFonts w:ascii="Times New Roman" w:hAnsi="Times New Roman" w:eastAsia="Times New Roman" w:cs="Times New Roman"/>
                <w:spacing w:val="-1"/>
                <w:position w:val="-2"/>
                <w:sz w:val="20"/>
                <w:szCs w:val="20"/>
              </w:rPr>
              <w:t>10.00</w:t>
            </w:r>
          </w:p>
        </w:tc>
        <w:tc>
          <w:tcPr>
            <w:tcW w:w="1059" w:type="dxa"/>
            <w:vMerge w:val="continue"/>
            <w:tcBorders>
              <w:top w:val="nil"/>
              <w:bottom w:val="nil"/>
              <w:right w:val="nil"/>
            </w:tcBorders>
            <w:vAlign w:val="top"/>
          </w:tcPr>
          <w:p w14:paraId="52F07ACE">
            <w:pPr>
              <w:rPr>
                <w:rFonts w:ascii="Arial"/>
                <w:sz w:val="21"/>
              </w:rPr>
            </w:pPr>
          </w:p>
        </w:tc>
      </w:tr>
      <w:tr w14:paraId="4A1810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6" w:hRule="atLeast"/>
        </w:trPr>
        <w:tc>
          <w:tcPr>
            <w:tcW w:w="1286" w:type="dxa"/>
            <w:tcBorders>
              <w:left w:val="nil"/>
              <w:bottom w:val="single" w:color="000000" w:sz="10" w:space="0"/>
            </w:tcBorders>
            <w:vAlign w:val="top"/>
          </w:tcPr>
          <w:p w14:paraId="390E9A78">
            <w:pPr>
              <w:spacing w:before="219" w:line="205" w:lineRule="auto"/>
              <w:ind w:left="539"/>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O</w:t>
            </w:r>
            <w:r>
              <w:rPr>
                <w:rFonts w:ascii="Times New Roman" w:hAnsi="Times New Roman" w:eastAsia="Times New Roman" w:cs="Times New Roman"/>
                <w:spacing w:val="1"/>
                <w:position w:val="-1"/>
                <w:sz w:val="13"/>
                <w:szCs w:val="13"/>
              </w:rPr>
              <w:t>3</w:t>
            </w:r>
          </w:p>
        </w:tc>
        <w:tc>
          <w:tcPr>
            <w:tcW w:w="2853" w:type="dxa"/>
            <w:tcBorders>
              <w:bottom w:val="single" w:color="000000" w:sz="10" w:space="0"/>
            </w:tcBorders>
            <w:vAlign w:val="top"/>
          </w:tcPr>
          <w:p w14:paraId="5B14F57E">
            <w:pPr>
              <w:pStyle w:val="6"/>
              <w:spacing w:before="49" w:line="228" w:lineRule="auto"/>
              <w:ind w:left="749"/>
              <w:rPr>
                <w:sz w:val="20"/>
                <w:szCs w:val="20"/>
              </w:rPr>
            </w:pPr>
            <w:r>
              <w:rPr>
                <w:spacing w:val="3"/>
                <w:sz w:val="20"/>
                <w:szCs w:val="20"/>
              </w:rPr>
              <w:t>第</w:t>
            </w:r>
            <w:r>
              <w:rPr>
                <w:spacing w:val="-37"/>
                <w:sz w:val="20"/>
                <w:szCs w:val="20"/>
              </w:rPr>
              <w:t xml:space="preserve"> </w:t>
            </w:r>
            <w:r>
              <w:rPr>
                <w:rFonts w:ascii="Times New Roman" w:hAnsi="Times New Roman" w:eastAsia="Times New Roman" w:cs="Times New Roman"/>
                <w:spacing w:val="3"/>
                <w:sz w:val="20"/>
                <w:szCs w:val="20"/>
              </w:rPr>
              <w:t>90</w:t>
            </w:r>
            <w:r>
              <w:rPr>
                <w:rFonts w:ascii="Times New Roman" w:hAnsi="Times New Roman" w:eastAsia="Times New Roman" w:cs="Times New Roman"/>
                <w:spacing w:val="20"/>
                <w:sz w:val="20"/>
                <w:szCs w:val="20"/>
              </w:rPr>
              <w:t xml:space="preserve"> </w:t>
            </w:r>
            <w:r>
              <w:rPr>
                <w:spacing w:val="3"/>
                <w:sz w:val="20"/>
                <w:szCs w:val="20"/>
              </w:rPr>
              <w:t>百分位数</w:t>
            </w:r>
          </w:p>
          <w:p w14:paraId="7ECE3DA5">
            <w:pPr>
              <w:pStyle w:val="6"/>
              <w:spacing w:before="24" w:line="217" w:lineRule="auto"/>
              <w:ind w:left="518"/>
              <w:rPr>
                <w:sz w:val="20"/>
                <w:szCs w:val="20"/>
              </w:rPr>
            </w:pPr>
            <w:r>
              <w:rPr>
                <w:rFonts w:ascii="Times New Roman" w:hAnsi="Times New Roman" w:eastAsia="Times New Roman" w:cs="Times New Roman"/>
                <w:spacing w:val="6"/>
                <w:sz w:val="20"/>
                <w:szCs w:val="20"/>
              </w:rPr>
              <w:t>8</w:t>
            </w:r>
            <w:r>
              <w:rPr>
                <w:rFonts w:ascii="Times New Roman" w:hAnsi="Times New Roman" w:eastAsia="Times New Roman" w:cs="Times New Roman"/>
                <w:spacing w:val="16"/>
                <w:sz w:val="20"/>
                <w:szCs w:val="20"/>
              </w:rPr>
              <w:t xml:space="preserve"> </w:t>
            </w:r>
            <w:r>
              <w:rPr>
                <w:spacing w:val="6"/>
                <w:sz w:val="20"/>
                <w:szCs w:val="20"/>
              </w:rPr>
              <w:t>小时平均质量浓度</w:t>
            </w:r>
          </w:p>
        </w:tc>
        <w:tc>
          <w:tcPr>
            <w:tcW w:w="1336" w:type="dxa"/>
            <w:tcBorders>
              <w:bottom w:val="single" w:color="000000" w:sz="10" w:space="0"/>
            </w:tcBorders>
            <w:vAlign w:val="top"/>
          </w:tcPr>
          <w:p w14:paraId="6F58B348">
            <w:pPr>
              <w:spacing w:before="222" w:line="195" w:lineRule="auto"/>
              <w:ind w:left="5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127</w:t>
            </w:r>
          </w:p>
        </w:tc>
        <w:tc>
          <w:tcPr>
            <w:tcW w:w="1478" w:type="dxa"/>
            <w:tcBorders>
              <w:bottom w:val="single" w:color="000000" w:sz="10" w:space="0"/>
            </w:tcBorders>
            <w:vAlign w:val="top"/>
          </w:tcPr>
          <w:p w14:paraId="256AD3D5">
            <w:pPr>
              <w:spacing w:before="222" w:line="195" w:lineRule="auto"/>
              <w:ind w:left="60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160</w:t>
            </w:r>
          </w:p>
        </w:tc>
        <w:tc>
          <w:tcPr>
            <w:tcW w:w="1059" w:type="dxa"/>
            <w:tcBorders>
              <w:bottom w:val="single" w:color="000000" w:sz="10" w:space="0"/>
            </w:tcBorders>
            <w:vAlign w:val="top"/>
          </w:tcPr>
          <w:p w14:paraId="6F88A4F8">
            <w:pPr>
              <w:spacing w:before="222"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79.38</w:t>
            </w:r>
          </w:p>
        </w:tc>
        <w:tc>
          <w:tcPr>
            <w:tcW w:w="1059" w:type="dxa"/>
            <w:vMerge w:val="continue"/>
            <w:tcBorders>
              <w:top w:val="nil"/>
              <w:bottom w:val="single" w:color="000000" w:sz="10" w:space="0"/>
              <w:right w:val="nil"/>
            </w:tcBorders>
            <w:vAlign w:val="top"/>
          </w:tcPr>
          <w:p w14:paraId="074E42E8">
            <w:pPr>
              <w:rPr>
                <w:rFonts w:ascii="Arial"/>
                <w:sz w:val="21"/>
              </w:rPr>
            </w:pPr>
          </w:p>
        </w:tc>
      </w:tr>
    </w:tbl>
    <w:p w14:paraId="5010B1FE">
      <w:pPr>
        <w:spacing w:before="38" w:line="350" w:lineRule="auto"/>
        <w:ind w:left="9" w:right="61" w:firstLine="481"/>
        <w:jc w:val="both"/>
        <w:rPr>
          <w:rFonts w:ascii="宋体" w:hAnsi="宋体" w:eastAsia="宋体" w:cs="宋体"/>
          <w:sz w:val="24"/>
          <w:szCs w:val="24"/>
        </w:rPr>
      </w:pPr>
      <w:r>
        <w:rPr>
          <w:rFonts w:ascii="宋体" w:hAnsi="宋体" w:eastAsia="宋体" w:cs="宋体"/>
          <w:spacing w:val="2"/>
          <w:sz w:val="24"/>
          <w:szCs w:val="24"/>
        </w:rPr>
        <w:t>从表</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3.3-1</w:t>
      </w:r>
      <w:r>
        <w:rPr>
          <w:rFonts w:ascii="Times New Roman" w:hAnsi="Times New Roman" w:eastAsia="Times New Roman" w:cs="Times New Roman"/>
          <w:spacing w:val="16"/>
          <w:w w:val="101"/>
          <w:sz w:val="24"/>
          <w:szCs w:val="24"/>
        </w:rPr>
        <w:t xml:space="preserve"> </w:t>
      </w:r>
      <w:r>
        <w:rPr>
          <w:rFonts w:ascii="宋体" w:hAnsi="宋体" w:eastAsia="宋体" w:cs="宋体"/>
          <w:spacing w:val="2"/>
          <w:sz w:val="24"/>
          <w:szCs w:val="24"/>
        </w:rPr>
        <w:t>可以看出，基本污染物年评价指标中，</w:t>
      </w:r>
      <w:r>
        <w:rPr>
          <w:rFonts w:ascii="Times New Roman" w:hAnsi="Times New Roman" w:eastAsia="Times New Roman" w:cs="Times New Roman"/>
          <w:spacing w:val="2"/>
          <w:sz w:val="24"/>
          <w:szCs w:val="24"/>
        </w:rPr>
        <w:t xml:space="preserve">6 </w:t>
      </w:r>
      <w:r>
        <w:rPr>
          <w:rFonts w:ascii="宋体" w:hAnsi="宋体" w:eastAsia="宋体" w:cs="宋体"/>
          <w:spacing w:val="2"/>
          <w:sz w:val="24"/>
          <w:szCs w:val="24"/>
        </w:rPr>
        <w:t>项基本</w:t>
      </w:r>
      <w:r>
        <w:rPr>
          <w:rFonts w:ascii="宋体" w:hAnsi="宋体" w:eastAsia="宋体" w:cs="宋体"/>
          <w:spacing w:val="1"/>
          <w:sz w:val="24"/>
          <w:szCs w:val="24"/>
        </w:rPr>
        <w:t>污染物浓度指标均满足</w:t>
      </w:r>
      <w:r>
        <w:rPr>
          <w:rFonts w:ascii="宋体" w:hAnsi="宋体" w:eastAsia="宋体" w:cs="宋体"/>
          <w:sz w:val="24"/>
          <w:szCs w:val="24"/>
        </w:rPr>
        <w:t xml:space="preserve"> 《环境空气质量标准》（</w:t>
      </w:r>
      <w:r>
        <w:rPr>
          <w:rFonts w:ascii="Times New Roman" w:hAnsi="Times New Roman" w:eastAsia="Times New Roman" w:cs="Times New Roman"/>
          <w:sz w:val="24"/>
          <w:szCs w:val="24"/>
        </w:rPr>
        <w:t>GB3095-2012</w:t>
      </w:r>
      <w:r>
        <w:rPr>
          <w:rFonts w:ascii="宋体" w:hAnsi="宋体" w:eastAsia="宋体" w:cs="宋体"/>
          <w:sz w:val="24"/>
          <w:szCs w:val="24"/>
        </w:rPr>
        <w:t>）及修改单二级标准限值，项目所在区域城市环</w:t>
      </w:r>
      <w:r>
        <w:rPr>
          <w:rFonts w:ascii="宋体" w:hAnsi="宋体" w:eastAsia="宋体" w:cs="宋体"/>
          <w:spacing w:val="7"/>
          <w:sz w:val="24"/>
          <w:szCs w:val="24"/>
        </w:rPr>
        <w:t xml:space="preserve"> </w:t>
      </w:r>
      <w:r>
        <w:rPr>
          <w:rFonts w:ascii="宋体" w:hAnsi="宋体" w:eastAsia="宋体" w:cs="宋体"/>
          <w:spacing w:val="-1"/>
          <w:sz w:val="24"/>
          <w:szCs w:val="24"/>
        </w:rPr>
        <w:t>境空气质量达标，属达标区。</w:t>
      </w:r>
    </w:p>
    <w:p w14:paraId="22028F53">
      <w:pPr>
        <w:spacing w:before="35" w:line="218" w:lineRule="auto"/>
        <w:ind w:left="484"/>
        <w:rPr>
          <w:rFonts w:ascii="宋体" w:hAnsi="宋体" w:eastAsia="宋体" w:cs="宋体"/>
          <w:sz w:val="24"/>
          <w:szCs w:val="24"/>
        </w:rPr>
      </w:pPr>
      <w:r>
        <w:rPr>
          <w:rFonts w:ascii="Times New Roman" w:hAnsi="Times New Roman" w:eastAsia="Times New Roman" w:cs="Times New Roman"/>
          <w:b/>
          <w:bCs/>
          <w:spacing w:val="-4"/>
          <w:sz w:val="24"/>
          <w:szCs w:val="24"/>
        </w:rPr>
        <w:t>2</w:t>
      </w:r>
      <w:r>
        <w:rPr>
          <w:rFonts w:ascii="Times New Roman" w:hAnsi="Times New Roman" w:eastAsia="Times New Roman" w:cs="Times New Roman"/>
          <w:b/>
          <w:bCs/>
          <w:spacing w:val="-31"/>
          <w:sz w:val="24"/>
          <w:szCs w:val="24"/>
        </w:rPr>
        <w:t xml:space="preserve"> </w:t>
      </w:r>
      <w:r>
        <w:rPr>
          <w:rFonts w:ascii="宋体" w:hAnsi="宋体" w:eastAsia="宋体" w:cs="宋体"/>
          <w:b/>
          <w:bCs/>
          <w:spacing w:val="-4"/>
          <w:sz w:val="24"/>
          <w:szCs w:val="24"/>
        </w:rPr>
        <w:t>、基本污染物环境质量现状评价</w:t>
      </w:r>
    </w:p>
    <w:p w14:paraId="62DFB6F5">
      <w:pPr>
        <w:spacing w:before="180" w:line="353" w:lineRule="auto"/>
        <w:ind w:left="7" w:right="61" w:firstLine="481"/>
        <w:jc w:val="both"/>
        <w:rPr>
          <w:rFonts w:ascii="Times New Roman" w:hAnsi="Times New Roman" w:eastAsia="Times New Roman" w:cs="Times New Roman"/>
          <w:sz w:val="24"/>
          <w:szCs w:val="24"/>
        </w:rPr>
      </w:pPr>
      <w:r>
        <w:rPr>
          <w:rFonts w:ascii="宋体" w:hAnsi="宋体" w:eastAsia="宋体" w:cs="宋体"/>
          <w:spacing w:val="-6"/>
          <w:sz w:val="24"/>
          <w:szCs w:val="24"/>
        </w:rPr>
        <w:t>本次评价收集了锡林郭勒盟</w:t>
      </w:r>
      <w:r>
        <w:rPr>
          <w:rFonts w:ascii="宋体" w:hAnsi="宋体" w:eastAsia="宋体" w:cs="宋体"/>
          <w:spacing w:val="-53"/>
          <w:sz w:val="24"/>
          <w:szCs w:val="24"/>
        </w:rPr>
        <w:t xml:space="preserve"> </w:t>
      </w:r>
      <w:r>
        <w:rPr>
          <w:rFonts w:ascii="Times New Roman" w:hAnsi="Times New Roman" w:eastAsia="Times New Roman" w:cs="Times New Roman"/>
          <w:spacing w:val="-6"/>
          <w:sz w:val="24"/>
          <w:szCs w:val="24"/>
        </w:rPr>
        <w:t xml:space="preserve">2023 </w:t>
      </w:r>
      <w:r>
        <w:rPr>
          <w:rFonts w:ascii="宋体" w:hAnsi="宋体" w:eastAsia="宋体" w:cs="宋体"/>
          <w:spacing w:val="-6"/>
          <w:sz w:val="24"/>
          <w:szCs w:val="24"/>
        </w:rPr>
        <w:t>年</w:t>
      </w:r>
      <w:r>
        <w:rPr>
          <w:rFonts w:ascii="宋体" w:hAnsi="宋体" w:eastAsia="宋体" w:cs="宋体"/>
          <w:spacing w:val="-41"/>
          <w:sz w:val="24"/>
          <w:szCs w:val="24"/>
        </w:rPr>
        <w:t xml:space="preserve"> </w:t>
      </w:r>
      <w:r>
        <w:rPr>
          <w:rFonts w:ascii="Times New Roman" w:hAnsi="Times New Roman" w:eastAsia="Times New Roman" w:cs="Times New Roman"/>
          <w:spacing w:val="-6"/>
          <w:sz w:val="24"/>
          <w:szCs w:val="24"/>
        </w:rPr>
        <w:t xml:space="preserve">1 </w:t>
      </w:r>
      <w:r>
        <w:rPr>
          <w:rFonts w:ascii="宋体" w:hAnsi="宋体" w:eastAsia="宋体" w:cs="宋体"/>
          <w:spacing w:val="-6"/>
          <w:sz w:val="24"/>
          <w:szCs w:val="24"/>
        </w:rPr>
        <w:t>月</w:t>
      </w:r>
      <w:r>
        <w:rPr>
          <w:rFonts w:ascii="宋体" w:hAnsi="宋体" w:eastAsia="宋体" w:cs="宋体"/>
          <w:spacing w:val="-42"/>
          <w:sz w:val="24"/>
          <w:szCs w:val="24"/>
        </w:rPr>
        <w:t xml:space="preserve"> </w:t>
      </w:r>
      <w:r>
        <w:rPr>
          <w:rFonts w:ascii="Times New Roman" w:hAnsi="Times New Roman" w:eastAsia="Times New Roman" w:cs="Times New Roman"/>
          <w:spacing w:val="-6"/>
          <w:sz w:val="24"/>
          <w:szCs w:val="24"/>
        </w:rPr>
        <w:t>1</w:t>
      </w:r>
      <w:r>
        <w:rPr>
          <w:rFonts w:ascii="Times New Roman" w:hAnsi="Times New Roman" w:eastAsia="Times New Roman" w:cs="Times New Roman"/>
          <w:spacing w:val="39"/>
          <w:sz w:val="24"/>
          <w:szCs w:val="24"/>
        </w:rPr>
        <w:t xml:space="preserve"> </w:t>
      </w:r>
      <w:r>
        <w:rPr>
          <w:rFonts w:ascii="宋体" w:hAnsi="宋体" w:eastAsia="宋体" w:cs="宋体"/>
          <w:spacing w:val="-6"/>
          <w:sz w:val="24"/>
          <w:szCs w:val="24"/>
        </w:rPr>
        <w:t>日</w:t>
      </w:r>
      <w:r>
        <w:rPr>
          <w:rFonts w:ascii="Times New Roman" w:hAnsi="Times New Roman" w:eastAsia="Times New Roman" w:cs="Times New Roman"/>
          <w:spacing w:val="-6"/>
          <w:sz w:val="24"/>
          <w:szCs w:val="24"/>
        </w:rPr>
        <w:t xml:space="preserve">~2023 </w:t>
      </w:r>
      <w:r>
        <w:rPr>
          <w:rFonts w:ascii="宋体" w:hAnsi="宋体" w:eastAsia="宋体" w:cs="宋体"/>
          <w:spacing w:val="-6"/>
          <w:sz w:val="24"/>
          <w:szCs w:val="24"/>
        </w:rPr>
        <w:t>年</w:t>
      </w:r>
      <w:r>
        <w:rPr>
          <w:rFonts w:ascii="宋体" w:hAnsi="宋体" w:eastAsia="宋体" w:cs="宋体"/>
          <w:spacing w:val="-42"/>
          <w:sz w:val="24"/>
          <w:szCs w:val="24"/>
        </w:rPr>
        <w:t xml:space="preserve"> </w:t>
      </w:r>
      <w:r>
        <w:rPr>
          <w:rFonts w:ascii="Times New Roman" w:hAnsi="Times New Roman" w:eastAsia="Times New Roman" w:cs="Times New Roman"/>
          <w:spacing w:val="-6"/>
          <w:sz w:val="24"/>
          <w:szCs w:val="24"/>
        </w:rPr>
        <w:t xml:space="preserve">12 </w:t>
      </w:r>
      <w:r>
        <w:rPr>
          <w:rFonts w:ascii="宋体" w:hAnsi="宋体" w:eastAsia="宋体" w:cs="宋体"/>
          <w:spacing w:val="-6"/>
          <w:sz w:val="24"/>
          <w:szCs w:val="24"/>
        </w:rPr>
        <w:t>月</w:t>
      </w:r>
      <w:r>
        <w:rPr>
          <w:rFonts w:ascii="宋体" w:hAnsi="宋体" w:eastAsia="宋体" w:cs="宋体"/>
          <w:spacing w:val="-59"/>
          <w:sz w:val="24"/>
          <w:szCs w:val="24"/>
        </w:rPr>
        <w:t xml:space="preserve"> </w:t>
      </w:r>
      <w:r>
        <w:rPr>
          <w:rFonts w:ascii="Times New Roman" w:hAnsi="Times New Roman" w:eastAsia="Times New Roman" w:cs="Times New Roman"/>
          <w:spacing w:val="-6"/>
          <w:sz w:val="24"/>
          <w:szCs w:val="24"/>
        </w:rPr>
        <w:t>31</w:t>
      </w:r>
      <w:r>
        <w:rPr>
          <w:rFonts w:ascii="Times New Roman" w:hAnsi="Times New Roman" w:eastAsia="Times New Roman" w:cs="Times New Roman"/>
          <w:spacing w:val="38"/>
          <w:w w:val="101"/>
          <w:sz w:val="24"/>
          <w:szCs w:val="24"/>
        </w:rPr>
        <w:t xml:space="preserve"> </w:t>
      </w:r>
      <w:r>
        <w:rPr>
          <w:rFonts w:ascii="宋体" w:hAnsi="宋体" w:eastAsia="宋体" w:cs="宋体"/>
          <w:spacing w:val="-6"/>
          <w:sz w:val="24"/>
          <w:szCs w:val="24"/>
        </w:rPr>
        <w:t>日基本污染物日平均</w:t>
      </w:r>
      <w:r>
        <w:rPr>
          <w:rFonts w:ascii="宋体" w:hAnsi="宋体" w:eastAsia="宋体" w:cs="宋体"/>
          <w:sz w:val="24"/>
          <w:szCs w:val="24"/>
        </w:rPr>
        <w:t xml:space="preserve"> 值（</w:t>
      </w:r>
      <w:r>
        <w:rPr>
          <w:rFonts w:ascii="Times New Roman" w:hAnsi="Times New Roman" w:eastAsia="Times New Roman" w:cs="Times New Roman"/>
          <w:sz w:val="24"/>
          <w:szCs w:val="24"/>
        </w:rPr>
        <w:t>O</w:t>
      </w:r>
      <w:r>
        <w:rPr>
          <w:rFonts w:ascii="Times New Roman" w:hAnsi="Times New Roman" w:eastAsia="Times New Roman" w:cs="Times New Roman"/>
          <w:position w:val="-1"/>
          <w:sz w:val="15"/>
          <w:szCs w:val="15"/>
        </w:rPr>
        <w:t>3</w:t>
      </w:r>
      <w:r>
        <w:rPr>
          <w:rFonts w:ascii="Times New Roman" w:hAnsi="Times New Roman" w:eastAsia="Times New Roman" w:cs="Times New Roman"/>
          <w:spacing w:val="15"/>
          <w:position w:val="-1"/>
          <w:sz w:val="15"/>
          <w:szCs w:val="15"/>
        </w:rPr>
        <w:t xml:space="preserve"> </w:t>
      </w:r>
      <w:r>
        <w:rPr>
          <w:rFonts w:ascii="宋体" w:hAnsi="宋体" w:eastAsia="宋体" w:cs="宋体"/>
          <w:sz w:val="24"/>
          <w:szCs w:val="24"/>
        </w:rPr>
        <w:t>为</w:t>
      </w:r>
      <w:r>
        <w:rPr>
          <w:rFonts w:ascii="宋体" w:hAnsi="宋体" w:eastAsia="宋体" w:cs="宋体"/>
          <w:spacing w:val="-46"/>
          <w:sz w:val="24"/>
          <w:szCs w:val="24"/>
        </w:rPr>
        <w:t xml:space="preserve"> </w:t>
      </w:r>
      <w:r>
        <w:rPr>
          <w:rFonts w:ascii="Times New Roman" w:hAnsi="Times New Roman" w:eastAsia="Times New Roman" w:cs="Times New Roman"/>
          <w:sz w:val="24"/>
          <w:szCs w:val="24"/>
        </w:rPr>
        <w:t xml:space="preserve">8h </w:t>
      </w:r>
      <w:r>
        <w:rPr>
          <w:rFonts w:ascii="宋体" w:hAnsi="宋体" w:eastAsia="宋体" w:cs="宋体"/>
          <w:sz w:val="24"/>
          <w:szCs w:val="24"/>
        </w:rPr>
        <w:t>平均浓度）环境空气质量历史监测数据（来</w:t>
      </w:r>
      <w:r>
        <w:rPr>
          <w:rFonts w:ascii="宋体" w:hAnsi="宋体" w:eastAsia="宋体" w:cs="宋体"/>
          <w:spacing w:val="-1"/>
          <w:sz w:val="24"/>
          <w:szCs w:val="24"/>
        </w:rPr>
        <w:t>自中国空气质量在线监测分析</w:t>
      </w:r>
      <w:r>
        <w:rPr>
          <w:rFonts w:ascii="宋体" w:hAnsi="宋体" w:eastAsia="宋体" w:cs="宋体"/>
          <w:sz w:val="24"/>
          <w:szCs w:val="24"/>
        </w:rPr>
        <w:t xml:space="preserve"> </w:t>
      </w:r>
      <w:r>
        <w:rPr>
          <w:rFonts w:ascii="宋体" w:hAnsi="宋体" w:eastAsia="宋体" w:cs="宋体"/>
          <w:spacing w:val="1"/>
          <w:sz w:val="24"/>
          <w:szCs w:val="24"/>
        </w:rPr>
        <w:t>平台历史数据</w:t>
      </w:r>
      <w:r>
        <w:rPr>
          <w:rFonts w:ascii="宋体" w:hAnsi="宋体" w:eastAsia="宋体" w:cs="宋体"/>
          <w:spacing w:val="-6"/>
          <w:sz w:val="24"/>
          <w:szCs w:val="24"/>
        </w:rPr>
        <w:t>）（</w:t>
      </w:r>
      <w:r>
        <w:rPr>
          <w:rFonts w:ascii="Times New Roman" w:hAnsi="Times New Roman" w:eastAsia="Times New Roman" w:cs="Times New Roman"/>
          <w:sz w:val="24"/>
          <w:szCs w:val="24"/>
        </w:rPr>
        <w:t>https</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www</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aqistudy</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cn</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historydata</w:t>
      </w:r>
      <w:r>
        <w:rPr>
          <w:rFonts w:ascii="Times New Roman" w:hAnsi="Times New Roman" w:eastAsia="Times New Roman" w:cs="Times New Roman"/>
          <w:spacing w:val="1"/>
          <w:sz w:val="24"/>
          <w:szCs w:val="24"/>
        </w:rPr>
        <w:t>/</w:t>
      </w:r>
      <w:r>
        <w:rPr>
          <w:rFonts w:ascii="宋体" w:hAnsi="宋体" w:eastAsia="宋体" w:cs="宋体"/>
          <w:spacing w:val="-6"/>
          <w:sz w:val="24"/>
          <w:szCs w:val="24"/>
        </w:rPr>
        <w:t>），</w:t>
      </w:r>
      <w:r>
        <w:rPr>
          <w:rFonts w:ascii="宋体" w:hAnsi="宋体" w:eastAsia="宋体" w:cs="宋体"/>
          <w:spacing w:val="1"/>
          <w:sz w:val="24"/>
          <w:szCs w:val="24"/>
        </w:rPr>
        <w:t>根据《环境空</w:t>
      </w:r>
      <w:r>
        <w:rPr>
          <w:rFonts w:ascii="宋体" w:hAnsi="宋体" w:eastAsia="宋体" w:cs="宋体"/>
          <w:sz w:val="24"/>
          <w:szCs w:val="24"/>
        </w:rPr>
        <w:t>气质量评价技术</w:t>
      </w:r>
      <w:r>
        <w:rPr>
          <w:rFonts w:ascii="宋体" w:hAnsi="宋体" w:eastAsia="宋体" w:cs="宋体"/>
          <w:spacing w:val="1"/>
          <w:sz w:val="24"/>
          <w:szCs w:val="24"/>
        </w:rPr>
        <w:t xml:space="preserve"> </w:t>
      </w:r>
      <w:r>
        <w:rPr>
          <w:rFonts w:ascii="宋体" w:hAnsi="宋体" w:eastAsia="宋体" w:cs="宋体"/>
          <w:spacing w:val="-2"/>
          <w:sz w:val="24"/>
          <w:szCs w:val="24"/>
        </w:rPr>
        <w:t>规范（试行）》（</w:t>
      </w:r>
      <w:r>
        <w:rPr>
          <w:rFonts w:ascii="Times New Roman" w:hAnsi="Times New Roman" w:eastAsia="Times New Roman" w:cs="Times New Roman"/>
          <w:spacing w:val="-2"/>
          <w:sz w:val="24"/>
          <w:szCs w:val="24"/>
        </w:rPr>
        <w:t>HJ 663-2013</w:t>
      </w:r>
      <w:r>
        <w:rPr>
          <w:rFonts w:ascii="宋体" w:hAnsi="宋体" w:eastAsia="宋体" w:cs="宋体"/>
          <w:spacing w:val="-2"/>
          <w:sz w:val="24"/>
          <w:szCs w:val="24"/>
        </w:rPr>
        <w:t>）中项基本污染物</w:t>
      </w:r>
      <w:r>
        <w:rPr>
          <w:rFonts w:ascii="宋体" w:hAnsi="宋体" w:eastAsia="宋体" w:cs="宋体"/>
          <w:spacing w:val="-3"/>
          <w:sz w:val="24"/>
          <w:szCs w:val="24"/>
        </w:rPr>
        <w:t>浓度统计方法进行评价，锡林郭勒盟环</w:t>
      </w:r>
      <w:r>
        <w:rPr>
          <w:rFonts w:ascii="宋体" w:hAnsi="宋体" w:eastAsia="宋体" w:cs="宋体"/>
          <w:sz w:val="24"/>
          <w:szCs w:val="24"/>
        </w:rPr>
        <w:t xml:space="preserve"> </w:t>
      </w:r>
      <w:r>
        <w:rPr>
          <w:rFonts w:ascii="宋体" w:hAnsi="宋体" w:eastAsia="宋体" w:cs="宋体"/>
          <w:spacing w:val="-1"/>
          <w:sz w:val="24"/>
          <w:szCs w:val="24"/>
        </w:rPr>
        <w:t>境空气基本污染物环境质量现状评价详见表</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3.3-2</w:t>
      </w:r>
    </w:p>
    <w:p w14:paraId="0F3F8B57">
      <w:pPr>
        <w:spacing w:before="38" w:line="226" w:lineRule="auto"/>
        <w:ind w:left="2507"/>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6"/>
          <w:sz w:val="20"/>
          <w:szCs w:val="20"/>
        </w:rPr>
        <w:t xml:space="preserve"> </w:t>
      </w:r>
      <w:r>
        <w:rPr>
          <w:rFonts w:ascii="Times New Roman" w:hAnsi="Times New Roman" w:eastAsia="Times New Roman" w:cs="Times New Roman"/>
          <w:b/>
          <w:bCs/>
          <w:spacing w:val="5"/>
          <w:sz w:val="20"/>
          <w:szCs w:val="20"/>
        </w:rPr>
        <w:t xml:space="preserve">3.3-2        </w:t>
      </w:r>
      <w:r>
        <w:rPr>
          <w:rFonts w:ascii="宋体" w:hAnsi="宋体" w:eastAsia="宋体" w:cs="宋体"/>
          <w:b/>
          <w:bCs/>
          <w:spacing w:val="5"/>
          <w:sz w:val="20"/>
          <w:szCs w:val="20"/>
        </w:rPr>
        <w:t>基本污染物环境质量现状评价表</w:t>
      </w:r>
    </w:p>
    <w:p w14:paraId="67735692">
      <w:pPr>
        <w:spacing w:line="132" w:lineRule="exact"/>
      </w:pPr>
    </w:p>
    <w:tbl>
      <w:tblPr>
        <w:tblStyle w:val="5"/>
        <w:tblW w:w="9066"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18"/>
        <w:gridCol w:w="3041"/>
        <w:gridCol w:w="988"/>
        <w:gridCol w:w="1000"/>
        <w:gridCol w:w="974"/>
        <w:gridCol w:w="1076"/>
        <w:gridCol w:w="1169"/>
      </w:tblGrid>
      <w:tr w14:paraId="472E25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818" w:type="dxa"/>
            <w:tcBorders>
              <w:top w:val="single" w:color="000000" w:sz="10" w:space="0"/>
              <w:left w:val="nil"/>
            </w:tcBorders>
            <w:vAlign w:val="top"/>
          </w:tcPr>
          <w:p w14:paraId="6055ACC3">
            <w:pPr>
              <w:pStyle w:val="6"/>
              <w:spacing w:before="171" w:line="228" w:lineRule="auto"/>
              <w:ind w:left="102"/>
              <w:rPr>
                <w:sz w:val="20"/>
                <w:szCs w:val="20"/>
              </w:rPr>
            </w:pPr>
            <w:r>
              <w:rPr>
                <w:spacing w:val="6"/>
                <w:sz w:val="20"/>
                <w:szCs w:val="20"/>
              </w:rPr>
              <w:t>污染物</w:t>
            </w:r>
          </w:p>
        </w:tc>
        <w:tc>
          <w:tcPr>
            <w:tcW w:w="3041" w:type="dxa"/>
            <w:tcBorders>
              <w:top w:val="single" w:color="000000" w:sz="10" w:space="0"/>
            </w:tcBorders>
            <w:vAlign w:val="top"/>
          </w:tcPr>
          <w:p w14:paraId="26A53CCF">
            <w:pPr>
              <w:pStyle w:val="6"/>
              <w:spacing w:before="171" w:line="226" w:lineRule="auto"/>
              <w:ind w:left="1103"/>
              <w:rPr>
                <w:sz w:val="20"/>
                <w:szCs w:val="20"/>
              </w:rPr>
            </w:pPr>
            <w:r>
              <w:rPr>
                <w:spacing w:val="7"/>
                <w:sz w:val="20"/>
                <w:szCs w:val="20"/>
              </w:rPr>
              <w:t>评价指标</w:t>
            </w:r>
          </w:p>
        </w:tc>
        <w:tc>
          <w:tcPr>
            <w:tcW w:w="988" w:type="dxa"/>
            <w:tcBorders>
              <w:top w:val="single" w:color="000000" w:sz="10" w:space="0"/>
            </w:tcBorders>
            <w:vAlign w:val="top"/>
          </w:tcPr>
          <w:p w14:paraId="00936AB5">
            <w:pPr>
              <w:pStyle w:val="6"/>
              <w:spacing w:before="36" w:line="230" w:lineRule="auto"/>
              <w:ind w:left="145" w:right="46" w:hanging="67"/>
              <w:rPr>
                <w:sz w:val="20"/>
                <w:szCs w:val="20"/>
              </w:rPr>
            </w:pPr>
            <w:r>
              <w:rPr>
                <w:spacing w:val="7"/>
                <w:sz w:val="20"/>
                <w:szCs w:val="20"/>
              </w:rPr>
              <w:t>评价标准</w:t>
            </w:r>
            <w:r>
              <w:rPr>
                <w:spacing w:val="1"/>
                <w:sz w:val="20"/>
                <w:szCs w:val="20"/>
              </w:rPr>
              <w:t xml:space="preserve"> </w:t>
            </w:r>
            <w:r>
              <w:rPr>
                <w:sz w:val="20"/>
                <w:szCs w:val="20"/>
              </w:rPr>
              <w:t>(</w:t>
            </w:r>
            <w:r>
              <w:rPr>
                <w:rFonts w:ascii="Times New Roman" w:hAnsi="Times New Roman" w:eastAsia="Times New Roman" w:cs="Times New Roman"/>
                <w:sz w:val="20"/>
                <w:szCs w:val="20"/>
              </w:rPr>
              <w:t>μg/m</w:t>
            </w:r>
            <w:r>
              <w:rPr>
                <w:rFonts w:ascii="Times New Roman" w:hAnsi="Times New Roman" w:eastAsia="Times New Roman" w:cs="Times New Roman"/>
                <w:position w:val="6"/>
                <w:sz w:val="13"/>
                <w:szCs w:val="13"/>
              </w:rPr>
              <w:t>3</w:t>
            </w:r>
            <w:r>
              <w:rPr>
                <w:sz w:val="20"/>
                <w:szCs w:val="20"/>
              </w:rPr>
              <w:t>）</w:t>
            </w:r>
          </w:p>
        </w:tc>
        <w:tc>
          <w:tcPr>
            <w:tcW w:w="1000" w:type="dxa"/>
            <w:tcBorders>
              <w:top w:val="single" w:color="000000" w:sz="10" w:space="0"/>
            </w:tcBorders>
            <w:vAlign w:val="top"/>
          </w:tcPr>
          <w:p w14:paraId="06FF7579">
            <w:pPr>
              <w:pStyle w:val="6"/>
              <w:spacing w:before="36" w:line="230" w:lineRule="auto"/>
              <w:ind w:left="151" w:right="52" w:hanging="65"/>
              <w:rPr>
                <w:sz w:val="20"/>
                <w:szCs w:val="20"/>
              </w:rPr>
            </w:pPr>
            <w:r>
              <w:rPr>
                <w:spacing w:val="7"/>
                <w:sz w:val="20"/>
                <w:szCs w:val="20"/>
              </w:rPr>
              <w:t>平均浓度</w:t>
            </w:r>
            <w:r>
              <w:rPr>
                <w:spacing w:val="1"/>
                <w:sz w:val="20"/>
                <w:szCs w:val="20"/>
              </w:rPr>
              <w:t xml:space="preserve"> </w:t>
            </w:r>
            <w:r>
              <w:rPr>
                <w:sz w:val="20"/>
                <w:szCs w:val="20"/>
              </w:rPr>
              <w:t>(</w:t>
            </w:r>
            <w:r>
              <w:rPr>
                <w:rFonts w:ascii="Times New Roman" w:hAnsi="Times New Roman" w:eastAsia="Times New Roman" w:cs="Times New Roman"/>
                <w:sz w:val="20"/>
                <w:szCs w:val="20"/>
              </w:rPr>
              <w:t>μg/m</w:t>
            </w:r>
            <w:r>
              <w:rPr>
                <w:rFonts w:ascii="Times New Roman" w:hAnsi="Times New Roman" w:eastAsia="Times New Roman" w:cs="Times New Roman"/>
                <w:position w:val="6"/>
                <w:sz w:val="13"/>
                <w:szCs w:val="13"/>
              </w:rPr>
              <w:t>3</w:t>
            </w:r>
            <w:r>
              <w:rPr>
                <w:sz w:val="20"/>
                <w:szCs w:val="20"/>
              </w:rPr>
              <w:t>）</w:t>
            </w:r>
          </w:p>
        </w:tc>
        <w:tc>
          <w:tcPr>
            <w:tcW w:w="974" w:type="dxa"/>
            <w:tcBorders>
              <w:top w:val="single" w:color="000000" w:sz="10" w:space="0"/>
            </w:tcBorders>
            <w:vAlign w:val="top"/>
          </w:tcPr>
          <w:p w14:paraId="1E591F7B">
            <w:pPr>
              <w:pStyle w:val="6"/>
              <w:spacing w:before="36" w:line="230" w:lineRule="auto"/>
              <w:ind w:left="95" w:right="54" w:hanging="19"/>
              <w:rPr>
                <w:rFonts w:ascii="Times New Roman" w:hAnsi="Times New Roman" w:eastAsia="Times New Roman" w:cs="Times New Roman"/>
                <w:sz w:val="20"/>
                <w:szCs w:val="20"/>
              </w:rPr>
            </w:pPr>
            <w:r>
              <w:rPr>
                <w:spacing w:val="6"/>
                <w:sz w:val="20"/>
                <w:szCs w:val="20"/>
              </w:rPr>
              <w:t>最大浓度</w:t>
            </w:r>
            <w:r>
              <w:rPr>
                <w:spacing w:val="2"/>
                <w:sz w:val="20"/>
                <w:szCs w:val="20"/>
              </w:rPr>
              <w:t xml:space="preserve"> </w:t>
            </w:r>
            <w:r>
              <w:rPr>
                <w:spacing w:val="-1"/>
                <w:sz w:val="20"/>
                <w:szCs w:val="20"/>
              </w:rPr>
              <w:t>占标率</w:t>
            </w:r>
            <w:r>
              <w:rPr>
                <w:rFonts w:ascii="Times New Roman" w:hAnsi="Times New Roman" w:eastAsia="Times New Roman" w:cs="Times New Roman"/>
                <w:spacing w:val="-1"/>
                <w:sz w:val="20"/>
                <w:szCs w:val="20"/>
              </w:rPr>
              <w:t>/%</w:t>
            </w:r>
          </w:p>
        </w:tc>
        <w:tc>
          <w:tcPr>
            <w:tcW w:w="1076" w:type="dxa"/>
            <w:tcBorders>
              <w:top w:val="single" w:color="000000" w:sz="10" w:space="0"/>
            </w:tcBorders>
            <w:vAlign w:val="top"/>
          </w:tcPr>
          <w:p w14:paraId="5C6C7E80">
            <w:pPr>
              <w:pStyle w:val="6"/>
              <w:spacing w:before="51" w:line="237" w:lineRule="auto"/>
              <w:ind w:left="418" w:right="116" w:hanging="295"/>
              <w:rPr>
                <w:rFonts w:ascii="Times New Roman" w:hAnsi="Times New Roman" w:eastAsia="Times New Roman" w:cs="Times New Roman"/>
                <w:sz w:val="20"/>
                <w:szCs w:val="20"/>
              </w:rPr>
            </w:pPr>
            <w:r>
              <w:rPr>
                <w:spacing w:val="7"/>
                <w:sz w:val="20"/>
                <w:szCs w:val="20"/>
              </w:rPr>
              <w:t>超标频率</w:t>
            </w:r>
            <w:r>
              <w:rPr>
                <w:spacing w:val="1"/>
                <w:sz w:val="20"/>
                <w:szCs w:val="20"/>
              </w:rPr>
              <w:t xml:space="preserve"> </w:t>
            </w:r>
            <w:r>
              <w:rPr>
                <w:rFonts w:ascii="Times New Roman" w:hAnsi="Times New Roman" w:eastAsia="Times New Roman" w:cs="Times New Roman"/>
                <w:spacing w:val="4"/>
                <w:sz w:val="20"/>
                <w:szCs w:val="20"/>
              </w:rPr>
              <w:t>/%</w:t>
            </w:r>
          </w:p>
        </w:tc>
        <w:tc>
          <w:tcPr>
            <w:tcW w:w="1169" w:type="dxa"/>
            <w:tcBorders>
              <w:top w:val="single" w:color="000000" w:sz="10" w:space="0"/>
              <w:right w:val="nil"/>
            </w:tcBorders>
            <w:vAlign w:val="top"/>
          </w:tcPr>
          <w:p w14:paraId="2C37C0E4">
            <w:pPr>
              <w:pStyle w:val="6"/>
              <w:spacing w:before="171" w:line="228" w:lineRule="auto"/>
              <w:ind w:left="171"/>
              <w:rPr>
                <w:sz w:val="20"/>
                <w:szCs w:val="20"/>
              </w:rPr>
            </w:pPr>
            <w:r>
              <w:rPr>
                <w:spacing w:val="7"/>
                <w:sz w:val="20"/>
                <w:szCs w:val="20"/>
              </w:rPr>
              <w:t>达标情况</w:t>
            </w:r>
          </w:p>
        </w:tc>
      </w:tr>
      <w:tr w14:paraId="663586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818" w:type="dxa"/>
            <w:vMerge w:val="restart"/>
            <w:tcBorders>
              <w:left w:val="nil"/>
              <w:bottom w:val="nil"/>
            </w:tcBorders>
            <w:vAlign w:val="top"/>
          </w:tcPr>
          <w:p w14:paraId="1E19686C">
            <w:pPr>
              <w:spacing w:before="274" w:line="202" w:lineRule="auto"/>
              <w:ind w:left="25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3041" w:type="dxa"/>
            <w:vAlign w:val="top"/>
          </w:tcPr>
          <w:p w14:paraId="6835E124">
            <w:pPr>
              <w:pStyle w:val="6"/>
              <w:spacing w:before="82" w:line="219" w:lineRule="auto"/>
              <w:ind w:left="1002"/>
              <w:rPr>
                <w:sz w:val="20"/>
                <w:szCs w:val="20"/>
              </w:rPr>
            </w:pPr>
            <w:r>
              <w:rPr>
                <w:spacing w:val="7"/>
                <w:sz w:val="20"/>
                <w:szCs w:val="20"/>
              </w:rPr>
              <w:t>年平均浓度</w:t>
            </w:r>
          </w:p>
        </w:tc>
        <w:tc>
          <w:tcPr>
            <w:tcW w:w="988" w:type="dxa"/>
            <w:vAlign w:val="top"/>
          </w:tcPr>
          <w:p w14:paraId="4CE53983">
            <w:pPr>
              <w:spacing w:before="103" w:line="195" w:lineRule="auto"/>
              <w:ind w:left="394"/>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000" w:type="dxa"/>
            <w:vAlign w:val="top"/>
          </w:tcPr>
          <w:p w14:paraId="632C7CC5">
            <w:pPr>
              <w:spacing w:before="103" w:line="195" w:lineRule="auto"/>
              <w:ind w:left="452"/>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974" w:type="dxa"/>
            <w:vAlign w:val="top"/>
          </w:tcPr>
          <w:p w14:paraId="29CE000C">
            <w:pPr>
              <w:spacing w:before="99" w:line="199" w:lineRule="auto"/>
              <w:ind w:left="4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76" w:type="dxa"/>
            <w:vAlign w:val="top"/>
          </w:tcPr>
          <w:p w14:paraId="05139F92">
            <w:pPr>
              <w:spacing w:before="99" w:line="199" w:lineRule="auto"/>
              <w:ind w:left="5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169" w:type="dxa"/>
            <w:tcBorders>
              <w:right w:val="nil"/>
            </w:tcBorders>
            <w:vAlign w:val="top"/>
          </w:tcPr>
          <w:p w14:paraId="78B88D0D">
            <w:pPr>
              <w:pStyle w:val="6"/>
              <w:spacing w:before="68" w:line="228" w:lineRule="auto"/>
              <w:ind w:left="379"/>
              <w:rPr>
                <w:sz w:val="20"/>
                <w:szCs w:val="20"/>
              </w:rPr>
            </w:pPr>
            <w:r>
              <w:rPr>
                <w:spacing w:val="5"/>
                <w:sz w:val="20"/>
                <w:szCs w:val="20"/>
              </w:rPr>
              <w:t>达标</w:t>
            </w:r>
          </w:p>
        </w:tc>
      </w:tr>
      <w:tr w14:paraId="7EDF03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818" w:type="dxa"/>
            <w:vMerge w:val="continue"/>
            <w:tcBorders>
              <w:top w:val="nil"/>
              <w:left w:val="nil"/>
            </w:tcBorders>
            <w:vAlign w:val="top"/>
          </w:tcPr>
          <w:p w14:paraId="5E095C4B">
            <w:pPr>
              <w:rPr>
                <w:rFonts w:ascii="Arial"/>
                <w:sz w:val="21"/>
              </w:rPr>
            </w:pPr>
          </w:p>
        </w:tc>
        <w:tc>
          <w:tcPr>
            <w:tcW w:w="3041" w:type="dxa"/>
            <w:vAlign w:val="top"/>
          </w:tcPr>
          <w:p w14:paraId="4D628076">
            <w:pPr>
              <w:pStyle w:val="6"/>
              <w:spacing w:before="88" w:line="214" w:lineRule="auto"/>
              <w:ind w:left="528"/>
              <w:rPr>
                <w:sz w:val="20"/>
                <w:szCs w:val="20"/>
              </w:rPr>
            </w:pPr>
            <w:r>
              <w:rPr>
                <w:spacing w:val="5"/>
                <w:sz w:val="20"/>
                <w:szCs w:val="20"/>
              </w:rPr>
              <w:t>第</w:t>
            </w:r>
            <w:r>
              <w:rPr>
                <w:spacing w:val="-34"/>
                <w:sz w:val="20"/>
                <w:szCs w:val="20"/>
              </w:rPr>
              <w:t xml:space="preserve"> </w:t>
            </w:r>
            <w:r>
              <w:rPr>
                <w:rFonts w:ascii="Times New Roman" w:hAnsi="Times New Roman" w:eastAsia="Times New Roman" w:cs="Times New Roman"/>
                <w:spacing w:val="5"/>
                <w:sz w:val="20"/>
                <w:szCs w:val="20"/>
              </w:rPr>
              <w:t>98</w:t>
            </w:r>
            <w:r>
              <w:rPr>
                <w:rFonts w:ascii="Times New Roman" w:hAnsi="Times New Roman" w:eastAsia="Times New Roman" w:cs="Times New Roman"/>
                <w:spacing w:val="19"/>
                <w:sz w:val="20"/>
                <w:szCs w:val="20"/>
              </w:rPr>
              <w:t xml:space="preserve"> </w:t>
            </w:r>
            <w:r>
              <w:rPr>
                <w:spacing w:val="5"/>
                <w:sz w:val="20"/>
                <w:szCs w:val="20"/>
              </w:rPr>
              <w:t>百分位数日平均</w:t>
            </w:r>
          </w:p>
        </w:tc>
        <w:tc>
          <w:tcPr>
            <w:tcW w:w="988" w:type="dxa"/>
            <w:vAlign w:val="top"/>
          </w:tcPr>
          <w:p w14:paraId="4008737B">
            <w:pPr>
              <w:spacing w:before="109" w:line="195" w:lineRule="auto"/>
              <w:ind w:left="3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150</w:t>
            </w:r>
          </w:p>
        </w:tc>
        <w:tc>
          <w:tcPr>
            <w:tcW w:w="1000" w:type="dxa"/>
            <w:vAlign w:val="top"/>
          </w:tcPr>
          <w:p w14:paraId="21FD1401">
            <w:pPr>
              <w:spacing w:before="109" w:line="195" w:lineRule="auto"/>
              <w:ind w:left="41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974" w:type="dxa"/>
            <w:vAlign w:val="top"/>
          </w:tcPr>
          <w:p w14:paraId="7ED5CD2C">
            <w:pPr>
              <w:spacing w:before="109" w:line="195" w:lineRule="auto"/>
              <w:ind w:left="2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10.00</w:t>
            </w:r>
          </w:p>
        </w:tc>
        <w:tc>
          <w:tcPr>
            <w:tcW w:w="1076" w:type="dxa"/>
            <w:vAlign w:val="top"/>
          </w:tcPr>
          <w:p w14:paraId="601BDCFA">
            <w:pPr>
              <w:spacing w:before="109" w:line="195" w:lineRule="auto"/>
              <w:ind w:left="3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1169" w:type="dxa"/>
            <w:tcBorders>
              <w:right w:val="nil"/>
            </w:tcBorders>
            <w:vAlign w:val="top"/>
          </w:tcPr>
          <w:p w14:paraId="64D4E984">
            <w:pPr>
              <w:pStyle w:val="6"/>
              <w:spacing w:before="71" w:line="228" w:lineRule="auto"/>
              <w:ind w:left="379"/>
              <w:rPr>
                <w:sz w:val="20"/>
                <w:szCs w:val="20"/>
              </w:rPr>
            </w:pPr>
            <w:r>
              <w:rPr>
                <w:spacing w:val="5"/>
                <w:sz w:val="20"/>
                <w:szCs w:val="20"/>
              </w:rPr>
              <w:t>达标</w:t>
            </w:r>
          </w:p>
        </w:tc>
      </w:tr>
      <w:tr w14:paraId="7DD286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818" w:type="dxa"/>
            <w:vMerge w:val="restart"/>
            <w:tcBorders>
              <w:left w:val="nil"/>
              <w:bottom w:val="nil"/>
            </w:tcBorders>
            <w:vAlign w:val="top"/>
          </w:tcPr>
          <w:p w14:paraId="01CCE45F">
            <w:pPr>
              <w:spacing w:before="283" w:line="202" w:lineRule="auto"/>
              <w:ind w:left="220"/>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2</w:t>
            </w:r>
          </w:p>
        </w:tc>
        <w:tc>
          <w:tcPr>
            <w:tcW w:w="3041" w:type="dxa"/>
            <w:vAlign w:val="top"/>
          </w:tcPr>
          <w:p w14:paraId="5ED824F3">
            <w:pPr>
              <w:pStyle w:val="6"/>
              <w:spacing w:before="91" w:line="212" w:lineRule="auto"/>
              <w:ind w:left="1002"/>
              <w:rPr>
                <w:sz w:val="20"/>
                <w:szCs w:val="20"/>
              </w:rPr>
            </w:pPr>
            <w:r>
              <w:rPr>
                <w:spacing w:val="7"/>
                <w:sz w:val="20"/>
                <w:szCs w:val="20"/>
              </w:rPr>
              <w:t>年平均浓度</w:t>
            </w:r>
          </w:p>
        </w:tc>
        <w:tc>
          <w:tcPr>
            <w:tcW w:w="988" w:type="dxa"/>
            <w:vAlign w:val="top"/>
          </w:tcPr>
          <w:p w14:paraId="766F393E">
            <w:pPr>
              <w:spacing w:before="115" w:line="195" w:lineRule="auto"/>
              <w:ind w:left="3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1000" w:type="dxa"/>
            <w:vAlign w:val="top"/>
          </w:tcPr>
          <w:p w14:paraId="314FA13B">
            <w:pPr>
              <w:spacing w:before="115" w:line="195" w:lineRule="auto"/>
              <w:ind w:left="41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974" w:type="dxa"/>
            <w:vAlign w:val="top"/>
          </w:tcPr>
          <w:p w14:paraId="2EAAD337">
            <w:pPr>
              <w:spacing w:before="111" w:line="199" w:lineRule="auto"/>
              <w:ind w:left="4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76" w:type="dxa"/>
            <w:vAlign w:val="top"/>
          </w:tcPr>
          <w:p w14:paraId="08F7C0C4">
            <w:pPr>
              <w:spacing w:before="111" w:line="199" w:lineRule="auto"/>
              <w:ind w:left="5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169" w:type="dxa"/>
            <w:tcBorders>
              <w:right w:val="nil"/>
            </w:tcBorders>
            <w:vAlign w:val="top"/>
          </w:tcPr>
          <w:p w14:paraId="6729EA14">
            <w:pPr>
              <w:pStyle w:val="6"/>
              <w:spacing w:before="77" w:line="225" w:lineRule="auto"/>
              <w:ind w:left="379"/>
              <w:rPr>
                <w:sz w:val="20"/>
                <w:szCs w:val="20"/>
              </w:rPr>
            </w:pPr>
            <w:r>
              <w:rPr>
                <w:spacing w:val="5"/>
                <w:sz w:val="20"/>
                <w:szCs w:val="20"/>
              </w:rPr>
              <w:t>达标</w:t>
            </w:r>
          </w:p>
        </w:tc>
      </w:tr>
      <w:tr w14:paraId="2726E8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818" w:type="dxa"/>
            <w:vMerge w:val="continue"/>
            <w:tcBorders>
              <w:top w:val="nil"/>
              <w:left w:val="nil"/>
              <w:bottom w:val="single" w:color="000000" w:sz="10" w:space="0"/>
            </w:tcBorders>
            <w:vAlign w:val="top"/>
          </w:tcPr>
          <w:p w14:paraId="4A7D967F">
            <w:pPr>
              <w:rPr>
                <w:rFonts w:ascii="Arial"/>
                <w:sz w:val="21"/>
              </w:rPr>
            </w:pPr>
          </w:p>
        </w:tc>
        <w:tc>
          <w:tcPr>
            <w:tcW w:w="3041" w:type="dxa"/>
            <w:tcBorders>
              <w:bottom w:val="single" w:color="000000" w:sz="10" w:space="0"/>
            </w:tcBorders>
            <w:vAlign w:val="top"/>
          </w:tcPr>
          <w:p w14:paraId="24C0039F">
            <w:pPr>
              <w:pStyle w:val="6"/>
              <w:spacing w:before="95" w:line="228" w:lineRule="auto"/>
              <w:ind w:left="528"/>
              <w:rPr>
                <w:sz w:val="20"/>
                <w:szCs w:val="20"/>
              </w:rPr>
            </w:pPr>
            <w:r>
              <w:rPr>
                <w:spacing w:val="5"/>
                <w:sz w:val="20"/>
                <w:szCs w:val="20"/>
              </w:rPr>
              <w:t>第</w:t>
            </w:r>
            <w:r>
              <w:rPr>
                <w:spacing w:val="-34"/>
                <w:sz w:val="20"/>
                <w:szCs w:val="20"/>
              </w:rPr>
              <w:t xml:space="preserve"> </w:t>
            </w:r>
            <w:r>
              <w:rPr>
                <w:rFonts w:ascii="Times New Roman" w:hAnsi="Times New Roman" w:eastAsia="Times New Roman" w:cs="Times New Roman"/>
                <w:spacing w:val="5"/>
                <w:sz w:val="20"/>
                <w:szCs w:val="20"/>
              </w:rPr>
              <w:t>98</w:t>
            </w:r>
            <w:r>
              <w:rPr>
                <w:rFonts w:ascii="Times New Roman" w:hAnsi="Times New Roman" w:eastAsia="Times New Roman" w:cs="Times New Roman"/>
                <w:spacing w:val="19"/>
                <w:sz w:val="20"/>
                <w:szCs w:val="20"/>
              </w:rPr>
              <w:t xml:space="preserve"> </w:t>
            </w:r>
            <w:r>
              <w:rPr>
                <w:spacing w:val="5"/>
                <w:sz w:val="20"/>
                <w:szCs w:val="20"/>
              </w:rPr>
              <w:t>百分位数日平均</w:t>
            </w:r>
          </w:p>
        </w:tc>
        <w:tc>
          <w:tcPr>
            <w:tcW w:w="988" w:type="dxa"/>
            <w:tcBorders>
              <w:bottom w:val="single" w:color="000000" w:sz="10" w:space="0"/>
            </w:tcBorders>
            <w:vAlign w:val="top"/>
          </w:tcPr>
          <w:p w14:paraId="20C5373D">
            <w:pPr>
              <w:spacing w:before="117" w:line="195" w:lineRule="auto"/>
              <w:ind w:left="39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w:t>
            </w:r>
          </w:p>
        </w:tc>
        <w:tc>
          <w:tcPr>
            <w:tcW w:w="1000" w:type="dxa"/>
            <w:tcBorders>
              <w:bottom w:val="single" w:color="000000" w:sz="10" w:space="0"/>
            </w:tcBorders>
            <w:vAlign w:val="top"/>
          </w:tcPr>
          <w:p w14:paraId="7F757C12">
            <w:pPr>
              <w:spacing w:before="117" w:line="195" w:lineRule="auto"/>
              <w:ind w:left="2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20.72</w:t>
            </w:r>
          </w:p>
        </w:tc>
        <w:tc>
          <w:tcPr>
            <w:tcW w:w="974" w:type="dxa"/>
            <w:tcBorders>
              <w:bottom w:val="single" w:color="000000" w:sz="10" w:space="0"/>
            </w:tcBorders>
            <w:vAlign w:val="top"/>
          </w:tcPr>
          <w:p w14:paraId="0B735DDA">
            <w:pPr>
              <w:spacing w:before="117"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38.75</w:t>
            </w:r>
          </w:p>
        </w:tc>
        <w:tc>
          <w:tcPr>
            <w:tcW w:w="1076" w:type="dxa"/>
            <w:tcBorders>
              <w:bottom w:val="single" w:color="000000" w:sz="10" w:space="0"/>
            </w:tcBorders>
            <w:vAlign w:val="top"/>
          </w:tcPr>
          <w:p w14:paraId="0D63096B">
            <w:pPr>
              <w:spacing w:before="117" w:line="195" w:lineRule="auto"/>
              <w:ind w:left="3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1169" w:type="dxa"/>
            <w:tcBorders>
              <w:bottom w:val="single" w:color="000000" w:sz="10" w:space="0"/>
              <w:right w:val="nil"/>
            </w:tcBorders>
            <w:vAlign w:val="top"/>
          </w:tcPr>
          <w:p w14:paraId="65DB0787">
            <w:pPr>
              <w:pStyle w:val="6"/>
              <w:spacing w:before="82" w:line="228" w:lineRule="auto"/>
              <w:ind w:left="379"/>
              <w:rPr>
                <w:sz w:val="20"/>
                <w:szCs w:val="20"/>
              </w:rPr>
            </w:pPr>
            <w:r>
              <w:rPr>
                <w:spacing w:val="5"/>
                <w:sz w:val="20"/>
                <w:szCs w:val="20"/>
              </w:rPr>
              <w:t>达标</w:t>
            </w:r>
          </w:p>
        </w:tc>
      </w:tr>
    </w:tbl>
    <w:p w14:paraId="1E2A78B4">
      <w:pPr>
        <w:pStyle w:val="2"/>
      </w:pPr>
    </w:p>
    <w:p w14:paraId="4EBA3979">
      <w:pPr>
        <w:sectPr>
          <w:headerReference r:id="rId219" w:type="default"/>
          <w:footerReference r:id="rId220" w:type="default"/>
          <w:pgSz w:w="11906" w:h="16839"/>
          <w:pgMar w:top="1190" w:right="1356" w:bottom="993" w:left="1417" w:header="882" w:footer="831" w:gutter="0"/>
          <w:cols w:space="720" w:num="1"/>
        </w:sectPr>
      </w:pPr>
    </w:p>
    <w:p w14:paraId="350FC53D">
      <w:pPr>
        <w:spacing w:line="28" w:lineRule="exact"/>
        <w:ind w:firstLine="108"/>
      </w:pPr>
      <w:r>
        <w:pict>
          <v:shape id="_x0000_s1258" o:spid="_x0000_s1258" style="height:1.45pt;width:453.65pt;" fillcolor="#000000" filled="t" stroked="f" coordsize="9072,29" path="m0,0l9072,0,9072,28,0,28,0,0xe">
            <v:path/>
            <v:fill on="t" focussize="0,0"/>
            <v:stroke on="f"/>
            <v:imagedata o:title=""/>
            <o:lock v:ext="edit"/>
            <w10:wrap type="none"/>
            <w10:anchorlock/>
          </v:shape>
        </w:pict>
      </w:r>
    </w:p>
    <w:p w14:paraId="70F34A6E">
      <w:pPr>
        <w:spacing w:line="197" w:lineRule="exact"/>
      </w:pPr>
    </w:p>
    <w:tbl>
      <w:tblPr>
        <w:tblStyle w:val="5"/>
        <w:tblW w:w="9066" w:type="dxa"/>
        <w:tblInd w:w="11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18"/>
        <w:gridCol w:w="3041"/>
        <w:gridCol w:w="988"/>
        <w:gridCol w:w="1000"/>
        <w:gridCol w:w="974"/>
        <w:gridCol w:w="1076"/>
        <w:gridCol w:w="1169"/>
      </w:tblGrid>
      <w:tr w14:paraId="0CF288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818" w:type="dxa"/>
            <w:vMerge w:val="restart"/>
            <w:tcBorders>
              <w:top w:val="single" w:color="000000" w:sz="10" w:space="0"/>
              <w:left w:val="nil"/>
              <w:bottom w:val="nil"/>
            </w:tcBorders>
            <w:vAlign w:val="top"/>
          </w:tcPr>
          <w:p w14:paraId="0EE50E4E">
            <w:pPr>
              <w:spacing w:before="263" w:line="199" w:lineRule="auto"/>
              <w:ind w:left="192"/>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8"/>
                <w:position w:val="-1"/>
                <w:sz w:val="13"/>
                <w:szCs w:val="13"/>
              </w:rPr>
              <w:t>10</w:t>
            </w:r>
          </w:p>
        </w:tc>
        <w:tc>
          <w:tcPr>
            <w:tcW w:w="3041" w:type="dxa"/>
            <w:tcBorders>
              <w:top w:val="single" w:color="000000" w:sz="10" w:space="0"/>
            </w:tcBorders>
            <w:vAlign w:val="top"/>
          </w:tcPr>
          <w:p w14:paraId="2448267B">
            <w:pPr>
              <w:pStyle w:val="6"/>
              <w:spacing w:before="71" w:line="214" w:lineRule="auto"/>
              <w:ind w:left="1002"/>
              <w:rPr>
                <w:sz w:val="20"/>
                <w:szCs w:val="20"/>
              </w:rPr>
            </w:pPr>
            <w:r>
              <w:rPr>
                <w:spacing w:val="7"/>
                <w:sz w:val="20"/>
                <w:szCs w:val="20"/>
              </w:rPr>
              <w:t>年平均浓度</w:t>
            </w:r>
          </w:p>
        </w:tc>
        <w:tc>
          <w:tcPr>
            <w:tcW w:w="988" w:type="dxa"/>
            <w:tcBorders>
              <w:top w:val="single" w:color="000000" w:sz="10" w:space="0"/>
            </w:tcBorders>
            <w:vAlign w:val="top"/>
          </w:tcPr>
          <w:p w14:paraId="4F6473C5">
            <w:pPr>
              <w:spacing w:before="92" w:line="195" w:lineRule="auto"/>
              <w:ind w:left="39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1000" w:type="dxa"/>
            <w:tcBorders>
              <w:top w:val="single" w:color="000000" w:sz="10" w:space="0"/>
            </w:tcBorders>
            <w:vAlign w:val="top"/>
          </w:tcPr>
          <w:p w14:paraId="56F10A6A">
            <w:pPr>
              <w:spacing w:before="92" w:line="195" w:lineRule="auto"/>
              <w:ind w:left="403"/>
              <w:rPr>
                <w:rFonts w:ascii="Times New Roman" w:hAnsi="Times New Roman" w:eastAsia="Times New Roman" w:cs="Times New Roman"/>
                <w:sz w:val="20"/>
                <w:szCs w:val="20"/>
              </w:rPr>
            </w:pPr>
            <w:r>
              <w:rPr>
                <w:rFonts w:ascii="Times New Roman" w:hAnsi="Times New Roman" w:eastAsia="Times New Roman" w:cs="Times New Roman"/>
                <w:sz w:val="20"/>
                <w:szCs w:val="20"/>
              </w:rPr>
              <w:t>51</w:t>
            </w:r>
          </w:p>
        </w:tc>
        <w:tc>
          <w:tcPr>
            <w:tcW w:w="974" w:type="dxa"/>
            <w:tcBorders>
              <w:top w:val="single" w:color="000000" w:sz="10" w:space="0"/>
            </w:tcBorders>
            <w:vAlign w:val="top"/>
          </w:tcPr>
          <w:p w14:paraId="7A2824FB">
            <w:pPr>
              <w:spacing w:before="89" w:line="199" w:lineRule="auto"/>
              <w:ind w:left="4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76" w:type="dxa"/>
            <w:tcBorders>
              <w:top w:val="single" w:color="000000" w:sz="10" w:space="0"/>
            </w:tcBorders>
            <w:vAlign w:val="top"/>
          </w:tcPr>
          <w:p w14:paraId="37F31A3D">
            <w:pPr>
              <w:spacing w:before="89" w:line="199" w:lineRule="auto"/>
              <w:ind w:left="5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169" w:type="dxa"/>
            <w:tcBorders>
              <w:top w:val="single" w:color="000000" w:sz="10" w:space="0"/>
              <w:right w:val="nil"/>
            </w:tcBorders>
            <w:vAlign w:val="top"/>
          </w:tcPr>
          <w:p w14:paraId="1F4FADF5">
            <w:pPr>
              <w:pStyle w:val="6"/>
              <w:spacing w:before="55" w:line="228" w:lineRule="auto"/>
              <w:ind w:left="379"/>
              <w:rPr>
                <w:sz w:val="20"/>
                <w:szCs w:val="20"/>
              </w:rPr>
            </w:pPr>
            <w:r>
              <w:rPr>
                <w:spacing w:val="5"/>
                <w:sz w:val="20"/>
                <w:szCs w:val="20"/>
              </w:rPr>
              <w:t>达标</w:t>
            </w:r>
          </w:p>
        </w:tc>
      </w:tr>
      <w:tr w14:paraId="0E6349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818" w:type="dxa"/>
            <w:vMerge w:val="continue"/>
            <w:tcBorders>
              <w:top w:val="nil"/>
              <w:left w:val="nil"/>
            </w:tcBorders>
            <w:vAlign w:val="top"/>
          </w:tcPr>
          <w:p w14:paraId="45B4B04E">
            <w:pPr>
              <w:rPr>
                <w:rFonts w:ascii="Arial"/>
                <w:sz w:val="21"/>
              </w:rPr>
            </w:pPr>
          </w:p>
        </w:tc>
        <w:tc>
          <w:tcPr>
            <w:tcW w:w="3041" w:type="dxa"/>
            <w:vAlign w:val="top"/>
          </w:tcPr>
          <w:p w14:paraId="33BC10B1">
            <w:pPr>
              <w:pStyle w:val="6"/>
              <w:spacing w:before="79" w:line="222" w:lineRule="auto"/>
              <w:ind w:left="528"/>
              <w:rPr>
                <w:sz w:val="20"/>
                <w:szCs w:val="20"/>
              </w:rPr>
            </w:pPr>
            <w:r>
              <w:rPr>
                <w:spacing w:val="5"/>
                <w:sz w:val="20"/>
                <w:szCs w:val="20"/>
              </w:rPr>
              <w:t>第</w:t>
            </w:r>
            <w:r>
              <w:rPr>
                <w:spacing w:val="-34"/>
                <w:sz w:val="20"/>
                <w:szCs w:val="20"/>
              </w:rPr>
              <w:t xml:space="preserve"> </w:t>
            </w:r>
            <w:r>
              <w:rPr>
                <w:rFonts w:ascii="Times New Roman" w:hAnsi="Times New Roman" w:eastAsia="Times New Roman" w:cs="Times New Roman"/>
                <w:spacing w:val="5"/>
                <w:sz w:val="20"/>
                <w:szCs w:val="20"/>
              </w:rPr>
              <w:t>95</w:t>
            </w:r>
            <w:r>
              <w:rPr>
                <w:rFonts w:ascii="Times New Roman" w:hAnsi="Times New Roman" w:eastAsia="Times New Roman" w:cs="Times New Roman"/>
                <w:spacing w:val="19"/>
                <w:sz w:val="20"/>
                <w:szCs w:val="20"/>
              </w:rPr>
              <w:t xml:space="preserve"> </w:t>
            </w:r>
            <w:r>
              <w:rPr>
                <w:spacing w:val="5"/>
                <w:sz w:val="20"/>
                <w:szCs w:val="20"/>
              </w:rPr>
              <w:t>百分位数日平均</w:t>
            </w:r>
          </w:p>
        </w:tc>
        <w:tc>
          <w:tcPr>
            <w:tcW w:w="988" w:type="dxa"/>
            <w:vAlign w:val="top"/>
          </w:tcPr>
          <w:p w14:paraId="13B9E0CD">
            <w:pPr>
              <w:spacing w:before="101" w:line="195" w:lineRule="auto"/>
              <w:ind w:left="3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150</w:t>
            </w:r>
          </w:p>
        </w:tc>
        <w:tc>
          <w:tcPr>
            <w:tcW w:w="1000" w:type="dxa"/>
            <w:vAlign w:val="top"/>
          </w:tcPr>
          <w:p w14:paraId="64650D66">
            <w:pPr>
              <w:spacing w:before="101" w:line="195"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156.6</w:t>
            </w:r>
          </w:p>
        </w:tc>
        <w:tc>
          <w:tcPr>
            <w:tcW w:w="974" w:type="dxa"/>
            <w:vAlign w:val="top"/>
          </w:tcPr>
          <w:p w14:paraId="6CD32762">
            <w:pPr>
              <w:spacing w:before="101" w:line="195" w:lineRule="auto"/>
              <w:ind w:left="2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689.33</w:t>
            </w:r>
          </w:p>
        </w:tc>
        <w:tc>
          <w:tcPr>
            <w:tcW w:w="1076" w:type="dxa"/>
            <w:vAlign w:val="top"/>
          </w:tcPr>
          <w:p w14:paraId="37DCB327">
            <w:pPr>
              <w:spacing w:before="101"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5.48</w:t>
            </w:r>
          </w:p>
        </w:tc>
        <w:tc>
          <w:tcPr>
            <w:tcW w:w="1169" w:type="dxa"/>
            <w:tcBorders>
              <w:right w:val="nil"/>
            </w:tcBorders>
            <w:vAlign w:val="top"/>
          </w:tcPr>
          <w:p w14:paraId="6FA1A4F9">
            <w:pPr>
              <w:pStyle w:val="6"/>
              <w:spacing w:before="65" w:line="228" w:lineRule="auto"/>
              <w:ind w:left="280"/>
              <w:rPr>
                <w:sz w:val="20"/>
                <w:szCs w:val="20"/>
              </w:rPr>
            </w:pPr>
            <w:r>
              <w:rPr>
                <w:spacing w:val="5"/>
                <w:sz w:val="20"/>
                <w:szCs w:val="20"/>
              </w:rPr>
              <w:t>不达标</w:t>
            </w:r>
          </w:p>
        </w:tc>
      </w:tr>
      <w:tr w14:paraId="058DCF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818" w:type="dxa"/>
            <w:vMerge w:val="restart"/>
            <w:tcBorders>
              <w:left w:val="nil"/>
              <w:bottom w:val="nil"/>
            </w:tcBorders>
            <w:vAlign w:val="top"/>
          </w:tcPr>
          <w:p w14:paraId="365D53A1">
            <w:pPr>
              <w:spacing w:before="278" w:line="199" w:lineRule="auto"/>
              <w:ind w:left="173"/>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7"/>
                <w:position w:val="-1"/>
                <w:sz w:val="13"/>
                <w:szCs w:val="13"/>
              </w:rPr>
              <w:t>2.5</w:t>
            </w:r>
          </w:p>
        </w:tc>
        <w:tc>
          <w:tcPr>
            <w:tcW w:w="3041" w:type="dxa"/>
            <w:vAlign w:val="top"/>
          </w:tcPr>
          <w:p w14:paraId="71387106">
            <w:pPr>
              <w:pStyle w:val="6"/>
              <w:spacing w:before="83" w:line="219" w:lineRule="auto"/>
              <w:ind w:left="1002"/>
              <w:rPr>
                <w:sz w:val="20"/>
                <w:szCs w:val="20"/>
              </w:rPr>
            </w:pPr>
            <w:r>
              <w:rPr>
                <w:spacing w:val="7"/>
                <w:sz w:val="20"/>
                <w:szCs w:val="20"/>
              </w:rPr>
              <w:t>年平均浓度</w:t>
            </w:r>
          </w:p>
        </w:tc>
        <w:tc>
          <w:tcPr>
            <w:tcW w:w="988" w:type="dxa"/>
            <w:vAlign w:val="top"/>
          </w:tcPr>
          <w:p w14:paraId="79ED2696">
            <w:pPr>
              <w:spacing w:before="107" w:line="195" w:lineRule="auto"/>
              <w:ind w:left="394"/>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1000" w:type="dxa"/>
            <w:vAlign w:val="top"/>
          </w:tcPr>
          <w:p w14:paraId="53E2993A">
            <w:pPr>
              <w:spacing w:before="107" w:line="195" w:lineRule="auto"/>
              <w:ind w:left="41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974" w:type="dxa"/>
            <w:vAlign w:val="top"/>
          </w:tcPr>
          <w:p w14:paraId="7EE3E8EB">
            <w:pPr>
              <w:spacing w:before="103" w:line="199" w:lineRule="auto"/>
              <w:ind w:left="4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76" w:type="dxa"/>
            <w:vAlign w:val="top"/>
          </w:tcPr>
          <w:p w14:paraId="58E93F89">
            <w:pPr>
              <w:spacing w:before="103" w:line="199" w:lineRule="auto"/>
              <w:ind w:left="5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169" w:type="dxa"/>
            <w:tcBorders>
              <w:right w:val="nil"/>
            </w:tcBorders>
            <w:vAlign w:val="top"/>
          </w:tcPr>
          <w:p w14:paraId="005465A8">
            <w:pPr>
              <w:pStyle w:val="6"/>
              <w:spacing w:before="69" w:line="228" w:lineRule="auto"/>
              <w:ind w:left="379"/>
              <w:rPr>
                <w:sz w:val="20"/>
                <w:szCs w:val="20"/>
              </w:rPr>
            </w:pPr>
            <w:r>
              <w:rPr>
                <w:spacing w:val="5"/>
                <w:sz w:val="20"/>
                <w:szCs w:val="20"/>
              </w:rPr>
              <w:t>达标</w:t>
            </w:r>
          </w:p>
        </w:tc>
      </w:tr>
      <w:tr w14:paraId="7A19E2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818" w:type="dxa"/>
            <w:vMerge w:val="continue"/>
            <w:tcBorders>
              <w:top w:val="nil"/>
              <w:left w:val="nil"/>
            </w:tcBorders>
            <w:vAlign w:val="top"/>
          </w:tcPr>
          <w:p w14:paraId="284153EC">
            <w:pPr>
              <w:rPr>
                <w:rFonts w:ascii="Arial"/>
                <w:sz w:val="21"/>
              </w:rPr>
            </w:pPr>
          </w:p>
        </w:tc>
        <w:tc>
          <w:tcPr>
            <w:tcW w:w="3041" w:type="dxa"/>
            <w:vAlign w:val="top"/>
          </w:tcPr>
          <w:p w14:paraId="282D49FF">
            <w:pPr>
              <w:pStyle w:val="6"/>
              <w:spacing w:before="88" w:line="215" w:lineRule="auto"/>
              <w:ind w:left="528"/>
              <w:rPr>
                <w:sz w:val="20"/>
                <w:szCs w:val="20"/>
              </w:rPr>
            </w:pPr>
            <w:r>
              <w:rPr>
                <w:spacing w:val="5"/>
                <w:sz w:val="20"/>
                <w:szCs w:val="20"/>
              </w:rPr>
              <w:t>第</w:t>
            </w:r>
            <w:r>
              <w:rPr>
                <w:spacing w:val="-34"/>
                <w:sz w:val="20"/>
                <w:szCs w:val="20"/>
              </w:rPr>
              <w:t xml:space="preserve"> </w:t>
            </w:r>
            <w:r>
              <w:rPr>
                <w:rFonts w:ascii="Times New Roman" w:hAnsi="Times New Roman" w:eastAsia="Times New Roman" w:cs="Times New Roman"/>
                <w:spacing w:val="5"/>
                <w:sz w:val="20"/>
                <w:szCs w:val="20"/>
              </w:rPr>
              <w:t>95</w:t>
            </w:r>
            <w:r>
              <w:rPr>
                <w:rFonts w:ascii="Times New Roman" w:hAnsi="Times New Roman" w:eastAsia="Times New Roman" w:cs="Times New Roman"/>
                <w:spacing w:val="19"/>
                <w:sz w:val="20"/>
                <w:szCs w:val="20"/>
              </w:rPr>
              <w:t xml:space="preserve"> </w:t>
            </w:r>
            <w:r>
              <w:rPr>
                <w:spacing w:val="5"/>
                <w:sz w:val="20"/>
                <w:szCs w:val="20"/>
              </w:rPr>
              <w:t>百分位数日平均</w:t>
            </w:r>
          </w:p>
        </w:tc>
        <w:tc>
          <w:tcPr>
            <w:tcW w:w="988" w:type="dxa"/>
            <w:vAlign w:val="top"/>
          </w:tcPr>
          <w:p w14:paraId="400A9F58">
            <w:pPr>
              <w:spacing w:before="112" w:line="192" w:lineRule="auto"/>
              <w:ind w:left="39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75</w:t>
            </w:r>
          </w:p>
        </w:tc>
        <w:tc>
          <w:tcPr>
            <w:tcW w:w="1000" w:type="dxa"/>
            <w:vAlign w:val="top"/>
          </w:tcPr>
          <w:p w14:paraId="6EDA9F10">
            <w:pPr>
              <w:spacing w:before="109" w:line="195" w:lineRule="auto"/>
              <w:ind w:left="32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33.8</w:t>
            </w:r>
          </w:p>
        </w:tc>
        <w:tc>
          <w:tcPr>
            <w:tcW w:w="974" w:type="dxa"/>
            <w:vAlign w:val="top"/>
          </w:tcPr>
          <w:p w14:paraId="4C91812A">
            <w:pPr>
              <w:spacing w:before="109" w:line="195" w:lineRule="auto"/>
              <w:ind w:left="19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218.67</w:t>
            </w:r>
          </w:p>
        </w:tc>
        <w:tc>
          <w:tcPr>
            <w:tcW w:w="1076" w:type="dxa"/>
            <w:vAlign w:val="top"/>
          </w:tcPr>
          <w:p w14:paraId="4ED7AF6C">
            <w:pPr>
              <w:spacing w:before="109" w:line="195" w:lineRule="auto"/>
              <w:ind w:left="3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1.10</w:t>
            </w:r>
          </w:p>
        </w:tc>
        <w:tc>
          <w:tcPr>
            <w:tcW w:w="1169" w:type="dxa"/>
            <w:tcBorders>
              <w:right w:val="nil"/>
            </w:tcBorders>
            <w:vAlign w:val="top"/>
          </w:tcPr>
          <w:p w14:paraId="1BA4E68F">
            <w:pPr>
              <w:pStyle w:val="6"/>
              <w:spacing w:before="73" w:line="228" w:lineRule="auto"/>
              <w:ind w:left="379"/>
              <w:rPr>
                <w:sz w:val="20"/>
                <w:szCs w:val="20"/>
              </w:rPr>
            </w:pPr>
            <w:r>
              <w:rPr>
                <w:spacing w:val="5"/>
                <w:sz w:val="20"/>
                <w:szCs w:val="20"/>
              </w:rPr>
              <w:t>达标</w:t>
            </w:r>
          </w:p>
        </w:tc>
      </w:tr>
      <w:tr w14:paraId="76B337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818" w:type="dxa"/>
            <w:tcBorders>
              <w:left w:val="nil"/>
            </w:tcBorders>
            <w:vAlign w:val="top"/>
          </w:tcPr>
          <w:p w14:paraId="1DA895A3">
            <w:pPr>
              <w:spacing w:before="114" w:line="202" w:lineRule="auto"/>
              <w:ind w:left="304"/>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O</w:t>
            </w:r>
            <w:r>
              <w:rPr>
                <w:rFonts w:ascii="Times New Roman" w:hAnsi="Times New Roman" w:eastAsia="Times New Roman" w:cs="Times New Roman"/>
                <w:spacing w:val="1"/>
                <w:position w:val="-1"/>
                <w:sz w:val="13"/>
                <w:szCs w:val="13"/>
              </w:rPr>
              <w:t>3</w:t>
            </w:r>
          </w:p>
        </w:tc>
        <w:tc>
          <w:tcPr>
            <w:tcW w:w="3041" w:type="dxa"/>
            <w:vAlign w:val="top"/>
          </w:tcPr>
          <w:p w14:paraId="5853C5EE">
            <w:pPr>
              <w:pStyle w:val="6"/>
              <w:spacing w:before="92" w:line="211" w:lineRule="auto"/>
              <w:ind w:left="108"/>
              <w:rPr>
                <w:sz w:val="20"/>
                <w:szCs w:val="20"/>
              </w:rPr>
            </w:pPr>
            <w:r>
              <w:rPr>
                <w:spacing w:val="4"/>
                <w:sz w:val="20"/>
                <w:szCs w:val="20"/>
              </w:rPr>
              <w:t>第</w:t>
            </w:r>
            <w:r>
              <w:rPr>
                <w:spacing w:val="-36"/>
                <w:sz w:val="20"/>
                <w:szCs w:val="20"/>
              </w:rPr>
              <w:t xml:space="preserve"> </w:t>
            </w:r>
            <w:r>
              <w:rPr>
                <w:rFonts w:ascii="Times New Roman" w:hAnsi="Times New Roman" w:eastAsia="Times New Roman" w:cs="Times New Roman"/>
                <w:spacing w:val="4"/>
                <w:sz w:val="20"/>
                <w:szCs w:val="20"/>
              </w:rPr>
              <w:t>90</w:t>
            </w:r>
            <w:r>
              <w:rPr>
                <w:rFonts w:ascii="Times New Roman" w:hAnsi="Times New Roman" w:eastAsia="Times New Roman" w:cs="Times New Roman"/>
                <w:spacing w:val="19"/>
                <w:w w:val="101"/>
                <w:sz w:val="20"/>
                <w:szCs w:val="20"/>
              </w:rPr>
              <w:t xml:space="preserve"> </w:t>
            </w:r>
            <w:r>
              <w:rPr>
                <w:spacing w:val="4"/>
                <w:sz w:val="20"/>
                <w:szCs w:val="20"/>
              </w:rPr>
              <w:t>百分位数</w:t>
            </w:r>
            <w:r>
              <w:rPr>
                <w:spacing w:val="-35"/>
                <w:sz w:val="20"/>
                <w:szCs w:val="20"/>
              </w:rPr>
              <w:t xml:space="preserve"> </w:t>
            </w:r>
            <w:r>
              <w:rPr>
                <w:rFonts w:ascii="Times New Roman" w:hAnsi="Times New Roman" w:eastAsia="Times New Roman" w:cs="Times New Roman"/>
                <w:spacing w:val="4"/>
                <w:sz w:val="20"/>
                <w:szCs w:val="20"/>
              </w:rPr>
              <w:t>8</w:t>
            </w:r>
            <w:r>
              <w:rPr>
                <w:rFonts w:ascii="Times New Roman" w:hAnsi="Times New Roman" w:eastAsia="Times New Roman" w:cs="Times New Roman"/>
                <w:spacing w:val="18"/>
                <w:w w:val="101"/>
                <w:sz w:val="20"/>
                <w:szCs w:val="20"/>
              </w:rPr>
              <w:t xml:space="preserve"> </w:t>
            </w:r>
            <w:r>
              <w:rPr>
                <w:spacing w:val="4"/>
                <w:sz w:val="20"/>
                <w:szCs w:val="20"/>
              </w:rPr>
              <w:t>小时平均浓度</w:t>
            </w:r>
          </w:p>
        </w:tc>
        <w:tc>
          <w:tcPr>
            <w:tcW w:w="988" w:type="dxa"/>
            <w:vAlign w:val="top"/>
          </w:tcPr>
          <w:p w14:paraId="5228217F">
            <w:pPr>
              <w:spacing w:before="114" w:line="195" w:lineRule="auto"/>
              <w:ind w:left="3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160</w:t>
            </w:r>
          </w:p>
        </w:tc>
        <w:tc>
          <w:tcPr>
            <w:tcW w:w="1000" w:type="dxa"/>
            <w:vAlign w:val="top"/>
          </w:tcPr>
          <w:p w14:paraId="4568BFDB">
            <w:pPr>
              <w:spacing w:before="114" w:line="195" w:lineRule="auto"/>
              <w:ind w:left="36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127</w:t>
            </w:r>
          </w:p>
        </w:tc>
        <w:tc>
          <w:tcPr>
            <w:tcW w:w="974" w:type="dxa"/>
            <w:vAlign w:val="top"/>
          </w:tcPr>
          <w:p w14:paraId="19B188DD">
            <w:pPr>
              <w:spacing w:before="114" w:line="195" w:lineRule="auto"/>
              <w:ind w:left="219"/>
              <w:rPr>
                <w:rFonts w:ascii="Times New Roman" w:hAnsi="Times New Roman" w:eastAsia="Times New Roman" w:cs="Times New Roman"/>
                <w:sz w:val="20"/>
                <w:szCs w:val="20"/>
              </w:rPr>
            </w:pPr>
            <w:r>
              <w:rPr>
                <w:rFonts w:ascii="Times New Roman" w:hAnsi="Times New Roman" w:eastAsia="Times New Roman" w:cs="Times New Roman"/>
                <w:sz w:val="20"/>
                <w:szCs w:val="20"/>
              </w:rPr>
              <w:t>124.38</w:t>
            </w:r>
          </w:p>
        </w:tc>
        <w:tc>
          <w:tcPr>
            <w:tcW w:w="1076" w:type="dxa"/>
            <w:vAlign w:val="top"/>
          </w:tcPr>
          <w:p w14:paraId="409B3020">
            <w:pPr>
              <w:spacing w:before="114" w:line="195" w:lineRule="auto"/>
              <w:ind w:left="3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1.92</w:t>
            </w:r>
          </w:p>
        </w:tc>
        <w:tc>
          <w:tcPr>
            <w:tcW w:w="1169" w:type="dxa"/>
            <w:tcBorders>
              <w:right w:val="nil"/>
            </w:tcBorders>
            <w:vAlign w:val="top"/>
          </w:tcPr>
          <w:p w14:paraId="44BD823B">
            <w:pPr>
              <w:pStyle w:val="6"/>
              <w:spacing w:before="78" w:line="224" w:lineRule="auto"/>
              <w:ind w:left="379"/>
              <w:rPr>
                <w:sz w:val="20"/>
                <w:szCs w:val="20"/>
              </w:rPr>
            </w:pPr>
            <w:r>
              <w:rPr>
                <w:spacing w:val="5"/>
                <w:sz w:val="20"/>
                <w:szCs w:val="20"/>
              </w:rPr>
              <w:t>达标</w:t>
            </w:r>
          </w:p>
        </w:tc>
      </w:tr>
      <w:tr w14:paraId="2DF1FE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7" w:hRule="atLeast"/>
        </w:trPr>
        <w:tc>
          <w:tcPr>
            <w:tcW w:w="818" w:type="dxa"/>
            <w:tcBorders>
              <w:left w:val="nil"/>
              <w:bottom w:val="single" w:color="000000" w:sz="10" w:space="0"/>
            </w:tcBorders>
            <w:vAlign w:val="top"/>
          </w:tcPr>
          <w:p w14:paraId="6710CF64">
            <w:pPr>
              <w:spacing w:before="116" w:line="195" w:lineRule="auto"/>
              <w:ind w:left="26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CO</w:t>
            </w:r>
          </w:p>
        </w:tc>
        <w:tc>
          <w:tcPr>
            <w:tcW w:w="3041" w:type="dxa"/>
            <w:tcBorders>
              <w:bottom w:val="single" w:color="000000" w:sz="10" w:space="0"/>
            </w:tcBorders>
            <w:vAlign w:val="top"/>
          </w:tcPr>
          <w:p w14:paraId="5C86738D">
            <w:pPr>
              <w:pStyle w:val="6"/>
              <w:spacing w:before="94" w:line="228" w:lineRule="auto"/>
              <w:ind w:left="528"/>
              <w:rPr>
                <w:sz w:val="20"/>
                <w:szCs w:val="20"/>
              </w:rPr>
            </w:pPr>
            <w:r>
              <w:rPr>
                <w:spacing w:val="5"/>
                <w:sz w:val="20"/>
                <w:szCs w:val="20"/>
              </w:rPr>
              <w:t>第</w:t>
            </w:r>
            <w:r>
              <w:rPr>
                <w:spacing w:val="-34"/>
                <w:sz w:val="20"/>
                <w:szCs w:val="20"/>
              </w:rPr>
              <w:t xml:space="preserve"> </w:t>
            </w:r>
            <w:r>
              <w:rPr>
                <w:rFonts w:ascii="Times New Roman" w:hAnsi="Times New Roman" w:eastAsia="Times New Roman" w:cs="Times New Roman"/>
                <w:spacing w:val="5"/>
                <w:sz w:val="20"/>
                <w:szCs w:val="20"/>
              </w:rPr>
              <w:t>95</w:t>
            </w:r>
            <w:r>
              <w:rPr>
                <w:rFonts w:ascii="Times New Roman" w:hAnsi="Times New Roman" w:eastAsia="Times New Roman" w:cs="Times New Roman"/>
                <w:spacing w:val="19"/>
                <w:sz w:val="20"/>
                <w:szCs w:val="20"/>
              </w:rPr>
              <w:t xml:space="preserve"> </w:t>
            </w:r>
            <w:r>
              <w:rPr>
                <w:spacing w:val="5"/>
                <w:sz w:val="20"/>
                <w:szCs w:val="20"/>
              </w:rPr>
              <w:t>百分位数日平均</w:t>
            </w:r>
          </w:p>
        </w:tc>
        <w:tc>
          <w:tcPr>
            <w:tcW w:w="988" w:type="dxa"/>
            <w:tcBorders>
              <w:bottom w:val="single" w:color="000000" w:sz="10" w:space="0"/>
            </w:tcBorders>
            <w:vAlign w:val="top"/>
          </w:tcPr>
          <w:p w14:paraId="350FA86F">
            <w:pPr>
              <w:spacing w:before="98" w:line="218" w:lineRule="auto"/>
              <w:ind w:left="16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4</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/m</w:t>
            </w:r>
            <w:r>
              <w:rPr>
                <w:rFonts w:ascii="Times New Roman" w:hAnsi="Times New Roman" w:eastAsia="Times New Roman" w:cs="Times New Roman"/>
                <w:spacing w:val="7"/>
                <w:position w:val="6"/>
                <w:sz w:val="13"/>
                <w:szCs w:val="13"/>
              </w:rPr>
              <w:t>3</w:t>
            </w:r>
          </w:p>
        </w:tc>
        <w:tc>
          <w:tcPr>
            <w:tcW w:w="1000" w:type="dxa"/>
            <w:tcBorders>
              <w:bottom w:val="single" w:color="000000" w:sz="10" w:space="0"/>
            </w:tcBorders>
            <w:vAlign w:val="top"/>
          </w:tcPr>
          <w:p w14:paraId="55FF636A">
            <w:pPr>
              <w:spacing w:before="98" w:line="218" w:lineRule="auto"/>
              <w:ind w:left="94"/>
              <w:rPr>
                <w:rFonts w:ascii="Times New Roman" w:hAnsi="Times New Roman" w:eastAsia="Times New Roman" w:cs="Times New Roman"/>
                <w:sz w:val="13"/>
                <w:szCs w:val="13"/>
              </w:rPr>
            </w:pPr>
            <w:r>
              <w:rPr>
                <w:rFonts w:ascii="Times New Roman" w:hAnsi="Times New Roman" w:eastAsia="Times New Roman" w:cs="Times New Roman"/>
                <w:spacing w:val="5"/>
                <w:sz w:val="20"/>
                <w:szCs w:val="20"/>
              </w:rPr>
              <w:t>0.4</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/m</w:t>
            </w:r>
            <w:r>
              <w:rPr>
                <w:rFonts w:ascii="Times New Roman" w:hAnsi="Times New Roman" w:eastAsia="Times New Roman" w:cs="Times New Roman"/>
                <w:spacing w:val="5"/>
                <w:position w:val="6"/>
                <w:sz w:val="13"/>
                <w:szCs w:val="13"/>
              </w:rPr>
              <w:t>3</w:t>
            </w:r>
          </w:p>
        </w:tc>
        <w:tc>
          <w:tcPr>
            <w:tcW w:w="974" w:type="dxa"/>
            <w:tcBorders>
              <w:bottom w:val="single" w:color="000000" w:sz="10" w:space="0"/>
            </w:tcBorders>
            <w:vAlign w:val="top"/>
          </w:tcPr>
          <w:p w14:paraId="526FB8FC">
            <w:pPr>
              <w:spacing w:before="119" w:line="195" w:lineRule="auto"/>
              <w:ind w:left="2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17.50</w:t>
            </w:r>
          </w:p>
        </w:tc>
        <w:tc>
          <w:tcPr>
            <w:tcW w:w="1076" w:type="dxa"/>
            <w:tcBorders>
              <w:bottom w:val="single" w:color="000000" w:sz="10" w:space="0"/>
            </w:tcBorders>
            <w:vAlign w:val="top"/>
          </w:tcPr>
          <w:p w14:paraId="4AD60CD8">
            <w:pPr>
              <w:spacing w:before="119" w:line="195" w:lineRule="auto"/>
              <w:ind w:left="3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1169" w:type="dxa"/>
            <w:tcBorders>
              <w:bottom w:val="single" w:color="000000" w:sz="10" w:space="0"/>
              <w:right w:val="nil"/>
            </w:tcBorders>
            <w:vAlign w:val="top"/>
          </w:tcPr>
          <w:p w14:paraId="54A10DE3">
            <w:pPr>
              <w:pStyle w:val="6"/>
              <w:spacing w:before="81" w:line="228" w:lineRule="auto"/>
              <w:ind w:left="379"/>
              <w:rPr>
                <w:sz w:val="20"/>
                <w:szCs w:val="20"/>
              </w:rPr>
            </w:pPr>
            <w:r>
              <w:rPr>
                <w:spacing w:val="5"/>
                <w:sz w:val="20"/>
                <w:szCs w:val="20"/>
              </w:rPr>
              <w:t>达标</w:t>
            </w:r>
          </w:p>
        </w:tc>
      </w:tr>
    </w:tbl>
    <w:p w14:paraId="7058CD1D">
      <w:pPr>
        <w:spacing w:before="34" w:line="355" w:lineRule="auto"/>
        <w:ind w:left="115" w:right="28" w:firstLine="480"/>
        <w:jc w:val="both"/>
        <w:rPr>
          <w:rFonts w:ascii="宋体" w:hAnsi="宋体" w:eastAsia="宋体" w:cs="宋体"/>
          <w:sz w:val="24"/>
          <w:szCs w:val="24"/>
        </w:rPr>
      </w:pPr>
      <w:r>
        <w:rPr>
          <w:rFonts w:ascii="宋体" w:hAnsi="宋体" w:eastAsia="宋体" w:cs="宋体"/>
          <w:spacing w:val="-3"/>
          <w:sz w:val="24"/>
          <w:szCs w:val="24"/>
        </w:rPr>
        <w:t>表</w:t>
      </w:r>
      <w:r>
        <w:rPr>
          <w:rFonts w:ascii="宋体" w:hAnsi="宋体" w:eastAsia="宋体" w:cs="宋体"/>
          <w:spacing w:val="-33"/>
          <w:sz w:val="24"/>
          <w:szCs w:val="24"/>
        </w:rPr>
        <w:t xml:space="preserve"> </w:t>
      </w:r>
      <w:r>
        <w:rPr>
          <w:rFonts w:ascii="Times New Roman" w:hAnsi="Times New Roman" w:eastAsia="Times New Roman" w:cs="Times New Roman"/>
          <w:spacing w:val="-3"/>
          <w:sz w:val="24"/>
          <w:szCs w:val="24"/>
        </w:rPr>
        <w:t>3.3-2</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看出：</w:t>
      </w:r>
      <w:r>
        <w:rPr>
          <w:rFonts w:ascii="Times New Roman" w:hAnsi="Times New Roman" w:eastAsia="Times New Roman" w:cs="Times New Roman"/>
          <w:spacing w:val="-3"/>
          <w:sz w:val="24"/>
          <w:szCs w:val="24"/>
        </w:rPr>
        <w:t>SO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11"/>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NO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7"/>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PM</w:t>
      </w:r>
      <w:r>
        <w:rPr>
          <w:rFonts w:ascii="Times New Roman" w:hAnsi="Times New Roman" w:eastAsia="Times New Roman" w:cs="Times New Roman"/>
          <w:spacing w:val="-3"/>
          <w:position w:val="-1"/>
          <w:sz w:val="15"/>
          <w:szCs w:val="15"/>
        </w:rPr>
        <w:t>10</w:t>
      </w:r>
      <w:r>
        <w:rPr>
          <w:rFonts w:ascii="Times New Roman" w:hAnsi="Times New Roman" w:eastAsia="Times New Roman" w:cs="Times New Roman"/>
          <w:spacing w:val="-10"/>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PM</w:t>
      </w:r>
      <w:r>
        <w:rPr>
          <w:rFonts w:ascii="Times New Roman" w:hAnsi="Times New Roman" w:eastAsia="Times New Roman" w:cs="Times New Roman"/>
          <w:spacing w:val="-3"/>
          <w:position w:val="-1"/>
          <w:sz w:val="15"/>
          <w:szCs w:val="15"/>
        </w:rPr>
        <w:t>2.5</w:t>
      </w:r>
      <w:r>
        <w:rPr>
          <w:rFonts w:ascii="Times New Roman" w:hAnsi="Times New Roman" w:eastAsia="Times New Roman" w:cs="Times New Roman"/>
          <w:spacing w:val="33"/>
          <w:w w:val="101"/>
          <w:position w:val="-1"/>
          <w:sz w:val="15"/>
          <w:szCs w:val="15"/>
        </w:rPr>
        <w:t xml:space="preserve"> </w:t>
      </w:r>
      <w:r>
        <w:rPr>
          <w:rFonts w:ascii="宋体" w:hAnsi="宋体" w:eastAsia="宋体" w:cs="宋体"/>
          <w:spacing w:val="-3"/>
          <w:sz w:val="24"/>
          <w:szCs w:val="24"/>
        </w:rPr>
        <w:t>的年平均浓度值，</w:t>
      </w:r>
      <w:r>
        <w:rPr>
          <w:rFonts w:ascii="Times New Roman" w:hAnsi="Times New Roman" w:eastAsia="Times New Roman" w:cs="Times New Roman"/>
          <w:spacing w:val="-3"/>
          <w:sz w:val="24"/>
          <w:szCs w:val="24"/>
        </w:rPr>
        <w:t>SO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10"/>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NO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11"/>
          <w:w w:val="101"/>
          <w:position w:val="-1"/>
          <w:sz w:val="15"/>
          <w:szCs w:val="15"/>
        </w:rPr>
        <w:t xml:space="preserve"> </w:t>
      </w:r>
      <w:r>
        <w:rPr>
          <w:rFonts w:ascii="宋体" w:hAnsi="宋体" w:eastAsia="宋体" w:cs="宋体"/>
          <w:spacing w:val="-3"/>
          <w:sz w:val="24"/>
          <w:szCs w:val="24"/>
        </w:rPr>
        <w:t>第</w:t>
      </w:r>
      <w:r>
        <w:rPr>
          <w:rFonts w:ascii="宋体" w:hAnsi="宋体" w:eastAsia="宋体" w:cs="宋体"/>
          <w:spacing w:val="-46"/>
          <w:sz w:val="24"/>
          <w:szCs w:val="24"/>
        </w:rPr>
        <w:t xml:space="preserve"> </w:t>
      </w:r>
      <w:r>
        <w:rPr>
          <w:rFonts w:ascii="Times New Roman" w:hAnsi="Times New Roman" w:eastAsia="Times New Roman" w:cs="Times New Roman"/>
          <w:spacing w:val="-3"/>
          <w:sz w:val="24"/>
          <w:szCs w:val="24"/>
        </w:rPr>
        <w:t>98</w:t>
      </w:r>
      <w:r>
        <w:rPr>
          <w:rFonts w:ascii="Times New Roman" w:hAnsi="Times New Roman" w:eastAsia="Times New Roman" w:cs="Times New Roman"/>
          <w:spacing w:val="20"/>
          <w:w w:val="101"/>
          <w:sz w:val="24"/>
          <w:szCs w:val="24"/>
        </w:rPr>
        <w:t xml:space="preserve"> </w:t>
      </w:r>
      <w:r>
        <w:rPr>
          <w:rFonts w:ascii="宋体" w:hAnsi="宋体" w:eastAsia="宋体" w:cs="宋体"/>
          <w:spacing w:val="-3"/>
          <w:sz w:val="24"/>
          <w:szCs w:val="24"/>
        </w:rPr>
        <w:t>百分位</w:t>
      </w:r>
      <w:r>
        <w:rPr>
          <w:rFonts w:ascii="宋体" w:hAnsi="宋体" w:eastAsia="宋体" w:cs="宋体"/>
          <w:sz w:val="24"/>
          <w:szCs w:val="24"/>
        </w:rPr>
        <w:t xml:space="preserve"> </w:t>
      </w:r>
      <w:r>
        <w:rPr>
          <w:rFonts w:ascii="宋体" w:hAnsi="宋体" w:eastAsia="宋体" w:cs="宋体"/>
          <w:spacing w:val="-4"/>
          <w:sz w:val="24"/>
          <w:szCs w:val="24"/>
        </w:rPr>
        <w:t>数日平均浓度，</w:t>
      </w:r>
      <w:r>
        <w:rPr>
          <w:rFonts w:ascii="Times New Roman" w:hAnsi="Times New Roman" w:eastAsia="Times New Roman" w:cs="Times New Roman"/>
          <w:spacing w:val="-4"/>
          <w:sz w:val="24"/>
          <w:szCs w:val="24"/>
        </w:rPr>
        <w:t>PM</w:t>
      </w:r>
      <w:r>
        <w:rPr>
          <w:rFonts w:ascii="Times New Roman" w:hAnsi="Times New Roman" w:eastAsia="Times New Roman" w:cs="Times New Roman"/>
          <w:spacing w:val="-4"/>
          <w:position w:val="-1"/>
          <w:sz w:val="15"/>
          <w:szCs w:val="15"/>
        </w:rPr>
        <w:t>2.5</w:t>
      </w:r>
      <w:r>
        <w:rPr>
          <w:rFonts w:ascii="宋体" w:hAnsi="宋体" w:eastAsia="宋体" w:cs="宋体"/>
          <w:spacing w:val="-4"/>
          <w:sz w:val="24"/>
          <w:szCs w:val="24"/>
        </w:rPr>
        <w:t>、</w:t>
      </w:r>
      <w:r>
        <w:rPr>
          <w:rFonts w:ascii="Times New Roman" w:hAnsi="Times New Roman" w:eastAsia="Times New Roman" w:cs="Times New Roman"/>
          <w:spacing w:val="-4"/>
          <w:sz w:val="24"/>
          <w:szCs w:val="24"/>
        </w:rPr>
        <w:t xml:space="preserve">CO </w:t>
      </w:r>
      <w:r>
        <w:rPr>
          <w:rFonts w:ascii="宋体" w:hAnsi="宋体" w:eastAsia="宋体" w:cs="宋体"/>
          <w:spacing w:val="-4"/>
          <w:sz w:val="24"/>
          <w:szCs w:val="24"/>
        </w:rPr>
        <w:t>第</w:t>
      </w:r>
      <w:r>
        <w:rPr>
          <w:rFonts w:ascii="宋体" w:hAnsi="宋体" w:eastAsia="宋体" w:cs="宋体"/>
          <w:spacing w:val="-40"/>
          <w:sz w:val="24"/>
          <w:szCs w:val="24"/>
        </w:rPr>
        <w:t xml:space="preserve"> </w:t>
      </w:r>
      <w:r>
        <w:rPr>
          <w:rFonts w:ascii="Times New Roman" w:hAnsi="Times New Roman" w:eastAsia="Times New Roman" w:cs="Times New Roman"/>
          <w:spacing w:val="-4"/>
          <w:sz w:val="24"/>
          <w:szCs w:val="24"/>
        </w:rPr>
        <w:t>95</w:t>
      </w:r>
      <w:r>
        <w:rPr>
          <w:rFonts w:ascii="Times New Roman" w:hAnsi="Times New Roman" w:eastAsia="Times New Roman" w:cs="Times New Roman"/>
          <w:spacing w:val="18"/>
          <w:sz w:val="24"/>
          <w:szCs w:val="24"/>
        </w:rPr>
        <w:t xml:space="preserve"> </w:t>
      </w:r>
      <w:r>
        <w:rPr>
          <w:rFonts w:ascii="宋体" w:hAnsi="宋体" w:eastAsia="宋体" w:cs="宋体"/>
          <w:spacing w:val="-4"/>
          <w:sz w:val="24"/>
          <w:szCs w:val="24"/>
        </w:rPr>
        <w:t>百分位数日平均浓度，</w:t>
      </w:r>
      <w:r>
        <w:rPr>
          <w:rFonts w:ascii="Times New Roman" w:hAnsi="Times New Roman" w:eastAsia="Times New Roman" w:cs="Times New Roman"/>
          <w:spacing w:val="-4"/>
          <w:sz w:val="24"/>
          <w:szCs w:val="24"/>
        </w:rPr>
        <w:t>O</w:t>
      </w:r>
      <w:r>
        <w:rPr>
          <w:rFonts w:ascii="Times New Roman" w:hAnsi="Times New Roman" w:eastAsia="Times New Roman" w:cs="Times New Roman"/>
          <w:spacing w:val="-4"/>
          <w:position w:val="-1"/>
          <w:sz w:val="15"/>
          <w:szCs w:val="15"/>
        </w:rPr>
        <w:t>3</w:t>
      </w:r>
      <w:r>
        <w:rPr>
          <w:rFonts w:ascii="Times New Roman" w:hAnsi="Times New Roman" w:eastAsia="Times New Roman" w:cs="Times New Roman"/>
          <w:spacing w:val="9"/>
          <w:position w:val="-1"/>
          <w:sz w:val="15"/>
          <w:szCs w:val="15"/>
        </w:rPr>
        <w:t xml:space="preserve"> </w:t>
      </w:r>
      <w:r>
        <w:rPr>
          <w:rFonts w:ascii="宋体" w:hAnsi="宋体" w:eastAsia="宋体" w:cs="宋体"/>
          <w:spacing w:val="-4"/>
          <w:sz w:val="24"/>
          <w:szCs w:val="24"/>
        </w:rPr>
        <w:t>第</w:t>
      </w:r>
      <w:r>
        <w:rPr>
          <w:rFonts w:ascii="宋体" w:hAnsi="宋体" w:eastAsia="宋体" w:cs="宋体"/>
          <w:spacing w:val="-51"/>
          <w:sz w:val="24"/>
          <w:szCs w:val="24"/>
        </w:rPr>
        <w:t xml:space="preserve"> </w:t>
      </w:r>
      <w:r>
        <w:rPr>
          <w:rFonts w:ascii="Times New Roman" w:hAnsi="Times New Roman" w:eastAsia="Times New Roman" w:cs="Times New Roman"/>
          <w:spacing w:val="-4"/>
          <w:sz w:val="24"/>
          <w:szCs w:val="24"/>
        </w:rPr>
        <w:t>90</w:t>
      </w:r>
      <w:r>
        <w:rPr>
          <w:rFonts w:ascii="Times New Roman" w:hAnsi="Times New Roman" w:eastAsia="Times New Roman" w:cs="Times New Roman"/>
          <w:spacing w:val="18"/>
          <w:sz w:val="24"/>
          <w:szCs w:val="24"/>
        </w:rPr>
        <w:t xml:space="preserve"> </w:t>
      </w:r>
      <w:r>
        <w:rPr>
          <w:rFonts w:ascii="宋体" w:hAnsi="宋体" w:eastAsia="宋体" w:cs="宋体"/>
          <w:spacing w:val="-4"/>
          <w:sz w:val="24"/>
          <w:szCs w:val="24"/>
        </w:rPr>
        <w:t>百分位数</w:t>
      </w:r>
      <w:r>
        <w:rPr>
          <w:rFonts w:ascii="宋体" w:hAnsi="宋体" w:eastAsia="宋体" w:cs="宋体"/>
          <w:spacing w:val="-45"/>
          <w:sz w:val="24"/>
          <w:szCs w:val="24"/>
        </w:rPr>
        <w:t xml:space="preserve"> </w:t>
      </w:r>
      <w:r>
        <w:rPr>
          <w:rFonts w:ascii="Times New Roman" w:hAnsi="Times New Roman" w:eastAsia="Times New Roman" w:cs="Times New Roman"/>
          <w:spacing w:val="-4"/>
          <w:sz w:val="24"/>
          <w:szCs w:val="24"/>
        </w:rPr>
        <w:t>8</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小时平均浓</w:t>
      </w:r>
      <w:r>
        <w:rPr>
          <w:rFonts w:ascii="宋体" w:hAnsi="宋体" w:eastAsia="宋体" w:cs="宋体"/>
          <w:sz w:val="24"/>
          <w:szCs w:val="24"/>
        </w:rPr>
        <w:t xml:space="preserve"> </w:t>
      </w:r>
      <w:r>
        <w:rPr>
          <w:rFonts w:ascii="宋体" w:hAnsi="宋体" w:eastAsia="宋体" w:cs="宋体"/>
          <w:spacing w:val="1"/>
          <w:sz w:val="24"/>
          <w:szCs w:val="24"/>
        </w:rPr>
        <w:t>度值，均符合《环境空气质量标准》（</w:t>
      </w:r>
      <w:r>
        <w:rPr>
          <w:rFonts w:ascii="Times New Roman" w:hAnsi="Times New Roman" w:eastAsia="Times New Roman" w:cs="Times New Roman"/>
          <w:sz w:val="24"/>
          <w:szCs w:val="24"/>
        </w:rPr>
        <w:t>GB</w:t>
      </w:r>
      <w:r>
        <w:rPr>
          <w:rFonts w:ascii="Times New Roman" w:hAnsi="Times New Roman" w:eastAsia="Times New Roman" w:cs="Times New Roman"/>
          <w:spacing w:val="1"/>
          <w:sz w:val="24"/>
          <w:szCs w:val="24"/>
        </w:rPr>
        <w:t xml:space="preserve"> 3095-2012</w:t>
      </w:r>
      <w:r>
        <w:rPr>
          <w:rFonts w:ascii="宋体" w:hAnsi="宋体" w:eastAsia="宋体" w:cs="宋体"/>
          <w:spacing w:val="1"/>
          <w:sz w:val="24"/>
          <w:szCs w:val="24"/>
        </w:rPr>
        <w:t>）及修改单二级标准，</w:t>
      </w:r>
      <w:r>
        <w:rPr>
          <w:rFonts w:ascii="Times New Roman" w:hAnsi="Times New Roman" w:eastAsia="Times New Roman" w:cs="Times New Roman"/>
          <w:sz w:val="24"/>
          <w:szCs w:val="24"/>
        </w:rPr>
        <w:t>PM</w:t>
      </w:r>
      <w:r>
        <w:rPr>
          <w:rFonts w:ascii="Times New Roman" w:hAnsi="Times New Roman" w:eastAsia="Times New Roman" w:cs="Times New Roman"/>
          <w:spacing w:val="1"/>
          <w:position w:val="-1"/>
          <w:sz w:val="15"/>
          <w:szCs w:val="15"/>
        </w:rPr>
        <w:t>10</w:t>
      </w:r>
      <w:r>
        <w:rPr>
          <w:rFonts w:ascii="Times New Roman" w:hAnsi="Times New Roman" w:eastAsia="Times New Roman" w:cs="Times New Roman"/>
          <w:spacing w:val="20"/>
          <w:w w:val="102"/>
          <w:position w:val="-1"/>
          <w:sz w:val="15"/>
          <w:szCs w:val="15"/>
        </w:rPr>
        <w:t xml:space="preserve"> </w:t>
      </w:r>
      <w:r>
        <w:rPr>
          <w:rFonts w:ascii="宋体" w:hAnsi="宋体" w:eastAsia="宋体" w:cs="宋体"/>
          <w:spacing w:val="1"/>
          <w:sz w:val="24"/>
          <w:szCs w:val="24"/>
        </w:rPr>
        <w:t>第</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95</w:t>
      </w:r>
      <w:r>
        <w:rPr>
          <w:rFonts w:ascii="Times New Roman" w:hAnsi="Times New Roman" w:eastAsia="Times New Roman" w:cs="Times New Roman"/>
          <w:sz w:val="24"/>
          <w:szCs w:val="24"/>
        </w:rPr>
        <w:t xml:space="preserve">  </w:t>
      </w:r>
      <w:r>
        <w:rPr>
          <w:rFonts w:ascii="宋体" w:hAnsi="宋体" w:eastAsia="宋体" w:cs="宋体"/>
          <w:spacing w:val="-4"/>
          <w:sz w:val="24"/>
          <w:szCs w:val="24"/>
        </w:rPr>
        <w:t>百分位数日平均浓度超标。</w:t>
      </w:r>
      <w:r>
        <w:rPr>
          <w:rFonts w:ascii="Times New Roman" w:hAnsi="Times New Roman" w:eastAsia="Times New Roman" w:cs="Times New Roman"/>
          <w:spacing w:val="-4"/>
          <w:sz w:val="24"/>
          <w:szCs w:val="24"/>
        </w:rPr>
        <w:t>SO</w:t>
      </w:r>
      <w:r>
        <w:rPr>
          <w:rFonts w:ascii="Times New Roman" w:hAnsi="Times New Roman" w:eastAsia="Times New Roman" w:cs="Times New Roman"/>
          <w:spacing w:val="-4"/>
          <w:position w:val="-1"/>
          <w:sz w:val="15"/>
          <w:szCs w:val="15"/>
        </w:rPr>
        <w:t>2</w:t>
      </w:r>
      <w:r>
        <w:rPr>
          <w:rFonts w:ascii="Times New Roman" w:hAnsi="Times New Roman" w:eastAsia="Times New Roman" w:cs="Times New Roman"/>
          <w:spacing w:val="1"/>
          <w:position w:val="-1"/>
          <w:sz w:val="15"/>
          <w:szCs w:val="15"/>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NO</w:t>
      </w:r>
      <w:r>
        <w:rPr>
          <w:rFonts w:ascii="Times New Roman" w:hAnsi="Times New Roman" w:eastAsia="Times New Roman" w:cs="Times New Roman"/>
          <w:spacing w:val="-4"/>
          <w:position w:val="-1"/>
          <w:sz w:val="15"/>
          <w:szCs w:val="15"/>
        </w:rPr>
        <w:t>2</w:t>
      </w:r>
      <w:r>
        <w:rPr>
          <w:rFonts w:ascii="Times New Roman" w:hAnsi="Times New Roman" w:eastAsia="Times New Roman" w:cs="Times New Roman"/>
          <w:spacing w:val="-13"/>
          <w:position w:val="-1"/>
          <w:sz w:val="15"/>
          <w:szCs w:val="15"/>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CO</w:t>
      </w:r>
      <w:r>
        <w:rPr>
          <w:rFonts w:ascii="Times New Roman" w:hAnsi="Times New Roman" w:eastAsia="Times New Roman" w:cs="Times New Roman"/>
          <w:spacing w:val="50"/>
          <w:w w:val="101"/>
          <w:sz w:val="24"/>
          <w:szCs w:val="24"/>
        </w:rPr>
        <w:t xml:space="preserve"> </w:t>
      </w:r>
      <w:r>
        <w:rPr>
          <w:rFonts w:ascii="宋体" w:hAnsi="宋体" w:eastAsia="宋体" w:cs="宋体"/>
          <w:spacing w:val="-4"/>
          <w:sz w:val="24"/>
          <w:szCs w:val="24"/>
        </w:rPr>
        <w:t>日平均浓度最大值均未超标；</w:t>
      </w:r>
      <w:r>
        <w:rPr>
          <w:rFonts w:ascii="Times New Roman" w:hAnsi="Times New Roman" w:eastAsia="Times New Roman" w:cs="Times New Roman"/>
          <w:spacing w:val="-4"/>
          <w:sz w:val="24"/>
          <w:szCs w:val="24"/>
        </w:rPr>
        <w:t>PM</w:t>
      </w:r>
      <w:r>
        <w:rPr>
          <w:rFonts w:ascii="Times New Roman" w:hAnsi="Times New Roman" w:eastAsia="Times New Roman" w:cs="Times New Roman"/>
          <w:spacing w:val="-4"/>
          <w:position w:val="-1"/>
          <w:sz w:val="15"/>
          <w:szCs w:val="15"/>
        </w:rPr>
        <w:t>10</w:t>
      </w:r>
      <w:r>
        <w:rPr>
          <w:rFonts w:ascii="Times New Roman" w:hAnsi="Times New Roman" w:eastAsia="Times New Roman" w:cs="Times New Roman"/>
          <w:spacing w:val="-13"/>
          <w:position w:val="-1"/>
          <w:sz w:val="15"/>
          <w:szCs w:val="15"/>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PM</w:t>
      </w:r>
      <w:r>
        <w:rPr>
          <w:rFonts w:ascii="Times New Roman" w:hAnsi="Times New Roman" w:eastAsia="Times New Roman" w:cs="Times New Roman"/>
          <w:spacing w:val="-4"/>
          <w:position w:val="-1"/>
          <w:sz w:val="15"/>
          <w:szCs w:val="15"/>
        </w:rPr>
        <w:t>2.5</w:t>
      </w:r>
      <w:r>
        <w:rPr>
          <w:rFonts w:ascii="宋体" w:hAnsi="宋体" w:eastAsia="宋体" w:cs="宋体"/>
          <w:spacing w:val="-4"/>
          <w:sz w:val="24"/>
          <w:szCs w:val="24"/>
        </w:rPr>
        <w:t>、</w:t>
      </w:r>
      <w:r>
        <w:rPr>
          <w:rFonts w:ascii="宋体" w:hAnsi="宋体" w:eastAsia="宋体" w:cs="宋体"/>
          <w:sz w:val="24"/>
          <w:szCs w:val="24"/>
        </w:rPr>
        <w:t xml:space="preserve"> </w:t>
      </w:r>
      <w:r>
        <w:rPr>
          <w:rFonts w:ascii="Times New Roman" w:hAnsi="Times New Roman" w:eastAsia="Times New Roman" w:cs="Times New Roman"/>
          <w:spacing w:val="-3"/>
          <w:sz w:val="24"/>
          <w:szCs w:val="24"/>
        </w:rPr>
        <w:t>O</w:t>
      </w:r>
      <w:r>
        <w:rPr>
          <w:rFonts w:ascii="Times New Roman" w:hAnsi="Times New Roman" w:eastAsia="Times New Roman" w:cs="Times New Roman"/>
          <w:spacing w:val="-3"/>
          <w:position w:val="-1"/>
          <w:sz w:val="15"/>
          <w:szCs w:val="15"/>
        </w:rPr>
        <w:t xml:space="preserve">3  </w:t>
      </w:r>
      <w:r>
        <w:rPr>
          <w:rFonts w:ascii="宋体" w:hAnsi="宋体" w:eastAsia="宋体" w:cs="宋体"/>
          <w:spacing w:val="-3"/>
          <w:sz w:val="24"/>
          <w:szCs w:val="24"/>
        </w:rPr>
        <w:t>日平均浓度最大值超标，</w:t>
      </w:r>
      <w:r>
        <w:rPr>
          <w:rFonts w:ascii="Times New Roman" w:hAnsi="Times New Roman" w:eastAsia="Times New Roman" w:cs="Times New Roman"/>
          <w:spacing w:val="-3"/>
          <w:sz w:val="24"/>
          <w:szCs w:val="24"/>
        </w:rPr>
        <w:t>PM</w:t>
      </w:r>
      <w:r>
        <w:rPr>
          <w:rFonts w:ascii="Times New Roman" w:hAnsi="Times New Roman" w:eastAsia="Times New Roman" w:cs="Times New Roman"/>
          <w:spacing w:val="-3"/>
          <w:position w:val="-1"/>
          <w:sz w:val="15"/>
          <w:szCs w:val="15"/>
        </w:rPr>
        <w:t xml:space="preserve">10  </w:t>
      </w:r>
      <w:r>
        <w:rPr>
          <w:rFonts w:ascii="宋体" w:hAnsi="宋体" w:eastAsia="宋体" w:cs="宋体"/>
          <w:spacing w:val="-3"/>
          <w:sz w:val="24"/>
          <w:szCs w:val="24"/>
        </w:rPr>
        <w:t>日平均浓度超标频率为</w:t>
      </w:r>
      <w:r>
        <w:rPr>
          <w:rFonts w:ascii="宋体" w:hAnsi="宋体" w:eastAsia="宋体" w:cs="宋体"/>
          <w:spacing w:val="-39"/>
          <w:sz w:val="24"/>
          <w:szCs w:val="24"/>
        </w:rPr>
        <w:t xml:space="preserve"> </w:t>
      </w:r>
      <w:r>
        <w:rPr>
          <w:rFonts w:ascii="Times New Roman" w:hAnsi="Times New Roman" w:eastAsia="Times New Roman" w:cs="Times New Roman"/>
          <w:spacing w:val="-3"/>
          <w:sz w:val="24"/>
          <w:szCs w:val="24"/>
        </w:rPr>
        <w:t>5.48%</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PM</w:t>
      </w:r>
      <w:r>
        <w:rPr>
          <w:rFonts w:ascii="Times New Roman" w:hAnsi="Times New Roman" w:eastAsia="Times New Roman" w:cs="Times New Roman"/>
          <w:spacing w:val="-3"/>
          <w:position w:val="-1"/>
          <w:sz w:val="15"/>
          <w:szCs w:val="15"/>
        </w:rPr>
        <w:t>2.5</w:t>
      </w:r>
      <w:r>
        <w:rPr>
          <w:rFonts w:ascii="Times New Roman" w:hAnsi="Times New Roman" w:eastAsia="Times New Roman" w:cs="Times New Roman"/>
          <w:spacing w:val="8"/>
          <w:position w:val="-1"/>
          <w:sz w:val="15"/>
          <w:szCs w:val="15"/>
        </w:rPr>
        <w:t xml:space="preserve">  </w:t>
      </w:r>
      <w:r>
        <w:rPr>
          <w:rFonts w:ascii="宋体" w:hAnsi="宋体" w:eastAsia="宋体" w:cs="宋体"/>
          <w:spacing w:val="-3"/>
          <w:sz w:val="24"/>
          <w:szCs w:val="24"/>
        </w:rPr>
        <w:t>日平均浓度超标</w:t>
      </w:r>
      <w:r>
        <w:rPr>
          <w:rFonts w:ascii="宋体" w:hAnsi="宋体" w:eastAsia="宋体" w:cs="宋体"/>
          <w:sz w:val="24"/>
          <w:szCs w:val="24"/>
        </w:rPr>
        <w:t xml:space="preserve"> </w:t>
      </w:r>
      <w:r>
        <w:rPr>
          <w:rFonts w:ascii="宋体" w:hAnsi="宋体" w:eastAsia="宋体" w:cs="宋体"/>
          <w:spacing w:val="-5"/>
          <w:sz w:val="24"/>
          <w:szCs w:val="24"/>
        </w:rPr>
        <w:t>频率为</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5"/>
          <w:sz w:val="24"/>
          <w:szCs w:val="24"/>
        </w:rPr>
        <w:t>10%</w:t>
      </w:r>
      <w:r>
        <w:rPr>
          <w:rFonts w:ascii="Times New Roman" w:hAnsi="Times New Roman" w:eastAsia="Times New Roman" w:cs="Times New Roman"/>
          <w:spacing w:val="-35"/>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O</w:t>
      </w:r>
      <w:r>
        <w:rPr>
          <w:rFonts w:ascii="Times New Roman" w:hAnsi="Times New Roman" w:eastAsia="Times New Roman" w:cs="Times New Roman"/>
          <w:spacing w:val="-5"/>
          <w:position w:val="-1"/>
          <w:sz w:val="15"/>
          <w:szCs w:val="15"/>
        </w:rPr>
        <w:t xml:space="preserve">3  </w:t>
      </w:r>
      <w:r>
        <w:rPr>
          <w:rFonts w:ascii="宋体" w:hAnsi="宋体" w:eastAsia="宋体" w:cs="宋体"/>
          <w:spacing w:val="-5"/>
          <w:sz w:val="24"/>
          <w:szCs w:val="24"/>
        </w:rPr>
        <w:t>日平均浓度超标频</w:t>
      </w:r>
      <w:r>
        <w:rPr>
          <w:rFonts w:ascii="宋体" w:hAnsi="宋体" w:eastAsia="宋体" w:cs="宋体"/>
          <w:spacing w:val="-6"/>
          <w:sz w:val="24"/>
          <w:szCs w:val="24"/>
        </w:rPr>
        <w:t>率为</w:t>
      </w:r>
      <w:r>
        <w:rPr>
          <w:rFonts w:ascii="宋体" w:hAnsi="宋体" w:eastAsia="宋体" w:cs="宋体"/>
          <w:spacing w:val="-32"/>
          <w:sz w:val="24"/>
          <w:szCs w:val="24"/>
        </w:rPr>
        <w:t xml:space="preserve"> </w:t>
      </w:r>
      <w:r>
        <w:rPr>
          <w:rFonts w:ascii="Times New Roman" w:hAnsi="Times New Roman" w:eastAsia="Times New Roman" w:cs="Times New Roman"/>
          <w:spacing w:val="-6"/>
          <w:sz w:val="24"/>
          <w:szCs w:val="24"/>
        </w:rPr>
        <w:t>1.92%</w:t>
      </w:r>
      <w:r>
        <w:rPr>
          <w:rFonts w:ascii="宋体" w:hAnsi="宋体" w:eastAsia="宋体" w:cs="宋体"/>
          <w:spacing w:val="-6"/>
          <w:sz w:val="24"/>
          <w:szCs w:val="24"/>
        </w:rPr>
        <w:t>。</w:t>
      </w:r>
    </w:p>
    <w:p w14:paraId="1AB5E77F">
      <w:pPr>
        <w:spacing w:before="33" w:line="220" w:lineRule="auto"/>
        <w:ind w:left="590"/>
        <w:rPr>
          <w:rFonts w:ascii="宋体" w:hAnsi="宋体" w:eastAsia="宋体" w:cs="宋体"/>
          <w:sz w:val="24"/>
          <w:szCs w:val="24"/>
        </w:rPr>
      </w:pPr>
      <w:r>
        <w:rPr>
          <w:rFonts w:ascii="Times New Roman" w:hAnsi="Times New Roman" w:eastAsia="Times New Roman" w:cs="Times New Roman"/>
          <w:b/>
          <w:bCs/>
          <w:spacing w:val="-5"/>
          <w:sz w:val="24"/>
          <w:szCs w:val="24"/>
        </w:rPr>
        <w:t>3</w:t>
      </w:r>
      <w:r>
        <w:rPr>
          <w:rFonts w:ascii="Times New Roman" w:hAnsi="Times New Roman" w:eastAsia="Times New Roman" w:cs="Times New Roman"/>
          <w:b/>
          <w:bCs/>
          <w:spacing w:val="-33"/>
          <w:sz w:val="24"/>
          <w:szCs w:val="24"/>
        </w:rPr>
        <w:t xml:space="preserve"> </w:t>
      </w:r>
      <w:r>
        <w:rPr>
          <w:rFonts w:ascii="宋体" w:hAnsi="宋体" w:eastAsia="宋体" w:cs="宋体"/>
          <w:b/>
          <w:bCs/>
          <w:spacing w:val="-5"/>
          <w:sz w:val="24"/>
          <w:szCs w:val="24"/>
        </w:rPr>
        <w:t>、其他污染物监测</w:t>
      </w:r>
    </w:p>
    <w:p w14:paraId="1511C774">
      <w:pPr>
        <w:spacing w:before="181" w:line="347" w:lineRule="auto"/>
        <w:ind w:left="117" w:right="109" w:firstLine="481"/>
        <w:rPr>
          <w:rFonts w:ascii="宋体" w:hAnsi="宋体" w:eastAsia="宋体" w:cs="宋体"/>
          <w:sz w:val="24"/>
          <w:szCs w:val="24"/>
        </w:rPr>
      </w:pPr>
      <w:r>
        <w:rPr>
          <w:rFonts w:ascii="宋体" w:hAnsi="宋体" w:eastAsia="宋体" w:cs="宋体"/>
          <w:spacing w:val="-2"/>
          <w:sz w:val="24"/>
          <w:szCs w:val="24"/>
        </w:rPr>
        <w:t>为掌握评价区环境空气质量现状，特委托内蒙古航峰检测技术有限公司对评价区环</w:t>
      </w:r>
      <w:r>
        <w:rPr>
          <w:rFonts w:ascii="宋体" w:hAnsi="宋体" w:eastAsia="宋体" w:cs="宋体"/>
          <w:spacing w:val="10"/>
          <w:sz w:val="24"/>
          <w:szCs w:val="24"/>
        </w:rPr>
        <w:t xml:space="preserve"> </w:t>
      </w:r>
      <w:r>
        <w:rPr>
          <w:rFonts w:ascii="宋体" w:hAnsi="宋体" w:eastAsia="宋体" w:cs="宋体"/>
          <w:spacing w:val="-1"/>
          <w:sz w:val="24"/>
          <w:szCs w:val="24"/>
        </w:rPr>
        <w:t>境空气进行了现状监测。</w:t>
      </w:r>
    </w:p>
    <w:p w14:paraId="02767174">
      <w:pPr>
        <w:spacing w:before="32" w:line="220" w:lineRule="auto"/>
        <w:ind w:left="607"/>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）监测项目</w:t>
      </w:r>
    </w:p>
    <w:p w14:paraId="3D4A1D1D">
      <w:pPr>
        <w:spacing w:before="180" w:line="220" w:lineRule="auto"/>
        <w:ind w:left="594"/>
        <w:rPr>
          <w:rFonts w:ascii="宋体" w:hAnsi="宋体" w:eastAsia="宋体" w:cs="宋体"/>
          <w:sz w:val="24"/>
          <w:szCs w:val="24"/>
        </w:rPr>
      </w:pPr>
      <w:r>
        <w:rPr>
          <w:rFonts w:ascii="Times New Roman" w:hAnsi="Times New Roman" w:eastAsia="Times New Roman" w:cs="Times New Roman"/>
          <w:spacing w:val="-3"/>
          <w:sz w:val="24"/>
          <w:szCs w:val="24"/>
        </w:rPr>
        <w:t>TSP</w:t>
      </w:r>
      <w:r>
        <w:rPr>
          <w:rFonts w:ascii="Times New Roman" w:hAnsi="Times New Roman" w:eastAsia="Times New Roman" w:cs="Times New Roman"/>
          <w:spacing w:val="-30"/>
          <w:sz w:val="24"/>
          <w:szCs w:val="24"/>
        </w:rPr>
        <w:t xml:space="preserve"> </w:t>
      </w:r>
      <w:r>
        <w:rPr>
          <w:rFonts w:ascii="宋体" w:hAnsi="宋体" w:eastAsia="宋体" w:cs="宋体"/>
          <w:spacing w:val="-3"/>
          <w:sz w:val="24"/>
          <w:szCs w:val="24"/>
        </w:rPr>
        <w:t>、氨、锰及其化合物。</w:t>
      </w:r>
    </w:p>
    <w:p w14:paraId="328B8E26">
      <w:pPr>
        <w:spacing w:before="181" w:line="221" w:lineRule="auto"/>
        <w:ind w:left="607"/>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）监测时间</w:t>
      </w:r>
    </w:p>
    <w:p w14:paraId="06BA280F">
      <w:pPr>
        <w:spacing w:before="178" w:line="347" w:lineRule="auto"/>
        <w:ind w:left="127" w:right="109" w:firstLine="464"/>
        <w:rPr>
          <w:rFonts w:ascii="宋体" w:hAnsi="宋体" w:eastAsia="宋体" w:cs="宋体"/>
          <w:sz w:val="24"/>
          <w:szCs w:val="24"/>
        </w:rPr>
      </w:pPr>
      <w:r>
        <w:rPr>
          <w:rFonts w:ascii="Times New Roman" w:hAnsi="Times New Roman" w:eastAsia="Times New Roman" w:cs="Times New Roman"/>
          <w:spacing w:val="1"/>
          <w:sz w:val="24"/>
          <w:szCs w:val="24"/>
        </w:rPr>
        <w:t>2024</w:t>
      </w:r>
      <w:r>
        <w:rPr>
          <w:rFonts w:ascii="宋体" w:hAnsi="宋体" w:eastAsia="宋体" w:cs="宋体"/>
          <w:spacing w:val="1"/>
          <w:sz w:val="24"/>
          <w:szCs w:val="24"/>
        </w:rPr>
        <w:t>年</w:t>
      </w:r>
      <w:r>
        <w:rPr>
          <w:rFonts w:ascii="Times New Roman" w:hAnsi="Times New Roman" w:eastAsia="Times New Roman" w:cs="Times New Roman"/>
          <w:spacing w:val="1"/>
          <w:sz w:val="24"/>
          <w:szCs w:val="24"/>
        </w:rPr>
        <w:t>5</w:t>
      </w:r>
      <w:r>
        <w:rPr>
          <w:rFonts w:ascii="宋体" w:hAnsi="宋体" w:eastAsia="宋体" w:cs="宋体"/>
          <w:spacing w:val="1"/>
          <w:sz w:val="24"/>
          <w:szCs w:val="24"/>
        </w:rPr>
        <w:t>月</w:t>
      </w:r>
      <w:r>
        <w:rPr>
          <w:rFonts w:ascii="Times New Roman" w:hAnsi="Times New Roman" w:eastAsia="Times New Roman" w:cs="Times New Roman"/>
          <w:spacing w:val="1"/>
          <w:sz w:val="24"/>
          <w:szCs w:val="24"/>
        </w:rPr>
        <w:t>14~20</w:t>
      </w:r>
      <w:r>
        <w:rPr>
          <w:rFonts w:ascii="宋体" w:hAnsi="宋体" w:eastAsia="宋体" w:cs="宋体"/>
          <w:spacing w:val="1"/>
          <w:sz w:val="24"/>
          <w:szCs w:val="24"/>
        </w:rPr>
        <w:t>日连续监测</w:t>
      </w:r>
      <w:r>
        <w:rPr>
          <w:rFonts w:ascii="Times New Roman" w:hAnsi="Times New Roman" w:eastAsia="Times New Roman" w:cs="Times New Roman"/>
          <w:spacing w:val="1"/>
          <w:sz w:val="24"/>
          <w:szCs w:val="24"/>
        </w:rPr>
        <w:t>7</w:t>
      </w:r>
      <w:r>
        <w:rPr>
          <w:rFonts w:ascii="宋体" w:hAnsi="宋体" w:eastAsia="宋体" w:cs="宋体"/>
          <w:spacing w:val="1"/>
          <w:sz w:val="24"/>
          <w:szCs w:val="24"/>
        </w:rPr>
        <w:t>天。监测时间为连续</w:t>
      </w:r>
      <w:r>
        <w:rPr>
          <w:rFonts w:ascii="宋体" w:hAnsi="宋体" w:eastAsia="宋体" w:cs="宋体"/>
          <w:sz w:val="24"/>
          <w:szCs w:val="24"/>
        </w:rPr>
        <w:t>监测</w:t>
      </w:r>
      <w:r>
        <w:rPr>
          <w:rFonts w:ascii="Times New Roman" w:hAnsi="Times New Roman" w:eastAsia="Times New Roman" w:cs="Times New Roman"/>
          <w:sz w:val="24"/>
          <w:szCs w:val="24"/>
        </w:rPr>
        <w:t>7</w:t>
      </w:r>
      <w:r>
        <w:rPr>
          <w:rFonts w:ascii="宋体" w:hAnsi="宋体" w:eastAsia="宋体" w:cs="宋体"/>
          <w:sz w:val="24"/>
          <w:szCs w:val="24"/>
        </w:rPr>
        <w:t>天，每天连续采样</w:t>
      </w:r>
      <w:r>
        <w:rPr>
          <w:rFonts w:ascii="Times New Roman" w:hAnsi="Times New Roman" w:eastAsia="Times New Roman" w:cs="Times New Roman"/>
          <w:sz w:val="24"/>
          <w:szCs w:val="24"/>
        </w:rPr>
        <w:t>24h</w:t>
      </w:r>
      <w:r>
        <w:rPr>
          <w:rFonts w:ascii="Times New Roman" w:hAnsi="Times New Roman" w:eastAsia="Times New Roman" w:cs="Times New Roman"/>
          <w:spacing w:val="-31"/>
          <w:sz w:val="24"/>
          <w:szCs w:val="24"/>
        </w:rPr>
        <w:t xml:space="preserve"> </w:t>
      </w:r>
      <w:r>
        <w:rPr>
          <w:rFonts w:ascii="宋体" w:hAnsi="宋体" w:eastAsia="宋体" w:cs="宋体"/>
          <w:sz w:val="24"/>
          <w:szCs w:val="24"/>
        </w:rPr>
        <w:t xml:space="preserve">，同 </w:t>
      </w:r>
      <w:r>
        <w:rPr>
          <w:rFonts w:ascii="宋体" w:hAnsi="宋体" w:eastAsia="宋体" w:cs="宋体"/>
          <w:spacing w:val="-1"/>
          <w:sz w:val="24"/>
          <w:szCs w:val="24"/>
        </w:rPr>
        <w:t>时观测风向、风速、气压、全云量等气象条件。</w:t>
      </w:r>
    </w:p>
    <w:p w14:paraId="1043B6E1">
      <w:pPr>
        <w:spacing w:before="34" w:line="219" w:lineRule="auto"/>
        <w:ind w:left="607"/>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）监测布点</w:t>
      </w:r>
    </w:p>
    <w:p w14:paraId="2B568D87">
      <w:pPr>
        <w:spacing w:before="183" w:line="346" w:lineRule="auto"/>
        <w:ind w:left="117" w:right="109" w:firstLine="478"/>
        <w:rPr>
          <w:rFonts w:ascii="宋体" w:hAnsi="宋体" w:eastAsia="宋体" w:cs="宋体"/>
          <w:sz w:val="24"/>
          <w:szCs w:val="24"/>
        </w:rPr>
      </w:pPr>
      <w:r>
        <w:rPr>
          <w:rFonts w:ascii="宋体" w:hAnsi="宋体" w:eastAsia="宋体" w:cs="宋体"/>
          <w:spacing w:val="2"/>
          <w:sz w:val="24"/>
          <w:szCs w:val="24"/>
        </w:rPr>
        <w:t>评价区域内共布设</w:t>
      </w:r>
      <w:r>
        <w:rPr>
          <w:rFonts w:ascii="Times New Roman" w:hAnsi="Times New Roman" w:eastAsia="Times New Roman" w:cs="Times New Roman"/>
          <w:spacing w:val="2"/>
          <w:sz w:val="24"/>
          <w:szCs w:val="24"/>
        </w:rPr>
        <w:t>2</w:t>
      </w:r>
      <w:r>
        <w:rPr>
          <w:rFonts w:ascii="宋体" w:hAnsi="宋体" w:eastAsia="宋体" w:cs="宋体"/>
          <w:spacing w:val="2"/>
          <w:sz w:val="24"/>
          <w:szCs w:val="24"/>
        </w:rPr>
        <w:t>个特征因子监测点位，位于项目厂区范</w:t>
      </w:r>
      <w:r>
        <w:rPr>
          <w:rFonts w:ascii="宋体" w:hAnsi="宋体" w:eastAsia="宋体" w:cs="宋体"/>
          <w:spacing w:val="1"/>
          <w:sz w:val="24"/>
          <w:szCs w:val="24"/>
        </w:rPr>
        <w:t>围内以及朱日和镇。大</w:t>
      </w:r>
      <w:r>
        <w:rPr>
          <w:rFonts w:ascii="宋体" w:hAnsi="宋体" w:eastAsia="宋体" w:cs="宋体"/>
          <w:sz w:val="24"/>
          <w:szCs w:val="24"/>
        </w:rPr>
        <w:t xml:space="preserve"> 气监测布点情况详见表</w:t>
      </w:r>
      <w:r>
        <w:rPr>
          <w:rFonts w:ascii="Times New Roman" w:hAnsi="Times New Roman" w:eastAsia="Times New Roman" w:cs="Times New Roman"/>
          <w:sz w:val="24"/>
          <w:szCs w:val="24"/>
        </w:rPr>
        <w:t>3.3-3</w:t>
      </w:r>
      <w:r>
        <w:rPr>
          <w:rFonts w:ascii="宋体" w:hAnsi="宋体" w:eastAsia="宋体" w:cs="宋体"/>
          <w:sz w:val="24"/>
          <w:szCs w:val="24"/>
        </w:rPr>
        <w:t>和现状监测</w:t>
      </w:r>
      <w:r>
        <w:rPr>
          <w:rFonts w:ascii="宋体" w:hAnsi="宋体" w:eastAsia="宋体" w:cs="宋体"/>
          <w:spacing w:val="-1"/>
          <w:sz w:val="24"/>
          <w:szCs w:val="24"/>
        </w:rPr>
        <w:t>布点示意图</w:t>
      </w:r>
      <w:r>
        <w:rPr>
          <w:rFonts w:ascii="Times New Roman" w:hAnsi="Times New Roman" w:eastAsia="Times New Roman" w:cs="Times New Roman"/>
          <w:spacing w:val="-1"/>
          <w:sz w:val="24"/>
          <w:szCs w:val="24"/>
        </w:rPr>
        <w:t>3.3.1-1</w:t>
      </w:r>
      <w:r>
        <w:rPr>
          <w:rFonts w:ascii="宋体" w:hAnsi="宋体" w:eastAsia="宋体" w:cs="宋体"/>
          <w:spacing w:val="-1"/>
          <w:sz w:val="24"/>
          <w:szCs w:val="24"/>
        </w:rPr>
        <w:t>。</w:t>
      </w:r>
    </w:p>
    <w:p w14:paraId="6E2A8D36">
      <w:pPr>
        <w:spacing w:before="124" w:line="227" w:lineRule="auto"/>
        <w:ind w:left="2720"/>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3"/>
          <w:sz w:val="20"/>
          <w:szCs w:val="20"/>
        </w:rPr>
        <w:t xml:space="preserve"> </w:t>
      </w:r>
      <w:r>
        <w:rPr>
          <w:rFonts w:ascii="Times New Roman" w:hAnsi="Times New Roman" w:eastAsia="Times New Roman" w:cs="Times New Roman"/>
          <w:b/>
          <w:bCs/>
          <w:spacing w:val="5"/>
          <w:sz w:val="20"/>
          <w:szCs w:val="20"/>
        </w:rPr>
        <w:t xml:space="preserve">3.3-3        </w:t>
      </w:r>
      <w:r>
        <w:rPr>
          <w:rFonts w:ascii="宋体" w:hAnsi="宋体" w:eastAsia="宋体" w:cs="宋体"/>
          <w:b/>
          <w:bCs/>
          <w:spacing w:val="5"/>
          <w:sz w:val="20"/>
          <w:szCs w:val="20"/>
        </w:rPr>
        <w:t>大气环境现状监测布点一览表</w:t>
      </w:r>
    </w:p>
    <w:p w14:paraId="65477478">
      <w:pPr>
        <w:spacing w:line="94" w:lineRule="exact"/>
      </w:pPr>
    </w:p>
    <w:tbl>
      <w:tblPr>
        <w:tblStyle w:val="5"/>
        <w:tblW w:w="928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22"/>
        <w:gridCol w:w="1528"/>
        <w:gridCol w:w="1273"/>
        <w:gridCol w:w="4264"/>
      </w:tblGrid>
      <w:tr w14:paraId="73AE05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2222" w:type="dxa"/>
            <w:tcBorders>
              <w:top w:val="single" w:color="000000" w:sz="10" w:space="0"/>
              <w:left w:val="nil"/>
            </w:tcBorders>
            <w:vAlign w:val="top"/>
          </w:tcPr>
          <w:p w14:paraId="12F4C719">
            <w:pPr>
              <w:pStyle w:val="6"/>
              <w:spacing w:before="69" w:line="214" w:lineRule="auto"/>
              <w:ind w:left="912"/>
              <w:rPr>
                <w:sz w:val="20"/>
                <w:szCs w:val="20"/>
              </w:rPr>
            </w:pPr>
            <w:r>
              <w:rPr>
                <w:spacing w:val="3"/>
                <w:sz w:val="20"/>
                <w:szCs w:val="20"/>
              </w:rPr>
              <w:t>名称</w:t>
            </w:r>
          </w:p>
        </w:tc>
        <w:tc>
          <w:tcPr>
            <w:tcW w:w="1528" w:type="dxa"/>
            <w:tcBorders>
              <w:top w:val="single" w:color="000000" w:sz="10" w:space="0"/>
            </w:tcBorders>
            <w:vAlign w:val="top"/>
          </w:tcPr>
          <w:p w14:paraId="77B83918">
            <w:pPr>
              <w:pStyle w:val="6"/>
              <w:spacing w:before="69" w:line="214" w:lineRule="auto"/>
              <w:ind w:left="249"/>
              <w:rPr>
                <w:sz w:val="20"/>
                <w:szCs w:val="20"/>
              </w:rPr>
            </w:pPr>
            <w:r>
              <w:rPr>
                <w:spacing w:val="7"/>
                <w:sz w:val="20"/>
                <w:szCs w:val="20"/>
              </w:rPr>
              <w:t>与项目方位</w:t>
            </w:r>
          </w:p>
        </w:tc>
        <w:tc>
          <w:tcPr>
            <w:tcW w:w="1273" w:type="dxa"/>
            <w:tcBorders>
              <w:top w:val="single" w:color="000000" w:sz="10" w:space="0"/>
            </w:tcBorders>
            <w:vAlign w:val="top"/>
          </w:tcPr>
          <w:p w14:paraId="092CEC1D">
            <w:pPr>
              <w:pStyle w:val="6"/>
              <w:spacing w:before="69" w:line="214" w:lineRule="auto"/>
              <w:ind w:left="429"/>
              <w:rPr>
                <w:sz w:val="20"/>
                <w:szCs w:val="20"/>
              </w:rPr>
            </w:pPr>
            <w:r>
              <w:rPr>
                <w:spacing w:val="5"/>
                <w:sz w:val="20"/>
                <w:szCs w:val="20"/>
              </w:rPr>
              <w:t>距离</w:t>
            </w:r>
          </w:p>
        </w:tc>
        <w:tc>
          <w:tcPr>
            <w:tcW w:w="4264" w:type="dxa"/>
            <w:tcBorders>
              <w:top w:val="single" w:color="000000" w:sz="10" w:space="0"/>
              <w:right w:val="nil"/>
            </w:tcBorders>
            <w:vAlign w:val="top"/>
          </w:tcPr>
          <w:p w14:paraId="4FFB39C7">
            <w:pPr>
              <w:pStyle w:val="6"/>
              <w:spacing w:before="69" w:line="214" w:lineRule="auto"/>
              <w:ind w:left="1928"/>
              <w:rPr>
                <w:sz w:val="20"/>
                <w:szCs w:val="20"/>
              </w:rPr>
            </w:pPr>
            <w:r>
              <w:rPr>
                <w:spacing w:val="4"/>
                <w:sz w:val="20"/>
                <w:szCs w:val="20"/>
              </w:rPr>
              <w:t>坐标</w:t>
            </w:r>
          </w:p>
        </w:tc>
      </w:tr>
      <w:tr w14:paraId="57572E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2222" w:type="dxa"/>
            <w:tcBorders>
              <w:left w:val="nil"/>
            </w:tcBorders>
            <w:vAlign w:val="top"/>
          </w:tcPr>
          <w:p w14:paraId="60617E89">
            <w:pPr>
              <w:pStyle w:val="6"/>
              <w:spacing w:before="82" w:line="216" w:lineRule="auto"/>
              <w:ind w:left="598"/>
              <w:rPr>
                <w:sz w:val="20"/>
                <w:szCs w:val="20"/>
              </w:rPr>
            </w:pPr>
            <w:r>
              <w:rPr>
                <w:spacing w:val="7"/>
                <w:sz w:val="20"/>
                <w:szCs w:val="20"/>
              </w:rPr>
              <w:t>项目厂区内</w:t>
            </w:r>
          </w:p>
        </w:tc>
        <w:tc>
          <w:tcPr>
            <w:tcW w:w="1528" w:type="dxa"/>
            <w:vAlign w:val="top"/>
          </w:tcPr>
          <w:p w14:paraId="17AF76F9">
            <w:pPr>
              <w:tabs>
                <w:tab w:val="left" w:pos="866"/>
              </w:tabs>
              <w:spacing w:before="14"/>
              <w:ind w:left="655"/>
              <w:rPr>
                <w:rFonts w:ascii="Arial"/>
                <w:sz w:val="21"/>
              </w:rPr>
            </w:pPr>
            <w:r>
              <w:rPr>
                <w:rFonts w:ascii="Arial" w:hAnsi="Arial" w:eastAsia="Arial" w:cs="Arial"/>
                <w:sz w:val="21"/>
                <w:szCs w:val="21"/>
                <w:u w:val="single" w:color="auto"/>
              </w:rPr>
              <w:tab/>
            </w:r>
          </w:p>
        </w:tc>
        <w:tc>
          <w:tcPr>
            <w:tcW w:w="1273" w:type="dxa"/>
            <w:vAlign w:val="top"/>
          </w:tcPr>
          <w:p w14:paraId="346E2B88">
            <w:pPr>
              <w:tabs>
                <w:tab w:val="left" w:pos="738"/>
              </w:tabs>
              <w:spacing w:before="14"/>
              <w:ind w:left="526"/>
              <w:rPr>
                <w:rFonts w:ascii="Arial"/>
                <w:sz w:val="21"/>
              </w:rPr>
            </w:pPr>
            <w:r>
              <w:rPr>
                <w:rFonts w:ascii="Arial" w:hAnsi="Arial" w:eastAsia="Arial" w:cs="Arial"/>
                <w:sz w:val="21"/>
                <w:szCs w:val="21"/>
                <w:u w:val="single" w:color="auto"/>
              </w:rPr>
              <w:tab/>
            </w:r>
          </w:p>
        </w:tc>
        <w:tc>
          <w:tcPr>
            <w:tcW w:w="4264" w:type="dxa"/>
            <w:tcBorders>
              <w:right w:val="nil"/>
            </w:tcBorders>
            <w:vAlign w:val="top"/>
          </w:tcPr>
          <w:p w14:paraId="114ACBEF">
            <w:pPr>
              <w:pStyle w:val="6"/>
              <w:spacing w:before="118" w:line="183" w:lineRule="auto"/>
              <w:ind w:left="75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E112°53'49.43"</w:t>
            </w:r>
            <w:r>
              <w:rPr>
                <w:rFonts w:ascii="Times New Roman" w:hAnsi="Times New Roman" w:eastAsia="Times New Roman" w:cs="Times New Roman"/>
                <w:spacing w:val="-15"/>
                <w:sz w:val="20"/>
                <w:szCs w:val="20"/>
              </w:rPr>
              <w:t xml:space="preserve"> </w:t>
            </w:r>
            <w:r>
              <w:rPr>
                <w:spacing w:val="2"/>
                <w:sz w:val="20"/>
                <w:szCs w:val="20"/>
              </w:rPr>
              <w:t>，</w:t>
            </w:r>
            <w:r>
              <w:rPr>
                <w:rFonts w:ascii="Times New Roman" w:hAnsi="Times New Roman" w:eastAsia="Times New Roman" w:cs="Times New Roman"/>
                <w:spacing w:val="2"/>
                <w:sz w:val="20"/>
                <w:szCs w:val="20"/>
              </w:rPr>
              <w:t>N42°25'53.22"</w:t>
            </w:r>
          </w:p>
        </w:tc>
      </w:tr>
      <w:tr w14:paraId="407487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2222" w:type="dxa"/>
            <w:tcBorders>
              <w:left w:val="nil"/>
              <w:bottom w:val="single" w:color="000000" w:sz="10" w:space="0"/>
            </w:tcBorders>
            <w:vAlign w:val="top"/>
          </w:tcPr>
          <w:p w14:paraId="0B8C8271">
            <w:pPr>
              <w:pStyle w:val="6"/>
              <w:spacing w:before="91" w:line="228" w:lineRule="auto"/>
              <w:ind w:left="387"/>
              <w:rPr>
                <w:sz w:val="20"/>
                <w:szCs w:val="20"/>
              </w:rPr>
            </w:pPr>
            <w:r>
              <w:rPr>
                <w:spacing w:val="8"/>
                <w:sz w:val="20"/>
                <w:szCs w:val="20"/>
              </w:rPr>
              <w:t>项目厂区下风向</w:t>
            </w:r>
          </w:p>
        </w:tc>
        <w:tc>
          <w:tcPr>
            <w:tcW w:w="1528" w:type="dxa"/>
            <w:tcBorders>
              <w:bottom w:val="single" w:color="000000" w:sz="10" w:space="0"/>
            </w:tcBorders>
            <w:vAlign w:val="top"/>
          </w:tcPr>
          <w:p w14:paraId="69E6242A">
            <w:pPr>
              <w:spacing w:before="130" w:line="192" w:lineRule="auto"/>
              <w:ind w:left="618"/>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NE</w:t>
            </w:r>
          </w:p>
        </w:tc>
        <w:tc>
          <w:tcPr>
            <w:tcW w:w="1273" w:type="dxa"/>
            <w:tcBorders>
              <w:bottom w:val="single" w:color="000000" w:sz="10" w:space="0"/>
            </w:tcBorders>
            <w:vAlign w:val="top"/>
          </w:tcPr>
          <w:p w14:paraId="7B533F67">
            <w:pPr>
              <w:spacing w:before="123" w:line="199" w:lineRule="auto"/>
              <w:ind w:left="374"/>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0.8</w:t>
            </w:r>
            <w:r>
              <w:rPr>
                <w:rFonts w:ascii="Times New Roman" w:hAnsi="Times New Roman" w:eastAsia="Times New Roman" w:cs="Times New Roman"/>
                <w:sz w:val="20"/>
                <w:szCs w:val="20"/>
              </w:rPr>
              <w:t>km</w:t>
            </w:r>
          </w:p>
        </w:tc>
        <w:tc>
          <w:tcPr>
            <w:tcW w:w="4264" w:type="dxa"/>
            <w:tcBorders>
              <w:bottom w:val="single" w:color="000000" w:sz="10" w:space="0"/>
              <w:right w:val="nil"/>
            </w:tcBorders>
            <w:vAlign w:val="top"/>
          </w:tcPr>
          <w:p w14:paraId="52CA97FB">
            <w:pPr>
              <w:pStyle w:val="6"/>
              <w:spacing w:before="127" w:line="186" w:lineRule="auto"/>
              <w:ind w:left="7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E112°54′29.28″</w:t>
            </w:r>
            <w:r>
              <w:rPr>
                <w:rFonts w:ascii="Times New Roman" w:hAnsi="Times New Roman" w:eastAsia="Times New Roman" w:cs="Times New Roman"/>
                <w:spacing w:val="-14"/>
                <w:sz w:val="20"/>
                <w:szCs w:val="20"/>
              </w:rPr>
              <w:t xml:space="preserve"> </w:t>
            </w:r>
            <w:r>
              <w:rPr>
                <w:spacing w:val="3"/>
                <w:sz w:val="20"/>
                <w:szCs w:val="20"/>
              </w:rPr>
              <w:t>，</w:t>
            </w:r>
            <w:r>
              <w:rPr>
                <w:rFonts w:ascii="Times New Roman" w:hAnsi="Times New Roman" w:eastAsia="Times New Roman" w:cs="Times New Roman"/>
                <w:spacing w:val="3"/>
                <w:sz w:val="20"/>
                <w:szCs w:val="20"/>
              </w:rPr>
              <w:t>N42°26′26.21″</w:t>
            </w:r>
          </w:p>
        </w:tc>
      </w:tr>
    </w:tbl>
    <w:p w14:paraId="0FCFC65B">
      <w:pPr>
        <w:pStyle w:val="2"/>
      </w:pPr>
    </w:p>
    <w:p w14:paraId="0D9CE655">
      <w:pPr>
        <w:sectPr>
          <w:headerReference r:id="rId221" w:type="default"/>
          <w:footerReference r:id="rId222" w:type="default"/>
          <w:pgSz w:w="11906" w:h="16839"/>
          <w:pgMar w:top="1190" w:right="1309" w:bottom="993" w:left="1309" w:header="882" w:footer="831" w:gutter="0"/>
          <w:cols w:space="720" w:num="1"/>
        </w:sectPr>
      </w:pPr>
    </w:p>
    <w:p w14:paraId="4FC8B3D1">
      <w:pPr>
        <w:spacing w:line="28" w:lineRule="exact"/>
        <w:ind w:firstLine="1"/>
      </w:pPr>
      <w:r>
        <w:pict>
          <v:shape id="_x0000_s1259" o:spid="_x0000_s1259" style="height:1.45pt;width:453.65pt;" fillcolor="#000000" filled="t" stroked="f" coordsize="9072,29" path="m0,0l9072,0,9072,28,0,28,0,0xe">
            <v:path/>
            <v:fill on="t" focussize="0,0"/>
            <v:stroke on="f"/>
            <v:imagedata o:title=""/>
            <o:lock v:ext="edit"/>
            <w10:wrap type="none"/>
            <w10:anchorlock/>
          </v:shape>
        </w:pict>
      </w:r>
    </w:p>
    <w:p w14:paraId="1E5FF851">
      <w:pPr>
        <w:spacing w:before="196" w:line="4713" w:lineRule="exact"/>
      </w:pPr>
      <w:r>
        <w:rPr>
          <w:position w:val="-94"/>
        </w:rPr>
        <w:drawing>
          <wp:inline distT="0" distB="0" distL="0" distR="0">
            <wp:extent cx="5755640" cy="2992755"/>
            <wp:effectExtent l="0" t="0" r="0" b="0"/>
            <wp:docPr id="52" name="IM 52"/>
            <wp:cNvGraphicFramePr/>
            <a:graphic xmlns:a="http://schemas.openxmlformats.org/drawingml/2006/main">
              <a:graphicData uri="http://schemas.openxmlformats.org/drawingml/2006/picture">
                <pic:pic xmlns:pic="http://schemas.openxmlformats.org/drawingml/2006/picture">
                  <pic:nvPicPr>
                    <pic:cNvPr id="52" name="IM 52"/>
                    <pic:cNvPicPr/>
                  </pic:nvPicPr>
                  <pic:blipFill>
                    <a:blip r:embed="rId604"/>
                    <a:stretch>
                      <a:fillRect/>
                    </a:stretch>
                  </pic:blipFill>
                  <pic:spPr>
                    <a:xfrm>
                      <a:off x="0" y="0"/>
                      <a:ext cx="5756148" cy="2993135"/>
                    </a:xfrm>
                    <a:prstGeom prst="rect">
                      <a:avLst/>
                    </a:prstGeom>
                  </pic:spPr>
                </pic:pic>
              </a:graphicData>
            </a:graphic>
          </wp:inline>
        </w:drawing>
      </w:r>
    </w:p>
    <w:p w14:paraId="63329F01">
      <w:pPr>
        <w:spacing w:before="32" w:line="227" w:lineRule="auto"/>
        <w:ind w:left="2529"/>
        <w:rPr>
          <w:rFonts w:ascii="宋体" w:hAnsi="宋体" w:eastAsia="宋体" w:cs="宋体"/>
          <w:sz w:val="20"/>
          <w:szCs w:val="20"/>
        </w:rPr>
      </w:pPr>
      <w:r>
        <w:rPr>
          <w:rFonts w:ascii="宋体" w:hAnsi="宋体" w:eastAsia="宋体" w:cs="宋体"/>
          <w:b/>
          <w:bCs/>
          <w:spacing w:val="5"/>
          <w:sz w:val="20"/>
          <w:szCs w:val="20"/>
        </w:rPr>
        <w:t>图</w:t>
      </w:r>
      <w:r>
        <w:rPr>
          <w:rFonts w:ascii="宋体" w:hAnsi="宋体" w:eastAsia="宋体" w:cs="宋体"/>
          <w:spacing w:val="-42"/>
          <w:sz w:val="20"/>
          <w:szCs w:val="20"/>
        </w:rPr>
        <w:t xml:space="preserve"> </w:t>
      </w:r>
      <w:r>
        <w:rPr>
          <w:rFonts w:ascii="Times New Roman" w:hAnsi="Times New Roman" w:eastAsia="Times New Roman" w:cs="Times New Roman"/>
          <w:b/>
          <w:bCs/>
          <w:spacing w:val="5"/>
          <w:sz w:val="20"/>
          <w:szCs w:val="20"/>
        </w:rPr>
        <w:t xml:space="preserve">3.3-1        </w:t>
      </w:r>
      <w:r>
        <w:rPr>
          <w:rFonts w:ascii="宋体" w:hAnsi="宋体" w:eastAsia="宋体" w:cs="宋体"/>
          <w:b/>
          <w:bCs/>
          <w:spacing w:val="5"/>
          <w:sz w:val="20"/>
          <w:szCs w:val="20"/>
        </w:rPr>
        <w:t>本项目大气、声环</w:t>
      </w:r>
      <w:r>
        <w:rPr>
          <w:rFonts w:ascii="宋体" w:hAnsi="宋体" w:eastAsia="宋体" w:cs="宋体"/>
          <w:b/>
          <w:bCs/>
          <w:spacing w:val="4"/>
          <w:sz w:val="20"/>
          <w:szCs w:val="20"/>
        </w:rPr>
        <w:t>境监测点位图</w:t>
      </w:r>
    </w:p>
    <w:p w14:paraId="1977F601">
      <w:pPr>
        <w:spacing w:before="167" w:line="220" w:lineRule="auto"/>
        <w:ind w:left="500"/>
        <w:rPr>
          <w:rFonts w:ascii="新宋体" w:hAnsi="新宋体" w:eastAsia="新宋体" w:cs="新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w:t>
      </w:r>
      <w:r>
        <w:rPr>
          <w:rFonts w:ascii="新宋体" w:hAnsi="新宋体" w:eastAsia="新宋体" w:cs="新宋体"/>
          <w:spacing w:val="-3"/>
          <w:sz w:val="24"/>
          <w:szCs w:val="24"/>
        </w:rPr>
        <w:t>分析方法</w:t>
      </w:r>
    </w:p>
    <w:p w14:paraId="68028550">
      <w:pPr>
        <w:spacing w:before="182" w:line="344" w:lineRule="auto"/>
        <w:ind w:left="500" w:right="2152" w:hanging="12"/>
        <w:rPr>
          <w:rFonts w:ascii="宋体" w:hAnsi="宋体" w:eastAsia="宋体" w:cs="宋体"/>
          <w:sz w:val="24"/>
          <w:szCs w:val="24"/>
        </w:rPr>
      </w:pPr>
      <w:r>
        <w:rPr>
          <w:rFonts w:ascii="宋体" w:hAnsi="宋体" w:eastAsia="宋体" w:cs="宋体"/>
          <w:spacing w:val="-2"/>
          <w:sz w:val="24"/>
          <w:szCs w:val="24"/>
        </w:rPr>
        <w:t>采用国家规定的标准分析方法，具体见附件检（监）测报告。</w:t>
      </w:r>
      <w:r>
        <w:rPr>
          <w:rFonts w:ascii="宋体" w:hAnsi="宋体" w:eastAsia="宋体" w:cs="宋体"/>
          <w:spacing w:val="4"/>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5</w:t>
      </w:r>
      <w:r>
        <w:rPr>
          <w:rFonts w:ascii="宋体" w:hAnsi="宋体" w:eastAsia="宋体" w:cs="宋体"/>
          <w:spacing w:val="-2"/>
          <w:sz w:val="24"/>
          <w:szCs w:val="24"/>
        </w:rPr>
        <w:t>）环境空气质量现状评价</w:t>
      </w:r>
    </w:p>
    <w:p w14:paraId="30FC0BB2">
      <w:pPr>
        <w:spacing w:before="39" w:line="218" w:lineRule="auto"/>
        <w:ind w:left="491"/>
        <w:rPr>
          <w:rFonts w:ascii="宋体" w:hAnsi="宋体" w:eastAsia="宋体" w:cs="宋体"/>
          <w:sz w:val="24"/>
          <w:szCs w:val="24"/>
        </w:rPr>
      </w:pPr>
      <w:r>
        <w:rPr>
          <w:rFonts w:ascii="宋体" w:hAnsi="宋体" w:eastAsia="宋体" w:cs="宋体"/>
          <w:spacing w:val="-2"/>
          <w:sz w:val="24"/>
          <w:szCs w:val="24"/>
        </w:rPr>
        <w:t>现状监测结果及评价结果详见表</w:t>
      </w:r>
      <w:r>
        <w:rPr>
          <w:rFonts w:ascii="宋体" w:hAnsi="宋体" w:eastAsia="宋体" w:cs="宋体"/>
          <w:spacing w:val="-34"/>
          <w:sz w:val="24"/>
          <w:szCs w:val="24"/>
        </w:rPr>
        <w:t xml:space="preserve"> </w:t>
      </w:r>
      <w:r>
        <w:rPr>
          <w:rFonts w:ascii="Times New Roman" w:hAnsi="Times New Roman" w:eastAsia="Times New Roman" w:cs="Times New Roman"/>
          <w:spacing w:val="-2"/>
          <w:sz w:val="24"/>
          <w:szCs w:val="24"/>
        </w:rPr>
        <w:t>3.3-3</w:t>
      </w:r>
      <w:r>
        <w:rPr>
          <w:rFonts w:ascii="宋体" w:hAnsi="宋体" w:eastAsia="宋体" w:cs="宋体"/>
          <w:spacing w:val="-2"/>
          <w:sz w:val="24"/>
          <w:szCs w:val="24"/>
        </w:rPr>
        <w:t>。</w:t>
      </w:r>
    </w:p>
    <w:p w14:paraId="2EEF8340">
      <w:pPr>
        <w:spacing w:before="181" w:line="353" w:lineRule="auto"/>
        <w:ind w:left="10" w:right="1" w:firstLine="479"/>
        <w:jc w:val="both"/>
        <w:rPr>
          <w:rFonts w:ascii="宋体" w:hAnsi="宋体" w:eastAsia="宋体" w:cs="宋体"/>
          <w:sz w:val="24"/>
          <w:szCs w:val="24"/>
        </w:rPr>
      </w:pPr>
      <w:r>
        <w:rPr>
          <w:rFonts w:ascii="宋体" w:hAnsi="宋体" w:eastAsia="宋体" w:cs="宋体"/>
          <w:spacing w:val="-3"/>
          <w:sz w:val="24"/>
          <w:szCs w:val="24"/>
        </w:rPr>
        <w:t>根据监测结果可知，监测点的各项污染物单因子指数均小于</w:t>
      </w:r>
      <w:r>
        <w:rPr>
          <w:rFonts w:ascii="宋体" w:hAnsi="宋体" w:eastAsia="宋体" w:cs="宋体"/>
          <w:spacing w:val="-22"/>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TSP</w:t>
      </w:r>
      <w:r>
        <w:rPr>
          <w:rFonts w:ascii="Times New Roman" w:hAnsi="Times New Roman" w:eastAsia="Times New Roman" w:cs="Times New Roman"/>
          <w:spacing w:val="52"/>
          <w:sz w:val="24"/>
          <w:szCs w:val="24"/>
        </w:rPr>
        <w:t xml:space="preserve"> </w:t>
      </w:r>
      <w:r>
        <w:rPr>
          <w:rFonts w:ascii="宋体" w:hAnsi="宋体" w:eastAsia="宋体" w:cs="宋体"/>
          <w:spacing w:val="-3"/>
          <w:sz w:val="24"/>
          <w:szCs w:val="24"/>
        </w:rPr>
        <w:t>日均值未超过</w:t>
      </w:r>
      <w:r>
        <w:rPr>
          <w:rFonts w:ascii="宋体" w:hAnsi="宋体" w:eastAsia="宋体" w:cs="宋体"/>
          <w:sz w:val="24"/>
          <w:szCs w:val="24"/>
        </w:rPr>
        <w:t xml:space="preserve"> 《环境空气质量标准》（</w:t>
      </w:r>
      <w:r>
        <w:rPr>
          <w:rFonts w:ascii="Times New Roman" w:hAnsi="Times New Roman" w:eastAsia="Times New Roman" w:cs="Times New Roman"/>
          <w:sz w:val="24"/>
          <w:szCs w:val="24"/>
        </w:rPr>
        <w:t>GB3095-2012</w:t>
      </w:r>
      <w:r>
        <w:rPr>
          <w:rFonts w:ascii="宋体" w:hAnsi="宋体" w:eastAsia="宋体" w:cs="宋体"/>
          <w:sz w:val="24"/>
          <w:szCs w:val="24"/>
        </w:rPr>
        <w:t>）二级标准限值，锰及其化合物日均值及氨小时</w:t>
      </w:r>
      <w:r>
        <w:rPr>
          <w:rFonts w:ascii="宋体" w:hAnsi="宋体" w:eastAsia="宋体" w:cs="宋体"/>
          <w:spacing w:val="7"/>
          <w:sz w:val="24"/>
          <w:szCs w:val="24"/>
        </w:rPr>
        <w:t xml:space="preserve"> </w:t>
      </w:r>
      <w:r>
        <w:rPr>
          <w:rFonts w:ascii="宋体" w:hAnsi="宋体" w:eastAsia="宋体" w:cs="宋体"/>
          <w:spacing w:val="2"/>
          <w:sz w:val="24"/>
          <w:szCs w:val="24"/>
        </w:rPr>
        <w:t>均值均未超过《环境影响评价技术导则 大气环境》（</w:t>
      </w:r>
      <w:r>
        <w:rPr>
          <w:rFonts w:ascii="Times New Roman" w:hAnsi="Times New Roman" w:eastAsia="Times New Roman" w:cs="Times New Roman"/>
          <w:sz w:val="24"/>
          <w:szCs w:val="24"/>
        </w:rPr>
        <w:t>HJ</w:t>
      </w:r>
      <w:r>
        <w:rPr>
          <w:rFonts w:ascii="Times New Roman" w:hAnsi="Times New Roman" w:eastAsia="Times New Roman" w:cs="Times New Roman"/>
          <w:spacing w:val="2"/>
          <w:sz w:val="24"/>
          <w:szCs w:val="24"/>
        </w:rPr>
        <w:t>2.2-2018</w:t>
      </w:r>
      <w:r>
        <w:rPr>
          <w:rFonts w:ascii="宋体" w:hAnsi="宋体" w:eastAsia="宋体" w:cs="宋体"/>
          <w:spacing w:val="1"/>
          <w:sz w:val="24"/>
          <w:szCs w:val="24"/>
        </w:rPr>
        <w:t>）附录</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 xml:space="preserve">D </w:t>
      </w:r>
      <w:r>
        <w:rPr>
          <w:rFonts w:ascii="宋体" w:hAnsi="宋体" w:eastAsia="宋体" w:cs="宋体"/>
          <w:spacing w:val="1"/>
          <w:sz w:val="24"/>
          <w:szCs w:val="24"/>
        </w:rPr>
        <w:t>其他污染物</w:t>
      </w:r>
      <w:r>
        <w:rPr>
          <w:rFonts w:ascii="宋体" w:hAnsi="宋体" w:eastAsia="宋体" w:cs="宋体"/>
          <w:sz w:val="24"/>
          <w:szCs w:val="24"/>
        </w:rPr>
        <w:t xml:space="preserve"> </w:t>
      </w:r>
      <w:r>
        <w:rPr>
          <w:rFonts w:ascii="宋体" w:hAnsi="宋体" w:eastAsia="宋体" w:cs="宋体"/>
          <w:spacing w:val="-1"/>
          <w:sz w:val="24"/>
          <w:szCs w:val="24"/>
        </w:rPr>
        <w:t>空气质量浓度参考限值。说明区域环境空气质量较好。</w:t>
      </w:r>
    </w:p>
    <w:p w14:paraId="299FF2D5">
      <w:pPr>
        <w:spacing w:line="353" w:lineRule="auto"/>
        <w:rPr>
          <w:rFonts w:ascii="宋体" w:hAnsi="宋体" w:eastAsia="宋体" w:cs="宋体"/>
          <w:sz w:val="24"/>
          <w:szCs w:val="24"/>
        </w:rPr>
        <w:sectPr>
          <w:headerReference r:id="rId223" w:type="default"/>
          <w:footerReference r:id="rId224" w:type="default"/>
          <w:pgSz w:w="11906" w:h="16839"/>
          <w:pgMar w:top="1190" w:right="1416" w:bottom="993" w:left="1416" w:header="882" w:footer="831" w:gutter="0"/>
          <w:cols w:space="720" w:num="1"/>
        </w:sectPr>
      </w:pPr>
    </w:p>
    <w:p w14:paraId="77B0D9EE">
      <w:pPr>
        <w:spacing w:line="28" w:lineRule="exact"/>
        <w:ind w:firstLine="108"/>
      </w:pPr>
      <w:r>
        <w:pict>
          <v:shape id="_x0000_s1260" o:spid="_x0000_s1260" style="height:1.45pt;width:700.25pt;" fillcolor="#000000" filled="t" stroked="f" coordsize="14005,29" path="m0,0l14004,0,14004,28,0,28,0,0xe">
            <v:path/>
            <v:fill on="t" focussize="0,0"/>
            <v:stroke on="f"/>
            <v:imagedata o:title=""/>
            <o:lock v:ext="edit"/>
            <w10:wrap type="none"/>
            <w10:anchorlock/>
          </v:shape>
        </w:pict>
      </w:r>
    </w:p>
    <w:p w14:paraId="016B0CDD">
      <w:pPr>
        <w:spacing w:before="228" w:line="228" w:lineRule="auto"/>
        <w:ind w:left="4844"/>
        <w:rPr>
          <w:rFonts w:ascii="宋体" w:hAnsi="宋体" w:eastAsia="宋体" w:cs="宋体"/>
          <w:sz w:val="20"/>
          <w:szCs w:val="20"/>
        </w:rPr>
      </w:pPr>
      <w:r>
        <w:rPr>
          <w:rFonts w:ascii="宋体" w:hAnsi="宋体" w:eastAsia="宋体" w:cs="宋体"/>
          <w:b/>
          <w:bCs/>
          <w:spacing w:val="6"/>
          <w:sz w:val="20"/>
          <w:szCs w:val="20"/>
        </w:rPr>
        <w:t>表</w:t>
      </w:r>
      <w:r>
        <w:rPr>
          <w:rFonts w:ascii="Times New Roman" w:hAnsi="Times New Roman" w:eastAsia="Times New Roman" w:cs="Times New Roman"/>
          <w:b/>
          <w:bCs/>
          <w:spacing w:val="6"/>
          <w:sz w:val="20"/>
          <w:szCs w:val="20"/>
        </w:rPr>
        <w:t xml:space="preserve">3.3-3          </w:t>
      </w:r>
      <w:r>
        <w:rPr>
          <w:rFonts w:ascii="宋体" w:hAnsi="宋体" w:eastAsia="宋体" w:cs="宋体"/>
          <w:b/>
          <w:bCs/>
          <w:spacing w:val="6"/>
          <w:sz w:val="20"/>
          <w:szCs w:val="20"/>
        </w:rPr>
        <w:t>其他污染物环境质量</w:t>
      </w:r>
      <w:r>
        <w:rPr>
          <w:rFonts w:ascii="宋体" w:hAnsi="宋体" w:eastAsia="宋体" w:cs="宋体"/>
          <w:b/>
          <w:bCs/>
          <w:spacing w:val="5"/>
          <w:sz w:val="20"/>
          <w:szCs w:val="20"/>
        </w:rPr>
        <w:t>现状监测结果表</w:t>
      </w:r>
    </w:p>
    <w:p w14:paraId="6FE53D26">
      <w:pPr>
        <w:spacing w:line="130" w:lineRule="exact"/>
      </w:pPr>
    </w:p>
    <w:tbl>
      <w:tblPr>
        <w:tblStyle w:val="5"/>
        <w:tblW w:w="1421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50"/>
        <w:gridCol w:w="1870"/>
        <w:gridCol w:w="1580"/>
        <w:gridCol w:w="1110"/>
        <w:gridCol w:w="2346"/>
        <w:gridCol w:w="1867"/>
        <w:gridCol w:w="1734"/>
        <w:gridCol w:w="1443"/>
        <w:gridCol w:w="1119"/>
      </w:tblGrid>
      <w:tr w14:paraId="3E4F12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1150" w:type="dxa"/>
            <w:tcBorders>
              <w:top w:val="single" w:color="000000" w:sz="10" w:space="0"/>
              <w:left w:val="nil"/>
            </w:tcBorders>
            <w:vAlign w:val="top"/>
          </w:tcPr>
          <w:p w14:paraId="1771788E">
            <w:pPr>
              <w:pStyle w:val="6"/>
              <w:spacing w:before="216" w:line="229" w:lineRule="auto"/>
              <w:ind w:left="163"/>
              <w:rPr>
                <w:sz w:val="20"/>
                <w:szCs w:val="20"/>
              </w:rPr>
            </w:pPr>
            <w:r>
              <w:rPr>
                <w:spacing w:val="7"/>
                <w:sz w:val="20"/>
                <w:szCs w:val="20"/>
              </w:rPr>
              <w:t>监测点位</w:t>
            </w:r>
          </w:p>
        </w:tc>
        <w:tc>
          <w:tcPr>
            <w:tcW w:w="1870" w:type="dxa"/>
            <w:tcBorders>
              <w:top w:val="single" w:color="000000" w:sz="10" w:space="0"/>
            </w:tcBorders>
            <w:vAlign w:val="top"/>
          </w:tcPr>
          <w:p w14:paraId="4F466E45">
            <w:pPr>
              <w:pStyle w:val="6"/>
              <w:spacing w:before="216" w:line="229" w:lineRule="auto"/>
              <w:ind w:left="521"/>
              <w:rPr>
                <w:sz w:val="20"/>
                <w:szCs w:val="20"/>
              </w:rPr>
            </w:pPr>
            <w:r>
              <w:rPr>
                <w:spacing w:val="7"/>
                <w:sz w:val="20"/>
                <w:szCs w:val="20"/>
              </w:rPr>
              <w:t>监测点位</w:t>
            </w:r>
          </w:p>
        </w:tc>
        <w:tc>
          <w:tcPr>
            <w:tcW w:w="1580" w:type="dxa"/>
            <w:tcBorders>
              <w:top w:val="single" w:color="000000" w:sz="10" w:space="0"/>
            </w:tcBorders>
            <w:vAlign w:val="top"/>
          </w:tcPr>
          <w:p w14:paraId="2990349E">
            <w:pPr>
              <w:pStyle w:val="6"/>
              <w:spacing w:before="217" w:line="228" w:lineRule="auto"/>
              <w:ind w:left="483"/>
              <w:rPr>
                <w:sz w:val="20"/>
                <w:szCs w:val="20"/>
              </w:rPr>
            </w:pPr>
            <w:r>
              <w:rPr>
                <w:spacing w:val="6"/>
                <w:sz w:val="20"/>
                <w:szCs w:val="20"/>
              </w:rPr>
              <w:t>污染物</w:t>
            </w:r>
          </w:p>
        </w:tc>
        <w:tc>
          <w:tcPr>
            <w:tcW w:w="1110" w:type="dxa"/>
            <w:tcBorders>
              <w:top w:val="single" w:color="000000" w:sz="10" w:space="0"/>
            </w:tcBorders>
            <w:vAlign w:val="top"/>
          </w:tcPr>
          <w:p w14:paraId="7DCEE509">
            <w:pPr>
              <w:pStyle w:val="6"/>
              <w:spacing w:before="217" w:line="228" w:lineRule="auto"/>
              <w:ind w:left="138"/>
              <w:rPr>
                <w:sz w:val="20"/>
                <w:szCs w:val="20"/>
              </w:rPr>
            </w:pPr>
            <w:r>
              <w:rPr>
                <w:spacing w:val="7"/>
                <w:sz w:val="20"/>
                <w:szCs w:val="20"/>
              </w:rPr>
              <w:t>平均时间</w:t>
            </w:r>
          </w:p>
        </w:tc>
        <w:tc>
          <w:tcPr>
            <w:tcW w:w="2346" w:type="dxa"/>
            <w:tcBorders>
              <w:top w:val="single" w:color="000000" w:sz="10" w:space="0"/>
            </w:tcBorders>
            <w:vAlign w:val="top"/>
          </w:tcPr>
          <w:p w14:paraId="3EE5C90F">
            <w:pPr>
              <w:pStyle w:val="6"/>
              <w:spacing w:before="216" w:line="221" w:lineRule="auto"/>
              <w:ind w:right="10"/>
              <w:jc w:val="right"/>
              <w:rPr>
                <w:sz w:val="20"/>
                <w:szCs w:val="20"/>
              </w:rPr>
            </w:pPr>
            <w:r>
              <w:rPr>
                <w:spacing w:val="7"/>
                <w:sz w:val="20"/>
                <w:szCs w:val="20"/>
              </w:rPr>
              <w:t>监测浓度范围（</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/m</w:t>
            </w:r>
            <w:r>
              <w:rPr>
                <w:rFonts w:ascii="Times New Roman" w:hAnsi="Times New Roman" w:eastAsia="Times New Roman" w:cs="Times New Roman"/>
                <w:spacing w:val="7"/>
                <w:position w:val="6"/>
                <w:sz w:val="13"/>
                <w:szCs w:val="13"/>
              </w:rPr>
              <w:t>3</w:t>
            </w:r>
            <w:r>
              <w:rPr>
                <w:spacing w:val="7"/>
                <w:sz w:val="20"/>
                <w:szCs w:val="20"/>
              </w:rPr>
              <w:t>）</w:t>
            </w:r>
          </w:p>
        </w:tc>
        <w:tc>
          <w:tcPr>
            <w:tcW w:w="1867" w:type="dxa"/>
            <w:tcBorders>
              <w:top w:val="single" w:color="000000" w:sz="10" w:space="0"/>
            </w:tcBorders>
            <w:vAlign w:val="top"/>
          </w:tcPr>
          <w:p w14:paraId="0D16241D">
            <w:pPr>
              <w:pStyle w:val="6"/>
              <w:spacing w:before="216" w:line="221" w:lineRule="auto"/>
              <w:ind w:left="191"/>
              <w:rPr>
                <w:rFonts w:ascii="Times New Roman" w:hAnsi="Times New Roman" w:eastAsia="Times New Roman" w:cs="Times New Roman"/>
                <w:sz w:val="20"/>
                <w:szCs w:val="20"/>
              </w:rPr>
            </w:pPr>
            <w:r>
              <w:rPr>
                <w:spacing w:val="5"/>
                <w:sz w:val="20"/>
                <w:szCs w:val="20"/>
              </w:rPr>
              <w:t>评价标准</w:t>
            </w:r>
            <w:r>
              <w:rPr>
                <w:rFonts w:ascii="Times New Roman" w:hAnsi="Times New Roman" w:eastAsia="Times New Roman" w:cs="Times New Roman"/>
                <w:spacing w:val="5"/>
                <w:sz w:val="20"/>
                <w:szCs w:val="20"/>
              </w:rPr>
              <w:t>(µg/m</w:t>
            </w:r>
            <w:r>
              <w:rPr>
                <w:rFonts w:ascii="Times New Roman" w:hAnsi="Times New Roman" w:eastAsia="Times New Roman" w:cs="Times New Roman"/>
                <w:spacing w:val="5"/>
                <w:position w:val="6"/>
                <w:sz w:val="13"/>
                <w:szCs w:val="13"/>
              </w:rPr>
              <w:t>3</w:t>
            </w:r>
            <w:r>
              <w:rPr>
                <w:rFonts w:ascii="Times New Roman" w:hAnsi="Times New Roman" w:eastAsia="Times New Roman" w:cs="Times New Roman"/>
                <w:spacing w:val="5"/>
                <w:sz w:val="20"/>
                <w:szCs w:val="20"/>
              </w:rPr>
              <w:t>)</w:t>
            </w:r>
          </w:p>
        </w:tc>
        <w:tc>
          <w:tcPr>
            <w:tcW w:w="1734" w:type="dxa"/>
            <w:tcBorders>
              <w:top w:val="single" w:color="000000" w:sz="10" w:space="0"/>
            </w:tcBorders>
            <w:vAlign w:val="top"/>
          </w:tcPr>
          <w:p w14:paraId="4E6FE112">
            <w:pPr>
              <w:pStyle w:val="6"/>
              <w:spacing w:before="66" w:line="261" w:lineRule="auto"/>
              <w:ind w:left="748" w:right="130" w:hanging="608"/>
              <w:rPr>
                <w:rFonts w:ascii="Times New Roman" w:hAnsi="Times New Roman" w:eastAsia="Times New Roman" w:cs="Times New Roman"/>
                <w:sz w:val="20"/>
                <w:szCs w:val="20"/>
              </w:rPr>
            </w:pPr>
            <w:r>
              <w:rPr>
                <w:spacing w:val="8"/>
                <w:sz w:val="20"/>
                <w:szCs w:val="20"/>
              </w:rPr>
              <w:t>最大浓度占标率</w:t>
            </w:r>
            <w:r>
              <w:rPr>
                <w:spacing w:val="1"/>
                <w:sz w:val="20"/>
                <w:szCs w:val="20"/>
              </w:rPr>
              <w:t xml:space="preserve"> </w:t>
            </w:r>
            <w:r>
              <w:rPr>
                <w:rFonts w:ascii="Times New Roman" w:hAnsi="Times New Roman" w:eastAsia="Times New Roman" w:cs="Times New Roman"/>
                <w:spacing w:val="4"/>
                <w:sz w:val="20"/>
                <w:szCs w:val="20"/>
              </w:rPr>
              <w:t>/%</w:t>
            </w:r>
          </w:p>
        </w:tc>
        <w:tc>
          <w:tcPr>
            <w:tcW w:w="1443" w:type="dxa"/>
            <w:tcBorders>
              <w:top w:val="single" w:color="000000" w:sz="10" w:space="0"/>
            </w:tcBorders>
            <w:vAlign w:val="top"/>
          </w:tcPr>
          <w:p w14:paraId="0689CB84">
            <w:pPr>
              <w:pStyle w:val="6"/>
              <w:spacing w:before="216" w:line="228" w:lineRule="auto"/>
              <w:ind w:left="113"/>
              <w:rPr>
                <w:sz w:val="20"/>
                <w:szCs w:val="20"/>
              </w:rPr>
            </w:pPr>
            <w:r>
              <w:rPr>
                <w:spacing w:val="6"/>
                <w:sz w:val="20"/>
                <w:szCs w:val="20"/>
              </w:rPr>
              <w:t>超标率（</w:t>
            </w:r>
            <w:r>
              <w:rPr>
                <w:rFonts w:ascii="Times New Roman" w:hAnsi="Times New Roman" w:eastAsia="Times New Roman" w:cs="Times New Roman"/>
                <w:spacing w:val="6"/>
                <w:sz w:val="20"/>
                <w:szCs w:val="20"/>
              </w:rPr>
              <w:t>%</w:t>
            </w:r>
            <w:r>
              <w:rPr>
                <w:spacing w:val="6"/>
                <w:sz w:val="20"/>
                <w:szCs w:val="20"/>
              </w:rPr>
              <w:t>）</w:t>
            </w:r>
          </w:p>
        </w:tc>
        <w:tc>
          <w:tcPr>
            <w:tcW w:w="1119" w:type="dxa"/>
            <w:tcBorders>
              <w:top w:val="single" w:color="000000" w:sz="10" w:space="0"/>
              <w:right w:val="nil"/>
            </w:tcBorders>
            <w:vAlign w:val="top"/>
          </w:tcPr>
          <w:p w14:paraId="5A1ED781">
            <w:pPr>
              <w:pStyle w:val="6"/>
              <w:spacing w:before="217" w:line="228" w:lineRule="auto"/>
              <w:ind w:left="144"/>
              <w:rPr>
                <w:sz w:val="20"/>
                <w:szCs w:val="20"/>
              </w:rPr>
            </w:pPr>
            <w:r>
              <w:rPr>
                <w:spacing w:val="7"/>
                <w:sz w:val="20"/>
                <w:szCs w:val="20"/>
              </w:rPr>
              <w:t>达标情况</w:t>
            </w:r>
          </w:p>
        </w:tc>
      </w:tr>
      <w:tr w14:paraId="0B3B5D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1150" w:type="dxa"/>
            <w:vMerge w:val="restart"/>
            <w:tcBorders>
              <w:left w:val="nil"/>
              <w:bottom w:val="nil"/>
            </w:tcBorders>
            <w:vAlign w:val="top"/>
          </w:tcPr>
          <w:p w14:paraId="1974102E">
            <w:pPr>
              <w:spacing w:line="354" w:lineRule="auto"/>
              <w:rPr>
                <w:rFonts w:ascii="Arial"/>
                <w:sz w:val="21"/>
              </w:rPr>
            </w:pPr>
          </w:p>
          <w:p w14:paraId="44972005">
            <w:pPr>
              <w:pStyle w:val="6"/>
              <w:spacing w:before="65" w:line="228" w:lineRule="auto"/>
              <w:ind w:left="166"/>
              <w:rPr>
                <w:sz w:val="20"/>
                <w:szCs w:val="20"/>
              </w:rPr>
            </w:pPr>
            <w:r>
              <w:rPr>
                <w:spacing w:val="6"/>
                <w:sz w:val="20"/>
                <w:szCs w:val="20"/>
              </w:rPr>
              <w:t>项目厂区</w:t>
            </w:r>
          </w:p>
        </w:tc>
        <w:tc>
          <w:tcPr>
            <w:tcW w:w="1870" w:type="dxa"/>
            <w:vMerge w:val="restart"/>
            <w:tcBorders>
              <w:bottom w:val="nil"/>
            </w:tcBorders>
            <w:vAlign w:val="top"/>
          </w:tcPr>
          <w:p w14:paraId="7BEDF5A3">
            <w:pPr>
              <w:pStyle w:val="6"/>
              <w:spacing w:before="306" w:line="285" w:lineRule="auto"/>
              <w:ind w:left="309" w:right="223" w:hanging="13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E112°53'49.43"</w:t>
            </w:r>
            <w:r>
              <w:rPr>
                <w:spacing w:val="-1"/>
                <w:sz w:val="20"/>
                <w:szCs w:val="20"/>
              </w:rPr>
              <w:t>，</w:t>
            </w:r>
            <w:r>
              <w:rPr>
                <w:spacing w:val="10"/>
                <w:sz w:val="20"/>
                <w:szCs w:val="20"/>
              </w:rPr>
              <w:t xml:space="preserve"> </w:t>
            </w:r>
            <w:r>
              <w:rPr>
                <w:rFonts w:ascii="Times New Roman" w:hAnsi="Times New Roman" w:eastAsia="Times New Roman" w:cs="Times New Roman"/>
                <w:spacing w:val="3"/>
                <w:sz w:val="20"/>
                <w:szCs w:val="20"/>
              </w:rPr>
              <w:t>N42°25'53.22"</w:t>
            </w:r>
          </w:p>
        </w:tc>
        <w:tc>
          <w:tcPr>
            <w:tcW w:w="1580" w:type="dxa"/>
            <w:vAlign w:val="top"/>
          </w:tcPr>
          <w:p w14:paraId="0DB89402">
            <w:pPr>
              <w:spacing w:before="116" w:line="195" w:lineRule="auto"/>
              <w:ind w:left="61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TSP</w:t>
            </w:r>
          </w:p>
        </w:tc>
        <w:tc>
          <w:tcPr>
            <w:tcW w:w="1110" w:type="dxa"/>
            <w:vAlign w:val="top"/>
          </w:tcPr>
          <w:p w14:paraId="27515213">
            <w:pPr>
              <w:pStyle w:val="6"/>
              <w:spacing w:before="80" w:line="222" w:lineRule="auto"/>
              <w:ind w:left="215"/>
              <w:rPr>
                <w:sz w:val="20"/>
                <w:szCs w:val="20"/>
              </w:rPr>
            </w:pPr>
            <w:r>
              <w:rPr>
                <w:rFonts w:ascii="Times New Roman" w:hAnsi="Times New Roman" w:eastAsia="Times New Roman" w:cs="Times New Roman"/>
                <w:spacing w:val="2"/>
                <w:sz w:val="20"/>
                <w:szCs w:val="20"/>
              </w:rPr>
              <w:t>24</w:t>
            </w:r>
            <w:r>
              <w:rPr>
                <w:rFonts w:ascii="Times New Roman" w:hAnsi="Times New Roman" w:eastAsia="Times New Roman" w:cs="Times New Roman"/>
                <w:spacing w:val="16"/>
                <w:sz w:val="20"/>
                <w:szCs w:val="20"/>
              </w:rPr>
              <w:t xml:space="preserve"> </w:t>
            </w:r>
            <w:r>
              <w:rPr>
                <w:spacing w:val="2"/>
                <w:sz w:val="20"/>
                <w:szCs w:val="20"/>
              </w:rPr>
              <w:t>小时</w:t>
            </w:r>
          </w:p>
        </w:tc>
        <w:tc>
          <w:tcPr>
            <w:tcW w:w="2346" w:type="dxa"/>
            <w:vAlign w:val="top"/>
          </w:tcPr>
          <w:p w14:paraId="69711449">
            <w:pPr>
              <w:spacing w:before="116" w:line="195" w:lineRule="auto"/>
              <w:ind w:left="8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39-280</w:t>
            </w:r>
          </w:p>
        </w:tc>
        <w:tc>
          <w:tcPr>
            <w:tcW w:w="1867" w:type="dxa"/>
            <w:vAlign w:val="top"/>
          </w:tcPr>
          <w:p w14:paraId="6CAB2621">
            <w:pPr>
              <w:spacing w:before="116" w:line="195" w:lineRule="auto"/>
              <w:ind w:left="78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1734" w:type="dxa"/>
            <w:vAlign w:val="top"/>
          </w:tcPr>
          <w:p w14:paraId="227572CE">
            <w:pPr>
              <w:spacing w:before="116" w:line="195" w:lineRule="auto"/>
              <w:ind w:left="6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93.33</w:t>
            </w:r>
          </w:p>
        </w:tc>
        <w:tc>
          <w:tcPr>
            <w:tcW w:w="1443" w:type="dxa"/>
            <w:vAlign w:val="top"/>
          </w:tcPr>
          <w:p w14:paraId="45696964">
            <w:pPr>
              <w:spacing w:before="116" w:line="195" w:lineRule="auto"/>
              <w:ind w:left="675"/>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19" w:type="dxa"/>
            <w:tcBorders>
              <w:right w:val="nil"/>
            </w:tcBorders>
            <w:vAlign w:val="top"/>
          </w:tcPr>
          <w:p w14:paraId="091E74BF">
            <w:pPr>
              <w:pStyle w:val="6"/>
              <w:spacing w:before="80" w:line="222" w:lineRule="auto"/>
              <w:ind w:left="355"/>
              <w:rPr>
                <w:sz w:val="20"/>
                <w:szCs w:val="20"/>
              </w:rPr>
            </w:pPr>
            <w:r>
              <w:rPr>
                <w:spacing w:val="5"/>
                <w:sz w:val="20"/>
                <w:szCs w:val="20"/>
              </w:rPr>
              <w:t>达标</w:t>
            </w:r>
          </w:p>
        </w:tc>
      </w:tr>
      <w:tr w14:paraId="3757D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150" w:type="dxa"/>
            <w:vMerge w:val="continue"/>
            <w:tcBorders>
              <w:top w:val="nil"/>
              <w:left w:val="nil"/>
              <w:bottom w:val="nil"/>
            </w:tcBorders>
            <w:vAlign w:val="top"/>
          </w:tcPr>
          <w:p w14:paraId="44E952A3">
            <w:pPr>
              <w:rPr>
                <w:rFonts w:ascii="Arial"/>
                <w:sz w:val="21"/>
              </w:rPr>
            </w:pPr>
          </w:p>
        </w:tc>
        <w:tc>
          <w:tcPr>
            <w:tcW w:w="1870" w:type="dxa"/>
            <w:vMerge w:val="continue"/>
            <w:tcBorders>
              <w:top w:val="nil"/>
              <w:bottom w:val="nil"/>
            </w:tcBorders>
            <w:vAlign w:val="top"/>
          </w:tcPr>
          <w:p w14:paraId="2F0EEE7A">
            <w:pPr>
              <w:rPr>
                <w:rFonts w:ascii="Arial"/>
                <w:sz w:val="21"/>
              </w:rPr>
            </w:pPr>
          </w:p>
        </w:tc>
        <w:tc>
          <w:tcPr>
            <w:tcW w:w="1580" w:type="dxa"/>
            <w:vAlign w:val="top"/>
          </w:tcPr>
          <w:p w14:paraId="08D33F2F">
            <w:pPr>
              <w:pStyle w:val="6"/>
              <w:spacing w:before="84" w:line="219" w:lineRule="auto"/>
              <w:ind w:left="690"/>
              <w:rPr>
                <w:sz w:val="20"/>
                <w:szCs w:val="20"/>
              </w:rPr>
            </w:pPr>
            <w:r>
              <w:rPr>
                <w:sz w:val="20"/>
                <w:szCs w:val="20"/>
              </w:rPr>
              <w:t>氨</w:t>
            </w:r>
          </w:p>
        </w:tc>
        <w:tc>
          <w:tcPr>
            <w:tcW w:w="1110" w:type="dxa"/>
            <w:vAlign w:val="top"/>
          </w:tcPr>
          <w:p w14:paraId="4FC1C62A">
            <w:pPr>
              <w:pStyle w:val="6"/>
              <w:spacing w:before="84" w:line="219" w:lineRule="auto"/>
              <w:ind w:left="288"/>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spacing w:val="-6"/>
                <w:sz w:val="20"/>
                <w:szCs w:val="20"/>
              </w:rPr>
              <w:t>小时</w:t>
            </w:r>
          </w:p>
        </w:tc>
        <w:tc>
          <w:tcPr>
            <w:tcW w:w="2346" w:type="dxa"/>
            <w:vAlign w:val="top"/>
          </w:tcPr>
          <w:p w14:paraId="1250C857">
            <w:pPr>
              <w:spacing w:before="121" w:line="195" w:lineRule="auto"/>
              <w:ind w:left="876"/>
              <w:rPr>
                <w:rFonts w:ascii="Times New Roman" w:hAnsi="Times New Roman" w:eastAsia="Times New Roman" w:cs="Times New Roman"/>
                <w:sz w:val="20"/>
                <w:szCs w:val="20"/>
              </w:rPr>
            </w:pPr>
            <w:r>
              <w:rPr>
                <w:rFonts w:ascii="Times New Roman" w:hAnsi="Times New Roman" w:eastAsia="Times New Roman" w:cs="Times New Roman"/>
                <w:sz w:val="20"/>
                <w:szCs w:val="20"/>
              </w:rPr>
              <w:t>ND</w:t>
            </w:r>
            <w:r>
              <w:rPr>
                <w:rFonts w:ascii="Times New Roman" w:hAnsi="Times New Roman" w:eastAsia="Times New Roman" w:cs="Times New Roman"/>
                <w:spacing w:val="9"/>
                <w:sz w:val="20"/>
                <w:szCs w:val="20"/>
              </w:rPr>
              <w:t>-10</w:t>
            </w:r>
          </w:p>
        </w:tc>
        <w:tc>
          <w:tcPr>
            <w:tcW w:w="1867" w:type="dxa"/>
            <w:vAlign w:val="top"/>
          </w:tcPr>
          <w:p w14:paraId="4B67A3C4">
            <w:pPr>
              <w:spacing w:before="121" w:line="195" w:lineRule="auto"/>
              <w:ind w:left="7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734" w:type="dxa"/>
            <w:vAlign w:val="top"/>
          </w:tcPr>
          <w:p w14:paraId="589DB9A9">
            <w:pPr>
              <w:spacing w:before="107" w:line="192" w:lineRule="auto"/>
              <w:ind w:left="823"/>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443" w:type="dxa"/>
            <w:vAlign w:val="top"/>
          </w:tcPr>
          <w:p w14:paraId="4CF3C4EE">
            <w:pPr>
              <w:spacing w:before="121" w:line="195" w:lineRule="auto"/>
              <w:ind w:left="675"/>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19" w:type="dxa"/>
            <w:tcBorders>
              <w:right w:val="nil"/>
            </w:tcBorders>
            <w:vAlign w:val="top"/>
          </w:tcPr>
          <w:p w14:paraId="0CF620DB">
            <w:pPr>
              <w:pStyle w:val="6"/>
              <w:spacing w:before="84" w:line="219" w:lineRule="auto"/>
              <w:ind w:left="355"/>
              <w:rPr>
                <w:sz w:val="20"/>
                <w:szCs w:val="20"/>
              </w:rPr>
            </w:pPr>
            <w:r>
              <w:rPr>
                <w:spacing w:val="5"/>
                <w:sz w:val="20"/>
                <w:szCs w:val="20"/>
              </w:rPr>
              <w:t>达标</w:t>
            </w:r>
          </w:p>
        </w:tc>
      </w:tr>
      <w:tr w14:paraId="3AB74D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150" w:type="dxa"/>
            <w:vMerge w:val="continue"/>
            <w:tcBorders>
              <w:top w:val="nil"/>
              <w:left w:val="nil"/>
            </w:tcBorders>
            <w:vAlign w:val="top"/>
          </w:tcPr>
          <w:p w14:paraId="43B7D839">
            <w:pPr>
              <w:rPr>
                <w:rFonts w:ascii="Arial"/>
                <w:sz w:val="21"/>
              </w:rPr>
            </w:pPr>
          </w:p>
        </w:tc>
        <w:tc>
          <w:tcPr>
            <w:tcW w:w="1870" w:type="dxa"/>
            <w:vMerge w:val="continue"/>
            <w:tcBorders>
              <w:top w:val="nil"/>
            </w:tcBorders>
            <w:vAlign w:val="top"/>
          </w:tcPr>
          <w:p w14:paraId="0EAFC05A">
            <w:pPr>
              <w:rPr>
                <w:rFonts w:ascii="Arial"/>
                <w:sz w:val="21"/>
              </w:rPr>
            </w:pPr>
          </w:p>
        </w:tc>
        <w:tc>
          <w:tcPr>
            <w:tcW w:w="1580" w:type="dxa"/>
            <w:vAlign w:val="top"/>
          </w:tcPr>
          <w:p w14:paraId="6FA576DA">
            <w:pPr>
              <w:pStyle w:val="6"/>
              <w:spacing w:before="86" w:line="217" w:lineRule="auto"/>
              <w:ind w:left="164"/>
              <w:rPr>
                <w:sz w:val="20"/>
                <w:szCs w:val="20"/>
              </w:rPr>
            </w:pPr>
            <w:r>
              <w:rPr>
                <w:spacing w:val="8"/>
                <w:sz w:val="20"/>
                <w:szCs w:val="20"/>
              </w:rPr>
              <w:t>锰及其化合物</w:t>
            </w:r>
          </w:p>
        </w:tc>
        <w:tc>
          <w:tcPr>
            <w:tcW w:w="1110" w:type="dxa"/>
            <w:vAlign w:val="top"/>
          </w:tcPr>
          <w:p w14:paraId="597194A1">
            <w:pPr>
              <w:pStyle w:val="6"/>
              <w:spacing w:before="86" w:line="217" w:lineRule="auto"/>
              <w:ind w:left="215"/>
              <w:rPr>
                <w:sz w:val="20"/>
                <w:szCs w:val="20"/>
              </w:rPr>
            </w:pPr>
            <w:r>
              <w:rPr>
                <w:rFonts w:ascii="Times New Roman" w:hAnsi="Times New Roman" w:eastAsia="Times New Roman" w:cs="Times New Roman"/>
                <w:spacing w:val="2"/>
                <w:sz w:val="20"/>
                <w:szCs w:val="20"/>
              </w:rPr>
              <w:t>24</w:t>
            </w:r>
            <w:r>
              <w:rPr>
                <w:rFonts w:ascii="Times New Roman" w:hAnsi="Times New Roman" w:eastAsia="Times New Roman" w:cs="Times New Roman"/>
                <w:spacing w:val="16"/>
                <w:sz w:val="20"/>
                <w:szCs w:val="20"/>
              </w:rPr>
              <w:t xml:space="preserve"> </w:t>
            </w:r>
            <w:r>
              <w:rPr>
                <w:spacing w:val="2"/>
                <w:sz w:val="20"/>
                <w:szCs w:val="20"/>
              </w:rPr>
              <w:t>小时</w:t>
            </w:r>
          </w:p>
        </w:tc>
        <w:tc>
          <w:tcPr>
            <w:tcW w:w="2346" w:type="dxa"/>
            <w:vAlign w:val="top"/>
          </w:tcPr>
          <w:p w14:paraId="4893214F">
            <w:pPr>
              <w:spacing w:before="125" w:line="192"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ND</w:t>
            </w:r>
          </w:p>
        </w:tc>
        <w:tc>
          <w:tcPr>
            <w:tcW w:w="1867" w:type="dxa"/>
            <w:vAlign w:val="top"/>
          </w:tcPr>
          <w:p w14:paraId="3EC38199">
            <w:pPr>
              <w:spacing w:before="122" w:line="195" w:lineRule="auto"/>
              <w:ind w:left="84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734" w:type="dxa"/>
            <w:vAlign w:val="top"/>
          </w:tcPr>
          <w:p w14:paraId="5C6D5779">
            <w:pPr>
              <w:spacing w:before="118" w:line="199" w:lineRule="auto"/>
              <w:ind w:left="8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443" w:type="dxa"/>
            <w:vAlign w:val="top"/>
          </w:tcPr>
          <w:p w14:paraId="6D6DB5E0">
            <w:pPr>
              <w:spacing w:before="122" w:line="195" w:lineRule="auto"/>
              <w:ind w:left="675"/>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19" w:type="dxa"/>
            <w:tcBorders>
              <w:right w:val="nil"/>
            </w:tcBorders>
            <w:vAlign w:val="top"/>
          </w:tcPr>
          <w:p w14:paraId="0A15969B">
            <w:pPr>
              <w:pStyle w:val="6"/>
              <w:spacing w:before="86" w:line="217" w:lineRule="auto"/>
              <w:ind w:left="355"/>
              <w:rPr>
                <w:sz w:val="20"/>
                <w:szCs w:val="20"/>
              </w:rPr>
            </w:pPr>
            <w:r>
              <w:rPr>
                <w:spacing w:val="5"/>
                <w:sz w:val="20"/>
                <w:szCs w:val="20"/>
              </w:rPr>
              <w:t>达标</w:t>
            </w:r>
          </w:p>
        </w:tc>
      </w:tr>
      <w:tr w14:paraId="77BA7F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150" w:type="dxa"/>
            <w:vMerge w:val="restart"/>
            <w:tcBorders>
              <w:left w:val="nil"/>
              <w:bottom w:val="nil"/>
            </w:tcBorders>
            <w:vAlign w:val="top"/>
          </w:tcPr>
          <w:p w14:paraId="60F09F36">
            <w:pPr>
              <w:pStyle w:val="6"/>
              <w:spacing w:before="279" w:line="263" w:lineRule="auto"/>
              <w:ind w:left="274" w:right="154" w:hanging="108"/>
              <w:rPr>
                <w:sz w:val="20"/>
                <w:szCs w:val="20"/>
              </w:rPr>
            </w:pPr>
            <w:r>
              <w:rPr>
                <w:spacing w:val="6"/>
                <w:sz w:val="20"/>
                <w:szCs w:val="20"/>
              </w:rPr>
              <w:t>项目厂区</w:t>
            </w:r>
            <w:r>
              <w:rPr>
                <w:spacing w:val="1"/>
                <w:sz w:val="20"/>
                <w:szCs w:val="20"/>
              </w:rPr>
              <w:t xml:space="preserve"> </w:t>
            </w:r>
            <w:r>
              <w:rPr>
                <w:spacing w:val="4"/>
                <w:sz w:val="20"/>
                <w:szCs w:val="20"/>
              </w:rPr>
              <w:t>下风向</w:t>
            </w:r>
          </w:p>
        </w:tc>
        <w:tc>
          <w:tcPr>
            <w:tcW w:w="1870" w:type="dxa"/>
            <w:vMerge w:val="restart"/>
            <w:tcBorders>
              <w:bottom w:val="nil"/>
            </w:tcBorders>
            <w:vAlign w:val="top"/>
          </w:tcPr>
          <w:p w14:paraId="59F29961">
            <w:pPr>
              <w:spacing w:line="249" w:lineRule="auto"/>
              <w:rPr>
                <w:rFonts w:ascii="Arial"/>
                <w:sz w:val="21"/>
              </w:rPr>
            </w:pPr>
          </w:p>
          <w:p w14:paraId="18A021BD">
            <w:pPr>
              <w:pStyle w:val="6"/>
              <w:spacing w:before="65" w:line="285" w:lineRule="auto"/>
              <w:ind w:left="297" w:right="213" w:hanging="134"/>
              <w:rPr>
                <w:rFonts w:ascii="Times New Roman" w:hAnsi="Times New Roman" w:eastAsia="Times New Roman" w:cs="Times New Roman"/>
                <w:sz w:val="20"/>
                <w:szCs w:val="20"/>
              </w:rPr>
            </w:pPr>
            <w:r>
              <w:rPr>
                <w:rFonts w:ascii="Times New Roman" w:hAnsi="Times New Roman" w:eastAsia="Times New Roman" w:cs="Times New Roman"/>
                <w:sz w:val="20"/>
                <w:szCs w:val="20"/>
              </w:rPr>
              <w:t>E112°54′29.28″</w:t>
            </w:r>
            <w:r>
              <w:rPr>
                <w:sz w:val="20"/>
                <w:szCs w:val="20"/>
              </w:rPr>
              <w:t>，</w:t>
            </w:r>
            <w:r>
              <w:rPr>
                <w:spacing w:val="7"/>
                <w:sz w:val="20"/>
                <w:szCs w:val="20"/>
              </w:rPr>
              <w:t xml:space="preserve"> </w:t>
            </w:r>
            <w:r>
              <w:rPr>
                <w:rFonts w:ascii="Times New Roman" w:hAnsi="Times New Roman" w:eastAsia="Times New Roman" w:cs="Times New Roman"/>
                <w:spacing w:val="4"/>
                <w:sz w:val="20"/>
                <w:szCs w:val="20"/>
              </w:rPr>
              <w:t>N42°26′26.21″</w:t>
            </w:r>
          </w:p>
        </w:tc>
        <w:tc>
          <w:tcPr>
            <w:tcW w:w="1580" w:type="dxa"/>
            <w:vAlign w:val="top"/>
          </w:tcPr>
          <w:p w14:paraId="039E7885">
            <w:pPr>
              <w:spacing w:before="126" w:line="195" w:lineRule="auto"/>
              <w:ind w:left="61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TSP</w:t>
            </w:r>
          </w:p>
        </w:tc>
        <w:tc>
          <w:tcPr>
            <w:tcW w:w="1110" w:type="dxa"/>
            <w:vAlign w:val="top"/>
          </w:tcPr>
          <w:p w14:paraId="7923E041">
            <w:pPr>
              <w:pStyle w:val="6"/>
              <w:spacing w:before="90" w:line="214" w:lineRule="auto"/>
              <w:ind w:left="215"/>
              <w:rPr>
                <w:sz w:val="20"/>
                <w:szCs w:val="20"/>
              </w:rPr>
            </w:pPr>
            <w:r>
              <w:rPr>
                <w:rFonts w:ascii="Times New Roman" w:hAnsi="Times New Roman" w:eastAsia="Times New Roman" w:cs="Times New Roman"/>
                <w:spacing w:val="2"/>
                <w:sz w:val="20"/>
                <w:szCs w:val="20"/>
              </w:rPr>
              <w:t>24</w:t>
            </w:r>
            <w:r>
              <w:rPr>
                <w:rFonts w:ascii="Times New Roman" w:hAnsi="Times New Roman" w:eastAsia="Times New Roman" w:cs="Times New Roman"/>
                <w:spacing w:val="16"/>
                <w:sz w:val="20"/>
                <w:szCs w:val="20"/>
              </w:rPr>
              <w:t xml:space="preserve"> </w:t>
            </w:r>
            <w:r>
              <w:rPr>
                <w:spacing w:val="2"/>
                <w:sz w:val="20"/>
                <w:szCs w:val="20"/>
              </w:rPr>
              <w:t>小时</w:t>
            </w:r>
          </w:p>
        </w:tc>
        <w:tc>
          <w:tcPr>
            <w:tcW w:w="2346" w:type="dxa"/>
            <w:vAlign w:val="top"/>
          </w:tcPr>
          <w:p w14:paraId="70D66C0E">
            <w:pPr>
              <w:spacing w:before="126" w:line="195" w:lineRule="auto"/>
              <w:ind w:left="87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41-270</w:t>
            </w:r>
          </w:p>
        </w:tc>
        <w:tc>
          <w:tcPr>
            <w:tcW w:w="1867" w:type="dxa"/>
            <w:vAlign w:val="top"/>
          </w:tcPr>
          <w:p w14:paraId="609BB14F">
            <w:pPr>
              <w:spacing w:before="126" w:line="195" w:lineRule="auto"/>
              <w:ind w:left="78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1734" w:type="dxa"/>
            <w:vAlign w:val="top"/>
          </w:tcPr>
          <w:p w14:paraId="22175C21">
            <w:pPr>
              <w:spacing w:before="126" w:line="195" w:lineRule="auto"/>
              <w:ind w:left="6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90.0</w:t>
            </w:r>
          </w:p>
        </w:tc>
        <w:tc>
          <w:tcPr>
            <w:tcW w:w="1443" w:type="dxa"/>
            <w:vAlign w:val="top"/>
          </w:tcPr>
          <w:p w14:paraId="2921C73D">
            <w:pPr>
              <w:spacing w:before="126" w:line="195" w:lineRule="auto"/>
              <w:ind w:left="675"/>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19" w:type="dxa"/>
            <w:tcBorders>
              <w:right w:val="nil"/>
            </w:tcBorders>
            <w:vAlign w:val="top"/>
          </w:tcPr>
          <w:p w14:paraId="264B0B5E">
            <w:pPr>
              <w:pStyle w:val="6"/>
              <w:spacing w:before="90" w:line="214" w:lineRule="auto"/>
              <w:ind w:left="355"/>
              <w:rPr>
                <w:sz w:val="20"/>
                <w:szCs w:val="20"/>
              </w:rPr>
            </w:pPr>
            <w:r>
              <w:rPr>
                <w:spacing w:val="5"/>
                <w:sz w:val="20"/>
                <w:szCs w:val="20"/>
              </w:rPr>
              <w:t>达标</w:t>
            </w:r>
          </w:p>
        </w:tc>
      </w:tr>
      <w:tr w14:paraId="0C288B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150" w:type="dxa"/>
            <w:vMerge w:val="continue"/>
            <w:tcBorders>
              <w:top w:val="nil"/>
              <w:left w:val="nil"/>
              <w:bottom w:val="nil"/>
            </w:tcBorders>
            <w:vAlign w:val="top"/>
          </w:tcPr>
          <w:p w14:paraId="4DF95DF4">
            <w:pPr>
              <w:rPr>
                <w:rFonts w:ascii="Arial"/>
                <w:sz w:val="21"/>
              </w:rPr>
            </w:pPr>
          </w:p>
        </w:tc>
        <w:tc>
          <w:tcPr>
            <w:tcW w:w="1870" w:type="dxa"/>
            <w:vMerge w:val="continue"/>
            <w:tcBorders>
              <w:top w:val="nil"/>
              <w:bottom w:val="nil"/>
            </w:tcBorders>
            <w:vAlign w:val="top"/>
          </w:tcPr>
          <w:p w14:paraId="53AA955B">
            <w:pPr>
              <w:rPr>
                <w:rFonts w:ascii="Arial"/>
                <w:sz w:val="21"/>
              </w:rPr>
            </w:pPr>
          </w:p>
        </w:tc>
        <w:tc>
          <w:tcPr>
            <w:tcW w:w="1580" w:type="dxa"/>
            <w:vAlign w:val="top"/>
          </w:tcPr>
          <w:p w14:paraId="2A9C479A">
            <w:pPr>
              <w:pStyle w:val="6"/>
              <w:spacing w:before="94" w:line="210" w:lineRule="auto"/>
              <w:ind w:left="690"/>
              <w:rPr>
                <w:sz w:val="20"/>
                <w:szCs w:val="20"/>
              </w:rPr>
            </w:pPr>
            <w:r>
              <w:rPr>
                <w:sz w:val="20"/>
                <w:szCs w:val="20"/>
              </w:rPr>
              <w:t>氨</w:t>
            </w:r>
          </w:p>
        </w:tc>
        <w:tc>
          <w:tcPr>
            <w:tcW w:w="1110" w:type="dxa"/>
            <w:vAlign w:val="top"/>
          </w:tcPr>
          <w:p w14:paraId="2A2E0BD0">
            <w:pPr>
              <w:pStyle w:val="6"/>
              <w:spacing w:before="94" w:line="210" w:lineRule="auto"/>
              <w:ind w:left="288"/>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spacing w:val="-6"/>
                <w:sz w:val="20"/>
                <w:szCs w:val="20"/>
              </w:rPr>
              <w:t>小时</w:t>
            </w:r>
          </w:p>
        </w:tc>
        <w:tc>
          <w:tcPr>
            <w:tcW w:w="2346" w:type="dxa"/>
            <w:vAlign w:val="top"/>
          </w:tcPr>
          <w:p w14:paraId="3E177623">
            <w:pPr>
              <w:spacing w:before="130" w:line="195" w:lineRule="auto"/>
              <w:ind w:left="876"/>
              <w:rPr>
                <w:rFonts w:ascii="Times New Roman" w:hAnsi="Times New Roman" w:eastAsia="Times New Roman" w:cs="Times New Roman"/>
                <w:sz w:val="20"/>
                <w:szCs w:val="20"/>
              </w:rPr>
            </w:pPr>
            <w:r>
              <w:rPr>
                <w:rFonts w:ascii="Times New Roman" w:hAnsi="Times New Roman" w:eastAsia="Times New Roman" w:cs="Times New Roman"/>
                <w:sz w:val="20"/>
                <w:szCs w:val="20"/>
              </w:rPr>
              <w:t>ND</w:t>
            </w:r>
            <w:r>
              <w:rPr>
                <w:rFonts w:ascii="Times New Roman" w:hAnsi="Times New Roman" w:eastAsia="Times New Roman" w:cs="Times New Roman"/>
                <w:spacing w:val="9"/>
                <w:sz w:val="20"/>
                <w:szCs w:val="20"/>
              </w:rPr>
              <w:t>-10</w:t>
            </w:r>
          </w:p>
        </w:tc>
        <w:tc>
          <w:tcPr>
            <w:tcW w:w="1867" w:type="dxa"/>
            <w:vAlign w:val="top"/>
          </w:tcPr>
          <w:p w14:paraId="47999297">
            <w:pPr>
              <w:spacing w:before="130" w:line="195" w:lineRule="auto"/>
              <w:ind w:left="7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734" w:type="dxa"/>
            <w:vAlign w:val="top"/>
          </w:tcPr>
          <w:p w14:paraId="4A8D2EA5">
            <w:pPr>
              <w:spacing w:before="116" w:line="192" w:lineRule="auto"/>
              <w:ind w:left="823"/>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443" w:type="dxa"/>
            <w:vAlign w:val="top"/>
          </w:tcPr>
          <w:p w14:paraId="6E57FF37">
            <w:pPr>
              <w:spacing w:before="130" w:line="195" w:lineRule="auto"/>
              <w:ind w:left="675"/>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19" w:type="dxa"/>
            <w:tcBorders>
              <w:right w:val="nil"/>
            </w:tcBorders>
            <w:vAlign w:val="top"/>
          </w:tcPr>
          <w:p w14:paraId="267BD61C">
            <w:pPr>
              <w:pStyle w:val="6"/>
              <w:spacing w:before="94" w:line="210" w:lineRule="auto"/>
              <w:ind w:left="355"/>
              <w:rPr>
                <w:sz w:val="20"/>
                <w:szCs w:val="20"/>
              </w:rPr>
            </w:pPr>
            <w:r>
              <w:rPr>
                <w:spacing w:val="5"/>
                <w:sz w:val="20"/>
                <w:szCs w:val="20"/>
              </w:rPr>
              <w:t>达标</w:t>
            </w:r>
          </w:p>
        </w:tc>
      </w:tr>
      <w:tr w14:paraId="6D7015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1150" w:type="dxa"/>
            <w:vMerge w:val="continue"/>
            <w:tcBorders>
              <w:top w:val="nil"/>
              <w:left w:val="nil"/>
              <w:bottom w:val="single" w:color="000000" w:sz="10" w:space="0"/>
            </w:tcBorders>
            <w:vAlign w:val="top"/>
          </w:tcPr>
          <w:p w14:paraId="684B9D2A">
            <w:pPr>
              <w:rPr>
                <w:rFonts w:ascii="Arial"/>
                <w:sz w:val="21"/>
              </w:rPr>
            </w:pPr>
          </w:p>
        </w:tc>
        <w:tc>
          <w:tcPr>
            <w:tcW w:w="1870" w:type="dxa"/>
            <w:vMerge w:val="continue"/>
            <w:tcBorders>
              <w:top w:val="nil"/>
              <w:bottom w:val="single" w:color="000000" w:sz="10" w:space="0"/>
            </w:tcBorders>
            <w:vAlign w:val="top"/>
          </w:tcPr>
          <w:p w14:paraId="5F1CBA45">
            <w:pPr>
              <w:rPr>
                <w:rFonts w:ascii="Arial"/>
                <w:sz w:val="21"/>
              </w:rPr>
            </w:pPr>
          </w:p>
        </w:tc>
        <w:tc>
          <w:tcPr>
            <w:tcW w:w="1580" w:type="dxa"/>
            <w:tcBorders>
              <w:bottom w:val="single" w:color="000000" w:sz="10" w:space="0"/>
            </w:tcBorders>
            <w:vAlign w:val="top"/>
          </w:tcPr>
          <w:p w14:paraId="79A2835B">
            <w:pPr>
              <w:pStyle w:val="6"/>
              <w:spacing w:before="95" w:line="229" w:lineRule="auto"/>
              <w:ind w:left="164"/>
              <w:rPr>
                <w:sz w:val="20"/>
                <w:szCs w:val="20"/>
              </w:rPr>
            </w:pPr>
            <w:r>
              <w:rPr>
                <w:spacing w:val="8"/>
                <w:sz w:val="20"/>
                <w:szCs w:val="20"/>
              </w:rPr>
              <w:t>锰及其化合物</w:t>
            </w:r>
          </w:p>
        </w:tc>
        <w:tc>
          <w:tcPr>
            <w:tcW w:w="1110" w:type="dxa"/>
            <w:tcBorders>
              <w:bottom w:val="single" w:color="000000" w:sz="10" w:space="0"/>
            </w:tcBorders>
            <w:vAlign w:val="top"/>
          </w:tcPr>
          <w:p w14:paraId="626E87BB">
            <w:pPr>
              <w:pStyle w:val="6"/>
              <w:spacing w:before="95" w:line="230" w:lineRule="auto"/>
              <w:ind w:left="215"/>
              <w:rPr>
                <w:sz w:val="20"/>
                <w:szCs w:val="20"/>
              </w:rPr>
            </w:pPr>
            <w:r>
              <w:rPr>
                <w:rFonts w:ascii="Times New Roman" w:hAnsi="Times New Roman" w:eastAsia="Times New Roman" w:cs="Times New Roman"/>
                <w:spacing w:val="2"/>
                <w:sz w:val="20"/>
                <w:szCs w:val="20"/>
              </w:rPr>
              <w:t>24</w:t>
            </w:r>
            <w:r>
              <w:rPr>
                <w:rFonts w:ascii="Times New Roman" w:hAnsi="Times New Roman" w:eastAsia="Times New Roman" w:cs="Times New Roman"/>
                <w:spacing w:val="16"/>
                <w:sz w:val="20"/>
                <w:szCs w:val="20"/>
              </w:rPr>
              <w:t xml:space="preserve"> </w:t>
            </w:r>
            <w:r>
              <w:rPr>
                <w:spacing w:val="2"/>
                <w:sz w:val="20"/>
                <w:szCs w:val="20"/>
              </w:rPr>
              <w:t>小时</w:t>
            </w:r>
          </w:p>
        </w:tc>
        <w:tc>
          <w:tcPr>
            <w:tcW w:w="2346" w:type="dxa"/>
            <w:tcBorders>
              <w:bottom w:val="single" w:color="000000" w:sz="10" w:space="0"/>
            </w:tcBorders>
            <w:vAlign w:val="top"/>
          </w:tcPr>
          <w:p w14:paraId="0C824065">
            <w:pPr>
              <w:spacing w:before="134" w:line="192"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ND</w:t>
            </w:r>
          </w:p>
        </w:tc>
        <w:tc>
          <w:tcPr>
            <w:tcW w:w="1867" w:type="dxa"/>
            <w:tcBorders>
              <w:bottom w:val="single" w:color="000000" w:sz="10" w:space="0"/>
            </w:tcBorders>
            <w:vAlign w:val="top"/>
          </w:tcPr>
          <w:p w14:paraId="268F2160">
            <w:pPr>
              <w:spacing w:before="131" w:line="195" w:lineRule="auto"/>
              <w:ind w:left="84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734" w:type="dxa"/>
            <w:tcBorders>
              <w:bottom w:val="single" w:color="000000" w:sz="10" w:space="0"/>
            </w:tcBorders>
            <w:vAlign w:val="top"/>
          </w:tcPr>
          <w:p w14:paraId="59604391">
            <w:pPr>
              <w:spacing w:before="127" w:line="199" w:lineRule="auto"/>
              <w:ind w:left="8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443" w:type="dxa"/>
            <w:tcBorders>
              <w:bottom w:val="single" w:color="000000" w:sz="10" w:space="0"/>
            </w:tcBorders>
            <w:vAlign w:val="top"/>
          </w:tcPr>
          <w:p w14:paraId="78510AED">
            <w:pPr>
              <w:spacing w:before="131" w:line="195" w:lineRule="auto"/>
              <w:ind w:left="675"/>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19" w:type="dxa"/>
            <w:tcBorders>
              <w:bottom w:val="single" w:color="000000" w:sz="10" w:space="0"/>
              <w:right w:val="nil"/>
            </w:tcBorders>
            <w:vAlign w:val="top"/>
          </w:tcPr>
          <w:p w14:paraId="050026A6">
            <w:pPr>
              <w:pStyle w:val="6"/>
              <w:spacing w:before="96" w:line="228" w:lineRule="auto"/>
              <w:ind w:left="355"/>
              <w:rPr>
                <w:sz w:val="20"/>
                <w:szCs w:val="20"/>
              </w:rPr>
            </w:pPr>
            <w:r>
              <w:rPr>
                <w:spacing w:val="5"/>
                <w:sz w:val="20"/>
                <w:szCs w:val="20"/>
              </w:rPr>
              <w:t>达标</w:t>
            </w:r>
          </w:p>
        </w:tc>
      </w:tr>
    </w:tbl>
    <w:p w14:paraId="243A286A">
      <w:pPr>
        <w:pStyle w:val="2"/>
      </w:pPr>
    </w:p>
    <w:p w14:paraId="03CDAA74">
      <w:pPr>
        <w:sectPr>
          <w:headerReference r:id="rId225" w:type="default"/>
          <w:footerReference r:id="rId226" w:type="default"/>
          <w:pgSz w:w="16839" w:h="11906"/>
          <w:pgMar w:top="1190" w:right="1309" w:bottom="993" w:left="1309" w:header="882" w:footer="831" w:gutter="0"/>
          <w:cols w:space="720" w:num="1"/>
        </w:sectPr>
      </w:pPr>
    </w:p>
    <w:p w14:paraId="102F7976">
      <w:pPr>
        <w:spacing w:line="28" w:lineRule="exact"/>
        <w:ind w:firstLine="108"/>
      </w:pPr>
      <w:r>
        <w:pict>
          <v:shape id="_x0000_s1261" o:spid="_x0000_s1261" style="height:1.45pt;width:453.55pt;" fillcolor="#000000" filled="t" stroked="f" coordsize="9070,29" path="m0,0l9070,0,9070,28,0,28,0,0xe">
            <v:path/>
            <v:fill on="t" focussize="0,0"/>
            <v:stroke on="f"/>
            <v:imagedata o:title=""/>
            <o:lock v:ext="edit"/>
            <w10:wrap type="none"/>
            <w10:anchorlock/>
          </v:shape>
        </w:pict>
      </w:r>
    </w:p>
    <w:p w14:paraId="2B93C986">
      <w:pPr>
        <w:spacing w:before="243" w:line="222" w:lineRule="auto"/>
        <w:ind w:left="120"/>
        <w:outlineLvl w:val="2"/>
        <w:rPr>
          <w:rFonts w:ascii="黑体" w:hAnsi="黑体" w:eastAsia="黑体" w:cs="黑体"/>
          <w:sz w:val="30"/>
          <w:szCs w:val="30"/>
        </w:rPr>
      </w:pPr>
      <w:bookmarkStart w:id="353" w:name="bookmark174"/>
      <w:bookmarkEnd w:id="353"/>
      <w:r>
        <w:rPr>
          <w:rFonts w:ascii="Times New Roman" w:hAnsi="Times New Roman" w:eastAsia="Times New Roman" w:cs="Times New Roman"/>
          <w:spacing w:val="-1"/>
          <w:sz w:val="30"/>
          <w:szCs w:val="30"/>
        </w:rPr>
        <w:t xml:space="preserve">3.3.2 </w:t>
      </w:r>
      <w:r>
        <w:rPr>
          <w:rFonts w:ascii="黑体" w:hAnsi="黑体" w:eastAsia="黑体" w:cs="黑体"/>
          <w:spacing w:val="-1"/>
          <w:sz w:val="30"/>
          <w:szCs w:val="30"/>
        </w:rPr>
        <w:t>地下水环境质量现状监测与评价</w:t>
      </w:r>
    </w:p>
    <w:p w14:paraId="67CCC864">
      <w:pPr>
        <w:spacing w:before="211" w:line="221" w:lineRule="auto"/>
        <w:ind w:left="60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）监测点位</w:t>
      </w:r>
    </w:p>
    <w:p w14:paraId="40419A59">
      <w:pPr>
        <w:spacing w:before="181" w:line="219" w:lineRule="auto"/>
        <w:ind w:left="596"/>
        <w:rPr>
          <w:rFonts w:ascii="宋体" w:hAnsi="宋体" w:eastAsia="宋体" w:cs="宋体"/>
          <w:sz w:val="24"/>
          <w:szCs w:val="24"/>
        </w:rPr>
      </w:pPr>
      <w:r>
        <w:rPr>
          <w:rFonts w:ascii="宋体" w:hAnsi="宋体" w:eastAsia="宋体" w:cs="宋体"/>
          <w:spacing w:val="-5"/>
          <w:sz w:val="24"/>
          <w:szCs w:val="24"/>
        </w:rPr>
        <w:t>选取的地下水水质监测点</w:t>
      </w:r>
      <w:r>
        <w:rPr>
          <w:rFonts w:ascii="宋体" w:hAnsi="宋体" w:eastAsia="宋体" w:cs="宋体"/>
          <w:spacing w:val="-51"/>
          <w:sz w:val="24"/>
          <w:szCs w:val="24"/>
        </w:rPr>
        <w:t xml:space="preserve"> </w:t>
      </w:r>
      <w:r>
        <w:rPr>
          <w:rFonts w:ascii="Times New Roman" w:hAnsi="Times New Roman" w:eastAsia="Times New Roman" w:cs="Times New Roman"/>
          <w:spacing w:val="-5"/>
          <w:sz w:val="24"/>
          <w:szCs w:val="24"/>
        </w:rPr>
        <w:t xml:space="preserve">7 </w:t>
      </w:r>
      <w:r>
        <w:rPr>
          <w:rFonts w:ascii="宋体" w:hAnsi="宋体" w:eastAsia="宋体" w:cs="宋体"/>
          <w:spacing w:val="-5"/>
          <w:sz w:val="24"/>
          <w:szCs w:val="24"/>
        </w:rPr>
        <w:t>个（</w:t>
      </w:r>
      <w:r>
        <w:rPr>
          <w:rFonts w:ascii="Times New Roman" w:hAnsi="Times New Roman" w:eastAsia="Times New Roman" w:cs="Times New Roman"/>
          <w:spacing w:val="-5"/>
          <w:sz w:val="24"/>
          <w:szCs w:val="24"/>
        </w:rPr>
        <w:t>D1</w:t>
      </w:r>
      <w:r>
        <w:rPr>
          <w:rFonts w:ascii="Times New Roman" w:hAnsi="Times New Roman" w:eastAsia="Times New Roman" w:cs="Times New Roman"/>
          <w:spacing w:val="-33"/>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D2</w:t>
      </w:r>
      <w:r>
        <w:rPr>
          <w:rFonts w:ascii="Times New Roman" w:hAnsi="Times New Roman" w:eastAsia="Times New Roman" w:cs="Times New Roman"/>
          <w:spacing w:val="-34"/>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D3</w:t>
      </w:r>
      <w:r>
        <w:rPr>
          <w:rFonts w:ascii="Times New Roman" w:hAnsi="Times New Roman" w:eastAsia="Times New Roman" w:cs="Times New Roman"/>
          <w:spacing w:val="-34"/>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D4</w:t>
      </w:r>
      <w:r>
        <w:rPr>
          <w:rFonts w:ascii="Times New Roman" w:hAnsi="Times New Roman" w:eastAsia="Times New Roman" w:cs="Times New Roman"/>
          <w:spacing w:val="-31"/>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D5</w:t>
      </w:r>
      <w:r>
        <w:rPr>
          <w:rFonts w:ascii="Times New Roman" w:hAnsi="Times New Roman" w:eastAsia="Times New Roman" w:cs="Times New Roman"/>
          <w:spacing w:val="-34"/>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D6</w:t>
      </w:r>
      <w:r>
        <w:rPr>
          <w:rFonts w:ascii="Times New Roman" w:hAnsi="Times New Roman" w:eastAsia="Times New Roman" w:cs="Times New Roman"/>
          <w:spacing w:val="-34"/>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D7</w:t>
      </w:r>
      <w:r>
        <w:rPr>
          <w:rFonts w:ascii="宋体" w:hAnsi="宋体" w:eastAsia="宋体" w:cs="宋体"/>
          <w:spacing w:val="10"/>
          <w:sz w:val="24"/>
          <w:szCs w:val="24"/>
        </w:rPr>
        <w:t>），</w:t>
      </w:r>
      <w:r>
        <w:rPr>
          <w:rFonts w:ascii="宋体" w:hAnsi="宋体" w:eastAsia="宋体" w:cs="宋体"/>
          <w:spacing w:val="-5"/>
          <w:sz w:val="24"/>
          <w:szCs w:val="24"/>
        </w:rPr>
        <w:t>水位监测点</w:t>
      </w:r>
    </w:p>
    <w:p w14:paraId="2B778E87">
      <w:pPr>
        <w:spacing w:before="181" w:line="219" w:lineRule="auto"/>
        <w:ind w:left="136"/>
        <w:rPr>
          <w:rFonts w:ascii="宋体" w:hAnsi="宋体" w:eastAsia="宋体" w:cs="宋体"/>
          <w:sz w:val="24"/>
          <w:szCs w:val="24"/>
        </w:rPr>
      </w:pPr>
      <w:r>
        <w:rPr>
          <w:rFonts w:ascii="Times New Roman" w:hAnsi="Times New Roman" w:eastAsia="Times New Roman" w:cs="Times New Roman"/>
          <w:spacing w:val="-3"/>
          <w:sz w:val="24"/>
          <w:szCs w:val="24"/>
        </w:rPr>
        <w:t xml:space="preserve">14 </w:t>
      </w:r>
      <w:r>
        <w:rPr>
          <w:rFonts w:ascii="宋体" w:hAnsi="宋体" w:eastAsia="宋体" w:cs="宋体"/>
          <w:spacing w:val="-3"/>
          <w:sz w:val="24"/>
          <w:szCs w:val="24"/>
        </w:rPr>
        <w:t>个。监测点的位置见图</w:t>
      </w:r>
      <w:r>
        <w:rPr>
          <w:rFonts w:ascii="宋体" w:hAnsi="宋体" w:eastAsia="宋体" w:cs="宋体"/>
          <w:spacing w:val="-37"/>
          <w:sz w:val="24"/>
          <w:szCs w:val="24"/>
        </w:rPr>
        <w:t xml:space="preserve"> </w:t>
      </w:r>
      <w:r>
        <w:rPr>
          <w:rFonts w:ascii="Times New Roman" w:hAnsi="Times New Roman" w:eastAsia="Times New Roman" w:cs="Times New Roman"/>
          <w:spacing w:val="-3"/>
          <w:sz w:val="24"/>
          <w:szCs w:val="24"/>
        </w:rPr>
        <w:t>3.3-2</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，具体情况见表</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3.3-4</w:t>
      </w:r>
      <w:r>
        <w:rPr>
          <w:rFonts w:ascii="宋体" w:hAnsi="宋体" w:eastAsia="宋体" w:cs="宋体"/>
          <w:spacing w:val="-3"/>
          <w:sz w:val="24"/>
          <w:szCs w:val="24"/>
        </w:rPr>
        <w:t>。</w:t>
      </w:r>
    </w:p>
    <w:p w14:paraId="33344AF2">
      <w:pPr>
        <w:spacing w:before="178" w:line="227" w:lineRule="auto"/>
        <w:ind w:left="2508"/>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4"/>
          <w:sz w:val="20"/>
          <w:szCs w:val="20"/>
        </w:rPr>
        <w:t xml:space="preserve"> </w:t>
      </w:r>
      <w:r>
        <w:rPr>
          <w:rFonts w:ascii="Times New Roman" w:hAnsi="Times New Roman" w:eastAsia="Times New Roman" w:cs="Times New Roman"/>
          <w:b/>
          <w:bCs/>
          <w:spacing w:val="6"/>
          <w:sz w:val="20"/>
          <w:szCs w:val="20"/>
        </w:rPr>
        <w:t xml:space="preserve">3.3-4        </w:t>
      </w:r>
      <w:r>
        <w:rPr>
          <w:rFonts w:ascii="宋体" w:hAnsi="宋体" w:eastAsia="宋体" w:cs="宋体"/>
          <w:b/>
          <w:bCs/>
          <w:spacing w:val="6"/>
          <w:sz w:val="20"/>
          <w:szCs w:val="20"/>
        </w:rPr>
        <w:t>引用地下水监测井</w:t>
      </w:r>
      <w:r>
        <w:rPr>
          <w:rFonts w:ascii="宋体" w:hAnsi="宋体" w:eastAsia="宋体" w:cs="宋体"/>
          <w:b/>
          <w:bCs/>
          <w:spacing w:val="5"/>
          <w:sz w:val="20"/>
          <w:szCs w:val="20"/>
        </w:rPr>
        <w:t>基本情况一览表</w:t>
      </w:r>
    </w:p>
    <w:p w14:paraId="7F91FEC3">
      <w:pPr>
        <w:spacing w:line="132" w:lineRule="exact"/>
      </w:pPr>
    </w:p>
    <w:tbl>
      <w:tblPr>
        <w:tblStyle w:val="5"/>
        <w:tblW w:w="928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3"/>
        <w:gridCol w:w="1289"/>
        <w:gridCol w:w="3574"/>
        <w:gridCol w:w="849"/>
        <w:gridCol w:w="1640"/>
        <w:gridCol w:w="1220"/>
      </w:tblGrid>
      <w:tr w14:paraId="14BA06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1" w:hRule="atLeast"/>
        </w:trPr>
        <w:tc>
          <w:tcPr>
            <w:tcW w:w="713" w:type="dxa"/>
            <w:tcBorders>
              <w:top w:val="single" w:color="000000" w:sz="10" w:space="0"/>
              <w:left w:val="nil"/>
            </w:tcBorders>
            <w:vAlign w:val="top"/>
          </w:tcPr>
          <w:p w14:paraId="30D2DA97">
            <w:pPr>
              <w:pStyle w:val="6"/>
              <w:spacing w:before="170" w:line="229" w:lineRule="auto"/>
              <w:ind w:left="154"/>
              <w:rPr>
                <w:sz w:val="20"/>
                <w:szCs w:val="20"/>
              </w:rPr>
            </w:pPr>
            <w:r>
              <w:rPr>
                <w:spacing w:val="5"/>
                <w:sz w:val="20"/>
                <w:szCs w:val="20"/>
              </w:rPr>
              <w:t>序号</w:t>
            </w:r>
          </w:p>
        </w:tc>
        <w:tc>
          <w:tcPr>
            <w:tcW w:w="1289" w:type="dxa"/>
            <w:tcBorders>
              <w:top w:val="single" w:color="000000" w:sz="10" w:space="0"/>
            </w:tcBorders>
            <w:vAlign w:val="top"/>
          </w:tcPr>
          <w:p w14:paraId="779AB70E">
            <w:pPr>
              <w:pStyle w:val="6"/>
              <w:spacing w:before="170" w:line="229" w:lineRule="auto"/>
              <w:ind w:left="450"/>
              <w:rPr>
                <w:sz w:val="20"/>
                <w:szCs w:val="20"/>
              </w:rPr>
            </w:pPr>
            <w:r>
              <w:rPr>
                <w:spacing w:val="-1"/>
                <w:sz w:val="20"/>
                <w:szCs w:val="20"/>
              </w:rPr>
              <w:t>点位</w:t>
            </w:r>
          </w:p>
        </w:tc>
        <w:tc>
          <w:tcPr>
            <w:tcW w:w="3574" w:type="dxa"/>
            <w:tcBorders>
              <w:top w:val="single" w:color="000000" w:sz="10" w:space="0"/>
            </w:tcBorders>
            <w:vAlign w:val="top"/>
          </w:tcPr>
          <w:p w14:paraId="30487B51">
            <w:pPr>
              <w:pStyle w:val="6"/>
              <w:spacing w:before="171" w:line="228" w:lineRule="auto"/>
              <w:ind w:left="1583"/>
              <w:rPr>
                <w:sz w:val="20"/>
                <w:szCs w:val="20"/>
              </w:rPr>
            </w:pPr>
            <w:r>
              <w:rPr>
                <w:spacing w:val="4"/>
                <w:sz w:val="20"/>
                <w:szCs w:val="20"/>
              </w:rPr>
              <w:t>坐标</w:t>
            </w:r>
          </w:p>
        </w:tc>
        <w:tc>
          <w:tcPr>
            <w:tcW w:w="849" w:type="dxa"/>
            <w:tcBorders>
              <w:top w:val="single" w:color="000000" w:sz="10" w:space="0"/>
            </w:tcBorders>
            <w:vAlign w:val="top"/>
          </w:tcPr>
          <w:p w14:paraId="14E3F555">
            <w:pPr>
              <w:pStyle w:val="6"/>
              <w:spacing w:before="36" w:line="233" w:lineRule="auto"/>
              <w:ind w:left="149" w:right="149" w:firstLine="71"/>
              <w:rPr>
                <w:sz w:val="20"/>
                <w:szCs w:val="20"/>
              </w:rPr>
            </w:pPr>
            <w:r>
              <w:rPr>
                <w:spacing w:val="4"/>
                <w:sz w:val="20"/>
                <w:szCs w:val="20"/>
              </w:rPr>
              <w:t>井深</w:t>
            </w:r>
            <w:r>
              <w:rPr>
                <w:sz w:val="20"/>
                <w:szCs w:val="20"/>
              </w:rPr>
              <w:t xml:space="preserve"> </w:t>
            </w:r>
            <w:r>
              <w:rPr>
                <w:spacing w:val="-4"/>
                <w:sz w:val="20"/>
                <w:szCs w:val="20"/>
              </w:rPr>
              <w:t>（</w:t>
            </w:r>
            <w:r>
              <w:rPr>
                <w:rFonts w:ascii="Times New Roman" w:hAnsi="Times New Roman" w:eastAsia="Times New Roman" w:cs="Times New Roman"/>
                <w:spacing w:val="-4"/>
                <w:sz w:val="20"/>
                <w:szCs w:val="20"/>
              </w:rPr>
              <w:t>m</w:t>
            </w:r>
            <w:r>
              <w:rPr>
                <w:spacing w:val="-4"/>
                <w:sz w:val="20"/>
                <w:szCs w:val="20"/>
              </w:rPr>
              <w:t>）</w:t>
            </w:r>
          </w:p>
        </w:tc>
        <w:tc>
          <w:tcPr>
            <w:tcW w:w="1640" w:type="dxa"/>
            <w:tcBorders>
              <w:top w:val="single" w:color="000000" w:sz="10" w:space="0"/>
            </w:tcBorders>
            <w:vAlign w:val="top"/>
          </w:tcPr>
          <w:p w14:paraId="5BD4739F">
            <w:pPr>
              <w:pStyle w:val="6"/>
              <w:spacing w:before="170" w:line="228" w:lineRule="auto"/>
              <w:ind w:left="116"/>
              <w:rPr>
                <w:sz w:val="20"/>
                <w:szCs w:val="20"/>
              </w:rPr>
            </w:pPr>
            <w:r>
              <w:rPr>
                <w:spacing w:val="6"/>
                <w:sz w:val="20"/>
                <w:szCs w:val="20"/>
              </w:rPr>
              <w:t>水位埋深（</w:t>
            </w:r>
            <w:r>
              <w:rPr>
                <w:rFonts w:ascii="Times New Roman" w:hAnsi="Times New Roman" w:eastAsia="Times New Roman" w:cs="Times New Roman"/>
                <w:spacing w:val="6"/>
                <w:sz w:val="20"/>
                <w:szCs w:val="20"/>
              </w:rPr>
              <w:t>m</w:t>
            </w:r>
            <w:r>
              <w:rPr>
                <w:spacing w:val="6"/>
                <w:sz w:val="20"/>
                <w:szCs w:val="20"/>
              </w:rPr>
              <w:t>）</w:t>
            </w:r>
          </w:p>
        </w:tc>
        <w:tc>
          <w:tcPr>
            <w:tcW w:w="1220" w:type="dxa"/>
            <w:tcBorders>
              <w:top w:val="single" w:color="000000" w:sz="10" w:space="0"/>
              <w:right w:val="nil"/>
            </w:tcBorders>
            <w:vAlign w:val="top"/>
          </w:tcPr>
          <w:p w14:paraId="6A020171">
            <w:pPr>
              <w:pStyle w:val="6"/>
              <w:spacing w:before="170" w:line="228" w:lineRule="auto"/>
              <w:ind w:left="121"/>
              <w:rPr>
                <w:sz w:val="20"/>
                <w:szCs w:val="20"/>
              </w:rPr>
            </w:pPr>
            <w:r>
              <w:rPr>
                <w:spacing w:val="4"/>
                <w:sz w:val="20"/>
                <w:szCs w:val="20"/>
              </w:rPr>
              <w:t>高程（</w:t>
            </w:r>
            <w:r>
              <w:rPr>
                <w:rFonts w:ascii="Times New Roman" w:hAnsi="Times New Roman" w:eastAsia="Times New Roman" w:cs="Times New Roman"/>
                <w:spacing w:val="4"/>
                <w:sz w:val="20"/>
                <w:szCs w:val="20"/>
              </w:rPr>
              <w:t>m</w:t>
            </w:r>
            <w:r>
              <w:rPr>
                <w:spacing w:val="4"/>
                <w:sz w:val="20"/>
                <w:szCs w:val="20"/>
              </w:rPr>
              <w:t>）</w:t>
            </w:r>
          </w:p>
        </w:tc>
      </w:tr>
      <w:tr w14:paraId="683480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13" w:type="dxa"/>
            <w:tcBorders>
              <w:left w:val="nil"/>
            </w:tcBorders>
            <w:vAlign w:val="top"/>
          </w:tcPr>
          <w:p w14:paraId="7DE45F4A">
            <w:pPr>
              <w:spacing w:before="89" w:line="195"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D1</w:t>
            </w:r>
          </w:p>
        </w:tc>
        <w:tc>
          <w:tcPr>
            <w:tcW w:w="1289" w:type="dxa"/>
            <w:vAlign w:val="top"/>
          </w:tcPr>
          <w:p w14:paraId="46016264">
            <w:pPr>
              <w:spacing w:before="89" w:line="195" w:lineRule="auto"/>
              <w:ind w:left="55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w:t>
            </w:r>
          </w:p>
        </w:tc>
        <w:tc>
          <w:tcPr>
            <w:tcW w:w="3574" w:type="dxa"/>
            <w:vAlign w:val="top"/>
          </w:tcPr>
          <w:p w14:paraId="39111525">
            <w:pPr>
              <w:pStyle w:val="6"/>
              <w:spacing w:before="90" w:line="186"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112°55′59.48″E</w:t>
            </w:r>
            <w:r>
              <w:rPr>
                <w:rFonts w:ascii="Times New Roman" w:hAnsi="Times New Roman" w:eastAsia="Times New Roman" w:cs="Times New Roman"/>
                <w:spacing w:val="-7"/>
                <w:sz w:val="20"/>
                <w:szCs w:val="20"/>
              </w:rPr>
              <w:t xml:space="preserve"> </w:t>
            </w:r>
            <w:r>
              <w:rPr>
                <w:spacing w:val="2"/>
                <w:sz w:val="20"/>
                <w:szCs w:val="20"/>
              </w:rPr>
              <w:t>，</w:t>
            </w:r>
            <w:r>
              <w:rPr>
                <w:rFonts w:ascii="Times New Roman" w:hAnsi="Times New Roman" w:eastAsia="Times New Roman" w:cs="Times New Roman"/>
                <w:spacing w:val="2"/>
                <w:sz w:val="20"/>
                <w:szCs w:val="20"/>
              </w:rPr>
              <w:t>42°26′36.71″N</w:t>
            </w:r>
          </w:p>
        </w:tc>
        <w:tc>
          <w:tcPr>
            <w:tcW w:w="849" w:type="dxa"/>
            <w:vAlign w:val="top"/>
          </w:tcPr>
          <w:p w14:paraId="134E9372">
            <w:pPr>
              <w:spacing w:before="89" w:line="195" w:lineRule="auto"/>
              <w:ind w:left="324"/>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1640" w:type="dxa"/>
            <w:vAlign w:val="top"/>
          </w:tcPr>
          <w:p w14:paraId="5BD2261A">
            <w:pPr>
              <w:spacing w:before="89" w:line="195" w:lineRule="auto"/>
              <w:ind w:left="60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10.68</w:t>
            </w:r>
          </w:p>
        </w:tc>
        <w:tc>
          <w:tcPr>
            <w:tcW w:w="1220" w:type="dxa"/>
            <w:tcBorders>
              <w:right w:val="nil"/>
            </w:tcBorders>
            <w:vAlign w:val="top"/>
          </w:tcPr>
          <w:p w14:paraId="2AAA0E1C">
            <w:pPr>
              <w:spacing w:before="89"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1114.17</w:t>
            </w:r>
          </w:p>
        </w:tc>
      </w:tr>
      <w:tr w14:paraId="477E17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13" w:type="dxa"/>
            <w:tcBorders>
              <w:left w:val="nil"/>
            </w:tcBorders>
            <w:vAlign w:val="top"/>
          </w:tcPr>
          <w:p w14:paraId="4DDB1ACF">
            <w:pPr>
              <w:spacing w:before="90" w:line="195"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D2</w:t>
            </w:r>
          </w:p>
        </w:tc>
        <w:tc>
          <w:tcPr>
            <w:tcW w:w="1289" w:type="dxa"/>
            <w:vAlign w:val="top"/>
          </w:tcPr>
          <w:p w14:paraId="730F91F0">
            <w:pPr>
              <w:spacing w:before="56" w:line="195" w:lineRule="auto"/>
              <w:ind w:left="5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w:t>
            </w:r>
          </w:p>
        </w:tc>
        <w:tc>
          <w:tcPr>
            <w:tcW w:w="3574" w:type="dxa"/>
            <w:vAlign w:val="top"/>
          </w:tcPr>
          <w:p w14:paraId="631EADB9">
            <w:pPr>
              <w:pStyle w:val="6"/>
              <w:spacing w:before="90" w:line="186" w:lineRule="auto"/>
              <w:ind w:left="41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112°52′30.74″E</w:t>
            </w:r>
            <w:r>
              <w:rPr>
                <w:rFonts w:ascii="Times New Roman" w:hAnsi="Times New Roman" w:eastAsia="Times New Roman" w:cs="Times New Roman"/>
                <w:spacing w:val="-13"/>
                <w:sz w:val="20"/>
                <w:szCs w:val="20"/>
              </w:rPr>
              <w:t xml:space="preserve"> </w:t>
            </w:r>
            <w:r>
              <w:rPr>
                <w:spacing w:val="1"/>
                <w:sz w:val="20"/>
                <w:szCs w:val="20"/>
              </w:rPr>
              <w:t>，</w:t>
            </w:r>
            <w:r>
              <w:rPr>
                <w:rFonts w:ascii="Times New Roman" w:hAnsi="Times New Roman" w:eastAsia="Times New Roman" w:cs="Times New Roman"/>
                <w:spacing w:val="1"/>
                <w:sz w:val="20"/>
                <w:szCs w:val="20"/>
              </w:rPr>
              <w:t>42°27′</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11.72″N</w:t>
            </w:r>
          </w:p>
        </w:tc>
        <w:tc>
          <w:tcPr>
            <w:tcW w:w="849" w:type="dxa"/>
            <w:vAlign w:val="top"/>
          </w:tcPr>
          <w:p w14:paraId="00B9428A">
            <w:pPr>
              <w:spacing w:before="90" w:line="195" w:lineRule="auto"/>
              <w:ind w:left="325"/>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640" w:type="dxa"/>
            <w:vAlign w:val="top"/>
          </w:tcPr>
          <w:p w14:paraId="3F708B16">
            <w:pPr>
              <w:spacing w:before="90" w:line="195" w:lineRule="auto"/>
              <w:ind w:left="60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16.35</w:t>
            </w:r>
          </w:p>
        </w:tc>
        <w:tc>
          <w:tcPr>
            <w:tcW w:w="1220" w:type="dxa"/>
            <w:tcBorders>
              <w:right w:val="nil"/>
            </w:tcBorders>
            <w:vAlign w:val="top"/>
          </w:tcPr>
          <w:p w14:paraId="5C198319">
            <w:pPr>
              <w:spacing w:before="90"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1148.35</w:t>
            </w:r>
          </w:p>
        </w:tc>
      </w:tr>
      <w:tr w14:paraId="014B6B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713" w:type="dxa"/>
            <w:tcBorders>
              <w:left w:val="nil"/>
            </w:tcBorders>
            <w:vAlign w:val="top"/>
          </w:tcPr>
          <w:p w14:paraId="118BD745">
            <w:pPr>
              <w:spacing w:before="93" w:line="195"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D3</w:t>
            </w:r>
          </w:p>
        </w:tc>
        <w:tc>
          <w:tcPr>
            <w:tcW w:w="1289" w:type="dxa"/>
            <w:vAlign w:val="top"/>
          </w:tcPr>
          <w:p w14:paraId="696D60F9">
            <w:pPr>
              <w:spacing w:before="57" w:line="195" w:lineRule="auto"/>
              <w:ind w:left="543"/>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3574" w:type="dxa"/>
            <w:vAlign w:val="top"/>
          </w:tcPr>
          <w:p w14:paraId="03DA12E8">
            <w:pPr>
              <w:pStyle w:val="6"/>
              <w:spacing w:before="91" w:line="186"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112°55′35.34″E</w:t>
            </w:r>
            <w:r>
              <w:rPr>
                <w:rFonts w:ascii="Times New Roman" w:hAnsi="Times New Roman" w:eastAsia="Times New Roman" w:cs="Times New Roman"/>
                <w:spacing w:val="-25"/>
                <w:sz w:val="20"/>
                <w:szCs w:val="20"/>
              </w:rPr>
              <w:t xml:space="preserve"> </w:t>
            </w:r>
            <w:r>
              <w:rPr>
                <w:spacing w:val="2"/>
                <w:sz w:val="20"/>
                <w:szCs w:val="20"/>
              </w:rPr>
              <w:t>，</w:t>
            </w:r>
            <w:r>
              <w:rPr>
                <w:rFonts w:ascii="Times New Roman" w:hAnsi="Times New Roman" w:eastAsia="Times New Roman" w:cs="Times New Roman"/>
                <w:spacing w:val="2"/>
                <w:sz w:val="20"/>
                <w:szCs w:val="20"/>
              </w:rPr>
              <w:t>42°22′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17.75″N</w:t>
            </w:r>
          </w:p>
        </w:tc>
        <w:tc>
          <w:tcPr>
            <w:tcW w:w="849" w:type="dxa"/>
            <w:vAlign w:val="top"/>
          </w:tcPr>
          <w:p w14:paraId="13CCC011">
            <w:pPr>
              <w:spacing w:before="93" w:line="195" w:lineRule="auto"/>
              <w:ind w:left="34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13</w:t>
            </w:r>
          </w:p>
        </w:tc>
        <w:tc>
          <w:tcPr>
            <w:tcW w:w="1640" w:type="dxa"/>
            <w:vAlign w:val="top"/>
          </w:tcPr>
          <w:p w14:paraId="00211DA0">
            <w:pPr>
              <w:spacing w:before="93" w:line="195" w:lineRule="auto"/>
              <w:ind w:left="60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13.47</w:t>
            </w:r>
          </w:p>
        </w:tc>
        <w:tc>
          <w:tcPr>
            <w:tcW w:w="1220" w:type="dxa"/>
            <w:tcBorders>
              <w:right w:val="nil"/>
            </w:tcBorders>
            <w:vAlign w:val="top"/>
          </w:tcPr>
          <w:p w14:paraId="1839F8A5">
            <w:pPr>
              <w:spacing w:before="93"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1135.76</w:t>
            </w:r>
          </w:p>
        </w:tc>
      </w:tr>
      <w:tr w14:paraId="0EFAC3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713" w:type="dxa"/>
            <w:tcBorders>
              <w:left w:val="nil"/>
            </w:tcBorders>
            <w:vAlign w:val="top"/>
          </w:tcPr>
          <w:p w14:paraId="114D7C3D">
            <w:pPr>
              <w:spacing w:before="95" w:line="195"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D4</w:t>
            </w:r>
          </w:p>
        </w:tc>
        <w:tc>
          <w:tcPr>
            <w:tcW w:w="1289" w:type="dxa"/>
            <w:vAlign w:val="top"/>
          </w:tcPr>
          <w:p w14:paraId="36108BAF">
            <w:pPr>
              <w:spacing w:before="58" w:line="195" w:lineRule="auto"/>
              <w:ind w:left="53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w:t>
            </w:r>
          </w:p>
        </w:tc>
        <w:tc>
          <w:tcPr>
            <w:tcW w:w="3574" w:type="dxa"/>
            <w:vAlign w:val="top"/>
          </w:tcPr>
          <w:p w14:paraId="29C510B9">
            <w:pPr>
              <w:pStyle w:val="6"/>
              <w:spacing w:before="92" w:line="186"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112°51′59.17″E</w:t>
            </w:r>
            <w:r>
              <w:rPr>
                <w:rFonts w:ascii="Times New Roman" w:hAnsi="Times New Roman" w:eastAsia="Times New Roman" w:cs="Times New Roman"/>
                <w:spacing w:val="-7"/>
                <w:sz w:val="20"/>
                <w:szCs w:val="20"/>
              </w:rPr>
              <w:t xml:space="preserve"> </w:t>
            </w:r>
            <w:r>
              <w:rPr>
                <w:spacing w:val="2"/>
                <w:sz w:val="20"/>
                <w:szCs w:val="20"/>
              </w:rPr>
              <w:t>，</w:t>
            </w:r>
            <w:r>
              <w:rPr>
                <w:rFonts w:ascii="Times New Roman" w:hAnsi="Times New Roman" w:eastAsia="Times New Roman" w:cs="Times New Roman"/>
                <w:spacing w:val="2"/>
                <w:sz w:val="20"/>
                <w:szCs w:val="20"/>
              </w:rPr>
              <w:t>42°24′34.35″N</w:t>
            </w:r>
          </w:p>
        </w:tc>
        <w:tc>
          <w:tcPr>
            <w:tcW w:w="849" w:type="dxa"/>
            <w:vAlign w:val="top"/>
          </w:tcPr>
          <w:p w14:paraId="3D1D6017">
            <w:pPr>
              <w:spacing w:before="94" w:line="195" w:lineRule="auto"/>
              <w:ind w:left="326"/>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1640" w:type="dxa"/>
            <w:vAlign w:val="top"/>
          </w:tcPr>
          <w:p w14:paraId="7E92CC75">
            <w:pPr>
              <w:spacing w:before="94" w:line="195" w:lineRule="auto"/>
              <w:ind w:left="5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32.61</w:t>
            </w:r>
          </w:p>
        </w:tc>
        <w:tc>
          <w:tcPr>
            <w:tcW w:w="1220" w:type="dxa"/>
            <w:tcBorders>
              <w:right w:val="nil"/>
            </w:tcBorders>
            <w:vAlign w:val="top"/>
          </w:tcPr>
          <w:p w14:paraId="0019979C">
            <w:pPr>
              <w:spacing w:before="94"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1156.63</w:t>
            </w:r>
          </w:p>
        </w:tc>
      </w:tr>
      <w:tr w14:paraId="070A61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713" w:type="dxa"/>
            <w:tcBorders>
              <w:left w:val="nil"/>
            </w:tcBorders>
            <w:vAlign w:val="top"/>
          </w:tcPr>
          <w:p w14:paraId="5376ACAA">
            <w:pPr>
              <w:spacing w:before="99" w:line="192"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D5</w:t>
            </w:r>
          </w:p>
        </w:tc>
        <w:tc>
          <w:tcPr>
            <w:tcW w:w="1289" w:type="dxa"/>
            <w:vAlign w:val="top"/>
          </w:tcPr>
          <w:p w14:paraId="277F6070">
            <w:pPr>
              <w:spacing w:before="60" w:line="195" w:lineRule="auto"/>
              <w:ind w:left="545"/>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3574" w:type="dxa"/>
            <w:vAlign w:val="top"/>
          </w:tcPr>
          <w:p w14:paraId="75CCA014">
            <w:pPr>
              <w:pStyle w:val="6"/>
              <w:spacing w:before="94" w:line="186" w:lineRule="auto"/>
              <w:ind w:left="461"/>
              <w:rPr>
                <w:rFonts w:ascii="Times New Roman" w:hAnsi="Times New Roman" w:eastAsia="Times New Roman" w:cs="Times New Roman"/>
                <w:sz w:val="20"/>
                <w:szCs w:val="20"/>
              </w:rPr>
            </w:pPr>
            <w:r>
              <w:rPr>
                <w:rFonts w:ascii="Times New Roman" w:hAnsi="Times New Roman" w:eastAsia="Times New Roman" w:cs="Times New Roman"/>
                <w:sz w:val="20"/>
                <w:szCs w:val="20"/>
              </w:rPr>
              <w:t>112°52′</w:t>
            </w:r>
            <w:r>
              <w:rPr>
                <w:rFonts w:ascii="Times New Roman" w:hAnsi="Times New Roman" w:eastAsia="Times New Roman" w:cs="Times New Roman"/>
                <w:spacing w:val="-14"/>
                <w:sz w:val="20"/>
                <w:szCs w:val="20"/>
              </w:rPr>
              <w:t xml:space="preserve"> </w:t>
            </w:r>
            <w:r>
              <w:rPr>
                <w:rFonts w:ascii="Times New Roman" w:hAnsi="Times New Roman" w:eastAsia="Times New Roman" w:cs="Times New Roman"/>
                <w:sz w:val="20"/>
                <w:szCs w:val="20"/>
              </w:rPr>
              <w:t>11.8″E</w:t>
            </w:r>
            <w:r>
              <w:rPr>
                <w:rFonts w:ascii="Times New Roman" w:hAnsi="Times New Roman" w:eastAsia="Times New Roman" w:cs="Times New Roman"/>
                <w:spacing w:val="-25"/>
                <w:sz w:val="20"/>
                <w:szCs w:val="20"/>
              </w:rPr>
              <w:t xml:space="preserve"> </w:t>
            </w:r>
            <w:r>
              <w:rPr>
                <w:sz w:val="20"/>
                <w:szCs w:val="20"/>
              </w:rPr>
              <w:t>，</w:t>
            </w:r>
            <w:r>
              <w:rPr>
                <w:rFonts w:ascii="Times New Roman" w:hAnsi="Times New Roman" w:eastAsia="Times New Roman" w:cs="Times New Roman"/>
                <w:sz w:val="20"/>
                <w:szCs w:val="20"/>
              </w:rPr>
              <w:t>42°23′</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17.89″N</w:t>
            </w:r>
          </w:p>
        </w:tc>
        <w:tc>
          <w:tcPr>
            <w:tcW w:w="849" w:type="dxa"/>
            <w:vAlign w:val="top"/>
          </w:tcPr>
          <w:p w14:paraId="39660EF2">
            <w:pPr>
              <w:spacing w:before="96" w:line="195" w:lineRule="auto"/>
              <w:ind w:left="31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w:t>
            </w:r>
          </w:p>
        </w:tc>
        <w:tc>
          <w:tcPr>
            <w:tcW w:w="1640" w:type="dxa"/>
            <w:vAlign w:val="top"/>
          </w:tcPr>
          <w:p w14:paraId="26FD4189">
            <w:pPr>
              <w:spacing w:before="96" w:line="195" w:lineRule="auto"/>
              <w:ind w:left="5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30.18</w:t>
            </w:r>
          </w:p>
        </w:tc>
        <w:tc>
          <w:tcPr>
            <w:tcW w:w="1220" w:type="dxa"/>
            <w:tcBorders>
              <w:right w:val="nil"/>
            </w:tcBorders>
            <w:vAlign w:val="top"/>
          </w:tcPr>
          <w:p w14:paraId="684BDAED">
            <w:pPr>
              <w:spacing w:before="96"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1161.47</w:t>
            </w:r>
          </w:p>
        </w:tc>
      </w:tr>
      <w:tr w14:paraId="6E6534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13" w:type="dxa"/>
            <w:tcBorders>
              <w:left w:val="nil"/>
            </w:tcBorders>
            <w:vAlign w:val="top"/>
          </w:tcPr>
          <w:p w14:paraId="086F638E">
            <w:pPr>
              <w:spacing w:before="98" w:line="195"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D6</w:t>
            </w:r>
          </w:p>
        </w:tc>
        <w:tc>
          <w:tcPr>
            <w:tcW w:w="1289" w:type="dxa"/>
            <w:vAlign w:val="top"/>
          </w:tcPr>
          <w:p w14:paraId="20088EBA">
            <w:pPr>
              <w:spacing w:before="62" w:line="195" w:lineRule="auto"/>
              <w:ind w:left="544"/>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3574" w:type="dxa"/>
            <w:vAlign w:val="top"/>
          </w:tcPr>
          <w:p w14:paraId="1AEB639A">
            <w:pPr>
              <w:pStyle w:val="6"/>
              <w:spacing w:before="98" w:line="186" w:lineRule="auto"/>
              <w:ind w:left="4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112°54′9.71″E</w:t>
            </w:r>
            <w:r>
              <w:rPr>
                <w:rFonts w:ascii="Times New Roman" w:hAnsi="Times New Roman" w:eastAsia="Times New Roman" w:cs="Times New Roman"/>
                <w:spacing w:val="-11"/>
                <w:sz w:val="20"/>
                <w:szCs w:val="20"/>
              </w:rPr>
              <w:t xml:space="preserve"> </w:t>
            </w:r>
            <w:r>
              <w:rPr>
                <w:spacing w:val="2"/>
                <w:sz w:val="20"/>
                <w:szCs w:val="20"/>
              </w:rPr>
              <w:t>，</w:t>
            </w:r>
            <w:r>
              <w:rPr>
                <w:rFonts w:ascii="Times New Roman" w:hAnsi="Times New Roman" w:eastAsia="Times New Roman" w:cs="Times New Roman"/>
                <w:spacing w:val="2"/>
                <w:sz w:val="20"/>
                <w:szCs w:val="20"/>
              </w:rPr>
              <w:t>42°24′52.74″N</w:t>
            </w:r>
          </w:p>
        </w:tc>
        <w:tc>
          <w:tcPr>
            <w:tcW w:w="849" w:type="dxa"/>
            <w:vAlign w:val="top"/>
          </w:tcPr>
          <w:p w14:paraId="10E6832C">
            <w:pPr>
              <w:spacing w:before="98" w:line="195" w:lineRule="auto"/>
              <w:ind w:left="32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1640" w:type="dxa"/>
            <w:vAlign w:val="top"/>
          </w:tcPr>
          <w:p w14:paraId="6D3ECB38">
            <w:pPr>
              <w:spacing w:before="98" w:line="195" w:lineRule="auto"/>
              <w:ind w:left="60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15.34</w:t>
            </w:r>
          </w:p>
        </w:tc>
        <w:tc>
          <w:tcPr>
            <w:tcW w:w="1220" w:type="dxa"/>
            <w:tcBorders>
              <w:right w:val="nil"/>
            </w:tcBorders>
            <w:vAlign w:val="top"/>
          </w:tcPr>
          <w:p w14:paraId="5E1DE6D1">
            <w:pPr>
              <w:spacing w:before="98"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1134.92</w:t>
            </w:r>
          </w:p>
        </w:tc>
      </w:tr>
      <w:tr w14:paraId="5812CE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713" w:type="dxa"/>
            <w:tcBorders>
              <w:left w:val="nil"/>
            </w:tcBorders>
            <w:vAlign w:val="top"/>
          </w:tcPr>
          <w:p w14:paraId="55164521">
            <w:pPr>
              <w:spacing w:before="101" w:line="192"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D7</w:t>
            </w:r>
          </w:p>
        </w:tc>
        <w:tc>
          <w:tcPr>
            <w:tcW w:w="1289" w:type="dxa"/>
            <w:vAlign w:val="top"/>
          </w:tcPr>
          <w:p w14:paraId="32DD555A">
            <w:pPr>
              <w:spacing w:before="65" w:line="195" w:lineRule="auto"/>
              <w:ind w:left="54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w:t>
            </w:r>
          </w:p>
        </w:tc>
        <w:tc>
          <w:tcPr>
            <w:tcW w:w="3574" w:type="dxa"/>
            <w:vAlign w:val="top"/>
          </w:tcPr>
          <w:p w14:paraId="35827832">
            <w:pPr>
              <w:pStyle w:val="6"/>
              <w:spacing w:before="99" w:line="186"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112°52′</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1"/>
                <w:sz w:val="20"/>
                <w:szCs w:val="20"/>
              </w:rPr>
              <w:t>12.12″E</w:t>
            </w:r>
            <w:r>
              <w:rPr>
                <w:rFonts w:ascii="Times New Roman" w:hAnsi="Times New Roman" w:eastAsia="Times New Roman" w:cs="Times New Roman"/>
                <w:spacing w:val="-25"/>
                <w:sz w:val="20"/>
                <w:szCs w:val="20"/>
              </w:rPr>
              <w:t xml:space="preserve"> </w:t>
            </w:r>
            <w:r>
              <w:rPr>
                <w:spacing w:val="1"/>
                <w:sz w:val="20"/>
                <w:szCs w:val="20"/>
              </w:rPr>
              <w:t>，</w:t>
            </w:r>
            <w:r>
              <w:rPr>
                <w:rFonts w:ascii="Times New Roman" w:hAnsi="Times New Roman" w:eastAsia="Times New Roman" w:cs="Times New Roman"/>
                <w:spacing w:val="1"/>
                <w:sz w:val="20"/>
                <w:szCs w:val="20"/>
              </w:rPr>
              <w:t>42°24′</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r>
              <w:rPr>
                <w:rFonts w:ascii="Times New Roman" w:hAnsi="Times New Roman" w:eastAsia="Times New Roman" w:cs="Times New Roman"/>
                <w:sz w:val="20"/>
                <w:szCs w:val="20"/>
              </w:rPr>
              <w:t>7.57″N</w:t>
            </w:r>
          </w:p>
        </w:tc>
        <w:tc>
          <w:tcPr>
            <w:tcW w:w="849" w:type="dxa"/>
            <w:vAlign w:val="top"/>
          </w:tcPr>
          <w:p w14:paraId="3D78967C">
            <w:pPr>
              <w:spacing w:before="98"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1640" w:type="dxa"/>
            <w:vAlign w:val="top"/>
          </w:tcPr>
          <w:p w14:paraId="1A2556A9">
            <w:pPr>
              <w:spacing w:before="98" w:line="195" w:lineRule="auto"/>
              <w:ind w:left="5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84.67</w:t>
            </w:r>
          </w:p>
        </w:tc>
        <w:tc>
          <w:tcPr>
            <w:tcW w:w="1220" w:type="dxa"/>
            <w:tcBorders>
              <w:right w:val="nil"/>
            </w:tcBorders>
            <w:vAlign w:val="top"/>
          </w:tcPr>
          <w:p w14:paraId="06C8A1A7">
            <w:pPr>
              <w:spacing w:before="98"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1154.79</w:t>
            </w:r>
          </w:p>
        </w:tc>
      </w:tr>
      <w:tr w14:paraId="1EB12F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713" w:type="dxa"/>
            <w:tcBorders>
              <w:left w:val="nil"/>
            </w:tcBorders>
            <w:vAlign w:val="top"/>
          </w:tcPr>
          <w:p w14:paraId="548AECF9">
            <w:pPr>
              <w:spacing w:before="81" w:line="194"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D8</w:t>
            </w:r>
          </w:p>
        </w:tc>
        <w:tc>
          <w:tcPr>
            <w:tcW w:w="1289" w:type="dxa"/>
            <w:vAlign w:val="top"/>
          </w:tcPr>
          <w:p w14:paraId="6213BDAF">
            <w:pPr>
              <w:spacing w:before="66" w:line="195" w:lineRule="auto"/>
              <w:ind w:left="5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w:t>
            </w:r>
          </w:p>
        </w:tc>
        <w:tc>
          <w:tcPr>
            <w:tcW w:w="3574" w:type="dxa"/>
            <w:vAlign w:val="top"/>
          </w:tcPr>
          <w:p w14:paraId="5BF852AB">
            <w:pPr>
              <w:pStyle w:val="6"/>
              <w:spacing w:before="81" w:line="171"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112°54′39.29″E</w:t>
            </w:r>
            <w:r>
              <w:rPr>
                <w:rFonts w:ascii="Times New Roman" w:hAnsi="Times New Roman" w:eastAsia="Times New Roman" w:cs="Times New Roman"/>
                <w:spacing w:val="-25"/>
                <w:sz w:val="20"/>
                <w:szCs w:val="20"/>
              </w:rPr>
              <w:t xml:space="preserve"> </w:t>
            </w:r>
            <w:r>
              <w:rPr>
                <w:spacing w:val="2"/>
                <w:sz w:val="20"/>
                <w:szCs w:val="20"/>
              </w:rPr>
              <w:t>，</w:t>
            </w:r>
            <w:r>
              <w:rPr>
                <w:rFonts w:ascii="Times New Roman" w:hAnsi="Times New Roman" w:eastAsia="Times New Roman" w:cs="Times New Roman"/>
                <w:spacing w:val="2"/>
                <w:sz w:val="20"/>
                <w:szCs w:val="20"/>
              </w:rPr>
              <w:t>42°27′</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10.95″N</w:t>
            </w:r>
          </w:p>
        </w:tc>
        <w:tc>
          <w:tcPr>
            <w:tcW w:w="849" w:type="dxa"/>
            <w:vAlign w:val="top"/>
          </w:tcPr>
          <w:p w14:paraId="1EF09AE1">
            <w:pPr>
              <w:spacing w:before="81" w:line="194" w:lineRule="auto"/>
              <w:ind w:left="32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1640" w:type="dxa"/>
            <w:vAlign w:val="top"/>
          </w:tcPr>
          <w:p w14:paraId="5EFA3FD5">
            <w:pPr>
              <w:spacing w:before="81" w:line="194" w:lineRule="auto"/>
              <w:ind w:left="60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16.81</w:t>
            </w:r>
          </w:p>
        </w:tc>
        <w:tc>
          <w:tcPr>
            <w:tcW w:w="1220" w:type="dxa"/>
            <w:tcBorders>
              <w:right w:val="nil"/>
            </w:tcBorders>
            <w:vAlign w:val="top"/>
          </w:tcPr>
          <w:p w14:paraId="7EA24323">
            <w:pPr>
              <w:spacing w:before="81" w:line="194"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1139.43</w:t>
            </w:r>
          </w:p>
        </w:tc>
      </w:tr>
      <w:tr w14:paraId="675467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713" w:type="dxa"/>
            <w:tcBorders>
              <w:left w:val="nil"/>
            </w:tcBorders>
            <w:vAlign w:val="top"/>
          </w:tcPr>
          <w:p w14:paraId="57517D95">
            <w:pPr>
              <w:spacing w:before="101" w:line="195"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D9</w:t>
            </w:r>
          </w:p>
        </w:tc>
        <w:tc>
          <w:tcPr>
            <w:tcW w:w="1289" w:type="dxa"/>
            <w:vAlign w:val="top"/>
          </w:tcPr>
          <w:p w14:paraId="62611287">
            <w:pPr>
              <w:spacing w:before="65" w:line="195" w:lineRule="auto"/>
              <w:ind w:left="543"/>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3574" w:type="dxa"/>
            <w:vAlign w:val="top"/>
          </w:tcPr>
          <w:p w14:paraId="1EF1F726">
            <w:pPr>
              <w:pStyle w:val="6"/>
              <w:spacing w:before="99" w:line="186"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112°51′</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2"/>
                <w:sz w:val="20"/>
                <w:szCs w:val="20"/>
              </w:rPr>
              <w:t>19.04″E</w:t>
            </w:r>
            <w:r>
              <w:rPr>
                <w:rFonts w:ascii="Times New Roman" w:hAnsi="Times New Roman" w:eastAsia="Times New Roman" w:cs="Times New Roman"/>
                <w:spacing w:val="-25"/>
                <w:sz w:val="20"/>
                <w:szCs w:val="20"/>
              </w:rPr>
              <w:t xml:space="preserve"> </w:t>
            </w:r>
            <w:r>
              <w:rPr>
                <w:spacing w:val="2"/>
                <w:sz w:val="20"/>
                <w:szCs w:val="20"/>
              </w:rPr>
              <w:t>，</w:t>
            </w:r>
            <w:r>
              <w:rPr>
                <w:rFonts w:ascii="Times New Roman" w:hAnsi="Times New Roman" w:eastAsia="Times New Roman" w:cs="Times New Roman"/>
                <w:spacing w:val="2"/>
                <w:sz w:val="20"/>
                <w:szCs w:val="20"/>
              </w:rPr>
              <w:t>42°2</w:t>
            </w:r>
            <w:r>
              <w:rPr>
                <w:rFonts w:ascii="Times New Roman" w:hAnsi="Times New Roman" w:eastAsia="Times New Roman" w:cs="Times New Roman"/>
                <w:spacing w:val="1"/>
                <w:sz w:val="20"/>
                <w:szCs w:val="20"/>
              </w:rPr>
              <w:t>4′28.55″N</w:t>
            </w:r>
          </w:p>
        </w:tc>
        <w:tc>
          <w:tcPr>
            <w:tcW w:w="849" w:type="dxa"/>
            <w:vAlign w:val="top"/>
          </w:tcPr>
          <w:p w14:paraId="02429E67">
            <w:pPr>
              <w:spacing w:before="101" w:line="195" w:lineRule="auto"/>
              <w:ind w:left="326"/>
              <w:rPr>
                <w:rFonts w:ascii="Times New Roman" w:hAnsi="Times New Roman" w:eastAsia="Times New Roman" w:cs="Times New Roman"/>
                <w:sz w:val="20"/>
                <w:szCs w:val="20"/>
              </w:rPr>
            </w:pPr>
            <w:r>
              <w:rPr>
                <w:rFonts w:ascii="Times New Roman" w:hAnsi="Times New Roman" w:eastAsia="Times New Roman" w:cs="Times New Roman"/>
                <w:sz w:val="20"/>
                <w:szCs w:val="20"/>
              </w:rPr>
              <w:t>51</w:t>
            </w:r>
          </w:p>
        </w:tc>
        <w:tc>
          <w:tcPr>
            <w:tcW w:w="1640" w:type="dxa"/>
            <w:vAlign w:val="top"/>
          </w:tcPr>
          <w:p w14:paraId="6B73066C">
            <w:pPr>
              <w:spacing w:before="101" w:line="195" w:lineRule="auto"/>
              <w:ind w:left="5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38.36</w:t>
            </w:r>
          </w:p>
        </w:tc>
        <w:tc>
          <w:tcPr>
            <w:tcW w:w="1220" w:type="dxa"/>
            <w:tcBorders>
              <w:right w:val="nil"/>
            </w:tcBorders>
            <w:vAlign w:val="top"/>
          </w:tcPr>
          <w:p w14:paraId="222C4423">
            <w:pPr>
              <w:spacing w:before="101"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1175.80</w:t>
            </w:r>
          </w:p>
        </w:tc>
      </w:tr>
      <w:tr w14:paraId="220B5A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713" w:type="dxa"/>
            <w:tcBorders>
              <w:left w:val="nil"/>
            </w:tcBorders>
            <w:vAlign w:val="top"/>
          </w:tcPr>
          <w:p w14:paraId="075402CB">
            <w:pPr>
              <w:spacing w:before="103" w:line="195" w:lineRule="auto"/>
              <w:ind w:left="17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D10</w:t>
            </w:r>
          </w:p>
        </w:tc>
        <w:tc>
          <w:tcPr>
            <w:tcW w:w="1289" w:type="dxa"/>
            <w:vAlign w:val="top"/>
          </w:tcPr>
          <w:p w14:paraId="74154FA0">
            <w:pPr>
              <w:spacing w:before="67" w:line="195" w:lineRule="auto"/>
              <w:ind w:left="5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w:t>
            </w:r>
          </w:p>
        </w:tc>
        <w:tc>
          <w:tcPr>
            <w:tcW w:w="3574" w:type="dxa"/>
            <w:vAlign w:val="top"/>
          </w:tcPr>
          <w:p w14:paraId="2046FAC1">
            <w:pPr>
              <w:pStyle w:val="6"/>
              <w:spacing w:before="103" w:line="186"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112°54′22.03″E</w:t>
            </w:r>
            <w:r>
              <w:rPr>
                <w:rFonts w:ascii="Times New Roman" w:hAnsi="Times New Roman" w:eastAsia="Times New Roman" w:cs="Times New Roman"/>
                <w:spacing w:val="-25"/>
                <w:sz w:val="20"/>
                <w:szCs w:val="20"/>
              </w:rPr>
              <w:t xml:space="preserve"> </w:t>
            </w:r>
            <w:r>
              <w:rPr>
                <w:spacing w:val="2"/>
                <w:sz w:val="20"/>
                <w:szCs w:val="20"/>
              </w:rPr>
              <w:t>，</w:t>
            </w:r>
            <w:r>
              <w:rPr>
                <w:rFonts w:ascii="Times New Roman" w:hAnsi="Times New Roman" w:eastAsia="Times New Roman" w:cs="Times New Roman"/>
                <w:spacing w:val="2"/>
                <w:sz w:val="20"/>
                <w:szCs w:val="20"/>
              </w:rPr>
              <w:t>42°23′</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10.44″N</w:t>
            </w:r>
          </w:p>
        </w:tc>
        <w:tc>
          <w:tcPr>
            <w:tcW w:w="849" w:type="dxa"/>
            <w:vAlign w:val="top"/>
          </w:tcPr>
          <w:p w14:paraId="38DF76D1">
            <w:pPr>
              <w:spacing w:before="103" w:line="195" w:lineRule="auto"/>
              <w:ind w:left="34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16</w:t>
            </w:r>
          </w:p>
        </w:tc>
        <w:tc>
          <w:tcPr>
            <w:tcW w:w="1640" w:type="dxa"/>
            <w:vAlign w:val="top"/>
          </w:tcPr>
          <w:p w14:paraId="7D99D67C">
            <w:pPr>
              <w:spacing w:before="103" w:line="195" w:lineRule="auto"/>
              <w:ind w:left="6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11.43</w:t>
            </w:r>
          </w:p>
        </w:tc>
        <w:tc>
          <w:tcPr>
            <w:tcW w:w="1220" w:type="dxa"/>
            <w:tcBorders>
              <w:right w:val="nil"/>
            </w:tcBorders>
            <w:vAlign w:val="top"/>
          </w:tcPr>
          <w:p w14:paraId="2AA950BC">
            <w:pPr>
              <w:spacing w:before="103"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1122.28</w:t>
            </w:r>
          </w:p>
        </w:tc>
      </w:tr>
      <w:tr w14:paraId="245CE8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713" w:type="dxa"/>
            <w:tcBorders>
              <w:left w:val="nil"/>
            </w:tcBorders>
            <w:vAlign w:val="top"/>
          </w:tcPr>
          <w:p w14:paraId="7BFB0779">
            <w:pPr>
              <w:spacing w:before="104" w:line="195" w:lineRule="auto"/>
              <w:ind w:left="18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D11</w:t>
            </w:r>
          </w:p>
        </w:tc>
        <w:tc>
          <w:tcPr>
            <w:tcW w:w="1289" w:type="dxa"/>
            <w:vAlign w:val="top"/>
          </w:tcPr>
          <w:p w14:paraId="28610C4F">
            <w:pPr>
              <w:spacing w:before="71" w:line="195" w:lineRule="auto"/>
              <w:ind w:left="5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w:t>
            </w:r>
          </w:p>
        </w:tc>
        <w:tc>
          <w:tcPr>
            <w:tcW w:w="3574" w:type="dxa"/>
            <w:vAlign w:val="top"/>
          </w:tcPr>
          <w:p w14:paraId="6DA79F70">
            <w:pPr>
              <w:pStyle w:val="6"/>
              <w:spacing w:before="104" w:line="185" w:lineRule="auto"/>
              <w:ind w:left="4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112°53′38.05″E</w:t>
            </w:r>
            <w:r>
              <w:rPr>
                <w:rFonts w:ascii="Times New Roman" w:hAnsi="Times New Roman" w:eastAsia="Times New Roman" w:cs="Times New Roman"/>
                <w:spacing w:val="-11"/>
                <w:sz w:val="20"/>
                <w:szCs w:val="20"/>
              </w:rPr>
              <w:t xml:space="preserve"> </w:t>
            </w:r>
            <w:r>
              <w:rPr>
                <w:spacing w:val="2"/>
                <w:sz w:val="20"/>
                <w:szCs w:val="20"/>
              </w:rPr>
              <w:t>，</w:t>
            </w:r>
            <w:r>
              <w:rPr>
                <w:rFonts w:ascii="Times New Roman" w:hAnsi="Times New Roman" w:eastAsia="Times New Roman" w:cs="Times New Roman"/>
                <w:spacing w:val="2"/>
                <w:sz w:val="20"/>
                <w:szCs w:val="20"/>
              </w:rPr>
              <w:t>42°24′2.81″N</w:t>
            </w:r>
          </w:p>
        </w:tc>
        <w:tc>
          <w:tcPr>
            <w:tcW w:w="849" w:type="dxa"/>
            <w:vAlign w:val="top"/>
          </w:tcPr>
          <w:p w14:paraId="4DCCB1D4">
            <w:pPr>
              <w:spacing w:before="104" w:line="195" w:lineRule="auto"/>
              <w:ind w:left="326"/>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1640" w:type="dxa"/>
            <w:vAlign w:val="top"/>
          </w:tcPr>
          <w:p w14:paraId="7BF0D25C">
            <w:pPr>
              <w:spacing w:before="104" w:line="195" w:lineRule="auto"/>
              <w:ind w:left="60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12.45</w:t>
            </w:r>
          </w:p>
        </w:tc>
        <w:tc>
          <w:tcPr>
            <w:tcW w:w="1220" w:type="dxa"/>
            <w:tcBorders>
              <w:right w:val="nil"/>
            </w:tcBorders>
            <w:vAlign w:val="top"/>
          </w:tcPr>
          <w:p w14:paraId="58D6F2DE">
            <w:pPr>
              <w:spacing w:before="104" w:line="195" w:lineRule="auto"/>
              <w:ind w:left="29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1152.</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4"/>
                <w:sz w:val="20"/>
                <w:szCs w:val="20"/>
              </w:rPr>
              <w:t>12</w:t>
            </w:r>
          </w:p>
        </w:tc>
      </w:tr>
      <w:tr w14:paraId="2DE79F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713" w:type="dxa"/>
            <w:tcBorders>
              <w:left w:val="nil"/>
            </w:tcBorders>
            <w:vAlign w:val="top"/>
          </w:tcPr>
          <w:p w14:paraId="73C8F2C3">
            <w:pPr>
              <w:spacing w:before="106" w:line="195" w:lineRule="auto"/>
              <w:ind w:left="17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D12</w:t>
            </w:r>
          </w:p>
        </w:tc>
        <w:tc>
          <w:tcPr>
            <w:tcW w:w="1289" w:type="dxa"/>
            <w:vAlign w:val="top"/>
          </w:tcPr>
          <w:p w14:paraId="18A29636">
            <w:pPr>
              <w:spacing w:before="72" w:line="195" w:lineRule="auto"/>
              <w:ind w:left="5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w:t>
            </w:r>
          </w:p>
        </w:tc>
        <w:tc>
          <w:tcPr>
            <w:tcW w:w="3574" w:type="dxa"/>
            <w:vAlign w:val="top"/>
          </w:tcPr>
          <w:p w14:paraId="56D7C9C4">
            <w:pPr>
              <w:pStyle w:val="6"/>
              <w:spacing w:before="106" w:line="183"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112°52′</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1"/>
                <w:sz w:val="20"/>
                <w:szCs w:val="20"/>
              </w:rPr>
              <w:t>19.47″E</w:t>
            </w:r>
            <w:r>
              <w:rPr>
                <w:rFonts w:ascii="Times New Roman" w:hAnsi="Times New Roman" w:eastAsia="Times New Roman" w:cs="Times New Roman"/>
                <w:spacing w:val="-25"/>
                <w:sz w:val="20"/>
                <w:szCs w:val="20"/>
              </w:rPr>
              <w:t xml:space="preserve"> </w:t>
            </w:r>
            <w:r>
              <w:rPr>
                <w:spacing w:val="1"/>
                <w:sz w:val="20"/>
                <w:szCs w:val="20"/>
              </w:rPr>
              <w:t>，</w:t>
            </w:r>
            <w:r>
              <w:rPr>
                <w:rFonts w:ascii="Times New Roman" w:hAnsi="Times New Roman" w:eastAsia="Times New Roman" w:cs="Times New Roman"/>
                <w:spacing w:val="1"/>
                <w:sz w:val="20"/>
                <w:szCs w:val="20"/>
              </w:rPr>
              <w:t>42°24′</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r>
              <w:rPr>
                <w:rFonts w:ascii="Times New Roman" w:hAnsi="Times New Roman" w:eastAsia="Times New Roman" w:cs="Times New Roman"/>
                <w:sz w:val="20"/>
                <w:szCs w:val="20"/>
              </w:rPr>
              <w:t>9.02″N</w:t>
            </w:r>
          </w:p>
        </w:tc>
        <w:tc>
          <w:tcPr>
            <w:tcW w:w="849" w:type="dxa"/>
            <w:vAlign w:val="top"/>
          </w:tcPr>
          <w:p w14:paraId="7FCAB736">
            <w:pPr>
              <w:spacing w:before="106"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1640" w:type="dxa"/>
            <w:vAlign w:val="top"/>
          </w:tcPr>
          <w:p w14:paraId="213BF044">
            <w:pPr>
              <w:spacing w:before="106" w:line="195" w:lineRule="auto"/>
              <w:ind w:left="5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76.38</w:t>
            </w:r>
          </w:p>
        </w:tc>
        <w:tc>
          <w:tcPr>
            <w:tcW w:w="1220" w:type="dxa"/>
            <w:tcBorders>
              <w:right w:val="nil"/>
            </w:tcBorders>
            <w:vAlign w:val="top"/>
          </w:tcPr>
          <w:p w14:paraId="43CDCF7B">
            <w:pPr>
              <w:spacing w:before="106"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1150.35</w:t>
            </w:r>
          </w:p>
        </w:tc>
      </w:tr>
      <w:tr w14:paraId="56B66E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13" w:type="dxa"/>
            <w:tcBorders>
              <w:left w:val="nil"/>
            </w:tcBorders>
            <w:vAlign w:val="top"/>
          </w:tcPr>
          <w:p w14:paraId="250B03C5">
            <w:pPr>
              <w:spacing w:before="110" w:line="195" w:lineRule="auto"/>
              <w:ind w:left="17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D13</w:t>
            </w:r>
          </w:p>
        </w:tc>
        <w:tc>
          <w:tcPr>
            <w:tcW w:w="1289" w:type="dxa"/>
            <w:vAlign w:val="top"/>
          </w:tcPr>
          <w:p w14:paraId="17C2F3BC">
            <w:pPr>
              <w:spacing w:before="74" w:line="195" w:lineRule="auto"/>
              <w:ind w:left="5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w:t>
            </w:r>
          </w:p>
        </w:tc>
        <w:tc>
          <w:tcPr>
            <w:tcW w:w="3574" w:type="dxa"/>
            <w:vAlign w:val="top"/>
          </w:tcPr>
          <w:p w14:paraId="3BDA493D">
            <w:pPr>
              <w:pStyle w:val="6"/>
              <w:spacing w:before="107" w:line="183"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112°51′53.26″E</w:t>
            </w:r>
            <w:r>
              <w:rPr>
                <w:rFonts w:ascii="Times New Roman" w:hAnsi="Times New Roman" w:eastAsia="Times New Roman" w:cs="Times New Roman"/>
                <w:spacing w:val="-7"/>
                <w:sz w:val="20"/>
                <w:szCs w:val="20"/>
              </w:rPr>
              <w:t xml:space="preserve"> </w:t>
            </w:r>
            <w:r>
              <w:rPr>
                <w:spacing w:val="2"/>
                <w:sz w:val="20"/>
                <w:szCs w:val="20"/>
              </w:rPr>
              <w:t>，</w:t>
            </w:r>
            <w:r>
              <w:rPr>
                <w:rFonts w:ascii="Times New Roman" w:hAnsi="Times New Roman" w:eastAsia="Times New Roman" w:cs="Times New Roman"/>
                <w:spacing w:val="2"/>
                <w:sz w:val="20"/>
                <w:szCs w:val="20"/>
              </w:rPr>
              <w:t>42°24′51.45″N</w:t>
            </w:r>
          </w:p>
        </w:tc>
        <w:tc>
          <w:tcPr>
            <w:tcW w:w="849" w:type="dxa"/>
            <w:vAlign w:val="top"/>
          </w:tcPr>
          <w:p w14:paraId="305CE6C0">
            <w:pPr>
              <w:spacing w:before="110"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106</w:t>
            </w:r>
          </w:p>
        </w:tc>
        <w:tc>
          <w:tcPr>
            <w:tcW w:w="1640" w:type="dxa"/>
            <w:vAlign w:val="top"/>
          </w:tcPr>
          <w:p w14:paraId="16CF12E2">
            <w:pPr>
              <w:spacing w:before="110" w:line="195" w:lineRule="auto"/>
              <w:ind w:left="5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86.47</w:t>
            </w:r>
          </w:p>
        </w:tc>
        <w:tc>
          <w:tcPr>
            <w:tcW w:w="1220" w:type="dxa"/>
            <w:tcBorders>
              <w:right w:val="nil"/>
            </w:tcBorders>
            <w:vAlign w:val="top"/>
          </w:tcPr>
          <w:p w14:paraId="2C8D93B8">
            <w:pPr>
              <w:spacing w:before="110"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1160.27</w:t>
            </w:r>
          </w:p>
        </w:tc>
      </w:tr>
      <w:tr w14:paraId="70BF17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713" w:type="dxa"/>
            <w:tcBorders>
              <w:left w:val="nil"/>
              <w:bottom w:val="single" w:color="000000" w:sz="10" w:space="0"/>
            </w:tcBorders>
            <w:vAlign w:val="top"/>
          </w:tcPr>
          <w:p w14:paraId="5BAE2B65">
            <w:pPr>
              <w:spacing w:before="111" w:line="195" w:lineRule="auto"/>
              <w:ind w:left="17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D14</w:t>
            </w:r>
          </w:p>
        </w:tc>
        <w:tc>
          <w:tcPr>
            <w:tcW w:w="1289" w:type="dxa"/>
            <w:tcBorders>
              <w:bottom w:val="single" w:color="000000" w:sz="10" w:space="0"/>
            </w:tcBorders>
            <w:vAlign w:val="top"/>
          </w:tcPr>
          <w:p w14:paraId="2D0AAB12">
            <w:pPr>
              <w:spacing w:before="74" w:line="195" w:lineRule="auto"/>
              <w:ind w:left="5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14#</w:t>
            </w:r>
          </w:p>
        </w:tc>
        <w:tc>
          <w:tcPr>
            <w:tcW w:w="3574" w:type="dxa"/>
            <w:tcBorders>
              <w:bottom w:val="single" w:color="000000" w:sz="10" w:space="0"/>
            </w:tcBorders>
            <w:vAlign w:val="top"/>
          </w:tcPr>
          <w:p w14:paraId="1803B666">
            <w:pPr>
              <w:pStyle w:val="6"/>
              <w:spacing w:before="108" w:line="186" w:lineRule="auto"/>
              <w:ind w:left="4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112°53′46.72″E</w:t>
            </w:r>
            <w:r>
              <w:rPr>
                <w:rFonts w:ascii="Times New Roman" w:hAnsi="Times New Roman" w:eastAsia="Times New Roman" w:cs="Times New Roman"/>
                <w:spacing w:val="-7"/>
                <w:sz w:val="20"/>
                <w:szCs w:val="20"/>
              </w:rPr>
              <w:t xml:space="preserve"> </w:t>
            </w:r>
            <w:r>
              <w:rPr>
                <w:spacing w:val="2"/>
                <w:sz w:val="20"/>
                <w:szCs w:val="20"/>
              </w:rPr>
              <w:t>，</w:t>
            </w:r>
            <w:r>
              <w:rPr>
                <w:rFonts w:ascii="Times New Roman" w:hAnsi="Times New Roman" w:eastAsia="Times New Roman" w:cs="Times New Roman"/>
                <w:spacing w:val="2"/>
                <w:sz w:val="20"/>
                <w:szCs w:val="20"/>
              </w:rPr>
              <w:t>42°23′38.02″N</w:t>
            </w:r>
          </w:p>
        </w:tc>
        <w:tc>
          <w:tcPr>
            <w:tcW w:w="849" w:type="dxa"/>
            <w:tcBorders>
              <w:bottom w:val="single" w:color="000000" w:sz="10" w:space="0"/>
            </w:tcBorders>
            <w:vAlign w:val="top"/>
          </w:tcPr>
          <w:p w14:paraId="632F34B4">
            <w:pPr>
              <w:spacing w:before="110" w:line="195" w:lineRule="auto"/>
              <w:ind w:left="325"/>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640" w:type="dxa"/>
            <w:tcBorders>
              <w:bottom w:val="single" w:color="000000" w:sz="10" w:space="0"/>
            </w:tcBorders>
            <w:vAlign w:val="top"/>
          </w:tcPr>
          <w:p w14:paraId="0C6CEBDD">
            <w:pPr>
              <w:spacing w:before="110" w:line="195" w:lineRule="auto"/>
              <w:ind w:left="5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23.82</w:t>
            </w:r>
          </w:p>
        </w:tc>
        <w:tc>
          <w:tcPr>
            <w:tcW w:w="1220" w:type="dxa"/>
            <w:tcBorders>
              <w:bottom w:val="single" w:color="000000" w:sz="10" w:space="0"/>
              <w:right w:val="nil"/>
            </w:tcBorders>
            <w:vAlign w:val="top"/>
          </w:tcPr>
          <w:p w14:paraId="225A4340">
            <w:pPr>
              <w:spacing w:before="110"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1155.61</w:t>
            </w:r>
          </w:p>
        </w:tc>
      </w:tr>
    </w:tbl>
    <w:p w14:paraId="3868AE31">
      <w:pPr>
        <w:spacing w:before="120" w:line="5440" w:lineRule="exact"/>
        <w:ind w:firstLine="108"/>
      </w:pPr>
      <w:r>
        <w:rPr>
          <w:position w:val="-108"/>
        </w:rPr>
        <w:drawing>
          <wp:inline distT="0" distB="0" distL="0" distR="0">
            <wp:extent cx="5758815" cy="3454400"/>
            <wp:effectExtent l="0" t="0" r="0" b="0"/>
            <wp:docPr id="54" name="IM 54"/>
            <wp:cNvGraphicFramePr/>
            <a:graphic xmlns:a="http://schemas.openxmlformats.org/drawingml/2006/main">
              <a:graphicData uri="http://schemas.openxmlformats.org/drawingml/2006/picture">
                <pic:pic xmlns:pic="http://schemas.openxmlformats.org/drawingml/2006/picture">
                  <pic:nvPicPr>
                    <pic:cNvPr id="54" name="IM 54"/>
                    <pic:cNvPicPr/>
                  </pic:nvPicPr>
                  <pic:blipFill>
                    <a:blip r:embed="rId605"/>
                    <a:stretch>
                      <a:fillRect/>
                    </a:stretch>
                  </pic:blipFill>
                  <pic:spPr>
                    <a:xfrm>
                      <a:off x="0" y="0"/>
                      <a:ext cx="5759195" cy="3454908"/>
                    </a:xfrm>
                    <a:prstGeom prst="rect">
                      <a:avLst/>
                    </a:prstGeom>
                  </pic:spPr>
                </pic:pic>
              </a:graphicData>
            </a:graphic>
          </wp:inline>
        </w:drawing>
      </w:r>
    </w:p>
    <w:p w14:paraId="13ED018A">
      <w:pPr>
        <w:spacing w:before="33" w:line="227" w:lineRule="auto"/>
        <w:ind w:left="2949"/>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25"/>
          <w:sz w:val="20"/>
          <w:szCs w:val="20"/>
        </w:rPr>
        <w:t xml:space="preserve"> </w:t>
      </w:r>
      <w:r>
        <w:rPr>
          <w:rFonts w:ascii="Times New Roman" w:hAnsi="Times New Roman" w:eastAsia="Times New Roman" w:cs="Times New Roman"/>
          <w:b/>
          <w:bCs/>
          <w:spacing w:val="4"/>
          <w:sz w:val="20"/>
          <w:szCs w:val="20"/>
        </w:rPr>
        <w:t xml:space="preserve">3.3-2        </w:t>
      </w:r>
      <w:r>
        <w:rPr>
          <w:rFonts w:ascii="宋体" w:hAnsi="宋体" w:eastAsia="宋体" w:cs="宋体"/>
          <w:b/>
          <w:bCs/>
          <w:spacing w:val="4"/>
          <w:sz w:val="20"/>
          <w:szCs w:val="20"/>
        </w:rPr>
        <w:t>本项目地下水监测点位示意图</w:t>
      </w:r>
    </w:p>
    <w:p w14:paraId="070E9642">
      <w:pPr>
        <w:spacing w:line="227" w:lineRule="auto"/>
        <w:rPr>
          <w:rFonts w:ascii="宋体" w:hAnsi="宋体" w:eastAsia="宋体" w:cs="宋体"/>
          <w:sz w:val="20"/>
          <w:szCs w:val="20"/>
        </w:rPr>
        <w:sectPr>
          <w:headerReference r:id="rId227" w:type="default"/>
          <w:footerReference r:id="rId228" w:type="default"/>
          <w:pgSz w:w="11906" w:h="16839"/>
          <w:pgMar w:top="1332" w:right="1310" w:bottom="1156" w:left="1310" w:header="1024" w:footer="994" w:gutter="0"/>
          <w:cols w:space="720" w:num="1"/>
        </w:sectPr>
      </w:pPr>
    </w:p>
    <w:p w14:paraId="36D35A18">
      <w:pPr>
        <w:spacing w:line="28" w:lineRule="exact"/>
      </w:pPr>
      <w:r>
        <w:pict>
          <v:shape id="_x0000_s1262" o:spid="_x0000_s1262" style="height:1.45pt;width:453.55pt;" fillcolor="#000000" filled="t" stroked="f" coordsize="9070,29" path="m0,0l9070,0,9070,28,0,28,0,0xe">
            <v:path/>
            <v:fill on="t" focussize="0,0"/>
            <v:stroke on="f"/>
            <v:imagedata o:title=""/>
            <o:lock v:ext="edit"/>
            <w10:wrap type="none"/>
            <w10:anchorlock/>
          </v:shape>
        </w:pict>
      </w:r>
    </w:p>
    <w:p w14:paraId="049804FF">
      <w:pPr>
        <w:spacing w:before="233" w:line="220"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）监测项目</w:t>
      </w:r>
    </w:p>
    <w:p w14:paraId="49C7ACE4">
      <w:pPr>
        <w:spacing w:before="183" w:line="350" w:lineRule="auto"/>
        <w:ind w:left="11" w:firstLine="468"/>
        <w:rPr>
          <w:rFonts w:ascii="宋体" w:hAnsi="宋体" w:eastAsia="宋体" w:cs="宋体"/>
          <w:sz w:val="24"/>
          <w:szCs w:val="24"/>
        </w:rPr>
      </w:pPr>
      <w:r>
        <w:rPr>
          <w:rFonts w:ascii="Times New Roman" w:hAnsi="Times New Roman" w:eastAsia="Times New Roman" w:cs="Times New Roman"/>
          <w:sz w:val="24"/>
          <w:szCs w:val="24"/>
        </w:rPr>
        <w:t>pH</w:t>
      </w:r>
      <w:r>
        <w:rPr>
          <w:rFonts w:ascii="Times New Roman" w:hAnsi="Times New Roman" w:eastAsia="Times New Roman" w:cs="Times New Roman"/>
          <w:spacing w:val="1"/>
          <w:sz w:val="24"/>
          <w:szCs w:val="24"/>
        </w:rPr>
        <w:t xml:space="preserve"> </w:t>
      </w:r>
      <w:r>
        <w:rPr>
          <w:rFonts w:ascii="宋体" w:hAnsi="宋体" w:eastAsia="宋体" w:cs="宋体"/>
          <w:spacing w:val="1"/>
          <w:sz w:val="24"/>
          <w:szCs w:val="24"/>
        </w:rPr>
        <w:t>值、氨（以</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 xml:space="preserve">N </w:t>
      </w:r>
      <w:r>
        <w:rPr>
          <w:rFonts w:ascii="宋体" w:hAnsi="宋体" w:eastAsia="宋体" w:cs="宋体"/>
          <w:spacing w:val="1"/>
          <w:sz w:val="24"/>
          <w:szCs w:val="24"/>
        </w:rPr>
        <w:t>计）、砷、（总）汞、六价铬、总硬度、铅、</w:t>
      </w:r>
      <w:r>
        <w:rPr>
          <w:rFonts w:ascii="Times New Roman" w:hAnsi="Times New Roman" w:eastAsia="Times New Roman" w:cs="Times New Roman"/>
          <w:spacing w:val="1"/>
          <w:sz w:val="24"/>
          <w:szCs w:val="24"/>
        </w:rPr>
        <w:t>F-</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、镉、铁、锰、</w:t>
      </w:r>
      <w:r>
        <w:rPr>
          <w:rFonts w:ascii="宋体" w:hAnsi="宋体" w:eastAsia="宋体" w:cs="宋体"/>
          <w:sz w:val="24"/>
          <w:szCs w:val="24"/>
        </w:rPr>
        <w:t xml:space="preserve"> </w:t>
      </w:r>
      <w:r>
        <w:rPr>
          <w:rFonts w:ascii="宋体" w:hAnsi="宋体" w:eastAsia="宋体" w:cs="宋体"/>
          <w:spacing w:val="-1"/>
          <w:sz w:val="24"/>
          <w:szCs w:val="24"/>
        </w:rPr>
        <w:t>溶解性总固体、高锰酸盐指数（以</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O</w:t>
      </w:r>
      <w:r>
        <w:rPr>
          <w:rFonts w:ascii="Times New Roman" w:hAnsi="Times New Roman" w:eastAsia="Times New Roman" w:cs="Times New Roman"/>
          <w:spacing w:val="-1"/>
          <w:position w:val="-1"/>
          <w:sz w:val="15"/>
          <w:szCs w:val="15"/>
        </w:rPr>
        <w:t xml:space="preserve">2 </w:t>
      </w:r>
      <w:r>
        <w:rPr>
          <w:rFonts w:ascii="宋体" w:hAnsi="宋体" w:eastAsia="宋体" w:cs="宋体"/>
          <w:spacing w:val="-1"/>
          <w:sz w:val="24"/>
          <w:szCs w:val="24"/>
        </w:rPr>
        <w:t>计）、</w:t>
      </w:r>
      <w:r>
        <w:rPr>
          <w:rFonts w:ascii="Times New Roman" w:hAnsi="Times New Roman" w:eastAsia="Times New Roman" w:cs="Times New Roman"/>
          <w:spacing w:val="-1"/>
          <w:sz w:val="24"/>
          <w:szCs w:val="24"/>
        </w:rPr>
        <w:t>Cl</w:t>
      </w:r>
      <w:r>
        <w:rPr>
          <w:rFonts w:ascii="Times New Roman" w:hAnsi="Times New Roman" w:eastAsia="Times New Roman" w:cs="Times New Roman"/>
          <w:spacing w:val="-1"/>
          <w:position w:val="8"/>
          <w:sz w:val="15"/>
          <w:szCs w:val="15"/>
        </w:rPr>
        <w:t>-</w:t>
      </w:r>
      <w:r>
        <w:rPr>
          <w:rFonts w:ascii="Times New Roman" w:hAnsi="Times New Roman" w:eastAsia="Times New Roman" w:cs="Times New Roman"/>
          <w:spacing w:val="-10"/>
          <w:position w:val="8"/>
          <w:sz w:val="15"/>
          <w:szCs w:val="15"/>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SO</w:t>
      </w:r>
      <w:r>
        <w:rPr>
          <w:rFonts w:ascii="Times New Roman" w:hAnsi="Times New Roman" w:eastAsia="Times New Roman" w:cs="Times New Roman"/>
          <w:spacing w:val="-1"/>
          <w:position w:val="-1"/>
          <w:sz w:val="15"/>
          <w:szCs w:val="15"/>
        </w:rPr>
        <w:t>4</w:t>
      </w:r>
      <w:r>
        <w:rPr>
          <w:rFonts w:ascii="Times New Roman" w:hAnsi="Times New Roman" w:eastAsia="Times New Roman" w:cs="Times New Roman"/>
          <w:spacing w:val="-1"/>
          <w:position w:val="8"/>
          <w:sz w:val="15"/>
          <w:szCs w:val="15"/>
        </w:rPr>
        <w:t>2-</w:t>
      </w:r>
      <w:r>
        <w:rPr>
          <w:rFonts w:ascii="Times New Roman" w:hAnsi="Times New Roman" w:eastAsia="Times New Roman" w:cs="Times New Roman"/>
          <w:spacing w:val="-10"/>
          <w:position w:val="8"/>
          <w:sz w:val="15"/>
          <w:szCs w:val="15"/>
        </w:rPr>
        <w:t xml:space="preserve"> </w:t>
      </w:r>
      <w:r>
        <w:rPr>
          <w:rFonts w:ascii="宋体" w:hAnsi="宋体" w:eastAsia="宋体" w:cs="宋体"/>
          <w:spacing w:val="-1"/>
          <w:sz w:val="24"/>
          <w:szCs w:val="24"/>
        </w:rPr>
        <w:t>、总大</w:t>
      </w:r>
      <w:r>
        <w:rPr>
          <w:rFonts w:ascii="宋体" w:hAnsi="宋体" w:eastAsia="宋体" w:cs="宋体"/>
          <w:spacing w:val="-2"/>
          <w:sz w:val="24"/>
          <w:szCs w:val="24"/>
        </w:rPr>
        <w:t>肠菌群、细菌总数、硝酸</w:t>
      </w:r>
      <w:r>
        <w:rPr>
          <w:rFonts w:ascii="宋体" w:hAnsi="宋体" w:eastAsia="宋体" w:cs="宋体"/>
          <w:sz w:val="24"/>
          <w:szCs w:val="24"/>
        </w:rPr>
        <w:t xml:space="preserve"> </w:t>
      </w:r>
      <w:r>
        <w:rPr>
          <w:rFonts w:ascii="宋体" w:hAnsi="宋体" w:eastAsia="宋体" w:cs="宋体"/>
          <w:spacing w:val="-1"/>
          <w:sz w:val="24"/>
          <w:szCs w:val="24"/>
        </w:rPr>
        <w:t>盐氮、亚硝酸盐（以</w:t>
      </w:r>
      <w:r>
        <w:rPr>
          <w:rFonts w:ascii="宋体" w:hAnsi="宋体" w:eastAsia="宋体" w:cs="宋体"/>
          <w:spacing w:val="-63"/>
          <w:sz w:val="24"/>
          <w:szCs w:val="24"/>
        </w:rPr>
        <w:t xml:space="preserve"> </w:t>
      </w:r>
      <w:r>
        <w:rPr>
          <w:rFonts w:ascii="Times New Roman" w:hAnsi="Times New Roman" w:eastAsia="Times New Roman" w:cs="Times New Roman"/>
          <w:spacing w:val="-1"/>
          <w:sz w:val="24"/>
          <w:szCs w:val="24"/>
        </w:rPr>
        <w:t xml:space="preserve">N </w:t>
      </w:r>
      <w:r>
        <w:rPr>
          <w:rFonts w:ascii="宋体" w:hAnsi="宋体" w:eastAsia="宋体" w:cs="宋体"/>
          <w:spacing w:val="-1"/>
          <w:sz w:val="24"/>
          <w:szCs w:val="24"/>
        </w:rPr>
        <w:t>计）、钠、钾、钙、镁、挥发酚、氰化</w:t>
      </w:r>
      <w:r>
        <w:rPr>
          <w:rFonts w:ascii="宋体" w:hAnsi="宋体" w:eastAsia="宋体" w:cs="宋体"/>
          <w:spacing w:val="-2"/>
          <w:sz w:val="24"/>
          <w:szCs w:val="24"/>
        </w:rPr>
        <w:t>物、碳酸盐、重碳酸盐、</w:t>
      </w:r>
      <w:r>
        <w:rPr>
          <w:rFonts w:ascii="宋体" w:hAnsi="宋体" w:eastAsia="宋体" w:cs="宋体"/>
          <w:sz w:val="24"/>
          <w:szCs w:val="24"/>
        </w:rPr>
        <w:t xml:space="preserve"> 氯化物、硫酸盐、阴离子合成洗涤剂、铜、锌</w:t>
      </w:r>
      <w:r>
        <w:rPr>
          <w:rFonts w:ascii="宋体" w:hAnsi="宋体" w:eastAsia="宋体" w:cs="宋体"/>
          <w:spacing w:val="-1"/>
          <w:sz w:val="24"/>
          <w:szCs w:val="24"/>
        </w:rPr>
        <w:t>、镍、硫化物、石油类、锑。</w:t>
      </w:r>
    </w:p>
    <w:p w14:paraId="216BDD74">
      <w:pPr>
        <w:spacing w:before="45"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）取样与分析方法</w:t>
      </w:r>
    </w:p>
    <w:p w14:paraId="558A48F4">
      <w:pPr>
        <w:spacing w:before="180" w:line="218" w:lineRule="auto"/>
        <w:ind w:left="488"/>
        <w:rPr>
          <w:rFonts w:ascii="宋体" w:hAnsi="宋体" w:eastAsia="宋体" w:cs="宋体"/>
          <w:sz w:val="24"/>
          <w:szCs w:val="24"/>
        </w:rPr>
      </w:pPr>
      <w:r>
        <w:rPr>
          <w:rFonts w:ascii="宋体" w:hAnsi="宋体" w:eastAsia="宋体" w:cs="宋体"/>
          <w:spacing w:val="-1"/>
          <w:sz w:val="24"/>
          <w:szCs w:val="24"/>
        </w:rPr>
        <w:t>采用国家规定的标准分析方法，具体见附件检（监）测报告。</w:t>
      </w:r>
    </w:p>
    <w:p w14:paraId="35F75C17">
      <w:pPr>
        <w:spacing w:before="185" w:line="218"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）评价方法</w:t>
      </w:r>
    </w:p>
    <w:p w14:paraId="2A12B27B">
      <w:pPr>
        <w:spacing w:before="184" w:line="345" w:lineRule="auto"/>
        <w:ind w:left="12" w:right="63" w:firstLine="478"/>
        <w:rPr>
          <w:rFonts w:ascii="宋体" w:hAnsi="宋体" w:eastAsia="宋体" w:cs="宋体"/>
          <w:sz w:val="24"/>
          <w:szCs w:val="24"/>
        </w:rPr>
      </w:pPr>
      <w:r>
        <w:rPr>
          <w:rFonts w:ascii="宋体" w:hAnsi="宋体" w:eastAsia="宋体" w:cs="宋体"/>
          <w:spacing w:val="-2"/>
          <w:sz w:val="24"/>
          <w:szCs w:val="24"/>
        </w:rPr>
        <w:t>本次评价采用单项污染因子指数进行评价，结合地下水水质标准，对评价区地下水</w:t>
      </w:r>
      <w:r>
        <w:rPr>
          <w:rFonts w:ascii="宋体" w:hAnsi="宋体" w:eastAsia="宋体" w:cs="宋体"/>
          <w:spacing w:val="10"/>
          <w:sz w:val="24"/>
          <w:szCs w:val="24"/>
        </w:rPr>
        <w:t xml:space="preserve"> </w:t>
      </w:r>
      <w:r>
        <w:rPr>
          <w:rFonts w:ascii="宋体" w:hAnsi="宋体" w:eastAsia="宋体" w:cs="宋体"/>
          <w:spacing w:val="-2"/>
          <w:sz w:val="24"/>
          <w:szCs w:val="24"/>
        </w:rPr>
        <w:t>水质优劣进行评述。</w:t>
      </w:r>
    </w:p>
    <w:p w14:paraId="5FCF1A77">
      <w:pPr>
        <w:pStyle w:val="2"/>
        <w:spacing w:before="75"/>
        <w:ind w:left="492"/>
        <w:rPr>
          <w:sz w:val="23"/>
          <w:szCs w:val="23"/>
        </w:rPr>
      </w:pPr>
      <w:r>
        <w:rPr>
          <w:rFonts w:ascii="宋体" w:hAnsi="宋体" w:eastAsia="宋体" w:cs="宋体"/>
          <w:spacing w:val="3"/>
          <w:sz w:val="24"/>
          <w:szCs w:val="24"/>
        </w:rPr>
        <w:t>水质指数基本表达式为：</w:t>
      </w:r>
      <w:r>
        <w:rPr>
          <w:rFonts w:ascii="Times New Roman" w:hAnsi="Times New Roman" w:eastAsia="Times New Roman" w:cs="Times New Roman"/>
          <w:i/>
          <w:iCs/>
          <w:sz w:val="23"/>
          <w:szCs w:val="23"/>
        </w:rPr>
        <w:t>S</w:t>
      </w:r>
      <w:r>
        <w:rPr>
          <w:rFonts w:ascii="Times New Roman" w:hAnsi="Times New Roman" w:eastAsia="Times New Roman" w:cs="Times New Roman"/>
          <w:i/>
          <w:iCs/>
          <w:position w:val="-5"/>
          <w:sz w:val="15"/>
          <w:szCs w:val="15"/>
        </w:rPr>
        <w:t>i</w:t>
      </w:r>
      <w:r>
        <w:rPr>
          <w:rFonts w:ascii="Times New Roman" w:hAnsi="Times New Roman" w:eastAsia="Times New Roman" w:cs="Times New Roman"/>
          <w:i/>
          <w:iCs/>
          <w:spacing w:val="-19"/>
          <w:position w:val="-5"/>
          <w:sz w:val="15"/>
          <w:szCs w:val="15"/>
        </w:rPr>
        <w:t xml:space="preserve"> </w:t>
      </w:r>
      <w:r>
        <w:rPr>
          <w:rFonts w:ascii="Times New Roman" w:hAnsi="Times New Roman" w:eastAsia="Times New Roman" w:cs="Times New Roman"/>
          <w:spacing w:val="3"/>
          <w:position w:val="-5"/>
          <w:sz w:val="15"/>
          <w:szCs w:val="15"/>
        </w:rPr>
        <w:t>,</w:t>
      </w:r>
      <w:r>
        <w:rPr>
          <w:rFonts w:ascii="Times New Roman" w:hAnsi="Times New Roman" w:eastAsia="Times New Roman" w:cs="Times New Roman"/>
          <w:i/>
          <w:iCs/>
          <w:spacing w:val="3"/>
          <w:position w:val="-5"/>
          <w:sz w:val="15"/>
          <w:szCs w:val="15"/>
        </w:rPr>
        <w:t xml:space="preserve">j  </w:t>
      </w:r>
      <w:r>
        <w:rPr>
          <w:spacing w:val="3"/>
          <w:sz w:val="23"/>
          <w:szCs w:val="23"/>
        </w:rPr>
        <w:t xml:space="preserve">= </w:t>
      </w:r>
      <w:r>
        <w:rPr>
          <w:position w:val="-24"/>
          <w:sz w:val="23"/>
          <w:szCs w:val="23"/>
        </w:rPr>
        <w:drawing>
          <wp:inline distT="0" distB="0" distL="0" distR="0">
            <wp:extent cx="237490" cy="378460"/>
            <wp:effectExtent l="0" t="0" r="0" b="0"/>
            <wp:docPr id="56" name="IM 56"/>
            <wp:cNvGraphicFramePr/>
            <a:graphic xmlns:a="http://schemas.openxmlformats.org/drawingml/2006/main">
              <a:graphicData uri="http://schemas.openxmlformats.org/drawingml/2006/picture">
                <pic:pic xmlns:pic="http://schemas.openxmlformats.org/drawingml/2006/picture">
                  <pic:nvPicPr>
                    <pic:cNvPr id="56" name="IM 56"/>
                    <pic:cNvPicPr/>
                  </pic:nvPicPr>
                  <pic:blipFill>
                    <a:blip r:embed="rId606"/>
                    <a:stretch>
                      <a:fillRect/>
                    </a:stretch>
                  </pic:blipFill>
                  <pic:spPr>
                    <a:xfrm>
                      <a:off x="0" y="0"/>
                      <a:ext cx="237541" cy="378673"/>
                    </a:xfrm>
                    <a:prstGeom prst="rect">
                      <a:avLst/>
                    </a:prstGeom>
                  </pic:spPr>
                </pic:pic>
              </a:graphicData>
            </a:graphic>
          </wp:inline>
        </w:drawing>
      </w:r>
    </w:p>
    <w:p w14:paraId="7FFE9BAF">
      <w:pPr>
        <w:spacing w:before="250" w:line="219" w:lineRule="auto"/>
        <w:ind w:left="494"/>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i/>
          <w:iCs/>
          <w:sz w:val="24"/>
          <w:szCs w:val="24"/>
        </w:rPr>
        <w:t>S</w:t>
      </w:r>
      <w:r>
        <w:rPr>
          <w:rFonts w:ascii="Times New Roman" w:hAnsi="Times New Roman" w:eastAsia="Times New Roman" w:cs="Times New Roman"/>
          <w:i/>
          <w:iCs/>
          <w:position w:val="-5"/>
          <w:sz w:val="14"/>
          <w:szCs w:val="14"/>
        </w:rPr>
        <w:t>i</w:t>
      </w:r>
      <w:r>
        <w:rPr>
          <w:rFonts w:ascii="Times New Roman" w:hAnsi="Times New Roman" w:eastAsia="Times New Roman" w:cs="Times New Roman"/>
          <w:i/>
          <w:iCs/>
          <w:spacing w:val="-4"/>
          <w:position w:val="-5"/>
          <w:sz w:val="14"/>
          <w:szCs w:val="14"/>
        </w:rPr>
        <w:t xml:space="preserve"> </w:t>
      </w:r>
      <w:r>
        <w:rPr>
          <w:rFonts w:ascii="Times New Roman" w:hAnsi="Times New Roman" w:eastAsia="Times New Roman" w:cs="Times New Roman"/>
          <w:spacing w:val="1"/>
          <w:position w:val="-5"/>
          <w:sz w:val="14"/>
          <w:szCs w:val="14"/>
        </w:rPr>
        <w:t>,</w:t>
      </w:r>
      <w:r>
        <w:rPr>
          <w:rFonts w:ascii="Times New Roman" w:hAnsi="Times New Roman" w:eastAsia="Times New Roman" w:cs="Times New Roman"/>
          <w:i/>
          <w:iCs/>
          <w:spacing w:val="1"/>
          <w:position w:val="-5"/>
          <w:sz w:val="14"/>
          <w:szCs w:val="14"/>
        </w:rPr>
        <w:t xml:space="preserve">j </w:t>
      </w:r>
      <w:r>
        <w:rPr>
          <w:rFonts w:ascii="Times New Roman" w:hAnsi="Times New Roman" w:eastAsia="Times New Roman" w:cs="Times New Roman"/>
          <w:spacing w:val="1"/>
          <w:sz w:val="24"/>
          <w:szCs w:val="24"/>
        </w:rPr>
        <w:t>—</w:t>
      </w:r>
      <w:r>
        <w:rPr>
          <w:rFonts w:ascii="宋体" w:hAnsi="宋体" w:eastAsia="宋体" w:cs="宋体"/>
          <w:spacing w:val="1"/>
          <w:sz w:val="24"/>
          <w:szCs w:val="24"/>
        </w:rPr>
        <w:t>第</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 xml:space="preserve">i </w:t>
      </w:r>
      <w:r>
        <w:rPr>
          <w:rFonts w:ascii="宋体" w:hAnsi="宋体" w:eastAsia="宋体" w:cs="宋体"/>
          <w:spacing w:val="1"/>
          <w:sz w:val="24"/>
          <w:szCs w:val="24"/>
        </w:rPr>
        <w:t>种污染物的水质污染指数；</w:t>
      </w:r>
    </w:p>
    <w:p w14:paraId="2207F296">
      <w:pPr>
        <w:spacing w:before="250" w:line="361" w:lineRule="auto"/>
        <w:ind w:left="1243" w:right="2894" w:firstLine="1"/>
        <w:rPr>
          <w:rFonts w:ascii="宋体" w:hAnsi="宋体" w:eastAsia="宋体" w:cs="宋体"/>
          <w:sz w:val="24"/>
          <w:szCs w:val="24"/>
        </w:rPr>
      </w:pPr>
      <w:r>
        <w:rPr>
          <w:rFonts w:ascii="Times New Roman" w:hAnsi="Times New Roman" w:eastAsia="Times New Roman" w:cs="Times New Roman"/>
          <w:i/>
          <w:iCs/>
          <w:spacing w:val="-4"/>
          <w:sz w:val="24"/>
          <w:szCs w:val="24"/>
        </w:rPr>
        <w:t>C</w:t>
      </w:r>
      <w:r>
        <w:rPr>
          <w:rFonts w:ascii="Times New Roman" w:hAnsi="Times New Roman" w:eastAsia="Times New Roman" w:cs="Times New Roman"/>
          <w:i/>
          <w:iCs/>
          <w:spacing w:val="-4"/>
          <w:position w:val="-5"/>
          <w:sz w:val="14"/>
          <w:szCs w:val="14"/>
        </w:rPr>
        <w:t>ij</w:t>
      </w:r>
      <w:r>
        <w:rPr>
          <w:rFonts w:ascii="Times New Roman" w:hAnsi="Times New Roman" w:eastAsia="Times New Roman" w:cs="Times New Roman"/>
          <w:i/>
          <w:iCs/>
          <w:spacing w:val="30"/>
          <w:w w:val="102"/>
          <w:position w:val="-5"/>
          <w:sz w:val="14"/>
          <w:szCs w:val="14"/>
        </w:rPr>
        <w:t xml:space="preserve"> </w:t>
      </w:r>
      <w:r>
        <w:rPr>
          <w:rFonts w:ascii="Times New Roman" w:hAnsi="Times New Roman" w:eastAsia="Times New Roman" w:cs="Times New Roman"/>
          <w:spacing w:val="-4"/>
          <w:sz w:val="24"/>
          <w:szCs w:val="24"/>
        </w:rPr>
        <w:t>—</w:t>
      </w:r>
      <w:r>
        <w:rPr>
          <w:rFonts w:ascii="宋体" w:hAnsi="宋体" w:eastAsia="宋体" w:cs="宋体"/>
          <w:spacing w:val="-4"/>
          <w:sz w:val="24"/>
          <w:szCs w:val="24"/>
        </w:rPr>
        <w:t>地下水中第</w:t>
      </w:r>
      <w:r>
        <w:rPr>
          <w:rFonts w:ascii="宋体" w:hAnsi="宋体" w:eastAsia="宋体" w:cs="宋体"/>
          <w:spacing w:val="-53"/>
          <w:sz w:val="24"/>
          <w:szCs w:val="24"/>
        </w:rPr>
        <w:t xml:space="preserve"> </w:t>
      </w:r>
      <w:r>
        <w:rPr>
          <w:rFonts w:ascii="Times New Roman" w:hAnsi="Times New Roman" w:eastAsia="Times New Roman" w:cs="Times New Roman"/>
          <w:spacing w:val="-4"/>
          <w:sz w:val="24"/>
          <w:szCs w:val="24"/>
        </w:rPr>
        <w:t xml:space="preserve">i </w:t>
      </w:r>
      <w:r>
        <w:rPr>
          <w:rFonts w:ascii="宋体" w:hAnsi="宋体" w:eastAsia="宋体" w:cs="宋体"/>
          <w:spacing w:val="-4"/>
          <w:sz w:val="24"/>
          <w:szCs w:val="24"/>
        </w:rPr>
        <w:t>种污染物的实测浓度，</w:t>
      </w:r>
      <w:r>
        <w:rPr>
          <w:rFonts w:ascii="Times New Roman" w:hAnsi="Times New Roman" w:eastAsia="Times New Roman" w:cs="Times New Roman"/>
          <w:spacing w:val="-4"/>
          <w:sz w:val="24"/>
          <w:szCs w:val="24"/>
        </w:rPr>
        <w:t>mg/L</w:t>
      </w:r>
      <w:r>
        <w:rPr>
          <w:rFonts w:ascii="宋体" w:hAnsi="宋体" w:eastAsia="宋体" w:cs="宋体"/>
          <w:spacing w:val="-4"/>
          <w:sz w:val="24"/>
          <w:szCs w:val="24"/>
        </w:rPr>
        <w:t>；</w:t>
      </w:r>
      <w:r>
        <w:rPr>
          <w:rFonts w:ascii="宋体" w:hAnsi="宋体" w:eastAsia="宋体" w:cs="宋体"/>
          <w:sz w:val="24"/>
          <w:szCs w:val="24"/>
        </w:rPr>
        <w:t xml:space="preserve"> </w:t>
      </w:r>
      <w:r>
        <w:rPr>
          <w:rFonts w:ascii="Times New Roman" w:hAnsi="Times New Roman" w:eastAsia="Times New Roman" w:cs="Times New Roman"/>
          <w:i/>
          <w:iCs/>
          <w:spacing w:val="-1"/>
          <w:sz w:val="23"/>
          <w:szCs w:val="23"/>
        </w:rPr>
        <w:t>C</w:t>
      </w:r>
      <w:r>
        <w:rPr>
          <w:rFonts w:ascii="Times New Roman" w:hAnsi="Times New Roman" w:eastAsia="Times New Roman" w:cs="Times New Roman"/>
          <w:i/>
          <w:iCs/>
          <w:spacing w:val="-1"/>
          <w:position w:val="-6"/>
          <w:sz w:val="13"/>
          <w:szCs w:val="13"/>
        </w:rPr>
        <w:t>si</w:t>
      </w:r>
      <w:r>
        <w:rPr>
          <w:rFonts w:ascii="Times New Roman" w:hAnsi="Times New Roman" w:eastAsia="Times New Roman" w:cs="Times New Roman"/>
          <w:i/>
          <w:iCs/>
          <w:spacing w:val="26"/>
          <w:position w:val="-6"/>
          <w:sz w:val="13"/>
          <w:szCs w:val="13"/>
        </w:rPr>
        <w:t xml:space="preserve"> </w:t>
      </w:r>
      <w:r>
        <w:rPr>
          <w:rFonts w:ascii="Times New Roman" w:hAnsi="Times New Roman" w:eastAsia="Times New Roman" w:cs="Times New Roman"/>
          <w:spacing w:val="-1"/>
          <w:sz w:val="24"/>
          <w:szCs w:val="24"/>
        </w:rPr>
        <w:t>—</w:t>
      </w:r>
      <w:r>
        <w:rPr>
          <w:rFonts w:ascii="宋体" w:hAnsi="宋体" w:eastAsia="宋体" w:cs="宋体"/>
          <w:spacing w:val="-1"/>
          <w:sz w:val="24"/>
          <w:szCs w:val="24"/>
        </w:rPr>
        <w:t>第</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 xml:space="preserve">i </w:t>
      </w:r>
      <w:r>
        <w:rPr>
          <w:rFonts w:ascii="宋体" w:hAnsi="宋体" w:eastAsia="宋体" w:cs="宋体"/>
          <w:spacing w:val="-1"/>
          <w:sz w:val="24"/>
          <w:szCs w:val="24"/>
        </w:rPr>
        <w:t>种污染物的评价标准，</w:t>
      </w:r>
      <w:r>
        <w:rPr>
          <w:rFonts w:ascii="Times New Roman" w:hAnsi="Times New Roman" w:eastAsia="Times New Roman" w:cs="Times New Roman"/>
          <w:spacing w:val="-1"/>
          <w:sz w:val="24"/>
          <w:szCs w:val="24"/>
        </w:rPr>
        <w:t>mg/L</w:t>
      </w:r>
      <w:r>
        <w:rPr>
          <w:rFonts w:ascii="宋体" w:hAnsi="宋体" w:eastAsia="宋体" w:cs="宋体"/>
          <w:spacing w:val="-1"/>
          <w:sz w:val="24"/>
          <w:szCs w:val="24"/>
        </w:rPr>
        <w:t>。</w:t>
      </w:r>
    </w:p>
    <w:p w14:paraId="1EEE64F8">
      <w:pPr>
        <w:spacing w:before="97" w:line="357" w:lineRule="auto"/>
        <w:ind w:left="490" w:right="803" w:firstLine="29"/>
        <w:rPr>
          <w:rFonts w:ascii="宋体" w:hAnsi="宋体" w:eastAsia="宋体" w:cs="宋体"/>
          <w:sz w:val="24"/>
          <w:szCs w:val="24"/>
        </w:rPr>
      </w:pPr>
      <w:r>
        <w:rPr>
          <w:rFonts w:ascii="Times New Roman" w:hAnsi="Times New Roman" w:eastAsia="Times New Roman" w:cs="Times New Roman"/>
          <w:i/>
          <w:iCs/>
          <w:spacing w:val="-1"/>
          <w:sz w:val="24"/>
          <w:szCs w:val="24"/>
        </w:rPr>
        <w:t>S</w:t>
      </w:r>
      <w:r>
        <w:rPr>
          <w:rFonts w:ascii="Times New Roman" w:hAnsi="Times New Roman" w:eastAsia="Times New Roman" w:cs="Times New Roman"/>
          <w:i/>
          <w:iCs/>
          <w:spacing w:val="-1"/>
          <w:position w:val="-5"/>
          <w:sz w:val="14"/>
          <w:szCs w:val="14"/>
        </w:rPr>
        <w:t>i</w:t>
      </w:r>
      <w:r>
        <w:rPr>
          <w:rFonts w:ascii="Times New Roman" w:hAnsi="Times New Roman" w:eastAsia="Times New Roman" w:cs="Times New Roman"/>
          <w:i/>
          <w:iCs/>
          <w:spacing w:val="-11"/>
          <w:position w:val="-5"/>
          <w:sz w:val="14"/>
          <w:szCs w:val="14"/>
        </w:rPr>
        <w:t xml:space="preserve"> </w:t>
      </w:r>
      <w:r>
        <w:rPr>
          <w:rFonts w:ascii="Times New Roman" w:hAnsi="Times New Roman" w:eastAsia="Times New Roman" w:cs="Times New Roman"/>
          <w:spacing w:val="-1"/>
          <w:position w:val="-5"/>
          <w:sz w:val="14"/>
          <w:szCs w:val="14"/>
        </w:rPr>
        <w:t>,</w:t>
      </w:r>
      <w:r>
        <w:rPr>
          <w:rFonts w:ascii="Times New Roman" w:hAnsi="Times New Roman" w:eastAsia="Times New Roman" w:cs="Times New Roman"/>
          <w:i/>
          <w:iCs/>
          <w:spacing w:val="-1"/>
          <w:position w:val="-5"/>
          <w:sz w:val="14"/>
          <w:szCs w:val="14"/>
        </w:rPr>
        <w:t>j</w:t>
      </w:r>
      <w:r>
        <w:rPr>
          <w:rFonts w:ascii="Times New Roman" w:hAnsi="Times New Roman" w:eastAsia="Times New Roman" w:cs="Times New Roman"/>
          <w:i/>
          <w:iCs/>
          <w:spacing w:val="13"/>
          <w:w w:val="101"/>
          <w:position w:val="-5"/>
          <w:sz w:val="14"/>
          <w:szCs w:val="14"/>
        </w:rPr>
        <w:t xml:space="preserve"> </w:t>
      </w:r>
      <w:r>
        <w:rPr>
          <w:rFonts w:ascii="宋体" w:hAnsi="宋体" w:eastAsia="宋体" w:cs="宋体"/>
          <w:spacing w:val="-1"/>
          <w:sz w:val="24"/>
          <w:szCs w:val="24"/>
        </w:rPr>
        <w:t>值越小，说明水质越好，当</w:t>
      </w:r>
      <w:r>
        <w:rPr>
          <w:rFonts w:ascii="Times New Roman" w:hAnsi="Times New Roman" w:eastAsia="Times New Roman" w:cs="Times New Roman"/>
          <w:i/>
          <w:iCs/>
          <w:spacing w:val="-1"/>
          <w:sz w:val="24"/>
          <w:szCs w:val="24"/>
        </w:rPr>
        <w:t>S</w:t>
      </w:r>
      <w:r>
        <w:rPr>
          <w:rFonts w:ascii="Times New Roman" w:hAnsi="Times New Roman" w:eastAsia="Times New Roman" w:cs="Times New Roman"/>
          <w:i/>
          <w:iCs/>
          <w:spacing w:val="-1"/>
          <w:position w:val="-5"/>
          <w:sz w:val="14"/>
          <w:szCs w:val="14"/>
        </w:rPr>
        <w:t>i</w:t>
      </w:r>
      <w:r>
        <w:rPr>
          <w:rFonts w:ascii="Times New Roman" w:hAnsi="Times New Roman" w:eastAsia="Times New Roman" w:cs="Times New Roman"/>
          <w:i/>
          <w:iCs/>
          <w:spacing w:val="-20"/>
          <w:position w:val="-5"/>
          <w:sz w:val="14"/>
          <w:szCs w:val="14"/>
        </w:rPr>
        <w:t xml:space="preserve"> </w:t>
      </w:r>
      <w:r>
        <w:rPr>
          <w:rFonts w:ascii="Times New Roman" w:hAnsi="Times New Roman" w:eastAsia="Times New Roman" w:cs="Times New Roman"/>
          <w:spacing w:val="-1"/>
          <w:position w:val="-5"/>
          <w:sz w:val="14"/>
          <w:szCs w:val="14"/>
        </w:rPr>
        <w:t>,</w:t>
      </w:r>
      <w:r>
        <w:rPr>
          <w:rFonts w:ascii="Times New Roman" w:hAnsi="Times New Roman" w:eastAsia="Times New Roman" w:cs="Times New Roman"/>
          <w:i/>
          <w:iCs/>
          <w:spacing w:val="-1"/>
          <w:position w:val="-5"/>
          <w:sz w:val="14"/>
          <w:szCs w:val="14"/>
        </w:rPr>
        <w:t>j</w:t>
      </w:r>
      <w:r>
        <w:rPr>
          <w:rFonts w:ascii="Times New Roman" w:hAnsi="Times New Roman" w:eastAsia="Times New Roman" w:cs="Times New Roman"/>
          <w:i/>
          <w:iCs/>
          <w:spacing w:val="9"/>
          <w:w w:val="101"/>
          <w:position w:val="-5"/>
          <w:sz w:val="14"/>
          <w:szCs w:val="14"/>
        </w:rPr>
        <w:t xml:space="preserve"> </w:t>
      </w:r>
      <w:r>
        <w:rPr>
          <w:rFonts w:ascii="宋体" w:hAnsi="宋体" w:eastAsia="宋体" w:cs="宋体"/>
          <w:spacing w:val="-1"/>
          <w:sz w:val="24"/>
          <w:szCs w:val="24"/>
        </w:rPr>
        <w:t>超过</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w:t>
      </w:r>
      <w:r>
        <w:rPr>
          <w:rFonts w:ascii="Times New Roman" w:hAnsi="Times New Roman" w:eastAsia="Times New Roman" w:cs="Times New Roman"/>
          <w:spacing w:val="20"/>
          <w:w w:val="101"/>
          <w:sz w:val="24"/>
          <w:szCs w:val="24"/>
        </w:rPr>
        <w:t xml:space="preserve"> </w:t>
      </w:r>
      <w:r>
        <w:rPr>
          <w:rFonts w:ascii="宋体" w:hAnsi="宋体" w:eastAsia="宋体" w:cs="宋体"/>
          <w:spacing w:val="-1"/>
          <w:sz w:val="24"/>
          <w:szCs w:val="24"/>
        </w:rPr>
        <w:t>时，则表明该污染物浓度已超标。</w:t>
      </w:r>
      <w:r>
        <w:rPr>
          <w:rFonts w:ascii="宋体" w:hAnsi="宋体" w:eastAsia="宋体" w:cs="宋体"/>
          <w:sz w:val="24"/>
          <w:szCs w:val="24"/>
        </w:rPr>
        <w:t xml:space="preserve"> </w:t>
      </w:r>
      <w:r>
        <w:rPr>
          <w:rFonts w:ascii="宋体" w:hAnsi="宋体" w:eastAsia="宋体" w:cs="宋体"/>
          <w:spacing w:val="-3"/>
          <w:sz w:val="24"/>
          <w:szCs w:val="24"/>
        </w:rPr>
        <w:t>其中，</w:t>
      </w:r>
      <w:r>
        <w:rPr>
          <w:rFonts w:ascii="Times New Roman" w:hAnsi="Times New Roman" w:eastAsia="Times New Roman" w:cs="Times New Roman"/>
          <w:spacing w:val="-3"/>
          <w:sz w:val="24"/>
          <w:szCs w:val="24"/>
        </w:rPr>
        <w:t>pH</w:t>
      </w:r>
      <w:r>
        <w:rPr>
          <w:rFonts w:ascii="Times New Roman" w:hAnsi="Times New Roman" w:eastAsia="Times New Roman" w:cs="Times New Roman"/>
          <w:spacing w:val="33"/>
          <w:sz w:val="24"/>
          <w:szCs w:val="24"/>
        </w:rPr>
        <w:t xml:space="preserve"> </w:t>
      </w:r>
      <w:r>
        <w:rPr>
          <w:rFonts w:ascii="宋体" w:hAnsi="宋体" w:eastAsia="宋体" w:cs="宋体"/>
          <w:spacing w:val="-3"/>
          <w:sz w:val="24"/>
          <w:szCs w:val="24"/>
        </w:rPr>
        <w:t>的水质指数表达式为：</w:t>
      </w:r>
    </w:p>
    <w:p w14:paraId="2805F528">
      <w:pPr>
        <w:pStyle w:val="2"/>
        <w:spacing w:before="71" w:line="230" w:lineRule="auto"/>
        <w:ind w:left="2453"/>
        <w:rPr>
          <w:rFonts w:ascii="宋体" w:hAnsi="宋体" w:eastAsia="宋体" w:cs="宋体"/>
          <w:sz w:val="24"/>
          <w:szCs w:val="24"/>
        </w:rPr>
      </w:pPr>
      <w:r>
        <w:rPr>
          <w:rFonts w:ascii="Times New Roman" w:hAnsi="Times New Roman" w:eastAsia="Times New Roman" w:cs="Times New Roman"/>
          <w:i/>
          <w:iCs/>
          <w:sz w:val="24"/>
          <w:szCs w:val="24"/>
        </w:rPr>
        <w:t>S</w:t>
      </w:r>
      <w:r>
        <w:rPr>
          <w:rFonts w:ascii="Times New Roman" w:hAnsi="Times New Roman" w:eastAsia="Times New Roman" w:cs="Times New Roman"/>
          <w:i/>
          <w:iCs/>
          <w:position w:val="-5"/>
          <w:sz w:val="14"/>
          <w:szCs w:val="14"/>
        </w:rPr>
        <w:t>pH</w:t>
      </w:r>
      <w:r>
        <w:rPr>
          <w:rFonts w:ascii="Times New Roman" w:hAnsi="Times New Roman" w:eastAsia="Times New Roman" w:cs="Times New Roman"/>
          <w:i/>
          <w:iCs/>
          <w:spacing w:val="-1"/>
          <w:position w:val="-5"/>
          <w:sz w:val="14"/>
          <w:szCs w:val="14"/>
        </w:rPr>
        <w:t xml:space="preserve"> </w:t>
      </w:r>
      <w:r>
        <w:rPr>
          <w:rFonts w:ascii="Times New Roman" w:hAnsi="Times New Roman" w:eastAsia="Times New Roman" w:cs="Times New Roman"/>
          <w:spacing w:val="15"/>
          <w:position w:val="-5"/>
          <w:sz w:val="14"/>
          <w:szCs w:val="14"/>
        </w:rPr>
        <w:t>,</w:t>
      </w:r>
      <w:r>
        <w:rPr>
          <w:rFonts w:ascii="Times New Roman" w:hAnsi="Times New Roman" w:eastAsia="Times New Roman" w:cs="Times New Roman"/>
          <w:i/>
          <w:iCs/>
          <w:spacing w:val="15"/>
          <w:position w:val="-5"/>
          <w:sz w:val="14"/>
          <w:szCs w:val="14"/>
        </w:rPr>
        <w:t xml:space="preserve">j  </w:t>
      </w:r>
      <w:r>
        <w:rPr>
          <w:rFonts w:ascii="宋体" w:hAnsi="宋体" w:eastAsia="宋体" w:cs="宋体"/>
          <w:spacing w:val="15"/>
          <w:sz w:val="24"/>
          <w:szCs w:val="24"/>
        </w:rPr>
        <w:t>=</w:t>
      </w:r>
      <w:r>
        <w:rPr>
          <w:rFonts w:ascii="宋体" w:hAnsi="宋体" w:eastAsia="宋体" w:cs="宋体"/>
          <w:spacing w:val="-57"/>
          <w:sz w:val="24"/>
          <w:szCs w:val="24"/>
        </w:rPr>
        <w:t xml:space="preserve"> </w:t>
      </w:r>
      <w:r>
        <w:rPr>
          <w:rFonts w:ascii="Times New Roman" w:hAnsi="Times New Roman" w:eastAsia="Times New Roman" w:cs="Times New Roman"/>
          <w:spacing w:val="15"/>
          <w:sz w:val="24"/>
          <w:szCs w:val="24"/>
        </w:rPr>
        <w:t>(7.0</w:t>
      </w:r>
      <w:r>
        <w:rPr>
          <w:rFonts w:ascii="Times New Roman" w:hAnsi="Times New Roman" w:eastAsia="Times New Roman" w:cs="Times New Roman"/>
          <w:spacing w:val="-18"/>
          <w:sz w:val="24"/>
          <w:szCs w:val="24"/>
        </w:rPr>
        <w:t xml:space="preserve"> </w:t>
      </w:r>
      <w:r>
        <w:rPr>
          <w:rFonts w:ascii="宋体" w:hAnsi="宋体" w:eastAsia="宋体" w:cs="宋体"/>
          <w:spacing w:val="15"/>
          <w:sz w:val="24"/>
          <w:szCs w:val="24"/>
        </w:rPr>
        <w:t>-</w:t>
      </w:r>
      <w:r>
        <w:rPr>
          <w:rFonts w:ascii="Times New Roman" w:hAnsi="Times New Roman" w:eastAsia="Times New Roman" w:cs="Times New Roman"/>
          <w:i/>
          <w:iCs/>
          <w:sz w:val="24"/>
          <w:szCs w:val="24"/>
        </w:rPr>
        <w:t>pH</w:t>
      </w:r>
      <w:r>
        <w:rPr>
          <w:rFonts w:ascii="Times New Roman" w:hAnsi="Times New Roman" w:eastAsia="Times New Roman" w:cs="Times New Roman"/>
          <w:i/>
          <w:iCs/>
          <w:position w:val="-5"/>
          <w:sz w:val="14"/>
          <w:szCs w:val="14"/>
        </w:rPr>
        <w:t>j</w:t>
      </w:r>
      <w:r>
        <w:rPr>
          <w:rFonts w:ascii="Times New Roman" w:hAnsi="Times New Roman" w:eastAsia="Times New Roman" w:cs="Times New Roman"/>
          <w:i/>
          <w:iCs/>
          <w:spacing w:val="15"/>
          <w:position w:val="-5"/>
          <w:sz w:val="14"/>
          <w:szCs w:val="14"/>
        </w:rPr>
        <w:t xml:space="preserve"> </w:t>
      </w:r>
      <w:r>
        <w:rPr>
          <w:rFonts w:ascii="Times New Roman" w:hAnsi="Times New Roman" w:eastAsia="Times New Roman" w:cs="Times New Roman"/>
          <w:spacing w:val="15"/>
          <w:sz w:val="24"/>
          <w:szCs w:val="24"/>
        </w:rPr>
        <w:t>)</w:t>
      </w:r>
      <w:r>
        <w:rPr>
          <w:rFonts w:ascii="Times New Roman" w:hAnsi="Times New Roman" w:eastAsia="Times New Roman" w:cs="Times New Roman"/>
          <w:spacing w:val="-19"/>
          <w:sz w:val="24"/>
          <w:szCs w:val="24"/>
        </w:rPr>
        <w:t xml:space="preserve"> </w:t>
      </w:r>
      <w:r>
        <w:rPr>
          <w:rFonts w:ascii="Times New Roman" w:hAnsi="Times New Roman" w:eastAsia="Times New Roman" w:cs="Times New Roman"/>
          <w:spacing w:val="15"/>
          <w:sz w:val="24"/>
          <w:szCs w:val="24"/>
        </w:rPr>
        <w:t>/</w:t>
      </w:r>
      <w:r>
        <w:rPr>
          <w:rFonts w:ascii="Times New Roman" w:hAnsi="Times New Roman" w:eastAsia="Times New Roman" w:cs="Times New Roman"/>
          <w:spacing w:val="-6"/>
          <w:sz w:val="24"/>
          <w:szCs w:val="24"/>
        </w:rPr>
        <w:t xml:space="preserve"> </w:t>
      </w:r>
      <w:r>
        <w:rPr>
          <w:rFonts w:ascii="Times New Roman" w:hAnsi="Times New Roman" w:eastAsia="Times New Roman" w:cs="Times New Roman"/>
          <w:spacing w:val="15"/>
          <w:sz w:val="24"/>
          <w:szCs w:val="24"/>
        </w:rPr>
        <w:t>(7.0</w:t>
      </w:r>
      <w:r>
        <w:rPr>
          <w:rFonts w:ascii="Times New Roman" w:hAnsi="Times New Roman" w:eastAsia="Times New Roman" w:cs="Times New Roman"/>
          <w:spacing w:val="-18"/>
          <w:sz w:val="24"/>
          <w:szCs w:val="24"/>
        </w:rPr>
        <w:t xml:space="preserve"> </w:t>
      </w:r>
      <w:r>
        <w:rPr>
          <w:rFonts w:ascii="宋体" w:hAnsi="宋体" w:eastAsia="宋体" w:cs="宋体"/>
          <w:spacing w:val="15"/>
          <w:sz w:val="24"/>
          <w:szCs w:val="24"/>
        </w:rPr>
        <w:t>-</w:t>
      </w:r>
      <w:r>
        <w:rPr>
          <w:rFonts w:ascii="Times New Roman" w:hAnsi="Times New Roman" w:eastAsia="Times New Roman" w:cs="Times New Roman"/>
          <w:i/>
          <w:iCs/>
          <w:sz w:val="24"/>
          <w:szCs w:val="24"/>
        </w:rPr>
        <w:t>pH</w:t>
      </w:r>
      <w:r>
        <w:rPr>
          <w:rFonts w:ascii="Times New Roman" w:hAnsi="Times New Roman" w:eastAsia="Times New Roman" w:cs="Times New Roman"/>
          <w:i/>
          <w:iCs/>
          <w:position w:val="-5"/>
          <w:sz w:val="14"/>
          <w:szCs w:val="14"/>
        </w:rPr>
        <w:t>sd</w:t>
      </w:r>
      <w:r>
        <w:rPr>
          <w:rFonts w:ascii="Times New Roman" w:hAnsi="Times New Roman" w:eastAsia="Times New Roman" w:cs="Times New Roman"/>
          <w:spacing w:val="15"/>
          <w:sz w:val="24"/>
          <w:szCs w:val="24"/>
        </w:rPr>
        <w:t>)</w:t>
      </w:r>
      <w:r>
        <w:rPr>
          <w:rFonts w:ascii="Times New Roman" w:hAnsi="Times New Roman" w:eastAsia="Times New Roman" w:cs="Times New Roman"/>
          <w:spacing w:val="-26"/>
          <w:sz w:val="24"/>
          <w:szCs w:val="24"/>
        </w:rPr>
        <w:t xml:space="preserve"> </w:t>
      </w:r>
      <w:r>
        <w:rPr>
          <w:rFonts w:ascii="宋体" w:hAnsi="宋体" w:eastAsia="宋体" w:cs="宋体"/>
          <w:spacing w:val="15"/>
          <w:sz w:val="24"/>
          <w:szCs w:val="24"/>
        </w:rPr>
        <w:t>（</w:t>
      </w:r>
      <w:r>
        <w:rPr>
          <w:rFonts w:ascii="Times New Roman" w:hAnsi="Times New Roman" w:eastAsia="Times New Roman" w:cs="Times New Roman"/>
          <w:i/>
          <w:iCs/>
          <w:sz w:val="24"/>
          <w:szCs w:val="24"/>
        </w:rPr>
        <w:t>pH</w:t>
      </w:r>
      <w:r>
        <w:rPr>
          <w:rFonts w:ascii="Times New Roman" w:hAnsi="Times New Roman" w:eastAsia="Times New Roman" w:cs="Times New Roman"/>
          <w:i/>
          <w:iCs/>
          <w:position w:val="-5"/>
          <w:sz w:val="14"/>
          <w:szCs w:val="14"/>
        </w:rPr>
        <w:t>j</w:t>
      </w:r>
      <w:r>
        <w:rPr>
          <w:rFonts w:ascii="Times New Roman" w:hAnsi="Times New Roman" w:eastAsia="Times New Roman" w:cs="Times New Roman"/>
          <w:i/>
          <w:iCs/>
          <w:spacing w:val="15"/>
          <w:position w:val="-5"/>
          <w:sz w:val="14"/>
          <w:szCs w:val="14"/>
        </w:rPr>
        <w:t xml:space="preserve">  </w:t>
      </w:r>
      <w:r>
        <w:rPr>
          <w:spacing w:val="15"/>
          <w:sz w:val="24"/>
          <w:szCs w:val="24"/>
        </w:rPr>
        <w:t>≤</w:t>
      </w:r>
      <w:r>
        <w:rPr>
          <w:spacing w:val="-9"/>
          <w:sz w:val="24"/>
          <w:szCs w:val="24"/>
        </w:rPr>
        <w:t xml:space="preserve"> </w:t>
      </w:r>
      <w:r>
        <w:rPr>
          <w:rFonts w:ascii="Times New Roman" w:hAnsi="Times New Roman" w:eastAsia="Times New Roman" w:cs="Times New Roman"/>
          <w:spacing w:val="15"/>
          <w:sz w:val="24"/>
          <w:szCs w:val="24"/>
        </w:rPr>
        <w:t>7.0</w:t>
      </w:r>
      <w:r>
        <w:rPr>
          <w:rFonts w:ascii="Times New Roman" w:hAnsi="Times New Roman" w:eastAsia="Times New Roman" w:cs="Times New Roman"/>
          <w:spacing w:val="-30"/>
          <w:sz w:val="24"/>
          <w:szCs w:val="24"/>
        </w:rPr>
        <w:t xml:space="preserve"> </w:t>
      </w:r>
      <w:r>
        <w:rPr>
          <w:rFonts w:ascii="宋体" w:hAnsi="宋体" w:eastAsia="宋体" w:cs="宋体"/>
          <w:spacing w:val="15"/>
          <w:sz w:val="24"/>
          <w:szCs w:val="24"/>
        </w:rPr>
        <w:t>）</w:t>
      </w:r>
    </w:p>
    <w:p w14:paraId="640B78FE">
      <w:pPr>
        <w:spacing w:before="230" w:line="374" w:lineRule="auto"/>
        <w:ind w:left="494" w:right="2076" w:firstLine="2019"/>
        <w:rPr>
          <w:rFonts w:ascii="宋体" w:hAnsi="宋体" w:eastAsia="宋体" w:cs="宋体"/>
          <w:sz w:val="24"/>
          <w:szCs w:val="24"/>
        </w:rPr>
      </w:pPr>
      <w:r>
        <w:rPr>
          <w:rFonts w:ascii="Times New Roman" w:hAnsi="Times New Roman" w:eastAsia="Times New Roman" w:cs="Times New Roman"/>
          <w:i/>
          <w:iCs/>
          <w:sz w:val="24"/>
          <w:szCs w:val="24"/>
        </w:rPr>
        <w:t>S</w:t>
      </w:r>
      <w:r>
        <w:rPr>
          <w:rFonts w:ascii="Times New Roman" w:hAnsi="Times New Roman" w:eastAsia="Times New Roman" w:cs="Times New Roman"/>
          <w:i/>
          <w:iCs/>
          <w:position w:val="-5"/>
          <w:sz w:val="14"/>
          <w:szCs w:val="14"/>
        </w:rPr>
        <w:t>pH</w:t>
      </w:r>
      <w:r>
        <w:rPr>
          <w:rFonts w:ascii="Times New Roman" w:hAnsi="Times New Roman" w:eastAsia="Times New Roman" w:cs="Times New Roman"/>
          <w:i/>
          <w:iCs/>
          <w:spacing w:val="-1"/>
          <w:position w:val="-5"/>
          <w:sz w:val="14"/>
          <w:szCs w:val="14"/>
        </w:rPr>
        <w:t xml:space="preserve"> </w:t>
      </w:r>
      <w:r>
        <w:rPr>
          <w:rFonts w:ascii="Times New Roman" w:hAnsi="Times New Roman" w:eastAsia="Times New Roman" w:cs="Times New Roman"/>
          <w:spacing w:val="8"/>
          <w:position w:val="-5"/>
          <w:sz w:val="14"/>
          <w:szCs w:val="14"/>
        </w:rPr>
        <w:t>,</w:t>
      </w:r>
      <w:r>
        <w:rPr>
          <w:rFonts w:ascii="Times New Roman" w:hAnsi="Times New Roman" w:eastAsia="Times New Roman" w:cs="Times New Roman"/>
          <w:i/>
          <w:iCs/>
          <w:spacing w:val="8"/>
          <w:position w:val="-5"/>
          <w:sz w:val="14"/>
          <w:szCs w:val="14"/>
        </w:rPr>
        <w:t xml:space="preserve">j  </w:t>
      </w:r>
      <w:r>
        <w:rPr>
          <w:rFonts w:ascii="宋体" w:hAnsi="宋体" w:eastAsia="宋体" w:cs="宋体"/>
          <w:spacing w:val="8"/>
          <w:sz w:val="24"/>
          <w:szCs w:val="24"/>
        </w:rPr>
        <w:t>=</w:t>
      </w:r>
      <w:r>
        <w:rPr>
          <w:rFonts w:ascii="宋体" w:hAnsi="宋体" w:eastAsia="宋体" w:cs="宋体"/>
          <w:spacing w:val="-57"/>
          <w:sz w:val="24"/>
          <w:szCs w:val="24"/>
        </w:rPr>
        <w:t xml:space="preserve"> </w:t>
      </w:r>
      <w:r>
        <w:rPr>
          <w:rFonts w:ascii="Times New Roman" w:hAnsi="Times New Roman" w:eastAsia="Times New Roman" w:cs="Times New Roman"/>
          <w:spacing w:val="8"/>
          <w:sz w:val="24"/>
          <w:szCs w:val="24"/>
        </w:rPr>
        <w:t>(</w:t>
      </w:r>
      <w:r>
        <w:rPr>
          <w:rFonts w:ascii="Times New Roman" w:hAnsi="Times New Roman" w:eastAsia="Times New Roman" w:cs="Times New Roman"/>
          <w:i/>
          <w:iCs/>
          <w:sz w:val="24"/>
          <w:szCs w:val="24"/>
        </w:rPr>
        <w:t>pH</w:t>
      </w:r>
      <w:r>
        <w:rPr>
          <w:rFonts w:ascii="Times New Roman" w:hAnsi="Times New Roman" w:eastAsia="Times New Roman" w:cs="Times New Roman"/>
          <w:i/>
          <w:iCs/>
          <w:position w:val="-5"/>
          <w:sz w:val="14"/>
          <w:szCs w:val="14"/>
        </w:rPr>
        <w:t>j</w:t>
      </w:r>
      <w:r>
        <w:rPr>
          <w:rFonts w:ascii="Times New Roman" w:hAnsi="Times New Roman" w:eastAsia="Times New Roman" w:cs="Times New Roman"/>
          <w:i/>
          <w:iCs/>
          <w:spacing w:val="8"/>
          <w:position w:val="-5"/>
          <w:sz w:val="14"/>
          <w:szCs w:val="14"/>
        </w:rPr>
        <w:t xml:space="preserve">  </w:t>
      </w:r>
      <w:r>
        <w:rPr>
          <w:rFonts w:ascii="宋体" w:hAnsi="宋体" w:eastAsia="宋体" w:cs="宋体"/>
          <w:spacing w:val="8"/>
          <w:sz w:val="24"/>
          <w:szCs w:val="24"/>
        </w:rPr>
        <w:t>-</w:t>
      </w:r>
      <w:r>
        <w:rPr>
          <w:rFonts w:ascii="Times New Roman" w:hAnsi="Times New Roman" w:eastAsia="Times New Roman" w:cs="Times New Roman"/>
          <w:spacing w:val="8"/>
          <w:sz w:val="24"/>
          <w:szCs w:val="24"/>
        </w:rPr>
        <w:t>7.0)</w:t>
      </w:r>
      <w:r>
        <w:rPr>
          <w:rFonts w:ascii="Times New Roman" w:hAnsi="Times New Roman" w:eastAsia="Times New Roman" w:cs="Times New Roman"/>
          <w:spacing w:val="-18"/>
          <w:sz w:val="24"/>
          <w:szCs w:val="24"/>
        </w:rPr>
        <w:t xml:space="preserve"> </w:t>
      </w:r>
      <w:r>
        <w:rPr>
          <w:rFonts w:ascii="Times New Roman" w:hAnsi="Times New Roman" w:eastAsia="Times New Roman" w:cs="Times New Roman"/>
          <w:spacing w:val="8"/>
          <w:sz w:val="24"/>
          <w:szCs w:val="24"/>
        </w:rPr>
        <w:t>/ (</w:t>
      </w:r>
      <w:r>
        <w:rPr>
          <w:rFonts w:ascii="Times New Roman" w:hAnsi="Times New Roman" w:eastAsia="Times New Roman" w:cs="Times New Roman"/>
          <w:i/>
          <w:iCs/>
          <w:sz w:val="24"/>
          <w:szCs w:val="24"/>
        </w:rPr>
        <w:t>pH</w:t>
      </w:r>
      <w:r>
        <w:rPr>
          <w:rFonts w:ascii="Times New Roman" w:hAnsi="Times New Roman" w:eastAsia="Times New Roman" w:cs="Times New Roman"/>
          <w:i/>
          <w:iCs/>
          <w:position w:val="-5"/>
          <w:sz w:val="14"/>
          <w:szCs w:val="14"/>
        </w:rPr>
        <w:t>su</w:t>
      </w:r>
      <w:r>
        <w:rPr>
          <w:rFonts w:ascii="Times New Roman" w:hAnsi="Times New Roman" w:eastAsia="Times New Roman" w:cs="Times New Roman"/>
          <w:i/>
          <w:iCs/>
          <w:spacing w:val="8"/>
          <w:position w:val="-5"/>
          <w:sz w:val="14"/>
          <w:szCs w:val="14"/>
        </w:rPr>
        <w:t xml:space="preserve">  </w:t>
      </w:r>
      <w:r>
        <w:rPr>
          <w:rFonts w:ascii="宋体" w:hAnsi="宋体" w:eastAsia="宋体" w:cs="宋体"/>
          <w:spacing w:val="8"/>
          <w:sz w:val="24"/>
          <w:szCs w:val="24"/>
        </w:rPr>
        <w:t>-</w:t>
      </w:r>
      <w:r>
        <w:rPr>
          <w:rFonts w:ascii="Times New Roman" w:hAnsi="Times New Roman" w:eastAsia="Times New Roman" w:cs="Times New Roman"/>
          <w:spacing w:val="8"/>
          <w:sz w:val="24"/>
          <w:szCs w:val="24"/>
        </w:rPr>
        <w:t>7.0)</w:t>
      </w:r>
      <w:r>
        <w:rPr>
          <w:rFonts w:ascii="Times New Roman" w:hAnsi="Times New Roman" w:eastAsia="Times New Roman" w:cs="Times New Roman"/>
          <w:spacing w:val="-18"/>
          <w:sz w:val="24"/>
          <w:szCs w:val="24"/>
        </w:rPr>
        <w:t xml:space="preserve"> </w:t>
      </w:r>
      <w:r>
        <w:rPr>
          <w:rFonts w:ascii="宋体" w:hAnsi="宋体" w:eastAsia="宋体" w:cs="宋体"/>
          <w:spacing w:val="8"/>
          <w:sz w:val="24"/>
          <w:szCs w:val="24"/>
        </w:rPr>
        <w:t>（</w:t>
      </w:r>
      <w:r>
        <w:rPr>
          <w:rFonts w:ascii="Times New Roman" w:hAnsi="Times New Roman" w:eastAsia="Times New Roman" w:cs="Times New Roman"/>
          <w:i/>
          <w:iCs/>
          <w:sz w:val="24"/>
          <w:szCs w:val="24"/>
        </w:rPr>
        <w:t>pH</w:t>
      </w:r>
      <w:r>
        <w:rPr>
          <w:rFonts w:ascii="Times New Roman" w:hAnsi="Times New Roman" w:eastAsia="Times New Roman" w:cs="Times New Roman"/>
          <w:i/>
          <w:iCs/>
          <w:position w:val="-5"/>
          <w:sz w:val="14"/>
          <w:szCs w:val="14"/>
        </w:rPr>
        <w:t>j</w:t>
      </w:r>
      <w:r>
        <w:rPr>
          <w:rFonts w:ascii="宋体" w:hAnsi="宋体" w:eastAsia="宋体" w:cs="宋体"/>
          <w:spacing w:val="8"/>
          <w:sz w:val="24"/>
          <w:szCs w:val="24"/>
        </w:rPr>
        <w:t>﹥</w:t>
      </w:r>
      <w:r>
        <w:rPr>
          <w:rFonts w:ascii="Times New Roman" w:hAnsi="Times New Roman" w:eastAsia="Times New Roman" w:cs="Times New Roman"/>
          <w:spacing w:val="8"/>
          <w:sz w:val="24"/>
          <w:szCs w:val="24"/>
        </w:rPr>
        <w:t>7.0</w:t>
      </w:r>
      <w:r>
        <w:rPr>
          <w:rFonts w:ascii="Times New Roman" w:hAnsi="Times New Roman" w:eastAsia="Times New Roman" w:cs="Times New Roman"/>
          <w:spacing w:val="-15"/>
          <w:sz w:val="24"/>
          <w:szCs w:val="24"/>
        </w:rPr>
        <w:t xml:space="preserve"> </w:t>
      </w:r>
      <w:r>
        <w:rPr>
          <w:rFonts w:ascii="宋体" w:hAnsi="宋体" w:eastAsia="宋体" w:cs="宋体"/>
          <w:spacing w:val="8"/>
          <w:sz w:val="24"/>
          <w:szCs w:val="24"/>
        </w:rPr>
        <w:t>）</w:t>
      </w:r>
      <w:r>
        <w:rPr>
          <w:rFonts w:ascii="宋体" w:hAnsi="宋体" w:eastAsia="宋体" w:cs="宋体"/>
          <w:sz w:val="24"/>
          <w:szCs w:val="24"/>
        </w:rPr>
        <w:t xml:space="preserve"> </w:t>
      </w:r>
      <w:r>
        <w:rPr>
          <w:rFonts w:ascii="宋体" w:hAnsi="宋体" w:eastAsia="宋体" w:cs="宋体"/>
          <w:spacing w:val="8"/>
          <w:sz w:val="24"/>
          <w:szCs w:val="24"/>
        </w:rPr>
        <w:t>式中：</w:t>
      </w:r>
      <w:r>
        <w:rPr>
          <w:rFonts w:ascii="Times New Roman" w:hAnsi="Times New Roman" w:eastAsia="Times New Roman" w:cs="Times New Roman"/>
          <w:i/>
          <w:iCs/>
          <w:sz w:val="24"/>
          <w:szCs w:val="24"/>
        </w:rPr>
        <w:t>S</w:t>
      </w:r>
      <w:r>
        <w:rPr>
          <w:rFonts w:ascii="Times New Roman" w:hAnsi="Times New Roman" w:eastAsia="Times New Roman" w:cs="Times New Roman"/>
          <w:i/>
          <w:iCs/>
          <w:position w:val="-5"/>
          <w:sz w:val="14"/>
          <w:szCs w:val="14"/>
        </w:rPr>
        <w:t>PH</w:t>
      </w:r>
      <w:r>
        <w:rPr>
          <w:rFonts w:ascii="Times New Roman" w:hAnsi="Times New Roman" w:eastAsia="Times New Roman" w:cs="Times New Roman"/>
          <w:i/>
          <w:iCs/>
          <w:spacing w:val="-15"/>
          <w:position w:val="-5"/>
          <w:sz w:val="14"/>
          <w:szCs w:val="14"/>
        </w:rPr>
        <w:t xml:space="preserve"> </w:t>
      </w:r>
      <w:r>
        <w:rPr>
          <w:rFonts w:ascii="Times New Roman" w:hAnsi="Times New Roman" w:eastAsia="Times New Roman" w:cs="Times New Roman"/>
          <w:spacing w:val="8"/>
          <w:position w:val="-5"/>
          <w:sz w:val="14"/>
          <w:szCs w:val="14"/>
        </w:rPr>
        <w:t>,</w:t>
      </w:r>
      <w:r>
        <w:rPr>
          <w:rFonts w:ascii="Times New Roman" w:hAnsi="Times New Roman" w:eastAsia="Times New Roman" w:cs="Times New Roman"/>
          <w:i/>
          <w:iCs/>
          <w:spacing w:val="8"/>
          <w:position w:val="-5"/>
          <w:sz w:val="14"/>
          <w:szCs w:val="14"/>
        </w:rPr>
        <w:t xml:space="preserve">j </w:t>
      </w:r>
      <w:r>
        <w:rPr>
          <w:rFonts w:ascii="Times New Roman" w:hAnsi="Times New Roman" w:eastAsia="Times New Roman" w:cs="Times New Roman"/>
          <w:spacing w:val="8"/>
          <w:sz w:val="24"/>
          <w:szCs w:val="24"/>
        </w:rPr>
        <w:t>—</w:t>
      </w:r>
      <w:r>
        <w:rPr>
          <w:rFonts w:ascii="Times New Roman" w:hAnsi="Times New Roman" w:eastAsia="Times New Roman" w:cs="Times New Roman"/>
          <w:sz w:val="24"/>
          <w:szCs w:val="24"/>
        </w:rPr>
        <w:t>pH</w:t>
      </w:r>
      <w:r>
        <w:rPr>
          <w:rFonts w:ascii="Times New Roman" w:hAnsi="Times New Roman" w:eastAsia="Times New Roman" w:cs="Times New Roman"/>
          <w:spacing w:val="28"/>
          <w:w w:val="101"/>
          <w:sz w:val="24"/>
          <w:szCs w:val="24"/>
        </w:rPr>
        <w:t xml:space="preserve"> </w:t>
      </w:r>
      <w:r>
        <w:rPr>
          <w:rFonts w:ascii="宋体" w:hAnsi="宋体" w:eastAsia="宋体" w:cs="宋体"/>
          <w:spacing w:val="8"/>
          <w:sz w:val="24"/>
          <w:szCs w:val="24"/>
        </w:rPr>
        <w:t>的标准指数；</w:t>
      </w:r>
      <w:r>
        <w:rPr>
          <w:rFonts w:ascii="Times New Roman" w:hAnsi="Times New Roman" w:eastAsia="Times New Roman" w:cs="Times New Roman"/>
          <w:i/>
          <w:iCs/>
          <w:sz w:val="24"/>
          <w:szCs w:val="24"/>
        </w:rPr>
        <w:t>pH</w:t>
      </w:r>
      <w:r>
        <w:rPr>
          <w:rFonts w:ascii="Times New Roman" w:hAnsi="Times New Roman" w:eastAsia="Times New Roman" w:cs="Times New Roman"/>
          <w:i/>
          <w:iCs/>
          <w:position w:val="-5"/>
          <w:sz w:val="14"/>
          <w:szCs w:val="14"/>
        </w:rPr>
        <w:t>j</w:t>
      </w:r>
      <w:r>
        <w:rPr>
          <w:rFonts w:ascii="Times New Roman" w:hAnsi="Times New Roman" w:eastAsia="Times New Roman" w:cs="Times New Roman"/>
          <w:i/>
          <w:iCs/>
          <w:spacing w:val="19"/>
          <w:position w:val="-5"/>
          <w:sz w:val="14"/>
          <w:szCs w:val="14"/>
        </w:rPr>
        <w:t xml:space="preserve"> </w:t>
      </w:r>
      <w:r>
        <w:rPr>
          <w:rFonts w:ascii="Times New Roman" w:hAnsi="Times New Roman" w:eastAsia="Times New Roman" w:cs="Times New Roman"/>
          <w:spacing w:val="8"/>
          <w:sz w:val="24"/>
          <w:szCs w:val="24"/>
        </w:rPr>
        <w:t>—</w:t>
      </w:r>
      <w:r>
        <w:rPr>
          <w:rFonts w:ascii="宋体" w:hAnsi="宋体" w:eastAsia="宋体" w:cs="宋体"/>
          <w:spacing w:val="8"/>
          <w:sz w:val="24"/>
          <w:szCs w:val="24"/>
        </w:rPr>
        <w:t>监测点的</w:t>
      </w:r>
      <w:r>
        <w:rPr>
          <w:rFonts w:ascii="宋体" w:hAnsi="宋体" w:eastAsia="宋体" w:cs="宋体"/>
          <w:spacing w:val="-61"/>
          <w:sz w:val="24"/>
          <w:szCs w:val="24"/>
        </w:rPr>
        <w:t xml:space="preserve"> </w:t>
      </w:r>
      <w:r>
        <w:rPr>
          <w:rFonts w:ascii="Times New Roman" w:hAnsi="Times New Roman" w:eastAsia="Times New Roman" w:cs="Times New Roman"/>
          <w:sz w:val="24"/>
          <w:szCs w:val="24"/>
        </w:rPr>
        <w:t>pH</w:t>
      </w:r>
      <w:r>
        <w:rPr>
          <w:rFonts w:ascii="Times New Roman" w:hAnsi="Times New Roman" w:eastAsia="Times New Roman" w:cs="Times New Roman"/>
          <w:spacing w:val="8"/>
          <w:sz w:val="24"/>
          <w:szCs w:val="24"/>
        </w:rPr>
        <w:t xml:space="preserve"> </w:t>
      </w:r>
      <w:r>
        <w:rPr>
          <w:rFonts w:ascii="宋体" w:hAnsi="宋体" w:eastAsia="宋体" w:cs="宋体"/>
          <w:spacing w:val="8"/>
          <w:sz w:val="24"/>
          <w:szCs w:val="24"/>
        </w:rPr>
        <w:t>值；</w:t>
      </w:r>
    </w:p>
    <w:p w14:paraId="53443D6D">
      <w:pPr>
        <w:spacing w:before="98" w:line="336" w:lineRule="auto"/>
        <w:ind w:left="1240" w:right="3885"/>
        <w:rPr>
          <w:rFonts w:ascii="宋体" w:hAnsi="宋体" w:eastAsia="宋体" w:cs="宋体"/>
          <w:sz w:val="24"/>
          <w:szCs w:val="24"/>
        </w:rPr>
      </w:pPr>
      <w:r>
        <w:rPr>
          <w:rFonts w:ascii="Times New Roman" w:hAnsi="Times New Roman" w:eastAsia="Times New Roman" w:cs="Times New Roman"/>
          <w:i/>
          <w:iCs/>
          <w:sz w:val="23"/>
          <w:szCs w:val="23"/>
        </w:rPr>
        <w:t>pH</w:t>
      </w:r>
      <w:r>
        <w:rPr>
          <w:rFonts w:ascii="Times New Roman" w:hAnsi="Times New Roman" w:eastAsia="Times New Roman" w:cs="Times New Roman"/>
          <w:i/>
          <w:iCs/>
          <w:position w:val="-6"/>
          <w:sz w:val="13"/>
          <w:szCs w:val="13"/>
        </w:rPr>
        <w:t>sd</w:t>
      </w:r>
      <w:r>
        <w:rPr>
          <w:rFonts w:ascii="Times New Roman" w:hAnsi="Times New Roman" w:eastAsia="Times New Roman" w:cs="Times New Roman"/>
          <w:spacing w:val="5"/>
          <w:sz w:val="24"/>
          <w:szCs w:val="24"/>
        </w:rPr>
        <w:t>—</w:t>
      </w:r>
      <w:r>
        <w:rPr>
          <w:rFonts w:ascii="宋体" w:hAnsi="宋体" w:eastAsia="宋体" w:cs="宋体"/>
          <w:spacing w:val="5"/>
          <w:sz w:val="24"/>
          <w:szCs w:val="24"/>
        </w:rPr>
        <w:t>地下水水质标准的</w:t>
      </w:r>
      <w:r>
        <w:rPr>
          <w:rFonts w:ascii="宋体" w:hAnsi="宋体" w:eastAsia="宋体" w:cs="宋体"/>
          <w:spacing w:val="-54"/>
          <w:sz w:val="24"/>
          <w:szCs w:val="24"/>
        </w:rPr>
        <w:t xml:space="preserve"> </w:t>
      </w:r>
      <w:r>
        <w:rPr>
          <w:rFonts w:ascii="Times New Roman" w:hAnsi="Times New Roman" w:eastAsia="Times New Roman" w:cs="Times New Roman"/>
          <w:sz w:val="24"/>
          <w:szCs w:val="24"/>
        </w:rPr>
        <w:t>pH</w:t>
      </w:r>
      <w:r>
        <w:rPr>
          <w:rFonts w:ascii="Times New Roman" w:hAnsi="Times New Roman" w:eastAsia="Times New Roman" w:cs="Times New Roman"/>
          <w:spacing w:val="5"/>
          <w:sz w:val="24"/>
          <w:szCs w:val="24"/>
        </w:rPr>
        <w:t xml:space="preserve"> </w:t>
      </w:r>
      <w:r>
        <w:rPr>
          <w:rFonts w:ascii="宋体" w:hAnsi="宋体" w:eastAsia="宋体" w:cs="宋体"/>
          <w:spacing w:val="5"/>
          <w:sz w:val="24"/>
          <w:szCs w:val="24"/>
        </w:rPr>
        <w:t>值下限；</w:t>
      </w:r>
      <w:r>
        <w:rPr>
          <w:rFonts w:ascii="宋体" w:hAnsi="宋体" w:eastAsia="宋体" w:cs="宋体"/>
          <w:sz w:val="24"/>
          <w:szCs w:val="24"/>
        </w:rPr>
        <w:t xml:space="preserve"> </w:t>
      </w:r>
      <w:r>
        <w:rPr>
          <w:rFonts w:ascii="Times New Roman" w:hAnsi="Times New Roman" w:eastAsia="Times New Roman" w:cs="Times New Roman"/>
          <w:i/>
          <w:iCs/>
          <w:sz w:val="23"/>
          <w:szCs w:val="23"/>
        </w:rPr>
        <w:t>pH</w:t>
      </w:r>
      <w:r>
        <w:rPr>
          <w:rFonts w:ascii="Times New Roman" w:hAnsi="Times New Roman" w:eastAsia="Times New Roman" w:cs="Times New Roman"/>
          <w:i/>
          <w:iCs/>
          <w:position w:val="-6"/>
          <w:sz w:val="13"/>
          <w:szCs w:val="13"/>
        </w:rPr>
        <w:t>su</w:t>
      </w:r>
      <w:r>
        <w:rPr>
          <w:rFonts w:ascii="Times New Roman" w:hAnsi="Times New Roman" w:eastAsia="Times New Roman" w:cs="Times New Roman"/>
          <w:i/>
          <w:iCs/>
          <w:spacing w:val="30"/>
          <w:position w:val="-6"/>
          <w:sz w:val="13"/>
          <w:szCs w:val="13"/>
        </w:rPr>
        <w:t xml:space="preserve"> </w:t>
      </w:r>
      <w:r>
        <w:rPr>
          <w:rFonts w:ascii="Times New Roman" w:hAnsi="Times New Roman" w:eastAsia="Times New Roman" w:cs="Times New Roman"/>
          <w:spacing w:val="1"/>
          <w:sz w:val="24"/>
          <w:szCs w:val="24"/>
        </w:rPr>
        <w:t>—</w:t>
      </w:r>
      <w:r>
        <w:rPr>
          <w:rFonts w:ascii="宋体" w:hAnsi="宋体" w:eastAsia="宋体" w:cs="宋体"/>
          <w:spacing w:val="1"/>
          <w:sz w:val="24"/>
          <w:szCs w:val="24"/>
        </w:rPr>
        <w:t>地下水水质标准的</w:t>
      </w:r>
      <w:r>
        <w:rPr>
          <w:rFonts w:ascii="宋体" w:hAnsi="宋体" w:eastAsia="宋体" w:cs="宋体"/>
          <w:spacing w:val="-61"/>
          <w:sz w:val="24"/>
          <w:szCs w:val="24"/>
        </w:rPr>
        <w:t xml:space="preserve"> </w:t>
      </w:r>
      <w:r>
        <w:rPr>
          <w:rFonts w:ascii="Times New Roman" w:hAnsi="Times New Roman" w:eastAsia="Times New Roman" w:cs="Times New Roman"/>
          <w:sz w:val="24"/>
          <w:szCs w:val="24"/>
        </w:rPr>
        <w:t>pH</w:t>
      </w:r>
      <w:r>
        <w:rPr>
          <w:rFonts w:ascii="Times New Roman" w:hAnsi="Times New Roman" w:eastAsia="Times New Roman" w:cs="Times New Roman"/>
          <w:spacing w:val="1"/>
          <w:sz w:val="24"/>
          <w:szCs w:val="24"/>
        </w:rPr>
        <w:t xml:space="preserve"> </w:t>
      </w:r>
      <w:r>
        <w:rPr>
          <w:rFonts w:ascii="宋体" w:hAnsi="宋体" w:eastAsia="宋体" w:cs="宋体"/>
          <w:spacing w:val="1"/>
          <w:sz w:val="24"/>
          <w:szCs w:val="24"/>
        </w:rPr>
        <w:t>值上限。</w:t>
      </w:r>
    </w:p>
    <w:p w14:paraId="1E4F8D91">
      <w:pPr>
        <w:spacing w:before="123" w:line="218"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）评价标准</w:t>
      </w:r>
    </w:p>
    <w:p w14:paraId="058B8475">
      <w:pPr>
        <w:spacing w:before="182" w:line="347" w:lineRule="auto"/>
        <w:ind w:left="9" w:right="63" w:firstLine="480"/>
        <w:rPr>
          <w:rFonts w:ascii="宋体" w:hAnsi="宋体" w:eastAsia="宋体" w:cs="宋体"/>
          <w:sz w:val="24"/>
          <w:szCs w:val="24"/>
        </w:rPr>
      </w:pPr>
      <w:r>
        <w:rPr>
          <w:rFonts w:ascii="宋体" w:hAnsi="宋体" w:eastAsia="宋体" w:cs="宋体"/>
          <w:spacing w:val="-2"/>
          <w:sz w:val="24"/>
          <w:szCs w:val="24"/>
        </w:rPr>
        <w:t>地下水环境质量现状评价标准执行《地下水质量标准》（</w:t>
      </w:r>
      <w:r>
        <w:rPr>
          <w:rFonts w:ascii="Times New Roman" w:hAnsi="Times New Roman" w:eastAsia="Times New Roman" w:cs="Times New Roman"/>
          <w:spacing w:val="-2"/>
          <w:sz w:val="24"/>
          <w:szCs w:val="24"/>
        </w:rPr>
        <w:t>GB/T14848-2017</w:t>
      </w:r>
      <w:r>
        <w:rPr>
          <w:rFonts w:ascii="宋体" w:hAnsi="宋体" w:eastAsia="宋体" w:cs="宋体"/>
          <w:spacing w:val="-2"/>
          <w:sz w:val="24"/>
          <w:szCs w:val="24"/>
        </w:rPr>
        <w:t>）中的</w:t>
      </w:r>
      <w:r>
        <w:rPr>
          <w:rFonts w:ascii="Times New Roman" w:hAnsi="Times New Roman" w:eastAsia="Times New Roman" w:cs="Times New Roman"/>
          <w:spacing w:val="-2"/>
          <w:sz w:val="24"/>
          <w:szCs w:val="24"/>
        </w:rPr>
        <w:t>Ⅲ</w:t>
      </w:r>
      <w:r>
        <w:rPr>
          <w:rFonts w:ascii="Times New Roman" w:hAnsi="Times New Roman" w:eastAsia="Times New Roman" w:cs="Times New Roman"/>
          <w:spacing w:val="8"/>
          <w:sz w:val="24"/>
          <w:szCs w:val="24"/>
        </w:rPr>
        <w:t xml:space="preserve"> </w:t>
      </w:r>
      <w:r>
        <w:rPr>
          <w:rFonts w:ascii="宋体" w:hAnsi="宋体" w:eastAsia="宋体" w:cs="宋体"/>
          <w:spacing w:val="-2"/>
          <w:sz w:val="24"/>
          <w:szCs w:val="24"/>
        </w:rPr>
        <w:t>类标准值。</w:t>
      </w:r>
    </w:p>
    <w:p w14:paraId="266F9596">
      <w:pPr>
        <w:spacing w:before="34" w:line="218"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6</w:t>
      </w:r>
      <w:r>
        <w:rPr>
          <w:rFonts w:ascii="宋体" w:hAnsi="宋体" w:eastAsia="宋体" w:cs="宋体"/>
          <w:spacing w:val="-3"/>
          <w:sz w:val="24"/>
          <w:szCs w:val="24"/>
        </w:rPr>
        <w:t>）评价结果</w:t>
      </w:r>
    </w:p>
    <w:p w14:paraId="6689DDD9">
      <w:pPr>
        <w:spacing w:before="183" w:line="344" w:lineRule="auto"/>
        <w:ind w:left="10" w:right="63" w:firstLine="479"/>
        <w:rPr>
          <w:rFonts w:ascii="宋体" w:hAnsi="宋体" w:eastAsia="宋体" w:cs="宋体"/>
          <w:sz w:val="24"/>
          <w:szCs w:val="24"/>
        </w:rPr>
      </w:pPr>
      <w:r>
        <w:rPr>
          <w:rFonts w:ascii="宋体" w:hAnsi="宋体" w:eastAsia="宋体" w:cs="宋体"/>
          <w:spacing w:val="-2"/>
          <w:sz w:val="24"/>
          <w:szCs w:val="24"/>
        </w:rPr>
        <w:t>根据评价方法及评价标准，对现状监测结果进行评价，并对评价结果进行分析。监</w:t>
      </w:r>
      <w:r>
        <w:rPr>
          <w:rFonts w:ascii="宋体" w:hAnsi="宋体" w:eastAsia="宋体" w:cs="宋体"/>
          <w:spacing w:val="11"/>
          <w:sz w:val="24"/>
          <w:szCs w:val="24"/>
        </w:rPr>
        <w:t xml:space="preserve"> </w:t>
      </w:r>
      <w:r>
        <w:rPr>
          <w:rFonts w:ascii="宋体" w:hAnsi="宋体" w:eastAsia="宋体" w:cs="宋体"/>
          <w:spacing w:val="-2"/>
          <w:sz w:val="24"/>
          <w:szCs w:val="24"/>
        </w:rPr>
        <w:t>测及评价结果见表</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3.3-5</w:t>
      </w:r>
      <w:r>
        <w:rPr>
          <w:rFonts w:ascii="宋体" w:hAnsi="宋体" w:eastAsia="宋体" w:cs="宋体"/>
          <w:spacing w:val="-2"/>
          <w:sz w:val="24"/>
          <w:szCs w:val="24"/>
        </w:rPr>
        <w:t>。</w:t>
      </w:r>
    </w:p>
    <w:p w14:paraId="7411F5AF">
      <w:pPr>
        <w:spacing w:line="344" w:lineRule="auto"/>
        <w:rPr>
          <w:rFonts w:ascii="宋体" w:hAnsi="宋体" w:eastAsia="宋体" w:cs="宋体"/>
          <w:sz w:val="24"/>
          <w:szCs w:val="24"/>
        </w:rPr>
        <w:sectPr>
          <w:headerReference r:id="rId229" w:type="default"/>
          <w:footerReference r:id="rId230" w:type="default"/>
          <w:pgSz w:w="11906" w:h="16839"/>
          <w:pgMar w:top="1332" w:right="1354" w:bottom="1156" w:left="1418" w:header="1024" w:footer="994" w:gutter="0"/>
          <w:cols w:space="720" w:num="1"/>
        </w:sectPr>
      </w:pPr>
    </w:p>
    <w:p w14:paraId="5C694868">
      <w:pPr>
        <w:spacing w:line="28" w:lineRule="exact"/>
        <w:ind w:firstLine="108"/>
      </w:pPr>
      <w:r>
        <w:pict>
          <v:shape id="_x0000_s1263" o:spid="_x0000_s1263" style="height:1.45pt;width:453.55pt;" fillcolor="#000000" filled="t" stroked="f" coordsize="9070,29" path="m0,0l9070,0,9070,28,0,28,0,0xe">
            <v:path/>
            <v:fill on="t" focussize="0,0"/>
            <v:stroke on="f"/>
            <v:imagedata o:title=""/>
            <o:lock v:ext="edit"/>
            <w10:wrap type="none"/>
            <w10:anchorlock/>
          </v:shape>
        </w:pict>
      </w:r>
    </w:p>
    <w:p w14:paraId="1C36F910">
      <w:pPr>
        <w:spacing w:before="228" w:line="228" w:lineRule="auto"/>
        <w:ind w:left="3142"/>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44"/>
          <w:sz w:val="20"/>
          <w:szCs w:val="20"/>
        </w:rPr>
        <w:t xml:space="preserve"> </w:t>
      </w:r>
      <w:r>
        <w:rPr>
          <w:rFonts w:ascii="Times New Roman" w:hAnsi="Times New Roman" w:eastAsia="Times New Roman" w:cs="Times New Roman"/>
          <w:b/>
          <w:bCs/>
          <w:spacing w:val="5"/>
          <w:sz w:val="20"/>
          <w:szCs w:val="20"/>
        </w:rPr>
        <w:t xml:space="preserve">3.3-5        </w:t>
      </w:r>
      <w:r>
        <w:rPr>
          <w:rFonts w:ascii="宋体" w:hAnsi="宋体" w:eastAsia="宋体" w:cs="宋体"/>
          <w:b/>
          <w:bCs/>
          <w:spacing w:val="5"/>
          <w:sz w:val="20"/>
          <w:szCs w:val="20"/>
        </w:rPr>
        <w:t>地下水现状监</w:t>
      </w:r>
      <w:r>
        <w:rPr>
          <w:rFonts w:ascii="宋体" w:hAnsi="宋体" w:eastAsia="宋体" w:cs="宋体"/>
          <w:b/>
          <w:bCs/>
          <w:spacing w:val="4"/>
          <w:sz w:val="20"/>
          <w:szCs w:val="20"/>
        </w:rPr>
        <w:t>测结果</w:t>
      </w:r>
    </w:p>
    <w:p w14:paraId="2582161C">
      <w:pPr>
        <w:spacing w:line="131" w:lineRule="exact"/>
      </w:pPr>
    </w:p>
    <w:tbl>
      <w:tblPr>
        <w:tblStyle w:val="5"/>
        <w:tblW w:w="9286"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53"/>
        <w:gridCol w:w="1227"/>
        <w:gridCol w:w="944"/>
        <w:gridCol w:w="944"/>
        <w:gridCol w:w="944"/>
        <w:gridCol w:w="944"/>
        <w:gridCol w:w="944"/>
        <w:gridCol w:w="943"/>
        <w:gridCol w:w="943"/>
      </w:tblGrid>
      <w:tr w14:paraId="43B229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trPr>
        <w:tc>
          <w:tcPr>
            <w:tcW w:w="2680" w:type="dxa"/>
            <w:gridSpan w:val="2"/>
            <w:tcBorders>
              <w:top w:val="single" w:color="000000" w:sz="10" w:space="0"/>
              <w:left w:val="nil"/>
            </w:tcBorders>
            <w:vAlign w:val="top"/>
          </w:tcPr>
          <w:p w14:paraId="634BB561">
            <w:pPr>
              <w:pStyle w:val="6"/>
              <w:spacing w:before="35" w:line="217" w:lineRule="auto"/>
              <w:ind w:left="928"/>
              <w:rPr>
                <w:sz w:val="20"/>
                <w:szCs w:val="20"/>
              </w:rPr>
            </w:pPr>
            <w:r>
              <w:rPr>
                <w:spacing w:val="7"/>
                <w:sz w:val="20"/>
                <w:szCs w:val="20"/>
              </w:rPr>
              <w:t>监测指标</w:t>
            </w:r>
          </w:p>
        </w:tc>
        <w:tc>
          <w:tcPr>
            <w:tcW w:w="944" w:type="dxa"/>
            <w:tcBorders>
              <w:top w:val="single" w:color="000000" w:sz="10" w:space="0"/>
            </w:tcBorders>
            <w:vAlign w:val="top"/>
          </w:tcPr>
          <w:p w14:paraId="6A940995">
            <w:pPr>
              <w:spacing w:before="71" w:line="195" w:lineRule="auto"/>
              <w:ind w:left="38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w:t>
            </w:r>
          </w:p>
        </w:tc>
        <w:tc>
          <w:tcPr>
            <w:tcW w:w="944" w:type="dxa"/>
            <w:tcBorders>
              <w:top w:val="single" w:color="000000" w:sz="10" w:space="0"/>
            </w:tcBorders>
            <w:vAlign w:val="top"/>
          </w:tcPr>
          <w:p w14:paraId="6326E631">
            <w:pPr>
              <w:spacing w:before="71" w:line="195" w:lineRule="auto"/>
              <w:ind w:left="3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w:t>
            </w:r>
          </w:p>
        </w:tc>
        <w:tc>
          <w:tcPr>
            <w:tcW w:w="944" w:type="dxa"/>
            <w:tcBorders>
              <w:top w:val="single" w:color="000000" w:sz="10" w:space="0"/>
            </w:tcBorders>
            <w:vAlign w:val="top"/>
          </w:tcPr>
          <w:p w14:paraId="0C87EC5C">
            <w:pPr>
              <w:spacing w:before="71" w:line="195" w:lineRule="auto"/>
              <w:ind w:left="372"/>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944" w:type="dxa"/>
            <w:tcBorders>
              <w:top w:val="single" w:color="000000" w:sz="10" w:space="0"/>
            </w:tcBorders>
            <w:vAlign w:val="top"/>
          </w:tcPr>
          <w:p w14:paraId="275BC349">
            <w:pPr>
              <w:spacing w:before="71" w:line="195" w:lineRule="auto"/>
              <w:ind w:left="3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w:t>
            </w:r>
          </w:p>
        </w:tc>
        <w:tc>
          <w:tcPr>
            <w:tcW w:w="944" w:type="dxa"/>
            <w:tcBorders>
              <w:top w:val="single" w:color="000000" w:sz="10" w:space="0"/>
            </w:tcBorders>
            <w:vAlign w:val="top"/>
          </w:tcPr>
          <w:p w14:paraId="16E7FAC4">
            <w:pPr>
              <w:spacing w:before="71" w:line="195" w:lineRule="auto"/>
              <w:ind w:left="375"/>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943" w:type="dxa"/>
            <w:tcBorders>
              <w:top w:val="single" w:color="000000" w:sz="10" w:space="0"/>
            </w:tcBorders>
            <w:vAlign w:val="top"/>
          </w:tcPr>
          <w:p w14:paraId="13135074">
            <w:pPr>
              <w:spacing w:before="71" w:line="195" w:lineRule="auto"/>
              <w:ind w:left="373"/>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943" w:type="dxa"/>
            <w:tcBorders>
              <w:top w:val="single" w:color="000000" w:sz="10" w:space="0"/>
              <w:right w:val="nil"/>
            </w:tcBorders>
            <w:vAlign w:val="top"/>
          </w:tcPr>
          <w:p w14:paraId="0262A3E5">
            <w:pPr>
              <w:spacing w:before="71" w:line="195" w:lineRule="auto"/>
              <w:ind w:left="3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w:t>
            </w:r>
          </w:p>
        </w:tc>
      </w:tr>
      <w:tr w14:paraId="35DDC3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restart"/>
            <w:tcBorders>
              <w:left w:val="nil"/>
              <w:bottom w:val="nil"/>
            </w:tcBorders>
            <w:vAlign w:val="top"/>
          </w:tcPr>
          <w:p w14:paraId="46CE5E25">
            <w:pPr>
              <w:pStyle w:val="6"/>
              <w:spacing w:before="34" w:line="236" w:lineRule="auto"/>
              <w:ind w:left="349" w:right="341" w:firstLine="115"/>
              <w:rPr>
                <w:rFonts w:ascii="Times New Roman" w:hAnsi="Times New Roman" w:eastAsia="Times New Roman" w:cs="Times New Roman"/>
                <w:sz w:val="20"/>
                <w:szCs w:val="20"/>
              </w:rPr>
            </w:pPr>
            <w:r>
              <w:rPr>
                <w:rFonts w:ascii="Times New Roman" w:hAnsi="Times New Roman" w:eastAsia="Times New Roman" w:cs="Times New Roman"/>
                <w:sz w:val="20"/>
                <w:szCs w:val="20"/>
              </w:rPr>
              <w:t>pH</w:t>
            </w:r>
            <w:r>
              <w:rPr>
                <w:rFonts w:ascii="Times New Roman" w:hAnsi="Times New Roman" w:eastAsia="Times New Roman" w:cs="Times New Roman"/>
                <w:spacing w:val="11"/>
                <w:sz w:val="20"/>
                <w:szCs w:val="20"/>
              </w:rPr>
              <w:t xml:space="preserve"> </w:t>
            </w:r>
            <w:r>
              <w:rPr>
                <w:spacing w:val="13"/>
                <w:sz w:val="20"/>
                <w:szCs w:val="20"/>
              </w:rPr>
              <w:t>值</w:t>
            </w:r>
            <w:r>
              <w:rPr>
                <w:sz w:val="20"/>
                <w:szCs w:val="20"/>
              </w:rPr>
              <w:t xml:space="preserve">  </w:t>
            </w:r>
            <w:r>
              <w:rPr>
                <w:rFonts w:ascii="Times New Roman" w:hAnsi="Times New Roman" w:eastAsia="Times New Roman" w:cs="Times New Roman"/>
                <w:spacing w:val="5"/>
                <w:sz w:val="20"/>
                <w:szCs w:val="20"/>
              </w:rPr>
              <w:t>(</w:t>
            </w:r>
            <w:r>
              <w:rPr>
                <w:spacing w:val="5"/>
                <w:sz w:val="20"/>
                <w:szCs w:val="20"/>
              </w:rPr>
              <w:t>无量纲</w:t>
            </w:r>
            <w:r>
              <w:rPr>
                <w:rFonts w:ascii="Times New Roman" w:hAnsi="Times New Roman" w:eastAsia="Times New Roman" w:cs="Times New Roman"/>
                <w:spacing w:val="5"/>
                <w:sz w:val="20"/>
                <w:szCs w:val="20"/>
              </w:rPr>
              <w:t>)</w:t>
            </w:r>
          </w:p>
        </w:tc>
        <w:tc>
          <w:tcPr>
            <w:tcW w:w="1227" w:type="dxa"/>
            <w:vAlign w:val="top"/>
          </w:tcPr>
          <w:p w14:paraId="738BE4F9">
            <w:pPr>
              <w:pStyle w:val="6"/>
              <w:spacing w:before="30" w:line="217" w:lineRule="auto"/>
              <w:ind w:left="200"/>
              <w:rPr>
                <w:sz w:val="20"/>
                <w:szCs w:val="20"/>
              </w:rPr>
            </w:pPr>
            <w:r>
              <w:rPr>
                <w:spacing w:val="7"/>
                <w:sz w:val="20"/>
                <w:szCs w:val="20"/>
              </w:rPr>
              <w:t>监测结果</w:t>
            </w:r>
          </w:p>
        </w:tc>
        <w:tc>
          <w:tcPr>
            <w:tcW w:w="944" w:type="dxa"/>
            <w:vAlign w:val="top"/>
          </w:tcPr>
          <w:p w14:paraId="64472DD8">
            <w:pPr>
              <w:spacing w:before="66" w:line="195" w:lineRule="auto"/>
              <w:ind w:left="34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7.6</w:t>
            </w:r>
          </w:p>
        </w:tc>
        <w:tc>
          <w:tcPr>
            <w:tcW w:w="944" w:type="dxa"/>
            <w:vAlign w:val="top"/>
          </w:tcPr>
          <w:p w14:paraId="5D14CB5A">
            <w:pPr>
              <w:spacing w:before="66" w:line="195" w:lineRule="auto"/>
              <w:ind w:left="34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7.8</w:t>
            </w:r>
          </w:p>
        </w:tc>
        <w:tc>
          <w:tcPr>
            <w:tcW w:w="944" w:type="dxa"/>
            <w:vAlign w:val="top"/>
          </w:tcPr>
          <w:p w14:paraId="0E14E903">
            <w:pPr>
              <w:spacing w:before="66" w:line="195" w:lineRule="auto"/>
              <w:ind w:left="3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7.9</w:t>
            </w:r>
          </w:p>
        </w:tc>
        <w:tc>
          <w:tcPr>
            <w:tcW w:w="944" w:type="dxa"/>
            <w:vAlign w:val="top"/>
          </w:tcPr>
          <w:p w14:paraId="6BBDF615">
            <w:pPr>
              <w:spacing w:before="66" w:line="195" w:lineRule="auto"/>
              <w:ind w:left="34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7.6</w:t>
            </w:r>
          </w:p>
        </w:tc>
        <w:tc>
          <w:tcPr>
            <w:tcW w:w="944" w:type="dxa"/>
            <w:vAlign w:val="top"/>
          </w:tcPr>
          <w:p w14:paraId="769ECC8D">
            <w:pPr>
              <w:spacing w:before="66" w:line="195" w:lineRule="auto"/>
              <w:ind w:left="34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7.8</w:t>
            </w:r>
          </w:p>
        </w:tc>
        <w:tc>
          <w:tcPr>
            <w:tcW w:w="943" w:type="dxa"/>
            <w:vAlign w:val="top"/>
          </w:tcPr>
          <w:p w14:paraId="2D63A921">
            <w:pPr>
              <w:spacing w:before="69" w:line="192" w:lineRule="auto"/>
              <w:ind w:left="3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7.7</w:t>
            </w:r>
          </w:p>
        </w:tc>
        <w:tc>
          <w:tcPr>
            <w:tcW w:w="943" w:type="dxa"/>
            <w:tcBorders>
              <w:right w:val="nil"/>
            </w:tcBorders>
            <w:vAlign w:val="top"/>
          </w:tcPr>
          <w:p w14:paraId="581E812A">
            <w:pPr>
              <w:spacing w:before="66" w:line="195" w:lineRule="auto"/>
              <w:ind w:left="3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7.6</w:t>
            </w:r>
          </w:p>
        </w:tc>
      </w:tr>
      <w:tr w14:paraId="3BAFC7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1DAC4FDC">
            <w:pPr>
              <w:rPr>
                <w:rFonts w:ascii="Arial"/>
                <w:sz w:val="21"/>
              </w:rPr>
            </w:pPr>
          </w:p>
        </w:tc>
        <w:tc>
          <w:tcPr>
            <w:tcW w:w="1227" w:type="dxa"/>
            <w:vAlign w:val="top"/>
          </w:tcPr>
          <w:p w14:paraId="5D1932D7">
            <w:pPr>
              <w:pStyle w:val="6"/>
              <w:spacing w:before="32" w:line="216" w:lineRule="auto"/>
              <w:ind w:left="198"/>
              <w:rPr>
                <w:sz w:val="20"/>
                <w:szCs w:val="20"/>
              </w:rPr>
            </w:pPr>
            <w:r>
              <w:rPr>
                <w:spacing w:val="7"/>
                <w:sz w:val="20"/>
                <w:szCs w:val="20"/>
              </w:rPr>
              <w:t>评价结果</w:t>
            </w:r>
          </w:p>
        </w:tc>
        <w:tc>
          <w:tcPr>
            <w:tcW w:w="944" w:type="dxa"/>
            <w:vAlign w:val="top"/>
          </w:tcPr>
          <w:p w14:paraId="54AE19B6">
            <w:pPr>
              <w:spacing w:before="68"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0.40</w:t>
            </w:r>
          </w:p>
        </w:tc>
        <w:tc>
          <w:tcPr>
            <w:tcW w:w="944" w:type="dxa"/>
            <w:vAlign w:val="top"/>
          </w:tcPr>
          <w:p w14:paraId="2ABAFFCC">
            <w:pPr>
              <w:spacing w:before="68" w:line="195"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0.53</w:t>
            </w:r>
          </w:p>
        </w:tc>
        <w:tc>
          <w:tcPr>
            <w:tcW w:w="944" w:type="dxa"/>
            <w:vAlign w:val="top"/>
          </w:tcPr>
          <w:p w14:paraId="6FEE0DD1">
            <w:pPr>
              <w:spacing w:before="68"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0.60</w:t>
            </w:r>
          </w:p>
        </w:tc>
        <w:tc>
          <w:tcPr>
            <w:tcW w:w="944" w:type="dxa"/>
            <w:vAlign w:val="top"/>
          </w:tcPr>
          <w:p w14:paraId="7E57ACE5">
            <w:pPr>
              <w:spacing w:before="68"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0.40</w:t>
            </w:r>
          </w:p>
        </w:tc>
        <w:tc>
          <w:tcPr>
            <w:tcW w:w="944" w:type="dxa"/>
            <w:vAlign w:val="top"/>
          </w:tcPr>
          <w:p w14:paraId="1052E4E3">
            <w:pPr>
              <w:spacing w:before="68" w:line="195"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0.53</w:t>
            </w:r>
          </w:p>
        </w:tc>
        <w:tc>
          <w:tcPr>
            <w:tcW w:w="943" w:type="dxa"/>
            <w:vAlign w:val="top"/>
          </w:tcPr>
          <w:p w14:paraId="46A6AEB4">
            <w:pPr>
              <w:spacing w:before="68"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0.47</w:t>
            </w:r>
          </w:p>
        </w:tc>
        <w:tc>
          <w:tcPr>
            <w:tcW w:w="943" w:type="dxa"/>
            <w:tcBorders>
              <w:right w:val="nil"/>
            </w:tcBorders>
            <w:vAlign w:val="top"/>
          </w:tcPr>
          <w:p w14:paraId="1DA0E611">
            <w:pPr>
              <w:spacing w:before="68"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0.40</w:t>
            </w:r>
          </w:p>
        </w:tc>
      </w:tr>
      <w:tr w14:paraId="0FE44F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264830A2">
            <w:pPr>
              <w:spacing w:before="205" w:line="201" w:lineRule="auto"/>
              <w:ind w:left="35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F</w:t>
            </w:r>
            <w:r>
              <w:rPr>
                <w:rFonts w:ascii="Times New Roman" w:hAnsi="Times New Roman" w:eastAsia="Times New Roman" w:cs="Times New Roman"/>
                <w:spacing w:val="4"/>
                <w:position w:val="6"/>
                <w:sz w:val="13"/>
                <w:szCs w:val="13"/>
              </w:rPr>
              <w:t>-</w:t>
            </w:r>
            <w:r>
              <w:rPr>
                <w:rFonts w:ascii="Times New Roman" w:hAnsi="Times New Roman" w:eastAsia="Times New Roman" w:cs="Times New Roman"/>
                <w:spacing w:val="4"/>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4"/>
                <w:sz w:val="20"/>
                <w:szCs w:val="20"/>
              </w:rPr>
              <w:t>/L)</w:t>
            </w:r>
          </w:p>
        </w:tc>
        <w:tc>
          <w:tcPr>
            <w:tcW w:w="1227" w:type="dxa"/>
            <w:vAlign w:val="top"/>
          </w:tcPr>
          <w:p w14:paraId="4A2C632C">
            <w:pPr>
              <w:pStyle w:val="6"/>
              <w:spacing w:before="34" w:line="215" w:lineRule="auto"/>
              <w:ind w:left="200"/>
              <w:rPr>
                <w:sz w:val="20"/>
                <w:szCs w:val="20"/>
              </w:rPr>
            </w:pPr>
            <w:r>
              <w:rPr>
                <w:spacing w:val="7"/>
                <w:sz w:val="20"/>
                <w:szCs w:val="20"/>
              </w:rPr>
              <w:t>监测结果</w:t>
            </w:r>
          </w:p>
        </w:tc>
        <w:tc>
          <w:tcPr>
            <w:tcW w:w="944" w:type="dxa"/>
            <w:vAlign w:val="top"/>
          </w:tcPr>
          <w:p w14:paraId="69C11D07">
            <w:pPr>
              <w:spacing w:before="69"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3.53</w:t>
            </w:r>
          </w:p>
        </w:tc>
        <w:tc>
          <w:tcPr>
            <w:tcW w:w="944" w:type="dxa"/>
            <w:vAlign w:val="top"/>
          </w:tcPr>
          <w:p w14:paraId="14EBB030">
            <w:pPr>
              <w:spacing w:before="69" w:line="195"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1.40</w:t>
            </w:r>
          </w:p>
        </w:tc>
        <w:tc>
          <w:tcPr>
            <w:tcW w:w="944" w:type="dxa"/>
            <w:vAlign w:val="top"/>
          </w:tcPr>
          <w:p w14:paraId="5083BAE4">
            <w:pPr>
              <w:spacing w:before="69"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0.871</w:t>
            </w:r>
          </w:p>
        </w:tc>
        <w:tc>
          <w:tcPr>
            <w:tcW w:w="944" w:type="dxa"/>
            <w:vAlign w:val="top"/>
          </w:tcPr>
          <w:p w14:paraId="3C38654E">
            <w:pPr>
              <w:spacing w:before="69" w:line="195" w:lineRule="auto"/>
              <w:ind w:left="3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1.89</w:t>
            </w:r>
          </w:p>
        </w:tc>
        <w:tc>
          <w:tcPr>
            <w:tcW w:w="944" w:type="dxa"/>
            <w:vAlign w:val="top"/>
          </w:tcPr>
          <w:p w14:paraId="2786026B">
            <w:pPr>
              <w:spacing w:before="69"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2.41</w:t>
            </w:r>
          </w:p>
        </w:tc>
        <w:tc>
          <w:tcPr>
            <w:tcW w:w="943" w:type="dxa"/>
            <w:vAlign w:val="top"/>
          </w:tcPr>
          <w:p w14:paraId="4455C1CB">
            <w:pPr>
              <w:spacing w:before="69" w:line="195"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1.32</w:t>
            </w:r>
          </w:p>
        </w:tc>
        <w:tc>
          <w:tcPr>
            <w:tcW w:w="943" w:type="dxa"/>
            <w:tcBorders>
              <w:right w:val="nil"/>
            </w:tcBorders>
            <w:vAlign w:val="top"/>
          </w:tcPr>
          <w:p w14:paraId="79116FEE">
            <w:pPr>
              <w:spacing w:before="69"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2.42</w:t>
            </w:r>
          </w:p>
        </w:tc>
      </w:tr>
      <w:tr w14:paraId="7E2DF7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5F46B587">
            <w:pPr>
              <w:rPr>
                <w:rFonts w:ascii="Arial"/>
                <w:sz w:val="21"/>
              </w:rPr>
            </w:pPr>
          </w:p>
        </w:tc>
        <w:tc>
          <w:tcPr>
            <w:tcW w:w="1227" w:type="dxa"/>
            <w:vAlign w:val="top"/>
          </w:tcPr>
          <w:p w14:paraId="49C4C8B1">
            <w:pPr>
              <w:pStyle w:val="6"/>
              <w:spacing w:before="33" w:line="215" w:lineRule="auto"/>
              <w:ind w:left="198"/>
              <w:rPr>
                <w:sz w:val="20"/>
                <w:szCs w:val="20"/>
              </w:rPr>
            </w:pPr>
            <w:r>
              <w:rPr>
                <w:spacing w:val="7"/>
                <w:sz w:val="20"/>
                <w:szCs w:val="20"/>
              </w:rPr>
              <w:t>评价结果</w:t>
            </w:r>
          </w:p>
        </w:tc>
        <w:tc>
          <w:tcPr>
            <w:tcW w:w="944" w:type="dxa"/>
            <w:vAlign w:val="top"/>
          </w:tcPr>
          <w:p w14:paraId="73221A6F">
            <w:pPr>
              <w:spacing w:before="68"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3.53</w:t>
            </w:r>
          </w:p>
        </w:tc>
        <w:tc>
          <w:tcPr>
            <w:tcW w:w="944" w:type="dxa"/>
            <w:vAlign w:val="top"/>
          </w:tcPr>
          <w:p w14:paraId="65DF5F01">
            <w:pPr>
              <w:spacing w:before="68" w:line="195" w:lineRule="auto"/>
              <w:ind w:left="36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1.4</w:t>
            </w:r>
          </w:p>
        </w:tc>
        <w:tc>
          <w:tcPr>
            <w:tcW w:w="944" w:type="dxa"/>
            <w:vAlign w:val="top"/>
          </w:tcPr>
          <w:p w14:paraId="6AF91F93">
            <w:pPr>
              <w:spacing w:before="68"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0.871</w:t>
            </w:r>
          </w:p>
        </w:tc>
        <w:tc>
          <w:tcPr>
            <w:tcW w:w="944" w:type="dxa"/>
            <w:vAlign w:val="top"/>
          </w:tcPr>
          <w:p w14:paraId="5D586136">
            <w:pPr>
              <w:spacing w:before="68" w:line="195" w:lineRule="auto"/>
              <w:ind w:left="3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1.89</w:t>
            </w:r>
          </w:p>
        </w:tc>
        <w:tc>
          <w:tcPr>
            <w:tcW w:w="944" w:type="dxa"/>
            <w:vAlign w:val="top"/>
          </w:tcPr>
          <w:p w14:paraId="7BD0B78B">
            <w:pPr>
              <w:spacing w:before="68"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2.41</w:t>
            </w:r>
          </w:p>
        </w:tc>
        <w:tc>
          <w:tcPr>
            <w:tcW w:w="943" w:type="dxa"/>
            <w:vAlign w:val="top"/>
          </w:tcPr>
          <w:p w14:paraId="338879F9">
            <w:pPr>
              <w:spacing w:before="68" w:line="195"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1.32</w:t>
            </w:r>
          </w:p>
        </w:tc>
        <w:tc>
          <w:tcPr>
            <w:tcW w:w="943" w:type="dxa"/>
            <w:tcBorders>
              <w:right w:val="nil"/>
            </w:tcBorders>
            <w:vAlign w:val="top"/>
          </w:tcPr>
          <w:p w14:paraId="4D2B1F3D">
            <w:pPr>
              <w:spacing w:before="68"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2.42</w:t>
            </w:r>
          </w:p>
        </w:tc>
      </w:tr>
      <w:tr w14:paraId="368D43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547EA185">
            <w:pPr>
              <w:spacing w:before="208" w:line="201" w:lineRule="auto"/>
              <w:ind w:left="315"/>
              <w:rPr>
                <w:rFonts w:ascii="Times New Roman" w:hAnsi="Times New Roman" w:eastAsia="Times New Roman" w:cs="Times New Roman"/>
                <w:sz w:val="20"/>
                <w:szCs w:val="20"/>
              </w:rPr>
            </w:pPr>
            <w:r>
              <w:rPr>
                <w:rFonts w:ascii="Times New Roman" w:hAnsi="Times New Roman" w:eastAsia="Times New Roman" w:cs="Times New Roman"/>
                <w:sz w:val="20"/>
                <w:szCs w:val="20"/>
              </w:rPr>
              <w:t>Cl</w:t>
            </w:r>
            <w:r>
              <w:rPr>
                <w:rFonts w:ascii="Times New Roman" w:hAnsi="Times New Roman" w:eastAsia="Times New Roman" w:cs="Times New Roman"/>
                <w:spacing w:val="5"/>
                <w:position w:val="6"/>
                <w:sz w:val="13"/>
                <w:szCs w:val="13"/>
              </w:rPr>
              <w:t>-</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23D006AF">
            <w:pPr>
              <w:pStyle w:val="6"/>
              <w:spacing w:before="35" w:line="214" w:lineRule="auto"/>
              <w:ind w:left="200"/>
              <w:rPr>
                <w:sz w:val="20"/>
                <w:szCs w:val="20"/>
              </w:rPr>
            </w:pPr>
            <w:r>
              <w:rPr>
                <w:spacing w:val="7"/>
                <w:sz w:val="20"/>
                <w:szCs w:val="20"/>
              </w:rPr>
              <w:t>监测结果</w:t>
            </w:r>
          </w:p>
        </w:tc>
        <w:tc>
          <w:tcPr>
            <w:tcW w:w="944" w:type="dxa"/>
            <w:vAlign w:val="top"/>
          </w:tcPr>
          <w:p w14:paraId="32D1E6F6">
            <w:pPr>
              <w:spacing w:before="70"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108</w:t>
            </w:r>
          </w:p>
        </w:tc>
        <w:tc>
          <w:tcPr>
            <w:tcW w:w="944" w:type="dxa"/>
            <w:vAlign w:val="top"/>
          </w:tcPr>
          <w:p w14:paraId="4155DE81">
            <w:pPr>
              <w:spacing w:before="70" w:line="195" w:lineRule="auto"/>
              <w:ind w:left="31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245</w:t>
            </w:r>
          </w:p>
        </w:tc>
        <w:tc>
          <w:tcPr>
            <w:tcW w:w="944" w:type="dxa"/>
            <w:vAlign w:val="top"/>
          </w:tcPr>
          <w:p w14:paraId="7F0D456A">
            <w:pPr>
              <w:spacing w:before="70" w:line="195"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248</w:t>
            </w:r>
          </w:p>
        </w:tc>
        <w:tc>
          <w:tcPr>
            <w:tcW w:w="944" w:type="dxa"/>
            <w:vAlign w:val="top"/>
          </w:tcPr>
          <w:p w14:paraId="4292DE5A">
            <w:pPr>
              <w:spacing w:before="70" w:line="195"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240</w:t>
            </w:r>
          </w:p>
        </w:tc>
        <w:tc>
          <w:tcPr>
            <w:tcW w:w="944" w:type="dxa"/>
            <w:vAlign w:val="top"/>
          </w:tcPr>
          <w:p w14:paraId="36C33E44">
            <w:pPr>
              <w:spacing w:before="70"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532</w:t>
            </w:r>
          </w:p>
        </w:tc>
        <w:tc>
          <w:tcPr>
            <w:tcW w:w="943" w:type="dxa"/>
            <w:vAlign w:val="top"/>
          </w:tcPr>
          <w:p w14:paraId="53BEE2E1">
            <w:pPr>
              <w:spacing w:before="70" w:line="195"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254</w:t>
            </w:r>
          </w:p>
        </w:tc>
        <w:tc>
          <w:tcPr>
            <w:tcW w:w="943" w:type="dxa"/>
            <w:tcBorders>
              <w:right w:val="nil"/>
            </w:tcBorders>
            <w:vAlign w:val="top"/>
          </w:tcPr>
          <w:p w14:paraId="63DF75BF">
            <w:pPr>
              <w:spacing w:before="70" w:line="195" w:lineRule="auto"/>
              <w:ind w:left="31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231</w:t>
            </w:r>
          </w:p>
        </w:tc>
      </w:tr>
      <w:tr w14:paraId="5457D6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770F13E9">
            <w:pPr>
              <w:rPr>
                <w:rFonts w:ascii="Arial"/>
                <w:sz w:val="21"/>
              </w:rPr>
            </w:pPr>
          </w:p>
        </w:tc>
        <w:tc>
          <w:tcPr>
            <w:tcW w:w="1227" w:type="dxa"/>
            <w:vAlign w:val="top"/>
          </w:tcPr>
          <w:p w14:paraId="56A67C3A">
            <w:pPr>
              <w:pStyle w:val="6"/>
              <w:spacing w:before="36" w:line="212" w:lineRule="auto"/>
              <w:ind w:left="198"/>
              <w:rPr>
                <w:sz w:val="20"/>
                <w:szCs w:val="20"/>
              </w:rPr>
            </w:pPr>
            <w:r>
              <w:rPr>
                <w:spacing w:val="7"/>
                <w:sz w:val="20"/>
                <w:szCs w:val="20"/>
              </w:rPr>
              <w:t>评价结果</w:t>
            </w:r>
          </w:p>
        </w:tc>
        <w:tc>
          <w:tcPr>
            <w:tcW w:w="944" w:type="dxa"/>
            <w:vAlign w:val="top"/>
          </w:tcPr>
          <w:p w14:paraId="31B2CC72">
            <w:pPr>
              <w:spacing w:before="72"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0.432</w:t>
            </w:r>
          </w:p>
        </w:tc>
        <w:tc>
          <w:tcPr>
            <w:tcW w:w="944" w:type="dxa"/>
            <w:vAlign w:val="top"/>
          </w:tcPr>
          <w:p w14:paraId="53CF090A">
            <w:pPr>
              <w:spacing w:before="72" w:line="195"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1.18</w:t>
            </w:r>
          </w:p>
        </w:tc>
        <w:tc>
          <w:tcPr>
            <w:tcW w:w="944" w:type="dxa"/>
            <w:vAlign w:val="top"/>
          </w:tcPr>
          <w:p w14:paraId="685EF1A8">
            <w:pPr>
              <w:spacing w:before="72" w:line="195" w:lineRule="auto"/>
              <w:ind w:left="2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2.592</w:t>
            </w:r>
          </w:p>
        </w:tc>
        <w:tc>
          <w:tcPr>
            <w:tcW w:w="944" w:type="dxa"/>
            <w:vAlign w:val="top"/>
          </w:tcPr>
          <w:p w14:paraId="0F38890D">
            <w:pPr>
              <w:spacing w:before="72" w:line="195" w:lineRule="auto"/>
              <w:ind w:left="440"/>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944" w:type="dxa"/>
            <w:vAlign w:val="top"/>
          </w:tcPr>
          <w:p w14:paraId="6DBB1FE8">
            <w:pPr>
              <w:spacing w:before="72" w:line="195"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2.128</w:t>
            </w:r>
          </w:p>
        </w:tc>
        <w:tc>
          <w:tcPr>
            <w:tcW w:w="943" w:type="dxa"/>
            <w:vAlign w:val="top"/>
          </w:tcPr>
          <w:p w14:paraId="0CA12FF7">
            <w:pPr>
              <w:spacing w:before="72" w:line="195" w:lineRule="auto"/>
              <w:ind w:left="2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2.216</w:t>
            </w:r>
          </w:p>
        </w:tc>
        <w:tc>
          <w:tcPr>
            <w:tcW w:w="943" w:type="dxa"/>
            <w:tcBorders>
              <w:right w:val="nil"/>
            </w:tcBorders>
            <w:vAlign w:val="top"/>
          </w:tcPr>
          <w:p w14:paraId="389D2276">
            <w:pPr>
              <w:spacing w:before="72" w:line="195" w:lineRule="auto"/>
              <w:ind w:left="2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0.924</w:t>
            </w:r>
          </w:p>
        </w:tc>
      </w:tr>
      <w:tr w14:paraId="3E5228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restart"/>
            <w:tcBorders>
              <w:left w:val="nil"/>
              <w:bottom w:val="nil"/>
            </w:tcBorders>
            <w:vAlign w:val="top"/>
          </w:tcPr>
          <w:p w14:paraId="5572435B">
            <w:pPr>
              <w:pStyle w:val="6"/>
              <w:spacing w:before="55" w:line="241" w:lineRule="auto"/>
              <w:ind w:left="438" w:right="307" w:hanging="123"/>
              <w:rPr>
                <w:rFonts w:ascii="Times New Roman" w:hAnsi="Times New Roman" w:eastAsia="Times New Roman" w:cs="Times New Roman"/>
                <w:sz w:val="20"/>
                <w:szCs w:val="20"/>
              </w:rPr>
            </w:pPr>
            <w:r>
              <w:rPr>
                <w:spacing w:val="6"/>
                <w:sz w:val="20"/>
                <w:szCs w:val="20"/>
              </w:rPr>
              <w:t>硝酸盐氮</w:t>
            </w:r>
            <w:r>
              <w:rPr>
                <w:spacing w:val="2"/>
                <w:sz w:val="20"/>
                <w:szCs w:val="20"/>
              </w:rPr>
              <w:t xml:space="preserve"> </w:t>
            </w:r>
            <w:r>
              <w:rPr>
                <w:rFonts w:ascii="Times New Roman" w:hAnsi="Times New Roman" w:eastAsia="Times New Roman" w:cs="Times New Roman"/>
                <w:spacing w:val="3"/>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3"/>
                <w:sz w:val="20"/>
                <w:szCs w:val="20"/>
              </w:rPr>
              <w:t>/L)</w:t>
            </w:r>
          </w:p>
        </w:tc>
        <w:tc>
          <w:tcPr>
            <w:tcW w:w="1227" w:type="dxa"/>
            <w:vAlign w:val="top"/>
          </w:tcPr>
          <w:p w14:paraId="111F15E7">
            <w:pPr>
              <w:pStyle w:val="6"/>
              <w:spacing w:before="36" w:line="212" w:lineRule="auto"/>
              <w:ind w:left="200"/>
              <w:rPr>
                <w:sz w:val="20"/>
                <w:szCs w:val="20"/>
              </w:rPr>
            </w:pPr>
            <w:r>
              <w:rPr>
                <w:spacing w:val="7"/>
                <w:sz w:val="20"/>
                <w:szCs w:val="20"/>
              </w:rPr>
              <w:t>监测结果</w:t>
            </w:r>
          </w:p>
        </w:tc>
        <w:tc>
          <w:tcPr>
            <w:tcW w:w="944" w:type="dxa"/>
            <w:vAlign w:val="top"/>
          </w:tcPr>
          <w:p w14:paraId="75D15E0D">
            <w:pPr>
              <w:spacing w:before="71" w:line="195" w:lineRule="auto"/>
              <w:ind w:left="3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10.4</w:t>
            </w:r>
          </w:p>
        </w:tc>
        <w:tc>
          <w:tcPr>
            <w:tcW w:w="944" w:type="dxa"/>
            <w:vAlign w:val="top"/>
          </w:tcPr>
          <w:p w14:paraId="0B5815C1">
            <w:pPr>
              <w:spacing w:before="71"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2.47</w:t>
            </w:r>
          </w:p>
        </w:tc>
        <w:tc>
          <w:tcPr>
            <w:tcW w:w="944" w:type="dxa"/>
            <w:vAlign w:val="top"/>
          </w:tcPr>
          <w:p w14:paraId="3E03EA56">
            <w:pPr>
              <w:spacing w:before="71"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2.43</w:t>
            </w:r>
          </w:p>
        </w:tc>
        <w:tc>
          <w:tcPr>
            <w:tcW w:w="944" w:type="dxa"/>
            <w:vAlign w:val="top"/>
          </w:tcPr>
          <w:p w14:paraId="200B57A3">
            <w:pPr>
              <w:spacing w:before="71"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7.94</w:t>
            </w:r>
          </w:p>
        </w:tc>
        <w:tc>
          <w:tcPr>
            <w:tcW w:w="944" w:type="dxa"/>
            <w:vAlign w:val="top"/>
          </w:tcPr>
          <w:p w14:paraId="0F2E2EBC">
            <w:pPr>
              <w:spacing w:before="71" w:line="195"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12.5</w:t>
            </w:r>
          </w:p>
        </w:tc>
        <w:tc>
          <w:tcPr>
            <w:tcW w:w="943" w:type="dxa"/>
            <w:vAlign w:val="top"/>
          </w:tcPr>
          <w:p w14:paraId="389DC60A">
            <w:pPr>
              <w:spacing w:before="71"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7.02</w:t>
            </w:r>
          </w:p>
        </w:tc>
        <w:tc>
          <w:tcPr>
            <w:tcW w:w="943" w:type="dxa"/>
            <w:tcBorders>
              <w:right w:val="nil"/>
            </w:tcBorders>
            <w:vAlign w:val="top"/>
          </w:tcPr>
          <w:p w14:paraId="4E0BB00E">
            <w:pPr>
              <w:spacing w:before="71" w:line="195"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5.78</w:t>
            </w:r>
          </w:p>
        </w:tc>
      </w:tr>
      <w:tr w14:paraId="106055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1DB153D1">
            <w:pPr>
              <w:rPr>
                <w:rFonts w:ascii="Arial"/>
                <w:sz w:val="21"/>
              </w:rPr>
            </w:pPr>
          </w:p>
        </w:tc>
        <w:tc>
          <w:tcPr>
            <w:tcW w:w="1227" w:type="dxa"/>
            <w:vAlign w:val="top"/>
          </w:tcPr>
          <w:p w14:paraId="1C07EB75">
            <w:pPr>
              <w:pStyle w:val="6"/>
              <w:spacing w:before="38" w:line="211" w:lineRule="auto"/>
              <w:ind w:left="198"/>
              <w:rPr>
                <w:sz w:val="20"/>
                <w:szCs w:val="20"/>
              </w:rPr>
            </w:pPr>
            <w:r>
              <w:rPr>
                <w:spacing w:val="7"/>
                <w:sz w:val="20"/>
                <w:szCs w:val="20"/>
              </w:rPr>
              <w:t>评价结果</w:t>
            </w:r>
          </w:p>
        </w:tc>
        <w:tc>
          <w:tcPr>
            <w:tcW w:w="944" w:type="dxa"/>
            <w:vAlign w:val="top"/>
          </w:tcPr>
          <w:p w14:paraId="46D9AED9">
            <w:pPr>
              <w:spacing w:before="74"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0.52</w:t>
            </w:r>
          </w:p>
        </w:tc>
        <w:tc>
          <w:tcPr>
            <w:tcW w:w="944" w:type="dxa"/>
            <w:vAlign w:val="top"/>
          </w:tcPr>
          <w:p w14:paraId="460E4F13">
            <w:pPr>
              <w:spacing w:before="74" w:line="195"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944" w:type="dxa"/>
            <w:vAlign w:val="top"/>
          </w:tcPr>
          <w:p w14:paraId="2C818FC7">
            <w:pPr>
              <w:spacing w:before="74"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944" w:type="dxa"/>
            <w:vAlign w:val="top"/>
          </w:tcPr>
          <w:p w14:paraId="3EBA4C9C">
            <w:pPr>
              <w:spacing w:before="74"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0.40</w:t>
            </w:r>
          </w:p>
        </w:tc>
        <w:tc>
          <w:tcPr>
            <w:tcW w:w="944" w:type="dxa"/>
            <w:vAlign w:val="top"/>
          </w:tcPr>
          <w:p w14:paraId="3F6A8918">
            <w:pPr>
              <w:spacing w:before="74" w:line="195"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0.63</w:t>
            </w:r>
          </w:p>
        </w:tc>
        <w:tc>
          <w:tcPr>
            <w:tcW w:w="943" w:type="dxa"/>
            <w:vAlign w:val="top"/>
          </w:tcPr>
          <w:p w14:paraId="00E93549">
            <w:pPr>
              <w:spacing w:before="74"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0.35</w:t>
            </w:r>
          </w:p>
        </w:tc>
        <w:tc>
          <w:tcPr>
            <w:tcW w:w="943" w:type="dxa"/>
            <w:tcBorders>
              <w:right w:val="nil"/>
            </w:tcBorders>
            <w:vAlign w:val="top"/>
          </w:tcPr>
          <w:p w14:paraId="2C2BD7A5">
            <w:pPr>
              <w:spacing w:before="74"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0.29</w:t>
            </w:r>
          </w:p>
        </w:tc>
      </w:tr>
      <w:tr w14:paraId="2568C2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restart"/>
            <w:tcBorders>
              <w:left w:val="nil"/>
              <w:bottom w:val="nil"/>
            </w:tcBorders>
            <w:vAlign w:val="top"/>
          </w:tcPr>
          <w:p w14:paraId="5936D863">
            <w:pPr>
              <w:spacing w:before="197" w:line="215" w:lineRule="auto"/>
              <w:ind w:left="217"/>
              <w:rPr>
                <w:rFonts w:ascii="Times New Roman" w:hAnsi="Times New Roman" w:eastAsia="Times New Roman" w:cs="Times New Roman"/>
                <w:sz w:val="20"/>
                <w:szCs w:val="20"/>
              </w:rPr>
            </w:pPr>
            <w:r>
              <w:rPr>
                <w:rFonts w:ascii="Times New Roman" w:hAnsi="Times New Roman" w:eastAsia="Times New Roman" w:cs="Times New Roman"/>
                <w:sz w:val="20"/>
                <w:szCs w:val="20"/>
              </w:rPr>
              <w:t>SO</w:t>
            </w:r>
            <w:r>
              <w:rPr>
                <w:rFonts w:ascii="Times New Roman" w:hAnsi="Times New Roman" w:eastAsia="Times New Roman" w:cs="Times New Roman"/>
                <w:spacing w:val="4"/>
                <w:position w:val="-1"/>
                <w:sz w:val="13"/>
                <w:szCs w:val="13"/>
              </w:rPr>
              <w:t>4</w:t>
            </w:r>
            <w:r>
              <w:rPr>
                <w:rFonts w:ascii="Times New Roman" w:hAnsi="Times New Roman" w:eastAsia="Times New Roman" w:cs="Times New Roman"/>
                <w:spacing w:val="4"/>
                <w:position w:val="6"/>
                <w:sz w:val="13"/>
                <w:szCs w:val="13"/>
              </w:rPr>
              <w:t>2-</w:t>
            </w:r>
            <w:r>
              <w:rPr>
                <w:rFonts w:ascii="Times New Roman" w:hAnsi="Times New Roman" w:eastAsia="Times New Roman" w:cs="Times New Roman"/>
                <w:spacing w:val="4"/>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4"/>
                <w:sz w:val="20"/>
                <w:szCs w:val="20"/>
              </w:rPr>
              <w:t>/L)</w:t>
            </w:r>
          </w:p>
        </w:tc>
        <w:tc>
          <w:tcPr>
            <w:tcW w:w="1227" w:type="dxa"/>
            <w:vAlign w:val="top"/>
          </w:tcPr>
          <w:p w14:paraId="4C21C1DC">
            <w:pPr>
              <w:pStyle w:val="6"/>
              <w:spacing w:before="39" w:line="209" w:lineRule="auto"/>
              <w:ind w:left="200"/>
              <w:rPr>
                <w:sz w:val="20"/>
                <w:szCs w:val="20"/>
              </w:rPr>
            </w:pPr>
            <w:r>
              <w:rPr>
                <w:spacing w:val="7"/>
                <w:sz w:val="20"/>
                <w:szCs w:val="20"/>
              </w:rPr>
              <w:t>监测结果</w:t>
            </w:r>
          </w:p>
        </w:tc>
        <w:tc>
          <w:tcPr>
            <w:tcW w:w="944" w:type="dxa"/>
            <w:vAlign w:val="top"/>
          </w:tcPr>
          <w:p w14:paraId="2778D334">
            <w:pPr>
              <w:spacing w:before="75"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127</w:t>
            </w:r>
          </w:p>
        </w:tc>
        <w:tc>
          <w:tcPr>
            <w:tcW w:w="944" w:type="dxa"/>
            <w:vAlign w:val="top"/>
          </w:tcPr>
          <w:p w14:paraId="283CD882">
            <w:pPr>
              <w:spacing w:before="75" w:line="195" w:lineRule="auto"/>
              <w:ind w:left="32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363</w:t>
            </w:r>
          </w:p>
        </w:tc>
        <w:tc>
          <w:tcPr>
            <w:tcW w:w="944" w:type="dxa"/>
            <w:vAlign w:val="top"/>
          </w:tcPr>
          <w:p w14:paraId="4AF3D1B2">
            <w:pPr>
              <w:spacing w:before="75" w:line="195" w:lineRule="auto"/>
              <w:ind w:left="28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1129</w:t>
            </w:r>
          </w:p>
        </w:tc>
        <w:tc>
          <w:tcPr>
            <w:tcW w:w="944" w:type="dxa"/>
            <w:vAlign w:val="top"/>
          </w:tcPr>
          <w:p w14:paraId="6780D195">
            <w:pPr>
              <w:spacing w:before="75" w:line="195" w:lineRule="auto"/>
              <w:ind w:left="3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377</w:t>
            </w:r>
          </w:p>
        </w:tc>
        <w:tc>
          <w:tcPr>
            <w:tcW w:w="944" w:type="dxa"/>
            <w:vAlign w:val="top"/>
          </w:tcPr>
          <w:p w14:paraId="3C0F2EC4">
            <w:pPr>
              <w:spacing w:before="75" w:line="195" w:lineRule="auto"/>
              <w:ind w:left="32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679</w:t>
            </w:r>
          </w:p>
        </w:tc>
        <w:tc>
          <w:tcPr>
            <w:tcW w:w="943" w:type="dxa"/>
            <w:vAlign w:val="top"/>
          </w:tcPr>
          <w:p w14:paraId="4C15AC9C">
            <w:pPr>
              <w:spacing w:before="75" w:line="195"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1526</w:t>
            </w:r>
          </w:p>
        </w:tc>
        <w:tc>
          <w:tcPr>
            <w:tcW w:w="943" w:type="dxa"/>
            <w:tcBorders>
              <w:right w:val="nil"/>
            </w:tcBorders>
            <w:vAlign w:val="top"/>
          </w:tcPr>
          <w:p w14:paraId="41069129">
            <w:pPr>
              <w:spacing w:before="75" w:line="195" w:lineRule="auto"/>
              <w:ind w:left="32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380</w:t>
            </w:r>
          </w:p>
        </w:tc>
      </w:tr>
      <w:tr w14:paraId="67BF1E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5E7BFB77">
            <w:pPr>
              <w:rPr>
                <w:rFonts w:ascii="Arial"/>
                <w:sz w:val="21"/>
              </w:rPr>
            </w:pPr>
          </w:p>
        </w:tc>
        <w:tc>
          <w:tcPr>
            <w:tcW w:w="1227" w:type="dxa"/>
            <w:vAlign w:val="top"/>
          </w:tcPr>
          <w:p w14:paraId="73083CFB">
            <w:pPr>
              <w:pStyle w:val="6"/>
              <w:spacing w:before="39" w:line="209" w:lineRule="auto"/>
              <w:ind w:left="198"/>
              <w:rPr>
                <w:sz w:val="20"/>
                <w:szCs w:val="20"/>
              </w:rPr>
            </w:pPr>
            <w:r>
              <w:rPr>
                <w:spacing w:val="7"/>
                <w:sz w:val="20"/>
                <w:szCs w:val="20"/>
              </w:rPr>
              <w:t>评价结果</w:t>
            </w:r>
          </w:p>
        </w:tc>
        <w:tc>
          <w:tcPr>
            <w:tcW w:w="944" w:type="dxa"/>
            <w:vAlign w:val="top"/>
          </w:tcPr>
          <w:p w14:paraId="131CF72F">
            <w:pPr>
              <w:spacing w:before="75"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0.508</w:t>
            </w:r>
          </w:p>
        </w:tc>
        <w:tc>
          <w:tcPr>
            <w:tcW w:w="944" w:type="dxa"/>
            <w:vAlign w:val="top"/>
          </w:tcPr>
          <w:p w14:paraId="6B9344D9">
            <w:pPr>
              <w:spacing w:before="75" w:line="195"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1.452</w:t>
            </w:r>
          </w:p>
        </w:tc>
        <w:tc>
          <w:tcPr>
            <w:tcW w:w="944" w:type="dxa"/>
            <w:vAlign w:val="top"/>
          </w:tcPr>
          <w:p w14:paraId="1AC06ABB">
            <w:pPr>
              <w:spacing w:before="75" w:line="195" w:lineRule="auto"/>
              <w:ind w:left="23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4.516</w:t>
            </w:r>
          </w:p>
        </w:tc>
        <w:tc>
          <w:tcPr>
            <w:tcW w:w="944" w:type="dxa"/>
            <w:vAlign w:val="top"/>
          </w:tcPr>
          <w:p w14:paraId="34D31703">
            <w:pPr>
              <w:spacing w:before="75"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1.508</w:t>
            </w:r>
          </w:p>
        </w:tc>
        <w:tc>
          <w:tcPr>
            <w:tcW w:w="944" w:type="dxa"/>
            <w:vAlign w:val="top"/>
          </w:tcPr>
          <w:p w14:paraId="3A89CC1C">
            <w:pPr>
              <w:spacing w:before="75" w:line="195"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2.716</w:t>
            </w:r>
          </w:p>
        </w:tc>
        <w:tc>
          <w:tcPr>
            <w:tcW w:w="943" w:type="dxa"/>
            <w:vAlign w:val="top"/>
          </w:tcPr>
          <w:p w14:paraId="11EE8FE1">
            <w:pPr>
              <w:spacing w:before="75" w:line="195" w:lineRule="auto"/>
              <w:ind w:left="2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6.104</w:t>
            </w:r>
          </w:p>
        </w:tc>
        <w:tc>
          <w:tcPr>
            <w:tcW w:w="943" w:type="dxa"/>
            <w:tcBorders>
              <w:right w:val="nil"/>
            </w:tcBorders>
            <w:vAlign w:val="top"/>
          </w:tcPr>
          <w:p w14:paraId="789C53FC">
            <w:pPr>
              <w:spacing w:before="75" w:line="195"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1.52</w:t>
            </w:r>
          </w:p>
        </w:tc>
      </w:tr>
      <w:tr w14:paraId="434FBC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282E4037">
            <w:pPr>
              <w:pStyle w:val="6"/>
              <w:spacing w:before="180" w:line="221" w:lineRule="auto"/>
              <w:ind w:left="123"/>
              <w:rPr>
                <w:rFonts w:ascii="Times New Roman" w:hAnsi="Times New Roman" w:eastAsia="Times New Roman" w:cs="Times New Roman"/>
                <w:sz w:val="20"/>
                <w:szCs w:val="20"/>
              </w:rPr>
            </w:pPr>
            <w:r>
              <w:rPr>
                <w:spacing w:val="6"/>
                <w:sz w:val="20"/>
                <w:szCs w:val="20"/>
              </w:rPr>
              <w:t>六价铬</w:t>
            </w:r>
            <w:r>
              <w:rPr>
                <w:rFonts w:ascii="Times New Roman" w:hAnsi="Times New Roman" w:eastAsia="Times New Roman" w:cs="Times New Roman"/>
                <w:spacing w:val="6"/>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6"/>
                <w:sz w:val="20"/>
                <w:szCs w:val="20"/>
              </w:rPr>
              <w:t>/L)</w:t>
            </w:r>
          </w:p>
        </w:tc>
        <w:tc>
          <w:tcPr>
            <w:tcW w:w="1227" w:type="dxa"/>
            <w:vAlign w:val="top"/>
          </w:tcPr>
          <w:p w14:paraId="467A2B6B">
            <w:pPr>
              <w:pStyle w:val="6"/>
              <w:spacing w:before="41" w:line="208" w:lineRule="auto"/>
              <w:ind w:left="200"/>
              <w:rPr>
                <w:sz w:val="20"/>
                <w:szCs w:val="20"/>
              </w:rPr>
            </w:pPr>
            <w:r>
              <w:rPr>
                <w:spacing w:val="7"/>
                <w:sz w:val="20"/>
                <w:szCs w:val="20"/>
              </w:rPr>
              <w:t>监测结果</w:t>
            </w:r>
          </w:p>
        </w:tc>
        <w:tc>
          <w:tcPr>
            <w:tcW w:w="944" w:type="dxa"/>
            <w:vAlign w:val="top"/>
          </w:tcPr>
          <w:p w14:paraId="614D556C">
            <w:pPr>
              <w:spacing w:before="77" w:line="195" w:lineRule="auto"/>
              <w:ind w:left="1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0.004L</w:t>
            </w:r>
          </w:p>
        </w:tc>
        <w:tc>
          <w:tcPr>
            <w:tcW w:w="944" w:type="dxa"/>
            <w:vAlign w:val="top"/>
          </w:tcPr>
          <w:p w14:paraId="497C1C15">
            <w:pPr>
              <w:spacing w:before="77"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0.004L</w:t>
            </w:r>
          </w:p>
        </w:tc>
        <w:tc>
          <w:tcPr>
            <w:tcW w:w="944" w:type="dxa"/>
            <w:vAlign w:val="top"/>
          </w:tcPr>
          <w:p w14:paraId="71C08F99">
            <w:pPr>
              <w:spacing w:before="77"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0.004L</w:t>
            </w:r>
          </w:p>
        </w:tc>
        <w:tc>
          <w:tcPr>
            <w:tcW w:w="944" w:type="dxa"/>
            <w:vAlign w:val="top"/>
          </w:tcPr>
          <w:p w14:paraId="4868D44B">
            <w:pPr>
              <w:spacing w:before="77" w:line="195" w:lineRule="auto"/>
              <w:ind w:left="1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0.004L</w:t>
            </w:r>
          </w:p>
        </w:tc>
        <w:tc>
          <w:tcPr>
            <w:tcW w:w="944" w:type="dxa"/>
            <w:vAlign w:val="top"/>
          </w:tcPr>
          <w:p w14:paraId="047A05D1">
            <w:pPr>
              <w:spacing w:before="77"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0.004L</w:t>
            </w:r>
          </w:p>
        </w:tc>
        <w:tc>
          <w:tcPr>
            <w:tcW w:w="943" w:type="dxa"/>
            <w:vAlign w:val="top"/>
          </w:tcPr>
          <w:p w14:paraId="1B89C696">
            <w:pPr>
              <w:spacing w:before="77"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0.004L</w:t>
            </w:r>
          </w:p>
        </w:tc>
        <w:tc>
          <w:tcPr>
            <w:tcW w:w="943" w:type="dxa"/>
            <w:tcBorders>
              <w:right w:val="nil"/>
            </w:tcBorders>
            <w:vAlign w:val="top"/>
          </w:tcPr>
          <w:p w14:paraId="722C8F2E">
            <w:pPr>
              <w:spacing w:before="77"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0.004L</w:t>
            </w:r>
          </w:p>
        </w:tc>
      </w:tr>
      <w:tr w14:paraId="15ECCA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5F520755">
            <w:pPr>
              <w:rPr>
                <w:rFonts w:ascii="Arial"/>
                <w:sz w:val="21"/>
              </w:rPr>
            </w:pPr>
          </w:p>
        </w:tc>
        <w:tc>
          <w:tcPr>
            <w:tcW w:w="1227" w:type="dxa"/>
            <w:vAlign w:val="top"/>
          </w:tcPr>
          <w:p w14:paraId="39261DD0">
            <w:pPr>
              <w:pStyle w:val="6"/>
              <w:spacing w:before="40" w:line="208" w:lineRule="auto"/>
              <w:ind w:left="198"/>
              <w:rPr>
                <w:sz w:val="20"/>
                <w:szCs w:val="20"/>
              </w:rPr>
            </w:pPr>
            <w:r>
              <w:rPr>
                <w:spacing w:val="7"/>
                <w:sz w:val="20"/>
                <w:szCs w:val="20"/>
              </w:rPr>
              <w:t>评价结果</w:t>
            </w:r>
          </w:p>
        </w:tc>
        <w:tc>
          <w:tcPr>
            <w:tcW w:w="944" w:type="dxa"/>
            <w:vAlign w:val="top"/>
          </w:tcPr>
          <w:p w14:paraId="17840086">
            <w:pPr>
              <w:spacing w:before="72"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D188829">
            <w:pPr>
              <w:spacing w:before="72"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CC7A7F5">
            <w:pPr>
              <w:spacing w:before="72"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572FF48">
            <w:pPr>
              <w:spacing w:before="72"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E6BDA0A">
            <w:pPr>
              <w:spacing w:before="72"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13D47DEB">
            <w:pPr>
              <w:spacing w:before="72" w:line="19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68890B04">
            <w:pPr>
              <w:spacing w:before="72"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0B101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190A3F9E">
            <w:pPr>
              <w:pStyle w:val="6"/>
              <w:spacing w:before="42" w:line="228" w:lineRule="auto"/>
              <w:ind w:left="215"/>
              <w:rPr>
                <w:sz w:val="20"/>
                <w:szCs w:val="20"/>
              </w:rPr>
            </w:pPr>
            <w:r>
              <w:rPr>
                <w:spacing w:val="7"/>
                <w:sz w:val="20"/>
                <w:szCs w:val="20"/>
              </w:rPr>
              <w:t>高锰酸盐指</w:t>
            </w:r>
          </w:p>
          <w:p w14:paraId="6F69AA61">
            <w:pPr>
              <w:pStyle w:val="6"/>
              <w:spacing w:before="24" w:line="228" w:lineRule="auto"/>
              <w:ind w:right="11"/>
              <w:jc w:val="right"/>
              <w:rPr>
                <w:sz w:val="20"/>
                <w:szCs w:val="20"/>
              </w:rPr>
            </w:pPr>
            <w:r>
              <w:rPr>
                <w:spacing w:val="1"/>
                <w:sz w:val="20"/>
                <w:szCs w:val="20"/>
              </w:rPr>
              <w:t>数（以</w:t>
            </w:r>
            <w:r>
              <w:rPr>
                <w:spacing w:val="-40"/>
                <w:sz w:val="20"/>
                <w:szCs w:val="20"/>
              </w:rPr>
              <w:t xml:space="preserve"> </w:t>
            </w:r>
            <w:r>
              <w:rPr>
                <w:rFonts w:ascii="Times New Roman" w:hAnsi="Times New Roman" w:eastAsia="Times New Roman" w:cs="Times New Roman"/>
                <w:spacing w:val="1"/>
                <w:sz w:val="20"/>
                <w:szCs w:val="20"/>
              </w:rPr>
              <w:t>O</w:t>
            </w:r>
            <w:r>
              <w:rPr>
                <w:rFonts w:ascii="Times New Roman" w:hAnsi="Times New Roman" w:eastAsia="Times New Roman" w:cs="Times New Roman"/>
                <w:spacing w:val="1"/>
                <w:position w:val="-1"/>
                <w:sz w:val="13"/>
                <w:szCs w:val="13"/>
              </w:rPr>
              <w:t>2</w:t>
            </w:r>
            <w:r>
              <w:rPr>
                <w:rFonts w:ascii="Times New Roman" w:hAnsi="Times New Roman" w:eastAsia="Times New Roman" w:cs="Times New Roman"/>
                <w:spacing w:val="10"/>
                <w:w w:val="102"/>
                <w:position w:val="-1"/>
                <w:sz w:val="13"/>
                <w:szCs w:val="13"/>
              </w:rPr>
              <w:t xml:space="preserve"> </w:t>
            </w:r>
            <w:r>
              <w:rPr>
                <w:spacing w:val="1"/>
                <w:sz w:val="20"/>
                <w:szCs w:val="20"/>
              </w:rPr>
              <w:t>计）</w:t>
            </w:r>
          </w:p>
          <w:p w14:paraId="2757C705">
            <w:pPr>
              <w:spacing w:before="42" w:line="185"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3"/>
                <w:sz w:val="20"/>
                <w:szCs w:val="20"/>
              </w:rPr>
              <w:t>/L)</w:t>
            </w:r>
          </w:p>
        </w:tc>
        <w:tc>
          <w:tcPr>
            <w:tcW w:w="1227" w:type="dxa"/>
            <w:vAlign w:val="top"/>
          </w:tcPr>
          <w:p w14:paraId="7FE47E0D">
            <w:pPr>
              <w:pStyle w:val="6"/>
              <w:spacing w:before="42" w:line="207" w:lineRule="auto"/>
              <w:ind w:left="200"/>
              <w:rPr>
                <w:sz w:val="20"/>
                <w:szCs w:val="20"/>
              </w:rPr>
            </w:pPr>
            <w:r>
              <w:rPr>
                <w:spacing w:val="7"/>
                <w:sz w:val="20"/>
                <w:szCs w:val="20"/>
              </w:rPr>
              <w:t>监测结果</w:t>
            </w:r>
          </w:p>
        </w:tc>
        <w:tc>
          <w:tcPr>
            <w:tcW w:w="944" w:type="dxa"/>
            <w:vAlign w:val="top"/>
          </w:tcPr>
          <w:p w14:paraId="778204EA">
            <w:pPr>
              <w:spacing w:before="78" w:line="195" w:lineRule="auto"/>
              <w:ind w:left="3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1.19</w:t>
            </w:r>
          </w:p>
        </w:tc>
        <w:tc>
          <w:tcPr>
            <w:tcW w:w="944" w:type="dxa"/>
            <w:vAlign w:val="top"/>
          </w:tcPr>
          <w:p w14:paraId="62954664">
            <w:pPr>
              <w:spacing w:before="78" w:line="195"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1.06</w:t>
            </w:r>
          </w:p>
        </w:tc>
        <w:tc>
          <w:tcPr>
            <w:tcW w:w="944" w:type="dxa"/>
            <w:vAlign w:val="top"/>
          </w:tcPr>
          <w:p w14:paraId="4FC7EA0A">
            <w:pPr>
              <w:spacing w:before="78"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2.08</w:t>
            </w:r>
          </w:p>
        </w:tc>
        <w:tc>
          <w:tcPr>
            <w:tcW w:w="944" w:type="dxa"/>
            <w:vAlign w:val="top"/>
          </w:tcPr>
          <w:p w14:paraId="205B8B27">
            <w:pPr>
              <w:spacing w:before="78" w:line="195" w:lineRule="auto"/>
              <w:ind w:left="3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1.37</w:t>
            </w:r>
          </w:p>
        </w:tc>
        <w:tc>
          <w:tcPr>
            <w:tcW w:w="944" w:type="dxa"/>
            <w:vAlign w:val="top"/>
          </w:tcPr>
          <w:p w14:paraId="7CDFDC08">
            <w:pPr>
              <w:spacing w:before="78" w:line="195"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1.02</w:t>
            </w:r>
          </w:p>
        </w:tc>
        <w:tc>
          <w:tcPr>
            <w:tcW w:w="943" w:type="dxa"/>
            <w:vAlign w:val="top"/>
          </w:tcPr>
          <w:p w14:paraId="5E38492C">
            <w:pPr>
              <w:spacing w:before="78" w:line="195"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1.19</w:t>
            </w:r>
          </w:p>
        </w:tc>
        <w:tc>
          <w:tcPr>
            <w:tcW w:w="943" w:type="dxa"/>
            <w:tcBorders>
              <w:right w:val="nil"/>
            </w:tcBorders>
            <w:vAlign w:val="top"/>
          </w:tcPr>
          <w:p w14:paraId="01CBAB8E">
            <w:pPr>
              <w:spacing w:before="78"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2.05</w:t>
            </w:r>
          </w:p>
        </w:tc>
      </w:tr>
      <w:tr w14:paraId="0ABF23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8" w:hRule="atLeast"/>
        </w:trPr>
        <w:tc>
          <w:tcPr>
            <w:tcW w:w="1453" w:type="dxa"/>
            <w:vMerge w:val="continue"/>
            <w:tcBorders>
              <w:top w:val="nil"/>
              <w:left w:val="nil"/>
            </w:tcBorders>
            <w:vAlign w:val="top"/>
          </w:tcPr>
          <w:p w14:paraId="0B3F74C5">
            <w:pPr>
              <w:rPr>
                <w:rFonts w:ascii="Arial"/>
                <w:sz w:val="21"/>
              </w:rPr>
            </w:pPr>
          </w:p>
        </w:tc>
        <w:tc>
          <w:tcPr>
            <w:tcW w:w="1227" w:type="dxa"/>
            <w:vAlign w:val="top"/>
          </w:tcPr>
          <w:p w14:paraId="2532EEDD">
            <w:pPr>
              <w:pStyle w:val="6"/>
              <w:spacing w:before="159" w:line="226" w:lineRule="auto"/>
              <w:ind w:left="198"/>
              <w:rPr>
                <w:sz w:val="20"/>
                <w:szCs w:val="20"/>
              </w:rPr>
            </w:pPr>
            <w:r>
              <w:rPr>
                <w:spacing w:val="7"/>
                <w:sz w:val="20"/>
                <w:szCs w:val="20"/>
              </w:rPr>
              <w:t>评价结果</w:t>
            </w:r>
          </w:p>
        </w:tc>
        <w:tc>
          <w:tcPr>
            <w:tcW w:w="944" w:type="dxa"/>
            <w:vAlign w:val="top"/>
          </w:tcPr>
          <w:p w14:paraId="7C1CFE92">
            <w:pPr>
              <w:spacing w:before="194"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0.40</w:t>
            </w:r>
          </w:p>
        </w:tc>
        <w:tc>
          <w:tcPr>
            <w:tcW w:w="944" w:type="dxa"/>
            <w:vAlign w:val="top"/>
          </w:tcPr>
          <w:p w14:paraId="5336C4CB">
            <w:pPr>
              <w:spacing w:before="194" w:line="195"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0.35</w:t>
            </w:r>
          </w:p>
        </w:tc>
        <w:tc>
          <w:tcPr>
            <w:tcW w:w="944" w:type="dxa"/>
            <w:vAlign w:val="top"/>
          </w:tcPr>
          <w:p w14:paraId="50BF0B55">
            <w:pPr>
              <w:spacing w:before="194"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0.69</w:t>
            </w:r>
          </w:p>
        </w:tc>
        <w:tc>
          <w:tcPr>
            <w:tcW w:w="944" w:type="dxa"/>
            <w:vAlign w:val="top"/>
          </w:tcPr>
          <w:p w14:paraId="54001148">
            <w:pPr>
              <w:spacing w:before="194"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0.46</w:t>
            </w:r>
          </w:p>
        </w:tc>
        <w:tc>
          <w:tcPr>
            <w:tcW w:w="944" w:type="dxa"/>
            <w:vAlign w:val="top"/>
          </w:tcPr>
          <w:p w14:paraId="49AC0B76">
            <w:pPr>
              <w:spacing w:before="194" w:line="195"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0.34</w:t>
            </w:r>
          </w:p>
        </w:tc>
        <w:tc>
          <w:tcPr>
            <w:tcW w:w="943" w:type="dxa"/>
            <w:vAlign w:val="top"/>
          </w:tcPr>
          <w:p w14:paraId="2C0199FE">
            <w:pPr>
              <w:spacing w:before="194"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0.40</w:t>
            </w:r>
          </w:p>
        </w:tc>
        <w:tc>
          <w:tcPr>
            <w:tcW w:w="943" w:type="dxa"/>
            <w:tcBorders>
              <w:right w:val="nil"/>
            </w:tcBorders>
            <w:vAlign w:val="top"/>
          </w:tcPr>
          <w:p w14:paraId="3EF0AE74">
            <w:pPr>
              <w:spacing w:before="194"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0.68</w:t>
            </w:r>
          </w:p>
        </w:tc>
      </w:tr>
      <w:tr w14:paraId="6928EE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restart"/>
            <w:tcBorders>
              <w:left w:val="nil"/>
              <w:bottom w:val="nil"/>
            </w:tcBorders>
            <w:vAlign w:val="top"/>
          </w:tcPr>
          <w:p w14:paraId="25E2B1DE">
            <w:pPr>
              <w:pStyle w:val="6"/>
              <w:spacing w:before="63" w:line="228" w:lineRule="auto"/>
              <w:ind w:left="116"/>
              <w:rPr>
                <w:sz w:val="20"/>
                <w:szCs w:val="20"/>
              </w:rPr>
            </w:pPr>
            <w:r>
              <w:rPr>
                <w:spacing w:val="5"/>
                <w:sz w:val="20"/>
                <w:szCs w:val="20"/>
              </w:rPr>
              <w:t>氨（以</w:t>
            </w:r>
            <w:r>
              <w:rPr>
                <w:spacing w:val="-44"/>
                <w:sz w:val="20"/>
                <w:szCs w:val="20"/>
              </w:rPr>
              <w:t xml:space="preserve"> </w:t>
            </w:r>
            <w:r>
              <w:rPr>
                <w:rFonts w:ascii="Times New Roman" w:hAnsi="Times New Roman" w:eastAsia="Times New Roman" w:cs="Times New Roman"/>
                <w:spacing w:val="5"/>
                <w:sz w:val="20"/>
                <w:szCs w:val="20"/>
              </w:rPr>
              <w:t xml:space="preserve">N </w:t>
            </w:r>
            <w:r>
              <w:rPr>
                <w:spacing w:val="5"/>
                <w:sz w:val="20"/>
                <w:szCs w:val="20"/>
              </w:rPr>
              <w:t>计）</w:t>
            </w:r>
          </w:p>
          <w:p w14:paraId="78642B23">
            <w:pPr>
              <w:spacing w:before="41" w:line="201"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3"/>
                <w:sz w:val="20"/>
                <w:szCs w:val="20"/>
              </w:rPr>
              <w:t>/L)</w:t>
            </w:r>
          </w:p>
        </w:tc>
        <w:tc>
          <w:tcPr>
            <w:tcW w:w="1227" w:type="dxa"/>
            <w:vAlign w:val="top"/>
          </w:tcPr>
          <w:p w14:paraId="439EAD87">
            <w:pPr>
              <w:pStyle w:val="6"/>
              <w:spacing w:before="43" w:line="205" w:lineRule="auto"/>
              <w:ind w:left="200"/>
              <w:rPr>
                <w:sz w:val="20"/>
                <w:szCs w:val="20"/>
              </w:rPr>
            </w:pPr>
            <w:r>
              <w:rPr>
                <w:spacing w:val="7"/>
                <w:sz w:val="20"/>
                <w:szCs w:val="20"/>
              </w:rPr>
              <w:t>监测结果</w:t>
            </w:r>
          </w:p>
        </w:tc>
        <w:tc>
          <w:tcPr>
            <w:tcW w:w="944" w:type="dxa"/>
            <w:vAlign w:val="top"/>
          </w:tcPr>
          <w:p w14:paraId="13A17ADE">
            <w:pPr>
              <w:spacing w:before="80" w:line="194"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0.13</w:t>
            </w:r>
          </w:p>
        </w:tc>
        <w:tc>
          <w:tcPr>
            <w:tcW w:w="944" w:type="dxa"/>
            <w:vAlign w:val="top"/>
          </w:tcPr>
          <w:p w14:paraId="2DDE61E7">
            <w:pPr>
              <w:spacing w:before="80" w:line="194"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0.09</w:t>
            </w:r>
          </w:p>
        </w:tc>
        <w:tc>
          <w:tcPr>
            <w:tcW w:w="944" w:type="dxa"/>
            <w:vAlign w:val="top"/>
          </w:tcPr>
          <w:p w14:paraId="3A6F5EA5">
            <w:pPr>
              <w:spacing w:before="80" w:line="194"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0.73</w:t>
            </w:r>
          </w:p>
        </w:tc>
        <w:tc>
          <w:tcPr>
            <w:tcW w:w="944" w:type="dxa"/>
            <w:vAlign w:val="top"/>
          </w:tcPr>
          <w:p w14:paraId="64098BC0">
            <w:pPr>
              <w:spacing w:before="80" w:line="194"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w:t>
            </w:r>
          </w:p>
        </w:tc>
        <w:tc>
          <w:tcPr>
            <w:tcW w:w="944" w:type="dxa"/>
            <w:vAlign w:val="top"/>
          </w:tcPr>
          <w:p w14:paraId="24B2EC4F">
            <w:pPr>
              <w:spacing w:before="80" w:line="194"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5"/>
                <w:sz w:val="20"/>
                <w:szCs w:val="20"/>
              </w:rPr>
              <w:t>11</w:t>
            </w:r>
          </w:p>
        </w:tc>
        <w:tc>
          <w:tcPr>
            <w:tcW w:w="943" w:type="dxa"/>
            <w:vAlign w:val="top"/>
          </w:tcPr>
          <w:p w14:paraId="4FA97278">
            <w:pPr>
              <w:spacing w:before="80" w:line="194"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c>
          <w:tcPr>
            <w:tcW w:w="943" w:type="dxa"/>
            <w:tcBorders>
              <w:right w:val="nil"/>
            </w:tcBorders>
            <w:vAlign w:val="top"/>
          </w:tcPr>
          <w:p w14:paraId="1DCB6962">
            <w:pPr>
              <w:spacing w:before="80" w:line="194"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5"/>
                <w:sz w:val="20"/>
                <w:szCs w:val="20"/>
              </w:rPr>
              <w:t>11</w:t>
            </w:r>
          </w:p>
        </w:tc>
      </w:tr>
      <w:tr w14:paraId="76226A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77CABA66">
            <w:pPr>
              <w:rPr>
                <w:rFonts w:ascii="Arial"/>
                <w:sz w:val="21"/>
              </w:rPr>
            </w:pPr>
          </w:p>
        </w:tc>
        <w:tc>
          <w:tcPr>
            <w:tcW w:w="1227" w:type="dxa"/>
            <w:vAlign w:val="top"/>
          </w:tcPr>
          <w:p w14:paraId="6BD5EA64">
            <w:pPr>
              <w:pStyle w:val="6"/>
              <w:spacing w:before="46" w:line="204" w:lineRule="auto"/>
              <w:ind w:left="198"/>
              <w:rPr>
                <w:sz w:val="20"/>
                <w:szCs w:val="20"/>
              </w:rPr>
            </w:pPr>
            <w:r>
              <w:rPr>
                <w:spacing w:val="7"/>
                <w:sz w:val="20"/>
                <w:szCs w:val="20"/>
              </w:rPr>
              <w:t>评价结果</w:t>
            </w:r>
          </w:p>
        </w:tc>
        <w:tc>
          <w:tcPr>
            <w:tcW w:w="944" w:type="dxa"/>
            <w:vAlign w:val="top"/>
          </w:tcPr>
          <w:p w14:paraId="1232ACF9">
            <w:pPr>
              <w:spacing w:before="83" w:line="192"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0.26</w:t>
            </w:r>
          </w:p>
        </w:tc>
        <w:tc>
          <w:tcPr>
            <w:tcW w:w="944" w:type="dxa"/>
            <w:vAlign w:val="top"/>
          </w:tcPr>
          <w:p w14:paraId="6CBA79BC">
            <w:pPr>
              <w:spacing w:before="83" w:line="192"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0.18</w:t>
            </w:r>
          </w:p>
        </w:tc>
        <w:tc>
          <w:tcPr>
            <w:tcW w:w="944" w:type="dxa"/>
            <w:vAlign w:val="top"/>
          </w:tcPr>
          <w:p w14:paraId="5EE56A74">
            <w:pPr>
              <w:spacing w:before="83" w:line="192"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1.46</w:t>
            </w:r>
          </w:p>
        </w:tc>
        <w:tc>
          <w:tcPr>
            <w:tcW w:w="944" w:type="dxa"/>
            <w:vAlign w:val="top"/>
          </w:tcPr>
          <w:p w14:paraId="3D0EC5DF">
            <w:pPr>
              <w:spacing w:before="83" w:line="192" w:lineRule="auto"/>
              <w:ind w:left="344"/>
              <w:rPr>
                <w:rFonts w:ascii="Times New Roman" w:hAnsi="Times New Roman" w:eastAsia="Times New Roman" w:cs="Times New Roman"/>
                <w:sz w:val="20"/>
                <w:szCs w:val="20"/>
              </w:rPr>
            </w:pPr>
            <w:r>
              <w:rPr>
                <w:rFonts w:ascii="Times New Roman" w:hAnsi="Times New Roman" w:eastAsia="Times New Roman" w:cs="Times New Roman"/>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c>
          <w:tcPr>
            <w:tcW w:w="944" w:type="dxa"/>
            <w:vAlign w:val="top"/>
          </w:tcPr>
          <w:p w14:paraId="40E0084A">
            <w:pPr>
              <w:spacing w:before="83" w:line="192"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0.22</w:t>
            </w:r>
          </w:p>
        </w:tc>
        <w:tc>
          <w:tcPr>
            <w:tcW w:w="943" w:type="dxa"/>
            <w:vAlign w:val="top"/>
          </w:tcPr>
          <w:p w14:paraId="6949AA20">
            <w:pPr>
              <w:spacing w:before="83" w:line="192"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w:t>
            </w:r>
          </w:p>
        </w:tc>
        <w:tc>
          <w:tcPr>
            <w:tcW w:w="943" w:type="dxa"/>
            <w:tcBorders>
              <w:right w:val="nil"/>
            </w:tcBorders>
            <w:vAlign w:val="top"/>
          </w:tcPr>
          <w:p w14:paraId="2FB70575">
            <w:pPr>
              <w:spacing w:before="83" w:line="192"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0.22</w:t>
            </w:r>
          </w:p>
        </w:tc>
      </w:tr>
      <w:tr w14:paraId="0E3BF6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7F1DAEE3">
            <w:pPr>
              <w:pStyle w:val="6"/>
              <w:spacing w:before="50" w:line="230" w:lineRule="auto"/>
              <w:ind w:left="115" w:right="105" w:firstLine="2"/>
              <w:rPr>
                <w:rFonts w:ascii="Times New Roman" w:hAnsi="Times New Roman" w:eastAsia="Times New Roman" w:cs="Times New Roman"/>
                <w:sz w:val="20"/>
                <w:szCs w:val="20"/>
              </w:rPr>
            </w:pPr>
            <w:r>
              <w:rPr>
                <w:spacing w:val="4"/>
                <w:sz w:val="20"/>
                <w:szCs w:val="20"/>
              </w:rPr>
              <w:t>亚硝酸盐（以</w:t>
            </w:r>
            <w:r>
              <w:rPr>
                <w:spacing w:val="1"/>
                <w:sz w:val="20"/>
                <w:szCs w:val="20"/>
              </w:rPr>
              <w:t xml:space="preserve"> </w:t>
            </w:r>
            <w:r>
              <w:rPr>
                <w:rFonts w:ascii="Times New Roman" w:hAnsi="Times New Roman" w:eastAsia="Times New Roman" w:cs="Times New Roman"/>
                <w:spacing w:val="6"/>
                <w:sz w:val="20"/>
                <w:szCs w:val="20"/>
              </w:rPr>
              <w:t xml:space="preserve">N </w:t>
            </w:r>
            <w:r>
              <w:rPr>
                <w:spacing w:val="6"/>
                <w:sz w:val="20"/>
                <w:szCs w:val="20"/>
              </w:rPr>
              <w:t>计）</w:t>
            </w:r>
            <w:r>
              <w:rPr>
                <w:rFonts w:ascii="Times New Roman" w:hAnsi="Times New Roman" w:eastAsia="Times New Roman" w:cs="Times New Roman"/>
                <w:spacing w:val="6"/>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6"/>
                <w:sz w:val="20"/>
                <w:szCs w:val="20"/>
              </w:rPr>
              <w:t>/L)</w:t>
            </w:r>
          </w:p>
        </w:tc>
        <w:tc>
          <w:tcPr>
            <w:tcW w:w="1227" w:type="dxa"/>
            <w:vAlign w:val="top"/>
          </w:tcPr>
          <w:p w14:paraId="34E3E344">
            <w:pPr>
              <w:pStyle w:val="6"/>
              <w:spacing w:before="44" w:line="205" w:lineRule="auto"/>
              <w:ind w:left="200"/>
              <w:rPr>
                <w:sz w:val="20"/>
                <w:szCs w:val="20"/>
              </w:rPr>
            </w:pPr>
            <w:r>
              <w:rPr>
                <w:spacing w:val="7"/>
                <w:sz w:val="20"/>
                <w:szCs w:val="20"/>
              </w:rPr>
              <w:t>监测结果</w:t>
            </w:r>
          </w:p>
        </w:tc>
        <w:tc>
          <w:tcPr>
            <w:tcW w:w="944" w:type="dxa"/>
            <w:vAlign w:val="top"/>
          </w:tcPr>
          <w:p w14:paraId="6E090375">
            <w:pPr>
              <w:spacing w:before="81" w:line="194"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0.007</w:t>
            </w:r>
          </w:p>
        </w:tc>
        <w:tc>
          <w:tcPr>
            <w:tcW w:w="944" w:type="dxa"/>
            <w:vAlign w:val="top"/>
          </w:tcPr>
          <w:p w14:paraId="58DCAF35">
            <w:pPr>
              <w:spacing w:before="81" w:line="194" w:lineRule="auto"/>
              <w:ind w:left="2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0.014</w:t>
            </w:r>
          </w:p>
        </w:tc>
        <w:tc>
          <w:tcPr>
            <w:tcW w:w="944" w:type="dxa"/>
            <w:vAlign w:val="top"/>
          </w:tcPr>
          <w:p w14:paraId="5F030379">
            <w:pPr>
              <w:spacing w:before="81" w:line="194"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0.022</w:t>
            </w:r>
          </w:p>
        </w:tc>
        <w:tc>
          <w:tcPr>
            <w:tcW w:w="944" w:type="dxa"/>
            <w:vAlign w:val="top"/>
          </w:tcPr>
          <w:p w14:paraId="7F30E485">
            <w:pPr>
              <w:spacing w:before="81" w:line="194"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0.018</w:t>
            </w:r>
          </w:p>
        </w:tc>
        <w:tc>
          <w:tcPr>
            <w:tcW w:w="944" w:type="dxa"/>
            <w:vAlign w:val="top"/>
          </w:tcPr>
          <w:p w14:paraId="04332897">
            <w:pPr>
              <w:spacing w:before="81" w:line="194" w:lineRule="auto"/>
              <w:ind w:left="2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0.008</w:t>
            </w:r>
          </w:p>
        </w:tc>
        <w:tc>
          <w:tcPr>
            <w:tcW w:w="943" w:type="dxa"/>
            <w:vAlign w:val="top"/>
          </w:tcPr>
          <w:p w14:paraId="5DB7F1B1">
            <w:pPr>
              <w:spacing w:before="81" w:line="194"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0.012</w:t>
            </w:r>
          </w:p>
        </w:tc>
        <w:tc>
          <w:tcPr>
            <w:tcW w:w="943" w:type="dxa"/>
            <w:tcBorders>
              <w:right w:val="nil"/>
            </w:tcBorders>
            <w:vAlign w:val="top"/>
          </w:tcPr>
          <w:p w14:paraId="3A0C0CBC">
            <w:pPr>
              <w:spacing w:before="81" w:line="194" w:lineRule="auto"/>
              <w:ind w:left="24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0.011</w:t>
            </w:r>
          </w:p>
        </w:tc>
      </w:tr>
      <w:tr w14:paraId="32EC6B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359D5806">
            <w:pPr>
              <w:rPr>
                <w:rFonts w:ascii="Arial"/>
                <w:sz w:val="21"/>
              </w:rPr>
            </w:pPr>
          </w:p>
        </w:tc>
        <w:tc>
          <w:tcPr>
            <w:tcW w:w="1227" w:type="dxa"/>
            <w:vAlign w:val="top"/>
          </w:tcPr>
          <w:p w14:paraId="15EDD7FC">
            <w:pPr>
              <w:pStyle w:val="6"/>
              <w:spacing w:before="46" w:line="204" w:lineRule="auto"/>
              <w:ind w:left="198"/>
              <w:rPr>
                <w:sz w:val="20"/>
                <w:szCs w:val="20"/>
              </w:rPr>
            </w:pPr>
            <w:r>
              <w:rPr>
                <w:spacing w:val="7"/>
                <w:sz w:val="20"/>
                <w:szCs w:val="20"/>
              </w:rPr>
              <w:t>评价结果</w:t>
            </w:r>
          </w:p>
        </w:tc>
        <w:tc>
          <w:tcPr>
            <w:tcW w:w="944" w:type="dxa"/>
            <w:vAlign w:val="top"/>
          </w:tcPr>
          <w:p w14:paraId="7A035090">
            <w:pPr>
              <w:spacing w:before="83" w:line="192"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0.007</w:t>
            </w:r>
          </w:p>
        </w:tc>
        <w:tc>
          <w:tcPr>
            <w:tcW w:w="944" w:type="dxa"/>
            <w:vAlign w:val="top"/>
          </w:tcPr>
          <w:p w14:paraId="2263045C">
            <w:pPr>
              <w:spacing w:before="83" w:line="192" w:lineRule="auto"/>
              <w:ind w:left="2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0.014</w:t>
            </w:r>
          </w:p>
        </w:tc>
        <w:tc>
          <w:tcPr>
            <w:tcW w:w="944" w:type="dxa"/>
            <w:vAlign w:val="top"/>
          </w:tcPr>
          <w:p w14:paraId="35DC8056">
            <w:pPr>
              <w:spacing w:before="83" w:line="192"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0.022</w:t>
            </w:r>
          </w:p>
        </w:tc>
        <w:tc>
          <w:tcPr>
            <w:tcW w:w="944" w:type="dxa"/>
            <w:vAlign w:val="top"/>
          </w:tcPr>
          <w:p w14:paraId="23F8C987">
            <w:pPr>
              <w:spacing w:before="83" w:line="192"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0.018</w:t>
            </w:r>
          </w:p>
        </w:tc>
        <w:tc>
          <w:tcPr>
            <w:tcW w:w="944" w:type="dxa"/>
            <w:vAlign w:val="top"/>
          </w:tcPr>
          <w:p w14:paraId="660532CE">
            <w:pPr>
              <w:spacing w:before="83" w:line="192" w:lineRule="auto"/>
              <w:ind w:left="2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0.008</w:t>
            </w:r>
          </w:p>
        </w:tc>
        <w:tc>
          <w:tcPr>
            <w:tcW w:w="943" w:type="dxa"/>
            <w:vAlign w:val="top"/>
          </w:tcPr>
          <w:p w14:paraId="13EC6522">
            <w:pPr>
              <w:spacing w:before="83" w:line="192"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0.012</w:t>
            </w:r>
          </w:p>
        </w:tc>
        <w:tc>
          <w:tcPr>
            <w:tcW w:w="943" w:type="dxa"/>
            <w:tcBorders>
              <w:right w:val="nil"/>
            </w:tcBorders>
            <w:vAlign w:val="top"/>
          </w:tcPr>
          <w:p w14:paraId="39FD1879">
            <w:pPr>
              <w:spacing w:before="83" w:line="192" w:lineRule="auto"/>
              <w:ind w:left="24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0.011</w:t>
            </w:r>
          </w:p>
        </w:tc>
      </w:tr>
      <w:tr w14:paraId="243A4F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60162A3B">
            <w:pPr>
              <w:pStyle w:val="6"/>
              <w:spacing w:before="186" w:line="221" w:lineRule="auto"/>
              <w:ind w:left="126"/>
              <w:rPr>
                <w:rFonts w:ascii="Times New Roman" w:hAnsi="Times New Roman" w:eastAsia="Times New Roman" w:cs="Times New Roman"/>
                <w:sz w:val="20"/>
                <w:szCs w:val="20"/>
              </w:rPr>
            </w:pPr>
            <w:r>
              <w:rPr>
                <w:spacing w:val="6"/>
                <w:sz w:val="20"/>
                <w:szCs w:val="20"/>
              </w:rPr>
              <w:t>总硬度</w:t>
            </w:r>
            <w:r>
              <w:rPr>
                <w:rFonts w:ascii="Times New Roman" w:hAnsi="Times New Roman" w:eastAsia="Times New Roman" w:cs="Times New Roman"/>
                <w:spacing w:val="6"/>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6"/>
                <w:sz w:val="20"/>
                <w:szCs w:val="20"/>
              </w:rPr>
              <w:t>/L)</w:t>
            </w:r>
          </w:p>
        </w:tc>
        <w:tc>
          <w:tcPr>
            <w:tcW w:w="1227" w:type="dxa"/>
            <w:vAlign w:val="top"/>
          </w:tcPr>
          <w:p w14:paraId="6D3FB6C2">
            <w:pPr>
              <w:pStyle w:val="6"/>
              <w:spacing w:before="44" w:line="205" w:lineRule="auto"/>
              <w:ind w:left="200"/>
              <w:rPr>
                <w:sz w:val="20"/>
                <w:szCs w:val="20"/>
              </w:rPr>
            </w:pPr>
            <w:r>
              <w:rPr>
                <w:spacing w:val="7"/>
                <w:sz w:val="20"/>
                <w:szCs w:val="20"/>
              </w:rPr>
              <w:t>监测结果</w:t>
            </w:r>
          </w:p>
        </w:tc>
        <w:tc>
          <w:tcPr>
            <w:tcW w:w="944" w:type="dxa"/>
            <w:vAlign w:val="top"/>
          </w:tcPr>
          <w:p w14:paraId="3377894C">
            <w:pPr>
              <w:spacing w:before="81" w:line="194" w:lineRule="auto"/>
              <w:ind w:left="3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306</w:t>
            </w:r>
          </w:p>
        </w:tc>
        <w:tc>
          <w:tcPr>
            <w:tcW w:w="944" w:type="dxa"/>
            <w:vAlign w:val="top"/>
          </w:tcPr>
          <w:p w14:paraId="624DF4C2">
            <w:pPr>
              <w:spacing w:before="81" w:line="194"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440</w:t>
            </w:r>
          </w:p>
        </w:tc>
        <w:tc>
          <w:tcPr>
            <w:tcW w:w="944" w:type="dxa"/>
            <w:vAlign w:val="top"/>
          </w:tcPr>
          <w:p w14:paraId="4E7E916C">
            <w:pPr>
              <w:spacing w:before="81" w:line="194"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1253</w:t>
            </w:r>
          </w:p>
        </w:tc>
        <w:tc>
          <w:tcPr>
            <w:tcW w:w="944" w:type="dxa"/>
            <w:vAlign w:val="top"/>
          </w:tcPr>
          <w:p w14:paraId="29F89B2E">
            <w:pPr>
              <w:spacing w:before="81" w:line="194" w:lineRule="auto"/>
              <w:ind w:left="3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429</w:t>
            </w:r>
          </w:p>
        </w:tc>
        <w:tc>
          <w:tcPr>
            <w:tcW w:w="944" w:type="dxa"/>
            <w:vAlign w:val="top"/>
          </w:tcPr>
          <w:p w14:paraId="0411BBEF">
            <w:pPr>
              <w:spacing w:before="81" w:line="194"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1019</w:t>
            </w:r>
          </w:p>
        </w:tc>
        <w:tc>
          <w:tcPr>
            <w:tcW w:w="943" w:type="dxa"/>
            <w:vAlign w:val="top"/>
          </w:tcPr>
          <w:p w14:paraId="65F80488">
            <w:pPr>
              <w:spacing w:before="81" w:line="194"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1236</w:t>
            </w:r>
          </w:p>
        </w:tc>
        <w:tc>
          <w:tcPr>
            <w:tcW w:w="943" w:type="dxa"/>
            <w:tcBorders>
              <w:right w:val="nil"/>
            </w:tcBorders>
            <w:vAlign w:val="top"/>
          </w:tcPr>
          <w:p w14:paraId="5A9DB951">
            <w:pPr>
              <w:spacing w:before="81" w:line="194" w:lineRule="auto"/>
              <w:ind w:left="32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391</w:t>
            </w:r>
          </w:p>
        </w:tc>
      </w:tr>
      <w:tr w14:paraId="7E8045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5DE8701E">
            <w:pPr>
              <w:rPr>
                <w:rFonts w:ascii="Arial"/>
                <w:sz w:val="21"/>
              </w:rPr>
            </w:pPr>
          </w:p>
        </w:tc>
        <w:tc>
          <w:tcPr>
            <w:tcW w:w="1227" w:type="dxa"/>
            <w:vAlign w:val="top"/>
          </w:tcPr>
          <w:p w14:paraId="2A51BB0C">
            <w:pPr>
              <w:pStyle w:val="6"/>
              <w:spacing w:before="46" w:line="204" w:lineRule="auto"/>
              <w:ind w:left="198"/>
              <w:rPr>
                <w:sz w:val="20"/>
                <w:szCs w:val="20"/>
              </w:rPr>
            </w:pPr>
            <w:r>
              <w:rPr>
                <w:spacing w:val="7"/>
                <w:sz w:val="20"/>
                <w:szCs w:val="20"/>
              </w:rPr>
              <w:t>评价结果</w:t>
            </w:r>
          </w:p>
        </w:tc>
        <w:tc>
          <w:tcPr>
            <w:tcW w:w="944" w:type="dxa"/>
            <w:vAlign w:val="top"/>
          </w:tcPr>
          <w:p w14:paraId="6EAC9B51">
            <w:pPr>
              <w:spacing w:before="83" w:line="192"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0.68</w:t>
            </w:r>
          </w:p>
        </w:tc>
        <w:tc>
          <w:tcPr>
            <w:tcW w:w="944" w:type="dxa"/>
            <w:vAlign w:val="top"/>
          </w:tcPr>
          <w:p w14:paraId="32B16F23">
            <w:pPr>
              <w:spacing w:before="83" w:line="192"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0.98</w:t>
            </w:r>
          </w:p>
        </w:tc>
        <w:tc>
          <w:tcPr>
            <w:tcW w:w="944" w:type="dxa"/>
            <w:vAlign w:val="top"/>
          </w:tcPr>
          <w:p w14:paraId="49141CC8">
            <w:pPr>
              <w:spacing w:before="83" w:line="192"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2.78</w:t>
            </w:r>
          </w:p>
        </w:tc>
        <w:tc>
          <w:tcPr>
            <w:tcW w:w="944" w:type="dxa"/>
            <w:vAlign w:val="top"/>
          </w:tcPr>
          <w:p w14:paraId="0C5BD276">
            <w:pPr>
              <w:spacing w:before="83" w:line="192"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0.95</w:t>
            </w:r>
          </w:p>
        </w:tc>
        <w:tc>
          <w:tcPr>
            <w:tcW w:w="944" w:type="dxa"/>
            <w:vAlign w:val="top"/>
          </w:tcPr>
          <w:p w14:paraId="70C920EF">
            <w:pPr>
              <w:spacing w:before="83" w:line="192"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2.26</w:t>
            </w:r>
          </w:p>
        </w:tc>
        <w:tc>
          <w:tcPr>
            <w:tcW w:w="943" w:type="dxa"/>
            <w:vAlign w:val="top"/>
          </w:tcPr>
          <w:p w14:paraId="61EFC353">
            <w:pPr>
              <w:spacing w:before="83" w:line="192"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2.75</w:t>
            </w:r>
          </w:p>
        </w:tc>
        <w:tc>
          <w:tcPr>
            <w:tcW w:w="943" w:type="dxa"/>
            <w:tcBorders>
              <w:right w:val="nil"/>
            </w:tcBorders>
            <w:vAlign w:val="top"/>
          </w:tcPr>
          <w:p w14:paraId="052B94F5">
            <w:pPr>
              <w:spacing w:before="83" w:line="192"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0.87</w:t>
            </w:r>
          </w:p>
        </w:tc>
      </w:tr>
      <w:tr w14:paraId="4054EB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363AE60D">
            <w:pPr>
              <w:pStyle w:val="6"/>
              <w:spacing w:before="51" w:line="229" w:lineRule="auto"/>
              <w:ind w:left="331" w:right="199" w:hanging="119"/>
              <w:rPr>
                <w:rFonts w:ascii="Times New Roman" w:hAnsi="Times New Roman" w:eastAsia="Times New Roman" w:cs="Times New Roman"/>
                <w:sz w:val="20"/>
                <w:szCs w:val="20"/>
              </w:rPr>
            </w:pPr>
            <w:r>
              <w:rPr>
                <w:spacing w:val="7"/>
                <w:sz w:val="20"/>
                <w:szCs w:val="20"/>
              </w:rPr>
              <w:t>溶解性总固</w:t>
            </w:r>
            <w:r>
              <w:rPr>
                <w:spacing w:val="2"/>
                <w:sz w:val="20"/>
                <w:szCs w:val="20"/>
              </w:rPr>
              <w:t xml:space="preserve"> </w:t>
            </w:r>
            <w:r>
              <w:rPr>
                <w:spacing w:val="5"/>
                <w:sz w:val="20"/>
                <w:szCs w:val="20"/>
              </w:rPr>
              <w:t>体</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33A23E63">
            <w:pPr>
              <w:pStyle w:val="6"/>
              <w:spacing w:before="48" w:line="202" w:lineRule="auto"/>
              <w:ind w:left="200"/>
              <w:rPr>
                <w:sz w:val="20"/>
                <w:szCs w:val="20"/>
              </w:rPr>
            </w:pPr>
            <w:r>
              <w:rPr>
                <w:spacing w:val="7"/>
                <w:sz w:val="20"/>
                <w:szCs w:val="20"/>
              </w:rPr>
              <w:t>监测结果</w:t>
            </w:r>
          </w:p>
        </w:tc>
        <w:tc>
          <w:tcPr>
            <w:tcW w:w="944" w:type="dxa"/>
            <w:vAlign w:val="top"/>
          </w:tcPr>
          <w:p w14:paraId="21E465CD">
            <w:pPr>
              <w:spacing w:before="83" w:line="191" w:lineRule="auto"/>
              <w:ind w:left="3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659</w:t>
            </w:r>
          </w:p>
        </w:tc>
        <w:tc>
          <w:tcPr>
            <w:tcW w:w="944" w:type="dxa"/>
            <w:vAlign w:val="top"/>
          </w:tcPr>
          <w:p w14:paraId="34FA89CF">
            <w:pPr>
              <w:spacing w:before="83" w:line="191" w:lineRule="auto"/>
              <w:ind w:left="28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1197</w:t>
            </w:r>
          </w:p>
        </w:tc>
        <w:tc>
          <w:tcPr>
            <w:tcW w:w="944" w:type="dxa"/>
            <w:vAlign w:val="top"/>
          </w:tcPr>
          <w:p w14:paraId="47E93A9F">
            <w:pPr>
              <w:spacing w:before="83" w:line="191" w:lineRule="auto"/>
              <w:ind w:left="2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2720</w:t>
            </w:r>
          </w:p>
        </w:tc>
        <w:tc>
          <w:tcPr>
            <w:tcW w:w="944" w:type="dxa"/>
            <w:vAlign w:val="top"/>
          </w:tcPr>
          <w:p w14:paraId="0B0DE46A">
            <w:pPr>
              <w:spacing w:before="83" w:line="191" w:lineRule="auto"/>
              <w:ind w:left="2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1090</w:t>
            </w:r>
          </w:p>
        </w:tc>
        <w:tc>
          <w:tcPr>
            <w:tcW w:w="944" w:type="dxa"/>
            <w:vAlign w:val="top"/>
          </w:tcPr>
          <w:p w14:paraId="08738597">
            <w:pPr>
              <w:spacing w:before="83" w:line="191" w:lineRule="auto"/>
              <w:ind w:left="2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2060</w:t>
            </w:r>
          </w:p>
        </w:tc>
        <w:tc>
          <w:tcPr>
            <w:tcW w:w="943" w:type="dxa"/>
            <w:vAlign w:val="top"/>
          </w:tcPr>
          <w:p w14:paraId="661606F8">
            <w:pPr>
              <w:spacing w:before="83" w:line="191" w:lineRule="auto"/>
              <w:ind w:left="2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2920</w:t>
            </w:r>
          </w:p>
        </w:tc>
        <w:tc>
          <w:tcPr>
            <w:tcW w:w="943" w:type="dxa"/>
            <w:tcBorders>
              <w:right w:val="nil"/>
            </w:tcBorders>
            <w:vAlign w:val="top"/>
          </w:tcPr>
          <w:p w14:paraId="064566E6">
            <w:pPr>
              <w:spacing w:before="83" w:line="191"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1016</w:t>
            </w:r>
          </w:p>
        </w:tc>
      </w:tr>
      <w:tr w14:paraId="63BE41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67E96FA8">
            <w:pPr>
              <w:rPr>
                <w:rFonts w:ascii="Arial"/>
                <w:sz w:val="21"/>
              </w:rPr>
            </w:pPr>
          </w:p>
        </w:tc>
        <w:tc>
          <w:tcPr>
            <w:tcW w:w="1227" w:type="dxa"/>
            <w:vAlign w:val="top"/>
          </w:tcPr>
          <w:p w14:paraId="02EE0122">
            <w:pPr>
              <w:pStyle w:val="6"/>
              <w:spacing w:before="46" w:line="203" w:lineRule="auto"/>
              <w:ind w:left="198"/>
              <w:rPr>
                <w:sz w:val="20"/>
                <w:szCs w:val="20"/>
              </w:rPr>
            </w:pPr>
            <w:r>
              <w:rPr>
                <w:spacing w:val="7"/>
                <w:sz w:val="20"/>
                <w:szCs w:val="20"/>
              </w:rPr>
              <w:t>评价结果</w:t>
            </w:r>
          </w:p>
        </w:tc>
        <w:tc>
          <w:tcPr>
            <w:tcW w:w="944" w:type="dxa"/>
            <w:vAlign w:val="top"/>
          </w:tcPr>
          <w:p w14:paraId="0B22DB2F">
            <w:pPr>
              <w:spacing w:before="82" w:line="191"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0.659</w:t>
            </w:r>
          </w:p>
        </w:tc>
        <w:tc>
          <w:tcPr>
            <w:tcW w:w="944" w:type="dxa"/>
            <w:vAlign w:val="top"/>
          </w:tcPr>
          <w:p w14:paraId="6D46FA44">
            <w:pPr>
              <w:spacing w:before="82" w:line="191"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1.197</w:t>
            </w:r>
          </w:p>
        </w:tc>
        <w:tc>
          <w:tcPr>
            <w:tcW w:w="944" w:type="dxa"/>
            <w:vAlign w:val="top"/>
          </w:tcPr>
          <w:p w14:paraId="32F94741">
            <w:pPr>
              <w:spacing w:before="82" w:line="191"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2.72</w:t>
            </w:r>
          </w:p>
        </w:tc>
        <w:tc>
          <w:tcPr>
            <w:tcW w:w="944" w:type="dxa"/>
            <w:vAlign w:val="top"/>
          </w:tcPr>
          <w:p w14:paraId="7DFC9048">
            <w:pPr>
              <w:spacing w:before="82" w:line="191" w:lineRule="auto"/>
              <w:ind w:left="3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1.09</w:t>
            </w:r>
          </w:p>
        </w:tc>
        <w:tc>
          <w:tcPr>
            <w:tcW w:w="944" w:type="dxa"/>
            <w:vAlign w:val="top"/>
          </w:tcPr>
          <w:p w14:paraId="4FAA606E">
            <w:pPr>
              <w:spacing w:before="82" w:line="191"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2.06</w:t>
            </w:r>
          </w:p>
        </w:tc>
        <w:tc>
          <w:tcPr>
            <w:tcW w:w="943" w:type="dxa"/>
            <w:vAlign w:val="top"/>
          </w:tcPr>
          <w:p w14:paraId="0F9D7E19">
            <w:pPr>
              <w:spacing w:before="82" w:line="191"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2.92</w:t>
            </w:r>
          </w:p>
        </w:tc>
        <w:tc>
          <w:tcPr>
            <w:tcW w:w="943" w:type="dxa"/>
            <w:tcBorders>
              <w:right w:val="nil"/>
            </w:tcBorders>
            <w:vAlign w:val="top"/>
          </w:tcPr>
          <w:p w14:paraId="1A369DD8">
            <w:pPr>
              <w:spacing w:before="82" w:line="191"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1.016</w:t>
            </w:r>
          </w:p>
        </w:tc>
      </w:tr>
      <w:tr w14:paraId="17DB87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11B6A771">
            <w:pPr>
              <w:pStyle w:val="6"/>
              <w:spacing w:before="67" w:line="236" w:lineRule="auto"/>
              <w:ind w:left="284" w:right="278" w:firstLine="29"/>
              <w:rPr>
                <w:rFonts w:ascii="Times New Roman" w:hAnsi="Times New Roman" w:eastAsia="Times New Roman" w:cs="Times New Roman"/>
                <w:sz w:val="20"/>
                <w:szCs w:val="20"/>
              </w:rPr>
            </w:pPr>
            <w:r>
              <w:rPr>
                <w:spacing w:val="7"/>
                <w:sz w:val="20"/>
                <w:szCs w:val="20"/>
              </w:rPr>
              <w:t>细菌总数</w:t>
            </w:r>
            <w:r>
              <w:rPr>
                <w:sz w:val="20"/>
                <w:szCs w:val="20"/>
              </w:rPr>
              <w:t xml:space="preserve"> </w:t>
            </w:r>
            <w:r>
              <w:rPr>
                <w:rFonts w:ascii="Times New Roman" w:hAnsi="Times New Roman" w:eastAsia="Times New Roman" w:cs="Times New Roman"/>
                <w:spacing w:val="10"/>
                <w:sz w:val="20"/>
                <w:szCs w:val="20"/>
              </w:rPr>
              <w:t>(</w:t>
            </w:r>
            <w:r>
              <w:rPr>
                <w:rFonts w:ascii="Times New Roman" w:hAnsi="Times New Roman" w:eastAsia="Times New Roman" w:cs="Times New Roman"/>
                <w:sz w:val="20"/>
                <w:szCs w:val="20"/>
              </w:rPr>
              <w:t>CFU</w:t>
            </w:r>
            <w:r>
              <w:rPr>
                <w:rFonts w:ascii="Times New Roman" w:hAnsi="Times New Roman" w:eastAsia="Times New Roman" w:cs="Times New Roman"/>
                <w:spacing w:val="10"/>
                <w:sz w:val="20"/>
                <w:szCs w:val="20"/>
              </w:rPr>
              <w:t>/</w:t>
            </w:r>
            <w:r>
              <w:rPr>
                <w:rFonts w:ascii="Times New Roman" w:hAnsi="Times New Roman" w:eastAsia="Times New Roman" w:cs="Times New Roman"/>
                <w:sz w:val="20"/>
                <w:szCs w:val="20"/>
              </w:rPr>
              <w:t>mL</w:t>
            </w:r>
            <w:r>
              <w:rPr>
                <w:rFonts w:ascii="Times New Roman" w:hAnsi="Times New Roman" w:eastAsia="Times New Roman" w:cs="Times New Roman"/>
                <w:spacing w:val="10"/>
                <w:sz w:val="20"/>
                <w:szCs w:val="20"/>
              </w:rPr>
              <w:t>)</w:t>
            </w:r>
          </w:p>
        </w:tc>
        <w:tc>
          <w:tcPr>
            <w:tcW w:w="1227" w:type="dxa"/>
            <w:vAlign w:val="top"/>
          </w:tcPr>
          <w:p w14:paraId="4D273A93">
            <w:pPr>
              <w:pStyle w:val="6"/>
              <w:spacing w:before="48" w:line="202" w:lineRule="auto"/>
              <w:ind w:left="200"/>
              <w:rPr>
                <w:sz w:val="20"/>
                <w:szCs w:val="20"/>
              </w:rPr>
            </w:pPr>
            <w:r>
              <w:rPr>
                <w:spacing w:val="7"/>
                <w:sz w:val="20"/>
                <w:szCs w:val="20"/>
              </w:rPr>
              <w:t>监测结果</w:t>
            </w:r>
          </w:p>
        </w:tc>
        <w:tc>
          <w:tcPr>
            <w:tcW w:w="944" w:type="dxa"/>
            <w:vAlign w:val="top"/>
          </w:tcPr>
          <w:p w14:paraId="463A6C32">
            <w:pPr>
              <w:spacing w:before="84" w:line="190" w:lineRule="auto"/>
              <w:ind w:left="3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84</w:t>
            </w:r>
          </w:p>
        </w:tc>
        <w:tc>
          <w:tcPr>
            <w:tcW w:w="944" w:type="dxa"/>
            <w:vAlign w:val="top"/>
          </w:tcPr>
          <w:p w14:paraId="06CFD9EB">
            <w:pPr>
              <w:spacing w:before="84" w:line="190" w:lineRule="auto"/>
              <w:ind w:left="3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89</w:t>
            </w:r>
          </w:p>
        </w:tc>
        <w:tc>
          <w:tcPr>
            <w:tcW w:w="944" w:type="dxa"/>
            <w:vAlign w:val="top"/>
          </w:tcPr>
          <w:p w14:paraId="42E4FF6D">
            <w:pPr>
              <w:spacing w:before="84" w:line="190" w:lineRule="auto"/>
              <w:ind w:left="372"/>
              <w:rPr>
                <w:rFonts w:ascii="Times New Roman" w:hAnsi="Times New Roman" w:eastAsia="Times New Roman" w:cs="Times New Roman"/>
                <w:sz w:val="20"/>
                <w:szCs w:val="20"/>
              </w:rPr>
            </w:pPr>
            <w:r>
              <w:rPr>
                <w:rFonts w:ascii="Times New Roman" w:hAnsi="Times New Roman" w:eastAsia="Times New Roman" w:cs="Times New Roman"/>
                <w:sz w:val="20"/>
                <w:szCs w:val="20"/>
              </w:rPr>
              <w:t>99</w:t>
            </w:r>
          </w:p>
        </w:tc>
        <w:tc>
          <w:tcPr>
            <w:tcW w:w="944" w:type="dxa"/>
            <w:vAlign w:val="top"/>
          </w:tcPr>
          <w:p w14:paraId="723EE1BB">
            <w:pPr>
              <w:spacing w:before="84" w:line="190" w:lineRule="auto"/>
              <w:ind w:left="373"/>
              <w:rPr>
                <w:rFonts w:ascii="Times New Roman" w:hAnsi="Times New Roman" w:eastAsia="Times New Roman" w:cs="Times New Roman"/>
                <w:sz w:val="20"/>
                <w:szCs w:val="20"/>
              </w:rPr>
            </w:pPr>
            <w:r>
              <w:rPr>
                <w:rFonts w:ascii="Times New Roman" w:hAnsi="Times New Roman" w:eastAsia="Times New Roman" w:cs="Times New Roman"/>
                <w:sz w:val="20"/>
                <w:szCs w:val="20"/>
              </w:rPr>
              <w:t>52</w:t>
            </w:r>
          </w:p>
        </w:tc>
        <w:tc>
          <w:tcPr>
            <w:tcW w:w="944" w:type="dxa"/>
            <w:vAlign w:val="top"/>
          </w:tcPr>
          <w:p w14:paraId="31E3633B">
            <w:pPr>
              <w:spacing w:before="84" w:line="190" w:lineRule="auto"/>
              <w:ind w:left="375"/>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943" w:type="dxa"/>
            <w:vAlign w:val="top"/>
          </w:tcPr>
          <w:p w14:paraId="497AEE15">
            <w:pPr>
              <w:spacing w:before="84" w:line="190" w:lineRule="auto"/>
              <w:ind w:left="3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w:t>
            </w:r>
          </w:p>
        </w:tc>
        <w:tc>
          <w:tcPr>
            <w:tcW w:w="943" w:type="dxa"/>
            <w:tcBorders>
              <w:right w:val="nil"/>
            </w:tcBorders>
            <w:vAlign w:val="top"/>
          </w:tcPr>
          <w:p w14:paraId="794E7493">
            <w:pPr>
              <w:spacing w:before="84" w:line="190" w:lineRule="auto"/>
              <w:ind w:left="374"/>
              <w:rPr>
                <w:rFonts w:ascii="Times New Roman" w:hAnsi="Times New Roman" w:eastAsia="Times New Roman" w:cs="Times New Roman"/>
                <w:sz w:val="20"/>
                <w:szCs w:val="20"/>
              </w:rPr>
            </w:pPr>
            <w:r>
              <w:rPr>
                <w:rFonts w:ascii="Times New Roman" w:hAnsi="Times New Roman" w:eastAsia="Times New Roman" w:cs="Times New Roman"/>
                <w:sz w:val="20"/>
                <w:szCs w:val="20"/>
              </w:rPr>
              <w:t>59</w:t>
            </w:r>
          </w:p>
        </w:tc>
      </w:tr>
      <w:tr w14:paraId="0C1C1A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3490C417">
            <w:pPr>
              <w:rPr>
                <w:rFonts w:ascii="Arial"/>
                <w:sz w:val="21"/>
              </w:rPr>
            </w:pPr>
          </w:p>
        </w:tc>
        <w:tc>
          <w:tcPr>
            <w:tcW w:w="1227" w:type="dxa"/>
            <w:vAlign w:val="top"/>
          </w:tcPr>
          <w:p w14:paraId="139E72FF">
            <w:pPr>
              <w:pStyle w:val="6"/>
              <w:spacing w:before="50" w:line="200" w:lineRule="auto"/>
              <w:ind w:left="198"/>
              <w:rPr>
                <w:sz w:val="20"/>
                <w:szCs w:val="20"/>
              </w:rPr>
            </w:pPr>
            <w:r>
              <w:rPr>
                <w:spacing w:val="7"/>
                <w:sz w:val="20"/>
                <w:szCs w:val="20"/>
              </w:rPr>
              <w:t>评价结果</w:t>
            </w:r>
          </w:p>
        </w:tc>
        <w:tc>
          <w:tcPr>
            <w:tcW w:w="944" w:type="dxa"/>
            <w:vAlign w:val="top"/>
          </w:tcPr>
          <w:p w14:paraId="5289CDDA">
            <w:pPr>
              <w:spacing w:before="85" w:line="189"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0.84</w:t>
            </w:r>
          </w:p>
        </w:tc>
        <w:tc>
          <w:tcPr>
            <w:tcW w:w="944" w:type="dxa"/>
            <w:vAlign w:val="top"/>
          </w:tcPr>
          <w:p w14:paraId="09FA7F6B">
            <w:pPr>
              <w:spacing w:before="85" w:line="189"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0.89</w:t>
            </w:r>
          </w:p>
        </w:tc>
        <w:tc>
          <w:tcPr>
            <w:tcW w:w="944" w:type="dxa"/>
            <w:vAlign w:val="top"/>
          </w:tcPr>
          <w:p w14:paraId="57E0A687">
            <w:pPr>
              <w:spacing w:before="85" w:line="189"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0.99</w:t>
            </w:r>
          </w:p>
        </w:tc>
        <w:tc>
          <w:tcPr>
            <w:tcW w:w="944" w:type="dxa"/>
            <w:vAlign w:val="top"/>
          </w:tcPr>
          <w:p w14:paraId="0FD9EA68">
            <w:pPr>
              <w:spacing w:before="85" w:line="189"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0.52</w:t>
            </w:r>
          </w:p>
        </w:tc>
        <w:tc>
          <w:tcPr>
            <w:tcW w:w="944" w:type="dxa"/>
            <w:vAlign w:val="top"/>
          </w:tcPr>
          <w:p w14:paraId="3A5D32F6">
            <w:pPr>
              <w:spacing w:before="85" w:line="189"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0.50</w:t>
            </w:r>
          </w:p>
        </w:tc>
        <w:tc>
          <w:tcPr>
            <w:tcW w:w="943" w:type="dxa"/>
            <w:vAlign w:val="top"/>
          </w:tcPr>
          <w:p w14:paraId="7C08E385">
            <w:pPr>
              <w:spacing w:before="85" w:line="189"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0.85</w:t>
            </w:r>
          </w:p>
        </w:tc>
        <w:tc>
          <w:tcPr>
            <w:tcW w:w="943" w:type="dxa"/>
            <w:tcBorders>
              <w:right w:val="nil"/>
            </w:tcBorders>
            <w:vAlign w:val="top"/>
          </w:tcPr>
          <w:p w14:paraId="0604B25C">
            <w:pPr>
              <w:spacing w:before="85" w:line="189"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0.59</w:t>
            </w:r>
          </w:p>
        </w:tc>
      </w:tr>
      <w:tr w14:paraId="798857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32817D95">
            <w:pPr>
              <w:pStyle w:val="6"/>
              <w:spacing w:before="48" w:line="228" w:lineRule="auto"/>
              <w:ind w:left="215"/>
              <w:rPr>
                <w:sz w:val="20"/>
                <w:szCs w:val="20"/>
              </w:rPr>
            </w:pPr>
            <w:r>
              <w:rPr>
                <w:spacing w:val="7"/>
                <w:sz w:val="20"/>
                <w:szCs w:val="20"/>
              </w:rPr>
              <w:t>总大肠菌群</w:t>
            </w:r>
          </w:p>
          <w:p w14:paraId="28ADCAF9">
            <w:pPr>
              <w:pStyle w:val="6"/>
              <w:spacing w:before="26" w:line="226" w:lineRule="auto"/>
              <w:ind w:left="560" w:right="126" w:hanging="417"/>
              <w:rPr>
                <w:sz w:val="20"/>
                <w:szCs w:val="20"/>
              </w:rPr>
            </w:pPr>
            <w:r>
              <w:rPr>
                <w:spacing w:val="6"/>
                <w:sz w:val="20"/>
                <w:szCs w:val="20"/>
              </w:rPr>
              <w:t>（</w:t>
            </w:r>
            <w:r>
              <w:rPr>
                <w:rFonts w:ascii="Times New Roman" w:hAnsi="Times New Roman" w:eastAsia="Times New Roman" w:cs="Times New Roman"/>
                <w:sz w:val="20"/>
                <w:szCs w:val="20"/>
              </w:rPr>
              <w:t>MPN</w:t>
            </w:r>
            <w:r>
              <w:rPr>
                <w:rFonts w:ascii="Times New Roman" w:hAnsi="Times New Roman" w:eastAsia="Times New Roman" w:cs="Times New Roman"/>
                <w:spacing w:val="6"/>
                <w:sz w:val="20"/>
                <w:szCs w:val="20"/>
              </w:rPr>
              <w:t>/100m</w:t>
            </w:r>
            <w:r>
              <w:rPr>
                <w:rFonts w:ascii="Times New Roman" w:hAnsi="Times New Roman" w:eastAsia="Times New Roman" w:cs="Times New Roman"/>
                <w:sz w:val="20"/>
                <w:szCs w:val="20"/>
              </w:rPr>
              <w:t xml:space="preserve"> L</w:t>
            </w:r>
            <w:r>
              <w:rPr>
                <w:sz w:val="20"/>
                <w:szCs w:val="20"/>
              </w:rPr>
              <w:t>）</w:t>
            </w:r>
          </w:p>
        </w:tc>
        <w:tc>
          <w:tcPr>
            <w:tcW w:w="1227" w:type="dxa"/>
            <w:vAlign w:val="top"/>
          </w:tcPr>
          <w:p w14:paraId="3D7B1D5C">
            <w:pPr>
              <w:pStyle w:val="6"/>
              <w:spacing w:before="48" w:line="202" w:lineRule="auto"/>
              <w:ind w:left="200"/>
              <w:rPr>
                <w:sz w:val="20"/>
                <w:szCs w:val="20"/>
              </w:rPr>
            </w:pPr>
            <w:r>
              <w:rPr>
                <w:spacing w:val="7"/>
                <w:sz w:val="20"/>
                <w:szCs w:val="20"/>
              </w:rPr>
              <w:t>监测结果</w:t>
            </w:r>
          </w:p>
        </w:tc>
        <w:tc>
          <w:tcPr>
            <w:tcW w:w="944" w:type="dxa"/>
            <w:vAlign w:val="top"/>
          </w:tcPr>
          <w:p w14:paraId="7D1FAC24">
            <w:pPr>
              <w:pStyle w:val="6"/>
              <w:spacing w:before="48" w:line="202" w:lineRule="auto"/>
              <w:ind w:left="166"/>
              <w:rPr>
                <w:sz w:val="20"/>
                <w:szCs w:val="20"/>
              </w:rPr>
            </w:pPr>
            <w:r>
              <w:rPr>
                <w:spacing w:val="5"/>
                <w:sz w:val="20"/>
                <w:szCs w:val="20"/>
              </w:rPr>
              <w:t>未检出</w:t>
            </w:r>
          </w:p>
        </w:tc>
        <w:tc>
          <w:tcPr>
            <w:tcW w:w="944" w:type="dxa"/>
            <w:vAlign w:val="top"/>
          </w:tcPr>
          <w:p w14:paraId="1F9C802A">
            <w:pPr>
              <w:pStyle w:val="6"/>
              <w:spacing w:before="48" w:line="202" w:lineRule="auto"/>
              <w:ind w:left="165"/>
              <w:rPr>
                <w:sz w:val="20"/>
                <w:szCs w:val="20"/>
              </w:rPr>
            </w:pPr>
            <w:r>
              <w:rPr>
                <w:spacing w:val="5"/>
                <w:sz w:val="20"/>
                <w:szCs w:val="20"/>
              </w:rPr>
              <w:t>未检出</w:t>
            </w:r>
          </w:p>
        </w:tc>
        <w:tc>
          <w:tcPr>
            <w:tcW w:w="944" w:type="dxa"/>
            <w:vAlign w:val="top"/>
          </w:tcPr>
          <w:p w14:paraId="3043D8D6">
            <w:pPr>
              <w:pStyle w:val="6"/>
              <w:spacing w:before="48" w:line="202" w:lineRule="auto"/>
              <w:ind w:left="166"/>
              <w:rPr>
                <w:sz w:val="20"/>
                <w:szCs w:val="20"/>
              </w:rPr>
            </w:pPr>
            <w:r>
              <w:rPr>
                <w:spacing w:val="5"/>
                <w:sz w:val="20"/>
                <w:szCs w:val="20"/>
              </w:rPr>
              <w:t>未检出</w:t>
            </w:r>
          </w:p>
        </w:tc>
        <w:tc>
          <w:tcPr>
            <w:tcW w:w="944" w:type="dxa"/>
            <w:vAlign w:val="top"/>
          </w:tcPr>
          <w:p w14:paraId="7098CD1F">
            <w:pPr>
              <w:pStyle w:val="6"/>
              <w:spacing w:before="48" w:line="202" w:lineRule="auto"/>
              <w:ind w:left="166"/>
              <w:rPr>
                <w:sz w:val="20"/>
                <w:szCs w:val="20"/>
              </w:rPr>
            </w:pPr>
            <w:r>
              <w:rPr>
                <w:spacing w:val="5"/>
                <w:sz w:val="20"/>
                <w:szCs w:val="20"/>
              </w:rPr>
              <w:t>未检出</w:t>
            </w:r>
          </w:p>
        </w:tc>
        <w:tc>
          <w:tcPr>
            <w:tcW w:w="944" w:type="dxa"/>
            <w:vAlign w:val="top"/>
          </w:tcPr>
          <w:p w14:paraId="6C594EC8">
            <w:pPr>
              <w:pStyle w:val="6"/>
              <w:spacing w:before="48" w:line="202" w:lineRule="auto"/>
              <w:ind w:left="165"/>
              <w:rPr>
                <w:sz w:val="20"/>
                <w:szCs w:val="20"/>
              </w:rPr>
            </w:pPr>
            <w:r>
              <w:rPr>
                <w:spacing w:val="5"/>
                <w:sz w:val="20"/>
                <w:szCs w:val="20"/>
              </w:rPr>
              <w:t>未检出</w:t>
            </w:r>
          </w:p>
        </w:tc>
        <w:tc>
          <w:tcPr>
            <w:tcW w:w="943" w:type="dxa"/>
            <w:vAlign w:val="top"/>
          </w:tcPr>
          <w:p w14:paraId="60C51D1F">
            <w:pPr>
              <w:pStyle w:val="6"/>
              <w:spacing w:before="48" w:line="202" w:lineRule="auto"/>
              <w:ind w:left="164"/>
              <w:rPr>
                <w:sz w:val="20"/>
                <w:szCs w:val="20"/>
              </w:rPr>
            </w:pPr>
            <w:r>
              <w:rPr>
                <w:spacing w:val="5"/>
                <w:sz w:val="20"/>
                <w:szCs w:val="20"/>
              </w:rPr>
              <w:t>未检出</w:t>
            </w:r>
          </w:p>
        </w:tc>
        <w:tc>
          <w:tcPr>
            <w:tcW w:w="943" w:type="dxa"/>
            <w:tcBorders>
              <w:right w:val="nil"/>
            </w:tcBorders>
            <w:vAlign w:val="top"/>
          </w:tcPr>
          <w:p w14:paraId="350E1FD0">
            <w:pPr>
              <w:pStyle w:val="6"/>
              <w:spacing w:before="48" w:line="202" w:lineRule="auto"/>
              <w:ind w:left="164"/>
              <w:rPr>
                <w:sz w:val="20"/>
                <w:szCs w:val="20"/>
              </w:rPr>
            </w:pPr>
            <w:r>
              <w:rPr>
                <w:spacing w:val="5"/>
                <w:sz w:val="20"/>
                <w:szCs w:val="20"/>
              </w:rPr>
              <w:t>未检出</w:t>
            </w:r>
          </w:p>
        </w:tc>
      </w:tr>
      <w:tr w14:paraId="16849F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9" w:hRule="atLeast"/>
        </w:trPr>
        <w:tc>
          <w:tcPr>
            <w:tcW w:w="1453" w:type="dxa"/>
            <w:vMerge w:val="continue"/>
            <w:tcBorders>
              <w:top w:val="nil"/>
              <w:left w:val="nil"/>
            </w:tcBorders>
            <w:vAlign w:val="top"/>
          </w:tcPr>
          <w:p w14:paraId="41320450">
            <w:pPr>
              <w:rPr>
                <w:rFonts w:ascii="Arial"/>
                <w:sz w:val="21"/>
              </w:rPr>
            </w:pPr>
          </w:p>
        </w:tc>
        <w:tc>
          <w:tcPr>
            <w:tcW w:w="1227" w:type="dxa"/>
            <w:vAlign w:val="top"/>
          </w:tcPr>
          <w:p w14:paraId="221E0E24">
            <w:pPr>
              <w:pStyle w:val="6"/>
              <w:spacing w:before="179" w:line="226" w:lineRule="auto"/>
              <w:ind w:left="198"/>
              <w:rPr>
                <w:sz w:val="20"/>
                <w:szCs w:val="20"/>
              </w:rPr>
            </w:pPr>
            <w:r>
              <w:rPr>
                <w:spacing w:val="7"/>
                <w:sz w:val="20"/>
                <w:szCs w:val="20"/>
              </w:rPr>
              <w:t>评价结果</w:t>
            </w:r>
          </w:p>
        </w:tc>
        <w:tc>
          <w:tcPr>
            <w:tcW w:w="944" w:type="dxa"/>
            <w:vAlign w:val="top"/>
          </w:tcPr>
          <w:p w14:paraId="63F15BEB">
            <w:pPr>
              <w:spacing w:before="211"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3C8C9345">
            <w:pPr>
              <w:spacing w:before="211"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00456440">
            <w:pPr>
              <w:spacing w:before="211"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4F965D50">
            <w:pPr>
              <w:spacing w:before="211"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0F9BDCF4">
            <w:pPr>
              <w:spacing w:before="211"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21EBF711">
            <w:pPr>
              <w:spacing w:before="211" w:line="19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5144D3CC">
            <w:pPr>
              <w:spacing w:before="211"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23D16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restart"/>
            <w:tcBorders>
              <w:left w:val="nil"/>
              <w:bottom w:val="nil"/>
            </w:tcBorders>
            <w:vAlign w:val="top"/>
          </w:tcPr>
          <w:p w14:paraId="4F268FDD">
            <w:pPr>
              <w:pStyle w:val="6"/>
              <w:spacing w:before="189" w:line="221" w:lineRule="auto"/>
              <w:ind w:left="331"/>
              <w:rPr>
                <w:rFonts w:ascii="Times New Roman" w:hAnsi="Times New Roman" w:eastAsia="Times New Roman" w:cs="Times New Roman"/>
                <w:sz w:val="20"/>
                <w:szCs w:val="20"/>
              </w:rPr>
            </w:pPr>
            <w:r>
              <w:rPr>
                <w:spacing w:val="5"/>
                <w:sz w:val="20"/>
                <w:szCs w:val="20"/>
              </w:rPr>
              <w:t>砷</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4A5BE716">
            <w:pPr>
              <w:pStyle w:val="6"/>
              <w:spacing w:before="50" w:line="199" w:lineRule="auto"/>
              <w:ind w:left="200"/>
              <w:rPr>
                <w:sz w:val="20"/>
                <w:szCs w:val="20"/>
              </w:rPr>
            </w:pPr>
            <w:r>
              <w:rPr>
                <w:spacing w:val="7"/>
                <w:sz w:val="20"/>
                <w:szCs w:val="20"/>
              </w:rPr>
              <w:t>监测结果</w:t>
            </w:r>
          </w:p>
        </w:tc>
        <w:tc>
          <w:tcPr>
            <w:tcW w:w="944" w:type="dxa"/>
            <w:vAlign w:val="top"/>
          </w:tcPr>
          <w:p w14:paraId="7CC34099">
            <w:pPr>
              <w:spacing w:before="66" w:line="208" w:lineRule="auto"/>
              <w:ind w:left="1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3×10</w:t>
            </w:r>
            <w:r>
              <w:rPr>
                <w:rFonts w:ascii="Times New Roman" w:hAnsi="Times New Roman" w:eastAsia="Times New Roman" w:cs="Times New Roman"/>
                <w:spacing w:val="3"/>
                <w:position w:val="6"/>
                <w:sz w:val="13"/>
                <w:szCs w:val="13"/>
              </w:rPr>
              <w:t>-4</w:t>
            </w:r>
            <w:r>
              <w:rPr>
                <w:rFonts w:ascii="Times New Roman" w:hAnsi="Times New Roman" w:eastAsia="Times New Roman" w:cs="Times New Roman"/>
                <w:spacing w:val="3"/>
                <w:sz w:val="20"/>
                <w:szCs w:val="20"/>
              </w:rPr>
              <w:t>L</w:t>
            </w:r>
          </w:p>
        </w:tc>
        <w:tc>
          <w:tcPr>
            <w:tcW w:w="944" w:type="dxa"/>
            <w:vAlign w:val="top"/>
          </w:tcPr>
          <w:p w14:paraId="76BBE68A">
            <w:pPr>
              <w:spacing w:before="66" w:line="208" w:lineRule="auto"/>
              <w:ind w:left="1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3×10</w:t>
            </w:r>
            <w:r>
              <w:rPr>
                <w:rFonts w:ascii="Times New Roman" w:hAnsi="Times New Roman" w:eastAsia="Times New Roman" w:cs="Times New Roman"/>
                <w:spacing w:val="2"/>
                <w:position w:val="6"/>
                <w:sz w:val="13"/>
                <w:szCs w:val="13"/>
              </w:rPr>
              <w:t>-4</w:t>
            </w:r>
            <w:r>
              <w:rPr>
                <w:rFonts w:ascii="Times New Roman" w:hAnsi="Times New Roman" w:eastAsia="Times New Roman" w:cs="Times New Roman"/>
                <w:spacing w:val="2"/>
                <w:sz w:val="20"/>
                <w:szCs w:val="20"/>
              </w:rPr>
              <w:t>L</w:t>
            </w:r>
          </w:p>
        </w:tc>
        <w:tc>
          <w:tcPr>
            <w:tcW w:w="944" w:type="dxa"/>
            <w:vAlign w:val="top"/>
          </w:tcPr>
          <w:p w14:paraId="0E35703D">
            <w:pPr>
              <w:spacing w:before="66" w:line="208" w:lineRule="auto"/>
              <w:ind w:left="1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3×10</w:t>
            </w:r>
            <w:r>
              <w:rPr>
                <w:rFonts w:ascii="Times New Roman" w:hAnsi="Times New Roman" w:eastAsia="Times New Roman" w:cs="Times New Roman"/>
                <w:spacing w:val="2"/>
                <w:position w:val="6"/>
                <w:sz w:val="13"/>
                <w:szCs w:val="13"/>
              </w:rPr>
              <w:t>-4</w:t>
            </w:r>
            <w:r>
              <w:rPr>
                <w:rFonts w:ascii="Times New Roman" w:hAnsi="Times New Roman" w:eastAsia="Times New Roman" w:cs="Times New Roman"/>
                <w:spacing w:val="2"/>
                <w:sz w:val="20"/>
                <w:szCs w:val="20"/>
              </w:rPr>
              <w:t>L</w:t>
            </w:r>
          </w:p>
        </w:tc>
        <w:tc>
          <w:tcPr>
            <w:tcW w:w="944" w:type="dxa"/>
            <w:vAlign w:val="top"/>
          </w:tcPr>
          <w:p w14:paraId="16E64928">
            <w:pPr>
              <w:spacing w:before="66" w:line="208" w:lineRule="auto"/>
              <w:ind w:left="1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3×10</w:t>
            </w:r>
            <w:r>
              <w:rPr>
                <w:rFonts w:ascii="Times New Roman" w:hAnsi="Times New Roman" w:eastAsia="Times New Roman" w:cs="Times New Roman"/>
                <w:spacing w:val="3"/>
                <w:position w:val="6"/>
                <w:sz w:val="13"/>
                <w:szCs w:val="13"/>
              </w:rPr>
              <w:t>-4</w:t>
            </w:r>
            <w:r>
              <w:rPr>
                <w:rFonts w:ascii="Times New Roman" w:hAnsi="Times New Roman" w:eastAsia="Times New Roman" w:cs="Times New Roman"/>
                <w:spacing w:val="3"/>
                <w:sz w:val="20"/>
                <w:szCs w:val="20"/>
              </w:rPr>
              <w:t>L</w:t>
            </w:r>
          </w:p>
        </w:tc>
        <w:tc>
          <w:tcPr>
            <w:tcW w:w="944" w:type="dxa"/>
            <w:vAlign w:val="top"/>
          </w:tcPr>
          <w:p w14:paraId="60044BDC">
            <w:pPr>
              <w:spacing w:before="66" w:line="208" w:lineRule="auto"/>
              <w:ind w:left="1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3×10</w:t>
            </w:r>
            <w:r>
              <w:rPr>
                <w:rFonts w:ascii="Times New Roman" w:hAnsi="Times New Roman" w:eastAsia="Times New Roman" w:cs="Times New Roman"/>
                <w:spacing w:val="2"/>
                <w:position w:val="6"/>
                <w:sz w:val="13"/>
                <w:szCs w:val="13"/>
              </w:rPr>
              <w:t>-4</w:t>
            </w:r>
            <w:r>
              <w:rPr>
                <w:rFonts w:ascii="Times New Roman" w:hAnsi="Times New Roman" w:eastAsia="Times New Roman" w:cs="Times New Roman"/>
                <w:spacing w:val="2"/>
                <w:sz w:val="20"/>
                <w:szCs w:val="20"/>
              </w:rPr>
              <w:t>L</w:t>
            </w:r>
          </w:p>
        </w:tc>
        <w:tc>
          <w:tcPr>
            <w:tcW w:w="943" w:type="dxa"/>
            <w:vAlign w:val="top"/>
          </w:tcPr>
          <w:p w14:paraId="1776D154">
            <w:pPr>
              <w:spacing w:before="66" w:line="208" w:lineRule="auto"/>
              <w:ind w:left="1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3×10</w:t>
            </w:r>
            <w:r>
              <w:rPr>
                <w:rFonts w:ascii="Times New Roman" w:hAnsi="Times New Roman" w:eastAsia="Times New Roman" w:cs="Times New Roman"/>
                <w:spacing w:val="2"/>
                <w:position w:val="6"/>
                <w:sz w:val="13"/>
                <w:szCs w:val="13"/>
              </w:rPr>
              <w:t>-4</w:t>
            </w:r>
            <w:r>
              <w:rPr>
                <w:rFonts w:ascii="Times New Roman" w:hAnsi="Times New Roman" w:eastAsia="Times New Roman" w:cs="Times New Roman"/>
                <w:spacing w:val="2"/>
                <w:sz w:val="20"/>
                <w:szCs w:val="20"/>
              </w:rPr>
              <w:t>L</w:t>
            </w:r>
          </w:p>
        </w:tc>
        <w:tc>
          <w:tcPr>
            <w:tcW w:w="943" w:type="dxa"/>
            <w:tcBorders>
              <w:right w:val="nil"/>
            </w:tcBorders>
            <w:vAlign w:val="top"/>
          </w:tcPr>
          <w:p w14:paraId="75A1E6EE">
            <w:pPr>
              <w:spacing w:before="66" w:line="208" w:lineRule="auto"/>
              <w:ind w:left="1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3×10</w:t>
            </w:r>
            <w:r>
              <w:rPr>
                <w:rFonts w:ascii="Times New Roman" w:hAnsi="Times New Roman" w:eastAsia="Times New Roman" w:cs="Times New Roman"/>
                <w:spacing w:val="2"/>
                <w:position w:val="6"/>
                <w:sz w:val="13"/>
                <w:szCs w:val="13"/>
              </w:rPr>
              <w:t>-4</w:t>
            </w:r>
            <w:r>
              <w:rPr>
                <w:rFonts w:ascii="Times New Roman" w:hAnsi="Times New Roman" w:eastAsia="Times New Roman" w:cs="Times New Roman"/>
                <w:spacing w:val="2"/>
                <w:sz w:val="20"/>
                <w:szCs w:val="20"/>
              </w:rPr>
              <w:t>L</w:t>
            </w:r>
          </w:p>
        </w:tc>
      </w:tr>
      <w:tr w14:paraId="25C6B8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4B7ED6F2">
            <w:pPr>
              <w:rPr>
                <w:rFonts w:ascii="Arial"/>
                <w:sz w:val="21"/>
              </w:rPr>
            </w:pPr>
          </w:p>
        </w:tc>
        <w:tc>
          <w:tcPr>
            <w:tcW w:w="1227" w:type="dxa"/>
            <w:vAlign w:val="top"/>
          </w:tcPr>
          <w:p w14:paraId="0B00E07F">
            <w:pPr>
              <w:pStyle w:val="6"/>
              <w:spacing w:before="50" w:line="200" w:lineRule="auto"/>
              <w:ind w:left="198"/>
              <w:rPr>
                <w:sz w:val="20"/>
                <w:szCs w:val="20"/>
              </w:rPr>
            </w:pPr>
            <w:r>
              <w:rPr>
                <w:spacing w:val="7"/>
                <w:sz w:val="20"/>
                <w:szCs w:val="20"/>
              </w:rPr>
              <w:t>评价结果</w:t>
            </w:r>
          </w:p>
        </w:tc>
        <w:tc>
          <w:tcPr>
            <w:tcW w:w="944" w:type="dxa"/>
            <w:vAlign w:val="top"/>
          </w:tcPr>
          <w:p w14:paraId="1723EDCE">
            <w:pPr>
              <w:spacing w:before="83" w:line="192"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48B7869A">
            <w:pPr>
              <w:spacing w:before="83" w:line="192"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9F54AB4">
            <w:pPr>
              <w:spacing w:before="83" w:line="192"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37678ACD">
            <w:pPr>
              <w:spacing w:before="83" w:line="192"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60299C7A">
            <w:pPr>
              <w:spacing w:before="83" w:line="192"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790488A1">
            <w:pPr>
              <w:spacing w:before="83" w:line="192"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373B119B">
            <w:pPr>
              <w:spacing w:before="83" w:line="192"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59E9D3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453" w:type="dxa"/>
            <w:vMerge w:val="restart"/>
            <w:tcBorders>
              <w:left w:val="nil"/>
              <w:bottom w:val="nil"/>
            </w:tcBorders>
            <w:vAlign w:val="top"/>
          </w:tcPr>
          <w:p w14:paraId="1CC32671">
            <w:pPr>
              <w:pStyle w:val="6"/>
              <w:spacing w:before="193" w:line="221" w:lineRule="auto"/>
              <w:ind w:left="11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w:t>
            </w:r>
            <w:r>
              <w:rPr>
                <w:spacing w:val="-1"/>
                <w:sz w:val="20"/>
                <w:szCs w:val="20"/>
              </w:rPr>
              <w:t>总）汞</w:t>
            </w:r>
            <w:r>
              <w:rPr>
                <w:rFonts w:ascii="Times New Roman" w:hAnsi="Times New Roman" w:eastAsia="Times New Roman" w:cs="Times New Roman"/>
                <w:spacing w:val="-1"/>
                <w:sz w:val="20"/>
                <w:szCs w:val="20"/>
              </w:rPr>
              <w:t>(mg/L)</w:t>
            </w:r>
          </w:p>
        </w:tc>
        <w:tc>
          <w:tcPr>
            <w:tcW w:w="1227" w:type="dxa"/>
            <w:vAlign w:val="top"/>
          </w:tcPr>
          <w:p w14:paraId="0C187415">
            <w:pPr>
              <w:pStyle w:val="6"/>
              <w:spacing w:before="51" w:line="200" w:lineRule="auto"/>
              <w:ind w:left="200"/>
              <w:rPr>
                <w:sz w:val="20"/>
                <w:szCs w:val="20"/>
              </w:rPr>
            </w:pPr>
            <w:r>
              <w:rPr>
                <w:spacing w:val="7"/>
                <w:sz w:val="20"/>
                <w:szCs w:val="20"/>
              </w:rPr>
              <w:t>监测结果</w:t>
            </w:r>
          </w:p>
        </w:tc>
        <w:tc>
          <w:tcPr>
            <w:tcW w:w="944" w:type="dxa"/>
            <w:vAlign w:val="top"/>
          </w:tcPr>
          <w:p w14:paraId="59F3D6F6">
            <w:pPr>
              <w:spacing w:before="71" w:line="205" w:lineRule="auto"/>
              <w:ind w:left="13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4×10</w:t>
            </w:r>
            <w:r>
              <w:rPr>
                <w:rFonts w:ascii="Times New Roman" w:hAnsi="Times New Roman" w:eastAsia="Times New Roman" w:cs="Times New Roman"/>
                <w:spacing w:val="4"/>
                <w:position w:val="6"/>
                <w:sz w:val="13"/>
                <w:szCs w:val="13"/>
              </w:rPr>
              <w:t>-5</w:t>
            </w:r>
            <w:r>
              <w:rPr>
                <w:rFonts w:ascii="Times New Roman" w:hAnsi="Times New Roman" w:eastAsia="Times New Roman" w:cs="Times New Roman"/>
                <w:spacing w:val="4"/>
                <w:sz w:val="20"/>
                <w:szCs w:val="20"/>
              </w:rPr>
              <w:t>L</w:t>
            </w:r>
          </w:p>
        </w:tc>
        <w:tc>
          <w:tcPr>
            <w:tcW w:w="944" w:type="dxa"/>
            <w:vAlign w:val="top"/>
          </w:tcPr>
          <w:p w14:paraId="548C1E5A">
            <w:pPr>
              <w:spacing w:before="71" w:line="205" w:lineRule="auto"/>
              <w:ind w:left="1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4×10</w:t>
            </w:r>
            <w:r>
              <w:rPr>
                <w:rFonts w:ascii="Times New Roman" w:hAnsi="Times New Roman" w:eastAsia="Times New Roman" w:cs="Times New Roman"/>
                <w:spacing w:val="3"/>
                <w:position w:val="6"/>
                <w:sz w:val="13"/>
                <w:szCs w:val="13"/>
              </w:rPr>
              <w:t>-5</w:t>
            </w:r>
            <w:r>
              <w:rPr>
                <w:rFonts w:ascii="Times New Roman" w:hAnsi="Times New Roman" w:eastAsia="Times New Roman" w:cs="Times New Roman"/>
                <w:spacing w:val="3"/>
                <w:sz w:val="20"/>
                <w:szCs w:val="20"/>
              </w:rPr>
              <w:t>L</w:t>
            </w:r>
          </w:p>
        </w:tc>
        <w:tc>
          <w:tcPr>
            <w:tcW w:w="944" w:type="dxa"/>
            <w:vAlign w:val="top"/>
          </w:tcPr>
          <w:p w14:paraId="3BD7DF02">
            <w:pPr>
              <w:spacing w:before="71" w:line="205" w:lineRule="auto"/>
              <w:ind w:left="13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4×10</w:t>
            </w:r>
            <w:r>
              <w:rPr>
                <w:rFonts w:ascii="Times New Roman" w:hAnsi="Times New Roman" w:eastAsia="Times New Roman" w:cs="Times New Roman"/>
                <w:spacing w:val="3"/>
                <w:position w:val="6"/>
                <w:sz w:val="13"/>
                <w:szCs w:val="13"/>
              </w:rPr>
              <w:t>-5</w:t>
            </w:r>
            <w:r>
              <w:rPr>
                <w:rFonts w:ascii="Times New Roman" w:hAnsi="Times New Roman" w:eastAsia="Times New Roman" w:cs="Times New Roman"/>
                <w:spacing w:val="3"/>
                <w:sz w:val="20"/>
                <w:szCs w:val="20"/>
              </w:rPr>
              <w:t>L</w:t>
            </w:r>
          </w:p>
        </w:tc>
        <w:tc>
          <w:tcPr>
            <w:tcW w:w="944" w:type="dxa"/>
            <w:vAlign w:val="top"/>
          </w:tcPr>
          <w:p w14:paraId="42E9760A">
            <w:pPr>
              <w:spacing w:before="71" w:line="205" w:lineRule="auto"/>
              <w:ind w:left="13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4×10</w:t>
            </w:r>
            <w:r>
              <w:rPr>
                <w:rFonts w:ascii="Times New Roman" w:hAnsi="Times New Roman" w:eastAsia="Times New Roman" w:cs="Times New Roman"/>
                <w:spacing w:val="4"/>
                <w:position w:val="6"/>
                <w:sz w:val="13"/>
                <w:szCs w:val="13"/>
              </w:rPr>
              <w:t>-5</w:t>
            </w:r>
            <w:r>
              <w:rPr>
                <w:rFonts w:ascii="Times New Roman" w:hAnsi="Times New Roman" w:eastAsia="Times New Roman" w:cs="Times New Roman"/>
                <w:spacing w:val="4"/>
                <w:sz w:val="20"/>
                <w:szCs w:val="20"/>
              </w:rPr>
              <w:t>L</w:t>
            </w:r>
          </w:p>
        </w:tc>
        <w:tc>
          <w:tcPr>
            <w:tcW w:w="944" w:type="dxa"/>
            <w:vAlign w:val="top"/>
          </w:tcPr>
          <w:p w14:paraId="3A5AC7D2">
            <w:pPr>
              <w:spacing w:before="71" w:line="205" w:lineRule="auto"/>
              <w:ind w:left="1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4×10</w:t>
            </w:r>
            <w:r>
              <w:rPr>
                <w:rFonts w:ascii="Times New Roman" w:hAnsi="Times New Roman" w:eastAsia="Times New Roman" w:cs="Times New Roman"/>
                <w:spacing w:val="3"/>
                <w:position w:val="6"/>
                <w:sz w:val="13"/>
                <w:szCs w:val="13"/>
              </w:rPr>
              <w:t>-5</w:t>
            </w:r>
            <w:r>
              <w:rPr>
                <w:rFonts w:ascii="Times New Roman" w:hAnsi="Times New Roman" w:eastAsia="Times New Roman" w:cs="Times New Roman"/>
                <w:spacing w:val="3"/>
                <w:sz w:val="20"/>
                <w:szCs w:val="20"/>
              </w:rPr>
              <w:t>L</w:t>
            </w:r>
          </w:p>
        </w:tc>
        <w:tc>
          <w:tcPr>
            <w:tcW w:w="943" w:type="dxa"/>
            <w:vAlign w:val="top"/>
          </w:tcPr>
          <w:p w14:paraId="1CD01A8F">
            <w:pPr>
              <w:spacing w:before="71" w:line="205" w:lineRule="auto"/>
              <w:ind w:left="13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4×10</w:t>
            </w:r>
            <w:r>
              <w:rPr>
                <w:rFonts w:ascii="Times New Roman" w:hAnsi="Times New Roman" w:eastAsia="Times New Roman" w:cs="Times New Roman"/>
                <w:spacing w:val="3"/>
                <w:position w:val="6"/>
                <w:sz w:val="13"/>
                <w:szCs w:val="13"/>
              </w:rPr>
              <w:t>-5</w:t>
            </w:r>
            <w:r>
              <w:rPr>
                <w:rFonts w:ascii="Times New Roman" w:hAnsi="Times New Roman" w:eastAsia="Times New Roman" w:cs="Times New Roman"/>
                <w:spacing w:val="3"/>
                <w:sz w:val="20"/>
                <w:szCs w:val="20"/>
              </w:rPr>
              <w:t>L</w:t>
            </w:r>
          </w:p>
        </w:tc>
        <w:tc>
          <w:tcPr>
            <w:tcW w:w="943" w:type="dxa"/>
            <w:tcBorders>
              <w:right w:val="nil"/>
            </w:tcBorders>
            <w:vAlign w:val="top"/>
          </w:tcPr>
          <w:p w14:paraId="57560C04">
            <w:pPr>
              <w:spacing w:before="71" w:line="205" w:lineRule="auto"/>
              <w:ind w:left="1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4×10</w:t>
            </w:r>
            <w:r>
              <w:rPr>
                <w:rFonts w:ascii="Times New Roman" w:hAnsi="Times New Roman" w:eastAsia="Times New Roman" w:cs="Times New Roman"/>
                <w:spacing w:val="3"/>
                <w:position w:val="6"/>
                <w:sz w:val="13"/>
                <w:szCs w:val="13"/>
              </w:rPr>
              <w:t>-5</w:t>
            </w:r>
            <w:r>
              <w:rPr>
                <w:rFonts w:ascii="Times New Roman" w:hAnsi="Times New Roman" w:eastAsia="Times New Roman" w:cs="Times New Roman"/>
                <w:spacing w:val="3"/>
                <w:sz w:val="20"/>
                <w:szCs w:val="20"/>
              </w:rPr>
              <w:t>L</w:t>
            </w:r>
          </w:p>
        </w:tc>
      </w:tr>
      <w:tr w14:paraId="1BA87B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7ED981D5">
            <w:pPr>
              <w:rPr>
                <w:rFonts w:ascii="Arial"/>
                <w:sz w:val="21"/>
              </w:rPr>
            </w:pPr>
          </w:p>
        </w:tc>
        <w:tc>
          <w:tcPr>
            <w:tcW w:w="1227" w:type="dxa"/>
            <w:vAlign w:val="top"/>
          </w:tcPr>
          <w:p w14:paraId="11540C54">
            <w:pPr>
              <w:pStyle w:val="6"/>
              <w:spacing w:before="51" w:line="199" w:lineRule="auto"/>
              <w:ind w:left="198"/>
              <w:rPr>
                <w:sz w:val="20"/>
                <w:szCs w:val="20"/>
              </w:rPr>
            </w:pPr>
            <w:r>
              <w:rPr>
                <w:spacing w:val="7"/>
                <w:sz w:val="20"/>
                <w:szCs w:val="20"/>
              </w:rPr>
              <w:t>评价结果</w:t>
            </w:r>
          </w:p>
        </w:tc>
        <w:tc>
          <w:tcPr>
            <w:tcW w:w="944" w:type="dxa"/>
            <w:vAlign w:val="top"/>
          </w:tcPr>
          <w:p w14:paraId="68CEAE75">
            <w:pPr>
              <w:spacing w:before="83" w:line="191"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13314488">
            <w:pPr>
              <w:spacing w:before="83" w:line="191"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09C2E5BC">
            <w:pPr>
              <w:spacing w:before="83" w:line="191"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4796F2D">
            <w:pPr>
              <w:spacing w:before="83" w:line="191"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48533734">
            <w:pPr>
              <w:spacing w:before="83" w:line="191"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61AB9323">
            <w:pPr>
              <w:spacing w:before="83" w:line="191"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0BF43F38">
            <w:pPr>
              <w:spacing w:before="83" w:line="191"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2DFD29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197CB529">
            <w:pPr>
              <w:pStyle w:val="6"/>
              <w:spacing w:before="192" w:line="221" w:lineRule="auto"/>
              <w:ind w:left="332"/>
              <w:rPr>
                <w:rFonts w:ascii="Times New Roman" w:hAnsi="Times New Roman" w:eastAsia="Times New Roman" w:cs="Times New Roman"/>
                <w:sz w:val="20"/>
                <w:szCs w:val="20"/>
              </w:rPr>
            </w:pPr>
            <w:r>
              <w:rPr>
                <w:spacing w:val="5"/>
                <w:sz w:val="20"/>
                <w:szCs w:val="20"/>
              </w:rPr>
              <w:t>铅</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2AFD5E54">
            <w:pPr>
              <w:pStyle w:val="6"/>
              <w:spacing w:before="50" w:line="200" w:lineRule="auto"/>
              <w:ind w:left="200"/>
              <w:rPr>
                <w:sz w:val="20"/>
                <w:szCs w:val="20"/>
              </w:rPr>
            </w:pPr>
            <w:r>
              <w:rPr>
                <w:spacing w:val="7"/>
                <w:sz w:val="20"/>
                <w:szCs w:val="20"/>
              </w:rPr>
              <w:t>监测结果</w:t>
            </w:r>
          </w:p>
        </w:tc>
        <w:tc>
          <w:tcPr>
            <w:tcW w:w="944" w:type="dxa"/>
            <w:vAlign w:val="top"/>
          </w:tcPr>
          <w:p w14:paraId="416425BE">
            <w:pPr>
              <w:spacing w:before="68" w:line="207" w:lineRule="auto"/>
              <w:ind w:left="1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1×10</w:t>
            </w:r>
            <w:r>
              <w:rPr>
                <w:rFonts w:ascii="Times New Roman" w:hAnsi="Times New Roman" w:eastAsia="Times New Roman" w:cs="Times New Roman"/>
                <w:spacing w:val="1"/>
                <w:position w:val="6"/>
                <w:sz w:val="13"/>
                <w:szCs w:val="13"/>
              </w:rPr>
              <w:t>-3</w:t>
            </w:r>
            <w:r>
              <w:rPr>
                <w:rFonts w:ascii="Times New Roman" w:hAnsi="Times New Roman" w:eastAsia="Times New Roman" w:cs="Times New Roman"/>
                <w:spacing w:val="1"/>
                <w:sz w:val="20"/>
                <w:szCs w:val="20"/>
              </w:rPr>
              <w:t>L</w:t>
            </w:r>
          </w:p>
        </w:tc>
        <w:tc>
          <w:tcPr>
            <w:tcW w:w="944" w:type="dxa"/>
            <w:vAlign w:val="top"/>
          </w:tcPr>
          <w:p w14:paraId="5DCEA0CB">
            <w:pPr>
              <w:spacing w:before="68" w:line="207" w:lineRule="auto"/>
              <w:ind w:left="156"/>
              <w:rPr>
                <w:rFonts w:ascii="Times New Roman" w:hAnsi="Times New Roman" w:eastAsia="Times New Roman" w:cs="Times New Roman"/>
                <w:sz w:val="20"/>
                <w:szCs w:val="20"/>
              </w:rPr>
            </w:pPr>
            <w:r>
              <w:rPr>
                <w:rFonts w:ascii="Times New Roman" w:hAnsi="Times New Roman" w:eastAsia="Times New Roman" w:cs="Times New Roman"/>
                <w:sz w:val="20"/>
                <w:szCs w:val="20"/>
              </w:rPr>
              <w:t>1×10</w:t>
            </w:r>
            <w:r>
              <w:rPr>
                <w:rFonts w:ascii="Times New Roman" w:hAnsi="Times New Roman" w:eastAsia="Times New Roman" w:cs="Times New Roman"/>
                <w:position w:val="6"/>
                <w:sz w:val="13"/>
                <w:szCs w:val="13"/>
              </w:rPr>
              <w:t>-3</w:t>
            </w:r>
            <w:r>
              <w:rPr>
                <w:rFonts w:ascii="Times New Roman" w:hAnsi="Times New Roman" w:eastAsia="Times New Roman" w:cs="Times New Roman"/>
                <w:sz w:val="20"/>
                <w:szCs w:val="20"/>
              </w:rPr>
              <w:t>L</w:t>
            </w:r>
          </w:p>
        </w:tc>
        <w:tc>
          <w:tcPr>
            <w:tcW w:w="944" w:type="dxa"/>
            <w:vAlign w:val="top"/>
          </w:tcPr>
          <w:p w14:paraId="631BF503">
            <w:pPr>
              <w:spacing w:before="68" w:line="207" w:lineRule="auto"/>
              <w:ind w:left="155"/>
              <w:rPr>
                <w:rFonts w:ascii="Times New Roman" w:hAnsi="Times New Roman" w:eastAsia="Times New Roman" w:cs="Times New Roman"/>
                <w:sz w:val="20"/>
                <w:szCs w:val="20"/>
              </w:rPr>
            </w:pPr>
            <w:r>
              <w:rPr>
                <w:rFonts w:ascii="Times New Roman" w:hAnsi="Times New Roman" w:eastAsia="Times New Roman" w:cs="Times New Roman"/>
                <w:sz w:val="20"/>
                <w:szCs w:val="20"/>
              </w:rPr>
              <w:t>1×10</w:t>
            </w:r>
            <w:r>
              <w:rPr>
                <w:rFonts w:ascii="Times New Roman" w:hAnsi="Times New Roman" w:eastAsia="Times New Roman" w:cs="Times New Roman"/>
                <w:position w:val="6"/>
                <w:sz w:val="13"/>
                <w:szCs w:val="13"/>
              </w:rPr>
              <w:t>-3</w:t>
            </w:r>
            <w:r>
              <w:rPr>
                <w:rFonts w:ascii="Times New Roman" w:hAnsi="Times New Roman" w:eastAsia="Times New Roman" w:cs="Times New Roman"/>
                <w:sz w:val="20"/>
                <w:szCs w:val="20"/>
              </w:rPr>
              <w:t>L</w:t>
            </w:r>
          </w:p>
        </w:tc>
        <w:tc>
          <w:tcPr>
            <w:tcW w:w="944" w:type="dxa"/>
            <w:vAlign w:val="top"/>
          </w:tcPr>
          <w:p w14:paraId="35AF4895">
            <w:pPr>
              <w:spacing w:before="68" w:line="207" w:lineRule="auto"/>
              <w:ind w:left="1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1×10</w:t>
            </w:r>
            <w:r>
              <w:rPr>
                <w:rFonts w:ascii="Times New Roman" w:hAnsi="Times New Roman" w:eastAsia="Times New Roman" w:cs="Times New Roman"/>
                <w:spacing w:val="1"/>
                <w:position w:val="6"/>
                <w:sz w:val="13"/>
                <w:szCs w:val="13"/>
              </w:rPr>
              <w:t>-3</w:t>
            </w:r>
            <w:r>
              <w:rPr>
                <w:rFonts w:ascii="Times New Roman" w:hAnsi="Times New Roman" w:eastAsia="Times New Roman" w:cs="Times New Roman"/>
                <w:spacing w:val="1"/>
                <w:sz w:val="20"/>
                <w:szCs w:val="20"/>
              </w:rPr>
              <w:t>L</w:t>
            </w:r>
          </w:p>
        </w:tc>
        <w:tc>
          <w:tcPr>
            <w:tcW w:w="944" w:type="dxa"/>
            <w:vAlign w:val="top"/>
          </w:tcPr>
          <w:p w14:paraId="6009AE96">
            <w:pPr>
              <w:spacing w:before="68" w:line="207" w:lineRule="auto"/>
              <w:ind w:left="156"/>
              <w:rPr>
                <w:rFonts w:ascii="Times New Roman" w:hAnsi="Times New Roman" w:eastAsia="Times New Roman" w:cs="Times New Roman"/>
                <w:sz w:val="20"/>
                <w:szCs w:val="20"/>
              </w:rPr>
            </w:pPr>
            <w:r>
              <w:rPr>
                <w:rFonts w:ascii="Times New Roman" w:hAnsi="Times New Roman" w:eastAsia="Times New Roman" w:cs="Times New Roman"/>
                <w:sz w:val="20"/>
                <w:szCs w:val="20"/>
              </w:rPr>
              <w:t>1×10</w:t>
            </w:r>
            <w:r>
              <w:rPr>
                <w:rFonts w:ascii="Times New Roman" w:hAnsi="Times New Roman" w:eastAsia="Times New Roman" w:cs="Times New Roman"/>
                <w:position w:val="6"/>
                <w:sz w:val="13"/>
                <w:szCs w:val="13"/>
              </w:rPr>
              <w:t>-3</w:t>
            </w:r>
            <w:r>
              <w:rPr>
                <w:rFonts w:ascii="Times New Roman" w:hAnsi="Times New Roman" w:eastAsia="Times New Roman" w:cs="Times New Roman"/>
                <w:sz w:val="20"/>
                <w:szCs w:val="20"/>
              </w:rPr>
              <w:t>L</w:t>
            </w:r>
          </w:p>
        </w:tc>
        <w:tc>
          <w:tcPr>
            <w:tcW w:w="943" w:type="dxa"/>
            <w:vAlign w:val="top"/>
          </w:tcPr>
          <w:p w14:paraId="78D86DBF">
            <w:pPr>
              <w:spacing w:before="68" w:line="207" w:lineRule="auto"/>
              <w:ind w:left="155"/>
              <w:rPr>
                <w:rFonts w:ascii="Times New Roman" w:hAnsi="Times New Roman" w:eastAsia="Times New Roman" w:cs="Times New Roman"/>
                <w:sz w:val="20"/>
                <w:szCs w:val="20"/>
              </w:rPr>
            </w:pPr>
            <w:r>
              <w:rPr>
                <w:rFonts w:ascii="Times New Roman" w:hAnsi="Times New Roman" w:eastAsia="Times New Roman" w:cs="Times New Roman"/>
                <w:sz w:val="20"/>
                <w:szCs w:val="20"/>
              </w:rPr>
              <w:t>1×10</w:t>
            </w:r>
            <w:r>
              <w:rPr>
                <w:rFonts w:ascii="Times New Roman" w:hAnsi="Times New Roman" w:eastAsia="Times New Roman" w:cs="Times New Roman"/>
                <w:position w:val="6"/>
                <w:sz w:val="13"/>
                <w:szCs w:val="13"/>
              </w:rPr>
              <w:t>-3</w:t>
            </w:r>
            <w:r>
              <w:rPr>
                <w:rFonts w:ascii="Times New Roman" w:hAnsi="Times New Roman" w:eastAsia="Times New Roman" w:cs="Times New Roman"/>
                <w:sz w:val="20"/>
                <w:szCs w:val="20"/>
              </w:rPr>
              <w:t>L</w:t>
            </w:r>
          </w:p>
        </w:tc>
        <w:tc>
          <w:tcPr>
            <w:tcW w:w="943" w:type="dxa"/>
            <w:tcBorders>
              <w:right w:val="nil"/>
            </w:tcBorders>
            <w:vAlign w:val="top"/>
          </w:tcPr>
          <w:p w14:paraId="7ACDB160">
            <w:pPr>
              <w:spacing w:before="68" w:line="207" w:lineRule="auto"/>
              <w:ind w:left="156"/>
              <w:rPr>
                <w:rFonts w:ascii="Times New Roman" w:hAnsi="Times New Roman" w:eastAsia="Times New Roman" w:cs="Times New Roman"/>
                <w:sz w:val="20"/>
                <w:szCs w:val="20"/>
              </w:rPr>
            </w:pPr>
            <w:r>
              <w:rPr>
                <w:rFonts w:ascii="Times New Roman" w:hAnsi="Times New Roman" w:eastAsia="Times New Roman" w:cs="Times New Roman"/>
                <w:sz w:val="20"/>
                <w:szCs w:val="20"/>
              </w:rPr>
              <w:t>1×10</w:t>
            </w:r>
            <w:r>
              <w:rPr>
                <w:rFonts w:ascii="Times New Roman" w:hAnsi="Times New Roman" w:eastAsia="Times New Roman" w:cs="Times New Roman"/>
                <w:position w:val="6"/>
                <w:sz w:val="13"/>
                <w:szCs w:val="13"/>
              </w:rPr>
              <w:t>-3</w:t>
            </w:r>
            <w:r>
              <w:rPr>
                <w:rFonts w:ascii="Times New Roman" w:hAnsi="Times New Roman" w:eastAsia="Times New Roman" w:cs="Times New Roman"/>
                <w:sz w:val="20"/>
                <w:szCs w:val="20"/>
              </w:rPr>
              <w:t>L</w:t>
            </w:r>
          </w:p>
        </w:tc>
      </w:tr>
      <w:tr w14:paraId="56A9D3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5678BE03">
            <w:pPr>
              <w:rPr>
                <w:rFonts w:ascii="Arial"/>
                <w:sz w:val="21"/>
              </w:rPr>
            </w:pPr>
          </w:p>
        </w:tc>
        <w:tc>
          <w:tcPr>
            <w:tcW w:w="1227" w:type="dxa"/>
            <w:vAlign w:val="top"/>
          </w:tcPr>
          <w:p w14:paraId="63473631">
            <w:pPr>
              <w:pStyle w:val="6"/>
              <w:spacing w:before="51" w:line="199" w:lineRule="auto"/>
              <w:ind w:left="198"/>
              <w:rPr>
                <w:sz w:val="20"/>
                <w:szCs w:val="20"/>
              </w:rPr>
            </w:pPr>
            <w:r>
              <w:rPr>
                <w:spacing w:val="7"/>
                <w:sz w:val="20"/>
                <w:szCs w:val="20"/>
              </w:rPr>
              <w:t>评价结果</w:t>
            </w:r>
          </w:p>
        </w:tc>
        <w:tc>
          <w:tcPr>
            <w:tcW w:w="944" w:type="dxa"/>
            <w:vAlign w:val="top"/>
          </w:tcPr>
          <w:p w14:paraId="5097B974">
            <w:pPr>
              <w:spacing w:before="83" w:line="191"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16993986">
            <w:pPr>
              <w:spacing w:before="83" w:line="191"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42CA56DE">
            <w:pPr>
              <w:spacing w:before="83" w:line="191"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4A0650F2">
            <w:pPr>
              <w:spacing w:before="83" w:line="191"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4DB9ABA1">
            <w:pPr>
              <w:spacing w:before="83" w:line="191"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7D76A56A">
            <w:pPr>
              <w:spacing w:before="83" w:line="191"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1E936745">
            <w:pPr>
              <w:spacing w:before="83" w:line="191"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27C391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4F47EBB2">
            <w:pPr>
              <w:pStyle w:val="6"/>
              <w:spacing w:before="192" w:line="221" w:lineRule="auto"/>
              <w:ind w:left="330"/>
              <w:rPr>
                <w:rFonts w:ascii="Times New Roman" w:hAnsi="Times New Roman" w:eastAsia="Times New Roman" w:cs="Times New Roman"/>
                <w:sz w:val="20"/>
                <w:szCs w:val="20"/>
              </w:rPr>
            </w:pPr>
            <w:r>
              <w:rPr>
                <w:spacing w:val="5"/>
                <w:sz w:val="20"/>
                <w:szCs w:val="20"/>
              </w:rPr>
              <w:t>镉</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4424111B">
            <w:pPr>
              <w:pStyle w:val="6"/>
              <w:spacing w:before="53" w:line="197" w:lineRule="auto"/>
              <w:ind w:left="200"/>
              <w:rPr>
                <w:sz w:val="20"/>
                <w:szCs w:val="20"/>
              </w:rPr>
            </w:pPr>
            <w:r>
              <w:rPr>
                <w:spacing w:val="7"/>
                <w:sz w:val="20"/>
                <w:szCs w:val="20"/>
              </w:rPr>
              <w:t>监测结果</w:t>
            </w:r>
          </w:p>
        </w:tc>
        <w:tc>
          <w:tcPr>
            <w:tcW w:w="944" w:type="dxa"/>
            <w:vAlign w:val="top"/>
          </w:tcPr>
          <w:p w14:paraId="056B6C27">
            <w:pPr>
              <w:spacing w:before="68" w:line="207" w:lineRule="auto"/>
              <w:ind w:left="1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1×10</w:t>
            </w:r>
            <w:r>
              <w:rPr>
                <w:rFonts w:ascii="Times New Roman" w:hAnsi="Times New Roman" w:eastAsia="Times New Roman" w:cs="Times New Roman"/>
                <w:spacing w:val="1"/>
                <w:position w:val="6"/>
                <w:sz w:val="13"/>
                <w:szCs w:val="13"/>
              </w:rPr>
              <w:t>-4</w:t>
            </w:r>
            <w:r>
              <w:rPr>
                <w:rFonts w:ascii="Times New Roman" w:hAnsi="Times New Roman" w:eastAsia="Times New Roman" w:cs="Times New Roman"/>
                <w:spacing w:val="1"/>
                <w:sz w:val="20"/>
                <w:szCs w:val="20"/>
              </w:rPr>
              <w:t>L</w:t>
            </w:r>
          </w:p>
        </w:tc>
        <w:tc>
          <w:tcPr>
            <w:tcW w:w="944" w:type="dxa"/>
            <w:vAlign w:val="top"/>
          </w:tcPr>
          <w:p w14:paraId="489C5E3E">
            <w:pPr>
              <w:spacing w:before="68" w:line="207" w:lineRule="auto"/>
              <w:ind w:left="156"/>
              <w:rPr>
                <w:rFonts w:ascii="Times New Roman" w:hAnsi="Times New Roman" w:eastAsia="Times New Roman" w:cs="Times New Roman"/>
                <w:sz w:val="20"/>
                <w:szCs w:val="20"/>
              </w:rPr>
            </w:pPr>
            <w:r>
              <w:rPr>
                <w:rFonts w:ascii="Times New Roman" w:hAnsi="Times New Roman" w:eastAsia="Times New Roman" w:cs="Times New Roman"/>
                <w:sz w:val="20"/>
                <w:szCs w:val="20"/>
              </w:rPr>
              <w:t>1×10</w:t>
            </w:r>
            <w:r>
              <w:rPr>
                <w:rFonts w:ascii="Times New Roman" w:hAnsi="Times New Roman" w:eastAsia="Times New Roman" w:cs="Times New Roman"/>
                <w:position w:val="6"/>
                <w:sz w:val="13"/>
                <w:szCs w:val="13"/>
              </w:rPr>
              <w:t>-4</w:t>
            </w:r>
            <w:r>
              <w:rPr>
                <w:rFonts w:ascii="Times New Roman" w:hAnsi="Times New Roman" w:eastAsia="Times New Roman" w:cs="Times New Roman"/>
                <w:sz w:val="20"/>
                <w:szCs w:val="20"/>
              </w:rPr>
              <w:t>L</w:t>
            </w:r>
          </w:p>
        </w:tc>
        <w:tc>
          <w:tcPr>
            <w:tcW w:w="944" w:type="dxa"/>
            <w:vAlign w:val="top"/>
          </w:tcPr>
          <w:p w14:paraId="7A668A7B">
            <w:pPr>
              <w:spacing w:before="68" w:line="207" w:lineRule="auto"/>
              <w:ind w:left="155"/>
              <w:rPr>
                <w:rFonts w:ascii="Times New Roman" w:hAnsi="Times New Roman" w:eastAsia="Times New Roman" w:cs="Times New Roman"/>
                <w:sz w:val="20"/>
                <w:szCs w:val="20"/>
              </w:rPr>
            </w:pPr>
            <w:r>
              <w:rPr>
                <w:rFonts w:ascii="Times New Roman" w:hAnsi="Times New Roman" w:eastAsia="Times New Roman" w:cs="Times New Roman"/>
                <w:sz w:val="20"/>
                <w:szCs w:val="20"/>
              </w:rPr>
              <w:t>1×10</w:t>
            </w:r>
            <w:r>
              <w:rPr>
                <w:rFonts w:ascii="Times New Roman" w:hAnsi="Times New Roman" w:eastAsia="Times New Roman" w:cs="Times New Roman"/>
                <w:position w:val="6"/>
                <w:sz w:val="13"/>
                <w:szCs w:val="13"/>
              </w:rPr>
              <w:t>-4</w:t>
            </w:r>
            <w:r>
              <w:rPr>
                <w:rFonts w:ascii="Times New Roman" w:hAnsi="Times New Roman" w:eastAsia="Times New Roman" w:cs="Times New Roman"/>
                <w:sz w:val="20"/>
                <w:szCs w:val="20"/>
              </w:rPr>
              <w:t>L</w:t>
            </w:r>
          </w:p>
        </w:tc>
        <w:tc>
          <w:tcPr>
            <w:tcW w:w="944" w:type="dxa"/>
            <w:vAlign w:val="top"/>
          </w:tcPr>
          <w:p w14:paraId="5FB78A93">
            <w:pPr>
              <w:spacing w:before="68" w:line="207" w:lineRule="auto"/>
              <w:ind w:left="1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1×10</w:t>
            </w:r>
            <w:r>
              <w:rPr>
                <w:rFonts w:ascii="Times New Roman" w:hAnsi="Times New Roman" w:eastAsia="Times New Roman" w:cs="Times New Roman"/>
                <w:spacing w:val="1"/>
                <w:position w:val="6"/>
                <w:sz w:val="13"/>
                <w:szCs w:val="13"/>
              </w:rPr>
              <w:t>-4</w:t>
            </w:r>
            <w:r>
              <w:rPr>
                <w:rFonts w:ascii="Times New Roman" w:hAnsi="Times New Roman" w:eastAsia="Times New Roman" w:cs="Times New Roman"/>
                <w:spacing w:val="1"/>
                <w:sz w:val="20"/>
                <w:szCs w:val="20"/>
              </w:rPr>
              <w:t>L</w:t>
            </w:r>
          </w:p>
        </w:tc>
        <w:tc>
          <w:tcPr>
            <w:tcW w:w="944" w:type="dxa"/>
            <w:vAlign w:val="top"/>
          </w:tcPr>
          <w:p w14:paraId="4E4C8055">
            <w:pPr>
              <w:spacing w:before="68" w:line="207" w:lineRule="auto"/>
              <w:ind w:left="156"/>
              <w:rPr>
                <w:rFonts w:ascii="Times New Roman" w:hAnsi="Times New Roman" w:eastAsia="Times New Roman" w:cs="Times New Roman"/>
                <w:sz w:val="20"/>
                <w:szCs w:val="20"/>
              </w:rPr>
            </w:pPr>
            <w:r>
              <w:rPr>
                <w:rFonts w:ascii="Times New Roman" w:hAnsi="Times New Roman" w:eastAsia="Times New Roman" w:cs="Times New Roman"/>
                <w:sz w:val="20"/>
                <w:szCs w:val="20"/>
              </w:rPr>
              <w:t>1×10</w:t>
            </w:r>
            <w:r>
              <w:rPr>
                <w:rFonts w:ascii="Times New Roman" w:hAnsi="Times New Roman" w:eastAsia="Times New Roman" w:cs="Times New Roman"/>
                <w:position w:val="6"/>
                <w:sz w:val="13"/>
                <w:szCs w:val="13"/>
              </w:rPr>
              <w:t>-4</w:t>
            </w:r>
            <w:r>
              <w:rPr>
                <w:rFonts w:ascii="Times New Roman" w:hAnsi="Times New Roman" w:eastAsia="Times New Roman" w:cs="Times New Roman"/>
                <w:sz w:val="20"/>
                <w:szCs w:val="20"/>
              </w:rPr>
              <w:t>L</w:t>
            </w:r>
          </w:p>
        </w:tc>
        <w:tc>
          <w:tcPr>
            <w:tcW w:w="943" w:type="dxa"/>
            <w:vAlign w:val="top"/>
          </w:tcPr>
          <w:p w14:paraId="337EFCB2">
            <w:pPr>
              <w:spacing w:before="68" w:line="207" w:lineRule="auto"/>
              <w:ind w:left="155"/>
              <w:rPr>
                <w:rFonts w:ascii="Times New Roman" w:hAnsi="Times New Roman" w:eastAsia="Times New Roman" w:cs="Times New Roman"/>
                <w:sz w:val="20"/>
                <w:szCs w:val="20"/>
              </w:rPr>
            </w:pPr>
            <w:r>
              <w:rPr>
                <w:rFonts w:ascii="Times New Roman" w:hAnsi="Times New Roman" w:eastAsia="Times New Roman" w:cs="Times New Roman"/>
                <w:sz w:val="20"/>
                <w:szCs w:val="20"/>
              </w:rPr>
              <w:t>1×10</w:t>
            </w:r>
            <w:r>
              <w:rPr>
                <w:rFonts w:ascii="Times New Roman" w:hAnsi="Times New Roman" w:eastAsia="Times New Roman" w:cs="Times New Roman"/>
                <w:position w:val="6"/>
                <w:sz w:val="13"/>
                <w:szCs w:val="13"/>
              </w:rPr>
              <w:t>-4</w:t>
            </w:r>
            <w:r>
              <w:rPr>
                <w:rFonts w:ascii="Times New Roman" w:hAnsi="Times New Roman" w:eastAsia="Times New Roman" w:cs="Times New Roman"/>
                <w:sz w:val="20"/>
                <w:szCs w:val="20"/>
              </w:rPr>
              <w:t>L</w:t>
            </w:r>
          </w:p>
        </w:tc>
        <w:tc>
          <w:tcPr>
            <w:tcW w:w="943" w:type="dxa"/>
            <w:tcBorders>
              <w:right w:val="nil"/>
            </w:tcBorders>
            <w:vAlign w:val="top"/>
          </w:tcPr>
          <w:p w14:paraId="480AC64D">
            <w:pPr>
              <w:spacing w:before="68" w:line="207" w:lineRule="auto"/>
              <w:ind w:left="156"/>
              <w:rPr>
                <w:rFonts w:ascii="Times New Roman" w:hAnsi="Times New Roman" w:eastAsia="Times New Roman" w:cs="Times New Roman"/>
                <w:sz w:val="20"/>
                <w:szCs w:val="20"/>
              </w:rPr>
            </w:pPr>
            <w:r>
              <w:rPr>
                <w:rFonts w:ascii="Times New Roman" w:hAnsi="Times New Roman" w:eastAsia="Times New Roman" w:cs="Times New Roman"/>
                <w:sz w:val="20"/>
                <w:szCs w:val="20"/>
              </w:rPr>
              <w:t>1×10</w:t>
            </w:r>
            <w:r>
              <w:rPr>
                <w:rFonts w:ascii="Times New Roman" w:hAnsi="Times New Roman" w:eastAsia="Times New Roman" w:cs="Times New Roman"/>
                <w:position w:val="6"/>
                <w:sz w:val="13"/>
                <w:szCs w:val="13"/>
              </w:rPr>
              <w:t>-4</w:t>
            </w:r>
            <w:r>
              <w:rPr>
                <w:rFonts w:ascii="Times New Roman" w:hAnsi="Times New Roman" w:eastAsia="Times New Roman" w:cs="Times New Roman"/>
                <w:sz w:val="20"/>
                <w:szCs w:val="20"/>
              </w:rPr>
              <w:t>L</w:t>
            </w:r>
          </w:p>
        </w:tc>
      </w:tr>
      <w:tr w14:paraId="1F99F8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61BCF8AC">
            <w:pPr>
              <w:rPr>
                <w:rFonts w:ascii="Arial"/>
                <w:sz w:val="21"/>
              </w:rPr>
            </w:pPr>
          </w:p>
        </w:tc>
        <w:tc>
          <w:tcPr>
            <w:tcW w:w="1227" w:type="dxa"/>
            <w:vAlign w:val="top"/>
          </w:tcPr>
          <w:p w14:paraId="4E6AF5A3">
            <w:pPr>
              <w:pStyle w:val="6"/>
              <w:spacing w:before="54" w:line="196" w:lineRule="auto"/>
              <w:ind w:left="198"/>
              <w:rPr>
                <w:sz w:val="20"/>
                <w:szCs w:val="20"/>
              </w:rPr>
            </w:pPr>
            <w:r>
              <w:rPr>
                <w:spacing w:val="7"/>
                <w:sz w:val="20"/>
                <w:szCs w:val="20"/>
              </w:rPr>
              <w:t>评价结果</w:t>
            </w:r>
          </w:p>
        </w:tc>
        <w:tc>
          <w:tcPr>
            <w:tcW w:w="944" w:type="dxa"/>
            <w:vAlign w:val="top"/>
          </w:tcPr>
          <w:p w14:paraId="6E4A77A3">
            <w:pPr>
              <w:spacing w:before="86" w:line="188"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EB849BA">
            <w:pPr>
              <w:spacing w:before="86" w:line="188"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354E9ADE">
            <w:pPr>
              <w:spacing w:before="86" w:line="188"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BDFC156">
            <w:pPr>
              <w:spacing w:before="86" w:line="188"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4EF40E54">
            <w:pPr>
              <w:spacing w:before="86" w:line="188"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3D40408F">
            <w:pPr>
              <w:spacing w:before="86" w:line="188"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6BBC04B8">
            <w:pPr>
              <w:spacing w:before="86" w:line="188"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5E95FB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453" w:type="dxa"/>
            <w:vMerge w:val="restart"/>
            <w:tcBorders>
              <w:left w:val="nil"/>
              <w:bottom w:val="nil"/>
            </w:tcBorders>
            <w:vAlign w:val="top"/>
          </w:tcPr>
          <w:p w14:paraId="5506BB28">
            <w:pPr>
              <w:pStyle w:val="6"/>
              <w:spacing w:before="192" w:line="221" w:lineRule="auto"/>
              <w:ind w:left="331"/>
              <w:rPr>
                <w:rFonts w:ascii="Times New Roman" w:hAnsi="Times New Roman" w:eastAsia="Times New Roman" w:cs="Times New Roman"/>
                <w:sz w:val="20"/>
                <w:szCs w:val="20"/>
              </w:rPr>
            </w:pPr>
            <w:r>
              <w:rPr>
                <w:spacing w:val="5"/>
                <w:sz w:val="20"/>
                <w:szCs w:val="20"/>
              </w:rPr>
              <w:t>铁</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7B2006CC">
            <w:pPr>
              <w:pStyle w:val="6"/>
              <w:spacing w:before="53" w:line="198" w:lineRule="auto"/>
              <w:ind w:left="200"/>
              <w:rPr>
                <w:sz w:val="20"/>
                <w:szCs w:val="20"/>
              </w:rPr>
            </w:pPr>
            <w:r>
              <w:rPr>
                <w:spacing w:val="7"/>
                <w:sz w:val="20"/>
                <w:szCs w:val="20"/>
              </w:rPr>
              <w:t>监测结果</w:t>
            </w:r>
          </w:p>
        </w:tc>
        <w:tc>
          <w:tcPr>
            <w:tcW w:w="944" w:type="dxa"/>
            <w:vAlign w:val="top"/>
          </w:tcPr>
          <w:p w14:paraId="458D0DEC">
            <w:pPr>
              <w:spacing w:before="88" w:line="187"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0.03L</w:t>
            </w:r>
          </w:p>
        </w:tc>
        <w:tc>
          <w:tcPr>
            <w:tcW w:w="944" w:type="dxa"/>
            <w:vAlign w:val="top"/>
          </w:tcPr>
          <w:p w14:paraId="7CC23FB3">
            <w:pPr>
              <w:spacing w:before="88" w:line="187"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0.03L</w:t>
            </w:r>
          </w:p>
        </w:tc>
        <w:tc>
          <w:tcPr>
            <w:tcW w:w="944" w:type="dxa"/>
            <w:vAlign w:val="top"/>
          </w:tcPr>
          <w:p w14:paraId="7EC023D7">
            <w:pPr>
              <w:spacing w:before="88" w:line="187"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1.30</w:t>
            </w:r>
          </w:p>
        </w:tc>
        <w:tc>
          <w:tcPr>
            <w:tcW w:w="944" w:type="dxa"/>
            <w:vAlign w:val="top"/>
          </w:tcPr>
          <w:p w14:paraId="66C5136C">
            <w:pPr>
              <w:spacing w:before="88" w:line="187"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0.03L</w:t>
            </w:r>
          </w:p>
        </w:tc>
        <w:tc>
          <w:tcPr>
            <w:tcW w:w="944" w:type="dxa"/>
            <w:vAlign w:val="top"/>
          </w:tcPr>
          <w:p w14:paraId="63939B58">
            <w:pPr>
              <w:spacing w:before="88" w:line="187"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0.09</w:t>
            </w:r>
          </w:p>
        </w:tc>
        <w:tc>
          <w:tcPr>
            <w:tcW w:w="943" w:type="dxa"/>
            <w:vAlign w:val="top"/>
          </w:tcPr>
          <w:p w14:paraId="490278A5">
            <w:pPr>
              <w:spacing w:before="88" w:line="187"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0.09</w:t>
            </w:r>
          </w:p>
        </w:tc>
        <w:tc>
          <w:tcPr>
            <w:tcW w:w="943" w:type="dxa"/>
            <w:tcBorders>
              <w:right w:val="nil"/>
            </w:tcBorders>
            <w:vAlign w:val="top"/>
          </w:tcPr>
          <w:p w14:paraId="07C36725">
            <w:pPr>
              <w:spacing w:before="88" w:line="187"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5"/>
                <w:sz w:val="20"/>
                <w:szCs w:val="20"/>
              </w:rPr>
              <w:t>11</w:t>
            </w:r>
          </w:p>
        </w:tc>
      </w:tr>
      <w:tr w14:paraId="179E10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56FB85B6">
            <w:pPr>
              <w:rPr>
                <w:rFonts w:ascii="Arial"/>
                <w:sz w:val="21"/>
              </w:rPr>
            </w:pPr>
          </w:p>
        </w:tc>
        <w:tc>
          <w:tcPr>
            <w:tcW w:w="1227" w:type="dxa"/>
            <w:vAlign w:val="top"/>
          </w:tcPr>
          <w:p w14:paraId="1CCD2A26">
            <w:pPr>
              <w:pStyle w:val="6"/>
              <w:spacing w:before="53" w:line="197" w:lineRule="auto"/>
              <w:ind w:left="198"/>
              <w:rPr>
                <w:sz w:val="20"/>
                <w:szCs w:val="20"/>
              </w:rPr>
            </w:pPr>
            <w:r>
              <w:rPr>
                <w:spacing w:val="7"/>
                <w:sz w:val="20"/>
                <w:szCs w:val="20"/>
              </w:rPr>
              <w:t>评价结果</w:t>
            </w:r>
          </w:p>
        </w:tc>
        <w:tc>
          <w:tcPr>
            <w:tcW w:w="944" w:type="dxa"/>
            <w:vAlign w:val="top"/>
          </w:tcPr>
          <w:p w14:paraId="644086D1">
            <w:pPr>
              <w:spacing w:before="85" w:line="18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387C42D7">
            <w:pPr>
              <w:spacing w:before="85" w:line="18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2BF1AE1">
            <w:pPr>
              <w:spacing w:before="89" w:line="185" w:lineRule="auto"/>
              <w:ind w:left="2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4.33</w:t>
            </w:r>
          </w:p>
        </w:tc>
        <w:tc>
          <w:tcPr>
            <w:tcW w:w="944" w:type="dxa"/>
            <w:vAlign w:val="top"/>
          </w:tcPr>
          <w:p w14:paraId="1FD95720">
            <w:pPr>
              <w:spacing w:before="85" w:line="18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0ECDDCBD">
            <w:pPr>
              <w:spacing w:before="89" w:line="185"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0.30</w:t>
            </w:r>
          </w:p>
        </w:tc>
        <w:tc>
          <w:tcPr>
            <w:tcW w:w="943" w:type="dxa"/>
            <w:vAlign w:val="top"/>
          </w:tcPr>
          <w:p w14:paraId="34235831">
            <w:pPr>
              <w:spacing w:before="89" w:line="18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0.30</w:t>
            </w:r>
          </w:p>
        </w:tc>
        <w:tc>
          <w:tcPr>
            <w:tcW w:w="943" w:type="dxa"/>
            <w:tcBorders>
              <w:right w:val="nil"/>
            </w:tcBorders>
            <w:vAlign w:val="top"/>
          </w:tcPr>
          <w:p w14:paraId="53FB567A">
            <w:pPr>
              <w:rPr>
                <w:rFonts w:ascii="Arial"/>
                <w:sz w:val="21"/>
              </w:rPr>
            </w:pPr>
          </w:p>
        </w:tc>
      </w:tr>
      <w:tr w14:paraId="2B95B8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501775D3">
            <w:pPr>
              <w:pStyle w:val="6"/>
              <w:spacing w:before="193" w:line="221" w:lineRule="auto"/>
              <w:ind w:left="332"/>
              <w:rPr>
                <w:rFonts w:ascii="Times New Roman" w:hAnsi="Times New Roman" w:eastAsia="Times New Roman" w:cs="Times New Roman"/>
                <w:sz w:val="20"/>
                <w:szCs w:val="20"/>
              </w:rPr>
            </w:pPr>
            <w:r>
              <w:rPr>
                <w:spacing w:val="5"/>
                <w:sz w:val="20"/>
                <w:szCs w:val="20"/>
              </w:rPr>
              <w:t>锰</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3AA6CF2E">
            <w:pPr>
              <w:pStyle w:val="6"/>
              <w:spacing w:before="54" w:line="196" w:lineRule="auto"/>
              <w:ind w:left="200"/>
              <w:rPr>
                <w:sz w:val="20"/>
                <w:szCs w:val="20"/>
              </w:rPr>
            </w:pPr>
            <w:r>
              <w:rPr>
                <w:spacing w:val="7"/>
                <w:sz w:val="20"/>
                <w:szCs w:val="20"/>
              </w:rPr>
              <w:t>监测结果</w:t>
            </w:r>
          </w:p>
        </w:tc>
        <w:tc>
          <w:tcPr>
            <w:tcW w:w="944" w:type="dxa"/>
            <w:vAlign w:val="top"/>
          </w:tcPr>
          <w:p w14:paraId="57E22929">
            <w:pPr>
              <w:spacing w:before="90" w:line="184"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0.01L</w:t>
            </w:r>
          </w:p>
        </w:tc>
        <w:tc>
          <w:tcPr>
            <w:tcW w:w="944" w:type="dxa"/>
            <w:vAlign w:val="top"/>
          </w:tcPr>
          <w:p w14:paraId="0BDA54D0">
            <w:pPr>
              <w:spacing w:before="90" w:line="184"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0.01L</w:t>
            </w:r>
          </w:p>
        </w:tc>
        <w:tc>
          <w:tcPr>
            <w:tcW w:w="944" w:type="dxa"/>
            <w:vAlign w:val="top"/>
          </w:tcPr>
          <w:p w14:paraId="48567808">
            <w:pPr>
              <w:spacing w:before="90" w:line="184"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2.23</w:t>
            </w:r>
          </w:p>
        </w:tc>
        <w:tc>
          <w:tcPr>
            <w:tcW w:w="944" w:type="dxa"/>
            <w:vAlign w:val="top"/>
          </w:tcPr>
          <w:p w14:paraId="78F8728A">
            <w:pPr>
              <w:spacing w:before="90" w:line="184"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0.01L</w:t>
            </w:r>
          </w:p>
        </w:tc>
        <w:tc>
          <w:tcPr>
            <w:tcW w:w="944" w:type="dxa"/>
            <w:vAlign w:val="top"/>
          </w:tcPr>
          <w:p w14:paraId="1FCC5B18">
            <w:pPr>
              <w:spacing w:before="90" w:line="184"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0.01L</w:t>
            </w:r>
          </w:p>
        </w:tc>
        <w:tc>
          <w:tcPr>
            <w:tcW w:w="943" w:type="dxa"/>
            <w:vAlign w:val="top"/>
          </w:tcPr>
          <w:p w14:paraId="1A8DC60A">
            <w:pPr>
              <w:spacing w:before="90" w:line="184" w:lineRule="auto"/>
              <w:ind w:left="2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0.01L</w:t>
            </w:r>
          </w:p>
        </w:tc>
        <w:tc>
          <w:tcPr>
            <w:tcW w:w="943" w:type="dxa"/>
            <w:tcBorders>
              <w:right w:val="nil"/>
            </w:tcBorders>
            <w:vAlign w:val="top"/>
          </w:tcPr>
          <w:p w14:paraId="3DA764CA">
            <w:pPr>
              <w:spacing w:before="90" w:line="184"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0.01L</w:t>
            </w:r>
          </w:p>
        </w:tc>
      </w:tr>
      <w:tr w14:paraId="01B563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0709B5E7">
            <w:pPr>
              <w:rPr>
                <w:rFonts w:ascii="Arial"/>
                <w:sz w:val="21"/>
              </w:rPr>
            </w:pPr>
          </w:p>
        </w:tc>
        <w:tc>
          <w:tcPr>
            <w:tcW w:w="1227" w:type="dxa"/>
            <w:vAlign w:val="top"/>
          </w:tcPr>
          <w:p w14:paraId="237255B6">
            <w:pPr>
              <w:pStyle w:val="6"/>
              <w:spacing w:before="53" w:line="197" w:lineRule="auto"/>
              <w:ind w:left="198"/>
              <w:rPr>
                <w:sz w:val="20"/>
                <w:szCs w:val="20"/>
              </w:rPr>
            </w:pPr>
            <w:r>
              <w:rPr>
                <w:spacing w:val="7"/>
                <w:sz w:val="20"/>
                <w:szCs w:val="20"/>
              </w:rPr>
              <w:t>评价结果</w:t>
            </w:r>
          </w:p>
        </w:tc>
        <w:tc>
          <w:tcPr>
            <w:tcW w:w="944" w:type="dxa"/>
            <w:vAlign w:val="top"/>
          </w:tcPr>
          <w:p w14:paraId="4F7303B5">
            <w:pPr>
              <w:spacing w:before="85" w:line="18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5B9B18C7">
            <w:pPr>
              <w:spacing w:before="85" w:line="18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730CF44">
            <w:pPr>
              <w:spacing w:before="89" w:line="18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22.3</w:t>
            </w:r>
          </w:p>
        </w:tc>
        <w:tc>
          <w:tcPr>
            <w:tcW w:w="944" w:type="dxa"/>
            <w:vAlign w:val="top"/>
          </w:tcPr>
          <w:p w14:paraId="695FA40B">
            <w:pPr>
              <w:spacing w:before="85" w:line="18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063131B4">
            <w:pPr>
              <w:spacing w:before="85" w:line="18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3A9DF33F">
            <w:pPr>
              <w:spacing w:before="85" w:line="18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25A62F08">
            <w:pPr>
              <w:spacing w:before="85" w:line="18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6547C8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58155688">
            <w:pPr>
              <w:pStyle w:val="6"/>
              <w:spacing w:before="193" w:line="221" w:lineRule="auto"/>
              <w:ind w:left="331"/>
              <w:rPr>
                <w:rFonts w:ascii="Times New Roman" w:hAnsi="Times New Roman" w:eastAsia="Times New Roman" w:cs="Times New Roman"/>
                <w:sz w:val="20"/>
                <w:szCs w:val="20"/>
              </w:rPr>
            </w:pPr>
            <w:r>
              <w:rPr>
                <w:spacing w:val="5"/>
                <w:sz w:val="20"/>
                <w:szCs w:val="20"/>
              </w:rPr>
              <w:t>钠</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72FC0340">
            <w:pPr>
              <w:pStyle w:val="6"/>
              <w:spacing w:before="54" w:line="196" w:lineRule="auto"/>
              <w:ind w:left="200"/>
              <w:rPr>
                <w:sz w:val="20"/>
                <w:szCs w:val="20"/>
              </w:rPr>
            </w:pPr>
            <w:r>
              <w:rPr>
                <w:spacing w:val="7"/>
                <w:sz w:val="20"/>
                <w:szCs w:val="20"/>
              </w:rPr>
              <w:t>监测结果</w:t>
            </w:r>
          </w:p>
        </w:tc>
        <w:tc>
          <w:tcPr>
            <w:tcW w:w="944" w:type="dxa"/>
            <w:vAlign w:val="top"/>
          </w:tcPr>
          <w:p w14:paraId="378A289B">
            <w:pPr>
              <w:spacing w:before="90" w:line="184" w:lineRule="auto"/>
              <w:ind w:left="339"/>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110</w:t>
            </w:r>
          </w:p>
        </w:tc>
        <w:tc>
          <w:tcPr>
            <w:tcW w:w="944" w:type="dxa"/>
            <w:vAlign w:val="top"/>
          </w:tcPr>
          <w:p w14:paraId="1606723E">
            <w:pPr>
              <w:spacing w:before="90" w:line="184" w:lineRule="auto"/>
              <w:ind w:left="31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217</w:t>
            </w:r>
          </w:p>
        </w:tc>
        <w:tc>
          <w:tcPr>
            <w:tcW w:w="944" w:type="dxa"/>
            <w:vAlign w:val="top"/>
          </w:tcPr>
          <w:p w14:paraId="34B42E5A">
            <w:pPr>
              <w:spacing w:before="90" w:line="184" w:lineRule="auto"/>
              <w:ind w:left="3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436</w:t>
            </w:r>
          </w:p>
        </w:tc>
        <w:tc>
          <w:tcPr>
            <w:tcW w:w="944" w:type="dxa"/>
            <w:vAlign w:val="top"/>
          </w:tcPr>
          <w:p w14:paraId="43D12341">
            <w:pPr>
              <w:spacing w:before="90" w:line="184"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210</w:t>
            </w:r>
          </w:p>
        </w:tc>
        <w:tc>
          <w:tcPr>
            <w:tcW w:w="944" w:type="dxa"/>
            <w:vAlign w:val="top"/>
          </w:tcPr>
          <w:p w14:paraId="2E67A7C5">
            <w:pPr>
              <w:spacing w:before="90" w:line="184" w:lineRule="auto"/>
              <w:ind w:left="32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340</w:t>
            </w:r>
          </w:p>
        </w:tc>
        <w:tc>
          <w:tcPr>
            <w:tcW w:w="943" w:type="dxa"/>
            <w:vAlign w:val="top"/>
          </w:tcPr>
          <w:p w14:paraId="33BE3940">
            <w:pPr>
              <w:spacing w:before="90" w:line="184" w:lineRule="auto"/>
              <w:ind w:left="3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425</w:t>
            </w:r>
          </w:p>
        </w:tc>
        <w:tc>
          <w:tcPr>
            <w:tcW w:w="943" w:type="dxa"/>
            <w:tcBorders>
              <w:right w:val="nil"/>
            </w:tcBorders>
            <w:vAlign w:val="top"/>
          </w:tcPr>
          <w:p w14:paraId="5FF39FA2">
            <w:pPr>
              <w:spacing w:before="90" w:line="184" w:lineRule="auto"/>
              <w:ind w:left="31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212</w:t>
            </w:r>
          </w:p>
        </w:tc>
      </w:tr>
      <w:tr w14:paraId="4AFC9A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60456077">
            <w:pPr>
              <w:rPr>
                <w:rFonts w:ascii="Arial"/>
                <w:sz w:val="21"/>
              </w:rPr>
            </w:pPr>
          </w:p>
        </w:tc>
        <w:tc>
          <w:tcPr>
            <w:tcW w:w="1227" w:type="dxa"/>
            <w:vAlign w:val="top"/>
          </w:tcPr>
          <w:p w14:paraId="2A7B41EC">
            <w:pPr>
              <w:pStyle w:val="6"/>
              <w:spacing w:before="53" w:line="197" w:lineRule="auto"/>
              <w:ind w:left="198"/>
              <w:rPr>
                <w:sz w:val="20"/>
                <w:szCs w:val="20"/>
              </w:rPr>
            </w:pPr>
            <w:r>
              <w:rPr>
                <w:spacing w:val="7"/>
                <w:sz w:val="20"/>
                <w:szCs w:val="20"/>
              </w:rPr>
              <w:t>评价结果</w:t>
            </w:r>
          </w:p>
        </w:tc>
        <w:tc>
          <w:tcPr>
            <w:tcW w:w="944" w:type="dxa"/>
            <w:vAlign w:val="top"/>
          </w:tcPr>
          <w:p w14:paraId="4ABB9CA4">
            <w:pPr>
              <w:spacing w:before="85" w:line="18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1B34DEA1">
            <w:pPr>
              <w:spacing w:before="89" w:line="185"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1.085</w:t>
            </w:r>
          </w:p>
        </w:tc>
        <w:tc>
          <w:tcPr>
            <w:tcW w:w="944" w:type="dxa"/>
            <w:vAlign w:val="top"/>
          </w:tcPr>
          <w:p w14:paraId="587D6991">
            <w:pPr>
              <w:spacing w:before="89" w:line="18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2.18</w:t>
            </w:r>
          </w:p>
        </w:tc>
        <w:tc>
          <w:tcPr>
            <w:tcW w:w="944" w:type="dxa"/>
            <w:vAlign w:val="top"/>
          </w:tcPr>
          <w:p w14:paraId="7A885967">
            <w:pPr>
              <w:spacing w:before="89" w:line="185" w:lineRule="auto"/>
              <w:ind w:left="3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1.05</w:t>
            </w:r>
          </w:p>
        </w:tc>
        <w:tc>
          <w:tcPr>
            <w:tcW w:w="944" w:type="dxa"/>
            <w:vAlign w:val="top"/>
          </w:tcPr>
          <w:p w14:paraId="6B4004BD">
            <w:pPr>
              <w:spacing w:before="89" w:line="185"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1.70</w:t>
            </w:r>
          </w:p>
        </w:tc>
        <w:tc>
          <w:tcPr>
            <w:tcW w:w="943" w:type="dxa"/>
            <w:vAlign w:val="top"/>
          </w:tcPr>
          <w:p w14:paraId="66746046">
            <w:pPr>
              <w:spacing w:before="89" w:line="185" w:lineRule="auto"/>
              <w:ind w:left="2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2.125</w:t>
            </w:r>
          </w:p>
        </w:tc>
        <w:tc>
          <w:tcPr>
            <w:tcW w:w="943" w:type="dxa"/>
            <w:tcBorders>
              <w:right w:val="nil"/>
            </w:tcBorders>
            <w:vAlign w:val="top"/>
          </w:tcPr>
          <w:p w14:paraId="5DBE023B">
            <w:pPr>
              <w:spacing w:before="89" w:line="185"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1.06</w:t>
            </w:r>
          </w:p>
        </w:tc>
      </w:tr>
      <w:tr w14:paraId="3EBAFA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3631E2E6">
            <w:pPr>
              <w:pStyle w:val="6"/>
              <w:spacing w:before="193" w:line="221" w:lineRule="auto"/>
              <w:ind w:left="332"/>
              <w:rPr>
                <w:rFonts w:ascii="Times New Roman" w:hAnsi="Times New Roman" w:eastAsia="Times New Roman" w:cs="Times New Roman"/>
                <w:sz w:val="20"/>
                <w:szCs w:val="20"/>
              </w:rPr>
            </w:pPr>
            <w:r>
              <w:rPr>
                <w:spacing w:val="5"/>
                <w:sz w:val="20"/>
                <w:szCs w:val="20"/>
              </w:rPr>
              <w:t>钾</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4ADDE3C4">
            <w:pPr>
              <w:pStyle w:val="6"/>
              <w:spacing w:before="54" w:line="196" w:lineRule="auto"/>
              <w:ind w:left="200"/>
              <w:rPr>
                <w:sz w:val="20"/>
                <w:szCs w:val="20"/>
              </w:rPr>
            </w:pPr>
            <w:r>
              <w:rPr>
                <w:spacing w:val="7"/>
                <w:sz w:val="20"/>
                <w:szCs w:val="20"/>
              </w:rPr>
              <w:t>监测结果</w:t>
            </w:r>
          </w:p>
        </w:tc>
        <w:tc>
          <w:tcPr>
            <w:tcW w:w="944" w:type="dxa"/>
            <w:vAlign w:val="top"/>
          </w:tcPr>
          <w:p w14:paraId="7A30D8D8">
            <w:pPr>
              <w:spacing w:before="90" w:line="184" w:lineRule="auto"/>
              <w:ind w:left="28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4.90</w:t>
            </w:r>
          </w:p>
        </w:tc>
        <w:tc>
          <w:tcPr>
            <w:tcW w:w="944" w:type="dxa"/>
            <w:vAlign w:val="top"/>
          </w:tcPr>
          <w:p w14:paraId="3DD504B0">
            <w:pPr>
              <w:spacing w:before="90" w:line="184" w:lineRule="auto"/>
              <w:ind w:left="2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6.13</w:t>
            </w:r>
          </w:p>
        </w:tc>
        <w:tc>
          <w:tcPr>
            <w:tcW w:w="944" w:type="dxa"/>
            <w:vAlign w:val="top"/>
          </w:tcPr>
          <w:p w14:paraId="1D2B2906">
            <w:pPr>
              <w:spacing w:before="90" w:line="184"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12.2</w:t>
            </w:r>
          </w:p>
        </w:tc>
        <w:tc>
          <w:tcPr>
            <w:tcW w:w="944" w:type="dxa"/>
            <w:vAlign w:val="top"/>
          </w:tcPr>
          <w:p w14:paraId="6BEC58B1">
            <w:pPr>
              <w:spacing w:before="90" w:line="184" w:lineRule="auto"/>
              <w:ind w:left="2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5.44</w:t>
            </w:r>
          </w:p>
        </w:tc>
        <w:tc>
          <w:tcPr>
            <w:tcW w:w="944" w:type="dxa"/>
            <w:vAlign w:val="top"/>
          </w:tcPr>
          <w:p w14:paraId="44BA2C14">
            <w:pPr>
              <w:spacing w:before="90" w:line="184" w:lineRule="auto"/>
              <w:ind w:left="29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8.92</w:t>
            </w:r>
          </w:p>
        </w:tc>
        <w:tc>
          <w:tcPr>
            <w:tcW w:w="943" w:type="dxa"/>
            <w:vAlign w:val="top"/>
          </w:tcPr>
          <w:p w14:paraId="1DE18853">
            <w:pPr>
              <w:spacing w:before="90" w:line="184"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14.6</w:t>
            </w:r>
          </w:p>
        </w:tc>
        <w:tc>
          <w:tcPr>
            <w:tcW w:w="943" w:type="dxa"/>
            <w:tcBorders>
              <w:right w:val="nil"/>
            </w:tcBorders>
            <w:vAlign w:val="top"/>
          </w:tcPr>
          <w:p w14:paraId="62047EF6">
            <w:pPr>
              <w:spacing w:before="90" w:line="184"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5.20</w:t>
            </w:r>
          </w:p>
        </w:tc>
      </w:tr>
      <w:tr w14:paraId="3AF17E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7D2BF806">
            <w:pPr>
              <w:rPr>
                <w:rFonts w:ascii="Arial"/>
                <w:sz w:val="21"/>
              </w:rPr>
            </w:pPr>
          </w:p>
        </w:tc>
        <w:tc>
          <w:tcPr>
            <w:tcW w:w="1227" w:type="dxa"/>
            <w:vAlign w:val="top"/>
          </w:tcPr>
          <w:p w14:paraId="4BDBB646">
            <w:pPr>
              <w:pStyle w:val="6"/>
              <w:spacing w:before="53" w:line="197" w:lineRule="auto"/>
              <w:ind w:left="198"/>
              <w:rPr>
                <w:sz w:val="20"/>
                <w:szCs w:val="20"/>
              </w:rPr>
            </w:pPr>
            <w:r>
              <w:rPr>
                <w:spacing w:val="7"/>
                <w:sz w:val="20"/>
                <w:szCs w:val="20"/>
              </w:rPr>
              <w:t>评价结果</w:t>
            </w:r>
          </w:p>
        </w:tc>
        <w:tc>
          <w:tcPr>
            <w:tcW w:w="944" w:type="dxa"/>
            <w:vAlign w:val="top"/>
          </w:tcPr>
          <w:p w14:paraId="6FF04B22">
            <w:pPr>
              <w:spacing w:before="85" w:line="18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0F83D9E">
            <w:pPr>
              <w:spacing w:before="85" w:line="18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314D1358">
            <w:pPr>
              <w:spacing w:before="85" w:line="18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C73947E">
            <w:pPr>
              <w:spacing w:before="85" w:line="18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59CD88F8">
            <w:pPr>
              <w:spacing w:before="85" w:line="18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37863754">
            <w:pPr>
              <w:spacing w:before="85" w:line="18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65EBD4B5">
            <w:pPr>
              <w:spacing w:before="85" w:line="18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30FD58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2BF68C8D">
            <w:pPr>
              <w:pStyle w:val="6"/>
              <w:spacing w:before="196" w:line="221" w:lineRule="auto"/>
              <w:ind w:left="331"/>
              <w:rPr>
                <w:rFonts w:ascii="Times New Roman" w:hAnsi="Times New Roman" w:eastAsia="Times New Roman" w:cs="Times New Roman"/>
                <w:sz w:val="20"/>
                <w:szCs w:val="20"/>
              </w:rPr>
            </w:pPr>
            <w:r>
              <w:rPr>
                <w:spacing w:val="5"/>
                <w:sz w:val="20"/>
                <w:szCs w:val="20"/>
              </w:rPr>
              <w:t>钙</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1E1D63B9">
            <w:pPr>
              <w:pStyle w:val="6"/>
              <w:spacing w:before="54" w:line="196" w:lineRule="auto"/>
              <w:ind w:left="200"/>
              <w:rPr>
                <w:sz w:val="20"/>
                <w:szCs w:val="20"/>
              </w:rPr>
            </w:pPr>
            <w:r>
              <w:rPr>
                <w:spacing w:val="7"/>
                <w:sz w:val="20"/>
                <w:szCs w:val="20"/>
              </w:rPr>
              <w:t>监测结果</w:t>
            </w:r>
          </w:p>
        </w:tc>
        <w:tc>
          <w:tcPr>
            <w:tcW w:w="944" w:type="dxa"/>
            <w:vAlign w:val="top"/>
          </w:tcPr>
          <w:p w14:paraId="1DA37682">
            <w:pPr>
              <w:spacing w:before="90" w:line="184"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73.9</w:t>
            </w:r>
          </w:p>
        </w:tc>
        <w:tc>
          <w:tcPr>
            <w:tcW w:w="944" w:type="dxa"/>
            <w:vAlign w:val="top"/>
          </w:tcPr>
          <w:p w14:paraId="7758F6B4">
            <w:pPr>
              <w:spacing w:before="90" w:line="184" w:lineRule="auto"/>
              <w:ind w:left="339"/>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110</w:t>
            </w:r>
          </w:p>
        </w:tc>
        <w:tc>
          <w:tcPr>
            <w:tcW w:w="944" w:type="dxa"/>
            <w:vAlign w:val="top"/>
          </w:tcPr>
          <w:p w14:paraId="3582C91D">
            <w:pPr>
              <w:spacing w:before="90" w:line="184"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257</w:t>
            </w:r>
          </w:p>
        </w:tc>
        <w:tc>
          <w:tcPr>
            <w:tcW w:w="944" w:type="dxa"/>
            <w:vAlign w:val="top"/>
          </w:tcPr>
          <w:p w14:paraId="56904E86">
            <w:pPr>
              <w:spacing w:before="90" w:line="184" w:lineRule="auto"/>
              <w:ind w:left="344"/>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111</w:t>
            </w:r>
          </w:p>
        </w:tc>
        <w:tc>
          <w:tcPr>
            <w:tcW w:w="944" w:type="dxa"/>
            <w:vAlign w:val="top"/>
          </w:tcPr>
          <w:p w14:paraId="12E6229D">
            <w:pPr>
              <w:spacing w:before="90" w:line="184"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167</w:t>
            </w:r>
          </w:p>
        </w:tc>
        <w:tc>
          <w:tcPr>
            <w:tcW w:w="943" w:type="dxa"/>
            <w:vAlign w:val="top"/>
          </w:tcPr>
          <w:p w14:paraId="7804CE99">
            <w:pPr>
              <w:spacing w:before="90" w:line="184"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283</w:t>
            </w:r>
          </w:p>
        </w:tc>
        <w:tc>
          <w:tcPr>
            <w:tcW w:w="943" w:type="dxa"/>
            <w:tcBorders>
              <w:right w:val="nil"/>
            </w:tcBorders>
            <w:vAlign w:val="top"/>
          </w:tcPr>
          <w:p w14:paraId="206773D7">
            <w:pPr>
              <w:spacing w:before="90" w:line="184"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90.7</w:t>
            </w:r>
          </w:p>
        </w:tc>
      </w:tr>
      <w:tr w14:paraId="0B4F08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0C3A829F">
            <w:pPr>
              <w:rPr>
                <w:rFonts w:ascii="Arial"/>
                <w:sz w:val="21"/>
              </w:rPr>
            </w:pPr>
          </w:p>
        </w:tc>
        <w:tc>
          <w:tcPr>
            <w:tcW w:w="1227" w:type="dxa"/>
            <w:vAlign w:val="top"/>
          </w:tcPr>
          <w:p w14:paraId="75695BB9">
            <w:pPr>
              <w:pStyle w:val="6"/>
              <w:spacing w:before="55" w:line="195" w:lineRule="auto"/>
              <w:ind w:left="198"/>
              <w:rPr>
                <w:sz w:val="20"/>
                <w:szCs w:val="20"/>
              </w:rPr>
            </w:pPr>
            <w:r>
              <w:rPr>
                <w:spacing w:val="7"/>
                <w:sz w:val="20"/>
                <w:szCs w:val="20"/>
              </w:rPr>
              <w:t>评价结果</w:t>
            </w:r>
          </w:p>
        </w:tc>
        <w:tc>
          <w:tcPr>
            <w:tcW w:w="944" w:type="dxa"/>
            <w:vAlign w:val="top"/>
          </w:tcPr>
          <w:p w14:paraId="0DFEB586">
            <w:pPr>
              <w:spacing w:before="87" w:line="187"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A6F536A">
            <w:pPr>
              <w:spacing w:before="87" w:line="187"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7A3215F">
            <w:pPr>
              <w:spacing w:before="87" w:line="187"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B11D5FE">
            <w:pPr>
              <w:spacing w:before="87" w:line="187"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6021F501">
            <w:pPr>
              <w:spacing w:before="87" w:line="187"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265846A2">
            <w:pPr>
              <w:spacing w:before="87" w:line="187"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5985D638">
            <w:pPr>
              <w:spacing w:before="87" w:line="187"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B88DC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8" w:hRule="atLeast"/>
        </w:trPr>
        <w:tc>
          <w:tcPr>
            <w:tcW w:w="1453" w:type="dxa"/>
            <w:tcBorders>
              <w:left w:val="nil"/>
              <w:bottom w:val="single" w:color="000000" w:sz="10" w:space="0"/>
            </w:tcBorders>
            <w:vAlign w:val="top"/>
          </w:tcPr>
          <w:p w14:paraId="7C9DC8E6">
            <w:pPr>
              <w:pStyle w:val="6"/>
              <w:spacing w:before="54" w:line="216" w:lineRule="auto"/>
              <w:ind w:left="331"/>
              <w:rPr>
                <w:rFonts w:ascii="Times New Roman" w:hAnsi="Times New Roman" w:eastAsia="Times New Roman" w:cs="Times New Roman"/>
                <w:sz w:val="20"/>
                <w:szCs w:val="20"/>
              </w:rPr>
            </w:pPr>
            <w:r>
              <w:rPr>
                <w:spacing w:val="5"/>
                <w:sz w:val="20"/>
                <w:szCs w:val="20"/>
              </w:rPr>
              <w:t>镁</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tcBorders>
              <w:bottom w:val="single" w:color="000000" w:sz="10" w:space="0"/>
            </w:tcBorders>
            <w:vAlign w:val="top"/>
          </w:tcPr>
          <w:p w14:paraId="43AD4716">
            <w:pPr>
              <w:pStyle w:val="6"/>
              <w:spacing w:before="54" w:line="216" w:lineRule="auto"/>
              <w:ind w:left="200"/>
              <w:rPr>
                <w:sz w:val="20"/>
                <w:szCs w:val="20"/>
              </w:rPr>
            </w:pPr>
            <w:r>
              <w:rPr>
                <w:spacing w:val="7"/>
                <w:sz w:val="20"/>
                <w:szCs w:val="20"/>
              </w:rPr>
              <w:t>监测结果</w:t>
            </w:r>
          </w:p>
        </w:tc>
        <w:tc>
          <w:tcPr>
            <w:tcW w:w="944" w:type="dxa"/>
            <w:tcBorders>
              <w:bottom w:val="single" w:color="000000" w:sz="10" w:space="0"/>
            </w:tcBorders>
            <w:vAlign w:val="top"/>
          </w:tcPr>
          <w:p w14:paraId="429CDD3B">
            <w:pPr>
              <w:spacing w:before="90"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30.4</w:t>
            </w:r>
          </w:p>
        </w:tc>
        <w:tc>
          <w:tcPr>
            <w:tcW w:w="944" w:type="dxa"/>
            <w:tcBorders>
              <w:bottom w:val="single" w:color="000000" w:sz="10" w:space="0"/>
            </w:tcBorders>
            <w:vAlign w:val="top"/>
          </w:tcPr>
          <w:p w14:paraId="42179A80">
            <w:pPr>
              <w:spacing w:before="90" w:line="195"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78.0</w:t>
            </w:r>
          </w:p>
        </w:tc>
        <w:tc>
          <w:tcPr>
            <w:tcW w:w="944" w:type="dxa"/>
            <w:tcBorders>
              <w:bottom w:val="single" w:color="000000" w:sz="10" w:space="0"/>
            </w:tcBorders>
            <w:vAlign w:val="top"/>
          </w:tcPr>
          <w:p w14:paraId="09CCB528">
            <w:pPr>
              <w:spacing w:before="90"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154</w:t>
            </w:r>
          </w:p>
        </w:tc>
        <w:tc>
          <w:tcPr>
            <w:tcW w:w="944" w:type="dxa"/>
            <w:tcBorders>
              <w:bottom w:val="single" w:color="000000" w:sz="10" w:space="0"/>
            </w:tcBorders>
            <w:vAlign w:val="top"/>
          </w:tcPr>
          <w:p w14:paraId="4D6645B8">
            <w:pPr>
              <w:spacing w:before="90"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38.5</w:t>
            </w:r>
          </w:p>
        </w:tc>
        <w:tc>
          <w:tcPr>
            <w:tcW w:w="944" w:type="dxa"/>
            <w:tcBorders>
              <w:bottom w:val="single" w:color="000000" w:sz="10" w:space="0"/>
            </w:tcBorders>
            <w:vAlign w:val="top"/>
          </w:tcPr>
          <w:p w14:paraId="03623C3F">
            <w:pPr>
              <w:spacing w:before="90"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155</w:t>
            </w:r>
          </w:p>
        </w:tc>
        <w:tc>
          <w:tcPr>
            <w:tcW w:w="943" w:type="dxa"/>
            <w:tcBorders>
              <w:bottom w:val="single" w:color="000000" w:sz="10" w:space="0"/>
            </w:tcBorders>
            <w:vAlign w:val="top"/>
          </w:tcPr>
          <w:p w14:paraId="46793989">
            <w:pPr>
              <w:spacing w:before="90"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135</w:t>
            </w:r>
          </w:p>
        </w:tc>
        <w:tc>
          <w:tcPr>
            <w:tcW w:w="943" w:type="dxa"/>
            <w:tcBorders>
              <w:bottom w:val="single" w:color="000000" w:sz="10" w:space="0"/>
              <w:right w:val="nil"/>
            </w:tcBorders>
            <w:vAlign w:val="top"/>
          </w:tcPr>
          <w:p w14:paraId="225DC46A">
            <w:pPr>
              <w:spacing w:before="90" w:line="195" w:lineRule="auto"/>
              <w:ind w:left="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37.4</w:t>
            </w:r>
          </w:p>
        </w:tc>
      </w:tr>
    </w:tbl>
    <w:p w14:paraId="6BBC7893">
      <w:pPr>
        <w:pStyle w:val="2"/>
      </w:pPr>
    </w:p>
    <w:p w14:paraId="5E223FDC">
      <w:pPr>
        <w:sectPr>
          <w:headerReference r:id="rId231" w:type="default"/>
          <w:footerReference r:id="rId232" w:type="default"/>
          <w:pgSz w:w="11906" w:h="16839"/>
          <w:pgMar w:top="1190" w:right="1310" w:bottom="1156" w:left="1310" w:header="882" w:footer="994" w:gutter="0"/>
          <w:cols w:space="720" w:num="1"/>
        </w:sectPr>
      </w:pPr>
    </w:p>
    <w:p w14:paraId="1625DB2B">
      <w:pPr>
        <w:spacing w:line="28" w:lineRule="exact"/>
        <w:ind w:firstLine="108"/>
      </w:pPr>
      <w:r>
        <w:pict>
          <v:shape id="_x0000_s1264" o:spid="_x0000_s1264" style="height:1.45pt;width:453.55pt;" fillcolor="#000000" filled="t" stroked="f" coordsize="9070,29" path="m0,0l9070,0,9070,28,0,28,0,0xe">
            <v:path/>
            <v:fill on="t" focussize="0,0"/>
            <v:stroke on="f"/>
            <v:imagedata o:title=""/>
            <o:lock v:ext="edit"/>
            <w10:wrap type="none"/>
            <w10:anchorlock/>
          </v:shape>
        </w:pict>
      </w:r>
    </w:p>
    <w:p w14:paraId="338F2531">
      <w:pPr>
        <w:spacing w:line="198" w:lineRule="exact"/>
      </w:pPr>
    </w:p>
    <w:tbl>
      <w:tblPr>
        <w:tblStyle w:val="5"/>
        <w:tblW w:w="9286"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53"/>
        <w:gridCol w:w="1227"/>
        <w:gridCol w:w="944"/>
        <w:gridCol w:w="944"/>
        <w:gridCol w:w="944"/>
        <w:gridCol w:w="944"/>
        <w:gridCol w:w="944"/>
        <w:gridCol w:w="943"/>
        <w:gridCol w:w="943"/>
      </w:tblGrid>
      <w:tr w14:paraId="3959A3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 w:hRule="atLeast"/>
        </w:trPr>
        <w:tc>
          <w:tcPr>
            <w:tcW w:w="1453" w:type="dxa"/>
            <w:tcBorders>
              <w:top w:val="single" w:color="000000" w:sz="10" w:space="0"/>
              <w:left w:val="nil"/>
            </w:tcBorders>
            <w:vAlign w:val="top"/>
          </w:tcPr>
          <w:p w14:paraId="6B01A6AA">
            <w:pPr>
              <w:rPr>
                <w:rFonts w:ascii="Arial"/>
                <w:sz w:val="21"/>
              </w:rPr>
            </w:pPr>
          </w:p>
        </w:tc>
        <w:tc>
          <w:tcPr>
            <w:tcW w:w="1227" w:type="dxa"/>
            <w:tcBorders>
              <w:top w:val="single" w:color="000000" w:sz="10" w:space="0"/>
            </w:tcBorders>
            <w:vAlign w:val="top"/>
          </w:tcPr>
          <w:p w14:paraId="43B570CB">
            <w:pPr>
              <w:pStyle w:val="6"/>
              <w:spacing w:before="37" w:line="215" w:lineRule="auto"/>
              <w:ind w:left="198"/>
              <w:rPr>
                <w:sz w:val="20"/>
                <w:szCs w:val="20"/>
              </w:rPr>
            </w:pPr>
            <w:r>
              <w:rPr>
                <w:spacing w:val="7"/>
                <w:sz w:val="20"/>
                <w:szCs w:val="20"/>
              </w:rPr>
              <w:t>评价结果</w:t>
            </w:r>
          </w:p>
        </w:tc>
        <w:tc>
          <w:tcPr>
            <w:tcW w:w="944" w:type="dxa"/>
            <w:tcBorders>
              <w:top w:val="single" w:color="000000" w:sz="10" w:space="0"/>
            </w:tcBorders>
            <w:vAlign w:val="top"/>
          </w:tcPr>
          <w:p w14:paraId="077578DE">
            <w:pPr>
              <w:spacing w:before="68"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tcBorders>
              <w:top w:val="single" w:color="000000" w:sz="10" w:space="0"/>
            </w:tcBorders>
            <w:vAlign w:val="top"/>
          </w:tcPr>
          <w:p w14:paraId="4C289983">
            <w:pPr>
              <w:spacing w:before="68"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tcBorders>
              <w:top w:val="single" w:color="000000" w:sz="10" w:space="0"/>
            </w:tcBorders>
            <w:vAlign w:val="top"/>
          </w:tcPr>
          <w:p w14:paraId="59FD4F2E">
            <w:pPr>
              <w:spacing w:before="68"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tcBorders>
              <w:top w:val="single" w:color="000000" w:sz="10" w:space="0"/>
            </w:tcBorders>
            <w:vAlign w:val="top"/>
          </w:tcPr>
          <w:p w14:paraId="78BBD0B8">
            <w:pPr>
              <w:spacing w:before="68"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tcBorders>
              <w:top w:val="single" w:color="000000" w:sz="10" w:space="0"/>
            </w:tcBorders>
            <w:vAlign w:val="top"/>
          </w:tcPr>
          <w:p w14:paraId="07D34614">
            <w:pPr>
              <w:spacing w:before="68"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top w:val="single" w:color="000000" w:sz="10" w:space="0"/>
            </w:tcBorders>
            <w:vAlign w:val="top"/>
          </w:tcPr>
          <w:p w14:paraId="74D616EC">
            <w:pPr>
              <w:spacing w:before="68" w:line="19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top w:val="single" w:color="000000" w:sz="10" w:space="0"/>
              <w:right w:val="nil"/>
            </w:tcBorders>
            <w:vAlign w:val="top"/>
          </w:tcPr>
          <w:p w14:paraId="0DBF0FE7">
            <w:pPr>
              <w:spacing w:before="68"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078D57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6AE4DE98">
            <w:pPr>
              <w:pStyle w:val="6"/>
              <w:spacing w:before="174" w:line="221" w:lineRule="auto"/>
              <w:ind w:left="120"/>
              <w:rPr>
                <w:rFonts w:ascii="Times New Roman" w:hAnsi="Times New Roman" w:eastAsia="Times New Roman" w:cs="Times New Roman"/>
                <w:sz w:val="20"/>
                <w:szCs w:val="20"/>
              </w:rPr>
            </w:pPr>
            <w:r>
              <w:rPr>
                <w:spacing w:val="7"/>
                <w:sz w:val="20"/>
                <w:szCs w:val="20"/>
              </w:rPr>
              <w:t>挥发酚</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/L)</w:t>
            </w:r>
          </w:p>
        </w:tc>
        <w:tc>
          <w:tcPr>
            <w:tcW w:w="1227" w:type="dxa"/>
            <w:vAlign w:val="top"/>
          </w:tcPr>
          <w:p w14:paraId="7F4105A7">
            <w:pPr>
              <w:pStyle w:val="6"/>
              <w:spacing w:before="32" w:line="216" w:lineRule="auto"/>
              <w:ind w:left="200"/>
              <w:rPr>
                <w:sz w:val="20"/>
                <w:szCs w:val="20"/>
              </w:rPr>
            </w:pPr>
            <w:r>
              <w:rPr>
                <w:spacing w:val="7"/>
                <w:sz w:val="20"/>
                <w:szCs w:val="20"/>
              </w:rPr>
              <w:t>监测结果</w:t>
            </w:r>
          </w:p>
        </w:tc>
        <w:tc>
          <w:tcPr>
            <w:tcW w:w="944" w:type="dxa"/>
            <w:vAlign w:val="top"/>
          </w:tcPr>
          <w:p w14:paraId="31FC6955">
            <w:pPr>
              <w:spacing w:before="68" w:line="195" w:lineRule="auto"/>
              <w:ind w:left="12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0.0003L</w:t>
            </w:r>
          </w:p>
        </w:tc>
        <w:tc>
          <w:tcPr>
            <w:tcW w:w="944" w:type="dxa"/>
            <w:vAlign w:val="top"/>
          </w:tcPr>
          <w:p w14:paraId="21FB8525">
            <w:pPr>
              <w:spacing w:before="68" w:line="195" w:lineRule="auto"/>
              <w:ind w:left="12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0.0003L</w:t>
            </w:r>
          </w:p>
        </w:tc>
        <w:tc>
          <w:tcPr>
            <w:tcW w:w="944" w:type="dxa"/>
            <w:vAlign w:val="top"/>
          </w:tcPr>
          <w:p w14:paraId="69A40D99">
            <w:pPr>
              <w:spacing w:before="68" w:line="195" w:lineRule="auto"/>
              <w:ind w:left="12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0.0003L</w:t>
            </w:r>
          </w:p>
        </w:tc>
        <w:tc>
          <w:tcPr>
            <w:tcW w:w="944" w:type="dxa"/>
            <w:vAlign w:val="top"/>
          </w:tcPr>
          <w:p w14:paraId="3E37AC14">
            <w:pPr>
              <w:spacing w:before="68" w:line="195" w:lineRule="auto"/>
              <w:ind w:left="12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0.0003L</w:t>
            </w:r>
          </w:p>
        </w:tc>
        <w:tc>
          <w:tcPr>
            <w:tcW w:w="944" w:type="dxa"/>
            <w:vAlign w:val="top"/>
          </w:tcPr>
          <w:p w14:paraId="609AA48E">
            <w:pPr>
              <w:spacing w:before="68" w:line="195" w:lineRule="auto"/>
              <w:ind w:left="12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0.0003L</w:t>
            </w:r>
          </w:p>
        </w:tc>
        <w:tc>
          <w:tcPr>
            <w:tcW w:w="943" w:type="dxa"/>
            <w:vAlign w:val="top"/>
          </w:tcPr>
          <w:p w14:paraId="69895806">
            <w:pPr>
              <w:spacing w:before="68"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0.0003L</w:t>
            </w:r>
          </w:p>
        </w:tc>
        <w:tc>
          <w:tcPr>
            <w:tcW w:w="943" w:type="dxa"/>
            <w:tcBorders>
              <w:right w:val="nil"/>
            </w:tcBorders>
            <w:vAlign w:val="top"/>
          </w:tcPr>
          <w:p w14:paraId="2266D70B">
            <w:pPr>
              <w:spacing w:before="68"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0.0003L</w:t>
            </w:r>
          </w:p>
        </w:tc>
      </w:tr>
      <w:tr w14:paraId="01569D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0D464B91">
            <w:pPr>
              <w:rPr>
                <w:rFonts w:ascii="Arial"/>
                <w:sz w:val="21"/>
              </w:rPr>
            </w:pPr>
          </w:p>
        </w:tc>
        <w:tc>
          <w:tcPr>
            <w:tcW w:w="1227" w:type="dxa"/>
            <w:vAlign w:val="top"/>
          </w:tcPr>
          <w:p w14:paraId="058A663C">
            <w:pPr>
              <w:pStyle w:val="6"/>
              <w:spacing w:before="34" w:line="214" w:lineRule="auto"/>
              <w:ind w:left="198"/>
              <w:rPr>
                <w:sz w:val="20"/>
                <w:szCs w:val="20"/>
              </w:rPr>
            </w:pPr>
            <w:r>
              <w:rPr>
                <w:spacing w:val="7"/>
                <w:sz w:val="20"/>
                <w:szCs w:val="20"/>
              </w:rPr>
              <w:t>评价结果</w:t>
            </w:r>
          </w:p>
        </w:tc>
        <w:tc>
          <w:tcPr>
            <w:tcW w:w="944" w:type="dxa"/>
            <w:vAlign w:val="top"/>
          </w:tcPr>
          <w:p w14:paraId="035D907A">
            <w:pPr>
              <w:spacing w:before="65"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65A653C7">
            <w:pPr>
              <w:spacing w:before="65"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B2A8355">
            <w:pPr>
              <w:spacing w:before="65"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5B29CE9">
            <w:pPr>
              <w:spacing w:before="65"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16BEAB6B">
            <w:pPr>
              <w:spacing w:before="65"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4885B9B4">
            <w:pPr>
              <w:spacing w:before="65" w:line="19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38DEE5FC">
            <w:pPr>
              <w:spacing w:before="65"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4EDAD3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restart"/>
            <w:tcBorders>
              <w:left w:val="nil"/>
              <w:bottom w:val="nil"/>
            </w:tcBorders>
            <w:vAlign w:val="top"/>
          </w:tcPr>
          <w:p w14:paraId="451C2D8B">
            <w:pPr>
              <w:pStyle w:val="6"/>
              <w:spacing w:before="175" w:line="221" w:lineRule="auto"/>
              <w:ind w:left="120"/>
              <w:rPr>
                <w:rFonts w:ascii="Times New Roman" w:hAnsi="Times New Roman" w:eastAsia="Times New Roman" w:cs="Times New Roman"/>
                <w:sz w:val="20"/>
                <w:szCs w:val="20"/>
              </w:rPr>
            </w:pPr>
            <w:r>
              <w:rPr>
                <w:spacing w:val="7"/>
                <w:sz w:val="20"/>
                <w:szCs w:val="20"/>
              </w:rPr>
              <w:t>氰化物</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/L)</w:t>
            </w:r>
          </w:p>
        </w:tc>
        <w:tc>
          <w:tcPr>
            <w:tcW w:w="1227" w:type="dxa"/>
            <w:vAlign w:val="top"/>
          </w:tcPr>
          <w:p w14:paraId="26EEC9F9">
            <w:pPr>
              <w:pStyle w:val="6"/>
              <w:spacing w:before="36" w:line="212" w:lineRule="auto"/>
              <w:ind w:left="200"/>
              <w:rPr>
                <w:sz w:val="20"/>
                <w:szCs w:val="20"/>
              </w:rPr>
            </w:pPr>
            <w:r>
              <w:rPr>
                <w:spacing w:val="7"/>
                <w:sz w:val="20"/>
                <w:szCs w:val="20"/>
              </w:rPr>
              <w:t>监测结果</w:t>
            </w:r>
          </w:p>
        </w:tc>
        <w:tc>
          <w:tcPr>
            <w:tcW w:w="944" w:type="dxa"/>
            <w:vAlign w:val="top"/>
          </w:tcPr>
          <w:p w14:paraId="24142DFA">
            <w:pPr>
              <w:spacing w:before="71" w:line="195" w:lineRule="auto"/>
              <w:ind w:left="1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0.002L</w:t>
            </w:r>
          </w:p>
        </w:tc>
        <w:tc>
          <w:tcPr>
            <w:tcW w:w="944" w:type="dxa"/>
            <w:vAlign w:val="top"/>
          </w:tcPr>
          <w:p w14:paraId="5ADC3ACB">
            <w:pPr>
              <w:spacing w:before="71"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0.002L</w:t>
            </w:r>
          </w:p>
        </w:tc>
        <w:tc>
          <w:tcPr>
            <w:tcW w:w="944" w:type="dxa"/>
            <w:vAlign w:val="top"/>
          </w:tcPr>
          <w:p w14:paraId="56DE7579">
            <w:pPr>
              <w:spacing w:before="71"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0.002L</w:t>
            </w:r>
          </w:p>
        </w:tc>
        <w:tc>
          <w:tcPr>
            <w:tcW w:w="944" w:type="dxa"/>
            <w:vAlign w:val="top"/>
          </w:tcPr>
          <w:p w14:paraId="031DFCE9">
            <w:pPr>
              <w:spacing w:before="71" w:line="195" w:lineRule="auto"/>
              <w:ind w:left="1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0.002L</w:t>
            </w:r>
          </w:p>
        </w:tc>
        <w:tc>
          <w:tcPr>
            <w:tcW w:w="944" w:type="dxa"/>
            <w:vAlign w:val="top"/>
          </w:tcPr>
          <w:p w14:paraId="1DD34183">
            <w:pPr>
              <w:spacing w:before="71"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0.002L</w:t>
            </w:r>
          </w:p>
        </w:tc>
        <w:tc>
          <w:tcPr>
            <w:tcW w:w="943" w:type="dxa"/>
            <w:vAlign w:val="top"/>
          </w:tcPr>
          <w:p w14:paraId="3A0E7BE4">
            <w:pPr>
              <w:spacing w:before="71"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0.002L</w:t>
            </w:r>
          </w:p>
        </w:tc>
        <w:tc>
          <w:tcPr>
            <w:tcW w:w="943" w:type="dxa"/>
            <w:tcBorders>
              <w:right w:val="nil"/>
            </w:tcBorders>
            <w:vAlign w:val="top"/>
          </w:tcPr>
          <w:p w14:paraId="24E6AD0A">
            <w:pPr>
              <w:spacing w:before="71"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0.002L</w:t>
            </w:r>
          </w:p>
        </w:tc>
      </w:tr>
      <w:tr w14:paraId="586D99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0952B84D">
            <w:pPr>
              <w:rPr>
                <w:rFonts w:ascii="Arial"/>
                <w:sz w:val="21"/>
              </w:rPr>
            </w:pPr>
          </w:p>
        </w:tc>
        <w:tc>
          <w:tcPr>
            <w:tcW w:w="1227" w:type="dxa"/>
            <w:vAlign w:val="top"/>
          </w:tcPr>
          <w:p w14:paraId="15435CC0">
            <w:pPr>
              <w:pStyle w:val="6"/>
              <w:spacing w:before="36" w:line="213" w:lineRule="auto"/>
              <w:ind w:left="198"/>
              <w:rPr>
                <w:sz w:val="20"/>
                <w:szCs w:val="20"/>
              </w:rPr>
            </w:pPr>
            <w:r>
              <w:rPr>
                <w:spacing w:val="7"/>
                <w:sz w:val="20"/>
                <w:szCs w:val="20"/>
              </w:rPr>
              <w:t>评价结果</w:t>
            </w:r>
          </w:p>
        </w:tc>
        <w:tc>
          <w:tcPr>
            <w:tcW w:w="944" w:type="dxa"/>
            <w:vAlign w:val="top"/>
          </w:tcPr>
          <w:p w14:paraId="06CDD56E">
            <w:pPr>
              <w:spacing w:before="67"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0690C35D">
            <w:pPr>
              <w:spacing w:before="67"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CB21120">
            <w:pPr>
              <w:spacing w:before="67"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14B34F42">
            <w:pPr>
              <w:spacing w:before="67"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311A908">
            <w:pPr>
              <w:spacing w:before="67"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065FA631">
            <w:pPr>
              <w:spacing w:before="67" w:line="19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5222221F">
            <w:pPr>
              <w:spacing w:before="67"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55590B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restart"/>
            <w:tcBorders>
              <w:left w:val="nil"/>
              <w:bottom w:val="nil"/>
            </w:tcBorders>
            <w:vAlign w:val="top"/>
          </w:tcPr>
          <w:p w14:paraId="2D30A019">
            <w:pPr>
              <w:pStyle w:val="6"/>
              <w:spacing w:before="176" w:line="221" w:lineRule="auto"/>
              <w:ind w:left="121"/>
              <w:rPr>
                <w:rFonts w:ascii="Times New Roman" w:hAnsi="Times New Roman" w:eastAsia="Times New Roman" w:cs="Times New Roman"/>
                <w:sz w:val="20"/>
                <w:szCs w:val="20"/>
              </w:rPr>
            </w:pPr>
            <w:r>
              <w:rPr>
                <w:spacing w:val="7"/>
                <w:sz w:val="20"/>
                <w:szCs w:val="20"/>
              </w:rPr>
              <w:t>碳酸盐</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/L)</w:t>
            </w:r>
          </w:p>
        </w:tc>
        <w:tc>
          <w:tcPr>
            <w:tcW w:w="1227" w:type="dxa"/>
            <w:vAlign w:val="top"/>
          </w:tcPr>
          <w:p w14:paraId="5238118F">
            <w:pPr>
              <w:pStyle w:val="6"/>
              <w:spacing w:before="37" w:line="211" w:lineRule="auto"/>
              <w:ind w:left="200"/>
              <w:rPr>
                <w:sz w:val="20"/>
                <w:szCs w:val="20"/>
              </w:rPr>
            </w:pPr>
            <w:r>
              <w:rPr>
                <w:spacing w:val="7"/>
                <w:sz w:val="20"/>
                <w:szCs w:val="20"/>
              </w:rPr>
              <w:t>监测结果</w:t>
            </w:r>
          </w:p>
        </w:tc>
        <w:tc>
          <w:tcPr>
            <w:tcW w:w="944" w:type="dxa"/>
            <w:vAlign w:val="top"/>
          </w:tcPr>
          <w:p w14:paraId="63AC9BDD">
            <w:pPr>
              <w:spacing w:before="72" w:line="195" w:lineRule="auto"/>
              <w:ind w:left="42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944" w:type="dxa"/>
            <w:vAlign w:val="top"/>
          </w:tcPr>
          <w:p w14:paraId="6C613AB2">
            <w:pPr>
              <w:spacing w:before="72" w:line="195" w:lineRule="auto"/>
              <w:ind w:left="42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944" w:type="dxa"/>
            <w:vAlign w:val="top"/>
          </w:tcPr>
          <w:p w14:paraId="6EADE34A">
            <w:pPr>
              <w:spacing w:before="72" w:line="195" w:lineRule="auto"/>
              <w:ind w:left="424"/>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944" w:type="dxa"/>
            <w:vAlign w:val="top"/>
          </w:tcPr>
          <w:p w14:paraId="656D6B16">
            <w:pPr>
              <w:spacing w:before="72" w:line="195" w:lineRule="auto"/>
              <w:ind w:left="42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944" w:type="dxa"/>
            <w:vAlign w:val="top"/>
          </w:tcPr>
          <w:p w14:paraId="4A47B9AB">
            <w:pPr>
              <w:spacing w:before="72" w:line="195" w:lineRule="auto"/>
              <w:ind w:left="42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943" w:type="dxa"/>
            <w:vAlign w:val="top"/>
          </w:tcPr>
          <w:p w14:paraId="25D46213">
            <w:pPr>
              <w:spacing w:before="72" w:line="195" w:lineRule="auto"/>
              <w:ind w:left="424"/>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943" w:type="dxa"/>
            <w:tcBorders>
              <w:right w:val="nil"/>
            </w:tcBorders>
            <w:vAlign w:val="top"/>
          </w:tcPr>
          <w:p w14:paraId="516354D4">
            <w:pPr>
              <w:spacing w:before="72" w:line="195" w:lineRule="auto"/>
              <w:ind w:left="424"/>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r>
      <w:tr w14:paraId="237CD9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00C02CEB">
            <w:pPr>
              <w:rPr>
                <w:rFonts w:ascii="Arial"/>
                <w:sz w:val="21"/>
              </w:rPr>
            </w:pPr>
          </w:p>
        </w:tc>
        <w:tc>
          <w:tcPr>
            <w:tcW w:w="1227" w:type="dxa"/>
            <w:vAlign w:val="top"/>
          </w:tcPr>
          <w:p w14:paraId="69B5BB77">
            <w:pPr>
              <w:pStyle w:val="6"/>
              <w:spacing w:before="39" w:line="209" w:lineRule="auto"/>
              <w:ind w:left="198"/>
              <w:rPr>
                <w:sz w:val="20"/>
                <w:szCs w:val="20"/>
              </w:rPr>
            </w:pPr>
            <w:r>
              <w:rPr>
                <w:spacing w:val="7"/>
                <w:sz w:val="20"/>
                <w:szCs w:val="20"/>
              </w:rPr>
              <w:t>评价结果</w:t>
            </w:r>
          </w:p>
        </w:tc>
        <w:tc>
          <w:tcPr>
            <w:tcW w:w="944" w:type="dxa"/>
            <w:vAlign w:val="top"/>
          </w:tcPr>
          <w:p w14:paraId="75C74CEC">
            <w:pPr>
              <w:spacing w:before="71"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695CA25C">
            <w:pPr>
              <w:spacing w:before="71"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5A7D0F7D">
            <w:pPr>
              <w:spacing w:before="71"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1DF9D40F">
            <w:pPr>
              <w:spacing w:before="71"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6FDFF29F">
            <w:pPr>
              <w:spacing w:before="71"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568CFFB2">
            <w:pPr>
              <w:spacing w:before="71" w:line="19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40B13B85">
            <w:pPr>
              <w:spacing w:before="71"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6DC04E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7640F4C5">
            <w:pPr>
              <w:pStyle w:val="6"/>
              <w:spacing w:before="58"/>
              <w:ind w:left="438" w:right="307" w:hanging="124"/>
              <w:rPr>
                <w:rFonts w:ascii="Times New Roman" w:hAnsi="Times New Roman" w:eastAsia="Times New Roman" w:cs="Times New Roman"/>
                <w:sz w:val="20"/>
                <w:szCs w:val="20"/>
              </w:rPr>
            </w:pPr>
            <w:r>
              <w:rPr>
                <w:spacing w:val="7"/>
                <w:sz w:val="20"/>
                <w:szCs w:val="20"/>
              </w:rPr>
              <w:t>重碳酸盐</w:t>
            </w:r>
            <w:r>
              <w:rPr>
                <w:sz w:val="20"/>
                <w:szCs w:val="20"/>
              </w:rPr>
              <w:t xml:space="preserve"> </w:t>
            </w:r>
            <w:r>
              <w:rPr>
                <w:rFonts w:ascii="Times New Roman" w:hAnsi="Times New Roman" w:eastAsia="Times New Roman" w:cs="Times New Roman"/>
                <w:spacing w:val="3"/>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3"/>
                <w:sz w:val="20"/>
                <w:szCs w:val="20"/>
              </w:rPr>
              <w:t>/L)</w:t>
            </w:r>
          </w:p>
        </w:tc>
        <w:tc>
          <w:tcPr>
            <w:tcW w:w="1227" w:type="dxa"/>
            <w:vAlign w:val="top"/>
          </w:tcPr>
          <w:p w14:paraId="3F1AB446">
            <w:pPr>
              <w:pStyle w:val="6"/>
              <w:spacing w:before="39" w:line="210" w:lineRule="auto"/>
              <w:ind w:left="200"/>
              <w:rPr>
                <w:sz w:val="20"/>
                <w:szCs w:val="20"/>
              </w:rPr>
            </w:pPr>
            <w:r>
              <w:rPr>
                <w:spacing w:val="7"/>
                <w:sz w:val="20"/>
                <w:szCs w:val="20"/>
              </w:rPr>
              <w:t>监测结果</w:t>
            </w:r>
          </w:p>
        </w:tc>
        <w:tc>
          <w:tcPr>
            <w:tcW w:w="944" w:type="dxa"/>
            <w:vAlign w:val="top"/>
          </w:tcPr>
          <w:p w14:paraId="7D04FB55">
            <w:pPr>
              <w:spacing w:before="74" w:line="195" w:lineRule="auto"/>
              <w:ind w:left="3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347</w:t>
            </w:r>
          </w:p>
        </w:tc>
        <w:tc>
          <w:tcPr>
            <w:tcW w:w="944" w:type="dxa"/>
            <w:vAlign w:val="top"/>
          </w:tcPr>
          <w:p w14:paraId="2FA958B0">
            <w:pPr>
              <w:spacing w:before="74" w:line="195" w:lineRule="auto"/>
              <w:ind w:left="32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327</w:t>
            </w:r>
          </w:p>
        </w:tc>
        <w:tc>
          <w:tcPr>
            <w:tcW w:w="944" w:type="dxa"/>
            <w:vAlign w:val="top"/>
          </w:tcPr>
          <w:p w14:paraId="36859B5F">
            <w:pPr>
              <w:spacing w:before="74" w:line="195" w:lineRule="auto"/>
              <w:ind w:left="3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419</w:t>
            </w:r>
          </w:p>
        </w:tc>
        <w:tc>
          <w:tcPr>
            <w:tcW w:w="944" w:type="dxa"/>
            <w:vAlign w:val="top"/>
          </w:tcPr>
          <w:p w14:paraId="5FCFB95D">
            <w:pPr>
              <w:spacing w:before="74" w:line="195" w:lineRule="auto"/>
              <w:ind w:left="3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236</w:t>
            </w:r>
          </w:p>
        </w:tc>
        <w:tc>
          <w:tcPr>
            <w:tcW w:w="944" w:type="dxa"/>
            <w:vAlign w:val="top"/>
          </w:tcPr>
          <w:p w14:paraId="513A9A1B">
            <w:pPr>
              <w:spacing w:before="74"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532</w:t>
            </w:r>
          </w:p>
        </w:tc>
        <w:tc>
          <w:tcPr>
            <w:tcW w:w="943" w:type="dxa"/>
            <w:vAlign w:val="top"/>
          </w:tcPr>
          <w:p w14:paraId="6E5A2658">
            <w:pPr>
              <w:spacing w:before="74"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177</w:t>
            </w:r>
          </w:p>
        </w:tc>
        <w:tc>
          <w:tcPr>
            <w:tcW w:w="943" w:type="dxa"/>
            <w:tcBorders>
              <w:right w:val="nil"/>
            </w:tcBorders>
            <w:vAlign w:val="top"/>
          </w:tcPr>
          <w:p w14:paraId="2103BB5C">
            <w:pPr>
              <w:spacing w:before="74" w:line="195" w:lineRule="auto"/>
              <w:ind w:left="31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230</w:t>
            </w:r>
          </w:p>
        </w:tc>
      </w:tr>
      <w:tr w14:paraId="626F25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28071A1F">
            <w:pPr>
              <w:rPr>
                <w:rFonts w:ascii="Arial"/>
                <w:sz w:val="21"/>
              </w:rPr>
            </w:pPr>
          </w:p>
        </w:tc>
        <w:tc>
          <w:tcPr>
            <w:tcW w:w="1227" w:type="dxa"/>
            <w:vAlign w:val="top"/>
          </w:tcPr>
          <w:p w14:paraId="004BFEA9">
            <w:pPr>
              <w:pStyle w:val="6"/>
              <w:spacing w:before="40" w:line="208" w:lineRule="auto"/>
              <w:ind w:left="198"/>
              <w:rPr>
                <w:sz w:val="20"/>
                <w:szCs w:val="20"/>
              </w:rPr>
            </w:pPr>
            <w:r>
              <w:rPr>
                <w:spacing w:val="7"/>
                <w:sz w:val="20"/>
                <w:szCs w:val="20"/>
              </w:rPr>
              <w:t>评价结果</w:t>
            </w:r>
          </w:p>
        </w:tc>
        <w:tc>
          <w:tcPr>
            <w:tcW w:w="944" w:type="dxa"/>
            <w:vAlign w:val="top"/>
          </w:tcPr>
          <w:p w14:paraId="03561D7C">
            <w:pPr>
              <w:spacing w:before="72"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0BE2A7AD">
            <w:pPr>
              <w:spacing w:before="72"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BA282BF">
            <w:pPr>
              <w:spacing w:before="72"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51B606BA">
            <w:pPr>
              <w:spacing w:before="72"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42B3747F">
            <w:pPr>
              <w:spacing w:before="72"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683CC49D">
            <w:pPr>
              <w:spacing w:before="72" w:line="19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7A2AE6C3">
            <w:pPr>
              <w:spacing w:before="72"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588F3E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restart"/>
            <w:tcBorders>
              <w:left w:val="nil"/>
              <w:bottom w:val="nil"/>
            </w:tcBorders>
            <w:vAlign w:val="top"/>
          </w:tcPr>
          <w:p w14:paraId="6AECF906">
            <w:pPr>
              <w:pStyle w:val="6"/>
              <w:spacing w:before="45" w:line="232" w:lineRule="auto"/>
              <w:ind w:left="120" w:right="113" w:firstLine="105"/>
              <w:rPr>
                <w:rFonts w:ascii="Times New Roman" w:hAnsi="Times New Roman" w:eastAsia="Times New Roman" w:cs="Times New Roman"/>
                <w:sz w:val="20"/>
                <w:szCs w:val="20"/>
              </w:rPr>
            </w:pPr>
            <w:r>
              <w:rPr>
                <w:spacing w:val="4"/>
                <w:sz w:val="20"/>
                <w:szCs w:val="20"/>
              </w:rPr>
              <w:t>阴离子合成</w:t>
            </w:r>
            <w:r>
              <w:rPr>
                <w:spacing w:val="1"/>
                <w:sz w:val="20"/>
                <w:szCs w:val="20"/>
              </w:rPr>
              <w:t xml:space="preserve">  </w:t>
            </w:r>
            <w:r>
              <w:rPr>
                <w:spacing w:val="7"/>
                <w:sz w:val="20"/>
                <w:szCs w:val="20"/>
              </w:rPr>
              <w:t>洗涤剂</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/L)</w:t>
            </w:r>
          </w:p>
        </w:tc>
        <w:tc>
          <w:tcPr>
            <w:tcW w:w="1227" w:type="dxa"/>
            <w:vAlign w:val="top"/>
          </w:tcPr>
          <w:p w14:paraId="3B957ABD">
            <w:pPr>
              <w:pStyle w:val="6"/>
              <w:spacing w:before="42" w:line="206" w:lineRule="auto"/>
              <w:ind w:left="200"/>
              <w:rPr>
                <w:sz w:val="20"/>
                <w:szCs w:val="20"/>
              </w:rPr>
            </w:pPr>
            <w:r>
              <w:rPr>
                <w:spacing w:val="7"/>
                <w:sz w:val="20"/>
                <w:szCs w:val="20"/>
              </w:rPr>
              <w:t>监测结果</w:t>
            </w:r>
          </w:p>
        </w:tc>
        <w:tc>
          <w:tcPr>
            <w:tcW w:w="944" w:type="dxa"/>
            <w:vAlign w:val="top"/>
          </w:tcPr>
          <w:p w14:paraId="2872966A">
            <w:pPr>
              <w:spacing w:before="78" w:line="195" w:lineRule="auto"/>
              <w:ind w:left="1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0.050L</w:t>
            </w:r>
          </w:p>
        </w:tc>
        <w:tc>
          <w:tcPr>
            <w:tcW w:w="944" w:type="dxa"/>
            <w:vAlign w:val="top"/>
          </w:tcPr>
          <w:p w14:paraId="7BA9190E">
            <w:pPr>
              <w:spacing w:before="78"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0.050L</w:t>
            </w:r>
          </w:p>
        </w:tc>
        <w:tc>
          <w:tcPr>
            <w:tcW w:w="944" w:type="dxa"/>
            <w:vAlign w:val="top"/>
          </w:tcPr>
          <w:p w14:paraId="2B9F4127">
            <w:pPr>
              <w:spacing w:before="78"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0.050L</w:t>
            </w:r>
          </w:p>
        </w:tc>
        <w:tc>
          <w:tcPr>
            <w:tcW w:w="944" w:type="dxa"/>
            <w:vAlign w:val="top"/>
          </w:tcPr>
          <w:p w14:paraId="3D750099">
            <w:pPr>
              <w:spacing w:before="78" w:line="195" w:lineRule="auto"/>
              <w:ind w:left="1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0.050L</w:t>
            </w:r>
          </w:p>
        </w:tc>
        <w:tc>
          <w:tcPr>
            <w:tcW w:w="944" w:type="dxa"/>
            <w:vAlign w:val="top"/>
          </w:tcPr>
          <w:p w14:paraId="18BB831E">
            <w:pPr>
              <w:spacing w:before="78"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0.050L</w:t>
            </w:r>
          </w:p>
        </w:tc>
        <w:tc>
          <w:tcPr>
            <w:tcW w:w="943" w:type="dxa"/>
            <w:vAlign w:val="top"/>
          </w:tcPr>
          <w:p w14:paraId="14C0DBE0">
            <w:pPr>
              <w:spacing w:before="78"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0.050L</w:t>
            </w:r>
          </w:p>
        </w:tc>
        <w:tc>
          <w:tcPr>
            <w:tcW w:w="943" w:type="dxa"/>
            <w:tcBorders>
              <w:right w:val="nil"/>
            </w:tcBorders>
            <w:vAlign w:val="top"/>
          </w:tcPr>
          <w:p w14:paraId="441DEC24">
            <w:pPr>
              <w:spacing w:before="78" w:line="195"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0.050L</w:t>
            </w:r>
          </w:p>
        </w:tc>
      </w:tr>
      <w:tr w14:paraId="135747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355366C4">
            <w:pPr>
              <w:rPr>
                <w:rFonts w:ascii="Arial"/>
                <w:sz w:val="21"/>
              </w:rPr>
            </w:pPr>
          </w:p>
        </w:tc>
        <w:tc>
          <w:tcPr>
            <w:tcW w:w="1227" w:type="dxa"/>
            <w:vAlign w:val="top"/>
          </w:tcPr>
          <w:p w14:paraId="2321E918">
            <w:pPr>
              <w:pStyle w:val="6"/>
              <w:spacing w:before="42" w:line="207" w:lineRule="auto"/>
              <w:ind w:left="198"/>
              <w:rPr>
                <w:sz w:val="20"/>
                <w:szCs w:val="20"/>
              </w:rPr>
            </w:pPr>
            <w:r>
              <w:rPr>
                <w:spacing w:val="7"/>
                <w:sz w:val="20"/>
                <w:szCs w:val="20"/>
              </w:rPr>
              <w:t>评价结果</w:t>
            </w:r>
          </w:p>
        </w:tc>
        <w:tc>
          <w:tcPr>
            <w:tcW w:w="944" w:type="dxa"/>
            <w:vAlign w:val="top"/>
          </w:tcPr>
          <w:p w14:paraId="6EE43037">
            <w:pPr>
              <w:spacing w:before="74"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45198A3E">
            <w:pPr>
              <w:spacing w:before="74"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5BE04A42">
            <w:pPr>
              <w:spacing w:before="74"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ED41666">
            <w:pPr>
              <w:spacing w:before="74"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6ADB3203">
            <w:pPr>
              <w:spacing w:before="74"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0C11A571">
            <w:pPr>
              <w:spacing w:before="74" w:line="19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544A8A98">
            <w:pPr>
              <w:spacing w:before="74"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34B077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restart"/>
            <w:tcBorders>
              <w:left w:val="nil"/>
              <w:bottom w:val="nil"/>
            </w:tcBorders>
            <w:vAlign w:val="top"/>
          </w:tcPr>
          <w:p w14:paraId="1DC1D3A3">
            <w:pPr>
              <w:pStyle w:val="6"/>
              <w:spacing w:before="182" w:line="221" w:lineRule="auto"/>
              <w:ind w:left="331"/>
              <w:rPr>
                <w:rFonts w:ascii="Times New Roman" w:hAnsi="Times New Roman" w:eastAsia="Times New Roman" w:cs="Times New Roman"/>
                <w:sz w:val="20"/>
                <w:szCs w:val="20"/>
              </w:rPr>
            </w:pPr>
            <w:r>
              <w:rPr>
                <w:spacing w:val="5"/>
                <w:sz w:val="20"/>
                <w:szCs w:val="20"/>
              </w:rPr>
              <w:t>镍</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236963B3">
            <w:pPr>
              <w:pStyle w:val="6"/>
              <w:spacing w:before="43" w:line="205" w:lineRule="auto"/>
              <w:ind w:left="200"/>
              <w:rPr>
                <w:sz w:val="20"/>
                <w:szCs w:val="20"/>
              </w:rPr>
            </w:pPr>
            <w:r>
              <w:rPr>
                <w:spacing w:val="7"/>
                <w:sz w:val="20"/>
                <w:szCs w:val="20"/>
              </w:rPr>
              <w:t>监测结果</w:t>
            </w:r>
          </w:p>
        </w:tc>
        <w:tc>
          <w:tcPr>
            <w:tcW w:w="944" w:type="dxa"/>
            <w:vAlign w:val="top"/>
          </w:tcPr>
          <w:p w14:paraId="3E028220">
            <w:pPr>
              <w:spacing w:before="59" w:line="216" w:lineRule="auto"/>
              <w:ind w:left="1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5×10</w:t>
            </w:r>
            <w:r>
              <w:rPr>
                <w:rFonts w:ascii="Times New Roman" w:hAnsi="Times New Roman" w:eastAsia="Times New Roman" w:cs="Times New Roman"/>
                <w:spacing w:val="3"/>
                <w:position w:val="6"/>
                <w:sz w:val="13"/>
                <w:szCs w:val="13"/>
              </w:rPr>
              <w:t>-3</w:t>
            </w:r>
            <w:r>
              <w:rPr>
                <w:rFonts w:ascii="Times New Roman" w:hAnsi="Times New Roman" w:eastAsia="Times New Roman" w:cs="Times New Roman"/>
                <w:spacing w:val="3"/>
                <w:sz w:val="20"/>
                <w:szCs w:val="20"/>
              </w:rPr>
              <w:t>L</w:t>
            </w:r>
          </w:p>
        </w:tc>
        <w:tc>
          <w:tcPr>
            <w:tcW w:w="944" w:type="dxa"/>
            <w:vAlign w:val="top"/>
          </w:tcPr>
          <w:p w14:paraId="5052A41B">
            <w:pPr>
              <w:spacing w:before="59" w:line="216"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2"/>
                <w:sz w:val="20"/>
                <w:szCs w:val="20"/>
              </w:rPr>
              <w:t>L</w:t>
            </w:r>
          </w:p>
        </w:tc>
        <w:tc>
          <w:tcPr>
            <w:tcW w:w="944" w:type="dxa"/>
            <w:vAlign w:val="top"/>
          </w:tcPr>
          <w:p w14:paraId="2C5D8B29">
            <w:pPr>
              <w:spacing w:before="59" w:line="216"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2"/>
                <w:sz w:val="20"/>
                <w:szCs w:val="20"/>
              </w:rPr>
              <w:t>L</w:t>
            </w:r>
          </w:p>
        </w:tc>
        <w:tc>
          <w:tcPr>
            <w:tcW w:w="944" w:type="dxa"/>
            <w:vAlign w:val="top"/>
          </w:tcPr>
          <w:p w14:paraId="4F7D5887">
            <w:pPr>
              <w:spacing w:before="59" w:line="216" w:lineRule="auto"/>
              <w:ind w:left="1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5×10</w:t>
            </w:r>
            <w:r>
              <w:rPr>
                <w:rFonts w:ascii="Times New Roman" w:hAnsi="Times New Roman" w:eastAsia="Times New Roman" w:cs="Times New Roman"/>
                <w:spacing w:val="3"/>
                <w:position w:val="6"/>
                <w:sz w:val="13"/>
                <w:szCs w:val="13"/>
              </w:rPr>
              <w:t>-3</w:t>
            </w:r>
            <w:r>
              <w:rPr>
                <w:rFonts w:ascii="Times New Roman" w:hAnsi="Times New Roman" w:eastAsia="Times New Roman" w:cs="Times New Roman"/>
                <w:spacing w:val="3"/>
                <w:sz w:val="20"/>
                <w:szCs w:val="20"/>
              </w:rPr>
              <w:t>L</w:t>
            </w:r>
          </w:p>
        </w:tc>
        <w:tc>
          <w:tcPr>
            <w:tcW w:w="944" w:type="dxa"/>
            <w:vAlign w:val="top"/>
          </w:tcPr>
          <w:p w14:paraId="1F846689">
            <w:pPr>
              <w:spacing w:before="59" w:line="216"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2"/>
                <w:sz w:val="20"/>
                <w:szCs w:val="20"/>
              </w:rPr>
              <w:t>L</w:t>
            </w:r>
          </w:p>
        </w:tc>
        <w:tc>
          <w:tcPr>
            <w:tcW w:w="943" w:type="dxa"/>
            <w:vAlign w:val="top"/>
          </w:tcPr>
          <w:p w14:paraId="190819AC">
            <w:pPr>
              <w:spacing w:before="59" w:line="216"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2"/>
                <w:sz w:val="20"/>
                <w:szCs w:val="20"/>
              </w:rPr>
              <w:t>L</w:t>
            </w:r>
          </w:p>
        </w:tc>
        <w:tc>
          <w:tcPr>
            <w:tcW w:w="943" w:type="dxa"/>
            <w:tcBorders>
              <w:right w:val="nil"/>
            </w:tcBorders>
            <w:vAlign w:val="top"/>
          </w:tcPr>
          <w:p w14:paraId="58C4A715">
            <w:pPr>
              <w:spacing w:before="59" w:line="216"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2"/>
                <w:sz w:val="20"/>
                <w:szCs w:val="20"/>
              </w:rPr>
              <w:t>L</w:t>
            </w:r>
          </w:p>
        </w:tc>
      </w:tr>
      <w:tr w14:paraId="355378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667D4AF7">
            <w:pPr>
              <w:rPr>
                <w:rFonts w:ascii="Arial"/>
                <w:sz w:val="21"/>
              </w:rPr>
            </w:pPr>
          </w:p>
        </w:tc>
        <w:tc>
          <w:tcPr>
            <w:tcW w:w="1227" w:type="dxa"/>
            <w:vAlign w:val="top"/>
          </w:tcPr>
          <w:p w14:paraId="46B4634C">
            <w:pPr>
              <w:pStyle w:val="6"/>
              <w:spacing w:before="42" w:line="206" w:lineRule="auto"/>
              <w:ind w:left="198"/>
              <w:rPr>
                <w:sz w:val="20"/>
                <w:szCs w:val="20"/>
              </w:rPr>
            </w:pPr>
            <w:r>
              <w:rPr>
                <w:spacing w:val="7"/>
                <w:sz w:val="20"/>
                <w:szCs w:val="20"/>
              </w:rPr>
              <w:t>评价结果</w:t>
            </w:r>
          </w:p>
        </w:tc>
        <w:tc>
          <w:tcPr>
            <w:tcW w:w="944" w:type="dxa"/>
            <w:vAlign w:val="top"/>
          </w:tcPr>
          <w:p w14:paraId="36292243">
            <w:pPr>
              <w:spacing w:before="75"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5E1B397A">
            <w:pPr>
              <w:spacing w:before="75"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39C17B84">
            <w:pPr>
              <w:spacing w:before="75"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A3E1F36">
            <w:pPr>
              <w:spacing w:before="75"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88FA5E7">
            <w:pPr>
              <w:spacing w:before="75"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076FA5F2">
            <w:pPr>
              <w:spacing w:before="75" w:line="19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0E394BC8">
            <w:pPr>
              <w:spacing w:before="75"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F362E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3DF47F66">
            <w:pPr>
              <w:pStyle w:val="6"/>
              <w:spacing w:before="184" w:line="221" w:lineRule="auto"/>
              <w:ind w:left="332"/>
              <w:rPr>
                <w:rFonts w:ascii="Times New Roman" w:hAnsi="Times New Roman" w:eastAsia="Times New Roman" w:cs="Times New Roman"/>
                <w:sz w:val="20"/>
                <w:szCs w:val="20"/>
              </w:rPr>
            </w:pPr>
            <w:r>
              <w:rPr>
                <w:spacing w:val="5"/>
                <w:sz w:val="20"/>
                <w:szCs w:val="20"/>
              </w:rPr>
              <w:t>铜</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3A8E8F58">
            <w:pPr>
              <w:pStyle w:val="6"/>
              <w:spacing w:before="45" w:line="204" w:lineRule="auto"/>
              <w:ind w:left="200"/>
              <w:rPr>
                <w:sz w:val="20"/>
                <w:szCs w:val="20"/>
              </w:rPr>
            </w:pPr>
            <w:r>
              <w:rPr>
                <w:spacing w:val="7"/>
                <w:sz w:val="20"/>
                <w:szCs w:val="20"/>
              </w:rPr>
              <w:t>监测结果</w:t>
            </w:r>
          </w:p>
        </w:tc>
        <w:tc>
          <w:tcPr>
            <w:tcW w:w="944" w:type="dxa"/>
            <w:vAlign w:val="top"/>
          </w:tcPr>
          <w:p w14:paraId="17D9117E">
            <w:pPr>
              <w:spacing w:before="82" w:line="193"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0.05L</w:t>
            </w:r>
          </w:p>
        </w:tc>
        <w:tc>
          <w:tcPr>
            <w:tcW w:w="944" w:type="dxa"/>
            <w:vAlign w:val="top"/>
          </w:tcPr>
          <w:p w14:paraId="47ED50F9">
            <w:pPr>
              <w:spacing w:before="82" w:line="193"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0.05L</w:t>
            </w:r>
          </w:p>
        </w:tc>
        <w:tc>
          <w:tcPr>
            <w:tcW w:w="944" w:type="dxa"/>
            <w:vAlign w:val="top"/>
          </w:tcPr>
          <w:p w14:paraId="1CFB45E7">
            <w:pPr>
              <w:spacing w:before="82" w:line="193" w:lineRule="auto"/>
              <w:ind w:left="2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0.05L</w:t>
            </w:r>
          </w:p>
        </w:tc>
        <w:tc>
          <w:tcPr>
            <w:tcW w:w="944" w:type="dxa"/>
            <w:vAlign w:val="top"/>
          </w:tcPr>
          <w:p w14:paraId="72736AB2">
            <w:pPr>
              <w:spacing w:before="82" w:line="193"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0.05L</w:t>
            </w:r>
          </w:p>
        </w:tc>
        <w:tc>
          <w:tcPr>
            <w:tcW w:w="944" w:type="dxa"/>
            <w:vAlign w:val="top"/>
          </w:tcPr>
          <w:p w14:paraId="07CD699B">
            <w:pPr>
              <w:spacing w:before="82" w:line="193"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0.05L</w:t>
            </w:r>
          </w:p>
        </w:tc>
        <w:tc>
          <w:tcPr>
            <w:tcW w:w="943" w:type="dxa"/>
            <w:vAlign w:val="top"/>
          </w:tcPr>
          <w:p w14:paraId="25879F32">
            <w:pPr>
              <w:spacing w:before="82" w:line="193" w:lineRule="auto"/>
              <w:ind w:left="2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0.05L</w:t>
            </w:r>
          </w:p>
        </w:tc>
        <w:tc>
          <w:tcPr>
            <w:tcW w:w="943" w:type="dxa"/>
            <w:tcBorders>
              <w:right w:val="nil"/>
            </w:tcBorders>
            <w:vAlign w:val="top"/>
          </w:tcPr>
          <w:p w14:paraId="3E8BED8B">
            <w:pPr>
              <w:spacing w:before="82" w:line="193"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0.05L</w:t>
            </w:r>
          </w:p>
        </w:tc>
      </w:tr>
      <w:tr w14:paraId="5412A6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4D357590">
            <w:pPr>
              <w:rPr>
                <w:rFonts w:ascii="Arial"/>
                <w:sz w:val="21"/>
              </w:rPr>
            </w:pPr>
          </w:p>
        </w:tc>
        <w:tc>
          <w:tcPr>
            <w:tcW w:w="1227" w:type="dxa"/>
            <w:vAlign w:val="top"/>
          </w:tcPr>
          <w:p w14:paraId="7B13E9CA">
            <w:pPr>
              <w:pStyle w:val="6"/>
              <w:spacing w:before="43" w:line="205" w:lineRule="auto"/>
              <w:ind w:left="198"/>
              <w:rPr>
                <w:sz w:val="20"/>
                <w:szCs w:val="20"/>
              </w:rPr>
            </w:pPr>
            <w:r>
              <w:rPr>
                <w:spacing w:val="7"/>
                <w:sz w:val="20"/>
                <w:szCs w:val="20"/>
              </w:rPr>
              <w:t>评价结果</w:t>
            </w:r>
          </w:p>
        </w:tc>
        <w:tc>
          <w:tcPr>
            <w:tcW w:w="944" w:type="dxa"/>
            <w:vAlign w:val="top"/>
          </w:tcPr>
          <w:p w14:paraId="479EB872">
            <w:pPr>
              <w:spacing w:before="76" w:line="198"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7F1E337">
            <w:pPr>
              <w:spacing w:before="76" w:line="198"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555456DB">
            <w:pPr>
              <w:spacing w:before="76" w:line="198"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62CBC032">
            <w:pPr>
              <w:spacing w:before="76" w:line="198"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7BD0B03B">
            <w:pPr>
              <w:spacing w:before="76" w:line="198"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3F5DAF04">
            <w:pPr>
              <w:spacing w:before="76" w:line="198"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7C170EA4">
            <w:pPr>
              <w:spacing w:before="76" w:line="198"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367D77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restart"/>
            <w:tcBorders>
              <w:left w:val="nil"/>
              <w:bottom w:val="nil"/>
            </w:tcBorders>
            <w:vAlign w:val="top"/>
          </w:tcPr>
          <w:p w14:paraId="4A370F7C">
            <w:pPr>
              <w:pStyle w:val="6"/>
              <w:spacing w:before="188" w:line="221" w:lineRule="auto"/>
              <w:ind w:left="331"/>
              <w:rPr>
                <w:rFonts w:ascii="Times New Roman" w:hAnsi="Times New Roman" w:eastAsia="Times New Roman" w:cs="Times New Roman"/>
                <w:sz w:val="20"/>
                <w:szCs w:val="20"/>
              </w:rPr>
            </w:pPr>
            <w:r>
              <w:rPr>
                <w:spacing w:val="5"/>
                <w:sz w:val="20"/>
                <w:szCs w:val="20"/>
              </w:rPr>
              <w:t>锌</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3710AF6E">
            <w:pPr>
              <w:pStyle w:val="6"/>
              <w:spacing w:before="45" w:line="204" w:lineRule="auto"/>
              <w:ind w:left="200"/>
              <w:rPr>
                <w:sz w:val="20"/>
                <w:szCs w:val="20"/>
              </w:rPr>
            </w:pPr>
            <w:r>
              <w:rPr>
                <w:spacing w:val="7"/>
                <w:sz w:val="20"/>
                <w:szCs w:val="20"/>
              </w:rPr>
              <w:t>监测结果</w:t>
            </w:r>
          </w:p>
        </w:tc>
        <w:tc>
          <w:tcPr>
            <w:tcW w:w="944" w:type="dxa"/>
            <w:vAlign w:val="top"/>
          </w:tcPr>
          <w:p w14:paraId="45362823">
            <w:pPr>
              <w:spacing w:before="83" w:line="192"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0.05L</w:t>
            </w:r>
          </w:p>
        </w:tc>
        <w:tc>
          <w:tcPr>
            <w:tcW w:w="944" w:type="dxa"/>
            <w:vAlign w:val="top"/>
          </w:tcPr>
          <w:p w14:paraId="767AC59A">
            <w:pPr>
              <w:spacing w:before="83" w:line="192"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0.05L</w:t>
            </w:r>
          </w:p>
        </w:tc>
        <w:tc>
          <w:tcPr>
            <w:tcW w:w="944" w:type="dxa"/>
            <w:vAlign w:val="top"/>
          </w:tcPr>
          <w:p w14:paraId="7185EC46">
            <w:pPr>
              <w:spacing w:before="83" w:line="192" w:lineRule="auto"/>
              <w:ind w:left="2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0.05L</w:t>
            </w:r>
          </w:p>
        </w:tc>
        <w:tc>
          <w:tcPr>
            <w:tcW w:w="944" w:type="dxa"/>
            <w:vAlign w:val="top"/>
          </w:tcPr>
          <w:p w14:paraId="4C9EEFE9">
            <w:pPr>
              <w:spacing w:before="83" w:line="192"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0.05L</w:t>
            </w:r>
          </w:p>
        </w:tc>
        <w:tc>
          <w:tcPr>
            <w:tcW w:w="944" w:type="dxa"/>
            <w:vAlign w:val="top"/>
          </w:tcPr>
          <w:p w14:paraId="216B3499">
            <w:pPr>
              <w:spacing w:before="83" w:line="192"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0.05L</w:t>
            </w:r>
          </w:p>
        </w:tc>
        <w:tc>
          <w:tcPr>
            <w:tcW w:w="943" w:type="dxa"/>
            <w:vAlign w:val="top"/>
          </w:tcPr>
          <w:p w14:paraId="6D8258C2">
            <w:pPr>
              <w:spacing w:before="83" w:line="192" w:lineRule="auto"/>
              <w:ind w:left="2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0.05L</w:t>
            </w:r>
          </w:p>
        </w:tc>
        <w:tc>
          <w:tcPr>
            <w:tcW w:w="943" w:type="dxa"/>
            <w:tcBorders>
              <w:right w:val="nil"/>
            </w:tcBorders>
            <w:vAlign w:val="top"/>
          </w:tcPr>
          <w:p w14:paraId="0A45AAFD">
            <w:pPr>
              <w:spacing w:before="83" w:line="192"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0.05L</w:t>
            </w:r>
          </w:p>
        </w:tc>
      </w:tr>
      <w:tr w14:paraId="7E8166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38D73F4B">
            <w:pPr>
              <w:rPr>
                <w:rFonts w:ascii="Arial"/>
                <w:sz w:val="21"/>
              </w:rPr>
            </w:pPr>
          </w:p>
        </w:tc>
        <w:tc>
          <w:tcPr>
            <w:tcW w:w="1227" w:type="dxa"/>
            <w:vAlign w:val="top"/>
          </w:tcPr>
          <w:p w14:paraId="6D73E573">
            <w:pPr>
              <w:pStyle w:val="6"/>
              <w:spacing w:before="47" w:line="202" w:lineRule="auto"/>
              <w:ind w:left="198"/>
              <w:rPr>
                <w:sz w:val="20"/>
                <w:szCs w:val="20"/>
              </w:rPr>
            </w:pPr>
            <w:r>
              <w:rPr>
                <w:spacing w:val="7"/>
                <w:sz w:val="20"/>
                <w:szCs w:val="20"/>
              </w:rPr>
              <w:t>评价结果</w:t>
            </w:r>
          </w:p>
        </w:tc>
        <w:tc>
          <w:tcPr>
            <w:tcW w:w="944" w:type="dxa"/>
            <w:vAlign w:val="top"/>
          </w:tcPr>
          <w:p w14:paraId="4A58479D">
            <w:pPr>
              <w:spacing w:before="80" w:line="194"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4182904D">
            <w:pPr>
              <w:spacing w:before="80" w:line="194"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4CD910BE">
            <w:pPr>
              <w:spacing w:before="80" w:line="194"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30F67E49">
            <w:pPr>
              <w:spacing w:before="80" w:line="194"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32B7A894">
            <w:pPr>
              <w:spacing w:before="80" w:line="194"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385001EF">
            <w:pPr>
              <w:spacing w:before="80" w:line="194"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405D0463">
            <w:pPr>
              <w:spacing w:before="80" w:line="194"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390ECA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restart"/>
            <w:tcBorders>
              <w:left w:val="nil"/>
              <w:bottom w:val="nil"/>
            </w:tcBorders>
            <w:vAlign w:val="top"/>
          </w:tcPr>
          <w:p w14:paraId="2A5B9669">
            <w:pPr>
              <w:pStyle w:val="6"/>
              <w:spacing w:before="189" w:line="221" w:lineRule="auto"/>
              <w:ind w:left="120"/>
              <w:rPr>
                <w:rFonts w:ascii="Times New Roman" w:hAnsi="Times New Roman" w:eastAsia="Times New Roman" w:cs="Times New Roman"/>
                <w:sz w:val="20"/>
                <w:szCs w:val="20"/>
              </w:rPr>
            </w:pPr>
            <w:r>
              <w:rPr>
                <w:spacing w:val="7"/>
                <w:sz w:val="20"/>
                <w:szCs w:val="20"/>
              </w:rPr>
              <w:t>硫化物</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/L)</w:t>
            </w:r>
          </w:p>
        </w:tc>
        <w:tc>
          <w:tcPr>
            <w:tcW w:w="1227" w:type="dxa"/>
            <w:vAlign w:val="top"/>
          </w:tcPr>
          <w:p w14:paraId="61A040A3">
            <w:pPr>
              <w:pStyle w:val="6"/>
              <w:spacing w:before="47" w:line="202" w:lineRule="auto"/>
              <w:ind w:left="200"/>
              <w:rPr>
                <w:sz w:val="20"/>
                <w:szCs w:val="20"/>
              </w:rPr>
            </w:pPr>
            <w:r>
              <w:rPr>
                <w:spacing w:val="7"/>
                <w:sz w:val="20"/>
                <w:szCs w:val="20"/>
              </w:rPr>
              <w:t>监测结果</w:t>
            </w:r>
          </w:p>
        </w:tc>
        <w:tc>
          <w:tcPr>
            <w:tcW w:w="944" w:type="dxa"/>
            <w:vAlign w:val="top"/>
          </w:tcPr>
          <w:p w14:paraId="5BF9EC4F">
            <w:pPr>
              <w:spacing w:before="83" w:line="190" w:lineRule="auto"/>
              <w:ind w:left="1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0.003L</w:t>
            </w:r>
          </w:p>
        </w:tc>
        <w:tc>
          <w:tcPr>
            <w:tcW w:w="944" w:type="dxa"/>
            <w:vAlign w:val="top"/>
          </w:tcPr>
          <w:p w14:paraId="5D749955">
            <w:pPr>
              <w:spacing w:before="83" w:line="190"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0.003L</w:t>
            </w:r>
          </w:p>
        </w:tc>
        <w:tc>
          <w:tcPr>
            <w:tcW w:w="944" w:type="dxa"/>
            <w:vAlign w:val="top"/>
          </w:tcPr>
          <w:p w14:paraId="1A85FC87">
            <w:pPr>
              <w:spacing w:before="83" w:line="190"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0.003L</w:t>
            </w:r>
          </w:p>
        </w:tc>
        <w:tc>
          <w:tcPr>
            <w:tcW w:w="944" w:type="dxa"/>
            <w:vAlign w:val="top"/>
          </w:tcPr>
          <w:p w14:paraId="5ED90C35">
            <w:pPr>
              <w:spacing w:before="83" w:line="190" w:lineRule="auto"/>
              <w:ind w:left="17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0.003L</w:t>
            </w:r>
          </w:p>
        </w:tc>
        <w:tc>
          <w:tcPr>
            <w:tcW w:w="944" w:type="dxa"/>
            <w:vAlign w:val="top"/>
          </w:tcPr>
          <w:p w14:paraId="191305C7">
            <w:pPr>
              <w:spacing w:before="83" w:line="190"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0.003L</w:t>
            </w:r>
          </w:p>
        </w:tc>
        <w:tc>
          <w:tcPr>
            <w:tcW w:w="943" w:type="dxa"/>
            <w:vAlign w:val="top"/>
          </w:tcPr>
          <w:p w14:paraId="74E5E344">
            <w:pPr>
              <w:spacing w:before="83" w:line="190"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0.003L</w:t>
            </w:r>
          </w:p>
        </w:tc>
        <w:tc>
          <w:tcPr>
            <w:tcW w:w="943" w:type="dxa"/>
            <w:tcBorders>
              <w:right w:val="nil"/>
            </w:tcBorders>
            <w:vAlign w:val="top"/>
          </w:tcPr>
          <w:p w14:paraId="461B9B3B">
            <w:pPr>
              <w:spacing w:before="83" w:line="190"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0.003L</w:t>
            </w:r>
          </w:p>
        </w:tc>
      </w:tr>
      <w:tr w14:paraId="072528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53" w:type="dxa"/>
            <w:vMerge w:val="continue"/>
            <w:tcBorders>
              <w:top w:val="nil"/>
              <w:left w:val="nil"/>
            </w:tcBorders>
            <w:vAlign w:val="top"/>
          </w:tcPr>
          <w:p w14:paraId="347E9131">
            <w:pPr>
              <w:rPr>
                <w:rFonts w:ascii="Arial"/>
                <w:sz w:val="21"/>
              </w:rPr>
            </w:pPr>
          </w:p>
        </w:tc>
        <w:tc>
          <w:tcPr>
            <w:tcW w:w="1227" w:type="dxa"/>
            <w:vAlign w:val="top"/>
          </w:tcPr>
          <w:p w14:paraId="3490155C">
            <w:pPr>
              <w:pStyle w:val="6"/>
              <w:spacing w:before="49" w:line="201" w:lineRule="auto"/>
              <w:ind w:left="198"/>
              <w:rPr>
                <w:sz w:val="20"/>
                <w:szCs w:val="20"/>
              </w:rPr>
            </w:pPr>
            <w:r>
              <w:rPr>
                <w:spacing w:val="7"/>
                <w:sz w:val="20"/>
                <w:szCs w:val="20"/>
              </w:rPr>
              <w:t>评价结果</w:t>
            </w:r>
          </w:p>
        </w:tc>
        <w:tc>
          <w:tcPr>
            <w:tcW w:w="944" w:type="dxa"/>
            <w:vAlign w:val="top"/>
          </w:tcPr>
          <w:p w14:paraId="569C2732">
            <w:pPr>
              <w:spacing w:before="82" w:line="193"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34BC4BAA">
            <w:pPr>
              <w:spacing w:before="82" w:line="193"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1EAD9B30">
            <w:pPr>
              <w:spacing w:before="82" w:line="193"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6F70AAB5">
            <w:pPr>
              <w:spacing w:before="82" w:line="193"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6E04C2B1">
            <w:pPr>
              <w:spacing w:before="82" w:line="193"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413FBFC9">
            <w:pPr>
              <w:spacing w:before="82" w:line="193"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7D6E3DFA">
            <w:pPr>
              <w:spacing w:before="82" w:line="193"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431FC1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restart"/>
            <w:tcBorders>
              <w:left w:val="nil"/>
              <w:bottom w:val="nil"/>
            </w:tcBorders>
            <w:vAlign w:val="top"/>
          </w:tcPr>
          <w:p w14:paraId="35BA2E50">
            <w:pPr>
              <w:pStyle w:val="6"/>
              <w:spacing w:before="190" w:line="221" w:lineRule="auto"/>
              <w:ind w:left="122"/>
              <w:rPr>
                <w:rFonts w:ascii="Times New Roman" w:hAnsi="Times New Roman" w:eastAsia="Times New Roman" w:cs="Times New Roman"/>
                <w:sz w:val="20"/>
                <w:szCs w:val="20"/>
              </w:rPr>
            </w:pPr>
            <w:r>
              <w:rPr>
                <w:spacing w:val="6"/>
                <w:sz w:val="20"/>
                <w:szCs w:val="20"/>
              </w:rPr>
              <w:t>石油类</w:t>
            </w:r>
            <w:r>
              <w:rPr>
                <w:rFonts w:ascii="Times New Roman" w:hAnsi="Times New Roman" w:eastAsia="Times New Roman" w:cs="Times New Roman"/>
                <w:spacing w:val="6"/>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6"/>
                <w:sz w:val="20"/>
                <w:szCs w:val="20"/>
              </w:rPr>
              <w:t>/L)</w:t>
            </w:r>
          </w:p>
        </w:tc>
        <w:tc>
          <w:tcPr>
            <w:tcW w:w="1227" w:type="dxa"/>
            <w:vAlign w:val="top"/>
          </w:tcPr>
          <w:p w14:paraId="7E774F0F">
            <w:pPr>
              <w:pStyle w:val="6"/>
              <w:spacing w:before="50" w:line="199" w:lineRule="auto"/>
              <w:ind w:left="200"/>
              <w:rPr>
                <w:sz w:val="20"/>
                <w:szCs w:val="20"/>
              </w:rPr>
            </w:pPr>
            <w:r>
              <w:rPr>
                <w:spacing w:val="7"/>
                <w:sz w:val="20"/>
                <w:szCs w:val="20"/>
              </w:rPr>
              <w:t>监测结果</w:t>
            </w:r>
          </w:p>
        </w:tc>
        <w:tc>
          <w:tcPr>
            <w:tcW w:w="944" w:type="dxa"/>
            <w:vAlign w:val="top"/>
          </w:tcPr>
          <w:p w14:paraId="47D76155">
            <w:pPr>
              <w:spacing w:before="86" w:line="187"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0.01L</w:t>
            </w:r>
          </w:p>
        </w:tc>
        <w:tc>
          <w:tcPr>
            <w:tcW w:w="944" w:type="dxa"/>
            <w:vAlign w:val="top"/>
          </w:tcPr>
          <w:p w14:paraId="08994E7B">
            <w:pPr>
              <w:spacing w:before="86" w:line="187"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0.01L</w:t>
            </w:r>
          </w:p>
        </w:tc>
        <w:tc>
          <w:tcPr>
            <w:tcW w:w="944" w:type="dxa"/>
            <w:vAlign w:val="top"/>
          </w:tcPr>
          <w:p w14:paraId="74918BF0">
            <w:pPr>
              <w:spacing w:before="86" w:line="187" w:lineRule="auto"/>
              <w:ind w:left="2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0.01L</w:t>
            </w:r>
          </w:p>
        </w:tc>
        <w:tc>
          <w:tcPr>
            <w:tcW w:w="944" w:type="dxa"/>
            <w:vAlign w:val="top"/>
          </w:tcPr>
          <w:p w14:paraId="14413C48">
            <w:pPr>
              <w:spacing w:before="86" w:line="187"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0.01L</w:t>
            </w:r>
          </w:p>
        </w:tc>
        <w:tc>
          <w:tcPr>
            <w:tcW w:w="944" w:type="dxa"/>
            <w:vAlign w:val="top"/>
          </w:tcPr>
          <w:p w14:paraId="574E96BA">
            <w:pPr>
              <w:spacing w:before="86" w:line="187"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0.01L</w:t>
            </w:r>
          </w:p>
        </w:tc>
        <w:tc>
          <w:tcPr>
            <w:tcW w:w="943" w:type="dxa"/>
            <w:vAlign w:val="top"/>
          </w:tcPr>
          <w:p w14:paraId="05657AFE">
            <w:pPr>
              <w:spacing w:before="86" w:line="187" w:lineRule="auto"/>
              <w:ind w:left="2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0.01L</w:t>
            </w:r>
          </w:p>
        </w:tc>
        <w:tc>
          <w:tcPr>
            <w:tcW w:w="943" w:type="dxa"/>
            <w:tcBorders>
              <w:right w:val="nil"/>
            </w:tcBorders>
            <w:vAlign w:val="top"/>
          </w:tcPr>
          <w:p w14:paraId="13C99B16">
            <w:pPr>
              <w:spacing w:before="86" w:line="187"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0.01L</w:t>
            </w:r>
          </w:p>
        </w:tc>
      </w:tr>
      <w:tr w14:paraId="56D8F0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53" w:type="dxa"/>
            <w:vMerge w:val="continue"/>
            <w:tcBorders>
              <w:top w:val="nil"/>
              <w:left w:val="nil"/>
            </w:tcBorders>
            <w:vAlign w:val="top"/>
          </w:tcPr>
          <w:p w14:paraId="576DEC02">
            <w:pPr>
              <w:rPr>
                <w:rFonts w:ascii="Arial"/>
                <w:sz w:val="21"/>
              </w:rPr>
            </w:pPr>
          </w:p>
        </w:tc>
        <w:tc>
          <w:tcPr>
            <w:tcW w:w="1227" w:type="dxa"/>
            <w:vAlign w:val="top"/>
          </w:tcPr>
          <w:p w14:paraId="0F25E989">
            <w:pPr>
              <w:pStyle w:val="6"/>
              <w:spacing w:before="50" w:line="199" w:lineRule="auto"/>
              <w:ind w:left="198"/>
              <w:rPr>
                <w:sz w:val="20"/>
                <w:szCs w:val="20"/>
              </w:rPr>
            </w:pPr>
            <w:r>
              <w:rPr>
                <w:spacing w:val="7"/>
                <w:sz w:val="20"/>
                <w:szCs w:val="20"/>
              </w:rPr>
              <w:t>评价结果</w:t>
            </w:r>
          </w:p>
        </w:tc>
        <w:tc>
          <w:tcPr>
            <w:tcW w:w="944" w:type="dxa"/>
            <w:vAlign w:val="top"/>
          </w:tcPr>
          <w:p w14:paraId="41569248">
            <w:pPr>
              <w:spacing w:before="82" w:line="191"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D0F822D">
            <w:pPr>
              <w:spacing w:before="82" w:line="191"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5D022305">
            <w:pPr>
              <w:spacing w:before="82" w:line="191"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2F4D7712">
            <w:pPr>
              <w:spacing w:before="82" w:line="191"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vAlign w:val="top"/>
          </w:tcPr>
          <w:p w14:paraId="6E5EC121">
            <w:pPr>
              <w:spacing w:before="82" w:line="191"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vAlign w:val="top"/>
          </w:tcPr>
          <w:p w14:paraId="5823005F">
            <w:pPr>
              <w:spacing w:before="82" w:line="191"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right w:val="nil"/>
            </w:tcBorders>
            <w:vAlign w:val="top"/>
          </w:tcPr>
          <w:p w14:paraId="76FDC3E4">
            <w:pPr>
              <w:spacing w:before="82" w:line="191"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417D5A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 w:hRule="atLeast"/>
        </w:trPr>
        <w:tc>
          <w:tcPr>
            <w:tcW w:w="1453" w:type="dxa"/>
            <w:vMerge w:val="restart"/>
            <w:tcBorders>
              <w:left w:val="nil"/>
              <w:bottom w:val="nil"/>
            </w:tcBorders>
            <w:vAlign w:val="top"/>
          </w:tcPr>
          <w:p w14:paraId="5D15058C">
            <w:pPr>
              <w:pStyle w:val="6"/>
              <w:spacing w:before="300" w:line="221" w:lineRule="auto"/>
              <w:ind w:left="331"/>
              <w:rPr>
                <w:rFonts w:ascii="Times New Roman" w:hAnsi="Times New Roman" w:eastAsia="Times New Roman" w:cs="Times New Roman"/>
                <w:sz w:val="20"/>
                <w:szCs w:val="20"/>
              </w:rPr>
            </w:pPr>
            <w:r>
              <w:rPr>
                <w:spacing w:val="5"/>
                <w:sz w:val="20"/>
                <w:szCs w:val="20"/>
              </w:rPr>
              <w:t>锑</w:t>
            </w:r>
            <w:r>
              <w:rPr>
                <w:rFonts w:ascii="Times New Roman" w:hAnsi="Times New Roman" w:eastAsia="Times New Roman" w:cs="Times New Roman"/>
                <w:spacing w:val="5"/>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p>
        </w:tc>
        <w:tc>
          <w:tcPr>
            <w:tcW w:w="1227" w:type="dxa"/>
            <w:vAlign w:val="top"/>
          </w:tcPr>
          <w:p w14:paraId="4B52C095">
            <w:pPr>
              <w:pStyle w:val="6"/>
              <w:spacing w:before="158" w:line="228" w:lineRule="auto"/>
              <w:ind w:left="200"/>
              <w:rPr>
                <w:sz w:val="20"/>
                <w:szCs w:val="20"/>
              </w:rPr>
            </w:pPr>
            <w:r>
              <w:rPr>
                <w:spacing w:val="7"/>
                <w:sz w:val="20"/>
                <w:szCs w:val="20"/>
              </w:rPr>
              <w:t>监测结果</w:t>
            </w:r>
          </w:p>
        </w:tc>
        <w:tc>
          <w:tcPr>
            <w:tcW w:w="944" w:type="dxa"/>
            <w:vAlign w:val="top"/>
          </w:tcPr>
          <w:p w14:paraId="7AB1C555">
            <w:pPr>
              <w:spacing w:before="54" w:line="220" w:lineRule="auto"/>
              <w:ind w:left="407" w:right="120" w:hanging="2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6"/>
                <w:position w:val="6"/>
                <w:sz w:val="13"/>
                <w:szCs w:val="13"/>
              </w:rPr>
              <w:t xml:space="preserve"> </w:t>
            </w:r>
            <w:r>
              <w:rPr>
                <w:rFonts w:ascii="Times New Roman" w:hAnsi="Times New Roman" w:eastAsia="Times New Roman" w:cs="Times New Roman"/>
                <w:spacing w:val="1"/>
                <w:sz w:val="20"/>
                <w:szCs w:val="20"/>
              </w:rPr>
              <w:t>L</w:t>
            </w:r>
          </w:p>
        </w:tc>
        <w:tc>
          <w:tcPr>
            <w:tcW w:w="944" w:type="dxa"/>
            <w:vAlign w:val="top"/>
          </w:tcPr>
          <w:p w14:paraId="51786BE5">
            <w:pPr>
              <w:spacing w:before="54" w:line="220" w:lineRule="auto"/>
              <w:ind w:left="409" w:right="119" w:hanging="2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6"/>
                <w:position w:val="6"/>
                <w:sz w:val="13"/>
                <w:szCs w:val="13"/>
              </w:rPr>
              <w:t xml:space="preserve"> </w:t>
            </w:r>
            <w:r>
              <w:rPr>
                <w:rFonts w:ascii="Times New Roman" w:hAnsi="Times New Roman" w:eastAsia="Times New Roman" w:cs="Times New Roman"/>
                <w:spacing w:val="1"/>
                <w:sz w:val="20"/>
                <w:szCs w:val="20"/>
              </w:rPr>
              <w:t>L</w:t>
            </w:r>
          </w:p>
        </w:tc>
        <w:tc>
          <w:tcPr>
            <w:tcW w:w="944" w:type="dxa"/>
            <w:vAlign w:val="top"/>
          </w:tcPr>
          <w:p w14:paraId="36A585AF">
            <w:pPr>
              <w:spacing w:before="54" w:line="220" w:lineRule="auto"/>
              <w:ind w:left="408" w:right="119" w:hanging="2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6"/>
                <w:position w:val="6"/>
                <w:sz w:val="13"/>
                <w:szCs w:val="13"/>
              </w:rPr>
              <w:t xml:space="preserve"> </w:t>
            </w:r>
            <w:r>
              <w:rPr>
                <w:rFonts w:ascii="Times New Roman" w:hAnsi="Times New Roman" w:eastAsia="Times New Roman" w:cs="Times New Roman"/>
                <w:spacing w:val="1"/>
                <w:sz w:val="20"/>
                <w:szCs w:val="20"/>
              </w:rPr>
              <w:t>L</w:t>
            </w:r>
          </w:p>
        </w:tc>
        <w:tc>
          <w:tcPr>
            <w:tcW w:w="944" w:type="dxa"/>
            <w:vAlign w:val="top"/>
          </w:tcPr>
          <w:p w14:paraId="08AFFC15">
            <w:pPr>
              <w:spacing w:before="54" w:line="220" w:lineRule="auto"/>
              <w:ind w:left="407" w:right="120" w:hanging="2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6"/>
                <w:position w:val="6"/>
                <w:sz w:val="13"/>
                <w:szCs w:val="13"/>
              </w:rPr>
              <w:t xml:space="preserve"> </w:t>
            </w:r>
            <w:r>
              <w:rPr>
                <w:rFonts w:ascii="Times New Roman" w:hAnsi="Times New Roman" w:eastAsia="Times New Roman" w:cs="Times New Roman"/>
                <w:spacing w:val="1"/>
                <w:sz w:val="20"/>
                <w:szCs w:val="20"/>
              </w:rPr>
              <w:t>L</w:t>
            </w:r>
          </w:p>
        </w:tc>
        <w:tc>
          <w:tcPr>
            <w:tcW w:w="944" w:type="dxa"/>
            <w:vAlign w:val="top"/>
          </w:tcPr>
          <w:p w14:paraId="7BCA8D15">
            <w:pPr>
              <w:spacing w:before="54" w:line="220" w:lineRule="auto"/>
              <w:ind w:left="409" w:right="119" w:hanging="2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6"/>
                <w:position w:val="6"/>
                <w:sz w:val="13"/>
                <w:szCs w:val="13"/>
              </w:rPr>
              <w:t xml:space="preserve"> </w:t>
            </w:r>
            <w:r>
              <w:rPr>
                <w:rFonts w:ascii="Times New Roman" w:hAnsi="Times New Roman" w:eastAsia="Times New Roman" w:cs="Times New Roman"/>
                <w:spacing w:val="1"/>
                <w:sz w:val="20"/>
                <w:szCs w:val="20"/>
              </w:rPr>
              <w:t>L</w:t>
            </w:r>
          </w:p>
        </w:tc>
        <w:tc>
          <w:tcPr>
            <w:tcW w:w="943" w:type="dxa"/>
            <w:vAlign w:val="top"/>
          </w:tcPr>
          <w:p w14:paraId="4B1E400F">
            <w:pPr>
              <w:spacing w:before="54" w:line="220" w:lineRule="auto"/>
              <w:ind w:left="408" w:right="118" w:hanging="2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6"/>
                <w:position w:val="6"/>
                <w:sz w:val="13"/>
                <w:szCs w:val="13"/>
              </w:rPr>
              <w:t xml:space="preserve"> </w:t>
            </w:r>
            <w:r>
              <w:rPr>
                <w:rFonts w:ascii="Times New Roman" w:hAnsi="Times New Roman" w:eastAsia="Times New Roman" w:cs="Times New Roman"/>
                <w:spacing w:val="1"/>
                <w:sz w:val="20"/>
                <w:szCs w:val="20"/>
              </w:rPr>
              <w:t>L</w:t>
            </w:r>
          </w:p>
        </w:tc>
        <w:tc>
          <w:tcPr>
            <w:tcW w:w="943" w:type="dxa"/>
            <w:tcBorders>
              <w:right w:val="nil"/>
            </w:tcBorders>
            <w:vAlign w:val="top"/>
          </w:tcPr>
          <w:p w14:paraId="5188EBA4">
            <w:pPr>
              <w:spacing w:before="54" w:line="220" w:lineRule="auto"/>
              <w:ind w:left="408" w:right="123" w:hanging="2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0.2×10</w:t>
            </w:r>
            <w:r>
              <w:rPr>
                <w:rFonts w:ascii="Times New Roman" w:hAnsi="Times New Roman" w:eastAsia="Times New Roman" w:cs="Times New Roman"/>
                <w:spacing w:val="2"/>
                <w:position w:val="6"/>
                <w:sz w:val="13"/>
                <w:szCs w:val="13"/>
              </w:rPr>
              <w:t>-3</w:t>
            </w:r>
            <w:r>
              <w:rPr>
                <w:rFonts w:ascii="Times New Roman" w:hAnsi="Times New Roman" w:eastAsia="Times New Roman" w:cs="Times New Roman"/>
                <w:spacing w:val="4"/>
                <w:position w:val="6"/>
                <w:sz w:val="13"/>
                <w:szCs w:val="13"/>
              </w:rPr>
              <w:t xml:space="preserve"> </w:t>
            </w:r>
            <w:r>
              <w:rPr>
                <w:rFonts w:ascii="Times New Roman" w:hAnsi="Times New Roman" w:eastAsia="Times New Roman" w:cs="Times New Roman"/>
                <w:spacing w:val="1"/>
                <w:sz w:val="20"/>
                <w:szCs w:val="20"/>
              </w:rPr>
              <w:t>L</w:t>
            </w:r>
          </w:p>
        </w:tc>
      </w:tr>
      <w:tr w14:paraId="2E0458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0" w:hRule="atLeast"/>
        </w:trPr>
        <w:tc>
          <w:tcPr>
            <w:tcW w:w="1453" w:type="dxa"/>
            <w:vMerge w:val="continue"/>
            <w:tcBorders>
              <w:top w:val="nil"/>
              <w:left w:val="nil"/>
              <w:bottom w:val="single" w:color="000000" w:sz="10" w:space="0"/>
            </w:tcBorders>
            <w:vAlign w:val="top"/>
          </w:tcPr>
          <w:p w14:paraId="681F5A9A">
            <w:pPr>
              <w:rPr>
                <w:rFonts w:ascii="Arial"/>
                <w:sz w:val="21"/>
              </w:rPr>
            </w:pPr>
          </w:p>
        </w:tc>
        <w:tc>
          <w:tcPr>
            <w:tcW w:w="1227" w:type="dxa"/>
            <w:tcBorders>
              <w:bottom w:val="single" w:color="000000" w:sz="10" w:space="0"/>
            </w:tcBorders>
            <w:vAlign w:val="top"/>
          </w:tcPr>
          <w:p w14:paraId="37E9DBF9">
            <w:pPr>
              <w:pStyle w:val="6"/>
              <w:spacing w:before="56" w:line="216" w:lineRule="auto"/>
              <w:ind w:left="198"/>
              <w:rPr>
                <w:sz w:val="20"/>
                <w:szCs w:val="20"/>
              </w:rPr>
            </w:pPr>
            <w:r>
              <w:rPr>
                <w:spacing w:val="7"/>
                <w:sz w:val="20"/>
                <w:szCs w:val="20"/>
              </w:rPr>
              <w:t>评价结果</w:t>
            </w:r>
          </w:p>
        </w:tc>
        <w:tc>
          <w:tcPr>
            <w:tcW w:w="944" w:type="dxa"/>
            <w:tcBorders>
              <w:bottom w:val="single" w:color="000000" w:sz="10" w:space="0"/>
            </w:tcBorders>
            <w:vAlign w:val="top"/>
          </w:tcPr>
          <w:p w14:paraId="18EABE3C">
            <w:pPr>
              <w:spacing w:before="88"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tcBorders>
              <w:bottom w:val="single" w:color="000000" w:sz="10" w:space="0"/>
            </w:tcBorders>
            <w:vAlign w:val="top"/>
          </w:tcPr>
          <w:p w14:paraId="730361BA">
            <w:pPr>
              <w:spacing w:before="88"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tcBorders>
              <w:bottom w:val="single" w:color="000000" w:sz="10" w:space="0"/>
            </w:tcBorders>
            <w:vAlign w:val="top"/>
          </w:tcPr>
          <w:p w14:paraId="4C28BEB0">
            <w:pPr>
              <w:spacing w:before="88" w:line="199"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tcBorders>
              <w:bottom w:val="single" w:color="000000" w:sz="10" w:space="0"/>
            </w:tcBorders>
            <w:vAlign w:val="top"/>
          </w:tcPr>
          <w:p w14:paraId="5A4B0378">
            <w:pPr>
              <w:spacing w:before="88" w:line="199"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4" w:type="dxa"/>
            <w:tcBorders>
              <w:bottom w:val="single" w:color="000000" w:sz="10" w:space="0"/>
            </w:tcBorders>
            <w:vAlign w:val="top"/>
          </w:tcPr>
          <w:p w14:paraId="61F6501F">
            <w:pPr>
              <w:spacing w:before="88"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bottom w:val="single" w:color="000000" w:sz="10" w:space="0"/>
            </w:tcBorders>
            <w:vAlign w:val="top"/>
          </w:tcPr>
          <w:p w14:paraId="0B40F88B">
            <w:pPr>
              <w:spacing w:before="88" w:line="199"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43" w:type="dxa"/>
            <w:tcBorders>
              <w:bottom w:val="single" w:color="000000" w:sz="10" w:space="0"/>
              <w:right w:val="nil"/>
            </w:tcBorders>
            <w:vAlign w:val="top"/>
          </w:tcPr>
          <w:p w14:paraId="5EB7C60A">
            <w:pPr>
              <w:spacing w:before="88" w:line="199"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bl>
    <w:p w14:paraId="263F1892">
      <w:pPr>
        <w:spacing w:before="34" w:line="347" w:lineRule="auto"/>
        <w:ind w:left="118" w:right="46" w:firstLine="508"/>
        <w:jc w:val="both"/>
        <w:rPr>
          <w:rFonts w:ascii="宋体" w:hAnsi="宋体" w:eastAsia="宋体" w:cs="宋体"/>
          <w:sz w:val="24"/>
          <w:szCs w:val="24"/>
        </w:rPr>
      </w:pPr>
      <w:r>
        <w:rPr>
          <w:rFonts w:ascii="宋体" w:hAnsi="宋体" w:eastAsia="宋体" w:cs="宋体"/>
          <w:spacing w:val="-8"/>
          <w:sz w:val="24"/>
          <w:szCs w:val="24"/>
        </w:rPr>
        <w:t>由上表的监测结果可以看出，</w:t>
      </w:r>
      <w:r>
        <w:rPr>
          <w:rFonts w:ascii="宋体" w:hAnsi="宋体" w:eastAsia="宋体" w:cs="宋体"/>
          <w:b/>
          <w:bCs/>
          <w:spacing w:val="-8"/>
          <w:sz w:val="24"/>
          <w:szCs w:val="24"/>
        </w:rPr>
        <w:t>总硬度、氟化物、溶</w:t>
      </w:r>
      <w:r>
        <w:rPr>
          <w:rFonts w:ascii="宋体" w:hAnsi="宋体" w:eastAsia="宋体" w:cs="宋体"/>
          <w:b/>
          <w:bCs/>
          <w:spacing w:val="-9"/>
          <w:sz w:val="24"/>
          <w:szCs w:val="24"/>
        </w:rPr>
        <w:t>解性总固体、钠、</w:t>
      </w:r>
      <w:r>
        <w:rPr>
          <w:rFonts w:ascii="Times New Roman" w:hAnsi="Times New Roman" w:eastAsia="Times New Roman" w:cs="Times New Roman"/>
          <w:spacing w:val="-9"/>
          <w:sz w:val="24"/>
          <w:szCs w:val="24"/>
        </w:rPr>
        <w:t>SO</w:t>
      </w:r>
      <w:r>
        <w:rPr>
          <w:rFonts w:ascii="Times New Roman" w:hAnsi="Times New Roman" w:eastAsia="Times New Roman" w:cs="Times New Roman"/>
          <w:spacing w:val="-9"/>
          <w:position w:val="-1"/>
          <w:sz w:val="15"/>
          <w:szCs w:val="15"/>
        </w:rPr>
        <w:t>4</w:t>
      </w:r>
      <w:r>
        <w:rPr>
          <w:rFonts w:ascii="Times New Roman" w:hAnsi="Times New Roman" w:eastAsia="Times New Roman" w:cs="Times New Roman"/>
          <w:spacing w:val="-9"/>
          <w:sz w:val="15"/>
          <w:szCs w:val="15"/>
        </w:rPr>
        <w:t>2-</w:t>
      </w:r>
      <w:r>
        <w:rPr>
          <w:rFonts w:ascii="宋体" w:hAnsi="宋体" w:eastAsia="宋体" w:cs="宋体"/>
          <w:spacing w:val="-9"/>
          <w:sz w:val="24"/>
          <w:szCs w:val="24"/>
        </w:rPr>
        <w:t>出现超标，</w:t>
      </w:r>
      <w:r>
        <w:rPr>
          <w:rFonts w:ascii="宋体" w:hAnsi="宋体" w:eastAsia="宋体" w:cs="宋体"/>
          <w:sz w:val="24"/>
          <w:szCs w:val="24"/>
        </w:rPr>
        <w:t xml:space="preserve"> 其余监测因子均达到《地下水质量标准》</w:t>
      </w:r>
      <w:r>
        <w:rPr>
          <w:rFonts w:ascii="Times New Roman" w:hAnsi="Times New Roman" w:eastAsia="Times New Roman" w:cs="Times New Roman"/>
          <w:sz w:val="24"/>
          <w:szCs w:val="24"/>
        </w:rPr>
        <w:t>(GB/T14848-2017)</w:t>
      </w:r>
      <w:r>
        <w:rPr>
          <w:rFonts w:ascii="宋体" w:hAnsi="宋体" w:eastAsia="宋体" w:cs="宋体"/>
          <w:sz w:val="24"/>
          <w:szCs w:val="24"/>
        </w:rPr>
        <w:t>中</w:t>
      </w:r>
      <w:r>
        <w:rPr>
          <w:rFonts w:ascii="Times New Roman" w:hAnsi="Times New Roman" w:eastAsia="Times New Roman" w:cs="Times New Roman"/>
          <w:sz w:val="24"/>
          <w:szCs w:val="24"/>
        </w:rPr>
        <w:t>Ⅲ</w:t>
      </w:r>
      <w:r>
        <w:rPr>
          <w:rFonts w:ascii="宋体" w:hAnsi="宋体" w:eastAsia="宋体" w:cs="宋体"/>
          <w:sz w:val="24"/>
          <w:szCs w:val="24"/>
        </w:rPr>
        <w:t>类标准的要求，上述指</w:t>
      </w:r>
      <w:r>
        <w:rPr>
          <w:rFonts w:ascii="宋体" w:hAnsi="宋体" w:eastAsia="宋体" w:cs="宋体"/>
          <w:spacing w:val="1"/>
          <w:sz w:val="24"/>
          <w:szCs w:val="24"/>
        </w:rPr>
        <w:t xml:space="preserve"> </w:t>
      </w:r>
      <w:r>
        <w:rPr>
          <w:rFonts w:ascii="宋体" w:hAnsi="宋体" w:eastAsia="宋体" w:cs="宋体"/>
          <w:spacing w:val="-1"/>
          <w:sz w:val="24"/>
          <w:szCs w:val="24"/>
        </w:rPr>
        <w:t>标超标是由于环境本底值过高导致。</w:t>
      </w:r>
    </w:p>
    <w:p w14:paraId="7B9DF223">
      <w:pPr>
        <w:spacing w:before="59" w:line="222" w:lineRule="auto"/>
        <w:ind w:left="120"/>
        <w:outlineLvl w:val="2"/>
        <w:rPr>
          <w:rFonts w:ascii="黑体" w:hAnsi="黑体" w:eastAsia="黑体" w:cs="黑体"/>
          <w:sz w:val="30"/>
          <w:szCs w:val="30"/>
        </w:rPr>
      </w:pPr>
      <w:bookmarkStart w:id="354" w:name="bookmark176"/>
      <w:bookmarkEnd w:id="354"/>
      <w:r>
        <w:rPr>
          <w:rFonts w:ascii="Times New Roman" w:hAnsi="Times New Roman" w:eastAsia="Times New Roman" w:cs="Times New Roman"/>
          <w:spacing w:val="-1"/>
          <w:sz w:val="30"/>
          <w:szCs w:val="30"/>
        </w:rPr>
        <w:t xml:space="preserve">3.3.3 </w:t>
      </w:r>
      <w:r>
        <w:rPr>
          <w:rFonts w:ascii="黑体" w:hAnsi="黑体" w:eastAsia="黑体" w:cs="黑体"/>
          <w:spacing w:val="-1"/>
          <w:sz w:val="30"/>
          <w:szCs w:val="30"/>
        </w:rPr>
        <w:t>土壤环境质量现状监测与评价</w:t>
      </w:r>
    </w:p>
    <w:p w14:paraId="621D9E56">
      <w:pPr>
        <w:spacing w:before="212" w:line="220" w:lineRule="auto"/>
        <w:ind w:left="112"/>
        <w:outlineLvl w:val="3"/>
        <w:rPr>
          <w:rFonts w:ascii="宋体" w:hAnsi="宋体" w:eastAsia="宋体" w:cs="宋体"/>
          <w:sz w:val="24"/>
          <w:szCs w:val="24"/>
        </w:rPr>
      </w:pPr>
      <w:r>
        <w:fldChar w:fldCharType="begin"/>
      </w:r>
      <w:r>
        <w:instrText xml:space="preserve"> HYPERLINK "3.3.3.1" </w:instrText>
      </w:r>
      <w:r>
        <w:fldChar w:fldCharType="separate"/>
      </w:r>
      <w:r>
        <w:rPr>
          <w:rFonts w:ascii="Times New Roman" w:hAnsi="Times New Roman" w:eastAsia="Times New Roman" w:cs="Times New Roman"/>
          <w:b/>
          <w:bCs/>
          <w:spacing w:val="-2"/>
          <w:sz w:val="24"/>
          <w:szCs w:val="24"/>
        </w:rPr>
        <w:t>3.3.3.1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土壤理化性质</w:t>
      </w:r>
    </w:p>
    <w:p w14:paraId="1F4E3B9E">
      <w:pPr>
        <w:spacing w:before="181" w:line="218" w:lineRule="auto"/>
        <w:ind w:left="598"/>
        <w:rPr>
          <w:rFonts w:ascii="宋体" w:hAnsi="宋体" w:eastAsia="宋体" w:cs="宋体"/>
          <w:sz w:val="24"/>
          <w:szCs w:val="24"/>
        </w:rPr>
      </w:pPr>
      <w:r>
        <w:rPr>
          <w:rFonts w:ascii="宋体" w:hAnsi="宋体" w:eastAsia="宋体" w:cs="宋体"/>
          <w:spacing w:val="-1"/>
          <w:sz w:val="24"/>
          <w:szCs w:val="24"/>
        </w:rPr>
        <w:t>本次评价土壤理化特性调查表见表</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3.3-6</w:t>
      </w:r>
      <w:r>
        <w:rPr>
          <w:rFonts w:ascii="宋体" w:hAnsi="宋体" w:eastAsia="宋体" w:cs="宋体"/>
          <w:spacing w:val="-1"/>
          <w:sz w:val="24"/>
          <w:szCs w:val="24"/>
        </w:rPr>
        <w:t>。</w:t>
      </w:r>
    </w:p>
    <w:p w14:paraId="091EBB47">
      <w:pPr>
        <w:spacing w:before="178" w:line="227" w:lineRule="auto"/>
        <w:ind w:left="2825"/>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3.3-6        </w:t>
      </w:r>
      <w:r>
        <w:rPr>
          <w:rFonts w:ascii="宋体" w:hAnsi="宋体" w:eastAsia="宋体" w:cs="宋体"/>
          <w:b/>
          <w:bCs/>
          <w:spacing w:val="5"/>
          <w:sz w:val="20"/>
          <w:szCs w:val="20"/>
        </w:rPr>
        <w:t>本项目土壤理化性质调查表</w:t>
      </w:r>
    </w:p>
    <w:p w14:paraId="4BCC0794">
      <w:pPr>
        <w:spacing w:line="133" w:lineRule="exact"/>
      </w:pPr>
    </w:p>
    <w:tbl>
      <w:tblPr>
        <w:tblStyle w:val="5"/>
        <w:tblW w:w="9278"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534"/>
        <w:gridCol w:w="1909"/>
        <w:gridCol w:w="1910"/>
        <w:gridCol w:w="1925"/>
      </w:tblGrid>
      <w:tr w14:paraId="65AE85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3534" w:type="dxa"/>
            <w:tcBorders>
              <w:top w:val="single" w:color="000000" w:sz="10" w:space="0"/>
              <w:left w:val="nil"/>
            </w:tcBorders>
            <w:vAlign w:val="top"/>
          </w:tcPr>
          <w:p w14:paraId="3D1D715D">
            <w:pPr>
              <w:pStyle w:val="6"/>
              <w:spacing w:before="55" w:line="228" w:lineRule="auto"/>
              <w:ind w:left="1568"/>
              <w:rPr>
                <w:sz w:val="20"/>
                <w:szCs w:val="20"/>
              </w:rPr>
            </w:pPr>
            <w:r>
              <w:rPr>
                <w:spacing w:val="3"/>
                <w:sz w:val="20"/>
                <w:szCs w:val="20"/>
              </w:rPr>
              <w:t>项目</w:t>
            </w:r>
          </w:p>
        </w:tc>
        <w:tc>
          <w:tcPr>
            <w:tcW w:w="1909" w:type="dxa"/>
            <w:tcBorders>
              <w:top w:val="single" w:color="000000" w:sz="10" w:space="0"/>
            </w:tcBorders>
            <w:vAlign w:val="top"/>
          </w:tcPr>
          <w:p w14:paraId="27176848">
            <w:pPr>
              <w:pStyle w:val="6"/>
              <w:spacing w:before="55" w:line="221" w:lineRule="auto"/>
              <w:ind w:left="31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T5</w:t>
            </w:r>
            <w:r>
              <w:rPr>
                <w:rFonts w:ascii="Times New Roman" w:hAnsi="Times New Roman" w:eastAsia="Times New Roman" w:cs="Times New Roman"/>
                <w:spacing w:val="23"/>
                <w:w w:val="101"/>
                <w:sz w:val="20"/>
                <w:szCs w:val="20"/>
              </w:rPr>
              <w:t xml:space="preserve"> </w:t>
            </w:r>
            <w:r>
              <w:rPr>
                <w:spacing w:val="3"/>
                <w:sz w:val="20"/>
                <w:szCs w:val="20"/>
              </w:rPr>
              <w:t>号</w:t>
            </w:r>
            <w:r>
              <w:rPr>
                <w:rFonts w:ascii="Times New Roman" w:hAnsi="Times New Roman" w:eastAsia="Times New Roman" w:cs="Times New Roman"/>
                <w:spacing w:val="3"/>
                <w:sz w:val="20"/>
                <w:szCs w:val="20"/>
              </w:rPr>
              <w:t>(0-50</w:t>
            </w:r>
            <w:r>
              <w:rPr>
                <w:rFonts w:ascii="Times New Roman" w:hAnsi="Times New Roman" w:eastAsia="Times New Roman" w:cs="Times New Roman"/>
                <w:sz w:val="20"/>
                <w:szCs w:val="20"/>
              </w:rPr>
              <w:t>cm</w:t>
            </w:r>
            <w:r>
              <w:rPr>
                <w:rFonts w:ascii="Times New Roman" w:hAnsi="Times New Roman" w:eastAsia="Times New Roman" w:cs="Times New Roman"/>
                <w:spacing w:val="3"/>
                <w:sz w:val="20"/>
                <w:szCs w:val="20"/>
              </w:rPr>
              <w:t>)</w:t>
            </w:r>
          </w:p>
        </w:tc>
        <w:tc>
          <w:tcPr>
            <w:tcW w:w="1910" w:type="dxa"/>
            <w:tcBorders>
              <w:top w:val="single" w:color="000000" w:sz="10" w:space="0"/>
            </w:tcBorders>
            <w:vAlign w:val="top"/>
          </w:tcPr>
          <w:p w14:paraId="18EC163B">
            <w:pPr>
              <w:pStyle w:val="6"/>
              <w:spacing w:before="55" w:line="221" w:lineRule="auto"/>
              <w:ind w:left="2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T5</w:t>
            </w:r>
            <w:r>
              <w:rPr>
                <w:rFonts w:ascii="Times New Roman" w:hAnsi="Times New Roman" w:eastAsia="Times New Roman" w:cs="Times New Roman"/>
                <w:spacing w:val="17"/>
                <w:w w:val="101"/>
                <w:sz w:val="20"/>
                <w:szCs w:val="20"/>
              </w:rPr>
              <w:t xml:space="preserve"> </w:t>
            </w:r>
            <w:r>
              <w:rPr>
                <w:spacing w:val="4"/>
                <w:sz w:val="20"/>
                <w:szCs w:val="20"/>
              </w:rPr>
              <w:t>号</w:t>
            </w:r>
            <w:r>
              <w:rPr>
                <w:rFonts w:ascii="Times New Roman" w:hAnsi="Times New Roman" w:eastAsia="Times New Roman" w:cs="Times New Roman"/>
                <w:spacing w:val="4"/>
                <w:sz w:val="20"/>
                <w:szCs w:val="20"/>
              </w:rPr>
              <w:t>(50-150</w:t>
            </w:r>
            <w:r>
              <w:rPr>
                <w:rFonts w:ascii="Times New Roman" w:hAnsi="Times New Roman" w:eastAsia="Times New Roman" w:cs="Times New Roman"/>
                <w:sz w:val="20"/>
                <w:szCs w:val="20"/>
              </w:rPr>
              <w:t>cm</w:t>
            </w:r>
            <w:r>
              <w:rPr>
                <w:rFonts w:ascii="Times New Roman" w:hAnsi="Times New Roman" w:eastAsia="Times New Roman" w:cs="Times New Roman"/>
                <w:spacing w:val="4"/>
                <w:sz w:val="20"/>
                <w:szCs w:val="20"/>
              </w:rPr>
              <w:t>)</w:t>
            </w:r>
          </w:p>
        </w:tc>
        <w:tc>
          <w:tcPr>
            <w:tcW w:w="1925" w:type="dxa"/>
            <w:tcBorders>
              <w:top w:val="single" w:color="000000" w:sz="10" w:space="0"/>
              <w:right w:val="nil"/>
            </w:tcBorders>
            <w:vAlign w:val="top"/>
          </w:tcPr>
          <w:p w14:paraId="43D900A8">
            <w:pPr>
              <w:pStyle w:val="6"/>
              <w:spacing w:before="55" w:line="221" w:lineRule="auto"/>
              <w:ind w:left="16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T5</w:t>
            </w:r>
            <w:r>
              <w:rPr>
                <w:rFonts w:ascii="Times New Roman" w:hAnsi="Times New Roman" w:eastAsia="Times New Roman" w:cs="Times New Roman"/>
                <w:spacing w:val="19"/>
                <w:w w:val="101"/>
                <w:sz w:val="20"/>
                <w:szCs w:val="20"/>
              </w:rPr>
              <w:t xml:space="preserve"> </w:t>
            </w:r>
            <w:r>
              <w:rPr>
                <w:spacing w:val="4"/>
                <w:sz w:val="20"/>
                <w:szCs w:val="20"/>
              </w:rPr>
              <w:t>号</w:t>
            </w:r>
            <w:r>
              <w:rPr>
                <w:rFonts w:ascii="Times New Roman" w:hAnsi="Times New Roman" w:eastAsia="Times New Roman" w:cs="Times New Roman"/>
                <w:spacing w:val="4"/>
                <w:sz w:val="20"/>
                <w:szCs w:val="20"/>
              </w:rPr>
              <w:t>(150-300</w:t>
            </w:r>
            <w:r>
              <w:rPr>
                <w:rFonts w:ascii="Times New Roman" w:hAnsi="Times New Roman" w:eastAsia="Times New Roman" w:cs="Times New Roman"/>
                <w:sz w:val="20"/>
                <w:szCs w:val="20"/>
              </w:rPr>
              <w:t>cm</w:t>
            </w:r>
            <w:r>
              <w:rPr>
                <w:rFonts w:ascii="Times New Roman" w:hAnsi="Times New Roman" w:eastAsia="Times New Roman" w:cs="Times New Roman"/>
                <w:spacing w:val="4"/>
                <w:sz w:val="20"/>
                <w:szCs w:val="20"/>
              </w:rPr>
              <w:t>)</w:t>
            </w:r>
          </w:p>
        </w:tc>
      </w:tr>
    </w:tbl>
    <w:p w14:paraId="53272989">
      <w:pPr>
        <w:spacing w:before="59" w:line="228" w:lineRule="auto"/>
        <w:ind w:left="2733"/>
        <w:rPr>
          <w:rFonts w:ascii="Times New Roman" w:hAnsi="Times New Roman" w:eastAsia="Times New Roman" w:cs="Times New Roman"/>
          <w:sz w:val="20"/>
          <w:szCs w:val="20"/>
        </w:rPr>
      </w:pPr>
      <w:r>
        <w:rPr>
          <w:rFonts w:ascii="宋体" w:hAnsi="宋体" w:eastAsia="宋体" w:cs="宋体"/>
          <w:spacing w:val="4"/>
          <w:sz w:val="20"/>
          <w:szCs w:val="20"/>
        </w:rPr>
        <w:t>点位坐标：</w:t>
      </w:r>
      <w:r>
        <w:rPr>
          <w:rFonts w:ascii="Times New Roman" w:hAnsi="Times New Roman" w:eastAsia="Times New Roman" w:cs="Times New Roman"/>
          <w:spacing w:val="4"/>
          <w:sz w:val="20"/>
          <w:szCs w:val="20"/>
        </w:rPr>
        <w:t>112°53′50.45″E</w:t>
      </w:r>
      <w:r>
        <w:rPr>
          <w:rFonts w:ascii="Times New Roman" w:hAnsi="Times New Roman" w:eastAsia="Times New Roman" w:cs="Times New Roman"/>
          <w:spacing w:val="-25"/>
          <w:sz w:val="20"/>
          <w:szCs w:val="20"/>
        </w:rPr>
        <w:t xml:space="preserve"> </w:t>
      </w:r>
      <w:r>
        <w:rPr>
          <w:rFonts w:ascii="宋体" w:hAnsi="宋体" w:eastAsia="宋体" w:cs="宋体"/>
          <w:spacing w:val="4"/>
          <w:sz w:val="20"/>
          <w:szCs w:val="20"/>
        </w:rPr>
        <w:t>，</w:t>
      </w:r>
      <w:r>
        <w:rPr>
          <w:rFonts w:ascii="Times New Roman" w:hAnsi="Times New Roman" w:eastAsia="Times New Roman" w:cs="Times New Roman"/>
          <w:spacing w:val="4"/>
          <w:sz w:val="20"/>
          <w:szCs w:val="20"/>
        </w:rPr>
        <w:t>42°25′53.</w:t>
      </w:r>
      <w:r>
        <w:rPr>
          <w:rFonts w:ascii="Times New Roman" w:hAnsi="Times New Roman" w:eastAsia="Times New Roman" w:cs="Times New Roman"/>
          <w:spacing w:val="3"/>
          <w:sz w:val="20"/>
          <w:szCs w:val="20"/>
        </w:rPr>
        <w:t>39″N</w:t>
      </w:r>
    </w:p>
    <w:p w14:paraId="0531DD34">
      <w:pPr>
        <w:spacing w:line="24" w:lineRule="exact"/>
      </w:pPr>
    </w:p>
    <w:tbl>
      <w:tblPr>
        <w:tblStyle w:val="5"/>
        <w:tblW w:w="9278"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8"/>
        <w:gridCol w:w="2256"/>
        <w:gridCol w:w="1909"/>
        <w:gridCol w:w="1910"/>
        <w:gridCol w:w="1925"/>
      </w:tblGrid>
      <w:tr w14:paraId="3E938E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1278" w:type="dxa"/>
            <w:vMerge w:val="restart"/>
            <w:tcBorders>
              <w:left w:val="nil"/>
              <w:bottom w:val="nil"/>
            </w:tcBorders>
            <w:vAlign w:val="top"/>
          </w:tcPr>
          <w:p w14:paraId="45C8E42F">
            <w:pPr>
              <w:spacing w:line="281" w:lineRule="auto"/>
              <w:rPr>
                <w:rFonts w:ascii="Arial"/>
                <w:sz w:val="21"/>
              </w:rPr>
            </w:pPr>
          </w:p>
          <w:p w14:paraId="4AFB149E">
            <w:pPr>
              <w:spacing w:line="281" w:lineRule="auto"/>
              <w:rPr>
                <w:rFonts w:ascii="Arial"/>
                <w:sz w:val="21"/>
              </w:rPr>
            </w:pPr>
          </w:p>
          <w:p w14:paraId="20953B23">
            <w:pPr>
              <w:spacing w:line="282" w:lineRule="auto"/>
              <w:rPr>
                <w:rFonts w:ascii="Arial"/>
                <w:sz w:val="21"/>
              </w:rPr>
            </w:pPr>
          </w:p>
          <w:p w14:paraId="1297F6AE">
            <w:pPr>
              <w:pStyle w:val="6"/>
              <w:spacing w:before="65" w:line="228" w:lineRule="auto"/>
              <w:ind w:left="228"/>
              <w:rPr>
                <w:sz w:val="20"/>
                <w:szCs w:val="20"/>
              </w:rPr>
            </w:pPr>
            <w:r>
              <w:rPr>
                <w:spacing w:val="6"/>
                <w:sz w:val="20"/>
                <w:szCs w:val="20"/>
              </w:rPr>
              <w:t>现场记录</w:t>
            </w:r>
          </w:p>
        </w:tc>
        <w:tc>
          <w:tcPr>
            <w:tcW w:w="2256" w:type="dxa"/>
            <w:vAlign w:val="top"/>
          </w:tcPr>
          <w:p w14:paraId="7C0402E1">
            <w:pPr>
              <w:pStyle w:val="6"/>
              <w:spacing w:before="64" w:line="229" w:lineRule="auto"/>
              <w:ind w:left="922"/>
              <w:rPr>
                <w:sz w:val="20"/>
                <w:szCs w:val="20"/>
              </w:rPr>
            </w:pPr>
            <w:r>
              <w:rPr>
                <w:spacing w:val="5"/>
                <w:sz w:val="20"/>
                <w:szCs w:val="20"/>
              </w:rPr>
              <w:t>颜色</w:t>
            </w:r>
          </w:p>
        </w:tc>
        <w:tc>
          <w:tcPr>
            <w:tcW w:w="1909" w:type="dxa"/>
            <w:vAlign w:val="top"/>
          </w:tcPr>
          <w:p w14:paraId="2CDA013F">
            <w:pPr>
              <w:pStyle w:val="6"/>
              <w:spacing w:before="64" w:line="228" w:lineRule="auto"/>
              <w:ind w:left="749"/>
              <w:rPr>
                <w:sz w:val="20"/>
                <w:szCs w:val="20"/>
              </w:rPr>
            </w:pPr>
            <w:r>
              <w:rPr>
                <w:spacing w:val="5"/>
                <w:sz w:val="20"/>
                <w:szCs w:val="20"/>
              </w:rPr>
              <w:t>黄棕</w:t>
            </w:r>
          </w:p>
        </w:tc>
        <w:tc>
          <w:tcPr>
            <w:tcW w:w="1910" w:type="dxa"/>
            <w:vAlign w:val="top"/>
          </w:tcPr>
          <w:p w14:paraId="0DA66514">
            <w:pPr>
              <w:pStyle w:val="6"/>
              <w:spacing w:before="64" w:line="228" w:lineRule="auto"/>
              <w:ind w:left="751"/>
              <w:rPr>
                <w:sz w:val="20"/>
                <w:szCs w:val="20"/>
              </w:rPr>
            </w:pPr>
            <w:r>
              <w:rPr>
                <w:spacing w:val="5"/>
                <w:sz w:val="20"/>
                <w:szCs w:val="20"/>
              </w:rPr>
              <w:t>黄棕</w:t>
            </w:r>
          </w:p>
        </w:tc>
        <w:tc>
          <w:tcPr>
            <w:tcW w:w="1925" w:type="dxa"/>
            <w:tcBorders>
              <w:right w:val="nil"/>
            </w:tcBorders>
            <w:vAlign w:val="top"/>
          </w:tcPr>
          <w:p w14:paraId="1FECC002">
            <w:pPr>
              <w:pStyle w:val="6"/>
              <w:spacing w:before="64" w:line="228" w:lineRule="auto"/>
              <w:ind w:left="758"/>
              <w:rPr>
                <w:sz w:val="20"/>
                <w:szCs w:val="20"/>
              </w:rPr>
            </w:pPr>
            <w:r>
              <w:rPr>
                <w:spacing w:val="5"/>
                <w:sz w:val="20"/>
                <w:szCs w:val="20"/>
              </w:rPr>
              <w:t>黄棕</w:t>
            </w:r>
          </w:p>
        </w:tc>
      </w:tr>
      <w:tr w14:paraId="1C1756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278" w:type="dxa"/>
            <w:vMerge w:val="continue"/>
            <w:tcBorders>
              <w:top w:val="nil"/>
              <w:left w:val="nil"/>
              <w:bottom w:val="nil"/>
            </w:tcBorders>
            <w:vAlign w:val="top"/>
          </w:tcPr>
          <w:p w14:paraId="2CE6B444">
            <w:pPr>
              <w:rPr>
                <w:rFonts w:ascii="Arial"/>
                <w:sz w:val="21"/>
              </w:rPr>
            </w:pPr>
          </w:p>
        </w:tc>
        <w:tc>
          <w:tcPr>
            <w:tcW w:w="2256" w:type="dxa"/>
            <w:vAlign w:val="top"/>
          </w:tcPr>
          <w:p w14:paraId="271048CF">
            <w:pPr>
              <w:pStyle w:val="6"/>
              <w:spacing w:before="63" w:line="228" w:lineRule="auto"/>
              <w:ind w:left="928"/>
              <w:rPr>
                <w:sz w:val="20"/>
                <w:szCs w:val="20"/>
              </w:rPr>
            </w:pPr>
            <w:r>
              <w:rPr>
                <w:spacing w:val="2"/>
                <w:sz w:val="20"/>
                <w:szCs w:val="20"/>
              </w:rPr>
              <w:t>结构</w:t>
            </w:r>
          </w:p>
        </w:tc>
        <w:tc>
          <w:tcPr>
            <w:tcW w:w="1909" w:type="dxa"/>
            <w:vAlign w:val="top"/>
          </w:tcPr>
          <w:p w14:paraId="5F769CC8">
            <w:pPr>
              <w:pStyle w:val="6"/>
              <w:spacing w:before="63" w:line="228" w:lineRule="auto"/>
              <w:ind w:left="769"/>
              <w:rPr>
                <w:sz w:val="20"/>
                <w:szCs w:val="20"/>
              </w:rPr>
            </w:pPr>
            <w:r>
              <w:rPr>
                <w:spacing w:val="-5"/>
                <w:sz w:val="20"/>
                <w:szCs w:val="20"/>
              </w:rPr>
              <w:t>团粒</w:t>
            </w:r>
          </w:p>
        </w:tc>
        <w:tc>
          <w:tcPr>
            <w:tcW w:w="1910" w:type="dxa"/>
            <w:vAlign w:val="top"/>
          </w:tcPr>
          <w:p w14:paraId="2829AF0A">
            <w:pPr>
              <w:pStyle w:val="6"/>
              <w:spacing w:before="63" w:line="228" w:lineRule="auto"/>
              <w:ind w:left="770"/>
              <w:rPr>
                <w:sz w:val="20"/>
                <w:szCs w:val="20"/>
              </w:rPr>
            </w:pPr>
            <w:r>
              <w:rPr>
                <w:spacing w:val="-5"/>
                <w:sz w:val="20"/>
                <w:szCs w:val="20"/>
              </w:rPr>
              <w:t>团粒</w:t>
            </w:r>
          </w:p>
        </w:tc>
        <w:tc>
          <w:tcPr>
            <w:tcW w:w="1925" w:type="dxa"/>
            <w:tcBorders>
              <w:right w:val="nil"/>
            </w:tcBorders>
            <w:vAlign w:val="top"/>
          </w:tcPr>
          <w:p w14:paraId="7DBBB65B">
            <w:pPr>
              <w:pStyle w:val="6"/>
              <w:spacing w:before="63" w:line="228" w:lineRule="auto"/>
              <w:ind w:left="771"/>
              <w:rPr>
                <w:sz w:val="20"/>
                <w:szCs w:val="20"/>
              </w:rPr>
            </w:pPr>
            <w:r>
              <w:rPr>
                <w:spacing w:val="-5"/>
                <w:sz w:val="20"/>
                <w:szCs w:val="20"/>
              </w:rPr>
              <w:t>团粒</w:t>
            </w:r>
          </w:p>
        </w:tc>
      </w:tr>
      <w:tr w14:paraId="6A4B5B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278" w:type="dxa"/>
            <w:vMerge w:val="continue"/>
            <w:tcBorders>
              <w:top w:val="nil"/>
              <w:left w:val="nil"/>
              <w:bottom w:val="nil"/>
            </w:tcBorders>
            <w:vAlign w:val="top"/>
          </w:tcPr>
          <w:p w14:paraId="74B52FB6">
            <w:pPr>
              <w:rPr>
                <w:rFonts w:ascii="Arial"/>
                <w:sz w:val="21"/>
              </w:rPr>
            </w:pPr>
          </w:p>
        </w:tc>
        <w:tc>
          <w:tcPr>
            <w:tcW w:w="2256" w:type="dxa"/>
            <w:vAlign w:val="top"/>
          </w:tcPr>
          <w:p w14:paraId="7B089D06">
            <w:pPr>
              <w:pStyle w:val="6"/>
              <w:spacing w:before="65" w:line="228" w:lineRule="auto"/>
              <w:ind w:left="924"/>
              <w:rPr>
                <w:sz w:val="20"/>
                <w:szCs w:val="20"/>
              </w:rPr>
            </w:pPr>
            <w:r>
              <w:rPr>
                <w:spacing w:val="4"/>
                <w:sz w:val="20"/>
                <w:szCs w:val="20"/>
              </w:rPr>
              <w:t>质地</w:t>
            </w:r>
          </w:p>
        </w:tc>
        <w:tc>
          <w:tcPr>
            <w:tcW w:w="1909" w:type="dxa"/>
            <w:vAlign w:val="top"/>
          </w:tcPr>
          <w:p w14:paraId="2023F1FA">
            <w:pPr>
              <w:pStyle w:val="6"/>
              <w:spacing w:before="64" w:line="229" w:lineRule="auto"/>
              <w:ind w:left="749"/>
              <w:rPr>
                <w:sz w:val="20"/>
                <w:szCs w:val="20"/>
              </w:rPr>
            </w:pPr>
            <w:r>
              <w:rPr>
                <w:spacing w:val="5"/>
                <w:sz w:val="20"/>
                <w:szCs w:val="20"/>
              </w:rPr>
              <w:t>砂壤</w:t>
            </w:r>
          </w:p>
        </w:tc>
        <w:tc>
          <w:tcPr>
            <w:tcW w:w="1910" w:type="dxa"/>
            <w:vAlign w:val="top"/>
          </w:tcPr>
          <w:p w14:paraId="393B0EE1">
            <w:pPr>
              <w:pStyle w:val="6"/>
              <w:spacing w:before="64" w:line="229" w:lineRule="auto"/>
              <w:ind w:left="751"/>
              <w:rPr>
                <w:sz w:val="20"/>
                <w:szCs w:val="20"/>
              </w:rPr>
            </w:pPr>
            <w:r>
              <w:rPr>
                <w:spacing w:val="5"/>
                <w:sz w:val="20"/>
                <w:szCs w:val="20"/>
              </w:rPr>
              <w:t>砂壤</w:t>
            </w:r>
          </w:p>
        </w:tc>
        <w:tc>
          <w:tcPr>
            <w:tcW w:w="1925" w:type="dxa"/>
            <w:tcBorders>
              <w:right w:val="nil"/>
            </w:tcBorders>
            <w:vAlign w:val="top"/>
          </w:tcPr>
          <w:p w14:paraId="1B216A59">
            <w:pPr>
              <w:pStyle w:val="6"/>
              <w:spacing w:before="64" w:line="229" w:lineRule="auto"/>
              <w:ind w:left="751"/>
              <w:rPr>
                <w:sz w:val="20"/>
                <w:szCs w:val="20"/>
              </w:rPr>
            </w:pPr>
            <w:r>
              <w:rPr>
                <w:spacing w:val="5"/>
                <w:sz w:val="20"/>
                <w:szCs w:val="20"/>
              </w:rPr>
              <w:t>砂壤</w:t>
            </w:r>
          </w:p>
        </w:tc>
      </w:tr>
      <w:tr w14:paraId="314D55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278" w:type="dxa"/>
            <w:vMerge w:val="continue"/>
            <w:tcBorders>
              <w:top w:val="nil"/>
              <w:left w:val="nil"/>
              <w:bottom w:val="nil"/>
            </w:tcBorders>
            <w:vAlign w:val="top"/>
          </w:tcPr>
          <w:p w14:paraId="52231B4E">
            <w:pPr>
              <w:rPr>
                <w:rFonts w:ascii="Arial"/>
                <w:sz w:val="21"/>
              </w:rPr>
            </w:pPr>
          </w:p>
        </w:tc>
        <w:tc>
          <w:tcPr>
            <w:tcW w:w="2256" w:type="dxa"/>
            <w:vAlign w:val="top"/>
          </w:tcPr>
          <w:p w14:paraId="4B956621">
            <w:pPr>
              <w:pStyle w:val="6"/>
              <w:spacing w:before="68" w:line="228" w:lineRule="auto"/>
              <w:ind w:left="713"/>
              <w:rPr>
                <w:sz w:val="20"/>
                <w:szCs w:val="20"/>
              </w:rPr>
            </w:pPr>
            <w:r>
              <w:rPr>
                <w:spacing w:val="7"/>
                <w:sz w:val="20"/>
                <w:szCs w:val="20"/>
              </w:rPr>
              <w:t>砂砾含量</w:t>
            </w:r>
          </w:p>
        </w:tc>
        <w:tc>
          <w:tcPr>
            <w:tcW w:w="1909" w:type="dxa"/>
            <w:vAlign w:val="top"/>
          </w:tcPr>
          <w:p w14:paraId="35AFABF8">
            <w:pPr>
              <w:pStyle w:val="6"/>
              <w:spacing w:before="68" w:line="230" w:lineRule="auto"/>
              <w:ind w:left="751"/>
              <w:rPr>
                <w:sz w:val="20"/>
                <w:szCs w:val="20"/>
              </w:rPr>
            </w:pPr>
            <w:r>
              <w:rPr>
                <w:spacing w:val="4"/>
                <w:sz w:val="20"/>
                <w:szCs w:val="20"/>
              </w:rPr>
              <w:t>少量</w:t>
            </w:r>
          </w:p>
        </w:tc>
        <w:tc>
          <w:tcPr>
            <w:tcW w:w="1910" w:type="dxa"/>
            <w:vAlign w:val="top"/>
          </w:tcPr>
          <w:p w14:paraId="61F287C6">
            <w:pPr>
              <w:pStyle w:val="6"/>
              <w:spacing w:before="68" w:line="230" w:lineRule="auto"/>
              <w:ind w:left="752"/>
              <w:rPr>
                <w:sz w:val="20"/>
                <w:szCs w:val="20"/>
              </w:rPr>
            </w:pPr>
            <w:r>
              <w:rPr>
                <w:spacing w:val="4"/>
                <w:sz w:val="20"/>
                <w:szCs w:val="20"/>
              </w:rPr>
              <w:t>少量</w:t>
            </w:r>
          </w:p>
        </w:tc>
        <w:tc>
          <w:tcPr>
            <w:tcW w:w="1925" w:type="dxa"/>
            <w:tcBorders>
              <w:right w:val="nil"/>
            </w:tcBorders>
            <w:vAlign w:val="top"/>
          </w:tcPr>
          <w:p w14:paraId="1FD3ADCB">
            <w:pPr>
              <w:pStyle w:val="6"/>
              <w:spacing w:before="68" w:line="230" w:lineRule="auto"/>
              <w:ind w:left="753"/>
              <w:rPr>
                <w:sz w:val="20"/>
                <w:szCs w:val="20"/>
              </w:rPr>
            </w:pPr>
            <w:r>
              <w:rPr>
                <w:spacing w:val="4"/>
                <w:sz w:val="20"/>
                <w:szCs w:val="20"/>
              </w:rPr>
              <w:t>少量</w:t>
            </w:r>
          </w:p>
        </w:tc>
      </w:tr>
      <w:tr w14:paraId="2294F4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278" w:type="dxa"/>
            <w:vMerge w:val="continue"/>
            <w:tcBorders>
              <w:top w:val="nil"/>
              <w:left w:val="nil"/>
              <w:bottom w:val="nil"/>
            </w:tcBorders>
            <w:vAlign w:val="top"/>
          </w:tcPr>
          <w:p w14:paraId="28204CC3">
            <w:pPr>
              <w:rPr>
                <w:rFonts w:ascii="Arial"/>
                <w:sz w:val="21"/>
              </w:rPr>
            </w:pPr>
          </w:p>
        </w:tc>
        <w:tc>
          <w:tcPr>
            <w:tcW w:w="2256" w:type="dxa"/>
            <w:vAlign w:val="top"/>
          </w:tcPr>
          <w:p w14:paraId="64BCF5F0">
            <w:pPr>
              <w:pStyle w:val="6"/>
              <w:spacing w:before="72" w:line="228" w:lineRule="auto"/>
              <w:ind w:left="715"/>
              <w:rPr>
                <w:sz w:val="20"/>
                <w:szCs w:val="20"/>
              </w:rPr>
            </w:pPr>
            <w:r>
              <w:rPr>
                <w:spacing w:val="7"/>
                <w:sz w:val="20"/>
                <w:szCs w:val="20"/>
              </w:rPr>
              <w:t>其他异物</w:t>
            </w:r>
          </w:p>
        </w:tc>
        <w:tc>
          <w:tcPr>
            <w:tcW w:w="1909" w:type="dxa"/>
            <w:vAlign w:val="top"/>
          </w:tcPr>
          <w:p w14:paraId="7AC584C0">
            <w:pPr>
              <w:pStyle w:val="6"/>
              <w:spacing w:before="72" w:line="228" w:lineRule="auto"/>
              <w:ind w:left="857"/>
              <w:rPr>
                <w:sz w:val="20"/>
                <w:szCs w:val="20"/>
              </w:rPr>
            </w:pPr>
            <w:r>
              <w:rPr>
                <w:sz w:val="20"/>
                <w:szCs w:val="20"/>
              </w:rPr>
              <w:t>无</w:t>
            </w:r>
          </w:p>
        </w:tc>
        <w:tc>
          <w:tcPr>
            <w:tcW w:w="1910" w:type="dxa"/>
            <w:vAlign w:val="top"/>
          </w:tcPr>
          <w:p w14:paraId="4ECBDA7B">
            <w:pPr>
              <w:pStyle w:val="6"/>
              <w:spacing w:before="72" w:line="228" w:lineRule="auto"/>
              <w:ind w:left="859"/>
              <w:rPr>
                <w:sz w:val="20"/>
                <w:szCs w:val="20"/>
              </w:rPr>
            </w:pPr>
            <w:r>
              <w:rPr>
                <w:sz w:val="20"/>
                <w:szCs w:val="20"/>
              </w:rPr>
              <w:t>无</w:t>
            </w:r>
          </w:p>
        </w:tc>
        <w:tc>
          <w:tcPr>
            <w:tcW w:w="1925" w:type="dxa"/>
            <w:tcBorders>
              <w:right w:val="nil"/>
            </w:tcBorders>
            <w:vAlign w:val="top"/>
          </w:tcPr>
          <w:p w14:paraId="6241A1F8">
            <w:pPr>
              <w:pStyle w:val="6"/>
              <w:spacing w:before="72" w:line="228" w:lineRule="auto"/>
              <w:ind w:left="857"/>
              <w:rPr>
                <w:sz w:val="20"/>
                <w:szCs w:val="20"/>
              </w:rPr>
            </w:pPr>
            <w:r>
              <w:rPr>
                <w:sz w:val="20"/>
                <w:szCs w:val="20"/>
              </w:rPr>
              <w:t>无</w:t>
            </w:r>
          </w:p>
        </w:tc>
      </w:tr>
      <w:tr w14:paraId="16F9C2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278" w:type="dxa"/>
            <w:vMerge w:val="continue"/>
            <w:tcBorders>
              <w:top w:val="nil"/>
              <w:left w:val="nil"/>
            </w:tcBorders>
            <w:vAlign w:val="top"/>
          </w:tcPr>
          <w:p w14:paraId="53FCD86E">
            <w:pPr>
              <w:rPr>
                <w:rFonts w:ascii="Arial"/>
                <w:sz w:val="21"/>
              </w:rPr>
            </w:pPr>
          </w:p>
        </w:tc>
        <w:tc>
          <w:tcPr>
            <w:tcW w:w="2256" w:type="dxa"/>
            <w:vAlign w:val="top"/>
          </w:tcPr>
          <w:p w14:paraId="40758F44">
            <w:pPr>
              <w:pStyle w:val="6"/>
              <w:spacing w:before="73" w:line="227" w:lineRule="auto"/>
              <w:ind w:left="137"/>
              <w:rPr>
                <w:sz w:val="20"/>
                <w:szCs w:val="20"/>
              </w:rPr>
            </w:pPr>
            <w:r>
              <w:rPr>
                <w:spacing w:val="9"/>
                <w:sz w:val="20"/>
                <w:szCs w:val="20"/>
              </w:rPr>
              <w:t>氧化还原电位（</w:t>
            </w:r>
            <w:r>
              <w:rPr>
                <w:rFonts w:ascii="Times New Roman" w:hAnsi="Times New Roman" w:eastAsia="Times New Roman" w:cs="Times New Roman"/>
                <w:sz w:val="20"/>
                <w:szCs w:val="20"/>
              </w:rPr>
              <w:t>mV</w:t>
            </w:r>
            <w:r>
              <w:rPr>
                <w:spacing w:val="9"/>
                <w:sz w:val="20"/>
                <w:szCs w:val="20"/>
              </w:rPr>
              <w:t>）</w:t>
            </w:r>
          </w:p>
        </w:tc>
        <w:tc>
          <w:tcPr>
            <w:tcW w:w="1909" w:type="dxa"/>
            <w:vAlign w:val="top"/>
          </w:tcPr>
          <w:p w14:paraId="29D590F4">
            <w:pPr>
              <w:spacing w:before="112" w:line="195" w:lineRule="auto"/>
              <w:ind w:left="79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467</w:t>
            </w:r>
          </w:p>
        </w:tc>
        <w:tc>
          <w:tcPr>
            <w:tcW w:w="1910" w:type="dxa"/>
            <w:vAlign w:val="top"/>
          </w:tcPr>
          <w:p w14:paraId="7A35406A">
            <w:pPr>
              <w:spacing w:before="108" w:line="199" w:lineRule="auto"/>
              <w:ind w:left="9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925" w:type="dxa"/>
            <w:tcBorders>
              <w:right w:val="nil"/>
            </w:tcBorders>
            <w:vAlign w:val="top"/>
          </w:tcPr>
          <w:p w14:paraId="3A881D80">
            <w:pPr>
              <w:spacing w:before="108" w:line="199" w:lineRule="auto"/>
              <w:ind w:left="9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022A6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278" w:type="dxa"/>
            <w:vMerge w:val="restart"/>
            <w:tcBorders>
              <w:left w:val="nil"/>
              <w:bottom w:val="nil"/>
            </w:tcBorders>
            <w:vAlign w:val="top"/>
          </w:tcPr>
          <w:p w14:paraId="444306A7">
            <w:pPr>
              <w:spacing w:line="351" w:lineRule="auto"/>
              <w:rPr>
                <w:rFonts w:ascii="Arial"/>
                <w:sz w:val="21"/>
              </w:rPr>
            </w:pPr>
          </w:p>
          <w:p w14:paraId="1E4DC4B1">
            <w:pPr>
              <w:pStyle w:val="6"/>
              <w:spacing w:before="65" w:line="228" w:lineRule="auto"/>
              <w:ind w:left="128"/>
              <w:rPr>
                <w:sz w:val="20"/>
                <w:szCs w:val="20"/>
              </w:rPr>
            </w:pPr>
            <w:r>
              <w:rPr>
                <w:spacing w:val="7"/>
                <w:sz w:val="20"/>
                <w:szCs w:val="20"/>
              </w:rPr>
              <w:t>实验室测定</w:t>
            </w:r>
          </w:p>
        </w:tc>
        <w:tc>
          <w:tcPr>
            <w:tcW w:w="2256" w:type="dxa"/>
            <w:vAlign w:val="top"/>
          </w:tcPr>
          <w:p w14:paraId="072E0958">
            <w:pPr>
              <w:pStyle w:val="6"/>
              <w:spacing w:before="77" w:line="221" w:lineRule="auto"/>
              <w:ind w:left="338"/>
              <w:rPr>
                <w:sz w:val="20"/>
                <w:szCs w:val="20"/>
              </w:rPr>
            </w:pPr>
            <w:r>
              <w:rPr>
                <w:rFonts w:ascii="Times New Roman" w:hAnsi="Times New Roman" w:eastAsia="Times New Roman" w:cs="Times New Roman"/>
                <w:sz w:val="20"/>
                <w:szCs w:val="20"/>
              </w:rPr>
              <w:t>pH</w:t>
            </w:r>
            <w:r>
              <w:rPr>
                <w:rFonts w:ascii="Times New Roman" w:hAnsi="Times New Roman" w:eastAsia="Times New Roman" w:cs="Times New Roman"/>
                <w:spacing w:val="9"/>
                <w:sz w:val="20"/>
                <w:szCs w:val="20"/>
              </w:rPr>
              <w:t xml:space="preserve"> </w:t>
            </w:r>
            <w:r>
              <w:rPr>
                <w:spacing w:val="9"/>
                <w:sz w:val="20"/>
                <w:szCs w:val="20"/>
              </w:rPr>
              <w:t>值（无量纲）</w:t>
            </w:r>
          </w:p>
        </w:tc>
        <w:tc>
          <w:tcPr>
            <w:tcW w:w="1909" w:type="dxa"/>
            <w:vAlign w:val="top"/>
          </w:tcPr>
          <w:p w14:paraId="1E7D7034">
            <w:pPr>
              <w:spacing w:before="113" w:line="195" w:lineRule="auto"/>
              <w:ind w:left="78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8.02</w:t>
            </w:r>
          </w:p>
        </w:tc>
        <w:tc>
          <w:tcPr>
            <w:tcW w:w="1910" w:type="dxa"/>
            <w:vAlign w:val="top"/>
          </w:tcPr>
          <w:p w14:paraId="28AA6699">
            <w:pPr>
              <w:spacing w:before="113" w:line="195" w:lineRule="auto"/>
              <w:ind w:left="7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8.10</w:t>
            </w:r>
          </w:p>
        </w:tc>
        <w:tc>
          <w:tcPr>
            <w:tcW w:w="1925" w:type="dxa"/>
            <w:tcBorders>
              <w:right w:val="nil"/>
            </w:tcBorders>
            <w:vAlign w:val="top"/>
          </w:tcPr>
          <w:p w14:paraId="25DBF932">
            <w:pPr>
              <w:spacing w:before="113" w:line="195" w:lineRule="auto"/>
              <w:ind w:left="78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8.06</w:t>
            </w:r>
          </w:p>
        </w:tc>
      </w:tr>
      <w:tr w14:paraId="5D29FD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78" w:type="dxa"/>
            <w:vMerge w:val="continue"/>
            <w:tcBorders>
              <w:top w:val="nil"/>
              <w:left w:val="nil"/>
              <w:bottom w:val="nil"/>
            </w:tcBorders>
            <w:vAlign w:val="top"/>
          </w:tcPr>
          <w:p w14:paraId="611D4CB1">
            <w:pPr>
              <w:rPr>
                <w:rFonts w:ascii="Arial"/>
                <w:sz w:val="21"/>
              </w:rPr>
            </w:pPr>
          </w:p>
        </w:tc>
        <w:tc>
          <w:tcPr>
            <w:tcW w:w="2256" w:type="dxa"/>
            <w:vAlign w:val="top"/>
          </w:tcPr>
          <w:p w14:paraId="26D87688">
            <w:pPr>
              <w:pStyle w:val="6"/>
              <w:spacing w:before="53" w:line="228" w:lineRule="auto"/>
              <w:ind w:left="518"/>
              <w:rPr>
                <w:sz w:val="20"/>
                <w:szCs w:val="20"/>
              </w:rPr>
            </w:pPr>
            <w:r>
              <w:rPr>
                <w:spacing w:val="5"/>
                <w:sz w:val="20"/>
                <w:szCs w:val="20"/>
              </w:rPr>
              <w:t>阳离子交换量</w:t>
            </w:r>
          </w:p>
        </w:tc>
        <w:tc>
          <w:tcPr>
            <w:tcW w:w="1909" w:type="dxa"/>
            <w:vAlign w:val="top"/>
          </w:tcPr>
          <w:p w14:paraId="0F0D16C1">
            <w:pPr>
              <w:spacing w:before="117" w:line="195" w:lineRule="auto"/>
              <w:ind w:left="7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2"/>
                <w:sz w:val="20"/>
                <w:szCs w:val="20"/>
              </w:rPr>
              <w:t>1</w:t>
            </w:r>
          </w:p>
        </w:tc>
        <w:tc>
          <w:tcPr>
            <w:tcW w:w="1910" w:type="dxa"/>
            <w:vAlign w:val="top"/>
          </w:tcPr>
          <w:p w14:paraId="249068E4">
            <w:pPr>
              <w:spacing w:before="117" w:line="195" w:lineRule="auto"/>
              <w:ind w:left="77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20.8</w:t>
            </w:r>
          </w:p>
        </w:tc>
        <w:tc>
          <w:tcPr>
            <w:tcW w:w="1925" w:type="dxa"/>
            <w:tcBorders>
              <w:right w:val="nil"/>
            </w:tcBorders>
            <w:vAlign w:val="top"/>
          </w:tcPr>
          <w:p w14:paraId="32B810B9">
            <w:pPr>
              <w:spacing w:before="117" w:line="195" w:lineRule="auto"/>
              <w:ind w:left="7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22.3</w:t>
            </w:r>
          </w:p>
        </w:tc>
      </w:tr>
      <w:tr w14:paraId="24BB9D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1278" w:type="dxa"/>
            <w:vMerge w:val="continue"/>
            <w:tcBorders>
              <w:top w:val="nil"/>
              <w:left w:val="nil"/>
              <w:bottom w:val="single" w:color="000000" w:sz="10" w:space="0"/>
            </w:tcBorders>
            <w:vAlign w:val="top"/>
          </w:tcPr>
          <w:p w14:paraId="3E38CB79">
            <w:pPr>
              <w:rPr>
                <w:rFonts w:ascii="Arial"/>
                <w:sz w:val="21"/>
              </w:rPr>
            </w:pPr>
          </w:p>
        </w:tc>
        <w:tc>
          <w:tcPr>
            <w:tcW w:w="2256" w:type="dxa"/>
            <w:tcBorders>
              <w:bottom w:val="single" w:color="000000" w:sz="10" w:space="0"/>
            </w:tcBorders>
            <w:vAlign w:val="top"/>
          </w:tcPr>
          <w:p w14:paraId="25034CE4">
            <w:pPr>
              <w:pStyle w:val="6"/>
              <w:spacing w:line="241" w:lineRule="auto"/>
              <w:ind w:left="324"/>
              <w:rPr>
                <w:rFonts w:ascii="Times New Roman" w:hAnsi="Times New Roman" w:eastAsia="Times New Roman" w:cs="Times New Roman"/>
                <w:sz w:val="20"/>
                <w:szCs w:val="20"/>
              </w:rPr>
            </w:pPr>
            <w:r>
              <w:rPr>
                <w:spacing w:val="-18"/>
                <w:w w:val="94"/>
                <w:sz w:val="20"/>
                <w:szCs w:val="20"/>
              </w:rPr>
              <w:t>渗滤（率</w:t>
            </w:r>
            <w:r>
              <w:rPr>
                <w:spacing w:val="-18"/>
                <w:w w:val="94"/>
                <w:position w:val="-2"/>
                <w:sz w:val="20"/>
                <w:szCs w:val="20"/>
              </w:rPr>
              <w:t>（</w:t>
            </w:r>
            <w:r>
              <w:rPr>
                <w:rFonts w:ascii="Times New Roman" w:hAnsi="Times New Roman" w:eastAsia="Times New Roman" w:cs="Times New Roman"/>
                <w:spacing w:val="-18"/>
                <w:w w:val="94"/>
                <w:position w:val="-2"/>
                <w:sz w:val="20"/>
                <w:szCs w:val="20"/>
              </w:rPr>
              <w:t>mm</w:t>
            </w:r>
            <w:r>
              <w:rPr>
                <w:rFonts w:ascii="Times New Roman" w:hAnsi="Times New Roman" w:eastAsia="Times New Roman" w:cs="Times New Roman"/>
                <w:spacing w:val="-18"/>
                <w:w w:val="94"/>
                <w:position w:val="4"/>
                <w:sz w:val="20"/>
                <w:szCs w:val="20"/>
              </w:rPr>
              <w:t>/</w:t>
            </w:r>
            <w:r>
              <w:rPr>
                <w:spacing w:val="-18"/>
                <w:w w:val="94"/>
                <w:position w:val="4"/>
                <w:sz w:val="20"/>
                <w:szCs w:val="20"/>
              </w:rPr>
              <w:t>）</w:t>
            </w:r>
            <w:r>
              <w:rPr>
                <w:rFonts w:ascii="Times New Roman" w:hAnsi="Times New Roman" w:eastAsia="Times New Roman" w:cs="Times New Roman"/>
                <w:spacing w:val="-18"/>
                <w:w w:val="94"/>
                <w:position w:val="-2"/>
                <w:sz w:val="20"/>
                <w:szCs w:val="20"/>
              </w:rPr>
              <w:t>min)</w:t>
            </w:r>
          </w:p>
        </w:tc>
        <w:tc>
          <w:tcPr>
            <w:tcW w:w="1909" w:type="dxa"/>
            <w:tcBorders>
              <w:bottom w:val="single" w:color="000000" w:sz="10" w:space="0"/>
            </w:tcBorders>
            <w:vAlign w:val="top"/>
          </w:tcPr>
          <w:p w14:paraId="425FEE6B">
            <w:pPr>
              <w:spacing w:before="120" w:line="195" w:lineRule="auto"/>
              <w:ind w:left="7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1.06</w:t>
            </w:r>
          </w:p>
        </w:tc>
        <w:tc>
          <w:tcPr>
            <w:tcW w:w="1910" w:type="dxa"/>
            <w:tcBorders>
              <w:bottom w:val="single" w:color="000000" w:sz="10" w:space="0"/>
            </w:tcBorders>
            <w:vAlign w:val="top"/>
          </w:tcPr>
          <w:p w14:paraId="290C963D">
            <w:pPr>
              <w:spacing w:before="120"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1.10</w:t>
            </w:r>
          </w:p>
        </w:tc>
        <w:tc>
          <w:tcPr>
            <w:tcW w:w="1925" w:type="dxa"/>
            <w:tcBorders>
              <w:bottom w:val="single" w:color="000000" w:sz="10" w:space="0"/>
              <w:right w:val="nil"/>
            </w:tcBorders>
            <w:vAlign w:val="top"/>
          </w:tcPr>
          <w:p w14:paraId="35CB6734">
            <w:pPr>
              <w:spacing w:before="120" w:line="195" w:lineRule="auto"/>
              <w:ind w:left="7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1.09</w:t>
            </w:r>
          </w:p>
        </w:tc>
      </w:tr>
    </w:tbl>
    <w:p w14:paraId="1784965C">
      <w:pPr>
        <w:pStyle w:val="2"/>
      </w:pPr>
    </w:p>
    <w:p w14:paraId="0406524F">
      <w:pPr>
        <w:sectPr>
          <w:footerReference r:id="rId233" w:type="default"/>
          <w:pgSz w:w="11906" w:h="16839"/>
          <w:pgMar w:top="1190" w:right="1310" w:bottom="1156" w:left="1310" w:header="882" w:footer="994" w:gutter="0"/>
          <w:cols w:space="720" w:num="1"/>
        </w:sectPr>
      </w:pPr>
    </w:p>
    <w:p w14:paraId="0D3C985F">
      <w:pPr>
        <w:spacing w:line="28" w:lineRule="exact"/>
        <w:ind w:firstLine="106"/>
      </w:pPr>
      <w:r>
        <w:pict>
          <v:shape id="_x0000_s1265" o:spid="_x0000_s1265" style="height:1.45pt;width:453.55pt;" fillcolor="#000000" filled="t" stroked="f" coordsize="9070,29" path="m0,0l9070,0,9070,28,0,28,0,0xe">
            <v:path/>
            <v:fill on="t" focussize="0,0"/>
            <v:stroke on="f"/>
            <v:imagedata o:title=""/>
            <o:lock v:ext="edit"/>
            <w10:wrap type="none"/>
            <w10:anchorlock/>
          </v:shape>
        </w:pict>
      </w:r>
    </w:p>
    <w:p w14:paraId="2B043C24">
      <w:pPr>
        <w:spacing w:line="198" w:lineRule="exact"/>
      </w:pPr>
    </w:p>
    <w:tbl>
      <w:tblPr>
        <w:tblStyle w:val="5"/>
        <w:tblW w:w="9278"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8"/>
        <w:gridCol w:w="2256"/>
        <w:gridCol w:w="1909"/>
        <w:gridCol w:w="1910"/>
        <w:gridCol w:w="1925"/>
      </w:tblGrid>
      <w:tr w14:paraId="378589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trPr>
        <w:tc>
          <w:tcPr>
            <w:tcW w:w="1278" w:type="dxa"/>
            <w:vMerge w:val="restart"/>
            <w:tcBorders>
              <w:top w:val="single" w:color="000000" w:sz="10" w:space="0"/>
              <w:left w:val="nil"/>
              <w:bottom w:val="nil"/>
            </w:tcBorders>
            <w:vAlign w:val="top"/>
          </w:tcPr>
          <w:p w14:paraId="69104574">
            <w:pPr>
              <w:rPr>
                <w:rFonts w:ascii="Arial"/>
                <w:sz w:val="21"/>
              </w:rPr>
            </w:pPr>
          </w:p>
        </w:tc>
        <w:tc>
          <w:tcPr>
            <w:tcW w:w="2256" w:type="dxa"/>
            <w:tcBorders>
              <w:top w:val="single" w:color="000000" w:sz="10" w:space="0"/>
            </w:tcBorders>
            <w:vAlign w:val="top"/>
          </w:tcPr>
          <w:p w14:paraId="6250DE33">
            <w:pPr>
              <w:pStyle w:val="6"/>
              <w:spacing w:before="53" w:line="221" w:lineRule="auto"/>
              <w:ind w:left="541"/>
              <w:rPr>
                <w:rFonts w:ascii="Times New Roman" w:hAnsi="Times New Roman" w:eastAsia="Times New Roman" w:cs="Times New Roman"/>
                <w:sz w:val="20"/>
                <w:szCs w:val="20"/>
              </w:rPr>
            </w:pPr>
            <w:r>
              <w:rPr>
                <w:spacing w:val="6"/>
                <w:sz w:val="20"/>
                <w:szCs w:val="20"/>
              </w:rPr>
              <w:t>容重（</w:t>
            </w:r>
            <w:r>
              <w:rPr>
                <w:rFonts w:ascii="Times New Roman" w:hAnsi="Times New Roman" w:eastAsia="Times New Roman" w:cs="Times New Roman"/>
                <w:spacing w:val="6"/>
                <w:sz w:val="20"/>
                <w:szCs w:val="20"/>
              </w:rPr>
              <w:t>g/</w:t>
            </w:r>
            <w:r>
              <w:rPr>
                <w:rFonts w:ascii="Times New Roman" w:hAnsi="Times New Roman" w:eastAsia="Times New Roman" w:cs="Times New Roman"/>
                <w:sz w:val="20"/>
                <w:szCs w:val="20"/>
              </w:rPr>
              <w:t>cm</w:t>
            </w:r>
            <w:r>
              <w:rPr>
                <w:rFonts w:ascii="Times New Roman" w:hAnsi="Times New Roman" w:eastAsia="Times New Roman" w:cs="Times New Roman"/>
                <w:spacing w:val="6"/>
                <w:position w:val="6"/>
                <w:sz w:val="13"/>
                <w:szCs w:val="13"/>
              </w:rPr>
              <w:t>3</w:t>
            </w:r>
            <w:r>
              <w:rPr>
                <w:rFonts w:ascii="Times New Roman" w:hAnsi="Times New Roman" w:eastAsia="Times New Roman" w:cs="Times New Roman"/>
                <w:spacing w:val="6"/>
                <w:sz w:val="20"/>
                <w:szCs w:val="20"/>
              </w:rPr>
              <w:t>)</w:t>
            </w:r>
          </w:p>
        </w:tc>
        <w:tc>
          <w:tcPr>
            <w:tcW w:w="1909" w:type="dxa"/>
            <w:tcBorders>
              <w:top w:val="single" w:color="000000" w:sz="10" w:space="0"/>
            </w:tcBorders>
            <w:vAlign w:val="top"/>
          </w:tcPr>
          <w:p w14:paraId="173A3A46">
            <w:pPr>
              <w:spacing w:before="91" w:line="195" w:lineRule="auto"/>
              <w:ind w:left="7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1.06</w:t>
            </w:r>
          </w:p>
        </w:tc>
        <w:tc>
          <w:tcPr>
            <w:tcW w:w="1910" w:type="dxa"/>
            <w:tcBorders>
              <w:top w:val="single" w:color="000000" w:sz="10" w:space="0"/>
            </w:tcBorders>
            <w:vAlign w:val="top"/>
          </w:tcPr>
          <w:p w14:paraId="786EECB5">
            <w:pPr>
              <w:spacing w:before="91" w:line="195" w:lineRule="auto"/>
              <w:ind w:left="7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1.07</w:t>
            </w:r>
          </w:p>
        </w:tc>
        <w:tc>
          <w:tcPr>
            <w:tcW w:w="1925" w:type="dxa"/>
            <w:tcBorders>
              <w:top w:val="single" w:color="000000" w:sz="10" w:space="0"/>
              <w:right w:val="nil"/>
            </w:tcBorders>
            <w:vAlign w:val="top"/>
          </w:tcPr>
          <w:p w14:paraId="055F311E">
            <w:pPr>
              <w:spacing w:before="91" w:line="195" w:lineRule="auto"/>
              <w:ind w:left="7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1.02</w:t>
            </w:r>
          </w:p>
        </w:tc>
      </w:tr>
      <w:tr w14:paraId="27AB52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1278" w:type="dxa"/>
            <w:vMerge w:val="continue"/>
            <w:tcBorders>
              <w:top w:val="nil"/>
              <w:left w:val="nil"/>
              <w:bottom w:val="single" w:color="000000" w:sz="10" w:space="0"/>
            </w:tcBorders>
            <w:vAlign w:val="top"/>
          </w:tcPr>
          <w:p w14:paraId="546B3BF5">
            <w:pPr>
              <w:rPr>
                <w:rFonts w:ascii="Arial"/>
                <w:sz w:val="21"/>
              </w:rPr>
            </w:pPr>
          </w:p>
        </w:tc>
        <w:tc>
          <w:tcPr>
            <w:tcW w:w="2256" w:type="dxa"/>
            <w:tcBorders>
              <w:bottom w:val="single" w:color="000000" w:sz="10" w:space="0"/>
            </w:tcBorders>
            <w:vAlign w:val="top"/>
          </w:tcPr>
          <w:p w14:paraId="47F584D2">
            <w:pPr>
              <w:pStyle w:val="6"/>
              <w:spacing w:before="73" w:line="228" w:lineRule="auto"/>
              <w:ind w:left="420"/>
              <w:rPr>
                <w:sz w:val="20"/>
                <w:szCs w:val="20"/>
              </w:rPr>
            </w:pPr>
            <w:r>
              <w:rPr>
                <w:spacing w:val="6"/>
                <w:sz w:val="20"/>
                <w:szCs w:val="20"/>
              </w:rPr>
              <w:t>总孔隙度（</w:t>
            </w:r>
            <w:r>
              <w:rPr>
                <w:rFonts w:ascii="Times New Roman" w:hAnsi="Times New Roman" w:eastAsia="Times New Roman" w:cs="Times New Roman"/>
                <w:spacing w:val="6"/>
                <w:sz w:val="20"/>
                <w:szCs w:val="20"/>
              </w:rPr>
              <w:t>%</w:t>
            </w:r>
            <w:r>
              <w:rPr>
                <w:spacing w:val="6"/>
                <w:sz w:val="20"/>
                <w:szCs w:val="20"/>
              </w:rPr>
              <w:t>）</w:t>
            </w:r>
          </w:p>
        </w:tc>
        <w:tc>
          <w:tcPr>
            <w:tcW w:w="1909" w:type="dxa"/>
            <w:tcBorders>
              <w:bottom w:val="single" w:color="000000" w:sz="10" w:space="0"/>
            </w:tcBorders>
            <w:vAlign w:val="top"/>
          </w:tcPr>
          <w:p w14:paraId="7773F9CF">
            <w:pPr>
              <w:spacing w:before="108" w:line="195" w:lineRule="auto"/>
              <w:ind w:left="7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33.5</w:t>
            </w:r>
          </w:p>
        </w:tc>
        <w:tc>
          <w:tcPr>
            <w:tcW w:w="1910" w:type="dxa"/>
            <w:tcBorders>
              <w:bottom w:val="single" w:color="000000" w:sz="10" w:space="0"/>
            </w:tcBorders>
            <w:vAlign w:val="top"/>
          </w:tcPr>
          <w:p w14:paraId="7F1E0B24">
            <w:pPr>
              <w:spacing w:before="108" w:line="195" w:lineRule="auto"/>
              <w:ind w:left="7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31.4</w:t>
            </w:r>
          </w:p>
        </w:tc>
        <w:tc>
          <w:tcPr>
            <w:tcW w:w="1925" w:type="dxa"/>
            <w:tcBorders>
              <w:bottom w:val="single" w:color="000000" w:sz="10" w:space="0"/>
              <w:right w:val="nil"/>
            </w:tcBorders>
            <w:vAlign w:val="top"/>
          </w:tcPr>
          <w:p w14:paraId="79E6A8F3">
            <w:pPr>
              <w:spacing w:before="108" w:line="195" w:lineRule="auto"/>
              <w:ind w:left="7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32.7</w:t>
            </w:r>
          </w:p>
        </w:tc>
      </w:tr>
    </w:tbl>
    <w:p w14:paraId="47AB527C">
      <w:pPr>
        <w:spacing w:before="37" w:line="219" w:lineRule="auto"/>
        <w:ind w:left="111"/>
        <w:outlineLvl w:val="3"/>
        <w:rPr>
          <w:rFonts w:ascii="宋体" w:hAnsi="宋体" w:eastAsia="宋体" w:cs="宋体"/>
          <w:sz w:val="24"/>
          <w:szCs w:val="24"/>
        </w:rPr>
      </w:pPr>
      <w:r>
        <w:fldChar w:fldCharType="begin"/>
      </w:r>
      <w:r>
        <w:instrText xml:space="preserve"> HYPERLINK "3.3.3.2" </w:instrText>
      </w:r>
      <w:r>
        <w:fldChar w:fldCharType="separate"/>
      </w:r>
      <w:r>
        <w:rPr>
          <w:rFonts w:ascii="Times New Roman" w:hAnsi="Times New Roman" w:eastAsia="Times New Roman" w:cs="Times New Roman"/>
          <w:b/>
          <w:bCs/>
          <w:spacing w:val="-2"/>
          <w:sz w:val="24"/>
          <w:szCs w:val="24"/>
        </w:rPr>
        <w:t>3.3.3.2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土壤环境质量现状检测</w:t>
      </w:r>
    </w:p>
    <w:p w14:paraId="0FF6B63B">
      <w:pPr>
        <w:spacing w:before="180" w:line="219" w:lineRule="auto"/>
        <w:ind w:left="608"/>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）监测点位置及监测项目</w:t>
      </w:r>
    </w:p>
    <w:p w14:paraId="4786B2E8">
      <w:pPr>
        <w:spacing w:before="183" w:line="350" w:lineRule="auto"/>
        <w:ind w:left="117" w:right="106" w:firstLine="480"/>
        <w:rPr>
          <w:rFonts w:ascii="宋体" w:hAnsi="宋体" w:eastAsia="宋体" w:cs="宋体"/>
          <w:sz w:val="24"/>
          <w:szCs w:val="24"/>
        </w:rPr>
      </w:pPr>
      <w:r>
        <w:rPr>
          <w:rFonts w:ascii="宋体" w:hAnsi="宋体" w:eastAsia="宋体" w:cs="宋体"/>
          <w:spacing w:val="-2"/>
          <w:sz w:val="24"/>
          <w:szCs w:val="24"/>
        </w:rPr>
        <w:t>本次评价土壤环境质量现状委托内蒙古航峰检测技术有限公司进行监测，采样时间</w:t>
      </w:r>
      <w:r>
        <w:rPr>
          <w:rFonts w:ascii="宋体" w:hAnsi="宋体" w:eastAsia="宋体" w:cs="宋体"/>
          <w:spacing w:val="10"/>
          <w:sz w:val="24"/>
          <w:szCs w:val="24"/>
        </w:rPr>
        <w:t xml:space="preserve"> </w:t>
      </w:r>
      <w:r>
        <w:rPr>
          <w:rFonts w:ascii="宋体" w:hAnsi="宋体" w:eastAsia="宋体" w:cs="宋体"/>
          <w:spacing w:val="-4"/>
          <w:sz w:val="24"/>
          <w:szCs w:val="24"/>
        </w:rPr>
        <w:t>为</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 xml:space="preserve">2024 </w:t>
      </w:r>
      <w:r>
        <w:rPr>
          <w:rFonts w:ascii="宋体" w:hAnsi="宋体" w:eastAsia="宋体" w:cs="宋体"/>
          <w:spacing w:val="-4"/>
          <w:sz w:val="24"/>
          <w:szCs w:val="24"/>
        </w:rPr>
        <w:t>年</w:t>
      </w:r>
      <w:r>
        <w:rPr>
          <w:rFonts w:ascii="宋体" w:hAnsi="宋体" w:eastAsia="宋体" w:cs="宋体"/>
          <w:spacing w:val="-48"/>
          <w:sz w:val="24"/>
          <w:szCs w:val="24"/>
        </w:rPr>
        <w:t xml:space="preserve"> </w:t>
      </w:r>
      <w:r>
        <w:rPr>
          <w:rFonts w:ascii="Times New Roman" w:hAnsi="Times New Roman" w:eastAsia="Times New Roman" w:cs="Times New Roman"/>
          <w:spacing w:val="-4"/>
          <w:sz w:val="24"/>
          <w:szCs w:val="24"/>
        </w:rPr>
        <w:t>5</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13  </w:t>
      </w:r>
      <w:r>
        <w:rPr>
          <w:rFonts w:ascii="宋体" w:hAnsi="宋体" w:eastAsia="宋体" w:cs="宋体"/>
          <w:spacing w:val="-4"/>
          <w:sz w:val="24"/>
          <w:szCs w:val="24"/>
        </w:rPr>
        <w:t>日，共设置</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11 </w:t>
      </w:r>
      <w:r>
        <w:rPr>
          <w:rFonts w:ascii="宋体" w:hAnsi="宋体" w:eastAsia="宋体" w:cs="宋体"/>
          <w:spacing w:val="-4"/>
          <w:sz w:val="24"/>
          <w:szCs w:val="24"/>
        </w:rPr>
        <w:t>个土壤监测</w:t>
      </w:r>
      <w:r>
        <w:rPr>
          <w:rFonts w:ascii="宋体" w:hAnsi="宋体" w:eastAsia="宋体" w:cs="宋体"/>
          <w:spacing w:val="-5"/>
          <w:sz w:val="24"/>
          <w:szCs w:val="24"/>
        </w:rPr>
        <w:t>点位，采样点位分布情况详见下表</w:t>
      </w:r>
      <w:r>
        <w:rPr>
          <w:rFonts w:ascii="宋体" w:hAnsi="宋体" w:eastAsia="宋体" w:cs="宋体"/>
          <w:spacing w:val="-50"/>
          <w:sz w:val="24"/>
          <w:szCs w:val="24"/>
        </w:rPr>
        <w:t xml:space="preserve"> </w:t>
      </w:r>
      <w:r>
        <w:rPr>
          <w:rFonts w:ascii="Times New Roman" w:hAnsi="Times New Roman" w:eastAsia="Times New Roman" w:cs="Times New Roman"/>
          <w:spacing w:val="-5"/>
          <w:sz w:val="24"/>
          <w:szCs w:val="24"/>
        </w:rPr>
        <w:t>3.3-7</w:t>
      </w:r>
      <w:r>
        <w:rPr>
          <w:rFonts w:ascii="Times New Roman" w:hAnsi="Times New Roman" w:eastAsia="Times New Roman" w:cs="Times New Roman"/>
          <w:spacing w:val="-31"/>
          <w:sz w:val="24"/>
          <w:szCs w:val="24"/>
        </w:rPr>
        <w:t xml:space="preserve"> </w:t>
      </w:r>
      <w:r>
        <w:rPr>
          <w:rFonts w:ascii="宋体" w:hAnsi="宋体" w:eastAsia="宋体" w:cs="宋体"/>
          <w:spacing w:val="-5"/>
          <w:sz w:val="24"/>
          <w:szCs w:val="24"/>
        </w:rPr>
        <w:t>，</w:t>
      </w:r>
      <w:r>
        <w:rPr>
          <w:rFonts w:ascii="宋体" w:hAnsi="宋体" w:eastAsia="宋体" w:cs="宋体"/>
          <w:sz w:val="24"/>
          <w:szCs w:val="24"/>
        </w:rPr>
        <w:t xml:space="preserve"> </w:t>
      </w:r>
      <w:r>
        <w:rPr>
          <w:rFonts w:ascii="宋体" w:hAnsi="宋体" w:eastAsia="宋体" w:cs="宋体"/>
          <w:spacing w:val="-2"/>
          <w:sz w:val="24"/>
          <w:szCs w:val="24"/>
        </w:rPr>
        <w:t>监测布点见图</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3.3-3</w:t>
      </w:r>
      <w:r>
        <w:rPr>
          <w:rFonts w:ascii="宋体" w:hAnsi="宋体" w:eastAsia="宋体" w:cs="宋体"/>
          <w:spacing w:val="-2"/>
          <w:sz w:val="24"/>
          <w:szCs w:val="24"/>
        </w:rPr>
        <w:t>。</w:t>
      </w:r>
    </w:p>
    <w:p w14:paraId="24F48A49">
      <w:pPr>
        <w:spacing w:before="119" w:line="4755" w:lineRule="exact"/>
        <w:ind w:firstLine="107"/>
      </w:pPr>
      <w:r>
        <w:rPr>
          <w:position w:val="-95"/>
        </w:rPr>
        <w:drawing>
          <wp:inline distT="0" distB="0" distL="0" distR="0">
            <wp:extent cx="5755640" cy="3018790"/>
            <wp:effectExtent l="0" t="0" r="0" b="0"/>
            <wp:docPr id="58" name="IM 58"/>
            <wp:cNvGraphicFramePr/>
            <a:graphic xmlns:a="http://schemas.openxmlformats.org/drawingml/2006/main">
              <a:graphicData uri="http://schemas.openxmlformats.org/drawingml/2006/picture">
                <pic:pic xmlns:pic="http://schemas.openxmlformats.org/drawingml/2006/picture">
                  <pic:nvPicPr>
                    <pic:cNvPr id="58" name="IM 58"/>
                    <pic:cNvPicPr/>
                  </pic:nvPicPr>
                  <pic:blipFill>
                    <a:blip r:embed="rId607"/>
                    <a:stretch>
                      <a:fillRect/>
                    </a:stretch>
                  </pic:blipFill>
                  <pic:spPr>
                    <a:xfrm>
                      <a:off x="0" y="0"/>
                      <a:ext cx="5756148" cy="3019044"/>
                    </a:xfrm>
                    <a:prstGeom prst="rect">
                      <a:avLst/>
                    </a:prstGeom>
                  </pic:spPr>
                </pic:pic>
              </a:graphicData>
            </a:graphic>
          </wp:inline>
        </w:drawing>
      </w:r>
    </w:p>
    <w:p w14:paraId="62F18250">
      <w:pPr>
        <w:spacing w:before="32" w:line="227" w:lineRule="auto"/>
        <w:ind w:left="2845"/>
        <w:rPr>
          <w:rFonts w:ascii="宋体" w:hAnsi="宋体" w:eastAsia="宋体" w:cs="宋体"/>
          <w:sz w:val="20"/>
          <w:szCs w:val="20"/>
        </w:rPr>
      </w:pPr>
      <w:r>
        <w:rPr>
          <w:rFonts w:ascii="宋体" w:hAnsi="宋体" w:eastAsia="宋体" w:cs="宋体"/>
          <w:b/>
          <w:bCs/>
          <w:spacing w:val="5"/>
          <w:sz w:val="20"/>
          <w:szCs w:val="20"/>
        </w:rPr>
        <w:t>图</w:t>
      </w:r>
      <w:r>
        <w:rPr>
          <w:rFonts w:ascii="宋体" w:hAnsi="宋体" w:eastAsia="宋体" w:cs="宋体"/>
          <w:spacing w:val="-44"/>
          <w:sz w:val="20"/>
          <w:szCs w:val="20"/>
        </w:rPr>
        <w:t xml:space="preserve"> </w:t>
      </w:r>
      <w:r>
        <w:rPr>
          <w:rFonts w:ascii="Times New Roman" w:hAnsi="Times New Roman" w:eastAsia="Times New Roman" w:cs="Times New Roman"/>
          <w:b/>
          <w:bCs/>
          <w:spacing w:val="5"/>
          <w:sz w:val="20"/>
          <w:szCs w:val="20"/>
        </w:rPr>
        <w:t xml:space="preserve">3.3-3        </w:t>
      </w:r>
      <w:r>
        <w:rPr>
          <w:rFonts w:ascii="宋体" w:hAnsi="宋体" w:eastAsia="宋体" w:cs="宋体"/>
          <w:b/>
          <w:bCs/>
          <w:spacing w:val="5"/>
          <w:sz w:val="20"/>
          <w:szCs w:val="20"/>
        </w:rPr>
        <w:t>本项目土壤环境监</w:t>
      </w:r>
      <w:r>
        <w:rPr>
          <w:rFonts w:ascii="宋体" w:hAnsi="宋体" w:eastAsia="宋体" w:cs="宋体"/>
          <w:b/>
          <w:bCs/>
          <w:spacing w:val="4"/>
          <w:sz w:val="20"/>
          <w:szCs w:val="20"/>
        </w:rPr>
        <w:t>测点位示意图</w:t>
      </w:r>
    </w:p>
    <w:p w14:paraId="063713DD">
      <w:pPr>
        <w:spacing w:before="270" w:line="227" w:lineRule="auto"/>
        <w:ind w:left="2190"/>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8"/>
          <w:sz w:val="20"/>
          <w:szCs w:val="20"/>
        </w:rPr>
        <w:t xml:space="preserve"> </w:t>
      </w:r>
      <w:r>
        <w:rPr>
          <w:rFonts w:ascii="Times New Roman" w:hAnsi="Times New Roman" w:eastAsia="Times New Roman" w:cs="Times New Roman"/>
          <w:b/>
          <w:bCs/>
          <w:spacing w:val="5"/>
          <w:sz w:val="20"/>
          <w:szCs w:val="20"/>
        </w:rPr>
        <w:t xml:space="preserve">3.3-7            </w:t>
      </w:r>
      <w:r>
        <w:rPr>
          <w:rFonts w:ascii="宋体" w:hAnsi="宋体" w:eastAsia="宋体" w:cs="宋体"/>
          <w:b/>
          <w:bCs/>
          <w:spacing w:val="5"/>
          <w:sz w:val="20"/>
          <w:szCs w:val="20"/>
        </w:rPr>
        <w:t>本项目占地范围内土壤现状监测点位表</w:t>
      </w:r>
    </w:p>
    <w:p w14:paraId="02267E6F">
      <w:pPr>
        <w:spacing w:line="16" w:lineRule="exact"/>
      </w:pPr>
    </w:p>
    <w:tbl>
      <w:tblPr>
        <w:tblStyle w:val="5"/>
        <w:tblW w:w="928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47"/>
        <w:gridCol w:w="429"/>
        <w:gridCol w:w="635"/>
        <w:gridCol w:w="2543"/>
        <w:gridCol w:w="5329"/>
      </w:tblGrid>
      <w:tr w14:paraId="247E9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3" w:hRule="atLeast"/>
        </w:trPr>
        <w:tc>
          <w:tcPr>
            <w:tcW w:w="347" w:type="dxa"/>
            <w:tcBorders>
              <w:top w:val="single" w:color="000000" w:sz="10" w:space="0"/>
              <w:left w:val="nil"/>
            </w:tcBorders>
            <w:textDirection w:val="tbRlV"/>
            <w:vAlign w:val="top"/>
          </w:tcPr>
          <w:p w14:paraId="6FCAB837">
            <w:pPr>
              <w:pStyle w:val="6"/>
              <w:spacing w:before="68" w:line="214" w:lineRule="auto"/>
              <w:ind w:left="306"/>
              <w:rPr>
                <w:sz w:val="20"/>
                <w:szCs w:val="20"/>
              </w:rPr>
            </w:pPr>
            <w:r>
              <w:rPr>
                <w:spacing w:val="8"/>
                <w:sz w:val="20"/>
                <w:szCs w:val="20"/>
              </w:rPr>
              <w:t>编</w:t>
            </w:r>
            <w:r>
              <w:rPr>
                <w:spacing w:val="-35"/>
                <w:sz w:val="20"/>
                <w:szCs w:val="20"/>
              </w:rPr>
              <w:t xml:space="preserve"> </w:t>
            </w:r>
            <w:r>
              <w:rPr>
                <w:spacing w:val="8"/>
                <w:sz w:val="20"/>
                <w:szCs w:val="20"/>
              </w:rPr>
              <w:t>号</w:t>
            </w:r>
          </w:p>
        </w:tc>
        <w:tc>
          <w:tcPr>
            <w:tcW w:w="429" w:type="dxa"/>
            <w:tcBorders>
              <w:top w:val="single" w:color="000000" w:sz="10" w:space="0"/>
            </w:tcBorders>
            <w:textDirection w:val="tbRlV"/>
            <w:vAlign w:val="top"/>
          </w:tcPr>
          <w:p w14:paraId="25EA739F">
            <w:pPr>
              <w:pStyle w:val="6"/>
              <w:spacing w:before="108" w:line="216" w:lineRule="auto"/>
              <w:ind w:left="35"/>
              <w:rPr>
                <w:sz w:val="20"/>
                <w:szCs w:val="20"/>
              </w:rPr>
            </w:pPr>
            <w:r>
              <w:rPr>
                <w:spacing w:val="8"/>
                <w:sz w:val="20"/>
                <w:szCs w:val="20"/>
              </w:rPr>
              <w:t>采</w:t>
            </w:r>
            <w:r>
              <w:rPr>
                <w:spacing w:val="-36"/>
                <w:sz w:val="20"/>
                <w:szCs w:val="20"/>
              </w:rPr>
              <w:t xml:space="preserve"> </w:t>
            </w:r>
            <w:r>
              <w:rPr>
                <w:spacing w:val="8"/>
                <w:sz w:val="20"/>
                <w:szCs w:val="20"/>
              </w:rPr>
              <w:t>样</w:t>
            </w:r>
            <w:r>
              <w:rPr>
                <w:spacing w:val="-35"/>
                <w:sz w:val="20"/>
                <w:szCs w:val="20"/>
              </w:rPr>
              <w:t xml:space="preserve"> </w:t>
            </w:r>
            <w:r>
              <w:rPr>
                <w:spacing w:val="8"/>
                <w:sz w:val="20"/>
                <w:szCs w:val="20"/>
              </w:rPr>
              <w:t>点</w:t>
            </w:r>
            <w:r>
              <w:rPr>
                <w:spacing w:val="-38"/>
                <w:sz w:val="20"/>
                <w:szCs w:val="20"/>
              </w:rPr>
              <w:t xml:space="preserve"> </w:t>
            </w:r>
            <w:r>
              <w:rPr>
                <w:spacing w:val="8"/>
                <w:sz w:val="20"/>
                <w:szCs w:val="20"/>
              </w:rPr>
              <w:t>位</w:t>
            </w:r>
          </w:p>
        </w:tc>
        <w:tc>
          <w:tcPr>
            <w:tcW w:w="635" w:type="dxa"/>
            <w:tcBorders>
              <w:top w:val="single" w:color="000000" w:sz="10" w:space="0"/>
            </w:tcBorders>
            <w:textDirection w:val="tbRlV"/>
            <w:vAlign w:val="top"/>
          </w:tcPr>
          <w:p w14:paraId="7DBB91B8">
            <w:pPr>
              <w:pStyle w:val="6"/>
              <w:spacing w:before="210" w:line="216" w:lineRule="auto"/>
              <w:ind w:left="35"/>
              <w:rPr>
                <w:sz w:val="20"/>
                <w:szCs w:val="20"/>
              </w:rPr>
            </w:pPr>
            <w:r>
              <w:rPr>
                <w:spacing w:val="8"/>
                <w:sz w:val="20"/>
                <w:szCs w:val="20"/>
              </w:rPr>
              <w:t>采</w:t>
            </w:r>
            <w:r>
              <w:rPr>
                <w:spacing w:val="-36"/>
                <w:sz w:val="20"/>
                <w:szCs w:val="20"/>
              </w:rPr>
              <w:t xml:space="preserve"> </w:t>
            </w:r>
            <w:r>
              <w:rPr>
                <w:spacing w:val="8"/>
                <w:sz w:val="20"/>
                <w:szCs w:val="20"/>
              </w:rPr>
              <w:t>样</w:t>
            </w:r>
            <w:r>
              <w:rPr>
                <w:spacing w:val="-35"/>
                <w:sz w:val="20"/>
                <w:szCs w:val="20"/>
              </w:rPr>
              <w:t xml:space="preserve"> </w:t>
            </w:r>
            <w:r>
              <w:rPr>
                <w:spacing w:val="8"/>
                <w:sz w:val="20"/>
                <w:szCs w:val="20"/>
              </w:rPr>
              <w:t>类</w:t>
            </w:r>
            <w:r>
              <w:rPr>
                <w:spacing w:val="-38"/>
                <w:sz w:val="20"/>
                <w:szCs w:val="20"/>
              </w:rPr>
              <w:t xml:space="preserve"> </w:t>
            </w:r>
            <w:r>
              <w:rPr>
                <w:spacing w:val="8"/>
                <w:sz w:val="20"/>
                <w:szCs w:val="20"/>
              </w:rPr>
              <w:t>型</w:t>
            </w:r>
          </w:p>
        </w:tc>
        <w:tc>
          <w:tcPr>
            <w:tcW w:w="2543" w:type="dxa"/>
            <w:tcBorders>
              <w:top w:val="single" w:color="000000" w:sz="10" w:space="0"/>
            </w:tcBorders>
            <w:vAlign w:val="top"/>
          </w:tcPr>
          <w:p w14:paraId="65D2B17A">
            <w:pPr>
              <w:spacing w:line="376" w:lineRule="auto"/>
              <w:rPr>
                <w:rFonts w:ascii="Arial"/>
                <w:sz w:val="21"/>
              </w:rPr>
            </w:pPr>
          </w:p>
          <w:p w14:paraId="7A498BE9">
            <w:pPr>
              <w:pStyle w:val="6"/>
              <w:spacing w:before="65" w:line="228" w:lineRule="auto"/>
              <w:ind w:left="1066"/>
              <w:rPr>
                <w:sz w:val="20"/>
                <w:szCs w:val="20"/>
              </w:rPr>
            </w:pPr>
            <w:r>
              <w:rPr>
                <w:spacing w:val="4"/>
                <w:sz w:val="20"/>
                <w:szCs w:val="20"/>
              </w:rPr>
              <w:t>坐标</w:t>
            </w:r>
          </w:p>
        </w:tc>
        <w:tc>
          <w:tcPr>
            <w:tcW w:w="5329" w:type="dxa"/>
            <w:tcBorders>
              <w:top w:val="single" w:color="000000" w:sz="10" w:space="0"/>
              <w:right w:val="nil"/>
            </w:tcBorders>
            <w:vAlign w:val="top"/>
          </w:tcPr>
          <w:p w14:paraId="6E4641E0">
            <w:pPr>
              <w:spacing w:line="376" w:lineRule="auto"/>
              <w:rPr>
                <w:rFonts w:ascii="Arial"/>
                <w:sz w:val="21"/>
              </w:rPr>
            </w:pPr>
          </w:p>
          <w:p w14:paraId="40E43DA3">
            <w:pPr>
              <w:pStyle w:val="6"/>
              <w:spacing w:before="65" w:line="228" w:lineRule="auto"/>
              <w:ind w:left="2251"/>
              <w:rPr>
                <w:sz w:val="20"/>
                <w:szCs w:val="20"/>
              </w:rPr>
            </w:pPr>
            <w:r>
              <w:rPr>
                <w:spacing w:val="7"/>
                <w:sz w:val="20"/>
                <w:szCs w:val="20"/>
              </w:rPr>
              <w:t>监测因子</w:t>
            </w:r>
          </w:p>
        </w:tc>
      </w:tr>
      <w:tr w14:paraId="4D26FE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6" w:hRule="atLeast"/>
        </w:trPr>
        <w:tc>
          <w:tcPr>
            <w:tcW w:w="347" w:type="dxa"/>
            <w:tcBorders>
              <w:left w:val="nil"/>
            </w:tcBorders>
            <w:vAlign w:val="top"/>
          </w:tcPr>
          <w:p w14:paraId="68346261">
            <w:pPr>
              <w:spacing w:before="192"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T1</w:t>
            </w:r>
          </w:p>
        </w:tc>
        <w:tc>
          <w:tcPr>
            <w:tcW w:w="429" w:type="dxa"/>
            <w:vMerge w:val="restart"/>
            <w:tcBorders>
              <w:bottom w:val="nil"/>
            </w:tcBorders>
            <w:textDirection w:val="tbRlV"/>
            <w:vAlign w:val="top"/>
          </w:tcPr>
          <w:p w14:paraId="3C99FC19">
            <w:pPr>
              <w:pStyle w:val="6"/>
              <w:spacing w:before="108" w:line="207" w:lineRule="auto"/>
              <w:ind w:left="1121"/>
              <w:rPr>
                <w:sz w:val="20"/>
                <w:szCs w:val="20"/>
              </w:rPr>
            </w:pPr>
            <w:r>
              <w:rPr>
                <w:spacing w:val="8"/>
                <w:sz w:val="20"/>
                <w:szCs w:val="20"/>
              </w:rPr>
              <w:t>厂</w:t>
            </w:r>
            <w:r>
              <w:rPr>
                <w:spacing w:val="-34"/>
                <w:sz w:val="20"/>
                <w:szCs w:val="20"/>
              </w:rPr>
              <w:t xml:space="preserve"> </w:t>
            </w:r>
            <w:r>
              <w:rPr>
                <w:spacing w:val="8"/>
                <w:sz w:val="20"/>
                <w:szCs w:val="20"/>
              </w:rPr>
              <w:t>区</w:t>
            </w:r>
            <w:r>
              <w:rPr>
                <w:spacing w:val="-37"/>
                <w:sz w:val="20"/>
                <w:szCs w:val="20"/>
              </w:rPr>
              <w:t xml:space="preserve"> </w:t>
            </w:r>
            <w:r>
              <w:rPr>
                <w:spacing w:val="8"/>
                <w:position w:val="1"/>
                <w:sz w:val="20"/>
                <w:szCs w:val="20"/>
              </w:rPr>
              <w:t>占</w:t>
            </w:r>
            <w:r>
              <w:rPr>
                <w:spacing w:val="-35"/>
                <w:position w:val="1"/>
                <w:sz w:val="20"/>
                <w:szCs w:val="20"/>
              </w:rPr>
              <w:t xml:space="preserve"> </w:t>
            </w:r>
            <w:r>
              <w:rPr>
                <w:spacing w:val="8"/>
                <w:sz w:val="20"/>
                <w:szCs w:val="20"/>
              </w:rPr>
              <w:t>地</w:t>
            </w:r>
            <w:r>
              <w:rPr>
                <w:spacing w:val="-38"/>
                <w:sz w:val="20"/>
                <w:szCs w:val="20"/>
              </w:rPr>
              <w:t xml:space="preserve"> </w:t>
            </w:r>
            <w:r>
              <w:rPr>
                <w:spacing w:val="8"/>
                <w:sz w:val="20"/>
                <w:szCs w:val="20"/>
              </w:rPr>
              <w:t>范</w:t>
            </w:r>
            <w:r>
              <w:rPr>
                <w:spacing w:val="-35"/>
                <w:sz w:val="20"/>
                <w:szCs w:val="20"/>
              </w:rPr>
              <w:t xml:space="preserve"> </w:t>
            </w:r>
            <w:r>
              <w:rPr>
                <w:spacing w:val="8"/>
                <w:sz w:val="20"/>
                <w:szCs w:val="20"/>
              </w:rPr>
              <w:t>围</w:t>
            </w:r>
            <w:r>
              <w:rPr>
                <w:spacing w:val="-38"/>
                <w:sz w:val="20"/>
                <w:szCs w:val="20"/>
              </w:rPr>
              <w:t xml:space="preserve"> </w:t>
            </w:r>
            <w:r>
              <w:rPr>
                <w:spacing w:val="8"/>
                <w:sz w:val="20"/>
                <w:szCs w:val="20"/>
              </w:rPr>
              <w:t>内</w:t>
            </w:r>
          </w:p>
        </w:tc>
        <w:tc>
          <w:tcPr>
            <w:tcW w:w="635" w:type="dxa"/>
            <w:vMerge w:val="restart"/>
            <w:tcBorders>
              <w:bottom w:val="nil"/>
            </w:tcBorders>
            <w:textDirection w:val="tbRlV"/>
            <w:vAlign w:val="top"/>
          </w:tcPr>
          <w:p w14:paraId="5F0841A8">
            <w:pPr>
              <w:pStyle w:val="6"/>
              <w:spacing w:before="211" w:line="216" w:lineRule="auto"/>
              <w:ind w:left="842"/>
              <w:rPr>
                <w:sz w:val="20"/>
                <w:szCs w:val="20"/>
              </w:rPr>
            </w:pPr>
            <w:r>
              <w:rPr>
                <w:spacing w:val="8"/>
                <w:sz w:val="20"/>
                <w:szCs w:val="20"/>
              </w:rPr>
              <w:t>柱</w:t>
            </w:r>
            <w:r>
              <w:rPr>
                <w:spacing w:val="-37"/>
                <w:sz w:val="20"/>
                <w:szCs w:val="20"/>
              </w:rPr>
              <w:t xml:space="preserve"> </w:t>
            </w:r>
            <w:r>
              <w:rPr>
                <w:spacing w:val="8"/>
                <w:sz w:val="20"/>
                <w:szCs w:val="20"/>
              </w:rPr>
              <w:t>状</w:t>
            </w:r>
            <w:r>
              <w:rPr>
                <w:spacing w:val="-37"/>
                <w:sz w:val="20"/>
                <w:szCs w:val="20"/>
              </w:rPr>
              <w:t xml:space="preserve"> </w:t>
            </w:r>
            <w:r>
              <w:rPr>
                <w:spacing w:val="8"/>
                <w:sz w:val="20"/>
                <w:szCs w:val="20"/>
              </w:rPr>
              <w:t>样</w:t>
            </w:r>
          </w:p>
        </w:tc>
        <w:tc>
          <w:tcPr>
            <w:tcW w:w="2543" w:type="dxa"/>
            <w:vAlign w:val="top"/>
          </w:tcPr>
          <w:p w14:paraId="7817E5EC">
            <w:pPr>
              <w:pStyle w:val="6"/>
              <w:spacing w:before="73" w:line="212" w:lineRule="auto"/>
              <w:ind w:left="715" w:right="611" w:hanging="1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112°53′29.67″</w:t>
            </w:r>
            <w:r>
              <w:rPr>
                <w:spacing w:val="-2"/>
                <w:sz w:val="20"/>
                <w:szCs w:val="20"/>
              </w:rPr>
              <w:t>，</w:t>
            </w:r>
            <w:r>
              <w:rPr>
                <w:spacing w:val="10"/>
                <w:sz w:val="20"/>
                <w:szCs w:val="20"/>
              </w:rPr>
              <w:t xml:space="preserve"> </w:t>
            </w:r>
            <w:r>
              <w:rPr>
                <w:rFonts w:ascii="Times New Roman" w:hAnsi="Times New Roman" w:eastAsia="Times New Roman" w:cs="Times New Roman"/>
                <w:spacing w:val="4"/>
                <w:sz w:val="20"/>
                <w:szCs w:val="20"/>
              </w:rPr>
              <w:t>42°25′42.74″</w:t>
            </w:r>
          </w:p>
        </w:tc>
        <w:tc>
          <w:tcPr>
            <w:tcW w:w="5329" w:type="dxa"/>
            <w:tcBorders>
              <w:right w:val="nil"/>
            </w:tcBorders>
            <w:vAlign w:val="top"/>
          </w:tcPr>
          <w:p w14:paraId="095B8B2F">
            <w:pPr>
              <w:pStyle w:val="6"/>
              <w:spacing w:before="156" w:line="226" w:lineRule="auto"/>
              <w:ind w:left="672"/>
              <w:rPr>
                <w:sz w:val="20"/>
                <w:szCs w:val="20"/>
              </w:rPr>
            </w:pPr>
            <w:r>
              <w:rPr>
                <w:spacing w:val="9"/>
                <w:sz w:val="20"/>
                <w:szCs w:val="20"/>
              </w:rPr>
              <w:t>砷、镉、铬（六价）、铜、铅、锌、汞、镍</w:t>
            </w:r>
          </w:p>
        </w:tc>
      </w:tr>
      <w:tr w14:paraId="63FAA6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347" w:type="dxa"/>
            <w:tcBorders>
              <w:left w:val="nil"/>
            </w:tcBorders>
            <w:vAlign w:val="top"/>
          </w:tcPr>
          <w:p w14:paraId="4A9E4075">
            <w:pPr>
              <w:spacing w:before="77"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T2</w:t>
            </w:r>
          </w:p>
        </w:tc>
        <w:tc>
          <w:tcPr>
            <w:tcW w:w="429" w:type="dxa"/>
            <w:vMerge w:val="continue"/>
            <w:tcBorders>
              <w:top w:val="nil"/>
              <w:bottom w:val="nil"/>
            </w:tcBorders>
            <w:textDirection w:val="tbRlV"/>
            <w:vAlign w:val="top"/>
          </w:tcPr>
          <w:p w14:paraId="41A1CC5E">
            <w:pPr>
              <w:rPr>
                <w:rFonts w:ascii="Arial"/>
                <w:sz w:val="21"/>
              </w:rPr>
            </w:pPr>
          </w:p>
        </w:tc>
        <w:tc>
          <w:tcPr>
            <w:tcW w:w="635" w:type="dxa"/>
            <w:vMerge w:val="continue"/>
            <w:tcBorders>
              <w:top w:val="nil"/>
              <w:bottom w:val="nil"/>
            </w:tcBorders>
            <w:textDirection w:val="tbRlV"/>
            <w:vAlign w:val="top"/>
          </w:tcPr>
          <w:p w14:paraId="32930F61">
            <w:pPr>
              <w:rPr>
                <w:rFonts w:ascii="Arial"/>
                <w:sz w:val="21"/>
              </w:rPr>
            </w:pPr>
          </w:p>
        </w:tc>
        <w:tc>
          <w:tcPr>
            <w:tcW w:w="2543" w:type="dxa"/>
            <w:vAlign w:val="top"/>
          </w:tcPr>
          <w:p w14:paraId="04E3F207">
            <w:pPr>
              <w:pStyle w:val="6"/>
              <w:spacing w:before="77" w:line="174"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112°53′28.13″</w:t>
            </w:r>
            <w:r>
              <w:rPr>
                <w:spacing w:val="-2"/>
                <w:sz w:val="20"/>
                <w:szCs w:val="20"/>
              </w:rPr>
              <w:t>，</w:t>
            </w:r>
            <w:r>
              <w:rPr>
                <w:rFonts w:ascii="Times New Roman" w:hAnsi="Times New Roman" w:eastAsia="Times New Roman" w:cs="Times New Roman"/>
                <w:spacing w:val="-2"/>
                <w:sz w:val="20"/>
                <w:szCs w:val="20"/>
              </w:rPr>
              <w:t>42°26′</w:t>
            </w:r>
            <w:r>
              <w:rPr>
                <w:rFonts w:ascii="Times New Roman" w:hAnsi="Times New Roman" w:eastAsia="Times New Roman" w:cs="Times New Roman"/>
                <w:spacing w:val="-14"/>
                <w:sz w:val="20"/>
                <w:szCs w:val="20"/>
              </w:rPr>
              <w:t xml:space="preserve"> </w:t>
            </w:r>
            <w:r>
              <w:rPr>
                <w:rFonts w:ascii="Times New Roman" w:hAnsi="Times New Roman" w:eastAsia="Times New Roman" w:cs="Times New Roman"/>
                <w:spacing w:val="-2"/>
                <w:sz w:val="20"/>
                <w:szCs w:val="20"/>
              </w:rPr>
              <w:t>1.74″</w:t>
            </w:r>
          </w:p>
        </w:tc>
        <w:tc>
          <w:tcPr>
            <w:tcW w:w="5329" w:type="dxa"/>
            <w:tcBorders>
              <w:right w:val="nil"/>
            </w:tcBorders>
            <w:vAlign w:val="top"/>
          </w:tcPr>
          <w:p w14:paraId="75381804">
            <w:pPr>
              <w:pStyle w:val="6"/>
              <w:spacing w:before="40" w:line="208" w:lineRule="auto"/>
              <w:ind w:left="672"/>
              <w:rPr>
                <w:sz w:val="20"/>
                <w:szCs w:val="20"/>
              </w:rPr>
            </w:pPr>
            <w:r>
              <w:rPr>
                <w:spacing w:val="9"/>
                <w:sz w:val="20"/>
                <w:szCs w:val="20"/>
              </w:rPr>
              <w:t>砷、镉、铬（六价）、铜、铅、锌、汞、镍</w:t>
            </w:r>
          </w:p>
        </w:tc>
      </w:tr>
      <w:tr w14:paraId="613286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347" w:type="dxa"/>
            <w:tcBorders>
              <w:left w:val="nil"/>
            </w:tcBorders>
            <w:vAlign w:val="top"/>
          </w:tcPr>
          <w:p w14:paraId="3C98A3CE">
            <w:pPr>
              <w:spacing w:before="76"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T3</w:t>
            </w:r>
          </w:p>
        </w:tc>
        <w:tc>
          <w:tcPr>
            <w:tcW w:w="429" w:type="dxa"/>
            <w:vMerge w:val="continue"/>
            <w:tcBorders>
              <w:top w:val="nil"/>
              <w:bottom w:val="nil"/>
            </w:tcBorders>
            <w:textDirection w:val="tbRlV"/>
            <w:vAlign w:val="top"/>
          </w:tcPr>
          <w:p w14:paraId="00BC4B6F">
            <w:pPr>
              <w:rPr>
                <w:rFonts w:ascii="Arial"/>
                <w:sz w:val="21"/>
              </w:rPr>
            </w:pPr>
          </w:p>
        </w:tc>
        <w:tc>
          <w:tcPr>
            <w:tcW w:w="635" w:type="dxa"/>
            <w:vMerge w:val="continue"/>
            <w:tcBorders>
              <w:top w:val="nil"/>
              <w:bottom w:val="nil"/>
            </w:tcBorders>
            <w:textDirection w:val="tbRlV"/>
            <w:vAlign w:val="top"/>
          </w:tcPr>
          <w:p w14:paraId="7B33428C">
            <w:pPr>
              <w:rPr>
                <w:rFonts w:ascii="Arial"/>
                <w:sz w:val="21"/>
              </w:rPr>
            </w:pPr>
          </w:p>
        </w:tc>
        <w:tc>
          <w:tcPr>
            <w:tcW w:w="2543" w:type="dxa"/>
            <w:vAlign w:val="top"/>
          </w:tcPr>
          <w:p w14:paraId="5C434B29">
            <w:pPr>
              <w:pStyle w:val="6"/>
              <w:spacing w:before="76" w:line="176" w:lineRule="auto"/>
              <w:ind w:left="1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112°54′9.30″</w:t>
            </w:r>
            <w:r>
              <w:rPr>
                <w:rFonts w:ascii="Times New Roman" w:hAnsi="Times New Roman" w:eastAsia="Times New Roman" w:cs="Times New Roman"/>
                <w:spacing w:val="-21"/>
                <w:sz w:val="20"/>
                <w:szCs w:val="20"/>
              </w:rPr>
              <w:t xml:space="preserve"> </w:t>
            </w:r>
            <w:r>
              <w:rPr>
                <w:spacing w:val="2"/>
                <w:sz w:val="20"/>
                <w:szCs w:val="20"/>
              </w:rPr>
              <w:t>，</w:t>
            </w:r>
            <w:r>
              <w:rPr>
                <w:rFonts w:ascii="Times New Roman" w:hAnsi="Times New Roman" w:eastAsia="Times New Roman" w:cs="Times New Roman"/>
                <w:spacing w:val="2"/>
                <w:sz w:val="20"/>
                <w:szCs w:val="20"/>
              </w:rPr>
              <w:t>42°26′2.74″</w:t>
            </w:r>
          </w:p>
        </w:tc>
        <w:tc>
          <w:tcPr>
            <w:tcW w:w="5329" w:type="dxa"/>
            <w:tcBorders>
              <w:right w:val="nil"/>
            </w:tcBorders>
            <w:vAlign w:val="top"/>
          </w:tcPr>
          <w:p w14:paraId="38B44662">
            <w:pPr>
              <w:pStyle w:val="6"/>
              <w:spacing w:before="40" w:line="209" w:lineRule="auto"/>
              <w:ind w:left="672"/>
              <w:rPr>
                <w:sz w:val="20"/>
                <w:szCs w:val="20"/>
              </w:rPr>
            </w:pPr>
            <w:r>
              <w:rPr>
                <w:spacing w:val="9"/>
                <w:sz w:val="20"/>
                <w:szCs w:val="20"/>
              </w:rPr>
              <w:t>砷、镉、铬（六价）、铜、铅、锌、汞、镍</w:t>
            </w:r>
          </w:p>
        </w:tc>
      </w:tr>
      <w:tr w14:paraId="0577F2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6" w:hRule="atLeast"/>
        </w:trPr>
        <w:tc>
          <w:tcPr>
            <w:tcW w:w="347" w:type="dxa"/>
            <w:tcBorders>
              <w:left w:val="nil"/>
            </w:tcBorders>
            <w:vAlign w:val="top"/>
          </w:tcPr>
          <w:p w14:paraId="400277E5">
            <w:pPr>
              <w:spacing w:before="198"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T4</w:t>
            </w:r>
          </w:p>
        </w:tc>
        <w:tc>
          <w:tcPr>
            <w:tcW w:w="429" w:type="dxa"/>
            <w:vMerge w:val="continue"/>
            <w:tcBorders>
              <w:top w:val="nil"/>
              <w:bottom w:val="nil"/>
            </w:tcBorders>
            <w:textDirection w:val="tbRlV"/>
            <w:vAlign w:val="top"/>
          </w:tcPr>
          <w:p w14:paraId="553D812C">
            <w:pPr>
              <w:rPr>
                <w:rFonts w:ascii="Arial"/>
                <w:sz w:val="21"/>
              </w:rPr>
            </w:pPr>
          </w:p>
        </w:tc>
        <w:tc>
          <w:tcPr>
            <w:tcW w:w="635" w:type="dxa"/>
            <w:vMerge w:val="continue"/>
            <w:tcBorders>
              <w:top w:val="nil"/>
              <w:bottom w:val="nil"/>
            </w:tcBorders>
            <w:textDirection w:val="tbRlV"/>
            <w:vAlign w:val="top"/>
          </w:tcPr>
          <w:p w14:paraId="3D064566">
            <w:pPr>
              <w:rPr>
                <w:rFonts w:ascii="Arial"/>
                <w:sz w:val="21"/>
              </w:rPr>
            </w:pPr>
          </w:p>
        </w:tc>
        <w:tc>
          <w:tcPr>
            <w:tcW w:w="2543" w:type="dxa"/>
            <w:vAlign w:val="top"/>
          </w:tcPr>
          <w:p w14:paraId="1F361B77">
            <w:pPr>
              <w:pStyle w:val="6"/>
              <w:spacing w:before="77" w:line="210" w:lineRule="auto"/>
              <w:ind w:left="714" w:right="616" w:hanging="12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112°54′</w:t>
            </w:r>
            <w:r>
              <w:rPr>
                <w:rFonts w:ascii="Times New Roman" w:hAnsi="Times New Roman" w:eastAsia="Times New Roman" w:cs="Times New Roman"/>
                <w:spacing w:val="-19"/>
                <w:sz w:val="20"/>
                <w:szCs w:val="20"/>
              </w:rPr>
              <w:t xml:space="preserve"> </w:t>
            </w:r>
            <w:r>
              <w:rPr>
                <w:rFonts w:ascii="Times New Roman" w:hAnsi="Times New Roman" w:eastAsia="Times New Roman" w:cs="Times New Roman"/>
                <w:spacing w:val="-4"/>
                <w:sz w:val="20"/>
                <w:szCs w:val="20"/>
              </w:rPr>
              <w:t>11.47″</w:t>
            </w:r>
            <w:r>
              <w:rPr>
                <w:spacing w:val="-4"/>
                <w:sz w:val="20"/>
                <w:szCs w:val="20"/>
              </w:rPr>
              <w:t>，</w:t>
            </w:r>
            <w:r>
              <w:rPr>
                <w:sz w:val="20"/>
                <w:szCs w:val="20"/>
              </w:rPr>
              <w:t xml:space="preserve"> </w:t>
            </w:r>
            <w:r>
              <w:rPr>
                <w:rFonts w:ascii="Times New Roman" w:hAnsi="Times New Roman" w:eastAsia="Times New Roman" w:cs="Times New Roman"/>
                <w:spacing w:val="4"/>
                <w:sz w:val="20"/>
                <w:szCs w:val="20"/>
              </w:rPr>
              <w:t>42°25′45.90″</w:t>
            </w:r>
          </w:p>
        </w:tc>
        <w:tc>
          <w:tcPr>
            <w:tcW w:w="5329" w:type="dxa"/>
            <w:tcBorders>
              <w:right w:val="nil"/>
            </w:tcBorders>
            <w:vAlign w:val="top"/>
          </w:tcPr>
          <w:p w14:paraId="51EBDCF3">
            <w:pPr>
              <w:pStyle w:val="6"/>
              <w:spacing w:before="162" w:line="226" w:lineRule="auto"/>
              <w:ind w:left="672"/>
              <w:rPr>
                <w:sz w:val="20"/>
                <w:szCs w:val="20"/>
              </w:rPr>
            </w:pPr>
            <w:r>
              <w:rPr>
                <w:spacing w:val="9"/>
                <w:sz w:val="20"/>
                <w:szCs w:val="20"/>
              </w:rPr>
              <w:t>砷、镉、铬（六价）、铜、铅、锌、汞、镍</w:t>
            </w:r>
          </w:p>
        </w:tc>
      </w:tr>
      <w:tr w14:paraId="4DEE86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8" w:hRule="atLeast"/>
        </w:trPr>
        <w:tc>
          <w:tcPr>
            <w:tcW w:w="347" w:type="dxa"/>
            <w:tcBorders>
              <w:left w:val="nil"/>
            </w:tcBorders>
            <w:vAlign w:val="top"/>
          </w:tcPr>
          <w:p w14:paraId="16DE9C32">
            <w:pPr>
              <w:spacing w:line="294" w:lineRule="auto"/>
              <w:rPr>
                <w:rFonts w:ascii="Arial"/>
                <w:sz w:val="21"/>
              </w:rPr>
            </w:pPr>
          </w:p>
          <w:p w14:paraId="7C82A943">
            <w:pPr>
              <w:spacing w:before="58" w:line="192"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T5</w:t>
            </w:r>
          </w:p>
        </w:tc>
        <w:tc>
          <w:tcPr>
            <w:tcW w:w="429" w:type="dxa"/>
            <w:vMerge w:val="continue"/>
            <w:tcBorders>
              <w:top w:val="nil"/>
              <w:bottom w:val="nil"/>
            </w:tcBorders>
            <w:textDirection w:val="tbRlV"/>
            <w:vAlign w:val="top"/>
          </w:tcPr>
          <w:p w14:paraId="37FACB9B">
            <w:pPr>
              <w:rPr>
                <w:rFonts w:ascii="Arial"/>
                <w:sz w:val="21"/>
              </w:rPr>
            </w:pPr>
          </w:p>
        </w:tc>
        <w:tc>
          <w:tcPr>
            <w:tcW w:w="635" w:type="dxa"/>
            <w:vMerge w:val="continue"/>
            <w:tcBorders>
              <w:top w:val="nil"/>
            </w:tcBorders>
            <w:textDirection w:val="tbRlV"/>
            <w:vAlign w:val="top"/>
          </w:tcPr>
          <w:p w14:paraId="6035E556">
            <w:pPr>
              <w:rPr>
                <w:rFonts w:ascii="Arial"/>
                <w:sz w:val="21"/>
              </w:rPr>
            </w:pPr>
          </w:p>
        </w:tc>
        <w:tc>
          <w:tcPr>
            <w:tcW w:w="2543" w:type="dxa"/>
            <w:vAlign w:val="top"/>
          </w:tcPr>
          <w:p w14:paraId="6003DF68">
            <w:pPr>
              <w:pStyle w:val="6"/>
              <w:spacing w:before="230" w:line="244" w:lineRule="auto"/>
              <w:ind w:left="715" w:right="611" w:hanging="1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112°53′50.45″</w:t>
            </w:r>
            <w:r>
              <w:rPr>
                <w:spacing w:val="-2"/>
                <w:sz w:val="20"/>
                <w:szCs w:val="20"/>
              </w:rPr>
              <w:t>，</w:t>
            </w:r>
            <w:r>
              <w:rPr>
                <w:spacing w:val="10"/>
                <w:sz w:val="20"/>
                <w:szCs w:val="20"/>
              </w:rPr>
              <w:t xml:space="preserve"> </w:t>
            </w:r>
            <w:r>
              <w:rPr>
                <w:rFonts w:ascii="Times New Roman" w:hAnsi="Times New Roman" w:eastAsia="Times New Roman" w:cs="Times New Roman"/>
                <w:spacing w:val="4"/>
                <w:sz w:val="20"/>
                <w:szCs w:val="20"/>
              </w:rPr>
              <w:t>42°25′53.39″</w:t>
            </w:r>
          </w:p>
        </w:tc>
        <w:tc>
          <w:tcPr>
            <w:tcW w:w="5329" w:type="dxa"/>
            <w:tcBorders>
              <w:right w:val="nil"/>
            </w:tcBorders>
            <w:vAlign w:val="top"/>
          </w:tcPr>
          <w:p w14:paraId="5F17ED0A">
            <w:pPr>
              <w:pStyle w:val="6"/>
              <w:spacing w:before="44" w:line="226" w:lineRule="auto"/>
              <w:ind w:left="149"/>
              <w:rPr>
                <w:sz w:val="20"/>
                <w:szCs w:val="20"/>
              </w:rPr>
            </w:pPr>
            <w:r>
              <w:rPr>
                <w:spacing w:val="9"/>
                <w:sz w:val="20"/>
                <w:szCs w:val="20"/>
              </w:rPr>
              <w:t>砷、镉、铬（六价）、铜、铅、锌、汞、镍，阳离子交</w:t>
            </w:r>
          </w:p>
          <w:p w14:paraId="3162F628">
            <w:pPr>
              <w:pStyle w:val="6"/>
              <w:spacing w:before="26" w:line="227" w:lineRule="auto"/>
              <w:ind w:right="13"/>
              <w:jc w:val="right"/>
              <w:rPr>
                <w:sz w:val="20"/>
                <w:szCs w:val="20"/>
              </w:rPr>
            </w:pPr>
            <w:r>
              <w:rPr>
                <w:spacing w:val="8"/>
                <w:sz w:val="20"/>
                <w:szCs w:val="20"/>
              </w:rPr>
              <w:t>换量、氧化还原电位、饱和导水率、土壤容重</w:t>
            </w:r>
            <w:r>
              <w:rPr>
                <w:spacing w:val="7"/>
                <w:sz w:val="20"/>
                <w:szCs w:val="20"/>
              </w:rPr>
              <w:t>、孔隙度，</w:t>
            </w:r>
          </w:p>
          <w:p w14:paraId="473D0A25">
            <w:pPr>
              <w:pStyle w:val="6"/>
              <w:spacing w:before="27" w:line="202" w:lineRule="auto"/>
              <w:ind w:left="678"/>
              <w:rPr>
                <w:sz w:val="20"/>
                <w:szCs w:val="20"/>
              </w:rPr>
            </w:pPr>
            <w:r>
              <w:rPr>
                <w:spacing w:val="9"/>
                <w:sz w:val="20"/>
                <w:szCs w:val="20"/>
              </w:rPr>
              <w:t>并给出带标尺的土壤剖面照片及其景观照片</w:t>
            </w:r>
          </w:p>
        </w:tc>
      </w:tr>
      <w:tr w14:paraId="6E4A7F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3" w:hRule="atLeast"/>
        </w:trPr>
        <w:tc>
          <w:tcPr>
            <w:tcW w:w="347" w:type="dxa"/>
            <w:tcBorders>
              <w:left w:val="nil"/>
              <w:bottom w:val="single" w:color="000000" w:sz="10" w:space="0"/>
            </w:tcBorders>
            <w:vAlign w:val="top"/>
          </w:tcPr>
          <w:p w14:paraId="617DD98D">
            <w:pPr>
              <w:spacing w:line="351" w:lineRule="auto"/>
              <w:rPr>
                <w:rFonts w:ascii="Arial"/>
                <w:sz w:val="21"/>
              </w:rPr>
            </w:pPr>
          </w:p>
          <w:p w14:paraId="3019128F">
            <w:pPr>
              <w:spacing w:line="351" w:lineRule="auto"/>
              <w:rPr>
                <w:rFonts w:ascii="Arial"/>
                <w:sz w:val="21"/>
              </w:rPr>
            </w:pPr>
          </w:p>
          <w:p w14:paraId="0BFAFA33">
            <w:pPr>
              <w:spacing w:before="58"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T6</w:t>
            </w:r>
          </w:p>
        </w:tc>
        <w:tc>
          <w:tcPr>
            <w:tcW w:w="429" w:type="dxa"/>
            <w:vMerge w:val="continue"/>
            <w:tcBorders>
              <w:top w:val="nil"/>
              <w:bottom w:val="single" w:color="000000" w:sz="10" w:space="0"/>
            </w:tcBorders>
            <w:textDirection w:val="tbRlV"/>
            <w:vAlign w:val="top"/>
          </w:tcPr>
          <w:p w14:paraId="485B6E2E">
            <w:pPr>
              <w:rPr>
                <w:rFonts w:ascii="Arial"/>
                <w:sz w:val="21"/>
              </w:rPr>
            </w:pPr>
          </w:p>
        </w:tc>
        <w:tc>
          <w:tcPr>
            <w:tcW w:w="635" w:type="dxa"/>
            <w:tcBorders>
              <w:bottom w:val="single" w:color="000000" w:sz="10" w:space="0"/>
            </w:tcBorders>
            <w:textDirection w:val="tbRlV"/>
            <w:vAlign w:val="top"/>
          </w:tcPr>
          <w:p w14:paraId="3BBFFBC3">
            <w:pPr>
              <w:pStyle w:val="6"/>
              <w:spacing w:before="210" w:line="216" w:lineRule="auto"/>
              <w:ind w:left="457"/>
              <w:rPr>
                <w:sz w:val="20"/>
                <w:szCs w:val="20"/>
              </w:rPr>
            </w:pPr>
            <w:r>
              <w:rPr>
                <w:spacing w:val="8"/>
                <w:sz w:val="20"/>
                <w:szCs w:val="20"/>
              </w:rPr>
              <w:t>表</w:t>
            </w:r>
            <w:r>
              <w:rPr>
                <w:spacing w:val="-37"/>
                <w:sz w:val="20"/>
                <w:szCs w:val="20"/>
              </w:rPr>
              <w:t xml:space="preserve"> </w:t>
            </w:r>
            <w:r>
              <w:rPr>
                <w:spacing w:val="8"/>
                <w:sz w:val="20"/>
                <w:szCs w:val="20"/>
              </w:rPr>
              <w:t>层</w:t>
            </w:r>
            <w:r>
              <w:rPr>
                <w:spacing w:val="-37"/>
                <w:sz w:val="20"/>
                <w:szCs w:val="20"/>
              </w:rPr>
              <w:t xml:space="preserve"> </w:t>
            </w:r>
            <w:r>
              <w:rPr>
                <w:spacing w:val="8"/>
                <w:sz w:val="20"/>
                <w:szCs w:val="20"/>
              </w:rPr>
              <w:t>样</w:t>
            </w:r>
          </w:p>
        </w:tc>
        <w:tc>
          <w:tcPr>
            <w:tcW w:w="2543" w:type="dxa"/>
            <w:tcBorders>
              <w:bottom w:val="single" w:color="000000" w:sz="10" w:space="0"/>
            </w:tcBorders>
            <w:vAlign w:val="top"/>
          </w:tcPr>
          <w:p w14:paraId="38813AE4">
            <w:pPr>
              <w:spacing w:line="291" w:lineRule="auto"/>
              <w:rPr>
                <w:rFonts w:ascii="Arial"/>
                <w:sz w:val="21"/>
              </w:rPr>
            </w:pPr>
          </w:p>
          <w:p w14:paraId="1B2E888C">
            <w:pPr>
              <w:spacing w:line="291" w:lineRule="auto"/>
              <w:rPr>
                <w:rFonts w:ascii="Arial"/>
                <w:sz w:val="21"/>
              </w:rPr>
            </w:pPr>
          </w:p>
          <w:p w14:paraId="78026C6E">
            <w:pPr>
              <w:spacing w:before="58" w:line="225" w:lineRule="auto"/>
              <w:ind w:left="1242" w:right="127" w:hanging="10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112°53′41.03″,42°25′50.23</w:t>
            </w:r>
            <w:r>
              <w:rPr>
                <w:rFonts w:ascii="Times New Roman" w:hAnsi="Times New Roman" w:eastAsia="Times New Roman" w:cs="Times New Roman"/>
                <w:spacing w:val="2"/>
                <w:sz w:val="20"/>
                <w:szCs w:val="20"/>
              </w:rPr>
              <w:t xml:space="preserve"> </w:t>
            </w:r>
            <w:r>
              <w:rPr>
                <w:rFonts w:ascii="Times New Roman" w:hAnsi="Times New Roman" w:eastAsia="Times New Roman" w:cs="Times New Roman"/>
                <w:sz w:val="20"/>
                <w:szCs w:val="20"/>
              </w:rPr>
              <w:t>″</w:t>
            </w:r>
          </w:p>
        </w:tc>
        <w:tc>
          <w:tcPr>
            <w:tcW w:w="5329" w:type="dxa"/>
            <w:tcBorders>
              <w:bottom w:val="single" w:color="000000" w:sz="10" w:space="0"/>
              <w:right w:val="nil"/>
            </w:tcBorders>
            <w:vAlign w:val="top"/>
          </w:tcPr>
          <w:p w14:paraId="1CA9E259">
            <w:pPr>
              <w:pStyle w:val="6"/>
              <w:spacing w:before="50" w:line="245" w:lineRule="auto"/>
              <w:ind w:left="114" w:right="39" w:hanging="1"/>
              <w:jc w:val="both"/>
              <w:rPr>
                <w:sz w:val="20"/>
                <w:szCs w:val="20"/>
              </w:rPr>
            </w:pPr>
            <w:r>
              <w:rPr>
                <w:spacing w:val="7"/>
                <w:sz w:val="20"/>
                <w:szCs w:val="20"/>
              </w:rPr>
              <w:t>砷、镉、铬（六价）、铜、铅、锌、汞、镍、四氯</w:t>
            </w:r>
            <w:r>
              <w:rPr>
                <w:spacing w:val="6"/>
                <w:sz w:val="20"/>
                <w:szCs w:val="20"/>
              </w:rPr>
              <w:t>化碳、</w:t>
            </w:r>
            <w:r>
              <w:rPr>
                <w:sz w:val="20"/>
                <w:szCs w:val="20"/>
              </w:rPr>
              <w:t xml:space="preserve"> </w:t>
            </w:r>
            <w:r>
              <w:rPr>
                <w:spacing w:val="3"/>
                <w:sz w:val="20"/>
                <w:szCs w:val="20"/>
              </w:rPr>
              <w:t>氯仿、氯甲烷、</w:t>
            </w:r>
            <w:r>
              <w:rPr>
                <w:rFonts w:ascii="Times New Roman" w:hAnsi="Times New Roman" w:eastAsia="Times New Roman" w:cs="Times New Roman"/>
                <w:spacing w:val="3"/>
                <w:sz w:val="20"/>
                <w:szCs w:val="20"/>
              </w:rPr>
              <w:t>1,</w:t>
            </w:r>
            <w:r>
              <w:rPr>
                <w:rFonts w:ascii="Times New Roman" w:hAnsi="Times New Roman" w:eastAsia="Times New Roman" w:cs="Times New Roman"/>
                <w:spacing w:val="-19"/>
                <w:sz w:val="20"/>
                <w:szCs w:val="20"/>
              </w:rPr>
              <w:t xml:space="preserve"> </w:t>
            </w:r>
            <w:r>
              <w:rPr>
                <w:rFonts w:ascii="Times New Roman" w:hAnsi="Times New Roman" w:eastAsia="Times New Roman" w:cs="Times New Roman"/>
                <w:spacing w:val="3"/>
                <w:sz w:val="20"/>
                <w:szCs w:val="20"/>
              </w:rPr>
              <w:t>1-</w:t>
            </w:r>
            <w:r>
              <w:rPr>
                <w:spacing w:val="3"/>
                <w:sz w:val="20"/>
                <w:szCs w:val="20"/>
              </w:rPr>
              <w:t>二氯乙烷、</w:t>
            </w:r>
            <w:r>
              <w:rPr>
                <w:rFonts w:ascii="Times New Roman" w:hAnsi="Times New Roman" w:eastAsia="Times New Roman" w:cs="Times New Roman"/>
                <w:spacing w:val="3"/>
                <w:sz w:val="20"/>
                <w:szCs w:val="20"/>
              </w:rPr>
              <w:t>1,2-</w:t>
            </w:r>
            <w:r>
              <w:rPr>
                <w:spacing w:val="3"/>
                <w:sz w:val="20"/>
                <w:szCs w:val="20"/>
              </w:rPr>
              <w:t>二氯乙烷、</w:t>
            </w:r>
            <w:r>
              <w:rPr>
                <w:rFonts w:ascii="Times New Roman" w:hAnsi="Times New Roman" w:eastAsia="Times New Roman" w:cs="Times New Roman"/>
                <w:spacing w:val="3"/>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3"/>
                <w:sz w:val="20"/>
                <w:szCs w:val="20"/>
              </w:rPr>
              <w:t>1-</w:t>
            </w:r>
            <w:r>
              <w:rPr>
                <w:spacing w:val="3"/>
                <w:sz w:val="20"/>
                <w:szCs w:val="20"/>
              </w:rPr>
              <w:t>二氯乙</w:t>
            </w:r>
            <w:r>
              <w:rPr>
                <w:sz w:val="20"/>
                <w:szCs w:val="20"/>
              </w:rPr>
              <w:t xml:space="preserve"> </w:t>
            </w:r>
            <w:r>
              <w:rPr>
                <w:spacing w:val="7"/>
                <w:sz w:val="20"/>
                <w:szCs w:val="20"/>
              </w:rPr>
              <w:t>烯、顺</w:t>
            </w:r>
            <w:r>
              <w:rPr>
                <w:rFonts w:ascii="Times New Roman" w:hAnsi="Times New Roman" w:eastAsia="Times New Roman" w:cs="Times New Roman"/>
                <w:spacing w:val="7"/>
                <w:sz w:val="20"/>
                <w:szCs w:val="20"/>
              </w:rPr>
              <w:t>-1,2-</w:t>
            </w:r>
            <w:r>
              <w:rPr>
                <w:spacing w:val="7"/>
                <w:sz w:val="20"/>
                <w:szCs w:val="20"/>
              </w:rPr>
              <w:t>二氯乙烯、反</w:t>
            </w:r>
            <w:r>
              <w:rPr>
                <w:rFonts w:ascii="Times New Roman" w:hAnsi="Times New Roman" w:eastAsia="Times New Roman" w:cs="Times New Roman"/>
                <w:spacing w:val="7"/>
                <w:sz w:val="20"/>
                <w:szCs w:val="20"/>
              </w:rPr>
              <w:t>-1,2-</w:t>
            </w:r>
            <w:r>
              <w:rPr>
                <w:spacing w:val="7"/>
                <w:sz w:val="20"/>
                <w:szCs w:val="20"/>
              </w:rPr>
              <w:t>二</w:t>
            </w:r>
            <w:r>
              <w:rPr>
                <w:spacing w:val="6"/>
                <w:sz w:val="20"/>
                <w:szCs w:val="20"/>
              </w:rPr>
              <w:t>氯乙烯、二氯甲烷、</w:t>
            </w:r>
            <w:r>
              <w:rPr>
                <w:rFonts w:ascii="Times New Roman" w:hAnsi="Times New Roman" w:eastAsia="Times New Roman" w:cs="Times New Roman"/>
                <w:spacing w:val="6"/>
                <w:sz w:val="20"/>
                <w:szCs w:val="20"/>
              </w:rPr>
              <w:t>1,2-</w:t>
            </w:r>
            <w:r>
              <w:rPr>
                <w:rFonts w:ascii="Times New Roman" w:hAnsi="Times New Roman" w:eastAsia="Times New Roman" w:cs="Times New Roman"/>
                <w:sz w:val="20"/>
                <w:szCs w:val="20"/>
              </w:rPr>
              <w:t xml:space="preserve">  </w:t>
            </w:r>
            <w:r>
              <w:rPr>
                <w:sz w:val="20"/>
                <w:szCs w:val="20"/>
              </w:rPr>
              <w:t>二氯丙烷、</w:t>
            </w:r>
            <w:r>
              <w:rPr>
                <w:rFonts w:ascii="Times New Roman" w:hAnsi="Times New Roman" w:eastAsia="Times New Roman" w:cs="Times New Roman"/>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1,2-</w:t>
            </w:r>
            <w:r>
              <w:rPr>
                <w:sz w:val="20"/>
                <w:szCs w:val="20"/>
              </w:rPr>
              <w:t>四氯乙烷、四氯乙</w:t>
            </w:r>
            <w:r>
              <w:rPr>
                <w:spacing w:val="-1"/>
                <w:sz w:val="20"/>
                <w:szCs w:val="20"/>
              </w:rPr>
              <w:t>烯、</w:t>
            </w:r>
            <w:r>
              <w:rPr>
                <w:rFonts w:ascii="Times New Roman" w:hAnsi="Times New Roman" w:eastAsia="Times New Roman" w:cs="Times New Roman"/>
                <w:spacing w:val="-1"/>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r>
              <w:rPr>
                <w:spacing w:val="-1"/>
                <w:sz w:val="20"/>
                <w:szCs w:val="20"/>
              </w:rPr>
              <w:t>三氯乙烷、</w:t>
            </w:r>
            <w:r>
              <w:rPr>
                <w:sz w:val="20"/>
                <w:szCs w:val="20"/>
              </w:rPr>
              <w:t xml:space="preserve"> </w:t>
            </w:r>
            <w:r>
              <w:rPr>
                <w:rFonts w:ascii="Times New Roman" w:hAnsi="Times New Roman" w:eastAsia="Times New Roman" w:cs="Times New Roman"/>
                <w:sz w:val="20"/>
                <w:szCs w:val="20"/>
              </w:rPr>
              <w:t>1,</w:t>
            </w:r>
            <w:r>
              <w:rPr>
                <w:rFonts w:ascii="Times New Roman" w:hAnsi="Times New Roman" w:eastAsia="Times New Roman" w:cs="Times New Roman"/>
                <w:spacing w:val="-13"/>
                <w:sz w:val="20"/>
                <w:szCs w:val="20"/>
              </w:rPr>
              <w:t xml:space="preserve"> </w:t>
            </w:r>
            <w:r>
              <w:rPr>
                <w:rFonts w:ascii="Times New Roman" w:hAnsi="Times New Roman" w:eastAsia="Times New Roman" w:cs="Times New Roman"/>
                <w:sz w:val="20"/>
                <w:szCs w:val="20"/>
              </w:rPr>
              <w:t>1,2-</w:t>
            </w:r>
            <w:r>
              <w:rPr>
                <w:sz w:val="20"/>
                <w:szCs w:val="20"/>
              </w:rPr>
              <w:t>三氯乙烷、三氯乙烯、</w:t>
            </w:r>
            <w:r>
              <w:rPr>
                <w:rFonts w:ascii="Times New Roman" w:hAnsi="Times New Roman" w:eastAsia="Times New Roman" w:cs="Times New Roman"/>
                <w:sz w:val="20"/>
                <w:szCs w:val="20"/>
              </w:rPr>
              <w:t>1,2,3-</w:t>
            </w:r>
            <w:r>
              <w:rPr>
                <w:sz w:val="20"/>
                <w:szCs w:val="20"/>
              </w:rPr>
              <w:t xml:space="preserve">三氯丙烷、氯乙烯、苯、 </w:t>
            </w:r>
            <w:r>
              <w:rPr>
                <w:spacing w:val="7"/>
                <w:sz w:val="20"/>
                <w:szCs w:val="20"/>
              </w:rPr>
              <w:t>氯苯、</w:t>
            </w:r>
            <w:r>
              <w:rPr>
                <w:rFonts w:ascii="Times New Roman" w:hAnsi="Times New Roman" w:eastAsia="Times New Roman" w:cs="Times New Roman"/>
                <w:spacing w:val="7"/>
                <w:sz w:val="20"/>
                <w:szCs w:val="20"/>
              </w:rPr>
              <w:t>1,2-</w:t>
            </w:r>
            <w:r>
              <w:rPr>
                <w:spacing w:val="7"/>
                <w:sz w:val="20"/>
                <w:szCs w:val="20"/>
              </w:rPr>
              <w:t>二氯苯、</w:t>
            </w:r>
            <w:r>
              <w:rPr>
                <w:rFonts w:ascii="Times New Roman" w:hAnsi="Times New Roman" w:eastAsia="Times New Roman" w:cs="Times New Roman"/>
                <w:spacing w:val="7"/>
                <w:sz w:val="20"/>
                <w:szCs w:val="20"/>
              </w:rPr>
              <w:t>1,4-</w:t>
            </w:r>
            <w:r>
              <w:rPr>
                <w:spacing w:val="7"/>
                <w:sz w:val="20"/>
                <w:szCs w:val="20"/>
              </w:rPr>
              <w:t>二氯苯、乙苯、苯乙烯、</w:t>
            </w:r>
            <w:r>
              <w:rPr>
                <w:spacing w:val="-46"/>
                <w:sz w:val="20"/>
                <w:szCs w:val="20"/>
              </w:rPr>
              <w:t xml:space="preserve"> </w:t>
            </w:r>
            <w:r>
              <w:rPr>
                <w:spacing w:val="7"/>
                <w:sz w:val="20"/>
                <w:szCs w:val="20"/>
              </w:rPr>
              <w:t>甲苯、</w:t>
            </w:r>
          </w:p>
        </w:tc>
      </w:tr>
    </w:tbl>
    <w:p w14:paraId="2091536D">
      <w:pPr>
        <w:pStyle w:val="2"/>
      </w:pPr>
    </w:p>
    <w:p w14:paraId="369B2D19">
      <w:pPr>
        <w:sectPr>
          <w:headerReference r:id="rId234" w:type="default"/>
          <w:footerReference r:id="rId235" w:type="default"/>
          <w:pgSz w:w="11906" w:h="16839"/>
          <w:pgMar w:top="1190" w:right="1311" w:bottom="1156" w:left="1311" w:header="882" w:footer="994" w:gutter="0"/>
          <w:cols w:space="720" w:num="1"/>
        </w:sectPr>
      </w:pPr>
    </w:p>
    <w:p w14:paraId="3927EF36">
      <w:pPr>
        <w:spacing w:line="28" w:lineRule="exact"/>
        <w:ind w:firstLine="106"/>
      </w:pPr>
      <w:r>
        <w:pict>
          <v:shape id="_x0000_s1266" o:spid="_x0000_s1266" style="height:1.45pt;width:453.55pt;" fillcolor="#000000" filled="t" stroked="f" coordsize="9070,29" path="m0,0l9070,0,9070,28,0,28,0,0xe">
            <v:path/>
            <v:fill on="t" focussize="0,0"/>
            <v:stroke on="f"/>
            <v:imagedata o:title=""/>
            <o:lock v:ext="edit"/>
            <w10:wrap type="none"/>
            <w10:anchorlock/>
          </v:shape>
        </w:pict>
      </w:r>
    </w:p>
    <w:p w14:paraId="517CA5AF">
      <w:pPr>
        <w:spacing w:line="198" w:lineRule="exact"/>
      </w:pPr>
    </w:p>
    <w:tbl>
      <w:tblPr>
        <w:tblStyle w:val="5"/>
        <w:tblW w:w="928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47"/>
        <w:gridCol w:w="429"/>
        <w:gridCol w:w="635"/>
        <w:gridCol w:w="2543"/>
        <w:gridCol w:w="5329"/>
      </w:tblGrid>
      <w:tr w14:paraId="1B1BC1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2" w:hRule="atLeast"/>
        </w:trPr>
        <w:tc>
          <w:tcPr>
            <w:tcW w:w="347" w:type="dxa"/>
            <w:tcBorders>
              <w:top w:val="single" w:color="000000" w:sz="10" w:space="0"/>
              <w:left w:val="nil"/>
            </w:tcBorders>
            <w:textDirection w:val="tbRlV"/>
            <w:vAlign w:val="top"/>
          </w:tcPr>
          <w:p w14:paraId="63860161">
            <w:pPr>
              <w:pStyle w:val="6"/>
              <w:spacing w:before="68" w:line="214" w:lineRule="auto"/>
              <w:ind w:left="308"/>
              <w:rPr>
                <w:sz w:val="20"/>
                <w:szCs w:val="20"/>
              </w:rPr>
            </w:pPr>
            <w:r>
              <w:rPr>
                <w:spacing w:val="8"/>
                <w:sz w:val="20"/>
                <w:szCs w:val="20"/>
              </w:rPr>
              <w:t>编</w:t>
            </w:r>
            <w:r>
              <w:rPr>
                <w:spacing w:val="-38"/>
                <w:sz w:val="20"/>
                <w:szCs w:val="20"/>
              </w:rPr>
              <w:t xml:space="preserve"> </w:t>
            </w:r>
            <w:r>
              <w:rPr>
                <w:spacing w:val="8"/>
                <w:sz w:val="20"/>
                <w:szCs w:val="20"/>
              </w:rPr>
              <w:t>号</w:t>
            </w:r>
          </w:p>
        </w:tc>
        <w:tc>
          <w:tcPr>
            <w:tcW w:w="429" w:type="dxa"/>
            <w:tcBorders>
              <w:top w:val="single" w:color="000000" w:sz="10" w:space="0"/>
            </w:tcBorders>
            <w:textDirection w:val="tbRlV"/>
            <w:vAlign w:val="top"/>
          </w:tcPr>
          <w:p w14:paraId="105C1B14">
            <w:pPr>
              <w:pStyle w:val="6"/>
              <w:spacing w:before="108" w:line="216" w:lineRule="auto"/>
              <w:ind w:left="36"/>
              <w:rPr>
                <w:sz w:val="20"/>
                <w:szCs w:val="20"/>
              </w:rPr>
            </w:pPr>
            <w:r>
              <w:rPr>
                <w:spacing w:val="8"/>
                <w:sz w:val="20"/>
                <w:szCs w:val="20"/>
              </w:rPr>
              <w:t>采</w:t>
            </w:r>
            <w:r>
              <w:rPr>
                <w:spacing w:val="-36"/>
                <w:sz w:val="20"/>
                <w:szCs w:val="20"/>
              </w:rPr>
              <w:t xml:space="preserve"> </w:t>
            </w:r>
            <w:r>
              <w:rPr>
                <w:spacing w:val="8"/>
                <w:sz w:val="20"/>
                <w:szCs w:val="20"/>
              </w:rPr>
              <w:t>样</w:t>
            </w:r>
            <w:r>
              <w:rPr>
                <w:spacing w:val="-38"/>
                <w:sz w:val="20"/>
                <w:szCs w:val="20"/>
              </w:rPr>
              <w:t xml:space="preserve"> </w:t>
            </w:r>
            <w:r>
              <w:rPr>
                <w:spacing w:val="8"/>
                <w:sz w:val="20"/>
                <w:szCs w:val="20"/>
              </w:rPr>
              <w:t>点</w:t>
            </w:r>
            <w:r>
              <w:rPr>
                <w:spacing w:val="-35"/>
                <w:sz w:val="20"/>
                <w:szCs w:val="20"/>
              </w:rPr>
              <w:t xml:space="preserve"> </w:t>
            </w:r>
            <w:r>
              <w:rPr>
                <w:spacing w:val="8"/>
                <w:sz w:val="20"/>
                <w:szCs w:val="20"/>
              </w:rPr>
              <w:t>位</w:t>
            </w:r>
          </w:p>
        </w:tc>
        <w:tc>
          <w:tcPr>
            <w:tcW w:w="635" w:type="dxa"/>
            <w:tcBorders>
              <w:top w:val="single" w:color="000000" w:sz="10" w:space="0"/>
            </w:tcBorders>
            <w:textDirection w:val="tbRlV"/>
            <w:vAlign w:val="top"/>
          </w:tcPr>
          <w:p w14:paraId="64CCD294">
            <w:pPr>
              <w:pStyle w:val="6"/>
              <w:spacing w:before="210" w:line="216" w:lineRule="auto"/>
              <w:ind w:left="36"/>
              <w:rPr>
                <w:sz w:val="20"/>
                <w:szCs w:val="20"/>
              </w:rPr>
            </w:pPr>
            <w:r>
              <w:rPr>
                <w:spacing w:val="8"/>
                <w:sz w:val="20"/>
                <w:szCs w:val="20"/>
              </w:rPr>
              <w:t>采</w:t>
            </w:r>
            <w:r>
              <w:rPr>
                <w:spacing w:val="-36"/>
                <w:sz w:val="20"/>
                <w:szCs w:val="20"/>
              </w:rPr>
              <w:t xml:space="preserve"> </w:t>
            </w:r>
            <w:r>
              <w:rPr>
                <w:spacing w:val="8"/>
                <w:sz w:val="20"/>
                <w:szCs w:val="20"/>
              </w:rPr>
              <w:t>样</w:t>
            </w:r>
            <w:r>
              <w:rPr>
                <w:spacing w:val="-38"/>
                <w:sz w:val="20"/>
                <w:szCs w:val="20"/>
              </w:rPr>
              <w:t xml:space="preserve"> </w:t>
            </w:r>
            <w:r>
              <w:rPr>
                <w:spacing w:val="8"/>
                <w:sz w:val="20"/>
                <w:szCs w:val="20"/>
              </w:rPr>
              <w:t>类</w:t>
            </w:r>
            <w:r>
              <w:rPr>
                <w:spacing w:val="-35"/>
                <w:sz w:val="20"/>
                <w:szCs w:val="20"/>
              </w:rPr>
              <w:t xml:space="preserve"> </w:t>
            </w:r>
            <w:r>
              <w:rPr>
                <w:spacing w:val="8"/>
                <w:sz w:val="20"/>
                <w:szCs w:val="20"/>
              </w:rPr>
              <w:t>型</w:t>
            </w:r>
          </w:p>
        </w:tc>
        <w:tc>
          <w:tcPr>
            <w:tcW w:w="2543" w:type="dxa"/>
            <w:tcBorders>
              <w:top w:val="single" w:color="000000" w:sz="10" w:space="0"/>
            </w:tcBorders>
            <w:vAlign w:val="top"/>
          </w:tcPr>
          <w:p w14:paraId="1809A7C5">
            <w:pPr>
              <w:spacing w:line="377" w:lineRule="auto"/>
              <w:rPr>
                <w:rFonts w:ascii="Arial"/>
                <w:sz w:val="21"/>
              </w:rPr>
            </w:pPr>
          </w:p>
          <w:p w14:paraId="4A66332C">
            <w:pPr>
              <w:pStyle w:val="6"/>
              <w:spacing w:before="65" w:line="228" w:lineRule="auto"/>
              <w:ind w:left="1066"/>
              <w:rPr>
                <w:sz w:val="20"/>
                <w:szCs w:val="20"/>
              </w:rPr>
            </w:pPr>
            <w:r>
              <w:rPr>
                <w:spacing w:val="4"/>
                <w:sz w:val="20"/>
                <w:szCs w:val="20"/>
              </w:rPr>
              <w:t>坐标</w:t>
            </w:r>
          </w:p>
        </w:tc>
        <w:tc>
          <w:tcPr>
            <w:tcW w:w="5329" w:type="dxa"/>
            <w:tcBorders>
              <w:top w:val="single" w:color="000000" w:sz="10" w:space="0"/>
              <w:right w:val="nil"/>
            </w:tcBorders>
            <w:vAlign w:val="top"/>
          </w:tcPr>
          <w:p w14:paraId="191D52C3">
            <w:pPr>
              <w:spacing w:line="377" w:lineRule="auto"/>
              <w:rPr>
                <w:rFonts w:ascii="Arial"/>
                <w:sz w:val="21"/>
              </w:rPr>
            </w:pPr>
          </w:p>
          <w:p w14:paraId="34AB1593">
            <w:pPr>
              <w:pStyle w:val="6"/>
              <w:spacing w:before="65" w:line="228" w:lineRule="auto"/>
              <w:ind w:left="2251"/>
              <w:rPr>
                <w:sz w:val="20"/>
                <w:szCs w:val="20"/>
              </w:rPr>
            </w:pPr>
            <w:r>
              <w:rPr>
                <w:spacing w:val="7"/>
                <w:sz w:val="20"/>
                <w:szCs w:val="20"/>
              </w:rPr>
              <w:t>监测因子</w:t>
            </w:r>
          </w:p>
        </w:tc>
      </w:tr>
      <w:tr w14:paraId="03FBEB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 w:hRule="atLeast"/>
        </w:trPr>
        <w:tc>
          <w:tcPr>
            <w:tcW w:w="347" w:type="dxa"/>
            <w:tcBorders>
              <w:left w:val="nil"/>
            </w:tcBorders>
            <w:vAlign w:val="top"/>
          </w:tcPr>
          <w:p w14:paraId="528E5E15">
            <w:pPr>
              <w:rPr>
                <w:rFonts w:ascii="Arial"/>
                <w:sz w:val="21"/>
              </w:rPr>
            </w:pPr>
          </w:p>
        </w:tc>
        <w:tc>
          <w:tcPr>
            <w:tcW w:w="429" w:type="dxa"/>
            <w:vMerge w:val="restart"/>
            <w:tcBorders>
              <w:bottom w:val="nil"/>
            </w:tcBorders>
            <w:vAlign w:val="top"/>
          </w:tcPr>
          <w:p w14:paraId="6D2759B3">
            <w:pPr>
              <w:rPr>
                <w:rFonts w:ascii="Arial"/>
                <w:sz w:val="21"/>
              </w:rPr>
            </w:pPr>
          </w:p>
        </w:tc>
        <w:tc>
          <w:tcPr>
            <w:tcW w:w="635" w:type="dxa"/>
            <w:vMerge w:val="restart"/>
            <w:tcBorders>
              <w:bottom w:val="nil"/>
            </w:tcBorders>
            <w:vAlign w:val="top"/>
          </w:tcPr>
          <w:p w14:paraId="26937E89">
            <w:pPr>
              <w:rPr>
                <w:rFonts w:ascii="Arial"/>
                <w:sz w:val="21"/>
              </w:rPr>
            </w:pPr>
          </w:p>
        </w:tc>
        <w:tc>
          <w:tcPr>
            <w:tcW w:w="2543" w:type="dxa"/>
            <w:vAlign w:val="top"/>
          </w:tcPr>
          <w:p w14:paraId="2B58F5A6">
            <w:pPr>
              <w:rPr>
                <w:rFonts w:ascii="Arial"/>
                <w:sz w:val="21"/>
              </w:rPr>
            </w:pPr>
          </w:p>
        </w:tc>
        <w:tc>
          <w:tcPr>
            <w:tcW w:w="5329" w:type="dxa"/>
            <w:tcBorders>
              <w:right w:val="nil"/>
            </w:tcBorders>
            <w:vAlign w:val="top"/>
          </w:tcPr>
          <w:p w14:paraId="6A4575D7">
            <w:pPr>
              <w:pStyle w:val="6"/>
              <w:spacing w:before="39" w:line="236" w:lineRule="auto"/>
              <w:ind w:left="116" w:right="39" w:firstLine="13"/>
              <w:jc w:val="both"/>
              <w:rPr>
                <w:sz w:val="20"/>
                <w:szCs w:val="20"/>
              </w:rPr>
            </w:pPr>
            <w:r>
              <w:rPr>
                <w:spacing w:val="3"/>
                <w:sz w:val="20"/>
                <w:szCs w:val="20"/>
              </w:rPr>
              <w:t>间二甲苯</w:t>
            </w:r>
            <w:r>
              <w:rPr>
                <w:rFonts w:ascii="Times New Roman" w:hAnsi="Times New Roman" w:eastAsia="Times New Roman" w:cs="Times New Roman"/>
                <w:spacing w:val="3"/>
                <w:sz w:val="20"/>
                <w:szCs w:val="20"/>
              </w:rPr>
              <w:t>+</w:t>
            </w:r>
            <w:r>
              <w:rPr>
                <w:spacing w:val="3"/>
                <w:sz w:val="20"/>
                <w:szCs w:val="20"/>
              </w:rPr>
              <w:t>对二甲苯、邻二甲苯、硝基苯、苯胺</w:t>
            </w:r>
            <w:r>
              <w:rPr>
                <w:spacing w:val="2"/>
                <w:sz w:val="20"/>
                <w:szCs w:val="20"/>
              </w:rPr>
              <w:t>、</w:t>
            </w:r>
            <w:r>
              <w:rPr>
                <w:rFonts w:ascii="Times New Roman" w:hAnsi="Times New Roman" w:eastAsia="Times New Roman" w:cs="Times New Roman"/>
                <w:spacing w:val="2"/>
                <w:sz w:val="20"/>
                <w:szCs w:val="20"/>
              </w:rPr>
              <w:t>2-</w:t>
            </w:r>
            <w:r>
              <w:rPr>
                <w:spacing w:val="2"/>
                <w:sz w:val="20"/>
                <w:szCs w:val="20"/>
              </w:rPr>
              <w:t>氯酚、</w:t>
            </w:r>
            <w:r>
              <w:rPr>
                <w:sz w:val="20"/>
                <w:szCs w:val="20"/>
              </w:rPr>
              <w:t xml:space="preserve"> </w:t>
            </w:r>
            <w:r>
              <w:rPr>
                <w:spacing w:val="8"/>
                <w:sz w:val="20"/>
                <w:szCs w:val="20"/>
              </w:rPr>
              <w:t>苯并</w:t>
            </w:r>
            <w:r>
              <w:rPr>
                <w:rFonts w:ascii="Times New Roman" w:hAnsi="Times New Roman" w:eastAsia="Times New Roman" w:cs="Times New Roman"/>
                <w:spacing w:val="8"/>
                <w:sz w:val="20"/>
                <w:szCs w:val="20"/>
              </w:rPr>
              <w:t>[a]</w:t>
            </w:r>
            <w:r>
              <w:rPr>
                <w:spacing w:val="8"/>
                <w:sz w:val="20"/>
                <w:szCs w:val="20"/>
              </w:rPr>
              <w:t>蒽、苯并</w:t>
            </w:r>
            <w:r>
              <w:rPr>
                <w:rFonts w:ascii="Times New Roman" w:hAnsi="Times New Roman" w:eastAsia="Times New Roman" w:cs="Times New Roman"/>
                <w:spacing w:val="8"/>
                <w:sz w:val="20"/>
                <w:szCs w:val="20"/>
              </w:rPr>
              <w:t>[a]</w:t>
            </w:r>
            <w:r>
              <w:rPr>
                <w:spacing w:val="8"/>
                <w:sz w:val="20"/>
                <w:szCs w:val="20"/>
              </w:rPr>
              <w:t>芘、苯并</w:t>
            </w:r>
            <w:r>
              <w:rPr>
                <w:rFonts w:ascii="Times New Roman" w:hAnsi="Times New Roman" w:eastAsia="Times New Roman" w:cs="Times New Roman"/>
                <w:spacing w:val="8"/>
                <w:sz w:val="20"/>
                <w:szCs w:val="20"/>
              </w:rPr>
              <w:t>[b]</w:t>
            </w:r>
            <w:r>
              <w:rPr>
                <w:spacing w:val="8"/>
                <w:sz w:val="20"/>
                <w:szCs w:val="20"/>
              </w:rPr>
              <w:t>荧</w:t>
            </w:r>
            <w:r>
              <w:rPr>
                <w:spacing w:val="7"/>
                <w:sz w:val="20"/>
                <w:szCs w:val="20"/>
              </w:rPr>
              <w:t>蒽、苯并</w:t>
            </w:r>
            <w:r>
              <w:rPr>
                <w:rFonts w:ascii="Times New Roman" w:hAnsi="Times New Roman" w:eastAsia="Times New Roman" w:cs="Times New Roman"/>
                <w:spacing w:val="7"/>
                <w:sz w:val="20"/>
                <w:szCs w:val="20"/>
              </w:rPr>
              <w:t>[k]</w:t>
            </w:r>
            <w:r>
              <w:rPr>
                <w:spacing w:val="7"/>
                <w:sz w:val="20"/>
                <w:szCs w:val="20"/>
              </w:rPr>
              <w:t>荧蒽、䓛、</w:t>
            </w:r>
            <w:r>
              <w:rPr>
                <w:sz w:val="20"/>
                <w:szCs w:val="20"/>
              </w:rPr>
              <w:t xml:space="preserve"> </w:t>
            </w:r>
            <w:r>
              <w:rPr>
                <w:spacing w:val="6"/>
                <w:sz w:val="20"/>
                <w:szCs w:val="20"/>
              </w:rPr>
              <w:t>二苯并</w:t>
            </w:r>
            <w:r>
              <w:rPr>
                <w:rFonts w:ascii="Times New Roman" w:hAnsi="Times New Roman" w:eastAsia="Times New Roman" w:cs="Times New Roman"/>
                <w:spacing w:val="6"/>
                <w:sz w:val="20"/>
                <w:szCs w:val="20"/>
              </w:rPr>
              <w:t>[a, h]</w:t>
            </w:r>
            <w:r>
              <w:rPr>
                <w:spacing w:val="6"/>
                <w:sz w:val="20"/>
                <w:szCs w:val="20"/>
              </w:rPr>
              <w:t>蒽、茚并</w:t>
            </w:r>
            <w:r>
              <w:rPr>
                <w:rFonts w:ascii="Times New Roman" w:hAnsi="Times New Roman" w:eastAsia="Times New Roman" w:cs="Times New Roman"/>
                <w:spacing w:val="6"/>
                <w:sz w:val="20"/>
                <w:szCs w:val="20"/>
              </w:rPr>
              <w:t>[1,2,3-</w:t>
            </w:r>
            <w:r>
              <w:rPr>
                <w:rFonts w:ascii="Times New Roman" w:hAnsi="Times New Roman" w:eastAsia="Times New Roman" w:cs="Times New Roman"/>
                <w:sz w:val="20"/>
                <w:szCs w:val="20"/>
              </w:rPr>
              <w:t>cd</w:t>
            </w:r>
            <w:r>
              <w:rPr>
                <w:rFonts w:ascii="Times New Roman" w:hAnsi="Times New Roman" w:eastAsia="Times New Roman" w:cs="Times New Roman"/>
                <w:spacing w:val="6"/>
                <w:sz w:val="20"/>
                <w:szCs w:val="20"/>
              </w:rPr>
              <w:t>]</w:t>
            </w:r>
            <w:r>
              <w:rPr>
                <w:spacing w:val="6"/>
                <w:sz w:val="20"/>
                <w:szCs w:val="20"/>
              </w:rPr>
              <w:t>芘、萘</w:t>
            </w:r>
          </w:p>
        </w:tc>
      </w:tr>
      <w:tr w14:paraId="74F4DA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347" w:type="dxa"/>
            <w:tcBorders>
              <w:left w:val="nil"/>
            </w:tcBorders>
            <w:vAlign w:val="top"/>
          </w:tcPr>
          <w:p w14:paraId="17381A2E">
            <w:pPr>
              <w:spacing w:before="81" w:line="192"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T7</w:t>
            </w:r>
          </w:p>
        </w:tc>
        <w:tc>
          <w:tcPr>
            <w:tcW w:w="429" w:type="dxa"/>
            <w:vMerge w:val="continue"/>
            <w:tcBorders>
              <w:top w:val="nil"/>
            </w:tcBorders>
            <w:vAlign w:val="top"/>
          </w:tcPr>
          <w:p w14:paraId="5D2951F0">
            <w:pPr>
              <w:rPr>
                <w:rFonts w:ascii="Arial"/>
                <w:sz w:val="21"/>
              </w:rPr>
            </w:pPr>
          </w:p>
        </w:tc>
        <w:tc>
          <w:tcPr>
            <w:tcW w:w="635" w:type="dxa"/>
            <w:vMerge w:val="continue"/>
            <w:tcBorders>
              <w:top w:val="nil"/>
              <w:bottom w:val="nil"/>
            </w:tcBorders>
            <w:vAlign w:val="top"/>
          </w:tcPr>
          <w:p w14:paraId="374AC35E">
            <w:pPr>
              <w:rPr>
                <w:rFonts w:ascii="Arial"/>
                <w:sz w:val="21"/>
              </w:rPr>
            </w:pPr>
          </w:p>
        </w:tc>
        <w:tc>
          <w:tcPr>
            <w:tcW w:w="2543" w:type="dxa"/>
            <w:vAlign w:val="top"/>
          </w:tcPr>
          <w:p w14:paraId="2DA5C295">
            <w:pPr>
              <w:pStyle w:val="6"/>
              <w:spacing w:before="78" w:line="173"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112°54′</w:t>
            </w:r>
            <w:r>
              <w:rPr>
                <w:rFonts w:ascii="Times New Roman" w:hAnsi="Times New Roman" w:eastAsia="Times New Roman" w:cs="Times New Roman"/>
                <w:spacing w:val="-14"/>
                <w:sz w:val="20"/>
                <w:szCs w:val="20"/>
              </w:rPr>
              <w:t xml:space="preserve"> </w:t>
            </w:r>
            <w:r>
              <w:rPr>
                <w:rFonts w:ascii="Times New Roman" w:hAnsi="Times New Roman" w:eastAsia="Times New Roman" w:cs="Times New Roman"/>
                <w:spacing w:val="-2"/>
                <w:sz w:val="20"/>
                <w:szCs w:val="20"/>
              </w:rPr>
              <w:t>1.04″</w:t>
            </w:r>
            <w:r>
              <w:rPr>
                <w:spacing w:val="-2"/>
                <w:sz w:val="20"/>
                <w:szCs w:val="20"/>
              </w:rPr>
              <w:t>，</w:t>
            </w:r>
            <w:r>
              <w:rPr>
                <w:rFonts w:ascii="Times New Roman" w:hAnsi="Times New Roman" w:eastAsia="Times New Roman" w:cs="Times New Roman"/>
                <w:spacing w:val="-2"/>
                <w:sz w:val="20"/>
                <w:szCs w:val="20"/>
              </w:rPr>
              <w:t>42°25′58.18″</w:t>
            </w:r>
          </w:p>
        </w:tc>
        <w:tc>
          <w:tcPr>
            <w:tcW w:w="5329" w:type="dxa"/>
            <w:tcBorders>
              <w:right w:val="nil"/>
            </w:tcBorders>
            <w:vAlign w:val="top"/>
          </w:tcPr>
          <w:p w14:paraId="51D44F8E">
            <w:pPr>
              <w:pStyle w:val="6"/>
              <w:spacing w:before="42" w:line="206" w:lineRule="auto"/>
              <w:ind w:left="672"/>
              <w:rPr>
                <w:sz w:val="20"/>
                <w:szCs w:val="20"/>
              </w:rPr>
            </w:pPr>
            <w:r>
              <w:rPr>
                <w:spacing w:val="9"/>
                <w:sz w:val="20"/>
                <w:szCs w:val="20"/>
              </w:rPr>
              <w:t>砷、镉、铬（六价）、铜、铅、锌、汞、镍</w:t>
            </w:r>
          </w:p>
        </w:tc>
      </w:tr>
      <w:tr w14:paraId="0BC5E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9" w:hRule="atLeast"/>
        </w:trPr>
        <w:tc>
          <w:tcPr>
            <w:tcW w:w="347" w:type="dxa"/>
            <w:tcBorders>
              <w:left w:val="nil"/>
            </w:tcBorders>
            <w:vAlign w:val="top"/>
          </w:tcPr>
          <w:p w14:paraId="29CF1C46">
            <w:pPr>
              <w:spacing w:before="186"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T8</w:t>
            </w:r>
          </w:p>
        </w:tc>
        <w:tc>
          <w:tcPr>
            <w:tcW w:w="429" w:type="dxa"/>
            <w:vMerge w:val="restart"/>
            <w:tcBorders>
              <w:bottom w:val="nil"/>
            </w:tcBorders>
            <w:textDirection w:val="tbRlV"/>
            <w:vAlign w:val="top"/>
          </w:tcPr>
          <w:p w14:paraId="26ABEBAC">
            <w:pPr>
              <w:pStyle w:val="6"/>
              <w:spacing w:before="109" w:line="207" w:lineRule="auto"/>
              <w:ind w:left="356"/>
              <w:rPr>
                <w:sz w:val="20"/>
                <w:szCs w:val="20"/>
              </w:rPr>
            </w:pPr>
            <w:r>
              <w:rPr>
                <w:spacing w:val="8"/>
                <w:position w:val="1"/>
                <w:sz w:val="20"/>
                <w:szCs w:val="20"/>
              </w:rPr>
              <w:t>占</w:t>
            </w:r>
            <w:r>
              <w:rPr>
                <w:spacing w:val="-33"/>
                <w:position w:val="1"/>
                <w:sz w:val="20"/>
                <w:szCs w:val="20"/>
              </w:rPr>
              <w:t xml:space="preserve"> </w:t>
            </w:r>
            <w:r>
              <w:rPr>
                <w:spacing w:val="8"/>
                <w:sz w:val="20"/>
                <w:szCs w:val="20"/>
              </w:rPr>
              <w:t>地</w:t>
            </w:r>
            <w:r>
              <w:rPr>
                <w:spacing w:val="-37"/>
                <w:sz w:val="20"/>
                <w:szCs w:val="20"/>
              </w:rPr>
              <w:t xml:space="preserve"> </w:t>
            </w:r>
            <w:r>
              <w:rPr>
                <w:spacing w:val="8"/>
                <w:sz w:val="20"/>
                <w:szCs w:val="20"/>
              </w:rPr>
              <w:t>范</w:t>
            </w:r>
            <w:r>
              <w:rPr>
                <w:spacing w:val="-36"/>
                <w:sz w:val="20"/>
                <w:szCs w:val="20"/>
              </w:rPr>
              <w:t xml:space="preserve"> </w:t>
            </w:r>
            <w:r>
              <w:rPr>
                <w:spacing w:val="8"/>
                <w:sz w:val="20"/>
                <w:szCs w:val="20"/>
              </w:rPr>
              <w:t>围</w:t>
            </w:r>
            <w:r>
              <w:rPr>
                <w:spacing w:val="-37"/>
                <w:sz w:val="20"/>
                <w:szCs w:val="20"/>
              </w:rPr>
              <w:t xml:space="preserve"> </w:t>
            </w:r>
            <w:r>
              <w:rPr>
                <w:spacing w:val="8"/>
                <w:sz w:val="20"/>
                <w:szCs w:val="20"/>
              </w:rPr>
              <w:t>外</w:t>
            </w:r>
          </w:p>
        </w:tc>
        <w:tc>
          <w:tcPr>
            <w:tcW w:w="635" w:type="dxa"/>
            <w:vMerge w:val="continue"/>
            <w:tcBorders>
              <w:top w:val="nil"/>
              <w:bottom w:val="nil"/>
            </w:tcBorders>
            <w:vAlign w:val="top"/>
          </w:tcPr>
          <w:p w14:paraId="28943B4B">
            <w:pPr>
              <w:rPr>
                <w:rFonts w:ascii="Arial"/>
                <w:sz w:val="21"/>
              </w:rPr>
            </w:pPr>
          </w:p>
        </w:tc>
        <w:tc>
          <w:tcPr>
            <w:tcW w:w="2543" w:type="dxa"/>
            <w:vAlign w:val="top"/>
          </w:tcPr>
          <w:p w14:paraId="475AD2B3">
            <w:pPr>
              <w:pStyle w:val="6"/>
              <w:spacing w:before="91" w:line="190" w:lineRule="auto"/>
              <w:ind w:left="715" w:right="611" w:hanging="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112°53′</w:t>
            </w:r>
            <w:r>
              <w:rPr>
                <w:rFonts w:ascii="Times New Roman" w:hAnsi="Times New Roman" w:eastAsia="Times New Roman" w:cs="Times New Roman"/>
                <w:spacing w:val="-26"/>
                <w:sz w:val="20"/>
                <w:szCs w:val="20"/>
              </w:rPr>
              <w:t xml:space="preserve"> </w:t>
            </w:r>
            <w:r>
              <w:rPr>
                <w:rFonts w:ascii="Times New Roman" w:hAnsi="Times New Roman" w:eastAsia="Times New Roman" w:cs="Times New Roman"/>
                <w:spacing w:val="-3"/>
                <w:sz w:val="20"/>
                <w:szCs w:val="20"/>
              </w:rPr>
              <w:t>17.62″</w:t>
            </w:r>
            <w:r>
              <w:rPr>
                <w:spacing w:val="-3"/>
                <w:sz w:val="20"/>
                <w:szCs w:val="20"/>
              </w:rPr>
              <w:t>，</w:t>
            </w:r>
            <w:r>
              <w:rPr>
                <w:sz w:val="20"/>
                <w:szCs w:val="20"/>
              </w:rPr>
              <w:t xml:space="preserve"> </w:t>
            </w:r>
            <w:r>
              <w:rPr>
                <w:rFonts w:ascii="Times New Roman" w:hAnsi="Times New Roman" w:eastAsia="Times New Roman" w:cs="Times New Roman"/>
                <w:spacing w:val="4"/>
                <w:sz w:val="20"/>
                <w:szCs w:val="20"/>
              </w:rPr>
              <w:t>42°25′41.04″</w:t>
            </w:r>
          </w:p>
        </w:tc>
        <w:tc>
          <w:tcPr>
            <w:tcW w:w="5329" w:type="dxa"/>
            <w:vMerge w:val="restart"/>
            <w:tcBorders>
              <w:bottom w:val="nil"/>
              <w:right w:val="nil"/>
            </w:tcBorders>
            <w:vAlign w:val="top"/>
          </w:tcPr>
          <w:p w14:paraId="1E21B7D4">
            <w:pPr>
              <w:spacing w:line="277" w:lineRule="auto"/>
              <w:rPr>
                <w:rFonts w:ascii="Arial"/>
                <w:sz w:val="21"/>
              </w:rPr>
            </w:pPr>
          </w:p>
          <w:p w14:paraId="58A1C893">
            <w:pPr>
              <w:spacing w:line="277" w:lineRule="auto"/>
              <w:rPr>
                <w:rFonts w:ascii="Arial"/>
                <w:sz w:val="21"/>
              </w:rPr>
            </w:pPr>
          </w:p>
          <w:p w14:paraId="4EF2F279">
            <w:pPr>
              <w:spacing w:line="277" w:lineRule="auto"/>
              <w:rPr>
                <w:rFonts w:ascii="Arial"/>
                <w:sz w:val="21"/>
              </w:rPr>
            </w:pPr>
          </w:p>
          <w:p w14:paraId="6F5CC60B">
            <w:pPr>
              <w:pStyle w:val="6"/>
              <w:spacing w:before="65" w:line="221" w:lineRule="auto"/>
              <w:ind w:left="852"/>
              <w:rPr>
                <w:sz w:val="20"/>
                <w:szCs w:val="20"/>
              </w:rPr>
            </w:pPr>
            <w:r>
              <w:rPr>
                <w:rFonts w:ascii="Times New Roman" w:hAnsi="Times New Roman" w:eastAsia="Times New Roman" w:cs="Times New Roman"/>
                <w:sz w:val="20"/>
                <w:szCs w:val="20"/>
              </w:rPr>
              <w:t>pH</w:t>
            </w:r>
            <w:r>
              <w:rPr>
                <w:rFonts w:ascii="Times New Roman" w:hAnsi="Times New Roman" w:eastAsia="Times New Roman" w:cs="Times New Roman"/>
                <w:spacing w:val="-25"/>
                <w:sz w:val="20"/>
                <w:szCs w:val="20"/>
              </w:rPr>
              <w:t xml:space="preserve"> </w:t>
            </w:r>
            <w:r>
              <w:rPr>
                <w:spacing w:val="9"/>
                <w:sz w:val="20"/>
                <w:szCs w:val="20"/>
              </w:rPr>
              <w:t>、砷、镉、铬、铜、铅、汞、镍、锌</w:t>
            </w:r>
          </w:p>
        </w:tc>
      </w:tr>
      <w:tr w14:paraId="0B0AB7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0" w:hRule="atLeast"/>
        </w:trPr>
        <w:tc>
          <w:tcPr>
            <w:tcW w:w="347" w:type="dxa"/>
            <w:tcBorders>
              <w:left w:val="nil"/>
            </w:tcBorders>
            <w:vAlign w:val="top"/>
          </w:tcPr>
          <w:p w14:paraId="2ECCAFE7">
            <w:pPr>
              <w:spacing w:before="191"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T9</w:t>
            </w:r>
          </w:p>
        </w:tc>
        <w:tc>
          <w:tcPr>
            <w:tcW w:w="429" w:type="dxa"/>
            <w:vMerge w:val="continue"/>
            <w:tcBorders>
              <w:top w:val="nil"/>
              <w:bottom w:val="nil"/>
            </w:tcBorders>
            <w:textDirection w:val="tbRlV"/>
            <w:vAlign w:val="top"/>
          </w:tcPr>
          <w:p w14:paraId="0ED141BC">
            <w:pPr>
              <w:rPr>
                <w:rFonts w:ascii="Arial"/>
                <w:sz w:val="21"/>
              </w:rPr>
            </w:pPr>
          </w:p>
        </w:tc>
        <w:tc>
          <w:tcPr>
            <w:tcW w:w="635" w:type="dxa"/>
            <w:vMerge w:val="continue"/>
            <w:tcBorders>
              <w:top w:val="nil"/>
              <w:bottom w:val="nil"/>
            </w:tcBorders>
            <w:vAlign w:val="top"/>
          </w:tcPr>
          <w:p w14:paraId="57222D05">
            <w:pPr>
              <w:rPr>
                <w:rFonts w:ascii="Arial"/>
                <w:sz w:val="21"/>
              </w:rPr>
            </w:pPr>
          </w:p>
        </w:tc>
        <w:tc>
          <w:tcPr>
            <w:tcW w:w="2543" w:type="dxa"/>
            <w:vAlign w:val="top"/>
          </w:tcPr>
          <w:p w14:paraId="5E01A798">
            <w:pPr>
              <w:pStyle w:val="6"/>
              <w:spacing w:before="96" w:line="188" w:lineRule="auto"/>
              <w:ind w:left="715" w:right="611" w:hanging="1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112°53′48.45″</w:t>
            </w:r>
            <w:r>
              <w:rPr>
                <w:spacing w:val="-2"/>
                <w:sz w:val="20"/>
                <w:szCs w:val="20"/>
              </w:rPr>
              <w:t>，</w:t>
            </w:r>
            <w:r>
              <w:rPr>
                <w:spacing w:val="10"/>
                <w:sz w:val="20"/>
                <w:szCs w:val="20"/>
              </w:rPr>
              <w:t xml:space="preserve"> </w:t>
            </w:r>
            <w:r>
              <w:rPr>
                <w:rFonts w:ascii="Times New Roman" w:hAnsi="Times New Roman" w:eastAsia="Times New Roman" w:cs="Times New Roman"/>
                <w:spacing w:val="2"/>
                <w:sz w:val="20"/>
                <w:szCs w:val="20"/>
              </w:rPr>
              <w:t>42°26′</w:t>
            </w:r>
            <w:r>
              <w:rPr>
                <w:rFonts w:ascii="Times New Roman" w:hAnsi="Times New Roman" w:eastAsia="Times New Roman" w:cs="Times New Roman"/>
                <w:spacing w:val="-26"/>
                <w:sz w:val="20"/>
                <w:szCs w:val="20"/>
              </w:rPr>
              <w:t xml:space="preserve"> </w:t>
            </w:r>
            <w:r>
              <w:rPr>
                <w:rFonts w:ascii="Times New Roman" w:hAnsi="Times New Roman" w:eastAsia="Times New Roman" w:cs="Times New Roman"/>
                <w:spacing w:val="2"/>
                <w:sz w:val="20"/>
                <w:szCs w:val="20"/>
              </w:rPr>
              <w:t>12.94″</w:t>
            </w:r>
          </w:p>
        </w:tc>
        <w:tc>
          <w:tcPr>
            <w:tcW w:w="5329" w:type="dxa"/>
            <w:vMerge w:val="continue"/>
            <w:tcBorders>
              <w:top w:val="nil"/>
              <w:bottom w:val="nil"/>
              <w:right w:val="nil"/>
            </w:tcBorders>
            <w:vAlign w:val="top"/>
          </w:tcPr>
          <w:p w14:paraId="2797F6B4">
            <w:pPr>
              <w:rPr>
                <w:rFonts w:ascii="Arial"/>
                <w:sz w:val="21"/>
              </w:rPr>
            </w:pPr>
          </w:p>
        </w:tc>
      </w:tr>
      <w:tr w14:paraId="2BB382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8" w:hRule="atLeast"/>
        </w:trPr>
        <w:tc>
          <w:tcPr>
            <w:tcW w:w="347" w:type="dxa"/>
            <w:tcBorders>
              <w:left w:val="nil"/>
            </w:tcBorders>
            <w:vAlign w:val="top"/>
          </w:tcPr>
          <w:p w14:paraId="39651E4E">
            <w:pPr>
              <w:spacing w:before="193" w:line="195" w:lineRule="auto"/>
              <w:ind w:left="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T10</w:t>
            </w:r>
          </w:p>
        </w:tc>
        <w:tc>
          <w:tcPr>
            <w:tcW w:w="429" w:type="dxa"/>
            <w:vMerge w:val="continue"/>
            <w:tcBorders>
              <w:top w:val="nil"/>
              <w:bottom w:val="nil"/>
            </w:tcBorders>
            <w:textDirection w:val="tbRlV"/>
            <w:vAlign w:val="top"/>
          </w:tcPr>
          <w:p w14:paraId="656A8282">
            <w:pPr>
              <w:rPr>
                <w:rFonts w:ascii="Arial"/>
                <w:sz w:val="21"/>
              </w:rPr>
            </w:pPr>
          </w:p>
        </w:tc>
        <w:tc>
          <w:tcPr>
            <w:tcW w:w="635" w:type="dxa"/>
            <w:vMerge w:val="continue"/>
            <w:tcBorders>
              <w:top w:val="nil"/>
              <w:bottom w:val="nil"/>
            </w:tcBorders>
            <w:vAlign w:val="top"/>
          </w:tcPr>
          <w:p w14:paraId="4484A43E">
            <w:pPr>
              <w:rPr>
                <w:rFonts w:ascii="Arial"/>
                <w:sz w:val="21"/>
              </w:rPr>
            </w:pPr>
          </w:p>
        </w:tc>
        <w:tc>
          <w:tcPr>
            <w:tcW w:w="2543" w:type="dxa"/>
            <w:vAlign w:val="top"/>
          </w:tcPr>
          <w:p w14:paraId="40CA643A">
            <w:pPr>
              <w:pStyle w:val="6"/>
              <w:spacing w:before="98" w:line="186" w:lineRule="auto"/>
              <w:ind w:left="715" w:right="611" w:hanging="1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112°54′24.83″</w:t>
            </w:r>
            <w:r>
              <w:rPr>
                <w:spacing w:val="-2"/>
                <w:sz w:val="20"/>
                <w:szCs w:val="20"/>
              </w:rPr>
              <w:t>，</w:t>
            </w:r>
            <w:r>
              <w:rPr>
                <w:spacing w:val="10"/>
                <w:sz w:val="20"/>
                <w:szCs w:val="20"/>
              </w:rPr>
              <w:t xml:space="preserve"> </w:t>
            </w:r>
            <w:r>
              <w:rPr>
                <w:rFonts w:ascii="Times New Roman" w:hAnsi="Times New Roman" w:eastAsia="Times New Roman" w:cs="Times New Roman"/>
                <w:spacing w:val="2"/>
                <w:sz w:val="20"/>
                <w:szCs w:val="20"/>
              </w:rPr>
              <w:t>42°26′</w:t>
            </w:r>
            <w:r>
              <w:rPr>
                <w:rFonts w:ascii="Times New Roman" w:hAnsi="Times New Roman" w:eastAsia="Times New Roman" w:cs="Times New Roman"/>
                <w:spacing w:val="-26"/>
                <w:sz w:val="20"/>
                <w:szCs w:val="20"/>
              </w:rPr>
              <w:t xml:space="preserve"> </w:t>
            </w:r>
            <w:r>
              <w:rPr>
                <w:rFonts w:ascii="Times New Roman" w:hAnsi="Times New Roman" w:eastAsia="Times New Roman" w:cs="Times New Roman"/>
                <w:spacing w:val="2"/>
                <w:sz w:val="20"/>
                <w:szCs w:val="20"/>
              </w:rPr>
              <w:t>15.18″</w:t>
            </w:r>
          </w:p>
        </w:tc>
        <w:tc>
          <w:tcPr>
            <w:tcW w:w="5329" w:type="dxa"/>
            <w:vMerge w:val="continue"/>
            <w:tcBorders>
              <w:top w:val="nil"/>
              <w:bottom w:val="nil"/>
              <w:right w:val="nil"/>
            </w:tcBorders>
            <w:vAlign w:val="top"/>
          </w:tcPr>
          <w:p w14:paraId="333DC5DD">
            <w:pPr>
              <w:rPr>
                <w:rFonts w:ascii="Arial"/>
                <w:sz w:val="21"/>
              </w:rPr>
            </w:pPr>
          </w:p>
        </w:tc>
      </w:tr>
      <w:tr w14:paraId="273C49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4" w:hRule="atLeast"/>
        </w:trPr>
        <w:tc>
          <w:tcPr>
            <w:tcW w:w="347" w:type="dxa"/>
            <w:tcBorders>
              <w:left w:val="nil"/>
              <w:bottom w:val="single" w:color="000000" w:sz="10" w:space="0"/>
            </w:tcBorders>
            <w:vAlign w:val="top"/>
          </w:tcPr>
          <w:p w14:paraId="6D3A769F">
            <w:pPr>
              <w:spacing w:before="204" w:line="195" w:lineRule="auto"/>
              <w:ind w:left="1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T11</w:t>
            </w:r>
          </w:p>
        </w:tc>
        <w:tc>
          <w:tcPr>
            <w:tcW w:w="429" w:type="dxa"/>
            <w:vMerge w:val="continue"/>
            <w:tcBorders>
              <w:top w:val="nil"/>
              <w:bottom w:val="single" w:color="000000" w:sz="10" w:space="0"/>
            </w:tcBorders>
            <w:textDirection w:val="tbRlV"/>
            <w:vAlign w:val="top"/>
          </w:tcPr>
          <w:p w14:paraId="6145B045">
            <w:pPr>
              <w:rPr>
                <w:rFonts w:ascii="Arial"/>
                <w:sz w:val="21"/>
              </w:rPr>
            </w:pPr>
          </w:p>
        </w:tc>
        <w:tc>
          <w:tcPr>
            <w:tcW w:w="635" w:type="dxa"/>
            <w:vMerge w:val="continue"/>
            <w:tcBorders>
              <w:top w:val="nil"/>
              <w:bottom w:val="single" w:color="000000" w:sz="10" w:space="0"/>
            </w:tcBorders>
            <w:vAlign w:val="top"/>
          </w:tcPr>
          <w:p w14:paraId="2BBC242F">
            <w:pPr>
              <w:rPr>
                <w:rFonts w:ascii="Arial"/>
                <w:sz w:val="21"/>
              </w:rPr>
            </w:pPr>
          </w:p>
        </w:tc>
        <w:tc>
          <w:tcPr>
            <w:tcW w:w="2543" w:type="dxa"/>
            <w:tcBorders>
              <w:bottom w:val="single" w:color="000000" w:sz="10" w:space="0"/>
            </w:tcBorders>
            <w:vAlign w:val="top"/>
          </w:tcPr>
          <w:p w14:paraId="50A5FDBB">
            <w:pPr>
              <w:pStyle w:val="6"/>
              <w:spacing w:before="107" w:line="199" w:lineRule="auto"/>
              <w:ind w:left="715" w:right="611" w:hanging="1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112°54′25.22″</w:t>
            </w:r>
            <w:r>
              <w:rPr>
                <w:spacing w:val="-2"/>
                <w:sz w:val="20"/>
                <w:szCs w:val="20"/>
              </w:rPr>
              <w:t>，</w:t>
            </w:r>
            <w:r>
              <w:rPr>
                <w:spacing w:val="10"/>
                <w:sz w:val="20"/>
                <w:szCs w:val="20"/>
              </w:rPr>
              <w:t xml:space="preserve"> </w:t>
            </w:r>
            <w:r>
              <w:rPr>
                <w:rFonts w:ascii="Times New Roman" w:hAnsi="Times New Roman" w:eastAsia="Times New Roman" w:cs="Times New Roman"/>
                <w:spacing w:val="4"/>
                <w:sz w:val="20"/>
                <w:szCs w:val="20"/>
              </w:rPr>
              <w:t>42°25′37.64″</w:t>
            </w:r>
          </w:p>
        </w:tc>
        <w:tc>
          <w:tcPr>
            <w:tcW w:w="5329" w:type="dxa"/>
            <w:vMerge w:val="continue"/>
            <w:tcBorders>
              <w:top w:val="nil"/>
              <w:bottom w:val="single" w:color="000000" w:sz="10" w:space="0"/>
              <w:right w:val="nil"/>
            </w:tcBorders>
            <w:vAlign w:val="top"/>
          </w:tcPr>
          <w:p w14:paraId="4D753E62">
            <w:pPr>
              <w:rPr>
                <w:rFonts w:ascii="Arial"/>
                <w:sz w:val="21"/>
              </w:rPr>
            </w:pPr>
          </w:p>
        </w:tc>
      </w:tr>
    </w:tbl>
    <w:p w14:paraId="1B761B80">
      <w:pPr>
        <w:spacing w:before="36" w:line="219" w:lineRule="auto"/>
        <w:ind w:left="608"/>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）执行标准</w:t>
      </w:r>
    </w:p>
    <w:p w14:paraId="317E095B">
      <w:pPr>
        <w:spacing w:before="182" w:line="349" w:lineRule="auto"/>
        <w:ind w:left="115" w:firstLine="483"/>
        <w:rPr>
          <w:rFonts w:ascii="宋体" w:hAnsi="宋体" w:eastAsia="宋体" w:cs="宋体"/>
          <w:sz w:val="24"/>
          <w:szCs w:val="24"/>
        </w:rPr>
      </w:pPr>
      <w:r>
        <w:rPr>
          <w:rFonts w:ascii="宋体" w:hAnsi="宋体" w:eastAsia="宋体" w:cs="宋体"/>
          <w:spacing w:val="-8"/>
          <w:sz w:val="24"/>
          <w:szCs w:val="24"/>
        </w:rPr>
        <w:t>厂区占地范围内点位执行《土壤环境质量 建设用地土</w:t>
      </w:r>
      <w:r>
        <w:rPr>
          <w:rFonts w:ascii="宋体" w:hAnsi="宋体" w:eastAsia="宋体" w:cs="宋体"/>
          <w:spacing w:val="-9"/>
          <w:sz w:val="24"/>
          <w:szCs w:val="24"/>
        </w:rPr>
        <w:t>壤污染风险管控标准（试行）》</w:t>
      </w:r>
      <w:r>
        <w:rPr>
          <w:rFonts w:ascii="宋体" w:hAnsi="宋体" w:eastAsia="宋体" w:cs="宋体"/>
          <w:sz w:val="24"/>
          <w:szCs w:val="24"/>
        </w:rPr>
        <w:t xml:space="preserve"> （</w:t>
      </w:r>
      <w:r>
        <w:rPr>
          <w:rFonts w:ascii="Times New Roman" w:hAnsi="Times New Roman" w:eastAsia="Times New Roman" w:cs="Times New Roman"/>
          <w:sz w:val="24"/>
          <w:szCs w:val="24"/>
        </w:rPr>
        <w:t>GB36600-2018</w:t>
      </w:r>
      <w:r>
        <w:rPr>
          <w:rFonts w:ascii="宋体" w:hAnsi="宋体" w:eastAsia="宋体" w:cs="宋体"/>
          <w:spacing w:val="6"/>
          <w:sz w:val="24"/>
          <w:szCs w:val="24"/>
        </w:rPr>
        <w:t>），</w:t>
      </w:r>
      <w:r>
        <w:rPr>
          <w:rFonts w:ascii="宋体" w:hAnsi="宋体" w:eastAsia="宋体" w:cs="宋体"/>
          <w:sz w:val="24"/>
          <w:szCs w:val="24"/>
        </w:rPr>
        <w:t>厂区占地范围外点位执行《土壤环境质量 农用地土</w:t>
      </w:r>
      <w:r>
        <w:rPr>
          <w:rFonts w:ascii="宋体" w:hAnsi="宋体" w:eastAsia="宋体" w:cs="宋体"/>
          <w:spacing w:val="-1"/>
          <w:sz w:val="24"/>
          <w:szCs w:val="24"/>
        </w:rPr>
        <w:t>壤污染风险管</w:t>
      </w:r>
      <w:r>
        <w:rPr>
          <w:rFonts w:ascii="宋体" w:hAnsi="宋体" w:eastAsia="宋体" w:cs="宋体"/>
          <w:sz w:val="24"/>
          <w:szCs w:val="24"/>
        </w:rPr>
        <w:t xml:space="preserve">  </w:t>
      </w:r>
      <w:r>
        <w:rPr>
          <w:rFonts w:ascii="宋体" w:hAnsi="宋体" w:eastAsia="宋体" w:cs="宋体"/>
          <w:spacing w:val="-1"/>
          <w:sz w:val="24"/>
          <w:szCs w:val="24"/>
        </w:rPr>
        <w:t>控标准（试行）》（</w:t>
      </w:r>
      <w:r>
        <w:rPr>
          <w:rFonts w:ascii="Times New Roman" w:hAnsi="Times New Roman" w:eastAsia="Times New Roman" w:cs="Times New Roman"/>
          <w:spacing w:val="-1"/>
          <w:sz w:val="24"/>
          <w:szCs w:val="24"/>
        </w:rPr>
        <w:t>GB15618-2018</w:t>
      </w:r>
      <w:r>
        <w:rPr>
          <w:rFonts w:ascii="宋体" w:hAnsi="宋体" w:eastAsia="宋体" w:cs="宋体"/>
          <w:spacing w:val="-1"/>
          <w:sz w:val="24"/>
          <w:szCs w:val="24"/>
        </w:rPr>
        <w:t>）。</w:t>
      </w:r>
    </w:p>
    <w:p w14:paraId="22D9B76B">
      <w:pPr>
        <w:spacing w:before="38" w:line="220" w:lineRule="auto"/>
        <w:ind w:left="608"/>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）监测分析方法</w:t>
      </w:r>
    </w:p>
    <w:p w14:paraId="1D9B4184">
      <w:pPr>
        <w:spacing w:before="182" w:line="217" w:lineRule="auto"/>
        <w:ind w:left="595"/>
        <w:rPr>
          <w:rFonts w:ascii="宋体" w:hAnsi="宋体" w:eastAsia="宋体" w:cs="宋体"/>
          <w:sz w:val="24"/>
          <w:szCs w:val="24"/>
        </w:rPr>
      </w:pPr>
      <w:r>
        <w:rPr>
          <w:rFonts w:ascii="宋体" w:hAnsi="宋体" w:eastAsia="宋体" w:cs="宋体"/>
          <w:spacing w:val="-1"/>
          <w:sz w:val="24"/>
          <w:szCs w:val="24"/>
        </w:rPr>
        <w:t>采用国家规定的标准分析方法，具体见附件检（监）测报告。</w:t>
      </w:r>
    </w:p>
    <w:p w14:paraId="21A0C4F6">
      <w:pPr>
        <w:spacing w:before="184" w:line="220" w:lineRule="auto"/>
        <w:ind w:left="608"/>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）监测结果</w:t>
      </w:r>
    </w:p>
    <w:p w14:paraId="64A95B0D">
      <w:pPr>
        <w:spacing w:before="181" w:line="219" w:lineRule="auto"/>
        <w:ind w:left="597"/>
        <w:rPr>
          <w:rFonts w:ascii="宋体" w:hAnsi="宋体" w:eastAsia="宋体" w:cs="宋体"/>
          <w:sz w:val="24"/>
          <w:szCs w:val="24"/>
        </w:rPr>
      </w:pPr>
      <w:r>
        <w:rPr>
          <w:rFonts w:ascii="宋体" w:hAnsi="宋体" w:eastAsia="宋体" w:cs="宋体"/>
          <w:spacing w:val="-1"/>
          <w:sz w:val="24"/>
          <w:szCs w:val="24"/>
        </w:rPr>
        <w:t>本项目土壤各污染物检测结果见表</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3.3-8~3.3-10</w:t>
      </w:r>
      <w:r>
        <w:rPr>
          <w:rFonts w:ascii="宋体" w:hAnsi="宋体" w:eastAsia="宋体" w:cs="宋体"/>
          <w:spacing w:val="-1"/>
          <w:sz w:val="24"/>
          <w:szCs w:val="24"/>
        </w:rPr>
        <w:t>。</w:t>
      </w:r>
    </w:p>
    <w:p w14:paraId="06EEB1EA">
      <w:pPr>
        <w:spacing w:before="185" w:line="350" w:lineRule="auto"/>
        <w:ind w:left="116" w:right="31" w:firstLine="509"/>
        <w:rPr>
          <w:rFonts w:ascii="宋体" w:hAnsi="宋体" w:eastAsia="宋体" w:cs="宋体"/>
          <w:sz w:val="24"/>
          <w:szCs w:val="24"/>
        </w:rPr>
      </w:pPr>
      <w:r>
        <w:rPr>
          <w:rFonts w:ascii="宋体" w:hAnsi="宋体" w:eastAsia="宋体" w:cs="宋体"/>
          <w:spacing w:val="-3"/>
          <w:sz w:val="24"/>
          <w:szCs w:val="24"/>
        </w:rPr>
        <w:t>由监测结果表可知，厂区内、外各监测点位检测项目现状检测值均满足《土壤环境</w:t>
      </w:r>
      <w:r>
        <w:rPr>
          <w:rFonts w:ascii="宋体" w:hAnsi="宋体" w:eastAsia="宋体" w:cs="宋体"/>
          <w:spacing w:val="18"/>
          <w:sz w:val="24"/>
          <w:szCs w:val="24"/>
        </w:rPr>
        <w:t xml:space="preserve"> </w:t>
      </w:r>
      <w:r>
        <w:rPr>
          <w:rFonts w:ascii="宋体" w:hAnsi="宋体" w:eastAsia="宋体" w:cs="宋体"/>
          <w:sz w:val="24"/>
          <w:szCs w:val="24"/>
        </w:rPr>
        <w:t>质量 建设用地土壤污染风险管控标准（试行</w:t>
      </w:r>
      <w:r>
        <w:rPr>
          <w:rFonts w:ascii="宋体" w:hAnsi="宋体" w:eastAsia="宋体" w:cs="宋体"/>
          <w:spacing w:val="-1"/>
          <w:sz w:val="24"/>
          <w:szCs w:val="24"/>
        </w:rPr>
        <w:t>）》（</w:t>
      </w:r>
      <w:r>
        <w:rPr>
          <w:rFonts w:ascii="Times New Roman" w:hAnsi="Times New Roman" w:eastAsia="Times New Roman" w:cs="Times New Roman"/>
          <w:spacing w:val="-1"/>
          <w:sz w:val="24"/>
          <w:szCs w:val="24"/>
        </w:rPr>
        <w:t>GB36600-2018</w:t>
      </w:r>
      <w:r>
        <w:rPr>
          <w:rFonts w:ascii="宋体" w:hAnsi="宋体" w:eastAsia="宋体" w:cs="宋体"/>
          <w:spacing w:val="-1"/>
          <w:sz w:val="24"/>
          <w:szCs w:val="24"/>
        </w:rPr>
        <w:t>）中表</w:t>
      </w:r>
      <w:r>
        <w:rPr>
          <w:rFonts w:ascii="宋体" w:hAnsi="宋体" w:eastAsia="宋体" w:cs="宋体"/>
          <w:spacing w:val="-30"/>
          <w:sz w:val="24"/>
          <w:szCs w:val="24"/>
        </w:rPr>
        <w:t xml:space="preserve"> </w:t>
      </w:r>
      <w:r>
        <w:rPr>
          <w:rFonts w:ascii="Times New Roman" w:hAnsi="Times New Roman" w:eastAsia="Times New Roman" w:cs="Times New Roman"/>
          <w:spacing w:val="-1"/>
          <w:sz w:val="24"/>
          <w:szCs w:val="24"/>
        </w:rPr>
        <w:t xml:space="preserve">1 </w:t>
      </w:r>
      <w:r>
        <w:rPr>
          <w:rFonts w:ascii="宋体" w:hAnsi="宋体" w:eastAsia="宋体" w:cs="宋体"/>
          <w:spacing w:val="-1"/>
          <w:sz w:val="24"/>
          <w:szCs w:val="24"/>
        </w:rPr>
        <w:t>建设用地土</w:t>
      </w:r>
      <w:r>
        <w:rPr>
          <w:rFonts w:ascii="宋体" w:hAnsi="宋体" w:eastAsia="宋体" w:cs="宋体"/>
          <w:sz w:val="24"/>
          <w:szCs w:val="24"/>
        </w:rPr>
        <w:t xml:space="preserve"> </w:t>
      </w:r>
      <w:r>
        <w:rPr>
          <w:rFonts w:ascii="宋体" w:hAnsi="宋体" w:eastAsia="宋体" w:cs="宋体"/>
          <w:spacing w:val="-1"/>
          <w:sz w:val="24"/>
          <w:szCs w:val="24"/>
        </w:rPr>
        <w:t>壤污染风险第二类用地筛选值及《土壤环境质量 农用地土壤污染风险管控标准</w:t>
      </w:r>
      <w:r>
        <w:rPr>
          <w:rFonts w:ascii="Times New Roman" w:hAnsi="Times New Roman" w:eastAsia="Times New Roman" w:cs="Times New Roman"/>
          <w:spacing w:val="-1"/>
          <w:sz w:val="24"/>
          <w:szCs w:val="24"/>
        </w:rPr>
        <w:t>(</w:t>
      </w:r>
      <w:r>
        <w:rPr>
          <w:rFonts w:ascii="宋体" w:hAnsi="宋体" w:eastAsia="宋体" w:cs="宋体"/>
          <w:spacing w:val="-1"/>
          <w:sz w:val="24"/>
          <w:szCs w:val="24"/>
        </w:rPr>
        <w:t>试行</w:t>
      </w:r>
      <w:r>
        <w:rPr>
          <w:rFonts w:ascii="Times New Roman" w:hAnsi="Times New Roman" w:eastAsia="Times New Roman" w:cs="Times New Roman"/>
          <w:spacing w:val="-1"/>
          <w:sz w:val="24"/>
          <w:szCs w:val="24"/>
        </w:rPr>
        <w:t>)</w:t>
      </w:r>
      <w:r>
        <w:rPr>
          <w:rFonts w:ascii="宋体" w:hAnsi="宋体" w:eastAsia="宋体" w:cs="宋体"/>
          <w:spacing w:val="-1"/>
          <w:sz w:val="24"/>
          <w:szCs w:val="24"/>
        </w:rPr>
        <w:t>》</w:t>
      </w:r>
      <w:r>
        <w:rPr>
          <w:rFonts w:ascii="宋体" w:hAnsi="宋体" w:eastAsia="宋体" w:cs="宋体"/>
          <w:spacing w:val="13"/>
          <w:sz w:val="24"/>
          <w:szCs w:val="24"/>
        </w:rPr>
        <w:t xml:space="preserve"> </w:t>
      </w:r>
      <w:r>
        <w:rPr>
          <w:rFonts w:ascii="Times New Roman" w:hAnsi="Times New Roman" w:eastAsia="Times New Roman" w:cs="Times New Roman"/>
          <w:spacing w:val="-1"/>
          <w:sz w:val="24"/>
          <w:szCs w:val="24"/>
        </w:rPr>
        <w:t>(GB15618-2018)</w:t>
      </w:r>
      <w:r>
        <w:rPr>
          <w:rFonts w:ascii="宋体" w:hAnsi="宋体" w:eastAsia="宋体" w:cs="宋体"/>
          <w:spacing w:val="-1"/>
          <w:sz w:val="24"/>
          <w:szCs w:val="24"/>
        </w:rPr>
        <w:t>表</w:t>
      </w:r>
      <w:r>
        <w:rPr>
          <w:rFonts w:ascii="宋体" w:hAnsi="宋体" w:eastAsia="宋体" w:cs="宋体"/>
          <w:spacing w:val="-31"/>
          <w:sz w:val="24"/>
          <w:szCs w:val="24"/>
        </w:rPr>
        <w:t xml:space="preserve"> </w:t>
      </w:r>
      <w:r>
        <w:rPr>
          <w:rFonts w:ascii="Times New Roman" w:hAnsi="Times New Roman" w:eastAsia="Times New Roman" w:cs="Times New Roman"/>
          <w:spacing w:val="-1"/>
          <w:sz w:val="24"/>
          <w:szCs w:val="24"/>
        </w:rPr>
        <w:t xml:space="preserve">1 </w:t>
      </w:r>
      <w:r>
        <w:rPr>
          <w:rFonts w:ascii="宋体" w:hAnsi="宋体" w:eastAsia="宋体" w:cs="宋体"/>
          <w:spacing w:val="-1"/>
          <w:sz w:val="24"/>
          <w:szCs w:val="24"/>
        </w:rPr>
        <w:t>农用地土壤污染风</w:t>
      </w:r>
      <w:r>
        <w:rPr>
          <w:rFonts w:ascii="宋体" w:hAnsi="宋体" w:eastAsia="宋体" w:cs="宋体"/>
          <w:spacing w:val="-2"/>
          <w:sz w:val="24"/>
          <w:szCs w:val="24"/>
        </w:rPr>
        <w:t>险筛选值标准。</w:t>
      </w:r>
    </w:p>
    <w:p w14:paraId="229C2947">
      <w:pPr>
        <w:spacing w:before="149" w:line="228" w:lineRule="auto"/>
        <w:ind w:left="2233"/>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5"/>
          <w:sz w:val="20"/>
          <w:szCs w:val="20"/>
        </w:rPr>
        <w:t xml:space="preserve"> </w:t>
      </w:r>
      <w:r>
        <w:rPr>
          <w:rFonts w:ascii="Times New Roman" w:hAnsi="Times New Roman" w:eastAsia="Times New Roman" w:cs="Times New Roman"/>
          <w:b/>
          <w:bCs/>
          <w:spacing w:val="5"/>
          <w:sz w:val="20"/>
          <w:szCs w:val="20"/>
        </w:rPr>
        <w:t xml:space="preserve">3.3-10        </w:t>
      </w:r>
      <w:r>
        <w:rPr>
          <w:rFonts w:ascii="宋体" w:hAnsi="宋体" w:eastAsia="宋体" w:cs="宋体"/>
          <w:b/>
          <w:bCs/>
          <w:spacing w:val="5"/>
          <w:sz w:val="20"/>
          <w:szCs w:val="20"/>
        </w:rPr>
        <w:t>其他检测点位土壤检测结果（</w:t>
      </w:r>
      <w:r>
        <w:rPr>
          <w:rFonts w:ascii="Times New Roman" w:hAnsi="Times New Roman" w:eastAsia="Times New Roman" w:cs="Times New Roman"/>
          <w:b/>
          <w:bCs/>
          <w:spacing w:val="5"/>
          <w:sz w:val="20"/>
          <w:szCs w:val="20"/>
        </w:rPr>
        <w:t>0-20</w:t>
      </w:r>
      <w:r>
        <w:rPr>
          <w:rFonts w:ascii="Times New Roman" w:hAnsi="Times New Roman" w:eastAsia="Times New Roman" w:cs="Times New Roman"/>
          <w:b/>
          <w:bCs/>
          <w:sz w:val="20"/>
          <w:szCs w:val="20"/>
        </w:rPr>
        <w:t>cm</w:t>
      </w:r>
      <w:r>
        <w:rPr>
          <w:rFonts w:ascii="宋体" w:hAnsi="宋体" w:eastAsia="宋体" w:cs="宋体"/>
          <w:b/>
          <w:bCs/>
          <w:spacing w:val="5"/>
          <w:sz w:val="20"/>
          <w:szCs w:val="20"/>
        </w:rPr>
        <w:t>）</w:t>
      </w:r>
    </w:p>
    <w:p w14:paraId="74D8446C">
      <w:pPr>
        <w:spacing w:line="14" w:lineRule="exact"/>
      </w:pPr>
    </w:p>
    <w:tbl>
      <w:tblPr>
        <w:tblStyle w:val="5"/>
        <w:tblW w:w="9124" w:type="dxa"/>
        <w:tblInd w:w="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80"/>
        <w:gridCol w:w="922"/>
        <w:gridCol w:w="752"/>
        <w:gridCol w:w="812"/>
        <w:gridCol w:w="965"/>
        <w:gridCol w:w="900"/>
        <w:gridCol w:w="936"/>
        <w:gridCol w:w="887"/>
        <w:gridCol w:w="1061"/>
        <w:gridCol w:w="1009"/>
      </w:tblGrid>
      <w:tr w14:paraId="2FB4DC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880" w:type="dxa"/>
            <w:tcBorders>
              <w:top w:val="single" w:color="000000" w:sz="10" w:space="0"/>
              <w:left w:val="nil"/>
            </w:tcBorders>
            <w:vAlign w:val="top"/>
          </w:tcPr>
          <w:p w14:paraId="51BDD42C">
            <w:pPr>
              <w:pStyle w:val="6"/>
              <w:spacing w:before="86" w:line="229" w:lineRule="auto"/>
              <w:ind w:left="248"/>
              <w:rPr>
                <w:sz w:val="20"/>
                <w:szCs w:val="20"/>
              </w:rPr>
            </w:pPr>
            <w:r>
              <w:rPr>
                <w:b/>
                <w:bCs/>
                <w:spacing w:val="-2"/>
                <w:sz w:val="20"/>
                <w:szCs w:val="20"/>
              </w:rPr>
              <w:t>点位</w:t>
            </w:r>
          </w:p>
        </w:tc>
        <w:tc>
          <w:tcPr>
            <w:tcW w:w="8244" w:type="dxa"/>
            <w:gridSpan w:val="9"/>
            <w:tcBorders>
              <w:top w:val="single" w:color="000000" w:sz="10" w:space="0"/>
              <w:right w:val="nil"/>
            </w:tcBorders>
            <w:vAlign w:val="top"/>
          </w:tcPr>
          <w:p w14:paraId="2F6BA7E7">
            <w:pPr>
              <w:pStyle w:val="6"/>
              <w:spacing w:before="86" w:line="221" w:lineRule="auto"/>
              <w:ind w:left="2897"/>
              <w:rPr>
                <w:sz w:val="20"/>
                <w:szCs w:val="20"/>
              </w:rPr>
            </w:pPr>
            <w:r>
              <w:rPr>
                <w:b/>
                <w:bCs/>
                <w:spacing w:val="8"/>
                <w:sz w:val="20"/>
                <w:szCs w:val="20"/>
              </w:rPr>
              <w:t>检测项目及浓度（</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8"/>
                <w:sz w:val="20"/>
                <w:szCs w:val="20"/>
              </w:rPr>
              <w:t>/</w:t>
            </w:r>
            <w:r>
              <w:rPr>
                <w:rFonts w:ascii="Times New Roman" w:hAnsi="Times New Roman" w:eastAsia="Times New Roman" w:cs="Times New Roman"/>
                <w:b/>
                <w:bCs/>
                <w:sz w:val="20"/>
                <w:szCs w:val="20"/>
              </w:rPr>
              <w:t>kg</w:t>
            </w:r>
            <w:r>
              <w:rPr>
                <w:b/>
                <w:bCs/>
                <w:spacing w:val="8"/>
                <w:sz w:val="20"/>
                <w:szCs w:val="20"/>
              </w:rPr>
              <w:t>）</w:t>
            </w:r>
          </w:p>
        </w:tc>
      </w:tr>
      <w:tr w14:paraId="37CE26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80" w:type="dxa"/>
            <w:vMerge w:val="restart"/>
            <w:tcBorders>
              <w:left w:val="nil"/>
              <w:bottom w:val="nil"/>
            </w:tcBorders>
            <w:vAlign w:val="top"/>
          </w:tcPr>
          <w:p w14:paraId="216C435A">
            <w:pPr>
              <w:spacing w:line="268" w:lineRule="auto"/>
              <w:rPr>
                <w:rFonts w:ascii="Arial"/>
                <w:sz w:val="21"/>
              </w:rPr>
            </w:pPr>
          </w:p>
          <w:p w14:paraId="77AAF83F">
            <w:pPr>
              <w:pStyle w:val="6"/>
              <w:spacing w:before="65" w:line="228" w:lineRule="auto"/>
              <w:ind w:left="246"/>
              <w:rPr>
                <w:sz w:val="20"/>
                <w:szCs w:val="20"/>
              </w:rPr>
            </w:pPr>
            <w:r>
              <w:rPr>
                <w:spacing w:val="4"/>
                <w:sz w:val="20"/>
                <w:szCs w:val="20"/>
              </w:rPr>
              <w:t>标准</w:t>
            </w:r>
          </w:p>
        </w:tc>
        <w:tc>
          <w:tcPr>
            <w:tcW w:w="8244" w:type="dxa"/>
            <w:gridSpan w:val="9"/>
            <w:tcBorders>
              <w:right w:val="nil"/>
            </w:tcBorders>
            <w:vAlign w:val="top"/>
          </w:tcPr>
          <w:p w14:paraId="53AE0A00">
            <w:pPr>
              <w:pStyle w:val="6"/>
              <w:spacing w:before="37" w:line="221" w:lineRule="auto"/>
              <w:ind w:left="1729"/>
              <w:rPr>
                <w:sz w:val="20"/>
                <w:szCs w:val="20"/>
              </w:rPr>
            </w:pPr>
            <w:r>
              <w:rPr>
                <w:rFonts w:ascii="Times New Roman" w:hAnsi="Times New Roman" w:eastAsia="Times New Roman" w:cs="Times New Roman"/>
                <w:spacing w:val="6"/>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15618-2018)</w:t>
            </w:r>
            <w:r>
              <w:rPr>
                <w:spacing w:val="6"/>
                <w:sz w:val="20"/>
                <w:szCs w:val="20"/>
              </w:rPr>
              <w:t>表</w:t>
            </w:r>
            <w:r>
              <w:rPr>
                <w:spacing w:val="-9"/>
                <w:sz w:val="20"/>
                <w:szCs w:val="20"/>
              </w:rPr>
              <w:t xml:space="preserve"> </w:t>
            </w:r>
            <w:r>
              <w:rPr>
                <w:rFonts w:ascii="Times New Roman" w:hAnsi="Times New Roman" w:eastAsia="Times New Roman" w:cs="Times New Roman"/>
                <w:spacing w:val="6"/>
                <w:sz w:val="20"/>
                <w:szCs w:val="20"/>
              </w:rPr>
              <w:t xml:space="preserve">1 </w:t>
            </w:r>
            <w:r>
              <w:rPr>
                <w:spacing w:val="6"/>
                <w:sz w:val="20"/>
                <w:szCs w:val="20"/>
              </w:rPr>
              <w:t>农用地土壤污染风险筛选值标准</w:t>
            </w:r>
          </w:p>
        </w:tc>
      </w:tr>
      <w:tr w14:paraId="1FF6D1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 w:hRule="atLeast"/>
        </w:trPr>
        <w:tc>
          <w:tcPr>
            <w:tcW w:w="880" w:type="dxa"/>
            <w:vMerge w:val="continue"/>
            <w:tcBorders>
              <w:top w:val="nil"/>
              <w:left w:val="nil"/>
              <w:bottom w:val="nil"/>
            </w:tcBorders>
            <w:vAlign w:val="top"/>
          </w:tcPr>
          <w:p w14:paraId="2811A2E1">
            <w:pPr>
              <w:rPr>
                <w:rFonts w:ascii="Arial"/>
                <w:sz w:val="21"/>
              </w:rPr>
            </w:pPr>
          </w:p>
        </w:tc>
        <w:tc>
          <w:tcPr>
            <w:tcW w:w="922" w:type="dxa"/>
            <w:tcBorders>
              <w:right w:val="single" w:color="000000" w:sz="2" w:space="0"/>
            </w:tcBorders>
            <w:vAlign w:val="top"/>
          </w:tcPr>
          <w:p w14:paraId="432F85CA">
            <w:pPr>
              <w:spacing w:before="79" w:line="194" w:lineRule="auto"/>
              <w:ind w:left="333"/>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pH</w:t>
            </w:r>
          </w:p>
        </w:tc>
        <w:tc>
          <w:tcPr>
            <w:tcW w:w="752" w:type="dxa"/>
            <w:tcBorders>
              <w:left w:val="single" w:color="000000" w:sz="2" w:space="0"/>
              <w:right w:val="single" w:color="000000" w:sz="2" w:space="0"/>
            </w:tcBorders>
            <w:vAlign w:val="top"/>
          </w:tcPr>
          <w:p w14:paraId="516178F2">
            <w:pPr>
              <w:pStyle w:val="6"/>
              <w:spacing w:before="37" w:line="220" w:lineRule="auto"/>
              <w:ind w:left="283"/>
              <w:rPr>
                <w:sz w:val="20"/>
                <w:szCs w:val="20"/>
              </w:rPr>
            </w:pPr>
            <w:r>
              <w:rPr>
                <w:spacing w:val="1"/>
                <w:sz w:val="20"/>
                <w:szCs w:val="20"/>
              </w:rPr>
              <w:t>砷</w:t>
            </w:r>
          </w:p>
        </w:tc>
        <w:tc>
          <w:tcPr>
            <w:tcW w:w="812" w:type="dxa"/>
            <w:tcBorders>
              <w:left w:val="single" w:color="000000" w:sz="2" w:space="0"/>
              <w:right w:val="single" w:color="000000" w:sz="2" w:space="0"/>
            </w:tcBorders>
            <w:vAlign w:val="top"/>
          </w:tcPr>
          <w:p w14:paraId="5302D989">
            <w:pPr>
              <w:pStyle w:val="6"/>
              <w:spacing w:before="37" w:line="220" w:lineRule="auto"/>
              <w:ind w:left="312"/>
              <w:rPr>
                <w:sz w:val="20"/>
                <w:szCs w:val="20"/>
              </w:rPr>
            </w:pPr>
            <w:r>
              <w:rPr>
                <w:spacing w:val="2"/>
                <w:sz w:val="20"/>
                <w:szCs w:val="20"/>
              </w:rPr>
              <w:t>镉</w:t>
            </w:r>
          </w:p>
        </w:tc>
        <w:tc>
          <w:tcPr>
            <w:tcW w:w="965" w:type="dxa"/>
            <w:tcBorders>
              <w:left w:val="single" w:color="000000" w:sz="2" w:space="0"/>
              <w:right w:val="single" w:color="000000" w:sz="2" w:space="0"/>
            </w:tcBorders>
            <w:vAlign w:val="top"/>
          </w:tcPr>
          <w:p w14:paraId="3FF8ADB2">
            <w:pPr>
              <w:pStyle w:val="6"/>
              <w:spacing w:before="37" w:line="220" w:lineRule="auto"/>
              <w:ind w:left="389"/>
              <w:rPr>
                <w:sz w:val="20"/>
                <w:szCs w:val="20"/>
              </w:rPr>
            </w:pPr>
            <w:r>
              <w:rPr>
                <w:spacing w:val="1"/>
                <w:sz w:val="20"/>
                <w:szCs w:val="20"/>
              </w:rPr>
              <w:t>镍</w:t>
            </w:r>
          </w:p>
        </w:tc>
        <w:tc>
          <w:tcPr>
            <w:tcW w:w="900" w:type="dxa"/>
            <w:tcBorders>
              <w:left w:val="single" w:color="000000" w:sz="2" w:space="0"/>
              <w:right w:val="single" w:color="000000" w:sz="2" w:space="0"/>
            </w:tcBorders>
            <w:vAlign w:val="top"/>
          </w:tcPr>
          <w:p w14:paraId="4387E142">
            <w:pPr>
              <w:pStyle w:val="6"/>
              <w:spacing w:before="37" w:line="220" w:lineRule="auto"/>
              <w:ind w:left="356"/>
              <w:rPr>
                <w:sz w:val="20"/>
                <w:szCs w:val="20"/>
              </w:rPr>
            </w:pPr>
            <w:r>
              <w:rPr>
                <w:sz w:val="20"/>
                <w:szCs w:val="20"/>
              </w:rPr>
              <w:t>铜</w:t>
            </w:r>
          </w:p>
        </w:tc>
        <w:tc>
          <w:tcPr>
            <w:tcW w:w="936" w:type="dxa"/>
            <w:tcBorders>
              <w:left w:val="single" w:color="000000" w:sz="2" w:space="0"/>
              <w:right w:val="single" w:color="000000" w:sz="2" w:space="0"/>
            </w:tcBorders>
            <w:vAlign w:val="top"/>
          </w:tcPr>
          <w:p w14:paraId="566002F5">
            <w:pPr>
              <w:pStyle w:val="6"/>
              <w:spacing w:before="37" w:line="220" w:lineRule="auto"/>
              <w:ind w:left="375"/>
              <w:rPr>
                <w:sz w:val="20"/>
                <w:szCs w:val="20"/>
              </w:rPr>
            </w:pPr>
            <w:r>
              <w:rPr>
                <w:sz w:val="20"/>
                <w:szCs w:val="20"/>
              </w:rPr>
              <w:t>铅</w:t>
            </w:r>
          </w:p>
        </w:tc>
        <w:tc>
          <w:tcPr>
            <w:tcW w:w="887" w:type="dxa"/>
            <w:tcBorders>
              <w:left w:val="single" w:color="000000" w:sz="2" w:space="0"/>
              <w:right w:val="single" w:color="000000" w:sz="2" w:space="0"/>
            </w:tcBorders>
            <w:vAlign w:val="top"/>
          </w:tcPr>
          <w:p w14:paraId="7F8CA811">
            <w:pPr>
              <w:pStyle w:val="6"/>
              <w:spacing w:before="37" w:line="220" w:lineRule="auto"/>
              <w:ind w:left="348"/>
              <w:rPr>
                <w:sz w:val="20"/>
                <w:szCs w:val="20"/>
              </w:rPr>
            </w:pPr>
            <w:r>
              <w:rPr>
                <w:spacing w:val="1"/>
                <w:sz w:val="20"/>
                <w:szCs w:val="20"/>
              </w:rPr>
              <w:t>铬</w:t>
            </w:r>
          </w:p>
        </w:tc>
        <w:tc>
          <w:tcPr>
            <w:tcW w:w="1061" w:type="dxa"/>
            <w:tcBorders>
              <w:left w:val="single" w:color="000000" w:sz="2" w:space="0"/>
              <w:right w:val="single" w:color="000000" w:sz="2" w:space="0"/>
            </w:tcBorders>
            <w:vAlign w:val="top"/>
          </w:tcPr>
          <w:p w14:paraId="374EE9BB">
            <w:pPr>
              <w:pStyle w:val="6"/>
              <w:spacing w:before="37" w:line="220" w:lineRule="auto"/>
              <w:ind w:left="438"/>
              <w:rPr>
                <w:sz w:val="20"/>
                <w:szCs w:val="20"/>
              </w:rPr>
            </w:pPr>
            <w:r>
              <w:rPr>
                <w:spacing w:val="1"/>
                <w:sz w:val="20"/>
                <w:szCs w:val="20"/>
              </w:rPr>
              <w:t>锌</w:t>
            </w:r>
          </w:p>
        </w:tc>
        <w:tc>
          <w:tcPr>
            <w:tcW w:w="1009" w:type="dxa"/>
            <w:tcBorders>
              <w:left w:val="single" w:color="000000" w:sz="2" w:space="0"/>
              <w:right w:val="nil"/>
            </w:tcBorders>
            <w:vAlign w:val="top"/>
          </w:tcPr>
          <w:p w14:paraId="523351A2">
            <w:pPr>
              <w:pStyle w:val="6"/>
              <w:spacing w:before="37" w:line="220" w:lineRule="auto"/>
              <w:ind w:left="413"/>
              <w:rPr>
                <w:sz w:val="20"/>
                <w:szCs w:val="20"/>
              </w:rPr>
            </w:pPr>
            <w:r>
              <w:rPr>
                <w:sz w:val="20"/>
                <w:szCs w:val="20"/>
              </w:rPr>
              <w:t>汞</w:t>
            </w:r>
          </w:p>
        </w:tc>
      </w:tr>
      <w:tr w14:paraId="250E72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80" w:type="dxa"/>
            <w:vMerge w:val="continue"/>
            <w:tcBorders>
              <w:top w:val="nil"/>
              <w:left w:val="nil"/>
            </w:tcBorders>
            <w:vAlign w:val="top"/>
          </w:tcPr>
          <w:p w14:paraId="7D7860DA">
            <w:pPr>
              <w:rPr>
                <w:rFonts w:ascii="Arial"/>
                <w:sz w:val="21"/>
              </w:rPr>
            </w:pPr>
          </w:p>
        </w:tc>
        <w:tc>
          <w:tcPr>
            <w:tcW w:w="922" w:type="dxa"/>
            <w:tcBorders>
              <w:right w:val="single" w:color="000000" w:sz="2" w:space="0"/>
            </w:tcBorders>
            <w:vAlign w:val="top"/>
          </w:tcPr>
          <w:p w14:paraId="18A87B37">
            <w:pPr>
              <w:pStyle w:val="6"/>
              <w:spacing w:before="41" w:line="217" w:lineRule="auto"/>
              <w:ind w:left="252"/>
              <w:rPr>
                <w:rFonts w:ascii="Times New Roman" w:hAnsi="Times New Roman" w:eastAsia="Times New Roman" w:cs="Times New Roman"/>
                <w:sz w:val="20"/>
                <w:szCs w:val="20"/>
              </w:rPr>
            </w:pPr>
            <w:r>
              <w:rPr>
                <w:spacing w:val="22"/>
                <w:w w:val="102"/>
                <w:sz w:val="20"/>
                <w:szCs w:val="20"/>
              </w:rPr>
              <w:t>&gt;</w:t>
            </w:r>
            <w:r>
              <w:rPr>
                <w:rFonts w:ascii="Times New Roman" w:hAnsi="Times New Roman" w:eastAsia="Times New Roman" w:cs="Times New Roman"/>
                <w:spacing w:val="22"/>
                <w:w w:val="102"/>
                <w:sz w:val="20"/>
                <w:szCs w:val="20"/>
              </w:rPr>
              <w:t>7.5</w:t>
            </w:r>
          </w:p>
        </w:tc>
        <w:tc>
          <w:tcPr>
            <w:tcW w:w="752" w:type="dxa"/>
            <w:tcBorders>
              <w:left w:val="single" w:color="000000" w:sz="2" w:space="0"/>
              <w:right w:val="single" w:color="000000" w:sz="2" w:space="0"/>
            </w:tcBorders>
            <w:vAlign w:val="top"/>
          </w:tcPr>
          <w:p w14:paraId="2493F825">
            <w:pPr>
              <w:spacing w:before="77" w:line="195" w:lineRule="auto"/>
              <w:ind w:left="2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812" w:type="dxa"/>
            <w:tcBorders>
              <w:left w:val="single" w:color="000000" w:sz="2" w:space="0"/>
              <w:right w:val="single" w:color="000000" w:sz="2" w:space="0"/>
            </w:tcBorders>
            <w:vAlign w:val="top"/>
          </w:tcPr>
          <w:p w14:paraId="6C336492">
            <w:pPr>
              <w:spacing w:before="77" w:line="195" w:lineRule="auto"/>
              <w:ind w:left="2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0.6</w:t>
            </w:r>
          </w:p>
        </w:tc>
        <w:tc>
          <w:tcPr>
            <w:tcW w:w="965" w:type="dxa"/>
            <w:tcBorders>
              <w:left w:val="single" w:color="000000" w:sz="2" w:space="0"/>
              <w:right w:val="single" w:color="000000" w:sz="2" w:space="0"/>
            </w:tcBorders>
            <w:vAlign w:val="top"/>
          </w:tcPr>
          <w:p w14:paraId="2587EE9F">
            <w:pPr>
              <w:spacing w:before="77" w:line="195" w:lineRule="auto"/>
              <w:ind w:left="35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190</w:t>
            </w:r>
          </w:p>
        </w:tc>
        <w:tc>
          <w:tcPr>
            <w:tcW w:w="900" w:type="dxa"/>
            <w:tcBorders>
              <w:left w:val="single" w:color="000000" w:sz="2" w:space="0"/>
              <w:right w:val="single" w:color="000000" w:sz="2" w:space="0"/>
            </w:tcBorders>
            <w:vAlign w:val="top"/>
          </w:tcPr>
          <w:p w14:paraId="216B445F">
            <w:pPr>
              <w:spacing w:before="77" w:line="195" w:lineRule="auto"/>
              <w:ind w:left="3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936" w:type="dxa"/>
            <w:tcBorders>
              <w:left w:val="single" w:color="000000" w:sz="2" w:space="0"/>
              <w:right w:val="single" w:color="000000" w:sz="2" w:space="0"/>
            </w:tcBorders>
            <w:vAlign w:val="top"/>
          </w:tcPr>
          <w:p w14:paraId="271FE673">
            <w:pPr>
              <w:spacing w:before="77" w:line="195" w:lineRule="auto"/>
              <w:ind w:left="3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170</w:t>
            </w:r>
          </w:p>
        </w:tc>
        <w:tc>
          <w:tcPr>
            <w:tcW w:w="887" w:type="dxa"/>
            <w:tcBorders>
              <w:left w:val="single" w:color="000000" w:sz="2" w:space="0"/>
              <w:right w:val="single" w:color="000000" w:sz="2" w:space="0"/>
            </w:tcBorders>
            <w:vAlign w:val="top"/>
          </w:tcPr>
          <w:p w14:paraId="1F2FFF84">
            <w:pPr>
              <w:spacing w:before="77" w:line="195"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c>
          <w:tcPr>
            <w:tcW w:w="1061" w:type="dxa"/>
            <w:tcBorders>
              <w:left w:val="single" w:color="000000" w:sz="2" w:space="0"/>
              <w:right w:val="single" w:color="000000" w:sz="2" w:space="0"/>
            </w:tcBorders>
            <w:vAlign w:val="top"/>
          </w:tcPr>
          <w:p w14:paraId="5EA29759">
            <w:pPr>
              <w:spacing w:before="77" w:line="195" w:lineRule="auto"/>
              <w:ind w:left="38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1009" w:type="dxa"/>
            <w:tcBorders>
              <w:left w:val="single" w:color="000000" w:sz="2" w:space="0"/>
              <w:right w:val="nil"/>
            </w:tcBorders>
            <w:vAlign w:val="top"/>
          </w:tcPr>
          <w:p w14:paraId="438BB1D2">
            <w:pPr>
              <w:spacing w:before="77" w:line="195" w:lineRule="auto"/>
              <w:ind w:left="38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w:t>
            </w:r>
          </w:p>
        </w:tc>
      </w:tr>
      <w:tr w14:paraId="21140D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80" w:type="dxa"/>
            <w:tcBorders>
              <w:left w:val="nil"/>
            </w:tcBorders>
            <w:vAlign w:val="top"/>
          </w:tcPr>
          <w:p w14:paraId="52D065E5">
            <w:pPr>
              <w:pStyle w:val="6"/>
              <w:spacing w:before="43" w:line="216" w:lineRule="auto"/>
              <w:ind w:left="349"/>
              <w:rPr>
                <w:sz w:val="20"/>
                <w:szCs w:val="20"/>
              </w:rPr>
            </w:pPr>
            <w:r>
              <w:rPr>
                <w:spacing w:val="2"/>
                <w:sz w:val="20"/>
                <w:szCs w:val="20"/>
              </w:rPr>
              <w:t>⑧</w:t>
            </w:r>
          </w:p>
        </w:tc>
        <w:tc>
          <w:tcPr>
            <w:tcW w:w="922" w:type="dxa"/>
            <w:tcBorders>
              <w:right w:val="single" w:color="000000" w:sz="2" w:space="0"/>
            </w:tcBorders>
            <w:vAlign w:val="top"/>
          </w:tcPr>
          <w:p w14:paraId="580C141F">
            <w:pPr>
              <w:spacing w:before="80"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8.16</w:t>
            </w:r>
          </w:p>
        </w:tc>
        <w:tc>
          <w:tcPr>
            <w:tcW w:w="752" w:type="dxa"/>
            <w:tcBorders>
              <w:left w:val="single" w:color="000000" w:sz="2" w:space="0"/>
              <w:right w:val="single" w:color="000000" w:sz="2" w:space="0"/>
            </w:tcBorders>
            <w:vAlign w:val="top"/>
          </w:tcPr>
          <w:p w14:paraId="3334FB6F">
            <w:pPr>
              <w:spacing w:before="80"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10.7</w:t>
            </w:r>
          </w:p>
        </w:tc>
        <w:tc>
          <w:tcPr>
            <w:tcW w:w="812" w:type="dxa"/>
            <w:tcBorders>
              <w:left w:val="single" w:color="000000" w:sz="2" w:space="0"/>
              <w:right w:val="single" w:color="000000" w:sz="2" w:space="0"/>
            </w:tcBorders>
            <w:vAlign w:val="top"/>
          </w:tcPr>
          <w:p w14:paraId="4D5C48E1">
            <w:pPr>
              <w:spacing w:before="80" w:line="195" w:lineRule="auto"/>
              <w:ind w:left="2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0.31</w:t>
            </w:r>
          </w:p>
        </w:tc>
        <w:tc>
          <w:tcPr>
            <w:tcW w:w="965" w:type="dxa"/>
            <w:tcBorders>
              <w:left w:val="single" w:color="000000" w:sz="2" w:space="0"/>
              <w:right w:val="single" w:color="000000" w:sz="2" w:space="0"/>
            </w:tcBorders>
            <w:vAlign w:val="top"/>
          </w:tcPr>
          <w:p w14:paraId="377F62C6">
            <w:pPr>
              <w:spacing w:before="80" w:line="195" w:lineRule="auto"/>
              <w:ind w:left="38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27</w:t>
            </w:r>
          </w:p>
        </w:tc>
        <w:tc>
          <w:tcPr>
            <w:tcW w:w="900" w:type="dxa"/>
            <w:tcBorders>
              <w:left w:val="single" w:color="000000" w:sz="2" w:space="0"/>
              <w:right w:val="single" w:color="000000" w:sz="2" w:space="0"/>
            </w:tcBorders>
            <w:vAlign w:val="top"/>
          </w:tcPr>
          <w:p w14:paraId="1DAF57D5">
            <w:pPr>
              <w:spacing w:before="80" w:line="195" w:lineRule="auto"/>
              <w:ind w:left="357"/>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936" w:type="dxa"/>
            <w:tcBorders>
              <w:left w:val="single" w:color="000000" w:sz="2" w:space="0"/>
              <w:right w:val="single" w:color="000000" w:sz="2" w:space="0"/>
            </w:tcBorders>
            <w:vAlign w:val="top"/>
          </w:tcPr>
          <w:p w14:paraId="25F3849A">
            <w:pPr>
              <w:spacing w:before="80"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21.0</w:t>
            </w:r>
          </w:p>
        </w:tc>
        <w:tc>
          <w:tcPr>
            <w:tcW w:w="887" w:type="dxa"/>
            <w:tcBorders>
              <w:left w:val="single" w:color="000000" w:sz="2" w:space="0"/>
              <w:right w:val="single" w:color="000000" w:sz="2" w:space="0"/>
            </w:tcBorders>
            <w:vAlign w:val="top"/>
          </w:tcPr>
          <w:p w14:paraId="2273DBD0">
            <w:pPr>
              <w:spacing w:before="81" w:line="195" w:lineRule="auto"/>
              <w:ind w:left="365"/>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11</w:t>
            </w:r>
          </w:p>
        </w:tc>
        <w:tc>
          <w:tcPr>
            <w:tcW w:w="1061" w:type="dxa"/>
            <w:tcBorders>
              <w:left w:val="single" w:color="000000" w:sz="2" w:space="0"/>
              <w:right w:val="single" w:color="000000" w:sz="2" w:space="0"/>
            </w:tcBorders>
            <w:vAlign w:val="top"/>
          </w:tcPr>
          <w:p w14:paraId="34E0CC03">
            <w:pPr>
              <w:spacing w:before="80" w:line="195" w:lineRule="auto"/>
              <w:ind w:left="439"/>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1009" w:type="dxa"/>
            <w:tcBorders>
              <w:left w:val="single" w:color="000000" w:sz="2" w:space="0"/>
              <w:right w:val="nil"/>
            </w:tcBorders>
            <w:vAlign w:val="top"/>
          </w:tcPr>
          <w:p w14:paraId="431F3102">
            <w:pPr>
              <w:spacing w:before="80" w:line="195" w:lineRule="auto"/>
              <w:ind w:left="2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0.091</w:t>
            </w:r>
          </w:p>
        </w:tc>
      </w:tr>
      <w:tr w14:paraId="464A7E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80" w:type="dxa"/>
            <w:tcBorders>
              <w:left w:val="nil"/>
            </w:tcBorders>
            <w:vAlign w:val="top"/>
          </w:tcPr>
          <w:p w14:paraId="5340EEF1">
            <w:pPr>
              <w:pStyle w:val="6"/>
              <w:spacing w:before="45" w:line="214" w:lineRule="auto"/>
              <w:ind w:left="349"/>
              <w:rPr>
                <w:sz w:val="20"/>
                <w:szCs w:val="20"/>
              </w:rPr>
            </w:pPr>
            <w:r>
              <w:rPr>
                <w:spacing w:val="2"/>
                <w:sz w:val="20"/>
                <w:szCs w:val="20"/>
              </w:rPr>
              <w:t>⑨</w:t>
            </w:r>
          </w:p>
        </w:tc>
        <w:tc>
          <w:tcPr>
            <w:tcW w:w="922" w:type="dxa"/>
            <w:tcBorders>
              <w:right w:val="single" w:color="000000" w:sz="2" w:space="0"/>
            </w:tcBorders>
            <w:vAlign w:val="top"/>
          </w:tcPr>
          <w:p w14:paraId="5C1FC388">
            <w:pPr>
              <w:spacing w:before="81"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8.19</w:t>
            </w:r>
          </w:p>
        </w:tc>
        <w:tc>
          <w:tcPr>
            <w:tcW w:w="752" w:type="dxa"/>
            <w:tcBorders>
              <w:left w:val="single" w:color="000000" w:sz="2" w:space="0"/>
              <w:right w:val="single" w:color="000000" w:sz="2" w:space="0"/>
            </w:tcBorders>
            <w:vAlign w:val="top"/>
          </w:tcPr>
          <w:p w14:paraId="5B33E073">
            <w:pPr>
              <w:spacing w:before="81"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11.6</w:t>
            </w:r>
          </w:p>
        </w:tc>
        <w:tc>
          <w:tcPr>
            <w:tcW w:w="812" w:type="dxa"/>
            <w:tcBorders>
              <w:left w:val="single" w:color="000000" w:sz="2" w:space="0"/>
              <w:right w:val="single" w:color="000000" w:sz="2" w:space="0"/>
            </w:tcBorders>
            <w:vAlign w:val="top"/>
          </w:tcPr>
          <w:p w14:paraId="60A50836">
            <w:pPr>
              <w:spacing w:before="81" w:line="195" w:lineRule="auto"/>
              <w:ind w:left="2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0.36</w:t>
            </w:r>
          </w:p>
        </w:tc>
        <w:tc>
          <w:tcPr>
            <w:tcW w:w="965" w:type="dxa"/>
            <w:tcBorders>
              <w:left w:val="single" w:color="000000" w:sz="2" w:space="0"/>
              <w:right w:val="single" w:color="000000" w:sz="2" w:space="0"/>
            </w:tcBorders>
            <w:vAlign w:val="top"/>
          </w:tcPr>
          <w:p w14:paraId="66A45295">
            <w:pPr>
              <w:spacing w:before="81" w:line="195" w:lineRule="auto"/>
              <w:ind w:left="38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900" w:type="dxa"/>
            <w:tcBorders>
              <w:left w:val="single" w:color="000000" w:sz="2" w:space="0"/>
              <w:right w:val="single" w:color="000000" w:sz="2" w:space="0"/>
            </w:tcBorders>
            <w:vAlign w:val="top"/>
          </w:tcPr>
          <w:p w14:paraId="6C626AC4">
            <w:pPr>
              <w:spacing w:before="81" w:line="195" w:lineRule="auto"/>
              <w:ind w:left="357"/>
              <w:rPr>
                <w:rFonts w:ascii="Times New Roman" w:hAnsi="Times New Roman" w:eastAsia="Times New Roman" w:cs="Times New Roman"/>
                <w:sz w:val="20"/>
                <w:szCs w:val="20"/>
              </w:rPr>
            </w:pPr>
            <w:r>
              <w:rPr>
                <w:rFonts w:ascii="Times New Roman" w:hAnsi="Times New Roman" w:eastAsia="Times New Roman" w:cs="Times New Roman"/>
                <w:sz w:val="20"/>
                <w:szCs w:val="20"/>
              </w:rPr>
              <w:t>31</w:t>
            </w:r>
          </w:p>
        </w:tc>
        <w:tc>
          <w:tcPr>
            <w:tcW w:w="936" w:type="dxa"/>
            <w:tcBorders>
              <w:left w:val="single" w:color="000000" w:sz="2" w:space="0"/>
              <w:right w:val="single" w:color="000000" w:sz="2" w:space="0"/>
            </w:tcBorders>
            <w:vAlign w:val="top"/>
          </w:tcPr>
          <w:p w14:paraId="3071F13D">
            <w:pPr>
              <w:spacing w:before="81"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29.0</w:t>
            </w:r>
          </w:p>
        </w:tc>
        <w:tc>
          <w:tcPr>
            <w:tcW w:w="887" w:type="dxa"/>
            <w:tcBorders>
              <w:left w:val="single" w:color="000000" w:sz="2" w:space="0"/>
              <w:right w:val="single" w:color="000000" w:sz="2" w:space="0"/>
            </w:tcBorders>
            <w:vAlign w:val="top"/>
          </w:tcPr>
          <w:p w14:paraId="350859A0">
            <w:pPr>
              <w:spacing w:before="81" w:line="195" w:lineRule="auto"/>
              <w:ind w:left="365"/>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19</w:t>
            </w:r>
          </w:p>
        </w:tc>
        <w:tc>
          <w:tcPr>
            <w:tcW w:w="1061" w:type="dxa"/>
            <w:tcBorders>
              <w:left w:val="single" w:color="000000" w:sz="2" w:space="0"/>
              <w:right w:val="single" w:color="000000" w:sz="2" w:space="0"/>
            </w:tcBorders>
            <w:vAlign w:val="top"/>
          </w:tcPr>
          <w:p w14:paraId="7E675F47">
            <w:pPr>
              <w:spacing w:before="81" w:line="195" w:lineRule="auto"/>
              <w:ind w:left="441"/>
              <w:rPr>
                <w:rFonts w:ascii="Times New Roman" w:hAnsi="Times New Roman" w:eastAsia="Times New Roman" w:cs="Times New Roman"/>
                <w:sz w:val="20"/>
                <w:szCs w:val="20"/>
              </w:rPr>
            </w:pPr>
            <w:r>
              <w:rPr>
                <w:rFonts w:ascii="Times New Roman" w:hAnsi="Times New Roman" w:eastAsia="Times New Roman" w:cs="Times New Roman"/>
                <w:sz w:val="20"/>
                <w:szCs w:val="20"/>
              </w:rPr>
              <w:t>56</w:t>
            </w:r>
          </w:p>
        </w:tc>
        <w:tc>
          <w:tcPr>
            <w:tcW w:w="1009" w:type="dxa"/>
            <w:tcBorders>
              <w:left w:val="single" w:color="000000" w:sz="2" w:space="0"/>
              <w:right w:val="nil"/>
            </w:tcBorders>
            <w:vAlign w:val="top"/>
          </w:tcPr>
          <w:p w14:paraId="3687F12F">
            <w:pPr>
              <w:spacing w:before="81" w:line="195" w:lineRule="auto"/>
              <w:ind w:left="2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0.063</w:t>
            </w:r>
          </w:p>
        </w:tc>
      </w:tr>
      <w:tr w14:paraId="196BB8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 w:hRule="atLeast"/>
        </w:trPr>
        <w:tc>
          <w:tcPr>
            <w:tcW w:w="880" w:type="dxa"/>
            <w:vMerge w:val="restart"/>
            <w:tcBorders>
              <w:left w:val="nil"/>
              <w:bottom w:val="nil"/>
            </w:tcBorders>
            <w:vAlign w:val="top"/>
          </w:tcPr>
          <w:p w14:paraId="6901C1D2">
            <w:pPr>
              <w:pStyle w:val="6"/>
              <w:spacing w:before="197" w:line="228" w:lineRule="auto"/>
              <w:ind w:left="246"/>
              <w:rPr>
                <w:sz w:val="20"/>
                <w:szCs w:val="20"/>
              </w:rPr>
            </w:pPr>
            <w:r>
              <w:rPr>
                <w:spacing w:val="4"/>
                <w:sz w:val="20"/>
                <w:szCs w:val="20"/>
              </w:rPr>
              <w:t>标准</w:t>
            </w:r>
          </w:p>
        </w:tc>
        <w:tc>
          <w:tcPr>
            <w:tcW w:w="922" w:type="dxa"/>
            <w:tcBorders>
              <w:right w:val="single" w:color="000000" w:sz="2" w:space="0"/>
            </w:tcBorders>
            <w:vAlign w:val="top"/>
          </w:tcPr>
          <w:p w14:paraId="1EF0DFC8">
            <w:pPr>
              <w:spacing w:before="87" w:line="194" w:lineRule="auto"/>
              <w:ind w:left="333"/>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pH</w:t>
            </w:r>
          </w:p>
        </w:tc>
        <w:tc>
          <w:tcPr>
            <w:tcW w:w="752" w:type="dxa"/>
            <w:tcBorders>
              <w:left w:val="single" w:color="000000" w:sz="2" w:space="0"/>
              <w:right w:val="single" w:color="000000" w:sz="2" w:space="0"/>
            </w:tcBorders>
            <w:vAlign w:val="top"/>
          </w:tcPr>
          <w:p w14:paraId="11B32177">
            <w:pPr>
              <w:pStyle w:val="6"/>
              <w:spacing w:before="46" w:line="212" w:lineRule="auto"/>
              <w:ind w:left="283"/>
              <w:rPr>
                <w:sz w:val="20"/>
                <w:szCs w:val="20"/>
              </w:rPr>
            </w:pPr>
            <w:r>
              <w:rPr>
                <w:spacing w:val="1"/>
                <w:sz w:val="20"/>
                <w:szCs w:val="20"/>
              </w:rPr>
              <w:t>砷</w:t>
            </w:r>
          </w:p>
        </w:tc>
        <w:tc>
          <w:tcPr>
            <w:tcW w:w="812" w:type="dxa"/>
            <w:tcBorders>
              <w:left w:val="single" w:color="000000" w:sz="2" w:space="0"/>
              <w:right w:val="single" w:color="000000" w:sz="2" w:space="0"/>
            </w:tcBorders>
            <w:vAlign w:val="top"/>
          </w:tcPr>
          <w:p w14:paraId="69C6AF9A">
            <w:pPr>
              <w:pStyle w:val="6"/>
              <w:spacing w:before="46" w:line="212" w:lineRule="auto"/>
              <w:ind w:left="312"/>
              <w:rPr>
                <w:sz w:val="20"/>
                <w:szCs w:val="20"/>
              </w:rPr>
            </w:pPr>
            <w:r>
              <w:rPr>
                <w:spacing w:val="2"/>
                <w:sz w:val="20"/>
                <w:szCs w:val="20"/>
              </w:rPr>
              <w:t>镉</w:t>
            </w:r>
          </w:p>
        </w:tc>
        <w:tc>
          <w:tcPr>
            <w:tcW w:w="965" w:type="dxa"/>
            <w:tcBorders>
              <w:left w:val="single" w:color="000000" w:sz="2" w:space="0"/>
              <w:right w:val="single" w:color="000000" w:sz="2" w:space="0"/>
            </w:tcBorders>
            <w:vAlign w:val="top"/>
          </w:tcPr>
          <w:p w14:paraId="43D03A9D">
            <w:pPr>
              <w:pStyle w:val="6"/>
              <w:spacing w:before="46" w:line="212" w:lineRule="auto"/>
              <w:ind w:left="389"/>
              <w:rPr>
                <w:sz w:val="20"/>
                <w:szCs w:val="20"/>
              </w:rPr>
            </w:pPr>
            <w:r>
              <w:rPr>
                <w:spacing w:val="1"/>
                <w:sz w:val="20"/>
                <w:szCs w:val="20"/>
              </w:rPr>
              <w:t>镍</w:t>
            </w:r>
          </w:p>
        </w:tc>
        <w:tc>
          <w:tcPr>
            <w:tcW w:w="900" w:type="dxa"/>
            <w:tcBorders>
              <w:left w:val="single" w:color="000000" w:sz="2" w:space="0"/>
              <w:right w:val="single" w:color="000000" w:sz="2" w:space="0"/>
            </w:tcBorders>
            <w:vAlign w:val="top"/>
          </w:tcPr>
          <w:p w14:paraId="30F13813">
            <w:pPr>
              <w:pStyle w:val="6"/>
              <w:spacing w:before="46" w:line="212" w:lineRule="auto"/>
              <w:ind w:left="356"/>
              <w:rPr>
                <w:sz w:val="20"/>
                <w:szCs w:val="20"/>
              </w:rPr>
            </w:pPr>
            <w:r>
              <w:rPr>
                <w:sz w:val="20"/>
                <w:szCs w:val="20"/>
              </w:rPr>
              <w:t>铜</w:t>
            </w:r>
          </w:p>
        </w:tc>
        <w:tc>
          <w:tcPr>
            <w:tcW w:w="936" w:type="dxa"/>
            <w:tcBorders>
              <w:left w:val="single" w:color="000000" w:sz="2" w:space="0"/>
              <w:right w:val="single" w:color="000000" w:sz="2" w:space="0"/>
            </w:tcBorders>
            <w:vAlign w:val="top"/>
          </w:tcPr>
          <w:p w14:paraId="71CAD0C4">
            <w:pPr>
              <w:pStyle w:val="6"/>
              <w:spacing w:before="46" w:line="212" w:lineRule="auto"/>
              <w:ind w:left="375"/>
              <w:rPr>
                <w:sz w:val="20"/>
                <w:szCs w:val="20"/>
              </w:rPr>
            </w:pPr>
            <w:r>
              <w:rPr>
                <w:sz w:val="20"/>
                <w:szCs w:val="20"/>
              </w:rPr>
              <w:t>铅</w:t>
            </w:r>
          </w:p>
        </w:tc>
        <w:tc>
          <w:tcPr>
            <w:tcW w:w="887" w:type="dxa"/>
            <w:tcBorders>
              <w:left w:val="single" w:color="000000" w:sz="2" w:space="0"/>
              <w:right w:val="single" w:color="000000" w:sz="2" w:space="0"/>
            </w:tcBorders>
            <w:vAlign w:val="top"/>
          </w:tcPr>
          <w:p w14:paraId="600023BD">
            <w:pPr>
              <w:pStyle w:val="6"/>
              <w:spacing w:before="46" w:line="212" w:lineRule="auto"/>
              <w:ind w:left="348"/>
              <w:rPr>
                <w:sz w:val="20"/>
                <w:szCs w:val="20"/>
              </w:rPr>
            </w:pPr>
            <w:r>
              <w:rPr>
                <w:spacing w:val="1"/>
                <w:sz w:val="20"/>
                <w:szCs w:val="20"/>
              </w:rPr>
              <w:t>铬</w:t>
            </w:r>
          </w:p>
        </w:tc>
        <w:tc>
          <w:tcPr>
            <w:tcW w:w="1061" w:type="dxa"/>
            <w:tcBorders>
              <w:left w:val="single" w:color="000000" w:sz="2" w:space="0"/>
              <w:right w:val="single" w:color="000000" w:sz="2" w:space="0"/>
            </w:tcBorders>
            <w:vAlign w:val="top"/>
          </w:tcPr>
          <w:p w14:paraId="227356E7">
            <w:pPr>
              <w:pStyle w:val="6"/>
              <w:spacing w:before="46" w:line="212" w:lineRule="auto"/>
              <w:ind w:left="438"/>
              <w:rPr>
                <w:sz w:val="20"/>
                <w:szCs w:val="20"/>
              </w:rPr>
            </w:pPr>
            <w:r>
              <w:rPr>
                <w:spacing w:val="1"/>
                <w:sz w:val="20"/>
                <w:szCs w:val="20"/>
              </w:rPr>
              <w:t>锌</w:t>
            </w:r>
          </w:p>
        </w:tc>
        <w:tc>
          <w:tcPr>
            <w:tcW w:w="1009" w:type="dxa"/>
            <w:tcBorders>
              <w:left w:val="single" w:color="000000" w:sz="2" w:space="0"/>
              <w:right w:val="nil"/>
            </w:tcBorders>
            <w:vAlign w:val="top"/>
          </w:tcPr>
          <w:p w14:paraId="16BEF21C">
            <w:pPr>
              <w:pStyle w:val="6"/>
              <w:spacing w:before="46" w:line="212" w:lineRule="auto"/>
              <w:ind w:left="413"/>
              <w:rPr>
                <w:sz w:val="20"/>
                <w:szCs w:val="20"/>
              </w:rPr>
            </w:pPr>
            <w:r>
              <w:rPr>
                <w:sz w:val="20"/>
                <w:szCs w:val="20"/>
              </w:rPr>
              <w:t>汞</w:t>
            </w:r>
          </w:p>
        </w:tc>
      </w:tr>
      <w:tr w14:paraId="153624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80" w:type="dxa"/>
            <w:vMerge w:val="continue"/>
            <w:tcBorders>
              <w:top w:val="nil"/>
              <w:left w:val="nil"/>
            </w:tcBorders>
            <w:vAlign w:val="top"/>
          </w:tcPr>
          <w:p w14:paraId="7124135D">
            <w:pPr>
              <w:rPr>
                <w:rFonts w:ascii="Arial"/>
                <w:sz w:val="21"/>
              </w:rPr>
            </w:pPr>
          </w:p>
        </w:tc>
        <w:tc>
          <w:tcPr>
            <w:tcW w:w="922" w:type="dxa"/>
            <w:tcBorders>
              <w:right w:val="single" w:color="000000" w:sz="2" w:space="0"/>
            </w:tcBorders>
            <w:vAlign w:val="top"/>
          </w:tcPr>
          <w:p w14:paraId="338B6CD0">
            <w:pPr>
              <w:pStyle w:val="6"/>
              <w:spacing w:before="50" w:line="209" w:lineRule="auto"/>
              <w:ind w:left="252"/>
              <w:rPr>
                <w:rFonts w:ascii="Times New Roman" w:hAnsi="Times New Roman" w:eastAsia="Times New Roman" w:cs="Times New Roman"/>
                <w:sz w:val="20"/>
                <w:szCs w:val="20"/>
              </w:rPr>
            </w:pPr>
            <w:r>
              <w:rPr>
                <w:spacing w:val="22"/>
                <w:w w:val="102"/>
                <w:sz w:val="20"/>
                <w:szCs w:val="20"/>
              </w:rPr>
              <w:t>&gt;</w:t>
            </w:r>
            <w:r>
              <w:rPr>
                <w:rFonts w:ascii="Times New Roman" w:hAnsi="Times New Roman" w:eastAsia="Times New Roman" w:cs="Times New Roman"/>
                <w:spacing w:val="22"/>
                <w:w w:val="102"/>
                <w:sz w:val="20"/>
                <w:szCs w:val="20"/>
              </w:rPr>
              <w:t>7.5</w:t>
            </w:r>
          </w:p>
        </w:tc>
        <w:tc>
          <w:tcPr>
            <w:tcW w:w="752" w:type="dxa"/>
            <w:tcBorders>
              <w:left w:val="single" w:color="000000" w:sz="2" w:space="0"/>
              <w:right w:val="single" w:color="000000" w:sz="2" w:space="0"/>
            </w:tcBorders>
            <w:vAlign w:val="top"/>
          </w:tcPr>
          <w:p w14:paraId="13B98D1F">
            <w:pPr>
              <w:spacing w:before="86" w:line="195" w:lineRule="auto"/>
              <w:ind w:left="2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812" w:type="dxa"/>
            <w:tcBorders>
              <w:left w:val="single" w:color="000000" w:sz="2" w:space="0"/>
              <w:right w:val="single" w:color="000000" w:sz="2" w:space="0"/>
            </w:tcBorders>
            <w:vAlign w:val="top"/>
          </w:tcPr>
          <w:p w14:paraId="4CD1C240">
            <w:pPr>
              <w:spacing w:before="86" w:line="195" w:lineRule="auto"/>
              <w:ind w:left="2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0.6</w:t>
            </w:r>
          </w:p>
        </w:tc>
        <w:tc>
          <w:tcPr>
            <w:tcW w:w="965" w:type="dxa"/>
            <w:tcBorders>
              <w:left w:val="single" w:color="000000" w:sz="2" w:space="0"/>
              <w:right w:val="single" w:color="000000" w:sz="2" w:space="0"/>
            </w:tcBorders>
            <w:vAlign w:val="top"/>
          </w:tcPr>
          <w:p w14:paraId="022FD55D">
            <w:pPr>
              <w:spacing w:before="86" w:line="195" w:lineRule="auto"/>
              <w:ind w:left="35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190</w:t>
            </w:r>
          </w:p>
        </w:tc>
        <w:tc>
          <w:tcPr>
            <w:tcW w:w="900" w:type="dxa"/>
            <w:tcBorders>
              <w:left w:val="single" w:color="000000" w:sz="2" w:space="0"/>
              <w:right w:val="single" w:color="000000" w:sz="2" w:space="0"/>
            </w:tcBorders>
            <w:vAlign w:val="top"/>
          </w:tcPr>
          <w:p w14:paraId="22142ED9">
            <w:pPr>
              <w:spacing w:before="86" w:line="195" w:lineRule="auto"/>
              <w:ind w:left="3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936" w:type="dxa"/>
            <w:tcBorders>
              <w:left w:val="single" w:color="000000" w:sz="2" w:space="0"/>
              <w:right w:val="single" w:color="000000" w:sz="2" w:space="0"/>
            </w:tcBorders>
            <w:vAlign w:val="top"/>
          </w:tcPr>
          <w:p w14:paraId="647222EE">
            <w:pPr>
              <w:spacing w:before="86" w:line="195" w:lineRule="auto"/>
              <w:ind w:left="3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170</w:t>
            </w:r>
          </w:p>
        </w:tc>
        <w:tc>
          <w:tcPr>
            <w:tcW w:w="887" w:type="dxa"/>
            <w:tcBorders>
              <w:left w:val="single" w:color="000000" w:sz="2" w:space="0"/>
              <w:right w:val="single" w:color="000000" w:sz="2" w:space="0"/>
            </w:tcBorders>
            <w:vAlign w:val="top"/>
          </w:tcPr>
          <w:p w14:paraId="1D769AB3">
            <w:pPr>
              <w:spacing w:before="86" w:line="195"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c>
          <w:tcPr>
            <w:tcW w:w="1061" w:type="dxa"/>
            <w:tcBorders>
              <w:left w:val="single" w:color="000000" w:sz="2" w:space="0"/>
              <w:right w:val="single" w:color="000000" w:sz="2" w:space="0"/>
            </w:tcBorders>
            <w:vAlign w:val="top"/>
          </w:tcPr>
          <w:p w14:paraId="2228F2AA">
            <w:pPr>
              <w:spacing w:before="86" w:line="195" w:lineRule="auto"/>
              <w:ind w:left="38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1009" w:type="dxa"/>
            <w:tcBorders>
              <w:left w:val="single" w:color="000000" w:sz="2" w:space="0"/>
              <w:right w:val="nil"/>
            </w:tcBorders>
            <w:vAlign w:val="top"/>
          </w:tcPr>
          <w:p w14:paraId="35E469DC">
            <w:pPr>
              <w:spacing w:before="86" w:line="195" w:lineRule="auto"/>
              <w:ind w:left="38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w:t>
            </w:r>
          </w:p>
        </w:tc>
      </w:tr>
      <w:tr w14:paraId="658AB3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80" w:type="dxa"/>
            <w:tcBorders>
              <w:left w:val="nil"/>
            </w:tcBorders>
            <w:vAlign w:val="top"/>
          </w:tcPr>
          <w:p w14:paraId="596FCE09">
            <w:pPr>
              <w:pStyle w:val="6"/>
              <w:spacing w:before="52" w:line="207" w:lineRule="auto"/>
              <w:ind w:left="349"/>
              <w:rPr>
                <w:sz w:val="20"/>
                <w:szCs w:val="20"/>
              </w:rPr>
            </w:pPr>
            <w:r>
              <w:rPr>
                <w:spacing w:val="2"/>
                <w:sz w:val="20"/>
                <w:szCs w:val="20"/>
              </w:rPr>
              <w:t>⑩</w:t>
            </w:r>
          </w:p>
        </w:tc>
        <w:tc>
          <w:tcPr>
            <w:tcW w:w="922" w:type="dxa"/>
            <w:tcBorders>
              <w:right w:val="single" w:color="000000" w:sz="2" w:space="0"/>
            </w:tcBorders>
            <w:vAlign w:val="top"/>
          </w:tcPr>
          <w:p w14:paraId="307B6C94">
            <w:pPr>
              <w:spacing w:before="89"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8.03</w:t>
            </w:r>
          </w:p>
        </w:tc>
        <w:tc>
          <w:tcPr>
            <w:tcW w:w="752" w:type="dxa"/>
            <w:tcBorders>
              <w:left w:val="single" w:color="000000" w:sz="2" w:space="0"/>
              <w:right w:val="single" w:color="000000" w:sz="2" w:space="0"/>
            </w:tcBorders>
            <w:vAlign w:val="top"/>
          </w:tcPr>
          <w:p w14:paraId="1BB1FD13">
            <w:pPr>
              <w:spacing w:before="89"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10.9</w:t>
            </w:r>
          </w:p>
        </w:tc>
        <w:tc>
          <w:tcPr>
            <w:tcW w:w="812" w:type="dxa"/>
            <w:tcBorders>
              <w:left w:val="single" w:color="000000" w:sz="2" w:space="0"/>
              <w:right w:val="single" w:color="000000" w:sz="2" w:space="0"/>
            </w:tcBorders>
            <w:vAlign w:val="top"/>
          </w:tcPr>
          <w:p w14:paraId="15ECC74F">
            <w:pPr>
              <w:spacing w:before="89" w:line="195" w:lineRule="auto"/>
              <w:ind w:left="2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0.43</w:t>
            </w:r>
          </w:p>
        </w:tc>
        <w:tc>
          <w:tcPr>
            <w:tcW w:w="965" w:type="dxa"/>
            <w:tcBorders>
              <w:left w:val="single" w:color="000000" w:sz="2" w:space="0"/>
              <w:right w:val="single" w:color="000000" w:sz="2" w:space="0"/>
            </w:tcBorders>
            <w:vAlign w:val="top"/>
          </w:tcPr>
          <w:p w14:paraId="3244494D">
            <w:pPr>
              <w:spacing w:before="89" w:line="195" w:lineRule="auto"/>
              <w:ind w:left="390"/>
              <w:rPr>
                <w:rFonts w:ascii="Times New Roman" w:hAnsi="Times New Roman" w:eastAsia="Times New Roman" w:cs="Times New Roman"/>
                <w:sz w:val="20"/>
                <w:szCs w:val="20"/>
              </w:rPr>
            </w:pPr>
            <w:r>
              <w:rPr>
                <w:rFonts w:ascii="Times New Roman" w:hAnsi="Times New Roman" w:eastAsia="Times New Roman" w:cs="Times New Roman"/>
                <w:sz w:val="20"/>
                <w:szCs w:val="20"/>
              </w:rPr>
              <w:t>38</w:t>
            </w:r>
          </w:p>
        </w:tc>
        <w:tc>
          <w:tcPr>
            <w:tcW w:w="900" w:type="dxa"/>
            <w:tcBorders>
              <w:left w:val="single" w:color="000000" w:sz="2" w:space="0"/>
              <w:right w:val="single" w:color="000000" w:sz="2" w:space="0"/>
            </w:tcBorders>
            <w:vAlign w:val="top"/>
          </w:tcPr>
          <w:p w14:paraId="27B30E03">
            <w:pPr>
              <w:spacing w:before="89" w:line="195" w:lineRule="auto"/>
              <w:ind w:left="35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936" w:type="dxa"/>
            <w:tcBorders>
              <w:left w:val="single" w:color="000000" w:sz="2" w:space="0"/>
              <w:right w:val="single" w:color="000000" w:sz="2" w:space="0"/>
            </w:tcBorders>
            <w:vAlign w:val="top"/>
          </w:tcPr>
          <w:p w14:paraId="4102AA30">
            <w:pPr>
              <w:spacing w:before="89"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20.6</w:t>
            </w:r>
          </w:p>
        </w:tc>
        <w:tc>
          <w:tcPr>
            <w:tcW w:w="887" w:type="dxa"/>
            <w:tcBorders>
              <w:left w:val="single" w:color="000000" w:sz="2" w:space="0"/>
              <w:right w:val="single" w:color="000000" w:sz="2" w:space="0"/>
            </w:tcBorders>
            <w:vAlign w:val="top"/>
          </w:tcPr>
          <w:p w14:paraId="019A9FDD">
            <w:pPr>
              <w:spacing w:before="89" w:line="195" w:lineRule="auto"/>
              <w:ind w:left="3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21</w:t>
            </w:r>
          </w:p>
        </w:tc>
        <w:tc>
          <w:tcPr>
            <w:tcW w:w="1061" w:type="dxa"/>
            <w:tcBorders>
              <w:left w:val="single" w:color="000000" w:sz="2" w:space="0"/>
              <w:right w:val="single" w:color="000000" w:sz="2" w:space="0"/>
            </w:tcBorders>
            <w:vAlign w:val="top"/>
          </w:tcPr>
          <w:p w14:paraId="638AA080">
            <w:pPr>
              <w:spacing w:before="89" w:line="195" w:lineRule="auto"/>
              <w:ind w:left="440"/>
              <w:rPr>
                <w:rFonts w:ascii="Times New Roman" w:hAnsi="Times New Roman" w:eastAsia="Times New Roman" w:cs="Times New Roman"/>
                <w:sz w:val="20"/>
                <w:szCs w:val="20"/>
              </w:rPr>
            </w:pPr>
            <w:r>
              <w:rPr>
                <w:rFonts w:ascii="Times New Roman" w:hAnsi="Times New Roman" w:eastAsia="Times New Roman" w:cs="Times New Roman"/>
                <w:sz w:val="20"/>
                <w:szCs w:val="20"/>
              </w:rPr>
              <w:t>63</w:t>
            </w:r>
          </w:p>
        </w:tc>
        <w:tc>
          <w:tcPr>
            <w:tcW w:w="1009" w:type="dxa"/>
            <w:tcBorders>
              <w:left w:val="single" w:color="000000" w:sz="2" w:space="0"/>
              <w:right w:val="nil"/>
            </w:tcBorders>
            <w:vAlign w:val="top"/>
          </w:tcPr>
          <w:p w14:paraId="3EC75B2B">
            <w:pPr>
              <w:spacing w:before="89" w:line="195" w:lineRule="auto"/>
              <w:ind w:left="2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0.089</w:t>
            </w:r>
          </w:p>
        </w:tc>
      </w:tr>
      <w:tr w14:paraId="52F210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80" w:type="dxa"/>
            <w:tcBorders>
              <w:left w:val="nil"/>
            </w:tcBorders>
            <w:vAlign w:val="top"/>
          </w:tcPr>
          <w:p w14:paraId="5CF173A6">
            <w:pPr>
              <w:spacing w:before="48" w:line="234" w:lineRule="auto"/>
              <w:ind w:left="331"/>
              <w:rPr>
                <w:rFonts w:ascii="Cambria Math" w:hAnsi="Cambria Math" w:eastAsia="Cambria Math" w:cs="Cambria Math"/>
                <w:sz w:val="20"/>
                <w:szCs w:val="20"/>
              </w:rPr>
            </w:pPr>
            <w:r>
              <w:rPr>
                <w:rFonts w:ascii="Cambria Math" w:hAnsi="Cambria Math" w:eastAsia="Cambria Math" w:cs="Cambria Math"/>
                <w:spacing w:val="27"/>
                <w:w w:val="125"/>
                <w:sz w:val="20"/>
                <w:szCs w:val="20"/>
              </w:rPr>
              <w:t>®</w:t>
            </w:r>
          </w:p>
        </w:tc>
        <w:tc>
          <w:tcPr>
            <w:tcW w:w="922" w:type="dxa"/>
            <w:tcBorders>
              <w:right w:val="single" w:color="000000" w:sz="2" w:space="0"/>
            </w:tcBorders>
            <w:vAlign w:val="top"/>
          </w:tcPr>
          <w:p w14:paraId="4D72B3D8">
            <w:pPr>
              <w:spacing w:before="92" w:line="193"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7.89</w:t>
            </w:r>
          </w:p>
        </w:tc>
        <w:tc>
          <w:tcPr>
            <w:tcW w:w="752" w:type="dxa"/>
            <w:tcBorders>
              <w:left w:val="single" w:color="000000" w:sz="2" w:space="0"/>
              <w:right w:val="single" w:color="000000" w:sz="2" w:space="0"/>
            </w:tcBorders>
            <w:vAlign w:val="top"/>
          </w:tcPr>
          <w:p w14:paraId="12E6B5E2">
            <w:pPr>
              <w:spacing w:before="92" w:line="193"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13.6</w:t>
            </w:r>
          </w:p>
        </w:tc>
        <w:tc>
          <w:tcPr>
            <w:tcW w:w="812" w:type="dxa"/>
            <w:tcBorders>
              <w:left w:val="single" w:color="000000" w:sz="2" w:space="0"/>
              <w:right w:val="single" w:color="000000" w:sz="2" w:space="0"/>
            </w:tcBorders>
            <w:vAlign w:val="top"/>
          </w:tcPr>
          <w:p w14:paraId="058AD7D6">
            <w:pPr>
              <w:spacing w:before="92" w:line="193" w:lineRule="auto"/>
              <w:ind w:left="2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0.39</w:t>
            </w:r>
          </w:p>
        </w:tc>
        <w:tc>
          <w:tcPr>
            <w:tcW w:w="965" w:type="dxa"/>
            <w:tcBorders>
              <w:left w:val="single" w:color="000000" w:sz="2" w:space="0"/>
              <w:right w:val="single" w:color="000000" w:sz="2" w:space="0"/>
            </w:tcBorders>
            <w:vAlign w:val="top"/>
          </w:tcPr>
          <w:p w14:paraId="024BB7E3">
            <w:pPr>
              <w:spacing w:before="92" w:line="193" w:lineRule="auto"/>
              <w:ind w:left="390"/>
              <w:rPr>
                <w:rFonts w:ascii="Times New Roman" w:hAnsi="Times New Roman" w:eastAsia="Times New Roman" w:cs="Times New Roman"/>
                <w:sz w:val="20"/>
                <w:szCs w:val="20"/>
              </w:rPr>
            </w:pPr>
            <w:r>
              <w:rPr>
                <w:rFonts w:ascii="Times New Roman" w:hAnsi="Times New Roman" w:eastAsia="Times New Roman" w:cs="Times New Roman"/>
                <w:sz w:val="20"/>
                <w:szCs w:val="20"/>
              </w:rPr>
              <w:t>34</w:t>
            </w:r>
          </w:p>
        </w:tc>
        <w:tc>
          <w:tcPr>
            <w:tcW w:w="900" w:type="dxa"/>
            <w:tcBorders>
              <w:left w:val="single" w:color="000000" w:sz="2" w:space="0"/>
              <w:right w:val="single" w:color="000000" w:sz="2" w:space="0"/>
            </w:tcBorders>
            <w:vAlign w:val="top"/>
          </w:tcPr>
          <w:p w14:paraId="2E60C2FA">
            <w:pPr>
              <w:spacing w:before="92" w:line="193" w:lineRule="auto"/>
              <w:ind w:left="35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936" w:type="dxa"/>
            <w:tcBorders>
              <w:left w:val="single" w:color="000000" w:sz="2" w:space="0"/>
              <w:right w:val="single" w:color="000000" w:sz="2" w:space="0"/>
            </w:tcBorders>
            <w:vAlign w:val="top"/>
          </w:tcPr>
          <w:p w14:paraId="78B48085">
            <w:pPr>
              <w:spacing w:before="92" w:line="193" w:lineRule="auto"/>
              <w:ind w:left="2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33.2</w:t>
            </w:r>
          </w:p>
        </w:tc>
        <w:tc>
          <w:tcPr>
            <w:tcW w:w="887" w:type="dxa"/>
            <w:tcBorders>
              <w:left w:val="single" w:color="000000" w:sz="2" w:space="0"/>
              <w:right w:val="single" w:color="000000" w:sz="2" w:space="0"/>
            </w:tcBorders>
            <w:vAlign w:val="top"/>
          </w:tcPr>
          <w:p w14:paraId="36C2A073">
            <w:pPr>
              <w:spacing w:before="92" w:line="193" w:lineRule="auto"/>
              <w:ind w:left="3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1061" w:type="dxa"/>
            <w:tcBorders>
              <w:left w:val="single" w:color="000000" w:sz="2" w:space="0"/>
              <w:right w:val="single" w:color="000000" w:sz="2" w:space="0"/>
            </w:tcBorders>
            <w:vAlign w:val="top"/>
          </w:tcPr>
          <w:p w14:paraId="09DAD364">
            <w:pPr>
              <w:spacing w:before="92" w:line="193" w:lineRule="auto"/>
              <w:ind w:left="440"/>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009" w:type="dxa"/>
            <w:tcBorders>
              <w:left w:val="single" w:color="000000" w:sz="2" w:space="0"/>
              <w:right w:val="nil"/>
            </w:tcBorders>
            <w:vAlign w:val="top"/>
          </w:tcPr>
          <w:p w14:paraId="0A053D15">
            <w:pPr>
              <w:spacing w:before="92" w:line="193" w:lineRule="auto"/>
              <w:ind w:left="2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0.106</w:t>
            </w:r>
          </w:p>
        </w:tc>
      </w:tr>
      <w:tr w14:paraId="61E366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atLeast"/>
        </w:trPr>
        <w:tc>
          <w:tcPr>
            <w:tcW w:w="880" w:type="dxa"/>
            <w:tcBorders>
              <w:left w:val="nil"/>
              <w:bottom w:val="single" w:color="000000" w:sz="10" w:space="0"/>
            </w:tcBorders>
            <w:vAlign w:val="top"/>
          </w:tcPr>
          <w:p w14:paraId="70C8516C">
            <w:pPr>
              <w:pStyle w:val="6"/>
              <w:spacing w:before="56" w:line="223" w:lineRule="auto"/>
              <w:ind w:left="41"/>
              <w:rPr>
                <w:sz w:val="20"/>
                <w:szCs w:val="20"/>
              </w:rPr>
            </w:pPr>
            <w:r>
              <w:rPr>
                <w:spacing w:val="3"/>
                <w:sz w:val="20"/>
                <w:szCs w:val="20"/>
              </w:rPr>
              <w:t>备注</w:t>
            </w:r>
          </w:p>
        </w:tc>
        <w:tc>
          <w:tcPr>
            <w:tcW w:w="8244" w:type="dxa"/>
            <w:gridSpan w:val="9"/>
            <w:tcBorders>
              <w:bottom w:val="single" w:color="000000" w:sz="10" w:space="0"/>
              <w:right w:val="nil"/>
            </w:tcBorders>
            <w:vAlign w:val="top"/>
          </w:tcPr>
          <w:p w14:paraId="2A76AF6A">
            <w:pPr>
              <w:pStyle w:val="6"/>
              <w:spacing w:before="56" w:line="221" w:lineRule="auto"/>
              <w:rPr>
                <w:sz w:val="20"/>
                <w:szCs w:val="20"/>
              </w:rPr>
            </w:pPr>
            <w:r>
              <w:rPr>
                <w:rFonts w:ascii="Times New Roman" w:hAnsi="Times New Roman" w:eastAsia="Times New Roman" w:cs="Times New Roman"/>
                <w:spacing w:val="10"/>
                <w:sz w:val="20"/>
                <w:szCs w:val="20"/>
              </w:rPr>
              <w:t>“</w:t>
            </w:r>
            <w:r>
              <w:rPr>
                <w:rFonts w:ascii="Times New Roman" w:hAnsi="Times New Roman" w:eastAsia="Times New Roman" w:cs="Times New Roman"/>
                <w:sz w:val="20"/>
                <w:szCs w:val="20"/>
              </w:rPr>
              <w:t>ND</w:t>
            </w:r>
            <w:r>
              <w:rPr>
                <w:rFonts w:ascii="Times New Roman" w:hAnsi="Times New Roman" w:eastAsia="Times New Roman" w:cs="Times New Roman"/>
                <w:spacing w:val="10"/>
                <w:sz w:val="20"/>
                <w:szCs w:val="20"/>
              </w:rPr>
              <w:t>(</w:t>
            </w:r>
            <w:r>
              <w:rPr>
                <w:spacing w:val="10"/>
                <w:sz w:val="20"/>
                <w:szCs w:val="20"/>
              </w:rPr>
              <w:t>检出限）</w:t>
            </w:r>
            <w:r>
              <w:rPr>
                <w:rFonts w:ascii="Times New Roman" w:hAnsi="Times New Roman" w:eastAsia="Times New Roman" w:cs="Times New Roman"/>
                <w:spacing w:val="10"/>
                <w:sz w:val="20"/>
                <w:szCs w:val="20"/>
              </w:rPr>
              <w:t>”</w:t>
            </w:r>
            <w:r>
              <w:rPr>
                <w:spacing w:val="10"/>
                <w:sz w:val="20"/>
                <w:szCs w:val="20"/>
              </w:rPr>
              <w:t>为未检出，</w:t>
            </w:r>
            <w:r>
              <w:rPr>
                <w:rFonts w:ascii="Times New Roman" w:hAnsi="Times New Roman" w:eastAsia="Times New Roman" w:cs="Times New Roman"/>
                <w:sz w:val="20"/>
                <w:szCs w:val="20"/>
              </w:rPr>
              <w:t>pH</w:t>
            </w:r>
            <w:r>
              <w:rPr>
                <w:rFonts w:ascii="Times New Roman" w:hAnsi="Times New Roman" w:eastAsia="Times New Roman" w:cs="Times New Roman"/>
                <w:spacing w:val="10"/>
                <w:sz w:val="20"/>
                <w:szCs w:val="20"/>
              </w:rPr>
              <w:t xml:space="preserve"> </w:t>
            </w:r>
            <w:r>
              <w:rPr>
                <w:spacing w:val="10"/>
                <w:sz w:val="20"/>
                <w:szCs w:val="20"/>
              </w:rPr>
              <w:t>无量纲。</w:t>
            </w:r>
          </w:p>
        </w:tc>
      </w:tr>
    </w:tbl>
    <w:p w14:paraId="23A3DF0A">
      <w:pPr>
        <w:pStyle w:val="2"/>
      </w:pPr>
    </w:p>
    <w:p w14:paraId="542FEA7A">
      <w:pPr>
        <w:sectPr>
          <w:footerReference r:id="rId236" w:type="default"/>
          <w:pgSz w:w="11906" w:h="16839"/>
          <w:pgMar w:top="1190" w:right="1311" w:bottom="1156" w:left="1311" w:header="882" w:footer="994" w:gutter="0"/>
          <w:cols w:space="720" w:num="1"/>
        </w:sectPr>
      </w:pPr>
    </w:p>
    <w:p w14:paraId="37E89233">
      <w:pPr>
        <w:spacing w:line="28" w:lineRule="exact"/>
        <w:ind w:firstLine="103"/>
      </w:pPr>
      <w:r>
        <w:pict>
          <v:shape id="_x0000_s1267" o:spid="_x0000_s1267" style="height:1.45pt;width:700.25pt;" fillcolor="#000000" filled="t" stroked="f" coordsize="14005,29" path="m0,0l14004,0,14004,28,0,28,0,0xe">
            <v:path/>
            <v:fill on="t" focussize="0,0"/>
            <v:stroke on="f"/>
            <v:imagedata o:title=""/>
            <o:lock v:ext="edit"/>
            <w10:wrap type="none"/>
            <w10:anchorlock/>
          </v:shape>
        </w:pict>
      </w:r>
    </w:p>
    <w:p w14:paraId="2E0C3874">
      <w:pPr>
        <w:spacing w:before="228" w:line="228" w:lineRule="auto"/>
        <w:ind w:left="4654"/>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4"/>
          <w:sz w:val="20"/>
          <w:szCs w:val="20"/>
        </w:rPr>
        <w:t xml:space="preserve"> </w:t>
      </w:r>
      <w:r>
        <w:rPr>
          <w:rFonts w:ascii="Times New Roman" w:hAnsi="Times New Roman" w:eastAsia="Times New Roman" w:cs="Times New Roman"/>
          <w:b/>
          <w:bCs/>
          <w:spacing w:val="6"/>
          <w:sz w:val="20"/>
          <w:szCs w:val="20"/>
        </w:rPr>
        <w:t xml:space="preserve">3.3-8        </w:t>
      </w:r>
      <w:r>
        <w:rPr>
          <w:rFonts w:ascii="宋体" w:hAnsi="宋体" w:eastAsia="宋体" w:cs="宋体"/>
          <w:b/>
          <w:bCs/>
          <w:spacing w:val="6"/>
          <w:sz w:val="20"/>
          <w:szCs w:val="20"/>
        </w:rPr>
        <w:t>项目厂区内柱状样检测点位土壤检</w:t>
      </w:r>
      <w:r>
        <w:rPr>
          <w:rFonts w:ascii="宋体" w:hAnsi="宋体" w:eastAsia="宋体" w:cs="宋体"/>
          <w:b/>
          <w:bCs/>
          <w:spacing w:val="5"/>
          <w:sz w:val="20"/>
          <w:szCs w:val="20"/>
        </w:rPr>
        <w:t>测结果</w:t>
      </w:r>
    </w:p>
    <w:p w14:paraId="3962C74B">
      <w:pPr>
        <w:spacing w:line="130" w:lineRule="exact"/>
      </w:pPr>
    </w:p>
    <w:tbl>
      <w:tblPr>
        <w:tblStyle w:val="5"/>
        <w:tblW w:w="1420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0"/>
        <w:gridCol w:w="1747"/>
        <w:gridCol w:w="766"/>
        <w:gridCol w:w="1082"/>
        <w:gridCol w:w="1045"/>
        <w:gridCol w:w="994"/>
        <w:gridCol w:w="995"/>
        <w:gridCol w:w="1071"/>
        <w:gridCol w:w="1177"/>
        <w:gridCol w:w="995"/>
        <w:gridCol w:w="1046"/>
        <w:gridCol w:w="1634"/>
        <w:gridCol w:w="1066"/>
      </w:tblGrid>
      <w:tr w14:paraId="2032CF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2" w:hRule="atLeast"/>
        </w:trPr>
        <w:tc>
          <w:tcPr>
            <w:tcW w:w="590" w:type="dxa"/>
            <w:vMerge w:val="restart"/>
            <w:tcBorders>
              <w:top w:val="single" w:color="000000" w:sz="10" w:space="0"/>
              <w:left w:val="nil"/>
              <w:bottom w:val="nil"/>
            </w:tcBorders>
            <w:vAlign w:val="top"/>
          </w:tcPr>
          <w:p w14:paraId="1128B9DD">
            <w:pPr>
              <w:spacing w:line="399" w:lineRule="auto"/>
              <w:rPr>
                <w:rFonts w:ascii="Arial"/>
                <w:sz w:val="21"/>
              </w:rPr>
            </w:pPr>
          </w:p>
          <w:p w14:paraId="0EC586BE">
            <w:pPr>
              <w:pStyle w:val="6"/>
              <w:spacing w:before="58" w:line="221" w:lineRule="auto"/>
              <w:ind w:left="120"/>
              <w:rPr>
                <w:sz w:val="18"/>
                <w:szCs w:val="18"/>
              </w:rPr>
            </w:pPr>
            <w:r>
              <w:rPr>
                <w:spacing w:val="-4"/>
                <w:sz w:val="18"/>
                <w:szCs w:val="18"/>
              </w:rPr>
              <w:t>序号</w:t>
            </w:r>
          </w:p>
        </w:tc>
        <w:tc>
          <w:tcPr>
            <w:tcW w:w="1747" w:type="dxa"/>
            <w:vMerge w:val="restart"/>
            <w:tcBorders>
              <w:top w:val="single" w:color="000000" w:sz="10" w:space="0"/>
              <w:bottom w:val="nil"/>
            </w:tcBorders>
            <w:vAlign w:val="top"/>
          </w:tcPr>
          <w:p w14:paraId="48CE39F6">
            <w:pPr>
              <w:spacing w:line="285" w:lineRule="auto"/>
              <w:rPr>
                <w:rFonts w:ascii="Arial"/>
                <w:sz w:val="21"/>
              </w:rPr>
            </w:pPr>
          </w:p>
          <w:p w14:paraId="7A823C0A">
            <w:pPr>
              <w:pStyle w:val="6"/>
              <w:spacing w:before="59" w:line="229" w:lineRule="auto"/>
              <w:ind w:left="699" w:right="600" w:hanging="90"/>
              <w:rPr>
                <w:sz w:val="18"/>
                <w:szCs w:val="18"/>
              </w:rPr>
            </w:pPr>
            <w:r>
              <w:rPr>
                <w:spacing w:val="-3"/>
                <w:sz w:val="18"/>
                <w:szCs w:val="18"/>
              </w:rPr>
              <w:t>污染物</w:t>
            </w:r>
            <w:r>
              <w:rPr>
                <w:sz w:val="18"/>
                <w:szCs w:val="18"/>
              </w:rPr>
              <w:t xml:space="preserve"> </w:t>
            </w:r>
            <w:r>
              <w:rPr>
                <w:spacing w:val="-5"/>
                <w:sz w:val="18"/>
                <w:szCs w:val="18"/>
              </w:rPr>
              <w:t>项目</w:t>
            </w:r>
          </w:p>
        </w:tc>
        <w:tc>
          <w:tcPr>
            <w:tcW w:w="10805" w:type="dxa"/>
            <w:gridSpan w:val="10"/>
            <w:tcBorders>
              <w:top w:val="single" w:color="000000" w:sz="10" w:space="0"/>
            </w:tcBorders>
            <w:vAlign w:val="top"/>
          </w:tcPr>
          <w:p w14:paraId="0F84BA16">
            <w:pPr>
              <w:pStyle w:val="6"/>
              <w:spacing w:before="56" w:line="210" w:lineRule="auto"/>
              <w:ind w:left="4727"/>
              <w:rPr>
                <w:sz w:val="18"/>
                <w:szCs w:val="18"/>
              </w:rPr>
            </w:pPr>
            <w:r>
              <w:rPr>
                <w:spacing w:val="-1"/>
                <w:sz w:val="18"/>
                <w:szCs w:val="18"/>
              </w:rPr>
              <w:t>检测值（</w:t>
            </w:r>
            <w:r>
              <w:rPr>
                <w:rFonts w:ascii="Times New Roman" w:hAnsi="Times New Roman" w:eastAsia="Times New Roman" w:cs="Times New Roman"/>
                <w:spacing w:val="-1"/>
                <w:sz w:val="18"/>
                <w:szCs w:val="18"/>
              </w:rPr>
              <w:t>mg/kg</w:t>
            </w:r>
            <w:r>
              <w:rPr>
                <w:spacing w:val="-1"/>
                <w:sz w:val="18"/>
                <w:szCs w:val="18"/>
              </w:rPr>
              <w:t>）</w:t>
            </w:r>
          </w:p>
        </w:tc>
        <w:tc>
          <w:tcPr>
            <w:tcW w:w="1066" w:type="dxa"/>
            <w:vMerge w:val="restart"/>
            <w:tcBorders>
              <w:top w:val="single" w:color="000000" w:sz="10" w:space="0"/>
              <w:bottom w:val="nil"/>
              <w:right w:val="nil"/>
            </w:tcBorders>
            <w:vAlign w:val="top"/>
          </w:tcPr>
          <w:p w14:paraId="218A8F08">
            <w:pPr>
              <w:pStyle w:val="6"/>
              <w:spacing w:before="109" w:line="229" w:lineRule="auto"/>
              <w:ind w:left="248" w:right="243" w:firstLine="20"/>
              <w:rPr>
                <w:rFonts w:ascii="Times New Roman" w:hAnsi="Times New Roman" w:eastAsia="Times New Roman" w:cs="Times New Roman"/>
                <w:sz w:val="18"/>
                <w:szCs w:val="18"/>
              </w:rPr>
            </w:pPr>
            <w:r>
              <w:rPr>
                <w:spacing w:val="-3"/>
                <w:sz w:val="18"/>
                <w:szCs w:val="18"/>
              </w:rPr>
              <w:t>筛选值</w:t>
            </w:r>
            <w:r>
              <w:rPr>
                <w:sz w:val="18"/>
                <w:szCs w:val="18"/>
              </w:rPr>
              <w:t xml:space="preserve"> </w:t>
            </w:r>
            <w:r>
              <w:rPr>
                <w:rFonts w:ascii="Times New Roman" w:hAnsi="Times New Roman" w:eastAsia="Times New Roman" w:cs="Times New Roman"/>
                <w:spacing w:val="-2"/>
                <w:sz w:val="18"/>
                <w:szCs w:val="18"/>
              </w:rPr>
              <w:t>(mg/kg)</w:t>
            </w:r>
          </w:p>
        </w:tc>
      </w:tr>
      <w:tr w14:paraId="0F81F9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590" w:type="dxa"/>
            <w:vMerge w:val="continue"/>
            <w:tcBorders>
              <w:top w:val="nil"/>
              <w:left w:val="nil"/>
              <w:bottom w:val="nil"/>
            </w:tcBorders>
            <w:vAlign w:val="top"/>
          </w:tcPr>
          <w:p w14:paraId="26426323">
            <w:pPr>
              <w:rPr>
                <w:rFonts w:ascii="Arial"/>
                <w:sz w:val="21"/>
              </w:rPr>
            </w:pPr>
          </w:p>
        </w:tc>
        <w:tc>
          <w:tcPr>
            <w:tcW w:w="1747" w:type="dxa"/>
            <w:vMerge w:val="continue"/>
            <w:tcBorders>
              <w:top w:val="nil"/>
              <w:bottom w:val="nil"/>
            </w:tcBorders>
            <w:vAlign w:val="top"/>
          </w:tcPr>
          <w:p w14:paraId="69CFF127">
            <w:pPr>
              <w:rPr>
                <w:rFonts w:ascii="Arial"/>
                <w:sz w:val="21"/>
              </w:rPr>
            </w:pPr>
          </w:p>
        </w:tc>
        <w:tc>
          <w:tcPr>
            <w:tcW w:w="2893" w:type="dxa"/>
            <w:gridSpan w:val="3"/>
            <w:vAlign w:val="top"/>
          </w:tcPr>
          <w:p w14:paraId="3A2FE8CF">
            <w:pPr>
              <w:pStyle w:val="6"/>
              <w:spacing w:before="74" w:line="217" w:lineRule="auto"/>
              <w:ind w:left="822"/>
              <w:rPr>
                <w:sz w:val="18"/>
                <w:szCs w:val="18"/>
              </w:rPr>
            </w:pPr>
            <w:r>
              <w:rPr>
                <w:spacing w:val="-2"/>
                <w:sz w:val="18"/>
                <w:szCs w:val="18"/>
              </w:rPr>
              <w:t>厂区内①号点位</w:t>
            </w:r>
          </w:p>
        </w:tc>
        <w:tc>
          <w:tcPr>
            <w:tcW w:w="3060" w:type="dxa"/>
            <w:gridSpan w:val="3"/>
            <w:vAlign w:val="top"/>
          </w:tcPr>
          <w:p w14:paraId="233A4E86">
            <w:pPr>
              <w:pStyle w:val="6"/>
              <w:spacing w:before="74" w:line="217" w:lineRule="auto"/>
              <w:ind w:left="907"/>
              <w:rPr>
                <w:sz w:val="18"/>
                <w:szCs w:val="18"/>
              </w:rPr>
            </w:pPr>
            <w:r>
              <w:rPr>
                <w:spacing w:val="-2"/>
                <w:sz w:val="18"/>
                <w:szCs w:val="18"/>
              </w:rPr>
              <w:t>厂区内②号点位</w:t>
            </w:r>
          </w:p>
        </w:tc>
        <w:tc>
          <w:tcPr>
            <w:tcW w:w="3218" w:type="dxa"/>
            <w:gridSpan w:val="3"/>
            <w:vAlign w:val="top"/>
          </w:tcPr>
          <w:p w14:paraId="2AD39758">
            <w:pPr>
              <w:pStyle w:val="6"/>
              <w:spacing w:before="74" w:line="217" w:lineRule="auto"/>
              <w:ind w:left="986"/>
              <w:rPr>
                <w:sz w:val="18"/>
                <w:szCs w:val="18"/>
              </w:rPr>
            </w:pPr>
            <w:r>
              <w:rPr>
                <w:spacing w:val="-2"/>
                <w:sz w:val="18"/>
                <w:szCs w:val="18"/>
              </w:rPr>
              <w:t>厂区内③号点位</w:t>
            </w:r>
          </w:p>
        </w:tc>
        <w:tc>
          <w:tcPr>
            <w:tcW w:w="1634" w:type="dxa"/>
            <w:vAlign w:val="top"/>
          </w:tcPr>
          <w:p w14:paraId="4946F643">
            <w:pPr>
              <w:pStyle w:val="6"/>
              <w:spacing w:before="74" w:line="217" w:lineRule="auto"/>
              <w:ind w:left="195"/>
              <w:rPr>
                <w:sz w:val="18"/>
                <w:szCs w:val="18"/>
              </w:rPr>
            </w:pPr>
            <w:r>
              <w:rPr>
                <w:spacing w:val="-2"/>
                <w:sz w:val="18"/>
                <w:szCs w:val="18"/>
              </w:rPr>
              <w:t>厂区内⑥号点位</w:t>
            </w:r>
          </w:p>
        </w:tc>
        <w:tc>
          <w:tcPr>
            <w:tcW w:w="1066" w:type="dxa"/>
            <w:vMerge w:val="continue"/>
            <w:tcBorders>
              <w:top w:val="nil"/>
              <w:right w:val="nil"/>
            </w:tcBorders>
            <w:vAlign w:val="top"/>
          </w:tcPr>
          <w:p w14:paraId="2D7A4411">
            <w:pPr>
              <w:rPr>
                <w:rFonts w:ascii="Arial"/>
                <w:sz w:val="21"/>
              </w:rPr>
            </w:pPr>
          </w:p>
        </w:tc>
      </w:tr>
      <w:tr w14:paraId="667A1E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3" w:hRule="atLeast"/>
        </w:trPr>
        <w:tc>
          <w:tcPr>
            <w:tcW w:w="590" w:type="dxa"/>
            <w:vMerge w:val="continue"/>
            <w:tcBorders>
              <w:top w:val="nil"/>
              <w:left w:val="nil"/>
            </w:tcBorders>
            <w:vAlign w:val="top"/>
          </w:tcPr>
          <w:p w14:paraId="2360D690">
            <w:pPr>
              <w:rPr>
                <w:rFonts w:ascii="Arial"/>
                <w:sz w:val="21"/>
              </w:rPr>
            </w:pPr>
          </w:p>
        </w:tc>
        <w:tc>
          <w:tcPr>
            <w:tcW w:w="1747" w:type="dxa"/>
            <w:vMerge w:val="continue"/>
            <w:tcBorders>
              <w:top w:val="nil"/>
            </w:tcBorders>
            <w:vAlign w:val="top"/>
          </w:tcPr>
          <w:p w14:paraId="4D75D6BB">
            <w:pPr>
              <w:rPr>
                <w:rFonts w:ascii="Arial"/>
                <w:sz w:val="21"/>
              </w:rPr>
            </w:pPr>
          </w:p>
        </w:tc>
        <w:tc>
          <w:tcPr>
            <w:tcW w:w="766" w:type="dxa"/>
            <w:vAlign w:val="top"/>
          </w:tcPr>
          <w:p w14:paraId="4D331780">
            <w:pPr>
              <w:spacing w:before="195" w:line="188" w:lineRule="auto"/>
              <w:ind w:left="11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0-50cm</w:t>
            </w:r>
          </w:p>
        </w:tc>
        <w:tc>
          <w:tcPr>
            <w:tcW w:w="1082" w:type="dxa"/>
            <w:vAlign w:val="top"/>
          </w:tcPr>
          <w:p w14:paraId="1BAF48D2">
            <w:pPr>
              <w:spacing w:before="195" w:line="188" w:lineRule="auto"/>
              <w:ind w:left="18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50-150cm</w:t>
            </w:r>
          </w:p>
        </w:tc>
        <w:tc>
          <w:tcPr>
            <w:tcW w:w="1045" w:type="dxa"/>
            <w:vAlign w:val="top"/>
          </w:tcPr>
          <w:p w14:paraId="71901AD8">
            <w:pPr>
              <w:spacing w:before="195" w:line="188" w:lineRule="auto"/>
              <w:ind w:left="13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150-300cm</w:t>
            </w:r>
          </w:p>
        </w:tc>
        <w:tc>
          <w:tcPr>
            <w:tcW w:w="994" w:type="dxa"/>
            <w:vAlign w:val="top"/>
          </w:tcPr>
          <w:p w14:paraId="0DF79026">
            <w:pPr>
              <w:spacing w:before="195" w:line="188" w:lineRule="auto"/>
              <w:ind w:left="22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0-50cm</w:t>
            </w:r>
          </w:p>
        </w:tc>
        <w:tc>
          <w:tcPr>
            <w:tcW w:w="995" w:type="dxa"/>
            <w:vAlign w:val="top"/>
          </w:tcPr>
          <w:p w14:paraId="71911A3B">
            <w:pPr>
              <w:spacing w:before="195" w:line="188" w:lineRule="auto"/>
              <w:ind w:left="13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50-150cm</w:t>
            </w:r>
          </w:p>
        </w:tc>
        <w:tc>
          <w:tcPr>
            <w:tcW w:w="1071" w:type="dxa"/>
            <w:vAlign w:val="top"/>
          </w:tcPr>
          <w:p w14:paraId="3E708839">
            <w:pPr>
              <w:spacing w:before="195" w:line="188" w:lineRule="auto"/>
              <w:ind w:left="14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150-300cm</w:t>
            </w:r>
          </w:p>
        </w:tc>
        <w:tc>
          <w:tcPr>
            <w:tcW w:w="1177" w:type="dxa"/>
            <w:vAlign w:val="top"/>
          </w:tcPr>
          <w:p w14:paraId="61D629D3">
            <w:pPr>
              <w:spacing w:before="195" w:line="188" w:lineRule="auto"/>
              <w:ind w:left="31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0-50cm</w:t>
            </w:r>
          </w:p>
        </w:tc>
        <w:tc>
          <w:tcPr>
            <w:tcW w:w="995" w:type="dxa"/>
            <w:vAlign w:val="top"/>
          </w:tcPr>
          <w:p w14:paraId="43FE2052">
            <w:pPr>
              <w:spacing w:before="195" w:line="188" w:lineRule="auto"/>
              <w:ind w:left="13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50-150cm</w:t>
            </w:r>
          </w:p>
        </w:tc>
        <w:tc>
          <w:tcPr>
            <w:tcW w:w="1046" w:type="dxa"/>
            <w:vAlign w:val="top"/>
          </w:tcPr>
          <w:p w14:paraId="3E6EBEDC">
            <w:pPr>
              <w:spacing w:before="195" w:line="188" w:lineRule="auto"/>
              <w:ind w:left="132"/>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150-300cm</w:t>
            </w:r>
          </w:p>
        </w:tc>
        <w:tc>
          <w:tcPr>
            <w:tcW w:w="1634" w:type="dxa"/>
            <w:vAlign w:val="top"/>
          </w:tcPr>
          <w:p w14:paraId="3A616412">
            <w:pPr>
              <w:spacing w:before="195" w:line="188" w:lineRule="auto"/>
              <w:ind w:left="54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0-20cm</w:t>
            </w:r>
          </w:p>
        </w:tc>
        <w:tc>
          <w:tcPr>
            <w:tcW w:w="1066" w:type="dxa"/>
            <w:tcBorders>
              <w:right w:val="nil"/>
            </w:tcBorders>
            <w:vAlign w:val="top"/>
          </w:tcPr>
          <w:p w14:paraId="755725F2">
            <w:pPr>
              <w:pStyle w:val="6"/>
              <w:spacing w:before="50" w:line="222" w:lineRule="auto"/>
              <w:ind w:left="359" w:right="262" w:hanging="92"/>
              <w:rPr>
                <w:sz w:val="18"/>
                <w:szCs w:val="18"/>
              </w:rPr>
            </w:pPr>
            <w:r>
              <w:rPr>
                <w:spacing w:val="-3"/>
                <w:sz w:val="18"/>
                <w:szCs w:val="18"/>
              </w:rPr>
              <w:t>第二类</w:t>
            </w:r>
            <w:r>
              <w:rPr>
                <w:sz w:val="18"/>
                <w:szCs w:val="18"/>
              </w:rPr>
              <w:t xml:space="preserve"> </w:t>
            </w:r>
            <w:r>
              <w:rPr>
                <w:spacing w:val="-5"/>
                <w:sz w:val="18"/>
                <w:szCs w:val="18"/>
              </w:rPr>
              <w:t>用地</w:t>
            </w:r>
          </w:p>
        </w:tc>
      </w:tr>
    </w:tbl>
    <w:p w14:paraId="743CD3A0">
      <w:pPr>
        <w:spacing w:before="28" w:line="219" w:lineRule="auto"/>
        <w:ind w:left="6481"/>
        <w:rPr>
          <w:rFonts w:ascii="宋体" w:hAnsi="宋体" w:eastAsia="宋体" w:cs="宋体"/>
          <w:sz w:val="18"/>
          <w:szCs w:val="18"/>
        </w:rPr>
      </w:pPr>
      <w:r>
        <w:rPr>
          <w:rFonts w:ascii="宋体" w:hAnsi="宋体" w:eastAsia="宋体" w:cs="宋体"/>
          <w:spacing w:val="-2"/>
          <w:sz w:val="18"/>
          <w:szCs w:val="18"/>
        </w:rPr>
        <w:t>重金属和无机物</w:t>
      </w:r>
    </w:p>
    <w:p w14:paraId="4B04218E">
      <w:pPr>
        <w:spacing w:line="43" w:lineRule="exact"/>
      </w:pPr>
    </w:p>
    <w:tbl>
      <w:tblPr>
        <w:tblStyle w:val="5"/>
        <w:tblW w:w="1420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0"/>
        <w:gridCol w:w="1747"/>
        <w:gridCol w:w="766"/>
        <w:gridCol w:w="1082"/>
        <w:gridCol w:w="1045"/>
        <w:gridCol w:w="994"/>
        <w:gridCol w:w="995"/>
        <w:gridCol w:w="1071"/>
        <w:gridCol w:w="1177"/>
        <w:gridCol w:w="995"/>
        <w:gridCol w:w="1046"/>
        <w:gridCol w:w="1634"/>
        <w:gridCol w:w="1066"/>
      </w:tblGrid>
      <w:tr w14:paraId="24E422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3" w:hRule="atLeast"/>
        </w:trPr>
        <w:tc>
          <w:tcPr>
            <w:tcW w:w="590" w:type="dxa"/>
            <w:tcBorders>
              <w:left w:val="nil"/>
            </w:tcBorders>
            <w:vAlign w:val="top"/>
          </w:tcPr>
          <w:p w14:paraId="3F55979E">
            <w:pPr>
              <w:spacing w:before="87" w:line="188" w:lineRule="auto"/>
              <w:ind w:left="271"/>
              <w:rPr>
                <w:rFonts w:ascii="Times New Roman" w:hAnsi="Times New Roman" w:eastAsia="Times New Roman" w:cs="Times New Roman"/>
                <w:sz w:val="18"/>
                <w:szCs w:val="18"/>
              </w:rPr>
            </w:pPr>
            <w:r>
              <w:rPr>
                <w:rFonts w:ascii="Times New Roman" w:hAnsi="Times New Roman" w:eastAsia="Times New Roman" w:cs="Times New Roman"/>
                <w:sz w:val="18"/>
                <w:szCs w:val="18"/>
              </w:rPr>
              <w:t>1</w:t>
            </w:r>
          </w:p>
        </w:tc>
        <w:tc>
          <w:tcPr>
            <w:tcW w:w="1747" w:type="dxa"/>
            <w:vAlign w:val="top"/>
          </w:tcPr>
          <w:p w14:paraId="49FC3EE8">
            <w:pPr>
              <w:pStyle w:val="6"/>
              <w:spacing w:before="58" w:line="220" w:lineRule="auto"/>
              <w:ind w:left="787"/>
              <w:rPr>
                <w:sz w:val="18"/>
                <w:szCs w:val="18"/>
              </w:rPr>
            </w:pPr>
            <w:r>
              <w:rPr>
                <w:sz w:val="18"/>
                <w:szCs w:val="18"/>
              </w:rPr>
              <w:t>砷</w:t>
            </w:r>
          </w:p>
        </w:tc>
        <w:tc>
          <w:tcPr>
            <w:tcW w:w="766" w:type="dxa"/>
            <w:vAlign w:val="top"/>
          </w:tcPr>
          <w:p w14:paraId="24DEA55C">
            <w:pPr>
              <w:spacing w:before="87" w:line="188" w:lineRule="auto"/>
              <w:ind w:left="24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11.8</w:t>
            </w:r>
          </w:p>
        </w:tc>
        <w:tc>
          <w:tcPr>
            <w:tcW w:w="1082" w:type="dxa"/>
            <w:vAlign w:val="top"/>
          </w:tcPr>
          <w:p w14:paraId="03ABD6C7">
            <w:pPr>
              <w:spacing w:before="87" w:line="188" w:lineRule="auto"/>
              <w:ind w:left="406"/>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11.6</w:t>
            </w:r>
          </w:p>
        </w:tc>
        <w:tc>
          <w:tcPr>
            <w:tcW w:w="1045" w:type="dxa"/>
            <w:vAlign w:val="top"/>
          </w:tcPr>
          <w:p w14:paraId="7180B95A">
            <w:pPr>
              <w:spacing w:before="87" w:line="188" w:lineRule="auto"/>
              <w:ind w:left="387"/>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11.3</w:t>
            </w:r>
          </w:p>
        </w:tc>
        <w:tc>
          <w:tcPr>
            <w:tcW w:w="994" w:type="dxa"/>
            <w:vAlign w:val="top"/>
          </w:tcPr>
          <w:p w14:paraId="492A5069">
            <w:pPr>
              <w:spacing w:before="87" w:line="188" w:lineRule="auto"/>
              <w:ind w:left="357"/>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12.6</w:t>
            </w:r>
          </w:p>
        </w:tc>
        <w:tc>
          <w:tcPr>
            <w:tcW w:w="995" w:type="dxa"/>
            <w:vAlign w:val="top"/>
          </w:tcPr>
          <w:p w14:paraId="74667C4C">
            <w:pPr>
              <w:spacing w:before="87" w:line="188" w:lineRule="auto"/>
              <w:ind w:left="359"/>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13.8</w:t>
            </w:r>
          </w:p>
        </w:tc>
        <w:tc>
          <w:tcPr>
            <w:tcW w:w="1071" w:type="dxa"/>
            <w:vAlign w:val="top"/>
          </w:tcPr>
          <w:p w14:paraId="10BCE19C">
            <w:pPr>
              <w:spacing w:before="87" w:line="188" w:lineRule="auto"/>
              <w:ind w:left="396"/>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14.3</w:t>
            </w:r>
          </w:p>
        </w:tc>
        <w:tc>
          <w:tcPr>
            <w:tcW w:w="1177" w:type="dxa"/>
            <w:vAlign w:val="top"/>
          </w:tcPr>
          <w:p w14:paraId="6A08F7FB">
            <w:pPr>
              <w:spacing w:before="87" w:line="188" w:lineRule="auto"/>
              <w:ind w:left="451"/>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12.8</w:t>
            </w:r>
          </w:p>
        </w:tc>
        <w:tc>
          <w:tcPr>
            <w:tcW w:w="995" w:type="dxa"/>
            <w:vAlign w:val="top"/>
          </w:tcPr>
          <w:p w14:paraId="43D67FAB">
            <w:pPr>
              <w:spacing w:before="87" w:line="188" w:lineRule="auto"/>
              <w:ind w:left="359"/>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14.6</w:t>
            </w:r>
          </w:p>
        </w:tc>
        <w:tc>
          <w:tcPr>
            <w:tcW w:w="1046" w:type="dxa"/>
            <w:vAlign w:val="top"/>
          </w:tcPr>
          <w:p w14:paraId="6EE899A7">
            <w:pPr>
              <w:spacing w:before="87" w:line="188" w:lineRule="auto"/>
              <w:ind w:left="384"/>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13.2</w:t>
            </w:r>
          </w:p>
        </w:tc>
        <w:tc>
          <w:tcPr>
            <w:tcW w:w="1634" w:type="dxa"/>
            <w:vAlign w:val="top"/>
          </w:tcPr>
          <w:p w14:paraId="7CE3DE67">
            <w:pPr>
              <w:spacing w:before="87" w:line="188" w:lineRule="auto"/>
              <w:ind w:left="677"/>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15.</w:t>
            </w:r>
            <w:r>
              <w:rPr>
                <w:rFonts w:ascii="Times New Roman" w:hAnsi="Times New Roman" w:eastAsia="Times New Roman" w:cs="Times New Roman"/>
                <w:spacing w:val="-22"/>
                <w:sz w:val="18"/>
                <w:szCs w:val="18"/>
              </w:rPr>
              <w:t xml:space="preserve"> </w:t>
            </w:r>
            <w:r>
              <w:rPr>
                <w:rFonts w:ascii="Times New Roman" w:hAnsi="Times New Roman" w:eastAsia="Times New Roman" w:cs="Times New Roman"/>
                <w:spacing w:val="-6"/>
                <w:sz w:val="18"/>
                <w:szCs w:val="18"/>
              </w:rPr>
              <w:t>1</w:t>
            </w:r>
          </w:p>
        </w:tc>
        <w:tc>
          <w:tcPr>
            <w:tcW w:w="1066" w:type="dxa"/>
            <w:tcBorders>
              <w:right w:val="nil"/>
            </w:tcBorders>
            <w:vAlign w:val="top"/>
          </w:tcPr>
          <w:p w14:paraId="6004D488">
            <w:pPr>
              <w:pStyle w:val="6"/>
              <w:spacing w:before="58" w:line="217" w:lineRule="auto"/>
              <w:ind w:left="359"/>
              <w:rPr>
                <w:sz w:val="18"/>
                <w:szCs w:val="18"/>
              </w:rPr>
            </w:pPr>
            <w:r>
              <w:rPr>
                <w:rFonts w:ascii="Times New Roman" w:hAnsi="Times New Roman" w:eastAsia="Times New Roman" w:cs="Times New Roman"/>
                <w:spacing w:val="-3"/>
                <w:sz w:val="18"/>
                <w:szCs w:val="18"/>
              </w:rPr>
              <w:t>60</w:t>
            </w:r>
            <w:r>
              <w:rPr>
                <w:spacing w:val="-3"/>
                <w:sz w:val="18"/>
                <w:szCs w:val="18"/>
              </w:rPr>
              <w:t>①</w:t>
            </w:r>
          </w:p>
        </w:tc>
      </w:tr>
      <w:tr w14:paraId="4C8193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90" w:type="dxa"/>
            <w:tcBorders>
              <w:left w:val="nil"/>
            </w:tcBorders>
            <w:vAlign w:val="top"/>
          </w:tcPr>
          <w:p w14:paraId="72A3564A">
            <w:pPr>
              <w:spacing w:before="84" w:line="188" w:lineRule="auto"/>
              <w:ind w:left="254"/>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tc>
        <w:tc>
          <w:tcPr>
            <w:tcW w:w="1747" w:type="dxa"/>
            <w:vAlign w:val="top"/>
          </w:tcPr>
          <w:p w14:paraId="3C0D62AD">
            <w:pPr>
              <w:pStyle w:val="6"/>
              <w:spacing w:before="53" w:line="222" w:lineRule="auto"/>
              <w:ind w:left="787"/>
              <w:rPr>
                <w:sz w:val="18"/>
                <w:szCs w:val="18"/>
              </w:rPr>
            </w:pPr>
            <w:r>
              <w:rPr>
                <w:sz w:val="18"/>
                <w:szCs w:val="18"/>
              </w:rPr>
              <w:t>镉</w:t>
            </w:r>
          </w:p>
        </w:tc>
        <w:tc>
          <w:tcPr>
            <w:tcW w:w="766" w:type="dxa"/>
            <w:vAlign w:val="top"/>
          </w:tcPr>
          <w:p w14:paraId="36121C6A">
            <w:pPr>
              <w:spacing w:before="84"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0.69</w:t>
            </w:r>
          </w:p>
        </w:tc>
        <w:tc>
          <w:tcPr>
            <w:tcW w:w="1082" w:type="dxa"/>
            <w:vAlign w:val="top"/>
          </w:tcPr>
          <w:p w14:paraId="43D603B6">
            <w:pPr>
              <w:spacing w:before="84" w:line="188" w:lineRule="auto"/>
              <w:ind w:left="38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0.72</w:t>
            </w:r>
          </w:p>
        </w:tc>
        <w:tc>
          <w:tcPr>
            <w:tcW w:w="1045" w:type="dxa"/>
            <w:vAlign w:val="top"/>
          </w:tcPr>
          <w:p w14:paraId="77965A3F">
            <w:pPr>
              <w:spacing w:before="84" w:line="188" w:lineRule="auto"/>
              <w:ind w:left="36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0.65</w:t>
            </w:r>
          </w:p>
        </w:tc>
        <w:tc>
          <w:tcPr>
            <w:tcW w:w="994" w:type="dxa"/>
            <w:vAlign w:val="top"/>
          </w:tcPr>
          <w:p w14:paraId="214F3C9E">
            <w:pPr>
              <w:spacing w:before="84" w:line="188" w:lineRule="auto"/>
              <w:ind w:left="34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0.76</w:t>
            </w:r>
          </w:p>
        </w:tc>
        <w:tc>
          <w:tcPr>
            <w:tcW w:w="995" w:type="dxa"/>
            <w:vAlign w:val="top"/>
          </w:tcPr>
          <w:p w14:paraId="3EB699B4">
            <w:pPr>
              <w:spacing w:before="84" w:line="188" w:lineRule="auto"/>
              <w:ind w:left="34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0.71</w:t>
            </w:r>
          </w:p>
        </w:tc>
        <w:tc>
          <w:tcPr>
            <w:tcW w:w="1071" w:type="dxa"/>
            <w:vAlign w:val="top"/>
          </w:tcPr>
          <w:p w14:paraId="6F970E96">
            <w:pPr>
              <w:spacing w:before="84" w:line="188" w:lineRule="auto"/>
              <w:ind w:left="38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0.74</w:t>
            </w:r>
          </w:p>
        </w:tc>
        <w:tc>
          <w:tcPr>
            <w:tcW w:w="1177" w:type="dxa"/>
            <w:vAlign w:val="top"/>
          </w:tcPr>
          <w:p w14:paraId="484714D8">
            <w:pPr>
              <w:spacing w:before="84" w:line="188" w:lineRule="auto"/>
              <w:ind w:left="43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0.51</w:t>
            </w:r>
          </w:p>
        </w:tc>
        <w:tc>
          <w:tcPr>
            <w:tcW w:w="995" w:type="dxa"/>
            <w:vAlign w:val="top"/>
          </w:tcPr>
          <w:p w14:paraId="2F7F7944">
            <w:pPr>
              <w:spacing w:before="84" w:line="188" w:lineRule="auto"/>
              <w:ind w:left="34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0.55</w:t>
            </w:r>
          </w:p>
        </w:tc>
        <w:tc>
          <w:tcPr>
            <w:tcW w:w="1046" w:type="dxa"/>
            <w:vAlign w:val="top"/>
          </w:tcPr>
          <w:p w14:paraId="0B709E46">
            <w:pPr>
              <w:spacing w:before="84" w:line="188" w:lineRule="auto"/>
              <w:ind w:left="3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0.60</w:t>
            </w:r>
          </w:p>
        </w:tc>
        <w:tc>
          <w:tcPr>
            <w:tcW w:w="1634" w:type="dxa"/>
            <w:vAlign w:val="top"/>
          </w:tcPr>
          <w:p w14:paraId="600995B9">
            <w:pPr>
              <w:spacing w:before="84" w:line="188" w:lineRule="auto"/>
              <w:ind w:left="66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0.61</w:t>
            </w:r>
          </w:p>
        </w:tc>
        <w:tc>
          <w:tcPr>
            <w:tcW w:w="1066" w:type="dxa"/>
            <w:tcBorders>
              <w:right w:val="nil"/>
            </w:tcBorders>
            <w:vAlign w:val="top"/>
          </w:tcPr>
          <w:p w14:paraId="71063F2B">
            <w:pPr>
              <w:spacing w:before="84" w:line="188" w:lineRule="auto"/>
              <w:ind w:left="448"/>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65</w:t>
            </w:r>
          </w:p>
        </w:tc>
      </w:tr>
      <w:tr w14:paraId="5ED574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90" w:type="dxa"/>
            <w:tcBorders>
              <w:left w:val="nil"/>
            </w:tcBorders>
            <w:vAlign w:val="top"/>
          </w:tcPr>
          <w:p w14:paraId="3FBB595E">
            <w:pPr>
              <w:spacing w:before="84" w:line="188" w:lineRule="auto"/>
              <w:ind w:left="258"/>
              <w:rPr>
                <w:rFonts w:ascii="Times New Roman" w:hAnsi="Times New Roman" w:eastAsia="Times New Roman" w:cs="Times New Roman"/>
                <w:sz w:val="18"/>
                <w:szCs w:val="18"/>
              </w:rPr>
            </w:pPr>
            <w:r>
              <w:rPr>
                <w:rFonts w:ascii="Times New Roman" w:hAnsi="Times New Roman" w:eastAsia="Times New Roman" w:cs="Times New Roman"/>
                <w:sz w:val="18"/>
                <w:szCs w:val="18"/>
              </w:rPr>
              <w:t>3</w:t>
            </w:r>
          </w:p>
        </w:tc>
        <w:tc>
          <w:tcPr>
            <w:tcW w:w="1747" w:type="dxa"/>
            <w:vAlign w:val="top"/>
          </w:tcPr>
          <w:p w14:paraId="665453E7">
            <w:pPr>
              <w:pStyle w:val="6"/>
              <w:spacing w:before="55" w:line="218" w:lineRule="auto"/>
              <w:ind w:left="427"/>
              <w:rPr>
                <w:sz w:val="18"/>
                <w:szCs w:val="18"/>
              </w:rPr>
            </w:pPr>
            <w:r>
              <w:rPr>
                <w:spacing w:val="-2"/>
                <w:sz w:val="18"/>
                <w:szCs w:val="18"/>
              </w:rPr>
              <w:t>铬（六价）</w:t>
            </w:r>
          </w:p>
        </w:tc>
        <w:tc>
          <w:tcPr>
            <w:tcW w:w="766" w:type="dxa"/>
            <w:vAlign w:val="top"/>
          </w:tcPr>
          <w:p w14:paraId="0B82929E">
            <w:pPr>
              <w:pStyle w:val="6"/>
              <w:spacing w:before="55" w:line="219" w:lineRule="auto"/>
              <w:ind w:left="119"/>
              <w:rPr>
                <w:sz w:val="18"/>
                <w:szCs w:val="18"/>
              </w:rPr>
            </w:pPr>
            <w:r>
              <w:rPr>
                <w:spacing w:val="-4"/>
                <w:sz w:val="18"/>
                <w:szCs w:val="18"/>
              </w:rPr>
              <w:t>未检出</w:t>
            </w:r>
          </w:p>
        </w:tc>
        <w:tc>
          <w:tcPr>
            <w:tcW w:w="1082" w:type="dxa"/>
            <w:vAlign w:val="top"/>
          </w:tcPr>
          <w:p w14:paraId="2B3099E8">
            <w:pPr>
              <w:pStyle w:val="6"/>
              <w:spacing w:before="55" w:line="219" w:lineRule="auto"/>
              <w:ind w:left="277"/>
              <w:rPr>
                <w:sz w:val="18"/>
                <w:szCs w:val="18"/>
              </w:rPr>
            </w:pPr>
            <w:r>
              <w:rPr>
                <w:spacing w:val="-4"/>
                <w:sz w:val="18"/>
                <w:szCs w:val="18"/>
              </w:rPr>
              <w:t>未检出</w:t>
            </w:r>
          </w:p>
        </w:tc>
        <w:tc>
          <w:tcPr>
            <w:tcW w:w="1045" w:type="dxa"/>
            <w:vAlign w:val="top"/>
          </w:tcPr>
          <w:p w14:paraId="5049F74E">
            <w:pPr>
              <w:pStyle w:val="6"/>
              <w:spacing w:before="55" w:line="219" w:lineRule="auto"/>
              <w:ind w:left="258"/>
              <w:rPr>
                <w:sz w:val="18"/>
                <w:szCs w:val="18"/>
              </w:rPr>
            </w:pPr>
            <w:r>
              <w:rPr>
                <w:spacing w:val="-4"/>
                <w:sz w:val="18"/>
                <w:szCs w:val="18"/>
              </w:rPr>
              <w:t>未检出</w:t>
            </w:r>
          </w:p>
        </w:tc>
        <w:tc>
          <w:tcPr>
            <w:tcW w:w="994" w:type="dxa"/>
            <w:vAlign w:val="top"/>
          </w:tcPr>
          <w:p w14:paraId="1479C892">
            <w:pPr>
              <w:pStyle w:val="6"/>
              <w:spacing w:before="55" w:line="219" w:lineRule="auto"/>
              <w:ind w:left="233"/>
              <w:rPr>
                <w:sz w:val="18"/>
                <w:szCs w:val="18"/>
              </w:rPr>
            </w:pPr>
            <w:r>
              <w:rPr>
                <w:spacing w:val="-4"/>
                <w:sz w:val="18"/>
                <w:szCs w:val="18"/>
              </w:rPr>
              <w:t>未检出</w:t>
            </w:r>
          </w:p>
        </w:tc>
        <w:tc>
          <w:tcPr>
            <w:tcW w:w="995" w:type="dxa"/>
            <w:vAlign w:val="top"/>
          </w:tcPr>
          <w:p w14:paraId="0336493D">
            <w:pPr>
              <w:pStyle w:val="6"/>
              <w:spacing w:before="55" w:line="219" w:lineRule="auto"/>
              <w:ind w:left="235"/>
              <w:rPr>
                <w:sz w:val="18"/>
                <w:szCs w:val="18"/>
              </w:rPr>
            </w:pPr>
            <w:r>
              <w:rPr>
                <w:spacing w:val="-4"/>
                <w:sz w:val="18"/>
                <w:szCs w:val="18"/>
              </w:rPr>
              <w:t>未检出</w:t>
            </w:r>
          </w:p>
        </w:tc>
        <w:tc>
          <w:tcPr>
            <w:tcW w:w="1071" w:type="dxa"/>
            <w:vAlign w:val="top"/>
          </w:tcPr>
          <w:p w14:paraId="04E3F888">
            <w:pPr>
              <w:pStyle w:val="6"/>
              <w:spacing w:before="55" w:line="219" w:lineRule="auto"/>
              <w:ind w:left="272"/>
              <w:rPr>
                <w:sz w:val="18"/>
                <w:szCs w:val="18"/>
              </w:rPr>
            </w:pPr>
            <w:r>
              <w:rPr>
                <w:spacing w:val="-4"/>
                <w:sz w:val="18"/>
                <w:szCs w:val="18"/>
              </w:rPr>
              <w:t>未检出</w:t>
            </w:r>
          </w:p>
        </w:tc>
        <w:tc>
          <w:tcPr>
            <w:tcW w:w="1177" w:type="dxa"/>
            <w:vAlign w:val="top"/>
          </w:tcPr>
          <w:p w14:paraId="5FE73DE3">
            <w:pPr>
              <w:pStyle w:val="6"/>
              <w:spacing w:before="55" w:line="219" w:lineRule="auto"/>
              <w:ind w:left="327"/>
              <w:rPr>
                <w:sz w:val="18"/>
                <w:szCs w:val="18"/>
              </w:rPr>
            </w:pPr>
            <w:r>
              <w:rPr>
                <w:spacing w:val="-4"/>
                <w:sz w:val="18"/>
                <w:szCs w:val="18"/>
              </w:rPr>
              <w:t>未检出</w:t>
            </w:r>
          </w:p>
        </w:tc>
        <w:tc>
          <w:tcPr>
            <w:tcW w:w="995" w:type="dxa"/>
            <w:vAlign w:val="top"/>
          </w:tcPr>
          <w:p w14:paraId="6A47D70C">
            <w:pPr>
              <w:pStyle w:val="6"/>
              <w:spacing w:before="55" w:line="219" w:lineRule="auto"/>
              <w:ind w:left="235"/>
              <w:rPr>
                <w:sz w:val="18"/>
                <w:szCs w:val="18"/>
              </w:rPr>
            </w:pPr>
            <w:r>
              <w:rPr>
                <w:spacing w:val="-4"/>
                <w:sz w:val="18"/>
                <w:szCs w:val="18"/>
              </w:rPr>
              <w:t>未检出</w:t>
            </w:r>
          </w:p>
        </w:tc>
        <w:tc>
          <w:tcPr>
            <w:tcW w:w="1046" w:type="dxa"/>
            <w:vAlign w:val="top"/>
          </w:tcPr>
          <w:p w14:paraId="43CD0C90">
            <w:pPr>
              <w:pStyle w:val="6"/>
              <w:spacing w:before="55" w:line="219" w:lineRule="auto"/>
              <w:ind w:left="260"/>
              <w:rPr>
                <w:sz w:val="18"/>
                <w:szCs w:val="18"/>
              </w:rPr>
            </w:pPr>
            <w:r>
              <w:rPr>
                <w:spacing w:val="-4"/>
                <w:sz w:val="18"/>
                <w:szCs w:val="18"/>
              </w:rPr>
              <w:t>未检出</w:t>
            </w:r>
          </w:p>
        </w:tc>
        <w:tc>
          <w:tcPr>
            <w:tcW w:w="1634" w:type="dxa"/>
            <w:vAlign w:val="top"/>
          </w:tcPr>
          <w:p w14:paraId="2CCC38EE">
            <w:pPr>
              <w:pStyle w:val="6"/>
              <w:spacing w:before="55" w:line="219" w:lineRule="auto"/>
              <w:ind w:left="555"/>
              <w:rPr>
                <w:sz w:val="18"/>
                <w:szCs w:val="18"/>
              </w:rPr>
            </w:pPr>
            <w:r>
              <w:rPr>
                <w:spacing w:val="-4"/>
                <w:sz w:val="18"/>
                <w:szCs w:val="18"/>
              </w:rPr>
              <w:t>未检出</w:t>
            </w:r>
          </w:p>
        </w:tc>
        <w:tc>
          <w:tcPr>
            <w:tcW w:w="1066" w:type="dxa"/>
            <w:tcBorders>
              <w:right w:val="nil"/>
            </w:tcBorders>
            <w:vAlign w:val="top"/>
          </w:tcPr>
          <w:p w14:paraId="2106795C">
            <w:pPr>
              <w:spacing w:before="86" w:line="185" w:lineRule="auto"/>
              <w:ind w:left="42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5.7</w:t>
            </w:r>
          </w:p>
        </w:tc>
      </w:tr>
      <w:tr w14:paraId="253758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90" w:type="dxa"/>
            <w:tcBorders>
              <w:left w:val="nil"/>
            </w:tcBorders>
            <w:vAlign w:val="top"/>
          </w:tcPr>
          <w:p w14:paraId="3151DA66">
            <w:pPr>
              <w:spacing w:before="86" w:line="188" w:lineRule="auto"/>
              <w:ind w:left="253"/>
              <w:rPr>
                <w:rFonts w:ascii="Times New Roman" w:hAnsi="Times New Roman" w:eastAsia="Times New Roman" w:cs="Times New Roman"/>
                <w:sz w:val="18"/>
                <w:szCs w:val="18"/>
              </w:rPr>
            </w:pPr>
            <w:r>
              <w:rPr>
                <w:rFonts w:ascii="Times New Roman" w:hAnsi="Times New Roman" w:eastAsia="Times New Roman" w:cs="Times New Roman"/>
                <w:sz w:val="18"/>
                <w:szCs w:val="18"/>
              </w:rPr>
              <w:t>4</w:t>
            </w:r>
          </w:p>
        </w:tc>
        <w:tc>
          <w:tcPr>
            <w:tcW w:w="1747" w:type="dxa"/>
            <w:vAlign w:val="top"/>
          </w:tcPr>
          <w:p w14:paraId="6AABA4BB">
            <w:pPr>
              <w:pStyle w:val="6"/>
              <w:spacing w:before="54" w:line="221" w:lineRule="auto"/>
              <w:ind w:left="788"/>
              <w:rPr>
                <w:sz w:val="18"/>
                <w:szCs w:val="18"/>
              </w:rPr>
            </w:pPr>
            <w:r>
              <w:rPr>
                <w:sz w:val="18"/>
                <w:szCs w:val="18"/>
              </w:rPr>
              <w:t>铜</w:t>
            </w:r>
          </w:p>
        </w:tc>
        <w:tc>
          <w:tcPr>
            <w:tcW w:w="766" w:type="dxa"/>
            <w:vAlign w:val="top"/>
          </w:tcPr>
          <w:p w14:paraId="7830584E">
            <w:pPr>
              <w:spacing w:before="86" w:line="188" w:lineRule="auto"/>
              <w:ind w:left="29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29</w:t>
            </w:r>
          </w:p>
        </w:tc>
        <w:tc>
          <w:tcPr>
            <w:tcW w:w="1082" w:type="dxa"/>
            <w:vAlign w:val="top"/>
          </w:tcPr>
          <w:p w14:paraId="22A9DB61">
            <w:pPr>
              <w:spacing w:before="86" w:line="188" w:lineRule="auto"/>
              <w:ind w:left="45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31</w:t>
            </w:r>
          </w:p>
        </w:tc>
        <w:tc>
          <w:tcPr>
            <w:tcW w:w="1045" w:type="dxa"/>
            <w:vAlign w:val="top"/>
          </w:tcPr>
          <w:p w14:paraId="613500C3">
            <w:pPr>
              <w:spacing w:before="86" w:line="188" w:lineRule="auto"/>
              <w:ind w:left="43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30</w:t>
            </w:r>
          </w:p>
        </w:tc>
        <w:tc>
          <w:tcPr>
            <w:tcW w:w="994" w:type="dxa"/>
            <w:vAlign w:val="top"/>
          </w:tcPr>
          <w:p w14:paraId="1B3637B7">
            <w:pPr>
              <w:spacing w:before="86" w:line="188" w:lineRule="auto"/>
              <w:ind w:left="40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22</w:t>
            </w:r>
          </w:p>
        </w:tc>
        <w:tc>
          <w:tcPr>
            <w:tcW w:w="995" w:type="dxa"/>
            <w:vAlign w:val="top"/>
          </w:tcPr>
          <w:p w14:paraId="39550099">
            <w:pPr>
              <w:spacing w:before="86" w:line="188" w:lineRule="auto"/>
              <w:ind w:left="40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c>
          <w:tcPr>
            <w:tcW w:w="1071" w:type="dxa"/>
            <w:vAlign w:val="top"/>
          </w:tcPr>
          <w:p w14:paraId="67F73720">
            <w:pPr>
              <w:spacing w:before="86" w:line="188" w:lineRule="auto"/>
              <w:ind w:left="44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22</w:t>
            </w:r>
          </w:p>
        </w:tc>
        <w:tc>
          <w:tcPr>
            <w:tcW w:w="1177" w:type="dxa"/>
            <w:vAlign w:val="top"/>
          </w:tcPr>
          <w:p w14:paraId="192FCAEA">
            <w:pPr>
              <w:spacing w:before="86" w:line="188" w:lineRule="auto"/>
              <w:ind w:left="50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34</w:t>
            </w:r>
          </w:p>
        </w:tc>
        <w:tc>
          <w:tcPr>
            <w:tcW w:w="995" w:type="dxa"/>
            <w:vAlign w:val="top"/>
          </w:tcPr>
          <w:p w14:paraId="4C43E3C4">
            <w:pPr>
              <w:spacing w:before="86" w:line="188" w:lineRule="auto"/>
              <w:ind w:left="41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30</w:t>
            </w:r>
          </w:p>
        </w:tc>
        <w:tc>
          <w:tcPr>
            <w:tcW w:w="1046" w:type="dxa"/>
            <w:vAlign w:val="top"/>
          </w:tcPr>
          <w:p w14:paraId="6187A2F8">
            <w:pPr>
              <w:spacing w:before="86" w:line="188" w:lineRule="auto"/>
              <w:ind w:left="43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36</w:t>
            </w:r>
          </w:p>
        </w:tc>
        <w:tc>
          <w:tcPr>
            <w:tcW w:w="1634" w:type="dxa"/>
            <w:vAlign w:val="top"/>
          </w:tcPr>
          <w:p w14:paraId="7844B928">
            <w:pPr>
              <w:spacing w:before="86" w:line="188" w:lineRule="auto"/>
              <w:ind w:left="73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51</w:t>
            </w:r>
          </w:p>
        </w:tc>
        <w:tc>
          <w:tcPr>
            <w:tcW w:w="1066" w:type="dxa"/>
            <w:tcBorders>
              <w:right w:val="nil"/>
            </w:tcBorders>
            <w:vAlign w:val="top"/>
          </w:tcPr>
          <w:p w14:paraId="0D792512">
            <w:pPr>
              <w:spacing w:before="86" w:line="188" w:lineRule="auto"/>
              <w:ind w:left="32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18000</w:t>
            </w:r>
          </w:p>
        </w:tc>
      </w:tr>
      <w:tr w14:paraId="2E4DFF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90" w:type="dxa"/>
            <w:tcBorders>
              <w:left w:val="nil"/>
            </w:tcBorders>
            <w:vAlign w:val="top"/>
          </w:tcPr>
          <w:p w14:paraId="0EEC4706">
            <w:pPr>
              <w:spacing w:before="88" w:line="185" w:lineRule="auto"/>
              <w:ind w:left="259"/>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tc>
        <w:tc>
          <w:tcPr>
            <w:tcW w:w="1747" w:type="dxa"/>
            <w:vAlign w:val="top"/>
          </w:tcPr>
          <w:p w14:paraId="4D2AB86D">
            <w:pPr>
              <w:pStyle w:val="6"/>
              <w:spacing w:before="56" w:line="224" w:lineRule="auto"/>
              <w:ind w:left="788"/>
              <w:rPr>
                <w:sz w:val="18"/>
                <w:szCs w:val="18"/>
              </w:rPr>
            </w:pPr>
            <w:r>
              <w:rPr>
                <w:sz w:val="18"/>
                <w:szCs w:val="18"/>
              </w:rPr>
              <w:t>铅</w:t>
            </w:r>
          </w:p>
        </w:tc>
        <w:tc>
          <w:tcPr>
            <w:tcW w:w="766" w:type="dxa"/>
            <w:vAlign w:val="top"/>
          </w:tcPr>
          <w:p w14:paraId="6373980C">
            <w:pPr>
              <w:spacing w:before="86"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22.2</w:t>
            </w:r>
          </w:p>
        </w:tc>
        <w:tc>
          <w:tcPr>
            <w:tcW w:w="1082" w:type="dxa"/>
            <w:vAlign w:val="top"/>
          </w:tcPr>
          <w:p w14:paraId="4BAD3721">
            <w:pPr>
              <w:spacing w:before="86" w:line="188" w:lineRule="auto"/>
              <w:ind w:left="3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21.0</w:t>
            </w:r>
          </w:p>
        </w:tc>
        <w:tc>
          <w:tcPr>
            <w:tcW w:w="1045" w:type="dxa"/>
            <w:vAlign w:val="top"/>
          </w:tcPr>
          <w:p w14:paraId="228E93F3">
            <w:pPr>
              <w:spacing w:before="86" w:line="188" w:lineRule="auto"/>
              <w:ind w:left="36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21.9</w:t>
            </w:r>
          </w:p>
        </w:tc>
        <w:tc>
          <w:tcPr>
            <w:tcW w:w="994" w:type="dxa"/>
            <w:vAlign w:val="top"/>
          </w:tcPr>
          <w:p w14:paraId="078523F8">
            <w:pPr>
              <w:spacing w:before="86" w:line="188" w:lineRule="auto"/>
              <w:ind w:left="34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25.3</w:t>
            </w:r>
          </w:p>
        </w:tc>
        <w:tc>
          <w:tcPr>
            <w:tcW w:w="995" w:type="dxa"/>
            <w:vAlign w:val="top"/>
          </w:tcPr>
          <w:p w14:paraId="16E694D8">
            <w:pPr>
              <w:spacing w:before="86" w:line="188" w:lineRule="auto"/>
              <w:ind w:left="34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w:t>
            </w:r>
            <w:r>
              <w:rPr>
                <w:rFonts w:ascii="Times New Roman" w:hAnsi="Times New Roman" w:eastAsia="Times New Roman" w:cs="Times New Roman"/>
                <w:spacing w:val="-24"/>
                <w:sz w:val="18"/>
                <w:szCs w:val="18"/>
              </w:rPr>
              <w:t xml:space="preserve"> </w:t>
            </w:r>
            <w:r>
              <w:rPr>
                <w:rFonts w:ascii="Times New Roman" w:hAnsi="Times New Roman" w:eastAsia="Times New Roman" w:cs="Times New Roman"/>
                <w:spacing w:val="-1"/>
                <w:sz w:val="18"/>
                <w:szCs w:val="18"/>
              </w:rPr>
              <w:t>1</w:t>
            </w:r>
          </w:p>
        </w:tc>
        <w:tc>
          <w:tcPr>
            <w:tcW w:w="1071" w:type="dxa"/>
            <w:vAlign w:val="top"/>
          </w:tcPr>
          <w:p w14:paraId="43FD43E5">
            <w:pPr>
              <w:spacing w:before="86" w:line="188" w:lineRule="auto"/>
              <w:ind w:left="37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25.0</w:t>
            </w:r>
          </w:p>
        </w:tc>
        <w:tc>
          <w:tcPr>
            <w:tcW w:w="1177" w:type="dxa"/>
            <w:vAlign w:val="top"/>
          </w:tcPr>
          <w:p w14:paraId="3E2FD365">
            <w:pPr>
              <w:spacing w:before="86" w:line="188" w:lineRule="auto"/>
              <w:ind w:left="451"/>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19.4</w:t>
            </w:r>
          </w:p>
        </w:tc>
        <w:tc>
          <w:tcPr>
            <w:tcW w:w="995" w:type="dxa"/>
            <w:vAlign w:val="top"/>
          </w:tcPr>
          <w:p w14:paraId="3C5A89BB">
            <w:pPr>
              <w:spacing w:before="86" w:line="188" w:lineRule="auto"/>
              <w:ind w:left="3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20.2</w:t>
            </w:r>
          </w:p>
        </w:tc>
        <w:tc>
          <w:tcPr>
            <w:tcW w:w="1046" w:type="dxa"/>
            <w:vAlign w:val="top"/>
          </w:tcPr>
          <w:p w14:paraId="53D6C252">
            <w:pPr>
              <w:spacing w:before="86" w:line="188" w:lineRule="auto"/>
              <w:ind w:left="36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21.7</w:t>
            </w:r>
          </w:p>
        </w:tc>
        <w:tc>
          <w:tcPr>
            <w:tcW w:w="1634" w:type="dxa"/>
            <w:vAlign w:val="top"/>
          </w:tcPr>
          <w:p w14:paraId="0A1469C9">
            <w:pPr>
              <w:spacing w:before="86" w:line="188" w:lineRule="auto"/>
              <w:ind w:left="66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31.0</w:t>
            </w:r>
          </w:p>
        </w:tc>
        <w:tc>
          <w:tcPr>
            <w:tcW w:w="1066" w:type="dxa"/>
            <w:tcBorders>
              <w:right w:val="nil"/>
            </w:tcBorders>
            <w:vAlign w:val="top"/>
          </w:tcPr>
          <w:p w14:paraId="336CA864">
            <w:pPr>
              <w:spacing w:before="86" w:line="188" w:lineRule="auto"/>
              <w:ind w:left="408"/>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800</w:t>
            </w:r>
          </w:p>
        </w:tc>
      </w:tr>
      <w:tr w14:paraId="74EF26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69E90B61">
            <w:pPr>
              <w:spacing w:before="88" w:line="188" w:lineRule="auto"/>
              <w:ind w:left="258"/>
              <w:rPr>
                <w:rFonts w:ascii="Times New Roman" w:hAnsi="Times New Roman" w:eastAsia="Times New Roman" w:cs="Times New Roman"/>
                <w:sz w:val="18"/>
                <w:szCs w:val="18"/>
              </w:rPr>
            </w:pPr>
            <w:r>
              <w:rPr>
                <w:rFonts w:ascii="Times New Roman" w:hAnsi="Times New Roman" w:eastAsia="Times New Roman" w:cs="Times New Roman"/>
                <w:sz w:val="18"/>
                <w:szCs w:val="18"/>
              </w:rPr>
              <w:t>6</w:t>
            </w:r>
          </w:p>
        </w:tc>
        <w:tc>
          <w:tcPr>
            <w:tcW w:w="1747" w:type="dxa"/>
            <w:vAlign w:val="top"/>
          </w:tcPr>
          <w:p w14:paraId="28BFEBB1">
            <w:pPr>
              <w:pStyle w:val="6"/>
              <w:spacing w:before="57" w:line="220" w:lineRule="auto"/>
              <w:ind w:left="789"/>
              <w:rPr>
                <w:sz w:val="18"/>
                <w:szCs w:val="18"/>
              </w:rPr>
            </w:pPr>
            <w:r>
              <w:rPr>
                <w:sz w:val="18"/>
                <w:szCs w:val="18"/>
              </w:rPr>
              <w:t>汞</w:t>
            </w:r>
          </w:p>
        </w:tc>
        <w:tc>
          <w:tcPr>
            <w:tcW w:w="766" w:type="dxa"/>
            <w:vAlign w:val="top"/>
          </w:tcPr>
          <w:p w14:paraId="1B87DE79">
            <w:pPr>
              <w:spacing w:before="88" w:line="188" w:lineRule="auto"/>
              <w:ind w:left="18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0.</w:t>
            </w:r>
            <w:r>
              <w:rPr>
                <w:rFonts w:ascii="Times New Roman" w:hAnsi="Times New Roman" w:eastAsia="Times New Roman" w:cs="Times New Roman"/>
                <w:spacing w:val="-22"/>
                <w:sz w:val="18"/>
                <w:szCs w:val="18"/>
              </w:rPr>
              <w:t xml:space="preserve"> </w:t>
            </w:r>
            <w:r>
              <w:rPr>
                <w:rFonts w:ascii="Times New Roman" w:hAnsi="Times New Roman" w:eastAsia="Times New Roman" w:cs="Times New Roman"/>
                <w:spacing w:val="-7"/>
                <w:sz w:val="18"/>
                <w:szCs w:val="18"/>
              </w:rPr>
              <w:t>112</w:t>
            </w:r>
          </w:p>
        </w:tc>
        <w:tc>
          <w:tcPr>
            <w:tcW w:w="1082" w:type="dxa"/>
            <w:vAlign w:val="top"/>
          </w:tcPr>
          <w:p w14:paraId="6ACCCB07">
            <w:pPr>
              <w:spacing w:before="88" w:line="188" w:lineRule="auto"/>
              <w:ind w:left="3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0.123</w:t>
            </w:r>
          </w:p>
        </w:tc>
        <w:tc>
          <w:tcPr>
            <w:tcW w:w="1045" w:type="dxa"/>
            <w:vAlign w:val="top"/>
          </w:tcPr>
          <w:p w14:paraId="6920B156">
            <w:pPr>
              <w:spacing w:before="88" w:line="188" w:lineRule="auto"/>
              <w:ind w:left="32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0.116</w:t>
            </w:r>
          </w:p>
        </w:tc>
        <w:tc>
          <w:tcPr>
            <w:tcW w:w="994" w:type="dxa"/>
            <w:vAlign w:val="top"/>
          </w:tcPr>
          <w:p w14:paraId="060FE395">
            <w:pPr>
              <w:spacing w:before="88" w:line="188" w:lineRule="auto"/>
              <w:ind w:left="29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0.135</w:t>
            </w:r>
          </w:p>
        </w:tc>
        <w:tc>
          <w:tcPr>
            <w:tcW w:w="995" w:type="dxa"/>
            <w:vAlign w:val="top"/>
          </w:tcPr>
          <w:p w14:paraId="6BE87A09">
            <w:pPr>
              <w:spacing w:before="88" w:line="188" w:lineRule="auto"/>
              <w:ind w:left="29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0.131</w:t>
            </w:r>
          </w:p>
        </w:tc>
        <w:tc>
          <w:tcPr>
            <w:tcW w:w="1071" w:type="dxa"/>
            <w:vAlign w:val="top"/>
          </w:tcPr>
          <w:p w14:paraId="4204B3AB">
            <w:pPr>
              <w:spacing w:before="88" w:line="188" w:lineRule="auto"/>
              <w:ind w:left="33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0.138</w:t>
            </w:r>
          </w:p>
        </w:tc>
        <w:tc>
          <w:tcPr>
            <w:tcW w:w="1177" w:type="dxa"/>
            <w:vAlign w:val="top"/>
          </w:tcPr>
          <w:p w14:paraId="165187FA">
            <w:pPr>
              <w:spacing w:before="88" w:line="188" w:lineRule="auto"/>
              <w:ind w:left="395"/>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0.</w:t>
            </w:r>
            <w:r>
              <w:rPr>
                <w:rFonts w:ascii="Times New Roman" w:hAnsi="Times New Roman" w:eastAsia="Times New Roman" w:cs="Times New Roman"/>
                <w:spacing w:val="-22"/>
                <w:sz w:val="18"/>
                <w:szCs w:val="18"/>
              </w:rPr>
              <w:t xml:space="preserve"> </w:t>
            </w:r>
            <w:r>
              <w:rPr>
                <w:rFonts w:ascii="Times New Roman" w:hAnsi="Times New Roman" w:eastAsia="Times New Roman" w:cs="Times New Roman"/>
                <w:spacing w:val="-7"/>
                <w:sz w:val="18"/>
                <w:szCs w:val="18"/>
              </w:rPr>
              <w:t>111</w:t>
            </w:r>
          </w:p>
        </w:tc>
        <w:tc>
          <w:tcPr>
            <w:tcW w:w="995" w:type="dxa"/>
            <w:vAlign w:val="top"/>
          </w:tcPr>
          <w:p w14:paraId="56F31C70">
            <w:pPr>
              <w:spacing w:before="88" w:line="188" w:lineRule="auto"/>
              <w:ind w:left="29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0.106</w:t>
            </w:r>
          </w:p>
        </w:tc>
        <w:tc>
          <w:tcPr>
            <w:tcW w:w="1046" w:type="dxa"/>
            <w:vAlign w:val="top"/>
          </w:tcPr>
          <w:p w14:paraId="339CC3AA">
            <w:pPr>
              <w:spacing w:before="88" w:line="188" w:lineRule="auto"/>
              <w:ind w:left="32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0.113</w:t>
            </w:r>
          </w:p>
        </w:tc>
        <w:tc>
          <w:tcPr>
            <w:tcW w:w="1634" w:type="dxa"/>
            <w:vAlign w:val="top"/>
          </w:tcPr>
          <w:p w14:paraId="56D0F38C">
            <w:pPr>
              <w:spacing w:before="88" w:line="188" w:lineRule="auto"/>
              <w:ind w:left="61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0.106</w:t>
            </w:r>
          </w:p>
        </w:tc>
        <w:tc>
          <w:tcPr>
            <w:tcW w:w="1066" w:type="dxa"/>
            <w:tcBorders>
              <w:right w:val="nil"/>
            </w:tcBorders>
            <w:vAlign w:val="top"/>
          </w:tcPr>
          <w:p w14:paraId="2CCDC18A">
            <w:pPr>
              <w:spacing w:before="88" w:line="188" w:lineRule="auto"/>
              <w:ind w:left="448"/>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38</w:t>
            </w:r>
          </w:p>
        </w:tc>
      </w:tr>
      <w:tr w14:paraId="6CC165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3" w:hRule="atLeast"/>
        </w:trPr>
        <w:tc>
          <w:tcPr>
            <w:tcW w:w="590" w:type="dxa"/>
            <w:tcBorders>
              <w:left w:val="nil"/>
            </w:tcBorders>
            <w:vAlign w:val="top"/>
          </w:tcPr>
          <w:p w14:paraId="6FF908B2">
            <w:pPr>
              <w:spacing w:before="89" w:line="185" w:lineRule="auto"/>
              <w:ind w:left="257"/>
              <w:rPr>
                <w:rFonts w:ascii="Times New Roman" w:hAnsi="Times New Roman" w:eastAsia="Times New Roman" w:cs="Times New Roman"/>
                <w:sz w:val="18"/>
                <w:szCs w:val="18"/>
              </w:rPr>
            </w:pPr>
            <w:r>
              <w:rPr>
                <w:rFonts w:ascii="Times New Roman" w:hAnsi="Times New Roman" w:eastAsia="Times New Roman" w:cs="Times New Roman"/>
                <w:sz w:val="18"/>
                <w:szCs w:val="18"/>
              </w:rPr>
              <w:t>7</w:t>
            </w:r>
          </w:p>
        </w:tc>
        <w:tc>
          <w:tcPr>
            <w:tcW w:w="1747" w:type="dxa"/>
            <w:vAlign w:val="top"/>
          </w:tcPr>
          <w:p w14:paraId="3D5F7975">
            <w:pPr>
              <w:pStyle w:val="6"/>
              <w:spacing w:before="58" w:line="220" w:lineRule="auto"/>
              <w:ind w:left="787"/>
              <w:rPr>
                <w:sz w:val="18"/>
                <w:szCs w:val="18"/>
              </w:rPr>
            </w:pPr>
            <w:r>
              <w:rPr>
                <w:sz w:val="18"/>
                <w:szCs w:val="18"/>
              </w:rPr>
              <w:t>镍</w:t>
            </w:r>
          </w:p>
        </w:tc>
        <w:tc>
          <w:tcPr>
            <w:tcW w:w="766" w:type="dxa"/>
            <w:vAlign w:val="top"/>
          </w:tcPr>
          <w:p w14:paraId="61A1361F">
            <w:pPr>
              <w:spacing w:before="87" w:line="188" w:lineRule="auto"/>
              <w:ind w:left="298"/>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51</w:t>
            </w:r>
          </w:p>
        </w:tc>
        <w:tc>
          <w:tcPr>
            <w:tcW w:w="1082" w:type="dxa"/>
            <w:vAlign w:val="top"/>
          </w:tcPr>
          <w:p w14:paraId="13D1D98D">
            <w:pPr>
              <w:spacing w:before="87" w:line="188" w:lineRule="auto"/>
              <w:ind w:left="45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54</w:t>
            </w:r>
          </w:p>
        </w:tc>
        <w:tc>
          <w:tcPr>
            <w:tcW w:w="1045" w:type="dxa"/>
            <w:vAlign w:val="top"/>
          </w:tcPr>
          <w:p w14:paraId="659AC766">
            <w:pPr>
              <w:spacing w:before="87" w:line="188" w:lineRule="auto"/>
              <w:ind w:left="43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56</w:t>
            </w:r>
          </w:p>
        </w:tc>
        <w:tc>
          <w:tcPr>
            <w:tcW w:w="994" w:type="dxa"/>
            <w:vAlign w:val="top"/>
          </w:tcPr>
          <w:p w14:paraId="3270C8E0">
            <w:pPr>
              <w:spacing w:before="87" w:line="188" w:lineRule="auto"/>
              <w:ind w:left="41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62</w:t>
            </w:r>
          </w:p>
        </w:tc>
        <w:tc>
          <w:tcPr>
            <w:tcW w:w="995" w:type="dxa"/>
            <w:vAlign w:val="top"/>
          </w:tcPr>
          <w:p w14:paraId="347B3B68">
            <w:pPr>
              <w:spacing w:before="87" w:line="188" w:lineRule="auto"/>
              <w:ind w:left="41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60</w:t>
            </w:r>
          </w:p>
        </w:tc>
        <w:tc>
          <w:tcPr>
            <w:tcW w:w="1071" w:type="dxa"/>
            <w:vAlign w:val="top"/>
          </w:tcPr>
          <w:p w14:paraId="18646288">
            <w:pPr>
              <w:spacing w:before="87" w:line="188" w:lineRule="auto"/>
              <w:ind w:left="45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59</w:t>
            </w:r>
          </w:p>
        </w:tc>
        <w:tc>
          <w:tcPr>
            <w:tcW w:w="1177" w:type="dxa"/>
            <w:vAlign w:val="top"/>
          </w:tcPr>
          <w:p w14:paraId="405BFD8A">
            <w:pPr>
              <w:spacing w:before="87" w:line="188" w:lineRule="auto"/>
              <w:ind w:left="50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39</w:t>
            </w:r>
          </w:p>
        </w:tc>
        <w:tc>
          <w:tcPr>
            <w:tcW w:w="995" w:type="dxa"/>
            <w:vAlign w:val="top"/>
          </w:tcPr>
          <w:p w14:paraId="00BB21E5">
            <w:pPr>
              <w:spacing w:before="87" w:line="188" w:lineRule="auto"/>
              <w:ind w:left="40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42</w:t>
            </w:r>
          </w:p>
        </w:tc>
        <w:tc>
          <w:tcPr>
            <w:tcW w:w="1046" w:type="dxa"/>
            <w:vAlign w:val="top"/>
          </w:tcPr>
          <w:p w14:paraId="60C30337">
            <w:pPr>
              <w:spacing w:before="87" w:line="188" w:lineRule="auto"/>
              <w:ind w:left="43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36</w:t>
            </w:r>
          </w:p>
        </w:tc>
        <w:tc>
          <w:tcPr>
            <w:tcW w:w="1634" w:type="dxa"/>
            <w:vAlign w:val="top"/>
          </w:tcPr>
          <w:p w14:paraId="2C80CCF2">
            <w:pPr>
              <w:spacing w:before="87" w:line="188" w:lineRule="auto"/>
              <w:ind w:left="73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63</w:t>
            </w:r>
          </w:p>
        </w:tc>
        <w:tc>
          <w:tcPr>
            <w:tcW w:w="1066" w:type="dxa"/>
            <w:tcBorders>
              <w:right w:val="nil"/>
            </w:tcBorders>
            <w:vAlign w:val="top"/>
          </w:tcPr>
          <w:p w14:paraId="6952B51F">
            <w:pPr>
              <w:spacing w:before="87" w:line="188" w:lineRule="auto"/>
              <w:ind w:left="40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900</w:t>
            </w:r>
          </w:p>
        </w:tc>
      </w:tr>
    </w:tbl>
    <w:p w14:paraId="1669A01B">
      <w:pPr>
        <w:spacing w:before="28" w:line="219" w:lineRule="auto"/>
        <w:ind w:left="6569"/>
        <w:rPr>
          <w:rFonts w:ascii="宋体" w:hAnsi="宋体" w:eastAsia="宋体" w:cs="宋体"/>
          <w:sz w:val="18"/>
          <w:szCs w:val="18"/>
        </w:rPr>
      </w:pPr>
      <w:r>
        <w:rPr>
          <w:rFonts w:ascii="宋体" w:hAnsi="宋体" w:eastAsia="宋体" w:cs="宋体"/>
          <w:spacing w:val="-2"/>
          <w:sz w:val="18"/>
          <w:szCs w:val="18"/>
        </w:rPr>
        <w:t>挥发性有机物</w:t>
      </w:r>
    </w:p>
    <w:p w14:paraId="777CACE2">
      <w:pPr>
        <w:spacing w:line="42" w:lineRule="exact"/>
      </w:pPr>
    </w:p>
    <w:tbl>
      <w:tblPr>
        <w:tblStyle w:val="5"/>
        <w:tblW w:w="1420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0"/>
        <w:gridCol w:w="1747"/>
        <w:gridCol w:w="766"/>
        <w:gridCol w:w="1081"/>
        <w:gridCol w:w="1045"/>
        <w:gridCol w:w="995"/>
        <w:gridCol w:w="995"/>
        <w:gridCol w:w="1071"/>
        <w:gridCol w:w="1177"/>
        <w:gridCol w:w="995"/>
        <w:gridCol w:w="1046"/>
        <w:gridCol w:w="1634"/>
        <w:gridCol w:w="1066"/>
      </w:tblGrid>
      <w:tr w14:paraId="126418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3" w:hRule="atLeast"/>
        </w:trPr>
        <w:tc>
          <w:tcPr>
            <w:tcW w:w="590" w:type="dxa"/>
            <w:tcBorders>
              <w:left w:val="nil"/>
            </w:tcBorders>
            <w:vAlign w:val="top"/>
          </w:tcPr>
          <w:p w14:paraId="27438F08">
            <w:pPr>
              <w:spacing w:before="87" w:line="188" w:lineRule="auto"/>
              <w:ind w:left="261"/>
              <w:rPr>
                <w:rFonts w:ascii="Times New Roman" w:hAnsi="Times New Roman" w:eastAsia="Times New Roman" w:cs="Times New Roman"/>
                <w:sz w:val="18"/>
                <w:szCs w:val="18"/>
              </w:rPr>
            </w:pPr>
            <w:r>
              <w:rPr>
                <w:rFonts w:ascii="Times New Roman" w:hAnsi="Times New Roman" w:eastAsia="Times New Roman" w:cs="Times New Roman"/>
                <w:sz w:val="18"/>
                <w:szCs w:val="18"/>
              </w:rPr>
              <w:t>8</w:t>
            </w:r>
          </w:p>
        </w:tc>
        <w:tc>
          <w:tcPr>
            <w:tcW w:w="1747" w:type="dxa"/>
            <w:vAlign w:val="top"/>
          </w:tcPr>
          <w:p w14:paraId="2040742E">
            <w:pPr>
              <w:pStyle w:val="6"/>
              <w:spacing w:before="58" w:line="220" w:lineRule="auto"/>
              <w:ind w:left="534"/>
              <w:rPr>
                <w:sz w:val="18"/>
                <w:szCs w:val="18"/>
              </w:rPr>
            </w:pPr>
            <w:r>
              <w:rPr>
                <w:spacing w:val="-6"/>
                <w:sz w:val="18"/>
                <w:szCs w:val="18"/>
              </w:rPr>
              <w:t>四氯化碳</w:t>
            </w:r>
          </w:p>
        </w:tc>
        <w:tc>
          <w:tcPr>
            <w:tcW w:w="766" w:type="dxa"/>
            <w:vAlign w:val="top"/>
          </w:tcPr>
          <w:p w14:paraId="5E2D8628">
            <w:pPr>
              <w:pStyle w:val="6"/>
              <w:spacing w:before="58" w:line="219" w:lineRule="auto"/>
              <w:ind w:left="119"/>
              <w:rPr>
                <w:sz w:val="18"/>
                <w:szCs w:val="18"/>
              </w:rPr>
            </w:pPr>
            <w:r>
              <w:rPr>
                <w:spacing w:val="-4"/>
                <w:sz w:val="18"/>
                <w:szCs w:val="18"/>
              </w:rPr>
              <w:t>未检出</w:t>
            </w:r>
          </w:p>
        </w:tc>
        <w:tc>
          <w:tcPr>
            <w:tcW w:w="1081" w:type="dxa"/>
            <w:vAlign w:val="top"/>
          </w:tcPr>
          <w:p w14:paraId="19E0D5A7">
            <w:pPr>
              <w:pStyle w:val="6"/>
              <w:spacing w:before="58" w:line="219" w:lineRule="auto"/>
              <w:ind w:left="277"/>
              <w:rPr>
                <w:sz w:val="18"/>
                <w:szCs w:val="18"/>
              </w:rPr>
            </w:pPr>
            <w:r>
              <w:rPr>
                <w:spacing w:val="-4"/>
                <w:sz w:val="18"/>
                <w:szCs w:val="18"/>
              </w:rPr>
              <w:t>未检出</w:t>
            </w:r>
          </w:p>
        </w:tc>
        <w:tc>
          <w:tcPr>
            <w:tcW w:w="1045" w:type="dxa"/>
            <w:vAlign w:val="top"/>
          </w:tcPr>
          <w:p w14:paraId="4FF9CBEE">
            <w:pPr>
              <w:pStyle w:val="6"/>
              <w:spacing w:before="58" w:line="219" w:lineRule="auto"/>
              <w:ind w:left="259"/>
              <w:rPr>
                <w:sz w:val="18"/>
                <w:szCs w:val="18"/>
              </w:rPr>
            </w:pPr>
            <w:r>
              <w:rPr>
                <w:spacing w:val="-4"/>
                <w:sz w:val="18"/>
                <w:szCs w:val="18"/>
              </w:rPr>
              <w:t>未检出</w:t>
            </w:r>
          </w:p>
        </w:tc>
        <w:tc>
          <w:tcPr>
            <w:tcW w:w="995" w:type="dxa"/>
            <w:vAlign w:val="top"/>
          </w:tcPr>
          <w:p w14:paraId="25B36B70">
            <w:pPr>
              <w:pStyle w:val="6"/>
              <w:spacing w:before="58" w:line="219" w:lineRule="auto"/>
              <w:ind w:left="234"/>
              <w:rPr>
                <w:sz w:val="18"/>
                <w:szCs w:val="18"/>
              </w:rPr>
            </w:pPr>
            <w:r>
              <w:rPr>
                <w:spacing w:val="-4"/>
                <w:sz w:val="18"/>
                <w:szCs w:val="18"/>
              </w:rPr>
              <w:t>未检出</w:t>
            </w:r>
          </w:p>
        </w:tc>
        <w:tc>
          <w:tcPr>
            <w:tcW w:w="995" w:type="dxa"/>
            <w:vAlign w:val="top"/>
          </w:tcPr>
          <w:p w14:paraId="76569FF2">
            <w:pPr>
              <w:pStyle w:val="6"/>
              <w:spacing w:before="58" w:line="219" w:lineRule="auto"/>
              <w:ind w:left="235"/>
              <w:rPr>
                <w:sz w:val="18"/>
                <w:szCs w:val="18"/>
              </w:rPr>
            </w:pPr>
            <w:r>
              <w:rPr>
                <w:spacing w:val="-4"/>
                <w:sz w:val="18"/>
                <w:szCs w:val="18"/>
              </w:rPr>
              <w:t>未检出</w:t>
            </w:r>
          </w:p>
        </w:tc>
        <w:tc>
          <w:tcPr>
            <w:tcW w:w="1071" w:type="dxa"/>
            <w:vAlign w:val="top"/>
          </w:tcPr>
          <w:p w14:paraId="3A9242FB">
            <w:pPr>
              <w:pStyle w:val="6"/>
              <w:spacing w:before="58" w:line="219" w:lineRule="auto"/>
              <w:ind w:left="272"/>
              <w:rPr>
                <w:sz w:val="18"/>
                <w:szCs w:val="18"/>
              </w:rPr>
            </w:pPr>
            <w:r>
              <w:rPr>
                <w:spacing w:val="-4"/>
                <w:sz w:val="18"/>
                <w:szCs w:val="18"/>
              </w:rPr>
              <w:t>未检出</w:t>
            </w:r>
          </w:p>
        </w:tc>
        <w:tc>
          <w:tcPr>
            <w:tcW w:w="1177" w:type="dxa"/>
            <w:vAlign w:val="top"/>
          </w:tcPr>
          <w:p w14:paraId="5D9E83C2">
            <w:pPr>
              <w:pStyle w:val="6"/>
              <w:spacing w:before="58" w:line="219" w:lineRule="auto"/>
              <w:ind w:left="327"/>
              <w:rPr>
                <w:sz w:val="18"/>
                <w:szCs w:val="18"/>
              </w:rPr>
            </w:pPr>
            <w:r>
              <w:rPr>
                <w:spacing w:val="-4"/>
                <w:sz w:val="18"/>
                <w:szCs w:val="18"/>
              </w:rPr>
              <w:t>未检出</w:t>
            </w:r>
          </w:p>
        </w:tc>
        <w:tc>
          <w:tcPr>
            <w:tcW w:w="995" w:type="dxa"/>
            <w:vAlign w:val="top"/>
          </w:tcPr>
          <w:p w14:paraId="098CB9DF">
            <w:pPr>
              <w:pStyle w:val="6"/>
              <w:spacing w:before="58" w:line="219" w:lineRule="auto"/>
              <w:ind w:left="235"/>
              <w:rPr>
                <w:sz w:val="18"/>
                <w:szCs w:val="18"/>
              </w:rPr>
            </w:pPr>
            <w:r>
              <w:rPr>
                <w:spacing w:val="-4"/>
                <w:sz w:val="18"/>
                <w:szCs w:val="18"/>
              </w:rPr>
              <w:t>未检出</w:t>
            </w:r>
          </w:p>
        </w:tc>
        <w:tc>
          <w:tcPr>
            <w:tcW w:w="1046" w:type="dxa"/>
            <w:vAlign w:val="top"/>
          </w:tcPr>
          <w:p w14:paraId="16C068A7">
            <w:pPr>
              <w:pStyle w:val="6"/>
              <w:spacing w:before="58" w:line="219" w:lineRule="auto"/>
              <w:ind w:left="260"/>
              <w:rPr>
                <w:sz w:val="18"/>
                <w:szCs w:val="18"/>
              </w:rPr>
            </w:pPr>
            <w:r>
              <w:rPr>
                <w:spacing w:val="-4"/>
                <w:sz w:val="18"/>
                <w:szCs w:val="18"/>
              </w:rPr>
              <w:t>未检出</w:t>
            </w:r>
          </w:p>
        </w:tc>
        <w:tc>
          <w:tcPr>
            <w:tcW w:w="1634" w:type="dxa"/>
            <w:vAlign w:val="top"/>
          </w:tcPr>
          <w:p w14:paraId="1CAC5517">
            <w:pPr>
              <w:pStyle w:val="6"/>
              <w:spacing w:before="58" w:line="219" w:lineRule="auto"/>
              <w:ind w:left="555"/>
              <w:rPr>
                <w:sz w:val="18"/>
                <w:szCs w:val="18"/>
              </w:rPr>
            </w:pPr>
            <w:r>
              <w:rPr>
                <w:spacing w:val="-4"/>
                <w:sz w:val="18"/>
                <w:szCs w:val="18"/>
              </w:rPr>
              <w:t>未检出</w:t>
            </w:r>
          </w:p>
        </w:tc>
        <w:tc>
          <w:tcPr>
            <w:tcW w:w="1066" w:type="dxa"/>
            <w:tcBorders>
              <w:right w:val="nil"/>
            </w:tcBorders>
            <w:vAlign w:val="top"/>
          </w:tcPr>
          <w:p w14:paraId="1E875BF5">
            <w:pPr>
              <w:spacing w:before="87" w:line="188" w:lineRule="auto"/>
              <w:ind w:left="42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w:t>
            </w:r>
          </w:p>
        </w:tc>
      </w:tr>
      <w:tr w14:paraId="3A62C0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90" w:type="dxa"/>
            <w:tcBorders>
              <w:left w:val="nil"/>
            </w:tcBorders>
            <w:vAlign w:val="top"/>
          </w:tcPr>
          <w:p w14:paraId="0D85DAE9">
            <w:pPr>
              <w:spacing w:before="84" w:line="188" w:lineRule="auto"/>
              <w:ind w:left="258"/>
              <w:rPr>
                <w:rFonts w:ascii="Times New Roman" w:hAnsi="Times New Roman" w:eastAsia="Times New Roman" w:cs="Times New Roman"/>
                <w:sz w:val="18"/>
                <w:szCs w:val="18"/>
              </w:rPr>
            </w:pPr>
            <w:r>
              <w:rPr>
                <w:rFonts w:ascii="Times New Roman" w:hAnsi="Times New Roman" w:eastAsia="Times New Roman" w:cs="Times New Roman"/>
                <w:sz w:val="18"/>
                <w:szCs w:val="18"/>
              </w:rPr>
              <w:t>9</w:t>
            </w:r>
          </w:p>
        </w:tc>
        <w:tc>
          <w:tcPr>
            <w:tcW w:w="1747" w:type="dxa"/>
            <w:vAlign w:val="top"/>
          </w:tcPr>
          <w:p w14:paraId="3DB2C089">
            <w:pPr>
              <w:pStyle w:val="6"/>
              <w:spacing w:before="53" w:line="220" w:lineRule="auto"/>
              <w:ind w:left="700"/>
              <w:rPr>
                <w:sz w:val="18"/>
                <w:szCs w:val="18"/>
              </w:rPr>
            </w:pPr>
            <w:r>
              <w:rPr>
                <w:spacing w:val="-5"/>
                <w:sz w:val="18"/>
                <w:szCs w:val="18"/>
              </w:rPr>
              <w:t>氯仿</w:t>
            </w:r>
          </w:p>
        </w:tc>
        <w:tc>
          <w:tcPr>
            <w:tcW w:w="766" w:type="dxa"/>
            <w:vAlign w:val="top"/>
          </w:tcPr>
          <w:p w14:paraId="091197C8">
            <w:pPr>
              <w:pStyle w:val="6"/>
              <w:spacing w:before="53" w:line="219" w:lineRule="auto"/>
              <w:ind w:left="119"/>
              <w:rPr>
                <w:sz w:val="18"/>
                <w:szCs w:val="18"/>
              </w:rPr>
            </w:pPr>
            <w:r>
              <w:rPr>
                <w:spacing w:val="-4"/>
                <w:sz w:val="18"/>
                <w:szCs w:val="18"/>
              </w:rPr>
              <w:t>未检出</w:t>
            </w:r>
          </w:p>
        </w:tc>
        <w:tc>
          <w:tcPr>
            <w:tcW w:w="1081" w:type="dxa"/>
            <w:vAlign w:val="top"/>
          </w:tcPr>
          <w:p w14:paraId="5C4D47FA">
            <w:pPr>
              <w:pStyle w:val="6"/>
              <w:spacing w:before="53" w:line="219" w:lineRule="auto"/>
              <w:ind w:left="277"/>
              <w:rPr>
                <w:sz w:val="18"/>
                <w:szCs w:val="18"/>
              </w:rPr>
            </w:pPr>
            <w:r>
              <w:rPr>
                <w:spacing w:val="-4"/>
                <w:sz w:val="18"/>
                <w:szCs w:val="18"/>
              </w:rPr>
              <w:t>未检出</w:t>
            </w:r>
          </w:p>
        </w:tc>
        <w:tc>
          <w:tcPr>
            <w:tcW w:w="1045" w:type="dxa"/>
            <w:vAlign w:val="top"/>
          </w:tcPr>
          <w:p w14:paraId="7FDDE705">
            <w:pPr>
              <w:pStyle w:val="6"/>
              <w:spacing w:before="53" w:line="219" w:lineRule="auto"/>
              <w:ind w:left="259"/>
              <w:rPr>
                <w:sz w:val="18"/>
                <w:szCs w:val="18"/>
              </w:rPr>
            </w:pPr>
            <w:r>
              <w:rPr>
                <w:spacing w:val="-4"/>
                <w:sz w:val="18"/>
                <w:szCs w:val="18"/>
              </w:rPr>
              <w:t>未检出</w:t>
            </w:r>
          </w:p>
        </w:tc>
        <w:tc>
          <w:tcPr>
            <w:tcW w:w="995" w:type="dxa"/>
            <w:vAlign w:val="top"/>
          </w:tcPr>
          <w:p w14:paraId="5D01C375">
            <w:pPr>
              <w:pStyle w:val="6"/>
              <w:spacing w:before="53" w:line="219" w:lineRule="auto"/>
              <w:ind w:left="234"/>
              <w:rPr>
                <w:sz w:val="18"/>
                <w:szCs w:val="18"/>
              </w:rPr>
            </w:pPr>
            <w:r>
              <w:rPr>
                <w:spacing w:val="-4"/>
                <w:sz w:val="18"/>
                <w:szCs w:val="18"/>
              </w:rPr>
              <w:t>未检出</w:t>
            </w:r>
          </w:p>
        </w:tc>
        <w:tc>
          <w:tcPr>
            <w:tcW w:w="995" w:type="dxa"/>
            <w:vAlign w:val="top"/>
          </w:tcPr>
          <w:p w14:paraId="551892C3">
            <w:pPr>
              <w:pStyle w:val="6"/>
              <w:spacing w:before="53" w:line="219" w:lineRule="auto"/>
              <w:ind w:left="235"/>
              <w:rPr>
                <w:sz w:val="18"/>
                <w:szCs w:val="18"/>
              </w:rPr>
            </w:pPr>
            <w:r>
              <w:rPr>
                <w:spacing w:val="-4"/>
                <w:sz w:val="18"/>
                <w:szCs w:val="18"/>
              </w:rPr>
              <w:t>未检出</w:t>
            </w:r>
          </w:p>
        </w:tc>
        <w:tc>
          <w:tcPr>
            <w:tcW w:w="1071" w:type="dxa"/>
            <w:vAlign w:val="top"/>
          </w:tcPr>
          <w:p w14:paraId="271A4F01">
            <w:pPr>
              <w:pStyle w:val="6"/>
              <w:spacing w:before="53" w:line="219" w:lineRule="auto"/>
              <w:ind w:left="272"/>
              <w:rPr>
                <w:sz w:val="18"/>
                <w:szCs w:val="18"/>
              </w:rPr>
            </w:pPr>
            <w:r>
              <w:rPr>
                <w:spacing w:val="-4"/>
                <w:sz w:val="18"/>
                <w:szCs w:val="18"/>
              </w:rPr>
              <w:t>未检出</w:t>
            </w:r>
          </w:p>
        </w:tc>
        <w:tc>
          <w:tcPr>
            <w:tcW w:w="1177" w:type="dxa"/>
            <w:vAlign w:val="top"/>
          </w:tcPr>
          <w:p w14:paraId="5E92A769">
            <w:pPr>
              <w:pStyle w:val="6"/>
              <w:spacing w:before="53" w:line="219" w:lineRule="auto"/>
              <w:ind w:left="327"/>
              <w:rPr>
                <w:sz w:val="18"/>
                <w:szCs w:val="18"/>
              </w:rPr>
            </w:pPr>
            <w:r>
              <w:rPr>
                <w:spacing w:val="-4"/>
                <w:sz w:val="18"/>
                <w:szCs w:val="18"/>
              </w:rPr>
              <w:t>未检出</w:t>
            </w:r>
          </w:p>
        </w:tc>
        <w:tc>
          <w:tcPr>
            <w:tcW w:w="995" w:type="dxa"/>
            <w:vAlign w:val="top"/>
          </w:tcPr>
          <w:p w14:paraId="36D71186">
            <w:pPr>
              <w:pStyle w:val="6"/>
              <w:spacing w:before="53" w:line="219" w:lineRule="auto"/>
              <w:ind w:left="235"/>
              <w:rPr>
                <w:sz w:val="18"/>
                <w:szCs w:val="18"/>
              </w:rPr>
            </w:pPr>
            <w:r>
              <w:rPr>
                <w:spacing w:val="-4"/>
                <w:sz w:val="18"/>
                <w:szCs w:val="18"/>
              </w:rPr>
              <w:t>未检出</w:t>
            </w:r>
          </w:p>
        </w:tc>
        <w:tc>
          <w:tcPr>
            <w:tcW w:w="1046" w:type="dxa"/>
            <w:vAlign w:val="top"/>
          </w:tcPr>
          <w:p w14:paraId="01E6BB84">
            <w:pPr>
              <w:pStyle w:val="6"/>
              <w:spacing w:before="53" w:line="219" w:lineRule="auto"/>
              <w:ind w:left="260"/>
              <w:rPr>
                <w:sz w:val="18"/>
                <w:szCs w:val="18"/>
              </w:rPr>
            </w:pPr>
            <w:r>
              <w:rPr>
                <w:spacing w:val="-4"/>
                <w:sz w:val="18"/>
                <w:szCs w:val="18"/>
              </w:rPr>
              <w:t>未检出</w:t>
            </w:r>
          </w:p>
        </w:tc>
        <w:tc>
          <w:tcPr>
            <w:tcW w:w="1634" w:type="dxa"/>
            <w:vAlign w:val="top"/>
          </w:tcPr>
          <w:p w14:paraId="370FFBDD">
            <w:pPr>
              <w:pStyle w:val="6"/>
              <w:spacing w:before="53" w:line="219" w:lineRule="auto"/>
              <w:ind w:left="555"/>
              <w:rPr>
                <w:sz w:val="18"/>
                <w:szCs w:val="18"/>
              </w:rPr>
            </w:pPr>
            <w:r>
              <w:rPr>
                <w:spacing w:val="-4"/>
                <w:sz w:val="18"/>
                <w:szCs w:val="18"/>
              </w:rPr>
              <w:t>未检出</w:t>
            </w:r>
          </w:p>
        </w:tc>
        <w:tc>
          <w:tcPr>
            <w:tcW w:w="1066" w:type="dxa"/>
            <w:tcBorders>
              <w:right w:val="nil"/>
            </w:tcBorders>
            <w:vAlign w:val="top"/>
          </w:tcPr>
          <w:p w14:paraId="787F9FE1">
            <w:pPr>
              <w:spacing w:before="84" w:line="188" w:lineRule="auto"/>
              <w:ind w:left="42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0.9</w:t>
            </w:r>
          </w:p>
        </w:tc>
      </w:tr>
      <w:tr w14:paraId="56E7AD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5D54F174">
            <w:pPr>
              <w:spacing w:before="84"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10</w:t>
            </w:r>
          </w:p>
        </w:tc>
        <w:tc>
          <w:tcPr>
            <w:tcW w:w="1747" w:type="dxa"/>
            <w:vAlign w:val="top"/>
          </w:tcPr>
          <w:p w14:paraId="36719A4C">
            <w:pPr>
              <w:pStyle w:val="6"/>
              <w:spacing w:before="55" w:line="220" w:lineRule="auto"/>
              <w:ind w:left="611"/>
              <w:rPr>
                <w:sz w:val="18"/>
                <w:szCs w:val="18"/>
              </w:rPr>
            </w:pPr>
            <w:r>
              <w:rPr>
                <w:spacing w:val="-4"/>
                <w:sz w:val="18"/>
                <w:szCs w:val="18"/>
              </w:rPr>
              <w:t>氯甲烷</w:t>
            </w:r>
          </w:p>
        </w:tc>
        <w:tc>
          <w:tcPr>
            <w:tcW w:w="766" w:type="dxa"/>
            <w:vAlign w:val="top"/>
          </w:tcPr>
          <w:p w14:paraId="5D5D2CD2">
            <w:pPr>
              <w:pStyle w:val="6"/>
              <w:spacing w:before="55" w:line="219" w:lineRule="auto"/>
              <w:ind w:left="119"/>
              <w:rPr>
                <w:sz w:val="18"/>
                <w:szCs w:val="18"/>
              </w:rPr>
            </w:pPr>
            <w:r>
              <w:rPr>
                <w:spacing w:val="-4"/>
                <w:sz w:val="18"/>
                <w:szCs w:val="18"/>
              </w:rPr>
              <w:t>未检出</w:t>
            </w:r>
          </w:p>
        </w:tc>
        <w:tc>
          <w:tcPr>
            <w:tcW w:w="1081" w:type="dxa"/>
            <w:vAlign w:val="top"/>
          </w:tcPr>
          <w:p w14:paraId="543431F8">
            <w:pPr>
              <w:pStyle w:val="6"/>
              <w:spacing w:before="55" w:line="219" w:lineRule="auto"/>
              <w:ind w:left="277"/>
              <w:rPr>
                <w:sz w:val="18"/>
                <w:szCs w:val="18"/>
              </w:rPr>
            </w:pPr>
            <w:r>
              <w:rPr>
                <w:spacing w:val="-4"/>
                <w:sz w:val="18"/>
                <w:szCs w:val="18"/>
              </w:rPr>
              <w:t>未检出</w:t>
            </w:r>
          </w:p>
        </w:tc>
        <w:tc>
          <w:tcPr>
            <w:tcW w:w="1045" w:type="dxa"/>
            <w:vAlign w:val="top"/>
          </w:tcPr>
          <w:p w14:paraId="24242894">
            <w:pPr>
              <w:pStyle w:val="6"/>
              <w:spacing w:before="55" w:line="219" w:lineRule="auto"/>
              <w:ind w:left="259"/>
              <w:rPr>
                <w:sz w:val="18"/>
                <w:szCs w:val="18"/>
              </w:rPr>
            </w:pPr>
            <w:r>
              <w:rPr>
                <w:spacing w:val="-4"/>
                <w:sz w:val="18"/>
                <w:szCs w:val="18"/>
              </w:rPr>
              <w:t>未检出</w:t>
            </w:r>
          </w:p>
        </w:tc>
        <w:tc>
          <w:tcPr>
            <w:tcW w:w="995" w:type="dxa"/>
            <w:vAlign w:val="top"/>
          </w:tcPr>
          <w:p w14:paraId="30E647D4">
            <w:pPr>
              <w:pStyle w:val="6"/>
              <w:spacing w:before="55" w:line="219" w:lineRule="auto"/>
              <w:ind w:left="234"/>
              <w:rPr>
                <w:sz w:val="18"/>
                <w:szCs w:val="18"/>
              </w:rPr>
            </w:pPr>
            <w:r>
              <w:rPr>
                <w:spacing w:val="-4"/>
                <w:sz w:val="18"/>
                <w:szCs w:val="18"/>
              </w:rPr>
              <w:t>未检出</w:t>
            </w:r>
          </w:p>
        </w:tc>
        <w:tc>
          <w:tcPr>
            <w:tcW w:w="995" w:type="dxa"/>
            <w:vAlign w:val="top"/>
          </w:tcPr>
          <w:p w14:paraId="1DC77F07">
            <w:pPr>
              <w:pStyle w:val="6"/>
              <w:spacing w:before="55" w:line="219" w:lineRule="auto"/>
              <w:ind w:left="235"/>
              <w:rPr>
                <w:sz w:val="18"/>
                <w:szCs w:val="18"/>
              </w:rPr>
            </w:pPr>
            <w:r>
              <w:rPr>
                <w:spacing w:val="-4"/>
                <w:sz w:val="18"/>
                <w:szCs w:val="18"/>
              </w:rPr>
              <w:t>未检出</w:t>
            </w:r>
          </w:p>
        </w:tc>
        <w:tc>
          <w:tcPr>
            <w:tcW w:w="1071" w:type="dxa"/>
            <w:vAlign w:val="top"/>
          </w:tcPr>
          <w:p w14:paraId="78C5F9E5">
            <w:pPr>
              <w:pStyle w:val="6"/>
              <w:spacing w:before="55" w:line="219" w:lineRule="auto"/>
              <w:ind w:left="272"/>
              <w:rPr>
                <w:sz w:val="18"/>
                <w:szCs w:val="18"/>
              </w:rPr>
            </w:pPr>
            <w:r>
              <w:rPr>
                <w:spacing w:val="-4"/>
                <w:sz w:val="18"/>
                <w:szCs w:val="18"/>
              </w:rPr>
              <w:t>未检出</w:t>
            </w:r>
          </w:p>
        </w:tc>
        <w:tc>
          <w:tcPr>
            <w:tcW w:w="1177" w:type="dxa"/>
            <w:vAlign w:val="top"/>
          </w:tcPr>
          <w:p w14:paraId="2DD0F2EC">
            <w:pPr>
              <w:pStyle w:val="6"/>
              <w:spacing w:before="55" w:line="219" w:lineRule="auto"/>
              <w:ind w:left="327"/>
              <w:rPr>
                <w:sz w:val="18"/>
                <w:szCs w:val="18"/>
              </w:rPr>
            </w:pPr>
            <w:r>
              <w:rPr>
                <w:spacing w:val="-4"/>
                <w:sz w:val="18"/>
                <w:szCs w:val="18"/>
              </w:rPr>
              <w:t>未检出</w:t>
            </w:r>
          </w:p>
        </w:tc>
        <w:tc>
          <w:tcPr>
            <w:tcW w:w="995" w:type="dxa"/>
            <w:vAlign w:val="top"/>
          </w:tcPr>
          <w:p w14:paraId="7A923DB6">
            <w:pPr>
              <w:pStyle w:val="6"/>
              <w:spacing w:before="55" w:line="219" w:lineRule="auto"/>
              <w:ind w:left="235"/>
              <w:rPr>
                <w:sz w:val="18"/>
                <w:szCs w:val="18"/>
              </w:rPr>
            </w:pPr>
            <w:r>
              <w:rPr>
                <w:spacing w:val="-4"/>
                <w:sz w:val="18"/>
                <w:szCs w:val="18"/>
              </w:rPr>
              <w:t>未检出</w:t>
            </w:r>
          </w:p>
        </w:tc>
        <w:tc>
          <w:tcPr>
            <w:tcW w:w="1046" w:type="dxa"/>
            <w:vAlign w:val="top"/>
          </w:tcPr>
          <w:p w14:paraId="0D151CF2">
            <w:pPr>
              <w:pStyle w:val="6"/>
              <w:spacing w:before="55" w:line="219" w:lineRule="auto"/>
              <w:ind w:left="260"/>
              <w:rPr>
                <w:sz w:val="18"/>
                <w:szCs w:val="18"/>
              </w:rPr>
            </w:pPr>
            <w:r>
              <w:rPr>
                <w:spacing w:val="-4"/>
                <w:sz w:val="18"/>
                <w:szCs w:val="18"/>
              </w:rPr>
              <w:t>未检出</w:t>
            </w:r>
          </w:p>
        </w:tc>
        <w:tc>
          <w:tcPr>
            <w:tcW w:w="1634" w:type="dxa"/>
            <w:vAlign w:val="top"/>
          </w:tcPr>
          <w:p w14:paraId="4FBC9EEA">
            <w:pPr>
              <w:pStyle w:val="6"/>
              <w:spacing w:before="55" w:line="219" w:lineRule="auto"/>
              <w:ind w:left="555"/>
              <w:rPr>
                <w:sz w:val="18"/>
                <w:szCs w:val="18"/>
              </w:rPr>
            </w:pPr>
            <w:r>
              <w:rPr>
                <w:spacing w:val="-4"/>
                <w:sz w:val="18"/>
                <w:szCs w:val="18"/>
              </w:rPr>
              <w:t>未检出</w:t>
            </w:r>
          </w:p>
        </w:tc>
        <w:tc>
          <w:tcPr>
            <w:tcW w:w="1066" w:type="dxa"/>
            <w:tcBorders>
              <w:right w:val="nil"/>
            </w:tcBorders>
            <w:vAlign w:val="top"/>
          </w:tcPr>
          <w:p w14:paraId="1C35A3FE">
            <w:pPr>
              <w:spacing w:before="84" w:line="188" w:lineRule="auto"/>
              <w:ind w:left="448"/>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37</w:t>
            </w:r>
          </w:p>
        </w:tc>
      </w:tr>
      <w:tr w14:paraId="46DA4F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90" w:type="dxa"/>
            <w:tcBorders>
              <w:left w:val="nil"/>
            </w:tcBorders>
            <w:vAlign w:val="top"/>
          </w:tcPr>
          <w:p w14:paraId="7940EF6D">
            <w:pPr>
              <w:spacing w:before="85"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11</w:t>
            </w:r>
          </w:p>
        </w:tc>
        <w:tc>
          <w:tcPr>
            <w:tcW w:w="1747" w:type="dxa"/>
            <w:vAlign w:val="top"/>
          </w:tcPr>
          <w:p w14:paraId="39025DA8">
            <w:pPr>
              <w:pStyle w:val="6"/>
              <w:spacing w:before="54" w:line="220" w:lineRule="auto"/>
              <w:ind w:left="389"/>
              <w:rPr>
                <w:sz w:val="18"/>
                <w:szCs w:val="18"/>
              </w:rPr>
            </w:pPr>
            <w:r>
              <w:rPr>
                <w:rFonts w:ascii="Times New Roman" w:hAnsi="Times New Roman" w:eastAsia="Times New Roman" w:cs="Times New Roman"/>
                <w:spacing w:val="-6"/>
                <w:sz w:val="18"/>
                <w:szCs w:val="18"/>
              </w:rPr>
              <w:t>1.</w:t>
            </w:r>
            <w:r>
              <w:rPr>
                <w:rFonts w:ascii="Times New Roman" w:hAnsi="Times New Roman" w:eastAsia="Times New Roman" w:cs="Times New Roman"/>
                <w:spacing w:val="-21"/>
                <w:sz w:val="18"/>
                <w:szCs w:val="18"/>
              </w:rPr>
              <w:t xml:space="preserve"> </w:t>
            </w:r>
            <w:r>
              <w:rPr>
                <w:rFonts w:ascii="Times New Roman" w:hAnsi="Times New Roman" w:eastAsia="Times New Roman" w:cs="Times New Roman"/>
                <w:spacing w:val="-6"/>
                <w:sz w:val="18"/>
                <w:szCs w:val="18"/>
              </w:rPr>
              <w:t>1-</w:t>
            </w:r>
            <w:r>
              <w:rPr>
                <w:spacing w:val="-6"/>
                <w:sz w:val="18"/>
                <w:szCs w:val="18"/>
              </w:rPr>
              <w:t>二氯乙烷</w:t>
            </w:r>
          </w:p>
        </w:tc>
        <w:tc>
          <w:tcPr>
            <w:tcW w:w="766" w:type="dxa"/>
            <w:vAlign w:val="top"/>
          </w:tcPr>
          <w:p w14:paraId="2163B395">
            <w:pPr>
              <w:pStyle w:val="6"/>
              <w:spacing w:before="54" w:line="219" w:lineRule="auto"/>
              <w:ind w:left="119"/>
              <w:rPr>
                <w:sz w:val="18"/>
                <w:szCs w:val="18"/>
              </w:rPr>
            </w:pPr>
            <w:r>
              <w:rPr>
                <w:spacing w:val="-4"/>
                <w:sz w:val="18"/>
                <w:szCs w:val="18"/>
              </w:rPr>
              <w:t>未检出</w:t>
            </w:r>
          </w:p>
        </w:tc>
        <w:tc>
          <w:tcPr>
            <w:tcW w:w="1081" w:type="dxa"/>
            <w:vAlign w:val="top"/>
          </w:tcPr>
          <w:p w14:paraId="4D69F035">
            <w:pPr>
              <w:pStyle w:val="6"/>
              <w:spacing w:before="54" w:line="219" w:lineRule="auto"/>
              <w:ind w:left="277"/>
              <w:rPr>
                <w:sz w:val="18"/>
                <w:szCs w:val="18"/>
              </w:rPr>
            </w:pPr>
            <w:r>
              <w:rPr>
                <w:spacing w:val="-4"/>
                <w:sz w:val="18"/>
                <w:szCs w:val="18"/>
              </w:rPr>
              <w:t>未检出</w:t>
            </w:r>
          </w:p>
        </w:tc>
        <w:tc>
          <w:tcPr>
            <w:tcW w:w="1045" w:type="dxa"/>
            <w:vAlign w:val="top"/>
          </w:tcPr>
          <w:p w14:paraId="735D48A2">
            <w:pPr>
              <w:pStyle w:val="6"/>
              <w:spacing w:before="54" w:line="219" w:lineRule="auto"/>
              <w:ind w:left="259"/>
              <w:rPr>
                <w:sz w:val="18"/>
                <w:szCs w:val="18"/>
              </w:rPr>
            </w:pPr>
            <w:r>
              <w:rPr>
                <w:spacing w:val="-4"/>
                <w:sz w:val="18"/>
                <w:szCs w:val="18"/>
              </w:rPr>
              <w:t>未检出</w:t>
            </w:r>
          </w:p>
        </w:tc>
        <w:tc>
          <w:tcPr>
            <w:tcW w:w="995" w:type="dxa"/>
            <w:vAlign w:val="top"/>
          </w:tcPr>
          <w:p w14:paraId="79D03D18">
            <w:pPr>
              <w:pStyle w:val="6"/>
              <w:spacing w:before="54" w:line="219" w:lineRule="auto"/>
              <w:ind w:left="234"/>
              <w:rPr>
                <w:sz w:val="18"/>
                <w:szCs w:val="18"/>
              </w:rPr>
            </w:pPr>
            <w:r>
              <w:rPr>
                <w:spacing w:val="-4"/>
                <w:sz w:val="18"/>
                <w:szCs w:val="18"/>
              </w:rPr>
              <w:t>未检出</w:t>
            </w:r>
          </w:p>
        </w:tc>
        <w:tc>
          <w:tcPr>
            <w:tcW w:w="995" w:type="dxa"/>
            <w:vAlign w:val="top"/>
          </w:tcPr>
          <w:p w14:paraId="12C0C459">
            <w:pPr>
              <w:pStyle w:val="6"/>
              <w:spacing w:before="54" w:line="219" w:lineRule="auto"/>
              <w:ind w:left="235"/>
              <w:rPr>
                <w:sz w:val="18"/>
                <w:szCs w:val="18"/>
              </w:rPr>
            </w:pPr>
            <w:r>
              <w:rPr>
                <w:spacing w:val="-4"/>
                <w:sz w:val="18"/>
                <w:szCs w:val="18"/>
              </w:rPr>
              <w:t>未检出</w:t>
            </w:r>
          </w:p>
        </w:tc>
        <w:tc>
          <w:tcPr>
            <w:tcW w:w="1071" w:type="dxa"/>
            <w:vAlign w:val="top"/>
          </w:tcPr>
          <w:p w14:paraId="2ED2B03D">
            <w:pPr>
              <w:pStyle w:val="6"/>
              <w:spacing w:before="54" w:line="219" w:lineRule="auto"/>
              <w:ind w:left="272"/>
              <w:rPr>
                <w:sz w:val="18"/>
                <w:szCs w:val="18"/>
              </w:rPr>
            </w:pPr>
            <w:r>
              <w:rPr>
                <w:spacing w:val="-4"/>
                <w:sz w:val="18"/>
                <w:szCs w:val="18"/>
              </w:rPr>
              <w:t>未检出</w:t>
            </w:r>
          </w:p>
        </w:tc>
        <w:tc>
          <w:tcPr>
            <w:tcW w:w="1177" w:type="dxa"/>
            <w:vAlign w:val="top"/>
          </w:tcPr>
          <w:p w14:paraId="5BADD1A2">
            <w:pPr>
              <w:pStyle w:val="6"/>
              <w:spacing w:before="54" w:line="219" w:lineRule="auto"/>
              <w:ind w:left="327"/>
              <w:rPr>
                <w:sz w:val="18"/>
                <w:szCs w:val="18"/>
              </w:rPr>
            </w:pPr>
            <w:r>
              <w:rPr>
                <w:spacing w:val="-4"/>
                <w:sz w:val="18"/>
                <w:szCs w:val="18"/>
              </w:rPr>
              <w:t>未检出</w:t>
            </w:r>
          </w:p>
        </w:tc>
        <w:tc>
          <w:tcPr>
            <w:tcW w:w="995" w:type="dxa"/>
            <w:vAlign w:val="top"/>
          </w:tcPr>
          <w:p w14:paraId="5C7BF873">
            <w:pPr>
              <w:pStyle w:val="6"/>
              <w:spacing w:before="54" w:line="219" w:lineRule="auto"/>
              <w:ind w:left="235"/>
              <w:rPr>
                <w:sz w:val="18"/>
                <w:szCs w:val="18"/>
              </w:rPr>
            </w:pPr>
            <w:r>
              <w:rPr>
                <w:spacing w:val="-4"/>
                <w:sz w:val="18"/>
                <w:szCs w:val="18"/>
              </w:rPr>
              <w:t>未检出</w:t>
            </w:r>
          </w:p>
        </w:tc>
        <w:tc>
          <w:tcPr>
            <w:tcW w:w="1046" w:type="dxa"/>
            <w:vAlign w:val="top"/>
          </w:tcPr>
          <w:p w14:paraId="508DE10D">
            <w:pPr>
              <w:pStyle w:val="6"/>
              <w:spacing w:before="54" w:line="219" w:lineRule="auto"/>
              <w:ind w:left="260"/>
              <w:rPr>
                <w:sz w:val="18"/>
                <w:szCs w:val="18"/>
              </w:rPr>
            </w:pPr>
            <w:r>
              <w:rPr>
                <w:spacing w:val="-4"/>
                <w:sz w:val="18"/>
                <w:szCs w:val="18"/>
              </w:rPr>
              <w:t>未检出</w:t>
            </w:r>
          </w:p>
        </w:tc>
        <w:tc>
          <w:tcPr>
            <w:tcW w:w="1634" w:type="dxa"/>
            <w:vAlign w:val="top"/>
          </w:tcPr>
          <w:p w14:paraId="722323A5">
            <w:pPr>
              <w:pStyle w:val="6"/>
              <w:spacing w:before="54" w:line="219" w:lineRule="auto"/>
              <w:ind w:left="555"/>
              <w:rPr>
                <w:sz w:val="18"/>
                <w:szCs w:val="18"/>
              </w:rPr>
            </w:pPr>
            <w:r>
              <w:rPr>
                <w:spacing w:val="-4"/>
                <w:sz w:val="18"/>
                <w:szCs w:val="18"/>
              </w:rPr>
              <w:t>未检出</w:t>
            </w:r>
          </w:p>
        </w:tc>
        <w:tc>
          <w:tcPr>
            <w:tcW w:w="1066" w:type="dxa"/>
            <w:tcBorders>
              <w:right w:val="nil"/>
            </w:tcBorders>
            <w:vAlign w:val="top"/>
          </w:tcPr>
          <w:p w14:paraId="57BD3EF7">
            <w:pPr>
              <w:spacing w:before="85" w:line="188" w:lineRule="auto"/>
              <w:ind w:left="493"/>
              <w:rPr>
                <w:rFonts w:ascii="Times New Roman" w:hAnsi="Times New Roman" w:eastAsia="Times New Roman" w:cs="Times New Roman"/>
                <w:sz w:val="18"/>
                <w:szCs w:val="18"/>
              </w:rPr>
            </w:pPr>
            <w:r>
              <w:rPr>
                <w:rFonts w:ascii="Times New Roman" w:hAnsi="Times New Roman" w:eastAsia="Times New Roman" w:cs="Times New Roman"/>
                <w:sz w:val="18"/>
                <w:szCs w:val="18"/>
              </w:rPr>
              <w:t>9</w:t>
            </w:r>
          </w:p>
        </w:tc>
      </w:tr>
      <w:tr w14:paraId="67B2C4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597A68B4">
            <w:pPr>
              <w:spacing w:before="85"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12</w:t>
            </w:r>
          </w:p>
        </w:tc>
        <w:tc>
          <w:tcPr>
            <w:tcW w:w="1747" w:type="dxa"/>
            <w:vAlign w:val="top"/>
          </w:tcPr>
          <w:p w14:paraId="1B257F72">
            <w:pPr>
              <w:pStyle w:val="6"/>
              <w:spacing w:before="56" w:line="220" w:lineRule="auto"/>
              <w:ind w:left="389"/>
              <w:rPr>
                <w:sz w:val="18"/>
                <w:szCs w:val="18"/>
              </w:rPr>
            </w:pPr>
            <w:r>
              <w:rPr>
                <w:rFonts w:ascii="Times New Roman" w:hAnsi="Times New Roman" w:eastAsia="Times New Roman" w:cs="Times New Roman"/>
                <w:spacing w:val="-3"/>
                <w:sz w:val="18"/>
                <w:szCs w:val="18"/>
              </w:rPr>
              <w:t>1.2-</w:t>
            </w:r>
            <w:r>
              <w:rPr>
                <w:spacing w:val="-3"/>
                <w:sz w:val="18"/>
                <w:szCs w:val="18"/>
              </w:rPr>
              <w:t>二氯乙烷</w:t>
            </w:r>
          </w:p>
        </w:tc>
        <w:tc>
          <w:tcPr>
            <w:tcW w:w="766" w:type="dxa"/>
            <w:vAlign w:val="top"/>
          </w:tcPr>
          <w:p w14:paraId="461E74B0">
            <w:pPr>
              <w:pStyle w:val="6"/>
              <w:spacing w:before="56" w:line="219" w:lineRule="auto"/>
              <w:ind w:left="119"/>
              <w:rPr>
                <w:sz w:val="18"/>
                <w:szCs w:val="18"/>
              </w:rPr>
            </w:pPr>
            <w:r>
              <w:rPr>
                <w:spacing w:val="-4"/>
                <w:sz w:val="18"/>
                <w:szCs w:val="18"/>
              </w:rPr>
              <w:t>未检出</w:t>
            </w:r>
          </w:p>
        </w:tc>
        <w:tc>
          <w:tcPr>
            <w:tcW w:w="1081" w:type="dxa"/>
            <w:vAlign w:val="top"/>
          </w:tcPr>
          <w:p w14:paraId="3B129C35">
            <w:pPr>
              <w:pStyle w:val="6"/>
              <w:spacing w:before="56" w:line="219" w:lineRule="auto"/>
              <w:ind w:left="277"/>
              <w:rPr>
                <w:sz w:val="18"/>
                <w:szCs w:val="18"/>
              </w:rPr>
            </w:pPr>
            <w:r>
              <w:rPr>
                <w:spacing w:val="-4"/>
                <w:sz w:val="18"/>
                <w:szCs w:val="18"/>
              </w:rPr>
              <w:t>未检出</w:t>
            </w:r>
          </w:p>
        </w:tc>
        <w:tc>
          <w:tcPr>
            <w:tcW w:w="1045" w:type="dxa"/>
            <w:vAlign w:val="top"/>
          </w:tcPr>
          <w:p w14:paraId="3790DF21">
            <w:pPr>
              <w:pStyle w:val="6"/>
              <w:spacing w:before="56" w:line="219" w:lineRule="auto"/>
              <w:ind w:left="259"/>
              <w:rPr>
                <w:sz w:val="18"/>
                <w:szCs w:val="18"/>
              </w:rPr>
            </w:pPr>
            <w:r>
              <w:rPr>
                <w:spacing w:val="-4"/>
                <w:sz w:val="18"/>
                <w:szCs w:val="18"/>
              </w:rPr>
              <w:t>未检出</w:t>
            </w:r>
          </w:p>
        </w:tc>
        <w:tc>
          <w:tcPr>
            <w:tcW w:w="995" w:type="dxa"/>
            <w:vAlign w:val="top"/>
          </w:tcPr>
          <w:p w14:paraId="5C91AC97">
            <w:pPr>
              <w:pStyle w:val="6"/>
              <w:spacing w:before="56" w:line="219" w:lineRule="auto"/>
              <w:ind w:left="234"/>
              <w:rPr>
                <w:sz w:val="18"/>
                <w:szCs w:val="18"/>
              </w:rPr>
            </w:pPr>
            <w:r>
              <w:rPr>
                <w:spacing w:val="-4"/>
                <w:sz w:val="18"/>
                <w:szCs w:val="18"/>
              </w:rPr>
              <w:t>未检出</w:t>
            </w:r>
          </w:p>
        </w:tc>
        <w:tc>
          <w:tcPr>
            <w:tcW w:w="995" w:type="dxa"/>
            <w:vAlign w:val="top"/>
          </w:tcPr>
          <w:p w14:paraId="0E2535A1">
            <w:pPr>
              <w:pStyle w:val="6"/>
              <w:spacing w:before="56" w:line="219" w:lineRule="auto"/>
              <w:ind w:left="235"/>
              <w:rPr>
                <w:sz w:val="18"/>
                <w:szCs w:val="18"/>
              </w:rPr>
            </w:pPr>
            <w:r>
              <w:rPr>
                <w:spacing w:val="-4"/>
                <w:sz w:val="18"/>
                <w:szCs w:val="18"/>
              </w:rPr>
              <w:t>未检出</w:t>
            </w:r>
          </w:p>
        </w:tc>
        <w:tc>
          <w:tcPr>
            <w:tcW w:w="1071" w:type="dxa"/>
            <w:vAlign w:val="top"/>
          </w:tcPr>
          <w:p w14:paraId="6EBF8531">
            <w:pPr>
              <w:pStyle w:val="6"/>
              <w:spacing w:before="56" w:line="219" w:lineRule="auto"/>
              <w:ind w:left="272"/>
              <w:rPr>
                <w:sz w:val="18"/>
                <w:szCs w:val="18"/>
              </w:rPr>
            </w:pPr>
            <w:r>
              <w:rPr>
                <w:spacing w:val="-4"/>
                <w:sz w:val="18"/>
                <w:szCs w:val="18"/>
              </w:rPr>
              <w:t>未检出</w:t>
            </w:r>
          </w:p>
        </w:tc>
        <w:tc>
          <w:tcPr>
            <w:tcW w:w="1177" w:type="dxa"/>
            <w:vAlign w:val="top"/>
          </w:tcPr>
          <w:p w14:paraId="2F265D66">
            <w:pPr>
              <w:pStyle w:val="6"/>
              <w:spacing w:before="56" w:line="219" w:lineRule="auto"/>
              <w:ind w:left="327"/>
              <w:rPr>
                <w:sz w:val="18"/>
                <w:szCs w:val="18"/>
              </w:rPr>
            </w:pPr>
            <w:r>
              <w:rPr>
                <w:spacing w:val="-4"/>
                <w:sz w:val="18"/>
                <w:szCs w:val="18"/>
              </w:rPr>
              <w:t>未检出</w:t>
            </w:r>
          </w:p>
        </w:tc>
        <w:tc>
          <w:tcPr>
            <w:tcW w:w="995" w:type="dxa"/>
            <w:vAlign w:val="top"/>
          </w:tcPr>
          <w:p w14:paraId="14B99E8A">
            <w:pPr>
              <w:pStyle w:val="6"/>
              <w:spacing w:before="56" w:line="219" w:lineRule="auto"/>
              <w:ind w:left="235"/>
              <w:rPr>
                <w:sz w:val="18"/>
                <w:szCs w:val="18"/>
              </w:rPr>
            </w:pPr>
            <w:r>
              <w:rPr>
                <w:spacing w:val="-4"/>
                <w:sz w:val="18"/>
                <w:szCs w:val="18"/>
              </w:rPr>
              <w:t>未检出</w:t>
            </w:r>
          </w:p>
        </w:tc>
        <w:tc>
          <w:tcPr>
            <w:tcW w:w="1046" w:type="dxa"/>
            <w:vAlign w:val="top"/>
          </w:tcPr>
          <w:p w14:paraId="321B22D4">
            <w:pPr>
              <w:pStyle w:val="6"/>
              <w:spacing w:before="56" w:line="219" w:lineRule="auto"/>
              <w:ind w:left="260"/>
              <w:rPr>
                <w:sz w:val="18"/>
                <w:szCs w:val="18"/>
              </w:rPr>
            </w:pPr>
            <w:r>
              <w:rPr>
                <w:spacing w:val="-4"/>
                <w:sz w:val="18"/>
                <w:szCs w:val="18"/>
              </w:rPr>
              <w:t>未检出</w:t>
            </w:r>
          </w:p>
        </w:tc>
        <w:tc>
          <w:tcPr>
            <w:tcW w:w="1634" w:type="dxa"/>
            <w:vAlign w:val="top"/>
          </w:tcPr>
          <w:p w14:paraId="138EFCFD">
            <w:pPr>
              <w:pStyle w:val="6"/>
              <w:spacing w:before="56" w:line="219" w:lineRule="auto"/>
              <w:ind w:left="555"/>
              <w:rPr>
                <w:sz w:val="18"/>
                <w:szCs w:val="18"/>
              </w:rPr>
            </w:pPr>
            <w:r>
              <w:rPr>
                <w:spacing w:val="-4"/>
                <w:sz w:val="18"/>
                <w:szCs w:val="18"/>
              </w:rPr>
              <w:t>未检出</w:t>
            </w:r>
          </w:p>
        </w:tc>
        <w:tc>
          <w:tcPr>
            <w:tcW w:w="1066" w:type="dxa"/>
            <w:tcBorders>
              <w:right w:val="nil"/>
            </w:tcBorders>
            <w:vAlign w:val="top"/>
          </w:tcPr>
          <w:p w14:paraId="69625AF2">
            <w:pPr>
              <w:spacing w:before="87" w:line="185" w:lineRule="auto"/>
              <w:ind w:left="494"/>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tc>
      </w:tr>
      <w:tr w14:paraId="5E573C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56BC91D0">
            <w:pPr>
              <w:spacing w:before="86"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13</w:t>
            </w:r>
          </w:p>
        </w:tc>
        <w:tc>
          <w:tcPr>
            <w:tcW w:w="1747" w:type="dxa"/>
            <w:vAlign w:val="top"/>
          </w:tcPr>
          <w:p w14:paraId="1585FC5E">
            <w:pPr>
              <w:pStyle w:val="6"/>
              <w:spacing w:before="55" w:line="219" w:lineRule="auto"/>
              <w:ind w:left="389"/>
              <w:rPr>
                <w:sz w:val="18"/>
                <w:szCs w:val="18"/>
              </w:rPr>
            </w:pPr>
            <w:r>
              <w:rPr>
                <w:rFonts w:ascii="Times New Roman" w:hAnsi="Times New Roman" w:eastAsia="Times New Roman" w:cs="Times New Roman"/>
                <w:spacing w:val="-6"/>
                <w:sz w:val="18"/>
                <w:szCs w:val="18"/>
              </w:rPr>
              <w:t>1.</w:t>
            </w:r>
            <w:r>
              <w:rPr>
                <w:rFonts w:ascii="Times New Roman" w:hAnsi="Times New Roman" w:eastAsia="Times New Roman" w:cs="Times New Roman"/>
                <w:spacing w:val="-21"/>
                <w:sz w:val="18"/>
                <w:szCs w:val="18"/>
              </w:rPr>
              <w:t xml:space="preserve"> </w:t>
            </w:r>
            <w:r>
              <w:rPr>
                <w:rFonts w:ascii="Times New Roman" w:hAnsi="Times New Roman" w:eastAsia="Times New Roman" w:cs="Times New Roman"/>
                <w:spacing w:val="-6"/>
                <w:sz w:val="18"/>
                <w:szCs w:val="18"/>
              </w:rPr>
              <w:t>1-</w:t>
            </w:r>
            <w:r>
              <w:rPr>
                <w:spacing w:val="-6"/>
                <w:sz w:val="18"/>
                <w:szCs w:val="18"/>
              </w:rPr>
              <w:t>二氯乙烯</w:t>
            </w:r>
          </w:p>
        </w:tc>
        <w:tc>
          <w:tcPr>
            <w:tcW w:w="766" w:type="dxa"/>
            <w:vAlign w:val="top"/>
          </w:tcPr>
          <w:p w14:paraId="5E96725C">
            <w:pPr>
              <w:pStyle w:val="6"/>
              <w:spacing w:before="55" w:line="219" w:lineRule="auto"/>
              <w:ind w:left="119"/>
              <w:rPr>
                <w:sz w:val="18"/>
                <w:szCs w:val="18"/>
              </w:rPr>
            </w:pPr>
            <w:r>
              <w:rPr>
                <w:spacing w:val="-4"/>
                <w:sz w:val="18"/>
                <w:szCs w:val="18"/>
              </w:rPr>
              <w:t>未检出</w:t>
            </w:r>
          </w:p>
        </w:tc>
        <w:tc>
          <w:tcPr>
            <w:tcW w:w="1081" w:type="dxa"/>
            <w:vAlign w:val="top"/>
          </w:tcPr>
          <w:p w14:paraId="6E9ECA6D">
            <w:pPr>
              <w:pStyle w:val="6"/>
              <w:spacing w:before="55" w:line="219" w:lineRule="auto"/>
              <w:ind w:left="277"/>
              <w:rPr>
                <w:sz w:val="18"/>
                <w:szCs w:val="18"/>
              </w:rPr>
            </w:pPr>
            <w:r>
              <w:rPr>
                <w:spacing w:val="-4"/>
                <w:sz w:val="18"/>
                <w:szCs w:val="18"/>
              </w:rPr>
              <w:t>未检出</w:t>
            </w:r>
          </w:p>
        </w:tc>
        <w:tc>
          <w:tcPr>
            <w:tcW w:w="1045" w:type="dxa"/>
            <w:vAlign w:val="top"/>
          </w:tcPr>
          <w:p w14:paraId="50A63465">
            <w:pPr>
              <w:pStyle w:val="6"/>
              <w:spacing w:before="55" w:line="219" w:lineRule="auto"/>
              <w:ind w:left="259"/>
              <w:rPr>
                <w:sz w:val="18"/>
                <w:szCs w:val="18"/>
              </w:rPr>
            </w:pPr>
            <w:r>
              <w:rPr>
                <w:spacing w:val="-4"/>
                <w:sz w:val="18"/>
                <w:szCs w:val="18"/>
              </w:rPr>
              <w:t>未检出</w:t>
            </w:r>
          </w:p>
        </w:tc>
        <w:tc>
          <w:tcPr>
            <w:tcW w:w="995" w:type="dxa"/>
            <w:vAlign w:val="top"/>
          </w:tcPr>
          <w:p w14:paraId="588CE4A4">
            <w:pPr>
              <w:pStyle w:val="6"/>
              <w:spacing w:before="55" w:line="219" w:lineRule="auto"/>
              <w:ind w:left="234"/>
              <w:rPr>
                <w:sz w:val="18"/>
                <w:szCs w:val="18"/>
              </w:rPr>
            </w:pPr>
            <w:r>
              <w:rPr>
                <w:spacing w:val="-4"/>
                <w:sz w:val="18"/>
                <w:szCs w:val="18"/>
              </w:rPr>
              <w:t>未检出</w:t>
            </w:r>
          </w:p>
        </w:tc>
        <w:tc>
          <w:tcPr>
            <w:tcW w:w="995" w:type="dxa"/>
            <w:vAlign w:val="top"/>
          </w:tcPr>
          <w:p w14:paraId="6DC56CF4">
            <w:pPr>
              <w:pStyle w:val="6"/>
              <w:spacing w:before="55" w:line="219" w:lineRule="auto"/>
              <w:ind w:left="235"/>
              <w:rPr>
                <w:sz w:val="18"/>
                <w:szCs w:val="18"/>
              </w:rPr>
            </w:pPr>
            <w:r>
              <w:rPr>
                <w:spacing w:val="-4"/>
                <w:sz w:val="18"/>
                <w:szCs w:val="18"/>
              </w:rPr>
              <w:t>未检出</w:t>
            </w:r>
          </w:p>
        </w:tc>
        <w:tc>
          <w:tcPr>
            <w:tcW w:w="1071" w:type="dxa"/>
            <w:vAlign w:val="top"/>
          </w:tcPr>
          <w:p w14:paraId="3B13EBAF">
            <w:pPr>
              <w:pStyle w:val="6"/>
              <w:spacing w:before="55" w:line="219" w:lineRule="auto"/>
              <w:ind w:left="272"/>
              <w:rPr>
                <w:sz w:val="18"/>
                <w:szCs w:val="18"/>
              </w:rPr>
            </w:pPr>
            <w:r>
              <w:rPr>
                <w:spacing w:val="-4"/>
                <w:sz w:val="18"/>
                <w:szCs w:val="18"/>
              </w:rPr>
              <w:t>未检出</w:t>
            </w:r>
          </w:p>
        </w:tc>
        <w:tc>
          <w:tcPr>
            <w:tcW w:w="1177" w:type="dxa"/>
            <w:vAlign w:val="top"/>
          </w:tcPr>
          <w:p w14:paraId="293181FE">
            <w:pPr>
              <w:pStyle w:val="6"/>
              <w:spacing w:before="55" w:line="219" w:lineRule="auto"/>
              <w:ind w:left="327"/>
              <w:rPr>
                <w:sz w:val="18"/>
                <w:szCs w:val="18"/>
              </w:rPr>
            </w:pPr>
            <w:r>
              <w:rPr>
                <w:spacing w:val="-4"/>
                <w:sz w:val="18"/>
                <w:szCs w:val="18"/>
              </w:rPr>
              <w:t>未检出</w:t>
            </w:r>
          </w:p>
        </w:tc>
        <w:tc>
          <w:tcPr>
            <w:tcW w:w="995" w:type="dxa"/>
            <w:vAlign w:val="top"/>
          </w:tcPr>
          <w:p w14:paraId="724D3FCD">
            <w:pPr>
              <w:pStyle w:val="6"/>
              <w:spacing w:before="55" w:line="219" w:lineRule="auto"/>
              <w:ind w:left="235"/>
              <w:rPr>
                <w:sz w:val="18"/>
                <w:szCs w:val="18"/>
              </w:rPr>
            </w:pPr>
            <w:r>
              <w:rPr>
                <w:spacing w:val="-4"/>
                <w:sz w:val="18"/>
                <w:szCs w:val="18"/>
              </w:rPr>
              <w:t>未检出</w:t>
            </w:r>
          </w:p>
        </w:tc>
        <w:tc>
          <w:tcPr>
            <w:tcW w:w="1046" w:type="dxa"/>
            <w:vAlign w:val="top"/>
          </w:tcPr>
          <w:p w14:paraId="31AFC29B">
            <w:pPr>
              <w:pStyle w:val="6"/>
              <w:spacing w:before="55" w:line="219" w:lineRule="auto"/>
              <w:ind w:left="260"/>
              <w:rPr>
                <w:sz w:val="18"/>
                <w:szCs w:val="18"/>
              </w:rPr>
            </w:pPr>
            <w:r>
              <w:rPr>
                <w:spacing w:val="-4"/>
                <w:sz w:val="18"/>
                <w:szCs w:val="18"/>
              </w:rPr>
              <w:t>未检出</w:t>
            </w:r>
          </w:p>
        </w:tc>
        <w:tc>
          <w:tcPr>
            <w:tcW w:w="1634" w:type="dxa"/>
            <w:vAlign w:val="top"/>
          </w:tcPr>
          <w:p w14:paraId="669B58E6">
            <w:pPr>
              <w:pStyle w:val="6"/>
              <w:spacing w:before="55" w:line="219" w:lineRule="auto"/>
              <w:ind w:left="555"/>
              <w:rPr>
                <w:sz w:val="18"/>
                <w:szCs w:val="18"/>
              </w:rPr>
            </w:pPr>
            <w:r>
              <w:rPr>
                <w:spacing w:val="-4"/>
                <w:sz w:val="18"/>
                <w:szCs w:val="18"/>
              </w:rPr>
              <w:t>未检出</w:t>
            </w:r>
          </w:p>
        </w:tc>
        <w:tc>
          <w:tcPr>
            <w:tcW w:w="1066" w:type="dxa"/>
            <w:tcBorders>
              <w:right w:val="nil"/>
            </w:tcBorders>
            <w:vAlign w:val="top"/>
          </w:tcPr>
          <w:p w14:paraId="4C179167">
            <w:pPr>
              <w:spacing w:before="86" w:line="188" w:lineRule="auto"/>
              <w:ind w:left="448"/>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66</w:t>
            </w:r>
          </w:p>
        </w:tc>
      </w:tr>
      <w:tr w14:paraId="65A330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90" w:type="dxa"/>
            <w:tcBorders>
              <w:left w:val="nil"/>
            </w:tcBorders>
            <w:vAlign w:val="top"/>
          </w:tcPr>
          <w:p w14:paraId="7C05733E">
            <w:pPr>
              <w:spacing w:before="85"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14</w:t>
            </w:r>
          </w:p>
        </w:tc>
        <w:tc>
          <w:tcPr>
            <w:tcW w:w="1747" w:type="dxa"/>
            <w:vAlign w:val="top"/>
          </w:tcPr>
          <w:p w14:paraId="1AE60B71">
            <w:pPr>
              <w:pStyle w:val="6"/>
              <w:spacing w:before="56" w:line="219" w:lineRule="auto"/>
              <w:ind w:left="256"/>
              <w:rPr>
                <w:sz w:val="18"/>
                <w:szCs w:val="18"/>
              </w:rPr>
            </w:pPr>
            <w:r>
              <w:rPr>
                <w:spacing w:val="-1"/>
                <w:sz w:val="18"/>
                <w:szCs w:val="18"/>
              </w:rPr>
              <w:t>顺</w:t>
            </w:r>
            <w:r>
              <w:rPr>
                <w:rFonts w:ascii="Times New Roman" w:hAnsi="Times New Roman" w:eastAsia="Times New Roman" w:cs="Times New Roman"/>
                <w:spacing w:val="-1"/>
                <w:sz w:val="18"/>
                <w:szCs w:val="18"/>
              </w:rPr>
              <w:t>-1.2-</w:t>
            </w:r>
            <w:r>
              <w:rPr>
                <w:spacing w:val="-1"/>
                <w:sz w:val="18"/>
                <w:szCs w:val="18"/>
              </w:rPr>
              <w:t>二氯乙烯</w:t>
            </w:r>
          </w:p>
        </w:tc>
        <w:tc>
          <w:tcPr>
            <w:tcW w:w="766" w:type="dxa"/>
            <w:vAlign w:val="top"/>
          </w:tcPr>
          <w:p w14:paraId="28ABE8B7">
            <w:pPr>
              <w:pStyle w:val="6"/>
              <w:spacing w:before="56" w:line="219" w:lineRule="auto"/>
              <w:ind w:left="119"/>
              <w:rPr>
                <w:sz w:val="18"/>
                <w:szCs w:val="18"/>
              </w:rPr>
            </w:pPr>
            <w:r>
              <w:rPr>
                <w:spacing w:val="-4"/>
                <w:sz w:val="18"/>
                <w:szCs w:val="18"/>
              </w:rPr>
              <w:t>未检出</w:t>
            </w:r>
          </w:p>
        </w:tc>
        <w:tc>
          <w:tcPr>
            <w:tcW w:w="1081" w:type="dxa"/>
            <w:vAlign w:val="top"/>
          </w:tcPr>
          <w:p w14:paraId="5A733099">
            <w:pPr>
              <w:pStyle w:val="6"/>
              <w:spacing w:before="56" w:line="219" w:lineRule="auto"/>
              <w:ind w:left="277"/>
              <w:rPr>
                <w:sz w:val="18"/>
                <w:szCs w:val="18"/>
              </w:rPr>
            </w:pPr>
            <w:r>
              <w:rPr>
                <w:spacing w:val="-4"/>
                <w:sz w:val="18"/>
                <w:szCs w:val="18"/>
              </w:rPr>
              <w:t>未检出</w:t>
            </w:r>
          </w:p>
        </w:tc>
        <w:tc>
          <w:tcPr>
            <w:tcW w:w="1045" w:type="dxa"/>
            <w:vAlign w:val="top"/>
          </w:tcPr>
          <w:p w14:paraId="748EA9B3">
            <w:pPr>
              <w:pStyle w:val="6"/>
              <w:spacing w:before="56" w:line="219" w:lineRule="auto"/>
              <w:ind w:left="259"/>
              <w:rPr>
                <w:sz w:val="18"/>
                <w:szCs w:val="18"/>
              </w:rPr>
            </w:pPr>
            <w:r>
              <w:rPr>
                <w:spacing w:val="-4"/>
                <w:sz w:val="18"/>
                <w:szCs w:val="18"/>
              </w:rPr>
              <w:t>未检出</w:t>
            </w:r>
          </w:p>
        </w:tc>
        <w:tc>
          <w:tcPr>
            <w:tcW w:w="995" w:type="dxa"/>
            <w:vAlign w:val="top"/>
          </w:tcPr>
          <w:p w14:paraId="33CBB517">
            <w:pPr>
              <w:pStyle w:val="6"/>
              <w:spacing w:before="56" w:line="219" w:lineRule="auto"/>
              <w:ind w:left="234"/>
              <w:rPr>
                <w:sz w:val="18"/>
                <w:szCs w:val="18"/>
              </w:rPr>
            </w:pPr>
            <w:r>
              <w:rPr>
                <w:spacing w:val="-4"/>
                <w:sz w:val="18"/>
                <w:szCs w:val="18"/>
              </w:rPr>
              <w:t>未检出</w:t>
            </w:r>
          </w:p>
        </w:tc>
        <w:tc>
          <w:tcPr>
            <w:tcW w:w="995" w:type="dxa"/>
            <w:vAlign w:val="top"/>
          </w:tcPr>
          <w:p w14:paraId="1BCEB5B8">
            <w:pPr>
              <w:pStyle w:val="6"/>
              <w:spacing w:before="56" w:line="219" w:lineRule="auto"/>
              <w:ind w:left="235"/>
              <w:rPr>
                <w:sz w:val="18"/>
                <w:szCs w:val="18"/>
              </w:rPr>
            </w:pPr>
            <w:r>
              <w:rPr>
                <w:spacing w:val="-4"/>
                <w:sz w:val="18"/>
                <w:szCs w:val="18"/>
              </w:rPr>
              <w:t>未检出</w:t>
            </w:r>
          </w:p>
        </w:tc>
        <w:tc>
          <w:tcPr>
            <w:tcW w:w="1071" w:type="dxa"/>
            <w:vAlign w:val="top"/>
          </w:tcPr>
          <w:p w14:paraId="5BC259F5">
            <w:pPr>
              <w:pStyle w:val="6"/>
              <w:spacing w:before="56" w:line="219" w:lineRule="auto"/>
              <w:ind w:left="272"/>
              <w:rPr>
                <w:sz w:val="18"/>
                <w:szCs w:val="18"/>
              </w:rPr>
            </w:pPr>
            <w:r>
              <w:rPr>
                <w:spacing w:val="-4"/>
                <w:sz w:val="18"/>
                <w:szCs w:val="18"/>
              </w:rPr>
              <w:t>未检出</w:t>
            </w:r>
          </w:p>
        </w:tc>
        <w:tc>
          <w:tcPr>
            <w:tcW w:w="1177" w:type="dxa"/>
            <w:vAlign w:val="top"/>
          </w:tcPr>
          <w:p w14:paraId="4B9C3A85">
            <w:pPr>
              <w:pStyle w:val="6"/>
              <w:spacing w:before="56" w:line="219" w:lineRule="auto"/>
              <w:ind w:left="327"/>
              <w:rPr>
                <w:sz w:val="18"/>
                <w:szCs w:val="18"/>
              </w:rPr>
            </w:pPr>
            <w:r>
              <w:rPr>
                <w:spacing w:val="-4"/>
                <w:sz w:val="18"/>
                <w:szCs w:val="18"/>
              </w:rPr>
              <w:t>未检出</w:t>
            </w:r>
          </w:p>
        </w:tc>
        <w:tc>
          <w:tcPr>
            <w:tcW w:w="995" w:type="dxa"/>
            <w:vAlign w:val="top"/>
          </w:tcPr>
          <w:p w14:paraId="7CA66904">
            <w:pPr>
              <w:pStyle w:val="6"/>
              <w:spacing w:before="56" w:line="219" w:lineRule="auto"/>
              <w:ind w:left="235"/>
              <w:rPr>
                <w:sz w:val="18"/>
                <w:szCs w:val="18"/>
              </w:rPr>
            </w:pPr>
            <w:r>
              <w:rPr>
                <w:spacing w:val="-4"/>
                <w:sz w:val="18"/>
                <w:szCs w:val="18"/>
              </w:rPr>
              <w:t>未检出</w:t>
            </w:r>
          </w:p>
        </w:tc>
        <w:tc>
          <w:tcPr>
            <w:tcW w:w="1046" w:type="dxa"/>
            <w:vAlign w:val="top"/>
          </w:tcPr>
          <w:p w14:paraId="6E779B3A">
            <w:pPr>
              <w:pStyle w:val="6"/>
              <w:spacing w:before="56" w:line="219" w:lineRule="auto"/>
              <w:ind w:left="260"/>
              <w:rPr>
                <w:sz w:val="18"/>
                <w:szCs w:val="18"/>
              </w:rPr>
            </w:pPr>
            <w:r>
              <w:rPr>
                <w:spacing w:val="-4"/>
                <w:sz w:val="18"/>
                <w:szCs w:val="18"/>
              </w:rPr>
              <w:t>未检出</w:t>
            </w:r>
          </w:p>
        </w:tc>
        <w:tc>
          <w:tcPr>
            <w:tcW w:w="1634" w:type="dxa"/>
            <w:vAlign w:val="top"/>
          </w:tcPr>
          <w:p w14:paraId="1E41F3E7">
            <w:pPr>
              <w:pStyle w:val="6"/>
              <w:spacing w:before="56" w:line="219" w:lineRule="auto"/>
              <w:ind w:left="555"/>
              <w:rPr>
                <w:sz w:val="18"/>
                <w:szCs w:val="18"/>
              </w:rPr>
            </w:pPr>
            <w:r>
              <w:rPr>
                <w:spacing w:val="-4"/>
                <w:sz w:val="18"/>
                <w:szCs w:val="18"/>
              </w:rPr>
              <w:t>未检出</w:t>
            </w:r>
          </w:p>
        </w:tc>
        <w:tc>
          <w:tcPr>
            <w:tcW w:w="1066" w:type="dxa"/>
            <w:tcBorders>
              <w:right w:val="nil"/>
            </w:tcBorders>
            <w:vAlign w:val="top"/>
          </w:tcPr>
          <w:p w14:paraId="665DADA1">
            <w:pPr>
              <w:spacing w:before="85" w:line="188" w:lineRule="auto"/>
              <w:ind w:left="406"/>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596</w:t>
            </w:r>
          </w:p>
        </w:tc>
      </w:tr>
      <w:tr w14:paraId="3696B2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5CD6080B">
            <w:pPr>
              <w:spacing w:before="87"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15</w:t>
            </w:r>
          </w:p>
        </w:tc>
        <w:tc>
          <w:tcPr>
            <w:tcW w:w="1747" w:type="dxa"/>
            <w:vAlign w:val="top"/>
          </w:tcPr>
          <w:p w14:paraId="138D6080">
            <w:pPr>
              <w:pStyle w:val="6"/>
              <w:spacing w:before="56" w:line="219" w:lineRule="auto"/>
              <w:ind w:left="256"/>
              <w:rPr>
                <w:sz w:val="18"/>
                <w:szCs w:val="18"/>
              </w:rPr>
            </w:pPr>
            <w:r>
              <w:rPr>
                <w:spacing w:val="-1"/>
                <w:sz w:val="18"/>
                <w:szCs w:val="18"/>
              </w:rPr>
              <w:t>反</w:t>
            </w:r>
            <w:r>
              <w:rPr>
                <w:rFonts w:ascii="Times New Roman" w:hAnsi="Times New Roman" w:eastAsia="Times New Roman" w:cs="Times New Roman"/>
                <w:spacing w:val="-1"/>
                <w:sz w:val="18"/>
                <w:szCs w:val="18"/>
              </w:rPr>
              <w:t>-1.2-</w:t>
            </w:r>
            <w:r>
              <w:rPr>
                <w:spacing w:val="-1"/>
                <w:sz w:val="18"/>
                <w:szCs w:val="18"/>
              </w:rPr>
              <w:t>二氯乙烯</w:t>
            </w:r>
          </w:p>
        </w:tc>
        <w:tc>
          <w:tcPr>
            <w:tcW w:w="766" w:type="dxa"/>
            <w:vAlign w:val="top"/>
          </w:tcPr>
          <w:p w14:paraId="21F60463">
            <w:pPr>
              <w:pStyle w:val="6"/>
              <w:spacing w:before="56" w:line="219" w:lineRule="auto"/>
              <w:ind w:left="119"/>
              <w:rPr>
                <w:sz w:val="18"/>
                <w:szCs w:val="18"/>
              </w:rPr>
            </w:pPr>
            <w:r>
              <w:rPr>
                <w:spacing w:val="-4"/>
                <w:sz w:val="18"/>
                <w:szCs w:val="18"/>
              </w:rPr>
              <w:t>未检出</w:t>
            </w:r>
          </w:p>
        </w:tc>
        <w:tc>
          <w:tcPr>
            <w:tcW w:w="1081" w:type="dxa"/>
            <w:vAlign w:val="top"/>
          </w:tcPr>
          <w:p w14:paraId="0B8FA5ED">
            <w:pPr>
              <w:pStyle w:val="6"/>
              <w:spacing w:before="56" w:line="219" w:lineRule="auto"/>
              <w:ind w:left="277"/>
              <w:rPr>
                <w:sz w:val="18"/>
                <w:szCs w:val="18"/>
              </w:rPr>
            </w:pPr>
            <w:r>
              <w:rPr>
                <w:spacing w:val="-4"/>
                <w:sz w:val="18"/>
                <w:szCs w:val="18"/>
              </w:rPr>
              <w:t>未检出</w:t>
            </w:r>
          </w:p>
        </w:tc>
        <w:tc>
          <w:tcPr>
            <w:tcW w:w="1045" w:type="dxa"/>
            <w:vAlign w:val="top"/>
          </w:tcPr>
          <w:p w14:paraId="115EFB9A">
            <w:pPr>
              <w:pStyle w:val="6"/>
              <w:spacing w:before="56" w:line="219" w:lineRule="auto"/>
              <w:ind w:left="259"/>
              <w:rPr>
                <w:sz w:val="18"/>
                <w:szCs w:val="18"/>
              </w:rPr>
            </w:pPr>
            <w:r>
              <w:rPr>
                <w:spacing w:val="-4"/>
                <w:sz w:val="18"/>
                <w:szCs w:val="18"/>
              </w:rPr>
              <w:t>未检出</w:t>
            </w:r>
          </w:p>
        </w:tc>
        <w:tc>
          <w:tcPr>
            <w:tcW w:w="995" w:type="dxa"/>
            <w:vAlign w:val="top"/>
          </w:tcPr>
          <w:p w14:paraId="1E654AFD">
            <w:pPr>
              <w:pStyle w:val="6"/>
              <w:spacing w:before="56" w:line="219" w:lineRule="auto"/>
              <w:ind w:left="234"/>
              <w:rPr>
                <w:sz w:val="18"/>
                <w:szCs w:val="18"/>
              </w:rPr>
            </w:pPr>
            <w:r>
              <w:rPr>
                <w:spacing w:val="-4"/>
                <w:sz w:val="18"/>
                <w:szCs w:val="18"/>
              </w:rPr>
              <w:t>未检出</w:t>
            </w:r>
          </w:p>
        </w:tc>
        <w:tc>
          <w:tcPr>
            <w:tcW w:w="995" w:type="dxa"/>
            <w:vAlign w:val="top"/>
          </w:tcPr>
          <w:p w14:paraId="0E71B98E">
            <w:pPr>
              <w:pStyle w:val="6"/>
              <w:spacing w:before="56" w:line="219" w:lineRule="auto"/>
              <w:ind w:left="235"/>
              <w:rPr>
                <w:sz w:val="18"/>
                <w:szCs w:val="18"/>
              </w:rPr>
            </w:pPr>
            <w:r>
              <w:rPr>
                <w:spacing w:val="-4"/>
                <w:sz w:val="18"/>
                <w:szCs w:val="18"/>
              </w:rPr>
              <w:t>未检出</w:t>
            </w:r>
          </w:p>
        </w:tc>
        <w:tc>
          <w:tcPr>
            <w:tcW w:w="1071" w:type="dxa"/>
            <w:vAlign w:val="top"/>
          </w:tcPr>
          <w:p w14:paraId="51BE25BC">
            <w:pPr>
              <w:pStyle w:val="6"/>
              <w:spacing w:before="56" w:line="219" w:lineRule="auto"/>
              <w:ind w:left="272"/>
              <w:rPr>
                <w:sz w:val="18"/>
                <w:szCs w:val="18"/>
              </w:rPr>
            </w:pPr>
            <w:r>
              <w:rPr>
                <w:spacing w:val="-4"/>
                <w:sz w:val="18"/>
                <w:szCs w:val="18"/>
              </w:rPr>
              <w:t>未检出</w:t>
            </w:r>
          </w:p>
        </w:tc>
        <w:tc>
          <w:tcPr>
            <w:tcW w:w="1177" w:type="dxa"/>
            <w:vAlign w:val="top"/>
          </w:tcPr>
          <w:p w14:paraId="40953E14">
            <w:pPr>
              <w:pStyle w:val="6"/>
              <w:spacing w:before="56" w:line="219" w:lineRule="auto"/>
              <w:ind w:left="327"/>
              <w:rPr>
                <w:sz w:val="18"/>
                <w:szCs w:val="18"/>
              </w:rPr>
            </w:pPr>
            <w:r>
              <w:rPr>
                <w:spacing w:val="-4"/>
                <w:sz w:val="18"/>
                <w:szCs w:val="18"/>
              </w:rPr>
              <w:t>未检出</w:t>
            </w:r>
          </w:p>
        </w:tc>
        <w:tc>
          <w:tcPr>
            <w:tcW w:w="995" w:type="dxa"/>
            <w:vAlign w:val="top"/>
          </w:tcPr>
          <w:p w14:paraId="070FA5D9">
            <w:pPr>
              <w:pStyle w:val="6"/>
              <w:spacing w:before="56" w:line="219" w:lineRule="auto"/>
              <w:ind w:left="235"/>
              <w:rPr>
                <w:sz w:val="18"/>
                <w:szCs w:val="18"/>
              </w:rPr>
            </w:pPr>
            <w:r>
              <w:rPr>
                <w:spacing w:val="-4"/>
                <w:sz w:val="18"/>
                <w:szCs w:val="18"/>
              </w:rPr>
              <w:t>未检出</w:t>
            </w:r>
          </w:p>
        </w:tc>
        <w:tc>
          <w:tcPr>
            <w:tcW w:w="1046" w:type="dxa"/>
            <w:vAlign w:val="top"/>
          </w:tcPr>
          <w:p w14:paraId="54C93A2F">
            <w:pPr>
              <w:pStyle w:val="6"/>
              <w:spacing w:before="56" w:line="219" w:lineRule="auto"/>
              <w:ind w:left="260"/>
              <w:rPr>
                <w:sz w:val="18"/>
                <w:szCs w:val="18"/>
              </w:rPr>
            </w:pPr>
            <w:r>
              <w:rPr>
                <w:spacing w:val="-4"/>
                <w:sz w:val="18"/>
                <w:szCs w:val="18"/>
              </w:rPr>
              <w:t>未检出</w:t>
            </w:r>
          </w:p>
        </w:tc>
        <w:tc>
          <w:tcPr>
            <w:tcW w:w="1634" w:type="dxa"/>
            <w:vAlign w:val="top"/>
          </w:tcPr>
          <w:p w14:paraId="1B5AC552">
            <w:pPr>
              <w:pStyle w:val="6"/>
              <w:spacing w:before="56" w:line="219" w:lineRule="auto"/>
              <w:ind w:left="555"/>
              <w:rPr>
                <w:sz w:val="18"/>
                <w:szCs w:val="18"/>
              </w:rPr>
            </w:pPr>
            <w:r>
              <w:rPr>
                <w:spacing w:val="-4"/>
                <w:sz w:val="18"/>
                <w:szCs w:val="18"/>
              </w:rPr>
              <w:t>未检出</w:t>
            </w:r>
          </w:p>
        </w:tc>
        <w:tc>
          <w:tcPr>
            <w:tcW w:w="1066" w:type="dxa"/>
            <w:tcBorders>
              <w:right w:val="nil"/>
            </w:tcBorders>
            <w:vAlign w:val="top"/>
          </w:tcPr>
          <w:p w14:paraId="56358A96">
            <w:pPr>
              <w:spacing w:before="87" w:line="188" w:lineRule="auto"/>
              <w:ind w:left="44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54</w:t>
            </w:r>
          </w:p>
        </w:tc>
      </w:tr>
      <w:tr w14:paraId="349FB2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90" w:type="dxa"/>
            <w:tcBorders>
              <w:left w:val="nil"/>
            </w:tcBorders>
            <w:vAlign w:val="top"/>
          </w:tcPr>
          <w:p w14:paraId="3C0D583C">
            <w:pPr>
              <w:spacing w:before="86"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16</w:t>
            </w:r>
          </w:p>
        </w:tc>
        <w:tc>
          <w:tcPr>
            <w:tcW w:w="1747" w:type="dxa"/>
            <w:vAlign w:val="top"/>
          </w:tcPr>
          <w:p w14:paraId="08C4452A">
            <w:pPr>
              <w:pStyle w:val="6"/>
              <w:spacing w:before="57" w:line="220" w:lineRule="auto"/>
              <w:ind w:left="520"/>
              <w:rPr>
                <w:sz w:val="18"/>
                <w:szCs w:val="18"/>
              </w:rPr>
            </w:pPr>
            <w:r>
              <w:rPr>
                <w:spacing w:val="-3"/>
                <w:sz w:val="18"/>
                <w:szCs w:val="18"/>
              </w:rPr>
              <w:t>二氯甲烷</w:t>
            </w:r>
          </w:p>
        </w:tc>
        <w:tc>
          <w:tcPr>
            <w:tcW w:w="766" w:type="dxa"/>
            <w:vAlign w:val="top"/>
          </w:tcPr>
          <w:p w14:paraId="330214AB">
            <w:pPr>
              <w:pStyle w:val="6"/>
              <w:spacing w:before="57" w:line="219" w:lineRule="auto"/>
              <w:ind w:left="119"/>
              <w:rPr>
                <w:sz w:val="18"/>
                <w:szCs w:val="18"/>
              </w:rPr>
            </w:pPr>
            <w:r>
              <w:rPr>
                <w:spacing w:val="-4"/>
                <w:sz w:val="18"/>
                <w:szCs w:val="18"/>
              </w:rPr>
              <w:t>未检出</w:t>
            </w:r>
          </w:p>
        </w:tc>
        <w:tc>
          <w:tcPr>
            <w:tcW w:w="1081" w:type="dxa"/>
            <w:vAlign w:val="top"/>
          </w:tcPr>
          <w:p w14:paraId="503F60A7">
            <w:pPr>
              <w:pStyle w:val="6"/>
              <w:spacing w:before="57" w:line="219" w:lineRule="auto"/>
              <w:ind w:left="277"/>
              <w:rPr>
                <w:sz w:val="18"/>
                <w:szCs w:val="18"/>
              </w:rPr>
            </w:pPr>
            <w:r>
              <w:rPr>
                <w:spacing w:val="-4"/>
                <w:sz w:val="18"/>
                <w:szCs w:val="18"/>
              </w:rPr>
              <w:t>未检出</w:t>
            </w:r>
          </w:p>
        </w:tc>
        <w:tc>
          <w:tcPr>
            <w:tcW w:w="1045" w:type="dxa"/>
            <w:vAlign w:val="top"/>
          </w:tcPr>
          <w:p w14:paraId="3253A1A7">
            <w:pPr>
              <w:pStyle w:val="6"/>
              <w:spacing w:before="57" w:line="219" w:lineRule="auto"/>
              <w:ind w:left="259"/>
              <w:rPr>
                <w:sz w:val="18"/>
                <w:szCs w:val="18"/>
              </w:rPr>
            </w:pPr>
            <w:r>
              <w:rPr>
                <w:spacing w:val="-4"/>
                <w:sz w:val="18"/>
                <w:szCs w:val="18"/>
              </w:rPr>
              <w:t>未检出</w:t>
            </w:r>
          </w:p>
        </w:tc>
        <w:tc>
          <w:tcPr>
            <w:tcW w:w="995" w:type="dxa"/>
            <w:vAlign w:val="top"/>
          </w:tcPr>
          <w:p w14:paraId="318F83C2">
            <w:pPr>
              <w:pStyle w:val="6"/>
              <w:spacing w:before="57" w:line="219" w:lineRule="auto"/>
              <w:ind w:left="234"/>
              <w:rPr>
                <w:sz w:val="18"/>
                <w:szCs w:val="18"/>
              </w:rPr>
            </w:pPr>
            <w:r>
              <w:rPr>
                <w:spacing w:val="-4"/>
                <w:sz w:val="18"/>
                <w:szCs w:val="18"/>
              </w:rPr>
              <w:t>未检出</w:t>
            </w:r>
          </w:p>
        </w:tc>
        <w:tc>
          <w:tcPr>
            <w:tcW w:w="995" w:type="dxa"/>
            <w:vAlign w:val="top"/>
          </w:tcPr>
          <w:p w14:paraId="54D47AD6">
            <w:pPr>
              <w:pStyle w:val="6"/>
              <w:spacing w:before="57" w:line="219" w:lineRule="auto"/>
              <w:ind w:left="235"/>
              <w:rPr>
                <w:sz w:val="18"/>
                <w:szCs w:val="18"/>
              </w:rPr>
            </w:pPr>
            <w:r>
              <w:rPr>
                <w:spacing w:val="-4"/>
                <w:sz w:val="18"/>
                <w:szCs w:val="18"/>
              </w:rPr>
              <w:t>未检出</w:t>
            </w:r>
          </w:p>
        </w:tc>
        <w:tc>
          <w:tcPr>
            <w:tcW w:w="1071" w:type="dxa"/>
            <w:vAlign w:val="top"/>
          </w:tcPr>
          <w:p w14:paraId="6EF5A594">
            <w:pPr>
              <w:pStyle w:val="6"/>
              <w:spacing w:before="57" w:line="219" w:lineRule="auto"/>
              <w:ind w:left="272"/>
              <w:rPr>
                <w:sz w:val="18"/>
                <w:szCs w:val="18"/>
              </w:rPr>
            </w:pPr>
            <w:r>
              <w:rPr>
                <w:spacing w:val="-4"/>
                <w:sz w:val="18"/>
                <w:szCs w:val="18"/>
              </w:rPr>
              <w:t>未检出</w:t>
            </w:r>
          </w:p>
        </w:tc>
        <w:tc>
          <w:tcPr>
            <w:tcW w:w="1177" w:type="dxa"/>
            <w:vAlign w:val="top"/>
          </w:tcPr>
          <w:p w14:paraId="00CFAA39">
            <w:pPr>
              <w:pStyle w:val="6"/>
              <w:spacing w:before="57" w:line="219" w:lineRule="auto"/>
              <w:ind w:left="327"/>
              <w:rPr>
                <w:sz w:val="18"/>
                <w:szCs w:val="18"/>
              </w:rPr>
            </w:pPr>
            <w:r>
              <w:rPr>
                <w:spacing w:val="-4"/>
                <w:sz w:val="18"/>
                <w:szCs w:val="18"/>
              </w:rPr>
              <w:t>未检出</w:t>
            </w:r>
          </w:p>
        </w:tc>
        <w:tc>
          <w:tcPr>
            <w:tcW w:w="995" w:type="dxa"/>
            <w:vAlign w:val="top"/>
          </w:tcPr>
          <w:p w14:paraId="6167E1FD">
            <w:pPr>
              <w:pStyle w:val="6"/>
              <w:spacing w:before="57" w:line="219" w:lineRule="auto"/>
              <w:ind w:left="235"/>
              <w:rPr>
                <w:sz w:val="18"/>
                <w:szCs w:val="18"/>
              </w:rPr>
            </w:pPr>
            <w:r>
              <w:rPr>
                <w:spacing w:val="-4"/>
                <w:sz w:val="18"/>
                <w:szCs w:val="18"/>
              </w:rPr>
              <w:t>未检出</w:t>
            </w:r>
          </w:p>
        </w:tc>
        <w:tc>
          <w:tcPr>
            <w:tcW w:w="1046" w:type="dxa"/>
            <w:vAlign w:val="top"/>
          </w:tcPr>
          <w:p w14:paraId="04818935">
            <w:pPr>
              <w:pStyle w:val="6"/>
              <w:spacing w:before="57" w:line="219" w:lineRule="auto"/>
              <w:ind w:left="260"/>
              <w:rPr>
                <w:sz w:val="18"/>
                <w:szCs w:val="18"/>
              </w:rPr>
            </w:pPr>
            <w:r>
              <w:rPr>
                <w:spacing w:val="-4"/>
                <w:sz w:val="18"/>
                <w:szCs w:val="18"/>
              </w:rPr>
              <w:t>未检出</w:t>
            </w:r>
          </w:p>
        </w:tc>
        <w:tc>
          <w:tcPr>
            <w:tcW w:w="1634" w:type="dxa"/>
            <w:vAlign w:val="top"/>
          </w:tcPr>
          <w:p w14:paraId="346CC67D">
            <w:pPr>
              <w:pStyle w:val="6"/>
              <w:spacing w:before="57" w:line="219" w:lineRule="auto"/>
              <w:ind w:left="555"/>
              <w:rPr>
                <w:sz w:val="18"/>
                <w:szCs w:val="18"/>
              </w:rPr>
            </w:pPr>
            <w:r>
              <w:rPr>
                <w:spacing w:val="-4"/>
                <w:sz w:val="18"/>
                <w:szCs w:val="18"/>
              </w:rPr>
              <w:t>未检出</w:t>
            </w:r>
          </w:p>
        </w:tc>
        <w:tc>
          <w:tcPr>
            <w:tcW w:w="1066" w:type="dxa"/>
            <w:tcBorders>
              <w:right w:val="nil"/>
            </w:tcBorders>
            <w:vAlign w:val="top"/>
          </w:tcPr>
          <w:p w14:paraId="62F84532">
            <w:pPr>
              <w:spacing w:before="86" w:line="188" w:lineRule="auto"/>
              <w:ind w:left="405"/>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616</w:t>
            </w:r>
          </w:p>
        </w:tc>
      </w:tr>
      <w:tr w14:paraId="549090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4E924FB0">
            <w:pPr>
              <w:spacing w:before="88"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17</w:t>
            </w:r>
          </w:p>
        </w:tc>
        <w:tc>
          <w:tcPr>
            <w:tcW w:w="1747" w:type="dxa"/>
            <w:vAlign w:val="top"/>
          </w:tcPr>
          <w:p w14:paraId="4CF9F0BB">
            <w:pPr>
              <w:pStyle w:val="6"/>
              <w:spacing w:before="57" w:line="220" w:lineRule="auto"/>
              <w:ind w:left="389"/>
              <w:rPr>
                <w:sz w:val="18"/>
                <w:szCs w:val="18"/>
              </w:rPr>
            </w:pPr>
            <w:r>
              <w:rPr>
                <w:rFonts w:ascii="Times New Roman" w:hAnsi="Times New Roman" w:eastAsia="Times New Roman" w:cs="Times New Roman"/>
                <w:spacing w:val="-3"/>
                <w:sz w:val="18"/>
                <w:szCs w:val="18"/>
              </w:rPr>
              <w:t>1.2-</w:t>
            </w:r>
            <w:r>
              <w:rPr>
                <w:spacing w:val="-3"/>
                <w:sz w:val="18"/>
                <w:szCs w:val="18"/>
              </w:rPr>
              <w:t>二氯丙烷</w:t>
            </w:r>
          </w:p>
        </w:tc>
        <w:tc>
          <w:tcPr>
            <w:tcW w:w="766" w:type="dxa"/>
            <w:vAlign w:val="top"/>
          </w:tcPr>
          <w:p w14:paraId="42FC07ED">
            <w:pPr>
              <w:pStyle w:val="6"/>
              <w:spacing w:before="57" w:line="219" w:lineRule="auto"/>
              <w:ind w:left="119"/>
              <w:rPr>
                <w:sz w:val="18"/>
                <w:szCs w:val="18"/>
              </w:rPr>
            </w:pPr>
            <w:r>
              <w:rPr>
                <w:spacing w:val="-4"/>
                <w:sz w:val="18"/>
                <w:szCs w:val="18"/>
              </w:rPr>
              <w:t>未检出</w:t>
            </w:r>
          </w:p>
        </w:tc>
        <w:tc>
          <w:tcPr>
            <w:tcW w:w="1081" w:type="dxa"/>
            <w:vAlign w:val="top"/>
          </w:tcPr>
          <w:p w14:paraId="7CF8C717">
            <w:pPr>
              <w:pStyle w:val="6"/>
              <w:spacing w:before="57" w:line="219" w:lineRule="auto"/>
              <w:ind w:left="277"/>
              <w:rPr>
                <w:sz w:val="18"/>
                <w:szCs w:val="18"/>
              </w:rPr>
            </w:pPr>
            <w:r>
              <w:rPr>
                <w:spacing w:val="-4"/>
                <w:sz w:val="18"/>
                <w:szCs w:val="18"/>
              </w:rPr>
              <w:t>未检出</w:t>
            </w:r>
          </w:p>
        </w:tc>
        <w:tc>
          <w:tcPr>
            <w:tcW w:w="1045" w:type="dxa"/>
            <w:vAlign w:val="top"/>
          </w:tcPr>
          <w:p w14:paraId="7ADF1E9C">
            <w:pPr>
              <w:pStyle w:val="6"/>
              <w:spacing w:before="57" w:line="219" w:lineRule="auto"/>
              <w:ind w:left="259"/>
              <w:rPr>
                <w:sz w:val="18"/>
                <w:szCs w:val="18"/>
              </w:rPr>
            </w:pPr>
            <w:r>
              <w:rPr>
                <w:spacing w:val="-4"/>
                <w:sz w:val="18"/>
                <w:szCs w:val="18"/>
              </w:rPr>
              <w:t>未检出</w:t>
            </w:r>
          </w:p>
        </w:tc>
        <w:tc>
          <w:tcPr>
            <w:tcW w:w="995" w:type="dxa"/>
            <w:vAlign w:val="top"/>
          </w:tcPr>
          <w:p w14:paraId="6FD4902C">
            <w:pPr>
              <w:pStyle w:val="6"/>
              <w:spacing w:before="57" w:line="219" w:lineRule="auto"/>
              <w:ind w:left="234"/>
              <w:rPr>
                <w:sz w:val="18"/>
                <w:szCs w:val="18"/>
              </w:rPr>
            </w:pPr>
            <w:r>
              <w:rPr>
                <w:spacing w:val="-4"/>
                <w:sz w:val="18"/>
                <w:szCs w:val="18"/>
              </w:rPr>
              <w:t>未检出</w:t>
            </w:r>
          </w:p>
        </w:tc>
        <w:tc>
          <w:tcPr>
            <w:tcW w:w="995" w:type="dxa"/>
            <w:vAlign w:val="top"/>
          </w:tcPr>
          <w:p w14:paraId="3B6CF2AD">
            <w:pPr>
              <w:pStyle w:val="6"/>
              <w:spacing w:before="57" w:line="219" w:lineRule="auto"/>
              <w:ind w:left="235"/>
              <w:rPr>
                <w:sz w:val="18"/>
                <w:szCs w:val="18"/>
              </w:rPr>
            </w:pPr>
            <w:r>
              <w:rPr>
                <w:spacing w:val="-4"/>
                <w:sz w:val="18"/>
                <w:szCs w:val="18"/>
              </w:rPr>
              <w:t>未检出</w:t>
            </w:r>
          </w:p>
        </w:tc>
        <w:tc>
          <w:tcPr>
            <w:tcW w:w="1071" w:type="dxa"/>
            <w:vAlign w:val="top"/>
          </w:tcPr>
          <w:p w14:paraId="22E66FA7">
            <w:pPr>
              <w:pStyle w:val="6"/>
              <w:spacing w:before="57" w:line="219" w:lineRule="auto"/>
              <w:ind w:left="272"/>
              <w:rPr>
                <w:sz w:val="18"/>
                <w:szCs w:val="18"/>
              </w:rPr>
            </w:pPr>
            <w:r>
              <w:rPr>
                <w:spacing w:val="-4"/>
                <w:sz w:val="18"/>
                <w:szCs w:val="18"/>
              </w:rPr>
              <w:t>未检出</w:t>
            </w:r>
          </w:p>
        </w:tc>
        <w:tc>
          <w:tcPr>
            <w:tcW w:w="1177" w:type="dxa"/>
            <w:vAlign w:val="top"/>
          </w:tcPr>
          <w:p w14:paraId="259DF03F">
            <w:pPr>
              <w:pStyle w:val="6"/>
              <w:spacing w:before="57" w:line="219" w:lineRule="auto"/>
              <w:ind w:left="327"/>
              <w:rPr>
                <w:sz w:val="18"/>
                <w:szCs w:val="18"/>
              </w:rPr>
            </w:pPr>
            <w:r>
              <w:rPr>
                <w:spacing w:val="-4"/>
                <w:sz w:val="18"/>
                <w:szCs w:val="18"/>
              </w:rPr>
              <w:t>未检出</w:t>
            </w:r>
          </w:p>
        </w:tc>
        <w:tc>
          <w:tcPr>
            <w:tcW w:w="995" w:type="dxa"/>
            <w:vAlign w:val="top"/>
          </w:tcPr>
          <w:p w14:paraId="7AC4DD29">
            <w:pPr>
              <w:pStyle w:val="6"/>
              <w:spacing w:before="57" w:line="219" w:lineRule="auto"/>
              <w:ind w:left="235"/>
              <w:rPr>
                <w:sz w:val="18"/>
                <w:szCs w:val="18"/>
              </w:rPr>
            </w:pPr>
            <w:r>
              <w:rPr>
                <w:spacing w:val="-4"/>
                <w:sz w:val="18"/>
                <w:szCs w:val="18"/>
              </w:rPr>
              <w:t>未检出</w:t>
            </w:r>
          </w:p>
        </w:tc>
        <w:tc>
          <w:tcPr>
            <w:tcW w:w="1046" w:type="dxa"/>
            <w:vAlign w:val="top"/>
          </w:tcPr>
          <w:p w14:paraId="14E33FCF">
            <w:pPr>
              <w:pStyle w:val="6"/>
              <w:spacing w:before="57" w:line="219" w:lineRule="auto"/>
              <w:ind w:left="260"/>
              <w:rPr>
                <w:sz w:val="18"/>
                <w:szCs w:val="18"/>
              </w:rPr>
            </w:pPr>
            <w:r>
              <w:rPr>
                <w:spacing w:val="-4"/>
                <w:sz w:val="18"/>
                <w:szCs w:val="18"/>
              </w:rPr>
              <w:t>未检出</w:t>
            </w:r>
          </w:p>
        </w:tc>
        <w:tc>
          <w:tcPr>
            <w:tcW w:w="1634" w:type="dxa"/>
            <w:vAlign w:val="top"/>
          </w:tcPr>
          <w:p w14:paraId="4D751CC5">
            <w:pPr>
              <w:pStyle w:val="6"/>
              <w:spacing w:before="57" w:line="219" w:lineRule="auto"/>
              <w:ind w:left="555"/>
              <w:rPr>
                <w:sz w:val="18"/>
                <w:szCs w:val="18"/>
              </w:rPr>
            </w:pPr>
            <w:r>
              <w:rPr>
                <w:spacing w:val="-4"/>
                <w:sz w:val="18"/>
                <w:szCs w:val="18"/>
              </w:rPr>
              <w:t>未检出</w:t>
            </w:r>
          </w:p>
        </w:tc>
        <w:tc>
          <w:tcPr>
            <w:tcW w:w="1066" w:type="dxa"/>
            <w:tcBorders>
              <w:right w:val="nil"/>
            </w:tcBorders>
            <w:vAlign w:val="top"/>
          </w:tcPr>
          <w:p w14:paraId="70F562A1">
            <w:pPr>
              <w:spacing w:before="90" w:line="185" w:lineRule="auto"/>
              <w:ind w:left="494"/>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tc>
      </w:tr>
      <w:tr w14:paraId="62C07A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74823C5F">
            <w:pPr>
              <w:spacing w:before="87"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18</w:t>
            </w:r>
          </w:p>
        </w:tc>
        <w:tc>
          <w:tcPr>
            <w:tcW w:w="1747" w:type="dxa"/>
            <w:vAlign w:val="top"/>
          </w:tcPr>
          <w:p w14:paraId="25F28D3D">
            <w:pPr>
              <w:pStyle w:val="6"/>
              <w:spacing w:before="58" w:line="220" w:lineRule="auto"/>
              <w:ind w:left="255"/>
              <w:rPr>
                <w:sz w:val="18"/>
                <w:szCs w:val="18"/>
              </w:rPr>
            </w:pPr>
            <w:r>
              <w:fldChar w:fldCharType="begin"/>
            </w:r>
            <w:r>
              <w:instrText xml:space="preserve"> HYPERLINK "1.1.1.2" </w:instrText>
            </w:r>
            <w:r>
              <w:fldChar w:fldCharType="separate"/>
            </w:r>
            <w:r>
              <w:rPr>
                <w:rFonts w:ascii="Times New Roman" w:hAnsi="Times New Roman" w:eastAsia="Times New Roman" w:cs="Times New Roman"/>
                <w:spacing w:val="-3"/>
                <w:sz w:val="18"/>
                <w:szCs w:val="18"/>
              </w:rPr>
              <w:t>1.1.1.2</w:t>
            </w:r>
            <w:r>
              <w:rPr>
                <w:rFonts w:ascii="Times New Roman" w:hAnsi="Times New Roman" w:eastAsia="Times New Roman" w:cs="Times New Roman"/>
                <w:spacing w:val="-3"/>
                <w:sz w:val="18"/>
                <w:szCs w:val="18"/>
              </w:rPr>
              <w:fldChar w:fldCharType="end"/>
            </w:r>
            <w:r>
              <w:rPr>
                <w:rFonts w:ascii="Times New Roman" w:hAnsi="Times New Roman" w:eastAsia="Times New Roman" w:cs="Times New Roman"/>
                <w:spacing w:val="-3"/>
                <w:sz w:val="18"/>
                <w:szCs w:val="18"/>
              </w:rPr>
              <w:t>-</w:t>
            </w:r>
            <w:r>
              <w:rPr>
                <w:spacing w:val="-3"/>
                <w:sz w:val="18"/>
                <w:szCs w:val="18"/>
              </w:rPr>
              <w:t>四氯乙烷</w:t>
            </w:r>
          </w:p>
        </w:tc>
        <w:tc>
          <w:tcPr>
            <w:tcW w:w="766" w:type="dxa"/>
            <w:vAlign w:val="top"/>
          </w:tcPr>
          <w:p w14:paraId="12A1F8AF">
            <w:pPr>
              <w:pStyle w:val="6"/>
              <w:spacing w:before="58" w:line="219" w:lineRule="auto"/>
              <w:ind w:left="119"/>
              <w:rPr>
                <w:sz w:val="18"/>
                <w:szCs w:val="18"/>
              </w:rPr>
            </w:pPr>
            <w:r>
              <w:rPr>
                <w:spacing w:val="-4"/>
                <w:sz w:val="18"/>
                <w:szCs w:val="18"/>
              </w:rPr>
              <w:t>未检出</w:t>
            </w:r>
          </w:p>
        </w:tc>
        <w:tc>
          <w:tcPr>
            <w:tcW w:w="1081" w:type="dxa"/>
            <w:vAlign w:val="top"/>
          </w:tcPr>
          <w:p w14:paraId="3466F2CE">
            <w:pPr>
              <w:pStyle w:val="6"/>
              <w:spacing w:before="58" w:line="219" w:lineRule="auto"/>
              <w:ind w:left="277"/>
              <w:rPr>
                <w:sz w:val="18"/>
                <w:szCs w:val="18"/>
              </w:rPr>
            </w:pPr>
            <w:r>
              <w:rPr>
                <w:spacing w:val="-4"/>
                <w:sz w:val="18"/>
                <w:szCs w:val="18"/>
              </w:rPr>
              <w:t>未检出</w:t>
            </w:r>
          </w:p>
        </w:tc>
        <w:tc>
          <w:tcPr>
            <w:tcW w:w="1045" w:type="dxa"/>
            <w:vAlign w:val="top"/>
          </w:tcPr>
          <w:p w14:paraId="6BA83FFF">
            <w:pPr>
              <w:pStyle w:val="6"/>
              <w:spacing w:before="58" w:line="219" w:lineRule="auto"/>
              <w:ind w:left="259"/>
              <w:rPr>
                <w:sz w:val="18"/>
                <w:szCs w:val="18"/>
              </w:rPr>
            </w:pPr>
            <w:r>
              <w:rPr>
                <w:spacing w:val="-4"/>
                <w:sz w:val="18"/>
                <w:szCs w:val="18"/>
              </w:rPr>
              <w:t>未检出</w:t>
            </w:r>
          </w:p>
        </w:tc>
        <w:tc>
          <w:tcPr>
            <w:tcW w:w="995" w:type="dxa"/>
            <w:vAlign w:val="top"/>
          </w:tcPr>
          <w:p w14:paraId="47EC8D6A">
            <w:pPr>
              <w:pStyle w:val="6"/>
              <w:spacing w:before="58" w:line="219" w:lineRule="auto"/>
              <w:ind w:left="234"/>
              <w:rPr>
                <w:sz w:val="18"/>
                <w:szCs w:val="18"/>
              </w:rPr>
            </w:pPr>
            <w:r>
              <w:rPr>
                <w:spacing w:val="-4"/>
                <w:sz w:val="18"/>
                <w:szCs w:val="18"/>
              </w:rPr>
              <w:t>未检出</w:t>
            </w:r>
          </w:p>
        </w:tc>
        <w:tc>
          <w:tcPr>
            <w:tcW w:w="995" w:type="dxa"/>
            <w:vAlign w:val="top"/>
          </w:tcPr>
          <w:p w14:paraId="1847645A">
            <w:pPr>
              <w:pStyle w:val="6"/>
              <w:spacing w:before="58" w:line="219" w:lineRule="auto"/>
              <w:ind w:left="235"/>
              <w:rPr>
                <w:sz w:val="18"/>
                <w:szCs w:val="18"/>
              </w:rPr>
            </w:pPr>
            <w:r>
              <w:rPr>
                <w:spacing w:val="-4"/>
                <w:sz w:val="18"/>
                <w:szCs w:val="18"/>
              </w:rPr>
              <w:t>未检出</w:t>
            </w:r>
          </w:p>
        </w:tc>
        <w:tc>
          <w:tcPr>
            <w:tcW w:w="1071" w:type="dxa"/>
            <w:vAlign w:val="top"/>
          </w:tcPr>
          <w:p w14:paraId="6E44EB4A">
            <w:pPr>
              <w:pStyle w:val="6"/>
              <w:spacing w:before="58" w:line="219" w:lineRule="auto"/>
              <w:ind w:left="272"/>
              <w:rPr>
                <w:sz w:val="18"/>
                <w:szCs w:val="18"/>
              </w:rPr>
            </w:pPr>
            <w:r>
              <w:rPr>
                <w:spacing w:val="-4"/>
                <w:sz w:val="18"/>
                <w:szCs w:val="18"/>
              </w:rPr>
              <w:t>未检出</w:t>
            </w:r>
          </w:p>
        </w:tc>
        <w:tc>
          <w:tcPr>
            <w:tcW w:w="1177" w:type="dxa"/>
            <w:vAlign w:val="top"/>
          </w:tcPr>
          <w:p w14:paraId="399F8D47">
            <w:pPr>
              <w:pStyle w:val="6"/>
              <w:spacing w:before="58" w:line="219" w:lineRule="auto"/>
              <w:ind w:left="327"/>
              <w:rPr>
                <w:sz w:val="18"/>
                <w:szCs w:val="18"/>
              </w:rPr>
            </w:pPr>
            <w:r>
              <w:rPr>
                <w:spacing w:val="-4"/>
                <w:sz w:val="18"/>
                <w:szCs w:val="18"/>
              </w:rPr>
              <w:t>未检出</w:t>
            </w:r>
          </w:p>
        </w:tc>
        <w:tc>
          <w:tcPr>
            <w:tcW w:w="995" w:type="dxa"/>
            <w:vAlign w:val="top"/>
          </w:tcPr>
          <w:p w14:paraId="055AA11E">
            <w:pPr>
              <w:pStyle w:val="6"/>
              <w:spacing w:before="58" w:line="219" w:lineRule="auto"/>
              <w:ind w:left="235"/>
              <w:rPr>
                <w:sz w:val="18"/>
                <w:szCs w:val="18"/>
              </w:rPr>
            </w:pPr>
            <w:r>
              <w:rPr>
                <w:spacing w:val="-4"/>
                <w:sz w:val="18"/>
                <w:szCs w:val="18"/>
              </w:rPr>
              <w:t>未检出</w:t>
            </w:r>
          </w:p>
        </w:tc>
        <w:tc>
          <w:tcPr>
            <w:tcW w:w="1046" w:type="dxa"/>
            <w:vAlign w:val="top"/>
          </w:tcPr>
          <w:p w14:paraId="0EE842A9">
            <w:pPr>
              <w:pStyle w:val="6"/>
              <w:spacing w:before="58" w:line="219" w:lineRule="auto"/>
              <w:ind w:left="260"/>
              <w:rPr>
                <w:sz w:val="18"/>
                <w:szCs w:val="18"/>
              </w:rPr>
            </w:pPr>
            <w:r>
              <w:rPr>
                <w:spacing w:val="-4"/>
                <w:sz w:val="18"/>
                <w:szCs w:val="18"/>
              </w:rPr>
              <w:t>未检出</w:t>
            </w:r>
          </w:p>
        </w:tc>
        <w:tc>
          <w:tcPr>
            <w:tcW w:w="1634" w:type="dxa"/>
            <w:vAlign w:val="top"/>
          </w:tcPr>
          <w:p w14:paraId="454B7BBE">
            <w:pPr>
              <w:pStyle w:val="6"/>
              <w:spacing w:before="58" w:line="219" w:lineRule="auto"/>
              <w:ind w:left="555"/>
              <w:rPr>
                <w:sz w:val="18"/>
                <w:szCs w:val="18"/>
              </w:rPr>
            </w:pPr>
            <w:r>
              <w:rPr>
                <w:spacing w:val="-4"/>
                <w:sz w:val="18"/>
                <w:szCs w:val="18"/>
              </w:rPr>
              <w:t>未检出</w:t>
            </w:r>
          </w:p>
        </w:tc>
        <w:tc>
          <w:tcPr>
            <w:tcW w:w="1066" w:type="dxa"/>
            <w:tcBorders>
              <w:right w:val="nil"/>
            </w:tcBorders>
            <w:vAlign w:val="top"/>
          </w:tcPr>
          <w:p w14:paraId="6D3BCF27">
            <w:pPr>
              <w:spacing w:before="87" w:line="188" w:lineRule="auto"/>
              <w:ind w:left="461"/>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10</w:t>
            </w:r>
          </w:p>
        </w:tc>
      </w:tr>
      <w:tr w14:paraId="4DD658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473AAD0D">
            <w:pPr>
              <w:spacing w:before="88"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19</w:t>
            </w:r>
          </w:p>
        </w:tc>
        <w:tc>
          <w:tcPr>
            <w:tcW w:w="1747" w:type="dxa"/>
            <w:vAlign w:val="top"/>
          </w:tcPr>
          <w:p w14:paraId="7881E090">
            <w:pPr>
              <w:pStyle w:val="6"/>
              <w:spacing w:before="57" w:line="220" w:lineRule="auto"/>
              <w:ind w:left="255"/>
              <w:rPr>
                <w:sz w:val="18"/>
                <w:szCs w:val="18"/>
              </w:rPr>
            </w:pPr>
            <w:r>
              <w:fldChar w:fldCharType="begin"/>
            </w:r>
            <w:r>
              <w:instrText xml:space="preserve"> HYPERLINK "1.1.2.2" </w:instrText>
            </w:r>
            <w:r>
              <w:fldChar w:fldCharType="separate"/>
            </w:r>
            <w:r>
              <w:rPr>
                <w:rFonts w:ascii="Times New Roman" w:hAnsi="Times New Roman" w:eastAsia="Times New Roman" w:cs="Times New Roman"/>
                <w:spacing w:val="-3"/>
                <w:sz w:val="18"/>
                <w:szCs w:val="18"/>
              </w:rPr>
              <w:t>1.1.2.2</w:t>
            </w:r>
            <w:r>
              <w:rPr>
                <w:rFonts w:ascii="Times New Roman" w:hAnsi="Times New Roman" w:eastAsia="Times New Roman" w:cs="Times New Roman"/>
                <w:spacing w:val="-3"/>
                <w:sz w:val="18"/>
                <w:szCs w:val="18"/>
              </w:rPr>
              <w:fldChar w:fldCharType="end"/>
            </w:r>
            <w:r>
              <w:rPr>
                <w:rFonts w:ascii="Times New Roman" w:hAnsi="Times New Roman" w:eastAsia="Times New Roman" w:cs="Times New Roman"/>
                <w:spacing w:val="-3"/>
                <w:sz w:val="18"/>
                <w:szCs w:val="18"/>
              </w:rPr>
              <w:t>-</w:t>
            </w:r>
            <w:r>
              <w:rPr>
                <w:spacing w:val="-3"/>
                <w:sz w:val="18"/>
                <w:szCs w:val="18"/>
              </w:rPr>
              <w:t>四氯乙烷</w:t>
            </w:r>
          </w:p>
        </w:tc>
        <w:tc>
          <w:tcPr>
            <w:tcW w:w="766" w:type="dxa"/>
            <w:vAlign w:val="top"/>
          </w:tcPr>
          <w:p w14:paraId="619D96C1">
            <w:pPr>
              <w:pStyle w:val="6"/>
              <w:spacing w:before="57" w:line="219" w:lineRule="auto"/>
              <w:ind w:left="119"/>
              <w:rPr>
                <w:sz w:val="18"/>
                <w:szCs w:val="18"/>
              </w:rPr>
            </w:pPr>
            <w:r>
              <w:rPr>
                <w:spacing w:val="-4"/>
                <w:sz w:val="18"/>
                <w:szCs w:val="18"/>
              </w:rPr>
              <w:t>未检出</w:t>
            </w:r>
          </w:p>
        </w:tc>
        <w:tc>
          <w:tcPr>
            <w:tcW w:w="1081" w:type="dxa"/>
            <w:vAlign w:val="top"/>
          </w:tcPr>
          <w:p w14:paraId="3CD2C0A6">
            <w:pPr>
              <w:pStyle w:val="6"/>
              <w:spacing w:before="57" w:line="219" w:lineRule="auto"/>
              <w:ind w:left="277"/>
              <w:rPr>
                <w:sz w:val="18"/>
                <w:szCs w:val="18"/>
              </w:rPr>
            </w:pPr>
            <w:r>
              <w:rPr>
                <w:spacing w:val="-4"/>
                <w:sz w:val="18"/>
                <w:szCs w:val="18"/>
              </w:rPr>
              <w:t>未检出</w:t>
            </w:r>
          </w:p>
        </w:tc>
        <w:tc>
          <w:tcPr>
            <w:tcW w:w="1045" w:type="dxa"/>
            <w:vAlign w:val="top"/>
          </w:tcPr>
          <w:p w14:paraId="3DA1197E">
            <w:pPr>
              <w:pStyle w:val="6"/>
              <w:spacing w:before="57" w:line="219" w:lineRule="auto"/>
              <w:ind w:left="259"/>
              <w:rPr>
                <w:sz w:val="18"/>
                <w:szCs w:val="18"/>
              </w:rPr>
            </w:pPr>
            <w:r>
              <w:rPr>
                <w:spacing w:val="-4"/>
                <w:sz w:val="18"/>
                <w:szCs w:val="18"/>
              </w:rPr>
              <w:t>未检出</w:t>
            </w:r>
          </w:p>
        </w:tc>
        <w:tc>
          <w:tcPr>
            <w:tcW w:w="995" w:type="dxa"/>
            <w:vAlign w:val="top"/>
          </w:tcPr>
          <w:p w14:paraId="136D5ABD">
            <w:pPr>
              <w:pStyle w:val="6"/>
              <w:spacing w:before="57" w:line="219" w:lineRule="auto"/>
              <w:ind w:left="234"/>
              <w:rPr>
                <w:sz w:val="18"/>
                <w:szCs w:val="18"/>
              </w:rPr>
            </w:pPr>
            <w:r>
              <w:rPr>
                <w:spacing w:val="-4"/>
                <w:sz w:val="18"/>
                <w:szCs w:val="18"/>
              </w:rPr>
              <w:t>未检出</w:t>
            </w:r>
          </w:p>
        </w:tc>
        <w:tc>
          <w:tcPr>
            <w:tcW w:w="995" w:type="dxa"/>
            <w:vAlign w:val="top"/>
          </w:tcPr>
          <w:p w14:paraId="63BE2B86">
            <w:pPr>
              <w:pStyle w:val="6"/>
              <w:spacing w:before="57" w:line="219" w:lineRule="auto"/>
              <w:ind w:left="235"/>
              <w:rPr>
                <w:sz w:val="18"/>
                <w:szCs w:val="18"/>
              </w:rPr>
            </w:pPr>
            <w:r>
              <w:rPr>
                <w:spacing w:val="-4"/>
                <w:sz w:val="18"/>
                <w:szCs w:val="18"/>
              </w:rPr>
              <w:t>未检出</w:t>
            </w:r>
          </w:p>
        </w:tc>
        <w:tc>
          <w:tcPr>
            <w:tcW w:w="1071" w:type="dxa"/>
            <w:vAlign w:val="top"/>
          </w:tcPr>
          <w:p w14:paraId="5D725767">
            <w:pPr>
              <w:pStyle w:val="6"/>
              <w:spacing w:before="57" w:line="219" w:lineRule="auto"/>
              <w:ind w:left="272"/>
              <w:rPr>
                <w:sz w:val="18"/>
                <w:szCs w:val="18"/>
              </w:rPr>
            </w:pPr>
            <w:r>
              <w:rPr>
                <w:spacing w:val="-4"/>
                <w:sz w:val="18"/>
                <w:szCs w:val="18"/>
              </w:rPr>
              <w:t>未检出</w:t>
            </w:r>
          </w:p>
        </w:tc>
        <w:tc>
          <w:tcPr>
            <w:tcW w:w="1177" w:type="dxa"/>
            <w:vAlign w:val="top"/>
          </w:tcPr>
          <w:p w14:paraId="08D5CBD4">
            <w:pPr>
              <w:pStyle w:val="6"/>
              <w:spacing w:before="57" w:line="219" w:lineRule="auto"/>
              <w:ind w:left="327"/>
              <w:rPr>
                <w:sz w:val="18"/>
                <w:szCs w:val="18"/>
              </w:rPr>
            </w:pPr>
            <w:r>
              <w:rPr>
                <w:spacing w:val="-4"/>
                <w:sz w:val="18"/>
                <w:szCs w:val="18"/>
              </w:rPr>
              <w:t>未检出</w:t>
            </w:r>
          </w:p>
        </w:tc>
        <w:tc>
          <w:tcPr>
            <w:tcW w:w="995" w:type="dxa"/>
            <w:vAlign w:val="top"/>
          </w:tcPr>
          <w:p w14:paraId="3516FAFC">
            <w:pPr>
              <w:pStyle w:val="6"/>
              <w:spacing w:before="57" w:line="219" w:lineRule="auto"/>
              <w:ind w:left="235"/>
              <w:rPr>
                <w:sz w:val="18"/>
                <w:szCs w:val="18"/>
              </w:rPr>
            </w:pPr>
            <w:r>
              <w:rPr>
                <w:spacing w:val="-4"/>
                <w:sz w:val="18"/>
                <w:szCs w:val="18"/>
              </w:rPr>
              <w:t>未检出</w:t>
            </w:r>
          </w:p>
        </w:tc>
        <w:tc>
          <w:tcPr>
            <w:tcW w:w="1046" w:type="dxa"/>
            <w:vAlign w:val="top"/>
          </w:tcPr>
          <w:p w14:paraId="404F887B">
            <w:pPr>
              <w:pStyle w:val="6"/>
              <w:spacing w:before="57" w:line="219" w:lineRule="auto"/>
              <w:ind w:left="260"/>
              <w:rPr>
                <w:sz w:val="18"/>
                <w:szCs w:val="18"/>
              </w:rPr>
            </w:pPr>
            <w:r>
              <w:rPr>
                <w:spacing w:val="-4"/>
                <w:sz w:val="18"/>
                <w:szCs w:val="18"/>
              </w:rPr>
              <w:t>未检出</w:t>
            </w:r>
          </w:p>
        </w:tc>
        <w:tc>
          <w:tcPr>
            <w:tcW w:w="1634" w:type="dxa"/>
            <w:vAlign w:val="top"/>
          </w:tcPr>
          <w:p w14:paraId="348B2734">
            <w:pPr>
              <w:pStyle w:val="6"/>
              <w:spacing w:before="57" w:line="219" w:lineRule="auto"/>
              <w:ind w:left="555"/>
              <w:rPr>
                <w:sz w:val="18"/>
                <w:szCs w:val="18"/>
              </w:rPr>
            </w:pPr>
            <w:r>
              <w:rPr>
                <w:spacing w:val="-4"/>
                <w:sz w:val="18"/>
                <w:szCs w:val="18"/>
              </w:rPr>
              <w:t>未检出</w:t>
            </w:r>
          </w:p>
        </w:tc>
        <w:tc>
          <w:tcPr>
            <w:tcW w:w="1066" w:type="dxa"/>
            <w:tcBorders>
              <w:right w:val="nil"/>
            </w:tcBorders>
            <w:vAlign w:val="top"/>
          </w:tcPr>
          <w:p w14:paraId="1D2F79EB">
            <w:pPr>
              <w:spacing w:before="88" w:line="188" w:lineRule="auto"/>
              <w:ind w:left="426"/>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6.8</w:t>
            </w:r>
          </w:p>
        </w:tc>
      </w:tr>
      <w:tr w14:paraId="5827CE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090981CD">
            <w:pPr>
              <w:spacing w:before="87"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c>
          <w:tcPr>
            <w:tcW w:w="1747" w:type="dxa"/>
            <w:vAlign w:val="top"/>
          </w:tcPr>
          <w:p w14:paraId="3CA49364">
            <w:pPr>
              <w:pStyle w:val="6"/>
              <w:spacing w:before="58" w:line="219" w:lineRule="auto"/>
              <w:ind w:left="534"/>
              <w:rPr>
                <w:sz w:val="18"/>
                <w:szCs w:val="18"/>
              </w:rPr>
            </w:pPr>
            <w:r>
              <w:rPr>
                <w:spacing w:val="-6"/>
                <w:sz w:val="18"/>
                <w:szCs w:val="18"/>
              </w:rPr>
              <w:t>四氯乙烯</w:t>
            </w:r>
          </w:p>
        </w:tc>
        <w:tc>
          <w:tcPr>
            <w:tcW w:w="766" w:type="dxa"/>
            <w:vAlign w:val="top"/>
          </w:tcPr>
          <w:p w14:paraId="24DEBB28">
            <w:pPr>
              <w:pStyle w:val="6"/>
              <w:spacing w:before="58" w:line="219" w:lineRule="auto"/>
              <w:ind w:left="119"/>
              <w:rPr>
                <w:sz w:val="18"/>
                <w:szCs w:val="18"/>
              </w:rPr>
            </w:pPr>
            <w:r>
              <w:rPr>
                <w:spacing w:val="-4"/>
                <w:sz w:val="18"/>
                <w:szCs w:val="18"/>
              </w:rPr>
              <w:t>未检出</w:t>
            </w:r>
          </w:p>
        </w:tc>
        <w:tc>
          <w:tcPr>
            <w:tcW w:w="1081" w:type="dxa"/>
            <w:vAlign w:val="top"/>
          </w:tcPr>
          <w:p w14:paraId="47F3CEC0">
            <w:pPr>
              <w:pStyle w:val="6"/>
              <w:spacing w:before="58" w:line="219" w:lineRule="auto"/>
              <w:ind w:left="277"/>
              <w:rPr>
                <w:sz w:val="18"/>
                <w:szCs w:val="18"/>
              </w:rPr>
            </w:pPr>
            <w:r>
              <w:rPr>
                <w:spacing w:val="-4"/>
                <w:sz w:val="18"/>
                <w:szCs w:val="18"/>
              </w:rPr>
              <w:t>未检出</w:t>
            </w:r>
          </w:p>
        </w:tc>
        <w:tc>
          <w:tcPr>
            <w:tcW w:w="1045" w:type="dxa"/>
            <w:vAlign w:val="top"/>
          </w:tcPr>
          <w:p w14:paraId="08384531">
            <w:pPr>
              <w:pStyle w:val="6"/>
              <w:spacing w:before="58" w:line="219" w:lineRule="auto"/>
              <w:ind w:left="259"/>
              <w:rPr>
                <w:sz w:val="18"/>
                <w:szCs w:val="18"/>
              </w:rPr>
            </w:pPr>
            <w:r>
              <w:rPr>
                <w:spacing w:val="-4"/>
                <w:sz w:val="18"/>
                <w:szCs w:val="18"/>
              </w:rPr>
              <w:t>未检出</w:t>
            </w:r>
          </w:p>
        </w:tc>
        <w:tc>
          <w:tcPr>
            <w:tcW w:w="995" w:type="dxa"/>
            <w:vAlign w:val="top"/>
          </w:tcPr>
          <w:p w14:paraId="0CD3A17A">
            <w:pPr>
              <w:pStyle w:val="6"/>
              <w:spacing w:before="58" w:line="219" w:lineRule="auto"/>
              <w:ind w:left="234"/>
              <w:rPr>
                <w:sz w:val="18"/>
                <w:szCs w:val="18"/>
              </w:rPr>
            </w:pPr>
            <w:r>
              <w:rPr>
                <w:spacing w:val="-4"/>
                <w:sz w:val="18"/>
                <w:szCs w:val="18"/>
              </w:rPr>
              <w:t>未检出</w:t>
            </w:r>
          </w:p>
        </w:tc>
        <w:tc>
          <w:tcPr>
            <w:tcW w:w="995" w:type="dxa"/>
            <w:vAlign w:val="top"/>
          </w:tcPr>
          <w:p w14:paraId="784FA3A5">
            <w:pPr>
              <w:pStyle w:val="6"/>
              <w:spacing w:before="58" w:line="219" w:lineRule="auto"/>
              <w:ind w:left="235"/>
              <w:rPr>
                <w:sz w:val="18"/>
                <w:szCs w:val="18"/>
              </w:rPr>
            </w:pPr>
            <w:r>
              <w:rPr>
                <w:spacing w:val="-4"/>
                <w:sz w:val="18"/>
                <w:szCs w:val="18"/>
              </w:rPr>
              <w:t>未检出</w:t>
            </w:r>
          </w:p>
        </w:tc>
        <w:tc>
          <w:tcPr>
            <w:tcW w:w="1071" w:type="dxa"/>
            <w:vAlign w:val="top"/>
          </w:tcPr>
          <w:p w14:paraId="0A6C8340">
            <w:pPr>
              <w:pStyle w:val="6"/>
              <w:spacing w:before="58" w:line="219" w:lineRule="auto"/>
              <w:ind w:left="272"/>
              <w:rPr>
                <w:sz w:val="18"/>
                <w:szCs w:val="18"/>
              </w:rPr>
            </w:pPr>
            <w:r>
              <w:rPr>
                <w:spacing w:val="-4"/>
                <w:sz w:val="18"/>
                <w:szCs w:val="18"/>
              </w:rPr>
              <w:t>未检出</w:t>
            </w:r>
          </w:p>
        </w:tc>
        <w:tc>
          <w:tcPr>
            <w:tcW w:w="1177" w:type="dxa"/>
            <w:vAlign w:val="top"/>
          </w:tcPr>
          <w:p w14:paraId="5FA58522">
            <w:pPr>
              <w:pStyle w:val="6"/>
              <w:spacing w:before="58" w:line="219" w:lineRule="auto"/>
              <w:ind w:left="327"/>
              <w:rPr>
                <w:sz w:val="18"/>
                <w:szCs w:val="18"/>
              </w:rPr>
            </w:pPr>
            <w:r>
              <w:rPr>
                <w:spacing w:val="-4"/>
                <w:sz w:val="18"/>
                <w:szCs w:val="18"/>
              </w:rPr>
              <w:t>未检出</w:t>
            </w:r>
          </w:p>
        </w:tc>
        <w:tc>
          <w:tcPr>
            <w:tcW w:w="995" w:type="dxa"/>
            <w:vAlign w:val="top"/>
          </w:tcPr>
          <w:p w14:paraId="73F135AB">
            <w:pPr>
              <w:pStyle w:val="6"/>
              <w:spacing w:before="58" w:line="219" w:lineRule="auto"/>
              <w:ind w:left="235"/>
              <w:rPr>
                <w:sz w:val="18"/>
                <w:szCs w:val="18"/>
              </w:rPr>
            </w:pPr>
            <w:r>
              <w:rPr>
                <w:spacing w:val="-4"/>
                <w:sz w:val="18"/>
                <w:szCs w:val="18"/>
              </w:rPr>
              <w:t>未检出</w:t>
            </w:r>
          </w:p>
        </w:tc>
        <w:tc>
          <w:tcPr>
            <w:tcW w:w="1046" w:type="dxa"/>
            <w:vAlign w:val="top"/>
          </w:tcPr>
          <w:p w14:paraId="71D35F19">
            <w:pPr>
              <w:pStyle w:val="6"/>
              <w:spacing w:before="58" w:line="219" w:lineRule="auto"/>
              <w:ind w:left="260"/>
              <w:rPr>
                <w:sz w:val="18"/>
                <w:szCs w:val="18"/>
              </w:rPr>
            </w:pPr>
            <w:r>
              <w:rPr>
                <w:spacing w:val="-4"/>
                <w:sz w:val="18"/>
                <w:szCs w:val="18"/>
              </w:rPr>
              <w:t>未检出</w:t>
            </w:r>
          </w:p>
        </w:tc>
        <w:tc>
          <w:tcPr>
            <w:tcW w:w="1634" w:type="dxa"/>
            <w:vAlign w:val="top"/>
          </w:tcPr>
          <w:p w14:paraId="50169A28">
            <w:pPr>
              <w:pStyle w:val="6"/>
              <w:spacing w:before="58" w:line="219" w:lineRule="auto"/>
              <w:ind w:left="555"/>
              <w:rPr>
                <w:sz w:val="18"/>
                <w:szCs w:val="18"/>
              </w:rPr>
            </w:pPr>
            <w:r>
              <w:rPr>
                <w:spacing w:val="-4"/>
                <w:sz w:val="18"/>
                <w:szCs w:val="18"/>
              </w:rPr>
              <w:t>未检出</w:t>
            </w:r>
          </w:p>
        </w:tc>
        <w:tc>
          <w:tcPr>
            <w:tcW w:w="1066" w:type="dxa"/>
            <w:tcBorders>
              <w:right w:val="nil"/>
            </w:tcBorders>
            <w:vAlign w:val="top"/>
          </w:tcPr>
          <w:p w14:paraId="77F87F85">
            <w:pPr>
              <w:spacing w:before="87" w:line="188" w:lineRule="auto"/>
              <w:ind w:left="44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53</w:t>
            </w:r>
          </w:p>
        </w:tc>
      </w:tr>
      <w:tr w14:paraId="427092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3A1D3E83">
            <w:pPr>
              <w:spacing w:before="88"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21</w:t>
            </w:r>
          </w:p>
        </w:tc>
        <w:tc>
          <w:tcPr>
            <w:tcW w:w="1747" w:type="dxa"/>
            <w:vAlign w:val="top"/>
          </w:tcPr>
          <w:p w14:paraId="6757613F">
            <w:pPr>
              <w:pStyle w:val="6"/>
              <w:spacing w:before="57" w:line="220" w:lineRule="auto"/>
              <w:ind w:left="322"/>
              <w:rPr>
                <w:sz w:val="18"/>
                <w:szCs w:val="18"/>
              </w:rPr>
            </w:pPr>
            <w:r>
              <w:rPr>
                <w:rFonts w:ascii="Times New Roman" w:hAnsi="Times New Roman" w:eastAsia="Times New Roman" w:cs="Times New Roman"/>
                <w:spacing w:val="-5"/>
                <w:sz w:val="18"/>
                <w:szCs w:val="18"/>
              </w:rPr>
              <w:t>1.1.</w:t>
            </w:r>
            <w:r>
              <w:rPr>
                <w:rFonts w:ascii="Times New Roman" w:hAnsi="Times New Roman" w:eastAsia="Times New Roman" w:cs="Times New Roman"/>
                <w:spacing w:val="-20"/>
                <w:sz w:val="18"/>
                <w:szCs w:val="18"/>
              </w:rPr>
              <w:t xml:space="preserve"> </w:t>
            </w:r>
            <w:r>
              <w:rPr>
                <w:rFonts w:ascii="Times New Roman" w:hAnsi="Times New Roman" w:eastAsia="Times New Roman" w:cs="Times New Roman"/>
                <w:spacing w:val="-5"/>
                <w:sz w:val="18"/>
                <w:szCs w:val="18"/>
              </w:rPr>
              <w:t>1-</w:t>
            </w:r>
            <w:r>
              <w:rPr>
                <w:spacing w:val="-5"/>
                <w:sz w:val="18"/>
                <w:szCs w:val="18"/>
              </w:rPr>
              <w:t>三氯乙烷</w:t>
            </w:r>
          </w:p>
        </w:tc>
        <w:tc>
          <w:tcPr>
            <w:tcW w:w="766" w:type="dxa"/>
            <w:vAlign w:val="top"/>
          </w:tcPr>
          <w:p w14:paraId="17E73A9A">
            <w:pPr>
              <w:pStyle w:val="6"/>
              <w:spacing w:before="57" w:line="219" w:lineRule="auto"/>
              <w:ind w:left="119"/>
              <w:rPr>
                <w:sz w:val="18"/>
                <w:szCs w:val="18"/>
              </w:rPr>
            </w:pPr>
            <w:r>
              <w:rPr>
                <w:spacing w:val="-4"/>
                <w:sz w:val="18"/>
                <w:szCs w:val="18"/>
              </w:rPr>
              <w:t>未检出</w:t>
            </w:r>
          </w:p>
        </w:tc>
        <w:tc>
          <w:tcPr>
            <w:tcW w:w="1081" w:type="dxa"/>
            <w:vAlign w:val="top"/>
          </w:tcPr>
          <w:p w14:paraId="74C21D3C">
            <w:pPr>
              <w:pStyle w:val="6"/>
              <w:spacing w:before="57" w:line="219" w:lineRule="auto"/>
              <w:ind w:left="277"/>
              <w:rPr>
                <w:sz w:val="18"/>
                <w:szCs w:val="18"/>
              </w:rPr>
            </w:pPr>
            <w:r>
              <w:rPr>
                <w:spacing w:val="-4"/>
                <w:sz w:val="18"/>
                <w:szCs w:val="18"/>
              </w:rPr>
              <w:t>未检出</w:t>
            </w:r>
          </w:p>
        </w:tc>
        <w:tc>
          <w:tcPr>
            <w:tcW w:w="1045" w:type="dxa"/>
            <w:vAlign w:val="top"/>
          </w:tcPr>
          <w:p w14:paraId="7BF272D3">
            <w:pPr>
              <w:pStyle w:val="6"/>
              <w:spacing w:before="57" w:line="219" w:lineRule="auto"/>
              <w:ind w:left="259"/>
              <w:rPr>
                <w:sz w:val="18"/>
                <w:szCs w:val="18"/>
              </w:rPr>
            </w:pPr>
            <w:r>
              <w:rPr>
                <w:spacing w:val="-4"/>
                <w:sz w:val="18"/>
                <w:szCs w:val="18"/>
              </w:rPr>
              <w:t>未检出</w:t>
            </w:r>
          </w:p>
        </w:tc>
        <w:tc>
          <w:tcPr>
            <w:tcW w:w="995" w:type="dxa"/>
            <w:vAlign w:val="top"/>
          </w:tcPr>
          <w:p w14:paraId="60402F52">
            <w:pPr>
              <w:pStyle w:val="6"/>
              <w:spacing w:before="57" w:line="219" w:lineRule="auto"/>
              <w:ind w:left="234"/>
              <w:rPr>
                <w:sz w:val="18"/>
                <w:szCs w:val="18"/>
              </w:rPr>
            </w:pPr>
            <w:r>
              <w:rPr>
                <w:spacing w:val="-4"/>
                <w:sz w:val="18"/>
                <w:szCs w:val="18"/>
              </w:rPr>
              <w:t>未检出</w:t>
            </w:r>
          </w:p>
        </w:tc>
        <w:tc>
          <w:tcPr>
            <w:tcW w:w="995" w:type="dxa"/>
            <w:vAlign w:val="top"/>
          </w:tcPr>
          <w:p w14:paraId="224F675A">
            <w:pPr>
              <w:pStyle w:val="6"/>
              <w:spacing w:before="57" w:line="219" w:lineRule="auto"/>
              <w:ind w:left="235"/>
              <w:rPr>
                <w:sz w:val="18"/>
                <w:szCs w:val="18"/>
              </w:rPr>
            </w:pPr>
            <w:r>
              <w:rPr>
                <w:spacing w:val="-4"/>
                <w:sz w:val="18"/>
                <w:szCs w:val="18"/>
              </w:rPr>
              <w:t>未检出</w:t>
            </w:r>
          </w:p>
        </w:tc>
        <w:tc>
          <w:tcPr>
            <w:tcW w:w="1071" w:type="dxa"/>
            <w:vAlign w:val="top"/>
          </w:tcPr>
          <w:p w14:paraId="55F6595C">
            <w:pPr>
              <w:pStyle w:val="6"/>
              <w:spacing w:before="57" w:line="219" w:lineRule="auto"/>
              <w:ind w:left="272"/>
              <w:rPr>
                <w:sz w:val="18"/>
                <w:szCs w:val="18"/>
              </w:rPr>
            </w:pPr>
            <w:r>
              <w:rPr>
                <w:spacing w:val="-4"/>
                <w:sz w:val="18"/>
                <w:szCs w:val="18"/>
              </w:rPr>
              <w:t>未检出</w:t>
            </w:r>
          </w:p>
        </w:tc>
        <w:tc>
          <w:tcPr>
            <w:tcW w:w="1177" w:type="dxa"/>
            <w:vAlign w:val="top"/>
          </w:tcPr>
          <w:p w14:paraId="4C096EED">
            <w:pPr>
              <w:pStyle w:val="6"/>
              <w:spacing w:before="57" w:line="219" w:lineRule="auto"/>
              <w:ind w:left="327"/>
              <w:rPr>
                <w:sz w:val="18"/>
                <w:szCs w:val="18"/>
              </w:rPr>
            </w:pPr>
            <w:r>
              <w:rPr>
                <w:spacing w:val="-4"/>
                <w:sz w:val="18"/>
                <w:szCs w:val="18"/>
              </w:rPr>
              <w:t>未检出</w:t>
            </w:r>
          </w:p>
        </w:tc>
        <w:tc>
          <w:tcPr>
            <w:tcW w:w="995" w:type="dxa"/>
            <w:vAlign w:val="top"/>
          </w:tcPr>
          <w:p w14:paraId="1CFEB5FE">
            <w:pPr>
              <w:pStyle w:val="6"/>
              <w:spacing w:before="57" w:line="219" w:lineRule="auto"/>
              <w:ind w:left="235"/>
              <w:rPr>
                <w:sz w:val="18"/>
                <w:szCs w:val="18"/>
              </w:rPr>
            </w:pPr>
            <w:r>
              <w:rPr>
                <w:spacing w:val="-4"/>
                <w:sz w:val="18"/>
                <w:szCs w:val="18"/>
              </w:rPr>
              <w:t>未检出</w:t>
            </w:r>
          </w:p>
        </w:tc>
        <w:tc>
          <w:tcPr>
            <w:tcW w:w="1046" w:type="dxa"/>
            <w:vAlign w:val="top"/>
          </w:tcPr>
          <w:p w14:paraId="73464A73">
            <w:pPr>
              <w:pStyle w:val="6"/>
              <w:spacing w:before="57" w:line="219" w:lineRule="auto"/>
              <w:ind w:left="260"/>
              <w:rPr>
                <w:sz w:val="18"/>
                <w:szCs w:val="18"/>
              </w:rPr>
            </w:pPr>
            <w:r>
              <w:rPr>
                <w:spacing w:val="-4"/>
                <w:sz w:val="18"/>
                <w:szCs w:val="18"/>
              </w:rPr>
              <w:t>未检出</w:t>
            </w:r>
          </w:p>
        </w:tc>
        <w:tc>
          <w:tcPr>
            <w:tcW w:w="1634" w:type="dxa"/>
            <w:vAlign w:val="top"/>
          </w:tcPr>
          <w:p w14:paraId="5C37F2A4">
            <w:pPr>
              <w:pStyle w:val="6"/>
              <w:spacing w:before="57" w:line="219" w:lineRule="auto"/>
              <w:ind w:left="555"/>
              <w:rPr>
                <w:sz w:val="18"/>
                <w:szCs w:val="18"/>
              </w:rPr>
            </w:pPr>
            <w:r>
              <w:rPr>
                <w:spacing w:val="-4"/>
                <w:sz w:val="18"/>
                <w:szCs w:val="18"/>
              </w:rPr>
              <w:t>未检出</w:t>
            </w:r>
          </w:p>
        </w:tc>
        <w:tc>
          <w:tcPr>
            <w:tcW w:w="1066" w:type="dxa"/>
            <w:tcBorders>
              <w:right w:val="nil"/>
            </w:tcBorders>
            <w:vAlign w:val="top"/>
          </w:tcPr>
          <w:p w14:paraId="4F9A5BC7">
            <w:pPr>
              <w:spacing w:before="88" w:line="188" w:lineRule="auto"/>
              <w:ind w:left="408"/>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840</w:t>
            </w:r>
          </w:p>
        </w:tc>
      </w:tr>
      <w:tr w14:paraId="4469DC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12B2539C">
            <w:pPr>
              <w:spacing w:before="87"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22</w:t>
            </w:r>
          </w:p>
        </w:tc>
        <w:tc>
          <w:tcPr>
            <w:tcW w:w="1747" w:type="dxa"/>
            <w:vAlign w:val="top"/>
          </w:tcPr>
          <w:p w14:paraId="4D64A409">
            <w:pPr>
              <w:pStyle w:val="6"/>
              <w:spacing w:before="58" w:line="220" w:lineRule="auto"/>
              <w:ind w:left="322"/>
              <w:rPr>
                <w:sz w:val="18"/>
                <w:szCs w:val="18"/>
              </w:rPr>
            </w:pPr>
            <w:r>
              <w:rPr>
                <w:rFonts w:ascii="Times New Roman" w:hAnsi="Times New Roman" w:eastAsia="Times New Roman" w:cs="Times New Roman"/>
                <w:spacing w:val="-3"/>
                <w:sz w:val="18"/>
                <w:szCs w:val="18"/>
              </w:rPr>
              <w:t>1.1.2-</w:t>
            </w:r>
            <w:r>
              <w:rPr>
                <w:spacing w:val="-3"/>
                <w:sz w:val="18"/>
                <w:szCs w:val="18"/>
              </w:rPr>
              <w:t>三氯乙烷</w:t>
            </w:r>
          </w:p>
        </w:tc>
        <w:tc>
          <w:tcPr>
            <w:tcW w:w="766" w:type="dxa"/>
            <w:vAlign w:val="top"/>
          </w:tcPr>
          <w:p w14:paraId="0D769706">
            <w:pPr>
              <w:pStyle w:val="6"/>
              <w:spacing w:before="58" w:line="219" w:lineRule="auto"/>
              <w:ind w:left="119"/>
              <w:rPr>
                <w:sz w:val="18"/>
                <w:szCs w:val="18"/>
              </w:rPr>
            </w:pPr>
            <w:r>
              <w:rPr>
                <w:spacing w:val="-4"/>
                <w:sz w:val="18"/>
                <w:szCs w:val="18"/>
              </w:rPr>
              <w:t>未检出</w:t>
            </w:r>
          </w:p>
        </w:tc>
        <w:tc>
          <w:tcPr>
            <w:tcW w:w="1081" w:type="dxa"/>
            <w:vAlign w:val="top"/>
          </w:tcPr>
          <w:p w14:paraId="1A72292D">
            <w:pPr>
              <w:pStyle w:val="6"/>
              <w:spacing w:before="58" w:line="219" w:lineRule="auto"/>
              <w:ind w:left="277"/>
              <w:rPr>
                <w:sz w:val="18"/>
                <w:szCs w:val="18"/>
              </w:rPr>
            </w:pPr>
            <w:r>
              <w:rPr>
                <w:spacing w:val="-4"/>
                <w:sz w:val="18"/>
                <w:szCs w:val="18"/>
              </w:rPr>
              <w:t>未检出</w:t>
            </w:r>
          </w:p>
        </w:tc>
        <w:tc>
          <w:tcPr>
            <w:tcW w:w="1045" w:type="dxa"/>
            <w:vAlign w:val="top"/>
          </w:tcPr>
          <w:p w14:paraId="2168100A">
            <w:pPr>
              <w:pStyle w:val="6"/>
              <w:spacing w:before="58" w:line="219" w:lineRule="auto"/>
              <w:ind w:left="259"/>
              <w:rPr>
                <w:sz w:val="18"/>
                <w:szCs w:val="18"/>
              </w:rPr>
            </w:pPr>
            <w:r>
              <w:rPr>
                <w:spacing w:val="-4"/>
                <w:sz w:val="18"/>
                <w:szCs w:val="18"/>
              </w:rPr>
              <w:t>未检出</w:t>
            </w:r>
          </w:p>
        </w:tc>
        <w:tc>
          <w:tcPr>
            <w:tcW w:w="995" w:type="dxa"/>
            <w:vAlign w:val="top"/>
          </w:tcPr>
          <w:p w14:paraId="3001B7DC">
            <w:pPr>
              <w:pStyle w:val="6"/>
              <w:spacing w:before="58" w:line="219" w:lineRule="auto"/>
              <w:ind w:left="234"/>
              <w:rPr>
                <w:sz w:val="18"/>
                <w:szCs w:val="18"/>
              </w:rPr>
            </w:pPr>
            <w:r>
              <w:rPr>
                <w:spacing w:val="-4"/>
                <w:sz w:val="18"/>
                <w:szCs w:val="18"/>
              </w:rPr>
              <w:t>未检出</w:t>
            </w:r>
          </w:p>
        </w:tc>
        <w:tc>
          <w:tcPr>
            <w:tcW w:w="995" w:type="dxa"/>
            <w:vAlign w:val="top"/>
          </w:tcPr>
          <w:p w14:paraId="720732AE">
            <w:pPr>
              <w:pStyle w:val="6"/>
              <w:spacing w:before="58" w:line="219" w:lineRule="auto"/>
              <w:ind w:left="235"/>
              <w:rPr>
                <w:sz w:val="18"/>
                <w:szCs w:val="18"/>
              </w:rPr>
            </w:pPr>
            <w:r>
              <w:rPr>
                <w:spacing w:val="-4"/>
                <w:sz w:val="18"/>
                <w:szCs w:val="18"/>
              </w:rPr>
              <w:t>未检出</w:t>
            </w:r>
          </w:p>
        </w:tc>
        <w:tc>
          <w:tcPr>
            <w:tcW w:w="1071" w:type="dxa"/>
            <w:vAlign w:val="top"/>
          </w:tcPr>
          <w:p w14:paraId="53A8BFA3">
            <w:pPr>
              <w:pStyle w:val="6"/>
              <w:spacing w:before="58" w:line="219" w:lineRule="auto"/>
              <w:ind w:left="272"/>
              <w:rPr>
                <w:sz w:val="18"/>
                <w:szCs w:val="18"/>
              </w:rPr>
            </w:pPr>
            <w:r>
              <w:rPr>
                <w:spacing w:val="-4"/>
                <w:sz w:val="18"/>
                <w:szCs w:val="18"/>
              </w:rPr>
              <w:t>未检出</w:t>
            </w:r>
          </w:p>
        </w:tc>
        <w:tc>
          <w:tcPr>
            <w:tcW w:w="1177" w:type="dxa"/>
            <w:vAlign w:val="top"/>
          </w:tcPr>
          <w:p w14:paraId="5CA792D0">
            <w:pPr>
              <w:pStyle w:val="6"/>
              <w:spacing w:before="58" w:line="219" w:lineRule="auto"/>
              <w:ind w:left="327"/>
              <w:rPr>
                <w:sz w:val="18"/>
                <w:szCs w:val="18"/>
              </w:rPr>
            </w:pPr>
            <w:r>
              <w:rPr>
                <w:spacing w:val="-4"/>
                <w:sz w:val="18"/>
                <w:szCs w:val="18"/>
              </w:rPr>
              <w:t>未检出</w:t>
            </w:r>
          </w:p>
        </w:tc>
        <w:tc>
          <w:tcPr>
            <w:tcW w:w="995" w:type="dxa"/>
            <w:vAlign w:val="top"/>
          </w:tcPr>
          <w:p w14:paraId="6FC7386C">
            <w:pPr>
              <w:pStyle w:val="6"/>
              <w:spacing w:before="58" w:line="219" w:lineRule="auto"/>
              <w:ind w:left="235"/>
              <w:rPr>
                <w:sz w:val="18"/>
                <w:szCs w:val="18"/>
              </w:rPr>
            </w:pPr>
            <w:r>
              <w:rPr>
                <w:spacing w:val="-4"/>
                <w:sz w:val="18"/>
                <w:szCs w:val="18"/>
              </w:rPr>
              <w:t>未检出</w:t>
            </w:r>
          </w:p>
        </w:tc>
        <w:tc>
          <w:tcPr>
            <w:tcW w:w="1046" w:type="dxa"/>
            <w:vAlign w:val="top"/>
          </w:tcPr>
          <w:p w14:paraId="43B05BA3">
            <w:pPr>
              <w:pStyle w:val="6"/>
              <w:spacing w:before="58" w:line="219" w:lineRule="auto"/>
              <w:ind w:left="260"/>
              <w:rPr>
                <w:sz w:val="18"/>
                <w:szCs w:val="18"/>
              </w:rPr>
            </w:pPr>
            <w:r>
              <w:rPr>
                <w:spacing w:val="-4"/>
                <w:sz w:val="18"/>
                <w:szCs w:val="18"/>
              </w:rPr>
              <w:t>未检出</w:t>
            </w:r>
          </w:p>
        </w:tc>
        <w:tc>
          <w:tcPr>
            <w:tcW w:w="1634" w:type="dxa"/>
            <w:vAlign w:val="top"/>
          </w:tcPr>
          <w:p w14:paraId="63474C40">
            <w:pPr>
              <w:pStyle w:val="6"/>
              <w:spacing w:before="58" w:line="219" w:lineRule="auto"/>
              <w:ind w:left="555"/>
              <w:rPr>
                <w:sz w:val="18"/>
                <w:szCs w:val="18"/>
              </w:rPr>
            </w:pPr>
            <w:r>
              <w:rPr>
                <w:spacing w:val="-4"/>
                <w:sz w:val="18"/>
                <w:szCs w:val="18"/>
              </w:rPr>
              <w:t>未检出</w:t>
            </w:r>
          </w:p>
        </w:tc>
        <w:tc>
          <w:tcPr>
            <w:tcW w:w="1066" w:type="dxa"/>
            <w:tcBorders>
              <w:right w:val="nil"/>
            </w:tcBorders>
            <w:vAlign w:val="top"/>
          </w:tcPr>
          <w:p w14:paraId="3FACD1D4">
            <w:pPr>
              <w:spacing w:before="87" w:line="188" w:lineRule="auto"/>
              <w:ind w:left="42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w:t>
            </w:r>
          </w:p>
        </w:tc>
      </w:tr>
      <w:tr w14:paraId="79C438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590" w:type="dxa"/>
            <w:tcBorders>
              <w:left w:val="nil"/>
            </w:tcBorders>
            <w:vAlign w:val="top"/>
          </w:tcPr>
          <w:p w14:paraId="669E6090">
            <w:pPr>
              <w:spacing w:before="88"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23</w:t>
            </w:r>
          </w:p>
        </w:tc>
        <w:tc>
          <w:tcPr>
            <w:tcW w:w="1747" w:type="dxa"/>
            <w:vAlign w:val="top"/>
          </w:tcPr>
          <w:p w14:paraId="41742C72">
            <w:pPr>
              <w:pStyle w:val="6"/>
              <w:spacing w:before="57" w:line="219" w:lineRule="auto"/>
              <w:ind w:left="517"/>
              <w:rPr>
                <w:sz w:val="18"/>
                <w:szCs w:val="18"/>
              </w:rPr>
            </w:pPr>
            <w:r>
              <w:rPr>
                <w:spacing w:val="-2"/>
                <w:sz w:val="18"/>
                <w:szCs w:val="18"/>
              </w:rPr>
              <w:t>三氯乙烯</w:t>
            </w:r>
          </w:p>
        </w:tc>
        <w:tc>
          <w:tcPr>
            <w:tcW w:w="766" w:type="dxa"/>
            <w:vAlign w:val="top"/>
          </w:tcPr>
          <w:p w14:paraId="6F15D2D1">
            <w:pPr>
              <w:pStyle w:val="6"/>
              <w:spacing w:before="57" w:line="219" w:lineRule="auto"/>
              <w:ind w:left="119"/>
              <w:rPr>
                <w:sz w:val="18"/>
                <w:szCs w:val="18"/>
              </w:rPr>
            </w:pPr>
            <w:r>
              <w:rPr>
                <w:spacing w:val="-4"/>
                <w:sz w:val="18"/>
                <w:szCs w:val="18"/>
              </w:rPr>
              <w:t>未检出</w:t>
            </w:r>
          </w:p>
        </w:tc>
        <w:tc>
          <w:tcPr>
            <w:tcW w:w="1081" w:type="dxa"/>
            <w:vAlign w:val="top"/>
          </w:tcPr>
          <w:p w14:paraId="6FB8C083">
            <w:pPr>
              <w:pStyle w:val="6"/>
              <w:spacing w:before="57" w:line="219" w:lineRule="auto"/>
              <w:ind w:left="277"/>
              <w:rPr>
                <w:sz w:val="18"/>
                <w:szCs w:val="18"/>
              </w:rPr>
            </w:pPr>
            <w:r>
              <w:rPr>
                <w:spacing w:val="-4"/>
                <w:sz w:val="18"/>
                <w:szCs w:val="18"/>
              </w:rPr>
              <w:t>未检出</w:t>
            </w:r>
          </w:p>
        </w:tc>
        <w:tc>
          <w:tcPr>
            <w:tcW w:w="1045" w:type="dxa"/>
            <w:vAlign w:val="top"/>
          </w:tcPr>
          <w:p w14:paraId="04C7797E">
            <w:pPr>
              <w:pStyle w:val="6"/>
              <w:spacing w:before="57" w:line="219" w:lineRule="auto"/>
              <w:ind w:left="259"/>
              <w:rPr>
                <w:sz w:val="18"/>
                <w:szCs w:val="18"/>
              </w:rPr>
            </w:pPr>
            <w:r>
              <w:rPr>
                <w:spacing w:val="-4"/>
                <w:sz w:val="18"/>
                <w:szCs w:val="18"/>
              </w:rPr>
              <w:t>未检出</w:t>
            </w:r>
          </w:p>
        </w:tc>
        <w:tc>
          <w:tcPr>
            <w:tcW w:w="995" w:type="dxa"/>
            <w:vAlign w:val="top"/>
          </w:tcPr>
          <w:p w14:paraId="4CB7AEDE">
            <w:pPr>
              <w:pStyle w:val="6"/>
              <w:spacing w:before="57" w:line="219" w:lineRule="auto"/>
              <w:ind w:left="234"/>
              <w:rPr>
                <w:sz w:val="18"/>
                <w:szCs w:val="18"/>
              </w:rPr>
            </w:pPr>
            <w:r>
              <w:rPr>
                <w:spacing w:val="-4"/>
                <w:sz w:val="18"/>
                <w:szCs w:val="18"/>
              </w:rPr>
              <w:t>未检出</w:t>
            </w:r>
          </w:p>
        </w:tc>
        <w:tc>
          <w:tcPr>
            <w:tcW w:w="995" w:type="dxa"/>
            <w:vAlign w:val="top"/>
          </w:tcPr>
          <w:p w14:paraId="4A086AC4">
            <w:pPr>
              <w:pStyle w:val="6"/>
              <w:spacing w:before="57" w:line="219" w:lineRule="auto"/>
              <w:ind w:left="235"/>
              <w:rPr>
                <w:sz w:val="18"/>
                <w:szCs w:val="18"/>
              </w:rPr>
            </w:pPr>
            <w:r>
              <w:rPr>
                <w:spacing w:val="-4"/>
                <w:sz w:val="18"/>
                <w:szCs w:val="18"/>
              </w:rPr>
              <w:t>未检出</w:t>
            </w:r>
          </w:p>
        </w:tc>
        <w:tc>
          <w:tcPr>
            <w:tcW w:w="1071" w:type="dxa"/>
            <w:vAlign w:val="top"/>
          </w:tcPr>
          <w:p w14:paraId="653F4B39">
            <w:pPr>
              <w:pStyle w:val="6"/>
              <w:spacing w:before="57" w:line="219" w:lineRule="auto"/>
              <w:ind w:left="272"/>
              <w:rPr>
                <w:sz w:val="18"/>
                <w:szCs w:val="18"/>
              </w:rPr>
            </w:pPr>
            <w:r>
              <w:rPr>
                <w:spacing w:val="-4"/>
                <w:sz w:val="18"/>
                <w:szCs w:val="18"/>
              </w:rPr>
              <w:t>未检出</w:t>
            </w:r>
          </w:p>
        </w:tc>
        <w:tc>
          <w:tcPr>
            <w:tcW w:w="1177" w:type="dxa"/>
            <w:vAlign w:val="top"/>
          </w:tcPr>
          <w:p w14:paraId="1810C6F6">
            <w:pPr>
              <w:pStyle w:val="6"/>
              <w:spacing w:before="57" w:line="219" w:lineRule="auto"/>
              <w:ind w:left="327"/>
              <w:rPr>
                <w:sz w:val="18"/>
                <w:szCs w:val="18"/>
              </w:rPr>
            </w:pPr>
            <w:r>
              <w:rPr>
                <w:spacing w:val="-4"/>
                <w:sz w:val="18"/>
                <w:szCs w:val="18"/>
              </w:rPr>
              <w:t>未检出</w:t>
            </w:r>
          </w:p>
        </w:tc>
        <w:tc>
          <w:tcPr>
            <w:tcW w:w="995" w:type="dxa"/>
            <w:vAlign w:val="top"/>
          </w:tcPr>
          <w:p w14:paraId="2BE2F998">
            <w:pPr>
              <w:pStyle w:val="6"/>
              <w:spacing w:before="57" w:line="219" w:lineRule="auto"/>
              <w:ind w:left="235"/>
              <w:rPr>
                <w:sz w:val="18"/>
                <w:szCs w:val="18"/>
              </w:rPr>
            </w:pPr>
            <w:r>
              <w:rPr>
                <w:spacing w:val="-4"/>
                <w:sz w:val="18"/>
                <w:szCs w:val="18"/>
              </w:rPr>
              <w:t>未检出</w:t>
            </w:r>
          </w:p>
        </w:tc>
        <w:tc>
          <w:tcPr>
            <w:tcW w:w="1046" w:type="dxa"/>
            <w:vAlign w:val="top"/>
          </w:tcPr>
          <w:p w14:paraId="1FAEE0B3">
            <w:pPr>
              <w:pStyle w:val="6"/>
              <w:spacing w:before="57" w:line="219" w:lineRule="auto"/>
              <w:ind w:left="260"/>
              <w:rPr>
                <w:sz w:val="18"/>
                <w:szCs w:val="18"/>
              </w:rPr>
            </w:pPr>
            <w:r>
              <w:rPr>
                <w:spacing w:val="-4"/>
                <w:sz w:val="18"/>
                <w:szCs w:val="18"/>
              </w:rPr>
              <w:t>未检出</w:t>
            </w:r>
          </w:p>
        </w:tc>
        <w:tc>
          <w:tcPr>
            <w:tcW w:w="1634" w:type="dxa"/>
            <w:vAlign w:val="top"/>
          </w:tcPr>
          <w:p w14:paraId="419320C2">
            <w:pPr>
              <w:pStyle w:val="6"/>
              <w:spacing w:before="57" w:line="219" w:lineRule="auto"/>
              <w:ind w:left="555"/>
              <w:rPr>
                <w:sz w:val="18"/>
                <w:szCs w:val="18"/>
              </w:rPr>
            </w:pPr>
            <w:r>
              <w:rPr>
                <w:spacing w:val="-4"/>
                <w:sz w:val="18"/>
                <w:szCs w:val="18"/>
              </w:rPr>
              <w:t>未检出</w:t>
            </w:r>
          </w:p>
        </w:tc>
        <w:tc>
          <w:tcPr>
            <w:tcW w:w="1066" w:type="dxa"/>
            <w:tcBorders>
              <w:right w:val="nil"/>
            </w:tcBorders>
            <w:vAlign w:val="top"/>
          </w:tcPr>
          <w:p w14:paraId="361EB637">
            <w:pPr>
              <w:spacing w:before="88" w:line="188" w:lineRule="auto"/>
              <w:ind w:left="42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w:t>
            </w:r>
          </w:p>
        </w:tc>
      </w:tr>
    </w:tbl>
    <w:p w14:paraId="0B16D97D">
      <w:pPr>
        <w:pStyle w:val="2"/>
      </w:pPr>
    </w:p>
    <w:p w14:paraId="051388B8">
      <w:pPr>
        <w:sectPr>
          <w:headerReference r:id="rId237" w:type="default"/>
          <w:footerReference r:id="rId238" w:type="default"/>
          <w:pgSz w:w="16839" w:h="11906"/>
          <w:pgMar w:top="1190" w:right="1315" w:bottom="1012" w:left="1313" w:header="882" w:footer="850" w:gutter="0"/>
          <w:cols w:space="720" w:num="1"/>
        </w:sectPr>
      </w:pPr>
    </w:p>
    <w:p w14:paraId="23BEE7E1">
      <w:pPr>
        <w:spacing w:line="28" w:lineRule="exact"/>
        <w:ind w:firstLine="103"/>
      </w:pPr>
      <w:r>
        <w:pict>
          <v:shape id="_x0000_s1268" o:spid="_x0000_s1268" style="height:1.45pt;width:700.25pt;" fillcolor="#000000" filled="t" stroked="f" coordsize="14005,29" path="m0,0l14004,0,14004,28,0,28,0,0xe">
            <v:path/>
            <v:fill on="t" focussize="0,0"/>
            <v:stroke on="f"/>
            <v:imagedata o:title=""/>
            <o:lock v:ext="edit"/>
            <w10:wrap type="none"/>
            <w10:anchorlock/>
          </v:shape>
        </w:pict>
      </w:r>
    </w:p>
    <w:p w14:paraId="2AF356F9">
      <w:pPr>
        <w:spacing w:line="197" w:lineRule="exact"/>
      </w:pPr>
    </w:p>
    <w:tbl>
      <w:tblPr>
        <w:tblStyle w:val="5"/>
        <w:tblW w:w="1420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0"/>
        <w:gridCol w:w="1747"/>
        <w:gridCol w:w="766"/>
        <w:gridCol w:w="1082"/>
        <w:gridCol w:w="1045"/>
        <w:gridCol w:w="994"/>
        <w:gridCol w:w="995"/>
        <w:gridCol w:w="1071"/>
        <w:gridCol w:w="1177"/>
        <w:gridCol w:w="995"/>
        <w:gridCol w:w="1046"/>
        <w:gridCol w:w="1634"/>
        <w:gridCol w:w="1066"/>
      </w:tblGrid>
      <w:tr w14:paraId="42DD6B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3" w:hRule="atLeast"/>
        </w:trPr>
        <w:tc>
          <w:tcPr>
            <w:tcW w:w="590" w:type="dxa"/>
            <w:tcBorders>
              <w:left w:val="nil"/>
            </w:tcBorders>
            <w:vAlign w:val="top"/>
          </w:tcPr>
          <w:p w14:paraId="23A3E95B">
            <w:pPr>
              <w:spacing w:before="87"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24</w:t>
            </w:r>
          </w:p>
        </w:tc>
        <w:tc>
          <w:tcPr>
            <w:tcW w:w="1747" w:type="dxa"/>
            <w:vAlign w:val="top"/>
          </w:tcPr>
          <w:p w14:paraId="1706D181">
            <w:pPr>
              <w:pStyle w:val="6"/>
              <w:spacing w:before="56" w:line="220" w:lineRule="auto"/>
              <w:ind w:left="329"/>
              <w:rPr>
                <w:sz w:val="18"/>
                <w:szCs w:val="18"/>
              </w:rPr>
            </w:pPr>
            <w:r>
              <w:rPr>
                <w:rFonts w:ascii="Times New Roman" w:hAnsi="Times New Roman" w:eastAsia="Times New Roman" w:cs="Times New Roman"/>
                <w:spacing w:val="-3"/>
                <w:sz w:val="18"/>
                <w:szCs w:val="18"/>
              </w:rPr>
              <w:t xml:space="preserve">1.2.3 </w:t>
            </w:r>
            <w:r>
              <w:rPr>
                <w:spacing w:val="-3"/>
                <w:sz w:val="18"/>
                <w:szCs w:val="18"/>
              </w:rPr>
              <w:t>三氯丙烷</w:t>
            </w:r>
          </w:p>
        </w:tc>
        <w:tc>
          <w:tcPr>
            <w:tcW w:w="766" w:type="dxa"/>
            <w:vAlign w:val="top"/>
          </w:tcPr>
          <w:p w14:paraId="01061572">
            <w:pPr>
              <w:pStyle w:val="6"/>
              <w:spacing w:before="56" w:line="219" w:lineRule="auto"/>
              <w:ind w:left="119"/>
              <w:rPr>
                <w:sz w:val="18"/>
                <w:szCs w:val="18"/>
              </w:rPr>
            </w:pPr>
            <w:r>
              <w:rPr>
                <w:spacing w:val="-4"/>
                <w:sz w:val="18"/>
                <w:szCs w:val="18"/>
              </w:rPr>
              <w:t>未检出</w:t>
            </w:r>
          </w:p>
        </w:tc>
        <w:tc>
          <w:tcPr>
            <w:tcW w:w="1082" w:type="dxa"/>
            <w:vAlign w:val="top"/>
          </w:tcPr>
          <w:p w14:paraId="0C9AC0BB">
            <w:pPr>
              <w:pStyle w:val="6"/>
              <w:spacing w:before="56" w:line="219" w:lineRule="auto"/>
              <w:ind w:left="277"/>
              <w:rPr>
                <w:sz w:val="18"/>
                <w:szCs w:val="18"/>
              </w:rPr>
            </w:pPr>
            <w:r>
              <w:rPr>
                <w:spacing w:val="-4"/>
                <w:sz w:val="18"/>
                <w:szCs w:val="18"/>
              </w:rPr>
              <w:t>未检出</w:t>
            </w:r>
          </w:p>
        </w:tc>
        <w:tc>
          <w:tcPr>
            <w:tcW w:w="1045" w:type="dxa"/>
            <w:vAlign w:val="top"/>
          </w:tcPr>
          <w:p w14:paraId="58F8F9AD">
            <w:pPr>
              <w:pStyle w:val="6"/>
              <w:spacing w:before="56" w:line="219" w:lineRule="auto"/>
              <w:ind w:left="258"/>
              <w:rPr>
                <w:sz w:val="18"/>
                <w:szCs w:val="18"/>
              </w:rPr>
            </w:pPr>
            <w:r>
              <w:rPr>
                <w:spacing w:val="-4"/>
                <w:sz w:val="18"/>
                <w:szCs w:val="18"/>
              </w:rPr>
              <w:t>未检出</w:t>
            </w:r>
          </w:p>
        </w:tc>
        <w:tc>
          <w:tcPr>
            <w:tcW w:w="994" w:type="dxa"/>
            <w:vAlign w:val="top"/>
          </w:tcPr>
          <w:p w14:paraId="57FEB02E">
            <w:pPr>
              <w:pStyle w:val="6"/>
              <w:spacing w:before="56" w:line="219" w:lineRule="auto"/>
              <w:ind w:left="233"/>
              <w:rPr>
                <w:sz w:val="18"/>
                <w:szCs w:val="18"/>
              </w:rPr>
            </w:pPr>
            <w:r>
              <w:rPr>
                <w:spacing w:val="-4"/>
                <w:sz w:val="18"/>
                <w:szCs w:val="18"/>
              </w:rPr>
              <w:t>未检出</w:t>
            </w:r>
          </w:p>
        </w:tc>
        <w:tc>
          <w:tcPr>
            <w:tcW w:w="995" w:type="dxa"/>
            <w:vAlign w:val="top"/>
          </w:tcPr>
          <w:p w14:paraId="6613C63B">
            <w:pPr>
              <w:pStyle w:val="6"/>
              <w:spacing w:before="56" w:line="219" w:lineRule="auto"/>
              <w:ind w:left="235"/>
              <w:rPr>
                <w:sz w:val="18"/>
                <w:szCs w:val="18"/>
              </w:rPr>
            </w:pPr>
            <w:r>
              <w:rPr>
                <w:spacing w:val="-4"/>
                <w:sz w:val="18"/>
                <w:szCs w:val="18"/>
              </w:rPr>
              <w:t>未检出</w:t>
            </w:r>
          </w:p>
        </w:tc>
        <w:tc>
          <w:tcPr>
            <w:tcW w:w="1071" w:type="dxa"/>
            <w:vAlign w:val="top"/>
          </w:tcPr>
          <w:p w14:paraId="26BCA2A9">
            <w:pPr>
              <w:pStyle w:val="6"/>
              <w:spacing w:before="56" w:line="219" w:lineRule="auto"/>
              <w:ind w:left="272"/>
              <w:rPr>
                <w:sz w:val="18"/>
                <w:szCs w:val="18"/>
              </w:rPr>
            </w:pPr>
            <w:r>
              <w:rPr>
                <w:spacing w:val="-4"/>
                <w:sz w:val="18"/>
                <w:szCs w:val="18"/>
              </w:rPr>
              <w:t>未检出</w:t>
            </w:r>
          </w:p>
        </w:tc>
        <w:tc>
          <w:tcPr>
            <w:tcW w:w="1177" w:type="dxa"/>
            <w:vAlign w:val="top"/>
          </w:tcPr>
          <w:p w14:paraId="39605AFE">
            <w:pPr>
              <w:pStyle w:val="6"/>
              <w:spacing w:before="56" w:line="219" w:lineRule="auto"/>
              <w:ind w:left="327"/>
              <w:rPr>
                <w:sz w:val="18"/>
                <w:szCs w:val="18"/>
              </w:rPr>
            </w:pPr>
            <w:r>
              <w:rPr>
                <w:spacing w:val="-4"/>
                <w:sz w:val="18"/>
                <w:szCs w:val="18"/>
              </w:rPr>
              <w:t>未检出</w:t>
            </w:r>
          </w:p>
        </w:tc>
        <w:tc>
          <w:tcPr>
            <w:tcW w:w="995" w:type="dxa"/>
            <w:vAlign w:val="top"/>
          </w:tcPr>
          <w:p w14:paraId="46B56D97">
            <w:pPr>
              <w:pStyle w:val="6"/>
              <w:spacing w:before="56" w:line="219" w:lineRule="auto"/>
              <w:ind w:left="235"/>
              <w:rPr>
                <w:sz w:val="18"/>
                <w:szCs w:val="18"/>
              </w:rPr>
            </w:pPr>
            <w:r>
              <w:rPr>
                <w:spacing w:val="-4"/>
                <w:sz w:val="18"/>
                <w:szCs w:val="18"/>
              </w:rPr>
              <w:t>未检出</w:t>
            </w:r>
          </w:p>
        </w:tc>
        <w:tc>
          <w:tcPr>
            <w:tcW w:w="1046" w:type="dxa"/>
            <w:vAlign w:val="top"/>
          </w:tcPr>
          <w:p w14:paraId="684BD8D0">
            <w:pPr>
              <w:pStyle w:val="6"/>
              <w:spacing w:before="56" w:line="219" w:lineRule="auto"/>
              <w:ind w:left="260"/>
              <w:rPr>
                <w:sz w:val="18"/>
                <w:szCs w:val="18"/>
              </w:rPr>
            </w:pPr>
            <w:r>
              <w:rPr>
                <w:spacing w:val="-4"/>
                <w:sz w:val="18"/>
                <w:szCs w:val="18"/>
              </w:rPr>
              <w:t>未检出</w:t>
            </w:r>
          </w:p>
        </w:tc>
        <w:tc>
          <w:tcPr>
            <w:tcW w:w="1634" w:type="dxa"/>
            <w:vAlign w:val="top"/>
          </w:tcPr>
          <w:p w14:paraId="7610F747">
            <w:pPr>
              <w:pStyle w:val="6"/>
              <w:spacing w:before="56" w:line="219" w:lineRule="auto"/>
              <w:ind w:left="555"/>
              <w:rPr>
                <w:sz w:val="18"/>
                <w:szCs w:val="18"/>
              </w:rPr>
            </w:pPr>
            <w:r>
              <w:rPr>
                <w:spacing w:val="-4"/>
                <w:sz w:val="18"/>
                <w:szCs w:val="18"/>
              </w:rPr>
              <w:t>未检出</w:t>
            </w:r>
          </w:p>
        </w:tc>
        <w:tc>
          <w:tcPr>
            <w:tcW w:w="1066" w:type="dxa"/>
            <w:tcBorders>
              <w:right w:val="nil"/>
            </w:tcBorders>
            <w:vAlign w:val="top"/>
          </w:tcPr>
          <w:p w14:paraId="7E226964">
            <w:pPr>
              <w:spacing w:before="87" w:line="188" w:lineRule="auto"/>
              <w:ind w:left="42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w:t>
            </w:r>
          </w:p>
        </w:tc>
      </w:tr>
      <w:tr w14:paraId="3FEF4D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90" w:type="dxa"/>
            <w:tcBorders>
              <w:left w:val="nil"/>
            </w:tcBorders>
            <w:vAlign w:val="top"/>
          </w:tcPr>
          <w:p w14:paraId="2D3FC6FF">
            <w:pPr>
              <w:spacing w:before="82"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25</w:t>
            </w:r>
          </w:p>
        </w:tc>
        <w:tc>
          <w:tcPr>
            <w:tcW w:w="1747" w:type="dxa"/>
            <w:vAlign w:val="top"/>
          </w:tcPr>
          <w:p w14:paraId="782B1E89">
            <w:pPr>
              <w:pStyle w:val="6"/>
              <w:spacing w:before="53" w:line="219" w:lineRule="auto"/>
              <w:ind w:left="611"/>
              <w:rPr>
                <w:sz w:val="18"/>
                <w:szCs w:val="18"/>
              </w:rPr>
            </w:pPr>
            <w:r>
              <w:rPr>
                <w:spacing w:val="-4"/>
                <w:sz w:val="18"/>
                <w:szCs w:val="18"/>
              </w:rPr>
              <w:t>氯乙烯</w:t>
            </w:r>
          </w:p>
        </w:tc>
        <w:tc>
          <w:tcPr>
            <w:tcW w:w="766" w:type="dxa"/>
            <w:vAlign w:val="top"/>
          </w:tcPr>
          <w:p w14:paraId="56EBD7A1">
            <w:pPr>
              <w:pStyle w:val="6"/>
              <w:spacing w:before="53" w:line="219" w:lineRule="auto"/>
              <w:ind w:left="119"/>
              <w:rPr>
                <w:sz w:val="18"/>
                <w:szCs w:val="18"/>
              </w:rPr>
            </w:pPr>
            <w:r>
              <w:rPr>
                <w:spacing w:val="-4"/>
                <w:sz w:val="18"/>
                <w:szCs w:val="18"/>
              </w:rPr>
              <w:t>未检出</w:t>
            </w:r>
          </w:p>
        </w:tc>
        <w:tc>
          <w:tcPr>
            <w:tcW w:w="1082" w:type="dxa"/>
            <w:vAlign w:val="top"/>
          </w:tcPr>
          <w:p w14:paraId="6141FFF4">
            <w:pPr>
              <w:pStyle w:val="6"/>
              <w:spacing w:before="53" w:line="219" w:lineRule="auto"/>
              <w:ind w:left="277"/>
              <w:rPr>
                <w:sz w:val="18"/>
                <w:szCs w:val="18"/>
              </w:rPr>
            </w:pPr>
            <w:r>
              <w:rPr>
                <w:spacing w:val="-4"/>
                <w:sz w:val="18"/>
                <w:szCs w:val="18"/>
              </w:rPr>
              <w:t>未检出</w:t>
            </w:r>
          </w:p>
        </w:tc>
        <w:tc>
          <w:tcPr>
            <w:tcW w:w="1045" w:type="dxa"/>
            <w:vAlign w:val="top"/>
          </w:tcPr>
          <w:p w14:paraId="30F7F725">
            <w:pPr>
              <w:pStyle w:val="6"/>
              <w:spacing w:before="53" w:line="219" w:lineRule="auto"/>
              <w:ind w:left="258"/>
              <w:rPr>
                <w:sz w:val="18"/>
                <w:szCs w:val="18"/>
              </w:rPr>
            </w:pPr>
            <w:r>
              <w:rPr>
                <w:spacing w:val="-4"/>
                <w:sz w:val="18"/>
                <w:szCs w:val="18"/>
              </w:rPr>
              <w:t>未检出</w:t>
            </w:r>
          </w:p>
        </w:tc>
        <w:tc>
          <w:tcPr>
            <w:tcW w:w="994" w:type="dxa"/>
            <w:vAlign w:val="top"/>
          </w:tcPr>
          <w:p w14:paraId="0388FBF8">
            <w:pPr>
              <w:pStyle w:val="6"/>
              <w:spacing w:before="53" w:line="219" w:lineRule="auto"/>
              <w:ind w:left="233"/>
              <w:rPr>
                <w:sz w:val="18"/>
                <w:szCs w:val="18"/>
              </w:rPr>
            </w:pPr>
            <w:r>
              <w:rPr>
                <w:spacing w:val="-4"/>
                <w:sz w:val="18"/>
                <w:szCs w:val="18"/>
              </w:rPr>
              <w:t>未检出</w:t>
            </w:r>
          </w:p>
        </w:tc>
        <w:tc>
          <w:tcPr>
            <w:tcW w:w="995" w:type="dxa"/>
            <w:vAlign w:val="top"/>
          </w:tcPr>
          <w:p w14:paraId="316E9AF3">
            <w:pPr>
              <w:pStyle w:val="6"/>
              <w:spacing w:before="53" w:line="219" w:lineRule="auto"/>
              <w:ind w:left="235"/>
              <w:rPr>
                <w:sz w:val="18"/>
                <w:szCs w:val="18"/>
              </w:rPr>
            </w:pPr>
            <w:r>
              <w:rPr>
                <w:spacing w:val="-4"/>
                <w:sz w:val="18"/>
                <w:szCs w:val="18"/>
              </w:rPr>
              <w:t>未检出</w:t>
            </w:r>
          </w:p>
        </w:tc>
        <w:tc>
          <w:tcPr>
            <w:tcW w:w="1071" w:type="dxa"/>
            <w:vAlign w:val="top"/>
          </w:tcPr>
          <w:p w14:paraId="563561BB">
            <w:pPr>
              <w:pStyle w:val="6"/>
              <w:spacing w:before="53" w:line="219" w:lineRule="auto"/>
              <w:ind w:left="272"/>
              <w:rPr>
                <w:sz w:val="18"/>
                <w:szCs w:val="18"/>
              </w:rPr>
            </w:pPr>
            <w:r>
              <w:rPr>
                <w:spacing w:val="-4"/>
                <w:sz w:val="18"/>
                <w:szCs w:val="18"/>
              </w:rPr>
              <w:t>未检出</w:t>
            </w:r>
          </w:p>
        </w:tc>
        <w:tc>
          <w:tcPr>
            <w:tcW w:w="1177" w:type="dxa"/>
            <w:vAlign w:val="top"/>
          </w:tcPr>
          <w:p w14:paraId="1FB3A637">
            <w:pPr>
              <w:pStyle w:val="6"/>
              <w:spacing w:before="53" w:line="219" w:lineRule="auto"/>
              <w:ind w:left="327"/>
              <w:rPr>
                <w:sz w:val="18"/>
                <w:szCs w:val="18"/>
              </w:rPr>
            </w:pPr>
            <w:r>
              <w:rPr>
                <w:spacing w:val="-4"/>
                <w:sz w:val="18"/>
                <w:szCs w:val="18"/>
              </w:rPr>
              <w:t>未检出</w:t>
            </w:r>
          </w:p>
        </w:tc>
        <w:tc>
          <w:tcPr>
            <w:tcW w:w="995" w:type="dxa"/>
            <w:vAlign w:val="top"/>
          </w:tcPr>
          <w:p w14:paraId="0D23A52C">
            <w:pPr>
              <w:pStyle w:val="6"/>
              <w:spacing w:before="53" w:line="219" w:lineRule="auto"/>
              <w:ind w:left="235"/>
              <w:rPr>
                <w:sz w:val="18"/>
                <w:szCs w:val="18"/>
              </w:rPr>
            </w:pPr>
            <w:r>
              <w:rPr>
                <w:spacing w:val="-4"/>
                <w:sz w:val="18"/>
                <w:szCs w:val="18"/>
              </w:rPr>
              <w:t>未检出</w:t>
            </w:r>
          </w:p>
        </w:tc>
        <w:tc>
          <w:tcPr>
            <w:tcW w:w="1046" w:type="dxa"/>
            <w:vAlign w:val="top"/>
          </w:tcPr>
          <w:p w14:paraId="44D00C73">
            <w:pPr>
              <w:pStyle w:val="6"/>
              <w:spacing w:before="53" w:line="219" w:lineRule="auto"/>
              <w:ind w:left="260"/>
              <w:rPr>
                <w:sz w:val="18"/>
                <w:szCs w:val="18"/>
              </w:rPr>
            </w:pPr>
            <w:r>
              <w:rPr>
                <w:spacing w:val="-4"/>
                <w:sz w:val="18"/>
                <w:szCs w:val="18"/>
              </w:rPr>
              <w:t>未检出</w:t>
            </w:r>
          </w:p>
        </w:tc>
        <w:tc>
          <w:tcPr>
            <w:tcW w:w="1634" w:type="dxa"/>
            <w:vAlign w:val="top"/>
          </w:tcPr>
          <w:p w14:paraId="038D3DBC">
            <w:pPr>
              <w:pStyle w:val="6"/>
              <w:spacing w:before="53" w:line="219" w:lineRule="auto"/>
              <w:ind w:left="555"/>
              <w:rPr>
                <w:sz w:val="18"/>
                <w:szCs w:val="18"/>
              </w:rPr>
            </w:pPr>
            <w:r>
              <w:rPr>
                <w:spacing w:val="-4"/>
                <w:sz w:val="18"/>
                <w:szCs w:val="18"/>
              </w:rPr>
              <w:t>未检出</w:t>
            </w:r>
          </w:p>
        </w:tc>
        <w:tc>
          <w:tcPr>
            <w:tcW w:w="1066" w:type="dxa"/>
            <w:tcBorders>
              <w:right w:val="nil"/>
            </w:tcBorders>
            <w:vAlign w:val="top"/>
          </w:tcPr>
          <w:p w14:paraId="00DA685C">
            <w:pPr>
              <w:spacing w:before="82" w:line="188" w:lineRule="auto"/>
              <w:ind w:left="37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0.43</w:t>
            </w:r>
          </w:p>
        </w:tc>
      </w:tr>
      <w:tr w14:paraId="30D6D1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659F2F26">
            <w:pPr>
              <w:spacing w:before="84"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26</w:t>
            </w:r>
          </w:p>
        </w:tc>
        <w:tc>
          <w:tcPr>
            <w:tcW w:w="1747" w:type="dxa"/>
            <w:vAlign w:val="top"/>
          </w:tcPr>
          <w:p w14:paraId="74D907A0">
            <w:pPr>
              <w:pStyle w:val="6"/>
              <w:spacing w:before="53" w:line="219" w:lineRule="auto"/>
              <w:ind w:left="790"/>
              <w:rPr>
                <w:sz w:val="18"/>
                <w:szCs w:val="18"/>
              </w:rPr>
            </w:pPr>
            <w:r>
              <w:rPr>
                <w:sz w:val="18"/>
                <w:szCs w:val="18"/>
              </w:rPr>
              <w:t>苯</w:t>
            </w:r>
          </w:p>
        </w:tc>
        <w:tc>
          <w:tcPr>
            <w:tcW w:w="766" w:type="dxa"/>
            <w:vAlign w:val="top"/>
          </w:tcPr>
          <w:p w14:paraId="7B3AE034">
            <w:pPr>
              <w:pStyle w:val="6"/>
              <w:spacing w:before="53" w:line="219" w:lineRule="auto"/>
              <w:ind w:left="119"/>
              <w:rPr>
                <w:sz w:val="18"/>
                <w:szCs w:val="18"/>
              </w:rPr>
            </w:pPr>
            <w:r>
              <w:rPr>
                <w:spacing w:val="-4"/>
                <w:sz w:val="18"/>
                <w:szCs w:val="18"/>
              </w:rPr>
              <w:t>未检出</w:t>
            </w:r>
          </w:p>
        </w:tc>
        <w:tc>
          <w:tcPr>
            <w:tcW w:w="1082" w:type="dxa"/>
            <w:vAlign w:val="top"/>
          </w:tcPr>
          <w:p w14:paraId="5E525179">
            <w:pPr>
              <w:pStyle w:val="6"/>
              <w:spacing w:before="53" w:line="219" w:lineRule="auto"/>
              <w:ind w:left="277"/>
              <w:rPr>
                <w:sz w:val="18"/>
                <w:szCs w:val="18"/>
              </w:rPr>
            </w:pPr>
            <w:r>
              <w:rPr>
                <w:spacing w:val="-4"/>
                <w:sz w:val="18"/>
                <w:szCs w:val="18"/>
              </w:rPr>
              <w:t>未检出</w:t>
            </w:r>
          </w:p>
        </w:tc>
        <w:tc>
          <w:tcPr>
            <w:tcW w:w="1045" w:type="dxa"/>
            <w:vAlign w:val="top"/>
          </w:tcPr>
          <w:p w14:paraId="57FA3AD2">
            <w:pPr>
              <w:pStyle w:val="6"/>
              <w:spacing w:before="53" w:line="219" w:lineRule="auto"/>
              <w:ind w:left="258"/>
              <w:rPr>
                <w:sz w:val="18"/>
                <w:szCs w:val="18"/>
              </w:rPr>
            </w:pPr>
            <w:r>
              <w:rPr>
                <w:spacing w:val="-4"/>
                <w:sz w:val="18"/>
                <w:szCs w:val="18"/>
              </w:rPr>
              <w:t>未检出</w:t>
            </w:r>
          </w:p>
        </w:tc>
        <w:tc>
          <w:tcPr>
            <w:tcW w:w="994" w:type="dxa"/>
            <w:vAlign w:val="top"/>
          </w:tcPr>
          <w:p w14:paraId="276E73CB">
            <w:pPr>
              <w:pStyle w:val="6"/>
              <w:spacing w:before="53" w:line="219" w:lineRule="auto"/>
              <w:ind w:left="233"/>
              <w:rPr>
                <w:sz w:val="18"/>
                <w:szCs w:val="18"/>
              </w:rPr>
            </w:pPr>
            <w:r>
              <w:rPr>
                <w:spacing w:val="-4"/>
                <w:sz w:val="18"/>
                <w:szCs w:val="18"/>
              </w:rPr>
              <w:t>未检出</w:t>
            </w:r>
          </w:p>
        </w:tc>
        <w:tc>
          <w:tcPr>
            <w:tcW w:w="995" w:type="dxa"/>
            <w:vAlign w:val="top"/>
          </w:tcPr>
          <w:p w14:paraId="761A18F7">
            <w:pPr>
              <w:pStyle w:val="6"/>
              <w:spacing w:before="53" w:line="219" w:lineRule="auto"/>
              <w:ind w:left="235"/>
              <w:rPr>
                <w:sz w:val="18"/>
                <w:szCs w:val="18"/>
              </w:rPr>
            </w:pPr>
            <w:r>
              <w:rPr>
                <w:spacing w:val="-4"/>
                <w:sz w:val="18"/>
                <w:szCs w:val="18"/>
              </w:rPr>
              <w:t>未检出</w:t>
            </w:r>
          </w:p>
        </w:tc>
        <w:tc>
          <w:tcPr>
            <w:tcW w:w="1071" w:type="dxa"/>
            <w:vAlign w:val="top"/>
          </w:tcPr>
          <w:p w14:paraId="5A89B259">
            <w:pPr>
              <w:pStyle w:val="6"/>
              <w:spacing w:before="53" w:line="219" w:lineRule="auto"/>
              <w:ind w:left="272"/>
              <w:rPr>
                <w:sz w:val="18"/>
                <w:szCs w:val="18"/>
              </w:rPr>
            </w:pPr>
            <w:r>
              <w:rPr>
                <w:spacing w:val="-4"/>
                <w:sz w:val="18"/>
                <w:szCs w:val="18"/>
              </w:rPr>
              <w:t>未检出</w:t>
            </w:r>
          </w:p>
        </w:tc>
        <w:tc>
          <w:tcPr>
            <w:tcW w:w="1177" w:type="dxa"/>
            <w:vAlign w:val="top"/>
          </w:tcPr>
          <w:p w14:paraId="236B63B2">
            <w:pPr>
              <w:pStyle w:val="6"/>
              <w:spacing w:before="53" w:line="219" w:lineRule="auto"/>
              <w:ind w:left="327"/>
              <w:rPr>
                <w:sz w:val="18"/>
                <w:szCs w:val="18"/>
              </w:rPr>
            </w:pPr>
            <w:r>
              <w:rPr>
                <w:spacing w:val="-4"/>
                <w:sz w:val="18"/>
                <w:szCs w:val="18"/>
              </w:rPr>
              <w:t>未检出</w:t>
            </w:r>
          </w:p>
        </w:tc>
        <w:tc>
          <w:tcPr>
            <w:tcW w:w="995" w:type="dxa"/>
            <w:vAlign w:val="top"/>
          </w:tcPr>
          <w:p w14:paraId="1FCF961A">
            <w:pPr>
              <w:pStyle w:val="6"/>
              <w:spacing w:before="53" w:line="219" w:lineRule="auto"/>
              <w:ind w:left="235"/>
              <w:rPr>
                <w:sz w:val="18"/>
                <w:szCs w:val="18"/>
              </w:rPr>
            </w:pPr>
            <w:r>
              <w:rPr>
                <w:spacing w:val="-4"/>
                <w:sz w:val="18"/>
                <w:szCs w:val="18"/>
              </w:rPr>
              <w:t>未检出</w:t>
            </w:r>
          </w:p>
        </w:tc>
        <w:tc>
          <w:tcPr>
            <w:tcW w:w="1046" w:type="dxa"/>
            <w:vAlign w:val="top"/>
          </w:tcPr>
          <w:p w14:paraId="2A776E88">
            <w:pPr>
              <w:pStyle w:val="6"/>
              <w:spacing w:before="53" w:line="219" w:lineRule="auto"/>
              <w:ind w:left="260"/>
              <w:rPr>
                <w:sz w:val="18"/>
                <w:szCs w:val="18"/>
              </w:rPr>
            </w:pPr>
            <w:r>
              <w:rPr>
                <w:spacing w:val="-4"/>
                <w:sz w:val="18"/>
                <w:szCs w:val="18"/>
              </w:rPr>
              <w:t>未检出</w:t>
            </w:r>
          </w:p>
        </w:tc>
        <w:tc>
          <w:tcPr>
            <w:tcW w:w="1634" w:type="dxa"/>
            <w:vAlign w:val="top"/>
          </w:tcPr>
          <w:p w14:paraId="1A5C94FE">
            <w:pPr>
              <w:pStyle w:val="6"/>
              <w:spacing w:before="53" w:line="219" w:lineRule="auto"/>
              <w:ind w:left="555"/>
              <w:rPr>
                <w:sz w:val="18"/>
                <w:szCs w:val="18"/>
              </w:rPr>
            </w:pPr>
            <w:r>
              <w:rPr>
                <w:spacing w:val="-4"/>
                <w:sz w:val="18"/>
                <w:szCs w:val="18"/>
              </w:rPr>
              <w:t>未检出</w:t>
            </w:r>
          </w:p>
        </w:tc>
        <w:tc>
          <w:tcPr>
            <w:tcW w:w="1066" w:type="dxa"/>
            <w:tcBorders>
              <w:right w:val="nil"/>
            </w:tcBorders>
            <w:vAlign w:val="top"/>
          </w:tcPr>
          <w:p w14:paraId="0CE916C5">
            <w:pPr>
              <w:spacing w:before="84" w:line="188" w:lineRule="auto"/>
              <w:ind w:left="489"/>
              <w:rPr>
                <w:rFonts w:ascii="Times New Roman" w:hAnsi="Times New Roman" w:eastAsia="Times New Roman" w:cs="Times New Roman"/>
                <w:sz w:val="18"/>
                <w:szCs w:val="18"/>
              </w:rPr>
            </w:pPr>
            <w:r>
              <w:rPr>
                <w:rFonts w:ascii="Times New Roman" w:hAnsi="Times New Roman" w:eastAsia="Times New Roman" w:cs="Times New Roman"/>
                <w:sz w:val="18"/>
                <w:szCs w:val="18"/>
              </w:rPr>
              <w:t>4</w:t>
            </w:r>
          </w:p>
        </w:tc>
      </w:tr>
      <w:tr w14:paraId="5B3A03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4394D32D">
            <w:pPr>
              <w:spacing w:before="83"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27</w:t>
            </w:r>
          </w:p>
        </w:tc>
        <w:tc>
          <w:tcPr>
            <w:tcW w:w="1747" w:type="dxa"/>
            <w:vAlign w:val="top"/>
          </w:tcPr>
          <w:p w14:paraId="46ED81A9">
            <w:pPr>
              <w:pStyle w:val="6"/>
              <w:spacing w:before="54" w:line="219" w:lineRule="auto"/>
              <w:ind w:left="700"/>
              <w:rPr>
                <w:sz w:val="18"/>
                <w:szCs w:val="18"/>
              </w:rPr>
            </w:pPr>
            <w:r>
              <w:rPr>
                <w:spacing w:val="-5"/>
                <w:sz w:val="18"/>
                <w:szCs w:val="18"/>
              </w:rPr>
              <w:t>氯苯</w:t>
            </w:r>
          </w:p>
        </w:tc>
        <w:tc>
          <w:tcPr>
            <w:tcW w:w="766" w:type="dxa"/>
            <w:vAlign w:val="top"/>
          </w:tcPr>
          <w:p w14:paraId="38810D7C">
            <w:pPr>
              <w:pStyle w:val="6"/>
              <w:spacing w:before="54" w:line="219" w:lineRule="auto"/>
              <w:ind w:left="119"/>
              <w:rPr>
                <w:sz w:val="18"/>
                <w:szCs w:val="18"/>
              </w:rPr>
            </w:pPr>
            <w:r>
              <w:rPr>
                <w:spacing w:val="-4"/>
                <w:sz w:val="18"/>
                <w:szCs w:val="18"/>
              </w:rPr>
              <w:t>未检出</w:t>
            </w:r>
          </w:p>
        </w:tc>
        <w:tc>
          <w:tcPr>
            <w:tcW w:w="1082" w:type="dxa"/>
            <w:vAlign w:val="top"/>
          </w:tcPr>
          <w:p w14:paraId="112B5979">
            <w:pPr>
              <w:pStyle w:val="6"/>
              <w:spacing w:before="54" w:line="219" w:lineRule="auto"/>
              <w:ind w:left="277"/>
              <w:rPr>
                <w:sz w:val="18"/>
                <w:szCs w:val="18"/>
              </w:rPr>
            </w:pPr>
            <w:r>
              <w:rPr>
                <w:spacing w:val="-4"/>
                <w:sz w:val="18"/>
                <w:szCs w:val="18"/>
              </w:rPr>
              <w:t>未检出</w:t>
            </w:r>
          </w:p>
        </w:tc>
        <w:tc>
          <w:tcPr>
            <w:tcW w:w="1045" w:type="dxa"/>
            <w:vAlign w:val="top"/>
          </w:tcPr>
          <w:p w14:paraId="763FFEA4">
            <w:pPr>
              <w:pStyle w:val="6"/>
              <w:spacing w:before="54" w:line="219" w:lineRule="auto"/>
              <w:ind w:left="258"/>
              <w:rPr>
                <w:sz w:val="18"/>
                <w:szCs w:val="18"/>
              </w:rPr>
            </w:pPr>
            <w:r>
              <w:rPr>
                <w:spacing w:val="-4"/>
                <w:sz w:val="18"/>
                <w:szCs w:val="18"/>
              </w:rPr>
              <w:t>未检出</w:t>
            </w:r>
          </w:p>
        </w:tc>
        <w:tc>
          <w:tcPr>
            <w:tcW w:w="994" w:type="dxa"/>
            <w:vAlign w:val="top"/>
          </w:tcPr>
          <w:p w14:paraId="70F4D0D8">
            <w:pPr>
              <w:pStyle w:val="6"/>
              <w:spacing w:before="54" w:line="219" w:lineRule="auto"/>
              <w:ind w:left="233"/>
              <w:rPr>
                <w:sz w:val="18"/>
                <w:szCs w:val="18"/>
              </w:rPr>
            </w:pPr>
            <w:r>
              <w:rPr>
                <w:spacing w:val="-4"/>
                <w:sz w:val="18"/>
                <w:szCs w:val="18"/>
              </w:rPr>
              <w:t>未检出</w:t>
            </w:r>
          </w:p>
        </w:tc>
        <w:tc>
          <w:tcPr>
            <w:tcW w:w="995" w:type="dxa"/>
            <w:vAlign w:val="top"/>
          </w:tcPr>
          <w:p w14:paraId="4D7F184A">
            <w:pPr>
              <w:pStyle w:val="6"/>
              <w:spacing w:before="54" w:line="219" w:lineRule="auto"/>
              <w:ind w:left="235"/>
              <w:rPr>
                <w:sz w:val="18"/>
                <w:szCs w:val="18"/>
              </w:rPr>
            </w:pPr>
            <w:r>
              <w:rPr>
                <w:spacing w:val="-4"/>
                <w:sz w:val="18"/>
                <w:szCs w:val="18"/>
              </w:rPr>
              <w:t>未检出</w:t>
            </w:r>
          </w:p>
        </w:tc>
        <w:tc>
          <w:tcPr>
            <w:tcW w:w="1071" w:type="dxa"/>
            <w:vAlign w:val="top"/>
          </w:tcPr>
          <w:p w14:paraId="2EFDF9DA">
            <w:pPr>
              <w:pStyle w:val="6"/>
              <w:spacing w:before="54" w:line="219" w:lineRule="auto"/>
              <w:ind w:left="272"/>
              <w:rPr>
                <w:sz w:val="18"/>
                <w:szCs w:val="18"/>
              </w:rPr>
            </w:pPr>
            <w:r>
              <w:rPr>
                <w:spacing w:val="-4"/>
                <w:sz w:val="18"/>
                <w:szCs w:val="18"/>
              </w:rPr>
              <w:t>未检出</w:t>
            </w:r>
          </w:p>
        </w:tc>
        <w:tc>
          <w:tcPr>
            <w:tcW w:w="1177" w:type="dxa"/>
            <w:vAlign w:val="top"/>
          </w:tcPr>
          <w:p w14:paraId="5F99A24C">
            <w:pPr>
              <w:pStyle w:val="6"/>
              <w:spacing w:before="54" w:line="219" w:lineRule="auto"/>
              <w:ind w:left="327"/>
              <w:rPr>
                <w:sz w:val="18"/>
                <w:szCs w:val="18"/>
              </w:rPr>
            </w:pPr>
            <w:r>
              <w:rPr>
                <w:spacing w:val="-4"/>
                <w:sz w:val="18"/>
                <w:szCs w:val="18"/>
              </w:rPr>
              <w:t>未检出</w:t>
            </w:r>
          </w:p>
        </w:tc>
        <w:tc>
          <w:tcPr>
            <w:tcW w:w="995" w:type="dxa"/>
            <w:vAlign w:val="top"/>
          </w:tcPr>
          <w:p w14:paraId="3261BC67">
            <w:pPr>
              <w:pStyle w:val="6"/>
              <w:spacing w:before="54" w:line="219" w:lineRule="auto"/>
              <w:ind w:left="235"/>
              <w:rPr>
                <w:sz w:val="18"/>
                <w:szCs w:val="18"/>
              </w:rPr>
            </w:pPr>
            <w:r>
              <w:rPr>
                <w:spacing w:val="-4"/>
                <w:sz w:val="18"/>
                <w:szCs w:val="18"/>
              </w:rPr>
              <w:t>未检出</w:t>
            </w:r>
          </w:p>
        </w:tc>
        <w:tc>
          <w:tcPr>
            <w:tcW w:w="1046" w:type="dxa"/>
            <w:vAlign w:val="top"/>
          </w:tcPr>
          <w:p w14:paraId="40AD87AE">
            <w:pPr>
              <w:pStyle w:val="6"/>
              <w:spacing w:before="54" w:line="219" w:lineRule="auto"/>
              <w:ind w:left="260"/>
              <w:rPr>
                <w:sz w:val="18"/>
                <w:szCs w:val="18"/>
              </w:rPr>
            </w:pPr>
            <w:r>
              <w:rPr>
                <w:spacing w:val="-4"/>
                <w:sz w:val="18"/>
                <w:szCs w:val="18"/>
              </w:rPr>
              <w:t>未检出</w:t>
            </w:r>
          </w:p>
        </w:tc>
        <w:tc>
          <w:tcPr>
            <w:tcW w:w="1634" w:type="dxa"/>
            <w:vAlign w:val="top"/>
          </w:tcPr>
          <w:p w14:paraId="3C354A04">
            <w:pPr>
              <w:pStyle w:val="6"/>
              <w:spacing w:before="54" w:line="219" w:lineRule="auto"/>
              <w:ind w:left="555"/>
              <w:rPr>
                <w:sz w:val="18"/>
                <w:szCs w:val="18"/>
              </w:rPr>
            </w:pPr>
            <w:r>
              <w:rPr>
                <w:spacing w:val="-4"/>
                <w:sz w:val="18"/>
                <w:szCs w:val="18"/>
              </w:rPr>
              <w:t>未检出</w:t>
            </w:r>
          </w:p>
        </w:tc>
        <w:tc>
          <w:tcPr>
            <w:tcW w:w="1066" w:type="dxa"/>
            <w:tcBorders>
              <w:right w:val="nil"/>
            </w:tcBorders>
            <w:vAlign w:val="top"/>
          </w:tcPr>
          <w:p w14:paraId="3EB32957">
            <w:pPr>
              <w:spacing w:before="83" w:line="188" w:lineRule="auto"/>
              <w:ind w:left="40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270</w:t>
            </w:r>
          </w:p>
        </w:tc>
      </w:tr>
      <w:tr w14:paraId="242A00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90" w:type="dxa"/>
            <w:tcBorders>
              <w:left w:val="nil"/>
            </w:tcBorders>
            <w:vAlign w:val="top"/>
          </w:tcPr>
          <w:p w14:paraId="74046259">
            <w:pPr>
              <w:spacing w:before="84"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28</w:t>
            </w:r>
          </w:p>
        </w:tc>
        <w:tc>
          <w:tcPr>
            <w:tcW w:w="1747" w:type="dxa"/>
            <w:vAlign w:val="top"/>
          </w:tcPr>
          <w:p w14:paraId="3DFB65D6">
            <w:pPr>
              <w:pStyle w:val="6"/>
              <w:spacing w:before="53" w:line="219" w:lineRule="auto"/>
              <w:ind w:left="478"/>
              <w:rPr>
                <w:sz w:val="18"/>
                <w:szCs w:val="18"/>
              </w:rPr>
            </w:pPr>
            <w:r>
              <w:rPr>
                <w:rFonts w:ascii="Times New Roman" w:hAnsi="Times New Roman" w:eastAsia="Times New Roman" w:cs="Times New Roman"/>
                <w:spacing w:val="-3"/>
                <w:sz w:val="18"/>
                <w:szCs w:val="18"/>
              </w:rPr>
              <w:t>1.2-</w:t>
            </w:r>
            <w:r>
              <w:rPr>
                <w:spacing w:val="-3"/>
                <w:sz w:val="18"/>
                <w:szCs w:val="18"/>
              </w:rPr>
              <w:t>二氯苯</w:t>
            </w:r>
          </w:p>
        </w:tc>
        <w:tc>
          <w:tcPr>
            <w:tcW w:w="766" w:type="dxa"/>
            <w:vAlign w:val="top"/>
          </w:tcPr>
          <w:p w14:paraId="4E254DEB">
            <w:pPr>
              <w:pStyle w:val="6"/>
              <w:spacing w:before="53" w:line="219" w:lineRule="auto"/>
              <w:ind w:left="119"/>
              <w:rPr>
                <w:sz w:val="18"/>
                <w:szCs w:val="18"/>
              </w:rPr>
            </w:pPr>
            <w:r>
              <w:rPr>
                <w:spacing w:val="-4"/>
                <w:sz w:val="18"/>
                <w:szCs w:val="18"/>
              </w:rPr>
              <w:t>未检出</w:t>
            </w:r>
          </w:p>
        </w:tc>
        <w:tc>
          <w:tcPr>
            <w:tcW w:w="1082" w:type="dxa"/>
            <w:vAlign w:val="top"/>
          </w:tcPr>
          <w:p w14:paraId="229C4C6A">
            <w:pPr>
              <w:pStyle w:val="6"/>
              <w:spacing w:before="53" w:line="219" w:lineRule="auto"/>
              <w:ind w:left="277"/>
              <w:rPr>
                <w:sz w:val="18"/>
                <w:szCs w:val="18"/>
              </w:rPr>
            </w:pPr>
            <w:r>
              <w:rPr>
                <w:spacing w:val="-4"/>
                <w:sz w:val="18"/>
                <w:szCs w:val="18"/>
              </w:rPr>
              <w:t>未检出</w:t>
            </w:r>
          </w:p>
        </w:tc>
        <w:tc>
          <w:tcPr>
            <w:tcW w:w="1045" w:type="dxa"/>
            <w:vAlign w:val="top"/>
          </w:tcPr>
          <w:p w14:paraId="55C54E23">
            <w:pPr>
              <w:pStyle w:val="6"/>
              <w:spacing w:before="53" w:line="219" w:lineRule="auto"/>
              <w:ind w:left="258"/>
              <w:rPr>
                <w:sz w:val="18"/>
                <w:szCs w:val="18"/>
              </w:rPr>
            </w:pPr>
            <w:r>
              <w:rPr>
                <w:spacing w:val="-4"/>
                <w:sz w:val="18"/>
                <w:szCs w:val="18"/>
              </w:rPr>
              <w:t>未检出</w:t>
            </w:r>
          </w:p>
        </w:tc>
        <w:tc>
          <w:tcPr>
            <w:tcW w:w="994" w:type="dxa"/>
            <w:vAlign w:val="top"/>
          </w:tcPr>
          <w:p w14:paraId="58674524">
            <w:pPr>
              <w:pStyle w:val="6"/>
              <w:spacing w:before="53" w:line="219" w:lineRule="auto"/>
              <w:ind w:left="233"/>
              <w:rPr>
                <w:sz w:val="18"/>
                <w:szCs w:val="18"/>
              </w:rPr>
            </w:pPr>
            <w:r>
              <w:rPr>
                <w:spacing w:val="-4"/>
                <w:sz w:val="18"/>
                <w:szCs w:val="18"/>
              </w:rPr>
              <w:t>未检出</w:t>
            </w:r>
          </w:p>
        </w:tc>
        <w:tc>
          <w:tcPr>
            <w:tcW w:w="995" w:type="dxa"/>
            <w:vAlign w:val="top"/>
          </w:tcPr>
          <w:p w14:paraId="6D14BC8E">
            <w:pPr>
              <w:pStyle w:val="6"/>
              <w:spacing w:before="53" w:line="219" w:lineRule="auto"/>
              <w:ind w:left="235"/>
              <w:rPr>
                <w:sz w:val="18"/>
                <w:szCs w:val="18"/>
              </w:rPr>
            </w:pPr>
            <w:r>
              <w:rPr>
                <w:spacing w:val="-4"/>
                <w:sz w:val="18"/>
                <w:szCs w:val="18"/>
              </w:rPr>
              <w:t>未检出</w:t>
            </w:r>
          </w:p>
        </w:tc>
        <w:tc>
          <w:tcPr>
            <w:tcW w:w="1071" w:type="dxa"/>
            <w:vAlign w:val="top"/>
          </w:tcPr>
          <w:p w14:paraId="11A74DE5">
            <w:pPr>
              <w:pStyle w:val="6"/>
              <w:spacing w:before="53" w:line="219" w:lineRule="auto"/>
              <w:ind w:left="272"/>
              <w:rPr>
                <w:sz w:val="18"/>
                <w:szCs w:val="18"/>
              </w:rPr>
            </w:pPr>
            <w:r>
              <w:rPr>
                <w:spacing w:val="-4"/>
                <w:sz w:val="18"/>
                <w:szCs w:val="18"/>
              </w:rPr>
              <w:t>未检出</w:t>
            </w:r>
          </w:p>
        </w:tc>
        <w:tc>
          <w:tcPr>
            <w:tcW w:w="1177" w:type="dxa"/>
            <w:vAlign w:val="top"/>
          </w:tcPr>
          <w:p w14:paraId="092DCE37">
            <w:pPr>
              <w:pStyle w:val="6"/>
              <w:spacing w:before="53" w:line="219" w:lineRule="auto"/>
              <w:ind w:left="327"/>
              <w:rPr>
                <w:sz w:val="18"/>
                <w:szCs w:val="18"/>
              </w:rPr>
            </w:pPr>
            <w:r>
              <w:rPr>
                <w:spacing w:val="-4"/>
                <w:sz w:val="18"/>
                <w:szCs w:val="18"/>
              </w:rPr>
              <w:t>未检出</w:t>
            </w:r>
          </w:p>
        </w:tc>
        <w:tc>
          <w:tcPr>
            <w:tcW w:w="995" w:type="dxa"/>
            <w:vAlign w:val="top"/>
          </w:tcPr>
          <w:p w14:paraId="182C2F5D">
            <w:pPr>
              <w:pStyle w:val="6"/>
              <w:spacing w:before="53" w:line="219" w:lineRule="auto"/>
              <w:ind w:left="235"/>
              <w:rPr>
                <w:sz w:val="18"/>
                <w:szCs w:val="18"/>
              </w:rPr>
            </w:pPr>
            <w:r>
              <w:rPr>
                <w:spacing w:val="-4"/>
                <w:sz w:val="18"/>
                <w:szCs w:val="18"/>
              </w:rPr>
              <w:t>未检出</w:t>
            </w:r>
          </w:p>
        </w:tc>
        <w:tc>
          <w:tcPr>
            <w:tcW w:w="1046" w:type="dxa"/>
            <w:vAlign w:val="top"/>
          </w:tcPr>
          <w:p w14:paraId="1C9FDA38">
            <w:pPr>
              <w:pStyle w:val="6"/>
              <w:spacing w:before="53" w:line="219" w:lineRule="auto"/>
              <w:ind w:left="260"/>
              <w:rPr>
                <w:sz w:val="18"/>
                <w:szCs w:val="18"/>
              </w:rPr>
            </w:pPr>
            <w:r>
              <w:rPr>
                <w:spacing w:val="-4"/>
                <w:sz w:val="18"/>
                <w:szCs w:val="18"/>
              </w:rPr>
              <w:t>未检出</w:t>
            </w:r>
          </w:p>
        </w:tc>
        <w:tc>
          <w:tcPr>
            <w:tcW w:w="1634" w:type="dxa"/>
            <w:vAlign w:val="top"/>
          </w:tcPr>
          <w:p w14:paraId="4751F916">
            <w:pPr>
              <w:pStyle w:val="6"/>
              <w:spacing w:before="53" w:line="219" w:lineRule="auto"/>
              <w:ind w:left="555"/>
              <w:rPr>
                <w:sz w:val="18"/>
                <w:szCs w:val="18"/>
              </w:rPr>
            </w:pPr>
            <w:r>
              <w:rPr>
                <w:spacing w:val="-4"/>
                <w:sz w:val="18"/>
                <w:szCs w:val="18"/>
              </w:rPr>
              <w:t>未检出</w:t>
            </w:r>
          </w:p>
        </w:tc>
        <w:tc>
          <w:tcPr>
            <w:tcW w:w="1066" w:type="dxa"/>
            <w:tcBorders>
              <w:right w:val="nil"/>
            </w:tcBorders>
            <w:vAlign w:val="top"/>
          </w:tcPr>
          <w:p w14:paraId="17B670D6">
            <w:pPr>
              <w:spacing w:before="84" w:line="188" w:lineRule="auto"/>
              <w:ind w:left="406"/>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560</w:t>
            </w:r>
          </w:p>
        </w:tc>
      </w:tr>
      <w:tr w14:paraId="4EF853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90" w:type="dxa"/>
            <w:tcBorders>
              <w:left w:val="nil"/>
            </w:tcBorders>
            <w:vAlign w:val="top"/>
          </w:tcPr>
          <w:p w14:paraId="1DF18507">
            <w:pPr>
              <w:spacing w:before="84"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29</w:t>
            </w:r>
          </w:p>
        </w:tc>
        <w:tc>
          <w:tcPr>
            <w:tcW w:w="1747" w:type="dxa"/>
            <w:vAlign w:val="top"/>
          </w:tcPr>
          <w:p w14:paraId="2695ECCE">
            <w:pPr>
              <w:pStyle w:val="6"/>
              <w:spacing w:before="55" w:line="219" w:lineRule="auto"/>
              <w:ind w:left="478"/>
              <w:rPr>
                <w:sz w:val="18"/>
                <w:szCs w:val="18"/>
              </w:rPr>
            </w:pPr>
            <w:r>
              <w:rPr>
                <w:rFonts w:ascii="Times New Roman" w:hAnsi="Times New Roman" w:eastAsia="Times New Roman" w:cs="Times New Roman"/>
                <w:spacing w:val="-3"/>
                <w:sz w:val="18"/>
                <w:szCs w:val="18"/>
              </w:rPr>
              <w:t>1.4-</w:t>
            </w:r>
            <w:r>
              <w:rPr>
                <w:spacing w:val="-3"/>
                <w:sz w:val="18"/>
                <w:szCs w:val="18"/>
              </w:rPr>
              <w:t>二氯苯</w:t>
            </w:r>
          </w:p>
        </w:tc>
        <w:tc>
          <w:tcPr>
            <w:tcW w:w="766" w:type="dxa"/>
            <w:vAlign w:val="top"/>
          </w:tcPr>
          <w:p w14:paraId="042AE2C1">
            <w:pPr>
              <w:pStyle w:val="6"/>
              <w:spacing w:before="55" w:line="219" w:lineRule="auto"/>
              <w:ind w:left="119"/>
              <w:rPr>
                <w:sz w:val="18"/>
                <w:szCs w:val="18"/>
              </w:rPr>
            </w:pPr>
            <w:r>
              <w:rPr>
                <w:spacing w:val="-4"/>
                <w:sz w:val="18"/>
                <w:szCs w:val="18"/>
              </w:rPr>
              <w:t>未检出</w:t>
            </w:r>
          </w:p>
        </w:tc>
        <w:tc>
          <w:tcPr>
            <w:tcW w:w="1082" w:type="dxa"/>
            <w:vAlign w:val="top"/>
          </w:tcPr>
          <w:p w14:paraId="77792318">
            <w:pPr>
              <w:pStyle w:val="6"/>
              <w:spacing w:before="55" w:line="219" w:lineRule="auto"/>
              <w:ind w:left="277"/>
              <w:rPr>
                <w:sz w:val="18"/>
                <w:szCs w:val="18"/>
              </w:rPr>
            </w:pPr>
            <w:r>
              <w:rPr>
                <w:spacing w:val="-4"/>
                <w:sz w:val="18"/>
                <w:szCs w:val="18"/>
              </w:rPr>
              <w:t>未检出</w:t>
            </w:r>
          </w:p>
        </w:tc>
        <w:tc>
          <w:tcPr>
            <w:tcW w:w="1045" w:type="dxa"/>
            <w:vAlign w:val="top"/>
          </w:tcPr>
          <w:p w14:paraId="35335BEE">
            <w:pPr>
              <w:pStyle w:val="6"/>
              <w:spacing w:before="55" w:line="219" w:lineRule="auto"/>
              <w:ind w:left="258"/>
              <w:rPr>
                <w:sz w:val="18"/>
                <w:szCs w:val="18"/>
              </w:rPr>
            </w:pPr>
            <w:r>
              <w:rPr>
                <w:spacing w:val="-4"/>
                <w:sz w:val="18"/>
                <w:szCs w:val="18"/>
              </w:rPr>
              <w:t>未检出</w:t>
            </w:r>
          </w:p>
        </w:tc>
        <w:tc>
          <w:tcPr>
            <w:tcW w:w="994" w:type="dxa"/>
            <w:vAlign w:val="top"/>
          </w:tcPr>
          <w:p w14:paraId="4E52C3E6">
            <w:pPr>
              <w:pStyle w:val="6"/>
              <w:spacing w:before="55" w:line="219" w:lineRule="auto"/>
              <w:ind w:left="233"/>
              <w:rPr>
                <w:sz w:val="18"/>
                <w:szCs w:val="18"/>
              </w:rPr>
            </w:pPr>
            <w:r>
              <w:rPr>
                <w:spacing w:val="-4"/>
                <w:sz w:val="18"/>
                <w:szCs w:val="18"/>
              </w:rPr>
              <w:t>未检出</w:t>
            </w:r>
          </w:p>
        </w:tc>
        <w:tc>
          <w:tcPr>
            <w:tcW w:w="995" w:type="dxa"/>
            <w:vAlign w:val="top"/>
          </w:tcPr>
          <w:p w14:paraId="5B7BAC16">
            <w:pPr>
              <w:pStyle w:val="6"/>
              <w:spacing w:before="55" w:line="219" w:lineRule="auto"/>
              <w:ind w:left="235"/>
              <w:rPr>
                <w:sz w:val="18"/>
                <w:szCs w:val="18"/>
              </w:rPr>
            </w:pPr>
            <w:r>
              <w:rPr>
                <w:spacing w:val="-4"/>
                <w:sz w:val="18"/>
                <w:szCs w:val="18"/>
              </w:rPr>
              <w:t>未检出</w:t>
            </w:r>
          </w:p>
        </w:tc>
        <w:tc>
          <w:tcPr>
            <w:tcW w:w="1071" w:type="dxa"/>
            <w:vAlign w:val="top"/>
          </w:tcPr>
          <w:p w14:paraId="41F6C0EE">
            <w:pPr>
              <w:pStyle w:val="6"/>
              <w:spacing w:before="55" w:line="219" w:lineRule="auto"/>
              <w:ind w:left="272"/>
              <w:rPr>
                <w:sz w:val="18"/>
                <w:szCs w:val="18"/>
              </w:rPr>
            </w:pPr>
            <w:r>
              <w:rPr>
                <w:spacing w:val="-4"/>
                <w:sz w:val="18"/>
                <w:szCs w:val="18"/>
              </w:rPr>
              <w:t>未检出</w:t>
            </w:r>
          </w:p>
        </w:tc>
        <w:tc>
          <w:tcPr>
            <w:tcW w:w="1177" w:type="dxa"/>
            <w:vAlign w:val="top"/>
          </w:tcPr>
          <w:p w14:paraId="5E912C8C">
            <w:pPr>
              <w:pStyle w:val="6"/>
              <w:spacing w:before="55" w:line="219" w:lineRule="auto"/>
              <w:ind w:left="327"/>
              <w:rPr>
                <w:sz w:val="18"/>
                <w:szCs w:val="18"/>
              </w:rPr>
            </w:pPr>
            <w:r>
              <w:rPr>
                <w:spacing w:val="-4"/>
                <w:sz w:val="18"/>
                <w:szCs w:val="18"/>
              </w:rPr>
              <w:t>未检出</w:t>
            </w:r>
          </w:p>
        </w:tc>
        <w:tc>
          <w:tcPr>
            <w:tcW w:w="995" w:type="dxa"/>
            <w:vAlign w:val="top"/>
          </w:tcPr>
          <w:p w14:paraId="210EFE25">
            <w:pPr>
              <w:pStyle w:val="6"/>
              <w:spacing w:before="55" w:line="219" w:lineRule="auto"/>
              <w:ind w:left="235"/>
              <w:rPr>
                <w:sz w:val="18"/>
                <w:szCs w:val="18"/>
              </w:rPr>
            </w:pPr>
            <w:r>
              <w:rPr>
                <w:spacing w:val="-4"/>
                <w:sz w:val="18"/>
                <w:szCs w:val="18"/>
              </w:rPr>
              <w:t>未检出</w:t>
            </w:r>
          </w:p>
        </w:tc>
        <w:tc>
          <w:tcPr>
            <w:tcW w:w="1046" w:type="dxa"/>
            <w:vAlign w:val="top"/>
          </w:tcPr>
          <w:p w14:paraId="7B0B6A82">
            <w:pPr>
              <w:pStyle w:val="6"/>
              <w:spacing w:before="55" w:line="219" w:lineRule="auto"/>
              <w:ind w:left="260"/>
              <w:rPr>
                <w:sz w:val="18"/>
                <w:szCs w:val="18"/>
              </w:rPr>
            </w:pPr>
            <w:r>
              <w:rPr>
                <w:spacing w:val="-4"/>
                <w:sz w:val="18"/>
                <w:szCs w:val="18"/>
              </w:rPr>
              <w:t>未检出</w:t>
            </w:r>
          </w:p>
        </w:tc>
        <w:tc>
          <w:tcPr>
            <w:tcW w:w="1634" w:type="dxa"/>
            <w:vAlign w:val="top"/>
          </w:tcPr>
          <w:p w14:paraId="33507FB8">
            <w:pPr>
              <w:pStyle w:val="6"/>
              <w:spacing w:before="55" w:line="219" w:lineRule="auto"/>
              <w:ind w:left="555"/>
              <w:rPr>
                <w:sz w:val="18"/>
                <w:szCs w:val="18"/>
              </w:rPr>
            </w:pPr>
            <w:r>
              <w:rPr>
                <w:spacing w:val="-4"/>
                <w:sz w:val="18"/>
                <w:szCs w:val="18"/>
              </w:rPr>
              <w:t>未检出</w:t>
            </w:r>
          </w:p>
        </w:tc>
        <w:tc>
          <w:tcPr>
            <w:tcW w:w="1066" w:type="dxa"/>
            <w:tcBorders>
              <w:right w:val="nil"/>
            </w:tcBorders>
            <w:vAlign w:val="top"/>
          </w:tcPr>
          <w:p w14:paraId="47F6599D">
            <w:pPr>
              <w:spacing w:before="84" w:line="188" w:lineRule="auto"/>
              <w:ind w:left="44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r>
      <w:tr w14:paraId="517CD4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50E4F6F7">
            <w:pPr>
              <w:spacing w:before="86" w:line="188" w:lineRule="auto"/>
              <w:ind w:left="21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30</w:t>
            </w:r>
          </w:p>
        </w:tc>
        <w:tc>
          <w:tcPr>
            <w:tcW w:w="1747" w:type="dxa"/>
            <w:vAlign w:val="top"/>
          </w:tcPr>
          <w:p w14:paraId="715ADABB">
            <w:pPr>
              <w:pStyle w:val="6"/>
              <w:spacing w:before="55" w:line="219" w:lineRule="auto"/>
              <w:ind w:left="714"/>
              <w:rPr>
                <w:sz w:val="18"/>
                <w:szCs w:val="18"/>
              </w:rPr>
            </w:pPr>
            <w:r>
              <w:rPr>
                <w:spacing w:val="-13"/>
                <w:sz w:val="18"/>
                <w:szCs w:val="18"/>
              </w:rPr>
              <w:t>乙苯</w:t>
            </w:r>
          </w:p>
        </w:tc>
        <w:tc>
          <w:tcPr>
            <w:tcW w:w="766" w:type="dxa"/>
            <w:vAlign w:val="top"/>
          </w:tcPr>
          <w:p w14:paraId="0409420B">
            <w:pPr>
              <w:pStyle w:val="6"/>
              <w:spacing w:before="55" w:line="219" w:lineRule="auto"/>
              <w:ind w:left="119"/>
              <w:rPr>
                <w:sz w:val="18"/>
                <w:szCs w:val="18"/>
              </w:rPr>
            </w:pPr>
            <w:r>
              <w:rPr>
                <w:spacing w:val="-4"/>
                <w:sz w:val="18"/>
                <w:szCs w:val="18"/>
              </w:rPr>
              <w:t>未检出</w:t>
            </w:r>
          </w:p>
        </w:tc>
        <w:tc>
          <w:tcPr>
            <w:tcW w:w="1082" w:type="dxa"/>
            <w:vAlign w:val="top"/>
          </w:tcPr>
          <w:p w14:paraId="2570FA3C">
            <w:pPr>
              <w:pStyle w:val="6"/>
              <w:spacing w:before="55" w:line="219" w:lineRule="auto"/>
              <w:ind w:left="277"/>
              <w:rPr>
                <w:sz w:val="18"/>
                <w:szCs w:val="18"/>
              </w:rPr>
            </w:pPr>
            <w:r>
              <w:rPr>
                <w:spacing w:val="-4"/>
                <w:sz w:val="18"/>
                <w:szCs w:val="18"/>
              </w:rPr>
              <w:t>未检出</w:t>
            </w:r>
          </w:p>
        </w:tc>
        <w:tc>
          <w:tcPr>
            <w:tcW w:w="1045" w:type="dxa"/>
            <w:vAlign w:val="top"/>
          </w:tcPr>
          <w:p w14:paraId="36C412C6">
            <w:pPr>
              <w:pStyle w:val="6"/>
              <w:spacing w:before="55" w:line="219" w:lineRule="auto"/>
              <w:ind w:left="258"/>
              <w:rPr>
                <w:sz w:val="18"/>
                <w:szCs w:val="18"/>
              </w:rPr>
            </w:pPr>
            <w:r>
              <w:rPr>
                <w:spacing w:val="-4"/>
                <w:sz w:val="18"/>
                <w:szCs w:val="18"/>
              </w:rPr>
              <w:t>未检出</w:t>
            </w:r>
          </w:p>
        </w:tc>
        <w:tc>
          <w:tcPr>
            <w:tcW w:w="994" w:type="dxa"/>
            <w:vAlign w:val="top"/>
          </w:tcPr>
          <w:p w14:paraId="6927B389">
            <w:pPr>
              <w:pStyle w:val="6"/>
              <w:spacing w:before="55" w:line="219" w:lineRule="auto"/>
              <w:ind w:left="233"/>
              <w:rPr>
                <w:sz w:val="18"/>
                <w:szCs w:val="18"/>
              </w:rPr>
            </w:pPr>
            <w:r>
              <w:rPr>
                <w:spacing w:val="-4"/>
                <w:sz w:val="18"/>
                <w:szCs w:val="18"/>
              </w:rPr>
              <w:t>未检出</w:t>
            </w:r>
          </w:p>
        </w:tc>
        <w:tc>
          <w:tcPr>
            <w:tcW w:w="995" w:type="dxa"/>
            <w:vAlign w:val="top"/>
          </w:tcPr>
          <w:p w14:paraId="614D9760">
            <w:pPr>
              <w:pStyle w:val="6"/>
              <w:spacing w:before="55" w:line="219" w:lineRule="auto"/>
              <w:ind w:left="235"/>
              <w:rPr>
                <w:sz w:val="18"/>
                <w:szCs w:val="18"/>
              </w:rPr>
            </w:pPr>
            <w:r>
              <w:rPr>
                <w:spacing w:val="-4"/>
                <w:sz w:val="18"/>
                <w:szCs w:val="18"/>
              </w:rPr>
              <w:t>未检出</w:t>
            </w:r>
          </w:p>
        </w:tc>
        <w:tc>
          <w:tcPr>
            <w:tcW w:w="1071" w:type="dxa"/>
            <w:vAlign w:val="top"/>
          </w:tcPr>
          <w:p w14:paraId="2DCCE66D">
            <w:pPr>
              <w:pStyle w:val="6"/>
              <w:spacing w:before="55" w:line="219" w:lineRule="auto"/>
              <w:ind w:left="272"/>
              <w:rPr>
                <w:sz w:val="18"/>
                <w:szCs w:val="18"/>
              </w:rPr>
            </w:pPr>
            <w:r>
              <w:rPr>
                <w:spacing w:val="-4"/>
                <w:sz w:val="18"/>
                <w:szCs w:val="18"/>
              </w:rPr>
              <w:t>未检出</w:t>
            </w:r>
          </w:p>
        </w:tc>
        <w:tc>
          <w:tcPr>
            <w:tcW w:w="1177" w:type="dxa"/>
            <w:vAlign w:val="top"/>
          </w:tcPr>
          <w:p w14:paraId="1A27F758">
            <w:pPr>
              <w:pStyle w:val="6"/>
              <w:spacing w:before="55" w:line="219" w:lineRule="auto"/>
              <w:ind w:left="327"/>
              <w:rPr>
                <w:sz w:val="18"/>
                <w:szCs w:val="18"/>
              </w:rPr>
            </w:pPr>
            <w:r>
              <w:rPr>
                <w:spacing w:val="-4"/>
                <w:sz w:val="18"/>
                <w:szCs w:val="18"/>
              </w:rPr>
              <w:t>未检出</w:t>
            </w:r>
          </w:p>
        </w:tc>
        <w:tc>
          <w:tcPr>
            <w:tcW w:w="995" w:type="dxa"/>
            <w:vAlign w:val="top"/>
          </w:tcPr>
          <w:p w14:paraId="3484E146">
            <w:pPr>
              <w:pStyle w:val="6"/>
              <w:spacing w:before="55" w:line="219" w:lineRule="auto"/>
              <w:ind w:left="235"/>
              <w:rPr>
                <w:sz w:val="18"/>
                <w:szCs w:val="18"/>
              </w:rPr>
            </w:pPr>
            <w:r>
              <w:rPr>
                <w:spacing w:val="-4"/>
                <w:sz w:val="18"/>
                <w:szCs w:val="18"/>
              </w:rPr>
              <w:t>未检出</w:t>
            </w:r>
          </w:p>
        </w:tc>
        <w:tc>
          <w:tcPr>
            <w:tcW w:w="1046" w:type="dxa"/>
            <w:vAlign w:val="top"/>
          </w:tcPr>
          <w:p w14:paraId="32D53298">
            <w:pPr>
              <w:pStyle w:val="6"/>
              <w:spacing w:before="55" w:line="219" w:lineRule="auto"/>
              <w:ind w:left="260"/>
              <w:rPr>
                <w:sz w:val="18"/>
                <w:szCs w:val="18"/>
              </w:rPr>
            </w:pPr>
            <w:r>
              <w:rPr>
                <w:spacing w:val="-4"/>
                <w:sz w:val="18"/>
                <w:szCs w:val="18"/>
              </w:rPr>
              <w:t>未检出</w:t>
            </w:r>
          </w:p>
        </w:tc>
        <w:tc>
          <w:tcPr>
            <w:tcW w:w="1634" w:type="dxa"/>
            <w:vAlign w:val="top"/>
          </w:tcPr>
          <w:p w14:paraId="16DD7713">
            <w:pPr>
              <w:pStyle w:val="6"/>
              <w:spacing w:before="55" w:line="219" w:lineRule="auto"/>
              <w:ind w:left="555"/>
              <w:rPr>
                <w:sz w:val="18"/>
                <w:szCs w:val="18"/>
              </w:rPr>
            </w:pPr>
            <w:r>
              <w:rPr>
                <w:spacing w:val="-4"/>
                <w:sz w:val="18"/>
                <w:szCs w:val="18"/>
              </w:rPr>
              <w:t>未检出</w:t>
            </w:r>
          </w:p>
        </w:tc>
        <w:tc>
          <w:tcPr>
            <w:tcW w:w="1066" w:type="dxa"/>
            <w:tcBorders>
              <w:right w:val="nil"/>
            </w:tcBorders>
            <w:vAlign w:val="top"/>
          </w:tcPr>
          <w:p w14:paraId="6C48EC33">
            <w:pPr>
              <w:spacing w:before="86" w:line="188" w:lineRule="auto"/>
              <w:ind w:left="44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28</w:t>
            </w:r>
          </w:p>
        </w:tc>
      </w:tr>
      <w:tr w14:paraId="33F64A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1086A518">
            <w:pPr>
              <w:spacing w:before="85" w:line="188" w:lineRule="auto"/>
              <w:ind w:left="21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31</w:t>
            </w:r>
          </w:p>
        </w:tc>
        <w:tc>
          <w:tcPr>
            <w:tcW w:w="1747" w:type="dxa"/>
            <w:vAlign w:val="top"/>
          </w:tcPr>
          <w:p w14:paraId="646EDBC1">
            <w:pPr>
              <w:pStyle w:val="6"/>
              <w:spacing w:before="56" w:line="219" w:lineRule="auto"/>
              <w:ind w:left="610"/>
              <w:rPr>
                <w:sz w:val="18"/>
                <w:szCs w:val="18"/>
              </w:rPr>
            </w:pPr>
            <w:r>
              <w:rPr>
                <w:spacing w:val="-4"/>
                <w:sz w:val="18"/>
                <w:szCs w:val="18"/>
              </w:rPr>
              <w:t>苯乙烯</w:t>
            </w:r>
          </w:p>
        </w:tc>
        <w:tc>
          <w:tcPr>
            <w:tcW w:w="766" w:type="dxa"/>
            <w:vAlign w:val="top"/>
          </w:tcPr>
          <w:p w14:paraId="06CE90BB">
            <w:pPr>
              <w:pStyle w:val="6"/>
              <w:spacing w:before="56" w:line="219" w:lineRule="auto"/>
              <w:ind w:left="119"/>
              <w:rPr>
                <w:sz w:val="18"/>
                <w:szCs w:val="18"/>
              </w:rPr>
            </w:pPr>
            <w:r>
              <w:rPr>
                <w:spacing w:val="-4"/>
                <w:sz w:val="18"/>
                <w:szCs w:val="18"/>
              </w:rPr>
              <w:t>未检出</w:t>
            </w:r>
          </w:p>
        </w:tc>
        <w:tc>
          <w:tcPr>
            <w:tcW w:w="1082" w:type="dxa"/>
            <w:vAlign w:val="top"/>
          </w:tcPr>
          <w:p w14:paraId="5B4E3EE7">
            <w:pPr>
              <w:pStyle w:val="6"/>
              <w:spacing w:before="56" w:line="219" w:lineRule="auto"/>
              <w:ind w:left="277"/>
              <w:rPr>
                <w:sz w:val="18"/>
                <w:szCs w:val="18"/>
              </w:rPr>
            </w:pPr>
            <w:r>
              <w:rPr>
                <w:spacing w:val="-4"/>
                <w:sz w:val="18"/>
                <w:szCs w:val="18"/>
              </w:rPr>
              <w:t>未检出</w:t>
            </w:r>
          </w:p>
        </w:tc>
        <w:tc>
          <w:tcPr>
            <w:tcW w:w="1045" w:type="dxa"/>
            <w:vAlign w:val="top"/>
          </w:tcPr>
          <w:p w14:paraId="328A0A93">
            <w:pPr>
              <w:pStyle w:val="6"/>
              <w:spacing w:before="56" w:line="219" w:lineRule="auto"/>
              <w:ind w:left="258"/>
              <w:rPr>
                <w:sz w:val="18"/>
                <w:szCs w:val="18"/>
              </w:rPr>
            </w:pPr>
            <w:r>
              <w:rPr>
                <w:spacing w:val="-4"/>
                <w:sz w:val="18"/>
                <w:szCs w:val="18"/>
              </w:rPr>
              <w:t>未检出</w:t>
            </w:r>
          </w:p>
        </w:tc>
        <w:tc>
          <w:tcPr>
            <w:tcW w:w="994" w:type="dxa"/>
            <w:vAlign w:val="top"/>
          </w:tcPr>
          <w:p w14:paraId="159CCFCF">
            <w:pPr>
              <w:pStyle w:val="6"/>
              <w:spacing w:before="56" w:line="219" w:lineRule="auto"/>
              <w:ind w:left="233"/>
              <w:rPr>
                <w:sz w:val="18"/>
                <w:szCs w:val="18"/>
              </w:rPr>
            </w:pPr>
            <w:r>
              <w:rPr>
                <w:spacing w:val="-4"/>
                <w:sz w:val="18"/>
                <w:szCs w:val="18"/>
              </w:rPr>
              <w:t>未检出</w:t>
            </w:r>
          </w:p>
        </w:tc>
        <w:tc>
          <w:tcPr>
            <w:tcW w:w="995" w:type="dxa"/>
            <w:vAlign w:val="top"/>
          </w:tcPr>
          <w:p w14:paraId="63563BB8">
            <w:pPr>
              <w:pStyle w:val="6"/>
              <w:spacing w:before="56" w:line="219" w:lineRule="auto"/>
              <w:ind w:left="235"/>
              <w:rPr>
                <w:sz w:val="18"/>
                <w:szCs w:val="18"/>
              </w:rPr>
            </w:pPr>
            <w:r>
              <w:rPr>
                <w:spacing w:val="-4"/>
                <w:sz w:val="18"/>
                <w:szCs w:val="18"/>
              </w:rPr>
              <w:t>未检出</w:t>
            </w:r>
          </w:p>
        </w:tc>
        <w:tc>
          <w:tcPr>
            <w:tcW w:w="1071" w:type="dxa"/>
            <w:vAlign w:val="top"/>
          </w:tcPr>
          <w:p w14:paraId="360F2CA0">
            <w:pPr>
              <w:pStyle w:val="6"/>
              <w:spacing w:before="56" w:line="219" w:lineRule="auto"/>
              <w:ind w:left="272"/>
              <w:rPr>
                <w:sz w:val="18"/>
                <w:szCs w:val="18"/>
              </w:rPr>
            </w:pPr>
            <w:r>
              <w:rPr>
                <w:spacing w:val="-4"/>
                <w:sz w:val="18"/>
                <w:szCs w:val="18"/>
              </w:rPr>
              <w:t>未检出</w:t>
            </w:r>
          </w:p>
        </w:tc>
        <w:tc>
          <w:tcPr>
            <w:tcW w:w="1177" w:type="dxa"/>
            <w:vAlign w:val="top"/>
          </w:tcPr>
          <w:p w14:paraId="56F7B7CC">
            <w:pPr>
              <w:pStyle w:val="6"/>
              <w:spacing w:before="56" w:line="219" w:lineRule="auto"/>
              <w:ind w:left="327"/>
              <w:rPr>
                <w:sz w:val="18"/>
                <w:szCs w:val="18"/>
              </w:rPr>
            </w:pPr>
            <w:r>
              <w:rPr>
                <w:spacing w:val="-4"/>
                <w:sz w:val="18"/>
                <w:szCs w:val="18"/>
              </w:rPr>
              <w:t>未检出</w:t>
            </w:r>
          </w:p>
        </w:tc>
        <w:tc>
          <w:tcPr>
            <w:tcW w:w="995" w:type="dxa"/>
            <w:vAlign w:val="top"/>
          </w:tcPr>
          <w:p w14:paraId="2112FC92">
            <w:pPr>
              <w:pStyle w:val="6"/>
              <w:spacing w:before="56" w:line="219" w:lineRule="auto"/>
              <w:ind w:left="235"/>
              <w:rPr>
                <w:sz w:val="18"/>
                <w:szCs w:val="18"/>
              </w:rPr>
            </w:pPr>
            <w:r>
              <w:rPr>
                <w:spacing w:val="-4"/>
                <w:sz w:val="18"/>
                <w:szCs w:val="18"/>
              </w:rPr>
              <w:t>未检出</w:t>
            </w:r>
          </w:p>
        </w:tc>
        <w:tc>
          <w:tcPr>
            <w:tcW w:w="1046" w:type="dxa"/>
            <w:vAlign w:val="top"/>
          </w:tcPr>
          <w:p w14:paraId="07B8B918">
            <w:pPr>
              <w:pStyle w:val="6"/>
              <w:spacing w:before="56" w:line="219" w:lineRule="auto"/>
              <w:ind w:left="260"/>
              <w:rPr>
                <w:sz w:val="18"/>
                <w:szCs w:val="18"/>
              </w:rPr>
            </w:pPr>
            <w:r>
              <w:rPr>
                <w:spacing w:val="-4"/>
                <w:sz w:val="18"/>
                <w:szCs w:val="18"/>
              </w:rPr>
              <w:t>未检出</w:t>
            </w:r>
          </w:p>
        </w:tc>
        <w:tc>
          <w:tcPr>
            <w:tcW w:w="1634" w:type="dxa"/>
            <w:vAlign w:val="top"/>
          </w:tcPr>
          <w:p w14:paraId="3984CEDC">
            <w:pPr>
              <w:pStyle w:val="6"/>
              <w:spacing w:before="56" w:line="219" w:lineRule="auto"/>
              <w:ind w:left="555"/>
              <w:rPr>
                <w:sz w:val="18"/>
                <w:szCs w:val="18"/>
              </w:rPr>
            </w:pPr>
            <w:r>
              <w:rPr>
                <w:spacing w:val="-4"/>
                <w:sz w:val="18"/>
                <w:szCs w:val="18"/>
              </w:rPr>
              <w:t>未检出</w:t>
            </w:r>
          </w:p>
        </w:tc>
        <w:tc>
          <w:tcPr>
            <w:tcW w:w="1066" w:type="dxa"/>
            <w:tcBorders>
              <w:right w:val="nil"/>
            </w:tcBorders>
            <w:vAlign w:val="top"/>
          </w:tcPr>
          <w:p w14:paraId="47094952">
            <w:pPr>
              <w:spacing w:before="85" w:line="188" w:lineRule="auto"/>
              <w:ind w:left="372"/>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1290</w:t>
            </w:r>
          </w:p>
        </w:tc>
      </w:tr>
      <w:tr w14:paraId="57F580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 w:hRule="atLeast"/>
        </w:trPr>
        <w:tc>
          <w:tcPr>
            <w:tcW w:w="590" w:type="dxa"/>
            <w:tcBorders>
              <w:left w:val="nil"/>
            </w:tcBorders>
            <w:vAlign w:val="top"/>
          </w:tcPr>
          <w:p w14:paraId="7F80FA3E">
            <w:pPr>
              <w:spacing w:before="86" w:line="188" w:lineRule="auto"/>
              <w:ind w:left="21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32</w:t>
            </w:r>
          </w:p>
        </w:tc>
        <w:tc>
          <w:tcPr>
            <w:tcW w:w="1747" w:type="dxa"/>
            <w:vAlign w:val="top"/>
          </w:tcPr>
          <w:p w14:paraId="1FDFB425">
            <w:pPr>
              <w:pStyle w:val="6"/>
              <w:spacing w:before="55" w:line="219" w:lineRule="auto"/>
              <w:ind w:left="720"/>
              <w:rPr>
                <w:sz w:val="18"/>
                <w:szCs w:val="18"/>
              </w:rPr>
            </w:pPr>
            <w:r>
              <w:rPr>
                <w:spacing w:val="-16"/>
                <w:sz w:val="18"/>
                <w:szCs w:val="18"/>
              </w:rPr>
              <w:t>甲苯</w:t>
            </w:r>
          </w:p>
        </w:tc>
        <w:tc>
          <w:tcPr>
            <w:tcW w:w="766" w:type="dxa"/>
            <w:vAlign w:val="top"/>
          </w:tcPr>
          <w:p w14:paraId="7DE6EE8A">
            <w:pPr>
              <w:pStyle w:val="6"/>
              <w:spacing w:before="55" w:line="219" w:lineRule="auto"/>
              <w:ind w:left="119"/>
              <w:rPr>
                <w:sz w:val="18"/>
                <w:szCs w:val="18"/>
              </w:rPr>
            </w:pPr>
            <w:r>
              <w:rPr>
                <w:spacing w:val="-4"/>
                <w:sz w:val="18"/>
                <w:szCs w:val="18"/>
              </w:rPr>
              <w:t>未检出</w:t>
            </w:r>
          </w:p>
        </w:tc>
        <w:tc>
          <w:tcPr>
            <w:tcW w:w="1082" w:type="dxa"/>
            <w:vAlign w:val="top"/>
          </w:tcPr>
          <w:p w14:paraId="746CA717">
            <w:pPr>
              <w:pStyle w:val="6"/>
              <w:spacing w:before="55" w:line="219" w:lineRule="auto"/>
              <w:ind w:left="277"/>
              <w:rPr>
                <w:sz w:val="18"/>
                <w:szCs w:val="18"/>
              </w:rPr>
            </w:pPr>
            <w:r>
              <w:rPr>
                <w:spacing w:val="-4"/>
                <w:sz w:val="18"/>
                <w:szCs w:val="18"/>
              </w:rPr>
              <w:t>未检出</w:t>
            </w:r>
          </w:p>
        </w:tc>
        <w:tc>
          <w:tcPr>
            <w:tcW w:w="1045" w:type="dxa"/>
            <w:vAlign w:val="top"/>
          </w:tcPr>
          <w:p w14:paraId="74CCE412">
            <w:pPr>
              <w:pStyle w:val="6"/>
              <w:spacing w:before="55" w:line="219" w:lineRule="auto"/>
              <w:ind w:left="258"/>
              <w:rPr>
                <w:sz w:val="18"/>
                <w:szCs w:val="18"/>
              </w:rPr>
            </w:pPr>
            <w:r>
              <w:rPr>
                <w:spacing w:val="-4"/>
                <w:sz w:val="18"/>
                <w:szCs w:val="18"/>
              </w:rPr>
              <w:t>未检出</w:t>
            </w:r>
          </w:p>
        </w:tc>
        <w:tc>
          <w:tcPr>
            <w:tcW w:w="994" w:type="dxa"/>
            <w:vAlign w:val="top"/>
          </w:tcPr>
          <w:p w14:paraId="4C100FEB">
            <w:pPr>
              <w:pStyle w:val="6"/>
              <w:spacing w:before="55" w:line="219" w:lineRule="auto"/>
              <w:ind w:left="233"/>
              <w:rPr>
                <w:sz w:val="18"/>
                <w:szCs w:val="18"/>
              </w:rPr>
            </w:pPr>
            <w:r>
              <w:rPr>
                <w:spacing w:val="-4"/>
                <w:sz w:val="18"/>
                <w:szCs w:val="18"/>
              </w:rPr>
              <w:t>未检出</w:t>
            </w:r>
          </w:p>
        </w:tc>
        <w:tc>
          <w:tcPr>
            <w:tcW w:w="995" w:type="dxa"/>
            <w:vAlign w:val="top"/>
          </w:tcPr>
          <w:p w14:paraId="6088C6C8">
            <w:pPr>
              <w:pStyle w:val="6"/>
              <w:spacing w:before="55" w:line="219" w:lineRule="auto"/>
              <w:ind w:left="235"/>
              <w:rPr>
                <w:sz w:val="18"/>
                <w:szCs w:val="18"/>
              </w:rPr>
            </w:pPr>
            <w:r>
              <w:rPr>
                <w:spacing w:val="-4"/>
                <w:sz w:val="18"/>
                <w:szCs w:val="18"/>
              </w:rPr>
              <w:t>未检出</w:t>
            </w:r>
          </w:p>
        </w:tc>
        <w:tc>
          <w:tcPr>
            <w:tcW w:w="1071" w:type="dxa"/>
            <w:vAlign w:val="top"/>
          </w:tcPr>
          <w:p w14:paraId="56319773">
            <w:pPr>
              <w:pStyle w:val="6"/>
              <w:spacing w:before="55" w:line="219" w:lineRule="auto"/>
              <w:ind w:left="272"/>
              <w:rPr>
                <w:sz w:val="18"/>
                <w:szCs w:val="18"/>
              </w:rPr>
            </w:pPr>
            <w:r>
              <w:rPr>
                <w:spacing w:val="-4"/>
                <w:sz w:val="18"/>
                <w:szCs w:val="18"/>
              </w:rPr>
              <w:t>未检出</w:t>
            </w:r>
          </w:p>
        </w:tc>
        <w:tc>
          <w:tcPr>
            <w:tcW w:w="1177" w:type="dxa"/>
            <w:vAlign w:val="top"/>
          </w:tcPr>
          <w:p w14:paraId="69DDC4B1">
            <w:pPr>
              <w:pStyle w:val="6"/>
              <w:spacing w:before="55" w:line="219" w:lineRule="auto"/>
              <w:ind w:left="327"/>
              <w:rPr>
                <w:sz w:val="18"/>
                <w:szCs w:val="18"/>
              </w:rPr>
            </w:pPr>
            <w:r>
              <w:rPr>
                <w:spacing w:val="-4"/>
                <w:sz w:val="18"/>
                <w:szCs w:val="18"/>
              </w:rPr>
              <w:t>未检出</w:t>
            </w:r>
          </w:p>
        </w:tc>
        <w:tc>
          <w:tcPr>
            <w:tcW w:w="995" w:type="dxa"/>
            <w:vAlign w:val="top"/>
          </w:tcPr>
          <w:p w14:paraId="306D3A40">
            <w:pPr>
              <w:pStyle w:val="6"/>
              <w:spacing w:before="55" w:line="219" w:lineRule="auto"/>
              <w:ind w:left="235"/>
              <w:rPr>
                <w:sz w:val="18"/>
                <w:szCs w:val="18"/>
              </w:rPr>
            </w:pPr>
            <w:r>
              <w:rPr>
                <w:spacing w:val="-4"/>
                <w:sz w:val="18"/>
                <w:szCs w:val="18"/>
              </w:rPr>
              <w:t>未检出</w:t>
            </w:r>
          </w:p>
        </w:tc>
        <w:tc>
          <w:tcPr>
            <w:tcW w:w="1046" w:type="dxa"/>
            <w:vAlign w:val="top"/>
          </w:tcPr>
          <w:p w14:paraId="0DE47979">
            <w:pPr>
              <w:pStyle w:val="6"/>
              <w:spacing w:before="55" w:line="219" w:lineRule="auto"/>
              <w:ind w:left="260"/>
              <w:rPr>
                <w:sz w:val="18"/>
                <w:szCs w:val="18"/>
              </w:rPr>
            </w:pPr>
            <w:r>
              <w:rPr>
                <w:spacing w:val="-4"/>
                <w:sz w:val="18"/>
                <w:szCs w:val="18"/>
              </w:rPr>
              <w:t>未检出</w:t>
            </w:r>
          </w:p>
        </w:tc>
        <w:tc>
          <w:tcPr>
            <w:tcW w:w="1634" w:type="dxa"/>
            <w:vAlign w:val="top"/>
          </w:tcPr>
          <w:p w14:paraId="4AF3563B">
            <w:pPr>
              <w:pStyle w:val="6"/>
              <w:spacing w:before="55" w:line="219" w:lineRule="auto"/>
              <w:ind w:left="555"/>
              <w:rPr>
                <w:sz w:val="18"/>
                <w:szCs w:val="18"/>
              </w:rPr>
            </w:pPr>
            <w:r>
              <w:rPr>
                <w:spacing w:val="-4"/>
                <w:sz w:val="18"/>
                <w:szCs w:val="18"/>
              </w:rPr>
              <w:t>未检出</w:t>
            </w:r>
          </w:p>
        </w:tc>
        <w:tc>
          <w:tcPr>
            <w:tcW w:w="1066" w:type="dxa"/>
            <w:tcBorders>
              <w:right w:val="nil"/>
            </w:tcBorders>
            <w:vAlign w:val="top"/>
          </w:tcPr>
          <w:p w14:paraId="6C8CF75A">
            <w:pPr>
              <w:spacing w:before="86" w:line="188" w:lineRule="auto"/>
              <w:ind w:left="372"/>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1200</w:t>
            </w:r>
          </w:p>
        </w:tc>
      </w:tr>
      <w:tr w14:paraId="24294D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590" w:type="dxa"/>
            <w:tcBorders>
              <w:left w:val="nil"/>
            </w:tcBorders>
            <w:vAlign w:val="top"/>
          </w:tcPr>
          <w:p w14:paraId="1A6BDF77">
            <w:pPr>
              <w:spacing w:before="176" w:line="188" w:lineRule="auto"/>
              <w:ind w:left="21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33</w:t>
            </w:r>
          </w:p>
        </w:tc>
        <w:tc>
          <w:tcPr>
            <w:tcW w:w="1747" w:type="dxa"/>
            <w:vAlign w:val="top"/>
          </w:tcPr>
          <w:p w14:paraId="573C4DE0">
            <w:pPr>
              <w:pStyle w:val="6"/>
              <w:spacing w:before="30" w:line="221" w:lineRule="auto"/>
              <w:ind w:left="789" w:right="192" w:hanging="580"/>
              <w:rPr>
                <w:sz w:val="18"/>
                <w:szCs w:val="18"/>
              </w:rPr>
            </w:pPr>
            <w:r>
              <w:rPr>
                <w:spacing w:val="-3"/>
                <w:sz w:val="18"/>
                <w:szCs w:val="18"/>
              </w:rPr>
              <w:t>间二甲苯</w:t>
            </w:r>
            <w:r>
              <w:rPr>
                <w:rFonts w:ascii="Times New Roman" w:hAnsi="Times New Roman" w:eastAsia="Times New Roman" w:cs="Times New Roman"/>
                <w:spacing w:val="-3"/>
                <w:sz w:val="18"/>
                <w:szCs w:val="18"/>
              </w:rPr>
              <w:t>+</w:t>
            </w:r>
            <w:r>
              <w:rPr>
                <w:spacing w:val="-3"/>
                <w:sz w:val="18"/>
                <w:szCs w:val="18"/>
              </w:rPr>
              <w:t>对二甲</w:t>
            </w:r>
            <w:r>
              <w:rPr>
                <w:spacing w:val="1"/>
                <w:sz w:val="18"/>
                <w:szCs w:val="18"/>
              </w:rPr>
              <w:t xml:space="preserve"> </w:t>
            </w:r>
            <w:r>
              <w:rPr>
                <w:sz w:val="18"/>
                <w:szCs w:val="18"/>
              </w:rPr>
              <w:t>苯</w:t>
            </w:r>
          </w:p>
        </w:tc>
        <w:tc>
          <w:tcPr>
            <w:tcW w:w="766" w:type="dxa"/>
            <w:vAlign w:val="top"/>
          </w:tcPr>
          <w:p w14:paraId="2935199A">
            <w:pPr>
              <w:pStyle w:val="6"/>
              <w:spacing w:before="148" w:line="219" w:lineRule="auto"/>
              <w:ind w:left="119"/>
              <w:rPr>
                <w:sz w:val="18"/>
                <w:szCs w:val="18"/>
              </w:rPr>
            </w:pPr>
            <w:r>
              <w:rPr>
                <w:spacing w:val="-4"/>
                <w:sz w:val="18"/>
                <w:szCs w:val="18"/>
              </w:rPr>
              <w:t>未检出</w:t>
            </w:r>
          </w:p>
        </w:tc>
        <w:tc>
          <w:tcPr>
            <w:tcW w:w="1082" w:type="dxa"/>
            <w:vAlign w:val="top"/>
          </w:tcPr>
          <w:p w14:paraId="63CEE759">
            <w:pPr>
              <w:pStyle w:val="6"/>
              <w:spacing w:before="148" w:line="219" w:lineRule="auto"/>
              <w:ind w:left="277"/>
              <w:rPr>
                <w:sz w:val="18"/>
                <w:szCs w:val="18"/>
              </w:rPr>
            </w:pPr>
            <w:r>
              <w:rPr>
                <w:spacing w:val="-4"/>
                <w:sz w:val="18"/>
                <w:szCs w:val="18"/>
              </w:rPr>
              <w:t>未检出</w:t>
            </w:r>
          </w:p>
        </w:tc>
        <w:tc>
          <w:tcPr>
            <w:tcW w:w="1045" w:type="dxa"/>
            <w:vAlign w:val="top"/>
          </w:tcPr>
          <w:p w14:paraId="5A1A465F">
            <w:pPr>
              <w:pStyle w:val="6"/>
              <w:spacing w:before="148" w:line="219" w:lineRule="auto"/>
              <w:ind w:left="258"/>
              <w:rPr>
                <w:sz w:val="18"/>
                <w:szCs w:val="18"/>
              </w:rPr>
            </w:pPr>
            <w:r>
              <w:rPr>
                <w:spacing w:val="-4"/>
                <w:sz w:val="18"/>
                <w:szCs w:val="18"/>
              </w:rPr>
              <w:t>未检出</w:t>
            </w:r>
          </w:p>
        </w:tc>
        <w:tc>
          <w:tcPr>
            <w:tcW w:w="994" w:type="dxa"/>
            <w:vAlign w:val="top"/>
          </w:tcPr>
          <w:p w14:paraId="16CDC581">
            <w:pPr>
              <w:pStyle w:val="6"/>
              <w:spacing w:before="148" w:line="219" w:lineRule="auto"/>
              <w:ind w:left="233"/>
              <w:rPr>
                <w:sz w:val="18"/>
                <w:szCs w:val="18"/>
              </w:rPr>
            </w:pPr>
            <w:r>
              <w:rPr>
                <w:spacing w:val="-4"/>
                <w:sz w:val="18"/>
                <w:szCs w:val="18"/>
              </w:rPr>
              <w:t>未检出</w:t>
            </w:r>
          </w:p>
        </w:tc>
        <w:tc>
          <w:tcPr>
            <w:tcW w:w="995" w:type="dxa"/>
            <w:vAlign w:val="top"/>
          </w:tcPr>
          <w:p w14:paraId="0D43877C">
            <w:pPr>
              <w:pStyle w:val="6"/>
              <w:spacing w:before="148" w:line="219" w:lineRule="auto"/>
              <w:ind w:left="235"/>
              <w:rPr>
                <w:sz w:val="18"/>
                <w:szCs w:val="18"/>
              </w:rPr>
            </w:pPr>
            <w:r>
              <w:rPr>
                <w:spacing w:val="-4"/>
                <w:sz w:val="18"/>
                <w:szCs w:val="18"/>
              </w:rPr>
              <w:t>未检出</w:t>
            </w:r>
          </w:p>
        </w:tc>
        <w:tc>
          <w:tcPr>
            <w:tcW w:w="1071" w:type="dxa"/>
            <w:vAlign w:val="top"/>
          </w:tcPr>
          <w:p w14:paraId="590A900C">
            <w:pPr>
              <w:pStyle w:val="6"/>
              <w:spacing w:before="148" w:line="219" w:lineRule="auto"/>
              <w:ind w:left="272"/>
              <w:rPr>
                <w:sz w:val="18"/>
                <w:szCs w:val="18"/>
              </w:rPr>
            </w:pPr>
            <w:r>
              <w:rPr>
                <w:spacing w:val="-4"/>
                <w:sz w:val="18"/>
                <w:szCs w:val="18"/>
              </w:rPr>
              <w:t>未检出</w:t>
            </w:r>
          </w:p>
        </w:tc>
        <w:tc>
          <w:tcPr>
            <w:tcW w:w="1177" w:type="dxa"/>
            <w:vAlign w:val="top"/>
          </w:tcPr>
          <w:p w14:paraId="18FAC959">
            <w:pPr>
              <w:pStyle w:val="6"/>
              <w:spacing w:before="148" w:line="219" w:lineRule="auto"/>
              <w:ind w:left="327"/>
              <w:rPr>
                <w:sz w:val="18"/>
                <w:szCs w:val="18"/>
              </w:rPr>
            </w:pPr>
            <w:r>
              <w:rPr>
                <w:spacing w:val="-4"/>
                <w:sz w:val="18"/>
                <w:szCs w:val="18"/>
              </w:rPr>
              <w:t>未检出</w:t>
            </w:r>
          </w:p>
        </w:tc>
        <w:tc>
          <w:tcPr>
            <w:tcW w:w="995" w:type="dxa"/>
            <w:vAlign w:val="top"/>
          </w:tcPr>
          <w:p w14:paraId="3081A6B8">
            <w:pPr>
              <w:pStyle w:val="6"/>
              <w:spacing w:before="148" w:line="219" w:lineRule="auto"/>
              <w:ind w:left="235"/>
              <w:rPr>
                <w:sz w:val="18"/>
                <w:szCs w:val="18"/>
              </w:rPr>
            </w:pPr>
            <w:r>
              <w:rPr>
                <w:spacing w:val="-4"/>
                <w:sz w:val="18"/>
                <w:szCs w:val="18"/>
              </w:rPr>
              <w:t>未检出</w:t>
            </w:r>
          </w:p>
        </w:tc>
        <w:tc>
          <w:tcPr>
            <w:tcW w:w="1046" w:type="dxa"/>
            <w:vAlign w:val="top"/>
          </w:tcPr>
          <w:p w14:paraId="6BDFDD2E">
            <w:pPr>
              <w:pStyle w:val="6"/>
              <w:spacing w:before="148" w:line="219" w:lineRule="auto"/>
              <w:ind w:left="260"/>
              <w:rPr>
                <w:sz w:val="18"/>
                <w:szCs w:val="18"/>
              </w:rPr>
            </w:pPr>
            <w:r>
              <w:rPr>
                <w:spacing w:val="-4"/>
                <w:sz w:val="18"/>
                <w:szCs w:val="18"/>
              </w:rPr>
              <w:t>未检出</w:t>
            </w:r>
          </w:p>
        </w:tc>
        <w:tc>
          <w:tcPr>
            <w:tcW w:w="1634" w:type="dxa"/>
            <w:vAlign w:val="top"/>
          </w:tcPr>
          <w:p w14:paraId="330174EC">
            <w:pPr>
              <w:pStyle w:val="6"/>
              <w:spacing w:before="148" w:line="219" w:lineRule="auto"/>
              <w:ind w:left="555"/>
              <w:rPr>
                <w:sz w:val="18"/>
                <w:szCs w:val="18"/>
              </w:rPr>
            </w:pPr>
            <w:r>
              <w:rPr>
                <w:spacing w:val="-4"/>
                <w:sz w:val="18"/>
                <w:szCs w:val="18"/>
              </w:rPr>
              <w:t>未检出</w:t>
            </w:r>
          </w:p>
        </w:tc>
        <w:tc>
          <w:tcPr>
            <w:tcW w:w="1066" w:type="dxa"/>
            <w:tcBorders>
              <w:right w:val="nil"/>
            </w:tcBorders>
            <w:vAlign w:val="top"/>
          </w:tcPr>
          <w:p w14:paraId="113204D3">
            <w:pPr>
              <w:spacing w:before="176" w:line="188" w:lineRule="auto"/>
              <w:ind w:left="406"/>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570</w:t>
            </w:r>
          </w:p>
        </w:tc>
      </w:tr>
      <w:tr w14:paraId="640667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3" w:hRule="atLeast"/>
        </w:trPr>
        <w:tc>
          <w:tcPr>
            <w:tcW w:w="590" w:type="dxa"/>
            <w:tcBorders>
              <w:left w:val="nil"/>
            </w:tcBorders>
            <w:vAlign w:val="top"/>
          </w:tcPr>
          <w:p w14:paraId="6CA1BF72">
            <w:pPr>
              <w:spacing w:before="87" w:line="188" w:lineRule="auto"/>
              <w:ind w:left="21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34</w:t>
            </w:r>
          </w:p>
        </w:tc>
        <w:tc>
          <w:tcPr>
            <w:tcW w:w="1747" w:type="dxa"/>
            <w:vAlign w:val="top"/>
          </w:tcPr>
          <w:p w14:paraId="68E5C95A">
            <w:pPr>
              <w:pStyle w:val="6"/>
              <w:spacing w:before="55" w:line="219" w:lineRule="auto"/>
              <w:ind w:left="516"/>
              <w:rPr>
                <w:sz w:val="18"/>
                <w:szCs w:val="18"/>
              </w:rPr>
            </w:pPr>
            <w:r>
              <w:rPr>
                <w:spacing w:val="-2"/>
                <w:sz w:val="18"/>
                <w:szCs w:val="18"/>
              </w:rPr>
              <w:t>邻二甲苯</w:t>
            </w:r>
          </w:p>
        </w:tc>
        <w:tc>
          <w:tcPr>
            <w:tcW w:w="766" w:type="dxa"/>
            <w:vAlign w:val="top"/>
          </w:tcPr>
          <w:p w14:paraId="5E7A07DB">
            <w:pPr>
              <w:pStyle w:val="6"/>
              <w:spacing w:before="56" w:line="219" w:lineRule="auto"/>
              <w:ind w:left="119"/>
              <w:rPr>
                <w:sz w:val="18"/>
                <w:szCs w:val="18"/>
              </w:rPr>
            </w:pPr>
            <w:r>
              <w:rPr>
                <w:spacing w:val="-4"/>
                <w:sz w:val="18"/>
                <w:szCs w:val="18"/>
              </w:rPr>
              <w:t>未检出</w:t>
            </w:r>
          </w:p>
        </w:tc>
        <w:tc>
          <w:tcPr>
            <w:tcW w:w="1082" w:type="dxa"/>
            <w:vAlign w:val="top"/>
          </w:tcPr>
          <w:p w14:paraId="37165132">
            <w:pPr>
              <w:pStyle w:val="6"/>
              <w:spacing w:before="56" w:line="219" w:lineRule="auto"/>
              <w:ind w:left="277"/>
              <w:rPr>
                <w:sz w:val="18"/>
                <w:szCs w:val="18"/>
              </w:rPr>
            </w:pPr>
            <w:r>
              <w:rPr>
                <w:spacing w:val="-4"/>
                <w:sz w:val="18"/>
                <w:szCs w:val="18"/>
              </w:rPr>
              <w:t>未检出</w:t>
            </w:r>
          </w:p>
        </w:tc>
        <w:tc>
          <w:tcPr>
            <w:tcW w:w="1045" w:type="dxa"/>
            <w:vAlign w:val="top"/>
          </w:tcPr>
          <w:p w14:paraId="69EE0136">
            <w:pPr>
              <w:pStyle w:val="6"/>
              <w:spacing w:before="56" w:line="219" w:lineRule="auto"/>
              <w:ind w:left="258"/>
              <w:rPr>
                <w:sz w:val="18"/>
                <w:szCs w:val="18"/>
              </w:rPr>
            </w:pPr>
            <w:r>
              <w:rPr>
                <w:spacing w:val="-4"/>
                <w:sz w:val="18"/>
                <w:szCs w:val="18"/>
              </w:rPr>
              <w:t>未检出</w:t>
            </w:r>
          </w:p>
        </w:tc>
        <w:tc>
          <w:tcPr>
            <w:tcW w:w="994" w:type="dxa"/>
            <w:vAlign w:val="top"/>
          </w:tcPr>
          <w:p w14:paraId="7E398568">
            <w:pPr>
              <w:pStyle w:val="6"/>
              <w:spacing w:before="56" w:line="219" w:lineRule="auto"/>
              <w:ind w:left="233"/>
              <w:rPr>
                <w:sz w:val="18"/>
                <w:szCs w:val="18"/>
              </w:rPr>
            </w:pPr>
            <w:r>
              <w:rPr>
                <w:spacing w:val="-4"/>
                <w:sz w:val="18"/>
                <w:szCs w:val="18"/>
              </w:rPr>
              <w:t>未检出</w:t>
            </w:r>
          </w:p>
        </w:tc>
        <w:tc>
          <w:tcPr>
            <w:tcW w:w="995" w:type="dxa"/>
            <w:vAlign w:val="top"/>
          </w:tcPr>
          <w:p w14:paraId="0082D65D">
            <w:pPr>
              <w:pStyle w:val="6"/>
              <w:spacing w:before="56" w:line="219" w:lineRule="auto"/>
              <w:ind w:left="235"/>
              <w:rPr>
                <w:sz w:val="18"/>
                <w:szCs w:val="18"/>
              </w:rPr>
            </w:pPr>
            <w:r>
              <w:rPr>
                <w:spacing w:val="-4"/>
                <w:sz w:val="18"/>
                <w:szCs w:val="18"/>
              </w:rPr>
              <w:t>未检出</w:t>
            </w:r>
          </w:p>
        </w:tc>
        <w:tc>
          <w:tcPr>
            <w:tcW w:w="1071" w:type="dxa"/>
            <w:vAlign w:val="top"/>
          </w:tcPr>
          <w:p w14:paraId="30F7D33B">
            <w:pPr>
              <w:pStyle w:val="6"/>
              <w:spacing w:before="56" w:line="219" w:lineRule="auto"/>
              <w:ind w:left="272"/>
              <w:rPr>
                <w:sz w:val="18"/>
                <w:szCs w:val="18"/>
              </w:rPr>
            </w:pPr>
            <w:r>
              <w:rPr>
                <w:spacing w:val="-4"/>
                <w:sz w:val="18"/>
                <w:szCs w:val="18"/>
              </w:rPr>
              <w:t>未检出</w:t>
            </w:r>
          </w:p>
        </w:tc>
        <w:tc>
          <w:tcPr>
            <w:tcW w:w="1177" w:type="dxa"/>
            <w:vAlign w:val="top"/>
          </w:tcPr>
          <w:p w14:paraId="2E362931">
            <w:pPr>
              <w:pStyle w:val="6"/>
              <w:spacing w:before="56" w:line="219" w:lineRule="auto"/>
              <w:ind w:left="327"/>
              <w:rPr>
                <w:sz w:val="18"/>
                <w:szCs w:val="18"/>
              </w:rPr>
            </w:pPr>
            <w:r>
              <w:rPr>
                <w:spacing w:val="-4"/>
                <w:sz w:val="18"/>
                <w:szCs w:val="18"/>
              </w:rPr>
              <w:t>未检出</w:t>
            </w:r>
          </w:p>
        </w:tc>
        <w:tc>
          <w:tcPr>
            <w:tcW w:w="995" w:type="dxa"/>
            <w:vAlign w:val="top"/>
          </w:tcPr>
          <w:p w14:paraId="5B88E10E">
            <w:pPr>
              <w:pStyle w:val="6"/>
              <w:spacing w:before="56" w:line="219" w:lineRule="auto"/>
              <w:ind w:left="235"/>
              <w:rPr>
                <w:sz w:val="18"/>
                <w:szCs w:val="18"/>
              </w:rPr>
            </w:pPr>
            <w:r>
              <w:rPr>
                <w:spacing w:val="-4"/>
                <w:sz w:val="18"/>
                <w:szCs w:val="18"/>
              </w:rPr>
              <w:t>未检出</w:t>
            </w:r>
          </w:p>
        </w:tc>
        <w:tc>
          <w:tcPr>
            <w:tcW w:w="1046" w:type="dxa"/>
            <w:vAlign w:val="top"/>
          </w:tcPr>
          <w:p w14:paraId="6C0E6EE1">
            <w:pPr>
              <w:pStyle w:val="6"/>
              <w:spacing w:before="56" w:line="219" w:lineRule="auto"/>
              <w:ind w:left="260"/>
              <w:rPr>
                <w:sz w:val="18"/>
                <w:szCs w:val="18"/>
              </w:rPr>
            </w:pPr>
            <w:r>
              <w:rPr>
                <w:spacing w:val="-4"/>
                <w:sz w:val="18"/>
                <w:szCs w:val="18"/>
              </w:rPr>
              <w:t>未检出</w:t>
            </w:r>
          </w:p>
        </w:tc>
        <w:tc>
          <w:tcPr>
            <w:tcW w:w="1634" w:type="dxa"/>
            <w:vAlign w:val="top"/>
          </w:tcPr>
          <w:p w14:paraId="15F588CF">
            <w:pPr>
              <w:pStyle w:val="6"/>
              <w:spacing w:before="56" w:line="219" w:lineRule="auto"/>
              <w:ind w:left="555"/>
              <w:rPr>
                <w:sz w:val="18"/>
                <w:szCs w:val="18"/>
              </w:rPr>
            </w:pPr>
            <w:r>
              <w:rPr>
                <w:spacing w:val="-4"/>
                <w:sz w:val="18"/>
                <w:szCs w:val="18"/>
              </w:rPr>
              <w:t>未检出</w:t>
            </w:r>
          </w:p>
        </w:tc>
        <w:tc>
          <w:tcPr>
            <w:tcW w:w="1066" w:type="dxa"/>
            <w:tcBorders>
              <w:right w:val="nil"/>
            </w:tcBorders>
            <w:vAlign w:val="top"/>
          </w:tcPr>
          <w:p w14:paraId="7DB0E97C">
            <w:pPr>
              <w:spacing w:before="87" w:line="188" w:lineRule="auto"/>
              <w:ind w:left="405"/>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640</w:t>
            </w:r>
          </w:p>
        </w:tc>
      </w:tr>
    </w:tbl>
    <w:p w14:paraId="52368F5C">
      <w:pPr>
        <w:spacing w:before="25" w:line="219" w:lineRule="auto"/>
        <w:ind w:left="6483"/>
        <w:rPr>
          <w:rFonts w:ascii="宋体" w:hAnsi="宋体" w:eastAsia="宋体" w:cs="宋体"/>
          <w:sz w:val="18"/>
          <w:szCs w:val="18"/>
        </w:rPr>
      </w:pPr>
      <w:r>
        <w:rPr>
          <w:rFonts w:ascii="宋体" w:hAnsi="宋体" w:eastAsia="宋体" w:cs="宋体"/>
          <w:spacing w:val="-2"/>
          <w:sz w:val="18"/>
          <w:szCs w:val="18"/>
        </w:rPr>
        <w:t>半挥发性有机物</w:t>
      </w:r>
    </w:p>
    <w:p w14:paraId="05826635">
      <w:pPr>
        <w:spacing w:line="45" w:lineRule="exact"/>
      </w:pPr>
    </w:p>
    <w:tbl>
      <w:tblPr>
        <w:tblStyle w:val="5"/>
        <w:tblW w:w="1420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0"/>
        <w:gridCol w:w="1747"/>
        <w:gridCol w:w="766"/>
        <w:gridCol w:w="1082"/>
        <w:gridCol w:w="1045"/>
        <w:gridCol w:w="994"/>
        <w:gridCol w:w="995"/>
        <w:gridCol w:w="1071"/>
        <w:gridCol w:w="1177"/>
        <w:gridCol w:w="995"/>
        <w:gridCol w:w="1046"/>
        <w:gridCol w:w="1634"/>
        <w:gridCol w:w="1066"/>
      </w:tblGrid>
      <w:tr w14:paraId="2A28D6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590" w:type="dxa"/>
            <w:tcBorders>
              <w:left w:val="nil"/>
            </w:tcBorders>
            <w:vAlign w:val="top"/>
          </w:tcPr>
          <w:p w14:paraId="34D6E20A">
            <w:pPr>
              <w:spacing w:before="87" w:line="188" w:lineRule="auto"/>
              <w:ind w:left="21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1747" w:type="dxa"/>
            <w:vAlign w:val="top"/>
          </w:tcPr>
          <w:p w14:paraId="5A92CDB3">
            <w:pPr>
              <w:pStyle w:val="6"/>
              <w:spacing w:before="55" w:line="219" w:lineRule="auto"/>
              <w:ind w:left="609"/>
              <w:rPr>
                <w:sz w:val="18"/>
                <w:szCs w:val="18"/>
              </w:rPr>
            </w:pPr>
            <w:r>
              <w:rPr>
                <w:spacing w:val="-3"/>
                <w:sz w:val="18"/>
                <w:szCs w:val="18"/>
              </w:rPr>
              <w:t>硝基苯</w:t>
            </w:r>
          </w:p>
        </w:tc>
        <w:tc>
          <w:tcPr>
            <w:tcW w:w="766" w:type="dxa"/>
            <w:vAlign w:val="top"/>
          </w:tcPr>
          <w:p w14:paraId="62A47E53">
            <w:pPr>
              <w:pStyle w:val="6"/>
              <w:spacing w:before="56" w:line="219" w:lineRule="auto"/>
              <w:ind w:left="119"/>
              <w:rPr>
                <w:sz w:val="18"/>
                <w:szCs w:val="18"/>
              </w:rPr>
            </w:pPr>
            <w:r>
              <w:rPr>
                <w:spacing w:val="-4"/>
                <w:sz w:val="18"/>
                <w:szCs w:val="18"/>
              </w:rPr>
              <w:t>未检出</w:t>
            </w:r>
          </w:p>
        </w:tc>
        <w:tc>
          <w:tcPr>
            <w:tcW w:w="1082" w:type="dxa"/>
            <w:vAlign w:val="top"/>
          </w:tcPr>
          <w:p w14:paraId="1BB5061D">
            <w:pPr>
              <w:pStyle w:val="6"/>
              <w:spacing w:before="56" w:line="219" w:lineRule="auto"/>
              <w:ind w:left="277"/>
              <w:rPr>
                <w:sz w:val="18"/>
                <w:szCs w:val="18"/>
              </w:rPr>
            </w:pPr>
            <w:r>
              <w:rPr>
                <w:spacing w:val="-4"/>
                <w:sz w:val="18"/>
                <w:szCs w:val="18"/>
              </w:rPr>
              <w:t>未检出</w:t>
            </w:r>
          </w:p>
        </w:tc>
        <w:tc>
          <w:tcPr>
            <w:tcW w:w="1045" w:type="dxa"/>
            <w:vAlign w:val="top"/>
          </w:tcPr>
          <w:p w14:paraId="72A82C55">
            <w:pPr>
              <w:pStyle w:val="6"/>
              <w:spacing w:before="56" w:line="219" w:lineRule="auto"/>
              <w:ind w:left="258"/>
              <w:rPr>
                <w:sz w:val="18"/>
                <w:szCs w:val="18"/>
              </w:rPr>
            </w:pPr>
            <w:r>
              <w:rPr>
                <w:spacing w:val="-4"/>
                <w:sz w:val="18"/>
                <w:szCs w:val="18"/>
              </w:rPr>
              <w:t>未检出</w:t>
            </w:r>
          </w:p>
        </w:tc>
        <w:tc>
          <w:tcPr>
            <w:tcW w:w="994" w:type="dxa"/>
            <w:vAlign w:val="top"/>
          </w:tcPr>
          <w:p w14:paraId="078EC537">
            <w:pPr>
              <w:pStyle w:val="6"/>
              <w:spacing w:before="56" w:line="219" w:lineRule="auto"/>
              <w:ind w:left="233"/>
              <w:rPr>
                <w:sz w:val="18"/>
                <w:szCs w:val="18"/>
              </w:rPr>
            </w:pPr>
            <w:r>
              <w:rPr>
                <w:spacing w:val="-4"/>
                <w:sz w:val="18"/>
                <w:szCs w:val="18"/>
              </w:rPr>
              <w:t>未检出</w:t>
            </w:r>
          </w:p>
        </w:tc>
        <w:tc>
          <w:tcPr>
            <w:tcW w:w="995" w:type="dxa"/>
            <w:vAlign w:val="top"/>
          </w:tcPr>
          <w:p w14:paraId="06E36F18">
            <w:pPr>
              <w:pStyle w:val="6"/>
              <w:spacing w:before="56" w:line="219" w:lineRule="auto"/>
              <w:ind w:left="235"/>
              <w:rPr>
                <w:sz w:val="18"/>
                <w:szCs w:val="18"/>
              </w:rPr>
            </w:pPr>
            <w:r>
              <w:rPr>
                <w:spacing w:val="-4"/>
                <w:sz w:val="18"/>
                <w:szCs w:val="18"/>
              </w:rPr>
              <w:t>未检出</w:t>
            </w:r>
          </w:p>
        </w:tc>
        <w:tc>
          <w:tcPr>
            <w:tcW w:w="1071" w:type="dxa"/>
            <w:vAlign w:val="top"/>
          </w:tcPr>
          <w:p w14:paraId="6CFB2F7F">
            <w:pPr>
              <w:pStyle w:val="6"/>
              <w:spacing w:before="56" w:line="219" w:lineRule="auto"/>
              <w:ind w:left="272"/>
              <w:rPr>
                <w:sz w:val="18"/>
                <w:szCs w:val="18"/>
              </w:rPr>
            </w:pPr>
            <w:r>
              <w:rPr>
                <w:spacing w:val="-4"/>
                <w:sz w:val="18"/>
                <w:szCs w:val="18"/>
              </w:rPr>
              <w:t>未检出</w:t>
            </w:r>
          </w:p>
        </w:tc>
        <w:tc>
          <w:tcPr>
            <w:tcW w:w="1177" w:type="dxa"/>
            <w:vAlign w:val="top"/>
          </w:tcPr>
          <w:p w14:paraId="3A519DA8">
            <w:pPr>
              <w:pStyle w:val="6"/>
              <w:spacing w:before="56" w:line="219" w:lineRule="auto"/>
              <w:ind w:left="327"/>
              <w:rPr>
                <w:sz w:val="18"/>
                <w:szCs w:val="18"/>
              </w:rPr>
            </w:pPr>
            <w:r>
              <w:rPr>
                <w:spacing w:val="-4"/>
                <w:sz w:val="18"/>
                <w:szCs w:val="18"/>
              </w:rPr>
              <w:t>未检出</w:t>
            </w:r>
          </w:p>
        </w:tc>
        <w:tc>
          <w:tcPr>
            <w:tcW w:w="995" w:type="dxa"/>
            <w:vAlign w:val="top"/>
          </w:tcPr>
          <w:p w14:paraId="45AC34CC">
            <w:pPr>
              <w:pStyle w:val="6"/>
              <w:spacing w:before="56" w:line="219" w:lineRule="auto"/>
              <w:ind w:left="235"/>
              <w:rPr>
                <w:sz w:val="18"/>
                <w:szCs w:val="18"/>
              </w:rPr>
            </w:pPr>
            <w:r>
              <w:rPr>
                <w:spacing w:val="-4"/>
                <w:sz w:val="18"/>
                <w:szCs w:val="18"/>
              </w:rPr>
              <w:t>未检出</w:t>
            </w:r>
          </w:p>
        </w:tc>
        <w:tc>
          <w:tcPr>
            <w:tcW w:w="1046" w:type="dxa"/>
            <w:vAlign w:val="top"/>
          </w:tcPr>
          <w:p w14:paraId="34C664F6">
            <w:pPr>
              <w:pStyle w:val="6"/>
              <w:spacing w:before="56" w:line="219" w:lineRule="auto"/>
              <w:ind w:left="260"/>
              <w:rPr>
                <w:sz w:val="18"/>
                <w:szCs w:val="18"/>
              </w:rPr>
            </w:pPr>
            <w:r>
              <w:rPr>
                <w:spacing w:val="-4"/>
                <w:sz w:val="18"/>
                <w:szCs w:val="18"/>
              </w:rPr>
              <w:t>未检出</w:t>
            </w:r>
          </w:p>
        </w:tc>
        <w:tc>
          <w:tcPr>
            <w:tcW w:w="1634" w:type="dxa"/>
            <w:vAlign w:val="top"/>
          </w:tcPr>
          <w:p w14:paraId="19D0D93D">
            <w:pPr>
              <w:pStyle w:val="6"/>
              <w:spacing w:before="56" w:line="219" w:lineRule="auto"/>
              <w:ind w:left="555"/>
              <w:rPr>
                <w:sz w:val="18"/>
                <w:szCs w:val="18"/>
              </w:rPr>
            </w:pPr>
            <w:r>
              <w:rPr>
                <w:spacing w:val="-4"/>
                <w:sz w:val="18"/>
                <w:szCs w:val="18"/>
              </w:rPr>
              <w:t>未检出</w:t>
            </w:r>
          </w:p>
        </w:tc>
        <w:tc>
          <w:tcPr>
            <w:tcW w:w="1066" w:type="dxa"/>
            <w:tcBorders>
              <w:right w:val="nil"/>
            </w:tcBorders>
            <w:vAlign w:val="top"/>
          </w:tcPr>
          <w:p w14:paraId="304C4345">
            <w:pPr>
              <w:spacing w:before="87" w:line="188" w:lineRule="auto"/>
              <w:ind w:left="44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76</w:t>
            </w:r>
          </w:p>
        </w:tc>
      </w:tr>
      <w:tr w14:paraId="72EF7D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590" w:type="dxa"/>
            <w:tcBorders>
              <w:left w:val="nil"/>
            </w:tcBorders>
            <w:vAlign w:val="top"/>
          </w:tcPr>
          <w:p w14:paraId="51F1EC9A">
            <w:pPr>
              <w:spacing w:before="83" w:line="188" w:lineRule="auto"/>
              <w:ind w:left="21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36</w:t>
            </w:r>
          </w:p>
        </w:tc>
        <w:tc>
          <w:tcPr>
            <w:tcW w:w="1747" w:type="dxa"/>
            <w:vAlign w:val="top"/>
          </w:tcPr>
          <w:p w14:paraId="34468EAF">
            <w:pPr>
              <w:pStyle w:val="6"/>
              <w:spacing w:before="54" w:line="219" w:lineRule="auto"/>
              <w:ind w:left="699"/>
              <w:rPr>
                <w:sz w:val="18"/>
                <w:szCs w:val="18"/>
              </w:rPr>
            </w:pPr>
            <w:r>
              <w:rPr>
                <w:spacing w:val="-5"/>
                <w:sz w:val="18"/>
                <w:szCs w:val="18"/>
              </w:rPr>
              <w:t>苯胺</w:t>
            </w:r>
          </w:p>
        </w:tc>
        <w:tc>
          <w:tcPr>
            <w:tcW w:w="766" w:type="dxa"/>
            <w:vAlign w:val="top"/>
          </w:tcPr>
          <w:p w14:paraId="2172389A">
            <w:pPr>
              <w:pStyle w:val="6"/>
              <w:spacing w:before="55" w:line="219" w:lineRule="auto"/>
              <w:ind w:left="119"/>
              <w:rPr>
                <w:sz w:val="18"/>
                <w:szCs w:val="18"/>
              </w:rPr>
            </w:pPr>
            <w:r>
              <w:rPr>
                <w:spacing w:val="-4"/>
                <w:sz w:val="18"/>
                <w:szCs w:val="18"/>
              </w:rPr>
              <w:t>未检出</w:t>
            </w:r>
          </w:p>
        </w:tc>
        <w:tc>
          <w:tcPr>
            <w:tcW w:w="1082" w:type="dxa"/>
            <w:vAlign w:val="top"/>
          </w:tcPr>
          <w:p w14:paraId="1A287C3C">
            <w:pPr>
              <w:pStyle w:val="6"/>
              <w:spacing w:before="55" w:line="219" w:lineRule="auto"/>
              <w:ind w:left="277"/>
              <w:rPr>
                <w:sz w:val="18"/>
                <w:szCs w:val="18"/>
              </w:rPr>
            </w:pPr>
            <w:r>
              <w:rPr>
                <w:spacing w:val="-4"/>
                <w:sz w:val="18"/>
                <w:szCs w:val="18"/>
              </w:rPr>
              <w:t>未检出</w:t>
            </w:r>
          </w:p>
        </w:tc>
        <w:tc>
          <w:tcPr>
            <w:tcW w:w="1045" w:type="dxa"/>
            <w:vAlign w:val="top"/>
          </w:tcPr>
          <w:p w14:paraId="25CBE095">
            <w:pPr>
              <w:pStyle w:val="6"/>
              <w:spacing w:before="55" w:line="219" w:lineRule="auto"/>
              <w:ind w:left="258"/>
              <w:rPr>
                <w:sz w:val="18"/>
                <w:szCs w:val="18"/>
              </w:rPr>
            </w:pPr>
            <w:r>
              <w:rPr>
                <w:spacing w:val="-4"/>
                <w:sz w:val="18"/>
                <w:szCs w:val="18"/>
              </w:rPr>
              <w:t>未检出</w:t>
            </w:r>
          </w:p>
        </w:tc>
        <w:tc>
          <w:tcPr>
            <w:tcW w:w="994" w:type="dxa"/>
            <w:vAlign w:val="top"/>
          </w:tcPr>
          <w:p w14:paraId="4F66B277">
            <w:pPr>
              <w:pStyle w:val="6"/>
              <w:spacing w:before="55" w:line="219" w:lineRule="auto"/>
              <w:ind w:left="233"/>
              <w:rPr>
                <w:sz w:val="18"/>
                <w:szCs w:val="18"/>
              </w:rPr>
            </w:pPr>
            <w:r>
              <w:rPr>
                <w:spacing w:val="-4"/>
                <w:sz w:val="18"/>
                <w:szCs w:val="18"/>
              </w:rPr>
              <w:t>未检出</w:t>
            </w:r>
          </w:p>
        </w:tc>
        <w:tc>
          <w:tcPr>
            <w:tcW w:w="995" w:type="dxa"/>
            <w:vAlign w:val="top"/>
          </w:tcPr>
          <w:p w14:paraId="5AF29820">
            <w:pPr>
              <w:pStyle w:val="6"/>
              <w:spacing w:before="55" w:line="219" w:lineRule="auto"/>
              <w:ind w:left="235"/>
              <w:rPr>
                <w:sz w:val="18"/>
                <w:szCs w:val="18"/>
              </w:rPr>
            </w:pPr>
            <w:r>
              <w:rPr>
                <w:spacing w:val="-4"/>
                <w:sz w:val="18"/>
                <w:szCs w:val="18"/>
              </w:rPr>
              <w:t>未检出</w:t>
            </w:r>
          </w:p>
        </w:tc>
        <w:tc>
          <w:tcPr>
            <w:tcW w:w="1071" w:type="dxa"/>
            <w:vAlign w:val="top"/>
          </w:tcPr>
          <w:p w14:paraId="5ADCA590">
            <w:pPr>
              <w:pStyle w:val="6"/>
              <w:spacing w:before="55" w:line="219" w:lineRule="auto"/>
              <w:ind w:left="272"/>
              <w:rPr>
                <w:sz w:val="18"/>
                <w:szCs w:val="18"/>
              </w:rPr>
            </w:pPr>
            <w:r>
              <w:rPr>
                <w:spacing w:val="-4"/>
                <w:sz w:val="18"/>
                <w:szCs w:val="18"/>
              </w:rPr>
              <w:t>未检出</w:t>
            </w:r>
          </w:p>
        </w:tc>
        <w:tc>
          <w:tcPr>
            <w:tcW w:w="1177" w:type="dxa"/>
            <w:vAlign w:val="top"/>
          </w:tcPr>
          <w:p w14:paraId="463B9543">
            <w:pPr>
              <w:pStyle w:val="6"/>
              <w:spacing w:before="55" w:line="219" w:lineRule="auto"/>
              <w:ind w:left="327"/>
              <w:rPr>
                <w:sz w:val="18"/>
                <w:szCs w:val="18"/>
              </w:rPr>
            </w:pPr>
            <w:r>
              <w:rPr>
                <w:spacing w:val="-4"/>
                <w:sz w:val="18"/>
                <w:szCs w:val="18"/>
              </w:rPr>
              <w:t>未检出</w:t>
            </w:r>
          </w:p>
        </w:tc>
        <w:tc>
          <w:tcPr>
            <w:tcW w:w="995" w:type="dxa"/>
            <w:vAlign w:val="top"/>
          </w:tcPr>
          <w:p w14:paraId="78C097FF">
            <w:pPr>
              <w:pStyle w:val="6"/>
              <w:spacing w:before="55" w:line="219" w:lineRule="auto"/>
              <w:ind w:left="235"/>
              <w:rPr>
                <w:sz w:val="18"/>
                <w:szCs w:val="18"/>
              </w:rPr>
            </w:pPr>
            <w:r>
              <w:rPr>
                <w:spacing w:val="-4"/>
                <w:sz w:val="18"/>
                <w:szCs w:val="18"/>
              </w:rPr>
              <w:t>未检出</w:t>
            </w:r>
          </w:p>
        </w:tc>
        <w:tc>
          <w:tcPr>
            <w:tcW w:w="1046" w:type="dxa"/>
            <w:vAlign w:val="top"/>
          </w:tcPr>
          <w:p w14:paraId="77B22F1D">
            <w:pPr>
              <w:pStyle w:val="6"/>
              <w:spacing w:before="55" w:line="219" w:lineRule="auto"/>
              <w:ind w:left="260"/>
              <w:rPr>
                <w:sz w:val="18"/>
                <w:szCs w:val="18"/>
              </w:rPr>
            </w:pPr>
            <w:r>
              <w:rPr>
                <w:spacing w:val="-4"/>
                <w:sz w:val="18"/>
                <w:szCs w:val="18"/>
              </w:rPr>
              <w:t>未检出</w:t>
            </w:r>
          </w:p>
        </w:tc>
        <w:tc>
          <w:tcPr>
            <w:tcW w:w="1634" w:type="dxa"/>
            <w:vAlign w:val="top"/>
          </w:tcPr>
          <w:p w14:paraId="1E37D2D6">
            <w:pPr>
              <w:pStyle w:val="6"/>
              <w:spacing w:before="55" w:line="219" w:lineRule="auto"/>
              <w:ind w:left="555"/>
              <w:rPr>
                <w:sz w:val="18"/>
                <w:szCs w:val="18"/>
              </w:rPr>
            </w:pPr>
            <w:r>
              <w:rPr>
                <w:spacing w:val="-4"/>
                <w:sz w:val="18"/>
                <w:szCs w:val="18"/>
              </w:rPr>
              <w:t>未检出</w:t>
            </w:r>
          </w:p>
        </w:tc>
        <w:tc>
          <w:tcPr>
            <w:tcW w:w="1066" w:type="dxa"/>
            <w:tcBorders>
              <w:right w:val="nil"/>
            </w:tcBorders>
            <w:vAlign w:val="top"/>
          </w:tcPr>
          <w:p w14:paraId="4F7ABAB4">
            <w:pPr>
              <w:spacing w:before="83" w:line="188" w:lineRule="auto"/>
              <w:ind w:left="40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260</w:t>
            </w:r>
          </w:p>
        </w:tc>
      </w:tr>
      <w:tr w14:paraId="28AF3D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590" w:type="dxa"/>
            <w:tcBorders>
              <w:left w:val="nil"/>
            </w:tcBorders>
            <w:vAlign w:val="top"/>
          </w:tcPr>
          <w:p w14:paraId="64AA9EDC">
            <w:pPr>
              <w:spacing w:before="87" w:line="188" w:lineRule="auto"/>
              <w:ind w:left="21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37</w:t>
            </w:r>
          </w:p>
        </w:tc>
        <w:tc>
          <w:tcPr>
            <w:tcW w:w="1747" w:type="dxa"/>
            <w:vAlign w:val="top"/>
          </w:tcPr>
          <w:p w14:paraId="3DC54688">
            <w:pPr>
              <w:pStyle w:val="6"/>
              <w:spacing w:before="55" w:line="221" w:lineRule="auto"/>
              <w:ind w:left="619"/>
              <w:rPr>
                <w:sz w:val="18"/>
                <w:szCs w:val="18"/>
              </w:rPr>
            </w:pPr>
            <w:r>
              <w:rPr>
                <w:rFonts w:ascii="Times New Roman" w:hAnsi="Times New Roman" w:eastAsia="Times New Roman" w:cs="Times New Roman"/>
                <w:spacing w:val="-2"/>
                <w:sz w:val="18"/>
                <w:szCs w:val="18"/>
              </w:rPr>
              <w:t>2-</w:t>
            </w:r>
            <w:r>
              <w:rPr>
                <w:spacing w:val="-2"/>
                <w:sz w:val="18"/>
                <w:szCs w:val="18"/>
              </w:rPr>
              <w:t>氯酚</w:t>
            </w:r>
          </w:p>
        </w:tc>
        <w:tc>
          <w:tcPr>
            <w:tcW w:w="766" w:type="dxa"/>
            <w:vAlign w:val="top"/>
          </w:tcPr>
          <w:p w14:paraId="00C99569">
            <w:pPr>
              <w:pStyle w:val="6"/>
              <w:spacing w:before="56" w:line="219" w:lineRule="auto"/>
              <w:ind w:left="119"/>
              <w:rPr>
                <w:sz w:val="18"/>
                <w:szCs w:val="18"/>
              </w:rPr>
            </w:pPr>
            <w:r>
              <w:rPr>
                <w:spacing w:val="-4"/>
                <w:sz w:val="18"/>
                <w:szCs w:val="18"/>
              </w:rPr>
              <w:t>未检出</w:t>
            </w:r>
          </w:p>
        </w:tc>
        <w:tc>
          <w:tcPr>
            <w:tcW w:w="1082" w:type="dxa"/>
            <w:vAlign w:val="top"/>
          </w:tcPr>
          <w:p w14:paraId="2FCDA572">
            <w:pPr>
              <w:pStyle w:val="6"/>
              <w:spacing w:before="56" w:line="219" w:lineRule="auto"/>
              <w:ind w:left="277"/>
              <w:rPr>
                <w:sz w:val="18"/>
                <w:szCs w:val="18"/>
              </w:rPr>
            </w:pPr>
            <w:r>
              <w:rPr>
                <w:spacing w:val="-4"/>
                <w:sz w:val="18"/>
                <w:szCs w:val="18"/>
              </w:rPr>
              <w:t>未检出</w:t>
            </w:r>
          </w:p>
        </w:tc>
        <w:tc>
          <w:tcPr>
            <w:tcW w:w="1045" w:type="dxa"/>
            <w:vAlign w:val="top"/>
          </w:tcPr>
          <w:p w14:paraId="1381C25F">
            <w:pPr>
              <w:pStyle w:val="6"/>
              <w:spacing w:before="56" w:line="219" w:lineRule="auto"/>
              <w:ind w:left="258"/>
              <w:rPr>
                <w:sz w:val="18"/>
                <w:szCs w:val="18"/>
              </w:rPr>
            </w:pPr>
            <w:r>
              <w:rPr>
                <w:spacing w:val="-4"/>
                <w:sz w:val="18"/>
                <w:szCs w:val="18"/>
              </w:rPr>
              <w:t>未检出</w:t>
            </w:r>
          </w:p>
        </w:tc>
        <w:tc>
          <w:tcPr>
            <w:tcW w:w="994" w:type="dxa"/>
            <w:vAlign w:val="top"/>
          </w:tcPr>
          <w:p w14:paraId="6C6AC75B">
            <w:pPr>
              <w:pStyle w:val="6"/>
              <w:spacing w:before="56" w:line="219" w:lineRule="auto"/>
              <w:ind w:left="233"/>
              <w:rPr>
                <w:sz w:val="18"/>
                <w:szCs w:val="18"/>
              </w:rPr>
            </w:pPr>
            <w:r>
              <w:rPr>
                <w:spacing w:val="-4"/>
                <w:sz w:val="18"/>
                <w:szCs w:val="18"/>
              </w:rPr>
              <w:t>未检出</w:t>
            </w:r>
          </w:p>
        </w:tc>
        <w:tc>
          <w:tcPr>
            <w:tcW w:w="995" w:type="dxa"/>
            <w:vAlign w:val="top"/>
          </w:tcPr>
          <w:p w14:paraId="0408DC34">
            <w:pPr>
              <w:pStyle w:val="6"/>
              <w:spacing w:before="56" w:line="219" w:lineRule="auto"/>
              <w:ind w:left="235"/>
              <w:rPr>
                <w:sz w:val="18"/>
                <w:szCs w:val="18"/>
              </w:rPr>
            </w:pPr>
            <w:r>
              <w:rPr>
                <w:spacing w:val="-4"/>
                <w:sz w:val="18"/>
                <w:szCs w:val="18"/>
              </w:rPr>
              <w:t>未检出</w:t>
            </w:r>
          </w:p>
        </w:tc>
        <w:tc>
          <w:tcPr>
            <w:tcW w:w="1071" w:type="dxa"/>
            <w:vAlign w:val="top"/>
          </w:tcPr>
          <w:p w14:paraId="18234D11">
            <w:pPr>
              <w:pStyle w:val="6"/>
              <w:spacing w:before="56" w:line="219" w:lineRule="auto"/>
              <w:ind w:left="272"/>
              <w:rPr>
                <w:sz w:val="18"/>
                <w:szCs w:val="18"/>
              </w:rPr>
            </w:pPr>
            <w:r>
              <w:rPr>
                <w:spacing w:val="-4"/>
                <w:sz w:val="18"/>
                <w:szCs w:val="18"/>
              </w:rPr>
              <w:t>未检出</w:t>
            </w:r>
          </w:p>
        </w:tc>
        <w:tc>
          <w:tcPr>
            <w:tcW w:w="1177" w:type="dxa"/>
            <w:vAlign w:val="top"/>
          </w:tcPr>
          <w:p w14:paraId="4B0E3E14">
            <w:pPr>
              <w:pStyle w:val="6"/>
              <w:spacing w:before="56" w:line="219" w:lineRule="auto"/>
              <w:ind w:left="327"/>
              <w:rPr>
                <w:sz w:val="18"/>
                <w:szCs w:val="18"/>
              </w:rPr>
            </w:pPr>
            <w:r>
              <w:rPr>
                <w:spacing w:val="-4"/>
                <w:sz w:val="18"/>
                <w:szCs w:val="18"/>
              </w:rPr>
              <w:t>未检出</w:t>
            </w:r>
          </w:p>
        </w:tc>
        <w:tc>
          <w:tcPr>
            <w:tcW w:w="995" w:type="dxa"/>
            <w:vAlign w:val="top"/>
          </w:tcPr>
          <w:p w14:paraId="0A54970D">
            <w:pPr>
              <w:pStyle w:val="6"/>
              <w:spacing w:before="56" w:line="219" w:lineRule="auto"/>
              <w:ind w:left="235"/>
              <w:rPr>
                <w:sz w:val="18"/>
                <w:szCs w:val="18"/>
              </w:rPr>
            </w:pPr>
            <w:r>
              <w:rPr>
                <w:spacing w:val="-4"/>
                <w:sz w:val="18"/>
                <w:szCs w:val="18"/>
              </w:rPr>
              <w:t>未检出</w:t>
            </w:r>
          </w:p>
        </w:tc>
        <w:tc>
          <w:tcPr>
            <w:tcW w:w="1046" w:type="dxa"/>
            <w:vAlign w:val="top"/>
          </w:tcPr>
          <w:p w14:paraId="1EB7237F">
            <w:pPr>
              <w:pStyle w:val="6"/>
              <w:spacing w:before="56" w:line="219" w:lineRule="auto"/>
              <w:ind w:left="260"/>
              <w:rPr>
                <w:sz w:val="18"/>
                <w:szCs w:val="18"/>
              </w:rPr>
            </w:pPr>
            <w:r>
              <w:rPr>
                <w:spacing w:val="-4"/>
                <w:sz w:val="18"/>
                <w:szCs w:val="18"/>
              </w:rPr>
              <w:t>未检出</w:t>
            </w:r>
          </w:p>
        </w:tc>
        <w:tc>
          <w:tcPr>
            <w:tcW w:w="1634" w:type="dxa"/>
            <w:vAlign w:val="top"/>
          </w:tcPr>
          <w:p w14:paraId="38219E0E">
            <w:pPr>
              <w:pStyle w:val="6"/>
              <w:spacing w:before="56" w:line="219" w:lineRule="auto"/>
              <w:ind w:left="555"/>
              <w:rPr>
                <w:sz w:val="18"/>
                <w:szCs w:val="18"/>
              </w:rPr>
            </w:pPr>
            <w:r>
              <w:rPr>
                <w:spacing w:val="-4"/>
                <w:sz w:val="18"/>
                <w:szCs w:val="18"/>
              </w:rPr>
              <w:t>未检出</w:t>
            </w:r>
          </w:p>
        </w:tc>
        <w:tc>
          <w:tcPr>
            <w:tcW w:w="1066" w:type="dxa"/>
            <w:tcBorders>
              <w:right w:val="nil"/>
            </w:tcBorders>
            <w:vAlign w:val="top"/>
          </w:tcPr>
          <w:p w14:paraId="7FB8896D">
            <w:pPr>
              <w:spacing w:before="87" w:line="188" w:lineRule="auto"/>
              <w:ind w:left="35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2256</w:t>
            </w:r>
          </w:p>
        </w:tc>
      </w:tr>
      <w:tr w14:paraId="640B26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590" w:type="dxa"/>
            <w:tcBorders>
              <w:left w:val="nil"/>
            </w:tcBorders>
            <w:vAlign w:val="top"/>
          </w:tcPr>
          <w:p w14:paraId="4A0FE3E5">
            <w:pPr>
              <w:spacing w:before="87" w:line="188" w:lineRule="auto"/>
              <w:ind w:left="21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38</w:t>
            </w:r>
          </w:p>
        </w:tc>
        <w:tc>
          <w:tcPr>
            <w:tcW w:w="1747" w:type="dxa"/>
            <w:vAlign w:val="top"/>
          </w:tcPr>
          <w:p w14:paraId="4B2CB39B">
            <w:pPr>
              <w:pStyle w:val="6"/>
              <w:spacing w:before="58" w:line="210" w:lineRule="auto"/>
              <w:ind w:left="509"/>
              <w:rPr>
                <w:sz w:val="18"/>
                <w:szCs w:val="18"/>
              </w:rPr>
            </w:pPr>
            <w:r>
              <w:rPr>
                <w:spacing w:val="-2"/>
                <w:sz w:val="18"/>
                <w:szCs w:val="18"/>
              </w:rPr>
              <w:t>苯并</w:t>
            </w:r>
            <w:r>
              <w:rPr>
                <w:rFonts w:ascii="Times New Roman" w:hAnsi="Times New Roman" w:eastAsia="Times New Roman" w:cs="Times New Roman"/>
                <w:spacing w:val="-2"/>
                <w:sz w:val="18"/>
                <w:szCs w:val="18"/>
              </w:rPr>
              <w:t>[a]</w:t>
            </w:r>
            <w:r>
              <w:rPr>
                <w:spacing w:val="-2"/>
                <w:sz w:val="18"/>
                <w:szCs w:val="18"/>
              </w:rPr>
              <w:t>蒽</w:t>
            </w:r>
          </w:p>
        </w:tc>
        <w:tc>
          <w:tcPr>
            <w:tcW w:w="766" w:type="dxa"/>
            <w:vAlign w:val="top"/>
          </w:tcPr>
          <w:p w14:paraId="5CFE5FEF">
            <w:pPr>
              <w:pStyle w:val="6"/>
              <w:spacing w:before="59" w:line="219" w:lineRule="auto"/>
              <w:ind w:left="119"/>
              <w:rPr>
                <w:sz w:val="18"/>
                <w:szCs w:val="18"/>
              </w:rPr>
            </w:pPr>
            <w:r>
              <w:rPr>
                <w:spacing w:val="-4"/>
                <w:sz w:val="18"/>
                <w:szCs w:val="18"/>
              </w:rPr>
              <w:t>未检出</w:t>
            </w:r>
          </w:p>
        </w:tc>
        <w:tc>
          <w:tcPr>
            <w:tcW w:w="1082" w:type="dxa"/>
            <w:vAlign w:val="top"/>
          </w:tcPr>
          <w:p w14:paraId="6A495632">
            <w:pPr>
              <w:pStyle w:val="6"/>
              <w:spacing w:before="59" w:line="219" w:lineRule="auto"/>
              <w:ind w:left="277"/>
              <w:rPr>
                <w:sz w:val="18"/>
                <w:szCs w:val="18"/>
              </w:rPr>
            </w:pPr>
            <w:r>
              <w:rPr>
                <w:spacing w:val="-4"/>
                <w:sz w:val="18"/>
                <w:szCs w:val="18"/>
              </w:rPr>
              <w:t>未检出</w:t>
            </w:r>
          </w:p>
        </w:tc>
        <w:tc>
          <w:tcPr>
            <w:tcW w:w="1045" w:type="dxa"/>
            <w:vAlign w:val="top"/>
          </w:tcPr>
          <w:p w14:paraId="7B427A30">
            <w:pPr>
              <w:pStyle w:val="6"/>
              <w:spacing w:before="59" w:line="219" w:lineRule="auto"/>
              <w:ind w:left="258"/>
              <w:rPr>
                <w:sz w:val="18"/>
                <w:szCs w:val="18"/>
              </w:rPr>
            </w:pPr>
            <w:r>
              <w:rPr>
                <w:spacing w:val="-4"/>
                <w:sz w:val="18"/>
                <w:szCs w:val="18"/>
              </w:rPr>
              <w:t>未检出</w:t>
            </w:r>
          </w:p>
        </w:tc>
        <w:tc>
          <w:tcPr>
            <w:tcW w:w="994" w:type="dxa"/>
            <w:vAlign w:val="top"/>
          </w:tcPr>
          <w:p w14:paraId="787D8482">
            <w:pPr>
              <w:pStyle w:val="6"/>
              <w:spacing w:before="59" w:line="219" w:lineRule="auto"/>
              <w:ind w:left="233"/>
              <w:rPr>
                <w:sz w:val="18"/>
                <w:szCs w:val="18"/>
              </w:rPr>
            </w:pPr>
            <w:r>
              <w:rPr>
                <w:spacing w:val="-4"/>
                <w:sz w:val="18"/>
                <w:szCs w:val="18"/>
              </w:rPr>
              <w:t>未检出</w:t>
            </w:r>
          </w:p>
        </w:tc>
        <w:tc>
          <w:tcPr>
            <w:tcW w:w="995" w:type="dxa"/>
            <w:vAlign w:val="top"/>
          </w:tcPr>
          <w:p w14:paraId="7C8C9258">
            <w:pPr>
              <w:pStyle w:val="6"/>
              <w:spacing w:before="59" w:line="219" w:lineRule="auto"/>
              <w:ind w:left="235"/>
              <w:rPr>
                <w:sz w:val="18"/>
                <w:szCs w:val="18"/>
              </w:rPr>
            </w:pPr>
            <w:r>
              <w:rPr>
                <w:spacing w:val="-4"/>
                <w:sz w:val="18"/>
                <w:szCs w:val="18"/>
              </w:rPr>
              <w:t>未检出</w:t>
            </w:r>
          </w:p>
        </w:tc>
        <w:tc>
          <w:tcPr>
            <w:tcW w:w="1071" w:type="dxa"/>
            <w:vAlign w:val="top"/>
          </w:tcPr>
          <w:p w14:paraId="3010CBC7">
            <w:pPr>
              <w:pStyle w:val="6"/>
              <w:spacing w:before="59" w:line="219" w:lineRule="auto"/>
              <w:ind w:left="272"/>
              <w:rPr>
                <w:sz w:val="18"/>
                <w:szCs w:val="18"/>
              </w:rPr>
            </w:pPr>
            <w:r>
              <w:rPr>
                <w:spacing w:val="-4"/>
                <w:sz w:val="18"/>
                <w:szCs w:val="18"/>
              </w:rPr>
              <w:t>未检出</w:t>
            </w:r>
          </w:p>
        </w:tc>
        <w:tc>
          <w:tcPr>
            <w:tcW w:w="1177" w:type="dxa"/>
            <w:vAlign w:val="top"/>
          </w:tcPr>
          <w:p w14:paraId="4B1B01CC">
            <w:pPr>
              <w:pStyle w:val="6"/>
              <w:spacing w:before="59" w:line="219" w:lineRule="auto"/>
              <w:ind w:left="327"/>
              <w:rPr>
                <w:sz w:val="18"/>
                <w:szCs w:val="18"/>
              </w:rPr>
            </w:pPr>
            <w:r>
              <w:rPr>
                <w:spacing w:val="-4"/>
                <w:sz w:val="18"/>
                <w:szCs w:val="18"/>
              </w:rPr>
              <w:t>未检出</w:t>
            </w:r>
          </w:p>
        </w:tc>
        <w:tc>
          <w:tcPr>
            <w:tcW w:w="995" w:type="dxa"/>
            <w:vAlign w:val="top"/>
          </w:tcPr>
          <w:p w14:paraId="13284808">
            <w:pPr>
              <w:pStyle w:val="6"/>
              <w:spacing w:before="59" w:line="219" w:lineRule="auto"/>
              <w:ind w:left="235"/>
              <w:rPr>
                <w:sz w:val="18"/>
                <w:szCs w:val="18"/>
              </w:rPr>
            </w:pPr>
            <w:r>
              <w:rPr>
                <w:spacing w:val="-4"/>
                <w:sz w:val="18"/>
                <w:szCs w:val="18"/>
              </w:rPr>
              <w:t>未检出</w:t>
            </w:r>
          </w:p>
        </w:tc>
        <w:tc>
          <w:tcPr>
            <w:tcW w:w="1046" w:type="dxa"/>
            <w:vAlign w:val="top"/>
          </w:tcPr>
          <w:p w14:paraId="3AAA2BDA">
            <w:pPr>
              <w:pStyle w:val="6"/>
              <w:spacing w:before="59" w:line="219" w:lineRule="auto"/>
              <w:ind w:left="260"/>
              <w:rPr>
                <w:sz w:val="18"/>
                <w:szCs w:val="18"/>
              </w:rPr>
            </w:pPr>
            <w:r>
              <w:rPr>
                <w:spacing w:val="-4"/>
                <w:sz w:val="18"/>
                <w:szCs w:val="18"/>
              </w:rPr>
              <w:t>未检出</w:t>
            </w:r>
          </w:p>
        </w:tc>
        <w:tc>
          <w:tcPr>
            <w:tcW w:w="1634" w:type="dxa"/>
            <w:vAlign w:val="top"/>
          </w:tcPr>
          <w:p w14:paraId="6ED5AE44">
            <w:pPr>
              <w:pStyle w:val="6"/>
              <w:spacing w:before="59" w:line="219" w:lineRule="auto"/>
              <w:ind w:left="555"/>
              <w:rPr>
                <w:sz w:val="18"/>
                <w:szCs w:val="18"/>
              </w:rPr>
            </w:pPr>
            <w:r>
              <w:rPr>
                <w:spacing w:val="-4"/>
                <w:sz w:val="18"/>
                <w:szCs w:val="18"/>
              </w:rPr>
              <w:t>未检出</w:t>
            </w:r>
          </w:p>
        </w:tc>
        <w:tc>
          <w:tcPr>
            <w:tcW w:w="1066" w:type="dxa"/>
            <w:tcBorders>
              <w:right w:val="nil"/>
            </w:tcBorders>
            <w:vAlign w:val="top"/>
          </w:tcPr>
          <w:p w14:paraId="01729E40">
            <w:pPr>
              <w:spacing w:before="87" w:line="188" w:lineRule="auto"/>
              <w:ind w:left="461"/>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15</w:t>
            </w:r>
          </w:p>
        </w:tc>
      </w:tr>
      <w:tr w14:paraId="1B7DCF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590" w:type="dxa"/>
            <w:tcBorders>
              <w:left w:val="nil"/>
            </w:tcBorders>
            <w:vAlign w:val="top"/>
          </w:tcPr>
          <w:p w14:paraId="49DD49E3">
            <w:pPr>
              <w:spacing w:before="92" w:line="188" w:lineRule="auto"/>
              <w:ind w:left="21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39</w:t>
            </w:r>
          </w:p>
        </w:tc>
        <w:tc>
          <w:tcPr>
            <w:tcW w:w="1747" w:type="dxa"/>
            <w:vAlign w:val="top"/>
          </w:tcPr>
          <w:p w14:paraId="1845C540">
            <w:pPr>
              <w:pStyle w:val="6"/>
              <w:spacing w:before="60" w:line="212" w:lineRule="auto"/>
              <w:ind w:left="509"/>
              <w:rPr>
                <w:sz w:val="18"/>
                <w:szCs w:val="18"/>
              </w:rPr>
            </w:pPr>
            <w:r>
              <w:rPr>
                <w:spacing w:val="-2"/>
                <w:sz w:val="18"/>
                <w:szCs w:val="18"/>
              </w:rPr>
              <w:t>苯并</w:t>
            </w:r>
            <w:r>
              <w:rPr>
                <w:rFonts w:ascii="Times New Roman" w:hAnsi="Times New Roman" w:eastAsia="Times New Roman" w:cs="Times New Roman"/>
                <w:spacing w:val="-2"/>
                <w:sz w:val="18"/>
                <w:szCs w:val="18"/>
              </w:rPr>
              <w:t>[a]</w:t>
            </w:r>
            <w:r>
              <w:rPr>
                <w:spacing w:val="-2"/>
                <w:sz w:val="18"/>
                <w:szCs w:val="18"/>
              </w:rPr>
              <w:t>芘</w:t>
            </w:r>
          </w:p>
        </w:tc>
        <w:tc>
          <w:tcPr>
            <w:tcW w:w="766" w:type="dxa"/>
            <w:vAlign w:val="top"/>
          </w:tcPr>
          <w:p w14:paraId="7E9D5FE2">
            <w:pPr>
              <w:pStyle w:val="6"/>
              <w:spacing w:before="61" w:line="219" w:lineRule="auto"/>
              <w:ind w:left="119"/>
              <w:rPr>
                <w:sz w:val="18"/>
                <w:szCs w:val="18"/>
              </w:rPr>
            </w:pPr>
            <w:r>
              <w:rPr>
                <w:spacing w:val="-4"/>
                <w:sz w:val="18"/>
                <w:szCs w:val="18"/>
              </w:rPr>
              <w:t>未检出</w:t>
            </w:r>
          </w:p>
        </w:tc>
        <w:tc>
          <w:tcPr>
            <w:tcW w:w="1082" w:type="dxa"/>
            <w:vAlign w:val="top"/>
          </w:tcPr>
          <w:p w14:paraId="4C5D8DBA">
            <w:pPr>
              <w:pStyle w:val="6"/>
              <w:spacing w:before="61" w:line="219" w:lineRule="auto"/>
              <w:ind w:left="277"/>
              <w:rPr>
                <w:sz w:val="18"/>
                <w:szCs w:val="18"/>
              </w:rPr>
            </w:pPr>
            <w:r>
              <w:rPr>
                <w:spacing w:val="-4"/>
                <w:sz w:val="18"/>
                <w:szCs w:val="18"/>
              </w:rPr>
              <w:t>未检出</w:t>
            </w:r>
          </w:p>
        </w:tc>
        <w:tc>
          <w:tcPr>
            <w:tcW w:w="1045" w:type="dxa"/>
            <w:vAlign w:val="top"/>
          </w:tcPr>
          <w:p w14:paraId="1378A00B">
            <w:pPr>
              <w:pStyle w:val="6"/>
              <w:spacing w:before="61" w:line="219" w:lineRule="auto"/>
              <w:ind w:left="258"/>
              <w:rPr>
                <w:sz w:val="18"/>
                <w:szCs w:val="18"/>
              </w:rPr>
            </w:pPr>
            <w:r>
              <w:rPr>
                <w:spacing w:val="-4"/>
                <w:sz w:val="18"/>
                <w:szCs w:val="18"/>
              </w:rPr>
              <w:t>未检出</w:t>
            </w:r>
          </w:p>
        </w:tc>
        <w:tc>
          <w:tcPr>
            <w:tcW w:w="994" w:type="dxa"/>
            <w:vAlign w:val="top"/>
          </w:tcPr>
          <w:p w14:paraId="6A9CDD4C">
            <w:pPr>
              <w:pStyle w:val="6"/>
              <w:spacing w:before="61" w:line="219" w:lineRule="auto"/>
              <w:ind w:left="233"/>
              <w:rPr>
                <w:sz w:val="18"/>
                <w:szCs w:val="18"/>
              </w:rPr>
            </w:pPr>
            <w:r>
              <w:rPr>
                <w:spacing w:val="-4"/>
                <w:sz w:val="18"/>
                <w:szCs w:val="18"/>
              </w:rPr>
              <w:t>未检出</w:t>
            </w:r>
          </w:p>
        </w:tc>
        <w:tc>
          <w:tcPr>
            <w:tcW w:w="995" w:type="dxa"/>
            <w:vAlign w:val="top"/>
          </w:tcPr>
          <w:p w14:paraId="7A6347C5">
            <w:pPr>
              <w:pStyle w:val="6"/>
              <w:spacing w:before="61" w:line="219" w:lineRule="auto"/>
              <w:ind w:left="235"/>
              <w:rPr>
                <w:sz w:val="18"/>
                <w:szCs w:val="18"/>
              </w:rPr>
            </w:pPr>
            <w:r>
              <w:rPr>
                <w:spacing w:val="-4"/>
                <w:sz w:val="18"/>
                <w:szCs w:val="18"/>
              </w:rPr>
              <w:t>未检出</w:t>
            </w:r>
          </w:p>
        </w:tc>
        <w:tc>
          <w:tcPr>
            <w:tcW w:w="1071" w:type="dxa"/>
            <w:vAlign w:val="top"/>
          </w:tcPr>
          <w:p w14:paraId="017EC817">
            <w:pPr>
              <w:pStyle w:val="6"/>
              <w:spacing w:before="61" w:line="219" w:lineRule="auto"/>
              <w:ind w:left="272"/>
              <w:rPr>
                <w:sz w:val="18"/>
                <w:szCs w:val="18"/>
              </w:rPr>
            </w:pPr>
            <w:r>
              <w:rPr>
                <w:spacing w:val="-4"/>
                <w:sz w:val="18"/>
                <w:szCs w:val="18"/>
              </w:rPr>
              <w:t>未检出</w:t>
            </w:r>
          </w:p>
        </w:tc>
        <w:tc>
          <w:tcPr>
            <w:tcW w:w="1177" w:type="dxa"/>
            <w:vAlign w:val="top"/>
          </w:tcPr>
          <w:p w14:paraId="5D8EFB7B">
            <w:pPr>
              <w:pStyle w:val="6"/>
              <w:spacing w:before="61" w:line="219" w:lineRule="auto"/>
              <w:ind w:left="327"/>
              <w:rPr>
                <w:sz w:val="18"/>
                <w:szCs w:val="18"/>
              </w:rPr>
            </w:pPr>
            <w:r>
              <w:rPr>
                <w:spacing w:val="-4"/>
                <w:sz w:val="18"/>
                <w:szCs w:val="18"/>
              </w:rPr>
              <w:t>未检出</w:t>
            </w:r>
          </w:p>
        </w:tc>
        <w:tc>
          <w:tcPr>
            <w:tcW w:w="995" w:type="dxa"/>
            <w:vAlign w:val="top"/>
          </w:tcPr>
          <w:p w14:paraId="01DD67BE">
            <w:pPr>
              <w:pStyle w:val="6"/>
              <w:spacing w:before="61" w:line="219" w:lineRule="auto"/>
              <w:ind w:left="235"/>
              <w:rPr>
                <w:sz w:val="18"/>
                <w:szCs w:val="18"/>
              </w:rPr>
            </w:pPr>
            <w:r>
              <w:rPr>
                <w:spacing w:val="-4"/>
                <w:sz w:val="18"/>
                <w:szCs w:val="18"/>
              </w:rPr>
              <w:t>未检出</w:t>
            </w:r>
          </w:p>
        </w:tc>
        <w:tc>
          <w:tcPr>
            <w:tcW w:w="1046" w:type="dxa"/>
            <w:vAlign w:val="top"/>
          </w:tcPr>
          <w:p w14:paraId="070FB945">
            <w:pPr>
              <w:pStyle w:val="6"/>
              <w:spacing w:before="61" w:line="219" w:lineRule="auto"/>
              <w:ind w:left="260"/>
              <w:rPr>
                <w:sz w:val="18"/>
                <w:szCs w:val="18"/>
              </w:rPr>
            </w:pPr>
            <w:r>
              <w:rPr>
                <w:spacing w:val="-4"/>
                <w:sz w:val="18"/>
                <w:szCs w:val="18"/>
              </w:rPr>
              <w:t>未检出</w:t>
            </w:r>
          </w:p>
        </w:tc>
        <w:tc>
          <w:tcPr>
            <w:tcW w:w="1634" w:type="dxa"/>
            <w:vAlign w:val="top"/>
          </w:tcPr>
          <w:p w14:paraId="58EC963A">
            <w:pPr>
              <w:pStyle w:val="6"/>
              <w:spacing w:before="61" w:line="219" w:lineRule="auto"/>
              <w:ind w:left="555"/>
              <w:rPr>
                <w:sz w:val="18"/>
                <w:szCs w:val="18"/>
              </w:rPr>
            </w:pPr>
            <w:r>
              <w:rPr>
                <w:spacing w:val="-4"/>
                <w:sz w:val="18"/>
                <w:szCs w:val="18"/>
              </w:rPr>
              <w:t>未检出</w:t>
            </w:r>
          </w:p>
        </w:tc>
        <w:tc>
          <w:tcPr>
            <w:tcW w:w="1066" w:type="dxa"/>
            <w:tcBorders>
              <w:right w:val="nil"/>
            </w:tcBorders>
            <w:vAlign w:val="top"/>
          </w:tcPr>
          <w:p w14:paraId="5DF0CB1C">
            <w:pPr>
              <w:spacing w:before="92" w:line="188" w:lineRule="auto"/>
              <w:ind w:left="440"/>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w:t>
            </w:r>
          </w:p>
        </w:tc>
      </w:tr>
      <w:tr w14:paraId="3C11DE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590" w:type="dxa"/>
            <w:tcBorders>
              <w:left w:val="nil"/>
            </w:tcBorders>
            <w:vAlign w:val="top"/>
          </w:tcPr>
          <w:p w14:paraId="6988CCE6">
            <w:pPr>
              <w:spacing w:before="92"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40</w:t>
            </w:r>
          </w:p>
        </w:tc>
        <w:tc>
          <w:tcPr>
            <w:tcW w:w="1747" w:type="dxa"/>
            <w:vAlign w:val="top"/>
          </w:tcPr>
          <w:p w14:paraId="23909748">
            <w:pPr>
              <w:pStyle w:val="6"/>
              <w:spacing w:before="63" w:line="210" w:lineRule="auto"/>
              <w:ind w:left="413"/>
              <w:rPr>
                <w:sz w:val="18"/>
                <w:szCs w:val="18"/>
              </w:rPr>
            </w:pPr>
            <w:r>
              <w:rPr>
                <w:spacing w:val="-2"/>
                <w:sz w:val="18"/>
                <w:szCs w:val="18"/>
              </w:rPr>
              <w:t>苯并</w:t>
            </w:r>
            <w:r>
              <w:rPr>
                <w:rFonts w:ascii="Times New Roman" w:hAnsi="Times New Roman" w:eastAsia="Times New Roman" w:cs="Times New Roman"/>
                <w:spacing w:val="-2"/>
                <w:sz w:val="18"/>
                <w:szCs w:val="18"/>
              </w:rPr>
              <w:t>[b]</w:t>
            </w:r>
            <w:r>
              <w:rPr>
                <w:spacing w:val="-2"/>
                <w:sz w:val="18"/>
                <w:szCs w:val="18"/>
              </w:rPr>
              <w:t>荧蒽</w:t>
            </w:r>
          </w:p>
        </w:tc>
        <w:tc>
          <w:tcPr>
            <w:tcW w:w="766" w:type="dxa"/>
            <w:vAlign w:val="top"/>
          </w:tcPr>
          <w:p w14:paraId="024141F1">
            <w:pPr>
              <w:pStyle w:val="6"/>
              <w:spacing w:before="64" w:line="217" w:lineRule="auto"/>
              <w:ind w:left="119"/>
              <w:rPr>
                <w:sz w:val="18"/>
                <w:szCs w:val="18"/>
              </w:rPr>
            </w:pPr>
            <w:r>
              <w:rPr>
                <w:spacing w:val="-4"/>
                <w:sz w:val="18"/>
                <w:szCs w:val="18"/>
              </w:rPr>
              <w:t>未检出</w:t>
            </w:r>
          </w:p>
        </w:tc>
        <w:tc>
          <w:tcPr>
            <w:tcW w:w="1082" w:type="dxa"/>
            <w:vAlign w:val="top"/>
          </w:tcPr>
          <w:p w14:paraId="2494E500">
            <w:pPr>
              <w:pStyle w:val="6"/>
              <w:spacing w:before="64" w:line="217" w:lineRule="auto"/>
              <w:ind w:left="277"/>
              <w:rPr>
                <w:sz w:val="18"/>
                <w:szCs w:val="18"/>
              </w:rPr>
            </w:pPr>
            <w:r>
              <w:rPr>
                <w:spacing w:val="-4"/>
                <w:sz w:val="18"/>
                <w:szCs w:val="18"/>
              </w:rPr>
              <w:t>未检出</w:t>
            </w:r>
          </w:p>
        </w:tc>
        <w:tc>
          <w:tcPr>
            <w:tcW w:w="1045" w:type="dxa"/>
            <w:vAlign w:val="top"/>
          </w:tcPr>
          <w:p w14:paraId="32A8FA97">
            <w:pPr>
              <w:pStyle w:val="6"/>
              <w:spacing w:before="64" w:line="217" w:lineRule="auto"/>
              <w:ind w:left="258"/>
              <w:rPr>
                <w:sz w:val="18"/>
                <w:szCs w:val="18"/>
              </w:rPr>
            </w:pPr>
            <w:r>
              <w:rPr>
                <w:spacing w:val="-4"/>
                <w:sz w:val="18"/>
                <w:szCs w:val="18"/>
              </w:rPr>
              <w:t>未检出</w:t>
            </w:r>
          </w:p>
        </w:tc>
        <w:tc>
          <w:tcPr>
            <w:tcW w:w="994" w:type="dxa"/>
            <w:vAlign w:val="top"/>
          </w:tcPr>
          <w:p w14:paraId="5A647021">
            <w:pPr>
              <w:pStyle w:val="6"/>
              <w:spacing w:before="64" w:line="217" w:lineRule="auto"/>
              <w:ind w:left="233"/>
              <w:rPr>
                <w:sz w:val="18"/>
                <w:szCs w:val="18"/>
              </w:rPr>
            </w:pPr>
            <w:r>
              <w:rPr>
                <w:spacing w:val="-4"/>
                <w:sz w:val="18"/>
                <w:szCs w:val="18"/>
              </w:rPr>
              <w:t>未检出</w:t>
            </w:r>
          </w:p>
        </w:tc>
        <w:tc>
          <w:tcPr>
            <w:tcW w:w="995" w:type="dxa"/>
            <w:vAlign w:val="top"/>
          </w:tcPr>
          <w:p w14:paraId="5D75A04B">
            <w:pPr>
              <w:pStyle w:val="6"/>
              <w:spacing w:before="64" w:line="217" w:lineRule="auto"/>
              <w:ind w:left="235"/>
              <w:rPr>
                <w:sz w:val="18"/>
                <w:szCs w:val="18"/>
              </w:rPr>
            </w:pPr>
            <w:r>
              <w:rPr>
                <w:spacing w:val="-4"/>
                <w:sz w:val="18"/>
                <w:szCs w:val="18"/>
              </w:rPr>
              <w:t>未检出</w:t>
            </w:r>
          </w:p>
        </w:tc>
        <w:tc>
          <w:tcPr>
            <w:tcW w:w="1071" w:type="dxa"/>
            <w:vAlign w:val="top"/>
          </w:tcPr>
          <w:p w14:paraId="37510702">
            <w:pPr>
              <w:pStyle w:val="6"/>
              <w:spacing w:before="64" w:line="217" w:lineRule="auto"/>
              <w:ind w:left="272"/>
              <w:rPr>
                <w:sz w:val="18"/>
                <w:szCs w:val="18"/>
              </w:rPr>
            </w:pPr>
            <w:r>
              <w:rPr>
                <w:spacing w:val="-4"/>
                <w:sz w:val="18"/>
                <w:szCs w:val="18"/>
              </w:rPr>
              <w:t>未检出</w:t>
            </w:r>
          </w:p>
        </w:tc>
        <w:tc>
          <w:tcPr>
            <w:tcW w:w="1177" w:type="dxa"/>
            <w:vAlign w:val="top"/>
          </w:tcPr>
          <w:p w14:paraId="0680CF39">
            <w:pPr>
              <w:pStyle w:val="6"/>
              <w:spacing w:before="64" w:line="217" w:lineRule="auto"/>
              <w:ind w:left="327"/>
              <w:rPr>
                <w:sz w:val="18"/>
                <w:szCs w:val="18"/>
              </w:rPr>
            </w:pPr>
            <w:r>
              <w:rPr>
                <w:spacing w:val="-4"/>
                <w:sz w:val="18"/>
                <w:szCs w:val="18"/>
              </w:rPr>
              <w:t>未检出</w:t>
            </w:r>
          </w:p>
        </w:tc>
        <w:tc>
          <w:tcPr>
            <w:tcW w:w="995" w:type="dxa"/>
            <w:vAlign w:val="top"/>
          </w:tcPr>
          <w:p w14:paraId="3364C9F1">
            <w:pPr>
              <w:pStyle w:val="6"/>
              <w:spacing w:before="64" w:line="217" w:lineRule="auto"/>
              <w:ind w:left="235"/>
              <w:rPr>
                <w:sz w:val="18"/>
                <w:szCs w:val="18"/>
              </w:rPr>
            </w:pPr>
            <w:r>
              <w:rPr>
                <w:spacing w:val="-4"/>
                <w:sz w:val="18"/>
                <w:szCs w:val="18"/>
              </w:rPr>
              <w:t>未检出</w:t>
            </w:r>
          </w:p>
        </w:tc>
        <w:tc>
          <w:tcPr>
            <w:tcW w:w="1046" w:type="dxa"/>
            <w:vAlign w:val="top"/>
          </w:tcPr>
          <w:p w14:paraId="4E554121">
            <w:pPr>
              <w:pStyle w:val="6"/>
              <w:spacing w:before="64" w:line="217" w:lineRule="auto"/>
              <w:ind w:left="260"/>
              <w:rPr>
                <w:sz w:val="18"/>
                <w:szCs w:val="18"/>
              </w:rPr>
            </w:pPr>
            <w:r>
              <w:rPr>
                <w:spacing w:val="-4"/>
                <w:sz w:val="18"/>
                <w:szCs w:val="18"/>
              </w:rPr>
              <w:t>未检出</w:t>
            </w:r>
          </w:p>
        </w:tc>
        <w:tc>
          <w:tcPr>
            <w:tcW w:w="1634" w:type="dxa"/>
            <w:vAlign w:val="top"/>
          </w:tcPr>
          <w:p w14:paraId="63761C46">
            <w:pPr>
              <w:pStyle w:val="6"/>
              <w:spacing w:before="64" w:line="217" w:lineRule="auto"/>
              <w:ind w:left="555"/>
              <w:rPr>
                <w:sz w:val="18"/>
                <w:szCs w:val="18"/>
              </w:rPr>
            </w:pPr>
            <w:r>
              <w:rPr>
                <w:spacing w:val="-4"/>
                <w:sz w:val="18"/>
                <w:szCs w:val="18"/>
              </w:rPr>
              <w:t>未检出</w:t>
            </w:r>
          </w:p>
        </w:tc>
        <w:tc>
          <w:tcPr>
            <w:tcW w:w="1066" w:type="dxa"/>
            <w:tcBorders>
              <w:right w:val="nil"/>
            </w:tcBorders>
            <w:vAlign w:val="top"/>
          </w:tcPr>
          <w:p w14:paraId="3928D00C">
            <w:pPr>
              <w:spacing w:before="92" w:line="188" w:lineRule="auto"/>
              <w:ind w:left="461"/>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15</w:t>
            </w:r>
          </w:p>
        </w:tc>
      </w:tr>
      <w:tr w14:paraId="4BF56D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590" w:type="dxa"/>
            <w:tcBorders>
              <w:left w:val="nil"/>
            </w:tcBorders>
            <w:vAlign w:val="top"/>
          </w:tcPr>
          <w:p w14:paraId="497DFAFF">
            <w:pPr>
              <w:spacing w:before="97"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41</w:t>
            </w:r>
          </w:p>
        </w:tc>
        <w:tc>
          <w:tcPr>
            <w:tcW w:w="1747" w:type="dxa"/>
            <w:vAlign w:val="top"/>
          </w:tcPr>
          <w:p w14:paraId="3A331244">
            <w:pPr>
              <w:pStyle w:val="6"/>
              <w:spacing w:before="65" w:line="212" w:lineRule="auto"/>
              <w:ind w:left="413"/>
              <w:rPr>
                <w:sz w:val="18"/>
                <w:szCs w:val="18"/>
              </w:rPr>
            </w:pPr>
            <w:r>
              <w:rPr>
                <w:spacing w:val="-2"/>
                <w:sz w:val="18"/>
                <w:szCs w:val="18"/>
              </w:rPr>
              <w:t>苯并</w:t>
            </w:r>
            <w:r>
              <w:rPr>
                <w:rFonts w:ascii="Times New Roman" w:hAnsi="Times New Roman" w:eastAsia="Times New Roman" w:cs="Times New Roman"/>
                <w:spacing w:val="-2"/>
                <w:sz w:val="18"/>
                <w:szCs w:val="18"/>
              </w:rPr>
              <w:t>[k]</w:t>
            </w:r>
            <w:r>
              <w:rPr>
                <w:spacing w:val="-2"/>
                <w:sz w:val="18"/>
                <w:szCs w:val="18"/>
              </w:rPr>
              <w:t>荧蒽</w:t>
            </w:r>
          </w:p>
        </w:tc>
        <w:tc>
          <w:tcPr>
            <w:tcW w:w="766" w:type="dxa"/>
            <w:vAlign w:val="top"/>
          </w:tcPr>
          <w:p w14:paraId="598ED8DF">
            <w:pPr>
              <w:pStyle w:val="6"/>
              <w:spacing w:before="65" w:line="217" w:lineRule="auto"/>
              <w:ind w:left="119"/>
              <w:rPr>
                <w:sz w:val="18"/>
                <w:szCs w:val="18"/>
              </w:rPr>
            </w:pPr>
            <w:r>
              <w:rPr>
                <w:spacing w:val="-4"/>
                <w:sz w:val="18"/>
                <w:szCs w:val="18"/>
              </w:rPr>
              <w:t>未检出</w:t>
            </w:r>
          </w:p>
        </w:tc>
        <w:tc>
          <w:tcPr>
            <w:tcW w:w="1082" w:type="dxa"/>
            <w:vAlign w:val="top"/>
          </w:tcPr>
          <w:p w14:paraId="50159130">
            <w:pPr>
              <w:pStyle w:val="6"/>
              <w:spacing w:before="65" w:line="217" w:lineRule="auto"/>
              <w:ind w:left="277"/>
              <w:rPr>
                <w:sz w:val="18"/>
                <w:szCs w:val="18"/>
              </w:rPr>
            </w:pPr>
            <w:r>
              <w:rPr>
                <w:spacing w:val="-4"/>
                <w:sz w:val="18"/>
                <w:szCs w:val="18"/>
              </w:rPr>
              <w:t>未检出</w:t>
            </w:r>
          </w:p>
        </w:tc>
        <w:tc>
          <w:tcPr>
            <w:tcW w:w="1045" w:type="dxa"/>
            <w:vAlign w:val="top"/>
          </w:tcPr>
          <w:p w14:paraId="7CC51904">
            <w:pPr>
              <w:pStyle w:val="6"/>
              <w:spacing w:before="65" w:line="217" w:lineRule="auto"/>
              <w:ind w:left="258"/>
              <w:rPr>
                <w:sz w:val="18"/>
                <w:szCs w:val="18"/>
              </w:rPr>
            </w:pPr>
            <w:r>
              <w:rPr>
                <w:spacing w:val="-4"/>
                <w:sz w:val="18"/>
                <w:szCs w:val="18"/>
              </w:rPr>
              <w:t>未检出</w:t>
            </w:r>
          </w:p>
        </w:tc>
        <w:tc>
          <w:tcPr>
            <w:tcW w:w="994" w:type="dxa"/>
            <w:vAlign w:val="top"/>
          </w:tcPr>
          <w:p w14:paraId="6D2F019D">
            <w:pPr>
              <w:pStyle w:val="6"/>
              <w:spacing w:before="65" w:line="217" w:lineRule="auto"/>
              <w:ind w:left="233"/>
              <w:rPr>
                <w:sz w:val="18"/>
                <w:szCs w:val="18"/>
              </w:rPr>
            </w:pPr>
            <w:r>
              <w:rPr>
                <w:spacing w:val="-4"/>
                <w:sz w:val="18"/>
                <w:szCs w:val="18"/>
              </w:rPr>
              <w:t>未检出</w:t>
            </w:r>
          </w:p>
        </w:tc>
        <w:tc>
          <w:tcPr>
            <w:tcW w:w="995" w:type="dxa"/>
            <w:vAlign w:val="top"/>
          </w:tcPr>
          <w:p w14:paraId="0AF40579">
            <w:pPr>
              <w:pStyle w:val="6"/>
              <w:spacing w:before="65" w:line="217" w:lineRule="auto"/>
              <w:ind w:left="235"/>
              <w:rPr>
                <w:sz w:val="18"/>
                <w:szCs w:val="18"/>
              </w:rPr>
            </w:pPr>
            <w:r>
              <w:rPr>
                <w:spacing w:val="-4"/>
                <w:sz w:val="18"/>
                <w:szCs w:val="18"/>
              </w:rPr>
              <w:t>未检出</w:t>
            </w:r>
          </w:p>
        </w:tc>
        <w:tc>
          <w:tcPr>
            <w:tcW w:w="1071" w:type="dxa"/>
            <w:vAlign w:val="top"/>
          </w:tcPr>
          <w:p w14:paraId="3DD81C50">
            <w:pPr>
              <w:pStyle w:val="6"/>
              <w:spacing w:before="65" w:line="217" w:lineRule="auto"/>
              <w:ind w:left="272"/>
              <w:rPr>
                <w:sz w:val="18"/>
                <w:szCs w:val="18"/>
              </w:rPr>
            </w:pPr>
            <w:r>
              <w:rPr>
                <w:spacing w:val="-4"/>
                <w:sz w:val="18"/>
                <w:szCs w:val="18"/>
              </w:rPr>
              <w:t>未检出</w:t>
            </w:r>
          </w:p>
        </w:tc>
        <w:tc>
          <w:tcPr>
            <w:tcW w:w="1177" w:type="dxa"/>
            <w:vAlign w:val="top"/>
          </w:tcPr>
          <w:p w14:paraId="31686CF8">
            <w:pPr>
              <w:pStyle w:val="6"/>
              <w:spacing w:before="65" w:line="217" w:lineRule="auto"/>
              <w:ind w:left="327"/>
              <w:rPr>
                <w:sz w:val="18"/>
                <w:szCs w:val="18"/>
              </w:rPr>
            </w:pPr>
            <w:r>
              <w:rPr>
                <w:spacing w:val="-4"/>
                <w:sz w:val="18"/>
                <w:szCs w:val="18"/>
              </w:rPr>
              <w:t>未检出</w:t>
            </w:r>
          </w:p>
        </w:tc>
        <w:tc>
          <w:tcPr>
            <w:tcW w:w="995" w:type="dxa"/>
            <w:vAlign w:val="top"/>
          </w:tcPr>
          <w:p w14:paraId="09A498FC">
            <w:pPr>
              <w:pStyle w:val="6"/>
              <w:spacing w:before="65" w:line="217" w:lineRule="auto"/>
              <w:ind w:left="235"/>
              <w:rPr>
                <w:sz w:val="18"/>
                <w:szCs w:val="18"/>
              </w:rPr>
            </w:pPr>
            <w:r>
              <w:rPr>
                <w:spacing w:val="-4"/>
                <w:sz w:val="18"/>
                <w:szCs w:val="18"/>
              </w:rPr>
              <w:t>未检出</w:t>
            </w:r>
          </w:p>
        </w:tc>
        <w:tc>
          <w:tcPr>
            <w:tcW w:w="1046" w:type="dxa"/>
            <w:vAlign w:val="top"/>
          </w:tcPr>
          <w:p w14:paraId="6D7FABE1">
            <w:pPr>
              <w:pStyle w:val="6"/>
              <w:spacing w:before="65" w:line="217" w:lineRule="auto"/>
              <w:ind w:left="260"/>
              <w:rPr>
                <w:sz w:val="18"/>
                <w:szCs w:val="18"/>
              </w:rPr>
            </w:pPr>
            <w:r>
              <w:rPr>
                <w:spacing w:val="-4"/>
                <w:sz w:val="18"/>
                <w:szCs w:val="18"/>
              </w:rPr>
              <w:t>未检出</w:t>
            </w:r>
          </w:p>
        </w:tc>
        <w:tc>
          <w:tcPr>
            <w:tcW w:w="1634" w:type="dxa"/>
            <w:vAlign w:val="top"/>
          </w:tcPr>
          <w:p w14:paraId="0149FE57">
            <w:pPr>
              <w:pStyle w:val="6"/>
              <w:spacing w:before="65" w:line="217" w:lineRule="auto"/>
              <w:ind w:left="555"/>
              <w:rPr>
                <w:sz w:val="18"/>
                <w:szCs w:val="18"/>
              </w:rPr>
            </w:pPr>
            <w:r>
              <w:rPr>
                <w:spacing w:val="-4"/>
                <w:sz w:val="18"/>
                <w:szCs w:val="18"/>
              </w:rPr>
              <w:t>未检出</w:t>
            </w:r>
          </w:p>
        </w:tc>
        <w:tc>
          <w:tcPr>
            <w:tcW w:w="1066" w:type="dxa"/>
            <w:tcBorders>
              <w:right w:val="nil"/>
            </w:tcBorders>
            <w:vAlign w:val="top"/>
          </w:tcPr>
          <w:p w14:paraId="62809FD5">
            <w:pPr>
              <w:spacing w:before="97" w:line="188" w:lineRule="auto"/>
              <w:ind w:left="41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151</w:t>
            </w:r>
          </w:p>
        </w:tc>
      </w:tr>
      <w:tr w14:paraId="34D00C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590" w:type="dxa"/>
            <w:tcBorders>
              <w:left w:val="nil"/>
            </w:tcBorders>
            <w:vAlign w:val="top"/>
          </w:tcPr>
          <w:p w14:paraId="56B29342">
            <w:pPr>
              <w:spacing w:before="97"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42</w:t>
            </w:r>
          </w:p>
        </w:tc>
        <w:tc>
          <w:tcPr>
            <w:tcW w:w="1747" w:type="dxa"/>
            <w:vAlign w:val="top"/>
          </w:tcPr>
          <w:p w14:paraId="28AC73FC">
            <w:pPr>
              <w:pStyle w:val="6"/>
              <w:spacing w:before="69" w:line="213" w:lineRule="auto"/>
              <w:ind w:left="792"/>
              <w:rPr>
                <w:sz w:val="18"/>
                <w:szCs w:val="18"/>
              </w:rPr>
            </w:pPr>
            <w:r>
              <w:rPr>
                <w:sz w:val="18"/>
                <w:szCs w:val="18"/>
              </w:rPr>
              <w:t>蒽</w:t>
            </w:r>
          </w:p>
        </w:tc>
        <w:tc>
          <w:tcPr>
            <w:tcW w:w="766" w:type="dxa"/>
            <w:vAlign w:val="top"/>
          </w:tcPr>
          <w:p w14:paraId="62270B7D">
            <w:pPr>
              <w:pStyle w:val="6"/>
              <w:spacing w:before="69" w:line="213" w:lineRule="auto"/>
              <w:ind w:left="119"/>
              <w:rPr>
                <w:sz w:val="18"/>
                <w:szCs w:val="18"/>
              </w:rPr>
            </w:pPr>
            <w:r>
              <w:rPr>
                <w:spacing w:val="-4"/>
                <w:sz w:val="18"/>
                <w:szCs w:val="18"/>
              </w:rPr>
              <w:t>未检出</w:t>
            </w:r>
          </w:p>
        </w:tc>
        <w:tc>
          <w:tcPr>
            <w:tcW w:w="1082" w:type="dxa"/>
            <w:vAlign w:val="top"/>
          </w:tcPr>
          <w:p w14:paraId="577816A7">
            <w:pPr>
              <w:pStyle w:val="6"/>
              <w:spacing w:before="69" w:line="213" w:lineRule="auto"/>
              <w:ind w:left="277"/>
              <w:rPr>
                <w:sz w:val="18"/>
                <w:szCs w:val="18"/>
              </w:rPr>
            </w:pPr>
            <w:r>
              <w:rPr>
                <w:spacing w:val="-4"/>
                <w:sz w:val="18"/>
                <w:szCs w:val="18"/>
              </w:rPr>
              <w:t>未检出</w:t>
            </w:r>
          </w:p>
        </w:tc>
        <w:tc>
          <w:tcPr>
            <w:tcW w:w="1045" w:type="dxa"/>
            <w:vAlign w:val="top"/>
          </w:tcPr>
          <w:p w14:paraId="4519AB79">
            <w:pPr>
              <w:pStyle w:val="6"/>
              <w:spacing w:before="69" w:line="213" w:lineRule="auto"/>
              <w:ind w:left="258"/>
              <w:rPr>
                <w:sz w:val="18"/>
                <w:szCs w:val="18"/>
              </w:rPr>
            </w:pPr>
            <w:r>
              <w:rPr>
                <w:spacing w:val="-4"/>
                <w:sz w:val="18"/>
                <w:szCs w:val="18"/>
              </w:rPr>
              <w:t>未检出</w:t>
            </w:r>
          </w:p>
        </w:tc>
        <w:tc>
          <w:tcPr>
            <w:tcW w:w="994" w:type="dxa"/>
            <w:vAlign w:val="top"/>
          </w:tcPr>
          <w:p w14:paraId="3BEF8EB7">
            <w:pPr>
              <w:pStyle w:val="6"/>
              <w:spacing w:before="69" w:line="213" w:lineRule="auto"/>
              <w:ind w:left="233"/>
              <w:rPr>
                <w:sz w:val="18"/>
                <w:szCs w:val="18"/>
              </w:rPr>
            </w:pPr>
            <w:r>
              <w:rPr>
                <w:spacing w:val="-4"/>
                <w:sz w:val="18"/>
                <w:szCs w:val="18"/>
              </w:rPr>
              <w:t>未检出</w:t>
            </w:r>
          </w:p>
        </w:tc>
        <w:tc>
          <w:tcPr>
            <w:tcW w:w="995" w:type="dxa"/>
            <w:vAlign w:val="top"/>
          </w:tcPr>
          <w:p w14:paraId="610B84A7">
            <w:pPr>
              <w:pStyle w:val="6"/>
              <w:spacing w:before="69" w:line="213" w:lineRule="auto"/>
              <w:ind w:left="235"/>
              <w:rPr>
                <w:sz w:val="18"/>
                <w:szCs w:val="18"/>
              </w:rPr>
            </w:pPr>
            <w:r>
              <w:rPr>
                <w:spacing w:val="-4"/>
                <w:sz w:val="18"/>
                <w:szCs w:val="18"/>
              </w:rPr>
              <w:t>未检出</w:t>
            </w:r>
          </w:p>
        </w:tc>
        <w:tc>
          <w:tcPr>
            <w:tcW w:w="1071" w:type="dxa"/>
            <w:vAlign w:val="top"/>
          </w:tcPr>
          <w:p w14:paraId="4BB0C15D">
            <w:pPr>
              <w:pStyle w:val="6"/>
              <w:spacing w:before="69" w:line="213" w:lineRule="auto"/>
              <w:ind w:left="272"/>
              <w:rPr>
                <w:sz w:val="18"/>
                <w:szCs w:val="18"/>
              </w:rPr>
            </w:pPr>
            <w:r>
              <w:rPr>
                <w:spacing w:val="-4"/>
                <w:sz w:val="18"/>
                <w:szCs w:val="18"/>
              </w:rPr>
              <w:t>未检出</w:t>
            </w:r>
          </w:p>
        </w:tc>
        <w:tc>
          <w:tcPr>
            <w:tcW w:w="1177" w:type="dxa"/>
            <w:vAlign w:val="top"/>
          </w:tcPr>
          <w:p w14:paraId="7F873873">
            <w:pPr>
              <w:pStyle w:val="6"/>
              <w:spacing w:before="69" w:line="213" w:lineRule="auto"/>
              <w:ind w:left="327"/>
              <w:rPr>
                <w:sz w:val="18"/>
                <w:szCs w:val="18"/>
              </w:rPr>
            </w:pPr>
            <w:r>
              <w:rPr>
                <w:spacing w:val="-4"/>
                <w:sz w:val="18"/>
                <w:szCs w:val="18"/>
              </w:rPr>
              <w:t>未检出</w:t>
            </w:r>
          </w:p>
        </w:tc>
        <w:tc>
          <w:tcPr>
            <w:tcW w:w="995" w:type="dxa"/>
            <w:vAlign w:val="top"/>
          </w:tcPr>
          <w:p w14:paraId="7034A234">
            <w:pPr>
              <w:pStyle w:val="6"/>
              <w:spacing w:before="69" w:line="213" w:lineRule="auto"/>
              <w:ind w:left="235"/>
              <w:rPr>
                <w:sz w:val="18"/>
                <w:szCs w:val="18"/>
              </w:rPr>
            </w:pPr>
            <w:r>
              <w:rPr>
                <w:spacing w:val="-4"/>
                <w:sz w:val="18"/>
                <w:szCs w:val="18"/>
              </w:rPr>
              <w:t>未检出</w:t>
            </w:r>
          </w:p>
        </w:tc>
        <w:tc>
          <w:tcPr>
            <w:tcW w:w="1046" w:type="dxa"/>
            <w:vAlign w:val="top"/>
          </w:tcPr>
          <w:p w14:paraId="25F649CC">
            <w:pPr>
              <w:pStyle w:val="6"/>
              <w:spacing w:before="69" w:line="213" w:lineRule="auto"/>
              <w:ind w:left="260"/>
              <w:rPr>
                <w:sz w:val="18"/>
                <w:szCs w:val="18"/>
              </w:rPr>
            </w:pPr>
            <w:r>
              <w:rPr>
                <w:spacing w:val="-4"/>
                <w:sz w:val="18"/>
                <w:szCs w:val="18"/>
              </w:rPr>
              <w:t>未检出</w:t>
            </w:r>
          </w:p>
        </w:tc>
        <w:tc>
          <w:tcPr>
            <w:tcW w:w="1634" w:type="dxa"/>
            <w:vAlign w:val="top"/>
          </w:tcPr>
          <w:p w14:paraId="06A58635">
            <w:pPr>
              <w:pStyle w:val="6"/>
              <w:spacing w:before="69" w:line="213" w:lineRule="auto"/>
              <w:ind w:left="555"/>
              <w:rPr>
                <w:sz w:val="18"/>
                <w:szCs w:val="18"/>
              </w:rPr>
            </w:pPr>
            <w:r>
              <w:rPr>
                <w:spacing w:val="-4"/>
                <w:sz w:val="18"/>
                <w:szCs w:val="18"/>
              </w:rPr>
              <w:t>未检出</w:t>
            </w:r>
          </w:p>
        </w:tc>
        <w:tc>
          <w:tcPr>
            <w:tcW w:w="1066" w:type="dxa"/>
            <w:tcBorders>
              <w:right w:val="nil"/>
            </w:tcBorders>
            <w:vAlign w:val="top"/>
          </w:tcPr>
          <w:p w14:paraId="26AEAFEB">
            <w:pPr>
              <w:spacing w:before="97" w:line="188" w:lineRule="auto"/>
              <w:ind w:left="372"/>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1293</w:t>
            </w:r>
          </w:p>
        </w:tc>
      </w:tr>
      <w:tr w14:paraId="35AFC5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590" w:type="dxa"/>
            <w:tcBorders>
              <w:left w:val="nil"/>
            </w:tcBorders>
            <w:vAlign w:val="top"/>
          </w:tcPr>
          <w:p w14:paraId="2C9BA811">
            <w:pPr>
              <w:spacing w:before="101"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43</w:t>
            </w:r>
          </w:p>
        </w:tc>
        <w:tc>
          <w:tcPr>
            <w:tcW w:w="1747" w:type="dxa"/>
            <w:vAlign w:val="top"/>
          </w:tcPr>
          <w:p w14:paraId="56336503">
            <w:pPr>
              <w:pStyle w:val="6"/>
              <w:spacing w:before="69" w:line="212" w:lineRule="auto"/>
              <w:ind w:left="239"/>
              <w:rPr>
                <w:sz w:val="18"/>
                <w:szCs w:val="18"/>
              </w:rPr>
            </w:pPr>
            <w:r>
              <w:rPr>
                <w:spacing w:val="-4"/>
                <w:sz w:val="18"/>
                <w:szCs w:val="18"/>
              </w:rPr>
              <w:t>二苯并</w:t>
            </w:r>
            <w:r>
              <w:rPr>
                <w:rFonts w:ascii="Times New Roman" w:hAnsi="Times New Roman" w:eastAsia="Times New Roman" w:cs="Times New Roman"/>
                <w:spacing w:val="-4"/>
                <w:sz w:val="18"/>
                <w:szCs w:val="18"/>
              </w:rPr>
              <w:t>[a</w:t>
            </w:r>
            <w:r>
              <w:rPr>
                <w:rFonts w:ascii="Times New Roman" w:hAnsi="Times New Roman" w:eastAsia="Times New Roman" w:cs="Times New Roman"/>
                <w:spacing w:val="-20"/>
                <w:sz w:val="18"/>
                <w:szCs w:val="18"/>
              </w:rPr>
              <w:t xml:space="preserve"> </w:t>
            </w:r>
            <w:r>
              <w:rPr>
                <w:spacing w:val="-4"/>
                <w:sz w:val="18"/>
                <w:szCs w:val="18"/>
              </w:rPr>
              <w:t>，</w:t>
            </w:r>
            <w:r>
              <w:rPr>
                <w:rFonts w:ascii="Times New Roman" w:hAnsi="Times New Roman" w:eastAsia="Times New Roman" w:cs="Times New Roman"/>
                <w:spacing w:val="-4"/>
                <w:sz w:val="18"/>
                <w:szCs w:val="18"/>
              </w:rPr>
              <w:t>h]</w:t>
            </w:r>
            <w:r>
              <w:rPr>
                <w:rFonts w:ascii="Times New Roman" w:hAnsi="Times New Roman" w:eastAsia="Times New Roman" w:cs="Times New Roman"/>
                <w:spacing w:val="5"/>
                <w:sz w:val="18"/>
                <w:szCs w:val="18"/>
              </w:rPr>
              <w:t xml:space="preserve">  </w:t>
            </w:r>
            <w:r>
              <w:rPr>
                <w:spacing w:val="-4"/>
                <w:sz w:val="18"/>
                <w:szCs w:val="18"/>
              </w:rPr>
              <w:t>蒽</w:t>
            </w:r>
          </w:p>
        </w:tc>
        <w:tc>
          <w:tcPr>
            <w:tcW w:w="766" w:type="dxa"/>
            <w:vAlign w:val="top"/>
          </w:tcPr>
          <w:p w14:paraId="16834D13">
            <w:pPr>
              <w:pStyle w:val="6"/>
              <w:spacing w:before="69" w:line="213" w:lineRule="auto"/>
              <w:ind w:left="119"/>
              <w:rPr>
                <w:sz w:val="18"/>
                <w:szCs w:val="18"/>
              </w:rPr>
            </w:pPr>
            <w:r>
              <w:rPr>
                <w:spacing w:val="-4"/>
                <w:sz w:val="18"/>
                <w:szCs w:val="18"/>
              </w:rPr>
              <w:t>未检出</w:t>
            </w:r>
          </w:p>
        </w:tc>
        <w:tc>
          <w:tcPr>
            <w:tcW w:w="1082" w:type="dxa"/>
            <w:vAlign w:val="top"/>
          </w:tcPr>
          <w:p w14:paraId="55966CA3">
            <w:pPr>
              <w:pStyle w:val="6"/>
              <w:spacing w:before="69" w:line="213" w:lineRule="auto"/>
              <w:ind w:left="277"/>
              <w:rPr>
                <w:sz w:val="18"/>
                <w:szCs w:val="18"/>
              </w:rPr>
            </w:pPr>
            <w:r>
              <w:rPr>
                <w:spacing w:val="-4"/>
                <w:sz w:val="18"/>
                <w:szCs w:val="18"/>
              </w:rPr>
              <w:t>未检出</w:t>
            </w:r>
          </w:p>
        </w:tc>
        <w:tc>
          <w:tcPr>
            <w:tcW w:w="1045" w:type="dxa"/>
            <w:vAlign w:val="top"/>
          </w:tcPr>
          <w:p w14:paraId="6B2F24DC">
            <w:pPr>
              <w:pStyle w:val="6"/>
              <w:spacing w:before="69" w:line="213" w:lineRule="auto"/>
              <w:ind w:left="258"/>
              <w:rPr>
                <w:sz w:val="18"/>
                <w:szCs w:val="18"/>
              </w:rPr>
            </w:pPr>
            <w:r>
              <w:rPr>
                <w:spacing w:val="-4"/>
                <w:sz w:val="18"/>
                <w:szCs w:val="18"/>
              </w:rPr>
              <w:t>未检出</w:t>
            </w:r>
          </w:p>
        </w:tc>
        <w:tc>
          <w:tcPr>
            <w:tcW w:w="994" w:type="dxa"/>
            <w:vAlign w:val="top"/>
          </w:tcPr>
          <w:p w14:paraId="4E07A360">
            <w:pPr>
              <w:pStyle w:val="6"/>
              <w:spacing w:before="69" w:line="213" w:lineRule="auto"/>
              <w:ind w:left="233"/>
              <w:rPr>
                <w:sz w:val="18"/>
                <w:szCs w:val="18"/>
              </w:rPr>
            </w:pPr>
            <w:r>
              <w:rPr>
                <w:spacing w:val="-4"/>
                <w:sz w:val="18"/>
                <w:szCs w:val="18"/>
              </w:rPr>
              <w:t>未检出</w:t>
            </w:r>
          </w:p>
        </w:tc>
        <w:tc>
          <w:tcPr>
            <w:tcW w:w="995" w:type="dxa"/>
            <w:vAlign w:val="top"/>
          </w:tcPr>
          <w:p w14:paraId="72AEC901">
            <w:pPr>
              <w:pStyle w:val="6"/>
              <w:spacing w:before="69" w:line="213" w:lineRule="auto"/>
              <w:ind w:left="235"/>
              <w:rPr>
                <w:sz w:val="18"/>
                <w:szCs w:val="18"/>
              </w:rPr>
            </w:pPr>
            <w:r>
              <w:rPr>
                <w:spacing w:val="-4"/>
                <w:sz w:val="18"/>
                <w:szCs w:val="18"/>
              </w:rPr>
              <w:t>未检出</w:t>
            </w:r>
          </w:p>
        </w:tc>
        <w:tc>
          <w:tcPr>
            <w:tcW w:w="1071" w:type="dxa"/>
            <w:vAlign w:val="top"/>
          </w:tcPr>
          <w:p w14:paraId="54536B40">
            <w:pPr>
              <w:pStyle w:val="6"/>
              <w:spacing w:before="69" w:line="213" w:lineRule="auto"/>
              <w:ind w:left="272"/>
              <w:rPr>
                <w:sz w:val="18"/>
                <w:szCs w:val="18"/>
              </w:rPr>
            </w:pPr>
            <w:r>
              <w:rPr>
                <w:spacing w:val="-4"/>
                <w:sz w:val="18"/>
                <w:szCs w:val="18"/>
              </w:rPr>
              <w:t>未检出</w:t>
            </w:r>
          </w:p>
        </w:tc>
        <w:tc>
          <w:tcPr>
            <w:tcW w:w="1177" w:type="dxa"/>
            <w:vAlign w:val="top"/>
          </w:tcPr>
          <w:p w14:paraId="0FFBDE1E">
            <w:pPr>
              <w:pStyle w:val="6"/>
              <w:spacing w:before="69" w:line="213" w:lineRule="auto"/>
              <w:ind w:left="327"/>
              <w:rPr>
                <w:sz w:val="18"/>
                <w:szCs w:val="18"/>
              </w:rPr>
            </w:pPr>
            <w:r>
              <w:rPr>
                <w:spacing w:val="-4"/>
                <w:sz w:val="18"/>
                <w:szCs w:val="18"/>
              </w:rPr>
              <w:t>未检出</w:t>
            </w:r>
          </w:p>
        </w:tc>
        <w:tc>
          <w:tcPr>
            <w:tcW w:w="995" w:type="dxa"/>
            <w:vAlign w:val="top"/>
          </w:tcPr>
          <w:p w14:paraId="2B66F16E">
            <w:pPr>
              <w:pStyle w:val="6"/>
              <w:spacing w:before="69" w:line="213" w:lineRule="auto"/>
              <w:ind w:left="235"/>
              <w:rPr>
                <w:sz w:val="18"/>
                <w:szCs w:val="18"/>
              </w:rPr>
            </w:pPr>
            <w:r>
              <w:rPr>
                <w:spacing w:val="-4"/>
                <w:sz w:val="18"/>
                <w:szCs w:val="18"/>
              </w:rPr>
              <w:t>未检出</w:t>
            </w:r>
          </w:p>
        </w:tc>
        <w:tc>
          <w:tcPr>
            <w:tcW w:w="1046" w:type="dxa"/>
            <w:vAlign w:val="top"/>
          </w:tcPr>
          <w:p w14:paraId="554EC632">
            <w:pPr>
              <w:pStyle w:val="6"/>
              <w:spacing w:before="69" w:line="213" w:lineRule="auto"/>
              <w:ind w:left="260"/>
              <w:rPr>
                <w:sz w:val="18"/>
                <w:szCs w:val="18"/>
              </w:rPr>
            </w:pPr>
            <w:r>
              <w:rPr>
                <w:spacing w:val="-4"/>
                <w:sz w:val="18"/>
                <w:szCs w:val="18"/>
              </w:rPr>
              <w:t>未检出</w:t>
            </w:r>
          </w:p>
        </w:tc>
        <w:tc>
          <w:tcPr>
            <w:tcW w:w="1634" w:type="dxa"/>
            <w:vAlign w:val="top"/>
          </w:tcPr>
          <w:p w14:paraId="52E04C32">
            <w:pPr>
              <w:pStyle w:val="6"/>
              <w:spacing w:before="69" w:line="213" w:lineRule="auto"/>
              <w:ind w:left="555"/>
              <w:rPr>
                <w:sz w:val="18"/>
                <w:szCs w:val="18"/>
              </w:rPr>
            </w:pPr>
            <w:r>
              <w:rPr>
                <w:spacing w:val="-4"/>
                <w:sz w:val="18"/>
                <w:szCs w:val="18"/>
              </w:rPr>
              <w:t>未检出</w:t>
            </w:r>
          </w:p>
        </w:tc>
        <w:tc>
          <w:tcPr>
            <w:tcW w:w="1066" w:type="dxa"/>
            <w:tcBorders>
              <w:right w:val="nil"/>
            </w:tcBorders>
            <w:vAlign w:val="top"/>
          </w:tcPr>
          <w:p w14:paraId="4FD639B8">
            <w:pPr>
              <w:spacing w:before="101" w:line="188" w:lineRule="auto"/>
              <w:ind w:left="440"/>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w:t>
            </w:r>
          </w:p>
        </w:tc>
      </w:tr>
      <w:tr w14:paraId="111B26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590" w:type="dxa"/>
            <w:tcBorders>
              <w:left w:val="nil"/>
            </w:tcBorders>
            <w:vAlign w:val="top"/>
          </w:tcPr>
          <w:p w14:paraId="46641A3F">
            <w:pPr>
              <w:spacing w:before="101"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44</w:t>
            </w:r>
          </w:p>
        </w:tc>
        <w:tc>
          <w:tcPr>
            <w:tcW w:w="1747" w:type="dxa"/>
            <w:vAlign w:val="top"/>
          </w:tcPr>
          <w:p w14:paraId="08286FB5">
            <w:pPr>
              <w:pStyle w:val="6"/>
              <w:spacing w:before="73" w:line="209" w:lineRule="auto"/>
              <w:ind w:left="346"/>
              <w:rPr>
                <w:sz w:val="18"/>
                <w:szCs w:val="18"/>
              </w:rPr>
            </w:pPr>
            <w:r>
              <w:rPr>
                <w:spacing w:val="-1"/>
                <w:sz w:val="18"/>
                <w:szCs w:val="18"/>
              </w:rPr>
              <w:t>并</w:t>
            </w:r>
            <w:r>
              <w:rPr>
                <w:rFonts w:ascii="Times New Roman" w:hAnsi="Times New Roman" w:eastAsia="Times New Roman" w:cs="Times New Roman"/>
                <w:spacing w:val="-1"/>
                <w:sz w:val="18"/>
                <w:szCs w:val="18"/>
              </w:rPr>
              <w:t>[1,2,3-cd]</w:t>
            </w:r>
            <w:r>
              <w:rPr>
                <w:spacing w:val="-1"/>
                <w:sz w:val="18"/>
                <w:szCs w:val="18"/>
              </w:rPr>
              <w:t>芘</w:t>
            </w:r>
          </w:p>
        </w:tc>
        <w:tc>
          <w:tcPr>
            <w:tcW w:w="766" w:type="dxa"/>
            <w:vAlign w:val="top"/>
          </w:tcPr>
          <w:p w14:paraId="40E5462F">
            <w:pPr>
              <w:pStyle w:val="6"/>
              <w:spacing w:before="73" w:line="209" w:lineRule="auto"/>
              <w:ind w:left="119"/>
              <w:rPr>
                <w:sz w:val="18"/>
                <w:szCs w:val="18"/>
              </w:rPr>
            </w:pPr>
            <w:r>
              <w:rPr>
                <w:spacing w:val="-4"/>
                <w:sz w:val="18"/>
                <w:szCs w:val="18"/>
              </w:rPr>
              <w:t>未检出</w:t>
            </w:r>
          </w:p>
        </w:tc>
        <w:tc>
          <w:tcPr>
            <w:tcW w:w="1082" w:type="dxa"/>
            <w:vAlign w:val="top"/>
          </w:tcPr>
          <w:p w14:paraId="421BB71F">
            <w:pPr>
              <w:pStyle w:val="6"/>
              <w:spacing w:before="73" w:line="209" w:lineRule="auto"/>
              <w:ind w:left="277"/>
              <w:rPr>
                <w:sz w:val="18"/>
                <w:szCs w:val="18"/>
              </w:rPr>
            </w:pPr>
            <w:r>
              <w:rPr>
                <w:spacing w:val="-4"/>
                <w:sz w:val="18"/>
                <w:szCs w:val="18"/>
              </w:rPr>
              <w:t>未检出</w:t>
            </w:r>
          </w:p>
        </w:tc>
        <w:tc>
          <w:tcPr>
            <w:tcW w:w="1045" w:type="dxa"/>
            <w:vAlign w:val="top"/>
          </w:tcPr>
          <w:p w14:paraId="4F5CDEE4">
            <w:pPr>
              <w:pStyle w:val="6"/>
              <w:spacing w:before="73" w:line="209" w:lineRule="auto"/>
              <w:ind w:left="258"/>
              <w:rPr>
                <w:sz w:val="18"/>
                <w:szCs w:val="18"/>
              </w:rPr>
            </w:pPr>
            <w:r>
              <w:rPr>
                <w:spacing w:val="-4"/>
                <w:sz w:val="18"/>
                <w:szCs w:val="18"/>
              </w:rPr>
              <w:t>未检出</w:t>
            </w:r>
          </w:p>
        </w:tc>
        <w:tc>
          <w:tcPr>
            <w:tcW w:w="994" w:type="dxa"/>
            <w:vAlign w:val="top"/>
          </w:tcPr>
          <w:p w14:paraId="1F4FC2B5">
            <w:pPr>
              <w:pStyle w:val="6"/>
              <w:spacing w:before="73" w:line="209" w:lineRule="auto"/>
              <w:ind w:left="233"/>
              <w:rPr>
                <w:sz w:val="18"/>
                <w:szCs w:val="18"/>
              </w:rPr>
            </w:pPr>
            <w:r>
              <w:rPr>
                <w:spacing w:val="-4"/>
                <w:sz w:val="18"/>
                <w:szCs w:val="18"/>
              </w:rPr>
              <w:t>未检出</w:t>
            </w:r>
          </w:p>
        </w:tc>
        <w:tc>
          <w:tcPr>
            <w:tcW w:w="995" w:type="dxa"/>
            <w:vAlign w:val="top"/>
          </w:tcPr>
          <w:p w14:paraId="45DF5B26">
            <w:pPr>
              <w:pStyle w:val="6"/>
              <w:spacing w:before="73" w:line="209" w:lineRule="auto"/>
              <w:ind w:left="235"/>
              <w:rPr>
                <w:sz w:val="18"/>
                <w:szCs w:val="18"/>
              </w:rPr>
            </w:pPr>
            <w:r>
              <w:rPr>
                <w:spacing w:val="-4"/>
                <w:sz w:val="18"/>
                <w:szCs w:val="18"/>
              </w:rPr>
              <w:t>未检出</w:t>
            </w:r>
          </w:p>
        </w:tc>
        <w:tc>
          <w:tcPr>
            <w:tcW w:w="1071" w:type="dxa"/>
            <w:vAlign w:val="top"/>
          </w:tcPr>
          <w:p w14:paraId="09E8480A">
            <w:pPr>
              <w:pStyle w:val="6"/>
              <w:spacing w:before="73" w:line="209" w:lineRule="auto"/>
              <w:ind w:left="272"/>
              <w:rPr>
                <w:sz w:val="18"/>
                <w:szCs w:val="18"/>
              </w:rPr>
            </w:pPr>
            <w:r>
              <w:rPr>
                <w:spacing w:val="-4"/>
                <w:sz w:val="18"/>
                <w:szCs w:val="18"/>
              </w:rPr>
              <w:t>未检出</w:t>
            </w:r>
          </w:p>
        </w:tc>
        <w:tc>
          <w:tcPr>
            <w:tcW w:w="1177" w:type="dxa"/>
            <w:vAlign w:val="top"/>
          </w:tcPr>
          <w:p w14:paraId="104EBD72">
            <w:pPr>
              <w:pStyle w:val="6"/>
              <w:spacing w:before="73" w:line="209" w:lineRule="auto"/>
              <w:ind w:left="327"/>
              <w:rPr>
                <w:sz w:val="18"/>
                <w:szCs w:val="18"/>
              </w:rPr>
            </w:pPr>
            <w:r>
              <w:rPr>
                <w:spacing w:val="-4"/>
                <w:sz w:val="18"/>
                <w:szCs w:val="18"/>
              </w:rPr>
              <w:t>未检出</w:t>
            </w:r>
          </w:p>
        </w:tc>
        <w:tc>
          <w:tcPr>
            <w:tcW w:w="995" w:type="dxa"/>
            <w:vAlign w:val="top"/>
          </w:tcPr>
          <w:p w14:paraId="63C10748">
            <w:pPr>
              <w:pStyle w:val="6"/>
              <w:spacing w:before="73" w:line="209" w:lineRule="auto"/>
              <w:ind w:left="235"/>
              <w:rPr>
                <w:sz w:val="18"/>
                <w:szCs w:val="18"/>
              </w:rPr>
            </w:pPr>
            <w:r>
              <w:rPr>
                <w:spacing w:val="-4"/>
                <w:sz w:val="18"/>
                <w:szCs w:val="18"/>
              </w:rPr>
              <w:t>未检出</w:t>
            </w:r>
          </w:p>
        </w:tc>
        <w:tc>
          <w:tcPr>
            <w:tcW w:w="1046" w:type="dxa"/>
            <w:vAlign w:val="top"/>
          </w:tcPr>
          <w:p w14:paraId="35A1833A">
            <w:pPr>
              <w:pStyle w:val="6"/>
              <w:spacing w:before="73" w:line="209" w:lineRule="auto"/>
              <w:ind w:left="260"/>
              <w:rPr>
                <w:sz w:val="18"/>
                <w:szCs w:val="18"/>
              </w:rPr>
            </w:pPr>
            <w:r>
              <w:rPr>
                <w:spacing w:val="-4"/>
                <w:sz w:val="18"/>
                <w:szCs w:val="18"/>
              </w:rPr>
              <w:t>未检出</w:t>
            </w:r>
          </w:p>
        </w:tc>
        <w:tc>
          <w:tcPr>
            <w:tcW w:w="1634" w:type="dxa"/>
            <w:vAlign w:val="top"/>
          </w:tcPr>
          <w:p w14:paraId="1A150753">
            <w:pPr>
              <w:pStyle w:val="6"/>
              <w:spacing w:before="73" w:line="209" w:lineRule="auto"/>
              <w:ind w:left="555"/>
              <w:rPr>
                <w:sz w:val="18"/>
                <w:szCs w:val="18"/>
              </w:rPr>
            </w:pPr>
            <w:r>
              <w:rPr>
                <w:spacing w:val="-4"/>
                <w:sz w:val="18"/>
                <w:szCs w:val="18"/>
              </w:rPr>
              <w:t>未检出</w:t>
            </w:r>
          </w:p>
        </w:tc>
        <w:tc>
          <w:tcPr>
            <w:tcW w:w="1066" w:type="dxa"/>
            <w:tcBorders>
              <w:right w:val="nil"/>
            </w:tcBorders>
            <w:vAlign w:val="top"/>
          </w:tcPr>
          <w:p w14:paraId="585B6712">
            <w:pPr>
              <w:spacing w:before="101" w:line="188" w:lineRule="auto"/>
              <w:ind w:left="461"/>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15</w:t>
            </w:r>
          </w:p>
        </w:tc>
      </w:tr>
      <w:tr w14:paraId="25E9CF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590" w:type="dxa"/>
            <w:tcBorders>
              <w:left w:val="nil"/>
              <w:bottom w:val="single" w:color="000000" w:sz="10" w:space="0"/>
            </w:tcBorders>
            <w:vAlign w:val="top"/>
          </w:tcPr>
          <w:p w14:paraId="5BBBC0FC">
            <w:pPr>
              <w:spacing w:before="105" w:line="188" w:lineRule="auto"/>
              <w:ind w:left="20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45</w:t>
            </w:r>
          </w:p>
        </w:tc>
        <w:tc>
          <w:tcPr>
            <w:tcW w:w="1747" w:type="dxa"/>
            <w:tcBorders>
              <w:bottom w:val="single" w:color="000000" w:sz="10" w:space="0"/>
            </w:tcBorders>
            <w:vAlign w:val="top"/>
          </w:tcPr>
          <w:p w14:paraId="07680741">
            <w:pPr>
              <w:pStyle w:val="6"/>
              <w:spacing w:before="73" w:line="220" w:lineRule="auto"/>
              <w:ind w:left="789"/>
              <w:rPr>
                <w:sz w:val="18"/>
                <w:szCs w:val="18"/>
              </w:rPr>
            </w:pPr>
            <w:r>
              <w:rPr>
                <w:sz w:val="18"/>
                <w:szCs w:val="18"/>
              </w:rPr>
              <w:t>萘</w:t>
            </w:r>
          </w:p>
        </w:tc>
        <w:tc>
          <w:tcPr>
            <w:tcW w:w="766" w:type="dxa"/>
            <w:tcBorders>
              <w:bottom w:val="single" w:color="000000" w:sz="10" w:space="0"/>
            </w:tcBorders>
            <w:vAlign w:val="top"/>
          </w:tcPr>
          <w:p w14:paraId="7CDDD13E">
            <w:pPr>
              <w:pStyle w:val="6"/>
              <w:spacing w:before="74" w:line="219" w:lineRule="auto"/>
              <w:ind w:left="119"/>
              <w:rPr>
                <w:sz w:val="18"/>
                <w:szCs w:val="18"/>
              </w:rPr>
            </w:pPr>
            <w:r>
              <w:rPr>
                <w:spacing w:val="-4"/>
                <w:sz w:val="18"/>
                <w:szCs w:val="18"/>
              </w:rPr>
              <w:t>未检出</w:t>
            </w:r>
          </w:p>
        </w:tc>
        <w:tc>
          <w:tcPr>
            <w:tcW w:w="1082" w:type="dxa"/>
            <w:tcBorders>
              <w:bottom w:val="single" w:color="000000" w:sz="10" w:space="0"/>
            </w:tcBorders>
            <w:vAlign w:val="top"/>
          </w:tcPr>
          <w:p w14:paraId="20D4457E">
            <w:pPr>
              <w:pStyle w:val="6"/>
              <w:spacing w:before="74" w:line="219" w:lineRule="auto"/>
              <w:ind w:left="277"/>
              <w:rPr>
                <w:sz w:val="18"/>
                <w:szCs w:val="18"/>
              </w:rPr>
            </w:pPr>
            <w:r>
              <w:rPr>
                <w:spacing w:val="-4"/>
                <w:sz w:val="18"/>
                <w:szCs w:val="18"/>
              </w:rPr>
              <w:t>未检出</w:t>
            </w:r>
          </w:p>
        </w:tc>
        <w:tc>
          <w:tcPr>
            <w:tcW w:w="1045" w:type="dxa"/>
            <w:tcBorders>
              <w:bottom w:val="single" w:color="000000" w:sz="10" w:space="0"/>
            </w:tcBorders>
            <w:vAlign w:val="top"/>
          </w:tcPr>
          <w:p w14:paraId="5559BF1E">
            <w:pPr>
              <w:pStyle w:val="6"/>
              <w:spacing w:before="74" w:line="219" w:lineRule="auto"/>
              <w:ind w:left="258"/>
              <w:rPr>
                <w:sz w:val="18"/>
                <w:szCs w:val="18"/>
              </w:rPr>
            </w:pPr>
            <w:r>
              <w:rPr>
                <w:spacing w:val="-4"/>
                <w:sz w:val="18"/>
                <w:szCs w:val="18"/>
              </w:rPr>
              <w:t>未检出</w:t>
            </w:r>
          </w:p>
        </w:tc>
        <w:tc>
          <w:tcPr>
            <w:tcW w:w="994" w:type="dxa"/>
            <w:tcBorders>
              <w:bottom w:val="single" w:color="000000" w:sz="10" w:space="0"/>
            </w:tcBorders>
            <w:vAlign w:val="top"/>
          </w:tcPr>
          <w:p w14:paraId="4C9215A5">
            <w:pPr>
              <w:pStyle w:val="6"/>
              <w:spacing w:before="74" w:line="219" w:lineRule="auto"/>
              <w:ind w:left="233"/>
              <w:rPr>
                <w:sz w:val="18"/>
                <w:szCs w:val="18"/>
              </w:rPr>
            </w:pPr>
            <w:r>
              <w:rPr>
                <w:spacing w:val="-4"/>
                <w:sz w:val="18"/>
                <w:szCs w:val="18"/>
              </w:rPr>
              <w:t>未检出</w:t>
            </w:r>
          </w:p>
        </w:tc>
        <w:tc>
          <w:tcPr>
            <w:tcW w:w="995" w:type="dxa"/>
            <w:tcBorders>
              <w:bottom w:val="single" w:color="000000" w:sz="10" w:space="0"/>
            </w:tcBorders>
            <w:vAlign w:val="top"/>
          </w:tcPr>
          <w:p w14:paraId="50533D3D">
            <w:pPr>
              <w:pStyle w:val="6"/>
              <w:spacing w:before="74" w:line="219" w:lineRule="auto"/>
              <w:ind w:left="235"/>
              <w:rPr>
                <w:sz w:val="18"/>
                <w:szCs w:val="18"/>
              </w:rPr>
            </w:pPr>
            <w:r>
              <w:rPr>
                <w:spacing w:val="-4"/>
                <w:sz w:val="18"/>
                <w:szCs w:val="18"/>
              </w:rPr>
              <w:t>未检出</w:t>
            </w:r>
          </w:p>
        </w:tc>
        <w:tc>
          <w:tcPr>
            <w:tcW w:w="1071" w:type="dxa"/>
            <w:tcBorders>
              <w:bottom w:val="single" w:color="000000" w:sz="10" w:space="0"/>
            </w:tcBorders>
            <w:vAlign w:val="top"/>
          </w:tcPr>
          <w:p w14:paraId="280E0FF2">
            <w:pPr>
              <w:pStyle w:val="6"/>
              <w:spacing w:before="74" w:line="219" w:lineRule="auto"/>
              <w:ind w:left="272"/>
              <w:rPr>
                <w:sz w:val="18"/>
                <w:szCs w:val="18"/>
              </w:rPr>
            </w:pPr>
            <w:r>
              <w:rPr>
                <w:spacing w:val="-4"/>
                <w:sz w:val="18"/>
                <w:szCs w:val="18"/>
              </w:rPr>
              <w:t>未检出</w:t>
            </w:r>
          </w:p>
        </w:tc>
        <w:tc>
          <w:tcPr>
            <w:tcW w:w="1177" w:type="dxa"/>
            <w:tcBorders>
              <w:bottom w:val="single" w:color="000000" w:sz="10" w:space="0"/>
            </w:tcBorders>
            <w:vAlign w:val="top"/>
          </w:tcPr>
          <w:p w14:paraId="5F60F62D">
            <w:pPr>
              <w:pStyle w:val="6"/>
              <w:spacing w:before="74" w:line="219" w:lineRule="auto"/>
              <w:ind w:left="327"/>
              <w:rPr>
                <w:sz w:val="18"/>
                <w:szCs w:val="18"/>
              </w:rPr>
            </w:pPr>
            <w:r>
              <w:rPr>
                <w:spacing w:val="-4"/>
                <w:sz w:val="18"/>
                <w:szCs w:val="18"/>
              </w:rPr>
              <w:t>未检出</w:t>
            </w:r>
          </w:p>
        </w:tc>
        <w:tc>
          <w:tcPr>
            <w:tcW w:w="995" w:type="dxa"/>
            <w:tcBorders>
              <w:bottom w:val="single" w:color="000000" w:sz="10" w:space="0"/>
            </w:tcBorders>
            <w:vAlign w:val="top"/>
          </w:tcPr>
          <w:p w14:paraId="7C62368D">
            <w:pPr>
              <w:pStyle w:val="6"/>
              <w:spacing w:before="74" w:line="219" w:lineRule="auto"/>
              <w:ind w:left="235"/>
              <w:rPr>
                <w:sz w:val="18"/>
                <w:szCs w:val="18"/>
              </w:rPr>
            </w:pPr>
            <w:r>
              <w:rPr>
                <w:spacing w:val="-4"/>
                <w:sz w:val="18"/>
                <w:szCs w:val="18"/>
              </w:rPr>
              <w:t>未检出</w:t>
            </w:r>
          </w:p>
        </w:tc>
        <w:tc>
          <w:tcPr>
            <w:tcW w:w="1046" w:type="dxa"/>
            <w:tcBorders>
              <w:bottom w:val="single" w:color="000000" w:sz="10" w:space="0"/>
            </w:tcBorders>
            <w:vAlign w:val="top"/>
          </w:tcPr>
          <w:p w14:paraId="1C8D64A4">
            <w:pPr>
              <w:pStyle w:val="6"/>
              <w:spacing w:before="74" w:line="219" w:lineRule="auto"/>
              <w:ind w:left="260"/>
              <w:rPr>
                <w:sz w:val="18"/>
                <w:szCs w:val="18"/>
              </w:rPr>
            </w:pPr>
            <w:r>
              <w:rPr>
                <w:spacing w:val="-4"/>
                <w:sz w:val="18"/>
                <w:szCs w:val="18"/>
              </w:rPr>
              <w:t>未检出</w:t>
            </w:r>
          </w:p>
        </w:tc>
        <w:tc>
          <w:tcPr>
            <w:tcW w:w="1634" w:type="dxa"/>
            <w:tcBorders>
              <w:bottom w:val="single" w:color="000000" w:sz="10" w:space="0"/>
            </w:tcBorders>
            <w:vAlign w:val="top"/>
          </w:tcPr>
          <w:p w14:paraId="018F0B59">
            <w:pPr>
              <w:pStyle w:val="6"/>
              <w:spacing w:before="74" w:line="219" w:lineRule="auto"/>
              <w:ind w:left="555"/>
              <w:rPr>
                <w:sz w:val="18"/>
                <w:szCs w:val="18"/>
              </w:rPr>
            </w:pPr>
            <w:r>
              <w:rPr>
                <w:spacing w:val="-4"/>
                <w:sz w:val="18"/>
                <w:szCs w:val="18"/>
              </w:rPr>
              <w:t>未检出</w:t>
            </w:r>
          </w:p>
        </w:tc>
        <w:tc>
          <w:tcPr>
            <w:tcW w:w="1066" w:type="dxa"/>
            <w:tcBorders>
              <w:bottom w:val="single" w:color="000000" w:sz="10" w:space="0"/>
              <w:right w:val="nil"/>
            </w:tcBorders>
            <w:vAlign w:val="top"/>
          </w:tcPr>
          <w:p w14:paraId="05B64D4E">
            <w:pPr>
              <w:spacing w:before="105" w:line="188" w:lineRule="auto"/>
              <w:ind w:left="44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70</w:t>
            </w:r>
          </w:p>
        </w:tc>
      </w:tr>
    </w:tbl>
    <w:p w14:paraId="730D87B7">
      <w:pPr>
        <w:pStyle w:val="2"/>
      </w:pPr>
    </w:p>
    <w:p w14:paraId="087CD15E">
      <w:pPr>
        <w:sectPr>
          <w:footerReference r:id="rId239" w:type="default"/>
          <w:pgSz w:w="16839" w:h="11906"/>
          <w:pgMar w:top="1190" w:right="1315" w:bottom="1012" w:left="1313" w:header="882" w:footer="850" w:gutter="0"/>
          <w:cols w:space="720" w:num="1"/>
        </w:sectPr>
      </w:pPr>
    </w:p>
    <w:p w14:paraId="77A0C5EC">
      <w:pPr>
        <w:spacing w:line="28" w:lineRule="exact"/>
        <w:ind w:firstLine="103"/>
      </w:pPr>
      <w:r>
        <w:pict>
          <v:shape id="_x0000_s1269" o:spid="_x0000_s1269" style="height:1.45pt;width:700.25pt;" fillcolor="#000000" filled="t" stroked="f" coordsize="14005,29" path="m0,0l14004,0,14004,28,0,28,0,0xe">
            <v:path/>
            <v:fill on="t" focussize="0,0"/>
            <v:stroke on="f"/>
            <v:imagedata o:title=""/>
            <o:lock v:ext="edit"/>
            <w10:wrap type="none"/>
            <w10:anchorlock/>
          </v:shape>
        </w:pict>
      </w:r>
    </w:p>
    <w:p w14:paraId="51C20185">
      <w:pPr>
        <w:spacing w:before="228" w:line="228" w:lineRule="auto"/>
        <w:ind w:left="4654"/>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4"/>
          <w:sz w:val="20"/>
          <w:szCs w:val="20"/>
        </w:rPr>
        <w:t xml:space="preserve"> </w:t>
      </w:r>
      <w:r>
        <w:rPr>
          <w:rFonts w:ascii="Times New Roman" w:hAnsi="Times New Roman" w:eastAsia="Times New Roman" w:cs="Times New Roman"/>
          <w:b/>
          <w:bCs/>
          <w:spacing w:val="6"/>
          <w:sz w:val="20"/>
          <w:szCs w:val="20"/>
        </w:rPr>
        <w:t xml:space="preserve">3.3-9        </w:t>
      </w:r>
      <w:r>
        <w:rPr>
          <w:rFonts w:ascii="宋体" w:hAnsi="宋体" w:eastAsia="宋体" w:cs="宋体"/>
          <w:b/>
          <w:bCs/>
          <w:spacing w:val="6"/>
          <w:sz w:val="20"/>
          <w:szCs w:val="20"/>
        </w:rPr>
        <w:t>项目厂区内柱状样检测点位土壤检</w:t>
      </w:r>
      <w:r>
        <w:rPr>
          <w:rFonts w:ascii="宋体" w:hAnsi="宋体" w:eastAsia="宋体" w:cs="宋体"/>
          <w:b/>
          <w:bCs/>
          <w:spacing w:val="5"/>
          <w:sz w:val="20"/>
          <w:szCs w:val="20"/>
        </w:rPr>
        <w:t>测结果</w:t>
      </w:r>
    </w:p>
    <w:p w14:paraId="73E04BDE">
      <w:pPr>
        <w:spacing w:line="130" w:lineRule="exact"/>
      </w:pPr>
    </w:p>
    <w:tbl>
      <w:tblPr>
        <w:tblStyle w:val="5"/>
        <w:tblW w:w="1420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61"/>
        <w:gridCol w:w="2196"/>
        <w:gridCol w:w="1643"/>
        <w:gridCol w:w="1279"/>
        <w:gridCol w:w="1304"/>
        <w:gridCol w:w="1279"/>
        <w:gridCol w:w="1279"/>
        <w:gridCol w:w="1123"/>
        <w:gridCol w:w="1514"/>
        <w:gridCol w:w="1330"/>
      </w:tblGrid>
      <w:tr w14:paraId="345176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261" w:type="dxa"/>
            <w:vMerge w:val="restart"/>
            <w:tcBorders>
              <w:top w:val="single" w:color="000000" w:sz="10" w:space="0"/>
              <w:left w:val="nil"/>
              <w:bottom w:val="nil"/>
            </w:tcBorders>
            <w:vAlign w:val="top"/>
          </w:tcPr>
          <w:p w14:paraId="43603574">
            <w:pPr>
              <w:spacing w:line="348" w:lineRule="auto"/>
              <w:rPr>
                <w:rFonts w:ascii="Arial"/>
                <w:sz w:val="21"/>
              </w:rPr>
            </w:pPr>
          </w:p>
          <w:p w14:paraId="0BDB195A">
            <w:pPr>
              <w:pStyle w:val="6"/>
              <w:spacing w:before="59" w:line="221" w:lineRule="auto"/>
              <w:ind w:left="456"/>
              <w:rPr>
                <w:sz w:val="18"/>
                <w:szCs w:val="18"/>
              </w:rPr>
            </w:pPr>
            <w:r>
              <w:rPr>
                <w:spacing w:val="-4"/>
                <w:sz w:val="18"/>
                <w:szCs w:val="18"/>
              </w:rPr>
              <w:t>序号</w:t>
            </w:r>
          </w:p>
        </w:tc>
        <w:tc>
          <w:tcPr>
            <w:tcW w:w="2196" w:type="dxa"/>
            <w:vMerge w:val="restart"/>
            <w:tcBorders>
              <w:top w:val="single" w:color="000000" w:sz="10" w:space="0"/>
              <w:bottom w:val="nil"/>
            </w:tcBorders>
            <w:vAlign w:val="top"/>
          </w:tcPr>
          <w:p w14:paraId="42B0E909">
            <w:pPr>
              <w:spacing w:line="349" w:lineRule="auto"/>
              <w:rPr>
                <w:rFonts w:ascii="Arial"/>
                <w:sz w:val="21"/>
              </w:rPr>
            </w:pPr>
          </w:p>
          <w:p w14:paraId="5F9991FA">
            <w:pPr>
              <w:pStyle w:val="6"/>
              <w:spacing w:before="58" w:line="220" w:lineRule="auto"/>
              <w:ind w:left="654"/>
              <w:rPr>
                <w:sz w:val="18"/>
                <w:szCs w:val="18"/>
              </w:rPr>
            </w:pPr>
            <w:r>
              <w:rPr>
                <w:spacing w:val="-2"/>
                <w:sz w:val="18"/>
                <w:szCs w:val="18"/>
              </w:rPr>
              <w:t>污染物项目</w:t>
            </w:r>
          </w:p>
        </w:tc>
        <w:tc>
          <w:tcPr>
            <w:tcW w:w="9421" w:type="dxa"/>
            <w:gridSpan w:val="7"/>
            <w:tcBorders>
              <w:top w:val="single" w:color="000000" w:sz="10" w:space="0"/>
            </w:tcBorders>
            <w:vAlign w:val="top"/>
          </w:tcPr>
          <w:p w14:paraId="0B60F16B">
            <w:pPr>
              <w:pStyle w:val="6"/>
              <w:spacing w:before="69" w:line="212" w:lineRule="auto"/>
              <w:ind w:left="4034"/>
              <w:rPr>
                <w:sz w:val="18"/>
                <w:szCs w:val="18"/>
              </w:rPr>
            </w:pPr>
            <w:r>
              <w:rPr>
                <w:spacing w:val="-1"/>
                <w:sz w:val="18"/>
                <w:szCs w:val="18"/>
              </w:rPr>
              <w:t>检测值（</w:t>
            </w:r>
            <w:r>
              <w:rPr>
                <w:rFonts w:ascii="Times New Roman" w:hAnsi="Times New Roman" w:eastAsia="Times New Roman" w:cs="Times New Roman"/>
                <w:spacing w:val="-1"/>
                <w:sz w:val="18"/>
                <w:szCs w:val="18"/>
              </w:rPr>
              <w:t>mg/kg</w:t>
            </w:r>
            <w:r>
              <w:rPr>
                <w:spacing w:val="-1"/>
                <w:sz w:val="18"/>
                <w:szCs w:val="18"/>
              </w:rPr>
              <w:t>）</w:t>
            </w:r>
          </w:p>
        </w:tc>
        <w:tc>
          <w:tcPr>
            <w:tcW w:w="1330" w:type="dxa"/>
            <w:vMerge w:val="restart"/>
            <w:tcBorders>
              <w:top w:val="single" w:color="000000" w:sz="10" w:space="0"/>
              <w:bottom w:val="nil"/>
              <w:right w:val="nil"/>
            </w:tcBorders>
            <w:vAlign w:val="top"/>
          </w:tcPr>
          <w:p w14:paraId="0CF78E58">
            <w:pPr>
              <w:pStyle w:val="6"/>
              <w:spacing w:before="135" w:line="229" w:lineRule="auto"/>
              <w:ind w:left="380" w:right="375" w:firstLine="20"/>
              <w:rPr>
                <w:rFonts w:ascii="Times New Roman" w:hAnsi="Times New Roman" w:eastAsia="Times New Roman" w:cs="Times New Roman"/>
                <w:sz w:val="18"/>
                <w:szCs w:val="18"/>
              </w:rPr>
            </w:pPr>
            <w:r>
              <w:rPr>
                <w:spacing w:val="-3"/>
                <w:sz w:val="18"/>
                <w:szCs w:val="18"/>
              </w:rPr>
              <w:t>筛选值</w:t>
            </w:r>
            <w:r>
              <w:rPr>
                <w:sz w:val="18"/>
                <w:szCs w:val="18"/>
              </w:rPr>
              <w:t xml:space="preserve"> </w:t>
            </w:r>
            <w:r>
              <w:rPr>
                <w:rFonts w:ascii="Times New Roman" w:hAnsi="Times New Roman" w:eastAsia="Times New Roman" w:cs="Times New Roman"/>
                <w:spacing w:val="-2"/>
                <w:sz w:val="18"/>
                <w:szCs w:val="18"/>
              </w:rPr>
              <w:t>(mg/kg)</w:t>
            </w:r>
          </w:p>
        </w:tc>
      </w:tr>
      <w:tr w14:paraId="2903A6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61" w:type="dxa"/>
            <w:vMerge w:val="continue"/>
            <w:tcBorders>
              <w:top w:val="nil"/>
              <w:left w:val="nil"/>
              <w:bottom w:val="nil"/>
            </w:tcBorders>
            <w:vAlign w:val="top"/>
          </w:tcPr>
          <w:p w14:paraId="6B00C4C2">
            <w:pPr>
              <w:rPr>
                <w:rFonts w:ascii="Arial"/>
                <w:sz w:val="21"/>
              </w:rPr>
            </w:pPr>
          </w:p>
        </w:tc>
        <w:tc>
          <w:tcPr>
            <w:tcW w:w="2196" w:type="dxa"/>
            <w:vMerge w:val="continue"/>
            <w:tcBorders>
              <w:top w:val="nil"/>
              <w:bottom w:val="nil"/>
            </w:tcBorders>
            <w:vAlign w:val="top"/>
          </w:tcPr>
          <w:p w14:paraId="271FA797">
            <w:pPr>
              <w:rPr>
                <w:rFonts w:ascii="Arial"/>
                <w:sz w:val="21"/>
              </w:rPr>
            </w:pPr>
          </w:p>
        </w:tc>
        <w:tc>
          <w:tcPr>
            <w:tcW w:w="4226" w:type="dxa"/>
            <w:gridSpan w:val="3"/>
            <w:vAlign w:val="top"/>
          </w:tcPr>
          <w:p w14:paraId="19D82407">
            <w:pPr>
              <w:pStyle w:val="6"/>
              <w:spacing w:before="77" w:line="217" w:lineRule="auto"/>
              <w:ind w:left="1490"/>
              <w:rPr>
                <w:sz w:val="18"/>
                <w:szCs w:val="18"/>
              </w:rPr>
            </w:pPr>
            <w:r>
              <w:rPr>
                <w:spacing w:val="-2"/>
                <w:sz w:val="18"/>
                <w:szCs w:val="18"/>
              </w:rPr>
              <w:t>厂区内④号点位</w:t>
            </w:r>
          </w:p>
        </w:tc>
        <w:tc>
          <w:tcPr>
            <w:tcW w:w="3681" w:type="dxa"/>
            <w:gridSpan w:val="3"/>
            <w:vAlign w:val="top"/>
          </w:tcPr>
          <w:p w14:paraId="785AE8F1">
            <w:pPr>
              <w:pStyle w:val="6"/>
              <w:spacing w:before="77" w:line="217" w:lineRule="auto"/>
              <w:ind w:left="1216"/>
              <w:rPr>
                <w:sz w:val="18"/>
                <w:szCs w:val="18"/>
              </w:rPr>
            </w:pPr>
            <w:r>
              <w:rPr>
                <w:spacing w:val="-2"/>
                <w:sz w:val="18"/>
                <w:szCs w:val="18"/>
              </w:rPr>
              <w:t>厂区内⑤号点位</w:t>
            </w:r>
          </w:p>
        </w:tc>
        <w:tc>
          <w:tcPr>
            <w:tcW w:w="1514" w:type="dxa"/>
            <w:vAlign w:val="top"/>
          </w:tcPr>
          <w:p w14:paraId="00605EF9">
            <w:pPr>
              <w:pStyle w:val="6"/>
              <w:spacing w:before="77" w:line="217" w:lineRule="auto"/>
              <w:ind w:left="132"/>
              <w:rPr>
                <w:sz w:val="18"/>
                <w:szCs w:val="18"/>
              </w:rPr>
            </w:pPr>
            <w:r>
              <w:rPr>
                <w:spacing w:val="-2"/>
                <w:sz w:val="18"/>
                <w:szCs w:val="18"/>
              </w:rPr>
              <w:t>厂区内⑦号点位</w:t>
            </w:r>
          </w:p>
        </w:tc>
        <w:tc>
          <w:tcPr>
            <w:tcW w:w="1330" w:type="dxa"/>
            <w:vMerge w:val="continue"/>
            <w:tcBorders>
              <w:top w:val="nil"/>
              <w:right w:val="nil"/>
            </w:tcBorders>
            <w:vAlign w:val="top"/>
          </w:tcPr>
          <w:p w14:paraId="54CA8D64">
            <w:pPr>
              <w:rPr>
                <w:rFonts w:ascii="Arial"/>
                <w:sz w:val="21"/>
              </w:rPr>
            </w:pPr>
          </w:p>
        </w:tc>
      </w:tr>
      <w:tr w14:paraId="2DBC8D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261" w:type="dxa"/>
            <w:vMerge w:val="continue"/>
            <w:tcBorders>
              <w:top w:val="nil"/>
              <w:left w:val="nil"/>
            </w:tcBorders>
            <w:vAlign w:val="top"/>
          </w:tcPr>
          <w:p w14:paraId="055BB354">
            <w:pPr>
              <w:rPr>
                <w:rFonts w:ascii="Arial"/>
                <w:sz w:val="21"/>
              </w:rPr>
            </w:pPr>
          </w:p>
        </w:tc>
        <w:tc>
          <w:tcPr>
            <w:tcW w:w="2196" w:type="dxa"/>
            <w:vMerge w:val="continue"/>
            <w:tcBorders>
              <w:top w:val="nil"/>
            </w:tcBorders>
            <w:vAlign w:val="top"/>
          </w:tcPr>
          <w:p w14:paraId="55AC9DAA">
            <w:pPr>
              <w:rPr>
                <w:rFonts w:ascii="Arial"/>
                <w:sz w:val="21"/>
              </w:rPr>
            </w:pPr>
          </w:p>
        </w:tc>
        <w:tc>
          <w:tcPr>
            <w:tcW w:w="1643" w:type="dxa"/>
            <w:vAlign w:val="top"/>
          </w:tcPr>
          <w:p w14:paraId="48A752B8">
            <w:pPr>
              <w:spacing w:before="108" w:line="188" w:lineRule="auto"/>
              <w:ind w:left="54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0-50cm</w:t>
            </w:r>
          </w:p>
        </w:tc>
        <w:tc>
          <w:tcPr>
            <w:tcW w:w="1279" w:type="dxa"/>
            <w:vAlign w:val="top"/>
          </w:tcPr>
          <w:p w14:paraId="2C9F74E3">
            <w:pPr>
              <w:spacing w:before="108" w:line="188" w:lineRule="auto"/>
              <w:ind w:left="28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50-150cm</w:t>
            </w:r>
          </w:p>
        </w:tc>
        <w:tc>
          <w:tcPr>
            <w:tcW w:w="1304" w:type="dxa"/>
            <w:vAlign w:val="top"/>
          </w:tcPr>
          <w:p w14:paraId="18012E37">
            <w:pPr>
              <w:spacing w:before="108" w:line="188" w:lineRule="auto"/>
              <w:ind w:left="25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150-300cm</w:t>
            </w:r>
          </w:p>
        </w:tc>
        <w:tc>
          <w:tcPr>
            <w:tcW w:w="1279" w:type="dxa"/>
            <w:vAlign w:val="top"/>
          </w:tcPr>
          <w:p w14:paraId="69CF7610">
            <w:pPr>
              <w:spacing w:before="108" w:line="188" w:lineRule="auto"/>
              <w:ind w:left="36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0-50cm</w:t>
            </w:r>
          </w:p>
        </w:tc>
        <w:tc>
          <w:tcPr>
            <w:tcW w:w="1279" w:type="dxa"/>
            <w:vAlign w:val="top"/>
          </w:tcPr>
          <w:p w14:paraId="6A912C74">
            <w:pPr>
              <w:spacing w:before="108" w:line="188" w:lineRule="auto"/>
              <w:ind w:left="28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50-150cm</w:t>
            </w:r>
          </w:p>
        </w:tc>
        <w:tc>
          <w:tcPr>
            <w:tcW w:w="1123" w:type="dxa"/>
            <w:vAlign w:val="top"/>
          </w:tcPr>
          <w:p w14:paraId="6DA002BC">
            <w:pPr>
              <w:spacing w:before="108" w:line="188" w:lineRule="auto"/>
              <w:ind w:left="1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150-300cm</w:t>
            </w:r>
          </w:p>
        </w:tc>
        <w:tc>
          <w:tcPr>
            <w:tcW w:w="1514" w:type="dxa"/>
            <w:vAlign w:val="top"/>
          </w:tcPr>
          <w:p w14:paraId="7F036F02">
            <w:pPr>
              <w:spacing w:before="108" w:line="188" w:lineRule="auto"/>
              <w:ind w:left="48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0-20cm</w:t>
            </w:r>
          </w:p>
        </w:tc>
        <w:tc>
          <w:tcPr>
            <w:tcW w:w="1330" w:type="dxa"/>
            <w:tcBorders>
              <w:right w:val="nil"/>
            </w:tcBorders>
            <w:vAlign w:val="top"/>
          </w:tcPr>
          <w:p w14:paraId="4904E001">
            <w:pPr>
              <w:pStyle w:val="6"/>
              <w:spacing w:before="77" w:line="219" w:lineRule="auto"/>
              <w:ind w:left="219"/>
              <w:rPr>
                <w:sz w:val="18"/>
                <w:szCs w:val="18"/>
              </w:rPr>
            </w:pPr>
            <w:r>
              <w:rPr>
                <w:spacing w:val="-2"/>
                <w:sz w:val="18"/>
                <w:szCs w:val="18"/>
              </w:rPr>
              <w:t>第二类用地</w:t>
            </w:r>
          </w:p>
        </w:tc>
      </w:tr>
    </w:tbl>
    <w:p w14:paraId="0E44717D">
      <w:pPr>
        <w:spacing w:before="26" w:line="219" w:lineRule="auto"/>
        <w:ind w:left="6481"/>
        <w:rPr>
          <w:rFonts w:ascii="宋体" w:hAnsi="宋体" w:eastAsia="宋体" w:cs="宋体"/>
          <w:sz w:val="18"/>
          <w:szCs w:val="18"/>
        </w:rPr>
      </w:pPr>
      <w:r>
        <w:rPr>
          <w:rFonts w:ascii="宋体" w:hAnsi="宋体" w:eastAsia="宋体" w:cs="宋体"/>
          <w:spacing w:val="-2"/>
          <w:sz w:val="18"/>
          <w:szCs w:val="18"/>
        </w:rPr>
        <w:t>重金属和无机物</w:t>
      </w:r>
    </w:p>
    <w:p w14:paraId="33996818">
      <w:pPr>
        <w:spacing w:line="61" w:lineRule="exact"/>
      </w:pPr>
    </w:p>
    <w:tbl>
      <w:tblPr>
        <w:tblStyle w:val="5"/>
        <w:tblW w:w="1420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261"/>
        <w:gridCol w:w="2196"/>
        <w:gridCol w:w="1643"/>
        <w:gridCol w:w="1279"/>
        <w:gridCol w:w="1304"/>
        <w:gridCol w:w="1279"/>
        <w:gridCol w:w="1279"/>
        <w:gridCol w:w="1123"/>
        <w:gridCol w:w="1514"/>
        <w:gridCol w:w="1330"/>
      </w:tblGrid>
      <w:tr w14:paraId="1A702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1261" w:type="dxa"/>
            <w:tcBorders>
              <w:left w:val="nil"/>
            </w:tcBorders>
            <w:vAlign w:val="top"/>
          </w:tcPr>
          <w:p w14:paraId="07AC5D6E">
            <w:pPr>
              <w:spacing w:before="95" w:line="188" w:lineRule="auto"/>
              <w:ind w:left="605"/>
              <w:rPr>
                <w:rFonts w:ascii="Times New Roman" w:hAnsi="Times New Roman" w:eastAsia="Times New Roman" w:cs="Times New Roman"/>
                <w:sz w:val="18"/>
                <w:szCs w:val="18"/>
              </w:rPr>
            </w:pPr>
            <w:r>
              <w:rPr>
                <w:rFonts w:ascii="Times New Roman" w:hAnsi="Times New Roman" w:eastAsia="Times New Roman" w:cs="Times New Roman"/>
                <w:sz w:val="18"/>
                <w:szCs w:val="18"/>
              </w:rPr>
              <w:t>1</w:t>
            </w:r>
          </w:p>
        </w:tc>
        <w:tc>
          <w:tcPr>
            <w:tcW w:w="2196" w:type="dxa"/>
            <w:vAlign w:val="top"/>
          </w:tcPr>
          <w:p w14:paraId="39F752BE">
            <w:pPr>
              <w:pStyle w:val="6"/>
              <w:spacing w:before="64" w:line="220" w:lineRule="auto"/>
              <w:ind w:left="1006"/>
              <w:rPr>
                <w:sz w:val="18"/>
                <w:szCs w:val="18"/>
              </w:rPr>
            </w:pPr>
            <w:r>
              <w:rPr>
                <w:sz w:val="18"/>
                <w:szCs w:val="18"/>
              </w:rPr>
              <w:t>砷</w:t>
            </w:r>
          </w:p>
        </w:tc>
        <w:tc>
          <w:tcPr>
            <w:tcW w:w="1643" w:type="dxa"/>
            <w:vAlign w:val="top"/>
          </w:tcPr>
          <w:p w14:paraId="300EC398">
            <w:pPr>
              <w:spacing w:before="95" w:line="188" w:lineRule="auto"/>
              <w:ind w:left="678"/>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10.3</w:t>
            </w:r>
          </w:p>
        </w:tc>
        <w:tc>
          <w:tcPr>
            <w:tcW w:w="1279" w:type="dxa"/>
            <w:vAlign w:val="top"/>
          </w:tcPr>
          <w:p w14:paraId="7CF7F0FB">
            <w:pPr>
              <w:spacing w:before="95" w:line="188" w:lineRule="auto"/>
              <w:ind w:left="4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9.79</w:t>
            </w:r>
          </w:p>
        </w:tc>
        <w:tc>
          <w:tcPr>
            <w:tcW w:w="1304" w:type="dxa"/>
            <w:vAlign w:val="top"/>
          </w:tcPr>
          <w:p w14:paraId="2BC0D807">
            <w:pPr>
              <w:spacing w:before="95" w:line="188" w:lineRule="auto"/>
              <w:ind w:left="49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9.42</w:t>
            </w:r>
          </w:p>
        </w:tc>
        <w:tc>
          <w:tcPr>
            <w:tcW w:w="1279" w:type="dxa"/>
            <w:vAlign w:val="top"/>
          </w:tcPr>
          <w:p w14:paraId="46FCDFD5">
            <w:pPr>
              <w:spacing w:before="95" w:line="188" w:lineRule="auto"/>
              <w:ind w:left="496"/>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10.3</w:t>
            </w:r>
          </w:p>
        </w:tc>
        <w:tc>
          <w:tcPr>
            <w:tcW w:w="1279" w:type="dxa"/>
            <w:vAlign w:val="top"/>
          </w:tcPr>
          <w:p w14:paraId="0E70C2C3">
            <w:pPr>
              <w:spacing w:before="95" w:line="188" w:lineRule="auto"/>
              <w:ind w:left="49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11.2</w:t>
            </w:r>
          </w:p>
        </w:tc>
        <w:tc>
          <w:tcPr>
            <w:tcW w:w="1123" w:type="dxa"/>
            <w:vAlign w:val="top"/>
          </w:tcPr>
          <w:p w14:paraId="21A2F93F">
            <w:pPr>
              <w:spacing w:before="95" w:line="188" w:lineRule="auto"/>
              <w:ind w:left="417"/>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10.6</w:t>
            </w:r>
          </w:p>
        </w:tc>
        <w:tc>
          <w:tcPr>
            <w:tcW w:w="1514" w:type="dxa"/>
            <w:vAlign w:val="top"/>
          </w:tcPr>
          <w:p w14:paraId="6DD6D168">
            <w:pPr>
              <w:spacing w:before="95" w:line="188" w:lineRule="auto"/>
              <w:ind w:left="612"/>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10.</w:t>
            </w:r>
            <w:r>
              <w:rPr>
                <w:rFonts w:ascii="Times New Roman" w:hAnsi="Times New Roman" w:eastAsia="Times New Roman" w:cs="Times New Roman"/>
                <w:spacing w:val="-22"/>
                <w:sz w:val="18"/>
                <w:szCs w:val="18"/>
              </w:rPr>
              <w:t xml:space="preserve"> </w:t>
            </w:r>
            <w:r>
              <w:rPr>
                <w:rFonts w:ascii="Times New Roman" w:hAnsi="Times New Roman" w:eastAsia="Times New Roman" w:cs="Times New Roman"/>
                <w:spacing w:val="-6"/>
                <w:sz w:val="18"/>
                <w:szCs w:val="18"/>
              </w:rPr>
              <w:t>1</w:t>
            </w:r>
          </w:p>
        </w:tc>
        <w:tc>
          <w:tcPr>
            <w:tcW w:w="1330" w:type="dxa"/>
            <w:tcBorders>
              <w:right w:val="nil"/>
            </w:tcBorders>
            <w:vAlign w:val="top"/>
          </w:tcPr>
          <w:p w14:paraId="14C802CF">
            <w:pPr>
              <w:pStyle w:val="6"/>
              <w:spacing w:before="64" w:line="217" w:lineRule="auto"/>
              <w:ind w:left="486"/>
              <w:rPr>
                <w:sz w:val="18"/>
                <w:szCs w:val="18"/>
              </w:rPr>
            </w:pPr>
            <w:r>
              <w:rPr>
                <w:rFonts w:ascii="Times New Roman" w:hAnsi="Times New Roman" w:eastAsia="Times New Roman" w:cs="Times New Roman"/>
                <w:spacing w:val="-3"/>
                <w:sz w:val="18"/>
                <w:szCs w:val="18"/>
              </w:rPr>
              <w:t>60</w:t>
            </w:r>
            <w:r>
              <w:rPr>
                <w:spacing w:val="-3"/>
                <w:sz w:val="18"/>
                <w:szCs w:val="18"/>
              </w:rPr>
              <w:t>①</w:t>
            </w:r>
          </w:p>
        </w:tc>
      </w:tr>
      <w:tr w14:paraId="65E7D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3" w:hRule="atLeast"/>
        </w:trPr>
        <w:tc>
          <w:tcPr>
            <w:tcW w:w="1261" w:type="dxa"/>
            <w:tcBorders>
              <w:left w:val="nil"/>
            </w:tcBorders>
            <w:vAlign w:val="top"/>
          </w:tcPr>
          <w:p w14:paraId="2892D365">
            <w:pPr>
              <w:spacing w:before="87" w:line="188"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tc>
        <w:tc>
          <w:tcPr>
            <w:tcW w:w="2196" w:type="dxa"/>
            <w:vAlign w:val="top"/>
          </w:tcPr>
          <w:p w14:paraId="1BE4E087">
            <w:pPr>
              <w:pStyle w:val="6"/>
              <w:spacing w:before="56" w:line="222" w:lineRule="auto"/>
              <w:ind w:left="1006"/>
              <w:rPr>
                <w:sz w:val="18"/>
                <w:szCs w:val="18"/>
              </w:rPr>
            </w:pPr>
            <w:r>
              <w:rPr>
                <w:sz w:val="18"/>
                <w:szCs w:val="18"/>
              </w:rPr>
              <w:t>镉</w:t>
            </w:r>
          </w:p>
        </w:tc>
        <w:tc>
          <w:tcPr>
            <w:tcW w:w="1643" w:type="dxa"/>
            <w:vAlign w:val="top"/>
          </w:tcPr>
          <w:p w14:paraId="30B0C045">
            <w:pPr>
              <w:spacing w:before="87" w:line="188" w:lineRule="auto"/>
              <w:ind w:left="66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0.60</w:t>
            </w:r>
          </w:p>
        </w:tc>
        <w:tc>
          <w:tcPr>
            <w:tcW w:w="1279" w:type="dxa"/>
            <w:vAlign w:val="top"/>
          </w:tcPr>
          <w:p w14:paraId="02EB3C53">
            <w:pPr>
              <w:spacing w:before="87" w:line="188" w:lineRule="auto"/>
              <w:ind w:left="4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0.56</w:t>
            </w:r>
          </w:p>
        </w:tc>
        <w:tc>
          <w:tcPr>
            <w:tcW w:w="1304" w:type="dxa"/>
            <w:vAlign w:val="top"/>
          </w:tcPr>
          <w:p w14:paraId="53D00BD9">
            <w:pPr>
              <w:spacing w:before="87" w:line="188" w:lineRule="auto"/>
              <w:ind w:left="49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0.51</w:t>
            </w:r>
          </w:p>
        </w:tc>
        <w:tc>
          <w:tcPr>
            <w:tcW w:w="1279" w:type="dxa"/>
            <w:vAlign w:val="top"/>
          </w:tcPr>
          <w:p w14:paraId="1B09940D">
            <w:pPr>
              <w:spacing w:before="87" w:line="188" w:lineRule="auto"/>
              <w:ind w:left="48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0.44</w:t>
            </w:r>
          </w:p>
        </w:tc>
        <w:tc>
          <w:tcPr>
            <w:tcW w:w="1279" w:type="dxa"/>
            <w:vAlign w:val="top"/>
          </w:tcPr>
          <w:p w14:paraId="4857C748">
            <w:pPr>
              <w:spacing w:before="87" w:line="188"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0.42</w:t>
            </w:r>
          </w:p>
        </w:tc>
        <w:tc>
          <w:tcPr>
            <w:tcW w:w="1123" w:type="dxa"/>
            <w:vAlign w:val="top"/>
          </w:tcPr>
          <w:p w14:paraId="1AD1A095">
            <w:pPr>
              <w:spacing w:before="87" w:line="188" w:lineRule="auto"/>
              <w:ind w:left="40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0.39</w:t>
            </w:r>
          </w:p>
        </w:tc>
        <w:tc>
          <w:tcPr>
            <w:tcW w:w="1514" w:type="dxa"/>
            <w:vAlign w:val="top"/>
          </w:tcPr>
          <w:p w14:paraId="7B22A039">
            <w:pPr>
              <w:spacing w:before="87" w:line="188" w:lineRule="auto"/>
              <w:ind w:left="59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0.36</w:t>
            </w:r>
          </w:p>
        </w:tc>
        <w:tc>
          <w:tcPr>
            <w:tcW w:w="1330" w:type="dxa"/>
            <w:tcBorders>
              <w:right w:val="nil"/>
            </w:tcBorders>
            <w:vAlign w:val="top"/>
          </w:tcPr>
          <w:p w14:paraId="147170A3">
            <w:pPr>
              <w:spacing w:before="87" w:line="188" w:lineRule="auto"/>
              <w:ind w:left="57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65</w:t>
            </w:r>
          </w:p>
        </w:tc>
      </w:tr>
      <w:tr w14:paraId="40ED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3" w:hRule="atLeast"/>
        </w:trPr>
        <w:tc>
          <w:tcPr>
            <w:tcW w:w="1261" w:type="dxa"/>
            <w:tcBorders>
              <w:left w:val="nil"/>
            </w:tcBorders>
            <w:vAlign w:val="top"/>
          </w:tcPr>
          <w:p w14:paraId="4BAFE2A5">
            <w:pPr>
              <w:spacing w:before="88" w:line="188" w:lineRule="auto"/>
              <w:ind w:left="591"/>
              <w:rPr>
                <w:rFonts w:ascii="Times New Roman" w:hAnsi="Times New Roman" w:eastAsia="Times New Roman" w:cs="Times New Roman"/>
                <w:sz w:val="18"/>
                <w:szCs w:val="18"/>
              </w:rPr>
            </w:pPr>
            <w:r>
              <w:rPr>
                <w:rFonts w:ascii="Times New Roman" w:hAnsi="Times New Roman" w:eastAsia="Times New Roman" w:cs="Times New Roman"/>
                <w:sz w:val="18"/>
                <w:szCs w:val="18"/>
              </w:rPr>
              <w:t>3</w:t>
            </w:r>
          </w:p>
        </w:tc>
        <w:tc>
          <w:tcPr>
            <w:tcW w:w="2196" w:type="dxa"/>
            <w:vAlign w:val="top"/>
          </w:tcPr>
          <w:p w14:paraId="08E4E940">
            <w:pPr>
              <w:pStyle w:val="6"/>
              <w:spacing w:before="59" w:line="218" w:lineRule="auto"/>
              <w:ind w:left="646"/>
              <w:rPr>
                <w:sz w:val="18"/>
                <w:szCs w:val="18"/>
              </w:rPr>
            </w:pPr>
            <w:r>
              <w:rPr>
                <w:spacing w:val="-2"/>
                <w:sz w:val="18"/>
                <w:szCs w:val="18"/>
              </w:rPr>
              <w:t>铬（六价）</w:t>
            </w:r>
          </w:p>
        </w:tc>
        <w:tc>
          <w:tcPr>
            <w:tcW w:w="1643" w:type="dxa"/>
            <w:vAlign w:val="top"/>
          </w:tcPr>
          <w:p w14:paraId="5051883A">
            <w:pPr>
              <w:pStyle w:val="6"/>
              <w:spacing w:before="60" w:line="219" w:lineRule="auto"/>
              <w:ind w:left="552"/>
              <w:rPr>
                <w:sz w:val="18"/>
                <w:szCs w:val="18"/>
              </w:rPr>
            </w:pPr>
            <w:r>
              <w:rPr>
                <w:spacing w:val="-4"/>
                <w:sz w:val="18"/>
                <w:szCs w:val="18"/>
              </w:rPr>
              <w:t>未检出</w:t>
            </w:r>
          </w:p>
        </w:tc>
        <w:tc>
          <w:tcPr>
            <w:tcW w:w="1279" w:type="dxa"/>
            <w:vAlign w:val="top"/>
          </w:tcPr>
          <w:p w14:paraId="42357D2E">
            <w:pPr>
              <w:pStyle w:val="6"/>
              <w:spacing w:before="60" w:line="219" w:lineRule="auto"/>
              <w:ind w:left="370"/>
              <w:rPr>
                <w:sz w:val="18"/>
                <w:szCs w:val="18"/>
              </w:rPr>
            </w:pPr>
            <w:r>
              <w:rPr>
                <w:spacing w:val="-4"/>
                <w:sz w:val="18"/>
                <w:szCs w:val="18"/>
              </w:rPr>
              <w:t>未检出</w:t>
            </w:r>
          </w:p>
        </w:tc>
        <w:tc>
          <w:tcPr>
            <w:tcW w:w="1304" w:type="dxa"/>
            <w:vAlign w:val="top"/>
          </w:tcPr>
          <w:p w14:paraId="2B0F3E20">
            <w:pPr>
              <w:pStyle w:val="6"/>
              <w:spacing w:before="60" w:line="219" w:lineRule="auto"/>
              <w:ind w:left="385"/>
              <w:rPr>
                <w:sz w:val="18"/>
                <w:szCs w:val="18"/>
              </w:rPr>
            </w:pPr>
            <w:r>
              <w:rPr>
                <w:spacing w:val="-4"/>
                <w:sz w:val="18"/>
                <w:szCs w:val="18"/>
              </w:rPr>
              <w:t>未检出</w:t>
            </w:r>
          </w:p>
        </w:tc>
        <w:tc>
          <w:tcPr>
            <w:tcW w:w="1279" w:type="dxa"/>
            <w:vAlign w:val="top"/>
          </w:tcPr>
          <w:p w14:paraId="7C81926F">
            <w:pPr>
              <w:pStyle w:val="6"/>
              <w:spacing w:before="60" w:line="219" w:lineRule="auto"/>
              <w:ind w:left="370"/>
              <w:rPr>
                <w:sz w:val="18"/>
                <w:szCs w:val="18"/>
              </w:rPr>
            </w:pPr>
            <w:r>
              <w:rPr>
                <w:spacing w:val="-4"/>
                <w:sz w:val="18"/>
                <w:szCs w:val="18"/>
              </w:rPr>
              <w:t>未检出</w:t>
            </w:r>
          </w:p>
        </w:tc>
        <w:tc>
          <w:tcPr>
            <w:tcW w:w="1279" w:type="dxa"/>
            <w:vAlign w:val="top"/>
          </w:tcPr>
          <w:p w14:paraId="2F18021C">
            <w:pPr>
              <w:pStyle w:val="6"/>
              <w:spacing w:before="60" w:line="219" w:lineRule="auto"/>
              <w:ind w:left="370"/>
              <w:rPr>
                <w:sz w:val="18"/>
                <w:szCs w:val="18"/>
              </w:rPr>
            </w:pPr>
            <w:r>
              <w:rPr>
                <w:spacing w:val="-4"/>
                <w:sz w:val="18"/>
                <w:szCs w:val="18"/>
              </w:rPr>
              <w:t>未检出</w:t>
            </w:r>
          </w:p>
        </w:tc>
        <w:tc>
          <w:tcPr>
            <w:tcW w:w="1123" w:type="dxa"/>
            <w:vAlign w:val="top"/>
          </w:tcPr>
          <w:p w14:paraId="2F806EB4">
            <w:pPr>
              <w:pStyle w:val="6"/>
              <w:spacing w:before="60" w:line="219" w:lineRule="auto"/>
              <w:ind w:left="293"/>
              <w:rPr>
                <w:sz w:val="18"/>
                <w:szCs w:val="18"/>
              </w:rPr>
            </w:pPr>
            <w:r>
              <w:rPr>
                <w:spacing w:val="-4"/>
                <w:sz w:val="18"/>
                <w:szCs w:val="18"/>
              </w:rPr>
              <w:t>未检出</w:t>
            </w:r>
          </w:p>
        </w:tc>
        <w:tc>
          <w:tcPr>
            <w:tcW w:w="1514" w:type="dxa"/>
            <w:vAlign w:val="top"/>
          </w:tcPr>
          <w:p w14:paraId="2C270226">
            <w:pPr>
              <w:pStyle w:val="6"/>
              <w:spacing w:before="60" w:line="219" w:lineRule="auto"/>
              <w:ind w:left="488"/>
              <w:rPr>
                <w:sz w:val="18"/>
                <w:szCs w:val="18"/>
              </w:rPr>
            </w:pPr>
            <w:r>
              <w:rPr>
                <w:spacing w:val="-4"/>
                <w:sz w:val="18"/>
                <w:szCs w:val="18"/>
              </w:rPr>
              <w:t>未检出</w:t>
            </w:r>
          </w:p>
        </w:tc>
        <w:tc>
          <w:tcPr>
            <w:tcW w:w="1330" w:type="dxa"/>
            <w:tcBorders>
              <w:right w:val="nil"/>
            </w:tcBorders>
            <w:vAlign w:val="top"/>
          </w:tcPr>
          <w:p w14:paraId="7BFA200E">
            <w:pPr>
              <w:spacing w:before="91" w:line="185" w:lineRule="auto"/>
              <w:ind w:left="55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5.7</w:t>
            </w:r>
          </w:p>
        </w:tc>
      </w:tr>
      <w:tr w14:paraId="64BC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3" w:hRule="atLeast"/>
        </w:trPr>
        <w:tc>
          <w:tcPr>
            <w:tcW w:w="1261" w:type="dxa"/>
            <w:tcBorders>
              <w:left w:val="nil"/>
            </w:tcBorders>
            <w:vAlign w:val="top"/>
          </w:tcPr>
          <w:p w14:paraId="3D0A5251">
            <w:pPr>
              <w:spacing w:before="92" w:line="188"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4</w:t>
            </w:r>
          </w:p>
        </w:tc>
        <w:tc>
          <w:tcPr>
            <w:tcW w:w="2196" w:type="dxa"/>
            <w:vAlign w:val="top"/>
          </w:tcPr>
          <w:p w14:paraId="403BB834">
            <w:pPr>
              <w:pStyle w:val="6"/>
              <w:spacing w:before="60" w:line="221" w:lineRule="auto"/>
              <w:ind w:left="1007"/>
              <w:rPr>
                <w:sz w:val="18"/>
                <w:szCs w:val="18"/>
              </w:rPr>
            </w:pPr>
            <w:r>
              <w:rPr>
                <w:sz w:val="18"/>
                <w:szCs w:val="18"/>
              </w:rPr>
              <w:t>铜</w:t>
            </w:r>
          </w:p>
        </w:tc>
        <w:tc>
          <w:tcPr>
            <w:tcW w:w="1643" w:type="dxa"/>
            <w:vAlign w:val="top"/>
          </w:tcPr>
          <w:p w14:paraId="75A2E645">
            <w:pPr>
              <w:spacing w:before="92" w:line="188" w:lineRule="auto"/>
              <w:ind w:left="72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29</w:t>
            </w:r>
          </w:p>
        </w:tc>
        <w:tc>
          <w:tcPr>
            <w:tcW w:w="1279" w:type="dxa"/>
            <w:vAlign w:val="top"/>
          </w:tcPr>
          <w:p w14:paraId="282B8D0B">
            <w:pPr>
              <w:spacing w:before="92" w:line="188" w:lineRule="auto"/>
              <w:ind w:left="548"/>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31</w:t>
            </w:r>
          </w:p>
        </w:tc>
        <w:tc>
          <w:tcPr>
            <w:tcW w:w="1304" w:type="dxa"/>
            <w:vAlign w:val="top"/>
          </w:tcPr>
          <w:p w14:paraId="20757BFC">
            <w:pPr>
              <w:spacing w:before="92" w:line="188" w:lineRule="auto"/>
              <w:ind w:left="56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33</w:t>
            </w:r>
          </w:p>
        </w:tc>
        <w:tc>
          <w:tcPr>
            <w:tcW w:w="1279" w:type="dxa"/>
            <w:vAlign w:val="top"/>
          </w:tcPr>
          <w:p w14:paraId="5BCA6E4F">
            <w:pPr>
              <w:spacing w:before="92" w:line="188" w:lineRule="auto"/>
              <w:ind w:left="54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33</w:t>
            </w:r>
          </w:p>
        </w:tc>
        <w:tc>
          <w:tcPr>
            <w:tcW w:w="1279" w:type="dxa"/>
            <w:vAlign w:val="top"/>
          </w:tcPr>
          <w:p w14:paraId="4519DBA4">
            <w:pPr>
              <w:spacing w:before="92" w:line="188" w:lineRule="auto"/>
              <w:ind w:left="54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1123" w:type="dxa"/>
            <w:vAlign w:val="top"/>
          </w:tcPr>
          <w:p w14:paraId="68DCAFB0">
            <w:pPr>
              <w:spacing w:before="92" w:line="188" w:lineRule="auto"/>
              <w:ind w:left="47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37</w:t>
            </w:r>
          </w:p>
        </w:tc>
        <w:tc>
          <w:tcPr>
            <w:tcW w:w="1514" w:type="dxa"/>
            <w:vAlign w:val="top"/>
          </w:tcPr>
          <w:p w14:paraId="782FFE12">
            <w:pPr>
              <w:spacing w:before="92" w:line="188" w:lineRule="auto"/>
              <w:ind w:left="66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36</w:t>
            </w:r>
          </w:p>
        </w:tc>
        <w:tc>
          <w:tcPr>
            <w:tcW w:w="1330" w:type="dxa"/>
            <w:tcBorders>
              <w:right w:val="nil"/>
            </w:tcBorders>
            <w:vAlign w:val="top"/>
          </w:tcPr>
          <w:p w14:paraId="0EC1CD81">
            <w:pPr>
              <w:spacing w:before="92" w:line="188" w:lineRule="auto"/>
              <w:ind w:left="45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18000</w:t>
            </w:r>
          </w:p>
        </w:tc>
      </w:tr>
      <w:tr w14:paraId="554D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3" w:hRule="atLeast"/>
        </w:trPr>
        <w:tc>
          <w:tcPr>
            <w:tcW w:w="1261" w:type="dxa"/>
            <w:tcBorders>
              <w:left w:val="nil"/>
            </w:tcBorders>
            <w:vAlign w:val="top"/>
          </w:tcPr>
          <w:p w14:paraId="5911D085">
            <w:pPr>
              <w:spacing w:before="96" w:line="185" w:lineRule="auto"/>
              <w:ind w:left="593"/>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tc>
        <w:tc>
          <w:tcPr>
            <w:tcW w:w="2196" w:type="dxa"/>
            <w:vAlign w:val="top"/>
          </w:tcPr>
          <w:p w14:paraId="49B3E6B6">
            <w:pPr>
              <w:pStyle w:val="6"/>
              <w:spacing w:before="62" w:line="224" w:lineRule="auto"/>
              <w:ind w:left="1007"/>
              <w:rPr>
                <w:sz w:val="18"/>
                <w:szCs w:val="18"/>
              </w:rPr>
            </w:pPr>
            <w:r>
              <w:rPr>
                <w:sz w:val="18"/>
                <w:szCs w:val="18"/>
              </w:rPr>
              <w:t>铅</w:t>
            </w:r>
          </w:p>
        </w:tc>
        <w:tc>
          <w:tcPr>
            <w:tcW w:w="1643" w:type="dxa"/>
            <w:vAlign w:val="top"/>
          </w:tcPr>
          <w:p w14:paraId="5F8FA007">
            <w:pPr>
              <w:spacing w:before="93" w:line="188" w:lineRule="auto"/>
              <w:ind w:left="678"/>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19.0</w:t>
            </w:r>
          </w:p>
        </w:tc>
        <w:tc>
          <w:tcPr>
            <w:tcW w:w="1279" w:type="dxa"/>
            <w:vAlign w:val="top"/>
          </w:tcPr>
          <w:p w14:paraId="2835C740">
            <w:pPr>
              <w:spacing w:before="93" w:line="188" w:lineRule="auto"/>
              <w:ind w:left="494"/>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19.8</w:t>
            </w:r>
          </w:p>
        </w:tc>
        <w:tc>
          <w:tcPr>
            <w:tcW w:w="1304" w:type="dxa"/>
            <w:vAlign w:val="top"/>
          </w:tcPr>
          <w:p w14:paraId="48BF47D7">
            <w:pPr>
              <w:spacing w:before="93" w:line="188" w:lineRule="auto"/>
              <w:ind w:left="48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21.0</w:t>
            </w:r>
          </w:p>
        </w:tc>
        <w:tc>
          <w:tcPr>
            <w:tcW w:w="1279" w:type="dxa"/>
            <w:vAlign w:val="top"/>
          </w:tcPr>
          <w:p w14:paraId="04BF1DED">
            <w:pPr>
              <w:spacing w:before="93" w:line="188" w:lineRule="auto"/>
              <w:ind w:left="48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31.7</w:t>
            </w:r>
          </w:p>
        </w:tc>
        <w:tc>
          <w:tcPr>
            <w:tcW w:w="1279" w:type="dxa"/>
            <w:vAlign w:val="top"/>
          </w:tcPr>
          <w:p w14:paraId="0952A937">
            <w:pPr>
              <w:spacing w:before="93" w:line="188" w:lineRule="auto"/>
              <w:ind w:left="4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32.6</w:t>
            </w:r>
          </w:p>
        </w:tc>
        <w:tc>
          <w:tcPr>
            <w:tcW w:w="1123" w:type="dxa"/>
            <w:vAlign w:val="top"/>
          </w:tcPr>
          <w:p w14:paraId="763E3B67">
            <w:pPr>
              <w:spacing w:before="93" w:line="188" w:lineRule="auto"/>
              <w:ind w:left="40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31.4</w:t>
            </w:r>
          </w:p>
        </w:tc>
        <w:tc>
          <w:tcPr>
            <w:tcW w:w="1514" w:type="dxa"/>
            <w:vAlign w:val="top"/>
          </w:tcPr>
          <w:p w14:paraId="72DFFCF0">
            <w:pPr>
              <w:spacing w:before="93" w:line="188" w:lineRule="auto"/>
              <w:ind w:left="59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35.0</w:t>
            </w:r>
          </w:p>
        </w:tc>
        <w:tc>
          <w:tcPr>
            <w:tcW w:w="1330" w:type="dxa"/>
            <w:tcBorders>
              <w:right w:val="nil"/>
            </w:tcBorders>
            <w:vAlign w:val="top"/>
          </w:tcPr>
          <w:p w14:paraId="0C3DA726">
            <w:pPr>
              <w:spacing w:before="93" w:line="188" w:lineRule="auto"/>
              <w:ind w:left="53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800</w:t>
            </w:r>
          </w:p>
        </w:tc>
      </w:tr>
      <w:tr w14:paraId="6E6C7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3" w:hRule="atLeast"/>
        </w:trPr>
        <w:tc>
          <w:tcPr>
            <w:tcW w:w="1261" w:type="dxa"/>
            <w:tcBorders>
              <w:left w:val="nil"/>
            </w:tcBorders>
            <w:vAlign w:val="top"/>
          </w:tcPr>
          <w:p w14:paraId="02F69310">
            <w:pPr>
              <w:spacing w:before="94" w:line="188" w:lineRule="auto"/>
              <w:ind w:left="592"/>
              <w:rPr>
                <w:rFonts w:ascii="Times New Roman" w:hAnsi="Times New Roman" w:eastAsia="Times New Roman" w:cs="Times New Roman"/>
                <w:sz w:val="18"/>
                <w:szCs w:val="18"/>
              </w:rPr>
            </w:pPr>
            <w:r>
              <w:rPr>
                <w:rFonts w:ascii="Times New Roman" w:hAnsi="Times New Roman" w:eastAsia="Times New Roman" w:cs="Times New Roman"/>
                <w:sz w:val="18"/>
                <w:szCs w:val="18"/>
              </w:rPr>
              <w:t>6</w:t>
            </w:r>
          </w:p>
        </w:tc>
        <w:tc>
          <w:tcPr>
            <w:tcW w:w="2196" w:type="dxa"/>
            <w:vAlign w:val="top"/>
          </w:tcPr>
          <w:p w14:paraId="243FF445">
            <w:pPr>
              <w:pStyle w:val="6"/>
              <w:spacing w:before="66" w:line="220" w:lineRule="auto"/>
              <w:ind w:left="1008"/>
              <w:rPr>
                <w:sz w:val="18"/>
                <w:szCs w:val="18"/>
              </w:rPr>
            </w:pPr>
            <w:r>
              <w:rPr>
                <w:sz w:val="18"/>
                <w:szCs w:val="18"/>
              </w:rPr>
              <w:t>汞</w:t>
            </w:r>
          </w:p>
        </w:tc>
        <w:tc>
          <w:tcPr>
            <w:tcW w:w="1643" w:type="dxa"/>
            <w:vAlign w:val="top"/>
          </w:tcPr>
          <w:p w14:paraId="0C88A53D">
            <w:pPr>
              <w:spacing w:before="94" w:line="188" w:lineRule="auto"/>
              <w:ind w:left="61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0.092</w:t>
            </w:r>
          </w:p>
        </w:tc>
        <w:tc>
          <w:tcPr>
            <w:tcW w:w="1279" w:type="dxa"/>
            <w:vAlign w:val="top"/>
          </w:tcPr>
          <w:p w14:paraId="545CED1E">
            <w:pPr>
              <w:spacing w:before="94" w:line="188" w:lineRule="auto"/>
              <w:ind w:left="43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0.089</w:t>
            </w:r>
          </w:p>
        </w:tc>
        <w:tc>
          <w:tcPr>
            <w:tcW w:w="1304" w:type="dxa"/>
            <w:vAlign w:val="top"/>
          </w:tcPr>
          <w:p w14:paraId="59ACA01B">
            <w:pPr>
              <w:spacing w:before="94" w:line="188" w:lineRule="auto"/>
              <w:ind w:left="44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0.086</w:t>
            </w:r>
          </w:p>
        </w:tc>
        <w:tc>
          <w:tcPr>
            <w:tcW w:w="1279" w:type="dxa"/>
            <w:vAlign w:val="top"/>
          </w:tcPr>
          <w:p w14:paraId="309DE40B">
            <w:pPr>
              <w:spacing w:before="94" w:line="188" w:lineRule="auto"/>
              <w:ind w:left="4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0.</w:t>
            </w:r>
            <w:r>
              <w:rPr>
                <w:rFonts w:ascii="Times New Roman" w:hAnsi="Times New Roman" w:eastAsia="Times New Roman" w:cs="Times New Roman"/>
                <w:spacing w:val="-22"/>
                <w:sz w:val="18"/>
                <w:szCs w:val="18"/>
              </w:rPr>
              <w:t xml:space="preserve"> </w:t>
            </w:r>
            <w:r>
              <w:rPr>
                <w:rFonts w:ascii="Times New Roman" w:hAnsi="Times New Roman" w:eastAsia="Times New Roman" w:cs="Times New Roman"/>
                <w:spacing w:val="-7"/>
                <w:sz w:val="18"/>
                <w:szCs w:val="18"/>
              </w:rPr>
              <w:t>111</w:t>
            </w:r>
          </w:p>
        </w:tc>
        <w:tc>
          <w:tcPr>
            <w:tcW w:w="1279" w:type="dxa"/>
            <w:vAlign w:val="top"/>
          </w:tcPr>
          <w:p w14:paraId="61713920">
            <w:pPr>
              <w:spacing w:before="94" w:line="188" w:lineRule="auto"/>
              <w:ind w:left="43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0.142</w:t>
            </w:r>
          </w:p>
        </w:tc>
        <w:tc>
          <w:tcPr>
            <w:tcW w:w="1123" w:type="dxa"/>
            <w:vAlign w:val="top"/>
          </w:tcPr>
          <w:p w14:paraId="347C2837">
            <w:pPr>
              <w:spacing w:before="94" w:line="188" w:lineRule="auto"/>
              <w:ind w:left="35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0.139</w:t>
            </w:r>
          </w:p>
        </w:tc>
        <w:tc>
          <w:tcPr>
            <w:tcW w:w="1514" w:type="dxa"/>
            <w:vAlign w:val="top"/>
          </w:tcPr>
          <w:p w14:paraId="4838E8FC">
            <w:pPr>
              <w:spacing w:before="94" w:line="188" w:lineRule="auto"/>
              <w:ind w:left="5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0.073</w:t>
            </w:r>
          </w:p>
        </w:tc>
        <w:tc>
          <w:tcPr>
            <w:tcW w:w="1330" w:type="dxa"/>
            <w:tcBorders>
              <w:right w:val="nil"/>
            </w:tcBorders>
            <w:vAlign w:val="top"/>
          </w:tcPr>
          <w:p w14:paraId="358DC5EE">
            <w:pPr>
              <w:spacing w:before="94" w:line="188" w:lineRule="auto"/>
              <w:ind w:left="57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38</w:t>
            </w:r>
          </w:p>
        </w:tc>
      </w:tr>
      <w:tr w14:paraId="66339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1261" w:type="dxa"/>
            <w:tcBorders>
              <w:left w:val="nil"/>
            </w:tcBorders>
            <w:vAlign w:val="top"/>
          </w:tcPr>
          <w:p w14:paraId="70AAB0AC">
            <w:pPr>
              <w:spacing w:before="101" w:line="185" w:lineRule="auto"/>
              <w:ind w:left="591"/>
              <w:rPr>
                <w:rFonts w:ascii="Times New Roman" w:hAnsi="Times New Roman" w:eastAsia="Times New Roman" w:cs="Times New Roman"/>
                <w:sz w:val="18"/>
                <w:szCs w:val="18"/>
              </w:rPr>
            </w:pPr>
            <w:r>
              <w:rPr>
                <w:rFonts w:ascii="Times New Roman" w:hAnsi="Times New Roman" w:eastAsia="Times New Roman" w:cs="Times New Roman"/>
                <w:sz w:val="18"/>
                <w:szCs w:val="18"/>
              </w:rPr>
              <w:t>7</w:t>
            </w:r>
          </w:p>
        </w:tc>
        <w:tc>
          <w:tcPr>
            <w:tcW w:w="2196" w:type="dxa"/>
            <w:vAlign w:val="top"/>
          </w:tcPr>
          <w:p w14:paraId="2C02AD80">
            <w:pPr>
              <w:pStyle w:val="6"/>
              <w:spacing w:before="67" w:line="220" w:lineRule="auto"/>
              <w:ind w:left="1006"/>
              <w:rPr>
                <w:sz w:val="18"/>
                <w:szCs w:val="18"/>
              </w:rPr>
            </w:pPr>
            <w:r>
              <w:rPr>
                <w:sz w:val="18"/>
                <w:szCs w:val="18"/>
              </w:rPr>
              <w:t>镍</w:t>
            </w:r>
          </w:p>
        </w:tc>
        <w:tc>
          <w:tcPr>
            <w:tcW w:w="1643" w:type="dxa"/>
            <w:vAlign w:val="top"/>
          </w:tcPr>
          <w:p w14:paraId="03A89C9B">
            <w:pPr>
              <w:spacing w:before="98" w:line="188" w:lineRule="auto"/>
              <w:ind w:left="730"/>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56</w:t>
            </w:r>
          </w:p>
        </w:tc>
        <w:tc>
          <w:tcPr>
            <w:tcW w:w="1279" w:type="dxa"/>
            <w:vAlign w:val="top"/>
          </w:tcPr>
          <w:p w14:paraId="0DCF8966">
            <w:pPr>
              <w:spacing w:before="98" w:line="188" w:lineRule="auto"/>
              <w:ind w:left="54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58</w:t>
            </w:r>
          </w:p>
        </w:tc>
        <w:tc>
          <w:tcPr>
            <w:tcW w:w="1304" w:type="dxa"/>
            <w:vAlign w:val="top"/>
          </w:tcPr>
          <w:p w14:paraId="49316E45">
            <w:pPr>
              <w:spacing w:before="98" w:line="188" w:lineRule="auto"/>
              <w:ind w:left="56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52</w:t>
            </w:r>
          </w:p>
        </w:tc>
        <w:tc>
          <w:tcPr>
            <w:tcW w:w="1279" w:type="dxa"/>
            <w:vAlign w:val="top"/>
          </w:tcPr>
          <w:p w14:paraId="557530C5">
            <w:pPr>
              <w:spacing w:before="98" w:line="188" w:lineRule="auto"/>
              <w:ind w:left="548"/>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51</w:t>
            </w:r>
          </w:p>
        </w:tc>
        <w:tc>
          <w:tcPr>
            <w:tcW w:w="1279" w:type="dxa"/>
            <w:vAlign w:val="top"/>
          </w:tcPr>
          <w:p w14:paraId="5AA9F2C6">
            <w:pPr>
              <w:spacing w:before="98" w:line="188" w:lineRule="auto"/>
              <w:ind w:left="54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47</w:t>
            </w:r>
          </w:p>
        </w:tc>
        <w:tc>
          <w:tcPr>
            <w:tcW w:w="1123" w:type="dxa"/>
            <w:vAlign w:val="top"/>
          </w:tcPr>
          <w:p w14:paraId="56F485F4">
            <w:pPr>
              <w:spacing w:before="98" w:line="188" w:lineRule="auto"/>
              <w:ind w:left="47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54</w:t>
            </w:r>
          </w:p>
        </w:tc>
        <w:tc>
          <w:tcPr>
            <w:tcW w:w="1514" w:type="dxa"/>
            <w:vAlign w:val="top"/>
          </w:tcPr>
          <w:p w14:paraId="6372B18A">
            <w:pPr>
              <w:spacing w:before="98" w:line="188" w:lineRule="auto"/>
              <w:ind w:left="66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38</w:t>
            </w:r>
          </w:p>
        </w:tc>
        <w:tc>
          <w:tcPr>
            <w:tcW w:w="1330" w:type="dxa"/>
            <w:tcBorders>
              <w:right w:val="nil"/>
            </w:tcBorders>
            <w:vAlign w:val="top"/>
          </w:tcPr>
          <w:p w14:paraId="2EC2F5C6">
            <w:pPr>
              <w:spacing w:before="98" w:line="188" w:lineRule="auto"/>
              <w:ind w:left="531"/>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900</w:t>
            </w:r>
          </w:p>
        </w:tc>
      </w:tr>
    </w:tbl>
    <w:p w14:paraId="220E89C4">
      <w:pPr>
        <w:spacing w:before="27" w:line="219" w:lineRule="auto"/>
        <w:ind w:left="6569"/>
        <w:rPr>
          <w:rFonts w:ascii="宋体" w:hAnsi="宋体" w:eastAsia="宋体" w:cs="宋体"/>
          <w:sz w:val="18"/>
          <w:szCs w:val="18"/>
        </w:rPr>
      </w:pPr>
      <w:r>
        <w:rPr>
          <w:rFonts w:ascii="宋体" w:hAnsi="宋体" w:eastAsia="宋体" w:cs="宋体"/>
          <w:spacing w:val="-2"/>
          <w:sz w:val="18"/>
          <w:szCs w:val="18"/>
        </w:rPr>
        <w:t>挥发性有机物</w:t>
      </w:r>
    </w:p>
    <w:p w14:paraId="2163A9F2">
      <w:pPr>
        <w:spacing w:line="60" w:lineRule="exact"/>
      </w:pPr>
    </w:p>
    <w:tbl>
      <w:tblPr>
        <w:tblStyle w:val="5"/>
        <w:tblW w:w="1420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261"/>
        <w:gridCol w:w="2196"/>
        <w:gridCol w:w="1643"/>
        <w:gridCol w:w="1279"/>
        <w:gridCol w:w="1304"/>
        <w:gridCol w:w="1279"/>
        <w:gridCol w:w="1279"/>
        <w:gridCol w:w="1123"/>
        <w:gridCol w:w="1514"/>
        <w:gridCol w:w="1330"/>
      </w:tblGrid>
      <w:tr w14:paraId="3351B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3" w:hRule="atLeast"/>
        </w:trPr>
        <w:tc>
          <w:tcPr>
            <w:tcW w:w="1261" w:type="dxa"/>
            <w:tcBorders>
              <w:left w:val="nil"/>
            </w:tcBorders>
            <w:vAlign w:val="top"/>
          </w:tcPr>
          <w:p w14:paraId="66230F83">
            <w:pPr>
              <w:spacing w:before="93" w:line="188" w:lineRule="auto"/>
              <w:ind w:left="595"/>
              <w:rPr>
                <w:rFonts w:ascii="Times New Roman" w:hAnsi="Times New Roman" w:eastAsia="Times New Roman" w:cs="Times New Roman"/>
                <w:sz w:val="18"/>
                <w:szCs w:val="18"/>
              </w:rPr>
            </w:pPr>
            <w:r>
              <w:rPr>
                <w:rFonts w:ascii="Times New Roman" w:hAnsi="Times New Roman" w:eastAsia="Times New Roman" w:cs="Times New Roman"/>
                <w:sz w:val="18"/>
                <w:szCs w:val="18"/>
              </w:rPr>
              <w:t>8</w:t>
            </w:r>
          </w:p>
        </w:tc>
        <w:tc>
          <w:tcPr>
            <w:tcW w:w="2196" w:type="dxa"/>
            <w:vAlign w:val="top"/>
          </w:tcPr>
          <w:p w14:paraId="0EBED3F0">
            <w:pPr>
              <w:pStyle w:val="6"/>
              <w:spacing w:before="65" w:line="220" w:lineRule="auto"/>
              <w:ind w:left="753"/>
              <w:rPr>
                <w:sz w:val="18"/>
                <w:szCs w:val="18"/>
              </w:rPr>
            </w:pPr>
            <w:r>
              <w:rPr>
                <w:spacing w:val="-6"/>
                <w:sz w:val="18"/>
                <w:szCs w:val="18"/>
              </w:rPr>
              <w:t>四氯化碳</w:t>
            </w:r>
          </w:p>
        </w:tc>
        <w:tc>
          <w:tcPr>
            <w:tcW w:w="1643" w:type="dxa"/>
            <w:vAlign w:val="top"/>
          </w:tcPr>
          <w:p w14:paraId="3F6AA691">
            <w:pPr>
              <w:pStyle w:val="6"/>
              <w:spacing w:before="65" w:line="219" w:lineRule="auto"/>
              <w:ind w:left="552"/>
              <w:rPr>
                <w:sz w:val="18"/>
                <w:szCs w:val="18"/>
              </w:rPr>
            </w:pPr>
            <w:r>
              <w:rPr>
                <w:spacing w:val="-4"/>
                <w:sz w:val="18"/>
                <w:szCs w:val="18"/>
              </w:rPr>
              <w:t>未检出</w:t>
            </w:r>
          </w:p>
        </w:tc>
        <w:tc>
          <w:tcPr>
            <w:tcW w:w="1279" w:type="dxa"/>
            <w:vAlign w:val="top"/>
          </w:tcPr>
          <w:p w14:paraId="573B9043">
            <w:pPr>
              <w:pStyle w:val="6"/>
              <w:spacing w:before="65" w:line="219" w:lineRule="auto"/>
              <w:ind w:left="370"/>
              <w:rPr>
                <w:sz w:val="18"/>
                <w:szCs w:val="18"/>
              </w:rPr>
            </w:pPr>
            <w:r>
              <w:rPr>
                <w:spacing w:val="-4"/>
                <w:sz w:val="18"/>
                <w:szCs w:val="18"/>
              </w:rPr>
              <w:t>未检出</w:t>
            </w:r>
          </w:p>
        </w:tc>
        <w:tc>
          <w:tcPr>
            <w:tcW w:w="1304" w:type="dxa"/>
            <w:vAlign w:val="top"/>
          </w:tcPr>
          <w:p w14:paraId="0CDE2D2A">
            <w:pPr>
              <w:pStyle w:val="6"/>
              <w:spacing w:before="65" w:line="219" w:lineRule="auto"/>
              <w:ind w:left="385"/>
              <w:rPr>
                <w:sz w:val="18"/>
                <w:szCs w:val="18"/>
              </w:rPr>
            </w:pPr>
            <w:r>
              <w:rPr>
                <w:spacing w:val="-4"/>
                <w:sz w:val="18"/>
                <w:szCs w:val="18"/>
              </w:rPr>
              <w:t>未检出</w:t>
            </w:r>
          </w:p>
        </w:tc>
        <w:tc>
          <w:tcPr>
            <w:tcW w:w="1279" w:type="dxa"/>
            <w:vAlign w:val="top"/>
          </w:tcPr>
          <w:p w14:paraId="3678CB33">
            <w:pPr>
              <w:pStyle w:val="6"/>
              <w:spacing w:before="65" w:line="219" w:lineRule="auto"/>
              <w:ind w:left="370"/>
              <w:rPr>
                <w:sz w:val="18"/>
                <w:szCs w:val="18"/>
              </w:rPr>
            </w:pPr>
            <w:r>
              <w:rPr>
                <w:spacing w:val="-4"/>
                <w:sz w:val="18"/>
                <w:szCs w:val="18"/>
              </w:rPr>
              <w:t>未检出</w:t>
            </w:r>
          </w:p>
        </w:tc>
        <w:tc>
          <w:tcPr>
            <w:tcW w:w="1279" w:type="dxa"/>
            <w:vAlign w:val="top"/>
          </w:tcPr>
          <w:p w14:paraId="18E7A922">
            <w:pPr>
              <w:pStyle w:val="6"/>
              <w:spacing w:before="65" w:line="219" w:lineRule="auto"/>
              <w:ind w:left="370"/>
              <w:rPr>
                <w:sz w:val="18"/>
                <w:szCs w:val="18"/>
              </w:rPr>
            </w:pPr>
            <w:r>
              <w:rPr>
                <w:spacing w:val="-4"/>
                <w:sz w:val="18"/>
                <w:szCs w:val="18"/>
              </w:rPr>
              <w:t>未检出</w:t>
            </w:r>
          </w:p>
        </w:tc>
        <w:tc>
          <w:tcPr>
            <w:tcW w:w="1123" w:type="dxa"/>
            <w:vAlign w:val="top"/>
          </w:tcPr>
          <w:p w14:paraId="130E664E">
            <w:pPr>
              <w:pStyle w:val="6"/>
              <w:spacing w:before="65" w:line="219" w:lineRule="auto"/>
              <w:ind w:left="293"/>
              <w:rPr>
                <w:sz w:val="18"/>
                <w:szCs w:val="18"/>
              </w:rPr>
            </w:pPr>
            <w:r>
              <w:rPr>
                <w:spacing w:val="-4"/>
                <w:sz w:val="18"/>
                <w:szCs w:val="18"/>
              </w:rPr>
              <w:t>未检出</w:t>
            </w:r>
          </w:p>
        </w:tc>
        <w:tc>
          <w:tcPr>
            <w:tcW w:w="1514" w:type="dxa"/>
            <w:vAlign w:val="top"/>
          </w:tcPr>
          <w:p w14:paraId="11106B73">
            <w:pPr>
              <w:pStyle w:val="6"/>
              <w:spacing w:before="65" w:line="219" w:lineRule="auto"/>
              <w:ind w:left="488"/>
              <w:rPr>
                <w:sz w:val="18"/>
                <w:szCs w:val="18"/>
              </w:rPr>
            </w:pPr>
            <w:r>
              <w:rPr>
                <w:spacing w:val="-4"/>
                <w:sz w:val="18"/>
                <w:szCs w:val="18"/>
              </w:rPr>
              <w:t>未检出</w:t>
            </w:r>
          </w:p>
        </w:tc>
        <w:tc>
          <w:tcPr>
            <w:tcW w:w="1330" w:type="dxa"/>
            <w:tcBorders>
              <w:right w:val="nil"/>
            </w:tcBorders>
            <w:vAlign w:val="top"/>
          </w:tcPr>
          <w:p w14:paraId="3F197661">
            <w:pPr>
              <w:spacing w:before="93" w:line="188" w:lineRule="auto"/>
              <w:ind w:left="5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w:t>
            </w:r>
          </w:p>
        </w:tc>
      </w:tr>
      <w:tr w14:paraId="041E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3C2F18A5">
            <w:pPr>
              <w:spacing w:before="87" w:line="188" w:lineRule="auto"/>
              <w:ind w:left="591"/>
              <w:rPr>
                <w:rFonts w:ascii="Times New Roman" w:hAnsi="Times New Roman" w:eastAsia="Times New Roman" w:cs="Times New Roman"/>
                <w:sz w:val="18"/>
                <w:szCs w:val="18"/>
              </w:rPr>
            </w:pPr>
            <w:r>
              <w:rPr>
                <w:rFonts w:ascii="Times New Roman" w:hAnsi="Times New Roman" w:eastAsia="Times New Roman" w:cs="Times New Roman"/>
                <w:sz w:val="18"/>
                <w:szCs w:val="18"/>
              </w:rPr>
              <w:t>9</w:t>
            </w:r>
          </w:p>
        </w:tc>
        <w:tc>
          <w:tcPr>
            <w:tcW w:w="2196" w:type="dxa"/>
            <w:vAlign w:val="top"/>
          </w:tcPr>
          <w:p w14:paraId="18C368AC">
            <w:pPr>
              <w:pStyle w:val="6"/>
              <w:spacing w:before="56" w:line="220" w:lineRule="auto"/>
              <w:ind w:left="919"/>
              <w:rPr>
                <w:sz w:val="18"/>
                <w:szCs w:val="18"/>
              </w:rPr>
            </w:pPr>
            <w:r>
              <w:rPr>
                <w:spacing w:val="-5"/>
                <w:sz w:val="18"/>
                <w:szCs w:val="18"/>
              </w:rPr>
              <w:t>氯仿</w:t>
            </w:r>
          </w:p>
        </w:tc>
        <w:tc>
          <w:tcPr>
            <w:tcW w:w="1643" w:type="dxa"/>
            <w:vAlign w:val="top"/>
          </w:tcPr>
          <w:p w14:paraId="6D959344">
            <w:pPr>
              <w:pStyle w:val="6"/>
              <w:spacing w:before="56" w:line="219" w:lineRule="auto"/>
              <w:ind w:left="552"/>
              <w:rPr>
                <w:sz w:val="18"/>
                <w:szCs w:val="18"/>
              </w:rPr>
            </w:pPr>
            <w:r>
              <w:rPr>
                <w:spacing w:val="-4"/>
                <w:sz w:val="18"/>
                <w:szCs w:val="18"/>
              </w:rPr>
              <w:t>未检出</w:t>
            </w:r>
          </w:p>
        </w:tc>
        <w:tc>
          <w:tcPr>
            <w:tcW w:w="1279" w:type="dxa"/>
            <w:vAlign w:val="top"/>
          </w:tcPr>
          <w:p w14:paraId="7B2B0C7D">
            <w:pPr>
              <w:pStyle w:val="6"/>
              <w:spacing w:before="56" w:line="219" w:lineRule="auto"/>
              <w:ind w:left="370"/>
              <w:rPr>
                <w:sz w:val="18"/>
                <w:szCs w:val="18"/>
              </w:rPr>
            </w:pPr>
            <w:r>
              <w:rPr>
                <w:spacing w:val="-4"/>
                <w:sz w:val="18"/>
                <w:szCs w:val="18"/>
              </w:rPr>
              <w:t>未检出</w:t>
            </w:r>
          </w:p>
        </w:tc>
        <w:tc>
          <w:tcPr>
            <w:tcW w:w="1304" w:type="dxa"/>
            <w:vAlign w:val="top"/>
          </w:tcPr>
          <w:p w14:paraId="03816867">
            <w:pPr>
              <w:pStyle w:val="6"/>
              <w:spacing w:before="56" w:line="219" w:lineRule="auto"/>
              <w:ind w:left="385"/>
              <w:rPr>
                <w:sz w:val="18"/>
                <w:szCs w:val="18"/>
              </w:rPr>
            </w:pPr>
            <w:r>
              <w:rPr>
                <w:spacing w:val="-4"/>
                <w:sz w:val="18"/>
                <w:szCs w:val="18"/>
              </w:rPr>
              <w:t>未检出</w:t>
            </w:r>
          </w:p>
        </w:tc>
        <w:tc>
          <w:tcPr>
            <w:tcW w:w="1279" w:type="dxa"/>
            <w:vAlign w:val="top"/>
          </w:tcPr>
          <w:p w14:paraId="4F5A6697">
            <w:pPr>
              <w:pStyle w:val="6"/>
              <w:spacing w:before="56" w:line="219" w:lineRule="auto"/>
              <w:ind w:left="370"/>
              <w:rPr>
                <w:sz w:val="18"/>
                <w:szCs w:val="18"/>
              </w:rPr>
            </w:pPr>
            <w:r>
              <w:rPr>
                <w:spacing w:val="-4"/>
                <w:sz w:val="18"/>
                <w:szCs w:val="18"/>
              </w:rPr>
              <w:t>未检出</w:t>
            </w:r>
          </w:p>
        </w:tc>
        <w:tc>
          <w:tcPr>
            <w:tcW w:w="1279" w:type="dxa"/>
            <w:vAlign w:val="top"/>
          </w:tcPr>
          <w:p w14:paraId="6EDE8F9C">
            <w:pPr>
              <w:pStyle w:val="6"/>
              <w:spacing w:before="56" w:line="219" w:lineRule="auto"/>
              <w:ind w:left="370"/>
              <w:rPr>
                <w:sz w:val="18"/>
                <w:szCs w:val="18"/>
              </w:rPr>
            </w:pPr>
            <w:r>
              <w:rPr>
                <w:spacing w:val="-4"/>
                <w:sz w:val="18"/>
                <w:szCs w:val="18"/>
              </w:rPr>
              <w:t>未检出</w:t>
            </w:r>
          </w:p>
        </w:tc>
        <w:tc>
          <w:tcPr>
            <w:tcW w:w="1123" w:type="dxa"/>
            <w:vAlign w:val="top"/>
          </w:tcPr>
          <w:p w14:paraId="7F93060F">
            <w:pPr>
              <w:pStyle w:val="6"/>
              <w:spacing w:before="56" w:line="219" w:lineRule="auto"/>
              <w:ind w:left="293"/>
              <w:rPr>
                <w:sz w:val="18"/>
                <w:szCs w:val="18"/>
              </w:rPr>
            </w:pPr>
            <w:r>
              <w:rPr>
                <w:spacing w:val="-4"/>
                <w:sz w:val="18"/>
                <w:szCs w:val="18"/>
              </w:rPr>
              <w:t>未检出</w:t>
            </w:r>
          </w:p>
        </w:tc>
        <w:tc>
          <w:tcPr>
            <w:tcW w:w="1514" w:type="dxa"/>
            <w:vAlign w:val="top"/>
          </w:tcPr>
          <w:p w14:paraId="253BBCA0">
            <w:pPr>
              <w:pStyle w:val="6"/>
              <w:spacing w:before="56" w:line="219" w:lineRule="auto"/>
              <w:ind w:left="488"/>
              <w:rPr>
                <w:sz w:val="18"/>
                <w:szCs w:val="18"/>
              </w:rPr>
            </w:pPr>
            <w:r>
              <w:rPr>
                <w:spacing w:val="-4"/>
                <w:sz w:val="18"/>
                <w:szCs w:val="18"/>
              </w:rPr>
              <w:t>未检出</w:t>
            </w:r>
          </w:p>
        </w:tc>
        <w:tc>
          <w:tcPr>
            <w:tcW w:w="1330" w:type="dxa"/>
            <w:tcBorders>
              <w:right w:val="nil"/>
            </w:tcBorders>
            <w:vAlign w:val="top"/>
          </w:tcPr>
          <w:p w14:paraId="6F3BE63A">
            <w:pPr>
              <w:spacing w:before="87" w:line="188" w:lineRule="auto"/>
              <w:ind w:left="55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0.9</w:t>
            </w:r>
          </w:p>
        </w:tc>
      </w:tr>
      <w:tr w14:paraId="673B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509BB24C">
            <w:pPr>
              <w:spacing w:before="87" w:line="188" w:lineRule="auto"/>
              <w:ind w:left="55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10</w:t>
            </w:r>
          </w:p>
        </w:tc>
        <w:tc>
          <w:tcPr>
            <w:tcW w:w="2196" w:type="dxa"/>
            <w:vAlign w:val="top"/>
          </w:tcPr>
          <w:p w14:paraId="0D75F4C9">
            <w:pPr>
              <w:pStyle w:val="6"/>
              <w:spacing w:before="56" w:line="220" w:lineRule="auto"/>
              <w:ind w:left="830"/>
              <w:rPr>
                <w:sz w:val="18"/>
                <w:szCs w:val="18"/>
              </w:rPr>
            </w:pPr>
            <w:r>
              <w:rPr>
                <w:spacing w:val="-4"/>
                <w:sz w:val="18"/>
                <w:szCs w:val="18"/>
              </w:rPr>
              <w:t>氯甲烷</w:t>
            </w:r>
          </w:p>
        </w:tc>
        <w:tc>
          <w:tcPr>
            <w:tcW w:w="1643" w:type="dxa"/>
            <w:vAlign w:val="top"/>
          </w:tcPr>
          <w:p w14:paraId="42F8AA1F">
            <w:pPr>
              <w:pStyle w:val="6"/>
              <w:spacing w:before="56" w:line="219" w:lineRule="auto"/>
              <w:ind w:left="552"/>
              <w:rPr>
                <w:sz w:val="18"/>
                <w:szCs w:val="18"/>
              </w:rPr>
            </w:pPr>
            <w:r>
              <w:rPr>
                <w:spacing w:val="-4"/>
                <w:sz w:val="18"/>
                <w:szCs w:val="18"/>
              </w:rPr>
              <w:t>未检出</w:t>
            </w:r>
          </w:p>
        </w:tc>
        <w:tc>
          <w:tcPr>
            <w:tcW w:w="1279" w:type="dxa"/>
            <w:vAlign w:val="top"/>
          </w:tcPr>
          <w:p w14:paraId="4A9783B2">
            <w:pPr>
              <w:pStyle w:val="6"/>
              <w:spacing w:before="56" w:line="219" w:lineRule="auto"/>
              <w:ind w:left="370"/>
              <w:rPr>
                <w:sz w:val="18"/>
                <w:szCs w:val="18"/>
              </w:rPr>
            </w:pPr>
            <w:r>
              <w:rPr>
                <w:spacing w:val="-4"/>
                <w:sz w:val="18"/>
                <w:szCs w:val="18"/>
              </w:rPr>
              <w:t>未检出</w:t>
            </w:r>
          </w:p>
        </w:tc>
        <w:tc>
          <w:tcPr>
            <w:tcW w:w="1304" w:type="dxa"/>
            <w:vAlign w:val="top"/>
          </w:tcPr>
          <w:p w14:paraId="5EB20ACA">
            <w:pPr>
              <w:pStyle w:val="6"/>
              <w:spacing w:before="56" w:line="219" w:lineRule="auto"/>
              <w:ind w:left="385"/>
              <w:rPr>
                <w:sz w:val="18"/>
                <w:szCs w:val="18"/>
              </w:rPr>
            </w:pPr>
            <w:r>
              <w:rPr>
                <w:spacing w:val="-4"/>
                <w:sz w:val="18"/>
                <w:szCs w:val="18"/>
              </w:rPr>
              <w:t>未检出</w:t>
            </w:r>
          </w:p>
        </w:tc>
        <w:tc>
          <w:tcPr>
            <w:tcW w:w="1279" w:type="dxa"/>
            <w:vAlign w:val="top"/>
          </w:tcPr>
          <w:p w14:paraId="7E64B14C">
            <w:pPr>
              <w:pStyle w:val="6"/>
              <w:spacing w:before="56" w:line="219" w:lineRule="auto"/>
              <w:ind w:left="370"/>
              <w:rPr>
                <w:sz w:val="18"/>
                <w:szCs w:val="18"/>
              </w:rPr>
            </w:pPr>
            <w:r>
              <w:rPr>
                <w:spacing w:val="-4"/>
                <w:sz w:val="18"/>
                <w:szCs w:val="18"/>
              </w:rPr>
              <w:t>未检出</w:t>
            </w:r>
          </w:p>
        </w:tc>
        <w:tc>
          <w:tcPr>
            <w:tcW w:w="1279" w:type="dxa"/>
            <w:vAlign w:val="top"/>
          </w:tcPr>
          <w:p w14:paraId="3983D394">
            <w:pPr>
              <w:pStyle w:val="6"/>
              <w:spacing w:before="56" w:line="219" w:lineRule="auto"/>
              <w:ind w:left="370"/>
              <w:rPr>
                <w:sz w:val="18"/>
                <w:szCs w:val="18"/>
              </w:rPr>
            </w:pPr>
            <w:r>
              <w:rPr>
                <w:spacing w:val="-4"/>
                <w:sz w:val="18"/>
                <w:szCs w:val="18"/>
              </w:rPr>
              <w:t>未检出</w:t>
            </w:r>
          </w:p>
        </w:tc>
        <w:tc>
          <w:tcPr>
            <w:tcW w:w="1123" w:type="dxa"/>
            <w:vAlign w:val="top"/>
          </w:tcPr>
          <w:p w14:paraId="5C3F45D6">
            <w:pPr>
              <w:pStyle w:val="6"/>
              <w:spacing w:before="56" w:line="219" w:lineRule="auto"/>
              <w:ind w:left="293"/>
              <w:rPr>
                <w:sz w:val="18"/>
                <w:szCs w:val="18"/>
              </w:rPr>
            </w:pPr>
            <w:r>
              <w:rPr>
                <w:spacing w:val="-4"/>
                <w:sz w:val="18"/>
                <w:szCs w:val="18"/>
              </w:rPr>
              <w:t>未检出</w:t>
            </w:r>
          </w:p>
        </w:tc>
        <w:tc>
          <w:tcPr>
            <w:tcW w:w="1514" w:type="dxa"/>
            <w:vAlign w:val="top"/>
          </w:tcPr>
          <w:p w14:paraId="60065EAD">
            <w:pPr>
              <w:pStyle w:val="6"/>
              <w:spacing w:before="56" w:line="219" w:lineRule="auto"/>
              <w:ind w:left="488"/>
              <w:rPr>
                <w:sz w:val="18"/>
                <w:szCs w:val="18"/>
              </w:rPr>
            </w:pPr>
            <w:r>
              <w:rPr>
                <w:spacing w:val="-4"/>
                <w:sz w:val="18"/>
                <w:szCs w:val="18"/>
              </w:rPr>
              <w:t>未检出</w:t>
            </w:r>
          </w:p>
        </w:tc>
        <w:tc>
          <w:tcPr>
            <w:tcW w:w="1330" w:type="dxa"/>
            <w:tcBorders>
              <w:right w:val="nil"/>
            </w:tcBorders>
            <w:vAlign w:val="top"/>
          </w:tcPr>
          <w:p w14:paraId="311E6848">
            <w:pPr>
              <w:spacing w:before="87" w:line="188" w:lineRule="auto"/>
              <w:ind w:left="57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37</w:t>
            </w:r>
          </w:p>
        </w:tc>
      </w:tr>
      <w:tr w14:paraId="21A5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1033E745">
            <w:pPr>
              <w:spacing w:before="87" w:line="188" w:lineRule="auto"/>
              <w:ind w:left="55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11</w:t>
            </w:r>
          </w:p>
        </w:tc>
        <w:tc>
          <w:tcPr>
            <w:tcW w:w="2196" w:type="dxa"/>
            <w:vAlign w:val="top"/>
          </w:tcPr>
          <w:p w14:paraId="46F3A66D">
            <w:pPr>
              <w:pStyle w:val="6"/>
              <w:spacing w:before="59" w:line="220" w:lineRule="auto"/>
              <w:ind w:left="608"/>
              <w:rPr>
                <w:sz w:val="18"/>
                <w:szCs w:val="18"/>
              </w:rPr>
            </w:pPr>
            <w:r>
              <w:rPr>
                <w:rFonts w:ascii="Times New Roman" w:hAnsi="Times New Roman" w:eastAsia="Times New Roman" w:cs="Times New Roman"/>
                <w:spacing w:val="-6"/>
                <w:sz w:val="18"/>
                <w:szCs w:val="18"/>
              </w:rPr>
              <w:t>1.</w:t>
            </w:r>
            <w:r>
              <w:rPr>
                <w:rFonts w:ascii="Times New Roman" w:hAnsi="Times New Roman" w:eastAsia="Times New Roman" w:cs="Times New Roman"/>
                <w:spacing w:val="-21"/>
                <w:sz w:val="18"/>
                <w:szCs w:val="18"/>
              </w:rPr>
              <w:t xml:space="preserve"> </w:t>
            </w:r>
            <w:r>
              <w:rPr>
                <w:rFonts w:ascii="Times New Roman" w:hAnsi="Times New Roman" w:eastAsia="Times New Roman" w:cs="Times New Roman"/>
                <w:spacing w:val="-6"/>
                <w:sz w:val="18"/>
                <w:szCs w:val="18"/>
              </w:rPr>
              <w:t>1-</w:t>
            </w:r>
            <w:r>
              <w:rPr>
                <w:spacing w:val="-6"/>
                <w:sz w:val="18"/>
                <w:szCs w:val="18"/>
              </w:rPr>
              <w:t>二氯乙烷</w:t>
            </w:r>
          </w:p>
        </w:tc>
        <w:tc>
          <w:tcPr>
            <w:tcW w:w="1643" w:type="dxa"/>
            <w:vAlign w:val="top"/>
          </w:tcPr>
          <w:p w14:paraId="0A39548C">
            <w:pPr>
              <w:pStyle w:val="6"/>
              <w:spacing w:before="59" w:line="219" w:lineRule="auto"/>
              <w:ind w:left="552"/>
              <w:rPr>
                <w:sz w:val="18"/>
                <w:szCs w:val="18"/>
              </w:rPr>
            </w:pPr>
            <w:r>
              <w:rPr>
                <w:spacing w:val="-4"/>
                <w:sz w:val="18"/>
                <w:szCs w:val="18"/>
              </w:rPr>
              <w:t>未检出</w:t>
            </w:r>
          </w:p>
        </w:tc>
        <w:tc>
          <w:tcPr>
            <w:tcW w:w="1279" w:type="dxa"/>
            <w:vAlign w:val="top"/>
          </w:tcPr>
          <w:p w14:paraId="5B10D516">
            <w:pPr>
              <w:pStyle w:val="6"/>
              <w:spacing w:before="59" w:line="219" w:lineRule="auto"/>
              <w:ind w:left="370"/>
              <w:rPr>
                <w:sz w:val="18"/>
                <w:szCs w:val="18"/>
              </w:rPr>
            </w:pPr>
            <w:r>
              <w:rPr>
                <w:spacing w:val="-4"/>
                <w:sz w:val="18"/>
                <w:szCs w:val="18"/>
              </w:rPr>
              <w:t>未检出</w:t>
            </w:r>
          </w:p>
        </w:tc>
        <w:tc>
          <w:tcPr>
            <w:tcW w:w="1304" w:type="dxa"/>
            <w:vAlign w:val="top"/>
          </w:tcPr>
          <w:p w14:paraId="4F3B13BE">
            <w:pPr>
              <w:pStyle w:val="6"/>
              <w:spacing w:before="59" w:line="219" w:lineRule="auto"/>
              <w:ind w:left="385"/>
              <w:rPr>
                <w:sz w:val="18"/>
                <w:szCs w:val="18"/>
              </w:rPr>
            </w:pPr>
            <w:r>
              <w:rPr>
                <w:spacing w:val="-4"/>
                <w:sz w:val="18"/>
                <w:szCs w:val="18"/>
              </w:rPr>
              <w:t>未检出</w:t>
            </w:r>
          </w:p>
        </w:tc>
        <w:tc>
          <w:tcPr>
            <w:tcW w:w="1279" w:type="dxa"/>
            <w:vAlign w:val="top"/>
          </w:tcPr>
          <w:p w14:paraId="038D0FEF">
            <w:pPr>
              <w:pStyle w:val="6"/>
              <w:spacing w:before="59" w:line="219" w:lineRule="auto"/>
              <w:ind w:left="370"/>
              <w:rPr>
                <w:sz w:val="18"/>
                <w:szCs w:val="18"/>
              </w:rPr>
            </w:pPr>
            <w:r>
              <w:rPr>
                <w:spacing w:val="-4"/>
                <w:sz w:val="18"/>
                <w:szCs w:val="18"/>
              </w:rPr>
              <w:t>未检出</w:t>
            </w:r>
          </w:p>
        </w:tc>
        <w:tc>
          <w:tcPr>
            <w:tcW w:w="1279" w:type="dxa"/>
            <w:vAlign w:val="top"/>
          </w:tcPr>
          <w:p w14:paraId="10FA0C22">
            <w:pPr>
              <w:pStyle w:val="6"/>
              <w:spacing w:before="59" w:line="219" w:lineRule="auto"/>
              <w:ind w:left="370"/>
              <w:rPr>
                <w:sz w:val="18"/>
                <w:szCs w:val="18"/>
              </w:rPr>
            </w:pPr>
            <w:r>
              <w:rPr>
                <w:spacing w:val="-4"/>
                <w:sz w:val="18"/>
                <w:szCs w:val="18"/>
              </w:rPr>
              <w:t>未检出</w:t>
            </w:r>
          </w:p>
        </w:tc>
        <w:tc>
          <w:tcPr>
            <w:tcW w:w="1123" w:type="dxa"/>
            <w:vAlign w:val="top"/>
          </w:tcPr>
          <w:p w14:paraId="4BD5EC6F">
            <w:pPr>
              <w:pStyle w:val="6"/>
              <w:spacing w:before="59" w:line="219" w:lineRule="auto"/>
              <w:ind w:left="293"/>
              <w:rPr>
                <w:sz w:val="18"/>
                <w:szCs w:val="18"/>
              </w:rPr>
            </w:pPr>
            <w:r>
              <w:rPr>
                <w:spacing w:val="-4"/>
                <w:sz w:val="18"/>
                <w:szCs w:val="18"/>
              </w:rPr>
              <w:t>未检出</w:t>
            </w:r>
          </w:p>
        </w:tc>
        <w:tc>
          <w:tcPr>
            <w:tcW w:w="1514" w:type="dxa"/>
            <w:vAlign w:val="top"/>
          </w:tcPr>
          <w:p w14:paraId="7D1C112D">
            <w:pPr>
              <w:pStyle w:val="6"/>
              <w:spacing w:before="59" w:line="219" w:lineRule="auto"/>
              <w:ind w:left="488"/>
              <w:rPr>
                <w:sz w:val="18"/>
                <w:szCs w:val="18"/>
              </w:rPr>
            </w:pPr>
            <w:r>
              <w:rPr>
                <w:spacing w:val="-4"/>
                <w:sz w:val="18"/>
                <w:szCs w:val="18"/>
              </w:rPr>
              <w:t>未检出</w:t>
            </w:r>
          </w:p>
        </w:tc>
        <w:tc>
          <w:tcPr>
            <w:tcW w:w="1330" w:type="dxa"/>
            <w:tcBorders>
              <w:right w:val="nil"/>
            </w:tcBorders>
            <w:vAlign w:val="top"/>
          </w:tcPr>
          <w:p w14:paraId="380BB7E8">
            <w:pPr>
              <w:spacing w:before="87" w:line="188" w:lineRule="auto"/>
              <w:ind w:left="620"/>
              <w:rPr>
                <w:rFonts w:ascii="Times New Roman" w:hAnsi="Times New Roman" w:eastAsia="Times New Roman" w:cs="Times New Roman"/>
                <w:sz w:val="18"/>
                <w:szCs w:val="18"/>
              </w:rPr>
            </w:pPr>
            <w:r>
              <w:rPr>
                <w:rFonts w:ascii="Times New Roman" w:hAnsi="Times New Roman" w:eastAsia="Times New Roman" w:cs="Times New Roman"/>
                <w:sz w:val="18"/>
                <w:szCs w:val="18"/>
              </w:rPr>
              <w:t>9</w:t>
            </w:r>
          </w:p>
        </w:tc>
      </w:tr>
      <w:tr w14:paraId="235C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6B169C49">
            <w:pPr>
              <w:spacing w:before="90" w:line="188" w:lineRule="auto"/>
              <w:ind w:left="55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12</w:t>
            </w:r>
          </w:p>
        </w:tc>
        <w:tc>
          <w:tcPr>
            <w:tcW w:w="2196" w:type="dxa"/>
            <w:vAlign w:val="top"/>
          </w:tcPr>
          <w:p w14:paraId="45CC0436">
            <w:pPr>
              <w:pStyle w:val="6"/>
              <w:spacing w:before="59" w:line="220" w:lineRule="auto"/>
              <w:ind w:left="608"/>
              <w:rPr>
                <w:sz w:val="18"/>
                <w:szCs w:val="18"/>
              </w:rPr>
            </w:pPr>
            <w:r>
              <w:rPr>
                <w:rFonts w:ascii="Times New Roman" w:hAnsi="Times New Roman" w:eastAsia="Times New Roman" w:cs="Times New Roman"/>
                <w:spacing w:val="-3"/>
                <w:sz w:val="18"/>
                <w:szCs w:val="18"/>
              </w:rPr>
              <w:t>1.2-</w:t>
            </w:r>
            <w:r>
              <w:rPr>
                <w:spacing w:val="-3"/>
                <w:sz w:val="18"/>
                <w:szCs w:val="18"/>
              </w:rPr>
              <w:t>二氯乙烷</w:t>
            </w:r>
          </w:p>
        </w:tc>
        <w:tc>
          <w:tcPr>
            <w:tcW w:w="1643" w:type="dxa"/>
            <w:vAlign w:val="top"/>
          </w:tcPr>
          <w:p w14:paraId="5D55D547">
            <w:pPr>
              <w:pStyle w:val="6"/>
              <w:spacing w:before="59" w:line="219" w:lineRule="auto"/>
              <w:ind w:left="552"/>
              <w:rPr>
                <w:sz w:val="18"/>
                <w:szCs w:val="18"/>
              </w:rPr>
            </w:pPr>
            <w:r>
              <w:rPr>
                <w:spacing w:val="-4"/>
                <w:sz w:val="18"/>
                <w:szCs w:val="18"/>
              </w:rPr>
              <w:t>未检出</w:t>
            </w:r>
          </w:p>
        </w:tc>
        <w:tc>
          <w:tcPr>
            <w:tcW w:w="1279" w:type="dxa"/>
            <w:vAlign w:val="top"/>
          </w:tcPr>
          <w:p w14:paraId="66C6B3B4">
            <w:pPr>
              <w:pStyle w:val="6"/>
              <w:spacing w:before="59" w:line="219" w:lineRule="auto"/>
              <w:ind w:left="370"/>
              <w:rPr>
                <w:sz w:val="18"/>
                <w:szCs w:val="18"/>
              </w:rPr>
            </w:pPr>
            <w:r>
              <w:rPr>
                <w:spacing w:val="-4"/>
                <w:sz w:val="18"/>
                <w:szCs w:val="18"/>
              </w:rPr>
              <w:t>未检出</w:t>
            </w:r>
          </w:p>
        </w:tc>
        <w:tc>
          <w:tcPr>
            <w:tcW w:w="1304" w:type="dxa"/>
            <w:vAlign w:val="top"/>
          </w:tcPr>
          <w:p w14:paraId="277022B5">
            <w:pPr>
              <w:pStyle w:val="6"/>
              <w:spacing w:before="59" w:line="219" w:lineRule="auto"/>
              <w:ind w:left="385"/>
              <w:rPr>
                <w:sz w:val="18"/>
                <w:szCs w:val="18"/>
              </w:rPr>
            </w:pPr>
            <w:r>
              <w:rPr>
                <w:spacing w:val="-4"/>
                <w:sz w:val="18"/>
                <w:szCs w:val="18"/>
              </w:rPr>
              <w:t>未检出</w:t>
            </w:r>
          </w:p>
        </w:tc>
        <w:tc>
          <w:tcPr>
            <w:tcW w:w="1279" w:type="dxa"/>
            <w:vAlign w:val="top"/>
          </w:tcPr>
          <w:p w14:paraId="3C8E5989">
            <w:pPr>
              <w:pStyle w:val="6"/>
              <w:spacing w:before="59" w:line="219" w:lineRule="auto"/>
              <w:ind w:left="370"/>
              <w:rPr>
                <w:sz w:val="18"/>
                <w:szCs w:val="18"/>
              </w:rPr>
            </w:pPr>
            <w:r>
              <w:rPr>
                <w:spacing w:val="-4"/>
                <w:sz w:val="18"/>
                <w:szCs w:val="18"/>
              </w:rPr>
              <w:t>未检出</w:t>
            </w:r>
          </w:p>
        </w:tc>
        <w:tc>
          <w:tcPr>
            <w:tcW w:w="1279" w:type="dxa"/>
            <w:vAlign w:val="top"/>
          </w:tcPr>
          <w:p w14:paraId="2580A154">
            <w:pPr>
              <w:pStyle w:val="6"/>
              <w:spacing w:before="59" w:line="219" w:lineRule="auto"/>
              <w:ind w:left="370"/>
              <w:rPr>
                <w:sz w:val="18"/>
                <w:szCs w:val="18"/>
              </w:rPr>
            </w:pPr>
            <w:r>
              <w:rPr>
                <w:spacing w:val="-4"/>
                <w:sz w:val="18"/>
                <w:szCs w:val="18"/>
              </w:rPr>
              <w:t>未检出</w:t>
            </w:r>
          </w:p>
        </w:tc>
        <w:tc>
          <w:tcPr>
            <w:tcW w:w="1123" w:type="dxa"/>
            <w:vAlign w:val="top"/>
          </w:tcPr>
          <w:p w14:paraId="3F9F86AC">
            <w:pPr>
              <w:pStyle w:val="6"/>
              <w:spacing w:before="59" w:line="219" w:lineRule="auto"/>
              <w:ind w:left="293"/>
              <w:rPr>
                <w:sz w:val="18"/>
                <w:szCs w:val="18"/>
              </w:rPr>
            </w:pPr>
            <w:r>
              <w:rPr>
                <w:spacing w:val="-4"/>
                <w:sz w:val="18"/>
                <w:szCs w:val="18"/>
              </w:rPr>
              <w:t>未检出</w:t>
            </w:r>
          </w:p>
        </w:tc>
        <w:tc>
          <w:tcPr>
            <w:tcW w:w="1514" w:type="dxa"/>
            <w:vAlign w:val="top"/>
          </w:tcPr>
          <w:p w14:paraId="6D6388BC">
            <w:pPr>
              <w:pStyle w:val="6"/>
              <w:spacing w:before="59" w:line="219" w:lineRule="auto"/>
              <w:ind w:left="488"/>
              <w:rPr>
                <w:sz w:val="18"/>
                <w:szCs w:val="18"/>
              </w:rPr>
            </w:pPr>
            <w:r>
              <w:rPr>
                <w:spacing w:val="-4"/>
                <w:sz w:val="18"/>
                <w:szCs w:val="18"/>
              </w:rPr>
              <w:t>未检出</w:t>
            </w:r>
          </w:p>
        </w:tc>
        <w:tc>
          <w:tcPr>
            <w:tcW w:w="1330" w:type="dxa"/>
            <w:tcBorders>
              <w:right w:val="nil"/>
            </w:tcBorders>
            <w:vAlign w:val="top"/>
          </w:tcPr>
          <w:p w14:paraId="1851F1F4">
            <w:pPr>
              <w:spacing w:before="93" w:line="185" w:lineRule="auto"/>
              <w:ind w:left="621"/>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tc>
      </w:tr>
      <w:tr w14:paraId="7B9CD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0E2D9DCE">
            <w:pPr>
              <w:spacing w:before="90" w:line="188" w:lineRule="auto"/>
              <w:ind w:left="55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13</w:t>
            </w:r>
          </w:p>
        </w:tc>
        <w:tc>
          <w:tcPr>
            <w:tcW w:w="2196" w:type="dxa"/>
            <w:vAlign w:val="top"/>
          </w:tcPr>
          <w:p w14:paraId="425F9AC6">
            <w:pPr>
              <w:pStyle w:val="6"/>
              <w:spacing w:before="59" w:line="219" w:lineRule="auto"/>
              <w:ind w:left="608"/>
              <w:rPr>
                <w:sz w:val="18"/>
                <w:szCs w:val="18"/>
              </w:rPr>
            </w:pPr>
            <w:r>
              <w:rPr>
                <w:rFonts w:ascii="Times New Roman" w:hAnsi="Times New Roman" w:eastAsia="Times New Roman" w:cs="Times New Roman"/>
                <w:spacing w:val="-6"/>
                <w:sz w:val="18"/>
                <w:szCs w:val="18"/>
              </w:rPr>
              <w:t>1.</w:t>
            </w:r>
            <w:r>
              <w:rPr>
                <w:rFonts w:ascii="Times New Roman" w:hAnsi="Times New Roman" w:eastAsia="Times New Roman" w:cs="Times New Roman"/>
                <w:spacing w:val="-21"/>
                <w:sz w:val="18"/>
                <w:szCs w:val="18"/>
              </w:rPr>
              <w:t xml:space="preserve"> </w:t>
            </w:r>
            <w:r>
              <w:rPr>
                <w:rFonts w:ascii="Times New Roman" w:hAnsi="Times New Roman" w:eastAsia="Times New Roman" w:cs="Times New Roman"/>
                <w:spacing w:val="-6"/>
                <w:sz w:val="18"/>
                <w:szCs w:val="18"/>
              </w:rPr>
              <w:t>1-</w:t>
            </w:r>
            <w:r>
              <w:rPr>
                <w:spacing w:val="-6"/>
                <w:sz w:val="18"/>
                <w:szCs w:val="18"/>
              </w:rPr>
              <w:t>二氯乙烯</w:t>
            </w:r>
          </w:p>
        </w:tc>
        <w:tc>
          <w:tcPr>
            <w:tcW w:w="1643" w:type="dxa"/>
            <w:vAlign w:val="top"/>
          </w:tcPr>
          <w:p w14:paraId="74732A44">
            <w:pPr>
              <w:pStyle w:val="6"/>
              <w:spacing w:before="59" w:line="219" w:lineRule="auto"/>
              <w:ind w:left="552"/>
              <w:rPr>
                <w:sz w:val="18"/>
                <w:szCs w:val="18"/>
              </w:rPr>
            </w:pPr>
            <w:r>
              <w:rPr>
                <w:spacing w:val="-4"/>
                <w:sz w:val="18"/>
                <w:szCs w:val="18"/>
              </w:rPr>
              <w:t>未检出</w:t>
            </w:r>
          </w:p>
        </w:tc>
        <w:tc>
          <w:tcPr>
            <w:tcW w:w="1279" w:type="dxa"/>
            <w:vAlign w:val="top"/>
          </w:tcPr>
          <w:p w14:paraId="279BA120">
            <w:pPr>
              <w:pStyle w:val="6"/>
              <w:spacing w:before="59" w:line="219" w:lineRule="auto"/>
              <w:ind w:left="370"/>
              <w:rPr>
                <w:sz w:val="18"/>
                <w:szCs w:val="18"/>
              </w:rPr>
            </w:pPr>
            <w:r>
              <w:rPr>
                <w:spacing w:val="-4"/>
                <w:sz w:val="18"/>
                <w:szCs w:val="18"/>
              </w:rPr>
              <w:t>未检出</w:t>
            </w:r>
          </w:p>
        </w:tc>
        <w:tc>
          <w:tcPr>
            <w:tcW w:w="1304" w:type="dxa"/>
            <w:vAlign w:val="top"/>
          </w:tcPr>
          <w:p w14:paraId="39139802">
            <w:pPr>
              <w:pStyle w:val="6"/>
              <w:spacing w:before="59" w:line="219" w:lineRule="auto"/>
              <w:ind w:left="385"/>
              <w:rPr>
                <w:sz w:val="18"/>
                <w:szCs w:val="18"/>
              </w:rPr>
            </w:pPr>
            <w:r>
              <w:rPr>
                <w:spacing w:val="-4"/>
                <w:sz w:val="18"/>
                <w:szCs w:val="18"/>
              </w:rPr>
              <w:t>未检出</w:t>
            </w:r>
          </w:p>
        </w:tc>
        <w:tc>
          <w:tcPr>
            <w:tcW w:w="1279" w:type="dxa"/>
            <w:vAlign w:val="top"/>
          </w:tcPr>
          <w:p w14:paraId="61F8CF81">
            <w:pPr>
              <w:pStyle w:val="6"/>
              <w:spacing w:before="59" w:line="219" w:lineRule="auto"/>
              <w:ind w:left="370"/>
              <w:rPr>
                <w:sz w:val="18"/>
                <w:szCs w:val="18"/>
              </w:rPr>
            </w:pPr>
            <w:r>
              <w:rPr>
                <w:spacing w:val="-4"/>
                <w:sz w:val="18"/>
                <w:szCs w:val="18"/>
              </w:rPr>
              <w:t>未检出</w:t>
            </w:r>
          </w:p>
        </w:tc>
        <w:tc>
          <w:tcPr>
            <w:tcW w:w="1279" w:type="dxa"/>
            <w:vAlign w:val="top"/>
          </w:tcPr>
          <w:p w14:paraId="44E60780">
            <w:pPr>
              <w:pStyle w:val="6"/>
              <w:spacing w:before="59" w:line="219" w:lineRule="auto"/>
              <w:ind w:left="370"/>
              <w:rPr>
                <w:sz w:val="18"/>
                <w:szCs w:val="18"/>
              </w:rPr>
            </w:pPr>
            <w:r>
              <w:rPr>
                <w:spacing w:val="-4"/>
                <w:sz w:val="18"/>
                <w:szCs w:val="18"/>
              </w:rPr>
              <w:t>未检出</w:t>
            </w:r>
          </w:p>
        </w:tc>
        <w:tc>
          <w:tcPr>
            <w:tcW w:w="1123" w:type="dxa"/>
            <w:vAlign w:val="top"/>
          </w:tcPr>
          <w:p w14:paraId="6EEEF350">
            <w:pPr>
              <w:pStyle w:val="6"/>
              <w:spacing w:before="59" w:line="219" w:lineRule="auto"/>
              <w:ind w:left="293"/>
              <w:rPr>
                <w:sz w:val="18"/>
                <w:szCs w:val="18"/>
              </w:rPr>
            </w:pPr>
            <w:r>
              <w:rPr>
                <w:spacing w:val="-4"/>
                <w:sz w:val="18"/>
                <w:szCs w:val="18"/>
              </w:rPr>
              <w:t>未检出</w:t>
            </w:r>
          </w:p>
        </w:tc>
        <w:tc>
          <w:tcPr>
            <w:tcW w:w="1514" w:type="dxa"/>
            <w:vAlign w:val="top"/>
          </w:tcPr>
          <w:p w14:paraId="1431B0EB">
            <w:pPr>
              <w:pStyle w:val="6"/>
              <w:spacing w:before="59" w:line="219" w:lineRule="auto"/>
              <w:ind w:left="488"/>
              <w:rPr>
                <w:sz w:val="18"/>
                <w:szCs w:val="18"/>
              </w:rPr>
            </w:pPr>
            <w:r>
              <w:rPr>
                <w:spacing w:val="-4"/>
                <w:sz w:val="18"/>
                <w:szCs w:val="18"/>
              </w:rPr>
              <w:t>未检出</w:t>
            </w:r>
          </w:p>
        </w:tc>
        <w:tc>
          <w:tcPr>
            <w:tcW w:w="1330" w:type="dxa"/>
            <w:tcBorders>
              <w:right w:val="nil"/>
            </w:tcBorders>
            <w:vAlign w:val="top"/>
          </w:tcPr>
          <w:p w14:paraId="46F3C9DB">
            <w:pPr>
              <w:spacing w:before="90" w:line="188" w:lineRule="auto"/>
              <w:ind w:left="57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66</w:t>
            </w:r>
          </w:p>
        </w:tc>
      </w:tr>
      <w:tr w14:paraId="5310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08679E36">
            <w:pPr>
              <w:spacing w:before="90" w:line="188" w:lineRule="auto"/>
              <w:ind w:left="55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14</w:t>
            </w:r>
          </w:p>
        </w:tc>
        <w:tc>
          <w:tcPr>
            <w:tcW w:w="2196" w:type="dxa"/>
            <w:vAlign w:val="top"/>
          </w:tcPr>
          <w:p w14:paraId="363B9A04">
            <w:pPr>
              <w:pStyle w:val="6"/>
              <w:spacing w:before="62" w:line="219" w:lineRule="auto"/>
              <w:ind w:left="475"/>
              <w:rPr>
                <w:sz w:val="18"/>
                <w:szCs w:val="18"/>
              </w:rPr>
            </w:pPr>
            <w:r>
              <w:rPr>
                <w:spacing w:val="-1"/>
                <w:sz w:val="18"/>
                <w:szCs w:val="18"/>
              </w:rPr>
              <w:t>顺</w:t>
            </w:r>
            <w:r>
              <w:rPr>
                <w:rFonts w:ascii="Times New Roman" w:hAnsi="Times New Roman" w:eastAsia="Times New Roman" w:cs="Times New Roman"/>
                <w:spacing w:val="-1"/>
                <w:sz w:val="18"/>
                <w:szCs w:val="18"/>
              </w:rPr>
              <w:t>-1.2-</w:t>
            </w:r>
            <w:r>
              <w:rPr>
                <w:spacing w:val="-1"/>
                <w:sz w:val="18"/>
                <w:szCs w:val="18"/>
              </w:rPr>
              <w:t>二氯乙烯</w:t>
            </w:r>
          </w:p>
        </w:tc>
        <w:tc>
          <w:tcPr>
            <w:tcW w:w="1643" w:type="dxa"/>
            <w:vAlign w:val="top"/>
          </w:tcPr>
          <w:p w14:paraId="357C9AEE">
            <w:pPr>
              <w:pStyle w:val="6"/>
              <w:spacing w:before="62" w:line="219" w:lineRule="auto"/>
              <w:ind w:left="552"/>
              <w:rPr>
                <w:sz w:val="18"/>
                <w:szCs w:val="18"/>
              </w:rPr>
            </w:pPr>
            <w:r>
              <w:rPr>
                <w:spacing w:val="-4"/>
                <w:sz w:val="18"/>
                <w:szCs w:val="18"/>
              </w:rPr>
              <w:t>未检出</w:t>
            </w:r>
          </w:p>
        </w:tc>
        <w:tc>
          <w:tcPr>
            <w:tcW w:w="1279" w:type="dxa"/>
            <w:vAlign w:val="top"/>
          </w:tcPr>
          <w:p w14:paraId="61F6D1F5">
            <w:pPr>
              <w:pStyle w:val="6"/>
              <w:spacing w:before="62" w:line="219" w:lineRule="auto"/>
              <w:ind w:left="370"/>
              <w:rPr>
                <w:sz w:val="18"/>
                <w:szCs w:val="18"/>
              </w:rPr>
            </w:pPr>
            <w:r>
              <w:rPr>
                <w:spacing w:val="-4"/>
                <w:sz w:val="18"/>
                <w:szCs w:val="18"/>
              </w:rPr>
              <w:t>未检出</w:t>
            </w:r>
          </w:p>
        </w:tc>
        <w:tc>
          <w:tcPr>
            <w:tcW w:w="1304" w:type="dxa"/>
            <w:vAlign w:val="top"/>
          </w:tcPr>
          <w:p w14:paraId="4FDC5A55">
            <w:pPr>
              <w:pStyle w:val="6"/>
              <w:spacing w:before="62" w:line="219" w:lineRule="auto"/>
              <w:ind w:left="385"/>
              <w:rPr>
                <w:sz w:val="18"/>
                <w:szCs w:val="18"/>
              </w:rPr>
            </w:pPr>
            <w:r>
              <w:rPr>
                <w:spacing w:val="-4"/>
                <w:sz w:val="18"/>
                <w:szCs w:val="18"/>
              </w:rPr>
              <w:t>未检出</w:t>
            </w:r>
          </w:p>
        </w:tc>
        <w:tc>
          <w:tcPr>
            <w:tcW w:w="1279" w:type="dxa"/>
            <w:vAlign w:val="top"/>
          </w:tcPr>
          <w:p w14:paraId="5A569FE6">
            <w:pPr>
              <w:pStyle w:val="6"/>
              <w:spacing w:before="62" w:line="219" w:lineRule="auto"/>
              <w:ind w:left="370"/>
              <w:rPr>
                <w:sz w:val="18"/>
                <w:szCs w:val="18"/>
              </w:rPr>
            </w:pPr>
            <w:r>
              <w:rPr>
                <w:spacing w:val="-4"/>
                <w:sz w:val="18"/>
                <w:szCs w:val="18"/>
              </w:rPr>
              <w:t>未检出</w:t>
            </w:r>
          </w:p>
        </w:tc>
        <w:tc>
          <w:tcPr>
            <w:tcW w:w="1279" w:type="dxa"/>
            <w:vAlign w:val="top"/>
          </w:tcPr>
          <w:p w14:paraId="74D986C8">
            <w:pPr>
              <w:pStyle w:val="6"/>
              <w:spacing w:before="62" w:line="219" w:lineRule="auto"/>
              <w:ind w:left="370"/>
              <w:rPr>
                <w:sz w:val="18"/>
                <w:szCs w:val="18"/>
              </w:rPr>
            </w:pPr>
            <w:r>
              <w:rPr>
                <w:spacing w:val="-4"/>
                <w:sz w:val="18"/>
                <w:szCs w:val="18"/>
              </w:rPr>
              <w:t>未检出</w:t>
            </w:r>
          </w:p>
        </w:tc>
        <w:tc>
          <w:tcPr>
            <w:tcW w:w="1123" w:type="dxa"/>
            <w:vAlign w:val="top"/>
          </w:tcPr>
          <w:p w14:paraId="3BD17CBD">
            <w:pPr>
              <w:pStyle w:val="6"/>
              <w:spacing w:before="62" w:line="219" w:lineRule="auto"/>
              <w:ind w:left="293"/>
              <w:rPr>
                <w:sz w:val="18"/>
                <w:szCs w:val="18"/>
              </w:rPr>
            </w:pPr>
            <w:r>
              <w:rPr>
                <w:spacing w:val="-4"/>
                <w:sz w:val="18"/>
                <w:szCs w:val="18"/>
              </w:rPr>
              <w:t>未检出</w:t>
            </w:r>
          </w:p>
        </w:tc>
        <w:tc>
          <w:tcPr>
            <w:tcW w:w="1514" w:type="dxa"/>
            <w:vAlign w:val="top"/>
          </w:tcPr>
          <w:p w14:paraId="6DCBE87D">
            <w:pPr>
              <w:pStyle w:val="6"/>
              <w:spacing w:before="62" w:line="219" w:lineRule="auto"/>
              <w:ind w:left="488"/>
              <w:rPr>
                <w:sz w:val="18"/>
                <w:szCs w:val="18"/>
              </w:rPr>
            </w:pPr>
            <w:r>
              <w:rPr>
                <w:spacing w:val="-4"/>
                <w:sz w:val="18"/>
                <w:szCs w:val="18"/>
              </w:rPr>
              <w:t>未检出</w:t>
            </w:r>
          </w:p>
        </w:tc>
        <w:tc>
          <w:tcPr>
            <w:tcW w:w="1330" w:type="dxa"/>
            <w:tcBorders>
              <w:right w:val="nil"/>
            </w:tcBorders>
            <w:vAlign w:val="top"/>
          </w:tcPr>
          <w:p w14:paraId="590FEE82">
            <w:pPr>
              <w:spacing w:before="90" w:line="188" w:lineRule="auto"/>
              <w:ind w:left="533"/>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596</w:t>
            </w:r>
          </w:p>
        </w:tc>
      </w:tr>
      <w:tr w14:paraId="0CE4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6C0525B4">
            <w:pPr>
              <w:spacing w:before="93" w:line="188" w:lineRule="auto"/>
              <w:ind w:left="55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15</w:t>
            </w:r>
          </w:p>
        </w:tc>
        <w:tc>
          <w:tcPr>
            <w:tcW w:w="2196" w:type="dxa"/>
            <w:vAlign w:val="top"/>
          </w:tcPr>
          <w:p w14:paraId="3E1EAB5C">
            <w:pPr>
              <w:pStyle w:val="6"/>
              <w:spacing w:before="62" w:line="219" w:lineRule="auto"/>
              <w:ind w:left="475"/>
              <w:rPr>
                <w:sz w:val="18"/>
                <w:szCs w:val="18"/>
              </w:rPr>
            </w:pPr>
            <w:r>
              <w:rPr>
                <w:spacing w:val="-1"/>
                <w:sz w:val="18"/>
                <w:szCs w:val="18"/>
              </w:rPr>
              <w:t>反</w:t>
            </w:r>
            <w:r>
              <w:rPr>
                <w:rFonts w:ascii="Times New Roman" w:hAnsi="Times New Roman" w:eastAsia="Times New Roman" w:cs="Times New Roman"/>
                <w:spacing w:val="-1"/>
                <w:sz w:val="18"/>
                <w:szCs w:val="18"/>
              </w:rPr>
              <w:t>-1.2-</w:t>
            </w:r>
            <w:r>
              <w:rPr>
                <w:spacing w:val="-1"/>
                <w:sz w:val="18"/>
                <w:szCs w:val="18"/>
              </w:rPr>
              <w:t>二氯乙烯</w:t>
            </w:r>
          </w:p>
        </w:tc>
        <w:tc>
          <w:tcPr>
            <w:tcW w:w="1643" w:type="dxa"/>
            <w:vAlign w:val="top"/>
          </w:tcPr>
          <w:p w14:paraId="31F47644">
            <w:pPr>
              <w:pStyle w:val="6"/>
              <w:spacing w:before="62" w:line="219" w:lineRule="auto"/>
              <w:ind w:left="552"/>
              <w:rPr>
                <w:sz w:val="18"/>
                <w:szCs w:val="18"/>
              </w:rPr>
            </w:pPr>
            <w:r>
              <w:rPr>
                <w:spacing w:val="-4"/>
                <w:sz w:val="18"/>
                <w:szCs w:val="18"/>
              </w:rPr>
              <w:t>未检出</w:t>
            </w:r>
          </w:p>
        </w:tc>
        <w:tc>
          <w:tcPr>
            <w:tcW w:w="1279" w:type="dxa"/>
            <w:vAlign w:val="top"/>
          </w:tcPr>
          <w:p w14:paraId="3FA38550">
            <w:pPr>
              <w:pStyle w:val="6"/>
              <w:spacing w:before="62" w:line="219" w:lineRule="auto"/>
              <w:ind w:left="370"/>
              <w:rPr>
                <w:sz w:val="18"/>
                <w:szCs w:val="18"/>
              </w:rPr>
            </w:pPr>
            <w:r>
              <w:rPr>
                <w:spacing w:val="-4"/>
                <w:sz w:val="18"/>
                <w:szCs w:val="18"/>
              </w:rPr>
              <w:t>未检出</w:t>
            </w:r>
          </w:p>
        </w:tc>
        <w:tc>
          <w:tcPr>
            <w:tcW w:w="1304" w:type="dxa"/>
            <w:vAlign w:val="top"/>
          </w:tcPr>
          <w:p w14:paraId="3F90DB5B">
            <w:pPr>
              <w:pStyle w:val="6"/>
              <w:spacing w:before="62" w:line="219" w:lineRule="auto"/>
              <w:ind w:left="385"/>
              <w:rPr>
                <w:sz w:val="18"/>
                <w:szCs w:val="18"/>
              </w:rPr>
            </w:pPr>
            <w:r>
              <w:rPr>
                <w:spacing w:val="-4"/>
                <w:sz w:val="18"/>
                <w:szCs w:val="18"/>
              </w:rPr>
              <w:t>未检出</w:t>
            </w:r>
          </w:p>
        </w:tc>
        <w:tc>
          <w:tcPr>
            <w:tcW w:w="1279" w:type="dxa"/>
            <w:vAlign w:val="top"/>
          </w:tcPr>
          <w:p w14:paraId="3831A2B2">
            <w:pPr>
              <w:pStyle w:val="6"/>
              <w:spacing w:before="62" w:line="219" w:lineRule="auto"/>
              <w:ind w:left="370"/>
              <w:rPr>
                <w:sz w:val="18"/>
                <w:szCs w:val="18"/>
              </w:rPr>
            </w:pPr>
            <w:r>
              <w:rPr>
                <w:spacing w:val="-4"/>
                <w:sz w:val="18"/>
                <w:szCs w:val="18"/>
              </w:rPr>
              <w:t>未检出</w:t>
            </w:r>
          </w:p>
        </w:tc>
        <w:tc>
          <w:tcPr>
            <w:tcW w:w="1279" w:type="dxa"/>
            <w:vAlign w:val="top"/>
          </w:tcPr>
          <w:p w14:paraId="468561E4">
            <w:pPr>
              <w:pStyle w:val="6"/>
              <w:spacing w:before="62" w:line="219" w:lineRule="auto"/>
              <w:ind w:left="370"/>
              <w:rPr>
                <w:sz w:val="18"/>
                <w:szCs w:val="18"/>
              </w:rPr>
            </w:pPr>
            <w:r>
              <w:rPr>
                <w:spacing w:val="-4"/>
                <w:sz w:val="18"/>
                <w:szCs w:val="18"/>
              </w:rPr>
              <w:t>未检出</w:t>
            </w:r>
          </w:p>
        </w:tc>
        <w:tc>
          <w:tcPr>
            <w:tcW w:w="1123" w:type="dxa"/>
            <w:vAlign w:val="top"/>
          </w:tcPr>
          <w:p w14:paraId="41C3F214">
            <w:pPr>
              <w:pStyle w:val="6"/>
              <w:spacing w:before="62" w:line="219" w:lineRule="auto"/>
              <w:ind w:left="293"/>
              <w:rPr>
                <w:sz w:val="18"/>
                <w:szCs w:val="18"/>
              </w:rPr>
            </w:pPr>
            <w:r>
              <w:rPr>
                <w:spacing w:val="-4"/>
                <w:sz w:val="18"/>
                <w:szCs w:val="18"/>
              </w:rPr>
              <w:t>未检出</w:t>
            </w:r>
          </w:p>
        </w:tc>
        <w:tc>
          <w:tcPr>
            <w:tcW w:w="1514" w:type="dxa"/>
            <w:vAlign w:val="top"/>
          </w:tcPr>
          <w:p w14:paraId="062823BA">
            <w:pPr>
              <w:pStyle w:val="6"/>
              <w:spacing w:before="62" w:line="219" w:lineRule="auto"/>
              <w:ind w:left="488"/>
              <w:rPr>
                <w:sz w:val="18"/>
                <w:szCs w:val="18"/>
              </w:rPr>
            </w:pPr>
            <w:r>
              <w:rPr>
                <w:spacing w:val="-4"/>
                <w:sz w:val="18"/>
                <w:szCs w:val="18"/>
              </w:rPr>
              <w:t>未检出</w:t>
            </w:r>
          </w:p>
        </w:tc>
        <w:tc>
          <w:tcPr>
            <w:tcW w:w="1330" w:type="dxa"/>
            <w:tcBorders>
              <w:right w:val="nil"/>
            </w:tcBorders>
            <w:vAlign w:val="top"/>
          </w:tcPr>
          <w:p w14:paraId="7FED6404">
            <w:pPr>
              <w:spacing w:before="93" w:line="188" w:lineRule="auto"/>
              <w:ind w:left="57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54</w:t>
            </w:r>
          </w:p>
        </w:tc>
      </w:tr>
      <w:tr w14:paraId="42BB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4C728439">
            <w:pPr>
              <w:spacing w:before="93" w:line="188" w:lineRule="auto"/>
              <w:ind w:left="55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16</w:t>
            </w:r>
          </w:p>
        </w:tc>
        <w:tc>
          <w:tcPr>
            <w:tcW w:w="2196" w:type="dxa"/>
            <w:vAlign w:val="top"/>
          </w:tcPr>
          <w:p w14:paraId="5D70BA1B">
            <w:pPr>
              <w:pStyle w:val="6"/>
              <w:spacing w:before="62" w:line="220" w:lineRule="auto"/>
              <w:ind w:left="739"/>
              <w:rPr>
                <w:sz w:val="18"/>
                <w:szCs w:val="18"/>
              </w:rPr>
            </w:pPr>
            <w:r>
              <w:rPr>
                <w:spacing w:val="-3"/>
                <w:sz w:val="18"/>
                <w:szCs w:val="18"/>
              </w:rPr>
              <w:t>二氯甲烷</w:t>
            </w:r>
          </w:p>
        </w:tc>
        <w:tc>
          <w:tcPr>
            <w:tcW w:w="1643" w:type="dxa"/>
            <w:vAlign w:val="top"/>
          </w:tcPr>
          <w:p w14:paraId="1582AF67">
            <w:pPr>
              <w:pStyle w:val="6"/>
              <w:spacing w:before="62" w:line="219" w:lineRule="auto"/>
              <w:ind w:left="552"/>
              <w:rPr>
                <w:sz w:val="18"/>
                <w:szCs w:val="18"/>
              </w:rPr>
            </w:pPr>
            <w:r>
              <w:rPr>
                <w:spacing w:val="-4"/>
                <w:sz w:val="18"/>
                <w:szCs w:val="18"/>
              </w:rPr>
              <w:t>未检出</w:t>
            </w:r>
          </w:p>
        </w:tc>
        <w:tc>
          <w:tcPr>
            <w:tcW w:w="1279" w:type="dxa"/>
            <w:vAlign w:val="top"/>
          </w:tcPr>
          <w:p w14:paraId="06196A91">
            <w:pPr>
              <w:pStyle w:val="6"/>
              <w:spacing w:before="62" w:line="219" w:lineRule="auto"/>
              <w:ind w:left="370"/>
              <w:rPr>
                <w:sz w:val="18"/>
                <w:szCs w:val="18"/>
              </w:rPr>
            </w:pPr>
            <w:r>
              <w:rPr>
                <w:spacing w:val="-4"/>
                <w:sz w:val="18"/>
                <w:szCs w:val="18"/>
              </w:rPr>
              <w:t>未检出</w:t>
            </w:r>
          </w:p>
        </w:tc>
        <w:tc>
          <w:tcPr>
            <w:tcW w:w="1304" w:type="dxa"/>
            <w:vAlign w:val="top"/>
          </w:tcPr>
          <w:p w14:paraId="4DE850F9">
            <w:pPr>
              <w:pStyle w:val="6"/>
              <w:spacing w:before="62" w:line="219" w:lineRule="auto"/>
              <w:ind w:left="385"/>
              <w:rPr>
                <w:sz w:val="18"/>
                <w:szCs w:val="18"/>
              </w:rPr>
            </w:pPr>
            <w:r>
              <w:rPr>
                <w:spacing w:val="-4"/>
                <w:sz w:val="18"/>
                <w:szCs w:val="18"/>
              </w:rPr>
              <w:t>未检出</w:t>
            </w:r>
          </w:p>
        </w:tc>
        <w:tc>
          <w:tcPr>
            <w:tcW w:w="1279" w:type="dxa"/>
            <w:vAlign w:val="top"/>
          </w:tcPr>
          <w:p w14:paraId="0BD6EEC1">
            <w:pPr>
              <w:pStyle w:val="6"/>
              <w:spacing w:before="62" w:line="219" w:lineRule="auto"/>
              <w:ind w:left="370"/>
              <w:rPr>
                <w:sz w:val="18"/>
                <w:szCs w:val="18"/>
              </w:rPr>
            </w:pPr>
            <w:r>
              <w:rPr>
                <w:spacing w:val="-4"/>
                <w:sz w:val="18"/>
                <w:szCs w:val="18"/>
              </w:rPr>
              <w:t>未检出</w:t>
            </w:r>
          </w:p>
        </w:tc>
        <w:tc>
          <w:tcPr>
            <w:tcW w:w="1279" w:type="dxa"/>
            <w:vAlign w:val="top"/>
          </w:tcPr>
          <w:p w14:paraId="51C1CE0B">
            <w:pPr>
              <w:pStyle w:val="6"/>
              <w:spacing w:before="62" w:line="219" w:lineRule="auto"/>
              <w:ind w:left="370"/>
              <w:rPr>
                <w:sz w:val="18"/>
                <w:szCs w:val="18"/>
              </w:rPr>
            </w:pPr>
            <w:r>
              <w:rPr>
                <w:spacing w:val="-4"/>
                <w:sz w:val="18"/>
                <w:szCs w:val="18"/>
              </w:rPr>
              <w:t>未检出</w:t>
            </w:r>
          </w:p>
        </w:tc>
        <w:tc>
          <w:tcPr>
            <w:tcW w:w="1123" w:type="dxa"/>
            <w:vAlign w:val="top"/>
          </w:tcPr>
          <w:p w14:paraId="6114C39D">
            <w:pPr>
              <w:pStyle w:val="6"/>
              <w:spacing w:before="62" w:line="219" w:lineRule="auto"/>
              <w:ind w:left="293"/>
              <w:rPr>
                <w:sz w:val="18"/>
                <w:szCs w:val="18"/>
              </w:rPr>
            </w:pPr>
            <w:r>
              <w:rPr>
                <w:spacing w:val="-4"/>
                <w:sz w:val="18"/>
                <w:szCs w:val="18"/>
              </w:rPr>
              <w:t>未检出</w:t>
            </w:r>
          </w:p>
        </w:tc>
        <w:tc>
          <w:tcPr>
            <w:tcW w:w="1514" w:type="dxa"/>
            <w:vAlign w:val="top"/>
          </w:tcPr>
          <w:p w14:paraId="34270921">
            <w:pPr>
              <w:pStyle w:val="6"/>
              <w:spacing w:before="62" w:line="219" w:lineRule="auto"/>
              <w:ind w:left="488"/>
              <w:rPr>
                <w:sz w:val="18"/>
                <w:szCs w:val="18"/>
              </w:rPr>
            </w:pPr>
            <w:r>
              <w:rPr>
                <w:spacing w:val="-4"/>
                <w:sz w:val="18"/>
                <w:szCs w:val="18"/>
              </w:rPr>
              <w:t>未检出</w:t>
            </w:r>
          </w:p>
        </w:tc>
        <w:tc>
          <w:tcPr>
            <w:tcW w:w="1330" w:type="dxa"/>
            <w:tcBorders>
              <w:right w:val="nil"/>
            </w:tcBorders>
            <w:vAlign w:val="top"/>
          </w:tcPr>
          <w:p w14:paraId="3101535A">
            <w:pPr>
              <w:spacing w:before="93" w:line="188" w:lineRule="auto"/>
              <w:ind w:left="532"/>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616</w:t>
            </w:r>
          </w:p>
        </w:tc>
      </w:tr>
      <w:tr w14:paraId="5079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3F8F9C72">
            <w:pPr>
              <w:spacing w:before="93" w:line="188" w:lineRule="auto"/>
              <w:ind w:left="55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17</w:t>
            </w:r>
          </w:p>
        </w:tc>
        <w:tc>
          <w:tcPr>
            <w:tcW w:w="2196" w:type="dxa"/>
            <w:vAlign w:val="top"/>
          </w:tcPr>
          <w:p w14:paraId="470AD094">
            <w:pPr>
              <w:pStyle w:val="6"/>
              <w:spacing w:before="65" w:line="220" w:lineRule="auto"/>
              <w:ind w:left="608"/>
              <w:rPr>
                <w:sz w:val="18"/>
                <w:szCs w:val="18"/>
              </w:rPr>
            </w:pPr>
            <w:r>
              <w:rPr>
                <w:rFonts w:ascii="Times New Roman" w:hAnsi="Times New Roman" w:eastAsia="Times New Roman" w:cs="Times New Roman"/>
                <w:spacing w:val="-3"/>
                <w:sz w:val="18"/>
                <w:szCs w:val="18"/>
              </w:rPr>
              <w:t>1.2-</w:t>
            </w:r>
            <w:r>
              <w:rPr>
                <w:spacing w:val="-3"/>
                <w:sz w:val="18"/>
                <w:szCs w:val="18"/>
              </w:rPr>
              <w:t>二氯丙烷</w:t>
            </w:r>
          </w:p>
        </w:tc>
        <w:tc>
          <w:tcPr>
            <w:tcW w:w="1643" w:type="dxa"/>
            <w:vAlign w:val="top"/>
          </w:tcPr>
          <w:p w14:paraId="53A7C138">
            <w:pPr>
              <w:pStyle w:val="6"/>
              <w:spacing w:before="65" w:line="219" w:lineRule="auto"/>
              <w:ind w:left="552"/>
              <w:rPr>
                <w:sz w:val="18"/>
                <w:szCs w:val="18"/>
              </w:rPr>
            </w:pPr>
            <w:r>
              <w:rPr>
                <w:spacing w:val="-4"/>
                <w:sz w:val="18"/>
                <w:szCs w:val="18"/>
              </w:rPr>
              <w:t>未检出</w:t>
            </w:r>
          </w:p>
        </w:tc>
        <w:tc>
          <w:tcPr>
            <w:tcW w:w="1279" w:type="dxa"/>
            <w:vAlign w:val="top"/>
          </w:tcPr>
          <w:p w14:paraId="475DCEC6">
            <w:pPr>
              <w:pStyle w:val="6"/>
              <w:spacing w:before="65" w:line="219" w:lineRule="auto"/>
              <w:ind w:left="370"/>
              <w:rPr>
                <w:sz w:val="18"/>
                <w:szCs w:val="18"/>
              </w:rPr>
            </w:pPr>
            <w:r>
              <w:rPr>
                <w:spacing w:val="-4"/>
                <w:sz w:val="18"/>
                <w:szCs w:val="18"/>
              </w:rPr>
              <w:t>未检出</w:t>
            </w:r>
          </w:p>
        </w:tc>
        <w:tc>
          <w:tcPr>
            <w:tcW w:w="1304" w:type="dxa"/>
            <w:vAlign w:val="top"/>
          </w:tcPr>
          <w:p w14:paraId="45C6B38C">
            <w:pPr>
              <w:pStyle w:val="6"/>
              <w:spacing w:before="65" w:line="219" w:lineRule="auto"/>
              <w:ind w:left="385"/>
              <w:rPr>
                <w:sz w:val="18"/>
                <w:szCs w:val="18"/>
              </w:rPr>
            </w:pPr>
            <w:r>
              <w:rPr>
                <w:spacing w:val="-4"/>
                <w:sz w:val="18"/>
                <w:szCs w:val="18"/>
              </w:rPr>
              <w:t>未检出</w:t>
            </w:r>
          </w:p>
        </w:tc>
        <w:tc>
          <w:tcPr>
            <w:tcW w:w="1279" w:type="dxa"/>
            <w:vAlign w:val="top"/>
          </w:tcPr>
          <w:p w14:paraId="2B8034C5">
            <w:pPr>
              <w:pStyle w:val="6"/>
              <w:spacing w:before="65" w:line="219" w:lineRule="auto"/>
              <w:ind w:left="370"/>
              <w:rPr>
                <w:sz w:val="18"/>
                <w:szCs w:val="18"/>
              </w:rPr>
            </w:pPr>
            <w:r>
              <w:rPr>
                <w:spacing w:val="-4"/>
                <w:sz w:val="18"/>
                <w:szCs w:val="18"/>
              </w:rPr>
              <w:t>未检出</w:t>
            </w:r>
          </w:p>
        </w:tc>
        <w:tc>
          <w:tcPr>
            <w:tcW w:w="1279" w:type="dxa"/>
            <w:vAlign w:val="top"/>
          </w:tcPr>
          <w:p w14:paraId="5C3E0691">
            <w:pPr>
              <w:pStyle w:val="6"/>
              <w:spacing w:before="65" w:line="219" w:lineRule="auto"/>
              <w:ind w:left="370"/>
              <w:rPr>
                <w:sz w:val="18"/>
                <w:szCs w:val="18"/>
              </w:rPr>
            </w:pPr>
            <w:r>
              <w:rPr>
                <w:spacing w:val="-4"/>
                <w:sz w:val="18"/>
                <w:szCs w:val="18"/>
              </w:rPr>
              <w:t>未检出</w:t>
            </w:r>
          </w:p>
        </w:tc>
        <w:tc>
          <w:tcPr>
            <w:tcW w:w="1123" w:type="dxa"/>
            <w:vAlign w:val="top"/>
          </w:tcPr>
          <w:p w14:paraId="12F5AAA1">
            <w:pPr>
              <w:pStyle w:val="6"/>
              <w:spacing w:before="65" w:line="219" w:lineRule="auto"/>
              <w:ind w:left="293"/>
              <w:rPr>
                <w:sz w:val="18"/>
                <w:szCs w:val="18"/>
              </w:rPr>
            </w:pPr>
            <w:r>
              <w:rPr>
                <w:spacing w:val="-4"/>
                <w:sz w:val="18"/>
                <w:szCs w:val="18"/>
              </w:rPr>
              <w:t>未检出</w:t>
            </w:r>
          </w:p>
        </w:tc>
        <w:tc>
          <w:tcPr>
            <w:tcW w:w="1514" w:type="dxa"/>
            <w:vAlign w:val="top"/>
          </w:tcPr>
          <w:p w14:paraId="2331A4BF">
            <w:pPr>
              <w:pStyle w:val="6"/>
              <w:spacing w:before="65" w:line="219" w:lineRule="auto"/>
              <w:ind w:left="488"/>
              <w:rPr>
                <w:sz w:val="18"/>
                <w:szCs w:val="18"/>
              </w:rPr>
            </w:pPr>
            <w:r>
              <w:rPr>
                <w:spacing w:val="-4"/>
                <w:sz w:val="18"/>
                <w:szCs w:val="18"/>
              </w:rPr>
              <w:t>未检出</w:t>
            </w:r>
          </w:p>
        </w:tc>
        <w:tc>
          <w:tcPr>
            <w:tcW w:w="1330" w:type="dxa"/>
            <w:tcBorders>
              <w:right w:val="nil"/>
            </w:tcBorders>
            <w:vAlign w:val="top"/>
          </w:tcPr>
          <w:p w14:paraId="5A32EBC3">
            <w:pPr>
              <w:spacing w:before="96" w:line="185" w:lineRule="auto"/>
              <w:ind w:left="621"/>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tc>
      </w:tr>
      <w:tr w14:paraId="7F3E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7FF1F720">
            <w:pPr>
              <w:spacing w:before="96" w:line="188" w:lineRule="auto"/>
              <w:ind w:left="55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18</w:t>
            </w:r>
          </w:p>
        </w:tc>
        <w:tc>
          <w:tcPr>
            <w:tcW w:w="2196" w:type="dxa"/>
            <w:vAlign w:val="top"/>
          </w:tcPr>
          <w:p w14:paraId="671D5F46">
            <w:pPr>
              <w:pStyle w:val="6"/>
              <w:spacing w:before="65" w:line="220" w:lineRule="auto"/>
              <w:ind w:left="474"/>
              <w:rPr>
                <w:sz w:val="18"/>
                <w:szCs w:val="18"/>
              </w:rPr>
            </w:pPr>
            <w:r>
              <w:fldChar w:fldCharType="begin"/>
            </w:r>
            <w:r>
              <w:instrText xml:space="preserve"> HYPERLINK "1.1.1.2" </w:instrText>
            </w:r>
            <w:r>
              <w:fldChar w:fldCharType="separate"/>
            </w:r>
            <w:r>
              <w:rPr>
                <w:rFonts w:ascii="Times New Roman" w:hAnsi="Times New Roman" w:eastAsia="Times New Roman" w:cs="Times New Roman"/>
                <w:spacing w:val="-3"/>
                <w:sz w:val="18"/>
                <w:szCs w:val="18"/>
              </w:rPr>
              <w:t>1.1.1.2</w:t>
            </w:r>
            <w:r>
              <w:rPr>
                <w:rFonts w:ascii="Times New Roman" w:hAnsi="Times New Roman" w:eastAsia="Times New Roman" w:cs="Times New Roman"/>
                <w:spacing w:val="-3"/>
                <w:sz w:val="18"/>
                <w:szCs w:val="18"/>
              </w:rPr>
              <w:fldChar w:fldCharType="end"/>
            </w:r>
            <w:r>
              <w:rPr>
                <w:rFonts w:ascii="Times New Roman" w:hAnsi="Times New Roman" w:eastAsia="Times New Roman" w:cs="Times New Roman"/>
                <w:spacing w:val="-3"/>
                <w:sz w:val="18"/>
                <w:szCs w:val="18"/>
              </w:rPr>
              <w:t>-</w:t>
            </w:r>
            <w:r>
              <w:rPr>
                <w:spacing w:val="-3"/>
                <w:sz w:val="18"/>
                <w:szCs w:val="18"/>
              </w:rPr>
              <w:t>四氯乙烷</w:t>
            </w:r>
          </w:p>
        </w:tc>
        <w:tc>
          <w:tcPr>
            <w:tcW w:w="1643" w:type="dxa"/>
            <w:vAlign w:val="top"/>
          </w:tcPr>
          <w:p w14:paraId="0EFF274D">
            <w:pPr>
              <w:pStyle w:val="6"/>
              <w:spacing w:before="65" w:line="219" w:lineRule="auto"/>
              <w:ind w:left="552"/>
              <w:rPr>
                <w:sz w:val="18"/>
                <w:szCs w:val="18"/>
              </w:rPr>
            </w:pPr>
            <w:r>
              <w:rPr>
                <w:spacing w:val="-4"/>
                <w:sz w:val="18"/>
                <w:szCs w:val="18"/>
              </w:rPr>
              <w:t>未检出</w:t>
            </w:r>
          </w:p>
        </w:tc>
        <w:tc>
          <w:tcPr>
            <w:tcW w:w="1279" w:type="dxa"/>
            <w:vAlign w:val="top"/>
          </w:tcPr>
          <w:p w14:paraId="4AB6AC0F">
            <w:pPr>
              <w:pStyle w:val="6"/>
              <w:spacing w:before="65" w:line="219" w:lineRule="auto"/>
              <w:ind w:left="370"/>
              <w:rPr>
                <w:sz w:val="18"/>
                <w:szCs w:val="18"/>
              </w:rPr>
            </w:pPr>
            <w:r>
              <w:rPr>
                <w:spacing w:val="-4"/>
                <w:sz w:val="18"/>
                <w:szCs w:val="18"/>
              </w:rPr>
              <w:t>未检出</w:t>
            </w:r>
          </w:p>
        </w:tc>
        <w:tc>
          <w:tcPr>
            <w:tcW w:w="1304" w:type="dxa"/>
            <w:vAlign w:val="top"/>
          </w:tcPr>
          <w:p w14:paraId="389A55AA">
            <w:pPr>
              <w:pStyle w:val="6"/>
              <w:spacing w:before="65" w:line="219" w:lineRule="auto"/>
              <w:ind w:left="385"/>
              <w:rPr>
                <w:sz w:val="18"/>
                <w:szCs w:val="18"/>
              </w:rPr>
            </w:pPr>
            <w:r>
              <w:rPr>
                <w:spacing w:val="-4"/>
                <w:sz w:val="18"/>
                <w:szCs w:val="18"/>
              </w:rPr>
              <w:t>未检出</w:t>
            </w:r>
          </w:p>
        </w:tc>
        <w:tc>
          <w:tcPr>
            <w:tcW w:w="1279" w:type="dxa"/>
            <w:vAlign w:val="top"/>
          </w:tcPr>
          <w:p w14:paraId="5F9CCAD4">
            <w:pPr>
              <w:pStyle w:val="6"/>
              <w:spacing w:before="65" w:line="219" w:lineRule="auto"/>
              <w:ind w:left="370"/>
              <w:rPr>
                <w:sz w:val="18"/>
                <w:szCs w:val="18"/>
              </w:rPr>
            </w:pPr>
            <w:r>
              <w:rPr>
                <w:spacing w:val="-4"/>
                <w:sz w:val="18"/>
                <w:szCs w:val="18"/>
              </w:rPr>
              <w:t>未检出</w:t>
            </w:r>
          </w:p>
        </w:tc>
        <w:tc>
          <w:tcPr>
            <w:tcW w:w="1279" w:type="dxa"/>
            <w:vAlign w:val="top"/>
          </w:tcPr>
          <w:p w14:paraId="55DCEC8D">
            <w:pPr>
              <w:pStyle w:val="6"/>
              <w:spacing w:before="65" w:line="219" w:lineRule="auto"/>
              <w:ind w:left="370"/>
              <w:rPr>
                <w:sz w:val="18"/>
                <w:szCs w:val="18"/>
              </w:rPr>
            </w:pPr>
            <w:r>
              <w:rPr>
                <w:spacing w:val="-4"/>
                <w:sz w:val="18"/>
                <w:szCs w:val="18"/>
              </w:rPr>
              <w:t>未检出</w:t>
            </w:r>
          </w:p>
        </w:tc>
        <w:tc>
          <w:tcPr>
            <w:tcW w:w="1123" w:type="dxa"/>
            <w:vAlign w:val="top"/>
          </w:tcPr>
          <w:p w14:paraId="3DFED81F">
            <w:pPr>
              <w:pStyle w:val="6"/>
              <w:spacing w:before="65" w:line="219" w:lineRule="auto"/>
              <w:ind w:left="293"/>
              <w:rPr>
                <w:sz w:val="18"/>
                <w:szCs w:val="18"/>
              </w:rPr>
            </w:pPr>
            <w:r>
              <w:rPr>
                <w:spacing w:val="-4"/>
                <w:sz w:val="18"/>
                <w:szCs w:val="18"/>
              </w:rPr>
              <w:t>未检出</w:t>
            </w:r>
          </w:p>
        </w:tc>
        <w:tc>
          <w:tcPr>
            <w:tcW w:w="1514" w:type="dxa"/>
            <w:vAlign w:val="top"/>
          </w:tcPr>
          <w:p w14:paraId="7EBA59CE">
            <w:pPr>
              <w:pStyle w:val="6"/>
              <w:spacing w:before="65" w:line="219" w:lineRule="auto"/>
              <w:ind w:left="488"/>
              <w:rPr>
                <w:sz w:val="18"/>
                <w:szCs w:val="18"/>
              </w:rPr>
            </w:pPr>
            <w:r>
              <w:rPr>
                <w:spacing w:val="-4"/>
                <w:sz w:val="18"/>
                <w:szCs w:val="18"/>
              </w:rPr>
              <w:t>未检出</w:t>
            </w:r>
          </w:p>
        </w:tc>
        <w:tc>
          <w:tcPr>
            <w:tcW w:w="1330" w:type="dxa"/>
            <w:tcBorders>
              <w:right w:val="nil"/>
            </w:tcBorders>
            <w:vAlign w:val="top"/>
          </w:tcPr>
          <w:p w14:paraId="22731A77">
            <w:pPr>
              <w:spacing w:before="96" w:line="188" w:lineRule="auto"/>
              <w:ind w:left="588"/>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10</w:t>
            </w:r>
          </w:p>
        </w:tc>
      </w:tr>
      <w:tr w14:paraId="3BCE2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0C0E5268">
            <w:pPr>
              <w:spacing w:before="96" w:line="188" w:lineRule="auto"/>
              <w:ind w:left="559"/>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19</w:t>
            </w:r>
          </w:p>
        </w:tc>
        <w:tc>
          <w:tcPr>
            <w:tcW w:w="2196" w:type="dxa"/>
            <w:vAlign w:val="top"/>
          </w:tcPr>
          <w:p w14:paraId="25B37D8D">
            <w:pPr>
              <w:pStyle w:val="6"/>
              <w:spacing w:before="65" w:line="220" w:lineRule="auto"/>
              <w:ind w:left="474"/>
              <w:rPr>
                <w:sz w:val="18"/>
                <w:szCs w:val="18"/>
              </w:rPr>
            </w:pPr>
            <w:r>
              <w:fldChar w:fldCharType="begin"/>
            </w:r>
            <w:r>
              <w:instrText xml:space="preserve"> HYPERLINK "1.1.2.2" </w:instrText>
            </w:r>
            <w:r>
              <w:fldChar w:fldCharType="separate"/>
            </w:r>
            <w:r>
              <w:rPr>
                <w:rFonts w:ascii="Times New Roman" w:hAnsi="Times New Roman" w:eastAsia="Times New Roman" w:cs="Times New Roman"/>
                <w:spacing w:val="-3"/>
                <w:sz w:val="18"/>
                <w:szCs w:val="18"/>
              </w:rPr>
              <w:t>1.1.2.2</w:t>
            </w:r>
            <w:r>
              <w:rPr>
                <w:rFonts w:ascii="Times New Roman" w:hAnsi="Times New Roman" w:eastAsia="Times New Roman" w:cs="Times New Roman"/>
                <w:spacing w:val="-3"/>
                <w:sz w:val="18"/>
                <w:szCs w:val="18"/>
              </w:rPr>
              <w:fldChar w:fldCharType="end"/>
            </w:r>
            <w:r>
              <w:rPr>
                <w:rFonts w:ascii="Times New Roman" w:hAnsi="Times New Roman" w:eastAsia="Times New Roman" w:cs="Times New Roman"/>
                <w:spacing w:val="-3"/>
                <w:sz w:val="18"/>
                <w:szCs w:val="18"/>
              </w:rPr>
              <w:t>-</w:t>
            </w:r>
            <w:r>
              <w:rPr>
                <w:spacing w:val="-3"/>
                <w:sz w:val="18"/>
                <w:szCs w:val="18"/>
              </w:rPr>
              <w:t>四氯乙烷</w:t>
            </w:r>
          </w:p>
        </w:tc>
        <w:tc>
          <w:tcPr>
            <w:tcW w:w="1643" w:type="dxa"/>
            <w:vAlign w:val="top"/>
          </w:tcPr>
          <w:p w14:paraId="4A734145">
            <w:pPr>
              <w:pStyle w:val="6"/>
              <w:spacing w:before="65" w:line="219" w:lineRule="auto"/>
              <w:ind w:left="552"/>
              <w:rPr>
                <w:sz w:val="18"/>
                <w:szCs w:val="18"/>
              </w:rPr>
            </w:pPr>
            <w:r>
              <w:rPr>
                <w:spacing w:val="-4"/>
                <w:sz w:val="18"/>
                <w:szCs w:val="18"/>
              </w:rPr>
              <w:t>未检出</w:t>
            </w:r>
          </w:p>
        </w:tc>
        <w:tc>
          <w:tcPr>
            <w:tcW w:w="1279" w:type="dxa"/>
            <w:vAlign w:val="top"/>
          </w:tcPr>
          <w:p w14:paraId="55ABD842">
            <w:pPr>
              <w:pStyle w:val="6"/>
              <w:spacing w:before="65" w:line="219" w:lineRule="auto"/>
              <w:ind w:left="370"/>
              <w:rPr>
                <w:sz w:val="18"/>
                <w:szCs w:val="18"/>
              </w:rPr>
            </w:pPr>
            <w:r>
              <w:rPr>
                <w:spacing w:val="-4"/>
                <w:sz w:val="18"/>
                <w:szCs w:val="18"/>
              </w:rPr>
              <w:t>未检出</w:t>
            </w:r>
          </w:p>
        </w:tc>
        <w:tc>
          <w:tcPr>
            <w:tcW w:w="1304" w:type="dxa"/>
            <w:vAlign w:val="top"/>
          </w:tcPr>
          <w:p w14:paraId="6170E9F4">
            <w:pPr>
              <w:pStyle w:val="6"/>
              <w:spacing w:before="65" w:line="219" w:lineRule="auto"/>
              <w:ind w:left="385"/>
              <w:rPr>
                <w:sz w:val="18"/>
                <w:szCs w:val="18"/>
              </w:rPr>
            </w:pPr>
            <w:r>
              <w:rPr>
                <w:spacing w:val="-4"/>
                <w:sz w:val="18"/>
                <w:szCs w:val="18"/>
              </w:rPr>
              <w:t>未检出</w:t>
            </w:r>
          </w:p>
        </w:tc>
        <w:tc>
          <w:tcPr>
            <w:tcW w:w="1279" w:type="dxa"/>
            <w:vAlign w:val="top"/>
          </w:tcPr>
          <w:p w14:paraId="45AD3BA0">
            <w:pPr>
              <w:pStyle w:val="6"/>
              <w:spacing w:before="65" w:line="219" w:lineRule="auto"/>
              <w:ind w:left="370"/>
              <w:rPr>
                <w:sz w:val="18"/>
                <w:szCs w:val="18"/>
              </w:rPr>
            </w:pPr>
            <w:r>
              <w:rPr>
                <w:spacing w:val="-4"/>
                <w:sz w:val="18"/>
                <w:szCs w:val="18"/>
              </w:rPr>
              <w:t>未检出</w:t>
            </w:r>
          </w:p>
        </w:tc>
        <w:tc>
          <w:tcPr>
            <w:tcW w:w="1279" w:type="dxa"/>
            <w:vAlign w:val="top"/>
          </w:tcPr>
          <w:p w14:paraId="52103064">
            <w:pPr>
              <w:pStyle w:val="6"/>
              <w:spacing w:before="65" w:line="219" w:lineRule="auto"/>
              <w:ind w:left="370"/>
              <w:rPr>
                <w:sz w:val="18"/>
                <w:szCs w:val="18"/>
              </w:rPr>
            </w:pPr>
            <w:r>
              <w:rPr>
                <w:spacing w:val="-4"/>
                <w:sz w:val="18"/>
                <w:szCs w:val="18"/>
              </w:rPr>
              <w:t>未检出</w:t>
            </w:r>
          </w:p>
        </w:tc>
        <w:tc>
          <w:tcPr>
            <w:tcW w:w="1123" w:type="dxa"/>
            <w:vAlign w:val="top"/>
          </w:tcPr>
          <w:p w14:paraId="170E70BC">
            <w:pPr>
              <w:pStyle w:val="6"/>
              <w:spacing w:before="65" w:line="219" w:lineRule="auto"/>
              <w:ind w:left="293"/>
              <w:rPr>
                <w:sz w:val="18"/>
                <w:szCs w:val="18"/>
              </w:rPr>
            </w:pPr>
            <w:r>
              <w:rPr>
                <w:spacing w:val="-4"/>
                <w:sz w:val="18"/>
                <w:szCs w:val="18"/>
              </w:rPr>
              <w:t>未检出</w:t>
            </w:r>
          </w:p>
        </w:tc>
        <w:tc>
          <w:tcPr>
            <w:tcW w:w="1514" w:type="dxa"/>
            <w:vAlign w:val="top"/>
          </w:tcPr>
          <w:p w14:paraId="1D31E0B1">
            <w:pPr>
              <w:pStyle w:val="6"/>
              <w:spacing w:before="65" w:line="219" w:lineRule="auto"/>
              <w:ind w:left="488"/>
              <w:rPr>
                <w:sz w:val="18"/>
                <w:szCs w:val="18"/>
              </w:rPr>
            </w:pPr>
            <w:r>
              <w:rPr>
                <w:spacing w:val="-4"/>
                <w:sz w:val="18"/>
                <w:szCs w:val="18"/>
              </w:rPr>
              <w:t>未检出</w:t>
            </w:r>
          </w:p>
        </w:tc>
        <w:tc>
          <w:tcPr>
            <w:tcW w:w="1330" w:type="dxa"/>
            <w:tcBorders>
              <w:right w:val="nil"/>
            </w:tcBorders>
            <w:vAlign w:val="top"/>
          </w:tcPr>
          <w:p w14:paraId="06D7E10C">
            <w:pPr>
              <w:spacing w:before="96" w:line="188" w:lineRule="auto"/>
              <w:ind w:left="553"/>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6.8</w:t>
            </w:r>
          </w:p>
        </w:tc>
      </w:tr>
      <w:tr w14:paraId="189D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trPr>
        <w:tc>
          <w:tcPr>
            <w:tcW w:w="1261" w:type="dxa"/>
            <w:tcBorders>
              <w:left w:val="nil"/>
            </w:tcBorders>
            <w:vAlign w:val="top"/>
          </w:tcPr>
          <w:p w14:paraId="269A60E8">
            <w:pPr>
              <w:spacing w:before="96" w:line="188" w:lineRule="auto"/>
              <w:ind w:left="5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c>
          <w:tcPr>
            <w:tcW w:w="2196" w:type="dxa"/>
            <w:vAlign w:val="top"/>
          </w:tcPr>
          <w:p w14:paraId="798CFCA1">
            <w:pPr>
              <w:pStyle w:val="6"/>
              <w:spacing w:before="68" w:line="219" w:lineRule="auto"/>
              <w:ind w:left="753"/>
              <w:rPr>
                <w:sz w:val="18"/>
                <w:szCs w:val="18"/>
              </w:rPr>
            </w:pPr>
            <w:r>
              <w:rPr>
                <w:spacing w:val="-6"/>
                <w:sz w:val="18"/>
                <w:szCs w:val="18"/>
              </w:rPr>
              <w:t>四氯乙烯</w:t>
            </w:r>
          </w:p>
        </w:tc>
        <w:tc>
          <w:tcPr>
            <w:tcW w:w="1643" w:type="dxa"/>
            <w:vAlign w:val="top"/>
          </w:tcPr>
          <w:p w14:paraId="0EF60ABF">
            <w:pPr>
              <w:pStyle w:val="6"/>
              <w:spacing w:before="68" w:line="219" w:lineRule="auto"/>
              <w:ind w:left="552"/>
              <w:rPr>
                <w:sz w:val="18"/>
                <w:szCs w:val="18"/>
              </w:rPr>
            </w:pPr>
            <w:r>
              <w:rPr>
                <w:spacing w:val="-4"/>
                <w:sz w:val="18"/>
                <w:szCs w:val="18"/>
              </w:rPr>
              <w:t>未检出</w:t>
            </w:r>
          </w:p>
        </w:tc>
        <w:tc>
          <w:tcPr>
            <w:tcW w:w="1279" w:type="dxa"/>
            <w:vAlign w:val="top"/>
          </w:tcPr>
          <w:p w14:paraId="5707D326">
            <w:pPr>
              <w:pStyle w:val="6"/>
              <w:spacing w:before="68" w:line="219" w:lineRule="auto"/>
              <w:ind w:left="370"/>
              <w:rPr>
                <w:sz w:val="18"/>
                <w:szCs w:val="18"/>
              </w:rPr>
            </w:pPr>
            <w:r>
              <w:rPr>
                <w:spacing w:val="-4"/>
                <w:sz w:val="18"/>
                <w:szCs w:val="18"/>
              </w:rPr>
              <w:t>未检出</w:t>
            </w:r>
          </w:p>
        </w:tc>
        <w:tc>
          <w:tcPr>
            <w:tcW w:w="1304" w:type="dxa"/>
            <w:vAlign w:val="top"/>
          </w:tcPr>
          <w:p w14:paraId="404D8386">
            <w:pPr>
              <w:pStyle w:val="6"/>
              <w:spacing w:before="68" w:line="219" w:lineRule="auto"/>
              <w:ind w:left="385"/>
              <w:rPr>
                <w:sz w:val="18"/>
                <w:szCs w:val="18"/>
              </w:rPr>
            </w:pPr>
            <w:r>
              <w:rPr>
                <w:spacing w:val="-4"/>
                <w:sz w:val="18"/>
                <w:szCs w:val="18"/>
              </w:rPr>
              <w:t>未检出</w:t>
            </w:r>
          </w:p>
        </w:tc>
        <w:tc>
          <w:tcPr>
            <w:tcW w:w="1279" w:type="dxa"/>
            <w:vAlign w:val="top"/>
          </w:tcPr>
          <w:p w14:paraId="717CED20">
            <w:pPr>
              <w:pStyle w:val="6"/>
              <w:spacing w:before="68" w:line="219" w:lineRule="auto"/>
              <w:ind w:left="370"/>
              <w:rPr>
                <w:sz w:val="18"/>
                <w:szCs w:val="18"/>
              </w:rPr>
            </w:pPr>
            <w:r>
              <w:rPr>
                <w:spacing w:val="-4"/>
                <w:sz w:val="18"/>
                <w:szCs w:val="18"/>
              </w:rPr>
              <w:t>未检出</w:t>
            </w:r>
          </w:p>
        </w:tc>
        <w:tc>
          <w:tcPr>
            <w:tcW w:w="1279" w:type="dxa"/>
            <w:vAlign w:val="top"/>
          </w:tcPr>
          <w:p w14:paraId="5900BAC7">
            <w:pPr>
              <w:pStyle w:val="6"/>
              <w:spacing w:before="68" w:line="219" w:lineRule="auto"/>
              <w:ind w:left="370"/>
              <w:rPr>
                <w:sz w:val="18"/>
                <w:szCs w:val="18"/>
              </w:rPr>
            </w:pPr>
            <w:r>
              <w:rPr>
                <w:spacing w:val="-4"/>
                <w:sz w:val="18"/>
                <w:szCs w:val="18"/>
              </w:rPr>
              <w:t>未检出</w:t>
            </w:r>
          </w:p>
        </w:tc>
        <w:tc>
          <w:tcPr>
            <w:tcW w:w="1123" w:type="dxa"/>
            <w:vAlign w:val="top"/>
          </w:tcPr>
          <w:p w14:paraId="3EB5E78A">
            <w:pPr>
              <w:pStyle w:val="6"/>
              <w:spacing w:before="68" w:line="219" w:lineRule="auto"/>
              <w:ind w:left="293"/>
              <w:rPr>
                <w:sz w:val="18"/>
                <w:szCs w:val="18"/>
              </w:rPr>
            </w:pPr>
            <w:r>
              <w:rPr>
                <w:spacing w:val="-4"/>
                <w:sz w:val="18"/>
                <w:szCs w:val="18"/>
              </w:rPr>
              <w:t>未检出</w:t>
            </w:r>
          </w:p>
        </w:tc>
        <w:tc>
          <w:tcPr>
            <w:tcW w:w="1514" w:type="dxa"/>
            <w:vAlign w:val="top"/>
          </w:tcPr>
          <w:p w14:paraId="1205B883">
            <w:pPr>
              <w:pStyle w:val="6"/>
              <w:spacing w:before="68" w:line="219" w:lineRule="auto"/>
              <w:ind w:left="488"/>
              <w:rPr>
                <w:sz w:val="18"/>
                <w:szCs w:val="18"/>
              </w:rPr>
            </w:pPr>
            <w:r>
              <w:rPr>
                <w:spacing w:val="-4"/>
                <w:sz w:val="18"/>
                <w:szCs w:val="18"/>
              </w:rPr>
              <w:t>未检出</w:t>
            </w:r>
          </w:p>
        </w:tc>
        <w:tc>
          <w:tcPr>
            <w:tcW w:w="1330" w:type="dxa"/>
            <w:tcBorders>
              <w:right w:val="nil"/>
            </w:tcBorders>
            <w:vAlign w:val="top"/>
          </w:tcPr>
          <w:p w14:paraId="665B68BD">
            <w:pPr>
              <w:spacing w:before="96" w:line="188" w:lineRule="auto"/>
              <w:ind w:left="57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53</w:t>
            </w:r>
          </w:p>
        </w:tc>
      </w:tr>
      <w:tr w14:paraId="6A05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1261" w:type="dxa"/>
            <w:tcBorders>
              <w:left w:val="nil"/>
            </w:tcBorders>
            <w:vAlign w:val="top"/>
          </w:tcPr>
          <w:p w14:paraId="542A1C61">
            <w:pPr>
              <w:spacing w:before="99" w:line="188" w:lineRule="auto"/>
              <w:ind w:left="5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21</w:t>
            </w:r>
          </w:p>
        </w:tc>
        <w:tc>
          <w:tcPr>
            <w:tcW w:w="2196" w:type="dxa"/>
            <w:vAlign w:val="top"/>
          </w:tcPr>
          <w:p w14:paraId="6E965DF6">
            <w:pPr>
              <w:pStyle w:val="6"/>
              <w:spacing w:before="68" w:line="220" w:lineRule="auto"/>
              <w:ind w:left="541"/>
              <w:rPr>
                <w:sz w:val="18"/>
                <w:szCs w:val="18"/>
              </w:rPr>
            </w:pPr>
            <w:r>
              <w:rPr>
                <w:rFonts w:ascii="Times New Roman" w:hAnsi="Times New Roman" w:eastAsia="Times New Roman" w:cs="Times New Roman"/>
                <w:spacing w:val="-7"/>
                <w:sz w:val="18"/>
                <w:szCs w:val="18"/>
              </w:rPr>
              <w:t>1.</w:t>
            </w:r>
            <w:r>
              <w:rPr>
                <w:rFonts w:ascii="Times New Roman" w:hAnsi="Times New Roman" w:eastAsia="Times New Roman" w:cs="Times New Roman"/>
                <w:spacing w:val="-22"/>
                <w:sz w:val="18"/>
                <w:szCs w:val="18"/>
              </w:rPr>
              <w:t xml:space="preserve"> </w:t>
            </w:r>
            <w:r>
              <w:rPr>
                <w:rFonts w:ascii="Times New Roman" w:hAnsi="Times New Roman" w:eastAsia="Times New Roman" w:cs="Times New Roman"/>
                <w:spacing w:val="-7"/>
                <w:sz w:val="18"/>
                <w:szCs w:val="18"/>
              </w:rPr>
              <w:t>1.</w:t>
            </w:r>
            <w:r>
              <w:rPr>
                <w:rFonts w:ascii="Times New Roman" w:hAnsi="Times New Roman" w:eastAsia="Times New Roman" w:cs="Times New Roman"/>
                <w:spacing w:val="-23"/>
                <w:sz w:val="18"/>
                <w:szCs w:val="18"/>
              </w:rPr>
              <w:t xml:space="preserve"> </w:t>
            </w:r>
            <w:r>
              <w:rPr>
                <w:rFonts w:ascii="Times New Roman" w:hAnsi="Times New Roman" w:eastAsia="Times New Roman" w:cs="Times New Roman"/>
                <w:spacing w:val="-7"/>
                <w:sz w:val="18"/>
                <w:szCs w:val="18"/>
              </w:rPr>
              <w:t>1-</w:t>
            </w:r>
            <w:r>
              <w:rPr>
                <w:spacing w:val="-7"/>
                <w:sz w:val="18"/>
                <w:szCs w:val="18"/>
              </w:rPr>
              <w:t>三氯乙烷</w:t>
            </w:r>
          </w:p>
        </w:tc>
        <w:tc>
          <w:tcPr>
            <w:tcW w:w="1643" w:type="dxa"/>
            <w:vAlign w:val="top"/>
          </w:tcPr>
          <w:p w14:paraId="754A758E">
            <w:pPr>
              <w:pStyle w:val="6"/>
              <w:spacing w:before="68" w:line="219" w:lineRule="auto"/>
              <w:ind w:left="552"/>
              <w:rPr>
                <w:sz w:val="18"/>
                <w:szCs w:val="18"/>
              </w:rPr>
            </w:pPr>
            <w:r>
              <w:rPr>
                <w:spacing w:val="-4"/>
                <w:sz w:val="18"/>
                <w:szCs w:val="18"/>
              </w:rPr>
              <w:t>未检出</w:t>
            </w:r>
          </w:p>
        </w:tc>
        <w:tc>
          <w:tcPr>
            <w:tcW w:w="1279" w:type="dxa"/>
            <w:vAlign w:val="top"/>
          </w:tcPr>
          <w:p w14:paraId="46B0022E">
            <w:pPr>
              <w:pStyle w:val="6"/>
              <w:spacing w:before="68" w:line="219" w:lineRule="auto"/>
              <w:ind w:left="370"/>
              <w:rPr>
                <w:sz w:val="18"/>
                <w:szCs w:val="18"/>
              </w:rPr>
            </w:pPr>
            <w:r>
              <w:rPr>
                <w:spacing w:val="-4"/>
                <w:sz w:val="18"/>
                <w:szCs w:val="18"/>
              </w:rPr>
              <w:t>未检出</w:t>
            </w:r>
          </w:p>
        </w:tc>
        <w:tc>
          <w:tcPr>
            <w:tcW w:w="1304" w:type="dxa"/>
            <w:vAlign w:val="top"/>
          </w:tcPr>
          <w:p w14:paraId="26EB0721">
            <w:pPr>
              <w:pStyle w:val="6"/>
              <w:spacing w:before="68" w:line="219" w:lineRule="auto"/>
              <w:ind w:left="385"/>
              <w:rPr>
                <w:sz w:val="18"/>
                <w:szCs w:val="18"/>
              </w:rPr>
            </w:pPr>
            <w:r>
              <w:rPr>
                <w:spacing w:val="-4"/>
                <w:sz w:val="18"/>
                <w:szCs w:val="18"/>
              </w:rPr>
              <w:t>未检出</w:t>
            </w:r>
          </w:p>
        </w:tc>
        <w:tc>
          <w:tcPr>
            <w:tcW w:w="1279" w:type="dxa"/>
            <w:vAlign w:val="top"/>
          </w:tcPr>
          <w:p w14:paraId="4CBFF360">
            <w:pPr>
              <w:pStyle w:val="6"/>
              <w:spacing w:before="68" w:line="219" w:lineRule="auto"/>
              <w:ind w:left="370"/>
              <w:rPr>
                <w:sz w:val="18"/>
                <w:szCs w:val="18"/>
              </w:rPr>
            </w:pPr>
            <w:r>
              <w:rPr>
                <w:spacing w:val="-4"/>
                <w:sz w:val="18"/>
                <w:szCs w:val="18"/>
              </w:rPr>
              <w:t>未检出</w:t>
            </w:r>
          </w:p>
        </w:tc>
        <w:tc>
          <w:tcPr>
            <w:tcW w:w="1279" w:type="dxa"/>
            <w:vAlign w:val="top"/>
          </w:tcPr>
          <w:p w14:paraId="3AF9113F">
            <w:pPr>
              <w:pStyle w:val="6"/>
              <w:spacing w:before="68" w:line="219" w:lineRule="auto"/>
              <w:ind w:left="370"/>
              <w:rPr>
                <w:sz w:val="18"/>
                <w:szCs w:val="18"/>
              </w:rPr>
            </w:pPr>
            <w:r>
              <w:rPr>
                <w:spacing w:val="-4"/>
                <w:sz w:val="18"/>
                <w:szCs w:val="18"/>
              </w:rPr>
              <w:t>未检出</w:t>
            </w:r>
          </w:p>
        </w:tc>
        <w:tc>
          <w:tcPr>
            <w:tcW w:w="1123" w:type="dxa"/>
            <w:vAlign w:val="top"/>
          </w:tcPr>
          <w:p w14:paraId="7E60208A">
            <w:pPr>
              <w:pStyle w:val="6"/>
              <w:spacing w:before="68" w:line="219" w:lineRule="auto"/>
              <w:ind w:left="293"/>
              <w:rPr>
                <w:sz w:val="18"/>
                <w:szCs w:val="18"/>
              </w:rPr>
            </w:pPr>
            <w:r>
              <w:rPr>
                <w:spacing w:val="-4"/>
                <w:sz w:val="18"/>
                <w:szCs w:val="18"/>
              </w:rPr>
              <w:t>未检出</w:t>
            </w:r>
          </w:p>
        </w:tc>
        <w:tc>
          <w:tcPr>
            <w:tcW w:w="1514" w:type="dxa"/>
            <w:vAlign w:val="top"/>
          </w:tcPr>
          <w:p w14:paraId="1AB7C8CD">
            <w:pPr>
              <w:pStyle w:val="6"/>
              <w:spacing w:before="68" w:line="219" w:lineRule="auto"/>
              <w:ind w:left="488"/>
              <w:rPr>
                <w:sz w:val="18"/>
                <w:szCs w:val="18"/>
              </w:rPr>
            </w:pPr>
            <w:r>
              <w:rPr>
                <w:spacing w:val="-4"/>
                <w:sz w:val="18"/>
                <w:szCs w:val="18"/>
              </w:rPr>
              <w:t>未检出</w:t>
            </w:r>
          </w:p>
        </w:tc>
        <w:tc>
          <w:tcPr>
            <w:tcW w:w="1330" w:type="dxa"/>
            <w:tcBorders>
              <w:right w:val="nil"/>
            </w:tcBorders>
            <w:vAlign w:val="top"/>
          </w:tcPr>
          <w:p w14:paraId="73C449E9">
            <w:pPr>
              <w:spacing w:before="99" w:line="188" w:lineRule="auto"/>
              <w:ind w:left="53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840</w:t>
            </w:r>
          </w:p>
        </w:tc>
      </w:tr>
    </w:tbl>
    <w:p w14:paraId="2BA39938">
      <w:pPr>
        <w:pStyle w:val="2"/>
      </w:pPr>
    </w:p>
    <w:p w14:paraId="053469AE">
      <w:pPr>
        <w:sectPr>
          <w:footerReference r:id="rId240" w:type="default"/>
          <w:pgSz w:w="16839" w:h="11906"/>
          <w:pgMar w:top="1190" w:right="1315" w:bottom="1012" w:left="1313" w:header="882" w:footer="850" w:gutter="0"/>
          <w:cols w:space="720" w:num="1"/>
        </w:sectPr>
      </w:pPr>
    </w:p>
    <w:p w14:paraId="19A8C070">
      <w:pPr>
        <w:spacing w:line="28" w:lineRule="exact"/>
        <w:ind w:firstLine="103"/>
      </w:pPr>
      <w:r>
        <w:pict>
          <v:shape id="_x0000_s1270" o:spid="_x0000_s1270" style="position:absolute;left:0pt;margin-left:643.95pt;margin-top:12.95pt;height:49.6pt;width:0.5pt;z-index:251904000;mso-width-relative:page;mso-height-relative:page;" filled="f" stroked="t" coordsize="10,991" path="m4,0l4,991e">
            <v:fill on="f" focussize="0,0"/>
            <v:stroke weight="0.48pt" color="#000000" miterlimit="2" joinstyle="bevel"/>
            <v:imagedata o:title=""/>
            <o:lock v:ext="edit"/>
          </v:shape>
        </w:pict>
      </w:r>
      <w:r>
        <w:pict>
          <v:shape id="_x0000_s1271" o:spid="_x0000_s1271" style="height:1.45pt;width:700.25pt;" fillcolor="#000000" filled="t" stroked="f" coordsize="14005,29" path="m0,0l14004,0,14004,28,0,28,0,0xe">
            <v:path/>
            <v:fill on="t" focussize="0,0"/>
            <v:stroke on="f"/>
            <v:imagedata o:title=""/>
            <o:lock v:ext="edit"/>
            <w10:wrap type="none"/>
            <w10:anchorlock/>
          </v:shape>
        </w:pict>
      </w:r>
    </w:p>
    <w:p w14:paraId="73BA5204">
      <w:pPr>
        <w:spacing w:line="197" w:lineRule="exact"/>
      </w:pPr>
    </w:p>
    <w:tbl>
      <w:tblPr>
        <w:tblStyle w:val="5"/>
        <w:tblW w:w="1420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61"/>
        <w:gridCol w:w="2196"/>
        <w:gridCol w:w="1643"/>
        <w:gridCol w:w="1279"/>
        <w:gridCol w:w="1304"/>
        <w:gridCol w:w="1279"/>
        <w:gridCol w:w="1279"/>
        <w:gridCol w:w="1123"/>
        <w:gridCol w:w="1502"/>
        <w:gridCol w:w="1342"/>
      </w:tblGrid>
      <w:tr w14:paraId="5DA90D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261" w:type="dxa"/>
            <w:vMerge w:val="restart"/>
            <w:tcBorders>
              <w:top w:val="single" w:color="000000" w:sz="10" w:space="0"/>
              <w:left w:val="nil"/>
              <w:bottom w:val="nil"/>
            </w:tcBorders>
            <w:vAlign w:val="top"/>
          </w:tcPr>
          <w:p w14:paraId="333A2953">
            <w:pPr>
              <w:spacing w:line="349" w:lineRule="auto"/>
              <w:rPr>
                <w:rFonts w:ascii="Arial"/>
                <w:sz w:val="21"/>
              </w:rPr>
            </w:pPr>
          </w:p>
          <w:p w14:paraId="5B9E3C89">
            <w:pPr>
              <w:pStyle w:val="6"/>
              <w:spacing w:before="59" w:line="221" w:lineRule="auto"/>
              <w:ind w:left="456"/>
              <w:rPr>
                <w:sz w:val="18"/>
                <w:szCs w:val="18"/>
              </w:rPr>
            </w:pPr>
            <w:r>
              <w:rPr>
                <w:spacing w:val="-4"/>
                <w:sz w:val="18"/>
                <w:szCs w:val="18"/>
              </w:rPr>
              <w:t>序号</w:t>
            </w:r>
          </w:p>
        </w:tc>
        <w:tc>
          <w:tcPr>
            <w:tcW w:w="2196" w:type="dxa"/>
            <w:vMerge w:val="restart"/>
            <w:tcBorders>
              <w:top w:val="single" w:color="000000" w:sz="10" w:space="0"/>
              <w:bottom w:val="nil"/>
            </w:tcBorders>
            <w:vAlign w:val="top"/>
          </w:tcPr>
          <w:p w14:paraId="1F94F740">
            <w:pPr>
              <w:spacing w:line="350" w:lineRule="auto"/>
              <w:rPr>
                <w:rFonts w:ascii="Arial"/>
                <w:sz w:val="21"/>
              </w:rPr>
            </w:pPr>
          </w:p>
          <w:p w14:paraId="59AEADD5">
            <w:pPr>
              <w:pStyle w:val="6"/>
              <w:spacing w:before="58" w:line="220" w:lineRule="auto"/>
              <w:ind w:left="654"/>
              <w:rPr>
                <w:sz w:val="18"/>
                <w:szCs w:val="18"/>
              </w:rPr>
            </w:pPr>
            <w:r>
              <w:rPr>
                <w:spacing w:val="-2"/>
                <w:sz w:val="18"/>
                <w:szCs w:val="18"/>
              </w:rPr>
              <w:t>污染物项目</w:t>
            </w:r>
          </w:p>
        </w:tc>
        <w:tc>
          <w:tcPr>
            <w:tcW w:w="9409" w:type="dxa"/>
            <w:gridSpan w:val="7"/>
            <w:tcBorders>
              <w:top w:val="single" w:color="000000" w:sz="10" w:space="0"/>
              <w:right w:val="nil"/>
            </w:tcBorders>
            <w:vAlign w:val="top"/>
          </w:tcPr>
          <w:p w14:paraId="43565F3C">
            <w:pPr>
              <w:pStyle w:val="6"/>
              <w:spacing w:before="70" w:line="212" w:lineRule="auto"/>
              <w:ind w:left="4034"/>
              <w:rPr>
                <w:sz w:val="18"/>
                <w:szCs w:val="18"/>
              </w:rPr>
            </w:pPr>
            <w:r>
              <w:rPr>
                <w:spacing w:val="-1"/>
                <w:sz w:val="18"/>
                <w:szCs w:val="18"/>
              </w:rPr>
              <w:t>检测值（</w:t>
            </w:r>
            <w:r>
              <w:rPr>
                <w:rFonts w:ascii="Times New Roman" w:hAnsi="Times New Roman" w:eastAsia="Times New Roman" w:cs="Times New Roman"/>
                <w:spacing w:val="-1"/>
                <w:sz w:val="18"/>
                <w:szCs w:val="18"/>
              </w:rPr>
              <w:t>mg/kg</w:t>
            </w:r>
            <w:r>
              <w:rPr>
                <w:spacing w:val="-1"/>
                <w:sz w:val="18"/>
                <w:szCs w:val="18"/>
              </w:rPr>
              <w:t>）</w:t>
            </w:r>
          </w:p>
        </w:tc>
        <w:tc>
          <w:tcPr>
            <w:tcW w:w="1342" w:type="dxa"/>
            <w:vMerge w:val="restart"/>
            <w:tcBorders>
              <w:top w:val="single" w:color="000000" w:sz="10" w:space="0"/>
              <w:left w:val="nil"/>
              <w:bottom w:val="nil"/>
              <w:right w:val="nil"/>
            </w:tcBorders>
            <w:vAlign w:val="top"/>
          </w:tcPr>
          <w:p w14:paraId="1A15B51A">
            <w:pPr>
              <w:pStyle w:val="6"/>
              <w:spacing w:before="136" w:line="229" w:lineRule="auto"/>
              <w:ind w:left="395" w:right="375" w:firstLine="20"/>
              <w:rPr>
                <w:rFonts w:ascii="Times New Roman" w:hAnsi="Times New Roman" w:eastAsia="Times New Roman" w:cs="Times New Roman"/>
                <w:sz w:val="18"/>
                <w:szCs w:val="18"/>
              </w:rPr>
            </w:pPr>
            <w:r>
              <w:rPr>
                <w:spacing w:val="-3"/>
                <w:sz w:val="18"/>
                <w:szCs w:val="18"/>
              </w:rPr>
              <w:t>筛选值</w:t>
            </w:r>
            <w:r>
              <w:rPr>
                <w:sz w:val="18"/>
                <w:szCs w:val="18"/>
              </w:rPr>
              <w:t xml:space="preserve"> </w:t>
            </w:r>
            <w:r>
              <w:rPr>
                <w:rFonts w:ascii="Times New Roman" w:hAnsi="Times New Roman" w:eastAsia="Times New Roman" w:cs="Times New Roman"/>
                <w:spacing w:val="-2"/>
                <w:sz w:val="18"/>
                <w:szCs w:val="18"/>
              </w:rPr>
              <w:t>(mg/kg)</w:t>
            </w:r>
          </w:p>
        </w:tc>
      </w:tr>
      <w:tr w14:paraId="1CBE75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1261" w:type="dxa"/>
            <w:vMerge w:val="continue"/>
            <w:tcBorders>
              <w:top w:val="nil"/>
              <w:left w:val="nil"/>
              <w:bottom w:val="nil"/>
            </w:tcBorders>
            <w:vAlign w:val="top"/>
          </w:tcPr>
          <w:p w14:paraId="72C28DD9">
            <w:pPr>
              <w:rPr>
                <w:rFonts w:ascii="Arial"/>
                <w:sz w:val="21"/>
              </w:rPr>
            </w:pPr>
          </w:p>
        </w:tc>
        <w:tc>
          <w:tcPr>
            <w:tcW w:w="2196" w:type="dxa"/>
            <w:vMerge w:val="continue"/>
            <w:tcBorders>
              <w:top w:val="nil"/>
              <w:bottom w:val="nil"/>
            </w:tcBorders>
            <w:vAlign w:val="top"/>
          </w:tcPr>
          <w:p w14:paraId="4A1BB179">
            <w:pPr>
              <w:rPr>
                <w:rFonts w:ascii="Arial"/>
                <w:sz w:val="21"/>
              </w:rPr>
            </w:pPr>
          </w:p>
        </w:tc>
        <w:tc>
          <w:tcPr>
            <w:tcW w:w="4226" w:type="dxa"/>
            <w:gridSpan w:val="3"/>
            <w:vAlign w:val="top"/>
          </w:tcPr>
          <w:p w14:paraId="39102076">
            <w:pPr>
              <w:pStyle w:val="6"/>
              <w:spacing w:before="77" w:line="217" w:lineRule="auto"/>
              <w:ind w:left="1490"/>
              <w:rPr>
                <w:sz w:val="18"/>
                <w:szCs w:val="18"/>
              </w:rPr>
            </w:pPr>
            <w:r>
              <w:rPr>
                <w:spacing w:val="-2"/>
                <w:sz w:val="18"/>
                <w:szCs w:val="18"/>
              </w:rPr>
              <w:t>厂区内④号点位</w:t>
            </w:r>
          </w:p>
        </w:tc>
        <w:tc>
          <w:tcPr>
            <w:tcW w:w="3681" w:type="dxa"/>
            <w:gridSpan w:val="3"/>
            <w:vAlign w:val="top"/>
          </w:tcPr>
          <w:p w14:paraId="2901C10B">
            <w:pPr>
              <w:pStyle w:val="6"/>
              <w:spacing w:before="77" w:line="217" w:lineRule="auto"/>
              <w:ind w:left="1216"/>
              <w:rPr>
                <w:sz w:val="18"/>
                <w:szCs w:val="18"/>
              </w:rPr>
            </w:pPr>
            <w:r>
              <w:rPr>
                <w:spacing w:val="-2"/>
                <w:sz w:val="18"/>
                <w:szCs w:val="18"/>
              </w:rPr>
              <w:t>厂区内⑤号点位</w:t>
            </w:r>
          </w:p>
        </w:tc>
        <w:tc>
          <w:tcPr>
            <w:tcW w:w="1502" w:type="dxa"/>
            <w:tcBorders>
              <w:right w:val="nil"/>
            </w:tcBorders>
            <w:vAlign w:val="top"/>
          </w:tcPr>
          <w:p w14:paraId="0E95734A">
            <w:pPr>
              <w:pStyle w:val="6"/>
              <w:spacing w:before="77" w:line="217" w:lineRule="auto"/>
              <w:ind w:left="132"/>
              <w:rPr>
                <w:sz w:val="18"/>
                <w:szCs w:val="18"/>
              </w:rPr>
            </w:pPr>
            <w:r>
              <w:rPr>
                <w:spacing w:val="-2"/>
                <w:sz w:val="18"/>
                <w:szCs w:val="18"/>
              </w:rPr>
              <w:t>厂区内⑦号点位</w:t>
            </w:r>
          </w:p>
        </w:tc>
        <w:tc>
          <w:tcPr>
            <w:tcW w:w="1342" w:type="dxa"/>
            <w:vMerge w:val="continue"/>
            <w:tcBorders>
              <w:top w:val="nil"/>
              <w:left w:val="nil"/>
              <w:right w:val="nil"/>
            </w:tcBorders>
            <w:vAlign w:val="top"/>
          </w:tcPr>
          <w:p w14:paraId="7A100A73">
            <w:pPr>
              <w:rPr>
                <w:rFonts w:ascii="Arial"/>
                <w:sz w:val="21"/>
              </w:rPr>
            </w:pPr>
          </w:p>
        </w:tc>
      </w:tr>
      <w:tr w14:paraId="75C885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1261" w:type="dxa"/>
            <w:vMerge w:val="continue"/>
            <w:tcBorders>
              <w:top w:val="nil"/>
              <w:left w:val="nil"/>
            </w:tcBorders>
            <w:vAlign w:val="top"/>
          </w:tcPr>
          <w:p w14:paraId="65F0C404">
            <w:pPr>
              <w:rPr>
                <w:rFonts w:ascii="Arial"/>
                <w:sz w:val="21"/>
              </w:rPr>
            </w:pPr>
          </w:p>
        </w:tc>
        <w:tc>
          <w:tcPr>
            <w:tcW w:w="2196" w:type="dxa"/>
            <w:vMerge w:val="continue"/>
            <w:tcBorders>
              <w:top w:val="nil"/>
            </w:tcBorders>
            <w:vAlign w:val="top"/>
          </w:tcPr>
          <w:p w14:paraId="72CAC42F">
            <w:pPr>
              <w:rPr>
                <w:rFonts w:ascii="Arial"/>
                <w:sz w:val="21"/>
              </w:rPr>
            </w:pPr>
          </w:p>
        </w:tc>
        <w:tc>
          <w:tcPr>
            <w:tcW w:w="1643" w:type="dxa"/>
            <w:vAlign w:val="top"/>
          </w:tcPr>
          <w:p w14:paraId="5203FE2F">
            <w:pPr>
              <w:spacing w:before="107" w:line="188" w:lineRule="auto"/>
              <w:ind w:left="54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0-50cm</w:t>
            </w:r>
          </w:p>
        </w:tc>
        <w:tc>
          <w:tcPr>
            <w:tcW w:w="1279" w:type="dxa"/>
            <w:vAlign w:val="top"/>
          </w:tcPr>
          <w:p w14:paraId="34D986A2">
            <w:pPr>
              <w:spacing w:before="107" w:line="188" w:lineRule="auto"/>
              <w:ind w:left="28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50-150cm</w:t>
            </w:r>
          </w:p>
        </w:tc>
        <w:tc>
          <w:tcPr>
            <w:tcW w:w="1304" w:type="dxa"/>
            <w:vAlign w:val="top"/>
          </w:tcPr>
          <w:p w14:paraId="70A3AC19">
            <w:pPr>
              <w:spacing w:before="107" w:line="188" w:lineRule="auto"/>
              <w:ind w:left="25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150-300cm</w:t>
            </w:r>
          </w:p>
        </w:tc>
        <w:tc>
          <w:tcPr>
            <w:tcW w:w="1279" w:type="dxa"/>
            <w:vAlign w:val="top"/>
          </w:tcPr>
          <w:p w14:paraId="3EA25E1F">
            <w:pPr>
              <w:spacing w:before="107" w:line="188" w:lineRule="auto"/>
              <w:ind w:left="36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0-50cm</w:t>
            </w:r>
          </w:p>
        </w:tc>
        <w:tc>
          <w:tcPr>
            <w:tcW w:w="1279" w:type="dxa"/>
            <w:vAlign w:val="top"/>
          </w:tcPr>
          <w:p w14:paraId="556431EE">
            <w:pPr>
              <w:spacing w:before="107" w:line="188" w:lineRule="auto"/>
              <w:ind w:left="28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50-150cm</w:t>
            </w:r>
          </w:p>
        </w:tc>
        <w:tc>
          <w:tcPr>
            <w:tcW w:w="1123" w:type="dxa"/>
            <w:vAlign w:val="top"/>
          </w:tcPr>
          <w:p w14:paraId="2C857201">
            <w:pPr>
              <w:spacing w:before="107" w:line="188" w:lineRule="auto"/>
              <w:ind w:left="16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150-300cm</w:t>
            </w:r>
          </w:p>
        </w:tc>
        <w:tc>
          <w:tcPr>
            <w:tcW w:w="1502" w:type="dxa"/>
            <w:tcBorders>
              <w:right w:val="nil"/>
            </w:tcBorders>
            <w:vAlign w:val="top"/>
          </w:tcPr>
          <w:p w14:paraId="3B8E9EAB">
            <w:pPr>
              <w:spacing w:before="107" w:line="188" w:lineRule="auto"/>
              <w:ind w:left="48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0-20cm</w:t>
            </w:r>
          </w:p>
        </w:tc>
        <w:tc>
          <w:tcPr>
            <w:tcW w:w="1342" w:type="dxa"/>
            <w:tcBorders>
              <w:left w:val="nil"/>
              <w:right w:val="nil"/>
            </w:tcBorders>
            <w:vAlign w:val="top"/>
          </w:tcPr>
          <w:p w14:paraId="49621619">
            <w:pPr>
              <w:pStyle w:val="6"/>
              <w:spacing w:before="76" w:line="219" w:lineRule="auto"/>
              <w:ind w:left="234"/>
              <w:rPr>
                <w:sz w:val="18"/>
                <w:szCs w:val="18"/>
              </w:rPr>
            </w:pPr>
            <w:r>
              <w:rPr>
                <w:spacing w:val="-2"/>
                <w:sz w:val="18"/>
                <w:szCs w:val="18"/>
              </w:rPr>
              <w:t>第二类用地</w:t>
            </w:r>
          </w:p>
        </w:tc>
      </w:tr>
      <w:tr w14:paraId="530761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1261" w:type="dxa"/>
            <w:tcBorders>
              <w:left w:val="nil"/>
              <w:bottom w:val="single" w:color="000000" w:sz="6" w:space="0"/>
              <w:right w:val="single" w:color="000000" w:sz="6" w:space="0"/>
            </w:tcBorders>
            <w:vAlign w:val="top"/>
          </w:tcPr>
          <w:p w14:paraId="31463B8D">
            <w:pPr>
              <w:spacing w:before="92" w:line="188" w:lineRule="auto"/>
              <w:ind w:left="5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22</w:t>
            </w:r>
          </w:p>
        </w:tc>
        <w:tc>
          <w:tcPr>
            <w:tcW w:w="2196" w:type="dxa"/>
            <w:tcBorders>
              <w:left w:val="single" w:color="000000" w:sz="6" w:space="0"/>
              <w:bottom w:val="single" w:color="000000" w:sz="6" w:space="0"/>
              <w:right w:val="single" w:color="000000" w:sz="6" w:space="0"/>
            </w:tcBorders>
            <w:vAlign w:val="top"/>
          </w:tcPr>
          <w:p w14:paraId="64BBB380">
            <w:pPr>
              <w:pStyle w:val="6"/>
              <w:spacing w:before="64" w:line="220" w:lineRule="auto"/>
              <w:ind w:left="541"/>
              <w:rPr>
                <w:sz w:val="18"/>
                <w:szCs w:val="18"/>
              </w:rPr>
            </w:pPr>
            <w:r>
              <w:rPr>
                <w:rFonts w:ascii="Times New Roman" w:hAnsi="Times New Roman" w:eastAsia="Times New Roman" w:cs="Times New Roman"/>
                <w:spacing w:val="-5"/>
                <w:sz w:val="18"/>
                <w:szCs w:val="18"/>
              </w:rPr>
              <w:t>1.</w:t>
            </w:r>
            <w:r>
              <w:rPr>
                <w:rFonts w:ascii="Times New Roman" w:hAnsi="Times New Roman" w:eastAsia="Times New Roman" w:cs="Times New Roman"/>
                <w:spacing w:val="-20"/>
                <w:sz w:val="18"/>
                <w:szCs w:val="18"/>
              </w:rPr>
              <w:t xml:space="preserve"> </w:t>
            </w:r>
            <w:r>
              <w:rPr>
                <w:rFonts w:ascii="Times New Roman" w:hAnsi="Times New Roman" w:eastAsia="Times New Roman" w:cs="Times New Roman"/>
                <w:spacing w:val="-5"/>
                <w:sz w:val="18"/>
                <w:szCs w:val="18"/>
              </w:rPr>
              <w:t>1.2-</w:t>
            </w:r>
            <w:r>
              <w:rPr>
                <w:spacing w:val="-5"/>
                <w:sz w:val="18"/>
                <w:szCs w:val="18"/>
              </w:rPr>
              <w:t>三氯乙烷</w:t>
            </w:r>
          </w:p>
        </w:tc>
        <w:tc>
          <w:tcPr>
            <w:tcW w:w="1643" w:type="dxa"/>
            <w:tcBorders>
              <w:left w:val="single" w:color="000000" w:sz="6" w:space="0"/>
              <w:bottom w:val="single" w:color="000000" w:sz="6" w:space="0"/>
              <w:right w:val="single" w:color="000000" w:sz="6" w:space="0"/>
            </w:tcBorders>
            <w:vAlign w:val="top"/>
          </w:tcPr>
          <w:p w14:paraId="044E0501">
            <w:pPr>
              <w:pStyle w:val="6"/>
              <w:spacing w:before="64" w:line="219" w:lineRule="auto"/>
              <w:ind w:left="552"/>
              <w:rPr>
                <w:sz w:val="18"/>
                <w:szCs w:val="18"/>
              </w:rPr>
            </w:pPr>
            <w:r>
              <w:rPr>
                <w:spacing w:val="-4"/>
                <w:sz w:val="18"/>
                <w:szCs w:val="18"/>
              </w:rPr>
              <w:t>未检出</w:t>
            </w:r>
          </w:p>
        </w:tc>
        <w:tc>
          <w:tcPr>
            <w:tcW w:w="1279" w:type="dxa"/>
            <w:tcBorders>
              <w:left w:val="single" w:color="000000" w:sz="6" w:space="0"/>
              <w:bottom w:val="single" w:color="000000" w:sz="6" w:space="0"/>
              <w:right w:val="single" w:color="000000" w:sz="6" w:space="0"/>
            </w:tcBorders>
            <w:vAlign w:val="top"/>
          </w:tcPr>
          <w:p w14:paraId="6089186F">
            <w:pPr>
              <w:pStyle w:val="6"/>
              <w:spacing w:before="64" w:line="219" w:lineRule="auto"/>
              <w:ind w:left="370"/>
              <w:rPr>
                <w:sz w:val="18"/>
                <w:szCs w:val="18"/>
              </w:rPr>
            </w:pPr>
            <w:r>
              <w:rPr>
                <w:spacing w:val="-4"/>
                <w:sz w:val="18"/>
                <w:szCs w:val="18"/>
              </w:rPr>
              <w:t>未检出</w:t>
            </w:r>
          </w:p>
        </w:tc>
        <w:tc>
          <w:tcPr>
            <w:tcW w:w="1304" w:type="dxa"/>
            <w:tcBorders>
              <w:left w:val="single" w:color="000000" w:sz="6" w:space="0"/>
              <w:bottom w:val="single" w:color="000000" w:sz="6" w:space="0"/>
              <w:right w:val="single" w:color="000000" w:sz="6" w:space="0"/>
            </w:tcBorders>
            <w:vAlign w:val="top"/>
          </w:tcPr>
          <w:p w14:paraId="7619F9CF">
            <w:pPr>
              <w:pStyle w:val="6"/>
              <w:spacing w:before="64" w:line="219" w:lineRule="auto"/>
              <w:ind w:left="385"/>
              <w:rPr>
                <w:sz w:val="18"/>
                <w:szCs w:val="18"/>
              </w:rPr>
            </w:pPr>
            <w:r>
              <w:rPr>
                <w:spacing w:val="-4"/>
                <w:sz w:val="18"/>
                <w:szCs w:val="18"/>
              </w:rPr>
              <w:t>未检出</w:t>
            </w:r>
          </w:p>
        </w:tc>
        <w:tc>
          <w:tcPr>
            <w:tcW w:w="1279" w:type="dxa"/>
            <w:tcBorders>
              <w:left w:val="single" w:color="000000" w:sz="6" w:space="0"/>
              <w:bottom w:val="single" w:color="000000" w:sz="6" w:space="0"/>
              <w:right w:val="single" w:color="000000" w:sz="6" w:space="0"/>
            </w:tcBorders>
            <w:vAlign w:val="top"/>
          </w:tcPr>
          <w:p w14:paraId="358E692E">
            <w:pPr>
              <w:pStyle w:val="6"/>
              <w:spacing w:before="64" w:line="219" w:lineRule="auto"/>
              <w:ind w:left="370"/>
              <w:rPr>
                <w:sz w:val="18"/>
                <w:szCs w:val="18"/>
              </w:rPr>
            </w:pPr>
            <w:r>
              <w:rPr>
                <w:spacing w:val="-4"/>
                <w:sz w:val="18"/>
                <w:szCs w:val="18"/>
              </w:rPr>
              <w:t>未检出</w:t>
            </w:r>
          </w:p>
        </w:tc>
        <w:tc>
          <w:tcPr>
            <w:tcW w:w="1279" w:type="dxa"/>
            <w:tcBorders>
              <w:left w:val="single" w:color="000000" w:sz="6" w:space="0"/>
              <w:bottom w:val="single" w:color="000000" w:sz="6" w:space="0"/>
              <w:right w:val="single" w:color="000000" w:sz="6" w:space="0"/>
            </w:tcBorders>
            <w:vAlign w:val="top"/>
          </w:tcPr>
          <w:p w14:paraId="4AB45B3C">
            <w:pPr>
              <w:pStyle w:val="6"/>
              <w:spacing w:before="64" w:line="219" w:lineRule="auto"/>
              <w:ind w:left="370"/>
              <w:rPr>
                <w:sz w:val="18"/>
                <w:szCs w:val="18"/>
              </w:rPr>
            </w:pPr>
            <w:r>
              <w:rPr>
                <w:spacing w:val="-4"/>
                <w:sz w:val="18"/>
                <w:szCs w:val="18"/>
              </w:rPr>
              <w:t>未检出</w:t>
            </w:r>
          </w:p>
        </w:tc>
        <w:tc>
          <w:tcPr>
            <w:tcW w:w="1123" w:type="dxa"/>
            <w:tcBorders>
              <w:left w:val="single" w:color="000000" w:sz="6" w:space="0"/>
              <w:bottom w:val="single" w:color="000000" w:sz="6" w:space="0"/>
              <w:right w:val="single" w:color="000000" w:sz="6" w:space="0"/>
            </w:tcBorders>
            <w:vAlign w:val="top"/>
          </w:tcPr>
          <w:p w14:paraId="1C4997FA">
            <w:pPr>
              <w:pStyle w:val="6"/>
              <w:spacing w:before="64" w:line="219" w:lineRule="auto"/>
              <w:ind w:left="293"/>
              <w:rPr>
                <w:sz w:val="18"/>
                <w:szCs w:val="18"/>
              </w:rPr>
            </w:pPr>
            <w:r>
              <w:rPr>
                <w:spacing w:val="-4"/>
                <w:sz w:val="18"/>
                <w:szCs w:val="18"/>
              </w:rPr>
              <w:t>未检出</w:t>
            </w:r>
          </w:p>
        </w:tc>
        <w:tc>
          <w:tcPr>
            <w:tcW w:w="1502" w:type="dxa"/>
            <w:tcBorders>
              <w:left w:val="single" w:color="000000" w:sz="6" w:space="0"/>
              <w:bottom w:val="single" w:color="000000" w:sz="6" w:space="0"/>
              <w:right w:val="single" w:color="000000" w:sz="6" w:space="0"/>
            </w:tcBorders>
            <w:vAlign w:val="top"/>
          </w:tcPr>
          <w:p w14:paraId="52BA7C9D">
            <w:pPr>
              <w:pStyle w:val="6"/>
              <w:spacing w:before="64" w:line="219" w:lineRule="auto"/>
              <w:ind w:left="488"/>
              <w:rPr>
                <w:sz w:val="18"/>
                <w:szCs w:val="18"/>
              </w:rPr>
            </w:pPr>
            <w:r>
              <w:rPr>
                <w:spacing w:val="-4"/>
                <w:sz w:val="18"/>
                <w:szCs w:val="18"/>
              </w:rPr>
              <w:t>未检出</w:t>
            </w:r>
          </w:p>
        </w:tc>
        <w:tc>
          <w:tcPr>
            <w:tcW w:w="1342" w:type="dxa"/>
            <w:tcBorders>
              <w:left w:val="single" w:color="000000" w:sz="6" w:space="0"/>
              <w:bottom w:val="single" w:color="000000" w:sz="6" w:space="0"/>
              <w:right w:val="nil"/>
            </w:tcBorders>
            <w:vAlign w:val="top"/>
          </w:tcPr>
          <w:p w14:paraId="5D6EBA4D">
            <w:pPr>
              <w:spacing w:before="92" w:line="188" w:lineRule="auto"/>
              <w:ind w:left="5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w:t>
            </w:r>
          </w:p>
        </w:tc>
      </w:tr>
      <w:tr w14:paraId="3FCCC9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261" w:type="dxa"/>
            <w:tcBorders>
              <w:top w:val="single" w:color="000000" w:sz="6" w:space="0"/>
              <w:left w:val="nil"/>
              <w:bottom w:val="single" w:color="000000" w:sz="6" w:space="0"/>
              <w:right w:val="single" w:color="000000" w:sz="6" w:space="0"/>
            </w:tcBorders>
            <w:vAlign w:val="top"/>
          </w:tcPr>
          <w:p w14:paraId="72EB8EBC">
            <w:pPr>
              <w:spacing w:before="90" w:line="188" w:lineRule="auto"/>
              <w:ind w:left="5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23</w:t>
            </w:r>
          </w:p>
        </w:tc>
        <w:tc>
          <w:tcPr>
            <w:tcW w:w="2196" w:type="dxa"/>
            <w:tcBorders>
              <w:top w:val="single" w:color="000000" w:sz="6" w:space="0"/>
              <w:left w:val="single" w:color="000000" w:sz="6" w:space="0"/>
              <w:bottom w:val="single" w:color="000000" w:sz="6" w:space="0"/>
              <w:right w:val="single" w:color="000000" w:sz="6" w:space="0"/>
            </w:tcBorders>
            <w:vAlign w:val="top"/>
          </w:tcPr>
          <w:p w14:paraId="67E410AD">
            <w:pPr>
              <w:pStyle w:val="6"/>
              <w:spacing w:before="59" w:line="219" w:lineRule="auto"/>
              <w:ind w:left="736"/>
              <w:rPr>
                <w:sz w:val="18"/>
                <w:szCs w:val="18"/>
              </w:rPr>
            </w:pPr>
            <w:r>
              <w:rPr>
                <w:spacing w:val="-2"/>
                <w:sz w:val="18"/>
                <w:szCs w:val="18"/>
              </w:rPr>
              <w:t>三氯乙烯</w:t>
            </w:r>
          </w:p>
        </w:tc>
        <w:tc>
          <w:tcPr>
            <w:tcW w:w="1643" w:type="dxa"/>
            <w:tcBorders>
              <w:top w:val="single" w:color="000000" w:sz="6" w:space="0"/>
              <w:left w:val="single" w:color="000000" w:sz="6" w:space="0"/>
              <w:bottom w:val="single" w:color="000000" w:sz="6" w:space="0"/>
              <w:right w:val="single" w:color="000000" w:sz="6" w:space="0"/>
            </w:tcBorders>
            <w:vAlign w:val="top"/>
          </w:tcPr>
          <w:p w14:paraId="47B7889E">
            <w:pPr>
              <w:pStyle w:val="6"/>
              <w:spacing w:before="59" w:line="219" w:lineRule="auto"/>
              <w:ind w:left="552"/>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615F88AA">
            <w:pPr>
              <w:pStyle w:val="6"/>
              <w:spacing w:before="59" w:line="219" w:lineRule="auto"/>
              <w:ind w:left="370"/>
              <w:rPr>
                <w:sz w:val="18"/>
                <w:szCs w:val="18"/>
              </w:rPr>
            </w:pPr>
            <w:r>
              <w:rPr>
                <w:spacing w:val="-4"/>
                <w:sz w:val="18"/>
                <w:szCs w:val="18"/>
              </w:rPr>
              <w:t>未检出</w:t>
            </w:r>
          </w:p>
        </w:tc>
        <w:tc>
          <w:tcPr>
            <w:tcW w:w="1304" w:type="dxa"/>
            <w:tcBorders>
              <w:top w:val="single" w:color="000000" w:sz="6" w:space="0"/>
              <w:left w:val="single" w:color="000000" w:sz="6" w:space="0"/>
              <w:bottom w:val="single" w:color="000000" w:sz="6" w:space="0"/>
              <w:right w:val="single" w:color="000000" w:sz="6" w:space="0"/>
            </w:tcBorders>
            <w:vAlign w:val="top"/>
          </w:tcPr>
          <w:p w14:paraId="5F19786B">
            <w:pPr>
              <w:pStyle w:val="6"/>
              <w:spacing w:before="59" w:line="219" w:lineRule="auto"/>
              <w:ind w:left="385"/>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368D658E">
            <w:pPr>
              <w:pStyle w:val="6"/>
              <w:spacing w:before="59" w:line="219" w:lineRule="auto"/>
              <w:ind w:left="370"/>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7FCFD659">
            <w:pPr>
              <w:pStyle w:val="6"/>
              <w:spacing w:before="59" w:line="219" w:lineRule="auto"/>
              <w:ind w:left="370"/>
              <w:rPr>
                <w:sz w:val="18"/>
                <w:szCs w:val="18"/>
              </w:rPr>
            </w:pPr>
            <w:r>
              <w:rPr>
                <w:spacing w:val="-4"/>
                <w:sz w:val="18"/>
                <w:szCs w:val="18"/>
              </w:rPr>
              <w:t>未检出</w:t>
            </w:r>
          </w:p>
        </w:tc>
        <w:tc>
          <w:tcPr>
            <w:tcW w:w="1123" w:type="dxa"/>
            <w:tcBorders>
              <w:top w:val="single" w:color="000000" w:sz="6" w:space="0"/>
              <w:left w:val="single" w:color="000000" w:sz="6" w:space="0"/>
              <w:bottom w:val="single" w:color="000000" w:sz="6" w:space="0"/>
              <w:right w:val="single" w:color="000000" w:sz="6" w:space="0"/>
            </w:tcBorders>
            <w:vAlign w:val="top"/>
          </w:tcPr>
          <w:p w14:paraId="288563CA">
            <w:pPr>
              <w:pStyle w:val="6"/>
              <w:spacing w:before="59" w:line="219" w:lineRule="auto"/>
              <w:ind w:left="293"/>
              <w:rPr>
                <w:sz w:val="18"/>
                <w:szCs w:val="18"/>
              </w:rPr>
            </w:pPr>
            <w:r>
              <w:rPr>
                <w:spacing w:val="-4"/>
                <w:sz w:val="18"/>
                <w:szCs w:val="18"/>
              </w:rPr>
              <w:t>未检出</w:t>
            </w:r>
          </w:p>
        </w:tc>
        <w:tc>
          <w:tcPr>
            <w:tcW w:w="1502" w:type="dxa"/>
            <w:tcBorders>
              <w:top w:val="single" w:color="000000" w:sz="6" w:space="0"/>
              <w:left w:val="single" w:color="000000" w:sz="6" w:space="0"/>
              <w:bottom w:val="single" w:color="000000" w:sz="6" w:space="0"/>
              <w:right w:val="single" w:color="000000" w:sz="6" w:space="0"/>
            </w:tcBorders>
            <w:vAlign w:val="top"/>
          </w:tcPr>
          <w:p w14:paraId="3F2DA876">
            <w:pPr>
              <w:pStyle w:val="6"/>
              <w:spacing w:before="59" w:line="219" w:lineRule="auto"/>
              <w:ind w:left="488"/>
              <w:rPr>
                <w:sz w:val="18"/>
                <w:szCs w:val="18"/>
              </w:rPr>
            </w:pPr>
            <w:r>
              <w:rPr>
                <w:spacing w:val="-4"/>
                <w:sz w:val="18"/>
                <w:szCs w:val="18"/>
              </w:rPr>
              <w:t>未检出</w:t>
            </w:r>
          </w:p>
        </w:tc>
        <w:tc>
          <w:tcPr>
            <w:tcW w:w="1342" w:type="dxa"/>
            <w:tcBorders>
              <w:top w:val="single" w:color="000000" w:sz="6" w:space="0"/>
              <w:left w:val="single" w:color="000000" w:sz="6" w:space="0"/>
              <w:bottom w:val="single" w:color="000000" w:sz="6" w:space="0"/>
              <w:right w:val="nil"/>
            </w:tcBorders>
            <w:vAlign w:val="top"/>
          </w:tcPr>
          <w:p w14:paraId="650754FA">
            <w:pPr>
              <w:spacing w:before="90" w:line="188" w:lineRule="auto"/>
              <w:ind w:left="5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w:t>
            </w:r>
          </w:p>
        </w:tc>
      </w:tr>
      <w:tr w14:paraId="6BBF91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261" w:type="dxa"/>
            <w:tcBorders>
              <w:top w:val="single" w:color="000000" w:sz="6" w:space="0"/>
              <w:left w:val="nil"/>
              <w:bottom w:val="single" w:color="000000" w:sz="6" w:space="0"/>
              <w:right w:val="single" w:color="000000" w:sz="6" w:space="0"/>
            </w:tcBorders>
            <w:vAlign w:val="top"/>
          </w:tcPr>
          <w:p w14:paraId="302D41DE">
            <w:pPr>
              <w:spacing w:before="89" w:line="188" w:lineRule="auto"/>
              <w:ind w:left="5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24</w:t>
            </w:r>
          </w:p>
        </w:tc>
        <w:tc>
          <w:tcPr>
            <w:tcW w:w="2196" w:type="dxa"/>
            <w:tcBorders>
              <w:top w:val="single" w:color="000000" w:sz="6" w:space="0"/>
              <w:left w:val="single" w:color="000000" w:sz="6" w:space="0"/>
              <w:bottom w:val="single" w:color="000000" w:sz="6" w:space="0"/>
              <w:right w:val="single" w:color="000000" w:sz="6" w:space="0"/>
            </w:tcBorders>
            <w:vAlign w:val="top"/>
          </w:tcPr>
          <w:p w14:paraId="7A461C5C">
            <w:pPr>
              <w:pStyle w:val="6"/>
              <w:spacing w:before="58" w:line="220" w:lineRule="auto"/>
              <w:ind w:left="548"/>
              <w:rPr>
                <w:sz w:val="18"/>
                <w:szCs w:val="18"/>
              </w:rPr>
            </w:pPr>
            <w:r>
              <w:rPr>
                <w:rFonts w:ascii="Times New Roman" w:hAnsi="Times New Roman" w:eastAsia="Times New Roman" w:cs="Times New Roman"/>
                <w:spacing w:val="-3"/>
                <w:sz w:val="18"/>
                <w:szCs w:val="18"/>
              </w:rPr>
              <w:t xml:space="preserve">1.2.3 </w:t>
            </w:r>
            <w:r>
              <w:rPr>
                <w:spacing w:val="-3"/>
                <w:sz w:val="18"/>
                <w:szCs w:val="18"/>
              </w:rPr>
              <w:t>三氯丙烷</w:t>
            </w:r>
          </w:p>
        </w:tc>
        <w:tc>
          <w:tcPr>
            <w:tcW w:w="1643" w:type="dxa"/>
            <w:tcBorders>
              <w:top w:val="single" w:color="000000" w:sz="6" w:space="0"/>
              <w:left w:val="single" w:color="000000" w:sz="6" w:space="0"/>
              <w:bottom w:val="single" w:color="000000" w:sz="6" w:space="0"/>
              <w:right w:val="single" w:color="000000" w:sz="6" w:space="0"/>
            </w:tcBorders>
            <w:vAlign w:val="top"/>
          </w:tcPr>
          <w:p w14:paraId="3C150A48">
            <w:pPr>
              <w:pStyle w:val="6"/>
              <w:spacing w:before="58" w:line="219" w:lineRule="auto"/>
              <w:ind w:left="552"/>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38FE501A">
            <w:pPr>
              <w:pStyle w:val="6"/>
              <w:spacing w:before="58" w:line="219" w:lineRule="auto"/>
              <w:ind w:left="370"/>
              <w:rPr>
                <w:sz w:val="18"/>
                <w:szCs w:val="18"/>
              </w:rPr>
            </w:pPr>
            <w:r>
              <w:rPr>
                <w:spacing w:val="-4"/>
                <w:sz w:val="18"/>
                <w:szCs w:val="18"/>
              </w:rPr>
              <w:t>未检出</w:t>
            </w:r>
          </w:p>
        </w:tc>
        <w:tc>
          <w:tcPr>
            <w:tcW w:w="1304" w:type="dxa"/>
            <w:tcBorders>
              <w:top w:val="single" w:color="000000" w:sz="6" w:space="0"/>
              <w:left w:val="single" w:color="000000" w:sz="6" w:space="0"/>
              <w:bottom w:val="single" w:color="000000" w:sz="6" w:space="0"/>
              <w:right w:val="single" w:color="000000" w:sz="6" w:space="0"/>
            </w:tcBorders>
            <w:vAlign w:val="top"/>
          </w:tcPr>
          <w:p w14:paraId="1BB959D3">
            <w:pPr>
              <w:pStyle w:val="6"/>
              <w:spacing w:before="58" w:line="219" w:lineRule="auto"/>
              <w:ind w:left="385"/>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658EE533">
            <w:pPr>
              <w:pStyle w:val="6"/>
              <w:spacing w:before="58" w:line="219" w:lineRule="auto"/>
              <w:ind w:left="370"/>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5C915D7B">
            <w:pPr>
              <w:pStyle w:val="6"/>
              <w:spacing w:before="58" w:line="219" w:lineRule="auto"/>
              <w:ind w:left="370"/>
              <w:rPr>
                <w:sz w:val="18"/>
                <w:szCs w:val="18"/>
              </w:rPr>
            </w:pPr>
            <w:r>
              <w:rPr>
                <w:spacing w:val="-4"/>
                <w:sz w:val="18"/>
                <w:szCs w:val="18"/>
              </w:rPr>
              <w:t>未检出</w:t>
            </w:r>
          </w:p>
        </w:tc>
        <w:tc>
          <w:tcPr>
            <w:tcW w:w="1123" w:type="dxa"/>
            <w:tcBorders>
              <w:top w:val="single" w:color="000000" w:sz="6" w:space="0"/>
              <w:left w:val="single" w:color="000000" w:sz="6" w:space="0"/>
              <w:bottom w:val="single" w:color="000000" w:sz="6" w:space="0"/>
              <w:right w:val="single" w:color="000000" w:sz="6" w:space="0"/>
            </w:tcBorders>
            <w:vAlign w:val="top"/>
          </w:tcPr>
          <w:p w14:paraId="433EAC14">
            <w:pPr>
              <w:pStyle w:val="6"/>
              <w:spacing w:before="58" w:line="219" w:lineRule="auto"/>
              <w:ind w:left="293"/>
              <w:rPr>
                <w:sz w:val="18"/>
                <w:szCs w:val="18"/>
              </w:rPr>
            </w:pPr>
            <w:r>
              <w:rPr>
                <w:spacing w:val="-4"/>
                <w:sz w:val="18"/>
                <w:szCs w:val="18"/>
              </w:rPr>
              <w:t>未检出</w:t>
            </w:r>
          </w:p>
        </w:tc>
        <w:tc>
          <w:tcPr>
            <w:tcW w:w="1502" w:type="dxa"/>
            <w:tcBorders>
              <w:top w:val="single" w:color="000000" w:sz="6" w:space="0"/>
              <w:left w:val="single" w:color="000000" w:sz="6" w:space="0"/>
              <w:bottom w:val="single" w:color="000000" w:sz="6" w:space="0"/>
              <w:right w:val="single" w:color="000000" w:sz="6" w:space="0"/>
            </w:tcBorders>
            <w:vAlign w:val="top"/>
          </w:tcPr>
          <w:p w14:paraId="45F1D8E4">
            <w:pPr>
              <w:pStyle w:val="6"/>
              <w:spacing w:before="58" w:line="219" w:lineRule="auto"/>
              <w:ind w:left="488"/>
              <w:rPr>
                <w:sz w:val="18"/>
                <w:szCs w:val="18"/>
              </w:rPr>
            </w:pPr>
            <w:r>
              <w:rPr>
                <w:spacing w:val="-4"/>
                <w:sz w:val="18"/>
                <w:szCs w:val="18"/>
              </w:rPr>
              <w:t>未检出</w:t>
            </w:r>
          </w:p>
        </w:tc>
        <w:tc>
          <w:tcPr>
            <w:tcW w:w="1342" w:type="dxa"/>
            <w:tcBorders>
              <w:top w:val="single" w:color="000000" w:sz="6" w:space="0"/>
              <w:left w:val="single" w:color="000000" w:sz="6" w:space="0"/>
              <w:bottom w:val="single" w:color="000000" w:sz="6" w:space="0"/>
              <w:right w:val="nil"/>
            </w:tcBorders>
            <w:vAlign w:val="top"/>
          </w:tcPr>
          <w:p w14:paraId="056BDC81">
            <w:pPr>
              <w:spacing w:before="89" w:line="188" w:lineRule="auto"/>
              <w:ind w:left="56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w:t>
            </w:r>
          </w:p>
        </w:tc>
      </w:tr>
      <w:tr w14:paraId="4FCEAC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261" w:type="dxa"/>
            <w:tcBorders>
              <w:top w:val="single" w:color="000000" w:sz="6" w:space="0"/>
              <w:left w:val="nil"/>
              <w:bottom w:val="single" w:color="000000" w:sz="6" w:space="0"/>
              <w:right w:val="single" w:color="000000" w:sz="6" w:space="0"/>
            </w:tcBorders>
            <w:vAlign w:val="top"/>
          </w:tcPr>
          <w:p w14:paraId="692D2E8B">
            <w:pPr>
              <w:spacing w:before="88" w:line="188" w:lineRule="auto"/>
              <w:ind w:left="5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25</w:t>
            </w:r>
          </w:p>
        </w:tc>
        <w:tc>
          <w:tcPr>
            <w:tcW w:w="2196" w:type="dxa"/>
            <w:tcBorders>
              <w:top w:val="single" w:color="000000" w:sz="6" w:space="0"/>
              <w:left w:val="single" w:color="000000" w:sz="6" w:space="0"/>
              <w:bottom w:val="single" w:color="000000" w:sz="6" w:space="0"/>
              <w:right w:val="single" w:color="000000" w:sz="6" w:space="0"/>
            </w:tcBorders>
            <w:vAlign w:val="top"/>
          </w:tcPr>
          <w:p w14:paraId="29A0B5ED">
            <w:pPr>
              <w:pStyle w:val="6"/>
              <w:spacing w:before="60" w:line="219" w:lineRule="auto"/>
              <w:ind w:left="830"/>
              <w:rPr>
                <w:sz w:val="18"/>
                <w:szCs w:val="18"/>
              </w:rPr>
            </w:pPr>
            <w:r>
              <w:rPr>
                <w:spacing w:val="-4"/>
                <w:sz w:val="18"/>
                <w:szCs w:val="18"/>
              </w:rPr>
              <w:t>氯乙烯</w:t>
            </w:r>
          </w:p>
        </w:tc>
        <w:tc>
          <w:tcPr>
            <w:tcW w:w="1643" w:type="dxa"/>
            <w:tcBorders>
              <w:top w:val="single" w:color="000000" w:sz="6" w:space="0"/>
              <w:left w:val="single" w:color="000000" w:sz="6" w:space="0"/>
              <w:bottom w:val="single" w:color="000000" w:sz="6" w:space="0"/>
              <w:right w:val="single" w:color="000000" w:sz="6" w:space="0"/>
            </w:tcBorders>
            <w:vAlign w:val="top"/>
          </w:tcPr>
          <w:p w14:paraId="7B2EFA73">
            <w:pPr>
              <w:pStyle w:val="6"/>
              <w:spacing w:before="60" w:line="219" w:lineRule="auto"/>
              <w:ind w:left="552"/>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3F00290C">
            <w:pPr>
              <w:pStyle w:val="6"/>
              <w:spacing w:before="60" w:line="219" w:lineRule="auto"/>
              <w:ind w:left="370"/>
              <w:rPr>
                <w:sz w:val="18"/>
                <w:szCs w:val="18"/>
              </w:rPr>
            </w:pPr>
            <w:r>
              <w:rPr>
                <w:spacing w:val="-4"/>
                <w:sz w:val="18"/>
                <w:szCs w:val="18"/>
              </w:rPr>
              <w:t>未检出</w:t>
            </w:r>
          </w:p>
        </w:tc>
        <w:tc>
          <w:tcPr>
            <w:tcW w:w="1304" w:type="dxa"/>
            <w:tcBorders>
              <w:top w:val="single" w:color="000000" w:sz="6" w:space="0"/>
              <w:left w:val="single" w:color="000000" w:sz="6" w:space="0"/>
              <w:bottom w:val="single" w:color="000000" w:sz="6" w:space="0"/>
              <w:right w:val="single" w:color="000000" w:sz="6" w:space="0"/>
            </w:tcBorders>
            <w:vAlign w:val="top"/>
          </w:tcPr>
          <w:p w14:paraId="71F7405A">
            <w:pPr>
              <w:pStyle w:val="6"/>
              <w:spacing w:before="60" w:line="219" w:lineRule="auto"/>
              <w:ind w:left="385"/>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25673A8B">
            <w:pPr>
              <w:pStyle w:val="6"/>
              <w:spacing w:before="60" w:line="219" w:lineRule="auto"/>
              <w:ind w:left="370"/>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42702A8B">
            <w:pPr>
              <w:pStyle w:val="6"/>
              <w:spacing w:before="60" w:line="219" w:lineRule="auto"/>
              <w:ind w:left="370"/>
              <w:rPr>
                <w:sz w:val="18"/>
                <w:szCs w:val="18"/>
              </w:rPr>
            </w:pPr>
            <w:r>
              <w:rPr>
                <w:spacing w:val="-4"/>
                <w:sz w:val="18"/>
                <w:szCs w:val="18"/>
              </w:rPr>
              <w:t>未检出</w:t>
            </w:r>
          </w:p>
        </w:tc>
        <w:tc>
          <w:tcPr>
            <w:tcW w:w="1123" w:type="dxa"/>
            <w:tcBorders>
              <w:top w:val="single" w:color="000000" w:sz="6" w:space="0"/>
              <w:left w:val="single" w:color="000000" w:sz="6" w:space="0"/>
              <w:bottom w:val="single" w:color="000000" w:sz="6" w:space="0"/>
              <w:right w:val="single" w:color="000000" w:sz="6" w:space="0"/>
            </w:tcBorders>
            <w:vAlign w:val="top"/>
          </w:tcPr>
          <w:p w14:paraId="222440BD">
            <w:pPr>
              <w:pStyle w:val="6"/>
              <w:spacing w:before="60" w:line="219" w:lineRule="auto"/>
              <w:ind w:left="293"/>
              <w:rPr>
                <w:sz w:val="18"/>
                <w:szCs w:val="18"/>
              </w:rPr>
            </w:pPr>
            <w:r>
              <w:rPr>
                <w:spacing w:val="-4"/>
                <w:sz w:val="18"/>
                <w:szCs w:val="18"/>
              </w:rPr>
              <w:t>未检出</w:t>
            </w:r>
          </w:p>
        </w:tc>
        <w:tc>
          <w:tcPr>
            <w:tcW w:w="1502" w:type="dxa"/>
            <w:tcBorders>
              <w:top w:val="single" w:color="000000" w:sz="6" w:space="0"/>
              <w:left w:val="single" w:color="000000" w:sz="6" w:space="0"/>
              <w:bottom w:val="single" w:color="000000" w:sz="6" w:space="0"/>
              <w:right w:val="single" w:color="000000" w:sz="6" w:space="0"/>
            </w:tcBorders>
            <w:vAlign w:val="top"/>
          </w:tcPr>
          <w:p w14:paraId="5BF53765">
            <w:pPr>
              <w:pStyle w:val="6"/>
              <w:spacing w:before="60" w:line="219" w:lineRule="auto"/>
              <w:ind w:left="488"/>
              <w:rPr>
                <w:sz w:val="18"/>
                <w:szCs w:val="18"/>
              </w:rPr>
            </w:pPr>
            <w:r>
              <w:rPr>
                <w:spacing w:val="-4"/>
                <w:sz w:val="18"/>
                <w:szCs w:val="18"/>
              </w:rPr>
              <w:t>未检出</w:t>
            </w:r>
          </w:p>
        </w:tc>
        <w:tc>
          <w:tcPr>
            <w:tcW w:w="1342" w:type="dxa"/>
            <w:tcBorders>
              <w:top w:val="single" w:color="000000" w:sz="6" w:space="0"/>
              <w:left w:val="single" w:color="000000" w:sz="6" w:space="0"/>
              <w:bottom w:val="single" w:color="000000" w:sz="6" w:space="0"/>
              <w:right w:val="nil"/>
            </w:tcBorders>
            <w:vAlign w:val="top"/>
          </w:tcPr>
          <w:p w14:paraId="0B9A5E66">
            <w:pPr>
              <w:spacing w:before="88" w:line="188" w:lineRule="auto"/>
              <w:ind w:left="51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0.43</w:t>
            </w:r>
          </w:p>
        </w:tc>
      </w:tr>
      <w:tr w14:paraId="3E2D00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261" w:type="dxa"/>
            <w:tcBorders>
              <w:top w:val="single" w:color="000000" w:sz="6" w:space="0"/>
              <w:left w:val="nil"/>
              <w:bottom w:val="single" w:color="000000" w:sz="6" w:space="0"/>
              <w:right w:val="single" w:color="000000" w:sz="6" w:space="0"/>
            </w:tcBorders>
            <w:vAlign w:val="top"/>
          </w:tcPr>
          <w:p w14:paraId="452A29D5">
            <w:pPr>
              <w:spacing w:before="90" w:line="188" w:lineRule="auto"/>
              <w:ind w:left="5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26</w:t>
            </w:r>
          </w:p>
        </w:tc>
        <w:tc>
          <w:tcPr>
            <w:tcW w:w="2196" w:type="dxa"/>
            <w:tcBorders>
              <w:top w:val="single" w:color="000000" w:sz="6" w:space="0"/>
              <w:left w:val="single" w:color="000000" w:sz="6" w:space="0"/>
              <w:bottom w:val="single" w:color="000000" w:sz="6" w:space="0"/>
              <w:right w:val="single" w:color="000000" w:sz="6" w:space="0"/>
            </w:tcBorders>
            <w:vAlign w:val="top"/>
          </w:tcPr>
          <w:p w14:paraId="7B80801B">
            <w:pPr>
              <w:pStyle w:val="6"/>
              <w:spacing w:before="58" w:line="219" w:lineRule="auto"/>
              <w:ind w:left="1009"/>
              <w:rPr>
                <w:sz w:val="18"/>
                <w:szCs w:val="18"/>
              </w:rPr>
            </w:pPr>
            <w:r>
              <w:rPr>
                <w:sz w:val="18"/>
                <w:szCs w:val="18"/>
              </w:rPr>
              <w:t>苯</w:t>
            </w:r>
          </w:p>
        </w:tc>
        <w:tc>
          <w:tcPr>
            <w:tcW w:w="1643" w:type="dxa"/>
            <w:tcBorders>
              <w:top w:val="single" w:color="000000" w:sz="6" w:space="0"/>
              <w:left w:val="single" w:color="000000" w:sz="6" w:space="0"/>
              <w:bottom w:val="single" w:color="000000" w:sz="6" w:space="0"/>
              <w:right w:val="single" w:color="000000" w:sz="6" w:space="0"/>
            </w:tcBorders>
            <w:vAlign w:val="top"/>
          </w:tcPr>
          <w:p w14:paraId="4123CACE">
            <w:pPr>
              <w:pStyle w:val="6"/>
              <w:spacing w:before="59" w:line="219" w:lineRule="auto"/>
              <w:ind w:left="552"/>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0C8F1B43">
            <w:pPr>
              <w:pStyle w:val="6"/>
              <w:spacing w:before="59" w:line="219" w:lineRule="auto"/>
              <w:ind w:left="370"/>
              <w:rPr>
                <w:sz w:val="18"/>
                <w:szCs w:val="18"/>
              </w:rPr>
            </w:pPr>
            <w:r>
              <w:rPr>
                <w:spacing w:val="-4"/>
                <w:sz w:val="18"/>
                <w:szCs w:val="18"/>
              </w:rPr>
              <w:t>未检出</w:t>
            </w:r>
          </w:p>
        </w:tc>
        <w:tc>
          <w:tcPr>
            <w:tcW w:w="1304" w:type="dxa"/>
            <w:tcBorders>
              <w:top w:val="single" w:color="000000" w:sz="6" w:space="0"/>
              <w:left w:val="single" w:color="000000" w:sz="6" w:space="0"/>
              <w:bottom w:val="single" w:color="000000" w:sz="6" w:space="0"/>
              <w:right w:val="single" w:color="000000" w:sz="6" w:space="0"/>
            </w:tcBorders>
            <w:vAlign w:val="top"/>
          </w:tcPr>
          <w:p w14:paraId="196FFD9F">
            <w:pPr>
              <w:pStyle w:val="6"/>
              <w:spacing w:before="59" w:line="219" w:lineRule="auto"/>
              <w:ind w:left="385"/>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54290CA9">
            <w:pPr>
              <w:pStyle w:val="6"/>
              <w:spacing w:before="59" w:line="219" w:lineRule="auto"/>
              <w:ind w:left="370"/>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70FC6814">
            <w:pPr>
              <w:pStyle w:val="6"/>
              <w:spacing w:before="59" w:line="219" w:lineRule="auto"/>
              <w:ind w:left="370"/>
              <w:rPr>
                <w:sz w:val="18"/>
                <w:szCs w:val="18"/>
              </w:rPr>
            </w:pPr>
            <w:r>
              <w:rPr>
                <w:spacing w:val="-4"/>
                <w:sz w:val="18"/>
                <w:szCs w:val="18"/>
              </w:rPr>
              <w:t>未检出</w:t>
            </w:r>
          </w:p>
        </w:tc>
        <w:tc>
          <w:tcPr>
            <w:tcW w:w="1123" w:type="dxa"/>
            <w:tcBorders>
              <w:top w:val="single" w:color="000000" w:sz="6" w:space="0"/>
              <w:left w:val="single" w:color="000000" w:sz="6" w:space="0"/>
              <w:bottom w:val="single" w:color="000000" w:sz="6" w:space="0"/>
              <w:right w:val="single" w:color="000000" w:sz="6" w:space="0"/>
            </w:tcBorders>
            <w:vAlign w:val="top"/>
          </w:tcPr>
          <w:p w14:paraId="2B885708">
            <w:pPr>
              <w:pStyle w:val="6"/>
              <w:spacing w:before="59" w:line="219" w:lineRule="auto"/>
              <w:ind w:left="293"/>
              <w:rPr>
                <w:sz w:val="18"/>
                <w:szCs w:val="18"/>
              </w:rPr>
            </w:pPr>
            <w:r>
              <w:rPr>
                <w:spacing w:val="-4"/>
                <w:sz w:val="18"/>
                <w:szCs w:val="18"/>
              </w:rPr>
              <w:t>未检出</w:t>
            </w:r>
          </w:p>
        </w:tc>
        <w:tc>
          <w:tcPr>
            <w:tcW w:w="1502" w:type="dxa"/>
            <w:tcBorders>
              <w:top w:val="single" w:color="000000" w:sz="6" w:space="0"/>
              <w:left w:val="single" w:color="000000" w:sz="6" w:space="0"/>
              <w:bottom w:val="single" w:color="000000" w:sz="6" w:space="0"/>
              <w:right w:val="single" w:color="000000" w:sz="6" w:space="0"/>
            </w:tcBorders>
            <w:vAlign w:val="top"/>
          </w:tcPr>
          <w:p w14:paraId="03D94C3A">
            <w:pPr>
              <w:pStyle w:val="6"/>
              <w:spacing w:before="59" w:line="219" w:lineRule="auto"/>
              <w:ind w:left="488"/>
              <w:rPr>
                <w:sz w:val="18"/>
                <w:szCs w:val="18"/>
              </w:rPr>
            </w:pPr>
            <w:r>
              <w:rPr>
                <w:spacing w:val="-4"/>
                <w:sz w:val="18"/>
                <w:szCs w:val="18"/>
              </w:rPr>
              <w:t>未检出</w:t>
            </w:r>
          </w:p>
        </w:tc>
        <w:tc>
          <w:tcPr>
            <w:tcW w:w="1342" w:type="dxa"/>
            <w:tcBorders>
              <w:top w:val="single" w:color="000000" w:sz="6" w:space="0"/>
              <w:left w:val="single" w:color="000000" w:sz="6" w:space="0"/>
              <w:bottom w:val="single" w:color="000000" w:sz="6" w:space="0"/>
              <w:right w:val="nil"/>
            </w:tcBorders>
            <w:vAlign w:val="top"/>
          </w:tcPr>
          <w:p w14:paraId="6291C1E0">
            <w:pPr>
              <w:spacing w:before="90" w:line="188" w:lineRule="auto"/>
              <w:ind w:left="628"/>
              <w:rPr>
                <w:rFonts w:ascii="Times New Roman" w:hAnsi="Times New Roman" w:eastAsia="Times New Roman" w:cs="Times New Roman"/>
                <w:sz w:val="18"/>
                <w:szCs w:val="18"/>
              </w:rPr>
            </w:pPr>
            <w:r>
              <w:rPr>
                <w:rFonts w:ascii="Times New Roman" w:hAnsi="Times New Roman" w:eastAsia="Times New Roman" w:cs="Times New Roman"/>
                <w:sz w:val="18"/>
                <w:szCs w:val="18"/>
              </w:rPr>
              <w:t>4</w:t>
            </w:r>
          </w:p>
        </w:tc>
      </w:tr>
      <w:tr w14:paraId="348305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261" w:type="dxa"/>
            <w:tcBorders>
              <w:top w:val="single" w:color="000000" w:sz="6" w:space="0"/>
              <w:left w:val="nil"/>
              <w:bottom w:val="single" w:color="000000" w:sz="6" w:space="0"/>
              <w:right w:val="single" w:color="000000" w:sz="6" w:space="0"/>
            </w:tcBorders>
            <w:vAlign w:val="top"/>
          </w:tcPr>
          <w:p w14:paraId="24B7F851">
            <w:pPr>
              <w:spacing w:before="89" w:line="188" w:lineRule="auto"/>
              <w:ind w:left="5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27</w:t>
            </w:r>
          </w:p>
        </w:tc>
        <w:tc>
          <w:tcPr>
            <w:tcW w:w="2196" w:type="dxa"/>
            <w:tcBorders>
              <w:top w:val="single" w:color="000000" w:sz="6" w:space="0"/>
              <w:left w:val="single" w:color="000000" w:sz="6" w:space="0"/>
              <w:bottom w:val="single" w:color="000000" w:sz="6" w:space="0"/>
              <w:right w:val="single" w:color="000000" w:sz="6" w:space="0"/>
            </w:tcBorders>
            <w:vAlign w:val="top"/>
          </w:tcPr>
          <w:p w14:paraId="64A8732D">
            <w:pPr>
              <w:pStyle w:val="6"/>
              <w:spacing w:before="58" w:line="219" w:lineRule="auto"/>
              <w:ind w:left="919"/>
              <w:rPr>
                <w:sz w:val="18"/>
                <w:szCs w:val="18"/>
              </w:rPr>
            </w:pPr>
            <w:r>
              <w:rPr>
                <w:spacing w:val="-5"/>
                <w:sz w:val="18"/>
                <w:szCs w:val="18"/>
              </w:rPr>
              <w:t>氯苯</w:t>
            </w:r>
          </w:p>
        </w:tc>
        <w:tc>
          <w:tcPr>
            <w:tcW w:w="1643" w:type="dxa"/>
            <w:tcBorders>
              <w:top w:val="single" w:color="000000" w:sz="6" w:space="0"/>
              <w:left w:val="single" w:color="000000" w:sz="6" w:space="0"/>
              <w:bottom w:val="single" w:color="000000" w:sz="6" w:space="0"/>
              <w:right w:val="single" w:color="000000" w:sz="6" w:space="0"/>
            </w:tcBorders>
            <w:vAlign w:val="top"/>
          </w:tcPr>
          <w:p w14:paraId="1A81BE18">
            <w:pPr>
              <w:pStyle w:val="6"/>
              <w:spacing w:before="58" w:line="219" w:lineRule="auto"/>
              <w:ind w:left="552"/>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170156D7">
            <w:pPr>
              <w:pStyle w:val="6"/>
              <w:spacing w:before="58" w:line="219" w:lineRule="auto"/>
              <w:ind w:left="370"/>
              <w:rPr>
                <w:sz w:val="18"/>
                <w:szCs w:val="18"/>
              </w:rPr>
            </w:pPr>
            <w:r>
              <w:rPr>
                <w:spacing w:val="-4"/>
                <w:sz w:val="18"/>
                <w:szCs w:val="18"/>
              </w:rPr>
              <w:t>未检出</w:t>
            </w:r>
          </w:p>
        </w:tc>
        <w:tc>
          <w:tcPr>
            <w:tcW w:w="1304" w:type="dxa"/>
            <w:tcBorders>
              <w:top w:val="single" w:color="000000" w:sz="6" w:space="0"/>
              <w:left w:val="single" w:color="000000" w:sz="6" w:space="0"/>
              <w:bottom w:val="single" w:color="000000" w:sz="6" w:space="0"/>
              <w:right w:val="single" w:color="000000" w:sz="6" w:space="0"/>
            </w:tcBorders>
            <w:vAlign w:val="top"/>
          </w:tcPr>
          <w:p w14:paraId="5BE2E5B5">
            <w:pPr>
              <w:pStyle w:val="6"/>
              <w:spacing w:before="58" w:line="219" w:lineRule="auto"/>
              <w:ind w:left="385"/>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6022C15A">
            <w:pPr>
              <w:pStyle w:val="6"/>
              <w:spacing w:before="58" w:line="219" w:lineRule="auto"/>
              <w:ind w:left="370"/>
              <w:rPr>
                <w:sz w:val="18"/>
                <w:szCs w:val="18"/>
              </w:rPr>
            </w:pPr>
            <w:r>
              <w:rPr>
                <w:spacing w:val="-4"/>
                <w:sz w:val="18"/>
                <w:szCs w:val="18"/>
              </w:rPr>
              <w:t>未检出</w:t>
            </w:r>
          </w:p>
        </w:tc>
        <w:tc>
          <w:tcPr>
            <w:tcW w:w="1279" w:type="dxa"/>
            <w:tcBorders>
              <w:top w:val="single" w:color="000000" w:sz="6" w:space="0"/>
              <w:left w:val="single" w:color="000000" w:sz="6" w:space="0"/>
              <w:bottom w:val="single" w:color="000000" w:sz="6" w:space="0"/>
              <w:right w:val="single" w:color="000000" w:sz="6" w:space="0"/>
            </w:tcBorders>
            <w:vAlign w:val="top"/>
          </w:tcPr>
          <w:p w14:paraId="124B25FB">
            <w:pPr>
              <w:pStyle w:val="6"/>
              <w:spacing w:before="58" w:line="219" w:lineRule="auto"/>
              <w:ind w:left="370"/>
              <w:rPr>
                <w:sz w:val="18"/>
                <w:szCs w:val="18"/>
              </w:rPr>
            </w:pPr>
            <w:r>
              <w:rPr>
                <w:spacing w:val="-4"/>
                <w:sz w:val="18"/>
                <w:szCs w:val="18"/>
              </w:rPr>
              <w:t>未检出</w:t>
            </w:r>
          </w:p>
        </w:tc>
        <w:tc>
          <w:tcPr>
            <w:tcW w:w="1123" w:type="dxa"/>
            <w:tcBorders>
              <w:top w:val="single" w:color="000000" w:sz="6" w:space="0"/>
              <w:left w:val="single" w:color="000000" w:sz="6" w:space="0"/>
              <w:bottom w:val="single" w:color="000000" w:sz="6" w:space="0"/>
              <w:right w:val="single" w:color="000000" w:sz="6" w:space="0"/>
            </w:tcBorders>
            <w:vAlign w:val="top"/>
          </w:tcPr>
          <w:p w14:paraId="2FF6B906">
            <w:pPr>
              <w:pStyle w:val="6"/>
              <w:spacing w:before="58" w:line="219" w:lineRule="auto"/>
              <w:ind w:left="293"/>
              <w:rPr>
                <w:sz w:val="18"/>
                <w:szCs w:val="18"/>
              </w:rPr>
            </w:pPr>
            <w:r>
              <w:rPr>
                <w:spacing w:val="-4"/>
                <w:sz w:val="18"/>
                <w:szCs w:val="18"/>
              </w:rPr>
              <w:t>未检出</w:t>
            </w:r>
          </w:p>
        </w:tc>
        <w:tc>
          <w:tcPr>
            <w:tcW w:w="1502" w:type="dxa"/>
            <w:tcBorders>
              <w:top w:val="single" w:color="000000" w:sz="6" w:space="0"/>
              <w:left w:val="single" w:color="000000" w:sz="6" w:space="0"/>
              <w:bottom w:val="single" w:color="000000" w:sz="6" w:space="0"/>
              <w:right w:val="single" w:color="000000" w:sz="6" w:space="0"/>
            </w:tcBorders>
            <w:vAlign w:val="top"/>
          </w:tcPr>
          <w:p w14:paraId="5761A07A">
            <w:pPr>
              <w:pStyle w:val="6"/>
              <w:spacing w:before="58" w:line="219" w:lineRule="auto"/>
              <w:ind w:left="488"/>
              <w:rPr>
                <w:sz w:val="18"/>
                <w:szCs w:val="18"/>
              </w:rPr>
            </w:pPr>
            <w:r>
              <w:rPr>
                <w:spacing w:val="-4"/>
                <w:sz w:val="18"/>
                <w:szCs w:val="18"/>
              </w:rPr>
              <w:t>未检出</w:t>
            </w:r>
          </w:p>
        </w:tc>
        <w:tc>
          <w:tcPr>
            <w:tcW w:w="1342" w:type="dxa"/>
            <w:tcBorders>
              <w:top w:val="single" w:color="000000" w:sz="6" w:space="0"/>
              <w:left w:val="single" w:color="000000" w:sz="6" w:space="0"/>
              <w:bottom w:val="single" w:color="000000" w:sz="6" w:space="0"/>
              <w:right w:val="nil"/>
            </w:tcBorders>
            <w:vAlign w:val="top"/>
          </w:tcPr>
          <w:p w14:paraId="180D756E">
            <w:pPr>
              <w:spacing w:before="89" w:line="188" w:lineRule="auto"/>
              <w:ind w:left="54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270</w:t>
            </w:r>
          </w:p>
        </w:tc>
      </w:tr>
      <w:tr w14:paraId="52C9FF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4" w:hRule="atLeast"/>
        </w:trPr>
        <w:tc>
          <w:tcPr>
            <w:tcW w:w="1261" w:type="dxa"/>
            <w:tcBorders>
              <w:top w:val="single" w:color="000000" w:sz="6" w:space="0"/>
              <w:left w:val="nil"/>
              <w:bottom w:val="nil"/>
              <w:right w:val="single" w:color="000000" w:sz="6" w:space="0"/>
            </w:tcBorders>
            <w:vAlign w:val="top"/>
          </w:tcPr>
          <w:p w14:paraId="5D497EA3">
            <w:pPr>
              <w:spacing w:before="88" w:line="188" w:lineRule="auto"/>
              <w:ind w:left="5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28</w:t>
            </w:r>
          </w:p>
        </w:tc>
        <w:tc>
          <w:tcPr>
            <w:tcW w:w="2196" w:type="dxa"/>
            <w:tcBorders>
              <w:top w:val="single" w:color="000000" w:sz="6" w:space="0"/>
              <w:left w:val="single" w:color="000000" w:sz="6" w:space="0"/>
              <w:bottom w:val="nil"/>
              <w:right w:val="single" w:color="000000" w:sz="6" w:space="0"/>
            </w:tcBorders>
            <w:vAlign w:val="top"/>
          </w:tcPr>
          <w:p w14:paraId="1B6BCC8D">
            <w:pPr>
              <w:pStyle w:val="6"/>
              <w:spacing w:before="59" w:line="219" w:lineRule="auto"/>
              <w:ind w:left="697"/>
              <w:rPr>
                <w:sz w:val="18"/>
                <w:szCs w:val="18"/>
              </w:rPr>
            </w:pPr>
            <w:r>
              <w:rPr>
                <w:rFonts w:ascii="Times New Roman" w:hAnsi="Times New Roman" w:eastAsia="Times New Roman" w:cs="Times New Roman"/>
                <w:spacing w:val="-3"/>
                <w:sz w:val="18"/>
                <w:szCs w:val="18"/>
              </w:rPr>
              <w:t>1.2-</w:t>
            </w:r>
            <w:r>
              <w:rPr>
                <w:spacing w:val="-3"/>
                <w:sz w:val="18"/>
                <w:szCs w:val="18"/>
              </w:rPr>
              <w:t>二氯苯</w:t>
            </w:r>
          </w:p>
        </w:tc>
        <w:tc>
          <w:tcPr>
            <w:tcW w:w="1643" w:type="dxa"/>
            <w:tcBorders>
              <w:top w:val="single" w:color="000000" w:sz="6" w:space="0"/>
              <w:left w:val="single" w:color="000000" w:sz="6" w:space="0"/>
              <w:bottom w:val="nil"/>
              <w:right w:val="single" w:color="000000" w:sz="6" w:space="0"/>
            </w:tcBorders>
            <w:vAlign w:val="top"/>
          </w:tcPr>
          <w:p w14:paraId="06B5FBC3">
            <w:pPr>
              <w:pStyle w:val="6"/>
              <w:spacing w:before="60" w:line="219" w:lineRule="auto"/>
              <w:ind w:left="552"/>
              <w:rPr>
                <w:sz w:val="18"/>
                <w:szCs w:val="18"/>
              </w:rPr>
            </w:pPr>
            <w:r>
              <w:rPr>
                <w:spacing w:val="-4"/>
                <w:sz w:val="18"/>
                <w:szCs w:val="18"/>
              </w:rPr>
              <w:t>未检出</w:t>
            </w:r>
          </w:p>
        </w:tc>
        <w:tc>
          <w:tcPr>
            <w:tcW w:w="1279" w:type="dxa"/>
            <w:tcBorders>
              <w:top w:val="single" w:color="000000" w:sz="6" w:space="0"/>
              <w:left w:val="single" w:color="000000" w:sz="6" w:space="0"/>
              <w:bottom w:val="nil"/>
              <w:right w:val="single" w:color="000000" w:sz="6" w:space="0"/>
            </w:tcBorders>
            <w:vAlign w:val="top"/>
          </w:tcPr>
          <w:p w14:paraId="61C28FCD">
            <w:pPr>
              <w:pStyle w:val="6"/>
              <w:spacing w:before="60" w:line="219" w:lineRule="auto"/>
              <w:ind w:left="370"/>
              <w:rPr>
                <w:sz w:val="18"/>
                <w:szCs w:val="18"/>
              </w:rPr>
            </w:pPr>
            <w:r>
              <w:rPr>
                <w:spacing w:val="-4"/>
                <w:sz w:val="18"/>
                <w:szCs w:val="18"/>
              </w:rPr>
              <w:t>未检出</w:t>
            </w:r>
          </w:p>
        </w:tc>
        <w:tc>
          <w:tcPr>
            <w:tcW w:w="1304" w:type="dxa"/>
            <w:tcBorders>
              <w:top w:val="single" w:color="000000" w:sz="6" w:space="0"/>
              <w:left w:val="single" w:color="000000" w:sz="6" w:space="0"/>
              <w:bottom w:val="nil"/>
              <w:right w:val="single" w:color="000000" w:sz="6" w:space="0"/>
            </w:tcBorders>
            <w:vAlign w:val="top"/>
          </w:tcPr>
          <w:p w14:paraId="31E7F0F4">
            <w:pPr>
              <w:pStyle w:val="6"/>
              <w:spacing w:before="60" w:line="219" w:lineRule="auto"/>
              <w:ind w:left="385"/>
              <w:rPr>
                <w:sz w:val="18"/>
                <w:szCs w:val="18"/>
              </w:rPr>
            </w:pPr>
            <w:r>
              <w:rPr>
                <w:spacing w:val="-4"/>
                <w:sz w:val="18"/>
                <w:szCs w:val="18"/>
              </w:rPr>
              <w:t>未检出</w:t>
            </w:r>
          </w:p>
        </w:tc>
        <w:tc>
          <w:tcPr>
            <w:tcW w:w="1279" w:type="dxa"/>
            <w:tcBorders>
              <w:top w:val="single" w:color="000000" w:sz="6" w:space="0"/>
              <w:left w:val="single" w:color="000000" w:sz="6" w:space="0"/>
              <w:bottom w:val="nil"/>
              <w:right w:val="single" w:color="000000" w:sz="6" w:space="0"/>
            </w:tcBorders>
            <w:vAlign w:val="top"/>
          </w:tcPr>
          <w:p w14:paraId="347D077F">
            <w:pPr>
              <w:pStyle w:val="6"/>
              <w:spacing w:before="60" w:line="219" w:lineRule="auto"/>
              <w:ind w:left="370"/>
              <w:rPr>
                <w:sz w:val="18"/>
                <w:szCs w:val="18"/>
              </w:rPr>
            </w:pPr>
            <w:r>
              <w:rPr>
                <w:spacing w:val="-4"/>
                <w:sz w:val="18"/>
                <w:szCs w:val="18"/>
              </w:rPr>
              <w:t>未检出</w:t>
            </w:r>
          </w:p>
        </w:tc>
        <w:tc>
          <w:tcPr>
            <w:tcW w:w="1279" w:type="dxa"/>
            <w:tcBorders>
              <w:top w:val="single" w:color="000000" w:sz="6" w:space="0"/>
              <w:left w:val="single" w:color="000000" w:sz="6" w:space="0"/>
              <w:bottom w:val="nil"/>
              <w:right w:val="single" w:color="000000" w:sz="6" w:space="0"/>
            </w:tcBorders>
            <w:vAlign w:val="top"/>
          </w:tcPr>
          <w:p w14:paraId="532E7B44">
            <w:pPr>
              <w:pStyle w:val="6"/>
              <w:spacing w:before="60" w:line="219" w:lineRule="auto"/>
              <w:ind w:left="370"/>
              <w:rPr>
                <w:sz w:val="18"/>
                <w:szCs w:val="18"/>
              </w:rPr>
            </w:pPr>
            <w:r>
              <w:rPr>
                <w:spacing w:val="-4"/>
                <w:sz w:val="18"/>
                <w:szCs w:val="18"/>
              </w:rPr>
              <w:t>未检出</w:t>
            </w:r>
          </w:p>
        </w:tc>
        <w:tc>
          <w:tcPr>
            <w:tcW w:w="1123" w:type="dxa"/>
            <w:tcBorders>
              <w:top w:val="single" w:color="000000" w:sz="6" w:space="0"/>
              <w:left w:val="single" w:color="000000" w:sz="6" w:space="0"/>
              <w:bottom w:val="nil"/>
              <w:right w:val="single" w:color="000000" w:sz="6" w:space="0"/>
            </w:tcBorders>
            <w:vAlign w:val="top"/>
          </w:tcPr>
          <w:p w14:paraId="7DC89622">
            <w:pPr>
              <w:pStyle w:val="6"/>
              <w:spacing w:before="60" w:line="219" w:lineRule="auto"/>
              <w:ind w:left="293"/>
              <w:rPr>
                <w:sz w:val="18"/>
                <w:szCs w:val="18"/>
              </w:rPr>
            </w:pPr>
            <w:r>
              <w:rPr>
                <w:spacing w:val="-4"/>
                <w:sz w:val="18"/>
                <w:szCs w:val="18"/>
              </w:rPr>
              <w:t>未检出</w:t>
            </w:r>
          </w:p>
        </w:tc>
        <w:tc>
          <w:tcPr>
            <w:tcW w:w="1502" w:type="dxa"/>
            <w:tcBorders>
              <w:top w:val="single" w:color="000000" w:sz="6" w:space="0"/>
              <w:left w:val="single" w:color="000000" w:sz="6" w:space="0"/>
              <w:bottom w:val="nil"/>
              <w:right w:val="single" w:color="000000" w:sz="6" w:space="0"/>
            </w:tcBorders>
            <w:vAlign w:val="top"/>
          </w:tcPr>
          <w:p w14:paraId="24237317">
            <w:pPr>
              <w:pStyle w:val="6"/>
              <w:spacing w:before="60" w:line="219" w:lineRule="auto"/>
              <w:ind w:left="488"/>
              <w:rPr>
                <w:sz w:val="18"/>
                <w:szCs w:val="18"/>
              </w:rPr>
            </w:pPr>
            <w:r>
              <w:rPr>
                <w:spacing w:val="-4"/>
                <w:sz w:val="18"/>
                <w:szCs w:val="18"/>
              </w:rPr>
              <w:t>未检出</w:t>
            </w:r>
          </w:p>
        </w:tc>
        <w:tc>
          <w:tcPr>
            <w:tcW w:w="1342" w:type="dxa"/>
            <w:tcBorders>
              <w:top w:val="single" w:color="000000" w:sz="6" w:space="0"/>
              <w:left w:val="single" w:color="000000" w:sz="6" w:space="0"/>
              <w:bottom w:val="nil"/>
              <w:right w:val="nil"/>
            </w:tcBorders>
            <w:vAlign w:val="top"/>
          </w:tcPr>
          <w:p w14:paraId="406B9EF4">
            <w:pPr>
              <w:spacing w:before="88" w:line="188" w:lineRule="auto"/>
              <w:ind w:left="545"/>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560</w:t>
            </w:r>
          </w:p>
        </w:tc>
      </w:tr>
      <w:tr w14:paraId="1ADD32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261" w:type="dxa"/>
            <w:tcBorders>
              <w:top w:val="nil"/>
              <w:left w:val="nil"/>
            </w:tcBorders>
            <w:vAlign w:val="top"/>
          </w:tcPr>
          <w:p w14:paraId="1EDDBB01">
            <w:pPr>
              <w:spacing w:before="94" w:line="188" w:lineRule="auto"/>
              <w:ind w:left="54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29</w:t>
            </w:r>
          </w:p>
        </w:tc>
        <w:tc>
          <w:tcPr>
            <w:tcW w:w="2196" w:type="dxa"/>
            <w:tcBorders>
              <w:top w:val="nil"/>
            </w:tcBorders>
            <w:vAlign w:val="top"/>
          </w:tcPr>
          <w:p w14:paraId="2814E620">
            <w:pPr>
              <w:pStyle w:val="6"/>
              <w:spacing w:before="65" w:line="219" w:lineRule="auto"/>
              <w:ind w:left="702"/>
              <w:rPr>
                <w:sz w:val="18"/>
                <w:szCs w:val="18"/>
              </w:rPr>
            </w:pPr>
            <w:r>
              <w:rPr>
                <w:rFonts w:ascii="Times New Roman" w:hAnsi="Times New Roman" w:eastAsia="Times New Roman" w:cs="Times New Roman"/>
                <w:spacing w:val="-3"/>
                <w:sz w:val="18"/>
                <w:szCs w:val="18"/>
              </w:rPr>
              <w:t>1.4-</w:t>
            </w:r>
            <w:r>
              <w:rPr>
                <w:spacing w:val="-3"/>
                <w:sz w:val="18"/>
                <w:szCs w:val="18"/>
              </w:rPr>
              <w:t>二氯苯</w:t>
            </w:r>
          </w:p>
        </w:tc>
        <w:tc>
          <w:tcPr>
            <w:tcW w:w="1643" w:type="dxa"/>
            <w:tcBorders>
              <w:top w:val="nil"/>
            </w:tcBorders>
            <w:vAlign w:val="top"/>
          </w:tcPr>
          <w:p w14:paraId="3A1B08EF">
            <w:pPr>
              <w:pStyle w:val="6"/>
              <w:spacing w:before="66" w:line="219" w:lineRule="auto"/>
              <w:ind w:left="557"/>
              <w:rPr>
                <w:sz w:val="18"/>
                <w:szCs w:val="18"/>
              </w:rPr>
            </w:pPr>
            <w:r>
              <w:rPr>
                <w:spacing w:val="-4"/>
                <w:sz w:val="18"/>
                <w:szCs w:val="18"/>
              </w:rPr>
              <w:t>未检出</w:t>
            </w:r>
          </w:p>
        </w:tc>
        <w:tc>
          <w:tcPr>
            <w:tcW w:w="1279" w:type="dxa"/>
            <w:tcBorders>
              <w:top w:val="nil"/>
            </w:tcBorders>
            <w:vAlign w:val="top"/>
          </w:tcPr>
          <w:p w14:paraId="68754AE2">
            <w:pPr>
              <w:pStyle w:val="6"/>
              <w:spacing w:before="66" w:line="219" w:lineRule="auto"/>
              <w:ind w:left="375"/>
              <w:rPr>
                <w:sz w:val="18"/>
                <w:szCs w:val="18"/>
              </w:rPr>
            </w:pPr>
            <w:r>
              <w:rPr>
                <w:spacing w:val="-4"/>
                <w:sz w:val="18"/>
                <w:szCs w:val="18"/>
              </w:rPr>
              <w:t>未检出</w:t>
            </w:r>
          </w:p>
        </w:tc>
        <w:tc>
          <w:tcPr>
            <w:tcW w:w="1304" w:type="dxa"/>
            <w:tcBorders>
              <w:top w:val="nil"/>
            </w:tcBorders>
            <w:vAlign w:val="top"/>
          </w:tcPr>
          <w:p w14:paraId="79D732A2">
            <w:pPr>
              <w:pStyle w:val="6"/>
              <w:spacing w:before="66" w:line="219" w:lineRule="auto"/>
              <w:ind w:left="390"/>
              <w:rPr>
                <w:sz w:val="18"/>
                <w:szCs w:val="18"/>
              </w:rPr>
            </w:pPr>
            <w:r>
              <w:rPr>
                <w:spacing w:val="-4"/>
                <w:sz w:val="18"/>
                <w:szCs w:val="18"/>
              </w:rPr>
              <w:t>未检出</w:t>
            </w:r>
          </w:p>
        </w:tc>
        <w:tc>
          <w:tcPr>
            <w:tcW w:w="1279" w:type="dxa"/>
            <w:tcBorders>
              <w:top w:val="nil"/>
            </w:tcBorders>
            <w:vAlign w:val="top"/>
          </w:tcPr>
          <w:p w14:paraId="4DDDED8A">
            <w:pPr>
              <w:pStyle w:val="6"/>
              <w:spacing w:before="66" w:line="219" w:lineRule="auto"/>
              <w:ind w:left="375"/>
              <w:rPr>
                <w:sz w:val="18"/>
                <w:szCs w:val="18"/>
              </w:rPr>
            </w:pPr>
            <w:r>
              <w:rPr>
                <w:spacing w:val="-4"/>
                <w:sz w:val="18"/>
                <w:szCs w:val="18"/>
              </w:rPr>
              <w:t>未检出</w:t>
            </w:r>
          </w:p>
        </w:tc>
        <w:tc>
          <w:tcPr>
            <w:tcW w:w="1279" w:type="dxa"/>
            <w:tcBorders>
              <w:top w:val="nil"/>
            </w:tcBorders>
            <w:vAlign w:val="top"/>
          </w:tcPr>
          <w:p w14:paraId="512BD2DE">
            <w:pPr>
              <w:pStyle w:val="6"/>
              <w:spacing w:before="66" w:line="219" w:lineRule="auto"/>
              <w:ind w:left="375"/>
              <w:rPr>
                <w:sz w:val="18"/>
                <w:szCs w:val="18"/>
              </w:rPr>
            </w:pPr>
            <w:r>
              <w:rPr>
                <w:spacing w:val="-4"/>
                <w:sz w:val="18"/>
                <w:szCs w:val="18"/>
              </w:rPr>
              <w:t>未检出</w:t>
            </w:r>
          </w:p>
        </w:tc>
        <w:tc>
          <w:tcPr>
            <w:tcW w:w="1123" w:type="dxa"/>
            <w:tcBorders>
              <w:top w:val="nil"/>
            </w:tcBorders>
            <w:vAlign w:val="top"/>
          </w:tcPr>
          <w:p w14:paraId="29F27F87">
            <w:pPr>
              <w:pStyle w:val="6"/>
              <w:spacing w:before="66" w:line="219" w:lineRule="auto"/>
              <w:ind w:left="298"/>
              <w:rPr>
                <w:sz w:val="18"/>
                <w:szCs w:val="18"/>
              </w:rPr>
            </w:pPr>
            <w:r>
              <w:rPr>
                <w:spacing w:val="-4"/>
                <w:sz w:val="18"/>
                <w:szCs w:val="18"/>
              </w:rPr>
              <w:t>未检出</w:t>
            </w:r>
          </w:p>
        </w:tc>
        <w:tc>
          <w:tcPr>
            <w:tcW w:w="1502" w:type="dxa"/>
            <w:tcBorders>
              <w:top w:val="nil"/>
            </w:tcBorders>
            <w:vAlign w:val="top"/>
          </w:tcPr>
          <w:p w14:paraId="2277C688">
            <w:pPr>
              <w:pStyle w:val="6"/>
              <w:spacing w:before="66" w:line="219" w:lineRule="auto"/>
              <w:ind w:left="493"/>
              <w:rPr>
                <w:sz w:val="18"/>
                <w:szCs w:val="18"/>
              </w:rPr>
            </w:pPr>
            <w:r>
              <w:rPr>
                <w:spacing w:val="-4"/>
                <w:sz w:val="18"/>
                <w:szCs w:val="18"/>
              </w:rPr>
              <w:t>未检出</w:t>
            </w:r>
          </w:p>
        </w:tc>
        <w:tc>
          <w:tcPr>
            <w:tcW w:w="1342" w:type="dxa"/>
            <w:tcBorders>
              <w:top w:val="nil"/>
              <w:right w:val="nil"/>
            </w:tcBorders>
            <w:vAlign w:val="top"/>
          </w:tcPr>
          <w:p w14:paraId="4C1AAC22">
            <w:pPr>
              <w:spacing w:before="94" w:line="188" w:lineRule="auto"/>
              <w:ind w:left="58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r>
      <w:tr w14:paraId="7935C4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261" w:type="dxa"/>
            <w:tcBorders>
              <w:left w:val="nil"/>
            </w:tcBorders>
            <w:vAlign w:val="top"/>
          </w:tcPr>
          <w:p w14:paraId="310AF18D">
            <w:pPr>
              <w:spacing w:before="94" w:line="188" w:lineRule="auto"/>
              <w:ind w:left="54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30</w:t>
            </w:r>
          </w:p>
        </w:tc>
        <w:tc>
          <w:tcPr>
            <w:tcW w:w="2196" w:type="dxa"/>
            <w:vAlign w:val="top"/>
          </w:tcPr>
          <w:p w14:paraId="291A5DAC">
            <w:pPr>
              <w:pStyle w:val="6"/>
              <w:spacing w:before="65" w:line="219" w:lineRule="auto"/>
              <w:ind w:left="939"/>
              <w:rPr>
                <w:sz w:val="18"/>
                <w:szCs w:val="18"/>
              </w:rPr>
            </w:pPr>
            <w:r>
              <w:rPr>
                <w:spacing w:val="-13"/>
                <w:sz w:val="18"/>
                <w:szCs w:val="18"/>
              </w:rPr>
              <w:t>乙苯</w:t>
            </w:r>
          </w:p>
        </w:tc>
        <w:tc>
          <w:tcPr>
            <w:tcW w:w="1643" w:type="dxa"/>
            <w:vAlign w:val="top"/>
          </w:tcPr>
          <w:p w14:paraId="46A8B658">
            <w:pPr>
              <w:pStyle w:val="6"/>
              <w:spacing w:before="65" w:line="219" w:lineRule="auto"/>
              <w:ind w:left="557"/>
              <w:rPr>
                <w:sz w:val="18"/>
                <w:szCs w:val="18"/>
              </w:rPr>
            </w:pPr>
            <w:r>
              <w:rPr>
                <w:spacing w:val="-4"/>
                <w:sz w:val="18"/>
                <w:szCs w:val="18"/>
              </w:rPr>
              <w:t>未检出</w:t>
            </w:r>
          </w:p>
        </w:tc>
        <w:tc>
          <w:tcPr>
            <w:tcW w:w="1279" w:type="dxa"/>
            <w:vAlign w:val="top"/>
          </w:tcPr>
          <w:p w14:paraId="24BD05E9">
            <w:pPr>
              <w:pStyle w:val="6"/>
              <w:spacing w:before="65" w:line="219" w:lineRule="auto"/>
              <w:ind w:left="375"/>
              <w:rPr>
                <w:sz w:val="18"/>
                <w:szCs w:val="18"/>
              </w:rPr>
            </w:pPr>
            <w:r>
              <w:rPr>
                <w:spacing w:val="-4"/>
                <w:sz w:val="18"/>
                <w:szCs w:val="18"/>
              </w:rPr>
              <w:t>未检出</w:t>
            </w:r>
          </w:p>
        </w:tc>
        <w:tc>
          <w:tcPr>
            <w:tcW w:w="1304" w:type="dxa"/>
            <w:vAlign w:val="top"/>
          </w:tcPr>
          <w:p w14:paraId="6F80BE8C">
            <w:pPr>
              <w:pStyle w:val="6"/>
              <w:spacing w:before="65" w:line="219" w:lineRule="auto"/>
              <w:ind w:left="390"/>
              <w:rPr>
                <w:sz w:val="18"/>
                <w:szCs w:val="18"/>
              </w:rPr>
            </w:pPr>
            <w:r>
              <w:rPr>
                <w:spacing w:val="-4"/>
                <w:sz w:val="18"/>
                <w:szCs w:val="18"/>
              </w:rPr>
              <w:t>未检出</w:t>
            </w:r>
          </w:p>
        </w:tc>
        <w:tc>
          <w:tcPr>
            <w:tcW w:w="1279" w:type="dxa"/>
            <w:vAlign w:val="top"/>
          </w:tcPr>
          <w:p w14:paraId="493CD3B1">
            <w:pPr>
              <w:pStyle w:val="6"/>
              <w:spacing w:before="65" w:line="219" w:lineRule="auto"/>
              <w:ind w:left="375"/>
              <w:rPr>
                <w:sz w:val="18"/>
                <w:szCs w:val="18"/>
              </w:rPr>
            </w:pPr>
            <w:r>
              <w:rPr>
                <w:spacing w:val="-4"/>
                <w:sz w:val="18"/>
                <w:szCs w:val="18"/>
              </w:rPr>
              <w:t>未检出</w:t>
            </w:r>
          </w:p>
        </w:tc>
        <w:tc>
          <w:tcPr>
            <w:tcW w:w="1279" w:type="dxa"/>
            <w:vAlign w:val="top"/>
          </w:tcPr>
          <w:p w14:paraId="13996927">
            <w:pPr>
              <w:pStyle w:val="6"/>
              <w:spacing w:before="65" w:line="219" w:lineRule="auto"/>
              <w:ind w:left="375"/>
              <w:rPr>
                <w:sz w:val="18"/>
                <w:szCs w:val="18"/>
              </w:rPr>
            </w:pPr>
            <w:r>
              <w:rPr>
                <w:spacing w:val="-4"/>
                <w:sz w:val="18"/>
                <w:szCs w:val="18"/>
              </w:rPr>
              <w:t>未检出</w:t>
            </w:r>
          </w:p>
        </w:tc>
        <w:tc>
          <w:tcPr>
            <w:tcW w:w="1123" w:type="dxa"/>
            <w:vAlign w:val="top"/>
          </w:tcPr>
          <w:p w14:paraId="5380C695">
            <w:pPr>
              <w:pStyle w:val="6"/>
              <w:spacing w:before="65" w:line="219" w:lineRule="auto"/>
              <w:ind w:left="298"/>
              <w:rPr>
                <w:sz w:val="18"/>
                <w:szCs w:val="18"/>
              </w:rPr>
            </w:pPr>
            <w:r>
              <w:rPr>
                <w:spacing w:val="-4"/>
                <w:sz w:val="18"/>
                <w:szCs w:val="18"/>
              </w:rPr>
              <w:t>未检出</w:t>
            </w:r>
          </w:p>
        </w:tc>
        <w:tc>
          <w:tcPr>
            <w:tcW w:w="1502" w:type="dxa"/>
            <w:vAlign w:val="top"/>
          </w:tcPr>
          <w:p w14:paraId="770FCE54">
            <w:pPr>
              <w:pStyle w:val="6"/>
              <w:spacing w:before="65" w:line="219" w:lineRule="auto"/>
              <w:ind w:left="493"/>
              <w:rPr>
                <w:sz w:val="18"/>
                <w:szCs w:val="18"/>
              </w:rPr>
            </w:pPr>
            <w:r>
              <w:rPr>
                <w:spacing w:val="-4"/>
                <w:sz w:val="18"/>
                <w:szCs w:val="18"/>
              </w:rPr>
              <w:t>未检出</w:t>
            </w:r>
          </w:p>
        </w:tc>
        <w:tc>
          <w:tcPr>
            <w:tcW w:w="1342" w:type="dxa"/>
            <w:tcBorders>
              <w:right w:val="nil"/>
            </w:tcBorders>
            <w:vAlign w:val="top"/>
          </w:tcPr>
          <w:p w14:paraId="4E34A5CF">
            <w:pPr>
              <w:spacing w:before="94" w:line="188" w:lineRule="auto"/>
              <w:ind w:left="58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28</w:t>
            </w:r>
          </w:p>
        </w:tc>
      </w:tr>
      <w:tr w14:paraId="2E597C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261" w:type="dxa"/>
            <w:tcBorders>
              <w:left w:val="nil"/>
            </w:tcBorders>
            <w:vAlign w:val="top"/>
          </w:tcPr>
          <w:p w14:paraId="2EEF71C2">
            <w:pPr>
              <w:spacing w:before="96" w:line="188" w:lineRule="auto"/>
              <w:ind w:left="54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31</w:t>
            </w:r>
          </w:p>
        </w:tc>
        <w:tc>
          <w:tcPr>
            <w:tcW w:w="2196" w:type="dxa"/>
            <w:vAlign w:val="top"/>
          </w:tcPr>
          <w:p w14:paraId="27E99C34">
            <w:pPr>
              <w:pStyle w:val="6"/>
              <w:spacing w:before="64" w:line="219" w:lineRule="auto"/>
              <w:ind w:left="834"/>
              <w:rPr>
                <w:sz w:val="18"/>
                <w:szCs w:val="18"/>
              </w:rPr>
            </w:pPr>
            <w:r>
              <w:rPr>
                <w:spacing w:val="-4"/>
                <w:sz w:val="18"/>
                <w:szCs w:val="18"/>
              </w:rPr>
              <w:t>苯乙烯</w:t>
            </w:r>
          </w:p>
        </w:tc>
        <w:tc>
          <w:tcPr>
            <w:tcW w:w="1643" w:type="dxa"/>
            <w:vAlign w:val="top"/>
          </w:tcPr>
          <w:p w14:paraId="7F649E9F">
            <w:pPr>
              <w:pStyle w:val="6"/>
              <w:spacing w:before="65" w:line="219" w:lineRule="auto"/>
              <w:ind w:left="557"/>
              <w:rPr>
                <w:sz w:val="18"/>
                <w:szCs w:val="18"/>
              </w:rPr>
            </w:pPr>
            <w:r>
              <w:rPr>
                <w:spacing w:val="-4"/>
                <w:sz w:val="18"/>
                <w:szCs w:val="18"/>
              </w:rPr>
              <w:t>未检出</w:t>
            </w:r>
          </w:p>
        </w:tc>
        <w:tc>
          <w:tcPr>
            <w:tcW w:w="1279" w:type="dxa"/>
            <w:vAlign w:val="top"/>
          </w:tcPr>
          <w:p w14:paraId="67110F14">
            <w:pPr>
              <w:pStyle w:val="6"/>
              <w:spacing w:before="65" w:line="219" w:lineRule="auto"/>
              <w:ind w:left="375"/>
              <w:rPr>
                <w:sz w:val="18"/>
                <w:szCs w:val="18"/>
              </w:rPr>
            </w:pPr>
            <w:r>
              <w:rPr>
                <w:spacing w:val="-4"/>
                <w:sz w:val="18"/>
                <w:szCs w:val="18"/>
              </w:rPr>
              <w:t>未检出</w:t>
            </w:r>
          </w:p>
        </w:tc>
        <w:tc>
          <w:tcPr>
            <w:tcW w:w="1304" w:type="dxa"/>
            <w:vAlign w:val="top"/>
          </w:tcPr>
          <w:p w14:paraId="1CE5F349">
            <w:pPr>
              <w:pStyle w:val="6"/>
              <w:spacing w:before="65" w:line="219" w:lineRule="auto"/>
              <w:ind w:left="390"/>
              <w:rPr>
                <w:sz w:val="18"/>
                <w:szCs w:val="18"/>
              </w:rPr>
            </w:pPr>
            <w:r>
              <w:rPr>
                <w:spacing w:val="-4"/>
                <w:sz w:val="18"/>
                <w:szCs w:val="18"/>
              </w:rPr>
              <w:t>未检出</w:t>
            </w:r>
          </w:p>
        </w:tc>
        <w:tc>
          <w:tcPr>
            <w:tcW w:w="1279" w:type="dxa"/>
            <w:vAlign w:val="top"/>
          </w:tcPr>
          <w:p w14:paraId="7020C816">
            <w:pPr>
              <w:pStyle w:val="6"/>
              <w:spacing w:before="65" w:line="219" w:lineRule="auto"/>
              <w:ind w:left="375"/>
              <w:rPr>
                <w:sz w:val="18"/>
                <w:szCs w:val="18"/>
              </w:rPr>
            </w:pPr>
            <w:r>
              <w:rPr>
                <w:spacing w:val="-4"/>
                <w:sz w:val="18"/>
                <w:szCs w:val="18"/>
              </w:rPr>
              <w:t>未检出</w:t>
            </w:r>
          </w:p>
        </w:tc>
        <w:tc>
          <w:tcPr>
            <w:tcW w:w="1279" w:type="dxa"/>
            <w:vAlign w:val="top"/>
          </w:tcPr>
          <w:p w14:paraId="769B293B">
            <w:pPr>
              <w:pStyle w:val="6"/>
              <w:spacing w:before="65" w:line="219" w:lineRule="auto"/>
              <w:ind w:left="375"/>
              <w:rPr>
                <w:sz w:val="18"/>
                <w:szCs w:val="18"/>
              </w:rPr>
            </w:pPr>
            <w:r>
              <w:rPr>
                <w:spacing w:val="-4"/>
                <w:sz w:val="18"/>
                <w:szCs w:val="18"/>
              </w:rPr>
              <w:t>未检出</w:t>
            </w:r>
          </w:p>
        </w:tc>
        <w:tc>
          <w:tcPr>
            <w:tcW w:w="1123" w:type="dxa"/>
            <w:vAlign w:val="top"/>
          </w:tcPr>
          <w:p w14:paraId="71B32F8F">
            <w:pPr>
              <w:pStyle w:val="6"/>
              <w:spacing w:before="65" w:line="219" w:lineRule="auto"/>
              <w:ind w:left="298"/>
              <w:rPr>
                <w:sz w:val="18"/>
                <w:szCs w:val="18"/>
              </w:rPr>
            </w:pPr>
            <w:r>
              <w:rPr>
                <w:spacing w:val="-4"/>
                <w:sz w:val="18"/>
                <w:szCs w:val="18"/>
              </w:rPr>
              <w:t>未检出</w:t>
            </w:r>
          </w:p>
        </w:tc>
        <w:tc>
          <w:tcPr>
            <w:tcW w:w="1502" w:type="dxa"/>
            <w:vAlign w:val="top"/>
          </w:tcPr>
          <w:p w14:paraId="090E6078">
            <w:pPr>
              <w:pStyle w:val="6"/>
              <w:spacing w:before="65" w:line="219" w:lineRule="auto"/>
              <w:ind w:left="493"/>
              <w:rPr>
                <w:sz w:val="18"/>
                <w:szCs w:val="18"/>
              </w:rPr>
            </w:pPr>
            <w:r>
              <w:rPr>
                <w:spacing w:val="-4"/>
                <w:sz w:val="18"/>
                <w:szCs w:val="18"/>
              </w:rPr>
              <w:t>未检出</w:t>
            </w:r>
          </w:p>
        </w:tc>
        <w:tc>
          <w:tcPr>
            <w:tcW w:w="1342" w:type="dxa"/>
            <w:tcBorders>
              <w:right w:val="nil"/>
            </w:tcBorders>
            <w:vAlign w:val="top"/>
          </w:tcPr>
          <w:p w14:paraId="3812E41A">
            <w:pPr>
              <w:spacing w:before="96" w:line="188" w:lineRule="auto"/>
              <w:ind w:left="516"/>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1290</w:t>
            </w:r>
          </w:p>
        </w:tc>
      </w:tr>
      <w:tr w14:paraId="4B0E67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261" w:type="dxa"/>
            <w:tcBorders>
              <w:left w:val="nil"/>
            </w:tcBorders>
            <w:vAlign w:val="top"/>
          </w:tcPr>
          <w:p w14:paraId="09A37B61">
            <w:pPr>
              <w:spacing w:before="96" w:line="188" w:lineRule="auto"/>
              <w:ind w:left="54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32</w:t>
            </w:r>
          </w:p>
        </w:tc>
        <w:tc>
          <w:tcPr>
            <w:tcW w:w="2196" w:type="dxa"/>
            <w:vAlign w:val="top"/>
          </w:tcPr>
          <w:p w14:paraId="38A5F9A1">
            <w:pPr>
              <w:pStyle w:val="6"/>
              <w:spacing w:before="64" w:line="219" w:lineRule="auto"/>
              <w:ind w:left="944"/>
              <w:rPr>
                <w:sz w:val="18"/>
                <w:szCs w:val="18"/>
              </w:rPr>
            </w:pPr>
            <w:r>
              <w:rPr>
                <w:spacing w:val="-16"/>
                <w:sz w:val="18"/>
                <w:szCs w:val="18"/>
              </w:rPr>
              <w:t>甲苯</w:t>
            </w:r>
          </w:p>
        </w:tc>
        <w:tc>
          <w:tcPr>
            <w:tcW w:w="1643" w:type="dxa"/>
            <w:vAlign w:val="top"/>
          </w:tcPr>
          <w:p w14:paraId="2F392097">
            <w:pPr>
              <w:pStyle w:val="6"/>
              <w:spacing w:before="65" w:line="219" w:lineRule="auto"/>
              <w:ind w:left="557"/>
              <w:rPr>
                <w:sz w:val="18"/>
                <w:szCs w:val="18"/>
              </w:rPr>
            </w:pPr>
            <w:r>
              <w:rPr>
                <w:spacing w:val="-4"/>
                <w:sz w:val="18"/>
                <w:szCs w:val="18"/>
              </w:rPr>
              <w:t>未检出</w:t>
            </w:r>
          </w:p>
        </w:tc>
        <w:tc>
          <w:tcPr>
            <w:tcW w:w="1279" w:type="dxa"/>
            <w:vAlign w:val="top"/>
          </w:tcPr>
          <w:p w14:paraId="723CBA93">
            <w:pPr>
              <w:pStyle w:val="6"/>
              <w:spacing w:before="65" w:line="219" w:lineRule="auto"/>
              <w:ind w:left="375"/>
              <w:rPr>
                <w:sz w:val="18"/>
                <w:szCs w:val="18"/>
              </w:rPr>
            </w:pPr>
            <w:r>
              <w:rPr>
                <w:spacing w:val="-4"/>
                <w:sz w:val="18"/>
                <w:szCs w:val="18"/>
              </w:rPr>
              <w:t>未检出</w:t>
            </w:r>
          </w:p>
        </w:tc>
        <w:tc>
          <w:tcPr>
            <w:tcW w:w="1304" w:type="dxa"/>
            <w:vAlign w:val="top"/>
          </w:tcPr>
          <w:p w14:paraId="7A181315">
            <w:pPr>
              <w:pStyle w:val="6"/>
              <w:spacing w:before="65" w:line="219" w:lineRule="auto"/>
              <w:ind w:left="390"/>
              <w:rPr>
                <w:sz w:val="18"/>
                <w:szCs w:val="18"/>
              </w:rPr>
            </w:pPr>
            <w:r>
              <w:rPr>
                <w:spacing w:val="-4"/>
                <w:sz w:val="18"/>
                <w:szCs w:val="18"/>
              </w:rPr>
              <w:t>未检出</w:t>
            </w:r>
          </w:p>
        </w:tc>
        <w:tc>
          <w:tcPr>
            <w:tcW w:w="1279" w:type="dxa"/>
            <w:vAlign w:val="top"/>
          </w:tcPr>
          <w:p w14:paraId="358586C7">
            <w:pPr>
              <w:pStyle w:val="6"/>
              <w:spacing w:before="65" w:line="219" w:lineRule="auto"/>
              <w:ind w:left="375"/>
              <w:rPr>
                <w:sz w:val="18"/>
                <w:szCs w:val="18"/>
              </w:rPr>
            </w:pPr>
            <w:r>
              <w:rPr>
                <w:spacing w:val="-4"/>
                <w:sz w:val="18"/>
                <w:szCs w:val="18"/>
              </w:rPr>
              <w:t>未检出</w:t>
            </w:r>
          </w:p>
        </w:tc>
        <w:tc>
          <w:tcPr>
            <w:tcW w:w="1279" w:type="dxa"/>
            <w:vAlign w:val="top"/>
          </w:tcPr>
          <w:p w14:paraId="0F357E4D">
            <w:pPr>
              <w:pStyle w:val="6"/>
              <w:spacing w:before="65" w:line="219" w:lineRule="auto"/>
              <w:ind w:left="375"/>
              <w:rPr>
                <w:sz w:val="18"/>
                <w:szCs w:val="18"/>
              </w:rPr>
            </w:pPr>
            <w:r>
              <w:rPr>
                <w:spacing w:val="-4"/>
                <w:sz w:val="18"/>
                <w:szCs w:val="18"/>
              </w:rPr>
              <w:t>未检出</w:t>
            </w:r>
          </w:p>
        </w:tc>
        <w:tc>
          <w:tcPr>
            <w:tcW w:w="1123" w:type="dxa"/>
            <w:vAlign w:val="top"/>
          </w:tcPr>
          <w:p w14:paraId="74E7F66F">
            <w:pPr>
              <w:pStyle w:val="6"/>
              <w:spacing w:before="65" w:line="219" w:lineRule="auto"/>
              <w:ind w:left="298"/>
              <w:rPr>
                <w:sz w:val="18"/>
                <w:szCs w:val="18"/>
              </w:rPr>
            </w:pPr>
            <w:r>
              <w:rPr>
                <w:spacing w:val="-4"/>
                <w:sz w:val="18"/>
                <w:szCs w:val="18"/>
              </w:rPr>
              <w:t>未检出</w:t>
            </w:r>
          </w:p>
        </w:tc>
        <w:tc>
          <w:tcPr>
            <w:tcW w:w="1502" w:type="dxa"/>
            <w:vAlign w:val="top"/>
          </w:tcPr>
          <w:p w14:paraId="503BB504">
            <w:pPr>
              <w:pStyle w:val="6"/>
              <w:spacing w:before="65" w:line="219" w:lineRule="auto"/>
              <w:ind w:left="493"/>
              <w:rPr>
                <w:sz w:val="18"/>
                <w:szCs w:val="18"/>
              </w:rPr>
            </w:pPr>
            <w:r>
              <w:rPr>
                <w:spacing w:val="-4"/>
                <w:sz w:val="18"/>
                <w:szCs w:val="18"/>
              </w:rPr>
              <w:t>未检出</w:t>
            </w:r>
          </w:p>
        </w:tc>
        <w:tc>
          <w:tcPr>
            <w:tcW w:w="1342" w:type="dxa"/>
            <w:tcBorders>
              <w:right w:val="nil"/>
            </w:tcBorders>
            <w:vAlign w:val="top"/>
          </w:tcPr>
          <w:p w14:paraId="7A8A4DF7">
            <w:pPr>
              <w:spacing w:before="96" w:line="188" w:lineRule="auto"/>
              <w:ind w:left="516"/>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1200</w:t>
            </w:r>
          </w:p>
        </w:tc>
      </w:tr>
      <w:tr w14:paraId="596B89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261" w:type="dxa"/>
            <w:tcBorders>
              <w:left w:val="nil"/>
            </w:tcBorders>
            <w:vAlign w:val="top"/>
          </w:tcPr>
          <w:p w14:paraId="26BDA000">
            <w:pPr>
              <w:spacing w:before="95" w:line="188" w:lineRule="auto"/>
              <w:ind w:left="54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33</w:t>
            </w:r>
          </w:p>
        </w:tc>
        <w:tc>
          <w:tcPr>
            <w:tcW w:w="2196" w:type="dxa"/>
            <w:vAlign w:val="top"/>
          </w:tcPr>
          <w:p w14:paraId="792040AF">
            <w:pPr>
              <w:pStyle w:val="6"/>
              <w:spacing w:before="64" w:line="219" w:lineRule="auto"/>
              <w:ind w:left="345"/>
              <w:rPr>
                <w:sz w:val="18"/>
                <w:szCs w:val="18"/>
              </w:rPr>
            </w:pPr>
            <w:r>
              <w:rPr>
                <w:spacing w:val="-3"/>
                <w:sz w:val="18"/>
                <w:szCs w:val="18"/>
              </w:rPr>
              <w:t>间二甲苯</w:t>
            </w:r>
            <w:r>
              <w:rPr>
                <w:rFonts w:ascii="Times New Roman" w:hAnsi="Times New Roman" w:eastAsia="Times New Roman" w:cs="Times New Roman"/>
                <w:spacing w:val="-3"/>
                <w:sz w:val="18"/>
                <w:szCs w:val="18"/>
              </w:rPr>
              <w:t>+</w:t>
            </w:r>
            <w:r>
              <w:rPr>
                <w:spacing w:val="-3"/>
                <w:sz w:val="18"/>
                <w:szCs w:val="18"/>
              </w:rPr>
              <w:t>对二甲苯</w:t>
            </w:r>
          </w:p>
        </w:tc>
        <w:tc>
          <w:tcPr>
            <w:tcW w:w="1643" w:type="dxa"/>
            <w:vAlign w:val="top"/>
          </w:tcPr>
          <w:p w14:paraId="038BD924">
            <w:pPr>
              <w:pStyle w:val="6"/>
              <w:spacing w:before="64" w:line="219" w:lineRule="auto"/>
              <w:ind w:left="557"/>
              <w:rPr>
                <w:sz w:val="18"/>
                <w:szCs w:val="18"/>
              </w:rPr>
            </w:pPr>
            <w:r>
              <w:rPr>
                <w:spacing w:val="-4"/>
                <w:sz w:val="18"/>
                <w:szCs w:val="18"/>
              </w:rPr>
              <w:t>未检出</w:t>
            </w:r>
          </w:p>
        </w:tc>
        <w:tc>
          <w:tcPr>
            <w:tcW w:w="1279" w:type="dxa"/>
            <w:vAlign w:val="top"/>
          </w:tcPr>
          <w:p w14:paraId="01F89FF4">
            <w:pPr>
              <w:pStyle w:val="6"/>
              <w:spacing w:before="64" w:line="219" w:lineRule="auto"/>
              <w:ind w:left="375"/>
              <w:rPr>
                <w:sz w:val="18"/>
                <w:szCs w:val="18"/>
              </w:rPr>
            </w:pPr>
            <w:r>
              <w:rPr>
                <w:spacing w:val="-4"/>
                <w:sz w:val="18"/>
                <w:szCs w:val="18"/>
              </w:rPr>
              <w:t>未检出</w:t>
            </w:r>
          </w:p>
        </w:tc>
        <w:tc>
          <w:tcPr>
            <w:tcW w:w="1304" w:type="dxa"/>
            <w:vAlign w:val="top"/>
          </w:tcPr>
          <w:p w14:paraId="3849255C">
            <w:pPr>
              <w:pStyle w:val="6"/>
              <w:spacing w:before="64" w:line="219" w:lineRule="auto"/>
              <w:ind w:left="390"/>
              <w:rPr>
                <w:sz w:val="18"/>
                <w:szCs w:val="18"/>
              </w:rPr>
            </w:pPr>
            <w:r>
              <w:rPr>
                <w:spacing w:val="-4"/>
                <w:sz w:val="18"/>
                <w:szCs w:val="18"/>
              </w:rPr>
              <w:t>未检出</w:t>
            </w:r>
          </w:p>
        </w:tc>
        <w:tc>
          <w:tcPr>
            <w:tcW w:w="1279" w:type="dxa"/>
            <w:vAlign w:val="top"/>
          </w:tcPr>
          <w:p w14:paraId="041863D4">
            <w:pPr>
              <w:pStyle w:val="6"/>
              <w:spacing w:before="64" w:line="219" w:lineRule="auto"/>
              <w:ind w:left="375"/>
              <w:rPr>
                <w:sz w:val="18"/>
                <w:szCs w:val="18"/>
              </w:rPr>
            </w:pPr>
            <w:r>
              <w:rPr>
                <w:spacing w:val="-4"/>
                <w:sz w:val="18"/>
                <w:szCs w:val="18"/>
              </w:rPr>
              <w:t>未检出</w:t>
            </w:r>
          </w:p>
        </w:tc>
        <w:tc>
          <w:tcPr>
            <w:tcW w:w="1279" w:type="dxa"/>
            <w:vAlign w:val="top"/>
          </w:tcPr>
          <w:p w14:paraId="27F0E289">
            <w:pPr>
              <w:pStyle w:val="6"/>
              <w:spacing w:before="64" w:line="219" w:lineRule="auto"/>
              <w:ind w:left="375"/>
              <w:rPr>
                <w:sz w:val="18"/>
                <w:szCs w:val="18"/>
              </w:rPr>
            </w:pPr>
            <w:r>
              <w:rPr>
                <w:spacing w:val="-4"/>
                <w:sz w:val="18"/>
                <w:szCs w:val="18"/>
              </w:rPr>
              <w:t>未检出</w:t>
            </w:r>
          </w:p>
        </w:tc>
        <w:tc>
          <w:tcPr>
            <w:tcW w:w="1123" w:type="dxa"/>
            <w:vAlign w:val="top"/>
          </w:tcPr>
          <w:p w14:paraId="1370374C">
            <w:pPr>
              <w:pStyle w:val="6"/>
              <w:spacing w:before="64" w:line="219" w:lineRule="auto"/>
              <w:ind w:left="298"/>
              <w:rPr>
                <w:sz w:val="18"/>
                <w:szCs w:val="18"/>
              </w:rPr>
            </w:pPr>
            <w:r>
              <w:rPr>
                <w:spacing w:val="-4"/>
                <w:sz w:val="18"/>
                <w:szCs w:val="18"/>
              </w:rPr>
              <w:t>未检出</w:t>
            </w:r>
          </w:p>
        </w:tc>
        <w:tc>
          <w:tcPr>
            <w:tcW w:w="1502" w:type="dxa"/>
            <w:vAlign w:val="top"/>
          </w:tcPr>
          <w:p w14:paraId="10295891">
            <w:pPr>
              <w:pStyle w:val="6"/>
              <w:spacing w:before="64" w:line="219" w:lineRule="auto"/>
              <w:ind w:left="493"/>
              <w:rPr>
                <w:sz w:val="18"/>
                <w:szCs w:val="18"/>
              </w:rPr>
            </w:pPr>
            <w:r>
              <w:rPr>
                <w:spacing w:val="-4"/>
                <w:sz w:val="18"/>
                <w:szCs w:val="18"/>
              </w:rPr>
              <w:t>未检出</w:t>
            </w:r>
          </w:p>
        </w:tc>
        <w:tc>
          <w:tcPr>
            <w:tcW w:w="1342" w:type="dxa"/>
            <w:tcBorders>
              <w:right w:val="nil"/>
            </w:tcBorders>
            <w:vAlign w:val="top"/>
          </w:tcPr>
          <w:p w14:paraId="79129D03">
            <w:pPr>
              <w:spacing w:before="95" w:line="188" w:lineRule="auto"/>
              <w:ind w:left="55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570</w:t>
            </w:r>
          </w:p>
        </w:tc>
      </w:tr>
      <w:tr w14:paraId="0A62CB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1261" w:type="dxa"/>
            <w:tcBorders>
              <w:left w:val="nil"/>
            </w:tcBorders>
            <w:vAlign w:val="top"/>
          </w:tcPr>
          <w:p w14:paraId="7045EC2D">
            <w:pPr>
              <w:spacing w:before="95" w:line="188" w:lineRule="auto"/>
              <w:ind w:left="54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34</w:t>
            </w:r>
          </w:p>
        </w:tc>
        <w:tc>
          <w:tcPr>
            <w:tcW w:w="2196" w:type="dxa"/>
            <w:vAlign w:val="top"/>
          </w:tcPr>
          <w:p w14:paraId="622AA7A1">
            <w:pPr>
              <w:pStyle w:val="6"/>
              <w:spacing w:before="66" w:line="219" w:lineRule="auto"/>
              <w:ind w:left="740"/>
              <w:rPr>
                <w:sz w:val="18"/>
                <w:szCs w:val="18"/>
              </w:rPr>
            </w:pPr>
            <w:r>
              <w:rPr>
                <w:spacing w:val="-2"/>
                <w:sz w:val="18"/>
                <w:szCs w:val="18"/>
              </w:rPr>
              <w:t>邻二甲苯</w:t>
            </w:r>
          </w:p>
        </w:tc>
        <w:tc>
          <w:tcPr>
            <w:tcW w:w="1643" w:type="dxa"/>
            <w:vAlign w:val="top"/>
          </w:tcPr>
          <w:p w14:paraId="72859654">
            <w:pPr>
              <w:pStyle w:val="6"/>
              <w:spacing w:before="66" w:line="219" w:lineRule="auto"/>
              <w:ind w:left="557"/>
              <w:rPr>
                <w:sz w:val="18"/>
                <w:szCs w:val="18"/>
              </w:rPr>
            </w:pPr>
            <w:r>
              <w:rPr>
                <w:spacing w:val="-4"/>
                <w:sz w:val="18"/>
                <w:szCs w:val="18"/>
              </w:rPr>
              <w:t>未检出</w:t>
            </w:r>
          </w:p>
        </w:tc>
        <w:tc>
          <w:tcPr>
            <w:tcW w:w="1279" w:type="dxa"/>
            <w:vAlign w:val="top"/>
          </w:tcPr>
          <w:p w14:paraId="5FC7BBA8">
            <w:pPr>
              <w:pStyle w:val="6"/>
              <w:spacing w:before="66" w:line="219" w:lineRule="auto"/>
              <w:ind w:left="375"/>
              <w:rPr>
                <w:sz w:val="18"/>
                <w:szCs w:val="18"/>
              </w:rPr>
            </w:pPr>
            <w:r>
              <w:rPr>
                <w:spacing w:val="-4"/>
                <w:sz w:val="18"/>
                <w:szCs w:val="18"/>
              </w:rPr>
              <w:t>未检出</w:t>
            </w:r>
          </w:p>
        </w:tc>
        <w:tc>
          <w:tcPr>
            <w:tcW w:w="1304" w:type="dxa"/>
            <w:vAlign w:val="top"/>
          </w:tcPr>
          <w:p w14:paraId="60F777AE">
            <w:pPr>
              <w:pStyle w:val="6"/>
              <w:spacing w:before="66" w:line="219" w:lineRule="auto"/>
              <w:ind w:left="390"/>
              <w:rPr>
                <w:sz w:val="18"/>
                <w:szCs w:val="18"/>
              </w:rPr>
            </w:pPr>
            <w:r>
              <w:rPr>
                <w:spacing w:val="-4"/>
                <w:sz w:val="18"/>
                <w:szCs w:val="18"/>
              </w:rPr>
              <w:t>未检出</w:t>
            </w:r>
          </w:p>
        </w:tc>
        <w:tc>
          <w:tcPr>
            <w:tcW w:w="1279" w:type="dxa"/>
            <w:vAlign w:val="top"/>
          </w:tcPr>
          <w:p w14:paraId="4D7742AA">
            <w:pPr>
              <w:pStyle w:val="6"/>
              <w:spacing w:before="66" w:line="219" w:lineRule="auto"/>
              <w:ind w:left="375"/>
              <w:rPr>
                <w:sz w:val="18"/>
                <w:szCs w:val="18"/>
              </w:rPr>
            </w:pPr>
            <w:r>
              <w:rPr>
                <w:spacing w:val="-4"/>
                <w:sz w:val="18"/>
                <w:szCs w:val="18"/>
              </w:rPr>
              <w:t>未检出</w:t>
            </w:r>
          </w:p>
        </w:tc>
        <w:tc>
          <w:tcPr>
            <w:tcW w:w="1279" w:type="dxa"/>
            <w:vAlign w:val="top"/>
          </w:tcPr>
          <w:p w14:paraId="17FC6F13">
            <w:pPr>
              <w:pStyle w:val="6"/>
              <w:spacing w:before="66" w:line="219" w:lineRule="auto"/>
              <w:ind w:left="375"/>
              <w:rPr>
                <w:sz w:val="18"/>
                <w:szCs w:val="18"/>
              </w:rPr>
            </w:pPr>
            <w:r>
              <w:rPr>
                <w:spacing w:val="-4"/>
                <w:sz w:val="18"/>
                <w:szCs w:val="18"/>
              </w:rPr>
              <w:t>未检出</w:t>
            </w:r>
          </w:p>
        </w:tc>
        <w:tc>
          <w:tcPr>
            <w:tcW w:w="1123" w:type="dxa"/>
            <w:vAlign w:val="top"/>
          </w:tcPr>
          <w:p w14:paraId="09922F1B">
            <w:pPr>
              <w:pStyle w:val="6"/>
              <w:spacing w:before="66" w:line="219" w:lineRule="auto"/>
              <w:ind w:left="298"/>
              <w:rPr>
                <w:sz w:val="18"/>
                <w:szCs w:val="18"/>
              </w:rPr>
            </w:pPr>
            <w:r>
              <w:rPr>
                <w:spacing w:val="-4"/>
                <w:sz w:val="18"/>
                <w:szCs w:val="18"/>
              </w:rPr>
              <w:t>未检出</w:t>
            </w:r>
          </w:p>
        </w:tc>
        <w:tc>
          <w:tcPr>
            <w:tcW w:w="1502" w:type="dxa"/>
            <w:vAlign w:val="top"/>
          </w:tcPr>
          <w:p w14:paraId="6C699BEF">
            <w:pPr>
              <w:pStyle w:val="6"/>
              <w:spacing w:before="66" w:line="219" w:lineRule="auto"/>
              <w:ind w:left="493"/>
              <w:rPr>
                <w:sz w:val="18"/>
                <w:szCs w:val="18"/>
              </w:rPr>
            </w:pPr>
            <w:r>
              <w:rPr>
                <w:spacing w:val="-4"/>
                <w:sz w:val="18"/>
                <w:szCs w:val="18"/>
              </w:rPr>
              <w:t>未检出</w:t>
            </w:r>
          </w:p>
        </w:tc>
        <w:tc>
          <w:tcPr>
            <w:tcW w:w="1342" w:type="dxa"/>
            <w:tcBorders>
              <w:right w:val="nil"/>
            </w:tcBorders>
            <w:vAlign w:val="top"/>
          </w:tcPr>
          <w:p w14:paraId="1B439B28">
            <w:pPr>
              <w:spacing w:before="95" w:line="188" w:lineRule="auto"/>
              <w:ind w:left="54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640</w:t>
            </w:r>
          </w:p>
        </w:tc>
      </w:tr>
    </w:tbl>
    <w:p w14:paraId="1944CA25">
      <w:pPr>
        <w:spacing w:before="27" w:line="219" w:lineRule="auto"/>
        <w:ind w:left="6483"/>
        <w:rPr>
          <w:rFonts w:ascii="宋体" w:hAnsi="宋体" w:eastAsia="宋体" w:cs="宋体"/>
          <w:sz w:val="18"/>
          <w:szCs w:val="18"/>
        </w:rPr>
      </w:pPr>
      <w:r>
        <w:rPr>
          <w:rFonts w:ascii="宋体" w:hAnsi="宋体" w:eastAsia="宋体" w:cs="宋体"/>
          <w:spacing w:val="-2"/>
          <w:sz w:val="18"/>
          <w:szCs w:val="18"/>
        </w:rPr>
        <w:t>半挥发性有机物</w:t>
      </w:r>
    </w:p>
    <w:p w14:paraId="243EAC5A">
      <w:pPr>
        <w:spacing w:line="59" w:lineRule="exact"/>
      </w:pPr>
    </w:p>
    <w:tbl>
      <w:tblPr>
        <w:tblStyle w:val="5"/>
        <w:tblW w:w="1420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61"/>
        <w:gridCol w:w="2196"/>
        <w:gridCol w:w="1643"/>
        <w:gridCol w:w="1279"/>
        <w:gridCol w:w="1304"/>
        <w:gridCol w:w="1279"/>
        <w:gridCol w:w="1279"/>
        <w:gridCol w:w="1123"/>
        <w:gridCol w:w="1514"/>
        <w:gridCol w:w="1330"/>
      </w:tblGrid>
      <w:tr w14:paraId="4CBDB6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trPr>
        <w:tc>
          <w:tcPr>
            <w:tcW w:w="1261" w:type="dxa"/>
            <w:tcBorders>
              <w:left w:val="nil"/>
            </w:tcBorders>
            <w:vAlign w:val="top"/>
          </w:tcPr>
          <w:p w14:paraId="2C2B5B6B">
            <w:pPr>
              <w:spacing w:before="94" w:line="188" w:lineRule="auto"/>
              <w:ind w:left="54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2196" w:type="dxa"/>
            <w:vAlign w:val="top"/>
          </w:tcPr>
          <w:p w14:paraId="4C9F4D54">
            <w:pPr>
              <w:pStyle w:val="6"/>
              <w:spacing w:before="65" w:line="219" w:lineRule="auto"/>
              <w:ind w:left="834"/>
              <w:rPr>
                <w:sz w:val="18"/>
                <w:szCs w:val="18"/>
              </w:rPr>
            </w:pPr>
            <w:r>
              <w:rPr>
                <w:spacing w:val="-3"/>
                <w:sz w:val="18"/>
                <w:szCs w:val="18"/>
              </w:rPr>
              <w:t>硝基苯</w:t>
            </w:r>
          </w:p>
        </w:tc>
        <w:tc>
          <w:tcPr>
            <w:tcW w:w="1643" w:type="dxa"/>
            <w:vAlign w:val="top"/>
          </w:tcPr>
          <w:p w14:paraId="6C450A98">
            <w:pPr>
              <w:pStyle w:val="6"/>
              <w:spacing w:before="65" w:line="219" w:lineRule="auto"/>
              <w:ind w:left="557"/>
              <w:rPr>
                <w:sz w:val="18"/>
                <w:szCs w:val="18"/>
              </w:rPr>
            </w:pPr>
            <w:r>
              <w:rPr>
                <w:spacing w:val="-4"/>
                <w:sz w:val="18"/>
                <w:szCs w:val="18"/>
              </w:rPr>
              <w:t>未检出</w:t>
            </w:r>
          </w:p>
        </w:tc>
        <w:tc>
          <w:tcPr>
            <w:tcW w:w="1279" w:type="dxa"/>
            <w:vAlign w:val="top"/>
          </w:tcPr>
          <w:p w14:paraId="25B3E3C0">
            <w:pPr>
              <w:pStyle w:val="6"/>
              <w:spacing w:before="65" w:line="219" w:lineRule="auto"/>
              <w:ind w:left="375"/>
              <w:rPr>
                <w:sz w:val="18"/>
                <w:szCs w:val="18"/>
              </w:rPr>
            </w:pPr>
            <w:r>
              <w:rPr>
                <w:spacing w:val="-4"/>
                <w:sz w:val="18"/>
                <w:szCs w:val="18"/>
              </w:rPr>
              <w:t>未检出</w:t>
            </w:r>
          </w:p>
        </w:tc>
        <w:tc>
          <w:tcPr>
            <w:tcW w:w="1304" w:type="dxa"/>
            <w:vAlign w:val="top"/>
          </w:tcPr>
          <w:p w14:paraId="37CFB635">
            <w:pPr>
              <w:pStyle w:val="6"/>
              <w:spacing w:before="65" w:line="219" w:lineRule="auto"/>
              <w:ind w:left="390"/>
              <w:rPr>
                <w:sz w:val="18"/>
                <w:szCs w:val="18"/>
              </w:rPr>
            </w:pPr>
            <w:r>
              <w:rPr>
                <w:spacing w:val="-4"/>
                <w:sz w:val="18"/>
                <w:szCs w:val="18"/>
              </w:rPr>
              <w:t>未检出</w:t>
            </w:r>
          </w:p>
        </w:tc>
        <w:tc>
          <w:tcPr>
            <w:tcW w:w="1279" w:type="dxa"/>
            <w:vAlign w:val="top"/>
          </w:tcPr>
          <w:p w14:paraId="714AFC42">
            <w:pPr>
              <w:pStyle w:val="6"/>
              <w:spacing w:before="65" w:line="219" w:lineRule="auto"/>
              <w:ind w:left="375"/>
              <w:rPr>
                <w:sz w:val="18"/>
                <w:szCs w:val="18"/>
              </w:rPr>
            </w:pPr>
            <w:r>
              <w:rPr>
                <w:spacing w:val="-4"/>
                <w:sz w:val="18"/>
                <w:szCs w:val="18"/>
              </w:rPr>
              <w:t>未检出</w:t>
            </w:r>
          </w:p>
        </w:tc>
        <w:tc>
          <w:tcPr>
            <w:tcW w:w="1279" w:type="dxa"/>
            <w:vAlign w:val="top"/>
          </w:tcPr>
          <w:p w14:paraId="03B83DD2">
            <w:pPr>
              <w:pStyle w:val="6"/>
              <w:spacing w:before="65" w:line="219" w:lineRule="auto"/>
              <w:ind w:left="375"/>
              <w:rPr>
                <w:sz w:val="18"/>
                <w:szCs w:val="18"/>
              </w:rPr>
            </w:pPr>
            <w:r>
              <w:rPr>
                <w:spacing w:val="-4"/>
                <w:sz w:val="18"/>
                <w:szCs w:val="18"/>
              </w:rPr>
              <w:t>未检出</w:t>
            </w:r>
          </w:p>
        </w:tc>
        <w:tc>
          <w:tcPr>
            <w:tcW w:w="1123" w:type="dxa"/>
            <w:vAlign w:val="top"/>
          </w:tcPr>
          <w:p w14:paraId="6676A5F9">
            <w:pPr>
              <w:pStyle w:val="6"/>
              <w:spacing w:before="65" w:line="219" w:lineRule="auto"/>
              <w:ind w:left="298"/>
              <w:rPr>
                <w:sz w:val="18"/>
                <w:szCs w:val="18"/>
              </w:rPr>
            </w:pPr>
            <w:r>
              <w:rPr>
                <w:spacing w:val="-4"/>
                <w:sz w:val="18"/>
                <w:szCs w:val="18"/>
              </w:rPr>
              <w:t>未检出</w:t>
            </w:r>
          </w:p>
        </w:tc>
        <w:tc>
          <w:tcPr>
            <w:tcW w:w="1514" w:type="dxa"/>
            <w:vAlign w:val="top"/>
          </w:tcPr>
          <w:p w14:paraId="1CB43903">
            <w:pPr>
              <w:pStyle w:val="6"/>
              <w:spacing w:before="65" w:line="219" w:lineRule="auto"/>
              <w:ind w:left="493"/>
              <w:rPr>
                <w:sz w:val="18"/>
                <w:szCs w:val="18"/>
              </w:rPr>
            </w:pPr>
            <w:r>
              <w:rPr>
                <w:spacing w:val="-4"/>
                <w:sz w:val="18"/>
                <w:szCs w:val="18"/>
              </w:rPr>
              <w:t>未检出</w:t>
            </w:r>
          </w:p>
        </w:tc>
        <w:tc>
          <w:tcPr>
            <w:tcW w:w="1330" w:type="dxa"/>
            <w:tcBorders>
              <w:right w:val="nil"/>
            </w:tcBorders>
            <w:vAlign w:val="top"/>
          </w:tcPr>
          <w:p w14:paraId="695C54DD">
            <w:pPr>
              <w:spacing w:before="94" w:line="188" w:lineRule="auto"/>
              <w:ind w:left="57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76</w:t>
            </w:r>
          </w:p>
        </w:tc>
      </w:tr>
      <w:tr w14:paraId="3E428E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2" w:hRule="atLeast"/>
        </w:trPr>
        <w:tc>
          <w:tcPr>
            <w:tcW w:w="1261" w:type="dxa"/>
            <w:tcBorders>
              <w:left w:val="nil"/>
            </w:tcBorders>
            <w:vAlign w:val="top"/>
          </w:tcPr>
          <w:p w14:paraId="0DB83C8D">
            <w:pPr>
              <w:spacing w:before="94" w:line="188" w:lineRule="auto"/>
              <w:ind w:left="54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36</w:t>
            </w:r>
          </w:p>
        </w:tc>
        <w:tc>
          <w:tcPr>
            <w:tcW w:w="2196" w:type="dxa"/>
            <w:vAlign w:val="top"/>
          </w:tcPr>
          <w:p w14:paraId="6FD118F6">
            <w:pPr>
              <w:pStyle w:val="6"/>
              <w:spacing w:before="62" w:line="219" w:lineRule="auto"/>
              <w:ind w:left="923"/>
              <w:rPr>
                <w:sz w:val="18"/>
                <w:szCs w:val="18"/>
              </w:rPr>
            </w:pPr>
            <w:r>
              <w:rPr>
                <w:spacing w:val="-5"/>
                <w:sz w:val="18"/>
                <w:szCs w:val="18"/>
              </w:rPr>
              <w:t>苯胺</w:t>
            </w:r>
          </w:p>
        </w:tc>
        <w:tc>
          <w:tcPr>
            <w:tcW w:w="1643" w:type="dxa"/>
            <w:vAlign w:val="top"/>
          </w:tcPr>
          <w:p w14:paraId="797D4AB5">
            <w:pPr>
              <w:pStyle w:val="6"/>
              <w:spacing w:before="63" w:line="219" w:lineRule="auto"/>
              <w:ind w:left="557"/>
              <w:rPr>
                <w:sz w:val="18"/>
                <w:szCs w:val="18"/>
              </w:rPr>
            </w:pPr>
            <w:r>
              <w:rPr>
                <w:spacing w:val="-4"/>
                <w:sz w:val="18"/>
                <w:szCs w:val="18"/>
              </w:rPr>
              <w:t>未检出</w:t>
            </w:r>
          </w:p>
        </w:tc>
        <w:tc>
          <w:tcPr>
            <w:tcW w:w="1279" w:type="dxa"/>
            <w:vAlign w:val="top"/>
          </w:tcPr>
          <w:p w14:paraId="44ED539D">
            <w:pPr>
              <w:pStyle w:val="6"/>
              <w:spacing w:before="63" w:line="219" w:lineRule="auto"/>
              <w:ind w:left="375"/>
              <w:rPr>
                <w:sz w:val="18"/>
                <w:szCs w:val="18"/>
              </w:rPr>
            </w:pPr>
            <w:r>
              <w:rPr>
                <w:spacing w:val="-4"/>
                <w:sz w:val="18"/>
                <w:szCs w:val="18"/>
              </w:rPr>
              <w:t>未检出</w:t>
            </w:r>
          </w:p>
        </w:tc>
        <w:tc>
          <w:tcPr>
            <w:tcW w:w="1304" w:type="dxa"/>
            <w:vAlign w:val="top"/>
          </w:tcPr>
          <w:p w14:paraId="68FFAC20">
            <w:pPr>
              <w:pStyle w:val="6"/>
              <w:spacing w:before="63" w:line="219" w:lineRule="auto"/>
              <w:ind w:left="390"/>
              <w:rPr>
                <w:sz w:val="18"/>
                <w:szCs w:val="18"/>
              </w:rPr>
            </w:pPr>
            <w:r>
              <w:rPr>
                <w:spacing w:val="-4"/>
                <w:sz w:val="18"/>
                <w:szCs w:val="18"/>
              </w:rPr>
              <w:t>未检出</w:t>
            </w:r>
          </w:p>
        </w:tc>
        <w:tc>
          <w:tcPr>
            <w:tcW w:w="1279" w:type="dxa"/>
            <w:vAlign w:val="top"/>
          </w:tcPr>
          <w:p w14:paraId="76447CE2">
            <w:pPr>
              <w:pStyle w:val="6"/>
              <w:spacing w:before="63" w:line="219" w:lineRule="auto"/>
              <w:ind w:left="375"/>
              <w:rPr>
                <w:sz w:val="18"/>
                <w:szCs w:val="18"/>
              </w:rPr>
            </w:pPr>
            <w:r>
              <w:rPr>
                <w:spacing w:val="-4"/>
                <w:sz w:val="18"/>
                <w:szCs w:val="18"/>
              </w:rPr>
              <w:t>未检出</w:t>
            </w:r>
          </w:p>
        </w:tc>
        <w:tc>
          <w:tcPr>
            <w:tcW w:w="1279" w:type="dxa"/>
            <w:vAlign w:val="top"/>
          </w:tcPr>
          <w:p w14:paraId="2976DDC1">
            <w:pPr>
              <w:pStyle w:val="6"/>
              <w:spacing w:before="63" w:line="219" w:lineRule="auto"/>
              <w:ind w:left="375"/>
              <w:rPr>
                <w:sz w:val="18"/>
                <w:szCs w:val="18"/>
              </w:rPr>
            </w:pPr>
            <w:r>
              <w:rPr>
                <w:spacing w:val="-4"/>
                <w:sz w:val="18"/>
                <w:szCs w:val="18"/>
              </w:rPr>
              <w:t>未检出</w:t>
            </w:r>
          </w:p>
        </w:tc>
        <w:tc>
          <w:tcPr>
            <w:tcW w:w="1123" w:type="dxa"/>
            <w:vAlign w:val="top"/>
          </w:tcPr>
          <w:p w14:paraId="34E1E7EB">
            <w:pPr>
              <w:pStyle w:val="6"/>
              <w:spacing w:before="63" w:line="219" w:lineRule="auto"/>
              <w:ind w:left="298"/>
              <w:rPr>
                <w:sz w:val="18"/>
                <w:szCs w:val="18"/>
              </w:rPr>
            </w:pPr>
            <w:r>
              <w:rPr>
                <w:spacing w:val="-4"/>
                <w:sz w:val="18"/>
                <w:szCs w:val="18"/>
              </w:rPr>
              <w:t>未检出</w:t>
            </w:r>
          </w:p>
        </w:tc>
        <w:tc>
          <w:tcPr>
            <w:tcW w:w="1514" w:type="dxa"/>
            <w:vAlign w:val="top"/>
          </w:tcPr>
          <w:p w14:paraId="7D89D2EE">
            <w:pPr>
              <w:pStyle w:val="6"/>
              <w:spacing w:before="63" w:line="219" w:lineRule="auto"/>
              <w:ind w:left="493"/>
              <w:rPr>
                <w:sz w:val="18"/>
                <w:szCs w:val="18"/>
              </w:rPr>
            </w:pPr>
            <w:r>
              <w:rPr>
                <w:spacing w:val="-4"/>
                <w:sz w:val="18"/>
                <w:szCs w:val="18"/>
              </w:rPr>
              <w:t>未检出</w:t>
            </w:r>
          </w:p>
        </w:tc>
        <w:tc>
          <w:tcPr>
            <w:tcW w:w="1330" w:type="dxa"/>
            <w:tcBorders>
              <w:right w:val="nil"/>
            </w:tcBorders>
            <w:vAlign w:val="top"/>
          </w:tcPr>
          <w:p w14:paraId="778D2302">
            <w:pPr>
              <w:spacing w:before="94" w:line="188" w:lineRule="auto"/>
              <w:ind w:left="53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260</w:t>
            </w:r>
          </w:p>
        </w:tc>
      </w:tr>
      <w:tr w14:paraId="09BCA6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2" w:hRule="atLeast"/>
        </w:trPr>
        <w:tc>
          <w:tcPr>
            <w:tcW w:w="1261" w:type="dxa"/>
            <w:tcBorders>
              <w:left w:val="nil"/>
            </w:tcBorders>
            <w:vAlign w:val="top"/>
          </w:tcPr>
          <w:p w14:paraId="07C59CFE">
            <w:pPr>
              <w:spacing w:before="97" w:line="188" w:lineRule="auto"/>
              <w:ind w:left="54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37</w:t>
            </w:r>
          </w:p>
        </w:tc>
        <w:tc>
          <w:tcPr>
            <w:tcW w:w="2196" w:type="dxa"/>
            <w:vAlign w:val="top"/>
          </w:tcPr>
          <w:p w14:paraId="6B287643">
            <w:pPr>
              <w:pStyle w:val="6"/>
              <w:spacing w:before="65" w:line="221" w:lineRule="auto"/>
              <w:ind w:left="843"/>
              <w:rPr>
                <w:sz w:val="18"/>
                <w:szCs w:val="18"/>
              </w:rPr>
            </w:pPr>
            <w:r>
              <w:rPr>
                <w:rFonts w:ascii="Times New Roman" w:hAnsi="Times New Roman" w:eastAsia="Times New Roman" w:cs="Times New Roman"/>
                <w:spacing w:val="-2"/>
                <w:sz w:val="18"/>
                <w:szCs w:val="18"/>
              </w:rPr>
              <w:t>2-</w:t>
            </w:r>
            <w:r>
              <w:rPr>
                <w:spacing w:val="-2"/>
                <w:sz w:val="18"/>
                <w:szCs w:val="18"/>
              </w:rPr>
              <w:t>氯酚</w:t>
            </w:r>
          </w:p>
        </w:tc>
        <w:tc>
          <w:tcPr>
            <w:tcW w:w="1643" w:type="dxa"/>
            <w:vAlign w:val="top"/>
          </w:tcPr>
          <w:p w14:paraId="25D92F00">
            <w:pPr>
              <w:pStyle w:val="6"/>
              <w:spacing w:before="66" w:line="219" w:lineRule="auto"/>
              <w:ind w:left="557"/>
              <w:rPr>
                <w:sz w:val="18"/>
                <w:szCs w:val="18"/>
              </w:rPr>
            </w:pPr>
            <w:r>
              <w:rPr>
                <w:spacing w:val="-4"/>
                <w:sz w:val="18"/>
                <w:szCs w:val="18"/>
              </w:rPr>
              <w:t>未检出</w:t>
            </w:r>
          </w:p>
        </w:tc>
        <w:tc>
          <w:tcPr>
            <w:tcW w:w="1279" w:type="dxa"/>
            <w:vAlign w:val="top"/>
          </w:tcPr>
          <w:p w14:paraId="7AB9F962">
            <w:pPr>
              <w:pStyle w:val="6"/>
              <w:spacing w:before="66" w:line="219" w:lineRule="auto"/>
              <w:ind w:left="375"/>
              <w:rPr>
                <w:sz w:val="18"/>
                <w:szCs w:val="18"/>
              </w:rPr>
            </w:pPr>
            <w:r>
              <w:rPr>
                <w:spacing w:val="-4"/>
                <w:sz w:val="18"/>
                <w:szCs w:val="18"/>
              </w:rPr>
              <w:t>未检出</w:t>
            </w:r>
          </w:p>
        </w:tc>
        <w:tc>
          <w:tcPr>
            <w:tcW w:w="1304" w:type="dxa"/>
            <w:vAlign w:val="top"/>
          </w:tcPr>
          <w:p w14:paraId="27DB3E1D">
            <w:pPr>
              <w:pStyle w:val="6"/>
              <w:spacing w:before="66" w:line="219" w:lineRule="auto"/>
              <w:ind w:left="390"/>
              <w:rPr>
                <w:sz w:val="18"/>
                <w:szCs w:val="18"/>
              </w:rPr>
            </w:pPr>
            <w:r>
              <w:rPr>
                <w:spacing w:val="-4"/>
                <w:sz w:val="18"/>
                <w:szCs w:val="18"/>
              </w:rPr>
              <w:t>未检出</w:t>
            </w:r>
          </w:p>
        </w:tc>
        <w:tc>
          <w:tcPr>
            <w:tcW w:w="1279" w:type="dxa"/>
            <w:vAlign w:val="top"/>
          </w:tcPr>
          <w:p w14:paraId="4F16DABE">
            <w:pPr>
              <w:pStyle w:val="6"/>
              <w:spacing w:before="66" w:line="219" w:lineRule="auto"/>
              <w:ind w:left="375"/>
              <w:rPr>
                <w:sz w:val="18"/>
                <w:szCs w:val="18"/>
              </w:rPr>
            </w:pPr>
            <w:r>
              <w:rPr>
                <w:spacing w:val="-4"/>
                <w:sz w:val="18"/>
                <w:szCs w:val="18"/>
              </w:rPr>
              <w:t>未检出</w:t>
            </w:r>
          </w:p>
        </w:tc>
        <w:tc>
          <w:tcPr>
            <w:tcW w:w="1279" w:type="dxa"/>
            <w:vAlign w:val="top"/>
          </w:tcPr>
          <w:p w14:paraId="5A9316E9">
            <w:pPr>
              <w:pStyle w:val="6"/>
              <w:spacing w:before="66" w:line="219" w:lineRule="auto"/>
              <w:ind w:left="375"/>
              <w:rPr>
                <w:sz w:val="18"/>
                <w:szCs w:val="18"/>
              </w:rPr>
            </w:pPr>
            <w:r>
              <w:rPr>
                <w:spacing w:val="-4"/>
                <w:sz w:val="18"/>
                <w:szCs w:val="18"/>
              </w:rPr>
              <w:t>未检出</w:t>
            </w:r>
          </w:p>
        </w:tc>
        <w:tc>
          <w:tcPr>
            <w:tcW w:w="1123" w:type="dxa"/>
            <w:vAlign w:val="top"/>
          </w:tcPr>
          <w:p w14:paraId="3E0B44D7">
            <w:pPr>
              <w:pStyle w:val="6"/>
              <w:spacing w:before="66" w:line="219" w:lineRule="auto"/>
              <w:ind w:left="298"/>
              <w:rPr>
                <w:sz w:val="18"/>
                <w:szCs w:val="18"/>
              </w:rPr>
            </w:pPr>
            <w:r>
              <w:rPr>
                <w:spacing w:val="-4"/>
                <w:sz w:val="18"/>
                <w:szCs w:val="18"/>
              </w:rPr>
              <w:t>未检出</w:t>
            </w:r>
          </w:p>
        </w:tc>
        <w:tc>
          <w:tcPr>
            <w:tcW w:w="1514" w:type="dxa"/>
            <w:vAlign w:val="top"/>
          </w:tcPr>
          <w:p w14:paraId="0B06BDB6">
            <w:pPr>
              <w:pStyle w:val="6"/>
              <w:spacing w:before="66" w:line="219" w:lineRule="auto"/>
              <w:ind w:left="493"/>
              <w:rPr>
                <w:sz w:val="18"/>
                <w:szCs w:val="18"/>
              </w:rPr>
            </w:pPr>
            <w:r>
              <w:rPr>
                <w:spacing w:val="-4"/>
                <w:sz w:val="18"/>
                <w:szCs w:val="18"/>
              </w:rPr>
              <w:t>未检出</w:t>
            </w:r>
          </w:p>
        </w:tc>
        <w:tc>
          <w:tcPr>
            <w:tcW w:w="1330" w:type="dxa"/>
            <w:tcBorders>
              <w:right w:val="nil"/>
            </w:tcBorders>
            <w:vAlign w:val="top"/>
          </w:tcPr>
          <w:p w14:paraId="4701E74D">
            <w:pPr>
              <w:spacing w:before="97" w:line="188" w:lineRule="auto"/>
              <w:ind w:left="48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2256</w:t>
            </w:r>
          </w:p>
        </w:tc>
      </w:tr>
      <w:tr w14:paraId="7C7098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1261" w:type="dxa"/>
            <w:tcBorders>
              <w:left w:val="nil"/>
            </w:tcBorders>
            <w:vAlign w:val="top"/>
          </w:tcPr>
          <w:p w14:paraId="73DAD0C0">
            <w:pPr>
              <w:spacing w:before="99" w:line="188" w:lineRule="auto"/>
              <w:ind w:left="54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38</w:t>
            </w:r>
          </w:p>
        </w:tc>
        <w:tc>
          <w:tcPr>
            <w:tcW w:w="2196" w:type="dxa"/>
            <w:vAlign w:val="top"/>
          </w:tcPr>
          <w:p w14:paraId="23B3ED76">
            <w:pPr>
              <w:pStyle w:val="6"/>
              <w:spacing w:before="68" w:line="212" w:lineRule="auto"/>
              <w:ind w:left="734"/>
              <w:rPr>
                <w:sz w:val="18"/>
                <w:szCs w:val="18"/>
              </w:rPr>
            </w:pPr>
            <w:r>
              <w:rPr>
                <w:spacing w:val="-2"/>
                <w:sz w:val="18"/>
                <w:szCs w:val="18"/>
              </w:rPr>
              <w:t>苯并</w:t>
            </w:r>
            <w:r>
              <w:rPr>
                <w:rFonts w:ascii="Times New Roman" w:hAnsi="Times New Roman" w:eastAsia="Times New Roman" w:cs="Times New Roman"/>
                <w:spacing w:val="-2"/>
                <w:sz w:val="18"/>
                <w:szCs w:val="18"/>
              </w:rPr>
              <w:t>[a]</w:t>
            </w:r>
            <w:r>
              <w:rPr>
                <w:spacing w:val="-2"/>
                <w:sz w:val="18"/>
                <w:szCs w:val="18"/>
              </w:rPr>
              <w:t>蒽</w:t>
            </w:r>
          </w:p>
        </w:tc>
        <w:tc>
          <w:tcPr>
            <w:tcW w:w="1643" w:type="dxa"/>
            <w:vAlign w:val="top"/>
          </w:tcPr>
          <w:p w14:paraId="2989E79C">
            <w:pPr>
              <w:pStyle w:val="6"/>
              <w:spacing w:before="68" w:line="219" w:lineRule="auto"/>
              <w:ind w:left="557"/>
              <w:rPr>
                <w:sz w:val="18"/>
                <w:szCs w:val="18"/>
              </w:rPr>
            </w:pPr>
            <w:r>
              <w:rPr>
                <w:spacing w:val="-4"/>
                <w:sz w:val="18"/>
                <w:szCs w:val="18"/>
              </w:rPr>
              <w:t>未检出</w:t>
            </w:r>
          </w:p>
        </w:tc>
        <w:tc>
          <w:tcPr>
            <w:tcW w:w="1279" w:type="dxa"/>
            <w:vAlign w:val="top"/>
          </w:tcPr>
          <w:p w14:paraId="3CE5D48B">
            <w:pPr>
              <w:pStyle w:val="6"/>
              <w:spacing w:before="68" w:line="219" w:lineRule="auto"/>
              <w:ind w:left="375"/>
              <w:rPr>
                <w:sz w:val="18"/>
                <w:szCs w:val="18"/>
              </w:rPr>
            </w:pPr>
            <w:r>
              <w:rPr>
                <w:spacing w:val="-4"/>
                <w:sz w:val="18"/>
                <w:szCs w:val="18"/>
              </w:rPr>
              <w:t>未检出</w:t>
            </w:r>
          </w:p>
        </w:tc>
        <w:tc>
          <w:tcPr>
            <w:tcW w:w="1304" w:type="dxa"/>
            <w:vAlign w:val="top"/>
          </w:tcPr>
          <w:p w14:paraId="1EC3153B">
            <w:pPr>
              <w:pStyle w:val="6"/>
              <w:spacing w:before="68" w:line="219" w:lineRule="auto"/>
              <w:ind w:left="390"/>
              <w:rPr>
                <w:sz w:val="18"/>
                <w:szCs w:val="18"/>
              </w:rPr>
            </w:pPr>
            <w:r>
              <w:rPr>
                <w:spacing w:val="-4"/>
                <w:sz w:val="18"/>
                <w:szCs w:val="18"/>
              </w:rPr>
              <w:t>未检出</w:t>
            </w:r>
          </w:p>
        </w:tc>
        <w:tc>
          <w:tcPr>
            <w:tcW w:w="1279" w:type="dxa"/>
            <w:vAlign w:val="top"/>
          </w:tcPr>
          <w:p w14:paraId="6B8B8B23">
            <w:pPr>
              <w:pStyle w:val="6"/>
              <w:spacing w:before="68" w:line="219" w:lineRule="auto"/>
              <w:ind w:left="375"/>
              <w:rPr>
                <w:sz w:val="18"/>
                <w:szCs w:val="18"/>
              </w:rPr>
            </w:pPr>
            <w:r>
              <w:rPr>
                <w:spacing w:val="-4"/>
                <w:sz w:val="18"/>
                <w:szCs w:val="18"/>
              </w:rPr>
              <w:t>未检出</w:t>
            </w:r>
          </w:p>
        </w:tc>
        <w:tc>
          <w:tcPr>
            <w:tcW w:w="1279" w:type="dxa"/>
            <w:vAlign w:val="top"/>
          </w:tcPr>
          <w:p w14:paraId="4FBE70E7">
            <w:pPr>
              <w:pStyle w:val="6"/>
              <w:spacing w:before="68" w:line="219" w:lineRule="auto"/>
              <w:ind w:left="375"/>
              <w:rPr>
                <w:sz w:val="18"/>
                <w:szCs w:val="18"/>
              </w:rPr>
            </w:pPr>
            <w:r>
              <w:rPr>
                <w:spacing w:val="-4"/>
                <w:sz w:val="18"/>
                <w:szCs w:val="18"/>
              </w:rPr>
              <w:t>未检出</w:t>
            </w:r>
          </w:p>
        </w:tc>
        <w:tc>
          <w:tcPr>
            <w:tcW w:w="1123" w:type="dxa"/>
            <w:vAlign w:val="top"/>
          </w:tcPr>
          <w:p w14:paraId="3DD70630">
            <w:pPr>
              <w:pStyle w:val="6"/>
              <w:spacing w:before="68" w:line="219" w:lineRule="auto"/>
              <w:ind w:left="298"/>
              <w:rPr>
                <w:sz w:val="18"/>
                <w:szCs w:val="18"/>
              </w:rPr>
            </w:pPr>
            <w:r>
              <w:rPr>
                <w:spacing w:val="-4"/>
                <w:sz w:val="18"/>
                <w:szCs w:val="18"/>
              </w:rPr>
              <w:t>未检出</w:t>
            </w:r>
          </w:p>
        </w:tc>
        <w:tc>
          <w:tcPr>
            <w:tcW w:w="1514" w:type="dxa"/>
            <w:vAlign w:val="top"/>
          </w:tcPr>
          <w:p w14:paraId="7E468218">
            <w:pPr>
              <w:pStyle w:val="6"/>
              <w:spacing w:before="68" w:line="219" w:lineRule="auto"/>
              <w:ind w:left="493"/>
              <w:rPr>
                <w:sz w:val="18"/>
                <w:szCs w:val="18"/>
              </w:rPr>
            </w:pPr>
            <w:r>
              <w:rPr>
                <w:spacing w:val="-4"/>
                <w:sz w:val="18"/>
                <w:szCs w:val="18"/>
              </w:rPr>
              <w:t>未检出</w:t>
            </w:r>
          </w:p>
        </w:tc>
        <w:tc>
          <w:tcPr>
            <w:tcW w:w="1330" w:type="dxa"/>
            <w:tcBorders>
              <w:right w:val="nil"/>
            </w:tcBorders>
            <w:vAlign w:val="top"/>
          </w:tcPr>
          <w:p w14:paraId="564163ED">
            <w:pPr>
              <w:spacing w:before="99" w:line="188" w:lineRule="auto"/>
              <w:ind w:left="593"/>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15</w:t>
            </w:r>
          </w:p>
        </w:tc>
      </w:tr>
      <w:tr w14:paraId="209254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1261" w:type="dxa"/>
            <w:tcBorders>
              <w:left w:val="nil"/>
            </w:tcBorders>
            <w:vAlign w:val="top"/>
          </w:tcPr>
          <w:p w14:paraId="74A8995C">
            <w:pPr>
              <w:spacing w:before="101" w:line="188" w:lineRule="auto"/>
              <w:ind w:left="54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39</w:t>
            </w:r>
          </w:p>
        </w:tc>
        <w:tc>
          <w:tcPr>
            <w:tcW w:w="2196" w:type="dxa"/>
            <w:vAlign w:val="top"/>
          </w:tcPr>
          <w:p w14:paraId="41A82616">
            <w:pPr>
              <w:pStyle w:val="6"/>
              <w:spacing w:before="72" w:line="210" w:lineRule="auto"/>
              <w:ind w:left="734"/>
              <w:rPr>
                <w:sz w:val="18"/>
                <w:szCs w:val="18"/>
              </w:rPr>
            </w:pPr>
            <w:r>
              <w:rPr>
                <w:spacing w:val="-2"/>
                <w:sz w:val="18"/>
                <w:szCs w:val="18"/>
              </w:rPr>
              <w:t>苯并</w:t>
            </w:r>
            <w:r>
              <w:rPr>
                <w:rFonts w:ascii="Times New Roman" w:hAnsi="Times New Roman" w:eastAsia="Times New Roman" w:cs="Times New Roman"/>
                <w:spacing w:val="-2"/>
                <w:sz w:val="18"/>
                <w:szCs w:val="18"/>
              </w:rPr>
              <w:t>[a]</w:t>
            </w:r>
            <w:r>
              <w:rPr>
                <w:spacing w:val="-2"/>
                <w:sz w:val="18"/>
                <w:szCs w:val="18"/>
              </w:rPr>
              <w:t>芘</w:t>
            </w:r>
          </w:p>
        </w:tc>
        <w:tc>
          <w:tcPr>
            <w:tcW w:w="1643" w:type="dxa"/>
            <w:vAlign w:val="top"/>
          </w:tcPr>
          <w:p w14:paraId="1D93C06B">
            <w:pPr>
              <w:pStyle w:val="6"/>
              <w:spacing w:before="72" w:line="219" w:lineRule="auto"/>
              <w:ind w:left="557"/>
              <w:rPr>
                <w:sz w:val="18"/>
                <w:szCs w:val="18"/>
              </w:rPr>
            </w:pPr>
            <w:r>
              <w:rPr>
                <w:spacing w:val="-4"/>
                <w:sz w:val="18"/>
                <w:szCs w:val="18"/>
              </w:rPr>
              <w:t>未检出</w:t>
            </w:r>
          </w:p>
        </w:tc>
        <w:tc>
          <w:tcPr>
            <w:tcW w:w="1279" w:type="dxa"/>
            <w:vAlign w:val="top"/>
          </w:tcPr>
          <w:p w14:paraId="23F1F28C">
            <w:pPr>
              <w:pStyle w:val="6"/>
              <w:spacing w:before="72" w:line="219" w:lineRule="auto"/>
              <w:ind w:left="375"/>
              <w:rPr>
                <w:sz w:val="18"/>
                <w:szCs w:val="18"/>
              </w:rPr>
            </w:pPr>
            <w:r>
              <w:rPr>
                <w:spacing w:val="-4"/>
                <w:sz w:val="18"/>
                <w:szCs w:val="18"/>
              </w:rPr>
              <w:t>未检出</w:t>
            </w:r>
          </w:p>
        </w:tc>
        <w:tc>
          <w:tcPr>
            <w:tcW w:w="1304" w:type="dxa"/>
            <w:vAlign w:val="top"/>
          </w:tcPr>
          <w:p w14:paraId="3D953910">
            <w:pPr>
              <w:pStyle w:val="6"/>
              <w:spacing w:before="72" w:line="219" w:lineRule="auto"/>
              <w:ind w:left="390"/>
              <w:rPr>
                <w:sz w:val="18"/>
                <w:szCs w:val="18"/>
              </w:rPr>
            </w:pPr>
            <w:r>
              <w:rPr>
                <w:spacing w:val="-4"/>
                <w:sz w:val="18"/>
                <w:szCs w:val="18"/>
              </w:rPr>
              <w:t>未检出</w:t>
            </w:r>
          </w:p>
        </w:tc>
        <w:tc>
          <w:tcPr>
            <w:tcW w:w="1279" w:type="dxa"/>
            <w:vAlign w:val="top"/>
          </w:tcPr>
          <w:p w14:paraId="32429C71">
            <w:pPr>
              <w:pStyle w:val="6"/>
              <w:spacing w:before="72" w:line="219" w:lineRule="auto"/>
              <w:ind w:left="375"/>
              <w:rPr>
                <w:sz w:val="18"/>
                <w:szCs w:val="18"/>
              </w:rPr>
            </w:pPr>
            <w:r>
              <w:rPr>
                <w:spacing w:val="-4"/>
                <w:sz w:val="18"/>
                <w:szCs w:val="18"/>
              </w:rPr>
              <w:t>未检出</w:t>
            </w:r>
          </w:p>
        </w:tc>
        <w:tc>
          <w:tcPr>
            <w:tcW w:w="1279" w:type="dxa"/>
            <w:vAlign w:val="top"/>
          </w:tcPr>
          <w:p w14:paraId="5BEC3E92">
            <w:pPr>
              <w:pStyle w:val="6"/>
              <w:spacing w:before="72" w:line="219" w:lineRule="auto"/>
              <w:ind w:left="375"/>
              <w:rPr>
                <w:sz w:val="18"/>
                <w:szCs w:val="18"/>
              </w:rPr>
            </w:pPr>
            <w:r>
              <w:rPr>
                <w:spacing w:val="-4"/>
                <w:sz w:val="18"/>
                <w:szCs w:val="18"/>
              </w:rPr>
              <w:t>未检出</w:t>
            </w:r>
          </w:p>
        </w:tc>
        <w:tc>
          <w:tcPr>
            <w:tcW w:w="1123" w:type="dxa"/>
            <w:vAlign w:val="top"/>
          </w:tcPr>
          <w:p w14:paraId="680461BC">
            <w:pPr>
              <w:pStyle w:val="6"/>
              <w:spacing w:before="72" w:line="219" w:lineRule="auto"/>
              <w:ind w:left="298"/>
              <w:rPr>
                <w:sz w:val="18"/>
                <w:szCs w:val="18"/>
              </w:rPr>
            </w:pPr>
            <w:r>
              <w:rPr>
                <w:spacing w:val="-4"/>
                <w:sz w:val="18"/>
                <w:szCs w:val="18"/>
              </w:rPr>
              <w:t>未检出</w:t>
            </w:r>
          </w:p>
        </w:tc>
        <w:tc>
          <w:tcPr>
            <w:tcW w:w="1514" w:type="dxa"/>
            <w:vAlign w:val="top"/>
          </w:tcPr>
          <w:p w14:paraId="1A5621DB">
            <w:pPr>
              <w:pStyle w:val="6"/>
              <w:spacing w:before="72" w:line="219" w:lineRule="auto"/>
              <w:ind w:left="493"/>
              <w:rPr>
                <w:sz w:val="18"/>
                <w:szCs w:val="18"/>
              </w:rPr>
            </w:pPr>
            <w:r>
              <w:rPr>
                <w:spacing w:val="-4"/>
                <w:sz w:val="18"/>
                <w:szCs w:val="18"/>
              </w:rPr>
              <w:t>未检出</w:t>
            </w:r>
          </w:p>
        </w:tc>
        <w:tc>
          <w:tcPr>
            <w:tcW w:w="1330" w:type="dxa"/>
            <w:tcBorders>
              <w:right w:val="nil"/>
            </w:tcBorders>
            <w:vAlign w:val="top"/>
          </w:tcPr>
          <w:p w14:paraId="4F17705E">
            <w:pPr>
              <w:spacing w:before="101" w:line="188" w:lineRule="auto"/>
              <w:ind w:left="57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w:t>
            </w:r>
          </w:p>
        </w:tc>
      </w:tr>
      <w:tr w14:paraId="77F7B8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1261" w:type="dxa"/>
            <w:tcBorders>
              <w:left w:val="nil"/>
            </w:tcBorders>
            <w:vAlign w:val="top"/>
          </w:tcPr>
          <w:p w14:paraId="5EFEC3F6">
            <w:pPr>
              <w:spacing w:before="102" w:line="188" w:lineRule="auto"/>
              <w:ind w:left="5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40</w:t>
            </w:r>
          </w:p>
        </w:tc>
        <w:tc>
          <w:tcPr>
            <w:tcW w:w="2196" w:type="dxa"/>
            <w:vAlign w:val="top"/>
          </w:tcPr>
          <w:p w14:paraId="3DAC6576">
            <w:pPr>
              <w:pStyle w:val="6"/>
              <w:spacing w:before="73" w:line="210" w:lineRule="auto"/>
              <w:ind w:left="640"/>
              <w:rPr>
                <w:sz w:val="18"/>
                <w:szCs w:val="18"/>
              </w:rPr>
            </w:pPr>
            <w:r>
              <w:rPr>
                <w:spacing w:val="-2"/>
                <w:sz w:val="18"/>
                <w:szCs w:val="18"/>
              </w:rPr>
              <w:t>苯并</w:t>
            </w:r>
            <w:r>
              <w:rPr>
                <w:rFonts w:ascii="Times New Roman" w:hAnsi="Times New Roman" w:eastAsia="Times New Roman" w:cs="Times New Roman"/>
                <w:spacing w:val="-2"/>
                <w:sz w:val="18"/>
                <w:szCs w:val="18"/>
              </w:rPr>
              <w:t>[b]</w:t>
            </w:r>
            <w:r>
              <w:rPr>
                <w:spacing w:val="-2"/>
                <w:sz w:val="18"/>
                <w:szCs w:val="18"/>
              </w:rPr>
              <w:t>荧蒽</w:t>
            </w:r>
          </w:p>
        </w:tc>
        <w:tc>
          <w:tcPr>
            <w:tcW w:w="1643" w:type="dxa"/>
            <w:vAlign w:val="top"/>
          </w:tcPr>
          <w:p w14:paraId="4E34F9B4">
            <w:pPr>
              <w:pStyle w:val="6"/>
              <w:spacing w:before="74" w:line="219" w:lineRule="auto"/>
              <w:ind w:left="557"/>
              <w:rPr>
                <w:sz w:val="18"/>
                <w:szCs w:val="18"/>
              </w:rPr>
            </w:pPr>
            <w:r>
              <w:rPr>
                <w:spacing w:val="-4"/>
                <w:sz w:val="18"/>
                <w:szCs w:val="18"/>
              </w:rPr>
              <w:t>未检出</w:t>
            </w:r>
          </w:p>
        </w:tc>
        <w:tc>
          <w:tcPr>
            <w:tcW w:w="1279" w:type="dxa"/>
            <w:vAlign w:val="top"/>
          </w:tcPr>
          <w:p w14:paraId="5989E0CF">
            <w:pPr>
              <w:pStyle w:val="6"/>
              <w:spacing w:before="74" w:line="219" w:lineRule="auto"/>
              <w:ind w:left="375"/>
              <w:rPr>
                <w:sz w:val="18"/>
                <w:szCs w:val="18"/>
              </w:rPr>
            </w:pPr>
            <w:r>
              <w:rPr>
                <w:spacing w:val="-4"/>
                <w:sz w:val="18"/>
                <w:szCs w:val="18"/>
              </w:rPr>
              <w:t>未检出</w:t>
            </w:r>
          </w:p>
        </w:tc>
        <w:tc>
          <w:tcPr>
            <w:tcW w:w="1304" w:type="dxa"/>
            <w:vAlign w:val="top"/>
          </w:tcPr>
          <w:p w14:paraId="10B93640">
            <w:pPr>
              <w:pStyle w:val="6"/>
              <w:spacing w:before="74" w:line="219" w:lineRule="auto"/>
              <w:ind w:left="390"/>
              <w:rPr>
                <w:sz w:val="18"/>
                <w:szCs w:val="18"/>
              </w:rPr>
            </w:pPr>
            <w:r>
              <w:rPr>
                <w:spacing w:val="-4"/>
                <w:sz w:val="18"/>
                <w:szCs w:val="18"/>
              </w:rPr>
              <w:t>未检出</w:t>
            </w:r>
          </w:p>
        </w:tc>
        <w:tc>
          <w:tcPr>
            <w:tcW w:w="1279" w:type="dxa"/>
            <w:vAlign w:val="top"/>
          </w:tcPr>
          <w:p w14:paraId="3B2162BC">
            <w:pPr>
              <w:pStyle w:val="6"/>
              <w:spacing w:before="74" w:line="219" w:lineRule="auto"/>
              <w:ind w:left="375"/>
              <w:rPr>
                <w:sz w:val="18"/>
                <w:szCs w:val="18"/>
              </w:rPr>
            </w:pPr>
            <w:r>
              <w:rPr>
                <w:spacing w:val="-4"/>
                <w:sz w:val="18"/>
                <w:szCs w:val="18"/>
              </w:rPr>
              <w:t>未检出</w:t>
            </w:r>
          </w:p>
        </w:tc>
        <w:tc>
          <w:tcPr>
            <w:tcW w:w="1279" w:type="dxa"/>
            <w:vAlign w:val="top"/>
          </w:tcPr>
          <w:p w14:paraId="30C04376">
            <w:pPr>
              <w:pStyle w:val="6"/>
              <w:spacing w:before="74" w:line="219" w:lineRule="auto"/>
              <w:ind w:left="375"/>
              <w:rPr>
                <w:sz w:val="18"/>
                <w:szCs w:val="18"/>
              </w:rPr>
            </w:pPr>
            <w:r>
              <w:rPr>
                <w:spacing w:val="-4"/>
                <w:sz w:val="18"/>
                <w:szCs w:val="18"/>
              </w:rPr>
              <w:t>未检出</w:t>
            </w:r>
          </w:p>
        </w:tc>
        <w:tc>
          <w:tcPr>
            <w:tcW w:w="1123" w:type="dxa"/>
            <w:vAlign w:val="top"/>
          </w:tcPr>
          <w:p w14:paraId="3A4E711A">
            <w:pPr>
              <w:pStyle w:val="6"/>
              <w:spacing w:before="74" w:line="219" w:lineRule="auto"/>
              <w:ind w:left="298"/>
              <w:rPr>
                <w:sz w:val="18"/>
                <w:szCs w:val="18"/>
              </w:rPr>
            </w:pPr>
            <w:r>
              <w:rPr>
                <w:spacing w:val="-4"/>
                <w:sz w:val="18"/>
                <w:szCs w:val="18"/>
              </w:rPr>
              <w:t>未检出</w:t>
            </w:r>
          </w:p>
        </w:tc>
        <w:tc>
          <w:tcPr>
            <w:tcW w:w="1514" w:type="dxa"/>
            <w:vAlign w:val="top"/>
          </w:tcPr>
          <w:p w14:paraId="4AC96EF0">
            <w:pPr>
              <w:pStyle w:val="6"/>
              <w:spacing w:before="74" w:line="219" w:lineRule="auto"/>
              <w:ind w:left="493"/>
              <w:rPr>
                <w:sz w:val="18"/>
                <w:szCs w:val="18"/>
              </w:rPr>
            </w:pPr>
            <w:r>
              <w:rPr>
                <w:spacing w:val="-4"/>
                <w:sz w:val="18"/>
                <w:szCs w:val="18"/>
              </w:rPr>
              <w:t>未检出</w:t>
            </w:r>
          </w:p>
        </w:tc>
        <w:tc>
          <w:tcPr>
            <w:tcW w:w="1330" w:type="dxa"/>
            <w:tcBorders>
              <w:right w:val="nil"/>
            </w:tcBorders>
            <w:vAlign w:val="top"/>
          </w:tcPr>
          <w:p w14:paraId="44C81781">
            <w:pPr>
              <w:spacing w:before="102" w:line="188" w:lineRule="auto"/>
              <w:ind w:left="593"/>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15</w:t>
            </w:r>
          </w:p>
        </w:tc>
      </w:tr>
      <w:tr w14:paraId="6567A0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1261" w:type="dxa"/>
            <w:tcBorders>
              <w:left w:val="nil"/>
            </w:tcBorders>
            <w:vAlign w:val="top"/>
          </w:tcPr>
          <w:p w14:paraId="18BD139C">
            <w:pPr>
              <w:spacing w:before="104" w:line="188" w:lineRule="auto"/>
              <w:ind w:left="5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41</w:t>
            </w:r>
          </w:p>
        </w:tc>
        <w:tc>
          <w:tcPr>
            <w:tcW w:w="2196" w:type="dxa"/>
            <w:vAlign w:val="top"/>
          </w:tcPr>
          <w:p w14:paraId="4B7CB917">
            <w:pPr>
              <w:pStyle w:val="6"/>
              <w:spacing w:before="75" w:line="210" w:lineRule="auto"/>
              <w:ind w:left="640"/>
              <w:rPr>
                <w:sz w:val="18"/>
                <w:szCs w:val="18"/>
              </w:rPr>
            </w:pPr>
            <w:r>
              <w:rPr>
                <w:spacing w:val="-2"/>
                <w:sz w:val="18"/>
                <w:szCs w:val="18"/>
              </w:rPr>
              <w:t>苯并</w:t>
            </w:r>
            <w:r>
              <w:rPr>
                <w:rFonts w:ascii="Times New Roman" w:hAnsi="Times New Roman" w:eastAsia="Times New Roman" w:cs="Times New Roman"/>
                <w:spacing w:val="-2"/>
                <w:sz w:val="18"/>
                <w:szCs w:val="18"/>
              </w:rPr>
              <w:t>[k]</w:t>
            </w:r>
            <w:r>
              <w:rPr>
                <w:spacing w:val="-2"/>
                <w:sz w:val="18"/>
                <w:szCs w:val="18"/>
              </w:rPr>
              <w:t>荧蒽</w:t>
            </w:r>
          </w:p>
        </w:tc>
        <w:tc>
          <w:tcPr>
            <w:tcW w:w="1643" w:type="dxa"/>
            <w:vAlign w:val="top"/>
          </w:tcPr>
          <w:p w14:paraId="4AF6F2AE">
            <w:pPr>
              <w:pStyle w:val="6"/>
              <w:spacing w:before="75" w:line="219" w:lineRule="auto"/>
              <w:ind w:left="557"/>
              <w:rPr>
                <w:sz w:val="18"/>
                <w:szCs w:val="18"/>
              </w:rPr>
            </w:pPr>
            <w:r>
              <w:rPr>
                <w:spacing w:val="-4"/>
                <w:sz w:val="18"/>
                <w:szCs w:val="18"/>
              </w:rPr>
              <w:t>未检出</w:t>
            </w:r>
          </w:p>
        </w:tc>
        <w:tc>
          <w:tcPr>
            <w:tcW w:w="1279" w:type="dxa"/>
            <w:vAlign w:val="top"/>
          </w:tcPr>
          <w:p w14:paraId="5DF0DEE9">
            <w:pPr>
              <w:pStyle w:val="6"/>
              <w:spacing w:before="75" w:line="219" w:lineRule="auto"/>
              <w:ind w:left="375"/>
              <w:rPr>
                <w:sz w:val="18"/>
                <w:szCs w:val="18"/>
              </w:rPr>
            </w:pPr>
            <w:r>
              <w:rPr>
                <w:spacing w:val="-4"/>
                <w:sz w:val="18"/>
                <w:szCs w:val="18"/>
              </w:rPr>
              <w:t>未检出</w:t>
            </w:r>
          </w:p>
        </w:tc>
        <w:tc>
          <w:tcPr>
            <w:tcW w:w="1304" w:type="dxa"/>
            <w:vAlign w:val="top"/>
          </w:tcPr>
          <w:p w14:paraId="5CD65517">
            <w:pPr>
              <w:pStyle w:val="6"/>
              <w:spacing w:before="75" w:line="219" w:lineRule="auto"/>
              <w:ind w:left="390"/>
              <w:rPr>
                <w:sz w:val="18"/>
                <w:szCs w:val="18"/>
              </w:rPr>
            </w:pPr>
            <w:r>
              <w:rPr>
                <w:spacing w:val="-4"/>
                <w:sz w:val="18"/>
                <w:szCs w:val="18"/>
              </w:rPr>
              <w:t>未检出</w:t>
            </w:r>
          </w:p>
        </w:tc>
        <w:tc>
          <w:tcPr>
            <w:tcW w:w="1279" w:type="dxa"/>
            <w:vAlign w:val="top"/>
          </w:tcPr>
          <w:p w14:paraId="3605925D">
            <w:pPr>
              <w:pStyle w:val="6"/>
              <w:spacing w:before="75" w:line="219" w:lineRule="auto"/>
              <w:ind w:left="375"/>
              <w:rPr>
                <w:sz w:val="18"/>
                <w:szCs w:val="18"/>
              </w:rPr>
            </w:pPr>
            <w:r>
              <w:rPr>
                <w:spacing w:val="-4"/>
                <w:sz w:val="18"/>
                <w:szCs w:val="18"/>
              </w:rPr>
              <w:t>未检出</w:t>
            </w:r>
          </w:p>
        </w:tc>
        <w:tc>
          <w:tcPr>
            <w:tcW w:w="1279" w:type="dxa"/>
            <w:vAlign w:val="top"/>
          </w:tcPr>
          <w:p w14:paraId="04BDBD46">
            <w:pPr>
              <w:pStyle w:val="6"/>
              <w:spacing w:before="75" w:line="219" w:lineRule="auto"/>
              <w:ind w:left="375"/>
              <w:rPr>
                <w:sz w:val="18"/>
                <w:szCs w:val="18"/>
              </w:rPr>
            </w:pPr>
            <w:r>
              <w:rPr>
                <w:spacing w:val="-4"/>
                <w:sz w:val="18"/>
                <w:szCs w:val="18"/>
              </w:rPr>
              <w:t>未检出</w:t>
            </w:r>
          </w:p>
        </w:tc>
        <w:tc>
          <w:tcPr>
            <w:tcW w:w="1123" w:type="dxa"/>
            <w:vAlign w:val="top"/>
          </w:tcPr>
          <w:p w14:paraId="65FACB09">
            <w:pPr>
              <w:pStyle w:val="6"/>
              <w:spacing w:before="75" w:line="219" w:lineRule="auto"/>
              <w:ind w:left="298"/>
              <w:rPr>
                <w:sz w:val="18"/>
                <w:szCs w:val="18"/>
              </w:rPr>
            </w:pPr>
            <w:r>
              <w:rPr>
                <w:spacing w:val="-4"/>
                <w:sz w:val="18"/>
                <w:szCs w:val="18"/>
              </w:rPr>
              <w:t>未检出</w:t>
            </w:r>
          </w:p>
        </w:tc>
        <w:tc>
          <w:tcPr>
            <w:tcW w:w="1514" w:type="dxa"/>
            <w:vAlign w:val="top"/>
          </w:tcPr>
          <w:p w14:paraId="20220790">
            <w:pPr>
              <w:pStyle w:val="6"/>
              <w:spacing w:before="75" w:line="219" w:lineRule="auto"/>
              <w:ind w:left="493"/>
              <w:rPr>
                <w:sz w:val="18"/>
                <w:szCs w:val="18"/>
              </w:rPr>
            </w:pPr>
            <w:r>
              <w:rPr>
                <w:spacing w:val="-4"/>
                <w:sz w:val="18"/>
                <w:szCs w:val="18"/>
              </w:rPr>
              <w:t>未检出</w:t>
            </w:r>
          </w:p>
        </w:tc>
        <w:tc>
          <w:tcPr>
            <w:tcW w:w="1330" w:type="dxa"/>
            <w:tcBorders>
              <w:right w:val="nil"/>
            </w:tcBorders>
            <w:vAlign w:val="top"/>
          </w:tcPr>
          <w:p w14:paraId="2B62FD78">
            <w:pPr>
              <w:spacing w:before="104" w:line="188" w:lineRule="auto"/>
              <w:ind w:left="550"/>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151</w:t>
            </w:r>
          </w:p>
        </w:tc>
      </w:tr>
      <w:tr w14:paraId="27B23F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1261" w:type="dxa"/>
            <w:tcBorders>
              <w:left w:val="nil"/>
            </w:tcBorders>
            <w:vAlign w:val="top"/>
          </w:tcPr>
          <w:p w14:paraId="1710D724">
            <w:pPr>
              <w:spacing w:before="108" w:line="188" w:lineRule="auto"/>
              <w:ind w:left="5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42</w:t>
            </w:r>
          </w:p>
        </w:tc>
        <w:tc>
          <w:tcPr>
            <w:tcW w:w="2196" w:type="dxa"/>
            <w:vAlign w:val="top"/>
          </w:tcPr>
          <w:p w14:paraId="24583EE2">
            <w:pPr>
              <w:pStyle w:val="6"/>
              <w:spacing w:before="77" w:line="221" w:lineRule="auto"/>
              <w:ind w:left="1017"/>
              <w:rPr>
                <w:sz w:val="18"/>
                <w:szCs w:val="18"/>
              </w:rPr>
            </w:pPr>
            <w:r>
              <w:rPr>
                <w:sz w:val="18"/>
                <w:szCs w:val="18"/>
              </w:rPr>
              <w:t>蒽</w:t>
            </w:r>
          </w:p>
        </w:tc>
        <w:tc>
          <w:tcPr>
            <w:tcW w:w="1643" w:type="dxa"/>
            <w:vAlign w:val="top"/>
          </w:tcPr>
          <w:p w14:paraId="4CE78FAB">
            <w:pPr>
              <w:pStyle w:val="6"/>
              <w:spacing w:before="77" w:line="219" w:lineRule="auto"/>
              <w:ind w:left="557"/>
              <w:rPr>
                <w:sz w:val="18"/>
                <w:szCs w:val="18"/>
              </w:rPr>
            </w:pPr>
            <w:r>
              <w:rPr>
                <w:spacing w:val="-4"/>
                <w:sz w:val="18"/>
                <w:szCs w:val="18"/>
              </w:rPr>
              <w:t>未检出</w:t>
            </w:r>
          </w:p>
        </w:tc>
        <w:tc>
          <w:tcPr>
            <w:tcW w:w="1279" w:type="dxa"/>
            <w:vAlign w:val="top"/>
          </w:tcPr>
          <w:p w14:paraId="72A09B69">
            <w:pPr>
              <w:pStyle w:val="6"/>
              <w:spacing w:before="77" w:line="219" w:lineRule="auto"/>
              <w:ind w:left="375"/>
              <w:rPr>
                <w:sz w:val="18"/>
                <w:szCs w:val="18"/>
              </w:rPr>
            </w:pPr>
            <w:r>
              <w:rPr>
                <w:spacing w:val="-4"/>
                <w:sz w:val="18"/>
                <w:szCs w:val="18"/>
              </w:rPr>
              <w:t>未检出</w:t>
            </w:r>
          </w:p>
        </w:tc>
        <w:tc>
          <w:tcPr>
            <w:tcW w:w="1304" w:type="dxa"/>
            <w:vAlign w:val="top"/>
          </w:tcPr>
          <w:p w14:paraId="06C7DC72">
            <w:pPr>
              <w:pStyle w:val="6"/>
              <w:spacing w:before="77" w:line="219" w:lineRule="auto"/>
              <w:ind w:left="390"/>
              <w:rPr>
                <w:sz w:val="18"/>
                <w:szCs w:val="18"/>
              </w:rPr>
            </w:pPr>
            <w:r>
              <w:rPr>
                <w:spacing w:val="-4"/>
                <w:sz w:val="18"/>
                <w:szCs w:val="18"/>
              </w:rPr>
              <w:t>未检出</w:t>
            </w:r>
          </w:p>
        </w:tc>
        <w:tc>
          <w:tcPr>
            <w:tcW w:w="1279" w:type="dxa"/>
            <w:vAlign w:val="top"/>
          </w:tcPr>
          <w:p w14:paraId="36DEDDC1">
            <w:pPr>
              <w:pStyle w:val="6"/>
              <w:spacing w:before="77" w:line="219" w:lineRule="auto"/>
              <w:ind w:left="375"/>
              <w:rPr>
                <w:sz w:val="18"/>
                <w:szCs w:val="18"/>
              </w:rPr>
            </w:pPr>
            <w:r>
              <w:rPr>
                <w:spacing w:val="-4"/>
                <w:sz w:val="18"/>
                <w:szCs w:val="18"/>
              </w:rPr>
              <w:t>未检出</w:t>
            </w:r>
          </w:p>
        </w:tc>
        <w:tc>
          <w:tcPr>
            <w:tcW w:w="1279" w:type="dxa"/>
            <w:vAlign w:val="top"/>
          </w:tcPr>
          <w:p w14:paraId="28965E62">
            <w:pPr>
              <w:pStyle w:val="6"/>
              <w:spacing w:before="77" w:line="219" w:lineRule="auto"/>
              <w:ind w:left="375"/>
              <w:rPr>
                <w:sz w:val="18"/>
                <w:szCs w:val="18"/>
              </w:rPr>
            </w:pPr>
            <w:r>
              <w:rPr>
                <w:spacing w:val="-4"/>
                <w:sz w:val="18"/>
                <w:szCs w:val="18"/>
              </w:rPr>
              <w:t>未检出</w:t>
            </w:r>
          </w:p>
        </w:tc>
        <w:tc>
          <w:tcPr>
            <w:tcW w:w="1123" w:type="dxa"/>
            <w:vAlign w:val="top"/>
          </w:tcPr>
          <w:p w14:paraId="500B3BF7">
            <w:pPr>
              <w:pStyle w:val="6"/>
              <w:spacing w:before="77" w:line="219" w:lineRule="auto"/>
              <w:ind w:left="298"/>
              <w:rPr>
                <w:sz w:val="18"/>
                <w:szCs w:val="18"/>
              </w:rPr>
            </w:pPr>
            <w:r>
              <w:rPr>
                <w:spacing w:val="-4"/>
                <w:sz w:val="18"/>
                <w:szCs w:val="18"/>
              </w:rPr>
              <w:t>未检出</w:t>
            </w:r>
          </w:p>
        </w:tc>
        <w:tc>
          <w:tcPr>
            <w:tcW w:w="1514" w:type="dxa"/>
            <w:vAlign w:val="top"/>
          </w:tcPr>
          <w:p w14:paraId="2C9EF430">
            <w:pPr>
              <w:pStyle w:val="6"/>
              <w:spacing w:before="77" w:line="219" w:lineRule="auto"/>
              <w:ind w:left="493"/>
              <w:rPr>
                <w:sz w:val="18"/>
                <w:szCs w:val="18"/>
              </w:rPr>
            </w:pPr>
            <w:r>
              <w:rPr>
                <w:spacing w:val="-4"/>
                <w:sz w:val="18"/>
                <w:szCs w:val="18"/>
              </w:rPr>
              <w:t>未检出</w:t>
            </w:r>
          </w:p>
        </w:tc>
        <w:tc>
          <w:tcPr>
            <w:tcW w:w="1330" w:type="dxa"/>
            <w:tcBorders>
              <w:right w:val="nil"/>
            </w:tcBorders>
            <w:vAlign w:val="top"/>
          </w:tcPr>
          <w:p w14:paraId="319A63D9">
            <w:pPr>
              <w:spacing w:before="108" w:line="188" w:lineRule="auto"/>
              <w:ind w:left="504"/>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1293</w:t>
            </w:r>
          </w:p>
        </w:tc>
      </w:tr>
      <w:tr w14:paraId="0D7A30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1261" w:type="dxa"/>
            <w:tcBorders>
              <w:left w:val="nil"/>
            </w:tcBorders>
            <w:vAlign w:val="top"/>
          </w:tcPr>
          <w:p w14:paraId="0A24BB55">
            <w:pPr>
              <w:spacing w:before="110" w:line="188" w:lineRule="auto"/>
              <w:ind w:left="5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43</w:t>
            </w:r>
          </w:p>
        </w:tc>
        <w:tc>
          <w:tcPr>
            <w:tcW w:w="2196" w:type="dxa"/>
            <w:vAlign w:val="top"/>
          </w:tcPr>
          <w:p w14:paraId="15E9387B">
            <w:pPr>
              <w:pStyle w:val="6"/>
              <w:spacing w:before="78" w:line="212" w:lineRule="auto"/>
              <w:ind w:left="466"/>
              <w:rPr>
                <w:sz w:val="18"/>
                <w:szCs w:val="18"/>
              </w:rPr>
            </w:pPr>
            <w:r>
              <w:rPr>
                <w:spacing w:val="-4"/>
                <w:sz w:val="18"/>
                <w:szCs w:val="18"/>
              </w:rPr>
              <w:t>二苯并</w:t>
            </w:r>
            <w:r>
              <w:rPr>
                <w:rFonts w:ascii="Times New Roman" w:hAnsi="Times New Roman" w:eastAsia="Times New Roman" w:cs="Times New Roman"/>
                <w:spacing w:val="-4"/>
                <w:sz w:val="18"/>
                <w:szCs w:val="18"/>
              </w:rPr>
              <w:t>[a</w:t>
            </w:r>
            <w:r>
              <w:rPr>
                <w:rFonts w:ascii="Times New Roman" w:hAnsi="Times New Roman" w:eastAsia="Times New Roman" w:cs="Times New Roman"/>
                <w:spacing w:val="-20"/>
                <w:sz w:val="18"/>
                <w:szCs w:val="18"/>
              </w:rPr>
              <w:t xml:space="preserve"> </w:t>
            </w:r>
            <w:r>
              <w:rPr>
                <w:spacing w:val="-4"/>
                <w:sz w:val="18"/>
                <w:szCs w:val="18"/>
              </w:rPr>
              <w:t>，</w:t>
            </w:r>
            <w:r>
              <w:rPr>
                <w:rFonts w:ascii="Times New Roman" w:hAnsi="Times New Roman" w:eastAsia="Times New Roman" w:cs="Times New Roman"/>
                <w:spacing w:val="-4"/>
                <w:sz w:val="18"/>
                <w:szCs w:val="18"/>
              </w:rPr>
              <w:t>h]</w:t>
            </w:r>
            <w:r>
              <w:rPr>
                <w:rFonts w:ascii="Times New Roman" w:hAnsi="Times New Roman" w:eastAsia="Times New Roman" w:cs="Times New Roman"/>
                <w:spacing w:val="5"/>
                <w:sz w:val="18"/>
                <w:szCs w:val="18"/>
              </w:rPr>
              <w:t xml:space="preserve">  </w:t>
            </w:r>
            <w:r>
              <w:rPr>
                <w:spacing w:val="-4"/>
                <w:sz w:val="18"/>
                <w:szCs w:val="18"/>
              </w:rPr>
              <w:t>蒽</w:t>
            </w:r>
          </w:p>
        </w:tc>
        <w:tc>
          <w:tcPr>
            <w:tcW w:w="1643" w:type="dxa"/>
            <w:vAlign w:val="top"/>
          </w:tcPr>
          <w:p w14:paraId="5FA39453">
            <w:pPr>
              <w:pStyle w:val="6"/>
              <w:spacing w:before="79" w:line="219" w:lineRule="auto"/>
              <w:ind w:left="557"/>
              <w:rPr>
                <w:sz w:val="18"/>
                <w:szCs w:val="18"/>
              </w:rPr>
            </w:pPr>
            <w:r>
              <w:rPr>
                <w:spacing w:val="-4"/>
                <w:sz w:val="18"/>
                <w:szCs w:val="18"/>
              </w:rPr>
              <w:t>未检出</w:t>
            </w:r>
          </w:p>
        </w:tc>
        <w:tc>
          <w:tcPr>
            <w:tcW w:w="1279" w:type="dxa"/>
            <w:vAlign w:val="top"/>
          </w:tcPr>
          <w:p w14:paraId="5F81B861">
            <w:pPr>
              <w:pStyle w:val="6"/>
              <w:spacing w:before="79" w:line="219" w:lineRule="auto"/>
              <w:ind w:left="375"/>
              <w:rPr>
                <w:sz w:val="18"/>
                <w:szCs w:val="18"/>
              </w:rPr>
            </w:pPr>
            <w:r>
              <w:rPr>
                <w:spacing w:val="-4"/>
                <w:sz w:val="18"/>
                <w:szCs w:val="18"/>
              </w:rPr>
              <w:t>未检出</w:t>
            </w:r>
          </w:p>
        </w:tc>
        <w:tc>
          <w:tcPr>
            <w:tcW w:w="1304" w:type="dxa"/>
            <w:vAlign w:val="top"/>
          </w:tcPr>
          <w:p w14:paraId="456EF82F">
            <w:pPr>
              <w:pStyle w:val="6"/>
              <w:spacing w:before="79" w:line="219" w:lineRule="auto"/>
              <w:ind w:left="390"/>
              <w:rPr>
                <w:sz w:val="18"/>
                <w:szCs w:val="18"/>
              </w:rPr>
            </w:pPr>
            <w:r>
              <w:rPr>
                <w:spacing w:val="-4"/>
                <w:sz w:val="18"/>
                <w:szCs w:val="18"/>
              </w:rPr>
              <w:t>未检出</w:t>
            </w:r>
          </w:p>
        </w:tc>
        <w:tc>
          <w:tcPr>
            <w:tcW w:w="1279" w:type="dxa"/>
            <w:vAlign w:val="top"/>
          </w:tcPr>
          <w:p w14:paraId="255837B6">
            <w:pPr>
              <w:pStyle w:val="6"/>
              <w:spacing w:before="79" w:line="219" w:lineRule="auto"/>
              <w:ind w:left="375"/>
              <w:rPr>
                <w:sz w:val="18"/>
                <w:szCs w:val="18"/>
              </w:rPr>
            </w:pPr>
            <w:r>
              <w:rPr>
                <w:spacing w:val="-4"/>
                <w:sz w:val="18"/>
                <w:szCs w:val="18"/>
              </w:rPr>
              <w:t>未检出</w:t>
            </w:r>
          </w:p>
        </w:tc>
        <w:tc>
          <w:tcPr>
            <w:tcW w:w="1279" w:type="dxa"/>
            <w:vAlign w:val="top"/>
          </w:tcPr>
          <w:p w14:paraId="679F4D9D">
            <w:pPr>
              <w:pStyle w:val="6"/>
              <w:spacing w:before="79" w:line="219" w:lineRule="auto"/>
              <w:ind w:left="375"/>
              <w:rPr>
                <w:sz w:val="18"/>
                <w:szCs w:val="18"/>
              </w:rPr>
            </w:pPr>
            <w:r>
              <w:rPr>
                <w:spacing w:val="-4"/>
                <w:sz w:val="18"/>
                <w:szCs w:val="18"/>
              </w:rPr>
              <w:t>未检出</w:t>
            </w:r>
          </w:p>
        </w:tc>
        <w:tc>
          <w:tcPr>
            <w:tcW w:w="1123" w:type="dxa"/>
            <w:vAlign w:val="top"/>
          </w:tcPr>
          <w:p w14:paraId="4F2B2359">
            <w:pPr>
              <w:pStyle w:val="6"/>
              <w:spacing w:before="79" w:line="219" w:lineRule="auto"/>
              <w:ind w:left="298"/>
              <w:rPr>
                <w:sz w:val="18"/>
                <w:szCs w:val="18"/>
              </w:rPr>
            </w:pPr>
            <w:r>
              <w:rPr>
                <w:spacing w:val="-4"/>
                <w:sz w:val="18"/>
                <w:szCs w:val="18"/>
              </w:rPr>
              <w:t>未检出</w:t>
            </w:r>
          </w:p>
        </w:tc>
        <w:tc>
          <w:tcPr>
            <w:tcW w:w="1514" w:type="dxa"/>
            <w:vAlign w:val="top"/>
          </w:tcPr>
          <w:p w14:paraId="06403A7D">
            <w:pPr>
              <w:pStyle w:val="6"/>
              <w:spacing w:before="79" w:line="219" w:lineRule="auto"/>
              <w:ind w:left="493"/>
              <w:rPr>
                <w:sz w:val="18"/>
                <w:szCs w:val="18"/>
              </w:rPr>
            </w:pPr>
            <w:r>
              <w:rPr>
                <w:spacing w:val="-4"/>
                <w:sz w:val="18"/>
                <w:szCs w:val="18"/>
              </w:rPr>
              <w:t>未检出</w:t>
            </w:r>
          </w:p>
        </w:tc>
        <w:tc>
          <w:tcPr>
            <w:tcW w:w="1330" w:type="dxa"/>
            <w:tcBorders>
              <w:right w:val="nil"/>
            </w:tcBorders>
            <w:vAlign w:val="top"/>
          </w:tcPr>
          <w:p w14:paraId="607306FB">
            <w:pPr>
              <w:spacing w:before="110" w:line="188" w:lineRule="auto"/>
              <w:ind w:left="57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w:t>
            </w:r>
          </w:p>
        </w:tc>
      </w:tr>
      <w:tr w14:paraId="17515F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1261" w:type="dxa"/>
            <w:tcBorders>
              <w:left w:val="nil"/>
            </w:tcBorders>
            <w:vAlign w:val="top"/>
          </w:tcPr>
          <w:p w14:paraId="6E134211">
            <w:pPr>
              <w:spacing w:before="111" w:line="188" w:lineRule="auto"/>
              <w:ind w:left="5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44</w:t>
            </w:r>
          </w:p>
        </w:tc>
        <w:tc>
          <w:tcPr>
            <w:tcW w:w="2196" w:type="dxa"/>
            <w:vAlign w:val="top"/>
          </w:tcPr>
          <w:p w14:paraId="6C9D88C8">
            <w:pPr>
              <w:pStyle w:val="6"/>
              <w:spacing w:before="80" w:line="212" w:lineRule="auto"/>
              <w:ind w:left="570"/>
              <w:rPr>
                <w:sz w:val="18"/>
                <w:szCs w:val="18"/>
              </w:rPr>
            </w:pPr>
            <w:r>
              <w:rPr>
                <w:spacing w:val="-1"/>
                <w:sz w:val="18"/>
                <w:szCs w:val="18"/>
              </w:rPr>
              <w:t>并</w:t>
            </w:r>
            <w:r>
              <w:rPr>
                <w:rFonts w:ascii="Times New Roman" w:hAnsi="Times New Roman" w:eastAsia="Times New Roman" w:cs="Times New Roman"/>
                <w:spacing w:val="-1"/>
                <w:sz w:val="18"/>
                <w:szCs w:val="18"/>
              </w:rPr>
              <w:t>[1,2,3-cd]</w:t>
            </w:r>
            <w:r>
              <w:rPr>
                <w:spacing w:val="-1"/>
                <w:sz w:val="18"/>
                <w:szCs w:val="18"/>
              </w:rPr>
              <w:t>芘</w:t>
            </w:r>
          </w:p>
        </w:tc>
        <w:tc>
          <w:tcPr>
            <w:tcW w:w="1643" w:type="dxa"/>
            <w:vAlign w:val="top"/>
          </w:tcPr>
          <w:p w14:paraId="23B85248">
            <w:pPr>
              <w:pStyle w:val="6"/>
              <w:spacing w:before="80" w:line="218" w:lineRule="auto"/>
              <w:ind w:left="557"/>
              <w:rPr>
                <w:sz w:val="18"/>
                <w:szCs w:val="18"/>
              </w:rPr>
            </w:pPr>
            <w:r>
              <w:rPr>
                <w:spacing w:val="-4"/>
                <w:sz w:val="18"/>
                <w:szCs w:val="18"/>
              </w:rPr>
              <w:t>未检出</w:t>
            </w:r>
          </w:p>
        </w:tc>
        <w:tc>
          <w:tcPr>
            <w:tcW w:w="1279" w:type="dxa"/>
            <w:vAlign w:val="top"/>
          </w:tcPr>
          <w:p w14:paraId="5945AEF1">
            <w:pPr>
              <w:pStyle w:val="6"/>
              <w:spacing w:before="80" w:line="218" w:lineRule="auto"/>
              <w:ind w:left="375"/>
              <w:rPr>
                <w:sz w:val="18"/>
                <w:szCs w:val="18"/>
              </w:rPr>
            </w:pPr>
            <w:r>
              <w:rPr>
                <w:spacing w:val="-4"/>
                <w:sz w:val="18"/>
                <w:szCs w:val="18"/>
              </w:rPr>
              <w:t>未检出</w:t>
            </w:r>
          </w:p>
        </w:tc>
        <w:tc>
          <w:tcPr>
            <w:tcW w:w="1304" w:type="dxa"/>
            <w:vAlign w:val="top"/>
          </w:tcPr>
          <w:p w14:paraId="448A74F3">
            <w:pPr>
              <w:pStyle w:val="6"/>
              <w:spacing w:before="80" w:line="218" w:lineRule="auto"/>
              <w:ind w:left="390"/>
              <w:rPr>
                <w:sz w:val="18"/>
                <w:szCs w:val="18"/>
              </w:rPr>
            </w:pPr>
            <w:r>
              <w:rPr>
                <w:spacing w:val="-4"/>
                <w:sz w:val="18"/>
                <w:szCs w:val="18"/>
              </w:rPr>
              <w:t>未检出</w:t>
            </w:r>
          </w:p>
        </w:tc>
        <w:tc>
          <w:tcPr>
            <w:tcW w:w="1279" w:type="dxa"/>
            <w:vAlign w:val="top"/>
          </w:tcPr>
          <w:p w14:paraId="5936EB12">
            <w:pPr>
              <w:pStyle w:val="6"/>
              <w:spacing w:before="80" w:line="218" w:lineRule="auto"/>
              <w:ind w:left="375"/>
              <w:rPr>
                <w:sz w:val="18"/>
                <w:szCs w:val="18"/>
              </w:rPr>
            </w:pPr>
            <w:r>
              <w:rPr>
                <w:spacing w:val="-4"/>
                <w:sz w:val="18"/>
                <w:szCs w:val="18"/>
              </w:rPr>
              <w:t>未检出</w:t>
            </w:r>
          </w:p>
        </w:tc>
        <w:tc>
          <w:tcPr>
            <w:tcW w:w="1279" w:type="dxa"/>
            <w:vAlign w:val="top"/>
          </w:tcPr>
          <w:p w14:paraId="5CB0DADA">
            <w:pPr>
              <w:pStyle w:val="6"/>
              <w:spacing w:before="80" w:line="218" w:lineRule="auto"/>
              <w:ind w:left="375"/>
              <w:rPr>
                <w:sz w:val="18"/>
                <w:szCs w:val="18"/>
              </w:rPr>
            </w:pPr>
            <w:r>
              <w:rPr>
                <w:spacing w:val="-4"/>
                <w:sz w:val="18"/>
                <w:szCs w:val="18"/>
              </w:rPr>
              <w:t>未检出</w:t>
            </w:r>
          </w:p>
        </w:tc>
        <w:tc>
          <w:tcPr>
            <w:tcW w:w="1123" w:type="dxa"/>
            <w:vAlign w:val="top"/>
          </w:tcPr>
          <w:p w14:paraId="3A5BD5C9">
            <w:pPr>
              <w:pStyle w:val="6"/>
              <w:spacing w:before="80" w:line="218" w:lineRule="auto"/>
              <w:ind w:left="298"/>
              <w:rPr>
                <w:sz w:val="18"/>
                <w:szCs w:val="18"/>
              </w:rPr>
            </w:pPr>
            <w:r>
              <w:rPr>
                <w:spacing w:val="-4"/>
                <w:sz w:val="18"/>
                <w:szCs w:val="18"/>
              </w:rPr>
              <w:t>未检出</w:t>
            </w:r>
          </w:p>
        </w:tc>
        <w:tc>
          <w:tcPr>
            <w:tcW w:w="1514" w:type="dxa"/>
            <w:vAlign w:val="top"/>
          </w:tcPr>
          <w:p w14:paraId="096CB7AA">
            <w:pPr>
              <w:pStyle w:val="6"/>
              <w:spacing w:before="80" w:line="218" w:lineRule="auto"/>
              <w:ind w:left="493"/>
              <w:rPr>
                <w:sz w:val="18"/>
                <w:szCs w:val="18"/>
              </w:rPr>
            </w:pPr>
            <w:r>
              <w:rPr>
                <w:spacing w:val="-4"/>
                <w:sz w:val="18"/>
                <w:szCs w:val="18"/>
              </w:rPr>
              <w:t>未检出</w:t>
            </w:r>
          </w:p>
        </w:tc>
        <w:tc>
          <w:tcPr>
            <w:tcW w:w="1330" w:type="dxa"/>
            <w:tcBorders>
              <w:right w:val="nil"/>
            </w:tcBorders>
            <w:vAlign w:val="top"/>
          </w:tcPr>
          <w:p w14:paraId="3FB95B45">
            <w:pPr>
              <w:spacing w:before="111" w:line="188" w:lineRule="auto"/>
              <w:ind w:left="593"/>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15</w:t>
            </w:r>
          </w:p>
        </w:tc>
      </w:tr>
      <w:tr w14:paraId="11DB87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1261" w:type="dxa"/>
            <w:tcBorders>
              <w:left w:val="nil"/>
              <w:bottom w:val="single" w:color="000000" w:sz="10" w:space="0"/>
            </w:tcBorders>
            <w:vAlign w:val="top"/>
          </w:tcPr>
          <w:p w14:paraId="3A69D89C">
            <w:pPr>
              <w:spacing w:before="113" w:line="188" w:lineRule="auto"/>
              <w:ind w:left="5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45</w:t>
            </w:r>
          </w:p>
        </w:tc>
        <w:tc>
          <w:tcPr>
            <w:tcW w:w="2196" w:type="dxa"/>
            <w:tcBorders>
              <w:bottom w:val="single" w:color="000000" w:sz="10" w:space="0"/>
            </w:tcBorders>
            <w:vAlign w:val="top"/>
          </w:tcPr>
          <w:p w14:paraId="4B70D42A">
            <w:pPr>
              <w:pStyle w:val="6"/>
              <w:spacing w:before="84" w:line="220" w:lineRule="auto"/>
              <w:ind w:left="1013"/>
              <w:rPr>
                <w:sz w:val="18"/>
                <w:szCs w:val="18"/>
              </w:rPr>
            </w:pPr>
            <w:r>
              <w:rPr>
                <w:sz w:val="18"/>
                <w:szCs w:val="18"/>
              </w:rPr>
              <w:t>萘</w:t>
            </w:r>
          </w:p>
        </w:tc>
        <w:tc>
          <w:tcPr>
            <w:tcW w:w="1643" w:type="dxa"/>
            <w:tcBorders>
              <w:bottom w:val="single" w:color="000000" w:sz="10" w:space="0"/>
            </w:tcBorders>
            <w:vAlign w:val="top"/>
          </w:tcPr>
          <w:p w14:paraId="15656586">
            <w:pPr>
              <w:pStyle w:val="6"/>
              <w:spacing w:before="84" w:line="219" w:lineRule="auto"/>
              <w:ind w:left="557"/>
              <w:rPr>
                <w:sz w:val="18"/>
                <w:szCs w:val="18"/>
              </w:rPr>
            </w:pPr>
            <w:r>
              <w:rPr>
                <w:spacing w:val="-4"/>
                <w:sz w:val="18"/>
                <w:szCs w:val="18"/>
              </w:rPr>
              <w:t>未检出</w:t>
            </w:r>
          </w:p>
        </w:tc>
        <w:tc>
          <w:tcPr>
            <w:tcW w:w="1279" w:type="dxa"/>
            <w:tcBorders>
              <w:bottom w:val="single" w:color="000000" w:sz="10" w:space="0"/>
            </w:tcBorders>
            <w:vAlign w:val="top"/>
          </w:tcPr>
          <w:p w14:paraId="1A9FE8E2">
            <w:pPr>
              <w:pStyle w:val="6"/>
              <w:spacing w:before="84" w:line="219" w:lineRule="auto"/>
              <w:ind w:left="375"/>
              <w:rPr>
                <w:sz w:val="18"/>
                <w:szCs w:val="18"/>
              </w:rPr>
            </w:pPr>
            <w:r>
              <w:rPr>
                <w:spacing w:val="-4"/>
                <w:sz w:val="18"/>
                <w:szCs w:val="18"/>
              </w:rPr>
              <w:t>未检出</w:t>
            </w:r>
          </w:p>
        </w:tc>
        <w:tc>
          <w:tcPr>
            <w:tcW w:w="1304" w:type="dxa"/>
            <w:tcBorders>
              <w:bottom w:val="single" w:color="000000" w:sz="10" w:space="0"/>
            </w:tcBorders>
            <w:vAlign w:val="top"/>
          </w:tcPr>
          <w:p w14:paraId="75319C02">
            <w:pPr>
              <w:pStyle w:val="6"/>
              <w:spacing w:before="84" w:line="219" w:lineRule="auto"/>
              <w:ind w:left="390"/>
              <w:rPr>
                <w:sz w:val="18"/>
                <w:szCs w:val="18"/>
              </w:rPr>
            </w:pPr>
            <w:r>
              <w:rPr>
                <w:spacing w:val="-4"/>
                <w:sz w:val="18"/>
                <w:szCs w:val="18"/>
              </w:rPr>
              <w:t>未检出</w:t>
            </w:r>
          </w:p>
        </w:tc>
        <w:tc>
          <w:tcPr>
            <w:tcW w:w="1279" w:type="dxa"/>
            <w:tcBorders>
              <w:bottom w:val="single" w:color="000000" w:sz="10" w:space="0"/>
            </w:tcBorders>
            <w:vAlign w:val="top"/>
          </w:tcPr>
          <w:p w14:paraId="12C3342C">
            <w:pPr>
              <w:pStyle w:val="6"/>
              <w:spacing w:before="84" w:line="219" w:lineRule="auto"/>
              <w:ind w:left="375"/>
              <w:rPr>
                <w:sz w:val="18"/>
                <w:szCs w:val="18"/>
              </w:rPr>
            </w:pPr>
            <w:r>
              <w:rPr>
                <w:spacing w:val="-4"/>
                <w:sz w:val="18"/>
                <w:szCs w:val="18"/>
              </w:rPr>
              <w:t>未检出</w:t>
            </w:r>
          </w:p>
        </w:tc>
        <w:tc>
          <w:tcPr>
            <w:tcW w:w="1279" w:type="dxa"/>
            <w:tcBorders>
              <w:bottom w:val="single" w:color="000000" w:sz="10" w:space="0"/>
            </w:tcBorders>
            <w:vAlign w:val="top"/>
          </w:tcPr>
          <w:p w14:paraId="3E80AB3F">
            <w:pPr>
              <w:pStyle w:val="6"/>
              <w:spacing w:before="84" w:line="219" w:lineRule="auto"/>
              <w:ind w:left="375"/>
              <w:rPr>
                <w:sz w:val="18"/>
                <w:szCs w:val="18"/>
              </w:rPr>
            </w:pPr>
            <w:r>
              <w:rPr>
                <w:spacing w:val="-4"/>
                <w:sz w:val="18"/>
                <w:szCs w:val="18"/>
              </w:rPr>
              <w:t>未检出</w:t>
            </w:r>
          </w:p>
        </w:tc>
        <w:tc>
          <w:tcPr>
            <w:tcW w:w="1123" w:type="dxa"/>
            <w:tcBorders>
              <w:bottom w:val="single" w:color="000000" w:sz="10" w:space="0"/>
            </w:tcBorders>
            <w:vAlign w:val="top"/>
          </w:tcPr>
          <w:p w14:paraId="1BCABC95">
            <w:pPr>
              <w:pStyle w:val="6"/>
              <w:spacing w:before="84" w:line="219" w:lineRule="auto"/>
              <w:ind w:left="298"/>
              <w:rPr>
                <w:sz w:val="18"/>
                <w:szCs w:val="18"/>
              </w:rPr>
            </w:pPr>
            <w:r>
              <w:rPr>
                <w:spacing w:val="-4"/>
                <w:sz w:val="18"/>
                <w:szCs w:val="18"/>
              </w:rPr>
              <w:t>未检出</w:t>
            </w:r>
          </w:p>
        </w:tc>
        <w:tc>
          <w:tcPr>
            <w:tcW w:w="1514" w:type="dxa"/>
            <w:tcBorders>
              <w:bottom w:val="single" w:color="000000" w:sz="10" w:space="0"/>
            </w:tcBorders>
            <w:vAlign w:val="top"/>
          </w:tcPr>
          <w:p w14:paraId="74AA0905">
            <w:pPr>
              <w:pStyle w:val="6"/>
              <w:spacing w:before="84" w:line="219" w:lineRule="auto"/>
              <w:ind w:left="493"/>
              <w:rPr>
                <w:sz w:val="18"/>
                <w:szCs w:val="18"/>
              </w:rPr>
            </w:pPr>
            <w:r>
              <w:rPr>
                <w:spacing w:val="-4"/>
                <w:sz w:val="18"/>
                <w:szCs w:val="18"/>
              </w:rPr>
              <w:t>未检出</w:t>
            </w:r>
          </w:p>
        </w:tc>
        <w:tc>
          <w:tcPr>
            <w:tcW w:w="1330" w:type="dxa"/>
            <w:tcBorders>
              <w:bottom w:val="single" w:color="000000" w:sz="10" w:space="0"/>
              <w:right w:val="nil"/>
            </w:tcBorders>
            <w:vAlign w:val="top"/>
          </w:tcPr>
          <w:p w14:paraId="114AD8F2">
            <w:pPr>
              <w:spacing w:before="113" w:line="188" w:lineRule="auto"/>
              <w:ind w:left="57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70</w:t>
            </w:r>
          </w:p>
        </w:tc>
      </w:tr>
    </w:tbl>
    <w:p w14:paraId="351C3845">
      <w:pPr>
        <w:pStyle w:val="2"/>
      </w:pPr>
    </w:p>
    <w:p w14:paraId="7155B55E">
      <w:pPr>
        <w:sectPr>
          <w:footerReference r:id="rId241" w:type="default"/>
          <w:pgSz w:w="16839" w:h="11906"/>
          <w:pgMar w:top="1190" w:right="1315" w:bottom="1012" w:left="1313" w:header="882" w:footer="850" w:gutter="0"/>
          <w:cols w:space="720" w:num="1"/>
        </w:sectPr>
      </w:pPr>
    </w:p>
    <w:p w14:paraId="1A17BC32">
      <w:pPr>
        <w:spacing w:line="28" w:lineRule="exact"/>
      </w:pPr>
      <w:r>
        <w:pict>
          <v:shape id="_x0000_s1272" o:spid="_x0000_s1272" style="height:1.45pt;width:453.55pt;" fillcolor="#000000" filled="t" stroked="f" coordsize="9070,29" path="m0,0l9070,0,9070,28,0,28,0,0xe">
            <v:path/>
            <v:fill on="t" focussize="0,0"/>
            <v:stroke on="f"/>
            <v:imagedata o:title=""/>
            <o:lock v:ext="edit"/>
            <w10:wrap type="none"/>
            <w10:anchorlock/>
          </v:shape>
        </w:pict>
      </w:r>
    </w:p>
    <w:p w14:paraId="2F861F15">
      <w:pPr>
        <w:spacing w:before="241" w:line="222" w:lineRule="auto"/>
        <w:ind w:left="12"/>
        <w:outlineLvl w:val="2"/>
        <w:rPr>
          <w:rFonts w:ascii="黑体" w:hAnsi="黑体" w:eastAsia="黑体" w:cs="黑体"/>
          <w:sz w:val="30"/>
          <w:szCs w:val="30"/>
        </w:rPr>
      </w:pPr>
      <w:bookmarkStart w:id="355" w:name="bookmark178"/>
      <w:bookmarkEnd w:id="355"/>
      <w:r>
        <w:rPr>
          <w:rFonts w:ascii="Times New Roman" w:hAnsi="Times New Roman" w:eastAsia="Times New Roman" w:cs="Times New Roman"/>
          <w:spacing w:val="-1"/>
          <w:sz w:val="30"/>
          <w:szCs w:val="30"/>
        </w:rPr>
        <w:t xml:space="preserve">3.3.4 </w:t>
      </w:r>
      <w:r>
        <w:rPr>
          <w:rFonts w:ascii="黑体" w:hAnsi="黑体" w:eastAsia="黑体" w:cs="黑体"/>
          <w:spacing w:val="-1"/>
          <w:sz w:val="30"/>
          <w:szCs w:val="30"/>
        </w:rPr>
        <w:t>声环境质量现状监测与评价</w:t>
      </w:r>
    </w:p>
    <w:p w14:paraId="24541DAB">
      <w:pPr>
        <w:spacing w:before="215" w:line="344" w:lineRule="auto"/>
        <w:ind w:left="9" w:firstLine="482"/>
        <w:rPr>
          <w:rFonts w:ascii="宋体" w:hAnsi="宋体" w:eastAsia="宋体" w:cs="宋体"/>
          <w:sz w:val="24"/>
          <w:szCs w:val="24"/>
        </w:rPr>
      </w:pPr>
      <w:r>
        <w:rPr>
          <w:rFonts w:ascii="宋体" w:hAnsi="宋体" w:eastAsia="宋体" w:cs="宋体"/>
          <w:spacing w:val="-2"/>
          <w:sz w:val="24"/>
          <w:szCs w:val="24"/>
        </w:rPr>
        <w:t>为了解本项目周围声环境质量现状，并为环境影响评价提供基础资料和数据，特委</w:t>
      </w:r>
      <w:r>
        <w:rPr>
          <w:rFonts w:ascii="宋体" w:hAnsi="宋体" w:eastAsia="宋体" w:cs="宋体"/>
          <w:spacing w:val="8"/>
          <w:sz w:val="24"/>
          <w:szCs w:val="24"/>
        </w:rPr>
        <w:t xml:space="preserve"> </w:t>
      </w:r>
      <w:r>
        <w:rPr>
          <w:rFonts w:ascii="宋体" w:hAnsi="宋体" w:eastAsia="宋体" w:cs="宋体"/>
          <w:spacing w:val="-1"/>
          <w:sz w:val="24"/>
          <w:szCs w:val="24"/>
        </w:rPr>
        <w:t>托内蒙古同创环境检测有限公司对评价区声环境进行了现状监测。</w:t>
      </w:r>
    </w:p>
    <w:p w14:paraId="52E75B48">
      <w:pPr>
        <w:spacing w:before="38" w:line="220"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）监测项目</w:t>
      </w:r>
    </w:p>
    <w:p w14:paraId="53279E48">
      <w:pPr>
        <w:spacing w:before="179" w:line="212" w:lineRule="auto"/>
        <w:ind w:left="488"/>
        <w:rPr>
          <w:rFonts w:ascii="宋体" w:hAnsi="宋体" w:eastAsia="宋体" w:cs="宋体"/>
          <w:sz w:val="24"/>
          <w:szCs w:val="24"/>
        </w:rPr>
      </w:pPr>
      <w:r>
        <w:rPr>
          <w:rFonts w:ascii="宋体" w:hAnsi="宋体" w:eastAsia="宋体" w:cs="宋体"/>
          <w:spacing w:val="-2"/>
          <w:sz w:val="24"/>
          <w:szCs w:val="24"/>
        </w:rPr>
        <w:t>昼间、夜间等效连续</w:t>
      </w:r>
      <w:r>
        <w:rPr>
          <w:rFonts w:ascii="宋体" w:hAnsi="宋体" w:eastAsia="宋体" w:cs="宋体"/>
          <w:spacing w:val="-57"/>
          <w:sz w:val="24"/>
          <w:szCs w:val="24"/>
        </w:rPr>
        <w:t xml:space="preserve"> </w:t>
      </w:r>
      <w:r>
        <w:rPr>
          <w:rFonts w:ascii="Times New Roman" w:hAnsi="Times New Roman" w:eastAsia="Times New Roman" w:cs="Times New Roman"/>
          <w:spacing w:val="-2"/>
          <w:sz w:val="24"/>
          <w:szCs w:val="24"/>
        </w:rPr>
        <w:t xml:space="preserve">A </w:t>
      </w:r>
      <w:r>
        <w:rPr>
          <w:rFonts w:ascii="宋体" w:hAnsi="宋体" w:eastAsia="宋体" w:cs="宋体"/>
          <w:spacing w:val="-2"/>
          <w:sz w:val="24"/>
          <w:szCs w:val="24"/>
        </w:rPr>
        <w:t>声级（</w:t>
      </w:r>
      <w:r>
        <w:rPr>
          <w:rFonts w:ascii="Times New Roman" w:hAnsi="Times New Roman" w:eastAsia="Times New Roman" w:cs="Times New Roman"/>
          <w:spacing w:val="-2"/>
          <w:sz w:val="24"/>
          <w:szCs w:val="24"/>
        </w:rPr>
        <w:t>Leq</w:t>
      </w:r>
      <w:r>
        <w:rPr>
          <w:rFonts w:ascii="宋体" w:hAnsi="宋体" w:eastAsia="宋体" w:cs="宋体"/>
          <w:spacing w:val="14"/>
          <w:sz w:val="24"/>
          <w:szCs w:val="24"/>
        </w:rPr>
        <w:t>），</w:t>
      </w:r>
      <w:r>
        <w:rPr>
          <w:rFonts w:ascii="宋体" w:hAnsi="宋体" w:eastAsia="宋体" w:cs="宋体"/>
          <w:spacing w:val="-2"/>
          <w:sz w:val="24"/>
          <w:szCs w:val="24"/>
        </w:rPr>
        <w:t>单位</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dB</w:t>
      </w:r>
      <w:r>
        <w:rPr>
          <w:rFonts w:ascii="宋体" w:hAnsi="宋体" w:eastAsia="宋体" w:cs="宋体"/>
          <w:spacing w:val="-2"/>
          <w:sz w:val="24"/>
          <w:szCs w:val="24"/>
        </w:rPr>
        <w:t>（</w:t>
      </w:r>
      <w:r>
        <w:rPr>
          <w:rFonts w:ascii="Times New Roman" w:hAnsi="Times New Roman" w:eastAsia="Times New Roman" w:cs="Times New Roman"/>
          <w:spacing w:val="-2"/>
          <w:sz w:val="24"/>
          <w:szCs w:val="24"/>
        </w:rPr>
        <w:t>A</w:t>
      </w:r>
      <w:r>
        <w:rPr>
          <w:rFonts w:ascii="宋体" w:hAnsi="宋体" w:eastAsia="宋体" w:cs="宋体"/>
          <w:spacing w:val="-2"/>
          <w:sz w:val="24"/>
          <w:szCs w:val="24"/>
        </w:rPr>
        <w:t>）。</w:t>
      </w:r>
    </w:p>
    <w:p w14:paraId="35A1296D">
      <w:pPr>
        <w:spacing w:before="193"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）监测时间及频率</w:t>
      </w:r>
    </w:p>
    <w:p w14:paraId="071E1215">
      <w:pPr>
        <w:spacing w:before="181" w:line="219" w:lineRule="auto"/>
        <w:ind w:left="488"/>
        <w:rPr>
          <w:rFonts w:ascii="宋体" w:hAnsi="宋体" w:eastAsia="宋体" w:cs="宋体"/>
          <w:sz w:val="24"/>
          <w:szCs w:val="24"/>
        </w:rPr>
      </w:pPr>
      <w:r>
        <w:rPr>
          <w:rFonts w:ascii="宋体" w:hAnsi="宋体" w:eastAsia="宋体" w:cs="宋体"/>
          <w:spacing w:val="-1"/>
          <w:sz w:val="24"/>
          <w:szCs w:val="24"/>
        </w:rPr>
        <w:t>昼间、夜间各测一次，连续监测</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 xml:space="preserve">2 </w:t>
      </w:r>
      <w:r>
        <w:rPr>
          <w:rFonts w:ascii="宋体" w:hAnsi="宋体" w:eastAsia="宋体" w:cs="宋体"/>
          <w:spacing w:val="-1"/>
          <w:sz w:val="24"/>
          <w:szCs w:val="24"/>
        </w:rPr>
        <w:t>天。</w:t>
      </w:r>
    </w:p>
    <w:p w14:paraId="21EAEEAE">
      <w:pPr>
        <w:spacing w:before="182"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）监测依据</w:t>
      </w:r>
    </w:p>
    <w:p w14:paraId="216CA272">
      <w:pPr>
        <w:spacing w:before="182" w:line="219" w:lineRule="auto"/>
        <w:ind w:left="489"/>
        <w:rPr>
          <w:rFonts w:ascii="宋体" w:hAnsi="宋体" w:eastAsia="宋体" w:cs="宋体"/>
          <w:sz w:val="24"/>
          <w:szCs w:val="24"/>
        </w:rPr>
      </w:pPr>
      <w:r>
        <w:rPr>
          <w:rFonts w:ascii="宋体" w:hAnsi="宋体" w:eastAsia="宋体" w:cs="宋体"/>
          <w:spacing w:val="-1"/>
          <w:sz w:val="24"/>
          <w:szCs w:val="24"/>
        </w:rPr>
        <w:t>执行《声环境质量标准》（</w:t>
      </w:r>
      <w:r>
        <w:rPr>
          <w:rFonts w:ascii="Times New Roman" w:hAnsi="Times New Roman" w:eastAsia="Times New Roman" w:cs="Times New Roman"/>
          <w:spacing w:val="-1"/>
          <w:sz w:val="24"/>
          <w:szCs w:val="24"/>
        </w:rPr>
        <w:t>GB3096-2008</w:t>
      </w:r>
      <w:r>
        <w:rPr>
          <w:rFonts w:ascii="宋体" w:hAnsi="宋体" w:eastAsia="宋体" w:cs="宋体"/>
          <w:spacing w:val="-1"/>
          <w:sz w:val="24"/>
          <w:szCs w:val="24"/>
        </w:rPr>
        <w:t>）中</w:t>
      </w:r>
      <w:r>
        <w:rPr>
          <w:rFonts w:ascii="宋体" w:hAnsi="宋体" w:eastAsia="宋体" w:cs="宋体"/>
          <w:spacing w:val="-38"/>
          <w:sz w:val="24"/>
          <w:szCs w:val="24"/>
        </w:rPr>
        <w:t xml:space="preserve"> </w:t>
      </w:r>
      <w:r>
        <w:rPr>
          <w:rFonts w:ascii="Times New Roman" w:hAnsi="Times New Roman" w:eastAsia="Times New Roman" w:cs="Times New Roman"/>
          <w:spacing w:val="-1"/>
          <w:sz w:val="24"/>
          <w:szCs w:val="24"/>
        </w:rPr>
        <w:t xml:space="preserve">3 </w:t>
      </w:r>
      <w:r>
        <w:rPr>
          <w:rFonts w:ascii="宋体" w:hAnsi="宋体" w:eastAsia="宋体" w:cs="宋体"/>
          <w:spacing w:val="-1"/>
          <w:sz w:val="24"/>
          <w:szCs w:val="24"/>
        </w:rPr>
        <w:t>类标准要求。</w:t>
      </w:r>
    </w:p>
    <w:p w14:paraId="75AEF664">
      <w:pPr>
        <w:spacing w:before="182"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）监测点布置</w:t>
      </w:r>
    </w:p>
    <w:p w14:paraId="10832E71">
      <w:pPr>
        <w:spacing w:before="184" w:line="219" w:lineRule="auto"/>
        <w:ind w:left="492"/>
        <w:rPr>
          <w:rFonts w:ascii="宋体" w:hAnsi="宋体" w:eastAsia="宋体" w:cs="宋体"/>
          <w:sz w:val="24"/>
          <w:szCs w:val="24"/>
        </w:rPr>
      </w:pPr>
      <w:r>
        <w:rPr>
          <w:rFonts w:ascii="宋体" w:hAnsi="宋体" w:eastAsia="宋体" w:cs="宋体"/>
          <w:spacing w:val="-2"/>
          <w:sz w:val="24"/>
          <w:szCs w:val="24"/>
        </w:rPr>
        <w:t>分别在厂区东、南、西、北侧外</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 xml:space="preserve">1m </w:t>
      </w:r>
      <w:r>
        <w:rPr>
          <w:rFonts w:ascii="宋体" w:hAnsi="宋体" w:eastAsia="宋体" w:cs="宋体"/>
          <w:spacing w:val="-2"/>
          <w:sz w:val="24"/>
          <w:szCs w:val="24"/>
        </w:rPr>
        <w:t>处设</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2"/>
          <w:sz w:val="24"/>
          <w:szCs w:val="24"/>
        </w:rPr>
        <w:t>个监测点，监测点布置见图</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3.3-</w:t>
      </w:r>
      <w:r>
        <w:rPr>
          <w:rFonts w:ascii="Times New Roman" w:hAnsi="Times New Roman" w:eastAsia="Times New Roman" w:cs="Times New Roman"/>
          <w:spacing w:val="-3"/>
          <w:sz w:val="24"/>
          <w:szCs w:val="24"/>
        </w:rPr>
        <w:t>4</w:t>
      </w:r>
      <w:r>
        <w:rPr>
          <w:rFonts w:ascii="宋体" w:hAnsi="宋体" w:eastAsia="宋体" w:cs="宋体"/>
          <w:spacing w:val="-3"/>
          <w:sz w:val="24"/>
          <w:szCs w:val="24"/>
        </w:rPr>
        <w:t>。</w:t>
      </w:r>
    </w:p>
    <w:p w14:paraId="4C23A3B3">
      <w:pPr>
        <w:spacing w:before="146" w:line="6413" w:lineRule="exact"/>
      </w:pPr>
      <w:r>
        <w:rPr>
          <w:position w:val="-128"/>
        </w:rPr>
        <w:drawing>
          <wp:inline distT="0" distB="0" distL="0" distR="0">
            <wp:extent cx="5758815" cy="4071620"/>
            <wp:effectExtent l="0" t="0" r="0" b="0"/>
            <wp:docPr id="60" name="IM 60"/>
            <wp:cNvGraphicFramePr/>
            <a:graphic xmlns:a="http://schemas.openxmlformats.org/drawingml/2006/main">
              <a:graphicData uri="http://schemas.openxmlformats.org/drawingml/2006/picture">
                <pic:pic xmlns:pic="http://schemas.openxmlformats.org/drawingml/2006/picture">
                  <pic:nvPicPr>
                    <pic:cNvPr id="60" name="IM 60"/>
                    <pic:cNvPicPr/>
                  </pic:nvPicPr>
                  <pic:blipFill>
                    <a:blip r:embed="rId608"/>
                    <a:stretch>
                      <a:fillRect/>
                    </a:stretch>
                  </pic:blipFill>
                  <pic:spPr>
                    <a:xfrm>
                      <a:off x="0" y="0"/>
                      <a:ext cx="5759195" cy="4072128"/>
                    </a:xfrm>
                    <a:prstGeom prst="rect">
                      <a:avLst/>
                    </a:prstGeom>
                  </pic:spPr>
                </pic:pic>
              </a:graphicData>
            </a:graphic>
          </wp:inline>
        </w:drawing>
      </w:r>
    </w:p>
    <w:p w14:paraId="7C8DE55E">
      <w:pPr>
        <w:spacing w:before="30" w:line="227" w:lineRule="auto"/>
        <w:ind w:left="2976"/>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33"/>
          <w:sz w:val="20"/>
          <w:szCs w:val="20"/>
        </w:rPr>
        <w:t xml:space="preserve"> </w:t>
      </w:r>
      <w:r>
        <w:rPr>
          <w:rFonts w:ascii="Times New Roman" w:hAnsi="Times New Roman" w:eastAsia="Times New Roman" w:cs="Times New Roman"/>
          <w:b/>
          <w:bCs/>
          <w:spacing w:val="4"/>
          <w:sz w:val="20"/>
          <w:szCs w:val="20"/>
        </w:rPr>
        <w:t xml:space="preserve">3.3.4-1    </w:t>
      </w:r>
      <w:r>
        <w:rPr>
          <w:rFonts w:ascii="宋体" w:hAnsi="宋体" w:eastAsia="宋体" w:cs="宋体"/>
          <w:b/>
          <w:bCs/>
          <w:spacing w:val="4"/>
          <w:sz w:val="20"/>
          <w:szCs w:val="20"/>
        </w:rPr>
        <w:t>声环境质量检测布点图</w:t>
      </w:r>
    </w:p>
    <w:p w14:paraId="79E0C6F0">
      <w:pPr>
        <w:spacing w:before="167" w:line="220"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）监测结果</w:t>
      </w:r>
    </w:p>
    <w:p w14:paraId="12DE3E2C">
      <w:pPr>
        <w:spacing w:before="180" w:line="219" w:lineRule="auto"/>
        <w:ind w:left="501"/>
        <w:rPr>
          <w:rFonts w:ascii="宋体" w:hAnsi="宋体" w:eastAsia="宋体" w:cs="宋体"/>
          <w:sz w:val="24"/>
          <w:szCs w:val="24"/>
        </w:rPr>
      </w:pPr>
      <w:r>
        <w:rPr>
          <w:rFonts w:ascii="宋体" w:hAnsi="宋体" w:eastAsia="宋体" w:cs="宋体"/>
          <w:spacing w:val="-3"/>
          <w:sz w:val="24"/>
          <w:szCs w:val="24"/>
        </w:rPr>
        <w:t>噪声监测结果见表</w:t>
      </w:r>
      <w:r>
        <w:rPr>
          <w:rFonts w:ascii="宋体" w:hAnsi="宋体" w:eastAsia="宋体" w:cs="宋体"/>
          <w:spacing w:val="-47"/>
          <w:sz w:val="24"/>
          <w:szCs w:val="24"/>
        </w:rPr>
        <w:t xml:space="preserve"> </w:t>
      </w:r>
      <w:r>
        <w:rPr>
          <w:rFonts w:ascii="Times New Roman" w:hAnsi="Times New Roman" w:eastAsia="Times New Roman" w:cs="Times New Roman"/>
          <w:spacing w:val="-3"/>
          <w:sz w:val="24"/>
          <w:szCs w:val="24"/>
        </w:rPr>
        <w:t>3.3-11</w:t>
      </w:r>
      <w:r>
        <w:rPr>
          <w:rFonts w:ascii="宋体" w:hAnsi="宋体" w:eastAsia="宋体" w:cs="宋体"/>
          <w:spacing w:val="-3"/>
          <w:sz w:val="24"/>
          <w:szCs w:val="24"/>
        </w:rPr>
        <w:t>。</w:t>
      </w:r>
    </w:p>
    <w:p w14:paraId="387EC9B5">
      <w:pPr>
        <w:spacing w:line="219" w:lineRule="auto"/>
        <w:rPr>
          <w:rFonts w:ascii="宋体" w:hAnsi="宋体" w:eastAsia="宋体" w:cs="宋体"/>
          <w:sz w:val="24"/>
          <w:szCs w:val="24"/>
        </w:rPr>
        <w:sectPr>
          <w:headerReference r:id="rId242" w:type="default"/>
          <w:footerReference r:id="rId243" w:type="default"/>
          <w:pgSz w:w="11906" w:h="16839"/>
          <w:pgMar w:top="1190" w:right="1417" w:bottom="1012" w:left="1418" w:header="882" w:footer="850" w:gutter="0"/>
          <w:cols w:space="720" w:num="1"/>
        </w:sectPr>
      </w:pPr>
    </w:p>
    <w:p w14:paraId="42C207D6">
      <w:pPr>
        <w:spacing w:line="28" w:lineRule="exact"/>
        <w:ind w:firstLine="105"/>
      </w:pPr>
      <w:r>
        <w:pict>
          <v:shape id="_x0000_s1273" o:spid="_x0000_s1273" style="height:1.45pt;width:453.55pt;" fillcolor="#000000" filled="t" stroked="f" coordsize="9070,29" path="m0,0l9070,0,9070,28,0,28,0,0xe">
            <v:path/>
            <v:fill on="t" focussize="0,0"/>
            <v:stroke on="f"/>
            <v:imagedata o:title=""/>
            <o:lock v:ext="edit"/>
            <w10:wrap type="none"/>
            <w10:anchorlock/>
          </v:shape>
        </w:pict>
      </w:r>
    </w:p>
    <w:p w14:paraId="4A5C5AF7">
      <w:pPr>
        <w:spacing w:before="228" w:line="221" w:lineRule="auto"/>
        <w:ind w:left="2073"/>
        <w:rPr>
          <w:rFonts w:ascii="Times New Roman" w:hAnsi="Times New Roman" w:eastAsia="Times New Roman" w:cs="Times New Roman"/>
          <w:sz w:val="20"/>
          <w:szCs w:val="20"/>
        </w:rPr>
      </w:pPr>
      <w:r>
        <w:rPr>
          <w:rFonts w:ascii="宋体" w:hAnsi="宋体" w:eastAsia="宋体" w:cs="宋体"/>
          <w:b/>
          <w:bCs/>
          <w:spacing w:val="6"/>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6"/>
          <w:sz w:val="20"/>
          <w:szCs w:val="20"/>
        </w:rPr>
        <w:t xml:space="preserve">3.3-11        </w:t>
      </w:r>
      <w:r>
        <w:rPr>
          <w:rFonts w:ascii="宋体" w:hAnsi="宋体" w:eastAsia="宋体" w:cs="宋体"/>
          <w:b/>
          <w:bCs/>
          <w:spacing w:val="6"/>
          <w:sz w:val="20"/>
          <w:szCs w:val="20"/>
        </w:rPr>
        <w:t>声环境质量监测结果一览表</w:t>
      </w:r>
      <w:r>
        <w:rPr>
          <w:rFonts w:ascii="宋体" w:hAnsi="宋体" w:eastAsia="宋体" w:cs="宋体"/>
          <w:spacing w:val="6"/>
          <w:sz w:val="20"/>
          <w:szCs w:val="20"/>
        </w:rPr>
        <w:t xml:space="preserve">  </w:t>
      </w:r>
      <w:r>
        <w:rPr>
          <w:rFonts w:ascii="宋体" w:hAnsi="宋体" w:eastAsia="宋体" w:cs="宋体"/>
          <w:b/>
          <w:bCs/>
          <w:spacing w:val="6"/>
          <w:sz w:val="20"/>
          <w:szCs w:val="20"/>
        </w:rPr>
        <w:t>单位</w:t>
      </w:r>
      <w:r>
        <w:rPr>
          <w:rFonts w:ascii="宋体" w:hAnsi="宋体" w:eastAsia="宋体" w:cs="宋体"/>
          <w:b/>
          <w:bCs/>
          <w:spacing w:val="5"/>
          <w:sz w:val="20"/>
          <w:szCs w:val="20"/>
        </w:rPr>
        <w:t>：</w:t>
      </w:r>
      <w:r>
        <w:rPr>
          <w:rFonts w:ascii="Times New Roman" w:hAnsi="Times New Roman" w:eastAsia="Times New Roman" w:cs="Times New Roman"/>
          <w:b/>
          <w:bCs/>
          <w:sz w:val="20"/>
          <w:szCs w:val="20"/>
        </w:rPr>
        <w:t>dB</w:t>
      </w:r>
      <w:r>
        <w:rPr>
          <w:rFonts w:ascii="Times New Roman" w:hAnsi="Times New Roman" w:eastAsia="Times New Roman" w:cs="Times New Roman"/>
          <w:b/>
          <w:bCs/>
          <w:spacing w:val="5"/>
          <w:sz w:val="20"/>
          <w:szCs w:val="20"/>
        </w:rPr>
        <w:t>(A)</w:t>
      </w:r>
    </w:p>
    <w:p w14:paraId="418169F3">
      <w:pPr>
        <w:spacing w:line="138" w:lineRule="exact"/>
      </w:pPr>
    </w:p>
    <w:tbl>
      <w:tblPr>
        <w:tblStyle w:val="5"/>
        <w:tblW w:w="927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61"/>
        <w:gridCol w:w="2392"/>
        <w:gridCol w:w="1450"/>
        <w:gridCol w:w="1365"/>
        <w:gridCol w:w="1324"/>
        <w:gridCol w:w="1286"/>
      </w:tblGrid>
      <w:tr w14:paraId="7D0570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461" w:type="dxa"/>
            <w:vMerge w:val="restart"/>
            <w:tcBorders>
              <w:top w:val="single" w:color="000000" w:sz="10" w:space="0"/>
              <w:left w:val="nil"/>
              <w:bottom w:val="nil"/>
            </w:tcBorders>
            <w:vAlign w:val="top"/>
          </w:tcPr>
          <w:p w14:paraId="5221323A">
            <w:pPr>
              <w:pStyle w:val="6"/>
              <w:spacing w:before="240" w:line="228" w:lineRule="auto"/>
              <w:ind w:left="318"/>
              <w:rPr>
                <w:sz w:val="20"/>
                <w:szCs w:val="20"/>
              </w:rPr>
            </w:pPr>
            <w:r>
              <w:rPr>
                <w:spacing w:val="7"/>
                <w:sz w:val="20"/>
                <w:szCs w:val="20"/>
              </w:rPr>
              <w:t>测点编号</w:t>
            </w:r>
          </w:p>
        </w:tc>
        <w:tc>
          <w:tcPr>
            <w:tcW w:w="2392" w:type="dxa"/>
            <w:vMerge w:val="restart"/>
            <w:tcBorders>
              <w:top w:val="single" w:color="000000" w:sz="10" w:space="0"/>
              <w:bottom w:val="nil"/>
            </w:tcBorders>
            <w:vAlign w:val="top"/>
          </w:tcPr>
          <w:p w14:paraId="518A9EA3">
            <w:pPr>
              <w:pStyle w:val="6"/>
              <w:spacing w:before="240" w:line="228" w:lineRule="auto"/>
              <w:ind w:left="361"/>
              <w:rPr>
                <w:sz w:val="20"/>
                <w:szCs w:val="20"/>
              </w:rPr>
            </w:pPr>
            <w:r>
              <w:rPr>
                <w:spacing w:val="7"/>
                <w:sz w:val="20"/>
                <w:szCs w:val="20"/>
              </w:rPr>
              <w:t>检测点位（坐标）</w:t>
            </w:r>
          </w:p>
        </w:tc>
        <w:tc>
          <w:tcPr>
            <w:tcW w:w="2815" w:type="dxa"/>
            <w:gridSpan w:val="2"/>
            <w:tcBorders>
              <w:top w:val="single" w:color="000000" w:sz="10" w:space="0"/>
            </w:tcBorders>
            <w:vAlign w:val="top"/>
          </w:tcPr>
          <w:p w14:paraId="32156663">
            <w:pPr>
              <w:spacing w:before="101" w:line="195" w:lineRule="auto"/>
              <w:ind w:left="9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2023.04.08</w:t>
            </w:r>
          </w:p>
        </w:tc>
        <w:tc>
          <w:tcPr>
            <w:tcW w:w="2610" w:type="dxa"/>
            <w:gridSpan w:val="2"/>
            <w:tcBorders>
              <w:top w:val="single" w:color="000000" w:sz="10" w:space="0"/>
              <w:right w:val="nil"/>
            </w:tcBorders>
            <w:vAlign w:val="top"/>
          </w:tcPr>
          <w:p w14:paraId="78720958">
            <w:pPr>
              <w:pStyle w:val="6"/>
              <w:spacing w:before="65" w:line="228" w:lineRule="auto"/>
              <w:ind w:left="996"/>
              <w:rPr>
                <w:sz w:val="20"/>
                <w:szCs w:val="20"/>
              </w:rPr>
            </w:pPr>
            <w:r>
              <w:rPr>
                <w:spacing w:val="6"/>
                <w:sz w:val="20"/>
                <w:szCs w:val="20"/>
              </w:rPr>
              <w:t>标准值</w:t>
            </w:r>
          </w:p>
        </w:tc>
      </w:tr>
      <w:tr w14:paraId="754660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1461" w:type="dxa"/>
            <w:vMerge w:val="continue"/>
            <w:tcBorders>
              <w:top w:val="nil"/>
              <w:left w:val="nil"/>
            </w:tcBorders>
            <w:vAlign w:val="top"/>
          </w:tcPr>
          <w:p w14:paraId="243ABBEF">
            <w:pPr>
              <w:rPr>
                <w:rFonts w:ascii="Arial"/>
                <w:sz w:val="21"/>
              </w:rPr>
            </w:pPr>
          </w:p>
        </w:tc>
        <w:tc>
          <w:tcPr>
            <w:tcW w:w="2392" w:type="dxa"/>
            <w:vMerge w:val="continue"/>
            <w:tcBorders>
              <w:top w:val="nil"/>
            </w:tcBorders>
            <w:vAlign w:val="top"/>
          </w:tcPr>
          <w:p w14:paraId="488E218E">
            <w:pPr>
              <w:rPr>
                <w:rFonts w:ascii="Arial"/>
                <w:sz w:val="21"/>
              </w:rPr>
            </w:pPr>
          </w:p>
        </w:tc>
        <w:tc>
          <w:tcPr>
            <w:tcW w:w="1450" w:type="dxa"/>
            <w:vAlign w:val="top"/>
          </w:tcPr>
          <w:p w14:paraId="049D19D9">
            <w:pPr>
              <w:pStyle w:val="6"/>
              <w:spacing w:before="65" w:line="231" w:lineRule="auto"/>
              <w:ind w:left="519"/>
              <w:rPr>
                <w:sz w:val="20"/>
                <w:szCs w:val="20"/>
              </w:rPr>
            </w:pPr>
            <w:r>
              <w:rPr>
                <w:spacing w:val="5"/>
                <w:sz w:val="20"/>
                <w:szCs w:val="20"/>
              </w:rPr>
              <w:t>昼间</w:t>
            </w:r>
          </w:p>
        </w:tc>
        <w:tc>
          <w:tcPr>
            <w:tcW w:w="1365" w:type="dxa"/>
            <w:vAlign w:val="top"/>
          </w:tcPr>
          <w:p w14:paraId="543A445C">
            <w:pPr>
              <w:pStyle w:val="6"/>
              <w:spacing w:before="65" w:line="228" w:lineRule="auto"/>
              <w:ind w:left="480"/>
              <w:rPr>
                <w:sz w:val="20"/>
                <w:szCs w:val="20"/>
              </w:rPr>
            </w:pPr>
            <w:r>
              <w:rPr>
                <w:spacing w:val="3"/>
                <w:sz w:val="20"/>
                <w:szCs w:val="20"/>
              </w:rPr>
              <w:t>夜间</w:t>
            </w:r>
          </w:p>
        </w:tc>
        <w:tc>
          <w:tcPr>
            <w:tcW w:w="1324" w:type="dxa"/>
            <w:vAlign w:val="top"/>
          </w:tcPr>
          <w:p w14:paraId="03010260">
            <w:pPr>
              <w:pStyle w:val="6"/>
              <w:spacing w:before="65" w:line="231" w:lineRule="auto"/>
              <w:ind w:left="457"/>
              <w:rPr>
                <w:sz w:val="20"/>
                <w:szCs w:val="20"/>
              </w:rPr>
            </w:pPr>
            <w:r>
              <w:rPr>
                <w:spacing w:val="5"/>
                <w:sz w:val="20"/>
                <w:szCs w:val="20"/>
              </w:rPr>
              <w:t>昼间</w:t>
            </w:r>
          </w:p>
        </w:tc>
        <w:tc>
          <w:tcPr>
            <w:tcW w:w="1286" w:type="dxa"/>
            <w:tcBorders>
              <w:right w:val="nil"/>
            </w:tcBorders>
            <w:vAlign w:val="top"/>
          </w:tcPr>
          <w:p w14:paraId="45E7198F">
            <w:pPr>
              <w:pStyle w:val="6"/>
              <w:spacing w:before="65" w:line="228" w:lineRule="auto"/>
              <w:ind w:left="440"/>
              <w:rPr>
                <w:sz w:val="20"/>
                <w:szCs w:val="20"/>
              </w:rPr>
            </w:pPr>
            <w:r>
              <w:rPr>
                <w:spacing w:val="3"/>
                <w:sz w:val="20"/>
                <w:szCs w:val="20"/>
              </w:rPr>
              <w:t>夜间</w:t>
            </w:r>
          </w:p>
        </w:tc>
      </w:tr>
      <w:tr w14:paraId="4FE3AE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1461" w:type="dxa"/>
            <w:tcBorders>
              <w:left w:val="nil"/>
            </w:tcBorders>
            <w:vAlign w:val="top"/>
          </w:tcPr>
          <w:p w14:paraId="11573430">
            <w:pPr>
              <w:spacing w:before="106" w:line="195" w:lineRule="auto"/>
              <w:ind w:left="64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w:t>
            </w:r>
          </w:p>
        </w:tc>
        <w:tc>
          <w:tcPr>
            <w:tcW w:w="2392" w:type="dxa"/>
            <w:vAlign w:val="top"/>
          </w:tcPr>
          <w:p w14:paraId="19DE64E3">
            <w:pPr>
              <w:pStyle w:val="6"/>
              <w:spacing w:before="72" w:line="228" w:lineRule="auto"/>
              <w:ind w:left="579"/>
              <w:rPr>
                <w:sz w:val="20"/>
                <w:szCs w:val="20"/>
              </w:rPr>
            </w:pPr>
            <w:r>
              <w:rPr>
                <w:sz w:val="20"/>
                <w:szCs w:val="20"/>
              </w:rPr>
              <w:t>东侧外</w:t>
            </w:r>
            <w:r>
              <w:rPr>
                <w:spacing w:val="-21"/>
                <w:sz w:val="20"/>
                <w:szCs w:val="20"/>
              </w:rPr>
              <w:t xml:space="preserve"> </w:t>
            </w:r>
            <w:r>
              <w:rPr>
                <w:rFonts w:ascii="Times New Roman" w:hAnsi="Times New Roman" w:eastAsia="Times New Roman" w:cs="Times New Roman"/>
                <w:sz w:val="20"/>
                <w:szCs w:val="20"/>
              </w:rPr>
              <w:t>1</w:t>
            </w:r>
            <w:r>
              <w:rPr>
                <w:rFonts w:ascii="Times New Roman" w:hAnsi="Times New Roman" w:eastAsia="Times New Roman" w:cs="Times New Roman"/>
                <w:spacing w:val="12"/>
                <w:sz w:val="20"/>
                <w:szCs w:val="20"/>
              </w:rPr>
              <w:t xml:space="preserve"> </w:t>
            </w:r>
            <w:r>
              <w:rPr>
                <w:sz w:val="20"/>
                <w:szCs w:val="20"/>
              </w:rPr>
              <w:t>米处</w:t>
            </w:r>
          </w:p>
        </w:tc>
        <w:tc>
          <w:tcPr>
            <w:tcW w:w="1450" w:type="dxa"/>
            <w:vAlign w:val="top"/>
          </w:tcPr>
          <w:p w14:paraId="006E3377">
            <w:pPr>
              <w:spacing w:before="106" w:line="195" w:lineRule="auto"/>
              <w:ind w:left="6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w:t>
            </w:r>
          </w:p>
        </w:tc>
        <w:tc>
          <w:tcPr>
            <w:tcW w:w="1365" w:type="dxa"/>
            <w:vAlign w:val="top"/>
          </w:tcPr>
          <w:p w14:paraId="67C250C5">
            <w:pPr>
              <w:spacing w:before="106" w:line="195" w:lineRule="auto"/>
              <w:ind w:left="5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w:t>
            </w:r>
          </w:p>
        </w:tc>
        <w:tc>
          <w:tcPr>
            <w:tcW w:w="1324" w:type="dxa"/>
            <w:vAlign w:val="top"/>
          </w:tcPr>
          <w:p w14:paraId="70B64674">
            <w:pPr>
              <w:spacing w:before="106" w:line="195" w:lineRule="auto"/>
              <w:ind w:left="562"/>
              <w:rPr>
                <w:rFonts w:ascii="Times New Roman" w:hAnsi="Times New Roman" w:eastAsia="Times New Roman" w:cs="Times New Roman"/>
                <w:sz w:val="20"/>
                <w:szCs w:val="20"/>
              </w:rPr>
            </w:pPr>
            <w:r>
              <w:rPr>
                <w:rFonts w:ascii="Times New Roman" w:hAnsi="Times New Roman" w:eastAsia="Times New Roman" w:cs="Times New Roman"/>
                <w:sz w:val="20"/>
                <w:szCs w:val="20"/>
              </w:rPr>
              <w:t>65</w:t>
            </w:r>
          </w:p>
        </w:tc>
        <w:tc>
          <w:tcPr>
            <w:tcW w:w="1286" w:type="dxa"/>
            <w:tcBorders>
              <w:right w:val="nil"/>
            </w:tcBorders>
            <w:vAlign w:val="top"/>
          </w:tcPr>
          <w:p w14:paraId="477291AE">
            <w:pPr>
              <w:spacing w:before="109" w:line="192" w:lineRule="auto"/>
              <w:ind w:left="544"/>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r>
      <w:tr w14:paraId="63701B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1461" w:type="dxa"/>
            <w:tcBorders>
              <w:left w:val="nil"/>
            </w:tcBorders>
            <w:vAlign w:val="top"/>
          </w:tcPr>
          <w:p w14:paraId="18102E8D">
            <w:pPr>
              <w:spacing w:before="110" w:line="195" w:lineRule="auto"/>
              <w:ind w:left="62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w:t>
            </w:r>
          </w:p>
        </w:tc>
        <w:tc>
          <w:tcPr>
            <w:tcW w:w="2392" w:type="dxa"/>
            <w:vAlign w:val="top"/>
          </w:tcPr>
          <w:p w14:paraId="3CA33C82">
            <w:pPr>
              <w:pStyle w:val="6"/>
              <w:spacing w:before="76" w:line="228" w:lineRule="auto"/>
              <w:ind w:left="574"/>
              <w:rPr>
                <w:sz w:val="20"/>
                <w:szCs w:val="20"/>
              </w:rPr>
            </w:pPr>
            <w:r>
              <w:rPr>
                <w:spacing w:val="1"/>
                <w:sz w:val="20"/>
                <w:szCs w:val="20"/>
              </w:rPr>
              <w:t>南侧外</w:t>
            </w:r>
            <w:r>
              <w:rPr>
                <w:spacing w:val="-22"/>
                <w:sz w:val="20"/>
                <w:szCs w:val="20"/>
              </w:rPr>
              <w:t xml:space="preserve"> </w:t>
            </w:r>
            <w:r>
              <w:rPr>
                <w:rFonts w:ascii="Times New Roman" w:hAnsi="Times New Roman" w:eastAsia="Times New Roman" w:cs="Times New Roman"/>
                <w:spacing w:val="1"/>
                <w:sz w:val="20"/>
                <w:szCs w:val="20"/>
              </w:rPr>
              <w:t>1</w:t>
            </w:r>
            <w:r>
              <w:rPr>
                <w:rFonts w:ascii="Times New Roman" w:hAnsi="Times New Roman" w:eastAsia="Times New Roman" w:cs="Times New Roman"/>
                <w:spacing w:val="12"/>
                <w:sz w:val="20"/>
                <w:szCs w:val="20"/>
              </w:rPr>
              <w:t xml:space="preserve"> </w:t>
            </w:r>
            <w:r>
              <w:rPr>
                <w:spacing w:val="1"/>
                <w:sz w:val="20"/>
                <w:szCs w:val="20"/>
              </w:rPr>
              <w:t>米处</w:t>
            </w:r>
          </w:p>
        </w:tc>
        <w:tc>
          <w:tcPr>
            <w:tcW w:w="1450" w:type="dxa"/>
            <w:vAlign w:val="top"/>
          </w:tcPr>
          <w:p w14:paraId="4BC325D3">
            <w:pPr>
              <w:spacing w:before="110" w:line="195" w:lineRule="auto"/>
              <w:ind w:left="6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w:t>
            </w:r>
          </w:p>
        </w:tc>
        <w:tc>
          <w:tcPr>
            <w:tcW w:w="1365" w:type="dxa"/>
            <w:vAlign w:val="top"/>
          </w:tcPr>
          <w:p w14:paraId="4CD6ADF3">
            <w:pPr>
              <w:spacing w:before="110" w:line="195" w:lineRule="auto"/>
              <w:ind w:left="5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1324" w:type="dxa"/>
            <w:vAlign w:val="top"/>
          </w:tcPr>
          <w:p w14:paraId="021F6D0E">
            <w:pPr>
              <w:spacing w:before="110" w:line="195" w:lineRule="auto"/>
              <w:ind w:left="562"/>
              <w:rPr>
                <w:rFonts w:ascii="Times New Roman" w:hAnsi="Times New Roman" w:eastAsia="Times New Roman" w:cs="Times New Roman"/>
                <w:sz w:val="20"/>
                <w:szCs w:val="20"/>
              </w:rPr>
            </w:pPr>
            <w:r>
              <w:rPr>
                <w:rFonts w:ascii="Times New Roman" w:hAnsi="Times New Roman" w:eastAsia="Times New Roman" w:cs="Times New Roman"/>
                <w:sz w:val="20"/>
                <w:szCs w:val="20"/>
              </w:rPr>
              <w:t>65</w:t>
            </w:r>
          </w:p>
        </w:tc>
        <w:tc>
          <w:tcPr>
            <w:tcW w:w="1286" w:type="dxa"/>
            <w:tcBorders>
              <w:right w:val="nil"/>
            </w:tcBorders>
            <w:vAlign w:val="top"/>
          </w:tcPr>
          <w:p w14:paraId="658CEF6E">
            <w:pPr>
              <w:spacing w:before="113" w:line="192" w:lineRule="auto"/>
              <w:ind w:left="544"/>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r>
      <w:tr w14:paraId="56591B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1461" w:type="dxa"/>
            <w:tcBorders>
              <w:left w:val="nil"/>
            </w:tcBorders>
            <w:vAlign w:val="top"/>
          </w:tcPr>
          <w:p w14:paraId="3F8C01EB">
            <w:pPr>
              <w:spacing w:before="115" w:line="195" w:lineRule="auto"/>
              <w:ind w:left="632"/>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392" w:type="dxa"/>
            <w:vAlign w:val="top"/>
          </w:tcPr>
          <w:p w14:paraId="749346B2">
            <w:pPr>
              <w:pStyle w:val="6"/>
              <w:spacing w:before="78" w:line="228" w:lineRule="auto"/>
              <w:ind w:left="577"/>
              <w:rPr>
                <w:sz w:val="20"/>
                <w:szCs w:val="20"/>
              </w:rPr>
            </w:pPr>
            <w:r>
              <w:rPr>
                <w:sz w:val="20"/>
                <w:szCs w:val="20"/>
              </w:rPr>
              <w:t>西侧外</w:t>
            </w:r>
            <w:r>
              <w:rPr>
                <w:spacing w:val="-19"/>
                <w:sz w:val="20"/>
                <w:szCs w:val="20"/>
              </w:rPr>
              <w:t xml:space="preserve"> </w:t>
            </w:r>
            <w:r>
              <w:rPr>
                <w:rFonts w:ascii="Times New Roman" w:hAnsi="Times New Roman" w:eastAsia="Times New Roman" w:cs="Times New Roman"/>
                <w:sz w:val="20"/>
                <w:szCs w:val="20"/>
              </w:rPr>
              <w:t>1</w:t>
            </w:r>
            <w:r>
              <w:rPr>
                <w:rFonts w:ascii="Times New Roman" w:hAnsi="Times New Roman" w:eastAsia="Times New Roman" w:cs="Times New Roman"/>
                <w:spacing w:val="12"/>
                <w:w w:val="101"/>
                <w:sz w:val="20"/>
                <w:szCs w:val="20"/>
              </w:rPr>
              <w:t xml:space="preserve"> </w:t>
            </w:r>
            <w:r>
              <w:rPr>
                <w:sz w:val="20"/>
                <w:szCs w:val="20"/>
              </w:rPr>
              <w:t>米处</w:t>
            </w:r>
          </w:p>
        </w:tc>
        <w:tc>
          <w:tcPr>
            <w:tcW w:w="1450" w:type="dxa"/>
            <w:vAlign w:val="top"/>
          </w:tcPr>
          <w:p w14:paraId="255A004C">
            <w:pPr>
              <w:spacing w:before="115" w:line="195" w:lineRule="auto"/>
              <w:ind w:left="6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w:t>
            </w:r>
          </w:p>
        </w:tc>
        <w:tc>
          <w:tcPr>
            <w:tcW w:w="1365" w:type="dxa"/>
            <w:vAlign w:val="top"/>
          </w:tcPr>
          <w:p w14:paraId="4AFB1C21">
            <w:pPr>
              <w:spacing w:before="115" w:line="195" w:lineRule="auto"/>
              <w:ind w:left="5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1324" w:type="dxa"/>
            <w:vAlign w:val="top"/>
          </w:tcPr>
          <w:p w14:paraId="106D97EF">
            <w:pPr>
              <w:spacing w:before="115" w:line="195" w:lineRule="auto"/>
              <w:ind w:left="562"/>
              <w:rPr>
                <w:rFonts w:ascii="Times New Roman" w:hAnsi="Times New Roman" w:eastAsia="Times New Roman" w:cs="Times New Roman"/>
                <w:sz w:val="20"/>
                <w:szCs w:val="20"/>
              </w:rPr>
            </w:pPr>
            <w:r>
              <w:rPr>
                <w:rFonts w:ascii="Times New Roman" w:hAnsi="Times New Roman" w:eastAsia="Times New Roman" w:cs="Times New Roman"/>
                <w:sz w:val="20"/>
                <w:szCs w:val="20"/>
              </w:rPr>
              <w:t>65</w:t>
            </w:r>
          </w:p>
        </w:tc>
        <w:tc>
          <w:tcPr>
            <w:tcW w:w="1286" w:type="dxa"/>
            <w:tcBorders>
              <w:right w:val="nil"/>
            </w:tcBorders>
            <w:vAlign w:val="top"/>
          </w:tcPr>
          <w:p w14:paraId="2D1B8FDF">
            <w:pPr>
              <w:spacing w:before="118" w:line="192" w:lineRule="auto"/>
              <w:ind w:left="544"/>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r>
      <w:tr w14:paraId="64972C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461" w:type="dxa"/>
            <w:tcBorders>
              <w:left w:val="nil"/>
              <w:bottom w:val="single" w:color="000000" w:sz="10" w:space="0"/>
            </w:tcBorders>
            <w:vAlign w:val="top"/>
          </w:tcPr>
          <w:p w14:paraId="13AE6BEB">
            <w:pPr>
              <w:spacing w:before="117" w:line="195" w:lineRule="auto"/>
              <w:ind w:left="6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w:t>
            </w:r>
          </w:p>
        </w:tc>
        <w:tc>
          <w:tcPr>
            <w:tcW w:w="2392" w:type="dxa"/>
            <w:tcBorders>
              <w:bottom w:val="single" w:color="000000" w:sz="10" w:space="0"/>
            </w:tcBorders>
            <w:vAlign w:val="top"/>
          </w:tcPr>
          <w:p w14:paraId="091D3F51">
            <w:pPr>
              <w:pStyle w:val="6"/>
              <w:spacing w:before="83" w:line="228" w:lineRule="auto"/>
              <w:ind w:left="575"/>
              <w:rPr>
                <w:sz w:val="20"/>
                <w:szCs w:val="20"/>
              </w:rPr>
            </w:pPr>
            <w:r>
              <w:rPr>
                <w:spacing w:val="1"/>
                <w:sz w:val="20"/>
                <w:szCs w:val="20"/>
              </w:rPr>
              <w:t>北侧外</w:t>
            </w:r>
            <w:r>
              <w:rPr>
                <w:spacing w:val="-23"/>
                <w:sz w:val="20"/>
                <w:szCs w:val="20"/>
              </w:rPr>
              <w:t xml:space="preserve"> </w:t>
            </w:r>
            <w:r>
              <w:rPr>
                <w:rFonts w:ascii="Times New Roman" w:hAnsi="Times New Roman" w:eastAsia="Times New Roman" w:cs="Times New Roman"/>
                <w:spacing w:val="1"/>
                <w:sz w:val="20"/>
                <w:szCs w:val="20"/>
              </w:rPr>
              <w:t>1</w:t>
            </w:r>
            <w:r>
              <w:rPr>
                <w:rFonts w:ascii="Times New Roman" w:hAnsi="Times New Roman" w:eastAsia="Times New Roman" w:cs="Times New Roman"/>
                <w:spacing w:val="12"/>
                <w:sz w:val="20"/>
                <w:szCs w:val="20"/>
              </w:rPr>
              <w:t xml:space="preserve"> </w:t>
            </w:r>
            <w:r>
              <w:rPr>
                <w:spacing w:val="1"/>
                <w:sz w:val="20"/>
                <w:szCs w:val="20"/>
              </w:rPr>
              <w:t>米处</w:t>
            </w:r>
          </w:p>
        </w:tc>
        <w:tc>
          <w:tcPr>
            <w:tcW w:w="1450" w:type="dxa"/>
            <w:tcBorders>
              <w:bottom w:val="single" w:color="000000" w:sz="10" w:space="0"/>
            </w:tcBorders>
            <w:vAlign w:val="top"/>
          </w:tcPr>
          <w:p w14:paraId="3890E50E">
            <w:pPr>
              <w:spacing w:before="117" w:line="195" w:lineRule="auto"/>
              <w:ind w:left="6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1365" w:type="dxa"/>
            <w:tcBorders>
              <w:bottom w:val="single" w:color="000000" w:sz="10" w:space="0"/>
            </w:tcBorders>
            <w:vAlign w:val="top"/>
          </w:tcPr>
          <w:p w14:paraId="3631F4F9">
            <w:pPr>
              <w:spacing w:before="117" w:line="195" w:lineRule="auto"/>
              <w:ind w:left="5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w:t>
            </w:r>
          </w:p>
        </w:tc>
        <w:tc>
          <w:tcPr>
            <w:tcW w:w="1324" w:type="dxa"/>
            <w:tcBorders>
              <w:bottom w:val="single" w:color="000000" w:sz="10" w:space="0"/>
            </w:tcBorders>
            <w:vAlign w:val="top"/>
          </w:tcPr>
          <w:p w14:paraId="7738760E">
            <w:pPr>
              <w:spacing w:before="117" w:line="195" w:lineRule="auto"/>
              <w:ind w:left="562"/>
              <w:rPr>
                <w:rFonts w:ascii="Times New Roman" w:hAnsi="Times New Roman" w:eastAsia="Times New Roman" w:cs="Times New Roman"/>
                <w:sz w:val="20"/>
                <w:szCs w:val="20"/>
              </w:rPr>
            </w:pPr>
            <w:r>
              <w:rPr>
                <w:rFonts w:ascii="Times New Roman" w:hAnsi="Times New Roman" w:eastAsia="Times New Roman" w:cs="Times New Roman"/>
                <w:sz w:val="20"/>
                <w:szCs w:val="20"/>
              </w:rPr>
              <w:t>65</w:t>
            </w:r>
          </w:p>
        </w:tc>
        <w:tc>
          <w:tcPr>
            <w:tcW w:w="1286" w:type="dxa"/>
            <w:tcBorders>
              <w:bottom w:val="single" w:color="000000" w:sz="10" w:space="0"/>
              <w:right w:val="nil"/>
            </w:tcBorders>
            <w:vAlign w:val="top"/>
          </w:tcPr>
          <w:p w14:paraId="787E2B09">
            <w:pPr>
              <w:spacing w:before="120" w:line="192" w:lineRule="auto"/>
              <w:ind w:left="544"/>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r>
    </w:tbl>
    <w:p w14:paraId="60C1764C">
      <w:pPr>
        <w:spacing w:before="157" w:line="335" w:lineRule="auto"/>
        <w:ind w:left="115" w:right="104" w:firstLine="481"/>
        <w:rPr>
          <w:rFonts w:ascii="宋体" w:hAnsi="宋体" w:eastAsia="宋体" w:cs="宋体"/>
          <w:sz w:val="24"/>
          <w:szCs w:val="24"/>
        </w:rPr>
      </w:pPr>
      <w:r>
        <w:rPr>
          <w:rFonts w:ascii="宋体" w:hAnsi="宋体" w:eastAsia="宋体" w:cs="宋体"/>
          <w:sz w:val="24"/>
          <w:szCs w:val="24"/>
        </w:rPr>
        <w:t>从监测结果来看，厂界噪声昼间在</w:t>
      </w:r>
      <w:r>
        <w:rPr>
          <w:rFonts w:ascii="宋体" w:hAnsi="宋体" w:eastAsia="宋体" w:cs="宋体"/>
          <w:spacing w:val="-57"/>
          <w:sz w:val="24"/>
          <w:szCs w:val="24"/>
        </w:rPr>
        <w:t xml:space="preserve"> </w:t>
      </w:r>
      <w:r>
        <w:rPr>
          <w:rFonts w:ascii="Times New Roman" w:hAnsi="Times New Roman" w:eastAsia="Times New Roman" w:cs="Times New Roman"/>
          <w:sz w:val="24"/>
          <w:szCs w:val="24"/>
        </w:rPr>
        <w:t>44~46dB(A)</w:t>
      </w:r>
      <w:r>
        <w:rPr>
          <w:rFonts w:ascii="宋体" w:hAnsi="宋体" w:eastAsia="宋体" w:cs="宋体"/>
          <w:sz w:val="24"/>
          <w:szCs w:val="24"/>
        </w:rPr>
        <w:t>之间，夜间在</w:t>
      </w:r>
      <w:r>
        <w:rPr>
          <w:rFonts w:ascii="宋体" w:hAnsi="宋体" w:eastAsia="宋体" w:cs="宋体"/>
          <w:spacing w:val="-53"/>
          <w:sz w:val="24"/>
          <w:szCs w:val="24"/>
        </w:rPr>
        <w:t xml:space="preserve"> </w:t>
      </w:r>
      <w:r>
        <w:rPr>
          <w:rFonts w:ascii="Times New Roman" w:hAnsi="Times New Roman" w:eastAsia="Times New Roman" w:cs="Times New Roman"/>
          <w:sz w:val="24"/>
          <w:szCs w:val="24"/>
        </w:rPr>
        <w:t>43~45dB(A)</w:t>
      </w:r>
      <w:r>
        <w:rPr>
          <w:rFonts w:ascii="宋体" w:hAnsi="宋体" w:eastAsia="宋体" w:cs="宋体"/>
          <w:sz w:val="24"/>
          <w:szCs w:val="24"/>
        </w:rPr>
        <w:t xml:space="preserve">之间，监 </w:t>
      </w:r>
      <w:r>
        <w:rPr>
          <w:rFonts w:ascii="宋体" w:hAnsi="宋体" w:eastAsia="宋体" w:cs="宋体"/>
          <w:spacing w:val="-1"/>
          <w:sz w:val="24"/>
          <w:szCs w:val="24"/>
        </w:rPr>
        <w:t>测值能够满足《声环境质量标准》（</w:t>
      </w:r>
      <w:r>
        <w:rPr>
          <w:rFonts w:ascii="Times New Roman" w:hAnsi="Times New Roman" w:eastAsia="Times New Roman" w:cs="Times New Roman"/>
          <w:spacing w:val="-1"/>
          <w:sz w:val="24"/>
          <w:szCs w:val="24"/>
        </w:rPr>
        <w:t>GB3096-2008</w:t>
      </w:r>
      <w:r>
        <w:rPr>
          <w:rFonts w:ascii="宋体" w:hAnsi="宋体" w:eastAsia="宋体" w:cs="宋体"/>
          <w:spacing w:val="-1"/>
          <w:sz w:val="24"/>
          <w:szCs w:val="24"/>
        </w:rPr>
        <w:t>）中的</w:t>
      </w:r>
      <w:r>
        <w:rPr>
          <w:rFonts w:ascii="宋体" w:hAnsi="宋体" w:eastAsia="宋体" w:cs="宋体"/>
          <w:spacing w:val="-34"/>
          <w:sz w:val="24"/>
          <w:szCs w:val="24"/>
        </w:rPr>
        <w:t xml:space="preserve"> </w:t>
      </w:r>
      <w:r>
        <w:rPr>
          <w:rFonts w:ascii="Times New Roman" w:hAnsi="Times New Roman" w:eastAsia="Times New Roman" w:cs="Times New Roman"/>
          <w:spacing w:val="-1"/>
          <w:sz w:val="24"/>
          <w:szCs w:val="24"/>
        </w:rPr>
        <w:t xml:space="preserve">3 </w:t>
      </w:r>
      <w:r>
        <w:rPr>
          <w:rFonts w:ascii="宋体" w:hAnsi="宋体" w:eastAsia="宋体" w:cs="宋体"/>
          <w:spacing w:val="-1"/>
          <w:sz w:val="24"/>
          <w:szCs w:val="24"/>
        </w:rPr>
        <w:t>类标准限值。</w:t>
      </w:r>
    </w:p>
    <w:p w14:paraId="31A55A2B">
      <w:pPr>
        <w:spacing w:before="70" w:line="221" w:lineRule="auto"/>
        <w:ind w:left="117"/>
        <w:outlineLvl w:val="2"/>
        <w:rPr>
          <w:rFonts w:ascii="黑体" w:hAnsi="黑体" w:eastAsia="黑体" w:cs="黑体"/>
          <w:sz w:val="30"/>
          <w:szCs w:val="30"/>
        </w:rPr>
      </w:pPr>
      <w:bookmarkStart w:id="356" w:name="bookmark180"/>
      <w:bookmarkEnd w:id="356"/>
      <w:r>
        <w:rPr>
          <w:rFonts w:ascii="Times New Roman" w:hAnsi="Times New Roman" w:eastAsia="Times New Roman" w:cs="Times New Roman"/>
          <w:spacing w:val="-4"/>
          <w:sz w:val="30"/>
          <w:szCs w:val="30"/>
        </w:rPr>
        <w:t>3.3.5</w:t>
      </w:r>
      <w:r>
        <w:rPr>
          <w:rFonts w:ascii="Times New Roman" w:hAnsi="Times New Roman" w:eastAsia="Times New Roman" w:cs="Times New Roman"/>
          <w:spacing w:val="34"/>
          <w:sz w:val="30"/>
          <w:szCs w:val="30"/>
        </w:rPr>
        <w:t xml:space="preserve"> </w:t>
      </w:r>
      <w:r>
        <w:rPr>
          <w:rFonts w:ascii="黑体" w:hAnsi="黑体" w:eastAsia="黑体" w:cs="黑体"/>
          <w:spacing w:val="-4"/>
          <w:sz w:val="30"/>
          <w:szCs w:val="30"/>
        </w:rPr>
        <w:t>区域污染源调查</w:t>
      </w:r>
    </w:p>
    <w:p w14:paraId="05ED946B">
      <w:pPr>
        <w:spacing w:before="217" w:line="344" w:lineRule="auto"/>
        <w:ind w:left="116" w:right="104" w:firstLine="48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）评价范围内与本项目污染物排放有关的其他在建项目、已批复环境影响评价</w:t>
      </w:r>
      <w:r>
        <w:rPr>
          <w:rFonts w:ascii="宋体" w:hAnsi="宋体" w:eastAsia="宋体" w:cs="宋体"/>
          <w:spacing w:val="11"/>
          <w:sz w:val="24"/>
          <w:szCs w:val="24"/>
        </w:rPr>
        <w:t xml:space="preserve"> </w:t>
      </w:r>
      <w:r>
        <w:rPr>
          <w:rFonts w:ascii="宋体" w:hAnsi="宋体" w:eastAsia="宋体" w:cs="宋体"/>
          <w:spacing w:val="-1"/>
          <w:sz w:val="24"/>
          <w:szCs w:val="24"/>
        </w:rPr>
        <w:t>文件的拟建项目污染源调查</w:t>
      </w:r>
    </w:p>
    <w:p w14:paraId="53F27DDD">
      <w:pPr>
        <w:spacing w:before="37" w:line="345" w:lineRule="auto"/>
        <w:ind w:left="119" w:right="42" w:firstLine="476"/>
        <w:rPr>
          <w:rFonts w:ascii="宋体" w:hAnsi="宋体" w:eastAsia="宋体" w:cs="宋体"/>
          <w:sz w:val="24"/>
          <w:szCs w:val="24"/>
        </w:rPr>
      </w:pPr>
      <w:r>
        <w:rPr>
          <w:rFonts w:ascii="宋体" w:hAnsi="宋体" w:eastAsia="宋体" w:cs="宋体"/>
          <w:spacing w:val="-4"/>
          <w:sz w:val="24"/>
          <w:szCs w:val="24"/>
        </w:rPr>
        <w:t>本项目大气环境评价区域包含</w:t>
      </w:r>
      <w:r>
        <w:rPr>
          <w:rFonts w:ascii="Times New Roman" w:hAnsi="Times New Roman" w:eastAsia="Times New Roman" w:cs="Times New Roman"/>
          <w:spacing w:val="-4"/>
          <w:sz w:val="24"/>
          <w:szCs w:val="24"/>
        </w:rPr>
        <w:t>4</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个在建项目</w:t>
      </w:r>
      <w:r>
        <w:rPr>
          <w:rFonts w:ascii="宋体" w:hAnsi="宋体" w:eastAsia="宋体" w:cs="宋体"/>
          <w:spacing w:val="-5"/>
          <w:sz w:val="24"/>
          <w:szCs w:val="24"/>
        </w:rPr>
        <w:t>、已批复环境影响评价文件的拟建项目，</w:t>
      </w:r>
      <w:r>
        <w:rPr>
          <w:rFonts w:ascii="宋体" w:hAnsi="宋体" w:eastAsia="宋体" w:cs="宋体"/>
          <w:sz w:val="24"/>
          <w:szCs w:val="24"/>
        </w:rPr>
        <w:t xml:space="preserve"> </w:t>
      </w:r>
      <w:r>
        <w:rPr>
          <w:rFonts w:ascii="宋体" w:hAnsi="宋体" w:eastAsia="宋体" w:cs="宋体"/>
          <w:spacing w:val="-2"/>
          <w:sz w:val="24"/>
          <w:szCs w:val="24"/>
        </w:rPr>
        <w:t>与本项目有关污染物统计详见表</w:t>
      </w:r>
      <w:r>
        <w:rPr>
          <w:rFonts w:ascii="宋体" w:hAnsi="宋体" w:eastAsia="宋体" w:cs="宋体"/>
          <w:spacing w:val="-34"/>
          <w:sz w:val="24"/>
          <w:szCs w:val="24"/>
        </w:rPr>
        <w:t xml:space="preserve"> </w:t>
      </w:r>
      <w:r>
        <w:rPr>
          <w:rFonts w:ascii="Times New Roman" w:hAnsi="Times New Roman" w:eastAsia="Times New Roman" w:cs="Times New Roman"/>
          <w:spacing w:val="-2"/>
          <w:sz w:val="24"/>
          <w:szCs w:val="24"/>
        </w:rPr>
        <w:t>3.3-12</w:t>
      </w:r>
      <w:r>
        <w:rPr>
          <w:rFonts w:ascii="宋体" w:hAnsi="宋体" w:eastAsia="宋体" w:cs="宋体"/>
          <w:spacing w:val="-2"/>
          <w:sz w:val="24"/>
          <w:szCs w:val="24"/>
        </w:rPr>
        <w:t>。</w:t>
      </w:r>
    </w:p>
    <w:p w14:paraId="3C8311D7">
      <w:pPr>
        <w:spacing w:before="33" w:line="226" w:lineRule="auto"/>
        <w:ind w:left="1283"/>
        <w:rPr>
          <w:rFonts w:ascii="Times New Roman" w:hAnsi="Times New Roman" w:eastAsia="Times New Roman" w:cs="Times New Roman"/>
          <w:sz w:val="20"/>
          <w:szCs w:val="20"/>
        </w:rPr>
      </w:pPr>
      <w:r>
        <w:rPr>
          <w:rFonts w:ascii="宋体" w:hAnsi="宋体" w:eastAsia="宋体" w:cs="宋体"/>
          <w:b/>
          <w:bCs/>
          <w:spacing w:val="6"/>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6"/>
          <w:sz w:val="20"/>
          <w:szCs w:val="20"/>
        </w:rPr>
        <w:t xml:space="preserve">3.3-12        </w:t>
      </w:r>
      <w:r>
        <w:rPr>
          <w:rFonts w:ascii="宋体" w:hAnsi="宋体" w:eastAsia="宋体" w:cs="宋体"/>
          <w:b/>
          <w:bCs/>
          <w:spacing w:val="6"/>
          <w:sz w:val="20"/>
          <w:szCs w:val="20"/>
        </w:rPr>
        <w:t>本项目大气环境影响评价范围内污染源调查表</w:t>
      </w:r>
      <w:r>
        <w:rPr>
          <w:rFonts w:ascii="宋体" w:hAnsi="宋体" w:eastAsia="宋体" w:cs="宋体"/>
          <w:spacing w:val="6"/>
          <w:sz w:val="20"/>
          <w:szCs w:val="20"/>
        </w:rPr>
        <w:t xml:space="preserve">    </w:t>
      </w:r>
      <w:r>
        <w:rPr>
          <w:rFonts w:ascii="宋体" w:hAnsi="宋体" w:eastAsia="宋体" w:cs="宋体"/>
          <w:b/>
          <w:bCs/>
          <w:spacing w:val="6"/>
          <w:sz w:val="20"/>
          <w:szCs w:val="20"/>
        </w:rPr>
        <w:t>单位：</w:t>
      </w:r>
      <w:r>
        <w:rPr>
          <w:rFonts w:ascii="Times New Roman" w:hAnsi="Times New Roman" w:eastAsia="Times New Roman" w:cs="Times New Roman"/>
          <w:b/>
          <w:bCs/>
          <w:spacing w:val="6"/>
          <w:sz w:val="20"/>
          <w:szCs w:val="20"/>
        </w:rPr>
        <w:t>t/a</w:t>
      </w:r>
    </w:p>
    <w:p w14:paraId="6333A777">
      <w:pPr>
        <w:spacing w:line="133" w:lineRule="exact"/>
      </w:pPr>
    </w:p>
    <w:tbl>
      <w:tblPr>
        <w:tblStyle w:val="5"/>
        <w:tblW w:w="9064" w:type="dxa"/>
        <w:tblInd w:w="10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780"/>
        <w:gridCol w:w="738"/>
        <w:gridCol w:w="850"/>
        <w:gridCol w:w="738"/>
        <w:gridCol w:w="626"/>
        <w:gridCol w:w="1355"/>
        <w:gridCol w:w="1355"/>
        <w:gridCol w:w="622"/>
      </w:tblGrid>
      <w:tr w14:paraId="61AB65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 w:hRule="atLeast"/>
        </w:trPr>
        <w:tc>
          <w:tcPr>
            <w:tcW w:w="2780" w:type="dxa"/>
            <w:tcBorders>
              <w:top w:val="single" w:color="000000" w:sz="10" w:space="0"/>
              <w:left w:val="nil"/>
            </w:tcBorders>
            <w:vAlign w:val="top"/>
          </w:tcPr>
          <w:p w14:paraId="5EF95C5B">
            <w:pPr>
              <w:pStyle w:val="6"/>
              <w:spacing w:before="36" w:line="216" w:lineRule="auto"/>
              <w:ind w:left="1187"/>
              <w:rPr>
                <w:sz w:val="20"/>
                <w:szCs w:val="20"/>
              </w:rPr>
            </w:pPr>
            <w:r>
              <w:rPr>
                <w:spacing w:val="3"/>
                <w:sz w:val="20"/>
                <w:szCs w:val="20"/>
              </w:rPr>
              <w:t>项目</w:t>
            </w:r>
          </w:p>
        </w:tc>
        <w:tc>
          <w:tcPr>
            <w:tcW w:w="738" w:type="dxa"/>
            <w:tcBorders>
              <w:top w:val="single" w:color="000000" w:sz="10" w:space="0"/>
            </w:tcBorders>
            <w:vAlign w:val="top"/>
          </w:tcPr>
          <w:p w14:paraId="2E9A5EC8">
            <w:pPr>
              <w:spacing w:before="75" w:line="203" w:lineRule="auto"/>
              <w:ind w:left="149"/>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8"/>
                <w:sz w:val="13"/>
                <w:szCs w:val="13"/>
              </w:rPr>
              <w:t>10</w:t>
            </w:r>
          </w:p>
        </w:tc>
        <w:tc>
          <w:tcPr>
            <w:tcW w:w="850" w:type="dxa"/>
            <w:tcBorders>
              <w:top w:val="single" w:color="000000" w:sz="10" w:space="0"/>
            </w:tcBorders>
            <w:vAlign w:val="top"/>
          </w:tcPr>
          <w:p w14:paraId="689A6D24">
            <w:pPr>
              <w:spacing w:before="71" w:line="200" w:lineRule="auto"/>
              <w:ind w:left="268"/>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738" w:type="dxa"/>
            <w:tcBorders>
              <w:top w:val="single" w:color="000000" w:sz="10" w:space="0"/>
            </w:tcBorders>
            <w:vAlign w:val="top"/>
          </w:tcPr>
          <w:p w14:paraId="0DCD062D">
            <w:pPr>
              <w:spacing w:before="71" w:line="200" w:lineRule="auto"/>
              <w:ind w:left="177"/>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626" w:type="dxa"/>
            <w:tcBorders>
              <w:top w:val="single" w:color="000000" w:sz="10" w:space="0"/>
            </w:tcBorders>
            <w:vAlign w:val="top"/>
          </w:tcPr>
          <w:p w14:paraId="6BAE57F4">
            <w:pPr>
              <w:spacing w:before="72"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TSP</w:t>
            </w:r>
          </w:p>
        </w:tc>
        <w:tc>
          <w:tcPr>
            <w:tcW w:w="1355" w:type="dxa"/>
            <w:tcBorders>
              <w:top w:val="single" w:color="000000" w:sz="10" w:space="0"/>
            </w:tcBorders>
            <w:vAlign w:val="top"/>
          </w:tcPr>
          <w:p w14:paraId="761A2777">
            <w:pPr>
              <w:pStyle w:val="6"/>
              <w:spacing w:before="36" w:line="216" w:lineRule="auto"/>
              <w:ind w:left="53"/>
              <w:rPr>
                <w:sz w:val="20"/>
                <w:szCs w:val="20"/>
              </w:rPr>
            </w:pPr>
            <w:r>
              <w:rPr>
                <w:spacing w:val="8"/>
                <w:sz w:val="20"/>
                <w:szCs w:val="20"/>
              </w:rPr>
              <w:t>锰及其化合物</w:t>
            </w:r>
          </w:p>
        </w:tc>
        <w:tc>
          <w:tcPr>
            <w:tcW w:w="1355" w:type="dxa"/>
            <w:tcBorders>
              <w:top w:val="single" w:color="000000" w:sz="10" w:space="0"/>
            </w:tcBorders>
            <w:vAlign w:val="top"/>
          </w:tcPr>
          <w:p w14:paraId="56247061">
            <w:pPr>
              <w:pStyle w:val="6"/>
              <w:spacing w:before="36" w:line="216" w:lineRule="auto"/>
              <w:ind w:left="53"/>
              <w:rPr>
                <w:sz w:val="20"/>
                <w:szCs w:val="20"/>
              </w:rPr>
            </w:pPr>
            <w:r>
              <w:rPr>
                <w:spacing w:val="8"/>
                <w:sz w:val="20"/>
                <w:szCs w:val="20"/>
              </w:rPr>
              <w:t>铬及其化合物</w:t>
            </w:r>
          </w:p>
        </w:tc>
        <w:tc>
          <w:tcPr>
            <w:tcW w:w="622" w:type="dxa"/>
            <w:tcBorders>
              <w:top w:val="single" w:color="000000" w:sz="10" w:space="0"/>
              <w:right w:val="nil"/>
            </w:tcBorders>
            <w:vAlign w:val="top"/>
          </w:tcPr>
          <w:p w14:paraId="1E546A49">
            <w:pPr>
              <w:pStyle w:val="6"/>
              <w:spacing w:before="36" w:line="216" w:lineRule="auto"/>
              <w:ind w:left="213"/>
              <w:rPr>
                <w:sz w:val="20"/>
                <w:szCs w:val="20"/>
              </w:rPr>
            </w:pPr>
            <w:r>
              <w:rPr>
                <w:sz w:val="20"/>
                <w:szCs w:val="20"/>
              </w:rPr>
              <w:t>氨</w:t>
            </w:r>
          </w:p>
        </w:tc>
      </w:tr>
      <w:tr w14:paraId="55B003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6" w:hRule="atLeast"/>
        </w:trPr>
        <w:tc>
          <w:tcPr>
            <w:tcW w:w="2780" w:type="dxa"/>
            <w:tcBorders>
              <w:left w:val="nil"/>
            </w:tcBorders>
            <w:vAlign w:val="top"/>
          </w:tcPr>
          <w:p w14:paraId="2CDFC636">
            <w:pPr>
              <w:pStyle w:val="6"/>
              <w:spacing w:before="35" w:line="237" w:lineRule="auto"/>
              <w:ind w:left="18" w:right="2" w:hanging="4"/>
              <w:jc w:val="both"/>
              <w:rPr>
                <w:sz w:val="20"/>
                <w:szCs w:val="20"/>
              </w:rPr>
            </w:pPr>
            <w:r>
              <w:rPr>
                <w:spacing w:val="12"/>
                <w:sz w:val="20"/>
                <w:szCs w:val="20"/>
              </w:rPr>
              <w:t>蒙铁特钢（内蒙古）有限公司</w:t>
            </w:r>
            <w:r>
              <w:rPr>
                <w:spacing w:val="3"/>
                <w:sz w:val="20"/>
                <w:szCs w:val="20"/>
              </w:rPr>
              <w:t xml:space="preserve"> </w:t>
            </w:r>
            <w:r>
              <w:rPr>
                <w:spacing w:val="15"/>
                <w:sz w:val="20"/>
                <w:szCs w:val="20"/>
              </w:rPr>
              <w:t>固废资源综合利用年产</w:t>
            </w:r>
            <w:r>
              <w:rPr>
                <w:spacing w:val="-21"/>
                <w:sz w:val="20"/>
                <w:szCs w:val="20"/>
              </w:rPr>
              <w:t xml:space="preserve"> </w:t>
            </w:r>
            <w:r>
              <w:rPr>
                <w:rFonts w:ascii="Times New Roman" w:hAnsi="Times New Roman" w:eastAsia="Times New Roman" w:cs="Times New Roman"/>
                <w:spacing w:val="15"/>
                <w:sz w:val="20"/>
                <w:szCs w:val="20"/>
              </w:rPr>
              <w:t>50</w:t>
            </w:r>
            <w:r>
              <w:rPr>
                <w:rFonts w:ascii="Times New Roman" w:hAnsi="Times New Roman" w:eastAsia="Times New Roman" w:cs="Times New Roman"/>
                <w:spacing w:val="31"/>
                <w:w w:val="101"/>
                <w:sz w:val="20"/>
                <w:szCs w:val="20"/>
              </w:rPr>
              <w:t xml:space="preserve"> </w:t>
            </w:r>
            <w:r>
              <w:rPr>
                <w:spacing w:val="15"/>
                <w:sz w:val="20"/>
                <w:szCs w:val="20"/>
              </w:rPr>
              <w:t>万</w:t>
            </w:r>
            <w:r>
              <w:rPr>
                <w:sz w:val="20"/>
                <w:szCs w:val="20"/>
              </w:rPr>
              <w:t xml:space="preserve"> </w:t>
            </w:r>
            <w:r>
              <w:rPr>
                <w:spacing w:val="6"/>
                <w:sz w:val="20"/>
                <w:szCs w:val="20"/>
              </w:rPr>
              <w:t>吨铸造项目</w:t>
            </w:r>
          </w:p>
        </w:tc>
        <w:tc>
          <w:tcPr>
            <w:tcW w:w="738" w:type="dxa"/>
            <w:vAlign w:val="top"/>
          </w:tcPr>
          <w:p w14:paraId="241F0BC1">
            <w:pPr>
              <w:spacing w:line="282" w:lineRule="auto"/>
              <w:rPr>
                <w:rFonts w:ascii="Arial"/>
                <w:sz w:val="21"/>
              </w:rPr>
            </w:pPr>
          </w:p>
          <w:p w14:paraId="0C76390D">
            <w:pPr>
              <w:spacing w:before="57" w:line="195" w:lineRule="auto"/>
              <w:ind w:left="100"/>
              <w:rPr>
                <w:rFonts w:ascii="Times New Roman" w:hAnsi="Times New Roman" w:eastAsia="Times New Roman" w:cs="Times New Roman"/>
                <w:sz w:val="20"/>
                <w:szCs w:val="20"/>
              </w:rPr>
            </w:pPr>
            <w:r>
              <w:rPr>
                <w:rFonts w:ascii="Times New Roman" w:hAnsi="Times New Roman" w:eastAsia="Times New Roman" w:cs="Times New Roman"/>
                <w:sz w:val="20"/>
                <w:szCs w:val="20"/>
              </w:rPr>
              <w:t>157.45</w:t>
            </w:r>
          </w:p>
        </w:tc>
        <w:tc>
          <w:tcPr>
            <w:tcW w:w="850" w:type="dxa"/>
            <w:vAlign w:val="top"/>
          </w:tcPr>
          <w:p w14:paraId="53B8A7E0">
            <w:pPr>
              <w:spacing w:line="282" w:lineRule="auto"/>
              <w:rPr>
                <w:rFonts w:ascii="Arial"/>
                <w:sz w:val="21"/>
              </w:rPr>
            </w:pPr>
          </w:p>
          <w:p w14:paraId="1E3A323E">
            <w:pPr>
              <w:spacing w:before="57"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190</w:t>
            </w:r>
          </w:p>
        </w:tc>
        <w:tc>
          <w:tcPr>
            <w:tcW w:w="738" w:type="dxa"/>
            <w:vAlign w:val="top"/>
          </w:tcPr>
          <w:p w14:paraId="2B039CD0">
            <w:pPr>
              <w:spacing w:line="282" w:lineRule="auto"/>
              <w:rPr>
                <w:rFonts w:ascii="Arial"/>
                <w:sz w:val="21"/>
              </w:rPr>
            </w:pPr>
          </w:p>
          <w:p w14:paraId="20900AC0">
            <w:pPr>
              <w:spacing w:before="57" w:line="195" w:lineRule="auto"/>
              <w:ind w:left="103"/>
              <w:rPr>
                <w:rFonts w:ascii="Times New Roman" w:hAnsi="Times New Roman" w:eastAsia="Times New Roman" w:cs="Times New Roman"/>
                <w:sz w:val="20"/>
                <w:szCs w:val="20"/>
              </w:rPr>
            </w:pPr>
            <w:r>
              <w:rPr>
                <w:rFonts w:ascii="Times New Roman" w:hAnsi="Times New Roman" w:eastAsia="Times New Roman" w:cs="Times New Roman"/>
                <w:sz w:val="20"/>
                <w:szCs w:val="20"/>
              </w:rPr>
              <w:t>117.65</w:t>
            </w:r>
          </w:p>
        </w:tc>
        <w:tc>
          <w:tcPr>
            <w:tcW w:w="626" w:type="dxa"/>
            <w:vAlign w:val="top"/>
          </w:tcPr>
          <w:p w14:paraId="53335E36">
            <w:pPr>
              <w:spacing w:line="282" w:lineRule="auto"/>
              <w:rPr>
                <w:rFonts w:ascii="Arial"/>
                <w:sz w:val="21"/>
              </w:rPr>
            </w:pPr>
          </w:p>
          <w:p w14:paraId="2183DC9D">
            <w:pPr>
              <w:spacing w:before="57"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11.81</w:t>
            </w:r>
          </w:p>
        </w:tc>
        <w:tc>
          <w:tcPr>
            <w:tcW w:w="1355" w:type="dxa"/>
            <w:vAlign w:val="top"/>
          </w:tcPr>
          <w:p w14:paraId="76D6BBF2">
            <w:pPr>
              <w:spacing w:line="278" w:lineRule="auto"/>
              <w:rPr>
                <w:rFonts w:ascii="Arial"/>
                <w:sz w:val="21"/>
              </w:rPr>
            </w:pPr>
          </w:p>
          <w:p w14:paraId="16E2521C">
            <w:pPr>
              <w:spacing w:before="58" w:line="199" w:lineRule="auto"/>
              <w:ind w:left="6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355" w:type="dxa"/>
            <w:vAlign w:val="top"/>
          </w:tcPr>
          <w:p w14:paraId="12ABD827">
            <w:pPr>
              <w:spacing w:line="278" w:lineRule="auto"/>
              <w:rPr>
                <w:rFonts w:ascii="Arial"/>
                <w:sz w:val="21"/>
              </w:rPr>
            </w:pPr>
          </w:p>
          <w:p w14:paraId="39CFA45A">
            <w:pPr>
              <w:spacing w:before="58" w:line="199" w:lineRule="auto"/>
              <w:ind w:left="6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622" w:type="dxa"/>
            <w:tcBorders>
              <w:right w:val="nil"/>
            </w:tcBorders>
            <w:vAlign w:val="top"/>
          </w:tcPr>
          <w:p w14:paraId="4238A988">
            <w:pPr>
              <w:spacing w:line="278" w:lineRule="auto"/>
              <w:rPr>
                <w:rFonts w:ascii="Arial"/>
                <w:sz w:val="21"/>
              </w:rPr>
            </w:pPr>
          </w:p>
          <w:p w14:paraId="5CA4929F">
            <w:pPr>
              <w:spacing w:before="58" w:line="199" w:lineRule="auto"/>
              <w:ind w:left="28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874A1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6" w:hRule="atLeast"/>
        </w:trPr>
        <w:tc>
          <w:tcPr>
            <w:tcW w:w="2780" w:type="dxa"/>
            <w:tcBorders>
              <w:left w:val="nil"/>
            </w:tcBorders>
            <w:vAlign w:val="top"/>
          </w:tcPr>
          <w:p w14:paraId="072FD694">
            <w:pPr>
              <w:pStyle w:val="6"/>
              <w:spacing w:before="39" w:line="229" w:lineRule="auto"/>
              <w:ind w:left="7" w:right="2" w:firstLine="26"/>
              <w:rPr>
                <w:sz w:val="20"/>
                <w:szCs w:val="20"/>
              </w:rPr>
            </w:pPr>
            <w:r>
              <w:rPr>
                <w:spacing w:val="10"/>
                <w:sz w:val="20"/>
                <w:szCs w:val="20"/>
              </w:rPr>
              <w:t xml:space="preserve">内蒙古新蒙新科技有限公司计 </w:t>
            </w:r>
            <w:r>
              <w:rPr>
                <w:spacing w:val="5"/>
                <w:sz w:val="20"/>
                <w:szCs w:val="20"/>
              </w:rPr>
              <w:t>划建设</w:t>
            </w:r>
            <w:r>
              <w:rPr>
                <w:spacing w:val="-18"/>
                <w:sz w:val="20"/>
                <w:szCs w:val="20"/>
              </w:rPr>
              <w:t xml:space="preserve"> </w:t>
            </w:r>
            <w:r>
              <w:rPr>
                <w:rFonts w:ascii="Times New Roman" w:hAnsi="Times New Roman" w:eastAsia="Times New Roman" w:cs="Times New Roman"/>
                <w:spacing w:val="5"/>
                <w:sz w:val="20"/>
                <w:szCs w:val="20"/>
              </w:rPr>
              <w:t>10</w:t>
            </w:r>
            <w:r>
              <w:rPr>
                <w:rFonts w:ascii="Times New Roman" w:hAnsi="Times New Roman" w:eastAsia="Times New Roman" w:cs="Times New Roman"/>
                <w:spacing w:val="18"/>
                <w:sz w:val="20"/>
                <w:szCs w:val="20"/>
              </w:rPr>
              <w:t xml:space="preserve"> </w:t>
            </w:r>
            <w:r>
              <w:rPr>
                <w:spacing w:val="5"/>
                <w:sz w:val="20"/>
                <w:szCs w:val="20"/>
              </w:rPr>
              <w:t>万吨负极材料项目</w:t>
            </w:r>
          </w:p>
        </w:tc>
        <w:tc>
          <w:tcPr>
            <w:tcW w:w="738" w:type="dxa"/>
            <w:vAlign w:val="top"/>
          </w:tcPr>
          <w:p w14:paraId="63F19B1B">
            <w:pPr>
              <w:spacing w:before="211"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28.9318</w:t>
            </w:r>
          </w:p>
        </w:tc>
        <w:tc>
          <w:tcPr>
            <w:tcW w:w="850" w:type="dxa"/>
            <w:vAlign w:val="top"/>
          </w:tcPr>
          <w:p w14:paraId="7FA6EB9F">
            <w:pPr>
              <w:spacing w:before="211"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208.6506</w:t>
            </w:r>
          </w:p>
        </w:tc>
        <w:tc>
          <w:tcPr>
            <w:tcW w:w="738" w:type="dxa"/>
            <w:vAlign w:val="top"/>
          </w:tcPr>
          <w:p w14:paraId="0834D672">
            <w:pPr>
              <w:spacing w:before="211"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95.6192</w:t>
            </w:r>
          </w:p>
        </w:tc>
        <w:tc>
          <w:tcPr>
            <w:tcW w:w="626" w:type="dxa"/>
            <w:vAlign w:val="top"/>
          </w:tcPr>
          <w:p w14:paraId="4BFF944C">
            <w:pPr>
              <w:spacing w:before="211"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2.0018</w:t>
            </w:r>
          </w:p>
        </w:tc>
        <w:tc>
          <w:tcPr>
            <w:tcW w:w="1355" w:type="dxa"/>
            <w:vAlign w:val="top"/>
          </w:tcPr>
          <w:p w14:paraId="0C4261BE">
            <w:pPr>
              <w:spacing w:before="207" w:line="199" w:lineRule="auto"/>
              <w:ind w:left="6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355" w:type="dxa"/>
            <w:vAlign w:val="top"/>
          </w:tcPr>
          <w:p w14:paraId="221BEB74">
            <w:pPr>
              <w:spacing w:before="207" w:line="199" w:lineRule="auto"/>
              <w:ind w:left="6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622" w:type="dxa"/>
            <w:tcBorders>
              <w:right w:val="nil"/>
            </w:tcBorders>
            <w:vAlign w:val="top"/>
          </w:tcPr>
          <w:p w14:paraId="0F95C7A4">
            <w:pPr>
              <w:spacing w:before="211"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7.6067</w:t>
            </w:r>
          </w:p>
        </w:tc>
      </w:tr>
      <w:tr w14:paraId="462477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6" w:hRule="atLeast"/>
        </w:trPr>
        <w:tc>
          <w:tcPr>
            <w:tcW w:w="2780" w:type="dxa"/>
            <w:tcBorders>
              <w:left w:val="nil"/>
            </w:tcBorders>
            <w:vAlign w:val="top"/>
          </w:tcPr>
          <w:p w14:paraId="4495A11C">
            <w:pPr>
              <w:pStyle w:val="6"/>
              <w:spacing w:before="40" w:line="239" w:lineRule="auto"/>
              <w:ind w:left="10" w:right="2" w:firstLine="2"/>
              <w:jc w:val="both"/>
              <w:rPr>
                <w:sz w:val="20"/>
                <w:szCs w:val="20"/>
              </w:rPr>
            </w:pPr>
            <w:r>
              <w:rPr>
                <w:spacing w:val="12"/>
                <w:sz w:val="20"/>
                <w:szCs w:val="20"/>
              </w:rPr>
              <w:t>苏尼特右旗新蒙新材料有限公</w:t>
            </w:r>
            <w:r>
              <w:rPr>
                <w:spacing w:val="5"/>
                <w:sz w:val="20"/>
                <w:szCs w:val="20"/>
              </w:rPr>
              <w:t xml:space="preserve"> </w:t>
            </w:r>
            <w:r>
              <w:rPr>
                <w:spacing w:val="17"/>
                <w:sz w:val="20"/>
                <w:szCs w:val="20"/>
              </w:rPr>
              <w:t>司</w:t>
            </w:r>
            <w:r>
              <w:rPr>
                <w:spacing w:val="-13"/>
                <w:sz w:val="20"/>
                <w:szCs w:val="20"/>
              </w:rPr>
              <w:t xml:space="preserve"> </w:t>
            </w:r>
            <w:r>
              <w:rPr>
                <w:rFonts w:ascii="Times New Roman" w:hAnsi="Times New Roman" w:eastAsia="Times New Roman" w:cs="Times New Roman"/>
                <w:spacing w:val="17"/>
                <w:sz w:val="20"/>
                <w:szCs w:val="20"/>
              </w:rPr>
              <w:t>46.5</w:t>
            </w:r>
            <w:r>
              <w:rPr>
                <w:rFonts w:ascii="Times New Roman" w:hAnsi="Times New Roman" w:eastAsia="Times New Roman" w:cs="Times New Roman"/>
                <w:spacing w:val="36"/>
                <w:sz w:val="20"/>
                <w:szCs w:val="20"/>
              </w:rPr>
              <w:t xml:space="preserve"> </w:t>
            </w:r>
            <w:r>
              <w:rPr>
                <w:spacing w:val="17"/>
                <w:sz w:val="20"/>
                <w:szCs w:val="20"/>
              </w:rPr>
              <w:t>万吨铁合金新能源冶</w:t>
            </w:r>
            <w:r>
              <w:rPr>
                <w:sz w:val="20"/>
                <w:szCs w:val="20"/>
              </w:rPr>
              <w:t xml:space="preserve"> </w:t>
            </w:r>
            <w:r>
              <w:rPr>
                <w:spacing w:val="12"/>
                <w:sz w:val="20"/>
                <w:szCs w:val="20"/>
              </w:rPr>
              <w:t>炼、尾渣及余气余热综合利用</w:t>
            </w:r>
            <w:r>
              <w:rPr>
                <w:spacing w:val="7"/>
                <w:sz w:val="20"/>
                <w:szCs w:val="20"/>
              </w:rPr>
              <w:t xml:space="preserve"> </w:t>
            </w:r>
            <w:r>
              <w:rPr>
                <w:spacing w:val="9"/>
                <w:sz w:val="20"/>
                <w:szCs w:val="20"/>
              </w:rPr>
              <w:t>高质量发展循环经济项目</w:t>
            </w:r>
          </w:p>
        </w:tc>
        <w:tc>
          <w:tcPr>
            <w:tcW w:w="738" w:type="dxa"/>
            <w:vAlign w:val="top"/>
          </w:tcPr>
          <w:p w14:paraId="0C5AB5E4">
            <w:pPr>
              <w:spacing w:line="426" w:lineRule="auto"/>
              <w:rPr>
                <w:rFonts w:ascii="Arial"/>
                <w:sz w:val="21"/>
              </w:rPr>
            </w:pPr>
          </w:p>
          <w:p w14:paraId="193B8B61">
            <w:pPr>
              <w:spacing w:before="57" w:line="195" w:lineRule="auto"/>
              <w:ind w:left="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29.156</w:t>
            </w:r>
          </w:p>
        </w:tc>
        <w:tc>
          <w:tcPr>
            <w:tcW w:w="850" w:type="dxa"/>
            <w:vAlign w:val="top"/>
          </w:tcPr>
          <w:p w14:paraId="57C86850">
            <w:pPr>
              <w:spacing w:line="426" w:lineRule="auto"/>
              <w:rPr>
                <w:rFonts w:ascii="Arial"/>
                <w:sz w:val="21"/>
              </w:rPr>
            </w:pPr>
          </w:p>
          <w:p w14:paraId="54A9BA39">
            <w:pPr>
              <w:spacing w:before="57" w:line="195" w:lineRule="auto"/>
              <w:ind w:left="1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56.79</w:t>
            </w:r>
          </w:p>
        </w:tc>
        <w:tc>
          <w:tcPr>
            <w:tcW w:w="738" w:type="dxa"/>
            <w:vAlign w:val="top"/>
          </w:tcPr>
          <w:p w14:paraId="543806C8">
            <w:pPr>
              <w:spacing w:line="426" w:lineRule="auto"/>
              <w:rPr>
                <w:rFonts w:ascii="Arial"/>
                <w:sz w:val="21"/>
              </w:rPr>
            </w:pPr>
          </w:p>
          <w:p w14:paraId="26138C34">
            <w:pPr>
              <w:spacing w:before="57"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409.983</w:t>
            </w:r>
          </w:p>
        </w:tc>
        <w:tc>
          <w:tcPr>
            <w:tcW w:w="626" w:type="dxa"/>
            <w:vAlign w:val="top"/>
          </w:tcPr>
          <w:p w14:paraId="22BCA08E">
            <w:pPr>
              <w:spacing w:line="426" w:lineRule="auto"/>
              <w:rPr>
                <w:rFonts w:ascii="Arial"/>
                <w:sz w:val="21"/>
              </w:rPr>
            </w:pPr>
          </w:p>
          <w:p w14:paraId="59BC39E0">
            <w:pPr>
              <w:spacing w:before="57" w:line="195" w:lineRule="auto"/>
              <w:ind w:left="47"/>
              <w:rPr>
                <w:rFonts w:ascii="Times New Roman" w:hAnsi="Times New Roman" w:eastAsia="Times New Roman" w:cs="Times New Roman"/>
                <w:sz w:val="20"/>
                <w:szCs w:val="20"/>
              </w:rPr>
            </w:pPr>
            <w:r>
              <w:rPr>
                <w:rFonts w:ascii="Times New Roman" w:hAnsi="Times New Roman" w:eastAsia="Times New Roman" w:cs="Times New Roman"/>
                <w:sz w:val="20"/>
                <w:szCs w:val="20"/>
              </w:rPr>
              <w:t>11.767</w:t>
            </w:r>
          </w:p>
        </w:tc>
        <w:tc>
          <w:tcPr>
            <w:tcW w:w="1355" w:type="dxa"/>
            <w:vAlign w:val="top"/>
          </w:tcPr>
          <w:p w14:paraId="322A455D">
            <w:pPr>
              <w:spacing w:line="422" w:lineRule="auto"/>
              <w:rPr>
                <w:rFonts w:ascii="Arial"/>
                <w:sz w:val="21"/>
              </w:rPr>
            </w:pPr>
          </w:p>
          <w:p w14:paraId="1CD72B74">
            <w:pPr>
              <w:spacing w:before="57" w:line="199" w:lineRule="auto"/>
              <w:ind w:left="6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355" w:type="dxa"/>
            <w:vAlign w:val="top"/>
          </w:tcPr>
          <w:p w14:paraId="2413AD33">
            <w:pPr>
              <w:spacing w:line="422" w:lineRule="auto"/>
              <w:rPr>
                <w:rFonts w:ascii="Arial"/>
                <w:sz w:val="21"/>
              </w:rPr>
            </w:pPr>
          </w:p>
          <w:p w14:paraId="43F949A9">
            <w:pPr>
              <w:spacing w:before="57" w:line="199" w:lineRule="auto"/>
              <w:ind w:left="6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622" w:type="dxa"/>
            <w:tcBorders>
              <w:right w:val="nil"/>
            </w:tcBorders>
            <w:vAlign w:val="top"/>
          </w:tcPr>
          <w:p w14:paraId="771EFF71">
            <w:pPr>
              <w:spacing w:line="422" w:lineRule="auto"/>
              <w:rPr>
                <w:rFonts w:ascii="Arial"/>
                <w:sz w:val="21"/>
              </w:rPr>
            </w:pPr>
          </w:p>
          <w:p w14:paraId="381AB008">
            <w:pPr>
              <w:spacing w:before="57" w:line="199" w:lineRule="auto"/>
              <w:ind w:left="28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4E226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0" w:hRule="atLeast"/>
        </w:trPr>
        <w:tc>
          <w:tcPr>
            <w:tcW w:w="2780" w:type="dxa"/>
            <w:tcBorders>
              <w:left w:val="nil"/>
              <w:bottom w:val="single" w:color="000000" w:sz="10" w:space="0"/>
            </w:tcBorders>
            <w:vAlign w:val="top"/>
          </w:tcPr>
          <w:p w14:paraId="1C2B76C8">
            <w:pPr>
              <w:pStyle w:val="6"/>
              <w:spacing w:before="50"/>
              <w:ind w:left="7" w:right="4" w:firstLine="5"/>
              <w:jc w:val="both"/>
              <w:rPr>
                <w:sz w:val="20"/>
                <w:szCs w:val="20"/>
              </w:rPr>
            </w:pPr>
            <w:r>
              <w:rPr>
                <w:spacing w:val="8"/>
                <w:sz w:val="20"/>
                <w:szCs w:val="20"/>
              </w:rPr>
              <w:t>苏尼特右旗华兴实业有限公司</w:t>
            </w:r>
            <w:r>
              <w:rPr>
                <w:spacing w:val="11"/>
                <w:sz w:val="20"/>
                <w:szCs w:val="20"/>
              </w:rPr>
              <w:t xml:space="preserve"> </w:t>
            </w:r>
            <w:r>
              <w:rPr>
                <w:rFonts w:ascii="Times New Roman" w:hAnsi="Times New Roman" w:eastAsia="Times New Roman" w:cs="Times New Roman"/>
                <w:spacing w:val="10"/>
                <w:sz w:val="20"/>
                <w:szCs w:val="20"/>
              </w:rPr>
              <w:t>1×35400</w:t>
            </w:r>
            <w:r>
              <w:rPr>
                <w:rFonts w:ascii="Times New Roman" w:hAnsi="Times New Roman" w:eastAsia="Times New Roman" w:cs="Times New Roman"/>
                <w:sz w:val="20"/>
                <w:szCs w:val="20"/>
              </w:rPr>
              <w:t>KVA</w:t>
            </w:r>
            <w:r>
              <w:rPr>
                <w:rFonts w:ascii="Times New Roman" w:hAnsi="Times New Roman" w:eastAsia="Times New Roman" w:cs="Times New Roman"/>
                <w:spacing w:val="27"/>
                <w:w w:val="101"/>
                <w:sz w:val="20"/>
                <w:szCs w:val="20"/>
              </w:rPr>
              <w:t xml:space="preserve"> </w:t>
            </w:r>
            <w:r>
              <w:rPr>
                <w:spacing w:val="10"/>
                <w:sz w:val="20"/>
                <w:szCs w:val="20"/>
              </w:rPr>
              <w:t>全密闭锰硅合金</w:t>
            </w:r>
            <w:r>
              <w:rPr>
                <w:sz w:val="20"/>
                <w:szCs w:val="20"/>
              </w:rPr>
              <w:t xml:space="preserve"> </w:t>
            </w:r>
            <w:r>
              <w:rPr>
                <w:spacing w:val="8"/>
                <w:sz w:val="20"/>
                <w:szCs w:val="20"/>
              </w:rPr>
              <w:t>矿热炉项目</w:t>
            </w:r>
          </w:p>
        </w:tc>
        <w:tc>
          <w:tcPr>
            <w:tcW w:w="738" w:type="dxa"/>
            <w:tcBorders>
              <w:bottom w:val="single" w:color="000000" w:sz="10" w:space="0"/>
            </w:tcBorders>
            <w:vAlign w:val="top"/>
          </w:tcPr>
          <w:p w14:paraId="1842FA06">
            <w:pPr>
              <w:spacing w:line="300" w:lineRule="auto"/>
              <w:rPr>
                <w:rFonts w:ascii="Arial"/>
                <w:sz w:val="21"/>
              </w:rPr>
            </w:pPr>
          </w:p>
          <w:p w14:paraId="7BEADD76">
            <w:pPr>
              <w:spacing w:before="58" w:line="195" w:lineRule="auto"/>
              <w:ind w:left="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23.361</w:t>
            </w:r>
          </w:p>
        </w:tc>
        <w:tc>
          <w:tcPr>
            <w:tcW w:w="850" w:type="dxa"/>
            <w:tcBorders>
              <w:bottom w:val="single" w:color="000000" w:sz="10" w:space="0"/>
            </w:tcBorders>
            <w:vAlign w:val="top"/>
          </w:tcPr>
          <w:p w14:paraId="7B3766C4">
            <w:pPr>
              <w:spacing w:line="300" w:lineRule="auto"/>
              <w:rPr>
                <w:rFonts w:ascii="Arial"/>
                <w:sz w:val="21"/>
              </w:rPr>
            </w:pPr>
          </w:p>
          <w:p w14:paraId="1CD0ECE4">
            <w:pPr>
              <w:spacing w:before="58" w:line="195" w:lineRule="auto"/>
              <w:ind w:left="18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43.54</w:t>
            </w:r>
          </w:p>
        </w:tc>
        <w:tc>
          <w:tcPr>
            <w:tcW w:w="738" w:type="dxa"/>
            <w:tcBorders>
              <w:bottom w:val="single" w:color="000000" w:sz="10" w:space="0"/>
            </w:tcBorders>
            <w:vAlign w:val="top"/>
          </w:tcPr>
          <w:p w14:paraId="638CD202">
            <w:pPr>
              <w:spacing w:line="300" w:lineRule="auto"/>
              <w:rPr>
                <w:rFonts w:ascii="Arial"/>
                <w:sz w:val="21"/>
              </w:rPr>
            </w:pPr>
          </w:p>
          <w:p w14:paraId="316A2B3E">
            <w:pPr>
              <w:spacing w:before="58" w:line="195" w:lineRule="auto"/>
              <w:ind w:left="1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58.94</w:t>
            </w:r>
          </w:p>
        </w:tc>
        <w:tc>
          <w:tcPr>
            <w:tcW w:w="626" w:type="dxa"/>
            <w:tcBorders>
              <w:bottom w:val="single" w:color="000000" w:sz="10" w:space="0"/>
            </w:tcBorders>
            <w:vAlign w:val="top"/>
          </w:tcPr>
          <w:p w14:paraId="24214298">
            <w:pPr>
              <w:spacing w:line="300" w:lineRule="auto"/>
              <w:rPr>
                <w:rFonts w:ascii="Arial"/>
                <w:sz w:val="21"/>
              </w:rPr>
            </w:pPr>
          </w:p>
          <w:p w14:paraId="6EE012F0">
            <w:pPr>
              <w:spacing w:before="58" w:line="195" w:lineRule="auto"/>
              <w:ind w:left="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0.809</w:t>
            </w:r>
          </w:p>
        </w:tc>
        <w:tc>
          <w:tcPr>
            <w:tcW w:w="1355" w:type="dxa"/>
            <w:tcBorders>
              <w:bottom w:val="single" w:color="000000" w:sz="10" w:space="0"/>
            </w:tcBorders>
            <w:vAlign w:val="top"/>
          </w:tcPr>
          <w:p w14:paraId="313295EB">
            <w:pPr>
              <w:spacing w:line="297" w:lineRule="auto"/>
              <w:rPr>
                <w:rFonts w:ascii="Arial"/>
                <w:sz w:val="21"/>
              </w:rPr>
            </w:pPr>
          </w:p>
          <w:p w14:paraId="49CAD188">
            <w:pPr>
              <w:spacing w:before="57" w:line="199" w:lineRule="auto"/>
              <w:ind w:left="6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355" w:type="dxa"/>
            <w:tcBorders>
              <w:bottom w:val="single" w:color="000000" w:sz="10" w:space="0"/>
            </w:tcBorders>
            <w:vAlign w:val="top"/>
          </w:tcPr>
          <w:p w14:paraId="48C40F78">
            <w:pPr>
              <w:spacing w:line="297" w:lineRule="auto"/>
              <w:rPr>
                <w:rFonts w:ascii="Arial"/>
                <w:sz w:val="21"/>
              </w:rPr>
            </w:pPr>
          </w:p>
          <w:p w14:paraId="178EFDB1">
            <w:pPr>
              <w:spacing w:before="57" w:line="199" w:lineRule="auto"/>
              <w:ind w:left="6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622" w:type="dxa"/>
            <w:tcBorders>
              <w:bottom w:val="single" w:color="000000" w:sz="10" w:space="0"/>
              <w:right w:val="nil"/>
            </w:tcBorders>
            <w:vAlign w:val="top"/>
          </w:tcPr>
          <w:p w14:paraId="3C16AEE2">
            <w:pPr>
              <w:spacing w:line="297" w:lineRule="auto"/>
              <w:rPr>
                <w:rFonts w:ascii="Arial"/>
                <w:sz w:val="21"/>
              </w:rPr>
            </w:pPr>
          </w:p>
          <w:p w14:paraId="7F222307">
            <w:pPr>
              <w:spacing w:before="57" w:line="199" w:lineRule="auto"/>
              <w:ind w:left="28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bl>
    <w:p w14:paraId="79175B5E">
      <w:pPr>
        <w:spacing w:before="37" w:line="219" w:lineRule="auto"/>
        <w:ind w:left="606"/>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）交通运输污染源增加量调查</w:t>
      </w:r>
    </w:p>
    <w:p w14:paraId="43B1FCF3">
      <w:pPr>
        <w:spacing w:before="181" w:line="354" w:lineRule="auto"/>
        <w:ind w:left="113" w:right="104" w:firstLine="481"/>
        <w:jc w:val="both"/>
        <w:rPr>
          <w:rFonts w:ascii="宋体" w:hAnsi="宋体" w:eastAsia="宋体" w:cs="宋体"/>
          <w:sz w:val="24"/>
          <w:szCs w:val="24"/>
        </w:rPr>
      </w:pPr>
      <w:r>
        <w:rPr>
          <w:rFonts w:ascii="宋体" w:hAnsi="宋体" w:eastAsia="宋体" w:cs="宋体"/>
          <w:spacing w:val="-1"/>
          <w:sz w:val="24"/>
          <w:szCs w:val="24"/>
        </w:rPr>
        <w:t>本项目新建</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 xml:space="preserve">6×36000MW </w:t>
      </w:r>
      <w:r>
        <w:rPr>
          <w:rFonts w:ascii="宋体" w:hAnsi="宋体" w:eastAsia="宋体" w:cs="宋体"/>
          <w:spacing w:val="-1"/>
          <w:sz w:val="24"/>
          <w:szCs w:val="24"/>
        </w:rPr>
        <w:t>直流锰硅合金全密闭电炉及配套辅助附</w:t>
      </w:r>
      <w:r>
        <w:rPr>
          <w:rFonts w:ascii="宋体" w:hAnsi="宋体" w:eastAsia="宋体" w:cs="宋体"/>
          <w:spacing w:val="-2"/>
          <w:sz w:val="24"/>
          <w:szCs w:val="24"/>
        </w:rPr>
        <w:t>属设施，建成后运</w:t>
      </w:r>
      <w:r>
        <w:rPr>
          <w:rFonts w:ascii="宋体" w:hAnsi="宋体" w:eastAsia="宋体" w:cs="宋体"/>
          <w:sz w:val="24"/>
          <w:szCs w:val="24"/>
        </w:rPr>
        <w:t xml:space="preserve"> </w:t>
      </w:r>
      <w:r>
        <w:rPr>
          <w:rFonts w:ascii="宋体" w:hAnsi="宋体" w:eastAsia="宋体" w:cs="宋体"/>
          <w:spacing w:val="-2"/>
          <w:sz w:val="24"/>
          <w:szCs w:val="24"/>
        </w:rPr>
        <w:t>输总量为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2072162.48</w:t>
      </w:r>
      <w:r>
        <w:rPr>
          <w:rFonts w:ascii="Times New Roman" w:hAnsi="Times New Roman" w:eastAsia="Times New Roman" w:cs="Times New Roman"/>
          <w:spacing w:val="21"/>
          <w:sz w:val="24"/>
          <w:szCs w:val="24"/>
        </w:rPr>
        <w:t xml:space="preserve"> </w:t>
      </w:r>
      <w:r>
        <w:rPr>
          <w:rFonts w:ascii="宋体" w:hAnsi="宋体" w:eastAsia="宋体" w:cs="宋体"/>
          <w:spacing w:val="-2"/>
          <w:sz w:val="24"/>
          <w:szCs w:val="24"/>
        </w:rPr>
        <w:t>吨</w:t>
      </w:r>
      <w:r>
        <w:rPr>
          <w:rFonts w:ascii="Times New Roman" w:hAnsi="Times New Roman" w:eastAsia="Times New Roman" w:cs="Times New Roman"/>
          <w:spacing w:val="-2"/>
          <w:sz w:val="24"/>
          <w:szCs w:val="24"/>
        </w:rPr>
        <w:t>/</w:t>
      </w:r>
      <w:r>
        <w:rPr>
          <w:rFonts w:ascii="宋体" w:hAnsi="宋体" w:eastAsia="宋体" w:cs="宋体"/>
          <w:spacing w:val="-2"/>
          <w:sz w:val="24"/>
          <w:szCs w:val="24"/>
        </w:rPr>
        <w:t>年，运入量为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1388466.</w:t>
      </w:r>
      <w:r>
        <w:rPr>
          <w:rFonts w:ascii="Times New Roman" w:hAnsi="Times New Roman" w:eastAsia="Times New Roman" w:cs="Times New Roman"/>
          <w:spacing w:val="-3"/>
          <w:sz w:val="24"/>
          <w:szCs w:val="24"/>
        </w:rPr>
        <w:t>48</w:t>
      </w:r>
      <w:r>
        <w:rPr>
          <w:rFonts w:ascii="Times New Roman" w:hAnsi="Times New Roman" w:eastAsia="Times New Roman" w:cs="Times New Roman"/>
          <w:spacing w:val="21"/>
          <w:sz w:val="24"/>
          <w:szCs w:val="24"/>
        </w:rPr>
        <w:t xml:space="preserve"> </w:t>
      </w:r>
      <w:r>
        <w:rPr>
          <w:rFonts w:ascii="宋体" w:hAnsi="宋体" w:eastAsia="宋体" w:cs="宋体"/>
          <w:spacing w:val="-3"/>
          <w:sz w:val="24"/>
          <w:szCs w:val="24"/>
        </w:rPr>
        <w:t>吨</w:t>
      </w:r>
      <w:r>
        <w:rPr>
          <w:rFonts w:ascii="Times New Roman" w:hAnsi="Times New Roman" w:eastAsia="Times New Roman" w:cs="Times New Roman"/>
          <w:spacing w:val="-3"/>
          <w:sz w:val="24"/>
          <w:szCs w:val="24"/>
        </w:rPr>
        <w:t>/</w:t>
      </w:r>
      <w:r>
        <w:rPr>
          <w:rFonts w:ascii="宋体" w:hAnsi="宋体" w:eastAsia="宋体" w:cs="宋体"/>
          <w:spacing w:val="-3"/>
          <w:sz w:val="24"/>
          <w:szCs w:val="24"/>
        </w:rPr>
        <w:t>年，运出量为</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683696</w:t>
      </w:r>
      <w:r>
        <w:rPr>
          <w:rFonts w:ascii="Times New Roman" w:hAnsi="Times New Roman" w:eastAsia="Times New Roman" w:cs="Times New Roman"/>
          <w:spacing w:val="21"/>
          <w:sz w:val="24"/>
          <w:szCs w:val="24"/>
        </w:rPr>
        <w:t xml:space="preserve"> </w:t>
      </w:r>
      <w:r>
        <w:rPr>
          <w:rFonts w:ascii="宋体" w:hAnsi="宋体" w:eastAsia="宋体" w:cs="宋体"/>
          <w:spacing w:val="-3"/>
          <w:sz w:val="24"/>
          <w:szCs w:val="24"/>
        </w:rPr>
        <w:t>吨</w:t>
      </w:r>
      <w:r>
        <w:rPr>
          <w:rFonts w:ascii="Times New Roman" w:hAnsi="Times New Roman" w:eastAsia="Times New Roman" w:cs="Times New Roman"/>
          <w:spacing w:val="-3"/>
          <w:sz w:val="24"/>
          <w:szCs w:val="24"/>
        </w:rPr>
        <w:t>/</w:t>
      </w:r>
      <w:r>
        <w:rPr>
          <w:rFonts w:ascii="宋体" w:hAnsi="宋体" w:eastAsia="宋体" w:cs="宋体"/>
          <w:spacing w:val="-3"/>
          <w:sz w:val="24"/>
          <w:szCs w:val="24"/>
        </w:rPr>
        <w:t>年，其中</w:t>
      </w:r>
      <w:r>
        <w:rPr>
          <w:rFonts w:ascii="宋体" w:hAnsi="宋体" w:eastAsia="宋体" w:cs="宋体"/>
          <w:sz w:val="24"/>
          <w:szCs w:val="24"/>
        </w:rPr>
        <w:t xml:space="preserve"> </w:t>
      </w:r>
      <w:r>
        <w:rPr>
          <w:rFonts w:ascii="宋体" w:hAnsi="宋体" w:eastAsia="宋体" w:cs="宋体"/>
          <w:spacing w:val="-1"/>
          <w:sz w:val="24"/>
          <w:szCs w:val="24"/>
        </w:rPr>
        <w:t>外运产品量为</w:t>
      </w:r>
      <w:r>
        <w:rPr>
          <w:rFonts w:ascii="宋体" w:hAnsi="宋体" w:eastAsia="宋体" w:cs="宋体"/>
          <w:spacing w:val="-47"/>
          <w:sz w:val="24"/>
          <w:szCs w:val="24"/>
        </w:rPr>
        <w:t xml:space="preserve"> </w:t>
      </w:r>
      <w:r>
        <w:rPr>
          <w:rFonts w:ascii="Times New Roman" w:hAnsi="Times New Roman" w:eastAsia="Times New Roman" w:cs="Times New Roman"/>
          <w:spacing w:val="-1"/>
          <w:sz w:val="24"/>
          <w:szCs w:val="24"/>
        </w:rPr>
        <w:t>450000</w:t>
      </w:r>
      <w:r>
        <w:rPr>
          <w:rFonts w:ascii="Times New Roman" w:hAnsi="Times New Roman" w:eastAsia="Times New Roman" w:cs="Times New Roman"/>
          <w:spacing w:val="21"/>
          <w:sz w:val="24"/>
          <w:szCs w:val="24"/>
        </w:rPr>
        <w:t xml:space="preserve"> </w:t>
      </w:r>
      <w:r>
        <w:rPr>
          <w:rFonts w:ascii="宋体" w:hAnsi="宋体" w:eastAsia="宋体" w:cs="宋体"/>
          <w:spacing w:val="-1"/>
          <w:sz w:val="24"/>
          <w:szCs w:val="24"/>
        </w:rPr>
        <w:t>吨</w:t>
      </w:r>
      <w:r>
        <w:rPr>
          <w:rFonts w:ascii="Times New Roman" w:hAnsi="Times New Roman" w:eastAsia="Times New Roman" w:cs="Times New Roman"/>
          <w:spacing w:val="-1"/>
          <w:sz w:val="24"/>
          <w:szCs w:val="24"/>
        </w:rPr>
        <w:t>/</w:t>
      </w:r>
      <w:r>
        <w:rPr>
          <w:rFonts w:ascii="宋体" w:hAnsi="宋体" w:eastAsia="宋体" w:cs="宋体"/>
          <w:spacing w:val="-1"/>
          <w:sz w:val="24"/>
          <w:szCs w:val="24"/>
        </w:rPr>
        <w:t>年，交通运输方式均为汽运，采用拖挂车运输，平均运输载重</w:t>
      </w:r>
      <w:r>
        <w:rPr>
          <w:rFonts w:ascii="宋体" w:hAnsi="宋体" w:eastAsia="宋体" w:cs="宋体"/>
          <w:sz w:val="24"/>
          <w:szCs w:val="24"/>
        </w:rPr>
        <w:t xml:space="preserve"> </w:t>
      </w:r>
      <w:r>
        <w:rPr>
          <w:rFonts w:ascii="宋体" w:hAnsi="宋体" w:eastAsia="宋体" w:cs="宋体"/>
          <w:spacing w:val="-8"/>
          <w:sz w:val="24"/>
          <w:szCs w:val="24"/>
        </w:rPr>
        <w:t>量</w:t>
      </w:r>
      <w:r>
        <w:rPr>
          <w:rFonts w:ascii="宋体" w:hAnsi="宋体" w:eastAsia="宋体" w:cs="宋体"/>
          <w:spacing w:val="-50"/>
          <w:sz w:val="24"/>
          <w:szCs w:val="24"/>
        </w:rPr>
        <w:t xml:space="preserve"> </w:t>
      </w:r>
      <w:r>
        <w:rPr>
          <w:rFonts w:ascii="Times New Roman" w:hAnsi="Times New Roman" w:eastAsia="Times New Roman" w:cs="Times New Roman"/>
          <w:spacing w:val="-8"/>
          <w:sz w:val="24"/>
          <w:szCs w:val="24"/>
        </w:rPr>
        <w:t>60</w:t>
      </w:r>
      <w:r>
        <w:rPr>
          <w:rFonts w:ascii="Times New Roman" w:hAnsi="Times New Roman" w:eastAsia="Times New Roman" w:cs="Times New Roman"/>
          <w:spacing w:val="20"/>
          <w:w w:val="101"/>
          <w:sz w:val="24"/>
          <w:szCs w:val="24"/>
        </w:rPr>
        <w:t xml:space="preserve"> </w:t>
      </w:r>
      <w:r>
        <w:rPr>
          <w:rFonts w:ascii="宋体" w:hAnsi="宋体" w:eastAsia="宋体" w:cs="宋体"/>
          <w:spacing w:val="-8"/>
          <w:sz w:val="24"/>
          <w:szCs w:val="24"/>
        </w:rPr>
        <w:t>吨。</w:t>
      </w:r>
    </w:p>
    <w:p w14:paraId="263405C8">
      <w:pPr>
        <w:spacing w:before="29" w:line="350" w:lineRule="auto"/>
        <w:ind w:left="113" w:right="103" w:firstLine="481"/>
        <w:jc w:val="both"/>
        <w:rPr>
          <w:rFonts w:ascii="宋体" w:hAnsi="宋体" w:eastAsia="宋体" w:cs="宋体"/>
          <w:sz w:val="24"/>
          <w:szCs w:val="24"/>
        </w:rPr>
      </w:pPr>
      <w:r>
        <w:rPr>
          <w:rFonts w:ascii="宋体" w:hAnsi="宋体" w:eastAsia="宋体" w:cs="宋体"/>
          <w:spacing w:val="-1"/>
          <w:sz w:val="24"/>
          <w:szCs w:val="24"/>
        </w:rPr>
        <w:t>本项目建成后运入车次量为</w:t>
      </w:r>
      <w:r>
        <w:rPr>
          <w:rFonts w:ascii="宋体" w:hAnsi="宋体" w:eastAsia="宋体" w:cs="宋体"/>
          <w:spacing w:val="-39"/>
          <w:sz w:val="24"/>
          <w:szCs w:val="24"/>
        </w:rPr>
        <w:t xml:space="preserve"> </w:t>
      </w:r>
      <w:r>
        <w:rPr>
          <w:rFonts w:ascii="Times New Roman" w:hAnsi="Times New Roman" w:eastAsia="Times New Roman" w:cs="Times New Roman"/>
          <w:spacing w:val="-1"/>
          <w:sz w:val="24"/>
          <w:szCs w:val="24"/>
        </w:rPr>
        <w:t>23141</w:t>
      </w:r>
      <w:r>
        <w:rPr>
          <w:rFonts w:ascii="Times New Roman" w:hAnsi="Times New Roman" w:eastAsia="Times New Roman" w:cs="Times New Roman"/>
          <w:spacing w:val="16"/>
          <w:sz w:val="24"/>
          <w:szCs w:val="24"/>
        </w:rPr>
        <w:t xml:space="preserve"> </w:t>
      </w:r>
      <w:r>
        <w:rPr>
          <w:rFonts w:ascii="宋体" w:hAnsi="宋体" w:eastAsia="宋体" w:cs="宋体"/>
          <w:spacing w:val="-1"/>
          <w:sz w:val="24"/>
          <w:szCs w:val="24"/>
        </w:rPr>
        <w:t>次</w:t>
      </w:r>
      <w:r>
        <w:rPr>
          <w:rFonts w:ascii="Times New Roman" w:hAnsi="Times New Roman" w:eastAsia="Times New Roman" w:cs="Times New Roman"/>
          <w:spacing w:val="-1"/>
          <w:sz w:val="24"/>
          <w:szCs w:val="24"/>
        </w:rPr>
        <w:t>/</w:t>
      </w:r>
      <w:r>
        <w:rPr>
          <w:rFonts w:ascii="宋体" w:hAnsi="宋体" w:eastAsia="宋体" w:cs="宋体"/>
          <w:spacing w:val="-1"/>
          <w:sz w:val="24"/>
          <w:szCs w:val="24"/>
        </w:rPr>
        <w:t>年，运出车次量为</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11395</w:t>
      </w:r>
      <w:r>
        <w:rPr>
          <w:rFonts w:ascii="Times New Roman" w:hAnsi="Times New Roman" w:eastAsia="Times New Roman" w:cs="Times New Roman"/>
          <w:spacing w:val="18"/>
          <w:sz w:val="24"/>
          <w:szCs w:val="24"/>
        </w:rPr>
        <w:t xml:space="preserve"> </w:t>
      </w:r>
      <w:r>
        <w:rPr>
          <w:rFonts w:ascii="宋体" w:hAnsi="宋体" w:eastAsia="宋体" w:cs="宋体"/>
          <w:spacing w:val="-1"/>
          <w:sz w:val="24"/>
          <w:szCs w:val="24"/>
        </w:rPr>
        <w:t>次</w:t>
      </w:r>
      <w:r>
        <w:rPr>
          <w:rFonts w:ascii="Times New Roman" w:hAnsi="Times New Roman" w:eastAsia="Times New Roman" w:cs="Times New Roman"/>
          <w:spacing w:val="-1"/>
          <w:sz w:val="24"/>
          <w:szCs w:val="24"/>
        </w:rPr>
        <w:t>/</w:t>
      </w:r>
      <w:r>
        <w:rPr>
          <w:rFonts w:ascii="宋体" w:hAnsi="宋体" w:eastAsia="宋体" w:cs="宋体"/>
          <w:spacing w:val="-1"/>
          <w:sz w:val="24"/>
          <w:szCs w:val="24"/>
        </w:rPr>
        <w:t>年，来料运输车</w:t>
      </w:r>
      <w:r>
        <w:rPr>
          <w:rFonts w:ascii="宋体" w:hAnsi="宋体" w:eastAsia="宋体" w:cs="宋体"/>
          <w:sz w:val="24"/>
          <w:szCs w:val="24"/>
        </w:rPr>
        <w:t xml:space="preserve"> </w:t>
      </w:r>
      <w:r>
        <w:rPr>
          <w:rFonts w:ascii="宋体" w:hAnsi="宋体" w:eastAsia="宋体" w:cs="宋体"/>
          <w:spacing w:val="2"/>
          <w:sz w:val="24"/>
          <w:szCs w:val="24"/>
        </w:rPr>
        <w:t>辆同时运走产品，重复车次为</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7500</w:t>
      </w:r>
      <w:r>
        <w:rPr>
          <w:rFonts w:ascii="Times New Roman" w:hAnsi="Times New Roman" w:eastAsia="Times New Roman" w:cs="Times New Roman"/>
          <w:spacing w:val="20"/>
          <w:w w:val="101"/>
          <w:sz w:val="24"/>
          <w:szCs w:val="24"/>
        </w:rPr>
        <w:t xml:space="preserve"> </w:t>
      </w:r>
      <w:r>
        <w:rPr>
          <w:rFonts w:ascii="宋体" w:hAnsi="宋体" w:eastAsia="宋体" w:cs="宋体"/>
          <w:spacing w:val="2"/>
          <w:sz w:val="24"/>
          <w:szCs w:val="24"/>
        </w:rPr>
        <w:t>次</w:t>
      </w:r>
      <w:r>
        <w:rPr>
          <w:rFonts w:ascii="Times New Roman" w:hAnsi="Times New Roman" w:eastAsia="Times New Roman" w:cs="Times New Roman"/>
          <w:spacing w:val="2"/>
          <w:sz w:val="24"/>
          <w:szCs w:val="24"/>
        </w:rPr>
        <w:t>/</w:t>
      </w:r>
      <w:r>
        <w:rPr>
          <w:rFonts w:ascii="宋体" w:hAnsi="宋体" w:eastAsia="宋体" w:cs="宋体"/>
          <w:spacing w:val="2"/>
          <w:sz w:val="24"/>
          <w:szCs w:val="24"/>
        </w:rPr>
        <w:t>年，年总运输车次为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27036</w:t>
      </w:r>
      <w:r>
        <w:rPr>
          <w:rFonts w:ascii="Times New Roman" w:hAnsi="Times New Roman" w:eastAsia="Times New Roman" w:cs="Times New Roman"/>
          <w:spacing w:val="23"/>
          <w:sz w:val="24"/>
          <w:szCs w:val="24"/>
        </w:rPr>
        <w:t xml:space="preserve"> </w:t>
      </w:r>
      <w:r>
        <w:rPr>
          <w:rFonts w:ascii="宋体" w:hAnsi="宋体" w:eastAsia="宋体" w:cs="宋体"/>
          <w:spacing w:val="2"/>
          <w:sz w:val="24"/>
          <w:szCs w:val="24"/>
        </w:rPr>
        <w:t>次</w:t>
      </w:r>
      <w:r>
        <w:rPr>
          <w:rFonts w:ascii="Times New Roman" w:hAnsi="Times New Roman" w:eastAsia="Times New Roman" w:cs="Times New Roman"/>
          <w:spacing w:val="2"/>
          <w:sz w:val="24"/>
          <w:szCs w:val="24"/>
        </w:rPr>
        <w:t>/</w:t>
      </w:r>
      <w:r>
        <w:rPr>
          <w:rFonts w:ascii="宋体" w:hAnsi="宋体" w:eastAsia="宋体" w:cs="宋体"/>
          <w:spacing w:val="2"/>
          <w:sz w:val="24"/>
          <w:szCs w:val="24"/>
        </w:rPr>
        <w:t>年，交通流量为</w:t>
      </w:r>
      <w:r>
        <w:rPr>
          <w:rFonts w:ascii="宋体" w:hAnsi="宋体" w:eastAsia="宋体" w:cs="宋体"/>
          <w:sz w:val="24"/>
          <w:szCs w:val="24"/>
        </w:rPr>
        <w:t xml:space="preserve"> </w:t>
      </w:r>
      <w:r>
        <w:rPr>
          <w:rFonts w:ascii="Times New Roman" w:hAnsi="Times New Roman" w:eastAsia="Times New Roman" w:cs="Times New Roman"/>
          <w:spacing w:val="-1"/>
          <w:sz w:val="24"/>
          <w:szCs w:val="24"/>
        </w:rPr>
        <w:t xml:space="preserve">82 </w:t>
      </w:r>
      <w:r>
        <w:rPr>
          <w:rFonts w:ascii="宋体" w:hAnsi="宋体" w:eastAsia="宋体" w:cs="宋体"/>
          <w:spacing w:val="-1"/>
          <w:sz w:val="24"/>
          <w:szCs w:val="24"/>
        </w:rPr>
        <w:t>辆（拖挂）</w:t>
      </w:r>
      <w:r>
        <w:rPr>
          <w:rFonts w:ascii="Times New Roman" w:hAnsi="Times New Roman" w:eastAsia="Times New Roman" w:cs="Times New Roman"/>
          <w:spacing w:val="-1"/>
          <w:sz w:val="24"/>
          <w:szCs w:val="24"/>
        </w:rPr>
        <w:t>/d</w:t>
      </w:r>
      <w:r>
        <w:rPr>
          <w:rFonts w:ascii="宋体" w:hAnsi="宋体" w:eastAsia="宋体" w:cs="宋体"/>
          <w:spacing w:val="-1"/>
          <w:sz w:val="24"/>
          <w:szCs w:val="24"/>
        </w:rPr>
        <w:t>。</w:t>
      </w:r>
    </w:p>
    <w:p w14:paraId="0233EEDE">
      <w:pPr>
        <w:spacing w:line="350" w:lineRule="auto"/>
        <w:rPr>
          <w:rFonts w:ascii="宋体" w:hAnsi="宋体" w:eastAsia="宋体" w:cs="宋体"/>
          <w:sz w:val="24"/>
          <w:szCs w:val="24"/>
        </w:rPr>
        <w:sectPr>
          <w:headerReference r:id="rId244" w:type="default"/>
          <w:footerReference r:id="rId245" w:type="default"/>
          <w:pgSz w:w="11906" w:h="16839"/>
          <w:pgMar w:top="1190" w:right="1314" w:bottom="1012" w:left="1313" w:header="882" w:footer="850" w:gutter="0"/>
          <w:cols w:space="720" w:num="1"/>
        </w:sectPr>
      </w:pPr>
    </w:p>
    <w:p w14:paraId="1387D6AA">
      <w:pPr>
        <w:spacing w:line="28" w:lineRule="exact"/>
        <w:ind w:firstLine="11"/>
      </w:pPr>
      <w:r>
        <w:pict>
          <v:shape id="_x0000_s1274" o:spid="_x0000_s1274" style="height:1.45pt;width:453.55pt;" fillcolor="#000000" filled="t" stroked="f" coordsize="9070,29" path="m0,0l9070,0,9070,28,0,28,0,0xe">
            <v:path/>
            <v:fill on="t" focussize="0,0"/>
            <v:stroke on="f"/>
            <v:imagedata o:title=""/>
            <o:lock v:ext="edit"/>
            <w10:wrap type="none"/>
            <w10:anchorlock/>
          </v:shape>
        </w:pict>
      </w:r>
    </w:p>
    <w:p w14:paraId="497A813E">
      <w:pPr>
        <w:spacing w:before="234" w:line="350" w:lineRule="auto"/>
        <w:ind w:left="20" w:right="11" w:firstLine="481"/>
        <w:rPr>
          <w:rFonts w:ascii="宋体" w:hAnsi="宋体" w:eastAsia="宋体" w:cs="宋体"/>
          <w:sz w:val="24"/>
          <w:szCs w:val="24"/>
        </w:rPr>
      </w:pPr>
      <w:r>
        <w:rPr>
          <w:rFonts w:ascii="宋体" w:hAnsi="宋体" w:eastAsia="宋体" w:cs="宋体"/>
          <w:spacing w:val="-2"/>
          <w:sz w:val="24"/>
          <w:szCs w:val="24"/>
        </w:rPr>
        <w:t>本次评价将拖挂车折算为标准小型车进行污染物排放量的核算，类比公路环境影响</w:t>
      </w:r>
      <w:r>
        <w:rPr>
          <w:rFonts w:ascii="宋体" w:hAnsi="宋体" w:eastAsia="宋体" w:cs="宋体"/>
          <w:spacing w:val="10"/>
          <w:sz w:val="24"/>
          <w:szCs w:val="24"/>
        </w:rPr>
        <w:t xml:space="preserve"> </w:t>
      </w:r>
      <w:r>
        <w:rPr>
          <w:rFonts w:ascii="宋体" w:hAnsi="宋体" w:eastAsia="宋体" w:cs="宋体"/>
          <w:spacing w:val="-1"/>
          <w:sz w:val="24"/>
          <w:szCs w:val="24"/>
        </w:rPr>
        <w:t>评价各车型折算为标准小型车的折算系数，拖挂车折算为标准小型车的折算系数为</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3</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w:t>
      </w:r>
      <w:r>
        <w:rPr>
          <w:rFonts w:ascii="宋体" w:hAnsi="宋体" w:eastAsia="宋体" w:cs="宋体"/>
          <w:sz w:val="24"/>
          <w:szCs w:val="24"/>
        </w:rPr>
        <w:t xml:space="preserve"> </w:t>
      </w:r>
      <w:r>
        <w:rPr>
          <w:rFonts w:ascii="宋体" w:hAnsi="宋体" w:eastAsia="宋体" w:cs="宋体"/>
          <w:spacing w:val="-1"/>
          <w:sz w:val="24"/>
          <w:szCs w:val="24"/>
        </w:rPr>
        <w:t>则交通流量折算为标准小型车的交通流量为</w:t>
      </w:r>
      <w:r>
        <w:rPr>
          <w:rFonts w:ascii="宋体" w:hAnsi="宋体" w:eastAsia="宋体" w:cs="宋体"/>
          <w:spacing w:val="-42"/>
          <w:sz w:val="24"/>
          <w:szCs w:val="24"/>
        </w:rPr>
        <w:t xml:space="preserve"> </w:t>
      </w:r>
      <w:r>
        <w:rPr>
          <w:rFonts w:ascii="Times New Roman" w:hAnsi="Times New Roman" w:eastAsia="Times New Roman" w:cs="Times New Roman"/>
          <w:spacing w:val="-1"/>
          <w:sz w:val="24"/>
          <w:szCs w:val="24"/>
        </w:rPr>
        <w:t xml:space="preserve">246 </w:t>
      </w:r>
      <w:r>
        <w:rPr>
          <w:rFonts w:ascii="宋体" w:hAnsi="宋体" w:eastAsia="宋体" w:cs="宋体"/>
          <w:spacing w:val="-1"/>
          <w:sz w:val="24"/>
          <w:szCs w:val="24"/>
        </w:rPr>
        <w:t>辆</w:t>
      </w:r>
      <w:r>
        <w:rPr>
          <w:rFonts w:ascii="Times New Roman" w:hAnsi="Times New Roman" w:eastAsia="Times New Roman" w:cs="Times New Roman"/>
          <w:spacing w:val="-1"/>
          <w:sz w:val="24"/>
          <w:szCs w:val="24"/>
        </w:rPr>
        <w:t>/d</w:t>
      </w:r>
      <w:r>
        <w:rPr>
          <w:rFonts w:ascii="宋体" w:hAnsi="宋体" w:eastAsia="宋体" w:cs="宋体"/>
          <w:spacing w:val="-1"/>
          <w:sz w:val="24"/>
          <w:szCs w:val="24"/>
        </w:rPr>
        <w:t>。</w:t>
      </w:r>
    </w:p>
    <w:p w14:paraId="254CCDAF">
      <w:pPr>
        <w:spacing w:before="31" w:line="354" w:lineRule="auto"/>
        <w:ind w:left="21" w:right="11" w:firstLine="480"/>
        <w:rPr>
          <w:rFonts w:ascii="宋体" w:hAnsi="宋体" w:eastAsia="宋体" w:cs="宋体"/>
          <w:sz w:val="24"/>
          <w:szCs w:val="24"/>
        </w:rPr>
      </w:pPr>
      <w:r>
        <w:rPr>
          <w:rFonts w:ascii="宋体" w:hAnsi="宋体" w:eastAsia="宋体" w:cs="宋体"/>
          <w:spacing w:val="-2"/>
          <w:sz w:val="24"/>
          <w:szCs w:val="24"/>
        </w:rPr>
        <w:t>环保部在</w:t>
      </w:r>
      <w:r>
        <w:rPr>
          <w:rFonts w:ascii="宋体" w:hAnsi="宋体" w:eastAsia="宋体" w:cs="宋体"/>
          <w:spacing w:val="-37"/>
          <w:sz w:val="24"/>
          <w:szCs w:val="24"/>
        </w:rPr>
        <w:t xml:space="preserve"> </w:t>
      </w:r>
      <w:r>
        <w:rPr>
          <w:rFonts w:ascii="Times New Roman" w:hAnsi="Times New Roman" w:eastAsia="Times New Roman" w:cs="Times New Roman"/>
          <w:spacing w:val="-2"/>
          <w:sz w:val="24"/>
          <w:szCs w:val="24"/>
        </w:rPr>
        <w:t xml:space="preserve">2016 </w:t>
      </w:r>
      <w:r>
        <w:rPr>
          <w:rFonts w:ascii="宋体" w:hAnsi="宋体" w:eastAsia="宋体" w:cs="宋体"/>
          <w:spacing w:val="-2"/>
          <w:sz w:val="24"/>
          <w:szCs w:val="24"/>
        </w:rPr>
        <w:t>年</w:t>
      </w:r>
      <w:r>
        <w:rPr>
          <w:rFonts w:ascii="宋体" w:hAnsi="宋体" w:eastAsia="宋体" w:cs="宋体"/>
          <w:spacing w:val="-30"/>
          <w:sz w:val="24"/>
          <w:szCs w:val="24"/>
        </w:rPr>
        <w:t xml:space="preserve"> </w:t>
      </w:r>
      <w:r>
        <w:rPr>
          <w:rFonts w:ascii="Times New Roman" w:hAnsi="Times New Roman" w:eastAsia="Times New Roman" w:cs="Times New Roman"/>
          <w:spacing w:val="-2"/>
          <w:sz w:val="24"/>
          <w:szCs w:val="24"/>
        </w:rPr>
        <w:t>12</w:t>
      </w:r>
      <w:r>
        <w:rPr>
          <w:rFonts w:ascii="Times New Roman" w:hAnsi="Times New Roman" w:eastAsia="Times New Roman" w:cs="Times New Roman"/>
          <w:spacing w:val="18"/>
          <w:sz w:val="24"/>
          <w:szCs w:val="24"/>
        </w:rPr>
        <w:t xml:space="preserve"> </w:t>
      </w:r>
      <w:r>
        <w:rPr>
          <w:rFonts w:ascii="宋体" w:hAnsi="宋体" w:eastAsia="宋体" w:cs="宋体"/>
          <w:spacing w:val="-2"/>
          <w:sz w:val="24"/>
          <w:szCs w:val="24"/>
        </w:rPr>
        <w:t>月</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 xml:space="preserve">23  </w:t>
      </w:r>
      <w:r>
        <w:rPr>
          <w:rFonts w:ascii="宋体" w:hAnsi="宋体" w:eastAsia="宋体" w:cs="宋体"/>
          <w:spacing w:val="-2"/>
          <w:sz w:val="24"/>
          <w:szCs w:val="24"/>
        </w:rPr>
        <w:t>日发布了《轻型汽车污染物排放限值及测量方法（中国</w:t>
      </w:r>
      <w:r>
        <w:rPr>
          <w:rFonts w:ascii="宋体" w:hAnsi="宋体" w:eastAsia="宋体" w:cs="宋体"/>
          <w:sz w:val="24"/>
          <w:szCs w:val="24"/>
        </w:rPr>
        <w:t xml:space="preserve"> </w:t>
      </w:r>
      <w:r>
        <w:rPr>
          <w:rFonts w:ascii="宋体" w:hAnsi="宋体" w:eastAsia="宋体" w:cs="宋体"/>
          <w:spacing w:val="-4"/>
          <w:sz w:val="24"/>
          <w:szCs w:val="24"/>
        </w:rPr>
        <w:t>第六阶段）》（</w:t>
      </w:r>
      <w:r>
        <w:rPr>
          <w:rFonts w:ascii="Times New Roman" w:hAnsi="Times New Roman" w:eastAsia="Times New Roman" w:cs="Times New Roman"/>
          <w:spacing w:val="-4"/>
          <w:sz w:val="24"/>
          <w:szCs w:val="24"/>
        </w:rPr>
        <w:t>GB</w:t>
      </w:r>
      <w:r>
        <w:rPr>
          <w:rFonts w:ascii="Times New Roman" w:hAnsi="Times New Roman" w:eastAsia="Times New Roman" w:cs="Times New Roman"/>
          <w:spacing w:val="29"/>
          <w:w w:val="101"/>
          <w:sz w:val="24"/>
          <w:szCs w:val="24"/>
        </w:rPr>
        <w:t xml:space="preserve"> </w:t>
      </w:r>
      <w:r>
        <w:rPr>
          <w:rFonts w:ascii="Times New Roman" w:hAnsi="Times New Roman" w:eastAsia="Times New Roman" w:cs="Times New Roman"/>
          <w:spacing w:val="-4"/>
          <w:sz w:val="24"/>
          <w:szCs w:val="24"/>
        </w:rPr>
        <w:t>18352.6-20</w:t>
      </w:r>
      <w:r>
        <w:rPr>
          <w:rFonts w:ascii="Times New Roman" w:hAnsi="Times New Roman" w:eastAsia="Times New Roman" w:cs="Times New Roman"/>
          <w:spacing w:val="-5"/>
          <w:sz w:val="24"/>
          <w:szCs w:val="24"/>
        </w:rPr>
        <w:t>16</w:t>
      </w:r>
      <w:r>
        <w:rPr>
          <w:rFonts w:ascii="宋体" w:hAnsi="宋体" w:eastAsia="宋体" w:cs="宋体"/>
          <w:spacing w:val="1"/>
          <w:sz w:val="24"/>
          <w:szCs w:val="24"/>
        </w:rPr>
        <w:t>），</w:t>
      </w:r>
      <w:r>
        <w:rPr>
          <w:rFonts w:ascii="宋体" w:hAnsi="宋体" w:eastAsia="宋体" w:cs="宋体"/>
          <w:spacing w:val="-71"/>
          <w:sz w:val="24"/>
          <w:szCs w:val="24"/>
        </w:rPr>
        <w:t xml:space="preserve"> </w:t>
      </w:r>
      <w:r>
        <w:rPr>
          <w:rFonts w:ascii="宋体" w:hAnsi="宋体" w:eastAsia="宋体" w:cs="宋体"/>
          <w:spacing w:val="-5"/>
          <w:sz w:val="24"/>
          <w:szCs w:val="24"/>
        </w:rPr>
        <w:t>自</w:t>
      </w:r>
      <w:r>
        <w:rPr>
          <w:rFonts w:ascii="宋体" w:hAnsi="宋体" w:eastAsia="宋体" w:cs="宋体"/>
          <w:spacing w:val="-53"/>
          <w:sz w:val="24"/>
          <w:szCs w:val="24"/>
        </w:rPr>
        <w:t xml:space="preserve"> </w:t>
      </w:r>
      <w:r>
        <w:rPr>
          <w:rFonts w:ascii="Times New Roman" w:hAnsi="Times New Roman" w:eastAsia="Times New Roman" w:cs="Times New Roman"/>
          <w:spacing w:val="-5"/>
          <w:sz w:val="24"/>
          <w:szCs w:val="24"/>
        </w:rPr>
        <w:t xml:space="preserve">2020 </w:t>
      </w:r>
      <w:r>
        <w:rPr>
          <w:rFonts w:ascii="宋体" w:hAnsi="宋体" w:eastAsia="宋体" w:cs="宋体"/>
          <w:spacing w:val="-5"/>
          <w:sz w:val="24"/>
          <w:szCs w:val="24"/>
        </w:rPr>
        <w:t>年</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15"/>
          <w:w w:val="101"/>
          <w:sz w:val="24"/>
          <w:szCs w:val="24"/>
        </w:rPr>
        <w:t xml:space="preserve"> </w:t>
      </w:r>
      <w:r>
        <w:rPr>
          <w:rFonts w:ascii="宋体" w:hAnsi="宋体" w:eastAsia="宋体" w:cs="宋体"/>
          <w:spacing w:val="-5"/>
          <w:sz w:val="24"/>
          <w:szCs w:val="24"/>
        </w:rPr>
        <w:t>月</w:t>
      </w:r>
      <w:r>
        <w:rPr>
          <w:rFonts w:ascii="宋体" w:hAnsi="宋体" w:eastAsia="宋体" w:cs="宋体"/>
          <w:spacing w:val="-30"/>
          <w:sz w:val="24"/>
          <w:szCs w:val="24"/>
        </w:rPr>
        <w:t xml:space="preserve"> </w:t>
      </w:r>
      <w:r>
        <w:rPr>
          <w:rFonts w:ascii="Times New Roman" w:hAnsi="Times New Roman" w:eastAsia="Times New Roman" w:cs="Times New Roman"/>
          <w:spacing w:val="-5"/>
          <w:sz w:val="24"/>
          <w:szCs w:val="24"/>
        </w:rPr>
        <w:t xml:space="preserve">1  </w:t>
      </w:r>
      <w:r>
        <w:rPr>
          <w:rFonts w:ascii="宋体" w:hAnsi="宋体" w:eastAsia="宋体" w:cs="宋体"/>
          <w:spacing w:val="-5"/>
          <w:sz w:val="24"/>
          <w:szCs w:val="24"/>
        </w:rPr>
        <w:t>日起，该标准替代《轻型汽车污</w:t>
      </w:r>
      <w:r>
        <w:rPr>
          <w:rFonts w:ascii="宋体" w:hAnsi="宋体" w:eastAsia="宋体" w:cs="宋体"/>
          <w:sz w:val="24"/>
          <w:szCs w:val="24"/>
        </w:rPr>
        <w:t xml:space="preserve"> </w:t>
      </w:r>
      <w:r>
        <w:rPr>
          <w:rFonts w:ascii="宋体" w:hAnsi="宋体" w:eastAsia="宋体" w:cs="宋体"/>
          <w:spacing w:val="-2"/>
          <w:sz w:val="24"/>
          <w:szCs w:val="24"/>
        </w:rPr>
        <w:t>染物排放限值及测量方法（中国第五阶段）》（</w:t>
      </w:r>
      <w:r>
        <w:rPr>
          <w:rFonts w:ascii="Times New Roman" w:hAnsi="Times New Roman" w:eastAsia="Times New Roman" w:cs="Times New Roman"/>
          <w:spacing w:val="-2"/>
          <w:sz w:val="24"/>
          <w:szCs w:val="24"/>
        </w:rPr>
        <w:t>GB</w:t>
      </w:r>
      <w:r>
        <w:rPr>
          <w:rFonts w:ascii="Times New Roman" w:hAnsi="Times New Roman" w:eastAsia="Times New Roman" w:cs="Times New Roman"/>
          <w:spacing w:val="29"/>
          <w:sz w:val="24"/>
          <w:szCs w:val="24"/>
        </w:rPr>
        <w:t xml:space="preserve"> </w:t>
      </w:r>
      <w:r>
        <w:rPr>
          <w:rFonts w:ascii="Times New Roman" w:hAnsi="Times New Roman" w:eastAsia="Times New Roman" w:cs="Times New Roman"/>
          <w:spacing w:val="-2"/>
          <w:sz w:val="24"/>
          <w:szCs w:val="24"/>
        </w:rPr>
        <w:t>18352.5-2013</w:t>
      </w:r>
      <w:r>
        <w:rPr>
          <w:rFonts w:ascii="宋体" w:hAnsi="宋体" w:eastAsia="宋体" w:cs="宋体"/>
          <w:spacing w:val="10"/>
          <w:sz w:val="24"/>
          <w:szCs w:val="24"/>
        </w:rPr>
        <w:t>），</w:t>
      </w:r>
      <w:r>
        <w:rPr>
          <w:rFonts w:ascii="宋体" w:hAnsi="宋体" w:eastAsia="宋体" w:cs="宋体"/>
          <w:spacing w:val="-2"/>
          <w:sz w:val="24"/>
          <w:szCs w:val="24"/>
        </w:rPr>
        <w:t>本次评价将以</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GB</w:t>
      </w:r>
      <w:r>
        <w:rPr>
          <w:rFonts w:ascii="Times New Roman" w:hAnsi="Times New Roman" w:eastAsia="Times New Roman" w:cs="Times New Roman"/>
          <w:sz w:val="24"/>
          <w:szCs w:val="24"/>
        </w:rPr>
        <w:t xml:space="preserve"> </w:t>
      </w:r>
      <w:r>
        <w:rPr>
          <w:rFonts w:ascii="Times New Roman" w:hAnsi="Times New Roman" w:eastAsia="Times New Roman" w:cs="Times New Roman"/>
          <w:spacing w:val="1"/>
          <w:sz w:val="24"/>
          <w:szCs w:val="24"/>
        </w:rPr>
        <w:t>18352.6-2016</w:t>
      </w:r>
      <w:r>
        <w:rPr>
          <w:rFonts w:ascii="Times New Roman" w:hAnsi="Times New Roman" w:eastAsia="Times New Roman" w:cs="Times New Roman"/>
          <w:spacing w:val="35"/>
          <w:sz w:val="24"/>
          <w:szCs w:val="24"/>
        </w:rPr>
        <w:t xml:space="preserve"> </w:t>
      </w:r>
      <w:r>
        <w:rPr>
          <w:rFonts w:ascii="宋体" w:hAnsi="宋体" w:eastAsia="宋体" w:cs="宋体"/>
          <w:spacing w:val="1"/>
          <w:sz w:val="24"/>
          <w:szCs w:val="24"/>
        </w:rPr>
        <w:t>中</w:t>
      </w:r>
      <w:r>
        <w:rPr>
          <w:rFonts w:ascii="Times New Roman" w:hAnsi="Times New Roman" w:eastAsia="Times New Roman" w:cs="Times New Roman"/>
          <w:spacing w:val="1"/>
          <w:sz w:val="24"/>
          <w:szCs w:val="24"/>
        </w:rPr>
        <w:t>Ⅱ</w:t>
      </w:r>
      <w:r>
        <w:rPr>
          <w:rFonts w:ascii="宋体" w:hAnsi="宋体" w:eastAsia="宋体" w:cs="宋体"/>
          <w:spacing w:val="1"/>
          <w:sz w:val="24"/>
          <w:szCs w:val="24"/>
        </w:rPr>
        <w:t>型试验（实际行驶中污染物排放试</w:t>
      </w:r>
      <w:r>
        <w:rPr>
          <w:rFonts w:ascii="宋体" w:hAnsi="宋体" w:eastAsia="宋体" w:cs="宋体"/>
          <w:sz w:val="24"/>
          <w:szCs w:val="24"/>
        </w:rPr>
        <w:t xml:space="preserve">验）排放限值取值，污染物排放详 </w:t>
      </w:r>
      <w:r>
        <w:rPr>
          <w:rFonts w:ascii="宋体" w:hAnsi="宋体" w:eastAsia="宋体" w:cs="宋体"/>
          <w:spacing w:val="-3"/>
          <w:sz w:val="24"/>
          <w:szCs w:val="24"/>
        </w:rPr>
        <w:t>见表</w:t>
      </w:r>
      <w:r>
        <w:rPr>
          <w:rFonts w:ascii="宋体" w:hAnsi="宋体" w:eastAsia="宋体" w:cs="宋体"/>
          <w:spacing w:val="-45"/>
          <w:sz w:val="24"/>
          <w:szCs w:val="24"/>
        </w:rPr>
        <w:t xml:space="preserve"> </w:t>
      </w:r>
      <w:r>
        <w:rPr>
          <w:rFonts w:ascii="Times New Roman" w:hAnsi="Times New Roman" w:eastAsia="Times New Roman" w:cs="Times New Roman"/>
          <w:spacing w:val="-3"/>
          <w:sz w:val="24"/>
          <w:szCs w:val="24"/>
        </w:rPr>
        <w:t>3.3-13</w:t>
      </w:r>
      <w:r>
        <w:rPr>
          <w:rFonts w:ascii="宋体" w:hAnsi="宋体" w:eastAsia="宋体" w:cs="宋体"/>
          <w:spacing w:val="-3"/>
          <w:sz w:val="24"/>
          <w:szCs w:val="24"/>
        </w:rPr>
        <w:t>。</w:t>
      </w:r>
    </w:p>
    <w:p w14:paraId="0839BCD0">
      <w:pPr>
        <w:spacing w:before="30" w:line="228" w:lineRule="auto"/>
        <w:ind w:left="1622"/>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5"/>
          <w:sz w:val="20"/>
          <w:szCs w:val="20"/>
        </w:rPr>
        <w:t xml:space="preserve"> </w:t>
      </w:r>
      <w:r>
        <w:rPr>
          <w:rFonts w:ascii="Times New Roman" w:hAnsi="Times New Roman" w:eastAsia="Times New Roman" w:cs="Times New Roman"/>
          <w:b/>
          <w:bCs/>
          <w:spacing w:val="6"/>
          <w:sz w:val="20"/>
          <w:szCs w:val="20"/>
        </w:rPr>
        <w:t xml:space="preserve">3.3-13        </w:t>
      </w:r>
      <w:r>
        <w:rPr>
          <w:rFonts w:ascii="宋体" w:hAnsi="宋体" w:eastAsia="宋体" w:cs="宋体"/>
          <w:b/>
          <w:bCs/>
          <w:spacing w:val="6"/>
          <w:sz w:val="20"/>
          <w:szCs w:val="20"/>
        </w:rPr>
        <w:t>Ⅱ型试验（实际行驶中污染物排放试验）排放限值</w:t>
      </w:r>
    </w:p>
    <w:p w14:paraId="35E58AE6">
      <w:pPr>
        <w:spacing w:line="132" w:lineRule="exact"/>
      </w:pPr>
    </w:p>
    <w:tbl>
      <w:tblPr>
        <w:tblStyle w:val="5"/>
        <w:tblW w:w="909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15"/>
        <w:gridCol w:w="795"/>
        <w:gridCol w:w="1952"/>
        <w:gridCol w:w="722"/>
        <w:gridCol w:w="682"/>
        <w:gridCol w:w="766"/>
        <w:gridCol w:w="729"/>
        <w:gridCol w:w="722"/>
        <w:gridCol w:w="748"/>
        <w:gridCol w:w="1062"/>
      </w:tblGrid>
      <w:tr w14:paraId="2A073D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6" w:hRule="atLeast"/>
        </w:trPr>
        <w:tc>
          <w:tcPr>
            <w:tcW w:w="1710" w:type="dxa"/>
            <w:gridSpan w:val="2"/>
            <w:vMerge w:val="restart"/>
            <w:tcBorders>
              <w:top w:val="single" w:color="000000" w:sz="10" w:space="0"/>
              <w:left w:val="nil"/>
              <w:bottom w:val="nil"/>
            </w:tcBorders>
            <w:vAlign w:val="top"/>
          </w:tcPr>
          <w:p w14:paraId="518FFB7D">
            <w:pPr>
              <w:pStyle w:val="6"/>
              <w:spacing w:before="160" w:line="228" w:lineRule="auto"/>
              <w:ind w:left="442"/>
              <w:rPr>
                <w:sz w:val="20"/>
                <w:szCs w:val="20"/>
              </w:rPr>
            </w:pPr>
            <w:r>
              <w:rPr>
                <w:spacing w:val="6"/>
                <w:sz w:val="20"/>
                <w:szCs w:val="20"/>
              </w:rPr>
              <w:t>车辆类别</w:t>
            </w:r>
          </w:p>
        </w:tc>
        <w:tc>
          <w:tcPr>
            <w:tcW w:w="1952" w:type="dxa"/>
            <w:vMerge w:val="restart"/>
            <w:tcBorders>
              <w:top w:val="single" w:color="000000" w:sz="10" w:space="0"/>
              <w:bottom w:val="nil"/>
            </w:tcBorders>
            <w:vAlign w:val="top"/>
          </w:tcPr>
          <w:p w14:paraId="0FA9FCB9">
            <w:pPr>
              <w:pStyle w:val="6"/>
              <w:spacing w:before="161" w:line="221" w:lineRule="auto"/>
              <w:ind w:left="52"/>
              <w:rPr>
                <w:rFonts w:ascii="Times New Roman" w:hAnsi="Times New Roman" w:eastAsia="Times New Roman" w:cs="Times New Roman"/>
                <w:sz w:val="20"/>
                <w:szCs w:val="20"/>
              </w:rPr>
            </w:pPr>
            <w:r>
              <w:rPr>
                <w:spacing w:val="11"/>
                <w:sz w:val="20"/>
                <w:szCs w:val="20"/>
              </w:rPr>
              <w:t>基准质量（</w:t>
            </w:r>
            <w:r>
              <w:rPr>
                <w:rFonts w:ascii="Times New Roman" w:hAnsi="Times New Roman" w:eastAsia="Times New Roman" w:cs="Times New Roman"/>
                <w:sz w:val="20"/>
                <w:szCs w:val="20"/>
              </w:rPr>
              <w:t>RM</w:t>
            </w:r>
            <w:r>
              <w:rPr>
                <w:spacing w:val="11"/>
                <w:sz w:val="20"/>
                <w:szCs w:val="20"/>
              </w:rPr>
              <w:t>）</w:t>
            </w:r>
            <w:r>
              <w:rPr>
                <w:rFonts w:ascii="Times New Roman" w:hAnsi="Times New Roman" w:eastAsia="Times New Roman" w:cs="Times New Roman"/>
                <w:spacing w:val="11"/>
                <w:sz w:val="20"/>
                <w:szCs w:val="20"/>
              </w:rPr>
              <w:t>/</w:t>
            </w:r>
            <w:r>
              <w:rPr>
                <w:rFonts w:ascii="Times New Roman" w:hAnsi="Times New Roman" w:eastAsia="Times New Roman" w:cs="Times New Roman"/>
                <w:sz w:val="20"/>
                <w:szCs w:val="20"/>
              </w:rPr>
              <w:t>kg</w:t>
            </w:r>
          </w:p>
        </w:tc>
        <w:tc>
          <w:tcPr>
            <w:tcW w:w="722" w:type="dxa"/>
            <w:tcBorders>
              <w:top w:val="single" w:color="000000" w:sz="10" w:space="0"/>
            </w:tcBorders>
            <w:vAlign w:val="top"/>
          </w:tcPr>
          <w:p w14:paraId="78976902">
            <w:pPr>
              <w:spacing w:before="55" w:line="188"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CO</w:t>
            </w:r>
          </w:p>
        </w:tc>
        <w:tc>
          <w:tcPr>
            <w:tcW w:w="682" w:type="dxa"/>
            <w:tcBorders>
              <w:top w:val="single" w:color="000000" w:sz="10" w:space="0"/>
            </w:tcBorders>
            <w:vAlign w:val="top"/>
          </w:tcPr>
          <w:p w14:paraId="7D27FA57">
            <w:pPr>
              <w:spacing w:before="55" w:line="188"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THC</w:t>
            </w:r>
          </w:p>
        </w:tc>
        <w:tc>
          <w:tcPr>
            <w:tcW w:w="766" w:type="dxa"/>
            <w:tcBorders>
              <w:top w:val="single" w:color="000000" w:sz="10" w:space="0"/>
            </w:tcBorders>
            <w:vAlign w:val="top"/>
          </w:tcPr>
          <w:p w14:paraId="6DA32470">
            <w:pPr>
              <w:spacing w:before="55" w:line="188" w:lineRule="auto"/>
              <w:ind w:left="62"/>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NMHC</w:t>
            </w:r>
          </w:p>
        </w:tc>
        <w:tc>
          <w:tcPr>
            <w:tcW w:w="729" w:type="dxa"/>
            <w:tcBorders>
              <w:top w:val="single" w:color="000000" w:sz="10" w:space="0"/>
            </w:tcBorders>
            <w:vAlign w:val="top"/>
          </w:tcPr>
          <w:p w14:paraId="78E9D346">
            <w:pPr>
              <w:spacing w:before="55" w:line="188" w:lineRule="auto"/>
              <w:ind w:left="172"/>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x</w:t>
            </w:r>
          </w:p>
        </w:tc>
        <w:tc>
          <w:tcPr>
            <w:tcW w:w="722" w:type="dxa"/>
            <w:tcBorders>
              <w:top w:val="single" w:color="000000" w:sz="10" w:space="0"/>
            </w:tcBorders>
            <w:vAlign w:val="top"/>
          </w:tcPr>
          <w:p w14:paraId="24DD166D">
            <w:pPr>
              <w:spacing w:before="55" w:line="188" w:lineRule="auto"/>
              <w:ind w:left="168"/>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N</w:t>
            </w:r>
            <w:r>
              <w:rPr>
                <w:rFonts w:ascii="Times New Roman" w:hAnsi="Times New Roman" w:eastAsia="Times New Roman" w:cs="Times New Roman"/>
                <w:spacing w:val="6"/>
                <w:position w:val="-1"/>
                <w:sz w:val="13"/>
                <w:szCs w:val="13"/>
              </w:rPr>
              <w:t>2</w:t>
            </w:r>
            <w:r>
              <w:rPr>
                <w:rFonts w:ascii="Times New Roman" w:hAnsi="Times New Roman" w:eastAsia="Times New Roman" w:cs="Times New Roman"/>
                <w:spacing w:val="6"/>
                <w:sz w:val="20"/>
                <w:szCs w:val="20"/>
              </w:rPr>
              <w:t>O</w:t>
            </w:r>
          </w:p>
        </w:tc>
        <w:tc>
          <w:tcPr>
            <w:tcW w:w="748" w:type="dxa"/>
            <w:tcBorders>
              <w:top w:val="single" w:color="000000" w:sz="10" w:space="0"/>
            </w:tcBorders>
            <w:vAlign w:val="top"/>
          </w:tcPr>
          <w:p w14:paraId="34E2879C">
            <w:pPr>
              <w:spacing w:before="58" w:line="185" w:lineRule="auto"/>
              <w:ind w:left="22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PM</w:t>
            </w:r>
          </w:p>
        </w:tc>
        <w:tc>
          <w:tcPr>
            <w:tcW w:w="1062" w:type="dxa"/>
            <w:tcBorders>
              <w:top w:val="single" w:color="000000" w:sz="10" w:space="0"/>
              <w:right w:val="nil"/>
            </w:tcBorders>
            <w:vAlign w:val="top"/>
          </w:tcPr>
          <w:p w14:paraId="725D7C4E">
            <w:pPr>
              <w:spacing w:before="58" w:line="185" w:lineRule="auto"/>
              <w:ind w:left="39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PN</w:t>
            </w:r>
          </w:p>
        </w:tc>
      </w:tr>
      <w:tr w14:paraId="5CEE90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1710" w:type="dxa"/>
            <w:gridSpan w:val="2"/>
            <w:vMerge w:val="continue"/>
            <w:tcBorders>
              <w:top w:val="nil"/>
              <w:left w:val="nil"/>
            </w:tcBorders>
            <w:vAlign w:val="top"/>
          </w:tcPr>
          <w:p w14:paraId="4E12482B">
            <w:pPr>
              <w:rPr>
                <w:rFonts w:ascii="Arial"/>
                <w:sz w:val="21"/>
              </w:rPr>
            </w:pPr>
          </w:p>
        </w:tc>
        <w:tc>
          <w:tcPr>
            <w:tcW w:w="1952" w:type="dxa"/>
            <w:vMerge w:val="continue"/>
            <w:tcBorders>
              <w:top w:val="nil"/>
            </w:tcBorders>
            <w:vAlign w:val="top"/>
          </w:tcPr>
          <w:p w14:paraId="25C52A29">
            <w:pPr>
              <w:rPr>
                <w:rFonts w:ascii="Arial"/>
                <w:sz w:val="21"/>
              </w:rPr>
            </w:pPr>
          </w:p>
        </w:tc>
        <w:tc>
          <w:tcPr>
            <w:tcW w:w="4369" w:type="dxa"/>
            <w:gridSpan w:val="6"/>
            <w:vAlign w:val="top"/>
          </w:tcPr>
          <w:p w14:paraId="61CAC25D">
            <w:pPr>
              <w:spacing w:before="66" w:line="201" w:lineRule="auto"/>
              <w:ind w:left="1703"/>
              <w:rPr>
                <w:rFonts w:ascii="Times New Roman" w:hAnsi="Times New Roman" w:eastAsia="Times New Roman" w:cs="Times New Roman"/>
                <w:sz w:val="20"/>
                <w:szCs w:val="20"/>
              </w:rPr>
            </w:pP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km</w:t>
            </w:r>
            <w:r>
              <w:rPr>
                <w:rFonts w:ascii="Times New Roman" w:hAnsi="Times New Roman" w:eastAsia="Times New Roman" w:cs="Times New Roman"/>
                <w:spacing w:val="8"/>
                <w:sz w:val="20"/>
                <w:szCs w:val="20"/>
              </w:rPr>
              <w:t>0.55</w:t>
            </w:r>
          </w:p>
        </w:tc>
        <w:tc>
          <w:tcPr>
            <w:tcW w:w="1062" w:type="dxa"/>
            <w:tcBorders>
              <w:right w:val="nil"/>
            </w:tcBorders>
            <w:vAlign w:val="top"/>
          </w:tcPr>
          <w:p w14:paraId="0BC6AB5B">
            <w:pPr>
              <w:pStyle w:val="6"/>
              <w:spacing w:before="34" w:line="210" w:lineRule="auto"/>
              <w:ind w:left="269"/>
              <w:rPr>
                <w:rFonts w:ascii="Times New Roman" w:hAnsi="Times New Roman" w:eastAsia="Times New Roman" w:cs="Times New Roman"/>
                <w:sz w:val="20"/>
                <w:szCs w:val="20"/>
              </w:rPr>
            </w:pPr>
            <w:r>
              <w:rPr>
                <w:spacing w:val="7"/>
                <w:sz w:val="20"/>
                <w:szCs w:val="20"/>
              </w:rPr>
              <w:t>个</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km</w:t>
            </w:r>
          </w:p>
        </w:tc>
      </w:tr>
      <w:tr w14:paraId="0F8509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2" w:hRule="atLeast"/>
        </w:trPr>
        <w:tc>
          <w:tcPr>
            <w:tcW w:w="915" w:type="dxa"/>
            <w:vMerge w:val="restart"/>
            <w:tcBorders>
              <w:left w:val="nil"/>
              <w:bottom w:val="nil"/>
            </w:tcBorders>
            <w:vAlign w:val="top"/>
          </w:tcPr>
          <w:p w14:paraId="4BB7ADF3">
            <w:pPr>
              <w:rPr>
                <w:rFonts w:ascii="Arial"/>
                <w:sz w:val="21"/>
              </w:rPr>
            </w:pPr>
          </w:p>
          <w:p w14:paraId="44924AD9">
            <w:pPr>
              <w:pStyle w:val="6"/>
              <w:spacing w:before="65" w:line="228" w:lineRule="auto"/>
              <w:ind w:left="44"/>
              <w:rPr>
                <w:sz w:val="20"/>
                <w:szCs w:val="20"/>
              </w:rPr>
            </w:pPr>
            <w:r>
              <w:rPr>
                <w:spacing w:val="7"/>
                <w:sz w:val="20"/>
                <w:szCs w:val="20"/>
              </w:rPr>
              <w:t>第二类车</w:t>
            </w:r>
          </w:p>
        </w:tc>
        <w:tc>
          <w:tcPr>
            <w:tcW w:w="795" w:type="dxa"/>
            <w:vAlign w:val="top"/>
          </w:tcPr>
          <w:p w14:paraId="17223EB5">
            <w:pPr>
              <w:spacing w:before="65" w:line="174" w:lineRule="auto"/>
              <w:ind w:left="362"/>
              <w:rPr>
                <w:rFonts w:ascii="Times New Roman" w:hAnsi="Times New Roman" w:eastAsia="Times New Roman" w:cs="Times New Roman"/>
                <w:sz w:val="20"/>
                <w:szCs w:val="20"/>
              </w:rPr>
            </w:pPr>
            <w:r>
              <w:rPr>
                <w:rFonts w:ascii="Times New Roman" w:hAnsi="Times New Roman" w:eastAsia="Times New Roman" w:cs="Times New Roman"/>
                <w:sz w:val="20"/>
                <w:szCs w:val="20"/>
              </w:rPr>
              <w:t>Ⅰ</w:t>
            </w:r>
          </w:p>
        </w:tc>
        <w:tc>
          <w:tcPr>
            <w:tcW w:w="1952" w:type="dxa"/>
            <w:vAlign w:val="top"/>
          </w:tcPr>
          <w:p w14:paraId="0AB5E1C2">
            <w:pPr>
              <w:spacing w:before="62" w:line="177" w:lineRule="auto"/>
              <w:ind w:left="545"/>
              <w:rPr>
                <w:rFonts w:ascii="Times New Roman" w:hAnsi="Times New Roman" w:eastAsia="Times New Roman" w:cs="Times New Roman"/>
                <w:sz w:val="20"/>
                <w:szCs w:val="20"/>
              </w:rPr>
            </w:pPr>
            <w:r>
              <w:rPr>
                <w:rFonts w:ascii="Times New Roman" w:hAnsi="Times New Roman" w:eastAsia="Times New Roman" w:cs="Times New Roman"/>
                <w:sz w:val="20"/>
                <w:szCs w:val="20"/>
              </w:rPr>
              <w:t>RM</w:t>
            </w:r>
            <w:r>
              <w:rPr>
                <w:rFonts w:ascii="Times New Roman" w:hAnsi="Times New Roman" w:eastAsia="Times New Roman" w:cs="Times New Roman"/>
                <w:spacing w:val="7"/>
                <w:sz w:val="20"/>
                <w:szCs w:val="20"/>
              </w:rPr>
              <w:t>≤1305</w:t>
            </w:r>
          </w:p>
        </w:tc>
        <w:tc>
          <w:tcPr>
            <w:tcW w:w="722" w:type="dxa"/>
            <w:vAlign w:val="top"/>
          </w:tcPr>
          <w:p w14:paraId="06B071EB">
            <w:pPr>
              <w:spacing w:before="62" w:line="177" w:lineRule="auto"/>
              <w:ind w:left="21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500</w:t>
            </w:r>
          </w:p>
        </w:tc>
        <w:tc>
          <w:tcPr>
            <w:tcW w:w="682" w:type="dxa"/>
            <w:vAlign w:val="top"/>
          </w:tcPr>
          <w:p w14:paraId="32168BA0">
            <w:pPr>
              <w:spacing w:before="62" w:line="177" w:lineRule="auto"/>
              <w:ind w:left="241"/>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766" w:type="dxa"/>
            <w:vAlign w:val="top"/>
          </w:tcPr>
          <w:p w14:paraId="02F14401">
            <w:pPr>
              <w:spacing w:before="62" w:line="177" w:lineRule="auto"/>
              <w:ind w:left="285"/>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729" w:type="dxa"/>
            <w:vAlign w:val="top"/>
          </w:tcPr>
          <w:p w14:paraId="7ACC7259">
            <w:pPr>
              <w:spacing w:before="62" w:line="177" w:lineRule="auto"/>
              <w:ind w:left="18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73.5</w:t>
            </w:r>
          </w:p>
        </w:tc>
        <w:tc>
          <w:tcPr>
            <w:tcW w:w="722" w:type="dxa"/>
            <w:vAlign w:val="top"/>
          </w:tcPr>
          <w:p w14:paraId="607BC341">
            <w:pPr>
              <w:spacing w:before="62" w:line="177"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748" w:type="dxa"/>
            <w:vAlign w:val="top"/>
          </w:tcPr>
          <w:p w14:paraId="415A1979">
            <w:pPr>
              <w:spacing w:before="62" w:line="177" w:lineRule="auto"/>
              <w:ind w:left="24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3.0</w:t>
            </w:r>
          </w:p>
        </w:tc>
        <w:tc>
          <w:tcPr>
            <w:tcW w:w="1062" w:type="dxa"/>
            <w:tcBorders>
              <w:right w:val="nil"/>
            </w:tcBorders>
            <w:vAlign w:val="top"/>
          </w:tcPr>
          <w:p w14:paraId="2AE12447">
            <w:pPr>
              <w:spacing w:before="42" w:line="198" w:lineRule="auto"/>
              <w:ind w:left="141"/>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12.6×10</w:t>
            </w:r>
            <w:r>
              <w:rPr>
                <w:rFonts w:ascii="Times New Roman" w:hAnsi="Times New Roman" w:eastAsia="Times New Roman" w:cs="Times New Roman"/>
                <w:spacing w:val="1"/>
                <w:position w:val="6"/>
                <w:sz w:val="13"/>
                <w:szCs w:val="13"/>
              </w:rPr>
              <w:t>11</w:t>
            </w:r>
          </w:p>
        </w:tc>
      </w:tr>
      <w:tr w14:paraId="2B8B97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 w:hRule="atLeast"/>
        </w:trPr>
        <w:tc>
          <w:tcPr>
            <w:tcW w:w="915" w:type="dxa"/>
            <w:vMerge w:val="continue"/>
            <w:tcBorders>
              <w:top w:val="nil"/>
              <w:left w:val="nil"/>
              <w:bottom w:val="nil"/>
            </w:tcBorders>
            <w:vAlign w:val="top"/>
          </w:tcPr>
          <w:p w14:paraId="1DDAC551">
            <w:pPr>
              <w:rPr>
                <w:rFonts w:ascii="Arial"/>
                <w:sz w:val="21"/>
              </w:rPr>
            </w:pPr>
          </w:p>
        </w:tc>
        <w:tc>
          <w:tcPr>
            <w:tcW w:w="795" w:type="dxa"/>
            <w:vAlign w:val="top"/>
          </w:tcPr>
          <w:p w14:paraId="601465E9">
            <w:pPr>
              <w:spacing w:before="84" w:line="184" w:lineRule="auto"/>
              <w:ind w:left="331"/>
              <w:rPr>
                <w:rFonts w:ascii="Times New Roman" w:hAnsi="Times New Roman" w:eastAsia="Times New Roman" w:cs="Times New Roman"/>
                <w:sz w:val="20"/>
                <w:szCs w:val="20"/>
              </w:rPr>
            </w:pPr>
            <w:r>
              <w:rPr>
                <w:rFonts w:ascii="Times New Roman" w:hAnsi="Times New Roman" w:eastAsia="Times New Roman" w:cs="Times New Roman"/>
                <w:sz w:val="20"/>
                <w:szCs w:val="20"/>
              </w:rPr>
              <w:t>Ⅱ</w:t>
            </w:r>
          </w:p>
        </w:tc>
        <w:tc>
          <w:tcPr>
            <w:tcW w:w="1952" w:type="dxa"/>
            <w:vAlign w:val="top"/>
          </w:tcPr>
          <w:p w14:paraId="2A22A346">
            <w:pPr>
              <w:pStyle w:val="6"/>
              <w:spacing w:before="46" w:line="198" w:lineRule="auto"/>
              <w:ind w:left="25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1305</w:t>
            </w:r>
            <w:r>
              <w:rPr>
                <w:spacing w:val="4"/>
                <w:sz w:val="20"/>
                <w:szCs w:val="20"/>
              </w:rPr>
              <w:t>＜</w:t>
            </w:r>
            <w:r>
              <w:rPr>
                <w:rFonts w:ascii="Times New Roman" w:hAnsi="Times New Roman" w:eastAsia="Times New Roman" w:cs="Times New Roman"/>
                <w:sz w:val="20"/>
                <w:szCs w:val="20"/>
              </w:rPr>
              <w:t>RM</w:t>
            </w:r>
            <w:r>
              <w:rPr>
                <w:rFonts w:ascii="Times New Roman" w:hAnsi="Times New Roman" w:eastAsia="Times New Roman" w:cs="Times New Roman"/>
                <w:spacing w:val="4"/>
                <w:sz w:val="20"/>
                <w:szCs w:val="20"/>
              </w:rPr>
              <w:t>≤1760</w:t>
            </w:r>
          </w:p>
        </w:tc>
        <w:tc>
          <w:tcPr>
            <w:tcW w:w="722" w:type="dxa"/>
            <w:vAlign w:val="top"/>
          </w:tcPr>
          <w:p w14:paraId="724D8E3E">
            <w:pPr>
              <w:spacing w:before="81" w:line="187" w:lineRule="auto"/>
              <w:ind w:left="21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630</w:t>
            </w:r>
          </w:p>
        </w:tc>
        <w:tc>
          <w:tcPr>
            <w:tcW w:w="682" w:type="dxa"/>
            <w:vAlign w:val="top"/>
          </w:tcPr>
          <w:p w14:paraId="34F5DFA4">
            <w:pPr>
              <w:spacing w:before="81" w:line="187" w:lineRule="auto"/>
              <w:ind w:left="18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565</w:t>
            </w:r>
          </w:p>
        </w:tc>
        <w:tc>
          <w:tcPr>
            <w:tcW w:w="766" w:type="dxa"/>
            <w:vAlign w:val="top"/>
          </w:tcPr>
          <w:p w14:paraId="7E9383FE">
            <w:pPr>
              <w:spacing w:before="81" w:line="187" w:lineRule="auto"/>
              <w:ind w:left="2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729" w:type="dxa"/>
            <w:vAlign w:val="top"/>
          </w:tcPr>
          <w:p w14:paraId="63B68596">
            <w:pPr>
              <w:spacing w:before="81" w:line="187" w:lineRule="auto"/>
              <w:ind w:left="18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94.5</w:t>
            </w:r>
          </w:p>
        </w:tc>
        <w:tc>
          <w:tcPr>
            <w:tcW w:w="722" w:type="dxa"/>
            <w:vAlign w:val="top"/>
          </w:tcPr>
          <w:p w14:paraId="60708B18">
            <w:pPr>
              <w:spacing w:before="81" w:line="187"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748" w:type="dxa"/>
            <w:vAlign w:val="top"/>
          </w:tcPr>
          <w:p w14:paraId="28AAA6BF">
            <w:pPr>
              <w:spacing w:before="81" w:line="187" w:lineRule="auto"/>
              <w:ind w:left="24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3.0</w:t>
            </w:r>
          </w:p>
        </w:tc>
        <w:tc>
          <w:tcPr>
            <w:tcW w:w="1062" w:type="dxa"/>
            <w:tcBorders>
              <w:right w:val="nil"/>
            </w:tcBorders>
            <w:vAlign w:val="top"/>
          </w:tcPr>
          <w:p w14:paraId="53044584">
            <w:pPr>
              <w:spacing w:before="61" w:line="208" w:lineRule="auto"/>
              <w:ind w:left="141"/>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12.6×10</w:t>
            </w:r>
            <w:r>
              <w:rPr>
                <w:rFonts w:ascii="Times New Roman" w:hAnsi="Times New Roman" w:eastAsia="Times New Roman" w:cs="Times New Roman"/>
                <w:spacing w:val="1"/>
                <w:position w:val="6"/>
                <w:sz w:val="13"/>
                <w:szCs w:val="13"/>
              </w:rPr>
              <w:t>11</w:t>
            </w:r>
          </w:p>
        </w:tc>
      </w:tr>
      <w:tr w14:paraId="1B7DA0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7" w:hRule="atLeast"/>
        </w:trPr>
        <w:tc>
          <w:tcPr>
            <w:tcW w:w="915" w:type="dxa"/>
            <w:vMerge w:val="continue"/>
            <w:tcBorders>
              <w:top w:val="nil"/>
              <w:left w:val="nil"/>
              <w:bottom w:val="single" w:color="000000" w:sz="10" w:space="0"/>
            </w:tcBorders>
            <w:vAlign w:val="top"/>
          </w:tcPr>
          <w:p w14:paraId="29D47C8E">
            <w:pPr>
              <w:rPr>
                <w:rFonts w:ascii="Arial"/>
                <w:sz w:val="21"/>
              </w:rPr>
            </w:pPr>
          </w:p>
        </w:tc>
        <w:tc>
          <w:tcPr>
            <w:tcW w:w="795" w:type="dxa"/>
            <w:tcBorders>
              <w:bottom w:val="single" w:color="000000" w:sz="10" w:space="0"/>
            </w:tcBorders>
            <w:vAlign w:val="top"/>
          </w:tcPr>
          <w:p w14:paraId="74FD9E9C">
            <w:pPr>
              <w:spacing w:before="92" w:line="192" w:lineRule="auto"/>
              <w:ind w:left="29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Ⅲ</w:t>
            </w:r>
          </w:p>
        </w:tc>
        <w:tc>
          <w:tcPr>
            <w:tcW w:w="1952" w:type="dxa"/>
            <w:tcBorders>
              <w:bottom w:val="single" w:color="000000" w:sz="10" w:space="0"/>
            </w:tcBorders>
            <w:vAlign w:val="top"/>
          </w:tcPr>
          <w:p w14:paraId="1A918DB5">
            <w:pPr>
              <w:pStyle w:val="6"/>
              <w:spacing w:before="53" w:line="216" w:lineRule="auto"/>
              <w:ind w:left="51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1760</w:t>
            </w:r>
            <w:r>
              <w:rPr>
                <w:spacing w:val="4"/>
                <w:sz w:val="20"/>
                <w:szCs w:val="20"/>
              </w:rPr>
              <w:t>＜</w:t>
            </w:r>
            <w:r>
              <w:rPr>
                <w:rFonts w:ascii="Times New Roman" w:hAnsi="Times New Roman" w:eastAsia="Times New Roman" w:cs="Times New Roman"/>
                <w:sz w:val="20"/>
                <w:szCs w:val="20"/>
              </w:rPr>
              <w:t>RM</w:t>
            </w:r>
          </w:p>
        </w:tc>
        <w:tc>
          <w:tcPr>
            <w:tcW w:w="722" w:type="dxa"/>
            <w:tcBorders>
              <w:bottom w:val="single" w:color="000000" w:sz="10" w:space="0"/>
            </w:tcBorders>
            <w:vAlign w:val="top"/>
          </w:tcPr>
          <w:p w14:paraId="4FB14301">
            <w:pPr>
              <w:spacing w:before="89" w:line="195" w:lineRule="auto"/>
              <w:ind w:left="2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740</w:t>
            </w:r>
          </w:p>
        </w:tc>
        <w:tc>
          <w:tcPr>
            <w:tcW w:w="682" w:type="dxa"/>
            <w:tcBorders>
              <w:bottom w:val="single" w:color="000000" w:sz="10" w:space="0"/>
            </w:tcBorders>
            <w:vAlign w:val="top"/>
          </w:tcPr>
          <w:p w14:paraId="55884609">
            <w:pPr>
              <w:spacing w:before="89" w:line="195" w:lineRule="auto"/>
              <w:ind w:left="24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w:t>
            </w:r>
          </w:p>
        </w:tc>
        <w:tc>
          <w:tcPr>
            <w:tcW w:w="766" w:type="dxa"/>
            <w:tcBorders>
              <w:bottom w:val="single" w:color="000000" w:sz="10" w:space="0"/>
            </w:tcBorders>
            <w:vAlign w:val="top"/>
          </w:tcPr>
          <w:p w14:paraId="0FE03B41">
            <w:pPr>
              <w:spacing w:before="92" w:line="192" w:lineRule="auto"/>
              <w:ind w:left="286"/>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c>
          <w:tcPr>
            <w:tcW w:w="729" w:type="dxa"/>
            <w:tcBorders>
              <w:bottom w:val="single" w:color="000000" w:sz="10" w:space="0"/>
            </w:tcBorders>
            <w:vAlign w:val="top"/>
          </w:tcPr>
          <w:p w14:paraId="6963E52F">
            <w:pPr>
              <w:spacing w:before="89" w:line="195" w:lineRule="auto"/>
              <w:ind w:left="22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105</w:t>
            </w:r>
          </w:p>
        </w:tc>
        <w:tc>
          <w:tcPr>
            <w:tcW w:w="722" w:type="dxa"/>
            <w:tcBorders>
              <w:bottom w:val="single" w:color="000000" w:sz="10" w:space="0"/>
            </w:tcBorders>
            <w:vAlign w:val="top"/>
          </w:tcPr>
          <w:p w14:paraId="0A4EFEAC">
            <w:pPr>
              <w:spacing w:before="89" w:line="195" w:lineRule="auto"/>
              <w:ind w:left="261"/>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748" w:type="dxa"/>
            <w:tcBorders>
              <w:bottom w:val="single" w:color="000000" w:sz="10" w:space="0"/>
            </w:tcBorders>
            <w:vAlign w:val="top"/>
          </w:tcPr>
          <w:p w14:paraId="618EC31B">
            <w:pPr>
              <w:spacing w:before="89" w:line="195" w:lineRule="auto"/>
              <w:ind w:left="24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3.0</w:t>
            </w:r>
          </w:p>
        </w:tc>
        <w:tc>
          <w:tcPr>
            <w:tcW w:w="1062" w:type="dxa"/>
            <w:tcBorders>
              <w:bottom w:val="single" w:color="000000" w:sz="10" w:space="0"/>
              <w:right w:val="nil"/>
            </w:tcBorders>
            <w:vAlign w:val="top"/>
          </w:tcPr>
          <w:p w14:paraId="092455A3">
            <w:pPr>
              <w:spacing w:before="69" w:line="216" w:lineRule="auto"/>
              <w:ind w:left="141"/>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12.6×10</w:t>
            </w:r>
            <w:r>
              <w:rPr>
                <w:rFonts w:ascii="Times New Roman" w:hAnsi="Times New Roman" w:eastAsia="Times New Roman" w:cs="Times New Roman"/>
                <w:spacing w:val="1"/>
                <w:position w:val="6"/>
                <w:sz w:val="13"/>
                <w:szCs w:val="13"/>
              </w:rPr>
              <w:t>11</w:t>
            </w:r>
          </w:p>
        </w:tc>
      </w:tr>
    </w:tbl>
    <w:p w14:paraId="71B5AD02">
      <w:pPr>
        <w:spacing w:before="34" w:line="335" w:lineRule="auto"/>
        <w:ind w:left="21" w:right="11" w:firstLine="480"/>
        <w:rPr>
          <w:rFonts w:ascii="宋体" w:hAnsi="宋体" w:eastAsia="宋体" w:cs="宋体"/>
          <w:sz w:val="24"/>
          <w:szCs w:val="24"/>
        </w:rPr>
      </w:pPr>
      <w:r>
        <w:rPr>
          <w:rFonts w:ascii="宋体" w:hAnsi="宋体" w:eastAsia="宋体" w:cs="宋体"/>
          <w:spacing w:val="-1"/>
          <w:sz w:val="24"/>
          <w:szCs w:val="24"/>
        </w:rPr>
        <w:t>本次评价标准小型车基准质量按照＞</w:t>
      </w:r>
      <w:r>
        <w:rPr>
          <w:rFonts w:ascii="Times New Roman" w:hAnsi="Times New Roman" w:eastAsia="Times New Roman" w:cs="Times New Roman"/>
          <w:spacing w:val="-1"/>
          <w:sz w:val="24"/>
          <w:szCs w:val="24"/>
        </w:rPr>
        <w:t xml:space="preserve">1760kg </w:t>
      </w:r>
      <w:r>
        <w:rPr>
          <w:rFonts w:ascii="宋体" w:hAnsi="宋体" w:eastAsia="宋体" w:cs="宋体"/>
          <w:spacing w:val="-1"/>
          <w:sz w:val="24"/>
          <w:szCs w:val="24"/>
        </w:rPr>
        <w:t>计，根</w:t>
      </w:r>
      <w:r>
        <w:rPr>
          <w:rFonts w:ascii="宋体" w:hAnsi="宋体" w:eastAsia="宋体" w:cs="宋体"/>
          <w:spacing w:val="-2"/>
          <w:sz w:val="24"/>
          <w:szCs w:val="24"/>
        </w:rPr>
        <w:t>据表</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4.4-2</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中汽车尾气污染物的</w:t>
      </w:r>
      <w:r>
        <w:rPr>
          <w:rFonts w:ascii="宋体" w:hAnsi="宋体" w:eastAsia="宋体" w:cs="宋体"/>
          <w:sz w:val="24"/>
          <w:szCs w:val="24"/>
        </w:rPr>
        <w:t xml:space="preserve"> 排放系数，可以计算出本项目增加车流量平均尾气污染物的</w:t>
      </w:r>
      <w:r>
        <w:rPr>
          <w:rFonts w:ascii="宋体" w:hAnsi="宋体" w:eastAsia="宋体" w:cs="宋体"/>
          <w:spacing w:val="-1"/>
          <w:sz w:val="24"/>
          <w:szCs w:val="24"/>
        </w:rPr>
        <w:t>排源强，计算公式如下：</w:t>
      </w:r>
    </w:p>
    <w:p w14:paraId="3E140255">
      <w:pPr>
        <w:spacing w:before="145" w:line="780" w:lineRule="exact"/>
        <w:ind w:firstLine="2986"/>
      </w:pPr>
      <w:r>
        <w:rPr>
          <w:position w:val="-15"/>
        </w:rPr>
        <w:drawing>
          <wp:inline distT="0" distB="0" distL="0" distR="0">
            <wp:extent cx="1981200" cy="494665"/>
            <wp:effectExtent l="0" t="0" r="0" b="0"/>
            <wp:docPr id="62" name="IM 62"/>
            <wp:cNvGraphicFramePr/>
            <a:graphic xmlns:a="http://schemas.openxmlformats.org/drawingml/2006/main">
              <a:graphicData uri="http://schemas.openxmlformats.org/drawingml/2006/picture">
                <pic:pic xmlns:pic="http://schemas.openxmlformats.org/drawingml/2006/picture">
                  <pic:nvPicPr>
                    <pic:cNvPr id="62" name="IM 62"/>
                    <pic:cNvPicPr/>
                  </pic:nvPicPr>
                  <pic:blipFill>
                    <a:blip r:embed="rId609"/>
                    <a:stretch>
                      <a:fillRect/>
                    </a:stretch>
                  </pic:blipFill>
                  <pic:spPr>
                    <a:xfrm>
                      <a:off x="0" y="0"/>
                      <a:ext cx="1981200" cy="494995"/>
                    </a:xfrm>
                    <a:prstGeom prst="rect">
                      <a:avLst/>
                    </a:prstGeom>
                  </pic:spPr>
                </pic:pic>
              </a:graphicData>
            </a:graphic>
          </wp:inline>
        </w:drawing>
      </w:r>
    </w:p>
    <w:p w14:paraId="239032B0">
      <w:pPr>
        <w:spacing w:before="252" w:line="335" w:lineRule="auto"/>
        <w:ind w:left="1213" w:right="3607" w:hanging="707"/>
        <w:rPr>
          <w:rFonts w:ascii="宋体" w:hAnsi="宋体" w:eastAsia="宋体" w:cs="宋体"/>
          <w:sz w:val="24"/>
          <w:szCs w:val="24"/>
        </w:rPr>
      </w:pPr>
      <w:r>
        <w:rPr>
          <w:rFonts w:ascii="宋体" w:hAnsi="宋体" w:eastAsia="宋体" w:cs="宋体"/>
          <w:spacing w:val="-3"/>
          <w:sz w:val="24"/>
          <w:szCs w:val="24"/>
        </w:rPr>
        <w:t>式中：</w:t>
      </w:r>
      <w:r>
        <w:rPr>
          <w:rFonts w:ascii="Times New Roman" w:hAnsi="Times New Roman" w:eastAsia="Times New Roman" w:cs="Times New Roman"/>
          <w:spacing w:val="-3"/>
          <w:sz w:val="24"/>
          <w:szCs w:val="24"/>
        </w:rPr>
        <w:t>Q</w:t>
      </w:r>
      <w:r>
        <w:rPr>
          <w:rFonts w:ascii="Times New Roman" w:hAnsi="Times New Roman" w:eastAsia="Times New Roman" w:cs="Times New Roman"/>
          <w:spacing w:val="-3"/>
          <w:position w:val="-1"/>
          <w:sz w:val="15"/>
          <w:szCs w:val="15"/>
        </w:rPr>
        <w:t>j</w:t>
      </w:r>
      <w:r>
        <w:rPr>
          <w:rFonts w:ascii="Times New Roman" w:hAnsi="Times New Roman" w:eastAsia="Times New Roman" w:cs="Times New Roman"/>
          <w:spacing w:val="-3"/>
          <w:sz w:val="24"/>
          <w:szCs w:val="24"/>
        </w:rPr>
        <w:t xml:space="preserve">—j </w:t>
      </w:r>
      <w:r>
        <w:rPr>
          <w:rFonts w:ascii="宋体" w:hAnsi="宋体" w:eastAsia="宋体" w:cs="宋体"/>
          <w:spacing w:val="-3"/>
          <w:sz w:val="24"/>
          <w:szCs w:val="24"/>
        </w:rPr>
        <w:t>类气态污染物排放源强，</w:t>
      </w:r>
      <w:r>
        <w:rPr>
          <w:rFonts w:ascii="Times New Roman" w:hAnsi="Times New Roman" w:eastAsia="Times New Roman" w:cs="Times New Roman"/>
          <w:spacing w:val="-3"/>
          <w:sz w:val="24"/>
          <w:szCs w:val="24"/>
        </w:rPr>
        <w:t>mg/(s.m)</w:t>
      </w:r>
      <w:r>
        <w:rPr>
          <w:rFonts w:ascii="宋体" w:hAnsi="宋体" w:eastAsia="宋体" w:cs="宋体"/>
          <w:spacing w:val="-3"/>
          <w:sz w:val="24"/>
          <w:szCs w:val="24"/>
        </w:rPr>
        <w:t>；</w:t>
      </w:r>
      <w:r>
        <w:rPr>
          <w:rFonts w:ascii="宋体" w:hAnsi="宋体" w:eastAsia="宋体" w:cs="宋体"/>
          <w:spacing w:val="7"/>
          <w:sz w:val="24"/>
          <w:szCs w:val="24"/>
        </w:rPr>
        <w:t xml:space="preserve"> </w:t>
      </w:r>
      <w:r>
        <w:rPr>
          <w:rFonts w:ascii="Times New Roman" w:hAnsi="Times New Roman" w:eastAsia="Times New Roman" w:cs="Times New Roman"/>
          <w:spacing w:val="-2"/>
          <w:sz w:val="24"/>
          <w:szCs w:val="24"/>
        </w:rPr>
        <w:t>A</w:t>
      </w:r>
      <w:r>
        <w:rPr>
          <w:rFonts w:ascii="Times New Roman" w:hAnsi="Times New Roman" w:eastAsia="Times New Roman" w:cs="Times New Roman"/>
          <w:spacing w:val="-2"/>
          <w:position w:val="-1"/>
          <w:sz w:val="15"/>
          <w:szCs w:val="15"/>
        </w:rPr>
        <w:t>i</w:t>
      </w:r>
      <w:r>
        <w:rPr>
          <w:rFonts w:ascii="Times New Roman" w:hAnsi="Times New Roman" w:eastAsia="Times New Roman" w:cs="Times New Roman"/>
          <w:spacing w:val="-2"/>
          <w:sz w:val="24"/>
          <w:szCs w:val="24"/>
        </w:rPr>
        <w:t>—i</w:t>
      </w:r>
      <w:r>
        <w:rPr>
          <w:rFonts w:ascii="Times New Roman" w:hAnsi="Times New Roman" w:eastAsia="Times New Roman" w:cs="Times New Roman"/>
          <w:spacing w:val="32"/>
          <w:w w:val="101"/>
          <w:sz w:val="24"/>
          <w:szCs w:val="24"/>
        </w:rPr>
        <w:t xml:space="preserve"> </w:t>
      </w:r>
      <w:r>
        <w:rPr>
          <w:rFonts w:ascii="宋体" w:hAnsi="宋体" w:eastAsia="宋体" w:cs="宋体"/>
          <w:spacing w:val="-2"/>
          <w:sz w:val="24"/>
          <w:szCs w:val="24"/>
        </w:rPr>
        <w:t>型机动车的日交通量，辆</w:t>
      </w:r>
      <w:r>
        <w:rPr>
          <w:rFonts w:ascii="Times New Roman" w:hAnsi="Times New Roman" w:eastAsia="Times New Roman" w:cs="Times New Roman"/>
          <w:spacing w:val="-2"/>
          <w:sz w:val="24"/>
          <w:szCs w:val="24"/>
        </w:rPr>
        <w:t>/</w:t>
      </w:r>
      <w:r>
        <w:rPr>
          <w:rFonts w:ascii="宋体" w:hAnsi="宋体" w:eastAsia="宋体" w:cs="宋体"/>
          <w:spacing w:val="-2"/>
          <w:sz w:val="24"/>
          <w:szCs w:val="24"/>
        </w:rPr>
        <w:t>日；</w:t>
      </w:r>
    </w:p>
    <w:p w14:paraId="5CA45ACE">
      <w:pPr>
        <w:spacing w:before="64" w:line="336" w:lineRule="auto"/>
        <w:ind w:left="1213" w:right="2296" w:firstLine="3"/>
        <w:rPr>
          <w:rFonts w:ascii="宋体" w:hAnsi="宋体" w:eastAsia="宋体" w:cs="宋体"/>
          <w:sz w:val="24"/>
          <w:szCs w:val="24"/>
        </w:rPr>
      </w:pPr>
      <w:r>
        <w:rPr>
          <w:rFonts w:ascii="Times New Roman" w:hAnsi="Times New Roman" w:eastAsia="Times New Roman" w:cs="Times New Roman"/>
          <w:sz w:val="24"/>
          <w:szCs w:val="24"/>
        </w:rPr>
        <w:t>E</w:t>
      </w:r>
      <w:r>
        <w:rPr>
          <w:rFonts w:ascii="Times New Roman" w:hAnsi="Times New Roman" w:eastAsia="Times New Roman" w:cs="Times New Roman"/>
          <w:position w:val="-1"/>
          <w:sz w:val="15"/>
          <w:szCs w:val="15"/>
        </w:rPr>
        <w:t>ij</w:t>
      </w:r>
      <w:r>
        <w:rPr>
          <w:rFonts w:ascii="Times New Roman" w:hAnsi="Times New Roman" w:eastAsia="Times New Roman" w:cs="Times New Roman"/>
          <w:sz w:val="24"/>
          <w:szCs w:val="24"/>
        </w:rPr>
        <w:t xml:space="preserve">—i </w:t>
      </w:r>
      <w:r>
        <w:rPr>
          <w:rFonts w:ascii="宋体" w:hAnsi="宋体" w:eastAsia="宋体" w:cs="宋体"/>
          <w:sz w:val="24"/>
          <w:szCs w:val="24"/>
        </w:rPr>
        <w:t>机动车</w:t>
      </w:r>
      <w:r>
        <w:rPr>
          <w:rFonts w:ascii="Times New Roman" w:hAnsi="Times New Roman" w:eastAsia="Times New Roman" w:cs="Times New Roman"/>
          <w:sz w:val="24"/>
          <w:szCs w:val="24"/>
        </w:rPr>
        <w:t xml:space="preserve">j </w:t>
      </w:r>
      <w:r>
        <w:rPr>
          <w:rFonts w:ascii="宋体" w:hAnsi="宋体" w:eastAsia="宋体" w:cs="宋体"/>
          <w:sz w:val="24"/>
          <w:szCs w:val="24"/>
        </w:rPr>
        <w:t>类污染物的单车排放因子，</w:t>
      </w:r>
      <w:r>
        <w:rPr>
          <w:rFonts w:ascii="Times New Roman" w:hAnsi="Times New Roman" w:eastAsia="Times New Roman" w:cs="Times New Roman"/>
          <w:sz w:val="24"/>
          <w:szCs w:val="24"/>
        </w:rPr>
        <w:t>mg/</w:t>
      </w:r>
      <w:r>
        <w:rPr>
          <w:rFonts w:ascii="Times New Roman" w:hAnsi="Times New Roman" w:eastAsia="Times New Roman" w:cs="Times New Roman"/>
          <w:spacing w:val="-1"/>
          <w:sz w:val="24"/>
          <w:szCs w:val="24"/>
        </w:rPr>
        <w:t>(</w:t>
      </w:r>
      <w:r>
        <w:rPr>
          <w:rFonts w:ascii="宋体" w:hAnsi="宋体" w:eastAsia="宋体" w:cs="宋体"/>
          <w:spacing w:val="-1"/>
          <w:sz w:val="24"/>
          <w:szCs w:val="24"/>
        </w:rPr>
        <w:t>辆</w:t>
      </w:r>
      <w:r>
        <w:rPr>
          <w:rFonts w:ascii="Times New Roman" w:hAnsi="Times New Roman" w:eastAsia="Times New Roman" w:cs="Times New Roman"/>
          <w:spacing w:val="-1"/>
          <w:sz w:val="24"/>
          <w:szCs w:val="24"/>
        </w:rPr>
        <w:t>.m)</w:t>
      </w:r>
      <w:r>
        <w:rPr>
          <w:rFonts w:ascii="宋体" w:hAnsi="宋体" w:eastAsia="宋体" w:cs="宋体"/>
          <w:spacing w:val="-1"/>
          <w:sz w:val="24"/>
          <w:szCs w:val="24"/>
        </w:rPr>
        <w:t>；</w:t>
      </w:r>
      <w:r>
        <w:rPr>
          <w:rFonts w:ascii="宋体" w:hAnsi="宋体" w:eastAsia="宋体" w:cs="宋体"/>
          <w:sz w:val="24"/>
          <w:szCs w:val="24"/>
        </w:rPr>
        <w:t xml:space="preserve"> </w:t>
      </w:r>
      <w:r>
        <w:rPr>
          <w:rFonts w:ascii="Times New Roman" w:hAnsi="Times New Roman" w:eastAsia="Times New Roman" w:cs="Times New Roman"/>
          <w:spacing w:val="3"/>
          <w:sz w:val="24"/>
          <w:szCs w:val="24"/>
        </w:rPr>
        <w:t xml:space="preserve">n </w:t>
      </w:r>
      <w:r>
        <w:rPr>
          <w:rFonts w:ascii="宋体" w:hAnsi="宋体" w:eastAsia="宋体" w:cs="宋体"/>
          <w:spacing w:val="3"/>
          <w:sz w:val="24"/>
          <w:szCs w:val="24"/>
        </w:rPr>
        <w:t>为车型种类，本工程</w:t>
      </w:r>
      <w:r>
        <w:rPr>
          <w:rFonts w:ascii="Times New Roman" w:hAnsi="Times New Roman" w:eastAsia="Times New Roman" w:cs="Times New Roman"/>
          <w:spacing w:val="3"/>
          <w:sz w:val="24"/>
          <w:szCs w:val="24"/>
        </w:rPr>
        <w:t>n=1</w:t>
      </w:r>
      <w:r>
        <w:rPr>
          <w:rFonts w:ascii="宋体" w:hAnsi="宋体" w:eastAsia="宋体" w:cs="宋体"/>
          <w:spacing w:val="3"/>
          <w:sz w:val="24"/>
          <w:szCs w:val="24"/>
        </w:rPr>
        <w:t>。</w:t>
      </w:r>
    </w:p>
    <w:p w14:paraId="4B080AA2">
      <w:pPr>
        <w:spacing w:before="59" w:line="219" w:lineRule="auto"/>
        <w:ind w:left="501"/>
        <w:rPr>
          <w:rFonts w:ascii="宋体" w:hAnsi="宋体" w:eastAsia="宋体" w:cs="宋体"/>
          <w:sz w:val="24"/>
          <w:szCs w:val="24"/>
        </w:rPr>
      </w:pPr>
      <w:r>
        <w:rPr>
          <w:rFonts w:ascii="宋体" w:hAnsi="宋体" w:eastAsia="宋体" w:cs="宋体"/>
          <w:spacing w:val="-2"/>
          <w:sz w:val="24"/>
          <w:szCs w:val="24"/>
        </w:rPr>
        <w:t>计算结果见表</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3.3-14</w:t>
      </w:r>
      <w:r>
        <w:rPr>
          <w:rFonts w:ascii="宋体" w:hAnsi="宋体" w:eastAsia="宋体" w:cs="宋体"/>
          <w:spacing w:val="-2"/>
          <w:sz w:val="24"/>
          <w:szCs w:val="24"/>
        </w:rPr>
        <w:t>。</w:t>
      </w:r>
    </w:p>
    <w:p w14:paraId="3723473F">
      <w:pPr>
        <w:spacing w:before="178" w:line="227" w:lineRule="auto"/>
        <w:ind w:left="1937"/>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6"/>
          <w:sz w:val="20"/>
          <w:szCs w:val="20"/>
        </w:rPr>
        <w:t xml:space="preserve">3.3-14        </w:t>
      </w:r>
      <w:r>
        <w:rPr>
          <w:rFonts w:ascii="宋体" w:hAnsi="宋体" w:eastAsia="宋体" w:cs="宋体"/>
          <w:b/>
          <w:bCs/>
          <w:spacing w:val="6"/>
          <w:sz w:val="20"/>
          <w:szCs w:val="20"/>
        </w:rPr>
        <w:t>本项目交通流量机动车尾气污染物排放源强</w:t>
      </w:r>
    </w:p>
    <w:p w14:paraId="344FD4B1">
      <w:pPr>
        <w:spacing w:line="132" w:lineRule="exact"/>
      </w:pPr>
    </w:p>
    <w:tbl>
      <w:tblPr>
        <w:tblStyle w:val="5"/>
        <w:tblW w:w="9065" w:type="dxa"/>
        <w:tblInd w:w="1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686"/>
        <w:gridCol w:w="1774"/>
        <w:gridCol w:w="2605"/>
      </w:tblGrid>
      <w:tr w14:paraId="55B543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4686" w:type="dxa"/>
            <w:tcBorders>
              <w:top w:val="single" w:color="000000" w:sz="10" w:space="0"/>
              <w:left w:val="nil"/>
            </w:tcBorders>
            <w:vAlign w:val="top"/>
          </w:tcPr>
          <w:p w14:paraId="32206182">
            <w:pPr>
              <w:pStyle w:val="6"/>
              <w:spacing w:before="37" w:line="214" w:lineRule="auto"/>
              <w:ind w:left="2143"/>
              <w:rPr>
                <w:sz w:val="20"/>
                <w:szCs w:val="20"/>
              </w:rPr>
            </w:pPr>
            <w:r>
              <w:rPr>
                <w:spacing w:val="3"/>
                <w:sz w:val="20"/>
                <w:szCs w:val="20"/>
              </w:rPr>
              <w:t>项目</w:t>
            </w:r>
          </w:p>
        </w:tc>
        <w:tc>
          <w:tcPr>
            <w:tcW w:w="1774" w:type="dxa"/>
            <w:tcBorders>
              <w:top w:val="single" w:color="000000" w:sz="10" w:space="0"/>
            </w:tcBorders>
            <w:vAlign w:val="top"/>
          </w:tcPr>
          <w:p w14:paraId="0C012B61">
            <w:pPr>
              <w:pStyle w:val="6"/>
              <w:spacing w:before="37" w:line="214" w:lineRule="auto"/>
              <w:ind w:left="686"/>
              <w:rPr>
                <w:sz w:val="20"/>
                <w:szCs w:val="20"/>
              </w:rPr>
            </w:pPr>
            <w:r>
              <w:rPr>
                <w:spacing w:val="3"/>
                <w:sz w:val="20"/>
                <w:szCs w:val="20"/>
              </w:rPr>
              <w:t>单位</w:t>
            </w:r>
          </w:p>
        </w:tc>
        <w:tc>
          <w:tcPr>
            <w:tcW w:w="2605" w:type="dxa"/>
            <w:tcBorders>
              <w:top w:val="single" w:color="000000" w:sz="10" w:space="0"/>
              <w:right w:val="nil"/>
            </w:tcBorders>
            <w:vAlign w:val="top"/>
          </w:tcPr>
          <w:p w14:paraId="4FC34105">
            <w:pPr>
              <w:pStyle w:val="6"/>
              <w:spacing w:before="37" w:line="214" w:lineRule="auto"/>
              <w:ind w:left="965"/>
              <w:rPr>
                <w:sz w:val="20"/>
                <w:szCs w:val="20"/>
              </w:rPr>
            </w:pPr>
            <w:r>
              <w:rPr>
                <w:rFonts w:ascii="Times New Roman" w:hAnsi="Times New Roman" w:eastAsia="Times New Roman" w:cs="Times New Roman"/>
                <w:spacing w:val="2"/>
                <w:sz w:val="20"/>
                <w:szCs w:val="20"/>
              </w:rPr>
              <w:t>2025</w:t>
            </w:r>
            <w:r>
              <w:rPr>
                <w:rFonts w:ascii="Times New Roman" w:hAnsi="Times New Roman" w:eastAsia="Times New Roman" w:cs="Times New Roman"/>
                <w:spacing w:val="16"/>
                <w:sz w:val="20"/>
                <w:szCs w:val="20"/>
              </w:rPr>
              <w:t xml:space="preserve"> </w:t>
            </w:r>
            <w:r>
              <w:rPr>
                <w:spacing w:val="2"/>
                <w:sz w:val="20"/>
                <w:szCs w:val="20"/>
              </w:rPr>
              <w:t>年</w:t>
            </w:r>
          </w:p>
        </w:tc>
      </w:tr>
      <w:tr w14:paraId="1E38E6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4686" w:type="dxa"/>
            <w:tcBorders>
              <w:left w:val="nil"/>
            </w:tcBorders>
            <w:vAlign w:val="top"/>
          </w:tcPr>
          <w:p w14:paraId="6BBA602F">
            <w:pPr>
              <w:pStyle w:val="6"/>
              <w:spacing w:before="33" w:line="214" w:lineRule="auto"/>
              <w:ind w:left="850"/>
              <w:rPr>
                <w:sz w:val="20"/>
                <w:szCs w:val="20"/>
              </w:rPr>
            </w:pPr>
            <w:r>
              <w:rPr>
                <w:spacing w:val="8"/>
                <w:sz w:val="20"/>
                <w:szCs w:val="20"/>
              </w:rPr>
              <w:t>预测交通量辆（标准小型车）</w:t>
            </w:r>
            <w:r>
              <w:rPr>
                <w:rFonts w:ascii="Times New Roman" w:hAnsi="Times New Roman" w:eastAsia="Times New Roman" w:cs="Times New Roman"/>
                <w:spacing w:val="8"/>
                <w:sz w:val="20"/>
                <w:szCs w:val="20"/>
              </w:rPr>
              <w:t>/</w:t>
            </w:r>
            <w:r>
              <w:rPr>
                <w:spacing w:val="8"/>
                <w:sz w:val="20"/>
                <w:szCs w:val="20"/>
              </w:rPr>
              <w:t>日</w:t>
            </w:r>
          </w:p>
        </w:tc>
        <w:tc>
          <w:tcPr>
            <w:tcW w:w="1774" w:type="dxa"/>
            <w:vAlign w:val="top"/>
          </w:tcPr>
          <w:p w14:paraId="06AC0496">
            <w:pPr>
              <w:pStyle w:val="6"/>
              <w:spacing w:before="33" w:line="214" w:lineRule="auto"/>
              <w:ind w:left="786"/>
              <w:rPr>
                <w:sz w:val="20"/>
                <w:szCs w:val="20"/>
              </w:rPr>
            </w:pPr>
            <w:r>
              <w:rPr>
                <w:spacing w:val="1"/>
                <w:sz w:val="20"/>
                <w:szCs w:val="20"/>
              </w:rPr>
              <w:t>辆</w:t>
            </w:r>
          </w:p>
        </w:tc>
        <w:tc>
          <w:tcPr>
            <w:tcW w:w="2605" w:type="dxa"/>
            <w:tcBorders>
              <w:right w:val="nil"/>
            </w:tcBorders>
            <w:vAlign w:val="top"/>
          </w:tcPr>
          <w:p w14:paraId="631EF166">
            <w:pPr>
              <w:spacing w:before="69" w:line="195" w:lineRule="auto"/>
              <w:ind w:left="11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246</w:t>
            </w:r>
          </w:p>
        </w:tc>
      </w:tr>
      <w:tr w14:paraId="0B3E03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3" w:hRule="atLeast"/>
        </w:trPr>
        <w:tc>
          <w:tcPr>
            <w:tcW w:w="4686" w:type="dxa"/>
            <w:tcBorders>
              <w:left w:val="nil"/>
            </w:tcBorders>
            <w:vAlign w:val="top"/>
          </w:tcPr>
          <w:p w14:paraId="3C8CDE61">
            <w:pPr>
              <w:spacing w:before="58" w:line="182" w:lineRule="auto"/>
              <w:ind w:left="220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CO</w:t>
            </w:r>
          </w:p>
        </w:tc>
        <w:tc>
          <w:tcPr>
            <w:tcW w:w="1774" w:type="dxa"/>
            <w:vAlign w:val="top"/>
          </w:tcPr>
          <w:p w14:paraId="4CA69205">
            <w:pPr>
              <w:spacing w:before="54" w:line="186" w:lineRule="auto"/>
              <w:ind w:left="574"/>
              <w:rPr>
                <w:rFonts w:ascii="Times New Roman" w:hAnsi="Times New Roman" w:eastAsia="Times New Roman" w:cs="Times New Roman"/>
                <w:sz w:val="20"/>
                <w:szCs w:val="20"/>
              </w:rPr>
            </w:pP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/m.s</w:t>
            </w:r>
          </w:p>
        </w:tc>
        <w:tc>
          <w:tcPr>
            <w:tcW w:w="2605" w:type="dxa"/>
            <w:tcBorders>
              <w:right w:val="nil"/>
            </w:tcBorders>
            <w:vAlign w:val="top"/>
          </w:tcPr>
          <w:p w14:paraId="4B2945E1">
            <w:pPr>
              <w:spacing w:before="58" w:line="182" w:lineRule="auto"/>
              <w:ind w:left="8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0.0021069</w:t>
            </w:r>
          </w:p>
        </w:tc>
      </w:tr>
      <w:tr w14:paraId="0EDA89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4" w:hRule="atLeast"/>
        </w:trPr>
        <w:tc>
          <w:tcPr>
            <w:tcW w:w="4686" w:type="dxa"/>
            <w:tcBorders>
              <w:left w:val="nil"/>
            </w:tcBorders>
            <w:vAlign w:val="top"/>
          </w:tcPr>
          <w:p w14:paraId="46D365E2">
            <w:pPr>
              <w:spacing w:before="62" w:line="179" w:lineRule="auto"/>
              <w:ind w:left="213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THC</w:t>
            </w:r>
          </w:p>
        </w:tc>
        <w:tc>
          <w:tcPr>
            <w:tcW w:w="1774" w:type="dxa"/>
            <w:vAlign w:val="top"/>
          </w:tcPr>
          <w:p w14:paraId="1ECB4149">
            <w:pPr>
              <w:spacing w:before="58" w:line="183" w:lineRule="auto"/>
              <w:ind w:left="574"/>
              <w:rPr>
                <w:rFonts w:ascii="Times New Roman" w:hAnsi="Times New Roman" w:eastAsia="Times New Roman" w:cs="Times New Roman"/>
                <w:sz w:val="20"/>
                <w:szCs w:val="20"/>
              </w:rPr>
            </w:pP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/m.s</w:t>
            </w:r>
          </w:p>
        </w:tc>
        <w:tc>
          <w:tcPr>
            <w:tcW w:w="2605" w:type="dxa"/>
            <w:tcBorders>
              <w:right w:val="nil"/>
            </w:tcBorders>
            <w:vAlign w:val="top"/>
          </w:tcPr>
          <w:p w14:paraId="1505E992">
            <w:pPr>
              <w:spacing w:before="62" w:line="179" w:lineRule="auto"/>
              <w:ind w:left="8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0.0002278</w:t>
            </w:r>
          </w:p>
        </w:tc>
      </w:tr>
      <w:tr w14:paraId="17CF2B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4" w:hRule="atLeast"/>
        </w:trPr>
        <w:tc>
          <w:tcPr>
            <w:tcW w:w="4686" w:type="dxa"/>
            <w:tcBorders>
              <w:left w:val="nil"/>
            </w:tcBorders>
            <w:vAlign w:val="top"/>
          </w:tcPr>
          <w:p w14:paraId="34600E64">
            <w:pPr>
              <w:spacing w:before="63" w:line="178" w:lineRule="auto"/>
              <w:ind w:left="2023"/>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NMHC</w:t>
            </w:r>
          </w:p>
        </w:tc>
        <w:tc>
          <w:tcPr>
            <w:tcW w:w="1774" w:type="dxa"/>
            <w:vAlign w:val="top"/>
          </w:tcPr>
          <w:p w14:paraId="403EB506">
            <w:pPr>
              <w:spacing w:before="59" w:line="182" w:lineRule="auto"/>
              <w:ind w:left="574"/>
              <w:rPr>
                <w:rFonts w:ascii="Times New Roman" w:hAnsi="Times New Roman" w:eastAsia="Times New Roman" w:cs="Times New Roman"/>
                <w:sz w:val="20"/>
                <w:szCs w:val="20"/>
              </w:rPr>
            </w:pP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/m.s</w:t>
            </w:r>
          </w:p>
        </w:tc>
        <w:tc>
          <w:tcPr>
            <w:tcW w:w="2605" w:type="dxa"/>
            <w:tcBorders>
              <w:right w:val="nil"/>
            </w:tcBorders>
            <w:vAlign w:val="top"/>
          </w:tcPr>
          <w:p w14:paraId="13C22AEB">
            <w:pPr>
              <w:spacing w:before="63" w:line="178" w:lineRule="auto"/>
              <w:ind w:left="8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0.0001566</w:t>
            </w:r>
          </w:p>
        </w:tc>
      </w:tr>
      <w:tr w14:paraId="7CE641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4" w:hRule="atLeast"/>
        </w:trPr>
        <w:tc>
          <w:tcPr>
            <w:tcW w:w="4686" w:type="dxa"/>
            <w:tcBorders>
              <w:left w:val="nil"/>
            </w:tcBorders>
            <w:vAlign w:val="top"/>
          </w:tcPr>
          <w:p w14:paraId="73AB4CAE">
            <w:pPr>
              <w:spacing w:before="66" w:line="175" w:lineRule="auto"/>
              <w:ind w:left="2153"/>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x</w:t>
            </w:r>
          </w:p>
        </w:tc>
        <w:tc>
          <w:tcPr>
            <w:tcW w:w="1774" w:type="dxa"/>
            <w:vAlign w:val="top"/>
          </w:tcPr>
          <w:p w14:paraId="5BDD6BA4">
            <w:pPr>
              <w:spacing w:before="62" w:line="179" w:lineRule="auto"/>
              <w:ind w:left="574"/>
              <w:rPr>
                <w:rFonts w:ascii="Times New Roman" w:hAnsi="Times New Roman" w:eastAsia="Times New Roman" w:cs="Times New Roman"/>
                <w:sz w:val="20"/>
                <w:szCs w:val="20"/>
              </w:rPr>
            </w:pP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/m.s</w:t>
            </w:r>
          </w:p>
        </w:tc>
        <w:tc>
          <w:tcPr>
            <w:tcW w:w="2605" w:type="dxa"/>
            <w:tcBorders>
              <w:right w:val="nil"/>
            </w:tcBorders>
            <w:vAlign w:val="top"/>
          </w:tcPr>
          <w:p w14:paraId="06AE17D2">
            <w:pPr>
              <w:spacing w:before="66" w:line="175" w:lineRule="auto"/>
              <w:ind w:left="8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0.0002989</w:t>
            </w:r>
          </w:p>
        </w:tc>
      </w:tr>
      <w:tr w14:paraId="4EA536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3" w:hRule="atLeast"/>
        </w:trPr>
        <w:tc>
          <w:tcPr>
            <w:tcW w:w="4686" w:type="dxa"/>
            <w:tcBorders>
              <w:left w:val="nil"/>
            </w:tcBorders>
            <w:vAlign w:val="top"/>
          </w:tcPr>
          <w:p w14:paraId="5C88A4BC">
            <w:pPr>
              <w:spacing w:before="69" w:line="171" w:lineRule="auto"/>
              <w:ind w:left="2153"/>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N</w:t>
            </w:r>
            <w:r>
              <w:rPr>
                <w:rFonts w:ascii="Times New Roman" w:hAnsi="Times New Roman" w:eastAsia="Times New Roman" w:cs="Times New Roman"/>
                <w:spacing w:val="5"/>
                <w:position w:val="-1"/>
                <w:sz w:val="13"/>
                <w:szCs w:val="13"/>
              </w:rPr>
              <w:t>2</w:t>
            </w:r>
            <w:r>
              <w:rPr>
                <w:rFonts w:ascii="Times New Roman" w:hAnsi="Times New Roman" w:eastAsia="Times New Roman" w:cs="Times New Roman"/>
                <w:spacing w:val="5"/>
                <w:sz w:val="20"/>
                <w:szCs w:val="20"/>
              </w:rPr>
              <w:t>O</w:t>
            </w:r>
          </w:p>
        </w:tc>
        <w:tc>
          <w:tcPr>
            <w:tcW w:w="1774" w:type="dxa"/>
            <w:vAlign w:val="top"/>
          </w:tcPr>
          <w:p w14:paraId="68261E4E">
            <w:pPr>
              <w:spacing w:before="65" w:line="175" w:lineRule="auto"/>
              <w:ind w:left="574"/>
              <w:rPr>
                <w:rFonts w:ascii="Times New Roman" w:hAnsi="Times New Roman" w:eastAsia="Times New Roman" w:cs="Times New Roman"/>
                <w:sz w:val="20"/>
                <w:szCs w:val="20"/>
              </w:rPr>
            </w:pP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/m.s</w:t>
            </w:r>
          </w:p>
        </w:tc>
        <w:tc>
          <w:tcPr>
            <w:tcW w:w="2605" w:type="dxa"/>
            <w:tcBorders>
              <w:right w:val="nil"/>
            </w:tcBorders>
            <w:vAlign w:val="top"/>
          </w:tcPr>
          <w:p w14:paraId="7DFB0AE9">
            <w:pPr>
              <w:spacing w:before="69" w:line="171" w:lineRule="auto"/>
              <w:ind w:left="8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0.0000854</w:t>
            </w:r>
          </w:p>
        </w:tc>
      </w:tr>
      <w:tr w14:paraId="2DE462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4" w:hRule="atLeast"/>
        </w:trPr>
        <w:tc>
          <w:tcPr>
            <w:tcW w:w="4686" w:type="dxa"/>
            <w:tcBorders>
              <w:left w:val="nil"/>
            </w:tcBorders>
            <w:vAlign w:val="top"/>
          </w:tcPr>
          <w:p w14:paraId="4979EDB3">
            <w:pPr>
              <w:spacing w:before="75" w:line="165" w:lineRule="auto"/>
              <w:ind w:left="219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PM</w:t>
            </w:r>
          </w:p>
        </w:tc>
        <w:tc>
          <w:tcPr>
            <w:tcW w:w="1774" w:type="dxa"/>
            <w:vAlign w:val="top"/>
          </w:tcPr>
          <w:p w14:paraId="51DCD4B9">
            <w:pPr>
              <w:spacing w:before="69" w:line="172" w:lineRule="auto"/>
              <w:ind w:left="574"/>
              <w:rPr>
                <w:rFonts w:ascii="Times New Roman" w:hAnsi="Times New Roman" w:eastAsia="Times New Roman" w:cs="Times New Roman"/>
                <w:sz w:val="20"/>
                <w:szCs w:val="20"/>
              </w:rPr>
            </w:pPr>
            <w:r>
              <w:rPr>
                <w:rFonts w:ascii="Times New Roman" w:hAnsi="Times New Roman" w:eastAsia="Times New Roman" w:cs="Times New Roman"/>
                <w:sz w:val="20"/>
                <w:szCs w:val="20"/>
              </w:rPr>
              <w:t>mg</w:t>
            </w:r>
            <w:r>
              <w:rPr>
                <w:rFonts w:ascii="Times New Roman" w:hAnsi="Times New Roman" w:eastAsia="Times New Roman" w:cs="Times New Roman"/>
                <w:spacing w:val="8"/>
                <w:sz w:val="20"/>
                <w:szCs w:val="20"/>
              </w:rPr>
              <w:t>/m.s</w:t>
            </w:r>
          </w:p>
        </w:tc>
        <w:tc>
          <w:tcPr>
            <w:tcW w:w="2605" w:type="dxa"/>
            <w:tcBorders>
              <w:right w:val="nil"/>
            </w:tcBorders>
            <w:vAlign w:val="top"/>
          </w:tcPr>
          <w:p w14:paraId="40D8CD74">
            <w:pPr>
              <w:spacing w:before="73" w:line="168" w:lineRule="auto"/>
              <w:ind w:left="8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0.0000085</w:t>
            </w:r>
          </w:p>
        </w:tc>
      </w:tr>
      <w:tr w14:paraId="6860BD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8" w:hRule="atLeast"/>
        </w:trPr>
        <w:tc>
          <w:tcPr>
            <w:tcW w:w="4686" w:type="dxa"/>
            <w:tcBorders>
              <w:left w:val="nil"/>
              <w:bottom w:val="single" w:color="000000" w:sz="10" w:space="0"/>
            </w:tcBorders>
            <w:vAlign w:val="top"/>
          </w:tcPr>
          <w:p w14:paraId="126C2C37">
            <w:pPr>
              <w:spacing w:before="93" w:line="192" w:lineRule="auto"/>
              <w:ind w:left="22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PN</w:t>
            </w:r>
          </w:p>
        </w:tc>
        <w:tc>
          <w:tcPr>
            <w:tcW w:w="1774" w:type="dxa"/>
            <w:tcBorders>
              <w:bottom w:val="single" w:color="000000" w:sz="10" w:space="0"/>
            </w:tcBorders>
            <w:vAlign w:val="top"/>
          </w:tcPr>
          <w:p w14:paraId="2EB2F39F">
            <w:pPr>
              <w:pStyle w:val="6"/>
              <w:spacing w:before="53" w:line="216" w:lineRule="auto"/>
              <w:ind w:left="610"/>
              <w:rPr>
                <w:rFonts w:ascii="Times New Roman" w:hAnsi="Times New Roman" w:eastAsia="Times New Roman" w:cs="Times New Roman"/>
                <w:sz w:val="20"/>
                <w:szCs w:val="20"/>
              </w:rPr>
            </w:pPr>
            <w:r>
              <w:rPr>
                <w:spacing w:val="5"/>
                <w:sz w:val="20"/>
                <w:szCs w:val="20"/>
              </w:rPr>
              <w:t>个</w:t>
            </w:r>
            <w:r>
              <w:rPr>
                <w:rFonts w:ascii="Times New Roman" w:hAnsi="Times New Roman" w:eastAsia="Times New Roman" w:cs="Times New Roman"/>
                <w:spacing w:val="5"/>
                <w:sz w:val="20"/>
                <w:szCs w:val="20"/>
              </w:rPr>
              <w:t>/m.s</w:t>
            </w:r>
          </w:p>
        </w:tc>
        <w:tc>
          <w:tcPr>
            <w:tcW w:w="2605" w:type="dxa"/>
            <w:tcBorders>
              <w:bottom w:val="single" w:color="000000" w:sz="10" w:space="0"/>
              <w:right w:val="nil"/>
            </w:tcBorders>
            <w:vAlign w:val="top"/>
          </w:tcPr>
          <w:p w14:paraId="649BF23F">
            <w:pPr>
              <w:spacing w:before="70" w:line="216" w:lineRule="auto"/>
              <w:ind w:left="929"/>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35.9×10</w:t>
            </w:r>
            <w:r>
              <w:rPr>
                <w:rFonts w:ascii="Times New Roman" w:hAnsi="Times New Roman" w:eastAsia="Times New Roman" w:cs="Times New Roman"/>
                <w:spacing w:val="3"/>
                <w:position w:val="6"/>
                <w:sz w:val="13"/>
                <w:szCs w:val="13"/>
              </w:rPr>
              <w:t>6</w:t>
            </w:r>
          </w:p>
        </w:tc>
      </w:tr>
    </w:tbl>
    <w:p w14:paraId="494D0165">
      <w:pPr>
        <w:pStyle w:val="2"/>
      </w:pPr>
    </w:p>
    <w:p w14:paraId="78FDD05A">
      <w:pPr>
        <w:sectPr>
          <w:headerReference r:id="rId246" w:type="default"/>
          <w:footerReference r:id="rId247" w:type="default"/>
          <w:pgSz w:w="11906" w:h="16839"/>
          <w:pgMar w:top="1190" w:right="1406" w:bottom="1012" w:left="1406" w:header="882" w:footer="850" w:gutter="0"/>
          <w:cols w:space="720" w:num="1"/>
        </w:sectPr>
      </w:pPr>
    </w:p>
    <w:p w14:paraId="7C83FE8E">
      <w:pPr>
        <w:spacing w:line="28" w:lineRule="exact"/>
      </w:pPr>
      <w:r>
        <w:pict>
          <v:shape id="_x0000_s1275" o:spid="_x0000_s1275" style="height:1.45pt;width:453.65pt;" fillcolor="#000000" filled="t" stroked="f" coordsize="9072,29" path="m0,0l9072,0,9072,28,0,28,0,0xe">
            <v:path/>
            <v:fill on="t" focussize="0,0"/>
            <v:stroke on="f"/>
            <v:imagedata o:title=""/>
            <o:lock v:ext="edit"/>
            <w10:wrap type="none"/>
            <w10:anchorlock/>
          </v:shape>
        </w:pict>
      </w:r>
    </w:p>
    <w:p w14:paraId="0075C423">
      <w:pPr>
        <w:spacing w:before="328" w:line="227" w:lineRule="auto"/>
        <w:ind w:left="2201"/>
        <w:outlineLvl w:val="0"/>
        <w:rPr>
          <w:rFonts w:ascii="黑体" w:hAnsi="黑体" w:eastAsia="黑体" w:cs="黑体"/>
          <w:sz w:val="35"/>
          <w:szCs w:val="35"/>
        </w:rPr>
      </w:pPr>
      <w:bookmarkStart w:id="357" w:name="bookmark182"/>
      <w:bookmarkEnd w:id="357"/>
      <w:bookmarkStart w:id="358" w:name="bookmark186"/>
      <w:bookmarkEnd w:id="358"/>
      <w:bookmarkStart w:id="359" w:name="bookmark184"/>
      <w:bookmarkEnd w:id="359"/>
      <w:r>
        <w:rPr>
          <w:rFonts w:ascii="黑体" w:hAnsi="黑体" w:eastAsia="黑体" w:cs="黑体"/>
          <w:b/>
          <w:bCs/>
          <w:spacing w:val="6"/>
          <w:sz w:val="35"/>
          <w:szCs w:val="35"/>
        </w:rPr>
        <w:t>第四章</w:t>
      </w:r>
      <w:r>
        <w:rPr>
          <w:rFonts w:ascii="黑体" w:hAnsi="黑体" w:eastAsia="黑体" w:cs="黑体"/>
          <w:spacing w:val="6"/>
          <w:sz w:val="35"/>
          <w:szCs w:val="35"/>
        </w:rPr>
        <w:t xml:space="preserve">  </w:t>
      </w:r>
      <w:r>
        <w:rPr>
          <w:rFonts w:ascii="黑体" w:hAnsi="黑体" w:eastAsia="黑体" w:cs="黑体"/>
          <w:b/>
          <w:bCs/>
          <w:spacing w:val="6"/>
          <w:sz w:val="35"/>
          <w:szCs w:val="35"/>
        </w:rPr>
        <w:t>环境影响预测与评价</w:t>
      </w:r>
    </w:p>
    <w:p w14:paraId="239E2C07">
      <w:pPr>
        <w:pStyle w:val="2"/>
        <w:spacing w:line="289" w:lineRule="auto"/>
      </w:pPr>
    </w:p>
    <w:p w14:paraId="4283EBB1">
      <w:pPr>
        <w:pStyle w:val="2"/>
        <w:spacing w:line="289" w:lineRule="auto"/>
      </w:pPr>
    </w:p>
    <w:p w14:paraId="017429B5">
      <w:pPr>
        <w:spacing w:before="101" w:line="227" w:lineRule="auto"/>
        <w:ind w:left="4"/>
        <w:outlineLvl w:val="1"/>
        <w:rPr>
          <w:rFonts w:ascii="黑体" w:hAnsi="黑体" w:eastAsia="黑体" w:cs="黑体"/>
          <w:sz w:val="31"/>
          <w:szCs w:val="31"/>
        </w:rPr>
      </w:pPr>
      <w:r>
        <w:rPr>
          <w:rFonts w:ascii="Times New Roman" w:hAnsi="Times New Roman" w:eastAsia="Times New Roman" w:cs="Times New Roman"/>
          <w:spacing w:val="7"/>
          <w:sz w:val="31"/>
          <w:szCs w:val="31"/>
        </w:rPr>
        <w:t xml:space="preserve">4.1 </w:t>
      </w:r>
      <w:r>
        <w:rPr>
          <w:rFonts w:ascii="黑体" w:hAnsi="黑体" w:eastAsia="黑体" w:cs="黑体"/>
          <w:spacing w:val="7"/>
          <w:sz w:val="31"/>
          <w:szCs w:val="31"/>
        </w:rPr>
        <w:t>大气环境影响预测与评价</w:t>
      </w:r>
    </w:p>
    <w:p w14:paraId="06754FAA">
      <w:pPr>
        <w:spacing w:before="251" w:line="221" w:lineRule="auto"/>
        <w:ind w:left="3"/>
        <w:outlineLvl w:val="2"/>
        <w:rPr>
          <w:rFonts w:ascii="黑体" w:hAnsi="黑体" w:eastAsia="黑体" w:cs="黑体"/>
          <w:sz w:val="30"/>
          <w:szCs w:val="30"/>
        </w:rPr>
      </w:pPr>
      <w:r>
        <w:rPr>
          <w:rFonts w:ascii="Times New Roman" w:hAnsi="Times New Roman" w:eastAsia="Times New Roman" w:cs="Times New Roman"/>
          <w:spacing w:val="-3"/>
          <w:sz w:val="30"/>
          <w:szCs w:val="30"/>
        </w:rPr>
        <w:t>4.1.1</w:t>
      </w:r>
      <w:r>
        <w:rPr>
          <w:rFonts w:ascii="Times New Roman" w:hAnsi="Times New Roman" w:eastAsia="Times New Roman" w:cs="Times New Roman"/>
          <w:spacing w:val="34"/>
          <w:w w:val="101"/>
          <w:sz w:val="30"/>
          <w:szCs w:val="30"/>
        </w:rPr>
        <w:t xml:space="preserve"> </w:t>
      </w:r>
      <w:r>
        <w:rPr>
          <w:rFonts w:ascii="黑体" w:hAnsi="黑体" w:eastAsia="黑体" w:cs="黑体"/>
          <w:spacing w:val="-3"/>
          <w:sz w:val="30"/>
          <w:szCs w:val="30"/>
        </w:rPr>
        <w:t>区域污染气象特征</w:t>
      </w:r>
    </w:p>
    <w:p w14:paraId="03CC68C9">
      <w:pPr>
        <w:spacing w:before="218" w:line="219" w:lineRule="auto"/>
        <w:ind w:left="5"/>
        <w:outlineLvl w:val="3"/>
        <w:rPr>
          <w:rFonts w:ascii="宋体" w:hAnsi="宋体" w:eastAsia="宋体" w:cs="宋体"/>
          <w:sz w:val="24"/>
          <w:szCs w:val="24"/>
        </w:rPr>
      </w:pPr>
      <w:r>
        <w:fldChar w:fldCharType="begin"/>
      </w:r>
      <w:r>
        <w:instrText xml:space="preserve"> HYPERLINK "4.1.1.1" </w:instrText>
      </w:r>
      <w:r>
        <w:fldChar w:fldCharType="separate"/>
      </w:r>
      <w:r>
        <w:rPr>
          <w:rFonts w:ascii="Times New Roman" w:hAnsi="Times New Roman" w:eastAsia="Times New Roman" w:cs="Times New Roman"/>
          <w:b/>
          <w:bCs/>
          <w:spacing w:val="-4"/>
          <w:sz w:val="24"/>
          <w:szCs w:val="24"/>
        </w:rPr>
        <w:t>4.1.1.1</w:t>
      </w:r>
      <w:r>
        <w:rPr>
          <w:rFonts w:ascii="Times New Roman" w:hAnsi="Times New Roman" w:eastAsia="Times New Roman" w:cs="Times New Roman"/>
          <w:b/>
          <w:bCs/>
          <w:spacing w:val="-4"/>
          <w:sz w:val="24"/>
          <w:szCs w:val="24"/>
        </w:rPr>
        <w:fldChar w:fldCharType="end"/>
      </w:r>
      <w:r>
        <w:rPr>
          <w:rFonts w:ascii="Times New Roman" w:hAnsi="Times New Roman" w:eastAsia="Times New Roman" w:cs="Times New Roman"/>
          <w:b/>
          <w:bCs/>
          <w:spacing w:val="29"/>
          <w:sz w:val="24"/>
          <w:szCs w:val="24"/>
        </w:rPr>
        <w:t xml:space="preserve"> </w:t>
      </w:r>
      <w:r>
        <w:rPr>
          <w:rFonts w:ascii="宋体" w:hAnsi="宋体" w:eastAsia="宋体" w:cs="宋体"/>
          <w:b/>
          <w:bCs/>
          <w:spacing w:val="-4"/>
          <w:sz w:val="24"/>
          <w:szCs w:val="24"/>
        </w:rPr>
        <w:t>资料来源</w:t>
      </w:r>
    </w:p>
    <w:p w14:paraId="0869513E">
      <w:pPr>
        <w:spacing w:before="185" w:line="353" w:lineRule="auto"/>
        <w:ind w:left="11" w:firstLine="477"/>
        <w:rPr>
          <w:rFonts w:ascii="宋体" w:hAnsi="宋体" w:eastAsia="宋体" w:cs="宋体"/>
          <w:sz w:val="24"/>
          <w:szCs w:val="24"/>
        </w:rPr>
      </w:pPr>
      <w:r>
        <w:rPr>
          <w:rFonts w:ascii="宋体" w:hAnsi="宋体" w:eastAsia="宋体" w:cs="宋体"/>
          <w:spacing w:val="-2"/>
          <w:sz w:val="24"/>
          <w:szCs w:val="24"/>
        </w:rPr>
        <w:t>地面气象历史资料来源于苏尼特右旗气象局近三十年的地面常规气象资料，资料取</w:t>
      </w:r>
      <w:r>
        <w:rPr>
          <w:rFonts w:ascii="宋体" w:hAnsi="宋体" w:eastAsia="宋体" w:cs="宋体"/>
          <w:spacing w:val="13"/>
          <w:sz w:val="24"/>
          <w:szCs w:val="24"/>
        </w:rPr>
        <w:t xml:space="preserve"> </w:t>
      </w:r>
      <w:r>
        <w:rPr>
          <w:rFonts w:ascii="宋体" w:hAnsi="宋体" w:eastAsia="宋体" w:cs="宋体"/>
          <w:sz w:val="24"/>
          <w:szCs w:val="24"/>
        </w:rPr>
        <w:t>自苏尼特右旗国家一般气象站，观测场位置：东经：</w:t>
      </w:r>
      <w:r>
        <w:rPr>
          <w:rFonts w:ascii="Times New Roman" w:hAnsi="Times New Roman" w:eastAsia="Times New Roman" w:cs="Times New Roman"/>
          <w:sz w:val="24"/>
          <w:szCs w:val="24"/>
        </w:rPr>
        <w:t>112º38′</w:t>
      </w:r>
      <w:r>
        <w:rPr>
          <w:rFonts w:ascii="宋体" w:hAnsi="宋体" w:eastAsia="宋体" w:cs="宋体"/>
          <w:sz w:val="24"/>
          <w:szCs w:val="24"/>
        </w:rPr>
        <w:t>北纬：</w:t>
      </w:r>
      <w:r>
        <w:rPr>
          <w:rFonts w:ascii="Times New Roman" w:hAnsi="Times New Roman" w:eastAsia="Times New Roman" w:cs="Times New Roman"/>
          <w:sz w:val="24"/>
          <w:szCs w:val="24"/>
        </w:rPr>
        <w:t>42º45′</w:t>
      </w:r>
      <w:r>
        <w:rPr>
          <w:rFonts w:ascii="Times New Roman" w:hAnsi="Times New Roman" w:eastAsia="Times New Roman" w:cs="Times New Roman"/>
          <w:spacing w:val="-18"/>
          <w:sz w:val="24"/>
          <w:szCs w:val="24"/>
        </w:rPr>
        <w:t xml:space="preserve"> </w:t>
      </w:r>
      <w:r>
        <w:rPr>
          <w:rFonts w:ascii="宋体" w:hAnsi="宋体" w:eastAsia="宋体" w:cs="宋体"/>
          <w:sz w:val="24"/>
          <w:szCs w:val="24"/>
        </w:rPr>
        <w:t xml:space="preserve">，海拔高度： </w:t>
      </w:r>
      <w:r>
        <w:rPr>
          <w:rFonts w:ascii="Times New Roman" w:hAnsi="Times New Roman" w:eastAsia="Times New Roman" w:cs="Times New Roman"/>
          <w:spacing w:val="-4"/>
          <w:sz w:val="24"/>
          <w:szCs w:val="24"/>
        </w:rPr>
        <w:t>1104.9m</w:t>
      </w:r>
      <w:r>
        <w:rPr>
          <w:rFonts w:ascii="宋体" w:hAnsi="宋体" w:eastAsia="宋体" w:cs="宋体"/>
          <w:spacing w:val="-4"/>
          <w:sz w:val="24"/>
          <w:szCs w:val="24"/>
        </w:rPr>
        <w:t>。本次环评是以苏尼特右旗国家一般气象站近</w:t>
      </w:r>
      <w:r>
        <w:rPr>
          <w:rFonts w:ascii="Times New Roman" w:hAnsi="Times New Roman" w:eastAsia="Times New Roman" w:cs="Times New Roman"/>
          <w:spacing w:val="-4"/>
          <w:sz w:val="24"/>
          <w:szCs w:val="24"/>
        </w:rPr>
        <w:t>30</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年的主要气候统计资料为依据，</w:t>
      </w:r>
      <w:r>
        <w:rPr>
          <w:rFonts w:ascii="宋体" w:hAnsi="宋体" w:eastAsia="宋体" w:cs="宋体"/>
          <w:sz w:val="24"/>
          <w:szCs w:val="24"/>
        </w:rPr>
        <w:t xml:space="preserve"> </w:t>
      </w:r>
      <w:r>
        <w:rPr>
          <w:rFonts w:ascii="宋体" w:hAnsi="宋体" w:eastAsia="宋体" w:cs="宋体"/>
          <w:spacing w:val="-1"/>
          <w:sz w:val="24"/>
          <w:szCs w:val="24"/>
        </w:rPr>
        <w:t>分析项目所在区域的气象特征。</w:t>
      </w:r>
    </w:p>
    <w:p w14:paraId="4843310D">
      <w:pPr>
        <w:spacing w:before="35" w:line="219" w:lineRule="auto"/>
        <w:ind w:left="5"/>
        <w:outlineLvl w:val="3"/>
        <w:rPr>
          <w:rFonts w:ascii="宋体" w:hAnsi="宋体" w:eastAsia="宋体" w:cs="宋体"/>
          <w:sz w:val="24"/>
          <w:szCs w:val="24"/>
        </w:rPr>
      </w:pPr>
      <w:r>
        <w:fldChar w:fldCharType="begin"/>
      </w:r>
      <w:r>
        <w:instrText xml:space="preserve"> HYPERLINK "4.1.1.2" </w:instrText>
      </w:r>
      <w:r>
        <w:fldChar w:fldCharType="separate"/>
      </w:r>
      <w:r>
        <w:rPr>
          <w:rFonts w:ascii="Times New Roman" w:hAnsi="Times New Roman" w:eastAsia="Times New Roman" w:cs="Times New Roman"/>
          <w:b/>
          <w:bCs/>
          <w:spacing w:val="-2"/>
          <w:sz w:val="24"/>
          <w:szCs w:val="24"/>
        </w:rPr>
        <w:t>4.1.1.2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气候特征</w:t>
      </w:r>
    </w:p>
    <w:p w14:paraId="56093CE2">
      <w:pPr>
        <w:spacing w:before="177" w:line="358" w:lineRule="auto"/>
        <w:ind w:left="7" w:right="53" w:firstLine="485"/>
        <w:rPr>
          <w:rFonts w:ascii="宋体" w:hAnsi="宋体" w:eastAsia="宋体" w:cs="宋体"/>
          <w:sz w:val="24"/>
          <w:szCs w:val="24"/>
        </w:rPr>
      </w:pPr>
      <w:r>
        <w:rPr>
          <w:rFonts w:ascii="宋体" w:hAnsi="宋体" w:eastAsia="宋体" w:cs="宋体"/>
          <w:spacing w:val="-2"/>
          <w:sz w:val="24"/>
          <w:szCs w:val="24"/>
        </w:rPr>
        <w:t>苏尼特右旗地处锡林郭勒盟西部，苏尼特右旗为浑善达克沙地延伸部分，是内蒙古</w:t>
      </w:r>
      <w:r>
        <w:rPr>
          <w:rFonts w:ascii="宋体" w:hAnsi="宋体" w:eastAsia="宋体" w:cs="宋体"/>
          <w:spacing w:val="8"/>
          <w:sz w:val="24"/>
          <w:szCs w:val="24"/>
        </w:rPr>
        <w:t xml:space="preserve"> </w:t>
      </w:r>
      <w:r>
        <w:rPr>
          <w:rFonts w:ascii="宋体" w:hAnsi="宋体" w:eastAsia="宋体" w:cs="宋体"/>
          <w:spacing w:val="-2"/>
          <w:sz w:val="24"/>
          <w:szCs w:val="24"/>
        </w:rPr>
        <w:t>主要的沙尘暴活动中心，属于荒漠和半荒漠草原。地区常年干旱，沙尘暴频繁发生，属</w:t>
      </w:r>
      <w:r>
        <w:rPr>
          <w:rFonts w:ascii="宋体" w:hAnsi="宋体" w:eastAsia="宋体" w:cs="宋体"/>
          <w:spacing w:val="18"/>
          <w:sz w:val="24"/>
          <w:szCs w:val="24"/>
        </w:rPr>
        <w:t xml:space="preserve"> </w:t>
      </w:r>
      <w:r>
        <w:rPr>
          <w:rFonts w:ascii="宋体" w:hAnsi="宋体" w:eastAsia="宋体" w:cs="宋体"/>
          <w:spacing w:val="-1"/>
          <w:sz w:val="24"/>
          <w:szCs w:val="24"/>
        </w:rPr>
        <w:t>温带干旱大陆性季风气候，四季分明，冬季漫长寒冷，春季</w:t>
      </w:r>
      <w:r>
        <w:rPr>
          <w:rFonts w:ascii="宋体" w:hAnsi="宋体" w:eastAsia="宋体" w:cs="宋体"/>
          <w:spacing w:val="-2"/>
          <w:sz w:val="24"/>
          <w:szCs w:val="24"/>
        </w:rPr>
        <w:t>干旱多风，夏季温热短促，</w:t>
      </w:r>
      <w:r>
        <w:rPr>
          <w:rFonts w:ascii="宋体" w:hAnsi="宋体" w:eastAsia="宋体" w:cs="宋体"/>
          <w:sz w:val="24"/>
          <w:szCs w:val="24"/>
        </w:rPr>
        <w:t xml:space="preserve"> </w:t>
      </w:r>
      <w:r>
        <w:rPr>
          <w:rFonts w:ascii="宋体" w:hAnsi="宋体" w:eastAsia="宋体" w:cs="宋体"/>
          <w:spacing w:val="-3"/>
          <w:sz w:val="24"/>
          <w:szCs w:val="24"/>
        </w:rPr>
        <w:t>降水集中，雨热同季。无霜期较长，</w:t>
      </w:r>
      <w:r>
        <w:rPr>
          <w:rFonts w:ascii="宋体" w:hAnsi="宋体" w:eastAsia="宋体" w:cs="宋体"/>
          <w:spacing w:val="-56"/>
          <w:sz w:val="24"/>
          <w:szCs w:val="24"/>
        </w:rPr>
        <w:t xml:space="preserve"> </w:t>
      </w:r>
      <w:r>
        <w:rPr>
          <w:rFonts w:ascii="宋体" w:hAnsi="宋体" w:eastAsia="宋体" w:cs="宋体"/>
          <w:spacing w:val="-3"/>
          <w:sz w:val="24"/>
          <w:szCs w:val="24"/>
        </w:rPr>
        <w:t>日照充足，积温有效性高，降水量少，蒸发量大。</w:t>
      </w:r>
      <w:r>
        <w:rPr>
          <w:rFonts w:ascii="宋体" w:hAnsi="宋体" w:eastAsia="宋体" w:cs="宋体"/>
          <w:sz w:val="24"/>
          <w:szCs w:val="24"/>
        </w:rPr>
        <w:t xml:space="preserve"> </w:t>
      </w:r>
      <w:r>
        <w:rPr>
          <w:rFonts w:ascii="宋体" w:hAnsi="宋体" w:eastAsia="宋体" w:cs="宋体"/>
          <w:spacing w:val="-5"/>
          <w:sz w:val="24"/>
          <w:szCs w:val="24"/>
        </w:rPr>
        <w:t>年平均气温</w:t>
      </w:r>
      <w:r>
        <w:rPr>
          <w:rFonts w:ascii="宋体" w:hAnsi="宋体" w:eastAsia="宋体" w:cs="宋体"/>
          <w:spacing w:val="-36"/>
          <w:sz w:val="24"/>
          <w:szCs w:val="24"/>
        </w:rPr>
        <w:t xml:space="preserve"> </w:t>
      </w:r>
      <w:r>
        <w:rPr>
          <w:rFonts w:ascii="Times New Roman" w:hAnsi="Times New Roman" w:eastAsia="Times New Roman" w:cs="Times New Roman"/>
          <w:spacing w:val="-5"/>
          <w:sz w:val="24"/>
          <w:szCs w:val="24"/>
        </w:rPr>
        <w:t>5.5℃</w:t>
      </w:r>
      <w:r>
        <w:rPr>
          <w:rFonts w:ascii="Times New Roman" w:hAnsi="Times New Roman" w:eastAsia="Times New Roman" w:cs="Times New Roman"/>
          <w:spacing w:val="-34"/>
          <w:sz w:val="24"/>
          <w:szCs w:val="24"/>
        </w:rPr>
        <w:t xml:space="preserve"> </w:t>
      </w:r>
      <w:r>
        <w:rPr>
          <w:rFonts w:ascii="宋体" w:hAnsi="宋体" w:eastAsia="宋体" w:cs="宋体"/>
          <w:spacing w:val="-5"/>
          <w:sz w:val="24"/>
          <w:szCs w:val="24"/>
        </w:rPr>
        <w:t>、年降水量</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184.0mm</w:t>
      </w:r>
      <w:r>
        <w:rPr>
          <w:rFonts w:ascii="Times New Roman" w:hAnsi="Times New Roman" w:eastAsia="Times New Roman" w:cs="Times New Roman"/>
          <w:spacing w:val="-36"/>
          <w:sz w:val="24"/>
          <w:szCs w:val="24"/>
        </w:rPr>
        <w:t xml:space="preserve"> </w:t>
      </w:r>
      <w:r>
        <w:rPr>
          <w:rFonts w:ascii="宋体" w:hAnsi="宋体" w:eastAsia="宋体" w:cs="宋体"/>
          <w:spacing w:val="-5"/>
          <w:sz w:val="24"/>
          <w:szCs w:val="24"/>
        </w:rPr>
        <w:t>、年大风日数</w:t>
      </w:r>
      <w:r>
        <w:rPr>
          <w:rFonts w:ascii="宋体" w:hAnsi="宋体" w:eastAsia="宋体" w:cs="宋体"/>
          <w:spacing w:val="-50"/>
          <w:sz w:val="24"/>
          <w:szCs w:val="24"/>
        </w:rPr>
        <w:t xml:space="preserve"> </w:t>
      </w:r>
      <w:r>
        <w:rPr>
          <w:rFonts w:ascii="Times New Roman" w:hAnsi="Times New Roman" w:eastAsia="Times New Roman" w:cs="Times New Roman"/>
          <w:spacing w:val="-5"/>
          <w:sz w:val="24"/>
          <w:szCs w:val="24"/>
        </w:rPr>
        <w:t>62</w:t>
      </w:r>
      <w:r>
        <w:rPr>
          <w:rFonts w:ascii="Times New Roman" w:hAnsi="Times New Roman" w:eastAsia="Times New Roman" w:cs="Times New Roman"/>
          <w:spacing w:val="15"/>
          <w:sz w:val="24"/>
          <w:szCs w:val="24"/>
        </w:rPr>
        <w:t xml:space="preserve"> </w:t>
      </w:r>
      <w:r>
        <w:rPr>
          <w:rFonts w:ascii="宋体" w:hAnsi="宋体" w:eastAsia="宋体" w:cs="宋体"/>
          <w:spacing w:val="-5"/>
          <w:sz w:val="24"/>
          <w:szCs w:val="24"/>
        </w:rPr>
        <w:t>天、年平均风速</w:t>
      </w:r>
      <w:r>
        <w:rPr>
          <w:rFonts w:ascii="宋体" w:hAnsi="宋体" w:eastAsia="宋体" w:cs="宋体"/>
          <w:spacing w:val="-51"/>
          <w:sz w:val="24"/>
          <w:szCs w:val="24"/>
        </w:rPr>
        <w:t xml:space="preserve"> </w:t>
      </w:r>
      <w:r>
        <w:rPr>
          <w:rFonts w:ascii="Times New Roman" w:hAnsi="Times New Roman" w:eastAsia="Times New Roman" w:cs="Times New Roman"/>
          <w:spacing w:val="-5"/>
          <w:sz w:val="24"/>
          <w:szCs w:val="24"/>
        </w:rPr>
        <w:t>3.9m/s</w:t>
      </w:r>
      <w:r>
        <w:rPr>
          <w:rFonts w:ascii="Times New Roman" w:hAnsi="Times New Roman" w:eastAsia="Times New Roman" w:cs="Times New Roman"/>
          <w:spacing w:val="-30"/>
          <w:sz w:val="24"/>
          <w:szCs w:val="24"/>
        </w:rPr>
        <w:t xml:space="preserve"> </w:t>
      </w:r>
      <w:r>
        <w:rPr>
          <w:rFonts w:ascii="宋体" w:hAnsi="宋体" w:eastAsia="宋体" w:cs="宋体"/>
          <w:spacing w:val="-5"/>
          <w:sz w:val="24"/>
          <w:szCs w:val="24"/>
        </w:rPr>
        <w:t>，年最多</w:t>
      </w:r>
      <w:r>
        <w:rPr>
          <w:rFonts w:ascii="宋体" w:hAnsi="宋体" w:eastAsia="宋体" w:cs="宋体"/>
          <w:sz w:val="24"/>
          <w:szCs w:val="24"/>
        </w:rPr>
        <w:t xml:space="preserve"> </w:t>
      </w:r>
      <w:r>
        <w:rPr>
          <w:rFonts w:ascii="宋体" w:hAnsi="宋体" w:eastAsia="宋体" w:cs="宋体"/>
          <w:spacing w:val="-3"/>
          <w:sz w:val="24"/>
          <w:szCs w:val="24"/>
        </w:rPr>
        <w:t>风向为</w:t>
      </w:r>
      <w:r>
        <w:rPr>
          <w:rFonts w:ascii="宋体" w:hAnsi="宋体" w:eastAsia="宋体" w:cs="宋体"/>
          <w:spacing w:val="-57"/>
          <w:sz w:val="24"/>
          <w:szCs w:val="24"/>
        </w:rPr>
        <w:t xml:space="preserve"> </w:t>
      </w:r>
      <w:r>
        <w:rPr>
          <w:rFonts w:ascii="Times New Roman" w:hAnsi="Times New Roman" w:eastAsia="Times New Roman" w:cs="Times New Roman"/>
          <w:spacing w:val="-3"/>
          <w:sz w:val="24"/>
          <w:szCs w:val="24"/>
        </w:rPr>
        <w:t xml:space="preserve">WSW  </w:t>
      </w:r>
      <w:r>
        <w:rPr>
          <w:rFonts w:ascii="宋体" w:hAnsi="宋体" w:eastAsia="宋体" w:cs="宋体"/>
          <w:spacing w:val="-3"/>
          <w:sz w:val="24"/>
          <w:szCs w:val="24"/>
        </w:rPr>
        <w:t>风，风向频率为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18%</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，次多风向为</w:t>
      </w:r>
      <w:r>
        <w:rPr>
          <w:rFonts w:ascii="宋体" w:hAnsi="宋体" w:eastAsia="宋体" w:cs="宋体"/>
          <w:spacing w:val="-57"/>
          <w:sz w:val="24"/>
          <w:szCs w:val="24"/>
        </w:rPr>
        <w:t xml:space="preserve"> </w:t>
      </w:r>
      <w:r>
        <w:rPr>
          <w:rFonts w:ascii="Times New Roman" w:hAnsi="Times New Roman" w:eastAsia="Times New Roman" w:cs="Times New Roman"/>
          <w:spacing w:val="-3"/>
          <w:sz w:val="24"/>
          <w:szCs w:val="24"/>
        </w:rPr>
        <w:t xml:space="preserve">W </w:t>
      </w:r>
      <w:r>
        <w:rPr>
          <w:rFonts w:ascii="宋体" w:hAnsi="宋体" w:eastAsia="宋体" w:cs="宋体"/>
          <w:spacing w:val="-3"/>
          <w:sz w:val="24"/>
          <w:szCs w:val="24"/>
        </w:rPr>
        <w:t>风，风</w:t>
      </w:r>
      <w:r>
        <w:rPr>
          <w:rFonts w:ascii="宋体" w:hAnsi="宋体" w:eastAsia="宋体" w:cs="宋体"/>
          <w:spacing w:val="-4"/>
          <w:sz w:val="24"/>
          <w:szCs w:val="24"/>
        </w:rPr>
        <w:t>向频率为</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13%</w:t>
      </w:r>
      <w:r>
        <w:rPr>
          <w:rFonts w:ascii="Times New Roman" w:hAnsi="Times New Roman" w:eastAsia="Times New Roman" w:cs="Times New Roman"/>
          <w:spacing w:val="-26"/>
          <w:sz w:val="24"/>
          <w:szCs w:val="24"/>
        </w:rPr>
        <w:t xml:space="preserve"> </w:t>
      </w:r>
      <w:r>
        <w:rPr>
          <w:rFonts w:ascii="宋体" w:hAnsi="宋体" w:eastAsia="宋体" w:cs="宋体"/>
          <w:spacing w:val="-4"/>
          <w:sz w:val="24"/>
          <w:szCs w:val="24"/>
        </w:rPr>
        <w:t>。沙尘暴日数</w:t>
      </w:r>
      <w:r>
        <w:rPr>
          <w:rFonts w:ascii="宋体" w:hAnsi="宋体" w:eastAsia="宋体" w:cs="宋体"/>
          <w:sz w:val="24"/>
          <w:szCs w:val="24"/>
        </w:rPr>
        <w:t xml:space="preserve"> </w:t>
      </w:r>
      <w:r>
        <w:rPr>
          <w:rFonts w:ascii="Times New Roman" w:hAnsi="Times New Roman" w:eastAsia="Times New Roman" w:cs="Times New Roman"/>
          <w:spacing w:val="-3"/>
          <w:sz w:val="24"/>
          <w:szCs w:val="24"/>
        </w:rPr>
        <w:t>7</w:t>
      </w:r>
      <w:r>
        <w:rPr>
          <w:rFonts w:ascii="Times New Roman" w:hAnsi="Times New Roman" w:eastAsia="Times New Roman" w:cs="Times New Roman"/>
          <w:spacing w:val="18"/>
          <w:w w:val="101"/>
          <w:sz w:val="24"/>
          <w:szCs w:val="24"/>
        </w:rPr>
        <w:t xml:space="preserve"> </w:t>
      </w:r>
      <w:r>
        <w:rPr>
          <w:rFonts w:ascii="宋体" w:hAnsi="宋体" w:eastAsia="宋体" w:cs="宋体"/>
          <w:spacing w:val="-3"/>
          <w:sz w:val="24"/>
          <w:szCs w:val="24"/>
        </w:rPr>
        <w:t>天、</w:t>
      </w:r>
      <w:r>
        <w:rPr>
          <w:rFonts w:ascii="宋体" w:hAnsi="宋体" w:eastAsia="宋体" w:cs="宋体"/>
          <w:spacing w:val="-67"/>
          <w:sz w:val="24"/>
          <w:szCs w:val="24"/>
        </w:rPr>
        <w:t xml:space="preserve"> </w:t>
      </w:r>
      <w:r>
        <w:rPr>
          <w:rFonts w:ascii="宋体" w:hAnsi="宋体" w:eastAsia="宋体" w:cs="宋体"/>
          <w:spacing w:val="-3"/>
          <w:sz w:val="24"/>
          <w:szCs w:val="24"/>
        </w:rPr>
        <w:t>日照时数</w:t>
      </w:r>
      <w:r>
        <w:rPr>
          <w:rFonts w:ascii="宋体" w:hAnsi="宋体" w:eastAsia="宋体" w:cs="宋体"/>
          <w:spacing w:val="-48"/>
          <w:sz w:val="24"/>
          <w:szCs w:val="24"/>
        </w:rPr>
        <w:t xml:space="preserve"> </w:t>
      </w:r>
      <w:r>
        <w:rPr>
          <w:rFonts w:ascii="Times New Roman" w:hAnsi="Times New Roman" w:eastAsia="Times New Roman" w:cs="Times New Roman"/>
          <w:spacing w:val="-3"/>
          <w:sz w:val="24"/>
          <w:szCs w:val="24"/>
        </w:rPr>
        <w:t>3153.4</w:t>
      </w:r>
      <w:r>
        <w:rPr>
          <w:rFonts w:ascii="Times New Roman" w:hAnsi="Times New Roman" w:eastAsia="Times New Roman" w:cs="Times New Roman"/>
          <w:spacing w:val="18"/>
          <w:w w:val="101"/>
          <w:sz w:val="24"/>
          <w:szCs w:val="24"/>
        </w:rPr>
        <w:t xml:space="preserve"> </w:t>
      </w:r>
      <w:r>
        <w:rPr>
          <w:rFonts w:ascii="宋体" w:hAnsi="宋体" w:eastAsia="宋体" w:cs="宋体"/>
          <w:spacing w:val="-3"/>
          <w:sz w:val="24"/>
          <w:szCs w:val="24"/>
        </w:rPr>
        <w:t>小时、蒸发量为</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2494.4mm</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、无霜期</w:t>
      </w:r>
      <w:r>
        <w:rPr>
          <w:rFonts w:ascii="宋体" w:hAnsi="宋体" w:eastAsia="宋体" w:cs="宋体"/>
          <w:spacing w:val="-30"/>
          <w:sz w:val="24"/>
          <w:szCs w:val="24"/>
        </w:rPr>
        <w:t xml:space="preserve"> </w:t>
      </w:r>
      <w:r>
        <w:rPr>
          <w:rFonts w:ascii="Times New Roman" w:hAnsi="Times New Roman" w:eastAsia="Times New Roman" w:cs="Times New Roman"/>
          <w:spacing w:val="-3"/>
          <w:sz w:val="24"/>
          <w:szCs w:val="24"/>
        </w:rPr>
        <w:t>189</w:t>
      </w:r>
      <w:r>
        <w:rPr>
          <w:rFonts w:ascii="Times New Roman" w:hAnsi="Times New Roman" w:eastAsia="Times New Roman" w:cs="Times New Roman"/>
          <w:spacing w:val="17"/>
          <w:sz w:val="24"/>
          <w:szCs w:val="24"/>
        </w:rPr>
        <w:t xml:space="preserve"> </w:t>
      </w:r>
      <w:r>
        <w:rPr>
          <w:rFonts w:ascii="宋体" w:hAnsi="宋体" w:eastAsia="宋体" w:cs="宋体"/>
          <w:spacing w:val="-3"/>
          <w:sz w:val="24"/>
          <w:szCs w:val="24"/>
        </w:rPr>
        <w:t>天。本地降水量分布特</w:t>
      </w:r>
      <w:r>
        <w:rPr>
          <w:rFonts w:ascii="宋体" w:hAnsi="宋体" w:eastAsia="宋体" w:cs="宋体"/>
          <w:sz w:val="24"/>
          <w:szCs w:val="24"/>
        </w:rPr>
        <w:t xml:space="preserve"> </w:t>
      </w:r>
      <w:r>
        <w:rPr>
          <w:rFonts w:ascii="宋体" w:hAnsi="宋体" w:eastAsia="宋体" w:cs="宋体"/>
          <w:spacing w:val="-3"/>
          <w:sz w:val="24"/>
          <w:szCs w:val="24"/>
        </w:rPr>
        <w:t>点：降水主要集中在</w:t>
      </w:r>
      <w:r>
        <w:rPr>
          <w:rFonts w:ascii="宋体" w:hAnsi="宋体" w:eastAsia="宋体" w:cs="宋体"/>
          <w:spacing w:val="-48"/>
          <w:sz w:val="24"/>
          <w:szCs w:val="24"/>
        </w:rPr>
        <w:t xml:space="preserve"> </w:t>
      </w:r>
      <w:r>
        <w:rPr>
          <w:rFonts w:ascii="Times New Roman" w:hAnsi="Times New Roman" w:eastAsia="Times New Roman" w:cs="Times New Roman"/>
          <w:spacing w:val="-3"/>
          <w:sz w:val="24"/>
          <w:szCs w:val="24"/>
        </w:rPr>
        <w:t>6</w:t>
      </w:r>
      <w:r>
        <w:rPr>
          <w:rFonts w:ascii="宋体" w:hAnsi="宋体" w:eastAsia="宋体" w:cs="宋体"/>
          <w:spacing w:val="-3"/>
          <w:sz w:val="24"/>
          <w:szCs w:val="24"/>
        </w:rPr>
        <w:t>～</w:t>
      </w:r>
      <w:r>
        <w:rPr>
          <w:rFonts w:ascii="Times New Roman" w:hAnsi="Times New Roman" w:eastAsia="Times New Roman" w:cs="Times New Roman"/>
          <w:spacing w:val="-3"/>
          <w:sz w:val="24"/>
          <w:szCs w:val="24"/>
        </w:rPr>
        <w:t>8</w:t>
      </w:r>
      <w:r>
        <w:rPr>
          <w:rFonts w:ascii="Times New Roman" w:hAnsi="Times New Roman" w:eastAsia="Times New Roman" w:cs="Times New Roman"/>
          <w:spacing w:val="18"/>
          <w:sz w:val="24"/>
          <w:szCs w:val="24"/>
        </w:rPr>
        <w:t xml:space="preserve"> </w:t>
      </w:r>
      <w:r>
        <w:rPr>
          <w:rFonts w:ascii="宋体" w:hAnsi="宋体" w:eastAsia="宋体" w:cs="宋体"/>
          <w:spacing w:val="-3"/>
          <w:sz w:val="24"/>
          <w:szCs w:val="24"/>
        </w:rPr>
        <w:t>月。最大日降水量</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100.6mm</w:t>
      </w:r>
      <w:r>
        <w:rPr>
          <w:rFonts w:ascii="Times New Roman" w:hAnsi="Times New Roman" w:eastAsia="Times New Roman" w:cs="Times New Roman"/>
          <w:spacing w:val="-28"/>
          <w:sz w:val="24"/>
          <w:szCs w:val="24"/>
        </w:rPr>
        <w:t xml:space="preserve"> </w:t>
      </w:r>
      <w:r>
        <w:rPr>
          <w:rFonts w:ascii="宋体" w:hAnsi="宋体" w:eastAsia="宋体" w:cs="宋体"/>
          <w:spacing w:val="-4"/>
          <w:sz w:val="24"/>
          <w:szCs w:val="24"/>
        </w:rPr>
        <w:t>，出现在</w:t>
      </w:r>
      <w:r>
        <w:rPr>
          <w:rFonts w:ascii="宋体" w:hAnsi="宋体" w:eastAsia="宋体" w:cs="宋体"/>
          <w:spacing w:val="-52"/>
          <w:sz w:val="24"/>
          <w:szCs w:val="24"/>
        </w:rPr>
        <w:t xml:space="preserve"> </w:t>
      </w:r>
      <w:r>
        <w:rPr>
          <w:rFonts w:ascii="Times New Roman" w:hAnsi="Times New Roman" w:eastAsia="Times New Roman" w:cs="Times New Roman"/>
          <w:spacing w:val="-4"/>
          <w:sz w:val="24"/>
          <w:szCs w:val="24"/>
        </w:rPr>
        <w:t xml:space="preserve">2006 </w:t>
      </w:r>
      <w:r>
        <w:rPr>
          <w:rFonts w:ascii="宋体" w:hAnsi="宋体" w:eastAsia="宋体" w:cs="宋体"/>
          <w:spacing w:val="-4"/>
          <w:sz w:val="24"/>
          <w:szCs w:val="24"/>
        </w:rPr>
        <w:t>年</w:t>
      </w:r>
      <w:r>
        <w:rPr>
          <w:rFonts w:ascii="宋体" w:hAnsi="宋体" w:eastAsia="宋体" w:cs="宋体"/>
          <w:spacing w:val="-49"/>
          <w:sz w:val="24"/>
          <w:szCs w:val="24"/>
        </w:rPr>
        <w:t xml:space="preserve"> </w:t>
      </w:r>
      <w:r>
        <w:rPr>
          <w:rFonts w:ascii="Times New Roman" w:hAnsi="Times New Roman" w:eastAsia="Times New Roman" w:cs="Times New Roman"/>
          <w:spacing w:val="-4"/>
          <w:sz w:val="24"/>
          <w:szCs w:val="24"/>
        </w:rPr>
        <w:t>7</w:t>
      </w:r>
      <w:r>
        <w:rPr>
          <w:rFonts w:ascii="Times New Roman" w:hAnsi="Times New Roman" w:eastAsia="Times New Roman" w:cs="Times New Roman"/>
          <w:spacing w:val="15"/>
          <w:w w:val="101"/>
          <w:sz w:val="24"/>
          <w:szCs w:val="24"/>
        </w:rPr>
        <w:t xml:space="preserve"> </w:t>
      </w:r>
      <w:r>
        <w:rPr>
          <w:rFonts w:ascii="宋体" w:hAnsi="宋体" w:eastAsia="宋体" w:cs="宋体"/>
          <w:spacing w:val="-4"/>
          <w:sz w:val="24"/>
          <w:szCs w:val="24"/>
        </w:rPr>
        <w:t>月</w:t>
      </w:r>
      <w:r>
        <w:rPr>
          <w:rFonts w:ascii="宋体" w:hAnsi="宋体" w:eastAsia="宋体" w:cs="宋体"/>
          <w:spacing w:val="-30"/>
          <w:sz w:val="24"/>
          <w:szCs w:val="24"/>
        </w:rPr>
        <w:t xml:space="preserve"> </w:t>
      </w:r>
      <w:r>
        <w:rPr>
          <w:rFonts w:ascii="Times New Roman" w:hAnsi="Times New Roman" w:eastAsia="Times New Roman" w:cs="Times New Roman"/>
          <w:spacing w:val="-4"/>
          <w:sz w:val="24"/>
          <w:szCs w:val="24"/>
        </w:rPr>
        <w:t xml:space="preserve">17  </w:t>
      </w:r>
      <w:r>
        <w:rPr>
          <w:rFonts w:ascii="宋体" w:hAnsi="宋体" w:eastAsia="宋体" w:cs="宋体"/>
          <w:spacing w:val="-4"/>
          <w:sz w:val="24"/>
          <w:szCs w:val="24"/>
        </w:rPr>
        <w:t>日；最</w:t>
      </w:r>
      <w:r>
        <w:rPr>
          <w:rFonts w:ascii="宋体" w:hAnsi="宋体" w:eastAsia="宋体" w:cs="宋体"/>
          <w:sz w:val="24"/>
          <w:szCs w:val="24"/>
        </w:rPr>
        <w:t xml:space="preserve"> </w:t>
      </w:r>
      <w:r>
        <w:rPr>
          <w:rFonts w:ascii="宋体" w:hAnsi="宋体" w:eastAsia="宋体" w:cs="宋体"/>
          <w:spacing w:val="-7"/>
          <w:sz w:val="24"/>
          <w:szCs w:val="24"/>
        </w:rPr>
        <w:t>高气温值为</w:t>
      </w:r>
      <w:r>
        <w:rPr>
          <w:rFonts w:ascii="宋体" w:hAnsi="宋体" w:eastAsia="宋体" w:cs="宋体"/>
          <w:spacing w:val="-56"/>
          <w:sz w:val="24"/>
          <w:szCs w:val="24"/>
        </w:rPr>
        <w:t xml:space="preserve"> </w:t>
      </w:r>
      <w:r>
        <w:rPr>
          <w:rFonts w:ascii="Times New Roman" w:hAnsi="Times New Roman" w:eastAsia="Times New Roman" w:cs="Times New Roman"/>
          <w:spacing w:val="-7"/>
          <w:sz w:val="24"/>
          <w:szCs w:val="24"/>
        </w:rPr>
        <w:t>40.5℃</w:t>
      </w:r>
      <w:r>
        <w:rPr>
          <w:rFonts w:ascii="Times New Roman" w:hAnsi="Times New Roman" w:eastAsia="Times New Roman" w:cs="Times New Roman"/>
          <w:spacing w:val="-32"/>
          <w:sz w:val="24"/>
          <w:szCs w:val="24"/>
        </w:rPr>
        <w:t xml:space="preserve"> </w:t>
      </w:r>
      <w:r>
        <w:rPr>
          <w:rFonts w:ascii="宋体" w:hAnsi="宋体" w:eastAsia="宋体" w:cs="宋体"/>
          <w:spacing w:val="-7"/>
          <w:sz w:val="24"/>
          <w:szCs w:val="24"/>
        </w:rPr>
        <w:t>,</w:t>
      </w:r>
      <w:r>
        <w:rPr>
          <w:rFonts w:ascii="宋体" w:hAnsi="宋体" w:eastAsia="宋体" w:cs="宋体"/>
          <w:spacing w:val="83"/>
          <w:sz w:val="24"/>
          <w:szCs w:val="24"/>
        </w:rPr>
        <w:t xml:space="preserve"> </w:t>
      </w:r>
      <w:r>
        <w:rPr>
          <w:rFonts w:ascii="宋体" w:hAnsi="宋体" w:eastAsia="宋体" w:cs="宋体"/>
          <w:spacing w:val="-7"/>
          <w:sz w:val="24"/>
          <w:szCs w:val="24"/>
        </w:rPr>
        <w:t>出现在</w:t>
      </w:r>
      <w:r>
        <w:rPr>
          <w:rFonts w:ascii="宋体" w:hAnsi="宋体" w:eastAsia="宋体" w:cs="宋体"/>
          <w:spacing w:val="-32"/>
          <w:sz w:val="24"/>
          <w:szCs w:val="24"/>
        </w:rPr>
        <w:t xml:space="preserve"> </w:t>
      </w:r>
      <w:r>
        <w:rPr>
          <w:rFonts w:ascii="Times New Roman" w:hAnsi="Times New Roman" w:eastAsia="Times New Roman" w:cs="Times New Roman"/>
          <w:spacing w:val="-7"/>
          <w:sz w:val="24"/>
          <w:szCs w:val="24"/>
        </w:rPr>
        <w:t xml:space="preserve">1999 </w:t>
      </w:r>
      <w:r>
        <w:rPr>
          <w:rFonts w:ascii="宋体" w:hAnsi="宋体" w:eastAsia="宋体" w:cs="宋体"/>
          <w:spacing w:val="-7"/>
          <w:sz w:val="24"/>
          <w:szCs w:val="24"/>
        </w:rPr>
        <w:t>年</w:t>
      </w:r>
      <w:r>
        <w:rPr>
          <w:rFonts w:ascii="宋体" w:hAnsi="宋体" w:eastAsia="宋体" w:cs="宋体"/>
          <w:spacing w:val="-51"/>
          <w:sz w:val="24"/>
          <w:szCs w:val="24"/>
        </w:rPr>
        <w:t xml:space="preserve"> </w:t>
      </w:r>
      <w:r>
        <w:rPr>
          <w:rFonts w:ascii="Times New Roman" w:hAnsi="Times New Roman" w:eastAsia="Times New Roman" w:cs="Times New Roman"/>
          <w:spacing w:val="-7"/>
          <w:sz w:val="24"/>
          <w:szCs w:val="24"/>
        </w:rPr>
        <w:t>7</w:t>
      </w:r>
      <w:r>
        <w:rPr>
          <w:rFonts w:ascii="Times New Roman" w:hAnsi="Times New Roman" w:eastAsia="Times New Roman" w:cs="Times New Roman"/>
          <w:spacing w:val="15"/>
          <w:w w:val="101"/>
          <w:sz w:val="24"/>
          <w:szCs w:val="24"/>
        </w:rPr>
        <w:t xml:space="preserve"> </w:t>
      </w:r>
      <w:r>
        <w:rPr>
          <w:rFonts w:ascii="宋体" w:hAnsi="宋体" w:eastAsia="宋体" w:cs="宋体"/>
          <w:spacing w:val="-7"/>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7"/>
          <w:sz w:val="24"/>
          <w:szCs w:val="24"/>
        </w:rPr>
        <w:t xml:space="preserve">28  </w:t>
      </w:r>
      <w:r>
        <w:rPr>
          <w:rFonts w:ascii="宋体" w:hAnsi="宋体" w:eastAsia="宋体" w:cs="宋体"/>
          <w:spacing w:val="-7"/>
          <w:sz w:val="24"/>
          <w:szCs w:val="24"/>
        </w:rPr>
        <w:t>日；最低气温值为</w:t>
      </w:r>
      <w:r>
        <w:rPr>
          <w:rFonts w:ascii="Times New Roman" w:hAnsi="Times New Roman" w:eastAsia="Times New Roman" w:cs="Times New Roman"/>
          <w:spacing w:val="-7"/>
          <w:sz w:val="24"/>
          <w:szCs w:val="24"/>
        </w:rPr>
        <w:t>-35.4℃</w:t>
      </w:r>
      <w:r>
        <w:rPr>
          <w:rFonts w:ascii="Times New Roman" w:hAnsi="Times New Roman" w:eastAsia="Times New Roman" w:cs="Times New Roman"/>
          <w:spacing w:val="-32"/>
          <w:sz w:val="24"/>
          <w:szCs w:val="24"/>
        </w:rPr>
        <w:t xml:space="preserve"> </w:t>
      </w:r>
      <w:r>
        <w:rPr>
          <w:rFonts w:ascii="宋体" w:hAnsi="宋体" w:eastAsia="宋体" w:cs="宋体"/>
          <w:spacing w:val="-8"/>
          <w:sz w:val="24"/>
          <w:szCs w:val="24"/>
        </w:rPr>
        <w:t>,</w:t>
      </w:r>
      <w:r>
        <w:rPr>
          <w:rFonts w:ascii="宋体" w:hAnsi="宋体" w:eastAsia="宋体" w:cs="宋体"/>
          <w:spacing w:val="84"/>
          <w:sz w:val="24"/>
          <w:szCs w:val="24"/>
        </w:rPr>
        <w:t xml:space="preserve"> </w:t>
      </w:r>
      <w:r>
        <w:rPr>
          <w:rFonts w:ascii="宋体" w:hAnsi="宋体" w:eastAsia="宋体" w:cs="宋体"/>
          <w:spacing w:val="-8"/>
          <w:sz w:val="24"/>
          <w:szCs w:val="24"/>
        </w:rPr>
        <w:t>出现在</w:t>
      </w:r>
      <w:r>
        <w:rPr>
          <w:rFonts w:ascii="宋体" w:hAnsi="宋体" w:eastAsia="宋体" w:cs="宋体"/>
          <w:spacing w:val="-55"/>
          <w:sz w:val="24"/>
          <w:szCs w:val="24"/>
        </w:rPr>
        <w:t xml:space="preserve"> </w:t>
      </w:r>
      <w:r>
        <w:rPr>
          <w:rFonts w:ascii="Times New Roman" w:hAnsi="Times New Roman" w:eastAsia="Times New Roman" w:cs="Times New Roman"/>
          <w:spacing w:val="-8"/>
          <w:sz w:val="24"/>
          <w:szCs w:val="24"/>
        </w:rPr>
        <w:t xml:space="preserve">2010 </w:t>
      </w:r>
      <w:r>
        <w:rPr>
          <w:rFonts w:ascii="宋体" w:hAnsi="宋体" w:eastAsia="宋体" w:cs="宋体"/>
          <w:spacing w:val="-8"/>
          <w:sz w:val="24"/>
          <w:szCs w:val="24"/>
        </w:rPr>
        <w:t>年</w:t>
      </w:r>
      <w:r>
        <w:rPr>
          <w:rFonts w:ascii="宋体" w:hAnsi="宋体" w:eastAsia="宋体" w:cs="宋体"/>
          <w:sz w:val="24"/>
          <w:szCs w:val="24"/>
        </w:rPr>
        <w:t xml:space="preserve"> </w:t>
      </w:r>
      <w:r>
        <w:rPr>
          <w:rFonts w:ascii="Times New Roman" w:hAnsi="Times New Roman" w:eastAsia="Times New Roman" w:cs="Times New Roman"/>
          <w:spacing w:val="-2"/>
          <w:sz w:val="24"/>
          <w:szCs w:val="24"/>
        </w:rPr>
        <w:t>1</w:t>
      </w:r>
      <w:r>
        <w:rPr>
          <w:rFonts w:ascii="Times New Roman" w:hAnsi="Times New Roman" w:eastAsia="Times New Roman" w:cs="Times New Roman"/>
          <w:spacing w:val="18"/>
          <w:sz w:val="24"/>
          <w:szCs w:val="24"/>
        </w:rPr>
        <w:t xml:space="preserve"> </w:t>
      </w:r>
      <w:r>
        <w:rPr>
          <w:rFonts w:ascii="宋体" w:hAnsi="宋体" w:eastAsia="宋体" w:cs="宋体"/>
          <w:spacing w:val="-2"/>
          <w:sz w:val="24"/>
          <w:szCs w:val="24"/>
        </w:rPr>
        <w:t>月</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7</w:t>
      </w:r>
      <w:r>
        <w:rPr>
          <w:rFonts w:ascii="Times New Roman" w:hAnsi="Times New Roman" w:eastAsia="Times New Roman" w:cs="Times New Roman"/>
          <w:spacing w:val="51"/>
          <w:sz w:val="24"/>
          <w:szCs w:val="24"/>
        </w:rPr>
        <w:t xml:space="preserve"> </w:t>
      </w:r>
      <w:r>
        <w:rPr>
          <w:rFonts w:ascii="宋体" w:hAnsi="宋体" w:eastAsia="宋体" w:cs="宋体"/>
          <w:spacing w:val="-2"/>
          <w:sz w:val="24"/>
          <w:szCs w:val="24"/>
        </w:rPr>
        <w:t>日。主要气象灾害有干旱、白灾、黑灾、雷电、霜冻、沙尘暴、寒潮等，其中干</w:t>
      </w:r>
      <w:r>
        <w:rPr>
          <w:rFonts w:ascii="宋体" w:hAnsi="宋体" w:eastAsia="宋体" w:cs="宋体"/>
          <w:sz w:val="24"/>
          <w:szCs w:val="24"/>
        </w:rPr>
        <w:t xml:space="preserve"> </w:t>
      </w:r>
      <w:r>
        <w:rPr>
          <w:rFonts w:ascii="宋体" w:hAnsi="宋体" w:eastAsia="宋体" w:cs="宋体"/>
          <w:spacing w:val="-1"/>
          <w:sz w:val="24"/>
          <w:szCs w:val="24"/>
        </w:rPr>
        <w:t>旱是影响牧业最主要的气象灾害。</w:t>
      </w:r>
    </w:p>
    <w:p w14:paraId="02AC06EA">
      <w:pPr>
        <w:spacing w:before="35" w:line="219" w:lineRule="auto"/>
        <w:ind w:left="5"/>
        <w:outlineLvl w:val="3"/>
        <w:rPr>
          <w:rFonts w:ascii="宋体" w:hAnsi="宋体" w:eastAsia="宋体" w:cs="宋体"/>
          <w:sz w:val="24"/>
          <w:szCs w:val="24"/>
        </w:rPr>
      </w:pPr>
      <w:r>
        <w:fldChar w:fldCharType="begin"/>
      </w:r>
      <w:r>
        <w:instrText xml:space="preserve"> HYPERLINK "4.1.1.3" </w:instrText>
      </w:r>
      <w:r>
        <w:fldChar w:fldCharType="separate"/>
      </w:r>
      <w:r>
        <w:rPr>
          <w:rFonts w:ascii="Times New Roman" w:hAnsi="Times New Roman" w:eastAsia="Times New Roman" w:cs="Times New Roman"/>
          <w:b/>
          <w:bCs/>
          <w:spacing w:val="-2"/>
          <w:sz w:val="24"/>
          <w:szCs w:val="24"/>
        </w:rPr>
        <w:t>4.1.1.3</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地面气象要素</w:t>
      </w:r>
    </w:p>
    <w:p w14:paraId="0F7EE73C">
      <w:pPr>
        <w:spacing w:before="179" w:line="356" w:lineRule="auto"/>
        <w:ind w:left="8" w:right="61" w:firstLine="484"/>
        <w:jc w:val="both"/>
        <w:rPr>
          <w:rFonts w:ascii="宋体" w:hAnsi="宋体" w:eastAsia="宋体" w:cs="宋体"/>
          <w:sz w:val="24"/>
          <w:szCs w:val="24"/>
        </w:rPr>
      </w:pPr>
      <w:r>
        <w:rPr>
          <w:rFonts w:ascii="宋体" w:hAnsi="宋体" w:eastAsia="宋体" w:cs="宋体"/>
          <w:spacing w:val="1"/>
          <w:sz w:val="24"/>
          <w:szCs w:val="24"/>
        </w:rPr>
        <w:t>苏尼特右旗地区年平均气温为</w:t>
      </w:r>
      <w:r>
        <w:rPr>
          <w:rFonts w:ascii="宋体" w:hAnsi="宋体" w:eastAsia="宋体" w:cs="宋体"/>
          <w:spacing w:val="-37"/>
          <w:sz w:val="24"/>
          <w:szCs w:val="24"/>
        </w:rPr>
        <w:t xml:space="preserve"> </w:t>
      </w:r>
      <w:r>
        <w:rPr>
          <w:rFonts w:ascii="Times New Roman" w:hAnsi="Times New Roman" w:eastAsia="Times New Roman" w:cs="Times New Roman"/>
          <w:spacing w:val="1"/>
          <w:sz w:val="24"/>
          <w:szCs w:val="24"/>
        </w:rPr>
        <w:t>5.5℃</w:t>
      </w:r>
      <w:r>
        <w:rPr>
          <w:rFonts w:ascii="Times New Roman" w:hAnsi="Times New Roman" w:eastAsia="Times New Roman" w:cs="Times New Roman"/>
          <w:spacing w:val="-22"/>
          <w:sz w:val="24"/>
          <w:szCs w:val="24"/>
        </w:rPr>
        <w:t xml:space="preserve"> </w:t>
      </w:r>
      <w:r>
        <w:rPr>
          <w:rFonts w:ascii="宋体" w:hAnsi="宋体" w:eastAsia="宋体" w:cs="宋体"/>
          <w:spacing w:val="1"/>
          <w:sz w:val="24"/>
          <w:szCs w:val="24"/>
        </w:rPr>
        <w:t>,</w:t>
      </w:r>
      <w:r>
        <w:rPr>
          <w:rFonts w:ascii="宋体" w:hAnsi="宋体" w:eastAsia="宋体" w:cs="宋体"/>
          <w:spacing w:val="76"/>
          <w:sz w:val="24"/>
          <w:szCs w:val="24"/>
        </w:rPr>
        <w:t xml:space="preserve"> </w:t>
      </w:r>
      <w:r>
        <w:rPr>
          <w:rFonts w:ascii="宋体" w:hAnsi="宋体" w:eastAsia="宋体" w:cs="宋体"/>
          <w:spacing w:val="1"/>
          <w:sz w:val="24"/>
          <w:szCs w:val="24"/>
        </w:rPr>
        <w:t>极</w:t>
      </w:r>
      <w:r>
        <w:rPr>
          <w:rFonts w:ascii="宋体" w:hAnsi="宋体" w:eastAsia="宋体" w:cs="宋体"/>
          <w:sz w:val="24"/>
          <w:szCs w:val="24"/>
        </w:rPr>
        <w:t>端最高气温为</w:t>
      </w:r>
      <w:r>
        <w:rPr>
          <w:rFonts w:ascii="宋体" w:hAnsi="宋体" w:eastAsia="宋体" w:cs="宋体"/>
          <w:spacing w:val="-44"/>
          <w:sz w:val="24"/>
          <w:szCs w:val="24"/>
        </w:rPr>
        <w:t xml:space="preserve"> </w:t>
      </w:r>
      <w:r>
        <w:rPr>
          <w:rFonts w:ascii="Times New Roman" w:hAnsi="Times New Roman" w:eastAsia="Times New Roman" w:cs="Times New Roman"/>
          <w:sz w:val="24"/>
          <w:szCs w:val="24"/>
        </w:rPr>
        <w:t>40.5℃</w:t>
      </w:r>
      <w:r>
        <w:rPr>
          <w:rFonts w:ascii="Times New Roman" w:hAnsi="Times New Roman" w:eastAsia="Times New Roman" w:cs="Times New Roman"/>
          <w:spacing w:val="-23"/>
          <w:sz w:val="24"/>
          <w:szCs w:val="24"/>
        </w:rPr>
        <w:t xml:space="preserve"> </w:t>
      </w:r>
      <w:r>
        <w:rPr>
          <w:rFonts w:ascii="宋体" w:hAnsi="宋体" w:eastAsia="宋体" w:cs="宋体"/>
          <w:sz w:val="24"/>
          <w:szCs w:val="24"/>
        </w:rPr>
        <w:t>,</w:t>
      </w:r>
      <w:r>
        <w:rPr>
          <w:rFonts w:ascii="宋体" w:hAnsi="宋体" w:eastAsia="宋体" w:cs="宋体"/>
          <w:spacing w:val="76"/>
          <w:sz w:val="24"/>
          <w:szCs w:val="24"/>
        </w:rPr>
        <w:t xml:space="preserve"> </w:t>
      </w:r>
      <w:r>
        <w:rPr>
          <w:rFonts w:ascii="宋体" w:hAnsi="宋体" w:eastAsia="宋体" w:cs="宋体"/>
          <w:sz w:val="24"/>
          <w:szCs w:val="24"/>
        </w:rPr>
        <w:t xml:space="preserve">极端最低气温为 </w:t>
      </w:r>
      <w:r>
        <w:rPr>
          <w:rFonts w:ascii="Times New Roman" w:hAnsi="Times New Roman" w:eastAsia="Times New Roman" w:cs="Times New Roman"/>
          <w:spacing w:val="-4"/>
          <w:sz w:val="24"/>
          <w:szCs w:val="24"/>
        </w:rPr>
        <w:t>-35.4℃</w:t>
      </w:r>
      <w:r>
        <w:rPr>
          <w:rFonts w:ascii="宋体" w:hAnsi="宋体" w:eastAsia="宋体" w:cs="宋体"/>
          <w:spacing w:val="-4"/>
          <w:sz w:val="24"/>
          <w:szCs w:val="24"/>
        </w:rPr>
        <w:t>;</w:t>
      </w:r>
      <w:r>
        <w:rPr>
          <w:rFonts w:ascii="宋体" w:hAnsi="宋体" w:eastAsia="宋体" w:cs="宋体"/>
          <w:spacing w:val="42"/>
          <w:sz w:val="24"/>
          <w:szCs w:val="24"/>
        </w:rPr>
        <w:t xml:space="preserve"> </w:t>
      </w:r>
      <w:r>
        <w:rPr>
          <w:rFonts w:ascii="宋体" w:hAnsi="宋体" w:eastAsia="宋体" w:cs="宋体"/>
          <w:spacing w:val="-4"/>
          <w:sz w:val="24"/>
          <w:szCs w:val="24"/>
        </w:rPr>
        <w:t>年平均气压为</w:t>
      </w:r>
      <w:r>
        <w:rPr>
          <w:rFonts w:ascii="宋体" w:hAnsi="宋体" w:eastAsia="宋体" w:cs="宋体"/>
          <w:spacing w:val="-45"/>
          <w:sz w:val="24"/>
          <w:szCs w:val="24"/>
        </w:rPr>
        <w:t xml:space="preserve"> </w:t>
      </w:r>
      <w:r>
        <w:rPr>
          <w:rFonts w:ascii="Times New Roman" w:hAnsi="Times New Roman" w:eastAsia="Times New Roman" w:cs="Times New Roman"/>
          <w:spacing w:val="-4"/>
          <w:sz w:val="24"/>
          <w:szCs w:val="24"/>
        </w:rPr>
        <w:t>890.4hPa</w:t>
      </w:r>
      <w:r>
        <w:rPr>
          <w:rFonts w:ascii="宋体" w:hAnsi="宋体" w:eastAsia="宋体" w:cs="宋体"/>
          <w:spacing w:val="-4"/>
          <w:sz w:val="24"/>
          <w:szCs w:val="24"/>
        </w:rPr>
        <w:t>；年平均相对湿度为</w:t>
      </w:r>
      <w:r>
        <w:rPr>
          <w:rFonts w:ascii="宋体" w:hAnsi="宋体" w:eastAsia="宋体" w:cs="宋体"/>
          <w:spacing w:val="-57"/>
          <w:sz w:val="24"/>
          <w:szCs w:val="24"/>
        </w:rPr>
        <w:t xml:space="preserve"> </w:t>
      </w:r>
      <w:r>
        <w:rPr>
          <w:rFonts w:ascii="Times New Roman" w:hAnsi="Times New Roman" w:eastAsia="Times New Roman" w:cs="Times New Roman"/>
          <w:spacing w:val="-4"/>
          <w:sz w:val="24"/>
          <w:szCs w:val="24"/>
        </w:rPr>
        <w:t>46%</w:t>
      </w:r>
      <w:r>
        <w:rPr>
          <w:rFonts w:ascii="宋体" w:hAnsi="宋体" w:eastAsia="宋体" w:cs="宋体"/>
          <w:spacing w:val="-4"/>
          <w:sz w:val="24"/>
          <w:szCs w:val="24"/>
        </w:rPr>
        <w:t>；年平均水汽压</w:t>
      </w:r>
      <w:r>
        <w:rPr>
          <w:rFonts w:ascii="宋体" w:hAnsi="宋体" w:eastAsia="宋体" w:cs="宋体"/>
          <w:spacing w:val="-48"/>
          <w:sz w:val="24"/>
          <w:szCs w:val="24"/>
        </w:rPr>
        <w:t xml:space="preserve"> </w:t>
      </w:r>
      <w:r>
        <w:rPr>
          <w:rFonts w:ascii="Times New Roman" w:hAnsi="Times New Roman" w:eastAsia="Times New Roman" w:cs="Times New Roman"/>
          <w:spacing w:val="-5"/>
          <w:sz w:val="24"/>
          <w:szCs w:val="24"/>
        </w:rPr>
        <w:t>5.</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5"/>
          <w:sz w:val="24"/>
          <w:szCs w:val="24"/>
        </w:rPr>
        <w:t>1hPa</w:t>
      </w:r>
      <w:r>
        <w:rPr>
          <w:rFonts w:ascii="宋体" w:hAnsi="宋体" w:eastAsia="宋体" w:cs="宋体"/>
          <w:spacing w:val="-5"/>
          <w:sz w:val="24"/>
          <w:szCs w:val="24"/>
        </w:rPr>
        <w:t>；年降</w:t>
      </w:r>
      <w:r>
        <w:rPr>
          <w:rFonts w:ascii="宋体" w:hAnsi="宋体" w:eastAsia="宋体" w:cs="宋体"/>
          <w:sz w:val="24"/>
          <w:szCs w:val="24"/>
        </w:rPr>
        <w:t xml:space="preserve"> </w:t>
      </w:r>
      <w:r>
        <w:rPr>
          <w:rFonts w:ascii="宋体" w:hAnsi="宋体" w:eastAsia="宋体" w:cs="宋体"/>
          <w:spacing w:val="-2"/>
          <w:sz w:val="24"/>
          <w:szCs w:val="24"/>
        </w:rPr>
        <w:t>水量为</w:t>
      </w:r>
      <w:r>
        <w:rPr>
          <w:rFonts w:ascii="宋体" w:hAnsi="宋体" w:eastAsia="宋体" w:cs="宋体"/>
          <w:spacing w:val="-21"/>
          <w:sz w:val="24"/>
          <w:szCs w:val="24"/>
        </w:rPr>
        <w:t xml:space="preserve"> </w:t>
      </w:r>
      <w:r>
        <w:rPr>
          <w:rFonts w:ascii="Times New Roman" w:hAnsi="Times New Roman" w:eastAsia="Times New Roman" w:cs="Times New Roman"/>
          <w:spacing w:val="-2"/>
          <w:sz w:val="24"/>
          <w:szCs w:val="24"/>
        </w:rPr>
        <w:t>184.0mm</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，年极端最高降水量为</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342.0mm</w:t>
      </w:r>
      <w:r>
        <w:rPr>
          <w:rFonts w:ascii="宋体" w:hAnsi="宋体" w:eastAsia="宋体" w:cs="宋体"/>
          <w:spacing w:val="-2"/>
          <w:sz w:val="24"/>
          <w:szCs w:val="24"/>
        </w:rPr>
        <w:t>；年蒸发量为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2494.4mm</w:t>
      </w:r>
      <w:r>
        <w:rPr>
          <w:rFonts w:ascii="宋体" w:hAnsi="宋体" w:eastAsia="宋体" w:cs="宋体"/>
          <w:spacing w:val="-2"/>
          <w:sz w:val="24"/>
          <w:szCs w:val="24"/>
        </w:rPr>
        <w:t>；年日照时数</w:t>
      </w:r>
      <w:r>
        <w:rPr>
          <w:rFonts w:ascii="宋体" w:hAnsi="宋体" w:eastAsia="宋体" w:cs="宋体"/>
          <w:sz w:val="24"/>
          <w:szCs w:val="24"/>
        </w:rPr>
        <w:t xml:space="preserve"> </w:t>
      </w:r>
      <w:r>
        <w:rPr>
          <w:rFonts w:ascii="Times New Roman" w:hAnsi="Times New Roman" w:eastAsia="Times New Roman" w:cs="Times New Roman"/>
          <w:spacing w:val="-2"/>
          <w:sz w:val="24"/>
          <w:szCs w:val="24"/>
        </w:rPr>
        <w:t>3153.4h</w:t>
      </w:r>
      <w:r>
        <w:rPr>
          <w:rFonts w:ascii="宋体" w:hAnsi="宋体" w:eastAsia="宋体" w:cs="宋体"/>
          <w:spacing w:val="-2"/>
          <w:sz w:val="24"/>
          <w:szCs w:val="24"/>
        </w:rPr>
        <w:t>；年平均风速为</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3.9m/s</w:t>
      </w:r>
      <w:r>
        <w:rPr>
          <w:rFonts w:ascii="宋体" w:hAnsi="宋体" w:eastAsia="宋体" w:cs="宋体"/>
          <w:spacing w:val="-2"/>
          <w:sz w:val="24"/>
          <w:szCs w:val="24"/>
        </w:rPr>
        <w:t>，年最大风速为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27m/s</w:t>
      </w:r>
      <w:r>
        <w:rPr>
          <w:rFonts w:ascii="宋体" w:hAnsi="宋体" w:eastAsia="宋体" w:cs="宋体"/>
          <w:spacing w:val="-2"/>
          <w:sz w:val="24"/>
          <w:szCs w:val="24"/>
        </w:rPr>
        <w:t xml:space="preserve">；年最大冻土深度为 </w:t>
      </w:r>
      <w:r>
        <w:rPr>
          <w:rFonts w:ascii="Times New Roman" w:hAnsi="Times New Roman" w:eastAsia="Times New Roman" w:cs="Times New Roman"/>
          <w:spacing w:val="-2"/>
          <w:sz w:val="24"/>
          <w:szCs w:val="24"/>
        </w:rPr>
        <w:t>231cm</w:t>
      </w:r>
      <w:r>
        <w:rPr>
          <w:rFonts w:ascii="宋体" w:hAnsi="宋体" w:eastAsia="宋体" w:cs="宋体"/>
          <w:spacing w:val="-2"/>
          <w:sz w:val="24"/>
          <w:szCs w:val="24"/>
        </w:rPr>
        <w:t>，年最</w:t>
      </w:r>
      <w:r>
        <w:rPr>
          <w:rFonts w:ascii="宋体" w:hAnsi="宋体" w:eastAsia="宋体" w:cs="宋体"/>
          <w:sz w:val="24"/>
          <w:szCs w:val="24"/>
        </w:rPr>
        <w:t xml:space="preserve"> </w:t>
      </w:r>
      <w:r>
        <w:rPr>
          <w:rFonts w:ascii="宋体" w:hAnsi="宋体" w:eastAsia="宋体" w:cs="宋体"/>
          <w:spacing w:val="-1"/>
          <w:sz w:val="24"/>
          <w:szCs w:val="24"/>
        </w:rPr>
        <w:t>大积雪深度为</w:t>
      </w:r>
      <w:r>
        <w:rPr>
          <w:rFonts w:ascii="宋体" w:hAnsi="宋体" w:eastAsia="宋体" w:cs="宋体"/>
          <w:spacing w:val="-17"/>
          <w:sz w:val="24"/>
          <w:szCs w:val="24"/>
        </w:rPr>
        <w:t xml:space="preserve"> </w:t>
      </w:r>
      <w:r>
        <w:rPr>
          <w:rFonts w:ascii="Times New Roman" w:hAnsi="Times New Roman" w:eastAsia="Times New Roman" w:cs="Times New Roman"/>
          <w:spacing w:val="-1"/>
          <w:sz w:val="24"/>
          <w:szCs w:val="24"/>
        </w:rPr>
        <w:t>11cm</w:t>
      </w:r>
      <w:r>
        <w:rPr>
          <w:rFonts w:ascii="Times New Roman" w:hAnsi="Times New Roman" w:eastAsia="Times New Roman" w:cs="Times New Roman"/>
          <w:spacing w:val="-26"/>
          <w:sz w:val="24"/>
          <w:szCs w:val="24"/>
        </w:rPr>
        <w:t xml:space="preserve"> </w:t>
      </w:r>
      <w:r>
        <w:rPr>
          <w:rFonts w:ascii="宋体" w:hAnsi="宋体" w:eastAsia="宋体" w:cs="宋体"/>
          <w:spacing w:val="-1"/>
          <w:sz w:val="24"/>
          <w:szCs w:val="24"/>
        </w:rPr>
        <w:t>，全年沙暴日数为</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7</w:t>
      </w:r>
      <w:r>
        <w:rPr>
          <w:rFonts w:ascii="Times New Roman" w:hAnsi="Times New Roman" w:eastAsia="Times New Roman" w:cs="Times New Roman"/>
          <w:spacing w:val="19"/>
          <w:w w:val="101"/>
          <w:sz w:val="24"/>
          <w:szCs w:val="24"/>
        </w:rPr>
        <w:t xml:space="preserve"> </w:t>
      </w:r>
      <w:r>
        <w:rPr>
          <w:rFonts w:ascii="宋体" w:hAnsi="宋体" w:eastAsia="宋体" w:cs="宋体"/>
          <w:spacing w:val="-1"/>
          <w:sz w:val="24"/>
          <w:szCs w:val="24"/>
        </w:rPr>
        <w:t>天，全年雷暴日数</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20.6</w:t>
      </w:r>
      <w:r>
        <w:rPr>
          <w:rFonts w:ascii="Times New Roman" w:hAnsi="Times New Roman" w:eastAsia="Times New Roman" w:cs="Times New Roman"/>
          <w:spacing w:val="19"/>
          <w:sz w:val="24"/>
          <w:szCs w:val="24"/>
        </w:rPr>
        <w:t xml:space="preserve"> </w:t>
      </w:r>
      <w:r>
        <w:rPr>
          <w:rFonts w:ascii="宋体" w:hAnsi="宋体" w:eastAsia="宋体" w:cs="宋体"/>
          <w:spacing w:val="-1"/>
          <w:sz w:val="24"/>
          <w:szCs w:val="24"/>
        </w:rPr>
        <w:t>天，全年冰雹日数</w:t>
      </w:r>
      <w:r>
        <w:rPr>
          <w:rFonts w:ascii="宋体" w:hAnsi="宋体" w:eastAsia="宋体" w:cs="宋体"/>
          <w:spacing w:val="-27"/>
          <w:sz w:val="24"/>
          <w:szCs w:val="24"/>
        </w:rPr>
        <w:t xml:space="preserve"> </w:t>
      </w:r>
      <w:r>
        <w:rPr>
          <w:rFonts w:ascii="Times New Roman" w:hAnsi="Times New Roman" w:eastAsia="Times New Roman" w:cs="Times New Roman"/>
          <w:spacing w:val="-1"/>
          <w:sz w:val="24"/>
          <w:szCs w:val="24"/>
        </w:rPr>
        <w:t>1.1</w:t>
      </w:r>
      <w:r>
        <w:rPr>
          <w:rFonts w:ascii="Times New Roman" w:hAnsi="Times New Roman" w:eastAsia="Times New Roman" w:cs="Times New Roman"/>
          <w:sz w:val="24"/>
          <w:szCs w:val="24"/>
        </w:rPr>
        <w:t xml:space="preserve"> </w:t>
      </w:r>
      <w:r>
        <w:rPr>
          <w:rFonts w:ascii="宋体" w:hAnsi="宋体" w:eastAsia="宋体" w:cs="宋体"/>
          <w:spacing w:val="-1"/>
          <w:sz w:val="24"/>
          <w:szCs w:val="24"/>
        </w:rPr>
        <w:t>天。苏尼特右旗气象局近三十年各气象要素统计见下表。</w:t>
      </w:r>
    </w:p>
    <w:p w14:paraId="53E58459">
      <w:pPr>
        <w:spacing w:line="356" w:lineRule="auto"/>
        <w:rPr>
          <w:rFonts w:ascii="宋体" w:hAnsi="宋体" w:eastAsia="宋体" w:cs="宋体"/>
          <w:sz w:val="24"/>
          <w:szCs w:val="24"/>
        </w:rPr>
        <w:sectPr>
          <w:headerReference r:id="rId248" w:type="default"/>
          <w:footerReference r:id="rId249" w:type="default"/>
          <w:pgSz w:w="11906" w:h="16839"/>
          <w:pgMar w:top="1191" w:right="1356" w:bottom="1156" w:left="1417" w:header="882" w:footer="994" w:gutter="0"/>
          <w:cols w:space="720" w:num="1"/>
        </w:sectPr>
      </w:pPr>
    </w:p>
    <w:p w14:paraId="536DB1C6">
      <w:pPr>
        <w:spacing w:line="28" w:lineRule="exact"/>
      </w:pPr>
      <w:r>
        <w:pict>
          <v:shape id="_x0000_s1276" o:spid="_x0000_s1276" style="height:1.45pt;width:453.65pt;" fillcolor="#000000" filled="t" stroked="f" coordsize="9072,29" path="m0,0l9072,0,9072,28,0,28,0,0xe">
            <v:path/>
            <v:fill on="t" focussize="0,0"/>
            <v:stroke on="f"/>
            <v:imagedata o:title=""/>
            <o:lock v:ext="edit"/>
            <w10:wrap type="none"/>
            <w10:anchorlock/>
          </v:shape>
        </w:pict>
      </w:r>
    </w:p>
    <w:p w14:paraId="67DC70BE">
      <w:pPr>
        <w:pStyle w:val="2"/>
        <w:spacing w:line="259" w:lineRule="auto"/>
      </w:pPr>
    </w:p>
    <w:p w14:paraId="681C9466">
      <w:pPr>
        <w:spacing w:before="65" w:line="228" w:lineRule="auto"/>
        <w:ind w:left="1979"/>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9"/>
          <w:sz w:val="20"/>
          <w:szCs w:val="20"/>
        </w:rPr>
        <w:t xml:space="preserve"> </w:t>
      </w:r>
      <w:r>
        <w:rPr>
          <w:rFonts w:ascii="Times New Roman" w:hAnsi="Times New Roman" w:eastAsia="Times New Roman" w:cs="Times New Roman"/>
          <w:b/>
          <w:bCs/>
          <w:spacing w:val="6"/>
          <w:sz w:val="20"/>
          <w:szCs w:val="20"/>
        </w:rPr>
        <w:t xml:space="preserve">4.1-1        </w:t>
      </w:r>
      <w:r>
        <w:rPr>
          <w:rFonts w:ascii="宋体" w:hAnsi="宋体" w:eastAsia="宋体" w:cs="宋体"/>
          <w:b/>
          <w:bCs/>
          <w:spacing w:val="6"/>
          <w:sz w:val="20"/>
          <w:szCs w:val="20"/>
        </w:rPr>
        <w:t>苏尼特右旗气象局近三十年气象要素特</w:t>
      </w:r>
      <w:r>
        <w:rPr>
          <w:rFonts w:ascii="宋体" w:hAnsi="宋体" w:eastAsia="宋体" w:cs="宋体"/>
          <w:b/>
          <w:bCs/>
          <w:spacing w:val="5"/>
          <w:sz w:val="20"/>
          <w:szCs w:val="20"/>
        </w:rPr>
        <w:t>征表</w:t>
      </w:r>
    </w:p>
    <w:p w14:paraId="14C12245">
      <w:pPr>
        <w:spacing w:line="91" w:lineRule="exact"/>
      </w:pPr>
    </w:p>
    <w:tbl>
      <w:tblPr>
        <w:tblStyle w:val="5"/>
        <w:tblW w:w="9067"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41"/>
        <w:gridCol w:w="1694"/>
        <w:gridCol w:w="2636"/>
        <w:gridCol w:w="1896"/>
      </w:tblGrid>
      <w:tr w14:paraId="7FD275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2841" w:type="dxa"/>
            <w:tcBorders>
              <w:top w:val="single" w:color="000000" w:sz="10" w:space="0"/>
              <w:left w:val="nil"/>
            </w:tcBorders>
            <w:vAlign w:val="top"/>
          </w:tcPr>
          <w:p w14:paraId="26E9EACC">
            <w:pPr>
              <w:pStyle w:val="6"/>
              <w:spacing w:before="57" w:line="228" w:lineRule="auto"/>
              <w:ind w:left="1220"/>
              <w:rPr>
                <w:sz w:val="20"/>
                <w:szCs w:val="20"/>
              </w:rPr>
            </w:pPr>
            <w:r>
              <w:rPr>
                <w:spacing w:val="3"/>
                <w:sz w:val="20"/>
                <w:szCs w:val="20"/>
              </w:rPr>
              <w:t>项目</w:t>
            </w:r>
          </w:p>
        </w:tc>
        <w:tc>
          <w:tcPr>
            <w:tcW w:w="1694" w:type="dxa"/>
            <w:tcBorders>
              <w:top w:val="single" w:color="000000" w:sz="10" w:space="0"/>
            </w:tcBorders>
            <w:vAlign w:val="top"/>
          </w:tcPr>
          <w:p w14:paraId="0132EDBD">
            <w:pPr>
              <w:pStyle w:val="6"/>
              <w:spacing w:before="56" w:line="228" w:lineRule="auto"/>
              <w:ind w:left="645"/>
              <w:rPr>
                <w:sz w:val="20"/>
                <w:szCs w:val="20"/>
              </w:rPr>
            </w:pPr>
            <w:r>
              <w:rPr>
                <w:spacing w:val="3"/>
                <w:sz w:val="20"/>
                <w:szCs w:val="20"/>
              </w:rPr>
              <w:t>数据</w:t>
            </w:r>
          </w:p>
        </w:tc>
        <w:tc>
          <w:tcPr>
            <w:tcW w:w="2636" w:type="dxa"/>
            <w:tcBorders>
              <w:top w:val="single" w:color="000000" w:sz="10" w:space="0"/>
            </w:tcBorders>
            <w:vAlign w:val="top"/>
          </w:tcPr>
          <w:p w14:paraId="23A83A06">
            <w:pPr>
              <w:pStyle w:val="6"/>
              <w:spacing w:before="57" w:line="228" w:lineRule="auto"/>
              <w:ind w:left="1118"/>
              <w:rPr>
                <w:sz w:val="20"/>
                <w:szCs w:val="20"/>
              </w:rPr>
            </w:pPr>
            <w:r>
              <w:rPr>
                <w:spacing w:val="3"/>
                <w:sz w:val="20"/>
                <w:szCs w:val="20"/>
              </w:rPr>
              <w:t>项目</w:t>
            </w:r>
          </w:p>
        </w:tc>
        <w:tc>
          <w:tcPr>
            <w:tcW w:w="1896" w:type="dxa"/>
            <w:tcBorders>
              <w:top w:val="single" w:color="000000" w:sz="10" w:space="0"/>
              <w:right w:val="nil"/>
            </w:tcBorders>
            <w:vAlign w:val="top"/>
          </w:tcPr>
          <w:p w14:paraId="4CFD808A">
            <w:pPr>
              <w:pStyle w:val="6"/>
              <w:spacing w:before="56" w:line="228" w:lineRule="auto"/>
              <w:ind w:left="746"/>
              <w:rPr>
                <w:sz w:val="20"/>
                <w:szCs w:val="20"/>
              </w:rPr>
            </w:pPr>
            <w:r>
              <w:rPr>
                <w:spacing w:val="3"/>
                <w:sz w:val="20"/>
                <w:szCs w:val="20"/>
              </w:rPr>
              <w:t>数据</w:t>
            </w:r>
          </w:p>
        </w:tc>
      </w:tr>
      <w:tr w14:paraId="53546A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2841" w:type="dxa"/>
            <w:tcBorders>
              <w:left w:val="nil"/>
            </w:tcBorders>
            <w:vAlign w:val="top"/>
          </w:tcPr>
          <w:p w14:paraId="1C732AB5">
            <w:pPr>
              <w:pStyle w:val="6"/>
              <w:spacing w:before="51" w:line="228" w:lineRule="auto"/>
              <w:ind w:left="903"/>
              <w:rPr>
                <w:sz w:val="20"/>
                <w:szCs w:val="20"/>
              </w:rPr>
            </w:pPr>
            <w:r>
              <w:rPr>
                <w:spacing w:val="7"/>
                <w:sz w:val="20"/>
                <w:szCs w:val="20"/>
              </w:rPr>
              <w:t>年平均气温</w:t>
            </w:r>
          </w:p>
        </w:tc>
        <w:tc>
          <w:tcPr>
            <w:tcW w:w="1694" w:type="dxa"/>
            <w:vAlign w:val="top"/>
          </w:tcPr>
          <w:p w14:paraId="76990D0C">
            <w:pPr>
              <w:spacing w:before="87" w:line="195" w:lineRule="auto"/>
              <w:ind w:left="61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w:t>
            </w:r>
          </w:p>
        </w:tc>
        <w:tc>
          <w:tcPr>
            <w:tcW w:w="2636" w:type="dxa"/>
            <w:vAlign w:val="top"/>
          </w:tcPr>
          <w:p w14:paraId="78E38E83">
            <w:pPr>
              <w:pStyle w:val="6"/>
              <w:spacing w:before="51" w:line="228" w:lineRule="auto"/>
              <w:ind w:left="695"/>
              <w:rPr>
                <w:sz w:val="20"/>
                <w:szCs w:val="20"/>
              </w:rPr>
            </w:pPr>
            <w:r>
              <w:rPr>
                <w:spacing w:val="8"/>
                <w:sz w:val="20"/>
                <w:szCs w:val="20"/>
              </w:rPr>
              <w:t>年平均降水量</w:t>
            </w:r>
          </w:p>
        </w:tc>
        <w:tc>
          <w:tcPr>
            <w:tcW w:w="1896" w:type="dxa"/>
            <w:tcBorders>
              <w:right w:val="nil"/>
            </w:tcBorders>
            <w:vAlign w:val="top"/>
          </w:tcPr>
          <w:p w14:paraId="6EACCDB1">
            <w:pPr>
              <w:spacing w:before="87" w:line="195" w:lineRule="auto"/>
              <w:ind w:left="5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184.0</w:t>
            </w:r>
            <w:r>
              <w:rPr>
                <w:rFonts w:ascii="Times New Roman" w:hAnsi="Times New Roman" w:eastAsia="Times New Roman" w:cs="Times New Roman"/>
                <w:sz w:val="20"/>
                <w:szCs w:val="20"/>
              </w:rPr>
              <w:t>mm</w:t>
            </w:r>
          </w:p>
        </w:tc>
      </w:tr>
      <w:tr w14:paraId="230AFA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2841" w:type="dxa"/>
            <w:tcBorders>
              <w:left w:val="nil"/>
            </w:tcBorders>
            <w:vAlign w:val="top"/>
          </w:tcPr>
          <w:p w14:paraId="3B92A685">
            <w:pPr>
              <w:pStyle w:val="6"/>
              <w:spacing w:before="55" w:line="226" w:lineRule="auto"/>
              <w:ind w:left="799"/>
              <w:rPr>
                <w:sz w:val="20"/>
                <w:szCs w:val="20"/>
              </w:rPr>
            </w:pPr>
            <w:r>
              <w:rPr>
                <w:spacing w:val="7"/>
                <w:sz w:val="20"/>
                <w:szCs w:val="20"/>
              </w:rPr>
              <w:t>极端最高气温</w:t>
            </w:r>
          </w:p>
        </w:tc>
        <w:tc>
          <w:tcPr>
            <w:tcW w:w="1694" w:type="dxa"/>
            <w:vAlign w:val="top"/>
          </w:tcPr>
          <w:p w14:paraId="7C028F73">
            <w:pPr>
              <w:spacing w:before="90" w:line="195" w:lineRule="auto"/>
              <w:ind w:left="55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40.5℃</w:t>
            </w:r>
          </w:p>
        </w:tc>
        <w:tc>
          <w:tcPr>
            <w:tcW w:w="2636" w:type="dxa"/>
            <w:vAlign w:val="top"/>
          </w:tcPr>
          <w:p w14:paraId="3A198962">
            <w:pPr>
              <w:pStyle w:val="6"/>
              <w:spacing w:before="55" w:line="226" w:lineRule="auto"/>
              <w:ind w:left="484"/>
              <w:rPr>
                <w:sz w:val="20"/>
                <w:szCs w:val="20"/>
              </w:rPr>
            </w:pPr>
            <w:r>
              <w:rPr>
                <w:spacing w:val="8"/>
                <w:sz w:val="20"/>
                <w:szCs w:val="20"/>
              </w:rPr>
              <w:t>年极端最高降水量</w:t>
            </w:r>
          </w:p>
        </w:tc>
        <w:tc>
          <w:tcPr>
            <w:tcW w:w="1896" w:type="dxa"/>
            <w:tcBorders>
              <w:right w:val="nil"/>
            </w:tcBorders>
            <w:vAlign w:val="top"/>
          </w:tcPr>
          <w:p w14:paraId="04DD2F18">
            <w:pPr>
              <w:spacing w:before="90" w:line="195" w:lineRule="auto"/>
              <w:ind w:left="555"/>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342.0</w:t>
            </w:r>
            <w:r>
              <w:rPr>
                <w:rFonts w:ascii="Times New Roman" w:hAnsi="Times New Roman" w:eastAsia="Times New Roman" w:cs="Times New Roman"/>
                <w:sz w:val="20"/>
                <w:szCs w:val="20"/>
              </w:rPr>
              <w:t>mm</w:t>
            </w:r>
          </w:p>
        </w:tc>
      </w:tr>
      <w:tr w14:paraId="1E49AB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2841" w:type="dxa"/>
            <w:tcBorders>
              <w:left w:val="nil"/>
            </w:tcBorders>
            <w:vAlign w:val="top"/>
          </w:tcPr>
          <w:p w14:paraId="06040E65">
            <w:pPr>
              <w:pStyle w:val="6"/>
              <w:spacing w:before="56" w:line="224" w:lineRule="auto"/>
              <w:ind w:left="799"/>
              <w:rPr>
                <w:sz w:val="20"/>
                <w:szCs w:val="20"/>
              </w:rPr>
            </w:pPr>
            <w:r>
              <w:rPr>
                <w:spacing w:val="7"/>
                <w:sz w:val="20"/>
                <w:szCs w:val="20"/>
              </w:rPr>
              <w:t>极端最低气温</w:t>
            </w:r>
          </w:p>
        </w:tc>
        <w:tc>
          <w:tcPr>
            <w:tcW w:w="1694" w:type="dxa"/>
            <w:vAlign w:val="top"/>
          </w:tcPr>
          <w:p w14:paraId="50D8FF4A">
            <w:pPr>
              <w:spacing w:before="92" w:line="195" w:lineRule="auto"/>
              <w:ind w:left="52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-35.4℃</w:t>
            </w:r>
          </w:p>
        </w:tc>
        <w:tc>
          <w:tcPr>
            <w:tcW w:w="2636" w:type="dxa"/>
            <w:vAlign w:val="top"/>
          </w:tcPr>
          <w:p w14:paraId="33F51976">
            <w:pPr>
              <w:pStyle w:val="6"/>
              <w:spacing w:before="56" w:line="224" w:lineRule="auto"/>
              <w:ind w:left="484"/>
              <w:rPr>
                <w:sz w:val="20"/>
                <w:szCs w:val="20"/>
              </w:rPr>
            </w:pPr>
            <w:r>
              <w:rPr>
                <w:spacing w:val="8"/>
                <w:sz w:val="20"/>
                <w:szCs w:val="20"/>
              </w:rPr>
              <w:t>年最大风速、风向</w:t>
            </w:r>
          </w:p>
        </w:tc>
        <w:tc>
          <w:tcPr>
            <w:tcW w:w="1896" w:type="dxa"/>
            <w:tcBorders>
              <w:right w:val="nil"/>
            </w:tcBorders>
            <w:vAlign w:val="top"/>
          </w:tcPr>
          <w:p w14:paraId="66360E95">
            <w:pPr>
              <w:pStyle w:val="6"/>
              <w:spacing w:before="88" w:line="190" w:lineRule="auto"/>
              <w:ind w:left="21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27.0 m/s</w:t>
            </w:r>
            <w:r>
              <w:rPr>
                <w:rFonts w:ascii="Times New Roman" w:hAnsi="Times New Roman" w:eastAsia="Times New Roman" w:cs="Times New Roman"/>
                <w:spacing w:val="-24"/>
                <w:sz w:val="20"/>
                <w:szCs w:val="20"/>
              </w:rPr>
              <w:t xml:space="preserve"> </w:t>
            </w:r>
            <w:r>
              <w:rPr>
                <w:spacing w:val="4"/>
                <w:sz w:val="20"/>
                <w:szCs w:val="20"/>
              </w:rPr>
              <w:t>，</w:t>
            </w:r>
            <w:r>
              <w:rPr>
                <w:rFonts w:ascii="Times New Roman" w:hAnsi="Times New Roman" w:eastAsia="Times New Roman" w:cs="Times New Roman"/>
                <w:sz w:val="20"/>
                <w:szCs w:val="20"/>
              </w:rPr>
              <w:t>WNW</w:t>
            </w:r>
          </w:p>
        </w:tc>
      </w:tr>
      <w:tr w14:paraId="667AD1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2841" w:type="dxa"/>
            <w:tcBorders>
              <w:left w:val="nil"/>
            </w:tcBorders>
            <w:vAlign w:val="top"/>
          </w:tcPr>
          <w:p w14:paraId="1EE0C57C">
            <w:pPr>
              <w:pStyle w:val="6"/>
              <w:spacing w:before="59" w:line="221" w:lineRule="auto"/>
              <w:ind w:left="903"/>
              <w:rPr>
                <w:sz w:val="20"/>
                <w:szCs w:val="20"/>
              </w:rPr>
            </w:pPr>
            <w:r>
              <w:rPr>
                <w:spacing w:val="7"/>
                <w:sz w:val="20"/>
                <w:szCs w:val="20"/>
              </w:rPr>
              <w:t>年平均气压</w:t>
            </w:r>
          </w:p>
        </w:tc>
        <w:tc>
          <w:tcPr>
            <w:tcW w:w="1694" w:type="dxa"/>
            <w:vAlign w:val="top"/>
          </w:tcPr>
          <w:p w14:paraId="58DCF041">
            <w:pPr>
              <w:spacing w:before="95" w:line="195" w:lineRule="auto"/>
              <w:ind w:left="51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890.4</w:t>
            </w:r>
            <w:r>
              <w:rPr>
                <w:rFonts w:ascii="Times New Roman" w:hAnsi="Times New Roman" w:eastAsia="Times New Roman" w:cs="Times New Roman"/>
                <w:sz w:val="20"/>
                <w:szCs w:val="20"/>
              </w:rPr>
              <w:t>Pa</w:t>
            </w:r>
          </w:p>
        </w:tc>
        <w:tc>
          <w:tcPr>
            <w:tcW w:w="2636" w:type="dxa"/>
            <w:vAlign w:val="top"/>
          </w:tcPr>
          <w:p w14:paraId="320D26BE">
            <w:pPr>
              <w:pStyle w:val="6"/>
              <w:spacing w:before="59" w:line="221" w:lineRule="auto"/>
              <w:ind w:left="590"/>
              <w:rPr>
                <w:sz w:val="20"/>
                <w:szCs w:val="20"/>
              </w:rPr>
            </w:pPr>
            <w:r>
              <w:rPr>
                <w:spacing w:val="8"/>
                <w:sz w:val="20"/>
                <w:szCs w:val="20"/>
              </w:rPr>
              <w:t>年最大冻土深度</w:t>
            </w:r>
          </w:p>
        </w:tc>
        <w:tc>
          <w:tcPr>
            <w:tcW w:w="1896" w:type="dxa"/>
            <w:tcBorders>
              <w:right w:val="nil"/>
            </w:tcBorders>
            <w:vAlign w:val="top"/>
          </w:tcPr>
          <w:p w14:paraId="757D5ACA">
            <w:pPr>
              <w:spacing w:before="95" w:line="195" w:lineRule="auto"/>
              <w:ind w:left="666"/>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231</w:t>
            </w:r>
            <w:r>
              <w:rPr>
                <w:rFonts w:ascii="Times New Roman" w:hAnsi="Times New Roman" w:eastAsia="Times New Roman" w:cs="Times New Roman"/>
                <w:sz w:val="20"/>
                <w:szCs w:val="20"/>
              </w:rPr>
              <w:t>cm</w:t>
            </w:r>
          </w:p>
        </w:tc>
      </w:tr>
      <w:tr w14:paraId="6CB347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2841" w:type="dxa"/>
            <w:tcBorders>
              <w:left w:val="nil"/>
            </w:tcBorders>
            <w:vAlign w:val="top"/>
          </w:tcPr>
          <w:p w14:paraId="3EEAA4EE">
            <w:pPr>
              <w:pStyle w:val="6"/>
              <w:spacing w:before="61" w:line="219" w:lineRule="auto"/>
              <w:ind w:left="694"/>
              <w:rPr>
                <w:sz w:val="20"/>
                <w:szCs w:val="20"/>
              </w:rPr>
            </w:pPr>
            <w:r>
              <w:rPr>
                <w:spacing w:val="8"/>
                <w:sz w:val="20"/>
                <w:szCs w:val="20"/>
              </w:rPr>
              <w:t>年平均相对湿度</w:t>
            </w:r>
          </w:p>
        </w:tc>
        <w:tc>
          <w:tcPr>
            <w:tcW w:w="1694" w:type="dxa"/>
            <w:vAlign w:val="top"/>
          </w:tcPr>
          <w:p w14:paraId="3405A399">
            <w:pPr>
              <w:spacing w:before="97" w:line="195" w:lineRule="auto"/>
              <w:ind w:left="65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46%</w:t>
            </w:r>
          </w:p>
        </w:tc>
        <w:tc>
          <w:tcPr>
            <w:tcW w:w="2636" w:type="dxa"/>
            <w:vAlign w:val="top"/>
          </w:tcPr>
          <w:p w14:paraId="0C4A3086">
            <w:pPr>
              <w:pStyle w:val="6"/>
              <w:spacing w:before="61" w:line="219" w:lineRule="auto"/>
              <w:ind w:left="590"/>
              <w:rPr>
                <w:sz w:val="20"/>
                <w:szCs w:val="20"/>
              </w:rPr>
            </w:pPr>
            <w:r>
              <w:rPr>
                <w:spacing w:val="8"/>
                <w:sz w:val="20"/>
                <w:szCs w:val="20"/>
              </w:rPr>
              <w:t>年最大积雪深度</w:t>
            </w:r>
          </w:p>
        </w:tc>
        <w:tc>
          <w:tcPr>
            <w:tcW w:w="1896" w:type="dxa"/>
            <w:tcBorders>
              <w:right w:val="nil"/>
            </w:tcBorders>
            <w:vAlign w:val="top"/>
          </w:tcPr>
          <w:p w14:paraId="76F4A461">
            <w:pPr>
              <w:spacing w:before="97" w:line="195" w:lineRule="auto"/>
              <w:ind w:left="7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11cm</w:t>
            </w:r>
          </w:p>
        </w:tc>
      </w:tr>
      <w:tr w14:paraId="0B2044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2841" w:type="dxa"/>
            <w:tcBorders>
              <w:left w:val="nil"/>
            </w:tcBorders>
            <w:vAlign w:val="top"/>
          </w:tcPr>
          <w:p w14:paraId="4D85770A">
            <w:pPr>
              <w:pStyle w:val="6"/>
              <w:spacing w:before="64" w:line="217" w:lineRule="auto"/>
              <w:ind w:left="797"/>
              <w:rPr>
                <w:sz w:val="20"/>
                <w:szCs w:val="20"/>
              </w:rPr>
            </w:pPr>
            <w:r>
              <w:rPr>
                <w:spacing w:val="8"/>
                <w:sz w:val="20"/>
                <w:szCs w:val="20"/>
              </w:rPr>
              <w:t>年平均水汽压</w:t>
            </w:r>
          </w:p>
        </w:tc>
        <w:tc>
          <w:tcPr>
            <w:tcW w:w="1694" w:type="dxa"/>
            <w:vAlign w:val="top"/>
          </w:tcPr>
          <w:p w14:paraId="5CEDDE38">
            <w:pPr>
              <w:spacing w:before="96" w:line="199" w:lineRule="auto"/>
              <w:ind w:left="56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2"/>
                <w:sz w:val="20"/>
                <w:szCs w:val="20"/>
              </w:rPr>
              <w:t>1hPa</w:t>
            </w:r>
          </w:p>
        </w:tc>
        <w:tc>
          <w:tcPr>
            <w:tcW w:w="2636" w:type="dxa"/>
            <w:vAlign w:val="top"/>
          </w:tcPr>
          <w:p w14:paraId="7D425A74">
            <w:pPr>
              <w:pStyle w:val="6"/>
              <w:spacing w:before="64" w:line="217" w:lineRule="auto"/>
              <w:ind w:left="801"/>
              <w:rPr>
                <w:sz w:val="20"/>
                <w:szCs w:val="20"/>
              </w:rPr>
            </w:pPr>
            <w:r>
              <w:rPr>
                <w:spacing w:val="7"/>
                <w:sz w:val="20"/>
                <w:szCs w:val="20"/>
              </w:rPr>
              <w:t>年沙暴日数</w:t>
            </w:r>
          </w:p>
        </w:tc>
        <w:tc>
          <w:tcPr>
            <w:tcW w:w="1896" w:type="dxa"/>
            <w:tcBorders>
              <w:right w:val="nil"/>
            </w:tcBorders>
            <w:vAlign w:val="top"/>
          </w:tcPr>
          <w:p w14:paraId="5CEF26D3">
            <w:pPr>
              <w:pStyle w:val="6"/>
              <w:spacing w:before="64" w:line="217" w:lineRule="auto"/>
              <w:ind w:left="770"/>
              <w:rPr>
                <w:sz w:val="20"/>
                <w:szCs w:val="20"/>
              </w:rPr>
            </w:pPr>
            <w:r>
              <w:rPr>
                <w:rFonts w:ascii="Times New Roman" w:hAnsi="Times New Roman" w:eastAsia="Times New Roman" w:cs="Times New Roman"/>
                <w:spacing w:val="-2"/>
                <w:sz w:val="20"/>
                <w:szCs w:val="20"/>
              </w:rPr>
              <w:t>7</w:t>
            </w:r>
            <w:r>
              <w:rPr>
                <w:rFonts w:ascii="Times New Roman" w:hAnsi="Times New Roman" w:eastAsia="Times New Roman" w:cs="Times New Roman"/>
                <w:spacing w:val="16"/>
                <w:sz w:val="20"/>
                <w:szCs w:val="20"/>
              </w:rPr>
              <w:t xml:space="preserve"> </w:t>
            </w:r>
            <w:r>
              <w:rPr>
                <w:spacing w:val="-2"/>
                <w:sz w:val="20"/>
                <w:szCs w:val="20"/>
              </w:rPr>
              <w:t>天</w:t>
            </w:r>
          </w:p>
        </w:tc>
      </w:tr>
      <w:tr w14:paraId="3898BB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2841" w:type="dxa"/>
            <w:tcBorders>
              <w:left w:val="nil"/>
            </w:tcBorders>
            <w:vAlign w:val="top"/>
          </w:tcPr>
          <w:p w14:paraId="0CB92194">
            <w:pPr>
              <w:pStyle w:val="6"/>
              <w:spacing w:before="67" w:line="214" w:lineRule="auto"/>
              <w:ind w:left="797"/>
              <w:rPr>
                <w:sz w:val="20"/>
                <w:szCs w:val="20"/>
              </w:rPr>
            </w:pPr>
            <w:r>
              <w:rPr>
                <w:spacing w:val="8"/>
                <w:sz w:val="20"/>
                <w:szCs w:val="20"/>
              </w:rPr>
              <w:t>年平均蒸发量</w:t>
            </w:r>
          </w:p>
        </w:tc>
        <w:tc>
          <w:tcPr>
            <w:tcW w:w="1694" w:type="dxa"/>
            <w:vAlign w:val="top"/>
          </w:tcPr>
          <w:p w14:paraId="489EC59C">
            <w:pPr>
              <w:spacing w:before="102" w:line="195" w:lineRule="auto"/>
              <w:ind w:left="397"/>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2494.4</w:t>
            </w:r>
            <w:r>
              <w:rPr>
                <w:rFonts w:ascii="Times New Roman" w:hAnsi="Times New Roman" w:eastAsia="Times New Roman" w:cs="Times New Roman"/>
                <w:sz w:val="20"/>
                <w:szCs w:val="20"/>
              </w:rPr>
              <w:t>mm</w:t>
            </w:r>
          </w:p>
        </w:tc>
        <w:tc>
          <w:tcPr>
            <w:tcW w:w="2636" w:type="dxa"/>
            <w:vAlign w:val="top"/>
          </w:tcPr>
          <w:p w14:paraId="384E7952">
            <w:pPr>
              <w:pStyle w:val="6"/>
              <w:spacing w:before="67" w:line="214" w:lineRule="auto"/>
              <w:ind w:left="801"/>
              <w:rPr>
                <w:sz w:val="20"/>
                <w:szCs w:val="20"/>
              </w:rPr>
            </w:pPr>
            <w:r>
              <w:rPr>
                <w:spacing w:val="7"/>
                <w:sz w:val="20"/>
                <w:szCs w:val="20"/>
              </w:rPr>
              <w:t>年雷暴日数</w:t>
            </w:r>
          </w:p>
        </w:tc>
        <w:tc>
          <w:tcPr>
            <w:tcW w:w="1896" w:type="dxa"/>
            <w:tcBorders>
              <w:right w:val="nil"/>
            </w:tcBorders>
            <w:vAlign w:val="top"/>
          </w:tcPr>
          <w:p w14:paraId="6E5C3FBD">
            <w:pPr>
              <w:pStyle w:val="6"/>
              <w:spacing w:before="67" w:line="214" w:lineRule="auto"/>
              <w:ind w:left="637"/>
              <w:rPr>
                <w:sz w:val="20"/>
                <w:szCs w:val="20"/>
              </w:rPr>
            </w:pPr>
            <w:r>
              <w:rPr>
                <w:rFonts w:ascii="Times New Roman" w:hAnsi="Times New Roman" w:eastAsia="Times New Roman" w:cs="Times New Roman"/>
                <w:spacing w:val="2"/>
                <w:sz w:val="20"/>
                <w:szCs w:val="20"/>
              </w:rPr>
              <w:t>20.6</w:t>
            </w:r>
            <w:r>
              <w:rPr>
                <w:rFonts w:ascii="Times New Roman" w:hAnsi="Times New Roman" w:eastAsia="Times New Roman" w:cs="Times New Roman"/>
                <w:spacing w:val="16"/>
                <w:w w:val="101"/>
                <w:sz w:val="20"/>
                <w:szCs w:val="20"/>
              </w:rPr>
              <w:t xml:space="preserve"> </w:t>
            </w:r>
            <w:r>
              <w:rPr>
                <w:spacing w:val="2"/>
                <w:sz w:val="20"/>
                <w:szCs w:val="20"/>
              </w:rPr>
              <w:t>天</w:t>
            </w:r>
          </w:p>
        </w:tc>
      </w:tr>
      <w:tr w14:paraId="324C76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2841" w:type="dxa"/>
            <w:tcBorders>
              <w:left w:val="nil"/>
            </w:tcBorders>
            <w:vAlign w:val="top"/>
          </w:tcPr>
          <w:p w14:paraId="2A6F23F9">
            <w:pPr>
              <w:pStyle w:val="6"/>
              <w:spacing w:before="69" w:line="213" w:lineRule="auto"/>
              <w:ind w:left="903"/>
              <w:rPr>
                <w:sz w:val="20"/>
                <w:szCs w:val="20"/>
              </w:rPr>
            </w:pPr>
            <w:r>
              <w:rPr>
                <w:spacing w:val="7"/>
                <w:sz w:val="20"/>
                <w:szCs w:val="20"/>
              </w:rPr>
              <w:t>年平均风速</w:t>
            </w:r>
          </w:p>
        </w:tc>
        <w:tc>
          <w:tcPr>
            <w:tcW w:w="1694" w:type="dxa"/>
            <w:vAlign w:val="top"/>
          </w:tcPr>
          <w:p w14:paraId="42A9908F">
            <w:pPr>
              <w:spacing w:before="101" w:line="199" w:lineRule="auto"/>
              <w:ind w:left="5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3.9m/s</w:t>
            </w:r>
          </w:p>
        </w:tc>
        <w:tc>
          <w:tcPr>
            <w:tcW w:w="2636" w:type="dxa"/>
            <w:vAlign w:val="top"/>
          </w:tcPr>
          <w:p w14:paraId="5B0D1A97">
            <w:pPr>
              <w:pStyle w:val="6"/>
              <w:spacing w:before="69" w:line="213" w:lineRule="auto"/>
              <w:ind w:left="801"/>
              <w:rPr>
                <w:sz w:val="20"/>
                <w:szCs w:val="20"/>
              </w:rPr>
            </w:pPr>
            <w:r>
              <w:rPr>
                <w:spacing w:val="7"/>
                <w:sz w:val="20"/>
                <w:szCs w:val="20"/>
              </w:rPr>
              <w:t>年冰雹日数</w:t>
            </w:r>
          </w:p>
        </w:tc>
        <w:tc>
          <w:tcPr>
            <w:tcW w:w="1896" w:type="dxa"/>
            <w:tcBorders>
              <w:right w:val="nil"/>
            </w:tcBorders>
            <w:vAlign w:val="top"/>
          </w:tcPr>
          <w:p w14:paraId="03CE42E9">
            <w:pPr>
              <w:pStyle w:val="6"/>
              <w:spacing w:before="69" w:line="213" w:lineRule="auto"/>
              <w:ind w:left="707"/>
              <w:rPr>
                <w:sz w:val="20"/>
                <w:szCs w:val="20"/>
              </w:rPr>
            </w:pPr>
            <w:r>
              <w:rPr>
                <w:rFonts w:ascii="Times New Roman" w:hAnsi="Times New Roman" w:eastAsia="Times New Roman" w:cs="Times New Roman"/>
                <w:spacing w:val="-10"/>
                <w:sz w:val="20"/>
                <w:szCs w:val="20"/>
              </w:rPr>
              <w:t>1.</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10"/>
                <w:sz w:val="20"/>
                <w:szCs w:val="20"/>
              </w:rPr>
              <w:t>1</w:t>
            </w:r>
            <w:r>
              <w:rPr>
                <w:rFonts w:ascii="Times New Roman" w:hAnsi="Times New Roman" w:eastAsia="Times New Roman" w:cs="Times New Roman"/>
                <w:spacing w:val="16"/>
                <w:w w:val="101"/>
                <w:sz w:val="20"/>
                <w:szCs w:val="20"/>
              </w:rPr>
              <w:t xml:space="preserve"> </w:t>
            </w:r>
            <w:r>
              <w:rPr>
                <w:spacing w:val="-10"/>
                <w:sz w:val="20"/>
                <w:szCs w:val="20"/>
              </w:rPr>
              <w:t>天</w:t>
            </w:r>
          </w:p>
        </w:tc>
      </w:tr>
      <w:tr w14:paraId="2D5F6F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2841" w:type="dxa"/>
            <w:tcBorders>
              <w:left w:val="nil"/>
              <w:bottom w:val="single" w:color="000000" w:sz="10" w:space="0"/>
            </w:tcBorders>
            <w:vAlign w:val="top"/>
          </w:tcPr>
          <w:p w14:paraId="3EA4A3D7">
            <w:pPr>
              <w:pStyle w:val="6"/>
              <w:spacing w:before="70" w:line="228" w:lineRule="auto"/>
              <w:ind w:left="903"/>
              <w:rPr>
                <w:sz w:val="20"/>
                <w:szCs w:val="20"/>
              </w:rPr>
            </w:pPr>
            <w:r>
              <w:rPr>
                <w:spacing w:val="7"/>
                <w:sz w:val="20"/>
                <w:szCs w:val="20"/>
              </w:rPr>
              <w:t>年日照时数</w:t>
            </w:r>
          </w:p>
        </w:tc>
        <w:tc>
          <w:tcPr>
            <w:tcW w:w="1694" w:type="dxa"/>
            <w:tcBorders>
              <w:bottom w:val="single" w:color="000000" w:sz="10" w:space="0"/>
            </w:tcBorders>
            <w:vAlign w:val="top"/>
          </w:tcPr>
          <w:p w14:paraId="7C42B8D3">
            <w:pPr>
              <w:spacing w:before="103" w:line="199" w:lineRule="auto"/>
              <w:ind w:left="51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3153.4h</w:t>
            </w:r>
          </w:p>
        </w:tc>
        <w:tc>
          <w:tcPr>
            <w:tcW w:w="2636" w:type="dxa"/>
            <w:tcBorders>
              <w:bottom w:val="single" w:color="000000" w:sz="10" w:space="0"/>
            </w:tcBorders>
            <w:vAlign w:val="top"/>
          </w:tcPr>
          <w:p w14:paraId="2BB499E8">
            <w:pPr>
              <w:spacing w:before="103" w:line="199" w:lineRule="auto"/>
              <w:ind w:left="128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896" w:type="dxa"/>
            <w:tcBorders>
              <w:bottom w:val="single" w:color="000000" w:sz="10" w:space="0"/>
              <w:right w:val="nil"/>
            </w:tcBorders>
            <w:vAlign w:val="top"/>
          </w:tcPr>
          <w:p w14:paraId="41138E90">
            <w:pPr>
              <w:spacing w:before="103" w:line="199" w:lineRule="auto"/>
              <w:ind w:left="9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bl>
    <w:p w14:paraId="77AA6BC7">
      <w:pPr>
        <w:spacing w:before="115"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）地面气温的变化特征</w:t>
      </w:r>
    </w:p>
    <w:p w14:paraId="56CB4F47">
      <w:pPr>
        <w:spacing w:before="185" w:line="345" w:lineRule="auto"/>
        <w:ind w:left="4" w:firstLine="483"/>
        <w:jc w:val="both"/>
        <w:rPr>
          <w:rFonts w:ascii="宋体" w:hAnsi="宋体" w:eastAsia="宋体" w:cs="宋体"/>
          <w:sz w:val="24"/>
          <w:szCs w:val="24"/>
        </w:rPr>
      </w:pPr>
      <w:r>
        <w:rPr>
          <w:rFonts w:ascii="宋体" w:hAnsi="宋体" w:eastAsia="宋体" w:cs="宋体"/>
          <w:spacing w:val="-1"/>
          <w:sz w:val="24"/>
          <w:szCs w:val="24"/>
        </w:rPr>
        <w:t>表</w:t>
      </w:r>
      <w:r>
        <w:rPr>
          <w:rFonts w:ascii="宋体" w:hAnsi="宋体" w:eastAsia="宋体" w:cs="宋体"/>
          <w:spacing w:val="-40"/>
          <w:sz w:val="24"/>
          <w:szCs w:val="24"/>
        </w:rPr>
        <w:t xml:space="preserve"> </w:t>
      </w:r>
      <w:r>
        <w:rPr>
          <w:rFonts w:ascii="Times New Roman" w:hAnsi="Times New Roman" w:eastAsia="Times New Roman" w:cs="Times New Roman"/>
          <w:spacing w:val="-1"/>
          <w:sz w:val="24"/>
          <w:szCs w:val="24"/>
        </w:rPr>
        <w:t>4.</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1"/>
          <w:sz w:val="24"/>
          <w:szCs w:val="24"/>
        </w:rPr>
        <w:t xml:space="preserve">1-2 </w:t>
      </w:r>
      <w:r>
        <w:rPr>
          <w:rFonts w:ascii="宋体" w:hAnsi="宋体" w:eastAsia="宋体" w:cs="宋体"/>
          <w:spacing w:val="-1"/>
          <w:sz w:val="24"/>
          <w:szCs w:val="24"/>
        </w:rPr>
        <w:t>为苏尼特右旗气象局近</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 xml:space="preserve">30 </w:t>
      </w:r>
      <w:r>
        <w:rPr>
          <w:rFonts w:ascii="宋体" w:hAnsi="宋体" w:eastAsia="宋体" w:cs="宋体"/>
          <w:spacing w:val="-1"/>
          <w:sz w:val="24"/>
          <w:szCs w:val="24"/>
        </w:rPr>
        <w:t>年各月平均气温的统计值，图</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 xml:space="preserve">4.1-1 </w:t>
      </w:r>
      <w:r>
        <w:rPr>
          <w:rFonts w:ascii="宋体" w:hAnsi="宋体" w:eastAsia="宋体" w:cs="宋体"/>
          <w:spacing w:val="-1"/>
          <w:sz w:val="24"/>
          <w:szCs w:val="24"/>
        </w:rPr>
        <w:t>为苏尼特右</w:t>
      </w:r>
      <w:r>
        <w:rPr>
          <w:rFonts w:ascii="宋体" w:hAnsi="宋体" w:eastAsia="宋体" w:cs="宋体"/>
          <w:sz w:val="24"/>
          <w:szCs w:val="24"/>
        </w:rPr>
        <w:t xml:space="preserve"> </w:t>
      </w:r>
      <w:r>
        <w:rPr>
          <w:rFonts w:ascii="宋体" w:hAnsi="宋体" w:eastAsia="宋体" w:cs="宋体"/>
          <w:spacing w:val="-2"/>
          <w:sz w:val="24"/>
          <w:szCs w:val="24"/>
        </w:rPr>
        <w:t>旗近</w:t>
      </w:r>
      <w:r>
        <w:rPr>
          <w:rFonts w:ascii="宋体" w:hAnsi="宋体" w:eastAsia="宋体" w:cs="宋体"/>
          <w:spacing w:val="-42"/>
          <w:sz w:val="24"/>
          <w:szCs w:val="24"/>
        </w:rPr>
        <w:t xml:space="preserve"> </w:t>
      </w:r>
      <w:r>
        <w:rPr>
          <w:rFonts w:ascii="Times New Roman" w:hAnsi="Times New Roman" w:eastAsia="Times New Roman" w:cs="Times New Roman"/>
          <w:spacing w:val="-2"/>
          <w:sz w:val="24"/>
          <w:szCs w:val="24"/>
        </w:rPr>
        <w:t xml:space="preserve">30 </w:t>
      </w:r>
      <w:r>
        <w:rPr>
          <w:rFonts w:ascii="宋体" w:hAnsi="宋体" w:eastAsia="宋体" w:cs="宋体"/>
          <w:spacing w:val="-2"/>
          <w:sz w:val="24"/>
          <w:szCs w:val="24"/>
        </w:rPr>
        <w:t>年逐月平均气温变化曲线，由图、表可知，苏尼特右旗近</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 xml:space="preserve">30 </w:t>
      </w:r>
      <w:r>
        <w:rPr>
          <w:rFonts w:ascii="宋体" w:hAnsi="宋体" w:eastAsia="宋体" w:cs="宋体"/>
          <w:spacing w:val="-2"/>
          <w:sz w:val="24"/>
          <w:szCs w:val="24"/>
        </w:rPr>
        <w:t>年的年平均气温为</w:t>
      </w:r>
      <w:r>
        <w:rPr>
          <w:rFonts w:ascii="宋体" w:hAnsi="宋体" w:eastAsia="宋体" w:cs="宋体"/>
          <w:sz w:val="24"/>
          <w:szCs w:val="24"/>
        </w:rPr>
        <w:t xml:space="preserve"> </w:t>
      </w:r>
      <w:r>
        <w:rPr>
          <w:rFonts w:ascii="Times New Roman" w:hAnsi="Times New Roman" w:eastAsia="Times New Roman" w:cs="Times New Roman"/>
          <w:spacing w:val="-2"/>
          <w:sz w:val="24"/>
          <w:szCs w:val="24"/>
        </w:rPr>
        <w:t>5.5℃</w:t>
      </w:r>
      <w:r>
        <w:rPr>
          <w:rFonts w:ascii="Times New Roman" w:hAnsi="Times New Roman" w:eastAsia="Times New Roman" w:cs="Times New Roman"/>
          <w:spacing w:val="-26"/>
          <w:sz w:val="24"/>
          <w:szCs w:val="24"/>
        </w:rPr>
        <w:t xml:space="preserve"> </w:t>
      </w:r>
      <w:r>
        <w:rPr>
          <w:rFonts w:ascii="宋体" w:hAnsi="宋体" w:eastAsia="宋体" w:cs="宋体"/>
          <w:spacing w:val="-2"/>
          <w:sz w:val="24"/>
          <w:szCs w:val="24"/>
        </w:rPr>
        <w:t>,</w:t>
      </w:r>
      <w:r>
        <w:rPr>
          <w:rFonts w:ascii="宋体" w:hAnsi="宋体" w:eastAsia="宋体" w:cs="宋体"/>
          <w:spacing w:val="65"/>
          <w:sz w:val="24"/>
          <w:szCs w:val="24"/>
        </w:rPr>
        <w:t xml:space="preserve"> </w:t>
      </w:r>
      <w:r>
        <w:rPr>
          <w:rFonts w:ascii="宋体" w:hAnsi="宋体" w:eastAsia="宋体" w:cs="宋体"/>
          <w:spacing w:val="-2"/>
          <w:sz w:val="24"/>
          <w:szCs w:val="24"/>
        </w:rPr>
        <w:t>全年最冷月为一月份，平均气温为</w:t>
      </w:r>
      <w:r>
        <w:rPr>
          <w:rFonts w:ascii="Times New Roman" w:hAnsi="Times New Roman" w:eastAsia="Times New Roman" w:cs="Times New Roman"/>
          <w:spacing w:val="-3"/>
          <w:sz w:val="24"/>
          <w:szCs w:val="24"/>
        </w:rPr>
        <w:t>-14.7℃</w:t>
      </w:r>
      <w:r>
        <w:rPr>
          <w:rFonts w:ascii="Times New Roman" w:hAnsi="Times New Roman" w:eastAsia="Times New Roman" w:cs="Times New Roman"/>
          <w:spacing w:val="-27"/>
          <w:sz w:val="24"/>
          <w:szCs w:val="24"/>
        </w:rPr>
        <w:t xml:space="preserve"> </w:t>
      </w:r>
      <w:r>
        <w:rPr>
          <w:rFonts w:ascii="宋体" w:hAnsi="宋体" w:eastAsia="宋体" w:cs="宋体"/>
          <w:spacing w:val="-3"/>
          <w:sz w:val="24"/>
          <w:szCs w:val="24"/>
        </w:rPr>
        <w:t>,</w:t>
      </w:r>
      <w:r>
        <w:rPr>
          <w:rFonts w:ascii="宋体" w:hAnsi="宋体" w:eastAsia="宋体" w:cs="宋体"/>
          <w:spacing w:val="68"/>
          <w:sz w:val="24"/>
          <w:szCs w:val="24"/>
        </w:rPr>
        <w:t xml:space="preserve"> </w:t>
      </w:r>
      <w:r>
        <w:rPr>
          <w:rFonts w:ascii="宋体" w:hAnsi="宋体" w:eastAsia="宋体" w:cs="宋体"/>
          <w:spacing w:val="-3"/>
          <w:sz w:val="24"/>
          <w:szCs w:val="24"/>
        </w:rPr>
        <w:t>最热月出现在七月份，平均气温为</w:t>
      </w:r>
      <w:r>
        <w:rPr>
          <w:rFonts w:ascii="宋体" w:hAnsi="宋体" w:eastAsia="宋体" w:cs="宋体"/>
          <w:sz w:val="24"/>
          <w:szCs w:val="24"/>
        </w:rPr>
        <w:t xml:space="preserve"> </w:t>
      </w:r>
      <w:r>
        <w:rPr>
          <w:rFonts w:ascii="Times New Roman" w:hAnsi="Times New Roman" w:eastAsia="Times New Roman" w:cs="Times New Roman"/>
          <w:spacing w:val="-1"/>
          <w:sz w:val="24"/>
          <w:szCs w:val="24"/>
        </w:rPr>
        <w:t>23.5℃</w:t>
      </w:r>
      <w:r>
        <w:rPr>
          <w:rFonts w:ascii="宋体" w:hAnsi="宋体" w:eastAsia="宋体" w:cs="宋体"/>
          <w:spacing w:val="-1"/>
          <w:sz w:val="24"/>
          <w:szCs w:val="24"/>
        </w:rPr>
        <w:t>。</w:t>
      </w:r>
    </w:p>
    <w:p w14:paraId="75A5FC43">
      <w:pPr>
        <w:spacing w:before="90" w:line="228" w:lineRule="auto"/>
        <w:ind w:left="2034"/>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5"/>
          <w:sz w:val="20"/>
          <w:szCs w:val="20"/>
        </w:rPr>
        <w:t xml:space="preserve"> </w:t>
      </w:r>
      <w:r>
        <w:rPr>
          <w:rFonts w:ascii="Times New Roman" w:hAnsi="Times New Roman" w:eastAsia="Times New Roman" w:cs="Times New Roman"/>
          <w:b/>
          <w:bCs/>
          <w:spacing w:val="5"/>
          <w:sz w:val="20"/>
          <w:szCs w:val="20"/>
        </w:rPr>
        <w:t xml:space="preserve">4.1-2        </w:t>
      </w:r>
      <w:r>
        <w:rPr>
          <w:rFonts w:ascii="宋体" w:hAnsi="宋体" w:eastAsia="宋体" w:cs="宋体"/>
          <w:b/>
          <w:bCs/>
          <w:spacing w:val="5"/>
          <w:sz w:val="20"/>
          <w:szCs w:val="20"/>
        </w:rPr>
        <w:t>苏尼特右旗近</w:t>
      </w:r>
      <w:r>
        <w:rPr>
          <w:rFonts w:ascii="宋体" w:hAnsi="宋体" w:eastAsia="宋体" w:cs="宋体"/>
          <w:spacing w:val="-42"/>
          <w:sz w:val="20"/>
          <w:szCs w:val="20"/>
        </w:rPr>
        <w:t xml:space="preserve"> </w:t>
      </w:r>
      <w:r>
        <w:rPr>
          <w:rFonts w:ascii="Times New Roman" w:hAnsi="Times New Roman" w:eastAsia="Times New Roman" w:cs="Times New Roman"/>
          <w:b/>
          <w:bCs/>
          <w:spacing w:val="5"/>
          <w:sz w:val="20"/>
          <w:szCs w:val="20"/>
        </w:rPr>
        <w:t xml:space="preserve">30 </w:t>
      </w:r>
      <w:r>
        <w:rPr>
          <w:rFonts w:ascii="宋体" w:hAnsi="宋体" w:eastAsia="宋体" w:cs="宋体"/>
          <w:b/>
          <w:bCs/>
          <w:spacing w:val="5"/>
          <w:sz w:val="20"/>
          <w:szCs w:val="20"/>
        </w:rPr>
        <w:t>年各月、年平均气温数值</w:t>
      </w:r>
    </w:p>
    <w:p w14:paraId="76AED0BE">
      <w:pPr>
        <w:spacing w:line="93" w:lineRule="exact"/>
      </w:pPr>
    </w:p>
    <w:tbl>
      <w:tblPr>
        <w:tblStyle w:val="5"/>
        <w:tblW w:w="9060" w:type="dxa"/>
        <w:tblInd w:w="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74"/>
        <w:gridCol w:w="615"/>
        <w:gridCol w:w="615"/>
        <w:gridCol w:w="539"/>
        <w:gridCol w:w="539"/>
        <w:gridCol w:w="654"/>
        <w:gridCol w:w="654"/>
        <w:gridCol w:w="654"/>
        <w:gridCol w:w="654"/>
        <w:gridCol w:w="654"/>
        <w:gridCol w:w="644"/>
        <w:gridCol w:w="634"/>
        <w:gridCol w:w="645"/>
        <w:gridCol w:w="585"/>
      </w:tblGrid>
      <w:tr w14:paraId="0FA0CE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974" w:type="dxa"/>
            <w:tcBorders>
              <w:top w:val="single" w:color="000000" w:sz="10" w:space="0"/>
              <w:left w:val="nil"/>
            </w:tcBorders>
            <w:vAlign w:val="top"/>
          </w:tcPr>
          <w:p w14:paraId="19216CD2">
            <w:pPr>
              <w:pStyle w:val="6"/>
              <w:spacing w:before="55" w:line="225" w:lineRule="auto"/>
              <w:ind w:left="347"/>
              <w:rPr>
                <w:sz w:val="20"/>
                <w:szCs w:val="20"/>
              </w:rPr>
            </w:pPr>
            <w:r>
              <w:rPr>
                <w:spacing w:val="2"/>
                <w:sz w:val="20"/>
                <w:szCs w:val="20"/>
              </w:rPr>
              <w:t>月份</w:t>
            </w:r>
          </w:p>
        </w:tc>
        <w:tc>
          <w:tcPr>
            <w:tcW w:w="615" w:type="dxa"/>
            <w:tcBorders>
              <w:top w:val="single" w:color="000000" w:sz="10" w:space="0"/>
            </w:tcBorders>
            <w:vAlign w:val="top"/>
          </w:tcPr>
          <w:p w14:paraId="459E8D94">
            <w:pPr>
              <w:pStyle w:val="6"/>
              <w:spacing w:before="55" w:line="225" w:lineRule="auto"/>
              <w:ind w:left="205"/>
              <w:rPr>
                <w:sz w:val="20"/>
                <w:szCs w:val="20"/>
              </w:rPr>
            </w:pPr>
            <w:r>
              <w:rPr>
                <w:rFonts w:ascii="Times New Roman" w:hAnsi="Times New Roman" w:eastAsia="Times New Roman" w:cs="Times New Roman"/>
                <w:spacing w:val="-10"/>
                <w:sz w:val="20"/>
                <w:szCs w:val="20"/>
              </w:rPr>
              <w:t>1</w:t>
            </w:r>
            <w:r>
              <w:rPr>
                <w:rFonts w:ascii="Times New Roman" w:hAnsi="Times New Roman" w:eastAsia="Times New Roman" w:cs="Times New Roman"/>
                <w:spacing w:val="14"/>
                <w:w w:val="101"/>
                <w:sz w:val="20"/>
                <w:szCs w:val="20"/>
              </w:rPr>
              <w:t xml:space="preserve"> </w:t>
            </w:r>
            <w:r>
              <w:rPr>
                <w:spacing w:val="-10"/>
                <w:sz w:val="20"/>
                <w:szCs w:val="20"/>
              </w:rPr>
              <w:t>月</w:t>
            </w:r>
          </w:p>
        </w:tc>
        <w:tc>
          <w:tcPr>
            <w:tcW w:w="615" w:type="dxa"/>
            <w:tcBorders>
              <w:top w:val="single" w:color="000000" w:sz="10" w:space="0"/>
            </w:tcBorders>
            <w:vAlign w:val="top"/>
          </w:tcPr>
          <w:p w14:paraId="56994516">
            <w:pPr>
              <w:pStyle w:val="6"/>
              <w:spacing w:before="55" w:line="225" w:lineRule="auto"/>
              <w:ind w:left="185"/>
              <w:rPr>
                <w:sz w:val="20"/>
                <w:szCs w:val="20"/>
              </w:rPr>
            </w:pPr>
            <w:r>
              <w:rPr>
                <w:rFonts w:ascii="Times New Roman" w:hAnsi="Times New Roman" w:eastAsia="Times New Roman" w:cs="Times New Roman"/>
                <w:sz w:val="20"/>
                <w:szCs w:val="20"/>
              </w:rPr>
              <w:t>2</w:t>
            </w:r>
            <w:r>
              <w:rPr>
                <w:rFonts w:ascii="Times New Roman" w:hAnsi="Times New Roman" w:eastAsia="Times New Roman" w:cs="Times New Roman"/>
                <w:spacing w:val="14"/>
                <w:w w:val="101"/>
                <w:sz w:val="20"/>
                <w:szCs w:val="20"/>
              </w:rPr>
              <w:t xml:space="preserve"> </w:t>
            </w:r>
            <w:r>
              <w:rPr>
                <w:sz w:val="20"/>
                <w:szCs w:val="20"/>
              </w:rPr>
              <w:t>月</w:t>
            </w:r>
          </w:p>
        </w:tc>
        <w:tc>
          <w:tcPr>
            <w:tcW w:w="539" w:type="dxa"/>
            <w:tcBorders>
              <w:top w:val="single" w:color="000000" w:sz="10" w:space="0"/>
            </w:tcBorders>
            <w:vAlign w:val="top"/>
          </w:tcPr>
          <w:p w14:paraId="79DF4351">
            <w:pPr>
              <w:pStyle w:val="6"/>
              <w:spacing w:before="55" w:line="225" w:lineRule="auto"/>
              <w:ind w:right="20"/>
              <w:jc w:val="right"/>
              <w:rPr>
                <w:sz w:val="20"/>
                <w:szCs w:val="20"/>
              </w:rPr>
            </w:pPr>
            <w:r>
              <w:rPr>
                <w:rFonts w:ascii="Times New Roman" w:hAnsi="Times New Roman" w:eastAsia="Times New Roman" w:cs="Times New Roman"/>
                <w:spacing w:val="-3"/>
                <w:sz w:val="20"/>
                <w:szCs w:val="20"/>
              </w:rPr>
              <w:t>3</w:t>
            </w:r>
            <w:r>
              <w:rPr>
                <w:rFonts w:ascii="Times New Roman" w:hAnsi="Times New Roman" w:eastAsia="Times New Roman" w:cs="Times New Roman"/>
                <w:spacing w:val="17"/>
                <w:w w:val="101"/>
                <w:sz w:val="20"/>
                <w:szCs w:val="20"/>
              </w:rPr>
              <w:t xml:space="preserve"> </w:t>
            </w:r>
            <w:r>
              <w:rPr>
                <w:spacing w:val="-3"/>
                <w:sz w:val="20"/>
                <w:szCs w:val="20"/>
              </w:rPr>
              <w:t>月</w:t>
            </w:r>
          </w:p>
        </w:tc>
        <w:tc>
          <w:tcPr>
            <w:tcW w:w="539" w:type="dxa"/>
            <w:tcBorders>
              <w:top w:val="single" w:color="000000" w:sz="10" w:space="0"/>
            </w:tcBorders>
            <w:vAlign w:val="top"/>
          </w:tcPr>
          <w:p w14:paraId="62F862FC">
            <w:pPr>
              <w:pStyle w:val="6"/>
              <w:spacing w:before="55" w:line="225" w:lineRule="auto"/>
              <w:ind w:right="21"/>
              <w:jc w:val="right"/>
              <w:rPr>
                <w:sz w:val="20"/>
                <w:szCs w:val="20"/>
              </w:rPr>
            </w:pPr>
            <w:r>
              <w:rPr>
                <w:rFonts w:ascii="Times New Roman" w:hAnsi="Times New Roman" w:eastAsia="Times New Roman" w:cs="Times New Roman"/>
                <w:sz w:val="20"/>
                <w:szCs w:val="20"/>
              </w:rPr>
              <w:t>4</w:t>
            </w:r>
            <w:r>
              <w:rPr>
                <w:rFonts w:ascii="Times New Roman" w:hAnsi="Times New Roman" w:eastAsia="Times New Roman" w:cs="Times New Roman"/>
                <w:spacing w:val="14"/>
                <w:w w:val="101"/>
                <w:sz w:val="20"/>
                <w:szCs w:val="20"/>
              </w:rPr>
              <w:t xml:space="preserve"> </w:t>
            </w:r>
            <w:r>
              <w:rPr>
                <w:sz w:val="20"/>
                <w:szCs w:val="20"/>
              </w:rPr>
              <w:t>月</w:t>
            </w:r>
          </w:p>
        </w:tc>
        <w:tc>
          <w:tcPr>
            <w:tcW w:w="654" w:type="dxa"/>
            <w:tcBorders>
              <w:top w:val="single" w:color="000000" w:sz="10" w:space="0"/>
            </w:tcBorders>
            <w:vAlign w:val="top"/>
          </w:tcPr>
          <w:p w14:paraId="0B1277AC">
            <w:pPr>
              <w:pStyle w:val="6"/>
              <w:spacing w:before="55" w:line="225" w:lineRule="auto"/>
              <w:ind w:left="211"/>
              <w:rPr>
                <w:sz w:val="20"/>
                <w:szCs w:val="20"/>
              </w:rPr>
            </w:pPr>
            <w:r>
              <w:rPr>
                <w:rFonts w:ascii="Times New Roman" w:hAnsi="Times New Roman" w:eastAsia="Times New Roman" w:cs="Times New Roman"/>
                <w:spacing w:val="-3"/>
                <w:sz w:val="20"/>
                <w:szCs w:val="20"/>
              </w:rPr>
              <w:t>5</w:t>
            </w:r>
            <w:r>
              <w:rPr>
                <w:rFonts w:ascii="Times New Roman" w:hAnsi="Times New Roman" w:eastAsia="Times New Roman" w:cs="Times New Roman"/>
                <w:spacing w:val="14"/>
                <w:w w:val="101"/>
                <w:sz w:val="20"/>
                <w:szCs w:val="20"/>
              </w:rPr>
              <w:t xml:space="preserve"> </w:t>
            </w:r>
            <w:r>
              <w:rPr>
                <w:spacing w:val="-3"/>
                <w:sz w:val="20"/>
                <w:szCs w:val="20"/>
              </w:rPr>
              <w:t>月</w:t>
            </w:r>
          </w:p>
        </w:tc>
        <w:tc>
          <w:tcPr>
            <w:tcW w:w="654" w:type="dxa"/>
            <w:tcBorders>
              <w:top w:val="single" w:color="000000" w:sz="10" w:space="0"/>
            </w:tcBorders>
            <w:vAlign w:val="top"/>
          </w:tcPr>
          <w:p w14:paraId="59D60C90">
            <w:pPr>
              <w:pStyle w:val="6"/>
              <w:spacing w:before="55" w:line="225" w:lineRule="auto"/>
              <w:ind w:left="209"/>
              <w:rPr>
                <w:sz w:val="20"/>
                <w:szCs w:val="20"/>
              </w:rPr>
            </w:pPr>
            <w:r>
              <w:rPr>
                <w:rFonts w:ascii="Times New Roman" w:hAnsi="Times New Roman" w:eastAsia="Times New Roman" w:cs="Times New Roman"/>
                <w:spacing w:val="-3"/>
                <w:sz w:val="20"/>
                <w:szCs w:val="20"/>
              </w:rPr>
              <w:t>6</w:t>
            </w:r>
            <w:r>
              <w:rPr>
                <w:rFonts w:ascii="Times New Roman" w:hAnsi="Times New Roman" w:eastAsia="Times New Roman" w:cs="Times New Roman"/>
                <w:spacing w:val="15"/>
                <w:sz w:val="20"/>
                <w:szCs w:val="20"/>
              </w:rPr>
              <w:t xml:space="preserve"> </w:t>
            </w:r>
            <w:r>
              <w:rPr>
                <w:spacing w:val="-3"/>
                <w:sz w:val="20"/>
                <w:szCs w:val="20"/>
              </w:rPr>
              <w:t>月</w:t>
            </w:r>
          </w:p>
        </w:tc>
        <w:tc>
          <w:tcPr>
            <w:tcW w:w="654" w:type="dxa"/>
            <w:tcBorders>
              <w:top w:val="single" w:color="000000" w:sz="10" w:space="0"/>
            </w:tcBorders>
            <w:vAlign w:val="top"/>
          </w:tcPr>
          <w:p w14:paraId="747F6ED4">
            <w:pPr>
              <w:pStyle w:val="6"/>
              <w:spacing w:before="55" w:line="225" w:lineRule="auto"/>
              <w:ind w:left="209"/>
              <w:rPr>
                <w:sz w:val="20"/>
                <w:szCs w:val="20"/>
              </w:rPr>
            </w:pPr>
            <w:r>
              <w:rPr>
                <w:rFonts w:ascii="Times New Roman" w:hAnsi="Times New Roman" w:eastAsia="Times New Roman" w:cs="Times New Roman"/>
                <w:spacing w:val="-2"/>
                <w:sz w:val="20"/>
                <w:szCs w:val="20"/>
              </w:rPr>
              <w:t>7</w:t>
            </w:r>
            <w:r>
              <w:rPr>
                <w:rFonts w:ascii="Times New Roman" w:hAnsi="Times New Roman" w:eastAsia="Times New Roman" w:cs="Times New Roman"/>
                <w:spacing w:val="14"/>
                <w:w w:val="101"/>
                <w:sz w:val="20"/>
                <w:szCs w:val="20"/>
              </w:rPr>
              <w:t xml:space="preserve"> </w:t>
            </w:r>
            <w:r>
              <w:rPr>
                <w:spacing w:val="-2"/>
                <w:sz w:val="20"/>
                <w:szCs w:val="20"/>
              </w:rPr>
              <w:t>月</w:t>
            </w:r>
          </w:p>
        </w:tc>
        <w:tc>
          <w:tcPr>
            <w:tcW w:w="654" w:type="dxa"/>
            <w:tcBorders>
              <w:top w:val="single" w:color="000000" w:sz="10" w:space="0"/>
            </w:tcBorders>
            <w:vAlign w:val="top"/>
          </w:tcPr>
          <w:p w14:paraId="38C6DAC9">
            <w:pPr>
              <w:pStyle w:val="6"/>
              <w:spacing w:before="55" w:line="225" w:lineRule="auto"/>
              <w:ind w:left="213"/>
              <w:rPr>
                <w:sz w:val="20"/>
                <w:szCs w:val="20"/>
              </w:rPr>
            </w:pPr>
            <w:r>
              <w:rPr>
                <w:rFonts w:ascii="Times New Roman" w:hAnsi="Times New Roman" w:eastAsia="Times New Roman" w:cs="Times New Roman"/>
                <w:spacing w:val="-5"/>
                <w:sz w:val="20"/>
                <w:szCs w:val="20"/>
              </w:rPr>
              <w:t>8</w:t>
            </w:r>
            <w:r>
              <w:rPr>
                <w:rFonts w:ascii="Times New Roman" w:hAnsi="Times New Roman" w:eastAsia="Times New Roman" w:cs="Times New Roman"/>
                <w:spacing w:val="15"/>
                <w:sz w:val="20"/>
                <w:szCs w:val="20"/>
              </w:rPr>
              <w:t xml:space="preserve"> </w:t>
            </w:r>
            <w:r>
              <w:rPr>
                <w:spacing w:val="-5"/>
                <w:sz w:val="20"/>
                <w:szCs w:val="20"/>
              </w:rPr>
              <w:t>月</w:t>
            </w:r>
          </w:p>
        </w:tc>
        <w:tc>
          <w:tcPr>
            <w:tcW w:w="654" w:type="dxa"/>
            <w:tcBorders>
              <w:top w:val="single" w:color="000000" w:sz="10" w:space="0"/>
            </w:tcBorders>
            <w:vAlign w:val="top"/>
          </w:tcPr>
          <w:p w14:paraId="7211DDDC">
            <w:pPr>
              <w:pStyle w:val="6"/>
              <w:spacing w:before="55" w:line="225" w:lineRule="auto"/>
              <w:ind w:left="209"/>
              <w:rPr>
                <w:sz w:val="20"/>
                <w:szCs w:val="20"/>
              </w:rPr>
            </w:pPr>
            <w:r>
              <w:rPr>
                <w:rFonts w:ascii="Times New Roman" w:hAnsi="Times New Roman" w:eastAsia="Times New Roman" w:cs="Times New Roman"/>
                <w:spacing w:val="-2"/>
                <w:sz w:val="20"/>
                <w:szCs w:val="20"/>
              </w:rPr>
              <w:t>9</w:t>
            </w:r>
            <w:r>
              <w:rPr>
                <w:rFonts w:ascii="Times New Roman" w:hAnsi="Times New Roman" w:eastAsia="Times New Roman" w:cs="Times New Roman"/>
                <w:spacing w:val="14"/>
                <w:w w:val="101"/>
                <w:sz w:val="20"/>
                <w:szCs w:val="20"/>
              </w:rPr>
              <w:t xml:space="preserve"> </w:t>
            </w:r>
            <w:r>
              <w:rPr>
                <w:spacing w:val="-2"/>
                <w:sz w:val="20"/>
                <w:szCs w:val="20"/>
              </w:rPr>
              <w:t>月</w:t>
            </w:r>
          </w:p>
        </w:tc>
        <w:tc>
          <w:tcPr>
            <w:tcW w:w="644" w:type="dxa"/>
            <w:tcBorders>
              <w:top w:val="single" w:color="000000" w:sz="10" w:space="0"/>
            </w:tcBorders>
            <w:vAlign w:val="top"/>
          </w:tcPr>
          <w:p w14:paraId="42379C24">
            <w:pPr>
              <w:pStyle w:val="6"/>
              <w:spacing w:before="55" w:line="225" w:lineRule="auto"/>
              <w:ind w:right="21"/>
              <w:jc w:val="right"/>
              <w:rPr>
                <w:sz w:val="20"/>
                <w:szCs w:val="20"/>
              </w:rPr>
            </w:pPr>
            <w:r>
              <w:rPr>
                <w:rFonts w:ascii="Times New Roman" w:hAnsi="Times New Roman" w:eastAsia="Times New Roman" w:cs="Times New Roman"/>
                <w:spacing w:val="-5"/>
                <w:sz w:val="20"/>
                <w:szCs w:val="20"/>
              </w:rPr>
              <w:t>10</w:t>
            </w:r>
            <w:r>
              <w:rPr>
                <w:rFonts w:ascii="Times New Roman" w:hAnsi="Times New Roman" w:eastAsia="Times New Roman" w:cs="Times New Roman"/>
                <w:spacing w:val="14"/>
                <w:w w:val="101"/>
                <w:sz w:val="20"/>
                <w:szCs w:val="20"/>
              </w:rPr>
              <w:t xml:space="preserve"> </w:t>
            </w:r>
            <w:r>
              <w:rPr>
                <w:spacing w:val="-5"/>
                <w:sz w:val="20"/>
                <w:szCs w:val="20"/>
              </w:rPr>
              <w:t>月</w:t>
            </w:r>
          </w:p>
        </w:tc>
        <w:tc>
          <w:tcPr>
            <w:tcW w:w="634" w:type="dxa"/>
            <w:tcBorders>
              <w:top w:val="single" w:color="000000" w:sz="10" w:space="0"/>
            </w:tcBorders>
            <w:vAlign w:val="top"/>
          </w:tcPr>
          <w:p w14:paraId="372C2341">
            <w:pPr>
              <w:pStyle w:val="6"/>
              <w:spacing w:before="55" w:line="225" w:lineRule="auto"/>
              <w:ind w:right="19"/>
              <w:jc w:val="right"/>
              <w:rPr>
                <w:sz w:val="20"/>
                <w:szCs w:val="20"/>
              </w:rPr>
            </w:pPr>
            <w:r>
              <w:rPr>
                <w:rFonts w:ascii="Times New Roman" w:hAnsi="Times New Roman" w:eastAsia="Times New Roman" w:cs="Times New Roman"/>
                <w:spacing w:val="-7"/>
                <w:sz w:val="20"/>
                <w:szCs w:val="20"/>
              </w:rPr>
              <w:t>11</w:t>
            </w:r>
            <w:r>
              <w:rPr>
                <w:rFonts w:ascii="Times New Roman" w:hAnsi="Times New Roman" w:eastAsia="Times New Roman" w:cs="Times New Roman"/>
                <w:spacing w:val="13"/>
                <w:sz w:val="20"/>
                <w:szCs w:val="20"/>
              </w:rPr>
              <w:t xml:space="preserve"> </w:t>
            </w:r>
            <w:r>
              <w:rPr>
                <w:spacing w:val="-7"/>
                <w:sz w:val="20"/>
                <w:szCs w:val="20"/>
              </w:rPr>
              <w:t>月</w:t>
            </w:r>
          </w:p>
        </w:tc>
        <w:tc>
          <w:tcPr>
            <w:tcW w:w="645" w:type="dxa"/>
            <w:tcBorders>
              <w:top w:val="single" w:color="000000" w:sz="10" w:space="0"/>
            </w:tcBorders>
            <w:vAlign w:val="top"/>
          </w:tcPr>
          <w:p w14:paraId="62D34618">
            <w:pPr>
              <w:pStyle w:val="6"/>
              <w:spacing w:before="55" w:line="225" w:lineRule="auto"/>
              <w:ind w:right="21"/>
              <w:jc w:val="right"/>
              <w:rPr>
                <w:sz w:val="20"/>
                <w:szCs w:val="20"/>
              </w:rPr>
            </w:pPr>
            <w:r>
              <w:rPr>
                <w:rFonts w:ascii="Times New Roman" w:hAnsi="Times New Roman" w:eastAsia="Times New Roman" w:cs="Times New Roman"/>
                <w:spacing w:val="-5"/>
                <w:sz w:val="20"/>
                <w:szCs w:val="20"/>
              </w:rPr>
              <w:t>12</w:t>
            </w:r>
            <w:r>
              <w:rPr>
                <w:rFonts w:ascii="Times New Roman" w:hAnsi="Times New Roman" w:eastAsia="Times New Roman" w:cs="Times New Roman"/>
                <w:spacing w:val="14"/>
                <w:w w:val="101"/>
                <w:sz w:val="20"/>
                <w:szCs w:val="20"/>
              </w:rPr>
              <w:t xml:space="preserve"> </w:t>
            </w:r>
            <w:r>
              <w:rPr>
                <w:spacing w:val="-5"/>
                <w:sz w:val="20"/>
                <w:szCs w:val="20"/>
              </w:rPr>
              <w:t>月</w:t>
            </w:r>
          </w:p>
        </w:tc>
        <w:tc>
          <w:tcPr>
            <w:tcW w:w="585" w:type="dxa"/>
            <w:tcBorders>
              <w:top w:val="single" w:color="000000" w:sz="10" w:space="0"/>
              <w:right w:val="nil"/>
            </w:tcBorders>
            <w:vAlign w:val="top"/>
          </w:tcPr>
          <w:p w14:paraId="74AC488E">
            <w:pPr>
              <w:pStyle w:val="6"/>
              <w:spacing w:before="55" w:line="225" w:lineRule="auto"/>
              <w:ind w:right="20"/>
              <w:jc w:val="right"/>
              <w:rPr>
                <w:sz w:val="20"/>
                <w:szCs w:val="20"/>
              </w:rPr>
            </w:pPr>
            <w:r>
              <w:rPr>
                <w:spacing w:val="4"/>
                <w:sz w:val="20"/>
                <w:szCs w:val="20"/>
              </w:rPr>
              <w:t>全年</w:t>
            </w:r>
          </w:p>
        </w:tc>
      </w:tr>
      <w:tr w14:paraId="589E60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974" w:type="dxa"/>
            <w:tcBorders>
              <w:left w:val="nil"/>
              <w:bottom w:val="single" w:color="000000" w:sz="10" w:space="0"/>
            </w:tcBorders>
            <w:vAlign w:val="top"/>
          </w:tcPr>
          <w:p w14:paraId="206D0DD2">
            <w:pPr>
              <w:pStyle w:val="6"/>
              <w:spacing w:before="65" w:line="221" w:lineRule="auto"/>
              <w:ind w:left="167"/>
              <w:rPr>
                <w:rFonts w:ascii="Times New Roman" w:hAnsi="Times New Roman" w:eastAsia="Times New Roman" w:cs="Times New Roman"/>
                <w:sz w:val="20"/>
                <w:szCs w:val="20"/>
              </w:rPr>
            </w:pPr>
            <w:r>
              <w:rPr>
                <w:spacing w:val="5"/>
                <w:sz w:val="20"/>
                <w:szCs w:val="20"/>
              </w:rPr>
              <w:t>温度</w:t>
            </w:r>
            <w:r>
              <w:rPr>
                <w:rFonts w:ascii="Times New Roman" w:hAnsi="Times New Roman" w:eastAsia="Times New Roman" w:cs="Times New Roman"/>
                <w:spacing w:val="5"/>
                <w:sz w:val="20"/>
                <w:szCs w:val="20"/>
              </w:rPr>
              <w:t>(℃)</w:t>
            </w:r>
          </w:p>
        </w:tc>
        <w:tc>
          <w:tcPr>
            <w:tcW w:w="615" w:type="dxa"/>
            <w:tcBorders>
              <w:bottom w:val="single" w:color="000000" w:sz="10" w:space="0"/>
            </w:tcBorders>
            <w:vAlign w:val="top"/>
          </w:tcPr>
          <w:p w14:paraId="3FA83044">
            <w:pPr>
              <w:spacing w:before="101" w:line="195" w:lineRule="auto"/>
              <w:ind w:left="15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-14.7</w:t>
            </w:r>
          </w:p>
        </w:tc>
        <w:tc>
          <w:tcPr>
            <w:tcW w:w="615" w:type="dxa"/>
            <w:tcBorders>
              <w:bottom w:val="single" w:color="000000" w:sz="10" w:space="0"/>
            </w:tcBorders>
            <w:vAlign w:val="top"/>
          </w:tcPr>
          <w:p w14:paraId="184E17D6">
            <w:pPr>
              <w:spacing w:before="101" w:line="195" w:lineRule="auto"/>
              <w:ind w:left="1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-10.4</w:t>
            </w:r>
          </w:p>
        </w:tc>
        <w:tc>
          <w:tcPr>
            <w:tcW w:w="539" w:type="dxa"/>
            <w:tcBorders>
              <w:bottom w:val="single" w:color="000000" w:sz="10" w:space="0"/>
            </w:tcBorders>
            <w:vAlign w:val="top"/>
          </w:tcPr>
          <w:p w14:paraId="6C3F9BEA">
            <w:pPr>
              <w:spacing w:before="101" w:line="195" w:lineRule="auto"/>
              <w:ind w:left="16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-2.4</w:t>
            </w:r>
          </w:p>
        </w:tc>
        <w:tc>
          <w:tcPr>
            <w:tcW w:w="539" w:type="dxa"/>
            <w:tcBorders>
              <w:bottom w:val="single" w:color="000000" w:sz="10" w:space="0"/>
            </w:tcBorders>
            <w:vAlign w:val="top"/>
          </w:tcPr>
          <w:p w14:paraId="077703A3">
            <w:pPr>
              <w:spacing w:before="101" w:line="195" w:lineRule="auto"/>
              <w:ind w:left="20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7.4</w:t>
            </w:r>
          </w:p>
        </w:tc>
        <w:tc>
          <w:tcPr>
            <w:tcW w:w="654" w:type="dxa"/>
            <w:tcBorders>
              <w:bottom w:val="single" w:color="000000" w:sz="10" w:space="0"/>
            </w:tcBorders>
            <w:vAlign w:val="top"/>
          </w:tcPr>
          <w:p w14:paraId="7E42BCD7">
            <w:pPr>
              <w:spacing w:before="101" w:line="195" w:lineRule="auto"/>
              <w:ind w:left="22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15.2</w:t>
            </w:r>
          </w:p>
        </w:tc>
        <w:tc>
          <w:tcPr>
            <w:tcW w:w="654" w:type="dxa"/>
            <w:tcBorders>
              <w:bottom w:val="single" w:color="000000" w:sz="10" w:space="0"/>
            </w:tcBorders>
            <w:vAlign w:val="top"/>
          </w:tcPr>
          <w:p w14:paraId="411A2B77">
            <w:pPr>
              <w:spacing w:before="101" w:line="195" w:lineRule="auto"/>
              <w:ind w:left="2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20.8</w:t>
            </w:r>
          </w:p>
        </w:tc>
        <w:tc>
          <w:tcPr>
            <w:tcW w:w="654" w:type="dxa"/>
            <w:tcBorders>
              <w:bottom w:val="single" w:color="000000" w:sz="10" w:space="0"/>
            </w:tcBorders>
            <w:vAlign w:val="top"/>
          </w:tcPr>
          <w:p w14:paraId="6E9E5174">
            <w:pPr>
              <w:spacing w:before="101" w:line="195" w:lineRule="auto"/>
              <w:ind w:left="2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23.5</w:t>
            </w:r>
          </w:p>
        </w:tc>
        <w:tc>
          <w:tcPr>
            <w:tcW w:w="654" w:type="dxa"/>
            <w:tcBorders>
              <w:bottom w:val="single" w:color="000000" w:sz="10" w:space="0"/>
            </w:tcBorders>
            <w:vAlign w:val="top"/>
          </w:tcPr>
          <w:p w14:paraId="6C3BDDB1">
            <w:pPr>
              <w:spacing w:before="101" w:line="195" w:lineRule="auto"/>
              <w:ind w:left="2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21.2</w:t>
            </w:r>
          </w:p>
        </w:tc>
        <w:tc>
          <w:tcPr>
            <w:tcW w:w="654" w:type="dxa"/>
            <w:tcBorders>
              <w:bottom w:val="single" w:color="000000" w:sz="10" w:space="0"/>
            </w:tcBorders>
            <w:vAlign w:val="top"/>
          </w:tcPr>
          <w:p w14:paraId="64F01090">
            <w:pPr>
              <w:spacing w:before="101" w:line="195" w:lineRule="auto"/>
              <w:ind w:left="22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14.9</w:t>
            </w:r>
          </w:p>
        </w:tc>
        <w:tc>
          <w:tcPr>
            <w:tcW w:w="644" w:type="dxa"/>
            <w:tcBorders>
              <w:bottom w:val="single" w:color="000000" w:sz="10" w:space="0"/>
            </w:tcBorders>
            <w:vAlign w:val="top"/>
          </w:tcPr>
          <w:p w14:paraId="4C060B8C">
            <w:pPr>
              <w:spacing w:before="101" w:line="195"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634" w:type="dxa"/>
            <w:tcBorders>
              <w:bottom w:val="single" w:color="000000" w:sz="10" w:space="0"/>
            </w:tcBorders>
            <w:vAlign w:val="top"/>
          </w:tcPr>
          <w:p w14:paraId="108BC365">
            <w:pPr>
              <w:spacing w:before="101" w:line="195" w:lineRule="auto"/>
              <w:ind w:left="21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-4.3</w:t>
            </w:r>
          </w:p>
        </w:tc>
        <w:tc>
          <w:tcPr>
            <w:tcW w:w="645" w:type="dxa"/>
            <w:tcBorders>
              <w:bottom w:val="single" w:color="000000" w:sz="10" w:space="0"/>
            </w:tcBorders>
            <w:vAlign w:val="top"/>
          </w:tcPr>
          <w:p w14:paraId="0060F9A7">
            <w:pPr>
              <w:spacing w:before="101" w:line="195" w:lineRule="auto"/>
              <w:ind w:left="17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-11.8</w:t>
            </w:r>
          </w:p>
        </w:tc>
        <w:tc>
          <w:tcPr>
            <w:tcW w:w="585" w:type="dxa"/>
            <w:tcBorders>
              <w:bottom w:val="single" w:color="000000" w:sz="10" w:space="0"/>
              <w:right w:val="nil"/>
            </w:tcBorders>
            <w:vAlign w:val="top"/>
          </w:tcPr>
          <w:p w14:paraId="3020F3E1">
            <w:pPr>
              <w:spacing w:before="104" w:line="192" w:lineRule="auto"/>
              <w:ind w:left="231"/>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r>
    </w:tbl>
    <w:p w14:paraId="3FBC843D">
      <w:pPr>
        <w:spacing w:before="67" w:line="3298" w:lineRule="exact"/>
        <w:ind w:firstLine="752"/>
      </w:pPr>
      <w:r>
        <w:rPr>
          <w:position w:val="-65"/>
        </w:rPr>
        <w:drawing>
          <wp:inline distT="0" distB="0" distL="0" distR="0">
            <wp:extent cx="4805045" cy="2093595"/>
            <wp:effectExtent l="0" t="0" r="0" b="0"/>
            <wp:docPr id="64" name="IM 64"/>
            <wp:cNvGraphicFramePr/>
            <a:graphic xmlns:a="http://schemas.openxmlformats.org/drawingml/2006/main">
              <a:graphicData uri="http://schemas.openxmlformats.org/drawingml/2006/picture">
                <pic:pic xmlns:pic="http://schemas.openxmlformats.org/drawingml/2006/picture">
                  <pic:nvPicPr>
                    <pic:cNvPr id="64" name="IM 64"/>
                    <pic:cNvPicPr/>
                  </pic:nvPicPr>
                  <pic:blipFill>
                    <a:blip r:embed="rId610"/>
                    <a:stretch>
                      <a:fillRect/>
                    </a:stretch>
                  </pic:blipFill>
                  <pic:spPr>
                    <a:xfrm>
                      <a:off x="0" y="0"/>
                      <a:ext cx="4805171" cy="2093976"/>
                    </a:xfrm>
                    <a:prstGeom prst="rect">
                      <a:avLst/>
                    </a:prstGeom>
                  </pic:spPr>
                </pic:pic>
              </a:graphicData>
            </a:graphic>
          </wp:inline>
        </w:drawing>
      </w:r>
    </w:p>
    <w:p w14:paraId="604EC5DD">
      <w:pPr>
        <w:spacing w:before="198" w:line="228" w:lineRule="auto"/>
        <w:ind w:left="2055"/>
        <w:rPr>
          <w:rFonts w:ascii="宋体" w:hAnsi="宋体" w:eastAsia="宋体" w:cs="宋体"/>
          <w:sz w:val="20"/>
          <w:szCs w:val="20"/>
        </w:rPr>
      </w:pPr>
      <w:r>
        <w:rPr>
          <w:rFonts w:ascii="宋体" w:hAnsi="宋体" w:eastAsia="宋体" w:cs="宋体"/>
          <w:b/>
          <w:bCs/>
          <w:spacing w:val="5"/>
          <w:sz w:val="20"/>
          <w:szCs w:val="20"/>
        </w:rPr>
        <w:t>图</w:t>
      </w:r>
      <w:r>
        <w:rPr>
          <w:rFonts w:ascii="宋体" w:hAnsi="宋体" w:eastAsia="宋体" w:cs="宋体"/>
          <w:spacing w:val="-42"/>
          <w:sz w:val="20"/>
          <w:szCs w:val="20"/>
        </w:rPr>
        <w:t xml:space="preserve"> </w:t>
      </w:r>
      <w:r>
        <w:rPr>
          <w:rFonts w:ascii="Times New Roman" w:hAnsi="Times New Roman" w:eastAsia="Times New Roman" w:cs="Times New Roman"/>
          <w:b/>
          <w:bCs/>
          <w:spacing w:val="5"/>
          <w:sz w:val="20"/>
          <w:szCs w:val="20"/>
        </w:rPr>
        <w:t xml:space="preserve">4.1-1        </w:t>
      </w:r>
      <w:r>
        <w:rPr>
          <w:rFonts w:ascii="宋体" w:hAnsi="宋体" w:eastAsia="宋体" w:cs="宋体"/>
          <w:b/>
          <w:bCs/>
          <w:spacing w:val="5"/>
          <w:sz w:val="20"/>
          <w:szCs w:val="20"/>
        </w:rPr>
        <w:t>苏尼特右旗近</w:t>
      </w:r>
      <w:r>
        <w:rPr>
          <w:rFonts w:ascii="宋体" w:hAnsi="宋体" w:eastAsia="宋体" w:cs="宋体"/>
          <w:spacing w:val="-41"/>
          <w:sz w:val="20"/>
          <w:szCs w:val="20"/>
        </w:rPr>
        <w:t xml:space="preserve"> </w:t>
      </w:r>
      <w:r>
        <w:rPr>
          <w:rFonts w:ascii="Times New Roman" w:hAnsi="Times New Roman" w:eastAsia="Times New Roman" w:cs="Times New Roman"/>
          <w:b/>
          <w:bCs/>
          <w:spacing w:val="5"/>
          <w:sz w:val="20"/>
          <w:szCs w:val="20"/>
        </w:rPr>
        <w:t xml:space="preserve">30 </w:t>
      </w:r>
      <w:r>
        <w:rPr>
          <w:rFonts w:ascii="宋体" w:hAnsi="宋体" w:eastAsia="宋体" w:cs="宋体"/>
          <w:b/>
          <w:bCs/>
          <w:spacing w:val="5"/>
          <w:sz w:val="20"/>
          <w:szCs w:val="20"/>
        </w:rPr>
        <w:t>年逐月平均气</w:t>
      </w:r>
      <w:r>
        <w:rPr>
          <w:rFonts w:ascii="宋体" w:hAnsi="宋体" w:eastAsia="宋体" w:cs="宋体"/>
          <w:b/>
          <w:bCs/>
          <w:spacing w:val="4"/>
          <w:sz w:val="20"/>
          <w:szCs w:val="20"/>
        </w:rPr>
        <w:t>温变化曲线</w:t>
      </w:r>
    </w:p>
    <w:p w14:paraId="0AE72202">
      <w:pPr>
        <w:spacing w:before="207"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）地面风向、风速的统计特征</w:t>
      </w:r>
    </w:p>
    <w:p w14:paraId="3D5DD9FE">
      <w:pPr>
        <w:spacing w:before="183" w:line="351" w:lineRule="auto"/>
        <w:ind w:left="9" w:right="1" w:firstLine="479"/>
        <w:jc w:val="both"/>
        <w:rPr>
          <w:rFonts w:ascii="宋体" w:hAnsi="宋体" w:eastAsia="宋体" w:cs="宋体"/>
          <w:sz w:val="24"/>
          <w:szCs w:val="24"/>
        </w:rPr>
      </w:pPr>
      <w:r>
        <w:rPr>
          <w:rFonts w:ascii="宋体" w:hAnsi="宋体" w:eastAsia="宋体" w:cs="宋体"/>
          <w:spacing w:val="-2"/>
          <w:sz w:val="24"/>
          <w:szCs w:val="24"/>
        </w:rPr>
        <w:t>地面风向、风速的统计分析是污染气象中最基本的方面，其风况不但受季节变化的</w:t>
      </w:r>
      <w:r>
        <w:rPr>
          <w:rFonts w:ascii="宋体" w:hAnsi="宋体" w:eastAsia="宋体" w:cs="宋体"/>
          <w:spacing w:val="13"/>
          <w:sz w:val="24"/>
          <w:szCs w:val="24"/>
        </w:rPr>
        <w:t xml:space="preserve"> </w:t>
      </w:r>
      <w:r>
        <w:rPr>
          <w:rFonts w:ascii="宋体" w:hAnsi="宋体" w:eastAsia="宋体" w:cs="宋体"/>
          <w:spacing w:val="-2"/>
          <w:sz w:val="24"/>
          <w:szCs w:val="24"/>
        </w:rPr>
        <w:t>制约，而且还明显地受地形及地表状况的影响。虽然其风况具有较大的年际变化，但仍</w:t>
      </w:r>
      <w:r>
        <w:rPr>
          <w:rFonts w:ascii="宋体" w:hAnsi="宋体" w:eastAsia="宋体" w:cs="宋体"/>
          <w:spacing w:val="16"/>
          <w:sz w:val="24"/>
          <w:szCs w:val="24"/>
        </w:rPr>
        <w:t xml:space="preserve"> </w:t>
      </w:r>
      <w:r>
        <w:rPr>
          <w:rFonts w:ascii="宋体" w:hAnsi="宋体" w:eastAsia="宋体" w:cs="宋体"/>
          <w:spacing w:val="-1"/>
          <w:sz w:val="24"/>
          <w:szCs w:val="24"/>
        </w:rPr>
        <w:t>然具有较好的统计特征。</w:t>
      </w:r>
    </w:p>
    <w:p w14:paraId="7E899065">
      <w:pPr>
        <w:spacing w:before="34" w:line="347" w:lineRule="auto"/>
        <w:ind w:left="8" w:right="1" w:firstLine="484"/>
        <w:rPr>
          <w:rFonts w:ascii="宋体" w:hAnsi="宋体" w:eastAsia="宋体" w:cs="宋体"/>
          <w:sz w:val="24"/>
          <w:szCs w:val="24"/>
        </w:rPr>
      </w:pPr>
      <w:r>
        <w:rPr>
          <w:rFonts w:ascii="宋体" w:hAnsi="宋体" w:eastAsia="宋体" w:cs="宋体"/>
          <w:spacing w:val="-2"/>
          <w:sz w:val="24"/>
          <w:szCs w:val="24"/>
        </w:rPr>
        <w:t>苏尼特右旗气象局地处内蒙古中部，该地地面风的变化规律：春季由于冷暖气团交</w:t>
      </w:r>
      <w:r>
        <w:rPr>
          <w:rFonts w:ascii="宋体" w:hAnsi="宋体" w:eastAsia="宋体" w:cs="宋体"/>
          <w:spacing w:val="8"/>
          <w:sz w:val="24"/>
          <w:szCs w:val="24"/>
        </w:rPr>
        <w:t xml:space="preserve"> </w:t>
      </w:r>
      <w:r>
        <w:rPr>
          <w:rFonts w:ascii="宋体" w:hAnsi="宋体" w:eastAsia="宋体" w:cs="宋体"/>
          <w:spacing w:val="-2"/>
          <w:sz w:val="24"/>
          <w:szCs w:val="24"/>
        </w:rPr>
        <w:t>汇，气旋活动频繁，地表覆盖度较差，故多风沙天气；夏季由于降水相对集中，当锋面</w:t>
      </w:r>
    </w:p>
    <w:p w14:paraId="5A5AF8D3">
      <w:pPr>
        <w:spacing w:line="347" w:lineRule="auto"/>
        <w:rPr>
          <w:rFonts w:ascii="宋体" w:hAnsi="宋体" w:eastAsia="宋体" w:cs="宋体"/>
          <w:sz w:val="24"/>
          <w:szCs w:val="24"/>
        </w:rPr>
        <w:sectPr>
          <w:headerReference r:id="rId250" w:type="default"/>
          <w:footerReference r:id="rId251" w:type="default"/>
          <w:pgSz w:w="11906" w:h="16839"/>
          <w:pgMar w:top="1191" w:right="1416" w:bottom="1156" w:left="1417" w:header="882" w:footer="994" w:gutter="0"/>
          <w:cols w:space="720" w:num="1"/>
        </w:sectPr>
      </w:pPr>
    </w:p>
    <w:p w14:paraId="14E26254">
      <w:pPr>
        <w:spacing w:line="28" w:lineRule="exact"/>
      </w:pPr>
      <w:r>
        <w:pict>
          <v:shape id="_x0000_s1277" o:spid="_x0000_s1277" style="height:1.45pt;width:453.65pt;" fillcolor="#000000" filled="t" stroked="f" coordsize="9072,29" path="m0,0l9072,0,9072,28,0,28,0,0xe">
            <v:path/>
            <v:fill on="t" focussize="0,0"/>
            <v:stroke on="f"/>
            <v:imagedata o:title=""/>
            <o:lock v:ext="edit"/>
            <w10:wrap type="none"/>
            <w10:anchorlock/>
          </v:shape>
        </w:pict>
      </w:r>
    </w:p>
    <w:p w14:paraId="0BDBB625">
      <w:pPr>
        <w:spacing w:before="311" w:line="352" w:lineRule="auto"/>
        <w:ind w:left="14" w:right="80" w:hanging="5"/>
        <w:jc w:val="both"/>
        <w:rPr>
          <w:rFonts w:ascii="宋体" w:hAnsi="宋体" w:eastAsia="宋体" w:cs="宋体"/>
          <w:sz w:val="24"/>
          <w:szCs w:val="24"/>
        </w:rPr>
      </w:pPr>
      <w:r>
        <w:rPr>
          <w:rFonts w:ascii="宋体" w:hAnsi="宋体" w:eastAsia="宋体" w:cs="宋体"/>
          <w:spacing w:val="-2"/>
          <w:sz w:val="24"/>
          <w:szCs w:val="24"/>
        </w:rPr>
        <w:t>过境可伴有雷雨和大风天气，瞬时风速较大；秋季虽为冷暖气团的交替时期，但此时气</w:t>
      </w:r>
      <w:r>
        <w:rPr>
          <w:rFonts w:ascii="宋体" w:hAnsi="宋体" w:eastAsia="宋体" w:cs="宋体"/>
          <w:spacing w:val="16"/>
          <w:sz w:val="24"/>
          <w:szCs w:val="24"/>
        </w:rPr>
        <w:t xml:space="preserve"> </w:t>
      </w:r>
      <w:r>
        <w:rPr>
          <w:rFonts w:ascii="宋体" w:hAnsi="宋体" w:eastAsia="宋体" w:cs="宋体"/>
          <w:spacing w:val="-2"/>
          <w:sz w:val="24"/>
          <w:szCs w:val="24"/>
        </w:rPr>
        <w:t>团活动远不如春季活动频繁，因此风沙天气较少；冬季常处于稳定的大气层结，风速较</w:t>
      </w:r>
      <w:r>
        <w:rPr>
          <w:rFonts w:ascii="宋体" w:hAnsi="宋体" w:eastAsia="宋体" w:cs="宋体"/>
          <w:spacing w:val="11"/>
          <w:sz w:val="24"/>
          <w:szCs w:val="24"/>
        </w:rPr>
        <w:t xml:space="preserve"> </w:t>
      </w:r>
      <w:r>
        <w:rPr>
          <w:rFonts w:ascii="宋体" w:hAnsi="宋体" w:eastAsia="宋体" w:cs="宋体"/>
          <w:spacing w:val="-8"/>
          <w:sz w:val="24"/>
          <w:szCs w:val="24"/>
        </w:rPr>
        <w:t>小。</w:t>
      </w:r>
    </w:p>
    <w:p w14:paraId="49DE1ACE">
      <w:pPr>
        <w:spacing w:before="31" w:line="217" w:lineRule="auto"/>
        <w:ind w:left="487"/>
        <w:rPr>
          <w:rFonts w:ascii="宋体" w:hAnsi="宋体" w:eastAsia="宋体" w:cs="宋体"/>
          <w:sz w:val="24"/>
          <w:szCs w:val="24"/>
        </w:rPr>
      </w:pPr>
      <w:r>
        <w:rPr>
          <w:rFonts w:ascii="宋体" w:hAnsi="宋体" w:eastAsia="宋体" w:cs="宋体"/>
          <w:spacing w:val="-1"/>
          <w:sz w:val="24"/>
          <w:szCs w:val="24"/>
        </w:rPr>
        <w:t>①地面风向的基本特征</w:t>
      </w:r>
    </w:p>
    <w:p w14:paraId="2333DACD">
      <w:pPr>
        <w:spacing w:before="183" w:line="355" w:lineRule="auto"/>
        <w:ind w:left="10" w:right="80" w:firstLine="478"/>
        <w:rPr>
          <w:rFonts w:ascii="宋体" w:hAnsi="宋体" w:eastAsia="宋体" w:cs="宋体"/>
          <w:sz w:val="24"/>
          <w:szCs w:val="24"/>
        </w:rPr>
      </w:pPr>
      <w:r>
        <w:rPr>
          <w:rFonts w:ascii="宋体" w:hAnsi="宋体" w:eastAsia="宋体" w:cs="宋体"/>
          <w:spacing w:val="5"/>
          <w:sz w:val="24"/>
          <w:szCs w:val="24"/>
        </w:rPr>
        <w:t>根据苏尼特右旗气象局近三十年的地面平均风向频率及各风向下平均风速统计可</w:t>
      </w:r>
      <w:r>
        <w:rPr>
          <w:rFonts w:ascii="宋体" w:hAnsi="宋体" w:eastAsia="宋体" w:cs="宋体"/>
          <w:spacing w:val="6"/>
          <w:sz w:val="24"/>
          <w:szCs w:val="24"/>
        </w:rPr>
        <w:t xml:space="preserve"> </w:t>
      </w:r>
      <w:r>
        <w:rPr>
          <w:rFonts w:ascii="宋体" w:hAnsi="宋体" w:eastAsia="宋体" w:cs="宋体"/>
          <w:spacing w:val="4"/>
          <w:sz w:val="24"/>
          <w:szCs w:val="24"/>
        </w:rPr>
        <w:t>知，该地区年主导风向为</w:t>
      </w:r>
      <w:r>
        <w:rPr>
          <w:rFonts w:ascii="Times New Roman" w:hAnsi="Times New Roman" w:eastAsia="Times New Roman" w:cs="Times New Roman"/>
          <w:sz w:val="24"/>
          <w:szCs w:val="24"/>
        </w:rPr>
        <w:t>WSW</w:t>
      </w:r>
      <w:r>
        <w:rPr>
          <w:rFonts w:ascii="宋体" w:hAnsi="宋体" w:eastAsia="宋体" w:cs="宋体"/>
          <w:spacing w:val="4"/>
          <w:sz w:val="24"/>
          <w:szCs w:val="24"/>
        </w:rPr>
        <w:t>风，其出现频率为</w:t>
      </w:r>
      <w:r>
        <w:rPr>
          <w:rFonts w:ascii="Times New Roman" w:hAnsi="Times New Roman" w:eastAsia="Times New Roman" w:cs="Times New Roman"/>
          <w:spacing w:val="4"/>
          <w:sz w:val="24"/>
          <w:szCs w:val="24"/>
        </w:rPr>
        <w:t>17.8%</w:t>
      </w:r>
      <w:r>
        <w:rPr>
          <w:rFonts w:ascii="Times New Roman" w:hAnsi="Times New Roman" w:eastAsia="Times New Roman" w:cs="Times New Roman"/>
          <w:spacing w:val="-22"/>
          <w:sz w:val="24"/>
          <w:szCs w:val="24"/>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W</w:t>
      </w:r>
      <w:r>
        <w:rPr>
          <w:rFonts w:ascii="宋体" w:hAnsi="宋体" w:eastAsia="宋体" w:cs="宋体"/>
          <w:spacing w:val="4"/>
          <w:sz w:val="24"/>
          <w:szCs w:val="24"/>
        </w:rPr>
        <w:t>风的出现频率也较高，为</w:t>
      </w:r>
      <w:r>
        <w:rPr>
          <w:rFonts w:ascii="宋体" w:hAnsi="宋体" w:eastAsia="宋体" w:cs="宋体"/>
          <w:sz w:val="24"/>
          <w:szCs w:val="24"/>
        </w:rPr>
        <w:t xml:space="preserve"> </w:t>
      </w:r>
      <w:r>
        <w:rPr>
          <w:rFonts w:ascii="Times New Roman" w:hAnsi="Times New Roman" w:eastAsia="Times New Roman" w:cs="Times New Roman"/>
          <w:spacing w:val="-2"/>
          <w:sz w:val="24"/>
          <w:szCs w:val="24"/>
        </w:rPr>
        <w:t>12.9%</w:t>
      </w:r>
      <w:r>
        <w:rPr>
          <w:rFonts w:ascii="宋体" w:hAnsi="宋体" w:eastAsia="宋体" w:cs="宋体"/>
          <w:spacing w:val="-2"/>
          <w:sz w:val="24"/>
          <w:szCs w:val="24"/>
        </w:rPr>
        <w:t>，静风的年出现频率为</w:t>
      </w:r>
      <w:r>
        <w:rPr>
          <w:rFonts w:ascii="Times New Roman" w:hAnsi="Times New Roman" w:eastAsia="Times New Roman" w:cs="Times New Roman"/>
          <w:spacing w:val="-2"/>
          <w:sz w:val="24"/>
          <w:szCs w:val="24"/>
        </w:rPr>
        <w:t>6%</w:t>
      </w:r>
      <w:r>
        <w:rPr>
          <w:rFonts w:ascii="宋体" w:hAnsi="宋体" w:eastAsia="宋体" w:cs="宋体"/>
          <w:spacing w:val="-2"/>
          <w:sz w:val="24"/>
          <w:szCs w:val="24"/>
        </w:rPr>
        <w:t>。全年以</w:t>
      </w:r>
      <w:r>
        <w:rPr>
          <w:rFonts w:ascii="Times New Roman" w:hAnsi="Times New Roman" w:eastAsia="Times New Roman" w:cs="Times New Roman"/>
          <w:spacing w:val="-2"/>
          <w:sz w:val="24"/>
          <w:szCs w:val="24"/>
        </w:rPr>
        <w:t>WNW</w:t>
      </w:r>
      <w:r>
        <w:rPr>
          <w:rFonts w:ascii="宋体" w:hAnsi="宋体" w:eastAsia="宋体" w:cs="宋体"/>
          <w:spacing w:val="-2"/>
          <w:sz w:val="24"/>
          <w:szCs w:val="24"/>
        </w:rPr>
        <w:t>方向的风平均风速最大，</w:t>
      </w:r>
      <w:r>
        <w:rPr>
          <w:rFonts w:ascii="宋体" w:hAnsi="宋体" w:eastAsia="宋体" w:cs="宋体"/>
          <w:spacing w:val="-3"/>
          <w:sz w:val="24"/>
          <w:szCs w:val="24"/>
        </w:rPr>
        <w:t>为</w:t>
      </w:r>
      <w:r>
        <w:rPr>
          <w:rFonts w:ascii="Times New Roman" w:hAnsi="Times New Roman" w:eastAsia="Times New Roman" w:cs="Times New Roman"/>
          <w:spacing w:val="-3"/>
          <w:sz w:val="24"/>
          <w:szCs w:val="24"/>
        </w:rPr>
        <w:t>5.4m/s</w:t>
      </w:r>
      <w:r>
        <w:rPr>
          <w:rFonts w:ascii="宋体" w:hAnsi="宋体" w:eastAsia="宋体" w:cs="宋体"/>
          <w:spacing w:val="-3"/>
          <w:sz w:val="24"/>
          <w:szCs w:val="24"/>
        </w:rPr>
        <w:t>，</w:t>
      </w:r>
      <w:r>
        <w:rPr>
          <w:rFonts w:ascii="Times New Roman" w:hAnsi="Times New Roman" w:eastAsia="Times New Roman" w:cs="Times New Roman"/>
          <w:spacing w:val="-3"/>
          <w:sz w:val="24"/>
          <w:szCs w:val="24"/>
        </w:rPr>
        <w:t>W</w:t>
      </w:r>
      <w:r>
        <w:rPr>
          <w:rFonts w:ascii="宋体" w:hAnsi="宋体" w:eastAsia="宋体" w:cs="宋体"/>
          <w:spacing w:val="-3"/>
          <w:sz w:val="24"/>
          <w:szCs w:val="24"/>
        </w:rPr>
        <w:t>方</w:t>
      </w:r>
      <w:r>
        <w:rPr>
          <w:rFonts w:ascii="宋体" w:hAnsi="宋体" w:eastAsia="宋体" w:cs="宋体"/>
          <w:sz w:val="24"/>
          <w:szCs w:val="24"/>
        </w:rPr>
        <w:t xml:space="preserve"> </w:t>
      </w:r>
      <w:r>
        <w:rPr>
          <w:rFonts w:ascii="宋体" w:hAnsi="宋体" w:eastAsia="宋体" w:cs="宋体"/>
          <w:spacing w:val="-1"/>
          <w:sz w:val="24"/>
          <w:szCs w:val="24"/>
        </w:rPr>
        <w:t>向的风平均风速也较大，为</w:t>
      </w:r>
      <w:r>
        <w:rPr>
          <w:rFonts w:ascii="Times New Roman" w:hAnsi="Times New Roman" w:eastAsia="Times New Roman" w:cs="Times New Roman"/>
          <w:spacing w:val="-1"/>
          <w:sz w:val="24"/>
          <w:szCs w:val="24"/>
        </w:rPr>
        <w:t>5.2m/s</w:t>
      </w:r>
      <w:r>
        <w:rPr>
          <w:rFonts w:ascii="Times New Roman" w:hAnsi="Times New Roman" w:eastAsia="Times New Roman" w:cs="Times New Roman"/>
          <w:spacing w:val="-30"/>
          <w:sz w:val="24"/>
          <w:szCs w:val="24"/>
        </w:rPr>
        <w:t xml:space="preserve"> </w:t>
      </w:r>
      <w:r>
        <w:rPr>
          <w:rFonts w:ascii="宋体" w:hAnsi="宋体" w:eastAsia="宋体" w:cs="宋体"/>
          <w:spacing w:val="-1"/>
          <w:sz w:val="24"/>
          <w:szCs w:val="24"/>
        </w:rPr>
        <w:t>。苏尼</w:t>
      </w:r>
      <w:r>
        <w:rPr>
          <w:rFonts w:ascii="宋体" w:hAnsi="宋体" w:eastAsia="宋体" w:cs="宋体"/>
          <w:spacing w:val="-2"/>
          <w:sz w:val="24"/>
          <w:szCs w:val="24"/>
        </w:rPr>
        <w:t>特右旗全年风向频率玫瑰图见图</w:t>
      </w:r>
      <w:r>
        <w:rPr>
          <w:rFonts w:ascii="Times New Roman" w:hAnsi="Times New Roman" w:eastAsia="Times New Roman" w:cs="Times New Roman"/>
          <w:spacing w:val="-2"/>
          <w:sz w:val="24"/>
          <w:szCs w:val="24"/>
        </w:rPr>
        <w:t>4.1-2</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，苏尼特</w:t>
      </w:r>
      <w:r>
        <w:rPr>
          <w:rFonts w:ascii="宋体" w:hAnsi="宋体" w:eastAsia="宋体" w:cs="宋体"/>
          <w:sz w:val="24"/>
          <w:szCs w:val="24"/>
        </w:rPr>
        <w:t xml:space="preserve"> </w:t>
      </w:r>
      <w:r>
        <w:rPr>
          <w:rFonts w:ascii="宋体" w:hAnsi="宋体" w:eastAsia="宋体" w:cs="宋体"/>
          <w:spacing w:val="-1"/>
          <w:sz w:val="24"/>
          <w:szCs w:val="24"/>
        </w:rPr>
        <w:t>右旗全年风速玫瑰图见图</w:t>
      </w:r>
      <w:r>
        <w:rPr>
          <w:rFonts w:ascii="Times New Roman" w:hAnsi="Times New Roman" w:eastAsia="Times New Roman" w:cs="Times New Roman"/>
          <w:spacing w:val="-1"/>
          <w:sz w:val="24"/>
          <w:szCs w:val="24"/>
        </w:rPr>
        <w:t>4.1-3</w:t>
      </w:r>
      <w:r>
        <w:rPr>
          <w:rFonts w:ascii="宋体" w:hAnsi="宋体" w:eastAsia="宋体" w:cs="宋体"/>
          <w:spacing w:val="-1"/>
          <w:sz w:val="24"/>
          <w:szCs w:val="24"/>
        </w:rPr>
        <w:t>。</w:t>
      </w:r>
    </w:p>
    <w:p w14:paraId="2CF955B2">
      <w:pPr>
        <w:spacing w:before="49" w:line="228" w:lineRule="auto"/>
        <w:ind w:left="1189"/>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6"/>
          <w:sz w:val="20"/>
          <w:szCs w:val="20"/>
        </w:rPr>
        <w:t xml:space="preserve">4.1-3        </w:t>
      </w:r>
      <w:r>
        <w:rPr>
          <w:rFonts w:ascii="宋体" w:hAnsi="宋体" w:eastAsia="宋体" w:cs="宋体"/>
          <w:b/>
          <w:bCs/>
          <w:spacing w:val="6"/>
          <w:sz w:val="20"/>
          <w:szCs w:val="20"/>
        </w:rPr>
        <w:t>苏尼特右旗近</w:t>
      </w:r>
      <w:r>
        <w:rPr>
          <w:rFonts w:ascii="宋体" w:hAnsi="宋体" w:eastAsia="宋体" w:cs="宋体"/>
          <w:spacing w:val="-42"/>
          <w:sz w:val="20"/>
          <w:szCs w:val="20"/>
        </w:rPr>
        <w:t xml:space="preserve"> </w:t>
      </w:r>
      <w:r>
        <w:rPr>
          <w:rFonts w:ascii="Times New Roman" w:hAnsi="Times New Roman" w:eastAsia="Times New Roman" w:cs="Times New Roman"/>
          <w:b/>
          <w:bCs/>
          <w:spacing w:val="6"/>
          <w:sz w:val="20"/>
          <w:szCs w:val="20"/>
        </w:rPr>
        <w:t xml:space="preserve">30 </w:t>
      </w:r>
      <w:r>
        <w:rPr>
          <w:rFonts w:ascii="宋体" w:hAnsi="宋体" w:eastAsia="宋体" w:cs="宋体"/>
          <w:b/>
          <w:bCs/>
          <w:spacing w:val="6"/>
          <w:sz w:val="20"/>
          <w:szCs w:val="20"/>
        </w:rPr>
        <w:t>年地面风向频率及各风向下平均风速统计表</w:t>
      </w:r>
    </w:p>
    <w:p w14:paraId="7F9A8984">
      <w:pPr>
        <w:spacing w:line="91"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37"/>
        <w:gridCol w:w="463"/>
        <w:gridCol w:w="494"/>
        <w:gridCol w:w="421"/>
        <w:gridCol w:w="467"/>
        <w:gridCol w:w="421"/>
        <w:gridCol w:w="427"/>
        <w:gridCol w:w="421"/>
        <w:gridCol w:w="421"/>
        <w:gridCol w:w="421"/>
        <w:gridCol w:w="494"/>
        <w:gridCol w:w="421"/>
        <w:gridCol w:w="583"/>
        <w:gridCol w:w="539"/>
        <w:gridCol w:w="623"/>
        <w:gridCol w:w="540"/>
        <w:gridCol w:w="571"/>
        <w:gridCol w:w="408"/>
      </w:tblGrid>
      <w:tr w14:paraId="104D55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trPr>
        <w:tc>
          <w:tcPr>
            <w:tcW w:w="937" w:type="dxa"/>
            <w:tcBorders>
              <w:top w:val="single" w:color="000000" w:sz="10" w:space="0"/>
              <w:left w:val="nil"/>
            </w:tcBorders>
            <w:vAlign w:val="top"/>
          </w:tcPr>
          <w:p w14:paraId="652D9B0F">
            <w:pPr>
              <w:pStyle w:val="6"/>
              <w:spacing w:before="57" w:line="226" w:lineRule="auto"/>
              <w:ind w:left="264"/>
              <w:rPr>
                <w:sz w:val="20"/>
                <w:szCs w:val="20"/>
              </w:rPr>
            </w:pPr>
            <w:r>
              <w:rPr>
                <w:spacing w:val="4"/>
                <w:sz w:val="20"/>
                <w:szCs w:val="20"/>
              </w:rPr>
              <w:t>风向</w:t>
            </w:r>
          </w:p>
        </w:tc>
        <w:tc>
          <w:tcPr>
            <w:tcW w:w="463" w:type="dxa"/>
            <w:tcBorders>
              <w:top w:val="single" w:color="000000" w:sz="10" w:space="0"/>
            </w:tcBorders>
            <w:vAlign w:val="top"/>
          </w:tcPr>
          <w:p w14:paraId="6CD22D48">
            <w:pPr>
              <w:spacing w:before="95" w:line="192" w:lineRule="auto"/>
              <w:ind w:left="14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t>
            </w:r>
          </w:p>
        </w:tc>
        <w:tc>
          <w:tcPr>
            <w:tcW w:w="494" w:type="dxa"/>
            <w:tcBorders>
              <w:top w:val="single" w:color="000000" w:sz="10" w:space="0"/>
            </w:tcBorders>
            <w:vAlign w:val="top"/>
          </w:tcPr>
          <w:p w14:paraId="096521C3">
            <w:pPr>
              <w:spacing w:before="95" w:line="192" w:lineRule="auto"/>
              <w:ind w:left="26"/>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NNE</w:t>
            </w:r>
          </w:p>
        </w:tc>
        <w:tc>
          <w:tcPr>
            <w:tcW w:w="421" w:type="dxa"/>
            <w:tcBorders>
              <w:top w:val="single" w:color="000000" w:sz="10" w:space="0"/>
            </w:tcBorders>
            <w:vAlign w:val="top"/>
          </w:tcPr>
          <w:p w14:paraId="2CD0A08C">
            <w:pPr>
              <w:spacing w:before="95" w:line="192" w:lineRule="auto"/>
              <w:ind w:left="65"/>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NE</w:t>
            </w:r>
          </w:p>
        </w:tc>
        <w:tc>
          <w:tcPr>
            <w:tcW w:w="467" w:type="dxa"/>
            <w:tcBorders>
              <w:top w:val="single" w:color="000000" w:sz="10" w:space="0"/>
            </w:tcBorders>
            <w:vAlign w:val="top"/>
          </w:tcPr>
          <w:p w14:paraId="65B4A474">
            <w:pPr>
              <w:spacing w:before="95" w:line="192"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ENE</w:t>
            </w:r>
          </w:p>
        </w:tc>
        <w:tc>
          <w:tcPr>
            <w:tcW w:w="421" w:type="dxa"/>
            <w:tcBorders>
              <w:top w:val="single" w:color="000000" w:sz="10" w:space="0"/>
            </w:tcBorders>
            <w:vAlign w:val="top"/>
          </w:tcPr>
          <w:p w14:paraId="4EC42198">
            <w:pPr>
              <w:spacing w:before="95" w:line="192" w:lineRule="auto"/>
              <w:ind w:left="146"/>
              <w:rPr>
                <w:rFonts w:ascii="Times New Roman" w:hAnsi="Times New Roman" w:eastAsia="Times New Roman" w:cs="Times New Roman"/>
                <w:sz w:val="20"/>
                <w:szCs w:val="20"/>
              </w:rPr>
            </w:pPr>
            <w:r>
              <w:rPr>
                <w:rFonts w:ascii="Times New Roman" w:hAnsi="Times New Roman" w:eastAsia="Times New Roman" w:cs="Times New Roman"/>
                <w:sz w:val="20"/>
                <w:szCs w:val="20"/>
              </w:rPr>
              <w:t>E</w:t>
            </w:r>
          </w:p>
        </w:tc>
        <w:tc>
          <w:tcPr>
            <w:tcW w:w="427" w:type="dxa"/>
            <w:tcBorders>
              <w:top w:val="single" w:color="000000" w:sz="10" w:space="0"/>
            </w:tcBorders>
            <w:vAlign w:val="top"/>
          </w:tcPr>
          <w:p w14:paraId="4101BE34">
            <w:pPr>
              <w:spacing w:before="92"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ESE</w:t>
            </w:r>
          </w:p>
        </w:tc>
        <w:tc>
          <w:tcPr>
            <w:tcW w:w="421" w:type="dxa"/>
            <w:tcBorders>
              <w:top w:val="single" w:color="000000" w:sz="10" w:space="0"/>
            </w:tcBorders>
            <w:vAlign w:val="top"/>
          </w:tcPr>
          <w:p w14:paraId="18EF1BE4">
            <w:pPr>
              <w:spacing w:before="92" w:line="195" w:lineRule="auto"/>
              <w:ind w:left="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SE</w:t>
            </w:r>
          </w:p>
        </w:tc>
        <w:tc>
          <w:tcPr>
            <w:tcW w:w="421" w:type="dxa"/>
            <w:tcBorders>
              <w:top w:val="single" w:color="000000" w:sz="10" w:space="0"/>
            </w:tcBorders>
            <w:vAlign w:val="top"/>
          </w:tcPr>
          <w:p w14:paraId="4E281E8A">
            <w:pPr>
              <w:spacing w:before="92" w:line="195" w:lineRule="auto"/>
              <w:ind w:left="38"/>
              <w:rPr>
                <w:rFonts w:ascii="Times New Roman" w:hAnsi="Times New Roman" w:eastAsia="Times New Roman" w:cs="Times New Roman"/>
                <w:sz w:val="20"/>
                <w:szCs w:val="20"/>
              </w:rPr>
            </w:pPr>
            <w:r>
              <w:rPr>
                <w:rFonts w:ascii="Times New Roman" w:hAnsi="Times New Roman" w:eastAsia="Times New Roman" w:cs="Times New Roman"/>
                <w:sz w:val="20"/>
                <w:szCs w:val="20"/>
              </w:rPr>
              <w:t>SSE</w:t>
            </w:r>
          </w:p>
        </w:tc>
        <w:tc>
          <w:tcPr>
            <w:tcW w:w="421" w:type="dxa"/>
            <w:tcBorders>
              <w:top w:val="single" w:color="000000" w:sz="10" w:space="0"/>
            </w:tcBorders>
            <w:vAlign w:val="top"/>
          </w:tcPr>
          <w:p w14:paraId="1DCA3800">
            <w:pPr>
              <w:spacing w:before="92" w:line="195" w:lineRule="auto"/>
              <w:ind w:left="162"/>
              <w:rPr>
                <w:rFonts w:ascii="Times New Roman" w:hAnsi="Times New Roman" w:eastAsia="Times New Roman" w:cs="Times New Roman"/>
                <w:sz w:val="20"/>
                <w:szCs w:val="20"/>
              </w:rPr>
            </w:pPr>
            <w:r>
              <w:rPr>
                <w:rFonts w:ascii="Times New Roman" w:hAnsi="Times New Roman" w:eastAsia="Times New Roman" w:cs="Times New Roman"/>
                <w:sz w:val="20"/>
                <w:szCs w:val="20"/>
              </w:rPr>
              <w:t>S</w:t>
            </w:r>
          </w:p>
        </w:tc>
        <w:tc>
          <w:tcPr>
            <w:tcW w:w="494" w:type="dxa"/>
            <w:tcBorders>
              <w:top w:val="single" w:color="000000" w:sz="10" w:space="0"/>
            </w:tcBorders>
            <w:vAlign w:val="top"/>
          </w:tcPr>
          <w:p w14:paraId="26748F88">
            <w:pPr>
              <w:spacing w:before="92"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SSW</w:t>
            </w:r>
          </w:p>
        </w:tc>
        <w:tc>
          <w:tcPr>
            <w:tcW w:w="421" w:type="dxa"/>
            <w:tcBorders>
              <w:top w:val="single" w:color="000000" w:sz="10" w:space="0"/>
            </w:tcBorders>
            <w:vAlign w:val="top"/>
          </w:tcPr>
          <w:p w14:paraId="00A7F848">
            <w:pPr>
              <w:spacing w:before="92" w:line="195" w:lineRule="auto"/>
              <w:ind w:left="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SW</w:t>
            </w:r>
          </w:p>
        </w:tc>
        <w:tc>
          <w:tcPr>
            <w:tcW w:w="583" w:type="dxa"/>
            <w:tcBorders>
              <w:top w:val="single" w:color="000000" w:sz="10" w:space="0"/>
            </w:tcBorders>
            <w:vAlign w:val="top"/>
          </w:tcPr>
          <w:p w14:paraId="07B11226">
            <w:pPr>
              <w:spacing w:before="92"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WSW</w:t>
            </w:r>
          </w:p>
        </w:tc>
        <w:tc>
          <w:tcPr>
            <w:tcW w:w="539" w:type="dxa"/>
            <w:tcBorders>
              <w:top w:val="single" w:color="000000" w:sz="10" w:space="0"/>
            </w:tcBorders>
            <w:vAlign w:val="top"/>
          </w:tcPr>
          <w:p w14:paraId="4E38D30A">
            <w:pPr>
              <w:spacing w:before="95" w:line="192" w:lineRule="auto"/>
              <w:ind w:left="169"/>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W</w:t>
            </w:r>
          </w:p>
        </w:tc>
        <w:tc>
          <w:tcPr>
            <w:tcW w:w="623" w:type="dxa"/>
            <w:tcBorders>
              <w:top w:val="single" w:color="000000" w:sz="10" w:space="0"/>
            </w:tcBorders>
            <w:vAlign w:val="top"/>
          </w:tcPr>
          <w:p w14:paraId="17C08B97">
            <w:pPr>
              <w:spacing w:before="95" w:line="192"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WNW</w:t>
            </w:r>
          </w:p>
        </w:tc>
        <w:tc>
          <w:tcPr>
            <w:tcW w:w="540" w:type="dxa"/>
            <w:tcBorders>
              <w:top w:val="single" w:color="000000" w:sz="10" w:space="0"/>
            </w:tcBorders>
            <w:vAlign w:val="top"/>
          </w:tcPr>
          <w:p w14:paraId="62AE7BEA">
            <w:pPr>
              <w:spacing w:before="95" w:line="192"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w:t>
            </w:r>
          </w:p>
        </w:tc>
        <w:tc>
          <w:tcPr>
            <w:tcW w:w="571" w:type="dxa"/>
            <w:tcBorders>
              <w:top w:val="single" w:color="000000" w:sz="10" w:space="0"/>
            </w:tcBorders>
            <w:vAlign w:val="top"/>
          </w:tcPr>
          <w:p w14:paraId="5DC08357">
            <w:pPr>
              <w:spacing w:before="95" w:line="192"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NNW</w:t>
            </w:r>
          </w:p>
        </w:tc>
        <w:tc>
          <w:tcPr>
            <w:tcW w:w="408" w:type="dxa"/>
            <w:tcBorders>
              <w:top w:val="single" w:color="000000" w:sz="10" w:space="0"/>
              <w:right w:val="nil"/>
            </w:tcBorders>
            <w:vAlign w:val="top"/>
          </w:tcPr>
          <w:p w14:paraId="41CDA8E2">
            <w:pPr>
              <w:spacing w:before="92" w:line="195" w:lineRule="auto"/>
              <w:ind w:left="140"/>
              <w:rPr>
                <w:rFonts w:ascii="Times New Roman" w:hAnsi="Times New Roman" w:eastAsia="Times New Roman" w:cs="Times New Roman"/>
                <w:sz w:val="20"/>
                <w:szCs w:val="20"/>
              </w:rPr>
            </w:pPr>
            <w:r>
              <w:rPr>
                <w:rFonts w:ascii="Times New Roman" w:hAnsi="Times New Roman" w:eastAsia="Times New Roman" w:cs="Times New Roman"/>
                <w:sz w:val="20"/>
                <w:szCs w:val="20"/>
              </w:rPr>
              <w:t>C</w:t>
            </w:r>
          </w:p>
        </w:tc>
      </w:tr>
      <w:tr w14:paraId="39FDF1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trPr>
        <w:tc>
          <w:tcPr>
            <w:tcW w:w="937" w:type="dxa"/>
            <w:tcBorders>
              <w:left w:val="nil"/>
            </w:tcBorders>
            <w:vAlign w:val="top"/>
          </w:tcPr>
          <w:p w14:paraId="598BFD0D">
            <w:pPr>
              <w:pStyle w:val="6"/>
              <w:spacing w:before="56" w:line="221" w:lineRule="auto"/>
              <w:ind w:left="149"/>
              <w:rPr>
                <w:rFonts w:ascii="Times New Roman" w:hAnsi="Times New Roman" w:eastAsia="Times New Roman" w:cs="Times New Roman"/>
                <w:sz w:val="20"/>
                <w:szCs w:val="20"/>
              </w:rPr>
            </w:pPr>
            <w:r>
              <w:rPr>
                <w:spacing w:val="5"/>
                <w:sz w:val="20"/>
                <w:szCs w:val="20"/>
              </w:rPr>
              <w:t>频率</w:t>
            </w:r>
            <w:r>
              <w:rPr>
                <w:rFonts w:ascii="Times New Roman" w:hAnsi="Times New Roman" w:eastAsia="Times New Roman" w:cs="Times New Roman"/>
                <w:spacing w:val="5"/>
                <w:sz w:val="20"/>
                <w:szCs w:val="20"/>
              </w:rPr>
              <w:t>/%</w:t>
            </w:r>
          </w:p>
        </w:tc>
        <w:tc>
          <w:tcPr>
            <w:tcW w:w="463" w:type="dxa"/>
            <w:vAlign w:val="top"/>
          </w:tcPr>
          <w:p w14:paraId="795D318F">
            <w:pPr>
              <w:spacing w:before="92" w:line="195" w:lineRule="auto"/>
              <w:ind w:left="10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3.3</w:t>
            </w:r>
          </w:p>
        </w:tc>
        <w:tc>
          <w:tcPr>
            <w:tcW w:w="494" w:type="dxa"/>
            <w:vAlign w:val="top"/>
          </w:tcPr>
          <w:p w14:paraId="55BF1948">
            <w:pPr>
              <w:spacing w:before="92" w:line="195" w:lineRule="auto"/>
              <w:ind w:left="11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421" w:type="dxa"/>
            <w:vAlign w:val="top"/>
          </w:tcPr>
          <w:p w14:paraId="34DDA24B">
            <w:pPr>
              <w:spacing w:before="92"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467" w:type="dxa"/>
            <w:vAlign w:val="top"/>
          </w:tcPr>
          <w:p w14:paraId="56B4166C">
            <w:pPr>
              <w:spacing w:before="92"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421" w:type="dxa"/>
            <w:vAlign w:val="top"/>
          </w:tcPr>
          <w:p w14:paraId="638139FC">
            <w:pPr>
              <w:spacing w:before="92" w:line="195" w:lineRule="auto"/>
              <w:ind w:left="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3.3</w:t>
            </w:r>
          </w:p>
        </w:tc>
        <w:tc>
          <w:tcPr>
            <w:tcW w:w="427" w:type="dxa"/>
            <w:vAlign w:val="top"/>
          </w:tcPr>
          <w:p w14:paraId="25123F4C">
            <w:pPr>
              <w:spacing w:before="92" w:line="195" w:lineRule="auto"/>
              <w:ind w:left="8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421" w:type="dxa"/>
            <w:vAlign w:val="top"/>
          </w:tcPr>
          <w:p w14:paraId="446B9228">
            <w:pPr>
              <w:spacing w:before="92" w:line="195" w:lineRule="auto"/>
              <w:ind w:left="8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421" w:type="dxa"/>
            <w:vAlign w:val="top"/>
          </w:tcPr>
          <w:p w14:paraId="7C36B64F">
            <w:pPr>
              <w:spacing w:before="92" w:line="195" w:lineRule="auto"/>
              <w:ind w:left="8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421" w:type="dxa"/>
            <w:vAlign w:val="top"/>
          </w:tcPr>
          <w:p w14:paraId="621805AC">
            <w:pPr>
              <w:spacing w:before="92" w:line="195" w:lineRule="auto"/>
              <w:ind w:left="8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w:t>
            </w:r>
          </w:p>
        </w:tc>
        <w:tc>
          <w:tcPr>
            <w:tcW w:w="494" w:type="dxa"/>
            <w:vAlign w:val="top"/>
          </w:tcPr>
          <w:p w14:paraId="6A7F7BD9">
            <w:pPr>
              <w:spacing w:before="92" w:line="195" w:lineRule="auto"/>
              <w:ind w:left="1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6.2</w:t>
            </w:r>
          </w:p>
        </w:tc>
        <w:tc>
          <w:tcPr>
            <w:tcW w:w="421" w:type="dxa"/>
            <w:vAlign w:val="top"/>
          </w:tcPr>
          <w:p w14:paraId="4CC38098">
            <w:pPr>
              <w:spacing w:before="92" w:line="195" w:lineRule="auto"/>
              <w:ind w:left="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12.9</w:t>
            </w:r>
          </w:p>
        </w:tc>
        <w:tc>
          <w:tcPr>
            <w:tcW w:w="583" w:type="dxa"/>
            <w:vAlign w:val="top"/>
          </w:tcPr>
          <w:p w14:paraId="490C224F">
            <w:pPr>
              <w:spacing w:before="92" w:line="195" w:lineRule="auto"/>
              <w:ind w:left="12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17.8</w:t>
            </w:r>
          </w:p>
        </w:tc>
        <w:tc>
          <w:tcPr>
            <w:tcW w:w="539" w:type="dxa"/>
            <w:vAlign w:val="top"/>
          </w:tcPr>
          <w:p w14:paraId="2914656E">
            <w:pPr>
              <w:spacing w:before="92" w:line="195" w:lineRule="auto"/>
              <w:ind w:left="10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3"/>
                <w:sz w:val="20"/>
                <w:szCs w:val="20"/>
              </w:rPr>
              <w:t>1</w:t>
            </w:r>
          </w:p>
        </w:tc>
        <w:tc>
          <w:tcPr>
            <w:tcW w:w="623" w:type="dxa"/>
            <w:vAlign w:val="top"/>
          </w:tcPr>
          <w:p w14:paraId="22EEDD54">
            <w:pPr>
              <w:spacing w:before="92" w:line="195" w:lineRule="auto"/>
              <w:ind w:left="190"/>
              <w:rPr>
                <w:rFonts w:ascii="Times New Roman" w:hAnsi="Times New Roman" w:eastAsia="Times New Roman" w:cs="Times New Roman"/>
                <w:sz w:val="20"/>
                <w:szCs w:val="20"/>
              </w:rPr>
            </w:pPr>
            <w:r>
              <w:rPr>
                <w:rFonts w:ascii="Times New Roman" w:hAnsi="Times New Roman" w:eastAsia="Times New Roman" w:cs="Times New Roman"/>
                <w:sz w:val="20"/>
                <w:szCs w:val="20"/>
              </w:rPr>
              <w:t>8.5</w:t>
            </w:r>
          </w:p>
        </w:tc>
        <w:tc>
          <w:tcPr>
            <w:tcW w:w="540" w:type="dxa"/>
            <w:vAlign w:val="top"/>
          </w:tcPr>
          <w:p w14:paraId="2B84512E">
            <w:pPr>
              <w:spacing w:before="92" w:line="195" w:lineRule="auto"/>
              <w:ind w:left="14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6.6</w:t>
            </w:r>
          </w:p>
        </w:tc>
        <w:tc>
          <w:tcPr>
            <w:tcW w:w="571" w:type="dxa"/>
            <w:vAlign w:val="top"/>
          </w:tcPr>
          <w:p w14:paraId="5D253956">
            <w:pPr>
              <w:spacing w:before="92" w:line="195" w:lineRule="auto"/>
              <w:ind w:left="1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w:t>
            </w:r>
          </w:p>
        </w:tc>
        <w:tc>
          <w:tcPr>
            <w:tcW w:w="408" w:type="dxa"/>
            <w:tcBorders>
              <w:right w:val="nil"/>
            </w:tcBorders>
            <w:vAlign w:val="top"/>
          </w:tcPr>
          <w:p w14:paraId="3BD47364">
            <w:pPr>
              <w:spacing w:before="92"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6.2</w:t>
            </w:r>
          </w:p>
        </w:tc>
      </w:tr>
      <w:tr w14:paraId="37C3D2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937" w:type="dxa"/>
            <w:tcBorders>
              <w:left w:val="nil"/>
              <w:bottom w:val="single" w:color="000000" w:sz="10" w:space="0"/>
            </w:tcBorders>
            <w:vAlign w:val="top"/>
          </w:tcPr>
          <w:p w14:paraId="1094D557">
            <w:pPr>
              <w:pStyle w:val="6"/>
              <w:spacing w:before="62" w:line="261" w:lineRule="auto"/>
              <w:ind w:left="124" w:right="49" w:hanging="70"/>
              <w:rPr>
                <w:sz w:val="20"/>
                <w:szCs w:val="20"/>
              </w:rPr>
            </w:pPr>
            <w:r>
              <w:rPr>
                <w:spacing w:val="7"/>
                <w:sz w:val="20"/>
                <w:szCs w:val="20"/>
              </w:rPr>
              <w:t>平均风速</w:t>
            </w:r>
            <w:r>
              <w:rPr>
                <w:spacing w:val="1"/>
                <w:sz w:val="20"/>
                <w:szCs w:val="20"/>
              </w:rPr>
              <w:t xml:space="preserve"> </w:t>
            </w:r>
            <w:r>
              <w:rPr>
                <w:sz w:val="20"/>
                <w:szCs w:val="20"/>
              </w:rPr>
              <w:t>（</w:t>
            </w:r>
            <w:r>
              <w:rPr>
                <w:rFonts w:ascii="Times New Roman" w:hAnsi="Times New Roman" w:eastAsia="Times New Roman" w:cs="Times New Roman"/>
                <w:sz w:val="20"/>
                <w:szCs w:val="20"/>
              </w:rPr>
              <w:t>m/s</w:t>
            </w:r>
            <w:r>
              <w:rPr>
                <w:sz w:val="20"/>
                <w:szCs w:val="20"/>
              </w:rPr>
              <w:t>）</w:t>
            </w:r>
          </w:p>
        </w:tc>
        <w:tc>
          <w:tcPr>
            <w:tcW w:w="463" w:type="dxa"/>
            <w:tcBorders>
              <w:bottom w:val="single" w:color="000000" w:sz="10" w:space="0"/>
            </w:tcBorders>
            <w:vAlign w:val="top"/>
          </w:tcPr>
          <w:p w14:paraId="674035F1">
            <w:pPr>
              <w:spacing w:before="254" w:line="195" w:lineRule="auto"/>
              <w:ind w:left="10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3.6</w:t>
            </w:r>
          </w:p>
        </w:tc>
        <w:tc>
          <w:tcPr>
            <w:tcW w:w="494" w:type="dxa"/>
            <w:tcBorders>
              <w:bottom w:val="single" w:color="000000" w:sz="10" w:space="0"/>
            </w:tcBorders>
            <w:vAlign w:val="top"/>
          </w:tcPr>
          <w:p w14:paraId="2E8AB0C2">
            <w:pPr>
              <w:spacing w:before="254" w:line="195" w:lineRule="auto"/>
              <w:ind w:left="1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w:t>
            </w:r>
          </w:p>
        </w:tc>
        <w:tc>
          <w:tcPr>
            <w:tcW w:w="421" w:type="dxa"/>
            <w:tcBorders>
              <w:bottom w:val="single" w:color="000000" w:sz="10" w:space="0"/>
            </w:tcBorders>
            <w:vAlign w:val="top"/>
          </w:tcPr>
          <w:p w14:paraId="51157903">
            <w:pPr>
              <w:spacing w:before="254" w:line="195" w:lineRule="auto"/>
              <w:ind w:left="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467" w:type="dxa"/>
            <w:tcBorders>
              <w:bottom w:val="single" w:color="000000" w:sz="10" w:space="0"/>
            </w:tcBorders>
            <w:vAlign w:val="top"/>
          </w:tcPr>
          <w:p w14:paraId="753F14E6">
            <w:pPr>
              <w:spacing w:before="254"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3.5</w:t>
            </w:r>
          </w:p>
        </w:tc>
        <w:tc>
          <w:tcPr>
            <w:tcW w:w="421" w:type="dxa"/>
            <w:tcBorders>
              <w:bottom w:val="single" w:color="000000" w:sz="10" w:space="0"/>
            </w:tcBorders>
            <w:vAlign w:val="top"/>
          </w:tcPr>
          <w:p w14:paraId="3C44EEB2">
            <w:pPr>
              <w:spacing w:before="254" w:line="195" w:lineRule="auto"/>
              <w:ind w:left="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3.0</w:t>
            </w:r>
          </w:p>
        </w:tc>
        <w:tc>
          <w:tcPr>
            <w:tcW w:w="427" w:type="dxa"/>
            <w:tcBorders>
              <w:bottom w:val="single" w:color="000000" w:sz="10" w:space="0"/>
            </w:tcBorders>
            <w:vAlign w:val="top"/>
          </w:tcPr>
          <w:p w14:paraId="254CB415">
            <w:pPr>
              <w:spacing w:before="254" w:line="195" w:lineRule="auto"/>
              <w:ind w:left="8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2.7</w:t>
            </w:r>
          </w:p>
        </w:tc>
        <w:tc>
          <w:tcPr>
            <w:tcW w:w="421" w:type="dxa"/>
            <w:tcBorders>
              <w:bottom w:val="single" w:color="000000" w:sz="10" w:space="0"/>
            </w:tcBorders>
            <w:vAlign w:val="top"/>
          </w:tcPr>
          <w:p w14:paraId="4AB53260">
            <w:pPr>
              <w:spacing w:before="254" w:line="195" w:lineRule="auto"/>
              <w:ind w:left="8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421" w:type="dxa"/>
            <w:tcBorders>
              <w:bottom w:val="single" w:color="000000" w:sz="10" w:space="0"/>
            </w:tcBorders>
            <w:vAlign w:val="top"/>
          </w:tcPr>
          <w:p w14:paraId="7620CFBA">
            <w:pPr>
              <w:spacing w:before="254" w:line="195" w:lineRule="auto"/>
              <w:ind w:left="8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421" w:type="dxa"/>
            <w:tcBorders>
              <w:bottom w:val="single" w:color="000000" w:sz="10" w:space="0"/>
            </w:tcBorders>
            <w:vAlign w:val="top"/>
          </w:tcPr>
          <w:p w14:paraId="106EEC74">
            <w:pPr>
              <w:spacing w:before="254" w:line="195" w:lineRule="auto"/>
              <w:ind w:left="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494" w:type="dxa"/>
            <w:tcBorders>
              <w:bottom w:val="single" w:color="000000" w:sz="10" w:space="0"/>
            </w:tcBorders>
            <w:vAlign w:val="top"/>
          </w:tcPr>
          <w:p w14:paraId="05DD46D1">
            <w:pPr>
              <w:spacing w:before="254" w:line="195" w:lineRule="auto"/>
              <w:ind w:left="1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3.5</w:t>
            </w:r>
          </w:p>
        </w:tc>
        <w:tc>
          <w:tcPr>
            <w:tcW w:w="421" w:type="dxa"/>
            <w:tcBorders>
              <w:bottom w:val="single" w:color="000000" w:sz="10" w:space="0"/>
            </w:tcBorders>
            <w:vAlign w:val="top"/>
          </w:tcPr>
          <w:p w14:paraId="6D9BA6D5">
            <w:pPr>
              <w:spacing w:before="254" w:line="195" w:lineRule="auto"/>
              <w:ind w:left="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3.9</w:t>
            </w:r>
          </w:p>
        </w:tc>
        <w:tc>
          <w:tcPr>
            <w:tcW w:w="583" w:type="dxa"/>
            <w:tcBorders>
              <w:bottom w:val="single" w:color="000000" w:sz="10" w:space="0"/>
            </w:tcBorders>
            <w:vAlign w:val="top"/>
          </w:tcPr>
          <w:p w14:paraId="49CB9CD5">
            <w:pPr>
              <w:spacing w:before="254" w:line="195" w:lineRule="auto"/>
              <w:ind w:left="16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w:t>
            </w:r>
          </w:p>
        </w:tc>
        <w:tc>
          <w:tcPr>
            <w:tcW w:w="539" w:type="dxa"/>
            <w:tcBorders>
              <w:bottom w:val="single" w:color="000000" w:sz="10" w:space="0"/>
            </w:tcBorders>
            <w:vAlign w:val="top"/>
          </w:tcPr>
          <w:p w14:paraId="7C320335">
            <w:pPr>
              <w:spacing w:before="254" w:line="195" w:lineRule="auto"/>
              <w:ind w:left="145"/>
              <w:rPr>
                <w:rFonts w:ascii="Times New Roman" w:hAnsi="Times New Roman" w:eastAsia="Times New Roman" w:cs="Times New Roman"/>
                <w:sz w:val="20"/>
                <w:szCs w:val="20"/>
              </w:rPr>
            </w:pPr>
            <w:r>
              <w:rPr>
                <w:rFonts w:ascii="Times New Roman" w:hAnsi="Times New Roman" w:eastAsia="Times New Roman" w:cs="Times New Roman"/>
                <w:sz w:val="20"/>
                <w:szCs w:val="20"/>
              </w:rPr>
              <w:t>5.2</w:t>
            </w:r>
          </w:p>
        </w:tc>
        <w:tc>
          <w:tcPr>
            <w:tcW w:w="623" w:type="dxa"/>
            <w:tcBorders>
              <w:bottom w:val="single" w:color="000000" w:sz="10" w:space="0"/>
            </w:tcBorders>
            <w:vAlign w:val="top"/>
          </w:tcPr>
          <w:p w14:paraId="7E17C348">
            <w:pPr>
              <w:spacing w:before="254" w:line="195" w:lineRule="auto"/>
              <w:ind w:left="187"/>
              <w:rPr>
                <w:rFonts w:ascii="Times New Roman" w:hAnsi="Times New Roman" w:eastAsia="Times New Roman" w:cs="Times New Roman"/>
                <w:sz w:val="20"/>
                <w:szCs w:val="20"/>
              </w:rPr>
            </w:pPr>
            <w:r>
              <w:rPr>
                <w:rFonts w:ascii="Times New Roman" w:hAnsi="Times New Roman" w:eastAsia="Times New Roman" w:cs="Times New Roman"/>
                <w:sz w:val="20"/>
                <w:szCs w:val="20"/>
              </w:rPr>
              <w:t>5.4</w:t>
            </w:r>
          </w:p>
        </w:tc>
        <w:tc>
          <w:tcPr>
            <w:tcW w:w="540" w:type="dxa"/>
            <w:tcBorders>
              <w:bottom w:val="single" w:color="000000" w:sz="10" w:space="0"/>
            </w:tcBorders>
            <w:vAlign w:val="top"/>
          </w:tcPr>
          <w:p w14:paraId="54A0A80F">
            <w:pPr>
              <w:spacing w:before="254" w:line="195" w:lineRule="auto"/>
              <w:ind w:left="13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w:t>
            </w:r>
          </w:p>
        </w:tc>
        <w:tc>
          <w:tcPr>
            <w:tcW w:w="571" w:type="dxa"/>
            <w:tcBorders>
              <w:bottom w:val="single" w:color="000000" w:sz="10" w:space="0"/>
            </w:tcBorders>
            <w:vAlign w:val="top"/>
          </w:tcPr>
          <w:p w14:paraId="6C6F2F29">
            <w:pPr>
              <w:spacing w:before="254" w:line="195" w:lineRule="auto"/>
              <w:ind w:left="16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3.9</w:t>
            </w:r>
          </w:p>
        </w:tc>
        <w:tc>
          <w:tcPr>
            <w:tcW w:w="408" w:type="dxa"/>
            <w:tcBorders>
              <w:bottom w:val="single" w:color="000000" w:sz="10" w:space="0"/>
              <w:right w:val="nil"/>
            </w:tcBorders>
            <w:vAlign w:val="top"/>
          </w:tcPr>
          <w:p w14:paraId="70E2ED8A">
            <w:pPr>
              <w:spacing w:before="254"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3.9</w:t>
            </w:r>
          </w:p>
        </w:tc>
      </w:tr>
    </w:tbl>
    <w:p w14:paraId="37BCB618">
      <w:pPr>
        <w:spacing w:before="118" w:line="353" w:lineRule="auto"/>
        <w:ind w:left="2" w:right="18" w:firstLine="515"/>
        <w:jc w:val="both"/>
        <w:rPr>
          <w:rFonts w:ascii="宋体" w:hAnsi="宋体" w:eastAsia="宋体" w:cs="宋体"/>
          <w:sz w:val="24"/>
          <w:szCs w:val="24"/>
        </w:rPr>
      </w:pPr>
      <w:r>
        <w:drawing>
          <wp:anchor distT="0" distB="0" distL="0" distR="0" simplePos="0" relativeHeight="251905024" behindDoc="0" locked="0" layoutInCell="1" allowOverlap="1">
            <wp:simplePos x="0" y="0"/>
            <wp:positionH relativeFrom="column">
              <wp:posOffset>3187065</wp:posOffset>
            </wp:positionH>
            <wp:positionV relativeFrom="paragraph">
              <wp:posOffset>1233805</wp:posOffset>
            </wp:positionV>
            <wp:extent cx="2042160" cy="1894205"/>
            <wp:effectExtent l="0" t="0" r="0" b="0"/>
            <wp:wrapNone/>
            <wp:docPr id="66" name="IM 66"/>
            <wp:cNvGraphicFramePr/>
            <a:graphic xmlns:a="http://schemas.openxmlformats.org/drawingml/2006/main">
              <a:graphicData uri="http://schemas.openxmlformats.org/drawingml/2006/picture">
                <pic:pic xmlns:pic="http://schemas.openxmlformats.org/drawingml/2006/picture">
                  <pic:nvPicPr>
                    <pic:cNvPr id="66" name="IM 66"/>
                    <pic:cNvPicPr/>
                  </pic:nvPicPr>
                  <pic:blipFill>
                    <a:blip r:embed="rId611"/>
                    <a:stretch>
                      <a:fillRect/>
                    </a:stretch>
                  </pic:blipFill>
                  <pic:spPr>
                    <a:xfrm>
                      <a:off x="0" y="0"/>
                      <a:ext cx="2042160" cy="1894332"/>
                    </a:xfrm>
                    <a:prstGeom prst="rect">
                      <a:avLst/>
                    </a:prstGeom>
                  </pic:spPr>
                </pic:pic>
              </a:graphicData>
            </a:graphic>
          </wp:anchor>
        </w:drawing>
      </w:r>
      <w:r>
        <w:rPr>
          <w:rFonts w:ascii="宋体" w:hAnsi="宋体" w:eastAsia="宋体" w:cs="宋体"/>
          <w:sz w:val="24"/>
          <w:szCs w:val="24"/>
        </w:rPr>
        <w:t>由表可知，该地区年主导风向为</w:t>
      </w:r>
      <w:r>
        <w:rPr>
          <w:rFonts w:ascii="Times New Roman" w:hAnsi="Times New Roman" w:eastAsia="Times New Roman" w:cs="Times New Roman"/>
          <w:sz w:val="24"/>
          <w:szCs w:val="24"/>
        </w:rPr>
        <w:t>SSE</w:t>
      </w:r>
      <w:r>
        <w:rPr>
          <w:rFonts w:ascii="宋体" w:hAnsi="宋体" w:eastAsia="宋体" w:cs="宋体"/>
          <w:sz w:val="24"/>
          <w:szCs w:val="24"/>
        </w:rPr>
        <w:t>风，其出现频率为</w:t>
      </w:r>
      <w:r>
        <w:rPr>
          <w:rFonts w:ascii="Times New Roman" w:hAnsi="Times New Roman" w:eastAsia="Times New Roman" w:cs="Times New Roman"/>
          <w:sz w:val="24"/>
          <w:szCs w:val="24"/>
        </w:rPr>
        <w:t>10.9%</w:t>
      </w:r>
      <w:r>
        <w:rPr>
          <w:rFonts w:ascii="Times New Roman" w:hAnsi="Times New Roman" w:eastAsia="Times New Roman" w:cs="Times New Roman"/>
          <w:spacing w:val="-22"/>
          <w:sz w:val="24"/>
          <w:szCs w:val="24"/>
        </w:rPr>
        <w:t xml:space="preserve"> </w:t>
      </w:r>
      <w:r>
        <w:rPr>
          <w:rFonts w:ascii="宋体" w:hAnsi="宋体" w:eastAsia="宋体" w:cs="宋体"/>
          <w:sz w:val="24"/>
          <w:szCs w:val="24"/>
        </w:rPr>
        <w:t>，</w:t>
      </w:r>
      <w:r>
        <w:rPr>
          <w:rFonts w:ascii="Times New Roman" w:hAnsi="Times New Roman" w:eastAsia="Times New Roman" w:cs="Times New Roman"/>
          <w:sz w:val="24"/>
          <w:szCs w:val="24"/>
        </w:rPr>
        <w:t>SE</w:t>
      </w:r>
      <w:r>
        <w:rPr>
          <w:rFonts w:ascii="宋体" w:hAnsi="宋体" w:eastAsia="宋体" w:cs="宋体"/>
          <w:sz w:val="24"/>
          <w:szCs w:val="24"/>
        </w:rPr>
        <w:t xml:space="preserve">风的出现频率也 </w:t>
      </w:r>
      <w:r>
        <w:rPr>
          <w:rFonts w:ascii="宋体" w:hAnsi="宋体" w:eastAsia="宋体" w:cs="宋体"/>
          <w:spacing w:val="-10"/>
          <w:sz w:val="24"/>
          <w:szCs w:val="24"/>
        </w:rPr>
        <w:t>较高，为</w:t>
      </w:r>
      <w:r>
        <w:rPr>
          <w:rFonts w:ascii="Times New Roman" w:hAnsi="Times New Roman" w:eastAsia="Times New Roman" w:cs="Times New Roman"/>
          <w:spacing w:val="-10"/>
          <w:sz w:val="24"/>
          <w:szCs w:val="24"/>
        </w:rPr>
        <w:t>7.6%</w:t>
      </w:r>
      <w:r>
        <w:rPr>
          <w:rFonts w:ascii="宋体" w:hAnsi="宋体" w:eastAsia="宋体" w:cs="宋体"/>
          <w:spacing w:val="-10"/>
          <w:sz w:val="24"/>
          <w:szCs w:val="24"/>
        </w:rPr>
        <w:t>，静风的年出现频率为</w:t>
      </w:r>
      <w:r>
        <w:rPr>
          <w:rFonts w:ascii="Times New Roman" w:hAnsi="Times New Roman" w:eastAsia="Times New Roman" w:cs="Times New Roman"/>
          <w:spacing w:val="-10"/>
          <w:sz w:val="24"/>
          <w:szCs w:val="24"/>
        </w:rPr>
        <w:t>15.0%</w:t>
      </w:r>
      <w:r>
        <w:rPr>
          <w:rFonts w:ascii="宋体" w:hAnsi="宋体" w:eastAsia="宋体" w:cs="宋体"/>
          <w:spacing w:val="-10"/>
          <w:sz w:val="24"/>
          <w:szCs w:val="24"/>
        </w:rPr>
        <w:t>。全年以</w:t>
      </w:r>
      <w:r>
        <w:rPr>
          <w:rFonts w:ascii="Times New Roman" w:hAnsi="Times New Roman" w:eastAsia="Times New Roman" w:cs="Times New Roman"/>
          <w:spacing w:val="-10"/>
          <w:sz w:val="24"/>
          <w:szCs w:val="24"/>
        </w:rPr>
        <w:t>SSE</w:t>
      </w:r>
      <w:r>
        <w:rPr>
          <w:rFonts w:ascii="宋体" w:hAnsi="宋体" w:eastAsia="宋体" w:cs="宋体"/>
          <w:spacing w:val="-10"/>
          <w:sz w:val="24"/>
          <w:szCs w:val="24"/>
        </w:rPr>
        <w:t>方向的风平均风速最大，为</w:t>
      </w:r>
      <w:r>
        <w:rPr>
          <w:rFonts w:ascii="Times New Roman" w:hAnsi="Times New Roman" w:eastAsia="Times New Roman" w:cs="Times New Roman"/>
          <w:spacing w:val="-10"/>
          <w:sz w:val="24"/>
          <w:szCs w:val="24"/>
        </w:rPr>
        <w:t>4.2m/s</w:t>
      </w:r>
      <w:r>
        <w:rPr>
          <w:rFonts w:ascii="宋体" w:hAnsi="宋体" w:eastAsia="宋体" w:cs="宋体"/>
          <w:spacing w:val="-10"/>
          <w:sz w:val="24"/>
          <w:szCs w:val="24"/>
        </w:rPr>
        <w:t>，</w:t>
      </w:r>
      <w:r>
        <w:rPr>
          <w:rFonts w:ascii="宋体" w:hAnsi="宋体" w:eastAsia="宋体" w:cs="宋体"/>
          <w:sz w:val="24"/>
          <w:szCs w:val="24"/>
        </w:rPr>
        <w:t xml:space="preserve"> </w:t>
      </w:r>
      <w:r>
        <w:rPr>
          <w:rFonts w:ascii="Times New Roman" w:hAnsi="Times New Roman" w:eastAsia="Times New Roman" w:cs="Times New Roman"/>
          <w:sz w:val="24"/>
          <w:szCs w:val="24"/>
        </w:rPr>
        <w:t>WNW</w:t>
      </w:r>
      <w:r>
        <w:rPr>
          <w:rFonts w:ascii="宋体" w:hAnsi="宋体" w:eastAsia="宋体" w:cs="宋体"/>
          <w:spacing w:val="1"/>
          <w:sz w:val="24"/>
          <w:szCs w:val="24"/>
        </w:rPr>
        <w:t>方向的风平均风速也较大，为</w:t>
      </w:r>
      <w:r>
        <w:rPr>
          <w:rFonts w:ascii="Times New Roman" w:hAnsi="Times New Roman" w:eastAsia="Times New Roman" w:cs="Times New Roman"/>
          <w:spacing w:val="1"/>
          <w:sz w:val="24"/>
          <w:szCs w:val="24"/>
        </w:rPr>
        <w:t>4.0m/s</w:t>
      </w:r>
      <w:r>
        <w:rPr>
          <w:rFonts w:ascii="Times New Roman" w:hAnsi="Times New Roman" w:eastAsia="Times New Roman" w:cs="Times New Roman"/>
          <w:spacing w:val="-24"/>
          <w:sz w:val="24"/>
          <w:szCs w:val="24"/>
        </w:rPr>
        <w:t xml:space="preserve"> </w:t>
      </w:r>
      <w:r>
        <w:rPr>
          <w:rFonts w:ascii="宋体" w:hAnsi="宋体" w:eastAsia="宋体" w:cs="宋体"/>
          <w:spacing w:val="1"/>
          <w:sz w:val="24"/>
          <w:szCs w:val="24"/>
        </w:rPr>
        <w:t>。乌海全年风向频</w:t>
      </w:r>
      <w:r>
        <w:rPr>
          <w:rFonts w:ascii="宋体" w:hAnsi="宋体" w:eastAsia="宋体" w:cs="宋体"/>
          <w:sz w:val="24"/>
          <w:szCs w:val="24"/>
        </w:rPr>
        <w:t>率玫瑰图见图</w:t>
      </w:r>
      <w:r>
        <w:rPr>
          <w:rFonts w:ascii="Times New Roman" w:hAnsi="Times New Roman" w:eastAsia="Times New Roman" w:cs="Times New Roman"/>
          <w:sz w:val="24"/>
          <w:szCs w:val="24"/>
        </w:rPr>
        <w:t>5.1-2</w:t>
      </w:r>
      <w:r>
        <w:rPr>
          <w:rFonts w:ascii="Times New Roman" w:hAnsi="Times New Roman" w:eastAsia="Times New Roman" w:cs="Times New Roman"/>
          <w:spacing w:val="-29"/>
          <w:sz w:val="24"/>
          <w:szCs w:val="24"/>
        </w:rPr>
        <w:t xml:space="preserve"> </w:t>
      </w:r>
      <w:r>
        <w:rPr>
          <w:rFonts w:ascii="宋体" w:hAnsi="宋体" w:eastAsia="宋体" w:cs="宋体"/>
          <w:sz w:val="24"/>
          <w:szCs w:val="24"/>
        </w:rPr>
        <w:t xml:space="preserve">，乌海 </w:t>
      </w:r>
      <w:r>
        <w:rPr>
          <w:rFonts w:ascii="宋体" w:hAnsi="宋体" w:eastAsia="宋体" w:cs="宋体"/>
          <w:spacing w:val="-1"/>
          <w:sz w:val="24"/>
          <w:szCs w:val="24"/>
        </w:rPr>
        <w:t>全年风速玫瑰图见图</w:t>
      </w:r>
      <w:r>
        <w:rPr>
          <w:rFonts w:ascii="Times New Roman" w:hAnsi="Times New Roman" w:eastAsia="Times New Roman" w:cs="Times New Roman"/>
          <w:spacing w:val="-1"/>
          <w:sz w:val="24"/>
          <w:szCs w:val="24"/>
        </w:rPr>
        <w:t>5.1-3</w:t>
      </w:r>
      <w:r>
        <w:rPr>
          <w:rFonts w:ascii="宋体" w:hAnsi="宋体" w:eastAsia="宋体" w:cs="宋体"/>
          <w:spacing w:val="-1"/>
          <w:sz w:val="24"/>
          <w:szCs w:val="24"/>
        </w:rPr>
        <w:t>。</w:t>
      </w:r>
    </w:p>
    <w:p w14:paraId="2F4F9E34">
      <w:pPr>
        <w:spacing w:before="5" w:line="2966" w:lineRule="exact"/>
        <w:ind w:firstLine="834"/>
      </w:pPr>
      <w:r>
        <w:rPr>
          <w:position w:val="-59"/>
        </w:rPr>
        <w:drawing>
          <wp:inline distT="0" distB="0" distL="0" distR="0">
            <wp:extent cx="1971675" cy="1883410"/>
            <wp:effectExtent l="0" t="0" r="0" b="0"/>
            <wp:docPr id="68" name="IM 68"/>
            <wp:cNvGraphicFramePr/>
            <a:graphic xmlns:a="http://schemas.openxmlformats.org/drawingml/2006/main">
              <a:graphicData uri="http://schemas.openxmlformats.org/drawingml/2006/picture">
                <pic:pic xmlns:pic="http://schemas.openxmlformats.org/drawingml/2006/picture">
                  <pic:nvPicPr>
                    <pic:cNvPr id="68" name="IM 68"/>
                    <pic:cNvPicPr/>
                  </pic:nvPicPr>
                  <pic:blipFill>
                    <a:blip r:embed="rId612"/>
                    <a:stretch>
                      <a:fillRect/>
                    </a:stretch>
                  </pic:blipFill>
                  <pic:spPr>
                    <a:xfrm>
                      <a:off x="0" y="0"/>
                      <a:ext cx="1972055" cy="1883664"/>
                    </a:xfrm>
                    <a:prstGeom prst="rect">
                      <a:avLst/>
                    </a:prstGeom>
                  </pic:spPr>
                </pic:pic>
              </a:graphicData>
            </a:graphic>
          </wp:inline>
        </w:drawing>
      </w:r>
    </w:p>
    <w:p w14:paraId="12BEBCD3">
      <w:pPr>
        <w:spacing w:before="198" w:line="228" w:lineRule="auto"/>
        <w:ind w:left="1021"/>
        <w:rPr>
          <w:rFonts w:ascii="宋体" w:hAnsi="宋体" w:eastAsia="宋体" w:cs="宋体"/>
          <w:sz w:val="20"/>
          <w:szCs w:val="20"/>
        </w:rPr>
      </w:pPr>
      <w:r>
        <w:rPr>
          <w:rFonts w:ascii="宋体" w:hAnsi="宋体" w:eastAsia="宋体" w:cs="宋体"/>
          <w:b/>
          <w:bCs/>
          <w:spacing w:val="4"/>
          <w:sz w:val="20"/>
          <w:szCs w:val="20"/>
        </w:rPr>
        <w:t>图</w:t>
      </w:r>
      <w:r>
        <w:rPr>
          <w:rFonts w:ascii="Times New Roman" w:hAnsi="Times New Roman" w:eastAsia="Times New Roman" w:cs="Times New Roman"/>
          <w:b/>
          <w:bCs/>
          <w:spacing w:val="4"/>
          <w:sz w:val="20"/>
          <w:szCs w:val="20"/>
        </w:rPr>
        <w:t xml:space="preserve">4.1-2      </w:t>
      </w:r>
      <w:r>
        <w:rPr>
          <w:rFonts w:ascii="宋体" w:hAnsi="宋体" w:eastAsia="宋体" w:cs="宋体"/>
          <w:b/>
          <w:bCs/>
          <w:spacing w:val="4"/>
          <w:sz w:val="20"/>
          <w:szCs w:val="20"/>
        </w:rPr>
        <w:t>全年风向频率玫瑰图</w:t>
      </w:r>
      <w:r>
        <w:rPr>
          <w:rFonts w:ascii="宋体" w:hAnsi="宋体" w:eastAsia="宋体" w:cs="宋体"/>
          <w:spacing w:val="1"/>
          <w:sz w:val="20"/>
          <w:szCs w:val="20"/>
        </w:rPr>
        <w:t xml:space="preserve">                  </w:t>
      </w:r>
      <w:r>
        <w:rPr>
          <w:rFonts w:ascii="宋体" w:hAnsi="宋体" w:eastAsia="宋体" w:cs="宋体"/>
          <w:b/>
          <w:bCs/>
          <w:spacing w:val="4"/>
          <w:sz w:val="20"/>
          <w:szCs w:val="20"/>
        </w:rPr>
        <w:t>图</w:t>
      </w:r>
      <w:r>
        <w:rPr>
          <w:rFonts w:ascii="Times New Roman" w:hAnsi="Times New Roman" w:eastAsia="Times New Roman" w:cs="Times New Roman"/>
          <w:b/>
          <w:bCs/>
          <w:spacing w:val="4"/>
          <w:sz w:val="20"/>
          <w:szCs w:val="20"/>
        </w:rPr>
        <w:t xml:space="preserve">4.1-3      </w:t>
      </w:r>
      <w:r>
        <w:rPr>
          <w:rFonts w:ascii="宋体" w:hAnsi="宋体" w:eastAsia="宋体" w:cs="宋体"/>
          <w:b/>
          <w:bCs/>
          <w:spacing w:val="4"/>
          <w:sz w:val="20"/>
          <w:szCs w:val="20"/>
        </w:rPr>
        <w:t>全年风速玫瑰图</w:t>
      </w:r>
    </w:p>
    <w:p w14:paraId="06822956">
      <w:pPr>
        <w:spacing w:before="207" w:line="217" w:lineRule="auto"/>
        <w:ind w:left="486"/>
        <w:rPr>
          <w:rFonts w:ascii="宋体" w:hAnsi="宋体" w:eastAsia="宋体" w:cs="宋体"/>
          <w:sz w:val="24"/>
          <w:szCs w:val="24"/>
        </w:rPr>
      </w:pPr>
      <w:r>
        <w:rPr>
          <w:rFonts w:ascii="宋体" w:hAnsi="宋体" w:eastAsia="宋体" w:cs="宋体"/>
          <w:spacing w:val="-2"/>
          <w:sz w:val="24"/>
          <w:szCs w:val="24"/>
        </w:rPr>
        <w:t>②地面风速变化</w:t>
      </w:r>
    </w:p>
    <w:p w14:paraId="028E2457">
      <w:pPr>
        <w:spacing w:before="186" w:line="351" w:lineRule="auto"/>
        <w:ind w:left="8" w:firstLine="482"/>
        <w:rPr>
          <w:rFonts w:ascii="宋体" w:hAnsi="宋体" w:eastAsia="宋体" w:cs="宋体"/>
          <w:sz w:val="24"/>
          <w:szCs w:val="24"/>
        </w:rPr>
      </w:pPr>
      <w:r>
        <w:rPr>
          <w:rFonts w:ascii="宋体" w:hAnsi="宋体" w:eastAsia="宋体" w:cs="宋体"/>
          <w:spacing w:val="-4"/>
          <w:sz w:val="24"/>
          <w:szCs w:val="24"/>
        </w:rPr>
        <w:t>从苏尼特右旗气象局近</w:t>
      </w:r>
      <w:r>
        <w:rPr>
          <w:rFonts w:ascii="Times New Roman" w:hAnsi="Times New Roman" w:eastAsia="Times New Roman" w:cs="Times New Roman"/>
          <w:spacing w:val="-4"/>
          <w:sz w:val="24"/>
          <w:szCs w:val="24"/>
        </w:rPr>
        <w:t>30</w:t>
      </w:r>
      <w:r>
        <w:rPr>
          <w:rFonts w:ascii="宋体" w:hAnsi="宋体" w:eastAsia="宋体" w:cs="宋体"/>
          <w:spacing w:val="-4"/>
          <w:sz w:val="24"/>
          <w:szCs w:val="24"/>
        </w:rPr>
        <w:t>年平均风速的统计可以看出：该地区年平均风速为</w:t>
      </w:r>
      <w:r>
        <w:rPr>
          <w:rFonts w:ascii="Times New Roman" w:hAnsi="Times New Roman" w:eastAsia="Times New Roman" w:cs="Times New Roman"/>
          <w:spacing w:val="-4"/>
          <w:sz w:val="24"/>
          <w:szCs w:val="24"/>
        </w:rPr>
        <w:t>3.9m/s</w:t>
      </w:r>
      <w:r>
        <w:rPr>
          <w:rFonts w:ascii="宋体" w:hAnsi="宋体" w:eastAsia="宋体" w:cs="宋体"/>
          <w:spacing w:val="-4"/>
          <w:sz w:val="24"/>
          <w:szCs w:val="24"/>
        </w:rPr>
        <w:t>。</w:t>
      </w:r>
      <w:r>
        <w:rPr>
          <w:rFonts w:ascii="宋体" w:hAnsi="宋体" w:eastAsia="宋体" w:cs="宋体"/>
          <w:spacing w:val="16"/>
          <w:sz w:val="24"/>
          <w:szCs w:val="24"/>
        </w:rPr>
        <w:t xml:space="preserve"> </w:t>
      </w:r>
      <w:r>
        <w:rPr>
          <w:rFonts w:ascii="宋体" w:hAnsi="宋体" w:eastAsia="宋体" w:cs="宋体"/>
          <w:sz w:val="24"/>
          <w:szCs w:val="24"/>
        </w:rPr>
        <w:t>全年以春季风速最大（如四月份风速为</w:t>
      </w:r>
      <w:r>
        <w:rPr>
          <w:rFonts w:ascii="Times New Roman" w:hAnsi="Times New Roman" w:eastAsia="Times New Roman" w:cs="Times New Roman"/>
          <w:sz w:val="24"/>
          <w:szCs w:val="24"/>
        </w:rPr>
        <w:t>4.7m/s</w:t>
      </w:r>
      <w:r>
        <w:rPr>
          <w:rFonts w:ascii="宋体" w:hAnsi="宋体" w:eastAsia="宋体" w:cs="宋体"/>
          <w:spacing w:val="7"/>
          <w:sz w:val="24"/>
          <w:szCs w:val="24"/>
        </w:rPr>
        <w:t>），</w:t>
      </w:r>
      <w:r>
        <w:rPr>
          <w:rFonts w:ascii="宋体" w:hAnsi="宋体" w:eastAsia="宋体" w:cs="宋体"/>
          <w:sz w:val="24"/>
          <w:szCs w:val="24"/>
        </w:rPr>
        <w:t xml:space="preserve">平均风速最小出现在夏季（如八月份 </w:t>
      </w:r>
      <w:r>
        <w:rPr>
          <w:rFonts w:ascii="宋体" w:hAnsi="宋体" w:eastAsia="宋体" w:cs="宋体"/>
          <w:spacing w:val="-1"/>
          <w:sz w:val="24"/>
          <w:szCs w:val="24"/>
        </w:rPr>
        <w:t>风速为</w:t>
      </w:r>
      <w:r>
        <w:rPr>
          <w:rFonts w:ascii="Times New Roman" w:hAnsi="Times New Roman" w:eastAsia="Times New Roman" w:cs="Times New Roman"/>
          <w:spacing w:val="-1"/>
          <w:sz w:val="24"/>
          <w:szCs w:val="24"/>
        </w:rPr>
        <w:t>3.2m/s</w:t>
      </w:r>
      <w:r>
        <w:rPr>
          <w:rFonts w:ascii="宋体" w:hAnsi="宋体" w:eastAsia="宋体" w:cs="宋体"/>
          <w:spacing w:val="7"/>
          <w:sz w:val="24"/>
          <w:szCs w:val="24"/>
        </w:rPr>
        <w:t>）；</w:t>
      </w:r>
      <w:r>
        <w:rPr>
          <w:rFonts w:ascii="宋体" w:hAnsi="宋体" w:eastAsia="宋体" w:cs="宋体"/>
          <w:spacing w:val="-1"/>
          <w:sz w:val="24"/>
          <w:szCs w:val="24"/>
        </w:rPr>
        <w:t>风速的年较差为</w:t>
      </w:r>
      <w:r>
        <w:rPr>
          <w:rFonts w:ascii="Times New Roman" w:hAnsi="Times New Roman" w:eastAsia="Times New Roman" w:cs="Times New Roman"/>
          <w:spacing w:val="-1"/>
          <w:sz w:val="24"/>
          <w:szCs w:val="24"/>
        </w:rPr>
        <w:t>1.5m/s</w:t>
      </w:r>
      <w:r>
        <w:rPr>
          <w:rFonts w:ascii="宋体" w:hAnsi="宋体" w:eastAsia="宋体" w:cs="宋体"/>
          <w:spacing w:val="-1"/>
          <w:sz w:val="24"/>
          <w:szCs w:val="24"/>
        </w:rPr>
        <w:t>。</w:t>
      </w:r>
    </w:p>
    <w:p w14:paraId="67759C85">
      <w:pPr>
        <w:spacing w:before="49" w:line="228" w:lineRule="auto"/>
        <w:ind w:left="2718"/>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4.1-4        </w:t>
      </w:r>
      <w:r>
        <w:rPr>
          <w:rFonts w:ascii="宋体" w:hAnsi="宋体" w:eastAsia="宋体" w:cs="宋体"/>
          <w:b/>
          <w:bCs/>
          <w:spacing w:val="5"/>
          <w:sz w:val="20"/>
          <w:szCs w:val="20"/>
        </w:rPr>
        <w:t>苏尼特右旗逐月平均风速表</w:t>
      </w:r>
    </w:p>
    <w:p w14:paraId="1EF77838">
      <w:pPr>
        <w:spacing w:line="228" w:lineRule="auto"/>
        <w:rPr>
          <w:rFonts w:ascii="宋体" w:hAnsi="宋体" w:eastAsia="宋体" w:cs="宋体"/>
          <w:sz w:val="20"/>
          <w:szCs w:val="20"/>
        </w:rPr>
        <w:sectPr>
          <w:headerReference r:id="rId252" w:type="default"/>
          <w:footerReference r:id="rId253" w:type="default"/>
          <w:pgSz w:w="11906" w:h="16839"/>
          <w:pgMar w:top="1191" w:right="1337" w:bottom="1156" w:left="1417" w:header="882" w:footer="994" w:gutter="0"/>
          <w:cols w:space="720" w:num="1"/>
        </w:sectPr>
      </w:pPr>
    </w:p>
    <w:p w14:paraId="1DB55FBD">
      <w:pPr>
        <w:spacing w:line="28" w:lineRule="exact"/>
      </w:pPr>
      <w:r>
        <w:pict>
          <v:shape id="_x0000_s1278" o:spid="_x0000_s1278" style="height:1.45pt;width:453.65pt;" fillcolor="#000000" filled="t" stroked="f" coordsize="9072,29" path="m0,0l9072,0,9072,28,0,28,0,0xe">
            <v:path/>
            <v:fill on="t" focussize="0,0"/>
            <v:stroke on="f"/>
            <v:imagedata o:title=""/>
            <o:lock v:ext="edit"/>
            <w10:wrap type="none"/>
            <w10:anchorlock/>
          </v:shape>
        </w:pict>
      </w:r>
    </w:p>
    <w:p w14:paraId="3D01323C">
      <w:pPr>
        <w:spacing w:line="196" w:lineRule="exact"/>
      </w:pPr>
    </w:p>
    <w:tbl>
      <w:tblPr>
        <w:tblStyle w:val="5"/>
        <w:tblW w:w="907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61"/>
        <w:gridCol w:w="463"/>
        <w:gridCol w:w="538"/>
        <w:gridCol w:w="538"/>
        <w:gridCol w:w="649"/>
        <w:gridCol w:w="647"/>
        <w:gridCol w:w="647"/>
        <w:gridCol w:w="761"/>
        <w:gridCol w:w="761"/>
        <w:gridCol w:w="647"/>
        <w:gridCol w:w="647"/>
        <w:gridCol w:w="536"/>
        <w:gridCol w:w="536"/>
        <w:gridCol w:w="641"/>
      </w:tblGrid>
      <w:tr w14:paraId="777BF4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61" w:type="dxa"/>
            <w:tcBorders>
              <w:top w:val="single" w:color="000000" w:sz="10" w:space="0"/>
              <w:left w:val="nil"/>
            </w:tcBorders>
            <w:vAlign w:val="top"/>
          </w:tcPr>
          <w:p w14:paraId="3F45D433">
            <w:pPr>
              <w:pStyle w:val="6"/>
              <w:spacing w:before="57" w:line="225" w:lineRule="auto"/>
              <w:ind w:left="328"/>
              <w:rPr>
                <w:sz w:val="20"/>
                <w:szCs w:val="20"/>
              </w:rPr>
            </w:pPr>
            <w:r>
              <w:rPr>
                <w:spacing w:val="2"/>
                <w:sz w:val="20"/>
                <w:szCs w:val="20"/>
              </w:rPr>
              <w:t>月份</w:t>
            </w:r>
          </w:p>
        </w:tc>
        <w:tc>
          <w:tcPr>
            <w:tcW w:w="463" w:type="dxa"/>
            <w:tcBorders>
              <w:top w:val="single" w:color="000000" w:sz="10" w:space="0"/>
            </w:tcBorders>
            <w:vAlign w:val="top"/>
          </w:tcPr>
          <w:p w14:paraId="2D8BD4B6">
            <w:pPr>
              <w:spacing w:before="93" w:line="195" w:lineRule="auto"/>
              <w:ind w:left="198"/>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538" w:type="dxa"/>
            <w:tcBorders>
              <w:top w:val="single" w:color="000000" w:sz="10" w:space="0"/>
            </w:tcBorders>
            <w:vAlign w:val="top"/>
          </w:tcPr>
          <w:p w14:paraId="7C990B0E">
            <w:pPr>
              <w:spacing w:before="93" w:line="195" w:lineRule="auto"/>
              <w:ind w:left="21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538" w:type="dxa"/>
            <w:tcBorders>
              <w:top w:val="single" w:color="000000" w:sz="10" w:space="0"/>
            </w:tcBorders>
            <w:vAlign w:val="top"/>
          </w:tcPr>
          <w:p w14:paraId="6DD70934">
            <w:pPr>
              <w:spacing w:before="92" w:line="195" w:lineRule="auto"/>
              <w:ind w:left="220"/>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649" w:type="dxa"/>
            <w:tcBorders>
              <w:top w:val="single" w:color="000000" w:sz="10" w:space="0"/>
            </w:tcBorders>
            <w:vAlign w:val="top"/>
          </w:tcPr>
          <w:p w14:paraId="42E85937">
            <w:pPr>
              <w:spacing w:before="93" w:line="195" w:lineRule="auto"/>
              <w:ind w:left="27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647" w:type="dxa"/>
            <w:tcBorders>
              <w:top w:val="single" w:color="000000" w:sz="10" w:space="0"/>
            </w:tcBorders>
            <w:vAlign w:val="top"/>
          </w:tcPr>
          <w:p w14:paraId="1259D5E6">
            <w:pPr>
              <w:spacing w:before="95" w:line="192" w:lineRule="auto"/>
              <w:ind w:left="275"/>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647" w:type="dxa"/>
            <w:tcBorders>
              <w:top w:val="single" w:color="000000" w:sz="10" w:space="0"/>
            </w:tcBorders>
            <w:vAlign w:val="top"/>
          </w:tcPr>
          <w:p w14:paraId="384A797B">
            <w:pPr>
              <w:spacing w:before="92" w:line="195" w:lineRule="auto"/>
              <w:ind w:left="275"/>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761" w:type="dxa"/>
            <w:tcBorders>
              <w:top w:val="single" w:color="000000" w:sz="10" w:space="0"/>
            </w:tcBorders>
            <w:vAlign w:val="top"/>
          </w:tcPr>
          <w:p w14:paraId="03471AB4">
            <w:pPr>
              <w:spacing w:before="95" w:line="192" w:lineRule="auto"/>
              <w:ind w:left="330"/>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761" w:type="dxa"/>
            <w:tcBorders>
              <w:top w:val="single" w:color="000000" w:sz="10" w:space="0"/>
            </w:tcBorders>
            <w:vAlign w:val="top"/>
          </w:tcPr>
          <w:p w14:paraId="1983010A">
            <w:pPr>
              <w:spacing w:before="92" w:line="195" w:lineRule="auto"/>
              <w:ind w:left="335"/>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647" w:type="dxa"/>
            <w:tcBorders>
              <w:top w:val="single" w:color="000000" w:sz="10" w:space="0"/>
            </w:tcBorders>
            <w:vAlign w:val="top"/>
          </w:tcPr>
          <w:p w14:paraId="7740EA04">
            <w:pPr>
              <w:spacing w:before="92" w:line="195" w:lineRule="auto"/>
              <w:ind w:left="273"/>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647" w:type="dxa"/>
            <w:tcBorders>
              <w:top w:val="single" w:color="000000" w:sz="10" w:space="0"/>
            </w:tcBorders>
            <w:vAlign w:val="top"/>
          </w:tcPr>
          <w:p w14:paraId="379C66AB">
            <w:pPr>
              <w:spacing w:before="92" w:line="195"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536" w:type="dxa"/>
            <w:tcBorders>
              <w:top w:val="single" w:color="000000" w:sz="10" w:space="0"/>
            </w:tcBorders>
            <w:vAlign w:val="top"/>
          </w:tcPr>
          <w:p w14:paraId="240719EB">
            <w:pPr>
              <w:spacing w:before="93"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10"/>
                <w:sz w:val="20"/>
                <w:szCs w:val="20"/>
              </w:rPr>
              <w:t>11</w:t>
            </w:r>
          </w:p>
        </w:tc>
        <w:tc>
          <w:tcPr>
            <w:tcW w:w="536" w:type="dxa"/>
            <w:tcBorders>
              <w:top w:val="single" w:color="000000" w:sz="10" w:space="0"/>
            </w:tcBorders>
            <w:vAlign w:val="top"/>
          </w:tcPr>
          <w:p w14:paraId="43C0856A">
            <w:pPr>
              <w:spacing w:before="93" w:line="195" w:lineRule="auto"/>
              <w:ind w:left="18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641" w:type="dxa"/>
            <w:tcBorders>
              <w:top w:val="single" w:color="000000" w:sz="10" w:space="0"/>
              <w:right w:val="nil"/>
            </w:tcBorders>
            <w:vAlign w:val="top"/>
          </w:tcPr>
          <w:p w14:paraId="6DC12562">
            <w:pPr>
              <w:pStyle w:val="6"/>
              <w:spacing w:before="57" w:line="225" w:lineRule="auto"/>
              <w:ind w:left="116"/>
              <w:rPr>
                <w:sz w:val="20"/>
                <w:szCs w:val="20"/>
              </w:rPr>
            </w:pPr>
            <w:r>
              <w:rPr>
                <w:spacing w:val="5"/>
                <w:sz w:val="20"/>
                <w:szCs w:val="20"/>
              </w:rPr>
              <w:t>平均</w:t>
            </w:r>
          </w:p>
        </w:tc>
      </w:tr>
      <w:tr w14:paraId="4BCCA3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061" w:type="dxa"/>
            <w:tcBorders>
              <w:left w:val="nil"/>
              <w:bottom w:val="single" w:color="000000" w:sz="10" w:space="0"/>
            </w:tcBorders>
            <w:vAlign w:val="top"/>
          </w:tcPr>
          <w:p w14:paraId="39C98BAE">
            <w:pPr>
              <w:pStyle w:val="6"/>
              <w:spacing w:before="62" w:line="228" w:lineRule="auto"/>
              <w:jc w:val="right"/>
              <w:rPr>
                <w:sz w:val="20"/>
                <w:szCs w:val="20"/>
              </w:rPr>
            </w:pPr>
            <w:r>
              <w:rPr>
                <w:spacing w:val="-6"/>
                <w:sz w:val="20"/>
                <w:szCs w:val="20"/>
              </w:rPr>
              <w:t>风速（</w:t>
            </w:r>
            <w:r>
              <w:rPr>
                <w:rFonts w:ascii="Times New Roman" w:hAnsi="Times New Roman" w:eastAsia="Times New Roman" w:cs="Times New Roman"/>
                <w:spacing w:val="-6"/>
                <w:sz w:val="20"/>
                <w:szCs w:val="20"/>
              </w:rPr>
              <w:t>m/s</w:t>
            </w:r>
            <w:r>
              <w:rPr>
                <w:spacing w:val="-6"/>
                <w:sz w:val="20"/>
                <w:szCs w:val="20"/>
              </w:rPr>
              <w:t>）</w:t>
            </w:r>
          </w:p>
        </w:tc>
        <w:tc>
          <w:tcPr>
            <w:tcW w:w="463" w:type="dxa"/>
            <w:tcBorders>
              <w:bottom w:val="single" w:color="000000" w:sz="10" w:space="0"/>
            </w:tcBorders>
            <w:vAlign w:val="top"/>
          </w:tcPr>
          <w:p w14:paraId="1BD2A409">
            <w:pPr>
              <w:spacing w:before="98" w:line="195" w:lineRule="auto"/>
              <w:ind w:left="10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3.7</w:t>
            </w:r>
          </w:p>
        </w:tc>
        <w:tc>
          <w:tcPr>
            <w:tcW w:w="538" w:type="dxa"/>
            <w:tcBorders>
              <w:bottom w:val="single" w:color="000000" w:sz="10" w:space="0"/>
            </w:tcBorders>
            <w:vAlign w:val="top"/>
          </w:tcPr>
          <w:p w14:paraId="6AC6F347">
            <w:pPr>
              <w:spacing w:before="98" w:line="195" w:lineRule="auto"/>
              <w:ind w:left="1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3.6</w:t>
            </w:r>
          </w:p>
        </w:tc>
        <w:tc>
          <w:tcPr>
            <w:tcW w:w="538" w:type="dxa"/>
            <w:tcBorders>
              <w:bottom w:val="single" w:color="000000" w:sz="10" w:space="0"/>
            </w:tcBorders>
            <w:vAlign w:val="top"/>
          </w:tcPr>
          <w:p w14:paraId="4299F859">
            <w:pPr>
              <w:spacing w:before="98"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649" w:type="dxa"/>
            <w:tcBorders>
              <w:bottom w:val="single" w:color="000000" w:sz="10" w:space="0"/>
            </w:tcBorders>
            <w:vAlign w:val="top"/>
          </w:tcPr>
          <w:p w14:paraId="68756111">
            <w:pPr>
              <w:spacing w:before="98" w:line="195" w:lineRule="auto"/>
              <w:ind w:left="1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w:t>
            </w:r>
          </w:p>
        </w:tc>
        <w:tc>
          <w:tcPr>
            <w:tcW w:w="647" w:type="dxa"/>
            <w:tcBorders>
              <w:bottom w:val="single" w:color="000000" w:sz="10" w:space="0"/>
            </w:tcBorders>
            <w:vAlign w:val="top"/>
          </w:tcPr>
          <w:p w14:paraId="48309E12">
            <w:pPr>
              <w:spacing w:before="98" w:line="195" w:lineRule="auto"/>
              <w:ind w:left="1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647" w:type="dxa"/>
            <w:tcBorders>
              <w:bottom w:val="single" w:color="000000" w:sz="10" w:space="0"/>
            </w:tcBorders>
            <w:vAlign w:val="top"/>
          </w:tcPr>
          <w:p w14:paraId="601BEE69">
            <w:pPr>
              <w:spacing w:before="98" w:line="195" w:lineRule="auto"/>
              <w:ind w:left="19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3.9</w:t>
            </w:r>
          </w:p>
        </w:tc>
        <w:tc>
          <w:tcPr>
            <w:tcW w:w="761" w:type="dxa"/>
            <w:tcBorders>
              <w:bottom w:val="single" w:color="000000" w:sz="10" w:space="0"/>
            </w:tcBorders>
            <w:vAlign w:val="top"/>
          </w:tcPr>
          <w:p w14:paraId="79E9F4A2">
            <w:pPr>
              <w:spacing w:before="98"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w:t>
            </w:r>
          </w:p>
        </w:tc>
        <w:tc>
          <w:tcPr>
            <w:tcW w:w="761" w:type="dxa"/>
            <w:tcBorders>
              <w:bottom w:val="single" w:color="000000" w:sz="10" w:space="0"/>
            </w:tcBorders>
            <w:vAlign w:val="top"/>
          </w:tcPr>
          <w:p w14:paraId="6AAB1D7D">
            <w:pPr>
              <w:spacing w:before="98"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647" w:type="dxa"/>
            <w:tcBorders>
              <w:bottom w:val="single" w:color="000000" w:sz="10" w:space="0"/>
            </w:tcBorders>
            <w:vAlign w:val="top"/>
          </w:tcPr>
          <w:p w14:paraId="6C1B84C8">
            <w:pPr>
              <w:spacing w:before="98" w:line="195" w:lineRule="auto"/>
              <w:ind w:left="19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w:t>
            </w:r>
          </w:p>
        </w:tc>
        <w:tc>
          <w:tcPr>
            <w:tcW w:w="647" w:type="dxa"/>
            <w:tcBorders>
              <w:bottom w:val="single" w:color="000000" w:sz="10" w:space="0"/>
            </w:tcBorders>
            <w:vAlign w:val="top"/>
          </w:tcPr>
          <w:p w14:paraId="50F0D7AF">
            <w:pPr>
              <w:spacing w:before="98" w:line="195" w:lineRule="auto"/>
              <w:ind w:left="19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w:t>
            </w:r>
          </w:p>
        </w:tc>
        <w:tc>
          <w:tcPr>
            <w:tcW w:w="536" w:type="dxa"/>
            <w:tcBorders>
              <w:bottom w:val="single" w:color="000000" w:sz="10" w:space="0"/>
            </w:tcBorders>
            <w:vAlign w:val="top"/>
          </w:tcPr>
          <w:p w14:paraId="19D9110E">
            <w:pPr>
              <w:spacing w:before="98" w:line="195" w:lineRule="auto"/>
              <w:ind w:left="13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536" w:type="dxa"/>
            <w:tcBorders>
              <w:bottom w:val="single" w:color="000000" w:sz="10" w:space="0"/>
            </w:tcBorders>
            <w:vAlign w:val="top"/>
          </w:tcPr>
          <w:p w14:paraId="3E521385">
            <w:pPr>
              <w:spacing w:before="98" w:line="195" w:lineRule="auto"/>
              <w:ind w:left="1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w:t>
            </w:r>
          </w:p>
        </w:tc>
        <w:tc>
          <w:tcPr>
            <w:tcW w:w="641" w:type="dxa"/>
            <w:tcBorders>
              <w:bottom w:val="single" w:color="000000" w:sz="10" w:space="0"/>
              <w:right w:val="nil"/>
            </w:tcBorders>
            <w:vAlign w:val="top"/>
          </w:tcPr>
          <w:p w14:paraId="291CE32A">
            <w:pPr>
              <w:spacing w:before="98" w:line="195" w:lineRule="auto"/>
              <w:ind w:left="19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3.9</w:t>
            </w:r>
          </w:p>
        </w:tc>
      </w:tr>
    </w:tbl>
    <w:p w14:paraId="78C827FA">
      <w:pPr>
        <w:spacing w:before="174" w:line="3396" w:lineRule="exact"/>
        <w:ind w:firstLine="646"/>
      </w:pPr>
      <w:r>
        <w:rPr>
          <w:position w:val="-67"/>
        </w:rPr>
        <w:drawing>
          <wp:inline distT="0" distB="0" distL="0" distR="0">
            <wp:extent cx="4937125" cy="2155825"/>
            <wp:effectExtent l="0" t="0" r="0" b="0"/>
            <wp:docPr id="70" name="IM 70"/>
            <wp:cNvGraphicFramePr/>
            <a:graphic xmlns:a="http://schemas.openxmlformats.org/drawingml/2006/main">
              <a:graphicData uri="http://schemas.openxmlformats.org/drawingml/2006/picture">
                <pic:pic xmlns:pic="http://schemas.openxmlformats.org/drawingml/2006/picture">
                  <pic:nvPicPr>
                    <pic:cNvPr id="70" name="IM 70"/>
                    <pic:cNvPicPr/>
                  </pic:nvPicPr>
                  <pic:blipFill>
                    <a:blip r:embed="rId613"/>
                    <a:stretch>
                      <a:fillRect/>
                    </a:stretch>
                  </pic:blipFill>
                  <pic:spPr>
                    <a:xfrm>
                      <a:off x="0" y="0"/>
                      <a:ext cx="4937759" cy="2156459"/>
                    </a:xfrm>
                    <a:prstGeom prst="rect">
                      <a:avLst/>
                    </a:prstGeom>
                  </pic:spPr>
                </pic:pic>
              </a:graphicData>
            </a:graphic>
          </wp:inline>
        </w:drawing>
      </w:r>
    </w:p>
    <w:p w14:paraId="3A9C4D60">
      <w:pPr>
        <w:spacing w:before="147" w:line="228" w:lineRule="auto"/>
        <w:ind w:left="2528"/>
        <w:rPr>
          <w:rFonts w:ascii="宋体" w:hAnsi="宋体" w:eastAsia="宋体" w:cs="宋体"/>
          <w:sz w:val="20"/>
          <w:szCs w:val="20"/>
        </w:rPr>
      </w:pPr>
      <w:r>
        <w:rPr>
          <w:rFonts w:ascii="宋体" w:hAnsi="宋体" w:eastAsia="宋体" w:cs="宋体"/>
          <w:b/>
          <w:bCs/>
          <w:spacing w:val="5"/>
          <w:sz w:val="20"/>
          <w:szCs w:val="20"/>
        </w:rPr>
        <w:t>图</w:t>
      </w:r>
      <w:r>
        <w:rPr>
          <w:rFonts w:ascii="宋体" w:hAnsi="宋体" w:eastAsia="宋体" w:cs="宋体"/>
          <w:spacing w:val="-40"/>
          <w:sz w:val="20"/>
          <w:szCs w:val="20"/>
        </w:rPr>
        <w:t xml:space="preserve"> </w:t>
      </w:r>
      <w:r>
        <w:rPr>
          <w:rFonts w:ascii="Times New Roman" w:hAnsi="Times New Roman" w:eastAsia="Times New Roman" w:cs="Times New Roman"/>
          <w:b/>
          <w:bCs/>
          <w:spacing w:val="5"/>
          <w:sz w:val="20"/>
          <w:szCs w:val="20"/>
        </w:rPr>
        <w:t xml:space="preserve">4.1-4        </w:t>
      </w:r>
      <w:r>
        <w:rPr>
          <w:rFonts w:ascii="宋体" w:hAnsi="宋体" w:eastAsia="宋体" w:cs="宋体"/>
          <w:b/>
          <w:bCs/>
          <w:spacing w:val="5"/>
          <w:sz w:val="20"/>
          <w:szCs w:val="20"/>
        </w:rPr>
        <w:t>苏尼特右旗月</w:t>
      </w:r>
      <w:r>
        <w:rPr>
          <w:rFonts w:ascii="宋体" w:hAnsi="宋体" w:eastAsia="宋体" w:cs="宋体"/>
          <w:b/>
          <w:bCs/>
          <w:spacing w:val="4"/>
          <w:sz w:val="20"/>
          <w:szCs w:val="20"/>
        </w:rPr>
        <w:t>平均风速变化曲线</w:t>
      </w:r>
    </w:p>
    <w:p w14:paraId="5794BCF1">
      <w:pPr>
        <w:spacing w:before="207" w:line="217" w:lineRule="auto"/>
        <w:ind w:left="486"/>
        <w:rPr>
          <w:rFonts w:ascii="宋体" w:hAnsi="宋体" w:eastAsia="宋体" w:cs="宋体"/>
          <w:sz w:val="24"/>
          <w:szCs w:val="24"/>
        </w:rPr>
      </w:pPr>
      <w:r>
        <w:rPr>
          <w:rFonts w:ascii="宋体" w:hAnsi="宋体" w:eastAsia="宋体" w:cs="宋体"/>
          <w:spacing w:val="-1"/>
          <w:sz w:val="24"/>
          <w:szCs w:val="24"/>
        </w:rPr>
        <w:t>③地面风频月变化</w:t>
      </w:r>
    </w:p>
    <w:p w14:paraId="1E1B4BEB">
      <w:pPr>
        <w:spacing w:before="186" w:line="219" w:lineRule="auto"/>
        <w:ind w:left="488"/>
        <w:rPr>
          <w:rFonts w:ascii="宋体" w:hAnsi="宋体" w:eastAsia="宋体" w:cs="宋体"/>
          <w:sz w:val="24"/>
          <w:szCs w:val="24"/>
        </w:rPr>
      </w:pPr>
      <w:r>
        <w:rPr>
          <w:rFonts w:ascii="宋体" w:hAnsi="宋体" w:eastAsia="宋体" w:cs="宋体"/>
          <w:spacing w:val="-2"/>
          <w:sz w:val="24"/>
          <w:szCs w:val="24"/>
        </w:rPr>
        <w:t>地面风向频率月变化情况见表</w:t>
      </w:r>
      <w:r>
        <w:rPr>
          <w:rFonts w:ascii="Times New Roman" w:hAnsi="Times New Roman" w:eastAsia="Times New Roman" w:cs="Times New Roman"/>
          <w:spacing w:val="-2"/>
          <w:sz w:val="24"/>
          <w:szCs w:val="24"/>
        </w:rPr>
        <w:t>4.</w:t>
      </w:r>
      <w:r>
        <w:rPr>
          <w:rFonts w:ascii="Times New Roman" w:hAnsi="Times New Roman" w:eastAsia="Times New Roman" w:cs="Times New Roman"/>
          <w:spacing w:val="-18"/>
          <w:sz w:val="24"/>
          <w:szCs w:val="24"/>
        </w:rPr>
        <w:t xml:space="preserve"> </w:t>
      </w:r>
      <w:r>
        <w:rPr>
          <w:rFonts w:ascii="Times New Roman" w:hAnsi="Times New Roman" w:eastAsia="Times New Roman" w:cs="Times New Roman"/>
          <w:spacing w:val="-2"/>
          <w:sz w:val="24"/>
          <w:szCs w:val="24"/>
        </w:rPr>
        <w:t>1-5</w:t>
      </w:r>
      <w:r>
        <w:rPr>
          <w:rFonts w:ascii="宋体" w:hAnsi="宋体" w:eastAsia="宋体" w:cs="宋体"/>
          <w:spacing w:val="-2"/>
          <w:sz w:val="24"/>
          <w:szCs w:val="24"/>
        </w:rPr>
        <w:t>和图</w:t>
      </w:r>
      <w:r>
        <w:rPr>
          <w:rFonts w:ascii="Times New Roman" w:hAnsi="Times New Roman" w:eastAsia="Times New Roman" w:cs="Times New Roman"/>
          <w:spacing w:val="-2"/>
          <w:sz w:val="24"/>
          <w:szCs w:val="24"/>
        </w:rPr>
        <w:t>4.1-5</w:t>
      </w:r>
      <w:r>
        <w:rPr>
          <w:rFonts w:ascii="宋体" w:hAnsi="宋体" w:eastAsia="宋体" w:cs="宋体"/>
          <w:spacing w:val="-2"/>
          <w:sz w:val="24"/>
          <w:szCs w:val="24"/>
        </w:rPr>
        <w:t>。</w:t>
      </w:r>
    </w:p>
    <w:p w14:paraId="7592C9CC">
      <w:pPr>
        <w:spacing w:before="197" w:line="228" w:lineRule="auto"/>
        <w:ind w:left="1823"/>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6"/>
          <w:sz w:val="20"/>
          <w:szCs w:val="20"/>
        </w:rPr>
        <w:t xml:space="preserve"> </w:t>
      </w:r>
      <w:r>
        <w:rPr>
          <w:rFonts w:ascii="Times New Roman" w:hAnsi="Times New Roman" w:eastAsia="Times New Roman" w:cs="Times New Roman"/>
          <w:b/>
          <w:bCs/>
          <w:spacing w:val="5"/>
          <w:sz w:val="20"/>
          <w:szCs w:val="20"/>
        </w:rPr>
        <w:t xml:space="preserve">4.1-5        </w:t>
      </w:r>
      <w:r>
        <w:rPr>
          <w:rFonts w:ascii="宋体" w:hAnsi="宋体" w:eastAsia="宋体" w:cs="宋体"/>
          <w:b/>
          <w:bCs/>
          <w:spacing w:val="5"/>
          <w:sz w:val="20"/>
          <w:szCs w:val="20"/>
        </w:rPr>
        <w:t>苏尼特右旗近</w:t>
      </w:r>
      <w:r>
        <w:rPr>
          <w:rFonts w:ascii="宋体" w:hAnsi="宋体" w:eastAsia="宋体" w:cs="宋体"/>
          <w:spacing w:val="-42"/>
          <w:sz w:val="20"/>
          <w:szCs w:val="20"/>
        </w:rPr>
        <w:t xml:space="preserve"> </w:t>
      </w:r>
      <w:r>
        <w:rPr>
          <w:rFonts w:ascii="Times New Roman" w:hAnsi="Times New Roman" w:eastAsia="Times New Roman" w:cs="Times New Roman"/>
          <w:b/>
          <w:bCs/>
          <w:spacing w:val="5"/>
          <w:sz w:val="20"/>
          <w:szCs w:val="20"/>
        </w:rPr>
        <w:t xml:space="preserve">30 </w:t>
      </w:r>
      <w:r>
        <w:rPr>
          <w:rFonts w:ascii="宋体" w:hAnsi="宋体" w:eastAsia="宋体" w:cs="宋体"/>
          <w:b/>
          <w:bCs/>
          <w:spacing w:val="5"/>
          <w:sz w:val="20"/>
          <w:szCs w:val="20"/>
        </w:rPr>
        <w:t>年各月风向频率统计表（</w:t>
      </w:r>
      <w:r>
        <w:rPr>
          <w:rFonts w:ascii="Times New Roman" w:hAnsi="Times New Roman" w:eastAsia="Times New Roman" w:cs="Times New Roman"/>
          <w:b/>
          <w:bCs/>
          <w:spacing w:val="5"/>
          <w:sz w:val="20"/>
          <w:szCs w:val="20"/>
        </w:rPr>
        <w:t>%</w:t>
      </w:r>
      <w:r>
        <w:rPr>
          <w:rFonts w:ascii="宋体" w:hAnsi="宋体" w:eastAsia="宋体" w:cs="宋体"/>
          <w:b/>
          <w:bCs/>
          <w:spacing w:val="5"/>
          <w:sz w:val="20"/>
          <w:szCs w:val="20"/>
        </w:rPr>
        <w:t>）</w:t>
      </w:r>
    </w:p>
    <w:p w14:paraId="34342008">
      <w:pPr>
        <w:spacing w:line="92" w:lineRule="exact"/>
      </w:pPr>
    </w:p>
    <w:tbl>
      <w:tblPr>
        <w:tblStyle w:val="5"/>
        <w:tblW w:w="907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25"/>
        <w:gridCol w:w="335"/>
        <w:gridCol w:w="546"/>
        <w:gridCol w:w="356"/>
        <w:gridCol w:w="516"/>
        <w:gridCol w:w="336"/>
        <w:gridCol w:w="475"/>
        <w:gridCol w:w="336"/>
        <w:gridCol w:w="466"/>
        <w:gridCol w:w="466"/>
        <w:gridCol w:w="546"/>
        <w:gridCol w:w="398"/>
        <w:gridCol w:w="648"/>
        <w:gridCol w:w="466"/>
        <w:gridCol w:w="693"/>
        <w:gridCol w:w="466"/>
        <w:gridCol w:w="633"/>
        <w:gridCol w:w="464"/>
      </w:tblGrid>
      <w:tr w14:paraId="06B3FE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925" w:type="dxa"/>
            <w:tcBorders>
              <w:top w:val="single" w:color="000000" w:sz="10" w:space="0"/>
              <w:left w:val="nil"/>
              <w:tl2br w:val="single" w:color="000000" w:sz="2" w:space="0"/>
            </w:tcBorders>
            <w:vAlign w:val="top"/>
          </w:tcPr>
          <w:p w14:paraId="616A62E9">
            <w:pPr>
              <w:pStyle w:val="6"/>
              <w:spacing w:before="56" w:line="259" w:lineRule="auto"/>
              <w:ind w:left="7" w:right="95" w:firstLine="410"/>
              <w:rPr>
                <w:sz w:val="20"/>
                <w:szCs w:val="20"/>
              </w:rPr>
            </w:pPr>
            <w:r>
              <w:rPr>
                <w:spacing w:val="4"/>
                <w:sz w:val="20"/>
                <w:szCs w:val="20"/>
              </w:rPr>
              <w:t>风向</w:t>
            </w:r>
            <w:r>
              <w:rPr>
                <w:sz w:val="20"/>
                <w:szCs w:val="20"/>
              </w:rPr>
              <w:t xml:space="preserve"> </w:t>
            </w:r>
            <w:r>
              <w:rPr>
                <w:spacing w:val="4"/>
                <w:sz w:val="20"/>
                <w:szCs w:val="20"/>
              </w:rPr>
              <w:t>风频</w:t>
            </w:r>
          </w:p>
        </w:tc>
        <w:tc>
          <w:tcPr>
            <w:tcW w:w="335" w:type="dxa"/>
            <w:tcBorders>
              <w:top w:val="single" w:color="000000" w:sz="10" w:space="0"/>
            </w:tcBorders>
            <w:vAlign w:val="top"/>
          </w:tcPr>
          <w:p w14:paraId="3FCB28C2">
            <w:pPr>
              <w:spacing w:before="251" w:line="192" w:lineRule="auto"/>
              <w:ind w:left="8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t>
            </w:r>
          </w:p>
        </w:tc>
        <w:tc>
          <w:tcPr>
            <w:tcW w:w="546" w:type="dxa"/>
            <w:tcBorders>
              <w:top w:val="single" w:color="000000" w:sz="10" w:space="0"/>
            </w:tcBorders>
            <w:vAlign w:val="top"/>
          </w:tcPr>
          <w:p w14:paraId="7FC5B5F5">
            <w:pPr>
              <w:spacing w:before="251" w:line="192" w:lineRule="auto"/>
              <w:ind w:left="51"/>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NNE</w:t>
            </w:r>
          </w:p>
        </w:tc>
        <w:tc>
          <w:tcPr>
            <w:tcW w:w="356" w:type="dxa"/>
            <w:tcBorders>
              <w:top w:val="single" w:color="000000" w:sz="10" w:space="0"/>
            </w:tcBorders>
            <w:vAlign w:val="top"/>
          </w:tcPr>
          <w:p w14:paraId="1B667FD4">
            <w:pPr>
              <w:spacing w:before="251" w:line="192"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NE</w:t>
            </w:r>
          </w:p>
        </w:tc>
        <w:tc>
          <w:tcPr>
            <w:tcW w:w="516" w:type="dxa"/>
            <w:tcBorders>
              <w:top w:val="single" w:color="000000" w:sz="10" w:space="0"/>
            </w:tcBorders>
            <w:vAlign w:val="top"/>
          </w:tcPr>
          <w:p w14:paraId="4197A633">
            <w:pPr>
              <w:spacing w:before="251" w:line="192"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ENE</w:t>
            </w:r>
          </w:p>
        </w:tc>
        <w:tc>
          <w:tcPr>
            <w:tcW w:w="336" w:type="dxa"/>
            <w:tcBorders>
              <w:top w:val="single" w:color="000000" w:sz="10" w:space="0"/>
            </w:tcBorders>
            <w:vAlign w:val="top"/>
          </w:tcPr>
          <w:p w14:paraId="55E943E2">
            <w:pPr>
              <w:spacing w:before="251" w:line="192" w:lineRule="auto"/>
              <w:ind w:left="106"/>
              <w:rPr>
                <w:rFonts w:ascii="Times New Roman" w:hAnsi="Times New Roman" w:eastAsia="Times New Roman" w:cs="Times New Roman"/>
                <w:sz w:val="20"/>
                <w:szCs w:val="20"/>
              </w:rPr>
            </w:pPr>
            <w:r>
              <w:rPr>
                <w:rFonts w:ascii="Times New Roman" w:hAnsi="Times New Roman" w:eastAsia="Times New Roman" w:cs="Times New Roman"/>
                <w:sz w:val="20"/>
                <w:szCs w:val="20"/>
              </w:rPr>
              <w:t>E</w:t>
            </w:r>
          </w:p>
        </w:tc>
        <w:tc>
          <w:tcPr>
            <w:tcW w:w="475" w:type="dxa"/>
            <w:tcBorders>
              <w:top w:val="single" w:color="000000" w:sz="10" w:space="0"/>
            </w:tcBorders>
            <w:vAlign w:val="top"/>
          </w:tcPr>
          <w:p w14:paraId="621296FF">
            <w:pPr>
              <w:spacing w:before="248" w:line="195" w:lineRule="auto"/>
              <w:ind w:left="5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ESE</w:t>
            </w:r>
          </w:p>
        </w:tc>
        <w:tc>
          <w:tcPr>
            <w:tcW w:w="336" w:type="dxa"/>
            <w:tcBorders>
              <w:top w:val="single" w:color="000000" w:sz="10" w:space="0"/>
            </w:tcBorders>
            <w:vAlign w:val="top"/>
          </w:tcPr>
          <w:p w14:paraId="14B24845">
            <w:pPr>
              <w:spacing w:before="248"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SE</w:t>
            </w:r>
          </w:p>
        </w:tc>
        <w:tc>
          <w:tcPr>
            <w:tcW w:w="466" w:type="dxa"/>
            <w:tcBorders>
              <w:top w:val="single" w:color="000000" w:sz="10" w:space="0"/>
            </w:tcBorders>
            <w:vAlign w:val="top"/>
          </w:tcPr>
          <w:p w14:paraId="052D587C">
            <w:pPr>
              <w:spacing w:before="248" w:line="195" w:lineRule="auto"/>
              <w:ind w:left="63"/>
              <w:rPr>
                <w:rFonts w:ascii="Times New Roman" w:hAnsi="Times New Roman" w:eastAsia="Times New Roman" w:cs="Times New Roman"/>
                <w:sz w:val="20"/>
                <w:szCs w:val="20"/>
              </w:rPr>
            </w:pPr>
            <w:r>
              <w:rPr>
                <w:rFonts w:ascii="Times New Roman" w:hAnsi="Times New Roman" w:eastAsia="Times New Roman" w:cs="Times New Roman"/>
                <w:sz w:val="20"/>
                <w:szCs w:val="20"/>
              </w:rPr>
              <w:t>SSE</w:t>
            </w:r>
          </w:p>
        </w:tc>
        <w:tc>
          <w:tcPr>
            <w:tcW w:w="466" w:type="dxa"/>
            <w:tcBorders>
              <w:top w:val="single" w:color="000000" w:sz="10" w:space="0"/>
            </w:tcBorders>
            <w:vAlign w:val="top"/>
          </w:tcPr>
          <w:p w14:paraId="33BAE249">
            <w:pPr>
              <w:spacing w:before="248" w:line="195" w:lineRule="auto"/>
              <w:ind w:left="185"/>
              <w:rPr>
                <w:rFonts w:ascii="Times New Roman" w:hAnsi="Times New Roman" w:eastAsia="Times New Roman" w:cs="Times New Roman"/>
                <w:sz w:val="20"/>
                <w:szCs w:val="20"/>
              </w:rPr>
            </w:pPr>
            <w:r>
              <w:rPr>
                <w:rFonts w:ascii="Times New Roman" w:hAnsi="Times New Roman" w:eastAsia="Times New Roman" w:cs="Times New Roman"/>
                <w:sz w:val="20"/>
                <w:szCs w:val="20"/>
              </w:rPr>
              <w:t>S</w:t>
            </w:r>
          </w:p>
        </w:tc>
        <w:tc>
          <w:tcPr>
            <w:tcW w:w="546" w:type="dxa"/>
            <w:tcBorders>
              <w:top w:val="single" w:color="000000" w:sz="10" w:space="0"/>
            </w:tcBorders>
            <w:vAlign w:val="top"/>
          </w:tcPr>
          <w:p w14:paraId="265987BF">
            <w:pPr>
              <w:spacing w:before="248" w:line="195" w:lineRule="auto"/>
              <w:ind w:left="6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SSW</w:t>
            </w:r>
          </w:p>
        </w:tc>
        <w:tc>
          <w:tcPr>
            <w:tcW w:w="398" w:type="dxa"/>
            <w:tcBorders>
              <w:top w:val="single" w:color="000000" w:sz="10" w:space="0"/>
            </w:tcBorders>
            <w:vAlign w:val="top"/>
          </w:tcPr>
          <w:p w14:paraId="3A8C15F4">
            <w:pPr>
              <w:spacing w:before="248" w:line="195" w:lineRule="auto"/>
              <w:ind w:left="5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SW</w:t>
            </w:r>
          </w:p>
        </w:tc>
        <w:tc>
          <w:tcPr>
            <w:tcW w:w="648" w:type="dxa"/>
            <w:tcBorders>
              <w:top w:val="single" w:color="000000" w:sz="10" w:space="0"/>
            </w:tcBorders>
            <w:vAlign w:val="top"/>
          </w:tcPr>
          <w:p w14:paraId="1F7B0A85">
            <w:pPr>
              <w:spacing w:before="248" w:line="195" w:lineRule="auto"/>
              <w:ind w:left="67"/>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WSW</w:t>
            </w:r>
          </w:p>
        </w:tc>
        <w:tc>
          <w:tcPr>
            <w:tcW w:w="466" w:type="dxa"/>
            <w:tcBorders>
              <w:top w:val="single" w:color="000000" w:sz="10" w:space="0"/>
            </w:tcBorders>
            <w:vAlign w:val="top"/>
          </w:tcPr>
          <w:p w14:paraId="5264BD61">
            <w:pPr>
              <w:spacing w:before="251" w:line="192" w:lineRule="auto"/>
              <w:ind w:left="135"/>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W</w:t>
            </w:r>
          </w:p>
        </w:tc>
        <w:tc>
          <w:tcPr>
            <w:tcW w:w="693" w:type="dxa"/>
            <w:tcBorders>
              <w:top w:val="single" w:color="000000" w:sz="10" w:space="0"/>
            </w:tcBorders>
            <w:vAlign w:val="top"/>
          </w:tcPr>
          <w:p w14:paraId="52F0108F">
            <w:pPr>
              <w:spacing w:before="251" w:line="192"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WNW</w:t>
            </w:r>
          </w:p>
        </w:tc>
        <w:tc>
          <w:tcPr>
            <w:tcW w:w="466" w:type="dxa"/>
            <w:tcBorders>
              <w:top w:val="single" w:color="000000" w:sz="10" w:space="0"/>
            </w:tcBorders>
            <w:vAlign w:val="top"/>
          </w:tcPr>
          <w:p w14:paraId="712463BE">
            <w:pPr>
              <w:spacing w:before="251" w:line="192" w:lineRule="auto"/>
              <w:ind w:left="5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w:t>
            </w:r>
          </w:p>
        </w:tc>
        <w:tc>
          <w:tcPr>
            <w:tcW w:w="633" w:type="dxa"/>
            <w:tcBorders>
              <w:top w:val="single" w:color="000000" w:sz="10" w:space="0"/>
            </w:tcBorders>
            <w:vAlign w:val="top"/>
          </w:tcPr>
          <w:p w14:paraId="7A833F72">
            <w:pPr>
              <w:spacing w:before="251" w:line="192"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NNW</w:t>
            </w:r>
          </w:p>
        </w:tc>
        <w:tc>
          <w:tcPr>
            <w:tcW w:w="464" w:type="dxa"/>
            <w:tcBorders>
              <w:top w:val="single" w:color="000000" w:sz="10" w:space="0"/>
              <w:right w:val="nil"/>
            </w:tcBorders>
            <w:vAlign w:val="top"/>
          </w:tcPr>
          <w:p w14:paraId="0108EF6B">
            <w:pPr>
              <w:spacing w:before="248" w:line="195" w:lineRule="auto"/>
              <w:ind w:left="169"/>
              <w:rPr>
                <w:rFonts w:ascii="Times New Roman" w:hAnsi="Times New Roman" w:eastAsia="Times New Roman" w:cs="Times New Roman"/>
                <w:sz w:val="20"/>
                <w:szCs w:val="20"/>
              </w:rPr>
            </w:pPr>
            <w:r>
              <w:rPr>
                <w:rFonts w:ascii="Times New Roman" w:hAnsi="Times New Roman" w:eastAsia="Times New Roman" w:cs="Times New Roman"/>
                <w:sz w:val="20"/>
                <w:szCs w:val="20"/>
              </w:rPr>
              <w:t>C</w:t>
            </w:r>
          </w:p>
        </w:tc>
      </w:tr>
      <w:tr w14:paraId="4E46F3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25" w:type="dxa"/>
            <w:tcBorders>
              <w:left w:val="nil"/>
            </w:tcBorders>
            <w:vAlign w:val="top"/>
          </w:tcPr>
          <w:p w14:paraId="01A5DEEF">
            <w:pPr>
              <w:pStyle w:val="6"/>
              <w:spacing w:before="51" w:line="228" w:lineRule="auto"/>
              <w:ind w:left="262"/>
              <w:rPr>
                <w:sz w:val="20"/>
                <w:szCs w:val="20"/>
              </w:rPr>
            </w:pPr>
            <w:r>
              <w:rPr>
                <w:spacing w:val="3"/>
                <w:sz w:val="20"/>
                <w:szCs w:val="20"/>
              </w:rPr>
              <w:t>一月</w:t>
            </w:r>
          </w:p>
        </w:tc>
        <w:tc>
          <w:tcPr>
            <w:tcW w:w="335" w:type="dxa"/>
            <w:vAlign w:val="top"/>
          </w:tcPr>
          <w:p w14:paraId="61517993">
            <w:pPr>
              <w:spacing w:before="88"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6"/>
                <w:sz w:val="20"/>
                <w:szCs w:val="20"/>
              </w:rPr>
              <w:t>1</w:t>
            </w:r>
          </w:p>
        </w:tc>
        <w:tc>
          <w:tcPr>
            <w:tcW w:w="546" w:type="dxa"/>
            <w:vAlign w:val="top"/>
          </w:tcPr>
          <w:p w14:paraId="5A1FAEF9">
            <w:pPr>
              <w:spacing w:before="88"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356" w:type="dxa"/>
            <w:vAlign w:val="top"/>
          </w:tcPr>
          <w:p w14:paraId="5061429D">
            <w:pPr>
              <w:spacing w:before="88"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0.7</w:t>
            </w:r>
          </w:p>
        </w:tc>
        <w:tc>
          <w:tcPr>
            <w:tcW w:w="516" w:type="dxa"/>
            <w:vAlign w:val="top"/>
          </w:tcPr>
          <w:p w14:paraId="6CE3227B">
            <w:pPr>
              <w:spacing w:before="88" w:line="195" w:lineRule="auto"/>
              <w:ind w:left="148"/>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6"/>
                <w:sz w:val="20"/>
                <w:szCs w:val="20"/>
              </w:rPr>
              <w:t>1</w:t>
            </w:r>
          </w:p>
        </w:tc>
        <w:tc>
          <w:tcPr>
            <w:tcW w:w="336" w:type="dxa"/>
            <w:vAlign w:val="top"/>
          </w:tcPr>
          <w:p w14:paraId="5176EF00">
            <w:pPr>
              <w:spacing w:before="88"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1.9</w:t>
            </w:r>
          </w:p>
        </w:tc>
        <w:tc>
          <w:tcPr>
            <w:tcW w:w="475" w:type="dxa"/>
            <w:vAlign w:val="top"/>
          </w:tcPr>
          <w:p w14:paraId="2D5B50E6">
            <w:pPr>
              <w:spacing w:before="88" w:line="195"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c>
          <w:tcPr>
            <w:tcW w:w="336" w:type="dxa"/>
            <w:vAlign w:val="top"/>
          </w:tcPr>
          <w:p w14:paraId="2B98D79E">
            <w:pPr>
              <w:spacing w:before="88"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1.3</w:t>
            </w:r>
          </w:p>
        </w:tc>
        <w:tc>
          <w:tcPr>
            <w:tcW w:w="466" w:type="dxa"/>
            <w:vAlign w:val="top"/>
          </w:tcPr>
          <w:p w14:paraId="7D42F074">
            <w:pPr>
              <w:spacing w:before="88"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c>
          <w:tcPr>
            <w:tcW w:w="466" w:type="dxa"/>
            <w:vAlign w:val="top"/>
          </w:tcPr>
          <w:p w14:paraId="2B484953">
            <w:pPr>
              <w:spacing w:before="88" w:line="195" w:lineRule="auto"/>
              <w:ind w:left="10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546" w:type="dxa"/>
            <w:vAlign w:val="top"/>
          </w:tcPr>
          <w:p w14:paraId="36E63877">
            <w:pPr>
              <w:spacing w:before="88"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w:t>
            </w:r>
          </w:p>
        </w:tc>
        <w:tc>
          <w:tcPr>
            <w:tcW w:w="398" w:type="dxa"/>
            <w:vAlign w:val="top"/>
          </w:tcPr>
          <w:p w14:paraId="53E9E91D">
            <w:pPr>
              <w:spacing w:before="88"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13.0</w:t>
            </w:r>
          </w:p>
        </w:tc>
        <w:tc>
          <w:tcPr>
            <w:tcW w:w="648" w:type="dxa"/>
            <w:vAlign w:val="top"/>
          </w:tcPr>
          <w:p w14:paraId="0AD2380A">
            <w:pPr>
              <w:spacing w:before="88"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29.5</w:t>
            </w:r>
          </w:p>
        </w:tc>
        <w:tc>
          <w:tcPr>
            <w:tcW w:w="466" w:type="dxa"/>
            <w:vAlign w:val="top"/>
          </w:tcPr>
          <w:p w14:paraId="55F95607">
            <w:pPr>
              <w:spacing w:before="88"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17.7</w:t>
            </w:r>
          </w:p>
        </w:tc>
        <w:tc>
          <w:tcPr>
            <w:tcW w:w="693" w:type="dxa"/>
            <w:vAlign w:val="top"/>
          </w:tcPr>
          <w:p w14:paraId="430E1B8C">
            <w:pPr>
              <w:spacing w:before="88"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9.5</w:t>
            </w:r>
          </w:p>
        </w:tc>
        <w:tc>
          <w:tcPr>
            <w:tcW w:w="466" w:type="dxa"/>
            <w:vAlign w:val="top"/>
          </w:tcPr>
          <w:p w14:paraId="7E1CFEB9">
            <w:pPr>
              <w:spacing w:before="88" w:line="195" w:lineRule="auto"/>
              <w:ind w:left="10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633" w:type="dxa"/>
            <w:vAlign w:val="top"/>
          </w:tcPr>
          <w:p w14:paraId="0A913E61">
            <w:pPr>
              <w:spacing w:before="88" w:line="195" w:lineRule="auto"/>
              <w:ind w:left="20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1.6</w:t>
            </w:r>
          </w:p>
        </w:tc>
        <w:tc>
          <w:tcPr>
            <w:tcW w:w="464" w:type="dxa"/>
            <w:tcBorders>
              <w:right w:val="nil"/>
            </w:tcBorders>
            <w:vAlign w:val="top"/>
          </w:tcPr>
          <w:p w14:paraId="19293FA9">
            <w:pPr>
              <w:spacing w:before="88" w:line="195" w:lineRule="auto"/>
              <w:ind w:left="1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9.2</w:t>
            </w:r>
          </w:p>
        </w:tc>
      </w:tr>
      <w:tr w14:paraId="2BA3EE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25" w:type="dxa"/>
            <w:tcBorders>
              <w:left w:val="nil"/>
            </w:tcBorders>
            <w:vAlign w:val="top"/>
          </w:tcPr>
          <w:p w14:paraId="297E4F2A">
            <w:pPr>
              <w:pStyle w:val="6"/>
              <w:spacing w:before="54" w:line="227" w:lineRule="auto"/>
              <w:ind w:left="262"/>
              <w:rPr>
                <w:sz w:val="20"/>
                <w:szCs w:val="20"/>
              </w:rPr>
            </w:pPr>
            <w:r>
              <w:rPr>
                <w:spacing w:val="3"/>
                <w:sz w:val="20"/>
                <w:szCs w:val="20"/>
              </w:rPr>
              <w:t>二月</w:t>
            </w:r>
          </w:p>
        </w:tc>
        <w:tc>
          <w:tcPr>
            <w:tcW w:w="335" w:type="dxa"/>
            <w:vAlign w:val="top"/>
          </w:tcPr>
          <w:p w14:paraId="023DCBCC">
            <w:pPr>
              <w:spacing w:before="89"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1.5</w:t>
            </w:r>
          </w:p>
        </w:tc>
        <w:tc>
          <w:tcPr>
            <w:tcW w:w="546" w:type="dxa"/>
            <w:vAlign w:val="top"/>
          </w:tcPr>
          <w:p w14:paraId="28A1F726">
            <w:pPr>
              <w:spacing w:before="89" w:line="195" w:lineRule="auto"/>
              <w:ind w:left="162"/>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6"/>
                <w:sz w:val="20"/>
                <w:szCs w:val="20"/>
              </w:rPr>
              <w:t>1</w:t>
            </w:r>
          </w:p>
        </w:tc>
        <w:tc>
          <w:tcPr>
            <w:tcW w:w="356" w:type="dxa"/>
            <w:vAlign w:val="top"/>
          </w:tcPr>
          <w:p w14:paraId="66391F10">
            <w:pPr>
              <w:spacing w:before="89" w:line="195" w:lineRule="auto"/>
              <w:ind w:left="6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1.3</w:t>
            </w:r>
          </w:p>
        </w:tc>
        <w:tc>
          <w:tcPr>
            <w:tcW w:w="516" w:type="dxa"/>
            <w:vAlign w:val="top"/>
          </w:tcPr>
          <w:p w14:paraId="0222FA7D">
            <w:pPr>
              <w:spacing w:before="89" w:line="195" w:lineRule="auto"/>
              <w:ind w:left="14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1.8</w:t>
            </w:r>
          </w:p>
        </w:tc>
        <w:tc>
          <w:tcPr>
            <w:tcW w:w="336" w:type="dxa"/>
            <w:vAlign w:val="top"/>
          </w:tcPr>
          <w:p w14:paraId="0981077E">
            <w:pPr>
              <w:spacing w:before="89"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w:t>
            </w:r>
          </w:p>
        </w:tc>
        <w:tc>
          <w:tcPr>
            <w:tcW w:w="475" w:type="dxa"/>
            <w:vAlign w:val="top"/>
          </w:tcPr>
          <w:p w14:paraId="19788604">
            <w:pPr>
              <w:spacing w:before="89" w:line="195"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1.4</w:t>
            </w:r>
          </w:p>
        </w:tc>
        <w:tc>
          <w:tcPr>
            <w:tcW w:w="336" w:type="dxa"/>
            <w:vAlign w:val="top"/>
          </w:tcPr>
          <w:p w14:paraId="217FA025">
            <w:pPr>
              <w:spacing w:before="89"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1.3</w:t>
            </w:r>
          </w:p>
        </w:tc>
        <w:tc>
          <w:tcPr>
            <w:tcW w:w="466" w:type="dxa"/>
            <w:vAlign w:val="top"/>
          </w:tcPr>
          <w:p w14:paraId="22B99844">
            <w:pPr>
              <w:spacing w:before="89"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6"/>
                <w:sz w:val="20"/>
                <w:szCs w:val="20"/>
              </w:rPr>
              <w:t>1</w:t>
            </w:r>
          </w:p>
        </w:tc>
        <w:tc>
          <w:tcPr>
            <w:tcW w:w="466" w:type="dxa"/>
            <w:vAlign w:val="top"/>
          </w:tcPr>
          <w:p w14:paraId="2E95BCE5">
            <w:pPr>
              <w:spacing w:before="89" w:line="195" w:lineRule="auto"/>
              <w:ind w:left="10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546" w:type="dxa"/>
            <w:vAlign w:val="top"/>
          </w:tcPr>
          <w:p w14:paraId="6D03E39D">
            <w:pPr>
              <w:spacing w:before="89"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w:t>
            </w:r>
          </w:p>
        </w:tc>
        <w:tc>
          <w:tcPr>
            <w:tcW w:w="398" w:type="dxa"/>
            <w:vAlign w:val="top"/>
          </w:tcPr>
          <w:p w14:paraId="1B82FBFE">
            <w:pPr>
              <w:spacing w:before="89"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12.7</w:t>
            </w:r>
          </w:p>
        </w:tc>
        <w:tc>
          <w:tcPr>
            <w:tcW w:w="648" w:type="dxa"/>
            <w:vAlign w:val="top"/>
          </w:tcPr>
          <w:p w14:paraId="3B8CED25">
            <w:pPr>
              <w:spacing w:before="89"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26.4</w:t>
            </w:r>
          </w:p>
        </w:tc>
        <w:tc>
          <w:tcPr>
            <w:tcW w:w="466" w:type="dxa"/>
            <w:vAlign w:val="top"/>
          </w:tcPr>
          <w:p w14:paraId="53545E69">
            <w:pPr>
              <w:spacing w:before="89"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16.5</w:t>
            </w:r>
          </w:p>
        </w:tc>
        <w:tc>
          <w:tcPr>
            <w:tcW w:w="693" w:type="dxa"/>
            <w:vAlign w:val="top"/>
          </w:tcPr>
          <w:p w14:paraId="0E0F9AE6">
            <w:pPr>
              <w:spacing w:before="89"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9.2</w:t>
            </w:r>
          </w:p>
        </w:tc>
        <w:tc>
          <w:tcPr>
            <w:tcW w:w="466" w:type="dxa"/>
            <w:vAlign w:val="top"/>
          </w:tcPr>
          <w:p w14:paraId="55D135E8">
            <w:pPr>
              <w:spacing w:before="89" w:line="195" w:lineRule="auto"/>
              <w:ind w:left="108"/>
              <w:rPr>
                <w:rFonts w:ascii="Times New Roman" w:hAnsi="Times New Roman" w:eastAsia="Times New Roman" w:cs="Times New Roman"/>
                <w:sz w:val="20"/>
                <w:szCs w:val="20"/>
              </w:rPr>
            </w:pPr>
            <w:r>
              <w:rPr>
                <w:rFonts w:ascii="Times New Roman" w:hAnsi="Times New Roman" w:eastAsia="Times New Roman" w:cs="Times New Roman"/>
                <w:sz w:val="20"/>
                <w:szCs w:val="20"/>
              </w:rPr>
              <w:t>5.4</w:t>
            </w:r>
          </w:p>
        </w:tc>
        <w:tc>
          <w:tcPr>
            <w:tcW w:w="633" w:type="dxa"/>
            <w:vAlign w:val="top"/>
          </w:tcPr>
          <w:p w14:paraId="75E2E178">
            <w:pPr>
              <w:spacing w:before="89" w:line="195" w:lineRule="auto"/>
              <w:ind w:left="18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464" w:type="dxa"/>
            <w:tcBorders>
              <w:right w:val="nil"/>
            </w:tcBorders>
            <w:vAlign w:val="top"/>
          </w:tcPr>
          <w:p w14:paraId="500A8EAB">
            <w:pPr>
              <w:spacing w:before="89" w:line="195" w:lineRule="auto"/>
              <w:ind w:left="111"/>
              <w:rPr>
                <w:rFonts w:ascii="Times New Roman" w:hAnsi="Times New Roman" w:eastAsia="Times New Roman" w:cs="Times New Roman"/>
                <w:sz w:val="20"/>
                <w:szCs w:val="20"/>
              </w:rPr>
            </w:pPr>
            <w:r>
              <w:rPr>
                <w:rFonts w:ascii="Times New Roman" w:hAnsi="Times New Roman" w:eastAsia="Times New Roman" w:cs="Times New Roman"/>
                <w:sz w:val="20"/>
                <w:szCs w:val="20"/>
              </w:rPr>
              <w:t>8.3</w:t>
            </w:r>
          </w:p>
        </w:tc>
      </w:tr>
      <w:tr w14:paraId="1B96B3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25" w:type="dxa"/>
            <w:tcBorders>
              <w:left w:val="nil"/>
            </w:tcBorders>
            <w:vAlign w:val="top"/>
          </w:tcPr>
          <w:p w14:paraId="233BC1E2">
            <w:pPr>
              <w:pStyle w:val="6"/>
              <w:spacing w:before="56" w:line="225" w:lineRule="auto"/>
              <w:ind w:left="259"/>
              <w:rPr>
                <w:sz w:val="20"/>
                <w:szCs w:val="20"/>
              </w:rPr>
            </w:pPr>
            <w:r>
              <w:rPr>
                <w:spacing w:val="4"/>
                <w:sz w:val="20"/>
                <w:szCs w:val="20"/>
              </w:rPr>
              <w:t>三月</w:t>
            </w:r>
          </w:p>
        </w:tc>
        <w:tc>
          <w:tcPr>
            <w:tcW w:w="335" w:type="dxa"/>
            <w:vAlign w:val="top"/>
          </w:tcPr>
          <w:p w14:paraId="7DFD2056">
            <w:pPr>
              <w:spacing w:before="91" w:line="195" w:lineRule="auto"/>
              <w:ind w:left="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546" w:type="dxa"/>
            <w:vAlign w:val="top"/>
          </w:tcPr>
          <w:p w14:paraId="0D8D5D74">
            <w:pPr>
              <w:spacing w:before="91" w:line="195" w:lineRule="auto"/>
              <w:ind w:left="16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1.8</w:t>
            </w:r>
          </w:p>
        </w:tc>
        <w:tc>
          <w:tcPr>
            <w:tcW w:w="356" w:type="dxa"/>
            <w:vAlign w:val="top"/>
          </w:tcPr>
          <w:p w14:paraId="167F8B47">
            <w:pPr>
              <w:spacing w:before="91" w:line="195" w:lineRule="auto"/>
              <w:ind w:left="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516" w:type="dxa"/>
            <w:vAlign w:val="top"/>
          </w:tcPr>
          <w:p w14:paraId="76C36421">
            <w:pPr>
              <w:spacing w:before="91" w:line="195" w:lineRule="auto"/>
              <w:ind w:left="12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2.6</w:t>
            </w:r>
          </w:p>
        </w:tc>
        <w:tc>
          <w:tcPr>
            <w:tcW w:w="336" w:type="dxa"/>
            <w:vAlign w:val="top"/>
          </w:tcPr>
          <w:p w14:paraId="1A76262A">
            <w:pPr>
              <w:spacing w:before="91"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2.6</w:t>
            </w:r>
          </w:p>
        </w:tc>
        <w:tc>
          <w:tcPr>
            <w:tcW w:w="475" w:type="dxa"/>
            <w:vAlign w:val="top"/>
          </w:tcPr>
          <w:p w14:paraId="7FF9925F">
            <w:pPr>
              <w:spacing w:before="91" w:line="195"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1.5</w:t>
            </w:r>
          </w:p>
        </w:tc>
        <w:tc>
          <w:tcPr>
            <w:tcW w:w="336" w:type="dxa"/>
            <w:vAlign w:val="top"/>
          </w:tcPr>
          <w:p w14:paraId="54F6A362">
            <w:pPr>
              <w:spacing w:before="91"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1.3</w:t>
            </w:r>
          </w:p>
        </w:tc>
        <w:tc>
          <w:tcPr>
            <w:tcW w:w="466" w:type="dxa"/>
            <w:vAlign w:val="top"/>
          </w:tcPr>
          <w:p w14:paraId="7BEE3B04">
            <w:pPr>
              <w:spacing w:before="91"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1.3</w:t>
            </w:r>
          </w:p>
        </w:tc>
        <w:tc>
          <w:tcPr>
            <w:tcW w:w="466" w:type="dxa"/>
            <w:vAlign w:val="top"/>
          </w:tcPr>
          <w:p w14:paraId="558A592F">
            <w:pPr>
              <w:spacing w:before="91" w:line="195" w:lineRule="auto"/>
              <w:ind w:left="10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546" w:type="dxa"/>
            <w:vAlign w:val="top"/>
          </w:tcPr>
          <w:p w14:paraId="72584862">
            <w:pPr>
              <w:spacing w:before="91" w:line="195" w:lineRule="auto"/>
              <w:ind w:left="14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398" w:type="dxa"/>
            <w:vAlign w:val="top"/>
          </w:tcPr>
          <w:p w14:paraId="38074271">
            <w:pPr>
              <w:spacing w:before="91"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12.3</w:t>
            </w:r>
          </w:p>
        </w:tc>
        <w:tc>
          <w:tcPr>
            <w:tcW w:w="648" w:type="dxa"/>
            <w:vAlign w:val="top"/>
          </w:tcPr>
          <w:p w14:paraId="7B9DAF3D">
            <w:pPr>
              <w:spacing w:before="91"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23.5</w:t>
            </w:r>
          </w:p>
        </w:tc>
        <w:tc>
          <w:tcPr>
            <w:tcW w:w="466" w:type="dxa"/>
            <w:vAlign w:val="top"/>
          </w:tcPr>
          <w:p w14:paraId="3D300765">
            <w:pPr>
              <w:spacing w:before="91"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14.5</w:t>
            </w:r>
          </w:p>
        </w:tc>
        <w:tc>
          <w:tcPr>
            <w:tcW w:w="693" w:type="dxa"/>
            <w:vAlign w:val="top"/>
          </w:tcPr>
          <w:p w14:paraId="1510AC53">
            <w:pPr>
              <w:spacing w:before="91"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9.7</w:t>
            </w:r>
          </w:p>
        </w:tc>
        <w:tc>
          <w:tcPr>
            <w:tcW w:w="466" w:type="dxa"/>
            <w:vAlign w:val="top"/>
          </w:tcPr>
          <w:p w14:paraId="62D29296">
            <w:pPr>
              <w:spacing w:before="91" w:line="195" w:lineRule="auto"/>
              <w:ind w:left="108"/>
              <w:rPr>
                <w:rFonts w:ascii="Times New Roman" w:hAnsi="Times New Roman" w:eastAsia="Times New Roman" w:cs="Times New Roman"/>
                <w:sz w:val="20"/>
                <w:szCs w:val="20"/>
              </w:rPr>
            </w:pPr>
            <w:r>
              <w:rPr>
                <w:rFonts w:ascii="Times New Roman" w:hAnsi="Times New Roman" w:eastAsia="Times New Roman" w:cs="Times New Roman"/>
                <w:sz w:val="20"/>
                <w:szCs w:val="20"/>
              </w:rPr>
              <w:t>5.8</w:t>
            </w:r>
          </w:p>
        </w:tc>
        <w:tc>
          <w:tcPr>
            <w:tcW w:w="633" w:type="dxa"/>
            <w:vAlign w:val="top"/>
          </w:tcPr>
          <w:p w14:paraId="693A6034">
            <w:pPr>
              <w:spacing w:before="91" w:line="195" w:lineRule="auto"/>
              <w:ind w:left="19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464" w:type="dxa"/>
            <w:tcBorders>
              <w:right w:val="nil"/>
            </w:tcBorders>
            <w:vAlign w:val="top"/>
          </w:tcPr>
          <w:p w14:paraId="2378A89A">
            <w:pPr>
              <w:spacing w:before="91" w:line="195" w:lineRule="auto"/>
              <w:ind w:left="106"/>
              <w:rPr>
                <w:rFonts w:ascii="Times New Roman" w:hAnsi="Times New Roman" w:eastAsia="Times New Roman" w:cs="Times New Roman"/>
                <w:sz w:val="20"/>
                <w:szCs w:val="20"/>
              </w:rPr>
            </w:pPr>
            <w:r>
              <w:rPr>
                <w:rFonts w:ascii="Times New Roman" w:hAnsi="Times New Roman" w:eastAsia="Times New Roman" w:cs="Times New Roman"/>
                <w:sz w:val="20"/>
                <w:szCs w:val="20"/>
              </w:rPr>
              <w:t>7.</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r>
      <w:tr w14:paraId="438E1E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25" w:type="dxa"/>
            <w:tcBorders>
              <w:left w:val="nil"/>
            </w:tcBorders>
            <w:vAlign w:val="top"/>
          </w:tcPr>
          <w:p w14:paraId="2FFAE446">
            <w:pPr>
              <w:pStyle w:val="6"/>
              <w:spacing w:before="57" w:line="224" w:lineRule="auto"/>
              <w:ind w:left="278"/>
              <w:rPr>
                <w:sz w:val="20"/>
                <w:szCs w:val="20"/>
              </w:rPr>
            </w:pPr>
            <w:r>
              <w:rPr>
                <w:spacing w:val="-5"/>
                <w:sz w:val="20"/>
                <w:szCs w:val="20"/>
              </w:rPr>
              <w:t>四月</w:t>
            </w:r>
          </w:p>
        </w:tc>
        <w:tc>
          <w:tcPr>
            <w:tcW w:w="335" w:type="dxa"/>
            <w:vAlign w:val="top"/>
          </w:tcPr>
          <w:p w14:paraId="5DE9EBEF">
            <w:pPr>
              <w:spacing w:before="93" w:line="195" w:lineRule="auto"/>
              <w:ind w:left="4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3.0</w:t>
            </w:r>
          </w:p>
        </w:tc>
        <w:tc>
          <w:tcPr>
            <w:tcW w:w="546" w:type="dxa"/>
            <w:vAlign w:val="top"/>
          </w:tcPr>
          <w:p w14:paraId="496A00DA">
            <w:pPr>
              <w:spacing w:before="93"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356" w:type="dxa"/>
            <w:vAlign w:val="top"/>
          </w:tcPr>
          <w:p w14:paraId="6545C0E7">
            <w:pPr>
              <w:spacing w:before="93" w:line="195" w:lineRule="auto"/>
              <w:ind w:left="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516" w:type="dxa"/>
            <w:vAlign w:val="top"/>
          </w:tcPr>
          <w:p w14:paraId="77B27D48">
            <w:pPr>
              <w:spacing w:before="93" w:line="195" w:lineRule="auto"/>
              <w:ind w:left="12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336" w:type="dxa"/>
            <w:vAlign w:val="top"/>
          </w:tcPr>
          <w:p w14:paraId="37B746D2">
            <w:pPr>
              <w:spacing w:before="93"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2.7</w:t>
            </w:r>
          </w:p>
        </w:tc>
        <w:tc>
          <w:tcPr>
            <w:tcW w:w="475" w:type="dxa"/>
            <w:vAlign w:val="top"/>
          </w:tcPr>
          <w:p w14:paraId="559B293A">
            <w:pPr>
              <w:spacing w:before="93" w:line="195"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1.5</w:t>
            </w:r>
          </w:p>
        </w:tc>
        <w:tc>
          <w:tcPr>
            <w:tcW w:w="336" w:type="dxa"/>
            <w:vAlign w:val="top"/>
          </w:tcPr>
          <w:p w14:paraId="1AAE89FA">
            <w:pPr>
              <w:spacing w:before="93"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1.4</w:t>
            </w:r>
          </w:p>
        </w:tc>
        <w:tc>
          <w:tcPr>
            <w:tcW w:w="466" w:type="dxa"/>
            <w:vAlign w:val="top"/>
          </w:tcPr>
          <w:p w14:paraId="57768B1E">
            <w:pPr>
              <w:spacing w:before="93"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1.4</w:t>
            </w:r>
          </w:p>
        </w:tc>
        <w:tc>
          <w:tcPr>
            <w:tcW w:w="466" w:type="dxa"/>
            <w:vAlign w:val="top"/>
          </w:tcPr>
          <w:p w14:paraId="3D849D58">
            <w:pPr>
              <w:spacing w:before="93"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546" w:type="dxa"/>
            <w:vAlign w:val="top"/>
          </w:tcPr>
          <w:p w14:paraId="3A8C73C8">
            <w:pPr>
              <w:spacing w:before="93" w:line="195" w:lineRule="auto"/>
              <w:ind w:left="147"/>
              <w:rPr>
                <w:rFonts w:ascii="Times New Roman" w:hAnsi="Times New Roman" w:eastAsia="Times New Roman" w:cs="Times New Roman"/>
                <w:sz w:val="20"/>
                <w:szCs w:val="20"/>
              </w:rPr>
            </w:pPr>
            <w:r>
              <w:rPr>
                <w:rFonts w:ascii="Times New Roman" w:hAnsi="Times New Roman" w:eastAsia="Times New Roman" w:cs="Times New Roman"/>
                <w:sz w:val="20"/>
                <w:szCs w:val="20"/>
              </w:rPr>
              <w:t>5.3</w:t>
            </w:r>
          </w:p>
        </w:tc>
        <w:tc>
          <w:tcPr>
            <w:tcW w:w="398" w:type="dxa"/>
            <w:vAlign w:val="top"/>
          </w:tcPr>
          <w:p w14:paraId="2B57170D">
            <w:pPr>
              <w:spacing w:before="93"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12.2</w:t>
            </w:r>
          </w:p>
        </w:tc>
        <w:tc>
          <w:tcPr>
            <w:tcW w:w="648" w:type="dxa"/>
            <w:vAlign w:val="top"/>
          </w:tcPr>
          <w:p w14:paraId="76FFE08C">
            <w:pPr>
              <w:spacing w:before="93"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21.6</w:t>
            </w:r>
          </w:p>
        </w:tc>
        <w:tc>
          <w:tcPr>
            <w:tcW w:w="466" w:type="dxa"/>
            <w:vAlign w:val="top"/>
          </w:tcPr>
          <w:p w14:paraId="60364915">
            <w:pPr>
              <w:spacing w:before="93"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13.6</w:t>
            </w:r>
          </w:p>
        </w:tc>
        <w:tc>
          <w:tcPr>
            <w:tcW w:w="693" w:type="dxa"/>
            <w:vAlign w:val="top"/>
          </w:tcPr>
          <w:p w14:paraId="53244A91">
            <w:pPr>
              <w:spacing w:before="93"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9.7</w:t>
            </w:r>
          </w:p>
        </w:tc>
        <w:tc>
          <w:tcPr>
            <w:tcW w:w="466" w:type="dxa"/>
            <w:vAlign w:val="top"/>
          </w:tcPr>
          <w:p w14:paraId="79A537D0">
            <w:pPr>
              <w:spacing w:before="93" w:line="195" w:lineRule="auto"/>
              <w:ind w:left="1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6.9</w:t>
            </w:r>
          </w:p>
        </w:tc>
        <w:tc>
          <w:tcPr>
            <w:tcW w:w="633" w:type="dxa"/>
            <w:vAlign w:val="top"/>
          </w:tcPr>
          <w:p w14:paraId="76F35E26">
            <w:pPr>
              <w:spacing w:before="93" w:line="195" w:lineRule="auto"/>
              <w:ind w:left="19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w:t>
            </w:r>
          </w:p>
        </w:tc>
        <w:tc>
          <w:tcPr>
            <w:tcW w:w="464" w:type="dxa"/>
            <w:tcBorders>
              <w:right w:val="nil"/>
            </w:tcBorders>
            <w:vAlign w:val="top"/>
          </w:tcPr>
          <w:p w14:paraId="73925909">
            <w:pPr>
              <w:spacing w:before="93"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6.3</w:t>
            </w:r>
          </w:p>
        </w:tc>
      </w:tr>
      <w:tr w14:paraId="160BFF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25" w:type="dxa"/>
            <w:tcBorders>
              <w:left w:val="nil"/>
            </w:tcBorders>
            <w:vAlign w:val="top"/>
          </w:tcPr>
          <w:p w14:paraId="6FC708DE">
            <w:pPr>
              <w:pStyle w:val="6"/>
              <w:spacing w:before="59" w:line="222" w:lineRule="auto"/>
              <w:ind w:left="262"/>
              <w:rPr>
                <w:sz w:val="20"/>
                <w:szCs w:val="20"/>
              </w:rPr>
            </w:pPr>
            <w:r>
              <w:rPr>
                <w:spacing w:val="3"/>
                <w:sz w:val="20"/>
                <w:szCs w:val="20"/>
              </w:rPr>
              <w:t>五月</w:t>
            </w:r>
          </w:p>
        </w:tc>
        <w:tc>
          <w:tcPr>
            <w:tcW w:w="335" w:type="dxa"/>
            <w:vAlign w:val="top"/>
          </w:tcPr>
          <w:p w14:paraId="0D81A5A1">
            <w:pPr>
              <w:spacing w:before="95" w:line="195" w:lineRule="auto"/>
              <w:ind w:left="4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3.5</w:t>
            </w:r>
          </w:p>
        </w:tc>
        <w:tc>
          <w:tcPr>
            <w:tcW w:w="546" w:type="dxa"/>
            <w:vAlign w:val="top"/>
          </w:tcPr>
          <w:p w14:paraId="5BF6B1E7">
            <w:pPr>
              <w:spacing w:before="95"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356" w:type="dxa"/>
            <w:vAlign w:val="top"/>
          </w:tcPr>
          <w:p w14:paraId="6324A1CB">
            <w:pPr>
              <w:spacing w:before="95" w:line="195" w:lineRule="auto"/>
              <w:ind w:left="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516" w:type="dxa"/>
            <w:vAlign w:val="top"/>
          </w:tcPr>
          <w:p w14:paraId="56ED8178">
            <w:pPr>
              <w:spacing w:before="95"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336" w:type="dxa"/>
            <w:vAlign w:val="top"/>
          </w:tcPr>
          <w:p w14:paraId="798C8DE3">
            <w:pPr>
              <w:spacing w:before="95"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475" w:type="dxa"/>
            <w:vAlign w:val="top"/>
          </w:tcPr>
          <w:p w14:paraId="44C60148">
            <w:pPr>
              <w:spacing w:before="95" w:line="195"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1.7</w:t>
            </w:r>
          </w:p>
        </w:tc>
        <w:tc>
          <w:tcPr>
            <w:tcW w:w="336" w:type="dxa"/>
            <w:vAlign w:val="top"/>
          </w:tcPr>
          <w:p w14:paraId="53EF4B0B">
            <w:pPr>
              <w:spacing w:before="95"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1.6</w:t>
            </w:r>
          </w:p>
        </w:tc>
        <w:tc>
          <w:tcPr>
            <w:tcW w:w="466" w:type="dxa"/>
            <w:vAlign w:val="top"/>
          </w:tcPr>
          <w:p w14:paraId="79AE416E">
            <w:pPr>
              <w:spacing w:before="95"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1.6</w:t>
            </w:r>
          </w:p>
        </w:tc>
        <w:tc>
          <w:tcPr>
            <w:tcW w:w="466" w:type="dxa"/>
            <w:vAlign w:val="top"/>
          </w:tcPr>
          <w:p w14:paraId="77D731C7">
            <w:pPr>
              <w:spacing w:before="95"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w:t>
            </w:r>
          </w:p>
        </w:tc>
        <w:tc>
          <w:tcPr>
            <w:tcW w:w="546" w:type="dxa"/>
            <w:vAlign w:val="top"/>
          </w:tcPr>
          <w:p w14:paraId="0ABF8E0A">
            <w:pPr>
              <w:spacing w:before="98" w:line="192" w:lineRule="auto"/>
              <w:ind w:left="147"/>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c>
          <w:tcPr>
            <w:tcW w:w="398" w:type="dxa"/>
            <w:vAlign w:val="top"/>
          </w:tcPr>
          <w:p w14:paraId="3915E679">
            <w:pPr>
              <w:spacing w:before="95" w:line="195" w:lineRule="auto"/>
              <w:jc w:val="right"/>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8"/>
                <w:sz w:val="20"/>
                <w:szCs w:val="20"/>
              </w:rPr>
              <w:t>1</w:t>
            </w:r>
          </w:p>
        </w:tc>
        <w:tc>
          <w:tcPr>
            <w:tcW w:w="648" w:type="dxa"/>
            <w:vAlign w:val="top"/>
          </w:tcPr>
          <w:p w14:paraId="46DB15E8">
            <w:pPr>
              <w:spacing w:before="95" w:line="195" w:lineRule="auto"/>
              <w:ind w:left="1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19.9</w:t>
            </w:r>
          </w:p>
        </w:tc>
        <w:tc>
          <w:tcPr>
            <w:tcW w:w="466" w:type="dxa"/>
            <w:vAlign w:val="top"/>
          </w:tcPr>
          <w:p w14:paraId="49A77129">
            <w:pPr>
              <w:spacing w:before="95"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12.7</w:t>
            </w:r>
          </w:p>
        </w:tc>
        <w:tc>
          <w:tcPr>
            <w:tcW w:w="693" w:type="dxa"/>
            <w:vAlign w:val="top"/>
          </w:tcPr>
          <w:p w14:paraId="2391335A">
            <w:pPr>
              <w:spacing w:before="95"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9.4</w:t>
            </w:r>
          </w:p>
        </w:tc>
        <w:tc>
          <w:tcPr>
            <w:tcW w:w="466" w:type="dxa"/>
            <w:vAlign w:val="top"/>
          </w:tcPr>
          <w:p w14:paraId="347ADD0B">
            <w:pPr>
              <w:spacing w:before="95"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7.2</w:t>
            </w:r>
          </w:p>
        </w:tc>
        <w:tc>
          <w:tcPr>
            <w:tcW w:w="633" w:type="dxa"/>
            <w:vAlign w:val="top"/>
          </w:tcPr>
          <w:p w14:paraId="552B3726">
            <w:pPr>
              <w:spacing w:before="95"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w:t>
            </w:r>
          </w:p>
        </w:tc>
        <w:tc>
          <w:tcPr>
            <w:tcW w:w="464" w:type="dxa"/>
            <w:tcBorders>
              <w:right w:val="nil"/>
            </w:tcBorders>
            <w:vAlign w:val="top"/>
          </w:tcPr>
          <w:p w14:paraId="7EECB0DF">
            <w:pPr>
              <w:spacing w:before="95" w:line="195" w:lineRule="auto"/>
              <w:ind w:left="109"/>
              <w:rPr>
                <w:rFonts w:ascii="Times New Roman" w:hAnsi="Times New Roman" w:eastAsia="Times New Roman" w:cs="Times New Roman"/>
                <w:sz w:val="20"/>
                <w:szCs w:val="20"/>
              </w:rPr>
            </w:pPr>
            <w:r>
              <w:rPr>
                <w:rFonts w:ascii="Times New Roman" w:hAnsi="Times New Roman" w:eastAsia="Times New Roman" w:cs="Times New Roman"/>
                <w:sz w:val="20"/>
                <w:szCs w:val="20"/>
              </w:rPr>
              <w:t>5.9</w:t>
            </w:r>
          </w:p>
        </w:tc>
      </w:tr>
      <w:tr w14:paraId="282F46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25" w:type="dxa"/>
            <w:tcBorders>
              <w:left w:val="nil"/>
            </w:tcBorders>
            <w:vAlign w:val="top"/>
          </w:tcPr>
          <w:p w14:paraId="20B4D369">
            <w:pPr>
              <w:pStyle w:val="6"/>
              <w:spacing w:before="61" w:line="220" w:lineRule="auto"/>
              <w:ind w:left="260"/>
              <w:rPr>
                <w:sz w:val="20"/>
                <w:szCs w:val="20"/>
              </w:rPr>
            </w:pPr>
            <w:r>
              <w:rPr>
                <w:spacing w:val="3"/>
                <w:sz w:val="20"/>
                <w:szCs w:val="20"/>
              </w:rPr>
              <w:t>六月</w:t>
            </w:r>
          </w:p>
        </w:tc>
        <w:tc>
          <w:tcPr>
            <w:tcW w:w="335" w:type="dxa"/>
            <w:vAlign w:val="top"/>
          </w:tcPr>
          <w:p w14:paraId="269E441E">
            <w:pPr>
              <w:spacing w:before="97" w:line="195" w:lineRule="auto"/>
              <w:ind w:left="4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3.9</w:t>
            </w:r>
          </w:p>
        </w:tc>
        <w:tc>
          <w:tcPr>
            <w:tcW w:w="546" w:type="dxa"/>
            <w:vAlign w:val="top"/>
          </w:tcPr>
          <w:p w14:paraId="5569A122">
            <w:pPr>
              <w:spacing w:before="97"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2.6</w:t>
            </w:r>
          </w:p>
        </w:tc>
        <w:tc>
          <w:tcPr>
            <w:tcW w:w="356" w:type="dxa"/>
            <w:vAlign w:val="top"/>
          </w:tcPr>
          <w:p w14:paraId="79AEDD89">
            <w:pPr>
              <w:spacing w:before="97" w:line="195" w:lineRule="auto"/>
              <w:ind w:left="5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3.0</w:t>
            </w:r>
          </w:p>
        </w:tc>
        <w:tc>
          <w:tcPr>
            <w:tcW w:w="516" w:type="dxa"/>
            <w:vAlign w:val="top"/>
          </w:tcPr>
          <w:p w14:paraId="3338367C">
            <w:pPr>
              <w:spacing w:before="97"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336" w:type="dxa"/>
            <w:vAlign w:val="top"/>
          </w:tcPr>
          <w:p w14:paraId="67DE2FA2">
            <w:pPr>
              <w:spacing w:before="97"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475" w:type="dxa"/>
            <w:vAlign w:val="top"/>
          </w:tcPr>
          <w:p w14:paraId="08F05D54">
            <w:pPr>
              <w:spacing w:before="97" w:line="195"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1.9</w:t>
            </w:r>
          </w:p>
        </w:tc>
        <w:tc>
          <w:tcPr>
            <w:tcW w:w="336" w:type="dxa"/>
            <w:vAlign w:val="top"/>
          </w:tcPr>
          <w:p w14:paraId="29964C3A">
            <w:pPr>
              <w:spacing w:before="97"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1.9</w:t>
            </w:r>
          </w:p>
        </w:tc>
        <w:tc>
          <w:tcPr>
            <w:tcW w:w="466" w:type="dxa"/>
            <w:vAlign w:val="top"/>
          </w:tcPr>
          <w:p w14:paraId="03DE3104">
            <w:pPr>
              <w:spacing w:before="97"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1.9</w:t>
            </w:r>
          </w:p>
        </w:tc>
        <w:tc>
          <w:tcPr>
            <w:tcW w:w="466" w:type="dxa"/>
            <w:vAlign w:val="top"/>
          </w:tcPr>
          <w:p w14:paraId="3AA59CA9">
            <w:pPr>
              <w:spacing w:before="97"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w:t>
            </w:r>
          </w:p>
        </w:tc>
        <w:tc>
          <w:tcPr>
            <w:tcW w:w="546" w:type="dxa"/>
            <w:vAlign w:val="top"/>
          </w:tcPr>
          <w:p w14:paraId="1BE70127">
            <w:pPr>
              <w:spacing w:before="97" w:line="195" w:lineRule="auto"/>
              <w:ind w:left="147"/>
              <w:rPr>
                <w:rFonts w:ascii="Times New Roman" w:hAnsi="Times New Roman" w:eastAsia="Times New Roman" w:cs="Times New Roman"/>
                <w:sz w:val="20"/>
                <w:szCs w:val="20"/>
              </w:rPr>
            </w:pPr>
            <w:r>
              <w:rPr>
                <w:rFonts w:ascii="Times New Roman" w:hAnsi="Times New Roman" w:eastAsia="Times New Roman" w:cs="Times New Roman"/>
                <w:sz w:val="20"/>
                <w:szCs w:val="20"/>
              </w:rPr>
              <w:t>5.8</w:t>
            </w:r>
          </w:p>
        </w:tc>
        <w:tc>
          <w:tcPr>
            <w:tcW w:w="398" w:type="dxa"/>
            <w:vAlign w:val="top"/>
          </w:tcPr>
          <w:p w14:paraId="4335F058">
            <w:pPr>
              <w:spacing w:before="97"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11.8</w:t>
            </w:r>
          </w:p>
        </w:tc>
        <w:tc>
          <w:tcPr>
            <w:tcW w:w="648" w:type="dxa"/>
            <w:vAlign w:val="top"/>
          </w:tcPr>
          <w:p w14:paraId="17466054">
            <w:pPr>
              <w:spacing w:before="97" w:line="195" w:lineRule="auto"/>
              <w:ind w:left="1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18.2</w:t>
            </w:r>
          </w:p>
        </w:tc>
        <w:tc>
          <w:tcPr>
            <w:tcW w:w="466" w:type="dxa"/>
            <w:vAlign w:val="top"/>
          </w:tcPr>
          <w:p w14:paraId="743D80D2">
            <w:pPr>
              <w:spacing w:before="97" w:line="195" w:lineRule="auto"/>
              <w:ind w:left="7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11.9</w:t>
            </w:r>
          </w:p>
        </w:tc>
        <w:tc>
          <w:tcPr>
            <w:tcW w:w="693" w:type="dxa"/>
            <w:vAlign w:val="top"/>
          </w:tcPr>
          <w:p w14:paraId="0DD8812B">
            <w:pPr>
              <w:spacing w:before="97"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466" w:type="dxa"/>
            <w:vAlign w:val="top"/>
          </w:tcPr>
          <w:p w14:paraId="47D12DDF">
            <w:pPr>
              <w:spacing w:before="97"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7.4</w:t>
            </w:r>
          </w:p>
        </w:tc>
        <w:tc>
          <w:tcPr>
            <w:tcW w:w="633" w:type="dxa"/>
            <w:vAlign w:val="top"/>
          </w:tcPr>
          <w:p w14:paraId="056018A4">
            <w:pPr>
              <w:spacing w:before="97"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w:t>
            </w:r>
          </w:p>
        </w:tc>
        <w:tc>
          <w:tcPr>
            <w:tcW w:w="464" w:type="dxa"/>
            <w:tcBorders>
              <w:right w:val="nil"/>
            </w:tcBorders>
            <w:vAlign w:val="top"/>
          </w:tcPr>
          <w:p w14:paraId="47581980">
            <w:pPr>
              <w:spacing w:before="97" w:line="195" w:lineRule="auto"/>
              <w:ind w:left="109"/>
              <w:rPr>
                <w:rFonts w:ascii="Times New Roman" w:hAnsi="Times New Roman" w:eastAsia="Times New Roman" w:cs="Times New Roman"/>
                <w:sz w:val="20"/>
                <w:szCs w:val="20"/>
              </w:rPr>
            </w:pPr>
            <w:r>
              <w:rPr>
                <w:rFonts w:ascii="Times New Roman" w:hAnsi="Times New Roman" w:eastAsia="Times New Roman" w:cs="Times New Roman"/>
                <w:sz w:val="20"/>
                <w:szCs w:val="20"/>
              </w:rPr>
              <w:t>5.8</w:t>
            </w:r>
          </w:p>
        </w:tc>
      </w:tr>
      <w:tr w14:paraId="4B4787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25" w:type="dxa"/>
            <w:tcBorders>
              <w:left w:val="nil"/>
            </w:tcBorders>
            <w:vAlign w:val="top"/>
          </w:tcPr>
          <w:p w14:paraId="734EB344">
            <w:pPr>
              <w:pStyle w:val="6"/>
              <w:spacing w:before="66" w:line="216" w:lineRule="auto"/>
              <w:ind w:left="258"/>
              <w:rPr>
                <w:sz w:val="20"/>
                <w:szCs w:val="20"/>
              </w:rPr>
            </w:pPr>
            <w:r>
              <w:rPr>
                <w:spacing w:val="5"/>
                <w:sz w:val="20"/>
                <w:szCs w:val="20"/>
              </w:rPr>
              <w:t>七月</w:t>
            </w:r>
          </w:p>
        </w:tc>
        <w:tc>
          <w:tcPr>
            <w:tcW w:w="335" w:type="dxa"/>
            <w:vAlign w:val="top"/>
          </w:tcPr>
          <w:p w14:paraId="08D6E6EA">
            <w:pPr>
              <w:spacing w:before="101"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546" w:type="dxa"/>
            <w:vAlign w:val="top"/>
          </w:tcPr>
          <w:p w14:paraId="2E4BB0B7">
            <w:pPr>
              <w:spacing w:before="101"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356" w:type="dxa"/>
            <w:vAlign w:val="top"/>
          </w:tcPr>
          <w:p w14:paraId="7A753566">
            <w:pPr>
              <w:spacing w:before="101" w:line="195" w:lineRule="auto"/>
              <w:ind w:left="5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516" w:type="dxa"/>
            <w:vAlign w:val="top"/>
          </w:tcPr>
          <w:p w14:paraId="12E5BDBA">
            <w:pPr>
              <w:spacing w:before="101"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w:t>
            </w:r>
          </w:p>
        </w:tc>
        <w:tc>
          <w:tcPr>
            <w:tcW w:w="336" w:type="dxa"/>
            <w:vAlign w:val="top"/>
          </w:tcPr>
          <w:p w14:paraId="53A7A47E">
            <w:pPr>
              <w:spacing w:before="101"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3.5</w:t>
            </w:r>
          </w:p>
        </w:tc>
        <w:tc>
          <w:tcPr>
            <w:tcW w:w="475" w:type="dxa"/>
            <w:vAlign w:val="top"/>
          </w:tcPr>
          <w:p w14:paraId="30FC6CC6">
            <w:pPr>
              <w:spacing w:before="101"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336" w:type="dxa"/>
            <w:vAlign w:val="top"/>
          </w:tcPr>
          <w:p w14:paraId="331C4AA7">
            <w:pPr>
              <w:spacing w:before="101"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466" w:type="dxa"/>
            <w:vAlign w:val="top"/>
          </w:tcPr>
          <w:p w14:paraId="772910A5">
            <w:pPr>
              <w:spacing w:before="101" w:line="195" w:lineRule="auto"/>
              <w:ind w:left="10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466" w:type="dxa"/>
            <w:vAlign w:val="top"/>
          </w:tcPr>
          <w:p w14:paraId="081B898D">
            <w:pPr>
              <w:spacing w:before="101" w:line="195" w:lineRule="auto"/>
              <w:ind w:left="1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546" w:type="dxa"/>
            <w:vAlign w:val="top"/>
          </w:tcPr>
          <w:p w14:paraId="3E1BD094">
            <w:pPr>
              <w:spacing w:before="101" w:line="195" w:lineRule="auto"/>
              <w:ind w:left="147"/>
              <w:rPr>
                <w:rFonts w:ascii="Times New Roman" w:hAnsi="Times New Roman" w:eastAsia="Times New Roman" w:cs="Times New Roman"/>
                <w:sz w:val="20"/>
                <w:szCs w:val="20"/>
              </w:rPr>
            </w:pPr>
            <w:r>
              <w:rPr>
                <w:rFonts w:ascii="Times New Roman" w:hAnsi="Times New Roman" w:eastAsia="Times New Roman" w:cs="Times New Roman"/>
                <w:sz w:val="20"/>
                <w:szCs w:val="20"/>
              </w:rPr>
              <w:t>5.9</w:t>
            </w:r>
          </w:p>
        </w:tc>
        <w:tc>
          <w:tcPr>
            <w:tcW w:w="398" w:type="dxa"/>
            <w:vAlign w:val="top"/>
          </w:tcPr>
          <w:p w14:paraId="62995F59">
            <w:pPr>
              <w:spacing w:before="101"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11.6</w:t>
            </w:r>
          </w:p>
        </w:tc>
        <w:tc>
          <w:tcPr>
            <w:tcW w:w="648" w:type="dxa"/>
            <w:vAlign w:val="top"/>
          </w:tcPr>
          <w:p w14:paraId="0343E4EE">
            <w:pPr>
              <w:spacing w:before="101" w:line="195" w:lineRule="auto"/>
              <w:ind w:left="1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16.8</w:t>
            </w:r>
          </w:p>
        </w:tc>
        <w:tc>
          <w:tcPr>
            <w:tcW w:w="466" w:type="dxa"/>
            <w:vAlign w:val="top"/>
          </w:tcPr>
          <w:p w14:paraId="02DA36EA">
            <w:pPr>
              <w:spacing w:before="101" w:line="195" w:lineRule="auto"/>
              <w:ind w:left="7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11.3</w:t>
            </w:r>
          </w:p>
        </w:tc>
        <w:tc>
          <w:tcPr>
            <w:tcW w:w="693" w:type="dxa"/>
            <w:vAlign w:val="top"/>
          </w:tcPr>
          <w:p w14:paraId="12AC6FA2">
            <w:pPr>
              <w:spacing w:before="101" w:line="195" w:lineRule="auto"/>
              <w:ind w:left="226"/>
              <w:rPr>
                <w:rFonts w:ascii="Times New Roman" w:hAnsi="Times New Roman" w:eastAsia="Times New Roman" w:cs="Times New Roman"/>
                <w:sz w:val="20"/>
                <w:szCs w:val="20"/>
              </w:rPr>
            </w:pPr>
            <w:r>
              <w:rPr>
                <w:rFonts w:ascii="Times New Roman" w:hAnsi="Times New Roman" w:eastAsia="Times New Roman" w:cs="Times New Roman"/>
                <w:sz w:val="20"/>
                <w:szCs w:val="20"/>
              </w:rPr>
              <w:t>8.5</w:t>
            </w:r>
          </w:p>
        </w:tc>
        <w:tc>
          <w:tcPr>
            <w:tcW w:w="466" w:type="dxa"/>
            <w:vAlign w:val="top"/>
          </w:tcPr>
          <w:p w14:paraId="15DCC5B0">
            <w:pPr>
              <w:spacing w:before="101"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7.3</w:t>
            </w:r>
          </w:p>
        </w:tc>
        <w:tc>
          <w:tcPr>
            <w:tcW w:w="633" w:type="dxa"/>
            <w:vAlign w:val="top"/>
          </w:tcPr>
          <w:p w14:paraId="4A43D79E">
            <w:pPr>
              <w:spacing w:before="101"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w:t>
            </w:r>
          </w:p>
        </w:tc>
        <w:tc>
          <w:tcPr>
            <w:tcW w:w="464" w:type="dxa"/>
            <w:tcBorders>
              <w:right w:val="nil"/>
            </w:tcBorders>
            <w:vAlign w:val="top"/>
          </w:tcPr>
          <w:p w14:paraId="53515104">
            <w:pPr>
              <w:spacing w:before="101" w:line="195" w:lineRule="auto"/>
              <w:ind w:left="109"/>
              <w:rPr>
                <w:rFonts w:ascii="Times New Roman" w:hAnsi="Times New Roman" w:eastAsia="Times New Roman" w:cs="Times New Roman"/>
                <w:sz w:val="20"/>
                <w:szCs w:val="20"/>
              </w:rPr>
            </w:pPr>
            <w:r>
              <w:rPr>
                <w:rFonts w:ascii="Times New Roman" w:hAnsi="Times New Roman" w:eastAsia="Times New Roman" w:cs="Times New Roman"/>
                <w:sz w:val="20"/>
                <w:szCs w:val="20"/>
              </w:rPr>
              <w:t>5.8</w:t>
            </w:r>
          </w:p>
        </w:tc>
      </w:tr>
      <w:tr w14:paraId="0ADE91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25" w:type="dxa"/>
            <w:tcBorders>
              <w:left w:val="nil"/>
            </w:tcBorders>
            <w:vAlign w:val="top"/>
          </w:tcPr>
          <w:p w14:paraId="50C7AEC4">
            <w:pPr>
              <w:pStyle w:val="6"/>
              <w:spacing w:before="67" w:line="215" w:lineRule="auto"/>
              <w:ind w:left="262"/>
              <w:rPr>
                <w:sz w:val="20"/>
                <w:szCs w:val="20"/>
              </w:rPr>
            </w:pPr>
            <w:r>
              <w:rPr>
                <w:spacing w:val="3"/>
                <w:sz w:val="20"/>
                <w:szCs w:val="20"/>
              </w:rPr>
              <w:t>八月</w:t>
            </w:r>
          </w:p>
        </w:tc>
        <w:tc>
          <w:tcPr>
            <w:tcW w:w="335" w:type="dxa"/>
            <w:vAlign w:val="top"/>
          </w:tcPr>
          <w:p w14:paraId="1D221C77">
            <w:pPr>
              <w:spacing w:before="103"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546" w:type="dxa"/>
            <w:vAlign w:val="top"/>
          </w:tcPr>
          <w:p w14:paraId="78563312">
            <w:pPr>
              <w:spacing w:before="103"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356" w:type="dxa"/>
            <w:vAlign w:val="top"/>
          </w:tcPr>
          <w:p w14:paraId="70A6752A">
            <w:pPr>
              <w:spacing w:before="103" w:line="195" w:lineRule="auto"/>
              <w:ind w:left="5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3.3</w:t>
            </w:r>
          </w:p>
        </w:tc>
        <w:tc>
          <w:tcPr>
            <w:tcW w:w="516" w:type="dxa"/>
            <w:vAlign w:val="top"/>
          </w:tcPr>
          <w:p w14:paraId="5CF72A74">
            <w:pPr>
              <w:spacing w:before="103"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3.5</w:t>
            </w:r>
          </w:p>
        </w:tc>
        <w:tc>
          <w:tcPr>
            <w:tcW w:w="336" w:type="dxa"/>
            <w:vAlign w:val="top"/>
          </w:tcPr>
          <w:p w14:paraId="1A0BF1B0">
            <w:pPr>
              <w:spacing w:before="103"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w:t>
            </w:r>
          </w:p>
        </w:tc>
        <w:tc>
          <w:tcPr>
            <w:tcW w:w="475" w:type="dxa"/>
            <w:vAlign w:val="top"/>
          </w:tcPr>
          <w:p w14:paraId="31C9EBFF">
            <w:pPr>
              <w:spacing w:before="103"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336" w:type="dxa"/>
            <w:vAlign w:val="top"/>
          </w:tcPr>
          <w:p w14:paraId="00655BA1">
            <w:pPr>
              <w:spacing w:before="103"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466" w:type="dxa"/>
            <w:vAlign w:val="top"/>
          </w:tcPr>
          <w:p w14:paraId="1C473C9D">
            <w:pPr>
              <w:spacing w:before="103" w:line="195" w:lineRule="auto"/>
              <w:ind w:left="1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466" w:type="dxa"/>
            <w:vAlign w:val="top"/>
          </w:tcPr>
          <w:p w14:paraId="2B6EB106">
            <w:pPr>
              <w:spacing w:before="103" w:line="195" w:lineRule="auto"/>
              <w:ind w:left="1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546" w:type="dxa"/>
            <w:vAlign w:val="top"/>
          </w:tcPr>
          <w:p w14:paraId="147ED3F3">
            <w:pPr>
              <w:spacing w:before="103"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6.3</w:t>
            </w:r>
          </w:p>
        </w:tc>
        <w:tc>
          <w:tcPr>
            <w:tcW w:w="398" w:type="dxa"/>
            <w:vAlign w:val="top"/>
          </w:tcPr>
          <w:p w14:paraId="72FE2DBB">
            <w:pPr>
              <w:spacing w:before="103"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11.6</w:t>
            </w:r>
          </w:p>
        </w:tc>
        <w:tc>
          <w:tcPr>
            <w:tcW w:w="648" w:type="dxa"/>
            <w:vAlign w:val="top"/>
          </w:tcPr>
          <w:p w14:paraId="0B4B6E8E">
            <w:pPr>
              <w:spacing w:before="103" w:line="195" w:lineRule="auto"/>
              <w:ind w:left="1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15.8</w:t>
            </w:r>
          </w:p>
        </w:tc>
        <w:tc>
          <w:tcPr>
            <w:tcW w:w="466" w:type="dxa"/>
            <w:vAlign w:val="top"/>
          </w:tcPr>
          <w:p w14:paraId="68C8BDDF">
            <w:pPr>
              <w:spacing w:before="103"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10.8</w:t>
            </w:r>
          </w:p>
        </w:tc>
        <w:tc>
          <w:tcPr>
            <w:tcW w:w="693" w:type="dxa"/>
            <w:vAlign w:val="top"/>
          </w:tcPr>
          <w:p w14:paraId="6A3508A7">
            <w:pPr>
              <w:spacing w:before="103" w:line="195" w:lineRule="auto"/>
              <w:ind w:left="226"/>
              <w:rPr>
                <w:rFonts w:ascii="Times New Roman" w:hAnsi="Times New Roman" w:eastAsia="Times New Roman" w:cs="Times New Roman"/>
                <w:sz w:val="20"/>
                <w:szCs w:val="20"/>
              </w:rPr>
            </w:pPr>
            <w:r>
              <w:rPr>
                <w:rFonts w:ascii="Times New Roman" w:hAnsi="Times New Roman" w:eastAsia="Times New Roman" w:cs="Times New Roman"/>
                <w:sz w:val="20"/>
                <w:szCs w:val="20"/>
              </w:rPr>
              <w:t>8.2</w:t>
            </w:r>
          </w:p>
        </w:tc>
        <w:tc>
          <w:tcPr>
            <w:tcW w:w="466" w:type="dxa"/>
            <w:vAlign w:val="top"/>
          </w:tcPr>
          <w:p w14:paraId="0688AD4F">
            <w:pPr>
              <w:spacing w:before="103"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7.2</w:t>
            </w:r>
          </w:p>
        </w:tc>
        <w:tc>
          <w:tcPr>
            <w:tcW w:w="633" w:type="dxa"/>
            <w:vAlign w:val="top"/>
          </w:tcPr>
          <w:p w14:paraId="59D2E50F">
            <w:pPr>
              <w:spacing w:before="103"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464" w:type="dxa"/>
            <w:tcBorders>
              <w:right w:val="nil"/>
            </w:tcBorders>
            <w:vAlign w:val="top"/>
          </w:tcPr>
          <w:p w14:paraId="01FA0A43">
            <w:pPr>
              <w:spacing w:before="103"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6.0</w:t>
            </w:r>
          </w:p>
        </w:tc>
      </w:tr>
      <w:tr w14:paraId="7CECA5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25" w:type="dxa"/>
            <w:tcBorders>
              <w:left w:val="nil"/>
            </w:tcBorders>
            <w:vAlign w:val="top"/>
          </w:tcPr>
          <w:p w14:paraId="5BF8D537">
            <w:pPr>
              <w:pStyle w:val="6"/>
              <w:spacing w:before="69" w:line="213" w:lineRule="auto"/>
              <w:ind w:left="264"/>
              <w:rPr>
                <w:sz w:val="20"/>
                <w:szCs w:val="20"/>
              </w:rPr>
            </w:pPr>
            <w:r>
              <w:rPr>
                <w:spacing w:val="2"/>
                <w:sz w:val="20"/>
                <w:szCs w:val="20"/>
              </w:rPr>
              <w:t>九月</w:t>
            </w:r>
          </w:p>
        </w:tc>
        <w:tc>
          <w:tcPr>
            <w:tcW w:w="335" w:type="dxa"/>
            <w:vAlign w:val="top"/>
          </w:tcPr>
          <w:p w14:paraId="630B3298">
            <w:pPr>
              <w:spacing w:before="104"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546" w:type="dxa"/>
            <w:vAlign w:val="top"/>
          </w:tcPr>
          <w:p w14:paraId="77379710">
            <w:pPr>
              <w:spacing w:before="104"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356" w:type="dxa"/>
            <w:vAlign w:val="top"/>
          </w:tcPr>
          <w:p w14:paraId="42B3232C">
            <w:pPr>
              <w:spacing w:before="104" w:line="195" w:lineRule="auto"/>
              <w:ind w:left="5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3.3</w:t>
            </w:r>
          </w:p>
        </w:tc>
        <w:tc>
          <w:tcPr>
            <w:tcW w:w="516" w:type="dxa"/>
            <w:vAlign w:val="top"/>
          </w:tcPr>
          <w:p w14:paraId="31AFB9F5">
            <w:pPr>
              <w:spacing w:before="104"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3.5</w:t>
            </w:r>
          </w:p>
        </w:tc>
        <w:tc>
          <w:tcPr>
            <w:tcW w:w="336" w:type="dxa"/>
            <w:vAlign w:val="top"/>
          </w:tcPr>
          <w:p w14:paraId="3544F8EE">
            <w:pPr>
              <w:spacing w:before="104"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w:t>
            </w:r>
          </w:p>
        </w:tc>
        <w:tc>
          <w:tcPr>
            <w:tcW w:w="475" w:type="dxa"/>
            <w:vAlign w:val="top"/>
          </w:tcPr>
          <w:p w14:paraId="6C3641D9">
            <w:pPr>
              <w:spacing w:before="104"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w:t>
            </w:r>
          </w:p>
        </w:tc>
        <w:tc>
          <w:tcPr>
            <w:tcW w:w="336" w:type="dxa"/>
            <w:vAlign w:val="top"/>
          </w:tcPr>
          <w:p w14:paraId="43C6C79F">
            <w:pPr>
              <w:spacing w:before="104"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466" w:type="dxa"/>
            <w:vAlign w:val="top"/>
          </w:tcPr>
          <w:p w14:paraId="5D80C88A">
            <w:pPr>
              <w:spacing w:before="104" w:line="195" w:lineRule="auto"/>
              <w:ind w:left="1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466" w:type="dxa"/>
            <w:vAlign w:val="top"/>
          </w:tcPr>
          <w:p w14:paraId="4CDE7D90">
            <w:pPr>
              <w:spacing w:before="104" w:line="195" w:lineRule="auto"/>
              <w:ind w:left="107"/>
              <w:rPr>
                <w:rFonts w:ascii="Times New Roman" w:hAnsi="Times New Roman" w:eastAsia="Times New Roman" w:cs="Times New Roman"/>
                <w:sz w:val="20"/>
                <w:szCs w:val="20"/>
              </w:rPr>
            </w:pPr>
            <w:r>
              <w:rPr>
                <w:rFonts w:ascii="Times New Roman" w:hAnsi="Times New Roman" w:eastAsia="Times New Roman" w:cs="Times New Roman"/>
                <w:sz w:val="20"/>
                <w:szCs w:val="20"/>
              </w:rPr>
              <w:t>5.2</w:t>
            </w:r>
          </w:p>
        </w:tc>
        <w:tc>
          <w:tcPr>
            <w:tcW w:w="546" w:type="dxa"/>
            <w:vAlign w:val="top"/>
          </w:tcPr>
          <w:p w14:paraId="3976A75B">
            <w:pPr>
              <w:spacing w:before="104"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6.5</w:t>
            </w:r>
          </w:p>
        </w:tc>
        <w:tc>
          <w:tcPr>
            <w:tcW w:w="398" w:type="dxa"/>
            <w:vAlign w:val="top"/>
          </w:tcPr>
          <w:p w14:paraId="74403135">
            <w:pPr>
              <w:spacing w:before="104"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11.8</w:t>
            </w:r>
          </w:p>
        </w:tc>
        <w:tc>
          <w:tcPr>
            <w:tcW w:w="648" w:type="dxa"/>
            <w:vAlign w:val="top"/>
          </w:tcPr>
          <w:p w14:paraId="36CD4E5B">
            <w:pPr>
              <w:spacing w:before="104" w:line="195" w:lineRule="auto"/>
              <w:ind w:left="1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15.5</w:t>
            </w:r>
          </w:p>
        </w:tc>
        <w:tc>
          <w:tcPr>
            <w:tcW w:w="466" w:type="dxa"/>
            <w:vAlign w:val="top"/>
          </w:tcPr>
          <w:p w14:paraId="4E443B21">
            <w:pPr>
              <w:spacing w:before="104"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10.7</w:t>
            </w:r>
          </w:p>
        </w:tc>
        <w:tc>
          <w:tcPr>
            <w:tcW w:w="693" w:type="dxa"/>
            <w:vAlign w:val="top"/>
          </w:tcPr>
          <w:p w14:paraId="7EBE5D6C">
            <w:pPr>
              <w:spacing w:before="104" w:line="195" w:lineRule="auto"/>
              <w:ind w:left="22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2"/>
                <w:sz w:val="20"/>
                <w:szCs w:val="20"/>
              </w:rPr>
              <w:t>1</w:t>
            </w:r>
          </w:p>
        </w:tc>
        <w:tc>
          <w:tcPr>
            <w:tcW w:w="466" w:type="dxa"/>
            <w:vAlign w:val="top"/>
          </w:tcPr>
          <w:p w14:paraId="4F869B1A">
            <w:pPr>
              <w:spacing w:before="104"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7.2</w:t>
            </w:r>
          </w:p>
        </w:tc>
        <w:tc>
          <w:tcPr>
            <w:tcW w:w="633" w:type="dxa"/>
            <w:vAlign w:val="top"/>
          </w:tcPr>
          <w:p w14:paraId="5F61BED4">
            <w:pPr>
              <w:spacing w:before="104"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w:t>
            </w:r>
          </w:p>
        </w:tc>
        <w:tc>
          <w:tcPr>
            <w:tcW w:w="464" w:type="dxa"/>
            <w:tcBorders>
              <w:right w:val="nil"/>
            </w:tcBorders>
            <w:vAlign w:val="top"/>
          </w:tcPr>
          <w:p w14:paraId="25F39736">
            <w:pPr>
              <w:spacing w:before="104"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6.2</w:t>
            </w:r>
          </w:p>
        </w:tc>
      </w:tr>
      <w:tr w14:paraId="1C2F3D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25" w:type="dxa"/>
            <w:tcBorders>
              <w:left w:val="nil"/>
            </w:tcBorders>
            <w:vAlign w:val="top"/>
          </w:tcPr>
          <w:p w14:paraId="5A0F9896">
            <w:pPr>
              <w:pStyle w:val="6"/>
              <w:spacing w:before="70" w:line="212" w:lineRule="auto"/>
              <w:ind w:left="259"/>
              <w:rPr>
                <w:sz w:val="20"/>
                <w:szCs w:val="20"/>
              </w:rPr>
            </w:pPr>
            <w:r>
              <w:rPr>
                <w:spacing w:val="4"/>
                <w:sz w:val="20"/>
                <w:szCs w:val="20"/>
              </w:rPr>
              <w:t>十月</w:t>
            </w:r>
          </w:p>
        </w:tc>
        <w:tc>
          <w:tcPr>
            <w:tcW w:w="335" w:type="dxa"/>
            <w:vAlign w:val="top"/>
          </w:tcPr>
          <w:p w14:paraId="206EB9F5">
            <w:pPr>
              <w:spacing w:before="106" w:line="195" w:lineRule="auto"/>
              <w:ind w:left="4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w:t>
            </w:r>
          </w:p>
        </w:tc>
        <w:tc>
          <w:tcPr>
            <w:tcW w:w="546" w:type="dxa"/>
            <w:vAlign w:val="top"/>
          </w:tcPr>
          <w:p w14:paraId="628B2072">
            <w:pPr>
              <w:spacing w:before="106"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356" w:type="dxa"/>
            <w:vAlign w:val="top"/>
          </w:tcPr>
          <w:p w14:paraId="08BB07AF">
            <w:pPr>
              <w:spacing w:before="106" w:line="195" w:lineRule="auto"/>
              <w:ind w:left="5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516" w:type="dxa"/>
            <w:vAlign w:val="top"/>
          </w:tcPr>
          <w:p w14:paraId="32330CB6">
            <w:pPr>
              <w:spacing w:before="106"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w:t>
            </w:r>
          </w:p>
        </w:tc>
        <w:tc>
          <w:tcPr>
            <w:tcW w:w="336" w:type="dxa"/>
            <w:vAlign w:val="top"/>
          </w:tcPr>
          <w:p w14:paraId="3F3490BF">
            <w:pPr>
              <w:spacing w:before="106"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3.7</w:t>
            </w:r>
          </w:p>
        </w:tc>
        <w:tc>
          <w:tcPr>
            <w:tcW w:w="475" w:type="dxa"/>
            <w:vAlign w:val="top"/>
          </w:tcPr>
          <w:p w14:paraId="764B1C58">
            <w:pPr>
              <w:spacing w:before="106"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w:t>
            </w:r>
          </w:p>
        </w:tc>
        <w:tc>
          <w:tcPr>
            <w:tcW w:w="336" w:type="dxa"/>
            <w:vAlign w:val="top"/>
          </w:tcPr>
          <w:p w14:paraId="5CC19C94">
            <w:pPr>
              <w:spacing w:before="106"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w:t>
            </w:r>
          </w:p>
        </w:tc>
        <w:tc>
          <w:tcPr>
            <w:tcW w:w="466" w:type="dxa"/>
            <w:vAlign w:val="top"/>
          </w:tcPr>
          <w:p w14:paraId="38046860">
            <w:pPr>
              <w:spacing w:before="106" w:line="195" w:lineRule="auto"/>
              <w:ind w:left="1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466" w:type="dxa"/>
            <w:vAlign w:val="top"/>
          </w:tcPr>
          <w:p w14:paraId="355C2381">
            <w:pPr>
              <w:spacing w:before="106" w:line="195" w:lineRule="auto"/>
              <w:ind w:left="1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546" w:type="dxa"/>
            <w:vAlign w:val="top"/>
          </w:tcPr>
          <w:p w14:paraId="21FF2164">
            <w:pPr>
              <w:spacing w:before="106"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6.5</w:t>
            </w:r>
          </w:p>
        </w:tc>
        <w:tc>
          <w:tcPr>
            <w:tcW w:w="398" w:type="dxa"/>
            <w:vAlign w:val="top"/>
          </w:tcPr>
          <w:p w14:paraId="673CD9BF">
            <w:pPr>
              <w:spacing w:before="106"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12.2</w:t>
            </w:r>
          </w:p>
        </w:tc>
        <w:tc>
          <w:tcPr>
            <w:tcW w:w="648" w:type="dxa"/>
            <w:vAlign w:val="top"/>
          </w:tcPr>
          <w:p w14:paraId="160FFD3A">
            <w:pPr>
              <w:spacing w:before="106" w:line="195" w:lineRule="auto"/>
              <w:ind w:left="1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15.7</w:t>
            </w:r>
          </w:p>
        </w:tc>
        <w:tc>
          <w:tcPr>
            <w:tcW w:w="466" w:type="dxa"/>
            <w:vAlign w:val="top"/>
          </w:tcPr>
          <w:p w14:paraId="3A9A9473">
            <w:pPr>
              <w:spacing w:before="106"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10.9</w:t>
            </w:r>
          </w:p>
        </w:tc>
        <w:tc>
          <w:tcPr>
            <w:tcW w:w="693" w:type="dxa"/>
            <w:vAlign w:val="top"/>
          </w:tcPr>
          <w:p w14:paraId="476A0A4C">
            <w:pPr>
              <w:spacing w:before="106" w:line="195" w:lineRule="auto"/>
              <w:ind w:left="226"/>
              <w:rPr>
                <w:rFonts w:ascii="Times New Roman" w:hAnsi="Times New Roman" w:eastAsia="Times New Roman" w:cs="Times New Roman"/>
                <w:sz w:val="20"/>
                <w:szCs w:val="20"/>
              </w:rPr>
            </w:pPr>
            <w:r>
              <w:rPr>
                <w:rFonts w:ascii="Times New Roman" w:hAnsi="Times New Roman" w:eastAsia="Times New Roman" w:cs="Times New Roman"/>
                <w:sz w:val="20"/>
                <w:szCs w:val="20"/>
              </w:rPr>
              <w:t>8.2</w:t>
            </w:r>
          </w:p>
        </w:tc>
        <w:tc>
          <w:tcPr>
            <w:tcW w:w="466" w:type="dxa"/>
            <w:vAlign w:val="top"/>
          </w:tcPr>
          <w:p w14:paraId="4A044406">
            <w:pPr>
              <w:spacing w:before="106" w:line="195" w:lineRule="auto"/>
              <w:ind w:left="106"/>
              <w:rPr>
                <w:rFonts w:ascii="Times New Roman" w:hAnsi="Times New Roman" w:eastAsia="Times New Roman" w:cs="Times New Roman"/>
                <w:sz w:val="20"/>
                <w:szCs w:val="20"/>
              </w:rPr>
            </w:pPr>
            <w:r>
              <w:rPr>
                <w:rFonts w:ascii="Times New Roman" w:hAnsi="Times New Roman" w:eastAsia="Times New Roman" w:cs="Times New Roman"/>
                <w:sz w:val="20"/>
                <w:szCs w:val="20"/>
              </w:rPr>
              <w:t>7.</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c>
          <w:tcPr>
            <w:tcW w:w="633" w:type="dxa"/>
            <w:vAlign w:val="top"/>
          </w:tcPr>
          <w:p w14:paraId="3B7FB081">
            <w:pPr>
              <w:spacing w:before="106"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w:t>
            </w:r>
          </w:p>
        </w:tc>
        <w:tc>
          <w:tcPr>
            <w:tcW w:w="464" w:type="dxa"/>
            <w:tcBorders>
              <w:right w:val="nil"/>
            </w:tcBorders>
            <w:vAlign w:val="top"/>
          </w:tcPr>
          <w:p w14:paraId="0D47CC2C">
            <w:pPr>
              <w:spacing w:before="106"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6.2</w:t>
            </w:r>
          </w:p>
        </w:tc>
      </w:tr>
      <w:tr w14:paraId="189573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925" w:type="dxa"/>
            <w:tcBorders>
              <w:left w:val="nil"/>
            </w:tcBorders>
            <w:vAlign w:val="top"/>
          </w:tcPr>
          <w:p w14:paraId="59485746">
            <w:pPr>
              <w:pStyle w:val="6"/>
              <w:spacing w:before="72" w:line="211" w:lineRule="auto"/>
              <w:ind w:left="154"/>
              <w:rPr>
                <w:sz w:val="20"/>
                <w:szCs w:val="20"/>
              </w:rPr>
            </w:pPr>
            <w:r>
              <w:rPr>
                <w:spacing w:val="6"/>
                <w:sz w:val="20"/>
                <w:szCs w:val="20"/>
              </w:rPr>
              <w:t>十一月</w:t>
            </w:r>
          </w:p>
        </w:tc>
        <w:tc>
          <w:tcPr>
            <w:tcW w:w="335" w:type="dxa"/>
            <w:vAlign w:val="top"/>
          </w:tcPr>
          <w:p w14:paraId="71D6F069">
            <w:pPr>
              <w:spacing w:before="108" w:line="195" w:lineRule="auto"/>
              <w:ind w:left="4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3.6</w:t>
            </w:r>
          </w:p>
        </w:tc>
        <w:tc>
          <w:tcPr>
            <w:tcW w:w="546" w:type="dxa"/>
            <w:vAlign w:val="top"/>
          </w:tcPr>
          <w:p w14:paraId="36DE2C32">
            <w:pPr>
              <w:spacing w:before="108"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2.6</w:t>
            </w:r>
          </w:p>
        </w:tc>
        <w:tc>
          <w:tcPr>
            <w:tcW w:w="356" w:type="dxa"/>
            <w:vAlign w:val="top"/>
          </w:tcPr>
          <w:p w14:paraId="3A7305F8">
            <w:pPr>
              <w:spacing w:before="108" w:line="195" w:lineRule="auto"/>
              <w:ind w:left="5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516" w:type="dxa"/>
            <w:vAlign w:val="top"/>
          </w:tcPr>
          <w:p w14:paraId="68181E05">
            <w:pPr>
              <w:spacing w:before="108"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336" w:type="dxa"/>
            <w:vAlign w:val="top"/>
          </w:tcPr>
          <w:p w14:paraId="4C5BE5BC">
            <w:pPr>
              <w:spacing w:before="108"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3.5</w:t>
            </w:r>
          </w:p>
        </w:tc>
        <w:tc>
          <w:tcPr>
            <w:tcW w:w="475" w:type="dxa"/>
            <w:vAlign w:val="top"/>
          </w:tcPr>
          <w:p w14:paraId="0EE574AC">
            <w:pPr>
              <w:spacing w:before="108"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336" w:type="dxa"/>
            <w:vAlign w:val="top"/>
          </w:tcPr>
          <w:p w14:paraId="21F653C2">
            <w:pPr>
              <w:spacing w:before="108"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466" w:type="dxa"/>
            <w:vAlign w:val="top"/>
          </w:tcPr>
          <w:p w14:paraId="084F68BA">
            <w:pPr>
              <w:spacing w:before="108" w:line="195" w:lineRule="auto"/>
              <w:ind w:left="10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466" w:type="dxa"/>
            <w:vAlign w:val="top"/>
          </w:tcPr>
          <w:p w14:paraId="49981CFB">
            <w:pPr>
              <w:spacing w:before="108" w:line="195" w:lineRule="auto"/>
              <w:ind w:left="1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w:t>
            </w:r>
          </w:p>
        </w:tc>
        <w:tc>
          <w:tcPr>
            <w:tcW w:w="546" w:type="dxa"/>
            <w:vAlign w:val="top"/>
          </w:tcPr>
          <w:p w14:paraId="1114179A">
            <w:pPr>
              <w:spacing w:before="108"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6.4</w:t>
            </w:r>
          </w:p>
        </w:tc>
        <w:tc>
          <w:tcPr>
            <w:tcW w:w="398" w:type="dxa"/>
            <w:vAlign w:val="top"/>
          </w:tcPr>
          <w:p w14:paraId="4E2E3FF3">
            <w:pPr>
              <w:spacing w:before="108"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12.8</w:t>
            </w:r>
          </w:p>
        </w:tc>
        <w:tc>
          <w:tcPr>
            <w:tcW w:w="648" w:type="dxa"/>
            <w:vAlign w:val="top"/>
          </w:tcPr>
          <w:p w14:paraId="3D56CF21">
            <w:pPr>
              <w:spacing w:before="108" w:line="195" w:lineRule="auto"/>
              <w:ind w:left="1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16.6</w:t>
            </w:r>
          </w:p>
        </w:tc>
        <w:tc>
          <w:tcPr>
            <w:tcW w:w="466" w:type="dxa"/>
            <w:vAlign w:val="top"/>
          </w:tcPr>
          <w:p w14:paraId="4AE5DBA8">
            <w:pPr>
              <w:spacing w:before="108" w:line="195" w:lineRule="auto"/>
              <w:ind w:left="7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11.4</w:t>
            </w:r>
          </w:p>
        </w:tc>
        <w:tc>
          <w:tcPr>
            <w:tcW w:w="693" w:type="dxa"/>
            <w:vAlign w:val="top"/>
          </w:tcPr>
          <w:p w14:paraId="18E86351">
            <w:pPr>
              <w:spacing w:before="108" w:line="195" w:lineRule="auto"/>
              <w:ind w:left="226"/>
              <w:rPr>
                <w:rFonts w:ascii="Times New Roman" w:hAnsi="Times New Roman" w:eastAsia="Times New Roman" w:cs="Times New Roman"/>
                <w:sz w:val="20"/>
                <w:szCs w:val="20"/>
              </w:rPr>
            </w:pPr>
            <w:r>
              <w:rPr>
                <w:rFonts w:ascii="Times New Roman" w:hAnsi="Times New Roman" w:eastAsia="Times New Roman" w:cs="Times New Roman"/>
                <w:sz w:val="20"/>
                <w:szCs w:val="20"/>
              </w:rPr>
              <w:t>8.2</w:t>
            </w:r>
          </w:p>
        </w:tc>
        <w:tc>
          <w:tcPr>
            <w:tcW w:w="466" w:type="dxa"/>
            <w:vAlign w:val="top"/>
          </w:tcPr>
          <w:p w14:paraId="055D5131">
            <w:pPr>
              <w:spacing w:before="108" w:line="195" w:lineRule="auto"/>
              <w:ind w:left="1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6.9</w:t>
            </w:r>
          </w:p>
        </w:tc>
        <w:tc>
          <w:tcPr>
            <w:tcW w:w="633" w:type="dxa"/>
            <w:vAlign w:val="top"/>
          </w:tcPr>
          <w:p w14:paraId="5B4BCAA4">
            <w:pPr>
              <w:spacing w:before="108" w:line="195" w:lineRule="auto"/>
              <w:ind w:left="1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464" w:type="dxa"/>
            <w:tcBorders>
              <w:right w:val="nil"/>
            </w:tcBorders>
            <w:vAlign w:val="top"/>
          </w:tcPr>
          <w:p w14:paraId="6AAEDB7C">
            <w:pPr>
              <w:spacing w:before="108"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6.2</w:t>
            </w:r>
          </w:p>
        </w:tc>
      </w:tr>
      <w:tr w14:paraId="4F743B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925" w:type="dxa"/>
            <w:tcBorders>
              <w:left w:val="nil"/>
              <w:bottom w:val="single" w:color="000000" w:sz="10" w:space="0"/>
            </w:tcBorders>
            <w:vAlign w:val="top"/>
          </w:tcPr>
          <w:p w14:paraId="2CD65DA2">
            <w:pPr>
              <w:pStyle w:val="6"/>
              <w:spacing w:before="73" w:line="228" w:lineRule="auto"/>
              <w:ind w:left="154"/>
              <w:rPr>
                <w:sz w:val="20"/>
                <w:szCs w:val="20"/>
              </w:rPr>
            </w:pPr>
            <w:r>
              <w:rPr>
                <w:spacing w:val="6"/>
                <w:sz w:val="20"/>
                <w:szCs w:val="20"/>
              </w:rPr>
              <w:t>十二月</w:t>
            </w:r>
          </w:p>
        </w:tc>
        <w:tc>
          <w:tcPr>
            <w:tcW w:w="335" w:type="dxa"/>
            <w:tcBorders>
              <w:bottom w:val="single" w:color="000000" w:sz="10" w:space="0"/>
            </w:tcBorders>
            <w:vAlign w:val="top"/>
          </w:tcPr>
          <w:p w14:paraId="1B7E6BAE">
            <w:pPr>
              <w:spacing w:before="109" w:line="195" w:lineRule="auto"/>
              <w:ind w:left="4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3.3</w:t>
            </w:r>
          </w:p>
        </w:tc>
        <w:tc>
          <w:tcPr>
            <w:tcW w:w="546" w:type="dxa"/>
            <w:tcBorders>
              <w:bottom w:val="single" w:color="000000" w:sz="10" w:space="0"/>
            </w:tcBorders>
            <w:vAlign w:val="top"/>
          </w:tcPr>
          <w:p w14:paraId="78F89E95">
            <w:pPr>
              <w:spacing w:before="109"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356" w:type="dxa"/>
            <w:tcBorders>
              <w:bottom w:val="single" w:color="000000" w:sz="10" w:space="0"/>
            </w:tcBorders>
            <w:vAlign w:val="top"/>
          </w:tcPr>
          <w:p w14:paraId="106B291C">
            <w:pPr>
              <w:spacing w:before="109" w:line="195" w:lineRule="auto"/>
              <w:ind w:left="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516" w:type="dxa"/>
            <w:tcBorders>
              <w:bottom w:val="single" w:color="000000" w:sz="10" w:space="0"/>
            </w:tcBorders>
            <w:vAlign w:val="top"/>
          </w:tcPr>
          <w:p w14:paraId="62646D0C">
            <w:pPr>
              <w:spacing w:before="109"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336" w:type="dxa"/>
            <w:tcBorders>
              <w:bottom w:val="single" w:color="000000" w:sz="10" w:space="0"/>
            </w:tcBorders>
            <w:vAlign w:val="top"/>
          </w:tcPr>
          <w:p w14:paraId="76834F8C">
            <w:pPr>
              <w:spacing w:before="109"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3.3</w:t>
            </w:r>
          </w:p>
        </w:tc>
        <w:tc>
          <w:tcPr>
            <w:tcW w:w="475" w:type="dxa"/>
            <w:tcBorders>
              <w:bottom w:val="single" w:color="000000" w:sz="10" w:space="0"/>
            </w:tcBorders>
            <w:vAlign w:val="top"/>
          </w:tcPr>
          <w:p w14:paraId="05628918">
            <w:pPr>
              <w:spacing w:before="109" w:line="195" w:lineRule="auto"/>
              <w:ind w:left="1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336" w:type="dxa"/>
            <w:tcBorders>
              <w:bottom w:val="single" w:color="000000" w:sz="10" w:space="0"/>
            </w:tcBorders>
            <w:vAlign w:val="top"/>
          </w:tcPr>
          <w:p w14:paraId="367EBA30">
            <w:pPr>
              <w:spacing w:before="109" w:line="195"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466" w:type="dxa"/>
            <w:tcBorders>
              <w:bottom w:val="single" w:color="000000" w:sz="10" w:space="0"/>
            </w:tcBorders>
            <w:vAlign w:val="top"/>
          </w:tcPr>
          <w:p w14:paraId="0B65586B">
            <w:pPr>
              <w:spacing w:before="109" w:line="195" w:lineRule="auto"/>
              <w:ind w:left="10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466" w:type="dxa"/>
            <w:tcBorders>
              <w:bottom w:val="single" w:color="000000" w:sz="10" w:space="0"/>
            </w:tcBorders>
            <w:vAlign w:val="top"/>
          </w:tcPr>
          <w:p w14:paraId="59408AFB">
            <w:pPr>
              <w:spacing w:before="109" w:line="195" w:lineRule="auto"/>
              <w:ind w:left="1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w:t>
            </w:r>
          </w:p>
        </w:tc>
        <w:tc>
          <w:tcPr>
            <w:tcW w:w="546" w:type="dxa"/>
            <w:tcBorders>
              <w:bottom w:val="single" w:color="000000" w:sz="10" w:space="0"/>
            </w:tcBorders>
            <w:vAlign w:val="top"/>
          </w:tcPr>
          <w:p w14:paraId="4A40D20F">
            <w:pPr>
              <w:spacing w:before="109"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6.3</w:t>
            </w:r>
          </w:p>
        </w:tc>
        <w:tc>
          <w:tcPr>
            <w:tcW w:w="398" w:type="dxa"/>
            <w:tcBorders>
              <w:bottom w:val="single" w:color="000000" w:sz="10" w:space="0"/>
            </w:tcBorders>
            <w:vAlign w:val="top"/>
          </w:tcPr>
          <w:p w14:paraId="07AACA92">
            <w:pPr>
              <w:spacing w:before="109" w:line="195" w:lineRule="auto"/>
              <w:jc w:val="right"/>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13.</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8"/>
                <w:sz w:val="20"/>
                <w:szCs w:val="20"/>
              </w:rPr>
              <w:t>1</w:t>
            </w:r>
          </w:p>
        </w:tc>
        <w:tc>
          <w:tcPr>
            <w:tcW w:w="648" w:type="dxa"/>
            <w:tcBorders>
              <w:bottom w:val="single" w:color="000000" w:sz="10" w:space="0"/>
            </w:tcBorders>
            <w:vAlign w:val="top"/>
          </w:tcPr>
          <w:p w14:paraId="56BC551D">
            <w:pPr>
              <w:spacing w:before="109" w:line="195" w:lineRule="auto"/>
              <w:ind w:left="1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17.8</w:t>
            </w:r>
          </w:p>
        </w:tc>
        <w:tc>
          <w:tcPr>
            <w:tcW w:w="466" w:type="dxa"/>
            <w:tcBorders>
              <w:bottom w:val="single" w:color="000000" w:sz="10" w:space="0"/>
            </w:tcBorders>
            <w:vAlign w:val="top"/>
          </w:tcPr>
          <w:p w14:paraId="17AC6144">
            <w:pPr>
              <w:spacing w:before="109"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3"/>
                <w:sz w:val="20"/>
                <w:szCs w:val="20"/>
              </w:rPr>
              <w:t>1</w:t>
            </w:r>
          </w:p>
        </w:tc>
        <w:tc>
          <w:tcPr>
            <w:tcW w:w="693" w:type="dxa"/>
            <w:tcBorders>
              <w:bottom w:val="single" w:color="000000" w:sz="10" w:space="0"/>
            </w:tcBorders>
            <w:vAlign w:val="top"/>
          </w:tcPr>
          <w:p w14:paraId="0C3F9EED">
            <w:pPr>
              <w:spacing w:before="109" w:line="195" w:lineRule="auto"/>
              <w:ind w:left="226"/>
              <w:rPr>
                <w:rFonts w:ascii="Times New Roman" w:hAnsi="Times New Roman" w:eastAsia="Times New Roman" w:cs="Times New Roman"/>
                <w:sz w:val="20"/>
                <w:szCs w:val="20"/>
              </w:rPr>
            </w:pPr>
            <w:r>
              <w:rPr>
                <w:rFonts w:ascii="Times New Roman" w:hAnsi="Times New Roman" w:eastAsia="Times New Roman" w:cs="Times New Roman"/>
                <w:sz w:val="20"/>
                <w:szCs w:val="20"/>
              </w:rPr>
              <w:t>8.3</w:t>
            </w:r>
          </w:p>
        </w:tc>
        <w:tc>
          <w:tcPr>
            <w:tcW w:w="466" w:type="dxa"/>
            <w:tcBorders>
              <w:bottom w:val="single" w:color="000000" w:sz="10" w:space="0"/>
            </w:tcBorders>
            <w:vAlign w:val="top"/>
          </w:tcPr>
          <w:p w14:paraId="602780E9">
            <w:pPr>
              <w:spacing w:before="109" w:line="195" w:lineRule="auto"/>
              <w:ind w:left="1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6.7</w:t>
            </w:r>
          </w:p>
        </w:tc>
        <w:tc>
          <w:tcPr>
            <w:tcW w:w="633" w:type="dxa"/>
            <w:tcBorders>
              <w:bottom w:val="single" w:color="000000" w:sz="10" w:space="0"/>
            </w:tcBorders>
            <w:vAlign w:val="top"/>
          </w:tcPr>
          <w:p w14:paraId="20BB761D">
            <w:pPr>
              <w:spacing w:before="109" w:line="195" w:lineRule="auto"/>
              <w:ind w:left="19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w:t>
            </w:r>
          </w:p>
        </w:tc>
        <w:tc>
          <w:tcPr>
            <w:tcW w:w="464" w:type="dxa"/>
            <w:tcBorders>
              <w:bottom w:val="single" w:color="000000" w:sz="10" w:space="0"/>
              <w:right w:val="nil"/>
            </w:tcBorders>
            <w:vAlign w:val="top"/>
          </w:tcPr>
          <w:p w14:paraId="21863BD8">
            <w:pPr>
              <w:spacing w:before="109"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6.0</w:t>
            </w:r>
          </w:p>
        </w:tc>
      </w:tr>
    </w:tbl>
    <w:p w14:paraId="4EA44D6F">
      <w:pPr>
        <w:spacing w:before="118" w:line="356" w:lineRule="auto"/>
        <w:ind w:left="2" w:firstLine="487"/>
        <w:rPr>
          <w:rFonts w:ascii="宋体" w:hAnsi="宋体" w:eastAsia="宋体" w:cs="宋体"/>
          <w:sz w:val="24"/>
          <w:szCs w:val="24"/>
        </w:rPr>
      </w:pPr>
      <w:r>
        <w:rPr>
          <w:rFonts w:ascii="宋体" w:hAnsi="宋体" w:eastAsia="宋体" w:cs="宋体"/>
          <w:spacing w:val="2"/>
          <w:sz w:val="24"/>
          <w:szCs w:val="24"/>
        </w:rPr>
        <w:t>年各月风向频率玫瑰图。由图表可知：苏尼特右旗一月份主导风向为</w:t>
      </w:r>
      <w:r>
        <w:rPr>
          <w:rFonts w:ascii="Times New Roman" w:hAnsi="Times New Roman" w:eastAsia="Times New Roman" w:cs="Times New Roman"/>
          <w:sz w:val="24"/>
          <w:szCs w:val="24"/>
        </w:rPr>
        <w:t>WSW</w:t>
      </w:r>
      <w:r>
        <w:rPr>
          <w:rFonts w:ascii="宋体" w:hAnsi="宋体" w:eastAsia="宋体" w:cs="宋体"/>
          <w:spacing w:val="2"/>
          <w:sz w:val="24"/>
          <w:szCs w:val="24"/>
        </w:rPr>
        <w:t>风，出</w:t>
      </w:r>
      <w:r>
        <w:rPr>
          <w:rFonts w:ascii="宋体" w:hAnsi="宋体" w:eastAsia="宋体" w:cs="宋体"/>
          <w:spacing w:val="8"/>
          <w:sz w:val="24"/>
          <w:szCs w:val="24"/>
        </w:rPr>
        <w:t xml:space="preserve"> </w:t>
      </w:r>
      <w:r>
        <w:rPr>
          <w:rFonts w:ascii="宋体" w:hAnsi="宋体" w:eastAsia="宋体" w:cs="宋体"/>
          <w:spacing w:val="1"/>
          <w:sz w:val="24"/>
          <w:szCs w:val="24"/>
        </w:rPr>
        <w:t>现频率为</w:t>
      </w:r>
      <w:r>
        <w:rPr>
          <w:rFonts w:ascii="Times New Roman" w:hAnsi="Times New Roman" w:eastAsia="Times New Roman" w:cs="Times New Roman"/>
          <w:spacing w:val="1"/>
          <w:sz w:val="24"/>
          <w:szCs w:val="24"/>
        </w:rPr>
        <w:t>29.5%</w:t>
      </w:r>
      <w:r>
        <w:rPr>
          <w:rFonts w:ascii="Times New Roman" w:hAnsi="Times New Roman" w:eastAsia="Times New Roman" w:cs="Times New Roman"/>
          <w:spacing w:val="-14"/>
          <w:sz w:val="24"/>
          <w:szCs w:val="24"/>
        </w:rPr>
        <w:t xml:space="preserve"> </w:t>
      </w:r>
      <w:r>
        <w:rPr>
          <w:rFonts w:ascii="宋体" w:hAnsi="宋体" w:eastAsia="宋体" w:cs="宋体"/>
          <w:spacing w:val="1"/>
          <w:sz w:val="24"/>
          <w:szCs w:val="24"/>
        </w:rPr>
        <w:t>，次主导风向为</w:t>
      </w:r>
      <w:r>
        <w:rPr>
          <w:rFonts w:ascii="Times New Roman" w:hAnsi="Times New Roman" w:eastAsia="Times New Roman" w:cs="Times New Roman"/>
          <w:spacing w:val="1"/>
          <w:sz w:val="24"/>
          <w:szCs w:val="24"/>
        </w:rPr>
        <w:t>W</w:t>
      </w:r>
      <w:r>
        <w:rPr>
          <w:rFonts w:ascii="宋体" w:hAnsi="宋体" w:eastAsia="宋体" w:cs="宋体"/>
          <w:spacing w:val="1"/>
          <w:sz w:val="24"/>
          <w:szCs w:val="24"/>
        </w:rPr>
        <w:t>风，出现频率为</w:t>
      </w:r>
      <w:r>
        <w:rPr>
          <w:rFonts w:ascii="Times New Roman" w:hAnsi="Times New Roman" w:eastAsia="Times New Roman" w:cs="Times New Roman"/>
          <w:spacing w:val="1"/>
          <w:sz w:val="24"/>
          <w:szCs w:val="24"/>
        </w:rPr>
        <w:t>17.7%</w:t>
      </w:r>
      <w:r>
        <w:rPr>
          <w:rFonts w:ascii="宋体" w:hAnsi="宋体" w:eastAsia="宋体" w:cs="宋体"/>
          <w:spacing w:val="1"/>
          <w:sz w:val="24"/>
          <w:szCs w:val="24"/>
        </w:rPr>
        <w:t>；二月份主导风向为</w:t>
      </w:r>
      <w:r>
        <w:rPr>
          <w:rFonts w:ascii="Times New Roman" w:hAnsi="Times New Roman" w:eastAsia="Times New Roman" w:cs="Times New Roman"/>
          <w:sz w:val="24"/>
          <w:szCs w:val="24"/>
        </w:rPr>
        <w:t>WSW</w:t>
      </w:r>
      <w:r>
        <w:rPr>
          <w:rFonts w:ascii="宋体" w:hAnsi="宋体" w:eastAsia="宋体" w:cs="宋体"/>
          <w:spacing w:val="1"/>
          <w:sz w:val="24"/>
          <w:szCs w:val="24"/>
        </w:rPr>
        <w:t>风，</w:t>
      </w:r>
      <w:r>
        <w:rPr>
          <w:rFonts w:ascii="宋体" w:hAnsi="宋体" w:eastAsia="宋体" w:cs="宋体"/>
          <w:sz w:val="24"/>
          <w:szCs w:val="24"/>
        </w:rPr>
        <w:t xml:space="preserve"> 出现频率为</w:t>
      </w:r>
      <w:r>
        <w:rPr>
          <w:rFonts w:ascii="Times New Roman" w:hAnsi="Times New Roman" w:eastAsia="Times New Roman" w:cs="Times New Roman"/>
          <w:sz w:val="24"/>
          <w:szCs w:val="24"/>
        </w:rPr>
        <w:t>26.4%</w:t>
      </w:r>
      <w:r>
        <w:rPr>
          <w:rFonts w:ascii="Times New Roman" w:hAnsi="Times New Roman" w:eastAsia="Times New Roman" w:cs="Times New Roman"/>
          <w:spacing w:val="-29"/>
          <w:sz w:val="24"/>
          <w:szCs w:val="24"/>
        </w:rPr>
        <w:t xml:space="preserve"> </w:t>
      </w:r>
      <w:r>
        <w:rPr>
          <w:rFonts w:ascii="宋体" w:hAnsi="宋体" w:eastAsia="宋体" w:cs="宋体"/>
          <w:sz w:val="24"/>
          <w:szCs w:val="24"/>
        </w:rPr>
        <w:t>，三月份主导风向为</w:t>
      </w:r>
      <w:r>
        <w:rPr>
          <w:rFonts w:ascii="Times New Roman" w:hAnsi="Times New Roman" w:eastAsia="Times New Roman" w:cs="Times New Roman"/>
          <w:sz w:val="24"/>
          <w:szCs w:val="24"/>
        </w:rPr>
        <w:t>WSW</w:t>
      </w:r>
      <w:r>
        <w:rPr>
          <w:rFonts w:ascii="宋体" w:hAnsi="宋体" w:eastAsia="宋体" w:cs="宋体"/>
          <w:sz w:val="24"/>
          <w:szCs w:val="24"/>
        </w:rPr>
        <w:t>风，出</w:t>
      </w:r>
      <w:r>
        <w:rPr>
          <w:rFonts w:ascii="宋体" w:hAnsi="宋体" w:eastAsia="宋体" w:cs="宋体"/>
          <w:spacing w:val="-1"/>
          <w:sz w:val="24"/>
          <w:szCs w:val="24"/>
        </w:rPr>
        <w:t>现频率为</w:t>
      </w:r>
      <w:r>
        <w:rPr>
          <w:rFonts w:ascii="Times New Roman" w:hAnsi="Times New Roman" w:eastAsia="Times New Roman" w:cs="Times New Roman"/>
          <w:spacing w:val="-1"/>
          <w:sz w:val="24"/>
          <w:szCs w:val="24"/>
        </w:rPr>
        <w:t>23.5%</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，四月份主导方向为</w:t>
      </w:r>
      <w:r>
        <w:rPr>
          <w:rFonts w:ascii="宋体" w:hAnsi="宋体" w:eastAsia="宋体" w:cs="宋体"/>
          <w:sz w:val="24"/>
          <w:szCs w:val="24"/>
        </w:rPr>
        <w:t xml:space="preserve"> </w:t>
      </w:r>
      <w:r>
        <w:rPr>
          <w:rFonts w:ascii="Times New Roman" w:hAnsi="Times New Roman" w:eastAsia="Times New Roman" w:cs="Times New Roman"/>
          <w:spacing w:val="-3"/>
          <w:sz w:val="24"/>
          <w:szCs w:val="24"/>
        </w:rPr>
        <w:t>WSW</w:t>
      </w:r>
      <w:r>
        <w:rPr>
          <w:rFonts w:ascii="宋体" w:hAnsi="宋体" w:eastAsia="宋体" w:cs="宋体"/>
          <w:spacing w:val="-3"/>
          <w:sz w:val="24"/>
          <w:szCs w:val="24"/>
        </w:rPr>
        <w:t>风，出现频率为</w:t>
      </w:r>
      <w:r>
        <w:rPr>
          <w:rFonts w:ascii="Times New Roman" w:hAnsi="Times New Roman" w:eastAsia="Times New Roman" w:cs="Times New Roman"/>
          <w:spacing w:val="-3"/>
          <w:sz w:val="24"/>
          <w:szCs w:val="24"/>
        </w:rPr>
        <w:t>21.6%</w:t>
      </w:r>
      <w:r>
        <w:rPr>
          <w:rFonts w:ascii="Times New Roman" w:hAnsi="Times New Roman" w:eastAsia="Times New Roman" w:cs="Times New Roman"/>
          <w:spacing w:val="-24"/>
          <w:sz w:val="24"/>
          <w:szCs w:val="24"/>
        </w:rPr>
        <w:t xml:space="preserve"> </w:t>
      </w:r>
      <w:r>
        <w:rPr>
          <w:rFonts w:ascii="宋体" w:hAnsi="宋体" w:eastAsia="宋体" w:cs="宋体"/>
          <w:spacing w:val="-3"/>
          <w:sz w:val="24"/>
          <w:szCs w:val="24"/>
        </w:rPr>
        <w:t>，五月份主导风向为</w:t>
      </w:r>
      <w:r>
        <w:rPr>
          <w:rFonts w:ascii="Times New Roman" w:hAnsi="Times New Roman" w:eastAsia="Times New Roman" w:cs="Times New Roman"/>
          <w:spacing w:val="-3"/>
          <w:sz w:val="24"/>
          <w:szCs w:val="24"/>
        </w:rPr>
        <w:t>WSW</w:t>
      </w:r>
      <w:r>
        <w:rPr>
          <w:rFonts w:ascii="宋体" w:hAnsi="宋体" w:eastAsia="宋体" w:cs="宋体"/>
          <w:spacing w:val="-3"/>
          <w:sz w:val="24"/>
          <w:szCs w:val="24"/>
        </w:rPr>
        <w:t>风，出现频率为</w:t>
      </w:r>
      <w:r>
        <w:rPr>
          <w:rFonts w:ascii="Times New Roman" w:hAnsi="Times New Roman" w:eastAsia="Times New Roman" w:cs="Times New Roman"/>
          <w:spacing w:val="-3"/>
          <w:sz w:val="24"/>
          <w:szCs w:val="24"/>
        </w:rPr>
        <w:t>19.9%</w:t>
      </w:r>
      <w:r>
        <w:rPr>
          <w:rFonts w:ascii="Times New Roman" w:hAnsi="Times New Roman" w:eastAsia="Times New Roman" w:cs="Times New Roman"/>
          <w:spacing w:val="-30"/>
          <w:sz w:val="24"/>
          <w:szCs w:val="24"/>
        </w:rPr>
        <w:t xml:space="preserve"> </w:t>
      </w:r>
      <w:r>
        <w:rPr>
          <w:rFonts w:ascii="宋体" w:hAnsi="宋体" w:eastAsia="宋体" w:cs="宋体"/>
          <w:spacing w:val="-3"/>
          <w:sz w:val="24"/>
          <w:szCs w:val="24"/>
        </w:rPr>
        <w:t>，六月份主</w:t>
      </w:r>
      <w:r>
        <w:rPr>
          <w:rFonts w:ascii="宋体" w:hAnsi="宋体" w:eastAsia="宋体" w:cs="宋体"/>
          <w:sz w:val="24"/>
          <w:szCs w:val="24"/>
        </w:rPr>
        <w:t xml:space="preserve"> </w:t>
      </w:r>
      <w:r>
        <w:rPr>
          <w:rFonts w:ascii="宋体" w:hAnsi="宋体" w:eastAsia="宋体" w:cs="宋体"/>
          <w:spacing w:val="-1"/>
          <w:sz w:val="24"/>
          <w:szCs w:val="24"/>
        </w:rPr>
        <w:t>导风向为</w:t>
      </w:r>
      <w:r>
        <w:rPr>
          <w:rFonts w:ascii="Times New Roman" w:hAnsi="Times New Roman" w:eastAsia="Times New Roman" w:cs="Times New Roman"/>
          <w:spacing w:val="-1"/>
          <w:sz w:val="24"/>
          <w:szCs w:val="24"/>
        </w:rPr>
        <w:t>WSW</w:t>
      </w:r>
      <w:r>
        <w:rPr>
          <w:rFonts w:ascii="宋体" w:hAnsi="宋体" w:eastAsia="宋体" w:cs="宋体"/>
          <w:spacing w:val="-1"/>
          <w:sz w:val="24"/>
          <w:szCs w:val="24"/>
        </w:rPr>
        <w:t>风，出现频率为</w:t>
      </w:r>
      <w:r>
        <w:rPr>
          <w:rFonts w:ascii="Times New Roman" w:hAnsi="Times New Roman" w:eastAsia="Times New Roman" w:cs="Times New Roman"/>
          <w:spacing w:val="-1"/>
          <w:sz w:val="24"/>
          <w:szCs w:val="24"/>
        </w:rPr>
        <w:t>18.2%</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，七月份主导风向</w:t>
      </w:r>
      <w:r>
        <w:rPr>
          <w:rFonts w:ascii="宋体" w:hAnsi="宋体" w:eastAsia="宋体" w:cs="宋体"/>
          <w:spacing w:val="-2"/>
          <w:sz w:val="24"/>
          <w:szCs w:val="24"/>
        </w:rPr>
        <w:t>为</w:t>
      </w:r>
      <w:r>
        <w:rPr>
          <w:rFonts w:ascii="Times New Roman" w:hAnsi="Times New Roman" w:eastAsia="Times New Roman" w:cs="Times New Roman"/>
          <w:spacing w:val="-2"/>
          <w:sz w:val="24"/>
          <w:szCs w:val="24"/>
        </w:rPr>
        <w:t>WSW</w:t>
      </w:r>
      <w:r>
        <w:rPr>
          <w:rFonts w:ascii="宋体" w:hAnsi="宋体" w:eastAsia="宋体" w:cs="宋体"/>
          <w:spacing w:val="-2"/>
          <w:sz w:val="24"/>
          <w:szCs w:val="24"/>
        </w:rPr>
        <w:t>风，出现频率为</w:t>
      </w:r>
      <w:r>
        <w:rPr>
          <w:rFonts w:ascii="Times New Roman" w:hAnsi="Times New Roman" w:eastAsia="Times New Roman" w:cs="Times New Roman"/>
          <w:spacing w:val="-2"/>
          <w:sz w:val="24"/>
          <w:szCs w:val="24"/>
        </w:rPr>
        <w:t>16.8%</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w:t>
      </w:r>
      <w:r>
        <w:rPr>
          <w:rFonts w:ascii="宋体" w:hAnsi="宋体" w:eastAsia="宋体" w:cs="宋体"/>
          <w:sz w:val="24"/>
          <w:szCs w:val="24"/>
        </w:rPr>
        <w:t xml:space="preserve"> </w:t>
      </w:r>
      <w:r>
        <w:rPr>
          <w:rFonts w:ascii="宋体" w:hAnsi="宋体" w:eastAsia="宋体" w:cs="宋体"/>
          <w:spacing w:val="1"/>
          <w:sz w:val="24"/>
          <w:szCs w:val="24"/>
        </w:rPr>
        <w:t>八月份主导风向为</w:t>
      </w:r>
      <w:r>
        <w:rPr>
          <w:rFonts w:ascii="Times New Roman" w:hAnsi="Times New Roman" w:eastAsia="Times New Roman" w:cs="Times New Roman"/>
          <w:sz w:val="24"/>
          <w:szCs w:val="24"/>
        </w:rPr>
        <w:t>WSW</w:t>
      </w:r>
      <w:r>
        <w:rPr>
          <w:rFonts w:ascii="宋体" w:hAnsi="宋体" w:eastAsia="宋体" w:cs="宋体"/>
          <w:spacing w:val="1"/>
          <w:sz w:val="24"/>
          <w:szCs w:val="24"/>
        </w:rPr>
        <w:t>风，出现频率为</w:t>
      </w:r>
      <w:r>
        <w:rPr>
          <w:rFonts w:ascii="Times New Roman" w:hAnsi="Times New Roman" w:eastAsia="Times New Roman" w:cs="Times New Roman"/>
          <w:spacing w:val="1"/>
          <w:sz w:val="24"/>
          <w:szCs w:val="24"/>
        </w:rPr>
        <w:t>15.8%</w:t>
      </w:r>
      <w:r>
        <w:rPr>
          <w:rFonts w:ascii="Times New Roman" w:hAnsi="Times New Roman" w:eastAsia="Times New Roman" w:cs="Times New Roman"/>
          <w:spacing w:val="-21"/>
          <w:sz w:val="24"/>
          <w:szCs w:val="24"/>
        </w:rPr>
        <w:t xml:space="preserve"> </w:t>
      </w:r>
      <w:r>
        <w:rPr>
          <w:rFonts w:ascii="宋体" w:hAnsi="宋体" w:eastAsia="宋体" w:cs="宋体"/>
          <w:spacing w:val="1"/>
          <w:sz w:val="24"/>
          <w:szCs w:val="24"/>
        </w:rPr>
        <w:t>，九月份主导风向为</w:t>
      </w:r>
      <w:r>
        <w:rPr>
          <w:rFonts w:ascii="Times New Roman" w:hAnsi="Times New Roman" w:eastAsia="Times New Roman" w:cs="Times New Roman"/>
          <w:sz w:val="24"/>
          <w:szCs w:val="24"/>
        </w:rPr>
        <w:t>WSW</w:t>
      </w:r>
      <w:r>
        <w:rPr>
          <w:rFonts w:ascii="宋体" w:hAnsi="宋体" w:eastAsia="宋体" w:cs="宋体"/>
          <w:spacing w:val="1"/>
          <w:sz w:val="24"/>
          <w:szCs w:val="24"/>
        </w:rPr>
        <w:t>风，出现频率</w:t>
      </w:r>
      <w:r>
        <w:rPr>
          <w:rFonts w:ascii="宋体" w:hAnsi="宋体" w:eastAsia="宋体" w:cs="宋体"/>
          <w:sz w:val="24"/>
          <w:szCs w:val="24"/>
        </w:rPr>
        <w:t xml:space="preserve"> </w:t>
      </w:r>
      <w:r>
        <w:rPr>
          <w:rFonts w:ascii="宋体" w:hAnsi="宋体" w:eastAsia="宋体" w:cs="宋体"/>
          <w:spacing w:val="-5"/>
          <w:sz w:val="24"/>
          <w:szCs w:val="24"/>
        </w:rPr>
        <w:t>为</w:t>
      </w:r>
      <w:r>
        <w:rPr>
          <w:rFonts w:ascii="Times New Roman" w:hAnsi="Times New Roman" w:eastAsia="Times New Roman" w:cs="Times New Roman"/>
          <w:spacing w:val="-5"/>
          <w:sz w:val="24"/>
          <w:szCs w:val="24"/>
        </w:rPr>
        <w:t>15.5%</w:t>
      </w:r>
      <w:r>
        <w:rPr>
          <w:rFonts w:ascii="宋体" w:hAnsi="宋体" w:eastAsia="宋体" w:cs="宋体"/>
          <w:spacing w:val="-5"/>
          <w:sz w:val="24"/>
          <w:szCs w:val="24"/>
        </w:rPr>
        <w:t>，十月份主导风向为</w:t>
      </w:r>
      <w:r>
        <w:rPr>
          <w:rFonts w:ascii="Times New Roman" w:hAnsi="Times New Roman" w:eastAsia="Times New Roman" w:cs="Times New Roman"/>
          <w:spacing w:val="-5"/>
          <w:sz w:val="24"/>
          <w:szCs w:val="24"/>
        </w:rPr>
        <w:t>WSW</w:t>
      </w:r>
      <w:r>
        <w:rPr>
          <w:rFonts w:ascii="宋体" w:hAnsi="宋体" w:eastAsia="宋体" w:cs="宋体"/>
          <w:spacing w:val="-5"/>
          <w:sz w:val="24"/>
          <w:szCs w:val="24"/>
        </w:rPr>
        <w:t>风，出现频率为</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6"/>
          <w:sz w:val="24"/>
          <w:szCs w:val="24"/>
        </w:rPr>
        <w:t>5.7%</w:t>
      </w:r>
      <w:r>
        <w:rPr>
          <w:rFonts w:ascii="宋体" w:hAnsi="宋体" w:eastAsia="宋体" w:cs="宋体"/>
          <w:spacing w:val="-6"/>
          <w:sz w:val="24"/>
          <w:szCs w:val="24"/>
        </w:rPr>
        <w:t>，十一月份主导风向为</w:t>
      </w:r>
      <w:r>
        <w:rPr>
          <w:rFonts w:ascii="Times New Roman" w:hAnsi="Times New Roman" w:eastAsia="Times New Roman" w:cs="Times New Roman"/>
          <w:spacing w:val="-6"/>
          <w:sz w:val="24"/>
          <w:szCs w:val="24"/>
        </w:rPr>
        <w:t>WSW</w:t>
      </w:r>
      <w:r>
        <w:rPr>
          <w:rFonts w:ascii="宋体" w:hAnsi="宋体" w:eastAsia="宋体" w:cs="宋体"/>
          <w:spacing w:val="-6"/>
          <w:sz w:val="24"/>
          <w:szCs w:val="24"/>
        </w:rPr>
        <w:t>风，</w:t>
      </w:r>
    </w:p>
    <w:p w14:paraId="47EB0CC9">
      <w:pPr>
        <w:spacing w:line="356" w:lineRule="auto"/>
        <w:rPr>
          <w:rFonts w:ascii="宋体" w:hAnsi="宋体" w:eastAsia="宋体" w:cs="宋体"/>
          <w:sz w:val="24"/>
          <w:szCs w:val="24"/>
        </w:rPr>
        <w:sectPr>
          <w:headerReference r:id="rId254" w:type="default"/>
          <w:footerReference r:id="rId255" w:type="default"/>
          <w:pgSz w:w="11906" w:h="16839"/>
          <w:pgMar w:top="1191" w:right="1356" w:bottom="1156" w:left="1417" w:header="882" w:footer="994" w:gutter="0"/>
          <w:cols w:space="720" w:num="1"/>
        </w:sectPr>
      </w:pPr>
    </w:p>
    <w:p w14:paraId="6A68326A">
      <w:pPr>
        <w:spacing w:line="28" w:lineRule="exact"/>
      </w:pPr>
      <w:r>
        <w:pict>
          <v:shape id="_x0000_s1279" o:spid="_x0000_s1279" style="height:1.45pt;width:453.65pt;" fillcolor="#000000" filled="t" stroked="f" coordsize="9072,29" path="m0,0l9072,0,9072,28,0,28,0,0xe">
            <v:path/>
            <v:fill on="t" focussize="0,0"/>
            <v:stroke on="f"/>
            <v:imagedata o:title=""/>
            <o:lock v:ext="edit"/>
            <w10:wrap type="none"/>
            <w10:anchorlock/>
          </v:shape>
        </w:pict>
      </w:r>
    </w:p>
    <w:p w14:paraId="7453A55B">
      <w:pPr>
        <w:spacing w:before="312" w:line="219" w:lineRule="auto"/>
        <w:ind w:left="28"/>
        <w:rPr>
          <w:rFonts w:ascii="宋体" w:hAnsi="宋体" w:eastAsia="宋体" w:cs="宋体"/>
          <w:sz w:val="24"/>
          <w:szCs w:val="24"/>
        </w:rPr>
      </w:pPr>
      <w:r>
        <w:rPr>
          <w:rFonts w:ascii="宋体" w:hAnsi="宋体" w:eastAsia="宋体" w:cs="宋体"/>
          <w:spacing w:val="-2"/>
          <w:sz w:val="24"/>
          <w:szCs w:val="24"/>
        </w:rPr>
        <w:t>出现频率为</w:t>
      </w:r>
      <w:r>
        <w:rPr>
          <w:rFonts w:ascii="Times New Roman" w:hAnsi="Times New Roman" w:eastAsia="Times New Roman" w:cs="Times New Roman"/>
          <w:spacing w:val="-2"/>
          <w:sz w:val="24"/>
          <w:szCs w:val="24"/>
        </w:rPr>
        <w:t>16.6%</w:t>
      </w:r>
      <w:r>
        <w:rPr>
          <w:rFonts w:ascii="Times New Roman" w:hAnsi="Times New Roman" w:eastAsia="Times New Roman" w:cs="Times New Roman"/>
          <w:spacing w:val="-19"/>
          <w:sz w:val="24"/>
          <w:szCs w:val="24"/>
        </w:rPr>
        <w:t xml:space="preserve"> </w:t>
      </w:r>
      <w:r>
        <w:rPr>
          <w:rFonts w:ascii="宋体" w:hAnsi="宋体" w:eastAsia="宋体" w:cs="宋体"/>
          <w:spacing w:val="-2"/>
          <w:sz w:val="24"/>
          <w:szCs w:val="24"/>
        </w:rPr>
        <w:t>，十二月份主导风向为</w:t>
      </w:r>
      <w:r>
        <w:rPr>
          <w:rFonts w:ascii="Times New Roman" w:hAnsi="Times New Roman" w:eastAsia="Times New Roman" w:cs="Times New Roman"/>
          <w:spacing w:val="-2"/>
          <w:sz w:val="24"/>
          <w:szCs w:val="24"/>
        </w:rPr>
        <w:t>WSW</w:t>
      </w:r>
      <w:r>
        <w:rPr>
          <w:rFonts w:ascii="宋体" w:hAnsi="宋体" w:eastAsia="宋体" w:cs="宋体"/>
          <w:spacing w:val="-2"/>
          <w:sz w:val="24"/>
          <w:szCs w:val="24"/>
        </w:rPr>
        <w:t>风，出现频率为</w:t>
      </w:r>
      <w:r>
        <w:rPr>
          <w:rFonts w:ascii="Times New Roman" w:hAnsi="Times New Roman" w:eastAsia="Times New Roman" w:cs="Times New Roman"/>
          <w:spacing w:val="-2"/>
          <w:sz w:val="24"/>
          <w:szCs w:val="24"/>
        </w:rPr>
        <w:t>17.8%</w:t>
      </w:r>
      <w:r>
        <w:rPr>
          <w:rFonts w:ascii="宋体" w:hAnsi="宋体" w:eastAsia="宋体" w:cs="宋体"/>
          <w:spacing w:val="-2"/>
          <w:sz w:val="24"/>
          <w:szCs w:val="24"/>
        </w:rPr>
        <w:t>。</w:t>
      </w:r>
    </w:p>
    <w:p w14:paraId="65163E09">
      <w:pPr>
        <w:spacing w:before="107" w:line="9595" w:lineRule="exact"/>
        <w:ind w:firstLine="730"/>
      </w:pPr>
      <w:r>
        <w:rPr>
          <w:position w:val="-191"/>
        </w:rPr>
        <w:drawing>
          <wp:inline distT="0" distB="0" distL="0" distR="0">
            <wp:extent cx="4830445" cy="6092825"/>
            <wp:effectExtent l="0" t="0" r="0" b="0"/>
            <wp:docPr id="72" name="IM 72"/>
            <wp:cNvGraphicFramePr/>
            <a:graphic xmlns:a="http://schemas.openxmlformats.org/drawingml/2006/main">
              <a:graphicData uri="http://schemas.openxmlformats.org/drawingml/2006/picture">
                <pic:pic xmlns:pic="http://schemas.openxmlformats.org/drawingml/2006/picture">
                  <pic:nvPicPr>
                    <pic:cNvPr id="72" name="IM 72"/>
                    <pic:cNvPicPr/>
                  </pic:nvPicPr>
                  <pic:blipFill>
                    <a:blip r:embed="rId614"/>
                    <a:stretch>
                      <a:fillRect/>
                    </a:stretch>
                  </pic:blipFill>
                  <pic:spPr>
                    <a:xfrm>
                      <a:off x="0" y="0"/>
                      <a:ext cx="4831079" cy="6092952"/>
                    </a:xfrm>
                    <a:prstGeom prst="rect">
                      <a:avLst/>
                    </a:prstGeom>
                  </pic:spPr>
                </pic:pic>
              </a:graphicData>
            </a:graphic>
          </wp:inline>
        </w:drawing>
      </w:r>
    </w:p>
    <w:p w14:paraId="070AB3F6">
      <w:pPr>
        <w:spacing w:before="166" w:line="228" w:lineRule="auto"/>
        <w:ind w:left="2238"/>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4.1-5        </w:t>
      </w:r>
      <w:r>
        <w:rPr>
          <w:rFonts w:ascii="宋体" w:hAnsi="宋体" w:eastAsia="宋体" w:cs="宋体"/>
          <w:b/>
          <w:bCs/>
          <w:spacing w:val="5"/>
          <w:sz w:val="20"/>
          <w:szCs w:val="20"/>
        </w:rPr>
        <w:t>苏尼特右旗近</w:t>
      </w:r>
      <w:r>
        <w:rPr>
          <w:rFonts w:ascii="Times New Roman" w:hAnsi="Times New Roman" w:eastAsia="Times New Roman" w:cs="Times New Roman"/>
          <w:b/>
          <w:bCs/>
          <w:spacing w:val="5"/>
          <w:sz w:val="20"/>
          <w:szCs w:val="20"/>
        </w:rPr>
        <w:t>30</w:t>
      </w:r>
      <w:r>
        <w:rPr>
          <w:rFonts w:ascii="宋体" w:hAnsi="宋体" w:eastAsia="宋体" w:cs="宋体"/>
          <w:b/>
          <w:bCs/>
          <w:spacing w:val="5"/>
          <w:sz w:val="20"/>
          <w:szCs w:val="20"/>
        </w:rPr>
        <w:t>年各月风向频率玫瑰图</w:t>
      </w:r>
    </w:p>
    <w:p w14:paraId="3445B11C">
      <w:pPr>
        <w:spacing w:before="207" w:line="219" w:lineRule="auto"/>
        <w:ind w:left="517"/>
        <w:rPr>
          <w:rFonts w:ascii="宋体" w:hAnsi="宋体" w:eastAsia="宋体" w:cs="宋体"/>
          <w:sz w:val="24"/>
          <w:szCs w:val="24"/>
        </w:rPr>
      </w:pPr>
      <w:r>
        <w:rPr>
          <w:rFonts w:ascii="宋体" w:hAnsi="宋体" w:eastAsia="宋体" w:cs="宋体"/>
          <w:spacing w:val="-2"/>
          <w:sz w:val="24"/>
          <w:szCs w:val="24"/>
        </w:rPr>
        <w:t>由此可见：苏尼特右旗地区各月主导风向多集中</w:t>
      </w:r>
      <w:r>
        <w:rPr>
          <w:rFonts w:ascii="Times New Roman" w:hAnsi="Times New Roman" w:eastAsia="Times New Roman" w:cs="Times New Roman"/>
          <w:spacing w:val="-2"/>
          <w:sz w:val="24"/>
          <w:szCs w:val="24"/>
        </w:rPr>
        <w:t>WSW</w:t>
      </w:r>
      <w:r>
        <w:rPr>
          <w:rFonts w:ascii="Times New Roman" w:hAnsi="Times New Roman" w:eastAsia="Times New Roman" w:cs="Times New Roman"/>
          <w:spacing w:val="-29"/>
          <w:sz w:val="24"/>
          <w:szCs w:val="24"/>
        </w:rPr>
        <w:t xml:space="preserve"> </w:t>
      </w:r>
      <w:r>
        <w:rPr>
          <w:rFonts w:ascii="宋体" w:hAnsi="宋体" w:eastAsia="宋体" w:cs="宋体"/>
          <w:spacing w:val="-2"/>
          <w:sz w:val="24"/>
          <w:szCs w:val="24"/>
        </w:rPr>
        <w:t>，其次为</w:t>
      </w:r>
      <w:r>
        <w:rPr>
          <w:rFonts w:ascii="Times New Roman" w:hAnsi="Times New Roman" w:eastAsia="Times New Roman" w:cs="Times New Roman"/>
          <w:spacing w:val="-2"/>
          <w:sz w:val="24"/>
          <w:szCs w:val="24"/>
        </w:rPr>
        <w:t>W</w:t>
      </w:r>
      <w:r>
        <w:rPr>
          <w:rFonts w:ascii="宋体" w:hAnsi="宋体" w:eastAsia="宋体" w:cs="宋体"/>
          <w:spacing w:val="-2"/>
          <w:sz w:val="24"/>
          <w:szCs w:val="24"/>
        </w:rPr>
        <w:t>及</w:t>
      </w:r>
      <w:r>
        <w:rPr>
          <w:rFonts w:ascii="Times New Roman" w:hAnsi="Times New Roman" w:eastAsia="Times New Roman" w:cs="Times New Roman"/>
          <w:spacing w:val="-2"/>
          <w:sz w:val="24"/>
          <w:szCs w:val="24"/>
        </w:rPr>
        <w:t>SW</w:t>
      </w:r>
      <w:r>
        <w:rPr>
          <w:rFonts w:ascii="宋体" w:hAnsi="宋体" w:eastAsia="宋体" w:cs="宋体"/>
          <w:spacing w:val="-3"/>
          <w:sz w:val="24"/>
          <w:szCs w:val="24"/>
        </w:rPr>
        <w:t>风。</w:t>
      </w:r>
    </w:p>
    <w:p w14:paraId="49414DBC">
      <w:pPr>
        <w:spacing w:before="183" w:line="217" w:lineRule="auto"/>
        <w:ind w:left="486"/>
        <w:rPr>
          <w:rFonts w:ascii="宋体" w:hAnsi="宋体" w:eastAsia="宋体" w:cs="宋体"/>
          <w:sz w:val="24"/>
          <w:szCs w:val="24"/>
        </w:rPr>
      </w:pPr>
      <w:r>
        <w:rPr>
          <w:rFonts w:ascii="宋体" w:hAnsi="宋体" w:eastAsia="宋体" w:cs="宋体"/>
          <w:spacing w:val="-1"/>
          <w:sz w:val="24"/>
          <w:szCs w:val="24"/>
        </w:rPr>
        <w:t>④地面风频季变化</w:t>
      </w:r>
    </w:p>
    <w:p w14:paraId="2EC052D1">
      <w:pPr>
        <w:spacing w:before="186" w:line="219" w:lineRule="auto"/>
        <w:ind w:left="488"/>
        <w:rPr>
          <w:rFonts w:ascii="宋体" w:hAnsi="宋体" w:eastAsia="宋体" w:cs="宋体"/>
          <w:sz w:val="24"/>
          <w:szCs w:val="24"/>
        </w:rPr>
      </w:pPr>
      <w:r>
        <w:rPr>
          <w:rFonts w:ascii="宋体" w:hAnsi="宋体" w:eastAsia="宋体" w:cs="宋体"/>
          <w:spacing w:val="-2"/>
          <w:sz w:val="24"/>
          <w:szCs w:val="24"/>
        </w:rPr>
        <w:t>地面风向频率季变化情况见表</w:t>
      </w:r>
      <w:r>
        <w:rPr>
          <w:rFonts w:ascii="Times New Roman" w:hAnsi="Times New Roman" w:eastAsia="Times New Roman" w:cs="Times New Roman"/>
          <w:spacing w:val="-2"/>
          <w:sz w:val="24"/>
          <w:szCs w:val="24"/>
        </w:rPr>
        <w:t>4.</w:t>
      </w:r>
      <w:r>
        <w:rPr>
          <w:rFonts w:ascii="Times New Roman" w:hAnsi="Times New Roman" w:eastAsia="Times New Roman" w:cs="Times New Roman"/>
          <w:spacing w:val="-18"/>
          <w:sz w:val="24"/>
          <w:szCs w:val="24"/>
        </w:rPr>
        <w:t xml:space="preserve"> </w:t>
      </w:r>
      <w:r>
        <w:rPr>
          <w:rFonts w:ascii="Times New Roman" w:hAnsi="Times New Roman" w:eastAsia="Times New Roman" w:cs="Times New Roman"/>
          <w:spacing w:val="-2"/>
          <w:sz w:val="24"/>
          <w:szCs w:val="24"/>
        </w:rPr>
        <w:t>1-6</w:t>
      </w:r>
      <w:r>
        <w:rPr>
          <w:rFonts w:ascii="宋体" w:hAnsi="宋体" w:eastAsia="宋体" w:cs="宋体"/>
          <w:spacing w:val="-2"/>
          <w:sz w:val="24"/>
          <w:szCs w:val="24"/>
        </w:rPr>
        <w:t>和图</w:t>
      </w:r>
      <w:r>
        <w:rPr>
          <w:rFonts w:ascii="Times New Roman" w:hAnsi="Times New Roman" w:eastAsia="Times New Roman" w:cs="Times New Roman"/>
          <w:spacing w:val="-2"/>
          <w:sz w:val="24"/>
          <w:szCs w:val="24"/>
        </w:rPr>
        <w:t>4.1-6</w:t>
      </w:r>
      <w:r>
        <w:rPr>
          <w:rFonts w:ascii="宋体" w:hAnsi="宋体" w:eastAsia="宋体" w:cs="宋体"/>
          <w:spacing w:val="-2"/>
          <w:sz w:val="24"/>
          <w:szCs w:val="24"/>
        </w:rPr>
        <w:t>。</w:t>
      </w:r>
    </w:p>
    <w:p w14:paraId="64B747BF">
      <w:pPr>
        <w:spacing w:line="219" w:lineRule="auto"/>
        <w:rPr>
          <w:rFonts w:ascii="宋体" w:hAnsi="宋体" w:eastAsia="宋体" w:cs="宋体"/>
          <w:sz w:val="24"/>
          <w:szCs w:val="24"/>
        </w:rPr>
        <w:sectPr>
          <w:headerReference r:id="rId256" w:type="default"/>
          <w:footerReference r:id="rId257" w:type="default"/>
          <w:pgSz w:w="11906" w:h="16839"/>
          <w:pgMar w:top="1191" w:right="1416" w:bottom="1156" w:left="1417" w:header="882" w:footer="994" w:gutter="0"/>
          <w:cols w:space="720" w:num="1"/>
        </w:sectPr>
      </w:pPr>
    </w:p>
    <w:p w14:paraId="00DB79B0">
      <w:pPr>
        <w:spacing w:line="28" w:lineRule="exact"/>
      </w:pPr>
      <w:r>
        <w:pict>
          <v:shape id="_x0000_s1280" o:spid="_x0000_s1280" style="height:1.45pt;width:453.65pt;" fillcolor="#000000" filled="t" stroked="f" coordsize="9072,29" path="m0,0l9072,0,9072,28,0,28,0,0xe">
            <v:path/>
            <v:fill on="t" focussize="0,0"/>
            <v:stroke on="f"/>
            <v:imagedata o:title=""/>
            <o:lock v:ext="edit"/>
            <w10:wrap type="none"/>
            <w10:anchorlock/>
          </v:shape>
        </w:pict>
      </w:r>
    </w:p>
    <w:p w14:paraId="414E793D">
      <w:pPr>
        <w:pStyle w:val="2"/>
        <w:spacing w:line="259" w:lineRule="auto"/>
      </w:pPr>
    </w:p>
    <w:p w14:paraId="7D58ED3A">
      <w:pPr>
        <w:spacing w:before="65" w:line="228" w:lineRule="auto"/>
        <w:ind w:left="2216"/>
        <w:rPr>
          <w:rFonts w:ascii="宋体" w:hAnsi="宋体" w:eastAsia="宋体" w:cs="宋体"/>
          <w:sz w:val="20"/>
          <w:szCs w:val="20"/>
        </w:rPr>
      </w:pPr>
      <w:r>
        <w:rPr>
          <w:rFonts w:ascii="宋体" w:hAnsi="宋体" w:eastAsia="宋体" w:cs="宋体"/>
          <w:b/>
          <w:bCs/>
          <w:spacing w:val="6"/>
          <w:sz w:val="20"/>
          <w:szCs w:val="20"/>
        </w:rPr>
        <w:t>表</w:t>
      </w:r>
      <w:r>
        <w:rPr>
          <w:rFonts w:ascii="Times New Roman" w:hAnsi="Times New Roman" w:eastAsia="Times New Roman" w:cs="Times New Roman"/>
          <w:b/>
          <w:bCs/>
          <w:spacing w:val="6"/>
          <w:sz w:val="20"/>
          <w:szCs w:val="20"/>
        </w:rPr>
        <w:t xml:space="preserve">4.1-6        </w:t>
      </w:r>
      <w:r>
        <w:rPr>
          <w:rFonts w:ascii="宋体" w:hAnsi="宋体" w:eastAsia="宋体" w:cs="宋体"/>
          <w:b/>
          <w:bCs/>
          <w:spacing w:val="6"/>
          <w:sz w:val="20"/>
          <w:szCs w:val="20"/>
        </w:rPr>
        <w:t>苏尼特右旗近</w:t>
      </w:r>
      <w:r>
        <w:rPr>
          <w:rFonts w:ascii="Times New Roman" w:hAnsi="Times New Roman" w:eastAsia="Times New Roman" w:cs="Times New Roman"/>
          <w:b/>
          <w:bCs/>
          <w:spacing w:val="6"/>
          <w:sz w:val="20"/>
          <w:szCs w:val="20"/>
        </w:rPr>
        <w:t>30</w:t>
      </w:r>
      <w:r>
        <w:rPr>
          <w:rFonts w:ascii="宋体" w:hAnsi="宋体" w:eastAsia="宋体" w:cs="宋体"/>
          <w:b/>
          <w:bCs/>
          <w:spacing w:val="6"/>
          <w:sz w:val="20"/>
          <w:szCs w:val="20"/>
        </w:rPr>
        <w:t>年各月风向频率统</w:t>
      </w:r>
      <w:r>
        <w:rPr>
          <w:rFonts w:ascii="宋体" w:hAnsi="宋体" w:eastAsia="宋体" w:cs="宋体"/>
          <w:b/>
          <w:bCs/>
          <w:spacing w:val="5"/>
          <w:sz w:val="20"/>
          <w:szCs w:val="20"/>
        </w:rPr>
        <w:t>计表</w:t>
      </w:r>
    </w:p>
    <w:p w14:paraId="34CB2FF8">
      <w:pPr>
        <w:spacing w:line="91" w:lineRule="exact"/>
      </w:pPr>
    </w:p>
    <w:tbl>
      <w:tblPr>
        <w:tblStyle w:val="5"/>
        <w:tblW w:w="907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5"/>
        <w:gridCol w:w="511"/>
        <w:gridCol w:w="511"/>
        <w:gridCol w:w="511"/>
        <w:gridCol w:w="511"/>
        <w:gridCol w:w="398"/>
        <w:gridCol w:w="505"/>
        <w:gridCol w:w="507"/>
        <w:gridCol w:w="507"/>
        <w:gridCol w:w="402"/>
        <w:gridCol w:w="467"/>
        <w:gridCol w:w="402"/>
        <w:gridCol w:w="553"/>
        <w:gridCol w:w="511"/>
        <w:gridCol w:w="593"/>
        <w:gridCol w:w="511"/>
        <w:gridCol w:w="543"/>
        <w:gridCol w:w="453"/>
      </w:tblGrid>
      <w:tr w14:paraId="24442F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675" w:type="dxa"/>
            <w:tcBorders>
              <w:top w:val="single" w:color="000000" w:sz="10" w:space="0"/>
              <w:left w:val="nil"/>
            </w:tcBorders>
            <w:vAlign w:val="top"/>
          </w:tcPr>
          <w:p w14:paraId="051755A7">
            <w:pPr>
              <w:pStyle w:val="6"/>
              <w:spacing w:before="56" w:line="228" w:lineRule="auto"/>
              <w:ind w:left="139"/>
              <w:rPr>
                <w:sz w:val="20"/>
                <w:szCs w:val="20"/>
              </w:rPr>
            </w:pPr>
            <w:r>
              <w:rPr>
                <w:spacing w:val="2"/>
                <w:sz w:val="20"/>
                <w:szCs w:val="20"/>
              </w:rPr>
              <w:t>月份</w:t>
            </w:r>
          </w:p>
        </w:tc>
        <w:tc>
          <w:tcPr>
            <w:tcW w:w="511" w:type="dxa"/>
            <w:tcBorders>
              <w:top w:val="single" w:color="000000" w:sz="10" w:space="0"/>
            </w:tcBorders>
            <w:vAlign w:val="top"/>
          </w:tcPr>
          <w:p w14:paraId="59063DD0">
            <w:pPr>
              <w:spacing w:before="95" w:line="192" w:lineRule="auto"/>
              <w:ind w:left="17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t>
            </w:r>
          </w:p>
        </w:tc>
        <w:tc>
          <w:tcPr>
            <w:tcW w:w="511" w:type="dxa"/>
            <w:tcBorders>
              <w:top w:val="single" w:color="000000" w:sz="10" w:space="0"/>
            </w:tcBorders>
            <w:vAlign w:val="top"/>
          </w:tcPr>
          <w:p w14:paraId="319BB51C">
            <w:pPr>
              <w:spacing w:before="95" w:line="192"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NNE</w:t>
            </w:r>
          </w:p>
        </w:tc>
        <w:tc>
          <w:tcPr>
            <w:tcW w:w="511" w:type="dxa"/>
            <w:tcBorders>
              <w:top w:val="single" w:color="000000" w:sz="10" w:space="0"/>
            </w:tcBorders>
            <w:vAlign w:val="top"/>
          </w:tcPr>
          <w:p w14:paraId="71196072">
            <w:pPr>
              <w:spacing w:before="95" w:line="192"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NE</w:t>
            </w:r>
          </w:p>
        </w:tc>
        <w:tc>
          <w:tcPr>
            <w:tcW w:w="511" w:type="dxa"/>
            <w:tcBorders>
              <w:top w:val="single" w:color="000000" w:sz="10" w:space="0"/>
            </w:tcBorders>
            <w:vAlign w:val="top"/>
          </w:tcPr>
          <w:p w14:paraId="6C9744E9">
            <w:pPr>
              <w:spacing w:before="95" w:line="192" w:lineRule="auto"/>
              <w:ind w:left="5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ENE</w:t>
            </w:r>
          </w:p>
        </w:tc>
        <w:tc>
          <w:tcPr>
            <w:tcW w:w="398" w:type="dxa"/>
            <w:tcBorders>
              <w:top w:val="single" w:color="000000" w:sz="10" w:space="0"/>
            </w:tcBorders>
            <w:vAlign w:val="top"/>
          </w:tcPr>
          <w:p w14:paraId="086EAFD5">
            <w:pPr>
              <w:spacing w:before="95" w:line="192" w:lineRule="auto"/>
              <w:ind w:left="137"/>
              <w:rPr>
                <w:rFonts w:ascii="Times New Roman" w:hAnsi="Times New Roman" w:eastAsia="Times New Roman" w:cs="Times New Roman"/>
                <w:sz w:val="20"/>
                <w:szCs w:val="20"/>
              </w:rPr>
            </w:pPr>
            <w:r>
              <w:rPr>
                <w:rFonts w:ascii="Times New Roman" w:hAnsi="Times New Roman" w:eastAsia="Times New Roman" w:cs="Times New Roman"/>
                <w:sz w:val="20"/>
                <w:szCs w:val="20"/>
              </w:rPr>
              <w:t>E</w:t>
            </w:r>
          </w:p>
        </w:tc>
        <w:tc>
          <w:tcPr>
            <w:tcW w:w="505" w:type="dxa"/>
            <w:tcBorders>
              <w:top w:val="single" w:color="000000" w:sz="10" w:space="0"/>
            </w:tcBorders>
            <w:vAlign w:val="top"/>
          </w:tcPr>
          <w:p w14:paraId="3F165913">
            <w:pPr>
              <w:spacing w:before="92" w:line="195" w:lineRule="auto"/>
              <w:ind w:left="6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ESE</w:t>
            </w:r>
          </w:p>
        </w:tc>
        <w:tc>
          <w:tcPr>
            <w:tcW w:w="507" w:type="dxa"/>
            <w:tcBorders>
              <w:top w:val="single" w:color="000000" w:sz="10" w:space="0"/>
            </w:tcBorders>
            <w:vAlign w:val="top"/>
          </w:tcPr>
          <w:p w14:paraId="7E9804DE">
            <w:pPr>
              <w:spacing w:before="92"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SE</w:t>
            </w:r>
          </w:p>
        </w:tc>
        <w:tc>
          <w:tcPr>
            <w:tcW w:w="507" w:type="dxa"/>
            <w:tcBorders>
              <w:top w:val="single" w:color="000000" w:sz="10" w:space="0"/>
            </w:tcBorders>
            <w:vAlign w:val="top"/>
          </w:tcPr>
          <w:p w14:paraId="6E9FE92B">
            <w:pPr>
              <w:spacing w:before="92" w:line="195" w:lineRule="auto"/>
              <w:ind w:left="83"/>
              <w:rPr>
                <w:rFonts w:ascii="Times New Roman" w:hAnsi="Times New Roman" w:eastAsia="Times New Roman" w:cs="Times New Roman"/>
                <w:sz w:val="20"/>
                <w:szCs w:val="20"/>
              </w:rPr>
            </w:pPr>
            <w:r>
              <w:rPr>
                <w:rFonts w:ascii="Times New Roman" w:hAnsi="Times New Roman" w:eastAsia="Times New Roman" w:cs="Times New Roman"/>
                <w:sz w:val="20"/>
                <w:szCs w:val="20"/>
              </w:rPr>
              <w:t>SSE</w:t>
            </w:r>
          </w:p>
        </w:tc>
        <w:tc>
          <w:tcPr>
            <w:tcW w:w="402" w:type="dxa"/>
            <w:tcBorders>
              <w:top w:val="single" w:color="000000" w:sz="10" w:space="0"/>
            </w:tcBorders>
            <w:vAlign w:val="top"/>
          </w:tcPr>
          <w:p w14:paraId="5452B937">
            <w:pPr>
              <w:spacing w:before="92" w:line="195" w:lineRule="auto"/>
              <w:ind w:left="152"/>
              <w:rPr>
                <w:rFonts w:ascii="Times New Roman" w:hAnsi="Times New Roman" w:eastAsia="Times New Roman" w:cs="Times New Roman"/>
                <w:sz w:val="20"/>
                <w:szCs w:val="20"/>
              </w:rPr>
            </w:pPr>
            <w:r>
              <w:rPr>
                <w:rFonts w:ascii="Times New Roman" w:hAnsi="Times New Roman" w:eastAsia="Times New Roman" w:cs="Times New Roman"/>
                <w:sz w:val="20"/>
                <w:szCs w:val="20"/>
              </w:rPr>
              <w:t>S</w:t>
            </w:r>
          </w:p>
        </w:tc>
        <w:tc>
          <w:tcPr>
            <w:tcW w:w="467" w:type="dxa"/>
            <w:tcBorders>
              <w:top w:val="single" w:color="000000" w:sz="10" w:space="0"/>
            </w:tcBorders>
            <w:vAlign w:val="top"/>
          </w:tcPr>
          <w:p w14:paraId="6F0DB0CC">
            <w:pPr>
              <w:spacing w:before="92"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SSW</w:t>
            </w:r>
          </w:p>
        </w:tc>
        <w:tc>
          <w:tcPr>
            <w:tcW w:w="402" w:type="dxa"/>
            <w:tcBorders>
              <w:top w:val="single" w:color="000000" w:sz="10" w:space="0"/>
            </w:tcBorders>
            <w:vAlign w:val="top"/>
          </w:tcPr>
          <w:p w14:paraId="4C3F4C2B">
            <w:pPr>
              <w:spacing w:before="92" w:line="195" w:lineRule="auto"/>
              <w:ind w:left="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SW</w:t>
            </w:r>
          </w:p>
        </w:tc>
        <w:tc>
          <w:tcPr>
            <w:tcW w:w="553" w:type="dxa"/>
            <w:tcBorders>
              <w:top w:val="single" w:color="000000" w:sz="10" w:space="0"/>
            </w:tcBorders>
            <w:vAlign w:val="top"/>
          </w:tcPr>
          <w:p w14:paraId="4F5390C1">
            <w:pPr>
              <w:spacing w:before="92" w:line="195" w:lineRule="auto"/>
              <w:ind w:left="20"/>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WSW</w:t>
            </w:r>
          </w:p>
        </w:tc>
        <w:tc>
          <w:tcPr>
            <w:tcW w:w="511" w:type="dxa"/>
            <w:tcBorders>
              <w:top w:val="single" w:color="000000" w:sz="10" w:space="0"/>
            </w:tcBorders>
            <w:vAlign w:val="top"/>
          </w:tcPr>
          <w:p w14:paraId="2C7B1B28">
            <w:pPr>
              <w:spacing w:before="95" w:line="192" w:lineRule="auto"/>
              <w:ind w:left="156"/>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W</w:t>
            </w:r>
          </w:p>
        </w:tc>
        <w:tc>
          <w:tcPr>
            <w:tcW w:w="593" w:type="dxa"/>
            <w:tcBorders>
              <w:top w:val="single" w:color="000000" w:sz="10" w:space="0"/>
            </w:tcBorders>
            <w:vAlign w:val="top"/>
          </w:tcPr>
          <w:p w14:paraId="5626BD3F">
            <w:pPr>
              <w:spacing w:before="95" w:line="192" w:lineRule="auto"/>
              <w:ind w:left="24"/>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WNW</w:t>
            </w:r>
          </w:p>
        </w:tc>
        <w:tc>
          <w:tcPr>
            <w:tcW w:w="511" w:type="dxa"/>
            <w:tcBorders>
              <w:top w:val="single" w:color="000000" w:sz="10" w:space="0"/>
            </w:tcBorders>
            <w:vAlign w:val="top"/>
          </w:tcPr>
          <w:p w14:paraId="6DBFF219">
            <w:pPr>
              <w:spacing w:before="95" w:line="192"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w:t>
            </w:r>
          </w:p>
        </w:tc>
        <w:tc>
          <w:tcPr>
            <w:tcW w:w="543" w:type="dxa"/>
            <w:tcBorders>
              <w:top w:val="single" w:color="000000" w:sz="10" w:space="0"/>
            </w:tcBorders>
            <w:vAlign w:val="top"/>
          </w:tcPr>
          <w:p w14:paraId="78710E91">
            <w:pPr>
              <w:spacing w:before="95" w:line="192" w:lineRule="auto"/>
              <w:ind w:left="1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NNW</w:t>
            </w:r>
          </w:p>
        </w:tc>
        <w:tc>
          <w:tcPr>
            <w:tcW w:w="453" w:type="dxa"/>
            <w:tcBorders>
              <w:top w:val="single" w:color="000000" w:sz="10" w:space="0"/>
              <w:right w:val="nil"/>
            </w:tcBorders>
            <w:vAlign w:val="top"/>
          </w:tcPr>
          <w:p w14:paraId="55FC4198">
            <w:pPr>
              <w:pStyle w:val="6"/>
              <w:spacing w:before="56" w:line="227" w:lineRule="auto"/>
              <w:ind w:left="25"/>
              <w:rPr>
                <w:sz w:val="20"/>
                <w:szCs w:val="20"/>
              </w:rPr>
            </w:pPr>
            <w:r>
              <w:rPr>
                <w:spacing w:val="4"/>
                <w:sz w:val="20"/>
                <w:szCs w:val="20"/>
              </w:rPr>
              <w:t>静风</w:t>
            </w:r>
          </w:p>
        </w:tc>
      </w:tr>
      <w:tr w14:paraId="248067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675" w:type="dxa"/>
            <w:tcBorders>
              <w:left w:val="nil"/>
            </w:tcBorders>
            <w:vAlign w:val="top"/>
          </w:tcPr>
          <w:p w14:paraId="313F7D8B">
            <w:pPr>
              <w:pStyle w:val="6"/>
              <w:spacing w:before="54" w:line="225" w:lineRule="auto"/>
              <w:ind w:left="133"/>
              <w:rPr>
                <w:sz w:val="20"/>
                <w:szCs w:val="20"/>
              </w:rPr>
            </w:pPr>
            <w:r>
              <w:rPr>
                <w:spacing w:val="5"/>
                <w:sz w:val="20"/>
                <w:szCs w:val="20"/>
              </w:rPr>
              <w:t>春季</w:t>
            </w:r>
          </w:p>
        </w:tc>
        <w:tc>
          <w:tcPr>
            <w:tcW w:w="511" w:type="dxa"/>
            <w:vAlign w:val="top"/>
          </w:tcPr>
          <w:p w14:paraId="29463EF1">
            <w:pPr>
              <w:spacing w:before="89"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3.9</w:t>
            </w:r>
          </w:p>
        </w:tc>
        <w:tc>
          <w:tcPr>
            <w:tcW w:w="511" w:type="dxa"/>
            <w:vAlign w:val="top"/>
          </w:tcPr>
          <w:p w14:paraId="2595A666">
            <w:pPr>
              <w:spacing w:before="89"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511" w:type="dxa"/>
            <w:vAlign w:val="top"/>
          </w:tcPr>
          <w:p w14:paraId="260C2F25">
            <w:pPr>
              <w:spacing w:before="89"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511" w:type="dxa"/>
            <w:vAlign w:val="top"/>
          </w:tcPr>
          <w:p w14:paraId="734EC946">
            <w:pPr>
              <w:spacing w:before="89"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3.0</w:t>
            </w:r>
          </w:p>
        </w:tc>
        <w:tc>
          <w:tcPr>
            <w:tcW w:w="398" w:type="dxa"/>
            <w:vAlign w:val="top"/>
          </w:tcPr>
          <w:p w14:paraId="3D61124B">
            <w:pPr>
              <w:spacing w:before="89"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505" w:type="dxa"/>
            <w:vAlign w:val="top"/>
          </w:tcPr>
          <w:p w14:paraId="6139E602">
            <w:pPr>
              <w:spacing w:before="89"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w:t>
            </w:r>
          </w:p>
        </w:tc>
        <w:tc>
          <w:tcPr>
            <w:tcW w:w="507" w:type="dxa"/>
            <w:vAlign w:val="top"/>
          </w:tcPr>
          <w:p w14:paraId="7860D42A">
            <w:pPr>
              <w:spacing w:before="92" w:line="192"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7.7</w:t>
            </w:r>
          </w:p>
        </w:tc>
        <w:tc>
          <w:tcPr>
            <w:tcW w:w="507" w:type="dxa"/>
            <w:vAlign w:val="top"/>
          </w:tcPr>
          <w:p w14:paraId="55ED5B92">
            <w:pPr>
              <w:spacing w:before="89" w:line="195" w:lineRule="auto"/>
              <w:ind w:left="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12.5</w:t>
            </w:r>
          </w:p>
        </w:tc>
        <w:tc>
          <w:tcPr>
            <w:tcW w:w="402" w:type="dxa"/>
            <w:vAlign w:val="top"/>
          </w:tcPr>
          <w:p w14:paraId="3397EF40">
            <w:pPr>
              <w:spacing w:before="89" w:line="195" w:lineRule="auto"/>
              <w:ind w:left="79"/>
              <w:rPr>
                <w:rFonts w:ascii="Times New Roman" w:hAnsi="Times New Roman" w:eastAsia="Times New Roman" w:cs="Times New Roman"/>
                <w:sz w:val="20"/>
                <w:szCs w:val="20"/>
              </w:rPr>
            </w:pPr>
            <w:r>
              <w:rPr>
                <w:rFonts w:ascii="Times New Roman" w:hAnsi="Times New Roman" w:eastAsia="Times New Roman" w:cs="Times New Roman"/>
                <w:sz w:val="20"/>
                <w:szCs w:val="20"/>
              </w:rPr>
              <w:t>8.0</w:t>
            </w:r>
          </w:p>
        </w:tc>
        <w:tc>
          <w:tcPr>
            <w:tcW w:w="467" w:type="dxa"/>
            <w:vAlign w:val="top"/>
          </w:tcPr>
          <w:p w14:paraId="09F614B0">
            <w:pPr>
              <w:spacing w:before="89" w:line="195" w:lineRule="auto"/>
              <w:ind w:left="109"/>
              <w:rPr>
                <w:rFonts w:ascii="Times New Roman" w:hAnsi="Times New Roman" w:eastAsia="Times New Roman" w:cs="Times New Roman"/>
                <w:sz w:val="20"/>
                <w:szCs w:val="20"/>
              </w:rPr>
            </w:pPr>
            <w:r>
              <w:rPr>
                <w:rFonts w:ascii="Times New Roman" w:hAnsi="Times New Roman" w:eastAsia="Times New Roman" w:cs="Times New Roman"/>
                <w:sz w:val="20"/>
                <w:szCs w:val="20"/>
              </w:rPr>
              <w:t>5.4</w:t>
            </w:r>
          </w:p>
        </w:tc>
        <w:tc>
          <w:tcPr>
            <w:tcW w:w="402" w:type="dxa"/>
            <w:vAlign w:val="top"/>
          </w:tcPr>
          <w:p w14:paraId="4FE5A690">
            <w:pPr>
              <w:spacing w:before="89" w:line="195" w:lineRule="auto"/>
              <w:ind w:left="76"/>
              <w:rPr>
                <w:rFonts w:ascii="Times New Roman" w:hAnsi="Times New Roman" w:eastAsia="Times New Roman" w:cs="Times New Roman"/>
                <w:sz w:val="20"/>
                <w:szCs w:val="20"/>
              </w:rPr>
            </w:pPr>
            <w:r>
              <w:rPr>
                <w:rFonts w:ascii="Times New Roman" w:hAnsi="Times New Roman" w:eastAsia="Times New Roman" w:cs="Times New Roman"/>
                <w:sz w:val="20"/>
                <w:szCs w:val="20"/>
              </w:rPr>
              <w:t>5.3</w:t>
            </w:r>
          </w:p>
        </w:tc>
        <w:tc>
          <w:tcPr>
            <w:tcW w:w="553" w:type="dxa"/>
            <w:vAlign w:val="top"/>
          </w:tcPr>
          <w:p w14:paraId="32DA9274">
            <w:pPr>
              <w:spacing w:before="89"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511" w:type="dxa"/>
            <w:vAlign w:val="top"/>
          </w:tcPr>
          <w:p w14:paraId="2BD53628">
            <w:pPr>
              <w:spacing w:before="92" w:line="192" w:lineRule="auto"/>
              <w:ind w:left="132"/>
              <w:rPr>
                <w:rFonts w:ascii="Times New Roman" w:hAnsi="Times New Roman" w:eastAsia="Times New Roman" w:cs="Times New Roman"/>
                <w:sz w:val="20"/>
                <w:szCs w:val="20"/>
              </w:rPr>
            </w:pPr>
            <w:r>
              <w:rPr>
                <w:rFonts w:ascii="Times New Roman" w:hAnsi="Times New Roman" w:eastAsia="Times New Roman" w:cs="Times New Roman"/>
                <w:sz w:val="20"/>
                <w:szCs w:val="20"/>
              </w:rPr>
              <w:t>5.7</w:t>
            </w:r>
          </w:p>
        </w:tc>
        <w:tc>
          <w:tcPr>
            <w:tcW w:w="593" w:type="dxa"/>
            <w:vAlign w:val="top"/>
          </w:tcPr>
          <w:p w14:paraId="287E6574">
            <w:pPr>
              <w:spacing w:before="89"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6.7</w:t>
            </w:r>
          </w:p>
        </w:tc>
        <w:tc>
          <w:tcPr>
            <w:tcW w:w="511" w:type="dxa"/>
            <w:vAlign w:val="top"/>
          </w:tcPr>
          <w:p w14:paraId="4A6EE250">
            <w:pPr>
              <w:spacing w:before="89"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6.8</w:t>
            </w:r>
          </w:p>
        </w:tc>
        <w:tc>
          <w:tcPr>
            <w:tcW w:w="543" w:type="dxa"/>
            <w:vAlign w:val="top"/>
          </w:tcPr>
          <w:p w14:paraId="133CC63C">
            <w:pPr>
              <w:spacing w:before="89" w:line="195" w:lineRule="auto"/>
              <w:ind w:left="149"/>
              <w:rPr>
                <w:rFonts w:ascii="Times New Roman" w:hAnsi="Times New Roman" w:eastAsia="Times New Roman" w:cs="Times New Roman"/>
                <w:sz w:val="20"/>
                <w:szCs w:val="20"/>
              </w:rPr>
            </w:pPr>
            <w:r>
              <w:rPr>
                <w:rFonts w:ascii="Times New Roman" w:hAnsi="Times New Roman" w:eastAsia="Times New Roman" w:cs="Times New Roman"/>
                <w:sz w:val="20"/>
                <w:szCs w:val="20"/>
              </w:rPr>
              <w:t>5.3</w:t>
            </w:r>
          </w:p>
        </w:tc>
        <w:tc>
          <w:tcPr>
            <w:tcW w:w="453" w:type="dxa"/>
            <w:tcBorders>
              <w:right w:val="nil"/>
            </w:tcBorders>
            <w:vAlign w:val="top"/>
          </w:tcPr>
          <w:p w14:paraId="1EB9699D">
            <w:pPr>
              <w:spacing w:before="89" w:line="195" w:lineRule="auto"/>
              <w:ind w:left="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12.2</w:t>
            </w:r>
          </w:p>
        </w:tc>
      </w:tr>
      <w:tr w14:paraId="7FEB57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675" w:type="dxa"/>
            <w:tcBorders>
              <w:left w:val="nil"/>
            </w:tcBorders>
            <w:vAlign w:val="top"/>
          </w:tcPr>
          <w:p w14:paraId="0710A27F">
            <w:pPr>
              <w:pStyle w:val="6"/>
              <w:spacing w:before="57" w:line="222" w:lineRule="auto"/>
              <w:ind w:left="134"/>
              <w:rPr>
                <w:sz w:val="20"/>
                <w:szCs w:val="20"/>
              </w:rPr>
            </w:pPr>
            <w:r>
              <w:rPr>
                <w:spacing w:val="4"/>
                <w:sz w:val="20"/>
                <w:szCs w:val="20"/>
              </w:rPr>
              <w:t>夏季</w:t>
            </w:r>
          </w:p>
        </w:tc>
        <w:tc>
          <w:tcPr>
            <w:tcW w:w="511" w:type="dxa"/>
            <w:vAlign w:val="top"/>
          </w:tcPr>
          <w:p w14:paraId="248C77DE">
            <w:pPr>
              <w:spacing w:before="93"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511" w:type="dxa"/>
            <w:vAlign w:val="top"/>
          </w:tcPr>
          <w:p w14:paraId="4165B609">
            <w:pPr>
              <w:spacing w:before="93"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511" w:type="dxa"/>
            <w:vAlign w:val="top"/>
          </w:tcPr>
          <w:p w14:paraId="05635944">
            <w:pPr>
              <w:spacing w:before="93"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511" w:type="dxa"/>
            <w:vAlign w:val="top"/>
          </w:tcPr>
          <w:p w14:paraId="404E40FE">
            <w:pPr>
              <w:spacing w:before="93"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2.6</w:t>
            </w:r>
          </w:p>
        </w:tc>
        <w:tc>
          <w:tcPr>
            <w:tcW w:w="398" w:type="dxa"/>
            <w:vAlign w:val="top"/>
          </w:tcPr>
          <w:p w14:paraId="64CBDFAB">
            <w:pPr>
              <w:spacing w:before="93"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3.3</w:t>
            </w:r>
          </w:p>
        </w:tc>
        <w:tc>
          <w:tcPr>
            <w:tcW w:w="505" w:type="dxa"/>
            <w:vAlign w:val="top"/>
          </w:tcPr>
          <w:p w14:paraId="18DF361D">
            <w:pPr>
              <w:spacing w:before="93"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w:t>
            </w:r>
          </w:p>
        </w:tc>
        <w:tc>
          <w:tcPr>
            <w:tcW w:w="507" w:type="dxa"/>
            <w:vAlign w:val="top"/>
          </w:tcPr>
          <w:p w14:paraId="2A576C99">
            <w:pPr>
              <w:spacing w:before="93" w:line="195" w:lineRule="auto"/>
              <w:ind w:left="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10.8</w:t>
            </w:r>
          </w:p>
        </w:tc>
        <w:tc>
          <w:tcPr>
            <w:tcW w:w="507" w:type="dxa"/>
            <w:vAlign w:val="top"/>
          </w:tcPr>
          <w:p w14:paraId="2A5A20EB">
            <w:pPr>
              <w:spacing w:before="93" w:line="195" w:lineRule="auto"/>
              <w:ind w:left="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17.2</w:t>
            </w:r>
          </w:p>
        </w:tc>
        <w:tc>
          <w:tcPr>
            <w:tcW w:w="402" w:type="dxa"/>
            <w:vAlign w:val="top"/>
          </w:tcPr>
          <w:p w14:paraId="370C5F88">
            <w:pPr>
              <w:spacing w:before="93" w:line="195" w:lineRule="auto"/>
              <w:ind w:left="7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9.4</w:t>
            </w:r>
          </w:p>
        </w:tc>
        <w:tc>
          <w:tcPr>
            <w:tcW w:w="467" w:type="dxa"/>
            <w:vAlign w:val="top"/>
          </w:tcPr>
          <w:p w14:paraId="650AE863">
            <w:pPr>
              <w:spacing w:before="93"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6.4</w:t>
            </w:r>
          </w:p>
        </w:tc>
        <w:tc>
          <w:tcPr>
            <w:tcW w:w="402" w:type="dxa"/>
            <w:vAlign w:val="top"/>
          </w:tcPr>
          <w:p w14:paraId="03F232E1">
            <w:pPr>
              <w:spacing w:before="93"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w:t>
            </w:r>
          </w:p>
        </w:tc>
        <w:tc>
          <w:tcPr>
            <w:tcW w:w="553" w:type="dxa"/>
            <w:vAlign w:val="top"/>
          </w:tcPr>
          <w:p w14:paraId="5B611339">
            <w:pPr>
              <w:spacing w:before="93" w:line="195" w:lineRule="auto"/>
              <w:ind w:left="15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3.6</w:t>
            </w:r>
          </w:p>
        </w:tc>
        <w:tc>
          <w:tcPr>
            <w:tcW w:w="511" w:type="dxa"/>
            <w:vAlign w:val="top"/>
          </w:tcPr>
          <w:p w14:paraId="6B86070E">
            <w:pPr>
              <w:spacing w:before="93"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593" w:type="dxa"/>
            <w:vAlign w:val="top"/>
          </w:tcPr>
          <w:p w14:paraId="79B632B2">
            <w:pPr>
              <w:spacing w:before="93" w:line="195" w:lineRule="auto"/>
              <w:ind w:left="1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w:t>
            </w:r>
          </w:p>
        </w:tc>
        <w:tc>
          <w:tcPr>
            <w:tcW w:w="511" w:type="dxa"/>
            <w:vAlign w:val="top"/>
          </w:tcPr>
          <w:p w14:paraId="61B5EA5B">
            <w:pPr>
              <w:spacing w:before="93"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543" w:type="dxa"/>
            <w:vAlign w:val="top"/>
          </w:tcPr>
          <w:p w14:paraId="46F3A29A">
            <w:pPr>
              <w:spacing w:before="93"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453" w:type="dxa"/>
            <w:tcBorders>
              <w:right w:val="nil"/>
            </w:tcBorders>
            <w:vAlign w:val="top"/>
          </w:tcPr>
          <w:p w14:paraId="7277FE0A">
            <w:pPr>
              <w:spacing w:before="93" w:line="195" w:lineRule="auto"/>
              <w:ind w:left="6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11.2</w:t>
            </w:r>
          </w:p>
        </w:tc>
      </w:tr>
      <w:tr w14:paraId="5F6639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trPr>
        <w:tc>
          <w:tcPr>
            <w:tcW w:w="675" w:type="dxa"/>
            <w:tcBorders>
              <w:left w:val="nil"/>
            </w:tcBorders>
            <w:vAlign w:val="top"/>
          </w:tcPr>
          <w:p w14:paraId="063897FF">
            <w:pPr>
              <w:pStyle w:val="6"/>
              <w:spacing w:before="61" w:line="217" w:lineRule="auto"/>
              <w:ind w:left="136"/>
              <w:rPr>
                <w:sz w:val="20"/>
                <w:szCs w:val="20"/>
              </w:rPr>
            </w:pPr>
            <w:r>
              <w:rPr>
                <w:spacing w:val="3"/>
                <w:sz w:val="20"/>
                <w:szCs w:val="20"/>
              </w:rPr>
              <w:t>秋季</w:t>
            </w:r>
          </w:p>
        </w:tc>
        <w:tc>
          <w:tcPr>
            <w:tcW w:w="511" w:type="dxa"/>
            <w:vAlign w:val="top"/>
          </w:tcPr>
          <w:p w14:paraId="70A6AE77">
            <w:pPr>
              <w:spacing w:before="97"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511" w:type="dxa"/>
            <w:vAlign w:val="top"/>
          </w:tcPr>
          <w:p w14:paraId="7CE648B5">
            <w:pPr>
              <w:spacing w:before="97"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2.6</w:t>
            </w:r>
          </w:p>
        </w:tc>
        <w:tc>
          <w:tcPr>
            <w:tcW w:w="511" w:type="dxa"/>
            <w:vAlign w:val="top"/>
          </w:tcPr>
          <w:p w14:paraId="45C4F5DF">
            <w:pPr>
              <w:spacing w:before="97"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511" w:type="dxa"/>
            <w:vAlign w:val="top"/>
          </w:tcPr>
          <w:p w14:paraId="774331BD">
            <w:pPr>
              <w:spacing w:before="97"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398" w:type="dxa"/>
            <w:vAlign w:val="top"/>
          </w:tcPr>
          <w:p w14:paraId="6C4E1CB0">
            <w:pPr>
              <w:spacing w:before="97"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505" w:type="dxa"/>
            <w:vAlign w:val="top"/>
          </w:tcPr>
          <w:p w14:paraId="0355233B">
            <w:pPr>
              <w:spacing w:before="97"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w:t>
            </w:r>
          </w:p>
        </w:tc>
        <w:tc>
          <w:tcPr>
            <w:tcW w:w="507" w:type="dxa"/>
            <w:vAlign w:val="top"/>
          </w:tcPr>
          <w:p w14:paraId="4442B0BD">
            <w:pPr>
              <w:spacing w:before="97"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2"/>
                <w:sz w:val="20"/>
                <w:szCs w:val="20"/>
              </w:rPr>
              <w:t>1</w:t>
            </w:r>
          </w:p>
        </w:tc>
        <w:tc>
          <w:tcPr>
            <w:tcW w:w="507" w:type="dxa"/>
            <w:vAlign w:val="top"/>
          </w:tcPr>
          <w:p w14:paraId="178C315B">
            <w:pPr>
              <w:spacing w:before="97" w:line="195" w:lineRule="auto"/>
              <w:ind w:left="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12.5</w:t>
            </w:r>
          </w:p>
        </w:tc>
        <w:tc>
          <w:tcPr>
            <w:tcW w:w="402" w:type="dxa"/>
            <w:vAlign w:val="top"/>
          </w:tcPr>
          <w:p w14:paraId="6F5060F0">
            <w:pPr>
              <w:spacing w:before="97" w:line="195" w:lineRule="auto"/>
              <w:ind w:left="7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7.8</w:t>
            </w:r>
          </w:p>
        </w:tc>
        <w:tc>
          <w:tcPr>
            <w:tcW w:w="467" w:type="dxa"/>
            <w:vAlign w:val="top"/>
          </w:tcPr>
          <w:p w14:paraId="029AA0FA">
            <w:pPr>
              <w:spacing w:before="97" w:line="195" w:lineRule="auto"/>
              <w:ind w:left="109"/>
              <w:rPr>
                <w:rFonts w:ascii="Times New Roman" w:hAnsi="Times New Roman" w:eastAsia="Times New Roman" w:cs="Times New Roman"/>
                <w:sz w:val="20"/>
                <w:szCs w:val="20"/>
              </w:rPr>
            </w:pPr>
            <w:r>
              <w:rPr>
                <w:rFonts w:ascii="Times New Roman" w:hAnsi="Times New Roman" w:eastAsia="Times New Roman" w:cs="Times New Roman"/>
                <w:sz w:val="20"/>
                <w:szCs w:val="20"/>
              </w:rPr>
              <w:t>5.9</w:t>
            </w:r>
          </w:p>
        </w:tc>
        <w:tc>
          <w:tcPr>
            <w:tcW w:w="402" w:type="dxa"/>
            <w:vAlign w:val="top"/>
          </w:tcPr>
          <w:p w14:paraId="680213C2">
            <w:pPr>
              <w:spacing w:before="97"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w:t>
            </w:r>
          </w:p>
        </w:tc>
        <w:tc>
          <w:tcPr>
            <w:tcW w:w="553" w:type="dxa"/>
            <w:vAlign w:val="top"/>
          </w:tcPr>
          <w:p w14:paraId="234B059D">
            <w:pPr>
              <w:spacing w:before="97"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511" w:type="dxa"/>
            <w:vAlign w:val="top"/>
          </w:tcPr>
          <w:p w14:paraId="57723A40">
            <w:pPr>
              <w:spacing w:before="97"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593" w:type="dxa"/>
            <w:vAlign w:val="top"/>
          </w:tcPr>
          <w:p w14:paraId="321F3476">
            <w:pPr>
              <w:spacing w:before="100" w:line="192" w:lineRule="auto"/>
              <w:ind w:left="173"/>
              <w:rPr>
                <w:rFonts w:ascii="Times New Roman" w:hAnsi="Times New Roman" w:eastAsia="Times New Roman" w:cs="Times New Roman"/>
                <w:sz w:val="20"/>
                <w:szCs w:val="20"/>
              </w:rPr>
            </w:pPr>
            <w:r>
              <w:rPr>
                <w:rFonts w:ascii="Times New Roman" w:hAnsi="Times New Roman" w:eastAsia="Times New Roman" w:cs="Times New Roman"/>
                <w:sz w:val="20"/>
                <w:szCs w:val="20"/>
              </w:rPr>
              <w:t>5.7</w:t>
            </w:r>
          </w:p>
        </w:tc>
        <w:tc>
          <w:tcPr>
            <w:tcW w:w="511" w:type="dxa"/>
            <w:vAlign w:val="top"/>
          </w:tcPr>
          <w:p w14:paraId="470D14E8">
            <w:pPr>
              <w:spacing w:before="97"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w:t>
            </w:r>
          </w:p>
        </w:tc>
        <w:tc>
          <w:tcPr>
            <w:tcW w:w="543" w:type="dxa"/>
            <w:vAlign w:val="top"/>
          </w:tcPr>
          <w:p w14:paraId="084A0BA9">
            <w:pPr>
              <w:spacing w:before="97" w:line="195" w:lineRule="auto"/>
              <w:ind w:left="14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3.0</w:t>
            </w:r>
          </w:p>
        </w:tc>
        <w:tc>
          <w:tcPr>
            <w:tcW w:w="453" w:type="dxa"/>
            <w:tcBorders>
              <w:right w:val="nil"/>
            </w:tcBorders>
            <w:vAlign w:val="top"/>
          </w:tcPr>
          <w:p w14:paraId="0A5B88DF">
            <w:pPr>
              <w:spacing w:before="97" w:line="195" w:lineRule="auto"/>
              <w:ind w:left="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23.2</w:t>
            </w:r>
          </w:p>
        </w:tc>
      </w:tr>
      <w:tr w14:paraId="0567F3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675" w:type="dxa"/>
            <w:tcBorders>
              <w:left w:val="nil"/>
            </w:tcBorders>
            <w:vAlign w:val="top"/>
          </w:tcPr>
          <w:p w14:paraId="492B66EA">
            <w:pPr>
              <w:pStyle w:val="6"/>
              <w:spacing w:before="66" w:line="214" w:lineRule="auto"/>
              <w:ind w:left="139"/>
              <w:rPr>
                <w:sz w:val="20"/>
                <w:szCs w:val="20"/>
              </w:rPr>
            </w:pPr>
            <w:r>
              <w:rPr>
                <w:spacing w:val="2"/>
                <w:sz w:val="20"/>
                <w:szCs w:val="20"/>
              </w:rPr>
              <w:t>冬季</w:t>
            </w:r>
          </w:p>
        </w:tc>
        <w:tc>
          <w:tcPr>
            <w:tcW w:w="511" w:type="dxa"/>
            <w:vAlign w:val="top"/>
          </w:tcPr>
          <w:p w14:paraId="0043FF40">
            <w:pPr>
              <w:spacing w:before="102"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511" w:type="dxa"/>
            <w:vAlign w:val="top"/>
          </w:tcPr>
          <w:p w14:paraId="0D3382C0">
            <w:pPr>
              <w:spacing w:before="102"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511" w:type="dxa"/>
            <w:vAlign w:val="top"/>
          </w:tcPr>
          <w:p w14:paraId="624ACD7C">
            <w:pPr>
              <w:spacing w:before="102"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511" w:type="dxa"/>
            <w:vAlign w:val="top"/>
          </w:tcPr>
          <w:p w14:paraId="4AF7FD09">
            <w:pPr>
              <w:spacing w:before="102"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398" w:type="dxa"/>
            <w:vAlign w:val="top"/>
          </w:tcPr>
          <w:p w14:paraId="1D24C033">
            <w:pPr>
              <w:spacing w:before="102"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505" w:type="dxa"/>
            <w:vAlign w:val="top"/>
          </w:tcPr>
          <w:p w14:paraId="5CE5F958">
            <w:pPr>
              <w:spacing w:before="102" w:line="195" w:lineRule="auto"/>
              <w:ind w:left="12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w:t>
            </w:r>
          </w:p>
        </w:tc>
        <w:tc>
          <w:tcPr>
            <w:tcW w:w="507" w:type="dxa"/>
            <w:vAlign w:val="top"/>
          </w:tcPr>
          <w:p w14:paraId="1D0EA442">
            <w:pPr>
              <w:spacing w:before="105" w:line="192" w:lineRule="auto"/>
              <w:ind w:left="128"/>
              <w:rPr>
                <w:rFonts w:ascii="Times New Roman" w:hAnsi="Times New Roman" w:eastAsia="Times New Roman" w:cs="Times New Roman"/>
                <w:sz w:val="20"/>
                <w:szCs w:val="20"/>
              </w:rPr>
            </w:pPr>
            <w:r>
              <w:rPr>
                <w:rFonts w:ascii="Times New Roman" w:hAnsi="Times New Roman" w:eastAsia="Times New Roman" w:cs="Times New Roman"/>
                <w:sz w:val="20"/>
                <w:szCs w:val="20"/>
              </w:rPr>
              <w:t>5.7</w:t>
            </w:r>
          </w:p>
        </w:tc>
        <w:tc>
          <w:tcPr>
            <w:tcW w:w="507" w:type="dxa"/>
            <w:vAlign w:val="top"/>
          </w:tcPr>
          <w:p w14:paraId="72D5AEE3">
            <w:pPr>
              <w:spacing w:before="102"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6.4</w:t>
            </w:r>
          </w:p>
        </w:tc>
        <w:tc>
          <w:tcPr>
            <w:tcW w:w="402" w:type="dxa"/>
            <w:vAlign w:val="top"/>
          </w:tcPr>
          <w:p w14:paraId="16D14F90">
            <w:pPr>
              <w:spacing w:before="102" w:line="195" w:lineRule="auto"/>
              <w:ind w:left="7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6.3</w:t>
            </w:r>
          </w:p>
        </w:tc>
        <w:tc>
          <w:tcPr>
            <w:tcW w:w="467" w:type="dxa"/>
            <w:vAlign w:val="top"/>
          </w:tcPr>
          <w:p w14:paraId="060E9CBC">
            <w:pPr>
              <w:spacing w:before="102" w:line="195" w:lineRule="auto"/>
              <w:ind w:left="109"/>
              <w:rPr>
                <w:rFonts w:ascii="Times New Roman" w:hAnsi="Times New Roman" w:eastAsia="Times New Roman" w:cs="Times New Roman"/>
                <w:sz w:val="20"/>
                <w:szCs w:val="20"/>
              </w:rPr>
            </w:pPr>
            <w:r>
              <w:rPr>
                <w:rFonts w:ascii="Times New Roman" w:hAnsi="Times New Roman" w:eastAsia="Times New Roman" w:cs="Times New Roman"/>
                <w:sz w:val="20"/>
                <w:szCs w:val="20"/>
              </w:rPr>
              <w:t>5.2</w:t>
            </w:r>
          </w:p>
        </w:tc>
        <w:tc>
          <w:tcPr>
            <w:tcW w:w="402" w:type="dxa"/>
            <w:vAlign w:val="top"/>
          </w:tcPr>
          <w:p w14:paraId="6E2DD799">
            <w:pPr>
              <w:spacing w:before="102" w:line="195" w:lineRule="auto"/>
              <w:ind w:left="76"/>
              <w:rPr>
                <w:rFonts w:ascii="Times New Roman" w:hAnsi="Times New Roman" w:eastAsia="Times New Roman" w:cs="Times New Roman"/>
                <w:sz w:val="20"/>
                <w:szCs w:val="20"/>
              </w:rPr>
            </w:pPr>
            <w:r>
              <w:rPr>
                <w:rFonts w:ascii="Times New Roman" w:hAnsi="Times New Roman" w:eastAsia="Times New Roman" w:cs="Times New Roman"/>
                <w:sz w:val="20"/>
                <w:szCs w:val="20"/>
              </w:rPr>
              <w:t>5.2</w:t>
            </w:r>
          </w:p>
        </w:tc>
        <w:tc>
          <w:tcPr>
            <w:tcW w:w="553" w:type="dxa"/>
            <w:vAlign w:val="top"/>
          </w:tcPr>
          <w:p w14:paraId="290101CA">
            <w:pPr>
              <w:spacing w:before="102"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w:t>
            </w:r>
          </w:p>
        </w:tc>
        <w:tc>
          <w:tcPr>
            <w:tcW w:w="511" w:type="dxa"/>
            <w:vAlign w:val="top"/>
          </w:tcPr>
          <w:p w14:paraId="68DE0995">
            <w:pPr>
              <w:spacing w:before="102" w:line="195" w:lineRule="auto"/>
              <w:ind w:left="132"/>
              <w:rPr>
                <w:rFonts w:ascii="Times New Roman" w:hAnsi="Times New Roman" w:eastAsia="Times New Roman" w:cs="Times New Roman"/>
                <w:sz w:val="20"/>
                <w:szCs w:val="20"/>
              </w:rPr>
            </w:pPr>
            <w:r>
              <w:rPr>
                <w:rFonts w:ascii="Times New Roman" w:hAnsi="Times New Roman" w:eastAsia="Times New Roman" w:cs="Times New Roman"/>
                <w:sz w:val="20"/>
                <w:szCs w:val="20"/>
              </w:rPr>
              <w:t>5.3</w:t>
            </w:r>
          </w:p>
        </w:tc>
        <w:tc>
          <w:tcPr>
            <w:tcW w:w="593" w:type="dxa"/>
            <w:vAlign w:val="top"/>
          </w:tcPr>
          <w:p w14:paraId="7B881A9F">
            <w:pPr>
              <w:spacing w:before="102"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6.0</w:t>
            </w:r>
          </w:p>
        </w:tc>
        <w:tc>
          <w:tcPr>
            <w:tcW w:w="511" w:type="dxa"/>
            <w:vAlign w:val="top"/>
          </w:tcPr>
          <w:p w14:paraId="0C663B4C">
            <w:pPr>
              <w:spacing w:before="102" w:line="195" w:lineRule="auto"/>
              <w:ind w:left="132"/>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543" w:type="dxa"/>
            <w:vAlign w:val="top"/>
          </w:tcPr>
          <w:p w14:paraId="733C2E60">
            <w:pPr>
              <w:spacing w:before="102" w:line="195" w:lineRule="auto"/>
              <w:ind w:left="14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w:t>
            </w:r>
          </w:p>
        </w:tc>
        <w:tc>
          <w:tcPr>
            <w:tcW w:w="453" w:type="dxa"/>
            <w:tcBorders>
              <w:right w:val="nil"/>
            </w:tcBorders>
            <w:vAlign w:val="top"/>
          </w:tcPr>
          <w:p w14:paraId="453888A9">
            <w:pPr>
              <w:spacing w:before="102" w:line="195" w:lineRule="auto"/>
              <w:ind w:left="4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29.6</w:t>
            </w:r>
          </w:p>
        </w:tc>
      </w:tr>
      <w:tr w14:paraId="76FC53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675" w:type="dxa"/>
            <w:tcBorders>
              <w:left w:val="nil"/>
              <w:bottom w:val="single" w:color="000000" w:sz="10" w:space="0"/>
            </w:tcBorders>
            <w:vAlign w:val="top"/>
          </w:tcPr>
          <w:p w14:paraId="5EF8D7A2">
            <w:pPr>
              <w:pStyle w:val="6"/>
              <w:spacing w:before="69" w:line="228" w:lineRule="auto"/>
              <w:ind w:left="134"/>
              <w:rPr>
                <w:sz w:val="20"/>
                <w:szCs w:val="20"/>
              </w:rPr>
            </w:pPr>
            <w:r>
              <w:rPr>
                <w:spacing w:val="4"/>
                <w:sz w:val="20"/>
                <w:szCs w:val="20"/>
              </w:rPr>
              <w:t>全年</w:t>
            </w:r>
          </w:p>
        </w:tc>
        <w:tc>
          <w:tcPr>
            <w:tcW w:w="511" w:type="dxa"/>
            <w:tcBorders>
              <w:bottom w:val="single" w:color="000000" w:sz="10" w:space="0"/>
            </w:tcBorders>
            <w:vAlign w:val="top"/>
          </w:tcPr>
          <w:p w14:paraId="0F98FE14">
            <w:pPr>
              <w:spacing w:before="105" w:line="195" w:lineRule="auto"/>
              <w:ind w:left="12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511" w:type="dxa"/>
            <w:tcBorders>
              <w:bottom w:val="single" w:color="000000" w:sz="10" w:space="0"/>
            </w:tcBorders>
            <w:vAlign w:val="top"/>
          </w:tcPr>
          <w:p w14:paraId="60F45102">
            <w:pPr>
              <w:spacing w:before="105"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w:t>
            </w:r>
          </w:p>
        </w:tc>
        <w:tc>
          <w:tcPr>
            <w:tcW w:w="511" w:type="dxa"/>
            <w:tcBorders>
              <w:bottom w:val="single" w:color="000000" w:sz="10" w:space="0"/>
            </w:tcBorders>
            <w:vAlign w:val="top"/>
          </w:tcPr>
          <w:p w14:paraId="0EF59562">
            <w:pPr>
              <w:spacing w:before="105"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2.7</w:t>
            </w:r>
          </w:p>
        </w:tc>
        <w:tc>
          <w:tcPr>
            <w:tcW w:w="511" w:type="dxa"/>
            <w:tcBorders>
              <w:bottom w:val="single" w:color="000000" w:sz="10" w:space="0"/>
            </w:tcBorders>
            <w:vAlign w:val="top"/>
          </w:tcPr>
          <w:p w14:paraId="3D199CEF">
            <w:pPr>
              <w:spacing w:before="105"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3.7</w:t>
            </w:r>
          </w:p>
        </w:tc>
        <w:tc>
          <w:tcPr>
            <w:tcW w:w="398" w:type="dxa"/>
            <w:tcBorders>
              <w:bottom w:val="single" w:color="000000" w:sz="10" w:space="0"/>
            </w:tcBorders>
            <w:vAlign w:val="top"/>
          </w:tcPr>
          <w:p w14:paraId="23B0B180">
            <w:pPr>
              <w:spacing w:before="105" w:line="195" w:lineRule="auto"/>
              <w:ind w:left="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w:t>
            </w:r>
          </w:p>
        </w:tc>
        <w:tc>
          <w:tcPr>
            <w:tcW w:w="505" w:type="dxa"/>
            <w:tcBorders>
              <w:bottom w:val="single" w:color="000000" w:sz="10" w:space="0"/>
            </w:tcBorders>
            <w:vAlign w:val="top"/>
          </w:tcPr>
          <w:p w14:paraId="768A3089">
            <w:pPr>
              <w:spacing w:before="105"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507" w:type="dxa"/>
            <w:tcBorders>
              <w:bottom w:val="single" w:color="000000" w:sz="10" w:space="0"/>
            </w:tcBorders>
            <w:vAlign w:val="top"/>
          </w:tcPr>
          <w:p w14:paraId="0E0B734A">
            <w:pPr>
              <w:spacing w:before="105" w:line="195"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7.6</w:t>
            </w:r>
          </w:p>
        </w:tc>
        <w:tc>
          <w:tcPr>
            <w:tcW w:w="507" w:type="dxa"/>
            <w:tcBorders>
              <w:bottom w:val="single" w:color="000000" w:sz="10" w:space="0"/>
            </w:tcBorders>
            <w:vAlign w:val="top"/>
          </w:tcPr>
          <w:p w14:paraId="309BFC0C">
            <w:pPr>
              <w:spacing w:before="105" w:line="195" w:lineRule="auto"/>
              <w:ind w:left="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10.9</w:t>
            </w:r>
          </w:p>
        </w:tc>
        <w:tc>
          <w:tcPr>
            <w:tcW w:w="402" w:type="dxa"/>
            <w:tcBorders>
              <w:bottom w:val="single" w:color="000000" w:sz="10" w:space="0"/>
            </w:tcBorders>
            <w:vAlign w:val="top"/>
          </w:tcPr>
          <w:p w14:paraId="769D3FA1">
            <w:pPr>
              <w:spacing w:before="105" w:line="195" w:lineRule="auto"/>
              <w:ind w:left="7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7.3</w:t>
            </w:r>
          </w:p>
        </w:tc>
        <w:tc>
          <w:tcPr>
            <w:tcW w:w="467" w:type="dxa"/>
            <w:tcBorders>
              <w:bottom w:val="single" w:color="000000" w:sz="10" w:space="0"/>
            </w:tcBorders>
            <w:vAlign w:val="top"/>
          </w:tcPr>
          <w:p w14:paraId="6D33214A">
            <w:pPr>
              <w:spacing w:before="105" w:line="195" w:lineRule="auto"/>
              <w:ind w:left="10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w:t>
            </w:r>
          </w:p>
        </w:tc>
        <w:tc>
          <w:tcPr>
            <w:tcW w:w="402" w:type="dxa"/>
            <w:tcBorders>
              <w:bottom w:val="single" w:color="000000" w:sz="10" w:space="0"/>
            </w:tcBorders>
            <w:vAlign w:val="top"/>
          </w:tcPr>
          <w:p w14:paraId="1A6E6517">
            <w:pPr>
              <w:spacing w:before="105" w:line="195" w:lineRule="auto"/>
              <w:ind w:left="76"/>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553" w:type="dxa"/>
            <w:tcBorders>
              <w:bottom w:val="single" w:color="000000" w:sz="10" w:space="0"/>
            </w:tcBorders>
            <w:vAlign w:val="top"/>
          </w:tcPr>
          <w:p w14:paraId="59BC77EC">
            <w:pPr>
              <w:spacing w:before="105" w:line="195" w:lineRule="auto"/>
              <w:ind w:left="15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w:t>
            </w:r>
          </w:p>
        </w:tc>
        <w:tc>
          <w:tcPr>
            <w:tcW w:w="511" w:type="dxa"/>
            <w:tcBorders>
              <w:bottom w:val="single" w:color="000000" w:sz="10" w:space="0"/>
            </w:tcBorders>
            <w:vAlign w:val="top"/>
          </w:tcPr>
          <w:p w14:paraId="7F782467">
            <w:pPr>
              <w:spacing w:before="108" w:line="192" w:lineRule="auto"/>
              <w:ind w:left="132"/>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c>
          <w:tcPr>
            <w:tcW w:w="593" w:type="dxa"/>
            <w:tcBorders>
              <w:bottom w:val="single" w:color="000000" w:sz="10" w:space="0"/>
            </w:tcBorders>
            <w:vAlign w:val="top"/>
          </w:tcPr>
          <w:p w14:paraId="6B6106C7">
            <w:pPr>
              <w:spacing w:before="105" w:line="195" w:lineRule="auto"/>
              <w:ind w:left="1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6.8</w:t>
            </w:r>
          </w:p>
        </w:tc>
        <w:tc>
          <w:tcPr>
            <w:tcW w:w="511" w:type="dxa"/>
            <w:tcBorders>
              <w:bottom w:val="single" w:color="000000" w:sz="10" w:space="0"/>
            </w:tcBorders>
            <w:vAlign w:val="top"/>
          </w:tcPr>
          <w:p w14:paraId="47DC8CEE">
            <w:pPr>
              <w:spacing w:before="105"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6.9</w:t>
            </w:r>
          </w:p>
        </w:tc>
        <w:tc>
          <w:tcPr>
            <w:tcW w:w="543" w:type="dxa"/>
            <w:tcBorders>
              <w:bottom w:val="single" w:color="000000" w:sz="10" w:space="0"/>
            </w:tcBorders>
            <w:vAlign w:val="top"/>
          </w:tcPr>
          <w:p w14:paraId="7CDB3330">
            <w:pPr>
              <w:spacing w:before="105" w:line="195" w:lineRule="auto"/>
              <w:ind w:left="14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w:t>
            </w:r>
          </w:p>
        </w:tc>
        <w:tc>
          <w:tcPr>
            <w:tcW w:w="453" w:type="dxa"/>
            <w:tcBorders>
              <w:bottom w:val="single" w:color="000000" w:sz="10" w:space="0"/>
              <w:right w:val="nil"/>
            </w:tcBorders>
            <w:vAlign w:val="top"/>
          </w:tcPr>
          <w:p w14:paraId="0A3F9913">
            <w:pPr>
              <w:spacing w:before="105" w:line="195" w:lineRule="auto"/>
              <w:ind w:left="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15.0</w:t>
            </w:r>
          </w:p>
        </w:tc>
      </w:tr>
    </w:tbl>
    <w:p w14:paraId="2BE4A153">
      <w:pPr>
        <w:spacing w:before="183" w:line="7748" w:lineRule="exact"/>
        <w:ind w:firstLine="1518"/>
      </w:pPr>
      <w:r>
        <w:rPr>
          <w:position w:val="-154"/>
        </w:rPr>
        <w:drawing>
          <wp:inline distT="0" distB="0" distL="0" distR="0">
            <wp:extent cx="3832225" cy="4919345"/>
            <wp:effectExtent l="0" t="0" r="0" b="0"/>
            <wp:docPr id="74" name="IM 74"/>
            <wp:cNvGraphicFramePr/>
            <a:graphic xmlns:a="http://schemas.openxmlformats.org/drawingml/2006/main">
              <a:graphicData uri="http://schemas.openxmlformats.org/drawingml/2006/picture">
                <pic:pic xmlns:pic="http://schemas.openxmlformats.org/drawingml/2006/picture">
                  <pic:nvPicPr>
                    <pic:cNvPr id="74" name="IM 74"/>
                    <pic:cNvPicPr/>
                  </pic:nvPicPr>
                  <pic:blipFill>
                    <a:blip r:embed="rId615"/>
                    <a:stretch>
                      <a:fillRect/>
                    </a:stretch>
                  </pic:blipFill>
                  <pic:spPr>
                    <a:xfrm>
                      <a:off x="0" y="0"/>
                      <a:ext cx="3832859" cy="4919471"/>
                    </a:xfrm>
                    <a:prstGeom prst="rect">
                      <a:avLst/>
                    </a:prstGeom>
                  </pic:spPr>
                </pic:pic>
              </a:graphicData>
            </a:graphic>
          </wp:inline>
        </w:drawing>
      </w:r>
    </w:p>
    <w:p w14:paraId="2005F10B">
      <w:pPr>
        <w:spacing w:before="154" w:line="228" w:lineRule="auto"/>
        <w:ind w:left="1923"/>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4.1-6        </w:t>
      </w:r>
      <w:r>
        <w:rPr>
          <w:rFonts w:ascii="宋体" w:hAnsi="宋体" w:eastAsia="宋体" w:cs="宋体"/>
          <w:b/>
          <w:bCs/>
          <w:spacing w:val="5"/>
          <w:sz w:val="20"/>
          <w:szCs w:val="20"/>
        </w:rPr>
        <w:t>苏尼特右旗近</w:t>
      </w:r>
      <w:r>
        <w:rPr>
          <w:rFonts w:ascii="Times New Roman" w:hAnsi="Times New Roman" w:eastAsia="Times New Roman" w:cs="Times New Roman"/>
          <w:b/>
          <w:bCs/>
          <w:spacing w:val="5"/>
          <w:sz w:val="20"/>
          <w:szCs w:val="20"/>
        </w:rPr>
        <w:t>30</w:t>
      </w:r>
      <w:r>
        <w:rPr>
          <w:rFonts w:ascii="宋体" w:hAnsi="宋体" w:eastAsia="宋体" w:cs="宋体"/>
          <w:b/>
          <w:bCs/>
          <w:spacing w:val="5"/>
          <w:sz w:val="20"/>
          <w:szCs w:val="20"/>
        </w:rPr>
        <w:t>年各季及全部风向频率玫瑰图</w:t>
      </w:r>
    </w:p>
    <w:p w14:paraId="233DFD80">
      <w:pPr>
        <w:spacing w:before="210" w:line="355" w:lineRule="auto"/>
        <w:ind w:left="9" w:firstLine="478"/>
        <w:jc w:val="both"/>
        <w:rPr>
          <w:rFonts w:ascii="宋体" w:hAnsi="宋体" w:eastAsia="宋体" w:cs="宋体"/>
          <w:sz w:val="24"/>
          <w:szCs w:val="24"/>
        </w:rPr>
      </w:pPr>
      <w:r>
        <w:rPr>
          <w:rFonts w:ascii="宋体" w:hAnsi="宋体" w:eastAsia="宋体" w:cs="宋体"/>
          <w:spacing w:val="-3"/>
          <w:sz w:val="24"/>
          <w:szCs w:val="24"/>
        </w:rPr>
        <w:t>在表</w:t>
      </w:r>
      <w:r>
        <w:rPr>
          <w:rFonts w:ascii="Times New Roman" w:hAnsi="Times New Roman" w:eastAsia="Times New Roman" w:cs="Times New Roman"/>
          <w:spacing w:val="-3"/>
          <w:sz w:val="24"/>
          <w:szCs w:val="24"/>
        </w:rPr>
        <w:t>4.</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1-6</w:t>
      </w:r>
      <w:r>
        <w:rPr>
          <w:rFonts w:ascii="宋体" w:hAnsi="宋体" w:eastAsia="宋体" w:cs="宋体"/>
          <w:spacing w:val="-3"/>
          <w:sz w:val="24"/>
          <w:szCs w:val="24"/>
        </w:rPr>
        <w:t>中统计了苏尼特右旗近</w:t>
      </w:r>
      <w:r>
        <w:rPr>
          <w:rFonts w:ascii="Times New Roman" w:hAnsi="Times New Roman" w:eastAsia="Times New Roman" w:cs="Times New Roman"/>
          <w:spacing w:val="-3"/>
          <w:sz w:val="24"/>
          <w:szCs w:val="24"/>
        </w:rPr>
        <w:t>30</w:t>
      </w:r>
      <w:r>
        <w:rPr>
          <w:rFonts w:ascii="宋体" w:hAnsi="宋体" w:eastAsia="宋体" w:cs="宋体"/>
          <w:spacing w:val="-3"/>
          <w:sz w:val="24"/>
          <w:szCs w:val="24"/>
        </w:rPr>
        <w:t>年各季</w:t>
      </w:r>
      <w:r>
        <w:rPr>
          <w:rFonts w:ascii="宋体" w:hAnsi="宋体" w:eastAsia="宋体" w:cs="宋体"/>
          <w:spacing w:val="-4"/>
          <w:sz w:val="24"/>
          <w:szCs w:val="24"/>
        </w:rPr>
        <w:t>风向频率，图</w:t>
      </w:r>
      <w:r>
        <w:rPr>
          <w:rFonts w:ascii="Times New Roman" w:hAnsi="Times New Roman" w:eastAsia="Times New Roman" w:cs="Times New Roman"/>
          <w:spacing w:val="-4"/>
          <w:sz w:val="24"/>
          <w:szCs w:val="24"/>
        </w:rPr>
        <w:t>4.</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4"/>
          <w:sz w:val="24"/>
          <w:szCs w:val="24"/>
        </w:rPr>
        <w:t>1-6</w:t>
      </w:r>
      <w:r>
        <w:rPr>
          <w:rFonts w:ascii="宋体" w:hAnsi="宋体" w:eastAsia="宋体" w:cs="宋体"/>
          <w:spacing w:val="-4"/>
          <w:sz w:val="24"/>
          <w:szCs w:val="24"/>
        </w:rPr>
        <w:t>为苏尼特右旗近</w:t>
      </w:r>
      <w:r>
        <w:rPr>
          <w:rFonts w:ascii="Times New Roman" w:hAnsi="Times New Roman" w:eastAsia="Times New Roman" w:cs="Times New Roman"/>
          <w:spacing w:val="-4"/>
          <w:sz w:val="24"/>
          <w:szCs w:val="24"/>
        </w:rPr>
        <w:t>30</w:t>
      </w:r>
      <w:r>
        <w:rPr>
          <w:rFonts w:ascii="宋体" w:hAnsi="宋体" w:eastAsia="宋体" w:cs="宋体"/>
          <w:spacing w:val="-4"/>
          <w:sz w:val="24"/>
          <w:szCs w:val="24"/>
        </w:rPr>
        <w:t>年各</w:t>
      </w:r>
      <w:r>
        <w:rPr>
          <w:rFonts w:ascii="宋体" w:hAnsi="宋体" w:eastAsia="宋体" w:cs="宋体"/>
          <w:sz w:val="24"/>
          <w:szCs w:val="24"/>
        </w:rPr>
        <w:t xml:space="preserve"> </w:t>
      </w:r>
      <w:r>
        <w:rPr>
          <w:rFonts w:ascii="宋体" w:hAnsi="宋体" w:eastAsia="宋体" w:cs="宋体"/>
          <w:spacing w:val="-2"/>
          <w:sz w:val="24"/>
          <w:szCs w:val="24"/>
        </w:rPr>
        <w:t>季及全年风向频率玫瑰图。苏尼特右旗春季主导风向为</w:t>
      </w:r>
      <w:r>
        <w:rPr>
          <w:rFonts w:ascii="Times New Roman" w:hAnsi="Times New Roman" w:eastAsia="Times New Roman" w:cs="Times New Roman"/>
          <w:spacing w:val="-2"/>
          <w:sz w:val="24"/>
          <w:szCs w:val="24"/>
        </w:rPr>
        <w:t>WSW</w:t>
      </w:r>
      <w:r>
        <w:rPr>
          <w:rFonts w:ascii="宋体" w:hAnsi="宋体" w:eastAsia="宋体" w:cs="宋体"/>
          <w:spacing w:val="-2"/>
          <w:sz w:val="24"/>
          <w:szCs w:val="24"/>
        </w:rPr>
        <w:t>风</w:t>
      </w:r>
      <w:r>
        <w:rPr>
          <w:rFonts w:ascii="宋体" w:hAnsi="宋体" w:eastAsia="宋体" w:cs="宋体"/>
          <w:spacing w:val="-3"/>
          <w:sz w:val="24"/>
          <w:szCs w:val="24"/>
        </w:rPr>
        <w:t>，出现频率为</w:t>
      </w:r>
      <w:r>
        <w:rPr>
          <w:rFonts w:ascii="Times New Roman" w:hAnsi="Times New Roman" w:eastAsia="Times New Roman" w:cs="Times New Roman"/>
          <w:spacing w:val="-3"/>
          <w:sz w:val="24"/>
          <w:szCs w:val="24"/>
        </w:rPr>
        <w:t>19.9%</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，次</w:t>
      </w:r>
      <w:r>
        <w:rPr>
          <w:rFonts w:ascii="宋体" w:hAnsi="宋体" w:eastAsia="宋体" w:cs="宋体"/>
          <w:sz w:val="24"/>
          <w:szCs w:val="24"/>
        </w:rPr>
        <w:t xml:space="preserve"> 主导风向为</w:t>
      </w:r>
      <w:r>
        <w:rPr>
          <w:rFonts w:ascii="Times New Roman" w:hAnsi="Times New Roman" w:eastAsia="Times New Roman" w:cs="Times New Roman"/>
          <w:sz w:val="24"/>
          <w:szCs w:val="24"/>
        </w:rPr>
        <w:t>W</w:t>
      </w:r>
      <w:r>
        <w:rPr>
          <w:rFonts w:ascii="宋体" w:hAnsi="宋体" w:eastAsia="宋体" w:cs="宋体"/>
          <w:sz w:val="24"/>
          <w:szCs w:val="24"/>
        </w:rPr>
        <w:t>风，出现频率为</w:t>
      </w:r>
      <w:r>
        <w:rPr>
          <w:rFonts w:ascii="Times New Roman" w:hAnsi="Times New Roman" w:eastAsia="Times New Roman" w:cs="Times New Roman"/>
          <w:sz w:val="24"/>
          <w:szCs w:val="24"/>
        </w:rPr>
        <w:t>12.8%</w:t>
      </w:r>
      <w:r>
        <w:rPr>
          <w:rFonts w:ascii="Times New Roman" w:hAnsi="Times New Roman" w:eastAsia="Times New Roman" w:cs="Times New Roman"/>
          <w:spacing w:val="-26"/>
          <w:sz w:val="24"/>
          <w:szCs w:val="24"/>
        </w:rPr>
        <w:t xml:space="preserve"> </w:t>
      </w:r>
      <w:r>
        <w:rPr>
          <w:rFonts w:ascii="宋体" w:hAnsi="宋体" w:eastAsia="宋体" w:cs="宋体"/>
          <w:sz w:val="24"/>
          <w:szCs w:val="24"/>
        </w:rPr>
        <w:t>，静风在春季的出现频率为</w:t>
      </w:r>
      <w:r>
        <w:rPr>
          <w:rFonts w:ascii="Times New Roman" w:hAnsi="Times New Roman" w:eastAsia="Times New Roman" w:cs="Times New Roman"/>
          <w:sz w:val="24"/>
          <w:szCs w:val="24"/>
        </w:rPr>
        <w:t>5.9%</w:t>
      </w:r>
      <w:r>
        <w:rPr>
          <w:rFonts w:ascii="宋体" w:hAnsi="宋体" w:eastAsia="宋体" w:cs="宋体"/>
          <w:sz w:val="24"/>
          <w:szCs w:val="24"/>
        </w:rPr>
        <w:t xml:space="preserve">；苏尼特右旗夏季 </w:t>
      </w:r>
      <w:r>
        <w:rPr>
          <w:rFonts w:ascii="宋体" w:hAnsi="宋体" w:eastAsia="宋体" w:cs="宋体"/>
          <w:spacing w:val="-1"/>
          <w:sz w:val="24"/>
          <w:szCs w:val="24"/>
        </w:rPr>
        <w:t>主导风向为</w:t>
      </w:r>
      <w:r>
        <w:rPr>
          <w:rFonts w:ascii="Times New Roman" w:hAnsi="Times New Roman" w:eastAsia="Times New Roman" w:cs="Times New Roman"/>
          <w:spacing w:val="-1"/>
          <w:sz w:val="24"/>
          <w:szCs w:val="24"/>
        </w:rPr>
        <w:t xml:space="preserve">WSW  </w:t>
      </w:r>
      <w:r>
        <w:rPr>
          <w:rFonts w:ascii="宋体" w:hAnsi="宋体" w:eastAsia="宋体" w:cs="宋体"/>
          <w:spacing w:val="-1"/>
          <w:sz w:val="24"/>
          <w:szCs w:val="24"/>
        </w:rPr>
        <w:t>风，出现频率为</w:t>
      </w:r>
      <w:r>
        <w:rPr>
          <w:rFonts w:ascii="Times New Roman" w:hAnsi="Times New Roman" w:eastAsia="Times New Roman" w:cs="Times New Roman"/>
          <w:spacing w:val="-1"/>
          <w:sz w:val="24"/>
          <w:szCs w:val="24"/>
        </w:rPr>
        <w:t>15.8%</w:t>
      </w:r>
      <w:r>
        <w:rPr>
          <w:rFonts w:ascii="Times New Roman" w:hAnsi="Times New Roman" w:eastAsia="Times New Roman" w:cs="Times New Roman"/>
          <w:spacing w:val="-10"/>
          <w:sz w:val="24"/>
          <w:szCs w:val="24"/>
        </w:rPr>
        <w:t xml:space="preserve"> </w:t>
      </w:r>
      <w:r>
        <w:rPr>
          <w:rFonts w:ascii="宋体" w:hAnsi="宋体" w:eastAsia="宋体" w:cs="宋体"/>
          <w:spacing w:val="-1"/>
          <w:sz w:val="24"/>
          <w:szCs w:val="24"/>
        </w:rPr>
        <w:t>，次主导风向为</w:t>
      </w:r>
      <w:r>
        <w:rPr>
          <w:rFonts w:ascii="Times New Roman" w:hAnsi="Times New Roman" w:eastAsia="Times New Roman" w:cs="Times New Roman"/>
          <w:spacing w:val="-1"/>
          <w:sz w:val="24"/>
          <w:szCs w:val="24"/>
        </w:rPr>
        <w:t>SW</w:t>
      </w:r>
      <w:r>
        <w:rPr>
          <w:rFonts w:ascii="宋体" w:hAnsi="宋体" w:eastAsia="宋体" w:cs="宋体"/>
          <w:spacing w:val="-1"/>
          <w:sz w:val="24"/>
          <w:szCs w:val="24"/>
        </w:rPr>
        <w:t>风，出现频率为</w:t>
      </w:r>
      <w:r>
        <w:rPr>
          <w:rFonts w:ascii="Times New Roman" w:hAnsi="Times New Roman" w:eastAsia="Times New Roman" w:cs="Times New Roman"/>
          <w:spacing w:val="-1"/>
          <w:sz w:val="24"/>
          <w:szCs w:val="24"/>
        </w:rPr>
        <w:t>11.6%</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，静</w:t>
      </w:r>
      <w:r>
        <w:rPr>
          <w:rFonts w:ascii="宋体" w:hAnsi="宋体" w:eastAsia="宋体" w:cs="宋体"/>
          <w:sz w:val="24"/>
          <w:szCs w:val="24"/>
        </w:rPr>
        <w:t xml:space="preserve"> </w:t>
      </w:r>
      <w:r>
        <w:rPr>
          <w:rFonts w:ascii="宋体" w:hAnsi="宋体" w:eastAsia="宋体" w:cs="宋体"/>
          <w:spacing w:val="-2"/>
          <w:sz w:val="24"/>
          <w:szCs w:val="24"/>
        </w:rPr>
        <w:t>风在夏季的出现频率为</w:t>
      </w:r>
      <w:r>
        <w:rPr>
          <w:rFonts w:ascii="Times New Roman" w:hAnsi="Times New Roman" w:eastAsia="Times New Roman" w:cs="Times New Roman"/>
          <w:spacing w:val="-2"/>
          <w:sz w:val="24"/>
          <w:szCs w:val="24"/>
        </w:rPr>
        <w:t>6.0%</w:t>
      </w:r>
      <w:r>
        <w:rPr>
          <w:rFonts w:ascii="宋体" w:hAnsi="宋体" w:eastAsia="宋体" w:cs="宋体"/>
          <w:spacing w:val="-2"/>
          <w:sz w:val="24"/>
          <w:szCs w:val="24"/>
        </w:rPr>
        <w:t>；苏尼特右旗秋季主导风向为</w:t>
      </w:r>
      <w:r>
        <w:rPr>
          <w:rFonts w:ascii="Times New Roman" w:hAnsi="Times New Roman" w:eastAsia="Times New Roman" w:cs="Times New Roman"/>
          <w:spacing w:val="-2"/>
          <w:sz w:val="24"/>
          <w:szCs w:val="24"/>
        </w:rPr>
        <w:t>WSW</w:t>
      </w:r>
      <w:r>
        <w:rPr>
          <w:rFonts w:ascii="宋体" w:hAnsi="宋体" w:eastAsia="宋体" w:cs="宋体"/>
          <w:spacing w:val="-2"/>
          <w:sz w:val="24"/>
          <w:szCs w:val="24"/>
        </w:rPr>
        <w:t>风，出现频率为</w:t>
      </w:r>
      <w:r>
        <w:rPr>
          <w:rFonts w:ascii="Times New Roman" w:hAnsi="Times New Roman" w:eastAsia="Times New Roman" w:cs="Times New Roman"/>
          <w:spacing w:val="-2"/>
          <w:sz w:val="24"/>
          <w:szCs w:val="24"/>
        </w:rPr>
        <w:t>16.6%</w:t>
      </w:r>
      <w:r>
        <w:rPr>
          <w:rFonts w:ascii="宋体" w:hAnsi="宋体" w:eastAsia="宋体" w:cs="宋体"/>
          <w:spacing w:val="-2"/>
          <w:sz w:val="24"/>
          <w:szCs w:val="24"/>
        </w:rPr>
        <w:t>，</w:t>
      </w:r>
      <w:r>
        <w:rPr>
          <w:rFonts w:ascii="宋体" w:hAnsi="宋体" w:eastAsia="宋体" w:cs="宋体"/>
          <w:spacing w:val="16"/>
          <w:sz w:val="24"/>
          <w:szCs w:val="24"/>
        </w:rPr>
        <w:t xml:space="preserve"> </w:t>
      </w:r>
      <w:r>
        <w:rPr>
          <w:rFonts w:ascii="宋体" w:hAnsi="宋体" w:eastAsia="宋体" w:cs="宋体"/>
          <w:spacing w:val="-2"/>
          <w:sz w:val="24"/>
          <w:szCs w:val="24"/>
        </w:rPr>
        <w:t>次主导风向为</w:t>
      </w:r>
      <w:r>
        <w:rPr>
          <w:rFonts w:ascii="Times New Roman" w:hAnsi="Times New Roman" w:eastAsia="Times New Roman" w:cs="Times New Roman"/>
          <w:spacing w:val="-2"/>
          <w:sz w:val="24"/>
          <w:szCs w:val="24"/>
        </w:rPr>
        <w:t>SW</w:t>
      </w:r>
      <w:r>
        <w:rPr>
          <w:rFonts w:ascii="宋体" w:hAnsi="宋体" w:eastAsia="宋体" w:cs="宋体"/>
          <w:spacing w:val="-2"/>
          <w:sz w:val="24"/>
          <w:szCs w:val="24"/>
        </w:rPr>
        <w:t>风，出现频率为</w:t>
      </w:r>
      <w:r>
        <w:rPr>
          <w:rFonts w:ascii="Times New Roman" w:hAnsi="Times New Roman" w:eastAsia="Times New Roman" w:cs="Times New Roman"/>
          <w:spacing w:val="-2"/>
          <w:sz w:val="24"/>
          <w:szCs w:val="24"/>
        </w:rPr>
        <w:t>12.8%</w:t>
      </w:r>
      <w:r>
        <w:rPr>
          <w:rFonts w:ascii="宋体" w:hAnsi="宋体" w:eastAsia="宋体" w:cs="宋体"/>
          <w:spacing w:val="-2"/>
          <w:sz w:val="24"/>
          <w:szCs w:val="24"/>
        </w:rPr>
        <w:t>，静风在秋季的出现</w:t>
      </w:r>
      <w:r>
        <w:rPr>
          <w:rFonts w:ascii="宋体" w:hAnsi="宋体" w:eastAsia="宋体" w:cs="宋体"/>
          <w:spacing w:val="-3"/>
          <w:sz w:val="24"/>
          <w:szCs w:val="24"/>
        </w:rPr>
        <w:t>频率为</w:t>
      </w:r>
      <w:r>
        <w:rPr>
          <w:rFonts w:ascii="Times New Roman" w:hAnsi="Times New Roman" w:eastAsia="Times New Roman" w:cs="Times New Roman"/>
          <w:spacing w:val="-3"/>
          <w:sz w:val="24"/>
          <w:szCs w:val="24"/>
        </w:rPr>
        <w:t>6.2%</w:t>
      </w:r>
      <w:r>
        <w:rPr>
          <w:rFonts w:ascii="宋体" w:hAnsi="宋体" w:eastAsia="宋体" w:cs="宋体"/>
          <w:spacing w:val="-3"/>
          <w:sz w:val="24"/>
          <w:szCs w:val="24"/>
        </w:rPr>
        <w:t>；苏尼特右旗冬</w:t>
      </w:r>
    </w:p>
    <w:p w14:paraId="6C05F27E">
      <w:pPr>
        <w:spacing w:line="355" w:lineRule="auto"/>
        <w:rPr>
          <w:rFonts w:ascii="宋体" w:hAnsi="宋体" w:eastAsia="宋体" w:cs="宋体"/>
          <w:sz w:val="24"/>
          <w:szCs w:val="24"/>
        </w:rPr>
        <w:sectPr>
          <w:headerReference r:id="rId258" w:type="default"/>
          <w:footerReference r:id="rId259" w:type="default"/>
          <w:pgSz w:w="11906" w:h="16839"/>
          <w:pgMar w:top="1191" w:right="1402" w:bottom="1156" w:left="1417" w:header="882" w:footer="994" w:gutter="0"/>
          <w:cols w:space="720" w:num="1"/>
        </w:sectPr>
      </w:pPr>
    </w:p>
    <w:p w14:paraId="39C40ADB">
      <w:pPr>
        <w:spacing w:line="28" w:lineRule="exact"/>
      </w:pPr>
      <w:r>
        <w:pict>
          <v:shape id="_x0000_s1281" o:spid="_x0000_s1281" style="height:1.45pt;width:453.65pt;" fillcolor="#000000" filled="t" stroked="f" coordsize="9072,29" path="m0,0l9072,0,9072,28,0,28,0,0xe">
            <v:path/>
            <v:fill on="t" focussize="0,0"/>
            <v:stroke on="f"/>
            <v:imagedata o:title=""/>
            <o:lock v:ext="edit"/>
            <w10:wrap type="none"/>
            <w10:anchorlock/>
          </v:shape>
        </w:pict>
      </w:r>
    </w:p>
    <w:p w14:paraId="01C71FE3">
      <w:pPr>
        <w:spacing w:before="311" w:line="351" w:lineRule="auto"/>
        <w:ind w:left="9"/>
        <w:jc w:val="both"/>
        <w:rPr>
          <w:rFonts w:ascii="宋体" w:hAnsi="宋体" w:eastAsia="宋体" w:cs="宋体"/>
          <w:sz w:val="24"/>
          <w:szCs w:val="24"/>
        </w:rPr>
      </w:pPr>
      <w:r>
        <w:rPr>
          <w:rFonts w:ascii="宋体" w:hAnsi="宋体" w:eastAsia="宋体" w:cs="宋体"/>
          <w:spacing w:val="-3"/>
          <w:sz w:val="24"/>
          <w:szCs w:val="24"/>
        </w:rPr>
        <w:t>季主导风向为</w:t>
      </w:r>
      <w:r>
        <w:rPr>
          <w:rFonts w:ascii="Times New Roman" w:hAnsi="Times New Roman" w:eastAsia="Times New Roman" w:cs="Times New Roman"/>
          <w:spacing w:val="-3"/>
          <w:sz w:val="24"/>
          <w:szCs w:val="24"/>
        </w:rPr>
        <w:t>WSW</w:t>
      </w:r>
      <w:r>
        <w:rPr>
          <w:rFonts w:ascii="宋体" w:hAnsi="宋体" w:eastAsia="宋体" w:cs="宋体"/>
          <w:spacing w:val="-3"/>
          <w:sz w:val="24"/>
          <w:szCs w:val="24"/>
        </w:rPr>
        <w:t>风，出现频率为</w:t>
      </w:r>
      <w:r>
        <w:rPr>
          <w:rFonts w:ascii="Times New Roman" w:hAnsi="Times New Roman" w:eastAsia="Times New Roman" w:cs="Times New Roman"/>
          <w:spacing w:val="-3"/>
          <w:sz w:val="24"/>
          <w:szCs w:val="24"/>
        </w:rPr>
        <w:t>17.8%</w:t>
      </w:r>
      <w:r>
        <w:rPr>
          <w:rFonts w:ascii="Times New Roman" w:hAnsi="Times New Roman" w:eastAsia="Times New Roman" w:cs="Times New Roman"/>
          <w:spacing w:val="-14"/>
          <w:sz w:val="24"/>
          <w:szCs w:val="24"/>
        </w:rPr>
        <w:t xml:space="preserve"> </w:t>
      </w:r>
      <w:r>
        <w:rPr>
          <w:rFonts w:ascii="宋体" w:hAnsi="宋体" w:eastAsia="宋体" w:cs="宋体"/>
          <w:spacing w:val="-3"/>
          <w:sz w:val="24"/>
          <w:szCs w:val="24"/>
        </w:rPr>
        <w:t>，次主导风向为</w:t>
      </w:r>
      <w:r>
        <w:rPr>
          <w:rFonts w:ascii="Times New Roman" w:hAnsi="Times New Roman" w:eastAsia="Times New Roman" w:cs="Times New Roman"/>
          <w:spacing w:val="-3"/>
          <w:sz w:val="24"/>
          <w:szCs w:val="24"/>
        </w:rPr>
        <w:t>SW</w:t>
      </w:r>
      <w:r>
        <w:rPr>
          <w:rFonts w:ascii="宋体" w:hAnsi="宋体" w:eastAsia="宋体" w:cs="宋体"/>
          <w:spacing w:val="-3"/>
          <w:sz w:val="24"/>
          <w:szCs w:val="24"/>
        </w:rPr>
        <w:t>风，出现频率为</w:t>
      </w:r>
      <w:r>
        <w:rPr>
          <w:rFonts w:ascii="Times New Roman" w:hAnsi="Times New Roman" w:eastAsia="Times New Roman" w:cs="Times New Roman"/>
          <w:spacing w:val="-3"/>
          <w:sz w:val="24"/>
          <w:szCs w:val="24"/>
        </w:rPr>
        <w:t>12.9%</w:t>
      </w:r>
      <w:r>
        <w:rPr>
          <w:rFonts w:ascii="宋体" w:hAnsi="宋体" w:eastAsia="宋体" w:cs="宋体"/>
          <w:spacing w:val="-3"/>
          <w:sz w:val="24"/>
          <w:szCs w:val="24"/>
        </w:rPr>
        <w:t>，静</w:t>
      </w:r>
      <w:r>
        <w:rPr>
          <w:rFonts w:ascii="宋体" w:hAnsi="宋体" w:eastAsia="宋体" w:cs="宋体"/>
          <w:sz w:val="24"/>
          <w:szCs w:val="24"/>
        </w:rPr>
        <w:t xml:space="preserve"> </w:t>
      </w:r>
      <w:r>
        <w:rPr>
          <w:rFonts w:ascii="宋体" w:hAnsi="宋体" w:eastAsia="宋体" w:cs="宋体"/>
          <w:spacing w:val="-2"/>
          <w:sz w:val="24"/>
          <w:szCs w:val="24"/>
        </w:rPr>
        <w:t>风在冬季的出现频率为</w:t>
      </w:r>
      <w:r>
        <w:rPr>
          <w:rFonts w:ascii="Times New Roman" w:hAnsi="Times New Roman" w:eastAsia="Times New Roman" w:cs="Times New Roman"/>
          <w:spacing w:val="-2"/>
          <w:sz w:val="24"/>
          <w:szCs w:val="24"/>
        </w:rPr>
        <w:t>6.9%</w:t>
      </w:r>
      <w:r>
        <w:rPr>
          <w:rFonts w:ascii="宋体" w:hAnsi="宋体" w:eastAsia="宋体" w:cs="宋体"/>
          <w:spacing w:val="-2"/>
          <w:sz w:val="24"/>
          <w:szCs w:val="24"/>
        </w:rPr>
        <w:t>；苏尼特右旗全年主导风向为</w:t>
      </w:r>
      <w:r>
        <w:rPr>
          <w:rFonts w:ascii="Times New Roman" w:hAnsi="Times New Roman" w:eastAsia="Times New Roman" w:cs="Times New Roman"/>
          <w:spacing w:val="-2"/>
          <w:sz w:val="24"/>
          <w:szCs w:val="24"/>
        </w:rPr>
        <w:t>WSW</w:t>
      </w:r>
      <w:r>
        <w:rPr>
          <w:rFonts w:ascii="宋体" w:hAnsi="宋体" w:eastAsia="宋体" w:cs="宋体"/>
          <w:spacing w:val="-2"/>
          <w:sz w:val="24"/>
          <w:szCs w:val="24"/>
        </w:rPr>
        <w:t>风，出现频率为</w:t>
      </w:r>
      <w:r>
        <w:rPr>
          <w:rFonts w:ascii="Times New Roman" w:hAnsi="Times New Roman" w:eastAsia="Times New Roman" w:cs="Times New Roman"/>
          <w:spacing w:val="-2"/>
          <w:sz w:val="24"/>
          <w:szCs w:val="24"/>
        </w:rPr>
        <w:t>17.8%</w:t>
      </w:r>
      <w:r>
        <w:rPr>
          <w:rFonts w:ascii="宋体" w:hAnsi="宋体" w:eastAsia="宋体" w:cs="宋体"/>
          <w:spacing w:val="-2"/>
          <w:sz w:val="24"/>
          <w:szCs w:val="24"/>
        </w:rPr>
        <w:t>，</w:t>
      </w:r>
      <w:r>
        <w:rPr>
          <w:rFonts w:ascii="宋体" w:hAnsi="宋体" w:eastAsia="宋体" w:cs="宋体"/>
          <w:spacing w:val="16"/>
          <w:sz w:val="24"/>
          <w:szCs w:val="24"/>
        </w:rPr>
        <w:t xml:space="preserve"> </w:t>
      </w:r>
      <w:r>
        <w:rPr>
          <w:rFonts w:ascii="宋体" w:hAnsi="宋体" w:eastAsia="宋体" w:cs="宋体"/>
          <w:spacing w:val="-1"/>
          <w:sz w:val="24"/>
          <w:szCs w:val="24"/>
        </w:rPr>
        <w:t>次主导风向为</w:t>
      </w:r>
      <w:r>
        <w:rPr>
          <w:rFonts w:ascii="Times New Roman" w:hAnsi="Times New Roman" w:eastAsia="Times New Roman" w:cs="Times New Roman"/>
          <w:spacing w:val="-1"/>
          <w:sz w:val="24"/>
          <w:szCs w:val="24"/>
        </w:rPr>
        <w:t>SW</w:t>
      </w:r>
      <w:r>
        <w:rPr>
          <w:rFonts w:ascii="宋体" w:hAnsi="宋体" w:eastAsia="宋体" w:cs="宋体"/>
          <w:spacing w:val="-1"/>
          <w:sz w:val="24"/>
          <w:szCs w:val="24"/>
        </w:rPr>
        <w:t>风，出现频率为</w:t>
      </w:r>
      <w:r>
        <w:rPr>
          <w:rFonts w:ascii="Times New Roman" w:hAnsi="Times New Roman" w:eastAsia="Times New Roman" w:cs="Times New Roman"/>
          <w:spacing w:val="-1"/>
          <w:sz w:val="24"/>
          <w:szCs w:val="24"/>
        </w:rPr>
        <w:t>12.9%</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，静风在全年的出现频率为</w:t>
      </w:r>
      <w:r>
        <w:rPr>
          <w:rFonts w:ascii="Times New Roman" w:hAnsi="Times New Roman" w:eastAsia="Times New Roman" w:cs="Times New Roman"/>
          <w:spacing w:val="-1"/>
          <w:sz w:val="24"/>
          <w:szCs w:val="24"/>
        </w:rPr>
        <w:t>6</w:t>
      </w:r>
      <w:r>
        <w:rPr>
          <w:rFonts w:ascii="Times New Roman" w:hAnsi="Times New Roman" w:eastAsia="Times New Roman" w:cs="Times New Roman"/>
          <w:spacing w:val="-2"/>
          <w:sz w:val="24"/>
          <w:szCs w:val="24"/>
        </w:rPr>
        <w:t>.2%</w:t>
      </w:r>
      <w:r>
        <w:rPr>
          <w:rFonts w:ascii="宋体" w:hAnsi="宋体" w:eastAsia="宋体" w:cs="宋体"/>
          <w:spacing w:val="-2"/>
          <w:sz w:val="24"/>
          <w:szCs w:val="24"/>
        </w:rPr>
        <w:t>。</w:t>
      </w:r>
    </w:p>
    <w:p w14:paraId="0126DEA9">
      <w:pPr>
        <w:spacing w:before="35" w:line="219" w:lineRule="auto"/>
        <w:ind w:left="5"/>
        <w:outlineLvl w:val="3"/>
        <w:rPr>
          <w:rFonts w:ascii="宋体" w:hAnsi="宋体" w:eastAsia="宋体" w:cs="宋体"/>
          <w:sz w:val="24"/>
          <w:szCs w:val="24"/>
        </w:rPr>
      </w:pPr>
      <w:r>
        <w:fldChar w:fldCharType="begin"/>
      </w:r>
      <w:r>
        <w:instrText xml:space="preserve"> HYPERLINK "4.1.1.4" </w:instrText>
      </w:r>
      <w:r>
        <w:fldChar w:fldCharType="separate"/>
      </w:r>
      <w:r>
        <w:rPr>
          <w:rFonts w:ascii="Times New Roman" w:hAnsi="Times New Roman" w:eastAsia="Times New Roman" w:cs="Times New Roman"/>
          <w:b/>
          <w:bCs/>
          <w:spacing w:val="-2"/>
          <w:sz w:val="24"/>
          <w:szCs w:val="24"/>
        </w:rPr>
        <w:t>4.1.1.4</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苏尼特右旗</w:t>
      </w:r>
      <w:r>
        <w:rPr>
          <w:rFonts w:ascii="宋体" w:hAnsi="宋体" w:eastAsia="宋体" w:cs="宋体"/>
          <w:spacing w:val="-37"/>
          <w:sz w:val="24"/>
          <w:szCs w:val="24"/>
        </w:rPr>
        <w:t xml:space="preserve"> </w:t>
      </w:r>
      <w:r>
        <w:rPr>
          <w:rFonts w:ascii="Times New Roman" w:hAnsi="Times New Roman" w:eastAsia="Times New Roman" w:cs="Times New Roman"/>
          <w:b/>
          <w:bCs/>
          <w:spacing w:val="-2"/>
          <w:sz w:val="24"/>
          <w:szCs w:val="24"/>
        </w:rPr>
        <w:t xml:space="preserve">2023 </w:t>
      </w:r>
      <w:r>
        <w:rPr>
          <w:rFonts w:ascii="宋体" w:hAnsi="宋体" w:eastAsia="宋体" w:cs="宋体"/>
          <w:b/>
          <w:bCs/>
          <w:spacing w:val="-2"/>
          <w:sz w:val="24"/>
          <w:szCs w:val="24"/>
        </w:rPr>
        <w:t>年地面气象要素统计</w:t>
      </w:r>
    </w:p>
    <w:p w14:paraId="0B251748">
      <w:pPr>
        <w:spacing w:before="183"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）苏尼特右旗</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 xml:space="preserve">2023 </w:t>
      </w:r>
      <w:r>
        <w:rPr>
          <w:rFonts w:ascii="宋体" w:hAnsi="宋体" w:eastAsia="宋体" w:cs="宋体"/>
          <w:spacing w:val="-1"/>
          <w:sz w:val="24"/>
          <w:szCs w:val="24"/>
        </w:rPr>
        <w:t>年地面气象观测数据风向变化统计</w:t>
      </w:r>
    </w:p>
    <w:p w14:paraId="30D3ACB4">
      <w:pPr>
        <w:spacing w:before="183" w:line="219" w:lineRule="auto"/>
        <w:ind w:left="493"/>
        <w:rPr>
          <w:rFonts w:ascii="宋体" w:hAnsi="宋体" w:eastAsia="宋体" w:cs="宋体"/>
          <w:sz w:val="24"/>
          <w:szCs w:val="24"/>
        </w:rPr>
      </w:pPr>
      <w:r>
        <w:rPr>
          <w:rFonts w:ascii="宋体" w:hAnsi="宋体" w:eastAsia="宋体" w:cs="宋体"/>
          <w:spacing w:val="-1"/>
          <w:sz w:val="24"/>
          <w:szCs w:val="24"/>
        </w:rPr>
        <w:t>苏尼特右旗</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 xml:space="preserve">2023 </w:t>
      </w:r>
      <w:r>
        <w:rPr>
          <w:rFonts w:ascii="宋体" w:hAnsi="宋体" w:eastAsia="宋体" w:cs="宋体"/>
          <w:spacing w:val="-1"/>
          <w:sz w:val="24"/>
          <w:szCs w:val="24"/>
        </w:rPr>
        <w:t>年地面气象观测数据风向变化统计详见表</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4.1-7</w:t>
      </w:r>
      <w:r>
        <w:rPr>
          <w:rFonts w:ascii="宋体" w:hAnsi="宋体" w:eastAsia="宋体" w:cs="宋体"/>
          <w:spacing w:val="-1"/>
          <w:sz w:val="24"/>
          <w:szCs w:val="24"/>
        </w:rPr>
        <w:t>。</w:t>
      </w:r>
    </w:p>
    <w:p w14:paraId="72F51E21">
      <w:pPr>
        <w:spacing w:before="197" w:line="228" w:lineRule="auto"/>
        <w:ind w:left="1295"/>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4.1-7        </w:t>
      </w:r>
      <w:r>
        <w:rPr>
          <w:rFonts w:ascii="宋体" w:hAnsi="宋体" w:eastAsia="宋体" w:cs="宋体"/>
          <w:b/>
          <w:bCs/>
          <w:spacing w:val="6"/>
          <w:sz w:val="20"/>
          <w:szCs w:val="20"/>
        </w:rPr>
        <w:t>苏尼特右旗</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2023 </w:t>
      </w:r>
      <w:r>
        <w:rPr>
          <w:rFonts w:ascii="宋体" w:hAnsi="宋体" w:eastAsia="宋体" w:cs="宋体"/>
          <w:b/>
          <w:bCs/>
          <w:spacing w:val="6"/>
          <w:sz w:val="20"/>
          <w:szCs w:val="20"/>
        </w:rPr>
        <w:t>年气象观测站风向变化频率（</w:t>
      </w:r>
      <w:r>
        <w:rPr>
          <w:rFonts w:ascii="Times New Roman" w:hAnsi="Times New Roman" w:eastAsia="Times New Roman" w:cs="Times New Roman"/>
          <w:b/>
          <w:bCs/>
          <w:spacing w:val="6"/>
          <w:sz w:val="20"/>
          <w:szCs w:val="20"/>
        </w:rPr>
        <w:t>%</w:t>
      </w:r>
      <w:r>
        <w:rPr>
          <w:rFonts w:ascii="宋体" w:hAnsi="宋体" w:eastAsia="宋体" w:cs="宋体"/>
          <w:b/>
          <w:bCs/>
          <w:spacing w:val="6"/>
          <w:sz w:val="20"/>
          <w:szCs w:val="20"/>
        </w:rPr>
        <w:t>）统计表</w:t>
      </w:r>
    </w:p>
    <w:p w14:paraId="27C3C4E0">
      <w:pPr>
        <w:spacing w:line="92" w:lineRule="exact"/>
      </w:pPr>
    </w:p>
    <w:tbl>
      <w:tblPr>
        <w:tblStyle w:val="5"/>
        <w:tblW w:w="906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8"/>
        <w:gridCol w:w="424"/>
        <w:gridCol w:w="496"/>
        <w:gridCol w:w="425"/>
        <w:gridCol w:w="472"/>
        <w:gridCol w:w="425"/>
        <w:gridCol w:w="430"/>
        <w:gridCol w:w="425"/>
        <w:gridCol w:w="425"/>
        <w:gridCol w:w="425"/>
        <w:gridCol w:w="544"/>
        <w:gridCol w:w="544"/>
        <w:gridCol w:w="591"/>
        <w:gridCol w:w="544"/>
        <w:gridCol w:w="630"/>
        <w:gridCol w:w="425"/>
        <w:gridCol w:w="577"/>
        <w:gridCol w:w="541"/>
      </w:tblGrid>
      <w:tr w14:paraId="543090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718" w:type="dxa"/>
            <w:tcBorders>
              <w:top w:val="single" w:color="000000" w:sz="10" w:space="0"/>
              <w:left w:val="nil"/>
            </w:tcBorders>
            <w:vAlign w:val="top"/>
          </w:tcPr>
          <w:p w14:paraId="3B36609F">
            <w:pPr>
              <w:pStyle w:val="6"/>
              <w:spacing w:before="56" w:line="228" w:lineRule="auto"/>
              <w:ind w:left="160"/>
              <w:rPr>
                <w:sz w:val="20"/>
                <w:szCs w:val="20"/>
              </w:rPr>
            </w:pPr>
            <w:r>
              <w:rPr>
                <w:spacing w:val="2"/>
                <w:sz w:val="20"/>
                <w:szCs w:val="20"/>
              </w:rPr>
              <w:t>月份</w:t>
            </w:r>
          </w:p>
        </w:tc>
        <w:tc>
          <w:tcPr>
            <w:tcW w:w="424" w:type="dxa"/>
            <w:tcBorders>
              <w:top w:val="single" w:color="000000" w:sz="10" w:space="0"/>
            </w:tcBorders>
            <w:vAlign w:val="top"/>
          </w:tcPr>
          <w:p w14:paraId="0D3C4AFA">
            <w:pPr>
              <w:spacing w:before="95" w:line="192"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t>
            </w:r>
          </w:p>
        </w:tc>
        <w:tc>
          <w:tcPr>
            <w:tcW w:w="496" w:type="dxa"/>
            <w:tcBorders>
              <w:top w:val="single" w:color="000000" w:sz="10" w:space="0"/>
            </w:tcBorders>
            <w:vAlign w:val="top"/>
          </w:tcPr>
          <w:p w14:paraId="509E8871">
            <w:pPr>
              <w:spacing w:before="95" w:line="192"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NNE</w:t>
            </w:r>
          </w:p>
        </w:tc>
        <w:tc>
          <w:tcPr>
            <w:tcW w:w="425" w:type="dxa"/>
            <w:tcBorders>
              <w:top w:val="single" w:color="000000" w:sz="10" w:space="0"/>
            </w:tcBorders>
            <w:vAlign w:val="top"/>
          </w:tcPr>
          <w:p w14:paraId="64C021E8">
            <w:pPr>
              <w:spacing w:before="95" w:line="192" w:lineRule="auto"/>
              <w:ind w:left="67"/>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NE</w:t>
            </w:r>
          </w:p>
        </w:tc>
        <w:tc>
          <w:tcPr>
            <w:tcW w:w="472" w:type="dxa"/>
            <w:tcBorders>
              <w:top w:val="single" w:color="000000" w:sz="10" w:space="0"/>
            </w:tcBorders>
            <w:vAlign w:val="top"/>
          </w:tcPr>
          <w:p w14:paraId="0E252B1B">
            <w:pPr>
              <w:spacing w:before="95" w:line="192"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ENE</w:t>
            </w:r>
          </w:p>
        </w:tc>
        <w:tc>
          <w:tcPr>
            <w:tcW w:w="425" w:type="dxa"/>
            <w:tcBorders>
              <w:top w:val="single" w:color="000000" w:sz="10" w:space="0"/>
            </w:tcBorders>
            <w:vAlign w:val="top"/>
          </w:tcPr>
          <w:p w14:paraId="6EA5F261">
            <w:pPr>
              <w:spacing w:before="95" w:line="192" w:lineRule="auto"/>
              <w:ind w:left="149"/>
              <w:rPr>
                <w:rFonts w:ascii="Times New Roman" w:hAnsi="Times New Roman" w:eastAsia="Times New Roman" w:cs="Times New Roman"/>
                <w:sz w:val="20"/>
                <w:szCs w:val="20"/>
              </w:rPr>
            </w:pPr>
            <w:r>
              <w:rPr>
                <w:rFonts w:ascii="Times New Roman" w:hAnsi="Times New Roman" w:eastAsia="Times New Roman" w:cs="Times New Roman"/>
                <w:sz w:val="20"/>
                <w:szCs w:val="20"/>
              </w:rPr>
              <w:t>E</w:t>
            </w:r>
          </w:p>
        </w:tc>
        <w:tc>
          <w:tcPr>
            <w:tcW w:w="430" w:type="dxa"/>
            <w:tcBorders>
              <w:top w:val="single" w:color="000000" w:sz="10" w:space="0"/>
            </w:tcBorders>
            <w:vAlign w:val="top"/>
          </w:tcPr>
          <w:p w14:paraId="72A96492">
            <w:pPr>
              <w:spacing w:before="92"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ESE</w:t>
            </w:r>
          </w:p>
        </w:tc>
        <w:tc>
          <w:tcPr>
            <w:tcW w:w="425" w:type="dxa"/>
            <w:tcBorders>
              <w:top w:val="single" w:color="000000" w:sz="10" w:space="0"/>
            </w:tcBorders>
            <w:vAlign w:val="top"/>
          </w:tcPr>
          <w:p w14:paraId="5888E9AC">
            <w:pPr>
              <w:spacing w:before="92" w:line="195" w:lineRule="auto"/>
              <w:ind w:left="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SE</w:t>
            </w:r>
          </w:p>
        </w:tc>
        <w:tc>
          <w:tcPr>
            <w:tcW w:w="425" w:type="dxa"/>
            <w:tcBorders>
              <w:top w:val="single" w:color="000000" w:sz="10" w:space="0"/>
            </w:tcBorders>
            <w:vAlign w:val="top"/>
          </w:tcPr>
          <w:p w14:paraId="463E0B4B">
            <w:pPr>
              <w:spacing w:before="92" w:line="195" w:lineRule="auto"/>
              <w:ind w:left="41"/>
              <w:rPr>
                <w:rFonts w:ascii="Times New Roman" w:hAnsi="Times New Roman" w:eastAsia="Times New Roman" w:cs="Times New Roman"/>
                <w:sz w:val="20"/>
                <w:szCs w:val="20"/>
              </w:rPr>
            </w:pPr>
            <w:r>
              <w:rPr>
                <w:rFonts w:ascii="Times New Roman" w:hAnsi="Times New Roman" w:eastAsia="Times New Roman" w:cs="Times New Roman"/>
                <w:sz w:val="20"/>
                <w:szCs w:val="20"/>
              </w:rPr>
              <w:t>SSE</w:t>
            </w:r>
          </w:p>
        </w:tc>
        <w:tc>
          <w:tcPr>
            <w:tcW w:w="425" w:type="dxa"/>
            <w:tcBorders>
              <w:top w:val="single" w:color="000000" w:sz="10" w:space="0"/>
            </w:tcBorders>
            <w:vAlign w:val="top"/>
          </w:tcPr>
          <w:p w14:paraId="203F4606">
            <w:pPr>
              <w:spacing w:before="92" w:line="195" w:lineRule="auto"/>
              <w:ind w:left="164"/>
              <w:rPr>
                <w:rFonts w:ascii="Times New Roman" w:hAnsi="Times New Roman" w:eastAsia="Times New Roman" w:cs="Times New Roman"/>
                <w:sz w:val="20"/>
                <w:szCs w:val="20"/>
              </w:rPr>
            </w:pPr>
            <w:r>
              <w:rPr>
                <w:rFonts w:ascii="Times New Roman" w:hAnsi="Times New Roman" w:eastAsia="Times New Roman" w:cs="Times New Roman"/>
                <w:sz w:val="20"/>
                <w:szCs w:val="20"/>
              </w:rPr>
              <w:t>S</w:t>
            </w:r>
          </w:p>
        </w:tc>
        <w:tc>
          <w:tcPr>
            <w:tcW w:w="544" w:type="dxa"/>
            <w:tcBorders>
              <w:top w:val="single" w:color="000000" w:sz="10" w:space="0"/>
            </w:tcBorders>
            <w:vAlign w:val="top"/>
          </w:tcPr>
          <w:p w14:paraId="1E062353">
            <w:pPr>
              <w:spacing w:before="92" w:line="195" w:lineRule="auto"/>
              <w:ind w:left="6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SSW</w:t>
            </w:r>
          </w:p>
        </w:tc>
        <w:tc>
          <w:tcPr>
            <w:tcW w:w="544" w:type="dxa"/>
            <w:tcBorders>
              <w:top w:val="single" w:color="000000" w:sz="10" w:space="0"/>
            </w:tcBorders>
            <w:vAlign w:val="top"/>
          </w:tcPr>
          <w:p w14:paraId="6004EDCE">
            <w:pPr>
              <w:spacing w:before="92" w:line="195" w:lineRule="auto"/>
              <w:ind w:left="12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SW</w:t>
            </w:r>
          </w:p>
        </w:tc>
        <w:tc>
          <w:tcPr>
            <w:tcW w:w="591" w:type="dxa"/>
            <w:tcBorders>
              <w:top w:val="single" w:color="000000" w:sz="10" w:space="0"/>
            </w:tcBorders>
            <w:vAlign w:val="top"/>
          </w:tcPr>
          <w:p w14:paraId="152FD049">
            <w:pPr>
              <w:spacing w:before="92"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WSW</w:t>
            </w:r>
          </w:p>
        </w:tc>
        <w:tc>
          <w:tcPr>
            <w:tcW w:w="544" w:type="dxa"/>
            <w:tcBorders>
              <w:top w:val="single" w:color="000000" w:sz="10" w:space="0"/>
            </w:tcBorders>
            <w:vAlign w:val="top"/>
          </w:tcPr>
          <w:p w14:paraId="262E58CC">
            <w:pPr>
              <w:spacing w:before="95" w:line="192" w:lineRule="auto"/>
              <w:ind w:left="173"/>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W</w:t>
            </w:r>
          </w:p>
        </w:tc>
        <w:tc>
          <w:tcPr>
            <w:tcW w:w="630" w:type="dxa"/>
            <w:tcBorders>
              <w:top w:val="single" w:color="000000" w:sz="10" w:space="0"/>
            </w:tcBorders>
            <w:vAlign w:val="top"/>
          </w:tcPr>
          <w:p w14:paraId="765E3A80">
            <w:pPr>
              <w:spacing w:before="95" w:line="192" w:lineRule="auto"/>
              <w:ind w:left="40"/>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WNW</w:t>
            </w:r>
          </w:p>
        </w:tc>
        <w:tc>
          <w:tcPr>
            <w:tcW w:w="425" w:type="dxa"/>
            <w:tcBorders>
              <w:top w:val="single" w:color="000000" w:sz="10" w:space="0"/>
            </w:tcBorders>
            <w:vAlign w:val="top"/>
          </w:tcPr>
          <w:p w14:paraId="3CCCA4C5">
            <w:pPr>
              <w:spacing w:before="95" w:line="192" w:lineRule="auto"/>
              <w:ind w:left="31"/>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w:t>
            </w:r>
          </w:p>
        </w:tc>
        <w:tc>
          <w:tcPr>
            <w:tcW w:w="577" w:type="dxa"/>
            <w:tcBorders>
              <w:top w:val="single" w:color="000000" w:sz="10" w:space="0"/>
            </w:tcBorders>
            <w:vAlign w:val="top"/>
          </w:tcPr>
          <w:p w14:paraId="51EE147F">
            <w:pPr>
              <w:spacing w:before="95" w:line="192"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NNW</w:t>
            </w:r>
          </w:p>
        </w:tc>
        <w:tc>
          <w:tcPr>
            <w:tcW w:w="541" w:type="dxa"/>
            <w:tcBorders>
              <w:top w:val="single" w:color="000000" w:sz="10" w:space="0"/>
              <w:right w:val="nil"/>
            </w:tcBorders>
            <w:vAlign w:val="top"/>
          </w:tcPr>
          <w:p w14:paraId="58FD7763">
            <w:pPr>
              <w:pStyle w:val="6"/>
              <w:spacing w:before="56" w:line="227" w:lineRule="auto"/>
              <w:ind w:left="67"/>
              <w:rPr>
                <w:sz w:val="20"/>
                <w:szCs w:val="20"/>
              </w:rPr>
            </w:pPr>
            <w:r>
              <w:rPr>
                <w:spacing w:val="4"/>
                <w:sz w:val="20"/>
                <w:szCs w:val="20"/>
              </w:rPr>
              <w:t>静风</w:t>
            </w:r>
          </w:p>
        </w:tc>
      </w:tr>
      <w:tr w14:paraId="0FE1E6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52B7606F">
            <w:pPr>
              <w:pStyle w:val="6"/>
              <w:spacing w:before="50" w:line="228" w:lineRule="auto"/>
              <w:ind w:left="159"/>
              <w:rPr>
                <w:sz w:val="20"/>
                <w:szCs w:val="20"/>
              </w:rPr>
            </w:pPr>
            <w:r>
              <w:rPr>
                <w:spacing w:val="3"/>
                <w:sz w:val="20"/>
                <w:szCs w:val="20"/>
              </w:rPr>
              <w:t>一月</w:t>
            </w:r>
          </w:p>
        </w:tc>
        <w:tc>
          <w:tcPr>
            <w:tcW w:w="424" w:type="dxa"/>
            <w:vAlign w:val="top"/>
          </w:tcPr>
          <w:p w14:paraId="462F9A93">
            <w:pPr>
              <w:spacing w:before="86"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496" w:type="dxa"/>
            <w:vAlign w:val="top"/>
          </w:tcPr>
          <w:p w14:paraId="4F1B44F0">
            <w:pPr>
              <w:spacing w:before="86"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6.18</w:t>
            </w:r>
          </w:p>
        </w:tc>
        <w:tc>
          <w:tcPr>
            <w:tcW w:w="425" w:type="dxa"/>
            <w:vAlign w:val="top"/>
          </w:tcPr>
          <w:p w14:paraId="1D0F2C13">
            <w:pPr>
              <w:spacing w:before="86" w:line="195" w:lineRule="auto"/>
              <w:ind w:left="39"/>
              <w:rPr>
                <w:rFonts w:ascii="Times New Roman" w:hAnsi="Times New Roman" w:eastAsia="Times New Roman" w:cs="Times New Roman"/>
                <w:sz w:val="20"/>
                <w:szCs w:val="20"/>
              </w:rPr>
            </w:pPr>
            <w:r>
              <w:rPr>
                <w:rFonts w:ascii="Times New Roman" w:hAnsi="Times New Roman" w:eastAsia="Times New Roman" w:cs="Times New Roman"/>
                <w:sz w:val="20"/>
                <w:szCs w:val="20"/>
              </w:rPr>
              <w:t>8.06</w:t>
            </w:r>
          </w:p>
        </w:tc>
        <w:tc>
          <w:tcPr>
            <w:tcW w:w="472" w:type="dxa"/>
            <w:vAlign w:val="top"/>
          </w:tcPr>
          <w:p w14:paraId="7C92D96A">
            <w:pPr>
              <w:spacing w:before="86" w:line="195" w:lineRule="auto"/>
              <w:ind w:left="5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4.30</w:t>
            </w:r>
          </w:p>
        </w:tc>
        <w:tc>
          <w:tcPr>
            <w:tcW w:w="425" w:type="dxa"/>
            <w:vAlign w:val="top"/>
          </w:tcPr>
          <w:p w14:paraId="2D985FF9">
            <w:pPr>
              <w:spacing w:before="86"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3.09</w:t>
            </w:r>
          </w:p>
        </w:tc>
        <w:tc>
          <w:tcPr>
            <w:tcW w:w="430" w:type="dxa"/>
            <w:vAlign w:val="top"/>
          </w:tcPr>
          <w:p w14:paraId="1AE4F95C">
            <w:pPr>
              <w:spacing w:before="86"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4.30</w:t>
            </w:r>
          </w:p>
        </w:tc>
        <w:tc>
          <w:tcPr>
            <w:tcW w:w="425" w:type="dxa"/>
            <w:vAlign w:val="top"/>
          </w:tcPr>
          <w:p w14:paraId="02A2B4C9">
            <w:pPr>
              <w:spacing w:before="86"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0.94</w:t>
            </w:r>
          </w:p>
        </w:tc>
        <w:tc>
          <w:tcPr>
            <w:tcW w:w="425" w:type="dxa"/>
            <w:vAlign w:val="top"/>
          </w:tcPr>
          <w:p w14:paraId="644B90BF">
            <w:pPr>
              <w:spacing w:before="86"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25" w:type="dxa"/>
            <w:vAlign w:val="top"/>
          </w:tcPr>
          <w:p w14:paraId="55B1F9F4">
            <w:pPr>
              <w:spacing w:before="86"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3.49</w:t>
            </w:r>
          </w:p>
        </w:tc>
        <w:tc>
          <w:tcPr>
            <w:tcW w:w="544" w:type="dxa"/>
            <w:vAlign w:val="top"/>
          </w:tcPr>
          <w:p w14:paraId="68769BD9">
            <w:pPr>
              <w:spacing w:before="86"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544" w:type="dxa"/>
            <w:vAlign w:val="top"/>
          </w:tcPr>
          <w:p w14:paraId="0A6D9C2C">
            <w:pPr>
              <w:spacing w:before="86"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11.96</w:t>
            </w:r>
          </w:p>
        </w:tc>
        <w:tc>
          <w:tcPr>
            <w:tcW w:w="591" w:type="dxa"/>
            <w:vAlign w:val="top"/>
          </w:tcPr>
          <w:p w14:paraId="04171242">
            <w:pPr>
              <w:spacing w:before="86" w:line="195" w:lineRule="auto"/>
              <w:ind w:left="119"/>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11</w:t>
            </w:r>
          </w:p>
        </w:tc>
        <w:tc>
          <w:tcPr>
            <w:tcW w:w="544" w:type="dxa"/>
            <w:vAlign w:val="top"/>
          </w:tcPr>
          <w:p w14:paraId="42FFF249">
            <w:pPr>
              <w:spacing w:before="86"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11.96</w:t>
            </w:r>
          </w:p>
        </w:tc>
        <w:tc>
          <w:tcPr>
            <w:tcW w:w="630" w:type="dxa"/>
            <w:vAlign w:val="top"/>
          </w:tcPr>
          <w:p w14:paraId="75C8D990">
            <w:pPr>
              <w:spacing w:before="86"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6.45</w:t>
            </w:r>
          </w:p>
        </w:tc>
        <w:tc>
          <w:tcPr>
            <w:tcW w:w="425" w:type="dxa"/>
            <w:vAlign w:val="top"/>
          </w:tcPr>
          <w:p w14:paraId="4F575CE8">
            <w:pPr>
              <w:spacing w:before="86"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2.55</w:t>
            </w:r>
          </w:p>
        </w:tc>
        <w:tc>
          <w:tcPr>
            <w:tcW w:w="577" w:type="dxa"/>
            <w:vAlign w:val="top"/>
          </w:tcPr>
          <w:p w14:paraId="75A0B9D1">
            <w:pPr>
              <w:spacing w:before="86"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1.21</w:t>
            </w:r>
          </w:p>
        </w:tc>
        <w:tc>
          <w:tcPr>
            <w:tcW w:w="541" w:type="dxa"/>
            <w:tcBorders>
              <w:right w:val="nil"/>
            </w:tcBorders>
            <w:vAlign w:val="top"/>
          </w:tcPr>
          <w:p w14:paraId="472F3229">
            <w:pPr>
              <w:spacing w:before="86"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16.53</w:t>
            </w:r>
          </w:p>
        </w:tc>
      </w:tr>
      <w:tr w14:paraId="5090E2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110E11CF">
            <w:pPr>
              <w:pStyle w:val="6"/>
              <w:spacing w:before="52" w:line="228" w:lineRule="auto"/>
              <w:ind w:left="159"/>
              <w:rPr>
                <w:sz w:val="20"/>
                <w:szCs w:val="20"/>
              </w:rPr>
            </w:pPr>
            <w:r>
              <w:rPr>
                <w:spacing w:val="3"/>
                <w:sz w:val="20"/>
                <w:szCs w:val="20"/>
              </w:rPr>
              <w:t>二月</w:t>
            </w:r>
          </w:p>
        </w:tc>
        <w:tc>
          <w:tcPr>
            <w:tcW w:w="424" w:type="dxa"/>
            <w:vAlign w:val="top"/>
          </w:tcPr>
          <w:p w14:paraId="7B77B9C4">
            <w:pPr>
              <w:spacing w:before="88"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3.57</w:t>
            </w:r>
          </w:p>
        </w:tc>
        <w:tc>
          <w:tcPr>
            <w:tcW w:w="496" w:type="dxa"/>
            <w:vAlign w:val="top"/>
          </w:tcPr>
          <w:p w14:paraId="2BF680CA">
            <w:pPr>
              <w:spacing w:before="88" w:line="195" w:lineRule="auto"/>
              <w:ind w:left="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425" w:type="dxa"/>
            <w:vAlign w:val="top"/>
          </w:tcPr>
          <w:p w14:paraId="6A8F70F4">
            <w:pPr>
              <w:spacing w:before="88"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9.82</w:t>
            </w:r>
          </w:p>
        </w:tc>
        <w:tc>
          <w:tcPr>
            <w:tcW w:w="472" w:type="dxa"/>
            <w:vAlign w:val="top"/>
          </w:tcPr>
          <w:p w14:paraId="65198934">
            <w:pPr>
              <w:spacing w:before="88"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5.51</w:t>
            </w:r>
          </w:p>
        </w:tc>
        <w:tc>
          <w:tcPr>
            <w:tcW w:w="425" w:type="dxa"/>
            <w:vAlign w:val="top"/>
          </w:tcPr>
          <w:p w14:paraId="0561BBA4">
            <w:pPr>
              <w:spacing w:before="88"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6.55</w:t>
            </w:r>
          </w:p>
        </w:tc>
        <w:tc>
          <w:tcPr>
            <w:tcW w:w="430" w:type="dxa"/>
            <w:vAlign w:val="top"/>
          </w:tcPr>
          <w:p w14:paraId="5F044C5D">
            <w:pPr>
              <w:spacing w:before="88"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425" w:type="dxa"/>
            <w:vAlign w:val="top"/>
          </w:tcPr>
          <w:p w14:paraId="77091A26">
            <w:pPr>
              <w:spacing w:before="88"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3.42</w:t>
            </w:r>
          </w:p>
        </w:tc>
        <w:tc>
          <w:tcPr>
            <w:tcW w:w="425" w:type="dxa"/>
            <w:vAlign w:val="top"/>
          </w:tcPr>
          <w:p w14:paraId="40441547">
            <w:pPr>
              <w:spacing w:before="88"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5.36</w:t>
            </w:r>
          </w:p>
        </w:tc>
        <w:tc>
          <w:tcPr>
            <w:tcW w:w="425" w:type="dxa"/>
            <w:vAlign w:val="top"/>
          </w:tcPr>
          <w:p w14:paraId="3EB5931C">
            <w:pPr>
              <w:spacing w:before="88"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4.46</w:t>
            </w:r>
          </w:p>
        </w:tc>
        <w:tc>
          <w:tcPr>
            <w:tcW w:w="544" w:type="dxa"/>
            <w:vAlign w:val="top"/>
          </w:tcPr>
          <w:p w14:paraId="764E5D77">
            <w:pPr>
              <w:spacing w:before="88"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6.70</w:t>
            </w:r>
          </w:p>
        </w:tc>
        <w:tc>
          <w:tcPr>
            <w:tcW w:w="544" w:type="dxa"/>
            <w:vAlign w:val="top"/>
          </w:tcPr>
          <w:p w14:paraId="1F7BA134">
            <w:pPr>
              <w:spacing w:before="88"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9.38</w:t>
            </w:r>
          </w:p>
        </w:tc>
        <w:tc>
          <w:tcPr>
            <w:tcW w:w="591" w:type="dxa"/>
            <w:vAlign w:val="top"/>
          </w:tcPr>
          <w:p w14:paraId="4A2D66E8">
            <w:pPr>
              <w:spacing w:before="88" w:line="195" w:lineRule="auto"/>
              <w:ind w:left="1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544" w:type="dxa"/>
            <w:vAlign w:val="top"/>
          </w:tcPr>
          <w:p w14:paraId="726FD77B">
            <w:pPr>
              <w:spacing w:before="88"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11.61</w:t>
            </w:r>
          </w:p>
        </w:tc>
        <w:tc>
          <w:tcPr>
            <w:tcW w:w="630" w:type="dxa"/>
            <w:vAlign w:val="top"/>
          </w:tcPr>
          <w:p w14:paraId="4CBB7668">
            <w:pPr>
              <w:spacing w:before="88"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3.27</w:t>
            </w:r>
          </w:p>
        </w:tc>
        <w:tc>
          <w:tcPr>
            <w:tcW w:w="425" w:type="dxa"/>
            <w:vAlign w:val="top"/>
          </w:tcPr>
          <w:p w14:paraId="2B27E19D">
            <w:pPr>
              <w:spacing w:before="88"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1.19</w:t>
            </w:r>
          </w:p>
        </w:tc>
        <w:tc>
          <w:tcPr>
            <w:tcW w:w="577" w:type="dxa"/>
            <w:vAlign w:val="top"/>
          </w:tcPr>
          <w:p w14:paraId="74A92BA4">
            <w:pPr>
              <w:spacing w:before="88"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541" w:type="dxa"/>
            <w:tcBorders>
              <w:right w:val="nil"/>
            </w:tcBorders>
            <w:vAlign w:val="top"/>
          </w:tcPr>
          <w:p w14:paraId="24868EE6">
            <w:pPr>
              <w:spacing w:before="88"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12.05</w:t>
            </w:r>
          </w:p>
        </w:tc>
      </w:tr>
      <w:tr w14:paraId="2BE29B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23A95090">
            <w:pPr>
              <w:pStyle w:val="6"/>
              <w:spacing w:before="53" w:line="228" w:lineRule="auto"/>
              <w:ind w:left="155"/>
              <w:rPr>
                <w:sz w:val="20"/>
                <w:szCs w:val="20"/>
              </w:rPr>
            </w:pPr>
            <w:r>
              <w:rPr>
                <w:spacing w:val="4"/>
                <w:sz w:val="20"/>
                <w:szCs w:val="20"/>
              </w:rPr>
              <w:t>三月</w:t>
            </w:r>
          </w:p>
        </w:tc>
        <w:tc>
          <w:tcPr>
            <w:tcW w:w="424" w:type="dxa"/>
            <w:vAlign w:val="top"/>
          </w:tcPr>
          <w:p w14:paraId="600A953C">
            <w:pPr>
              <w:spacing w:before="89"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2.15</w:t>
            </w:r>
          </w:p>
        </w:tc>
        <w:tc>
          <w:tcPr>
            <w:tcW w:w="496" w:type="dxa"/>
            <w:vAlign w:val="top"/>
          </w:tcPr>
          <w:p w14:paraId="2EF55142">
            <w:pPr>
              <w:spacing w:before="89" w:line="195" w:lineRule="auto"/>
              <w:ind w:left="6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4.57</w:t>
            </w:r>
          </w:p>
        </w:tc>
        <w:tc>
          <w:tcPr>
            <w:tcW w:w="425" w:type="dxa"/>
            <w:vAlign w:val="top"/>
          </w:tcPr>
          <w:p w14:paraId="6658A389">
            <w:pPr>
              <w:spacing w:before="89"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7.93</w:t>
            </w:r>
          </w:p>
        </w:tc>
        <w:tc>
          <w:tcPr>
            <w:tcW w:w="472" w:type="dxa"/>
            <w:vAlign w:val="top"/>
          </w:tcPr>
          <w:p w14:paraId="3DA3C555">
            <w:pPr>
              <w:spacing w:before="89"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6.05</w:t>
            </w:r>
          </w:p>
        </w:tc>
        <w:tc>
          <w:tcPr>
            <w:tcW w:w="425" w:type="dxa"/>
            <w:vAlign w:val="top"/>
          </w:tcPr>
          <w:p w14:paraId="65FCAB70">
            <w:pPr>
              <w:spacing w:before="89"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4.57</w:t>
            </w:r>
          </w:p>
        </w:tc>
        <w:tc>
          <w:tcPr>
            <w:tcW w:w="430" w:type="dxa"/>
            <w:vAlign w:val="top"/>
          </w:tcPr>
          <w:p w14:paraId="0A22F2DE">
            <w:pPr>
              <w:spacing w:before="89"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25" w:type="dxa"/>
            <w:vAlign w:val="top"/>
          </w:tcPr>
          <w:p w14:paraId="10E2157A">
            <w:pPr>
              <w:spacing w:before="89"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3.23</w:t>
            </w:r>
          </w:p>
        </w:tc>
        <w:tc>
          <w:tcPr>
            <w:tcW w:w="425" w:type="dxa"/>
            <w:vAlign w:val="top"/>
          </w:tcPr>
          <w:p w14:paraId="52EB49E4">
            <w:pPr>
              <w:spacing w:before="89"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3.63</w:t>
            </w:r>
          </w:p>
        </w:tc>
        <w:tc>
          <w:tcPr>
            <w:tcW w:w="425" w:type="dxa"/>
            <w:vAlign w:val="top"/>
          </w:tcPr>
          <w:p w14:paraId="5082D4E7">
            <w:pPr>
              <w:spacing w:before="89"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3.90</w:t>
            </w:r>
          </w:p>
        </w:tc>
        <w:tc>
          <w:tcPr>
            <w:tcW w:w="544" w:type="dxa"/>
            <w:vAlign w:val="top"/>
          </w:tcPr>
          <w:p w14:paraId="216ACA4D">
            <w:pPr>
              <w:spacing w:before="89"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4.57</w:t>
            </w:r>
          </w:p>
        </w:tc>
        <w:tc>
          <w:tcPr>
            <w:tcW w:w="544" w:type="dxa"/>
            <w:vAlign w:val="top"/>
          </w:tcPr>
          <w:p w14:paraId="7FA6B08B">
            <w:pPr>
              <w:spacing w:before="89"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13.98</w:t>
            </w:r>
          </w:p>
        </w:tc>
        <w:tc>
          <w:tcPr>
            <w:tcW w:w="591" w:type="dxa"/>
            <w:vAlign w:val="top"/>
          </w:tcPr>
          <w:p w14:paraId="254C0671">
            <w:pPr>
              <w:spacing w:before="89"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6.59</w:t>
            </w:r>
          </w:p>
        </w:tc>
        <w:tc>
          <w:tcPr>
            <w:tcW w:w="544" w:type="dxa"/>
            <w:vAlign w:val="top"/>
          </w:tcPr>
          <w:p w14:paraId="56D38C28">
            <w:pPr>
              <w:spacing w:before="89"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8.60</w:t>
            </w:r>
          </w:p>
        </w:tc>
        <w:tc>
          <w:tcPr>
            <w:tcW w:w="630" w:type="dxa"/>
            <w:vAlign w:val="top"/>
          </w:tcPr>
          <w:p w14:paraId="66BB0665">
            <w:pPr>
              <w:spacing w:before="89"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9.01</w:t>
            </w:r>
          </w:p>
        </w:tc>
        <w:tc>
          <w:tcPr>
            <w:tcW w:w="425" w:type="dxa"/>
            <w:vAlign w:val="top"/>
          </w:tcPr>
          <w:p w14:paraId="7516677D">
            <w:pPr>
              <w:spacing w:before="89"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4.84</w:t>
            </w:r>
          </w:p>
        </w:tc>
        <w:tc>
          <w:tcPr>
            <w:tcW w:w="577" w:type="dxa"/>
            <w:vAlign w:val="top"/>
          </w:tcPr>
          <w:p w14:paraId="438A97E3">
            <w:pPr>
              <w:spacing w:before="89" w:line="195" w:lineRule="auto"/>
              <w:ind w:left="10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2.69</w:t>
            </w:r>
          </w:p>
        </w:tc>
        <w:tc>
          <w:tcPr>
            <w:tcW w:w="541" w:type="dxa"/>
            <w:tcBorders>
              <w:right w:val="nil"/>
            </w:tcBorders>
            <w:vAlign w:val="top"/>
          </w:tcPr>
          <w:p w14:paraId="4D57C33F">
            <w:pPr>
              <w:spacing w:before="89"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9.54</w:t>
            </w:r>
          </w:p>
        </w:tc>
      </w:tr>
      <w:tr w14:paraId="3E78E2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3211AD4E">
            <w:pPr>
              <w:pStyle w:val="6"/>
              <w:spacing w:before="55" w:line="227" w:lineRule="auto"/>
              <w:ind w:left="175"/>
              <w:rPr>
                <w:sz w:val="20"/>
                <w:szCs w:val="20"/>
              </w:rPr>
            </w:pPr>
            <w:r>
              <w:rPr>
                <w:spacing w:val="-5"/>
                <w:sz w:val="20"/>
                <w:szCs w:val="20"/>
              </w:rPr>
              <w:t>四月</w:t>
            </w:r>
          </w:p>
        </w:tc>
        <w:tc>
          <w:tcPr>
            <w:tcW w:w="424" w:type="dxa"/>
            <w:vAlign w:val="top"/>
          </w:tcPr>
          <w:p w14:paraId="00974CE3">
            <w:pPr>
              <w:spacing w:before="91"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96" w:type="dxa"/>
            <w:vAlign w:val="top"/>
          </w:tcPr>
          <w:p w14:paraId="0DA02743">
            <w:pPr>
              <w:spacing w:before="91"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3.89</w:t>
            </w:r>
          </w:p>
        </w:tc>
        <w:tc>
          <w:tcPr>
            <w:tcW w:w="425" w:type="dxa"/>
            <w:vAlign w:val="top"/>
          </w:tcPr>
          <w:p w14:paraId="5E257265">
            <w:pPr>
              <w:spacing w:before="91" w:line="195" w:lineRule="auto"/>
              <w:ind w:left="39"/>
              <w:rPr>
                <w:rFonts w:ascii="Times New Roman" w:hAnsi="Times New Roman" w:eastAsia="Times New Roman" w:cs="Times New Roman"/>
                <w:sz w:val="20"/>
                <w:szCs w:val="20"/>
              </w:rPr>
            </w:pPr>
            <w:r>
              <w:rPr>
                <w:rFonts w:ascii="Times New Roman" w:hAnsi="Times New Roman" w:eastAsia="Times New Roman" w:cs="Times New Roman"/>
                <w:sz w:val="20"/>
                <w:szCs w:val="20"/>
              </w:rPr>
              <w:t>8.19</w:t>
            </w:r>
          </w:p>
        </w:tc>
        <w:tc>
          <w:tcPr>
            <w:tcW w:w="472" w:type="dxa"/>
            <w:vAlign w:val="top"/>
          </w:tcPr>
          <w:p w14:paraId="43CEE064">
            <w:pPr>
              <w:spacing w:before="91"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5.56</w:t>
            </w:r>
          </w:p>
        </w:tc>
        <w:tc>
          <w:tcPr>
            <w:tcW w:w="425" w:type="dxa"/>
            <w:vAlign w:val="top"/>
          </w:tcPr>
          <w:p w14:paraId="00A13D1C">
            <w:pPr>
              <w:spacing w:before="91"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4.72</w:t>
            </w:r>
          </w:p>
        </w:tc>
        <w:tc>
          <w:tcPr>
            <w:tcW w:w="430" w:type="dxa"/>
            <w:vAlign w:val="top"/>
          </w:tcPr>
          <w:p w14:paraId="2E02BB05">
            <w:pPr>
              <w:spacing w:before="91"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5.00</w:t>
            </w:r>
          </w:p>
        </w:tc>
        <w:tc>
          <w:tcPr>
            <w:tcW w:w="425" w:type="dxa"/>
            <w:vAlign w:val="top"/>
          </w:tcPr>
          <w:p w14:paraId="6A4CBD55">
            <w:pPr>
              <w:spacing w:before="91"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6.</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5"/>
                <w:sz w:val="20"/>
                <w:szCs w:val="20"/>
              </w:rPr>
              <w:t>11</w:t>
            </w:r>
          </w:p>
        </w:tc>
        <w:tc>
          <w:tcPr>
            <w:tcW w:w="425" w:type="dxa"/>
            <w:vAlign w:val="top"/>
          </w:tcPr>
          <w:p w14:paraId="4D8C5060">
            <w:pPr>
              <w:spacing w:before="91"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4.72</w:t>
            </w:r>
          </w:p>
        </w:tc>
        <w:tc>
          <w:tcPr>
            <w:tcW w:w="425" w:type="dxa"/>
            <w:vAlign w:val="top"/>
          </w:tcPr>
          <w:p w14:paraId="3BD2718C">
            <w:pPr>
              <w:spacing w:before="91"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7.08</w:t>
            </w:r>
          </w:p>
        </w:tc>
        <w:tc>
          <w:tcPr>
            <w:tcW w:w="544" w:type="dxa"/>
            <w:vAlign w:val="top"/>
          </w:tcPr>
          <w:p w14:paraId="44B5A09F">
            <w:pPr>
              <w:spacing w:before="91" w:line="195" w:lineRule="auto"/>
              <w:ind w:left="9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8.89</w:t>
            </w:r>
          </w:p>
        </w:tc>
        <w:tc>
          <w:tcPr>
            <w:tcW w:w="544" w:type="dxa"/>
            <w:vAlign w:val="top"/>
          </w:tcPr>
          <w:p w14:paraId="2AA68087">
            <w:pPr>
              <w:spacing w:before="91"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13.61</w:t>
            </w:r>
          </w:p>
        </w:tc>
        <w:tc>
          <w:tcPr>
            <w:tcW w:w="591" w:type="dxa"/>
            <w:vAlign w:val="top"/>
          </w:tcPr>
          <w:p w14:paraId="0E82CA22">
            <w:pPr>
              <w:spacing w:before="91" w:line="195" w:lineRule="auto"/>
              <w:ind w:left="1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5.56</w:t>
            </w:r>
          </w:p>
        </w:tc>
        <w:tc>
          <w:tcPr>
            <w:tcW w:w="544" w:type="dxa"/>
            <w:vAlign w:val="top"/>
          </w:tcPr>
          <w:p w14:paraId="1166FA75">
            <w:pPr>
              <w:spacing w:before="91"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6.25</w:t>
            </w:r>
          </w:p>
        </w:tc>
        <w:tc>
          <w:tcPr>
            <w:tcW w:w="630" w:type="dxa"/>
            <w:vAlign w:val="top"/>
          </w:tcPr>
          <w:p w14:paraId="407675CC">
            <w:pPr>
              <w:spacing w:before="91" w:line="195" w:lineRule="auto"/>
              <w:ind w:left="1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5.97</w:t>
            </w:r>
          </w:p>
        </w:tc>
        <w:tc>
          <w:tcPr>
            <w:tcW w:w="425" w:type="dxa"/>
            <w:vAlign w:val="top"/>
          </w:tcPr>
          <w:p w14:paraId="363CC55D">
            <w:pPr>
              <w:spacing w:before="91"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3.47</w:t>
            </w:r>
          </w:p>
        </w:tc>
        <w:tc>
          <w:tcPr>
            <w:tcW w:w="577" w:type="dxa"/>
            <w:vAlign w:val="top"/>
          </w:tcPr>
          <w:p w14:paraId="2EA59C60">
            <w:pPr>
              <w:spacing w:before="91" w:line="195" w:lineRule="auto"/>
              <w:ind w:left="10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2.08</w:t>
            </w:r>
          </w:p>
        </w:tc>
        <w:tc>
          <w:tcPr>
            <w:tcW w:w="541" w:type="dxa"/>
            <w:tcBorders>
              <w:right w:val="nil"/>
            </w:tcBorders>
            <w:vAlign w:val="top"/>
          </w:tcPr>
          <w:p w14:paraId="086C29A8">
            <w:pPr>
              <w:spacing w:before="91" w:line="195" w:lineRule="auto"/>
              <w:ind w:left="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4.72</w:t>
            </w:r>
          </w:p>
        </w:tc>
      </w:tr>
      <w:tr w14:paraId="0F0851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4CEC7730">
            <w:pPr>
              <w:pStyle w:val="6"/>
              <w:spacing w:before="56" w:line="225" w:lineRule="auto"/>
              <w:ind w:left="159"/>
              <w:rPr>
                <w:sz w:val="20"/>
                <w:szCs w:val="20"/>
              </w:rPr>
            </w:pPr>
            <w:r>
              <w:rPr>
                <w:spacing w:val="3"/>
                <w:sz w:val="20"/>
                <w:szCs w:val="20"/>
              </w:rPr>
              <w:t>五月</w:t>
            </w:r>
          </w:p>
        </w:tc>
        <w:tc>
          <w:tcPr>
            <w:tcW w:w="424" w:type="dxa"/>
            <w:vAlign w:val="top"/>
          </w:tcPr>
          <w:p w14:paraId="3154E376">
            <w:pPr>
              <w:spacing w:before="91"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0.67</w:t>
            </w:r>
          </w:p>
        </w:tc>
        <w:tc>
          <w:tcPr>
            <w:tcW w:w="496" w:type="dxa"/>
            <w:vAlign w:val="top"/>
          </w:tcPr>
          <w:p w14:paraId="75D47AAA">
            <w:pPr>
              <w:spacing w:before="91"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3.23</w:t>
            </w:r>
          </w:p>
        </w:tc>
        <w:tc>
          <w:tcPr>
            <w:tcW w:w="425" w:type="dxa"/>
            <w:vAlign w:val="top"/>
          </w:tcPr>
          <w:p w14:paraId="20090EBE">
            <w:pPr>
              <w:spacing w:before="91"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6.85</w:t>
            </w:r>
          </w:p>
        </w:tc>
        <w:tc>
          <w:tcPr>
            <w:tcW w:w="472" w:type="dxa"/>
            <w:vAlign w:val="top"/>
          </w:tcPr>
          <w:p w14:paraId="47C7338C">
            <w:pPr>
              <w:spacing w:before="91"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6.18</w:t>
            </w:r>
          </w:p>
        </w:tc>
        <w:tc>
          <w:tcPr>
            <w:tcW w:w="425" w:type="dxa"/>
            <w:vAlign w:val="top"/>
          </w:tcPr>
          <w:p w14:paraId="385492E6">
            <w:pPr>
              <w:spacing w:before="91"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3.63</w:t>
            </w:r>
          </w:p>
        </w:tc>
        <w:tc>
          <w:tcPr>
            <w:tcW w:w="430" w:type="dxa"/>
            <w:vAlign w:val="top"/>
          </w:tcPr>
          <w:p w14:paraId="1A4B9B9B">
            <w:pPr>
              <w:spacing w:before="91"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2.96</w:t>
            </w:r>
          </w:p>
        </w:tc>
        <w:tc>
          <w:tcPr>
            <w:tcW w:w="425" w:type="dxa"/>
            <w:vAlign w:val="top"/>
          </w:tcPr>
          <w:p w14:paraId="209AB50D">
            <w:pPr>
              <w:spacing w:before="91"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3.36</w:t>
            </w:r>
          </w:p>
        </w:tc>
        <w:tc>
          <w:tcPr>
            <w:tcW w:w="425" w:type="dxa"/>
            <w:vAlign w:val="top"/>
          </w:tcPr>
          <w:p w14:paraId="542B1557">
            <w:pPr>
              <w:spacing w:before="91"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3.63</w:t>
            </w:r>
          </w:p>
        </w:tc>
        <w:tc>
          <w:tcPr>
            <w:tcW w:w="425" w:type="dxa"/>
            <w:vAlign w:val="top"/>
          </w:tcPr>
          <w:p w14:paraId="34AE08C5">
            <w:pPr>
              <w:spacing w:before="91"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3.76</w:t>
            </w:r>
          </w:p>
        </w:tc>
        <w:tc>
          <w:tcPr>
            <w:tcW w:w="544" w:type="dxa"/>
            <w:vAlign w:val="top"/>
          </w:tcPr>
          <w:p w14:paraId="4E0E8A0A">
            <w:pPr>
              <w:spacing w:before="91"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10.89</w:t>
            </w:r>
          </w:p>
        </w:tc>
        <w:tc>
          <w:tcPr>
            <w:tcW w:w="544" w:type="dxa"/>
            <w:vAlign w:val="top"/>
          </w:tcPr>
          <w:p w14:paraId="2C10E478">
            <w:pPr>
              <w:spacing w:before="91"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18.01</w:t>
            </w:r>
          </w:p>
        </w:tc>
        <w:tc>
          <w:tcPr>
            <w:tcW w:w="591" w:type="dxa"/>
            <w:vAlign w:val="top"/>
          </w:tcPr>
          <w:p w14:paraId="4F54C37F">
            <w:pPr>
              <w:spacing w:before="91" w:line="195" w:lineRule="auto"/>
              <w:ind w:left="1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8.87</w:t>
            </w:r>
          </w:p>
        </w:tc>
        <w:tc>
          <w:tcPr>
            <w:tcW w:w="544" w:type="dxa"/>
            <w:vAlign w:val="top"/>
          </w:tcPr>
          <w:p w14:paraId="66EC8F6B">
            <w:pPr>
              <w:spacing w:before="91"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7.80</w:t>
            </w:r>
          </w:p>
        </w:tc>
        <w:tc>
          <w:tcPr>
            <w:tcW w:w="630" w:type="dxa"/>
            <w:vAlign w:val="top"/>
          </w:tcPr>
          <w:p w14:paraId="54F9365C">
            <w:pPr>
              <w:spacing w:before="91"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6.99</w:t>
            </w:r>
          </w:p>
        </w:tc>
        <w:tc>
          <w:tcPr>
            <w:tcW w:w="425" w:type="dxa"/>
            <w:vAlign w:val="top"/>
          </w:tcPr>
          <w:p w14:paraId="5A8F23D2">
            <w:pPr>
              <w:spacing w:before="91"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3.76</w:t>
            </w:r>
          </w:p>
        </w:tc>
        <w:tc>
          <w:tcPr>
            <w:tcW w:w="577" w:type="dxa"/>
            <w:vAlign w:val="top"/>
          </w:tcPr>
          <w:p w14:paraId="349C7160">
            <w:pPr>
              <w:spacing w:before="91"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0.81</w:t>
            </w:r>
          </w:p>
        </w:tc>
        <w:tc>
          <w:tcPr>
            <w:tcW w:w="541" w:type="dxa"/>
            <w:tcBorders>
              <w:right w:val="nil"/>
            </w:tcBorders>
            <w:vAlign w:val="top"/>
          </w:tcPr>
          <w:p w14:paraId="32CBF319">
            <w:pPr>
              <w:spacing w:before="91" w:line="195" w:lineRule="auto"/>
              <w:ind w:left="9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8.60</w:t>
            </w:r>
          </w:p>
        </w:tc>
      </w:tr>
      <w:tr w14:paraId="46F081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3CA7A7E4">
            <w:pPr>
              <w:pStyle w:val="6"/>
              <w:spacing w:before="58" w:line="224" w:lineRule="auto"/>
              <w:ind w:left="157"/>
              <w:rPr>
                <w:sz w:val="20"/>
                <w:szCs w:val="20"/>
              </w:rPr>
            </w:pPr>
            <w:r>
              <w:rPr>
                <w:spacing w:val="3"/>
                <w:sz w:val="20"/>
                <w:szCs w:val="20"/>
              </w:rPr>
              <w:t>六月</w:t>
            </w:r>
          </w:p>
        </w:tc>
        <w:tc>
          <w:tcPr>
            <w:tcW w:w="424" w:type="dxa"/>
            <w:vAlign w:val="top"/>
          </w:tcPr>
          <w:p w14:paraId="6C3C482B">
            <w:pPr>
              <w:spacing w:before="93"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1.94</w:t>
            </w:r>
          </w:p>
        </w:tc>
        <w:tc>
          <w:tcPr>
            <w:tcW w:w="496" w:type="dxa"/>
            <w:vAlign w:val="top"/>
          </w:tcPr>
          <w:p w14:paraId="34E8171C">
            <w:pPr>
              <w:spacing w:before="93" w:line="195" w:lineRule="auto"/>
              <w:ind w:left="6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4.58</w:t>
            </w:r>
          </w:p>
        </w:tc>
        <w:tc>
          <w:tcPr>
            <w:tcW w:w="425" w:type="dxa"/>
            <w:vAlign w:val="top"/>
          </w:tcPr>
          <w:p w14:paraId="15D301BE">
            <w:pPr>
              <w:spacing w:before="93"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6.81</w:t>
            </w:r>
          </w:p>
        </w:tc>
        <w:tc>
          <w:tcPr>
            <w:tcW w:w="472" w:type="dxa"/>
            <w:vAlign w:val="top"/>
          </w:tcPr>
          <w:p w14:paraId="6C739516">
            <w:pPr>
              <w:spacing w:before="93" w:line="195" w:lineRule="auto"/>
              <w:ind w:left="5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25" w:type="dxa"/>
            <w:vAlign w:val="top"/>
          </w:tcPr>
          <w:p w14:paraId="075A9FF9">
            <w:pPr>
              <w:spacing w:before="93"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4.72</w:t>
            </w:r>
          </w:p>
        </w:tc>
        <w:tc>
          <w:tcPr>
            <w:tcW w:w="430" w:type="dxa"/>
            <w:vAlign w:val="top"/>
          </w:tcPr>
          <w:p w14:paraId="2B8C7765">
            <w:pPr>
              <w:spacing w:before="93"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4.58</w:t>
            </w:r>
          </w:p>
        </w:tc>
        <w:tc>
          <w:tcPr>
            <w:tcW w:w="425" w:type="dxa"/>
            <w:vAlign w:val="top"/>
          </w:tcPr>
          <w:p w14:paraId="73F059C5">
            <w:pPr>
              <w:spacing w:before="93"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5.00</w:t>
            </w:r>
          </w:p>
        </w:tc>
        <w:tc>
          <w:tcPr>
            <w:tcW w:w="425" w:type="dxa"/>
            <w:vAlign w:val="top"/>
          </w:tcPr>
          <w:p w14:paraId="3FF1B0D0">
            <w:pPr>
              <w:spacing w:before="93"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5.83</w:t>
            </w:r>
          </w:p>
        </w:tc>
        <w:tc>
          <w:tcPr>
            <w:tcW w:w="425" w:type="dxa"/>
            <w:vAlign w:val="top"/>
          </w:tcPr>
          <w:p w14:paraId="2DC6167C">
            <w:pPr>
              <w:spacing w:before="93"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544" w:type="dxa"/>
            <w:vAlign w:val="top"/>
          </w:tcPr>
          <w:p w14:paraId="05DC0938">
            <w:pPr>
              <w:spacing w:before="93"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4.72</w:t>
            </w:r>
          </w:p>
        </w:tc>
        <w:tc>
          <w:tcPr>
            <w:tcW w:w="544" w:type="dxa"/>
            <w:vAlign w:val="top"/>
          </w:tcPr>
          <w:p w14:paraId="1F9B5BDD">
            <w:pPr>
              <w:spacing w:before="93"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8.19</w:t>
            </w:r>
          </w:p>
        </w:tc>
        <w:tc>
          <w:tcPr>
            <w:tcW w:w="591" w:type="dxa"/>
            <w:vAlign w:val="top"/>
          </w:tcPr>
          <w:p w14:paraId="6AC9054E">
            <w:pPr>
              <w:spacing w:before="93" w:line="195" w:lineRule="auto"/>
              <w:ind w:left="1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5.56</w:t>
            </w:r>
          </w:p>
        </w:tc>
        <w:tc>
          <w:tcPr>
            <w:tcW w:w="544" w:type="dxa"/>
            <w:vAlign w:val="top"/>
          </w:tcPr>
          <w:p w14:paraId="60515D04">
            <w:pPr>
              <w:spacing w:before="93"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11.39</w:t>
            </w:r>
          </w:p>
        </w:tc>
        <w:tc>
          <w:tcPr>
            <w:tcW w:w="630" w:type="dxa"/>
            <w:vAlign w:val="top"/>
          </w:tcPr>
          <w:p w14:paraId="2FB530F8">
            <w:pPr>
              <w:spacing w:before="93"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6.25</w:t>
            </w:r>
          </w:p>
        </w:tc>
        <w:tc>
          <w:tcPr>
            <w:tcW w:w="425" w:type="dxa"/>
            <w:vAlign w:val="top"/>
          </w:tcPr>
          <w:p w14:paraId="59233487">
            <w:pPr>
              <w:spacing w:before="93"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9.03</w:t>
            </w:r>
          </w:p>
        </w:tc>
        <w:tc>
          <w:tcPr>
            <w:tcW w:w="577" w:type="dxa"/>
            <w:vAlign w:val="top"/>
          </w:tcPr>
          <w:p w14:paraId="199416F1">
            <w:pPr>
              <w:spacing w:before="93" w:line="195" w:lineRule="auto"/>
              <w:ind w:left="1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3.75</w:t>
            </w:r>
          </w:p>
        </w:tc>
        <w:tc>
          <w:tcPr>
            <w:tcW w:w="541" w:type="dxa"/>
            <w:tcBorders>
              <w:right w:val="nil"/>
            </w:tcBorders>
            <w:vAlign w:val="top"/>
          </w:tcPr>
          <w:p w14:paraId="2D5F7CED">
            <w:pPr>
              <w:spacing w:before="93"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9.44</w:t>
            </w:r>
          </w:p>
        </w:tc>
      </w:tr>
      <w:tr w14:paraId="055D72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29793460">
            <w:pPr>
              <w:pStyle w:val="6"/>
              <w:spacing w:before="58" w:line="223" w:lineRule="auto"/>
              <w:ind w:left="155"/>
              <w:rPr>
                <w:sz w:val="20"/>
                <w:szCs w:val="20"/>
              </w:rPr>
            </w:pPr>
            <w:r>
              <w:rPr>
                <w:spacing w:val="5"/>
                <w:sz w:val="20"/>
                <w:szCs w:val="20"/>
              </w:rPr>
              <w:t>七月</w:t>
            </w:r>
          </w:p>
        </w:tc>
        <w:tc>
          <w:tcPr>
            <w:tcW w:w="424" w:type="dxa"/>
            <w:vAlign w:val="top"/>
          </w:tcPr>
          <w:p w14:paraId="0244C19F">
            <w:pPr>
              <w:spacing w:before="94"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1.34</w:t>
            </w:r>
          </w:p>
        </w:tc>
        <w:tc>
          <w:tcPr>
            <w:tcW w:w="496" w:type="dxa"/>
            <w:vAlign w:val="top"/>
          </w:tcPr>
          <w:p w14:paraId="65154AA3">
            <w:pPr>
              <w:spacing w:before="94"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3.90</w:t>
            </w:r>
          </w:p>
        </w:tc>
        <w:tc>
          <w:tcPr>
            <w:tcW w:w="425" w:type="dxa"/>
            <w:vAlign w:val="top"/>
          </w:tcPr>
          <w:p w14:paraId="2F73A199">
            <w:pPr>
              <w:spacing w:before="94"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w:t>
            </w:r>
          </w:p>
        </w:tc>
        <w:tc>
          <w:tcPr>
            <w:tcW w:w="472" w:type="dxa"/>
            <w:vAlign w:val="top"/>
          </w:tcPr>
          <w:p w14:paraId="52A083EA">
            <w:pPr>
              <w:spacing w:before="94"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425" w:type="dxa"/>
            <w:vAlign w:val="top"/>
          </w:tcPr>
          <w:p w14:paraId="0D5A9C81">
            <w:pPr>
              <w:spacing w:before="94"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11</w:t>
            </w:r>
          </w:p>
        </w:tc>
        <w:tc>
          <w:tcPr>
            <w:tcW w:w="430" w:type="dxa"/>
            <w:vAlign w:val="top"/>
          </w:tcPr>
          <w:p w14:paraId="25B02065">
            <w:pPr>
              <w:spacing w:before="94"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25" w:type="dxa"/>
            <w:vAlign w:val="top"/>
          </w:tcPr>
          <w:p w14:paraId="2FE3824C">
            <w:pPr>
              <w:spacing w:before="94"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425" w:type="dxa"/>
            <w:vAlign w:val="top"/>
          </w:tcPr>
          <w:p w14:paraId="2FDE1184">
            <w:pPr>
              <w:spacing w:before="94"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425" w:type="dxa"/>
            <w:vAlign w:val="top"/>
          </w:tcPr>
          <w:p w14:paraId="6234A31A">
            <w:pPr>
              <w:spacing w:before="94"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7.39</w:t>
            </w:r>
          </w:p>
        </w:tc>
        <w:tc>
          <w:tcPr>
            <w:tcW w:w="544" w:type="dxa"/>
            <w:vAlign w:val="top"/>
          </w:tcPr>
          <w:p w14:paraId="0EDBF1F3">
            <w:pPr>
              <w:spacing w:before="94"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11.83</w:t>
            </w:r>
          </w:p>
        </w:tc>
        <w:tc>
          <w:tcPr>
            <w:tcW w:w="544" w:type="dxa"/>
            <w:vAlign w:val="top"/>
          </w:tcPr>
          <w:p w14:paraId="1CB88098">
            <w:pPr>
              <w:spacing w:before="94"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11.42</w:t>
            </w:r>
          </w:p>
        </w:tc>
        <w:tc>
          <w:tcPr>
            <w:tcW w:w="591" w:type="dxa"/>
            <w:vAlign w:val="top"/>
          </w:tcPr>
          <w:p w14:paraId="1730B871">
            <w:pPr>
              <w:spacing w:before="94"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6.59</w:t>
            </w:r>
          </w:p>
        </w:tc>
        <w:tc>
          <w:tcPr>
            <w:tcW w:w="544" w:type="dxa"/>
            <w:vAlign w:val="top"/>
          </w:tcPr>
          <w:p w14:paraId="122BC9E9">
            <w:pPr>
              <w:spacing w:before="94"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630" w:type="dxa"/>
            <w:vAlign w:val="top"/>
          </w:tcPr>
          <w:p w14:paraId="7DBE3E86">
            <w:pPr>
              <w:spacing w:before="94"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3.63</w:t>
            </w:r>
          </w:p>
        </w:tc>
        <w:tc>
          <w:tcPr>
            <w:tcW w:w="425" w:type="dxa"/>
            <w:vAlign w:val="top"/>
          </w:tcPr>
          <w:p w14:paraId="0B79F3FD">
            <w:pPr>
              <w:spacing w:before="94"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5.38</w:t>
            </w:r>
          </w:p>
        </w:tc>
        <w:tc>
          <w:tcPr>
            <w:tcW w:w="577" w:type="dxa"/>
            <w:vAlign w:val="top"/>
          </w:tcPr>
          <w:p w14:paraId="0B3E3DC3">
            <w:pPr>
              <w:spacing w:before="94" w:line="195" w:lineRule="auto"/>
              <w:ind w:left="1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w:t>
            </w:r>
          </w:p>
        </w:tc>
        <w:tc>
          <w:tcPr>
            <w:tcW w:w="541" w:type="dxa"/>
            <w:tcBorders>
              <w:right w:val="nil"/>
            </w:tcBorders>
            <w:vAlign w:val="top"/>
          </w:tcPr>
          <w:p w14:paraId="6AC878A0">
            <w:pPr>
              <w:spacing w:before="94"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7.39</w:t>
            </w:r>
          </w:p>
        </w:tc>
      </w:tr>
      <w:tr w14:paraId="07DEEF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16B3C837">
            <w:pPr>
              <w:pStyle w:val="6"/>
              <w:spacing w:before="60" w:line="222" w:lineRule="auto"/>
              <w:ind w:left="159"/>
              <w:rPr>
                <w:sz w:val="20"/>
                <w:szCs w:val="20"/>
              </w:rPr>
            </w:pPr>
            <w:r>
              <w:rPr>
                <w:spacing w:val="3"/>
                <w:sz w:val="20"/>
                <w:szCs w:val="20"/>
              </w:rPr>
              <w:t>八月</w:t>
            </w:r>
          </w:p>
        </w:tc>
        <w:tc>
          <w:tcPr>
            <w:tcW w:w="424" w:type="dxa"/>
            <w:vAlign w:val="top"/>
          </w:tcPr>
          <w:p w14:paraId="51400392">
            <w:pPr>
              <w:spacing w:before="96"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0.27</w:t>
            </w:r>
          </w:p>
        </w:tc>
        <w:tc>
          <w:tcPr>
            <w:tcW w:w="496" w:type="dxa"/>
            <w:vAlign w:val="top"/>
          </w:tcPr>
          <w:p w14:paraId="09AAD8AE">
            <w:pPr>
              <w:spacing w:before="96"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3.36</w:t>
            </w:r>
          </w:p>
        </w:tc>
        <w:tc>
          <w:tcPr>
            <w:tcW w:w="425" w:type="dxa"/>
            <w:vAlign w:val="top"/>
          </w:tcPr>
          <w:p w14:paraId="01387ACA">
            <w:pPr>
              <w:spacing w:before="96"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w:t>
            </w:r>
          </w:p>
        </w:tc>
        <w:tc>
          <w:tcPr>
            <w:tcW w:w="472" w:type="dxa"/>
            <w:vAlign w:val="top"/>
          </w:tcPr>
          <w:p w14:paraId="716FCEFB">
            <w:pPr>
              <w:spacing w:before="96"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5.38</w:t>
            </w:r>
          </w:p>
        </w:tc>
        <w:tc>
          <w:tcPr>
            <w:tcW w:w="425" w:type="dxa"/>
            <w:vAlign w:val="top"/>
          </w:tcPr>
          <w:p w14:paraId="24BB9091">
            <w:pPr>
              <w:spacing w:before="96"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5.51</w:t>
            </w:r>
          </w:p>
        </w:tc>
        <w:tc>
          <w:tcPr>
            <w:tcW w:w="430" w:type="dxa"/>
            <w:vAlign w:val="top"/>
          </w:tcPr>
          <w:p w14:paraId="15DCE501">
            <w:pPr>
              <w:spacing w:before="96"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w:t>
            </w:r>
          </w:p>
        </w:tc>
        <w:tc>
          <w:tcPr>
            <w:tcW w:w="425" w:type="dxa"/>
            <w:vAlign w:val="top"/>
          </w:tcPr>
          <w:p w14:paraId="08737342">
            <w:pPr>
              <w:spacing w:before="96"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w:t>
            </w:r>
          </w:p>
        </w:tc>
        <w:tc>
          <w:tcPr>
            <w:tcW w:w="425" w:type="dxa"/>
            <w:vAlign w:val="top"/>
          </w:tcPr>
          <w:p w14:paraId="28A997ED">
            <w:pPr>
              <w:spacing w:before="96"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8.33</w:t>
            </w:r>
          </w:p>
        </w:tc>
        <w:tc>
          <w:tcPr>
            <w:tcW w:w="425" w:type="dxa"/>
            <w:vAlign w:val="top"/>
          </w:tcPr>
          <w:p w14:paraId="01B01C68">
            <w:pPr>
              <w:spacing w:before="96"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6.45</w:t>
            </w:r>
          </w:p>
        </w:tc>
        <w:tc>
          <w:tcPr>
            <w:tcW w:w="544" w:type="dxa"/>
            <w:vAlign w:val="top"/>
          </w:tcPr>
          <w:p w14:paraId="36C57E01">
            <w:pPr>
              <w:spacing w:before="96"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18.68</w:t>
            </w:r>
          </w:p>
        </w:tc>
        <w:tc>
          <w:tcPr>
            <w:tcW w:w="544" w:type="dxa"/>
            <w:vAlign w:val="top"/>
          </w:tcPr>
          <w:p w14:paraId="16AC38F8">
            <w:pPr>
              <w:spacing w:before="96"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15.05</w:t>
            </w:r>
          </w:p>
        </w:tc>
        <w:tc>
          <w:tcPr>
            <w:tcW w:w="591" w:type="dxa"/>
            <w:vAlign w:val="top"/>
          </w:tcPr>
          <w:p w14:paraId="73556553">
            <w:pPr>
              <w:spacing w:before="96" w:line="195" w:lineRule="auto"/>
              <w:ind w:left="119"/>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11</w:t>
            </w:r>
          </w:p>
        </w:tc>
        <w:tc>
          <w:tcPr>
            <w:tcW w:w="544" w:type="dxa"/>
            <w:vAlign w:val="top"/>
          </w:tcPr>
          <w:p w14:paraId="0010D2C9">
            <w:pPr>
              <w:spacing w:before="96" w:line="195" w:lineRule="auto"/>
              <w:ind w:left="8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630" w:type="dxa"/>
            <w:vAlign w:val="top"/>
          </w:tcPr>
          <w:p w14:paraId="1836AE17">
            <w:pPr>
              <w:spacing w:before="96"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2.15</w:t>
            </w:r>
          </w:p>
        </w:tc>
        <w:tc>
          <w:tcPr>
            <w:tcW w:w="425" w:type="dxa"/>
            <w:vAlign w:val="top"/>
          </w:tcPr>
          <w:p w14:paraId="673D3EEA">
            <w:pPr>
              <w:spacing w:before="96"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2.96</w:t>
            </w:r>
          </w:p>
        </w:tc>
        <w:tc>
          <w:tcPr>
            <w:tcW w:w="577" w:type="dxa"/>
            <w:vAlign w:val="top"/>
          </w:tcPr>
          <w:p w14:paraId="4D2E56EC">
            <w:pPr>
              <w:spacing w:before="96"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1.48</w:t>
            </w:r>
          </w:p>
        </w:tc>
        <w:tc>
          <w:tcPr>
            <w:tcW w:w="541" w:type="dxa"/>
            <w:tcBorders>
              <w:right w:val="nil"/>
            </w:tcBorders>
            <w:vAlign w:val="top"/>
          </w:tcPr>
          <w:p w14:paraId="2C9551B2">
            <w:pPr>
              <w:spacing w:before="96"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r>
      <w:tr w14:paraId="78AD04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517857C5">
            <w:pPr>
              <w:pStyle w:val="6"/>
              <w:spacing w:before="61" w:line="220" w:lineRule="auto"/>
              <w:ind w:left="160"/>
              <w:rPr>
                <w:sz w:val="20"/>
                <w:szCs w:val="20"/>
              </w:rPr>
            </w:pPr>
            <w:r>
              <w:rPr>
                <w:spacing w:val="2"/>
                <w:sz w:val="20"/>
                <w:szCs w:val="20"/>
              </w:rPr>
              <w:t>九月</w:t>
            </w:r>
          </w:p>
        </w:tc>
        <w:tc>
          <w:tcPr>
            <w:tcW w:w="424" w:type="dxa"/>
            <w:vAlign w:val="top"/>
          </w:tcPr>
          <w:p w14:paraId="7EEA0D55">
            <w:pPr>
              <w:spacing w:before="97"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3.06</w:t>
            </w:r>
          </w:p>
        </w:tc>
        <w:tc>
          <w:tcPr>
            <w:tcW w:w="496" w:type="dxa"/>
            <w:vAlign w:val="top"/>
          </w:tcPr>
          <w:p w14:paraId="4BEDAA92">
            <w:pPr>
              <w:spacing w:before="97" w:line="195" w:lineRule="auto"/>
              <w:ind w:left="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2.92</w:t>
            </w:r>
          </w:p>
        </w:tc>
        <w:tc>
          <w:tcPr>
            <w:tcW w:w="425" w:type="dxa"/>
            <w:vAlign w:val="top"/>
          </w:tcPr>
          <w:p w14:paraId="51BA8F45">
            <w:pPr>
              <w:spacing w:before="97"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5.97</w:t>
            </w:r>
          </w:p>
        </w:tc>
        <w:tc>
          <w:tcPr>
            <w:tcW w:w="472" w:type="dxa"/>
            <w:vAlign w:val="top"/>
          </w:tcPr>
          <w:p w14:paraId="7E3DF127">
            <w:pPr>
              <w:spacing w:before="97" w:line="195" w:lineRule="auto"/>
              <w:ind w:left="5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4.58</w:t>
            </w:r>
          </w:p>
        </w:tc>
        <w:tc>
          <w:tcPr>
            <w:tcW w:w="425" w:type="dxa"/>
            <w:vAlign w:val="top"/>
          </w:tcPr>
          <w:p w14:paraId="42F17F96">
            <w:pPr>
              <w:spacing w:before="97"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30" w:type="dxa"/>
            <w:vAlign w:val="top"/>
          </w:tcPr>
          <w:p w14:paraId="49F74FF0">
            <w:pPr>
              <w:spacing w:before="97" w:line="195" w:lineRule="auto"/>
              <w:ind w:left="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6.25</w:t>
            </w:r>
          </w:p>
        </w:tc>
        <w:tc>
          <w:tcPr>
            <w:tcW w:w="425" w:type="dxa"/>
            <w:vAlign w:val="top"/>
          </w:tcPr>
          <w:p w14:paraId="73268EF5">
            <w:pPr>
              <w:spacing w:before="97"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3.47</w:t>
            </w:r>
          </w:p>
        </w:tc>
        <w:tc>
          <w:tcPr>
            <w:tcW w:w="425" w:type="dxa"/>
            <w:vAlign w:val="top"/>
          </w:tcPr>
          <w:p w14:paraId="6E5A9F0F">
            <w:pPr>
              <w:spacing w:before="97"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14</w:t>
            </w:r>
          </w:p>
        </w:tc>
        <w:tc>
          <w:tcPr>
            <w:tcW w:w="425" w:type="dxa"/>
            <w:vAlign w:val="top"/>
          </w:tcPr>
          <w:p w14:paraId="36420816">
            <w:pPr>
              <w:spacing w:before="97"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5.83</w:t>
            </w:r>
          </w:p>
        </w:tc>
        <w:tc>
          <w:tcPr>
            <w:tcW w:w="544" w:type="dxa"/>
            <w:vAlign w:val="top"/>
          </w:tcPr>
          <w:p w14:paraId="6C80F661">
            <w:pPr>
              <w:spacing w:before="97"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10.</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6"/>
                <w:sz w:val="20"/>
                <w:szCs w:val="20"/>
              </w:rPr>
              <w:t>14</w:t>
            </w:r>
          </w:p>
        </w:tc>
        <w:tc>
          <w:tcPr>
            <w:tcW w:w="544" w:type="dxa"/>
            <w:vAlign w:val="top"/>
          </w:tcPr>
          <w:p w14:paraId="551CDB96">
            <w:pPr>
              <w:spacing w:before="97"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17.64</w:t>
            </w:r>
          </w:p>
        </w:tc>
        <w:tc>
          <w:tcPr>
            <w:tcW w:w="591" w:type="dxa"/>
            <w:vAlign w:val="top"/>
          </w:tcPr>
          <w:p w14:paraId="7BBD1B24">
            <w:pPr>
              <w:spacing w:before="97" w:line="195" w:lineRule="auto"/>
              <w:ind w:left="11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7.36</w:t>
            </w:r>
          </w:p>
        </w:tc>
        <w:tc>
          <w:tcPr>
            <w:tcW w:w="544" w:type="dxa"/>
            <w:vAlign w:val="top"/>
          </w:tcPr>
          <w:p w14:paraId="165A0AE8">
            <w:pPr>
              <w:spacing w:before="97"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7.08</w:t>
            </w:r>
          </w:p>
        </w:tc>
        <w:tc>
          <w:tcPr>
            <w:tcW w:w="630" w:type="dxa"/>
            <w:vAlign w:val="top"/>
          </w:tcPr>
          <w:p w14:paraId="285891BC">
            <w:pPr>
              <w:spacing w:before="97"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3.33</w:t>
            </w:r>
          </w:p>
        </w:tc>
        <w:tc>
          <w:tcPr>
            <w:tcW w:w="425" w:type="dxa"/>
            <w:vAlign w:val="top"/>
          </w:tcPr>
          <w:p w14:paraId="2487AB23">
            <w:pPr>
              <w:spacing w:before="97"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3.33</w:t>
            </w:r>
          </w:p>
        </w:tc>
        <w:tc>
          <w:tcPr>
            <w:tcW w:w="577" w:type="dxa"/>
            <w:vAlign w:val="top"/>
          </w:tcPr>
          <w:p w14:paraId="2A14C765">
            <w:pPr>
              <w:spacing w:before="97"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8"/>
                <w:sz w:val="20"/>
                <w:szCs w:val="20"/>
              </w:rPr>
              <w:t>11</w:t>
            </w:r>
          </w:p>
        </w:tc>
        <w:tc>
          <w:tcPr>
            <w:tcW w:w="541" w:type="dxa"/>
            <w:tcBorders>
              <w:right w:val="nil"/>
            </w:tcBorders>
            <w:vAlign w:val="top"/>
          </w:tcPr>
          <w:p w14:paraId="1FE12314">
            <w:pPr>
              <w:spacing w:before="97" w:line="195" w:lineRule="auto"/>
              <w:ind w:left="9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8.61</w:t>
            </w:r>
          </w:p>
        </w:tc>
      </w:tr>
      <w:tr w14:paraId="023FD7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1D679F82">
            <w:pPr>
              <w:pStyle w:val="6"/>
              <w:spacing w:before="65" w:line="217" w:lineRule="auto"/>
              <w:ind w:left="156"/>
              <w:rPr>
                <w:sz w:val="20"/>
                <w:szCs w:val="20"/>
              </w:rPr>
            </w:pPr>
            <w:r>
              <w:rPr>
                <w:spacing w:val="4"/>
                <w:sz w:val="20"/>
                <w:szCs w:val="20"/>
              </w:rPr>
              <w:t>十月</w:t>
            </w:r>
          </w:p>
        </w:tc>
        <w:tc>
          <w:tcPr>
            <w:tcW w:w="424" w:type="dxa"/>
            <w:vAlign w:val="top"/>
          </w:tcPr>
          <w:p w14:paraId="570DBA87">
            <w:pPr>
              <w:spacing w:before="101"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1.34</w:t>
            </w:r>
          </w:p>
        </w:tc>
        <w:tc>
          <w:tcPr>
            <w:tcW w:w="496" w:type="dxa"/>
            <w:vAlign w:val="top"/>
          </w:tcPr>
          <w:p w14:paraId="1DDC7135">
            <w:pPr>
              <w:spacing w:before="101"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3.63</w:t>
            </w:r>
          </w:p>
        </w:tc>
        <w:tc>
          <w:tcPr>
            <w:tcW w:w="425" w:type="dxa"/>
            <w:vAlign w:val="top"/>
          </w:tcPr>
          <w:p w14:paraId="5191C0AB">
            <w:pPr>
              <w:spacing w:before="101" w:line="195" w:lineRule="auto"/>
              <w:ind w:left="39"/>
              <w:rPr>
                <w:rFonts w:ascii="Times New Roman" w:hAnsi="Times New Roman" w:eastAsia="Times New Roman" w:cs="Times New Roman"/>
                <w:sz w:val="20"/>
                <w:szCs w:val="20"/>
              </w:rPr>
            </w:pPr>
            <w:r>
              <w:rPr>
                <w:rFonts w:ascii="Times New Roman" w:hAnsi="Times New Roman" w:eastAsia="Times New Roman" w:cs="Times New Roman"/>
                <w:sz w:val="20"/>
                <w:szCs w:val="20"/>
              </w:rPr>
              <w:t>8.33</w:t>
            </w:r>
          </w:p>
        </w:tc>
        <w:tc>
          <w:tcPr>
            <w:tcW w:w="472" w:type="dxa"/>
            <w:vAlign w:val="top"/>
          </w:tcPr>
          <w:p w14:paraId="5C0928C8">
            <w:pPr>
              <w:spacing w:before="101"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11</w:t>
            </w:r>
          </w:p>
        </w:tc>
        <w:tc>
          <w:tcPr>
            <w:tcW w:w="425" w:type="dxa"/>
            <w:vAlign w:val="top"/>
          </w:tcPr>
          <w:p w14:paraId="61E94F01">
            <w:pPr>
              <w:spacing w:before="101"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6.05</w:t>
            </w:r>
          </w:p>
        </w:tc>
        <w:tc>
          <w:tcPr>
            <w:tcW w:w="430" w:type="dxa"/>
            <w:vAlign w:val="top"/>
          </w:tcPr>
          <w:p w14:paraId="3CB2314F">
            <w:pPr>
              <w:spacing w:before="101"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11</w:t>
            </w:r>
          </w:p>
        </w:tc>
        <w:tc>
          <w:tcPr>
            <w:tcW w:w="425" w:type="dxa"/>
            <w:vAlign w:val="top"/>
          </w:tcPr>
          <w:p w14:paraId="2BADFB56">
            <w:pPr>
              <w:spacing w:before="101"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3.90</w:t>
            </w:r>
          </w:p>
        </w:tc>
        <w:tc>
          <w:tcPr>
            <w:tcW w:w="425" w:type="dxa"/>
            <w:vAlign w:val="top"/>
          </w:tcPr>
          <w:p w14:paraId="5821D27E">
            <w:pPr>
              <w:spacing w:before="101"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6.05</w:t>
            </w:r>
          </w:p>
        </w:tc>
        <w:tc>
          <w:tcPr>
            <w:tcW w:w="425" w:type="dxa"/>
            <w:vAlign w:val="top"/>
          </w:tcPr>
          <w:p w14:paraId="290AE22D">
            <w:pPr>
              <w:spacing w:before="101"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4.30</w:t>
            </w:r>
          </w:p>
        </w:tc>
        <w:tc>
          <w:tcPr>
            <w:tcW w:w="544" w:type="dxa"/>
            <w:vAlign w:val="top"/>
          </w:tcPr>
          <w:p w14:paraId="4A790639">
            <w:pPr>
              <w:spacing w:before="101"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6.32</w:t>
            </w:r>
          </w:p>
        </w:tc>
        <w:tc>
          <w:tcPr>
            <w:tcW w:w="544" w:type="dxa"/>
            <w:vAlign w:val="top"/>
          </w:tcPr>
          <w:p w14:paraId="68662FCE">
            <w:pPr>
              <w:spacing w:before="101"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10.48</w:t>
            </w:r>
          </w:p>
        </w:tc>
        <w:tc>
          <w:tcPr>
            <w:tcW w:w="591" w:type="dxa"/>
            <w:vAlign w:val="top"/>
          </w:tcPr>
          <w:p w14:paraId="69CEA5C4">
            <w:pPr>
              <w:spacing w:before="101"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6.72</w:t>
            </w:r>
          </w:p>
        </w:tc>
        <w:tc>
          <w:tcPr>
            <w:tcW w:w="544" w:type="dxa"/>
            <w:vAlign w:val="top"/>
          </w:tcPr>
          <w:p w14:paraId="7D8275D3">
            <w:pPr>
              <w:spacing w:before="101"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10.22</w:t>
            </w:r>
          </w:p>
        </w:tc>
        <w:tc>
          <w:tcPr>
            <w:tcW w:w="630" w:type="dxa"/>
            <w:vAlign w:val="top"/>
          </w:tcPr>
          <w:p w14:paraId="256DA1A0">
            <w:pPr>
              <w:spacing w:before="101"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4.97</w:t>
            </w:r>
          </w:p>
        </w:tc>
        <w:tc>
          <w:tcPr>
            <w:tcW w:w="425" w:type="dxa"/>
            <w:vAlign w:val="top"/>
          </w:tcPr>
          <w:p w14:paraId="5F504277">
            <w:pPr>
              <w:spacing w:before="101"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3.90</w:t>
            </w:r>
          </w:p>
        </w:tc>
        <w:tc>
          <w:tcPr>
            <w:tcW w:w="577" w:type="dxa"/>
            <w:vAlign w:val="top"/>
          </w:tcPr>
          <w:p w14:paraId="2E9EB7D7">
            <w:pPr>
              <w:spacing w:before="101"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1.08</w:t>
            </w:r>
          </w:p>
        </w:tc>
        <w:tc>
          <w:tcPr>
            <w:tcW w:w="541" w:type="dxa"/>
            <w:tcBorders>
              <w:right w:val="nil"/>
            </w:tcBorders>
            <w:vAlign w:val="top"/>
          </w:tcPr>
          <w:p w14:paraId="75C51E40">
            <w:pPr>
              <w:spacing w:before="101"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12.50</w:t>
            </w:r>
          </w:p>
        </w:tc>
      </w:tr>
      <w:tr w14:paraId="2AB6B3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6115399A">
            <w:pPr>
              <w:pStyle w:val="6"/>
              <w:spacing w:before="65" w:line="217" w:lineRule="auto"/>
              <w:ind w:left="51"/>
              <w:rPr>
                <w:sz w:val="20"/>
                <w:szCs w:val="20"/>
              </w:rPr>
            </w:pPr>
            <w:r>
              <w:rPr>
                <w:spacing w:val="6"/>
                <w:sz w:val="20"/>
                <w:szCs w:val="20"/>
              </w:rPr>
              <w:t>十一月</w:t>
            </w:r>
          </w:p>
        </w:tc>
        <w:tc>
          <w:tcPr>
            <w:tcW w:w="424" w:type="dxa"/>
            <w:vAlign w:val="top"/>
          </w:tcPr>
          <w:p w14:paraId="1ED850CF">
            <w:pPr>
              <w:spacing w:before="102"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1.67</w:t>
            </w:r>
          </w:p>
        </w:tc>
        <w:tc>
          <w:tcPr>
            <w:tcW w:w="496" w:type="dxa"/>
            <w:vAlign w:val="top"/>
          </w:tcPr>
          <w:p w14:paraId="6755A691">
            <w:pPr>
              <w:spacing w:before="102"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3.33</w:t>
            </w:r>
          </w:p>
        </w:tc>
        <w:tc>
          <w:tcPr>
            <w:tcW w:w="425" w:type="dxa"/>
            <w:vAlign w:val="top"/>
          </w:tcPr>
          <w:p w14:paraId="30E7BF3D">
            <w:pPr>
              <w:spacing w:before="102"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9.31</w:t>
            </w:r>
          </w:p>
        </w:tc>
        <w:tc>
          <w:tcPr>
            <w:tcW w:w="472" w:type="dxa"/>
            <w:vAlign w:val="top"/>
          </w:tcPr>
          <w:p w14:paraId="19C63F66">
            <w:pPr>
              <w:spacing w:before="102"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5.97</w:t>
            </w:r>
          </w:p>
        </w:tc>
        <w:tc>
          <w:tcPr>
            <w:tcW w:w="425" w:type="dxa"/>
            <w:vAlign w:val="top"/>
          </w:tcPr>
          <w:p w14:paraId="223D4EC0">
            <w:pPr>
              <w:spacing w:before="102"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4.58</w:t>
            </w:r>
          </w:p>
        </w:tc>
        <w:tc>
          <w:tcPr>
            <w:tcW w:w="430" w:type="dxa"/>
            <w:vAlign w:val="top"/>
          </w:tcPr>
          <w:p w14:paraId="2DBF56A9">
            <w:pPr>
              <w:spacing w:before="102"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425" w:type="dxa"/>
            <w:vAlign w:val="top"/>
          </w:tcPr>
          <w:p w14:paraId="243E3DA4">
            <w:pPr>
              <w:spacing w:before="102"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2.92</w:t>
            </w:r>
          </w:p>
        </w:tc>
        <w:tc>
          <w:tcPr>
            <w:tcW w:w="425" w:type="dxa"/>
            <w:vAlign w:val="top"/>
          </w:tcPr>
          <w:p w14:paraId="6924E270">
            <w:pPr>
              <w:spacing w:before="102"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3.61</w:t>
            </w:r>
          </w:p>
        </w:tc>
        <w:tc>
          <w:tcPr>
            <w:tcW w:w="425" w:type="dxa"/>
            <w:vAlign w:val="top"/>
          </w:tcPr>
          <w:p w14:paraId="53BF2458">
            <w:pPr>
              <w:spacing w:before="102"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5.42</w:t>
            </w:r>
          </w:p>
        </w:tc>
        <w:tc>
          <w:tcPr>
            <w:tcW w:w="544" w:type="dxa"/>
            <w:vAlign w:val="top"/>
          </w:tcPr>
          <w:p w14:paraId="7A7DB679">
            <w:pPr>
              <w:spacing w:before="102" w:line="195" w:lineRule="auto"/>
              <w:ind w:left="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5.83</w:t>
            </w:r>
          </w:p>
        </w:tc>
        <w:tc>
          <w:tcPr>
            <w:tcW w:w="544" w:type="dxa"/>
            <w:vAlign w:val="top"/>
          </w:tcPr>
          <w:p w14:paraId="6315345D">
            <w:pPr>
              <w:spacing w:before="102"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17.36</w:t>
            </w:r>
          </w:p>
        </w:tc>
        <w:tc>
          <w:tcPr>
            <w:tcW w:w="591" w:type="dxa"/>
            <w:vAlign w:val="top"/>
          </w:tcPr>
          <w:p w14:paraId="0CD2EA3B">
            <w:pPr>
              <w:spacing w:before="102" w:line="195" w:lineRule="auto"/>
              <w:ind w:left="80"/>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10.</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6"/>
                <w:sz w:val="20"/>
                <w:szCs w:val="20"/>
              </w:rPr>
              <w:t>14</w:t>
            </w:r>
          </w:p>
        </w:tc>
        <w:tc>
          <w:tcPr>
            <w:tcW w:w="544" w:type="dxa"/>
            <w:vAlign w:val="top"/>
          </w:tcPr>
          <w:p w14:paraId="7D905F34">
            <w:pPr>
              <w:spacing w:before="102"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8.06</w:t>
            </w:r>
          </w:p>
        </w:tc>
        <w:tc>
          <w:tcPr>
            <w:tcW w:w="630" w:type="dxa"/>
            <w:vAlign w:val="top"/>
          </w:tcPr>
          <w:p w14:paraId="59803B94">
            <w:pPr>
              <w:spacing w:before="102"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4.31</w:t>
            </w:r>
          </w:p>
        </w:tc>
        <w:tc>
          <w:tcPr>
            <w:tcW w:w="425" w:type="dxa"/>
            <w:vAlign w:val="top"/>
          </w:tcPr>
          <w:p w14:paraId="115B894F">
            <w:pPr>
              <w:spacing w:before="102"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1.67</w:t>
            </w:r>
          </w:p>
        </w:tc>
        <w:tc>
          <w:tcPr>
            <w:tcW w:w="577" w:type="dxa"/>
            <w:vAlign w:val="top"/>
          </w:tcPr>
          <w:p w14:paraId="58C87172">
            <w:pPr>
              <w:spacing w:before="102"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1.94</w:t>
            </w:r>
          </w:p>
        </w:tc>
        <w:tc>
          <w:tcPr>
            <w:tcW w:w="541" w:type="dxa"/>
            <w:tcBorders>
              <w:right w:val="nil"/>
            </w:tcBorders>
            <w:vAlign w:val="top"/>
          </w:tcPr>
          <w:p w14:paraId="2C3FEE70">
            <w:pPr>
              <w:spacing w:before="102"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9.86</w:t>
            </w:r>
          </w:p>
        </w:tc>
      </w:tr>
      <w:tr w14:paraId="58AB8F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4575E457">
            <w:pPr>
              <w:pStyle w:val="6"/>
              <w:spacing w:before="66" w:line="216" w:lineRule="auto"/>
              <w:ind w:left="51"/>
              <w:rPr>
                <w:sz w:val="20"/>
                <w:szCs w:val="20"/>
              </w:rPr>
            </w:pPr>
            <w:r>
              <w:rPr>
                <w:spacing w:val="6"/>
                <w:sz w:val="20"/>
                <w:szCs w:val="20"/>
              </w:rPr>
              <w:t>十二月</w:t>
            </w:r>
          </w:p>
        </w:tc>
        <w:tc>
          <w:tcPr>
            <w:tcW w:w="424" w:type="dxa"/>
            <w:vAlign w:val="top"/>
          </w:tcPr>
          <w:p w14:paraId="338A56F4">
            <w:pPr>
              <w:spacing w:before="102"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1.48</w:t>
            </w:r>
          </w:p>
        </w:tc>
        <w:tc>
          <w:tcPr>
            <w:tcW w:w="496" w:type="dxa"/>
            <w:vAlign w:val="top"/>
          </w:tcPr>
          <w:p w14:paraId="01E27FB2">
            <w:pPr>
              <w:spacing w:before="102" w:line="195" w:lineRule="auto"/>
              <w:ind w:left="6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4.45</w:t>
            </w:r>
          </w:p>
        </w:tc>
        <w:tc>
          <w:tcPr>
            <w:tcW w:w="425" w:type="dxa"/>
            <w:vAlign w:val="top"/>
          </w:tcPr>
          <w:p w14:paraId="6AD096AA">
            <w:pPr>
              <w:spacing w:before="102"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7.02</w:t>
            </w:r>
          </w:p>
        </w:tc>
        <w:tc>
          <w:tcPr>
            <w:tcW w:w="472" w:type="dxa"/>
            <w:vAlign w:val="top"/>
          </w:tcPr>
          <w:p w14:paraId="6B4385F1">
            <w:pPr>
              <w:spacing w:before="102"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3.10</w:t>
            </w:r>
          </w:p>
        </w:tc>
        <w:tc>
          <w:tcPr>
            <w:tcW w:w="425" w:type="dxa"/>
            <w:vAlign w:val="top"/>
          </w:tcPr>
          <w:p w14:paraId="5C774159">
            <w:pPr>
              <w:spacing w:before="102"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3.64</w:t>
            </w:r>
          </w:p>
        </w:tc>
        <w:tc>
          <w:tcPr>
            <w:tcW w:w="430" w:type="dxa"/>
            <w:vAlign w:val="top"/>
          </w:tcPr>
          <w:p w14:paraId="24D68B75">
            <w:pPr>
              <w:spacing w:before="102"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2.56</w:t>
            </w:r>
          </w:p>
        </w:tc>
        <w:tc>
          <w:tcPr>
            <w:tcW w:w="425" w:type="dxa"/>
            <w:vAlign w:val="top"/>
          </w:tcPr>
          <w:p w14:paraId="563A2CEF">
            <w:pPr>
              <w:spacing w:before="102"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2.29</w:t>
            </w:r>
          </w:p>
        </w:tc>
        <w:tc>
          <w:tcPr>
            <w:tcW w:w="425" w:type="dxa"/>
            <w:vAlign w:val="top"/>
          </w:tcPr>
          <w:p w14:paraId="153F7B90">
            <w:pPr>
              <w:spacing w:before="102"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3.10</w:t>
            </w:r>
          </w:p>
        </w:tc>
        <w:tc>
          <w:tcPr>
            <w:tcW w:w="425" w:type="dxa"/>
            <w:vAlign w:val="top"/>
          </w:tcPr>
          <w:p w14:paraId="14A43F26">
            <w:pPr>
              <w:spacing w:before="102"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1.21</w:t>
            </w:r>
          </w:p>
        </w:tc>
        <w:tc>
          <w:tcPr>
            <w:tcW w:w="544" w:type="dxa"/>
            <w:vAlign w:val="top"/>
          </w:tcPr>
          <w:p w14:paraId="445BF712">
            <w:pPr>
              <w:spacing w:before="102"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3.91</w:t>
            </w:r>
          </w:p>
        </w:tc>
        <w:tc>
          <w:tcPr>
            <w:tcW w:w="544" w:type="dxa"/>
            <w:vAlign w:val="top"/>
          </w:tcPr>
          <w:p w14:paraId="32C6E79A">
            <w:pPr>
              <w:spacing w:before="102"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9.99</w:t>
            </w:r>
          </w:p>
        </w:tc>
        <w:tc>
          <w:tcPr>
            <w:tcW w:w="591" w:type="dxa"/>
            <w:vAlign w:val="top"/>
          </w:tcPr>
          <w:p w14:paraId="7F31825B">
            <w:pPr>
              <w:spacing w:before="102" w:line="195" w:lineRule="auto"/>
              <w:ind w:left="8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12.55</w:t>
            </w:r>
          </w:p>
        </w:tc>
        <w:tc>
          <w:tcPr>
            <w:tcW w:w="544" w:type="dxa"/>
            <w:vAlign w:val="top"/>
          </w:tcPr>
          <w:p w14:paraId="4575FC6A">
            <w:pPr>
              <w:spacing w:before="102"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11.74</w:t>
            </w:r>
          </w:p>
        </w:tc>
        <w:tc>
          <w:tcPr>
            <w:tcW w:w="630" w:type="dxa"/>
            <w:vAlign w:val="top"/>
          </w:tcPr>
          <w:p w14:paraId="65AC9980">
            <w:pPr>
              <w:spacing w:before="102"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8.10</w:t>
            </w:r>
          </w:p>
        </w:tc>
        <w:tc>
          <w:tcPr>
            <w:tcW w:w="425" w:type="dxa"/>
            <w:vAlign w:val="top"/>
          </w:tcPr>
          <w:p w14:paraId="707C8C6C">
            <w:pPr>
              <w:spacing w:before="102"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4.32</w:t>
            </w:r>
          </w:p>
        </w:tc>
        <w:tc>
          <w:tcPr>
            <w:tcW w:w="577" w:type="dxa"/>
            <w:vAlign w:val="top"/>
          </w:tcPr>
          <w:p w14:paraId="351F0FC0">
            <w:pPr>
              <w:spacing w:before="102"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0.94</w:t>
            </w:r>
          </w:p>
        </w:tc>
        <w:tc>
          <w:tcPr>
            <w:tcW w:w="541" w:type="dxa"/>
            <w:tcBorders>
              <w:right w:val="nil"/>
            </w:tcBorders>
            <w:vAlign w:val="top"/>
          </w:tcPr>
          <w:p w14:paraId="1686CB9A">
            <w:pPr>
              <w:spacing w:before="102"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19.57</w:t>
            </w:r>
          </w:p>
        </w:tc>
      </w:tr>
      <w:tr w14:paraId="20ACB2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4A9F3D31">
            <w:pPr>
              <w:pStyle w:val="6"/>
              <w:spacing w:before="68" w:line="214" w:lineRule="auto"/>
              <w:ind w:left="155"/>
              <w:rPr>
                <w:sz w:val="20"/>
                <w:szCs w:val="20"/>
              </w:rPr>
            </w:pPr>
            <w:r>
              <w:rPr>
                <w:spacing w:val="4"/>
                <w:sz w:val="20"/>
                <w:szCs w:val="20"/>
              </w:rPr>
              <w:t>全年</w:t>
            </w:r>
          </w:p>
        </w:tc>
        <w:tc>
          <w:tcPr>
            <w:tcW w:w="424" w:type="dxa"/>
            <w:vAlign w:val="top"/>
          </w:tcPr>
          <w:p w14:paraId="2C157DB4">
            <w:pPr>
              <w:spacing w:before="103"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2.26</w:t>
            </w:r>
          </w:p>
        </w:tc>
        <w:tc>
          <w:tcPr>
            <w:tcW w:w="496" w:type="dxa"/>
            <w:vAlign w:val="top"/>
          </w:tcPr>
          <w:p w14:paraId="63339DA7">
            <w:pPr>
              <w:spacing w:before="103" w:line="195" w:lineRule="auto"/>
              <w:ind w:left="6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4.13</w:t>
            </w:r>
          </w:p>
        </w:tc>
        <w:tc>
          <w:tcPr>
            <w:tcW w:w="425" w:type="dxa"/>
            <w:vAlign w:val="top"/>
          </w:tcPr>
          <w:p w14:paraId="61E7DE24">
            <w:pPr>
              <w:spacing w:before="103"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7.29</w:t>
            </w:r>
          </w:p>
        </w:tc>
        <w:tc>
          <w:tcPr>
            <w:tcW w:w="472" w:type="dxa"/>
            <w:vAlign w:val="top"/>
          </w:tcPr>
          <w:p w14:paraId="3236A31D">
            <w:pPr>
              <w:spacing w:before="103"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5.25</w:t>
            </w:r>
          </w:p>
        </w:tc>
        <w:tc>
          <w:tcPr>
            <w:tcW w:w="425" w:type="dxa"/>
            <w:vAlign w:val="top"/>
          </w:tcPr>
          <w:p w14:paraId="3BFF5E73">
            <w:pPr>
              <w:spacing w:before="103"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4.68</w:t>
            </w:r>
          </w:p>
        </w:tc>
        <w:tc>
          <w:tcPr>
            <w:tcW w:w="430" w:type="dxa"/>
            <w:vAlign w:val="top"/>
          </w:tcPr>
          <w:p w14:paraId="6D702488">
            <w:pPr>
              <w:spacing w:before="103"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4.44</w:t>
            </w:r>
          </w:p>
        </w:tc>
        <w:tc>
          <w:tcPr>
            <w:tcW w:w="425" w:type="dxa"/>
            <w:vAlign w:val="top"/>
          </w:tcPr>
          <w:p w14:paraId="5FB39131">
            <w:pPr>
              <w:spacing w:before="103"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3.61</w:t>
            </w:r>
          </w:p>
        </w:tc>
        <w:tc>
          <w:tcPr>
            <w:tcW w:w="425" w:type="dxa"/>
            <w:vAlign w:val="top"/>
          </w:tcPr>
          <w:p w14:paraId="776BDCA7">
            <w:pPr>
              <w:spacing w:before="103"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4.93</w:t>
            </w:r>
          </w:p>
        </w:tc>
        <w:tc>
          <w:tcPr>
            <w:tcW w:w="425" w:type="dxa"/>
            <w:vAlign w:val="top"/>
          </w:tcPr>
          <w:p w14:paraId="71A59B86">
            <w:pPr>
              <w:spacing w:before="103"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4.77</w:t>
            </w:r>
          </w:p>
        </w:tc>
        <w:tc>
          <w:tcPr>
            <w:tcW w:w="544" w:type="dxa"/>
            <w:vAlign w:val="top"/>
          </w:tcPr>
          <w:p w14:paraId="304D8BB2">
            <w:pPr>
              <w:spacing w:before="103" w:line="195" w:lineRule="auto"/>
              <w:ind w:left="9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8.06</w:t>
            </w:r>
          </w:p>
        </w:tc>
        <w:tc>
          <w:tcPr>
            <w:tcW w:w="544" w:type="dxa"/>
            <w:vAlign w:val="top"/>
          </w:tcPr>
          <w:p w14:paraId="64C617CE">
            <w:pPr>
              <w:spacing w:before="103"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13.</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6"/>
                <w:sz w:val="20"/>
                <w:szCs w:val="20"/>
              </w:rPr>
              <w:t>11</w:t>
            </w:r>
          </w:p>
        </w:tc>
        <w:tc>
          <w:tcPr>
            <w:tcW w:w="591" w:type="dxa"/>
            <w:vAlign w:val="top"/>
          </w:tcPr>
          <w:p w14:paraId="4FB5D7D4">
            <w:pPr>
              <w:spacing w:before="103" w:line="195" w:lineRule="auto"/>
              <w:ind w:left="11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7.16</w:t>
            </w:r>
          </w:p>
        </w:tc>
        <w:tc>
          <w:tcPr>
            <w:tcW w:w="544" w:type="dxa"/>
            <w:vAlign w:val="top"/>
          </w:tcPr>
          <w:p w14:paraId="4A2750AD">
            <w:pPr>
              <w:spacing w:before="103"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8.68</w:t>
            </w:r>
          </w:p>
        </w:tc>
        <w:tc>
          <w:tcPr>
            <w:tcW w:w="630" w:type="dxa"/>
            <w:vAlign w:val="top"/>
          </w:tcPr>
          <w:p w14:paraId="48D2C3C6">
            <w:pPr>
              <w:spacing w:before="103" w:line="195" w:lineRule="auto"/>
              <w:ind w:left="1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5.39</w:t>
            </w:r>
          </w:p>
        </w:tc>
        <w:tc>
          <w:tcPr>
            <w:tcW w:w="425" w:type="dxa"/>
            <w:vAlign w:val="top"/>
          </w:tcPr>
          <w:p w14:paraId="29451C2C">
            <w:pPr>
              <w:spacing w:before="103"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3.88</w:t>
            </w:r>
          </w:p>
        </w:tc>
        <w:tc>
          <w:tcPr>
            <w:tcW w:w="577" w:type="dxa"/>
            <w:vAlign w:val="top"/>
          </w:tcPr>
          <w:p w14:paraId="0C8DF775">
            <w:pPr>
              <w:spacing w:before="103"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1.84</w:t>
            </w:r>
          </w:p>
        </w:tc>
        <w:tc>
          <w:tcPr>
            <w:tcW w:w="541" w:type="dxa"/>
            <w:tcBorders>
              <w:right w:val="nil"/>
            </w:tcBorders>
            <w:vAlign w:val="top"/>
          </w:tcPr>
          <w:p w14:paraId="28B56A57">
            <w:pPr>
              <w:spacing w:before="103"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10.51</w:t>
            </w:r>
          </w:p>
        </w:tc>
      </w:tr>
      <w:tr w14:paraId="18E23C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7EF549BF">
            <w:pPr>
              <w:pStyle w:val="6"/>
              <w:spacing w:before="69" w:line="214" w:lineRule="auto"/>
              <w:ind w:left="155"/>
              <w:rPr>
                <w:sz w:val="20"/>
                <w:szCs w:val="20"/>
              </w:rPr>
            </w:pPr>
            <w:r>
              <w:rPr>
                <w:spacing w:val="5"/>
                <w:sz w:val="20"/>
                <w:szCs w:val="20"/>
              </w:rPr>
              <w:t>春季</w:t>
            </w:r>
          </w:p>
        </w:tc>
        <w:tc>
          <w:tcPr>
            <w:tcW w:w="424" w:type="dxa"/>
            <w:vAlign w:val="top"/>
          </w:tcPr>
          <w:p w14:paraId="7F1D1345">
            <w:pPr>
              <w:spacing w:before="105"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2.31</w:t>
            </w:r>
          </w:p>
        </w:tc>
        <w:tc>
          <w:tcPr>
            <w:tcW w:w="496" w:type="dxa"/>
            <w:vAlign w:val="top"/>
          </w:tcPr>
          <w:p w14:paraId="3E3A37ED">
            <w:pPr>
              <w:spacing w:before="105"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3.89</w:t>
            </w:r>
          </w:p>
        </w:tc>
        <w:tc>
          <w:tcPr>
            <w:tcW w:w="425" w:type="dxa"/>
            <w:vAlign w:val="top"/>
          </w:tcPr>
          <w:p w14:paraId="2CA81F13">
            <w:pPr>
              <w:spacing w:before="105"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7.65</w:t>
            </w:r>
          </w:p>
        </w:tc>
        <w:tc>
          <w:tcPr>
            <w:tcW w:w="472" w:type="dxa"/>
            <w:vAlign w:val="top"/>
          </w:tcPr>
          <w:p w14:paraId="40987261">
            <w:pPr>
              <w:spacing w:before="105"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5.93</w:t>
            </w:r>
          </w:p>
        </w:tc>
        <w:tc>
          <w:tcPr>
            <w:tcW w:w="425" w:type="dxa"/>
            <w:vAlign w:val="top"/>
          </w:tcPr>
          <w:p w14:paraId="2AAA351F">
            <w:pPr>
              <w:spacing w:before="105"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4.30</w:t>
            </w:r>
          </w:p>
        </w:tc>
        <w:tc>
          <w:tcPr>
            <w:tcW w:w="430" w:type="dxa"/>
            <w:vAlign w:val="top"/>
          </w:tcPr>
          <w:p w14:paraId="6DC2010D">
            <w:pPr>
              <w:spacing w:before="105"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425" w:type="dxa"/>
            <w:vAlign w:val="top"/>
          </w:tcPr>
          <w:p w14:paraId="07AD7A9A">
            <w:pPr>
              <w:spacing w:before="105"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4.21</w:t>
            </w:r>
          </w:p>
        </w:tc>
        <w:tc>
          <w:tcPr>
            <w:tcW w:w="425" w:type="dxa"/>
            <w:vAlign w:val="top"/>
          </w:tcPr>
          <w:p w14:paraId="1D565621">
            <w:pPr>
              <w:spacing w:before="105"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3.99</w:t>
            </w:r>
          </w:p>
        </w:tc>
        <w:tc>
          <w:tcPr>
            <w:tcW w:w="425" w:type="dxa"/>
            <w:vAlign w:val="top"/>
          </w:tcPr>
          <w:p w14:paraId="17471DE5">
            <w:pPr>
              <w:spacing w:before="105"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4.89</w:t>
            </w:r>
          </w:p>
        </w:tc>
        <w:tc>
          <w:tcPr>
            <w:tcW w:w="544" w:type="dxa"/>
            <w:vAlign w:val="top"/>
          </w:tcPr>
          <w:p w14:paraId="6990450A">
            <w:pPr>
              <w:spacing w:before="105" w:line="195" w:lineRule="auto"/>
              <w:ind w:left="98"/>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8.</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5"/>
                <w:sz w:val="20"/>
                <w:szCs w:val="20"/>
              </w:rPr>
              <w:t>11</w:t>
            </w:r>
          </w:p>
        </w:tc>
        <w:tc>
          <w:tcPr>
            <w:tcW w:w="544" w:type="dxa"/>
            <w:vAlign w:val="top"/>
          </w:tcPr>
          <w:p w14:paraId="6B98DBE7">
            <w:pPr>
              <w:spacing w:before="105"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15.22</w:t>
            </w:r>
          </w:p>
        </w:tc>
        <w:tc>
          <w:tcPr>
            <w:tcW w:w="591" w:type="dxa"/>
            <w:vAlign w:val="top"/>
          </w:tcPr>
          <w:p w14:paraId="36D64B20">
            <w:pPr>
              <w:spacing w:before="105" w:line="195" w:lineRule="auto"/>
              <w:ind w:left="11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7.02</w:t>
            </w:r>
          </w:p>
        </w:tc>
        <w:tc>
          <w:tcPr>
            <w:tcW w:w="544" w:type="dxa"/>
            <w:vAlign w:val="top"/>
          </w:tcPr>
          <w:p w14:paraId="7CD4119D">
            <w:pPr>
              <w:spacing w:before="105"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7.56</w:t>
            </w:r>
          </w:p>
        </w:tc>
        <w:tc>
          <w:tcPr>
            <w:tcW w:w="630" w:type="dxa"/>
            <w:vAlign w:val="top"/>
          </w:tcPr>
          <w:p w14:paraId="27D02788">
            <w:pPr>
              <w:spacing w:before="105"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7.34</w:t>
            </w:r>
          </w:p>
        </w:tc>
        <w:tc>
          <w:tcPr>
            <w:tcW w:w="425" w:type="dxa"/>
            <w:vAlign w:val="top"/>
          </w:tcPr>
          <w:p w14:paraId="5D88488B">
            <w:pPr>
              <w:spacing w:before="105"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577" w:type="dxa"/>
            <w:vAlign w:val="top"/>
          </w:tcPr>
          <w:p w14:paraId="6199FEE1">
            <w:pPr>
              <w:spacing w:before="105"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1.86</w:t>
            </w:r>
          </w:p>
        </w:tc>
        <w:tc>
          <w:tcPr>
            <w:tcW w:w="541" w:type="dxa"/>
            <w:tcBorders>
              <w:right w:val="nil"/>
            </w:tcBorders>
            <w:vAlign w:val="top"/>
          </w:tcPr>
          <w:p w14:paraId="2E1D95F7">
            <w:pPr>
              <w:spacing w:before="105"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7.65</w:t>
            </w:r>
          </w:p>
        </w:tc>
      </w:tr>
      <w:tr w14:paraId="5569E0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6BA8698C">
            <w:pPr>
              <w:pStyle w:val="6"/>
              <w:spacing w:before="70" w:line="212" w:lineRule="auto"/>
              <w:ind w:left="155"/>
              <w:rPr>
                <w:sz w:val="20"/>
                <w:szCs w:val="20"/>
              </w:rPr>
            </w:pPr>
            <w:r>
              <w:rPr>
                <w:spacing w:val="4"/>
                <w:sz w:val="20"/>
                <w:szCs w:val="20"/>
              </w:rPr>
              <w:t>夏季</w:t>
            </w:r>
          </w:p>
        </w:tc>
        <w:tc>
          <w:tcPr>
            <w:tcW w:w="424" w:type="dxa"/>
            <w:vAlign w:val="top"/>
          </w:tcPr>
          <w:p w14:paraId="733A21B0">
            <w:pPr>
              <w:spacing w:before="106"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1.18</w:t>
            </w:r>
          </w:p>
        </w:tc>
        <w:tc>
          <w:tcPr>
            <w:tcW w:w="496" w:type="dxa"/>
            <w:vAlign w:val="top"/>
          </w:tcPr>
          <w:p w14:paraId="75DFE8EB">
            <w:pPr>
              <w:spacing w:before="106"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3.94</w:t>
            </w:r>
          </w:p>
        </w:tc>
        <w:tc>
          <w:tcPr>
            <w:tcW w:w="425" w:type="dxa"/>
            <w:vAlign w:val="top"/>
          </w:tcPr>
          <w:p w14:paraId="30D09008">
            <w:pPr>
              <w:spacing w:before="106"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5.39</w:t>
            </w:r>
          </w:p>
        </w:tc>
        <w:tc>
          <w:tcPr>
            <w:tcW w:w="472" w:type="dxa"/>
            <w:vAlign w:val="top"/>
          </w:tcPr>
          <w:p w14:paraId="478D5F0B">
            <w:pPr>
              <w:spacing w:before="109" w:line="192"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5.57</w:t>
            </w:r>
          </w:p>
        </w:tc>
        <w:tc>
          <w:tcPr>
            <w:tcW w:w="425" w:type="dxa"/>
            <w:vAlign w:val="top"/>
          </w:tcPr>
          <w:p w14:paraId="07CFF9DD">
            <w:pPr>
              <w:spacing w:before="106"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12</w:t>
            </w:r>
          </w:p>
        </w:tc>
        <w:tc>
          <w:tcPr>
            <w:tcW w:w="430" w:type="dxa"/>
            <w:vAlign w:val="top"/>
          </w:tcPr>
          <w:p w14:paraId="17B60FB0">
            <w:pPr>
              <w:spacing w:before="106"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4.48</w:t>
            </w:r>
          </w:p>
        </w:tc>
        <w:tc>
          <w:tcPr>
            <w:tcW w:w="425" w:type="dxa"/>
            <w:vAlign w:val="top"/>
          </w:tcPr>
          <w:p w14:paraId="37DC2564">
            <w:pPr>
              <w:spacing w:before="106"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4.57</w:t>
            </w:r>
          </w:p>
        </w:tc>
        <w:tc>
          <w:tcPr>
            <w:tcW w:w="425" w:type="dxa"/>
            <w:vAlign w:val="top"/>
          </w:tcPr>
          <w:p w14:paraId="1FF653C1">
            <w:pPr>
              <w:spacing w:before="106"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6.61</w:t>
            </w:r>
          </w:p>
        </w:tc>
        <w:tc>
          <w:tcPr>
            <w:tcW w:w="425" w:type="dxa"/>
            <w:vAlign w:val="top"/>
          </w:tcPr>
          <w:p w14:paraId="62102040">
            <w:pPr>
              <w:spacing w:before="106"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5.98</w:t>
            </w:r>
          </w:p>
        </w:tc>
        <w:tc>
          <w:tcPr>
            <w:tcW w:w="544" w:type="dxa"/>
            <w:vAlign w:val="top"/>
          </w:tcPr>
          <w:p w14:paraId="5111936B">
            <w:pPr>
              <w:spacing w:before="106"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11.82</w:t>
            </w:r>
          </w:p>
        </w:tc>
        <w:tc>
          <w:tcPr>
            <w:tcW w:w="544" w:type="dxa"/>
            <w:vAlign w:val="top"/>
          </w:tcPr>
          <w:p w14:paraId="1DD6B0ED">
            <w:pPr>
              <w:spacing w:before="106"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11.59</w:t>
            </w:r>
          </w:p>
        </w:tc>
        <w:tc>
          <w:tcPr>
            <w:tcW w:w="591" w:type="dxa"/>
            <w:vAlign w:val="top"/>
          </w:tcPr>
          <w:p w14:paraId="5965CED4">
            <w:pPr>
              <w:spacing w:before="109" w:line="192" w:lineRule="auto"/>
              <w:ind w:left="1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5.75</w:t>
            </w:r>
          </w:p>
        </w:tc>
        <w:tc>
          <w:tcPr>
            <w:tcW w:w="544" w:type="dxa"/>
            <w:vAlign w:val="top"/>
          </w:tcPr>
          <w:p w14:paraId="4C1F43EB">
            <w:pPr>
              <w:spacing w:before="106"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6.97</w:t>
            </w:r>
          </w:p>
        </w:tc>
        <w:tc>
          <w:tcPr>
            <w:tcW w:w="630" w:type="dxa"/>
            <w:vAlign w:val="top"/>
          </w:tcPr>
          <w:p w14:paraId="4D3185C9">
            <w:pPr>
              <w:spacing w:before="106"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3.99</w:t>
            </w:r>
          </w:p>
        </w:tc>
        <w:tc>
          <w:tcPr>
            <w:tcW w:w="425" w:type="dxa"/>
            <w:vAlign w:val="top"/>
          </w:tcPr>
          <w:p w14:paraId="4099C0CF">
            <w:pPr>
              <w:spacing w:before="109" w:line="192"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5.75</w:t>
            </w:r>
          </w:p>
        </w:tc>
        <w:tc>
          <w:tcPr>
            <w:tcW w:w="577" w:type="dxa"/>
            <w:vAlign w:val="top"/>
          </w:tcPr>
          <w:p w14:paraId="4D0516D7">
            <w:pPr>
              <w:spacing w:before="106" w:line="195" w:lineRule="auto"/>
              <w:ind w:left="1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3.31</w:t>
            </w:r>
          </w:p>
        </w:tc>
        <w:tc>
          <w:tcPr>
            <w:tcW w:w="541" w:type="dxa"/>
            <w:tcBorders>
              <w:right w:val="nil"/>
            </w:tcBorders>
            <w:vAlign w:val="top"/>
          </w:tcPr>
          <w:p w14:paraId="45BBB603">
            <w:pPr>
              <w:spacing w:before="106"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7.97</w:t>
            </w:r>
          </w:p>
        </w:tc>
      </w:tr>
      <w:tr w14:paraId="67B839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124FB653">
            <w:pPr>
              <w:pStyle w:val="6"/>
              <w:spacing w:before="72" w:line="211" w:lineRule="auto"/>
              <w:ind w:left="157"/>
              <w:rPr>
                <w:sz w:val="20"/>
                <w:szCs w:val="20"/>
              </w:rPr>
            </w:pPr>
            <w:r>
              <w:rPr>
                <w:spacing w:val="3"/>
                <w:sz w:val="20"/>
                <w:szCs w:val="20"/>
              </w:rPr>
              <w:t>秋季</w:t>
            </w:r>
          </w:p>
        </w:tc>
        <w:tc>
          <w:tcPr>
            <w:tcW w:w="424" w:type="dxa"/>
            <w:vAlign w:val="top"/>
          </w:tcPr>
          <w:p w14:paraId="11983083">
            <w:pPr>
              <w:spacing w:before="108"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2.01</w:t>
            </w:r>
          </w:p>
        </w:tc>
        <w:tc>
          <w:tcPr>
            <w:tcW w:w="496" w:type="dxa"/>
            <w:vAlign w:val="top"/>
          </w:tcPr>
          <w:p w14:paraId="4649599A">
            <w:pPr>
              <w:spacing w:before="108"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3.30</w:t>
            </w:r>
          </w:p>
        </w:tc>
        <w:tc>
          <w:tcPr>
            <w:tcW w:w="425" w:type="dxa"/>
            <w:vAlign w:val="top"/>
          </w:tcPr>
          <w:p w14:paraId="68CC5897">
            <w:pPr>
              <w:spacing w:before="108"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7.88</w:t>
            </w:r>
          </w:p>
        </w:tc>
        <w:tc>
          <w:tcPr>
            <w:tcW w:w="472" w:type="dxa"/>
            <w:vAlign w:val="top"/>
          </w:tcPr>
          <w:p w14:paraId="05239968">
            <w:pPr>
              <w:spacing w:before="108"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5.22</w:t>
            </w:r>
          </w:p>
        </w:tc>
        <w:tc>
          <w:tcPr>
            <w:tcW w:w="425" w:type="dxa"/>
            <w:vAlign w:val="top"/>
          </w:tcPr>
          <w:p w14:paraId="0E3BA30F">
            <w:pPr>
              <w:spacing w:before="108"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4.95</w:t>
            </w:r>
          </w:p>
        </w:tc>
        <w:tc>
          <w:tcPr>
            <w:tcW w:w="430" w:type="dxa"/>
            <w:vAlign w:val="top"/>
          </w:tcPr>
          <w:p w14:paraId="7761E04A">
            <w:pPr>
              <w:spacing w:before="108"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5.13</w:t>
            </w:r>
          </w:p>
        </w:tc>
        <w:tc>
          <w:tcPr>
            <w:tcW w:w="425" w:type="dxa"/>
            <w:vAlign w:val="top"/>
          </w:tcPr>
          <w:p w14:paraId="0D16FEDC">
            <w:pPr>
              <w:spacing w:before="108"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3.43</w:t>
            </w:r>
          </w:p>
        </w:tc>
        <w:tc>
          <w:tcPr>
            <w:tcW w:w="425" w:type="dxa"/>
            <w:vAlign w:val="top"/>
          </w:tcPr>
          <w:p w14:paraId="17EAC9EE">
            <w:pPr>
              <w:spacing w:before="108"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4.95</w:t>
            </w:r>
          </w:p>
        </w:tc>
        <w:tc>
          <w:tcPr>
            <w:tcW w:w="425" w:type="dxa"/>
            <w:vAlign w:val="top"/>
          </w:tcPr>
          <w:p w14:paraId="35DDE6E2">
            <w:pPr>
              <w:spacing w:before="108"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5.17</w:t>
            </w:r>
          </w:p>
        </w:tc>
        <w:tc>
          <w:tcPr>
            <w:tcW w:w="544" w:type="dxa"/>
            <w:vAlign w:val="top"/>
          </w:tcPr>
          <w:p w14:paraId="47F92169">
            <w:pPr>
              <w:spacing w:before="108"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7.42</w:t>
            </w:r>
          </w:p>
        </w:tc>
        <w:tc>
          <w:tcPr>
            <w:tcW w:w="544" w:type="dxa"/>
            <w:vAlign w:val="top"/>
          </w:tcPr>
          <w:p w14:paraId="1B02803E">
            <w:pPr>
              <w:spacing w:before="108"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15.</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6"/>
                <w:sz w:val="20"/>
                <w:szCs w:val="20"/>
              </w:rPr>
              <w:t>11</w:t>
            </w:r>
          </w:p>
        </w:tc>
        <w:tc>
          <w:tcPr>
            <w:tcW w:w="591" w:type="dxa"/>
            <w:vAlign w:val="top"/>
          </w:tcPr>
          <w:p w14:paraId="4FD64F40">
            <w:pPr>
              <w:spacing w:before="108" w:line="195" w:lineRule="auto"/>
              <w:ind w:left="1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8.06</w:t>
            </w:r>
          </w:p>
        </w:tc>
        <w:tc>
          <w:tcPr>
            <w:tcW w:w="544" w:type="dxa"/>
            <w:vAlign w:val="top"/>
          </w:tcPr>
          <w:p w14:paraId="79CD2561">
            <w:pPr>
              <w:spacing w:before="108"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8.47</w:t>
            </w:r>
          </w:p>
        </w:tc>
        <w:tc>
          <w:tcPr>
            <w:tcW w:w="630" w:type="dxa"/>
            <w:vAlign w:val="top"/>
          </w:tcPr>
          <w:p w14:paraId="24AF521D">
            <w:pPr>
              <w:spacing w:before="108"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4.21</w:t>
            </w:r>
          </w:p>
        </w:tc>
        <w:tc>
          <w:tcPr>
            <w:tcW w:w="425" w:type="dxa"/>
            <w:vAlign w:val="top"/>
          </w:tcPr>
          <w:p w14:paraId="3ECB5BFC">
            <w:pPr>
              <w:spacing w:before="108"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2.98</w:t>
            </w:r>
          </w:p>
        </w:tc>
        <w:tc>
          <w:tcPr>
            <w:tcW w:w="577" w:type="dxa"/>
            <w:vAlign w:val="top"/>
          </w:tcPr>
          <w:p w14:paraId="14F3E441">
            <w:pPr>
              <w:spacing w:before="108"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1.37</w:t>
            </w:r>
          </w:p>
        </w:tc>
        <w:tc>
          <w:tcPr>
            <w:tcW w:w="541" w:type="dxa"/>
            <w:tcBorders>
              <w:right w:val="nil"/>
            </w:tcBorders>
            <w:vAlign w:val="top"/>
          </w:tcPr>
          <w:p w14:paraId="47D4DA85">
            <w:pPr>
              <w:spacing w:before="108"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10.35</w:t>
            </w:r>
          </w:p>
        </w:tc>
      </w:tr>
      <w:tr w14:paraId="052D37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718" w:type="dxa"/>
            <w:tcBorders>
              <w:left w:val="nil"/>
              <w:bottom w:val="single" w:color="000000" w:sz="10" w:space="0"/>
            </w:tcBorders>
            <w:vAlign w:val="top"/>
          </w:tcPr>
          <w:p w14:paraId="6840069C">
            <w:pPr>
              <w:pStyle w:val="6"/>
              <w:spacing w:before="72" w:line="228" w:lineRule="auto"/>
              <w:ind w:left="160"/>
              <w:rPr>
                <w:sz w:val="20"/>
                <w:szCs w:val="20"/>
              </w:rPr>
            </w:pPr>
            <w:r>
              <w:rPr>
                <w:spacing w:val="2"/>
                <w:sz w:val="20"/>
                <w:szCs w:val="20"/>
              </w:rPr>
              <w:t>冬季</w:t>
            </w:r>
          </w:p>
        </w:tc>
        <w:tc>
          <w:tcPr>
            <w:tcW w:w="424" w:type="dxa"/>
            <w:tcBorders>
              <w:bottom w:val="single" w:color="000000" w:sz="10" w:space="0"/>
            </w:tcBorders>
            <w:vAlign w:val="top"/>
          </w:tcPr>
          <w:p w14:paraId="3A770808">
            <w:pPr>
              <w:spacing w:before="108"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3.57</w:t>
            </w:r>
          </w:p>
        </w:tc>
        <w:tc>
          <w:tcPr>
            <w:tcW w:w="496" w:type="dxa"/>
            <w:tcBorders>
              <w:bottom w:val="single" w:color="000000" w:sz="10" w:space="0"/>
            </w:tcBorders>
            <w:vAlign w:val="top"/>
          </w:tcPr>
          <w:p w14:paraId="21B64BD0">
            <w:pPr>
              <w:spacing w:before="108" w:line="195" w:lineRule="auto"/>
              <w:ind w:left="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5.42</w:t>
            </w:r>
          </w:p>
        </w:tc>
        <w:tc>
          <w:tcPr>
            <w:tcW w:w="425" w:type="dxa"/>
            <w:tcBorders>
              <w:bottom w:val="single" w:color="000000" w:sz="10" w:space="0"/>
            </w:tcBorders>
            <w:vAlign w:val="top"/>
          </w:tcPr>
          <w:p w14:paraId="2BAE4976">
            <w:pPr>
              <w:spacing w:before="108" w:line="195" w:lineRule="auto"/>
              <w:ind w:left="39"/>
              <w:rPr>
                <w:rFonts w:ascii="Times New Roman" w:hAnsi="Times New Roman" w:eastAsia="Times New Roman" w:cs="Times New Roman"/>
                <w:sz w:val="20"/>
                <w:szCs w:val="20"/>
              </w:rPr>
            </w:pPr>
            <w:r>
              <w:rPr>
                <w:rFonts w:ascii="Times New Roman" w:hAnsi="Times New Roman" w:eastAsia="Times New Roman" w:cs="Times New Roman"/>
                <w:sz w:val="20"/>
                <w:szCs w:val="20"/>
              </w:rPr>
              <w:t>8.25</w:t>
            </w:r>
          </w:p>
        </w:tc>
        <w:tc>
          <w:tcPr>
            <w:tcW w:w="472" w:type="dxa"/>
            <w:tcBorders>
              <w:bottom w:val="single" w:color="000000" w:sz="10" w:space="0"/>
            </w:tcBorders>
            <w:vAlign w:val="top"/>
          </w:tcPr>
          <w:p w14:paraId="66FCDE8A">
            <w:pPr>
              <w:spacing w:before="108" w:line="195" w:lineRule="auto"/>
              <w:ind w:left="5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4.27</w:t>
            </w:r>
          </w:p>
        </w:tc>
        <w:tc>
          <w:tcPr>
            <w:tcW w:w="425" w:type="dxa"/>
            <w:tcBorders>
              <w:bottom w:val="single" w:color="000000" w:sz="10" w:space="0"/>
            </w:tcBorders>
            <w:vAlign w:val="top"/>
          </w:tcPr>
          <w:p w14:paraId="17EA95B4">
            <w:pPr>
              <w:spacing w:before="108"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4.36</w:t>
            </w:r>
          </w:p>
        </w:tc>
        <w:tc>
          <w:tcPr>
            <w:tcW w:w="430" w:type="dxa"/>
            <w:tcBorders>
              <w:bottom w:val="single" w:color="000000" w:sz="10" w:space="0"/>
            </w:tcBorders>
            <w:vAlign w:val="top"/>
          </w:tcPr>
          <w:p w14:paraId="2335999D">
            <w:pPr>
              <w:spacing w:before="108"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4.13</w:t>
            </w:r>
          </w:p>
        </w:tc>
        <w:tc>
          <w:tcPr>
            <w:tcW w:w="425" w:type="dxa"/>
            <w:tcBorders>
              <w:bottom w:val="single" w:color="000000" w:sz="10" w:space="0"/>
            </w:tcBorders>
            <w:vAlign w:val="top"/>
          </w:tcPr>
          <w:p w14:paraId="2C4ABB9B">
            <w:pPr>
              <w:spacing w:before="108"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2.18</w:t>
            </w:r>
          </w:p>
        </w:tc>
        <w:tc>
          <w:tcPr>
            <w:tcW w:w="425" w:type="dxa"/>
            <w:tcBorders>
              <w:bottom w:val="single" w:color="000000" w:sz="10" w:space="0"/>
            </w:tcBorders>
            <w:vAlign w:val="top"/>
          </w:tcPr>
          <w:p w14:paraId="777681B3">
            <w:pPr>
              <w:spacing w:before="108"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25" w:type="dxa"/>
            <w:tcBorders>
              <w:bottom w:val="single" w:color="000000" w:sz="10" w:space="0"/>
            </w:tcBorders>
            <w:vAlign w:val="top"/>
          </w:tcPr>
          <w:p w14:paraId="3F9A325D">
            <w:pPr>
              <w:spacing w:before="108"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3.01</w:t>
            </w:r>
          </w:p>
        </w:tc>
        <w:tc>
          <w:tcPr>
            <w:tcW w:w="544" w:type="dxa"/>
            <w:tcBorders>
              <w:bottom w:val="single" w:color="000000" w:sz="10" w:space="0"/>
            </w:tcBorders>
            <w:vAlign w:val="top"/>
          </w:tcPr>
          <w:p w14:paraId="15A0CF85">
            <w:pPr>
              <w:spacing w:before="108"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4.82</w:t>
            </w:r>
          </w:p>
        </w:tc>
        <w:tc>
          <w:tcPr>
            <w:tcW w:w="544" w:type="dxa"/>
            <w:tcBorders>
              <w:bottom w:val="single" w:color="000000" w:sz="10" w:space="0"/>
            </w:tcBorders>
            <w:vAlign w:val="top"/>
          </w:tcPr>
          <w:p w14:paraId="7B6CEAEE">
            <w:pPr>
              <w:spacing w:before="108"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10.48</w:t>
            </w:r>
          </w:p>
        </w:tc>
        <w:tc>
          <w:tcPr>
            <w:tcW w:w="591" w:type="dxa"/>
            <w:tcBorders>
              <w:bottom w:val="single" w:color="000000" w:sz="10" w:space="0"/>
            </w:tcBorders>
            <w:vAlign w:val="top"/>
          </w:tcPr>
          <w:p w14:paraId="73A52F4D">
            <w:pPr>
              <w:spacing w:before="108" w:line="195" w:lineRule="auto"/>
              <w:ind w:left="11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7.83</w:t>
            </w:r>
          </w:p>
        </w:tc>
        <w:tc>
          <w:tcPr>
            <w:tcW w:w="544" w:type="dxa"/>
            <w:tcBorders>
              <w:bottom w:val="single" w:color="000000" w:sz="10" w:space="0"/>
            </w:tcBorders>
            <w:vAlign w:val="top"/>
          </w:tcPr>
          <w:p w14:paraId="19C1901E">
            <w:pPr>
              <w:spacing w:before="108"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11.78</w:t>
            </w:r>
          </w:p>
        </w:tc>
        <w:tc>
          <w:tcPr>
            <w:tcW w:w="630" w:type="dxa"/>
            <w:tcBorders>
              <w:bottom w:val="single" w:color="000000" w:sz="10" w:space="0"/>
            </w:tcBorders>
            <w:vAlign w:val="top"/>
          </w:tcPr>
          <w:p w14:paraId="6FA3EC06">
            <w:pPr>
              <w:spacing w:before="108"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6.03</w:t>
            </w:r>
          </w:p>
        </w:tc>
        <w:tc>
          <w:tcPr>
            <w:tcW w:w="425" w:type="dxa"/>
            <w:tcBorders>
              <w:bottom w:val="single" w:color="000000" w:sz="10" w:space="0"/>
            </w:tcBorders>
            <w:vAlign w:val="top"/>
          </w:tcPr>
          <w:p w14:paraId="362C9AA4">
            <w:pPr>
              <w:spacing w:before="108"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2.74</w:t>
            </w:r>
          </w:p>
        </w:tc>
        <w:tc>
          <w:tcPr>
            <w:tcW w:w="577" w:type="dxa"/>
            <w:tcBorders>
              <w:bottom w:val="single" w:color="000000" w:sz="10" w:space="0"/>
            </w:tcBorders>
            <w:vAlign w:val="top"/>
          </w:tcPr>
          <w:p w14:paraId="4F0AAD36">
            <w:pPr>
              <w:spacing w:before="108"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0.79</w:t>
            </w:r>
          </w:p>
        </w:tc>
        <w:tc>
          <w:tcPr>
            <w:tcW w:w="541" w:type="dxa"/>
            <w:tcBorders>
              <w:bottom w:val="single" w:color="000000" w:sz="10" w:space="0"/>
              <w:right w:val="nil"/>
            </w:tcBorders>
            <w:vAlign w:val="top"/>
          </w:tcPr>
          <w:p w14:paraId="1F981258">
            <w:pPr>
              <w:spacing w:before="108"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16.18</w:t>
            </w:r>
          </w:p>
        </w:tc>
      </w:tr>
    </w:tbl>
    <w:p w14:paraId="1122C7A9">
      <w:pPr>
        <w:spacing w:before="116"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）苏尼特右旗</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 xml:space="preserve">2023 </w:t>
      </w:r>
      <w:r>
        <w:rPr>
          <w:rFonts w:ascii="宋体" w:hAnsi="宋体" w:eastAsia="宋体" w:cs="宋体"/>
          <w:spacing w:val="-1"/>
          <w:sz w:val="24"/>
          <w:szCs w:val="24"/>
        </w:rPr>
        <w:t>年地面气象观测数据风速统计</w:t>
      </w:r>
    </w:p>
    <w:p w14:paraId="635F0C63">
      <w:pPr>
        <w:spacing w:before="183" w:line="219" w:lineRule="auto"/>
        <w:ind w:left="493"/>
        <w:rPr>
          <w:rFonts w:ascii="宋体" w:hAnsi="宋体" w:eastAsia="宋体" w:cs="宋体"/>
          <w:sz w:val="24"/>
          <w:szCs w:val="24"/>
        </w:rPr>
      </w:pPr>
      <w:r>
        <w:rPr>
          <w:rFonts w:ascii="宋体" w:hAnsi="宋体" w:eastAsia="宋体" w:cs="宋体"/>
          <w:spacing w:val="-1"/>
          <w:sz w:val="24"/>
          <w:szCs w:val="24"/>
        </w:rPr>
        <w:t>苏尼特右旗</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 xml:space="preserve">2023 </w:t>
      </w:r>
      <w:r>
        <w:rPr>
          <w:rFonts w:ascii="宋体" w:hAnsi="宋体" w:eastAsia="宋体" w:cs="宋体"/>
          <w:spacing w:val="-1"/>
          <w:sz w:val="24"/>
          <w:szCs w:val="24"/>
        </w:rPr>
        <w:t>年地面气象观测数据风速变化统计详见表</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4.1-8</w:t>
      </w:r>
      <w:r>
        <w:rPr>
          <w:rFonts w:ascii="宋体" w:hAnsi="宋体" w:eastAsia="宋体" w:cs="宋体"/>
          <w:spacing w:val="-1"/>
          <w:sz w:val="24"/>
          <w:szCs w:val="24"/>
        </w:rPr>
        <w:t>。</w:t>
      </w:r>
    </w:p>
    <w:p w14:paraId="284673F2">
      <w:pPr>
        <w:spacing w:before="197" w:line="228" w:lineRule="auto"/>
        <w:ind w:left="1453"/>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5"/>
          <w:sz w:val="20"/>
          <w:szCs w:val="20"/>
        </w:rPr>
        <w:t xml:space="preserve">4.1-8        </w:t>
      </w:r>
      <w:r>
        <w:rPr>
          <w:rFonts w:ascii="宋体" w:hAnsi="宋体" w:eastAsia="宋体" w:cs="宋体"/>
          <w:b/>
          <w:bCs/>
          <w:spacing w:val="5"/>
          <w:sz w:val="20"/>
          <w:szCs w:val="20"/>
        </w:rPr>
        <w:t>苏尼特右旗</w:t>
      </w:r>
      <w:r>
        <w:rPr>
          <w:rFonts w:ascii="宋体" w:hAnsi="宋体" w:eastAsia="宋体" w:cs="宋体"/>
          <w:spacing w:val="-39"/>
          <w:sz w:val="20"/>
          <w:szCs w:val="20"/>
        </w:rPr>
        <w:t xml:space="preserve"> </w:t>
      </w:r>
      <w:r>
        <w:rPr>
          <w:rFonts w:ascii="Times New Roman" w:hAnsi="Times New Roman" w:eastAsia="Times New Roman" w:cs="Times New Roman"/>
          <w:b/>
          <w:bCs/>
          <w:spacing w:val="5"/>
          <w:sz w:val="20"/>
          <w:szCs w:val="20"/>
        </w:rPr>
        <w:t xml:space="preserve">2023 </w:t>
      </w:r>
      <w:r>
        <w:rPr>
          <w:rFonts w:ascii="宋体" w:hAnsi="宋体" w:eastAsia="宋体" w:cs="宋体"/>
          <w:b/>
          <w:bCs/>
          <w:spacing w:val="5"/>
          <w:sz w:val="20"/>
          <w:szCs w:val="20"/>
        </w:rPr>
        <w:t>年气象</w:t>
      </w:r>
      <w:r>
        <w:rPr>
          <w:rFonts w:ascii="宋体" w:hAnsi="宋体" w:eastAsia="宋体" w:cs="宋体"/>
          <w:b/>
          <w:bCs/>
          <w:spacing w:val="4"/>
          <w:sz w:val="20"/>
          <w:szCs w:val="20"/>
        </w:rPr>
        <w:t>观测站风速（</w:t>
      </w:r>
      <w:r>
        <w:rPr>
          <w:rFonts w:ascii="宋体" w:hAnsi="宋体" w:eastAsia="宋体" w:cs="宋体"/>
          <w:spacing w:val="-60"/>
          <w:sz w:val="20"/>
          <w:szCs w:val="20"/>
        </w:rPr>
        <w:t xml:space="preserve"> </w:t>
      </w:r>
      <w:r>
        <w:rPr>
          <w:rFonts w:ascii="Times New Roman" w:hAnsi="Times New Roman" w:eastAsia="Times New Roman" w:cs="Times New Roman"/>
          <w:b/>
          <w:bCs/>
          <w:spacing w:val="4"/>
          <w:sz w:val="20"/>
          <w:szCs w:val="20"/>
        </w:rPr>
        <w:t>m/s</w:t>
      </w:r>
      <w:r>
        <w:rPr>
          <w:rFonts w:ascii="宋体" w:hAnsi="宋体" w:eastAsia="宋体" w:cs="宋体"/>
          <w:b/>
          <w:bCs/>
          <w:spacing w:val="4"/>
          <w:sz w:val="20"/>
          <w:szCs w:val="20"/>
        </w:rPr>
        <w:t>）变化统计表</w:t>
      </w:r>
    </w:p>
    <w:p w14:paraId="02329E22">
      <w:pPr>
        <w:spacing w:line="93"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4"/>
        <w:gridCol w:w="476"/>
        <w:gridCol w:w="481"/>
        <w:gridCol w:w="481"/>
        <w:gridCol w:w="481"/>
        <w:gridCol w:w="481"/>
        <w:gridCol w:w="481"/>
        <w:gridCol w:w="481"/>
        <w:gridCol w:w="481"/>
        <w:gridCol w:w="481"/>
        <w:gridCol w:w="481"/>
        <w:gridCol w:w="481"/>
        <w:gridCol w:w="554"/>
        <w:gridCol w:w="481"/>
        <w:gridCol w:w="592"/>
        <w:gridCol w:w="481"/>
        <w:gridCol w:w="541"/>
        <w:gridCol w:w="463"/>
      </w:tblGrid>
      <w:tr w14:paraId="681D52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674" w:type="dxa"/>
            <w:tcBorders>
              <w:top w:val="single" w:color="000000" w:sz="10" w:space="0"/>
              <w:left w:val="nil"/>
            </w:tcBorders>
            <w:vAlign w:val="top"/>
          </w:tcPr>
          <w:p w14:paraId="41FBF9B1">
            <w:pPr>
              <w:pStyle w:val="6"/>
              <w:spacing w:before="55" w:line="228" w:lineRule="auto"/>
              <w:ind w:left="139"/>
              <w:rPr>
                <w:sz w:val="20"/>
                <w:szCs w:val="20"/>
              </w:rPr>
            </w:pPr>
            <w:r>
              <w:rPr>
                <w:spacing w:val="2"/>
                <w:sz w:val="20"/>
                <w:szCs w:val="20"/>
              </w:rPr>
              <w:t>月份</w:t>
            </w:r>
          </w:p>
        </w:tc>
        <w:tc>
          <w:tcPr>
            <w:tcW w:w="476" w:type="dxa"/>
            <w:tcBorders>
              <w:top w:val="single" w:color="000000" w:sz="10" w:space="0"/>
            </w:tcBorders>
            <w:vAlign w:val="top"/>
          </w:tcPr>
          <w:p w14:paraId="5528EFC8">
            <w:pPr>
              <w:spacing w:before="94" w:line="192" w:lineRule="auto"/>
              <w:ind w:left="15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t>
            </w:r>
          </w:p>
        </w:tc>
        <w:tc>
          <w:tcPr>
            <w:tcW w:w="481" w:type="dxa"/>
            <w:tcBorders>
              <w:top w:val="single" w:color="000000" w:sz="10" w:space="0"/>
            </w:tcBorders>
            <w:vAlign w:val="top"/>
          </w:tcPr>
          <w:p w14:paraId="21BFE90A">
            <w:pPr>
              <w:spacing w:before="94" w:line="192" w:lineRule="auto"/>
              <w:ind w:left="19"/>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NNE</w:t>
            </w:r>
          </w:p>
        </w:tc>
        <w:tc>
          <w:tcPr>
            <w:tcW w:w="481" w:type="dxa"/>
            <w:tcBorders>
              <w:top w:val="single" w:color="000000" w:sz="10" w:space="0"/>
            </w:tcBorders>
            <w:vAlign w:val="top"/>
          </w:tcPr>
          <w:p w14:paraId="7B8F5878">
            <w:pPr>
              <w:spacing w:before="94" w:line="192" w:lineRule="auto"/>
              <w:ind w:left="95"/>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NE</w:t>
            </w:r>
          </w:p>
        </w:tc>
        <w:tc>
          <w:tcPr>
            <w:tcW w:w="481" w:type="dxa"/>
            <w:tcBorders>
              <w:top w:val="single" w:color="000000" w:sz="10" w:space="0"/>
            </w:tcBorders>
            <w:vAlign w:val="top"/>
          </w:tcPr>
          <w:p w14:paraId="71F68DA7">
            <w:pPr>
              <w:spacing w:before="94" w:line="192"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ENE</w:t>
            </w:r>
          </w:p>
        </w:tc>
        <w:tc>
          <w:tcPr>
            <w:tcW w:w="481" w:type="dxa"/>
            <w:tcBorders>
              <w:top w:val="single" w:color="000000" w:sz="10" w:space="0"/>
            </w:tcBorders>
            <w:vAlign w:val="top"/>
          </w:tcPr>
          <w:p w14:paraId="1803C067">
            <w:pPr>
              <w:spacing w:before="94" w:line="192" w:lineRule="auto"/>
              <w:ind w:left="177"/>
              <w:rPr>
                <w:rFonts w:ascii="Times New Roman" w:hAnsi="Times New Roman" w:eastAsia="Times New Roman" w:cs="Times New Roman"/>
                <w:sz w:val="20"/>
                <w:szCs w:val="20"/>
              </w:rPr>
            </w:pPr>
            <w:r>
              <w:rPr>
                <w:rFonts w:ascii="Times New Roman" w:hAnsi="Times New Roman" w:eastAsia="Times New Roman" w:cs="Times New Roman"/>
                <w:sz w:val="20"/>
                <w:szCs w:val="20"/>
              </w:rPr>
              <w:t>E</w:t>
            </w:r>
          </w:p>
        </w:tc>
        <w:tc>
          <w:tcPr>
            <w:tcW w:w="481" w:type="dxa"/>
            <w:tcBorders>
              <w:top w:val="single" w:color="000000" w:sz="10" w:space="0"/>
            </w:tcBorders>
            <w:vAlign w:val="top"/>
          </w:tcPr>
          <w:p w14:paraId="13AF0724">
            <w:pPr>
              <w:spacing w:before="91"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ESE</w:t>
            </w:r>
          </w:p>
        </w:tc>
        <w:tc>
          <w:tcPr>
            <w:tcW w:w="481" w:type="dxa"/>
            <w:tcBorders>
              <w:top w:val="single" w:color="000000" w:sz="10" w:space="0"/>
            </w:tcBorders>
            <w:vAlign w:val="top"/>
          </w:tcPr>
          <w:p w14:paraId="4452DE77">
            <w:pPr>
              <w:spacing w:before="91"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SE</w:t>
            </w:r>
          </w:p>
        </w:tc>
        <w:tc>
          <w:tcPr>
            <w:tcW w:w="481" w:type="dxa"/>
            <w:tcBorders>
              <w:top w:val="single" w:color="000000" w:sz="10" w:space="0"/>
            </w:tcBorders>
            <w:vAlign w:val="top"/>
          </w:tcPr>
          <w:p w14:paraId="6C2C8211">
            <w:pPr>
              <w:spacing w:before="91" w:line="195" w:lineRule="auto"/>
              <w:ind w:left="70"/>
              <w:rPr>
                <w:rFonts w:ascii="Times New Roman" w:hAnsi="Times New Roman" w:eastAsia="Times New Roman" w:cs="Times New Roman"/>
                <w:sz w:val="20"/>
                <w:szCs w:val="20"/>
              </w:rPr>
            </w:pPr>
            <w:r>
              <w:rPr>
                <w:rFonts w:ascii="Times New Roman" w:hAnsi="Times New Roman" w:eastAsia="Times New Roman" w:cs="Times New Roman"/>
                <w:sz w:val="20"/>
                <w:szCs w:val="20"/>
              </w:rPr>
              <w:t>SSE</w:t>
            </w:r>
          </w:p>
        </w:tc>
        <w:tc>
          <w:tcPr>
            <w:tcW w:w="481" w:type="dxa"/>
            <w:tcBorders>
              <w:top w:val="single" w:color="000000" w:sz="10" w:space="0"/>
            </w:tcBorders>
            <w:vAlign w:val="top"/>
          </w:tcPr>
          <w:p w14:paraId="5BDF1D19">
            <w:pPr>
              <w:spacing w:before="91" w:line="195" w:lineRule="auto"/>
              <w:ind w:left="191"/>
              <w:rPr>
                <w:rFonts w:ascii="Times New Roman" w:hAnsi="Times New Roman" w:eastAsia="Times New Roman" w:cs="Times New Roman"/>
                <w:sz w:val="20"/>
                <w:szCs w:val="20"/>
              </w:rPr>
            </w:pPr>
            <w:r>
              <w:rPr>
                <w:rFonts w:ascii="Times New Roman" w:hAnsi="Times New Roman" w:eastAsia="Times New Roman" w:cs="Times New Roman"/>
                <w:sz w:val="20"/>
                <w:szCs w:val="20"/>
              </w:rPr>
              <w:t>S</w:t>
            </w:r>
          </w:p>
        </w:tc>
        <w:tc>
          <w:tcPr>
            <w:tcW w:w="481" w:type="dxa"/>
            <w:tcBorders>
              <w:top w:val="single" w:color="000000" w:sz="10" w:space="0"/>
            </w:tcBorders>
            <w:vAlign w:val="top"/>
          </w:tcPr>
          <w:p w14:paraId="0AAC1CED">
            <w:pPr>
              <w:spacing w:before="91"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SSW</w:t>
            </w:r>
          </w:p>
        </w:tc>
        <w:tc>
          <w:tcPr>
            <w:tcW w:w="481" w:type="dxa"/>
            <w:tcBorders>
              <w:top w:val="single" w:color="000000" w:sz="10" w:space="0"/>
            </w:tcBorders>
            <w:vAlign w:val="top"/>
          </w:tcPr>
          <w:p w14:paraId="73F797D9">
            <w:pPr>
              <w:spacing w:before="91"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SW</w:t>
            </w:r>
          </w:p>
        </w:tc>
        <w:tc>
          <w:tcPr>
            <w:tcW w:w="554" w:type="dxa"/>
            <w:tcBorders>
              <w:top w:val="single" w:color="000000" w:sz="10" w:space="0"/>
            </w:tcBorders>
            <w:vAlign w:val="top"/>
          </w:tcPr>
          <w:p w14:paraId="19672B83">
            <w:pPr>
              <w:spacing w:before="91" w:line="195" w:lineRule="auto"/>
              <w:ind w:left="20"/>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WSW</w:t>
            </w:r>
          </w:p>
        </w:tc>
        <w:tc>
          <w:tcPr>
            <w:tcW w:w="481" w:type="dxa"/>
            <w:tcBorders>
              <w:top w:val="single" w:color="000000" w:sz="10" w:space="0"/>
            </w:tcBorders>
            <w:vAlign w:val="top"/>
          </w:tcPr>
          <w:p w14:paraId="275EDB79">
            <w:pPr>
              <w:spacing w:before="94" w:line="192" w:lineRule="auto"/>
              <w:ind w:left="140"/>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W</w:t>
            </w:r>
          </w:p>
        </w:tc>
        <w:tc>
          <w:tcPr>
            <w:tcW w:w="592" w:type="dxa"/>
            <w:tcBorders>
              <w:top w:val="single" w:color="000000" w:sz="10" w:space="0"/>
            </w:tcBorders>
            <w:vAlign w:val="top"/>
          </w:tcPr>
          <w:p w14:paraId="4B2D5495">
            <w:pPr>
              <w:spacing w:before="94" w:line="192" w:lineRule="auto"/>
              <w:ind w:left="21"/>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WNW</w:t>
            </w:r>
          </w:p>
        </w:tc>
        <w:tc>
          <w:tcPr>
            <w:tcW w:w="481" w:type="dxa"/>
            <w:tcBorders>
              <w:top w:val="single" w:color="000000" w:sz="10" w:space="0"/>
            </w:tcBorders>
            <w:vAlign w:val="top"/>
          </w:tcPr>
          <w:p w14:paraId="4B20E81B">
            <w:pPr>
              <w:spacing w:before="94" w:line="192"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w:t>
            </w:r>
          </w:p>
        </w:tc>
        <w:tc>
          <w:tcPr>
            <w:tcW w:w="541" w:type="dxa"/>
            <w:tcBorders>
              <w:top w:val="single" w:color="000000" w:sz="10" w:space="0"/>
            </w:tcBorders>
            <w:vAlign w:val="top"/>
          </w:tcPr>
          <w:p w14:paraId="758B7272">
            <w:pPr>
              <w:spacing w:before="94" w:line="192" w:lineRule="auto"/>
              <w:ind w:left="1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NNW</w:t>
            </w:r>
          </w:p>
        </w:tc>
        <w:tc>
          <w:tcPr>
            <w:tcW w:w="463" w:type="dxa"/>
            <w:tcBorders>
              <w:top w:val="single" w:color="000000" w:sz="10" w:space="0"/>
              <w:right w:val="nil"/>
            </w:tcBorders>
            <w:vAlign w:val="top"/>
          </w:tcPr>
          <w:p w14:paraId="53C97527">
            <w:pPr>
              <w:pStyle w:val="6"/>
              <w:spacing w:before="56" w:line="228" w:lineRule="auto"/>
              <w:ind w:left="27"/>
              <w:rPr>
                <w:sz w:val="20"/>
                <w:szCs w:val="20"/>
              </w:rPr>
            </w:pPr>
            <w:r>
              <w:rPr>
                <w:spacing w:val="5"/>
                <w:sz w:val="20"/>
                <w:szCs w:val="20"/>
              </w:rPr>
              <w:t>平均</w:t>
            </w:r>
          </w:p>
        </w:tc>
      </w:tr>
      <w:tr w14:paraId="18D187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674" w:type="dxa"/>
            <w:tcBorders>
              <w:left w:val="nil"/>
            </w:tcBorders>
            <w:vAlign w:val="top"/>
          </w:tcPr>
          <w:p w14:paraId="66D65687">
            <w:pPr>
              <w:pStyle w:val="6"/>
              <w:spacing w:before="50" w:line="228" w:lineRule="auto"/>
              <w:ind w:left="137"/>
              <w:rPr>
                <w:sz w:val="20"/>
                <w:szCs w:val="20"/>
              </w:rPr>
            </w:pPr>
            <w:r>
              <w:rPr>
                <w:spacing w:val="3"/>
                <w:sz w:val="20"/>
                <w:szCs w:val="20"/>
              </w:rPr>
              <w:t>一月</w:t>
            </w:r>
          </w:p>
        </w:tc>
        <w:tc>
          <w:tcPr>
            <w:tcW w:w="476" w:type="dxa"/>
            <w:vAlign w:val="top"/>
          </w:tcPr>
          <w:p w14:paraId="57CE9793">
            <w:pPr>
              <w:spacing w:before="86"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0.97</w:t>
            </w:r>
          </w:p>
        </w:tc>
        <w:tc>
          <w:tcPr>
            <w:tcW w:w="481" w:type="dxa"/>
            <w:vAlign w:val="top"/>
          </w:tcPr>
          <w:p w14:paraId="7F85DFE5">
            <w:pPr>
              <w:spacing w:before="86"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0.67</w:t>
            </w:r>
          </w:p>
        </w:tc>
        <w:tc>
          <w:tcPr>
            <w:tcW w:w="481" w:type="dxa"/>
            <w:vAlign w:val="top"/>
          </w:tcPr>
          <w:p w14:paraId="39A8F765">
            <w:pPr>
              <w:spacing w:before="86"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0.74</w:t>
            </w:r>
          </w:p>
        </w:tc>
        <w:tc>
          <w:tcPr>
            <w:tcW w:w="481" w:type="dxa"/>
            <w:vAlign w:val="top"/>
          </w:tcPr>
          <w:p w14:paraId="2AB4AF28">
            <w:pPr>
              <w:spacing w:before="86"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0.98</w:t>
            </w:r>
          </w:p>
        </w:tc>
        <w:tc>
          <w:tcPr>
            <w:tcW w:w="481" w:type="dxa"/>
            <w:vAlign w:val="top"/>
          </w:tcPr>
          <w:p w14:paraId="1C2FACB1">
            <w:pPr>
              <w:spacing w:before="86"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1.05</w:t>
            </w:r>
          </w:p>
        </w:tc>
        <w:tc>
          <w:tcPr>
            <w:tcW w:w="481" w:type="dxa"/>
            <w:vAlign w:val="top"/>
          </w:tcPr>
          <w:p w14:paraId="493F32BB">
            <w:pPr>
              <w:spacing w:before="86"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1.16</w:t>
            </w:r>
          </w:p>
        </w:tc>
        <w:tc>
          <w:tcPr>
            <w:tcW w:w="481" w:type="dxa"/>
            <w:vAlign w:val="top"/>
          </w:tcPr>
          <w:p w14:paraId="68878F2E">
            <w:pPr>
              <w:spacing w:before="86"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1.56</w:t>
            </w:r>
          </w:p>
        </w:tc>
        <w:tc>
          <w:tcPr>
            <w:tcW w:w="481" w:type="dxa"/>
            <w:vAlign w:val="top"/>
          </w:tcPr>
          <w:p w14:paraId="72A4A359">
            <w:pPr>
              <w:spacing w:before="86"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1.32</w:t>
            </w:r>
          </w:p>
        </w:tc>
        <w:tc>
          <w:tcPr>
            <w:tcW w:w="481" w:type="dxa"/>
            <w:vAlign w:val="top"/>
          </w:tcPr>
          <w:p w14:paraId="17D0A7C0">
            <w:pPr>
              <w:spacing w:before="86"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1.73</w:t>
            </w:r>
          </w:p>
        </w:tc>
        <w:tc>
          <w:tcPr>
            <w:tcW w:w="481" w:type="dxa"/>
            <w:vAlign w:val="top"/>
          </w:tcPr>
          <w:p w14:paraId="5AC32860">
            <w:pPr>
              <w:spacing w:before="86"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1.90</w:t>
            </w:r>
          </w:p>
        </w:tc>
        <w:tc>
          <w:tcPr>
            <w:tcW w:w="481" w:type="dxa"/>
            <w:vAlign w:val="top"/>
          </w:tcPr>
          <w:p w14:paraId="589DB49C">
            <w:pPr>
              <w:spacing w:before="86"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2.16</w:t>
            </w:r>
          </w:p>
        </w:tc>
        <w:tc>
          <w:tcPr>
            <w:tcW w:w="554" w:type="dxa"/>
            <w:vAlign w:val="top"/>
          </w:tcPr>
          <w:p w14:paraId="52E7F37D">
            <w:pPr>
              <w:spacing w:before="86"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2.24</w:t>
            </w:r>
          </w:p>
        </w:tc>
        <w:tc>
          <w:tcPr>
            <w:tcW w:w="481" w:type="dxa"/>
            <w:vAlign w:val="top"/>
          </w:tcPr>
          <w:p w14:paraId="605E342E">
            <w:pPr>
              <w:spacing w:before="86" w:line="195" w:lineRule="auto"/>
              <w:ind w:left="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3.69</w:t>
            </w:r>
          </w:p>
        </w:tc>
        <w:tc>
          <w:tcPr>
            <w:tcW w:w="592" w:type="dxa"/>
            <w:vAlign w:val="top"/>
          </w:tcPr>
          <w:p w14:paraId="206F2063">
            <w:pPr>
              <w:spacing w:before="86"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3.75</w:t>
            </w:r>
          </w:p>
        </w:tc>
        <w:tc>
          <w:tcPr>
            <w:tcW w:w="481" w:type="dxa"/>
            <w:vAlign w:val="top"/>
          </w:tcPr>
          <w:p w14:paraId="54116C18">
            <w:pPr>
              <w:spacing w:before="86"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1.57</w:t>
            </w:r>
          </w:p>
        </w:tc>
        <w:tc>
          <w:tcPr>
            <w:tcW w:w="541" w:type="dxa"/>
            <w:vAlign w:val="top"/>
          </w:tcPr>
          <w:p w14:paraId="1202CEAB">
            <w:pPr>
              <w:spacing w:before="86" w:line="195" w:lineRule="auto"/>
              <w:ind w:left="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2.39</w:t>
            </w:r>
          </w:p>
        </w:tc>
        <w:tc>
          <w:tcPr>
            <w:tcW w:w="463" w:type="dxa"/>
            <w:tcBorders>
              <w:right w:val="nil"/>
            </w:tcBorders>
            <w:vAlign w:val="top"/>
          </w:tcPr>
          <w:p w14:paraId="4D9EE34D">
            <w:pPr>
              <w:spacing w:before="86" w:line="195" w:lineRule="auto"/>
              <w:ind w:left="6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1.61</w:t>
            </w:r>
          </w:p>
        </w:tc>
      </w:tr>
      <w:tr w14:paraId="7809CE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674" w:type="dxa"/>
            <w:tcBorders>
              <w:left w:val="nil"/>
            </w:tcBorders>
            <w:vAlign w:val="top"/>
          </w:tcPr>
          <w:p w14:paraId="5D294EAF">
            <w:pPr>
              <w:pStyle w:val="6"/>
              <w:spacing w:before="53" w:line="227" w:lineRule="auto"/>
              <w:ind w:left="137"/>
              <w:rPr>
                <w:sz w:val="20"/>
                <w:szCs w:val="20"/>
              </w:rPr>
            </w:pPr>
            <w:r>
              <w:rPr>
                <w:spacing w:val="3"/>
                <w:sz w:val="20"/>
                <w:szCs w:val="20"/>
              </w:rPr>
              <w:t>二月</w:t>
            </w:r>
          </w:p>
        </w:tc>
        <w:tc>
          <w:tcPr>
            <w:tcW w:w="476" w:type="dxa"/>
            <w:vAlign w:val="top"/>
          </w:tcPr>
          <w:p w14:paraId="2CF0F16B">
            <w:pPr>
              <w:spacing w:before="88"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0.72</w:t>
            </w:r>
          </w:p>
        </w:tc>
        <w:tc>
          <w:tcPr>
            <w:tcW w:w="481" w:type="dxa"/>
            <w:vAlign w:val="top"/>
          </w:tcPr>
          <w:p w14:paraId="3596E558">
            <w:pPr>
              <w:spacing w:before="88"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0.68</w:t>
            </w:r>
          </w:p>
        </w:tc>
        <w:tc>
          <w:tcPr>
            <w:tcW w:w="481" w:type="dxa"/>
            <w:vAlign w:val="top"/>
          </w:tcPr>
          <w:p w14:paraId="0D48518A">
            <w:pPr>
              <w:spacing w:before="88"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0.97</w:t>
            </w:r>
          </w:p>
        </w:tc>
        <w:tc>
          <w:tcPr>
            <w:tcW w:w="481" w:type="dxa"/>
            <w:vAlign w:val="top"/>
          </w:tcPr>
          <w:p w14:paraId="0F343D8B">
            <w:pPr>
              <w:spacing w:before="8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1.21</w:t>
            </w:r>
          </w:p>
        </w:tc>
        <w:tc>
          <w:tcPr>
            <w:tcW w:w="481" w:type="dxa"/>
            <w:vAlign w:val="top"/>
          </w:tcPr>
          <w:p w14:paraId="620B3B62">
            <w:pPr>
              <w:spacing w:before="88"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1.38</w:t>
            </w:r>
          </w:p>
        </w:tc>
        <w:tc>
          <w:tcPr>
            <w:tcW w:w="481" w:type="dxa"/>
            <w:vAlign w:val="top"/>
          </w:tcPr>
          <w:p w14:paraId="1BC3814B">
            <w:pPr>
              <w:spacing w:before="8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1.41</w:t>
            </w:r>
          </w:p>
        </w:tc>
        <w:tc>
          <w:tcPr>
            <w:tcW w:w="481" w:type="dxa"/>
            <w:vAlign w:val="top"/>
          </w:tcPr>
          <w:p w14:paraId="00FDAFB2">
            <w:pPr>
              <w:spacing w:before="88"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1.63</w:t>
            </w:r>
          </w:p>
        </w:tc>
        <w:tc>
          <w:tcPr>
            <w:tcW w:w="481" w:type="dxa"/>
            <w:vAlign w:val="top"/>
          </w:tcPr>
          <w:p w14:paraId="1A3C7BC1">
            <w:pPr>
              <w:spacing w:before="88"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1.44</w:t>
            </w:r>
          </w:p>
        </w:tc>
        <w:tc>
          <w:tcPr>
            <w:tcW w:w="481" w:type="dxa"/>
            <w:vAlign w:val="top"/>
          </w:tcPr>
          <w:p w14:paraId="2A0F7B5B">
            <w:pPr>
              <w:spacing w:before="8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1.81</w:t>
            </w:r>
          </w:p>
        </w:tc>
        <w:tc>
          <w:tcPr>
            <w:tcW w:w="481" w:type="dxa"/>
            <w:vAlign w:val="top"/>
          </w:tcPr>
          <w:p w14:paraId="7E7269A5">
            <w:pPr>
              <w:spacing w:before="88"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2.15</w:t>
            </w:r>
          </w:p>
        </w:tc>
        <w:tc>
          <w:tcPr>
            <w:tcW w:w="481" w:type="dxa"/>
            <w:vAlign w:val="top"/>
          </w:tcPr>
          <w:p w14:paraId="6832770C">
            <w:pPr>
              <w:spacing w:before="88"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2.30</w:t>
            </w:r>
          </w:p>
        </w:tc>
        <w:tc>
          <w:tcPr>
            <w:tcW w:w="554" w:type="dxa"/>
            <w:vAlign w:val="top"/>
          </w:tcPr>
          <w:p w14:paraId="237A6928">
            <w:pPr>
              <w:spacing w:before="88"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2.40</w:t>
            </w:r>
          </w:p>
        </w:tc>
        <w:tc>
          <w:tcPr>
            <w:tcW w:w="481" w:type="dxa"/>
            <w:vAlign w:val="top"/>
          </w:tcPr>
          <w:p w14:paraId="42F78E7B">
            <w:pPr>
              <w:spacing w:before="88" w:line="195" w:lineRule="auto"/>
              <w:ind w:left="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3.95</w:t>
            </w:r>
          </w:p>
        </w:tc>
        <w:tc>
          <w:tcPr>
            <w:tcW w:w="592" w:type="dxa"/>
            <w:vAlign w:val="top"/>
          </w:tcPr>
          <w:p w14:paraId="7441A62E">
            <w:pPr>
              <w:spacing w:before="88"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3.56</w:t>
            </w:r>
          </w:p>
        </w:tc>
        <w:tc>
          <w:tcPr>
            <w:tcW w:w="481" w:type="dxa"/>
            <w:vAlign w:val="top"/>
          </w:tcPr>
          <w:p w14:paraId="13EE00B7">
            <w:pPr>
              <w:spacing w:before="88"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1.86</w:t>
            </w:r>
          </w:p>
        </w:tc>
        <w:tc>
          <w:tcPr>
            <w:tcW w:w="541" w:type="dxa"/>
            <w:vAlign w:val="top"/>
          </w:tcPr>
          <w:p w14:paraId="6171DE0F">
            <w:pPr>
              <w:spacing w:before="88"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463" w:type="dxa"/>
            <w:tcBorders>
              <w:right w:val="nil"/>
            </w:tcBorders>
            <w:vAlign w:val="top"/>
          </w:tcPr>
          <w:p w14:paraId="60E34C8D">
            <w:pPr>
              <w:spacing w:before="88" w:line="195" w:lineRule="auto"/>
              <w:ind w:left="6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1.70</w:t>
            </w:r>
          </w:p>
        </w:tc>
      </w:tr>
      <w:tr w14:paraId="7B0AB1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674" w:type="dxa"/>
            <w:tcBorders>
              <w:left w:val="nil"/>
            </w:tcBorders>
            <w:vAlign w:val="top"/>
          </w:tcPr>
          <w:p w14:paraId="22D1015D">
            <w:pPr>
              <w:pStyle w:val="6"/>
              <w:spacing w:before="55" w:line="225" w:lineRule="auto"/>
              <w:ind w:left="134"/>
              <w:rPr>
                <w:sz w:val="20"/>
                <w:szCs w:val="20"/>
              </w:rPr>
            </w:pPr>
            <w:r>
              <w:rPr>
                <w:spacing w:val="4"/>
                <w:sz w:val="20"/>
                <w:szCs w:val="20"/>
              </w:rPr>
              <w:t>三月</w:t>
            </w:r>
          </w:p>
        </w:tc>
        <w:tc>
          <w:tcPr>
            <w:tcW w:w="476" w:type="dxa"/>
            <w:vAlign w:val="top"/>
          </w:tcPr>
          <w:p w14:paraId="353EB1CB">
            <w:pPr>
              <w:spacing w:before="91"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1.04</w:t>
            </w:r>
          </w:p>
        </w:tc>
        <w:tc>
          <w:tcPr>
            <w:tcW w:w="481" w:type="dxa"/>
            <w:vAlign w:val="top"/>
          </w:tcPr>
          <w:p w14:paraId="4FFD39A3">
            <w:pPr>
              <w:spacing w:before="91"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0.89</w:t>
            </w:r>
          </w:p>
        </w:tc>
        <w:tc>
          <w:tcPr>
            <w:tcW w:w="481" w:type="dxa"/>
            <w:vAlign w:val="top"/>
          </w:tcPr>
          <w:p w14:paraId="7B7152E6">
            <w:pPr>
              <w:spacing w:before="91"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1.17</w:t>
            </w:r>
          </w:p>
        </w:tc>
        <w:tc>
          <w:tcPr>
            <w:tcW w:w="481" w:type="dxa"/>
            <w:vAlign w:val="top"/>
          </w:tcPr>
          <w:p w14:paraId="10C68C68">
            <w:pPr>
              <w:spacing w:before="91"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1.64</w:t>
            </w:r>
          </w:p>
        </w:tc>
        <w:tc>
          <w:tcPr>
            <w:tcW w:w="481" w:type="dxa"/>
            <w:vAlign w:val="top"/>
          </w:tcPr>
          <w:p w14:paraId="0CAD5AA8">
            <w:pPr>
              <w:spacing w:before="91"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1.66</w:t>
            </w:r>
          </w:p>
        </w:tc>
        <w:tc>
          <w:tcPr>
            <w:tcW w:w="481" w:type="dxa"/>
            <w:vAlign w:val="top"/>
          </w:tcPr>
          <w:p w14:paraId="3BC3E81E">
            <w:pPr>
              <w:spacing w:before="91"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1.54</w:t>
            </w:r>
          </w:p>
        </w:tc>
        <w:tc>
          <w:tcPr>
            <w:tcW w:w="481" w:type="dxa"/>
            <w:vAlign w:val="top"/>
          </w:tcPr>
          <w:p w14:paraId="709AD433">
            <w:pPr>
              <w:spacing w:before="91"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1.96</w:t>
            </w:r>
          </w:p>
        </w:tc>
        <w:tc>
          <w:tcPr>
            <w:tcW w:w="481" w:type="dxa"/>
            <w:vAlign w:val="top"/>
          </w:tcPr>
          <w:p w14:paraId="0F355EBF">
            <w:pPr>
              <w:spacing w:before="91"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1.53</w:t>
            </w:r>
          </w:p>
        </w:tc>
        <w:tc>
          <w:tcPr>
            <w:tcW w:w="481" w:type="dxa"/>
            <w:vAlign w:val="top"/>
          </w:tcPr>
          <w:p w14:paraId="199AD5EA">
            <w:pPr>
              <w:spacing w:before="91"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1.98</w:t>
            </w:r>
          </w:p>
        </w:tc>
        <w:tc>
          <w:tcPr>
            <w:tcW w:w="481" w:type="dxa"/>
            <w:vAlign w:val="top"/>
          </w:tcPr>
          <w:p w14:paraId="04320B9F">
            <w:pPr>
              <w:spacing w:before="91"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1.75</w:t>
            </w:r>
          </w:p>
        </w:tc>
        <w:tc>
          <w:tcPr>
            <w:tcW w:w="481" w:type="dxa"/>
            <w:vAlign w:val="top"/>
          </w:tcPr>
          <w:p w14:paraId="27BA9D2B">
            <w:pPr>
              <w:spacing w:before="91"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2.28</w:t>
            </w:r>
          </w:p>
        </w:tc>
        <w:tc>
          <w:tcPr>
            <w:tcW w:w="554" w:type="dxa"/>
            <w:vAlign w:val="top"/>
          </w:tcPr>
          <w:p w14:paraId="6E83F14E">
            <w:pPr>
              <w:spacing w:before="91"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3.09</w:t>
            </w:r>
          </w:p>
        </w:tc>
        <w:tc>
          <w:tcPr>
            <w:tcW w:w="481" w:type="dxa"/>
            <w:vAlign w:val="top"/>
          </w:tcPr>
          <w:p w14:paraId="241789CB">
            <w:pPr>
              <w:spacing w:before="91" w:line="195" w:lineRule="auto"/>
              <w:ind w:left="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3.80</w:t>
            </w:r>
          </w:p>
        </w:tc>
        <w:tc>
          <w:tcPr>
            <w:tcW w:w="592" w:type="dxa"/>
            <w:vAlign w:val="top"/>
          </w:tcPr>
          <w:p w14:paraId="09D5A17D">
            <w:pPr>
              <w:spacing w:before="91" w:line="195" w:lineRule="auto"/>
              <w:ind w:left="1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4.28</w:t>
            </w:r>
          </w:p>
        </w:tc>
        <w:tc>
          <w:tcPr>
            <w:tcW w:w="481" w:type="dxa"/>
            <w:vAlign w:val="top"/>
          </w:tcPr>
          <w:p w14:paraId="0A1BCF12">
            <w:pPr>
              <w:spacing w:before="91"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4.21</w:t>
            </w:r>
          </w:p>
        </w:tc>
        <w:tc>
          <w:tcPr>
            <w:tcW w:w="541" w:type="dxa"/>
            <w:vAlign w:val="top"/>
          </w:tcPr>
          <w:p w14:paraId="02FD8716">
            <w:pPr>
              <w:spacing w:before="91"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3.80</w:t>
            </w:r>
          </w:p>
        </w:tc>
        <w:tc>
          <w:tcPr>
            <w:tcW w:w="463" w:type="dxa"/>
            <w:tcBorders>
              <w:right w:val="nil"/>
            </w:tcBorders>
            <w:vAlign w:val="top"/>
          </w:tcPr>
          <w:p w14:paraId="5571D535">
            <w:pPr>
              <w:spacing w:before="91" w:line="195" w:lineRule="auto"/>
              <w:ind w:left="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2.21</w:t>
            </w:r>
          </w:p>
        </w:tc>
      </w:tr>
      <w:tr w14:paraId="26DA8B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674" w:type="dxa"/>
            <w:tcBorders>
              <w:left w:val="nil"/>
            </w:tcBorders>
            <w:vAlign w:val="top"/>
          </w:tcPr>
          <w:p w14:paraId="32EF4A54">
            <w:pPr>
              <w:pStyle w:val="6"/>
              <w:spacing w:before="58" w:line="223" w:lineRule="auto"/>
              <w:ind w:left="153"/>
              <w:rPr>
                <w:sz w:val="20"/>
                <w:szCs w:val="20"/>
              </w:rPr>
            </w:pPr>
            <w:r>
              <w:rPr>
                <w:spacing w:val="-5"/>
                <w:sz w:val="20"/>
                <w:szCs w:val="20"/>
              </w:rPr>
              <w:t>四月</w:t>
            </w:r>
          </w:p>
        </w:tc>
        <w:tc>
          <w:tcPr>
            <w:tcW w:w="476" w:type="dxa"/>
            <w:vAlign w:val="top"/>
          </w:tcPr>
          <w:p w14:paraId="16CFBD99">
            <w:pPr>
              <w:spacing w:before="94"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2.10</w:t>
            </w:r>
          </w:p>
        </w:tc>
        <w:tc>
          <w:tcPr>
            <w:tcW w:w="481" w:type="dxa"/>
            <w:vAlign w:val="top"/>
          </w:tcPr>
          <w:p w14:paraId="06395463">
            <w:pPr>
              <w:spacing w:before="94"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0.86</w:t>
            </w:r>
          </w:p>
        </w:tc>
        <w:tc>
          <w:tcPr>
            <w:tcW w:w="481" w:type="dxa"/>
            <w:vAlign w:val="top"/>
          </w:tcPr>
          <w:p w14:paraId="6EF9E4D5">
            <w:pPr>
              <w:spacing w:before="94"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1.17</w:t>
            </w:r>
          </w:p>
        </w:tc>
        <w:tc>
          <w:tcPr>
            <w:tcW w:w="481" w:type="dxa"/>
            <w:vAlign w:val="top"/>
          </w:tcPr>
          <w:p w14:paraId="45F04CDB">
            <w:pPr>
              <w:spacing w:before="94"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1.27</w:t>
            </w:r>
          </w:p>
        </w:tc>
        <w:tc>
          <w:tcPr>
            <w:tcW w:w="481" w:type="dxa"/>
            <w:vAlign w:val="top"/>
          </w:tcPr>
          <w:p w14:paraId="15319FF3">
            <w:pPr>
              <w:spacing w:before="94"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1.54</w:t>
            </w:r>
          </w:p>
        </w:tc>
        <w:tc>
          <w:tcPr>
            <w:tcW w:w="481" w:type="dxa"/>
            <w:vAlign w:val="top"/>
          </w:tcPr>
          <w:p w14:paraId="7121CC60">
            <w:pPr>
              <w:spacing w:before="94"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1.56</w:t>
            </w:r>
          </w:p>
        </w:tc>
        <w:tc>
          <w:tcPr>
            <w:tcW w:w="481" w:type="dxa"/>
            <w:vAlign w:val="top"/>
          </w:tcPr>
          <w:p w14:paraId="64572DD8">
            <w:pPr>
              <w:spacing w:before="94"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1.81</w:t>
            </w:r>
          </w:p>
        </w:tc>
        <w:tc>
          <w:tcPr>
            <w:tcW w:w="481" w:type="dxa"/>
            <w:vAlign w:val="top"/>
          </w:tcPr>
          <w:p w14:paraId="290B5AE5">
            <w:pPr>
              <w:spacing w:before="94"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1.61</w:t>
            </w:r>
          </w:p>
        </w:tc>
        <w:tc>
          <w:tcPr>
            <w:tcW w:w="481" w:type="dxa"/>
            <w:vAlign w:val="top"/>
          </w:tcPr>
          <w:p w14:paraId="0C172D1E">
            <w:pPr>
              <w:spacing w:before="94"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2.35</w:t>
            </w:r>
          </w:p>
        </w:tc>
        <w:tc>
          <w:tcPr>
            <w:tcW w:w="481" w:type="dxa"/>
            <w:vAlign w:val="top"/>
          </w:tcPr>
          <w:p w14:paraId="36A65BA2">
            <w:pPr>
              <w:spacing w:before="94"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2.58</w:t>
            </w:r>
          </w:p>
        </w:tc>
        <w:tc>
          <w:tcPr>
            <w:tcW w:w="481" w:type="dxa"/>
            <w:vAlign w:val="top"/>
          </w:tcPr>
          <w:p w14:paraId="624B4687">
            <w:pPr>
              <w:spacing w:before="94"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2.72</w:t>
            </w:r>
          </w:p>
        </w:tc>
        <w:tc>
          <w:tcPr>
            <w:tcW w:w="554" w:type="dxa"/>
            <w:vAlign w:val="top"/>
          </w:tcPr>
          <w:p w14:paraId="79B86324">
            <w:pPr>
              <w:spacing w:before="94"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2.30</w:t>
            </w:r>
          </w:p>
        </w:tc>
        <w:tc>
          <w:tcPr>
            <w:tcW w:w="481" w:type="dxa"/>
            <w:vAlign w:val="top"/>
          </w:tcPr>
          <w:p w14:paraId="743D463A">
            <w:pPr>
              <w:spacing w:before="94"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2.28</w:t>
            </w:r>
          </w:p>
        </w:tc>
        <w:tc>
          <w:tcPr>
            <w:tcW w:w="592" w:type="dxa"/>
            <w:vAlign w:val="top"/>
          </w:tcPr>
          <w:p w14:paraId="12544612">
            <w:pPr>
              <w:spacing w:before="94" w:line="195" w:lineRule="auto"/>
              <w:ind w:left="1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1.92</w:t>
            </w:r>
          </w:p>
        </w:tc>
        <w:tc>
          <w:tcPr>
            <w:tcW w:w="481" w:type="dxa"/>
            <w:vAlign w:val="top"/>
          </w:tcPr>
          <w:p w14:paraId="1C2F5066">
            <w:pPr>
              <w:spacing w:before="94"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2.29</w:t>
            </w:r>
          </w:p>
        </w:tc>
        <w:tc>
          <w:tcPr>
            <w:tcW w:w="541" w:type="dxa"/>
            <w:vAlign w:val="top"/>
          </w:tcPr>
          <w:p w14:paraId="4930C975">
            <w:pPr>
              <w:spacing w:before="94"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3.47</w:t>
            </w:r>
          </w:p>
        </w:tc>
        <w:tc>
          <w:tcPr>
            <w:tcW w:w="463" w:type="dxa"/>
            <w:tcBorders>
              <w:right w:val="nil"/>
            </w:tcBorders>
            <w:vAlign w:val="top"/>
          </w:tcPr>
          <w:p w14:paraId="397C60E3">
            <w:pPr>
              <w:spacing w:before="94" w:line="195" w:lineRule="auto"/>
              <w:ind w:left="6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1.93</w:t>
            </w:r>
          </w:p>
        </w:tc>
      </w:tr>
      <w:tr w14:paraId="167CC6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674" w:type="dxa"/>
            <w:tcBorders>
              <w:left w:val="nil"/>
            </w:tcBorders>
            <w:vAlign w:val="top"/>
          </w:tcPr>
          <w:p w14:paraId="1AB194E5">
            <w:pPr>
              <w:pStyle w:val="6"/>
              <w:spacing w:before="62" w:line="218" w:lineRule="auto"/>
              <w:ind w:left="137"/>
              <w:rPr>
                <w:sz w:val="20"/>
                <w:szCs w:val="20"/>
              </w:rPr>
            </w:pPr>
            <w:r>
              <w:rPr>
                <w:spacing w:val="3"/>
                <w:sz w:val="20"/>
                <w:szCs w:val="20"/>
              </w:rPr>
              <w:t>五月</w:t>
            </w:r>
          </w:p>
        </w:tc>
        <w:tc>
          <w:tcPr>
            <w:tcW w:w="476" w:type="dxa"/>
            <w:vAlign w:val="top"/>
          </w:tcPr>
          <w:p w14:paraId="3B0FA0E7">
            <w:pPr>
              <w:spacing w:before="98"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0.88</w:t>
            </w:r>
          </w:p>
        </w:tc>
        <w:tc>
          <w:tcPr>
            <w:tcW w:w="481" w:type="dxa"/>
            <w:vAlign w:val="top"/>
          </w:tcPr>
          <w:p w14:paraId="2B4E4D23">
            <w:pPr>
              <w:spacing w:before="98"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0.86</w:t>
            </w:r>
          </w:p>
        </w:tc>
        <w:tc>
          <w:tcPr>
            <w:tcW w:w="481" w:type="dxa"/>
            <w:vAlign w:val="top"/>
          </w:tcPr>
          <w:p w14:paraId="531D036D">
            <w:pPr>
              <w:spacing w:before="98"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1.39</w:t>
            </w:r>
          </w:p>
        </w:tc>
        <w:tc>
          <w:tcPr>
            <w:tcW w:w="481" w:type="dxa"/>
            <w:vAlign w:val="top"/>
          </w:tcPr>
          <w:p w14:paraId="6B67CC7B">
            <w:pPr>
              <w:spacing w:before="9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1.65</w:t>
            </w:r>
          </w:p>
        </w:tc>
        <w:tc>
          <w:tcPr>
            <w:tcW w:w="481" w:type="dxa"/>
            <w:vAlign w:val="top"/>
          </w:tcPr>
          <w:p w14:paraId="5E46A560">
            <w:pPr>
              <w:spacing w:before="98"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1.66</w:t>
            </w:r>
          </w:p>
        </w:tc>
        <w:tc>
          <w:tcPr>
            <w:tcW w:w="481" w:type="dxa"/>
            <w:vAlign w:val="top"/>
          </w:tcPr>
          <w:p w14:paraId="3D0650D7">
            <w:pPr>
              <w:spacing w:before="9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1.68</w:t>
            </w:r>
          </w:p>
        </w:tc>
        <w:tc>
          <w:tcPr>
            <w:tcW w:w="481" w:type="dxa"/>
            <w:vAlign w:val="top"/>
          </w:tcPr>
          <w:p w14:paraId="60BA8A74">
            <w:pPr>
              <w:spacing w:before="98"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2.51</w:t>
            </w:r>
          </w:p>
        </w:tc>
        <w:tc>
          <w:tcPr>
            <w:tcW w:w="481" w:type="dxa"/>
            <w:vAlign w:val="top"/>
          </w:tcPr>
          <w:p w14:paraId="7B2EC5A3">
            <w:pPr>
              <w:spacing w:before="98"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1.94</w:t>
            </w:r>
          </w:p>
        </w:tc>
        <w:tc>
          <w:tcPr>
            <w:tcW w:w="481" w:type="dxa"/>
            <w:vAlign w:val="top"/>
          </w:tcPr>
          <w:p w14:paraId="505695A1">
            <w:pPr>
              <w:spacing w:before="98"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11</w:t>
            </w:r>
          </w:p>
        </w:tc>
        <w:tc>
          <w:tcPr>
            <w:tcW w:w="481" w:type="dxa"/>
            <w:vAlign w:val="top"/>
          </w:tcPr>
          <w:p w14:paraId="5D653AC0">
            <w:pPr>
              <w:spacing w:before="98"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3.32</w:t>
            </w:r>
          </w:p>
        </w:tc>
        <w:tc>
          <w:tcPr>
            <w:tcW w:w="481" w:type="dxa"/>
            <w:vAlign w:val="top"/>
          </w:tcPr>
          <w:p w14:paraId="0EAD7CA2">
            <w:pPr>
              <w:spacing w:before="98"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2.64</w:t>
            </w:r>
          </w:p>
        </w:tc>
        <w:tc>
          <w:tcPr>
            <w:tcW w:w="554" w:type="dxa"/>
            <w:vAlign w:val="top"/>
          </w:tcPr>
          <w:p w14:paraId="1E009D36">
            <w:pPr>
              <w:spacing w:before="98"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3.09</w:t>
            </w:r>
          </w:p>
        </w:tc>
        <w:tc>
          <w:tcPr>
            <w:tcW w:w="481" w:type="dxa"/>
            <w:vAlign w:val="top"/>
          </w:tcPr>
          <w:p w14:paraId="0738CE5C">
            <w:pPr>
              <w:spacing w:before="98"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2.64</w:t>
            </w:r>
          </w:p>
        </w:tc>
        <w:tc>
          <w:tcPr>
            <w:tcW w:w="592" w:type="dxa"/>
            <w:vAlign w:val="top"/>
          </w:tcPr>
          <w:p w14:paraId="472FB752">
            <w:pPr>
              <w:spacing w:before="98"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3.80</w:t>
            </w:r>
          </w:p>
        </w:tc>
        <w:tc>
          <w:tcPr>
            <w:tcW w:w="481" w:type="dxa"/>
            <w:vAlign w:val="top"/>
          </w:tcPr>
          <w:p w14:paraId="6A8A9FAD">
            <w:pPr>
              <w:spacing w:before="98" w:line="195" w:lineRule="auto"/>
              <w:ind w:left="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3.58</w:t>
            </w:r>
          </w:p>
        </w:tc>
        <w:tc>
          <w:tcPr>
            <w:tcW w:w="541" w:type="dxa"/>
            <w:vAlign w:val="top"/>
          </w:tcPr>
          <w:p w14:paraId="1F3B8017">
            <w:pPr>
              <w:spacing w:before="98" w:line="195" w:lineRule="auto"/>
              <w:ind w:left="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2.37</w:t>
            </w:r>
          </w:p>
        </w:tc>
        <w:tc>
          <w:tcPr>
            <w:tcW w:w="463" w:type="dxa"/>
            <w:tcBorders>
              <w:right w:val="nil"/>
            </w:tcBorders>
            <w:vAlign w:val="top"/>
          </w:tcPr>
          <w:p w14:paraId="10E86E5C">
            <w:pPr>
              <w:spacing w:before="98" w:line="195" w:lineRule="auto"/>
              <w:ind w:left="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2.31</w:t>
            </w:r>
          </w:p>
        </w:tc>
      </w:tr>
      <w:tr w14:paraId="5D4C34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674" w:type="dxa"/>
            <w:tcBorders>
              <w:left w:val="nil"/>
            </w:tcBorders>
            <w:vAlign w:val="top"/>
          </w:tcPr>
          <w:p w14:paraId="1FC74E69">
            <w:pPr>
              <w:pStyle w:val="6"/>
              <w:spacing w:before="64" w:line="217" w:lineRule="auto"/>
              <w:ind w:left="136"/>
              <w:rPr>
                <w:sz w:val="20"/>
                <w:szCs w:val="20"/>
              </w:rPr>
            </w:pPr>
            <w:r>
              <w:rPr>
                <w:spacing w:val="3"/>
                <w:sz w:val="20"/>
                <w:szCs w:val="20"/>
              </w:rPr>
              <w:t>六月</w:t>
            </w:r>
          </w:p>
        </w:tc>
        <w:tc>
          <w:tcPr>
            <w:tcW w:w="476" w:type="dxa"/>
            <w:vAlign w:val="top"/>
          </w:tcPr>
          <w:p w14:paraId="78602DA1">
            <w:pPr>
              <w:spacing w:before="101"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1.10</w:t>
            </w:r>
          </w:p>
        </w:tc>
        <w:tc>
          <w:tcPr>
            <w:tcW w:w="481" w:type="dxa"/>
            <w:vAlign w:val="top"/>
          </w:tcPr>
          <w:p w14:paraId="5BA9CBB2">
            <w:pPr>
              <w:spacing w:before="101"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0.92</w:t>
            </w:r>
          </w:p>
        </w:tc>
        <w:tc>
          <w:tcPr>
            <w:tcW w:w="481" w:type="dxa"/>
            <w:vAlign w:val="top"/>
          </w:tcPr>
          <w:p w14:paraId="4FABBB70">
            <w:pPr>
              <w:spacing w:before="101"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1.04</w:t>
            </w:r>
          </w:p>
        </w:tc>
        <w:tc>
          <w:tcPr>
            <w:tcW w:w="481" w:type="dxa"/>
            <w:vAlign w:val="top"/>
          </w:tcPr>
          <w:p w14:paraId="1A27ED92">
            <w:pPr>
              <w:spacing w:before="101"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1.40</w:t>
            </w:r>
          </w:p>
        </w:tc>
        <w:tc>
          <w:tcPr>
            <w:tcW w:w="481" w:type="dxa"/>
            <w:vAlign w:val="top"/>
          </w:tcPr>
          <w:p w14:paraId="502A7CE7">
            <w:pPr>
              <w:spacing w:before="101"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1.65</w:t>
            </w:r>
          </w:p>
        </w:tc>
        <w:tc>
          <w:tcPr>
            <w:tcW w:w="481" w:type="dxa"/>
            <w:vAlign w:val="top"/>
          </w:tcPr>
          <w:p w14:paraId="28483CF1">
            <w:pPr>
              <w:spacing w:before="101"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1.25</w:t>
            </w:r>
          </w:p>
        </w:tc>
        <w:tc>
          <w:tcPr>
            <w:tcW w:w="481" w:type="dxa"/>
            <w:vAlign w:val="top"/>
          </w:tcPr>
          <w:p w14:paraId="752AEFE6">
            <w:pPr>
              <w:spacing w:before="101"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1.94</w:t>
            </w:r>
          </w:p>
        </w:tc>
        <w:tc>
          <w:tcPr>
            <w:tcW w:w="481" w:type="dxa"/>
            <w:vAlign w:val="top"/>
          </w:tcPr>
          <w:p w14:paraId="6E534C54">
            <w:pPr>
              <w:spacing w:before="101"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1.59</w:t>
            </w:r>
          </w:p>
        </w:tc>
        <w:tc>
          <w:tcPr>
            <w:tcW w:w="481" w:type="dxa"/>
            <w:vAlign w:val="top"/>
          </w:tcPr>
          <w:p w14:paraId="5E57818D">
            <w:pPr>
              <w:spacing w:before="101"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2.31</w:t>
            </w:r>
          </w:p>
        </w:tc>
        <w:tc>
          <w:tcPr>
            <w:tcW w:w="481" w:type="dxa"/>
            <w:vAlign w:val="top"/>
          </w:tcPr>
          <w:p w14:paraId="597B2ED9">
            <w:pPr>
              <w:spacing w:before="101"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2.16</w:t>
            </w:r>
          </w:p>
        </w:tc>
        <w:tc>
          <w:tcPr>
            <w:tcW w:w="481" w:type="dxa"/>
            <w:vAlign w:val="top"/>
          </w:tcPr>
          <w:p w14:paraId="752D623A">
            <w:pPr>
              <w:spacing w:before="101"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2.99</w:t>
            </w:r>
          </w:p>
        </w:tc>
        <w:tc>
          <w:tcPr>
            <w:tcW w:w="554" w:type="dxa"/>
            <w:vAlign w:val="top"/>
          </w:tcPr>
          <w:p w14:paraId="753EEC41">
            <w:pPr>
              <w:spacing w:before="101"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3.15</w:t>
            </w:r>
          </w:p>
        </w:tc>
        <w:tc>
          <w:tcPr>
            <w:tcW w:w="481" w:type="dxa"/>
            <w:vAlign w:val="top"/>
          </w:tcPr>
          <w:p w14:paraId="30BF4B57">
            <w:pPr>
              <w:spacing w:before="101" w:line="195" w:lineRule="auto"/>
              <w:ind w:left="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3.20</w:t>
            </w:r>
          </w:p>
        </w:tc>
        <w:tc>
          <w:tcPr>
            <w:tcW w:w="592" w:type="dxa"/>
            <w:vAlign w:val="top"/>
          </w:tcPr>
          <w:p w14:paraId="74F9DB22">
            <w:pPr>
              <w:spacing w:before="101" w:line="195" w:lineRule="auto"/>
              <w:ind w:left="11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2.79</w:t>
            </w:r>
          </w:p>
        </w:tc>
        <w:tc>
          <w:tcPr>
            <w:tcW w:w="481" w:type="dxa"/>
            <w:vAlign w:val="top"/>
          </w:tcPr>
          <w:p w14:paraId="1CD82343">
            <w:pPr>
              <w:spacing w:before="101"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2.71</w:t>
            </w:r>
          </w:p>
        </w:tc>
        <w:tc>
          <w:tcPr>
            <w:tcW w:w="541" w:type="dxa"/>
            <w:vAlign w:val="top"/>
          </w:tcPr>
          <w:p w14:paraId="2BB99A23">
            <w:pPr>
              <w:spacing w:before="101" w:line="195" w:lineRule="auto"/>
              <w:ind w:left="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2.27</w:t>
            </w:r>
          </w:p>
        </w:tc>
        <w:tc>
          <w:tcPr>
            <w:tcW w:w="463" w:type="dxa"/>
            <w:tcBorders>
              <w:right w:val="nil"/>
            </w:tcBorders>
            <w:vAlign w:val="top"/>
          </w:tcPr>
          <w:p w14:paraId="22A15C1D">
            <w:pPr>
              <w:spacing w:before="101" w:line="195" w:lineRule="auto"/>
              <w:ind w:left="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r>
      <w:tr w14:paraId="4AFEAD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674" w:type="dxa"/>
            <w:tcBorders>
              <w:left w:val="nil"/>
            </w:tcBorders>
            <w:vAlign w:val="top"/>
          </w:tcPr>
          <w:p w14:paraId="5E66B469">
            <w:pPr>
              <w:pStyle w:val="6"/>
              <w:spacing w:before="67" w:line="215" w:lineRule="auto"/>
              <w:ind w:left="133"/>
              <w:rPr>
                <w:sz w:val="20"/>
                <w:szCs w:val="20"/>
              </w:rPr>
            </w:pPr>
            <w:r>
              <w:rPr>
                <w:spacing w:val="5"/>
                <w:sz w:val="20"/>
                <w:szCs w:val="20"/>
              </w:rPr>
              <w:t>七月</w:t>
            </w:r>
          </w:p>
        </w:tc>
        <w:tc>
          <w:tcPr>
            <w:tcW w:w="476" w:type="dxa"/>
            <w:vAlign w:val="top"/>
          </w:tcPr>
          <w:p w14:paraId="3A6D2BDD">
            <w:pPr>
              <w:spacing w:before="102"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0.82</w:t>
            </w:r>
          </w:p>
        </w:tc>
        <w:tc>
          <w:tcPr>
            <w:tcW w:w="481" w:type="dxa"/>
            <w:vAlign w:val="top"/>
          </w:tcPr>
          <w:p w14:paraId="426F93E1">
            <w:pPr>
              <w:spacing w:before="102"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0.45</w:t>
            </w:r>
          </w:p>
        </w:tc>
        <w:tc>
          <w:tcPr>
            <w:tcW w:w="481" w:type="dxa"/>
            <w:vAlign w:val="top"/>
          </w:tcPr>
          <w:p w14:paraId="2E336EA9">
            <w:pPr>
              <w:spacing w:before="102"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0.76</w:t>
            </w:r>
          </w:p>
        </w:tc>
        <w:tc>
          <w:tcPr>
            <w:tcW w:w="481" w:type="dxa"/>
            <w:vAlign w:val="top"/>
          </w:tcPr>
          <w:p w14:paraId="2E84534E">
            <w:pPr>
              <w:spacing w:before="102"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1.06</w:t>
            </w:r>
          </w:p>
        </w:tc>
        <w:tc>
          <w:tcPr>
            <w:tcW w:w="481" w:type="dxa"/>
            <w:vAlign w:val="top"/>
          </w:tcPr>
          <w:p w14:paraId="6712B7B0">
            <w:pPr>
              <w:spacing w:before="102"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1.04</w:t>
            </w:r>
          </w:p>
        </w:tc>
        <w:tc>
          <w:tcPr>
            <w:tcW w:w="481" w:type="dxa"/>
            <w:vAlign w:val="top"/>
          </w:tcPr>
          <w:p w14:paraId="376EC5A7">
            <w:pPr>
              <w:spacing w:before="102"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1.24</w:t>
            </w:r>
          </w:p>
        </w:tc>
        <w:tc>
          <w:tcPr>
            <w:tcW w:w="481" w:type="dxa"/>
            <w:vAlign w:val="top"/>
          </w:tcPr>
          <w:p w14:paraId="32246292">
            <w:pPr>
              <w:spacing w:before="102"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1.50</w:t>
            </w:r>
          </w:p>
        </w:tc>
        <w:tc>
          <w:tcPr>
            <w:tcW w:w="481" w:type="dxa"/>
            <w:vAlign w:val="top"/>
          </w:tcPr>
          <w:p w14:paraId="3B843193">
            <w:pPr>
              <w:spacing w:before="102"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1.55</w:t>
            </w:r>
          </w:p>
        </w:tc>
        <w:tc>
          <w:tcPr>
            <w:tcW w:w="481" w:type="dxa"/>
            <w:vAlign w:val="top"/>
          </w:tcPr>
          <w:p w14:paraId="23291366">
            <w:pPr>
              <w:spacing w:before="102"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1.73</w:t>
            </w:r>
          </w:p>
        </w:tc>
        <w:tc>
          <w:tcPr>
            <w:tcW w:w="481" w:type="dxa"/>
            <w:vAlign w:val="top"/>
          </w:tcPr>
          <w:p w14:paraId="2B6E9566">
            <w:pPr>
              <w:spacing w:before="102"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2.04</w:t>
            </w:r>
          </w:p>
        </w:tc>
        <w:tc>
          <w:tcPr>
            <w:tcW w:w="481" w:type="dxa"/>
            <w:vAlign w:val="top"/>
          </w:tcPr>
          <w:p w14:paraId="3C8878D8">
            <w:pPr>
              <w:spacing w:before="102"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2.06</w:t>
            </w:r>
          </w:p>
        </w:tc>
        <w:tc>
          <w:tcPr>
            <w:tcW w:w="554" w:type="dxa"/>
            <w:vAlign w:val="top"/>
          </w:tcPr>
          <w:p w14:paraId="755CB931">
            <w:pPr>
              <w:spacing w:before="102" w:line="195" w:lineRule="auto"/>
              <w:ind w:left="1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1.76</w:t>
            </w:r>
          </w:p>
        </w:tc>
        <w:tc>
          <w:tcPr>
            <w:tcW w:w="481" w:type="dxa"/>
            <w:vAlign w:val="top"/>
          </w:tcPr>
          <w:p w14:paraId="72018F60">
            <w:pPr>
              <w:spacing w:before="102"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1.65</w:t>
            </w:r>
          </w:p>
        </w:tc>
        <w:tc>
          <w:tcPr>
            <w:tcW w:w="592" w:type="dxa"/>
            <w:vAlign w:val="top"/>
          </w:tcPr>
          <w:p w14:paraId="78228C31">
            <w:pPr>
              <w:spacing w:before="102" w:line="195" w:lineRule="auto"/>
              <w:ind w:left="1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1.73</w:t>
            </w:r>
          </w:p>
        </w:tc>
        <w:tc>
          <w:tcPr>
            <w:tcW w:w="481" w:type="dxa"/>
            <w:vAlign w:val="top"/>
          </w:tcPr>
          <w:p w14:paraId="6CFC1A2B">
            <w:pPr>
              <w:spacing w:before="102"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2.79</w:t>
            </w:r>
          </w:p>
        </w:tc>
        <w:tc>
          <w:tcPr>
            <w:tcW w:w="541" w:type="dxa"/>
            <w:vAlign w:val="top"/>
          </w:tcPr>
          <w:p w14:paraId="568FEA4E">
            <w:pPr>
              <w:spacing w:before="102" w:line="195" w:lineRule="auto"/>
              <w:ind w:left="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2.68</w:t>
            </w:r>
          </w:p>
        </w:tc>
        <w:tc>
          <w:tcPr>
            <w:tcW w:w="463" w:type="dxa"/>
            <w:tcBorders>
              <w:right w:val="nil"/>
            </w:tcBorders>
            <w:vAlign w:val="top"/>
          </w:tcPr>
          <w:p w14:paraId="496D3A28">
            <w:pPr>
              <w:spacing w:before="102" w:line="195" w:lineRule="auto"/>
              <w:ind w:left="6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1.55</w:t>
            </w:r>
          </w:p>
        </w:tc>
      </w:tr>
      <w:tr w14:paraId="0D00F0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674" w:type="dxa"/>
            <w:tcBorders>
              <w:left w:val="nil"/>
            </w:tcBorders>
            <w:vAlign w:val="top"/>
          </w:tcPr>
          <w:p w14:paraId="2D4A6F67">
            <w:pPr>
              <w:pStyle w:val="6"/>
              <w:spacing w:before="69" w:line="213" w:lineRule="auto"/>
              <w:ind w:left="137"/>
              <w:rPr>
                <w:sz w:val="20"/>
                <w:szCs w:val="20"/>
              </w:rPr>
            </w:pPr>
            <w:r>
              <w:rPr>
                <w:spacing w:val="3"/>
                <w:sz w:val="20"/>
                <w:szCs w:val="20"/>
              </w:rPr>
              <w:t>八月</w:t>
            </w:r>
          </w:p>
        </w:tc>
        <w:tc>
          <w:tcPr>
            <w:tcW w:w="476" w:type="dxa"/>
            <w:vAlign w:val="top"/>
          </w:tcPr>
          <w:p w14:paraId="53129553">
            <w:pPr>
              <w:spacing w:before="104"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481" w:type="dxa"/>
            <w:vAlign w:val="top"/>
          </w:tcPr>
          <w:p w14:paraId="196B9ACE">
            <w:pPr>
              <w:spacing w:before="104"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0.39</w:t>
            </w:r>
          </w:p>
        </w:tc>
        <w:tc>
          <w:tcPr>
            <w:tcW w:w="481" w:type="dxa"/>
            <w:vAlign w:val="top"/>
          </w:tcPr>
          <w:p w14:paraId="39255EA4">
            <w:pPr>
              <w:spacing w:before="104"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0.73</w:t>
            </w:r>
          </w:p>
        </w:tc>
        <w:tc>
          <w:tcPr>
            <w:tcW w:w="481" w:type="dxa"/>
            <w:vAlign w:val="top"/>
          </w:tcPr>
          <w:p w14:paraId="0E80DDFD">
            <w:pPr>
              <w:spacing w:before="104"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1.02</w:t>
            </w:r>
          </w:p>
        </w:tc>
        <w:tc>
          <w:tcPr>
            <w:tcW w:w="481" w:type="dxa"/>
            <w:vAlign w:val="top"/>
          </w:tcPr>
          <w:p w14:paraId="52EB2D31">
            <w:pPr>
              <w:spacing w:before="104"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1.18</w:t>
            </w:r>
          </w:p>
        </w:tc>
        <w:tc>
          <w:tcPr>
            <w:tcW w:w="481" w:type="dxa"/>
            <w:vAlign w:val="top"/>
          </w:tcPr>
          <w:p w14:paraId="78824119">
            <w:pPr>
              <w:spacing w:before="104"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1.33</w:t>
            </w:r>
          </w:p>
        </w:tc>
        <w:tc>
          <w:tcPr>
            <w:tcW w:w="481" w:type="dxa"/>
            <w:vAlign w:val="top"/>
          </w:tcPr>
          <w:p w14:paraId="41447FAA">
            <w:pPr>
              <w:spacing w:before="104"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1.26</w:t>
            </w:r>
          </w:p>
        </w:tc>
        <w:tc>
          <w:tcPr>
            <w:tcW w:w="481" w:type="dxa"/>
            <w:vAlign w:val="top"/>
          </w:tcPr>
          <w:p w14:paraId="477904B0">
            <w:pPr>
              <w:spacing w:before="104"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1.35</w:t>
            </w:r>
          </w:p>
        </w:tc>
        <w:tc>
          <w:tcPr>
            <w:tcW w:w="481" w:type="dxa"/>
            <w:vAlign w:val="top"/>
          </w:tcPr>
          <w:p w14:paraId="0E23A13D">
            <w:pPr>
              <w:spacing w:before="104"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1.47</w:t>
            </w:r>
          </w:p>
        </w:tc>
        <w:tc>
          <w:tcPr>
            <w:tcW w:w="481" w:type="dxa"/>
            <w:vAlign w:val="top"/>
          </w:tcPr>
          <w:p w14:paraId="408BA195">
            <w:pPr>
              <w:spacing w:before="104"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1.86</w:t>
            </w:r>
          </w:p>
        </w:tc>
        <w:tc>
          <w:tcPr>
            <w:tcW w:w="481" w:type="dxa"/>
            <w:vAlign w:val="top"/>
          </w:tcPr>
          <w:p w14:paraId="5C917F7E">
            <w:pPr>
              <w:spacing w:before="104"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1.58</w:t>
            </w:r>
          </w:p>
        </w:tc>
        <w:tc>
          <w:tcPr>
            <w:tcW w:w="554" w:type="dxa"/>
            <w:vAlign w:val="top"/>
          </w:tcPr>
          <w:p w14:paraId="03184833">
            <w:pPr>
              <w:spacing w:before="104" w:line="195" w:lineRule="auto"/>
              <w:ind w:left="1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1.88</w:t>
            </w:r>
          </w:p>
        </w:tc>
        <w:tc>
          <w:tcPr>
            <w:tcW w:w="481" w:type="dxa"/>
            <w:vAlign w:val="top"/>
          </w:tcPr>
          <w:p w14:paraId="536D4F1E">
            <w:pPr>
              <w:spacing w:before="104"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2.32</w:t>
            </w:r>
          </w:p>
        </w:tc>
        <w:tc>
          <w:tcPr>
            <w:tcW w:w="592" w:type="dxa"/>
            <w:vAlign w:val="top"/>
          </w:tcPr>
          <w:p w14:paraId="414CF8FD">
            <w:pPr>
              <w:spacing w:before="104" w:line="195" w:lineRule="auto"/>
              <w:ind w:left="121"/>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3.</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5"/>
                <w:sz w:val="20"/>
                <w:szCs w:val="20"/>
              </w:rPr>
              <w:t>11</w:t>
            </w:r>
          </w:p>
        </w:tc>
        <w:tc>
          <w:tcPr>
            <w:tcW w:w="481" w:type="dxa"/>
            <w:vAlign w:val="top"/>
          </w:tcPr>
          <w:p w14:paraId="3ABED93F">
            <w:pPr>
              <w:spacing w:before="104"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2.33</w:t>
            </w:r>
          </w:p>
        </w:tc>
        <w:tc>
          <w:tcPr>
            <w:tcW w:w="541" w:type="dxa"/>
            <w:vAlign w:val="top"/>
          </w:tcPr>
          <w:p w14:paraId="2E4AB5DC">
            <w:pPr>
              <w:spacing w:before="104" w:line="195" w:lineRule="auto"/>
              <w:ind w:left="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2.18</w:t>
            </w:r>
          </w:p>
        </w:tc>
        <w:tc>
          <w:tcPr>
            <w:tcW w:w="463" w:type="dxa"/>
            <w:tcBorders>
              <w:right w:val="nil"/>
            </w:tcBorders>
            <w:vAlign w:val="top"/>
          </w:tcPr>
          <w:p w14:paraId="4737519E">
            <w:pPr>
              <w:spacing w:before="104" w:line="195" w:lineRule="auto"/>
              <w:ind w:left="6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1.45</w:t>
            </w:r>
          </w:p>
        </w:tc>
      </w:tr>
      <w:tr w14:paraId="1DB255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674" w:type="dxa"/>
            <w:tcBorders>
              <w:left w:val="nil"/>
            </w:tcBorders>
            <w:vAlign w:val="top"/>
          </w:tcPr>
          <w:p w14:paraId="55AF2041">
            <w:pPr>
              <w:pStyle w:val="6"/>
              <w:spacing w:before="70" w:line="212" w:lineRule="auto"/>
              <w:ind w:left="139"/>
              <w:rPr>
                <w:sz w:val="20"/>
                <w:szCs w:val="20"/>
              </w:rPr>
            </w:pPr>
            <w:r>
              <w:rPr>
                <w:spacing w:val="2"/>
                <w:sz w:val="20"/>
                <w:szCs w:val="20"/>
              </w:rPr>
              <w:t>九月</w:t>
            </w:r>
          </w:p>
        </w:tc>
        <w:tc>
          <w:tcPr>
            <w:tcW w:w="476" w:type="dxa"/>
            <w:vAlign w:val="top"/>
          </w:tcPr>
          <w:p w14:paraId="1B0C7190">
            <w:pPr>
              <w:spacing w:before="106"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1.03</w:t>
            </w:r>
          </w:p>
        </w:tc>
        <w:tc>
          <w:tcPr>
            <w:tcW w:w="481" w:type="dxa"/>
            <w:vAlign w:val="top"/>
          </w:tcPr>
          <w:p w14:paraId="1998F573">
            <w:pPr>
              <w:spacing w:before="106"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0.42</w:t>
            </w:r>
          </w:p>
        </w:tc>
        <w:tc>
          <w:tcPr>
            <w:tcW w:w="481" w:type="dxa"/>
            <w:vAlign w:val="top"/>
          </w:tcPr>
          <w:p w14:paraId="7486799D">
            <w:pPr>
              <w:spacing w:before="106"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0.69</w:t>
            </w:r>
          </w:p>
        </w:tc>
        <w:tc>
          <w:tcPr>
            <w:tcW w:w="481" w:type="dxa"/>
            <w:vAlign w:val="top"/>
          </w:tcPr>
          <w:p w14:paraId="23B12C67">
            <w:pPr>
              <w:spacing w:before="106"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1.01</w:t>
            </w:r>
          </w:p>
        </w:tc>
        <w:tc>
          <w:tcPr>
            <w:tcW w:w="481" w:type="dxa"/>
            <w:vAlign w:val="top"/>
          </w:tcPr>
          <w:p w14:paraId="147DF607">
            <w:pPr>
              <w:spacing w:before="106"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8"/>
                <w:sz w:val="20"/>
                <w:szCs w:val="20"/>
              </w:rPr>
              <w:t>12</w:t>
            </w:r>
          </w:p>
        </w:tc>
        <w:tc>
          <w:tcPr>
            <w:tcW w:w="481" w:type="dxa"/>
            <w:vAlign w:val="top"/>
          </w:tcPr>
          <w:p w14:paraId="59EC973C">
            <w:pPr>
              <w:spacing w:before="106"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1.23</w:t>
            </w:r>
          </w:p>
        </w:tc>
        <w:tc>
          <w:tcPr>
            <w:tcW w:w="481" w:type="dxa"/>
            <w:vAlign w:val="top"/>
          </w:tcPr>
          <w:p w14:paraId="3AFD16A5">
            <w:pPr>
              <w:spacing w:before="106"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1.54</w:t>
            </w:r>
          </w:p>
        </w:tc>
        <w:tc>
          <w:tcPr>
            <w:tcW w:w="481" w:type="dxa"/>
            <w:vAlign w:val="top"/>
          </w:tcPr>
          <w:p w14:paraId="7714FB24">
            <w:pPr>
              <w:spacing w:before="106"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1.36</w:t>
            </w:r>
          </w:p>
        </w:tc>
        <w:tc>
          <w:tcPr>
            <w:tcW w:w="481" w:type="dxa"/>
            <w:vAlign w:val="top"/>
          </w:tcPr>
          <w:p w14:paraId="4467288C">
            <w:pPr>
              <w:spacing w:before="106"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1.65</w:t>
            </w:r>
          </w:p>
        </w:tc>
        <w:tc>
          <w:tcPr>
            <w:tcW w:w="481" w:type="dxa"/>
            <w:vAlign w:val="top"/>
          </w:tcPr>
          <w:p w14:paraId="270E2579">
            <w:pPr>
              <w:spacing w:before="106"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2.40</w:t>
            </w:r>
          </w:p>
        </w:tc>
        <w:tc>
          <w:tcPr>
            <w:tcW w:w="481" w:type="dxa"/>
            <w:vAlign w:val="top"/>
          </w:tcPr>
          <w:p w14:paraId="2CDF2336">
            <w:pPr>
              <w:spacing w:before="106"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2.13</w:t>
            </w:r>
          </w:p>
        </w:tc>
        <w:tc>
          <w:tcPr>
            <w:tcW w:w="554" w:type="dxa"/>
            <w:vAlign w:val="top"/>
          </w:tcPr>
          <w:p w14:paraId="6042C354">
            <w:pPr>
              <w:spacing w:before="106"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2.60</w:t>
            </w:r>
          </w:p>
        </w:tc>
        <w:tc>
          <w:tcPr>
            <w:tcW w:w="481" w:type="dxa"/>
            <w:vAlign w:val="top"/>
          </w:tcPr>
          <w:p w14:paraId="5A06391F">
            <w:pPr>
              <w:spacing w:before="106"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2.59</w:t>
            </w:r>
          </w:p>
        </w:tc>
        <w:tc>
          <w:tcPr>
            <w:tcW w:w="592" w:type="dxa"/>
            <w:vAlign w:val="top"/>
          </w:tcPr>
          <w:p w14:paraId="3630D023">
            <w:pPr>
              <w:spacing w:before="106" w:line="195" w:lineRule="auto"/>
              <w:ind w:left="1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4.68</w:t>
            </w:r>
          </w:p>
        </w:tc>
        <w:tc>
          <w:tcPr>
            <w:tcW w:w="481" w:type="dxa"/>
            <w:vAlign w:val="top"/>
          </w:tcPr>
          <w:p w14:paraId="694B9E85">
            <w:pPr>
              <w:spacing w:before="106"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1.63</w:t>
            </w:r>
          </w:p>
        </w:tc>
        <w:tc>
          <w:tcPr>
            <w:tcW w:w="541" w:type="dxa"/>
            <w:vAlign w:val="top"/>
          </w:tcPr>
          <w:p w14:paraId="4005309D">
            <w:pPr>
              <w:spacing w:before="106"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1.63</w:t>
            </w:r>
          </w:p>
        </w:tc>
        <w:tc>
          <w:tcPr>
            <w:tcW w:w="463" w:type="dxa"/>
            <w:tcBorders>
              <w:right w:val="nil"/>
            </w:tcBorders>
            <w:vAlign w:val="top"/>
          </w:tcPr>
          <w:p w14:paraId="137B1FE1">
            <w:pPr>
              <w:spacing w:before="106" w:line="195" w:lineRule="auto"/>
              <w:ind w:left="6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1.70</w:t>
            </w:r>
          </w:p>
        </w:tc>
      </w:tr>
      <w:tr w14:paraId="6FB4D0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674" w:type="dxa"/>
            <w:tcBorders>
              <w:left w:val="nil"/>
              <w:bottom w:val="single" w:color="000000" w:sz="10" w:space="0"/>
            </w:tcBorders>
            <w:vAlign w:val="top"/>
          </w:tcPr>
          <w:p w14:paraId="6CB00440">
            <w:pPr>
              <w:pStyle w:val="6"/>
              <w:spacing w:before="72" w:line="228" w:lineRule="auto"/>
              <w:ind w:left="135"/>
              <w:rPr>
                <w:sz w:val="20"/>
                <w:szCs w:val="20"/>
              </w:rPr>
            </w:pPr>
            <w:r>
              <w:rPr>
                <w:spacing w:val="4"/>
                <w:sz w:val="20"/>
                <w:szCs w:val="20"/>
              </w:rPr>
              <w:t>十月</w:t>
            </w:r>
          </w:p>
        </w:tc>
        <w:tc>
          <w:tcPr>
            <w:tcW w:w="476" w:type="dxa"/>
            <w:tcBorders>
              <w:bottom w:val="single" w:color="000000" w:sz="10" w:space="0"/>
            </w:tcBorders>
            <w:vAlign w:val="top"/>
          </w:tcPr>
          <w:p w14:paraId="62B258EC">
            <w:pPr>
              <w:spacing w:before="108"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0.54</w:t>
            </w:r>
          </w:p>
        </w:tc>
        <w:tc>
          <w:tcPr>
            <w:tcW w:w="481" w:type="dxa"/>
            <w:tcBorders>
              <w:bottom w:val="single" w:color="000000" w:sz="10" w:space="0"/>
            </w:tcBorders>
            <w:vAlign w:val="top"/>
          </w:tcPr>
          <w:p w14:paraId="0374F838">
            <w:pPr>
              <w:spacing w:before="108"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0.73</w:t>
            </w:r>
          </w:p>
        </w:tc>
        <w:tc>
          <w:tcPr>
            <w:tcW w:w="481" w:type="dxa"/>
            <w:tcBorders>
              <w:bottom w:val="single" w:color="000000" w:sz="10" w:space="0"/>
            </w:tcBorders>
            <w:vAlign w:val="top"/>
          </w:tcPr>
          <w:p w14:paraId="0704893C">
            <w:pPr>
              <w:spacing w:before="108"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0.69</w:t>
            </w:r>
          </w:p>
        </w:tc>
        <w:tc>
          <w:tcPr>
            <w:tcW w:w="481" w:type="dxa"/>
            <w:tcBorders>
              <w:bottom w:val="single" w:color="000000" w:sz="10" w:space="0"/>
            </w:tcBorders>
            <w:vAlign w:val="top"/>
          </w:tcPr>
          <w:p w14:paraId="1DB86246">
            <w:pPr>
              <w:spacing w:before="10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1.01</w:t>
            </w:r>
          </w:p>
        </w:tc>
        <w:tc>
          <w:tcPr>
            <w:tcW w:w="481" w:type="dxa"/>
            <w:tcBorders>
              <w:bottom w:val="single" w:color="000000" w:sz="10" w:space="0"/>
            </w:tcBorders>
            <w:vAlign w:val="top"/>
          </w:tcPr>
          <w:p w14:paraId="38CD4C50">
            <w:pPr>
              <w:spacing w:before="108"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1.10</w:t>
            </w:r>
          </w:p>
        </w:tc>
        <w:tc>
          <w:tcPr>
            <w:tcW w:w="481" w:type="dxa"/>
            <w:tcBorders>
              <w:bottom w:val="single" w:color="000000" w:sz="10" w:space="0"/>
            </w:tcBorders>
            <w:vAlign w:val="top"/>
          </w:tcPr>
          <w:p w14:paraId="0EDCF5BD">
            <w:pPr>
              <w:spacing w:before="108" w:line="195" w:lineRule="auto"/>
              <w:ind w:left="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0.96</w:t>
            </w:r>
          </w:p>
        </w:tc>
        <w:tc>
          <w:tcPr>
            <w:tcW w:w="481" w:type="dxa"/>
            <w:tcBorders>
              <w:bottom w:val="single" w:color="000000" w:sz="10" w:space="0"/>
            </w:tcBorders>
            <w:vAlign w:val="top"/>
          </w:tcPr>
          <w:p w14:paraId="3B867748">
            <w:pPr>
              <w:spacing w:before="108"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1.10</w:t>
            </w:r>
          </w:p>
        </w:tc>
        <w:tc>
          <w:tcPr>
            <w:tcW w:w="481" w:type="dxa"/>
            <w:tcBorders>
              <w:bottom w:val="single" w:color="000000" w:sz="10" w:space="0"/>
            </w:tcBorders>
            <w:vAlign w:val="top"/>
          </w:tcPr>
          <w:p w14:paraId="6DC788ED">
            <w:pPr>
              <w:spacing w:before="108"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1.22</w:t>
            </w:r>
          </w:p>
        </w:tc>
        <w:tc>
          <w:tcPr>
            <w:tcW w:w="481" w:type="dxa"/>
            <w:tcBorders>
              <w:bottom w:val="single" w:color="000000" w:sz="10" w:space="0"/>
            </w:tcBorders>
            <w:vAlign w:val="top"/>
          </w:tcPr>
          <w:p w14:paraId="16CE76B4">
            <w:pPr>
              <w:spacing w:before="10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1.19</w:t>
            </w:r>
          </w:p>
        </w:tc>
        <w:tc>
          <w:tcPr>
            <w:tcW w:w="481" w:type="dxa"/>
            <w:tcBorders>
              <w:bottom w:val="single" w:color="000000" w:sz="10" w:space="0"/>
            </w:tcBorders>
            <w:vAlign w:val="top"/>
          </w:tcPr>
          <w:p w14:paraId="3C737F41">
            <w:pPr>
              <w:spacing w:before="108"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1.50</w:t>
            </w:r>
          </w:p>
        </w:tc>
        <w:tc>
          <w:tcPr>
            <w:tcW w:w="481" w:type="dxa"/>
            <w:tcBorders>
              <w:bottom w:val="single" w:color="000000" w:sz="10" w:space="0"/>
            </w:tcBorders>
            <w:vAlign w:val="top"/>
          </w:tcPr>
          <w:p w14:paraId="2CF130E4">
            <w:pPr>
              <w:spacing w:before="108"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2.20</w:t>
            </w:r>
          </w:p>
        </w:tc>
        <w:tc>
          <w:tcPr>
            <w:tcW w:w="554" w:type="dxa"/>
            <w:tcBorders>
              <w:bottom w:val="single" w:color="000000" w:sz="10" w:space="0"/>
            </w:tcBorders>
            <w:vAlign w:val="top"/>
          </w:tcPr>
          <w:p w14:paraId="1CAEDA4A">
            <w:pPr>
              <w:spacing w:before="108"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2.46</w:t>
            </w:r>
          </w:p>
        </w:tc>
        <w:tc>
          <w:tcPr>
            <w:tcW w:w="481" w:type="dxa"/>
            <w:tcBorders>
              <w:bottom w:val="single" w:color="000000" w:sz="10" w:space="0"/>
            </w:tcBorders>
            <w:vAlign w:val="top"/>
          </w:tcPr>
          <w:p w14:paraId="7FA1399A">
            <w:pPr>
              <w:spacing w:before="108"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2.79</w:t>
            </w:r>
          </w:p>
        </w:tc>
        <w:tc>
          <w:tcPr>
            <w:tcW w:w="592" w:type="dxa"/>
            <w:tcBorders>
              <w:bottom w:val="single" w:color="000000" w:sz="10" w:space="0"/>
            </w:tcBorders>
            <w:vAlign w:val="top"/>
          </w:tcPr>
          <w:p w14:paraId="76F21131">
            <w:pPr>
              <w:spacing w:before="108"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3.75</w:t>
            </w:r>
          </w:p>
        </w:tc>
        <w:tc>
          <w:tcPr>
            <w:tcW w:w="481" w:type="dxa"/>
            <w:tcBorders>
              <w:bottom w:val="single" w:color="000000" w:sz="10" w:space="0"/>
            </w:tcBorders>
            <w:vAlign w:val="top"/>
          </w:tcPr>
          <w:p w14:paraId="3B6729A6">
            <w:pPr>
              <w:spacing w:before="108"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2.21</w:t>
            </w:r>
          </w:p>
        </w:tc>
        <w:tc>
          <w:tcPr>
            <w:tcW w:w="541" w:type="dxa"/>
            <w:tcBorders>
              <w:bottom w:val="single" w:color="000000" w:sz="10" w:space="0"/>
            </w:tcBorders>
            <w:vAlign w:val="top"/>
          </w:tcPr>
          <w:p w14:paraId="52EE4F3B">
            <w:pPr>
              <w:spacing w:before="108"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1.75</w:t>
            </w:r>
          </w:p>
        </w:tc>
        <w:tc>
          <w:tcPr>
            <w:tcW w:w="463" w:type="dxa"/>
            <w:tcBorders>
              <w:bottom w:val="single" w:color="000000" w:sz="10" w:space="0"/>
              <w:right w:val="nil"/>
            </w:tcBorders>
            <w:vAlign w:val="top"/>
          </w:tcPr>
          <w:p w14:paraId="6334BAB3">
            <w:pPr>
              <w:spacing w:before="108" w:line="195" w:lineRule="auto"/>
              <w:ind w:left="6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1.49</w:t>
            </w:r>
          </w:p>
        </w:tc>
      </w:tr>
    </w:tbl>
    <w:p w14:paraId="660241DD">
      <w:pPr>
        <w:pStyle w:val="2"/>
      </w:pPr>
    </w:p>
    <w:p w14:paraId="1C642054">
      <w:pPr>
        <w:sectPr>
          <w:footerReference r:id="rId260" w:type="default"/>
          <w:pgSz w:w="11906" w:h="16839"/>
          <w:pgMar w:top="1191" w:right="1402" w:bottom="1156" w:left="1417" w:header="882" w:footer="994" w:gutter="0"/>
          <w:cols w:space="720" w:num="1"/>
        </w:sectPr>
      </w:pPr>
    </w:p>
    <w:p w14:paraId="41ACF49F">
      <w:pPr>
        <w:spacing w:line="28" w:lineRule="exact"/>
      </w:pPr>
      <w:r>
        <w:pict>
          <v:shape id="_x0000_s1282" o:spid="_x0000_s1282" style="height:1.45pt;width:453.65pt;" fillcolor="#000000" filled="t" stroked="f" coordsize="9072,29" path="m0,0l9072,0,9072,28,0,28,0,0xe">
            <v:path/>
            <v:fill on="t" focussize="0,0"/>
            <v:stroke on="f"/>
            <v:imagedata o:title=""/>
            <o:lock v:ext="edit"/>
            <w10:wrap type="none"/>
            <w10:anchorlock/>
          </v:shape>
        </w:pict>
      </w:r>
    </w:p>
    <w:p w14:paraId="22F93388">
      <w:pPr>
        <w:spacing w:line="196" w:lineRule="exact"/>
      </w:pPr>
    </w:p>
    <w:tbl>
      <w:tblPr>
        <w:tblStyle w:val="5"/>
        <w:tblW w:w="907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4"/>
        <w:gridCol w:w="476"/>
        <w:gridCol w:w="480"/>
        <w:gridCol w:w="481"/>
        <w:gridCol w:w="481"/>
        <w:gridCol w:w="481"/>
        <w:gridCol w:w="481"/>
        <w:gridCol w:w="481"/>
        <w:gridCol w:w="481"/>
        <w:gridCol w:w="481"/>
        <w:gridCol w:w="481"/>
        <w:gridCol w:w="481"/>
        <w:gridCol w:w="554"/>
        <w:gridCol w:w="481"/>
        <w:gridCol w:w="592"/>
        <w:gridCol w:w="481"/>
        <w:gridCol w:w="541"/>
        <w:gridCol w:w="463"/>
      </w:tblGrid>
      <w:tr w14:paraId="282037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74" w:type="dxa"/>
            <w:tcBorders>
              <w:top w:val="single" w:color="000000" w:sz="10" w:space="0"/>
              <w:left w:val="nil"/>
            </w:tcBorders>
            <w:vAlign w:val="top"/>
          </w:tcPr>
          <w:p w14:paraId="60FE271F">
            <w:pPr>
              <w:pStyle w:val="6"/>
              <w:spacing w:before="56" w:line="228" w:lineRule="auto"/>
              <w:ind w:left="139"/>
              <w:rPr>
                <w:sz w:val="20"/>
                <w:szCs w:val="20"/>
              </w:rPr>
            </w:pPr>
            <w:r>
              <w:rPr>
                <w:spacing w:val="2"/>
                <w:sz w:val="20"/>
                <w:szCs w:val="20"/>
              </w:rPr>
              <w:t>月份</w:t>
            </w:r>
          </w:p>
        </w:tc>
        <w:tc>
          <w:tcPr>
            <w:tcW w:w="476" w:type="dxa"/>
            <w:tcBorders>
              <w:top w:val="single" w:color="000000" w:sz="10" w:space="0"/>
            </w:tcBorders>
            <w:vAlign w:val="top"/>
          </w:tcPr>
          <w:p w14:paraId="392B8789">
            <w:pPr>
              <w:spacing w:before="95" w:line="192" w:lineRule="auto"/>
              <w:ind w:left="15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t>
            </w:r>
          </w:p>
        </w:tc>
        <w:tc>
          <w:tcPr>
            <w:tcW w:w="480" w:type="dxa"/>
            <w:tcBorders>
              <w:top w:val="single" w:color="000000" w:sz="10" w:space="0"/>
            </w:tcBorders>
            <w:vAlign w:val="top"/>
          </w:tcPr>
          <w:p w14:paraId="5FEC9EE2">
            <w:pPr>
              <w:spacing w:before="95" w:line="192" w:lineRule="auto"/>
              <w:ind w:left="19"/>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NNE</w:t>
            </w:r>
          </w:p>
        </w:tc>
        <w:tc>
          <w:tcPr>
            <w:tcW w:w="481" w:type="dxa"/>
            <w:tcBorders>
              <w:top w:val="single" w:color="000000" w:sz="10" w:space="0"/>
            </w:tcBorders>
            <w:vAlign w:val="top"/>
          </w:tcPr>
          <w:p w14:paraId="60D745E9">
            <w:pPr>
              <w:spacing w:before="95" w:line="192" w:lineRule="auto"/>
              <w:ind w:left="96"/>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NE</w:t>
            </w:r>
          </w:p>
        </w:tc>
        <w:tc>
          <w:tcPr>
            <w:tcW w:w="481" w:type="dxa"/>
            <w:tcBorders>
              <w:top w:val="single" w:color="000000" w:sz="10" w:space="0"/>
            </w:tcBorders>
            <w:vAlign w:val="top"/>
          </w:tcPr>
          <w:p w14:paraId="10A1C269">
            <w:pPr>
              <w:spacing w:before="95" w:line="192" w:lineRule="auto"/>
              <w:ind w:left="3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ENE</w:t>
            </w:r>
          </w:p>
        </w:tc>
        <w:tc>
          <w:tcPr>
            <w:tcW w:w="481" w:type="dxa"/>
            <w:tcBorders>
              <w:top w:val="single" w:color="000000" w:sz="10" w:space="0"/>
            </w:tcBorders>
            <w:vAlign w:val="top"/>
          </w:tcPr>
          <w:p w14:paraId="000F1FEF">
            <w:pPr>
              <w:spacing w:before="95" w:line="192" w:lineRule="auto"/>
              <w:ind w:left="178"/>
              <w:rPr>
                <w:rFonts w:ascii="Times New Roman" w:hAnsi="Times New Roman" w:eastAsia="Times New Roman" w:cs="Times New Roman"/>
                <w:sz w:val="20"/>
                <w:szCs w:val="20"/>
              </w:rPr>
            </w:pPr>
            <w:r>
              <w:rPr>
                <w:rFonts w:ascii="Times New Roman" w:hAnsi="Times New Roman" w:eastAsia="Times New Roman" w:cs="Times New Roman"/>
                <w:sz w:val="20"/>
                <w:szCs w:val="20"/>
              </w:rPr>
              <w:t>E</w:t>
            </w:r>
          </w:p>
        </w:tc>
        <w:tc>
          <w:tcPr>
            <w:tcW w:w="481" w:type="dxa"/>
            <w:tcBorders>
              <w:top w:val="single" w:color="000000" w:sz="10" w:space="0"/>
            </w:tcBorders>
            <w:vAlign w:val="top"/>
          </w:tcPr>
          <w:p w14:paraId="1B063BDB">
            <w:pPr>
              <w:spacing w:before="92"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ESE</w:t>
            </w:r>
          </w:p>
        </w:tc>
        <w:tc>
          <w:tcPr>
            <w:tcW w:w="481" w:type="dxa"/>
            <w:tcBorders>
              <w:top w:val="single" w:color="000000" w:sz="10" w:space="0"/>
            </w:tcBorders>
            <w:vAlign w:val="top"/>
          </w:tcPr>
          <w:p w14:paraId="633E5D38">
            <w:pPr>
              <w:spacing w:before="92"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SE</w:t>
            </w:r>
          </w:p>
        </w:tc>
        <w:tc>
          <w:tcPr>
            <w:tcW w:w="481" w:type="dxa"/>
            <w:tcBorders>
              <w:top w:val="single" w:color="000000" w:sz="10" w:space="0"/>
            </w:tcBorders>
            <w:vAlign w:val="top"/>
          </w:tcPr>
          <w:p w14:paraId="508FCAA8">
            <w:pPr>
              <w:spacing w:before="92" w:line="195" w:lineRule="auto"/>
              <w:ind w:left="71"/>
              <w:rPr>
                <w:rFonts w:ascii="Times New Roman" w:hAnsi="Times New Roman" w:eastAsia="Times New Roman" w:cs="Times New Roman"/>
                <w:sz w:val="20"/>
                <w:szCs w:val="20"/>
              </w:rPr>
            </w:pPr>
            <w:r>
              <w:rPr>
                <w:rFonts w:ascii="Times New Roman" w:hAnsi="Times New Roman" w:eastAsia="Times New Roman" w:cs="Times New Roman"/>
                <w:sz w:val="20"/>
                <w:szCs w:val="20"/>
              </w:rPr>
              <w:t>SSE</w:t>
            </w:r>
          </w:p>
        </w:tc>
        <w:tc>
          <w:tcPr>
            <w:tcW w:w="481" w:type="dxa"/>
            <w:tcBorders>
              <w:top w:val="single" w:color="000000" w:sz="10" w:space="0"/>
            </w:tcBorders>
            <w:vAlign w:val="top"/>
          </w:tcPr>
          <w:p w14:paraId="427A48D0">
            <w:pPr>
              <w:spacing w:before="92" w:line="195" w:lineRule="auto"/>
              <w:ind w:left="192"/>
              <w:rPr>
                <w:rFonts w:ascii="Times New Roman" w:hAnsi="Times New Roman" w:eastAsia="Times New Roman" w:cs="Times New Roman"/>
                <w:sz w:val="20"/>
                <w:szCs w:val="20"/>
              </w:rPr>
            </w:pPr>
            <w:r>
              <w:rPr>
                <w:rFonts w:ascii="Times New Roman" w:hAnsi="Times New Roman" w:eastAsia="Times New Roman" w:cs="Times New Roman"/>
                <w:sz w:val="20"/>
                <w:szCs w:val="20"/>
              </w:rPr>
              <w:t>S</w:t>
            </w:r>
          </w:p>
        </w:tc>
        <w:tc>
          <w:tcPr>
            <w:tcW w:w="481" w:type="dxa"/>
            <w:tcBorders>
              <w:top w:val="single" w:color="000000" w:sz="10" w:space="0"/>
            </w:tcBorders>
            <w:vAlign w:val="top"/>
          </w:tcPr>
          <w:p w14:paraId="62F4E690">
            <w:pPr>
              <w:spacing w:before="92"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SSW</w:t>
            </w:r>
          </w:p>
        </w:tc>
        <w:tc>
          <w:tcPr>
            <w:tcW w:w="481" w:type="dxa"/>
            <w:tcBorders>
              <w:top w:val="single" w:color="000000" w:sz="10" w:space="0"/>
            </w:tcBorders>
            <w:vAlign w:val="top"/>
          </w:tcPr>
          <w:p w14:paraId="3CA8B84D">
            <w:pPr>
              <w:spacing w:before="92"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SW</w:t>
            </w:r>
          </w:p>
        </w:tc>
        <w:tc>
          <w:tcPr>
            <w:tcW w:w="554" w:type="dxa"/>
            <w:tcBorders>
              <w:top w:val="single" w:color="000000" w:sz="10" w:space="0"/>
            </w:tcBorders>
            <w:vAlign w:val="top"/>
          </w:tcPr>
          <w:p w14:paraId="5A6AC348">
            <w:pPr>
              <w:spacing w:before="92" w:line="195" w:lineRule="auto"/>
              <w:ind w:left="21"/>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WSW</w:t>
            </w:r>
          </w:p>
        </w:tc>
        <w:tc>
          <w:tcPr>
            <w:tcW w:w="481" w:type="dxa"/>
            <w:tcBorders>
              <w:top w:val="single" w:color="000000" w:sz="10" w:space="0"/>
            </w:tcBorders>
            <w:vAlign w:val="top"/>
          </w:tcPr>
          <w:p w14:paraId="6CA9A4D1">
            <w:pPr>
              <w:spacing w:before="95" w:line="192"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W</w:t>
            </w:r>
          </w:p>
        </w:tc>
        <w:tc>
          <w:tcPr>
            <w:tcW w:w="592" w:type="dxa"/>
            <w:tcBorders>
              <w:top w:val="single" w:color="000000" w:sz="10" w:space="0"/>
            </w:tcBorders>
            <w:vAlign w:val="top"/>
          </w:tcPr>
          <w:p w14:paraId="1E05EC51">
            <w:pPr>
              <w:spacing w:before="95" w:line="192" w:lineRule="auto"/>
              <w:ind w:left="22"/>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WNW</w:t>
            </w:r>
          </w:p>
        </w:tc>
        <w:tc>
          <w:tcPr>
            <w:tcW w:w="481" w:type="dxa"/>
            <w:tcBorders>
              <w:top w:val="single" w:color="000000" w:sz="10" w:space="0"/>
            </w:tcBorders>
            <w:vAlign w:val="top"/>
          </w:tcPr>
          <w:p w14:paraId="2E27F5D8">
            <w:pPr>
              <w:spacing w:before="95" w:line="192"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w:t>
            </w:r>
          </w:p>
        </w:tc>
        <w:tc>
          <w:tcPr>
            <w:tcW w:w="541" w:type="dxa"/>
            <w:tcBorders>
              <w:top w:val="single" w:color="000000" w:sz="10" w:space="0"/>
            </w:tcBorders>
            <w:vAlign w:val="top"/>
          </w:tcPr>
          <w:p w14:paraId="6D6E80AC">
            <w:pPr>
              <w:spacing w:before="95" w:line="192" w:lineRule="auto"/>
              <w:ind w:left="14"/>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NNW</w:t>
            </w:r>
          </w:p>
        </w:tc>
        <w:tc>
          <w:tcPr>
            <w:tcW w:w="463" w:type="dxa"/>
            <w:tcBorders>
              <w:top w:val="single" w:color="000000" w:sz="10" w:space="0"/>
              <w:right w:val="nil"/>
            </w:tcBorders>
            <w:vAlign w:val="top"/>
          </w:tcPr>
          <w:p w14:paraId="1EB282AF">
            <w:pPr>
              <w:pStyle w:val="6"/>
              <w:spacing w:before="57" w:line="228" w:lineRule="auto"/>
              <w:ind w:left="28"/>
              <w:rPr>
                <w:sz w:val="20"/>
                <w:szCs w:val="20"/>
              </w:rPr>
            </w:pPr>
            <w:r>
              <w:rPr>
                <w:spacing w:val="5"/>
                <w:sz w:val="20"/>
                <w:szCs w:val="20"/>
              </w:rPr>
              <w:t>平均</w:t>
            </w:r>
          </w:p>
        </w:tc>
      </w:tr>
      <w:tr w14:paraId="6D12B9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674" w:type="dxa"/>
            <w:tcBorders>
              <w:left w:val="nil"/>
            </w:tcBorders>
            <w:vAlign w:val="top"/>
          </w:tcPr>
          <w:p w14:paraId="72614B84">
            <w:pPr>
              <w:pStyle w:val="6"/>
              <w:spacing w:before="53" w:line="226" w:lineRule="auto"/>
              <w:ind w:left="29"/>
              <w:rPr>
                <w:sz w:val="20"/>
                <w:szCs w:val="20"/>
              </w:rPr>
            </w:pPr>
            <w:r>
              <w:rPr>
                <w:spacing w:val="6"/>
                <w:sz w:val="20"/>
                <w:szCs w:val="20"/>
              </w:rPr>
              <w:t>十一月</w:t>
            </w:r>
          </w:p>
        </w:tc>
        <w:tc>
          <w:tcPr>
            <w:tcW w:w="476" w:type="dxa"/>
            <w:vAlign w:val="top"/>
          </w:tcPr>
          <w:p w14:paraId="4455DDFF">
            <w:pPr>
              <w:spacing w:before="88"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0.99</w:t>
            </w:r>
          </w:p>
        </w:tc>
        <w:tc>
          <w:tcPr>
            <w:tcW w:w="480" w:type="dxa"/>
            <w:vAlign w:val="top"/>
          </w:tcPr>
          <w:p w14:paraId="74706FB7">
            <w:pPr>
              <w:spacing w:before="88"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0.95</w:t>
            </w:r>
          </w:p>
        </w:tc>
        <w:tc>
          <w:tcPr>
            <w:tcW w:w="481" w:type="dxa"/>
            <w:vAlign w:val="top"/>
          </w:tcPr>
          <w:p w14:paraId="6DF00D29">
            <w:pPr>
              <w:spacing w:before="8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481" w:type="dxa"/>
            <w:vAlign w:val="top"/>
          </w:tcPr>
          <w:p w14:paraId="5D6C89F8">
            <w:pPr>
              <w:spacing w:before="88"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1.38</w:t>
            </w:r>
          </w:p>
        </w:tc>
        <w:tc>
          <w:tcPr>
            <w:tcW w:w="481" w:type="dxa"/>
            <w:vAlign w:val="top"/>
          </w:tcPr>
          <w:p w14:paraId="3D4231BE">
            <w:pPr>
              <w:spacing w:before="8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1.28</w:t>
            </w:r>
          </w:p>
        </w:tc>
        <w:tc>
          <w:tcPr>
            <w:tcW w:w="481" w:type="dxa"/>
            <w:vAlign w:val="top"/>
          </w:tcPr>
          <w:p w14:paraId="633ABC3B">
            <w:pPr>
              <w:spacing w:before="88"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1.02</w:t>
            </w:r>
          </w:p>
        </w:tc>
        <w:tc>
          <w:tcPr>
            <w:tcW w:w="481" w:type="dxa"/>
            <w:vAlign w:val="top"/>
          </w:tcPr>
          <w:p w14:paraId="213104F2">
            <w:pPr>
              <w:spacing w:before="8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1.33</w:t>
            </w:r>
          </w:p>
        </w:tc>
        <w:tc>
          <w:tcPr>
            <w:tcW w:w="481" w:type="dxa"/>
            <w:vAlign w:val="top"/>
          </w:tcPr>
          <w:p w14:paraId="02D116C7">
            <w:pPr>
              <w:spacing w:before="88"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481" w:type="dxa"/>
            <w:vAlign w:val="top"/>
          </w:tcPr>
          <w:p w14:paraId="290E22E0">
            <w:pPr>
              <w:spacing w:before="88"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1.40</w:t>
            </w:r>
          </w:p>
        </w:tc>
        <w:tc>
          <w:tcPr>
            <w:tcW w:w="481" w:type="dxa"/>
            <w:vAlign w:val="top"/>
          </w:tcPr>
          <w:p w14:paraId="6AFDA9F5">
            <w:pPr>
              <w:spacing w:before="8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1.67</w:t>
            </w:r>
          </w:p>
        </w:tc>
        <w:tc>
          <w:tcPr>
            <w:tcW w:w="481" w:type="dxa"/>
            <w:vAlign w:val="top"/>
          </w:tcPr>
          <w:p w14:paraId="0CD46F22">
            <w:pPr>
              <w:spacing w:before="88"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2.49</w:t>
            </w:r>
          </w:p>
        </w:tc>
        <w:tc>
          <w:tcPr>
            <w:tcW w:w="554" w:type="dxa"/>
            <w:vAlign w:val="top"/>
          </w:tcPr>
          <w:p w14:paraId="25A5453A">
            <w:pPr>
              <w:spacing w:before="88"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2.80</w:t>
            </w:r>
          </w:p>
        </w:tc>
        <w:tc>
          <w:tcPr>
            <w:tcW w:w="481" w:type="dxa"/>
            <w:vAlign w:val="top"/>
          </w:tcPr>
          <w:p w14:paraId="7A0F9AC9">
            <w:pPr>
              <w:spacing w:before="88"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2.49</w:t>
            </w:r>
          </w:p>
        </w:tc>
        <w:tc>
          <w:tcPr>
            <w:tcW w:w="592" w:type="dxa"/>
            <w:vAlign w:val="top"/>
          </w:tcPr>
          <w:p w14:paraId="04962BC4">
            <w:pPr>
              <w:spacing w:before="88" w:line="195" w:lineRule="auto"/>
              <w:ind w:left="1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2.77</w:t>
            </w:r>
          </w:p>
        </w:tc>
        <w:tc>
          <w:tcPr>
            <w:tcW w:w="481" w:type="dxa"/>
            <w:vAlign w:val="top"/>
          </w:tcPr>
          <w:p w14:paraId="7C59A8AD">
            <w:pPr>
              <w:spacing w:before="88" w:line="195" w:lineRule="auto"/>
              <w:ind w:left="6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3.53</w:t>
            </w:r>
          </w:p>
        </w:tc>
        <w:tc>
          <w:tcPr>
            <w:tcW w:w="541" w:type="dxa"/>
            <w:vAlign w:val="top"/>
          </w:tcPr>
          <w:p w14:paraId="353789D5">
            <w:pPr>
              <w:spacing w:before="88"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3.39</w:t>
            </w:r>
          </w:p>
        </w:tc>
        <w:tc>
          <w:tcPr>
            <w:tcW w:w="463" w:type="dxa"/>
            <w:tcBorders>
              <w:right w:val="nil"/>
            </w:tcBorders>
            <w:vAlign w:val="top"/>
          </w:tcPr>
          <w:p w14:paraId="23889119">
            <w:pPr>
              <w:spacing w:before="88" w:line="195" w:lineRule="auto"/>
              <w:ind w:left="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1.76</w:t>
            </w:r>
          </w:p>
        </w:tc>
      </w:tr>
      <w:tr w14:paraId="6B535A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674" w:type="dxa"/>
            <w:tcBorders>
              <w:left w:val="nil"/>
            </w:tcBorders>
            <w:vAlign w:val="top"/>
          </w:tcPr>
          <w:p w14:paraId="791B6F44">
            <w:pPr>
              <w:pStyle w:val="6"/>
              <w:spacing w:before="56" w:line="224" w:lineRule="auto"/>
              <w:ind w:left="29"/>
              <w:rPr>
                <w:sz w:val="20"/>
                <w:szCs w:val="20"/>
              </w:rPr>
            </w:pPr>
            <w:r>
              <w:rPr>
                <w:spacing w:val="6"/>
                <w:sz w:val="20"/>
                <w:szCs w:val="20"/>
              </w:rPr>
              <w:t>十二月</w:t>
            </w:r>
          </w:p>
        </w:tc>
        <w:tc>
          <w:tcPr>
            <w:tcW w:w="476" w:type="dxa"/>
            <w:vAlign w:val="top"/>
          </w:tcPr>
          <w:p w14:paraId="41E46107">
            <w:pPr>
              <w:spacing w:before="92"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0.61</w:t>
            </w:r>
          </w:p>
        </w:tc>
        <w:tc>
          <w:tcPr>
            <w:tcW w:w="480" w:type="dxa"/>
            <w:vAlign w:val="top"/>
          </w:tcPr>
          <w:p w14:paraId="1946B034">
            <w:pPr>
              <w:spacing w:before="92"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0.65</w:t>
            </w:r>
          </w:p>
        </w:tc>
        <w:tc>
          <w:tcPr>
            <w:tcW w:w="481" w:type="dxa"/>
            <w:vAlign w:val="top"/>
          </w:tcPr>
          <w:p w14:paraId="21C76577">
            <w:pPr>
              <w:spacing w:before="92"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0.98</w:t>
            </w:r>
          </w:p>
        </w:tc>
        <w:tc>
          <w:tcPr>
            <w:tcW w:w="481" w:type="dxa"/>
            <w:vAlign w:val="top"/>
          </w:tcPr>
          <w:p w14:paraId="7FDDA3EE">
            <w:pPr>
              <w:spacing w:before="92"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1.09</w:t>
            </w:r>
          </w:p>
        </w:tc>
        <w:tc>
          <w:tcPr>
            <w:tcW w:w="481" w:type="dxa"/>
            <w:vAlign w:val="top"/>
          </w:tcPr>
          <w:p w14:paraId="522D9D53">
            <w:pPr>
              <w:spacing w:before="92"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0.94</w:t>
            </w:r>
          </w:p>
        </w:tc>
        <w:tc>
          <w:tcPr>
            <w:tcW w:w="481" w:type="dxa"/>
            <w:vAlign w:val="top"/>
          </w:tcPr>
          <w:p w14:paraId="35081270">
            <w:pPr>
              <w:spacing w:before="92" w:line="195" w:lineRule="auto"/>
              <w:ind w:left="6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0.95</w:t>
            </w:r>
          </w:p>
        </w:tc>
        <w:tc>
          <w:tcPr>
            <w:tcW w:w="481" w:type="dxa"/>
            <w:vAlign w:val="top"/>
          </w:tcPr>
          <w:p w14:paraId="4AA28EC1">
            <w:pPr>
              <w:spacing w:before="92"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1.08</w:t>
            </w:r>
          </w:p>
        </w:tc>
        <w:tc>
          <w:tcPr>
            <w:tcW w:w="481" w:type="dxa"/>
            <w:vAlign w:val="top"/>
          </w:tcPr>
          <w:p w14:paraId="3A20B7E6">
            <w:pPr>
              <w:spacing w:before="92"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1.23</w:t>
            </w:r>
          </w:p>
        </w:tc>
        <w:tc>
          <w:tcPr>
            <w:tcW w:w="481" w:type="dxa"/>
            <w:vAlign w:val="top"/>
          </w:tcPr>
          <w:p w14:paraId="0437C744">
            <w:pPr>
              <w:spacing w:before="92"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1.23</w:t>
            </w:r>
          </w:p>
        </w:tc>
        <w:tc>
          <w:tcPr>
            <w:tcW w:w="481" w:type="dxa"/>
            <w:vAlign w:val="top"/>
          </w:tcPr>
          <w:p w14:paraId="716BAB4C">
            <w:pPr>
              <w:spacing w:before="92"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1.57</w:t>
            </w:r>
          </w:p>
        </w:tc>
        <w:tc>
          <w:tcPr>
            <w:tcW w:w="481" w:type="dxa"/>
            <w:vAlign w:val="top"/>
          </w:tcPr>
          <w:p w14:paraId="24868E8E">
            <w:pPr>
              <w:spacing w:before="92"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1.90</w:t>
            </w:r>
          </w:p>
        </w:tc>
        <w:tc>
          <w:tcPr>
            <w:tcW w:w="554" w:type="dxa"/>
            <w:vAlign w:val="top"/>
          </w:tcPr>
          <w:p w14:paraId="1F26B06F">
            <w:pPr>
              <w:spacing w:before="92"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2.48</w:t>
            </w:r>
          </w:p>
        </w:tc>
        <w:tc>
          <w:tcPr>
            <w:tcW w:w="481" w:type="dxa"/>
            <w:vAlign w:val="top"/>
          </w:tcPr>
          <w:p w14:paraId="404F9FC8">
            <w:pPr>
              <w:spacing w:before="92"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2.61</w:t>
            </w:r>
          </w:p>
        </w:tc>
        <w:tc>
          <w:tcPr>
            <w:tcW w:w="592" w:type="dxa"/>
            <w:vAlign w:val="top"/>
          </w:tcPr>
          <w:p w14:paraId="4A97F9CE">
            <w:pPr>
              <w:spacing w:before="92" w:line="195" w:lineRule="auto"/>
              <w:ind w:left="1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3.04</w:t>
            </w:r>
          </w:p>
        </w:tc>
        <w:tc>
          <w:tcPr>
            <w:tcW w:w="481" w:type="dxa"/>
            <w:vAlign w:val="top"/>
          </w:tcPr>
          <w:p w14:paraId="70B2D487">
            <w:pPr>
              <w:spacing w:before="92"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2.88</w:t>
            </w:r>
          </w:p>
        </w:tc>
        <w:tc>
          <w:tcPr>
            <w:tcW w:w="541" w:type="dxa"/>
            <w:vAlign w:val="top"/>
          </w:tcPr>
          <w:p w14:paraId="3F2331F7">
            <w:pPr>
              <w:spacing w:before="92"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2.66</w:t>
            </w:r>
          </w:p>
        </w:tc>
        <w:tc>
          <w:tcPr>
            <w:tcW w:w="463" w:type="dxa"/>
            <w:tcBorders>
              <w:right w:val="nil"/>
            </w:tcBorders>
            <w:vAlign w:val="top"/>
          </w:tcPr>
          <w:p w14:paraId="39F609ED">
            <w:pPr>
              <w:spacing w:before="92" w:line="195" w:lineRule="auto"/>
              <w:ind w:left="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1.54</w:t>
            </w:r>
          </w:p>
        </w:tc>
      </w:tr>
      <w:tr w14:paraId="11C73E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674" w:type="dxa"/>
            <w:tcBorders>
              <w:left w:val="nil"/>
            </w:tcBorders>
            <w:vAlign w:val="top"/>
          </w:tcPr>
          <w:p w14:paraId="421B9D6A">
            <w:pPr>
              <w:pStyle w:val="6"/>
              <w:spacing w:before="59" w:line="221" w:lineRule="auto"/>
              <w:ind w:left="134"/>
              <w:rPr>
                <w:sz w:val="20"/>
                <w:szCs w:val="20"/>
              </w:rPr>
            </w:pPr>
            <w:r>
              <w:rPr>
                <w:spacing w:val="4"/>
                <w:sz w:val="20"/>
                <w:szCs w:val="20"/>
              </w:rPr>
              <w:t>全年</w:t>
            </w:r>
          </w:p>
        </w:tc>
        <w:tc>
          <w:tcPr>
            <w:tcW w:w="476" w:type="dxa"/>
            <w:vAlign w:val="top"/>
          </w:tcPr>
          <w:p w14:paraId="0915B607">
            <w:pPr>
              <w:spacing w:before="95"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1.10</w:t>
            </w:r>
          </w:p>
        </w:tc>
        <w:tc>
          <w:tcPr>
            <w:tcW w:w="480" w:type="dxa"/>
            <w:vAlign w:val="top"/>
          </w:tcPr>
          <w:p w14:paraId="7212656D">
            <w:pPr>
              <w:spacing w:before="95"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0.71</w:t>
            </w:r>
          </w:p>
        </w:tc>
        <w:tc>
          <w:tcPr>
            <w:tcW w:w="481" w:type="dxa"/>
            <w:vAlign w:val="top"/>
          </w:tcPr>
          <w:p w14:paraId="416DCE8A">
            <w:pPr>
              <w:spacing w:before="95"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0.98</w:t>
            </w:r>
          </w:p>
        </w:tc>
        <w:tc>
          <w:tcPr>
            <w:tcW w:w="481" w:type="dxa"/>
            <w:vAlign w:val="top"/>
          </w:tcPr>
          <w:p w14:paraId="50AEFF5F">
            <w:pPr>
              <w:spacing w:before="95"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1.24</w:t>
            </w:r>
          </w:p>
        </w:tc>
        <w:tc>
          <w:tcPr>
            <w:tcW w:w="481" w:type="dxa"/>
            <w:vAlign w:val="top"/>
          </w:tcPr>
          <w:p w14:paraId="061093BB">
            <w:pPr>
              <w:spacing w:before="95"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1.30</w:t>
            </w:r>
          </w:p>
        </w:tc>
        <w:tc>
          <w:tcPr>
            <w:tcW w:w="481" w:type="dxa"/>
            <w:vAlign w:val="top"/>
          </w:tcPr>
          <w:p w14:paraId="057E4765">
            <w:pPr>
              <w:spacing w:before="95"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1.28</w:t>
            </w:r>
          </w:p>
        </w:tc>
        <w:tc>
          <w:tcPr>
            <w:tcW w:w="481" w:type="dxa"/>
            <w:vAlign w:val="top"/>
          </w:tcPr>
          <w:p w14:paraId="7A24A988">
            <w:pPr>
              <w:spacing w:before="95"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1.62</w:t>
            </w:r>
          </w:p>
        </w:tc>
        <w:tc>
          <w:tcPr>
            <w:tcW w:w="481" w:type="dxa"/>
            <w:vAlign w:val="top"/>
          </w:tcPr>
          <w:p w14:paraId="4FC50804">
            <w:pPr>
              <w:spacing w:before="95"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1.44</w:t>
            </w:r>
          </w:p>
        </w:tc>
        <w:tc>
          <w:tcPr>
            <w:tcW w:w="481" w:type="dxa"/>
            <w:vAlign w:val="top"/>
          </w:tcPr>
          <w:p w14:paraId="2B6F2E8E">
            <w:pPr>
              <w:spacing w:before="95"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1.77</w:t>
            </w:r>
          </w:p>
        </w:tc>
        <w:tc>
          <w:tcPr>
            <w:tcW w:w="481" w:type="dxa"/>
            <w:vAlign w:val="top"/>
          </w:tcPr>
          <w:p w14:paraId="25EF4ADB">
            <w:pPr>
              <w:spacing w:before="95"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2.15</w:t>
            </w:r>
          </w:p>
        </w:tc>
        <w:tc>
          <w:tcPr>
            <w:tcW w:w="481" w:type="dxa"/>
            <w:vAlign w:val="top"/>
          </w:tcPr>
          <w:p w14:paraId="0EFCB434">
            <w:pPr>
              <w:spacing w:before="95"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2.28</w:t>
            </w:r>
          </w:p>
        </w:tc>
        <w:tc>
          <w:tcPr>
            <w:tcW w:w="554" w:type="dxa"/>
            <w:vAlign w:val="top"/>
          </w:tcPr>
          <w:p w14:paraId="6DDB90E7">
            <w:pPr>
              <w:spacing w:before="95"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2.56</w:t>
            </w:r>
          </w:p>
        </w:tc>
        <w:tc>
          <w:tcPr>
            <w:tcW w:w="481" w:type="dxa"/>
            <w:vAlign w:val="top"/>
          </w:tcPr>
          <w:p w14:paraId="6E06D6BC">
            <w:pPr>
              <w:spacing w:before="95"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2.97</w:t>
            </w:r>
          </w:p>
        </w:tc>
        <w:tc>
          <w:tcPr>
            <w:tcW w:w="592" w:type="dxa"/>
            <w:vAlign w:val="top"/>
          </w:tcPr>
          <w:p w14:paraId="29B22D35">
            <w:pPr>
              <w:spacing w:before="95" w:line="195" w:lineRule="auto"/>
              <w:ind w:left="1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3.32</w:t>
            </w:r>
          </w:p>
        </w:tc>
        <w:tc>
          <w:tcPr>
            <w:tcW w:w="481" w:type="dxa"/>
            <w:vAlign w:val="top"/>
          </w:tcPr>
          <w:p w14:paraId="4323C127">
            <w:pPr>
              <w:spacing w:before="95"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2.74</w:t>
            </w:r>
          </w:p>
        </w:tc>
        <w:tc>
          <w:tcPr>
            <w:tcW w:w="541" w:type="dxa"/>
            <w:vAlign w:val="top"/>
          </w:tcPr>
          <w:p w14:paraId="2CFFA30B">
            <w:pPr>
              <w:spacing w:before="95"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2.71</w:t>
            </w:r>
          </w:p>
        </w:tc>
        <w:tc>
          <w:tcPr>
            <w:tcW w:w="463" w:type="dxa"/>
            <w:tcBorders>
              <w:right w:val="nil"/>
            </w:tcBorders>
            <w:vAlign w:val="top"/>
          </w:tcPr>
          <w:p w14:paraId="63A0DB29">
            <w:pPr>
              <w:spacing w:before="95" w:line="195" w:lineRule="auto"/>
              <w:ind w:left="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1.77</w:t>
            </w:r>
          </w:p>
        </w:tc>
      </w:tr>
      <w:tr w14:paraId="23483D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674" w:type="dxa"/>
            <w:tcBorders>
              <w:left w:val="nil"/>
            </w:tcBorders>
            <w:vAlign w:val="top"/>
          </w:tcPr>
          <w:p w14:paraId="3CFC562B">
            <w:pPr>
              <w:pStyle w:val="6"/>
              <w:spacing w:before="61" w:line="219" w:lineRule="auto"/>
              <w:ind w:left="133"/>
              <w:rPr>
                <w:sz w:val="20"/>
                <w:szCs w:val="20"/>
              </w:rPr>
            </w:pPr>
            <w:r>
              <w:rPr>
                <w:spacing w:val="5"/>
                <w:sz w:val="20"/>
                <w:szCs w:val="20"/>
              </w:rPr>
              <w:t>春季</w:t>
            </w:r>
          </w:p>
        </w:tc>
        <w:tc>
          <w:tcPr>
            <w:tcW w:w="476" w:type="dxa"/>
            <w:vAlign w:val="top"/>
          </w:tcPr>
          <w:p w14:paraId="71D0493C">
            <w:pPr>
              <w:spacing w:before="98"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1.65</w:t>
            </w:r>
          </w:p>
        </w:tc>
        <w:tc>
          <w:tcPr>
            <w:tcW w:w="480" w:type="dxa"/>
            <w:vAlign w:val="top"/>
          </w:tcPr>
          <w:p w14:paraId="777F787E">
            <w:pPr>
              <w:spacing w:before="98"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0.87</w:t>
            </w:r>
          </w:p>
        </w:tc>
        <w:tc>
          <w:tcPr>
            <w:tcW w:w="481" w:type="dxa"/>
            <w:vAlign w:val="top"/>
          </w:tcPr>
          <w:p w14:paraId="78FEC1D7">
            <w:pPr>
              <w:spacing w:before="9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1.24</w:t>
            </w:r>
          </w:p>
        </w:tc>
        <w:tc>
          <w:tcPr>
            <w:tcW w:w="481" w:type="dxa"/>
            <w:vAlign w:val="top"/>
          </w:tcPr>
          <w:p w14:paraId="0656BD41">
            <w:pPr>
              <w:spacing w:before="98"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1.53</w:t>
            </w:r>
          </w:p>
        </w:tc>
        <w:tc>
          <w:tcPr>
            <w:tcW w:w="481" w:type="dxa"/>
            <w:vAlign w:val="top"/>
          </w:tcPr>
          <w:p w14:paraId="2A02D403">
            <w:pPr>
              <w:spacing w:before="98"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1.62</w:t>
            </w:r>
          </w:p>
        </w:tc>
        <w:tc>
          <w:tcPr>
            <w:tcW w:w="481" w:type="dxa"/>
            <w:vAlign w:val="top"/>
          </w:tcPr>
          <w:p w14:paraId="59516408">
            <w:pPr>
              <w:spacing w:before="98"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1.59</w:t>
            </w:r>
          </w:p>
        </w:tc>
        <w:tc>
          <w:tcPr>
            <w:tcW w:w="481" w:type="dxa"/>
            <w:vAlign w:val="top"/>
          </w:tcPr>
          <w:p w14:paraId="69C838F9">
            <w:pPr>
              <w:spacing w:before="98"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2.04</w:t>
            </w:r>
          </w:p>
        </w:tc>
        <w:tc>
          <w:tcPr>
            <w:tcW w:w="481" w:type="dxa"/>
            <w:vAlign w:val="top"/>
          </w:tcPr>
          <w:p w14:paraId="110F6E42">
            <w:pPr>
              <w:spacing w:before="98"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1.68</w:t>
            </w:r>
          </w:p>
        </w:tc>
        <w:tc>
          <w:tcPr>
            <w:tcW w:w="481" w:type="dxa"/>
            <w:vAlign w:val="top"/>
          </w:tcPr>
          <w:p w14:paraId="5CA77B1A">
            <w:pPr>
              <w:spacing w:before="98"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2.19</w:t>
            </w:r>
          </w:p>
        </w:tc>
        <w:tc>
          <w:tcPr>
            <w:tcW w:w="481" w:type="dxa"/>
            <w:vAlign w:val="top"/>
          </w:tcPr>
          <w:p w14:paraId="4A781274">
            <w:pPr>
              <w:spacing w:before="98"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2.75</w:t>
            </w:r>
          </w:p>
        </w:tc>
        <w:tc>
          <w:tcPr>
            <w:tcW w:w="481" w:type="dxa"/>
            <w:vAlign w:val="top"/>
          </w:tcPr>
          <w:p w14:paraId="62E79081">
            <w:pPr>
              <w:spacing w:before="98"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2.56</w:t>
            </w:r>
          </w:p>
        </w:tc>
        <w:tc>
          <w:tcPr>
            <w:tcW w:w="554" w:type="dxa"/>
            <w:vAlign w:val="top"/>
          </w:tcPr>
          <w:p w14:paraId="54444386">
            <w:pPr>
              <w:spacing w:before="98"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2.89</w:t>
            </w:r>
          </w:p>
        </w:tc>
        <w:tc>
          <w:tcPr>
            <w:tcW w:w="481" w:type="dxa"/>
            <w:vAlign w:val="top"/>
          </w:tcPr>
          <w:p w14:paraId="31392244">
            <w:pPr>
              <w:spacing w:before="98"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2.99</w:t>
            </w:r>
          </w:p>
        </w:tc>
        <w:tc>
          <w:tcPr>
            <w:tcW w:w="592" w:type="dxa"/>
            <w:vAlign w:val="top"/>
          </w:tcPr>
          <w:p w14:paraId="358D4151">
            <w:pPr>
              <w:spacing w:before="98" w:line="195" w:lineRule="auto"/>
              <w:ind w:left="1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3.50</w:t>
            </w:r>
          </w:p>
        </w:tc>
        <w:tc>
          <w:tcPr>
            <w:tcW w:w="481" w:type="dxa"/>
            <w:vAlign w:val="top"/>
          </w:tcPr>
          <w:p w14:paraId="71D9B9A9">
            <w:pPr>
              <w:spacing w:before="98" w:line="195" w:lineRule="auto"/>
              <w:ind w:left="6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3.47</w:t>
            </w:r>
          </w:p>
        </w:tc>
        <w:tc>
          <w:tcPr>
            <w:tcW w:w="541" w:type="dxa"/>
            <w:vAlign w:val="top"/>
          </w:tcPr>
          <w:p w14:paraId="42CAB69D">
            <w:pPr>
              <w:spacing w:before="98"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3.47</w:t>
            </w:r>
          </w:p>
        </w:tc>
        <w:tc>
          <w:tcPr>
            <w:tcW w:w="463" w:type="dxa"/>
            <w:tcBorders>
              <w:right w:val="nil"/>
            </w:tcBorders>
            <w:vAlign w:val="top"/>
          </w:tcPr>
          <w:p w14:paraId="3ACBE394">
            <w:pPr>
              <w:spacing w:before="98"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2.15</w:t>
            </w:r>
          </w:p>
        </w:tc>
      </w:tr>
      <w:tr w14:paraId="4B3E9A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674" w:type="dxa"/>
            <w:tcBorders>
              <w:left w:val="nil"/>
            </w:tcBorders>
            <w:vAlign w:val="top"/>
          </w:tcPr>
          <w:p w14:paraId="652807F7">
            <w:pPr>
              <w:pStyle w:val="6"/>
              <w:spacing w:before="65" w:line="216" w:lineRule="auto"/>
              <w:ind w:left="134"/>
              <w:rPr>
                <w:sz w:val="20"/>
                <w:szCs w:val="20"/>
              </w:rPr>
            </w:pPr>
            <w:r>
              <w:rPr>
                <w:spacing w:val="4"/>
                <w:sz w:val="20"/>
                <w:szCs w:val="20"/>
              </w:rPr>
              <w:t>夏季</w:t>
            </w:r>
          </w:p>
        </w:tc>
        <w:tc>
          <w:tcPr>
            <w:tcW w:w="476" w:type="dxa"/>
            <w:vAlign w:val="top"/>
          </w:tcPr>
          <w:p w14:paraId="73510111">
            <w:pPr>
              <w:spacing w:before="100" w:line="195" w:lineRule="auto"/>
              <w:ind w:left="7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8"/>
                <w:sz w:val="20"/>
                <w:szCs w:val="20"/>
              </w:rPr>
              <w:t>14</w:t>
            </w:r>
          </w:p>
        </w:tc>
        <w:tc>
          <w:tcPr>
            <w:tcW w:w="480" w:type="dxa"/>
            <w:vAlign w:val="top"/>
          </w:tcPr>
          <w:p w14:paraId="5D4589CF">
            <w:pPr>
              <w:spacing w:before="100"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0.61</w:t>
            </w:r>
          </w:p>
        </w:tc>
        <w:tc>
          <w:tcPr>
            <w:tcW w:w="481" w:type="dxa"/>
            <w:vAlign w:val="top"/>
          </w:tcPr>
          <w:p w14:paraId="40A3EC94">
            <w:pPr>
              <w:spacing w:before="100"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0.87</w:t>
            </w:r>
          </w:p>
        </w:tc>
        <w:tc>
          <w:tcPr>
            <w:tcW w:w="481" w:type="dxa"/>
            <w:vAlign w:val="top"/>
          </w:tcPr>
          <w:p w14:paraId="50A8435A">
            <w:pPr>
              <w:spacing w:before="100"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1.13</w:t>
            </w:r>
          </w:p>
        </w:tc>
        <w:tc>
          <w:tcPr>
            <w:tcW w:w="481" w:type="dxa"/>
            <w:vAlign w:val="top"/>
          </w:tcPr>
          <w:p w14:paraId="61BB32C6">
            <w:pPr>
              <w:spacing w:before="100"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1.27</w:t>
            </w:r>
          </w:p>
        </w:tc>
        <w:tc>
          <w:tcPr>
            <w:tcW w:w="481" w:type="dxa"/>
            <w:vAlign w:val="top"/>
          </w:tcPr>
          <w:p w14:paraId="7A2F14D2">
            <w:pPr>
              <w:spacing w:before="100"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1.28</w:t>
            </w:r>
          </w:p>
        </w:tc>
        <w:tc>
          <w:tcPr>
            <w:tcW w:w="481" w:type="dxa"/>
            <w:vAlign w:val="top"/>
          </w:tcPr>
          <w:p w14:paraId="55F0C5C9">
            <w:pPr>
              <w:spacing w:before="100"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1.57</w:t>
            </w:r>
          </w:p>
        </w:tc>
        <w:tc>
          <w:tcPr>
            <w:tcW w:w="481" w:type="dxa"/>
            <w:vAlign w:val="top"/>
          </w:tcPr>
          <w:p w14:paraId="63A84417">
            <w:pPr>
              <w:spacing w:before="100"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1.47</w:t>
            </w:r>
          </w:p>
        </w:tc>
        <w:tc>
          <w:tcPr>
            <w:tcW w:w="481" w:type="dxa"/>
            <w:vAlign w:val="top"/>
          </w:tcPr>
          <w:p w14:paraId="74336EE9">
            <w:pPr>
              <w:spacing w:before="100"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1.76</w:t>
            </w:r>
          </w:p>
        </w:tc>
        <w:tc>
          <w:tcPr>
            <w:tcW w:w="481" w:type="dxa"/>
            <w:vAlign w:val="top"/>
          </w:tcPr>
          <w:p w14:paraId="4E2BBAF3">
            <w:pPr>
              <w:spacing w:before="100"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1.96</w:t>
            </w:r>
          </w:p>
        </w:tc>
        <w:tc>
          <w:tcPr>
            <w:tcW w:w="481" w:type="dxa"/>
            <w:vAlign w:val="top"/>
          </w:tcPr>
          <w:p w14:paraId="6A063401">
            <w:pPr>
              <w:spacing w:before="100"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2.07</w:t>
            </w:r>
          </w:p>
        </w:tc>
        <w:tc>
          <w:tcPr>
            <w:tcW w:w="554" w:type="dxa"/>
            <w:vAlign w:val="top"/>
          </w:tcPr>
          <w:p w14:paraId="5313D81D">
            <w:pPr>
              <w:spacing w:before="100"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2.23</w:t>
            </w:r>
          </w:p>
        </w:tc>
        <w:tc>
          <w:tcPr>
            <w:tcW w:w="481" w:type="dxa"/>
            <w:vAlign w:val="top"/>
          </w:tcPr>
          <w:p w14:paraId="468CEAA3">
            <w:pPr>
              <w:spacing w:before="100"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2.61</w:t>
            </w:r>
          </w:p>
        </w:tc>
        <w:tc>
          <w:tcPr>
            <w:tcW w:w="592" w:type="dxa"/>
            <w:vAlign w:val="top"/>
          </w:tcPr>
          <w:p w14:paraId="5283838E">
            <w:pPr>
              <w:spacing w:before="100" w:line="195" w:lineRule="auto"/>
              <w:ind w:left="1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2.52</w:t>
            </w:r>
          </w:p>
        </w:tc>
        <w:tc>
          <w:tcPr>
            <w:tcW w:w="481" w:type="dxa"/>
            <w:vAlign w:val="top"/>
          </w:tcPr>
          <w:p w14:paraId="12BB5C33">
            <w:pPr>
              <w:spacing w:before="100"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2.67</w:t>
            </w:r>
          </w:p>
        </w:tc>
        <w:tc>
          <w:tcPr>
            <w:tcW w:w="541" w:type="dxa"/>
            <w:vAlign w:val="top"/>
          </w:tcPr>
          <w:p w14:paraId="158AEE51">
            <w:pPr>
              <w:spacing w:before="100"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2.45</w:t>
            </w:r>
          </w:p>
        </w:tc>
        <w:tc>
          <w:tcPr>
            <w:tcW w:w="463" w:type="dxa"/>
            <w:tcBorders>
              <w:right w:val="nil"/>
            </w:tcBorders>
            <w:vAlign w:val="top"/>
          </w:tcPr>
          <w:p w14:paraId="2E55EFBB">
            <w:pPr>
              <w:spacing w:before="100" w:line="195" w:lineRule="auto"/>
              <w:ind w:left="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1.66</w:t>
            </w:r>
          </w:p>
        </w:tc>
      </w:tr>
      <w:tr w14:paraId="355134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674" w:type="dxa"/>
            <w:tcBorders>
              <w:left w:val="nil"/>
            </w:tcBorders>
            <w:vAlign w:val="top"/>
          </w:tcPr>
          <w:p w14:paraId="66BBE9EC">
            <w:pPr>
              <w:pStyle w:val="6"/>
              <w:spacing w:before="68" w:line="213" w:lineRule="auto"/>
              <w:ind w:left="136"/>
              <w:rPr>
                <w:sz w:val="20"/>
                <w:szCs w:val="20"/>
              </w:rPr>
            </w:pPr>
            <w:r>
              <w:rPr>
                <w:spacing w:val="3"/>
                <w:sz w:val="20"/>
                <w:szCs w:val="20"/>
              </w:rPr>
              <w:t>秋季</w:t>
            </w:r>
          </w:p>
        </w:tc>
        <w:tc>
          <w:tcPr>
            <w:tcW w:w="476" w:type="dxa"/>
            <w:vAlign w:val="top"/>
          </w:tcPr>
          <w:p w14:paraId="7FD69CCF">
            <w:pPr>
              <w:spacing w:before="103"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0.91</w:t>
            </w:r>
          </w:p>
        </w:tc>
        <w:tc>
          <w:tcPr>
            <w:tcW w:w="480" w:type="dxa"/>
            <w:vAlign w:val="top"/>
          </w:tcPr>
          <w:p w14:paraId="04F567D4">
            <w:pPr>
              <w:spacing w:before="103"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0.71</w:t>
            </w:r>
          </w:p>
        </w:tc>
        <w:tc>
          <w:tcPr>
            <w:tcW w:w="481" w:type="dxa"/>
            <w:vAlign w:val="top"/>
          </w:tcPr>
          <w:p w14:paraId="5D6B98A7">
            <w:pPr>
              <w:spacing w:before="103"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0.89</w:t>
            </w:r>
          </w:p>
        </w:tc>
        <w:tc>
          <w:tcPr>
            <w:tcW w:w="481" w:type="dxa"/>
            <w:vAlign w:val="top"/>
          </w:tcPr>
          <w:p w14:paraId="31BD9605">
            <w:pPr>
              <w:spacing w:before="103"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1.15</w:t>
            </w:r>
          </w:p>
        </w:tc>
        <w:tc>
          <w:tcPr>
            <w:tcW w:w="481" w:type="dxa"/>
            <w:vAlign w:val="top"/>
          </w:tcPr>
          <w:p w14:paraId="1D1CFA59">
            <w:pPr>
              <w:spacing w:before="103"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1.16</w:t>
            </w:r>
          </w:p>
        </w:tc>
        <w:tc>
          <w:tcPr>
            <w:tcW w:w="481" w:type="dxa"/>
            <w:vAlign w:val="top"/>
          </w:tcPr>
          <w:p w14:paraId="47A052FA">
            <w:pPr>
              <w:spacing w:before="103"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1.08</w:t>
            </w:r>
          </w:p>
        </w:tc>
        <w:tc>
          <w:tcPr>
            <w:tcW w:w="481" w:type="dxa"/>
            <w:vAlign w:val="top"/>
          </w:tcPr>
          <w:p w14:paraId="75F85328">
            <w:pPr>
              <w:spacing w:before="103"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1.31</w:t>
            </w:r>
          </w:p>
        </w:tc>
        <w:tc>
          <w:tcPr>
            <w:tcW w:w="481" w:type="dxa"/>
            <w:vAlign w:val="top"/>
          </w:tcPr>
          <w:p w14:paraId="2E5A9FCC">
            <w:pPr>
              <w:spacing w:before="103"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1.26</w:t>
            </w:r>
          </w:p>
        </w:tc>
        <w:tc>
          <w:tcPr>
            <w:tcW w:w="481" w:type="dxa"/>
            <w:vAlign w:val="top"/>
          </w:tcPr>
          <w:p w14:paraId="72DAB9D1">
            <w:pPr>
              <w:spacing w:before="103"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1.43</w:t>
            </w:r>
          </w:p>
        </w:tc>
        <w:tc>
          <w:tcPr>
            <w:tcW w:w="481" w:type="dxa"/>
            <w:vAlign w:val="top"/>
          </w:tcPr>
          <w:p w14:paraId="6E4B1194">
            <w:pPr>
              <w:spacing w:before="103"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1.95</w:t>
            </w:r>
          </w:p>
        </w:tc>
        <w:tc>
          <w:tcPr>
            <w:tcW w:w="481" w:type="dxa"/>
            <w:vAlign w:val="top"/>
          </w:tcPr>
          <w:p w14:paraId="0ECC6B34">
            <w:pPr>
              <w:spacing w:before="103"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2.28</w:t>
            </w:r>
          </w:p>
        </w:tc>
        <w:tc>
          <w:tcPr>
            <w:tcW w:w="554" w:type="dxa"/>
            <w:vAlign w:val="top"/>
          </w:tcPr>
          <w:p w14:paraId="297C8AB0">
            <w:pPr>
              <w:spacing w:before="103"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2.64</w:t>
            </w:r>
          </w:p>
        </w:tc>
        <w:tc>
          <w:tcPr>
            <w:tcW w:w="481" w:type="dxa"/>
            <w:vAlign w:val="top"/>
          </w:tcPr>
          <w:p w14:paraId="0F4441BF">
            <w:pPr>
              <w:spacing w:before="103"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2.64</w:t>
            </w:r>
          </w:p>
        </w:tc>
        <w:tc>
          <w:tcPr>
            <w:tcW w:w="592" w:type="dxa"/>
            <w:vAlign w:val="top"/>
          </w:tcPr>
          <w:p w14:paraId="6294F1CB">
            <w:pPr>
              <w:spacing w:before="103" w:line="195" w:lineRule="auto"/>
              <w:ind w:left="1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3.66</w:t>
            </w:r>
          </w:p>
        </w:tc>
        <w:tc>
          <w:tcPr>
            <w:tcW w:w="481" w:type="dxa"/>
            <w:vAlign w:val="top"/>
          </w:tcPr>
          <w:p w14:paraId="628369E4">
            <w:pPr>
              <w:spacing w:before="103"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2.24</w:t>
            </w:r>
          </w:p>
        </w:tc>
        <w:tc>
          <w:tcPr>
            <w:tcW w:w="541" w:type="dxa"/>
            <w:vAlign w:val="top"/>
          </w:tcPr>
          <w:p w14:paraId="3860BFAC">
            <w:pPr>
              <w:spacing w:before="103"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2.48</w:t>
            </w:r>
          </w:p>
        </w:tc>
        <w:tc>
          <w:tcPr>
            <w:tcW w:w="463" w:type="dxa"/>
            <w:tcBorders>
              <w:right w:val="nil"/>
            </w:tcBorders>
            <w:vAlign w:val="top"/>
          </w:tcPr>
          <w:p w14:paraId="5E2021B1">
            <w:pPr>
              <w:spacing w:before="103" w:line="195" w:lineRule="auto"/>
              <w:ind w:left="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1.65</w:t>
            </w:r>
          </w:p>
        </w:tc>
      </w:tr>
      <w:tr w14:paraId="5A2FEE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674" w:type="dxa"/>
            <w:tcBorders>
              <w:left w:val="nil"/>
              <w:bottom w:val="single" w:color="000000" w:sz="10" w:space="0"/>
            </w:tcBorders>
            <w:vAlign w:val="top"/>
          </w:tcPr>
          <w:p w14:paraId="4F87D1D1">
            <w:pPr>
              <w:pStyle w:val="6"/>
              <w:spacing w:before="70" w:line="228" w:lineRule="auto"/>
              <w:ind w:left="139"/>
              <w:rPr>
                <w:sz w:val="20"/>
                <w:szCs w:val="20"/>
              </w:rPr>
            </w:pPr>
            <w:r>
              <w:rPr>
                <w:spacing w:val="2"/>
                <w:sz w:val="20"/>
                <w:szCs w:val="20"/>
              </w:rPr>
              <w:t>冬季</w:t>
            </w:r>
          </w:p>
        </w:tc>
        <w:tc>
          <w:tcPr>
            <w:tcW w:w="476" w:type="dxa"/>
            <w:tcBorders>
              <w:bottom w:val="single" w:color="000000" w:sz="10" w:space="0"/>
            </w:tcBorders>
            <w:vAlign w:val="top"/>
          </w:tcPr>
          <w:p w14:paraId="7889F643">
            <w:pPr>
              <w:spacing w:before="106"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0.84</w:t>
            </w:r>
          </w:p>
        </w:tc>
        <w:tc>
          <w:tcPr>
            <w:tcW w:w="480" w:type="dxa"/>
            <w:tcBorders>
              <w:bottom w:val="single" w:color="000000" w:sz="10" w:space="0"/>
            </w:tcBorders>
            <w:vAlign w:val="top"/>
          </w:tcPr>
          <w:p w14:paraId="718810E6">
            <w:pPr>
              <w:spacing w:before="106"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0.67</w:t>
            </w:r>
          </w:p>
        </w:tc>
        <w:tc>
          <w:tcPr>
            <w:tcW w:w="481" w:type="dxa"/>
            <w:tcBorders>
              <w:bottom w:val="single" w:color="000000" w:sz="10" w:space="0"/>
            </w:tcBorders>
            <w:vAlign w:val="top"/>
          </w:tcPr>
          <w:p w14:paraId="321EFA15">
            <w:pPr>
              <w:spacing w:before="106" w:line="195" w:lineRule="auto"/>
              <w:ind w:left="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0.90</w:t>
            </w:r>
          </w:p>
        </w:tc>
        <w:tc>
          <w:tcPr>
            <w:tcW w:w="481" w:type="dxa"/>
            <w:tcBorders>
              <w:bottom w:val="single" w:color="000000" w:sz="10" w:space="0"/>
            </w:tcBorders>
            <w:vAlign w:val="top"/>
          </w:tcPr>
          <w:p w14:paraId="2DBA96FC">
            <w:pPr>
              <w:spacing w:before="106"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1.10</w:t>
            </w:r>
          </w:p>
        </w:tc>
        <w:tc>
          <w:tcPr>
            <w:tcW w:w="481" w:type="dxa"/>
            <w:tcBorders>
              <w:bottom w:val="single" w:color="000000" w:sz="10" w:space="0"/>
            </w:tcBorders>
            <w:vAlign w:val="top"/>
          </w:tcPr>
          <w:p w14:paraId="22B5C022">
            <w:pPr>
              <w:spacing w:before="106"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1.17</w:t>
            </w:r>
          </w:p>
        </w:tc>
        <w:tc>
          <w:tcPr>
            <w:tcW w:w="481" w:type="dxa"/>
            <w:tcBorders>
              <w:bottom w:val="single" w:color="000000" w:sz="10" w:space="0"/>
            </w:tcBorders>
            <w:vAlign w:val="top"/>
          </w:tcPr>
          <w:p w14:paraId="47224640">
            <w:pPr>
              <w:spacing w:before="106"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1.22</w:t>
            </w:r>
          </w:p>
        </w:tc>
        <w:tc>
          <w:tcPr>
            <w:tcW w:w="481" w:type="dxa"/>
            <w:tcBorders>
              <w:bottom w:val="single" w:color="000000" w:sz="10" w:space="0"/>
            </w:tcBorders>
            <w:vAlign w:val="top"/>
          </w:tcPr>
          <w:p w14:paraId="230F36F8">
            <w:pPr>
              <w:spacing w:before="106"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1.42</w:t>
            </w:r>
          </w:p>
        </w:tc>
        <w:tc>
          <w:tcPr>
            <w:tcW w:w="481" w:type="dxa"/>
            <w:tcBorders>
              <w:bottom w:val="single" w:color="000000" w:sz="10" w:space="0"/>
            </w:tcBorders>
            <w:vAlign w:val="top"/>
          </w:tcPr>
          <w:p w14:paraId="02C859CD">
            <w:pPr>
              <w:spacing w:before="106" w:line="195" w:lineRule="auto"/>
              <w:ind w:left="7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1.35</w:t>
            </w:r>
          </w:p>
        </w:tc>
        <w:tc>
          <w:tcPr>
            <w:tcW w:w="481" w:type="dxa"/>
            <w:tcBorders>
              <w:bottom w:val="single" w:color="000000" w:sz="10" w:space="0"/>
            </w:tcBorders>
            <w:vAlign w:val="top"/>
          </w:tcPr>
          <w:p w14:paraId="4D79F432">
            <w:pPr>
              <w:spacing w:before="106" w:line="195" w:lineRule="auto"/>
              <w:ind w:left="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1.70</w:t>
            </w:r>
          </w:p>
        </w:tc>
        <w:tc>
          <w:tcPr>
            <w:tcW w:w="481" w:type="dxa"/>
            <w:tcBorders>
              <w:bottom w:val="single" w:color="000000" w:sz="10" w:space="0"/>
            </w:tcBorders>
            <w:vAlign w:val="top"/>
          </w:tcPr>
          <w:p w14:paraId="70C3E1B1">
            <w:pPr>
              <w:spacing w:before="106" w:line="195" w:lineRule="auto"/>
              <w:ind w:left="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1.91</w:t>
            </w:r>
          </w:p>
        </w:tc>
        <w:tc>
          <w:tcPr>
            <w:tcW w:w="481" w:type="dxa"/>
            <w:tcBorders>
              <w:bottom w:val="single" w:color="000000" w:sz="10" w:space="0"/>
            </w:tcBorders>
            <w:vAlign w:val="top"/>
          </w:tcPr>
          <w:p w14:paraId="55DBE8B2">
            <w:pPr>
              <w:spacing w:before="106" w:line="195" w:lineRule="auto"/>
              <w:ind w:left="6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11</w:t>
            </w:r>
          </w:p>
        </w:tc>
        <w:tc>
          <w:tcPr>
            <w:tcW w:w="554" w:type="dxa"/>
            <w:tcBorders>
              <w:bottom w:val="single" w:color="000000" w:sz="10" w:space="0"/>
            </w:tcBorders>
            <w:vAlign w:val="top"/>
          </w:tcPr>
          <w:p w14:paraId="2AE7D9C3">
            <w:pPr>
              <w:spacing w:before="106"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2.41</w:t>
            </w:r>
          </w:p>
        </w:tc>
        <w:tc>
          <w:tcPr>
            <w:tcW w:w="481" w:type="dxa"/>
            <w:tcBorders>
              <w:bottom w:val="single" w:color="000000" w:sz="10" w:space="0"/>
            </w:tcBorders>
            <w:vAlign w:val="top"/>
          </w:tcPr>
          <w:p w14:paraId="6949D120">
            <w:pPr>
              <w:spacing w:before="106" w:line="195" w:lineRule="auto"/>
              <w:ind w:left="6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3.40</w:t>
            </w:r>
          </w:p>
        </w:tc>
        <w:tc>
          <w:tcPr>
            <w:tcW w:w="592" w:type="dxa"/>
            <w:tcBorders>
              <w:bottom w:val="single" w:color="000000" w:sz="10" w:space="0"/>
            </w:tcBorders>
            <w:vAlign w:val="top"/>
          </w:tcPr>
          <w:p w14:paraId="7E469453">
            <w:pPr>
              <w:spacing w:before="106" w:line="195" w:lineRule="auto"/>
              <w:ind w:left="1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3.39</w:t>
            </w:r>
          </w:p>
        </w:tc>
        <w:tc>
          <w:tcPr>
            <w:tcW w:w="481" w:type="dxa"/>
            <w:tcBorders>
              <w:bottom w:val="single" w:color="000000" w:sz="10" w:space="0"/>
            </w:tcBorders>
            <w:vAlign w:val="top"/>
          </w:tcPr>
          <w:p w14:paraId="304DFF47">
            <w:pPr>
              <w:spacing w:before="106"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2.32</w:t>
            </w:r>
          </w:p>
        </w:tc>
        <w:tc>
          <w:tcPr>
            <w:tcW w:w="541" w:type="dxa"/>
            <w:tcBorders>
              <w:bottom w:val="single" w:color="000000" w:sz="10" w:space="0"/>
            </w:tcBorders>
            <w:vAlign w:val="top"/>
          </w:tcPr>
          <w:p w14:paraId="54D7FB20">
            <w:pPr>
              <w:spacing w:before="106"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2.42</w:t>
            </w:r>
          </w:p>
        </w:tc>
        <w:tc>
          <w:tcPr>
            <w:tcW w:w="463" w:type="dxa"/>
            <w:tcBorders>
              <w:bottom w:val="single" w:color="000000" w:sz="10" w:space="0"/>
              <w:right w:val="nil"/>
            </w:tcBorders>
            <w:vAlign w:val="top"/>
          </w:tcPr>
          <w:p w14:paraId="58542620">
            <w:pPr>
              <w:spacing w:before="106" w:line="195" w:lineRule="auto"/>
              <w:ind w:left="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1.62</w:t>
            </w:r>
          </w:p>
        </w:tc>
      </w:tr>
    </w:tbl>
    <w:p w14:paraId="7A637B66">
      <w:pPr>
        <w:spacing w:before="115"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）苏尼特右旗</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 xml:space="preserve">2023 </w:t>
      </w:r>
      <w:r>
        <w:rPr>
          <w:rFonts w:ascii="宋体" w:hAnsi="宋体" w:eastAsia="宋体" w:cs="宋体"/>
          <w:spacing w:val="-1"/>
          <w:sz w:val="24"/>
          <w:szCs w:val="24"/>
        </w:rPr>
        <w:t>年地面气象观测数据稳定度统计</w:t>
      </w:r>
    </w:p>
    <w:p w14:paraId="3E88BF9C">
      <w:pPr>
        <w:spacing w:before="183" w:line="219" w:lineRule="auto"/>
        <w:ind w:left="493"/>
        <w:rPr>
          <w:rFonts w:ascii="宋体" w:hAnsi="宋体" w:eastAsia="宋体" w:cs="宋体"/>
          <w:sz w:val="24"/>
          <w:szCs w:val="24"/>
        </w:rPr>
      </w:pPr>
      <w:r>
        <w:rPr>
          <w:rFonts w:ascii="宋体" w:hAnsi="宋体" w:eastAsia="宋体" w:cs="宋体"/>
          <w:spacing w:val="-1"/>
          <w:sz w:val="24"/>
          <w:szCs w:val="24"/>
        </w:rPr>
        <w:t>苏尼特右旗</w:t>
      </w:r>
      <w:r>
        <w:rPr>
          <w:rFonts w:ascii="宋体" w:hAnsi="宋体" w:eastAsia="宋体" w:cs="宋体"/>
          <w:spacing w:val="-47"/>
          <w:sz w:val="24"/>
          <w:szCs w:val="24"/>
        </w:rPr>
        <w:t xml:space="preserve"> </w:t>
      </w:r>
      <w:r>
        <w:rPr>
          <w:rFonts w:ascii="Times New Roman" w:hAnsi="Times New Roman" w:eastAsia="Times New Roman" w:cs="Times New Roman"/>
          <w:spacing w:val="-1"/>
          <w:sz w:val="24"/>
          <w:szCs w:val="24"/>
        </w:rPr>
        <w:t xml:space="preserve">2023 </w:t>
      </w:r>
      <w:r>
        <w:rPr>
          <w:rFonts w:ascii="宋体" w:hAnsi="宋体" w:eastAsia="宋体" w:cs="宋体"/>
          <w:spacing w:val="-1"/>
          <w:sz w:val="24"/>
          <w:szCs w:val="24"/>
        </w:rPr>
        <w:t>年地面气象观测数据稳定度统计详见表</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4.1-9</w:t>
      </w:r>
      <w:r>
        <w:rPr>
          <w:rFonts w:ascii="宋体" w:hAnsi="宋体" w:eastAsia="宋体" w:cs="宋体"/>
          <w:spacing w:val="-1"/>
          <w:sz w:val="24"/>
          <w:szCs w:val="24"/>
        </w:rPr>
        <w:t>。</w:t>
      </w:r>
    </w:p>
    <w:p w14:paraId="6E5F5D68">
      <w:pPr>
        <w:spacing w:before="197" w:line="228" w:lineRule="auto"/>
        <w:ind w:left="155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5"/>
          <w:sz w:val="20"/>
          <w:szCs w:val="20"/>
        </w:rPr>
        <w:t xml:space="preserve">4.1-9        </w:t>
      </w:r>
      <w:r>
        <w:rPr>
          <w:rFonts w:ascii="宋体" w:hAnsi="宋体" w:eastAsia="宋体" w:cs="宋体"/>
          <w:b/>
          <w:bCs/>
          <w:spacing w:val="5"/>
          <w:sz w:val="20"/>
          <w:szCs w:val="20"/>
        </w:rPr>
        <w:t>苏尼特右旗</w:t>
      </w:r>
      <w:r>
        <w:rPr>
          <w:rFonts w:ascii="宋体" w:hAnsi="宋体" w:eastAsia="宋体" w:cs="宋体"/>
          <w:spacing w:val="-40"/>
          <w:sz w:val="20"/>
          <w:szCs w:val="20"/>
        </w:rPr>
        <w:t xml:space="preserve"> </w:t>
      </w:r>
      <w:r>
        <w:rPr>
          <w:rFonts w:ascii="Times New Roman" w:hAnsi="Times New Roman" w:eastAsia="Times New Roman" w:cs="Times New Roman"/>
          <w:b/>
          <w:bCs/>
          <w:spacing w:val="5"/>
          <w:sz w:val="20"/>
          <w:szCs w:val="20"/>
        </w:rPr>
        <w:t xml:space="preserve">2023 </w:t>
      </w:r>
      <w:r>
        <w:rPr>
          <w:rFonts w:ascii="宋体" w:hAnsi="宋体" w:eastAsia="宋体" w:cs="宋体"/>
          <w:b/>
          <w:bCs/>
          <w:spacing w:val="5"/>
          <w:sz w:val="20"/>
          <w:szCs w:val="20"/>
        </w:rPr>
        <w:t>年</w:t>
      </w:r>
      <w:r>
        <w:rPr>
          <w:rFonts w:ascii="宋体" w:hAnsi="宋体" w:eastAsia="宋体" w:cs="宋体"/>
          <w:b/>
          <w:bCs/>
          <w:spacing w:val="4"/>
          <w:sz w:val="20"/>
          <w:szCs w:val="20"/>
        </w:rPr>
        <w:t>气象观测站稳定度（</w:t>
      </w:r>
      <w:r>
        <w:rPr>
          <w:rFonts w:ascii="宋体" w:hAnsi="宋体" w:eastAsia="宋体" w:cs="宋体"/>
          <w:spacing w:val="-60"/>
          <w:sz w:val="20"/>
          <w:szCs w:val="20"/>
        </w:rPr>
        <w:t xml:space="preserve"> </w:t>
      </w:r>
      <w:r>
        <w:rPr>
          <w:rFonts w:ascii="Times New Roman" w:hAnsi="Times New Roman" w:eastAsia="Times New Roman" w:cs="Times New Roman"/>
          <w:b/>
          <w:bCs/>
          <w:spacing w:val="4"/>
          <w:sz w:val="20"/>
          <w:szCs w:val="20"/>
        </w:rPr>
        <w:t>m/s</w:t>
      </w:r>
      <w:r>
        <w:rPr>
          <w:rFonts w:ascii="宋体" w:hAnsi="宋体" w:eastAsia="宋体" w:cs="宋体"/>
          <w:b/>
          <w:bCs/>
          <w:spacing w:val="4"/>
          <w:sz w:val="20"/>
          <w:szCs w:val="20"/>
        </w:rPr>
        <w:t>）统计表</w:t>
      </w:r>
    </w:p>
    <w:p w14:paraId="37D740EC">
      <w:pPr>
        <w:spacing w:line="92"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07"/>
        <w:gridCol w:w="907"/>
        <w:gridCol w:w="907"/>
        <w:gridCol w:w="907"/>
        <w:gridCol w:w="907"/>
        <w:gridCol w:w="907"/>
        <w:gridCol w:w="907"/>
        <w:gridCol w:w="907"/>
        <w:gridCol w:w="908"/>
        <w:gridCol w:w="908"/>
      </w:tblGrid>
      <w:tr w14:paraId="1413D5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907" w:type="dxa"/>
            <w:tcBorders>
              <w:top w:val="single" w:color="000000" w:sz="10" w:space="0"/>
              <w:left w:val="nil"/>
            </w:tcBorders>
            <w:vAlign w:val="top"/>
          </w:tcPr>
          <w:p w14:paraId="07F70799">
            <w:pPr>
              <w:pStyle w:val="6"/>
              <w:spacing w:before="55" w:line="228" w:lineRule="auto"/>
              <w:ind w:left="254"/>
              <w:rPr>
                <w:sz w:val="20"/>
                <w:szCs w:val="20"/>
              </w:rPr>
            </w:pPr>
            <w:r>
              <w:rPr>
                <w:spacing w:val="2"/>
                <w:sz w:val="20"/>
                <w:szCs w:val="20"/>
              </w:rPr>
              <w:t>月份</w:t>
            </w:r>
          </w:p>
        </w:tc>
        <w:tc>
          <w:tcPr>
            <w:tcW w:w="907" w:type="dxa"/>
            <w:tcBorders>
              <w:top w:val="single" w:color="000000" w:sz="10" w:space="0"/>
            </w:tcBorders>
            <w:vAlign w:val="top"/>
          </w:tcPr>
          <w:p w14:paraId="185B845B">
            <w:pPr>
              <w:spacing w:before="91" w:line="195" w:lineRule="auto"/>
              <w:ind w:left="37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A</w:t>
            </w:r>
          </w:p>
        </w:tc>
        <w:tc>
          <w:tcPr>
            <w:tcW w:w="907" w:type="dxa"/>
            <w:tcBorders>
              <w:top w:val="single" w:color="000000" w:sz="10" w:space="0"/>
            </w:tcBorders>
            <w:vAlign w:val="top"/>
          </w:tcPr>
          <w:p w14:paraId="3CFC8ABA">
            <w:pPr>
              <w:spacing w:before="94" w:line="192" w:lineRule="auto"/>
              <w:ind w:left="38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B</w:t>
            </w:r>
          </w:p>
        </w:tc>
        <w:tc>
          <w:tcPr>
            <w:tcW w:w="907" w:type="dxa"/>
            <w:tcBorders>
              <w:top w:val="single" w:color="000000" w:sz="10" w:space="0"/>
            </w:tcBorders>
            <w:vAlign w:val="top"/>
          </w:tcPr>
          <w:p w14:paraId="6E34636F">
            <w:pPr>
              <w:spacing w:before="91" w:line="195" w:lineRule="auto"/>
              <w:ind w:left="2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B-C</w:t>
            </w:r>
          </w:p>
        </w:tc>
        <w:tc>
          <w:tcPr>
            <w:tcW w:w="907" w:type="dxa"/>
            <w:tcBorders>
              <w:top w:val="single" w:color="000000" w:sz="10" w:space="0"/>
            </w:tcBorders>
            <w:vAlign w:val="top"/>
          </w:tcPr>
          <w:p w14:paraId="7C653F76">
            <w:pPr>
              <w:spacing w:before="91" w:line="195" w:lineRule="auto"/>
              <w:ind w:left="388"/>
              <w:rPr>
                <w:rFonts w:ascii="Times New Roman" w:hAnsi="Times New Roman" w:eastAsia="Times New Roman" w:cs="Times New Roman"/>
                <w:sz w:val="20"/>
                <w:szCs w:val="20"/>
              </w:rPr>
            </w:pPr>
            <w:r>
              <w:rPr>
                <w:rFonts w:ascii="Times New Roman" w:hAnsi="Times New Roman" w:eastAsia="Times New Roman" w:cs="Times New Roman"/>
                <w:sz w:val="20"/>
                <w:szCs w:val="20"/>
              </w:rPr>
              <w:t>C</w:t>
            </w:r>
          </w:p>
        </w:tc>
        <w:tc>
          <w:tcPr>
            <w:tcW w:w="907" w:type="dxa"/>
            <w:tcBorders>
              <w:top w:val="single" w:color="000000" w:sz="10" w:space="0"/>
            </w:tcBorders>
            <w:vAlign w:val="top"/>
          </w:tcPr>
          <w:p w14:paraId="01304141">
            <w:pPr>
              <w:spacing w:before="91" w:line="195" w:lineRule="auto"/>
              <w:ind w:left="2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C-D</w:t>
            </w:r>
          </w:p>
        </w:tc>
        <w:tc>
          <w:tcPr>
            <w:tcW w:w="907" w:type="dxa"/>
            <w:tcBorders>
              <w:top w:val="single" w:color="000000" w:sz="10" w:space="0"/>
            </w:tcBorders>
            <w:vAlign w:val="top"/>
          </w:tcPr>
          <w:p w14:paraId="02446330">
            <w:pPr>
              <w:spacing w:before="94" w:line="192" w:lineRule="auto"/>
              <w:ind w:left="3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D</w:t>
            </w:r>
          </w:p>
        </w:tc>
        <w:tc>
          <w:tcPr>
            <w:tcW w:w="907" w:type="dxa"/>
            <w:tcBorders>
              <w:top w:val="single" w:color="000000" w:sz="10" w:space="0"/>
            </w:tcBorders>
            <w:vAlign w:val="top"/>
          </w:tcPr>
          <w:p w14:paraId="40D46A90">
            <w:pPr>
              <w:spacing w:before="94" w:line="192" w:lineRule="auto"/>
              <w:ind w:left="2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D-E</w:t>
            </w:r>
          </w:p>
        </w:tc>
        <w:tc>
          <w:tcPr>
            <w:tcW w:w="908" w:type="dxa"/>
            <w:tcBorders>
              <w:top w:val="single" w:color="000000" w:sz="10" w:space="0"/>
            </w:tcBorders>
            <w:vAlign w:val="top"/>
          </w:tcPr>
          <w:p w14:paraId="56EB74A9">
            <w:pPr>
              <w:spacing w:before="94" w:line="192" w:lineRule="auto"/>
              <w:ind w:left="391"/>
              <w:rPr>
                <w:rFonts w:ascii="Times New Roman" w:hAnsi="Times New Roman" w:eastAsia="Times New Roman" w:cs="Times New Roman"/>
                <w:sz w:val="20"/>
                <w:szCs w:val="20"/>
              </w:rPr>
            </w:pPr>
            <w:r>
              <w:rPr>
                <w:rFonts w:ascii="Times New Roman" w:hAnsi="Times New Roman" w:eastAsia="Times New Roman" w:cs="Times New Roman"/>
                <w:sz w:val="20"/>
                <w:szCs w:val="20"/>
              </w:rPr>
              <w:t>E</w:t>
            </w:r>
          </w:p>
        </w:tc>
        <w:tc>
          <w:tcPr>
            <w:tcW w:w="908" w:type="dxa"/>
            <w:tcBorders>
              <w:top w:val="single" w:color="000000" w:sz="10" w:space="0"/>
              <w:right w:val="nil"/>
            </w:tcBorders>
            <w:vAlign w:val="top"/>
          </w:tcPr>
          <w:p w14:paraId="689F9233">
            <w:pPr>
              <w:spacing w:before="94" w:line="192" w:lineRule="auto"/>
              <w:ind w:left="39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F</w:t>
            </w:r>
          </w:p>
        </w:tc>
      </w:tr>
      <w:tr w14:paraId="46204B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907" w:type="dxa"/>
            <w:tcBorders>
              <w:left w:val="nil"/>
            </w:tcBorders>
            <w:vAlign w:val="top"/>
          </w:tcPr>
          <w:p w14:paraId="235B6033">
            <w:pPr>
              <w:pStyle w:val="6"/>
              <w:spacing w:before="49" w:line="228" w:lineRule="auto"/>
              <w:ind w:left="252"/>
              <w:rPr>
                <w:sz w:val="20"/>
                <w:szCs w:val="20"/>
              </w:rPr>
            </w:pPr>
            <w:r>
              <w:rPr>
                <w:spacing w:val="3"/>
                <w:sz w:val="20"/>
                <w:szCs w:val="20"/>
              </w:rPr>
              <w:t>一月</w:t>
            </w:r>
          </w:p>
        </w:tc>
        <w:tc>
          <w:tcPr>
            <w:tcW w:w="907" w:type="dxa"/>
            <w:vAlign w:val="top"/>
          </w:tcPr>
          <w:p w14:paraId="032953C0">
            <w:pPr>
              <w:spacing w:before="85"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70E43C37">
            <w:pPr>
              <w:spacing w:before="85"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13.04</w:t>
            </w:r>
          </w:p>
        </w:tc>
        <w:tc>
          <w:tcPr>
            <w:tcW w:w="907" w:type="dxa"/>
            <w:vAlign w:val="top"/>
          </w:tcPr>
          <w:p w14:paraId="4CD9250C">
            <w:pPr>
              <w:spacing w:before="85"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434A8AF7">
            <w:pPr>
              <w:spacing w:before="85" w:line="195" w:lineRule="auto"/>
              <w:ind w:left="2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6.05</w:t>
            </w:r>
          </w:p>
        </w:tc>
        <w:tc>
          <w:tcPr>
            <w:tcW w:w="907" w:type="dxa"/>
            <w:vAlign w:val="top"/>
          </w:tcPr>
          <w:p w14:paraId="5F0CE89C">
            <w:pPr>
              <w:spacing w:before="85"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5DA97768">
            <w:pPr>
              <w:spacing w:before="85"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15.19</w:t>
            </w:r>
          </w:p>
        </w:tc>
        <w:tc>
          <w:tcPr>
            <w:tcW w:w="907" w:type="dxa"/>
            <w:vAlign w:val="top"/>
          </w:tcPr>
          <w:p w14:paraId="1FB6CB86">
            <w:pPr>
              <w:spacing w:before="85"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2D9BE6BA">
            <w:pPr>
              <w:spacing w:before="85"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21.10</w:t>
            </w:r>
          </w:p>
        </w:tc>
        <w:tc>
          <w:tcPr>
            <w:tcW w:w="908" w:type="dxa"/>
            <w:tcBorders>
              <w:right w:val="nil"/>
            </w:tcBorders>
            <w:vAlign w:val="top"/>
          </w:tcPr>
          <w:p w14:paraId="5EC2B1F8">
            <w:pPr>
              <w:spacing w:before="85" w:line="195" w:lineRule="auto"/>
              <w:ind w:left="21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44.62</w:t>
            </w:r>
          </w:p>
        </w:tc>
      </w:tr>
      <w:tr w14:paraId="59636A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07" w:type="dxa"/>
            <w:tcBorders>
              <w:left w:val="nil"/>
            </w:tcBorders>
            <w:vAlign w:val="top"/>
          </w:tcPr>
          <w:p w14:paraId="04A27E9E">
            <w:pPr>
              <w:pStyle w:val="6"/>
              <w:spacing w:before="49" w:line="228" w:lineRule="auto"/>
              <w:ind w:left="252"/>
              <w:rPr>
                <w:sz w:val="20"/>
                <w:szCs w:val="20"/>
              </w:rPr>
            </w:pPr>
            <w:r>
              <w:rPr>
                <w:spacing w:val="3"/>
                <w:sz w:val="20"/>
                <w:szCs w:val="20"/>
              </w:rPr>
              <w:t>二月</w:t>
            </w:r>
          </w:p>
        </w:tc>
        <w:tc>
          <w:tcPr>
            <w:tcW w:w="907" w:type="dxa"/>
            <w:vAlign w:val="top"/>
          </w:tcPr>
          <w:p w14:paraId="698B1513">
            <w:pPr>
              <w:spacing w:before="86"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2A6B2F40">
            <w:pPr>
              <w:spacing w:before="86"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14.43</w:t>
            </w:r>
          </w:p>
        </w:tc>
        <w:tc>
          <w:tcPr>
            <w:tcW w:w="907" w:type="dxa"/>
            <w:vAlign w:val="top"/>
          </w:tcPr>
          <w:p w14:paraId="7E129611">
            <w:pPr>
              <w:spacing w:before="86"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0.60</w:t>
            </w:r>
          </w:p>
        </w:tc>
        <w:tc>
          <w:tcPr>
            <w:tcW w:w="907" w:type="dxa"/>
            <w:vAlign w:val="top"/>
          </w:tcPr>
          <w:p w14:paraId="707F729F">
            <w:pPr>
              <w:spacing w:before="86"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7.74</w:t>
            </w:r>
          </w:p>
        </w:tc>
        <w:tc>
          <w:tcPr>
            <w:tcW w:w="907" w:type="dxa"/>
            <w:vAlign w:val="top"/>
          </w:tcPr>
          <w:p w14:paraId="7F4B9138">
            <w:pPr>
              <w:spacing w:before="86"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907" w:type="dxa"/>
            <w:vAlign w:val="top"/>
          </w:tcPr>
          <w:p w14:paraId="03777970">
            <w:pPr>
              <w:spacing w:before="86"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16.52</w:t>
            </w:r>
          </w:p>
        </w:tc>
        <w:tc>
          <w:tcPr>
            <w:tcW w:w="907" w:type="dxa"/>
            <w:vAlign w:val="top"/>
          </w:tcPr>
          <w:p w14:paraId="2253A172">
            <w:pPr>
              <w:spacing w:before="86"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3B46F10B">
            <w:pPr>
              <w:spacing w:before="86"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19.35</w:t>
            </w:r>
          </w:p>
        </w:tc>
        <w:tc>
          <w:tcPr>
            <w:tcW w:w="908" w:type="dxa"/>
            <w:tcBorders>
              <w:right w:val="nil"/>
            </w:tcBorders>
            <w:vAlign w:val="top"/>
          </w:tcPr>
          <w:p w14:paraId="6C9D463F">
            <w:pPr>
              <w:spacing w:before="86" w:line="195" w:lineRule="auto"/>
              <w:ind w:left="21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41.22</w:t>
            </w:r>
          </w:p>
        </w:tc>
      </w:tr>
      <w:tr w14:paraId="7D8751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07" w:type="dxa"/>
            <w:tcBorders>
              <w:left w:val="nil"/>
            </w:tcBorders>
            <w:vAlign w:val="top"/>
          </w:tcPr>
          <w:p w14:paraId="4767A38E">
            <w:pPr>
              <w:pStyle w:val="6"/>
              <w:spacing w:before="54" w:line="227" w:lineRule="auto"/>
              <w:ind w:left="249"/>
              <w:rPr>
                <w:sz w:val="20"/>
                <w:szCs w:val="20"/>
              </w:rPr>
            </w:pPr>
            <w:r>
              <w:rPr>
                <w:spacing w:val="4"/>
                <w:sz w:val="20"/>
                <w:szCs w:val="20"/>
              </w:rPr>
              <w:t>三月</w:t>
            </w:r>
          </w:p>
        </w:tc>
        <w:tc>
          <w:tcPr>
            <w:tcW w:w="907" w:type="dxa"/>
            <w:vAlign w:val="top"/>
          </w:tcPr>
          <w:p w14:paraId="2A94A522">
            <w:pPr>
              <w:spacing w:before="90"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267CC3CA">
            <w:pPr>
              <w:spacing w:before="90" w:line="195" w:lineRule="auto"/>
              <w:ind w:left="2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11.42</w:t>
            </w:r>
          </w:p>
        </w:tc>
        <w:tc>
          <w:tcPr>
            <w:tcW w:w="907" w:type="dxa"/>
            <w:vAlign w:val="top"/>
          </w:tcPr>
          <w:p w14:paraId="56FD069C">
            <w:pPr>
              <w:spacing w:before="90" w:line="195" w:lineRule="auto"/>
              <w:ind w:left="26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4.30</w:t>
            </w:r>
          </w:p>
        </w:tc>
        <w:tc>
          <w:tcPr>
            <w:tcW w:w="907" w:type="dxa"/>
            <w:vAlign w:val="top"/>
          </w:tcPr>
          <w:p w14:paraId="3A80D1A7">
            <w:pPr>
              <w:spacing w:before="90" w:line="195" w:lineRule="auto"/>
              <w:ind w:left="2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6.72</w:t>
            </w:r>
          </w:p>
        </w:tc>
        <w:tc>
          <w:tcPr>
            <w:tcW w:w="907" w:type="dxa"/>
            <w:vAlign w:val="top"/>
          </w:tcPr>
          <w:p w14:paraId="2ED5595A">
            <w:pPr>
              <w:spacing w:before="90"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0.81</w:t>
            </w:r>
          </w:p>
        </w:tc>
        <w:tc>
          <w:tcPr>
            <w:tcW w:w="907" w:type="dxa"/>
            <w:vAlign w:val="top"/>
          </w:tcPr>
          <w:p w14:paraId="70E428BC">
            <w:pPr>
              <w:spacing w:before="90" w:line="195" w:lineRule="auto"/>
              <w:ind w:left="2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32.80</w:t>
            </w:r>
          </w:p>
        </w:tc>
        <w:tc>
          <w:tcPr>
            <w:tcW w:w="907" w:type="dxa"/>
            <w:vAlign w:val="top"/>
          </w:tcPr>
          <w:p w14:paraId="4F09BC88">
            <w:pPr>
              <w:spacing w:before="90"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23049BDE">
            <w:pPr>
              <w:spacing w:before="90"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17.20</w:t>
            </w:r>
          </w:p>
        </w:tc>
        <w:tc>
          <w:tcPr>
            <w:tcW w:w="908" w:type="dxa"/>
            <w:tcBorders>
              <w:right w:val="nil"/>
            </w:tcBorders>
            <w:vAlign w:val="top"/>
          </w:tcPr>
          <w:p w14:paraId="3C126AD5">
            <w:pPr>
              <w:spacing w:before="90" w:line="195" w:lineRule="auto"/>
              <w:ind w:left="2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26.75</w:t>
            </w:r>
          </w:p>
        </w:tc>
      </w:tr>
      <w:tr w14:paraId="2AF107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07" w:type="dxa"/>
            <w:tcBorders>
              <w:left w:val="nil"/>
            </w:tcBorders>
            <w:vAlign w:val="top"/>
          </w:tcPr>
          <w:p w14:paraId="6B35C67C">
            <w:pPr>
              <w:pStyle w:val="6"/>
              <w:spacing w:before="56" w:line="225" w:lineRule="auto"/>
              <w:ind w:left="269"/>
              <w:rPr>
                <w:sz w:val="20"/>
                <w:szCs w:val="20"/>
              </w:rPr>
            </w:pPr>
            <w:r>
              <w:rPr>
                <w:spacing w:val="-5"/>
                <w:sz w:val="20"/>
                <w:szCs w:val="20"/>
              </w:rPr>
              <w:t>四月</w:t>
            </w:r>
          </w:p>
        </w:tc>
        <w:tc>
          <w:tcPr>
            <w:tcW w:w="907" w:type="dxa"/>
            <w:vAlign w:val="top"/>
          </w:tcPr>
          <w:p w14:paraId="3FF3DD2E">
            <w:pPr>
              <w:spacing w:before="92"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23ECCA76">
            <w:pPr>
              <w:spacing w:before="92"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13.89</w:t>
            </w:r>
          </w:p>
        </w:tc>
        <w:tc>
          <w:tcPr>
            <w:tcW w:w="907" w:type="dxa"/>
            <w:vAlign w:val="top"/>
          </w:tcPr>
          <w:p w14:paraId="53456C82">
            <w:pPr>
              <w:spacing w:before="92"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3.61</w:t>
            </w:r>
          </w:p>
        </w:tc>
        <w:tc>
          <w:tcPr>
            <w:tcW w:w="907" w:type="dxa"/>
            <w:vAlign w:val="top"/>
          </w:tcPr>
          <w:p w14:paraId="6E2DE679">
            <w:pPr>
              <w:spacing w:before="92"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9.03</w:t>
            </w:r>
          </w:p>
        </w:tc>
        <w:tc>
          <w:tcPr>
            <w:tcW w:w="907" w:type="dxa"/>
            <w:vAlign w:val="top"/>
          </w:tcPr>
          <w:p w14:paraId="29DC2AEC">
            <w:pPr>
              <w:spacing w:before="92"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2379CEBA">
            <w:pPr>
              <w:spacing w:before="92" w:line="195" w:lineRule="auto"/>
              <w:ind w:left="2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36.94</w:t>
            </w:r>
          </w:p>
        </w:tc>
        <w:tc>
          <w:tcPr>
            <w:tcW w:w="907" w:type="dxa"/>
            <w:vAlign w:val="top"/>
          </w:tcPr>
          <w:p w14:paraId="437997A5">
            <w:pPr>
              <w:spacing w:before="92"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456FB767">
            <w:pPr>
              <w:spacing w:before="92"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13.47</w:t>
            </w:r>
          </w:p>
        </w:tc>
        <w:tc>
          <w:tcPr>
            <w:tcW w:w="908" w:type="dxa"/>
            <w:tcBorders>
              <w:right w:val="nil"/>
            </w:tcBorders>
            <w:vAlign w:val="top"/>
          </w:tcPr>
          <w:p w14:paraId="5785EF82">
            <w:pPr>
              <w:spacing w:before="92" w:line="195" w:lineRule="auto"/>
              <w:ind w:left="2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23.06</w:t>
            </w:r>
          </w:p>
        </w:tc>
      </w:tr>
      <w:tr w14:paraId="2B8AA6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907" w:type="dxa"/>
            <w:tcBorders>
              <w:left w:val="nil"/>
            </w:tcBorders>
            <w:vAlign w:val="top"/>
          </w:tcPr>
          <w:p w14:paraId="327E7EE3">
            <w:pPr>
              <w:pStyle w:val="6"/>
              <w:spacing w:before="58" w:line="224" w:lineRule="auto"/>
              <w:ind w:left="252"/>
              <w:rPr>
                <w:sz w:val="20"/>
                <w:szCs w:val="20"/>
              </w:rPr>
            </w:pPr>
            <w:r>
              <w:rPr>
                <w:spacing w:val="3"/>
                <w:sz w:val="20"/>
                <w:szCs w:val="20"/>
              </w:rPr>
              <w:t>五月</w:t>
            </w:r>
          </w:p>
        </w:tc>
        <w:tc>
          <w:tcPr>
            <w:tcW w:w="907" w:type="dxa"/>
            <w:vAlign w:val="top"/>
          </w:tcPr>
          <w:p w14:paraId="42BAC777">
            <w:pPr>
              <w:spacing w:before="93"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0.54</w:t>
            </w:r>
          </w:p>
        </w:tc>
        <w:tc>
          <w:tcPr>
            <w:tcW w:w="907" w:type="dxa"/>
            <w:vAlign w:val="top"/>
          </w:tcPr>
          <w:p w14:paraId="2028722C">
            <w:pPr>
              <w:spacing w:before="93"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15.32</w:t>
            </w:r>
          </w:p>
        </w:tc>
        <w:tc>
          <w:tcPr>
            <w:tcW w:w="907" w:type="dxa"/>
            <w:vAlign w:val="top"/>
          </w:tcPr>
          <w:p w14:paraId="07EB7E43">
            <w:pPr>
              <w:spacing w:before="93"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1.61</w:t>
            </w:r>
          </w:p>
        </w:tc>
        <w:tc>
          <w:tcPr>
            <w:tcW w:w="907" w:type="dxa"/>
            <w:vAlign w:val="top"/>
          </w:tcPr>
          <w:p w14:paraId="083FD8A7">
            <w:pPr>
              <w:spacing w:before="93" w:line="195"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10.48</w:t>
            </w:r>
          </w:p>
        </w:tc>
        <w:tc>
          <w:tcPr>
            <w:tcW w:w="907" w:type="dxa"/>
            <w:vAlign w:val="top"/>
          </w:tcPr>
          <w:p w14:paraId="7197B544">
            <w:pPr>
              <w:spacing w:before="93"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0.54</w:t>
            </w:r>
          </w:p>
        </w:tc>
        <w:tc>
          <w:tcPr>
            <w:tcW w:w="907" w:type="dxa"/>
            <w:vAlign w:val="top"/>
          </w:tcPr>
          <w:p w14:paraId="29406711">
            <w:pPr>
              <w:spacing w:before="93" w:line="195" w:lineRule="auto"/>
              <w:ind w:left="2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39.25</w:t>
            </w:r>
          </w:p>
        </w:tc>
        <w:tc>
          <w:tcPr>
            <w:tcW w:w="907" w:type="dxa"/>
            <w:vAlign w:val="top"/>
          </w:tcPr>
          <w:p w14:paraId="2B902CD9">
            <w:pPr>
              <w:spacing w:before="93"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1FC3771E">
            <w:pPr>
              <w:spacing w:before="93"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16.40</w:t>
            </w:r>
          </w:p>
        </w:tc>
        <w:tc>
          <w:tcPr>
            <w:tcW w:w="908" w:type="dxa"/>
            <w:tcBorders>
              <w:right w:val="nil"/>
            </w:tcBorders>
            <w:vAlign w:val="top"/>
          </w:tcPr>
          <w:p w14:paraId="212BFE8D">
            <w:pPr>
              <w:spacing w:before="93" w:line="195" w:lineRule="auto"/>
              <w:ind w:left="24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15.86</w:t>
            </w:r>
          </w:p>
        </w:tc>
      </w:tr>
      <w:tr w14:paraId="4A6A82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07" w:type="dxa"/>
            <w:tcBorders>
              <w:left w:val="nil"/>
            </w:tcBorders>
            <w:vAlign w:val="top"/>
          </w:tcPr>
          <w:p w14:paraId="5848CD71">
            <w:pPr>
              <w:pStyle w:val="6"/>
              <w:spacing w:before="58" w:line="223" w:lineRule="auto"/>
              <w:ind w:left="251"/>
              <w:rPr>
                <w:sz w:val="20"/>
                <w:szCs w:val="20"/>
              </w:rPr>
            </w:pPr>
            <w:r>
              <w:rPr>
                <w:spacing w:val="3"/>
                <w:sz w:val="20"/>
                <w:szCs w:val="20"/>
              </w:rPr>
              <w:t>六月</w:t>
            </w:r>
          </w:p>
        </w:tc>
        <w:tc>
          <w:tcPr>
            <w:tcW w:w="907" w:type="dxa"/>
            <w:vAlign w:val="top"/>
          </w:tcPr>
          <w:p w14:paraId="103F7D54">
            <w:pPr>
              <w:spacing w:before="94"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0.56</w:t>
            </w:r>
          </w:p>
        </w:tc>
        <w:tc>
          <w:tcPr>
            <w:tcW w:w="907" w:type="dxa"/>
            <w:vAlign w:val="top"/>
          </w:tcPr>
          <w:p w14:paraId="7B8B79B7">
            <w:pPr>
              <w:spacing w:before="94"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9.58</w:t>
            </w:r>
          </w:p>
        </w:tc>
        <w:tc>
          <w:tcPr>
            <w:tcW w:w="907" w:type="dxa"/>
            <w:vAlign w:val="top"/>
          </w:tcPr>
          <w:p w14:paraId="5E949689">
            <w:pPr>
              <w:spacing w:before="94" w:line="195" w:lineRule="auto"/>
              <w:ind w:left="27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2.36</w:t>
            </w:r>
          </w:p>
        </w:tc>
        <w:tc>
          <w:tcPr>
            <w:tcW w:w="907" w:type="dxa"/>
            <w:vAlign w:val="top"/>
          </w:tcPr>
          <w:p w14:paraId="145CB3F1">
            <w:pPr>
              <w:spacing w:before="94"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9.03</w:t>
            </w:r>
          </w:p>
        </w:tc>
        <w:tc>
          <w:tcPr>
            <w:tcW w:w="907" w:type="dxa"/>
            <w:vAlign w:val="top"/>
          </w:tcPr>
          <w:p w14:paraId="741DC431">
            <w:pPr>
              <w:spacing w:before="94"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1.94</w:t>
            </w:r>
          </w:p>
        </w:tc>
        <w:tc>
          <w:tcPr>
            <w:tcW w:w="907" w:type="dxa"/>
            <w:vAlign w:val="top"/>
          </w:tcPr>
          <w:p w14:paraId="6BF885B5">
            <w:pPr>
              <w:spacing w:before="94" w:line="195" w:lineRule="auto"/>
              <w:ind w:left="21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47.36</w:t>
            </w:r>
          </w:p>
        </w:tc>
        <w:tc>
          <w:tcPr>
            <w:tcW w:w="907" w:type="dxa"/>
            <w:vAlign w:val="top"/>
          </w:tcPr>
          <w:p w14:paraId="69C060D8">
            <w:pPr>
              <w:spacing w:before="94"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2D411BAC">
            <w:pPr>
              <w:spacing w:before="94" w:line="195" w:lineRule="auto"/>
              <w:ind w:left="24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11.94</w:t>
            </w:r>
          </w:p>
        </w:tc>
        <w:tc>
          <w:tcPr>
            <w:tcW w:w="908" w:type="dxa"/>
            <w:tcBorders>
              <w:right w:val="nil"/>
            </w:tcBorders>
            <w:vAlign w:val="top"/>
          </w:tcPr>
          <w:p w14:paraId="42C546F7">
            <w:pPr>
              <w:spacing w:before="94" w:line="195" w:lineRule="auto"/>
              <w:ind w:left="24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17.22</w:t>
            </w:r>
          </w:p>
        </w:tc>
      </w:tr>
      <w:tr w14:paraId="35EBE7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907" w:type="dxa"/>
            <w:tcBorders>
              <w:left w:val="nil"/>
            </w:tcBorders>
            <w:vAlign w:val="top"/>
          </w:tcPr>
          <w:p w14:paraId="69D09B16">
            <w:pPr>
              <w:pStyle w:val="6"/>
              <w:spacing w:before="60" w:line="222" w:lineRule="auto"/>
              <w:ind w:left="248"/>
              <w:rPr>
                <w:sz w:val="20"/>
                <w:szCs w:val="20"/>
              </w:rPr>
            </w:pPr>
            <w:r>
              <w:rPr>
                <w:spacing w:val="5"/>
                <w:sz w:val="20"/>
                <w:szCs w:val="20"/>
              </w:rPr>
              <w:t>七月</w:t>
            </w:r>
          </w:p>
        </w:tc>
        <w:tc>
          <w:tcPr>
            <w:tcW w:w="907" w:type="dxa"/>
            <w:vAlign w:val="top"/>
          </w:tcPr>
          <w:p w14:paraId="1551A363">
            <w:pPr>
              <w:spacing w:before="96"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1.21</w:t>
            </w:r>
          </w:p>
        </w:tc>
        <w:tc>
          <w:tcPr>
            <w:tcW w:w="907" w:type="dxa"/>
            <w:vAlign w:val="top"/>
          </w:tcPr>
          <w:p w14:paraId="16032D93">
            <w:pPr>
              <w:spacing w:before="96"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16.67</w:t>
            </w:r>
          </w:p>
        </w:tc>
        <w:tc>
          <w:tcPr>
            <w:tcW w:w="907" w:type="dxa"/>
            <w:vAlign w:val="top"/>
          </w:tcPr>
          <w:p w14:paraId="3F753C7C">
            <w:pPr>
              <w:spacing w:before="96"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0.54</w:t>
            </w:r>
          </w:p>
        </w:tc>
        <w:tc>
          <w:tcPr>
            <w:tcW w:w="907" w:type="dxa"/>
            <w:vAlign w:val="top"/>
          </w:tcPr>
          <w:p w14:paraId="6255E2A3">
            <w:pPr>
              <w:spacing w:before="96" w:line="195" w:lineRule="auto"/>
              <w:ind w:left="27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8.87</w:t>
            </w:r>
          </w:p>
        </w:tc>
        <w:tc>
          <w:tcPr>
            <w:tcW w:w="907" w:type="dxa"/>
            <w:vAlign w:val="top"/>
          </w:tcPr>
          <w:p w14:paraId="1F98FD56">
            <w:pPr>
              <w:spacing w:before="96"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0.13</w:t>
            </w:r>
          </w:p>
        </w:tc>
        <w:tc>
          <w:tcPr>
            <w:tcW w:w="907" w:type="dxa"/>
            <w:vAlign w:val="top"/>
          </w:tcPr>
          <w:p w14:paraId="759022E0">
            <w:pPr>
              <w:spacing w:before="96" w:line="195" w:lineRule="auto"/>
              <w:ind w:left="21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41.94</w:t>
            </w:r>
          </w:p>
        </w:tc>
        <w:tc>
          <w:tcPr>
            <w:tcW w:w="907" w:type="dxa"/>
            <w:vAlign w:val="top"/>
          </w:tcPr>
          <w:p w14:paraId="770DBB1C">
            <w:pPr>
              <w:spacing w:before="96"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7E0151BA">
            <w:pPr>
              <w:spacing w:before="96"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13.71</w:t>
            </w:r>
          </w:p>
        </w:tc>
        <w:tc>
          <w:tcPr>
            <w:tcW w:w="908" w:type="dxa"/>
            <w:tcBorders>
              <w:right w:val="nil"/>
            </w:tcBorders>
            <w:vAlign w:val="top"/>
          </w:tcPr>
          <w:p w14:paraId="01E944ED">
            <w:pPr>
              <w:spacing w:before="96" w:line="195" w:lineRule="auto"/>
              <w:ind w:left="24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16.94</w:t>
            </w:r>
          </w:p>
        </w:tc>
      </w:tr>
      <w:tr w14:paraId="49D80A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07" w:type="dxa"/>
            <w:tcBorders>
              <w:left w:val="nil"/>
            </w:tcBorders>
            <w:vAlign w:val="top"/>
          </w:tcPr>
          <w:p w14:paraId="1F5BBBF9">
            <w:pPr>
              <w:pStyle w:val="6"/>
              <w:spacing w:before="61" w:line="220" w:lineRule="auto"/>
              <w:ind w:left="252"/>
              <w:rPr>
                <w:sz w:val="20"/>
                <w:szCs w:val="20"/>
              </w:rPr>
            </w:pPr>
            <w:r>
              <w:rPr>
                <w:spacing w:val="3"/>
                <w:sz w:val="20"/>
                <w:szCs w:val="20"/>
              </w:rPr>
              <w:t>八月</w:t>
            </w:r>
          </w:p>
        </w:tc>
        <w:tc>
          <w:tcPr>
            <w:tcW w:w="907" w:type="dxa"/>
            <w:vAlign w:val="top"/>
          </w:tcPr>
          <w:p w14:paraId="6F377DFF">
            <w:pPr>
              <w:spacing w:before="97"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1D1BCD3E">
            <w:pPr>
              <w:spacing w:before="97" w:line="195" w:lineRule="auto"/>
              <w:ind w:left="21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22.85</w:t>
            </w:r>
          </w:p>
        </w:tc>
        <w:tc>
          <w:tcPr>
            <w:tcW w:w="907" w:type="dxa"/>
            <w:vAlign w:val="top"/>
          </w:tcPr>
          <w:p w14:paraId="04D4FFA6">
            <w:pPr>
              <w:spacing w:before="97" w:line="195" w:lineRule="auto"/>
              <w:ind w:left="27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2.55</w:t>
            </w:r>
          </w:p>
        </w:tc>
        <w:tc>
          <w:tcPr>
            <w:tcW w:w="907" w:type="dxa"/>
            <w:vAlign w:val="top"/>
          </w:tcPr>
          <w:p w14:paraId="678059CC">
            <w:pPr>
              <w:spacing w:before="97" w:line="195" w:lineRule="auto"/>
              <w:ind w:left="2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907" w:type="dxa"/>
            <w:vAlign w:val="top"/>
          </w:tcPr>
          <w:p w14:paraId="79514886">
            <w:pPr>
              <w:spacing w:before="97"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0.67</w:t>
            </w:r>
          </w:p>
        </w:tc>
        <w:tc>
          <w:tcPr>
            <w:tcW w:w="907" w:type="dxa"/>
            <w:vAlign w:val="top"/>
          </w:tcPr>
          <w:p w14:paraId="2D202CBC">
            <w:pPr>
              <w:spacing w:before="97"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27.82</w:t>
            </w:r>
          </w:p>
        </w:tc>
        <w:tc>
          <w:tcPr>
            <w:tcW w:w="907" w:type="dxa"/>
            <w:vAlign w:val="top"/>
          </w:tcPr>
          <w:p w14:paraId="2A7A3B4C">
            <w:pPr>
              <w:spacing w:before="97"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6F61BAC5">
            <w:pPr>
              <w:spacing w:before="97"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18.68</w:t>
            </w:r>
          </w:p>
        </w:tc>
        <w:tc>
          <w:tcPr>
            <w:tcW w:w="908" w:type="dxa"/>
            <w:tcBorders>
              <w:right w:val="nil"/>
            </w:tcBorders>
            <w:vAlign w:val="top"/>
          </w:tcPr>
          <w:p w14:paraId="331FBCFB">
            <w:pPr>
              <w:spacing w:before="97" w:line="195" w:lineRule="auto"/>
              <w:ind w:left="2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21.77</w:t>
            </w:r>
          </w:p>
        </w:tc>
      </w:tr>
      <w:tr w14:paraId="24C567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907" w:type="dxa"/>
            <w:tcBorders>
              <w:left w:val="nil"/>
            </w:tcBorders>
            <w:vAlign w:val="top"/>
          </w:tcPr>
          <w:p w14:paraId="59EDAAFA">
            <w:pPr>
              <w:pStyle w:val="6"/>
              <w:spacing w:before="63" w:line="219" w:lineRule="auto"/>
              <w:ind w:left="254"/>
              <w:rPr>
                <w:sz w:val="20"/>
                <w:szCs w:val="20"/>
              </w:rPr>
            </w:pPr>
            <w:r>
              <w:rPr>
                <w:spacing w:val="2"/>
                <w:sz w:val="20"/>
                <w:szCs w:val="20"/>
              </w:rPr>
              <w:t>九月</w:t>
            </w:r>
          </w:p>
        </w:tc>
        <w:tc>
          <w:tcPr>
            <w:tcW w:w="907" w:type="dxa"/>
            <w:vAlign w:val="top"/>
          </w:tcPr>
          <w:p w14:paraId="015E320F">
            <w:pPr>
              <w:spacing w:before="99"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6465E857">
            <w:pPr>
              <w:spacing w:before="99"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19.31</w:t>
            </w:r>
          </w:p>
        </w:tc>
        <w:tc>
          <w:tcPr>
            <w:tcW w:w="907" w:type="dxa"/>
            <w:vAlign w:val="top"/>
          </w:tcPr>
          <w:p w14:paraId="2B6F441F">
            <w:pPr>
              <w:spacing w:before="99"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3.61</w:t>
            </w:r>
          </w:p>
        </w:tc>
        <w:tc>
          <w:tcPr>
            <w:tcW w:w="907" w:type="dxa"/>
            <w:vAlign w:val="top"/>
          </w:tcPr>
          <w:p w14:paraId="0D7C80B7">
            <w:pPr>
              <w:spacing w:before="99" w:line="195" w:lineRule="auto"/>
              <w:ind w:left="2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5.97</w:t>
            </w:r>
          </w:p>
        </w:tc>
        <w:tc>
          <w:tcPr>
            <w:tcW w:w="907" w:type="dxa"/>
            <w:vAlign w:val="top"/>
          </w:tcPr>
          <w:p w14:paraId="6BB19292">
            <w:pPr>
              <w:spacing w:before="99"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1.25</w:t>
            </w:r>
          </w:p>
        </w:tc>
        <w:tc>
          <w:tcPr>
            <w:tcW w:w="907" w:type="dxa"/>
            <w:vAlign w:val="top"/>
          </w:tcPr>
          <w:p w14:paraId="1F4724BC">
            <w:pPr>
              <w:spacing w:before="99"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22.22</w:t>
            </w:r>
          </w:p>
        </w:tc>
        <w:tc>
          <w:tcPr>
            <w:tcW w:w="907" w:type="dxa"/>
            <w:vAlign w:val="top"/>
          </w:tcPr>
          <w:p w14:paraId="2736E01D">
            <w:pPr>
              <w:spacing w:before="99"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66C54A29">
            <w:pPr>
              <w:spacing w:before="99"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22.92</w:t>
            </w:r>
          </w:p>
        </w:tc>
        <w:tc>
          <w:tcPr>
            <w:tcW w:w="908" w:type="dxa"/>
            <w:tcBorders>
              <w:right w:val="nil"/>
            </w:tcBorders>
            <w:vAlign w:val="top"/>
          </w:tcPr>
          <w:p w14:paraId="20D4CF6B">
            <w:pPr>
              <w:spacing w:before="99" w:line="195" w:lineRule="auto"/>
              <w:ind w:left="2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24.72</w:t>
            </w:r>
          </w:p>
        </w:tc>
      </w:tr>
      <w:tr w14:paraId="33A0A4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07" w:type="dxa"/>
            <w:tcBorders>
              <w:left w:val="nil"/>
            </w:tcBorders>
            <w:vAlign w:val="top"/>
          </w:tcPr>
          <w:p w14:paraId="0BD748D6">
            <w:pPr>
              <w:pStyle w:val="6"/>
              <w:spacing w:before="63" w:line="218" w:lineRule="auto"/>
              <w:ind w:left="250"/>
              <w:rPr>
                <w:sz w:val="20"/>
                <w:szCs w:val="20"/>
              </w:rPr>
            </w:pPr>
            <w:r>
              <w:rPr>
                <w:spacing w:val="4"/>
                <w:sz w:val="20"/>
                <w:szCs w:val="20"/>
              </w:rPr>
              <w:t>十月</w:t>
            </w:r>
          </w:p>
        </w:tc>
        <w:tc>
          <w:tcPr>
            <w:tcW w:w="907" w:type="dxa"/>
            <w:vAlign w:val="top"/>
          </w:tcPr>
          <w:p w14:paraId="19A98B0F">
            <w:pPr>
              <w:spacing w:before="99"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58925EB4">
            <w:pPr>
              <w:spacing w:before="99"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16.53</w:t>
            </w:r>
          </w:p>
        </w:tc>
        <w:tc>
          <w:tcPr>
            <w:tcW w:w="907" w:type="dxa"/>
            <w:vAlign w:val="top"/>
          </w:tcPr>
          <w:p w14:paraId="6E636813">
            <w:pPr>
              <w:spacing w:before="99" w:line="195" w:lineRule="auto"/>
              <w:ind w:left="27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2.02</w:t>
            </w:r>
          </w:p>
        </w:tc>
        <w:tc>
          <w:tcPr>
            <w:tcW w:w="907" w:type="dxa"/>
            <w:vAlign w:val="top"/>
          </w:tcPr>
          <w:p w14:paraId="0BCE5C24">
            <w:pPr>
              <w:spacing w:before="99" w:line="195" w:lineRule="auto"/>
              <w:ind w:left="2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6.72</w:t>
            </w:r>
          </w:p>
        </w:tc>
        <w:tc>
          <w:tcPr>
            <w:tcW w:w="907" w:type="dxa"/>
            <w:vAlign w:val="top"/>
          </w:tcPr>
          <w:p w14:paraId="28C4C4DE">
            <w:pPr>
              <w:spacing w:before="99"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0.27</w:t>
            </w:r>
          </w:p>
        </w:tc>
        <w:tc>
          <w:tcPr>
            <w:tcW w:w="907" w:type="dxa"/>
            <w:vAlign w:val="top"/>
          </w:tcPr>
          <w:p w14:paraId="0F50206B">
            <w:pPr>
              <w:spacing w:before="99"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20.30</w:t>
            </w:r>
          </w:p>
        </w:tc>
        <w:tc>
          <w:tcPr>
            <w:tcW w:w="907" w:type="dxa"/>
            <w:vAlign w:val="top"/>
          </w:tcPr>
          <w:p w14:paraId="62AE0AC5">
            <w:pPr>
              <w:spacing w:before="99"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2B1188A1">
            <w:pPr>
              <w:spacing w:before="99"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16.67</w:t>
            </w:r>
          </w:p>
        </w:tc>
        <w:tc>
          <w:tcPr>
            <w:tcW w:w="908" w:type="dxa"/>
            <w:tcBorders>
              <w:right w:val="nil"/>
            </w:tcBorders>
            <w:vAlign w:val="top"/>
          </w:tcPr>
          <w:p w14:paraId="47191DBD">
            <w:pPr>
              <w:spacing w:before="99" w:line="195" w:lineRule="auto"/>
              <w:ind w:left="22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37.50</w:t>
            </w:r>
          </w:p>
        </w:tc>
      </w:tr>
      <w:tr w14:paraId="25EFF7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907" w:type="dxa"/>
            <w:tcBorders>
              <w:left w:val="nil"/>
            </w:tcBorders>
            <w:vAlign w:val="top"/>
          </w:tcPr>
          <w:p w14:paraId="4B5AF474">
            <w:pPr>
              <w:pStyle w:val="6"/>
              <w:spacing w:before="65" w:line="217" w:lineRule="auto"/>
              <w:ind w:left="144"/>
              <w:rPr>
                <w:sz w:val="20"/>
                <w:szCs w:val="20"/>
              </w:rPr>
            </w:pPr>
            <w:r>
              <w:rPr>
                <w:spacing w:val="6"/>
                <w:sz w:val="20"/>
                <w:szCs w:val="20"/>
              </w:rPr>
              <w:t>十一月</w:t>
            </w:r>
          </w:p>
        </w:tc>
        <w:tc>
          <w:tcPr>
            <w:tcW w:w="907" w:type="dxa"/>
            <w:vAlign w:val="top"/>
          </w:tcPr>
          <w:p w14:paraId="61419ED6">
            <w:pPr>
              <w:spacing w:before="101"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68E7284F">
            <w:pPr>
              <w:spacing w:before="101" w:line="195" w:lineRule="auto"/>
              <w:ind w:left="27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8.33</w:t>
            </w:r>
          </w:p>
        </w:tc>
        <w:tc>
          <w:tcPr>
            <w:tcW w:w="907" w:type="dxa"/>
            <w:vAlign w:val="top"/>
          </w:tcPr>
          <w:p w14:paraId="60061F45">
            <w:pPr>
              <w:spacing w:before="101"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63338A84">
            <w:pPr>
              <w:spacing w:before="101"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9.72</w:t>
            </w:r>
          </w:p>
        </w:tc>
        <w:tc>
          <w:tcPr>
            <w:tcW w:w="907" w:type="dxa"/>
            <w:vAlign w:val="top"/>
          </w:tcPr>
          <w:p w14:paraId="0BF61319">
            <w:pPr>
              <w:spacing w:before="101"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7C1A3DD9">
            <w:pPr>
              <w:spacing w:before="101"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22.92</w:t>
            </w:r>
          </w:p>
        </w:tc>
        <w:tc>
          <w:tcPr>
            <w:tcW w:w="907" w:type="dxa"/>
            <w:vAlign w:val="top"/>
          </w:tcPr>
          <w:p w14:paraId="11E5FECD">
            <w:pPr>
              <w:spacing w:before="101"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7BBD80AA">
            <w:pPr>
              <w:spacing w:before="101"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25.42</w:t>
            </w:r>
          </w:p>
        </w:tc>
        <w:tc>
          <w:tcPr>
            <w:tcW w:w="908" w:type="dxa"/>
            <w:tcBorders>
              <w:right w:val="nil"/>
            </w:tcBorders>
            <w:vAlign w:val="top"/>
          </w:tcPr>
          <w:p w14:paraId="7363C69F">
            <w:pPr>
              <w:spacing w:before="101" w:line="195" w:lineRule="auto"/>
              <w:ind w:left="22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33.61</w:t>
            </w:r>
          </w:p>
        </w:tc>
      </w:tr>
      <w:tr w14:paraId="528943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907" w:type="dxa"/>
            <w:tcBorders>
              <w:left w:val="nil"/>
            </w:tcBorders>
            <w:vAlign w:val="top"/>
          </w:tcPr>
          <w:p w14:paraId="656D6407">
            <w:pPr>
              <w:pStyle w:val="6"/>
              <w:spacing w:before="67" w:line="215" w:lineRule="auto"/>
              <w:ind w:left="144"/>
              <w:rPr>
                <w:sz w:val="20"/>
                <w:szCs w:val="20"/>
              </w:rPr>
            </w:pPr>
            <w:r>
              <w:rPr>
                <w:spacing w:val="6"/>
                <w:sz w:val="20"/>
                <w:szCs w:val="20"/>
              </w:rPr>
              <w:t>十二月</w:t>
            </w:r>
          </w:p>
        </w:tc>
        <w:tc>
          <w:tcPr>
            <w:tcW w:w="907" w:type="dxa"/>
            <w:vAlign w:val="top"/>
          </w:tcPr>
          <w:p w14:paraId="74795644">
            <w:pPr>
              <w:spacing w:before="102"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3740689E">
            <w:pPr>
              <w:spacing w:before="102"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7.42</w:t>
            </w:r>
          </w:p>
        </w:tc>
        <w:tc>
          <w:tcPr>
            <w:tcW w:w="907" w:type="dxa"/>
            <w:vAlign w:val="top"/>
          </w:tcPr>
          <w:p w14:paraId="61E6BD05">
            <w:pPr>
              <w:spacing w:before="102"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4B8F4BAA">
            <w:pPr>
              <w:spacing w:before="102"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9.72</w:t>
            </w:r>
          </w:p>
        </w:tc>
        <w:tc>
          <w:tcPr>
            <w:tcW w:w="907" w:type="dxa"/>
            <w:vAlign w:val="top"/>
          </w:tcPr>
          <w:p w14:paraId="5B756299">
            <w:pPr>
              <w:spacing w:before="102"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3EDA98BA">
            <w:pPr>
              <w:spacing w:before="102"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24.70</w:t>
            </w:r>
          </w:p>
        </w:tc>
        <w:tc>
          <w:tcPr>
            <w:tcW w:w="907" w:type="dxa"/>
            <w:vAlign w:val="top"/>
          </w:tcPr>
          <w:p w14:paraId="64419305">
            <w:pPr>
              <w:spacing w:before="102"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44C3F1B7">
            <w:pPr>
              <w:spacing w:before="102"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18.35</w:t>
            </w:r>
          </w:p>
        </w:tc>
        <w:tc>
          <w:tcPr>
            <w:tcW w:w="908" w:type="dxa"/>
            <w:tcBorders>
              <w:right w:val="nil"/>
            </w:tcBorders>
            <w:vAlign w:val="top"/>
          </w:tcPr>
          <w:p w14:paraId="086DF47A">
            <w:pPr>
              <w:spacing w:before="102" w:line="195" w:lineRule="auto"/>
              <w:ind w:left="22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39.81</w:t>
            </w:r>
          </w:p>
        </w:tc>
      </w:tr>
      <w:tr w14:paraId="1EBCEB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907" w:type="dxa"/>
            <w:tcBorders>
              <w:left w:val="nil"/>
            </w:tcBorders>
            <w:vAlign w:val="top"/>
          </w:tcPr>
          <w:p w14:paraId="6512C612">
            <w:pPr>
              <w:pStyle w:val="6"/>
              <w:spacing w:before="68" w:line="215" w:lineRule="auto"/>
              <w:ind w:left="249"/>
              <w:rPr>
                <w:sz w:val="20"/>
                <w:szCs w:val="20"/>
              </w:rPr>
            </w:pPr>
            <w:r>
              <w:rPr>
                <w:spacing w:val="4"/>
                <w:sz w:val="20"/>
                <w:szCs w:val="20"/>
              </w:rPr>
              <w:t>全年</w:t>
            </w:r>
          </w:p>
        </w:tc>
        <w:tc>
          <w:tcPr>
            <w:tcW w:w="907" w:type="dxa"/>
            <w:vAlign w:val="top"/>
          </w:tcPr>
          <w:p w14:paraId="52A49407">
            <w:pPr>
              <w:spacing w:before="104"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0.19</w:t>
            </w:r>
          </w:p>
        </w:tc>
        <w:tc>
          <w:tcPr>
            <w:tcW w:w="907" w:type="dxa"/>
            <w:vAlign w:val="top"/>
          </w:tcPr>
          <w:p w14:paraId="20CBD1D3">
            <w:pPr>
              <w:spacing w:before="104"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14.08</w:t>
            </w:r>
          </w:p>
        </w:tc>
        <w:tc>
          <w:tcPr>
            <w:tcW w:w="907" w:type="dxa"/>
            <w:vAlign w:val="top"/>
          </w:tcPr>
          <w:p w14:paraId="4C839B99">
            <w:pPr>
              <w:spacing w:before="104"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1.77</w:t>
            </w:r>
          </w:p>
        </w:tc>
        <w:tc>
          <w:tcPr>
            <w:tcW w:w="907" w:type="dxa"/>
            <w:vAlign w:val="top"/>
          </w:tcPr>
          <w:p w14:paraId="0CF9DE06">
            <w:pPr>
              <w:spacing w:before="104"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7.97</w:t>
            </w:r>
          </w:p>
        </w:tc>
        <w:tc>
          <w:tcPr>
            <w:tcW w:w="907" w:type="dxa"/>
            <w:vAlign w:val="top"/>
          </w:tcPr>
          <w:p w14:paraId="15600FFF">
            <w:pPr>
              <w:spacing w:before="104"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0.48</w:t>
            </w:r>
          </w:p>
        </w:tc>
        <w:tc>
          <w:tcPr>
            <w:tcW w:w="907" w:type="dxa"/>
            <w:vAlign w:val="top"/>
          </w:tcPr>
          <w:p w14:paraId="5AA3EAD0">
            <w:pPr>
              <w:spacing w:before="104"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29.06</w:t>
            </w:r>
          </w:p>
        </w:tc>
        <w:tc>
          <w:tcPr>
            <w:tcW w:w="907" w:type="dxa"/>
            <w:vAlign w:val="top"/>
          </w:tcPr>
          <w:p w14:paraId="204C5FC9">
            <w:pPr>
              <w:spacing w:before="104"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5B33A18E">
            <w:pPr>
              <w:spacing w:before="104"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17.92</w:t>
            </w:r>
          </w:p>
        </w:tc>
        <w:tc>
          <w:tcPr>
            <w:tcW w:w="908" w:type="dxa"/>
            <w:tcBorders>
              <w:right w:val="nil"/>
            </w:tcBorders>
            <w:vAlign w:val="top"/>
          </w:tcPr>
          <w:p w14:paraId="6454AA72">
            <w:pPr>
              <w:spacing w:before="104" w:line="195" w:lineRule="auto"/>
              <w:ind w:left="2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28.53</w:t>
            </w:r>
          </w:p>
        </w:tc>
      </w:tr>
      <w:tr w14:paraId="0EF778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907" w:type="dxa"/>
            <w:tcBorders>
              <w:left w:val="nil"/>
            </w:tcBorders>
            <w:vAlign w:val="top"/>
          </w:tcPr>
          <w:p w14:paraId="1702392B">
            <w:pPr>
              <w:pStyle w:val="6"/>
              <w:spacing w:before="69" w:line="214" w:lineRule="auto"/>
              <w:ind w:left="248"/>
              <w:rPr>
                <w:sz w:val="20"/>
                <w:szCs w:val="20"/>
              </w:rPr>
            </w:pPr>
            <w:r>
              <w:rPr>
                <w:spacing w:val="5"/>
                <w:sz w:val="20"/>
                <w:szCs w:val="20"/>
              </w:rPr>
              <w:t>春季</w:t>
            </w:r>
          </w:p>
        </w:tc>
        <w:tc>
          <w:tcPr>
            <w:tcW w:w="907" w:type="dxa"/>
            <w:vAlign w:val="top"/>
          </w:tcPr>
          <w:p w14:paraId="6169CB69">
            <w:pPr>
              <w:spacing w:before="105"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0.18</w:t>
            </w:r>
          </w:p>
        </w:tc>
        <w:tc>
          <w:tcPr>
            <w:tcW w:w="907" w:type="dxa"/>
            <w:vAlign w:val="top"/>
          </w:tcPr>
          <w:p w14:paraId="1C468999">
            <w:pPr>
              <w:spacing w:before="105"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13.54</w:t>
            </w:r>
          </w:p>
        </w:tc>
        <w:tc>
          <w:tcPr>
            <w:tcW w:w="907" w:type="dxa"/>
            <w:vAlign w:val="top"/>
          </w:tcPr>
          <w:p w14:paraId="5DC9A514">
            <w:pPr>
              <w:spacing w:before="105"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3.17</w:t>
            </w:r>
          </w:p>
        </w:tc>
        <w:tc>
          <w:tcPr>
            <w:tcW w:w="907" w:type="dxa"/>
            <w:vAlign w:val="top"/>
          </w:tcPr>
          <w:p w14:paraId="74720ED5">
            <w:pPr>
              <w:spacing w:before="105" w:line="195" w:lineRule="auto"/>
              <w:ind w:left="27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8.74</w:t>
            </w:r>
          </w:p>
        </w:tc>
        <w:tc>
          <w:tcPr>
            <w:tcW w:w="907" w:type="dxa"/>
            <w:vAlign w:val="top"/>
          </w:tcPr>
          <w:p w14:paraId="702529E3">
            <w:pPr>
              <w:spacing w:before="105"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0.45</w:t>
            </w:r>
          </w:p>
        </w:tc>
        <w:tc>
          <w:tcPr>
            <w:tcW w:w="907" w:type="dxa"/>
            <w:vAlign w:val="top"/>
          </w:tcPr>
          <w:p w14:paraId="391AF44E">
            <w:pPr>
              <w:spacing w:before="105" w:line="195" w:lineRule="auto"/>
              <w:ind w:left="2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36.32</w:t>
            </w:r>
          </w:p>
        </w:tc>
        <w:tc>
          <w:tcPr>
            <w:tcW w:w="907" w:type="dxa"/>
            <w:vAlign w:val="top"/>
          </w:tcPr>
          <w:p w14:paraId="6316DE95">
            <w:pPr>
              <w:spacing w:before="105"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4467E752">
            <w:pPr>
              <w:spacing w:before="105"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15.72</w:t>
            </w:r>
          </w:p>
        </w:tc>
        <w:tc>
          <w:tcPr>
            <w:tcW w:w="908" w:type="dxa"/>
            <w:tcBorders>
              <w:right w:val="nil"/>
            </w:tcBorders>
            <w:vAlign w:val="top"/>
          </w:tcPr>
          <w:p w14:paraId="6FE5A4BA">
            <w:pPr>
              <w:spacing w:before="105" w:line="195" w:lineRule="auto"/>
              <w:ind w:left="2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21.88</w:t>
            </w:r>
          </w:p>
        </w:tc>
      </w:tr>
      <w:tr w14:paraId="71EBD5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907" w:type="dxa"/>
            <w:tcBorders>
              <w:left w:val="nil"/>
            </w:tcBorders>
            <w:vAlign w:val="top"/>
          </w:tcPr>
          <w:p w14:paraId="19BD9606">
            <w:pPr>
              <w:pStyle w:val="6"/>
              <w:spacing w:before="72" w:line="211" w:lineRule="auto"/>
              <w:ind w:left="249"/>
              <w:rPr>
                <w:sz w:val="20"/>
                <w:szCs w:val="20"/>
              </w:rPr>
            </w:pPr>
            <w:r>
              <w:rPr>
                <w:spacing w:val="4"/>
                <w:sz w:val="20"/>
                <w:szCs w:val="20"/>
              </w:rPr>
              <w:t>夏季</w:t>
            </w:r>
          </w:p>
        </w:tc>
        <w:tc>
          <w:tcPr>
            <w:tcW w:w="907" w:type="dxa"/>
            <w:vAlign w:val="top"/>
          </w:tcPr>
          <w:p w14:paraId="4B4A41D1">
            <w:pPr>
              <w:spacing w:before="108"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0.59</w:t>
            </w:r>
          </w:p>
        </w:tc>
        <w:tc>
          <w:tcPr>
            <w:tcW w:w="907" w:type="dxa"/>
            <w:vAlign w:val="top"/>
          </w:tcPr>
          <w:p w14:paraId="27D5605B">
            <w:pPr>
              <w:spacing w:before="108"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16.44</w:t>
            </w:r>
          </w:p>
        </w:tc>
        <w:tc>
          <w:tcPr>
            <w:tcW w:w="907" w:type="dxa"/>
            <w:vAlign w:val="top"/>
          </w:tcPr>
          <w:p w14:paraId="3C178379">
            <w:pPr>
              <w:spacing w:before="108"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1.81</w:t>
            </w:r>
          </w:p>
        </w:tc>
        <w:tc>
          <w:tcPr>
            <w:tcW w:w="907" w:type="dxa"/>
            <w:vAlign w:val="top"/>
          </w:tcPr>
          <w:p w14:paraId="5A866D25">
            <w:pPr>
              <w:spacing w:before="108"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7.84</w:t>
            </w:r>
          </w:p>
        </w:tc>
        <w:tc>
          <w:tcPr>
            <w:tcW w:w="907" w:type="dxa"/>
            <w:vAlign w:val="top"/>
          </w:tcPr>
          <w:p w14:paraId="0465982C">
            <w:pPr>
              <w:spacing w:before="108"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0.91</w:t>
            </w:r>
          </w:p>
        </w:tc>
        <w:tc>
          <w:tcPr>
            <w:tcW w:w="907" w:type="dxa"/>
            <w:vAlign w:val="top"/>
          </w:tcPr>
          <w:p w14:paraId="21272647">
            <w:pPr>
              <w:spacing w:before="108" w:line="195" w:lineRule="auto"/>
              <w:ind w:left="2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38.95</w:t>
            </w:r>
          </w:p>
        </w:tc>
        <w:tc>
          <w:tcPr>
            <w:tcW w:w="907" w:type="dxa"/>
            <w:vAlign w:val="top"/>
          </w:tcPr>
          <w:p w14:paraId="1D8A0025">
            <w:pPr>
              <w:spacing w:before="108"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47D8B05E">
            <w:pPr>
              <w:spacing w:before="108"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14.81</w:t>
            </w:r>
          </w:p>
        </w:tc>
        <w:tc>
          <w:tcPr>
            <w:tcW w:w="908" w:type="dxa"/>
            <w:tcBorders>
              <w:right w:val="nil"/>
            </w:tcBorders>
            <w:vAlign w:val="top"/>
          </w:tcPr>
          <w:p w14:paraId="6525E6DB">
            <w:pPr>
              <w:spacing w:before="108" w:line="195" w:lineRule="auto"/>
              <w:ind w:left="24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18.66</w:t>
            </w:r>
          </w:p>
        </w:tc>
      </w:tr>
      <w:tr w14:paraId="4E9273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907" w:type="dxa"/>
            <w:tcBorders>
              <w:left w:val="nil"/>
            </w:tcBorders>
            <w:vAlign w:val="top"/>
          </w:tcPr>
          <w:p w14:paraId="337B2619">
            <w:pPr>
              <w:pStyle w:val="6"/>
              <w:spacing w:before="73" w:line="210" w:lineRule="auto"/>
              <w:ind w:left="251"/>
              <w:rPr>
                <w:sz w:val="20"/>
                <w:szCs w:val="20"/>
              </w:rPr>
            </w:pPr>
            <w:r>
              <w:rPr>
                <w:spacing w:val="3"/>
                <w:sz w:val="20"/>
                <w:szCs w:val="20"/>
              </w:rPr>
              <w:t>秋季</w:t>
            </w:r>
          </w:p>
        </w:tc>
        <w:tc>
          <w:tcPr>
            <w:tcW w:w="907" w:type="dxa"/>
            <w:vAlign w:val="top"/>
          </w:tcPr>
          <w:p w14:paraId="0D08EA98">
            <w:pPr>
              <w:spacing w:before="109"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vAlign w:val="top"/>
          </w:tcPr>
          <w:p w14:paraId="7F5E3D65">
            <w:pPr>
              <w:spacing w:before="109"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14.74</w:t>
            </w:r>
          </w:p>
        </w:tc>
        <w:tc>
          <w:tcPr>
            <w:tcW w:w="907" w:type="dxa"/>
            <w:vAlign w:val="top"/>
          </w:tcPr>
          <w:p w14:paraId="2190DDE6">
            <w:pPr>
              <w:spacing w:before="109"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1.88</w:t>
            </w:r>
          </w:p>
        </w:tc>
        <w:tc>
          <w:tcPr>
            <w:tcW w:w="907" w:type="dxa"/>
            <w:vAlign w:val="top"/>
          </w:tcPr>
          <w:p w14:paraId="6B947026">
            <w:pPr>
              <w:spacing w:before="109"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7.46</w:t>
            </w:r>
          </w:p>
        </w:tc>
        <w:tc>
          <w:tcPr>
            <w:tcW w:w="907" w:type="dxa"/>
            <w:vAlign w:val="top"/>
          </w:tcPr>
          <w:p w14:paraId="5D7D856C">
            <w:pPr>
              <w:spacing w:before="109"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0.50</w:t>
            </w:r>
          </w:p>
        </w:tc>
        <w:tc>
          <w:tcPr>
            <w:tcW w:w="907" w:type="dxa"/>
            <w:vAlign w:val="top"/>
          </w:tcPr>
          <w:p w14:paraId="7692D4CD">
            <w:pPr>
              <w:spacing w:before="109"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21.79</w:t>
            </w:r>
          </w:p>
        </w:tc>
        <w:tc>
          <w:tcPr>
            <w:tcW w:w="907" w:type="dxa"/>
            <w:vAlign w:val="top"/>
          </w:tcPr>
          <w:p w14:paraId="5F8EEACA">
            <w:pPr>
              <w:spacing w:before="109"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vAlign w:val="top"/>
          </w:tcPr>
          <w:p w14:paraId="638EE089">
            <w:pPr>
              <w:spacing w:before="109" w:line="195" w:lineRule="auto"/>
              <w:ind w:left="2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21.61</w:t>
            </w:r>
          </w:p>
        </w:tc>
        <w:tc>
          <w:tcPr>
            <w:tcW w:w="908" w:type="dxa"/>
            <w:tcBorders>
              <w:right w:val="nil"/>
            </w:tcBorders>
            <w:vAlign w:val="top"/>
          </w:tcPr>
          <w:p w14:paraId="1621CDB3">
            <w:pPr>
              <w:spacing w:before="109" w:line="195" w:lineRule="auto"/>
              <w:ind w:left="22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32.01</w:t>
            </w:r>
          </w:p>
        </w:tc>
      </w:tr>
      <w:tr w14:paraId="439AD6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907" w:type="dxa"/>
            <w:tcBorders>
              <w:left w:val="nil"/>
              <w:bottom w:val="single" w:color="000000" w:sz="10" w:space="0"/>
            </w:tcBorders>
            <w:vAlign w:val="top"/>
          </w:tcPr>
          <w:p w14:paraId="08171891">
            <w:pPr>
              <w:pStyle w:val="6"/>
              <w:spacing w:before="73" w:line="228" w:lineRule="auto"/>
              <w:ind w:left="254"/>
              <w:rPr>
                <w:sz w:val="20"/>
                <w:szCs w:val="20"/>
              </w:rPr>
            </w:pPr>
            <w:r>
              <w:rPr>
                <w:spacing w:val="2"/>
                <w:sz w:val="20"/>
                <w:szCs w:val="20"/>
              </w:rPr>
              <w:t>冬季</w:t>
            </w:r>
          </w:p>
        </w:tc>
        <w:tc>
          <w:tcPr>
            <w:tcW w:w="907" w:type="dxa"/>
            <w:tcBorders>
              <w:bottom w:val="single" w:color="000000" w:sz="10" w:space="0"/>
            </w:tcBorders>
            <w:vAlign w:val="top"/>
          </w:tcPr>
          <w:p w14:paraId="175AB6AF">
            <w:pPr>
              <w:spacing w:before="109"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7" w:type="dxa"/>
            <w:tcBorders>
              <w:bottom w:val="single" w:color="000000" w:sz="10" w:space="0"/>
            </w:tcBorders>
            <w:vAlign w:val="top"/>
          </w:tcPr>
          <w:p w14:paraId="6C1802BC">
            <w:pPr>
              <w:spacing w:before="109" w:line="195" w:lineRule="auto"/>
              <w:ind w:left="2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11.54</w:t>
            </w:r>
          </w:p>
        </w:tc>
        <w:tc>
          <w:tcPr>
            <w:tcW w:w="907" w:type="dxa"/>
            <w:tcBorders>
              <w:bottom w:val="single" w:color="000000" w:sz="10" w:space="0"/>
            </w:tcBorders>
            <w:vAlign w:val="top"/>
          </w:tcPr>
          <w:p w14:paraId="382282F3">
            <w:pPr>
              <w:spacing w:before="109"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0.19</w:t>
            </w:r>
          </w:p>
        </w:tc>
        <w:tc>
          <w:tcPr>
            <w:tcW w:w="907" w:type="dxa"/>
            <w:tcBorders>
              <w:bottom w:val="single" w:color="000000" w:sz="10" w:space="0"/>
            </w:tcBorders>
            <w:vAlign w:val="top"/>
          </w:tcPr>
          <w:p w14:paraId="31DDEC04">
            <w:pPr>
              <w:spacing w:before="109"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7.83</w:t>
            </w:r>
          </w:p>
        </w:tc>
        <w:tc>
          <w:tcPr>
            <w:tcW w:w="907" w:type="dxa"/>
            <w:tcBorders>
              <w:bottom w:val="single" w:color="000000" w:sz="10" w:space="0"/>
            </w:tcBorders>
            <w:vAlign w:val="top"/>
          </w:tcPr>
          <w:p w14:paraId="0BA3A177">
            <w:pPr>
              <w:spacing w:before="109"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w:t>
            </w:r>
          </w:p>
        </w:tc>
        <w:tc>
          <w:tcPr>
            <w:tcW w:w="907" w:type="dxa"/>
            <w:tcBorders>
              <w:bottom w:val="single" w:color="000000" w:sz="10" w:space="0"/>
            </w:tcBorders>
            <w:vAlign w:val="top"/>
          </w:tcPr>
          <w:p w14:paraId="612D6F91">
            <w:pPr>
              <w:spacing w:before="109"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18.87</w:t>
            </w:r>
          </w:p>
        </w:tc>
        <w:tc>
          <w:tcPr>
            <w:tcW w:w="907" w:type="dxa"/>
            <w:tcBorders>
              <w:bottom w:val="single" w:color="000000" w:sz="10" w:space="0"/>
            </w:tcBorders>
            <w:vAlign w:val="top"/>
          </w:tcPr>
          <w:p w14:paraId="44765D78">
            <w:pPr>
              <w:spacing w:before="109"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w:t>
            </w:r>
          </w:p>
        </w:tc>
        <w:tc>
          <w:tcPr>
            <w:tcW w:w="908" w:type="dxa"/>
            <w:tcBorders>
              <w:bottom w:val="single" w:color="000000" w:sz="10" w:space="0"/>
            </w:tcBorders>
            <w:vAlign w:val="top"/>
          </w:tcPr>
          <w:p w14:paraId="7FDA481F">
            <w:pPr>
              <w:spacing w:before="109" w:line="195" w:lineRule="auto"/>
              <w:ind w:left="2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19.61</w:t>
            </w:r>
          </w:p>
        </w:tc>
        <w:tc>
          <w:tcPr>
            <w:tcW w:w="908" w:type="dxa"/>
            <w:tcBorders>
              <w:bottom w:val="single" w:color="000000" w:sz="10" w:space="0"/>
              <w:right w:val="nil"/>
            </w:tcBorders>
            <w:vAlign w:val="top"/>
          </w:tcPr>
          <w:p w14:paraId="4EA6151B">
            <w:pPr>
              <w:spacing w:before="109" w:line="195" w:lineRule="auto"/>
              <w:ind w:left="21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41.91</w:t>
            </w:r>
          </w:p>
        </w:tc>
      </w:tr>
    </w:tbl>
    <w:p w14:paraId="6E0D78B0">
      <w:pPr>
        <w:spacing w:before="118"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）苏尼特右旗</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 xml:space="preserve">2023 </w:t>
      </w:r>
      <w:r>
        <w:rPr>
          <w:rFonts w:ascii="宋体" w:hAnsi="宋体" w:eastAsia="宋体" w:cs="宋体"/>
          <w:spacing w:val="-1"/>
          <w:sz w:val="24"/>
          <w:szCs w:val="24"/>
        </w:rPr>
        <w:t>年地面气象观测数据污染系数统计</w:t>
      </w:r>
    </w:p>
    <w:p w14:paraId="73D8442C">
      <w:pPr>
        <w:spacing w:before="182" w:line="347" w:lineRule="auto"/>
        <w:ind w:left="31" w:right="1" w:firstLine="461"/>
        <w:rPr>
          <w:rFonts w:ascii="宋体" w:hAnsi="宋体" w:eastAsia="宋体" w:cs="宋体"/>
          <w:sz w:val="24"/>
          <w:szCs w:val="24"/>
        </w:rPr>
      </w:pPr>
      <w:r>
        <w:rPr>
          <w:rFonts w:ascii="宋体" w:hAnsi="宋体" w:eastAsia="宋体" w:cs="宋体"/>
          <w:spacing w:val="1"/>
          <w:sz w:val="24"/>
          <w:szCs w:val="24"/>
        </w:rPr>
        <w:t>苏尼特右旗</w:t>
      </w:r>
      <w:r>
        <w:rPr>
          <w:rFonts w:ascii="宋体" w:hAnsi="宋体" w:eastAsia="宋体" w:cs="宋体"/>
          <w:spacing w:val="-42"/>
          <w:sz w:val="24"/>
          <w:szCs w:val="24"/>
        </w:rPr>
        <w:t xml:space="preserve"> </w:t>
      </w:r>
      <w:r>
        <w:rPr>
          <w:rFonts w:ascii="Times New Roman" w:hAnsi="Times New Roman" w:eastAsia="Times New Roman" w:cs="Times New Roman"/>
          <w:spacing w:val="1"/>
          <w:sz w:val="24"/>
          <w:szCs w:val="24"/>
        </w:rPr>
        <w:t xml:space="preserve">2023 </w:t>
      </w:r>
      <w:r>
        <w:rPr>
          <w:rFonts w:ascii="宋体" w:hAnsi="宋体" w:eastAsia="宋体" w:cs="宋体"/>
          <w:spacing w:val="1"/>
          <w:sz w:val="24"/>
          <w:szCs w:val="24"/>
        </w:rPr>
        <w:t>年地面气象观测数据污染系数统计详见表</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4.1-10</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，污染系数玫瑰</w:t>
      </w:r>
      <w:r>
        <w:rPr>
          <w:rFonts w:ascii="宋体" w:hAnsi="宋体" w:eastAsia="宋体" w:cs="宋体"/>
          <w:sz w:val="24"/>
          <w:szCs w:val="24"/>
        </w:rPr>
        <w:t xml:space="preserve"> </w:t>
      </w:r>
      <w:r>
        <w:rPr>
          <w:rFonts w:ascii="宋体" w:hAnsi="宋体" w:eastAsia="宋体" w:cs="宋体"/>
          <w:spacing w:val="-4"/>
          <w:sz w:val="24"/>
          <w:szCs w:val="24"/>
        </w:rPr>
        <w:t>图详见图</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4.1-7</w:t>
      </w:r>
      <w:r>
        <w:rPr>
          <w:rFonts w:ascii="宋体" w:hAnsi="宋体" w:eastAsia="宋体" w:cs="宋体"/>
          <w:spacing w:val="-4"/>
          <w:sz w:val="24"/>
          <w:szCs w:val="24"/>
        </w:rPr>
        <w:t>。</w:t>
      </w:r>
    </w:p>
    <w:p w14:paraId="0F0B3C44">
      <w:pPr>
        <w:spacing w:line="347" w:lineRule="auto"/>
        <w:rPr>
          <w:rFonts w:ascii="宋体" w:hAnsi="宋体" w:eastAsia="宋体" w:cs="宋体"/>
          <w:sz w:val="24"/>
          <w:szCs w:val="24"/>
        </w:rPr>
        <w:sectPr>
          <w:headerReference r:id="rId261" w:type="default"/>
          <w:footerReference r:id="rId262" w:type="default"/>
          <w:pgSz w:w="11906" w:h="16839"/>
          <w:pgMar w:top="1191" w:right="1416" w:bottom="1156" w:left="1417" w:header="882" w:footer="994" w:gutter="0"/>
          <w:cols w:space="720" w:num="1"/>
        </w:sectPr>
      </w:pPr>
    </w:p>
    <w:p w14:paraId="1D77773B">
      <w:pPr>
        <w:spacing w:line="28" w:lineRule="exact"/>
      </w:pPr>
      <w:r>
        <w:pict>
          <v:shape id="_x0000_s1283" o:spid="_x0000_s1283" style="height:1.45pt;width:453.65pt;" fillcolor="#000000" filled="t" stroked="f" coordsize="9072,29" path="m0,0l9072,0,9072,28,0,28,0,0xe">
            <v:path/>
            <v:fill on="t" focussize="0,0"/>
            <v:stroke on="f"/>
            <v:imagedata o:title=""/>
            <o:lock v:ext="edit"/>
            <w10:wrap type="none"/>
            <w10:anchorlock/>
          </v:shape>
        </w:pict>
      </w:r>
    </w:p>
    <w:p w14:paraId="56452428">
      <w:pPr>
        <w:pStyle w:val="2"/>
        <w:spacing w:line="259" w:lineRule="auto"/>
      </w:pPr>
    </w:p>
    <w:p w14:paraId="290E8332">
      <w:pPr>
        <w:spacing w:before="65" w:line="228" w:lineRule="auto"/>
        <w:ind w:left="1770"/>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4"/>
          <w:sz w:val="20"/>
          <w:szCs w:val="20"/>
        </w:rPr>
        <w:t xml:space="preserve"> </w:t>
      </w:r>
      <w:r>
        <w:rPr>
          <w:rFonts w:ascii="Times New Roman" w:hAnsi="Times New Roman" w:eastAsia="Times New Roman" w:cs="Times New Roman"/>
          <w:b/>
          <w:bCs/>
          <w:spacing w:val="5"/>
          <w:sz w:val="20"/>
          <w:szCs w:val="20"/>
        </w:rPr>
        <w:t xml:space="preserve">4.1-10        </w:t>
      </w:r>
      <w:r>
        <w:rPr>
          <w:rFonts w:ascii="宋体" w:hAnsi="宋体" w:eastAsia="宋体" w:cs="宋体"/>
          <w:b/>
          <w:bCs/>
          <w:spacing w:val="5"/>
          <w:sz w:val="20"/>
          <w:szCs w:val="20"/>
        </w:rPr>
        <w:t>苏尼特右旗</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2023 </w:t>
      </w:r>
      <w:r>
        <w:rPr>
          <w:rFonts w:ascii="宋体" w:hAnsi="宋体" w:eastAsia="宋体" w:cs="宋体"/>
          <w:b/>
          <w:bCs/>
          <w:spacing w:val="5"/>
          <w:sz w:val="20"/>
          <w:szCs w:val="20"/>
        </w:rPr>
        <w:t>年气象观测站污染系数统计表</w:t>
      </w:r>
    </w:p>
    <w:p w14:paraId="688C5E70">
      <w:pPr>
        <w:spacing w:line="91" w:lineRule="exact"/>
      </w:pPr>
    </w:p>
    <w:tbl>
      <w:tblPr>
        <w:tblStyle w:val="5"/>
        <w:tblW w:w="9060" w:type="dxa"/>
        <w:tblInd w:w="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8"/>
        <w:gridCol w:w="424"/>
        <w:gridCol w:w="496"/>
        <w:gridCol w:w="425"/>
        <w:gridCol w:w="472"/>
        <w:gridCol w:w="425"/>
        <w:gridCol w:w="430"/>
        <w:gridCol w:w="425"/>
        <w:gridCol w:w="425"/>
        <w:gridCol w:w="425"/>
        <w:gridCol w:w="544"/>
        <w:gridCol w:w="544"/>
        <w:gridCol w:w="591"/>
        <w:gridCol w:w="544"/>
        <w:gridCol w:w="630"/>
        <w:gridCol w:w="425"/>
        <w:gridCol w:w="577"/>
        <w:gridCol w:w="540"/>
      </w:tblGrid>
      <w:tr w14:paraId="07A754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718" w:type="dxa"/>
            <w:tcBorders>
              <w:top w:val="single" w:color="000000" w:sz="10" w:space="0"/>
              <w:left w:val="nil"/>
            </w:tcBorders>
            <w:vAlign w:val="top"/>
          </w:tcPr>
          <w:p w14:paraId="5D2B2B3B">
            <w:pPr>
              <w:pStyle w:val="6"/>
              <w:spacing w:before="56" w:line="228" w:lineRule="auto"/>
              <w:ind w:left="160"/>
              <w:rPr>
                <w:sz w:val="20"/>
                <w:szCs w:val="20"/>
              </w:rPr>
            </w:pPr>
            <w:r>
              <w:rPr>
                <w:spacing w:val="2"/>
                <w:sz w:val="20"/>
                <w:szCs w:val="20"/>
              </w:rPr>
              <w:t>月份</w:t>
            </w:r>
          </w:p>
        </w:tc>
        <w:tc>
          <w:tcPr>
            <w:tcW w:w="424" w:type="dxa"/>
            <w:tcBorders>
              <w:top w:val="single" w:color="000000" w:sz="10" w:space="0"/>
            </w:tcBorders>
            <w:vAlign w:val="top"/>
          </w:tcPr>
          <w:p w14:paraId="01FC901E">
            <w:pPr>
              <w:spacing w:before="95" w:line="192"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t>
            </w:r>
          </w:p>
        </w:tc>
        <w:tc>
          <w:tcPr>
            <w:tcW w:w="496" w:type="dxa"/>
            <w:tcBorders>
              <w:top w:val="single" w:color="000000" w:sz="10" w:space="0"/>
            </w:tcBorders>
            <w:vAlign w:val="top"/>
          </w:tcPr>
          <w:p w14:paraId="49509FD8">
            <w:pPr>
              <w:spacing w:before="95" w:line="192"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NNE</w:t>
            </w:r>
          </w:p>
        </w:tc>
        <w:tc>
          <w:tcPr>
            <w:tcW w:w="425" w:type="dxa"/>
            <w:tcBorders>
              <w:top w:val="single" w:color="000000" w:sz="10" w:space="0"/>
            </w:tcBorders>
            <w:vAlign w:val="top"/>
          </w:tcPr>
          <w:p w14:paraId="00EF2BD4">
            <w:pPr>
              <w:spacing w:before="95" w:line="192" w:lineRule="auto"/>
              <w:ind w:left="66"/>
              <w:rPr>
                <w:rFonts w:ascii="Times New Roman" w:hAnsi="Times New Roman" w:eastAsia="Times New Roman" w:cs="Times New Roman"/>
                <w:sz w:val="20"/>
                <w:szCs w:val="20"/>
              </w:rPr>
            </w:pPr>
            <w:r>
              <w:rPr>
                <w:rFonts w:ascii="Times New Roman" w:hAnsi="Times New Roman" w:eastAsia="Times New Roman" w:cs="Times New Roman"/>
                <w:spacing w:val="7"/>
                <w:sz w:val="20"/>
                <w:szCs w:val="20"/>
              </w:rPr>
              <w:t>NE</w:t>
            </w:r>
          </w:p>
        </w:tc>
        <w:tc>
          <w:tcPr>
            <w:tcW w:w="472" w:type="dxa"/>
            <w:tcBorders>
              <w:top w:val="single" w:color="000000" w:sz="10" w:space="0"/>
            </w:tcBorders>
            <w:vAlign w:val="top"/>
          </w:tcPr>
          <w:p w14:paraId="69432B75">
            <w:pPr>
              <w:spacing w:before="95" w:line="192"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ENE</w:t>
            </w:r>
          </w:p>
        </w:tc>
        <w:tc>
          <w:tcPr>
            <w:tcW w:w="425" w:type="dxa"/>
            <w:tcBorders>
              <w:top w:val="single" w:color="000000" w:sz="10" w:space="0"/>
            </w:tcBorders>
            <w:vAlign w:val="top"/>
          </w:tcPr>
          <w:p w14:paraId="28EEEF53">
            <w:pPr>
              <w:spacing w:before="95" w:line="192" w:lineRule="auto"/>
              <w:ind w:left="148"/>
              <w:rPr>
                <w:rFonts w:ascii="Times New Roman" w:hAnsi="Times New Roman" w:eastAsia="Times New Roman" w:cs="Times New Roman"/>
                <w:sz w:val="20"/>
                <w:szCs w:val="20"/>
              </w:rPr>
            </w:pPr>
            <w:r>
              <w:rPr>
                <w:rFonts w:ascii="Times New Roman" w:hAnsi="Times New Roman" w:eastAsia="Times New Roman" w:cs="Times New Roman"/>
                <w:sz w:val="20"/>
                <w:szCs w:val="20"/>
              </w:rPr>
              <w:t>E</w:t>
            </w:r>
          </w:p>
        </w:tc>
        <w:tc>
          <w:tcPr>
            <w:tcW w:w="430" w:type="dxa"/>
            <w:tcBorders>
              <w:top w:val="single" w:color="000000" w:sz="10" w:space="0"/>
            </w:tcBorders>
            <w:vAlign w:val="top"/>
          </w:tcPr>
          <w:p w14:paraId="24787E3A">
            <w:pPr>
              <w:spacing w:before="92"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ESE</w:t>
            </w:r>
          </w:p>
        </w:tc>
        <w:tc>
          <w:tcPr>
            <w:tcW w:w="425" w:type="dxa"/>
            <w:tcBorders>
              <w:top w:val="single" w:color="000000" w:sz="10" w:space="0"/>
            </w:tcBorders>
            <w:vAlign w:val="top"/>
          </w:tcPr>
          <w:p w14:paraId="38BB74E3">
            <w:pPr>
              <w:spacing w:before="92" w:line="195" w:lineRule="auto"/>
              <w:ind w:left="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SE</w:t>
            </w:r>
          </w:p>
        </w:tc>
        <w:tc>
          <w:tcPr>
            <w:tcW w:w="425" w:type="dxa"/>
            <w:tcBorders>
              <w:top w:val="single" w:color="000000" w:sz="10" w:space="0"/>
            </w:tcBorders>
            <w:vAlign w:val="top"/>
          </w:tcPr>
          <w:p w14:paraId="5D3718CB">
            <w:pPr>
              <w:spacing w:before="92" w:line="195" w:lineRule="auto"/>
              <w:ind w:left="41"/>
              <w:rPr>
                <w:rFonts w:ascii="Times New Roman" w:hAnsi="Times New Roman" w:eastAsia="Times New Roman" w:cs="Times New Roman"/>
                <w:sz w:val="20"/>
                <w:szCs w:val="20"/>
              </w:rPr>
            </w:pPr>
            <w:r>
              <w:rPr>
                <w:rFonts w:ascii="Times New Roman" w:hAnsi="Times New Roman" w:eastAsia="Times New Roman" w:cs="Times New Roman"/>
                <w:sz w:val="20"/>
                <w:szCs w:val="20"/>
              </w:rPr>
              <w:t>SSE</w:t>
            </w:r>
          </w:p>
        </w:tc>
        <w:tc>
          <w:tcPr>
            <w:tcW w:w="425" w:type="dxa"/>
            <w:tcBorders>
              <w:top w:val="single" w:color="000000" w:sz="10" w:space="0"/>
            </w:tcBorders>
            <w:vAlign w:val="top"/>
          </w:tcPr>
          <w:p w14:paraId="7A2D2F48">
            <w:pPr>
              <w:spacing w:before="92" w:line="195" w:lineRule="auto"/>
              <w:ind w:left="163"/>
              <w:rPr>
                <w:rFonts w:ascii="Times New Roman" w:hAnsi="Times New Roman" w:eastAsia="Times New Roman" w:cs="Times New Roman"/>
                <w:sz w:val="20"/>
                <w:szCs w:val="20"/>
              </w:rPr>
            </w:pPr>
            <w:r>
              <w:rPr>
                <w:rFonts w:ascii="Times New Roman" w:hAnsi="Times New Roman" w:eastAsia="Times New Roman" w:cs="Times New Roman"/>
                <w:sz w:val="20"/>
                <w:szCs w:val="20"/>
              </w:rPr>
              <w:t>S</w:t>
            </w:r>
          </w:p>
        </w:tc>
        <w:tc>
          <w:tcPr>
            <w:tcW w:w="544" w:type="dxa"/>
            <w:tcBorders>
              <w:top w:val="single" w:color="000000" w:sz="10" w:space="0"/>
            </w:tcBorders>
            <w:vAlign w:val="top"/>
          </w:tcPr>
          <w:p w14:paraId="6561D637">
            <w:pPr>
              <w:spacing w:before="92" w:line="195" w:lineRule="auto"/>
              <w:ind w:left="6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SSW</w:t>
            </w:r>
          </w:p>
        </w:tc>
        <w:tc>
          <w:tcPr>
            <w:tcW w:w="544" w:type="dxa"/>
            <w:tcBorders>
              <w:top w:val="single" w:color="000000" w:sz="10" w:space="0"/>
            </w:tcBorders>
            <w:vAlign w:val="top"/>
          </w:tcPr>
          <w:p w14:paraId="6D1C266C">
            <w:pPr>
              <w:spacing w:before="92" w:line="195" w:lineRule="auto"/>
              <w:ind w:left="12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SW</w:t>
            </w:r>
          </w:p>
        </w:tc>
        <w:tc>
          <w:tcPr>
            <w:tcW w:w="591" w:type="dxa"/>
            <w:tcBorders>
              <w:top w:val="single" w:color="000000" w:sz="10" w:space="0"/>
            </w:tcBorders>
            <w:vAlign w:val="top"/>
          </w:tcPr>
          <w:p w14:paraId="5C0B7C83">
            <w:pPr>
              <w:spacing w:before="92"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WSW</w:t>
            </w:r>
          </w:p>
        </w:tc>
        <w:tc>
          <w:tcPr>
            <w:tcW w:w="544" w:type="dxa"/>
            <w:tcBorders>
              <w:top w:val="single" w:color="000000" w:sz="10" w:space="0"/>
            </w:tcBorders>
            <w:vAlign w:val="top"/>
          </w:tcPr>
          <w:p w14:paraId="54D3C7B4">
            <w:pPr>
              <w:spacing w:before="95" w:line="192" w:lineRule="auto"/>
              <w:ind w:left="173"/>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W</w:t>
            </w:r>
          </w:p>
        </w:tc>
        <w:tc>
          <w:tcPr>
            <w:tcW w:w="630" w:type="dxa"/>
            <w:tcBorders>
              <w:top w:val="single" w:color="000000" w:sz="10" w:space="0"/>
            </w:tcBorders>
            <w:vAlign w:val="top"/>
          </w:tcPr>
          <w:p w14:paraId="7F5CB4D8">
            <w:pPr>
              <w:spacing w:before="95" w:line="192" w:lineRule="auto"/>
              <w:ind w:left="42"/>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WNW</w:t>
            </w:r>
          </w:p>
        </w:tc>
        <w:tc>
          <w:tcPr>
            <w:tcW w:w="425" w:type="dxa"/>
            <w:tcBorders>
              <w:top w:val="single" w:color="000000" w:sz="10" w:space="0"/>
            </w:tcBorders>
            <w:vAlign w:val="top"/>
          </w:tcPr>
          <w:p w14:paraId="20C678E8">
            <w:pPr>
              <w:spacing w:before="95" w:line="192"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NW</w:t>
            </w:r>
          </w:p>
        </w:tc>
        <w:tc>
          <w:tcPr>
            <w:tcW w:w="577" w:type="dxa"/>
            <w:tcBorders>
              <w:top w:val="single" w:color="000000" w:sz="10" w:space="0"/>
            </w:tcBorders>
            <w:vAlign w:val="top"/>
          </w:tcPr>
          <w:p w14:paraId="0F95B559">
            <w:pPr>
              <w:spacing w:before="95" w:line="192"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NNW</w:t>
            </w:r>
          </w:p>
        </w:tc>
        <w:tc>
          <w:tcPr>
            <w:tcW w:w="540" w:type="dxa"/>
            <w:tcBorders>
              <w:top w:val="single" w:color="000000" w:sz="10" w:space="0"/>
              <w:right w:val="nil"/>
            </w:tcBorders>
            <w:vAlign w:val="top"/>
          </w:tcPr>
          <w:p w14:paraId="331A7B92">
            <w:pPr>
              <w:pStyle w:val="6"/>
              <w:spacing w:before="57" w:line="228" w:lineRule="auto"/>
              <w:ind w:left="65"/>
              <w:rPr>
                <w:sz w:val="20"/>
                <w:szCs w:val="20"/>
              </w:rPr>
            </w:pPr>
            <w:r>
              <w:rPr>
                <w:spacing w:val="5"/>
                <w:sz w:val="20"/>
                <w:szCs w:val="20"/>
              </w:rPr>
              <w:t>平均</w:t>
            </w:r>
          </w:p>
        </w:tc>
      </w:tr>
      <w:tr w14:paraId="42141E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67AB8079">
            <w:pPr>
              <w:pStyle w:val="6"/>
              <w:spacing w:before="50" w:line="228" w:lineRule="auto"/>
              <w:ind w:left="159"/>
              <w:rPr>
                <w:sz w:val="20"/>
                <w:szCs w:val="20"/>
              </w:rPr>
            </w:pPr>
            <w:r>
              <w:rPr>
                <w:spacing w:val="3"/>
                <w:sz w:val="20"/>
                <w:szCs w:val="20"/>
              </w:rPr>
              <w:t>一月</w:t>
            </w:r>
          </w:p>
        </w:tc>
        <w:tc>
          <w:tcPr>
            <w:tcW w:w="424" w:type="dxa"/>
            <w:vAlign w:val="top"/>
          </w:tcPr>
          <w:p w14:paraId="22B8AC7B">
            <w:pPr>
              <w:spacing w:before="86"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496" w:type="dxa"/>
            <w:vAlign w:val="top"/>
          </w:tcPr>
          <w:p w14:paraId="4C783CAC">
            <w:pPr>
              <w:spacing w:before="86"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6.18</w:t>
            </w:r>
          </w:p>
        </w:tc>
        <w:tc>
          <w:tcPr>
            <w:tcW w:w="425" w:type="dxa"/>
            <w:vAlign w:val="top"/>
          </w:tcPr>
          <w:p w14:paraId="46EEC920">
            <w:pPr>
              <w:spacing w:before="86"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8.06</w:t>
            </w:r>
          </w:p>
        </w:tc>
        <w:tc>
          <w:tcPr>
            <w:tcW w:w="472" w:type="dxa"/>
            <w:vAlign w:val="top"/>
          </w:tcPr>
          <w:p w14:paraId="6A80DBE2">
            <w:pPr>
              <w:spacing w:before="86" w:line="195" w:lineRule="auto"/>
              <w:ind w:left="5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4.30</w:t>
            </w:r>
          </w:p>
        </w:tc>
        <w:tc>
          <w:tcPr>
            <w:tcW w:w="425" w:type="dxa"/>
            <w:vAlign w:val="top"/>
          </w:tcPr>
          <w:p w14:paraId="5A451810">
            <w:pPr>
              <w:spacing w:before="86"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3.09</w:t>
            </w:r>
          </w:p>
        </w:tc>
        <w:tc>
          <w:tcPr>
            <w:tcW w:w="430" w:type="dxa"/>
            <w:vAlign w:val="top"/>
          </w:tcPr>
          <w:p w14:paraId="3275C0DD">
            <w:pPr>
              <w:spacing w:before="86"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4.30</w:t>
            </w:r>
          </w:p>
        </w:tc>
        <w:tc>
          <w:tcPr>
            <w:tcW w:w="425" w:type="dxa"/>
            <w:vAlign w:val="top"/>
          </w:tcPr>
          <w:p w14:paraId="3DE19CA0">
            <w:pPr>
              <w:spacing w:before="86"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0.94</w:t>
            </w:r>
          </w:p>
        </w:tc>
        <w:tc>
          <w:tcPr>
            <w:tcW w:w="425" w:type="dxa"/>
            <w:vAlign w:val="top"/>
          </w:tcPr>
          <w:p w14:paraId="490A07C2">
            <w:pPr>
              <w:spacing w:before="86"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25" w:type="dxa"/>
            <w:vAlign w:val="top"/>
          </w:tcPr>
          <w:p w14:paraId="6AEFA0E3">
            <w:pPr>
              <w:spacing w:before="86"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3.49</w:t>
            </w:r>
          </w:p>
        </w:tc>
        <w:tc>
          <w:tcPr>
            <w:tcW w:w="544" w:type="dxa"/>
            <w:vAlign w:val="top"/>
          </w:tcPr>
          <w:p w14:paraId="776687C6">
            <w:pPr>
              <w:spacing w:before="86"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544" w:type="dxa"/>
            <w:vAlign w:val="top"/>
          </w:tcPr>
          <w:p w14:paraId="439A7AAD">
            <w:pPr>
              <w:spacing w:before="86"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11.96</w:t>
            </w:r>
          </w:p>
        </w:tc>
        <w:tc>
          <w:tcPr>
            <w:tcW w:w="591" w:type="dxa"/>
            <w:vAlign w:val="top"/>
          </w:tcPr>
          <w:p w14:paraId="17F8C04D">
            <w:pPr>
              <w:spacing w:before="86"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11</w:t>
            </w:r>
          </w:p>
        </w:tc>
        <w:tc>
          <w:tcPr>
            <w:tcW w:w="544" w:type="dxa"/>
            <w:vAlign w:val="top"/>
          </w:tcPr>
          <w:p w14:paraId="4206AEAF">
            <w:pPr>
              <w:spacing w:before="86"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11.96</w:t>
            </w:r>
          </w:p>
        </w:tc>
        <w:tc>
          <w:tcPr>
            <w:tcW w:w="630" w:type="dxa"/>
            <w:vAlign w:val="top"/>
          </w:tcPr>
          <w:p w14:paraId="533F734E">
            <w:pPr>
              <w:spacing w:before="86"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6.45</w:t>
            </w:r>
          </w:p>
        </w:tc>
        <w:tc>
          <w:tcPr>
            <w:tcW w:w="425" w:type="dxa"/>
            <w:vAlign w:val="top"/>
          </w:tcPr>
          <w:p w14:paraId="790877AA">
            <w:pPr>
              <w:spacing w:before="86"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2.55</w:t>
            </w:r>
          </w:p>
        </w:tc>
        <w:tc>
          <w:tcPr>
            <w:tcW w:w="577" w:type="dxa"/>
            <w:vAlign w:val="top"/>
          </w:tcPr>
          <w:p w14:paraId="35DE15E1">
            <w:pPr>
              <w:spacing w:before="86" w:line="195" w:lineRule="auto"/>
              <w:ind w:left="1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1.21</w:t>
            </w:r>
          </w:p>
        </w:tc>
        <w:tc>
          <w:tcPr>
            <w:tcW w:w="540" w:type="dxa"/>
            <w:tcBorders>
              <w:right w:val="nil"/>
            </w:tcBorders>
            <w:vAlign w:val="top"/>
          </w:tcPr>
          <w:p w14:paraId="7CADC1EE">
            <w:pPr>
              <w:spacing w:before="86"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16.53</w:t>
            </w:r>
          </w:p>
        </w:tc>
      </w:tr>
      <w:tr w14:paraId="638D0A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72391CF5">
            <w:pPr>
              <w:pStyle w:val="6"/>
              <w:spacing w:before="51" w:line="228" w:lineRule="auto"/>
              <w:ind w:left="159"/>
              <w:rPr>
                <w:sz w:val="20"/>
                <w:szCs w:val="20"/>
              </w:rPr>
            </w:pPr>
            <w:r>
              <w:rPr>
                <w:spacing w:val="3"/>
                <w:sz w:val="20"/>
                <w:szCs w:val="20"/>
              </w:rPr>
              <w:t>二月</w:t>
            </w:r>
          </w:p>
        </w:tc>
        <w:tc>
          <w:tcPr>
            <w:tcW w:w="424" w:type="dxa"/>
            <w:vAlign w:val="top"/>
          </w:tcPr>
          <w:p w14:paraId="047CEC47">
            <w:pPr>
              <w:spacing w:before="87"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3.57</w:t>
            </w:r>
          </w:p>
        </w:tc>
        <w:tc>
          <w:tcPr>
            <w:tcW w:w="496" w:type="dxa"/>
            <w:vAlign w:val="top"/>
          </w:tcPr>
          <w:p w14:paraId="0011DA4A">
            <w:pPr>
              <w:spacing w:before="87" w:line="195" w:lineRule="auto"/>
              <w:ind w:left="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425" w:type="dxa"/>
            <w:vAlign w:val="top"/>
          </w:tcPr>
          <w:p w14:paraId="72A37E8F">
            <w:pPr>
              <w:spacing w:before="87"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9.82</w:t>
            </w:r>
          </w:p>
        </w:tc>
        <w:tc>
          <w:tcPr>
            <w:tcW w:w="472" w:type="dxa"/>
            <w:vAlign w:val="top"/>
          </w:tcPr>
          <w:p w14:paraId="2E8DCA47">
            <w:pPr>
              <w:spacing w:before="87"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5.51</w:t>
            </w:r>
          </w:p>
        </w:tc>
        <w:tc>
          <w:tcPr>
            <w:tcW w:w="425" w:type="dxa"/>
            <w:vAlign w:val="top"/>
          </w:tcPr>
          <w:p w14:paraId="4D67DD88">
            <w:pPr>
              <w:spacing w:before="87"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6.55</w:t>
            </w:r>
          </w:p>
        </w:tc>
        <w:tc>
          <w:tcPr>
            <w:tcW w:w="430" w:type="dxa"/>
            <w:vAlign w:val="top"/>
          </w:tcPr>
          <w:p w14:paraId="1724B954">
            <w:pPr>
              <w:spacing w:before="87"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425" w:type="dxa"/>
            <w:vAlign w:val="top"/>
          </w:tcPr>
          <w:p w14:paraId="0C25C564">
            <w:pPr>
              <w:spacing w:before="87"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3.42</w:t>
            </w:r>
          </w:p>
        </w:tc>
        <w:tc>
          <w:tcPr>
            <w:tcW w:w="425" w:type="dxa"/>
            <w:vAlign w:val="top"/>
          </w:tcPr>
          <w:p w14:paraId="7517D914">
            <w:pPr>
              <w:spacing w:before="87"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5.36</w:t>
            </w:r>
          </w:p>
        </w:tc>
        <w:tc>
          <w:tcPr>
            <w:tcW w:w="425" w:type="dxa"/>
            <w:vAlign w:val="top"/>
          </w:tcPr>
          <w:p w14:paraId="60531386">
            <w:pPr>
              <w:spacing w:before="87"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4.46</w:t>
            </w:r>
          </w:p>
        </w:tc>
        <w:tc>
          <w:tcPr>
            <w:tcW w:w="544" w:type="dxa"/>
            <w:vAlign w:val="top"/>
          </w:tcPr>
          <w:p w14:paraId="459A003D">
            <w:pPr>
              <w:spacing w:before="87"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6.70</w:t>
            </w:r>
          </w:p>
        </w:tc>
        <w:tc>
          <w:tcPr>
            <w:tcW w:w="544" w:type="dxa"/>
            <w:vAlign w:val="top"/>
          </w:tcPr>
          <w:p w14:paraId="41325E12">
            <w:pPr>
              <w:spacing w:before="87"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9.38</w:t>
            </w:r>
          </w:p>
        </w:tc>
        <w:tc>
          <w:tcPr>
            <w:tcW w:w="591" w:type="dxa"/>
            <w:vAlign w:val="top"/>
          </w:tcPr>
          <w:p w14:paraId="7EF39AB3">
            <w:pPr>
              <w:spacing w:before="87"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544" w:type="dxa"/>
            <w:vAlign w:val="top"/>
          </w:tcPr>
          <w:p w14:paraId="22986BDA">
            <w:pPr>
              <w:spacing w:before="87"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11.61</w:t>
            </w:r>
          </w:p>
        </w:tc>
        <w:tc>
          <w:tcPr>
            <w:tcW w:w="630" w:type="dxa"/>
            <w:vAlign w:val="top"/>
          </w:tcPr>
          <w:p w14:paraId="1F66164D">
            <w:pPr>
              <w:spacing w:before="87"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3.27</w:t>
            </w:r>
          </w:p>
        </w:tc>
        <w:tc>
          <w:tcPr>
            <w:tcW w:w="425" w:type="dxa"/>
            <w:vAlign w:val="top"/>
          </w:tcPr>
          <w:p w14:paraId="56CD1693">
            <w:pPr>
              <w:spacing w:before="87"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1.19</w:t>
            </w:r>
          </w:p>
        </w:tc>
        <w:tc>
          <w:tcPr>
            <w:tcW w:w="577" w:type="dxa"/>
            <w:vAlign w:val="top"/>
          </w:tcPr>
          <w:p w14:paraId="3A66E818">
            <w:pPr>
              <w:spacing w:before="87"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540" w:type="dxa"/>
            <w:tcBorders>
              <w:right w:val="nil"/>
            </w:tcBorders>
            <w:vAlign w:val="top"/>
          </w:tcPr>
          <w:p w14:paraId="4DD1965F">
            <w:pPr>
              <w:spacing w:before="87"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12.05</w:t>
            </w:r>
          </w:p>
        </w:tc>
      </w:tr>
      <w:tr w14:paraId="0EFC0A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384CCE3A">
            <w:pPr>
              <w:pStyle w:val="6"/>
              <w:spacing w:before="52" w:line="228" w:lineRule="auto"/>
              <w:ind w:left="155"/>
              <w:rPr>
                <w:sz w:val="20"/>
                <w:szCs w:val="20"/>
              </w:rPr>
            </w:pPr>
            <w:r>
              <w:rPr>
                <w:spacing w:val="4"/>
                <w:sz w:val="20"/>
                <w:szCs w:val="20"/>
              </w:rPr>
              <w:t>三月</w:t>
            </w:r>
          </w:p>
        </w:tc>
        <w:tc>
          <w:tcPr>
            <w:tcW w:w="424" w:type="dxa"/>
            <w:vAlign w:val="top"/>
          </w:tcPr>
          <w:p w14:paraId="343AE91F">
            <w:pPr>
              <w:spacing w:before="88"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2.15</w:t>
            </w:r>
          </w:p>
        </w:tc>
        <w:tc>
          <w:tcPr>
            <w:tcW w:w="496" w:type="dxa"/>
            <w:vAlign w:val="top"/>
          </w:tcPr>
          <w:p w14:paraId="62554099">
            <w:pPr>
              <w:spacing w:before="88" w:line="195" w:lineRule="auto"/>
              <w:ind w:left="6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4.57</w:t>
            </w:r>
          </w:p>
        </w:tc>
        <w:tc>
          <w:tcPr>
            <w:tcW w:w="425" w:type="dxa"/>
            <w:vAlign w:val="top"/>
          </w:tcPr>
          <w:p w14:paraId="428620BA">
            <w:pPr>
              <w:spacing w:before="88"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7.93</w:t>
            </w:r>
          </w:p>
        </w:tc>
        <w:tc>
          <w:tcPr>
            <w:tcW w:w="472" w:type="dxa"/>
            <w:vAlign w:val="top"/>
          </w:tcPr>
          <w:p w14:paraId="1078FA61">
            <w:pPr>
              <w:spacing w:before="88"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6.05</w:t>
            </w:r>
          </w:p>
        </w:tc>
        <w:tc>
          <w:tcPr>
            <w:tcW w:w="425" w:type="dxa"/>
            <w:vAlign w:val="top"/>
          </w:tcPr>
          <w:p w14:paraId="2D92BA19">
            <w:pPr>
              <w:spacing w:before="88"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4.57</w:t>
            </w:r>
          </w:p>
        </w:tc>
        <w:tc>
          <w:tcPr>
            <w:tcW w:w="430" w:type="dxa"/>
            <w:vAlign w:val="top"/>
          </w:tcPr>
          <w:p w14:paraId="28C29D3C">
            <w:pPr>
              <w:spacing w:before="88"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25" w:type="dxa"/>
            <w:vAlign w:val="top"/>
          </w:tcPr>
          <w:p w14:paraId="4DC26B15">
            <w:pPr>
              <w:spacing w:before="88"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3.23</w:t>
            </w:r>
          </w:p>
        </w:tc>
        <w:tc>
          <w:tcPr>
            <w:tcW w:w="425" w:type="dxa"/>
            <w:vAlign w:val="top"/>
          </w:tcPr>
          <w:p w14:paraId="39DDB241">
            <w:pPr>
              <w:spacing w:before="88"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3.63</w:t>
            </w:r>
          </w:p>
        </w:tc>
        <w:tc>
          <w:tcPr>
            <w:tcW w:w="425" w:type="dxa"/>
            <w:vAlign w:val="top"/>
          </w:tcPr>
          <w:p w14:paraId="4D68E24D">
            <w:pPr>
              <w:spacing w:before="88"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3.90</w:t>
            </w:r>
          </w:p>
        </w:tc>
        <w:tc>
          <w:tcPr>
            <w:tcW w:w="544" w:type="dxa"/>
            <w:vAlign w:val="top"/>
          </w:tcPr>
          <w:p w14:paraId="79ED8ABB">
            <w:pPr>
              <w:spacing w:before="88"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4.57</w:t>
            </w:r>
          </w:p>
        </w:tc>
        <w:tc>
          <w:tcPr>
            <w:tcW w:w="544" w:type="dxa"/>
            <w:vAlign w:val="top"/>
          </w:tcPr>
          <w:p w14:paraId="396D0335">
            <w:pPr>
              <w:spacing w:before="88"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13.98</w:t>
            </w:r>
          </w:p>
        </w:tc>
        <w:tc>
          <w:tcPr>
            <w:tcW w:w="591" w:type="dxa"/>
            <w:vAlign w:val="top"/>
          </w:tcPr>
          <w:p w14:paraId="3BD451C0">
            <w:pPr>
              <w:spacing w:before="88" w:line="195" w:lineRule="auto"/>
              <w:ind w:left="11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6.59</w:t>
            </w:r>
          </w:p>
        </w:tc>
        <w:tc>
          <w:tcPr>
            <w:tcW w:w="544" w:type="dxa"/>
            <w:vAlign w:val="top"/>
          </w:tcPr>
          <w:p w14:paraId="7412816F">
            <w:pPr>
              <w:spacing w:before="88"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8.60</w:t>
            </w:r>
          </w:p>
        </w:tc>
        <w:tc>
          <w:tcPr>
            <w:tcW w:w="630" w:type="dxa"/>
            <w:vAlign w:val="top"/>
          </w:tcPr>
          <w:p w14:paraId="4FFFB6C5">
            <w:pPr>
              <w:spacing w:before="88"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9.01</w:t>
            </w:r>
          </w:p>
        </w:tc>
        <w:tc>
          <w:tcPr>
            <w:tcW w:w="425" w:type="dxa"/>
            <w:vAlign w:val="top"/>
          </w:tcPr>
          <w:p w14:paraId="246C6C2F">
            <w:pPr>
              <w:spacing w:before="88"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4.84</w:t>
            </w:r>
          </w:p>
        </w:tc>
        <w:tc>
          <w:tcPr>
            <w:tcW w:w="577" w:type="dxa"/>
            <w:vAlign w:val="top"/>
          </w:tcPr>
          <w:p w14:paraId="3FAE7289">
            <w:pPr>
              <w:spacing w:before="88" w:line="195" w:lineRule="auto"/>
              <w:ind w:left="1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2.69</w:t>
            </w:r>
          </w:p>
        </w:tc>
        <w:tc>
          <w:tcPr>
            <w:tcW w:w="540" w:type="dxa"/>
            <w:tcBorders>
              <w:right w:val="nil"/>
            </w:tcBorders>
            <w:vAlign w:val="top"/>
          </w:tcPr>
          <w:p w14:paraId="56539E90">
            <w:pPr>
              <w:spacing w:before="88"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9.54</w:t>
            </w:r>
          </w:p>
        </w:tc>
      </w:tr>
      <w:tr w14:paraId="56771C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301E60D7">
            <w:pPr>
              <w:pStyle w:val="6"/>
              <w:spacing w:before="54" w:line="227" w:lineRule="auto"/>
              <w:ind w:left="175"/>
              <w:rPr>
                <w:sz w:val="20"/>
                <w:szCs w:val="20"/>
              </w:rPr>
            </w:pPr>
            <w:r>
              <w:rPr>
                <w:spacing w:val="-5"/>
                <w:sz w:val="20"/>
                <w:szCs w:val="20"/>
              </w:rPr>
              <w:t>四月</w:t>
            </w:r>
          </w:p>
        </w:tc>
        <w:tc>
          <w:tcPr>
            <w:tcW w:w="424" w:type="dxa"/>
            <w:vAlign w:val="top"/>
          </w:tcPr>
          <w:p w14:paraId="07EB0002">
            <w:pPr>
              <w:spacing w:before="90"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96" w:type="dxa"/>
            <w:vAlign w:val="top"/>
          </w:tcPr>
          <w:p w14:paraId="5BB0FDB8">
            <w:pPr>
              <w:spacing w:before="90"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3.89</w:t>
            </w:r>
          </w:p>
        </w:tc>
        <w:tc>
          <w:tcPr>
            <w:tcW w:w="425" w:type="dxa"/>
            <w:vAlign w:val="top"/>
          </w:tcPr>
          <w:p w14:paraId="56EE0B1B">
            <w:pPr>
              <w:spacing w:before="90"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8.19</w:t>
            </w:r>
          </w:p>
        </w:tc>
        <w:tc>
          <w:tcPr>
            <w:tcW w:w="472" w:type="dxa"/>
            <w:vAlign w:val="top"/>
          </w:tcPr>
          <w:p w14:paraId="2F338D90">
            <w:pPr>
              <w:spacing w:before="90"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5.56</w:t>
            </w:r>
          </w:p>
        </w:tc>
        <w:tc>
          <w:tcPr>
            <w:tcW w:w="425" w:type="dxa"/>
            <w:vAlign w:val="top"/>
          </w:tcPr>
          <w:p w14:paraId="020AA1B5">
            <w:pPr>
              <w:spacing w:before="90"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4.72</w:t>
            </w:r>
          </w:p>
        </w:tc>
        <w:tc>
          <w:tcPr>
            <w:tcW w:w="430" w:type="dxa"/>
            <w:vAlign w:val="top"/>
          </w:tcPr>
          <w:p w14:paraId="2459D0CC">
            <w:pPr>
              <w:spacing w:before="90"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5.00</w:t>
            </w:r>
          </w:p>
        </w:tc>
        <w:tc>
          <w:tcPr>
            <w:tcW w:w="425" w:type="dxa"/>
            <w:vAlign w:val="top"/>
          </w:tcPr>
          <w:p w14:paraId="1A8AB17F">
            <w:pPr>
              <w:spacing w:before="90"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6.</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11</w:t>
            </w:r>
          </w:p>
        </w:tc>
        <w:tc>
          <w:tcPr>
            <w:tcW w:w="425" w:type="dxa"/>
            <w:vAlign w:val="top"/>
          </w:tcPr>
          <w:p w14:paraId="7DD016DF">
            <w:pPr>
              <w:spacing w:before="90"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4.72</w:t>
            </w:r>
          </w:p>
        </w:tc>
        <w:tc>
          <w:tcPr>
            <w:tcW w:w="425" w:type="dxa"/>
            <w:vAlign w:val="top"/>
          </w:tcPr>
          <w:p w14:paraId="6043EA78">
            <w:pPr>
              <w:spacing w:before="90"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7.08</w:t>
            </w:r>
          </w:p>
        </w:tc>
        <w:tc>
          <w:tcPr>
            <w:tcW w:w="544" w:type="dxa"/>
            <w:vAlign w:val="top"/>
          </w:tcPr>
          <w:p w14:paraId="6A83EE9C">
            <w:pPr>
              <w:spacing w:before="90" w:line="195" w:lineRule="auto"/>
              <w:ind w:left="9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8.89</w:t>
            </w:r>
          </w:p>
        </w:tc>
        <w:tc>
          <w:tcPr>
            <w:tcW w:w="544" w:type="dxa"/>
            <w:vAlign w:val="top"/>
          </w:tcPr>
          <w:p w14:paraId="43FA0C43">
            <w:pPr>
              <w:spacing w:before="90"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13.61</w:t>
            </w:r>
          </w:p>
        </w:tc>
        <w:tc>
          <w:tcPr>
            <w:tcW w:w="591" w:type="dxa"/>
            <w:vAlign w:val="top"/>
          </w:tcPr>
          <w:p w14:paraId="6950D456">
            <w:pPr>
              <w:spacing w:before="90"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5.56</w:t>
            </w:r>
          </w:p>
        </w:tc>
        <w:tc>
          <w:tcPr>
            <w:tcW w:w="544" w:type="dxa"/>
            <w:vAlign w:val="top"/>
          </w:tcPr>
          <w:p w14:paraId="72A02C43">
            <w:pPr>
              <w:spacing w:before="90"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6.25</w:t>
            </w:r>
          </w:p>
        </w:tc>
        <w:tc>
          <w:tcPr>
            <w:tcW w:w="630" w:type="dxa"/>
            <w:vAlign w:val="top"/>
          </w:tcPr>
          <w:p w14:paraId="0BA266B5">
            <w:pPr>
              <w:spacing w:before="90" w:line="195" w:lineRule="auto"/>
              <w:ind w:left="1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5.97</w:t>
            </w:r>
          </w:p>
        </w:tc>
        <w:tc>
          <w:tcPr>
            <w:tcW w:w="425" w:type="dxa"/>
            <w:vAlign w:val="top"/>
          </w:tcPr>
          <w:p w14:paraId="698DFE44">
            <w:pPr>
              <w:spacing w:before="90"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3.47</w:t>
            </w:r>
          </w:p>
        </w:tc>
        <w:tc>
          <w:tcPr>
            <w:tcW w:w="577" w:type="dxa"/>
            <w:vAlign w:val="top"/>
          </w:tcPr>
          <w:p w14:paraId="19DF5C39">
            <w:pPr>
              <w:spacing w:before="90" w:line="195" w:lineRule="auto"/>
              <w:ind w:left="1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2.08</w:t>
            </w:r>
          </w:p>
        </w:tc>
        <w:tc>
          <w:tcPr>
            <w:tcW w:w="540" w:type="dxa"/>
            <w:tcBorders>
              <w:right w:val="nil"/>
            </w:tcBorders>
            <w:vAlign w:val="top"/>
          </w:tcPr>
          <w:p w14:paraId="6AA769CC">
            <w:pPr>
              <w:spacing w:before="90" w:line="195" w:lineRule="auto"/>
              <w:ind w:left="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4.72</w:t>
            </w:r>
          </w:p>
        </w:tc>
      </w:tr>
      <w:tr w14:paraId="54498D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44CC9B31">
            <w:pPr>
              <w:pStyle w:val="6"/>
              <w:spacing w:before="56" w:line="225" w:lineRule="auto"/>
              <w:ind w:left="159"/>
              <w:rPr>
                <w:sz w:val="20"/>
                <w:szCs w:val="20"/>
              </w:rPr>
            </w:pPr>
            <w:r>
              <w:rPr>
                <w:spacing w:val="3"/>
                <w:sz w:val="20"/>
                <w:szCs w:val="20"/>
              </w:rPr>
              <w:t>五月</w:t>
            </w:r>
          </w:p>
        </w:tc>
        <w:tc>
          <w:tcPr>
            <w:tcW w:w="424" w:type="dxa"/>
            <w:vAlign w:val="top"/>
          </w:tcPr>
          <w:p w14:paraId="0C793688">
            <w:pPr>
              <w:spacing w:before="91"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0.67</w:t>
            </w:r>
          </w:p>
        </w:tc>
        <w:tc>
          <w:tcPr>
            <w:tcW w:w="496" w:type="dxa"/>
            <w:vAlign w:val="top"/>
          </w:tcPr>
          <w:p w14:paraId="65C74E8A">
            <w:pPr>
              <w:spacing w:before="91"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3.23</w:t>
            </w:r>
          </w:p>
        </w:tc>
        <w:tc>
          <w:tcPr>
            <w:tcW w:w="425" w:type="dxa"/>
            <w:vAlign w:val="top"/>
          </w:tcPr>
          <w:p w14:paraId="47FA65EA">
            <w:pPr>
              <w:spacing w:before="91"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6.85</w:t>
            </w:r>
          </w:p>
        </w:tc>
        <w:tc>
          <w:tcPr>
            <w:tcW w:w="472" w:type="dxa"/>
            <w:vAlign w:val="top"/>
          </w:tcPr>
          <w:p w14:paraId="137AC509">
            <w:pPr>
              <w:spacing w:before="91" w:line="195" w:lineRule="auto"/>
              <w:ind w:left="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6.18</w:t>
            </w:r>
          </w:p>
        </w:tc>
        <w:tc>
          <w:tcPr>
            <w:tcW w:w="425" w:type="dxa"/>
            <w:vAlign w:val="top"/>
          </w:tcPr>
          <w:p w14:paraId="213DE888">
            <w:pPr>
              <w:spacing w:before="91"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3.63</w:t>
            </w:r>
          </w:p>
        </w:tc>
        <w:tc>
          <w:tcPr>
            <w:tcW w:w="430" w:type="dxa"/>
            <w:vAlign w:val="top"/>
          </w:tcPr>
          <w:p w14:paraId="689B708C">
            <w:pPr>
              <w:spacing w:before="91"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2.96</w:t>
            </w:r>
          </w:p>
        </w:tc>
        <w:tc>
          <w:tcPr>
            <w:tcW w:w="425" w:type="dxa"/>
            <w:vAlign w:val="top"/>
          </w:tcPr>
          <w:p w14:paraId="0090E934">
            <w:pPr>
              <w:spacing w:before="91"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3.36</w:t>
            </w:r>
          </w:p>
        </w:tc>
        <w:tc>
          <w:tcPr>
            <w:tcW w:w="425" w:type="dxa"/>
            <w:vAlign w:val="top"/>
          </w:tcPr>
          <w:p w14:paraId="06803575">
            <w:pPr>
              <w:spacing w:before="91"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3.63</w:t>
            </w:r>
          </w:p>
        </w:tc>
        <w:tc>
          <w:tcPr>
            <w:tcW w:w="425" w:type="dxa"/>
            <w:vAlign w:val="top"/>
          </w:tcPr>
          <w:p w14:paraId="646BA428">
            <w:pPr>
              <w:spacing w:before="91"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3.76</w:t>
            </w:r>
          </w:p>
        </w:tc>
        <w:tc>
          <w:tcPr>
            <w:tcW w:w="544" w:type="dxa"/>
            <w:vAlign w:val="top"/>
          </w:tcPr>
          <w:p w14:paraId="692B3E25">
            <w:pPr>
              <w:spacing w:before="91"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10.89</w:t>
            </w:r>
          </w:p>
        </w:tc>
        <w:tc>
          <w:tcPr>
            <w:tcW w:w="544" w:type="dxa"/>
            <w:vAlign w:val="top"/>
          </w:tcPr>
          <w:p w14:paraId="066BCA63">
            <w:pPr>
              <w:spacing w:before="91"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18.01</w:t>
            </w:r>
          </w:p>
        </w:tc>
        <w:tc>
          <w:tcPr>
            <w:tcW w:w="591" w:type="dxa"/>
            <w:vAlign w:val="top"/>
          </w:tcPr>
          <w:p w14:paraId="594F8D04">
            <w:pPr>
              <w:spacing w:before="91" w:line="195" w:lineRule="auto"/>
              <w:ind w:left="1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8.87</w:t>
            </w:r>
          </w:p>
        </w:tc>
        <w:tc>
          <w:tcPr>
            <w:tcW w:w="544" w:type="dxa"/>
            <w:vAlign w:val="top"/>
          </w:tcPr>
          <w:p w14:paraId="51AD92E0">
            <w:pPr>
              <w:spacing w:before="91"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7.80</w:t>
            </w:r>
          </w:p>
        </w:tc>
        <w:tc>
          <w:tcPr>
            <w:tcW w:w="630" w:type="dxa"/>
            <w:vAlign w:val="top"/>
          </w:tcPr>
          <w:p w14:paraId="47906520">
            <w:pPr>
              <w:spacing w:before="91"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6.99</w:t>
            </w:r>
          </w:p>
        </w:tc>
        <w:tc>
          <w:tcPr>
            <w:tcW w:w="425" w:type="dxa"/>
            <w:vAlign w:val="top"/>
          </w:tcPr>
          <w:p w14:paraId="6605E2AF">
            <w:pPr>
              <w:spacing w:before="91"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3.76</w:t>
            </w:r>
          </w:p>
        </w:tc>
        <w:tc>
          <w:tcPr>
            <w:tcW w:w="577" w:type="dxa"/>
            <w:vAlign w:val="top"/>
          </w:tcPr>
          <w:p w14:paraId="4E46C42D">
            <w:pPr>
              <w:spacing w:before="91"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0.81</w:t>
            </w:r>
          </w:p>
        </w:tc>
        <w:tc>
          <w:tcPr>
            <w:tcW w:w="540" w:type="dxa"/>
            <w:tcBorders>
              <w:right w:val="nil"/>
            </w:tcBorders>
            <w:vAlign w:val="top"/>
          </w:tcPr>
          <w:p w14:paraId="199E13F9">
            <w:pPr>
              <w:spacing w:before="91"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8.60</w:t>
            </w:r>
          </w:p>
        </w:tc>
      </w:tr>
      <w:tr w14:paraId="59F6E2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035E1B41">
            <w:pPr>
              <w:pStyle w:val="6"/>
              <w:spacing w:before="58" w:line="224" w:lineRule="auto"/>
              <w:ind w:left="157"/>
              <w:rPr>
                <w:sz w:val="20"/>
                <w:szCs w:val="20"/>
              </w:rPr>
            </w:pPr>
            <w:r>
              <w:rPr>
                <w:spacing w:val="3"/>
                <w:sz w:val="20"/>
                <w:szCs w:val="20"/>
              </w:rPr>
              <w:t>六月</w:t>
            </w:r>
          </w:p>
        </w:tc>
        <w:tc>
          <w:tcPr>
            <w:tcW w:w="424" w:type="dxa"/>
            <w:vAlign w:val="top"/>
          </w:tcPr>
          <w:p w14:paraId="1F537A04">
            <w:pPr>
              <w:spacing w:before="93"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1.94</w:t>
            </w:r>
          </w:p>
        </w:tc>
        <w:tc>
          <w:tcPr>
            <w:tcW w:w="496" w:type="dxa"/>
            <w:vAlign w:val="top"/>
          </w:tcPr>
          <w:p w14:paraId="0B4E80FD">
            <w:pPr>
              <w:spacing w:before="93" w:line="195" w:lineRule="auto"/>
              <w:ind w:left="6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4.58</w:t>
            </w:r>
          </w:p>
        </w:tc>
        <w:tc>
          <w:tcPr>
            <w:tcW w:w="425" w:type="dxa"/>
            <w:vAlign w:val="top"/>
          </w:tcPr>
          <w:p w14:paraId="45B88135">
            <w:pPr>
              <w:spacing w:before="93"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6.81</w:t>
            </w:r>
          </w:p>
        </w:tc>
        <w:tc>
          <w:tcPr>
            <w:tcW w:w="472" w:type="dxa"/>
            <w:vAlign w:val="top"/>
          </w:tcPr>
          <w:p w14:paraId="6F817A5D">
            <w:pPr>
              <w:spacing w:before="93" w:line="195" w:lineRule="auto"/>
              <w:ind w:left="5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25" w:type="dxa"/>
            <w:vAlign w:val="top"/>
          </w:tcPr>
          <w:p w14:paraId="2958276A">
            <w:pPr>
              <w:spacing w:before="93"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4.72</w:t>
            </w:r>
          </w:p>
        </w:tc>
        <w:tc>
          <w:tcPr>
            <w:tcW w:w="430" w:type="dxa"/>
            <w:vAlign w:val="top"/>
          </w:tcPr>
          <w:p w14:paraId="6578B96A">
            <w:pPr>
              <w:spacing w:before="93"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4.58</w:t>
            </w:r>
          </w:p>
        </w:tc>
        <w:tc>
          <w:tcPr>
            <w:tcW w:w="425" w:type="dxa"/>
            <w:vAlign w:val="top"/>
          </w:tcPr>
          <w:p w14:paraId="7FEC5F7D">
            <w:pPr>
              <w:spacing w:before="93"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5.00</w:t>
            </w:r>
          </w:p>
        </w:tc>
        <w:tc>
          <w:tcPr>
            <w:tcW w:w="425" w:type="dxa"/>
            <w:vAlign w:val="top"/>
          </w:tcPr>
          <w:p w14:paraId="5715C95A">
            <w:pPr>
              <w:spacing w:before="93"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5.83</w:t>
            </w:r>
          </w:p>
        </w:tc>
        <w:tc>
          <w:tcPr>
            <w:tcW w:w="425" w:type="dxa"/>
            <w:vAlign w:val="top"/>
          </w:tcPr>
          <w:p w14:paraId="5E418550">
            <w:pPr>
              <w:spacing w:before="93"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544" w:type="dxa"/>
            <w:vAlign w:val="top"/>
          </w:tcPr>
          <w:p w14:paraId="322D94E4">
            <w:pPr>
              <w:spacing w:before="93"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4.72</w:t>
            </w:r>
          </w:p>
        </w:tc>
        <w:tc>
          <w:tcPr>
            <w:tcW w:w="544" w:type="dxa"/>
            <w:vAlign w:val="top"/>
          </w:tcPr>
          <w:p w14:paraId="54D8EE1E">
            <w:pPr>
              <w:spacing w:before="93" w:line="195" w:lineRule="auto"/>
              <w:ind w:left="99"/>
              <w:rPr>
                <w:rFonts w:ascii="Times New Roman" w:hAnsi="Times New Roman" w:eastAsia="Times New Roman" w:cs="Times New Roman"/>
                <w:sz w:val="20"/>
                <w:szCs w:val="20"/>
              </w:rPr>
            </w:pPr>
            <w:r>
              <w:rPr>
                <w:rFonts w:ascii="Times New Roman" w:hAnsi="Times New Roman" w:eastAsia="Times New Roman" w:cs="Times New Roman"/>
                <w:sz w:val="20"/>
                <w:szCs w:val="20"/>
              </w:rPr>
              <w:t>8.19</w:t>
            </w:r>
          </w:p>
        </w:tc>
        <w:tc>
          <w:tcPr>
            <w:tcW w:w="591" w:type="dxa"/>
            <w:vAlign w:val="top"/>
          </w:tcPr>
          <w:p w14:paraId="45CD8755">
            <w:pPr>
              <w:spacing w:before="93"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5.56</w:t>
            </w:r>
          </w:p>
        </w:tc>
        <w:tc>
          <w:tcPr>
            <w:tcW w:w="544" w:type="dxa"/>
            <w:vAlign w:val="top"/>
          </w:tcPr>
          <w:p w14:paraId="36A7FD48">
            <w:pPr>
              <w:spacing w:before="93"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11.39</w:t>
            </w:r>
          </w:p>
        </w:tc>
        <w:tc>
          <w:tcPr>
            <w:tcW w:w="630" w:type="dxa"/>
            <w:vAlign w:val="top"/>
          </w:tcPr>
          <w:p w14:paraId="54637BE5">
            <w:pPr>
              <w:spacing w:before="93"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6.25</w:t>
            </w:r>
          </w:p>
        </w:tc>
        <w:tc>
          <w:tcPr>
            <w:tcW w:w="425" w:type="dxa"/>
            <w:vAlign w:val="top"/>
          </w:tcPr>
          <w:p w14:paraId="4A1AE95A">
            <w:pPr>
              <w:spacing w:before="93"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9.03</w:t>
            </w:r>
          </w:p>
        </w:tc>
        <w:tc>
          <w:tcPr>
            <w:tcW w:w="577" w:type="dxa"/>
            <w:vAlign w:val="top"/>
          </w:tcPr>
          <w:p w14:paraId="699CB191">
            <w:pPr>
              <w:spacing w:before="93" w:line="195" w:lineRule="auto"/>
              <w:ind w:left="1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3.75</w:t>
            </w:r>
          </w:p>
        </w:tc>
        <w:tc>
          <w:tcPr>
            <w:tcW w:w="540" w:type="dxa"/>
            <w:tcBorders>
              <w:right w:val="nil"/>
            </w:tcBorders>
            <w:vAlign w:val="top"/>
          </w:tcPr>
          <w:p w14:paraId="20C8D6F6">
            <w:pPr>
              <w:spacing w:before="93"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9.44</w:t>
            </w:r>
          </w:p>
        </w:tc>
      </w:tr>
      <w:tr w14:paraId="479BE5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0214E9F4">
            <w:pPr>
              <w:pStyle w:val="6"/>
              <w:spacing w:before="58" w:line="223" w:lineRule="auto"/>
              <w:ind w:left="154"/>
              <w:rPr>
                <w:sz w:val="20"/>
                <w:szCs w:val="20"/>
              </w:rPr>
            </w:pPr>
            <w:r>
              <w:rPr>
                <w:spacing w:val="5"/>
                <w:sz w:val="20"/>
                <w:szCs w:val="20"/>
              </w:rPr>
              <w:t>七月</w:t>
            </w:r>
          </w:p>
        </w:tc>
        <w:tc>
          <w:tcPr>
            <w:tcW w:w="424" w:type="dxa"/>
            <w:vAlign w:val="top"/>
          </w:tcPr>
          <w:p w14:paraId="49304028">
            <w:pPr>
              <w:spacing w:before="94"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1.34</w:t>
            </w:r>
          </w:p>
        </w:tc>
        <w:tc>
          <w:tcPr>
            <w:tcW w:w="496" w:type="dxa"/>
            <w:vAlign w:val="top"/>
          </w:tcPr>
          <w:p w14:paraId="0D5A0C8F">
            <w:pPr>
              <w:spacing w:before="94"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3.90</w:t>
            </w:r>
          </w:p>
        </w:tc>
        <w:tc>
          <w:tcPr>
            <w:tcW w:w="425" w:type="dxa"/>
            <w:vAlign w:val="top"/>
          </w:tcPr>
          <w:p w14:paraId="35495B5C">
            <w:pPr>
              <w:spacing w:before="94"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w:t>
            </w:r>
          </w:p>
        </w:tc>
        <w:tc>
          <w:tcPr>
            <w:tcW w:w="472" w:type="dxa"/>
            <w:vAlign w:val="top"/>
          </w:tcPr>
          <w:p w14:paraId="221FB82C">
            <w:pPr>
              <w:spacing w:before="94"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425" w:type="dxa"/>
            <w:vAlign w:val="top"/>
          </w:tcPr>
          <w:p w14:paraId="4565E7D4">
            <w:pPr>
              <w:spacing w:before="94"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11</w:t>
            </w:r>
          </w:p>
        </w:tc>
        <w:tc>
          <w:tcPr>
            <w:tcW w:w="430" w:type="dxa"/>
            <w:vAlign w:val="top"/>
          </w:tcPr>
          <w:p w14:paraId="5F9B063B">
            <w:pPr>
              <w:spacing w:before="94"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25" w:type="dxa"/>
            <w:vAlign w:val="top"/>
          </w:tcPr>
          <w:p w14:paraId="4FE9D5D4">
            <w:pPr>
              <w:spacing w:before="94"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425" w:type="dxa"/>
            <w:vAlign w:val="top"/>
          </w:tcPr>
          <w:p w14:paraId="786CFE67">
            <w:pPr>
              <w:spacing w:before="94"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425" w:type="dxa"/>
            <w:vAlign w:val="top"/>
          </w:tcPr>
          <w:p w14:paraId="3DA9E379">
            <w:pPr>
              <w:spacing w:before="94"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7.39</w:t>
            </w:r>
          </w:p>
        </w:tc>
        <w:tc>
          <w:tcPr>
            <w:tcW w:w="544" w:type="dxa"/>
            <w:vAlign w:val="top"/>
          </w:tcPr>
          <w:p w14:paraId="54C56F94">
            <w:pPr>
              <w:spacing w:before="94"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11.83</w:t>
            </w:r>
          </w:p>
        </w:tc>
        <w:tc>
          <w:tcPr>
            <w:tcW w:w="544" w:type="dxa"/>
            <w:vAlign w:val="top"/>
          </w:tcPr>
          <w:p w14:paraId="49BA6539">
            <w:pPr>
              <w:spacing w:before="94"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11.42</w:t>
            </w:r>
          </w:p>
        </w:tc>
        <w:tc>
          <w:tcPr>
            <w:tcW w:w="591" w:type="dxa"/>
            <w:vAlign w:val="top"/>
          </w:tcPr>
          <w:p w14:paraId="45A1EF5A">
            <w:pPr>
              <w:spacing w:before="94" w:line="195" w:lineRule="auto"/>
              <w:ind w:left="11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6.59</w:t>
            </w:r>
          </w:p>
        </w:tc>
        <w:tc>
          <w:tcPr>
            <w:tcW w:w="544" w:type="dxa"/>
            <w:vAlign w:val="top"/>
          </w:tcPr>
          <w:p w14:paraId="4C473E66">
            <w:pPr>
              <w:spacing w:before="94"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5.65</w:t>
            </w:r>
          </w:p>
        </w:tc>
        <w:tc>
          <w:tcPr>
            <w:tcW w:w="630" w:type="dxa"/>
            <w:vAlign w:val="top"/>
          </w:tcPr>
          <w:p w14:paraId="2C1EEA8D">
            <w:pPr>
              <w:spacing w:before="94"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3.63</w:t>
            </w:r>
          </w:p>
        </w:tc>
        <w:tc>
          <w:tcPr>
            <w:tcW w:w="425" w:type="dxa"/>
            <w:vAlign w:val="top"/>
          </w:tcPr>
          <w:p w14:paraId="2487E5FB">
            <w:pPr>
              <w:spacing w:before="94"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5.38</w:t>
            </w:r>
          </w:p>
        </w:tc>
        <w:tc>
          <w:tcPr>
            <w:tcW w:w="577" w:type="dxa"/>
            <w:vAlign w:val="top"/>
          </w:tcPr>
          <w:p w14:paraId="44B7E987">
            <w:pPr>
              <w:spacing w:before="94" w:line="195" w:lineRule="auto"/>
              <w:ind w:left="10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w:t>
            </w:r>
          </w:p>
        </w:tc>
        <w:tc>
          <w:tcPr>
            <w:tcW w:w="540" w:type="dxa"/>
            <w:tcBorders>
              <w:right w:val="nil"/>
            </w:tcBorders>
            <w:vAlign w:val="top"/>
          </w:tcPr>
          <w:p w14:paraId="1AC64B11">
            <w:pPr>
              <w:spacing w:before="94"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7.39</w:t>
            </w:r>
          </w:p>
        </w:tc>
      </w:tr>
      <w:tr w14:paraId="2AF704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642E9B90">
            <w:pPr>
              <w:pStyle w:val="6"/>
              <w:spacing w:before="60" w:line="222" w:lineRule="auto"/>
              <w:ind w:left="159"/>
              <w:rPr>
                <w:sz w:val="20"/>
                <w:szCs w:val="20"/>
              </w:rPr>
            </w:pPr>
            <w:r>
              <w:rPr>
                <w:spacing w:val="3"/>
                <w:sz w:val="20"/>
                <w:szCs w:val="20"/>
              </w:rPr>
              <w:t>八月</w:t>
            </w:r>
          </w:p>
        </w:tc>
        <w:tc>
          <w:tcPr>
            <w:tcW w:w="424" w:type="dxa"/>
            <w:vAlign w:val="top"/>
          </w:tcPr>
          <w:p w14:paraId="2407DD6E">
            <w:pPr>
              <w:spacing w:before="96"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0.27</w:t>
            </w:r>
          </w:p>
        </w:tc>
        <w:tc>
          <w:tcPr>
            <w:tcW w:w="496" w:type="dxa"/>
            <w:vAlign w:val="top"/>
          </w:tcPr>
          <w:p w14:paraId="3FDA7489">
            <w:pPr>
              <w:spacing w:before="96"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3.36</w:t>
            </w:r>
          </w:p>
        </w:tc>
        <w:tc>
          <w:tcPr>
            <w:tcW w:w="425" w:type="dxa"/>
            <w:vAlign w:val="top"/>
          </w:tcPr>
          <w:p w14:paraId="0A8D37F8">
            <w:pPr>
              <w:spacing w:before="96"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w:t>
            </w:r>
          </w:p>
        </w:tc>
        <w:tc>
          <w:tcPr>
            <w:tcW w:w="472" w:type="dxa"/>
            <w:vAlign w:val="top"/>
          </w:tcPr>
          <w:p w14:paraId="414A2070">
            <w:pPr>
              <w:spacing w:before="96"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5.38</w:t>
            </w:r>
          </w:p>
        </w:tc>
        <w:tc>
          <w:tcPr>
            <w:tcW w:w="425" w:type="dxa"/>
            <w:vAlign w:val="top"/>
          </w:tcPr>
          <w:p w14:paraId="282FBB40">
            <w:pPr>
              <w:spacing w:before="96"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5.51</w:t>
            </w:r>
          </w:p>
        </w:tc>
        <w:tc>
          <w:tcPr>
            <w:tcW w:w="430" w:type="dxa"/>
            <w:vAlign w:val="top"/>
          </w:tcPr>
          <w:p w14:paraId="65AC08B2">
            <w:pPr>
              <w:spacing w:before="96"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w:t>
            </w:r>
          </w:p>
        </w:tc>
        <w:tc>
          <w:tcPr>
            <w:tcW w:w="425" w:type="dxa"/>
            <w:vAlign w:val="top"/>
          </w:tcPr>
          <w:p w14:paraId="793F6970">
            <w:pPr>
              <w:spacing w:before="96"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w:t>
            </w:r>
          </w:p>
        </w:tc>
        <w:tc>
          <w:tcPr>
            <w:tcW w:w="425" w:type="dxa"/>
            <w:vAlign w:val="top"/>
          </w:tcPr>
          <w:p w14:paraId="1D86EB3D">
            <w:pPr>
              <w:spacing w:before="96" w:line="195" w:lineRule="auto"/>
              <w:ind w:left="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8.33</w:t>
            </w:r>
          </w:p>
        </w:tc>
        <w:tc>
          <w:tcPr>
            <w:tcW w:w="425" w:type="dxa"/>
            <w:vAlign w:val="top"/>
          </w:tcPr>
          <w:p w14:paraId="2EA6AF12">
            <w:pPr>
              <w:spacing w:before="96"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6.45</w:t>
            </w:r>
          </w:p>
        </w:tc>
        <w:tc>
          <w:tcPr>
            <w:tcW w:w="544" w:type="dxa"/>
            <w:vAlign w:val="top"/>
          </w:tcPr>
          <w:p w14:paraId="2FA516BB">
            <w:pPr>
              <w:spacing w:before="96"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18.68</w:t>
            </w:r>
          </w:p>
        </w:tc>
        <w:tc>
          <w:tcPr>
            <w:tcW w:w="544" w:type="dxa"/>
            <w:vAlign w:val="top"/>
          </w:tcPr>
          <w:p w14:paraId="61C3D1D7">
            <w:pPr>
              <w:spacing w:before="96"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15.05</w:t>
            </w:r>
          </w:p>
        </w:tc>
        <w:tc>
          <w:tcPr>
            <w:tcW w:w="591" w:type="dxa"/>
            <w:vAlign w:val="top"/>
          </w:tcPr>
          <w:p w14:paraId="63BCB01B">
            <w:pPr>
              <w:spacing w:before="96" w:line="195"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11</w:t>
            </w:r>
          </w:p>
        </w:tc>
        <w:tc>
          <w:tcPr>
            <w:tcW w:w="544" w:type="dxa"/>
            <w:vAlign w:val="top"/>
          </w:tcPr>
          <w:p w14:paraId="17147EC7">
            <w:pPr>
              <w:spacing w:before="96" w:line="195" w:lineRule="auto"/>
              <w:ind w:left="8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630" w:type="dxa"/>
            <w:vAlign w:val="top"/>
          </w:tcPr>
          <w:p w14:paraId="66616E69">
            <w:pPr>
              <w:spacing w:before="96"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2.15</w:t>
            </w:r>
          </w:p>
        </w:tc>
        <w:tc>
          <w:tcPr>
            <w:tcW w:w="425" w:type="dxa"/>
            <w:vAlign w:val="top"/>
          </w:tcPr>
          <w:p w14:paraId="51CC83D6">
            <w:pPr>
              <w:spacing w:before="96"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2.96</w:t>
            </w:r>
          </w:p>
        </w:tc>
        <w:tc>
          <w:tcPr>
            <w:tcW w:w="577" w:type="dxa"/>
            <w:vAlign w:val="top"/>
          </w:tcPr>
          <w:p w14:paraId="29CCEE23">
            <w:pPr>
              <w:spacing w:before="96" w:line="195" w:lineRule="auto"/>
              <w:ind w:left="1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1.48</w:t>
            </w:r>
          </w:p>
        </w:tc>
        <w:tc>
          <w:tcPr>
            <w:tcW w:w="540" w:type="dxa"/>
            <w:tcBorders>
              <w:right w:val="nil"/>
            </w:tcBorders>
            <w:vAlign w:val="top"/>
          </w:tcPr>
          <w:p w14:paraId="479873D6">
            <w:pPr>
              <w:spacing w:before="96"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7.</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r>
      <w:tr w14:paraId="6D4664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47D27BF4">
            <w:pPr>
              <w:pStyle w:val="6"/>
              <w:spacing w:before="61" w:line="220" w:lineRule="auto"/>
              <w:ind w:left="160"/>
              <w:rPr>
                <w:sz w:val="20"/>
                <w:szCs w:val="20"/>
              </w:rPr>
            </w:pPr>
            <w:r>
              <w:rPr>
                <w:spacing w:val="2"/>
                <w:sz w:val="20"/>
                <w:szCs w:val="20"/>
              </w:rPr>
              <w:t>九月</w:t>
            </w:r>
          </w:p>
        </w:tc>
        <w:tc>
          <w:tcPr>
            <w:tcW w:w="424" w:type="dxa"/>
            <w:vAlign w:val="top"/>
          </w:tcPr>
          <w:p w14:paraId="6CB7BB54">
            <w:pPr>
              <w:spacing w:before="97"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3.06</w:t>
            </w:r>
          </w:p>
        </w:tc>
        <w:tc>
          <w:tcPr>
            <w:tcW w:w="496" w:type="dxa"/>
            <w:vAlign w:val="top"/>
          </w:tcPr>
          <w:p w14:paraId="4821E15D">
            <w:pPr>
              <w:spacing w:before="97" w:line="195" w:lineRule="auto"/>
              <w:ind w:left="6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2.92</w:t>
            </w:r>
          </w:p>
        </w:tc>
        <w:tc>
          <w:tcPr>
            <w:tcW w:w="425" w:type="dxa"/>
            <w:vAlign w:val="top"/>
          </w:tcPr>
          <w:p w14:paraId="0F9BF082">
            <w:pPr>
              <w:spacing w:before="97"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5.97</w:t>
            </w:r>
          </w:p>
        </w:tc>
        <w:tc>
          <w:tcPr>
            <w:tcW w:w="472" w:type="dxa"/>
            <w:vAlign w:val="top"/>
          </w:tcPr>
          <w:p w14:paraId="41601FC9">
            <w:pPr>
              <w:spacing w:before="97" w:line="195" w:lineRule="auto"/>
              <w:ind w:left="5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4.58</w:t>
            </w:r>
          </w:p>
        </w:tc>
        <w:tc>
          <w:tcPr>
            <w:tcW w:w="425" w:type="dxa"/>
            <w:vAlign w:val="top"/>
          </w:tcPr>
          <w:p w14:paraId="540AB283">
            <w:pPr>
              <w:spacing w:before="97"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30" w:type="dxa"/>
            <w:vAlign w:val="top"/>
          </w:tcPr>
          <w:p w14:paraId="5625D8D4">
            <w:pPr>
              <w:spacing w:before="97" w:line="195" w:lineRule="auto"/>
              <w:ind w:left="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6.25</w:t>
            </w:r>
          </w:p>
        </w:tc>
        <w:tc>
          <w:tcPr>
            <w:tcW w:w="425" w:type="dxa"/>
            <w:vAlign w:val="top"/>
          </w:tcPr>
          <w:p w14:paraId="16A3FC0E">
            <w:pPr>
              <w:spacing w:before="97"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3.47</w:t>
            </w:r>
          </w:p>
        </w:tc>
        <w:tc>
          <w:tcPr>
            <w:tcW w:w="425" w:type="dxa"/>
            <w:vAlign w:val="top"/>
          </w:tcPr>
          <w:p w14:paraId="4B8EFCD9">
            <w:pPr>
              <w:spacing w:before="97"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14</w:t>
            </w:r>
          </w:p>
        </w:tc>
        <w:tc>
          <w:tcPr>
            <w:tcW w:w="425" w:type="dxa"/>
            <w:vAlign w:val="top"/>
          </w:tcPr>
          <w:p w14:paraId="7366B43C">
            <w:pPr>
              <w:spacing w:before="97"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5.83</w:t>
            </w:r>
          </w:p>
        </w:tc>
        <w:tc>
          <w:tcPr>
            <w:tcW w:w="544" w:type="dxa"/>
            <w:vAlign w:val="top"/>
          </w:tcPr>
          <w:p w14:paraId="61B6D765">
            <w:pPr>
              <w:spacing w:before="97"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10.</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6"/>
                <w:sz w:val="20"/>
                <w:szCs w:val="20"/>
              </w:rPr>
              <w:t>14</w:t>
            </w:r>
          </w:p>
        </w:tc>
        <w:tc>
          <w:tcPr>
            <w:tcW w:w="544" w:type="dxa"/>
            <w:vAlign w:val="top"/>
          </w:tcPr>
          <w:p w14:paraId="17830559">
            <w:pPr>
              <w:spacing w:before="97"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17.64</w:t>
            </w:r>
          </w:p>
        </w:tc>
        <w:tc>
          <w:tcPr>
            <w:tcW w:w="591" w:type="dxa"/>
            <w:vAlign w:val="top"/>
          </w:tcPr>
          <w:p w14:paraId="78829B45">
            <w:pPr>
              <w:spacing w:before="97" w:line="195" w:lineRule="auto"/>
              <w:ind w:left="11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7.36</w:t>
            </w:r>
          </w:p>
        </w:tc>
        <w:tc>
          <w:tcPr>
            <w:tcW w:w="544" w:type="dxa"/>
            <w:vAlign w:val="top"/>
          </w:tcPr>
          <w:p w14:paraId="13647C63">
            <w:pPr>
              <w:spacing w:before="97"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7.08</w:t>
            </w:r>
          </w:p>
        </w:tc>
        <w:tc>
          <w:tcPr>
            <w:tcW w:w="630" w:type="dxa"/>
            <w:vAlign w:val="top"/>
          </w:tcPr>
          <w:p w14:paraId="06876F46">
            <w:pPr>
              <w:spacing w:before="97"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3.33</w:t>
            </w:r>
          </w:p>
        </w:tc>
        <w:tc>
          <w:tcPr>
            <w:tcW w:w="425" w:type="dxa"/>
            <w:vAlign w:val="top"/>
          </w:tcPr>
          <w:p w14:paraId="4B3B70D4">
            <w:pPr>
              <w:spacing w:before="97"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3.33</w:t>
            </w:r>
          </w:p>
        </w:tc>
        <w:tc>
          <w:tcPr>
            <w:tcW w:w="577" w:type="dxa"/>
            <w:vAlign w:val="top"/>
          </w:tcPr>
          <w:p w14:paraId="3CE3CAB4">
            <w:pPr>
              <w:spacing w:before="97" w:line="195" w:lineRule="auto"/>
              <w:ind w:left="124"/>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8"/>
                <w:sz w:val="20"/>
                <w:szCs w:val="20"/>
              </w:rPr>
              <w:t>11</w:t>
            </w:r>
          </w:p>
        </w:tc>
        <w:tc>
          <w:tcPr>
            <w:tcW w:w="540" w:type="dxa"/>
            <w:tcBorders>
              <w:right w:val="nil"/>
            </w:tcBorders>
            <w:vAlign w:val="top"/>
          </w:tcPr>
          <w:p w14:paraId="0CDE8540">
            <w:pPr>
              <w:spacing w:before="97"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8.61</w:t>
            </w:r>
          </w:p>
        </w:tc>
      </w:tr>
      <w:tr w14:paraId="692A55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082FBE14">
            <w:pPr>
              <w:pStyle w:val="6"/>
              <w:spacing w:before="66" w:line="216" w:lineRule="auto"/>
              <w:ind w:left="156"/>
              <w:rPr>
                <w:sz w:val="20"/>
                <w:szCs w:val="20"/>
              </w:rPr>
            </w:pPr>
            <w:r>
              <w:rPr>
                <w:spacing w:val="4"/>
                <w:sz w:val="20"/>
                <w:szCs w:val="20"/>
              </w:rPr>
              <w:t>十月</w:t>
            </w:r>
          </w:p>
        </w:tc>
        <w:tc>
          <w:tcPr>
            <w:tcW w:w="424" w:type="dxa"/>
            <w:vAlign w:val="top"/>
          </w:tcPr>
          <w:p w14:paraId="1DA5DA13">
            <w:pPr>
              <w:spacing w:before="101"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1.34</w:t>
            </w:r>
          </w:p>
        </w:tc>
        <w:tc>
          <w:tcPr>
            <w:tcW w:w="496" w:type="dxa"/>
            <w:vAlign w:val="top"/>
          </w:tcPr>
          <w:p w14:paraId="3D37E1F7">
            <w:pPr>
              <w:spacing w:before="101"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3.63</w:t>
            </w:r>
          </w:p>
        </w:tc>
        <w:tc>
          <w:tcPr>
            <w:tcW w:w="425" w:type="dxa"/>
            <w:vAlign w:val="top"/>
          </w:tcPr>
          <w:p w14:paraId="193DDEDB">
            <w:pPr>
              <w:spacing w:before="101"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8.33</w:t>
            </w:r>
          </w:p>
        </w:tc>
        <w:tc>
          <w:tcPr>
            <w:tcW w:w="472" w:type="dxa"/>
            <w:vAlign w:val="top"/>
          </w:tcPr>
          <w:p w14:paraId="70B4BABA">
            <w:pPr>
              <w:spacing w:before="101"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11</w:t>
            </w:r>
          </w:p>
        </w:tc>
        <w:tc>
          <w:tcPr>
            <w:tcW w:w="425" w:type="dxa"/>
            <w:vAlign w:val="top"/>
          </w:tcPr>
          <w:p w14:paraId="2C4EF22E">
            <w:pPr>
              <w:spacing w:before="101"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6.05</w:t>
            </w:r>
          </w:p>
        </w:tc>
        <w:tc>
          <w:tcPr>
            <w:tcW w:w="430" w:type="dxa"/>
            <w:vAlign w:val="top"/>
          </w:tcPr>
          <w:p w14:paraId="18F80570">
            <w:pPr>
              <w:spacing w:before="101"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11</w:t>
            </w:r>
          </w:p>
        </w:tc>
        <w:tc>
          <w:tcPr>
            <w:tcW w:w="425" w:type="dxa"/>
            <w:vAlign w:val="top"/>
          </w:tcPr>
          <w:p w14:paraId="0FA8D4F6">
            <w:pPr>
              <w:spacing w:before="101"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3.90</w:t>
            </w:r>
          </w:p>
        </w:tc>
        <w:tc>
          <w:tcPr>
            <w:tcW w:w="425" w:type="dxa"/>
            <w:vAlign w:val="top"/>
          </w:tcPr>
          <w:p w14:paraId="4427D71A">
            <w:pPr>
              <w:spacing w:before="101"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6.05</w:t>
            </w:r>
          </w:p>
        </w:tc>
        <w:tc>
          <w:tcPr>
            <w:tcW w:w="425" w:type="dxa"/>
            <w:vAlign w:val="top"/>
          </w:tcPr>
          <w:p w14:paraId="739CCF42">
            <w:pPr>
              <w:spacing w:before="101"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4.30</w:t>
            </w:r>
          </w:p>
        </w:tc>
        <w:tc>
          <w:tcPr>
            <w:tcW w:w="544" w:type="dxa"/>
            <w:vAlign w:val="top"/>
          </w:tcPr>
          <w:p w14:paraId="505C105D">
            <w:pPr>
              <w:spacing w:before="101"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6.32</w:t>
            </w:r>
          </w:p>
        </w:tc>
        <w:tc>
          <w:tcPr>
            <w:tcW w:w="544" w:type="dxa"/>
            <w:vAlign w:val="top"/>
          </w:tcPr>
          <w:p w14:paraId="675B57BC">
            <w:pPr>
              <w:spacing w:before="101"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10.48</w:t>
            </w:r>
          </w:p>
        </w:tc>
        <w:tc>
          <w:tcPr>
            <w:tcW w:w="591" w:type="dxa"/>
            <w:vAlign w:val="top"/>
          </w:tcPr>
          <w:p w14:paraId="7B3CEB34">
            <w:pPr>
              <w:spacing w:before="101" w:line="195" w:lineRule="auto"/>
              <w:ind w:left="11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6.72</w:t>
            </w:r>
          </w:p>
        </w:tc>
        <w:tc>
          <w:tcPr>
            <w:tcW w:w="544" w:type="dxa"/>
            <w:vAlign w:val="top"/>
          </w:tcPr>
          <w:p w14:paraId="1663851D">
            <w:pPr>
              <w:spacing w:before="101"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10.22</w:t>
            </w:r>
          </w:p>
        </w:tc>
        <w:tc>
          <w:tcPr>
            <w:tcW w:w="630" w:type="dxa"/>
            <w:vAlign w:val="top"/>
          </w:tcPr>
          <w:p w14:paraId="144143CE">
            <w:pPr>
              <w:spacing w:before="101"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4.97</w:t>
            </w:r>
          </w:p>
        </w:tc>
        <w:tc>
          <w:tcPr>
            <w:tcW w:w="425" w:type="dxa"/>
            <w:vAlign w:val="top"/>
          </w:tcPr>
          <w:p w14:paraId="5B042AA4">
            <w:pPr>
              <w:spacing w:before="101"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3.90</w:t>
            </w:r>
          </w:p>
        </w:tc>
        <w:tc>
          <w:tcPr>
            <w:tcW w:w="577" w:type="dxa"/>
            <w:vAlign w:val="top"/>
          </w:tcPr>
          <w:p w14:paraId="0E53657E">
            <w:pPr>
              <w:spacing w:before="101" w:line="195" w:lineRule="auto"/>
              <w:ind w:left="1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1.08</w:t>
            </w:r>
          </w:p>
        </w:tc>
        <w:tc>
          <w:tcPr>
            <w:tcW w:w="540" w:type="dxa"/>
            <w:tcBorders>
              <w:right w:val="nil"/>
            </w:tcBorders>
            <w:vAlign w:val="top"/>
          </w:tcPr>
          <w:p w14:paraId="7A5B50E2">
            <w:pPr>
              <w:spacing w:before="101"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12.50</w:t>
            </w:r>
          </w:p>
        </w:tc>
      </w:tr>
      <w:tr w14:paraId="0CC655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718" w:type="dxa"/>
            <w:tcBorders>
              <w:left w:val="nil"/>
            </w:tcBorders>
            <w:vAlign w:val="top"/>
          </w:tcPr>
          <w:p w14:paraId="4A8DB7C5">
            <w:pPr>
              <w:pStyle w:val="6"/>
              <w:spacing w:before="67" w:line="215" w:lineRule="auto"/>
              <w:ind w:left="50"/>
              <w:rPr>
                <w:sz w:val="20"/>
                <w:szCs w:val="20"/>
              </w:rPr>
            </w:pPr>
            <w:r>
              <w:rPr>
                <w:spacing w:val="6"/>
                <w:sz w:val="20"/>
                <w:szCs w:val="20"/>
              </w:rPr>
              <w:t>十一月</w:t>
            </w:r>
          </w:p>
        </w:tc>
        <w:tc>
          <w:tcPr>
            <w:tcW w:w="424" w:type="dxa"/>
            <w:vAlign w:val="top"/>
          </w:tcPr>
          <w:p w14:paraId="32F00299">
            <w:pPr>
              <w:spacing w:before="103"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1.67</w:t>
            </w:r>
          </w:p>
        </w:tc>
        <w:tc>
          <w:tcPr>
            <w:tcW w:w="496" w:type="dxa"/>
            <w:vAlign w:val="top"/>
          </w:tcPr>
          <w:p w14:paraId="50FE8C54">
            <w:pPr>
              <w:spacing w:before="103"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3.33</w:t>
            </w:r>
          </w:p>
        </w:tc>
        <w:tc>
          <w:tcPr>
            <w:tcW w:w="425" w:type="dxa"/>
            <w:vAlign w:val="top"/>
          </w:tcPr>
          <w:p w14:paraId="321D219B">
            <w:pPr>
              <w:spacing w:before="103"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9.31</w:t>
            </w:r>
          </w:p>
        </w:tc>
        <w:tc>
          <w:tcPr>
            <w:tcW w:w="472" w:type="dxa"/>
            <w:vAlign w:val="top"/>
          </w:tcPr>
          <w:p w14:paraId="1B884021">
            <w:pPr>
              <w:spacing w:before="103"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5.97</w:t>
            </w:r>
          </w:p>
        </w:tc>
        <w:tc>
          <w:tcPr>
            <w:tcW w:w="425" w:type="dxa"/>
            <w:vAlign w:val="top"/>
          </w:tcPr>
          <w:p w14:paraId="2C28F0A5">
            <w:pPr>
              <w:spacing w:before="103"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4.58</w:t>
            </w:r>
          </w:p>
        </w:tc>
        <w:tc>
          <w:tcPr>
            <w:tcW w:w="430" w:type="dxa"/>
            <w:vAlign w:val="top"/>
          </w:tcPr>
          <w:p w14:paraId="2528BA05">
            <w:pPr>
              <w:spacing w:before="103"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425" w:type="dxa"/>
            <w:vAlign w:val="top"/>
          </w:tcPr>
          <w:p w14:paraId="238010F5">
            <w:pPr>
              <w:spacing w:before="103"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2.92</w:t>
            </w:r>
          </w:p>
        </w:tc>
        <w:tc>
          <w:tcPr>
            <w:tcW w:w="425" w:type="dxa"/>
            <w:vAlign w:val="top"/>
          </w:tcPr>
          <w:p w14:paraId="533FC53D">
            <w:pPr>
              <w:spacing w:before="103"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3.61</w:t>
            </w:r>
          </w:p>
        </w:tc>
        <w:tc>
          <w:tcPr>
            <w:tcW w:w="425" w:type="dxa"/>
            <w:vAlign w:val="top"/>
          </w:tcPr>
          <w:p w14:paraId="0434F228">
            <w:pPr>
              <w:spacing w:before="103"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5.42</w:t>
            </w:r>
          </w:p>
        </w:tc>
        <w:tc>
          <w:tcPr>
            <w:tcW w:w="544" w:type="dxa"/>
            <w:vAlign w:val="top"/>
          </w:tcPr>
          <w:p w14:paraId="4A616ADB">
            <w:pPr>
              <w:spacing w:before="103" w:line="195" w:lineRule="auto"/>
              <w:ind w:left="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5.83</w:t>
            </w:r>
          </w:p>
        </w:tc>
        <w:tc>
          <w:tcPr>
            <w:tcW w:w="544" w:type="dxa"/>
            <w:vAlign w:val="top"/>
          </w:tcPr>
          <w:p w14:paraId="38C78394">
            <w:pPr>
              <w:spacing w:before="103"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17.36</w:t>
            </w:r>
          </w:p>
        </w:tc>
        <w:tc>
          <w:tcPr>
            <w:tcW w:w="591" w:type="dxa"/>
            <w:vAlign w:val="top"/>
          </w:tcPr>
          <w:p w14:paraId="25A4C01E">
            <w:pPr>
              <w:spacing w:before="103" w:line="195" w:lineRule="auto"/>
              <w:ind w:left="80"/>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10.</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6"/>
                <w:sz w:val="20"/>
                <w:szCs w:val="20"/>
              </w:rPr>
              <w:t>14</w:t>
            </w:r>
          </w:p>
        </w:tc>
        <w:tc>
          <w:tcPr>
            <w:tcW w:w="544" w:type="dxa"/>
            <w:vAlign w:val="top"/>
          </w:tcPr>
          <w:p w14:paraId="5EAA7C01">
            <w:pPr>
              <w:spacing w:before="103"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8.06</w:t>
            </w:r>
          </w:p>
        </w:tc>
        <w:tc>
          <w:tcPr>
            <w:tcW w:w="630" w:type="dxa"/>
            <w:vAlign w:val="top"/>
          </w:tcPr>
          <w:p w14:paraId="7AE3DD3A">
            <w:pPr>
              <w:spacing w:before="103"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4.31</w:t>
            </w:r>
          </w:p>
        </w:tc>
        <w:tc>
          <w:tcPr>
            <w:tcW w:w="425" w:type="dxa"/>
            <w:vAlign w:val="top"/>
          </w:tcPr>
          <w:p w14:paraId="54E9F487">
            <w:pPr>
              <w:spacing w:before="103"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1.67</w:t>
            </w:r>
          </w:p>
        </w:tc>
        <w:tc>
          <w:tcPr>
            <w:tcW w:w="577" w:type="dxa"/>
            <w:vAlign w:val="top"/>
          </w:tcPr>
          <w:p w14:paraId="073D665C">
            <w:pPr>
              <w:spacing w:before="103" w:line="195" w:lineRule="auto"/>
              <w:ind w:left="1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1.94</w:t>
            </w:r>
          </w:p>
        </w:tc>
        <w:tc>
          <w:tcPr>
            <w:tcW w:w="540" w:type="dxa"/>
            <w:tcBorders>
              <w:right w:val="nil"/>
            </w:tcBorders>
            <w:vAlign w:val="top"/>
          </w:tcPr>
          <w:p w14:paraId="5B5E85F4">
            <w:pPr>
              <w:spacing w:before="103"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9.86</w:t>
            </w:r>
          </w:p>
        </w:tc>
      </w:tr>
      <w:tr w14:paraId="46D23C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718DE805">
            <w:pPr>
              <w:pStyle w:val="6"/>
              <w:spacing w:before="69" w:line="214" w:lineRule="auto"/>
              <w:ind w:left="50"/>
              <w:rPr>
                <w:sz w:val="20"/>
                <w:szCs w:val="20"/>
              </w:rPr>
            </w:pPr>
            <w:r>
              <w:rPr>
                <w:spacing w:val="6"/>
                <w:sz w:val="20"/>
                <w:szCs w:val="20"/>
              </w:rPr>
              <w:t>十二月</w:t>
            </w:r>
          </w:p>
        </w:tc>
        <w:tc>
          <w:tcPr>
            <w:tcW w:w="424" w:type="dxa"/>
            <w:vAlign w:val="top"/>
          </w:tcPr>
          <w:p w14:paraId="7B90FAF6">
            <w:pPr>
              <w:spacing w:before="104"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1.48</w:t>
            </w:r>
          </w:p>
        </w:tc>
        <w:tc>
          <w:tcPr>
            <w:tcW w:w="496" w:type="dxa"/>
            <w:vAlign w:val="top"/>
          </w:tcPr>
          <w:p w14:paraId="22643DA9">
            <w:pPr>
              <w:spacing w:before="104" w:line="195" w:lineRule="auto"/>
              <w:ind w:left="6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4.45</w:t>
            </w:r>
          </w:p>
        </w:tc>
        <w:tc>
          <w:tcPr>
            <w:tcW w:w="425" w:type="dxa"/>
            <w:vAlign w:val="top"/>
          </w:tcPr>
          <w:p w14:paraId="0A710927">
            <w:pPr>
              <w:spacing w:before="104"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7.02</w:t>
            </w:r>
          </w:p>
        </w:tc>
        <w:tc>
          <w:tcPr>
            <w:tcW w:w="472" w:type="dxa"/>
            <w:vAlign w:val="top"/>
          </w:tcPr>
          <w:p w14:paraId="462E1FCE">
            <w:pPr>
              <w:spacing w:before="104" w:line="195" w:lineRule="auto"/>
              <w:ind w:left="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3.10</w:t>
            </w:r>
          </w:p>
        </w:tc>
        <w:tc>
          <w:tcPr>
            <w:tcW w:w="425" w:type="dxa"/>
            <w:vAlign w:val="top"/>
          </w:tcPr>
          <w:p w14:paraId="5943C354">
            <w:pPr>
              <w:spacing w:before="104"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3.64</w:t>
            </w:r>
          </w:p>
        </w:tc>
        <w:tc>
          <w:tcPr>
            <w:tcW w:w="430" w:type="dxa"/>
            <w:vAlign w:val="top"/>
          </w:tcPr>
          <w:p w14:paraId="1C9CC425">
            <w:pPr>
              <w:spacing w:before="104"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2.56</w:t>
            </w:r>
          </w:p>
        </w:tc>
        <w:tc>
          <w:tcPr>
            <w:tcW w:w="425" w:type="dxa"/>
            <w:vAlign w:val="top"/>
          </w:tcPr>
          <w:p w14:paraId="2ABE532B">
            <w:pPr>
              <w:spacing w:before="104"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2.29</w:t>
            </w:r>
          </w:p>
        </w:tc>
        <w:tc>
          <w:tcPr>
            <w:tcW w:w="425" w:type="dxa"/>
            <w:vAlign w:val="top"/>
          </w:tcPr>
          <w:p w14:paraId="30B0670F">
            <w:pPr>
              <w:spacing w:before="104"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3.10</w:t>
            </w:r>
          </w:p>
        </w:tc>
        <w:tc>
          <w:tcPr>
            <w:tcW w:w="425" w:type="dxa"/>
            <w:vAlign w:val="top"/>
          </w:tcPr>
          <w:p w14:paraId="6E7A5F71">
            <w:pPr>
              <w:spacing w:before="104" w:line="195" w:lineRule="auto"/>
              <w:ind w:left="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1.21</w:t>
            </w:r>
          </w:p>
        </w:tc>
        <w:tc>
          <w:tcPr>
            <w:tcW w:w="544" w:type="dxa"/>
            <w:vAlign w:val="top"/>
          </w:tcPr>
          <w:p w14:paraId="2CF3D4E6">
            <w:pPr>
              <w:spacing w:before="104"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3.91</w:t>
            </w:r>
          </w:p>
        </w:tc>
        <w:tc>
          <w:tcPr>
            <w:tcW w:w="544" w:type="dxa"/>
            <w:vAlign w:val="top"/>
          </w:tcPr>
          <w:p w14:paraId="774CFFC1">
            <w:pPr>
              <w:spacing w:before="104" w:line="195" w:lineRule="auto"/>
              <w:ind w:left="9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9.99</w:t>
            </w:r>
          </w:p>
        </w:tc>
        <w:tc>
          <w:tcPr>
            <w:tcW w:w="591" w:type="dxa"/>
            <w:vAlign w:val="top"/>
          </w:tcPr>
          <w:p w14:paraId="4EA1B271">
            <w:pPr>
              <w:spacing w:before="104" w:line="195" w:lineRule="auto"/>
              <w:ind w:left="8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12.55</w:t>
            </w:r>
          </w:p>
        </w:tc>
        <w:tc>
          <w:tcPr>
            <w:tcW w:w="544" w:type="dxa"/>
            <w:vAlign w:val="top"/>
          </w:tcPr>
          <w:p w14:paraId="71101706">
            <w:pPr>
              <w:spacing w:before="104"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11.74</w:t>
            </w:r>
          </w:p>
        </w:tc>
        <w:tc>
          <w:tcPr>
            <w:tcW w:w="630" w:type="dxa"/>
            <w:vAlign w:val="top"/>
          </w:tcPr>
          <w:p w14:paraId="74E91998">
            <w:pPr>
              <w:spacing w:before="104"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8.10</w:t>
            </w:r>
          </w:p>
        </w:tc>
        <w:tc>
          <w:tcPr>
            <w:tcW w:w="425" w:type="dxa"/>
            <w:vAlign w:val="top"/>
          </w:tcPr>
          <w:p w14:paraId="173D85BB">
            <w:pPr>
              <w:spacing w:before="104"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4.32</w:t>
            </w:r>
          </w:p>
        </w:tc>
        <w:tc>
          <w:tcPr>
            <w:tcW w:w="577" w:type="dxa"/>
            <w:vAlign w:val="top"/>
          </w:tcPr>
          <w:p w14:paraId="1A3912B3">
            <w:pPr>
              <w:spacing w:before="104"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0.94</w:t>
            </w:r>
          </w:p>
        </w:tc>
        <w:tc>
          <w:tcPr>
            <w:tcW w:w="540" w:type="dxa"/>
            <w:tcBorders>
              <w:right w:val="nil"/>
            </w:tcBorders>
            <w:vAlign w:val="top"/>
          </w:tcPr>
          <w:p w14:paraId="4E69E688">
            <w:pPr>
              <w:spacing w:before="104"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19.57</w:t>
            </w:r>
          </w:p>
        </w:tc>
      </w:tr>
      <w:tr w14:paraId="59D96B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31757290">
            <w:pPr>
              <w:pStyle w:val="6"/>
              <w:spacing w:before="70" w:line="213" w:lineRule="auto"/>
              <w:ind w:left="155"/>
              <w:rPr>
                <w:sz w:val="20"/>
                <w:szCs w:val="20"/>
              </w:rPr>
            </w:pPr>
            <w:r>
              <w:rPr>
                <w:spacing w:val="4"/>
                <w:sz w:val="20"/>
                <w:szCs w:val="20"/>
              </w:rPr>
              <w:t>全年</w:t>
            </w:r>
          </w:p>
        </w:tc>
        <w:tc>
          <w:tcPr>
            <w:tcW w:w="424" w:type="dxa"/>
            <w:vAlign w:val="top"/>
          </w:tcPr>
          <w:p w14:paraId="02A9897A">
            <w:pPr>
              <w:spacing w:before="105"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2.26</w:t>
            </w:r>
          </w:p>
        </w:tc>
        <w:tc>
          <w:tcPr>
            <w:tcW w:w="496" w:type="dxa"/>
            <w:vAlign w:val="top"/>
          </w:tcPr>
          <w:p w14:paraId="2A6A1D3A">
            <w:pPr>
              <w:spacing w:before="105" w:line="195" w:lineRule="auto"/>
              <w:ind w:left="6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4.13</w:t>
            </w:r>
          </w:p>
        </w:tc>
        <w:tc>
          <w:tcPr>
            <w:tcW w:w="425" w:type="dxa"/>
            <w:vAlign w:val="top"/>
          </w:tcPr>
          <w:p w14:paraId="265E75B1">
            <w:pPr>
              <w:spacing w:before="105"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7.29</w:t>
            </w:r>
          </w:p>
        </w:tc>
        <w:tc>
          <w:tcPr>
            <w:tcW w:w="472" w:type="dxa"/>
            <w:vAlign w:val="top"/>
          </w:tcPr>
          <w:p w14:paraId="1C0770FD">
            <w:pPr>
              <w:spacing w:before="105"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5.25</w:t>
            </w:r>
          </w:p>
        </w:tc>
        <w:tc>
          <w:tcPr>
            <w:tcW w:w="425" w:type="dxa"/>
            <w:vAlign w:val="top"/>
          </w:tcPr>
          <w:p w14:paraId="0FAE9CCD">
            <w:pPr>
              <w:spacing w:before="105"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4.68</w:t>
            </w:r>
          </w:p>
        </w:tc>
        <w:tc>
          <w:tcPr>
            <w:tcW w:w="430" w:type="dxa"/>
            <w:vAlign w:val="top"/>
          </w:tcPr>
          <w:p w14:paraId="7CA1FC87">
            <w:pPr>
              <w:spacing w:before="105"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4.44</w:t>
            </w:r>
          </w:p>
        </w:tc>
        <w:tc>
          <w:tcPr>
            <w:tcW w:w="425" w:type="dxa"/>
            <w:vAlign w:val="top"/>
          </w:tcPr>
          <w:p w14:paraId="22483C6C">
            <w:pPr>
              <w:spacing w:before="105"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3.61</w:t>
            </w:r>
          </w:p>
        </w:tc>
        <w:tc>
          <w:tcPr>
            <w:tcW w:w="425" w:type="dxa"/>
            <w:vAlign w:val="top"/>
          </w:tcPr>
          <w:p w14:paraId="666DA47C">
            <w:pPr>
              <w:spacing w:before="105"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4.93</w:t>
            </w:r>
          </w:p>
        </w:tc>
        <w:tc>
          <w:tcPr>
            <w:tcW w:w="425" w:type="dxa"/>
            <w:vAlign w:val="top"/>
          </w:tcPr>
          <w:p w14:paraId="37E65A67">
            <w:pPr>
              <w:spacing w:before="105"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4.77</w:t>
            </w:r>
          </w:p>
        </w:tc>
        <w:tc>
          <w:tcPr>
            <w:tcW w:w="544" w:type="dxa"/>
            <w:vAlign w:val="top"/>
          </w:tcPr>
          <w:p w14:paraId="001AB173">
            <w:pPr>
              <w:spacing w:before="105" w:line="195" w:lineRule="auto"/>
              <w:ind w:left="9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8.06</w:t>
            </w:r>
          </w:p>
        </w:tc>
        <w:tc>
          <w:tcPr>
            <w:tcW w:w="544" w:type="dxa"/>
            <w:vAlign w:val="top"/>
          </w:tcPr>
          <w:p w14:paraId="68BE6728">
            <w:pPr>
              <w:spacing w:before="105"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13.</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6"/>
                <w:sz w:val="20"/>
                <w:szCs w:val="20"/>
              </w:rPr>
              <w:t>11</w:t>
            </w:r>
          </w:p>
        </w:tc>
        <w:tc>
          <w:tcPr>
            <w:tcW w:w="591" w:type="dxa"/>
            <w:vAlign w:val="top"/>
          </w:tcPr>
          <w:p w14:paraId="40D2611D">
            <w:pPr>
              <w:spacing w:before="105" w:line="195" w:lineRule="auto"/>
              <w:ind w:left="11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7.16</w:t>
            </w:r>
          </w:p>
        </w:tc>
        <w:tc>
          <w:tcPr>
            <w:tcW w:w="544" w:type="dxa"/>
            <w:vAlign w:val="top"/>
          </w:tcPr>
          <w:p w14:paraId="6718F41F">
            <w:pPr>
              <w:spacing w:before="105"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8.68</w:t>
            </w:r>
          </w:p>
        </w:tc>
        <w:tc>
          <w:tcPr>
            <w:tcW w:w="630" w:type="dxa"/>
            <w:vAlign w:val="top"/>
          </w:tcPr>
          <w:p w14:paraId="7A9F7602">
            <w:pPr>
              <w:spacing w:before="105" w:line="195" w:lineRule="auto"/>
              <w:ind w:left="1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5.39</w:t>
            </w:r>
          </w:p>
        </w:tc>
        <w:tc>
          <w:tcPr>
            <w:tcW w:w="425" w:type="dxa"/>
            <w:vAlign w:val="top"/>
          </w:tcPr>
          <w:p w14:paraId="5161CAD4">
            <w:pPr>
              <w:spacing w:before="105"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3.88</w:t>
            </w:r>
          </w:p>
        </w:tc>
        <w:tc>
          <w:tcPr>
            <w:tcW w:w="577" w:type="dxa"/>
            <w:vAlign w:val="top"/>
          </w:tcPr>
          <w:p w14:paraId="59A551B3">
            <w:pPr>
              <w:spacing w:before="105" w:line="195" w:lineRule="auto"/>
              <w:ind w:left="1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1.84</w:t>
            </w:r>
          </w:p>
        </w:tc>
        <w:tc>
          <w:tcPr>
            <w:tcW w:w="540" w:type="dxa"/>
            <w:tcBorders>
              <w:right w:val="nil"/>
            </w:tcBorders>
            <w:vAlign w:val="top"/>
          </w:tcPr>
          <w:p w14:paraId="5DD75438">
            <w:pPr>
              <w:spacing w:before="105"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10.51</w:t>
            </w:r>
          </w:p>
        </w:tc>
      </w:tr>
      <w:tr w14:paraId="3B7E95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651A98D8">
            <w:pPr>
              <w:pStyle w:val="6"/>
              <w:spacing w:before="70" w:line="213" w:lineRule="auto"/>
              <w:ind w:left="154"/>
              <w:rPr>
                <w:sz w:val="20"/>
                <w:szCs w:val="20"/>
              </w:rPr>
            </w:pPr>
            <w:r>
              <w:rPr>
                <w:spacing w:val="5"/>
                <w:sz w:val="20"/>
                <w:szCs w:val="20"/>
              </w:rPr>
              <w:t>春季</w:t>
            </w:r>
          </w:p>
        </w:tc>
        <w:tc>
          <w:tcPr>
            <w:tcW w:w="424" w:type="dxa"/>
            <w:vAlign w:val="top"/>
          </w:tcPr>
          <w:p w14:paraId="1BDA75CA">
            <w:pPr>
              <w:spacing w:before="106"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2.31</w:t>
            </w:r>
          </w:p>
        </w:tc>
        <w:tc>
          <w:tcPr>
            <w:tcW w:w="496" w:type="dxa"/>
            <w:vAlign w:val="top"/>
          </w:tcPr>
          <w:p w14:paraId="2CAE5E82">
            <w:pPr>
              <w:spacing w:before="106"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3.89</w:t>
            </w:r>
          </w:p>
        </w:tc>
        <w:tc>
          <w:tcPr>
            <w:tcW w:w="425" w:type="dxa"/>
            <w:vAlign w:val="top"/>
          </w:tcPr>
          <w:p w14:paraId="648304C6">
            <w:pPr>
              <w:spacing w:before="106"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7.65</w:t>
            </w:r>
          </w:p>
        </w:tc>
        <w:tc>
          <w:tcPr>
            <w:tcW w:w="472" w:type="dxa"/>
            <w:vAlign w:val="top"/>
          </w:tcPr>
          <w:p w14:paraId="6E59F5BB">
            <w:pPr>
              <w:spacing w:before="106"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5.93</w:t>
            </w:r>
          </w:p>
        </w:tc>
        <w:tc>
          <w:tcPr>
            <w:tcW w:w="425" w:type="dxa"/>
            <w:vAlign w:val="top"/>
          </w:tcPr>
          <w:p w14:paraId="1EE23644">
            <w:pPr>
              <w:spacing w:before="106"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4.30</w:t>
            </w:r>
          </w:p>
        </w:tc>
        <w:tc>
          <w:tcPr>
            <w:tcW w:w="430" w:type="dxa"/>
            <w:vAlign w:val="top"/>
          </w:tcPr>
          <w:p w14:paraId="4F101593">
            <w:pPr>
              <w:spacing w:before="106"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425" w:type="dxa"/>
            <w:vAlign w:val="top"/>
          </w:tcPr>
          <w:p w14:paraId="694120C1">
            <w:pPr>
              <w:spacing w:before="106"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4.21</w:t>
            </w:r>
          </w:p>
        </w:tc>
        <w:tc>
          <w:tcPr>
            <w:tcW w:w="425" w:type="dxa"/>
            <w:vAlign w:val="top"/>
          </w:tcPr>
          <w:p w14:paraId="56F2F3F7">
            <w:pPr>
              <w:spacing w:before="106"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3.99</w:t>
            </w:r>
          </w:p>
        </w:tc>
        <w:tc>
          <w:tcPr>
            <w:tcW w:w="425" w:type="dxa"/>
            <w:vAlign w:val="top"/>
          </w:tcPr>
          <w:p w14:paraId="0AB81C99">
            <w:pPr>
              <w:spacing w:before="106"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4.89</w:t>
            </w:r>
          </w:p>
        </w:tc>
        <w:tc>
          <w:tcPr>
            <w:tcW w:w="544" w:type="dxa"/>
            <w:vAlign w:val="top"/>
          </w:tcPr>
          <w:p w14:paraId="595E58CF">
            <w:pPr>
              <w:spacing w:before="106" w:line="195" w:lineRule="auto"/>
              <w:ind w:left="98"/>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8.</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5"/>
                <w:sz w:val="20"/>
                <w:szCs w:val="20"/>
              </w:rPr>
              <w:t>11</w:t>
            </w:r>
          </w:p>
        </w:tc>
        <w:tc>
          <w:tcPr>
            <w:tcW w:w="544" w:type="dxa"/>
            <w:vAlign w:val="top"/>
          </w:tcPr>
          <w:p w14:paraId="6514CD94">
            <w:pPr>
              <w:spacing w:before="106"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15.22</w:t>
            </w:r>
          </w:p>
        </w:tc>
        <w:tc>
          <w:tcPr>
            <w:tcW w:w="591" w:type="dxa"/>
            <w:vAlign w:val="top"/>
          </w:tcPr>
          <w:p w14:paraId="6BE95F45">
            <w:pPr>
              <w:spacing w:before="106" w:line="195" w:lineRule="auto"/>
              <w:ind w:left="11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7.02</w:t>
            </w:r>
          </w:p>
        </w:tc>
        <w:tc>
          <w:tcPr>
            <w:tcW w:w="544" w:type="dxa"/>
            <w:vAlign w:val="top"/>
          </w:tcPr>
          <w:p w14:paraId="286386A1">
            <w:pPr>
              <w:spacing w:before="106"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7.56</w:t>
            </w:r>
          </w:p>
        </w:tc>
        <w:tc>
          <w:tcPr>
            <w:tcW w:w="630" w:type="dxa"/>
            <w:vAlign w:val="top"/>
          </w:tcPr>
          <w:p w14:paraId="0D0EE77F">
            <w:pPr>
              <w:spacing w:before="106"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7.34</w:t>
            </w:r>
          </w:p>
        </w:tc>
        <w:tc>
          <w:tcPr>
            <w:tcW w:w="425" w:type="dxa"/>
            <w:vAlign w:val="top"/>
          </w:tcPr>
          <w:p w14:paraId="3349EBB0">
            <w:pPr>
              <w:spacing w:before="106"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4.03</w:t>
            </w:r>
          </w:p>
        </w:tc>
        <w:tc>
          <w:tcPr>
            <w:tcW w:w="577" w:type="dxa"/>
            <w:vAlign w:val="top"/>
          </w:tcPr>
          <w:p w14:paraId="6081F6F5">
            <w:pPr>
              <w:spacing w:before="106" w:line="195" w:lineRule="auto"/>
              <w:ind w:left="1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1.86</w:t>
            </w:r>
          </w:p>
        </w:tc>
        <w:tc>
          <w:tcPr>
            <w:tcW w:w="540" w:type="dxa"/>
            <w:tcBorders>
              <w:right w:val="nil"/>
            </w:tcBorders>
            <w:vAlign w:val="top"/>
          </w:tcPr>
          <w:p w14:paraId="383CC1D7">
            <w:pPr>
              <w:spacing w:before="106"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7.65</w:t>
            </w:r>
          </w:p>
        </w:tc>
      </w:tr>
      <w:tr w14:paraId="73AC3E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2F1DCDDB">
            <w:pPr>
              <w:pStyle w:val="6"/>
              <w:spacing w:before="71" w:line="212" w:lineRule="auto"/>
              <w:ind w:left="155"/>
              <w:rPr>
                <w:sz w:val="20"/>
                <w:szCs w:val="20"/>
              </w:rPr>
            </w:pPr>
            <w:r>
              <w:rPr>
                <w:spacing w:val="4"/>
                <w:sz w:val="20"/>
                <w:szCs w:val="20"/>
              </w:rPr>
              <w:t>夏季</w:t>
            </w:r>
          </w:p>
        </w:tc>
        <w:tc>
          <w:tcPr>
            <w:tcW w:w="424" w:type="dxa"/>
            <w:vAlign w:val="top"/>
          </w:tcPr>
          <w:p w14:paraId="69A76538">
            <w:pPr>
              <w:spacing w:before="107" w:line="195" w:lineRule="auto"/>
              <w:ind w:left="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1.18</w:t>
            </w:r>
          </w:p>
        </w:tc>
        <w:tc>
          <w:tcPr>
            <w:tcW w:w="496" w:type="dxa"/>
            <w:vAlign w:val="top"/>
          </w:tcPr>
          <w:p w14:paraId="7FA0CB57">
            <w:pPr>
              <w:spacing w:before="107"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3.94</w:t>
            </w:r>
          </w:p>
        </w:tc>
        <w:tc>
          <w:tcPr>
            <w:tcW w:w="425" w:type="dxa"/>
            <w:vAlign w:val="top"/>
          </w:tcPr>
          <w:p w14:paraId="6ED0648C">
            <w:pPr>
              <w:spacing w:before="107" w:line="195"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5.39</w:t>
            </w:r>
          </w:p>
        </w:tc>
        <w:tc>
          <w:tcPr>
            <w:tcW w:w="472" w:type="dxa"/>
            <w:vAlign w:val="top"/>
          </w:tcPr>
          <w:p w14:paraId="37241837">
            <w:pPr>
              <w:spacing w:before="110" w:line="192"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5.57</w:t>
            </w:r>
          </w:p>
        </w:tc>
        <w:tc>
          <w:tcPr>
            <w:tcW w:w="425" w:type="dxa"/>
            <w:vAlign w:val="top"/>
          </w:tcPr>
          <w:p w14:paraId="61F94E15">
            <w:pPr>
              <w:spacing w:before="107"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5.</w:t>
            </w:r>
            <w:r>
              <w:rPr>
                <w:rFonts w:ascii="Times New Roman" w:hAnsi="Times New Roman" w:eastAsia="Times New Roman" w:cs="Times New Roman"/>
                <w:spacing w:val="-23"/>
                <w:sz w:val="20"/>
                <w:szCs w:val="20"/>
              </w:rPr>
              <w:t xml:space="preserve"> </w:t>
            </w:r>
            <w:r>
              <w:rPr>
                <w:rFonts w:ascii="Times New Roman" w:hAnsi="Times New Roman" w:eastAsia="Times New Roman" w:cs="Times New Roman"/>
                <w:spacing w:val="-5"/>
                <w:sz w:val="20"/>
                <w:szCs w:val="20"/>
              </w:rPr>
              <w:t>12</w:t>
            </w:r>
          </w:p>
        </w:tc>
        <w:tc>
          <w:tcPr>
            <w:tcW w:w="430" w:type="dxa"/>
            <w:vAlign w:val="top"/>
          </w:tcPr>
          <w:p w14:paraId="4D8F2C77">
            <w:pPr>
              <w:spacing w:before="107"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4.48</w:t>
            </w:r>
          </w:p>
        </w:tc>
        <w:tc>
          <w:tcPr>
            <w:tcW w:w="425" w:type="dxa"/>
            <w:vAlign w:val="top"/>
          </w:tcPr>
          <w:p w14:paraId="626E65AF">
            <w:pPr>
              <w:spacing w:before="107"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4.57</w:t>
            </w:r>
          </w:p>
        </w:tc>
        <w:tc>
          <w:tcPr>
            <w:tcW w:w="425" w:type="dxa"/>
            <w:vAlign w:val="top"/>
          </w:tcPr>
          <w:p w14:paraId="6C1E7F8A">
            <w:pPr>
              <w:spacing w:before="107"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6.61</w:t>
            </w:r>
          </w:p>
        </w:tc>
        <w:tc>
          <w:tcPr>
            <w:tcW w:w="425" w:type="dxa"/>
            <w:vAlign w:val="top"/>
          </w:tcPr>
          <w:p w14:paraId="11424916">
            <w:pPr>
              <w:spacing w:before="107"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5.98</w:t>
            </w:r>
          </w:p>
        </w:tc>
        <w:tc>
          <w:tcPr>
            <w:tcW w:w="544" w:type="dxa"/>
            <w:vAlign w:val="top"/>
          </w:tcPr>
          <w:p w14:paraId="7FCF3726">
            <w:pPr>
              <w:spacing w:before="107" w:line="195" w:lineRule="auto"/>
              <w:ind w:left="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11.82</w:t>
            </w:r>
          </w:p>
        </w:tc>
        <w:tc>
          <w:tcPr>
            <w:tcW w:w="544" w:type="dxa"/>
            <w:vAlign w:val="top"/>
          </w:tcPr>
          <w:p w14:paraId="624A1CFC">
            <w:pPr>
              <w:spacing w:before="107"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11.59</w:t>
            </w:r>
          </w:p>
        </w:tc>
        <w:tc>
          <w:tcPr>
            <w:tcW w:w="591" w:type="dxa"/>
            <w:vAlign w:val="top"/>
          </w:tcPr>
          <w:p w14:paraId="7E82C7DA">
            <w:pPr>
              <w:spacing w:before="110" w:line="192" w:lineRule="auto"/>
              <w:ind w:left="11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5.75</w:t>
            </w:r>
          </w:p>
        </w:tc>
        <w:tc>
          <w:tcPr>
            <w:tcW w:w="544" w:type="dxa"/>
            <w:vAlign w:val="top"/>
          </w:tcPr>
          <w:p w14:paraId="4DDE3D24">
            <w:pPr>
              <w:spacing w:before="107"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6.97</w:t>
            </w:r>
          </w:p>
        </w:tc>
        <w:tc>
          <w:tcPr>
            <w:tcW w:w="630" w:type="dxa"/>
            <w:vAlign w:val="top"/>
          </w:tcPr>
          <w:p w14:paraId="002B2F80">
            <w:pPr>
              <w:spacing w:before="107"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3.99</w:t>
            </w:r>
          </w:p>
        </w:tc>
        <w:tc>
          <w:tcPr>
            <w:tcW w:w="425" w:type="dxa"/>
            <w:vAlign w:val="top"/>
          </w:tcPr>
          <w:p w14:paraId="51B1DF58">
            <w:pPr>
              <w:spacing w:before="110" w:line="192" w:lineRule="auto"/>
              <w:ind w:left="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5.75</w:t>
            </w:r>
          </w:p>
        </w:tc>
        <w:tc>
          <w:tcPr>
            <w:tcW w:w="577" w:type="dxa"/>
            <w:vAlign w:val="top"/>
          </w:tcPr>
          <w:p w14:paraId="5FC34029">
            <w:pPr>
              <w:spacing w:before="107" w:line="195" w:lineRule="auto"/>
              <w:ind w:left="1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3.31</w:t>
            </w:r>
          </w:p>
        </w:tc>
        <w:tc>
          <w:tcPr>
            <w:tcW w:w="540" w:type="dxa"/>
            <w:tcBorders>
              <w:right w:val="nil"/>
            </w:tcBorders>
            <w:vAlign w:val="top"/>
          </w:tcPr>
          <w:p w14:paraId="3AF4E5B4">
            <w:pPr>
              <w:spacing w:before="107" w:line="195" w:lineRule="auto"/>
              <w:ind w:left="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7.97</w:t>
            </w:r>
          </w:p>
        </w:tc>
      </w:tr>
      <w:tr w14:paraId="2CECA9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718" w:type="dxa"/>
            <w:tcBorders>
              <w:left w:val="nil"/>
            </w:tcBorders>
            <w:vAlign w:val="top"/>
          </w:tcPr>
          <w:p w14:paraId="1E615AB5">
            <w:pPr>
              <w:pStyle w:val="6"/>
              <w:spacing w:before="72" w:line="211" w:lineRule="auto"/>
              <w:ind w:left="157"/>
              <w:rPr>
                <w:sz w:val="20"/>
                <w:szCs w:val="20"/>
              </w:rPr>
            </w:pPr>
            <w:r>
              <w:rPr>
                <w:spacing w:val="3"/>
                <w:sz w:val="20"/>
                <w:szCs w:val="20"/>
              </w:rPr>
              <w:t>秋季</w:t>
            </w:r>
          </w:p>
        </w:tc>
        <w:tc>
          <w:tcPr>
            <w:tcW w:w="424" w:type="dxa"/>
            <w:vAlign w:val="top"/>
          </w:tcPr>
          <w:p w14:paraId="61D6DED2">
            <w:pPr>
              <w:spacing w:before="108"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2.01</w:t>
            </w:r>
          </w:p>
        </w:tc>
        <w:tc>
          <w:tcPr>
            <w:tcW w:w="496" w:type="dxa"/>
            <w:vAlign w:val="top"/>
          </w:tcPr>
          <w:p w14:paraId="48BE4999">
            <w:pPr>
              <w:spacing w:before="108" w:line="195" w:lineRule="auto"/>
              <w:ind w:left="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3.30</w:t>
            </w:r>
          </w:p>
        </w:tc>
        <w:tc>
          <w:tcPr>
            <w:tcW w:w="425" w:type="dxa"/>
            <w:vAlign w:val="top"/>
          </w:tcPr>
          <w:p w14:paraId="50272D32">
            <w:pPr>
              <w:spacing w:before="108"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7.88</w:t>
            </w:r>
          </w:p>
        </w:tc>
        <w:tc>
          <w:tcPr>
            <w:tcW w:w="472" w:type="dxa"/>
            <w:vAlign w:val="top"/>
          </w:tcPr>
          <w:p w14:paraId="2E7D6C22">
            <w:pPr>
              <w:spacing w:before="108" w:line="195" w:lineRule="auto"/>
              <w:ind w:left="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5.22</w:t>
            </w:r>
          </w:p>
        </w:tc>
        <w:tc>
          <w:tcPr>
            <w:tcW w:w="425" w:type="dxa"/>
            <w:vAlign w:val="top"/>
          </w:tcPr>
          <w:p w14:paraId="255A224F">
            <w:pPr>
              <w:spacing w:before="108"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4.95</w:t>
            </w:r>
          </w:p>
        </w:tc>
        <w:tc>
          <w:tcPr>
            <w:tcW w:w="430" w:type="dxa"/>
            <w:vAlign w:val="top"/>
          </w:tcPr>
          <w:p w14:paraId="1ACBABD7">
            <w:pPr>
              <w:spacing w:before="108"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5.13</w:t>
            </w:r>
          </w:p>
        </w:tc>
        <w:tc>
          <w:tcPr>
            <w:tcW w:w="425" w:type="dxa"/>
            <w:vAlign w:val="top"/>
          </w:tcPr>
          <w:p w14:paraId="46AD472D">
            <w:pPr>
              <w:spacing w:before="108"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3.43</w:t>
            </w:r>
          </w:p>
        </w:tc>
        <w:tc>
          <w:tcPr>
            <w:tcW w:w="425" w:type="dxa"/>
            <w:vAlign w:val="top"/>
          </w:tcPr>
          <w:p w14:paraId="0EBA5CCC">
            <w:pPr>
              <w:spacing w:before="108"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4.95</w:t>
            </w:r>
          </w:p>
        </w:tc>
        <w:tc>
          <w:tcPr>
            <w:tcW w:w="425" w:type="dxa"/>
            <w:vAlign w:val="top"/>
          </w:tcPr>
          <w:p w14:paraId="367139CD">
            <w:pPr>
              <w:spacing w:before="108" w:line="195" w:lineRule="auto"/>
              <w:ind w:left="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5.17</w:t>
            </w:r>
          </w:p>
        </w:tc>
        <w:tc>
          <w:tcPr>
            <w:tcW w:w="544" w:type="dxa"/>
            <w:vAlign w:val="top"/>
          </w:tcPr>
          <w:p w14:paraId="183D33D2">
            <w:pPr>
              <w:spacing w:before="108" w:line="195" w:lineRule="auto"/>
              <w:ind w:left="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7.42</w:t>
            </w:r>
          </w:p>
        </w:tc>
        <w:tc>
          <w:tcPr>
            <w:tcW w:w="544" w:type="dxa"/>
            <w:vAlign w:val="top"/>
          </w:tcPr>
          <w:p w14:paraId="72F1E3DF">
            <w:pPr>
              <w:spacing w:before="108"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15.</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6"/>
                <w:sz w:val="20"/>
                <w:szCs w:val="20"/>
              </w:rPr>
              <w:t>11</w:t>
            </w:r>
          </w:p>
        </w:tc>
        <w:tc>
          <w:tcPr>
            <w:tcW w:w="591" w:type="dxa"/>
            <w:vAlign w:val="top"/>
          </w:tcPr>
          <w:p w14:paraId="3C84C5E6">
            <w:pPr>
              <w:spacing w:before="108" w:line="195" w:lineRule="auto"/>
              <w:ind w:left="12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8.06</w:t>
            </w:r>
          </w:p>
        </w:tc>
        <w:tc>
          <w:tcPr>
            <w:tcW w:w="544" w:type="dxa"/>
            <w:vAlign w:val="top"/>
          </w:tcPr>
          <w:p w14:paraId="05438AE1">
            <w:pPr>
              <w:spacing w:before="108" w:line="195" w:lineRule="auto"/>
              <w:ind w:left="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8.47</w:t>
            </w:r>
          </w:p>
        </w:tc>
        <w:tc>
          <w:tcPr>
            <w:tcW w:w="630" w:type="dxa"/>
            <w:vAlign w:val="top"/>
          </w:tcPr>
          <w:p w14:paraId="690E7A13">
            <w:pPr>
              <w:spacing w:before="108"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4.21</w:t>
            </w:r>
          </w:p>
        </w:tc>
        <w:tc>
          <w:tcPr>
            <w:tcW w:w="425" w:type="dxa"/>
            <w:vAlign w:val="top"/>
          </w:tcPr>
          <w:p w14:paraId="4B8C8F45">
            <w:pPr>
              <w:spacing w:before="108"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2.98</w:t>
            </w:r>
          </w:p>
        </w:tc>
        <w:tc>
          <w:tcPr>
            <w:tcW w:w="577" w:type="dxa"/>
            <w:vAlign w:val="top"/>
          </w:tcPr>
          <w:p w14:paraId="2A46AE8D">
            <w:pPr>
              <w:spacing w:before="108" w:line="195" w:lineRule="auto"/>
              <w:ind w:left="1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1.37</w:t>
            </w:r>
          </w:p>
        </w:tc>
        <w:tc>
          <w:tcPr>
            <w:tcW w:w="540" w:type="dxa"/>
            <w:tcBorders>
              <w:right w:val="nil"/>
            </w:tcBorders>
            <w:vAlign w:val="top"/>
          </w:tcPr>
          <w:p w14:paraId="299216F2">
            <w:pPr>
              <w:spacing w:before="108"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10.35</w:t>
            </w:r>
          </w:p>
        </w:tc>
      </w:tr>
      <w:tr w14:paraId="0B513C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718" w:type="dxa"/>
            <w:tcBorders>
              <w:left w:val="nil"/>
              <w:bottom w:val="single" w:color="000000" w:sz="10" w:space="0"/>
            </w:tcBorders>
            <w:vAlign w:val="top"/>
          </w:tcPr>
          <w:p w14:paraId="54173EAD">
            <w:pPr>
              <w:pStyle w:val="6"/>
              <w:spacing w:before="72" w:line="228" w:lineRule="auto"/>
              <w:ind w:left="160"/>
              <w:rPr>
                <w:sz w:val="20"/>
                <w:szCs w:val="20"/>
              </w:rPr>
            </w:pPr>
            <w:r>
              <w:rPr>
                <w:spacing w:val="2"/>
                <w:sz w:val="20"/>
                <w:szCs w:val="20"/>
              </w:rPr>
              <w:t>冬季</w:t>
            </w:r>
          </w:p>
        </w:tc>
        <w:tc>
          <w:tcPr>
            <w:tcW w:w="424" w:type="dxa"/>
            <w:tcBorders>
              <w:bottom w:val="single" w:color="000000" w:sz="10" w:space="0"/>
            </w:tcBorders>
            <w:vAlign w:val="top"/>
          </w:tcPr>
          <w:p w14:paraId="31CD07C0">
            <w:pPr>
              <w:spacing w:before="108" w:line="195" w:lineRule="auto"/>
              <w:ind w:left="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3.57</w:t>
            </w:r>
          </w:p>
        </w:tc>
        <w:tc>
          <w:tcPr>
            <w:tcW w:w="496" w:type="dxa"/>
            <w:tcBorders>
              <w:bottom w:val="single" w:color="000000" w:sz="10" w:space="0"/>
            </w:tcBorders>
            <w:vAlign w:val="top"/>
          </w:tcPr>
          <w:p w14:paraId="28A66500">
            <w:pPr>
              <w:spacing w:before="108" w:line="195" w:lineRule="auto"/>
              <w:ind w:left="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5.42</w:t>
            </w:r>
          </w:p>
        </w:tc>
        <w:tc>
          <w:tcPr>
            <w:tcW w:w="425" w:type="dxa"/>
            <w:tcBorders>
              <w:bottom w:val="single" w:color="000000" w:sz="10" w:space="0"/>
            </w:tcBorders>
            <w:vAlign w:val="top"/>
          </w:tcPr>
          <w:p w14:paraId="214E606F">
            <w:pPr>
              <w:spacing w:before="108" w:line="195" w:lineRule="auto"/>
              <w:ind w:left="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8.25</w:t>
            </w:r>
          </w:p>
        </w:tc>
        <w:tc>
          <w:tcPr>
            <w:tcW w:w="472" w:type="dxa"/>
            <w:tcBorders>
              <w:bottom w:val="single" w:color="000000" w:sz="10" w:space="0"/>
            </w:tcBorders>
            <w:vAlign w:val="top"/>
          </w:tcPr>
          <w:p w14:paraId="40BC7829">
            <w:pPr>
              <w:spacing w:before="108" w:line="195" w:lineRule="auto"/>
              <w:ind w:left="5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4.27</w:t>
            </w:r>
          </w:p>
        </w:tc>
        <w:tc>
          <w:tcPr>
            <w:tcW w:w="425" w:type="dxa"/>
            <w:tcBorders>
              <w:bottom w:val="single" w:color="000000" w:sz="10" w:space="0"/>
            </w:tcBorders>
            <w:vAlign w:val="top"/>
          </w:tcPr>
          <w:p w14:paraId="79B6CA90">
            <w:pPr>
              <w:spacing w:before="108" w:line="195" w:lineRule="auto"/>
              <w:ind w:left="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4.36</w:t>
            </w:r>
          </w:p>
        </w:tc>
        <w:tc>
          <w:tcPr>
            <w:tcW w:w="430" w:type="dxa"/>
            <w:tcBorders>
              <w:bottom w:val="single" w:color="000000" w:sz="10" w:space="0"/>
            </w:tcBorders>
            <w:vAlign w:val="top"/>
          </w:tcPr>
          <w:p w14:paraId="6570A648">
            <w:pPr>
              <w:spacing w:before="108" w:line="195" w:lineRule="auto"/>
              <w:ind w:left="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4.13</w:t>
            </w:r>
          </w:p>
        </w:tc>
        <w:tc>
          <w:tcPr>
            <w:tcW w:w="425" w:type="dxa"/>
            <w:tcBorders>
              <w:bottom w:val="single" w:color="000000" w:sz="10" w:space="0"/>
            </w:tcBorders>
            <w:vAlign w:val="top"/>
          </w:tcPr>
          <w:p w14:paraId="620EB54C">
            <w:pPr>
              <w:spacing w:before="108"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2.18</w:t>
            </w:r>
          </w:p>
        </w:tc>
        <w:tc>
          <w:tcPr>
            <w:tcW w:w="425" w:type="dxa"/>
            <w:tcBorders>
              <w:bottom w:val="single" w:color="000000" w:sz="10" w:space="0"/>
            </w:tcBorders>
            <w:vAlign w:val="top"/>
          </w:tcPr>
          <w:p w14:paraId="003C758A">
            <w:pPr>
              <w:spacing w:before="108" w:line="195" w:lineRule="auto"/>
              <w:ind w:left="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425" w:type="dxa"/>
            <w:tcBorders>
              <w:bottom w:val="single" w:color="000000" w:sz="10" w:space="0"/>
            </w:tcBorders>
            <w:vAlign w:val="top"/>
          </w:tcPr>
          <w:p w14:paraId="2B465CD2">
            <w:pPr>
              <w:spacing w:before="108" w:line="195" w:lineRule="auto"/>
              <w:ind w:left="3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3.01</w:t>
            </w:r>
          </w:p>
        </w:tc>
        <w:tc>
          <w:tcPr>
            <w:tcW w:w="544" w:type="dxa"/>
            <w:tcBorders>
              <w:bottom w:val="single" w:color="000000" w:sz="10" w:space="0"/>
            </w:tcBorders>
            <w:vAlign w:val="top"/>
          </w:tcPr>
          <w:p w14:paraId="6F00A66D">
            <w:pPr>
              <w:spacing w:before="108" w:line="195" w:lineRule="auto"/>
              <w:ind w:left="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4.82</w:t>
            </w:r>
          </w:p>
        </w:tc>
        <w:tc>
          <w:tcPr>
            <w:tcW w:w="544" w:type="dxa"/>
            <w:tcBorders>
              <w:bottom w:val="single" w:color="000000" w:sz="10" w:space="0"/>
            </w:tcBorders>
            <w:vAlign w:val="top"/>
          </w:tcPr>
          <w:p w14:paraId="207D1EEC">
            <w:pPr>
              <w:spacing w:before="108"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10.48</w:t>
            </w:r>
          </w:p>
        </w:tc>
        <w:tc>
          <w:tcPr>
            <w:tcW w:w="591" w:type="dxa"/>
            <w:tcBorders>
              <w:bottom w:val="single" w:color="000000" w:sz="10" w:space="0"/>
            </w:tcBorders>
            <w:vAlign w:val="top"/>
          </w:tcPr>
          <w:p w14:paraId="2E96A416">
            <w:pPr>
              <w:spacing w:before="108" w:line="195" w:lineRule="auto"/>
              <w:ind w:left="11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7.83</w:t>
            </w:r>
          </w:p>
        </w:tc>
        <w:tc>
          <w:tcPr>
            <w:tcW w:w="544" w:type="dxa"/>
            <w:tcBorders>
              <w:bottom w:val="single" w:color="000000" w:sz="10" w:space="0"/>
            </w:tcBorders>
            <w:vAlign w:val="top"/>
          </w:tcPr>
          <w:p w14:paraId="5082A282">
            <w:pPr>
              <w:spacing w:before="108" w:line="195" w:lineRule="auto"/>
              <w:ind w:left="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11.78</w:t>
            </w:r>
          </w:p>
        </w:tc>
        <w:tc>
          <w:tcPr>
            <w:tcW w:w="630" w:type="dxa"/>
            <w:tcBorders>
              <w:bottom w:val="single" w:color="000000" w:sz="10" w:space="0"/>
            </w:tcBorders>
            <w:vAlign w:val="top"/>
          </w:tcPr>
          <w:p w14:paraId="00C8256D">
            <w:pPr>
              <w:spacing w:before="108" w:line="195" w:lineRule="auto"/>
              <w:ind w:left="1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6.03</w:t>
            </w:r>
          </w:p>
        </w:tc>
        <w:tc>
          <w:tcPr>
            <w:tcW w:w="425" w:type="dxa"/>
            <w:tcBorders>
              <w:bottom w:val="single" w:color="000000" w:sz="10" w:space="0"/>
            </w:tcBorders>
            <w:vAlign w:val="top"/>
          </w:tcPr>
          <w:p w14:paraId="6082183D">
            <w:pPr>
              <w:spacing w:before="108" w:line="195" w:lineRule="auto"/>
              <w:ind w:left="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2.74</w:t>
            </w:r>
          </w:p>
        </w:tc>
        <w:tc>
          <w:tcPr>
            <w:tcW w:w="577" w:type="dxa"/>
            <w:tcBorders>
              <w:bottom w:val="single" w:color="000000" w:sz="10" w:space="0"/>
            </w:tcBorders>
            <w:vAlign w:val="top"/>
          </w:tcPr>
          <w:p w14:paraId="4445AAC3">
            <w:pPr>
              <w:spacing w:before="108" w:line="195" w:lineRule="auto"/>
              <w:ind w:left="10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0.79</w:t>
            </w:r>
          </w:p>
        </w:tc>
        <w:tc>
          <w:tcPr>
            <w:tcW w:w="540" w:type="dxa"/>
            <w:tcBorders>
              <w:bottom w:val="single" w:color="000000" w:sz="10" w:space="0"/>
              <w:right w:val="nil"/>
            </w:tcBorders>
            <w:vAlign w:val="top"/>
          </w:tcPr>
          <w:p w14:paraId="670731EF">
            <w:pPr>
              <w:spacing w:before="108" w:line="195" w:lineRule="auto"/>
              <w:ind w:left="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16.18</w:t>
            </w:r>
          </w:p>
        </w:tc>
      </w:tr>
    </w:tbl>
    <w:p w14:paraId="3A185F89">
      <w:pPr>
        <w:pStyle w:val="2"/>
      </w:pPr>
    </w:p>
    <w:p w14:paraId="70B4B3C0">
      <w:pPr>
        <w:sectPr>
          <w:footerReference r:id="rId263" w:type="default"/>
          <w:pgSz w:w="11906" w:h="16839"/>
          <w:pgMar w:top="1191" w:right="1416" w:bottom="1156" w:left="1417" w:header="882" w:footer="994" w:gutter="0"/>
          <w:cols w:space="720" w:num="1"/>
        </w:sectPr>
      </w:pPr>
    </w:p>
    <w:p w14:paraId="496B529F">
      <w:pPr>
        <w:spacing w:line="27" w:lineRule="exact"/>
      </w:pPr>
      <w:r>
        <w:pict>
          <v:shape id="_x0000_s1284" o:spid="_x0000_s1284" style="height:1.45pt;width:453.65pt;" fillcolor="#000000" filled="t" stroked="f" coordsize="9072,29" path="m0,0l9072,0,9072,28,0,28,0,0xe">
            <v:path/>
            <v:fill on="t" focussize="0,0"/>
            <v:stroke on="f"/>
            <v:imagedata o:title=""/>
            <o:lock v:ext="edit"/>
            <w10:wrap type="none"/>
            <w10:anchorlock/>
          </v:shape>
        </w:pict>
      </w:r>
    </w:p>
    <w:p w14:paraId="1FBF20D7">
      <w:pPr>
        <w:spacing w:line="221" w:lineRule="auto"/>
        <w:ind w:left="2800"/>
        <w:rPr>
          <w:rFonts w:ascii="宋体" w:hAnsi="宋体" w:eastAsia="宋体" w:cs="宋体"/>
          <w:sz w:val="28"/>
          <w:szCs w:val="28"/>
        </w:rPr>
      </w:pPr>
      <w:r>
        <w:pict>
          <v:shape id="_x0000_s1285" o:spid="_x0000_s1285" style="position:absolute;left:0pt;margin-left:27.3pt;margin-top:13.3pt;height:553.45pt;width:397.5pt;z-index:251906048;mso-width-relative:page;mso-height-relative:page;" fillcolor="#00FFFF" filled="t" stroked="t" coordsize="7950,11069" path="m7,7l7941,7,7941,11060,7,11060,7,7xe">
            <v:fill on="t" focussize="0,0"/>
            <v:stroke color="#000000" miterlimit="2" endcap="round"/>
            <v:imagedata o:title=""/>
            <o:lock v:ext="edit"/>
          </v:shape>
        </w:pict>
      </w:r>
      <w:r>
        <w:pict>
          <v:shape id="_x0000_s1286" o:spid="_x0000_s1286" o:spt="202" type="#_x0000_t202" style="position:absolute;left:0pt;margin-left:26.7pt;margin-top:12.65pt;height:555.2pt;width:398.75pt;z-index:251927552;mso-width-relative:page;mso-height-relative:page;" filled="f" stroked="f" coordsize="21600,21600">
            <v:path/>
            <v:fill on="f" focussize="0,0"/>
            <v:stroke on="f"/>
            <v:imagedata o:title=""/>
            <o:lock v:ext="edit" aspectratio="f"/>
            <v:textbox inset="0mm,0mm,0mm,0mm">
              <w:txbxContent>
                <w:p w14:paraId="0A4192F6">
                  <w:pPr>
                    <w:spacing w:line="20" w:lineRule="exact"/>
                  </w:pPr>
                </w:p>
                <w:tbl>
                  <w:tblPr>
                    <w:tblStyle w:val="5"/>
                    <w:tblW w:w="7934" w:type="dxa"/>
                    <w:tblInd w:w="2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1979"/>
                    <w:gridCol w:w="1980"/>
                    <w:gridCol w:w="1995"/>
                    <w:gridCol w:w="1980"/>
                  </w:tblGrid>
                  <w:tr w14:paraId="2A3586A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22" w:hRule="atLeast"/>
                    </w:trPr>
                    <w:tc>
                      <w:tcPr>
                        <w:tcW w:w="1979" w:type="dxa"/>
                        <w:vMerge w:val="restart"/>
                        <w:tcBorders>
                          <w:bottom w:val="nil"/>
                          <w:right w:val="single" w:color="FFFFFF" w:sz="2" w:space="0"/>
                        </w:tcBorders>
                        <w:vAlign w:val="top"/>
                      </w:tcPr>
                      <w:p w14:paraId="195B1C75">
                        <w:pPr>
                          <w:pStyle w:val="6"/>
                          <w:spacing w:before="294" w:line="182" w:lineRule="auto"/>
                          <w:ind w:left="946"/>
                          <w:rPr>
                            <w:sz w:val="18"/>
                            <w:szCs w:val="18"/>
                          </w:rPr>
                        </w:pPr>
                        <w:r>
                          <w:rPr>
                            <w:sz w:val="18"/>
                            <w:szCs w:val="18"/>
                          </w:rPr>
                          <w:t>N</w:t>
                        </w:r>
                      </w:p>
                      <w:p w14:paraId="429924E8">
                        <w:pPr>
                          <w:pStyle w:val="6"/>
                          <w:spacing w:before="17" w:line="182" w:lineRule="auto"/>
                          <w:ind w:left="1366"/>
                          <w:rPr>
                            <w:sz w:val="18"/>
                            <w:szCs w:val="18"/>
                          </w:rPr>
                        </w:pPr>
                        <w:r>
                          <w:rPr>
                            <w:spacing w:val="-1"/>
                            <w:sz w:val="18"/>
                            <w:szCs w:val="18"/>
                          </w:rPr>
                          <w:t>NE</w:t>
                        </w:r>
                      </w:p>
                      <w:p w14:paraId="60FC7F98">
                        <w:pPr>
                          <w:pStyle w:val="6"/>
                          <w:spacing w:before="287" w:line="182" w:lineRule="auto"/>
                          <w:ind w:left="1564"/>
                          <w:rPr>
                            <w:sz w:val="18"/>
                            <w:szCs w:val="18"/>
                          </w:rPr>
                        </w:pPr>
                        <w:r>
                          <w:rPr>
                            <w:sz w:val="18"/>
                            <w:szCs w:val="18"/>
                          </w:rPr>
                          <w:t>E</w:t>
                        </w:r>
                      </w:p>
                      <w:p w14:paraId="4A9FD709">
                        <w:pPr>
                          <w:spacing w:line="241" w:lineRule="auto"/>
                          <w:rPr>
                            <w:rFonts w:ascii="Arial"/>
                            <w:sz w:val="21"/>
                          </w:rPr>
                        </w:pPr>
                      </w:p>
                      <w:p w14:paraId="4DEBC6AD">
                        <w:pPr>
                          <w:pStyle w:val="6"/>
                          <w:spacing w:before="58" w:line="173" w:lineRule="auto"/>
                          <w:ind w:left="1372"/>
                          <w:rPr>
                            <w:sz w:val="18"/>
                            <w:szCs w:val="18"/>
                          </w:rPr>
                        </w:pPr>
                        <w:r>
                          <w:rPr>
                            <w:spacing w:val="-4"/>
                            <w:sz w:val="18"/>
                            <w:szCs w:val="18"/>
                          </w:rPr>
                          <w:t>SE</w:t>
                        </w:r>
                      </w:p>
                    </w:tc>
                    <w:tc>
                      <w:tcPr>
                        <w:tcW w:w="1980" w:type="dxa"/>
                        <w:vMerge w:val="restart"/>
                        <w:tcBorders>
                          <w:left w:val="single" w:color="FFFFFF" w:sz="2" w:space="0"/>
                          <w:bottom w:val="nil"/>
                          <w:right w:val="single" w:color="FFFFFF" w:sz="2" w:space="0"/>
                        </w:tcBorders>
                        <w:vAlign w:val="top"/>
                      </w:tcPr>
                      <w:p w14:paraId="18B03EB1">
                        <w:pPr>
                          <w:pStyle w:val="6"/>
                          <w:spacing w:before="294" w:line="182" w:lineRule="auto"/>
                          <w:ind w:left="944"/>
                          <w:rPr>
                            <w:sz w:val="18"/>
                            <w:szCs w:val="18"/>
                          </w:rPr>
                        </w:pPr>
                        <w:r>
                          <w:rPr>
                            <w:sz w:val="18"/>
                            <w:szCs w:val="18"/>
                          </w:rPr>
                          <w:t>N</w:t>
                        </w:r>
                      </w:p>
                      <w:p w14:paraId="71E13433">
                        <w:pPr>
                          <w:pStyle w:val="6"/>
                          <w:spacing w:before="17" w:line="157" w:lineRule="auto"/>
                          <w:ind w:left="1364"/>
                          <w:rPr>
                            <w:sz w:val="18"/>
                            <w:szCs w:val="18"/>
                          </w:rPr>
                        </w:pPr>
                        <w:r>
                          <w:rPr>
                            <w:spacing w:val="-1"/>
                            <w:sz w:val="18"/>
                            <w:szCs w:val="18"/>
                          </w:rPr>
                          <w:t>NE</w:t>
                        </w:r>
                      </w:p>
                      <w:p w14:paraId="027A9217">
                        <w:pPr>
                          <w:spacing w:line="251" w:lineRule="auto"/>
                          <w:rPr>
                            <w:rFonts w:ascii="Arial"/>
                            <w:sz w:val="21"/>
                          </w:rPr>
                        </w:pPr>
                      </w:p>
                      <w:p w14:paraId="5943FA25">
                        <w:pPr>
                          <w:pStyle w:val="6"/>
                          <w:spacing w:before="59" w:line="182" w:lineRule="auto"/>
                          <w:ind w:left="329"/>
                          <w:rPr>
                            <w:sz w:val="18"/>
                            <w:szCs w:val="18"/>
                          </w:rPr>
                        </w:pPr>
                        <w:r>
                          <w:rPr>
                            <w:sz w:val="18"/>
                            <w:szCs w:val="18"/>
                          </w:rPr>
                          <w:t>W</w:t>
                        </w:r>
                      </w:p>
                      <w:p w14:paraId="50EF00CA">
                        <w:pPr>
                          <w:spacing w:line="241" w:lineRule="auto"/>
                          <w:rPr>
                            <w:rFonts w:ascii="Arial"/>
                            <w:sz w:val="21"/>
                          </w:rPr>
                        </w:pPr>
                      </w:p>
                      <w:p w14:paraId="6CBC0455">
                        <w:pPr>
                          <w:pStyle w:val="6"/>
                          <w:spacing w:before="58" w:line="173" w:lineRule="auto"/>
                          <w:ind w:left="1370"/>
                          <w:rPr>
                            <w:sz w:val="18"/>
                            <w:szCs w:val="18"/>
                          </w:rPr>
                        </w:pPr>
                        <w:r>
                          <w:rPr>
                            <w:spacing w:val="-4"/>
                            <w:sz w:val="18"/>
                            <w:szCs w:val="18"/>
                          </w:rPr>
                          <w:t>SE</w:t>
                        </w:r>
                      </w:p>
                    </w:tc>
                    <w:tc>
                      <w:tcPr>
                        <w:tcW w:w="1995" w:type="dxa"/>
                        <w:tcBorders>
                          <w:left w:val="single" w:color="FFFFFF" w:sz="2" w:space="0"/>
                          <w:right w:val="single" w:color="FFFFFF" w:sz="2" w:space="0"/>
                        </w:tcBorders>
                        <w:vAlign w:val="top"/>
                      </w:tcPr>
                      <w:p w14:paraId="2273E99C">
                        <w:pPr>
                          <w:pStyle w:val="6"/>
                          <w:spacing w:before="295" w:line="116" w:lineRule="exact"/>
                          <w:ind w:left="944"/>
                          <w:rPr>
                            <w:sz w:val="18"/>
                            <w:szCs w:val="18"/>
                          </w:rPr>
                        </w:pPr>
                        <w:r>
                          <w:rPr>
                            <w:position w:val="-3"/>
                            <w:sz w:val="18"/>
                            <w:szCs w:val="18"/>
                          </w:rPr>
                          <w:t>N</w:t>
                        </w:r>
                      </w:p>
                    </w:tc>
                    <w:tc>
                      <w:tcPr>
                        <w:tcW w:w="1980" w:type="dxa"/>
                        <w:tcBorders>
                          <w:left w:val="single" w:color="FFFFFF" w:sz="2" w:space="0"/>
                        </w:tcBorders>
                        <w:vAlign w:val="top"/>
                      </w:tcPr>
                      <w:p w14:paraId="16E0DD6C">
                        <w:pPr>
                          <w:pStyle w:val="6"/>
                          <w:spacing w:before="295" w:line="116" w:lineRule="exact"/>
                          <w:ind w:left="944"/>
                          <w:rPr>
                            <w:sz w:val="18"/>
                            <w:szCs w:val="18"/>
                          </w:rPr>
                        </w:pPr>
                        <w:r>
                          <w:rPr>
                            <w:position w:val="-3"/>
                            <w:sz w:val="18"/>
                            <w:szCs w:val="18"/>
                          </w:rPr>
                          <w:t>N</w:t>
                        </w:r>
                      </w:p>
                    </w:tc>
                  </w:tr>
                  <w:tr w14:paraId="0A37322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1190" w:hRule="atLeast"/>
                    </w:trPr>
                    <w:tc>
                      <w:tcPr>
                        <w:tcW w:w="1979" w:type="dxa"/>
                        <w:vMerge w:val="continue"/>
                        <w:tcBorders>
                          <w:top w:val="nil"/>
                          <w:right w:val="single" w:color="FFFFFF" w:sz="2" w:space="0"/>
                        </w:tcBorders>
                        <w:vAlign w:val="top"/>
                      </w:tcPr>
                      <w:p w14:paraId="42BC6E49">
                        <w:pPr>
                          <w:rPr>
                            <w:rFonts w:ascii="Arial"/>
                            <w:sz w:val="21"/>
                          </w:rPr>
                        </w:pPr>
                      </w:p>
                    </w:tc>
                    <w:tc>
                      <w:tcPr>
                        <w:tcW w:w="1980" w:type="dxa"/>
                        <w:vMerge w:val="continue"/>
                        <w:tcBorders>
                          <w:top w:val="nil"/>
                          <w:left w:val="single" w:color="FFFFFF" w:sz="2" w:space="0"/>
                          <w:right w:val="single" w:color="FFFFFF" w:sz="2" w:space="0"/>
                        </w:tcBorders>
                        <w:vAlign w:val="top"/>
                      </w:tcPr>
                      <w:p w14:paraId="21454D26">
                        <w:pPr>
                          <w:rPr>
                            <w:rFonts w:ascii="Arial"/>
                            <w:sz w:val="21"/>
                          </w:rPr>
                        </w:pPr>
                      </w:p>
                    </w:tc>
                    <w:tc>
                      <w:tcPr>
                        <w:tcW w:w="1995" w:type="dxa"/>
                        <w:tcBorders>
                          <w:left w:val="single" w:color="FFFFFF" w:sz="2" w:space="0"/>
                          <w:right w:val="single" w:color="FFFFFF" w:sz="2" w:space="0"/>
                        </w:tcBorders>
                        <w:vAlign w:val="top"/>
                      </w:tcPr>
                      <w:p w14:paraId="58921C94">
                        <w:pPr>
                          <w:pStyle w:val="6"/>
                          <w:spacing w:before="67" w:line="182" w:lineRule="auto"/>
                          <w:ind w:left="434"/>
                          <w:rPr>
                            <w:sz w:val="18"/>
                            <w:szCs w:val="18"/>
                          </w:rPr>
                        </w:pPr>
                        <w:r>
                          <w:rPr>
                            <w:spacing w:val="-1"/>
                            <w:sz w:val="18"/>
                            <w:szCs w:val="18"/>
                          </w:rPr>
                          <w:t>NW</w:t>
                        </w:r>
                      </w:p>
                      <w:p w14:paraId="21F8B182">
                        <w:pPr>
                          <w:pStyle w:val="6"/>
                          <w:spacing w:before="287" w:line="182" w:lineRule="auto"/>
                          <w:ind w:left="1562"/>
                          <w:rPr>
                            <w:sz w:val="18"/>
                            <w:szCs w:val="18"/>
                          </w:rPr>
                        </w:pPr>
                        <w:r>
                          <w:rPr>
                            <w:sz w:val="18"/>
                            <w:szCs w:val="18"/>
                          </w:rPr>
                          <w:t>E</w:t>
                        </w:r>
                      </w:p>
                      <w:p w14:paraId="02C6F192">
                        <w:pPr>
                          <w:spacing w:line="241" w:lineRule="auto"/>
                          <w:rPr>
                            <w:rFonts w:ascii="Arial"/>
                            <w:sz w:val="21"/>
                          </w:rPr>
                        </w:pPr>
                      </w:p>
                      <w:p w14:paraId="0D6DE749">
                        <w:pPr>
                          <w:pStyle w:val="6"/>
                          <w:spacing w:before="58" w:line="173" w:lineRule="auto"/>
                          <w:ind w:left="440"/>
                          <w:rPr>
                            <w:sz w:val="18"/>
                            <w:szCs w:val="18"/>
                          </w:rPr>
                        </w:pPr>
                        <w:r>
                          <w:rPr>
                            <w:spacing w:val="-4"/>
                            <w:sz w:val="18"/>
                            <w:szCs w:val="18"/>
                          </w:rPr>
                          <w:t>SW</w:t>
                        </w:r>
                      </w:p>
                    </w:tc>
                    <w:tc>
                      <w:tcPr>
                        <w:tcW w:w="1980" w:type="dxa"/>
                        <w:tcBorders>
                          <w:left w:val="single" w:color="FFFFFF" w:sz="2" w:space="0"/>
                        </w:tcBorders>
                        <w:vAlign w:val="top"/>
                      </w:tcPr>
                      <w:p w14:paraId="20D230B7">
                        <w:pPr>
                          <w:pStyle w:val="6"/>
                          <w:spacing w:before="67" w:line="182" w:lineRule="auto"/>
                          <w:ind w:left="434"/>
                          <w:rPr>
                            <w:sz w:val="18"/>
                            <w:szCs w:val="18"/>
                          </w:rPr>
                        </w:pPr>
                        <w:r>
                          <w:rPr>
                            <w:spacing w:val="-1"/>
                            <w:sz w:val="18"/>
                            <w:szCs w:val="18"/>
                          </w:rPr>
                          <w:t>NW</w:t>
                        </w:r>
                      </w:p>
                      <w:p w14:paraId="7A2F2D2F">
                        <w:pPr>
                          <w:pStyle w:val="6"/>
                          <w:spacing w:before="287" w:line="182" w:lineRule="auto"/>
                          <w:ind w:left="1562"/>
                          <w:rPr>
                            <w:sz w:val="18"/>
                            <w:szCs w:val="18"/>
                          </w:rPr>
                        </w:pPr>
                        <w:r>
                          <w:rPr>
                            <w:sz w:val="18"/>
                            <w:szCs w:val="18"/>
                          </w:rPr>
                          <w:t>E</w:t>
                        </w:r>
                      </w:p>
                      <w:p w14:paraId="1E15A408">
                        <w:pPr>
                          <w:spacing w:line="241" w:lineRule="auto"/>
                          <w:rPr>
                            <w:rFonts w:ascii="Arial"/>
                            <w:sz w:val="21"/>
                          </w:rPr>
                        </w:pPr>
                      </w:p>
                      <w:p w14:paraId="1944A01C">
                        <w:pPr>
                          <w:pStyle w:val="6"/>
                          <w:spacing w:before="58" w:line="173" w:lineRule="auto"/>
                          <w:ind w:left="440"/>
                          <w:rPr>
                            <w:sz w:val="18"/>
                            <w:szCs w:val="18"/>
                          </w:rPr>
                        </w:pPr>
                        <w:r>
                          <w:rPr>
                            <w:spacing w:val="-4"/>
                            <w:sz w:val="18"/>
                            <w:szCs w:val="18"/>
                          </w:rPr>
                          <w:t>SW</w:t>
                        </w:r>
                      </w:p>
                    </w:tc>
                  </w:tr>
                  <w:tr w14:paraId="54ADA81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92" w:hRule="atLeast"/>
                    </w:trPr>
                    <w:tc>
                      <w:tcPr>
                        <w:tcW w:w="1979" w:type="dxa"/>
                        <w:tcBorders>
                          <w:bottom w:val="single" w:color="FFFFFF" w:sz="2" w:space="0"/>
                          <w:right w:val="single" w:color="FFFFFF" w:sz="2" w:space="0"/>
                        </w:tcBorders>
                        <w:vAlign w:val="top"/>
                      </w:tcPr>
                      <w:p w14:paraId="74358CFB">
                        <w:pPr>
                          <w:pStyle w:val="6"/>
                          <w:spacing w:before="16" w:line="183" w:lineRule="auto"/>
                          <w:ind w:left="952"/>
                          <w:rPr>
                            <w:sz w:val="18"/>
                            <w:szCs w:val="18"/>
                          </w:rPr>
                        </w:pPr>
                        <w:r>
                          <w:rPr>
                            <w:sz w:val="18"/>
                            <w:szCs w:val="18"/>
                          </w:rPr>
                          <w:t>S</w:t>
                        </w:r>
                      </w:p>
                      <w:p w14:paraId="2E1FD03C">
                        <w:pPr>
                          <w:pStyle w:val="6"/>
                          <w:spacing w:before="228" w:line="163" w:lineRule="auto"/>
                          <w:ind w:left="414"/>
                          <w:rPr>
                            <w:sz w:val="18"/>
                            <w:szCs w:val="18"/>
                          </w:rPr>
                        </w:pPr>
                        <w:r>
                          <w:rPr>
                            <w:spacing w:val="-2"/>
                            <w:sz w:val="18"/>
                            <w:szCs w:val="18"/>
                          </w:rPr>
                          <w:t>一月,平均3.74</w:t>
                        </w:r>
                      </w:p>
                    </w:tc>
                    <w:tc>
                      <w:tcPr>
                        <w:tcW w:w="1980" w:type="dxa"/>
                        <w:tcBorders>
                          <w:left w:val="single" w:color="FFFFFF" w:sz="2" w:space="0"/>
                          <w:bottom w:val="single" w:color="FFFFFF" w:sz="2" w:space="0"/>
                          <w:right w:val="single" w:color="FFFFFF" w:sz="2" w:space="0"/>
                        </w:tcBorders>
                        <w:vAlign w:val="top"/>
                      </w:tcPr>
                      <w:p w14:paraId="0CEB5295">
                        <w:pPr>
                          <w:pStyle w:val="6"/>
                          <w:spacing w:before="16" w:line="183" w:lineRule="auto"/>
                          <w:ind w:left="950"/>
                          <w:rPr>
                            <w:sz w:val="18"/>
                            <w:szCs w:val="18"/>
                          </w:rPr>
                        </w:pPr>
                        <w:r>
                          <w:rPr>
                            <w:sz w:val="18"/>
                            <w:szCs w:val="18"/>
                          </w:rPr>
                          <w:t>S</w:t>
                        </w:r>
                      </w:p>
                      <w:p w14:paraId="24536DC2">
                        <w:pPr>
                          <w:pStyle w:val="6"/>
                          <w:spacing w:before="228" w:line="163" w:lineRule="auto"/>
                          <w:ind w:left="413"/>
                          <w:rPr>
                            <w:sz w:val="18"/>
                            <w:szCs w:val="18"/>
                          </w:rPr>
                        </w:pPr>
                        <w:r>
                          <w:rPr>
                            <w:spacing w:val="-2"/>
                            <w:sz w:val="18"/>
                            <w:szCs w:val="18"/>
                          </w:rPr>
                          <w:t>二月,平均3.70</w:t>
                        </w:r>
                      </w:p>
                    </w:tc>
                    <w:tc>
                      <w:tcPr>
                        <w:tcW w:w="1995" w:type="dxa"/>
                        <w:tcBorders>
                          <w:left w:val="single" w:color="FFFFFF" w:sz="2" w:space="0"/>
                          <w:bottom w:val="single" w:color="FFFFFF" w:sz="2" w:space="0"/>
                          <w:right w:val="single" w:color="FFFFFF" w:sz="2" w:space="0"/>
                        </w:tcBorders>
                        <w:vAlign w:val="top"/>
                      </w:tcPr>
                      <w:p w14:paraId="1DFE489C">
                        <w:pPr>
                          <w:pStyle w:val="6"/>
                          <w:spacing w:before="16" w:line="183" w:lineRule="auto"/>
                          <w:ind w:left="950"/>
                          <w:rPr>
                            <w:sz w:val="18"/>
                            <w:szCs w:val="18"/>
                          </w:rPr>
                        </w:pPr>
                        <w:r>
                          <w:rPr>
                            <w:sz w:val="18"/>
                            <w:szCs w:val="18"/>
                          </w:rPr>
                          <w:t>S</w:t>
                        </w:r>
                      </w:p>
                      <w:p w14:paraId="1776073F">
                        <w:pPr>
                          <w:pStyle w:val="6"/>
                          <w:spacing w:before="228" w:line="163" w:lineRule="auto"/>
                          <w:ind w:left="409"/>
                          <w:rPr>
                            <w:sz w:val="18"/>
                            <w:szCs w:val="18"/>
                          </w:rPr>
                        </w:pPr>
                        <w:r>
                          <w:rPr>
                            <w:spacing w:val="-1"/>
                            <w:sz w:val="18"/>
                            <w:szCs w:val="18"/>
                          </w:rPr>
                          <w:t>三月,平均2.89</w:t>
                        </w:r>
                      </w:p>
                    </w:tc>
                    <w:tc>
                      <w:tcPr>
                        <w:tcW w:w="1980" w:type="dxa"/>
                        <w:tcBorders>
                          <w:left w:val="single" w:color="FFFFFF" w:sz="2" w:space="0"/>
                          <w:bottom w:val="single" w:color="FFFFFF" w:sz="2" w:space="0"/>
                        </w:tcBorders>
                        <w:vAlign w:val="top"/>
                      </w:tcPr>
                      <w:p w14:paraId="2D7DA297">
                        <w:pPr>
                          <w:pStyle w:val="6"/>
                          <w:spacing w:before="16" w:line="183" w:lineRule="auto"/>
                          <w:ind w:left="950"/>
                          <w:rPr>
                            <w:sz w:val="18"/>
                            <w:szCs w:val="18"/>
                          </w:rPr>
                        </w:pPr>
                        <w:r>
                          <w:rPr>
                            <w:sz w:val="18"/>
                            <w:szCs w:val="18"/>
                          </w:rPr>
                          <w:t>S</w:t>
                        </w:r>
                      </w:p>
                      <w:p w14:paraId="5FFB5F53">
                        <w:pPr>
                          <w:pStyle w:val="6"/>
                          <w:spacing w:before="228" w:line="163" w:lineRule="auto"/>
                          <w:ind w:left="426"/>
                          <w:rPr>
                            <w:sz w:val="18"/>
                            <w:szCs w:val="18"/>
                          </w:rPr>
                        </w:pPr>
                        <w:r>
                          <w:rPr>
                            <w:spacing w:val="-3"/>
                            <w:sz w:val="18"/>
                            <w:szCs w:val="18"/>
                          </w:rPr>
                          <w:t>四月,平均3.27</w:t>
                        </w:r>
                      </w:p>
                    </w:tc>
                  </w:tr>
                  <w:tr w14:paraId="69291AE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17" w:hRule="atLeast"/>
                    </w:trPr>
                    <w:tc>
                      <w:tcPr>
                        <w:tcW w:w="1979" w:type="dxa"/>
                        <w:tcBorders>
                          <w:top w:val="single" w:color="FFFFFF" w:sz="2" w:space="0"/>
                          <w:right w:val="single" w:color="FFFFFF" w:sz="2" w:space="0"/>
                        </w:tcBorders>
                        <w:vAlign w:val="top"/>
                      </w:tcPr>
                      <w:p w14:paraId="7FA5FAB6">
                        <w:pPr>
                          <w:pStyle w:val="6"/>
                          <w:spacing w:before="290" w:line="116" w:lineRule="exact"/>
                          <w:ind w:left="946"/>
                          <w:rPr>
                            <w:sz w:val="18"/>
                            <w:szCs w:val="18"/>
                          </w:rPr>
                        </w:pPr>
                        <w:r>
                          <w:rPr>
                            <w:position w:val="-3"/>
                            <w:sz w:val="18"/>
                            <w:szCs w:val="18"/>
                          </w:rPr>
                          <w:t>N</w:t>
                        </w:r>
                      </w:p>
                    </w:tc>
                    <w:tc>
                      <w:tcPr>
                        <w:tcW w:w="1980" w:type="dxa"/>
                        <w:tcBorders>
                          <w:top w:val="single" w:color="FFFFFF" w:sz="2" w:space="0"/>
                          <w:left w:val="single" w:color="FFFFFF" w:sz="2" w:space="0"/>
                          <w:right w:val="single" w:color="FFFFFF" w:sz="2" w:space="0"/>
                        </w:tcBorders>
                        <w:vAlign w:val="top"/>
                      </w:tcPr>
                      <w:p w14:paraId="3377FCE2">
                        <w:pPr>
                          <w:pStyle w:val="6"/>
                          <w:spacing w:before="290" w:line="116" w:lineRule="exact"/>
                          <w:ind w:left="944"/>
                          <w:rPr>
                            <w:sz w:val="18"/>
                            <w:szCs w:val="18"/>
                          </w:rPr>
                        </w:pPr>
                        <w:r>
                          <w:rPr>
                            <w:position w:val="-3"/>
                            <w:sz w:val="18"/>
                            <w:szCs w:val="18"/>
                          </w:rPr>
                          <w:t>N</w:t>
                        </w:r>
                      </w:p>
                    </w:tc>
                    <w:tc>
                      <w:tcPr>
                        <w:tcW w:w="1995" w:type="dxa"/>
                        <w:vMerge w:val="restart"/>
                        <w:tcBorders>
                          <w:top w:val="single" w:color="FFFFFF" w:sz="2" w:space="0"/>
                          <w:left w:val="single" w:color="FFFFFF" w:sz="2" w:space="0"/>
                          <w:bottom w:val="nil"/>
                          <w:right w:val="single" w:color="FFFFFF" w:sz="2" w:space="0"/>
                        </w:tcBorders>
                        <w:vAlign w:val="top"/>
                      </w:tcPr>
                      <w:p w14:paraId="30C2A7CF">
                        <w:pPr>
                          <w:spacing w:before="181"/>
                        </w:pPr>
                      </w:p>
                      <w:tbl>
                        <w:tblPr>
                          <w:tblStyle w:val="5"/>
                          <w:tblW w:w="1154" w:type="dxa"/>
                          <w:tblInd w:w="41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577"/>
                          <w:gridCol w:w="577"/>
                        </w:tblGrid>
                        <w:tr w14:paraId="3DF2946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92" w:hRule="atLeast"/>
                          </w:trPr>
                          <w:tc>
                            <w:tcPr>
                              <w:tcW w:w="577" w:type="dxa"/>
                              <w:tcBorders>
                                <w:bottom w:val="single" w:color="646464" w:sz="6" w:space="0"/>
                                <w:right w:val="single" w:color="646464" w:sz="6" w:space="0"/>
                              </w:tcBorders>
                              <w:vAlign w:val="top"/>
                            </w:tcPr>
                            <w:p w14:paraId="3953AA39">
                              <w:pPr>
                                <w:rPr>
                                  <w:rFonts w:ascii="Arial"/>
                                  <w:sz w:val="21"/>
                                </w:rPr>
                              </w:pPr>
                            </w:p>
                          </w:tc>
                          <w:tc>
                            <w:tcPr>
                              <w:tcW w:w="577" w:type="dxa"/>
                              <w:tcBorders>
                                <w:left w:val="single" w:color="646464" w:sz="6" w:space="0"/>
                                <w:bottom w:val="single" w:color="646464" w:sz="6" w:space="0"/>
                              </w:tcBorders>
                              <w:vAlign w:val="top"/>
                            </w:tcPr>
                            <w:p w14:paraId="0A6FA9FE">
                              <w:pPr>
                                <w:rPr>
                                  <w:rFonts w:ascii="Arial"/>
                                  <w:sz w:val="21"/>
                                </w:rPr>
                              </w:pPr>
                            </w:p>
                          </w:tc>
                        </w:tr>
                        <w:tr w14:paraId="630C287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2" w:hRule="atLeast"/>
                          </w:trPr>
                          <w:tc>
                            <w:tcPr>
                              <w:tcW w:w="577" w:type="dxa"/>
                              <w:tcBorders>
                                <w:top w:val="single" w:color="646464" w:sz="6" w:space="0"/>
                                <w:right w:val="single" w:color="646464" w:sz="6" w:space="0"/>
                              </w:tcBorders>
                              <w:vAlign w:val="top"/>
                            </w:tcPr>
                            <w:p w14:paraId="51C0A2ED">
                              <w:pPr>
                                <w:rPr>
                                  <w:rFonts w:ascii="Arial"/>
                                  <w:sz w:val="21"/>
                                </w:rPr>
                              </w:pPr>
                            </w:p>
                          </w:tc>
                          <w:tc>
                            <w:tcPr>
                              <w:tcW w:w="577" w:type="dxa"/>
                              <w:tcBorders>
                                <w:top w:val="single" w:color="646464" w:sz="6" w:space="0"/>
                                <w:left w:val="single" w:color="646464" w:sz="6" w:space="0"/>
                              </w:tcBorders>
                              <w:vAlign w:val="top"/>
                            </w:tcPr>
                            <w:p w14:paraId="425EFAD7">
                              <w:pPr>
                                <w:spacing w:line="82" w:lineRule="exact"/>
                              </w:pPr>
                              <w:r>
                                <w:rPr>
                                  <w:position w:val="-1"/>
                                </w:rPr>
                                <w:drawing>
                                  <wp:inline distT="0" distB="0" distL="0" distR="0">
                                    <wp:extent cx="66675" cy="52070"/>
                                    <wp:effectExtent l="0" t="0" r="0" b="0"/>
                                    <wp:docPr id="76" name="IM 76"/>
                                    <wp:cNvGraphicFramePr/>
                                    <a:graphic xmlns:a="http://schemas.openxmlformats.org/drawingml/2006/main">
                                      <a:graphicData uri="http://schemas.openxmlformats.org/drawingml/2006/picture">
                                        <pic:pic xmlns:pic="http://schemas.openxmlformats.org/drawingml/2006/picture">
                                          <pic:nvPicPr>
                                            <pic:cNvPr id="76" name="IM 76"/>
                                            <pic:cNvPicPr/>
                                          </pic:nvPicPr>
                                          <pic:blipFill>
                                            <a:blip r:embed="rId616"/>
                                            <a:stretch>
                                              <a:fillRect/>
                                            </a:stretch>
                                          </pic:blipFill>
                                          <pic:spPr>
                                            <a:xfrm>
                                              <a:off x="0" y="0"/>
                                              <a:ext cx="66941" cy="52629"/>
                                            </a:xfrm>
                                            <a:prstGeom prst="rect">
                                              <a:avLst/>
                                            </a:prstGeom>
                                          </pic:spPr>
                                        </pic:pic>
                                      </a:graphicData>
                                    </a:graphic>
                                  </wp:inline>
                                </w:drawing>
                              </w:r>
                            </w:p>
                          </w:tc>
                        </w:tr>
                      </w:tbl>
                      <w:p w14:paraId="7FDFDDEA">
                        <w:pPr>
                          <w:spacing w:line="54" w:lineRule="auto"/>
                          <w:rPr>
                            <w:rFonts w:ascii="Arial"/>
                            <w:sz w:val="2"/>
                          </w:rPr>
                        </w:pPr>
                      </w:p>
                    </w:tc>
                    <w:tc>
                      <w:tcPr>
                        <w:tcW w:w="1980" w:type="dxa"/>
                        <w:tcBorders>
                          <w:top w:val="single" w:color="FFFFFF" w:sz="2" w:space="0"/>
                          <w:left w:val="single" w:color="FFFFFF" w:sz="2" w:space="0"/>
                        </w:tcBorders>
                        <w:vAlign w:val="top"/>
                      </w:tcPr>
                      <w:p w14:paraId="6FB9E789">
                        <w:pPr>
                          <w:pStyle w:val="6"/>
                          <w:spacing w:before="290" w:line="116" w:lineRule="exact"/>
                          <w:ind w:left="944"/>
                          <w:rPr>
                            <w:sz w:val="18"/>
                            <w:szCs w:val="18"/>
                          </w:rPr>
                        </w:pPr>
                        <w:r>
                          <w:rPr>
                            <w:position w:val="-3"/>
                            <w:sz w:val="18"/>
                            <w:szCs w:val="18"/>
                          </w:rPr>
                          <w:t>N</w:t>
                        </w:r>
                      </w:p>
                    </w:tc>
                  </w:tr>
                  <w:tr w14:paraId="72892F9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1191" w:hRule="atLeast"/>
                    </w:trPr>
                    <w:tc>
                      <w:tcPr>
                        <w:tcW w:w="1979" w:type="dxa"/>
                        <w:tcBorders>
                          <w:right w:val="single" w:color="FFFFFF" w:sz="2" w:space="0"/>
                        </w:tcBorders>
                        <w:vAlign w:val="top"/>
                      </w:tcPr>
                      <w:p w14:paraId="4604A5A3">
                        <w:pPr>
                          <w:spacing w:line="243" w:lineRule="auto"/>
                          <w:rPr>
                            <w:rFonts w:ascii="Arial"/>
                            <w:sz w:val="21"/>
                          </w:rPr>
                        </w:pPr>
                      </w:p>
                      <w:p w14:paraId="47AA554B">
                        <w:pPr>
                          <w:spacing w:line="243" w:lineRule="auto"/>
                          <w:rPr>
                            <w:rFonts w:ascii="Arial"/>
                            <w:sz w:val="21"/>
                          </w:rPr>
                        </w:pPr>
                      </w:p>
                      <w:p w14:paraId="345E0898">
                        <w:pPr>
                          <w:pStyle w:val="6"/>
                          <w:spacing w:before="59" w:line="182" w:lineRule="auto"/>
                          <w:ind w:left="331"/>
                          <w:rPr>
                            <w:sz w:val="18"/>
                            <w:szCs w:val="18"/>
                          </w:rPr>
                        </w:pPr>
                        <w:r>
                          <w:rPr>
                            <w:sz w:val="18"/>
                            <w:szCs w:val="18"/>
                          </w:rPr>
                          <w:t>W</w:t>
                        </w:r>
                      </w:p>
                      <w:p w14:paraId="6FFC3645">
                        <w:pPr>
                          <w:pStyle w:val="6"/>
                          <w:spacing w:before="286" w:line="173" w:lineRule="auto"/>
                          <w:ind w:left="442"/>
                          <w:rPr>
                            <w:sz w:val="18"/>
                            <w:szCs w:val="18"/>
                          </w:rPr>
                        </w:pPr>
                        <w:r>
                          <w:rPr>
                            <w:spacing w:val="-4"/>
                            <w:sz w:val="18"/>
                            <w:szCs w:val="18"/>
                          </w:rPr>
                          <w:t>SW</w:t>
                        </w:r>
                      </w:p>
                    </w:tc>
                    <w:tc>
                      <w:tcPr>
                        <w:tcW w:w="1980" w:type="dxa"/>
                        <w:tcBorders>
                          <w:left w:val="single" w:color="FFFFFF" w:sz="2" w:space="0"/>
                          <w:right w:val="single" w:color="FFFFFF" w:sz="2" w:space="0"/>
                        </w:tcBorders>
                        <w:vAlign w:val="top"/>
                      </w:tcPr>
                      <w:p w14:paraId="67036050">
                        <w:pPr>
                          <w:rPr>
                            <w:rFonts w:ascii="Arial"/>
                            <w:sz w:val="21"/>
                          </w:rPr>
                        </w:pPr>
                      </w:p>
                    </w:tc>
                    <w:tc>
                      <w:tcPr>
                        <w:tcW w:w="1995" w:type="dxa"/>
                        <w:vMerge w:val="continue"/>
                        <w:tcBorders>
                          <w:top w:val="nil"/>
                          <w:left w:val="single" w:color="FFFFFF" w:sz="2" w:space="0"/>
                          <w:right w:val="single" w:color="FFFFFF" w:sz="2" w:space="0"/>
                        </w:tcBorders>
                        <w:vAlign w:val="top"/>
                      </w:tcPr>
                      <w:p w14:paraId="7942DB2F">
                        <w:pPr>
                          <w:rPr>
                            <w:rFonts w:ascii="Arial"/>
                            <w:sz w:val="21"/>
                          </w:rPr>
                        </w:pPr>
                      </w:p>
                    </w:tc>
                    <w:tc>
                      <w:tcPr>
                        <w:tcW w:w="1980" w:type="dxa"/>
                        <w:tcBorders>
                          <w:left w:val="single" w:color="FFFFFF" w:sz="2" w:space="0"/>
                        </w:tcBorders>
                        <w:vAlign w:val="top"/>
                      </w:tcPr>
                      <w:p w14:paraId="31CC93D7">
                        <w:pPr>
                          <w:rPr>
                            <w:rFonts w:ascii="Arial"/>
                            <w:sz w:val="21"/>
                          </w:rPr>
                        </w:pPr>
                      </w:p>
                    </w:tc>
                  </w:tr>
                  <w:tr w14:paraId="21F723B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07" w:hRule="atLeast"/>
                    </w:trPr>
                    <w:tc>
                      <w:tcPr>
                        <w:tcW w:w="1979" w:type="dxa"/>
                        <w:tcBorders>
                          <w:bottom w:val="single" w:color="FFFFFF" w:sz="2" w:space="0"/>
                          <w:right w:val="single" w:color="FFFFFF" w:sz="2" w:space="0"/>
                        </w:tcBorders>
                        <w:vAlign w:val="top"/>
                      </w:tcPr>
                      <w:p w14:paraId="00EEF532">
                        <w:pPr>
                          <w:pStyle w:val="6"/>
                          <w:spacing w:before="16" w:line="183" w:lineRule="auto"/>
                          <w:ind w:left="952"/>
                          <w:rPr>
                            <w:sz w:val="18"/>
                            <w:szCs w:val="18"/>
                          </w:rPr>
                        </w:pPr>
                        <w:r>
                          <w:rPr>
                            <w:sz w:val="18"/>
                            <w:szCs w:val="18"/>
                          </w:rPr>
                          <w:t>S</w:t>
                        </w:r>
                      </w:p>
                      <w:p w14:paraId="3BF0F78A">
                        <w:pPr>
                          <w:pStyle w:val="6"/>
                          <w:spacing w:before="227" w:line="179" w:lineRule="auto"/>
                          <w:ind w:left="414"/>
                          <w:rPr>
                            <w:sz w:val="18"/>
                            <w:szCs w:val="18"/>
                          </w:rPr>
                        </w:pPr>
                        <w:r>
                          <w:rPr>
                            <w:spacing w:val="-2"/>
                            <w:sz w:val="18"/>
                            <w:szCs w:val="18"/>
                          </w:rPr>
                          <w:t>五月,平均2.58</w:t>
                        </w:r>
                      </w:p>
                    </w:tc>
                    <w:tc>
                      <w:tcPr>
                        <w:tcW w:w="1980" w:type="dxa"/>
                        <w:tcBorders>
                          <w:left w:val="single" w:color="FFFFFF" w:sz="2" w:space="0"/>
                          <w:bottom w:val="single" w:color="FFFFFF" w:sz="2" w:space="0"/>
                          <w:right w:val="single" w:color="FFFFFF" w:sz="2" w:space="0"/>
                        </w:tcBorders>
                        <w:vAlign w:val="top"/>
                      </w:tcPr>
                      <w:p w14:paraId="763025D1">
                        <w:pPr>
                          <w:pStyle w:val="6"/>
                          <w:spacing w:before="16" w:line="183" w:lineRule="auto"/>
                          <w:ind w:left="950"/>
                          <w:rPr>
                            <w:sz w:val="18"/>
                            <w:szCs w:val="18"/>
                          </w:rPr>
                        </w:pPr>
                        <w:r>
                          <w:rPr>
                            <w:sz w:val="18"/>
                            <w:szCs w:val="18"/>
                          </w:rPr>
                          <w:t>S</w:t>
                        </w:r>
                      </w:p>
                      <w:p w14:paraId="5B5EB1A0">
                        <w:pPr>
                          <w:pStyle w:val="6"/>
                          <w:spacing w:before="227" w:line="179" w:lineRule="auto"/>
                          <w:ind w:left="411"/>
                          <w:rPr>
                            <w:sz w:val="18"/>
                            <w:szCs w:val="18"/>
                          </w:rPr>
                        </w:pPr>
                        <w:r>
                          <w:rPr>
                            <w:spacing w:val="-1"/>
                            <w:sz w:val="18"/>
                            <w:szCs w:val="18"/>
                          </w:rPr>
                          <w:t>六月,平均3.02</w:t>
                        </w:r>
                      </w:p>
                    </w:tc>
                    <w:tc>
                      <w:tcPr>
                        <w:tcW w:w="1995" w:type="dxa"/>
                        <w:tcBorders>
                          <w:left w:val="single" w:color="FFFFFF" w:sz="2" w:space="0"/>
                          <w:bottom w:val="single" w:color="FFFFFF" w:sz="2" w:space="0"/>
                          <w:right w:val="single" w:color="FFFFFF" w:sz="2" w:space="0"/>
                        </w:tcBorders>
                        <w:vAlign w:val="top"/>
                      </w:tcPr>
                      <w:p w14:paraId="55DE83FD">
                        <w:pPr>
                          <w:pStyle w:val="6"/>
                          <w:spacing w:before="16" w:line="183" w:lineRule="auto"/>
                          <w:ind w:left="950"/>
                          <w:rPr>
                            <w:sz w:val="18"/>
                            <w:szCs w:val="18"/>
                          </w:rPr>
                        </w:pPr>
                        <w:r>
                          <w:rPr>
                            <w:sz w:val="18"/>
                            <w:szCs w:val="18"/>
                          </w:rPr>
                          <w:t>S</w:t>
                        </w:r>
                      </w:p>
                      <w:p w14:paraId="48E9B416">
                        <w:pPr>
                          <w:pStyle w:val="6"/>
                          <w:spacing w:before="227" w:line="179" w:lineRule="auto"/>
                          <w:ind w:left="409"/>
                          <w:rPr>
                            <w:sz w:val="18"/>
                            <w:szCs w:val="18"/>
                          </w:rPr>
                        </w:pPr>
                        <w:r>
                          <w:rPr>
                            <w:spacing w:val="-1"/>
                            <w:sz w:val="18"/>
                            <w:szCs w:val="18"/>
                          </w:rPr>
                          <w:t>七月,平均4.15</w:t>
                        </w:r>
                      </w:p>
                    </w:tc>
                    <w:tc>
                      <w:tcPr>
                        <w:tcW w:w="1980" w:type="dxa"/>
                        <w:tcBorders>
                          <w:left w:val="single" w:color="FFFFFF" w:sz="2" w:space="0"/>
                          <w:bottom w:val="single" w:color="FFFFFF" w:sz="2" w:space="0"/>
                        </w:tcBorders>
                        <w:vAlign w:val="top"/>
                      </w:tcPr>
                      <w:p w14:paraId="0A565EC1">
                        <w:pPr>
                          <w:pStyle w:val="6"/>
                          <w:spacing w:before="16" w:line="183" w:lineRule="auto"/>
                          <w:ind w:left="950"/>
                          <w:rPr>
                            <w:sz w:val="18"/>
                            <w:szCs w:val="18"/>
                          </w:rPr>
                        </w:pPr>
                        <w:r>
                          <w:rPr>
                            <w:sz w:val="18"/>
                            <w:szCs w:val="18"/>
                          </w:rPr>
                          <w:t>S</w:t>
                        </w:r>
                      </w:p>
                      <w:p w14:paraId="759615D7">
                        <w:pPr>
                          <w:pStyle w:val="6"/>
                          <w:spacing w:before="227" w:line="179" w:lineRule="auto"/>
                          <w:ind w:left="412"/>
                          <w:rPr>
                            <w:sz w:val="18"/>
                            <w:szCs w:val="18"/>
                          </w:rPr>
                        </w:pPr>
                        <w:r>
                          <w:rPr>
                            <w:spacing w:val="-2"/>
                            <w:sz w:val="18"/>
                            <w:szCs w:val="18"/>
                          </w:rPr>
                          <w:t>八月,平均4.35</w:t>
                        </w:r>
                      </w:p>
                    </w:tc>
                  </w:tr>
                  <w:tr w14:paraId="277FC0E0">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17" w:hRule="atLeast"/>
                    </w:trPr>
                    <w:tc>
                      <w:tcPr>
                        <w:tcW w:w="1979" w:type="dxa"/>
                        <w:tcBorders>
                          <w:top w:val="single" w:color="FFFFFF" w:sz="2" w:space="0"/>
                          <w:right w:val="single" w:color="FFFFFF" w:sz="2" w:space="0"/>
                        </w:tcBorders>
                        <w:vAlign w:val="top"/>
                      </w:tcPr>
                      <w:p w14:paraId="00BE80EC">
                        <w:pPr>
                          <w:pStyle w:val="6"/>
                          <w:spacing w:before="290" w:line="116" w:lineRule="exact"/>
                          <w:ind w:left="946"/>
                          <w:rPr>
                            <w:sz w:val="18"/>
                            <w:szCs w:val="18"/>
                          </w:rPr>
                        </w:pPr>
                        <w:r>
                          <w:rPr>
                            <w:position w:val="-3"/>
                            <w:sz w:val="18"/>
                            <w:szCs w:val="18"/>
                          </w:rPr>
                          <w:t>N</w:t>
                        </w:r>
                      </w:p>
                    </w:tc>
                    <w:tc>
                      <w:tcPr>
                        <w:tcW w:w="1980" w:type="dxa"/>
                        <w:vMerge w:val="restart"/>
                        <w:tcBorders>
                          <w:top w:val="single" w:color="FFFFFF" w:sz="2" w:space="0"/>
                          <w:left w:val="single" w:color="FFFFFF" w:sz="2" w:space="0"/>
                          <w:bottom w:val="nil"/>
                          <w:right w:val="single" w:color="FFFFFF" w:sz="2" w:space="0"/>
                        </w:tcBorders>
                        <w:vAlign w:val="top"/>
                      </w:tcPr>
                      <w:p w14:paraId="198540A8">
                        <w:pPr>
                          <w:pStyle w:val="6"/>
                          <w:spacing w:before="289" w:line="182" w:lineRule="auto"/>
                          <w:ind w:left="944"/>
                          <w:rPr>
                            <w:sz w:val="18"/>
                            <w:szCs w:val="18"/>
                          </w:rPr>
                        </w:pPr>
                        <w:r>
                          <w:rPr>
                            <w:sz w:val="18"/>
                            <w:szCs w:val="18"/>
                          </w:rPr>
                          <w:t>N</w:t>
                        </w:r>
                      </w:p>
                      <w:p w14:paraId="0E1E0861">
                        <w:pPr>
                          <w:spacing w:line="436" w:lineRule="auto"/>
                          <w:rPr>
                            <w:rFonts w:ascii="Arial"/>
                            <w:sz w:val="21"/>
                          </w:rPr>
                        </w:pPr>
                      </w:p>
                      <w:p w14:paraId="784953B4">
                        <w:pPr>
                          <w:pStyle w:val="6"/>
                          <w:spacing w:before="58" w:line="182" w:lineRule="auto"/>
                          <w:ind w:left="1562"/>
                          <w:rPr>
                            <w:sz w:val="18"/>
                            <w:szCs w:val="18"/>
                          </w:rPr>
                        </w:pPr>
                        <w:r>
                          <w:rPr>
                            <w:sz w:val="18"/>
                            <w:szCs w:val="18"/>
                          </w:rPr>
                          <w:t>E</w:t>
                        </w:r>
                      </w:p>
                      <w:p w14:paraId="0372B1C5">
                        <w:pPr>
                          <w:pStyle w:val="6"/>
                          <w:spacing w:before="286" w:line="174" w:lineRule="auto"/>
                          <w:ind w:left="1370"/>
                          <w:rPr>
                            <w:sz w:val="18"/>
                            <w:szCs w:val="18"/>
                          </w:rPr>
                        </w:pPr>
                        <w:r>
                          <w:rPr>
                            <w:spacing w:val="-4"/>
                            <w:sz w:val="18"/>
                            <w:szCs w:val="18"/>
                          </w:rPr>
                          <w:t>SE</w:t>
                        </w:r>
                      </w:p>
                    </w:tc>
                    <w:tc>
                      <w:tcPr>
                        <w:tcW w:w="1995" w:type="dxa"/>
                        <w:tcBorders>
                          <w:top w:val="single" w:color="FFFFFF" w:sz="2" w:space="0"/>
                          <w:left w:val="single" w:color="FFFFFF" w:sz="2" w:space="0"/>
                          <w:right w:val="single" w:color="FFFFFF" w:sz="2" w:space="0"/>
                        </w:tcBorders>
                        <w:vAlign w:val="top"/>
                      </w:tcPr>
                      <w:p w14:paraId="4ABF9B30">
                        <w:pPr>
                          <w:pStyle w:val="6"/>
                          <w:spacing w:before="290" w:line="116" w:lineRule="exact"/>
                          <w:ind w:left="944"/>
                          <w:rPr>
                            <w:sz w:val="18"/>
                            <w:szCs w:val="18"/>
                          </w:rPr>
                        </w:pPr>
                        <w:r>
                          <w:rPr>
                            <w:position w:val="-3"/>
                            <w:sz w:val="18"/>
                            <w:szCs w:val="18"/>
                          </w:rPr>
                          <w:t>N</w:t>
                        </w:r>
                      </w:p>
                    </w:tc>
                    <w:tc>
                      <w:tcPr>
                        <w:tcW w:w="1980" w:type="dxa"/>
                        <w:tcBorders>
                          <w:top w:val="single" w:color="FFFFFF" w:sz="2" w:space="0"/>
                          <w:left w:val="single" w:color="FFFFFF" w:sz="2" w:space="0"/>
                        </w:tcBorders>
                        <w:vAlign w:val="top"/>
                      </w:tcPr>
                      <w:p w14:paraId="2D290E12">
                        <w:pPr>
                          <w:pStyle w:val="6"/>
                          <w:spacing w:before="290" w:line="116" w:lineRule="exact"/>
                          <w:ind w:left="944"/>
                          <w:rPr>
                            <w:sz w:val="18"/>
                            <w:szCs w:val="18"/>
                          </w:rPr>
                        </w:pPr>
                        <w:r>
                          <w:rPr>
                            <w:position w:val="-3"/>
                            <w:sz w:val="18"/>
                            <w:szCs w:val="18"/>
                          </w:rPr>
                          <w:t>N</w:t>
                        </w:r>
                      </w:p>
                    </w:tc>
                  </w:tr>
                  <w:tr w14:paraId="106CB97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1191" w:hRule="atLeast"/>
                    </w:trPr>
                    <w:tc>
                      <w:tcPr>
                        <w:tcW w:w="1979" w:type="dxa"/>
                        <w:tcBorders>
                          <w:right w:val="single" w:color="FFFFFF" w:sz="2" w:space="0"/>
                        </w:tcBorders>
                        <w:vAlign w:val="top"/>
                      </w:tcPr>
                      <w:p w14:paraId="213BA60E">
                        <w:pPr>
                          <w:spacing w:line="243" w:lineRule="auto"/>
                          <w:rPr>
                            <w:rFonts w:ascii="Arial"/>
                            <w:sz w:val="21"/>
                          </w:rPr>
                        </w:pPr>
                      </w:p>
                      <w:p w14:paraId="2387C133">
                        <w:pPr>
                          <w:spacing w:line="243" w:lineRule="auto"/>
                          <w:rPr>
                            <w:rFonts w:ascii="Arial"/>
                            <w:sz w:val="21"/>
                          </w:rPr>
                        </w:pPr>
                      </w:p>
                      <w:p w14:paraId="44792A85">
                        <w:pPr>
                          <w:pStyle w:val="6"/>
                          <w:spacing w:before="59" w:line="184" w:lineRule="auto"/>
                          <w:ind w:left="331"/>
                          <w:rPr>
                            <w:sz w:val="18"/>
                            <w:szCs w:val="18"/>
                          </w:rPr>
                        </w:pPr>
                        <w:r>
                          <w:rPr>
                            <w:spacing w:val="-2"/>
                            <w:sz w:val="18"/>
                            <w:szCs w:val="18"/>
                          </w:rPr>
                          <w:t>W</w:t>
                        </w:r>
                        <w:r>
                          <w:rPr>
                            <w:spacing w:val="17"/>
                            <w:sz w:val="18"/>
                            <w:szCs w:val="18"/>
                          </w:rPr>
                          <w:t xml:space="preserve">   </w:t>
                        </w:r>
                        <w:r>
                          <w:rPr>
                            <w:position w:val="-2"/>
                            <w:sz w:val="18"/>
                            <w:szCs w:val="18"/>
                          </w:rPr>
                          <w:drawing>
                            <wp:inline distT="0" distB="0" distL="0" distR="0">
                              <wp:extent cx="161290" cy="66040"/>
                              <wp:effectExtent l="0" t="0" r="0" b="0"/>
                              <wp:docPr id="78" name="IM 78"/>
                              <wp:cNvGraphicFramePr/>
                              <a:graphic xmlns:a="http://schemas.openxmlformats.org/drawingml/2006/main">
                                <a:graphicData uri="http://schemas.openxmlformats.org/drawingml/2006/picture">
                                  <pic:pic xmlns:pic="http://schemas.openxmlformats.org/drawingml/2006/picture">
                                    <pic:nvPicPr>
                                      <pic:cNvPr id="78" name="IM 78"/>
                                      <pic:cNvPicPr/>
                                    </pic:nvPicPr>
                                    <pic:blipFill>
                                      <a:blip r:embed="rId617"/>
                                      <a:stretch>
                                        <a:fillRect/>
                                      </a:stretch>
                                    </pic:blipFill>
                                    <pic:spPr>
                                      <a:xfrm>
                                        <a:off x="0" y="0"/>
                                        <a:ext cx="161912" cy="66662"/>
                                      </a:xfrm>
                                      <a:prstGeom prst="rect">
                                        <a:avLst/>
                                      </a:prstGeom>
                                    </pic:spPr>
                                  </pic:pic>
                                </a:graphicData>
                              </a:graphic>
                            </wp:inline>
                          </w:drawing>
                        </w:r>
                      </w:p>
                      <w:p w14:paraId="47363177">
                        <w:pPr>
                          <w:pStyle w:val="6"/>
                          <w:spacing w:before="283" w:line="174" w:lineRule="auto"/>
                          <w:ind w:left="442"/>
                          <w:rPr>
                            <w:sz w:val="18"/>
                            <w:szCs w:val="18"/>
                          </w:rPr>
                        </w:pPr>
                        <w:r>
                          <w:rPr>
                            <w:spacing w:val="-4"/>
                            <w:sz w:val="18"/>
                            <w:szCs w:val="18"/>
                          </w:rPr>
                          <w:t>SW</w:t>
                        </w:r>
                      </w:p>
                    </w:tc>
                    <w:tc>
                      <w:tcPr>
                        <w:tcW w:w="1980" w:type="dxa"/>
                        <w:vMerge w:val="continue"/>
                        <w:tcBorders>
                          <w:top w:val="nil"/>
                          <w:left w:val="single" w:color="FFFFFF" w:sz="2" w:space="0"/>
                          <w:right w:val="single" w:color="FFFFFF" w:sz="2" w:space="0"/>
                        </w:tcBorders>
                        <w:vAlign w:val="top"/>
                      </w:tcPr>
                      <w:p w14:paraId="5992DB58">
                        <w:pPr>
                          <w:rPr>
                            <w:rFonts w:ascii="Arial"/>
                            <w:sz w:val="21"/>
                          </w:rPr>
                        </w:pPr>
                      </w:p>
                    </w:tc>
                    <w:tc>
                      <w:tcPr>
                        <w:tcW w:w="1995" w:type="dxa"/>
                        <w:tcBorders>
                          <w:left w:val="single" w:color="FFFFFF" w:sz="2" w:space="0"/>
                          <w:right w:val="single" w:color="FFFFFF" w:sz="2" w:space="0"/>
                        </w:tcBorders>
                        <w:vAlign w:val="top"/>
                      </w:tcPr>
                      <w:p w14:paraId="73C8E0D4">
                        <w:pPr>
                          <w:rPr>
                            <w:rFonts w:ascii="Arial"/>
                            <w:sz w:val="21"/>
                          </w:rPr>
                        </w:pPr>
                      </w:p>
                    </w:tc>
                    <w:tc>
                      <w:tcPr>
                        <w:tcW w:w="1980" w:type="dxa"/>
                        <w:tcBorders>
                          <w:left w:val="single" w:color="FFFFFF" w:sz="2" w:space="0"/>
                        </w:tcBorders>
                        <w:vAlign w:val="top"/>
                      </w:tcPr>
                      <w:p w14:paraId="324D8191">
                        <w:pPr>
                          <w:pStyle w:val="6"/>
                          <w:spacing w:before="67" w:line="182" w:lineRule="auto"/>
                          <w:ind w:left="434"/>
                          <w:rPr>
                            <w:sz w:val="18"/>
                            <w:szCs w:val="18"/>
                          </w:rPr>
                        </w:pPr>
                        <w:r>
                          <w:rPr>
                            <w:spacing w:val="-1"/>
                            <w:sz w:val="18"/>
                            <w:szCs w:val="18"/>
                          </w:rPr>
                          <w:t>NW</w:t>
                        </w:r>
                      </w:p>
                      <w:p w14:paraId="36FB5390">
                        <w:pPr>
                          <w:spacing w:line="242" w:lineRule="auto"/>
                          <w:rPr>
                            <w:rFonts w:ascii="Arial"/>
                            <w:sz w:val="21"/>
                          </w:rPr>
                        </w:pPr>
                      </w:p>
                      <w:p w14:paraId="56856334">
                        <w:pPr>
                          <w:pStyle w:val="6"/>
                          <w:spacing w:before="58" w:line="182" w:lineRule="auto"/>
                          <w:ind w:left="329"/>
                          <w:rPr>
                            <w:sz w:val="18"/>
                            <w:szCs w:val="18"/>
                          </w:rPr>
                        </w:pPr>
                        <w:r>
                          <w:rPr>
                            <w:sz w:val="18"/>
                            <w:szCs w:val="18"/>
                          </w:rPr>
                          <w:t>W</w:t>
                        </w:r>
                      </w:p>
                      <w:p w14:paraId="57257220">
                        <w:pPr>
                          <w:pStyle w:val="6"/>
                          <w:spacing w:before="286" w:line="174" w:lineRule="auto"/>
                          <w:ind w:left="440"/>
                          <w:rPr>
                            <w:sz w:val="18"/>
                            <w:szCs w:val="18"/>
                          </w:rPr>
                        </w:pPr>
                        <w:r>
                          <w:rPr>
                            <w:spacing w:val="-4"/>
                            <w:sz w:val="18"/>
                            <w:szCs w:val="18"/>
                          </w:rPr>
                          <w:t>SW</w:t>
                        </w:r>
                      </w:p>
                    </w:tc>
                  </w:tr>
                  <w:tr w14:paraId="08487DB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92" w:hRule="atLeast"/>
                    </w:trPr>
                    <w:tc>
                      <w:tcPr>
                        <w:tcW w:w="1979" w:type="dxa"/>
                        <w:tcBorders>
                          <w:bottom w:val="single" w:color="FFFFFF" w:sz="2" w:space="0"/>
                          <w:right w:val="single" w:color="FFFFFF" w:sz="2" w:space="0"/>
                        </w:tcBorders>
                        <w:vAlign w:val="top"/>
                      </w:tcPr>
                      <w:p w14:paraId="794D33D2">
                        <w:pPr>
                          <w:pStyle w:val="6"/>
                          <w:spacing w:before="15" w:line="183" w:lineRule="auto"/>
                          <w:ind w:left="952"/>
                          <w:rPr>
                            <w:sz w:val="18"/>
                            <w:szCs w:val="18"/>
                          </w:rPr>
                        </w:pPr>
                        <w:r>
                          <w:rPr>
                            <w:sz w:val="18"/>
                            <w:szCs w:val="18"/>
                          </w:rPr>
                          <w:t>S</w:t>
                        </w:r>
                      </w:p>
                      <w:p w14:paraId="63BC00B6">
                        <w:pPr>
                          <w:pStyle w:val="6"/>
                          <w:spacing w:before="227" w:line="164" w:lineRule="auto"/>
                          <w:ind w:left="416"/>
                          <w:rPr>
                            <w:sz w:val="18"/>
                            <w:szCs w:val="18"/>
                          </w:rPr>
                        </w:pPr>
                        <w:r>
                          <w:rPr>
                            <w:spacing w:val="-2"/>
                            <w:sz w:val="18"/>
                            <w:szCs w:val="18"/>
                          </w:rPr>
                          <w:t>九月,平均3.94</w:t>
                        </w:r>
                      </w:p>
                    </w:tc>
                    <w:tc>
                      <w:tcPr>
                        <w:tcW w:w="1980" w:type="dxa"/>
                        <w:tcBorders>
                          <w:left w:val="single" w:color="FFFFFF" w:sz="2" w:space="0"/>
                          <w:bottom w:val="single" w:color="FFFFFF" w:sz="2" w:space="0"/>
                          <w:right w:val="single" w:color="FFFFFF" w:sz="2" w:space="0"/>
                        </w:tcBorders>
                        <w:vAlign w:val="top"/>
                      </w:tcPr>
                      <w:p w14:paraId="4E428B9E">
                        <w:pPr>
                          <w:pStyle w:val="6"/>
                          <w:spacing w:before="15" w:line="183" w:lineRule="auto"/>
                          <w:ind w:left="950"/>
                          <w:rPr>
                            <w:sz w:val="18"/>
                            <w:szCs w:val="18"/>
                          </w:rPr>
                        </w:pPr>
                        <w:r>
                          <w:rPr>
                            <w:sz w:val="18"/>
                            <w:szCs w:val="18"/>
                          </w:rPr>
                          <w:t>S</w:t>
                        </w:r>
                      </w:p>
                      <w:p w14:paraId="1F5992AA">
                        <w:pPr>
                          <w:pStyle w:val="6"/>
                          <w:spacing w:before="227" w:line="164" w:lineRule="auto"/>
                          <w:ind w:left="410"/>
                          <w:rPr>
                            <w:sz w:val="18"/>
                            <w:szCs w:val="18"/>
                          </w:rPr>
                        </w:pPr>
                        <w:r>
                          <w:rPr>
                            <w:spacing w:val="-1"/>
                            <w:sz w:val="18"/>
                            <w:szCs w:val="18"/>
                          </w:rPr>
                          <w:t>十月,平均4.16</w:t>
                        </w:r>
                      </w:p>
                    </w:tc>
                    <w:tc>
                      <w:tcPr>
                        <w:tcW w:w="1995" w:type="dxa"/>
                        <w:tcBorders>
                          <w:left w:val="single" w:color="FFFFFF" w:sz="2" w:space="0"/>
                          <w:bottom w:val="single" w:color="FFFFFF" w:sz="2" w:space="0"/>
                          <w:right w:val="single" w:color="FFFFFF" w:sz="2" w:space="0"/>
                        </w:tcBorders>
                        <w:vAlign w:val="top"/>
                      </w:tcPr>
                      <w:p w14:paraId="1A108E2D">
                        <w:pPr>
                          <w:pStyle w:val="6"/>
                          <w:spacing w:before="15" w:line="183" w:lineRule="auto"/>
                          <w:ind w:left="950"/>
                          <w:rPr>
                            <w:sz w:val="18"/>
                            <w:szCs w:val="18"/>
                          </w:rPr>
                        </w:pPr>
                        <w:r>
                          <w:rPr>
                            <w:sz w:val="18"/>
                            <w:szCs w:val="18"/>
                          </w:rPr>
                          <w:t>S</w:t>
                        </w:r>
                      </w:p>
                      <w:p w14:paraId="451A7C58">
                        <w:pPr>
                          <w:pStyle w:val="6"/>
                          <w:spacing w:before="227" w:line="164" w:lineRule="auto"/>
                          <w:ind w:left="320"/>
                          <w:rPr>
                            <w:sz w:val="18"/>
                            <w:szCs w:val="18"/>
                          </w:rPr>
                        </w:pPr>
                        <w:r>
                          <w:rPr>
                            <w:spacing w:val="-1"/>
                            <w:sz w:val="18"/>
                            <w:szCs w:val="18"/>
                          </w:rPr>
                          <w:t>十一月,平均3.36</w:t>
                        </w:r>
                      </w:p>
                    </w:tc>
                    <w:tc>
                      <w:tcPr>
                        <w:tcW w:w="1980" w:type="dxa"/>
                        <w:tcBorders>
                          <w:left w:val="single" w:color="FFFFFF" w:sz="2" w:space="0"/>
                          <w:bottom w:val="single" w:color="FFFFFF" w:sz="2" w:space="0"/>
                        </w:tcBorders>
                        <w:vAlign w:val="top"/>
                      </w:tcPr>
                      <w:p w14:paraId="5CDF5C84">
                        <w:pPr>
                          <w:pStyle w:val="6"/>
                          <w:spacing w:before="15" w:line="183" w:lineRule="auto"/>
                          <w:ind w:left="950"/>
                          <w:rPr>
                            <w:sz w:val="18"/>
                            <w:szCs w:val="18"/>
                          </w:rPr>
                        </w:pPr>
                        <w:r>
                          <w:rPr>
                            <w:sz w:val="18"/>
                            <w:szCs w:val="18"/>
                          </w:rPr>
                          <w:t>S</w:t>
                        </w:r>
                      </w:p>
                      <w:p w14:paraId="77942912">
                        <w:pPr>
                          <w:pStyle w:val="6"/>
                          <w:spacing w:before="227" w:line="164" w:lineRule="auto"/>
                          <w:ind w:left="320"/>
                          <w:rPr>
                            <w:sz w:val="18"/>
                            <w:szCs w:val="18"/>
                          </w:rPr>
                        </w:pPr>
                        <w:r>
                          <w:rPr>
                            <w:spacing w:val="-1"/>
                            <w:sz w:val="18"/>
                            <w:szCs w:val="18"/>
                          </w:rPr>
                          <w:t>十二月,平均3.33</w:t>
                        </w:r>
                      </w:p>
                    </w:tc>
                  </w:tr>
                  <w:tr w14:paraId="16EE73B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17" w:hRule="atLeast"/>
                    </w:trPr>
                    <w:tc>
                      <w:tcPr>
                        <w:tcW w:w="1979" w:type="dxa"/>
                        <w:vMerge w:val="restart"/>
                        <w:tcBorders>
                          <w:top w:val="single" w:color="FFFFFF" w:sz="2" w:space="0"/>
                          <w:bottom w:val="nil"/>
                          <w:right w:val="single" w:color="FFFFFF" w:sz="2" w:space="0"/>
                        </w:tcBorders>
                        <w:vAlign w:val="top"/>
                      </w:tcPr>
                      <w:p w14:paraId="09919AD4">
                        <w:pPr>
                          <w:pStyle w:val="6"/>
                          <w:spacing w:before="289" w:line="182" w:lineRule="auto"/>
                          <w:ind w:left="946"/>
                          <w:rPr>
                            <w:sz w:val="18"/>
                            <w:szCs w:val="18"/>
                          </w:rPr>
                        </w:pPr>
                        <w:r>
                          <w:rPr>
                            <w:sz w:val="18"/>
                            <w:szCs w:val="18"/>
                          </w:rPr>
                          <w:t>N</w:t>
                        </w:r>
                      </w:p>
                      <w:p w14:paraId="7D3F5E5A">
                        <w:pPr>
                          <w:pStyle w:val="6"/>
                          <w:spacing w:before="17" w:line="182" w:lineRule="auto"/>
                          <w:ind w:left="436"/>
                          <w:rPr>
                            <w:sz w:val="18"/>
                            <w:szCs w:val="18"/>
                          </w:rPr>
                        </w:pPr>
                        <w:r>
                          <w:rPr>
                            <w:spacing w:val="-1"/>
                            <w:sz w:val="18"/>
                            <w:szCs w:val="18"/>
                          </w:rPr>
                          <w:t>NW</w:t>
                        </w:r>
                      </w:p>
                      <w:p w14:paraId="6368BD64">
                        <w:pPr>
                          <w:pStyle w:val="6"/>
                          <w:spacing w:before="287" w:line="182" w:lineRule="auto"/>
                          <w:ind w:left="1564"/>
                          <w:rPr>
                            <w:sz w:val="18"/>
                            <w:szCs w:val="18"/>
                          </w:rPr>
                        </w:pPr>
                        <w:r>
                          <w:rPr>
                            <w:sz w:val="18"/>
                            <w:szCs w:val="18"/>
                          </w:rPr>
                          <w:t>E</w:t>
                        </w:r>
                      </w:p>
                      <w:p w14:paraId="5F77F984">
                        <w:pPr>
                          <w:spacing w:line="241" w:lineRule="auto"/>
                          <w:rPr>
                            <w:rFonts w:ascii="Arial"/>
                            <w:sz w:val="21"/>
                          </w:rPr>
                        </w:pPr>
                      </w:p>
                      <w:p w14:paraId="246BD756">
                        <w:pPr>
                          <w:pStyle w:val="6"/>
                          <w:spacing w:before="58" w:line="174" w:lineRule="auto"/>
                          <w:ind w:left="442"/>
                          <w:rPr>
                            <w:sz w:val="18"/>
                            <w:szCs w:val="18"/>
                          </w:rPr>
                        </w:pPr>
                        <w:r>
                          <w:rPr>
                            <w:spacing w:val="-4"/>
                            <w:sz w:val="18"/>
                            <w:szCs w:val="18"/>
                          </w:rPr>
                          <w:t>SW</w:t>
                        </w:r>
                      </w:p>
                    </w:tc>
                    <w:tc>
                      <w:tcPr>
                        <w:tcW w:w="1980" w:type="dxa"/>
                        <w:tcBorders>
                          <w:top w:val="dashed" w:color="969696" w:sz="2" w:space="0"/>
                          <w:left w:val="single" w:color="969696" w:sz="2" w:space="0"/>
                          <w:right w:val="dashed" w:color="969696" w:sz="2" w:space="0"/>
                        </w:tcBorders>
                        <w:vAlign w:val="top"/>
                      </w:tcPr>
                      <w:p w14:paraId="57D8E9E9">
                        <w:pPr>
                          <w:pStyle w:val="6"/>
                          <w:spacing w:before="289" w:line="118" w:lineRule="exact"/>
                          <w:ind w:left="944"/>
                          <w:rPr>
                            <w:sz w:val="18"/>
                            <w:szCs w:val="18"/>
                          </w:rPr>
                        </w:pPr>
                        <w:r>
                          <w:rPr>
                            <w:position w:val="-3"/>
                            <w:sz w:val="18"/>
                            <w:szCs w:val="18"/>
                          </w:rPr>
                          <w:t>N</w:t>
                        </w:r>
                      </w:p>
                    </w:tc>
                    <w:tc>
                      <w:tcPr>
                        <w:tcW w:w="1995" w:type="dxa"/>
                        <w:tcBorders>
                          <w:top w:val="dashed" w:color="969696" w:sz="2" w:space="0"/>
                          <w:left w:val="single" w:color="969696" w:sz="2" w:space="0"/>
                          <w:right w:val="dashed" w:color="969696" w:sz="2" w:space="0"/>
                        </w:tcBorders>
                        <w:vAlign w:val="top"/>
                      </w:tcPr>
                      <w:p w14:paraId="59292E68">
                        <w:pPr>
                          <w:pStyle w:val="6"/>
                          <w:spacing w:before="289" w:line="118" w:lineRule="exact"/>
                          <w:ind w:left="944"/>
                          <w:rPr>
                            <w:sz w:val="18"/>
                            <w:szCs w:val="18"/>
                          </w:rPr>
                        </w:pPr>
                        <w:r>
                          <w:rPr>
                            <w:position w:val="-3"/>
                            <w:sz w:val="18"/>
                            <w:szCs w:val="18"/>
                          </w:rPr>
                          <w:t>N</w:t>
                        </w:r>
                      </w:p>
                    </w:tc>
                    <w:tc>
                      <w:tcPr>
                        <w:tcW w:w="1980" w:type="dxa"/>
                        <w:tcBorders>
                          <w:top w:val="single" w:color="FFFFFF" w:sz="2" w:space="0"/>
                          <w:left w:val="single" w:color="FFFFFF" w:sz="2" w:space="0"/>
                        </w:tcBorders>
                        <w:vAlign w:val="top"/>
                      </w:tcPr>
                      <w:p w14:paraId="603B93BB">
                        <w:pPr>
                          <w:pStyle w:val="6"/>
                          <w:spacing w:before="289" w:line="118" w:lineRule="exact"/>
                          <w:ind w:left="944"/>
                          <w:rPr>
                            <w:sz w:val="18"/>
                            <w:szCs w:val="18"/>
                          </w:rPr>
                        </w:pPr>
                        <w:r>
                          <w:rPr>
                            <w:position w:val="-3"/>
                            <w:sz w:val="18"/>
                            <w:szCs w:val="18"/>
                          </w:rPr>
                          <w:t>N</w:t>
                        </w:r>
                      </w:p>
                    </w:tc>
                  </w:tr>
                  <w:tr w14:paraId="33AA2705">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1191" w:hRule="atLeast"/>
                    </w:trPr>
                    <w:tc>
                      <w:tcPr>
                        <w:tcW w:w="1979" w:type="dxa"/>
                        <w:vMerge w:val="continue"/>
                        <w:tcBorders>
                          <w:top w:val="nil"/>
                          <w:right w:val="single" w:color="FFFFFF" w:sz="2" w:space="0"/>
                        </w:tcBorders>
                        <w:vAlign w:val="top"/>
                      </w:tcPr>
                      <w:p w14:paraId="0221C5F0">
                        <w:pPr>
                          <w:rPr>
                            <w:rFonts w:ascii="Arial"/>
                            <w:sz w:val="21"/>
                          </w:rPr>
                        </w:pPr>
                      </w:p>
                    </w:tc>
                    <w:tc>
                      <w:tcPr>
                        <w:tcW w:w="1980" w:type="dxa"/>
                        <w:tcBorders>
                          <w:left w:val="single" w:color="969696" w:sz="2" w:space="0"/>
                          <w:right w:val="dashed" w:color="969696" w:sz="2" w:space="0"/>
                        </w:tcBorders>
                        <w:vAlign w:val="top"/>
                      </w:tcPr>
                      <w:p w14:paraId="01DE7A93">
                        <w:pPr>
                          <w:spacing w:line="471" w:lineRule="auto"/>
                          <w:rPr>
                            <w:rFonts w:ascii="Arial"/>
                            <w:sz w:val="21"/>
                          </w:rPr>
                        </w:pPr>
                      </w:p>
                      <w:p w14:paraId="5AC7FE32">
                        <w:pPr>
                          <w:pStyle w:val="6"/>
                          <w:spacing w:before="58" w:line="182" w:lineRule="auto"/>
                          <w:ind w:left="329"/>
                          <w:rPr>
                            <w:sz w:val="18"/>
                            <w:szCs w:val="18"/>
                          </w:rPr>
                        </w:pPr>
                        <w:r>
                          <w:rPr>
                            <w:sz w:val="18"/>
                            <w:szCs w:val="18"/>
                          </w:rPr>
                          <w:t>W</w:t>
                        </w:r>
                      </w:p>
                      <w:p w14:paraId="496A1ECA">
                        <w:pPr>
                          <w:spacing w:line="241" w:lineRule="auto"/>
                          <w:rPr>
                            <w:rFonts w:ascii="Arial"/>
                            <w:sz w:val="21"/>
                          </w:rPr>
                        </w:pPr>
                      </w:p>
                      <w:p w14:paraId="6E3FEB52">
                        <w:pPr>
                          <w:pStyle w:val="6"/>
                          <w:spacing w:before="58" w:line="174" w:lineRule="auto"/>
                          <w:ind w:left="440"/>
                          <w:rPr>
                            <w:sz w:val="18"/>
                            <w:szCs w:val="18"/>
                          </w:rPr>
                        </w:pPr>
                        <w:r>
                          <w:rPr>
                            <w:spacing w:val="-4"/>
                            <w:sz w:val="18"/>
                            <w:szCs w:val="18"/>
                          </w:rPr>
                          <w:t>SW</w:t>
                        </w:r>
                      </w:p>
                    </w:tc>
                    <w:tc>
                      <w:tcPr>
                        <w:tcW w:w="1995" w:type="dxa"/>
                        <w:tcBorders>
                          <w:left w:val="single" w:color="969696" w:sz="2" w:space="0"/>
                          <w:right w:val="dashed" w:color="969696" w:sz="2" w:space="0"/>
                        </w:tcBorders>
                        <w:vAlign w:val="top"/>
                      </w:tcPr>
                      <w:p w14:paraId="15F84E9E">
                        <w:pPr>
                          <w:rPr>
                            <w:rFonts w:ascii="Arial"/>
                            <w:sz w:val="21"/>
                          </w:rPr>
                        </w:pPr>
                      </w:p>
                    </w:tc>
                    <w:tc>
                      <w:tcPr>
                        <w:tcW w:w="1980" w:type="dxa"/>
                        <w:tcBorders>
                          <w:left w:val="single" w:color="FFFFFF" w:sz="2" w:space="0"/>
                        </w:tcBorders>
                        <w:vAlign w:val="top"/>
                      </w:tcPr>
                      <w:p w14:paraId="0D852742">
                        <w:pPr>
                          <w:rPr>
                            <w:rFonts w:ascii="Arial"/>
                            <w:sz w:val="21"/>
                          </w:rPr>
                        </w:pPr>
                      </w:p>
                    </w:tc>
                  </w:tr>
                  <w:tr w14:paraId="558E874A">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07" w:hRule="atLeast"/>
                    </w:trPr>
                    <w:tc>
                      <w:tcPr>
                        <w:tcW w:w="1979" w:type="dxa"/>
                        <w:tcBorders>
                          <w:bottom w:val="single" w:color="FFFFFF" w:sz="2" w:space="0"/>
                          <w:right w:val="single" w:color="FFFFFF" w:sz="2" w:space="0"/>
                        </w:tcBorders>
                        <w:vAlign w:val="top"/>
                      </w:tcPr>
                      <w:p w14:paraId="0DCB7D7C">
                        <w:pPr>
                          <w:pStyle w:val="6"/>
                          <w:spacing w:before="15" w:line="183" w:lineRule="auto"/>
                          <w:ind w:left="952"/>
                          <w:rPr>
                            <w:sz w:val="18"/>
                            <w:szCs w:val="18"/>
                          </w:rPr>
                        </w:pPr>
                        <w:r>
                          <w:rPr>
                            <w:sz w:val="18"/>
                            <w:szCs w:val="18"/>
                          </w:rPr>
                          <w:t>S</w:t>
                        </w:r>
                      </w:p>
                      <w:p w14:paraId="3BFE4D7D">
                        <w:pPr>
                          <w:pStyle w:val="6"/>
                          <w:spacing w:before="227" w:line="180" w:lineRule="auto"/>
                          <w:ind w:left="411"/>
                          <w:rPr>
                            <w:sz w:val="18"/>
                            <w:szCs w:val="18"/>
                          </w:rPr>
                        </w:pPr>
                        <w:r>
                          <w:rPr>
                            <w:spacing w:val="-1"/>
                            <w:sz w:val="18"/>
                            <w:szCs w:val="18"/>
                          </w:rPr>
                          <w:t>全年,平均3.37</w:t>
                        </w:r>
                      </w:p>
                    </w:tc>
                    <w:tc>
                      <w:tcPr>
                        <w:tcW w:w="1980" w:type="dxa"/>
                        <w:tcBorders>
                          <w:left w:val="single" w:color="969696" w:sz="2" w:space="0"/>
                          <w:bottom w:val="dashed" w:color="969696" w:sz="2" w:space="0"/>
                          <w:right w:val="dashed" w:color="969696" w:sz="2" w:space="0"/>
                        </w:tcBorders>
                        <w:vAlign w:val="top"/>
                      </w:tcPr>
                      <w:p w14:paraId="6DFFC3CF">
                        <w:pPr>
                          <w:pStyle w:val="6"/>
                          <w:spacing w:before="15" w:line="183" w:lineRule="auto"/>
                          <w:ind w:left="950"/>
                          <w:rPr>
                            <w:sz w:val="18"/>
                            <w:szCs w:val="18"/>
                          </w:rPr>
                        </w:pPr>
                        <w:r>
                          <w:rPr>
                            <w:sz w:val="18"/>
                            <w:szCs w:val="18"/>
                          </w:rPr>
                          <w:t>S</w:t>
                        </w:r>
                      </w:p>
                      <w:p w14:paraId="7D42F2E1">
                        <w:pPr>
                          <w:pStyle w:val="6"/>
                          <w:spacing w:before="227" w:line="180" w:lineRule="auto"/>
                          <w:ind w:left="409"/>
                          <w:rPr>
                            <w:sz w:val="18"/>
                            <w:szCs w:val="18"/>
                          </w:rPr>
                        </w:pPr>
                        <w:r>
                          <w:rPr>
                            <w:spacing w:val="-1"/>
                            <w:sz w:val="18"/>
                            <w:szCs w:val="18"/>
                          </w:rPr>
                          <w:t>春季,平均2.84</w:t>
                        </w:r>
                      </w:p>
                    </w:tc>
                    <w:tc>
                      <w:tcPr>
                        <w:tcW w:w="1995" w:type="dxa"/>
                        <w:tcBorders>
                          <w:left w:val="single" w:color="969696" w:sz="2" w:space="0"/>
                          <w:bottom w:val="dashed" w:color="969696" w:sz="2" w:space="0"/>
                          <w:right w:val="dashed" w:color="969696" w:sz="2" w:space="0"/>
                        </w:tcBorders>
                        <w:vAlign w:val="top"/>
                      </w:tcPr>
                      <w:p w14:paraId="151F1F58">
                        <w:pPr>
                          <w:pStyle w:val="6"/>
                          <w:spacing w:before="15" w:line="183" w:lineRule="auto"/>
                          <w:ind w:left="950"/>
                          <w:rPr>
                            <w:sz w:val="18"/>
                            <w:szCs w:val="18"/>
                          </w:rPr>
                        </w:pPr>
                        <w:r>
                          <w:rPr>
                            <w:sz w:val="18"/>
                            <w:szCs w:val="18"/>
                          </w:rPr>
                          <w:t>S</w:t>
                        </w:r>
                      </w:p>
                      <w:p w14:paraId="4214F7FB">
                        <w:pPr>
                          <w:pStyle w:val="6"/>
                          <w:spacing w:before="227" w:line="180" w:lineRule="auto"/>
                          <w:ind w:left="409"/>
                          <w:rPr>
                            <w:sz w:val="18"/>
                            <w:szCs w:val="18"/>
                          </w:rPr>
                        </w:pPr>
                        <w:r>
                          <w:rPr>
                            <w:spacing w:val="-1"/>
                            <w:sz w:val="18"/>
                            <w:szCs w:val="18"/>
                          </w:rPr>
                          <w:t>夏季,平均3.68</w:t>
                        </w:r>
                      </w:p>
                    </w:tc>
                    <w:tc>
                      <w:tcPr>
                        <w:tcW w:w="1980" w:type="dxa"/>
                        <w:tcBorders>
                          <w:left w:val="single" w:color="FFFFFF" w:sz="2" w:space="0"/>
                          <w:bottom w:val="single" w:color="FFFFFF" w:sz="2" w:space="0"/>
                        </w:tcBorders>
                        <w:vAlign w:val="top"/>
                      </w:tcPr>
                      <w:p w14:paraId="389D8634">
                        <w:pPr>
                          <w:pStyle w:val="6"/>
                          <w:spacing w:before="15" w:line="183" w:lineRule="auto"/>
                          <w:ind w:left="950"/>
                          <w:rPr>
                            <w:sz w:val="18"/>
                            <w:szCs w:val="18"/>
                          </w:rPr>
                        </w:pPr>
                        <w:r>
                          <w:rPr>
                            <w:sz w:val="18"/>
                            <w:szCs w:val="18"/>
                          </w:rPr>
                          <w:t>S</w:t>
                        </w:r>
                      </w:p>
                      <w:p w14:paraId="259ECDD9">
                        <w:pPr>
                          <w:pStyle w:val="6"/>
                          <w:spacing w:before="227" w:line="180" w:lineRule="auto"/>
                          <w:ind w:left="411"/>
                          <w:rPr>
                            <w:sz w:val="18"/>
                            <w:szCs w:val="18"/>
                          </w:rPr>
                        </w:pPr>
                        <w:r>
                          <w:rPr>
                            <w:spacing w:val="-1"/>
                            <w:sz w:val="18"/>
                            <w:szCs w:val="18"/>
                          </w:rPr>
                          <w:t>秋季,平均3.70</w:t>
                        </w:r>
                      </w:p>
                    </w:tc>
                  </w:tr>
                  <w:tr w14:paraId="100661C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13" w:hRule="atLeast"/>
                    </w:trPr>
                    <w:tc>
                      <w:tcPr>
                        <w:tcW w:w="1979" w:type="dxa"/>
                        <w:vMerge w:val="restart"/>
                        <w:tcBorders>
                          <w:top w:val="dashed" w:color="969696" w:sz="2" w:space="0"/>
                          <w:bottom w:val="nil"/>
                          <w:right w:val="dashed" w:color="969696" w:sz="2" w:space="0"/>
                        </w:tcBorders>
                        <w:vAlign w:val="top"/>
                      </w:tcPr>
                      <w:p w14:paraId="64617E32">
                        <w:pPr>
                          <w:pStyle w:val="6"/>
                          <w:spacing w:before="289" w:line="182" w:lineRule="auto"/>
                          <w:ind w:left="946"/>
                          <w:rPr>
                            <w:sz w:val="18"/>
                            <w:szCs w:val="18"/>
                          </w:rPr>
                        </w:pPr>
                        <w:r>
                          <w:rPr>
                            <w:sz w:val="18"/>
                            <w:szCs w:val="18"/>
                          </w:rPr>
                          <w:t>N</w:t>
                        </w:r>
                      </w:p>
                      <w:p w14:paraId="6BC0988E">
                        <w:pPr>
                          <w:pStyle w:val="6"/>
                          <w:spacing w:before="17" w:line="182" w:lineRule="auto"/>
                          <w:ind w:left="1366"/>
                          <w:rPr>
                            <w:sz w:val="18"/>
                            <w:szCs w:val="18"/>
                          </w:rPr>
                        </w:pPr>
                        <w:r>
                          <w:rPr>
                            <w:spacing w:val="-1"/>
                            <w:sz w:val="18"/>
                            <w:szCs w:val="18"/>
                          </w:rPr>
                          <w:t>NE</w:t>
                        </w:r>
                      </w:p>
                      <w:p w14:paraId="5B30BFDB">
                        <w:pPr>
                          <w:pStyle w:val="6"/>
                          <w:spacing w:before="287" w:line="182" w:lineRule="auto"/>
                          <w:ind w:left="1564"/>
                          <w:rPr>
                            <w:sz w:val="18"/>
                            <w:szCs w:val="18"/>
                          </w:rPr>
                        </w:pPr>
                        <w:r>
                          <w:rPr>
                            <w:sz w:val="18"/>
                            <w:szCs w:val="18"/>
                          </w:rPr>
                          <w:t>E</w:t>
                        </w:r>
                      </w:p>
                      <w:p w14:paraId="0D00706C">
                        <w:pPr>
                          <w:spacing w:line="241" w:lineRule="auto"/>
                          <w:rPr>
                            <w:rFonts w:ascii="Arial"/>
                            <w:sz w:val="21"/>
                          </w:rPr>
                        </w:pPr>
                      </w:p>
                      <w:p w14:paraId="3BC06BC1">
                        <w:pPr>
                          <w:pStyle w:val="6"/>
                          <w:spacing w:before="59" w:line="173" w:lineRule="auto"/>
                          <w:ind w:left="1372"/>
                          <w:rPr>
                            <w:sz w:val="18"/>
                            <w:szCs w:val="18"/>
                          </w:rPr>
                        </w:pPr>
                        <w:r>
                          <w:rPr>
                            <w:spacing w:val="-4"/>
                            <w:sz w:val="18"/>
                            <w:szCs w:val="18"/>
                          </w:rPr>
                          <w:t>SE</w:t>
                        </w:r>
                      </w:p>
                    </w:tc>
                    <w:tc>
                      <w:tcPr>
                        <w:tcW w:w="1980" w:type="dxa"/>
                        <w:vMerge w:val="restart"/>
                        <w:tcBorders>
                          <w:top w:val="dashed" w:color="969696" w:sz="2" w:space="0"/>
                          <w:left w:val="dashed" w:color="969696" w:sz="2" w:space="0"/>
                          <w:bottom w:val="nil"/>
                          <w:right w:val="dashed" w:color="969696" w:sz="2" w:space="0"/>
                        </w:tcBorders>
                        <w:vAlign w:val="top"/>
                      </w:tcPr>
                      <w:p w14:paraId="351481FF">
                        <w:pPr>
                          <w:rPr>
                            <w:rFonts w:ascii="Arial"/>
                            <w:sz w:val="21"/>
                          </w:rPr>
                        </w:pPr>
                      </w:p>
                    </w:tc>
                    <w:tc>
                      <w:tcPr>
                        <w:tcW w:w="1995" w:type="dxa"/>
                        <w:vMerge w:val="restart"/>
                        <w:tcBorders>
                          <w:top w:val="dashed" w:color="969696" w:sz="2" w:space="0"/>
                          <w:left w:val="dashed" w:color="969696" w:sz="2" w:space="0"/>
                          <w:bottom w:val="nil"/>
                          <w:right w:val="dashed" w:color="969696" w:sz="2" w:space="0"/>
                        </w:tcBorders>
                        <w:vAlign w:val="top"/>
                      </w:tcPr>
                      <w:p w14:paraId="1D716E22">
                        <w:pPr>
                          <w:rPr>
                            <w:rFonts w:ascii="Arial"/>
                            <w:sz w:val="21"/>
                          </w:rPr>
                        </w:pPr>
                      </w:p>
                    </w:tc>
                    <w:tc>
                      <w:tcPr>
                        <w:tcW w:w="1980" w:type="dxa"/>
                        <w:tcBorders>
                          <w:top w:val="dashed" w:color="969696" w:sz="2" w:space="0"/>
                          <w:left w:val="dashed" w:color="969696" w:sz="2" w:space="0"/>
                        </w:tcBorders>
                        <w:vAlign w:val="top"/>
                      </w:tcPr>
                      <w:p w14:paraId="51638409">
                        <w:pPr>
                          <w:pStyle w:val="6"/>
                          <w:spacing w:before="289" w:line="113" w:lineRule="exact"/>
                          <w:ind w:left="944"/>
                          <w:rPr>
                            <w:sz w:val="18"/>
                            <w:szCs w:val="18"/>
                          </w:rPr>
                        </w:pPr>
                        <w:r>
                          <w:rPr>
                            <w:position w:val="-3"/>
                            <w:sz w:val="18"/>
                            <w:szCs w:val="18"/>
                          </w:rPr>
                          <w:t>N</w:t>
                        </w:r>
                      </w:p>
                    </w:tc>
                  </w:tr>
                  <w:tr w14:paraId="6D29D23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1194" w:hRule="atLeast"/>
                    </w:trPr>
                    <w:tc>
                      <w:tcPr>
                        <w:tcW w:w="1979" w:type="dxa"/>
                        <w:vMerge w:val="continue"/>
                        <w:tcBorders>
                          <w:top w:val="nil"/>
                          <w:right w:val="dashed" w:color="969696" w:sz="2" w:space="0"/>
                        </w:tcBorders>
                        <w:vAlign w:val="top"/>
                      </w:tcPr>
                      <w:p w14:paraId="13A0DA72">
                        <w:pPr>
                          <w:rPr>
                            <w:rFonts w:ascii="Arial"/>
                            <w:sz w:val="21"/>
                          </w:rPr>
                        </w:pPr>
                      </w:p>
                    </w:tc>
                    <w:tc>
                      <w:tcPr>
                        <w:tcW w:w="1980" w:type="dxa"/>
                        <w:vMerge w:val="continue"/>
                        <w:tcBorders>
                          <w:top w:val="nil"/>
                          <w:left w:val="dashed" w:color="969696" w:sz="2" w:space="0"/>
                          <w:bottom w:val="nil"/>
                          <w:right w:val="dashed" w:color="969696" w:sz="2" w:space="0"/>
                        </w:tcBorders>
                        <w:vAlign w:val="top"/>
                      </w:tcPr>
                      <w:p w14:paraId="0F05EB2F">
                        <w:pPr>
                          <w:rPr>
                            <w:rFonts w:ascii="Arial"/>
                            <w:sz w:val="21"/>
                          </w:rPr>
                        </w:pPr>
                      </w:p>
                    </w:tc>
                    <w:tc>
                      <w:tcPr>
                        <w:tcW w:w="1995" w:type="dxa"/>
                        <w:vMerge w:val="continue"/>
                        <w:tcBorders>
                          <w:top w:val="nil"/>
                          <w:left w:val="dashed" w:color="969696" w:sz="2" w:space="0"/>
                          <w:bottom w:val="nil"/>
                          <w:right w:val="dashed" w:color="969696" w:sz="2" w:space="0"/>
                        </w:tcBorders>
                        <w:vAlign w:val="top"/>
                      </w:tcPr>
                      <w:p w14:paraId="1692C574">
                        <w:pPr>
                          <w:rPr>
                            <w:rFonts w:ascii="Arial"/>
                            <w:sz w:val="21"/>
                          </w:rPr>
                        </w:pPr>
                      </w:p>
                    </w:tc>
                    <w:tc>
                      <w:tcPr>
                        <w:tcW w:w="1980" w:type="dxa"/>
                        <w:tcBorders>
                          <w:left w:val="dashed" w:color="969696" w:sz="2" w:space="0"/>
                        </w:tcBorders>
                        <w:vAlign w:val="top"/>
                      </w:tcPr>
                      <w:p w14:paraId="7FD6932F">
                        <w:pPr>
                          <w:rPr>
                            <w:rFonts w:ascii="Arial"/>
                            <w:sz w:val="21"/>
                          </w:rPr>
                        </w:pPr>
                      </w:p>
                    </w:tc>
                  </w:tr>
                  <w:tr w14:paraId="7A89C29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02" w:hRule="atLeast"/>
                    </w:trPr>
                    <w:tc>
                      <w:tcPr>
                        <w:tcW w:w="1979" w:type="dxa"/>
                        <w:tcBorders>
                          <w:right w:val="dashed" w:color="969696" w:sz="2" w:space="0"/>
                        </w:tcBorders>
                        <w:vAlign w:val="top"/>
                      </w:tcPr>
                      <w:p w14:paraId="4F4914EE">
                        <w:pPr>
                          <w:pStyle w:val="6"/>
                          <w:spacing w:before="15" w:line="183" w:lineRule="auto"/>
                          <w:ind w:left="952"/>
                          <w:rPr>
                            <w:sz w:val="18"/>
                            <w:szCs w:val="18"/>
                          </w:rPr>
                        </w:pPr>
                        <w:r>
                          <w:rPr>
                            <w:sz w:val="18"/>
                            <w:szCs w:val="18"/>
                          </w:rPr>
                          <w:t>S</w:t>
                        </w:r>
                      </w:p>
                      <w:p w14:paraId="02547E7F">
                        <w:pPr>
                          <w:pStyle w:val="6"/>
                          <w:spacing w:before="227" w:line="174" w:lineRule="auto"/>
                          <w:ind w:left="416"/>
                          <w:rPr>
                            <w:sz w:val="18"/>
                            <w:szCs w:val="18"/>
                          </w:rPr>
                        </w:pPr>
                        <w:r>
                          <w:rPr>
                            <w:spacing w:val="-2"/>
                            <w:sz w:val="18"/>
                            <w:szCs w:val="18"/>
                          </w:rPr>
                          <w:t>冬季,平均3.53</w:t>
                        </w:r>
                      </w:p>
                    </w:tc>
                    <w:tc>
                      <w:tcPr>
                        <w:tcW w:w="1980" w:type="dxa"/>
                        <w:vMerge w:val="continue"/>
                        <w:tcBorders>
                          <w:top w:val="nil"/>
                          <w:left w:val="dashed" w:color="969696" w:sz="2" w:space="0"/>
                          <w:right w:val="dashed" w:color="969696" w:sz="2" w:space="0"/>
                        </w:tcBorders>
                        <w:vAlign w:val="top"/>
                      </w:tcPr>
                      <w:p w14:paraId="02953078">
                        <w:pPr>
                          <w:rPr>
                            <w:rFonts w:ascii="Arial"/>
                            <w:sz w:val="21"/>
                          </w:rPr>
                        </w:pPr>
                      </w:p>
                    </w:tc>
                    <w:tc>
                      <w:tcPr>
                        <w:tcW w:w="1995" w:type="dxa"/>
                        <w:vMerge w:val="continue"/>
                        <w:tcBorders>
                          <w:top w:val="nil"/>
                          <w:left w:val="dashed" w:color="969696" w:sz="2" w:space="0"/>
                          <w:right w:val="dashed" w:color="969696" w:sz="2" w:space="0"/>
                        </w:tcBorders>
                        <w:vAlign w:val="top"/>
                      </w:tcPr>
                      <w:p w14:paraId="7B854AC2">
                        <w:pPr>
                          <w:rPr>
                            <w:rFonts w:ascii="Arial"/>
                            <w:sz w:val="21"/>
                          </w:rPr>
                        </w:pPr>
                      </w:p>
                    </w:tc>
                    <w:tc>
                      <w:tcPr>
                        <w:tcW w:w="1980" w:type="dxa"/>
                        <w:tcBorders>
                          <w:left w:val="dashed" w:color="969696" w:sz="2" w:space="0"/>
                        </w:tcBorders>
                        <w:vAlign w:val="top"/>
                      </w:tcPr>
                      <w:p w14:paraId="03BF6F60">
                        <w:pPr>
                          <w:pStyle w:val="6"/>
                          <w:spacing w:before="15" w:line="183" w:lineRule="auto"/>
                          <w:ind w:left="950"/>
                          <w:rPr>
                            <w:sz w:val="18"/>
                            <w:szCs w:val="18"/>
                          </w:rPr>
                        </w:pPr>
                        <w:r>
                          <w:rPr>
                            <w:sz w:val="18"/>
                            <w:szCs w:val="18"/>
                          </w:rPr>
                          <w:t>S</w:t>
                        </w:r>
                      </w:p>
                      <w:p w14:paraId="7F9D8A2E">
                        <w:pPr>
                          <w:pStyle w:val="6"/>
                          <w:spacing w:before="227" w:line="174" w:lineRule="auto"/>
                          <w:ind w:left="742"/>
                          <w:rPr>
                            <w:sz w:val="18"/>
                            <w:szCs w:val="18"/>
                          </w:rPr>
                        </w:pPr>
                        <w:r>
                          <w:rPr>
                            <w:spacing w:val="-7"/>
                            <w:sz w:val="18"/>
                            <w:szCs w:val="18"/>
                          </w:rPr>
                          <w:t>图例()</w:t>
                        </w:r>
                      </w:p>
                    </w:tc>
                  </w:tr>
                </w:tbl>
                <w:p w14:paraId="720E4FF6">
                  <w:pPr>
                    <w:pStyle w:val="2"/>
                  </w:pPr>
                </w:p>
              </w:txbxContent>
            </v:textbox>
          </v:shape>
        </w:pict>
      </w:r>
      <w:r>
        <w:rPr>
          <w:rFonts w:ascii="宋体" w:hAnsi="宋体" w:eastAsia="宋体" w:cs="宋体"/>
          <w:b/>
          <w:bCs/>
          <w:spacing w:val="12"/>
          <w:sz w:val="28"/>
          <w:szCs w:val="28"/>
        </w:rPr>
        <w:t>气象统计</w:t>
      </w:r>
      <w:r>
        <w:rPr>
          <w:rFonts w:ascii="宋体" w:hAnsi="宋体" w:eastAsia="宋体" w:cs="宋体"/>
          <w:spacing w:val="53"/>
          <w:sz w:val="28"/>
          <w:szCs w:val="28"/>
        </w:rPr>
        <w:t xml:space="preserve"> </w:t>
      </w:r>
      <w:r>
        <w:rPr>
          <w:rFonts w:ascii="宋体" w:hAnsi="宋体" w:eastAsia="宋体" w:cs="宋体"/>
          <w:b/>
          <w:bCs/>
          <w:spacing w:val="12"/>
          <w:sz w:val="28"/>
          <w:szCs w:val="28"/>
        </w:rPr>
        <w:t>污染系数玫瑰图</w:t>
      </w:r>
    </w:p>
    <w:p w14:paraId="5534E053">
      <w:pPr>
        <w:pStyle w:val="2"/>
        <w:spacing w:line="241" w:lineRule="auto"/>
      </w:pPr>
    </w:p>
    <w:p w14:paraId="71530726">
      <w:pPr>
        <w:pStyle w:val="2"/>
        <w:spacing w:line="241" w:lineRule="auto"/>
      </w:pPr>
      <w:r>
        <w:pict>
          <v:shape id="_x0000_s1287" o:spid="_x0000_s1287" style="position:absolute;left:0pt;margin-left:48.65pt;margin-top:6.45pt;height:57.75pt;width:57pt;z-index:251947008;mso-width-relative:page;mso-height-relative:page;" fillcolor="#00FF00" filled="t" stroked="t" coordsize="1140,1155" path="m1132,577c1132,892,880,1147,569,1147c259,1147,7,892,7,577c7,262,259,7,569,7c880,7,1132,262,1132,577e">
            <v:fill on="t" focussize="0,0"/>
            <v:stroke color="#646464" miterlimit="2" endcap="round"/>
            <v:imagedata o:title=""/>
            <o:lock v:ext="edit"/>
          </v:shape>
        </w:pict>
      </w:r>
      <w:r>
        <w:pict>
          <v:shape id="_x0000_s1288" o:spid="_x0000_s1288" o:spt="202" type="#_x0000_t202" style="position:absolute;left:0pt;margin-left:47.3pt;margin-top:5.05pt;height:60.5pt;width:59.75pt;z-index:251958272;mso-width-relative:page;mso-height-relative:page;" filled="f" stroked="f" coordsize="21600,21600">
            <v:path/>
            <v:fill on="f" focussize="0,0"/>
            <v:stroke on="f"/>
            <v:imagedata o:title=""/>
            <o:lock v:ext="edit" aspectratio="f"/>
            <v:textbox inset="0mm,0mm,0mm,0mm">
              <w:txbxContent>
                <w:p w14:paraId="08964B64">
                  <w:pPr>
                    <w:spacing w:line="20" w:lineRule="exact"/>
                  </w:pPr>
                </w:p>
                <w:tbl>
                  <w:tblPr>
                    <w:tblStyle w:val="5"/>
                    <w:tblW w:w="1154" w:type="dxa"/>
                    <w:tblInd w:w="2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577"/>
                    <w:gridCol w:w="577"/>
                  </w:tblGrid>
                  <w:tr w14:paraId="1942012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77" w:type="dxa"/>
                        <w:tcBorders>
                          <w:bottom w:val="single" w:color="646464" w:sz="6" w:space="0"/>
                          <w:right w:val="single" w:color="646464" w:sz="6" w:space="0"/>
                        </w:tcBorders>
                        <w:vAlign w:val="top"/>
                      </w:tcPr>
                      <w:p w14:paraId="3B657A04">
                        <w:pPr>
                          <w:rPr>
                            <w:rFonts w:ascii="Arial"/>
                            <w:sz w:val="21"/>
                          </w:rPr>
                        </w:pPr>
                      </w:p>
                    </w:tc>
                    <w:tc>
                      <w:tcPr>
                        <w:tcW w:w="577" w:type="dxa"/>
                        <w:tcBorders>
                          <w:left w:val="single" w:color="646464" w:sz="6" w:space="0"/>
                          <w:bottom w:val="single" w:color="646464" w:sz="6" w:space="0"/>
                        </w:tcBorders>
                        <w:vAlign w:val="top"/>
                      </w:tcPr>
                      <w:p w14:paraId="0846333E">
                        <w:pPr>
                          <w:rPr>
                            <w:rFonts w:ascii="Arial"/>
                            <w:sz w:val="21"/>
                          </w:rPr>
                        </w:pPr>
                      </w:p>
                    </w:tc>
                  </w:tr>
                  <w:tr w14:paraId="25A7BBC8">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77" w:type="dxa"/>
                        <w:tcBorders>
                          <w:top w:val="single" w:color="646464" w:sz="6" w:space="0"/>
                          <w:right w:val="single" w:color="646464" w:sz="6" w:space="0"/>
                        </w:tcBorders>
                        <w:vAlign w:val="top"/>
                      </w:tcPr>
                      <w:p w14:paraId="6529A11C">
                        <w:pPr>
                          <w:rPr>
                            <w:rFonts w:ascii="Arial"/>
                            <w:sz w:val="21"/>
                          </w:rPr>
                        </w:pPr>
                      </w:p>
                    </w:tc>
                    <w:tc>
                      <w:tcPr>
                        <w:tcW w:w="577" w:type="dxa"/>
                        <w:tcBorders>
                          <w:top w:val="single" w:color="646464" w:sz="6" w:space="0"/>
                          <w:left w:val="single" w:color="646464" w:sz="6" w:space="0"/>
                        </w:tcBorders>
                        <w:vAlign w:val="top"/>
                      </w:tcPr>
                      <w:p w14:paraId="66A4496F">
                        <w:pPr>
                          <w:rPr>
                            <w:rFonts w:ascii="Arial"/>
                            <w:sz w:val="21"/>
                          </w:rPr>
                        </w:pPr>
                      </w:p>
                    </w:tc>
                  </w:tr>
                </w:tbl>
                <w:p w14:paraId="672C5D0C">
                  <w:pPr>
                    <w:pStyle w:val="2"/>
                  </w:pPr>
                </w:p>
              </w:txbxContent>
            </v:textbox>
          </v:shape>
        </w:pict>
      </w:r>
      <w:r>
        <w:pict>
          <v:shape id="_x0000_s1289" o:spid="_x0000_s1289" o:spt="202" type="#_x0000_t202" style="position:absolute;left:0pt;margin-left:48.5pt;margin-top:8.2pt;height:10.9pt;width:10.95pt;z-index:251943936;mso-width-relative:page;mso-height-relative:page;" filled="f" stroked="f" coordsize="21600,21600">
            <v:path/>
            <v:fill on="f" focussize="0,0"/>
            <v:stroke on="f"/>
            <v:imagedata o:title=""/>
            <o:lock v:ext="edit" aspectratio="f"/>
            <v:textbox inset="0mm,0mm,0mm,0mm">
              <w:txbxContent>
                <w:p w14:paraId="5E175924">
                  <w:pPr>
                    <w:spacing w:before="19" w:line="182" w:lineRule="auto"/>
                    <w:ind w:left="20"/>
                    <w:rPr>
                      <w:rFonts w:ascii="宋体" w:hAnsi="宋体" w:eastAsia="宋体" w:cs="宋体"/>
                      <w:sz w:val="18"/>
                      <w:szCs w:val="18"/>
                    </w:rPr>
                  </w:pPr>
                  <w:r>
                    <w:rPr>
                      <w:rFonts w:ascii="宋体" w:hAnsi="宋体" w:eastAsia="宋体" w:cs="宋体"/>
                      <w:spacing w:val="-1"/>
                      <w:sz w:val="18"/>
                      <w:szCs w:val="18"/>
                    </w:rPr>
                    <w:t>NW</w:t>
                  </w:r>
                </w:p>
              </w:txbxContent>
            </v:textbox>
          </v:shape>
        </w:pict>
      </w:r>
      <w:r>
        <w:pict>
          <v:shape id="_x0000_s1290" o:spid="_x0000_s1290" style="position:absolute;left:0pt;margin-left:50.9pt;margin-top:8.7pt;height:54pt;width:53.25pt;z-index:251959296;mso-width-relative:page;mso-height-relative:page;" filled="f" stroked="t" coordsize="1065,1080" path="m1057,757l7,322m937,952l127,127m757,1072l307,7m802,532c802,689,678,817,524,817c371,817,247,689,247,532c247,375,371,247,524,247c678,247,802,375,802,532e">
            <v:fill on="f" focussize="0,0"/>
            <v:stroke color="#646464" miterlimit="2" endcap="round"/>
            <v:imagedata o:title=""/>
            <o:lock v:ext="edit"/>
          </v:shape>
        </w:pict>
      </w:r>
      <w:r>
        <w:pict>
          <v:shape id="_x0000_s1291" o:spid="_x0000_s1291" style="position:absolute;left:0pt;margin-left:50.9pt;margin-top:8.7pt;height:54pt;width:53.25pt;z-index:251957248;mso-width-relative:page;mso-height-relative:page;" filled="f" stroked="t" coordsize="1065,1080" path="m757,7l307,1072m937,127l127,952m1057,322l7,757e">
            <v:fill on="f" focussize="0,0"/>
            <v:stroke color="#646464" miterlimit="2" endcap="round"/>
            <v:imagedata o:title=""/>
            <o:lock v:ext="edit"/>
          </v:shape>
        </w:pict>
      </w:r>
      <w:r>
        <w:pict>
          <v:shape id="_x0000_s1292" o:spid="_x0000_s1292" style="position:absolute;left:0pt;margin-left:147.65pt;margin-top:6.45pt;height:57.75pt;width:57pt;z-index:251942912;mso-width-relative:page;mso-height-relative:page;" fillcolor="#00FF00" filled="t" stroked="t" coordsize="1140,1155" path="m1132,577c1132,892,880,1147,569,1147c259,1147,7,892,7,577c7,262,259,7,569,7c880,7,1132,262,1132,577e">
            <v:fill on="t" focussize="0,0"/>
            <v:stroke color="#646464" miterlimit="2" endcap="round"/>
            <v:imagedata o:title=""/>
            <o:lock v:ext="edit"/>
          </v:shape>
        </w:pict>
      </w:r>
      <w:r>
        <w:pict>
          <v:shape id="_x0000_s1293" o:spid="_x0000_s1293" o:spt="202" type="#_x0000_t202" style="position:absolute;left:0pt;margin-left:146.3pt;margin-top:5.05pt;height:60.5pt;width:59.75pt;z-index:252010496;mso-width-relative:page;mso-height-relative:page;" filled="f" stroked="f" coordsize="21600,21600">
            <v:path/>
            <v:fill on="f" focussize="0,0"/>
            <v:stroke on="f"/>
            <v:imagedata o:title=""/>
            <o:lock v:ext="edit" aspectratio="f"/>
            <v:textbox inset="0mm,0mm,0mm,0mm">
              <w:txbxContent>
                <w:p w14:paraId="6A8E6625">
                  <w:pPr>
                    <w:spacing w:line="20" w:lineRule="exact"/>
                  </w:pPr>
                </w:p>
                <w:tbl>
                  <w:tblPr>
                    <w:tblStyle w:val="5"/>
                    <w:tblW w:w="1154" w:type="dxa"/>
                    <w:tblInd w:w="2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577"/>
                    <w:gridCol w:w="577"/>
                  </w:tblGrid>
                  <w:tr w14:paraId="2DC0809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PrEx>
                    <w:trPr>
                      <w:trHeight w:val="577" w:hRule="atLeast"/>
                    </w:trPr>
                    <w:tc>
                      <w:tcPr>
                        <w:tcW w:w="577" w:type="dxa"/>
                        <w:tcBorders>
                          <w:bottom w:val="single" w:color="646464" w:sz="6" w:space="0"/>
                          <w:right w:val="single" w:color="646464" w:sz="6" w:space="0"/>
                        </w:tcBorders>
                        <w:vAlign w:val="top"/>
                      </w:tcPr>
                      <w:p w14:paraId="0C175270">
                        <w:pPr>
                          <w:rPr>
                            <w:rFonts w:ascii="Arial"/>
                            <w:sz w:val="21"/>
                          </w:rPr>
                        </w:pPr>
                      </w:p>
                    </w:tc>
                    <w:tc>
                      <w:tcPr>
                        <w:tcW w:w="577" w:type="dxa"/>
                        <w:tcBorders>
                          <w:left w:val="single" w:color="646464" w:sz="6" w:space="0"/>
                          <w:bottom w:val="single" w:color="646464" w:sz="6" w:space="0"/>
                        </w:tcBorders>
                        <w:vAlign w:val="top"/>
                      </w:tcPr>
                      <w:p w14:paraId="036A1AD1">
                        <w:pPr>
                          <w:rPr>
                            <w:rFonts w:ascii="Arial"/>
                            <w:sz w:val="21"/>
                          </w:rPr>
                        </w:pPr>
                      </w:p>
                    </w:tc>
                  </w:tr>
                  <w:tr w14:paraId="7234B669">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77" w:type="dxa"/>
                        <w:tcBorders>
                          <w:top w:val="single" w:color="646464" w:sz="6" w:space="0"/>
                          <w:right w:val="single" w:color="646464" w:sz="6" w:space="0"/>
                        </w:tcBorders>
                        <w:vAlign w:val="top"/>
                      </w:tcPr>
                      <w:p w14:paraId="3082932D">
                        <w:pPr>
                          <w:rPr>
                            <w:rFonts w:ascii="Arial"/>
                            <w:sz w:val="21"/>
                          </w:rPr>
                        </w:pPr>
                      </w:p>
                    </w:tc>
                    <w:tc>
                      <w:tcPr>
                        <w:tcW w:w="577" w:type="dxa"/>
                        <w:tcBorders>
                          <w:top w:val="single" w:color="646464" w:sz="6" w:space="0"/>
                          <w:left w:val="single" w:color="646464" w:sz="6" w:space="0"/>
                        </w:tcBorders>
                        <w:vAlign w:val="top"/>
                      </w:tcPr>
                      <w:p w14:paraId="657DB95F">
                        <w:pPr>
                          <w:rPr>
                            <w:rFonts w:ascii="Arial"/>
                            <w:sz w:val="21"/>
                          </w:rPr>
                        </w:pPr>
                      </w:p>
                    </w:tc>
                  </w:tr>
                </w:tbl>
                <w:p w14:paraId="4C151294">
                  <w:pPr>
                    <w:pStyle w:val="2"/>
                  </w:pPr>
                </w:p>
              </w:txbxContent>
            </v:textbox>
          </v:shape>
        </w:pict>
      </w:r>
      <w:r>
        <w:pict>
          <v:shape id="_x0000_s1294" o:spid="_x0000_s1294" o:spt="202" type="#_x0000_t202" style="position:absolute;left:0pt;margin-left:147.5pt;margin-top:8.2pt;height:10.9pt;width:10.95pt;z-index:251941888;mso-width-relative:page;mso-height-relative:page;" filled="f" stroked="f" coordsize="21600,21600">
            <v:path/>
            <v:fill on="f" focussize="0,0"/>
            <v:stroke on="f"/>
            <v:imagedata o:title=""/>
            <o:lock v:ext="edit" aspectratio="f"/>
            <v:textbox inset="0mm,0mm,0mm,0mm">
              <w:txbxContent>
                <w:p w14:paraId="2BEF56BA">
                  <w:pPr>
                    <w:spacing w:before="19" w:line="182" w:lineRule="auto"/>
                    <w:ind w:left="20"/>
                    <w:rPr>
                      <w:rFonts w:ascii="宋体" w:hAnsi="宋体" w:eastAsia="宋体" w:cs="宋体"/>
                      <w:sz w:val="18"/>
                      <w:szCs w:val="18"/>
                    </w:rPr>
                  </w:pPr>
                  <w:r>
                    <w:rPr>
                      <w:rFonts w:ascii="宋体" w:hAnsi="宋体" w:eastAsia="宋体" w:cs="宋体"/>
                      <w:spacing w:val="-1"/>
                      <w:sz w:val="18"/>
                      <w:szCs w:val="18"/>
                    </w:rPr>
                    <w:t>NW</w:t>
                  </w:r>
                </w:p>
              </w:txbxContent>
            </v:textbox>
          </v:shape>
        </w:pict>
      </w:r>
      <w:r>
        <w:pict>
          <v:shape id="_x0000_s1295" o:spid="_x0000_s1295" style="position:absolute;left:0pt;margin-left:149.9pt;margin-top:8.7pt;height:54pt;width:53.25pt;z-index:252011520;mso-width-relative:page;mso-height-relative:page;" filled="f" stroked="t" coordsize="1065,1080" path="m1057,757l7,322m937,952l127,127m757,1072l307,7m802,532c802,689,678,817,524,817c371,817,247,689,247,532c247,375,371,247,524,247c678,247,802,375,802,532e">
            <v:fill on="f" focussize="0,0"/>
            <v:stroke color="#646464" miterlimit="2" endcap="round"/>
            <v:imagedata o:title=""/>
            <o:lock v:ext="edit"/>
          </v:shape>
        </w:pict>
      </w:r>
      <w:r>
        <w:pict>
          <v:shape id="_x0000_s1296" o:spid="_x0000_s1296" style="position:absolute;left:0pt;margin-left:149.9pt;margin-top:8.7pt;height:54pt;width:53.25pt;z-index:252009472;mso-width-relative:page;mso-height-relative:page;" filled="f" stroked="t" coordsize="1065,1080" path="m757,7l307,1072m937,127l127,952m1057,322l7,757e">
            <v:fill on="f" focussize="0,0"/>
            <v:stroke color="#646464" miterlimit="2" endcap="round"/>
            <v:imagedata o:title=""/>
            <o:lock v:ext="edit"/>
          </v:shape>
        </w:pict>
      </w:r>
      <w:r>
        <w:pict>
          <v:shape id="_x0000_s1297" o:spid="_x0000_s1297" style="position:absolute;left:0pt;margin-left:246.65pt;margin-top:6.45pt;height:57.75pt;width:57pt;z-index:251962368;mso-width-relative:page;mso-height-relative:page;" fillcolor="#00FF00" filled="t" stroked="t" coordsize="1140,1155" path="m1132,577c1132,892,880,1147,569,1147c259,1147,7,892,7,577c7,262,259,7,569,7c880,7,1132,262,1132,577e">
            <v:fill on="t" focussize="0,0"/>
            <v:stroke color="#646464" miterlimit="2" endcap="round"/>
            <v:imagedata o:title=""/>
            <o:lock v:ext="edit"/>
          </v:shape>
        </w:pict>
      </w:r>
      <w:r>
        <w:pict>
          <v:shape id="_x0000_s1298" o:spid="_x0000_s1298" o:spt="202" type="#_x0000_t202" style="position:absolute;left:0pt;margin-left:245.25pt;margin-top:5.05pt;height:60.5pt;width:59.75pt;z-index:251970560;mso-width-relative:page;mso-height-relative:page;" filled="f" stroked="f" coordsize="21600,21600">
            <v:path/>
            <v:fill on="f" focussize="0,0"/>
            <v:stroke on="f"/>
            <v:imagedata o:title=""/>
            <o:lock v:ext="edit" aspectratio="f"/>
            <v:textbox inset="0mm,0mm,0mm,0mm">
              <w:txbxContent>
                <w:p w14:paraId="35FFC26D">
                  <w:pPr>
                    <w:spacing w:line="20" w:lineRule="exact"/>
                  </w:pPr>
                </w:p>
                <w:tbl>
                  <w:tblPr>
                    <w:tblStyle w:val="5"/>
                    <w:tblW w:w="1154" w:type="dxa"/>
                    <w:tblInd w:w="2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581"/>
                    <w:gridCol w:w="573"/>
                  </w:tblGrid>
                  <w:tr w14:paraId="289D1A1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81" w:type="dxa"/>
                        <w:tcBorders>
                          <w:bottom w:val="single" w:color="646464" w:sz="6" w:space="0"/>
                          <w:right w:val="single" w:color="646464" w:sz="6" w:space="0"/>
                        </w:tcBorders>
                        <w:vAlign w:val="top"/>
                      </w:tcPr>
                      <w:p w14:paraId="218640EE">
                        <w:pPr>
                          <w:rPr>
                            <w:rFonts w:ascii="Arial"/>
                            <w:sz w:val="21"/>
                          </w:rPr>
                        </w:pPr>
                      </w:p>
                    </w:tc>
                    <w:tc>
                      <w:tcPr>
                        <w:tcW w:w="573" w:type="dxa"/>
                        <w:tcBorders>
                          <w:left w:val="single" w:color="646464" w:sz="6" w:space="0"/>
                          <w:bottom w:val="single" w:color="646464" w:sz="6" w:space="0"/>
                        </w:tcBorders>
                        <w:vAlign w:val="top"/>
                      </w:tcPr>
                      <w:p w14:paraId="6DF181D5">
                        <w:pPr>
                          <w:spacing w:line="432" w:lineRule="auto"/>
                          <w:rPr>
                            <w:rFonts w:ascii="Arial"/>
                            <w:sz w:val="21"/>
                          </w:rPr>
                        </w:pPr>
                      </w:p>
                      <w:p w14:paraId="647729C5">
                        <w:pPr>
                          <w:spacing w:line="132" w:lineRule="exact"/>
                        </w:pPr>
                        <w:r>
                          <w:rPr>
                            <w:position w:val="-2"/>
                          </w:rPr>
                          <w:drawing>
                            <wp:inline distT="0" distB="0" distL="0" distR="0">
                              <wp:extent cx="83185" cy="83820"/>
                              <wp:effectExtent l="0" t="0" r="0" b="0"/>
                              <wp:docPr id="80" name="IM 80"/>
                              <wp:cNvGraphicFramePr/>
                              <a:graphic xmlns:a="http://schemas.openxmlformats.org/drawingml/2006/main">
                                <a:graphicData uri="http://schemas.openxmlformats.org/drawingml/2006/picture">
                                  <pic:pic xmlns:pic="http://schemas.openxmlformats.org/drawingml/2006/picture">
                                    <pic:nvPicPr>
                                      <pic:cNvPr id="80" name="IM 80"/>
                                      <pic:cNvPicPr/>
                                    </pic:nvPicPr>
                                    <pic:blipFill>
                                      <a:blip r:embed="rId618"/>
                                      <a:stretch>
                                        <a:fillRect/>
                                      </a:stretch>
                                    </pic:blipFill>
                                    <pic:spPr>
                                      <a:xfrm>
                                        <a:off x="0" y="0"/>
                                        <a:ext cx="83451" cy="83870"/>
                                      </a:xfrm>
                                      <a:prstGeom prst="rect">
                                        <a:avLst/>
                                      </a:prstGeom>
                                    </pic:spPr>
                                  </pic:pic>
                                </a:graphicData>
                              </a:graphic>
                            </wp:inline>
                          </w:drawing>
                        </w:r>
                      </w:p>
                    </w:tc>
                  </w:tr>
                  <w:tr w14:paraId="055C377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81" w:type="dxa"/>
                        <w:tcBorders>
                          <w:top w:val="single" w:color="646464" w:sz="6" w:space="0"/>
                          <w:right w:val="single" w:color="646464" w:sz="6" w:space="0"/>
                        </w:tcBorders>
                        <w:vAlign w:val="top"/>
                      </w:tcPr>
                      <w:p w14:paraId="095A67CE">
                        <w:pPr>
                          <w:spacing w:line="277" w:lineRule="exact"/>
                          <w:ind w:firstLine="449"/>
                        </w:pPr>
                        <w:r>
                          <w:rPr>
                            <w:position w:val="-5"/>
                          </w:rPr>
                          <w:drawing>
                            <wp:inline distT="0" distB="0" distL="0" distR="0">
                              <wp:extent cx="78105" cy="175895"/>
                              <wp:effectExtent l="0" t="0" r="0" b="0"/>
                              <wp:docPr id="82" name="IM 82"/>
                              <wp:cNvGraphicFramePr/>
                              <a:graphic xmlns:a="http://schemas.openxmlformats.org/drawingml/2006/main">
                                <a:graphicData uri="http://schemas.openxmlformats.org/drawingml/2006/picture">
                                  <pic:pic xmlns:pic="http://schemas.openxmlformats.org/drawingml/2006/picture">
                                    <pic:nvPicPr>
                                      <pic:cNvPr id="82" name="IM 82"/>
                                      <pic:cNvPicPr/>
                                    </pic:nvPicPr>
                                    <pic:blipFill>
                                      <a:blip r:embed="rId619"/>
                                      <a:stretch>
                                        <a:fillRect/>
                                      </a:stretch>
                                    </pic:blipFill>
                                    <pic:spPr>
                                      <a:xfrm>
                                        <a:off x="0" y="0"/>
                                        <a:ext cx="78447" cy="176428"/>
                                      </a:xfrm>
                                      <a:prstGeom prst="rect">
                                        <a:avLst/>
                                      </a:prstGeom>
                                    </pic:spPr>
                                  </pic:pic>
                                </a:graphicData>
                              </a:graphic>
                            </wp:inline>
                          </w:drawing>
                        </w:r>
                      </w:p>
                    </w:tc>
                    <w:tc>
                      <w:tcPr>
                        <w:tcW w:w="573" w:type="dxa"/>
                        <w:tcBorders>
                          <w:top w:val="single" w:color="646464" w:sz="6" w:space="0"/>
                          <w:left w:val="single" w:color="646464" w:sz="6" w:space="0"/>
                        </w:tcBorders>
                        <w:vAlign w:val="top"/>
                      </w:tcPr>
                      <w:p w14:paraId="5C37A5E4">
                        <w:pPr>
                          <w:rPr>
                            <w:rFonts w:ascii="Arial"/>
                            <w:sz w:val="21"/>
                          </w:rPr>
                        </w:pPr>
                      </w:p>
                    </w:tc>
                  </w:tr>
                </w:tbl>
                <w:p w14:paraId="2A83091E">
                  <w:pPr>
                    <w:pStyle w:val="2"/>
                  </w:pPr>
                </w:p>
              </w:txbxContent>
            </v:textbox>
          </v:shape>
        </w:pict>
      </w:r>
      <w:r>
        <w:pict>
          <v:shape id="_x0000_s1299" o:spid="_x0000_s1299" o:spt="202" type="#_x0000_t202" style="position:absolute;left:0pt;margin-left:292.95pt;margin-top:8.2pt;height:10.9pt;width:10.95pt;z-index:251944960;mso-width-relative:page;mso-height-relative:page;" filled="f" stroked="f" coordsize="21600,21600">
            <v:path/>
            <v:fill on="f" focussize="0,0"/>
            <v:stroke on="f"/>
            <v:imagedata o:title=""/>
            <o:lock v:ext="edit" aspectratio="f"/>
            <v:textbox inset="0mm,0mm,0mm,0mm">
              <w:txbxContent>
                <w:p w14:paraId="6A04038D">
                  <w:pPr>
                    <w:spacing w:before="19" w:line="182" w:lineRule="auto"/>
                    <w:ind w:left="20"/>
                    <w:rPr>
                      <w:rFonts w:ascii="宋体" w:hAnsi="宋体" w:eastAsia="宋体" w:cs="宋体"/>
                      <w:sz w:val="18"/>
                      <w:szCs w:val="18"/>
                    </w:rPr>
                  </w:pPr>
                  <w:r>
                    <w:rPr>
                      <w:rFonts w:ascii="宋体" w:hAnsi="宋体" w:eastAsia="宋体" w:cs="宋体"/>
                      <w:spacing w:val="-1"/>
                      <w:sz w:val="18"/>
                      <w:szCs w:val="18"/>
                    </w:rPr>
                    <w:t>NE</w:t>
                  </w:r>
                </w:p>
              </w:txbxContent>
            </v:textbox>
          </v:shape>
        </w:pict>
      </w:r>
      <w:r>
        <w:pict>
          <v:shape id="_x0000_s1300" o:spid="_x0000_s1300" style="position:absolute;left:0pt;margin-left:248.9pt;margin-top:8.7pt;height:54pt;width:53.25pt;z-index:251973632;mso-width-relative:page;mso-height-relative:page;" filled="f" stroked="t" coordsize="1065,1080" path="m1057,757l7,322m937,952l127,127m757,1072l307,7m802,532c802,689,678,817,524,817c371,817,247,689,247,532c247,375,371,247,524,247c678,247,802,375,802,532e">
            <v:fill on="f" focussize="0,0"/>
            <v:stroke color="#646464" miterlimit="2" endcap="round"/>
            <v:imagedata o:title=""/>
            <o:lock v:ext="edit"/>
          </v:shape>
        </w:pict>
      </w:r>
      <w:r>
        <w:pict>
          <v:shape id="_x0000_s1301" o:spid="_x0000_s1301" style="position:absolute;left:0pt;margin-left:248.9pt;margin-top:8.7pt;height:54pt;width:53.25pt;z-index:251972608;mso-width-relative:page;mso-height-relative:page;" filled="f" stroked="t" coordsize="1065,1080" path="m757,7l307,1072m937,127l127,952m1057,322l7,757e">
            <v:fill on="f" focussize="0,0"/>
            <v:stroke color="#646464" miterlimit="2" endcap="round"/>
            <v:imagedata o:title=""/>
            <o:lock v:ext="edit"/>
          </v:shape>
        </w:pict>
      </w:r>
      <w:r>
        <w:pict>
          <v:shape id="_x0000_s1302" o:spid="_x0000_s1302" style="position:absolute;left:0pt;margin-left:346.4pt;margin-top:6.45pt;height:57.75pt;width:57pt;z-index:251975680;mso-width-relative:page;mso-height-relative:page;" fillcolor="#00FF00" filled="t" stroked="t" coordsize="1140,1155" path="m1132,577c1132,892,880,1147,569,1147c259,1147,7,892,7,577c7,262,259,7,569,7c880,7,1132,262,1132,577e">
            <v:fill on="t" focussize="0,0"/>
            <v:stroke color="#646464" miterlimit="2" endcap="round"/>
            <v:imagedata o:title=""/>
            <o:lock v:ext="edit"/>
          </v:shape>
        </w:pict>
      </w:r>
      <w:r>
        <w:pict>
          <v:shape id="_x0000_s1303" o:spid="_x0000_s1303" o:spt="202" type="#_x0000_t202" style="position:absolute;left:0pt;margin-left:345pt;margin-top:5.05pt;height:60.5pt;width:59.75pt;z-index:251978752;mso-width-relative:page;mso-height-relative:page;" filled="f" stroked="f" coordsize="21600,21600">
            <v:path/>
            <v:fill on="f" focussize="0,0"/>
            <v:stroke on="f"/>
            <v:imagedata o:title=""/>
            <o:lock v:ext="edit" aspectratio="f"/>
            <v:textbox inset="0mm,0mm,0mm,0mm">
              <w:txbxContent>
                <w:p w14:paraId="414D1792">
                  <w:pPr>
                    <w:spacing w:line="20" w:lineRule="exact"/>
                  </w:pPr>
                </w:p>
                <w:tbl>
                  <w:tblPr>
                    <w:tblStyle w:val="5"/>
                    <w:tblW w:w="1154" w:type="dxa"/>
                    <w:tblInd w:w="2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581"/>
                    <w:gridCol w:w="573"/>
                  </w:tblGrid>
                  <w:tr w14:paraId="7E884351">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81" w:type="dxa"/>
                        <w:tcBorders>
                          <w:bottom w:val="single" w:color="646464" w:sz="6" w:space="0"/>
                          <w:right w:val="single" w:color="646464" w:sz="6" w:space="0"/>
                        </w:tcBorders>
                        <w:vAlign w:val="top"/>
                      </w:tcPr>
                      <w:p w14:paraId="7BEAB435">
                        <w:pPr>
                          <w:rPr>
                            <w:rFonts w:ascii="Arial"/>
                            <w:sz w:val="21"/>
                          </w:rPr>
                        </w:pPr>
                      </w:p>
                    </w:tc>
                    <w:tc>
                      <w:tcPr>
                        <w:tcW w:w="573" w:type="dxa"/>
                        <w:tcBorders>
                          <w:left w:val="single" w:color="646464" w:sz="6" w:space="0"/>
                          <w:bottom w:val="single" w:color="646464" w:sz="6" w:space="0"/>
                        </w:tcBorders>
                        <w:vAlign w:val="top"/>
                      </w:tcPr>
                      <w:p w14:paraId="0480DCBE">
                        <w:pPr>
                          <w:spacing w:line="387" w:lineRule="auto"/>
                          <w:rPr>
                            <w:rFonts w:ascii="Arial"/>
                            <w:sz w:val="21"/>
                          </w:rPr>
                        </w:pPr>
                      </w:p>
                      <w:p w14:paraId="3E677CF6">
                        <w:pPr>
                          <w:spacing w:line="177" w:lineRule="exact"/>
                        </w:pPr>
                        <w:r>
                          <w:rPr>
                            <w:position w:val="-3"/>
                          </w:rPr>
                          <w:drawing>
                            <wp:inline distT="0" distB="0" distL="0" distR="0">
                              <wp:extent cx="83185" cy="112395"/>
                              <wp:effectExtent l="0" t="0" r="0" b="0"/>
                              <wp:docPr id="84" name="IM 84"/>
                              <wp:cNvGraphicFramePr/>
                              <a:graphic xmlns:a="http://schemas.openxmlformats.org/drawingml/2006/main">
                                <a:graphicData uri="http://schemas.openxmlformats.org/drawingml/2006/picture">
                                  <pic:pic xmlns:pic="http://schemas.openxmlformats.org/drawingml/2006/picture">
                                    <pic:nvPicPr>
                                      <pic:cNvPr id="84" name="IM 84"/>
                                      <pic:cNvPicPr/>
                                    </pic:nvPicPr>
                                    <pic:blipFill>
                                      <a:blip r:embed="rId620"/>
                                      <a:stretch>
                                        <a:fillRect/>
                                      </a:stretch>
                                    </pic:blipFill>
                                    <pic:spPr>
                                      <a:xfrm>
                                        <a:off x="0" y="0"/>
                                        <a:ext cx="83439" cy="112445"/>
                                      </a:xfrm>
                                      <a:prstGeom prst="rect">
                                        <a:avLst/>
                                      </a:prstGeom>
                                    </pic:spPr>
                                  </pic:pic>
                                </a:graphicData>
                              </a:graphic>
                            </wp:inline>
                          </w:drawing>
                        </w:r>
                      </w:p>
                    </w:tc>
                  </w:tr>
                  <w:tr w14:paraId="4AA6CEA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81" w:type="dxa"/>
                        <w:tcBorders>
                          <w:top w:val="single" w:color="646464" w:sz="6" w:space="0"/>
                          <w:right w:val="single" w:color="646464" w:sz="6" w:space="0"/>
                        </w:tcBorders>
                        <w:vAlign w:val="top"/>
                      </w:tcPr>
                      <w:p w14:paraId="434404F1">
                        <w:pPr>
                          <w:rPr>
                            <w:rFonts w:ascii="Arial"/>
                            <w:sz w:val="21"/>
                          </w:rPr>
                        </w:pPr>
                      </w:p>
                    </w:tc>
                    <w:tc>
                      <w:tcPr>
                        <w:tcW w:w="573" w:type="dxa"/>
                        <w:tcBorders>
                          <w:top w:val="single" w:color="646464" w:sz="6" w:space="0"/>
                          <w:left w:val="single" w:color="646464" w:sz="6" w:space="0"/>
                        </w:tcBorders>
                        <w:vAlign w:val="top"/>
                      </w:tcPr>
                      <w:p w14:paraId="6B1531DE">
                        <w:pPr>
                          <w:rPr>
                            <w:rFonts w:ascii="Arial"/>
                            <w:sz w:val="21"/>
                          </w:rPr>
                        </w:pPr>
                      </w:p>
                    </w:tc>
                  </w:tr>
                </w:tbl>
                <w:p w14:paraId="7B842E60">
                  <w:pPr>
                    <w:pStyle w:val="2"/>
                  </w:pPr>
                </w:p>
              </w:txbxContent>
            </v:textbox>
          </v:shape>
        </w:pict>
      </w:r>
      <w:r>
        <w:pict>
          <v:shape id="_x0000_s1304" o:spid="_x0000_s1304" o:spt="202" type="#_x0000_t202" style="position:absolute;left:0pt;margin-left:392.7pt;margin-top:8.2pt;height:10.9pt;width:10.95pt;z-index:251974656;mso-width-relative:page;mso-height-relative:page;" filled="f" stroked="f" coordsize="21600,21600">
            <v:path/>
            <v:fill on="f" focussize="0,0"/>
            <v:stroke on="f"/>
            <v:imagedata o:title=""/>
            <o:lock v:ext="edit" aspectratio="f"/>
            <v:textbox inset="0mm,0mm,0mm,0mm">
              <w:txbxContent>
                <w:p w14:paraId="31F2DCF1">
                  <w:pPr>
                    <w:spacing w:before="19" w:line="182" w:lineRule="auto"/>
                    <w:ind w:left="20"/>
                    <w:rPr>
                      <w:rFonts w:ascii="宋体" w:hAnsi="宋体" w:eastAsia="宋体" w:cs="宋体"/>
                      <w:sz w:val="18"/>
                      <w:szCs w:val="18"/>
                    </w:rPr>
                  </w:pPr>
                  <w:r>
                    <w:rPr>
                      <w:rFonts w:ascii="宋体" w:hAnsi="宋体" w:eastAsia="宋体" w:cs="宋体"/>
                      <w:spacing w:val="-1"/>
                      <w:sz w:val="18"/>
                      <w:szCs w:val="18"/>
                    </w:rPr>
                    <w:t>NE</w:t>
                  </w:r>
                </w:p>
              </w:txbxContent>
            </v:textbox>
          </v:shape>
        </w:pict>
      </w:r>
      <w:r>
        <w:pict>
          <v:shape id="_x0000_s1305" o:spid="_x0000_s1305" style="position:absolute;left:0pt;margin-left:348.65pt;margin-top:8.7pt;height:54pt;width:53.25pt;z-index:251985920;mso-width-relative:page;mso-height-relative:page;" filled="f" stroked="t" coordsize="1065,1080" path="m1057,757l7,322m937,952l127,127m757,1072l307,7m802,532c802,689,678,817,524,817c371,817,247,689,247,532c247,375,371,247,524,247c678,247,802,375,802,532e">
            <v:fill on="f" focussize="0,0"/>
            <v:stroke color="#646464" miterlimit="2" endcap="round"/>
            <v:imagedata o:title=""/>
            <o:lock v:ext="edit"/>
          </v:shape>
        </w:pict>
      </w:r>
      <w:r>
        <w:pict>
          <v:shape id="_x0000_s1306" o:spid="_x0000_s1306" style="position:absolute;left:0pt;margin-left:348.65pt;margin-top:8.7pt;height:54pt;width:53.25pt;z-index:251984896;mso-width-relative:page;mso-height-relative:page;" filled="f" stroked="t" coordsize="1065,1080" path="m757,7l307,1072m937,127l127,952m1057,322l7,757e">
            <v:fill on="f" focussize="0,0"/>
            <v:stroke color="#646464" miterlimit="2" endcap="round"/>
            <v:imagedata o:title=""/>
            <o:lock v:ext="edit"/>
          </v:shape>
        </w:pict>
      </w:r>
    </w:p>
    <w:p w14:paraId="6F95A1AB">
      <w:pPr>
        <w:pStyle w:val="2"/>
        <w:spacing w:line="241" w:lineRule="auto"/>
      </w:pPr>
      <w:r>
        <w:pict>
          <v:group id="_x0000_s1307" o:spid="_x0000_s1307" o:spt="203" style="position:absolute;left:0pt;margin-left:76.8pt;margin-top:11.95pt;height:13.5pt;width:12pt;z-index:251951104;mso-width-relative:page;mso-height-relative:page;" coordsize="240,270">
            <o:lock v:ext="edit"/>
            <v:shape id="_x0000_s1308" o:spid="_x0000_s1308" style="position:absolute;left:0;top:0;height:225;width:240;" fillcolor="#C8C8C8" filled="t" stroked="t" coordsize="240,225" path="m7,217l52,112,232,7,7,217e">
              <v:fill on="t" focussize="0,0"/>
              <v:stroke color="#000000" miterlimit="2" endcap="round"/>
              <v:imagedata o:title=""/>
              <o:lock v:ext="edit"/>
            </v:shape>
            <v:shape id="_x0000_s1309" o:spid="_x0000_s1309" style="position:absolute;left:0;top:0;height:225;width:240;" fillcolor="#FA9696" filled="t" stroked="t" coordsize="240,225" path="m7,217l232,7,127,172,7,217e">
              <v:fill on="t" focussize="0,0"/>
              <v:stroke color="#000000" miterlimit="2" endcap="round"/>
              <v:imagedata o:title=""/>
              <o:lock v:ext="edit"/>
            </v:shape>
            <v:shape id="_x0000_s1310" o:spid="_x0000_s1310" style="position:absolute;left:0;top:164;height:60;width:195;" fillcolor="#C8C8C8" filled="t" stroked="f" coordsize="195,60" path="m7,52,7,52l127,7,187,52,7,52e">
              <v:path/>
              <v:fill on="t" focussize="0,0"/>
              <v:stroke on="f"/>
              <v:imagedata o:title=""/>
              <o:lock v:ext="edit"/>
            </v:shape>
            <v:shape id="_x0000_s1311" o:spid="_x0000_s1311" style="position:absolute;left:0;top:164;height:105;width:195;" filled="f" stroked="t" coordsize="195,105" path="m127,7l187,52,7,52m7,52l187,52,97,97e">
              <v:fill on="f" focussize="0,0"/>
              <v:stroke color="#000000" miterlimit="2" endcap="round"/>
              <v:imagedata o:title=""/>
              <o:lock v:ext="edit"/>
            </v:shape>
            <v:shape id="_x0000_s1312" o:spid="_x0000_s1312" style="position:absolute;left:0;top:209;height:60;width:195;" fillcolor="#FA9696" filled="t" stroked="f" coordsize="195,60" path="m7,7,7,7l187,7,97,52,7,7e">
              <v:path/>
              <v:fill on="t" focussize="0,0"/>
              <v:stroke on="f"/>
              <v:imagedata o:title=""/>
              <o:lock v:ext="edit"/>
            </v:shape>
          </v:group>
        </w:pict>
      </w:r>
      <w:r>
        <w:pict>
          <v:shape id="_x0000_s1313" o:spid="_x0000_s1313" o:spt="202" type="#_x0000_t202" style="position:absolute;left:0pt;margin-left:177.05pt;margin-top:3.7pt;height:26.5pt;width:33.15pt;z-index:252001280;mso-width-relative:page;mso-height-relative:page;" filled="f" stroked="f" coordsize="21600,21600">
            <v:path/>
            <v:fill on="f" focussize="0,0"/>
            <v:stroke on="f"/>
            <v:imagedata o:title=""/>
            <o:lock v:ext="edit" aspectratio="f"/>
            <v:textbox inset="0mm,0mm,0mm,0mm">
              <w:txbxContent>
                <w:p w14:paraId="38ECF92B">
                  <w:pPr>
                    <w:pStyle w:val="2"/>
                    <w:tabs>
                      <w:tab w:val="left" w:pos="153"/>
                    </w:tabs>
                    <w:spacing w:before="20"/>
                    <w:ind w:left="50"/>
                  </w:pPr>
                  <w:r>
                    <w:rPr>
                      <w:u w:val="single" w:color="auto"/>
                    </w:rPr>
                    <w:tab/>
                  </w:r>
                </w:p>
                <w:p w14:paraId="23108800">
                  <w:pPr>
                    <w:spacing w:before="68" w:line="184" w:lineRule="auto"/>
                    <w:ind w:left="20"/>
                    <w:rPr>
                      <w:rFonts w:ascii="宋体" w:hAnsi="宋体" w:eastAsia="宋体" w:cs="宋体"/>
                      <w:sz w:val="18"/>
                      <w:szCs w:val="18"/>
                    </w:rPr>
                  </w:pPr>
                  <w:r>
                    <w:rPr>
                      <w:rFonts w:ascii="宋体" w:hAnsi="宋体" w:eastAsia="宋体" w:cs="宋体"/>
                      <w:position w:val="3"/>
                      <w:sz w:val="18"/>
                      <w:szCs w:val="18"/>
                    </w:rPr>
                    <w:drawing>
                      <wp:inline distT="0" distB="0" distL="0" distR="0">
                        <wp:extent cx="85090" cy="56515"/>
                        <wp:effectExtent l="0" t="0" r="0" b="0"/>
                        <wp:docPr id="86" name="IM 86"/>
                        <wp:cNvGraphicFramePr/>
                        <a:graphic xmlns:a="http://schemas.openxmlformats.org/drawingml/2006/main">
                          <a:graphicData uri="http://schemas.openxmlformats.org/drawingml/2006/picture">
                            <pic:pic xmlns:pic="http://schemas.openxmlformats.org/drawingml/2006/picture">
                              <pic:nvPicPr>
                                <pic:cNvPr id="86" name="IM 86"/>
                                <pic:cNvPicPr/>
                              </pic:nvPicPr>
                              <pic:blipFill>
                                <a:blip r:embed="rId621"/>
                                <a:stretch>
                                  <a:fillRect/>
                                </a:stretch>
                              </pic:blipFill>
                              <pic:spPr>
                                <a:xfrm>
                                  <a:off x="0" y="0"/>
                                  <a:ext cx="85712" cy="57137"/>
                                </a:xfrm>
                                <a:prstGeom prst="rect">
                                  <a:avLst/>
                                </a:prstGeom>
                              </pic:spPr>
                            </pic:pic>
                          </a:graphicData>
                        </a:graphic>
                      </wp:inline>
                    </w:drawing>
                  </w:r>
                  <w:r>
                    <w:rPr>
                      <w:rFonts w:ascii="宋体" w:hAnsi="宋体" w:eastAsia="宋体" w:cs="宋体"/>
                      <w:spacing w:val="10"/>
                      <w:sz w:val="18"/>
                      <w:szCs w:val="18"/>
                    </w:rPr>
                    <w:t xml:space="preserve">    </w:t>
                  </w:r>
                  <w:r>
                    <w:rPr>
                      <w:rFonts w:ascii="宋体" w:hAnsi="宋体" w:eastAsia="宋体" w:cs="宋体"/>
                      <w:sz w:val="18"/>
                      <w:szCs w:val="18"/>
                    </w:rPr>
                    <w:t>E</w:t>
                  </w:r>
                </w:p>
              </w:txbxContent>
            </v:textbox>
          </v:shape>
        </w:pict>
      </w:r>
      <w:r>
        <w:pict>
          <v:group id="_x0000_s1314" o:spid="_x0000_s1314" o:spt="203" style="position:absolute;left:0pt;margin-left:274.75pt;margin-top:10.45pt;height:15.75pt;width:13.5pt;z-index:251963392;mso-width-relative:page;mso-height-relative:page;" coordsize="270,315">
            <o:lock v:ext="edit"/>
            <v:shape id="_x0000_s1315" o:spid="_x0000_s1315" style="position:absolute;left:0;top:0;height:255;width:270;" fillcolor="#C8C8C8" filled="t" stroked="t" coordsize="270,255" path="m7,247l67,112,262,7,7,247e">
              <v:fill on="t" focussize="0,0"/>
              <v:stroke color="#000000" miterlimit="2" endcap="round"/>
              <v:imagedata o:title=""/>
              <o:lock v:ext="edit"/>
            </v:shape>
            <v:shape id="_x0000_s1316" o:spid="_x0000_s1316" style="position:absolute;left:0;top:0;height:255;width:270;" fillcolor="#FA9696" filled="t" stroked="t" coordsize="270,255" path="m7,247l262,7,127,202,7,247e">
              <v:fill on="t" focussize="0,0"/>
              <v:stroke color="#000000" miterlimit="2" endcap="round"/>
              <v:imagedata o:title=""/>
              <o:lock v:ext="edit"/>
            </v:shape>
            <v:shape id="_x0000_s1317" o:spid="_x0000_s1317" style="position:absolute;left:45;top:194;height:120;width:105;" filled="f" stroked="t" coordsize="105,120" path="m82,7l97,52m97,52l67,112m67,112l7,112e">
              <v:fill on="f" focussize="0,0"/>
              <v:stroke color="#000000" miterlimit="2" endcap="round"/>
              <v:imagedata o:title=""/>
              <o:lock v:ext="edit"/>
            </v:shape>
          </v:group>
        </w:pict>
      </w:r>
    </w:p>
    <w:p w14:paraId="11EF94D1">
      <w:pPr>
        <w:pStyle w:val="2"/>
        <w:spacing w:line="241" w:lineRule="auto"/>
      </w:pPr>
      <w:r>
        <w:pict>
          <v:shape id="_x0000_s1318" o:spid="_x0000_s1318" style="position:absolute;left:0pt;margin-left:77.15pt;margin-top:8.45pt;height:3pt;width:6.75pt;z-index:251948032;mso-width-relative:page;mso-height-relative:page;" filled="f" stroked="t" coordsize="135,60" path="m7,52l127,7e">
            <v:fill on="f" focussize="0,0"/>
            <v:stroke color="#000000" miterlimit="2" endcap="round"/>
            <v:imagedata o:title=""/>
            <o:lock v:ext="edit"/>
          </v:shape>
        </w:pict>
      </w:r>
      <w:r>
        <w:pict>
          <v:group id="_x0000_s1319" o:spid="_x0000_s1319" o:spt="203" style="position:absolute;left:0pt;margin-left:76.8pt;margin-top:10.3pt;height:4.5pt;width:5.25pt;z-index:251953152;mso-width-relative:page;mso-height-relative:page;" coordsize="105,90">
            <o:lock v:ext="edit"/>
            <v:shape id="_x0000_s1320" o:spid="_x0000_s1320" style="position:absolute;left:0;top:0;height:60;width:105;" filled="f" stroked="t" coordsize="105,60" path="m97,52l7,7e">
              <v:fill on="f" focussize="0,0"/>
              <v:stroke color="#000000" miterlimit="2" endcap="round"/>
              <v:imagedata o:title=""/>
              <o:lock v:ext="edit"/>
            </v:shape>
            <v:shape id="_x0000_s1321" o:spid="_x0000_s1321" style="position:absolute;left:0;top:0;height:90;width:105;" fillcolor="#C8C8C8" filled="t" stroked="t" coordsize="105,90" path="m7,7l97,52,67,82,7,7e">
              <v:fill on="t" focussize="0,0"/>
              <v:stroke color="#000000" miterlimit="2" endcap="round"/>
              <v:imagedata o:title=""/>
              <o:lock v:ext="edit"/>
            </v:shape>
            <v:shape id="_x0000_s1322" o:spid="_x0000_s1322" style="position:absolute;left:0;top:0;height:90;width:75;" fillcolor="#FA9696" filled="t" stroked="t" coordsize="75,90" path="m7,7l67,82,22,37,7,7e">
              <v:fill on="t" focussize="0,0"/>
              <v:stroke color="#000000" miterlimit="2" endcap="round"/>
              <v:imagedata o:title=""/>
              <o:lock v:ext="edit"/>
            </v:shape>
          </v:group>
        </w:pict>
      </w:r>
      <w:r>
        <w:pict>
          <v:shape id="_x0000_s1323" o:spid="_x0000_s1323" style="position:absolute;left:0pt;margin-left:75.65pt;margin-top:9.95pt;height:1.5pt;width:2.25pt;z-index:251949056;mso-width-relative:page;mso-height-relative:page;" filled="f" stroked="t" coordsize="45,30" path="m7,7l37,22m37,22l7,7e">
            <v:fill on="f" focussize="0,0"/>
            <v:stroke color="#000000" miterlimit="2" endcap="round"/>
            <v:imagedata o:title=""/>
            <o:lock v:ext="edit"/>
          </v:shape>
        </w:pict>
      </w:r>
      <w:r>
        <w:pict>
          <v:shape id="_x0000_s1324" o:spid="_x0000_s1324" o:spt="202" type="#_x0000_t202" style="position:absolute;left:0pt;margin-left:43.25pt;margin-top:7.2pt;height:10.9pt;width:6.45pt;z-index:251960320;mso-width-relative:page;mso-height-relative:page;" filled="f" stroked="f" coordsize="21600,21600">
            <v:path/>
            <v:fill on="f" focussize="0,0"/>
            <v:stroke on="f"/>
            <v:imagedata o:title=""/>
            <o:lock v:ext="edit" aspectratio="f"/>
            <v:textbox inset="0mm,0mm,0mm,0mm">
              <w:txbxContent>
                <w:p w14:paraId="5F82FF5A">
                  <w:pPr>
                    <w:spacing w:before="19" w:line="182" w:lineRule="auto"/>
                    <w:ind w:left="20"/>
                    <w:rPr>
                      <w:rFonts w:ascii="宋体" w:hAnsi="宋体" w:eastAsia="宋体" w:cs="宋体"/>
                      <w:sz w:val="18"/>
                      <w:szCs w:val="18"/>
                    </w:rPr>
                  </w:pPr>
                  <w:r>
                    <w:rPr>
                      <w:rFonts w:ascii="宋体" w:hAnsi="宋体" w:eastAsia="宋体" w:cs="宋体"/>
                      <w:sz w:val="18"/>
                      <w:szCs w:val="18"/>
                    </w:rPr>
                    <w:t>W</w:t>
                  </w:r>
                </w:p>
              </w:txbxContent>
            </v:textbox>
          </v:shape>
        </w:pict>
      </w:r>
      <w:r>
        <w:pict>
          <v:group id="_x0000_s1325" o:spid="_x0000_s1325" o:spt="203" style="position:absolute;left:0pt;margin-left:55.05pt;margin-top:10.3pt;height:25.5pt;width:22.5pt;z-index:251955200;mso-width-relative:page;mso-height-relative:page;" coordsize="450,510">
            <o:lock v:ext="edit"/>
            <v:shape id="_x0000_s1326" o:spid="_x0000_s1326" style="position:absolute;left:239;top:0;height:510;width:210;" fillcolor="#FA9696" filled="t" stroked="f" coordsize="210,510" path="m202,7,202,7l202,352,7,502,202,7e">
              <v:path/>
              <v:fill on="t" focussize="0,0"/>
              <v:stroke on="f"/>
              <v:imagedata o:title=""/>
              <o:lock v:ext="edit"/>
            </v:shape>
            <v:shape id="_x0000_s1327" o:spid="_x0000_s1327" style="position:absolute;left:239;top:0;height:510;width:210;" filled="f" stroked="t" coordsize="210,510" path="m202,352l7,502,202,7e">
              <v:fill on="f" focussize="0,0"/>
              <v:stroke color="#000000" miterlimit="2" endcap="round"/>
              <v:imagedata o:title=""/>
              <o:lock v:ext="edit"/>
            </v:shape>
            <v:shape id="_x0000_s1328" o:spid="_x0000_s1328" style="position:absolute;left:0;top:0;height:510;width:450;" fillcolor="#C8C8C8" filled="t" stroked="t" coordsize="450,510" path="m442,7l247,502,7,457,442,7e">
              <v:fill on="t" focussize="0,0"/>
              <v:stroke color="#000000" miterlimit="2" endcap="round"/>
              <v:imagedata o:title=""/>
              <o:lock v:ext="edit"/>
            </v:shape>
            <v:shape id="_x0000_s1329" o:spid="_x0000_s1329" style="position:absolute;left:0;top:0;height:465;width:450;" fillcolor="#FA9696" filled="t" stroked="t" coordsize="450,465" path="m442,7l7,457,202,112,442,7e">
              <v:fill on="t" focussize="0,0"/>
              <v:stroke color="#000000" miterlimit="2" endcap="round"/>
              <v:imagedata o:title=""/>
              <o:lock v:ext="edit"/>
            </v:shape>
            <v:shape id="_x0000_s1330" o:spid="_x0000_s1330" style="position:absolute;left:194;top:0;height:120;width:255;" filled="f" stroked="t" coordsize="255,120" path="m247,7l7,112,82,7e">
              <v:fill on="f" focussize="0,0"/>
              <v:stroke color="#000000" miterlimit="2" endcap="round"/>
              <v:imagedata o:title=""/>
              <o:lock v:ext="edit"/>
            </v:shape>
            <v:shape id="_x0000_s1331" o:spid="_x0000_s1331" style="position:absolute;left:194;top:0;height:120;width:255;" fillcolor="#C8C8C8" filled="t" stroked="f" coordsize="255,120" path="m247,7,247,7l7,112,82,7,247,7e">
              <v:path/>
              <v:fill on="t" focussize="0,0"/>
              <v:stroke on="f"/>
              <v:imagedata o:title=""/>
              <o:lock v:ext="edit"/>
            </v:shape>
          </v:group>
        </w:pict>
      </w:r>
      <w:r>
        <w:pict>
          <v:group id="_x0000_s1332" o:spid="_x0000_s1332" o:spt="203" style="position:absolute;left:0pt;margin-left:67.05pt;margin-top:6.55pt;height:4.5pt;width:10.5pt;z-index:251956224;mso-width-relative:page;mso-height-relative:page;" coordsize="210,90">
            <o:lock v:ext="edit"/>
            <v:shape id="_x0000_s1333" o:spid="_x0000_s1333" style="position:absolute;left:0;top:0;height:90;width:210;" fillcolor="#FA9696" filled="t" stroked="f" coordsize="210,90" path="m202,82,202,82l37,82,7,7,202,82e">
              <v:path/>
              <v:fill on="t" focussize="0,0"/>
              <v:stroke on="f"/>
              <v:imagedata o:title=""/>
              <o:lock v:ext="edit"/>
            </v:shape>
            <v:shape id="_x0000_s1334" o:spid="_x0000_s1334" style="position:absolute;left:0;top:0;height:90;width:210;" filled="f" stroked="t" coordsize="210,90" path="m37,82l7,7,202,82m202,82l7,7,172,67e">
              <v:fill on="f" focussize="0,0"/>
              <v:stroke color="#000000" miterlimit="2" endcap="round"/>
              <v:imagedata o:title=""/>
              <o:lock v:ext="edit"/>
            </v:shape>
            <v:shape id="_x0000_s1335" o:spid="_x0000_s1335" style="position:absolute;left:0;top:0;height:90;width:210;" fillcolor="#C8C8C8" filled="t" stroked="f" coordsize="210,90" path="m202,82,202,82l7,7,172,67,202,82e">
              <v:path/>
              <v:fill on="t" focussize="0,0"/>
              <v:stroke on="f"/>
              <v:imagedata o:title=""/>
              <o:lock v:ext="edit"/>
            </v:shape>
          </v:group>
        </w:pict>
      </w:r>
      <w:r>
        <w:pict>
          <v:group id="_x0000_s1336" o:spid="_x0000_s1336" o:spt="203" style="position:absolute;left:0pt;margin-left:73.05pt;margin-top:2.05pt;height:9pt;width:6.75pt;z-index:251950080;mso-width-relative:page;mso-height-relative:page;" coordsize="135,180">
            <o:lock v:ext="edit"/>
            <v:shape id="_x0000_s1337" o:spid="_x0000_s1337" style="position:absolute;left:75;top:59;height:120;width:15;" filled="f" stroked="t" coordsize="15,120" path="m7,112l7,7e">
              <v:fill on="f" focussize="0,0"/>
              <v:stroke color="#000000" miterlimit="2" endcap="round"/>
              <v:imagedata o:title=""/>
              <o:lock v:ext="edit"/>
            </v:shape>
            <v:shape id="_x0000_s1338" o:spid="_x0000_s1338" style="position:absolute;left:75;top:59;height:120;width:60;" fillcolor="#FA9696" filled="t" stroked="f" coordsize="60,120" path="m7,112,7,112l7,7,52,7,7,112e">
              <v:path/>
              <v:fill on="t" focussize="0,0"/>
              <v:stroke on="f"/>
              <v:imagedata o:title=""/>
              <o:lock v:ext="edit"/>
            </v:shape>
            <v:shape id="_x0000_s1339" o:spid="_x0000_s1339" style="position:absolute;left:75;top:59;height:120;width:60;" filled="f" stroked="t" coordsize="60,120" path="m52,7l7,112e">
              <v:fill on="f" focussize="0,0"/>
              <v:stroke color="#000000" miterlimit="2" endcap="round"/>
              <v:imagedata o:title=""/>
              <o:lock v:ext="edit"/>
            </v:shape>
            <v:shape id="_x0000_s1340" o:spid="_x0000_s1340" style="position:absolute;left:0;top:0;height:180;width:90;" fillcolor="#FA9696" filled="t" stroked="f" coordsize="90,180" path="m82,172,82,172l52,157,7,7,82,172e">
              <v:path/>
              <v:fill on="t" focussize="0,0"/>
              <v:stroke on="f"/>
              <v:imagedata o:title=""/>
              <o:lock v:ext="edit"/>
            </v:shape>
            <v:shape id="_x0000_s1341" o:spid="_x0000_s1341" style="position:absolute;left:0;top:0;height:180;width:90;" filled="f" stroked="t" coordsize="90,180" path="m52,157l7,7,82,172m82,172l7,7e">
              <v:fill on="f" focussize="0,0"/>
              <v:stroke color="#000000" miterlimit="2" endcap="round"/>
              <v:imagedata o:title=""/>
              <o:lock v:ext="edit"/>
            </v:shape>
            <v:shape id="_x0000_s1342" o:spid="_x0000_s1342" style="position:absolute;left:0;top:0;height:180;width:90;" fillcolor="#C8C8C8" filled="t" stroked="f" coordsize="90,180" path="m82,172,82,172l7,7,82,67,82,172e">
              <v:path/>
              <v:fill on="t" focussize="0,0"/>
              <v:stroke on="f"/>
              <v:imagedata o:title=""/>
              <o:lock v:ext="edit"/>
            </v:shape>
            <v:shape id="_x0000_s1343" o:spid="_x0000_s1343" style="position:absolute;left:0;top:0;height:180;width:90;" filled="f" stroked="t" coordsize="90,180" path="m82,67l82,172e">
              <v:fill on="f" focussize="0,0"/>
              <v:stroke color="#000000" miterlimit="2" endcap="round"/>
              <v:imagedata o:title=""/>
              <o:lock v:ext="edit"/>
            </v:shape>
          </v:group>
        </w:pict>
      </w:r>
      <w:r>
        <w:pict>
          <v:group id="_x0000_s1344" o:spid="_x0000_s1344" o:spt="203" style="position:absolute;left:0pt;margin-left:76.8pt;margin-top:10.3pt;height:18pt;width:1.5pt;z-index:251954176;mso-width-relative:page;mso-height-relative:page;" coordsize="30,360">
            <o:lock v:ext="edit"/>
            <v:shape id="_x0000_s1345" o:spid="_x0000_s1345" style="position:absolute;left:0;top:0;height:360;width:30;" fillcolor="#C8C8C8" filled="t" stroked="t" coordsize="30,360" path="m7,7l22,37,7,352,7,7e">
              <v:fill on="t" focussize="0,0"/>
              <v:stroke color="#000000" miterlimit="2" endcap="round"/>
              <v:imagedata o:title=""/>
              <o:lock v:ext="edit"/>
            </v:shape>
            <v:shape id="_x0000_s1346" o:spid="_x0000_s1346" style="position:absolute;left:0;top:0;height:360;width:15;" filled="f" stroked="t" coordsize="15,360" path="m7,7l7,352e">
              <v:fill on="f" focussize="0,0"/>
              <v:stroke color="#000000" miterlimit="2" endcap="round"/>
              <v:imagedata o:title=""/>
              <o:lock v:ext="edit"/>
            </v:shape>
          </v:group>
        </w:pict>
      </w:r>
      <w:r>
        <w:pict>
          <v:shape id="_x0000_s1347" o:spid="_x0000_s1347" style="position:absolute;left:0pt;margin-left:73.4pt;margin-top:2.45pt;height:3.75pt;width:6.75pt;z-index:251952128;mso-width-relative:page;mso-height-relative:page;" filled="f" stroked="t" coordsize="135,75" path="m82,67l127,67m7,7l82,67e">
            <v:fill on="f" focussize="0,0"/>
            <v:stroke color="#000000" miterlimit="2" endcap="round"/>
            <v:imagedata o:title=""/>
            <o:lock v:ext="edit"/>
          </v:shape>
        </w:pict>
      </w:r>
      <w:r>
        <w:pict>
          <v:rect id="_x0000_s1348" o:spid="_x0000_s1348" o:spt="1" style="position:absolute;left:0pt;margin-left:175.8pt;margin-top:10.3pt;height:15pt;width:0.75pt;z-index:252006400;mso-width-relative:page;mso-height-relative:page;" fillcolor="#000000" filled="t" stroked="f" coordsize="21600,21600">
            <v:path/>
            <v:fill on="t" opacity="63994f" focussize="0,0"/>
            <v:stroke on="f"/>
            <v:imagedata o:title=""/>
            <o:lock v:ext="edit"/>
          </v:rect>
        </w:pict>
      </w:r>
      <w:r>
        <w:pict>
          <v:group id="_x0000_s1349" o:spid="_x0000_s1349" o:spt="203" style="position:absolute;left:0pt;margin-left:175.8pt;margin-top:10.3pt;height:2.25pt;width:9pt;z-index:252002304;mso-width-relative:page;mso-height-relative:page;" coordsize="180,45">
            <o:lock v:ext="edit"/>
            <v:shape id="_x0000_s1350" o:spid="_x0000_s1350" style="position:absolute;left:0;top:0;height:45;width:180;" fillcolor="#FA9696" filled="t" stroked="f" coordsize="180,45" path="m7,7,7,7l172,7,52,37,7,7e">
              <v:path/>
              <v:fill on="t" focussize="0,0"/>
              <v:stroke on="f"/>
              <v:imagedata o:title=""/>
              <o:lock v:ext="edit"/>
            </v:shape>
            <v:shape id="_x0000_s1351" o:spid="_x0000_s1351" style="position:absolute;left:0;top:0;height:45;width:180;" filled="f" stroked="t" coordsize="180,45" path="m52,37l7,7e">
              <v:fill on="f" focussize="0,0"/>
              <v:stroke color="#000000" miterlimit="2" endcap="round"/>
              <v:imagedata o:title=""/>
              <o:lock v:ext="edit"/>
            </v:shape>
            <v:shape id="_x0000_s1352" o:spid="_x0000_s1352" style="position:absolute;left:0;top:0;height:45;width:60;" fillcolor="#C8C8C8" filled="t" stroked="t" coordsize="60,45" path="m7,7l52,37,37,37,7,7e">
              <v:fill on="t" focussize="0,0"/>
              <v:stroke color="#000000" miterlimit="2" endcap="round"/>
              <v:imagedata o:title=""/>
              <o:lock v:ext="edit"/>
            </v:shape>
            <v:shape id="_x0000_s1353" o:spid="_x0000_s1353" style="position:absolute;left:0;top:0;height:45;width:45;" fillcolor="#FA9696" filled="t" stroked="t" coordsize="45,45" path="m7,7l37,37,7,22,7,7e">
              <v:fill on="t" focussize="0,0"/>
              <v:stroke color="#000000" miterlimit="2" endcap="round"/>
              <v:imagedata o:title=""/>
              <o:lock v:ext="edit"/>
            </v:shape>
          </v:group>
        </w:pict>
      </w:r>
      <w:r>
        <w:pict>
          <v:group id="_x0000_s1354" o:spid="_x0000_s1354" o:spt="203" style="position:absolute;left:0pt;margin-left:175.8pt;margin-top:2.05pt;height:9pt;width:9pt;z-index:252005376;mso-width-relative:page;mso-height-relative:page;" coordsize="180,180">
            <o:lock v:ext="edit"/>
            <v:shape id="_x0000_s1355" o:spid="_x0000_s1355" style="position:absolute;left:0;top:0;height:180;width:90;" fillcolor="#FA9696" filled="t" stroked="f" coordsize="90,180" path="m7,172,7,172l7,37,82,7,7,172e">
              <v:path/>
              <v:fill on="t" focussize="0,0"/>
              <v:stroke on="f"/>
              <v:imagedata o:title=""/>
              <o:lock v:ext="edit"/>
            </v:shape>
            <v:shape id="_x0000_s1356" o:spid="_x0000_s1356" style="position:absolute;left:0;top:0;height:180;width:90;" filled="f" stroked="t" coordsize="90,180" path="m82,7l7,172m7,172l82,7e">
              <v:fill on="f" focussize="0,0"/>
              <v:stroke color="#000000" miterlimit="2" endcap="round"/>
              <v:imagedata o:title=""/>
              <o:lock v:ext="edit"/>
            </v:shape>
            <v:shape id="_x0000_s1357" o:spid="_x0000_s1357" style="position:absolute;left:0;top:0;height:180;width:180;" fillcolor="#C8C8C8" filled="t" stroked="f" coordsize="180,180" path="m7,172,7,172l82,7,172,7,7,172e">
              <v:path/>
              <v:fill on="t" focussize="0,0"/>
              <v:stroke on="f"/>
              <v:imagedata o:title=""/>
              <o:lock v:ext="edit"/>
            </v:shape>
            <v:shape id="_x0000_s1358" o:spid="_x0000_s1358" style="position:absolute;left:0;top:0;height:180;width:180;" filled="f" stroked="t" coordsize="180,180" path="m172,7l7,172e">
              <v:fill on="f" focussize="0,0"/>
              <v:stroke color="#000000" miterlimit="2" endcap="round"/>
              <v:imagedata o:title=""/>
              <o:lock v:ext="edit"/>
            </v:shape>
            <v:shape id="_x0000_s1359" o:spid="_x0000_s1359" style="position:absolute;left:0;top:0;height:180;width:180;" fillcolor="#FA9696" filled="t" stroked="t" coordsize="180,180" path="m7,172l172,7,127,127,7,172e">
              <v:fill on="t" focussize="0,0"/>
              <v:stroke color="#000000" miterlimit="2" endcap="round"/>
              <v:imagedata o:title=""/>
              <o:lock v:ext="edit"/>
            </v:shape>
            <v:shape id="_x0000_s1360" o:spid="_x0000_s1360" style="position:absolute;left:0;top:119;height:60;width:135;" filled="f" stroked="t" coordsize="135,60" path="m7,52l127,7e">
              <v:fill on="f" focussize="0,0"/>
              <v:stroke color="#000000" miterlimit="2" endcap="round"/>
              <v:imagedata o:title=""/>
              <o:lock v:ext="edit"/>
            </v:shape>
            <v:shape id="_x0000_s1361" o:spid="_x0000_s1361" style="position:absolute;left:0;top:119;height:60;width:180;" fillcolor="#C8C8C8" filled="t" stroked="f" coordsize="180,60" path="m7,52,7,52l127,7,172,52,7,52e">
              <v:path/>
              <v:fill on="t" focussize="0,0"/>
              <v:stroke on="f"/>
              <v:imagedata o:title=""/>
              <o:lock v:ext="edit"/>
            </v:shape>
          </v:group>
        </w:pict>
      </w:r>
      <w:r>
        <w:pict>
          <v:shape id="_x0000_s1362" o:spid="_x0000_s1362" style="position:absolute;left:0pt;margin-left:171.65pt;margin-top:6.95pt;height:4.5pt;width:5.25pt;z-index:252008448;mso-width-relative:page;mso-height-relative:page;" filled="f" stroked="t" coordsize="105,90" path="m7,7l97,82m97,82l7,7e">
            <v:fill on="f" focussize="0,0"/>
            <v:stroke color="#000000" miterlimit="2" endcap="round"/>
            <v:imagedata o:title=""/>
            <o:lock v:ext="edit"/>
          </v:shape>
        </w:pict>
      </w:r>
      <w:r>
        <w:pict>
          <v:group id="_x0000_s1363" o:spid="_x0000_s1363" o:spt="203" style="position:absolute;left:0pt;margin-left:155.55pt;margin-top:6.55pt;height:27pt;width:21pt;z-index:252007424;mso-width-relative:page;mso-height-relative:page;" coordsize="420,540">
            <o:lock v:ext="edit"/>
            <v:shape id="_x0000_s1364" o:spid="_x0000_s1364" style="position:absolute;left:224;top:75;height:465;width:195;" fillcolor="#FA9696" filled="t" stroked="f" coordsize="195,465" path="m187,7,187,7l187,292,7,457,187,7e">
              <v:path/>
              <v:fill on="t" focussize="0,0"/>
              <v:stroke on="f"/>
              <v:imagedata o:title=""/>
              <o:lock v:ext="edit"/>
            </v:shape>
            <v:shape id="_x0000_s1365" o:spid="_x0000_s1365" style="position:absolute;left:224;top:75;height:465;width:195;" filled="f" stroked="t" coordsize="195,465" path="m187,292l7,457,187,7e">
              <v:fill on="f" focussize="0,0"/>
              <v:stroke color="#000000" miterlimit="2" endcap="round"/>
              <v:imagedata o:title=""/>
              <o:lock v:ext="edit"/>
            </v:shape>
            <v:shape id="_x0000_s1366" o:spid="_x0000_s1366" style="position:absolute;left:0;top:75;height:465;width:420;" fillcolor="#C8C8C8" filled="t" stroked="t" coordsize="420,465" path="m412,7l232,457,7,427,412,7e">
              <v:fill on="t" focussize="0,0"/>
              <v:stroke color="#000000" miterlimit="2" endcap="round"/>
              <v:imagedata o:title=""/>
              <o:lock v:ext="edit"/>
            </v:shape>
            <v:shape id="_x0000_s1367" o:spid="_x0000_s1367" style="position:absolute;left:0;top:75;height:435;width:420;" fillcolor="#FA9696" filled="t" stroked="t" coordsize="420,435" path="m412,7l7,427,172,112,412,7e">
              <v:fill on="t" focussize="0,0"/>
              <v:stroke color="#000000" miterlimit="2" endcap="round"/>
              <v:imagedata o:title=""/>
              <o:lock v:ext="edit"/>
            </v:shape>
            <v:shape id="_x0000_s1368" o:spid="_x0000_s1368" style="position:absolute;left:134;top:75;height:120;width:285;" fillcolor="#C8C8C8" filled="t" stroked="t" coordsize="285,120" path="m277,7l37,112,7,7,277,7e">
              <v:fill on="t" focussize="0,0"/>
              <v:stroke color="#000000" miterlimit="2" endcap="round"/>
              <v:imagedata o:title=""/>
              <o:lock v:ext="edit"/>
            </v:shape>
            <v:shape id="_x0000_s1369" o:spid="_x0000_s1369" style="position:absolute;left:134;top:0;height:90;width:285;" fillcolor="#FA9696" filled="t" stroked="t" coordsize="285,90" path="m277,82l7,82,67,7,277,82e">
              <v:fill on="t" focussize="0,0"/>
              <v:stroke color="#000000" miterlimit="2" endcap="round"/>
              <v:imagedata o:title=""/>
              <o:lock v:ext="edit"/>
            </v:shape>
            <v:shape id="_x0000_s1370" o:spid="_x0000_s1370" style="position:absolute;left:194;top:0;height:90;width:225;" filled="f" stroked="t" coordsize="225,90" path="m217,82l7,7,127,7e">
              <v:fill on="f" focussize="0,0"/>
              <v:stroke color="#000000" miterlimit="2" endcap="round"/>
              <v:imagedata o:title=""/>
              <o:lock v:ext="edit"/>
            </v:shape>
            <v:shape id="_x0000_s1371" o:spid="_x0000_s1371" style="position:absolute;left:194;top:0;height:90;width:225;" fillcolor="#C8C8C8" filled="t" stroked="f" coordsize="225,90" path="m217,82,217,82l7,7,127,7,217,82e">
              <v:path/>
              <v:fill on="t" focussize="0,0"/>
              <v:stroke on="f"/>
              <v:imagedata o:title=""/>
              <o:lock v:ext="edit"/>
            </v:shape>
          </v:group>
        </w:pict>
      </w:r>
      <w:r>
        <w:pict>
          <v:group id="_x0000_s1372" o:spid="_x0000_s1372" o:spt="203" style="position:absolute;left:0pt;margin-left:171.3pt;margin-top:0.55pt;height:10.5pt;width:5.25pt;z-index:252003328;mso-width-relative:page;mso-height-relative:page;" coordsize="105,210">
            <o:lock v:ext="edit"/>
            <v:shape id="_x0000_s1373" o:spid="_x0000_s1373" style="position:absolute;left:0;top:0;height:210;width:105;" fillcolor="#FA9696" filled="t" stroked="f" coordsize="105,210" path="m97,202,97,202l7,127,22,7,97,202e">
              <v:path/>
              <v:fill on="t" focussize="0,0"/>
              <v:stroke on="f"/>
              <v:imagedata o:title=""/>
              <o:lock v:ext="edit"/>
            </v:shape>
            <v:shape id="_x0000_s1374" o:spid="_x0000_s1374" style="position:absolute;left:0;top:0;height:210;width:105;" filled="f" stroked="t" coordsize="105,210" path="m22,7l97,202m97,202l22,7e">
              <v:fill on="f" focussize="0,0"/>
              <v:stroke color="#000000" miterlimit="2" endcap="round"/>
              <v:imagedata o:title=""/>
              <o:lock v:ext="edit"/>
            </v:shape>
            <v:shape id="_x0000_s1375" o:spid="_x0000_s1375" style="position:absolute;left:15;top:0;height:210;width:90;" fillcolor="#C8C8C8" filled="t" stroked="f" coordsize="90,210" path="m82,202,82,202l7,7,82,67,82,202e">
              <v:path/>
              <v:fill on="t" focussize="0,0"/>
              <v:stroke on="f"/>
              <v:imagedata o:title=""/>
              <o:lock v:ext="edit"/>
            </v:shape>
          </v:group>
        </w:pict>
      </w:r>
      <w:r>
        <w:pict>
          <v:shape id="_x0000_s1376" o:spid="_x0000_s1376" style="position:absolute;left:0pt;margin-left:171.65pt;margin-top:0.95pt;height:6.75pt;width:9pt;z-index:252004352;mso-width-relative:page;mso-height-relative:page;" filled="f" stroked="t" coordsize="180,135" path="m97,67l172,37m7,127l22,7m22,7l97,67e">
            <v:fill on="f" focussize="0,0"/>
            <v:stroke color="#000000" miterlimit="2" endcap="round"/>
            <v:imagedata o:title=""/>
            <o:lock v:ext="edit"/>
          </v:shape>
        </w:pict>
      </w:r>
      <w:r>
        <w:pict>
          <v:group id="_x0000_s1377" o:spid="_x0000_s1377" o:spt="203" style="position:absolute;left:0pt;margin-left:271.75pt;margin-top:4.3pt;height:6.75pt;width:3.75pt;z-index:251971584;mso-width-relative:page;mso-height-relative:page;" coordsize="75,135">
            <o:lock v:ext="edit"/>
            <v:shape id="_x0000_s1378" o:spid="_x0000_s1378" style="position:absolute;left:0;top:59;height:75;width:75;" filled="f" stroked="t" coordsize="75,75" path="m7,7l67,67e">
              <v:fill on="f" focussize="0,0"/>
              <v:stroke color="#000000" miterlimit="2" endcap="round"/>
              <v:imagedata o:title=""/>
              <o:lock v:ext="edit"/>
            </v:shape>
            <v:shape id="_x0000_s1379" o:spid="_x0000_s1379" style="position:absolute;left:0;top:0;height:135;width:75;" fillcolor="#FA9696" filled="t" stroked="t" coordsize="75,135" path="m67,127l7,67,22,7,67,127e">
              <v:fill on="t" focussize="0,0"/>
              <v:stroke color="#000000" miterlimit="2" endcap="round"/>
              <v:imagedata o:title=""/>
              <o:lock v:ext="edit"/>
            </v:shape>
            <v:shape id="_x0000_s1380" o:spid="_x0000_s1380" style="position:absolute;left:15;top:0;height:135;width:60;" filled="f" stroked="t" coordsize="60,135" path="m52,127l7,7,52,22e">
              <v:fill on="f" focussize="0,0"/>
              <v:stroke color="#000000" miterlimit="2" endcap="round"/>
              <v:imagedata o:title=""/>
              <o:lock v:ext="edit"/>
            </v:shape>
            <v:shape id="_x0000_s1381" o:spid="_x0000_s1381" style="position:absolute;left:15;top:0;height:135;width:60;" fillcolor="#C8C8C8" filled="t" stroked="f" coordsize="60,135" path="m52,127,52,127l7,7,52,22,52,127e">
              <v:path/>
              <v:fill on="t" focussize="0,0"/>
              <v:stroke on="f"/>
              <v:imagedata o:title=""/>
              <o:lock v:ext="edit"/>
            </v:shape>
          </v:group>
        </w:pict>
      </w:r>
      <w:r>
        <w:pict>
          <v:group id="_x0000_s1382" o:spid="_x0000_s1382" o:spt="203" style="position:absolute;left:0pt;margin-left:274.75pt;margin-top:10.3pt;height:3.75pt;width:7.5pt;z-index:251964416;mso-width-relative:page;mso-height-relative:page;" coordsize="150,75">
            <o:lock v:ext="edit"/>
            <v:shape id="_x0000_s1383" o:spid="_x0000_s1383" style="position:absolute;left:0;top:0;height:75;width:150;" fillcolor="#FA9696" filled="t" stroked="f" coordsize="150,75" path="m7,7,7,7l142,7,112,67,7,7e">
              <v:path/>
              <v:fill on="t" focussize="0,0"/>
              <v:stroke on="f"/>
              <v:imagedata o:title=""/>
              <o:lock v:ext="edit"/>
            </v:shape>
            <v:shape id="_x0000_s1384" o:spid="_x0000_s1384" style="position:absolute;left:0;top:0;height:75;width:150;" filled="f" stroked="t" coordsize="150,75" path="m112,67l7,7m7,7l112,67e">
              <v:fill on="f" focussize="0,0"/>
              <v:stroke color="#000000" miterlimit="2" endcap="round"/>
              <v:imagedata o:title=""/>
              <o:lock v:ext="edit"/>
            </v:shape>
            <v:shape id="_x0000_s1385" o:spid="_x0000_s1385" style="position:absolute;left:0;top:0;height:75;width:120;" fillcolor="#C8C8C8" filled="t" stroked="f" coordsize="120,75" path="m7,7,7,7l112,67,52,67,7,7e">
              <v:path/>
              <v:fill on="t" focussize="0,0"/>
              <v:stroke on="f"/>
              <v:imagedata o:title=""/>
              <o:lock v:ext="edit"/>
            </v:shape>
            <v:shape id="_x0000_s1386" o:spid="_x0000_s1386" style="position:absolute;left:0;top:0;height:75;width:120;" filled="f" stroked="t" coordsize="120,75" path="m52,67l7,7e">
              <v:fill on="f" focussize="0,0"/>
              <v:stroke color="#000000" miterlimit="2" endcap="round"/>
              <v:imagedata o:title=""/>
              <o:lock v:ext="edit"/>
            </v:shape>
            <v:shape id="_x0000_s1387" o:spid="_x0000_s1387" style="position:absolute;left:0;top:0;height:75;width:60;" fillcolor="#FA9696" filled="t" stroked="t" coordsize="60,75" path="m7,7l52,67,22,52,7,7e">
              <v:fill on="t" focussize="0,0"/>
              <v:stroke color="#000000" miterlimit="2" endcap="round"/>
              <v:imagedata o:title=""/>
              <o:lock v:ext="edit"/>
            </v:shape>
          </v:group>
        </w:pict>
      </w:r>
      <w:r>
        <w:pict>
          <v:shape id="_x0000_s1388" o:spid="_x0000_s1388" o:spt="202" type="#_x0000_t202" style="position:absolute;left:0pt;margin-left:241.2pt;margin-top:6.3pt;height:20pt;width:35.3pt;z-index:251968512;mso-width-relative:page;mso-height-relative:page;" filled="f" stroked="f" coordsize="21600,21600">
            <v:path/>
            <v:fill on="f" focussize="0,0"/>
            <v:stroke on="f"/>
            <v:imagedata o:title=""/>
            <o:lock v:ext="edit" aspectratio="f"/>
            <v:textbox inset="0mm,0mm,0mm,0mm">
              <w:txbxContent>
                <w:p w14:paraId="02E3371B">
                  <w:pPr>
                    <w:spacing w:before="20" w:line="207" w:lineRule="auto"/>
                    <w:ind w:left="20"/>
                    <w:rPr>
                      <w:sz w:val="18"/>
                      <w:szCs w:val="18"/>
                    </w:rPr>
                  </w:pPr>
                  <w:r>
                    <w:rPr>
                      <w:rFonts w:ascii="宋体" w:hAnsi="宋体" w:eastAsia="宋体" w:cs="宋体"/>
                      <w:spacing w:val="-2"/>
                      <w:sz w:val="18"/>
                      <w:szCs w:val="18"/>
                    </w:rPr>
                    <w:t>W</w:t>
                  </w:r>
                  <w:r>
                    <w:rPr>
                      <w:rFonts w:ascii="宋体" w:hAnsi="宋体" w:eastAsia="宋体" w:cs="宋体"/>
                      <w:spacing w:val="7"/>
                      <w:sz w:val="18"/>
                      <w:szCs w:val="18"/>
                    </w:rPr>
                    <w:t xml:space="preserve">   </w:t>
                  </w:r>
                  <w:r>
                    <w:rPr>
                      <w:position w:val="-21"/>
                      <w:sz w:val="18"/>
                      <w:szCs w:val="18"/>
                    </w:rPr>
                    <w:drawing>
                      <wp:inline distT="0" distB="0" distL="0" distR="0">
                        <wp:extent cx="180340" cy="227965"/>
                        <wp:effectExtent l="0" t="0" r="0" b="0"/>
                        <wp:docPr id="88" name="IM 88"/>
                        <wp:cNvGraphicFramePr/>
                        <a:graphic xmlns:a="http://schemas.openxmlformats.org/drawingml/2006/main">
                          <a:graphicData uri="http://schemas.openxmlformats.org/drawingml/2006/picture">
                            <pic:pic xmlns:pic="http://schemas.openxmlformats.org/drawingml/2006/picture">
                              <pic:nvPicPr>
                                <pic:cNvPr id="88" name="IM 88"/>
                                <pic:cNvPicPr/>
                              </pic:nvPicPr>
                              <pic:blipFill>
                                <a:blip r:embed="rId622"/>
                                <a:stretch>
                                  <a:fillRect/>
                                </a:stretch>
                              </pic:blipFill>
                              <pic:spPr>
                                <a:xfrm>
                                  <a:off x="0" y="0"/>
                                  <a:ext cx="180949" cy="228562"/>
                                </a:xfrm>
                                <a:prstGeom prst="rect">
                                  <a:avLst/>
                                </a:prstGeom>
                              </pic:spPr>
                            </pic:pic>
                          </a:graphicData>
                        </a:graphic>
                      </wp:inline>
                    </w:drawing>
                  </w:r>
                </w:p>
              </w:txbxContent>
            </v:textbox>
          </v:shape>
        </w:pict>
      </w:r>
      <w:r>
        <w:pict>
          <v:shape id="_x0000_s1389" o:spid="_x0000_s1389" style="position:absolute;left:0pt;margin-left:267.65pt;margin-top:7.7pt;height:1.5pt;width:5.25pt;z-index:251969536;mso-width-relative:page;mso-height-relative:page;" filled="f" stroked="t" coordsize="105,30" path="m7,22l97,7e">
            <v:fill on="f" focussize="0,0"/>
            <v:stroke color="#000000" miterlimit="2" endcap="round"/>
            <v:imagedata o:title=""/>
            <o:lock v:ext="edit"/>
          </v:shape>
        </w:pict>
      </w:r>
      <w:r>
        <w:pict>
          <v:group id="_x0000_s1390" o:spid="_x0000_s1390" o:spt="203" style="position:absolute;left:0pt;margin-left:374.5pt;margin-top:10.3pt;height:4.5pt;width:3.75pt;z-index:251980800;mso-width-relative:page;mso-height-relative:page;" coordsize="75,90">
            <o:lock v:ext="edit"/>
            <v:shape id="_x0000_s1391" o:spid="_x0000_s1391" style="position:absolute;left:0;top:0;height:90;width:75;" filled="f" stroked="t" coordsize="75,90" path="m67,82l7,7e">
              <v:fill on="f" focussize="0,0"/>
              <v:stroke color="#000000" miterlimit="2" endcap="round"/>
              <v:imagedata o:title=""/>
              <o:lock v:ext="edit"/>
            </v:shape>
            <v:shape id="_x0000_s1392" o:spid="_x0000_s1392" style="position:absolute;left:0;top:0;height:90;width:75;" fillcolor="#FA9696" filled="t" stroked="t" coordsize="75,90" path="m7,7l67,82,22,52,7,7e">
              <v:fill on="t" focussize="0,0"/>
              <v:stroke color="#000000" miterlimit="2" endcap="round"/>
              <v:imagedata o:title=""/>
              <o:lock v:ext="edit"/>
            </v:shape>
          </v:group>
        </w:pict>
      </w:r>
      <w:r>
        <w:pict>
          <v:shape id="_x0000_s1393" o:spid="_x0000_s1393" style="position:absolute;left:0pt;margin-left:368.15pt;margin-top:2.45pt;height:2.25pt;width:7.5pt;z-index:251983872;mso-width-relative:page;mso-height-relative:page;" filled="f" stroked="t" coordsize="150,45" path="m7,37l82,22m82,22l142,7e">
            <v:fill on="f" focussize="0,0"/>
            <v:stroke color="#000000" miterlimit="2" endcap="round"/>
            <v:imagedata o:title=""/>
            <o:lock v:ext="edit"/>
          </v:shape>
        </w:pict>
      </w:r>
      <w:r>
        <w:pict>
          <v:shape id="_x0000_s1394" o:spid="_x0000_s1394" o:spt="202" type="#_x0000_t202" style="position:absolute;left:0pt;margin-left:365.25pt;margin-top:2.55pt;height:6.5pt;width:4.25pt;z-index:251981824;mso-width-relative:page;mso-height-relative:page;" filled="f" stroked="f" coordsize="21600,21600">
            <v:path/>
            <v:fill on="f" focussize="0,0"/>
            <v:stroke on="f"/>
            <v:imagedata o:title=""/>
            <o:lock v:ext="edit" aspectratio="f"/>
            <v:textbox inset="0mm,0mm,0mm,0mm">
              <w:txbxContent>
                <w:p w14:paraId="49F2A154">
                  <w:pPr>
                    <w:pStyle w:val="2"/>
                    <w:spacing w:before="19" w:line="157" w:lineRule="auto"/>
                    <w:ind w:left="20"/>
                    <w:rPr>
                      <w:sz w:val="12"/>
                      <w:szCs w:val="12"/>
                    </w:rPr>
                  </w:pPr>
                  <w:r>
                    <w:rPr>
                      <w:spacing w:val="8"/>
                      <w:w w:val="110"/>
                      <w:sz w:val="12"/>
                      <w:szCs w:val="12"/>
                    </w:rPr>
                    <w:t>/</w:t>
                  </w:r>
                </w:p>
              </w:txbxContent>
            </v:textbox>
          </v:shape>
        </w:pict>
      </w:r>
      <w:r>
        <w:pict>
          <v:shape id="_x0000_s1395" o:spid="_x0000_s1395" o:spt="202" type="#_x0000_t202" style="position:absolute;left:0pt;margin-left:340.95pt;margin-top:6.3pt;height:20pt;width:35.3pt;z-index:251977728;mso-width-relative:page;mso-height-relative:page;" filled="f" stroked="f" coordsize="21600,21600">
            <v:path/>
            <v:fill on="f" focussize="0,0"/>
            <v:stroke on="f"/>
            <v:imagedata o:title=""/>
            <o:lock v:ext="edit" aspectratio="f"/>
            <v:textbox inset="0mm,0mm,0mm,0mm">
              <w:txbxContent>
                <w:p w14:paraId="7EE3878B">
                  <w:pPr>
                    <w:spacing w:before="20" w:line="207" w:lineRule="auto"/>
                    <w:ind w:left="20"/>
                    <w:rPr>
                      <w:sz w:val="18"/>
                      <w:szCs w:val="18"/>
                    </w:rPr>
                  </w:pPr>
                  <w:r>
                    <w:rPr>
                      <w:rFonts w:ascii="宋体" w:hAnsi="宋体" w:eastAsia="宋体" w:cs="宋体"/>
                      <w:spacing w:val="-2"/>
                      <w:sz w:val="18"/>
                      <w:szCs w:val="18"/>
                    </w:rPr>
                    <w:t>W</w:t>
                  </w:r>
                  <w:r>
                    <w:rPr>
                      <w:rFonts w:ascii="宋体" w:hAnsi="宋体" w:eastAsia="宋体" w:cs="宋体"/>
                      <w:spacing w:val="2"/>
                      <w:sz w:val="18"/>
                      <w:szCs w:val="18"/>
                    </w:rPr>
                    <w:t xml:space="preserve">   </w:t>
                  </w:r>
                  <w:r>
                    <w:rPr>
                      <w:position w:val="-21"/>
                      <w:sz w:val="18"/>
                      <w:szCs w:val="18"/>
                    </w:rPr>
                    <w:drawing>
                      <wp:inline distT="0" distB="0" distL="0" distR="0">
                        <wp:extent cx="189865" cy="227965"/>
                        <wp:effectExtent l="0" t="0" r="0" b="0"/>
                        <wp:docPr id="90" name="IM 90"/>
                        <wp:cNvGraphicFramePr/>
                        <a:graphic xmlns:a="http://schemas.openxmlformats.org/drawingml/2006/main">
                          <a:graphicData uri="http://schemas.openxmlformats.org/drawingml/2006/picture">
                            <pic:pic xmlns:pic="http://schemas.openxmlformats.org/drawingml/2006/picture">
                              <pic:nvPicPr>
                                <pic:cNvPr id="90" name="IM 90"/>
                                <pic:cNvPicPr/>
                              </pic:nvPicPr>
                              <pic:blipFill>
                                <a:blip r:embed="rId623"/>
                                <a:stretch>
                                  <a:fillRect/>
                                </a:stretch>
                              </pic:blipFill>
                              <pic:spPr>
                                <a:xfrm>
                                  <a:off x="0" y="0"/>
                                  <a:ext cx="190474" cy="228562"/>
                                </a:xfrm>
                                <a:prstGeom prst="rect">
                                  <a:avLst/>
                                </a:prstGeom>
                              </pic:spPr>
                            </pic:pic>
                          </a:graphicData>
                        </a:graphic>
                      </wp:inline>
                    </w:drawing>
                  </w:r>
                </w:p>
              </w:txbxContent>
            </v:textbox>
          </v:shape>
        </w:pict>
      </w:r>
      <w:r>
        <w:pict>
          <v:group id="_x0000_s1396" o:spid="_x0000_s1396" o:spt="203" style="position:absolute;left:0pt;margin-left:366.25pt;margin-top:2.05pt;height:9pt;width:9pt;z-index:251982848;mso-width-relative:page;mso-height-relative:page;" coordsize="180,180">
            <o:lock v:ext="edit"/>
            <v:shape id="_x0000_s1397" o:spid="_x0000_s1397" style="position:absolute;left:0;top:30;height:150;width:180;" fillcolor="#C8C8C8" filled="t" stroked="f" coordsize="180,150" path="m172,142,172,142l7,82,37,7,172,142e">
              <v:path/>
              <v:fill on="t" focussize="0,0"/>
              <v:stroke on="f"/>
              <v:imagedata o:title=""/>
              <o:lock v:ext="edit"/>
            </v:shape>
            <v:shape id="_x0000_s1398" o:spid="_x0000_s1398" style="position:absolute;left:0;top:30;height:150;width:180;" filled="f" stroked="t" coordsize="180,150" path="m37,7l172,142m172,142l37,7e">
              <v:fill on="f" focussize="0,0"/>
              <v:stroke color="#000000" miterlimit="2" endcap="round"/>
              <v:imagedata o:title=""/>
              <o:lock v:ext="edit"/>
            </v:shape>
            <v:shape id="_x0000_s1399" o:spid="_x0000_s1399" style="position:absolute;left:30;top:15;height:165;width:150;" fillcolor="#FA9696" filled="t" stroked="f" coordsize="150,165" path="m142,157,142,157l7,22,82,7,142,157e">
              <v:path/>
              <v:fill on="t" focussize="0,0"/>
              <v:stroke on="f"/>
              <v:imagedata o:title=""/>
              <o:lock v:ext="edit"/>
            </v:shape>
            <v:shape id="_x0000_s1400" o:spid="_x0000_s1400" style="position:absolute;left:30;top:15;height:165;width:150;" filled="f" stroked="t" coordsize="150,165" path="m82,7l142,157m142,157l82,7e">
              <v:fill on="f" focussize="0,0"/>
              <v:stroke color="#000000" miterlimit="2" endcap="round"/>
              <v:imagedata o:title=""/>
              <o:lock v:ext="edit"/>
            </v:shape>
            <v:shape id="_x0000_s1401" o:spid="_x0000_s1401" style="position:absolute;left:105;top:0;height:180;width:75;" fillcolor="#C8C8C8" filled="t" stroked="f" coordsize="75,180" path="m67,172,67,172l7,22,67,7,67,172e">
              <v:path/>
              <v:fill on="t" focussize="0,0"/>
              <v:stroke on="f"/>
              <v:imagedata o:title=""/>
              <o:lock v:ext="edit"/>
            </v:shape>
          </v:group>
        </w:pict>
      </w:r>
      <w:r>
        <w:pict>
          <v:group id="_x0000_s1402" o:spid="_x0000_s1402" o:spt="203" style="position:absolute;left:0pt;margin-left:374.5pt;margin-top:0.55pt;height:14.25pt;width:11.25pt;z-index:251979776;mso-width-relative:page;mso-height-relative:page;" coordsize="225,285">
            <o:lock v:ext="edit"/>
            <v:shape id="_x0000_s1403" o:spid="_x0000_s1403" style="position:absolute;left:0;top:0;height:210;width:225;" fillcolor="#C8C8C8" filled="t" stroked="f" coordsize="225,210" path="m7,202,7,202l82,22,217,7,7,202e">
              <v:path/>
              <v:fill on="t" focussize="0,0"/>
              <v:stroke on="f"/>
              <v:imagedata o:title=""/>
              <o:lock v:ext="edit"/>
            </v:shape>
            <v:shape id="_x0000_s1404" o:spid="_x0000_s1404" style="position:absolute;left:0;top:0;height:210;width:225;" filled="f" stroked="t" coordsize="225,210" path="m82,22l217,7,7,202e">
              <v:fill on="f" focussize="0,0"/>
              <v:stroke color="#000000" miterlimit="2" endcap="round"/>
              <v:imagedata o:title=""/>
              <o:lock v:ext="edit"/>
            </v:shape>
            <v:shape id="_x0000_s1405" o:spid="_x0000_s1405" style="position:absolute;left:0;top:0;height:210;width:225;" fillcolor="#FA9696" filled="t" stroked="t" coordsize="225,210" path="m7,202l217,7,142,157,7,202e">
              <v:fill on="t" focussize="0,0"/>
              <v:stroke color="#000000" miterlimit="2" endcap="round"/>
              <v:imagedata o:title=""/>
              <o:lock v:ext="edit"/>
            </v:shape>
            <v:shape id="_x0000_s1406" o:spid="_x0000_s1406" style="position:absolute;left:0;top:149;height:60;width:165;" fillcolor="#C8C8C8" filled="t" stroked="f" coordsize="165,60" path="m7,52,7,52l142,7,157,52,7,52e">
              <v:path/>
              <v:fill on="t" focussize="0,0"/>
              <v:stroke on="f"/>
              <v:imagedata o:title=""/>
              <o:lock v:ext="edit"/>
            </v:shape>
            <v:shape id="_x0000_s1407" o:spid="_x0000_s1407" style="position:absolute;left:0;top:149;height:60;width:165;" filled="f" stroked="t" coordsize="165,60" path="m142,7l157,52,7,52e">
              <v:fill on="f" focussize="0,0"/>
              <v:stroke color="#000000" miterlimit="2" endcap="round"/>
              <v:imagedata o:title=""/>
              <o:lock v:ext="edit"/>
            </v:shape>
            <v:shape id="_x0000_s1408" o:spid="_x0000_s1408" style="position:absolute;left:0;top:194;height:90;width:180;" fillcolor="#FA9696" filled="t" stroked="t" coordsize="180,90" path="m7,7l157,7,172,82,7,7e">
              <v:fill on="t" focussize="0,0"/>
              <v:stroke color="#000000" miterlimit="2" endcap="round"/>
              <v:imagedata o:title=""/>
              <o:lock v:ext="edit"/>
            </v:shape>
            <v:shape id="_x0000_s1409" o:spid="_x0000_s1409" style="position:absolute;left:0;top:194;height:90;width:180;" filled="f" stroked="t" coordsize="180,90" path="m7,7l172,82,67,82e">
              <v:fill on="f" focussize="0,0"/>
              <v:stroke color="#000000" miterlimit="2" endcap="round"/>
              <v:imagedata o:title=""/>
              <o:lock v:ext="edit"/>
            </v:shape>
            <v:shape id="_x0000_s1410" o:spid="_x0000_s1410" style="position:absolute;left:0;top:194;height:90;width:180;" fillcolor="#C8C8C8" filled="t" stroked="f" coordsize="180,90" path="m7,7,7,7l172,82,67,82,7,7e">
              <v:path/>
              <v:fill on="t" focussize="0,0"/>
              <v:stroke on="f"/>
              <v:imagedata o:title=""/>
              <o:lock v:ext="edit"/>
            </v:shape>
          </v:group>
        </w:pict>
      </w:r>
    </w:p>
    <w:p w14:paraId="38D9B8C1">
      <w:pPr>
        <w:pStyle w:val="2"/>
        <w:spacing w:line="241" w:lineRule="auto"/>
      </w:pPr>
      <w:r>
        <w:pict>
          <v:shape id="_x0000_s1411" o:spid="_x0000_s1411" o:spt="202" type="#_x0000_t202" style="position:absolute;left:0pt;margin-left:260.25pt;margin-top:1.95pt;height:14.1pt;width:10.25pt;z-index:251967488;mso-width-relative:page;mso-height-relative:page;" filled="f" stroked="f" coordsize="21600,21600">
            <v:path/>
            <v:fill on="f" focussize="0,0"/>
            <v:stroke on="f"/>
            <v:imagedata o:title=""/>
            <o:lock v:ext="edit" aspectratio="f"/>
            <v:textbox inset="0mm,0mm,0mm,0mm">
              <w:txbxContent>
                <w:p w14:paraId="58756009">
                  <w:pPr>
                    <w:pStyle w:val="2"/>
                    <w:tabs>
                      <w:tab w:val="left" w:pos="183"/>
                    </w:tabs>
                    <w:spacing w:before="20"/>
                    <w:ind w:left="20"/>
                  </w:pPr>
                  <w:r>
                    <w:rPr>
                      <w:u w:val="single" w:color="auto"/>
                    </w:rPr>
                    <w:tab/>
                  </w:r>
                </w:p>
              </w:txbxContent>
            </v:textbox>
          </v:shape>
        </w:pict>
      </w:r>
      <w:r>
        <w:pict>
          <v:shape id="_x0000_s1412" o:spid="_x0000_s1412" o:spt="202" type="#_x0000_t202" style="position:absolute;left:0pt;margin-left:368.25pt;margin-top:3.2pt;height:8.75pt;width:8pt;z-index:251976704;mso-width-relative:page;mso-height-relative:page;" filled="f" stroked="f" coordsize="21600,21600">
            <v:path/>
            <v:fill on="f" focussize="0,0"/>
            <v:stroke on="f"/>
            <v:imagedata o:title=""/>
            <o:lock v:ext="edit" aspectratio="f"/>
            <v:textbox inset="0mm,0mm,0mm,0mm">
              <w:txbxContent>
                <w:p w14:paraId="0E41DC52">
                  <w:pPr>
                    <w:pStyle w:val="2"/>
                    <w:spacing w:before="19" w:line="157" w:lineRule="auto"/>
                    <w:ind w:left="20"/>
                    <w:rPr>
                      <w:sz w:val="18"/>
                      <w:szCs w:val="18"/>
                    </w:rPr>
                  </w:pPr>
                  <w:r>
                    <w:rPr>
                      <w:spacing w:val="36"/>
                      <w:w w:val="167"/>
                      <w:sz w:val="18"/>
                      <w:szCs w:val="18"/>
                    </w:rPr>
                    <w:t>/</w:t>
                  </w:r>
                </w:p>
              </w:txbxContent>
            </v:textbox>
          </v:shape>
        </w:pict>
      </w:r>
    </w:p>
    <w:p w14:paraId="0AC7EB49">
      <w:pPr>
        <w:pStyle w:val="2"/>
        <w:spacing w:line="241" w:lineRule="auto"/>
      </w:pPr>
      <w:r>
        <w:pict>
          <v:shape id="_x0000_s1413" o:spid="_x0000_s1413" o:spt="202" type="#_x0000_t202" style="position:absolute;left:0pt;margin-left:48.8pt;margin-top:6.85pt;height:10.95pt;width:10.65pt;z-index:251945984;mso-width-relative:page;mso-height-relative:page;" filled="f" stroked="f" coordsize="21600,21600">
            <v:path/>
            <v:fill on="f" focussize="0,0"/>
            <v:stroke on="f"/>
            <v:imagedata o:title=""/>
            <o:lock v:ext="edit" aspectratio="f"/>
            <v:textbox inset="0mm,0mm,0mm,0mm">
              <w:txbxContent>
                <w:p w14:paraId="6BD07FAA">
                  <w:pPr>
                    <w:spacing w:before="20" w:line="183" w:lineRule="auto"/>
                    <w:ind w:left="20"/>
                    <w:rPr>
                      <w:rFonts w:ascii="宋体" w:hAnsi="宋体" w:eastAsia="宋体" w:cs="宋体"/>
                      <w:sz w:val="18"/>
                      <w:szCs w:val="18"/>
                    </w:rPr>
                  </w:pPr>
                  <w:r>
                    <w:rPr>
                      <w:rFonts w:ascii="宋体" w:hAnsi="宋体" w:eastAsia="宋体" w:cs="宋体"/>
                      <w:spacing w:val="-4"/>
                      <w:sz w:val="18"/>
                      <w:szCs w:val="18"/>
                    </w:rPr>
                    <w:t>SW</w:t>
                  </w:r>
                </w:p>
              </w:txbxContent>
            </v:textbox>
          </v:shape>
        </w:pict>
      </w:r>
      <w:r>
        <w:pict>
          <v:shape id="_x0000_s1414" o:spid="_x0000_s1414" o:spt="202" type="#_x0000_t202" style="position:absolute;left:0pt;margin-left:147.8pt;margin-top:6.85pt;height:10.95pt;width:10.65pt;z-index:251940864;mso-width-relative:page;mso-height-relative:page;" filled="f" stroked="f" coordsize="21600,21600">
            <v:path/>
            <v:fill on="f" focussize="0,0"/>
            <v:stroke on="f"/>
            <v:imagedata o:title=""/>
            <o:lock v:ext="edit" aspectratio="f"/>
            <v:textbox inset="0mm,0mm,0mm,0mm">
              <w:txbxContent>
                <w:p w14:paraId="49C3683E">
                  <w:pPr>
                    <w:spacing w:before="20" w:line="183" w:lineRule="auto"/>
                    <w:ind w:left="20"/>
                    <w:rPr>
                      <w:rFonts w:ascii="宋体" w:hAnsi="宋体" w:eastAsia="宋体" w:cs="宋体"/>
                      <w:sz w:val="18"/>
                      <w:szCs w:val="18"/>
                    </w:rPr>
                  </w:pPr>
                  <w:r>
                    <w:rPr>
                      <w:rFonts w:ascii="宋体" w:hAnsi="宋体" w:eastAsia="宋体" w:cs="宋体"/>
                      <w:spacing w:val="-4"/>
                      <w:sz w:val="18"/>
                      <w:szCs w:val="18"/>
                    </w:rPr>
                    <w:t>SW</w:t>
                  </w:r>
                </w:p>
              </w:txbxContent>
            </v:textbox>
          </v:shape>
        </w:pict>
      </w:r>
      <w:r>
        <w:pict>
          <v:shape id="_x0000_s1415" o:spid="_x0000_s1415" o:spt="202" type="#_x0000_t202" style="position:absolute;left:0pt;margin-left:293.3pt;margin-top:6.85pt;height:10.95pt;width:10.65pt;z-index:251961344;mso-width-relative:page;mso-height-relative:page;" filled="f" stroked="f" coordsize="21600,21600">
            <v:path/>
            <v:fill on="f" focussize="0,0"/>
            <v:stroke on="f"/>
            <v:imagedata o:title=""/>
            <o:lock v:ext="edit" aspectratio="f"/>
            <v:textbox inset="0mm,0mm,0mm,0mm">
              <w:txbxContent>
                <w:p w14:paraId="1EAAC876">
                  <w:pPr>
                    <w:spacing w:before="20"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w:pict>
      </w:r>
      <w:r>
        <w:pict>
          <v:shape id="_x0000_s1416" o:spid="_x0000_s1416" o:spt="202" type="#_x0000_t202" style="position:absolute;left:0pt;margin-left:393pt;margin-top:6.85pt;height:10.95pt;width:10.65pt;z-index:251965440;mso-width-relative:page;mso-height-relative:page;" filled="f" stroked="f" coordsize="21600,21600">
            <v:path/>
            <v:fill on="f" focussize="0,0"/>
            <v:stroke on="f"/>
            <v:imagedata o:title=""/>
            <o:lock v:ext="edit" aspectratio="f"/>
            <v:textbox inset="0mm,0mm,0mm,0mm">
              <w:txbxContent>
                <w:p w14:paraId="78E9105F">
                  <w:pPr>
                    <w:spacing w:before="20"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w:pict>
      </w:r>
    </w:p>
    <w:p w14:paraId="7F26C497">
      <w:pPr>
        <w:pStyle w:val="2"/>
        <w:spacing w:line="241" w:lineRule="auto"/>
      </w:pPr>
    </w:p>
    <w:p w14:paraId="2725113F">
      <w:pPr>
        <w:pStyle w:val="2"/>
        <w:spacing w:line="241" w:lineRule="auto"/>
      </w:pPr>
    </w:p>
    <w:p w14:paraId="5F5AEBED">
      <w:pPr>
        <w:pStyle w:val="2"/>
        <w:spacing w:line="241" w:lineRule="auto"/>
      </w:pPr>
    </w:p>
    <w:p w14:paraId="60312E98">
      <w:pPr>
        <w:pStyle w:val="2"/>
        <w:spacing w:line="241" w:lineRule="auto"/>
      </w:pPr>
      <w:r>
        <w:pict>
          <v:shape id="_x0000_s1417" o:spid="_x0000_s1417" o:spt="202" type="#_x0000_t202" style="position:absolute;left:0pt;margin-left:271.95pt;margin-top:11.65pt;height:10.9pt;width:6.45pt;z-index:251923456;mso-width-relative:page;mso-height-relative:page;" filled="f" stroked="f" coordsize="21600,21600">
            <v:path/>
            <v:fill on="f" focussize="0,0"/>
            <v:stroke on="f"/>
            <v:imagedata o:title=""/>
            <o:lock v:ext="edit" aspectratio="f"/>
            <v:textbox inset="0mm,0mm,0mm,0mm">
              <w:txbxContent>
                <w:p w14:paraId="41F98E63">
                  <w:pPr>
                    <w:spacing w:before="19" w:line="182" w:lineRule="auto"/>
                    <w:ind w:left="20"/>
                    <w:rPr>
                      <w:rFonts w:ascii="宋体" w:hAnsi="宋体" w:eastAsia="宋体" w:cs="宋体"/>
                      <w:sz w:val="18"/>
                      <w:szCs w:val="18"/>
                    </w:rPr>
                  </w:pPr>
                  <w:r>
                    <w:rPr>
                      <w:rFonts w:ascii="宋体" w:hAnsi="宋体" w:eastAsia="宋体" w:cs="宋体"/>
                      <w:sz w:val="18"/>
                      <w:szCs w:val="18"/>
                    </w:rPr>
                    <w:t>N</w:t>
                  </w:r>
                </w:p>
              </w:txbxContent>
            </v:textbox>
          </v:shape>
        </w:pict>
      </w:r>
    </w:p>
    <w:p w14:paraId="3037CD6C">
      <w:pPr>
        <w:pStyle w:val="2"/>
        <w:spacing w:line="241" w:lineRule="auto"/>
      </w:pPr>
      <w:r>
        <w:pict>
          <v:shape id="_x0000_s1418" o:spid="_x0000_s1418" o:spt="202" type="#_x0000_t202" style="position:absolute;left:0pt;margin-left:246.45pt;margin-top:9.3pt;height:10.9pt;width:10.95pt;z-index:251912192;mso-width-relative:page;mso-height-relative:page;" filled="f" stroked="f" coordsize="21600,21600">
            <v:path/>
            <v:fill on="f" focussize="0,0"/>
            <v:stroke on="f"/>
            <v:imagedata o:title=""/>
            <o:lock v:ext="edit" aspectratio="f"/>
            <v:textbox inset="0mm,0mm,0mm,0mm">
              <w:txbxContent>
                <w:p w14:paraId="73BDD1BF">
                  <w:pPr>
                    <w:spacing w:before="19" w:line="182" w:lineRule="auto"/>
                    <w:ind w:left="20"/>
                    <w:rPr>
                      <w:rFonts w:ascii="宋体" w:hAnsi="宋体" w:eastAsia="宋体" w:cs="宋体"/>
                      <w:sz w:val="18"/>
                      <w:szCs w:val="18"/>
                    </w:rPr>
                  </w:pPr>
                  <w:r>
                    <w:rPr>
                      <w:rFonts w:ascii="宋体" w:hAnsi="宋体" w:eastAsia="宋体" w:cs="宋体"/>
                      <w:spacing w:val="-1"/>
                      <w:sz w:val="18"/>
                      <w:szCs w:val="18"/>
                    </w:rPr>
                    <w:t>NW</w:t>
                  </w:r>
                </w:p>
              </w:txbxContent>
            </v:textbox>
          </v:shape>
        </w:pict>
      </w:r>
      <w:r>
        <w:pict>
          <v:shape id="_x0000_s1419" o:spid="_x0000_s1419" o:spt="202" type="#_x0000_t202" style="position:absolute;left:0pt;margin-left:292.95pt;margin-top:9.3pt;height:10.9pt;width:10.95pt;z-index:251916288;mso-width-relative:page;mso-height-relative:page;" filled="f" stroked="f" coordsize="21600,21600">
            <v:path/>
            <v:fill on="f" focussize="0,0"/>
            <v:stroke on="f"/>
            <v:imagedata o:title=""/>
            <o:lock v:ext="edit" aspectratio="f"/>
            <v:textbox inset="0mm,0mm,0mm,0mm">
              <w:txbxContent>
                <w:p w14:paraId="5615FD89">
                  <w:pPr>
                    <w:spacing w:before="19" w:line="182" w:lineRule="auto"/>
                    <w:ind w:left="20"/>
                    <w:rPr>
                      <w:rFonts w:ascii="宋体" w:hAnsi="宋体" w:eastAsia="宋体" w:cs="宋体"/>
                      <w:sz w:val="18"/>
                      <w:szCs w:val="18"/>
                    </w:rPr>
                  </w:pPr>
                  <w:r>
                    <w:rPr>
                      <w:rFonts w:ascii="宋体" w:hAnsi="宋体" w:eastAsia="宋体" w:cs="宋体"/>
                      <w:spacing w:val="-1"/>
                      <w:sz w:val="18"/>
                      <w:szCs w:val="18"/>
                    </w:rPr>
                    <w:t>NE</w:t>
                  </w:r>
                </w:p>
              </w:txbxContent>
            </v:textbox>
          </v:shape>
        </w:pict>
      </w:r>
      <w:r>
        <w:pict>
          <v:group id="_x0000_s1420" o:spid="_x0000_s1420" o:spt="203" style="position:absolute;left:0pt;margin-left:246.25pt;margin-top:7.15pt;height:57.75pt;width:57pt;z-index:251924480;mso-width-relative:page;mso-height-relative:page;" coordsize="1140,1155">
            <o:lock v:ext="edit"/>
            <v:shape id="_x0000_s1421" o:spid="_x0000_s1421" style="position:absolute;left:0;top:0;height:1155;width:1140;" fillcolor="#00FF00" filled="t" stroked="t" coordsize="1140,1155" path="m1132,577c1132,892,880,1147,569,1147c259,1147,7,892,7,577c7,262,259,7,569,7c880,7,1132,262,1132,577e">
              <v:fill on="t" focussize="0,0"/>
              <v:stroke color="#646464" miterlimit="2" endcap="round"/>
              <v:imagedata o:title=""/>
              <o:lock v:ext="edit"/>
            </v:shape>
            <v:shape id="_x0000_s1422" o:spid="_x0000_s1422" style="position:absolute;left:569;top:269;height:330;width:135;" fillcolor="#FA9696" filled="t" stroked="t" coordsize="135,330" path="m7,322l7,67,127,7,7,322e">
              <v:fill on="t" focussize="0,0"/>
              <v:stroke color="#000000" miterlimit="2" endcap="round"/>
              <v:imagedata o:title=""/>
              <o:lock v:ext="edit"/>
            </v:shape>
            <v:shape id="_x0000_s1423" o:spid="_x0000_s1423" style="position:absolute;left:464;top:464;height:135;width:120;" filled="f" stroked="t" coordsize="120,135" path="m7,7l112,127m112,127l7,7e">
              <v:fill on="f" focussize="0,0"/>
              <v:stroke color="#000000" miterlimit="2" endcap="round"/>
              <v:imagedata o:title=""/>
              <o:lock v:ext="edit"/>
            </v:shape>
            <v:shape id="_x0000_s1424" o:spid="_x0000_s1424" style="position:absolute;left:464;top:389;height:210;width:120;" fillcolor="#FA9696" filled="t" stroked="f" coordsize="120,210" path="m112,202,112,202l7,82,37,7,112,202e">
              <v:path/>
              <v:fill on="t" focussize="0,0"/>
              <v:stroke on="f"/>
              <v:imagedata o:title=""/>
              <o:lock v:ext="edit"/>
            </v:shape>
            <v:shape id="_x0000_s1425" o:spid="_x0000_s1425" style="position:absolute;left:464;top:389;height:210;width:120;" filled="f" stroked="t" coordsize="120,210" path="m37,7l112,202e">
              <v:fill on="f" focussize="0,0"/>
              <v:stroke color="#000000" miterlimit="2" endcap="round"/>
              <v:imagedata o:title=""/>
              <o:lock v:ext="edit"/>
            </v:shape>
            <v:shape id="_x0000_s1426" o:spid="_x0000_s1426" style="position:absolute;left:494;top:329;height:270;width:90;" fillcolor="#C8C8C8" filled="t" stroked="t" coordsize="90,270" path="m82,262l7,67,82,7,82,262e">
              <v:fill on="t" focussize="0,0"/>
              <v:stroke color="#000000" miterlimit="2" endcap="round"/>
              <v:imagedata o:title=""/>
              <o:lock v:ext="edit"/>
            </v:shape>
            <v:shape id="_x0000_s1427" o:spid="_x0000_s1427" style="position:absolute;left:284;top:284;height:585;width:570;" filled="f" stroked="t" coordsize="570,585" path="m562,292c562,449,438,577,284,577c131,577,7,449,7,292c7,135,131,7,284,7c438,7,562,135,562,292e">
              <v:fill on="f" focussize="0,0"/>
              <v:stroke color="#646464" miterlimit="2" endcap="round"/>
              <v:imagedata o:title=""/>
              <o:lock v:ext="edit"/>
            </v:shape>
          </v:group>
        </w:pict>
      </w:r>
      <w:r>
        <w:pict>
          <v:shape id="_x0000_s1428" o:spid="_x0000_s1428" style="position:absolute;left:0pt;margin-left:248.9pt;margin-top:9.8pt;height:54pt;width:53.25pt;z-index:251928576;mso-width-relative:page;mso-height-relative:page;" filled="f" stroked="t" coordsize="1065,1080" path="m1057,757l7,322m937,952l127,127m757,1072l307,7e">
            <v:fill on="f" focussize="0,0"/>
            <v:stroke color="#646464" miterlimit="2" endcap="round"/>
            <v:imagedata o:title=""/>
            <o:lock v:ext="edit"/>
          </v:shape>
        </w:pict>
      </w:r>
      <w:r>
        <w:pict>
          <v:shape id="_x0000_s1429" o:spid="_x0000_s1429" style="position:absolute;left:0pt;margin-left:248.9pt;margin-top:9.8pt;height:54pt;width:53.25pt;z-index:251929600;mso-width-relative:page;mso-height-relative:page;" filled="f" stroked="t" coordsize="1065,1080" path="m757,7l307,1072m937,127l127,952m1057,322l7,757e">
            <v:fill on="f" focussize="0,0"/>
            <v:stroke color="#646464" miterlimit="2" endcap="round"/>
            <v:imagedata o:title=""/>
            <o:lock v:ext="edit"/>
          </v:shape>
        </w:pict>
      </w:r>
      <w:r>
        <w:pict>
          <v:shape id="_x0000_s1430" o:spid="_x0000_s1430" o:spt="202" type="#_x0000_t202" style="position:absolute;left:0pt;margin-left:95pt;margin-top:9.3pt;height:10.9pt;width:10.95pt;z-index:251915264;mso-width-relative:page;mso-height-relative:page;" filled="f" stroked="f" coordsize="21600,21600">
            <v:path/>
            <v:fill on="f" focussize="0,0"/>
            <v:stroke on="f"/>
            <v:imagedata o:title=""/>
            <o:lock v:ext="edit" aspectratio="f"/>
            <v:textbox inset="0mm,0mm,0mm,0mm">
              <w:txbxContent>
                <w:p w14:paraId="4AC46D72">
                  <w:pPr>
                    <w:spacing w:before="19" w:line="182" w:lineRule="auto"/>
                    <w:ind w:left="20"/>
                    <w:rPr>
                      <w:rFonts w:ascii="宋体" w:hAnsi="宋体" w:eastAsia="宋体" w:cs="宋体"/>
                      <w:sz w:val="18"/>
                      <w:szCs w:val="18"/>
                    </w:rPr>
                  </w:pPr>
                  <w:r>
                    <w:rPr>
                      <w:rFonts w:ascii="宋体" w:hAnsi="宋体" w:eastAsia="宋体" w:cs="宋体"/>
                      <w:spacing w:val="-1"/>
                      <w:sz w:val="18"/>
                      <w:szCs w:val="18"/>
                    </w:rPr>
                    <w:t>NE</w:t>
                  </w:r>
                </w:p>
              </w:txbxContent>
            </v:textbox>
          </v:shape>
        </w:pict>
      </w:r>
      <w:r>
        <w:pict>
          <v:shape id="_x0000_s1431" o:spid="_x0000_s1431" o:spt="202" type="#_x0000_t202" style="position:absolute;left:0pt;margin-left:48.5pt;margin-top:9.3pt;height:10.9pt;width:10.95pt;z-index:251913216;mso-width-relative:page;mso-height-relative:page;" filled="f" stroked="f" coordsize="21600,21600">
            <v:path/>
            <v:fill on="f" focussize="0,0"/>
            <v:stroke on="f"/>
            <v:imagedata o:title=""/>
            <o:lock v:ext="edit" aspectratio="f"/>
            <v:textbox inset="0mm,0mm,0mm,0mm">
              <w:txbxContent>
                <w:p w14:paraId="216AF36B">
                  <w:pPr>
                    <w:spacing w:before="19" w:line="182" w:lineRule="auto"/>
                    <w:ind w:left="20"/>
                    <w:rPr>
                      <w:rFonts w:ascii="宋体" w:hAnsi="宋体" w:eastAsia="宋体" w:cs="宋体"/>
                      <w:sz w:val="18"/>
                      <w:szCs w:val="18"/>
                    </w:rPr>
                  </w:pPr>
                  <w:r>
                    <w:rPr>
                      <w:rFonts w:ascii="宋体" w:hAnsi="宋体" w:eastAsia="宋体" w:cs="宋体"/>
                      <w:spacing w:val="-1"/>
                      <w:sz w:val="18"/>
                      <w:szCs w:val="18"/>
                    </w:rPr>
                    <w:t>NW</w:t>
                  </w:r>
                </w:p>
              </w:txbxContent>
            </v:textbox>
          </v:shape>
        </w:pict>
      </w:r>
      <w:r>
        <w:pict>
          <v:group id="_x0000_s1432" o:spid="_x0000_s1432" o:spt="203" style="position:absolute;left:0pt;margin-left:48.3pt;margin-top:7.15pt;height:58.5pt;width:57.75pt;z-index:251937792;mso-width-relative:page;mso-height-relative:page;" coordsize="1155,1170">
            <o:lock v:ext="edit"/>
            <v:shape id="_x0000_s1433" o:spid="_x0000_s1433" style="position:absolute;left:0;top:0;height:1155;width:1140;" fillcolor="#00FF00" filled="t" stroked="t" coordsize="1140,1155" path="m1132,577c1132,892,880,1147,569,1147c259,1147,7,892,7,577c7,262,259,7,569,7c880,7,1132,262,1132,577e">
              <v:fill on="t" focussize="0,0"/>
              <v:stroke color="#646464" miterlimit="2" endcap="round"/>
              <v:imagedata o:title=""/>
              <o:lock v:ext="edit"/>
            </v:shape>
            <v:shape id="_x0000_s1434" o:spid="_x0000_s1434" style="position:absolute;left:569;top:404;height:195;width:90;" fillcolor="#FA9696" filled="t" stroked="t" coordsize="90,195" path="m7,187l7,82,82,7,7,187e">
              <v:fill on="t" focussize="0,0"/>
              <v:stroke color="#000000" miterlimit="2" endcap="round"/>
              <v:imagedata o:title=""/>
              <o:lock v:ext="edit"/>
            </v:shape>
            <v:shape id="_x0000_s1435" o:spid="_x0000_s1435" style="position:absolute;left:569;top:299;height:300;width:285;" fillcolor="#C8C8C8" filled="t" stroked="t" coordsize="285,300" path="m7,292l82,112,277,7,7,292e">
              <v:fill on="t" focussize="0,0"/>
              <v:stroke color="#000000" miterlimit="2" endcap="round"/>
              <v:imagedata o:title=""/>
              <o:lock v:ext="edit"/>
            </v:shape>
            <v:shape id="_x0000_s1436" o:spid="_x0000_s1436" style="position:absolute;left:569;top:299;height:300;width:285;" fillcolor="#FA9696" filled="t" stroked="t" coordsize="285,300" path="m7,292l277,7,157,217,7,292e">
              <v:fill on="t" focussize="0,0"/>
              <v:stroke color="#000000" miterlimit="2" endcap="round"/>
              <v:imagedata o:title=""/>
              <o:lock v:ext="edit"/>
            </v:shape>
            <v:shape id="_x0000_s1437" o:spid="_x0000_s1437" style="position:absolute;left:569;top:509;height:90;width:180;" fillcolor="#C8C8C8" filled="t" stroked="t" coordsize="180,90" path="m7,82l157,7,172,82,7,82e">
              <v:fill on="t" focussize="0,0"/>
              <v:stroke color="#000000" miterlimit="2" endcap="round"/>
              <v:imagedata o:title=""/>
              <o:lock v:ext="edit"/>
            </v:shape>
            <v:shape id="_x0000_s1438" o:spid="_x0000_s1438" style="position:absolute;left:569;top:584;height:45;width:180;" fillcolor="#FA9696" filled="t" stroked="t" coordsize="180,45" path="m7,7l172,7,97,37,7,7e">
              <v:fill on="t" focussize="0,0"/>
              <v:stroke color="#000000" miterlimit="2" endcap="round"/>
              <v:imagedata o:title=""/>
              <o:lock v:ext="edit"/>
            </v:shape>
            <v:shape id="_x0000_s1439" o:spid="_x0000_s1439" style="position:absolute;left:569;top:584;height:45;width:105;" fillcolor="#C8C8C8" filled="t" stroked="t" coordsize="105,45" path="m7,7l97,37,52,37,7,7e">
              <v:fill on="t" focussize="0,0"/>
              <v:stroke color="#000000" miterlimit="2" endcap="round"/>
              <v:imagedata o:title=""/>
              <o:lock v:ext="edit"/>
            </v:shape>
            <v:shape id="_x0000_s1440" o:spid="_x0000_s1440" style="position:absolute;left:569;top:584;height:45;width:60;" fillcolor="#FA9696" filled="t" stroked="t" coordsize="60,45" path="m7,7l52,37,7,22,7,7e">
              <v:fill on="t" focussize="0,0"/>
              <v:stroke color="#000000" miterlimit="2" endcap="round"/>
              <v:imagedata o:title=""/>
              <o:lock v:ext="edit"/>
            </v:shape>
            <v:shape id="_x0000_s1441" o:spid="_x0000_s1441" style="position:absolute;left:569;top:584;height:45;width:15;" fillcolor="#C8C8C8" filled="t" stroked="t" coordsize="15,45" path="m7,7l7,22,7,37,7,7e">
              <v:fill on="t" focussize="0,0"/>
              <v:stroke color="#000000" miterlimit="2" endcap="round"/>
              <v:imagedata o:title=""/>
              <o:lock v:ext="edit"/>
            </v:shape>
            <v:shape id="_x0000_s1442" o:spid="_x0000_s1442" style="position:absolute;left:494;top:584;height:210;width:90;" fillcolor="#FA9696" filled="t" stroked="t" coordsize="90,210" path="m82,7l82,37,7,202,82,7e">
              <v:fill on="t" focussize="0,0"/>
              <v:stroke color="#000000" miterlimit="2" endcap="round"/>
              <v:imagedata o:title=""/>
              <o:lock v:ext="edit"/>
            </v:shape>
            <v:shape id="_x0000_s1443" o:spid="_x0000_s1443" style="position:absolute;left:374;top:584;height:210;width:210;" fillcolor="#C8C8C8" filled="t" stroked="t" coordsize="210,210" path="m202,7l127,202,7,202,202,7e">
              <v:fill on="t" focussize="0,0"/>
              <v:stroke color="#000000" miterlimit="2" endcap="round"/>
              <v:imagedata o:title=""/>
              <o:lock v:ext="edit"/>
            </v:shape>
            <v:shape id="_x0000_s1444" o:spid="_x0000_s1444" style="position:absolute;left:374;top:584;height:210;width:210;" fillcolor="#FA9696" filled="t" stroked="t" coordsize="210,210" path="m202,7l7,202,7,82,202,7e">
              <v:fill on="t" focussize="0,0"/>
              <v:stroke color="#000000" miterlimit="2" endcap="round"/>
              <v:imagedata o:title=""/>
              <o:lock v:ext="edit"/>
            </v:shape>
            <v:shape id="_x0000_s1445" o:spid="_x0000_s1445" style="position:absolute;left:374;top:584;height:90;width:210;" fillcolor="#C8C8C8" filled="t" stroked="t" coordsize="210,90" path="m202,7l7,82,82,7,202,7e">
              <v:fill on="t" focussize="0,0"/>
              <v:stroke color="#000000" miterlimit="2" endcap="round"/>
              <v:imagedata o:title=""/>
              <o:lock v:ext="edit"/>
            </v:shape>
            <v:shape id="_x0000_s1446" o:spid="_x0000_s1446" style="position:absolute;left:449;top:539;height:60;width:135;" fillcolor="#FA9696" filled="t" stroked="t" coordsize="135,60" path="m127,52l7,52,37,7,127,52e">
              <v:fill on="t" focussize="0,0"/>
              <v:stroke color="#000000" miterlimit="2" endcap="round"/>
              <v:imagedata o:title=""/>
              <o:lock v:ext="edit"/>
            </v:shape>
            <v:shape id="_x0000_s1447" o:spid="_x0000_s1447" style="position:absolute;left:479;top:524;height:75;width:105;" fillcolor="#C8C8C8" filled="t" stroked="t" coordsize="105,75" path="m97,67l7,22,37,7,97,67e">
              <v:fill on="t" focussize="0,0"/>
              <v:stroke color="#000000" miterlimit="2" endcap="round"/>
              <v:imagedata o:title=""/>
              <o:lock v:ext="edit"/>
            </v:shape>
            <v:shape id="_x0000_s1448" o:spid="_x0000_s1448" style="position:absolute;left:509;top:479;height:120;width:75;" fillcolor="#FA9696" filled="t" stroked="t" coordsize="75,120" path="m67,112l7,52,22,7,67,112e">
              <v:fill on="t" focussize="0,0"/>
              <v:stroke color="#000000" miterlimit="2" endcap="round"/>
              <v:imagedata o:title=""/>
              <o:lock v:ext="edit"/>
            </v:shape>
            <v:shape id="_x0000_s1449" o:spid="_x0000_s1449" style="position:absolute;left:524;top:479;height:120;width:60;" fillcolor="#C8C8C8" filled="t" stroked="t" coordsize="60,120" path="m52,112l7,7,52,7,52,112e">
              <v:fill on="t" focussize="0,0"/>
              <v:stroke color="#000000" miterlimit="2" endcap="round"/>
              <v:imagedata o:title=""/>
              <o:lock v:ext="edit"/>
            </v:shape>
            <v:shape id="_x0000_s1450" o:spid="_x0000_s1450" style="position:absolute;left:0;top:0;height:1170;width:1155;" filled="f" stroked="t" coordsize="1155,1170" path="m577,7l577,1162m802,52l352,1117m982,172l172,997m1102,367l52,802m1147,592l7,592m1102,802l52,367m982,997l172,172m802,1117l352,52m847,577c847,734,723,862,569,862c416,862,292,734,292,577c292,420,416,292,569,292c723,292,847,420,847,577e">
              <v:fill on="f" focussize="0,0"/>
              <v:stroke color="#646464" miterlimit="2" endcap="round"/>
              <v:imagedata o:title=""/>
              <o:lock v:ext="edit"/>
            </v:shape>
          </v:group>
        </w:pict>
      </w:r>
      <w:r>
        <w:pict>
          <v:group id="_x0000_s1451" o:spid="_x0000_s1451" o:spt="203" style="position:absolute;left:0pt;margin-left:143.25pt;margin-top:7.15pt;height:58.5pt;width:65.95pt;z-index:251936768;mso-width-relative:page;mso-height-relative:page;" coordsize="1318,1170">
            <o:lock v:ext="edit"/>
            <v:shape id="_x0000_s1452" o:spid="_x0000_s1452" o:spt="75" type="#_x0000_t75" style="position:absolute;left:195;top:62;height:123;width:929;" filled="f" stroked="f" coordsize="21600,21600">
              <v:path/>
              <v:fill on="f" focussize="0,0"/>
              <v:stroke on="f"/>
              <v:imagedata r:id="rId624" o:title=""/>
              <o:lock v:ext="edit" aspectratio="t"/>
            </v:shape>
            <v:shape id="_x0000_s1453" o:spid="_x0000_s1453" style="position:absolute;left:81;top:0;height:1155;width:1140;" fillcolor="#00FF00" filled="t" stroked="t" coordsize="1140,1155" path="m1132,577c1132,892,880,1147,569,1147c259,1147,7,892,7,577c7,262,259,7,569,7c880,7,1132,262,1132,577e">
              <v:fill on="t" focussize="0,0"/>
              <v:stroke color="#646464" miterlimit="2" endcap="round"/>
              <v:imagedata o:title=""/>
              <o:lock v:ext="edit"/>
            </v:shape>
            <v:group id="_x0000_s1454" o:spid="_x0000_s1454" o:spt="203" style="position:absolute;left:81;top:0;height:1170;width:1155;" coordsize="1155,1170">
              <o:lock v:ext="edit"/>
              <v:shape id="_x0000_s1455" o:spid="_x0000_s1455" style="position:absolute;left:569;top:464;height:135;width:60;" fillcolor="#FA9696" filled="t" stroked="t" coordsize="60,135" path="m7,127l7,22,52,7,7,127e">
                <v:fill on="t" focussize="0,0"/>
                <v:stroke color="#000000" miterlimit="2" endcap="round"/>
                <v:imagedata o:title=""/>
                <o:lock v:ext="edit"/>
              </v:shape>
              <v:shape id="_x0000_s1456" o:spid="_x0000_s1456" style="position:absolute;left:569;top:464;height:135;width:120;" fillcolor="#C8C8C8" filled="t" stroked="t" coordsize="120,135" path="m7,127l52,7,112,7,7,127e">
                <v:fill on="t" focussize="0,0"/>
                <v:stroke color="#000000" miterlimit="2" endcap="round"/>
                <v:imagedata o:title=""/>
                <o:lock v:ext="edit"/>
              </v:shape>
              <v:shape id="_x0000_s1457" o:spid="_x0000_s1457" style="position:absolute;left:569;top:464;height:135;width:120;" fillcolor="#FA9696" filled="t" stroked="t" coordsize="120,135" path="m7,127l112,7,97,82,7,127e">
                <v:fill on="t" focussize="0,0"/>
                <v:stroke color="#000000" miterlimit="2" endcap="round"/>
                <v:imagedata o:title=""/>
                <o:lock v:ext="edit"/>
              </v:shape>
              <v:shape id="_x0000_s1458" o:spid="_x0000_s1458" style="position:absolute;left:569;top:539;height:60;width:225;" fillcolor="#C8C8C8" filled="t" stroked="t" coordsize="225,60" path="m7,52l97,7,217,52,7,52e">
                <v:fill on="t" focussize="0,0"/>
                <v:stroke color="#000000" miterlimit="2" endcap="round"/>
                <v:imagedata o:title=""/>
                <o:lock v:ext="edit"/>
              </v:shape>
              <v:shape id="_x0000_s1024" o:spid="_x0000_s1024" style="position:absolute;left:569;top:584;height:60;width:225;" fillcolor="#FA9696" filled="t" stroked="t" coordsize="225,60" path="m7,7l217,7,127,52,7,7e">
                <v:fill on="t" focussize="0,0"/>
                <v:stroke color="#000000" miterlimit="2" endcap="round"/>
                <v:imagedata o:title=""/>
                <o:lock v:ext="edit"/>
              </v:shape>
              <v:shape id="_x0000_s1459" o:spid="_x0000_s1459" style="position:absolute;left:569;top:584;height:135;width:150;" fillcolor="#C8C8C8" filled="t" stroked="t" coordsize="150,135" path="m7,7l127,52,142,127,7,7e">
                <v:fill on="t" focussize="0,0"/>
                <v:stroke color="#000000" miterlimit="2" endcap="round"/>
                <v:imagedata o:title=""/>
                <o:lock v:ext="edit"/>
              </v:shape>
              <v:shape id="_x0000_s1460" o:spid="_x0000_s1460" style="position:absolute;left:569;top:584;height:135;width:150;" fillcolor="#FA9696" filled="t" stroked="t" coordsize="150,135" path="m7,7l142,127,37,82,7,7e">
                <v:fill on="t" focussize="0,0"/>
                <v:stroke color="#000000" miterlimit="2" endcap="round"/>
                <v:imagedata o:title=""/>
                <o:lock v:ext="edit"/>
              </v:shape>
              <v:shape id="_x0000_s1461" o:spid="_x0000_s1461" style="position:absolute;left:569;top:584;height:105;width:45;" fillcolor="#C8C8C8" filled="t" stroked="t" coordsize="45,105" path="m7,7l37,82,7,97,7,7e">
                <v:fill on="t" focussize="0,0"/>
                <v:stroke color="#000000" miterlimit="2" endcap="round"/>
                <v:imagedata o:title=""/>
                <o:lock v:ext="edit"/>
              </v:shape>
              <v:shape id="_x0000_s1462" o:spid="_x0000_s1462" style="position:absolute;left:464;top:584;height:270;width:120;" fillcolor="#FA9696" filled="t" stroked="t" coordsize="120,270" path="m112,7l112,97,7,262,112,7e">
                <v:fill on="t" focussize="0,0"/>
                <v:stroke color="#000000" miterlimit="2" endcap="round"/>
                <v:imagedata o:title=""/>
                <o:lock v:ext="edit"/>
              </v:shape>
              <v:shape id="_x0000_s1463" o:spid="_x0000_s1463" style="position:absolute;left:299;top:584;height:270;width:285;" fillcolor="#C8C8C8" filled="t" stroked="t" coordsize="285,270" path="m277,7l172,262,7,262,277,7e">
                <v:fill on="t" focussize="0,0"/>
                <v:stroke color="#000000" miterlimit="2" endcap="round"/>
                <v:imagedata o:title=""/>
                <o:lock v:ext="edit"/>
              </v:shape>
              <v:shape id="_x0000_s1464" o:spid="_x0000_s1464" style="position:absolute;left:299;top:584;height:270;width:285;" fillcolor="#FA9696" filled="t" stroked="t" coordsize="285,270" path="m277,7l7,262,112,67,277,7e">
                <v:fill on="t" focussize="0,0"/>
                <v:stroke color="#000000" miterlimit="2" endcap="round"/>
                <v:imagedata o:title=""/>
                <o:lock v:ext="edit"/>
              </v:shape>
              <v:shape id="_x0000_s1465" o:spid="_x0000_s1465" style="position:absolute;left:404;top:584;height:75;width:180;" fillcolor="#C8C8C8" filled="t" stroked="t" coordsize="180,75" path="m172,7l7,67,7,7,172,7e">
                <v:fill on="t" focussize="0,0"/>
                <v:stroke color="#000000" miterlimit="2" endcap="round"/>
                <v:imagedata o:title=""/>
                <o:lock v:ext="edit"/>
              </v:shape>
              <v:shape id="_x0000_s1466" o:spid="_x0000_s1466" style="position:absolute;left:374;top:494;height:105;width:210;" fillcolor="#FA9696" filled="t" stroked="t" coordsize="210,105" path="m202,97l37,97,7,7,202,97e">
                <v:fill on="t" focussize="0,0"/>
                <v:stroke color="#000000" miterlimit="2" endcap="round"/>
                <v:imagedata o:title=""/>
                <o:lock v:ext="edit"/>
              </v:shape>
              <v:shape id="_x0000_s1467" o:spid="_x0000_s1467" style="position:absolute;left:374;top:479;height:120;width:210;" fillcolor="#C8C8C8" filled="t" stroked="t" coordsize="210,120" path="m202,112l7,22,97,7,202,112e">
                <v:fill on="t" focussize="0,0"/>
                <v:stroke color="#000000" miterlimit="2" endcap="round"/>
                <v:imagedata o:title=""/>
                <o:lock v:ext="edit"/>
              </v:shape>
              <v:shape id="_x0000_s1468" o:spid="_x0000_s1468" style="position:absolute;left:464;top:389;height:210;width:120;" fillcolor="#FA9696" filled="t" stroked="t" coordsize="120,210" path="m112,202l7,97,37,7,112,202e">
                <v:fill on="t" focussize="0,0"/>
                <v:stroke color="#000000" miterlimit="2" endcap="round"/>
                <v:imagedata o:title=""/>
                <o:lock v:ext="edit"/>
              </v:shape>
              <v:shape id="_x0000_s1469" o:spid="_x0000_s1469" style="position:absolute;left:494;top:389;height:210;width:90;" fillcolor="#C8C8C8" filled="t" stroked="t" coordsize="90,210" path="m82,202l7,7,82,97,82,202e">
                <v:fill on="t" focussize="0,0"/>
                <v:stroke color="#000000" miterlimit="2" endcap="round"/>
                <v:imagedata o:title=""/>
                <o:lock v:ext="edit"/>
              </v:shape>
              <v:shape id="_x0000_s1470" o:spid="_x0000_s1470" style="position:absolute;left:0;top:0;height:1170;width:1155;" filled="f" stroked="t" coordsize="1155,1170" path="m577,7l577,1162m802,52l352,1117m982,172l172,997m1102,367l52,802m1147,592l7,592m1102,802l52,367m982,997l172,172m802,1117l352,52m847,577c847,734,723,862,569,862c416,862,292,734,292,577c292,420,416,292,569,292c723,292,847,420,847,577e">
                <v:fill on="f" focussize="0,0"/>
                <v:stroke color="#646464" miterlimit="2" endcap="round"/>
                <v:imagedata o:title=""/>
                <o:lock v:ext="edit"/>
              </v:shape>
            </v:group>
            <v:shape id="_x0000_s1471" o:spid="_x0000_s1471" o:spt="202" type="#_x0000_t202" style="position:absolute;left:-20;top:42;height:1163;width:324;" filled="f" stroked="f" coordsize="21600,21600">
              <v:path/>
              <v:fill on="f" focussize="0,0"/>
              <v:stroke on="f"/>
              <v:imagedata o:title=""/>
              <o:lock v:ext="edit" aspectratio="f"/>
              <v:textbox inset="0mm,0mm,0mm,0mm">
                <w:txbxContent>
                  <w:p w14:paraId="40B03D25">
                    <w:pPr>
                      <w:spacing w:before="19" w:line="182" w:lineRule="auto"/>
                      <w:ind w:left="125"/>
                      <w:rPr>
                        <w:rFonts w:ascii="宋体" w:hAnsi="宋体" w:eastAsia="宋体" w:cs="宋体"/>
                        <w:sz w:val="18"/>
                        <w:szCs w:val="18"/>
                      </w:rPr>
                    </w:pPr>
                    <w:r>
                      <w:rPr>
                        <w:rFonts w:ascii="宋体" w:hAnsi="宋体" w:eastAsia="宋体" w:cs="宋体"/>
                        <w:sz w:val="18"/>
                        <w:szCs w:val="18"/>
                      </w:rPr>
                      <w:t>N</w:t>
                    </w:r>
                  </w:p>
                  <w:p w14:paraId="7B9A651C">
                    <w:pPr>
                      <w:pStyle w:val="2"/>
                      <w:spacing w:line="242" w:lineRule="auto"/>
                    </w:pPr>
                  </w:p>
                  <w:p w14:paraId="4E0FEB04">
                    <w:pPr>
                      <w:spacing w:before="58" w:line="182" w:lineRule="auto"/>
                      <w:ind w:left="20"/>
                      <w:rPr>
                        <w:rFonts w:ascii="宋体" w:hAnsi="宋体" w:eastAsia="宋体" w:cs="宋体"/>
                        <w:sz w:val="18"/>
                        <w:szCs w:val="18"/>
                      </w:rPr>
                    </w:pPr>
                    <w:r>
                      <w:rPr>
                        <w:rFonts w:ascii="宋体" w:hAnsi="宋体" w:eastAsia="宋体" w:cs="宋体"/>
                        <w:sz w:val="18"/>
                        <w:szCs w:val="18"/>
                      </w:rPr>
                      <w:t>W</w:t>
                    </w:r>
                  </w:p>
                  <w:p w14:paraId="69475039">
                    <w:pPr>
                      <w:spacing w:before="286" w:line="183" w:lineRule="auto"/>
                      <w:ind w:left="131"/>
                      <w:rPr>
                        <w:rFonts w:ascii="宋体" w:hAnsi="宋体" w:eastAsia="宋体" w:cs="宋体"/>
                        <w:sz w:val="18"/>
                        <w:szCs w:val="18"/>
                      </w:rPr>
                    </w:pPr>
                    <w:r>
                      <w:rPr>
                        <w:rFonts w:ascii="宋体" w:hAnsi="宋体" w:eastAsia="宋体" w:cs="宋体"/>
                        <w:spacing w:val="-4"/>
                        <w:sz w:val="18"/>
                        <w:szCs w:val="18"/>
                      </w:rPr>
                      <w:t>SW</w:t>
                    </w:r>
                  </w:p>
                </w:txbxContent>
              </v:textbox>
            </v:shape>
            <v:shape id="_x0000_s1472" o:spid="_x0000_s1472" o:spt="202" type="#_x0000_t202" style="position:absolute;left:1021;top:986;height:218;width:212;" filled="f" stroked="f" coordsize="21600,21600">
              <v:path/>
              <v:fill on="f" focussize="0,0"/>
              <v:stroke on="f"/>
              <v:imagedata o:title=""/>
              <o:lock v:ext="edit" aspectratio="f"/>
              <v:textbox inset="0mm,0mm,0mm,0mm">
                <w:txbxContent>
                  <w:p w14:paraId="3A254495">
                    <w:pPr>
                      <w:spacing w:before="20"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v:shape id="_x0000_s1473" o:spid="_x0000_s1473" o:spt="202" type="#_x0000_t202" style="position:absolute;left:1108;top:42;height:217;width:126;" filled="f" stroked="f" coordsize="21600,21600">
              <v:path/>
              <v:fill on="f" focussize="0,0"/>
              <v:stroke on="f"/>
              <v:imagedata o:title=""/>
              <o:lock v:ext="edit" aspectratio="f"/>
              <v:textbox inset="0mm,0mm,0mm,0mm">
                <w:txbxContent>
                  <w:p w14:paraId="319C22A9">
                    <w:pPr>
                      <w:spacing w:before="19" w:line="182" w:lineRule="auto"/>
                      <w:ind w:left="20"/>
                      <w:rPr>
                        <w:rFonts w:ascii="宋体" w:hAnsi="宋体" w:eastAsia="宋体" w:cs="宋体"/>
                        <w:sz w:val="18"/>
                        <w:szCs w:val="18"/>
                      </w:rPr>
                    </w:pPr>
                    <w:r>
                      <w:rPr>
                        <w:rFonts w:ascii="宋体" w:hAnsi="宋体" w:eastAsia="宋体" w:cs="宋体"/>
                        <w:sz w:val="18"/>
                        <w:szCs w:val="18"/>
                      </w:rPr>
                      <w:t>E</w:t>
                    </w:r>
                  </w:p>
                </w:txbxContent>
              </v:textbox>
            </v:shape>
            <v:shape id="_x0000_s1474" o:spid="_x0000_s1474" o:spt="202" type="#_x0000_t202" style="position:absolute;left:1213;top:522;height:217;width:126;" filled="f" stroked="f" coordsize="21600,21600">
              <v:path/>
              <v:fill on="f" focussize="0,0"/>
              <v:stroke on="f"/>
              <v:imagedata o:title=""/>
              <o:lock v:ext="edit" aspectratio="f"/>
              <v:textbox inset="0mm,0mm,0mm,0mm">
                <w:txbxContent>
                  <w:p w14:paraId="3DF0A170">
                    <w:pPr>
                      <w:spacing w:before="19" w:line="182" w:lineRule="auto"/>
                      <w:ind w:left="20"/>
                      <w:rPr>
                        <w:rFonts w:ascii="宋体" w:hAnsi="宋体" w:eastAsia="宋体" w:cs="宋体"/>
                        <w:sz w:val="18"/>
                        <w:szCs w:val="18"/>
                      </w:rPr>
                    </w:pPr>
                    <w:r>
                      <w:rPr>
                        <w:rFonts w:ascii="宋体" w:hAnsi="宋体" w:eastAsia="宋体" w:cs="宋体"/>
                        <w:sz w:val="18"/>
                        <w:szCs w:val="18"/>
                      </w:rPr>
                      <w:t>E</w:t>
                    </w:r>
                  </w:p>
                </w:txbxContent>
              </v:textbox>
            </v:shape>
          </v:group>
        </w:pict>
      </w:r>
      <w:r>
        <w:pict>
          <v:group id="_x0000_s1475" o:spid="_x0000_s1475" o:spt="203" style="position:absolute;left:0pt;margin-left:341.95pt;margin-top:7.15pt;height:58.5pt;width:65.95pt;z-index:251935744;mso-width-relative:page;mso-height-relative:page;" coordsize="1318,1170">
            <o:lock v:ext="edit"/>
            <v:shape id="_x0000_s1476" o:spid="_x0000_s1476" o:spt="75" type="#_x0000_t75" style="position:absolute;left:195;top:62;height:1066;width:929;" filled="f" stroked="f" coordsize="21600,21600">
              <v:path/>
              <v:fill on="f" focussize="0,0"/>
              <v:stroke on="f"/>
              <v:imagedata r:id="rId625" o:title=""/>
              <o:lock v:ext="edit" aspectratio="t"/>
            </v:shape>
            <v:shape id="_x0000_s1477" o:spid="_x0000_s1477" style="position:absolute;left:81;top:0;height:1155;width:1140;" fillcolor="#00FF00" filled="t" stroked="t" coordsize="1140,1155" path="m1132,577c1132,892,880,1147,569,1147c259,1147,7,892,7,577c7,262,259,7,569,7c880,7,1132,262,1132,577e">
              <v:fill on="t" focussize="0,0"/>
              <v:stroke color="#646464" miterlimit="2" endcap="round"/>
              <v:imagedata o:title=""/>
              <o:lock v:ext="edit"/>
            </v:shape>
            <v:group id="_x0000_s1478" o:spid="_x0000_s1478" o:spt="203" style="position:absolute;left:81;top:0;height:1170;width:1155;" coordsize="1155,1170">
              <o:lock v:ext="edit"/>
              <v:shape id="_x0000_s1479" o:spid="_x0000_s1479" style="position:absolute;left:569;top:45;height:555;width:240;" fillcolor="#FA9696" filled="t" stroked="t" coordsize="240,555" path="m7,547l7,292,232,7,7,547e">
                <v:fill on="t" focussize="0,0"/>
                <v:stroke color="#000000" miterlimit="2" endcap="round"/>
                <v:imagedata o:title=""/>
                <o:lock v:ext="edit"/>
              </v:shape>
              <v:shape id="_x0000_s1480" o:spid="_x0000_s1480" style="position:absolute;left:569;top:45;height:555;width:405;" fillcolor="#C8C8C8" filled="t" stroked="t" coordsize="405,555" path="m7,547l232,7,397,157,7,547e">
                <v:fill on="t" focussize="0,0"/>
                <v:stroke color="#000000" miterlimit="2" endcap="round"/>
                <v:imagedata o:title=""/>
                <o:lock v:ext="edit"/>
              </v:shape>
              <v:shape id="_x0000_s1481" o:spid="_x0000_s1481" style="position:absolute;left:569;top:194;height:405;width:405;" fillcolor="#FA9696" filled="t" stroked="t" coordsize="405,405" path="m7,397l397,7,157,337,7,397e">
                <v:fill on="t" focussize="0,0"/>
                <v:stroke color="#000000" miterlimit="2" endcap="round"/>
                <v:imagedata o:title=""/>
                <o:lock v:ext="edit"/>
              </v:shape>
              <v:shape id="_x0000_s1482" o:spid="_x0000_s1482" style="position:absolute;left:569;top:524;height:75;width:165;" fillcolor="#C8C8C8" filled="t" stroked="t" coordsize="165,75" path="m7,67l157,7,112,67,7,67e">
                <v:fill on="t" focussize="0,0"/>
                <v:stroke color="#000000" miterlimit="2" endcap="round"/>
                <v:imagedata o:title=""/>
                <o:lock v:ext="edit"/>
              </v:shape>
              <v:shape id="_x0000_s1483" o:spid="_x0000_s1483" style="position:absolute;left:569;top:584;height:30;width:120;" fillcolor="#FA9696" filled="t" stroked="t" coordsize="120,30" path="m7,7l112,7,37,22,7,7e">
                <v:fill on="t" focussize="0,0"/>
                <v:stroke color="#000000" miterlimit="2" endcap="round"/>
                <v:imagedata o:title=""/>
                <o:lock v:ext="edit"/>
              </v:shape>
              <v:shape id="_x0000_s1484" o:spid="_x0000_s1484" style="position:absolute;left:569;top:584;height:60;width:60;" fillcolor="#C8C8C8" filled="t" stroked="t" coordsize="60,60" path="m7,7l37,22,52,52,7,7e">
                <v:fill on="t" focussize="0,0"/>
                <v:stroke color="#000000" miterlimit="2" endcap="round"/>
                <v:imagedata o:title=""/>
                <o:lock v:ext="edit"/>
              </v:shape>
              <v:shape id="_x0000_s1485" o:spid="_x0000_s1485" style="position:absolute;left:569;top:584;height:60;width:60;" fillcolor="#FA9696" filled="t" stroked="t" coordsize="60,60" path="m7,7l52,52,22,37,7,7e">
                <v:fill on="t" focussize="0,0"/>
                <v:stroke color="#000000" miterlimit="2" endcap="round"/>
                <v:imagedata o:title=""/>
                <o:lock v:ext="edit"/>
              </v:shape>
              <v:shape id="_x0000_s1486" o:spid="_x0000_s1486" style="position:absolute;left:569;top:584;height:45;width:30;" fillcolor="#C8C8C8" filled="t" stroked="t" coordsize="30,45" path="m7,7l22,37,7,7e">
                <v:fill on="t" focussize="0,0"/>
                <v:stroke color="#000000" miterlimit="2" endcap="round"/>
                <v:imagedata o:title=""/>
                <o:lock v:ext="edit"/>
              </v:shape>
              <v:shape id="_x0000_s1487" o:spid="_x0000_s1487" style="position:absolute;left:374;top:584;height:465;width:210;" fillcolor="#FA9696" filled="t" stroked="t" coordsize="210,465" path="m202,7l202,7,7,457,202,7e">
                <v:fill on="t" focussize="0,0"/>
                <v:stroke color="#000000" miterlimit="2" endcap="round"/>
                <v:imagedata o:title=""/>
                <o:lock v:ext="edit"/>
              </v:shape>
              <v:shape id="_x0000_s1488" o:spid="_x0000_s1488" style="position:absolute;left:314;top:584;height:465;width:270;" fillcolor="#C8C8C8" filled="t" stroked="t" coordsize="270,465" path="m262,7l67,457,7,262,262,7e">
                <v:fill on="t" focussize="0,0"/>
                <v:stroke color="#000000" miterlimit="2" endcap="round"/>
                <v:imagedata o:title=""/>
                <o:lock v:ext="edit"/>
              </v:shape>
              <v:shape id="_x0000_s1489" o:spid="_x0000_s1489" style="position:absolute;left:284;top:584;height:270;width:300;" fillcolor="#FA9696" filled="t" stroked="t" coordsize="300,270" path="m292,7l37,262,7,112,292,7e">
                <v:fill on="t" focussize="0,0"/>
                <v:stroke color="#000000" miterlimit="2" endcap="round"/>
                <v:imagedata o:title=""/>
                <o:lock v:ext="edit"/>
              </v:shape>
              <v:shape id="_x0000_s1490" o:spid="_x0000_s1490" style="position:absolute;left:284;top:584;height:120;width:300;" fillcolor="#C8C8C8" filled="t" stroked="t" coordsize="300,120" path="m292,7l7,112,22,7,292,7e">
                <v:fill on="t" focussize="0,0"/>
                <v:stroke color="#000000" miterlimit="2" endcap="round"/>
                <v:imagedata o:title=""/>
                <o:lock v:ext="edit"/>
              </v:shape>
              <v:shape id="_x0000_s1491" o:spid="_x0000_s1491" style="position:absolute;left:299;top:494;height:105;width:285;" fillcolor="#FA9696" filled="t" stroked="t" coordsize="285,105" path="m277,97l7,97,97,7,277,97e">
                <v:fill on="t" focussize="0,0"/>
                <v:stroke color="#000000" miterlimit="2" endcap="round"/>
                <v:imagedata o:title=""/>
                <o:lock v:ext="edit"/>
              </v:shape>
              <v:shape id="_x0000_s1492" o:spid="_x0000_s1492" style="position:absolute;left:389;top:419;height:180;width:195;" fillcolor="#C8C8C8" filled="t" stroked="t" coordsize="195,180" path="m187,172l7,82,37,7,187,172e">
                <v:fill on="t" focussize="0,0"/>
                <v:stroke color="#000000" miterlimit="2" endcap="round"/>
                <v:imagedata o:title=""/>
                <o:lock v:ext="edit"/>
              </v:shape>
              <v:shape id="_x0000_s1493" o:spid="_x0000_s1493" style="position:absolute;left:419;top:254;height:345;width:165;" fillcolor="#FA9696" filled="t" stroked="t" coordsize="165,345" path="m157,337l7,172,22,7,157,337e">
                <v:fill on="t" focussize="0,0"/>
                <v:stroke color="#000000" miterlimit="2" endcap="round"/>
                <v:imagedata o:title=""/>
                <o:lock v:ext="edit"/>
              </v:shape>
              <v:shape id="_x0000_s1494" o:spid="_x0000_s1494" style="position:absolute;left:434;top:254;height:345;width:150;" fillcolor="#C8C8C8" filled="t" stroked="t" coordsize="150,345" path="m142,337l7,7,142,82,142,337e">
                <v:fill on="t" focussize="0,0"/>
                <v:stroke color="#000000" miterlimit="2" endcap="round"/>
                <v:imagedata o:title=""/>
                <o:lock v:ext="edit"/>
              </v:shape>
              <v:shape id="_x0000_s1495" o:spid="_x0000_s1495" style="position:absolute;left:0;top:0;height:1170;width:1155;" filled="f" stroked="t" coordsize="1155,1170" path="m577,7l577,1162m802,52l352,1117m982,172l172,997m1102,367l52,802m1147,592l7,592m1102,802l52,367m982,997l172,172m802,1117l352,52m847,577c847,734,723,862,569,862c416,862,292,734,292,577c292,420,416,292,569,292c723,292,847,420,847,577e">
                <v:fill on="f" focussize="0,0"/>
                <v:stroke color="#646464" miterlimit="2" endcap="round"/>
                <v:imagedata o:title=""/>
                <o:lock v:ext="edit"/>
              </v:shape>
            </v:group>
            <v:shape id="_x0000_s1496" o:spid="_x0000_s1496" o:spt="202" type="#_x0000_t202" style="position:absolute;left:1021;top:42;height:1163;width:317;" filled="f" stroked="f" coordsize="21600,21600">
              <v:path/>
              <v:fill on="f" focussize="0,0"/>
              <v:stroke on="f"/>
              <v:imagedata o:title=""/>
              <o:lock v:ext="edit" aspectratio="f"/>
              <v:textbox inset="0mm,0mm,0mm,0mm">
                <w:txbxContent>
                  <w:p w14:paraId="0C2A6235">
                    <w:pPr>
                      <w:spacing w:before="19" w:line="182" w:lineRule="auto"/>
                      <w:ind w:left="107"/>
                      <w:rPr>
                        <w:rFonts w:ascii="宋体" w:hAnsi="宋体" w:eastAsia="宋体" w:cs="宋体"/>
                        <w:sz w:val="18"/>
                        <w:szCs w:val="18"/>
                      </w:rPr>
                    </w:pPr>
                    <w:r>
                      <w:rPr>
                        <w:rFonts w:ascii="宋体" w:hAnsi="宋体" w:eastAsia="宋体" w:cs="宋体"/>
                        <w:sz w:val="18"/>
                        <w:szCs w:val="18"/>
                      </w:rPr>
                      <w:t>E</w:t>
                    </w:r>
                  </w:p>
                  <w:p w14:paraId="523D62C7">
                    <w:pPr>
                      <w:pStyle w:val="2"/>
                      <w:spacing w:line="242" w:lineRule="auto"/>
                    </w:pPr>
                  </w:p>
                  <w:p w14:paraId="3F1C31D3">
                    <w:pPr>
                      <w:spacing w:before="58" w:line="182" w:lineRule="auto"/>
                      <w:ind w:right="15"/>
                      <w:jc w:val="right"/>
                      <w:rPr>
                        <w:rFonts w:ascii="宋体" w:hAnsi="宋体" w:eastAsia="宋体" w:cs="宋体"/>
                        <w:sz w:val="18"/>
                        <w:szCs w:val="18"/>
                      </w:rPr>
                    </w:pPr>
                    <w:r>
                      <w:rPr>
                        <w:rFonts w:ascii="宋体" w:hAnsi="宋体" w:eastAsia="宋体" w:cs="宋体"/>
                        <w:sz w:val="18"/>
                        <w:szCs w:val="18"/>
                      </w:rPr>
                      <w:t>E</w:t>
                    </w:r>
                  </w:p>
                  <w:p w14:paraId="727D1E78">
                    <w:pPr>
                      <w:spacing w:before="286"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v:shape id="_x0000_s1497" o:spid="_x0000_s1497" o:spt="202" type="#_x0000_t202" style="position:absolute;left:85;top:42;height:217;width:128;" filled="f" stroked="f" coordsize="21600,21600">
              <v:path/>
              <v:fill on="f" focussize="0,0"/>
              <v:stroke on="f"/>
              <v:imagedata o:title=""/>
              <o:lock v:ext="edit" aspectratio="f"/>
              <v:textbox inset="0mm,0mm,0mm,0mm">
                <w:txbxContent>
                  <w:p w14:paraId="0D206601">
                    <w:pPr>
                      <w:spacing w:before="19" w:line="182" w:lineRule="auto"/>
                      <w:ind w:left="20"/>
                      <w:rPr>
                        <w:rFonts w:ascii="宋体" w:hAnsi="宋体" w:eastAsia="宋体" w:cs="宋体"/>
                        <w:sz w:val="18"/>
                        <w:szCs w:val="18"/>
                      </w:rPr>
                    </w:pPr>
                    <w:r>
                      <w:rPr>
                        <w:rFonts w:ascii="宋体" w:hAnsi="宋体" w:eastAsia="宋体" w:cs="宋体"/>
                        <w:sz w:val="18"/>
                        <w:szCs w:val="18"/>
                      </w:rPr>
                      <w:t>N</w:t>
                    </w:r>
                  </w:p>
                </w:txbxContent>
              </v:textbox>
            </v:shape>
            <v:shape id="_x0000_s1498" o:spid="_x0000_s1498" o:spt="202" type="#_x0000_t202" style="position:absolute;left:-20;top:522;height:217;width:128;" filled="f" stroked="f" coordsize="21600,21600">
              <v:path/>
              <v:fill on="f" focussize="0,0"/>
              <v:stroke on="f"/>
              <v:imagedata o:title=""/>
              <o:lock v:ext="edit" aspectratio="f"/>
              <v:textbox inset="0mm,0mm,0mm,0mm">
                <w:txbxContent>
                  <w:p w14:paraId="44D160E7">
                    <w:pPr>
                      <w:spacing w:before="19" w:line="182" w:lineRule="auto"/>
                      <w:ind w:left="20"/>
                      <w:rPr>
                        <w:rFonts w:ascii="宋体" w:hAnsi="宋体" w:eastAsia="宋体" w:cs="宋体"/>
                        <w:sz w:val="18"/>
                        <w:szCs w:val="18"/>
                      </w:rPr>
                    </w:pPr>
                    <w:r>
                      <w:rPr>
                        <w:rFonts w:ascii="宋体" w:hAnsi="宋体" w:eastAsia="宋体" w:cs="宋体"/>
                        <w:sz w:val="18"/>
                        <w:szCs w:val="18"/>
                      </w:rPr>
                      <w:t>W</w:t>
                    </w:r>
                  </w:p>
                </w:txbxContent>
              </v:textbox>
            </v:shape>
            <v:shape id="_x0000_s1499" o:spid="_x0000_s1499" o:spt="202" type="#_x0000_t202" style="position:absolute;left:91;top:986;height:218;width:123;" filled="f" stroked="f" coordsize="21600,21600">
              <v:path/>
              <v:fill on="f" focussize="0,0"/>
              <v:stroke on="f"/>
              <v:imagedata o:title=""/>
              <o:lock v:ext="edit" aspectratio="f"/>
              <v:textbox inset="0mm,0mm,0mm,0mm">
                <w:txbxContent>
                  <w:p w14:paraId="0BA95C2A">
                    <w:pPr>
                      <w:spacing w:before="20" w:line="183" w:lineRule="auto"/>
                      <w:ind w:left="20"/>
                      <w:rPr>
                        <w:rFonts w:ascii="宋体" w:hAnsi="宋体" w:eastAsia="宋体" w:cs="宋体"/>
                        <w:sz w:val="18"/>
                        <w:szCs w:val="18"/>
                      </w:rPr>
                    </w:pPr>
                    <w:r>
                      <w:rPr>
                        <w:rFonts w:ascii="宋体" w:hAnsi="宋体" w:eastAsia="宋体" w:cs="宋体"/>
                        <w:sz w:val="18"/>
                        <w:szCs w:val="18"/>
                      </w:rPr>
                      <w:t>S</w:t>
                    </w:r>
                  </w:p>
                </w:txbxContent>
              </v:textbox>
            </v:shape>
          </v:group>
        </w:pict>
      </w:r>
    </w:p>
    <w:p w14:paraId="61D89A66">
      <w:pPr>
        <w:pStyle w:val="2"/>
        <w:spacing w:line="241" w:lineRule="auto"/>
      </w:pPr>
      <w:r>
        <w:pict>
          <v:group id="_x0000_s1500" o:spid="_x0000_s1500" o:spt="203" style="position:absolute;left:0pt;margin-left:274.75pt;margin-top:8.55pt;height:20.25pt;width:12pt;z-index:251925504;mso-width-relative:page;mso-height-relative:page;" coordsize="240,405">
            <o:lock v:ext="edit"/>
            <v:shape id="_x0000_s1501" o:spid="_x0000_s1501" style="position:absolute;left:0;top:0;height:330;width:240;" fillcolor="#C8C8C8" filled="t" stroked="t" coordsize="240,330" path="m7,322l127,7,232,97,7,322e">
              <v:fill on="t" focussize="0,0"/>
              <v:stroke color="#000000" miterlimit="2" endcap="round"/>
              <v:imagedata o:title=""/>
              <o:lock v:ext="edit"/>
            </v:shape>
            <v:shape id="_x0000_s1502" o:spid="_x0000_s1502" style="position:absolute;left:0;top:89;height:240;width:240;" fillcolor="#FA9696" filled="t" stroked="t" coordsize="240,240" path="m7,232l232,7,202,142,7,232e">
              <v:fill on="t" focussize="0,0"/>
              <v:stroke color="#000000" miterlimit="2" endcap="round"/>
              <v:imagedata o:title=""/>
              <o:lock v:ext="edit"/>
            </v:shape>
            <v:shape id="_x0000_s1503" o:spid="_x0000_s1503" style="position:absolute;left:0;top:224;height:105;width:210;" fillcolor="#C8C8C8" filled="t" stroked="t" coordsize="210,105" path="m7,97l202,7,202,97,7,97e">
              <v:fill on="t" focussize="0,0"/>
              <v:stroke color="#000000" miterlimit="2" endcap="round"/>
              <v:imagedata o:title=""/>
              <o:lock v:ext="edit"/>
            </v:shape>
            <v:shape id="_x0000_s1504" o:spid="_x0000_s1504" style="position:absolute;left:0;top:314;height:60;width:210;" filled="f" stroked="t" coordsize="210,60" path="m7,7l202,7,112,52e">
              <v:fill on="f" focussize="0,0"/>
              <v:stroke color="#000000" miterlimit="2" endcap="round"/>
              <v:imagedata o:title=""/>
              <o:lock v:ext="edit"/>
            </v:shape>
            <v:shape id="_x0000_s1505" o:spid="_x0000_s1505" style="position:absolute;left:0;top:314;height:60;width:210;" fillcolor="#FA9696" filled="t" stroked="f" coordsize="210,60" path="m7,7,7,7l202,7,112,52,7,7e">
              <v:path/>
              <v:fill on="t" focussize="0,0"/>
              <v:stroke on="f"/>
              <v:imagedata o:title=""/>
              <o:lock v:ext="edit"/>
            </v:shape>
            <v:shape id="_x0000_s1506" o:spid="_x0000_s1506" style="position:absolute;left:74;top:359;height:45;width:45;" filled="f" stroked="t" coordsize="45,45" path="m37,7l7,37e">
              <v:fill on="f" focussize="0,0"/>
              <v:stroke color="#000000" miterlimit="2" endcap="round"/>
              <v:imagedata o:title=""/>
              <o:lock v:ext="edit"/>
            </v:shape>
          </v:group>
        </w:pict>
      </w:r>
    </w:p>
    <w:p w14:paraId="1B75F251">
      <w:pPr>
        <w:pStyle w:val="2"/>
        <w:spacing w:line="241" w:lineRule="auto"/>
      </w:pPr>
      <w:r>
        <w:pict>
          <v:shape id="_x0000_s1507" o:spid="_x0000_s1507" o:spt="202" type="#_x0000_t202" style="position:absolute;left:0pt;margin-left:241.2pt;margin-top:9.05pt;height:10.9pt;width:6.45pt;z-index:251939840;mso-width-relative:page;mso-height-relative:page;" filled="f" stroked="f" coordsize="21600,21600">
            <v:path/>
            <v:fill on="f" focussize="0,0"/>
            <v:stroke on="f"/>
            <v:imagedata o:title=""/>
            <o:lock v:ext="edit" aspectratio="f"/>
            <v:textbox inset="0mm,0mm,0mm,0mm">
              <w:txbxContent>
                <w:p w14:paraId="3F4D1D31">
                  <w:pPr>
                    <w:spacing w:before="19" w:line="182" w:lineRule="auto"/>
                    <w:ind w:left="20"/>
                    <w:rPr>
                      <w:rFonts w:ascii="宋体" w:hAnsi="宋体" w:eastAsia="宋体" w:cs="宋体"/>
                      <w:sz w:val="18"/>
                      <w:szCs w:val="18"/>
                    </w:rPr>
                  </w:pPr>
                  <w:r>
                    <w:rPr>
                      <w:rFonts w:ascii="宋体" w:hAnsi="宋体" w:eastAsia="宋体" w:cs="宋体"/>
                      <w:sz w:val="18"/>
                      <w:szCs w:val="18"/>
                    </w:rPr>
                    <w:t>W</w:t>
                  </w:r>
                </w:p>
              </w:txbxContent>
            </v:textbox>
          </v:shape>
        </w:pict>
      </w:r>
      <w:r>
        <w:pict>
          <v:shape id="_x0000_s1508" o:spid="_x0000_s1508" o:spt="202" type="#_x0000_t202" style="position:absolute;left:0pt;margin-left:302.9pt;margin-top:9.05pt;height:10.9pt;width:6.3pt;z-index:251938816;mso-width-relative:page;mso-height-relative:page;" filled="f" stroked="f" coordsize="21600,21600">
            <v:path/>
            <v:fill on="f" focussize="0,0"/>
            <v:stroke on="f"/>
            <v:imagedata o:title=""/>
            <o:lock v:ext="edit" aspectratio="f"/>
            <v:textbox inset="0mm,0mm,0mm,0mm">
              <w:txbxContent>
                <w:p w14:paraId="5AA3798C">
                  <w:pPr>
                    <w:spacing w:before="19" w:line="182" w:lineRule="auto"/>
                    <w:ind w:left="20"/>
                    <w:rPr>
                      <w:rFonts w:ascii="宋体" w:hAnsi="宋体" w:eastAsia="宋体" w:cs="宋体"/>
                      <w:sz w:val="18"/>
                      <w:szCs w:val="18"/>
                    </w:rPr>
                  </w:pPr>
                  <w:r>
                    <w:rPr>
                      <w:rFonts w:ascii="宋体" w:hAnsi="宋体" w:eastAsia="宋体" w:cs="宋体"/>
                      <w:sz w:val="18"/>
                      <w:szCs w:val="18"/>
                    </w:rPr>
                    <w:t>E</w:t>
                  </w:r>
                </w:p>
              </w:txbxContent>
            </v:textbox>
          </v:shape>
        </w:pict>
      </w:r>
      <w:r>
        <w:pict>
          <v:group id="_x0000_s1509" o:spid="_x0000_s1509" o:spt="203" style="position:absolute;left:0pt;margin-left:256.75pt;margin-top:2.4pt;height:33pt;width:18.75pt;z-index:251926528;mso-width-relative:page;mso-height-relative:page;" coordsize="375,660">
            <o:lock v:ext="edit"/>
            <v:shape id="_x0000_s1510" o:spid="_x0000_s1510" style="position:absolute;left:164;top:194;height:465;width:210;" fillcolor="#FA9696" filled="t" stroked="f" coordsize="210,465" path="m202,7,202,7l202,97,7,457,202,7e">
              <v:path/>
              <v:fill on="t" focussize="0,0"/>
              <v:stroke on="f"/>
              <v:imagedata o:title=""/>
              <o:lock v:ext="edit"/>
            </v:shape>
            <v:shape id="_x0000_s1511" o:spid="_x0000_s1511" style="position:absolute;left:164;top:194;height:465;width:210;" filled="f" stroked="t" coordsize="210,465" path="m202,97l7,457,202,7e">
              <v:fill on="f" focussize="0,0"/>
              <v:stroke color="#000000" miterlimit="2" endcap="round"/>
              <v:imagedata o:title=""/>
              <o:lock v:ext="edit"/>
            </v:shape>
            <v:shape id="_x0000_s1512" o:spid="_x0000_s1512" style="position:absolute;left:104;top:194;height:465;width:270;" fillcolor="#C8C8C8" filled="t" stroked="t" coordsize="270,465" path="m262,7l67,457,7,247,262,7e">
              <v:fill on="t" focussize="0,0"/>
              <v:stroke color="#000000" miterlimit="2" endcap="round"/>
              <v:imagedata o:title=""/>
              <o:lock v:ext="edit"/>
            </v:shape>
            <v:shape id="_x0000_s1513" o:spid="_x0000_s1513" style="position:absolute;left:0;top:194;height:255;width:375;" fillcolor="#FA9696" filled="t" stroked="t" coordsize="375,255" path="m367,7l112,247,7,142,367,7e">
              <v:fill on="t" focussize="0,0"/>
              <v:stroke color="#000000" miterlimit="2" endcap="round"/>
              <v:imagedata o:title=""/>
              <o:lock v:ext="edit"/>
            </v:shape>
            <v:shape id="_x0000_s1514" o:spid="_x0000_s1514" style="position:absolute;left:0;top:194;height:150;width:375;" fillcolor="#C8C8C8" filled="t" stroked="t" coordsize="375,150" path="m367,7l7,142,82,7,367,7e">
              <v:fill on="t" focussize="0,0"/>
              <v:stroke color="#000000" miterlimit="2" endcap="round"/>
              <v:imagedata o:title=""/>
              <o:lock v:ext="edit"/>
            </v:shape>
            <v:shape id="_x0000_s1515" o:spid="_x0000_s1515" style="position:absolute;left:75;top:119;height:90;width:300;" fillcolor="#FA9696" filled="t" stroked="t" coordsize="300,90" path="m292,82l7,82,112,7,292,82e">
              <v:fill on="t" focussize="0,0"/>
              <v:stroke color="#000000" miterlimit="2" endcap="round"/>
              <v:imagedata o:title=""/>
              <o:lock v:ext="edit"/>
            </v:shape>
            <v:shape id="_x0000_s1516" o:spid="_x0000_s1516" style="position:absolute;left:179;top:74;height:135;width:195;" filled="f" stroked="t" coordsize="195,135" path="m187,127l7,52,82,7e">
              <v:fill on="f" focussize="0,0"/>
              <v:stroke color="#000000" miterlimit="2" endcap="round"/>
              <v:imagedata o:title=""/>
              <o:lock v:ext="edit"/>
            </v:shape>
            <v:shape id="_x0000_s1517" o:spid="_x0000_s1517" style="position:absolute;left:179;top:74;height:135;width:195;" fillcolor="#C8C8C8" filled="t" stroked="f" coordsize="195,135" path="m187,127,187,127l7,52,82,7,187,127e">
              <v:path/>
              <v:fill on="t" focussize="0,0"/>
              <v:stroke on="f"/>
              <v:imagedata o:title=""/>
              <o:lock v:ext="edit"/>
            </v:shape>
            <v:shape id="_x0000_s1518" o:spid="_x0000_s1518" style="position:absolute;left:254;top:0;height:90;width:45;" filled="f" stroked="t" coordsize="45,90" path="m7,82l37,7e">
              <v:fill on="f" focussize="0,0"/>
              <v:stroke color="#000000" miterlimit="2" endcap="round"/>
              <v:imagedata o:title=""/>
              <o:lock v:ext="edit"/>
            </v:shape>
          </v:group>
        </w:pict>
      </w:r>
      <w:r>
        <w:pict>
          <v:shape id="_x0000_s1519" o:spid="_x0000_s1519" o:spt="202" type="#_x0000_t202" style="position:absolute;left:0pt;margin-left:104.9pt;margin-top:9.05pt;height:10.9pt;width:6.3pt;z-index:251966464;mso-width-relative:page;mso-height-relative:page;" filled="f" stroked="f" coordsize="21600,21600">
            <v:path/>
            <v:fill on="f" focussize="0,0"/>
            <v:stroke on="f"/>
            <v:imagedata o:title=""/>
            <o:lock v:ext="edit" aspectratio="f"/>
            <v:textbox inset="0mm,0mm,0mm,0mm">
              <w:txbxContent>
                <w:p w14:paraId="2EC2B0B4">
                  <w:pPr>
                    <w:spacing w:before="19" w:line="182" w:lineRule="auto"/>
                    <w:ind w:left="20"/>
                    <w:rPr>
                      <w:rFonts w:ascii="宋体" w:hAnsi="宋体" w:eastAsia="宋体" w:cs="宋体"/>
                      <w:sz w:val="18"/>
                      <w:szCs w:val="18"/>
                    </w:rPr>
                  </w:pPr>
                  <w:r>
                    <w:rPr>
                      <w:rFonts w:ascii="宋体" w:hAnsi="宋体" w:eastAsia="宋体" w:cs="宋体"/>
                      <w:sz w:val="18"/>
                      <w:szCs w:val="18"/>
                    </w:rPr>
                    <w:t>E</w:t>
                  </w:r>
                </w:p>
              </w:txbxContent>
            </v:textbox>
          </v:shape>
        </w:pict>
      </w:r>
    </w:p>
    <w:p w14:paraId="21546747">
      <w:pPr>
        <w:pStyle w:val="2"/>
        <w:spacing w:line="241" w:lineRule="auto"/>
      </w:pPr>
    </w:p>
    <w:p w14:paraId="71817F7F">
      <w:pPr>
        <w:pStyle w:val="2"/>
        <w:spacing w:line="241" w:lineRule="auto"/>
      </w:pPr>
      <w:r>
        <w:pict>
          <v:shape id="_x0000_s1520" o:spid="_x0000_s1520" o:spt="202" type="#_x0000_t202" style="position:absolute;left:0pt;margin-left:246.8pt;margin-top:8pt;height:10.95pt;width:10.65pt;z-index:251918336;mso-width-relative:page;mso-height-relative:page;" filled="f" stroked="f" coordsize="21600,21600">
            <v:path/>
            <v:fill on="f" focussize="0,0"/>
            <v:stroke on="f"/>
            <v:imagedata o:title=""/>
            <o:lock v:ext="edit" aspectratio="f"/>
            <v:textbox inset="0mm,0mm,0mm,0mm">
              <w:txbxContent>
                <w:p w14:paraId="2D5B297B">
                  <w:pPr>
                    <w:spacing w:before="20" w:line="183" w:lineRule="auto"/>
                    <w:ind w:left="20"/>
                    <w:rPr>
                      <w:rFonts w:ascii="宋体" w:hAnsi="宋体" w:eastAsia="宋体" w:cs="宋体"/>
                      <w:sz w:val="18"/>
                      <w:szCs w:val="18"/>
                    </w:rPr>
                  </w:pPr>
                  <w:r>
                    <w:rPr>
                      <w:rFonts w:ascii="宋体" w:hAnsi="宋体" w:eastAsia="宋体" w:cs="宋体"/>
                      <w:spacing w:val="-4"/>
                      <w:sz w:val="18"/>
                      <w:szCs w:val="18"/>
                    </w:rPr>
                    <w:t>SW</w:t>
                  </w:r>
                </w:p>
              </w:txbxContent>
            </v:textbox>
          </v:shape>
        </w:pict>
      </w:r>
      <w:r>
        <w:pict>
          <v:shape id="_x0000_s1521" o:spid="_x0000_s1521" o:spt="202" type="#_x0000_t202" style="position:absolute;left:0pt;margin-left:293.3pt;margin-top:8pt;height:10.95pt;width:10.65pt;z-index:251919360;mso-width-relative:page;mso-height-relative:page;" filled="f" stroked="f" coordsize="21600,21600">
            <v:path/>
            <v:fill on="f" focussize="0,0"/>
            <v:stroke on="f"/>
            <v:imagedata o:title=""/>
            <o:lock v:ext="edit" aspectratio="f"/>
            <v:textbox inset="0mm,0mm,0mm,0mm">
              <w:txbxContent>
                <w:p w14:paraId="2D7B226D">
                  <w:pPr>
                    <w:spacing w:before="20"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w:pict>
      </w:r>
      <w:r>
        <w:pict>
          <v:shape id="_x0000_s1522" o:spid="_x0000_s1522" o:spt="202" type="#_x0000_t202" style="position:absolute;left:0pt;margin-left:95.3pt;margin-top:8pt;height:10.95pt;width:10.65pt;z-index:251917312;mso-width-relative:page;mso-height-relative:page;" filled="f" stroked="f" coordsize="21600,21600">
            <v:path/>
            <v:fill on="f" focussize="0,0"/>
            <v:stroke on="f"/>
            <v:imagedata o:title=""/>
            <o:lock v:ext="edit" aspectratio="f"/>
            <v:textbox inset="0mm,0mm,0mm,0mm">
              <w:txbxContent>
                <w:p w14:paraId="0A4B9C55">
                  <w:pPr>
                    <w:spacing w:before="20"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w:pict>
      </w:r>
    </w:p>
    <w:p w14:paraId="53593E56">
      <w:pPr>
        <w:pStyle w:val="2"/>
        <w:spacing w:line="241" w:lineRule="auto"/>
      </w:pPr>
    </w:p>
    <w:p w14:paraId="742ECA43">
      <w:pPr>
        <w:pStyle w:val="2"/>
        <w:spacing w:line="241" w:lineRule="auto"/>
      </w:pPr>
    </w:p>
    <w:p w14:paraId="7B156FA4">
      <w:pPr>
        <w:pStyle w:val="2"/>
        <w:spacing w:line="241" w:lineRule="auto"/>
      </w:pPr>
    </w:p>
    <w:p w14:paraId="592AD315">
      <w:pPr>
        <w:pStyle w:val="2"/>
        <w:spacing w:line="241" w:lineRule="auto"/>
      </w:pPr>
    </w:p>
    <w:p w14:paraId="01DCC342">
      <w:pPr>
        <w:pStyle w:val="2"/>
        <w:spacing w:line="241" w:lineRule="auto"/>
      </w:pPr>
      <w:r>
        <w:pict>
          <v:shape id="_x0000_s1523" o:spid="_x0000_s1523" o:spt="202" type="#_x0000_t202" style="position:absolute;left:0pt;margin-left:147.5pt;margin-top:11.15pt;height:10.9pt;width:10.95pt;z-index:251914240;mso-width-relative:page;mso-height-relative:page;" filled="f" stroked="f" coordsize="21600,21600">
            <v:path/>
            <v:fill on="f" focussize="0,0"/>
            <v:stroke on="f"/>
            <v:imagedata o:title=""/>
            <o:lock v:ext="edit" aspectratio="f"/>
            <v:textbox inset="0mm,0mm,0mm,0mm">
              <w:txbxContent>
                <w:p w14:paraId="294F130A">
                  <w:pPr>
                    <w:spacing w:before="19" w:line="182" w:lineRule="auto"/>
                    <w:ind w:left="20"/>
                    <w:rPr>
                      <w:rFonts w:ascii="宋体" w:hAnsi="宋体" w:eastAsia="宋体" w:cs="宋体"/>
                      <w:sz w:val="18"/>
                      <w:szCs w:val="18"/>
                    </w:rPr>
                  </w:pPr>
                  <w:r>
                    <w:rPr>
                      <w:rFonts w:ascii="宋体" w:hAnsi="宋体" w:eastAsia="宋体" w:cs="宋体"/>
                      <w:spacing w:val="-1"/>
                      <w:sz w:val="18"/>
                      <w:szCs w:val="18"/>
                    </w:rPr>
                    <w:t>NW</w:t>
                  </w:r>
                </w:p>
              </w:txbxContent>
            </v:textbox>
          </v:shape>
        </w:pict>
      </w:r>
      <w:r>
        <w:pict>
          <v:shape id="_x0000_s1524" o:spid="_x0000_s1524" o:spt="202" type="#_x0000_t202" style="position:absolute;left:0pt;margin-left:194pt;margin-top:11.15pt;height:10.9pt;width:10.95pt;z-index:251908096;mso-width-relative:page;mso-height-relative:page;" filled="f" stroked="f" coordsize="21600,21600">
            <v:path/>
            <v:fill on="f" focussize="0,0"/>
            <v:stroke on="f"/>
            <v:imagedata o:title=""/>
            <o:lock v:ext="edit" aspectratio="f"/>
            <v:textbox inset="0mm,0mm,0mm,0mm">
              <w:txbxContent>
                <w:p w14:paraId="42C62022">
                  <w:pPr>
                    <w:spacing w:before="19" w:line="182" w:lineRule="auto"/>
                    <w:ind w:left="20"/>
                    <w:rPr>
                      <w:rFonts w:ascii="宋体" w:hAnsi="宋体" w:eastAsia="宋体" w:cs="宋体"/>
                      <w:sz w:val="18"/>
                      <w:szCs w:val="18"/>
                    </w:rPr>
                  </w:pPr>
                  <w:r>
                    <w:rPr>
                      <w:rFonts w:ascii="宋体" w:hAnsi="宋体" w:eastAsia="宋体" w:cs="宋体"/>
                      <w:spacing w:val="-1"/>
                      <w:sz w:val="18"/>
                      <w:szCs w:val="18"/>
                    </w:rPr>
                    <w:t>NE</w:t>
                  </w:r>
                </w:p>
              </w:txbxContent>
            </v:textbox>
          </v:shape>
        </w:pict>
      </w:r>
      <w:r>
        <w:pict>
          <v:group id="_x0000_s1525" o:spid="_x0000_s1525" o:spt="203" style="position:absolute;left:0pt;margin-left:147.3pt;margin-top:9.05pt;height:57.75pt;width:57pt;z-index:252030976;mso-width-relative:page;mso-height-relative:page;" coordsize="1140,1155">
            <o:lock v:ext="edit"/>
            <v:shape id="_x0000_s1526" o:spid="_x0000_s1526" style="position:absolute;left:0;top:0;height:1155;width:1140;" fillcolor="#00FF00" filled="t" stroked="t" coordsize="1140,1155" path="m1132,577c1132,892,880,1147,569,1147c259,1147,7,892,7,577c7,262,259,7,569,7c880,7,1132,262,1132,577e">
              <v:fill on="t" focussize="0,0"/>
              <v:stroke color="#646464" miterlimit="2" endcap="round"/>
              <v:imagedata o:title=""/>
              <o:lock v:ext="edit"/>
            </v:shape>
            <v:shape id="_x0000_s1527" o:spid="_x0000_s1527" style="position:absolute;left:569;top:359;height:240;width:105;" fillcolor="#FA9696" filled="t" stroked="t" coordsize="105,240" path="m7,232l7,22,97,7,7,232e">
              <v:fill on="t" focussize="0,0"/>
              <v:stroke color="#000000" miterlimit="2" endcap="round"/>
              <v:imagedata o:title=""/>
              <o:lock v:ext="edit"/>
            </v:shape>
            <v:shape id="_x0000_s1528" o:spid="_x0000_s1528" style="position:absolute;left:569;top:374;height:225;width:165;" filled="f" stroked="t" coordsize="165,225" path="m7,217l157,157m7,7l7,217e">
              <v:fill on="f" focussize="0,0"/>
              <v:stroke color="#000000" miterlimit="2" endcap="round"/>
              <v:imagedata o:title=""/>
              <o:lock v:ext="edit"/>
            </v:shape>
            <v:shape id="_x0000_s1529" o:spid="_x0000_s1529" style="position:absolute;left:284;top:284;height:585;width:570;" filled="f" stroked="t" coordsize="570,585" path="m562,292c562,449,438,577,284,577c131,577,7,449,7,292c7,135,131,7,284,7c438,7,562,135,562,292e">
              <v:fill on="f" focussize="0,0"/>
              <v:stroke color="#646464" miterlimit="2" endcap="round"/>
              <v:imagedata o:title=""/>
              <o:lock v:ext="edit"/>
            </v:shape>
          </v:group>
        </w:pict>
      </w:r>
      <w:r>
        <w:pict>
          <v:group id="_x0000_s1530" o:spid="_x0000_s1530" o:spt="203" style="position:absolute;left:0pt;margin-left:147.3pt;margin-top:9.05pt;height:58.5pt;width:57.75pt;z-index:252034048;mso-width-relative:page;mso-height-relative:page;" coordsize="1155,1170">
            <o:lock v:ext="edit"/>
            <v:shape id="_x0000_s1531" o:spid="_x0000_s1531" style="position:absolute;left:569;top:584;height:75;width:90;" fillcolor="#C8C8C8" filled="t" stroked="t" coordsize="90,75" path="m7,7l82,22,82,67,7,7e">
              <v:fill on="t" focussize="0,0"/>
              <v:stroke color="#000000" miterlimit="2" endcap="round"/>
              <v:imagedata o:title=""/>
              <o:lock v:ext="edit"/>
            </v:shape>
            <v:shape id="_x0000_s1532" o:spid="_x0000_s1532" style="position:absolute;left:569;top:584;height:75;width:90;" fillcolor="#FA9696" filled="t" stroked="t" coordsize="90,75" path="m7,7l82,67,22,37,7,7e">
              <v:fill on="t" focussize="0,0"/>
              <v:stroke color="#000000" miterlimit="2" endcap="round"/>
              <v:imagedata o:title=""/>
              <o:lock v:ext="edit"/>
            </v:shape>
            <v:shape id="_x0000_s1533" o:spid="_x0000_s1533" style="position:absolute;left:569;top:584;height:150;width:30;" fillcolor="#C8C8C8" filled="t" stroked="t" coordsize="30,150" path="m7,7l22,37,7,142,7,7e">
              <v:fill on="t" focussize="0,0"/>
              <v:stroke color="#000000" miterlimit="2" endcap="round"/>
              <v:imagedata o:title=""/>
              <o:lock v:ext="edit"/>
            </v:shape>
            <v:shape id="_x0000_s1534" o:spid="_x0000_s1534" style="position:absolute;left:569;top:584;height:150;width:15;" filled="f" stroked="t" coordsize="15,150" path="m7,7l7,142e">
              <v:fill on="f" focussize="0,0"/>
              <v:stroke color="#000000" miterlimit="2" endcap="round"/>
              <v:imagedata o:title=""/>
              <o:lock v:ext="edit"/>
            </v:shape>
            <v:shape id="_x0000_s1535" o:spid="_x0000_s1535" style="position:absolute;left:0;top:0;height:1170;width:1155;" filled="f" stroked="t" coordsize="1155,1170" path="m577,7l577,1162m802,52l352,1117m982,172l172,997m1102,367l52,802m1147,592l7,592m1102,802l52,367m982,997l172,172m802,1117l352,52e">
              <v:fill on="f" focussize="0,0"/>
              <v:stroke color="#646464" miterlimit="2" endcap="round"/>
              <v:imagedata o:title=""/>
              <o:lock v:ext="edit"/>
            </v:shape>
          </v:group>
        </w:pict>
      </w:r>
      <w:r>
        <w:pict>
          <v:shape id="_x0000_s1536" o:spid="_x0000_s1536" o:spt="202" type="#_x0000_t202" style="position:absolute;left:0pt;margin-left:48.5pt;margin-top:11.15pt;height:10.9pt;width:10.95pt;z-index:252035072;mso-width-relative:page;mso-height-relative:page;" filled="f" stroked="f" coordsize="21600,21600">
            <v:path/>
            <v:fill on="f" focussize="0,0"/>
            <v:stroke on="f"/>
            <v:imagedata o:title=""/>
            <o:lock v:ext="edit" aspectratio="f"/>
            <v:textbox inset="0mm,0mm,0mm,0mm">
              <w:txbxContent>
                <w:p w14:paraId="50329715">
                  <w:pPr>
                    <w:spacing w:before="19" w:line="182" w:lineRule="auto"/>
                    <w:ind w:left="20"/>
                    <w:rPr>
                      <w:rFonts w:ascii="宋体" w:hAnsi="宋体" w:eastAsia="宋体" w:cs="宋体"/>
                      <w:sz w:val="18"/>
                      <w:szCs w:val="18"/>
                    </w:rPr>
                  </w:pPr>
                  <w:r>
                    <w:rPr>
                      <w:rFonts w:ascii="宋体" w:hAnsi="宋体" w:eastAsia="宋体" w:cs="宋体"/>
                      <w:spacing w:val="-1"/>
                      <w:sz w:val="18"/>
                      <w:szCs w:val="18"/>
                    </w:rPr>
                    <w:t>NW</w:t>
                  </w:r>
                </w:p>
              </w:txbxContent>
            </v:textbox>
          </v:shape>
        </w:pict>
      </w:r>
      <w:r>
        <w:pict>
          <v:shape id="_x0000_s1537" o:spid="_x0000_s1537" o:spt="202" type="#_x0000_t202" style="position:absolute;left:0pt;margin-left:95pt;margin-top:11.15pt;height:10.9pt;width:10.95pt;z-index:251910144;mso-width-relative:page;mso-height-relative:page;" filled="f" stroked="f" coordsize="21600,21600">
            <v:path/>
            <v:fill on="f" focussize="0,0"/>
            <v:stroke on="f"/>
            <v:imagedata o:title=""/>
            <o:lock v:ext="edit" aspectratio="f"/>
            <v:textbox inset="0mm,0mm,0mm,0mm">
              <w:txbxContent>
                <w:p w14:paraId="0E7349F6">
                  <w:pPr>
                    <w:spacing w:before="19" w:line="182" w:lineRule="auto"/>
                    <w:ind w:left="20"/>
                    <w:rPr>
                      <w:rFonts w:ascii="宋体" w:hAnsi="宋体" w:eastAsia="宋体" w:cs="宋体"/>
                      <w:sz w:val="18"/>
                      <w:szCs w:val="18"/>
                    </w:rPr>
                  </w:pPr>
                  <w:r>
                    <w:rPr>
                      <w:rFonts w:ascii="宋体" w:hAnsi="宋体" w:eastAsia="宋体" w:cs="宋体"/>
                      <w:spacing w:val="-1"/>
                      <w:sz w:val="18"/>
                      <w:szCs w:val="18"/>
                    </w:rPr>
                    <w:t>NE</w:t>
                  </w:r>
                </w:p>
              </w:txbxContent>
            </v:textbox>
          </v:shape>
        </w:pict>
      </w:r>
      <w:r>
        <w:pict>
          <v:group id="_x0000_s1538" o:spid="_x0000_s1538" o:spt="203" style="position:absolute;left:0pt;margin-left:48.3pt;margin-top:9.05pt;height:58.5pt;width:57.75pt;z-index:252036096;mso-width-relative:page;mso-height-relative:page;" coordsize="1155,1170">
            <o:lock v:ext="edit"/>
            <v:shape id="_x0000_s1539" o:spid="_x0000_s1539" style="position:absolute;left:0;top:0;height:1155;width:1140;" fillcolor="#00FF00" filled="t" stroked="t" coordsize="1140,1155" path="m1132,577c1132,892,880,1147,569,1147c259,1147,7,892,7,577c7,262,259,7,569,7c880,7,1132,262,1132,577e">
              <v:fill on="t" focussize="0,0"/>
              <v:stroke color="#646464" miterlimit="2" endcap="round"/>
              <v:imagedata o:title=""/>
              <o:lock v:ext="edit"/>
            </v:shape>
            <v:shape id="_x0000_s1540" o:spid="_x0000_s1540" style="position:absolute;left:569;top:359;height:240;width:105;" fillcolor="#FA9696" filled="t" stroked="t" coordsize="105,240" path="m7,232l7,22,97,7,7,232e">
              <v:fill on="t" focussize="0,0"/>
              <v:stroke color="#000000" miterlimit="2" endcap="round"/>
              <v:imagedata o:title=""/>
              <o:lock v:ext="edit"/>
            </v:shape>
            <v:shape id="_x0000_s1541" o:spid="_x0000_s1541" style="position:absolute;left:569;top:509;height:90;width:165;" filled="f" stroked="t" coordsize="165,90" path="m7,82l157,7e">
              <v:fill on="f" focussize="0,0"/>
              <v:stroke color="#000000" miterlimit="2" endcap="round"/>
              <v:imagedata o:title=""/>
              <o:lock v:ext="edit"/>
            </v:shape>
            <v:shape id="_x0000_s1542" o:spid="_x0000_s1542" style="position:absolute;left:569;top:509;height:90;width:165;" fillcolor="#C8C8C8" filled="t" stroked="f" coordsize="165,90" path="m7,82,7,82l157,7,157,82,7,82e">
              <v:path/>
              <v:fill on="t" focussize="0,0"/>
              <v:stroke on="f"/>
              <v:imagedata o:title=""/>
              <o:lock v:ext="edit"/>
            </v:shape>
            <v:shape id="_x0000_s1543" o:spid="_x0000_s1543" style="position:absolute;left:569;top:509;height:90;width:165;" filled="f" stroked="t" coordsize="165,90" path="m157,82l7,82e">
              <v:fill on="f" focussize="0,0"/>
              <v:stroke color="#000000" miterlimit="2" endcap="round"/>
              <v:imagedata o:title=""/>
              <o:lock v:ext="edit"/>
            </v:shape>
            <v:shape id="_x0000_s1544" o:spid="_x0000_s1544" style="position:absolute;left:569;top:584;height:30;width:165;" fillcolor="#FA9696" filled="t" stroked="t" coordsize="165,30" path="m7,7l157,7,52,22,7,7e">
              <v:fill on="t" focussize="0,0"/>
              <v:stroke color="#000000" miterlimit="2" endcap="round"/>
              <v:imagedata o:title=""/>
              <o:lock v:ext="edit"/>
            </v:shape>
            <v:shape id="_x0000_s1545" o:spid="_x0000_s1545" style="position:absolute;left:569;top:584;height:90;width:105;" fillcolor="#C8C8C8" filled="t" stroked="t" coordsize="105,90" path="m7,7l52,22,97,82,7,7e">
              <v:fill on="t" focussize="0,0"/>
              <v:stroke color="#000000" miterlimit="2" endcap="round"/>
              <v:imagedata o:title=""/>
              <o:lock v:ext="edit"/>
            </v:shape>
            <v:shape id="_x0000_s1546" o:spid="_x0000_s1546" style="position:absolute;left:569;top:584;height:90;width:105;" fillcolor="#FA9696" filled="t" stroked="t" coordsize="105,90" path="m7,7l97,82,22,37,7,7e">
              <v:fill on="t" focussize="0,0"/>
              <v:stroke color="#000000" miterlimit="2" endcap="round"/>
              <v:imagedata o:title=""/>
              <o:lock v:ext="edit"/>
            </v:shape>
            <v:shape id="_x0000_s1547" o:spid="_x0000_s1547" style="position:absolute;left:569;top:584;height:180;width:30;" fillcolor="#C8C8C8" filled="t" stroked="t" coordsize="30,180" path="m7,7l22,37,7,172,7,7e">
              <v:fill on="t" focussize="0,0"/>
              <v:stroke color="#000000" miterlimit="2" endcap="round"/>
              <v:imagedata o:title=""/>
              <o:lock v:ext="edit"/>
            </v:shape>
            <v:shape id="_x0000_s1548" o:spid="_x0000_s1548" style="position:absolute;left:569;top:374;height:390;width:15;" filled="f" stroked="t" coordsize="15,390" path="m7,217l7,382m7,7l7,217e">
              <v:fill on="f" focussize="0,0"/>
              <v:stroke color="#000000" miterlimit="2" endcap="round"/>
              <v:imagedata o:title=""/>
              <o:lock v:ext="edit"/>
            </v:shape>
            <v:shape id="_x0000_s1549" o:spid="_x0000_s1549" style="position:absolute;left:0;top:0;height:1170;width:1155;" filled="f" stroked="t" coordsize="1155,1170" path="m577,7l577,1162m802,52l352,1117m982,172l172,997m1102,367l52,802m1147,592l7,592m1102,802l52,367m982,997l172,172m802,1117l352,52m847,577c847,734,723,862,569,862c416,862,292,734,292,577c292,420,416,292,569,292c723,292,847,420,847,577e">
              <v:fill on="f" focussize="0,0"/>
              <v:stroke color="#646464" miterlimit="2" endcap="round"/>
              <v:imagedata o:title=""/>
              <o:lock v:ext="edit"/>
            </v:shape>
          </v:group>
        </w:pict>
      </w:r>
      <w:r>
        <w:pict>
          <v:shape id="_x0000_s1550" o:spid="_x0000_s1550" style="position:absolute;left:0pt;margin-left:346.4pt;margin-top:9.4pt;height:57.75pt;width:57pt;z-index:251992064;mso-width-relative:page;mso-height-relative:page;" fillcolor="#00FF00" filled="t" stroked="t" coordsize="1140,1155" path="m1132,577c1132,892,880,1147,569,1147c259,1147,7,892,7,577c7,262,259,7,569,7c880,7,1132,262,1132,577e">
            <v:fill on="t" focussize="0,0"/>
            <v:stroke color="#646464" miterlimit="2" endcap="round"/>
            <v:imagedata o:title=""/>
            <o:lock v:ext="edit"/>
          </v:shape>
        </w:pict>
      </w:r>
      <w:r>
        <w:pict>
          <v:shape id="_x0000_s1551" o:spid="_x0000_s1551" o:spt="202" type="#_x0000_t202" style="position:absolute;left:0pt;margin-left:345pt;margin-top:8.05pt;height:60.5pt;width:59.75pt;z-index:251995136;mso-width-relative:page;mso-height-relative:page;" filled="f" stroked="f" coordsize="21600,21600">
            <v:path/>
            <v:fill on="f" focussize="0,0"/>
            <v:stroke on="f"/>
            <v:imagedata o:title=""/>
            <o:lock v:ext="edit" aspectratio="f"/>
            <v:textbox inset="0mm,0mm,0mm,0mm">
              <w:txbxContent>
                <w:p w14:paraId="68E204AF">
                  <w:pPr>
                    <w:spacing w:line="20" w:lineRule="exact"/>
                  </w:pPr>
                </w:p>
                <w:tbl>
                  <w:tblPr>
                    <w:tblStyle w:val="5"/>
                    <w:tblW w:w="1154" w:type="dxa"/>
                    <w:tblInd w:w="2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581"/>
                    <w:gridCol w:w="573"/>
                  </w:tblGrid>
                  <w:tr w14:paraId="34841E5D">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92" w:hRule="atLeast"/>
                    </w:trPr>
                    <w:tc>
                      <w:tcPr>
                        <w:tcW w:w="581" w:type="dxa"/>
                        <w:tcBorders>
                          <w:bottom w:val="single" w:color="646464" w:sz="6" w:space="0"/>
                          <w:right w:val="single" w:color="646464" w:sz="6" w:space="0"/>
                        </w:tcBorders>
                        <w:vAlign w:val="top"/>
                      </w:tcPr>
                      <w:p w14:paraId="5BA1BDF9">
                        <w:pPr>
                          <w:rPr>
                            <w:rFonts w:ascii="Arial"/>
                            <w:sz w:val="21"/>
                          </w:rPr>
                        </w:pPr>
                      </w:p>
                    </w:tc>
                    <w:tc>
                      <w:tcPr>
                        <w:tcW w:w="573" w:type="dxa"/>
                        <w:tcBorders>
                          <w:left w:val="single" w:color="646464" w:sz="6" w:space="0"/>
                          <w:bottom w:val="single" w:color="646464" w:sz="6" w:space="0"/>
                        </w:tcBorders>
                        <w:vAlign w:val="top"/>
                      </w:tcPr>
                      <w:p w14:paraId="0ECAF3D8">
                        <w:pPr>
                          <w:spacing w:line="447" w:lineRule="auto"/>
                          <w:rPr>
                            <w:rFonts w:ascii="Arial"/>
                            <w:sz w:val="21"/>
                          </w:rPr>
                        </w:pPr>
                      </w:p>
                      <w:p w14:paraId="43EC6F95">
                        <w:pPr>
                          <w:spacing w:line="132" w:lineRule="exact"/>
                        </w:pPr>
                        <w:r>
                          <w:rPr>
                            <w:position w:val="-2"/>
                          </w:rPr>
                          <w:drawing>
                            <wp:inline distT="0" distB="0" distL="0" distR="0">
                              <wp:extent cx="35560" cy="83820"/>
                              <wp:effectExtent l="0" t="0" r="0" b="0"/>
                              <wp:docPr id="92" name="IM 92"/>
                              <wp:cNvGraphicFramePr/>
                              <a:graphic xmlns:a="http://schemas.openxmlformats.org/drawingml/2006/main">
                                <a:graphicData uri="http://schemas.openxmlformats.org/drawingml/2006/picture">
                                  <pic:pic xmlns:pic="http://schemas.openxmlformats.org/drawingml/2006/picture">
                                    <pic:nvPicPr>
                                      <pic:cNvPr id="92" name="IM 92"/>
                                      <pic:cNvPicPr/>
                                    </pic:nvPicPr>
                                    <pic:blipFill>
                                      <a:blip r:embed="rId626"/>
                                      <a:stretch>
                                        <a:fillRect/>
                                      </a:stretch>
                                    </pic:blipFill>
                                    <pic:spPr>
                                      <a:xfrm>
                                        <a:off x="0" y="0"/>
                                        <a:ext cx="35826" cy="83870"/>
                                      </a:xfrm>
                                      <a:prstGeom prst="rect">
                                        <a:avLst/>
                                      </a:prstGeom>
                                    </pic:spPr>
                                  </pic:pic>
                                </a:graphicData>
                              </a:graphic>
                            </wp:inline>
                          </w:drawing>
                        </w:r>
                      </w:p>
                    </w:tc>
                  </w:tr>
                  <w:tr w14:paraId="07DAEE1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62" w:hRule="atLeast"/>
                    </w:trPr>
                    <w:tc>
                      <w:tcPr>
                        <w:tcW w:w="581" w:type="dxa"/>
                        <w:tcBorders>
                          <w:top w:val="single" w:color="646464" w:sz="6" w:space="0"/>
                          <w:right w:val="single" w:color="646464" w:sz="6" w:space="0"/>
                        </w:tcBorders>
                        <w:vAlign w:val="top"/>
                      </w:tcPr>
                      <w:p w14:paraId="7E29D81C">
                        <w:pPr>
                          <w:spacing w:line="352" w:lineRule="exact"/>
                          <w:ind w:firstLine="284"/>
                        </w:pPr>
                        <w:r>
                          <w:rPr>
                            <w:position w:val="-7"/>
                          </w:rPr>
                          <w:drawing>
                            <wp:inline distT="0" distB="0" distL="0" distR="0">
                              <wp:extent cx="182880" cy="223520"/>
                              <wp:effectExtent l="0" t="0" r="0" b="0"/>
                              <wp:docPr id="94" name="IM 94"/>
                              <wp:cNvGraphicFramePr/>
                              <a:graphic xmlns:a="http://schemas.openxmlformats.org/drawingml/2006/main">
                                <a:graphicData uri="http://schemas.openxmlformats.org/drawingml/2006/picture">
                                  <pic:pic xmlns:pic="http://schemas.openxmlformats.org/drawingml/2006/picture">
                                    <pic:nvPicPr>
                                      <pic:cNvPr id="94" name="IM 94"/>
                                      <pic:cNvPicPr/>
                                    </pic:nvPicPr>
                                    <pic:blipFill>
                                      <a:blip r:embed="rId627"/>
                                      <a:stretch>
                                        <a:fillRect/>
                                      </a:stretch>
                                    </pic:blipFill>
                                    <pic:spPr>
                                      <a:xfrm>
                                        <a:off x="0" y="0"/>
                                        <a:ext cx="183222" cy="224040"/>
                                      </a:xfrm>
                                      <a:prstGeom prst="rect">
                                        <a:avLst/>
                                      </a:prstGeom>
                                    </pic:spPr>
                                  </pic:pic>
                                </a:graphicData>
                              </a:graphic>
                            </wp:inline>
                          </w:drawing>
                        </w:r>
                      </w:p>
                    </w:tc>
                    <w:tc>
                      <w:tcPr>
                        <w:tcW w:w="573" w:type="dxa"/>
                        <w:tcBorders>
                          <w:top w:val="single" w:color="646464" w:sz="6" w:space="0"/>
                          <w:left w:val="single" w:color="646464" w:sz="6" w:space="0"/>
                        </w:tcBorders>
                        <w:vAlign w:val="top"/>
                      </w:tcPr>
                      <w:p w14:paraId="674E4951">
                        <w:pPr>
                          <w:rPr>
                            <w:rFonts w:ascii="Arial"/>
                            <w:sz w:val="21"/>
                          </w:rPr>
                        </w:pPr>
                      </w:p>
                    </w:tc>
                  </w:tr>
                </w:tbl>
                <w:p w14:paraId="37EF8500">
                  <w:pPr>
                    <w:pStyle w:val="2"/>
                  </w:pPr>
                </w:p>
              </w:txbxContent>
            </v:textbox>
          </v:shape>
        </w:pict>
      </w:r>
      <w:r>
        <w:pict>
          <v:shape id="_x0000_s1552" o:spid="_x0000_s1552" o:spt="202" type="#_x0000_t202" style="position:absolute;left:0pt;margin-left:392.7pt;margin-top:11.15pt;height:10.9pt;width:10.95pt;z-index:251987968;mso-width-relative:page;mso-height-relative:page;" filled="f" stroked="f" coordsize="21600,21600">
            <v:path/>
            <v:fill on="f" focussize="0,0"/>
            <v:stroke on="f"/>
            <v:imagedata o:title=""/>
            <o:lock v:ext="edit" aspectratio="f"/>
            <v:textbox inset="0mm,0mm,0mm,0mm">
              <w:txbxContent>
                <w:p w14:paraId="43C276F2">
                  <w:pPr>
                    <w:spacing w:before="19" w:line="182" w:lineRule="auto"/>
                    <w:ind w:left="20"/>
                    <w:rPr>
                      <w:rFonts w:ascii="宋体" w:hAnsi="宋体" w:eastAsia="宋体" w:cs="宋体"/>
                      <w:sz w:val="18"/>
                      <w:szCs w:val="18"/>
                    </w:rPr>
                  </w:pPr>
                  <w:r>
                    <w:rPr>
                      <w:rFonts w:ascii="宋体" w:hAnsi="宋体" w:eastAsia="宋体" w:cs="宋体"/>
                      <w:spacing w:val="-1"/>
                      <w:sz w:val="18"/>
                      <w:szCs w:val="18"/>
                    </w:rPr>
                    <w:t>NE</w:t>
                  </w:r>
                </w:p>
              </w:txbxContent>
            </v:textbox>
          </v:shape>
        </w:pict>
      </w:r>
      <w:r>
        <w:pict>
          <v:shape id="_x0000_s1553" o:spid="_x0000_s1553" style="position:absolute;left:0pt;margin-left:348.65pt;margin-top:11.65pt;height:54pt;width:53.25pt;z-index:251998208;mso-width-relative:page;mso-height-relative:page;" filled="f" stroked="t" coordsize="1065,1080" path="m1057,757l7,322m937,952l127,127m757,1072l307,7m802,532c802,689,678,817,524,817c371,817,247,689,247,532c247,375,371,247,524,247c678,247,802,375,802,532e">
            <v:fill on="f" focussize="0,0"/>
            <v:stroke color="#646464" miterlimit="2" endcap="round"/>
            <v:imagedata o:title=""/>
            <o:lock v:ext="edit"/>
          </v:shape>
        </w:pict>
      </w:r>
      <w:r>
        <w:pict>
          <v:shape id="_x0000_s1554" o:spid="_x0000_s1554" style="position:absolute;left:0pt;margin-left:348.65pt;margin-top:11.65pt;height:54pt;width:53.25pt;z-index:251997184;mso-width-relative:page;mso-height-relative:page;" filled="f" stroked="t" coordsize="1065,1080" path="m757,7l307,1072m937,127l127,952m1057,322l7,757e">
            <v:fill on="f" focussize="0,0"/>
            <v:stroke color="#646464" miterlimit="2" endcap="round"/>
            <v:imagedata o:title=""/>
            <o:lock v:ext="edit"/>
          </v:shape>
        </w:pict>
      </w:r>
      <w:r>
        <w:pict>
          <v:group id="_x0000_s1555" o:spid="_x0000_s1555" o:spt="203" style="position:absolute;left:0pt;margin-left:242.2pt;margin-top:9.05pt;height:58.5pt;width:65.95pt;z-index:251932672;mso-width-relative:page;mso-height-relative:page;" coordsize="1318,1170">
            <o:lock v:ext="edit"/>
            <v:shape id="_x0000_s1556" o:spid="_x0000_s1556" o:spt="75" type="#_x0000_t75" style="position:absolute;left:194;top:62;height:123;width:929;" filled="f" stroked="f" coordsize="21600,21600">
              <v:path/>
              <v:fill on="f" focussize="0,0"/>
              <v:stroke on="f"/>
              <v:imagedata r:id="rId624" o:title=""/>
              <o:lock v:ext="edit" aspectratio="t"/>
            </v:shape>
            <v:shape id="_x0000_s1557" o:spid="_x0000_s1557" style="position:absolute;left:81;top:0;height:1155;width:1140;" fillcolor="#00FF00" filled="t" stroked="t" coordsize="1140,1155" path="m1132,577c1132,892,880,1147,569,1147c259,1147,7,892,7,577c7,262,259,7,569,7c880,7,1132,262,1132,577e">
              <v:fill on="t" focussize="0,0"/>
              <v:stroke color="#646464" miterlimit="2" endcap="round"/>
              <v:imagedata o:title=""/>
              <o:lock v:ext="edit"/>
            </v:shape>
            <v:group id="_x0000_s1558" o:spid="_x0000_s1558" o:spt="203" style="position:absolute;left:81;top:0;height:1170;width:1155;" coordsize="1155,1170">
              <o:lock v:ext="edit"/>
              <v:shape id="_x0000_s1559" o:spid="_x0000_s1559" style="position:absolute;left:569;top:359;height:240;width:90;" fillcolor="#FA9696" filled="t" stroked="t" coordsize="90,240" path="m7,232l7,7,82,37,7,232e">
                <v:fill on="t" focussize="0,0"/>
                <v:stroke color="#000000" miterlimit="2" endcap="round"/>
                <v:imagedata o:title=""/>
                <o:lock v:ext="edit"/>
              </v:shape>
              <v:shape id="_x0000_s1560" o:spid="_x0000_s1560" style="position:absolute;left:569;top:299;height:300;width:300;" fillcolor="#C8C8C8" filled="t" stroked="t" coordsize="300,300" path="m7,292l82,97,292,7,7,292e">
                <v:fill on="t" focussize="0,0"/>
                <v:stroke color="#000000" miterlimit="2" endcap="round"/>
                <v:imagedata o:title=""/>
                <o:lock v:ext="edit"/>
              </v:shape>
              <v:shape id="_x0000_s1561" o:spid="_x0000_s1561" style="position:absolute;left:569;top:299;height:300;width:300;" fillcolor="#FA9696" filled="t" stroked="t" coordsize="300,300" path="m7,292l292,7,202,202,7,292e">
                <v:fill on="t" focussize="0,0"/>
                <v:stroke color="#000000" miterlimit="2" endcap="round"/>
                <v:imagedata o:title=""/>
                <o:lock v:ext="edit"/>
              </v:shape>
              <v:shape id="_x0000_s1562" o:spid="_x0000_s1562" style="position:absolute;left:569;top:494;height:105;width:210;" fillcolor="#C8C8C8" filled="t" stroked="t" coordsize="210,105" path="m7,97l202,7,187,97,7,97e">
                <v:fill on="t" focussize="0,0"/>
                <v:stroke color="#000000" miterlimit="2" endcap="round"/>
                <v:imagedata o:title=""/>
                <o:lock v:ext="edit"/>
              </v:shape>
              <v:shape id="_x0000_s1563" o:spid="_x0000_s1563" style="position:absolute;left:569;top:584;height:45;width:195;" fillcolor="#FA9696" filled="t" stroked="t" coordsize="195,45" path="m7,7l187,7,97,37,7,7e">
                <v:fill on="t" focussize="0,0"/>
                <v:stroke color="#000000" miterlimit="2" endcap="round"/>
                <v:imagedata o:title=""/>
                <o:lock v:ext="edit"/>
              </v:shape>
              <v:shape id="_x0000_s1564" o:spid="_x0000_s1564" style="position:absolute;left:569;top:584;height:45;width:105;" fillcolor="#C8C8C8" filled="t" stroked="t" coordsize="105,45" path="m7,7l97,37,22,22,7,7e">
                <v:fill on="t" focussize="0,0"/>
                <v:stroke color="#000000" miterlimit="2" endcap="round"/>
                <v:imagedata o:title=""/>
                <o:lock v:ext="edit"/>
              </v:shape>
              <v:shape id="_x0000_s1565" o:spid="_x0000_s1565" style="position:absolute;left:569;top:584;height:45;width:30;" fillcolor="#FA9696" filled="t" stroked="t" coordsize="30,45" path="m7,7l22,22,22,37,7,7e">
                <v:fill on="t" focussize="0,0"/>
                <v:stroke color="#000000" miterlimit="2" endcap="round"/>
                <v:imagedata o:title=""/>
                <o:lock v:ext="edit"/>
              </v:shape>
              <v:shape id="_x0000_s1566" o:spid="_x0000_s1566" style="position:absolute;left:569;top:584;height:105;width:30;" fillcolor="#C8C8C8" filled="t" stroked="t" coordsize="30,105" path="m7,7l22,37,7,97,7,7e">
                <v:fill on="t" focussize="0,0"/>
                <v:stroke color="#000000" miterlimit="2" endcap="round"/>
                <v:imagedata o:title=""/>
                <o:lock v:ext="edit"/>
              </v:shape>
              <v:shape id="_x0000_s1567" o:spid="_x0000_s1567" style="position:absolute;left:494;top:584;height:195;width:90;" fillcolor="#FA9696" filled="t" stroked="t" coordsize="90,195" path="m82,7l82,97,7,187,82,7e">
                <v:fill on="t" focussize="0,0"/>
                <v:stroke color="#000000" miterlimit="2" endcap="round"/>
                <v:imagedata o:title=""/>
                <o:lock v:ext="edit"/>
              </v:shape>
              <v:shape id="_x0000_s1568" o:spid="_x0000_s1568" style="position:absolute;left:254;top:584;height:315;width:330;" fillcolor="#C8C8C8" filled="t" stroked="t" coordsize="330,315" path="m322,7l247,187,7,307,322,7e">
                <v:fill on="t" focussize="0,0"/>
                <v:stroke color="#000000" miterlimit="2" endcap="round"/>
                <v:imagedata o:title=""/>
                <o:lock v:ext="edit"/>
              </v:shape>
              <v:shape id="_x0000_s1569" o:spid="_x0000_s1569" style="position:absolute;left:254;top:584;height:315;width:330;" fillcolor="#FA9696" filled="t" stroked="t" coordsize="330,315" path="m322,7l7,307,97,97,322,7e">
                <v:fill on="t" focussize="0,0"/>
                <v:stroke color="#000000" miterlimit="2" endcap="round"/>
                <v:imagedata o:title=""/>
                <o:lock v:ext="edit"/>
              </v:shape>
              <v:shape id="_x0000_s1570" o:spid="_x0000_s1570" style="position:absolute;left:344;top:584;height:105;width:240;" fillcolor="#C8C8C8" filled="t" stroked="t" coordsize="240,105" path="m232,7l7,97,22,7,232,7e">
                <v:fill on="t" focussize="0,0"/>
                <v:stroke color="#000000" miterlimit="2" endcap="round"/>
                <v:imagedata o:title=""/>
                <o:lock v:ext="edit"/>
              </v:shape>
              <v:shape id="_x0000_s1571" o:spid="_x0000_s1571" style="position:absolute;left:359;top:494;height:105;width:225;" fillcolor="#FA9696" filled="t" stroked="t" coordsize="225,105" path="m217,97l7,97,7,7,217,97e">
                <v:fill on="t" focussize="0,0"/>
                <v:stroke color="#000000" miterlimit="2" endcap="round"/>
                <v:imagedata o:title=""/>
                <o:lock v:ext="edit"/>
              </v:shape>
              <v:shape id="_x0000_s1572" o:spid="_x0000_s1572" style="position:absolute;left:359;top:494;height:105;width:225;" fillcolor="#C8C8C8" filled="t" stroked="t" coordsize="225,105" path="m217,97l7,7,127,7,217,97e">
                <v:fill on="t" focussize="0,0"/>
                <v:stroke color="#000000" miterlimit="2" endcap="round"/>
                <v:imagedata o:title=""/>
                <o:lock v:ext="edit"/>
              </v:shape>
              <v:shape id="_x0000_s1573" o:spid="_x0000_s1573" style="position:absolute;left:479;top:419;height:180;width:105;" fillcolor="#FA9696" filled="t" stroked="t" coordsize="105,180" path="m97,172l7,82,37,7,97,172e">
                <v:fill on="t" focussize="0,0"/>
                <v:stroke color="#000000" miterlimit="2" endcap="round"/>
                <v:imagedata o:title=""/>
                <o:lock v:ext="edit"/>
              </v:shape>
              <v:shape id="_x0000_s1574" o:spid="_x0000_s1574" style="position:absolute;left:509;top:359;height:240;width:75;" fillcolor="#C8C8C8" filled="t" stroked="t" coordsize="75,240" path="m67,232l7,67,67,7,67,232e">
                <v:fill on="t" focussize="0,0"/>
                <v:stroke color="#000000" miterlimit="2" endcap="round"/>
                <v:imagedata o:title=""/>
                <o:lock v:ext="edit"/>
              </v:shape>
              <v:shape id="_x0000_s1575" o:spid="_x0000_s1575" style="position:absolute;left:0;top:0;height:1170;width:1155;" filled="f" stroked="t" coordsize="1155,1170" path="m577,7l577,1162m802,52l352,1117m982,172l172,997m1102,367l52,802m1147,592l7,592m1102,802l52,367m982,997l172,172m802,1117l352,52m847,577c847,734,723,862,569,862c416,862,292,734,292,577c292,420,416,292,569,292c723,292,847,420,847,577e">
                <v:fill on="f" focussize="0,0"/>
                <v:stroke color="#646464" miterlimit="2" endcap="round"/>
                <v:imagedata o:title=""/>
                <o:lock v:ext="edit"/>
              </v:shape>
            </v:group>
            <v:shape id="_x0000_s1576" o:spid="_x0000_s1576" o:spt="202" type="#_x0000_t202" style="position:absolute;left:-20;top:42;height:1163;width:324;" filled="f" stroked="f" coordsize="21600,21600">
              <v:path/>
              <v:fill on="f" focussize="0,0"/>
              <v:stroke on="f"/>
              <v:imagedata o:title=""/>
              <o:lock v:ext="edit" aspectratio="f"/>
              <v:textbox inset="0mm,0mm,0mm,0mm">
                <w:txbxContent>
                  <w:p w14:paraId="28171BF4">
                    <w:pPr>
                      <w:spacing w:before="19" w:line="182" w:lineRule="auto"/>
                      <w:ind w:left="124"/>
                      <w:rPr>
                        <w:rFonts w:ascii="宋体" w:hAnsi="宋体" w:eastAsia="宋体" w:cs="宋体"/>
                        <w:sz w:val="18"/>
                        <w:szCs w:val="18"/>
                      </w:rPr>
                    </w:pPr>
                    <w:r>
                      <w:rPr>
                        <w:rFonts w:ascii="宋体" w:hAnsi="宋体" w:eastAsia="宋体" w:cs="宋体"/>
                        <w:sz w:val="18"/>
                        <w:szCs w:val="18"/>
                      </w:rPr>
                      <w:t>N</w:t>
                    </w:r>
                  </w:p>
                  <w:p w14:paraId="1FE5A6DB">
                    <w:pPr>
                      <w:pStyle w:val="2"/>
                      <w:spacing w:line="242" w:lineRule="auto"/>
                    </w:pPr>
                  </w:p>
                  <w:p w14:paraId="3BB31A9A">
                    <w:pPr>
                      <w:spacing w:before="58" w:line="182" w:lineRule="auto"/>
                      <w:ind w:left="20"/>
                      <w:rPr>
                        <w:rFonts w:ascii="宋体" w:hAnsi="宋体" w:eastAsia="宋体" w:cs="宋体"/>
                        <w:sz w:val="18"/>
                        <w:szCs w:val="18"/>
                      </w:rPr>
                    </w:pPr>
                    <w:r>
                      <w:rPr>
                        <w:rFonts w:ascii="宋体" w:hAnsi="宋体" w:eastAsia="宋体" w:cs="宋体"/>
                        <w:sz w:val="18"/>
                        <w:szCs w:val="18"/>
                      </w:rPr>
                      <w:t>W</w:t>
                    </w:r>
                  </w:p>
                  <w:p w14:paraId="0C93C979">
                    <w:pPr>
                      <w:spacing w:before="286" w:line="183" w:lineRule="auto"/>
                      <w:ind w:left="131"/>
                      <w:rPr>
                        <w:rFonts w:ascii="宋体" w:hAnsi="宋体" w:eastAsia="宋体" w:cs="宋体"/>
                        <w:sz w:val="18"/>
                        <w:szCs w:val="18"/>
                      </w:rPr>
                    </w:pPr>
                    <w:r>
                      <w:rPr>
                        <w:rFonts w:ascii="宋体" w:hAnsi="宋体" w:eastAsia="宋体" w:cs="宋体"/>
                        <w:spacing w:val="-4"/>
                        <w:sz w:val="18"/>
                        <w:szCs w:val="18"/>
                      </w:rPr>
                      <w:t>SW</w:t>
                    </w:r>
                  </w:p>
                </w:txbxContent>
              </v:textbox>
            </v:shape>
            <v:shape id="_x0000_s1577" o:spid="_x0000_s1577" o:spt="202" type="#_x0000_t202" style="position:absolute;left:1021;top:986;height:218;width:212;" filled="f" stroked="f" coordsize="21600,21600">
              <v:path/>
              <v:fill on="f" focussize="0,0"/>
              <v:stroke on="f"/>
              <v:imagedata o:title=""/>
              <o:lock v:ext="edit" aspectratio="f"/>
              <v:textbox inset="0mm,0mm,0mm,0mm">
                <w:txbxContent>
                  <w:p w14:paraId="4B3B0B4A">
                    <w:pPr>
                      <w:spacing w:before="20"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v:shape id="_x0000_s1578" o:spid="_x0000_s1578" o:spt="202" type="#_x0000_t202" style="position:absolute;left:1108;top:42;height:217;width:126;" filled="f" stroked="f" coordsize="21600,21600">
              <v:path/>
              <v:fill on="f" focussize="0,0"/>
              <v:stroke on="f"/>
              <v:imagedata o:title=""/>
              <o:lock v:ext="edit" aspectratio="f"/>
              <v:textbox inset="0mm,0mm,0mm,0mm">
                <w:txbxContent>
                  <w:p w14:paraId="203CB2EE">
                    <w:pPr>
                      <w:spacing w:before="19" w:line="182" w:lineRule="auto"/>
                      <w:ind w:left="20"/>
                      <w:rPr>
                        <w:rFonts w:ascii="宋体" w:hAnsi="宋体" w:eastAsia="宋体" w:cs="宋体"/>
                        <w:sz w:val="18"/>
                        <w:szCs w:val="18"/>
                      </w:rPr>
                    </w:pPr>
                    <w:r>
                      <w:rPr>
                        <w:rFonts w:ascii="宋体" w:hAnsi="宋体" w:eastAsia="宋体" w:cs="宋体"/>
                        <w:sz w:val="18"/>
                        <w:szCs w:val="18"/>
                      </w:rPr>
                      <w:t>E</w:t>
                    </w:r>
                  </w:p>
                </w:txbxContent>
              </v:textbox>
            </v:shape>
            <v:shape id="_x0000_s1579" o:spid="_x0000_s1579" o:spt="202" type="#_x0000_t202" style="position:absolute;left:1213;top:522;height:217;width:126;" filled="f" stroked="f" coordsize="21600,21600">
              <v:path/>
              <v:fill on="f" focussize="0,0"/>
              <v:stroke on="f"/>
              <v:imagedata o:title=""/>
              <o:lock v:ext="edit" aspectratio="f"/>
              <v:textbox inset="0mm,0mm,0mm,0mm">
                <w:txbxContent>
                  <w:p w14:paraId="57BBF974">
                    <w:pPr>
                      <w:spacing w:before="19" w:line="182" w:lineRule="auto"/>
                      <w:ind w:left="20"/>
                      <w:rPr>
                        <w:rFonts w:ascii="宋体" w:hAnsi="宋体" w:eastAsia="宋体" w:cs="宋体"/>
                        <w:sz w:val="18"/>
                        <w:szCs w:val="18"/>
                      </w:rPr>
                    </w:pPr>
                    <w:r>
                      <w:rPr>
                        <w:rFonts w:ascii="宋体" w:hAnsi="宋体" w:eastAsia="宋体" w:cs="宋体"/>
                        <w:sz w:val="18"/>
                        <w:szCs w:val="18"/>
                      </w:rPr>
                      <w:t>E</w:t>
                    </w:r>
                  </w:p>
                </w:txbxContent>
              </v:textbox>
            </v:shape>
          </v:group>
        </w:pict>
      </w:r>
    </w:p>
    <w:p w14:paraId="080BE3E6">
      <w:pPr>
        <w:pStyle w:val="2"/>
        <w:spacing w:line="241" w:lineRule="auto"/>
      </w:pPr>
      <w:r>
        <w:pict>
          <v:group id="_x0000_s1580" o:spid="_x0000_s1580" o:spt="203" style="position:absolute;left:0pt;margin-left:76.8pt;margin-top:8.9pt;height:18pt;width:17.25pt;z-index:251909120;mso-width-relative:page;mso-height-relative:page;" coordsize="345,360">
            <o:lock v:ext="edit"/>
            <v:shape id="_x0000_s1581" o:spid="_x0000_s1581" style="position:absolute;left:0;top:0;height:360;width:345;" fillcolor="#C8C8C8" filled="t" stroked="t" coordsize="345,360" path="m7,352l97,127,337,7,7,352e">
              <v:fill on="t" focussize="0,0"/>
              <v:stroke color="#000000" miterlimit="2" endcap="round"/>
              <v:imagedata o:title=""/>
              <o:lock v:ext="edit"/>
            </v:shape>
            <v:shape id="_x0000_s1582" o:spid="_x0000_s1582" style="position:absolute;left:0;top:0;height:360;width:345;" fillcolor="#FA9696" filled="t" stroked="t" coordsize="345,360" path="m7,352l337,7,157,277,7,352e">
              <v:fill on="t" focussize="0,0"/>
              <v:stroke color="#000000" miterlimit="2" endcap="round"/>
              <v:imagedata o:title=""/>
              <o:lock v:ext="edit"/>
            </v:shape>
            <v:shape id="_x0000_s1583" o:spid="_x0000_s1583" style="position:absolute;left:149;top:269;height:90;width:15;" filled="f" stroked="t" coordsize="15,90" path="m7,7l7,82e">
              <v:fill on="f" focussize="0,0"/>
              <v:stroke color="#000000" miterlimit="2" endcap="round"/>
              <v:imagedata o:title=""/>
              <o:lock v:ext="edit"/>
            </v:shape>
          </v:group>
        </w:pict>
      </w:r>
    </w:p>
    <w:p w14:paraId="5B1ACC7F">
      <w:pPr>
        <w:pStyle w:val="2"/>
        <w:spacing w:line="241" w:lineRule="auto"/>
      </w:pPr>
      <w:r>
        <w:pict>
          <v:shape id="_x0000_s1584" o:spid="_x0000_s1584" o:spt="202" type="#_x0000_t202" style="position:absolute;left:0pt;margin-left:142.25pt;margin-top:10.9pt;height:10.9pt;width:6.45pt;z-index:251986944;mso-width-relative:page;mso-height-relative:page;" filled="f" stroked="f" coordsize="21600,21600">
            <v:path/>
            <v:fill on="f" focussize="0,0"/>
            <v:stroke on="f"/>
            <v:imagedata o:title=""/>
            <o:lock v:ext="edit" aspectratio="f"/>
            <v:textbox inset="0mm,0mm,0mm,0mm">
              <w:txbxContent>
                <w:p w14:paraId="11E0D8F0">
                  <w:pPr>
                    <w:spacing w:before="19" w:line="182" w:lineRule="auto"/>
                    <w:ind w:left="20"/>
                    <w:rPr>
                      <w:rFonts w:ascii="宋体" w:hAnsi="宋体" w:eastAsia="宋体" w:cs="宋体"/>
                      <w:sz w:val="18"/>
                      <w:szCs w:val="18"/>
                    </w:rPr>
                  </w:pPr>
                  <w:r>
                    <w:rPr>
                      <w:rFonts w:ascii="宋体" w:hAnsi="宋体" w:eastAsia="宋体" w:cs="宋体"/>
                      <w:sz w:val="18"/>
                      <w:szCs w:val="18"/>
                    </w:rPr>
                    <w:t>W</w:t>
                  </w:r>
                </w:p>
              </w:txbxContent>
            </v:textbox>
          </v:shape>
        </w:pict>
      </w:r>
      <w:r>
        <w:pict>
          <v:group id="_x0000_s1585" o:spid="_x0000_s1585" o:spt="203" style="position:absolute;left:0pt;margin-left:151.05pt;margin-top:0.55pt;height:38.25pt;width:25.5pt;z-index:252033024;mso-width-relative:page;mso-height-relative:page;" coordsize="510,765">
            <o:lock v:ext="edit"/>
            <v:shape id="_x0000_s1586" o:spid="_x0000_s1586" style="position:absolute;left:389;top:269;height:270;width:120;" fillcolor="#FA9696" filled="t" stroked="f" coordsize="120,270" path="m112,7,112,7l112,142,7,262,112,7e">
              <v:path/>
              <v:fill on="t" focussize="0,0"/>
              <v:stroke on="f"/>
              <v:imagedata o:title=""/>
              <o:lock v:ext="edit"/>
            </v:shape>
            <v:shape id="_x0000_s1587" o:spid="_x0000_s1587" style="position:absolute;left:389;top:269;height:270;width:120;" filled="f" stroked="t" coordsize="120,270" path="m112,142l7,262,112,7e">
              <v:fill on="f" focussize="0,0"/>
              <v:stroke color="#000000" miterlimit="2" endcap="round"/>
              <v:imagedata o:title=""/>
              <o:lock v:ext="edit"/>
            </v:shape>
            <v:shape id="_x0000_s1588" o:spid="_x0000_s1588" style="position:absolute;left:0;top:269;height:495;width:510;" fillcolor="#C8C8C8" filled="t" stroked="t" coordsize="510,495" path="m502,7l397,262,7,487,502,7e">
              <v:fill on="t" focussize="0,0"/>
              <v:stroke color="#000000" miterlimit="2" endcap="round"/>
              <v:imagedata o:title=""/>
              <o:lock v:ext="edit"/>
            </v:shape>
            <v:shape id="_x0000_s1589" o:spid="_x0000_s1589" style="position:absolute;left:0;top:269;height:495;width:510;" fillcolor="#FA9696" filled="t" stroked="t" coordsize="510,495" path="m502,7l7,487,232,112,502,7e">
              <v:fill on="t" focussize="0,0"/>
              <v:stroke color="#000000" miterlimit="2" endcap="round"/>
              <v:imagedata o:title=""/>
              <o:lock v:ext="edit"/>
            </v:shape>
            <v:shape id="_x0000_s1590" o:spid="_x0000_s1590" style="position:absolute;left:179;top:269;height:120;width:330;" fillcolor="#C8C8C8" filled="t" stroked="t" coordsize="330,120" path="m322,7l52,112,7,7,322,7e">
              <v:fill on="t" focussize="0,0"/>
              <v:stroke color="#000000" miterlimit="2" endcap="round"/>
              <v:imagedata o:title=""/>
              <o:lock v:ext="edit"/>
            </v:shape>
            <v:shape id="_x0000_s1591" o:spid="_x0000_s1591" style="position:absolute;left:179;top:149;height:135;width:330;" fillcolor="#FA9696" filled="t" stroked="t" coordsize="330,135" path="m322,127l7,127,37,7,322,127e">
              <v:fill on="t" focussize="0,0"/>
              <v:stroke color="#000000" miterlimit="2" endcap="round"/>
              <v:imagedata o:title=""/>
              <o:lock v:ext="edit"/>
            </v:shape>
            <v:shape id="_x0000_s1592" o:spid="_x0000_s1592" style="position:absolute;left:209;top:119;height:165;width:300;" fillcolor="#C8C8C8" filled="t" stroked="t" coordsize="300,165" path="m292,157l7,37,142,7,292,157e">
              <v:fill on="t" focussize="0,0"/>
              <v:stroke color="#000000" miterlimit="2" endcap="round"/>
              <v:imagedata o:title=""/>
              <o:lock v:ext="edit"/>
            </v:shape>
            <v:shape id="_x0000_s1593" o:spid="_x0000_s1593" style="position:absolute;left:344;top:0;height:285;width:165;" fillcolor="#FA9696" filled="t" stroked="t" coordsize="165,285" path="m157,277l7,127,52,7,157,277e">
              <v:fill on="t" focussize="0,0"/>
              <v:stroke color="#000000" miterlimit="2" endcap="round"/>
              <v:imagedata o:title=""/>
              <o:lock v:ext="edit"/>
            </v:shape>
            <v:shape id="_x0000_s1594" o:spid="_x0000_s1594" style="position:absolute;left:389;top:0;height:285;width:120;" filled="f" stroked="t" coordsize="120,285" path="m112,277l7,7,112,67e">
              <v:fill on="f" focussize="0,0"/>
              <v:stroke color="#000000" miterlimit="2" endcap="round"/>
              <v:imagedata o:title=""/>
              <o:lock v:ext="edit"/>
            </v:shape>
            <v:shape id="_x0000_s1595" o:spid="_x0000_s1595" style="position:absolute;left:389;top:0;height:285;width:120;" fillcolor="#C8C8C8" filled="t" stroked="f" coordsize="120,285" path="m112,277,112,277l7,7,112,67,112,277e">
              <v:path/>
              <v:fill on="t" focussize="0,0"/>
              <v:stroke on="f"/>
              <v:imagedata o:title=""/>
              <o:lock v:ext="edit"/>
            </v:shape>
          </v:group>
        </w:pict>
      </w:r>
      <w:r>
        <w:pict>
          <v:group id="_x0000_s1596" o:spid="_x0000_s1596" o:spt="203" style="position:absolute;left:0pt;margin-left:175.8pt;margin-top:2.8pt;height:12.75pt;width:11.25pt;z-index:252032000;mso-width-relative:page;mso-height-relative:page;" coordsize="225,255">
            <o:lock v:ext="edit"/>
            <v:shape id="_x0000_s1597" o:spid="_x0000_s1597" style="position:absolute;left:0;top:0;height:240;width:210;" fillcolor="#C8C8C8" filled="t" stroked="t" coordsize="210,240" path="m7,232l97,7,202,37,7,232e">
              <v:fill on="t" focussize="0,0"/>
              <v:stroke color="#000000" miterlimit="2" endcap="round"/>
              <v:imagedata o:title=""/>
              <o:lock v:ext="edit"/>
            </v:shape>
            <v:shape id="_x0000_s1598" o:spid="_x0000_s1598" style="position:absolute;left:0;top:29;height:210;width:210;" fillcolor="#FA9696" filled="t" stroked="t" coordsize="210,210" path="m7,202l202,7,157,142,7,202e">
              <v:fill on="t" focussize="0,0"/>
              <v:stroke color="#000000" miterlimit="2" endcap="round"/>
              <v:imagedata o:title=""/>
              <o:lock v:ext="edit"/>
            </v:shape>
            <v:shape id="_x0000_s1599" o:spid="_x0000_s1599" style="position:absolute;left:0;top:164;height:75;width:225;" fillcolor="#C8C8C8" filled="t" stroked="f" coordsize="225,75" path="m7,67,7,67l157,7,217,67,7,67e">
              <v:path/>
              <v:fill on="t" focussize="0,0"/>
              <v:stroke on="f"/>
              <v:imagedata o:title=""/>
              <o:lock v:ext="edit"/>
            </v:shape>
            <v:shape id="_x0000_s1600" o:spid="_x0000_s1600" style="position:absolute;left:0;top:164;height:75;width:225;" filled="f" stroked="t" coordsize="225,75" path="m157,7l217,67,7,67e">
              <v:fill on="f" focussize="0,0"/>
              <v:stroke color="#000000" miterlimit="2" endcap="round"/>
              <v:imagedata o:title=""/>
              <o:lock v:ext="edit"/>
            </v:shape>
            <v:shape id="_x0000_s1601" o:spid="_x0000_s1601" style="position:absolute;left:0;top:224;height:30;width:225;" fillcolor="#FA9696" filled="t" stroked="t" coordsize="225,30" path="m7,7l217,7,82,22,7,7e">
              <v:fill on="t" focussize="0,0"/>
              <v:stroke color="#000000" miterlimit="2" endcap="round"/>
              <v:imagedata o:title=""/>
              <o:lock v:ext="edit"/>
            </v:shape>
          </v:group>
        </w:pict>
      </w:r>
      <w:r>
        <w:pict>
          <v:shape id="_x0000_s1602" o:spid="_x0000_s1602" style="position:absolute;left:0pt;margin-left:72.65pt;margin-top:3.9pt;height:6pt;width:5.25pt;z-index:252014592;mso-width-relative:page;mso-height-relative:page;" filled="f" stroked="t" coordsize="105,120" path="m7,112l7,7m7,7l97,7e">
            <v:fill on="f" focussize="0,0"/>
            <v:stroke color="#000000" miterlimit="2" endcap="round"/>
            <v:imagedata o:title=""/>
            <o:lock v:ext="edit"/>
          </v:shape>
        </w:pict>
      </w:r>
      <w:r>
        <w:pict>
          <v:shape id="_x0000_s1603" o:spid="_x0000_s1603" o:spt="202" type="#_x0000_t202" style="position:absolute;left:0pt;margin-left:104.9pt;margin-top:10.9pt;height:10.9pt;width:6.3pt;z-index:251990016;mso-width-relative:page;mso-height-relative:page;" filled="f" stroked="f" coordsize="21600,21600">
            <v:path/>
            <v:fill on="f" focussize="0,0"/>
            <v:stroke on="f"/>
            <v:imagedata o:title=""/>
            <o:lock v:ext="edit" aspectratio="f"/>
            <v:textbox inset="0mm,0mm,0mm,0mm">
              <w:txbxContent>
                <w:p w14:paraId="5AECF07F">
                  <w:pPr>
                    <w:spacing w:before="19" w:line="182" w:lineRule="auto"/>
                    <w:ind w:left="20"/>
                    <w:rPr>
                      <w:rFonts w:ascii="宋体" w:hAnsi="宋体" w:eastAsia="宋体" w:cs="宋体"/>
                      <w:sz w:val="18"/>
                      <w:szCs w:val="18"/>
                    </w:rPr>
                  </w:pPr>
                  <w:r>
                    <w:rPr>
                      <w:rFonts w:ascii="宋体" w:hAnsi="宋体" w:eastAsia="宋体" w:cs="宋体"/>
                      <w:sz w:val="18"/>
                      <w:szCs w:val="18"/>
                    </w:rPr>
                    <w:t>E</w:t>
                  </w:r>
                </w:p>
              </w:txbxContent>
            </v:textbox>
          </v:shape>
        </w:pict>
      </w:r>
      <w:r>
        <w:pict>
          <v:group id="_x0000_s1604" o:spid="_x0000_s1604" o:spt="203" style="position:absolute;left:0pt;margin-left:59.55pt;margin-top:3.55pt;height:29.25pt;width:18pt;z-index:251933696;mso-width-relative:page;mso-height-relative:page;" coordsize="360,585">
            <o:lock v:ext="edit"/>
            <v:shape id="_x0000_s1605" o:spid="_x0000_s1605" style="position:absolute;left:194;top:209;height:375;width:165;" fillcolor="#FA9696" filled="t" stroked="f" coordsize="165,375" path="m157,7,157,7l157,172,7,367,157,7e">
              <v:path/>
              <v:fill on="t" focussize="0,0"/>
              <v:stroke on="f"/>
              <v:imagedata o:title=""/>
              <o:lock v:ext="edit"/>
            </v:shape>
            <v:shape id="_x0000_s1606" o:spid="_x0000_s1606" style="position:absolute;left:194;top:209;height:375;width:165;" filled="f" stroked="t" coordsize="165,375" path="m7,367l157,7m157,7l7,367e">
              <v:fill on="f" focussize="0,0"/>
              <v:stroke color="#000000" miterlimit="2" endcap="round"/>
              <v:imagedata o:title=""/>
              <o:lock v:ext="edit"/>
            </v:shape>
            <v:shape id="_x0000_s1607" o:spid="_x0000_s1607" style="position:absolute;left:0;top:209;height:375;width:360;" fillcolor="#C8C8C8" filled="t" stroked="f" coordsize="360,375" path="m352,7,352,7l202,367,7,352,352,7e">
              <v:path/>
              <v:fill on="t" focussize="0,0"/>
              <v:stroke on="f"/>
              <v:imagedata o:title=""/>
              <o:lock v:ext="edit"/>
            </v:shape>
            <v:shape id="_x0000_s1608" o:spid="_x0000_s1608" style="position:absolute;left:0;top:209;height:375;width:360;" filled="f" stroked="t" coordsize="360,375" path="m7,352l352,7e">
              <v:fill on="f" focussize="0,0"/>
              <v:stroke color="#000000" miterlimit="2" endcap="round"/>
              <v:imagedata o:title=""/>
              <o:lock v:ext="edit"/>
            </v:shape>
            <v:shape id="_x0000_s1609" o:spid="_x0000_s1609" style="position:absolute;left:0;top:209;height:360;width:360;" fillcolor="#FA9696" filled="t" stroked="t" coordsize="360,360" path="m352,7l7,352,112,97,352,7e">
              <v:fill on="t" focussize="0,0"/>
              <v:stroke color="#000000" miterlimit="2" endcap="round"/>
              <v:imagedata o:title=""/>
              <o:lock v:ext="edit"/>
            </v:shape>
            <v:shape id="_x0000_s1610" o:spid="_x0000_s1610" style="position:absolute;left:74;top:90;height:135;width:285;" fillcolor="#FA9696" filled="t" stroked="f" coordsize="285,135" path="m277,127,277,127l67,127,7,7,277,127e">
              <v:path/>
              <v:fill on="t" focussize="0,0"/>
              <v:stroke on="f"/>
              <v:imagedata o:title=""/>
              <o:lock v:ext="edit"/>
            </v:shape>
            <v:shape id="_x0000_s1611" o:spid="_x0000_s1611" style="position:absolute;left:74;top:90;height:135;width:285;" filled="f" stroked="t" coordsize="285,135" path="m67,127l7,7,277,127e">
              <v:fill on="f" focussize="0,0"/>
              <v:stroke color="#000000" miterlimit="2" endcap="round"/>
              <v:imagedata o:title=""/>
              <o:lock v:ext="edit"/>
            </v:shape>
            <v:shape id="_x0000_s1612" o:spid="_x0000_s1612" style="position:absolute;left:74;top:90;height:135;width:285;" fillcolor="#C8C8C8" filled="t" stroked="t" coordsize="285,135" path="m277,127l7,7,187,22,277,127e">
              <v:fill on="t" focussize="0,0"/>
              <v:stroke color="#000000" miterlimit="2" endcap="round"/>
              <v:imagedata o:title=""/>
              <o:lock v:ext="edit"/>
            </v:shape>
            <v:shape id="_x0000_s1613" o:spid="_x0000_s1613" style="position:absolute;left:254;top:104;height:120;width:105;" filled="f" stroked="t" coordsize="105,120" path="m97,112l7,7e">
              <v:fill on="f" focussize="0,0"/>
              <v:stroke color="#000000" miterlimit="2" endcap="round"/>
              <v:imagedata o:title=""/>
              <o:lock v:ext="edit"/>
            </v:shape>
            <v:shape id="_x0000_s1614" o:spid="_x0000_s1614" style="position:absolute;left:254;top:0;height:225;width:105;" fillcolor="#FA9696" filled="t" stroked="f" coordsize="105,225" path="m97,217,97,217l7,112,7,7,97,217e">
              <v:path/>
              <v:fill on="t" focussize="0,0"/>
              <v:stroke on="f"/>
              <v:imagedata o:title=""/>
              <o:lock v:ext="edit"/>
            </v:shape>
            <v:shape id="_x0000_s1615" o:spid="_x0000_s1615" style="position:absolute;left:254;top:0;height:225;width:105;" filled="f" stroked="t" coordsize="105,225" path="m7,7l97,217m97,217l7,7e">
              <v:fill on="f" focussize="0,0"/>
              <v:stroke color="#000000" miterlimit="2" endcap="round"/>
              <v:imagedata o:title=""/>
              <o:lock v:ext="edit"/>
            </v:shape>
            <v:shape id="_x0000_s1616" o:spid="_x0000_s1616" style="position:absolute;left:254;top:0;height:225;width:105;" fillcolor="#C8C8C8" filled="t" stroked="f" coordsize="105,225" path="m97,217,97,217l7,7,97,7,97,217e">
              <v:path/>
              <v:fill on="t" focussize="0,0"/>
              <v:stroke on="f"/>
              <v:imagedata o:title=""/>
              <o:lock v:ext="edit"/>
            </v:shape>
          </v:group>
        </w:pict>
      </w:r>
      <w:r>
        <w:pict>
          <v:group id="_x0000_s1617" o:spid="_x0000_s1617" o:spt="203" style="position:absolute;left:0pt;margin-left:363.25pt;margin-top:7.3pt;height:7.5pt;width:12pt;z-index:251996160;mso-width-relative:page;mso-height-relative:page;" coordsize="240,150">
            <o:lock v:ext="edit"/>
            <v:shape id="_x0000_s1618" o:spid="_x0000_s1618" style="position:absolute;left:0;top:74;height:75;width:240;" fillcolor="#FA9696" filled="t" stroked="f" coordsize="240,75" path="m232,67,232,67l7,67,97,7,232,67e">
              <v:path/>
              <v:fill on="t" focussize="0,0"/>
              <v:stroke on="f"/>
              <v:imagedata o:title=""/>
              <o:lock v:ext="edit"/>
            </v:shape>
            <v:shape id="_x0000_s1619" o:spid="_x0000_s1619" style="position:absolute;left:0;top:74;height:75;width:240;" filled="f" stroked="t" coordsize="240,75" path="m7,67l97,7,232,67e">
              <v:fill on="f" focussize="0,0"/>
              <v:stroke color="#000000" miterlimit="2" endcap="round"/>
              <v:imagedata o:title=""/>
              <o:lock v:ext="edit"/>
            </v:shape>
            <v:shape id="_x0000_s1620" o:spid="_x0000_s1620" style="position:absolute;left:89;top:44;height:105;width:150;" fillcolor="#C8C8C8" filled="t" stroked="t" coordsize="150,105" path="m142,97l7,37,52,7,142,97e">
              <v:fill on="t" focussize="0,0"/>
              <v:stroke color="#000000" miterlimit="2" endcap="round"/>
              <v:imagedata o:title=""/>
              <o:lock v:ext="edit"/>
            </v:shape>
            <v:shape id="_x0000_s1621" o:spid="_x0000_s1621" style="position:absolute;left:134;top:0;height:150;width:105;" fillcolor="#FA9696" filled="t" stroked="t" coordsize="105,150" path="m97,142l7,52,37,7,97,142e">
              <v:fill on="t" focussize="0,0"/>
              <v:stroke color="#000000" miterlimit="2" endcap="round"/>
              <v:imagedata o:title=""/>
              <o:lock v:ext="edit"/>
            </v:shape>
            <v:shape id="_x0000_s1622" o:spid="_x0000_s1622" style="position:absolute;left:164;top:0;height:150;width:75;" filled="f" stroked="t" coordsize="75,150" path="m67,142l7,7,67,82e">
              <v:fill on="f" focussize="0,0"/>
              <v:stroke color="#000000" miterlimit="2" endcap="round"/>
              <v:imagedata o:title=""/>
              <o:lock v:ext="edit"/>
            </v:shape>
            <v:shape id="_x0000_s1623" o:spid="_x0000_s1623" style="position:absolute;left:164;top:0;height:150;width:75;" fillcolor="#C8C8C8" filled="t" stroked="f" coordsize="75,150" path="m67,142,67,142l7,7,67,82,67,142e">
              <v:path/>
              <v:fill on="t" focussize="0,0"/>
              <v:stroke on="f"/>
              <v:imagedata o:title=""/>
              <o:lock v:ext="edit"/>
            </v:shape>
          </v:group>
        </w:pict>
      </w:r>
      <w:r>
        <w:pict>
          <v:shape id="_x0000_s1624" o:spid="_x0000_s1624" o:spt="202" type="#_x0000_t202" style="position:absolute;left:0pt;margin-left:402.6pt;margin-top:10.9pt;height:10.9pt;width:6.3pt;z-index:251999232;mso-width-relative:page;mso-height-relative:page;" filled="f" stroked="f" coordsize="21600,21600">
            <v:path/>
            <v:fill on="f" focussize="0,0"/>
            <v:stroke on="f"/>
            <v:imagedata o:title=""/>
            <o:lock v:ext="edit" aspectratio="f"/>
            <v:textbox inset="0mm,0mm,0mm,0mm">
              <w:txbxContent>
                <w:p w14:paraId="0ABD5658">
                  <w:pPr>
                    <w:spacing w:before="19" w:line="182" w:lineRule="auto"/>
                    <w:ind w:left="20"/>
                    <w:rPr>
                      <w:rFonts w:ascii="宋体" w:hAnsi="宋体" w:eastAsia="宋体" w:cs="宋体"/>
                      <w:sz w:val="18"/>
                      <w:szCs w:val="18"/>
                    </w:rPr>
                  </w:pPr>
                  <w:r>
                    <w:rPr>
                      <w:rFonts w:ascii="宋体" w:hAnsi="宋体" w:eastAsia="宋体" w:cs="宋体"/>
                      <w:sz w:val="18"/>
                      <w:szCs w:val="18"/>
                    </w:rPr>
                    <w:t>E</w:t>
                  </w:r>
                </w:p>
              </w:txbxContent>
            </v:textbox>
          </v:shape>
        </w:pict>
      </w:r>
      <w:r>
        <w:pict>
          <v:group id="_x0000_s1625" o:spid="_x0000_s1625" o:spt="203" style="position:absolute;left:0pt;margin-left:374.5pt;margin-top:2.8pt;height:15pt;width:14.25pt;z-index:251993088;mso-width-relative:page;mso-height-relative:page;" coordsize="285,300">
            <o:lock v:ext="edit"/>
            <v:shape id="_x0000_s1626" o:spid="_x0000_s1626" style="position:absolute;left:0;top:0;height:240;width:225;" fillcolor="#C8C8C8" filled="t" stroked="t" coordsize="225,240" path="m7,232l67,97,217,7,7,232e">
              <v:fill on="t" focussize="0,0"/>
              <v:stroke color="#000000" miterlimit="2" endcap="round"/>
              <v:imagedata o:title=""/>
              <o:lock v:ext="edit"/>
            </v:shape>
            <v:shape id="_x0000_s1627" o:spid="_x0000_s1627" style="position:absolute;left:0;top:0;height:240;width:285;" fillcolor="#FA9696" filled="t" stroked="t" coordsize="285,240" path="m7,232l217,7,277,112,7,232e">
              <v:fill on="t" focussize="0,0"/>
              <v:stroke color="#000000" miterlimit="2" endcap="round"/>
              <v:imagedata o:title=""/>
              <o:lock v:ext="edit"/>
            </v:shape>
            <v:shape id="_x0000_s1628" o:spid="_x0000_s1628" style="position:absolute;left:0;top:104;height:135;width:285;" fillcolor="#C8C8C8" filled="t" stroked="t" coordsize="285,135" path="m7,127l277,7,262,127,7,127e">
              <v:fill on="t" focussize="0,0"/>
              <v:stroke color="#000000" miterlimit="2" endcap="round"/>
              <v:imagedata o:title=""/>
              <o:lock v:ext="edit"/>
            </v:shape>
            <v:shape id="_x0000_s1629" o:spid="_x0000_s1629" style="position:absolute;left:0;top:224;height:60;width:270;" filled="f" stroked="t" coordsize="270,60" path="m7,7l262,7,142,52e">
              <v:fill on="f" focussize="0,0"/>
              <v:stroke color="#000000" miterlimit="2" endcap="round"/>
              <v:imagedata o:title=""/>
              <o:lock v:ext="edit"/>
            </v:shape>
            <v:shape id="_x0000_s1630" o:spid="_x0000_s1630" style="position:absolute;left:0;top:224;height:60;width:270;" fillcolor="#FA9696" filled="t" stroked="f" coordsize="270,60" path="m7,7,7,7l262,7,142,52,7,7e">
              <v:path/>
              <v:fill on="t" focussize="0,0"/>
              <v:stroke on="f"/>
              <v:imagedata o:title=""/>
              <o:lock v:ext="edit"/>
            </v:shape>
            <v:shape id="_x0000_s1631" o:spid="_x0000_s1631" style="position:absolute;left:60;top:269;height:30;width:90;" filled="f" stroked="t" coordsize="90,30" path="m82,7l7,22e">
              <v:fill on="f" focussize="0,0"/>
              <v:stroke color="#000000" miterlimit="2" endcap="round"/>
              <v:imagedata o:title=""/>
              <o:lock v:ext="edit"/>
            </v:shape>
          </v:group>
        </w:pict>
      </w:r>
    </w:p>
    <w:p w14:paraId="756EEB0A">
      <w:pPr>
        <w:pStyle w:val="2"/>
        <w:spacing w:line="241" w:lineRule="auto"/>
      </w:pPr>
      <w:r>
        <w:pict>
          <v:shape id="_x0000_s1632" o:spid="_x0000_s1632" style="position:absolute;left:0pt;margin-left:59.9pt;margin-top:10.55pt;height:10.5pt;width:18pt;z-index:251922432;mso-width-relative:page;mso-height-relative:page;" filled="f" stroked="t" coordsize="360,210" path="m352,7l202,202m202,202l7,187e">
            <v:fill on="f" focussize="0,0"/>
            <v:stroke color="#000000" miterlimit="2" endcap="round"/>
            <v:imagedata o:title=""/>
            <o:lock v:ext="edit"/>
          </v:shape>
        </w:pict>
      </w:r>
      <w:r>
        <w:pict>
          <v:group id="_x0000_s1633" o:spid="_x0000_s1633" o:spt="203" style="position:absolute;left:0pt;margin-left:374.5pt;margin-top:1.9pt;height:3.75pt;width:7.5pt;z-index:251994112;mso-width-relative:page;mso-height-relative:page;" coordsize="150,75">
            <o:lock v:ext="edit"/>
            <v:shape id="_x0000_s1634" o:spid="_x0000_s1634" style="position:absolute;left:0;top:0;height:60;width:150;" filled="f" stroked="t" coordsize="150,60" path="m142,52l7,7m7,7l142,52e">
              <v:fill on="f" focussize="0,0"/>
              <v:stroke color="#000000" miterlimit="2" endcap="round"/>
              <v:imagedata o:title=""/>
              <o:lock v:ext="edit"/>
            </v:shape>
            <v:shape id="_x0000_s1635" o:spid="_x0000_s1635" style="position:absolute;left:0;top:0;height:75;width:150;" fillcolor="#C8C8C8" filled="t" stroked="f" coordsize="150,75" path="m7,7,7,7l142,52,67,67,7,7e">
              <v:path/>
              <v:fill on="t" focussize="0,0"/>
              <v:stroke on="f"/>
              <v:imagedata o:title=""/>
              <o:lock v:ext="edit"/>
            </v:shape>
            <v:shape id="_x0000_s1636" o:spid="_x0000_s1636" style="position:absolute;left:0;top:0;height:75;width:150;" filled="f" stroked="t" coordsize="150,75" path="m67,67l7,7e">
              <v:fill on="f" focussize="0,0"/>
              <v:stroke color="#000000" miterlimit="2" endcap="round"/>
              <v:imagedata o:title=""/>
              <o:lock v:ext="edit"/>
            </v:shape>
            <v:shape id="_x0000_s1637" o:spid="_x0000_s1637" style="position:absolute;left:0;top:0;height:75;width:75;" fillcolor="#FA9696" filled="t" stroked="t" coordsize="75,75" path="m7,7l67,67,22,22,7,7e">
              <v:fill on="t" focussize="0,0"/>
              <v:stroke color="#000000" miterlimit="2" endcap="round"/>
              <v:imagedata o:title=""/>
              <o:lock v:ext="edit"/>
            </v:shape>
          </v:group>
        </w:pict>
      </w:r>
    </w:p>
    <w:p w14:paraId="21A87018">
      <w:pPr>
        <w:pStyle w:val="2"/>
        <w:spacing w:line="241" w:lineRule="auto"/>
      </w:pPr>
      <w:r>
        <w:pict>
          <v:shape id="_x0000_s1638" o:spid="_x0000_s1638" o:spt="202" type="#_x0000_t202" style="position:absolute;left:0pt;margin-left:147.8pt;margin-top:9.85pt;height:10.95pt;width:10.65pt;z-index:252029952;mso-width-relative:page;mso-height-relative:page;" filled="f" stroked="f" coordsize="21600,21600">
            <v:path/>
            <v:fill on="f" focussize="0,0"/>
            <v:stroke on="f"/>
            <v:imagedata o:title=""/>
            <o:lock v:ext="edit" aspectratio="f"/>
            <v:textbox inset="0mm,0mm,0mm,0mm">
              <w:txbxContent>
                <w:p w14:paraId="6AA5791D">
                  <w:pPr>
                    <w:spacing w:before="20" w:line="183" w:lineRule="auto"/>
                    <w:ind w:left="20"/>
                    <w:rPr>
                      <w:rFonts w:ascii="宋体" w:hAnsi="宋体" w:eastAsia="宋体" w:cs="宋体"/>
                      <w:sz w:val="18"/>
                      <w:szCs w:val="18"/>
                    </w:rPr>
                  </w:pPr>
                  <w:r>
                    <w:rPr>
                      <w:rFonts w:ascii="宋体" w:hAnsi="宋体" w:eastAsia="宋体" w:cs="宋体"/>
                      <w:spacing w:val="-4"/>
                      <w:sz w:val="18"/>
                      <w:szCs w:val="18"/>
                    </w:rPr>
                    <w:t>SW</w:t>
                  </w:r>
                </w:p>
              </w:txbxContent>
            </v:textbox>
          </v:shape>
        </w:pict>
      </w:r>
      <w:r>
        <w:pict>
          <v:shape id="_x0000_s1639" o:spid="_x0000_s1639" o:spt="202" type="#_x0000_t202" style="position:absolute;left:0pt;margin-left:95.3pt;margin-top:9.85pt;height:10.95pt;width:10.65pt;z-index:252013568;mso-width-relative:page;mso-height-relative:page;" filled="f" stroked="f" coordsize="21600,21600">
            <v:path/>
            <v:fill on="f" focussize="0,0"/>
            <v:stroke on="f"/>
            <v:imagedata o:title=""/>
            <o:lock v:ext="edit" aspectratio="f"/>
            <v:textbox inset="0mm,0mm,0mm,0mm">
              <w:txbxContent>
                <w:p w14:paraId="07A5F3DA">
                  <w:pPr>
                    <w:spacing w:before="20"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w:pict>
      </w:r>
      <w:r>
        <w:pict>
          <v:shape id="_x0000_s1640" o:spid="_x0000_s1640" o:spt="202" type="#_x0000_t202" style="position:absolute;left:0pt;margin-left:393pt;margin-top:9.85pt;height:10.95pt;width:10.65pt;z-index:251991040;mso-width-relative:page;mso-height-relative:page;" filled="f" stroked="f" coordsize="21600,21600">
            <v:path/>
            <v:fill on="f" focussize="0,0"/>
            <v:stroke on="f"/>
            <v:imagedata o:title=""/>
            <o:lock v:ext="edit" aspectratio="f"/>
            <v:textbox inset="0mm,0mm,0mm,0mm">
              <w:txbxContent>
                <w:p w14:paraId="046E95C0">
                  <w:pPr>
                    <w:spacing w:before="20"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w:pict>
      </w:r>
    </w:p>
    <w:p w14:paraId="547ED79C">
      <w:pPr>
        <w:pStyle w:val="2"/>
        <w:spacing w:line="241" w:lineRule="auto"/>
      </w:pPr>
    </w:p>
    <w:p w14:paraId="61EDC7F5">
      <w:pPr>
        <w:pStyle w:val="2"/>
        <w:spacing w:line="241" w:lineRule="auto"/>
      </w:pPr>
    </w:p>
    <w:p w14:paraId="0BEF3E25">
      <w:pPr>
        <w:pStyle w:val="2"/>
        <w:spacing w:line="241" w:lineRule="auto"/>
      </w:pPr>
    </w:p>
    <w:p w14:paraId="0DAB5C6E">
      <w:pPr>
        <w:pStyle w:val="2"/>
        <w:spacing w:line="241" w:lineRule="auto"/>
      </w:pPr>
    </w:p>
    <w:p w14:paraId="57A74AB6">
      <w:pPr>
        <w:pStyle w:val="2"/>
        <w:spacing w:line="241" w:lineRule="auto"/>
      </w:pPr>
      <w:r>
        <w:pict>
          <v:shape id="_x0000_s1641" o:spid="_x0000_s1641" style="position:absolute;left:0pt;margin-left:48.65pt;margin-top:10.5pt;height:57.75pt;width:57pt;z-index:252017664;mso-width-relative:page;mso-height-relative:page;" fillcolor="#00FF00" filled="t" stroked="t" coordsize="1140,1155" path="m1132,577c1132,892,880,1147,569,1147c259,1147,7,892,7,577c7,262,259,7,569,7c880,7,1132,262,1132,577e">
            <v:fill on="t" focussize="0,0"/>
            <v:stroke color="#646464" miterlimit="2" endcap="round"/>
            <v:imagedata o:title=""/>
            <o:lock v:ext="edit"/>
          </v:shape>
        </w:pict>
      </w:r>
      <w:r>
        <w:pict>
          <v:shape id="_x0000_s1642" o:spid="_x0000_s1642" o:spt="202" type="#_x0000_t202" style="position:absolute;left:0pt;margin-left:47.3pt;margin-top:9.15pt;height:60.5pt;width:59.75pt;z-index:252022784;mso-width-relative:page;mso-height-relative:page;" filled="f" stroked="f" coordsize="21600,21600">
            <v:path/>
            <v:fill on="f" focussize="0,0"/>
            <v:stroke on="f"/>
            <v:imagedata o:title=""/>
            <o:lock v:ext="edit" aspectratio="f"/>
            <v:textbox inset="0mm,0mm,0mm,0mm">
              <w:txbxContent>
                <w:p w14:paraId="3947184F">
                  <w:pPr>
                    <w:spacing w:line="20" w:lineRule="exact"/>
                  </w:pPr>
                </w:p>
                <w:tbl>
                  <w:tblPr>
                    <w:tblStyle w:val="5"/>
                    <w:tblW w:w="1154" w:type="dxa"/>
                    <w:tblInd w:w="2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581"/>
                    <w:gridCol w:w="573"/>
                  </w:tblGrid>
                  <w:tr w14:paraId="0322925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81" w:type="dxa"/>
                        <w:tcBorders>
                          <w:bottom w:val="single" w:color="646464" w:sz="6" w:space="0"/>
                          <w:right w:val="single" w:color="646464" w:sz="6" w:space="0"/>
                        </w:tcBorders>
                        <w:vAlign w:val="top"/>
                      </w:tcPr>
                      <w:p w14:paraId="7AB0AB60">
                        <w:pPr>
                          <w:rPr>
                            <w:rFonts w:ascii="Arial"/>
                            <w:sz w:val="21"/>
                          </w:rPr>
                        </w:pPr>
                      </w:p>
                    </w:tc>
                    <w:tc>
                      <w:tcPr>
                        <w:tcW w:w="573" w:type="dxa"/>
                        <w:tcBorders>
                          <w:left w:val="single" w:color="646464" w:sz="6" w:space="0"/>
                          <w:bottom w:val="single" w:color="646464" w:sz="6" w:space="0"/>
                        </w:tcBorders>
                        <w:vAlign w:val="top"/>
                      </w:tcPr>
                      <w:p w14:paraId="74D18628">
                        <w:pPr>
                          <w:rPr>
                            <w:rFonts w:ascii="Arial"/>
                            <w:sz w:val="21"/>
                          </w:rPr>
                        </w:pPr>
                      </w:p>
                    </w:tc>
                  </w:tr>
                  <w:tr w14:paraId="5FE3FDE2">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81" w:type="dxa"/>
                        <w:tcBorders>
                          <w:top w:val="single" w:color="646464" w:sz="6" w:space="0"/>
                          <w:right w:val="single" w:color="646464" w:sz="6" w:space="0"/>
                        </w:tcBorders>
                        <w:vAlign w:val="top"/>
                      </w:tcPr>
                      <w:p w14:paraId="2ED12E04">
                        <w:pPr>
                          <w:rPr>
                            <w:rFonts w:ascii="Arial"/>
                            <w:sz w:val="21"/>
                          </w:rPr>
                        </w:pPr>
                      </w:p>
                    </w:tc>
                    <w:tc>
                      <w:tcPr>
                        <w:tcW w:w="573" w:type="dxa"/>
                        <w:tcBorders>
                          <w:top w:val="single" w:color="646464" w:sz="6" w:space="0"/>
                          <w:left w:val="single" w:color="646464" w:sz="6" w:space="0"/>
                        </w:tcBorders>
                        <w:vAlign w:val="top"/>
                      </w:tcPr>
                      <w:p w14:paraId="4049BE90">
                        <w:pPr>
                          <w:spacing w:line="52" w:lineRule="exact"/>
                        </w:pPr>
                        <w:r>
                          <w:rPr>
                            <w:position w:val="-1"/>
                          </w:rPr>
                          <w:drawing>
                            <wp:inline distT="0" distB="0" distL="0" distR="0">
                              <wp:extent cx="102235" cy="33020"/>
                              <wp:effectExtent l="0" t="0" r="0" b="0"/>
                              <wp:docPr id="96" name="IM 96"/>
                              <wp:cNvGraphicFramePr/>
                              <a:graphic xmlns:a="http://schemas.openxmlformats.org/drawingml/2006/main">
                                <a:graphicData uri="http://schemas.openxmlformats.org/drawingml/2006/picture">
                                  <pic:pic xmlns:pic="http://schemas.openxmlformats.org/drawingml/2006/picture">
                                    <pic:nvPicPr>
                                      <pic:cNvPr id="96" name="IM 96"/>
                                      <pic:cNvPicPr/>
                                    </pic:nvPicPr>
                                    <pic:blipFill>
                                      <a:blip r:embed="rId628"/>
                                      <a:stretch>
                                        <a:fillRect/>
                                      </a:stretch>
                                    </pic:blipFill>
                                    <pic:spPr>
                                      <a:xfrm>
                                        <a:off x="0" y="0"/>
                                        <a:ext cx="102501" cy="33591"/>
                                      </a:xfrm>
                                      <a:prstGeom prst="rect">
                                        <a:avLst/>
                                      </a:prstGeom>
                                    </pic:spPr>
                                  </pic:pic>
                                </a:graphicData>
                              </a:graphic>
                            </wp:inline>
                          </w:drawing>
                        </w:r>
                      </w:p>
                    </w:tc>
                  </w:tr>
                </w:tbl>
                <w:p w14:paraId="739D53A4">
                  <w:pPr>
                    <w:pStyle w:val="2"/>
                  </w:pPr>
                </w:p>
              </w:txbxContent>
            </v:textbox>
          </v:shape>
        </w:pict>
      </w:r>
      <w:r>
        <w:pict>
          <v:group id="_x0000_s1643" o:spid="_x0000_s1643" o:spt="203" style="position:absolute;left:0pt;margin-left:147.3pt;margin-top:10.15pt;height:58.5pt;width:57.75pt;z-index:251930624;mso-width-relative:page;mso-height-relative:page;" coordsize="1155,1170">
            <o:lock v:ext="edit"/>
            <v:shape id="_x0000_s1644" o:spid="_x0000_s1644" style="position:absolute;left:0;top:0;height:1155;width:1140;" fillcolor="#00FF00" filled="t" stroked="t" coordsize="1140,1155" path="m1132,577c1132,892,880,1147,569,1147c259,1147,7,892,7,577c7,262,259,7,569,7c880,7,1132,262,1132,577e">
              <v:fill on="t" focussize="0,0"/>
              <v:stroke color="#646464" miterlimit="2" endcap="round"/>
              <v:imagedata o:title=""/>
              <o:lock v:ext="edit"/>
            </v:shape>
            <v:shape id="_x0000_s1645" o:spid="_x0000_s1645" style="position:absolute;left:569;top:419;height:165;width:75;" fillcolor="#FA9696" filled="t" stroked="t" coordsize="75,165" path="m7,157l7,37,67,7,7,157e">
              <v:fill on="t" focussize="0,0"/>
              <v:stroke color="#000000" miterlimit="2" endcap="round"/>
              <v:imagedata o:title=""/>
              <o:lock v:ext="edit"/>
            </v:shape>
            <v:shape id="_x0000_s1646" o:spid="_x0000_s1646" style="position:absolute;left:569;top:524;height:120;width:150;" filled="f" stroked="t" coordsize="150,120" path="m7,52l142,7m112,112l7,52m7,52l112,112e">
              <v:fill on="f" focussize="0,0"/>
              <v:stroke color="#000000" miterlimit="2" endcap="round"/>
              <v:imagedata o:title=""/>
              <o:lock v:ext="edit"/>
            </v:shape>
            <v:shape id="_x0000_s1647" o:spid="_x0000_s1647" style="position:absolute;left:569;top:569;height:75;width:120;" fillcolor="#C8C8C8" filled="t" stroked="f" coordsize="120,75" path="m7,7,7,7l112,67,52,67,7,7e">
              <v:path/>
              <v:fill on="t" focussize="0,0"/>
              <v:stroke on="f"/>
              <v:imagedata o:title=""/>
              <o:lock v:ext="edit"/>
            </v:shape>
            <v:shape id="_x0000_s1648" o:spid="_x0000_s1648" style="position:absolute;left:569;top:569;height:75;width:120;" filled="f" stroked="t" coordsize="120,75" path="m52,67l7,7e">
              <v:fill on="f" focussize="0,0"/>
              <v:stroke color="#000000" miterlimit="2" endcap="round"/>
              <v:imagedata o:title=""/>
              <o:lock v:ext="edit"/>
            </v:shape>
            <v:shape id="_x0000_s1649" o:spid="_x0000_s1649" style="position:absolute;left:569;top:569;height:75;width:60;" fillcolor="#FA9696" filled="t" stroked="t" coordsize="60,75" path="m7,7l52,67,22,37,7,7e">
              <v:fill on="t" focussize="0,0"/>
              <v:stroke color="#000000" miterlimit="2" endcap="round"/>
              <v:imagedata o:title=""/>
              <o:lock v:ext="edit"/>
            </v:shape>
            <v:shape id="_x0000_s1650" o:spid="_x0000_s1650" style="position:absolute;left:569;top:569;height:105;width:30;" fillcolor="#C8C8C8" filled="t" stroked="t" coordsize="30,105" path="m7,7l22,37,7,97,7,7e">
              <v:fill on="t" focussize="0,0"/>
              <v:stroke color="#000000" miterlimit="2" endcap="round"/>
              <v:imagedata o:title=""/>
              <o:lock v:ext="edit"/>
            </v:shape>
            <v:shape id="_x0000_s1651" o:spid="_x0000_s1651" style="position:absolute;left:464;top:569;height:255;width:120;" fillcolor="#FA9696" filled="t" stroked="t" coordsize="120,255" path="m112,7l112,97,7,247,112,7e">
              <v:fill on="t" focussize="0,0"/>
              <v:stroke color="#000000" miterlimit="2" endcap="round"/>
              <v:imagedata o:title=""/>
              <o:lock v:ext="edit"/>
            </v:shape>
            <v:shape id="_x0000_s1652" o:spid="_x0000_s1652" style="position:absolute;left:314;top:569;height:270;width:270;" fillcolor="#C8C8C8" filled="t" stroked="t" coordsize="270,270" path="m262,7l157,247,7,262,262,7e">
              <v:fill on="t" focussize="0,0"/>
              <v:stroke color="#000000" miterlimit="2" endcap="round"/>
              <v:imagedata o:title=""/>
              <o:lock v:ext="edit"/>
            </v:shape>
            <v:shape id="_x0000_s1653" o:spid="_x0000_s1653" style="position:absolute;left:314;top:569;height:270;width:270;" fillcolor="#FA9696" filled="t" stroked="t" coordsize="270,270" path="m262,7l7,262,52,97,262,7e">
              <v:fill on="t" focussize="0,0"/>
              <v:stroke color="#000000" miterlimit="2" endcap="round"/>
              <v:imagedata o:title=""/>
              <o:lock v:ext="edit"/>
            </v:shape>
            <v:shape id="_x0000_s1654" o:spid="_x0000_s1654" style="position:absolute;left:359;top:569;height:105;width:225;" fillcolor="#C8C8C8" filled="t" stroked="t" coordsize="225,105" path="m217,7l7,97,67,7,217,7e">
              <v:fill on="t" focussize="0,0"/>
              <v:stroke color="#000000" miterlimit="2" endcap="round"/>
              <v:imagedata o:title=""/>
              <o:lock v:ext="edit"/>
            </v:shape>
            <v:shape id="_x0000_s1655" o:spid="_x0000_s1655" style="position:absolute;left:419;top:524;height:60;width:165;" fillcolor="#FA9696" filled="t" stroked="t" coordsize="165,60" path="m157,52l7,52,22,7,157,52e">
              <v:fill on="t" focussize="0,0"/>
              <v:stroke color="#000000" miterlimit="2" endcap="round"/>
              <v:imagedata o:title=""/>
              <o:lock v:ext="edit"/>
            </v:shape>
            <v:shape id="_x0000_s1656" o:spid="_x0000_s1656" style="position:absolute;left:434;top:494;height:90;width:150;" fillcolor="#C8C8C8" filled="t" stroked="t" coordsize="150,90" path="m142,82l7,37,52,7,142,82e">
              <v:fill on="t" focussize="0,0"/>
              <v:stroke color="#000000" miterlimit="2" endcap="round"/>
              <v:imagedata o:title=""/>
              <o:lock v:ext="edit"/>
            </v:shape>
            <v:shape id="_x0000_s1657" o:spid="_x0000_s1657" style="position:absolute;left:479;top:449;height:135;width:105;" fillcolor="#FA9696" filled="t" stroked="t" coordsize="105,135" path="m97,127l7,52,52,7,97,127e">
              <v:fill on="t" focussize="0,0"/>
              <v:stroke color="#000000" miterlimit="2" endcap="round"/>
              <v:imagedata o:title=""/>
              <o:lock v:ext="edit"/>
            </v:shape>
            <v:shape id="_x0000_s1658" o:spid="_x0000_s1658" style="position:absolute;left:524;top:449;height:135;width:60;" fillcolor="#C8C8C8" filled="t" stroked="t" coordsize="60,135" path="m52,127l7,7,52,7,52,127e">
              <v:fill on="t" focussize="0,0"/>
              <v:stroke color="#000000" miterlimit="2" endcap="round"/>
              <v:imagedata o:title=""/>
              <o:lock v:ext="edit"/>
            </v:shape>
            <v:shape id="_x0000_s1659" o:spid="_x0000_s1659" style="position:absolute;left:0;top:0;height:1170;width:1155;" filled="f" stroked="t" coordsize="1155,1170" path="m577,7l577,1162m802,52l352,1117m982,172l172,997m1102,367l52,802m1147,577l7,577m1102,802l52,367m982,997l172,172m802,1117l352,52m847,577c847,734,723,862,569,862c416,862,292,734,292,577c292,420,416,292,569,292c723,292,847,420,847,577e">
              <v:fill on="f" focussize="0,0"/>
              <v:stroke color="#646464" miterlimit="2" endcap="round"/>
              <v:imagedata o:title=""/>
              <o:lock v:ext="edit"/>
            </v:shape>
          </v:group>
        </w:pict>
      </w:r>
      <w:r>
        <w:pict>
          <v:group id="_x0000_s1660" o:spid="_x0000_s1660" o:spt="203" style="position:absolute;left:0pt;margin-left:242.2pt;margin-top:10.15pt;height:58.5pt;width:65.95pt;z-index:251931648;mso-width-relative:page;mso-height-relative:page;" coordsize="1318,1170">
            <o:lock v:ext="edit"/>
            <v:shape id="_x0000_s1661" o:spid="_x0000_s1661" o:spt="75" type="#_x0000_t75" style="position:absolute;left:194;top:62;height:1066;width:929;" filled="f" stroked="f" coordsize="21600,21600">
              <v:path/>
              <v:fill on="f" focussize="0,0"/>
              <v:stroke on="f"/>
              <v:imagedata r:id="rId625" o:title=""/>
              <o:lock v:ext="edit" aspectratio="t"/>
            </v:shape>
            <v:shape id="_x0000_s1662" o:spid="_x0000_s1662" style="position:absolute;left:81;top:0;height:1155;width:1140;" fillcolor="#00FF00" filled="t" stroked="t" coordsize="1140,1155" path="m1132,577c1132,892,880,1147,569,1147c259,1147,7,892,7,577c7,262,259,7,569,7c880,7,1132,262,1132,577e">
              <v:fill on="t" focussize="0,0"/>
              <v:stroke color="#646464" miterlimit="2" endcap="round"/>
              <v:imagedata o:title=""/>
              <o:lock v:ext="edit"/>
            </v:shape>
            <v:group id="_x0000_s1663" o:spid="_x0000_s1663" o:spt="203" style="position:absolute;left:81;top:0;height:1170;width:1155;" coordsize="1155,1170">
              <o:lock v:ext="edit"/>
              <v:shape id="_x0000_s1664" o:spid="_x0000_s1664" style="position:absolute;left:569;top:254;height:330;width:150;" fillcolor="#FA9696" filled="t" stroked="t" coordsize="150,330" path="m7,322l7,142,142,7,7,322e">
                <v:fill on="t" focussize="0,0"/>
                <v:stroke color="#000000" miterlimit="2" endcap="round"/>
                <v:imagedata o:title=""/>
                <o:lock v:ext="edit"/>
              </v:shape>
              <v:shape id="_x0000_s1665" o:spid="_x0000_s1665" style="position:absolute;left:569;top:254;height:330;width:240;" fillcolor="#C8C8C8" filled="t" stroked="t" coordsize="240,330" path="m7,322l142,7,232,97,7,322e">
                <v:fill on="t" focussize="0,0"/>
                <v:stroke color="#000000" miterlimit="2" endcap="round"/>
                <v:imagedata o:title=""/>
                <o:lock v:ext="edit"/>
              </v:shape>
              <v:shape id="_x0000_s1666" o:spid="_x0000_s1666" style="position:absolute;left:569;top:344;height:240;width:240;" fillcolor="#FA9696" filled="t" stroked="t" coordsize="240,240" path="m7,232l232,7,142,187,7,232e">
                <v:fill on="t" focussize="0,0"/>
                <v:stroke color="#000000" miterlimit="2" endcap="round"/>
                <v:imagedata o:title=""/>
                <o:lock v:ext="edit"/>
              </v:shape>
              <v:shape id="_x0000_s1667" o:spid="_x0000_s1667" style="position:absolute;left:569;top:524;height:60;width:165;" fillcolor="#C8C8C8" filled="t" stroked="t" coordsize="165,60" path="m7,52l142,7,157,52,7,52e">
                <v:fill on="t" focussize="0,0"/>
                <v:stroke color="#000000" miterlimit="2" endcap="round"/>
                <v:imagedata o:title=""/>
                <o:lock v:ext="edit"/>
              </v:shape>
              <v:shape id="_x0000_s1668" o:spid="_x0000_s1668" style="position:absolute;left:569;top:569;height:60;width:165;" fillcolor="#FA9696" filled="t" stroked="t" coordsize="165,60" path="m7,7l157,7,97,52,7,7e">
                <v:fill on="t" focussize="0,0"/>
                <v:stroke color="#000000" miterlimit="2" endcap="round"/>
                <v:imagedata o:title=""/>
                <o:lock v:ext="edit"/>
              </v:shape>
              <v:shape id="_x0000_s1669" o:spid="_x0000_s1669" style="position:absolute;left:569;top:569;height:105;width:105;" fillcolor="#C8C8C8" filled="t" stroked="t" coordsize="105,105" path="m7,7l97,52,97,97,7,7e">
                <v:fill on="t" focussize="0,0"/>
                <v:stroke color="#000000" miterlimit="2" endcap="round"/>
                <v:imagedata o:title=""/>
                <o:lock v:ext="edit"/>
              </v:shape>
              <v:shape id="_x0000_s1670" o:spid="_x0000_s1670" style="position:absolute;left:569;top:569;height:105;width:105;" fillcolor="#FA9696" filled="t" stroked="t" coordsize="105,105" path="m7,7l97,97,37,82,7,7e">
                <v:fill on="t" focussize="0,0"/>
                <v:stroke color="#000000" miterlimit="2" endcap="round"/>
                <v:imagedata o:title=""/>
                <o:lock v:ext="edit"/>
              </v:shape>
              <v:shape id="_x0000_s1671" o:spid="_x0000_s1671" style="position:absolute;left:569;top:569;height:90;width:45;" fillcolor="#C8C8C8" filled="t" stroked="t" coordsize="45,90" path="m7,7l37,82,7,67,7,7e">
                <v:fill on="t" focussize="0,0"/>
                <v:stroke color="#000000" miterlimit="2" endcap="round"/>
                <v:imagedata o:title=""/>
                <o:lock v:ext="edit"/>
              </v:shape>
              <v:shape id="_x0000_s1672" o:spid="_x0000_s1672" style="position:absolute;left:434;top:569;height:360;width:150;" fillcolor="#FA9696" filled="t" stroked="t" coordsize="150,360" path="m142,7l142,67,7,352,142,7e">
                <v:fill on="t" focussize="0,0"/>
                <v:stroke color="#000000" miterlimit="2" endcap="round"/>
                <v:imagedata o:title=""/>
                <o:lock v:ext="edit"/>
              </v:shape>
              <v:shape id="_x0000_s1673" o:spid="_x0000_s1673" style="position:absolute;left:314;top:569;height:360;width:270;" fillcolor="#C8C8C8" filled="t" stroked="t" coordsize="270,360" path="m262,7l127,352,7,262,262,7e">
                <v:fill on="t" focussize="0,0"/>
                <v:stroke color="#000000" miterlimit="2" endcap="round"/>
                <v:imagedata o:title=""/>
                <o:lock v:ext="edit"/>
              </v:shape>
              <v:shape id="_x0000_s1674" o:spid="_x0000_s1674" style="position:absolute;left:314;top:569;height:270;width:270;" fillcolor="#FA9696" filled="t" stroked="t" coordsize="270,270" path="m262,7l7,262,7,127,262,7e">
                <v:fill on="t" focussize="0,0"/>
                <v:stroke color="#000000" miterlimit="2" endcap="round"/>
                <v:imagedata o:title=""/>
                <o:lock v:ext="edit"/>
              </v:shape>
              <v:shape id="_x0000_s1675" o:spid="_x0000_s1675" style="position:absolute;left:314;top:569;height:135;width:270;" fillcolor="#C8C8C8" filled="t" stroked="t" coordsize="270,135" path="m262,7l7,127,37,7,262,7e">
                <v:fill on="t" focussize="0,0"/>
                <v:stroke color="#000000" miterlimit="2" endcap="round"/>
                <v:imagedata o:title=""/>
                <o:lock v:ext="edit"/>
              </v:shape>
              <v:shape id="_x0000_s1676" o:spid="_x0000_s1676" style="position:absolute;left:344;top:494;height:90;width:240;" fillcolor="#FA9696" filled="t" stroked="t" coordsize="240,90" path="m232,82l7,82,52,7,232,82e">
                <v:fill on="t" focussize="0,0"/>
                <v:stroke color="#000000" miterlimit="2" endcap="round"/>
                <v:imagedata o:title=""/>
                <o:lock v:ext="edit"/>
              </v:shape>
              <v:shape id="_x0000_s1677" o:spid="_x0000_s1677" style="position:absolute;left:389;top:464;height:120;width:195;" fillcolor="#C8C8C8" filled="t" stroked="t" coordsize="195,120" path="m187,112l7,37,67,7,187,112e">
                <v:fill on="t" focussize="0,0"/>
                <v:stroke color="#000000" miterlimit="2" endcap="round"/>
                <v:imagedata o:title=""/>
                <o:lock v:ext="edit"/>
              </v:shape>
              <v:shape id="_x0000_s1678" o:spid="_x0000_s1678" style="position:absolute;left:449;top:344;height:240;width:135;" fillcolor="#FA9696" filled="t" stroked="t" coordsize="135,240" path="m127,232l7,127,22,7,127,232e">
                <v:fill on="t" focussize="0,0"/>
                <v:stroke color="#000000" miterlimit="2" endcap="round"/>
                <v:imagedata o:title=""/>
                <o:lock v:ext="edit"/>
              </v:shape>
              <v:shape id="_x0000_s1679" o:spid="_x0000_s1679" style="position:absolute;left:464;top:344;height:240;width:120;" fillcolor="#C8C8C8" filled="t" stroked="t" coordsize="120,240" path="m112,232l7,7,112,52,112,232e">
                <v:fill on="t" focussize="0,0"/>
                <v:stroke color="#000000" miterlimit="2" endcap="round"/>
                <v:imagedata o:title=""/>
                <o:lock v:ext="edit"/>
              </v:shape>
              <v:shape id="_x0000_s1680" o:spid="_x0000_s1680" style="position:absolute;left:0;top:0;height:1170;width:1155;" filled="f" stroked="t" coordsize="1155,1170" path="m577,7l577,1162m802,52l352,1117m982,172l172,997m1102,367l52,802m1147,577l7,577m1102,802l52,367m982,997l172,172m802,1117l352,52m847,577c847,734,723,862,569,862c416,862,292,734,292,577c292,420,416,292,569,292c723,292,847,420,847,577e">
                <v:fill on="f" focussize="0,0"/>
                <v:stroke color="#646464" miterlimit="2" endcap="round"/>
                <v:imagedata o:title=""/>
                <o:lock v:ext="edit"/>
              </v:shape>
            </v:group>
            <v:shape id="_x0000_s1681" o:spid="_x0000_s1681" o:spt="202" type="#_x0000_t202" style="position:absolute;left:1021;top:42;height:1163;width:317;" filled="f" stroked="f" coordsize="21600,21600">
              <v:path/>
              <v:fill on="f" focussize="0,0"/>
              <v:stroke on="f"/>
              <v:imagedata o:title=""/>
              <o:lock v:ext="edit" aspectratio="f"/>
              <v:textbox inset="0mm,0mm,0mm,0mm">
                <w:txbxContent>
                  <w:p w14:paraId="141E6FCA">
                    <w:pPr>
                      <w:spacing w:before="19" w:line="182" w:lineRule="auto"/>
                      <w:ind w:left="107"/>
                      <w:rPr>
                        <w:rFonts w:ascii="宋体" w:hAnsi="宋体" w:eastAsia="宋体" w:cs="宋体"/>
                        <w:sz w:val="18"/>
                        <w:szCs w:val="18"/>
                      </w:rPr>
                    </w:pPr>
                    <w:r>
                      <w:rPr>
                        <w:rFonts w:ascii="宋体" w:hAnsi="宋体" w:eastAsia="宋体" w:cs="宋体"/>
                        <w:sz w:val="18"/>
                        <w:szCs w:val="18"/>
                      </w:rPr>
                      <w:t>E</w:t>
                    </w:r>
                  </w:p>
                  <w:p w14:paraId="27478ED2">
                    <w:pPr>
                      <w:spacing w:before="287" w:line="182" w:lineRule="auto"/>
                      <w:ind w:right="15"/>
                      <w:jc w:val="right"/>
                      <w:rPr>
                        <w:rFonts w:ascii="宋体" w:hAnsi="宋体" w:eastAsia="宋体" w:cs="宋体"/>
                        <w:sz w:val="18"/>
                        <w:szCs w:val="18"/>
                      </w:rPr>
                    </w:pPr>
                    <w:r>
                      <w:rPr>
                        <w:rFonts w:ascii="宋体" w:hAnsi="宋体" w:eastAsia="宋体" w:cs="宋体"/>
                        <w:sz w:val="18"/>
                        <w:szCs w:val="18"/>
                      </w:rPr>
                      <w:t>E</w:t>
                    </w:r>
                  </w:p>
                  <w:p w14:paraId="1227C8EF">
                    <w:pPr>
                      <w:pStyle w:val="2"/>
                      <w:spacing w:line="241" w:lineRule="auto"/>
                    </w:pPr>
                  </w:p>
                  <w:p w14:paraId="4963B8D2">
                    <w:pPr>
                      <w:spacing w:before="59"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v:shape id="_x0000_s1682" o:spid="_x0000_s1682" o:spt="202" type="#_x0000_t202" style="position:absolute;left:84;top:42;height:217;width:128;" filled="f" stroked="f" coordsize="21600,21600">
              <v:path/>
              <v:fill on="f" focussize="0,0"/>
              <v:stroke on="f"/>
              <v:imagedata o:title=""/>
              <o:lock v:ext="edit" aspectratio="f"/>
              <v:textbox inset="0mm,0mm,0mm,0mm">
                <w:txbxContent>
                  <w:p w14:paraId="54156C2A">
                    <w:pPr>
                      <w:spacing w:before="19" w:line="182" w:lineRule="auto"/>
                      <w:ind w:left="20"/>
                      <w:rPr>
                        <w:rFonts w:ascii="宋体" w:hAnsi="宋体" w:eastAsia="宋体" w:cs="宋体"/>
                        <w:sz w:val="18"/>
                        <w:szCs w:val="18"/>
                      </w:rPr>
                    </w:pPr>
                    <w:r>
                      <w:rPr>
                        <w:rFonts w:ascii="宋体" w:hAnsi="宋体" w:eastAsia="宋体" w:cs="宋体"/>
                        <w:sz w:val="18"/>
                        <w:szCs w:val="18"/>
                      </w:rPr>
                      <w:t>N</w:t>
                    </w:r>
                  </w:p>
                </w:txbxContent>
              </v:textbox>
            </v:shape>
            <v:shape id="_x0000_s1683" o:spid="_x0000_s1683" o:spt="202" type="#_x0000_t202" style="position:absolute;left:-20;top:507;height:217;width:128;" filled="f" stroked="f" coordsize="21600,21600">
              <v:path/>
              <v:fill on="f" focussize="0,0"/>
              <v:stroke on="f"/>
              <v:imagedata o:title=""/>
              <o:lock v:ext="edit" aspectratio="f"/>
              <v:textbox inset="0mm,0mm,0mm,0mm">
                <w:txbxContent>
                  <w:p w14:paraId="6566C305">
                    <w:pPr>
                      <w:spacing w:before="19" w:line="182" w:lineRule="auto"/>
                      <w:ind w:left="20"/>
                      <w:rPr>
                        <w:rFonts w:ascii="宋体" w:hAnsi="宋体" w:eastAsia="宋体" w:cs="宋体"/>
                        <w:sz w:val="18"/>
                        <w:szCs w:val="18"/>
                      </w:rPr>
                    </w:pPr>
                    <w:r>
                      <w:rPr>
                        <w:rFonts w:ascii="宋体" w:hAnsi="宋体" w:eastAsia="宋体" w:cs="宋体"/>
                        <w:sz w:val="18"/>
                        <w:szCs w:val="18"/>
                      </w:rPr>
                      <w:t>W</w:t>
                    </w:r>
                  </w:p>
                </w:txbxContent>
              </v:textbox>
            </v:shape>
            <v:shape id="_x0000_s1684" o:spid="_x0000_s1684" o:spt="202" type="#_x0000_t202" style="position:absolute;left:91;top:986;height:218;width:123;" filled="f" stroked="f" coordsize="21600,21600">
              <v:path/>
              <v:fill on="f" focussize="0,0"/>
              <v:stroke on="f"/>
              <v:imagedata o:title=""/>
              <o:lock v:ext="edit" aspectratio="f"/>
              <v:textbox inset="0mm,0mm,0mm,0mm">
                <w:txbxContent>
                  <w:p w14:paraId="245C90B8">
                    <w:pPr>
                      <w:spacing w:before="20" w:line="183" w:lineRule="auto"/>
                      <w:ind w:left="20"/>
                      <w:rPr>
                        <w:rFonts w:ascii="宋体" w:hAnsi="宋体" w:eastAsia="宋体" w:cs="宋体"/>
                        <w:sz w:val="18"/>
                        <w:szCs w:val="18"/>
                      </w:rPr>
                    </w:pPr>
                    <w:r>
                      <w:rPr>
                        <w:rFonts w:ascii="宋体" w:hAnsi="宋体" w:eastAsia="宋体" w:cs="宋体"/>
                        <w:sz w:val="18"/>
                        <w:szCs w:val="18"/>
                      </w:rPr>
                      <w:t>S</w:t>
                    </w:r>
                  </w:p>
                </w:txbxContent>
              </v:textbox>
            </v:shape>
          </v:group>
        </w:pict>
      </w:r>
      <w:r>
        <w:pict>
          <v:group id="_x0000_s1685" o:spid="_x0000_s1685" o:spt="203" style="position:absolute;left:0pt;margin-left:341.95pt;margin-top:10.15pt;height:58.5pt;width:65.95pt;z-index:251934720;mso-width-relative:page;mso-height-relative:page;" coordsize="1318,1170">
            <o:lock v:ext="edit"/>
            <v:shape id="_x0000_s1686" o:spid="_x0000_s1686" o:spt="75" type="#_x0000_t75" style="position:absolute;left:195;top:62;height:1066;width:929;" filled="f" stroked="f" coordsize="21600,21600">
              <v:path/>
              <v:fill on="f" focussize="0,0"/>
              <v:stroke on="f"/>
              <v:imagedata r:id="rId625" o:title=""/>
              <o:lock v:ext="edit" aspectratio="t"/>
            </v:shape>
            <v:shape id="_x0000_s1687" o:spid="_x0000_s1687" style="position:absolute;left:81;top:0;height:1155;width:1140;" fillcolor="#00FF00" filled="t" stroked="t" coordsize="1140,1155" path="m1132,577c1132,892,880,1147,569,1147c259,1147,7,892,7,577c7,262,259,7,569,7c880,7,1132,262,1132,577e">
              <v:fill on="t" focussize="0,0"/>
              <v:stroke color="#646464" miterlimit="2" endcap="round"/>
              <v:imagedata o:title=""/>
              <o:lock v:ext="edit"/>
            </v:shape>
            <v:group id="_x0000_s1688" o:spid="_x0000_s1688" o:spt="203" style="position:absolute;left:81;top:0;height:1170;width:1155;" coordsize="1155,1170">
              <o:lock v:ext="edit"/>
              <v:shape id="_x0000_s1689" o:spid="_x0000_s1689" style="position:absolute;left:569;top:374;height:210;width:105;" fillcolor="#FA9696" filled="t" stroked="t" coordsize="105,210" path="m7,202l7,7,97,7,7,202e">
                <v:fill on="t" focussize="0,0"/>
                <v:stroke color="#000000" miterlimit="2" endcap="round"/>
                <v:imagedata o:title=""/>
                <o:lock v:ext="edit"/>
              </v:shape>
              <v:shape id="_x0000_s1690" o:spid="_x0000_s1690" style="position:absolute;left:569;top:314;height:270;width:285;" fillcolor="#C8C8C8" filled="t" stroked="t" coordsize="285,270" path="m7,262l97,67,277,7,7,262e">
                <v:fill on="t" focussize="0,0"/>
                <v:stroke color="#000000" miterlimit="2" endcap="round"/>
                <v:imagedata o:title=""/>
                <o:lock v:ext="edit"/>
              </v:shape>
              <v:shape id="_x0000_s1691" o:spid="_x0000_s1691" style="position:absolute;left:569;top:314;height:270;width:285;" fillcolor="#FA9696" filled="t" stroked="t" coordsize="285,270" path="m7,262l277,7,172,202,7,262e">
                <v:fill on="t" focussize="0,0"/>
                <v:stroke color="#000000" miterlimit="2" endcap="round"/>
                <v:imagedata o:title=""/>
                <o:lock v:ext="edit"/>
              </v:shape>
              <v:shape id="_x0000_s1692" o:spid="_x0000_s1692" style="position:absolute;left:569;top:509;height:75;width:195;" fillcolor="#C8C8C8" filled="t" stroked="t" coordsize="195,75" path="m7,67l172,7,187,67,7,67e">
                <v:fill on="t" focussize="0,0"/>
                <v:stroke color="#000000" miterlimit="2" endcap="round"/>
                <v:imagedata o:title=""/>
                <o:lock v:ext="edit"/>
              </v:shape>
              <v:shape id="_x0000_s1693" o:spid="_x0000_s1693" style="position:absolute;left:569;top:569;height:45;width:195;" fillcolor="#FA9696" filled="t" stroked="t" coordsize="195,45" path="m7,7l187,7,67,37,7,7e">
                <v:fill on="t" focussize="0,0"/>
                <v:stroke color="#000000" miterlimit="2" endcap="round"/>
                <v:imagedata o:title=""/>
                <o:lock v:ext="edit"/>
              </v:shape>
              <v:shape id="_x0000_s1694" o:spid="_x0000_s1694" style="position:absolute;left:569;top:569;height:75;width:75;" fillcolor="#C8C8C8" filled="t" stroked="t" coordsize="75,75" path="m7,7l67,37,67,67,7,7e">
                <v:fill on="t" focussize="0,0"/>
                <v:stroke color="#000000" miterlimit="2" endcap="round"/>
                <v:imagedata o:title=""/>
                <o:lock v:ext="edit"/>
              </v:shape>
              <v:shape id="_x0000_s1695" o:spid="_x0000_s1695" style="position:absolute;left:569;top:569;height:75;width:75;" fillcolor="#FA9696" filled="t" stroked="t" coordsize="75,75" path="m7,7l67,67,22,37,7,7e">
                <v:fill on="t" focussize="0,0"/>
                <v:stroke color="#000000" miterlimit="2" endcap="round"/>
                <v:imagedata o:title=""/>
                <o:lock v:ext="edit"/>
              </v:shape>
              <v:shape id="_x0000_s1696" o:spid="_x0000_s1696" style="position:absolute;left:569;top:569;height:150;width:30;" fillcolor="#C8C8C8" filled="t" stroked="t" coordsize="30,150" path="m7,7l22,37,7,142,7,7e">
                <v:fill on="t" focussize="0,0"/>
                <v:stroke color="#000000" miterlimit="2" endcap="round"/>
                <v:imagedata o:title=""/>
                <o:lock v:ext="edit"/>
              </v:shape>
              <v:shape id="_x0000_s1697" o:spid="_x0000_s1697" style="position:absolute;left:464;top:569;height:270;width:120;" fillcolor="#FA9696" filled="t" stroked="t" coordsize="120,270" path="m112,7l112,142,7,262,112,7e">
                <v:fill on="t" focussize="0,0"/>
                <v:stroke color="#000000" miterlimit="2" endcap="round"/>
                <v:imagedata o:title=""/>
                <o:lock v:ext="edit"/>
              </v:shape>
              <v:shape id="_x0000_s1698" o:spid="_x0000_s1698" style="position:absolute;left:209;top:569;height:375;width:375;" fillcolor="#C8C8C8" filled="t" stroked="t" coordsize="375,375" path="m367,7l262,262,7,367,367,7e">
                <v:fill on="t" focussize="0,0"/>
                <v:stroke color="#000000" miterlimit="2" endcap="round"/>
                <v:imagedata o:title=""/>
                <o:lock v:ext="edit"/>
              </v:shape>
              <v:shape id="_x0000_s1699" o:spid="_x0000_s1699" style="position:absolute;left:209;top:569;height:375;width:375;" fillcolor="#FA9696" filled="t" stroked="t" coordsize="375,375" path="m367,7l7,367,127,112,367,7e">
                <v:fill on="t" focussize="0,0"/>
                <v:stroke color="#000000" miterlimit="2" endcap="round"/>
                <v:imagedata o:title=""/>
                <o:lock v:ext="edit"/>
              </v:shape>
              <v:shape id="_x0000_s1700" o:spid="_x0000_s1700" style="position:absolute;left:329;top:569;height:120;width:255;" fillcolor="#C8C8C8" filled="t" stroked="t" coordsize="255,120" path="m247,7l7,112,7,7,247,7e">
                <v:fill on="t" focussize="0,0"/>
                <v:stroke color="#000000" miterlimit="2" endcap="round"/>
                <v:imagedata o:title=""/>
                <o:lock v:ext="edit"/>
              </v:shape>
              <v:shape id="_x0000_s1701" o:spid="_x0000_s1701" style="position:absolute;left:314;top:479;height:105;width:270;" fillcolor="#FA9696" filled="t" stroked="t" coordsize="270,105" path="m262,97l22,97,7,7,262,97e">
                <v:fill on="t" focussize="0,0"/>
                <v:stroke color="#000000" miterlimit="2" endcap="round"/>
                <v:imagedata o:title=""/>
                <o:lock v:ext="edit"/>
              </v:shape>
              <v:shape id="_x0000_s1702" o:spid="_x0000_s1702" style="position:absolute;left:314;top:464;height:120;width:270;" fillcolor="#C8C8C8" filled="t" stroked="t" coordsize="270,120" path="m262,112l7,22,157,7,262,112e">
                <v:fill on="t" focussize="0,0"/>
                <v:stroke color="#000000" miterlimit="2" endcap="round"/>
                <v:imagedata o:title=""/>
                <o:lock v:ext="edit"/>
              </v:shape>
              <v:shape id="_x0000_s1703" o:spid="_x0000_s1703" style="position:absolute;left:464;top:374;height:210;width:120;" fillcolor="#FA9696" filled="t" stroked="t" coordsize="120,210" path="m112,202l7,97,22,7,112,202e">
                <v:fill on="t" focussize="0,0"/>
                <v:stroke color="#000000" miterlimit="2" endcap="round"/>
                <v:imagedata o:title=""/>
                <o:lock v:ext="edit"/>
              </v:shape>
              <v:shape id="_x0000_s1704" o:spid="_x0000_s1704" style="position:absolute;left:479;top:374;height:210;width:105;" fillcolor="#C8C8C8" filled="t" stroked="t" coordsize="105,210" path="m97,202l7,7,97,7,97,202e">
                <v:fill on="t" focussize="0,0"/>
                <v:stroke color="#000000" miterlimit="2" endcap="round"/>
                <v:imagedata o:title=""/>
                <o:lock v:ext="edit"/>
              </v:shape>
              <v:shape id="_x0000_s1705" o:spid="_x0000_s1705" style="position:absolute;left:0;top:0;height:1170;width:1155;" filled="f" stroked="t" coordsize="1155,1170" path="m577,7l577,1162m802,52l352,1117m982,172l172,997m1102,367l52,802m1147,577l7,577m1102,802l52,367m982,997l172,172m802,1117l352,52m847,577c847,734,723,862,569,862c416,862,292,734,292,577c292,420,416,292,569,292c723,292,847,420,847,577e">
                <v:fill on="f" focussize="0,0"/>
                <v:stroke color="#646464" miterlimit="2" endcap="round"/>
                <v:imagedata o:title=""/>
                <o:lock v:ext="edit"/>
              </v:shape>
            </v:group>
            <v:shape id="_x0000_s1706" o:spid="_x0000_s1706" o:spt="202" type="#_x0000_t202" style="position:absolute;left:1021;top:42;height:1163;width:317;" filled="f" stroked="f" coordsize="21600,21600">
              <v:path/>
              <v:fill on="f" focussize="0,0"/>
              <v:stroke on="f"/>
              <v:imagedata o:title=""/>
              <o:lock v:ext="edit" aspectratio="f"/>
              <v:textbox inset="0mm,0mm,0mm,0mm">
                <w:txbxContent>
                  <w:p w14:paraId="309D998B">
                    <w:pPr>
                      <w:spacing w:before="19" w:line="182" w:lineRule="auto"/>
                      <w:ind w:left="107"/>
                      <w:rPr>
                        <w:rFonts w:ascii="宋体" w:hAnsi="宋体" w:eastAsia="宋体" w:cs="宋体"/>
                        <w:sz w:val="18"/>
                        <w:szCs w:val="18"/>
                      </w:rPr>
                    </w:pPr>
                    <w:r>
                      <w:rPr>
                        <w:rFonts w:ascii="宋体" w:hAnsi="宋体" w:eastAsia="宋体" w:cs="宋体"/>
                        <w:sz w:val="18"/>
                        <w:szCs w:val="18"/>
                      </w:rPr>
                      <w:t>E</w:t>
                    </w:r>
                  </w:p>
                  <w:p w14:paraId="2494C1CE">
                    <w:pPr>
                      <w:spacing w:before="287" w:line="182" w:lineRule="auto"/>
                      <w:ind w:right="15"/>
                      <w:jc w:val="right"/>
                      <w:rPr>
                        <w:rFonts w:ascii="宋体" w:hAnsi="宋体" w:eastAsia="宋体" w:cs="宋体"/>
                        <w:sz w:val="18"/>
                        <w:szCs w:val="18"/>
                      </w:rPr>
                    </w:pPr>
                    <w:r>
                      <w:rPr>
                        <w:rFonts w:ascii="宋体" w:hAnsi="宋体" w:eastAsia="宋体" w:cs="宋体"/>
                        <w:sz w:val="18"/>
                        <w:szCs w:val="18"/>
                      </w:rPr>
                      <w:t>E</w:t>
                    </w:r>
                  </w:p>
                  <w:p w14:paraId="653D7214">
                    <w:pPr>
                      <w:pStyle w:val="2"/>
                      <w:spacing w:line="241" w:lineRule="auto"/>
                    </w:pPr>
                  </w:p>
                  <w:p w14:paraId="424B834B">
                    <w:pPr>
                      <w:spacing w:before="59"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v:shape id="_x0000_s1707" o:spid="_x0000_s1707" o:spt="202" type="#_x0000_t202" style="position:absolute;left:85;top:42;height:217;width:128;" filled="f" stroked="f" coordsize="21600,21600">
              <v:path/>
              <v:fill on="f" focussize="0,0"/>
              <v:stroke on="f"/>
              <v:imagedata o:title=""/>
              <o:lock v:ext="edit" aspectratio="f"/>
              <v:textbox inset="0mm,0mm,0mm,0mm">
                <w:txbxContent>
                  <w:p w14:paraId="3920D166">
                    <w:pPr>
                      <w:spacing w:before="19" w:line="182" w:lineRule="auto"/>
                      <w:ind w:left="20"/>
                      <w:rPr>
                        <w:rFonts w:ascii="宋体" w:hAnsi="宋体" w:eastAsia="宋体" w:cs="宋体"/>
                        <w:sz w:val="18"/>
                        <w:szCs w:val="18"/>
                      </w:rPr>
                    </w:pPr>
                    <w:r>
                      <w:rPr>
                        <w:rFonts w:ascii="宋体" w:hAnsi="宋体" w:eastAsia="宋体" w:cs="宋体"/>
                        <w:sz w:val="18"/>
                        <w:szCs w:val="18"/>
                      </w:rPr>
                      <w:t>N</w:t>
                    </w:r>
                  </w:p>
                </w:txbxContent>
              </v:textbox>
            </v:shape>
            <v:shape id="_x0000_s1708" o:spid="_x0000_s1708" o:spt="202" type="#_x0000_t202" style="position:absolute;left:-20;top:507;height:217;width:128;" filled="f" stroked="f" coordsize="21600,21600">
              <v:path/>
              <v:fill on="f" focussize="0,0"/>
              <v:stroke on="f"/>
              <v:imagedata o:title=""/>
              <o:lock v:ext="edit" aspectratio="f"/>
              <v:textbox inset="0mm,0mm,0mm,0mm">
                <w:txbxContent>
                  <w:p w14:paraId="6332F379">
                    <w:pPr>
                      <w:spacing w:before="19" w:line="182" w:lineRule="auto"/>
                      <w:ind w:left="20"/>
                      <w:rPr>
                        <w:rFonts w:ascii="宋体" w:hAnsi="宋体" w:eastAsia="宋体" w:cs="宋体"/>
                        <w:sz w:val="18"/>
                        <w:szCs w:val="18"/>
                      </w:rPr>
                    </w:pPr>
                    <w:r>
                      <w:rPr>
                        <w:rFonts w:ascii="宋体" w:hAnsi="宋体" w:eastAsia="宋体" w:cs="宋体"/>
                        <w:sz w:val="18"/>
                        <w:szCs w:val="18"/>
                      </w:rPr>
                      <w:t>W</w:t>
                    </w:r>
                  </w:p>
                </w:txbxContent>
              </v:textbox>
            </v:shape>
            <v:shape id="_x0000_s1709" o:spid="_x0000_s1709" o:spt="202" type="#_x0000_t202" style="position:absolute;left:91;top:986;height:218;width:123;" filled="f" stroked="f" coordsize="21600,21600">
              <v:path/>
              <v:fill on="f" focussize="0,0"/>
              <v:stroke on="f"/>
              <v:imagedata o:title=""/>
              <o:lock v:ext="edit" aspectratio="f"/>
              <v:textbox inset="0mm,0mm,0mm,0mm">
                <w:txbxContent>
                  <w:p w14:paraId="3F6C6F12">
                    <w:pPr>
                      <w:spacing w:before="20" w:line="183" w:lineRule="auto"/>
                      <w:ind w:left="20"/>
                      <w:rPr>
                        <w:rFonts w:ascii="宋体" w:hAnsi="宋体" w:eastAsia="宋体" w:cs="宋体"/>
                        <w:sz w:val="18"/>
                        <w:szCs w:val="18"/>
                      </w:rPr>
                    </w:pPr>
                    <w:r>
                      <w:rPr>
                        <w:rFonts w:ascii="宋体" w:hAnsi="宋体" w:eastAsia="宋体" w:cs="宋体"/>
                        <w:sz w:val="18"/>
                        <w:szCs w:val="18"/>
                      </w:rPr>
                      <w:t>S</w:t>
                    </w:r>
                  </w:p>
                </w:txbxContent>
              </v:textbox>
            </v:shape>
          </v:group>
        </w:pict>
      </w:r>
    </w:p>
    <w:p w14:paraId="0EEA8DE3">
      <w:pPr>
        <w:pStyle w:val="2"/>
        <w:spacing w:line="241" w:lineRule="auto"/>
      </w:pPr>
      <w:r>
        <w:pict>
          <v:shape id="_x0000_s1710" o:spid="_x0000_s1710" o:spt="202" type="#_x0000_t202" style="position:absolute;left:0pt;margin-left:95pt;margin-top:0.15pt;height:10.9pt;width:10.95pt;z-index:252016640;mso-width-relative:page;mso-height-relative:page;" filled="f" stroked="f" coordsize="21600,21600">
            <v:path/>
            <v:fill on="f" focussize="0,0"/>
            <v:stroke on="f"/>
            <v:imagedata o:title=""/>
            <o:lock v:ext="edit" aspectratio="f"/>
            <v:textbox inset="0mm,0mm,0mm,0mm">
              <w:txbxContent>
                <w:p w14:paraId="54C133CA">
                  <w:pPr>
                    <w:spacing w:before="19" w:line="182" w:lineRule="auto"/>
                    <w:ind w:left="20"/>
                    <w:rPr>
                      <w:rFonts w:ascii="宋体" w:hAnsi="宋体" w:eastAsia="宋体" w:cs="宋体"/>
                      <w:sz w:val="18"/>
                      <w:szCs w:val="18"/>
                    </w:rPr>
                  </w:pPr>
                  <w:r>
                    <w:rPr>
                      <w:rFonts w:ascii="宋体" w:hAnsi="宋体" w:eastAsia="宋体" w:cs="宋体"/>
                      <w:spacing w:val="-1"/>
                      <w:sz w:val="18"/>
                      <w:szCs w:val="18"/>
                    </w:rPr>
                    <w:t>NE</w:t>
                  </w:r>
                </w:p>
              </w:txbxContent>
            </v:textbox>
          </v:shape>
        </w:pict>
      </w:r>
      <w:r>
        <w:pict>
          <v:shape id="_x0000_s1711" o:spid="_x0000_s1711" style="position:absolute;left:0pt;margin-left:50.9pt;margin-top:0.65pt;height:54pt;width:53.25pt;z-index:252027904;mso-width-relative:page;mso-height-relative:page;" filled="f" stroked="t" coordsize="1065,1080" path="m1057,757l7,322m937,952l127,127m757,1072l307,7m802,532c802,689,678,817,524,817c371,817,247,689,247,532c247,375,371,247,524,247c678,247,802,375,802,532e">
            <v:fill on="f" focussize="0,0"/>
            <v:stroke color="#646464" miterlimit="2" endcap="round"/>
            <v:imagedata o:title=""/>
            <o:lock v:ext="edit"/>
          </v:shape>
        </w:pict>
      </w:r>
      <w:r>
        <w:pict>
          <v:shape id="_x0000_s1712" o:spid="_x0000_s1712" style="position:absolute;left:0pt;margin-left:50.9pt;margin-top:0.65pt;height:54pt;width:53.25pt;z-index:252026880;mso-width-relative:page;mso-height-relative:page;" filled="f" stroked="t" coordsize="1065,1080" path="m757,7l307,1072m937,127l127,952m1057,322l7,757e">
            <v:fill on="f" focussize="0,0"/>
            <v:stroke color="#646464" miterlimit="2" endcap="round"/>
            <v:imagedata o:title=""/>
            <o:lock v:ext="edit"/>
          </v:shape>
        </w:pict>
      </w:r>
      <w:r>
        <w:pict>
          <v:shape id="_x0000_s1713" o:spid="_x0000_s1713" o:spt="202" type="#_x0000_t202" style="position:absolute;left:0pt;margin-left:194pt;margin-top:0.15pt;height:10.9pt;width:10.95pt;z-index:251920384;mso-width-relative:page;mso-height-relative:page;" filled="f" stroked="f" coordsize="21600,21600">
            <v:path/>
            <v:fill on="f" focussize="0,0"/>
            <v:stroke on="f"/>
            <v:imagedata o:title=""/>
            <o:lock v:ext="edit" aspectratio="f"/>
            <v:textbox inset="0mm,0mm,0mm,0mm">
              <w:txbxContent>
                <w:p w14:paraId="772379AD">
                  <w:pPr>
                    <w:spacing w:before="19" w:line="182" w:lineRule="auto"/>
                    <w:ind w:left="20"/>
                    <w:rPr>
                      <w:rFonts w:ascii="宋体" w:hAnsi="宋体" w:eastAsia="宋体" w:cs="宋体"/>
                      <w:sz w:val="18"/>
                      <w:szCs w:val="18"/>
                    </w:rPr>
                  </w:pPr>
                  <w:r>
                    <w:rPr>
                      <w:rFonts w:ascii="宋体" w:hAnsi="宋体" w:eastAsia="宋体" w:cs="宋体"/>
                      <w:spacing w:val="-1"/>
                      <w:sz w:val="18"/>
                      <w:szCs w:val="18"/>
                    </w:rPr>
                    <w:t>NE</w:t>
                  </w:r>
                </w:p>
              </w:txbxContent>
            </v:textbox>
          </v:shape>
        </w:pict>
      </w:r>
      <w:r>
        <w:pict>
          <v:shape id="_x0000_s1714" o:spid="_x0000_s1714" o:spt="202" type="#_x0000_t202" style="position:absolute;left:0pt;margin-left:147.5pt;margin-top:0.15pt;height:10.9pt;width:10.95pt;z-index:251907072;mso-width-relative:page;mso-height-relative:page;" filled="f" stroked="f" coordsize="21600,21600">
            <v:path/>
            <v:fill on="f" focussize="0,0"/>
            <v:stroke on="f"/>
            <v:imagedata o:title=""/>
            <o:lock v:ext="edit" aspectratio="f"/>
            <v:textbox inset="0mm,0mm,0mm,0mm">
              <w:txbxContent>
                <w:p w14:paraId="6644A0A7">
                  <w:pPr>
                    <w:spacing w:before="19" w:line="182" w:lineRule="auto"/>
                    <w:ind w:left="20"/>
                    <w:rPr>
                      <w:rFonts w:ascii="宋体" w:hAnsi="宋体" w:eastAsia="宋体" w:cs="宋体"/>
                      <w:sz w:val="18"/>
                      <w:szCs w:val="18"/>
                    </w:rPr>
                  </w:pPr>
                  <w:r>
                    <w:rPr>
                      <w:rFonts w:ascii="宋体" w:hAnsi="宋体" w:eastAsia="宋体" w:cs="宋体"/>
                      <w:spacing w:val="-1"/>
                      <w:sz w:val="18"/>
                      <w:szCs w:val="18"/>
                    </w:rPr>
                    <w:t>NW</w:t>
                  </w:r>
                </w:p>
              </w:txbxContent>
            </v:textbox>
          </v:shape>
        </w:pict>
      </w:r>
    </w:p>
    <w:p w14:paraId="5363E6A2">
      <w:pPr>
        <w:pStyle w:val="2"/>
        <w:spacing w:line="241" w:lineRule="auto"/>
      </w:pPr>
      <w:r>
        <w:pict>
          <v:group id="_x0000_s1715" o:spid="_x0000_s1715" o:spt="203" style="position:absolute;left:0pt;margin-left:72.3pt;margin-top:4.65pt;height:10.5pt;width:13.5pt;z-index:252019712;mso-width-relative:page;mso-height-relative:page;" coordsize="270,210">
            <o:lock v:ext="edit"/>
            <v:shape id="_x0000_s1716" o:spid="_x0000_s1716" style="position:absolute;left:90;top:0;height:210;width:90;" fillcolor="#FA9696" filled="t" stroked="t" coordsize="90,210" path="m7,202l7,52,82,7,7,202e">
              <v:fill on="t" focussize="0,0"/>
              <v:stroke color="#000000" miterlimit="2" endcap="round"/>
              <v:imagedata o:title=""/>
              <o:lock v:ext="edit"/>
            </v:shape>
            <v:shape id="_x0000_s1717" o:spid="_x0000_s1717" style="position:absolute;left:90;top:134;height:75;width:165;" filled="f" stroked="t" coordsize="165,75" path="m7,67l157,7e">
              <v:fill on="f" focussize="0,0"/>
              <v:stroke color="#000000" miterlimit="2" endcap="round"/>
              <v:imagedata o:title=""/>
              <o:lock v:ext="edit"/>
            </v:shape>
            <v:shape id="_x0000_s1718" o:spid="_x0000_s1718" style="position:absolute;left:90;top:134;height:75;width:180;" fillcolor="#C8C8C8" filled="t" stroked="f" coordsize="180,75" path="m7,67,7,67l157,7,172,67,7,67e">
              <v:path/>
              <v:fill on="t" focussize="0,0"/>
              <v:stroke on="f"/>
              <v:imagedata o:title=""/>
              <o:lock v:ext="edit"/>
            </v:shape>
            <v:shape id="_x0000_s1719" o:spid="_x0000_s1719" style="position:absolute;left:0;top:104;height:105;width:105;" filled="f" stroked="t" coordsize="105,105" path="m7,7l97,97e">
              <v:fill on="f" focussize="0,0"/>
              <v:stroke color="#000000" miterlimit="2" endcap="round"/>
              <v:imagedata o:title=""/>
              <o:lock v:ext="edit"/>
            </v:shape>
            <v:shape id="_x0000_s1720" o:spid="_x0000_s1720" style="position:absolute;left:0;top:15;height:195;width:105;" fillcolor="#FA9696" filled="t" stroked="t" coordsize="105,195" path="m97,187l7,97,22,7,97,187e">
              <v:fill on="t" focussize="0,0"/>
              <v:stroke color="#000000" miterlimit="2" endcap="round"/>
              <v:imagedata o:title=""/>
              <o:lock v:ext="edit"/>
            </v:shape>
            <v:shape id="_x0000_s1721" o:spid="_x0000_s1721" style="position:absolute;left:15;top:15;height:195;width:90;" fillcolor="#C8C8C8" filled="t" stroked="t" coordsize="90,195" path="m82,187l7,7,82,37,82,187e">
              <v:fill on="t" focussize="0,0"/>
              <v:stroke color="#000000" miterlimit="2" endcap="round"/>
              <v:imagedata o:title=""/>
              <o:lock v:ext="edit"/>
            </v:shape>
          </v:group>
        </w:pict>
      </w:r>
      <w:r>
        <w:pict>
          <v:shape id="_x0000_s1722" o:spid="_x0000_s1722" o:spt="202" type="#_x0000_t202" style="position:absolute;left:0pt;margin-left:43.25pt;margin-top:8.9pt;height:12.5pt;width:35.3pt;z-index:252021760;mso-width-relative:page;mso-height-relative:page;" filled="f" stroked="f" coordsize="21600,21600">
            <v:path/>
            <v:fill on="f" focussize="0,0"/>
            <v:stroke on="f"/>
            <v:imagedata o:title=""/>
            <o:lock v:ext="edit" aspectratio="f"/>
            <v:textbox inset="0mm,0mm,0mm,0mm">
              <w:txbxContent>
                <w:p w14:paraId="53B6CF0B">
                  <w:pPr>
                    <w:spacing w:before="20" w:line="215" w:lineRule="auto"/>
                    <w:ind w:left="20"/>
                    <w:rPr>
                      <w:sz w:val="18"/>
                      <w:szCs w:val="18"/>
                    </w:rPr>
                  </w:pPr>
                  <w:r>
                    <w:rPr>
                      <w:rFonts w:ascii="宋体" w:hAnsi="宋体" w:eastAsia="宋体" w:cs="宋体"/>
                      <w:spacing w:val="-2"/>
                      <w:sz w:val="18"/>
                      <w:szCs w:val="18"/>
                    </w:rPr>
                    <w:t>W</w:t>
                  </w:r>
                  <w:r>
                    <w:rPr>
                      <w:rFonts w:ascii="宋体" w:hAnsi="宋体" w:eastAsia="宋体" w:cs="宋体"/>
                      <w:spacing w:val="22"/>
                      <w:sz w:val="18"/>
                      <w:szCs w:val="18"/>
                    </w:rPr>
                    <w:t xml:space="preserve">   </w:t>
                  </w:r>
                  <w:r>
                    <w:rPr>
                      <w:position w:val="-3"/>
                      <w:sz w:val="18"/>
                      <w:szCs w:val="18"/>
                    </w:rPr>
                    <w:drawing>
                      <wp:inline distT="0" distB="0" distL="0" distR="0">
                        <wp:extent cx="151765" cy="132715"/>
                        <wp:effectExtent l="0" t="0" r="0" b="0"/>
                        <wp:docPr id="98" name="IM 98"/>
                        <wp:cNvGraphicFramePr/>
                        <a:graphic xmlns:a="http://schemas.openxmlformats.org/drawingml/2006/main">
                          <a:graphicData uri="http://schemas.openxmlformats.org/drawingml/2006/picture">
                            <pic:pic xmlns:pic="http://schemas.openxmlformats.org/drawingml/2006/picture">
                              <pic:nvPicPr>
                                <pic:cNvPr id="98" name="IM 98"/>
                                <pic:cNvPicPr/>
                              </pic:nvPicPr>
                              <pic:blipFill>
                                <a:blip r:embed="rId629"/>
                                <a:stretch>
                                  <a:fillRect/>
                                </a:stretch>
                              </pic:blipFill>
                              <pic:spPr>
                                <a:xfrm>
                                  <a:off x="0" y="0"/>
                                  <a:ext cx="152387" cy="133324"/>
                                </a:xfrm>
                                <a:prstGeom prst="rect">
                                  <a:avLst/>
                                </a:prstGeom>
                              </pic:spPr>
                            </pic:pic>
                          </a:graphicData>
                        </a:graphic>
                      </wp:inline>
                    </w:drawing>
                  </w:r>
                </w:p>
              </w:txbxContent>
            </v:textbox>
          </v:shape>
        </w:pict>
      </w:r>
      <w:r>
        <w:pict>
          <v:shape id="_x0000_s1723" o:spid="_x0000_s1723" style="position:absolute;left:0pt;margin-left:68.15pt;margin-top:10.25pt;height:1.5pt;width:5.25pt;z-index:252025856;mso-width-relative:page;mso-height-relative:page;" filled="f" stroked="t" coordsize="105,30" path="m7,22l97,7e">
            <v:fill on="f" focussize="0,0"/>
            <v:stroke color="#000000" miterlimit="2" endcap="round"/>
            <v:imagedata o:title=""/>
            <o:lock v:ext="edit"/>
          </v:shape>
        </w:pict>
      </w:r>
      <w:r>
        <w:pict>
          <v:group id="_x0000_s1724" o:spid="_x0000_s1724" o:spt="203" style="position:absolute;left:0pt;margin-left:76.8pt;margin-top:3.15pt;height:14.25pt;width:12.75pt;z-index:252020736;mso-width-relative:page;mso-height-relative:page;" coordsize="255,285">
            <o:lock v:ext="edit"/>
            <v:shape id="_x0000_s1725" o:spid="_x0000_s1725" style="position:absolute;left:0;top:0;height:240;width:255;" fillcolor="#C8C8C8" filled="t" stroked="t" coordsize="255,240" path="m7,232l82,37,247,7,7,232e">
              <v:fill on="t" focussize="0,0"/>
              <v:stroke color="#000000" miterlimit="2" endcap="round"/>
              <v:imagedata o:title=""/>
              <o:lock v:ext="edit"/>
            </v:shape>
            <v:shape id="_x0000_s1726" o:spid="_x0000_s1726" style="position:absolute;left:0;top:0;height:240;width:255;" fillcolor="#FA9696" filled="t" stroked="t" coordsize="255,240" path="m7,232l247,7,157,172,7,232e">
              <v:fill on="t" focussize="0,0"/>
              <v:stroke color="#000000" miterlimit="2" endcap="round"/>
              <v:imagedata o:title=""/>
              <o:lock v:ext="edit"/>
            </v:shape>
            <v:shape id="_x0000_s1727" o:spid="_x0000_s1727" style="position:absolute;left:89;top:164;height:120;width:90;" filled="f" stroked="t" coordsize="90,120" path="m67,7l82,67m82,67l7,112e">
              <v:fill on="f" focussize="0,0"/>
              <v:stroke color="#000000" miterlimit="2" endcap="round"/>
              <v:imagedata o:title=""/>
              <o:lock v:ext="edit"/>
            </v:shape>
          </v:group>
        </w:pict>
      </w:r>
      <w:r>
        <w:pict>
          <v:shape id="_x0000_s1728" o:spid="_x0000_s1728" o:spt="202" type="#_x0000_t202" style="position:absolute;left:0pt;margin-left:203.9pt;margin-top:11.25pt;height:10.9pt;width:6.3pt;z-index:252012544;mso-width-relative:page;mso-height-relative:page;" filled="f" stroked="f" coordsize="21600,21600">
            <v:path/>
            <v:fill on="f" focussize="0,0"/>
            <v:stroke on="f"/>
            <v:imagedata o:title=""/>
            <o:lock v:ext="edit" aspectratio="f"/>
            <v:textbox inset="0mm,0mm,0mm,0mm">
              <w:txbxContent>
                <w:p w14:paraId="7F8B9AED">
                  <w:pPr>
                    <w:spacing w:before="19" w:line="182" w:lineRule="auto"/>
                    <w:ind w:left="20"/>
                    <w:rPr>
                      <w:rFonts w:ascii="宋体" w:hAnsi="宋体" w:eastAsia="宋体" w:cs="宋体"/>
                      <w:sz w:val="18"/>
                      <w:szCs w:val="18"/>
                    </w:rPr>
                  </w:pPr>
                  <w:r>
                    <w:rPr>
                      <w:rFonts w:ascii="宋体" w:hAnsi="宋体" w:eastAsia="宋体" w:cs="宋体"/>
                      <w:sz w:val="18"/>
                      <w:szCs w:val="18"/>
                    </w:rPr>
                    <w:t>E</w:t>
                  </w:r>
                </w:p>
              </w:txbxContent>
            </v:textbox>
          </v:shape>
        </w:pict>
      </w:r>
      <w:r>
        <w:pict>
          <v:group id="_x0000_s1729" o:spid="_x0000_s1729" o:spt="203" style="position:absolute;left:0pt;margin-left:175.8pt;margin-top:2.4pt;height:15.75pt;width:12.75pt;z-index:251911168;mso-width-relative:page;mso-height-relative:page;" coordsize="255,315">
            <o:lock v:ext="edit"/>
            <v:shape id="_x0000_s1730" o:spid="_x0000_s1730" style="position:absolute;left:0;top:0;height:255;width:255;" fillcolor="#C8C8C8" filled="t" stroked="t" coordsize="255,255" path="m7,247l67,97,247,7,7,247e">
              <v:fill on="t" focussize="0,0"/>
              <v:stroke color="#000000" miterlimit="2" endcap="round"/>
              <v:imagedata o:title=""/>
              <o:lock v:ext="edit"/>
            </v:shape>
            <v:shape id="_x0000_s1731" o:spid="_x0000_s1731" style="position:absolute;left:0;top:0;height:255;width:255;" fillcolor="#FA9696" filled="t" stroked="t" coordsize="255,255" path="m7,247l247,7,142,202,7,247e">
              <v:fill on="t" focussize="0,0"/>
              <v:stroke color="#000000" miterlimit="2" endcap="round"/>
              <v:imagedata o:title=""/>
              <o:lock v:ext="edit"/>
            </v:shape>
            <v:shape id="_x0000_s1732" o:spid="_x0000_s1732" style="position:absolute;left:0;top:194;height:60;width:165;" fillcolor="#C8C8C8" filled="t" stroked="f" coordsize="165,60" path="m7,52,7,52l142,7,157,52,7,52e">
              <v:path/>
              <v:fill on="t" focussize="0,0"/>
              <v:stroke on="f"/>
              <v:imagedata o:title=""/>
              <o:lock v:ext="edit"/>
            </v:shape>
            <v:shape id="_x0000_s1733" o:spid="_x0000_s1733" style="position:absolute;left:0;top:194;height:120;width:165;" filled="f" stroked="t" coordsize="165,120" path="m142,7l157,52,7,52m7,52l157,52,112,112e">
              <v:fill on="f" focussize="0,0"/>
              <v:stroke color="#000000" miterlimit="2" endcap="round"/>
              <v:imagedata o:title=""/>
              <o:lock v:ext="edit"/>
            </v:shape>
            <v:shape id="_x0000_s1734" o:spid="_x0000_s1734" style="position:absolute;left:0;top:239;height:75;width:165;" fillcolor="#FA9696" filled="t" stroked="f" coordsize="165,75" path="m7,7,7,7l157,7,112,67,7,7e">
              <v:path/>
              <v:fill on="t" focussize="0,0"/>
              <v:stroke on="f"/>
              <v:imagedata o:title=""/>
              <o:lock v:ext="edit"/>
            </v:shape>
            <v:shape id="_x0000_s1735" o:spid="_x0000_s1735" style="position:absolute;left:45;top:299;height:15;width:75;" filled="f" stroked="t" coordsize="75,15" path="m67,7l7,7e">
              <v:fill on="f" focussize="0,0"/>
              <v:stroke color="#000000" miterlimit="2" endcap="round"/>
              <v:imagedata o:title=""/>
              <o:lock v:ext="edit"/>
            </v:shape>
          </v:group>
        </w:pict>
      </w:r>
    </w:p>
    <w:p w14:paraId="5AA836DA">
      <w:pPr>
        <w:pStyle w:val="2"/>
        <w:spacing w:line="241" w:lineRule="auto"/>
      </w:pPr>
      <w:r>
        <w:pict>
          <v:group id="_x0000_s1736" o:spid="_x0000_s1736" o:spt="203" style="position:absolute;left:0pt;margin-left:61.8pt;margin-top:2.25pt;height:16.5pt;width:15.75pt;z-index:252024832;mso-width-relative:page;mso-height-relative:page;" coordsize="315,330">
            <o:lock v:ext="edit"/>
            <v:shape id="_x0000_s1737" o:spid="_x0000_s1737" style="position:absolute;left:0;top:0;height:330;width:315;" fillcolor="#C8C8C8" filled="t" stroked="f" coordsize="315,330" path="m307,7,307,7l172,322,7,322,307,7e">
              <v:path/>
              <v:fill on="t" focussize="0,0"/>
              <v:stroke on="f"/>
              <v:imagedata o:title=""/>
              <o:lock v:ext="edit"/>
            </v:shape>
            <v:shape id="_x0000_s1738" o:spid="_x0000_s1738" style="position:absolute;left:0;top:0;height:330;width:315;" filled="f" stroked="t" coordsize="315,330" path="m7,322l307,7e">
              <v:fill on="f" focussize="0,0"/>
              <v:stroke color="#000000" miterlimit="2" endcap="round"/>
              <v:imagedata o:title=""/>
              <o:lock v:ext="edit"/>
            </v:shape>
            <v:shape id="_x0000_s1739" o:spid="_x0000_s1739" style="position:absolute;left:0;top:0;height:330;width:315;" fillcolor="#FA9696" filled="t" stroked="t" coordsize="315,330" path="m307,7l7,322,82,112,307,7e">
              <v:fill on="t" focussize="0,0"/>
              <v:stroke color="#000000" miterlimit="2" endcap="round"/>
              <v:imagedata o:title=""/>
              <o:lock v:ext="edit"/>
            </v:shape>
          </v:group>
        </w:pict>
      </w:r>
      <w:r>
        <w:pict>
          <v:group id="_x0000_s1740" o:spid="_x0000_s1740" o:spt="203" style="position:absolute;left:0pt;margin-left:70.05pt;margin-top:2.25pt;height:16.5pt;width:7.5pt;z-index:252023808;mso-width-relative:page;mso-height-relative:page;" coordsize="150,330">
            <o:lock v:ext="edit"/>
            <v:shape id="_x0000_s1741" o:spid="_x0000_s1741" style="position:absolute;left:0;top:0;height:330;width:150;" fillcolor="#FA9696" filled="t" stroked="f" coordsize="150,330" path="m142,7,142,7l142,127,7,322,142,7e">
              <v:path/>
              <v:fill on="t" focussize="0,0"/>
              <v:stroke on="f"/>
              <v:imagedata o:title=""/>
              <o:lock v:ext="edit"/>
            </v:shape>
            <v:shape id="_x0000_s1742" o:spid="_x0000_s1742" style="position:absolute;left:0;top:0;height:330;width:150;" filled="f" stroked="t" coordsize="150,330" path="m142,127l7,322,142,7m142,7l7,322e">
              <v:fill on="f" focussize="0,0"/>
              <v:stroke color="#000000" miterlimit="2" endcap="round"/>
              <v:imagedata o:title=""/>
              <o:lock v:ext="edit"/>
            </v:shape>
          </v:group>
        </w:pict>
      </w:r>
      <w:r>
        <w:pict>
          <v:shape id="_x0000_s1743" o:spid="_x0000_s1743" o:spt="202" type="#_x0000_t202" style="position:absolute;left:0pt;margin-left:60.8pt;margin-top:7.55pt;height:14.1pt;width:11pt;z-index:252018688;mso-width-relative:page;mso-height-relative:page;" filled="f" stroked="f" coordsize="21600,21600">
            <v:path/>
            <v:fill on="f" focussize="0,0"/>
            <v:stroke on="f"/>
            <v:imagedata o:title=""/>
            <o:lock v:ext="edit" aspectratio="f"/>
            <v:textbox inset="0mm,0mm,0mm,0mm">
              <w:txbxContent>
                <w:p w14:paraId="62244411">
                  <w:pPr>
                    <w:pStyle w:val="2"/>
                    <w:tabs>
                      <w:tab w:val="left" w:pos="198"/>
                    </w:tabs>
                    <w:spacing w:before="19"/>
                    <w:ind w:left="20"/>
                  </w:pPr>
                  <w:r>
                    <w:rPr>
                      <w:u w:val="single" w:color="auto"/>
                    </w:rPr>
                    <w:tab/>
                  </w:r>
                </w:p>
              </w:txbxContent>
            </v:textbox>
          </v:shape>
        </w:pict>
      </w:r>
    </w:p>
    <w:p w14:paraId="418696B2">
      <w:pPr>
        <w:pStyle w:val="2"/>
        <w:spacing w:line="241" w:lineRule="auto"/>
      </w:pPr>
      <w:r>
        <w:pict>
          <v:shape id="_x0000_s1744" o:spid="_x0000_s1744" o:spt="202" type="#_x0000_t202" style="position:absolute;left:0pt;margin-left:95.3pt;margin-top:10.95pt;height:10.95pt;width:10.65pt;z-index:252000256;mso-width-relative:page;mso-height-relative:page;" filled="f" stroked="f" coordsize="21600,21600">
            <v:path/>
            <v:fill on="f" focussize="0,0"/>
            <v:stroke on="f"/>
            <v:imagedata o:title=""/>
            <o:lock v:ext="edit" aspectratio="f"/>
            <v:textbox inset="0mm,0mm,0mm,0mm">
              <w:txbxContent>
                <w:p w14:paraId="79BD89FC">
                  <w:pPr>
                    <w:spacing w:before="20"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w:pict>
      </w:r>
      <w:r>
        <w:pict>
          <v:shape id="_x0000_s1745" o:spid="_x0000_s1745" o:spt="202" type="#_x0000_t202" style="position:absolute;left:0pt;margin-left:194.3pt;margin-top:10.95pt;height:10.95pt;width:10.65pt;z-index:251921408;mso-width-relative:page;mso-height-relative:page;" filled="f" stroked="f" coordsize="21600,21600">
            <v:path/>
            <v:fill on="f" focussize="0,0"/>
            <v:stroke on="f"/>
            <v:imagedata o:title=""/>
            <o:lock v:ext="edit" aspectratio="f"/>
            <v:textbox inset="0mm,0mm,0mm,0mm">
              <w:txbxContent>
                <w:p w14:paraId="354DE35A">
                  <w:pPr>
                    <w:spacing w:before="20" w:line="183" w:lineRule="auto"/>
                    <w:ind w:left="20"/>
                    <w:rPr>
                      <w:rFonts w:ascii="宋体" w:hAnsi="宋体" w:eastAsia="宋体" w:cs="宋体"/>
                      <w:sz w:val="18"/>
                      <w:szCs w:val="18"/>
                    </w:rPr>
                  </w:pPr>
                  <w:r>
                    <w:rPr>
                      <w:rFonts w:ascii="宋体" w:hAnsi="宋体" w:eastAsia="宋体" w:cs="宋体"/>
                      <w:spacing w:val="-4"/>
                      <w:sz w:val="18"/>
                      <w:szCs w:val="18"/>
                    </w:rPr>
                    <w:t>SE</w:t>
                  </w:r>
                </w:p>
              </w:txbxContent>
            </v:textbox>
          </v:shape>
        </w:pict>
      </w:r>
    </w:p>
    <w:p w14:paraId="66646022">
      <w:pPr>
        <w:pStyle w:val="2"/>
        <w:spacing w:line="241" w:lineRule="auto"/>
      </w:pPr>
    </w:p>
    <w:p w14:paraId="264F1273">
      <w:pPr>
        <w:pStyle w:val="2"/>
        <w:spacing w:line="241" w:lineRule="auto"/>
      </w:pPr>
    </w:p>
    <w:p w14:paraId="6A979C90">
      <w:pPr>
        <w:pStyle w:val="2"/>
        <w:spacing w:line="241" w:lineRule="auto"/>
      </w:pPr>
    </w:p>
    <w:p w14:paraId="13C74568">
      <w:pPr>
        <w:pStyle w:val="2"/>
        <w:spacing w:line="241" w:lineRule="auto"/>
      </w:pPr>
    </w:p>
    <w:p w14:paraId="5B010E99">
      <w:pPr>
        <w:pStyle w:val="2"/>
        <w:spacing w:line="241" w:lineRule="auto"/>
      </w:pPr>
      <w:r>
        <w:pict>
          <v:shape id="_x0000_s1746" o:spid="_x0000_s1746" style="position:absolute;left:0pt;margin-left:48.65pt;margin-top:12.4pt;height:57.75pt;width:57pt;z-index:252038144;mso-width-relative:page;mso-height-relative:page;" fillcolor="#00FF00" filled="t" stroked="t" coordsize="1140,1155" path="m1132,577c1132,892,880,1147,569,1147c259,1147,7,892,7,577c7,262,259,7,569,7c880,7,1132,262,1132,577e">
            <v:fill on="t" focussize="0,0"/>
            <v:stroke color="#646464" miterlimit="2" endcap="round"/>
            <v:imagedata o:title=""/>
            <o:lock v:ext="edit"/>
          </v:shape>
        </w:pict>
      </w:r>
      <w:r>
        <w:pict>
          <v:shape id="_x0000_s1747" o:spid="_x0000_s1747" o:spt="202" type="#_x0000_t202" style="position:absolute;left:0pt;margin-left:47.3pt;margin-top:11pt;height:60.5pt;width:59.75pt;z-index:252041216;mso-width-relative:page;mso-height-relative:page;" filled="f" stroked="f" coordsize="21600,21600">
            <v:path/>
            <v:fill on="f" focussize="0,0"/>
            <v:stroke on="f"/>
            <v:imagedata o:title=""/>
            <o:lock v:ext="edit" aspectratio="f"/>
            <v:textbox inset="0mm,0mm,0mm,0mm">
              <w:txbxContent>
                <w:p w14:paraId="1BD42CCE">
                  <w:pPr>
                    <w:spacing w:line="20" w:lineRule="exact"/>
                  </w:pPr>
                </w:p>
                <w:tbl>
                  <w:tblPr>
                    <w:tblStyle w:val="5"/>
                    <w:tblW w:w="1154" w:type="dxa"/>
                    <w:tblInd w:w="2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577"/>
                    <w:gridCol w:w="577"/>
                  </w:tblGrid>
                  <w:tr w14:paraId="4EA1630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77" w:type="dxa"/>
                        <w:tcBorders>
                          <w:bottom w:val="single" w:color="646464" w:sz="6" w:space="0"/>
                          <w:right w:val="single" w:color="646464" w:sz="6" w:space="0"/>
                        </w:tcBorders>
                        <w:vAlign w:val="top"/>
                      </w:tcPr>
                      <w:p w14:paraId="0BC62EDD">
                        <w:pPr>
                          <w:rPr>
                            <w:rFonts w:ascii="Arial"/>
                            <w:sz w:val="21"/>
                          </w:rPr>
                        </w:pPr>
                      </w:p>
                    </w:tc>
                    <w:tc>
                      <w:tcPr>
                        <w:tcW w:w="577" w:type="dxa"/>
                        <w:tcBorders>
                          <w:left w:val="single" w:color="646464" w:sz="6" w:space="0"/>
                          <w:bottom w:val="single" w:color="646464" w:sz="6" w:space="0"/>
                        </w:tcBorders>
                        <w:vAlign w:val="top"/>
                      </w:tcPr>
                      <w:p w14:paraId="7D28D599">
                        <w:pPr>
                          <w:spacing w:line="447" w:lineRule="auto"/>
                          <w:rPr>
                            <w:rFonts w:ascii="Arial"/>
                            <w:sz w:val="21"/>
                          </w:rPr>
                        </w:pPr>
                      </w:p>
                      <w:p w14:paraId="54DF5E09">
                        <w:pPr>
                          <w:spacing w:line="117" w:lineRule="exact"/>
                        </w:pPr>
                        <w:r>
                          <w:rPr>
                            <w:position w:val="-2"/>
                          </w:rPr>
                          <w:drawing>
                            <wp:inline distT="0" distB="0" distL="0" distR="0">
                              <wp:extent cx="38100" cy="74295"/>
                              <wp:effectExtent l="0" t="0" r="0" b="0"/>
                              <wp:docPr id="100" name="IM 100"/>
                              <wp:cNvGraphicFramePr/>
                              <a:graphic xmlns:a="http://schemas.openxmlformats.org/drawingml/2006/main">
                                <a:graphicData uri="http://schemas.openxmlformats.org/drawingml/2006/picture">
                                  <pic:pic xmlns:pic="http://schemas.openxmlformats.org/drawingml/2006/picture">
                                    <pic:nvPicPr>
                                      <pic:cNvPr id="100" name="IM 100"/>
                                      <pic:cNvPicPr/>
                                    </pic:nvPicPr>
                                    <pic:blipFill>
                                      <a:blip r:embed="rId630"/>
                                      <a:stretch>
                                        <a:fillRect/>
                                      </a:stretch>
                                    </pic:blipFill>
                                    <pic:spPr>
                                      <a:xfrm>
                                        <a:off x="0" y="0"/>
                                        <a:ext cx="38366" cy="74345"/>
                                      </a:xfrm>
                                      <a:prstGeom prst="rect">
                                        <a:avLst/>
                                      </a:prstGeom>
                                    </pic:spPr>
                                  </pic:pic>
                                </a:graphicData>
                              </a:graphic>
                            </wp:inline>
                          </w:drawing>
                        </w:r>
                      </w:p>
                    </w:tc>
                  </w:tr>
                  <w:tr w14:paraId="5F24782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77" w:type="dxa"/>
                        <w:tcBorders>
                          <w:top w:val="single" w:color="646464" w:sz="6" w:space="0"/>
                          <w:right w:val="single" w:color="646464" w:sz="6" w:space="0"/>
                        </w:tcBorders>
                        <w:vAlign w:val="top"/>
                      </w:tcPr>
                      <w:p w14:paraId="30520194">
                        <w:pPr>
                          <w:rPr>
                            <w:rFonts w:ascii="Arial"/>
                            <w:sz w:val="21"/>
                          </w:rPr>
                        </w:pPr>
                      </w:p>
                    </w:tc>
                    <w:tc>
                      <w:tcPr>
                        <w:tcW w:w="577" w:type="dxa"/>
                        <w:tcBorders>
                          <w:top w:val="single" w:color="646464" w:sz="6" w:space="0"/>
                          <w:left w:val="single" w:color="646464" w:sz="6" w:space="0"/>
                        </w:tcBorders>
                        <w:vAlign w:val="top"/>
                      </w:tcPr>
                      <w:p w14:paraId="22E47A89">
                        <w:pPr>
                          <w:rPr>
                            <w:rFonts w:ascii="Arial"/>
                            <w:sz w:val="21"/>
                          </w:rPr>
                        </w:pPr>
                      </w:p>
                    </w:tc>
                  </w:tr>
                </w:tbl>
                <w:p w14:paraId="1CDB1215">
                  <w:pPr>
                    <w:pStyle w:val="2"/>
                  </w:pPr>
                </w:p>
              </w:txbxContent>
            </v:textbox>
          </v:shape>
        </w:pict>
      </w:r>
      <w:r>
        <w:pict>
          <v:group id="_x0000_s1748" o:spid="_x0000_s1748" o:spt="203" style="position:absolute;left:0pt;margin-left:346pt;margin-top:11.6pt;height:58.9pt;width:57.75pt;z-index:252048384;mso-width-relative:page;mso-height-relative:page;" coordsize="1155,1178">
            <o:lock v:ext="edit"/>
            <v:shape id="_x0000_s1749" o:spid="_x0000_s1749" o:spt="202" type="#_x0000_t202" style="position:absolute;left:-20;top:-20;height:1218;width:1195;" filled="f" stroked="f" coordsize="21600,21600">
              <v:path/>
              <v:fill on="f" focussize="0,0"/>
              <v:stroke on="f"/>
              <v:imagedata o:title=""/>
              <o:lock v:ext="edit" aspectratio="f"/>
              <v:textbox inset="0mm,0mm,0mm,0mm">
                <w:txbxContent>
                  <w:p w14:paraId="37822451">
                    <w:pPr>
                      <w:spacing w:line="20" w:lineRule="exact"/>
                    </w:pPr>
                  </w:p>
                  <w:tbl>
                    <w:tblPr>
                      <w:tblStyle w:val="5"/>
                      <w:tblW w:w="1154" w:type="dxa"/>
                      <w:tblInd w:w="2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577"/>
                      <w:gridCol w:w="577"/>
                    </w:tblGrid>
                    <w:tr w14:paraId="071C823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85" w:hRule="atLeast"/>
                      </w:trPr>
                      <w:tc>
                        <w:tcPr>
                          <w:tcW w:w="577" w:type="dxa"/>
                          <w:tcBorders>
                            <w:bottom w:val="single" w:color="646464" w:sz="6" w:space="0"/>
                            <w:right w:val="single" w:color="646464" w:sz="6" w:space="0"/>
                          </w:tcBorders>
                          <w:vAlign w:val="top"/>
                        </w:tcPr>
                        <w:p w14:paraId="72CE5324">
                          <w:pPr>
                            <w:spacing w:line="201" w:lineRule="auto"/>
                            <w:jc w:val="right"/>
                            <w:rPr>
                              <w:rFonts w:ascii="Arial" w:hAnsi="Arial" w:eastAsia="Arial" w:cs="Arial"/>
                              <w:sz w:val="16"/>
                              <w:szCs w:val="16"/>
                            </w:rPr>
                          </w:pPr>
                          <w:r>
                            <w:rPr>
                              <w:rFonts w:ascii="Arial" w:hAnsi="Arial" w:eastAsia="Arial" w:cs="Arial"/>
                              <w:spacing w:val="-16"/>
                              <w:sz w:val="16"/>
                              <w:szCs w:val="16"/>
                            </w:rPr>
                            <w:t>1</w:t>
                          </w:r>
                          <w:r>
                            <w:rPr>
                              <w:rFonts w:ascii="Arial" w:hAnsi="Arial" w:eastAsia="Arial" w:cs="Arial"/>
                              <w:spacing w:val="-8"/>
                              <w:sz w:val="16"/>
                              <w:szCs w:val="16"/>
                            </w:rPr>
                            <w:t>0</w:t>
                          </w:r>
                        </w:p>
                        <w:p w14:paraId="38C267C0">
                          <w:pPr>
                            <w:spacing w:before="133" w:line="198" w:lineRule="auto"/>
                            <w:jc w:val="right"/>
                            <w:rPr>
                              <w:rFonts w:ascii="Arial" w:hAnsi="Arial" w:eastAsia="Arial" w:cs="Arial"/>
                              <w:sz w:val="16"/>
                              <w:szCs w:val="16"/>
                            </w:rPr>
                          </w:pPr>
                          <w:r>
                            <w:rPr>
                              <w:rFonts w:ascii="Arial" w:hAnsi="Arial" w:eastAsia="Arial" w:cs="Arial"/>
                              <w:spacing w:val="-7"/>
                              <w:sz w:val="16"/>
                              <w:szCs w:val="16"/>
                            </w:rPr>
                            <w:t>5.</w:t>
                          </w:r>
                        </w:p>
                      </w:tc>
                      <w:tc>
                        <w:tcPr>
                          <w:tcW w:w="577" w:type="dxa"/>
                          <w:tcBorders>
                            <w:left w:val="single" w:color="646464" w:sz="6" w:space="0"/>
                            <w:bottom w:val="single" w:color="646464" w:sz="6" w:space="0"/>
                          </w:tcBorders>
                          <w:vAlign w:val="top"/>
                        </w:tcPr>
                        <w:p w14:paraId="7F314AE2">
                          <w:pPr>
                            <w:spacing w:line="201" w:lineRule="auto"/>
                            <w:ind w:left="7"/>
                            <w:rPr>
                              <w:rFonts w:ascii="Arial" w:hAnsi="Arial" w:eastAsia="Arial" w:cs="Arial"/>
                              <w:sz w:val="16"/>
                              <w:szCs w:val="16"/>
                            </w:rPr>
                          </w:pPr>
                          <w:r>
                            <w:rPr>
                              <w:rFonts w:ascii="Arial" w:hAnsi="Arial" w:eastAsia="Arial" w:cs="Arial"/>
                              <w:spacing w:val="-6"/>
                              <w:sz w:val="16"/>
                              <w:szCs w:val="16"/>
                            </w:rPr>
                            <w:t>.0</w:t>
                          </w:r>
                        </w:p>
                        <w:p w14:paraId="3717DADC">
                          <w:pPr>
                            <w:spacing w:before="130" w:line="201" w:lineRule="auto"/>
                            <w:rPr>
                              <w:rFonts w:ascii="Arial" w:hAnsi="Arial" w:eastAsia="Arial" w:cs="Arial"/>
                              <w:sz w:val="16"/>
                              <w:szCs w:val="16"/>
                            </w:rPr>
                          </w:pPr>
                          <w:r>
                            <w:rPr>
                              <w:rFonts w:ascii="Arial" w:hAnsi="Arial" w:eastAsia="Arial" w:cs="Arial"/>
                              <w:sz w:val="16"/>
                              <w:szCs w:val="16"/>
                            </w:rPr>
                            <w:t>0</w:t>
                          </w:r>
                        </w:p>
                      </w:tc>
                    </w:tr>
                    <w:tr w14:paraId="4123960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7" w:hRule="atLeast"/>
                      </w:trPr>
                      <w:tc>
                        <w:tcPr>
                          <w:tcW w:w="577" w:type="dxa"/>
                          <w:tcBorders>
                            <w:top w:val="single" w:color="646464" w:sz="6" w:space="0"/>
                            <w:right w:val="single" w:color="646464" w:sz="6" w:space="0"/>
                          </w:tcBorders>
                          <w:vAlign w:val="top"/>
                        </w:tcPr>
                        <w:p w14:paraId="48521AC3">
                          <w:pPr>
                            <w:rPr>
                              <w:rFonts w:ascii="Arial"/>
                              <w:sz w:val="21"/>
                            </w:rPr>
                          </w:pPr>
                        </w:p>
                      </w:tc>
                      <w:tc>
                        <w:tcPr>
                          <w:tcW w:w="577" w:type="dxa"/>
                          <w:tcBorders>
                            <w:top w:val="single" w:color="646464" w:sz="6" w:space="0"/>
                            <w:left w:val="single" w:color="646464" w:sz="6" w:space="0"/>
                          </w:tcBorders>
                          <w:vAlign w:val="top"/>
                        </w:tcPr>
                        <w:p w14:paraId="6884EA75">
                          <w:pPr>
                            <w:rPr>
                              <w:rFonts w:ascii="Arial"/>
                              <w:sz w:val="21"/>
                            </w:rPr>
                          </w:pPr>
                        </w:p>
                      </w:tc>
                    </w:tr>
                  </w:tbl>
                  <w:p w14:paraId="28D88794">
                    <w:pPr>
                      <w:pStyle w:val="2"/>
                    </w:pPr>
                  </w:p>
                </w:txbxContent>
              </v:textbox>
            </v:shape>
          </v:group>
        </w:pict>
      </w:r>
      <w:r>
        <w:pict>
          <v:group id="_x0000_s1750" o:spid="_x0000_s1750" o:spt="203" style="position:absolute;left:0pt;margin-left:341.95pt;margin-top:12pt;height:57.75pt;width:65.95pt;z-index:252037120;mso-width-relative:page;mso-height-relative:page;" coordsize="1318,1155">
            <o:lock v:ext="edit"/>
            <v:shape id="_x0000_s1751" o:spid="_x0000_s1751" style="position:absolute;left:81;top:0;height:1155;width:1140;" fillcolor="#00FF00" filled="t" stroked="t" coordsize="1140,1155" path="m1132,577c1132,892,880,1147,569,1147c259,1147,7,892,7,577c7,262,259,7,569,7c880,7,1132,262,1132,577e">
              <v:fill on="t" focussize="0,0"/>
              <v:stroke color="#646464" miterlimit="2" endcap="round"/>
              <v:imagedata o:title=""/>
              <o:lock v:ext="edit"/>
            </v:shape>
            <v:shape id="_x0000_s1752" o:spid="_x0000_s1752" o:spt="202" type="#_x0000_t202" style="position:absolute;left:-20;top:-20;height:1250;width:1358;" filled="f" stroked="f" coordsize="21600,21600">
              <v:path/>
              <v:fill on="f" focussize="0,0"/>
              <v:stroke on="f"/>
              <v:imagedata o:title=""/>
              <o:lock v:ext="edit" aspectratio="f"/>
              <v:textbox inset="0mm,0mm,0mm,0mm">
                <w:txbxContent>
                  <w:p w14:paraId="136A8FA8">
                    <w:pPr>
                      <w:pStyle w:val="2"/>
                      <w:spacing w:line="242" w:lineRule="auto"/>
                    </w:pPr>
                  </w:p>
                  <w:p w14:paraId="5926294F">
                    <w:pPr>
                      <w:pStyle w:val="2"/>
                      <w:spacing w:line="243" w:lineRule="auto"/>
                    </w:pPr>
                  </w:p>
                  <w:p w14:paraId="65F44640">
                    <w:pPr>
                      <w:spacing w:before="59" w:line="182" w:lineRule="auto"/>
                      <w:ind w:left="20"/>
                      <w:rPr>
                        <w:rFonts w:ascii="宋体" w:hAnsi="宋体" w:eastAsia="宋体" w:cs="宋体"/>
                        <w:sz w:val="18"/>
                        <w:szCs w:val="18"/>
                      </w:rPr>
                    </w:pPr>
                    <w:r>
                      <w:rPr>
                        <w:rFonts w:ascii="宋体" w:hAnsi="宋体" w:eastAsia="宋体" w:cs="宋体"/>
                        <w:spacing w:val="-1"/>
                        <w:sz w:val="18"/>
                        <w:szCs w:val="18"/>
                      </w:rPr>
                      <w:t>W</w:t>
                    </w:r>
                    <w:r>
                      <w:rPr>
                        <w:rFonts w:ascii="宋体" w:hAnsi="宋体" w:eastAsia="宋体" w:cs="宋体"/>
                        <w:spacing w:val="5"/>
                        <w:sz w:val="18"/>
                        <w:szCs w:val="18"/>
                      </w:rPr>
                      <w:t xml:space="preserve">            </w:t>
                    </w:r>
                    <w:r>
                      <w:rPr>
                        <w:rFonts w:ascii="宋体" w:hAnsi="宋体" w:eastAsia="宋体" w:cs="宋体"/>
                        <w:spacing w:val="-1"/>
                        <w:sz w:val="18"/>
                        <w:szCs w:val="18"/>
                      </w:rPr>
                      <w:t>E</w:t>
                    </w:r>
                  </w:p>
                </w:txbxContent>
              </v:textbox>
            </v:shape>
          </v:group>
        </w:pict>
      </w:r>
    </w:p>
    <w:p w14:paraId="422D7EB4">
      <w:pPr>
        <w:pStyle w:val="2"/>
        <w:spacing w:line="241" w:lineRule="auto"/>
      </w:pPr>
      <w:r>
        <w:pict>
          <v:shape id="_x0000_s1753" o:spid="_x0000_s1753" o:spt="202" type="#_x0000_t202" style="position:absolute;left:0pt;margin-left:48.5pt;margin-top:2pt;height:10.9pt;width:10.95pt;z-index:252028928;mso-width-relative:page;mso-height-relative:page;" filled="f" stroked="f" coordsize="21600,21600">
            <v:path/>
            <v:fill on="f" focussize="0,0"/>
            <v:stroke on="f"/>
            <v:imagedata o:title=""/>
            <o:lock v:ext="edit" aspectratio="f"/>
            <v:textbox inset="0mm,0mm,0mm,0mm">
              <w:txbxContent>
                <w:p w14:paraId="1CB15A06">
                  <w:pPr>
                    <w:spacing w:before="19" w:line="182" w:lineRule="auto"/>
                    <w:ind w:left="20"/>
                    <w:rPr>
                      <w:rFonts w:ascii="宋体" w:hAnsi="宋体" w:eastAsia="宋体" w:cs="宋体"/>
                      <w:sz w:val="18"/>
                      <w:szCs w:val="18"/>
                    </w:rPr>
                  </w:pPr>
                  <w:r>
                    <w:rPr>
                      <w:rFonts w:ascii="宋体" w:hAnsi="宋体" w:eastAsia="宋体" w:cs="宋体"/>
                      <w:spacing w:val="-1"/>
                      <w:sz w:val="18"/>
                      <w:szCs w:val="18"/>
                    </w:rPr>
                    <w:t>NW</w:t>
                  </w:r>
                </w:p>
              </w:txbxContent>
            </v:textbox>
          </v:shape>
        </w:pict>
      </w:r>
      <w:r>
        <w:pict>
          <v:shape id="_x0000_s1754" o:spid="_x0000_s1754" style="position:absolute;left:0pt;margin-left:50.9pt;margin-top:2.5pt;height:54pt;width:53.25pt;z-index:252046336;mso-width-relative:page;mso-height-relative:page;" filled="f" stroked="t" coordsize="1065,1080" path="m1057,757l7,322m937,952l127,127m757,1072l307,7m802,532c802,689,678,817,524,817c371,817,247,689,247,532c247,375,371,247,524,247c678,247,802,375,802,532e">
            <v:fill on="f" focussize="0,0"/>
            <v:stroke color="#646464" miterlimit="2" endcap="round"/>
            <v:imagedata o:title=""/>
            <o:lock v:ext="edit"/>
          </v:shape>
        </w:pict>
      </w:r>
      <w:r>
        <w:pict>
          <v:shape id="_x0000_s1755" o:spid="_x0000_s1755" style="position:absolute;left:0pt;margin-left:50.9pt;margin-top:2.5pt;height:54pt;width:53.25pt;z-index:252045312;mso-width-relative:page;mso-height-relative:page;" filled="f" stroked="t" coordsize="1065,1080" path="m757,7l307,1072m937,127l127,952m1057,322l7,757e">
            <v:fill on="f" focussize="0,0"/>
            <v:stroke color="#646464" miterlimit="2" endcap="round"/>
            <v:imagedata o:title=""/>
            <o:lock v:ext="edit"/>
          </v:shape>
        </w:pict>
      </w:r>
    </w:p>
    <w:p w14:paraId="04CC05C0">
      <w:pPr>
        <w:pStyle w:val="2"/>
        <w:spacing w:line="241" w:lineRule="auto"/>
      </w:pPr>
      <w:r>
        <w:pict>
          <v:group id="_x0000_s1756" o:spid="_x0000_s1756" o:spt="203" style="position:absolute;left:0pt;margin-left:73.05pt;margin-top:8.75pt;height:8.25pt;width:4.5pt;z-index:252044288;mso-width-relative:page;mso-height-relative:page;" coordsize="90,165">
            <o:lock v:ext="edit"/>
            <v:shape id="_x0000_s1757" o:spid="_x0000_s1757" style="position:absolute;left:15;top:89;height:75;width:75;" filled="f" stroked="t" coordsize="75,75" path="m7,7l67,67e">
              <v:fill on="f" focussize="0,0"/>
              <v:stroke color="#000000" miterlimit="2" endcap="round"/>
              <v:imagedata o:title=""/>
              <o:lock v:ext="edit"/>
            </v:shape>
            <v:shape id="_x0000_s1758" o:spid="_x0000_s1758" style="position:absolute;left:0;top:0;height:165;width:90;" fillcolor="#FA9696" filled="t" stroked="t" coordsize="90,165" path="m82,157l22,97,7,7,82,157e">
              <v:fill on="t" focussize="0,0"/>
              <v:stroke color="#000000" miterlimit="2" endcap="round"/>
              <v:imagedata o:title=""/>
              <o:lock v:ext="edit"/>
            </v:shape>
            <v:shape id="_x0000_s1759" o:spid="_x0000_s1759" style="position:absolute;left:0;top:0;height:165;width:90;" filled="f" stroked="t" coordsize="90,165" path="m82,157l7,7,82,67e">
              <v:fill on="f" focussize="0,0"/>
              <v:stroke color="#000000" miterlimit="2" endcap="round"/>
              <v:imagedata o:title=""/>
              <o:lock v:ext="edit"/>
            </v:shape>
            <v:shape id="_x0000_s1760" o:spid="_x0000_s1760" style="position:absolute;left:0;top:0;height:165;width:90;" fillcolor="#C8C8C8" filled="t" stroked="f" coordsize="90,165" path="m82,157,82,157l7,7,82,67,82,157e">
              <v:path/>
              <v:fill on="t" focussize="0,0"/>
              <v:stroke on="f"/>
              <v:imagedata o:title=""/>
              <o:lock v:ext="edit"/>
            </v:shape>
          </v:group>
        </w:pict>
      </w:r>
      <w:r>
        <w:pict>
          <v:group id="_x0000_s1761" o:spid="_x0000_s1761" o:spt="203" style="position:absolute;left:0pt;margin-left:76.8pt;margin-top:6.5pt;height:12.75pt;width:10.5pt;z-index:252042240;mso-width-relative:page;mso-height-relative:page;" coordsize="210,255">
            <o:lock v:ext="edit"/>
            <v:shape id="_x0000_s1762" o:spid="_x0000_s1762" style="position:absolute;left:0;top:0;height:210;width:210;" fillcolor="#C8C8C8" filled="t" stroked="t" coordsize="210,210" path="m7,202l67,82,202,7,7,202e">
              <v:fill on="t" focussize="0,0"/>
              <v:stroke color="#000000" miterlimit="2" endcap="round"/>
              <v:imagedata o:title=""/>
              <o:lock v:ext="edit"/>
            </v:shape>
            <v:shape id="_x0000_s1763" o:spid="_x0000_s1763" style="position:absolute;left:0;top:0;height:210;width:210;" fillcolor="#FA9696" filled="t" stroked="t" coordsize="210,210" path="m7,202l202,7,172,142,7,202e">
              <v:fill on="t" focussize="0,0"/>
              <v:stroke color="#000000" miterlimit="2" endcap="round"/>
              <v:imagedata o:title=""/>
              <o:lock v:ext="edit"/>
            </v:shape>
            <v:shape id="_x0000_s1764" o:spid="_x0000_s1764" style="position:absolute;left:0;top:134;height:75;width:210;" fillcolor="#C8C8C8" filled="t" stroked="t" coordsize="210,75" path="m7,67l172,7,202,67,7,67e">
              <v:fill on="t" focussize="0,0"/>
              <v:stroke color="#000000" miterlimit="2" endcap="round"/>
              <v:imagedata o:title=""/>
              <o:lock v:ext="edit"/>
            </v:shape>
            <v:shape id="_x0000_s1765" o:spid="_x0000_s1765" style="position:absolute;left:0;top:194;height:60;width:210;" filled="f" stroked="t" coordsize="210,60" path="m7,7l202,7,97,52e">
              <v:fill on="f" focussize="0,0"/>
              <v:stroke color="#000000" miterlimit="2" endcap="round"/>
              <v:imagedata o:title=""/>
              <o:lock v:ext="edit"/>
            </v:shape>
            <v:shape id="_x0000_s1766" o:spid="_x0000_s1766" style="position:absolute;left:0;top:194;height:60;width:210;" fillcolor="#FA9696" filled="t" stroked="f" coordsize="210,60" path="m7,7,7,7l202,7,97,52,7,7e">
              <v:path/>
              <v:fill on="t" focussize="0,0"/>
              <v:stroke on="f"/>
              <v:imagedata o:title=""/>
              <o:lock v:ext="edit"/>
            </v:shape>
          </v:group>
        </w:pict>
      </w:r>
      <w:r>
        <w:pict>
          <v:shape id="_x0000_s1767" o:spid="_x0000_s1767" style="position:absolute;left:0pt;margin-left:360.65pt;margin-top:2.4pt;height:29.25pt;width:28.5pt;z-index:252047360;mso-width-relative:page;mso-height-relative:page;" filled="f" stroked="t" coordsize="570,585" path="m562,292c562,449,438,577,284,577c131,577,7,449,7,292c7,135,131,7,284,7c438,7,562,135,562,292e">
            <v:fill on="f" focussize="0,0"/>
            <v:stroke color="#646464" miterlimit="2" endcap="round"/>
            <v:imagedata o:title=""/>
            <o:lock v:ext="edit"/>
          </v:shape>
        </w:pict>
      </w:r>
    </w:p>
    <w:p w14:paraId="5669670D">
      <w:pPr>
        <w:pStyle w:val="2"/>
        <w:spacing w:line="241" w:lineRule="auto"/>
      </w:pPr>
      <w:r>
        <w:pict>
          <v:group id="_x0000_s1768" o:spid="_x0000_s1768" o:spt="203" style="position:absolute;left:0pt;margin-left:76.8pt;margin-top:4.15pt;height:13.5pt;width:0.75pt;z-index:252043264;mso-width-relative:page;mso-height-relative:page;" coordsize="15,270">
            <o:lock v:ext="edit"/>
            <v:shape id="_x0000_s1769" o:spid="_x0000_s1769" style="position:absolute;left:0;top:0;height:270;width:15;" fillcolor="#C8C8C8" filled="t" stroked="t" coordsize="15,270" path="m7,7l7,37,7,262,7,7e">
              <v:fill on="t" focussize="0,0"/>
              <v:stroke color="#000000" miterlimit="2" endcap="round"/>
              <v:imagedata o:title=""/>
              <o:lock v:ext="edit"/>
            </v:shape>
            <v:shape id="_x0000_s1770" o:spid="_x0000_s1770" style="position:absolute;left:0;top:0;height:270;width:15;" filled="f" stroked="t" coordsize="15,270" path="m7,7l7,262e">
              <v:fill on="f" focussize="0,0"/>
              <v:stroke color="#000000" miterlimit="2" endcap="round"/>
              <v:imagedata o:title=""/>
              <o:lock v:ext="edit"/>
            </v:shape>
          </v:group>
        </w:pict>
      </w:r>
      <w:r>
        <w:pict>
          <v:group id="_x0000_s1771" o:spid="_x0000_s1771" o:spt="203" style="position:absolute;left:0pt;margin-left:76.8pt;margin-top:4.15pt;height:3.75pt;width:5.25pt;z-index:252039168;mso-width-relative:page;mso-height-relative:page;" coordsize="105,75">
            <o:lock v:ext="edit"/>
            <v:shape id="_x0000_s1772" o:spid="_x0000_s1772" style="position:absolute;left:0;top:0;height:60;width:105;" filled="f" stroked="t" coordsize="105,60" path="m97,52l7,7e">
              <v:fill on="f" focussize="0,0"/>
              <v:stroke color="#000000" miterlimit="2" endcap="round"/>
              <v:imagedata o:title=""/>
              <o:lock v:ext="edit"/>
            </v:shape>
            <v:shape id="_x0000_s1773" o:spid="_x0000_s1773" style="position:absolute;left:0;top:0;height:75;width:105;" fillcolor="#C8C8C8" filled="t" stroked="t" coordsize="105,75" path="m7,7l97,52,52,67,7,7e">
              <v:fill on="t" focussize="0,0"/>
              <v:stroke color="#000000" miterlimit="2" endcap="round"/>
              <v:imagedata o:title=""/>
              <o:lock v:ext="edit"/>
            </v:shape>
            <v:shape id="_x0000_s1774" o:spid="_x0000_s1774" style="position:absolute;left:0;top:0;height:75;width:60;" fillcolor="#FA9696" filled="t" stroked="t" coordsize="60,75" path="m7,7l52,67,7,37,7,7e">
              <v:fill on="t" focussize="0,0"/>
              <v:stroke color="#000000" miterlimit="2" endcap="round"/>
              <v:imagedata o:title=""/>
              <o:lock v:ext="edit"/>
            </v:shape>
          </v:group>
        </w:pict>
      </w:r>
      <w:r>
        <w:pict>
          <v:shape id="_x0000_s1775" o:spid="_x0000_s1775" o:spt="202" type="#_x0000_t202" style="position:absolute;left:0pt;margin-left:43.25pt;margin-top:1pt;height:10.9pt;width:6.45pt;z-index:252015616;mso-width-relative:page;mso-height-relative:page;" filled="f" stroked="f" coordsize="21600,21600">
            <v:path/>
            <v:fill on="f" focussize="0,0"/>
            <v:stroke on="f"/>
            <v:imagedata o:title=""/>
            <o:lock v:ext="edit" aspectratio="f"/>
            <v:textbox inset="0mm,0mm,0mm,0mm">
              <w:txbxContent>
                <w:p w14:paraId="21B779EE">
                  <w:pPr>
                    <w:spacing w:before="19" w:line="182" w:lineRule="auto"/>
                    <w:ind w:left="20"/>
                    <w:rPr>
                      <w:rFonts w:ascii="宋体" w:hAnsi="宋体" w:eastAsia="宋体" w:cs="宋体"/>
                      <w:sz w:val="18"/>
                      <w:szCs w:val="18"/>
                    </w:rPr>
                  </w:pPr>
                  <w:r>
                    <w:rPr>
                      <w:rFonts w:ascii="宋体" w:hAnsi="宋体" w:eastAsia="宋体" w:cs="宋体"/>
                      <w:sz w:val="18"/>
                      <w:szCs w:val="18"/>
                    </w:rPr>
                    <w:t>W</w:t>
                  </w:r>
                </w:p>
              </w:txbxContent>
            </v:textbox>
          </v:shape>
        </w:pict>
      </w:r>
      <w:r>
        <w:pict>
          <v:group id="_x0000_s1776" o:spid="_x0000_s1776" o:spt="203" style="position:absolute;left:0pt;margin-left:58.05pt;margin-top:1.15pt;height:25.5pt;width:19.5pt;z-index:252040192;mso-width-relative:page;mso-height-relative:page;" coordsize="390,510">
            <o:lock v:ext="edit"/>
            <v:shape id="_x0000_s1777" o:spid="_x0000_s1777" style="position:absolute;left:194;top:60;height:450;width:195;" fillcolor="#FA9696" filled="t" stroked="f" coordsize="195,450" path="m187,7,187,7l187,262,7,442,187,7e">
              <v:path/>
              <v:fill on="t" focussize="0,0"/>
              <v:stroke on="f"/>
              <v:imagedata o:title=""/>
              <o:lock v:ext="edit"/>
            </v:shape>
            <v:shape id="_x0000_s1778" o:spid="_x0000_s1778" style="position:absolute;left:194;top:60;height:450;width:195;" filled="f" stroked="t" coordsize="195,450" path="m187,262l7,442,187,7e">
              <v:fill on="f" focussize="0,0"/>
              <v:stroke color="#000000" miterlimit="2" endcap="round"/>
              <v:imagedata o:title=""/>
              <o:lock v:ext="edit"/>
            </v:shape>
            <v:shape id="_x0000_s1779" o:spid="_x0000_s1779" style="position:absolute;left:0;top:60;height:450;width:390;" fillcolor="#C8C8C8" filled="t" stroked="t" coordsize="390,450" path="m382,7l202,442,7,382,382,7e">
              <v:fill on="t" focussize="0,0"/>
              <v:stroke color="#000000" miterlimit="2" endcap="round"/>
              <v:imagedata o:title=""/>
              <o:lock v:ext="edit"/>
            </v:shape>
            <v:shape id="_x0000_s1780" o:spid="_x0000_s1780" style="position:absolute;left:0;top:60;height:390;width:390;" fillcolor="#FA9696" filled="t" stroked="t" coordsize="390,390" path="m382,7l7,382,172,97,382,7e">
              <v:fill on="t" focussize="0,0"/>
              <v:stroke color="#000000" miterlimit="2" endcap="round"/>
              <v:imagedata o:title=""/>
              <o:lock v:ext="edit"/>
            </v:shape>
            <v:shape id="_x0000_s1781" o:spid="_x0000_s1781" style="position:absolute;left:164;top:60;height:105;width:225;" fillcolor="#C8C8C8" filled="t" stroked="t" coordsize="225,105" path="m217,7l7,97,7,7,217,7e">
              <v:fill on="t" focussize="0,0"/>
              <v:stroke color="#000000" miterlimit="2" endcap="round"/>
              <v:imagedata o:title=""/>
              <o:lock v:ext="edit"/>
            </v:shape>
            <v:shape id="_x0000_s1782" o:spid="_x0000_s1782" style="position:absolute;left:164;top:0;height:75;width:225;" fillcolor="#FA9696" filled="t" stroked="t" coordsize="225,75" path="m217,67l7,67,37,7,217,67e">
              <v:fill on="t" focussize="0,0"/>
              <v:stroke color="#000000" miterlimit="2" endcap="round"/>
              <v:imagedata o:title=""/>
              <o:lock v:ext="edit"/>
            </v:shape>
            <v:shape id="_x0000_s1783" o:spid="_x0000_s1783" style="position:absolute;left:194;top:0;height:75;width:195;" filled="f" stroked="t" coordsize="195,75" path="m187,67l7,7,127,7e">
              <v:fill on="f" focussize="0,0"/>
              <v:stroke color="#000000" miterlimit="2" endcap="round"/>
              <v:imagedata o:title=""/>
              <o:lock v:ext="edit"/>
            </v:shape>
            <v:shape id="_x0000_s1784" o:spid="_x0000_s1784" style="position:absolute;left:194;top:0;height:75;width:195;" fillcolor="#C8C8C8" filled="t" stroked="f" coordsize="195,75" path="m187,67,187,67l7,7,127,7,187,67e">
              <v:path/>
              <v:fill on="t" focussize="0,0"/>
              <v:stroke on="f"/>
              <v:imagedata o:title=""/>
              <o:lock v:ext="edit"/>
            </v:shape>
          </v:group>
        </w:pict>
      </w:r>
    </w:p>
    <w:p w14:paraId="3C7B2F7A">
      <w:pPr>
        <w:pStyle w:val="2"/>
        <w:spacing w:line="241" w:lineRule="auto"/>
      </w:pPr>
    </w:p>
    <w:p w14:paraId="72282D5B">
      <w:pPr>
        <w:pStyle w:val="2"/>
        <w:spacing w:line="242" w:lineRule="auto"/>
      </w:pPr>
      <w:r>
        <w:pict>
          <v:shape id="_x0000_s1785" o:spid="_x0000_s1785" o:spt="202" type="#_x0000_t202" style="position:absolute;left:0pt;margin-left:48.8pt;margin-top:0.7pt;height:10.95pt;width:10.65pt;z-index:251988992;mso-width-relative:page;mso-height-relative:page;" filled="f" stroked="f" coordsize="21600,21600">
            <v:path/>
            <v:fill on="f" focussize="0,0"/>
            <v:stroke on="f"/>
            <v:imagedata o:title=""/>
            <o:lock v:ext="edit" aspectratio="f"/>
            <v:textbox inset="0mm,0mm,0mm,0mm">
              <w:txbxContent>
                <w:p w14:paraId="61425176">
                  <w:pPr>
                    <w:spacing w:before="20" w:line="183" w:lineRule="auto"/>
                    <w:ind w:left="20"/>
                    <w:rPr>
                      <w:rFonts w:ascii="宋体" w:hAnsi="宋体" w:eastAsia="宋体" w:cs="宋体"/>
                      <w:sz w:val="18"/>
                      <w:szCs w:val="18"/>
                    </w:rPr>
                  </w:pPr>
                  <w:r>
                    <w:rPr>
                      <w:rFonts w:ascii="宋体" w:hAnsi="宋体" w:eastAsia="宋体" w:cs="宋体"/>
                      <w:spacing w:val="-4"/>
                      <w:sz w:val="18"/>
                      <w:szCs w:val="18"/>
                    </w:rPr>
                    <w:t>SW</w:t>
                  </w:r>
                </w:p>
              </w:txbxContent>
            </v:textbox>
          </v:shape>
        </w:pict>
      </w:r>
    </w:p>
    <w:p w14:paraId="1FF01151">
      <w:pPr>
        <w:pStyle w:val="2"/>
        <w:spacing w:line="242" w:lineRule="auto"/>
      </w:pPr>
    </w:p>
    <w:p w14:paraId="2E1E988A">
      <w:pPr>
        <w:pStyle w:val="2"/>
        <w:spacing w:line="242" w:lineRule="auto"/>
      </w:pPr>
    </w:p>
    <w:p w14:paraId="4DECBAE5">
      <w:pPr>
        <w:pStyle w:val="2"/>
        <w:spacing w:line="242" w:lineRule="auto"/>
      </w:pPr>
    </w:p>
    <w:p w14:paraId="385750D7">
      <w:pPr>
        <w:spacing w:before="65" w:line="228" w:lineRule="auto"/>
        <w:ind w:left="1633"/>
        <w:rPr>
          <w:rFonts w:ascii="宋体" w:hAnsi="宋体" w:eastAsia="宋体" w:cs="宋体"/>
          <w:sz w:val="20"/>
          <w:szCs w:val="20"/>
        </w:rPr>
      </w:pPr>
      <w:r>
        <w:rPr>
          <w:rFonts w:ascii="宋体" w:hAnsi="宋体" w:eastAsia="宋体" w:cs="宋体"/>
          <w:b/>
          <w:bCs/>
          <w:spacing w:val="5"/>
          <w:sz w:val="20"/>
          <w:szCs w:val="20"/>
        </w:rPr>
        <w:t>图</w:t>
      </w:r>
      <w:r>
        <w:rPr>
          <w:rFonts w:ascii="宋体" w:hAnsi="宋体" w:eastAsia="宋体" w:cs="宋体"/>
          <w:spacing w:val="-35"/>
          <w:sz w:val="20"/>
          <w:szCs w:val="20"/>
        </w:rPr>
        <w:t xml:space="preserve"> </w:t>
      </w:r>
      <w:r>
        <w:rPr>
          <w:rFonts w:ascii="Times New Roman" w:hAnsi="Times New Roman" w:eastAsia="Times New Roman" w:cs="Times New Roman"/>
          <w:b/>
          <w:bCs/>
          <w:spacing w:val="5"/>
          <w:sz w:val="20"/>
          <w:szCs w:val="20"/>
        </w:rPr>
        <w:t xml:space="preserve">4.1-7        </w:t>
      </w:r>
      <w:r>
        <w:rPr>
          <w:rFonts w:ascii="宋体" w:hAnsi="宋体" w:eastAsia="宋体" w:cs="宋体"/>
          <w:b/>
          <w:bCs/>
          <w:spacing w:val="5"/>
          <w:sz w:val="20"/>
          <w:szCs w:val="20"/>
        </w:rPr>
        <w:t>苏尼特右旗</w:t>
      </w:r>
      <w:r>
        <w:rPr>
          <w:rFonts w:ascii="宋体" w:hAnsi="宋体" w:eastAsia="宋体" w:cs="宋体"/>
          <w:spacing w:val="-40"/>
          <w:sz w:val="20"/>
          <w:szCs w:val="20"/>
        </w:rPr>
        <w:t xml:space="preserve"> </w:t>
      </w:r>
      <w:r>
        <w:rPr>
          <w:rFonts w:ascii="Times New Roman" w:hAnsi="Times New Roman" w:eastAsia="Times New Roman" w:cs="Times New Roman"/>
          <w:b/>
          <w:bCs/>
          <w:spacing w:val="5"/>
          <w:sz w:val="20"/>
          <w:szCs w:val="20"/>
        </w:rPr>
        <w:t xml:space="preserve">2023 </w:t>
      </w:r>
      <w:r>
        <w:rPr>
          <w:rFonts w:ascii="宋体" w:hAnsi="宋体" w:eastAsia="宋体" w:cs="宋体"/>
          <w:b/>
          <w:bCs/>
          <w:spacing w:val="5"/>
          <w:sz w:val="20"/>
          <w:szCs w:val="20"/>
        </w:rPr>
        <w:t>地面观测数据统计污染系数玫瑰图</w:t>
      </w:r>
    </w:p>
    <w:p w14:paraId="585D2134">
      <w:pPr>
        <w:spacing w:line="228" w:lineRule="auto"/>
        <w:rPr>
          <w:rFonts w:ascii="宋体" w:hAnsi="宋体" w:eastAsia="宋体" w:cs="宋体"/>
          <w:sz w:val="20"/>
          <w:szCs w:val="20"/>
        </w:rPr>
        <w:sectPr>
          <w:footerReference r:id="rId264" w:type="default"/>
          <w:pgSz w:w="11906" w:h="16839"/>
          <w:pgMar w:top="1191" w:right="1416" w:bottom="1156" w:left="1417" w:header="882" w:footer="994" w:gutter="0"/>
          <w:cols w:space="720" w:num="1"/>
        </w:sectPr>
      </w:pPr>
    </w:p>
    <w:p w14:paraId="2CD6090C">
      <w:pPr>
        <w:spacing w:line="28" w:lineRule="exact"/>
      </w:pPr>
      <w:r>
        <w:pict>
          <v:shape id="_x0000_s1786" o:spid="_x0000_s1786" style="height:1.45pt;width:453.65pt;" fillcolor="#000000" filled="t" stroked="f" coordsize="9072,29" path="m0,0l9072,0,9072,28,0,28,0,0xe">
            <v:path/>
            <v:fill on="t" focussize="0,0"/>
            <v:stroke on="f"/>
            <v:imagedata o:title=""/>
            <o:lock v:ext="edit"/>
            <w10:wrap type="none"/>
            <w10:anchorlock/>
          </v:shape>
        </w:pict>
      </w:r>
    </w:p>
    <w:p w14:paraId="55645F1E">
      <w:pPr>
        <w:pStyle w:val="2"/>
        <w:spacing w:line="258" w:lineRule="auto"/>
      </w:pPr>
    </w:p>
    <w:p w14:paraId="54CD6995">
      <w:pPr>
        <w:spacing w:before="98" w:line="222" w:lineRule="auto"/>
        <w:ind w:left="3"/>
        <w:outlineLvl w:val="2"/>
        <w:rPr>
          <w:rFonts w:ascii="黑体" w:hAnsi="黑体" w:eastAsia="黑体" w:cs="黑体"/>
          <w:sz w:val="30"/>
          <w:szCs w:val="30"/>
        </w:rPr>
      </w:pPr>
      <w:bookmarkStart w:id="360" w:name="bookmark188"/>
      <w:bookmarkEnd w:id="360"/>
      <w:r>
        <w:rPr>
          <w:rFonts w:ascii="Times New Roman" w:hAnsi="Times New Roman" w:eastAsia="Times New Roman" w:cs="Times New Roman"/>
          <w:spacing w:val="-1"/>
          <w:sz w:val="30"/>
          <w:szCs w:val="30"/>
        </w:rPr>
        <w:t xml:space="preserve">4.1.2 </w:t>
      </w:r>
      <w:r>
        <w:rPr>
          <w:rFonts w:ascii="黑体" w:hAnsi="黑体" w:eastAsia="黑体" w:cs="黑体"/>
          <w:spacing w:val="-1"/>
          <w:sz w:val="30"/>
          <w:szCs w:val="30"/>
        </w:rPr>
        <w:t>大气环境影响预测与评价</w:t>
      </w:r>
    </w:p>
    <w:p w14:paraId="759D1F8F">
      <w:pPr>
        <w:spacing w:before="217" w:line="219" w:lineRule="auto"/>
        <w:ind w:left="5"/>
        <w:outlineLvl w:val="3"/>
        <w:rPr>
          <w:rFonts w:ascii="宋体" w:hAnsi="宋体" w:eastAsia="宋体" w:cs="宋体"/>
          <w:sz w:val="24"/>
          <w:szCs w:val="24"/>
        </w:rPr>
      </w:pPr>
      <w:r>
        <w:fldChar w:fldCharType="begin"/>
      </w:r>
      <w:r>
        <w:instrText xml:space="preserve"> HYPERLINK "4.1.2.1" </w:instrText>
      </w:r>
      <w:r>
        <w:fldChar w:fldCharType="separate"/>
      </w:r>
      <w:r>
        <w:rPr>
          <w:rFonts w:ascii="Times New Roman" w:hAnsi="Times New Roman" w:eastAsia="Times New Roman" w:cs="Times New Roman"/>
          <w:b/>
          <w:bCs/>
          <w:spacing w:val="-2"/>
          <w:sz w:val="24"/>
          <w:szCs w:val="24"/>
        </w:rPr>
        <w:t>4.1.2.1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预测模型选择</w:t>
      </w:r>
    </w:p>
    <w:p w14:paraId="6F1B0D54">
      <w:pPr>
        <w:spacing w:before="181" w:line="351" w:lineRule="auto"/>
        <w:ind w:left="9" w:right="80" w:firstLine="479"/>
        <w:rPr>
          <w:rFonts w:ascii="宋体" w:hAnsi="宋体" w:eastAsia="宋体" w:cs="宋体"/>
          <w:sz w:val="24"/>
          <w:szCs w:val="24"/>
        </w:rPr>
      </w:pPr>
      <w:r>
        <w:rPr>
          <w:rFonts w:ascii="宋体" w:hAnsi="宋体" w:eastAsia="宋体" w:cs="宋体"/>
          <w:sz w:val="24"/>
          <w:szCs w:val="24"/>
        </w:rPr>
        <w:t>根据《环境影响评价技术导则大气环境》（</w:t>
      </w:r>
      <w:r>
        <w:rPr>
          <w:rFonts w:ascii="Times New Roman" w:hAnsi="Times New Roman" w:eastAsia="Times New Roman" w:cs="Times New Roman"/>
          <w:sz w:val="24"/>
          <w:szCs w:val="24"/>
        </w:rPr>
        <w:t>H</w:t>
      </w:r>
      <w:r>
        <w:rPr>
          <w:rFonts w:ascii="Times New Roman" w:hAnsi="Times New Roman" w:eastAsia="Times New Roman" w:cs="Times New Roman"/>
          <w:spacing w:val="-1"/>
          <w:sz w:val="24"/>
          <w:szCs w:val="24"/>
        </w:rPr>
        <w:t>J2.2-2018</w:t>
      </w:r>
      <w:r>
        <w:rPr>
          <w:rFonts w:ascii="宋体" w:hAnsi="宋体" w:eastAsia="宋体" w:cs="宋体"/>
          <w:spacing w:val="4"/>
          <w:sz w:val="24"/>
          <w:szCs w:val="24"/>
        </w:rPr>
        <w:t>），</w:t>
      </w:r>
      <w:r>
        <w:rPr>
          <w:rFonts w:ascii="宋体" w:hAnsi="宋体" w:eastAsia="宋体" w:cs="宋体"/>
          <w:spacing w:val="-1"/>
          <w:sz w:val="24"/>
          <w:szCs w:val="24"/>
        </w:rPr>
        <w:t>推荐的大气污染影响预</w:t>
      </w:r>
      <w:r>
        <w:rPr>
          <w:rFonts w:ascii="宋体" w:hAnsi="宋体" w:eastAsia="宋体" w:cs="宋体"/>
          <w:spacing w:val="1"/>
          <w:sz w:val="24"/>
          <w:szCs w:val="24"/>
        </w:rPr>
        <w:t xml:space="preserve"> </w:t>
      </w:r>
      <w:r>
        <w:rPr>
          <w:rFonts w:ascii="宋体" w:hAnsi="宋体" w:eastAsia="宋体" w:cs="宋体"/>
          <w:spacing w:val="-2"/>
          <w:sz w:val="24"/>
          <w:szCs w:val="24"/>
        </w:rPr>
        <w:t>测模式清单中的模型有</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AERMOD</w:t>
      </w:r>
      <w:r>
        <w:rPr>
          <w:rFonts w:ascii="宋体" w:hAnsi="宋体" w:eastAsia="宋体" w:cs="宋体"/>
          <w:spacing w:val="-2"/>
          <w:sz w:val="24"/>
          <w:szCs w:val="24"/>
        </w:rPr>
        <w:t>、</w:t>
      </w:r>
      <w:r>
        <w:rPr>
          <w:rFonts w:ascii="Times New Roman" w:hAnsi="Times New Roman" w:eastAsia="Times New Roman" w:cs="Times New Roman"/>
          <w:spacing w:val="-2"/>
          <w:sz w:val="24"/>
          <w:szCs w:val="24"/>
        </w:rPr>
        <w:t>ADMS</w:t>
      </w:r>
      <w:r>
        <w:rPr>
          <w:rFonts w:ascii="宋体" w:hAnsi="宋体" w:eastAsia="宋体" w:cs="宋体"/>
          <w:spacing w:val="-2"/>
          <w:sz w:val="24"/>
          <w:szCs w:val="24"/>
        </w:rPr>
        <w:t>。</w:t>
      </w:r>
      <w:r>
        <w:rPr>
          <w:rFonts w:ascii="Times New Roman" w:hAnsi="Times New Roman" w:eastAsia="Times New Roman" w:cs="Times New Roman"/>
          <w:spacing w:val="-2"/>
          <w:sz w:val="24"/>
          <w:szCs w:val="24"/>
        </w:rPr>
        <w:t>AERM</w:t>
      </w:r>
      <w:r>
        <w:rPr>
          <w:rFonts w:ascii="Times New Roman" w:hAnsi="Times New Roman" w:eastAsia="Times New Roman" w:cs="Times New Roman"/>
          <w:spacing w:val="-3"/>
          <w:sz w:val="24"/>
          <w:szCs w:val="24"/>
        </w:rPr>
        <w:t>OD</w:t>
      </w:r>
      <w:r>
        <w:rPr>
          <w:rFonts w:ascii="宋体" w:hAnsi="宋体" w:eastAsia="宋体" w:cs="宋体"/>
          <w:spacing w:val="-3"/>
          <w:sz w:val="24"/>
          <w:szCs w:val="24"/>
        </w:rPr>
        <w:t>、</w:t>
      </w:r>
      <w:r>
        <w:rPr>
          <w:rFonts w:ascii="Times New Roman" w:hAnsi="Times New Roman" w:eastAsia="Times New Roman" w:cs="Times New Roman"/>
          <w:spacing w:val="-3"/>
          <w:sz w:val="24"/>
          <w:szCs w:val="24"/>
        </w:rPr>
        <w:t xml:space="preserve">ADMS  </w:t>
      </w:r>
      <w:r>
        <w:rPr>
          <w:rFonts w:ascii="宋体" w:hAnsi="宋体" w:eastAsia="宋体" w:cs="宋体"/>
          <w:spacing w:val="-3"/>
          <w:sz w:val="24"/>
          <w:szCs w:val="24"/>
        </w:rPr>
        <w:t>属于静态烟羽模型，适</w:t>
      </w:r>
      <w:r>
        <w:rPr>
          <w:rFonts w:ascii="宋体" w:hAnsi="宋体" w:eastAsia="宋体" w:cs="宋体"/>
          <w:sz w:val="24"/>
          <w:szCs w:val="24"/>
        </w:rPr>
        <w:t xml:space="preserve"> </w:t>
      </w:r>
      <w:r>
        <w:rPr>
          <w:rFonts w:ascii="宋体" w:hAnsi="宋体" w:eastAsia="宋体" w:cs="宋体"/>
          <w:spacing w:val="-1"/>
          <w:sz w:val="24"/>
          <w:szCs w:val="24"/>
        </w:rPr>
        <w:t>用于评价范围较小，且气场稳定的区域的污染物扩散模拟。</w:t>
      </w:r>
    </w:p>
    <w:p w14:paraId="7EE70858">
      <w:pPr>
        <w:spacing w:before="37" w:line="346" w:lineRule="auto"/>
        <w:ind w:left="10" w:right="133" w:firstLine="481"/>
        <w:rPr>
          <w:rFonts w:ascii="宋体" w:hAnsi="宋体" w:eastAsia="宋体" w:cs="宋体"/>
          <w:sz w:val="24"/>
          <w:szCs w:val="24"/>
        </w:rPr>
      </w:pPr>
      <w:r>
        <w:rPr>
          <w:rFonts w:ascii="宋体" w:hAnsi="宋体" w:eastAsia="宋体" w:cs="宋体"/>
          <w:spacing w:val="-1"/>
          <w:sz w:val="24"/>
          <w:szCs w:val="24"/>
        </w:rPr>
        <w:t>项目所在区域近</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 xml:space="preserve">20 </w:t>
      </w:r>
      <w:r>
        <w:rPr>
          <w:rFonts w:ascii="宋体" w:hAnsi="宋体" w:eastAsia="宋体" w:cs="宋体"/>
          <w:spacing w:val="-1"/>
          <w:sz w:val="24"/>
          <w:szCs w:val="24"/>
        </w:rPr>
        <w:t>年统计年均静风（风速</w:t>
      </w:r>
      <w:r>
        <w:rPr>
          <w:rFonts w:ascii="Times New Roman" w:hAnsi="Times New Roman" w:eastAsia="Times New Roman" w:cs="Times New Roman"/>
          <w:spacing w:val="-1"/>
          <w:sz w:val="24"/>
          <w:szCs w:val="24"/>
        </w:rPr>
        <w:t>≤0.5m/s</w:t>
      </w:r>
      <w:r>
        <w:rPr>
          <w:rFonts w:ascii="宋体" w:hAnsi="宋体" w:eastAsia="宋体" w:cs="宋体"/>
          <w:spacing w:val="-1"/>
          <w:sz w:val="24"/>
          <w:szCs w:val="24"/>
        </w:rPr>
        <w:t>）频</w:t>
      </w:r>
      <w:r>
        <w:rPr>
          <w:rFonts w:ascii="宋体" w:hAnsi="宋体" w:eastAsia="宋体" w:cs="宋体"/>
          <w:spacing w:val="-2"/>
          <w:sz w:val="24"/>
          <w:szCs w:val="24"/>
        </w:rPr>
        <w:t>率为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3.56%</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，故本次评价选</w:t>
      </w:r>
      <w:r>
        <w:rPr>
          <w:rFonts w:ascii="宋体" w:hAnsi="宋体" w:eastAsia="宋体" w:cs="宋体"/>
          <w:sz w:val="24"/>
          <w:szCs w:val="24"/>
        </w:rPr>
        <w:t xml:space="preserve"> </w:t>
      </w:r>
      <w:r>
        <w:rPr>
          <w:rFonts w:ascii="宋体" w:hAnsi="宋体" w:eastAsia="宋体" w:cs="宋体"/>
          <w:spacing w:val="-1"/>
          <w:sz w:val="24"/>
          <w:szCs w:val="24"/>
        </w:rPr>
        <w:t>用</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 xml:space="preserve">AERMOD </w:t>
      </w:r>
      <w:r>
        <w:rPr>
          <w:rFonts w:ascii="宋体" w:hAnsi="宋体" w:eastAsia="宋体" w:cs="宋体"/>
          <w:spacing w:val="-1"/>
          <w:sz w:val="24"/>
          <w:szCs w:val="24"/>
        </w:rPr>
        <w:t>进行模拟运算，满足导则要求。</w:t>
      </w:r>
    </w:p>
    <w:p w14:paraId="1B24B130">
      <w:pPr>
        <w:spacing w:before="35" w:line="345" w:lineRule="auto"/>
        <w:ind w:left="8" w:right="130" w:firstLine="472"/>
        <w:rPr>
          <w:rFonts w:ascii="宋体" w:hAnsi="宋体" w:eastAsia="宋体" w:cs="宋体"/>
          <w:sz w:val="24"/>
          <w:szCs w:val="24"/>
        </w:rPr>
      </w:pPr>
      <w:r>
        <w:rPr>
          <w:rFonts w:ascii="Times New Roman" w:hAnsi="Times New Roman" w:eastAsia="Times New Roman" w:cs="Times New Roman"/>
          <w:sz w:val="24"/>
          <w:szCs w:val="24"/>
        </w:rPr>
        <w:t xml:space="preserve">AERMOD </w:t>
      </w:r>
      <w:r>
        <w:rPr>
          <w:rFonts w:ascii="宋体" w:hAnsi="宋体" w:eastAsia="宋体" w:cs="宋体"/>
          <w:sz w:val="24"/>
          <w:szCs w:val="24"/>
        </w:rPr>
        <w:t>模式是美国国家环保署与美国气象学会联合开发的新扩散模型，主</w:t>
      </w:r>
      <w:r>
        <w:rPr>
          <w:rFonts w:ascii="宋体" w:hAnsi="宋体" w:eastAsia="宋体" w:cs="宋体"/>
          <w:spacing w:val="-1"/>
          <w:sz w:val="24"/>
          <w:szCs w:val="24"/>
        </w:rPr>
        <w:t>要包</w:t>
      </w:r>
      <w:r>
        <w:rPr>
          <w:rFonts w:ascii="宋体" w:hAnsi="宋体" w:eastAsia="宋体" w:cs="宋体"/>
          <w:sz w:val="24"/>
          <w:szCs w:val="24"/>
        </w:rPr>
        <w:t xml:space="preserve"> </w:t>
      </w:r>
      <w:r>
        <w:rPr>
          <w:rFonts w:ascii="宋体" w:hAnsi="宋体" w:eastAsia="宋体" w:cs="宋体"/>
          <w:spacing w:val="-1"/>
          <w:sz w:val="24"/>
          <w:szCs w:val="24"/>
        </w:rPr>
        <w:t>括三个模块：</w:t>
      </w:r>
      <w:r>
        <w:rPr>
          <w:rFonts w:ascii="Times New Roman" w:hAnsi="Times New Roman" w:eastAsia="Times New Roman" w:cs="Times New Roman"/>
          <w:spacing w:val="-1"/>
          <w:sz w:val="24"/>
          <w:szCs w:val="24"/>
        </w:rPr>
        <w:t>AERMOD(AERMIC</w:t>
      </w:r>
      <w:r>
        <w:rPr>
          <w:rFonts w:ascii="Times New Roman" w:hAnsi="Times New Roman" w:eastAsia="Times New Roman" w:cs="Times New Roman"/>
          <w:spacing w:val="15"/>
          <w:sz w:val="24"/>
          <w:szCs w:val="24"/>
        </w:rPr>
        <w:t xml:space="preserve"> </w:t>
      </w:r>
      <w:r>
        <w:rPr>
          <w:rFonts w:ascii="宋体" w:hAnsi="宋体" w:eastAsia="宋体" w:cs="宋体"/>
          <w:spacing w:val="-1"/>
          <w:sz w:val="24"/>
          <w:szCs w:val="24"/>
        </w:rPr>
        <w:t>扩散模型</w:t>
      </w:r>
      <w:r>
        <w:rPr>
          <w:rFonts w:ascii="Times New Roman" w:hAnsi="Times New Roman" w:eastAsia="Times New Roman" w:cs="Times New Roman"/>
          <w:spacing w:val="-1"/>
          <w:sz w:val="24"/>
          <w:szCs w:val="24"/>
        </w:rPr>
        <w:t>)</w:t>
      </w:r>
      <w:r>
        <w:rPr>
          <w:rFonts w:ascii="Times New Roman" w:hAnsi="Times New Roman" w:eastAsia="Times New Roman" w:cs="Times New Roman"/>
          <w:spacing w:val="-35"/>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AERMAP(AERMOD  </w:t>
      </w:r>
      <w:r>
        <w:rPr>
          <w:rFonts w:ascii="宋体" w:hAnsi="宋体" w:eastAsia="宋体" w:cs="宋体"/>
          <w:spacing w:val="-1"/>
          <w:sz w:val="24"/>
          <w:szCs w:val="24"/>
        </w:rPr>
        <w:t>地形预处</w:t>
      </w:r>
      <w:r>
        <w:rPr>
          <w:rFonts w:ascii="宋体" w:hAnsi="宋体" w:eastAsia="宋体" w:cs="宋体"/>
          <w:spacing w:val="-2"/>
          <w:sz w:val="24"/>
          <w:szCs w:val="24"/>
        </w:rPr>
        <w:t>理</w:t>
      </w:r>
      <w:r>
        <w:rPr>
          <w:rFonts w:ascii="Times New Roman" w:hAnsi="Times New Roman" w:eastAsia="Times New Roman" w:cs="Times New Roman"/>
          <w:spacing w:val="-2"/>
          <w:sz w:val="24"/>
          <w:szCs w:val="24"/>
        </w:rPr>
        <w:t>)</w:t>
      </w:r>
      <w:r>
        <w:rPr>
          <w:rFonts w:ascii="宋体" w:hAnsi="宋体" w:eastAsia="宋体" w:cs="宋体"/>
          <w:spacing w:val="-2"/>
          <w:sz w:val="24"/>
          <w:szCs w:val="24"/>
        </w:rPr>
        <w:t>和</w:t>
      </w:r>
    </w:p>
    <w:p w14:paraId="090F8219">
      <w:pPr>
        <w:spacing w:before="40" w:line="210" w:lineRule="auto"/>
        <w:rPr>
          <w:rFonts w:ascii="宋体" w:hAnsi="宋体" w:eastAsia="宋体" w:cs="宋体"/>
          <w:sz w:val="24"/>
          <w:szCs w:val="24"/>
        </w:rPr>
      </w:pPr>
      <w:r>
        <w:rPr>
          <w:rFonts w:ascii="Times New Roman" w:hAnsi="Times New Roman" w:eastAsia="Times New Roman" w:cs="Times New Roman"/>
          <w:spacing w:val="-1"/>
          <w:sz w:val="24"/>
          <w:szCs w:val="24"/>
        </w:rPr>
        <w:t xml:space="preserve">AERMET(AERMOD </w:t>
      </w:r>
      <w:r>
        <w:rPr>
          <w:rFonts w:ascii="宋体" w:hAnsi="宋体" w:eastAsia="宋体" w:cs="宋体"/>
          <w:spacing w:val="-1"/>
          <w:sz w:val="24"/>
          <w:szCs w:val="24"/>
        </w:rPr>
        <w:t>气象预处理</w:t>
      </w:r>
      <w:r>
        <w:rPr>
          <w:rFonts w:ascii="Times New Roman" w:hAnsi="Times New Roman" w:eastAsia="Times New Roman" w:cs="Times New Roman"/>
          <w:spacing w:val="-1"/>
          <w:sz w:val="24"/>
          <w:szCs w:val="24"/>
        </w:rPr>
        <w:t>)</w:t>
      </w:r>
      <w:r>
        <w:rPr>
          <w:rFonts w:ascii="宋体" w:hAnsi="宋体" w:eastAsia="宋体" w:cs="宋体"/>
          <w:spacing w:val="-1"/>
          <w:sz w:val="24"/>
          <w:szCs w:val="24"/>
        </w:rPr>
        <w:t>。</w:t>
      </w:r>
    </w:p>
    <w:p w14:paraId="73540F35">
      <w:pPr>
        <w:spacing w:before="193" w:line="355" w:lineRule="auto"/>
        <w:ind w:firstLine="480"/>
        <w:jc w:val="both"/>
        <w:rPr>
          <w:rFonts w:ascii="宋体" w:hAnsi="宋体" w:eastAsia="宋体" w:cs="宋体"/>
          <w:sz w:val="24"/>
          <w:szCs w:val="24"/>
        </w:rPr>
      </w:pPr>
      <w:r>
        <w:rPr>
          <w:rFonts w:ascii="Times New Roman" w:hAnsi="Times New Roman" w:eastAsia="Times New Roman" w:cs="Times New Roman"/>
          <w:spacing w:val="-3"/>
          <w:sz w:val="24"/>
          <w:szCs w:val="24"/>
        </w:rPr>
        <w:t>AERMOD</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是一个稳态烟羽扩散模式，可基于大气边界层</w:t>
      </w:r>
      <w:r>
        <w:rPr>
          <w:rFonts w:ascii="宋体" w:hAnsi="宋体" w:eastAsia="宋体" w:cs="宋体"/>
          <w:spacing w:val="-4"/>
          <w:sz w:val="24"/>
          <w:szCs w:val="24"/>
        </w:rPr>
        <w:t>数据特征模拟点源、面源、</w:t>
      </w:r>
      <w:r>
        <w:rPr>
          <w:rFonts w:ascii="宋体" w:hAnsi="宋体" w:eastAsia="宋体" w:cs="宋体"/>
          <w:sz w:val="24"/>
          <w:szCs w:val="24"/>
        </w:rPr>
        <w:t xml:space="preserve"> </w:t>
      </w:r>
      <w:r>
        <w:rPr>
          <w:rFonts w:ascii="宋体" w:hAnsi="宋体" w:eastAsia="宋体" w:cs="宋体"/>
          <w:spacing w:val="-1"/>
          <w:sz w:val="24"/>
          <w:szCs w:val="24"/>
        </w:rPr>
        <w:t>体源等排放出的污染物在短期（小时平均、日平均）、长</w:t>
      </w:r>
      <w:r>
        <w:rPr>
          <w:rFonts w:ascii="宋体" w:hAnsi="宋体" w:eastAsia="宋体" w:cs="宋体"/>
          <w:spacing w:val="-2"/>
          <w:sz w:val="24"/>
          <w:szCs w:val="24"/>
        </w:rPr>
        <w:t>期（年平均）的浓度分布，适</w:t>
      </w:r>
      <w:r>
        <w:rPr>
          <w:rFonts w:ascii="宋体" w:hAnsi="宋体" w:eastAsia="宋体" w:cs="宋体"/>
          <w:sz w:val="24"/>
          <w:szCs w:val="24"/>
        </w:rPr>
        <w:t xml:space="preserve"> 用于农村或城市地区、简单或复杂地形。</w:t>
      </w:r>
      <w:r>
        <w:rPr>
          <w:rFonts w:ascii="Times New Roman" w:hAnsi="Times New Roman" w:eastAsia="Times New Roman" w:cs="Times New Roman"/>
          <w:sz w:val="24"/>
          <w:szCs w:val="24"/>
        </w:rPr>
        <w:t xml:space="preserve">AERMOD </w:t>
      </w:r>
      <w:r>
        <w:rPr>
          <w:rFonts w:ascii="宋体" w:hAnsi="宋体" w:eastAsia="宋体" w:cs="宋体"/>
          <w:sz w:val="24"/>
          <w:szCs w:val="24"/>
        </w:rPr>
        <w:t>考虑了建筑物尾流的影响，即</w:t>
      </w:r>
      <w:r>
        <w:rPr>
          <w:rFonts w:ascii="宋体" w:hAnsi="宋体" w:eastAsia="宋体" w:cs="宋体"/>
          <w:spacing w:val="-1"/>
          <w:sz w:val="24"/>
          <w:szCs w:val="24"/>
        </w:rPr>
        <w:t>烟羽</w:t>
      </w:r>
      <w:r>
        <w:rPr>
          <w:rFonts w:ascii="宋体" w:hAnsi="宋体" w:eastAsia="宋体" w:cs="宋体"/>
          <w:sz w:val="24"/>
          <w:szCs w:val="24"/>
        </w:rPr>
        <w:t xml:space="preserve">  下洗。模式使用每小时连续预处理气象数据模拟大于</w:t>
      </w:r>
      <w:r>
        <w:rPr>
          <w:rFonts w:ascii="宋体" w:hAnsi="宋体" w:eastAsia="宋体" w:cs="宋体"/>
          <w:spacing w:val="-1"/>
          <w:sz w:val="24"/>
          <w:szCs w:val="24"/>
        </w:rPr>
        <w:t>等于</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w:t>
      </w:r>
      <w:r>
        <w:rPr>
          <w:rFonts w:ascii="Times New Roman" w:hAnsi="Times New Roman" w:eastAsia="Times New Roman" w:cs="Times New Roman"/>
          <w:spacing w:val="16"/>
          <w:sz w:val="24"/>
          <w:szCs w:val="24"/>
        </w:rPr>
        <w:t xml:space="preserve"> </w:t>
      </w:r>
      <w:r>
        <w:rPr>
          <w:rFonts w:ascii="宋体" w:hAnsi="宋体" w:eastAsia="宋体" w:cs="宋体"/>
          <w:spacing w:val="-1"/>
          <w:sz w:val="24"/>
          <w:szCs w:val="24"/>
        </w:rPr>
        <w:t>小时平均时间的浓度分布。</w:t>
      </w:r>
      <w:r>
        <w:rPr>
          <w:rFonts w:ascii="宋体" w:hAnsi="宋体" w:eastAsia="宋体" w:cs="宋体"/>
          <w:sz w:val="24"/>
          <w:szCs w:val="24"/>
        </w:rPr>
        <w:t xml:space="preserve"> </w:t>
      </w:r>
      <w:r>
        <w:rPr>
          <w:rFonts w:ascii="Times New Roman" w:hAnsi="Times New Roman" w:eastAsia="Times New Roman" w:cs="Times New Roman"/>
          <w:spacing w:val="-4"/>
          <w:sz w:val="24"/>
          <w:szCs w:val="24"/>
        </w:rPr>
        <w:t xml:space="preserve">AERMOD </w:t>
      </w:r>
      <w:r>
        <w:rPr>
          <w:rFonts w:ascii="宋体" w:hAnsi="宋体" w:eastAsia="宋体" w:cs="宋体"/>
          <w:spacing w:val="-4"/>
          <w:sz w:val="24"/>
          <w:szCs w:val="24"/>
        </w:rPr>
        <w:t>包括两个预处理模式，即</w:t>
      </w:r>
      <w:r>
        <w:rPr>
          <w:rFonts w:ascii="宋体" w:hAnsi="宋体" w:eastAsia="宋体" w:cs="宋体"/>
          <w:spacing w:val="-54"/>
          <w:sz w:val="24"/>
          <w:szCs w:val="24"/>
        </w:rPr>
        <w:t xml:space="preserve"> </w:t>
      </w:r>
      <w:r>
        <w:rPr>
          <w:rFonts w:ascii="Times New Roman" w:hAnsi="Times New Roman" w:eastAsia="Times New Roman" w:cs="Times New Roman"/>
          <w:spacing w:val="-4"/>
          <w:sz w:val="24"/>
          <w:szCs w:val="24"/>
        </w:rPr>
        <w:t xml:space="preserve">AERMET </w:t>
      </w:r>
      <w:r>
        <w:rPr>
          <w:rFonts w:ascii="宋体" w:hAnsi="宋体" w:eastAsia="宋体" w:cs="宋体"/>
          <w:spacing w:val="-4"/>
          <w:sz w:val="24"/>
          <w:szCs w:val="24"/>
        </w:rPr>
        <w:t>气象预处理和</w:t>
      </w:r>
      <w:r>
        <w:rPr>
          <w:rFonts w:ascii="宋体" w:hAnsi="宋体" w:eastAsia="宋体" w:cs="宋体"/>
          <w:spacing w:val="-60"/>
          <w:sz w:val="24"/>
          <w:szCs w:val="24"/>
        </w:rPr>
        <w:t xml:space="preserve"> </w:t>
      </w:r>
      <w:r>
        <w:rPr>
          <w:rFonts w:ascii="Times New Roman" w:hAnsi="Times New Roman" w:eastAsia="Times New Roman" w:cs="Times New Roman"/>
          <w:spacing w:val="-4"/>
          <w:sz w:val="24"/>
          <w:szCs w:val="24"/>
        </w:rPr>
        <w:t xml:space="preserve">AERMAP </w:t>
      </w:r>
      <w:r>
        <w:rPr>
          <w:rFonts w:ascii="宋体" w:hAnsi="宋体" w:eastAsia="宋体" w:cs="宋体"/>
          <w:spacing w:val="-4"/>
          <w:sz w:val="24"/>
          <w:szCs w:val="24"/>
        </w:rPr>
        <w:t>地形预处理模式。</w:t>
      </w:r>
    </w:p>
    <w:p w14:paraId="24104986">
      <w:pPr>
        <w:spacing w:before="33" w:line="347" w:lineRule="auto"/>
        <w:ind w:left="4" w:right="80" w:firstLine="485"/>
        <w:rPr>
          <w:rFonts w:ascii="宋体" w:hAnsi="宋体" w:eastAsia="宋体" w:cs="宋体"/>
          <w:sz w:val="24"/>
          <w:szCs w:val="24"/>
        </w:rPr>
      </w:pPr>
      <w:r>
        <w:rPr>
          <w:rFonts w:ascii="宋体" w:hAnsi="宋体" w:eastAsia="宋体" w:cs="宋体"/>
          <w:spacing w:val="-12"/>
          <w:sz w:val="24"/>
          <w:szCs w:val="24"/>
        </w:rPr>
        <w:t>本</w:t>
      </w:r>
      <w:r>
        <w:rPr>
          <w:rFonts w:ascii="宋体" w:hAnsi="宋体" w:eastAsia="宋体" w:cs="宋体"/>
          <w:spacing w:val="-47"/>
          <w:sz w:val="24"/>
          <w:szCs w:val="24"/>
        </w:rPr>
        <w:t xml:space="preserve"> </w:t>
      </w:r>
      <w:r>
        <w:rPr>
          <w:rFonts w:ascii="宋体" w:hAnsi="宋体" w:eastAsia="宋体" w:cs="宋体"/>
          <w:spacing w:val="-12"/>
          <w:sz w:val="24"/>
          <w:szCs w:val="24"/>
        </w:rPr>
        <w:t>项 目</w:t>
      </w:r>
      <w:r>
        <w:rPr>
          <w:rFonts w:ascii="宋体" w:hAnsi="宋体" w:eastAsia="宋体" w:cs="宋体"/>
          <w:spacing w:val="-63"/>
          <w:sz w:val="24"/>
          <w:szCs w:val="24"/>
        </w:rPr>
        <w:t xml:space="preserve"> </w:t>
      </w:r>
      <w:r>
        <w:rPr>
          <w:rFonts w:ascii="宋体" w:hAnsi="宋体" w:eastAsia="宋体" w:cs="宋体"/>
          <w:spacing w:val="-12"/>
          <w:sz w:val="24"/>
          <w:szCs w:val="24"/>
        </w:rPr>
        <w:t>采</w:t>
      </w:r>
      <w:r>
        <w:rPr>
          <w:rFonts w:ascii="宋体" w:hAnsi="宋体" w:eastAsia="宋体" w:cs="宋体"/>
          <w:spacing w:val="-61"/>
          <w:sz w:val="24"/>
          <w:szCs w:val="24"/>
        </w:rPr>
        <w:t xml:space="preserve"> </w:t>
      </w:r>
      <w:r>
        <w:rPr>
          <w:rFonts w:ascii="宋体" w:hAnsi="宋体" w:eastAsia="宋体" w:cs="宋体"/>
          <w:spacing w:val="-12"/>
          <w:sz w:val="24"/>
          <w:szCs w:val="24"/>
        </w:rPr>
        <w:t>用北</w:t>
      </w:r>
      <w:r>
        <w:rPr>
          <w:rFonts w:ascii="宋体" w:hAnsi="宋体" w:eastAsia="宋体" w:cs="宋体"/>
          <w:spacing w:val="-57"/>
          <w:sz w:val="24"/>
          <w:szCs w:val="24"/>
        </w:rPr>
        <w:t xml:space="preserve"> </w:t>
      </w:r>
      <w:r>
        <w:rPr>
          <w:rFonts w:ascii="宋体" w:hAnsi="宋体" w:eastAsia="宋体" w:cs="宋体"/>
          <w:spacing w:val="-12"/>
          <w:sz w:val="24"/>
          <w:szCs w:val="24"/>
        </w:rPr>
        <w:t>京</w:t>
      </w:r>
      <w:r>
        <w:rPr>
          <w:rFonts w:ascii="宋体" w:hAnsi="宋体" w:eastAsia="宋体" w:cs="宋体"/>
          <w:spacing w:val="-35"/>
          <w:sz w:val="24"/>
          <w:szCs w:val="24"/>
        </w:rPr>
        <w:t xml:space="preserve"> </w:t>
      </w:r>
      <w:r>
        <w:rPr>
          <w:rFonts w:ascii="宋体" w:hAnsi="宋体" w:eastAsia="宋体" w:cs="宋体"/>
          <w:spacing w:val="-12"/>
          <w:sz w:val="24"/>
          <w:szCs w:val="24"/>
        </w:rPr>
        <w:t>尚</w:t>
      </w:r>
      <w:r>
        <w:rPr>
          <w:rFonts w:ascii="宋体" w:hAnsi="宋体" w:eastAsia="宋体" w:cs="宋体"/>
          <w:spacing w:val="-56"/>
          <w:sz w:val="24"/>
          <w:szCs w:val="24"/>
        </w:rPr>
        <w:t xml:space="preserve"> </w:t>
      </w:r>
      <w:r>
        <w:rPr>
          <w:rFonts w:ascii="宋体" w:hAnsi="宋体" w:eastAsia="宋体" w:cs="宋体"/>
          <w:spacing w:val="-12"/>
          <w:sz w:val="24"/>
          <w:szCs w:val="24"/>
        </w:rPr>
        <w:t>云</w:t>
      </w:r>
      <w:r>
        <w:rPr>
          <w:rFonts w:ascii="宋体" w:hAnsi="宋体" w:eastAsia="宋体" w:cs="宋体"/>
          <w:spacing w:val="-63"/>
          <w:sz w:val="24"/>
          <w:szCs w:val="24"/>
        </w:rPr>
        <w:t xml:space="preserve"> </w:t>
      </w:r>
      <w:r>
        <w:rPr>
          <w:rFonts w:ascii="宋体" w:hAnsi="宋体" w:eastAsia="宋体" w:cs="宋体"/>
          <w:spacing w:val="-12"/>
          <w:sz w:val="24"/>
          <w:szCs w:val="24"/>
        </w:rPr>
        <w:t>环</w:t>
      </w:r>
      <w:r>
        <w:rPr>
          <w:rFonts w:ascii="宋体" w:hAnsi="宋体" w:eastAsia="宋体" w:cs="宋体"/>
          <w:spacing w:val="-62"/>
          <w:sz w:val="24"/>
          <w:szCs w:val="24"/>
        </w:rPr>
        <w:t xml:space="preserve"> </w:t>
      </w:r>
      <w:r>
        <w:rPr>
          <w:rFonts w:ascii="宋体" w:hAnsi="宋体" w:eastAsia="宋体" w:cs="宋体"/>
          <w:spacing w:val="-12"/>
          <w:sz w:val="24"/>
          <w:szCs w:val="24"/>
        </w:rPr>
        <w:t>境</w:t>
      </w:r>
      <w:r>
        <w:rPr>
          <w:rFonts w:ascii="宋体" w:hAnsi="宋体" w:eastAsia="宋体" w:cs="宋体"/>
          <w:spacing w:val="-61"/>
          <w:sz w:val="24"/>
          <w:szCs w:val="24"/>
        </w:rPr>
        <w:t xml:space="preserve"> </w:t>
      </w:r>
      <w:r>
        <w:rPr>
          <w:rFonts w:ascii="宋体" w:hAnsi="宋体" w:eastAsia="宋体" w:cs="宋体"/>
          <w:spacing w:val="-12"/>
          <w:sz w:val="24"/>
          <w:szCs w:val="24"/>
        </w:rPr>
        <w:t>有</w:t>
      </w:r>
      <w:r>
        <w:rPr>
          <w:rFonts w:ascii="宋体" w:hAnsi="宋体" w:eastAsia="宋体" w:cs="宋体"/>
          <w:spacing w:val="-46"/>
          <w:sz w:val="24"/>
          <w:szCs w:val="24"/>
        </w:rPr>
        <w:t xml:space="preserve"> </w:t>
      </w:r>
      <w:r>
        <w:rPr>
          <w:rFonts w:ascii="宋体" w:hAnsi="宋体" w:eastAsia="宋体" w:cs="宋体"/>
          <w:spacing w:val="-12"/>
          <w:sz w:val="24"/>
          <w:szCs w:val="24"/>
        </w:rPr>
        <w:t>限</w:t>
      </w:r>
      <w:r>
        <w:rPr>
          <w:rFonts w:ascii="宋体" w:hAnsi="宋体" w:eastAsia="宋体" w:cs="宋体"/>
          <w:spacing w:val="-56"/>
          <w:sz w:val="24"/>
          <w:szCs w:val="24"/>
        </w:rPr>
        <w:t xml:space="preserve"> </w:t>
      </w:r>
      <w:r>
        <w:rPr>
          <w:rFonts w:ascii="宋体" w:hAnsi="宋体" w:eastAsia="宋体" w:cs="宋体"/>
          <w:spacing w:val="-12"/>
          <w:sz w:val="24"/>
          <w:szCs w:val="24"/>
        </w:rPr>
        <w:t>公</w:t>
      </w:r>
      <w:r>
        <w:rPr>
          <w:rFonts w:ascii="宋体" w:hAnsi="宋体" w:eastAsia="宋体" w:cs="宋体"/>
          <w:spacing w:val="-53"/>
          <w:sz w:val="24"/>
          <w:szCs w:val="24"/>
        </w:rPr>
        <w:t xml:space="preserve"> </w:t>
      </w:r>
      <w:r>
        <w:rPr>
          <w:rFonts w:ascii="宋体" w:hAnsi="宋体" w:eastAsia="宋体" w:cs="宋体"/>
          <w:spacing w:val="-12"/>
          <w:sz w:val="24"/>
          <w:szCs w:val="24"/>
        </w:rPr>
        <w:t>司开</w:t>
      </w:r>
      <w:r>
        <w:rPr>
          <w:rFonts w:ascii="宋体" w:hAnsi="宋体" w:eastAsia="宋体" w:cs="宋体"/>
          <w:spacing w:val="-59"/>
          <w:sz w:val="24"/>
          <w:szCs w:val="24"/>
        </w:rPr>
        <w:t xml:space="preserve"> </w:t>
      </w:r>
      <w:r>
        <w:rPr>
          <w:rFonts w:ascii="宋体" w:hAnsi="宋体" w:eastAsia="宋体" w:cs="宋体"/>
          <w:spacing w:val="-12"/>
          <w:sz w:val="24"/>
          <w:szCs w:val="24"/>
        </w:rPr>
        <w:t>发</w:t>
      </w:r>
      <w:r>
        <w:rPr>
          <w:rFonts w:ascii="宋体" w:hAnsi="宋体" w:eastAsia="宋体" w:cs="宋体"/>
          <w:spacing w:val="-43"/>
          <w:sz w:val="24"/>
          <w:szCs w:val="24"/>
        </w:rPr>
        <w:t xml:space="preserve"> </w:t>
      </w:r>
      <w:r>
        <w:rPr>
          <w:rFonts w:ascii="宋体" w:hAnsi="宋体" w:eastAsia="宋体" w:cs="宋体"/>
          <w:spacing w:val="-12"/>
          <w:sz w:val="24"/>
          <w:szCs w:val="24"/>
        </w:rPr>
        <w:t>的</w:t>
      </w:r>
      <w:r>
        <w:rPr>
          <w:rFonts w:ascii="宋体" w:hAnsi="宋体" w:eastAsia="宋体" w:cs="宋体"/>
          <w:spacing w:val="-59"/>
          <w:sz w:val="24"/>
          <w:szCs w:val="24"/>
        </w:rPr>
        <w:t xml:space="preserve"> </w:t>
      </w:r>
      <w:r>
        <w:rPr>
          <w:rFonts w:ascii="宋体" w:hAnsi="宋体" w:eastAsia="宋体" w:cs="宋体"/>
          <w:spacing w:val="-12"/>
          <w:sz w:val="24"/>
          <w:szCs w:val="24"/>
        </w:rPr>
        <w:t>大</w:t>
      </w:r>
      <w:r>
        <w:rPr>
          <w:rFonts w:ascii="宋体" w:hAnsi="宋体" w:eastAsia="宋体" w:cs="宋体"/>
          <w:spacing w:val="-62"/>
          <w:sz w:val="24"/>
          <w:szCs w:val="24"/>
        </w:rPr>
        <w:t xml:space="preserve"> </w:t>
      </w:r>
      <w:r>
        <w:rPr>
          <w:rFonts w:ascii="宋体" w:hAnsi="宋体" w:eastAsia="宋体" w:cs="宋体"/>
          <w:spacing w:val="-12"/>
          <w:sz w:val="24"/>
          <w:szCs w:val="24"/>
        </w:rPr>
        <w:t>气</w:t>
      </w:r>
      <w:r>
        <w:rPr>
          <w:rFonts w:ascii="宋体" w:hAnsi="宋体" w:eastAsia="宋体" w:cs="宋体"/>
          <w:spacing w:val="-63"/>
          <w:sz w:val="24"/>
          <w:szCs w:val="24"/>
        </w:rPr>
        <w:t xml:space="preserve"> </w:t>
      </w:r>
      <w:r>
        <w:rPr>
          <w:rFonts w:ascii="宋体" w:hAnsi="宋体" w:eastAsia="宋体" w:cs="宋体"/>
          <w:spacing w:val="-12"/>
          <w:sz w:val="24"/>
          <w:szCs w:val="24"/>
        </w:rPr>
        <w:t>环</w:t>
      </w:r>
      <w:r>
        <w:rPr>
          <w:rFonts w:ascii="宋体" w:hAnsi="宋体" w:eastAsia="宋体" w:cs="宋体"/>
          <w:spacing w:val="-61"/>
          <w:sz w:val="24"/>
          <w:szCs w:val="24"/>
        </w:rPr>
        <w:t xml:space="preserve"> </w:t>
      </w:r>
      <w:r>
        <w:rPr>
          <w:rFonts w:ascii="宋体" w:hAnsi="宋体" w:eastAsia="宋体" w:cs="宋体"/>
          <w:spacing w:val="-12"/>
          <w:sz w:val="24"/>
          <w:szCs w:val="24"/>
        </w:rPr>
        <w:t>境</w:t>
      </w:r>
      <w:r>
        <w:rPr>
          <w:rFonts w:ascii="宋体" w:hAnsi="宋体" w:eastAsia="宋体" w:cs="宋体"/>
          <w:spacing w:val="-63"/>
          <w:sz w:val="24"/>
          <w:szCs w:val="24"/>
        </w:rPr>
        <w:t xml:space="preserve"> </w:t>
      </w:r>
      <w:r>
        <w:rPr>
          <w:rFonts w:ascii="宋体" w:hAnsi="宋体" w:eastAsia="宋体" w:cs="宋体"/>
          <w:spacing w:val="-12"/>
          <w:sz w:val="24"/>
          <w:szCs w:val="24"/>
        </w:rPr>
        <w:t>影</w:t>
      </w:r>
      <w:r>
        <w:rPr>
          <w:rFonts w:ascii="宋体" w:hAnsi="宋体" w:eastAsia="宋体" w:cs="宋体"/>
          <w:spacing w:val="-50"/>
          <w:sz w:val="24"/>
          <w:szCs w:val="24"/>
        </w:rPr>
        <w:t xml:space="preserve"> </w:t>
      </w:r>
      <w:r>
        <w:rPr>
          <w:rFonts w:ascii="宋体" w:hAnsi="宋体" w:eastAsia="宋体" w:cs="宋体"/>
          <w:spacing w:val="-12"/>
          <w:sz w:val="24"/>
          <w:szCs w:val="24"/>
        </w:rPr>
        <w:t>响</w:t>
      </w:r>
      <w:r>
        <w:rPr>
          <w:rFonts w:ascii="宋体" w:hAnsi="宋体" w:eastAsia="宋体" w:cs="宋体"/>
          <w:spacing w:val="-64"/>
          <w:sz w:val="24"/>
          <w:szCs w:val="24"/>
        </w:rPr>
        <w:t xml:space="preserve"> </w:t>
      </w:r>
      <w:r>
        <w:rPr>
          <w:rFonts w:ascii="宋体" w:hAnsi="宋体" w:eastAsia="宋体" w:cs="宋体"/>
          <w:spacing w:val="-12"/>
          <w:sz w:val="24"/>
          <w:szCs w:val="24"/>
        </w:rPr>
        <w:t>评</w:t>
      </w:r>
      <w:r>
        <w:rPr>
          <w:rFonts w:ascii="宋体" w:hAnsi="宋体" w:eastAsia="宋体" w:cs="宋体"/>
          <w:spacing w:val="-62"/>
          <w:sz w:val="24"/>
          <w:szCs w:val="24"/>
        </w:rPr>
        <w:t xml:space="preserve"> </w:t>
      </w:r>
      <w:r>
        <w:rPr>
          <w:rFonts w:ascii="宋体" w:hAnsi="宋体" w:eastAsia="宋体" w:cs="宋体"/>
          <w:spacing w:val="-12"/>
          <w:sz w:val="24"/>
          <w:szCs w:val="24"/>
        </w:rPr>
        <w:t>价</w:t>
      </w:r>
      <w:r>
        <w:rPr>
          <w:rFonts w:ascii="宋体" w:hAnsi="宋体" w:eastAsia="宋体" w:cs="宋体"/>
          <w:spacing w:val="-63"/>
          <w:sz w:val="24"/>
          <w:szCs w:val="24"/>
        </w:rPr>
        <w:t xml:space="preserve"> </w:t>
      </w:r>
      <w:r>
        <w:rPr>
          <w:rFonts w:ascii="宋体" w:hAnsi="宋体" w:eastAsia="宋体" w:cs="宋体"/>
          <w:spacing w:val="-12"/>
          <w:sz w:val="24"/>
          <w:szCs w:val="24"/>
        </w:rPr>
        <w:t>模</w:t>
      </w:r>
      <w:r>
        <w:rPr>
          <w:rFonts w:ascii="宋体" w:hAnsi="宋体" w:eastAsia="宋体" w:cs="宋体"/>
          <w:spacing w:val="-55"/>
          <w:sz w:val="24"/>
          <w:szCs w:val="24"/>
        </w:rPr>
        <w:t xml:space="preserve"> </w:t>
      </w:r>
      <w:r>
        <w:rPr>
          <w:rFonts w:ascii="宋体" w:hAnsi="宋体" w:eastAsia="宋体" w:cs="宋体"/>
          <w:spacing w:val="-12"/>
          <w:sz w:val="24"/>
          <w:szCs w:val="24"/>
        </w:rPr>
        <w:t>型</w:t>
      </w:r>
      <w:r>
        <w:rPr>
          <w:rFonts w:ascii="宋体" w:hAnsi="宋体" w:eastAsia="宋体" w:cs="宋体"/>
          <w:spacing w:val="-60"/>
          <w:sz w:val="24"/>
          <w:szCs w:val="24"/>
        </w:rPr>
        <w:t xml:space="preserve"> </w:t>
      </w:r>
      <w:r>
        <w:rPr>
          <w:rFonts w:ascii="宋体" w:hAnsi="宋体" w:eastAsia="宋体" w:cs="宋体"/>
          <w:spacing w:val="-12"/>
          <w:sz w:val="24"/>
          <w:szCs w:val="24"/>
        </w:rPr>
        <w:t>软</w:t>
      </w:r>
      <w:r>
        <w:rPr>
          <w:rFonts w:ascii="宋体" w:hAnsi="宋体" w:eastAsia="宋体" w:cs="宋体"/>
          <w:spacing w:val="-64"/>
          <w:sz w:val="24"/>
          <w:szCs w:val="24"/>
        </w:rPr>
        <w:t xml:space="preserve"> </w:t>
      </w:r>
      <w:r>
        <w:rPr>
          <w:rFonts w:ascii="宋体" w:hAnsi="宋体" w:eastAsia="宋体" w:cs="宋体"/>
          <w:spacing w:val="-12"/>
          <w:sz w:val="24"/>
          <w:szCs w:val="24"/>
        </w:rPr>
        <w:t>件</w:t>
      </w:r>
      <w:r>
        <w:rPr>
          <w:rFonts w:ascii="宋体" w:hAnsi="宋体" w:eastAsia="宋体" w:cs="宋体"/>
          <w:sz w:val="24"/>
          <w:szCs w:val="24"/>
        </w:rPr>
        <w:t xml:space="preserve"> </w:t>
      </w:r>
      <w:r>
        <w:rPr>
          <w:rFonts w:ascii="Times New Roman" w:hAnsi="Times New Roman" w:eastAsia="Times New Roman" w:cs="Times New Roman"/>
          <w:spacing w:val="-1"/>
          <w:sz w:val="24"/>
          <w:szCs w:val="24"/>
        </w:rPr>
        <w:t>EIAProA2018</w:t>
      </w:r>
      <w:r>
        <w:rPr>
          <w:rFonts w:ascii="Times New Roman" w:hAnsi="Times New Roman" w:eastAsia="Times New Roman" w:cs="Times New Roman"/>
          <w:spacing w:val="-26"/>
          <w:sz w:val="24"/>
          <w:szCs w:val="24"/>
        </w:rPr>
        <w:t xml:space="preserve"> </w:t>
      </w:r>
      <w:r>
        <w:rPr>
          <w:rFonts w:ascii="宋体" w:hAnsi="宋体" w:eastAsia="宋体" w:cs="宋体"/>
          <w:spacing w:val="-1"/>
          <w:sz w:val="24"/>
          <w:szCs w:val="24"/>
        </w:rPr>
        <w:t>，该软件为商业化软件，以</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 xml:space="preserve">AERMOD </w:t>
      </w:r>
      <w:r>
        <w:rPr>
          <w:rFonts w:ascii="宋体" w:hAnsi="宋体" w:eastAsia="宋体" w:cs="宋体"/>
          <w:spacing w:val="-1"/>
          <w:sz w:val="24"/>
          <w:szCs w:val="24"/>
        </w:rPr>
        <w:t>模型为内核，符合导则要求。</w:t>
      </w:r>
    </w:p>
    <w:p w14:paraId="44557914">
      <w:pPr>
        <w:spacing w:before="35" w:line="219" w:lineRule="auto"/>
        <w:ind w:left="5"/>
        <w:outlineLvl w:val="3"/>
        <w:rPr>
          <w:rFonts w:ascii="宋体" w:hAnsi="宋体" w:eastAsia="宋体" w:cs="宋体"/>
          <w:sz w:val="24"/>
          <w:szCs w:val="24"/>
        </w:rPr>
      </w:pPr>
      <w:r>
        <w:fldChar w:fldCharType="begin"/>
      </w:r>
      <w:r>
        <w:instrText xml:space="preserve"> HYPERLINK "4.1.2.2" </w:instrText>
      </w:r>
      <w:r>
        <w:fldChar w:fldCharType="separate"/>
      </w:r>
      <w:r>
        <w:rPr>
          <w:rFonts w:ascii="Times New Roman" w:hAnsi="Times New Roman" w:eastAsia="Times New Roman" w:cs="Times New Roman"/>
          <w:b/>
          <w:bCs/>
          <w:spacing w:val="-2"/>
          <w:sz w:val="24"/>
          <w:szCs w:val="24"/>
        </w:rPr>
        <w:t>4.1.2.2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地形数据</w:t>
      </w:r>
    </w:p>
    <w:p w14:paraId="7B873160">
      <w:pPr>
        <w:spacing w:before="181" w:line="352" w:lineRule="auto"/>
        <w:ind w:left="7" w:right="77" w:firstLine="480"/>
        <w:jc w:val="both"/>
        <w:rPr>
          <w:rFonts w:ascii="宋体" w:hAnsi="宋体" w:eastAsia="宋体" w:cs="宋体"/>
          <w:sz w:val="24"/>
          <w:szCs w:val="24"/>
        </w:rPr>
      </w:pPr>
      <w:r>
        <w:rPr>
          <w:rFonts w:ascii="宋体" w:hAnsi="宋体" w:eastAsia="宋体" w:cs="宋体"/>
          <w:spacing w:val="15"/>
          <w:sz w:val="24"/>
          <w:szCs w:val="24"/>
        </w:rPr>
        <w:t>选用北京</w:t>
      </w:r>
      <w:r>
        <w:rPr>
          <w:rFonts w:ascii="宋体" w:hAnsi="宋体" w:eastAsia="宋体" w:cs="宋体"/>
          <w:spacing w:val="-57"/>
          <w:sz w:val="24"/>
          <w:szCs w:val="24"/>
        </w:rPr>
        <w:t xml:space="preserve"> </w:t>
      </w:r>
      <w:r>
        <w:rPr>
          <w:rFonts w:ascii="宋体" w:hAnsi="宋体" w:eastAsia="宋体" w:cs="宋体"/>
          <w:spacing w:val="15"/>
          <w:sz w:val="24"/>
          <w:szCs w:val="24"/>
        </w:rPr>
        <w:t>尚云环境有</w:t>
      </w:r>
      <w:r>
        <w:rPr>
          <w:rFonts w:ascii="宋体" w:hAnsi="宋体" w:eastAsia="宋体" w:cs="宋体"/>
          <w:spacing w:val="-70"/>
          <w:sz w:val="24"/>
          <w:szCs w:val="24"/>
        </w:rPr>
        <w:t xml:space="preserve"> </w:t>
      </w:r>
      <w:r>
        <w:rPr>
          <w:rFonts w:ascii="宋体" w:hAnsi="宋体" w:eastAsia="宋体" w:cs="宋体"/>
          <w:spacing w:val="15"/>
          <w:sz w:val="24"/>
          <w:szCs w:val="24"/>
        </w:rPr>
        <w:t>限公司开发</w:t>
      </w:r>
      <w:r>
        <w:rPr>
          <w:rFonts w:ascii="宋体" w:hAnsi="宋体" w:eastAsia="宋体" w:cs="宋体"/>
          <w:spacing w:val="-67"/>
          <w:sz w:val="24"/>
          <w:szCs w:val="24"/>
        </w:rPr>
        <w:t xml:space="preserve"> </w:t>
      </w:r>
      <w:r>
        <w:rPr>
          <w:rFonts w:ascii="宋体" w:hAnsi="宋体" w:eastAsia="宋体" w:cs="宋体"/>
          <w:spacing w:val="15"/>
          <w:sz w:val="24"/>
          <w:szCs w:val="24"/>
        </w:rPr>
        <w:t>的大气环境影响评价模</w:t>
      </w:r>
      <w:r>
        <w:rPr>
          <w:rFonts w:ascii="宋体" w:hAnsi="宋体" w:eastAsia="宋体" w:cs="宋体"/>
          <w:spacing w:val="14"/>
          <w:sz w:val="24"/>
          <w:szCs w:val="24"/>
        </w:rPr>
        <w:t>型软件</w:t>
      </w:r>
      <w:r>
        <w:rPr>
          <w:rFonts w:ascii="宋体" w:hAnsi="宋体" w:eastAsia="宋体" w:cs="宋体"/>
          <w:spacing w:val="-31"/>
          <w:sz w:val="24"/>
          <w:szCs w:val="24"/>
        </w:rPr>
        <w:t xml:space="preserve"> </w:t>
      </w:r>
      <w:r>
        <w:rPr>
          <w:rFonts w:ascii="Times New Roman" w:hAnsi="Times New Roman" w:eastAsia="Times New Roman" w:cs="Times New Roman"/>
          <w:sz w:val="24"/>
          <w:szCs w:val="24"/>
        </w:rPr>
        <w:t>EIAProA</w:t>
      </w:r>
      <w:r>
        <w:rPr>
          <w:rFonts w:ascii="Times New Roman" w:hAnsi="Times New Roman" w:eastAsia="Times New Roman" w:cs="Times New Roman"/>
          <w:spacing w:val="14"/>
          <w:sz w:val="24"/>
          <w:szCs w:val="24"/>
        </w:rPr>
        <w:t>2018</w:t>
      </w:r>
      <w:r>
        <w:rPr>
          <w:rFonts w:ascii="Times New Roman" w:hAnsi="Times New Roman" w:eastAsia="Times New Roman" w:cs="Times New Roman"/>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AERMOD</w:t>
      </w:r>
      <w:r>
        <w:rPr>
          <w:rFonts w:ascii="宋体" w:hAnsi="宋体" w:eastAsia="宋体" w:cs="宋体"/>
          <w:spacing w:val="-2"/>
          <w:sz w:val="24"/>
          <w:szCs w:val="24"/>
        </w:rPr>
        <w:t>）大气预测软件中的</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 xml:space="preserve">DEM </w:t>
      </w:r>
      <w:r>
        <w:rPr>
          <w:rFonts w:ascii="宋体" w:hAnsi="宋体" w:eastAsia="宋体" w:cs="宋体"/>
          <w:spacing w:val="-2"/>
          <w:sz w:val="24"/>
          <w:szCs w:val="24"/>
        </w:rPr>
        <w:t>文件生成器生成的地形数据。该模型可直接使用</w:t>
      </w:r>
      <w:r>
        <w:rPr>
          <w:rFonts w:ascii="宋体" w:hAnsi="宋体" w:eastAsia="宋体" w:cs="宋体"/>
          <w:sz w:val="24"/>
          <w:szCs w:val="24"/>
        </w:rPr>
        <w:t xml:space="preserve"> </w:t>
      </w:r>
      <w:r>
        <w:rPr>
          <w:rFonts w:ascii="宋体" w:hAnsi="宋体" w:eastAsia="宋体" w:cs="宋体"/>
          <w:spacing w:val="2"/>
          <w:sz w:val="24"/>
          <w:szCs w:val="24"/>
        </w:rPr>
        <w:t>源头数据</w:t>
      </w:r>
      <w:r>
        <w:rPr>
          <w:rFonts w:ascii="Times New Roman" w:hAnsi="Times New Roman" w:eastAsia="Times New Roman" w:cs="Times New Roman"/>
          <w:spacing w:val="2"/>
          <w:sz w:val="24"/>
          <w:szCs w:val="24"/>
        </w:rPr>
        <w:t>(</w:t>
      </w:r>
      <w:r>
        <w:rPr>
          <w:rFonts w:ascii="宋体" w:hAnsi="宋体" w:eastAsia="宋体" w:cs="宋体"/>
          <w:spacing w:val="2"/>
          <w:sz w:val="24"/>
          <w:szCs w:val="24"/>
        </w:rPr>
        <w:t>不插值</w:t>
      </w:r>
      <w:r>
        <w:rPr>
          <w:rFonts w:ascii="Times New Roman" w:hAnsi="Times New Roman" w:eastAsia="Times New Roman" w:cs="Times New Roman"/>
          <w:spacing w:val="2"/>
          <w:sz w:val="24"/>
          <w:szCs w:val="24"/>
        </w:rPr>
        <w:t>)</w:t>
      </w:r>
      <w:r>
        <w:rPr>
          <w:rFonts w:ascii="宋体" w:hAnsi="宋体" w:eastAsia="宋体" w:cs="宋体"/>
          <w:spacing w:val="2"/>
          <w:sz w:val="24"/>
          <w:szCs w:val="24"/>
        </w:rPr>
        <w:t>方便、快速、无缝生成任何一个评价区域的单一</w:t>
      </w:r>
      <w:r>
        <w:rPr>
          <w:rFonts w:ascii="宋体" w:hAnsi="宋体" w:eastAsia="宋体" w:cs="宋体"/>
          <w:spacing w:val="-53"/>
          <w:sz w:val="24"/>
          <w:szCs w:val="24"/>
        </w:rPr>
        <w:t xml:space="preserve"> </w:t>
      </w:r>
      <w:r>
        <w:rPr>
          <w:rFonts w:ascii="Times New Roman" w:hAnsi="Times New Roman" w:eastAsia="Times New Roman" w:cs="Times New Roman"/>
          <w:sz w:val="24"/>
          <w:szCs w:val="24"/>
        </w:rPr>
        <w:t>DEM</w:t>
      </w:r>
      <w:r>
        <w:rPr>
          <w:rFonts w:ascii="Times New Roman" w:hAnsi="Times New Roman" w:eastAsia="Times New Roman" w:cs="Times New Roman"/>
          <w:spacing w:val="16"/>
          <w:w w:val="101"/>
          <w:sz w:val="24"/>
          <w:szCs w:val="24"/>
        </w:rPr>
        <w:t xml:space="preserve"> </w:t>
      </w:r>
      <w:r>
        <w:rPr>
          <w:rFonts w:ascii="宋体" w:hAnsi="宋体" w:eastAsia="宋体" w:cs="宋体"/>
          <w:spacing w:val="2"/>
          <w:sz w:val="24"/>
          <w:szCs w:val="24"/>
        </w:rPr>
        <w:t>文件</w:t>
      </w:r>
      <w:r>
        <w:rPr>
          <w:rFonts w:ascii="宋体" w:hAnsi="宋体" w:eastAsia="宋体" w:cs="宋体"/>
          <w:spacing w:val="1"/>
          <w:sz w:val="24"/>
          <w:szCs w:val="24"/>
        </w:rPr>
        <w:t>，并且兼</w:t>
      </w:r>
      <w:r>
        <w:rPr>
          <w:rFonts w:ascii="宋体" w:hAnsi="宋体" w:eastAsia="宋体" w:cs="宋体"/>
          <w:sz w:val="24"/>
          <w:szCs w:val="24"/>
        </w:rPr>
        <w:t xml:space="preserve"> </w:t>
      </w:r>
      <w:r>
        <w:rPr>
          <w:rFonts w:ascii="宋体" w:hAnsi="宋体" w:eastAsia="宋体" w:cs="宋体"/>
          <w:spacing w:val="-1"/>
          <w:sz w:val="24"/>
          <w:szCs w:val="24"/>
        </w:rPr>
        <w:t>容</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 xml:space="preserve">AERMAP </w:t>
      </w:r>
      <w:r>
        <w:rPr>
          <w:rFonts w:ascii="宋体" w:hAnsi="宋体" w:eastAsia="宋体" w:cs="宋体"/>
          <w:spacing w:val="-1"/>
          <w:sz w:val="24"/>
          <w:szCs w:val="24"/>
        </w:rPr>
        <w:t>格式。</w:t>
      </w:r>
    </w:p>
    <w:p w14:paraId="19E5C638">
      <w:pPr>
        <w:spacing w:before="44" w:line="334" w:lineRule="auto"/>
        <w:ind w:left="8" w:right="80" w:firstLine="479"/>
        <w:rPr>
          <w:rFonts w:ascii="宋体" w:hAnsi="宋体" w:eastAsia="宋体" w:cs="宋体"/>
          <w:sz w:val="24"/>
          <w:szCs w:val="24"/>
        </w:rPr>
      </w:pPr>
      <w:r>
        <w:rPr>
          <w:rFonts w:ascii="宋体" w:hAnsi="宋体" w:eastAsia="宋体" w:cs="宋体"/>
          <w:sz w:val="24"/>
          <w:szCs w:val="24"/>
        </w:rPr>
        <w:t>地形数据使用由</w:t>
      </w:r>
      <w:r>
        <w:rPr>
          <w:rFonts w:ascii="宋体" w:hAnsi="宋体" w:eastAsia="宋体" w:cs="宋体"/>
          <w:spacing w:val="-47"/>
          <w:sz w:val="24"/>
          <w:szCs w:val="24"/>
        </w:rPr>
        <w:t xml:space="preserve"> </w:t>
      </w:r>
      <w:r>
        <w:rPr>
          <w:rFonts w:ascii="Times New Roman" w:hAnsi="Times New Roman" w:eastAsia="Times New Roman" w:cs="Times New Roman"/>
          <w:sz w:val="24"/>
          <w:szCs w:val="24"/>
        </w:rPr>
        <w:t>csi.cgiar.org</w:t>
      </w:r>
      <w:r>
        <w:rPr>
          <w:rFonts w:ascii="Times New Roman" w:hAnsi="Times New Roman" w:eastAsia="Times New Roman" w:cs="Times New Roman"/>
          <w:spacing w:val="19"/>
          <w:sz w:val="24"/>
          <w:szCs w:val="24"/>
        </w:rPr>
        <w:t xml:space="preserve"> </w:t>
      </w:r>
      <w:r>
        <w:rPr>
          <w:rFonts w:ascii="宋体" w:hAnsi="宋体" w:eastAsia="宋体" w:cs="宋体"/>
          <w:sz w:val="24"/>
          <w:szCs w:val="24"/>
        </w:rPr>
        <w:t>下载的</w:t>
      </w:r>
      <w:r>
        <w:rPr>
          <w:rFonts w:ascii="宋体" w:hAnsi="宋体" w:eastAsia="宋体" w:cs="宋体"/>
          <w:spacing w:val="-40"/>
          <w:sz w:val="24"/>
          <w:szCs w:val="24"/>
        </w:rPr>
        <w:t xml:space="preserve"> </w:t>
      </w:r>
      <w:r>
        <w:rPr>
          <w:rFonts w:ascii="Times New Roman" w:hAnsi="Times New Roman" w:eastAsia="Times New Roman" w:cs="Times New Roman"/>
          <w:sz w:val="24"/>
          <w:szCs w:val="24"/>
        </w:rPr>
        <w:t>SRTM</w:t>
      </w:r>
      <w:r>
        <w:rPr>
          <w:rFonts w:ascii="Times New Roman" w:hAnsi="Times New Roman" w:eastAsia="Times New Roman" w:cs="Times New Roman"/>
          <w:spacing w:val="16"/>
          <w:w w:val="101"/>
          <w:sz w:val="24"/>
          <w:szCs w:val="24"/>
        </w:rPr>
        <w:t xml:space="preserve"> </w:t>
      </w:r>
      <w:r>
        <w:rPr>
          <w:rFonts w:ascii="宋体" w:hAnsi="宋体" w:eastAsia="宋体" w:cs="宋体"/>
          <w:sz w:val="24"/>
          <w:szCs w:val="24"/>
        </w:rPr>
        <w:t>数据生成合适的</w:t>
      </w:r>
      <w:r>
        <w:rPr>
          <w:rFonts w:ascii="宋体" w:hAnsi="宋体" w:eastAsia="宋体" w:cs="宋体"/>
          <w:spacing w:val="-54"/>
          <w:sz w:val="24"/>
          <w:szCs w:val="24"/>
        </w:rPr>
        <w:t xml:space="preserve"> </w:t>
      </w:r>
      <w:r>
        <w:rPr>
          <w:rFonts w:ascii="Times New Roman" w:hAnsi="Times New Roman" w:eastAsia="Times New Roman" w:cs="Times New Roman"/>
          <w:sz w:val="24"/>
          <w:szCs w:val="24"/>
        </w:rPr>
        <w:t>DEM</w:t>
      </w:r>
      <w:r>
        <w:rPr>
          <w:rFonts w:ascii="Times New Roman" w:hAnsi="Times New Roman" w:eastAsia="Times New Roman" w:cs="Times New Roman"/>
          <w:spacing w:val="16"/>
          <w:w w:val="101"/>
          <w:sz w:val="24"/>
          <w:szCs w:val="24"/>
        </w:rPr>
        <w:t xml:space="preserve"> </w:t>
      </w:r>
      <w:r>
        <w:rPr>
          <w:rFonts w:ascii="宋体" w:hAnsi="宋体" w:eastAsia="宋体" w:cs="宋体"/>
          <w:sz w:val="24"/>
          <w:szCs w:val="24"/>
        </w:rPr>
        <w:t>文件，分</w:t>
      </w:r>
      <w:r>
        <w:rPr>
          <w:rFonts w:ascii="宋体" w:hAnsi="宋体" w:eastAsia="宋体" w:cs="宋体"/>
          <w:spacing w:val="-1"/>
          <w:sz w:val="24"/>
          <w:szCs w:val="24"/>
        </w:rPr>
        <w:t>辨率为</w:t>
      </w:r>
      <w:r>
        <w:rPr>
          <w:rFonts w:ascii="宋体" w:hAnsi="宋体" w:eastAsia="宋体" w:cs="宋体"/>
          <w:sz w:val="24"/>
          <w:szCs w:val="24"/>
        </w:rPr>
        <w:t xml:space="preserve"> </w:t>
      </w:r>
      <w:r>
        <w:rPr>
          <w:rFonts w:ascii="Times New Roman" w:hAnsi="Times New Roman" w:eastAsia="Times New Roman" w:cs="Times New Roman"/>
          <w:spacing w:val="-2"/>
          <w:sz w:val="24"/>
          <w:szCs w:val="24"/>
        </w:rPr>
        <w:t>90×90m</w:t>
      </w:r>
      <w:r>
        <w:rPr>
          <w:rFonts w:ascii="Times New Roman" w:hAnsi="Times New Roman" w:eastAsia="Times New Roman" w:cs="Times New Roman"/>
          <w:spacing w:val="-28"/>
          <w:sz w:val="24"/>
          <w:szCs w:val="24"/>
        </w:rPr>
        <w:t xml:space="preserve"> </w:t>
      </w:r>
      <w:r>
        <w:rPr>
          <w:rFonts w:ascii="宋体" w:hAnsi="宋体" w:eastAsia="宋体" w:cs="宋体"/>
          <w:spacing w:val="-2"/>
          <w:sz w:val="24"/>
          <w:szCs w:val="24"/>
        </w:rPr>
        <w:t>，地形数据范围为：</w:t>
      </w:r>
      <w:r>
        <w:rPr>
          <w:rFonts w:ascii="Times New Roman" w:hAnsi="Times New Roman" w:eastAsia="Times New Roman" w:cs="Times New Roman"/>
          <w:spacing w:val="-2"/>
          <w:sz w:val="24"/>
          <w:szCs w:val="24"/>
        </w:rPr>
        <w:t>srtm_59_04.ASC</w:t>
      </w:r>
      <w:r>
        <w:rPr>
          <w:rFonts w:ascii="Times New Roman" w:hAnsi="Times New Roman" w:eastAsia="Times New Roman" w:cs="Times New Roman"/>
          <w:spacing w:val="-33"/>
          <w:sz w:val="24"/>
          <w:szCs w:val="24"/>
        </w:rPr>
        <w:t xml:space="preserve"> </w:t>
      </w:r>
      <w:r>
        <w:rPr>
          <w:rFonts w:ascii="宋体" w:hAnsi="宋体" w:eastAsia="宋体" w:cs="宋体"/>
          <w:spacing w:val="-2"/>
          <w:sz w:val="24"/>
          <w:szCs w:val="24"/>
        </w:rPr>
        <w:t>，格式为</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DEM</w:t>
      </w:r>
      <w:r>
        <w:rPr>
          <w:rFonts w:ascii="宋体" w:hAnsi="宋体" w:eastAsia="宋体" w:cs="宋体"/>
          <w:spacing w:val="-2"/>
          <w:sz w:val="24"/>
          <w:szCs w:val="24"/>
        </w:rPr>
        <w:t>。</w:t>
      </w:r>
    </w:p>
    <w:p w14:paraId="74E05E52">
      <w:pPr>
        <w:spacing w:before="68" w:line="219" w:lineRule="auto"/>
        <w:ind w:left="5"/>
        <w:outlineLvl w:val="3"/>
        <w:rPr>
          <w:rFonts w:ascii="宋体" w:hAnsi="宋体" w:eastAsia="宋体" w:cs="宋体"/>
          <w:sz w:val="24"/>
          <w:szCs w:val="24"/>
        </w:rPr>
      </w:pPr>
      <w:r>
        <w:fldChar w:fldCharType="begin"/>
      </w:r>
      <w:r>
        <w:instrText xml:space="preserve"> HYPERLINK "4.1.2.3" </w:instrText>
      </w:r>
      <w:r>
        <w:fldChar w:fldCharType="separate"/>
      </w:r>
      <w:r>
        <w:rPr>
          <w:rFonts w:ascii="Times New Roman" w:hAnsi="Times New Roman" w:eastAsia="Times New Roman" w:cs="Times New Roman"/>
          <w:b/>
          <w:bCs/>
          <w:spacing w:val="-2"/>
          <w:sz w:val="24"/>
          <w:szCs w:val="24"/>
        </w:rPr>
        <w:t>4.1.2.3</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气象数据</w:t>
      </w:r>
    </w:p>
    <w:p w14:paraId="3B93B605">
      <w:pPr>
        <w:spacing w:before="102" w:line="345" w:lineRule="auto"/>
        <w:ind w:left="7" w:right="80" w:firstLine="480"/>
        <w:rPr>
          <w:rFonts w:ascii="宋体" w:hAnsi="宋体" w:eastAsia="宋体" w:cs="宋体"/>
          <w:sz w:val="24"/>
          <w:szCs w:val="24"/>
        </w:rPr>
      </w:pPr>
      <w:r>
        <w:rPr>
          <w:rFonts w:ascii="宋体" w:hAnsi="宋体" w:eastAsia="宋体" w:cs="宋体"/>
          <w:spacing w:val="1"/>
          <w:sz w:val="24"/>
          <w:szCs w:val="24"/>
        </w:rPr>
        <w:t>地面气象数据选用朱日和气象站</w:t>
      </w:r>
      <w:r>
        <w:rPr>
          <w:rFonts w:ascii="宋体" w:hAnsi="宋体" w:eastAsia="宋体" w:cs="宋体"/>
          <w:spacing w:val="-37"/>
          <w:sz w:val="24"/>
          <w:szCs w:val="24"/>
        </w:rPr>
        <w:t xml:space="preserve"> </w:t>
      </w:r>
      <w:r>
        <w:rPr>
          <w:rFonts w:ascii="Times New Roman" w:hAnsi="Times New Roman" w:eastAsia="Times New Roman" w:cs="Times New Roman"/>
          <w:spacing w:val="1"/>
          <w:sz w:val="24"/>
          <w:szCs w:val="24"/>
        </w:rPr>
        <w:t xml:space="preserve">2023 </w:t>
      </w:r>
      <w:r>
        <w:rPr>
          <w:rFonts w:ascii="宋体" w:hAnsi="宋体" w:eastAsia="宋体" w:cs="宋体"/>
          <w:spacing w:val="1"/>
          <w:sz w:val="24"/>
          <w:szCs w:val="24"/>
        </w:rPr>
        <w:t>年逐日、逐次地面观测数据，高空气象数据</w:t>
      </w:r>
      <w:r>
        <w:rPr>
          <w:rFonts w:ascii="宋体" w:hAnsi="宋体" w:eastAsia="宋体" w:cs="宋体"/>
          <w:sz w:val="24"/>
          <w:szCs w:val="24"/>
        </w:rPr>
        <w:t xml:space="preserve"> </w:t>
      </w:r>
      <w:r>
        <w:rPr>
          <w:rFonts w:ascii="宋体" w:hAnsi="宋体" w:eastAsia="宋体" w:cs="宋体"/>
          <w:spacing w:val="-2"/>
          <w:sz w:val="24"/>
          <w:szCs w:val="24"/>
        </w:rPr>
        <w:t>采用中尺度气象模拟数据（</w:t>
      </w:r>
      <w:r>
        <w:rPr>
          <w:rFonts w:ascii="Times New Roman" w:hAnsi="Times New Roman" w:eastAsia="Times New Roman" w:cs="Times New Roman"/>
          <w:spacing w:val="-2"/>
          <w:sz w:val="24"/>
          <w:szCs w:val="24"/>
        </w:rPr>
        <w:t xml:space="preserve">2023 </w:t>
      </w:r>
      <w:r>
        <w:rPr>
          <w:rFonts w:ascii="宋体" w:hAnsi="宋体" w:eastAsia="宋体" w:cs="宋体"/>
          <w:spacing w:val="-2"/>
          <w:sz w:val="24"/>
          <w:szCs w:val="24"/>
        </w:rPr>
        <w:t>年</w:t>
      </w:r>
      <w:r>
        <w:rPr>
          <w:rFonts w:ascii="宋体" w:hAnsi="宋体" w:eastAsia="宋体" w:cs="宋体"/>
          <w:spacing w:val="13"/>
          <w:sz w:val="24"/>
          <w:szCs w:val="24"/>
        </w:rPr>
        <w:t>），</w:t>
      </w:r>
      <w:r>
        <w:rPr>
          <w:rFonts w:ascii="宋体" w:hAnsi="宋体" w:eastAsia="宋体" w:cs="宋体"/>
          <w:spacing w:val="-2"/>
          <w:sz w:val="24"/>
          <w:szCs w:val="24"/>
        </w:rPr>
        <w:t>气象数据基本信息见表</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4.1-11~</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2"/>
          <w:sz w:val="24"/>
          <w:szCs w:val="24"/>
        </w:rPr>
        <w:t>12</w:t>
      </w:r>
      <w:r>
        <w:rPr>
          <w:rFonts w:ascii="宋体" w:hAnsi="宋体" w:eastAsia="宋体" w:cs="宋体"/>
          <w:spacing w:val="-2"/>
          <w:sz w:val="24"/>
          <w:szCs w:val="24"/>
        </w:rPr>
        <w:t>。</w:t>
      </w:r>
    </w:p>
    <w:p w14:paraId="065ECC00">
      <w:pPr>
        <w:spacing w:line="345" w:lineRule="auto"/>
        <w:rPr>
          <w:rFonts w:ascii="宋体" w:hAnsi="宋体" w:eastAsia="宋体" w:cs="宋体"/>
          <w:sz w:val="24"/>
          <w:szCs w:val="24"/>
        </w:rPr>
        <w:sectPr>
          <w:headerReference r:id="rId265" w:type="default"/>
          <w:footerReference r:id="rId266" w:type="default"/>
          <w:pgSz w:w="11906" w:h="16839"/>
          <w:pgMar w:top="1191" w:right="1337" w:bottom="1156" w:left="1417" w:header="882" w:footer="994" w:gutter="0"/>
          <w:cols w:space="720" w:num="1"/>
        </w:sectPr>
      </w:pPr>
    </w:p>
    <w:p w14:paraId="2A432A80">
      <w:pPr>
        <w:spacing w:line="28" w:lineRule="exact"/>
      </w:pPr>
      <w:r>
        <w:pict>
          <v:shape id="_x0000_s1787" o:spid="_x0000_s1787" style="height:1.45pt;width:453.65pt;" fillcolor="#000000" filled="t" stroked="f" coordsize="9072,29" path="m0,0l9072,0,9072,28,0,28,0,0xe">
            <v:path/>
            <v:fill on="t" focussize="0,0"/>
            <v:stroke on="f"/>
            <v:imagedata o:title=""/>
            <o:lock v:ext="edit"/>
            <w10:wrap type="none"/>
            <w10:anchorlock/>
          </v:shape>
        </w:pict>
      </w:r>
    </w:p>
    <w:p w14:paraId="0991F493">
      <w:pPr>
        <w:spacing w:before="227" w:line="228" w:lineRule="auto"/>
        <w:ind w:left="3092"/>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4"/>
          <w:sz w:val="20"/>
          <w:szCs w:val="20"/>
        </w:rPr>
        <w:t xml:space="preserve">4.1-11        </w:t>
      </w:r>
      <w:r>
        <w:rPr>
          <w:rFonts w:ascii="宋体" w:hAnsi="宋体" w:eastAsia="宋体" w:cs="宋体"/>
          <w:b/>
          <w:bCs/>
          <w:spacing w:val="4"/>
          <w:sz w:val="20"/>
          <w:szCs w:val="20"/>
        </w:rPr>
        <w:t>观测气象数据信息</w:t>
      </w:r>
    </w:p>
    <w:p w14:paraId="37422126">
      <w:pPr>
        <w:spacing w:line="130" w:lineRule="exact"/>
      </w:pPr>
    </w:p>
    <w:tbl>
      <w:tblPr>
        <w:tblStyle w:val="5"/>
        <w:tblW w:w="9066"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38"/>
        <w:gridCol w:w="886"/>
        <w:gridCol w:w="813"/>
        <w:gridCol w:w="1714"/>
        <w:gridCol w:w="800"/>
        <w:gridCol w:w="782"/>
        <w:gridCol w:w="657"/>
        <w:gridCol w:w="2276"/>
      </w:tblGrid>
      <w:tr w14:paraId="656B00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1138" w:type="dxa"/>
            <w:tcBorders>
              <w:top w:val="single" w:color="000000" w:sz="10" w:space="0"/>
              <w:left w:val="nil"/>
            </w:tcBorders>
            <w:vAlign w:val="top"/>
          </w:tcPr>
          <w:p w14:paraId="38E37D14">
            <w:pPr>
              <w:pStyle w:val="6"/>
              <w:spacing w:before="170" w:line="228" w:lineRule="auto"/>
              <w:ind w:left="51"/>
              <w:rPr>
                <w:sz w:val="20"/>
                <w:szCs w:val="20"/>
              </w:rPr>
            </w:pPr>
            <w:r>
              <w:rPr>
                <w:spacing w:val="7"/>
                <w:sz w:val="20"/>
                <w:szCs w:val="20"/>
              </w:rPr>
              <w:t>气象站名称</w:t>
            </w:r>
          </w:p>
        </w:tc>
        <w:tc>
          <w:tcPr>
            <w:tcW w:w="886" w:type="dxa"/>
            <w:tcBorders>
              <w:top w:val="single" w:color="000000" w:sz="10" w:space="0"/>
            </w:tcBorders>
            <w:vAlign w:val="top"/>
          </w:tcPr>
          <w:p w14:paraId="7C093E7B">
            <w:pPr>
              <w:pStyle w:val="6"/>
              <w:spacing w:before="34" w:line="228" w:lineRule="auto"/>
              <w:ind w:left="347" w:right="22" w:hanging="318"/>
              <w:rPr>
                <w:sz w:val="20"/>
                <w:szCs w:val="20"/>
              </w:rPr>
            </w:pPr>
            <w:r>
              <w:rPr>
                <w:spacing w:val="7"/>
                <w:sz w:val="20"/>
                <w:szCs w:val="20"/>
              </w:rPr>
              <w:t>气象站编</w:t>
            </w:r>
            <w:r>
              <w:rPr>
                <w:sz w:val="20"/>
                <w:szCs w:val="20"/>
              </w:rPr>
              <w:t xml:space="preserve"> 号</w:t>
            </w:r>
          </w:p>
        </w:tc>
        <w:tc>
          <w:tcPr>
            <w:tcW w:w="813" w:type="dxa"/>
            <w:tcBorders>
              <w:top w:val="single" w:color="000000" w:sz="10" w:space="0"/>
            </w:tcBorders>
            <w:vAlign w:val="top"/>
          </w:tcPr>
          <w:p w14:paraId="54DEA93F">
            <w:pPr>
              <w:pStyle w:val="6"/>
              <w:spacing w:before="34" w:line="228" w:lineRule="auto"/>
              <w:ind w:left="202" w:right="91" w:hanging="106"/>
              <w:rPr>
                <w:sz w:val="20"/>
                <w:szCs w:val="20"/>
              </w:rPr>
            </w:pPr>
            <w:r>
              <w:rPr>
                <w:spacing w:val="6"/>
                <w:sz w:val="20"/>
                <w:szCs w:val="20"/>
              </w:rPr>
              <w:t>气象站</w:t>
            </w:r>
            <w:r>
              <w:rPr>
                <w:sz w:val="20"/>
                <w:szCs w:val="20"/>
              </w:rPr>
              <w:t xml:space="preserve"> </w:t>
            </w:r>
            <w:r>
              <w:rPr>
                <w:spacing w:val="3"/>
                <w:sz w:val="20"/>
                <w:szCs w:val="20"/>
              </w:rPr>
              <w:t>等级</w:t>
            </w:r>
          </w:p>
        </w:tc>
        <w:tc>
          <w:tcPr>
            <w:tcW w:w="1714" w:type="dxa"/>
            <w:tcBorders>
              <w:top w:val="single" w:color="000000" w:sz="10" w:space="0"/>
            </w:tcBorders>
            <w:vAlign w:val="top"/>
          </w:tcPr>
          <w:p w14:paraId="14781559">
            <w:pPr>
              <w:pStyle w:val="6"/>
              <w:spacing w:before="170" w:line="228" w:lineRule="auto"/>
              <w:ind w:left="339"/>
              <w:rPr>
                <w:sz w:val="20"/>
                <w:szCs w:val="20"/>
              </w:rPr>
            </w:pPr>
            <w:r>
              <w:rPr>
                <w:spacing w:val="7"/>
                <w:sz w:val="20"/>
                <w:szCs w:val="20"/>
              </w:rPr>
              <w:t>气象站坐标</w:t>
            </w:r>
          </w:p>
        </w:tc>
        <w:tc>
          <w:tcPr>
            <w:tcW w:w="800" w:type="dxa"/>
            <w:tcBorders>
              <w:top w:val="single" w:color="000000" w:sz="10" w:space="0"/>
            </w:tcBorders>
            <w:vAlign w:val="top"/>
          </w:tcPr>
          <w:p w14:paraId="4D418300">
            <w:pPr>
              <w:pStyle w:val="6"/>
              <w:spacing w:before="34" w:line="228" w:lineRule="auto"/>
              <w:ind w:left="138" w:right="83" w:hanging="48"/>
              <w:rPr>
                <w:rFonts w:ascii="Times New Roman" w:hAnsi="Times New Roman" w:eastAsia="Times New Roman" w:cs="Times New Roman"/>
                <w:sz w:val="20"/>
                <w:szCs w:val="20"/>
              </w:rPr>
            </w:pPr>
            <w:r>
              <w:rPr>
                <w:spacing w:val="6"/>
                <w:sz w:val="20"/>
                <w:szCs w:val="20"/>
              </w:rPr>
              <w:t>相对距</w:t>
            </w:r>
            <w:r>
              <w:rPr>
                <w:spacing w:val="1"/>
                <w:sz w:val="20"/>
                <w:szCs w:val="20"/>
              </w:rPr>
              <w:t xml:space="preserve"> </w:t>
            </w:r>
            <w:r>
              <w:rPr>
                <w:spacing w:val="7"/>
                <w:sz w:val="20"/>
                <w:szCs w:val="20"/>
              </w:rPr>
              <w:t>离</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km</w:t>
            </w:r>
          </w:p>
        </w:tc>
        <w:tc>
          <w:tcPr>
            <w:tcW w:w="782" w:type="dxa"/>
            <w:tcBorders>
              <w:top w:val="single" w:color="000000" w:sz="10" w:space="0"/>
            </w:tcBorders>
            <w:vAlign w:val="top"/>
          </w:tcPr>
          <w:p w14:paraId="5F41A87D">
            <w:pPr>
              <w:pStyle w:val="6"/>
              <w:spacing w:before="171" w:line="228" w:lineRule="auto"/>
              <w:ind w:left="74"/>
              <w:rPr>
                <w:rFonts w:ascii="Times New Roman" w:hAnsi="Times New Roman" w:eastAsia="Times New Roman" w:cs="Times New Roman"/>
                <w:sz w:val="20"/>
                <w:szCs w:val="20"/>
              </w:rPr>
            </w:pPr>
            <w:r>
              <w:rPr>
                <w:spacing w:val="5"/>
                <w:sz w:val="20"/>
                <w:szCs w:val="20"/>
              </w:rPr>
              <w:t>海拔</w:t>
            </w:r>
            <w:r>
              <w:rPr>
                <w:rFonts w:ascii="Times New Roman" w:hAnsi="Times New Roman" w:eastAsia="Times New Roman" w:cs="Times New Roman"/>
                <w:spacing w:val="5"/>
                <w:sz w:val="20"/>
                <w:szCs w:val="20"/>
              </w:rPr>
              <w:t>/m</w:t>
            </w:r>
          </w:p>
        </w:tc>
        <w:tc>
          <w:tcPr>
            <w:tcW w:w="657" w:type="dxa"/>
            <w:tcBorders>
              <w:top w:val="single" w:color="000000" w:sz="10" w:space="0"/>
            </w:tcBorders>
            <w:vAlign w:val="top"/>
          </w:tcPr>
          <w:p w14:paraId="3E991B43">
            <w:pPr>
              <w:pStyle w:val="6"/>
              <w:spacing w:before="34" w:line="228" w:lineRule="auto"/>
              <w:ind w:left="229" w:right="12" w:hanging="209"/>
              <w:rPr>
                <w:sz w:val="20"/>
                <w:szCs w:val="20"/>
              </w:rPr>
            </w:pPr>
            <w:r>
              <w:rPr>
                <w:spacing w:val="6"/>
                <w:sz w:val="20"/>
                <w:szCs w:val="20"/>
              </w:rPr>
              <w:t>数据年</w:t>
            </w:r>
            <w:r>
              <w:rPr>
                <w:sz w:val="20"/>
                <w:szCs w:val="20"/>
              </w:rPr>
              <w:t xml:space="preserve"> 份</w:t>
            </w:r>
          </w:p>
        </w:tc>
        <w:tc>
          <w:tcPr>
            <w:tcW w:w="2276" w:type="dxa"/>
            <w:tcBorders>
              <w:top w:val="single" w:color="000000" w:sz="10" w:space="0"/>
              <w:right w:val="nil"/>
            </w:tcBorders>
            <w:vAlign w:val="top"/>
          </w:tcPr>
          <w:p w14:paraId="25C66AC2">
            <w:pPr>
              <w:pStyle w:val="6"/>
              <w:spacing w:before="170" w:line="228" w:lineRule="auto"/>
              <w:ind w:left="725"/>
              <w:rPr>
                <w:sz w:val="20"/>
                <w:szCs w:val="20"/>
              </w:rPr>
            </w:pPr>
            <w:r>
              <w:rPr>
                <w:spacing w:val="7"/>
                <w:sz w:val="20"/>
                <w:szCs w:val="20"/>
              </w:rPr>
              <w:t>气象要素</w:t>
            </w:r>
          </w:p>
        </w:tc>
      </w:tr>
      <w:tr w14:paraId="29E5B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trPr>
        <w:tc>
          <w:tcPr>
            <w:tcW w:w="1138" w:type="dxa"/>
            <w:tcBorders>
              <w:left w:val="nil"/>
              <w:bottom w:val="single" w:color="000000" w:sz="10" w:space="0"/>
            </w:tcBorders>
            <w:vAlign w:val="top"/>
          </w:tcPr>
          <w:p w14:paraId="1878858D">
            <w:pPr>
              <w:pStyle w:val="6"/>
              <w:spacing w:before="44" w:line="233" w:lineRule="auto"/>
              <w:ind w:left="471" w:right="43" w:hanging="420"/>
              <w:rPr>
                <w:sz w:val="20"/>
                <w:szCs w:val="20"/>
              </w:rPr>
            </w:pPr>
            <w:r>
              <w:rPr>
                <w:spacing w:val="8"/>
                <w:sz w:val="20"/>
                <w:szCs w:val="20"/>
              </w:rPr>
              <w:t>朱日和气象</w:t>
            </w:r>
            <w:r>
              <w:rPr>
                <w:sz w:val="20"/>
                <w:szCs w:val="20"/>
              </w:rPr>
              <w:t xml:space="preserve"> 站</w:t>
            </w:r>
          </w:p>
        </w:tc>
        <w:tc>
          <w:tcPr>
            <w:tcW w:w="886" w:type="dxa"/>
            <w:tcBorders>
              <w:bottom w:val="single" w:color="000000" w:sz="10" w:space="0"/>
            </w:tcBorders>
            <w:vAlign w:val="top"/>
          </w:tcPr>
          <w:p w14:paraId="19A302B6">
            <w:pPr>
              <w:spacing w:before="213" w:line="195" w:lineRule="auto"/>
              <w:ind w:left="18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53276</w:t>
            </w:r>
          </w:p>
        </w:tc>
        <w:tc>
          <w:tcPr>
            <w:tcW w:w="813" w:type="dxa"/>
            <w:tcBorders>
              <w:bottom w:val="single" w:color="000000" w:sz="10" w:space="0"/>
            </w:tcBorders>
            <w:vAlign w:val="top"/>
          </w:tcPr>
          <w:p w14:paraId="08CE987E">
            <w:pPr>
              <w:pStyle w:val="6"/>
              <w:spacing w:before="177" w:line="229" w:lineRule="auto"/>
              <w:ind w:left="98"/>
              <w:rPr>
                <w:sz w:val="20"/>
                <w:szCs w:val="20"/>
              </w:rPr>
            </w:pPr>
            <w:r>
              <w:rPr>
                <w:spacing w:val="5"/>
                <w:sz w:val="20"/>
                <w:szCs w:val="20"/>
              </w:rPr>
              <w:t>一般站</w:t>
            </w:r>
          </w:p>
        </w:tc>
        <w:tc>
          <w:tcPr>
            <w:tcW w:w="1714" w:type="dxa"/>
            <w:tcBorders>
              <w:bottom w:val="single" w:color="000000" w:sz="10" w:space="0"/>
            </w:tcBorders>
            <w:vAlign w:val="top"/>
          </w:tcPr>
          <w:p w14:paraId="51D383B4">
            <w:pPr>
              <w:pStyle w:val="6"/>
              <w:spacing w:before="56" w:line="241" w:lineRule="auto"/>
              <w:ind w:left="646" w:right="120" w:hanging="516"/>
              <w:rPr>
                <w:rFonts w:ascii="Times New Roman" w:hAnsi="Times New Roman" w:eastAsia="Times New Roman" w:cs="Times New Roman"/>
                <w:sz w:val="20"/>
                <w:szCs w:val="20"/>
              </w:rPr>
            </w:pPr>
            <w:r>
              <w:rPr>
                <w:spacing w:val="2"/>
                <w:sz w:val="20"/>
                <w:szCs w:val="20"/>
              </w:rPr>
              <w:t>北纬</w:t>
            </w:r>
            <w:r>
              <w:rPr>
                <w:spacing w:val="-36"/>
                <w:sz w:val="20"/>
                <w:szCs w:val="20"/>
              </w:rPr>
              <w:t xml:space="preserve"> </w:t>
            </w:r>
            <w:r>
              <w:rPr>
                <w:rFonts w:ascii="Times New Roman" w:hAnsi="Times New Roman" w:eastAsia="Times New Roman" w:cs="Times New Roman"/>
                <w:spacing w:val="2"/>
                <w:sz w:val="20"/>
                <w:szCs w:val="20"/>
              </w:rPr>
              <w:t>42.4</w:t>
            </w:r>
            <w:r>
              <w:rPr>
                <w:rFonts w:ascii="Times New Roman" w:hAnsi="Times New Roman" w:eastAsia="Times New Roman" w:cs="Times New Roman"/>
                <w:spacing w:val="-26"/>
                <w:sz w:val="20"/>
                <w:szCs w:val="20"/>
              </w:rPr>
              <w:t xml:space="preserve"> </w:t>
            </w:r>
            <w:r>
              <w:rPr>
                <w:spacing w:val="2"/>
                <w:sz w:val="20"/>
                <w:szCs w:val="20"/>
              </w:rPr>
              <w:t>，东经</w:t>
            </w:r>
            <w:r>
              <w:rPr>
                <w:sz w:val="20"/>
                <w:szCs w:val="20"/>
              </w:rPr>
              <w:t xml:space="preserve"> </w:t>
            </w:r>
            <w:r>
              <w:rPr>
                <w:rFonts w:ascii="Times New Roman" w:hAnsi="Times New Roman" w:eastAsia="Times New Roman" w:cs="Times New Roman"/>
                <w:spacing w:val="-2"/>
                <w:sz w:val="20"/>
                <w:szCs w:val="20"/>
              </w:rPr>
              <w:t>112.9</w:t>
            </w:r>
          </w:p>
        </w:tc>
        <w:tc>
          <w:tcPr>
            <w:tcW w:w="800" w:type="dxa"/>
            <w:tcBorders>
              <w:bottom w:val="single" w:color="000000" w:sz="10" w:space="0"/>
            </w:tcBorders>
            <w:vAlign w:val="top"/>
          </w:tcPr>
          <w:p w14:paraId="0118CCA9">
            <w:pPr>
              <w:spacing w:before="213" w:line="195" w:lineRule="auto"/>
              <w:ind w:left="21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2.56</w:t>
            </w:r>
          </w:p>
        </w:tc>
        <w:tc>
          <w:tcPr>
            <w:tcW w:w="782" w:type="dxa"/>
            <w:tcBorders>
              <w:bottom w:val="single" w:color="000000" w:sz="10" w:space="0"/>
            </w:tcBorders>
            <w:vAlign w:val="top"/>
          </w:tcPr>
          <w:p w14:paraId="34F1F537">
            <w:pPr>
              <w:spacing w:before="213" w:line="195" w:lineRule="auto"/>
              <w:ind w:left="12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1150.8</w:t>
            </w:r>
          </w:p>
        </w:tc>
        <w:tc>
          <w:tcPr>
            <w:tcW w:w="657" w:type="dxa"/>
            <w:tcBorders>
              <w:bottom w:val="single" w:color="000000" w:sz="10" w:space="0"/>
            </w:tcBorders>
            <w:vAlign w:val="top"/>
          </w:tcPr>
          <w:p w14:paraId="77C7C243">
            <w:pPr>
              <w:spacing w:before="213" w:line="195" w:lineRule="auto"/>
              <w:ind w:left="1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2023</w:t>
            </w:r>
          </w:p>
        </w:tc>
        <w:tc>
          <w:tcPr>
            <w:tcW w:w="2276" w:type="dxa"/>
            <w:tcBorders>
              <w:bottom w:val="single" w:color="000000" w:sz="10" w:space="0"/>
              <w:right w:val="nil"/>
            </w:tcBorders>
            <w:vAlign w:val="top"/>
          </w:tcPr>
          <w:p w14:paraId="0A434AEF">
            <w:pPr>
              <w:pStyle w:val="6"/>
              <w:spacing w:before="44" w:line="233" w:lineRule="auto"/>
              <w:ind w:left="702" w:hanging="692"/>
              <w:rPr>
                <w:sz w:val="20"/>
                <w:szCs w:val="20"/>
              </w:rPr>
            </w:pPr>
            <w:r>
              <w:rPr>
                <w:spacing w:val="-12"/>
                <w:sz w:val="20"/>
                <w:szCs w:val="20"/>
              </w:rPr>
              <w:t>风向、风速、总云、低云、</w:t>
            </w:r>
            <w:r>
              <w:rPr>
                <w:spacing w:val="6"/>
                <w:sz w:val="20"/>
                <w:szCs w:val="20"/>
              </w:rPr>
              <w:t xml:space="preserve"> </w:t>
            </w:r>
            <w:r>
              <w:rPr>
                <w:spacing w:val="1"/>
                <w:sz w:val="20"/>
                <w:szCs w:val="20"/>
              </w:rPr>
              <w:t>干球温度</w:t>
            </w:r>
          </w:p>
        </w:tc>
      </w:tr>
    </w:tbl>
    <w:p w14:paraId="17D58E6E">
      <w:pPr>
        <w:spacing w:before="32" w:line="228" w:lineRule="auto"/>
        <w:ind w:left="3087"/>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7"/>
          <w:sz w:val="20"/>
          <w:szCs w:val="20"/>
        </w:rPr>
        <w:t xml:space="preserve"> </w:t>
      </w:r>
      <w:r>
        <w:rPr>
          <w:rFonts w:ascii="Times New Roman" w:hAnsi="Times New Roman" w:eastAsia="Times New Roman" w:cs="Times New Roman"/>
          <w:b/>
          <w:bCs/>
          <w:spacing w:val="4"/>
          <w:sz w:val="20"/>
          <w:szCs w:val="20"/>
        </w:rPr>
        <w:t xml:space="preserve">4.1-12        </w:t>
      </w:r>
      <w:r>
        <w:rPr>
          <w:rFonts w:ascii="宋体" w:hAnsi="宋体" w:eastAsia="宋体" w:cs="宋体"/>
          <w:b/>
          <w:bCs/>
          <w:spacing w:val="4"/>
          <w:sz w:val="20"/>
          <w:szCs w:val="20"/>
        </w:rPr>
        <w:t>高空气象数据信息</w:t>
      </w:r>
    </w:p>
    <w:p w14:paraId="6F97B5E5">
      <w:pPr>
        <w:spacing w:line="130"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93"/>
        <w:gridCol w:w="868"/>
        <w:gridCol w:w="1314"/>
        <w:gridCol w:w="1011"/>
        <w:gridCol w:w="3849"/>
        <w:gridCol w:w="1137"/>
      </w:tblGrid>
      <w:tr w14:paraId="4EFB95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1761" w:type="dxa"/>
            <w:gridSpan w:val="2"/>
            <w:tcBorders>
              <w:top w:val="single" w:color="000000" w:sz="10" w:space="0"/>
              <w:left w:val="nil"/>
            </w:tcBorders>
            <w:vAlign w:val="top"/>
          </w:tcPr>
          <w:p w14:paraId="596DCC2B">
            <w:pPr>
              <w:pStyle w:val="6"/>
              <w:spacing w:before="37" w:line="208" w:lineRule="auto"/>
              <w:ind w:left="251"/>
              <w:rPr>
                <w:rFonts w:ascii="Times New Roman" w:hAnsi="Times New Roman" w:eastAsia="Times New Roman" w:cs="Times New Roman"/>
                <w:sz w:val="20"/>
                <w:szCs w:val="20"/>
              </w:rPr>
            </w:pPr>
            <w:r>
              <w:rPr>
                <w:spacing w:val="7"/>
                <w:sz w:val="20"/>
                <w:szCs w:val="20"/>
              </w:rPr>
              <w:t>模拟点坐标</w:t>
            </w:r>
            <w:r>
              <w:rPr>
                <w:rFonts w:ascii="Times New Roman" w:hAnsi="Times New Roman" w:eastAsia="Times New Roman" w:cs="Times New Roman"/>
                <w:spacing w:val="7"/>
                <w:sz w:val="20"/>
                <w:szCs w:val="20"/>
              </w:rPr>
              <w:t>/m</w:t>
            </w:r>
          </w:p>
        </w:tc>
        <w:tc>
          <w:tcPr>
            <w:tcW w:w="1314" w:type="dxa"/>
            <w:vMerge w:val="restart"/>
            <w:tcBorders>
              <w:top w:val="single" w:color="000000" w:sz="10" w:space="0"/>
              <w:bottom w:val="nil"/>
            </w:tcBorders>
            <w:vAlign w:val="top"/>
          </w:tcPr>
          <w:p w14:paraId="7DBD1344">
            <w:pPr>
              <w:pStyle w:val="6"/>
              <w:spacing w:before="174" w:line="228" w:lineRule="auto"/>
              <w:ind w:left="79"/>
              <w:rPr>
                <w:rFonts w:ascii="Times New Roman" w:hAnsi="Times New Roman" w:eastAsia="Times New Roman" w:cs="Times New Roman"/>
                <w:sz w:val="20"/>
                <w:szCs w:val="20"/>
              </w:rPr>
            </w:pPr>
            <w:r>
              <w:rPr>
                <w:spacing w:val="8"/>
                <w:sz w:val="20"/>
                <w:szCs w:val="20"/>
              </w:rPr>
              <w:t>相对距离</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km</w:t>
            </w:r>
          </w:p>
        </w:tc>
        <w:tc>
          <w:tcPr>
            <w:tcW w:w="1011" w:type="dxa"/>
            <w:vMerge w:val="restart"/>
            <w:tcBorders>
              <w:top w:val="single" w:color="000000" w:sz="10" w:space="0"/>
              <w:bottom w:val="nil"/>
            </w:tcBorders>
            <w:vAlign w:val="top"/>
          </w:tcPr>
          <w:p w14:paraId="49700FBE">
            <w:pPr>
              <w:pStyle w:val="6"/>
              <w:spacing w:before="173" w:line="228" w:lineRule="auto"/>
              <w:ind w:left="92"/>
              <w:rPr>
                <w:sz w:val="20"/>
                <w:szCs w:val="20"/>
              </w:rPr>
            </w:pPr>
            <w:r>
              <w:rPr>
                <w:spacing w:val="6"/>
                <w:sz w:val="20"/>
                <w:szCs w:val="20"/>
              </w:rPr>
              <w:t>数据年份</w:t>
            </w:r>
          </w:p>
        </w:tc>
        <w:tc>
          <w:tcPr>
            <w:tcW w:w="3849" w:type="dxa"/>
            <w:vMerge w:val="restart"/>
            <w:tcBorders>
              <w:top w:val="single" w:color="000000" w:sz="10" w:space="0"/>
              <w:bottom w:val="nil"/>
            </w:tcBorders>
            <w:vAlign w:val="top"/>
          </w:tcPr>
          <w:p w14:paraId="3ABCAC54">
            <w:pPr>
              <w:pStyle w:val="6"/>
              <w:spacing w:before="173" w:line="227" w:lineRule="auto"/>
              <w:ind w:left="1298"/>
              <w:rPr>
                <w:sz w:val="20"/>
                <w:szCs w:val="20"/>
              </w:rPr>
            </w:pPr>
            <w:r>
              <w:rPr>
                <w:spacing w:val="8"/>
                <w:sz w:val="20"/>
                <w:szCs w:val="20"/>
              </w:rPr>
              <w:t>模拟气象要素</w:t>
            </w:r>
          </w:p>
        </w:tc>
        <w:tc>
          <w:tcPr>
            <w:tcW w:w="1137" w:type="dxa"/>
            <w:vMerge w:val="restart"/>
            <w:tcBorders>
              <w:top w:val="single" w:color="000000" w:sz="10" w:space="0"/>
              <w:bottom w:val="nil"/>
              <w:right w:val="nil"/>
            </w:tcBorders>
            <w:vAlign w:val="top"/>
          </w:tcPr>
          <w:p w14:paraId="39721F70">
            <w:pPr>
              <w:pStyle w:val="6"/>
              <w:spacing w:before="173" w:line="227" w:lineRule="auto"/>
              <w:ind w:left="154"/>
              <w:rPr>
                <w:sz w:val="20"/>
                <w:szCs w:val="20"/>
              </w:rPr>
            </w:pPr>
            <w:r>
              <w:rPr>
                <w:spacing w:val="7"/>
                <w:sz w:val="20"/>
                <w:szCs w:val="20"/>
              </w:rPr>
              <w:t>模拟方式</w:t>
            </w:r>
          </w:p>
        </w:tc>
      </w:tr>
      <w:tr w14:paraId="08EEEA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6" w:hRule="atLeast"/>
        </w:trPr>
        <w:tc>
          <w:tcPr>
            <w:tcW w:w="893" w:type="dxa"/>
            <w:tcBorders>
              <w:left w:val="nil"/>
            </w:tcBorders>
            <w:vAlign w:val="top"/>
          </w:tcPr>
          <w:p w14:paraId="666F2B94">
            <w:pPr>
              <w:pStyle w:val="6"/>
              <w:spacing w:before="34" w:line="204" w:lineRule="auto"/>
              <w:ind w:left="244"/>
              <w:rPr>
                <w:sz w:val="20"/>
                <w:szCs w:val="20"/>
              </w:rPr>
            </w:pPr>
            <w:r>
              <w:rPr>
                <w:spacing w:val="3"/>
                <w:sz w:val="20"/>
                <w:szCs w:val="20"/>
              </w:rPr>
              <w:t>经度</w:t>
            </w:r>
          </w:p>
        </w:tc>
        <w:tc>
          <w:tcPr>
            <w:tcW w:w="868" w:type="dxa"/>
            <w:vAlign w:val="top"/>
          </w:tcPr>
          <w:p w14:paraId="5320F8F6">
            <w:pPr>
              <w:pStyle w:val="6"/>
              <w:spacing w:before="34" w:line="204" w:lineRule="auto"/>
              <w:ind w:left="230"/>
              <w:rPr>
                <w:sz w:val="20"/>
                <w:szCs w:val="20"/>
              </w:rPr>
            </w:pPr>
            <w:r>
              <w:rPr>
                <w:spacing w:val="4"/>
                <w:sz w:val="20"/>
                <w:szCs w:val="20"/>
              </w:rPr>
              <w:t>纬度</w:t>
            </w:r>
          </w:p>
        </w:tc>
        <w:tc>
          <w:tcPr>
            <w:tcW w:w="1314" w:type="dxa"/>
            <w:vMerge w:val="continue"/>
            <w:tcBorders>
              <w:top w:val="nil"/>
            </w:tcBorders>
            <w:vAlign w:val="top"/>
          </w:tcPr>
          <w:p w14:paraId="61F9CB61">
            <w:pPr>
              <w:rPr>
                <w:rFonts w:ascii="Arial"/>
                <w:sz w:val="21"/>
              </w:rPr>
            </w:pPr>
          </w:p>
        </w:tc>
        <w:tc>
          <w:tcPr>
            <w:tcW w:w="1011" w:type="dxa"/>
            <w:vMerge w:val="continue"/>
            <w:tcBorders>
              <w:top w:val="nil"/>
            </w:tcBorders>
            <w:vAlign w:val="top"/>
          </w:tcPr>
          <w:p w14:paraId="0AC39E4C">
            <w:pPr>
              <w:rPr>
                <w:rFonts w:ascii="Arial"/>
                <w:sz w:val="21"/>
              </w:rPr>
            </w:pPr>
          </w:p>
        </w:tc>
        <w:tc>
          <w:tcPr>
            <w:tcW w:w="3849" w:type="dxa"/>
            <w:vMerge w:val="continue"/>
            <w:tcBorders>
              <w:top w:val="nil"/>
            </w:tcBorders>
            <w:vAlign w:val="top"/>
          </w:tcPr>
          <w:p w14:paraId="714262E1">
            <w:pPr>
              <w:rPr>
                <w:rFonts w:ascii="Arial"/>
                <w:sz w:val="21"/>
              </w:rPr>
            </w:pPr>
          </w:p>
        </w:tc>
        <w:tc>
          <w:tcPr>
            <w:tcW w:w="1137" w:type="dxa"/>
            <w:vMerge w:val="continue"/>
            <w:tcBorders>
              <w:top w:val="nil"/>
              <w:right w:val="nil"/>
            </w:tcBorders>
            <w:vAlign w:val="top"/>
          </w:tcPr>
          <w:p w14:paraId="795FA9C9">
            <w:pPr>
              <w:rPr>
                <w:rFonts w:ascii="Arial"/>
                <w:sz w:val="21"/>
              </w:rPr>
            </w:pPr>
          </w:p>
        </w:tc>
      </w:tr>
      <w:tr w14:paraId="26AA6C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trPr>
        <w:tc>
          <w:tcPr>
            <w:tcW w:w="893" w:type="dxa"/>
            <w:tcBorders>
              <w:left w:val="nil"/>
              <w:bottom w:val="single" w:color="000000" w:sz="10" w:space="0"/>
            </w:tcBorders>
            <w:vAlign w:val="top"/>
          </w:tcPr>
          <w:p w14:paraId="7E597627">
            <w:pPr>
              <w:spacing w:before="215"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112E</w:t>
            </w:r>
          </w:p>
        </w:tc>
        <w:tc>
          <w:tcPr>
            <w:tcW w:w="868" w:type="dxa"/>
            <w:tcBorders>
              <w:bottom w:val="single" w:color="000000" w:sz="10" w:space="0"/>
            </w:tcBorders>
            <w:vAlign w:val="top"/>
          </w:tcPr>
          <w:p w14:paraId="0B0506A0">
            <w:pPr>
              <w:spacing w:before="215" w:line="195"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43.65N</w:t>
            </w:r>
          </w:p>
        </w:tc>
        <w:tc>
          <w:tcPr>
            <w:tcW w:w="1314" w:type="dxa"/>
            <w:tcBorders>
              <w:bottom w:val="single" w:color="000000" w:sz="10" w:space="0"/>
            </w:tcBorders>
            <w:vAlign w:val="top"/>
          </w:tcPr>
          <w:p w14:paraId="156960E6">
            <w:pPr>
              <w:spacing w:before="215" w:line="195" w:lineRule="auto"/>
              <w:ind w:left="4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153.5</w:t>
            </w:r>
          </w:p>
        </w:tc>
        <w:tc>
          <w:tcPr>
            <w:tcW w:w="1011" w:type="dxa"/>
            <w:tcBorders>
              <w:bottom w:val="single" w:color="000000" w:sz="10" w:space="0"/>
            </w:tcBorders>
            <w:vAlign w:val="top"/>
          </w:tcPr>
          <w:p w14:paraId="2D7C45D3">
            <w:pPr>
              <w:spacing w:before="215" w:line="195" w:lineRule="auto"/>
              <w:ind w:left="29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2023</w:t>
            </w:r>
          </w:p>
        </w:tc>
        <w:tc>
          <w:tcPr>
            <w:tcW w:w="3849" w:type="dxa"/>
            <w:tcBorders>
              <w:bottom w:val="single" w:color="000000" w:sz="10" w:space="0"/>
            </w:tcBorders>
            <w:vAlign w:val="top"/>
          </w:tcPr>
          <w:p w14:paraId="2275AAAC">
            <w:pPr>
              <w:pStyle w:val="6"/>
              <w:spacing w:before="42" w:line="234" w:lineRule="auto"/>
              <w:ind w:left="460" w:right="34" w:hanging="421"/>
              <w:rPr>
                <w:sz w:val="20"/>
                <w:szCs w:val="20"/>
              </w:rPr>
            </w:pPr>
            <w:r>
              <w:rPr>
                <w:sz w:val="20"/>
                <w:szCs w:val="20"/>
              </w:rPr>
              <w:t>每天</w:t>
            </w:r>
            <w:r>
              <w:rPr>
                <w:spacing w:val="-21"/>
                <w:sz w:val="20"/>
                <w:szCs w:val="20"/>
              </w:rPr>
              <w:t xml:space="preserve"> </w:t>
            </w:r>
            <w:r>
              <w:rPr>
                <w:rFonts w:ascii="Times New Roman" w:hAnsi="Times New Roman" w:eastAsia="Times New Roman" w:cs="Times New Roman"/>
                <w:sz w:val="20"/>
                <w:szCs w:val="20"/>
              </w:rPr>
              <w:t>0</w:t>
            </w:r>
            <w:r>
              <w:rPr>
                <w:rFonts w:ascii="Times New Roman" w:hAnsi="Times New Roman" w:eastAsia="Times New Roman" w:cs="Times New Roman"/>
                <w:spacing w:val="-28"/>
                <w:sz w:val="20"/>
                <w:szCs w:val="20"/>
              </w:rPr>
              <w:t xml:space="preserve"> </w:t>
            </w:r>
            <w:r>
              <w:rPr>
                <w:sz w:val="20"/>
                <w:szCs w:val="20"/>
              </w:rPr>
              <w:t>、</w:t>
            </w:r>
            <w:r>
              <w:rPr>
                <w:rFonts w:ascii="Times New Roman" w:hAnsi="Times New Roman" w:eastAsia="Times New Roman" w:cs="Times New Roman"/>
                <w:sz w:val="20"/>
                <w:szCs w:val="20"/>
              </w:rPr>
              <w:t>4</w:t>
            </w:r>
            <w:r>
              <w:rPr>
                <w:rFonts w:ascii="Times New Roman" w:hAnsi="Times New Roman" w:eastAsia="Times New Roman" w:cs="Times New Roman"/>
                <w:spacing w:val="-26"/>
                <w:sz w:val="20"/>
                <w:szCs w:val="20"/>
              </w:rPr>
              <w:t xml:space="preserve"> </w:t>
            </w:r>
            <w:r>
              <w:rPr>
                <w:sz w:val="20"/>
                <w:szCs w:val="20"/>
              </w:rPr>
              <w:t>、</w:t>
            </w:r>
            <w:r>
              <w:rPr>
                <w:rFonts w:ascii="Times New Roman" w:hAnsi="Times New Roman" w:eastAsia="Times New Roman" w:cs="Times New Roman"/>
                <w:sz w:val="20"/>
                <w:szCs w:val="20"/>
              </w:rPr>
              <w:t>8</w:t>
            </w:r>
            <w:r>
              <w:rPr>
                <w:rFonts w:ascii="Times New Roman" w:hAnsi="Times New Roman" w:eastAsia="Times New Roman" w:cs="Times New Roman"/>
                <w:spacing w:val="-27"/>
                <w:sz w:val="20"/>
                <w:szCs w:val="20"/>
              </w:rPr>
              <w:t xml:space="preserve"> </w:t>
            </w:r>
            <w:r>
              <w:rPr>
                <w:sz w:val="20"/>
                <w:szCs w:val="20"/>
              </w:rPr>
              <w:t>、</w:t>
            </w:r>
            <w:r>
              <w:rPr>
                <w:rFonts w:ascii="Times New Roman" w:hAnsi="Times New Roman" w:eastAsia="Times New Roman" w:cs="Times New Roman"/>
                <w:sz w:val="20"/>
                <w:szCs w:val="20"/>
              </w:rPr>
              <w:t>12</w:t>
            </w:r>
            <w:r>
              <w:rPr>
                <w:rFonts w:ascii="Times New Roman" w:hAnsi="Times New Roman" w:eastAsia="Times New Roman" w:cs="Times New Roman"/>
                <w:spacing w:val="-26"/>
                <w:sz w:val="20"/>
                <w:szCs w:val="20"/>
              </w:rPr>
              <w:t xml:space="preserve"> </w:t>
            </w:r>
            <w:r>
              <w:rPr>
                <w:sz w:val="20"/>
                <w:szCs w:val="20"/>
              </w:rPr>
              <w:t>、</w:t>
            </w:r>
            <w:r>
              <w:rPr>
                <w:rFonts w:ascii="Times New Roman" w:hAnsi="Times New Roman" w:eastAsia="Times New Roman" w:cs="Times New Roman"/>
                <w:sz w:val="20"/>
                <w:szCs w:val="20"/>
              </w:rPr>
              <w:t>16</w:t>
            </w:r>
            <w:r>
              <w:rPr>
                <w:rFonts w:ascii="Times New Roman" w:hAnsi="Times New Roman" w:eastAsia="Times New Roman" w:cs="Times New Roman"/>
                <w:spacing w:val="-26"/>
                <w:sz w:val="20"/>
                <w:szCs w:val="20"/>
              </w:rPr>
              <w:t xml:space="preserve"> </w:t>
            </w:r>
            <w:r>
              <w:rPr>
                <w:sz w:val="20"/>
                <w:szCs w:val="20"/>
              </w:rPr>
              <w:t>、</w:t>
            </w:r>
            <w:r>
              <w:rPr>
                <w:rFonts w:ascii="Times New Roman" w:hAnsi="Times New Roman" w:eastAsia="Times New Roman" w:cs="Times New Roman"/>
                <w:sz w:val="20"/>
                <w:szCs w:val="20"/>
              </w:rPr>
              <w:t>20</w:t>
            </w:r>
            <w:r>
              <w:rPr>
                <w:rFonts w:ascii="Times New Roman" w:hAnsi="Times New Roman" w:eastAsia="Times New Roman" w:cs="Times New Roman"/>
                <w:spacing w:val="22"/>
                <w:w w:val="101"/>
                <w:sz w:val="20"/>
                <w:szCs w:val="20"/>
              </w:rPr>
              <w:t xml:space="preserve"> </w:t>
            </w:r>
            <w:r>
              <w:rPr>
                <w:sz w:val="20"/>
                <w:szCs w:val="20"/>
              </w:rPr>
              <w:t xml:space="preserve">时不同等压面 </w:t>
            </w:r>
            <w:r>
              <w:rPr>
                <w:spacing w:val="9"/>
                <w:sz w:val="20"/>
                <w:szCs w:val="20"/>
              </w:rPr>
              <w:t>上的气压、离地高度、干球温度</w:t>
            </w:r>
          </w:p>
        </w:tc>
        <w:tc>
          <w:tcPr>
            <w:tcW w:w="1137" w:type="dxa"/>
            <w:tcBorders>
              <w:bottom w:val="single" w:color="000000" w:sz="10" w:space="0"/>
              <w:right w:val="nil"/>
            </w:tcBorders>
            <w:vAlign w:val="top"/>
          </w:tcPr>
          <w:p w14:paraId="5C8CAEB8">
            <w:pPr>
              <w:pStyle w:val="6"/>
              <w:spacing w:before="42" w:line="234" w:lineRule="auto"/>
              <w:ind w:left="108" w:right="44" w:hanging="39"/>
              <w:rPr>
                <w:rFonts w:ascii="Times New Roman" w:hAnsi="Times New Roman" w:eastAsia="Times New Roman" w:cs="Times New Roman"/>
                <w:sz w:val="20"/>
                <w:szCs w:val="20"/>
              </w:rPr>
            </w:pPr>
            <w:r>
              <w:rPr>
                <w:spacing w:val="4"/>
                <w:sz w:val="20"/>
                <w:szCs w:val="20"/>
              </w:rPr>
              <w:t>中尺度气象</w:t>
            </w:r>
            <w:r>
              <w:rPr>
                <w:sz w:val="20"/>
                <w:szCs w:val="20"/>
              </w:rPr>
              <w:t xml:space="preserve"> </w:t>
            </w:r>
            <w:r>
              <w:rPr>
                <w:spacing w:val="13"/>
                <w:sz w:val="20"/>
                <w:szCs w:val="20"/>
              </w:rPr>
              <w:t>模式</w:t>
            </w:r>
            <w:r>
              <w:rPr>
                <w:spacing w:val="-43"/>
                <w:sz w:val="20"/>
                <w:szCs w:val="20"/>
              </w:rPr>
              <w:t xml:space="preserve"> </w:t>
            </w:r>
            <w:r>
              <w:rPr>
                <w:rFonts w:ascii="Times New Roman" w:hAnsi="Times New Roman" w:eastAsia="Times New Roman" w:cs="Times New Roman"/>
                <w:sz w:val="20"/>
                <w:szCs w:val="20"/>
              </w:rPr>
              <w:t>WRF</w:t>
            </w:r>
          </w:p>
        </w:tc>
      </w:tr>
    </w:tbl>
    <w:p w14:paraId="7DA0AB41">
      <w:pPr>
        <w:spacing w:before="116" w:line="219" w:lineRule="auto"/>
        <w:ind w:left="5"/>
        <w:outlineLvl w:val="3"/>
        <w:rPr>
          <w:rFonts w:ascii="宋体" w:hAnsi="宋体" w:eastAsia="宋体" w:cs="宋体"/>
          <w:sz w:val="24"/>
          <w:szCs w:val="24"/>
        </w:rPr>
      </w:pPr>
      <w:r>
        <w:fldChar w:fldCharType="begin"/>
      </w:r>
      <w:r>
        <w:instrText xml:space="preserve"> HYPERLINK "4.1.2.4" </w:instrText>
      </w:r>
      <w:r>
        <w:fldChar w:fldCharType="separate"/>
      </w:r>
      <w:r>
        <w:rPr>
          <w:rFonts w:ascii="Times New Roman" w:hAnsi="Times New Roman" w:eastAsia="Times New Roman" w:cs="Times New Roman"/>
          <w:b/>
          <w:bCs/>
          <w:spacing w:val="-2"/>
          <w:sz w:val="24"/>
          <w:szCs w:val="24"/>
        </w:rPr>
        <w:t>4.1.2.4</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模式中参数的选取</w:t>
      </w:r>
    </w:p>
    <w:p w14:paraId="588355F9">
      <w:pPr>
        <w:spacing w:before="182" w:line="220" w:lineRule="auto"/>
        <w:ind w:left="509"/>
        <w:rPr>
          <w:rFonts w:ascii="宋体" w:hAnsi="宋体" w:eastAsia="宋体" w:cs="宋体"/>
          <w:sz w:val="24"/>
          <w:szCs w:val="24"/>
        </w:rPr>
      </w:pPr>
      <w:r>
        <w:rPr>
          <w:rFonts w:ascii="Times New Roman" w:hAnsi="Times New Roman" w:eastAsia="Times New Roman" w:cs="Times New Roman"/>
          <w:spacing w:val="-5"/>
          <w:sz w:val="24"/>
          <w:szCs w:val="24"/>
        </w:rPr>
        <w:t>1</w:t>
      </w:r>
      <w:r>
        <w:rPr>
          <w:rFonts w:ascii="宋体" w:hAnsi="宋体" w:eastAsia="宋体" w:cs="宋体"/>
          <w:spacing w:val="-5"/>
          <w:sz w:val="24"/>
          <w:szCs w:val="24"/>
        </w:rPr>
        <w:t>）化学转化</w:t>
      </w:r>
    </w:p>
    <w:p w14:paraId="65524A24">
      <w:pPr>
        <w:spacing w:before="183" w:line="346" w:lineRule="auto"/>
        <w:ind w:left="19" w:right="1" w:firstLine="470"/>
        <w:rPr>
          <w:rFonts w:ascii="宋体" w:hAnsi="宋体" w:eastAsia="宋体" w:cs="宋体"/>
          <w:sz w:val="24"/>
          <w:szCs w:val="24"/>
        </w:rPr>
      </w:pPr>
      <w:r>
        <w:rPr>
          <w:rFonts w:ascii="宋体" w:hAnsi="宋体" w:eastAsia="宋体" w:cs="宋体"/>
          <w:spacing w:val="-4"/>
          <w:sz w:val="24"/>
          <w:szCs w:val="24"/>
        </w:rPr>
        <w:t>在计算</w:t>
      </w:r>
      <w:r>
        <w:rPr>
          <w:rFonts w:ascii="宋体" w:hAnsi="宋体" w:eastAsia="宋体" w:cs="宋体"/>
          <w:spacing w:val="-31"/>
          <w:sz w:val="24"/>
          <w:szCs w:val="24"/>
        </w:rPr>
        <w:t xml:space="preserve"> </w:t>
      </w:r>
      <w:r>
        <w:rPr>
          <w:rFonts w:ascii="Times New Roman" w:hAnsi="Times New Roman" w:eastAsia="Times New Roman" w:cs="Times New Roman"/>
          <w:spacing w:val="-4"/>
          <w:sz w:val="24"/>
          <w:szCs w:val="24"/>
        </w:rPr>
        <w:t>1</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小时平均浓度时，不考虑</w:t>
      </w:r>
      <w:r>
        <w:rPr>
          <w:rFonts w:ascii="宋体" w:hAnsi="宋体" w:eastAsia="宋体" w:cs="宋体"/>
          <w:spacing w:val="-45"/>
          <w:sz w:val="24"/>
          <w:szCs w:val="24"/>
        </w:rPr>
        <w:t xml:space="preserve"> </w:t>
      </w:r>
      <w:r>
        <w:rPr>
          <w:rFonts w:ascii="Times New Roman" w:hAnsi="Times New Roman" w:eastAsia="Times New Roman" w:cs="Times New Roman"/>
          <w:spacing w:val="-4"/>
          <w:sz w:val="24"/>
          <w:szCs w:val="24"/>
        </w:rPr>
        <w:t>SO</w:t>
      </w:r>
      <w:r>
        <w:rPr>
          <w:rFonts w:ascii="Times New Roman" w:hAnsi="Times New Roman" w:eastAsia="Times New Roman" w:cs="Times New Roman"/>
          <w:spacing w:val="-4"/>
          <w:position w:val="-1"/>
          <w:sz w:val="15"/>
          <w:szCs w:val="15"/>
        </w:rPr>
        <w:t>2</w:t>
      </w:r>
      <w:r>
        <w:rPr>
          <w:rFonts w:ascii="Times New Roman" w:hAnsi="Times New Roman" w:eastAsia="Times New Roman" w:cs="Times New Roman"/>
          <w:spacing w:val="28"/>
          <w:w w:val="102"/>
          <w:position w:val="-1"/>
          <w:sz w:val="15"/>
          <w:szCs w:val="15"/>
        </w:rPr>
        <w:t xml:space="preserve"> </w:t>
      </w:r>
      <w:r>
        <w:rPr>
          <w:rFonts w:ascii="宋体" w:hAnsi="宋体" w:eastAsia="宋体" w:cs="宋体"/>
          <w:spacing w:val="-4"/>
          <w:sz w:val="24"/>
          <w:szCs w:val="24"/>
        </w:rPr>
        <w:t>的转化；在计算日平均或更长时间平均浓度</w:t>
      </w:r>
      <w:r>
        <w:rPr>
          <w:rFonts w:ascii="宋体" w:hAnsi="宋体" w:eastAsia="宋体" w:cs="宋体"/>
          <w:sz w:val="24"/>
          <w:szCs w:val="24"/>
        </w:rPr>
        <w:t xml:space="preserve"> </w:t>
      </w:r>
      <w:r>
        <w:rPr>
          <w:rFonts w:ascii="宋体" w:hAnsi="宋体" w:eastAsia="宋体" w:cs="宋体"/>
          <w:spacing w:val="-3"/>
          <w:sz w:val="24"/>
          <w:szCs w:val="24"/>
        </w:rPr>
        <w:t>时，考虑化学转化，</w:t>
      </w:r>
      <w:r>
        <w:rPr>
          <w:rFonts w:ascii="Times New Roman" w:hAnsi="Times New Roman" w:eastAsia="Times New Roman" w:cs="Times New Roman"/>
          <w:spacing w:val="-3"/>
          <w:sz w:val="24"/>
          <w:szCs w:val="24"/>
        </w:rPr>
        <w:t>SO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15"/>
          <w:position w:val="-1"/>
          <w:sz w:val="15"/>
          <w:szCs w:val="15"/>
        </w:rPr>
        <w:t xml:space="preserve"> </w:t>
      </w:r>
      <w:r>
        <w:rPr>
          <w:rFonts w:ascii="宋体" w:hAnsi="宋体" w:eastAsia="宋体" w:cs="宋体"/>
          <w:spacing w:val="-3"/>
          <w:sz w:val="24"/>
          <w:szCs w:val="24"/>
        </w:rPr>
        <w:t>转化半衰期取值为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14400s</w:t>
      </w:r>
      <w:r>
        <w:rPr>
          <w:rFonts w:ascii="Times New Roman" w:hAnsi="Times New Roman" w:eastAsia="Times New Roman" w:cs="Times New Roman"/>
          <w:spacing w:val="-30"/>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NO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29"/>
          <w:w w:val="101"/>
          <w:position w:val="-1"/>
          <w:sz w:val="15"/>
          <w:szCs w:val="15"/>
        </w:rPr>
        <w:t xml:space="preserve"> </w:t>
      </w:r>
      <w:r>
        <w:rPr>
          <w:rFonts w:ascii="宋体" w:hAnsi="宋体" w:eastAsia="宋体" w:cs="宋体"/>
          <w:spacing w:val="-3"/>
          <w:sz w:val="24"/>
          <w:szCs w:val="24"/>
        </w:rPr>
        <w:t>的化学转化不考虑。</w:t>
      </w:r>
    </w:p>
    <w:p w14:paraId="1B35A0C8">
      <w:pPr>
        <w:spacing w:before="35" w:line="219" w:lineRule="auto"/>
        <w:ind w:left="486"/>
        <w:rPr>
          <w:rFonts w:ascii="宋体" w:hAnsi="宋体" w:eastAsia="宋体" w:cs="宋体"/>
          <w:sz w:val="24"/>
          <w:szCs w:val="24"/>
        </w:rPr>
      </w:pPr>
      <w:r>
        <w:rPr>
          <w:rFonts w:ascii="Times New Roman" w:hAnsi="Times New Roman" w:eastAsia="Times New Roman" w:cs="Times New Roman"/>
          <w:spacing w:val="-1"/>
          <w:sz w:val="24"/>
          <w:szCs w:val="24"/>
        </w:rPr>
        <w:t>2</w:t>
      </w:r>
      <w:r>
        <w:rPr>
          <w:rFonts w:ascii="宋体" w:hAnsi="宋体" w:eastAsia="宋体" w:cs="宋体"/>
          <w:spacing w:val="-1"/>
          <w:sz w:val="24"/>
          <w:szCs w:val="24"/>
        </w:rPr>
        <w:t>）干湿沉降</w:t>
      </w:r>
    </w:p>
    <w:p w14:paraId="167C87A5">
      <w:pPr>
        <w:spacing w:before="184" w:line="219" w:lineRule="auto"/>
        <w:ind w:left="489"/>
        <w:rPr>
          <w:rFonts w:ascii="宋体" w:hAnsi="宋体" w:eastAsia="宋体" w:cs="宋体"/>
          <w:sz w:val="24"/>
          <w:szCs w:val="24"/>
        </w:rPr>
      </w:pPr>
      <w:r>
        <w:rPr>
          <w:rFonts w:ascii="宋体" w:hAnsi="宋体" w:eastAsia="宋体" w:cs="宋体"/>
          <w:spacing w:val="-1"/>
          <w:sz w:val="24"/>
          <w:szCs w:val="24"/>
        </w:rPr>
        <w:t>在计算颗粒物</w:t>
      </w:r>
      <w:r>
        <w:rPr>
          <w:rFonts w:ascii="宋体" w:hAnsi="宋体" w:eastAsia="宋体" w:cs="宋体"/>
          <w:spacing w:val="-38"/>
          <w:sz w:val="24"/>
          <w:szCs w:val="24"/>
        </w:rPr>
        <w:t xml:space="preserve"> </w:t>
      </w:r>
      <w:r>
        <w:rPr>
          <w:rFonts w:ascii="Times New Roman" w:hAnsi="Times New Roman" w:eastAsia="Times New Roman" w:cs="Times New Roman"/>
          <w:spacing w:val="-1"/>
          <w:sz w:val="24"/>
          <w:szCs w:val="24"/>
        </w:rPr>
        <w:t>PM</w:t>
      </w:r>
      <w:r>
        <w:rPr>
          <w:rFonts w:ascii="Times New Roman" w:hAnsi="Times New Roman" w:eastAsia="Times New Roman" w:cs="Times New Roman"/>
          <w:spacing w:val="-1"/>
          <w:position w:val="-1"/>
          <w:sz w:val="15"/>
          <w:szCs w:val="15"/>
        </w:rPr>
        <w:t xml:space="preserve">10 </w:t>
      </w:r>
      <w:r>
        <w:rPr>
          <w:rFonts w:ascii="宋体" w:hAnsi="宋体" w:eastAsia="宋体" w:cs="宋体"/>
          <w:spacing w:val="-1"/>
          <w:sz w:val="24"/>
          <w:szCs w:val="24"/>
        </w:rPr>
        <w:t>浓度时，不考虑干湿沉降的影响。</w:t>
      </w:r>
    </w:p>
    <w:p w14:paraId="5050E500">
      <w:pPr>
        <w:spacing w:before="184" w:line="219" w:lineRule="auto"/>
        <w:ind w:left="491"/>
        <w:rPr>
          <w:rFonts w:ascii="宋体" w:hAnsi="宋体" w:eastAsia="宋体" w:cs="宋体"/>
          <w:sz w:val="24"/>
          <w:szCs w:val="24"/>
        </w:rPr>
      </w:pPr>
      <w:r>
        <w:rPr>
          <w:rFonts w:ascii="Times New Roman" w:hAnsi="Times New Roman" w:eastAsia="Times New Roman" w:cs="Times New Roman"/>
          <w:spacing w:val="-2"/>
          <w:sz w:val="24"/>
          <w:szCs w:val="24"/>
        </w:rPr>
        <w:t>3</w:t>
      </w:r>
      <w:r>
        <w:rPr>
          <w:rFonts w:ascii="宋体" w:hAnsi="宋体" w:eastAsia="宋体" w:cs="宋体"/>
          <w:spacing w:val="-2"/>
          <w:sz w:val="24"/>
          <w:szCs w:val="24"/>
        </w:rPr>
        <w:t>）地形数据</w:t>
      </w:r>
    </w:p>
    <w:p w14:paraId="26E4A892">
      <w:pPr>
        <w:spacing w:before="182" w:line="351" w:lineRule="auto"/>
        <w:ind w:left="3" w:firstLine="486"/>
        <w:rPr>
          <w:rFonts w:ascii="宋体" w:hAnsi="宋体" w:eastAsia="宋体" w:cs="宋体"/>
          <w:sz w:val="24"/>
          <w:szCs w:val="24"/>
        </w:rPr>
      </w:pPr>
      <w:r>
        <w:rPr>
          <w:rFonts w:ascii="宋体" w:hAnsi="宋体" w:eastAsia="宋体" w:cs="宋体"/>
          <w:sz w:val="24"/>
          <w:szCs w:val="24"/>
        </w:rPr>
        <w:t>选用北京尚云环境有限公司开发的</w:t>
      </w:r>
      <w:r>
        <w:rPr>
          <w:rFonts w:ascii="宋体" w:hAnsi="宋体" w:eastAsia="宋体" w:cs="宋体"/>
          <w:spacing w:val="-55"/>
          <w:sz w:val="24"/>
          <w:szCs w:val="24"/>
        </w:rPr>
        <w:t xml:space="preserve"> </w:t>
      </w:r>
      <w:r>
        <w:rPr>
          <w:rFonts w:ascii="Times New Roman" w:hAnsi="Times New Roman" w:eastAsia="Times New Roman" w:cs="Times New Roman"/>
          <w:sz w:val="24"/>
          <w:szCs w:val="24"/>
        </w:rPr>
        <w:t>EIAProA2018</w:t>
      </w:r>
      <w:r>
        <w:rPr>
          <w:rFonts w:ascii="宋体" w:hAnsi="宋体" w:eastAsia="宋体" w:cs="宋体"/>
          <w:sz w:val="24"/>
          <w:szCs w:val="24"/>
        </w:rPr>
        <w:t>（</w:t>
      </w:r>
      <w:r>
        <w:rPr>
          <w:rFonts w:ascii="Times New Roman" w:hAnsi="Times New Roman" w:eastAsia="Times New Roman" w:cs="Times New Roman"/>
          <w:spacing w:val="-1"/>
          <w:sz w:val="24"/>
          <w:szCs w:val="24"/>
        </w:rPr>
        <w:t>AERMOD</w:t>
      </w:r>
      <w:r>
        <w:rPr>
          <w:rFonts w:ascii="宋体" w:hAnsi="宋体" w:eastAsia="宋体" w:cs="宋体"/>
          <w:spacing w:val="-1"/>
          <w:sz w:val="24"/>
          <w:szCs w:val="24"/>
        </w:rPr>
        <w:t>）大气预测软件中的</w:t>
      </w:r>
      <w:r>
        <w:rPr>
          <w:rFonts w:ascii="宋体" w:hAnsi="宋体" w:eastAsia="宋体" w:cs="宋体"/>
          <w:sz w:val="24"/>
          <w:szCs w:val="24"/>
        </w:rPr>
        <w:t xml:space="preserve">  </w:t>
      </w:r>
      <w:r>
        <w:rPr>
          <w:rFonts w:ascii="Times New Roman" w:hAnsi="Times New Roman" w:eastAsia="Times New Roman" w:cs="Times New Roman"/>
          <w:spacing w:val="-2"/>
          <w:sz w:val="24"/>
          <w:szCs w:val="24"/>
        </w:rPr>
        <w:t xml:space="preserve">DEM </w:t>
      </w:r>
      <w:r>
        <w:rPr>
          <w:rFonts w:ascii="宋体" w:hAnsi="宋体" w:eastAsia="宋体" w:cs="宋体"/>
          <w:spacing w:val="-2"/>
          <w:sz w:val="24"/>
          <w:szCs w:val="24"/>
        </w:rPr>
        <w:t>文件生成器生成的地形数据。该模型可直接使用源头数据</w:t>
      </w:r>
      <w:r>
        <w:rPr>
          <w:rFonts w:ascii="Times New Roman" w:hAnsi="Times New Roman" w:eastAsia="Times New Roman" w:cs="Times New Roman"/>
          <w:spacing w:val="-2"/>
          <w:sz w:val="24"/>
          <w:szCs w:val="24"/>
        </w:rPr>
        <w:t>(</w:t>
      </w:r>
      <w:r>
        <w:rPr>
          <w:rFonts w:ascii="宋体" w:hAnsi="宋体" w:eastAsia="宋体" w:cs="宋体"/>
          <w:spacing w:val="-2"/>
          <w:sz w:val="24"/>
          <w:szCs w:val="24"/>
        </w:rPr>
        <w:t>不插值</w:t>
      </w:r>
      <w:r>
        <w:rPr>
          <w:rFonts w:ascii="Times New Roman" w:hAnsi="Times New Roman" w:eastAsia="Times New Roman" w:cs="Times New Roman"/>
          <w:spacing w:val="-2"/>
          <w:sz w:val="24"/>
          <w:szCs w:val="24"/>
        </w:rPr>
        <w:t>)</w:t>
      </w:r>
      <w:r>
        <w:rPr>
          <w:rFonts w:ascii="宋体" w:hAnsi="宋体" w:eastAsia="宋体" w:cs="宋体"/>
          <w:spacing w:val="-2"/>
          <w:sz w:val="24"/>
          <w:szCs w:val="24"/>
        </w:rPr>
        <w:t>方便</w:t>
      </w:r>
      <w:r>
        <w:rPr>
          <w:rFonts w:ascii="宋体" w:hAnsi="宋体" w:eastAsia="宋体" w:cs="宋体"/>
          <w:spacing w:val="-3"/>
          <w:sz w:val="24"/>
          <w:szCs w:val="24"/>
        </w:rPr>
        <w:t>、快速、无</w:t>
      </w:r>
      <w:r>
        <w:rPr>
          <w:rFonts w:ascii="宋体" w:hAnsi="宋体" w:eastAsia="宋体" w:cs="宋体"/>
          <w:sz w:val="24"/>
          <w:szCs w:val="24"/>
        </w:rPr>
        <w:t xml:space="preserve"> 缝生成任何一个评价区域的单一</w:t>
      </w:r>
      <w:r>
        <w:rPr>
          <w:rFonts w:ascii="宋体" w:hAnsi="宋体" w:eastAsia="宋体" w:cs="宋体"/>
          <w:spacing w:val="-56"/>
          <w:sz w:val="24"/>
          <w:szCs w:val="24"/>
        </w:rPr>
        <w:t xml:space="preserve"> </w:t>
      </w:r>
      <w:r>
        <w:rPr>
          <w:rFonts w:ascii="Times New Roman" w:hAnsi="Times New Roman" w:eastAsia="Times New Roman" w:cs="Times New Roman"/>
          <w:sz w:val="24"/>
          <w:szCs w:val="24"/>
        </w:rPr>
        <w:t xml:space="preserve">DEM </w:t>
      </w:r>
      <w:r>
        <w:rPr>
          <w:rFonts w:ascii="宋体" w:hAnsi="宋体" w:eastAsia="宋体" w:cs="宋体"/>
          <w:sz w:val="24"/>
          <w:szCs w:val="24"/>
        </w:rPr>
        <w:t>文件，并且兼容</w:t>
      </w:r>
      <w:r>
        <w:rPr>
          <w:rFonts w:ascii="宋体" w:hAnsi="宋体" w:eastAsia="宋体" w:cs="宋体"/>
          <w:spacing w:val="-58"/>
          <w:sz w:val="24"/>
          <w:szCs w:val="24"/>
        </w:rPr>
        <w:t xml:space="preserve"> </w:t>
      </w:r>
      <w:r>
        <w:rPr>
          <w:rFonts w:ascii="Times New Roman" w:hAnsi="Times New Roman" w:eastAsia="Times New Roman" w:cs="Times New Roman"/>
          <w:sz w:val="24"/>
          <w:szCs w:val="24"/>
        </w:rPr>
        <w:t>AERMA</w:t>
      </w:r>
      <w:r>
        <w:rPr>
          <w:rFonts w:ascii="Times New Roman" w:hAnsi="Times New Roman" w:eastAsia="Times New Roman" w:cs="Times New Roman"/>
          <w:spacing w:val="-1"/>
          <w:sz w:val="24"/>
          <w:szCs w:val="24"/>
        </w:rPr>
        <w:t xml:space="preserve">P </w:t>
      </w:r>
      <w:r>
        <w:rPr>
          <w:rFonts w:ascii="宋体" w:hAnsi="宋体" w:eastAsia="宋体" w:cs="宋体"/>
          <w:spacing w:val="-1"/>
          <w:sz w:val="24"/>
          <w:szCs w:val="24"/>
        </w:rPr>
        <w:t>格式。地形数据源采</w:t>
      </w:r>
      <w:r>
        <w:rPr>
          <w:rFonts w:ascii="宋体" w:hAnsi="宋体" w:eastAsia="宋体" w:cs="宋体"/>
          <w:sz w:val="24"/>
          <w:szCs w:val="24"/>
        </w:rPr>
        <w:t xml:space="preserve"> </w:t>
      </w:r>
      <w:r>
        <w:rPr>
          <w:rFonts w:ascii="宋体" w:hAnsi="宋体" w:eastAsia="宋体" w:cs="宋体"/>
          <w:spacing w:val="-1"/>
          <w:sz w:val="24"/>
          <w:szCs w:val="24"/>
        </w:rPr>
        <w:t>用</w:t>
      </w:r>
      <w:r>
        <w:rPr>
          <w:rFonts w:ascii="宋体" w:hAnsi="宋体" w:eastAsia="宋体" w:cs="宋体"/>
          <w:spacing w:val="-37"/>
          <w:sz w:val="24"/>
          <w:szCs w:val="24"/>
        </w:rPr>
        <w:t xml:space="preserve"> </w:t>
      </w:r>
      <w:r>
        <w:rPr>
          <w:rFonts w:ascii="Times New Roman" w:hAnsi="Times New Roman" w:eastAsia="Times New Roman" w:cs="Times New Roman"/>
          <w:spacing w:val="-1"/>
          <w:sz w:val="24"/>
          <w:szCs w:val="24"/>
        </w:rPr>
        <w:t xml:space="preserve">csi.cgiar.org </w:t>
      </w:r>
      <w:r>
        <w:rPr>
          <w:rFonts w:ascii="宋体" w:hAnsi="宋体" w:eastAsia="宋体" w:cs="宋体"/>
          <w:spacing w:val="-1"/>
          <w:sz w:val="24"/>
          <w:szCs w:val="24"/>
        </w:rPr>
        <w:t>提供的</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 xml:space="preserve">srtm </w:t>
      </w:r>
      <w:r>
        <w:rPr>
          <w:rFonts w:ascii="宋体" w:hAnsi="宋体" w:eastAsia="宋体" w:cs="宋体"/>
          <w:spacing w:val="-1"/>
          <w:sz w:val="24"/>
          <w:szCs w:val="24"/>
        </w:rPr>
        <w:t>免费数据，</w:t>
      </w:r>
      <w:r>
        <w:rPr>
          <w:rFonts w:ascii="Times New Roman" w:hAnsi="Times New Roman" w:eastAsia="Times New Roman" w:cs="Times New Roman"/>
          <w:spacing w:val="-1"/>
          <w:sz w:val="24"/>
          <w:szCs w:val="24"/>
        </w:rPr>
        <w:t xml:space="preserve">3 </w:t>
      </w:r>
      <w:r>
        <w:rPr>
          <w:rFonts w:ascii="宋体" w:hAnsi="宋体" w:eastAsia="宋体" w:cs="宋体"/>
          <w:spacing w:val="-1"/>
          <w:sz w:val="24"/>
          <w:szCs w:val="24"/>
        </w:rPr>
        <w:t>秒（</w:t>
      </w:r>
      <w:r>
        <w:rPr>
          <w:rFonts w:ascii="Times New Roman" w:hAnsi="Times New Roman" w:eastAsia="Times New Roman" w:cs="Times New Roman"/>
          <w:spacing w:val="-1"/>
          <w:sz w:val="24"/>
          <w:szCs w:val="24"/>
        </w:rPr>
        <w:t>90m</w:t>
      </w:r>
      <w:r>
        <w:rPr>
          <w:rFonts w:ascii="宋体" w:hAnsi="宋体" w:eastAsia="宋体" w:cs="宋体"/>
          <w:spacing w:val="-1"/>
          <w:sz w:val="24"/>
          <w:szCs w:val="24"/>
        </w:rPr>
        <w:t>）的精度。</w:t>
      </w:r>
    </w:p>
    <w:p w14:paraId="3AE9C337">
      <w:pPr>
        <w:spacing w:before="47" w:line="219" w:lineRule="auto"/>
        <w:ind w:left="485"/>
        <w:rPr>
          <w:rFonts w:ascii="宋体" w:hAnsi="宋体" w:eastAsia="宋体" w:cs="宋体"/>
          <w:sz w:val="24"/>
          <w:szCs w:val="24"/>
        </w:rPr>
      </w:pPr>
      <w:r>
        <w:rPr>
          <w:rFonts w:ascii="Times New Roman" w:hAnsi="Times New Roman" w:eastAsia="Times New Roman" w:cs="Times New Roman"/>
          <w:spacing w:val="-1"/>
          <w:sz w:val="24"/>
          <w:szCs w:val="24"/>
        </w:rPr>
        <w:t>4</w:t>
      </w:r>
      <w:r>
        <w:rPr>
          <w:rFonts w:ascii="宋体" w:hAnsi="宋体" w:eastAsia="宋体" w:cs="宋体"/>
          <w:spacing w:val="-1"/>
          <w:sz w:val="24"/>
          <w:szCs w:val="24"/>
        </w:rPr>
        <w:t>）城市</w:t>
      </w:r>
      <w:r>
        <w:rPr>
          <w:rFonts w:ascii="Times New Roman" w:hAnsi="Times New Roman" w:eastAsia="Times New Roman" w:cs="Times New Roman"/>
          <w:spacing w:val="-1"/>
          <w:sz w:val="24"/>
          <w:szCs w:val="24"/>
        </w:rPr>
        <w:t>/</w:t>
      </w:r>
      <w:r>
        <w:rPr>
          <w:rFonts w:ascii="宋体" w:hAnsi="宋体" w:eastAsia="宋体" w:cs="宋体"/>
          <w:spacing w:val="-1"/>
          <w:sz w:val="24"/>
          <w:szCs w:val="24"/>
        </w:rPr>
        <w:t>农村</w:t>
      </w:r>
    </w:p>
    <w:p w14:paraId="3F7EBE52">
      <w:pPr>
        <w:spacing w:before="183" w:line="219" w:lineRule="auto"/>
        <w:ind w:left="494"/>
        <w:rPr>
          <w:rFonts w:ascii="宋体" w:hAnsi="宋体" w:eastAsia="宋体" w:cs="宋体"/>
          <w:sz w:val="24"/>
          <w:szCs w:val="24"/>
        </w:rPr>
      </w:pPr>
      <w:r>
        <w:rPr>
          <w:rFonts w:ascii="宋体" w:hAnsi="宋体" w:eastAsia="宋体" w:cs="宋体"/>
          <w:spacing w:val="-2"/>
          <w:sz w:val="24"/>
          <w:szCs w:val="24"/>
        </w:rPr>
        <w:t>项目周边</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3km</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范围内的建设情况属于农村地区。</w:t>
      </w:r>
    </w:p>
    <w:p w14:paraId="285171DE">
      <w:pPr>
        <w:spacing w:before="185" w:line="219" w:lineRule="auto"/>
        <w:ind w:left="492"/>
        <w:rPr>
          <w:rFonts w:ascii="宋体" w:hAnsi="宋体" w:eastAsia="宋体" w:cs="宋体"/>
          <w:sz w:val="24"/>
          <w:szCs w:val="24"/>
        </w:rPr>
      </w:pPr>
      <w:r>
        <w:rPr>
          <w:rFonts w:ascii="Times New Roman" w:hAnsi="Times New Roman" w:eastAsia="Times New Roman" w:cs="Times New Roman"/>
          <w:spacing w:val="-2"/>
          <w:sz w:val="24"/>
          <w:szCs w:val="24"/>
        </w:rPr>
        <w:t>5</w:t>
      </w:r>
      <w:r>
        <w:rPr>
          <w:rFonts w:ascii="宋体" w:hAnsi="宋体" w:eastAsia="宋体" w:cs="宋体"/>
          <w:spacing w:val="-2"/>
          <w:sz w:val="24"/>
          <w:szCs w:val="24"/>
        </w:rPr>
        <w:t>）岸边烟熏</w:t>
      </w:r>
    </w:p>
    <w:p w14:paraId="03C87E66">
      <w:pPr>
        <w:spacing w:before="182" w:line="219" w:lineRule="auto"/>
        <w:ind w:left="494"/>
        <w:rPr>
          <w:rFonts w:ascii="宋体" w:hAnsi="宋体" w:eastAsia="宋体" w:cs="宋体"/>
          <w:sz w:val="24"/>
          <w:szCs w:val="24"/>
        </w:rPr>
      </w:pPr>
      <w:r>
        <w:rPr>
          <w:rFonts w:ascii="宋体" w:hAnsi="宋体" w:eastAsia="宋体" w:cs="宋体"/>
          <w:spacing w:val="-2"/>
          <w:sz w:val="24"/>
          <w:szCs w:val="24"/>
        </w:rPr>
        <w:t>项目周边</w:t>
      </w:r>
      <w:r>
        <w:rPr>
          <w:rFonts w:ascii="宋体" w:hAnsi="宋体" w:eastAsia="宋体" w:cs="宋体"/>
          <w:spacing w:val="-42"/>
          <w:sz w:val="24"/>
          <w:szCs w:val="24"/>
        </w:rPr>
        <w:t xml:space="preserve"> </w:t>
      </w:r>
      <w:r>
        <w:rPr>
          <w:rFonts w:ascii="Times New Roman" w:hAnsi="Times New Roman" w:eastAsia="Times New Roman" w:cs="Times New Roman"/>
          <w:spacing w:val="-2"/>
          <w:sz w:val="24"/>
          <w:szCs w:val="24"/>
        </w:rPr>
        <w:t>3km</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范围内无大型水体，不考虑岸边烟熏。</w:t>
      </w:r>
    </w:p>
    <w:p w14:paraId="32BB096E">
      <w:pPr>
        <w:spacing w:before="184" w:line="220" w:lineRule="auto"/>
        <w:ind w:left="491"/>
        <w:rPr>
          <w:rFonts w:ascii="宋体" w:hAnsi="宋体" w:eastAsia="宋体" w:cs="宋体"/>
          <w:sz w:val="24"/>
          <w:szCs w:val="24"/>
        </w:rPr>
      </w:pPr>
      <w:r>
        <w:rPr>
          <w:rFonts w:ascii="Times New Roman" w:hAnsi="Times New Roman" w:eastAsia="Times New Roman" w:cs="Times New Roman"/>
          <w:spacing w:val="-2"/>
          <w:sz w:val="24"/>
          <w:szCs w:val="24"/>
        </w:rPr>
        <w:t>6</w:t>
      </w:r>
      <w:r>
        <w:rPr>
          <w:rFonts w:ascii="宋体" w:hAnsi="宋体" w:eastAsia="宋体" w:cs="宋体"/>
          <w:spacing w:val="-2"/>
          <w:sz w:val="24"/>
          <w:szCs w:val="24"/>
        </w:rPr>
        <w:t>）建筑物下洗</w:t>
      </w:r>
    </w:p>
    <w:p w14:paraId="57A5A304">
      <w:pPr>
        <w:spacing w:before="183" w:line="346" w:lineRule="auto"/>
        <w:ind w:left="12" w:right="1" w:firstLine="478"/>
        <w:rPr>
          <w:rFonts w:ascii="宋体" w:hAnsi="宋体" w:eastAsia="宋体" w:cs="宋体"/>
          <w:sz w:val="24"/>
          <w:szCs w:val="24"/>
        </w:rPr>
      </w:pPr>
      <w:r>
        <w:rPr>
          <w:rFonts w:ascii="宋体" w:hAnsi="宋体" w:eastAsia="宋体" w:cs="宋体"/>
          <w:spacing w:val="-2"/>
          <w:sz w:val="24"/>
          <w:szCs w:val="24"/>
        </w:rPr>
        <w:t>根据项目污染源排放参数及周边主要建筑分布情况，计算得各污染源排放高度均大</w:t>
      </w:r>
      <w:r>
        <w:rPr>
          <w:rFonts w:ascii="宋体" w:hAnsi="宋体" w:eastAsia="宋体" w:cs="宋体"/>
          <w:spacing w:val="11"/>
          <w:sz w:val="24"/>
          <w:szCs w:val="24"/>
        </w:rPr>
        <w:t xml:space="preserve"> </w:t>
      </w:r>
      <w:r>
        <w:rPr>
          <w:rFonts w:ascii="宋体" w:hAnsi="宋体" w:eastAsia="宋体" w:cs="宋体"/>
          <w:spacing w:val="-2"/>
          <w:sz w:val="24"/>
          <w:szCs w:val="24"/>
        </w:rPr>
        <w:t>于</w:t>
      </w:r>
      <w:r>
        <w:rPr>
          <w:rFonts w:ascii="宋体" w:hAnsi="宋体" w:eastAsia="宋体" w:cs="宋体"/>
          <w:spacing w:val="-36"/>
          <w:sz w:val="24"/>
          <w:szCs w:val="24"/>
        </w:rPr>
        <w:t xml:space="preserve"> </w:t>
      </w:r>
      <w:r>
        <w:rPr>
          <w:rFonts w:ascii="Times New Roman" w:hAnsi="Times New Roman" w:eastAsia="Times New Roman" w:cs="Times New Roman"/>
          <w:spacing w:val="-2"/>
          <w:sz w:val="24"/>
          <w:szCs w:val="24"/>
        </w:rPr>
        <w:t xml:space="preserve">GEP </w:t>
      </w:r>
      <w:r>
        <w:rPr>
          <w:rFonts w:ascii="宋体" w:hAnsi="宋体" w:eastAsia="宋体" w:cs="宋体"/>
          <w:spacing w:val="-2"/>
          <w:sz w:val="24"/>
          <w:szCs w:val="24"/>
        </w:rPr>
        <w:t>烟囱高度，不考虑建筑物下洗。</w:t>
      </w:r>
    </w:p>
    <w:p w14:paraId="526C04CC">
      <w:pPr>
        <w:spacing w:before="35" w:line="220" w:lineRule="auto"/>
        <w:ind w:left="5"/>
        <w:outlineLvl w:val="3"/>
        <w:rPr>
          <w:rFonts w:ascii="宋体" w:hAnsi="宋体" w:eastAsia="宋体" w:cs="宋体"/>
          <w:sz w:val="24"/>
          <w:szCs w:val="24"/>
        </w:rPr>
      </w:pPr>
      <w:r>
        <w:fldChar w:fldCharType="begin"/>
      </w:r>
      <w:r>
        <w:instrText xml:space="preserve"> HYPERLINK "4.1.2.5" </w:instrText>
      </w:r>
      <w:r>
        <w:fldChar w:fldCharType="separate"/>
      </w:r>
      <w:r>
        <w:rPr>
          <w:rFonts w:ascii="Times New Roman" w:hAnsi="Times New Roman" w:eastAsia="Times New Roman" w:cs="Times New Roman"/>
          <w:b/>
          <w:bCs/>
          <w:spacing w:val="-2"/>
          <w:sz w:val="24"/>
          <w:szCs w:val="24"/>
        </w:rPr>
        <w:t>4.1.2.5</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预测方案</w:t>
      </w:r>
    </w:p>
    <w:p w14:paraId="7C0F6D20">
      <w:pPr>
        <w:spacing w:before="182" w:line="346" w:lineRule="auto"/>
        <w:ind w:left="10" w:right="1" w:firstLine="478"/>
        <w:rPr>
          <w:rFonts w:ascii="宋体" w:hAnsi="宋体" w:eastAsia="宋体" w:cs="宋体"/>
          <w:sz w:val="24"/>
          <w:szCs w:val="24"/>
        </w:rPr>
      </w:pPr>
      <w:r>
        <w:rPr>
          <w:rFonts w:ascii="宋体" w:hAnsi="宋体" w:eastAsia="宋体" w:cs="宋体"/>
          <w:spacing w:val="-2"/>
          <w:sz w:val="24"/>
          <w:szCs w:val="24"/>
        </w:rPr>
        <w:t>根据导则预测评价要求，大气环境影响预测部分主要考虑本项目建成后排放的其他</w:t>
      </w:r>
      <w:r>
        <w:rPr>
          <w:rFonts w:ascii="宋体" w:hAnsi="宋体" w:eastAsia="宋体" w:cs="宋体"/>
          <w:spacing w:val="13"/>
          <w:sz w:val="24"/>
          <w:szCs w:val="24"/>
        </w:rPr>
        <w:t xml:space="preserve"> </w:t>
      </w:r>
      <w:r>
        <w:rPr>
          <w:rFonts w:ascii="宋体" w:hAnsi="宋体" w:eastAsia="宋体" w:cs="宋体"/>
          <w:spacing w:val="-1"/>
          <w:sz w:val="24"/>
          <w:szCs w:val="24"/>
        </w:rPr>
        <w:t>污染物对评价区域和环境空气保护目标的最大影响。</w:t>
      </w:r>
    </w:p>
    <w:p w14:paraId="0B8881F8">
      <w:pPr>
        <w:spacing w:before="37"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）预测因子</w:t>
      </w:r>
    </w:p>
    <w:p w14:paraId="0F6C8003">
      <w:pPr>
        <w:spacing w:before="181" w:line="219" w:lineRule="auto"/>
        <w:ind w:left="488"/>
        <w:rPr>
          <w:rFonts w:ascii="宋体" w:hAnsi="宋体" w:eastAsia="宋体" w:cs="宋体"/>
          <w:sz w:val="24"/>
          <w:szCs w:val="24"/>
        </w:rPr>
      </w:pPr>
      <w:r>
        <w:rPr>
          <w:rFonts w:ascii="宋体" w:hAnsi="宋体" w:eastAsia="宋体" w:cs="宋体"/>
          <w:spacing w:val="-2"/>
          <w:sz w:val="24"/>
          <w:szCs w:val="24"/>
        </w:rPr>
        <w:t>根据工程分析，本项目主要污染物为颗粒物、</w:t>
      </w:r>
      <w:r>
        <w:rPr>
          <w:rFonts w:ascii="Times New Roman" w:hAnsi="Times New Roman" w:eastAsia="Times New Roman" w:cs="Times New Roman"/>
          <w:spacing w:val="-2"/>
          <w:sz w:val="24"/>
          <w:szCs w:val="24"/>
        </w:rPr>
        <w:t>SO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2"/>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NO</w:t>
      </w:r>
      <w:r>
        <w:rPr>
          <w:rFonts w:ascii="Times New Roman" w:hAnsi="Times New Roman" w:eastAsia="Times New Roman" w:cs="Times New Roman"/>
          <w:spacing w:val="-3"/>
          <w:sz w:val="24"/>
          <w:szCs w:val="24"/>
        </w:rPr>
        <w:t>x</w:t>
      </w:r>
      <w:r>
        <w:rPr>
          <w:rFonts w:ascii="Times New Roman" w:hAnsi="Times New Roman" w:eastAsia="Times New Roman" w:cs="Times New Roman"/>
          <w:spacing w:val="-29"/>
          <w:sz w:val="24"/>
          <w:szCs w:val="24"/>
        </w:rPr>
        <w:t xml:space="preserve"> </w:t>
      </w:r>
      <w:r>
        <w:rPr>
          <w:rFonts w:ascii="宋体" w:hAnsi="宋体" w:eastAsia="宋体" w:cs="宋体"/>
          <w:spacing w:val="-3"/>
          <w:sz w:val="24"/>
          <w:szCs w:val="24"/>
        </w:rPr>
        <w:t>，要选择有质量标准的进</w:t>
      </w:r>
    </w:p>
    <w:p w14:paraId="4A8E6493">
      <w:pPr>
        <w:spacing w:line="219" w:lineRule="auto"/>
        <w:rPr>
          <w:rFonts w:ascii="宋体" w:hAnsi="宋体" w:eastAsia="宋体" w:cs="宋体"/>
          <w:sz w:val="24"/>
          <w:szCs w:val="24"/>
        </w:rPr>
        <w:sectPr>
          <w:headerReference r:id="rId267" w:type="default"/>
          <w:footerReference r:id="rId268" w:type="default"/>
          <w:pgSz w:w="11906" w:h="16839"/>
          <w:pgMar w:top="1191" w:right="1416" w:bottom="1156" w:left="1417" w:header="882" w:footer="994" w:gutter="0"/>
          <w:cols w:space="720" w:num="1"/>
        </w:sectPr>
      </w:pPr>
    </w:p>
    <w:p w14:paraId="0C7871DE">
      <w:pPr>
        <w:spacing w:line="28" w:lineRule="exact"/>
      </w:pPr>
      <w:r>
        <w:pict>
          <v:shape id="_x0000_s1788" o:spid="_x0000_s1788" style="height:1.45pt;width:453.65pt;" fillcolor="#000000" filled="t" stroked="f" coordsize="9072,29" path="m0,0l9072,0,9072,28,0,28,0,0xe">
            <v:path/>
            <v:fill on="t" focussize="0,0"/>
            <v:stroke on="f"/>
            <v:imagedata o:title=""/>
            <o:lock v:ext="edit"/>
            <w10:wrap type="none"/>
            <w10:anchorlock/>
          </v:shape>
        </w:pict>
      </w:r>
    </w:p>
    <w:p w14:paraId="60A26480">
      <w:pPr>
        <w:spacing w:before="311" w:line="218" w:lineRule="auto"/>
        <w:ind w:left="12"/>
        <w:rPr>
          <w:rFonts w:ascii="宋体" w:hAnsi="宋体" w:eastAsia="宋体" w:cs="宋体"/>
          <w:sz w:val="24"/>
          <w:szCs w:val="24"/>
        </w:rPr>
      </w:pPr>
      <w:r>
        <w:rPr>
          <w:rFonts w:ascii="宋体" w:hAnsi="宋体" w:eastAsia="宋体" w:cs="宋体"/>
          <w:spacing w:val="-8"/>
          <w:sz w:val="24"/>
          <w:szCs w:val="24"/>
        </w:rPr>
        <w:t>行预测，因此本次评价预测因子选取</w:t>
      </w:r>
      <w:r>
        <w:rPr>
          <w:rFonts w:ascii="宋体" w:hAnsi="宋体" w:eastAsia="宋体" w:cs="宋体"/>
          <w:spacing w:val="-60"/>
          <w:sz w:val="24"/>
          <w:szCs w:val="24"/>
        </w:rPr>
        <w:t xml:space="preserve"> </w:t>
      </w:r>
      <w:r>
        <w:rPr>
          <w:rFonts w:ascii="Times New Roman" w:hAnsi="Times New Roman" w:eastAsia="Times New Roman" w:cs="Times New Roman"/>
          <w:spacing w:val="-8"/>
          <w:sz w:val="24"/>
          <w:szCs w:val="24"/>
        </w:rPr>
        <w:t>TSP</w:t>
      </w:r>
      <w:r>
        <w:rPr>
          <w:rFonts w:ascii="宋体" w:hAnsi="宋体" w:eastAsia="宋体" w:cs="宋体"/>
          <w:spacing w:val="-8"/>
          <w:sz w:val="24"/>
          <w:szCs w:val="24"/>
        </w:rPr>
        <w:t>、</w:t>
      </w:r>
      <w:r>
        <w:rPr>
          <w:rFonts w:ascii="Times New Roman" w:hAnsi="Times New Roman" w:eastAsia="Times New Roman" w:cs="Times New Roman"/>
          <w:spacing w:val="-8"/>
          <w:sz w:val="24"/>
          <w:szCs w:val="24"/>
        </w:rPr>
        <w:t>PM</w:t>
      </w:r>
      <w:r>
        <w:rPr>
          <w:rFonts w:ascii="Times New Roman" w:hAnsi="Times New Roman" w:eastAsia="Times New Roman" w:cs="Times New Roman"/>
          <w:spacing w:val="-8"/>
          <w:position w:val="-1"/>
          <w:sz w:val="15"/>
          <w:szCs w:val="15"/>
        </w:rPr>
        <w:t>10</w:t>
      </w:r>
      <w:r>
        <w:rPr>
          <w:rFonts w:ascii="Times New Roman" w:hAnsi="Times New Roman" w:eastAsia="Times New Roman" w:cs="Times New Roman"/>
          <w:spacing w:val="-19"/>
          <w:position w:val="-1"/>
          <w:sz w:val="15"/>
          <w:szCs w:val="15"/>
        </w:rPr>
        <w:t xml:space="preserve"> </w:t>
      </w:r>
      <w:r>
        <w:rPr>
          <w:rFonts w:ascii="宋体" w:hAnsi="宋体" w:eastAsia="宋体" w:cs="宋体"/>
          <w:spacing w:val="-8"/>
          <w:sz w:val="24"/>
          <w:szCs w:val="24"/>
        </w:rPr>
        <w:t>、</w:t>
      </w:r>
      <w:r>
        <w:rPr>
          <w:rFonts w:ascii="Times New Roman" w:hAnsi="Times New Roman" w:eastAsia="Times New Roman" w:cs="Times New Roman"/>
          <w:spacing w:val="-8"/>
          <w:sz w:val="24"/>
          <w:szCs w:val="24"/>
        </w:rPr>
        <w:t>SO</w:t>
      </w:r>
      <w:r>
        <w:rPr>
          <w:rFonts w:ascii="Times New Roman" w:hAnsi="Times New Roman" w:eastAsia="Times New Roman" w:cs="Times New Roman"/>
          <w:spacing w:val="-8"/>
          <w:position w:val="-1"/>
          <w:sz w:val="15"/>
          <w:szCs w:val="15"/>
        </w:rPr>
        <w:t>2</w:t>
      </w:r>
      <w:r>
        <w:rPr>
          <w:rFonts w:ascii="Times New Roman" w:hAnsi="Times New Roman" w:eastAsia="Times New Roman" w:cs="Times New Roman"/>
          <w:spacing w:val="-13"/>
          <w:position w:val="-1"/>
          <w:sz w:val="15"/>
          <w:szCs w:val="15"/>
        </w:rPr>
        <w:t xml:space="preserve"> </w:t>
      </w:r>
      <w:r>
        <w:rPr>
          <w:rFonts w:ascii="宋体" w:hAnsi="宋体" w:eastAsia="宋体" w:cs="宋体"/>
          <w:spacing w:val="-8"/>
          <w:sz w:val="24"/>
          <w:szCs w:val="24"/>
        </w:rPr>
        <w:t>、</w:t>
      </w:r>
      <w:r>
        <w:rPr>
          <w:rFonts w:ascii="Times New Roman" w:hAnsi="Times New Roman" w:eastAsia="Times New Roman" w:cs="Times New Roman"/>
          <w:spacing w:val="-8"/>
          <w:sz w:val="24"/>
          <w:szCs w:val="24"/>
        </w:rPr>
        <w:t>NOx</w:t>
      </w:r>
      <w:r>
        <w:rPr>
          <w:rFonts w:ascii="宋体" w:hAnsi="宋体" w:eastAsia="宋体" w:cs="宋体"/>
          <w:spacing w:val="-8"/>
          <w:sz w:val="24"/>
          <w:szCs w:val="24"/>
        </w:rPr>
        <w:t>。</w:t>
      </w:r>
    </w:p>
    <w:p w14:paraId="3A5AF95B">
      <w:pPr>
        <w:spacing w:before="184" w:line="218"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）评价标准</w:t>
      </w:r>
    </w:p>
    <w:p w14:paraId="11182A89">
      <w:pPr>
        <w:spacing w:before="184" w:line="347" w:lineRule="auto"/>
        <w:ind w:left="30" w:firstLine="458"/>
        <w:rPr>
          <w:rFonts w:ascii="宋体" w:hAnsi="宋体" w:eastAsia="宋体" w:cs="宋体"/>
          <w:sz w:val="24"/>
          <w:szCs w:val="24"/>
        </w:rPr>
      </w:pPr>
      <w:r>
        <w:rPr>
          <w:rFonts w:ascii="宋体" w:hAnsi="宋体" w:eastAsia="宋体" w:cs="宋体"/>
          <w:spacing w:val="-6"/>
          <w:sz w:val="24"/>
          <w:szCs w:val="24"/>
        </w:rPr>
        <w:t>本次评价污染物</w:t>
      </w:r>
      <w:r>
        <w:rPr>
          <w:rFonts w:ascii="宋体" w:hAnsi="宋体" w:eastAsia="宋体" w:cs="宋体"/>
          <w:spacing w:val="-54"/>
          <w:sz w:val="24"/>
          <w:szCs w:val="24"/>
        </w:rPr>
        <w:t xml:space="preserve"> </w:t>
      </w:r>
      <w:r>
        <w:rPr>
          <w:rFonts w:ascii="Times New Roman" w:hAnsi="Times New Roman" w:eastAsia="Times New Roman" w:cs="Times New Roman"/>
          <w:spacing w:val="-6"/>
          <w:sz w:val="24"/>
          <w:szCs w:val="24"/>
        </w:rPr>
        <w:t>PM</w:t>
      </w:r>
      <w:r>
        <w:rPr>
          <w:rFonts w:ascii="Times New Roman" w:hAnsi="Times New Roman" w:eastAsia="Times New Roman" w:cs="Times New Roman"/>
          <w:spacing w:val="-6"/>
          <w:position w:val="-1"/>
          <w:sz w:val="15"/>
          <w:szCs w:val="15"/>
        </w:rPr>
        <w:t>10</w:t>
      </w:r>
      <w:r>
        <w:rPr>
          <w:rFonts w:ascii="宋体" w:hAnsi="宋体" w:eastAsia="宋体" w:cs="宋体"/>
          <w:spacing w:val="-6"/>
          <w:sz w:val="24"/>
          <w:szCs w:val="24"/>
        </w:rPr>
        <w:t>、</w:t>
      </w:r>
      <w:r>
        <w:rPr>
          <w:rFonts w:ascii="Times New Roman" w:hAnsi="Times New Roman" w:eastAsia="Times New Roman" w:cs="Times New Roman"/>
          <w:spacing w:val="-6"/>
          <w:sz w:val="24"/>
          <w:szCs w:val="24"/>
        </w:rPr>
        <w:t>SO</w:t>
      </w:r>
      <w:r>
        <w:rPr>
          <w:rFonts w:ascii="Times New Roman" w:hAnsi="Times New Roman" w:eastAsia="Times New Roman" w:cs="Times New Roman"/>
          <w:spacing w:val="-6"/>
          <w:position w:val="-1"/>
          <w:sz w:val="15"/>
          <w:szCs w:val="15"/>
        </w:rPr>
        <w:t>2</w:t>
      </w:r>
      <w:r>
        <w:rPr>
          <w:rFonts w:ascii="宋体" w:hAnsi="宋体" w:eastAsia="宋体" w:cs="宋体"/>
          <w:spacing w:val="-6"/>
          <w:sz w:val="24"/>
          <w:szCs w:val="24"/>
        </w:rPr>
        <w:t>、</w:t>
      </w:r>
      <w:r>
        <w:rPr>
          <w:rFonts w:ascii="Times New Roman" w:hAnsi="Times New Roman" w:eastAsia="Times New Roman" w:cs="Times New Roman"/>
          <w:spacing w:val="-6"/>
          <w:sz w:val="24"/>
          <w:szCs w:val="24"/>
        </w:rPr>
        <w:t>NO</w:t>
      </w:r>
      <w:r>
        <w:rPr>
          <w:rFonts w:ascii="Times New Roman" w:hAnsi="Times New Roman" w:eastAsia="Times New Roman" w:cs="Times New Roman"/>
          <w:spacing w:val="-6"/>
          <w:position w:val="-1"/>
          <w:sz w:val="15"/>
          <w:szCs w:val="15"/>
        </w:rPr>
        <w:t>2</w:t>
      </w:r>
      <w:r>
        <w:rPr>
          <w:rFonts w:ascii="宋体" w:hAnsi="宋体" w:eastAsia="宋体" w:cs="宋体"/>
          <w:spacing w:val="-6"/>
          <w:sz w:val="24"/>
          <w:szCs w:val="24"/>
        </w:rPr>
        <w:t>、</w:t>
      </w:r>
      <w:r>
        <w:rPr>
          <w:rFonts w:ascii="Times New Roman" w:hAnsi="Times New Roman" w:eastAsia="Times New Roman" w:cs="Times New Roman"/>
          <w:spacing w:val="-6"/>
          <w:sz w:val="24"/>
          <w:szCs w:val="24"/>
        </w:rPr>
        <w:t xml:space="preserve">TSP </w:t>
      </w:r>
      <w:r>
        <w:rPr>
          <w:rFonts w:ascii="宋体" w:hAnsi="宋体" w:eastAsia="宋体" w:cs="宋体"/>
          <w:spacing w:val="-6"/>
          <w:sz w:val="24"/>
          <w:szCs w:val="24"/>
        </w:rPr>
        <w:t>执行《环境空气质量标准》（</w:t>
      </w:r>
      <w:r>
        <w:rPr>
          <w:rFonts w:ascii="Times New Roman" w:hAnsi="Times New Roman" w:eastAsia="Times New Roman" w:cs="Times New Roman"/>
          <w:spacing w:val="-6"/>
          <w:sz w:val="24"/>
          <w:szCs w:val="24"/>
        </w:rPr>
        <w:t>GB3095-2012</w:t>
      </w:r>
      <w:r>
        <w:rPr>
          <w:rFonts w:ascii="宋体" w:hAnsi="宋体" w:eastAsia="宋体" w:cs="宋体"/>
          <w:spacing w:val="-6"/>
          <w:sz w:val="24"/>
          <w:szCs w:val="24"/>
        </w:rPr>
        <w:t>）</w:t>
      </w:r>
      <w:r>
        <w:rPr>
          <w:rFonts w:ascii="宋体" w:hAnsi="宋体" w:eastAsia="宋体" w:cs="宋体"/>
          <w:sz w:val="24"/>
          <w:szCs w:val="24"/>
        </w:rPr>
        <w:t xml:space="preserve"> </w:t>
      </w:r>
      <w:r>
        <w:rPr>
          <w:rFonts w:ascii="宋体" w:hAnsi="宋体" w:eastAsia="宋体" w:cs="宋体"/>
          <w:spacing w:val="-2"/>
          <w:sz w:val="24"/>
          <w:szCs w:val="24"/>
        </w:rPr>
        <w:t>中的二级标准及</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 xml:space="preserve">2018 </w:t>
      </w:r>
      <w:r>
        <w:rPr>
          <w:rFonts w:ascii="宋体" w:hAnsi="宋体" w:eastAsia="宋体" w:cs="宋体"/>
          <w:spacing w:val="-2"/>
          <w:sz w:val="24"/>
          <w:szCs w:val="24"/>
        </w:rPr>
        <w:t>年修改单的要求。</w:t>
      </w:r>
    </w:p>
    <w:p w14:paraId="2A949E03">
      <w:pPr>
        <w:spacing w:before="35" w:line="219" w:lineRule="auto"/>
        <w:ind w:left="491"/>
        <w:rPr>
          <w:rFonts w:ascii="宋体" w:hAnsi="宋体" w:eastAsia="宋体" w:cs="宋体"/>
          <w:sz w:val="24"/>
          <w:szCs w:val="24"/>
        </w:rPr>
      </w:pPr>
      <w:r>
        <w:rPr>
          <w:rFonts w:ascii="宋体" w:hAnsi="宋体" w:eastAsia="宋体" w:cs="宋体"/>
          <w:spacing w:val="-2"/>
          <w:sz w:val="24"/>
          <w:szCs w:val="24"/>
        </w:rPr>
        <w:t>各预测因子具体环境质量标准限值见表</w:t>
      </w:r>
      <w:r>
        <w:rPr>
          <w:rFonts w:ascii="宋体" w:hAnsi="宋体" w:eastAsia="宋体" w:cs="宋体"/>
          <w:spacing w:val="-24"/>
          <w:sz w:val="24"/>
          <w:szCs w:val="24"/>
        </w:rPr>
        <w:t xml:space="preserve"> </w:t>
      </w:r>
      <w:r>
        <w:rPr>
          <w:rFonts w:ascii="Times New Roman" w:hAnsi="Times New Roman" w:eastAsia="Times New Roman" w:cs="Times New Roman"/>
          <w:spacing w:val="-2"/>
          <w:sz w:val="24"/>
          <w:szCs w:val="24"/>
        </w:rPr>
        <w:t>1.6.1-2</w:t>
      </w:r>
      <w:r>
        <w:rPr>
          <w:rFonts w:ascii="宋体" w:hAnsi="宋体" w:eastAsia="宋体" w:cs="宋体"/>
          <w:spacing w:val="-2"/>
          <w:sz w:val="24"/>
          <w:szCs w:val="24"/>
        </w:rPr>
        <w:t>。</w:t>
      </w:r>
    </w:p>
    <w:p w14:paraId="05FC006C">
      <w:pPr>
        <w:spacing w:before="183"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）预测范围</w:t>
      </w:r>
    </w:p>
    <w:p w14:paraId="414A0F4F">
      <w:pPr>
        <w:spacing w:before="181" w:line="351" w:lineRule="auto"/>
        <w:ind w:right="37" w:firstLine="489"/>
        <w:rPr>
          <w:rFonts w:ascii="宋体" w:hAnsi="宋体" w:eastAsia="宋体" w:cs="宋体"/>
          <w:sz w:val="24"/>
          <w:szCs w:val="24"/>
        </w:rPr>
      </w:pPr>
      <w:r>
        <w:rPr>
          <w:rFonts w:ascii="宋体" w:hAnsi="宋体" w:eastAsia="宋体" w:cs="宋体"/>
          <w:spacing w:val="9"/>
          <w:sz w:val="24"/>
          <w:szCs w:val="24"/>
        </w:rPr>
        <w:t>预测范围覆盖评价范围，评价范围本次评价采用</w:t>
      </w:r>
      <w:r>
        <w:rPr>
          <w:rFonts w:ascii="宋体" w:hAnsi="宋体" w:eastAsia="宋体" w:cs="宋体"/>
          <w:spacing w:val="-42"/>
          <w:sz w:val="24"/>
          <w:szCs w:val="24"/>
        </w:rPr>
        <w:t xml:space="preserve"> </w:t>
      </w:r>
      <w:r>
        <w:rPr>
          <w:rFonts w:ascii="Times New Roman" w:hAnsi="Times New Roman" w:eastAsia="Times New Roman" w:cs="Times New Roman"/>
          <w:sz w:val="24"/>
          <w:szCs w:val="24"/>
        </w:rPr>
        <w:t>HJ</w:t>
      </w:r>
      <w:r>
        <w:rPr>
          <w:rFonts w:ascii="Times New Roman" w:hAnsi="Times New Roman" w:eastAsia="Times New Roman" w:cs="Times New Roman"/>
          <w:spacing w:val="9"/>
          <w:sz w:val="24"/>
          <w:szCs w:val="24"/>
        </w:rPr>
        <w:t>2.2-2018</w:t>
      </w:r>
      <w:r>
        <w:rPr>
          <w:rFonts w:ascii="Times New Roman" w:hAnsi="Times New Roman" w:eastAsia="Times New Roman" w:cs="Times New Roman"/>
          <w:spacing w:val="22"/>
          <w:sz w:val="24"/>
          <w:szCs w:val="24"/>
        </w:rPr>
        <w:t xml:space="preserve"> </w:t>
      </w:r>
      <w:r>
        <w:rPr>
          <w:rFonts w:ascii="宋体" w:hAnsi="宋体" w:eastAsia="宋体" w:cs="宋体"/>
          <w:spacing w:val="9"/>
          <w:sz w:val="24"/>
          <w:szCs w:val="24"/>
        </w:rPr>
        <w:t>推荐模式清单中的</w:t>
      </w:r>
      <w:r>
        <w:rPr>
          <w:rFonts w:ascii="宋体" w:hAnsi="宋体" w:eastAsia="宋体" w:cs="宋体"/>
          <w:sz w:val="24"/>
          <w:szCs w:val="24"/>
        </w:rPr>
        <w:t xml:space="preserve"> </w:t>
      </w:r>
      <w:r>
        <w:rPr>
          <w:rFonts w:ascii="Times New Roman" w:hAnsi="Times New Roman" w:eastAsia="Times New Roman" w:cs="Times New Roman"/>
          <w:spacing w:val="-9"/>
          <w:sz w:val="24"/>
          <w:szCs w:val="24"/>
        </w:rPr>
        <w:t xml:space="preserve">AERMOD </w:t>
      </w:r>
      <w:r>
        <w:rPr>
          <w:rFonts w:ascii="宋体" w:hAnsi="宋体" w:eastAsia="宋体" w:cs="宋体"/>
          <w:spacing w:val="-9"/>
          <w:sz w:val="24"/>
          <w:szCs w:val="24"/>
        </w:rPr>
        <w:t>模式进行预测计算，本次评价范围为以厂址为中心，东西长</w:t>
      </w:r>
      <w:r>
        <w:rPr>
          <w:rFonts w:ascii="宋体" w:hAnsi="宋体" w:eastAsia="宋体" w:cs="宋体"/>
          <w:spacing w:val="-49"/>
          <w:sz w:val="24"/>
          <w:szCs w:val="24"/>
        </w:rPr>
        <w:t xml:space="preserve"> </w:t>
      </w:r>
      <w:r>
        <w:rPr>
          <w:rFonts w:ascii="Times New Roman" w:hAnsi="Times New Roman" w:eastAsia="Times New Roman" w:cs="Times New Roman"/>
          <w:spacing w:val="-9"/>
          <w:sz w:val="24"/>
          <w:szCs w:val="24"/>
        </w:rPr>
        <w:t>5</w:t>
      </w:r>
      <w:r>
        <w:rPr>
          <w:rFonts w:ascii="Times New Roman" w:hAnsi="Times New Roman" w:eastAsia="Times New Roman" w:cs="Times New Roman"/>
          <w:spacing w:val="-10"/>
          <w:sz w:val="24"/>
          <w:szCs w:val="24"/>
        </w:rPr>
        <w:t>km</w:t>
      </w:r>
      <w:r>
        <w:rPr>
          <w:rFonts w:ascii="宋体" w:hAnsi="宋体" w:eastAsia="宋体" w:cs="宋体"/>
          <w:spacing w:val="-10"/>
          <w:sz w:val="24"/>
          <w:szCs w:val="24"/>
        </w:rPr>
        <w:t>，南北宽</w:t>
      </w:r>
      <w:r>
        <w:rPr>
          <w:rFonts w:ascii="宋体" w:hAnsi="宋体" w:eastAsia="宋体" w:cs="宋体"/>
          <w:spacing w:val="-48"/>
          <w:sz w:val="24"/>
          <w:szCs w:val="24"/>
        </w:rPr>
        <w:t xml:space="preserve"> </w:t>
      </w:r>
      <w:r>
        <w:rPr>
          <w:rFonts w:ascii="Times New Roman" w:hAnsi="Times New Roman" w:eastAsia="Times New Roman" w:cs="Times New Roman"/>
          <w:spacing w:val="-10"/>
          <w:sz w:val="24"/>
          <w:szCs w:val="24"/>
        </w:rPr>
        <w:t>5km</w:t>
      </w:r>
      <w:r>
        <w:rPr>
          <w:rFonts w:ascii="宋体" w:hAnsi="宋体" w:eastAsia="宋体" w:cs="宋体"/>
          <w:spacing w:val="-10"/>
          <w:sz w:val="24"/>
          <w:szCs w:val="24"/>
        </w:rPr>
        <w:t>，</w:t>
      </w:r>
      <w:r>
        <w:rPr>
          <w:rFonts w:ascii="宋体" w:hAnsi="宋体" w:eastAsia="宋体" w:cs="宋体"/>
          <w:sz w:val="24"/>
          <w:szCs w:val="24"/>
        </w:rPr>
        <w:t xml:space="preserve"> </w:t>
      </w:r>
      <w:r>
        <w:rPr>
          <w:rFonts w:ascii="宋体" w:hAnsi="宋体" w:eastAsia="宋体" w:cs="宋体"/>
          <w:spacing w:val="-1"/>
          <w:sz w:val="24"/>
          <w:szCs w:val="24"/>
        </w:rPr>
        <w:t>面积为</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25km</w:t>
      </w:r>
      <w:r>
        <w:rPr>
          <w:rFonts w:ascii="Times New Roman" w:hAnsi="Times New Roman" w:eastAsia="Times New Roman" w:cs="Times New Roman"/>
          <w:spacing w:val="-1"/>
          <w:position w:val="8"/>
          <w:sz w:val="15"/>
          <w:szCs w:val="15"/>
        </w:rPr>
        <w:t>2</w:t>
      </w:r>
      <w:r>
        <w:rPr>
          <w:rFonts w:ascii="Times New Roman" w:hAnsi="Times New Roman" w:eastAsia="Times New Roman" w:cs="Times New Roman"/>
          <w:spacing w:val="28"/>
          <w:w w:val="102"/>
          <w:position w:val="8"/>
          <w:sz w:val="15"/>
          <w:szCs w:val="15"/>
        </w:rPr>
        <w:t xml:space="preserve"> </w:t>
      </w:r>
      <w:r>
        <w:rPr>
          <w:rFonts w:ascii="宋体" w:hAnsi="宋体" w:eastAsia="宋体" w:cs="宋体"/>
          <w:spacing w:val="-1"/>
          <w:sz w:val="24"/>
          <w:szCs w:val="24"/>
        </w:rPr>
        <w:t>的矩形区域，预测时取东西向为</w:t>
      </w:r>
      <w:r>
        <w:rPr>
          <w:rFonts w:ascii="宋体" w:hAnsi="宋体" w:eastAsia="宋体" w:cs="宋体"/>
          <w:spacing w:val="-59"/>
          <w:sz w:val="24"/>
          <w:szCs w:val="24"/>
        </w:rPr>
        <w:t xml:space="preserve"> </w:t>
      </w:r>
      <w:r>
        <w:rPr>
          <w:rFonts w:ascii="Times New Roman" w:hAnsi="Times New Roman" w:eastAsia="Times New Roman" w:cs="Times New Roman"/>
          <w:spacing w:val="-1"/>
          <w:sz w:val="24"/>
          <w:szCs w:val="24"/>
        </w:rPr>
        <w:t xml:space="preserve">X </w:t>
      </w:r>
      <w:r>
        <w:rPr>
          <w:rFonts w:ascii="宋体" w:hAnsi="宋体" w:eastAsia="宋体" w:cs="宋体"/>
          <w:spacing w:val="-1"/>
          <w:sz w:val="24"/>
          <w:szCs w:val="24"/>
        </w:rPr>
        <w:t>轴，南北向为</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 xml:space="preserve">Y </w:t>
      </w:r>
      <w:r>
        <w:rPr>
          <w:rFonts w:ascii="宋体" w:hAnsi="宋体" w:eastAsia="宋体" w:cs="宋体"/>
          <w:spacing w:val="-2"/>
          <w:sz w:val="24"/>
          <w:szCs w:val="24"/>
        </w:rPr>
        <w:t>轴。</w:t>
      </w:r>
    </w:p>
    <w:p w14:paraId="1D776D17">
      <w:pPr>
        <w:spacing w:before="36" w:line="344" w:lineRule="auto"/>
        <w:ind w:left="9" w:right="99" w:firstLine="480"/>
        <w:rPr>
          <w:rFonts w:ascii="宋体" w:hAnsi="宋体" w:eastAsia="宋体" w:cs="宋体"/>
          <w:sz w:val="24"/>
          <w:szCs w:val="24"/>
        </w:rPr>
      </w:pPr>
      <w:r>
        <w:rPr>
          <w:rFonts w:ascii="宋体" w:hAnsi="宋体" w:eastAsia="宋体" w:cs="宋体"/>
          <w:spacing w:val="-1"/>
          <w:sz w:val="24"/>
          <w:szCs w:val="24"/>
        </w:rPr>
        <w:t>本项目以评价范围左下角为</w:t>
      </w:r>
      <w:r>
        <w:rPr>
          <w:rFonts w:ascii="宋体" w:hAnsi="宋体" w:eastAsia="宋体" w:cs="宋体"/>
          <w:spacing w:val="-44"/>
          <w:sz w:val="24"/>
          <w:szCs w:val="24"/>
        </w:rPr>
        <w:t xml:space="preserve"> </w:t>
      </w:r>
      <w:r>
        <w:rPr>
          <w:rFonts w:ascii="Times New Roman" w:hAnsi="Times New Roman" w:eastAsia="Times New Roman" w:cs="Times New Roman"/>
          <w:spacing w:val="-1"/>
          <w:sz w:val="24"/>
          <w:szCs w:val="24"/>
        </w:rPr>
        <w:t>0,0</w:t>
      </w:r>
      <w:r>
        <w:rPr>
          <w:rFonts w:ascii="Times New Roman" w:hAnsi="Times New Roman" w:eastAsia="Times New Roman" w:cs="Times New Roman"/>
          <w:spacing w:val="21"/>
          <w:w w:val="101"/>
          <w:sz w:val="24"/>
          <w:szCs w:val="24"/>
        </w:rPr>
        <w:t xml:space="preserve"> </w:t>
      </w:r>
      <w:r>
        <w:rPr>
          <w:rFonts w:ascii="宋体" w:hAnsi="宋体" w:eastAsia="宋体" w:cs="宋体"/>
          <w:spacing w:val="-1"/>
          <w:sz w:val="24"/>
          <w:szCs w:val="24"/>
        </w:rPr>
        <w:t>点，本次预测共设置三类计算点：环境空气保护目</w:t>
      </w:r>
      <w:r>
        <w:rPr>
          <w:rFonts w:ascii="宋体" w:hAnsi="宋体" w:eastAsia="宋体" w:cs="宋体"/>
          <w:sz w:val="24"/>
          <w:szCs w:val="24"/>
        </w:rPr>
        <w:t xml:space="preserve"> </w:t>
      </w:r>
      <w:r>
        <w:rPr>
          <w:rFonts w:ascii="宋体" w:hAnsi="宋体" w:eastAsia="宋体" w:cs="宋体"/>
          <w:spacing w:val="-1"/>
          <w:sz w:val="24"/>
          <w:szCs w:val="24"/>
        </w:rPr>
        <w:t>标、预测范围内的网格点以及区域最大地面浓度点。</w:t>
      </w:r>
    </w:p>
    <w:p w14:paraId="2C41855E">
      <w:pPr>
        <w:spacing w:before="42"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）预测内容</w:t>
      </w:r>
    </w:p>
    <w:p w14:paraId="241D5F65">
      <w:pPr>
        <w:spacing w:before="182" w:line="218" w:lineRule="auto"/>
        <w:ind w:left="488"/>
        <w:rPr>
          <w:rFonts w:ascii="宋体" w:hAnsi="宋体" w:eastAsia="宋体" w:cs="宋体"/>
          <w:sz w:val="24"/>
          <w:szCs w:val="24"/>
        </w:rPr>
      </w:pPr>
      <w:r>
        <w:rPr>
          <w:rFonts w:ascii="宋体" w:hAnsi="宋体" w:eastAsia="宋体" w:cs="宋体"/>
          <w:spacing w:val="-1"/>
          <w:sz w:val="24"/>
          <w:szCs w:val="24"/>
        </w:rPr>
        <w:t>根据导则对一级评价的要求，确定本项目大气预测内容如下：</w:t>
      </w:r>
    </w:p>
    <w:p w14:paraId="2E85B5AB">
      <w:pPr>
        <w:spacing w:before="185" w:line="346" w:lineRule="auto"/>
        <w:ind w:left="9" w:right="99" w:firstLine="497"/>
        <w:rPr>
          <w:rFonts w:ascii="宋体" w:hAnsi="宋体" w:eastAsia="宋体" w:cs="宋体"/>
          <w:sz w:val="24"/>
          <w:szCs w:val="24"/>
        </w:rPr>
      </w:pPr>
      <w:r>
        <w:rPr>
          <w:rFonts w:ascii="Times New Roman" w:hAnsi="Times New Roman" w:eastAsia="Times New Roman" w:cs="Times New Roman"/>
          <w:spacing w:val="1"/>
          <w:sz w:val="24"/>
          <w:szCs w:val="24"/>
        </w:rPr>
        <w:t>1</w:t>
      </w:r>
      <w:r>
        <w:rPr>
          <w:rFonts w:ascii="宋体" w:hAnsi="宋体" w:eastAsia="宋体" w:cs="宋体"/>
          <w:spacing w:val="1"/>
          <w:sz w:val="24"/>
          <w:szCs w:val="24"/>
        </w:rPr>
        <w:t>）项目正常排放条件下，预测环境空气保护目标和网格点主要污染物的短期浓度</w:t>
      </w:r>
      <w:r>
        <w:rPr>
          <w:rFonts w:ascii="宋体" w:hAnsi="宋体" w:eastAsia="宋体" w:cs="宋体"/>
          <w:spacing w:val="6"/>
          <w:sz w:val="24"/>
          <w:szCs w:val="24"/>
        </w:rPr>
        <w:t xml:space="preserve"> </w:t>
      </w:r>
      <w:r>
        <w:rPr>
          <w:rFonts w:ascii="宋体" w:hAnsi="宋体" w:eastAsia="宋体" w:cs="宋体"/>
          <w:spacing w:val="-1"/>
          <w:sz w:val="24"/>
          <w:szCs w:val="24"/>
        </w:rPr>
        <w:t>和长期浓度贡献值，评价其最大浓度占标率。</w:t>
      </w:r>
    </w:p>
    <w:p w14:paraId="587F52D9">
      <w:pPr>
        <w:spacing w:before="38" w:line="348" w:lineRule="auto"/>
        <w:ind w:left="8" w:right="99" w:firstLine="475"/>
        <w:rPr>
          <w:rFonts w:ascii="宋体" w:hAnsi="宋体" w:eastAsia="宋体" w:cs="宋体"/>
          <w:sz w:val="24"/>
          <w:szCs w:val="24"/>
        </w:rPr>
      </w:pPr>
      <w:r>
        <w:rPr>
          <w:rFonts w:ascii="Times New Roman" w:hAnsi="Times New Roman" w:eastAsia="Times New Roman" w:cs="Times New Roman"/>
          <w:spacing w:val="2"/>
          <w:sz w:val="24"/>
          <w:szCs w:val="24"/>
        </w:rPr>
        <w:t>2</w:t>
      </w:r>
      <w:r>
        <w:rPr>
          <w:rFonts w:ascii="宋体" w:hAnsi="宋体" w:eastAsia="宋体" w:cs="宋体"/>
          <w:spacing w:val="2"/>
          <w:sz w:val="24"/>
          <w:szCs w:val="24"/>
        </w:rPr>
        <w:t>）项目正常排放条件下，预测评价叠加环境空气质量现状浓度后</w:t>
      </w:r>
      <w:r>
        <w:rPr>
          <w:rFonts w:ascii="宋体" w:hAnsi="宋体" w:eastAsia="宋体" w:cs="宋体"/>
          <w:spacing w:val="1"/>
          <w:sz w:val="24"/>
          <w:szCs w:val="24"/>
        </w:rPr>
        <w:t>，环境空气保护</w:t>
      </w:r>
      <w:r>
        <w:rPr>
          <w:rFonts w:ascii="宋体" w:hAnsi="宋体" w:eastAsia="宋体" w:cs="宋体"/>
          <w:sz w:val="24"/>
          <w:szCs w:val="24"/>
        </w:rPr>
        <w:t xml:space="preserve"> </w:t>
      </w:r>
      <w:r>
        <w:rPr>
          <w:rFonts w:ascii="宋体" w:hAnsi="宋体" w:eastAsia="宋体" w:cs="宋体"/>
          <w:spacing w:val="-2"/>
          <w:sz w:val="24"/>
          <w:szCs w:val="24"/>
        </w:rPr>
        <w:t>目标和网格点主要污染物的保证率日平均浓度和年平均质量浓度的达标情况；对于项目</w:t>
      </w:r>
      <w:r>
        <w:rPr>
          <w:rFonts w:ascii="宋体" w:hAnsi="宋体" w:eastAsia="宋体" w:cs="宋体"/>
          <w:spacing w:val="17"/>
          <w:sz w:val="24"/>
          <w:szCs w:val="24"/>
        </w:rPr>
        <w:t xml:space="preserve"> </w:t>
      </w:r>
      <w:r>
        <w:rPr>
          <w:rFonts w:ascii="宋体" w:hAnsi="宋体" w:eastAsia="宋体" w:cs="宋体"/>
          <w:sz w:val="24"/>
          <w:szCs w:val="24"/>
        </w:rPr>
        <w:t>排放的主要污染物仅有短期浓度限值的，评价其短期</w:t>
      </w:r>
      <w:r>
        <w:rPr>
          <w:rFonts w:ascii="宋体" w:hAnsi="宋体" w:eastAsia="宋体" w:cs="宋体"/>
          <w:spacing w:val="-1"/>
          <w:sz w:val="24"/>
          <w:szCs w:val="24"/>
        </w:rPr>
        <w:t>浓度叠加后的达标情况。</w:t>
      </w:r>
    </w:p>
    <w:p w14:paraId="6DB287CA">
      <w:pPr>
        <w:spacing w:before="2" w:line="355" w:lineRule="auto"/>
        <w:ind w:left="10" w:right="97" w:firstLine="473"/>
        <w:rPr>
          <w:rFonts w:ascii="宋体" w:hAnsi="宋体" w:eastAsia="宋体" w:cs="宋体"/>
          <w:sz w:val="24"/>
          <w:szCs w:val="24"/>
        </w:rPr>
      </w:pPr>
      <w:r>
        <w:rPr>
          <w:rFonts w:ascii="Times New Roman" w:hAnsi="Times New Roman" w:eastAsia="Times New Roman" w:cs="Times New Roman"/>
          <w:spacing w:val="-1"/>
          <w:sz w:val="24"/>
          <w:szCs w:val="24"/>
        </w:rPr>
        <w:t>3</w:t>
      </w:r>
      <w:r>
        <w:rPr>
          <w:rFonts w:ascii="宋体" w:hAnsi="宋体" w:eastAsia="宋体" w:cs="宋体"/>
          <w:spacing w:val="-1"/>
          <w:sz w:val="24"/>
          <w:szCs w:val="24"/>
        </w:rPr>
        <w:t>）本项目</w:t>
      </w:r>
      <w:r>
        <w:rPr>
          <w:rFonts w:ascii="宋体" w:hAnsi="宋体" w:eastAsia="宋体" w:cs="宋体"/>
          <w:spacing w:val="-45"/>
          <w:sz w:val="24"/>
          <w:szCs w:val="24"/>
        </w:rPr>
        <w:t xml:space="preserve"> </w:t>
      </w:r>
      <w:r>
        <w:rPr>
          <w:rFonts w:ascii="Times New Roman" w:hAnsi="Times New Roman" w:eastAsia="Times New Roman" w:cs="Times New Roman"/>
          <w:spacing w:val="-1"/>
          <w:sz w:val="24"/>
          <w:szCs w:val="24"/>
        </w:rPr>
        <w:t>SO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+NO</w:t>
      </w:r>
      <w:r>
        <w:rPr>
          <w:rFonts w:ascii="Times New Roman" w:hAnsi="Times New Roman" w:eastAsia="Times New Roman" w:cs="Times New Roman"/>
          <w:spacing w:val="-1"/>
          <w:position w:val="-1"/>
          <w:sz w:val="15"/>
          <w:szCs w:val="15"/>
        </w:rPr>
        <w:t>x</w:t>
      </w:r>
      <w:r>
        <w:rPr>
          <w:rFonts w:ascii="Times New Roman" w:hAnsi="Times New Roman" w:eastAsia="Times New Roman" w:cs="Times New Roman"/>
          <w:spacing w:val="-1"/>
          <w:sz w:val="24"/>
          <w:szCs w:val="24"/>
        </w:rPr>
        <w:t>=587.</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1"/>
          <w:sz w:val="24"/>
          <w:szCs w:val="24"/>
        </w:rPr>
        <w:t>14t/a</w:t>
      </w:r>
      <w:r>
        <w:rPr>
          <w:rFonts w:ascii="宋体" w:hAnsi="宋体" w:eastAsia="宋体" w:cs="宋体"/>
          <w:spacing w:val="-1"/>
          <w:sz w:val="24"/>
          <w:szCs w:val="24"/>
        </w:rPr>
        <w:t>＞</w:t>
      </w:r>
      <w:r>
        <w:rPr>
          <w:rFonts w:ascii="Times New Roman" w:hAnsi="Times New Roman" w:eastAsia="Times New Roman" w:cs="Times New Roman"/>
          <w:spacing w:val="-2"/>
          <w:sz w:val="24"/>
          <w:szCs w:val="24"/>
        </w:rPr>
        <w:t>500t/a</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，对</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 xml:space="preserve">2.5 </w:t>
      </w:r>
      <w:r>
        <w:rPr>
          <w:rFonts w:ascii="宋体" w:hAnsi="宋体" w:eastAsia="宋体" w:cs="宋体"/>
          <w:spacing w:val="-2"/>
          <w:sz w:val="24"/>
          <w:szCs w:val="24"/>
        </w:rPr>
        <w:t>进行预测，首先预测</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2.5</w:t>
      </w:r>
      <w:r>
        <w:rPr>
          <w:rFonts w:ascii="Times New Roman" w:hAnsi="Times New Roman" w:eastAsia="Times New Roman" w:cs="Times New Roman"/>
          <w:spacing w:val="13"/>
          <w:position w:val="-1"/>
          <w:sz w:val="15"/>
          <w:szCs w:val="15"/>
        </w:rPr>
        <w:t xml:space="preserve"> </w:t>
      </w:r>
      <w:r>
        <w:rPr>
          <w:rFonts w:ascii="宋体" w:hAnsi="宋体" w:eastAsia="宋体" w:cs="宋体"/>
          <w:spacing w:val="-2"/>
          <w:sz w:val="24"/>
          <w:szCs w:val="24"/>
        </w:rPr>
        <w:t>一次污</w:t>
      </w:r>
      <w:r>
        <w:rPr>
          <w:rFonts w:ascii="宋体" w:hAnsi="宋体" w:eastAsia="宋体" w:cs="宋体"/>
          <w:sz w:val="24"/>
          <w:szCs w:val="24"/>
        </w:rPr>
        <w:t xml:space="preserve"> </w:t>
      </w:r>
      <w:r>
        <w:rPr>
          <w:rFonts w:ascii="宋体" w:hAnsi="宋体" w:eastAsia="宋体" w:cs="宋体"/>
          <w:spacing w:val="-1"/>
          <w:sz w:val="24"/>
          <w:szCs w:val="24"/>
        </w:rPr>
        <w:t>染物的质量浓度，同步叠加</w:t>
      </w:r>
      <w:r>
        <w:rPr>
          <w:rFonts w:ascii="宋体" w:hAnsi="宋体" w:eastAsia="宋体" w:cs="宋体"/>
          <w:spacing w:val="-45"/>
          <w:sz w:val="24"/>
          <w:szCs w:val="24"/>
        </w:rPr>
        <w:t xml:space="preserve"> </w:t>
      </w:r>
      <w:r>
        <w:rPr>
          <w:rFonts w:ascii="Times New Roman" w:hAnsi="Times New Roman" w:eastAsia="Times New Roman" w:cs="Times New Roman"/>
          <w:spacing w:val="-1"/>
          <w:sz w:val="24"/>
          <w:szCs w:val="24"/>
        </w:rPr>
        <w:t>SO</w:t>
      </w:r>
      <w:r>
        <w:rPr>
          <w:rFonts w:ascii="Times New Roman" w:hAnsi="Times New Roman" w:eastAsia="Times New Roman" w:cs="Times New Roman"/>
          <w:spacing w:val="-1"/>
          <w:position w:val="-1"/>
          <w:sz w:val="15"/>
          <w:szCs w:val="15"/>
        </w:rPr>
        <w:t>2</w:t>
      </w:r>
      <w:r>
        <w:rPr>
          <w:rFonts w:ascii="宋体" w:hAnsi="宋体" w:eastAsia="宋体" w:cs="宋体"/>
          <w:spacing w:val="-1"/>
          <w:sz w:val="24"/>
          <w:szCs w:val="24"/>
        </w:rPr>
        <w:t>、</w:t>
      </w:r>
      <w:r>
        <w:rPr>
          <w:rFonts w:ascii="Times New Roman" w:hAnsi="Times New Roman" w:eastAsia="Times New Roman" w:cs="Times New Roman"/>
          <w:spacing w:val="-1"/>
          <w:sz w:val="24"/>
          <w:szCs w:val="24"/>
        </w:rPr>
        <w:t>NO</w:t>
      </w:r>
      <w:r>
        <w:rPr>
          <w:rFonts w:ascii="Times New Roman" w:hAnsi="Times New Roman" w:eastAsia="Times New Roman" w:cs="Times New Roman"/>
          <w:spacing w:val="-1"/>
          <w:position w:val="-1"/>
          <w:sz w:val="15"/>
          <w:szCs w:val="15"/>
        </w:rPr>
        <w:t>x</w:t>
      </w:r>
      <w:r>
        <w:rPr>
          <w:rFonts w:ascii="Times New Roman" w:hAnsi="Times New Roman" w:eastAsia="Times New Roman" w:cs="Times New Roman"/>
          <w:spacing w:val="10"/>
          <w:w w:val="101"/>
          <w:position w:val="-1"/>
          <w:sz w:val="15"/>
          <w:szCs w:val="15"/>
        </w:rPr>
        <w:t xml:space="preserve"> </w:t>
      </w:r>
      <w:r>
        <w:rPr>
          <w:rFonts w:ascii="宋体" w:hAnsi="宋体" w:eastAsia="宋体" w:cs="宋体"/>
          <w:spacing w:val="-1"/>
          <w:sz w:val="24"/>
          <w:szCs w:val="24"/>
        </w:rPr>
        <w:t>转</w:t>
      </w:r>
      <w:r>
        <w:rPr>
          <w:rFonts w:ascii="宋体" w:hAnsi="宋体" w:eastAsia="宋体" w:cs="宋体"/>
          <w:spacing w:val="-2"/>
          <w:sz w:val="24"/>
          <w:szCs w:val="24"/>
        </w:rPr>
        <w:t>化比例估算的二次</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2.5</w:t>
      </w:r>
      <w:r>
        <w:rPr>
          <w:rFonts w:ascii="Times New Roman" w:hAnsi="Times New Roman" w:eastAsia="Times New Roman" w:cs="Times New Roman"/>
          <w:spacing w:val="10"/>
          <w:position w:val="-1"/>
          <w:sz w:val="15"/>
          <w:szCs w:val="15"/>
        </w:rPr>
        <w:t xml:space="preserve"> </w:t>
      </w:r>
      <w:r>
        <w:rPr>
          <w:rFonts w:ascii="宋体" w:hAnsi="宋体" w:eastAsia="宋体" w:cs="宋体"/>
          <w:spacing w:val="-2"/>
          <w:sz w:val="24"/>
          <w:szCs w:val="24"/>
        </w:rPr>
        <w:t>质量浓度，得到</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2.5</w:t>
      </w:r>
      <w:r>
        <w:rPr>
          <w:rFonts w:ascii="Times New Roman" w:hAnsi="Times New Roman" w:eastAsia="Times New Roman" w:cs="Times New Roman"/>
          <w:position w:val="-1"/>
          <w:sz w:val="15"/>
          <w:szCs w:val="15"/>
        </w:rPr>
        <w:t xml:space="preserve"> </w:t>
      </w:r>
      <w:r>
        <w:rPr>
          <w:rFonts w:ascii="宋体" w:hAnsi="宋体" w:eastAsia="宋体" w:cs="宋体"/>
          <w:spacing w:val="-1"/>
          <w:sz w:val="24"/>
          <w:szCs w:val="24"/>
        </w:rPr>
        <w:t>的贡献值浓度。</w:t>
      </w:r>
      <w:r>
        <w:rPr>
          <w:rFonts w:ascii="Times New Roman" w:hAnsi="Times New Roman" w:eastAsia="Times New Roman" w:cs="Times New Roman"/>
          <w:spacing w:val="-1"/>
          <w:sz w:val="24"/>
          <w:szCs w:val="24"/>
        </w:rPr>
        <w:t>SO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position w:val="-1"/>
          <w:sz w:val="15"/>
          <w:szCs w:val="15"/>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NO</w:t>
      </w:r>
      <w:r>
        <w:rPr>
          <w:rFonts w:ascii="Times New Roman" w:hAnsi="Times New Roman" w:eastAsia="Times New Roman" w:cs="Times New Roman"/>
          <w:spacing w:val="-1"/>
          <w:position w:val="-1"/>
          <w:sz w:val="15"/>
          <w:szCs w:val="15"/>
        </w:rPr>
        <w:t>x</w:t>
      </w:r>
      <w:r>
        <w:rPr>
          <w:rFonts w:ascii="Times New Roman" w:hAnsi="Times New Roman" w:eastAsia="Times New Roman" w:cs="Times New Roman"/>
          <w:spacing w:val="16"/>
          <w:position w:val="-1"/>
          <w:sz w:val="15"/>
          <w:szCs w:val="15"/>
        </w:rPr>
        <w:t xml:space="preserve"> </w:t>
      </w:r>
      <w:r>
        <w:rPr>
          <w:rFonts w:ascii="宋体" w:hAnsi="宋体" w:eastAsia="宋体" w:cs="宋体"/>
          <w:spacing w:val="-1"/>
          <w:sz w:val="24"/>
          <w:szCs w:val="24"/>
        </w:rPr>
        <w:t>前提物转化比例取值为：</w:t>
      </w:r>
      <w:r>
        <w:rPr>
          <w:rFonts w:ascii="Times New Roman" w:hAnsi="Times New Roman" w:eastAsia="Times New Roman" w:cs="Times New Roman"/>
          <w:spacing w:val="-1"/>
          <w:sz w:val="24"/>
          <w:szCs w:val="24"/>
        </w:rPr>
        <w:t>φ</w:t>
      </w:r>
      <w:r>
        <w:rPr>
          <w:rFonts w:ascii="Times New Roman" w:hAnsi="Times New Roman" w:eastAsia="Times New Roman" w:cs="Times New Roman"/>
          <w:spacing w:val="-1"/>
          <w:position w:val="-1"/>
          <w:sz w:val="15"/>
          <w:szCs w:val="15"/>
        </w:rPr>
        <w:t>SO2</w:t>
      </w:r>
      <w:r>
        <w:rPr>
          <w:rFonts w:ascii="Times New Roman" w:hAnsi="Times New Roman" w:eastAsia="Times New Roman" w:cs="Times New Roman"/>
          <w:spacing w:val="-1"/>
          <w:sz w:val="24"/>
          <w:szCs w:val="24"/>
        </w:rPr>
        <w:t>0.58</w:t>
      </w:r>
      <w:r>
        <w:rPr>
          <w:rFonts w:ascii="Times New Roman" w:hAnsi="Times New Roman" w:eastAsia="Times New Roman" w:cs="Times New Roman"/>
          <w:spacing w:val="-34"/>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φ</w:t>
      </w:r>
      <w:r>
        <w:rPr>
          <w:rFonts w:ascii="Times New Roman" w:hAnsi="Times New Roman" w:eastAsia="Times New Roman" w:cs="Times New Roman"/>
          <w:spacing w:val="-1"/>
          <w:position w:val="-1"/>
          <w:sz w:val="15"/>
          <w:szCs w:val="15"/>
        </w:rPr>
        <w:t>NOx</w:t>
      </w:r>
      <w:r>
        <w:rPr>
          <w:rFonts w:ascii="Times New Roman" w:hAnsi="Times New Roman" w:eastAsia="Times New Roman" w:cs="Times New Roman"/>
          <w:spacing w:val="-1"/>
          <w:sz w:val="24"/>
          <w:szCs w:val="24"/>
        </w:rPr>
        <w:t>0.44</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，按下列公式计</w:t>
      </w:r>
      <w:r>
        <w:rPr>
          <w:rFonts w:ascii="宋体" w:hAnsi="宋体" w:eastAsia="宋体" w:cs="宋体"/>
          <w:sz w:val="24"/>
          <w:szCs w:val="24"/>
        </w:rPr>
        <w:t xml:space="preserve"> </w:t>
      </w:r>
      <w:r>
        <w:rPr>
          <w:rFonts w:ascii="宋体" w:hAnsi="宋体" w:eastAsia="宋体" w:cs="宋体"/>
          <w:spacing w:val="-3"/>
          <w:sz w:val="24"/>
          <w:szCs w:val="24"/>
        </w:rPr>
        <w:t>算二次</w:t>
      </w:r>
      <w:r>
        <w:rPr>
          <w:rFonts w:ascii="宋体" w:hAnsi="宋体" w:eastAsia="宋体" w:cs="宋体"/>
          <w:spacing w:val="-53"/>
          <w:sz w:val="24"/>
          <w:szCs w:val="24"/>
        </w:rPr>
        <w:t xml:space="preserve"> </w:t>
      </w:r>
      <w:r>
        <w:rPr>
          <w:rFonts w:ascii="Times New Roman" w:hAnsi="Times New Roman" w:eastAsia="Times New Roman" w:cs="Times New Roman"/>
          <w:spacing w:val="-3"/>
          <w:sz w:val="24"/>
          <w:szCs w:val="24"/>
        </w:rPr>
        <w:t>PM</w:t>
      </w:r>
      <w:r>
        <w:rPr>
          <w:rFonts w:ascii="Times New Roman" w:hAnsi="Times New Roman" w:eastAsia="Times New Roman" w:cs="Times New Roman"/>
          <w:spacing w:val="-3"/>
          <w:position w:val="-1"/>
          <w:sz w:val="15"/>
          <w:szCs w:val="15"/>
        </w:rPr>
        <w:t>2.5</w:t>
      </w:r>
      <w:r>
        <w:rPr>
          <w:rFonts w:ascii="Times New Roman" w:hAnsi="Times New Roman" w:eastAsia="Times New Roman" w:cs="Times New Roman"/>
          <w:spacing w:val="31"/>
          <w:w w:val="101"/>
          <w:position w:val="-1"/>
          <w:sz w:val="15"/>
          <w:szCs w:val="15"/>
        </w:rPr>
        <w:t xml:space="preserve"> </w:t>
      </w:r>
      <w:r>
        <w:rPr>
          <w:rFonts w:ascii="宋体" w:hAnsi="宋体" w:eastAsia="宋体" w:cs="宋体"/>
          <w:spacing w:val="-3"/>
          <w:sz w:val="24"/>
          <w:szCs w:val="24"/>
        </w:rPr>
        <w:t>的贡献浓度：</w:t>
      </w:r>
    </w:p>
    <w:p w14:paraId="1DB8B238">
      <w:pPr>
        <w:spacing w:before="20" w:line="1428" w:lineRule="exact"/>
        <w:ind w:firstLine="418"/>
      </w:pPr>
      <w:r>
        <w:rPr>
          <w:position w:val="-28"/>
        </w:rPr>
        <w:drawing>
          <wp:inline distT="0" distB="0" distL="0" distR="0">
            <wp:extent cx="4046220" cy="906145"/>
            <wp:effectExtent l="0" t="0" r="0" b="0"/>
            <wp:docPr id="102" name="IM 102"/>
            <wp:cNvGraphicFramePr/>
            <a:graphic xmlns:a="http://schemas.openxmlformats.org/drawingml/2006/main">
              <a:graphicData uri="http://schemas.openxmlformats.org/drawingml/2006/picture">
                <pic:pic xmlns:pic="http://schemas.openxmlformats.org/drawingml/2006/picture">
                  <pic:nvPicPr>
                    <pic:cNvPr id="102" name="IM 102"/>
                    <pic:cNvPicPr/>
                  </pic:nvPicPr>
                  <pic:blipFill>
                    <a:blip r:embed="rId631"/>
                    <a:stretch>
                      <a:fillRect/>
                    </a:stretch>
                  </pic:blipFill>
                  <pic:spPr>
                    <a:xfrm>
                      <a:off x="0" y="0"/>
                      <a:ext cx="4046220" cy="906779"/>
                    </a:xfrm>
                    <a:prstGeom prst="rect">
                      <a:avLst/>
                    </a:prstGeom>
                  </pic:spPr>
                </pic:pic>
              </a:graphicData>
            </a:graphic>
          </wp:inline>
        </w:drawing>
      </w:r>
    </w:p>
    <w:p w14:paraId="4BE4D84C">
      <w:pPr>
        <w:spacing w:before="180" w:line="347" w:lineRule="auto"/>
        <w:ind w:left="11" w:right="111" w:firstLine="471"/>
        <w:rPr>
          <w:rFonts w:ascii="宋体" w:hAnsi="宋体" w:eastAsia="宋体" w:cs="宋体"/>
          <w:sz w:val="24"/>
          <w:szCs w:val="24"/>
        </w:rPr>
      </w:pPr>
      <w:r>
        <w:rPr>
          <w:rFonts w:ascii="Times New Roman" w:hAnsi="Times New Roman" w:eastAsia="Times New Roman" w:cs="Times New Roman"/>
          <w:spacing w:val="-1"/>
          <w:sz w:val="24"/>
          <w:szCs w:val="24"/>
        </w:rPr>
        <w:t>4</w:t>
      </w:r>
      <w:r>
        <w:rPr>
          <w:rFonts w:ascii="宋体" w:hAnsi="宋体" w:eastAsia="宋体" w:cs="宋体"/>
          <w:spacing w:val="-1"/>
          <w:sz w:val="24"/>
          <w:szCs w:val="24"/>
        </w:rPr>
        <w:t>）项目非正常排放条件下，预测评价环境空气保护目标和网格点主要污染物的</w:t>
      </w:r>
      <w:r>
        <w:rPr>
          <w:rFonts w:ascii="宋体" w:hAnsi="宋体" w:eastAsia="宋体" w:cs="宋体"/>
          <w:spacing w:val="-28"/>
          <w:sz w:val="24"/>
          <w:szCs w:val="24"/>
        </w:rPr>
        <w:t xml:space="preserve"> </w:t>
      </w:r>
      <w:r>
        <w:rPr>
          <w:rFonts w:ascii="Times New Roman" w:hAnsi="Times New Roman" w:eastAsia="Times New Roman" w:cs="Times New Roman"/>
          <w:spacing w:val="-1"/>
          <w:sz w:val="24"/>
          <w:szCs w:val="24"/>
        </w:rPr>
        <w:t>1h</w:t>
      </w:r>
      <w:r>
        <w:rPr>
          <w:rFonts w:ascii="Times New Roman" w:hAnsi="Times New Roman" w:eastAsia="Times New Roman" w:cs="Times New Roman"/>
          <w:sz w:val="24"/>
          <w:szCs w:val="24"/>
        </w:rPr>
        <w:t xml:space="preserve"> </w:t>
      </w:r>
      <w:r>
        <w:rPr>
          <w:rFonts w:ascii="宋体" w:hAnsi="宋体" w:eastAsia="宋体" w:cs="宋体"/>
          <w:spacing w:val="-2"/>
          <w:sz w:val="24"/>
          <w:szCs w:val="24"/>
        </w:rPr>
        <w:t>最大浓度贡献值及占标率。</w:t>
      </w:r>
    </w:p>
    <w:p w14:paraId="3128290B">
      <w:pPr>
        <w:spacing w:before="3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）预测情景</w:t>
      </w:r>
    </w:p>
    <w:p w14:paraId="1349EC27">
      <w:pPr>
        <w:spacing w:before="183" w:line="219" w:lineRule="auto"/>
        <w:ind w:left="488"/>
        <w:rPr>
          <w:rFonts w:ascii="宋体" w:hAnsi="宋体" w:eastAsia="宋体" w:cs="宋体"/>
          <w:sz w:val="24"/>
          <w:szCs w:val="24"/>
        </w:rPr>
      </w:pPr>
      <w:r>
        <w:rPr>
          <w:rFonts w:ascii="宋体" w:hAnsi="宋体" w:eastAsia="宋体" w:cs="宋体"/>
          <w:spacing w:val="-1"/>
          <w:sz w:val="24"/>
          <w:szCs w:val="24"/>
        </w:rPr>
        <w:t>根据上述预测内容设定本次大气预测情景组合见下表</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4.1-5</w:t>
      </w:r>
      <w:r>
        <w:rPr>
          <w:rFonts w:ascii="宋体" w:hAnsi="宋体" w:eastAsia="宋体" w:cs="宋体"/>
          <w:spacing w:val="-1"/>
          <w:sz w:val="24"/>
          <w:szCs w:val="24"/>
        </w:rPr>
        <w:t>。</w:t>
      </w:r>
    </w:p>
    <w:p w14:paraId="0498E807">
      <w:pPr>
        <w:spacing w:line="219" w:lineRule="auto"/>
        <w:rPr>
          <w:rFonts w:ascii="宋体" w:hAnsi="宋体" w:eastAsia="宋体" w:cs="宋体"/>
          <w:sz w:val="24"/>
          <w:szCs w:val="24"/>
        </w:rPr>
        <w:sectPr>
          <w:headerReference r:id="rId269" w:type="default"/>
          <w:footerReference r:id="rId270" w:type="default"/>
          <w:pgSz w:w="11906" w:h="16839"/>
          <w:pgMar w:top="1191" w:right="1318" w:bottom="1156" w:left="1417" w:header="882" w:footer="994" w:gutter="0"/>
          <w:cols w:space="720" w:num="1"/>
        </w:sectPr>
      </w:pPr>
    </w:p>
    <w:p w14:paraId="3A44A477">
      <w:pPr>
        <w:spacing w:line="28" w:lineRule="exact"/>
        <w:ind w:firstLine="105"/>
      </w:pPr>
      <w:r>
        <w:pict>
          <v:shape id="_x0000_s1789" o:spid="_x0000_s1789" style="height:1.45pt;width:453.65pt;" fillcolor="#000000" filled="t" stroked="f" coordsize="9072,29" path="m0,0l9072,0,9072,28,0,28,0,0xe">
            <v:path/>
            <v:fill on="t" focussize="0,0"/>
            <v:stroke on="f"/>
            <v:imagedata o:title=""/>
            <o:lock v:ext="edit"/>
            <w10:wrap type="none"/>
            <w10:anchorlock/>
          </v:shape>
        </w:pict>
      </w:r>
    </w:p>
    <w:p w14:paraId="62D0CC06">
      <w:pPr>
        <w:pStyle w:val="2"/>
        <w:spacing w:line="259" w:lineRule="auto"/>
      </w:pPr>
    </w:p>
    <w:p w14:paraId="255DEC49">
      <w:pPr>
        <w:spacing w:before="65" w:line="228" w:lineRule="auto"/>
        <w:ind w:left="3243"/>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7"/>
          <w:sz w:val="20"/>
          <w:szCs w:val="20"/>
        </w:rPr>
        <w:t xml:space="preserve"> </w:t>
      </w:r>
      <w:r>
        <w:rPr>
          <w:rFonts w:ascii="Times New Roman" w:hAnsi="Times New Roman" w:eastAsia="Times New Roman" w:cs="Times New Roman"/>
          <w:b/>
          <w:bCs/>
          <w:spacing w:val="4"/>
          <w:sz w:val="20"/>
          <w:szCs w:val="20"/>
        </w:rPr>
        <w:t xml:space="preserve">4.1-5        </w:t>
      </w:r>
      <w:r>
        <w:rPr>
          <w:rFonts w:ascii="宋体" w:hAnsi="宋体" w:eastAsia="宋体" w:cs="宋体"/>
          <w:b/>
          <w:bCs/>
          <w:spacing w:val="4"/>
          <w:sz w:val="20"/>
          <w:szCs w:val="20"/>
        </w:rPr>
        <w:t>大气预测情景组合</w:t>
      </w:r>
    </w:p>
    <w:p w14:paraId="1D2F2B84">
      <w:pPr>
        <w:spacing w:line="91" w:lineRule="exact"/>
      </w:pPr>
    </w:p>
    <w:tbl>
      <w:tblPr>
        <w:tblStyle w:val="5"/>
        <w:tblW w:w="928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2"/>
        <w:gridCol w:w="1374"/>
        <w:gridCol w:w="1302"/>
        <w:gridCol w:w="1915"/>
        <w:gridCol w:w="1187"/>
        <w:gridCol w:w="2920"/>
      </w:tblGrid>
      <w:tr w14:paraId="059021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0" w:hRule="atLeast"/>
        </w:trPr>
        <w:tc>
          <w:tcPr>
            <w:tcW w:w="582" w:type="dxa"/>
            <w:tcBorders>
              <w:top w:val="single" w:color="000000" w:sz="10" w:space="0"/>
              <w:left w:val="nil"/>
            </w:tcBorders>
            <w:textDirection w:val="tbRlV"/>
            <w:vAlign w:val="top"/>
          </w:tcPr>
          <w:p w14:paraId="7DA1FD03">
            <w:pPr>
              <w:pStyle w:val="6"/>
              <w:spacing w:before="184" w:line="218" w:lineRule="auto"/>
              <w:ind w:left="35"/>
              <w:rPr>
                <w:sz w:val="20"/>
                <w:szCs w:val="20"/>
              </w:rPr>
            </w:pPr>
            <w:r>
              <w:rPr>
                <w:spacing w:val="8"/>
                <w:sz w:val="20"/>
                <w:szCs w:val="20"/>
              </w:rPr>
              <w:t>序</w:t>
            </w:r>
            <w:r>
              <w:rPr>
                <w:spacing w:val="-35"/>
                <w:sz w:val="20"/>
                <w:szCs w:val="20"/>
              </w:rPr>
              <w:t xml:space="preserve"> </w:t>
            </w:r>
            <w:r>
              <w:rPr>
                <w:spacing w:val="8"/>
                <w:sz w:val="20"/>
                <w:szCs w:val="20"/>
              </w:rPr>
              <w:t>号</w:t>
            </w:r>
          </w:p>
        </w:tc>
        <w:tc>
          <w:tcPr>
            <w:tcW w:w="1374" w:type="dxa"/>
            <w:tcBorders>
              <w:top w:val="single" w:color="000000" w:sz="10" w:space="0"/>
            </w:tcBorders>
            <w:vAlign w:val="top"/>
          </w:tcPr>
          <w:p w14:paraId="51487979">
            <w:pPr>
              <w:pStyle w:val="6"/>
              <w:spacing w:before="172" w:line="228" w:lineRule="auto"/>
              <w:ind w:left="378"/>
              <w:rPr>
                <w:sz w:val="20"/>
                <w:szCs w:val="20"/>
              </w:rPr>
            </w:pPr>
            <w:r>
              <w:rPr>
                <w:spacing w:val="6"/>
                <w:sz w:val="20"/>
                <w:szCs w:val="20"/>
              </w:rPr>
              <w:t>污染源</w:t>
            </w:r>
          </w:p>
        </w:tc>
        <w:tc>
          <w:tcPr>
            <w:tcW w:w="1302" w:type="dxa"/>
            <w:tcBorders>
              <w:top w:val="single" w:color="000000" w:sz="10" w:space="0"/>
            </w:tcBorders>
            <w:vAlign w:val="top"/>
          </w:tcPr>
          <w:p w14:paraId="5141996A">
            <w:pPr>
              <w:pStyle w:val="6"/>
              <w:spacing w:before="35" w:line="233" w:lineRule="auto"/>
              <w:ind w:left="447" w:right="124" w:hanging="315"/>
              <w:rPr>
                <w:sz w:val="20"/>
                <w:szCs w:val="20"/>
              </w:rPr>
            </w:pPr>
            <w:r>
              <w:rPr>
                <w:spacing w:val="7"/>
                <w:sz w:val="20"/>
                <w:szCs w:val="20"/>
              </w:rPr>
              <w:t>污染源排放</w:t>
            </w:r>
            <w:r>
              <w:rPr>
                <w:spacing w:val="3"/>
                <w:sz w:val="20"/>
                <w:szCs w:val="20"/>
              </w:rPr>
              <w:t xml:space="preserve"> 形式</w:t>
            </w:r>
          </w:p>
        </w:tc>
        <w:tc>
          <w:tcPr>
            <w:tcW w:w="1915" w:type="dxa"/>
            <w:tcBorders>
              <w:top w:val="single" w:color="000000" w:sz="10" w:space="0"/>
            </w:tcBorders>
            <w:vAlign w:val="top"/>
          </w:tcPr>
          <w:p w14:paraId="0A002E30">
            <w:pPr>
              <w:pStyle w:val="6"/>
              <w:spacing w:before="171" w:line="228" w:lineRule="auto"/>
              <w:ind w:left="544"/>
              <w:rPr>
                <w:sz w:val="20"/>
                <w:szCs w:val="20"/>
              </w:rPr>
            </w:pPr>
            <w:r>
              <w:rPr>
                <w:spacing w:val="6"/>
                <w:sz w:val="20"/>
                <w:szCs w:val="20"/>
              </w:rPr>
              <w:t>预测因子</w:t>
            </w:r>
          </w:p>
        </w:tc>
        <w:tc>
          <w:tcPr>
            <w:tcW w:w="1187" w:type="dxa"/>
            <w:tcBorders>
              <w:top w:val="single" w:color="000000" w:sz="10" w:space="0"/>
            </w:tcBorders>
            <w:vAlign w:val="top"/>
          </w:tcPr>
          <w:p w14:paraId="41881F59">
            <w:pPr>
              <w:pStyle w:val="6"/>
              <w:spacing w:before="171" w:line="228" w:lineRule="auto"/>
              <w:ind w:left="179"/>
              <w:rPr>
                <w:sz w:val="20"/>
                <w:szCs w:val="20"/>
              </w:rPr>
            </w:pPr>
            <w:r>
              <w:rPr>
                <w:spacing w:val="6"/>
                <w:sz w:val="20"/>
                <w:szCs w:val="20"/>
              </w:rPr>
              <w:t>预测内容</w:t>
            </w:r>
          </w:p>
        </w:tc>
        <w:tc>
          <w:tcPr>
            <w:tcW w:w="2920" w:type="dxa"/>
            <w:tcBorders>
              <w:top w:val="single" w:color="000000" w:sz="10" w:space="0"/>
              <w:right w:val="nil"/>
            </w:tcBorders>
            <w:vAlign w:val="top"/>
          </w:tcPr>
          <w:p w14:paraId="328EB76E">
            <w:pPr>
              <w:pStyle w:val="6"/>
              <w:spacing w:before="172" w:line="226" w:lineRule="auto"/>
              <w:ind w:left="1044"/>
              <w:rPr>
                <w:sz w:val="20"/>
                <w:szCs w:val="20"/>
              </w:rPr>
            </w:pPr>
            <w:r>
              <w:rPr>
                <w:spacing w:val="7"/>
                <w:sz w:val="20"/>
                <w:szCs w:val="20"/>
              </w:rPr>
              <w:t>评价内容</w:t>
            </w:r>
          </w:p>
        </w:tc>
      </w:tr>
      <w:tr w14:paraId="62A133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582" w:type="dxa"/>
            <w:tcBorders>
              <w:left w:val="nil"/>
            </w:tcBorders>
            <w:vAlign w:val="top"/>
          </w:tcPr>
          <w:p w14:paraId="6D1B305F">
            <w:pPr>
              <w:spacing w:before="207" w:line="195" w:lineRule="auto"/>
              <w:ind w:left="262"/>
              <w:outlineLvl w:val="2"/>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374" w:type="dxa"/>
            <w:vAlign w:val="top"/>
          </w:tcPr>
          <w:p w14:paraId="2801C41F">
            <w:pPr>
              <w:pStyle w:val="6"/>
              <w:spacing w:before="169" w:line="228" w:lineRule="auto"/>
              <w:ind w:left="169"/>
              <w:rPr>
                <w:sz w:val="20"/>
                <w:szCs w:val="20"/>
              </w:rPr>
            </w:pPr>
            <w:r>
              <w:rPr>
                <w:spacing w:val="7"/>
                <w:sz w:val="20"/>
                <w:szCs w:val="20"/>
              </w:rPr>
              <w:t>新增污染源</w:t>
            </w:r>
          </w:p>
        </w:tc>
        <w:tc>
          <w:tcPr>
            <w:tcW w:w="1302" w:type="dxa"/>
            <w:vAlign w:val="top"/>
          </w:tcPr>
          <w:p w14:paraId="49013038">
            <w:pPr>
              <w:pStyle w:val="6"/>
              <w:spacing w:before="169" w:line="228" w:lineRule="auto"/>
              <w:ind w:left="241"/>
              <w:rPr>
                <w:sz w:val="20"/>
                <w:szCs w:val="20"/>
              </w:rPr>
            </w:pPr>
            <w:r>
              <w:rPr>
                <w:spacing w:val="6"/>
                <w:sz w:val="20"/>
                <w:szCs w:val="20"/>
              </w:rPr>
              <w:t>正常排放</w:t>
            </w:r>
          </w:p>
        </w:tc>
        <w:tc>
          <w:tcPr>
            <w:tcW w:w="1915" w:type="dxa"/>
            <w:vAlign w:val="top"/>
          </w:tcPr>
          <w:p w14:paraId="063C0F7C">
            <w:pPr>
              <w:pStyle w:val="6"/>
              <w:spacing w:before="71" w:line="214" w:lineRule="auto"/>
              <w:ind w:left="108" w:right="63" w:firstLine="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SO</w:t>
            </w:r>
            <w:r>
              <w:rPr>
                <w:rFonts w:ascii="Times New Roman" w:hAnsi="Times New Roman" w:eastAsia="Times New Roman" w:cs="Times New Roman"/>
                <w:spacing w:val="-1"/>
                <w:position w:val="-1"/>
                <w:sz w:val="13"/>
                <w:szCs w:val="13"/>
              </w:rPr>
              <w:t>2</w:t>
            </w:r>
            <w:r>
              <w:rPr>
                <w:rFonts w:ascii="Times New Roman" w:hAnsi="Times New Roman" w:eastAsia="Times New Roman" w:cs="Times New Roman"/>
                <w:spacing w:val="-8"/>
                <w:position w:val="-1"/>
                <w:sz w:val="13"/>
                <w:szCs w:val="13"/>
              </w:rPr>
              <w:t xml:space="preserve"> </w:t>
            </w:r>
            <w:r>
              <w:rPr>
                <w:spacing w:val="-1"/>
                <w:sz w:val="20"/>
                <w:szCs w:val="20"/>
              </w:rPr>
              <w:t>、</w:t>
            </w:r>
            <w:r>
              <w:rPr>
                <w:rFonts w:ascii="Times New Roman" w:hAnsi="Times New Roman" w:eastAsia="Times New Roman" w:cs="Times New Roman"/>
                <w:spacing w:val="-1"/>
                <w:sz w:val="20"/>
                <w:szCs w:val="20"/>
              </w:rPr>
              <w:t>NO</w:t>
            </w:r>
            <w:r>
              <w:rPr>
                <w:rFonts w:ascii="Times New Roman" w:hAnsi="Times New Roman" w:eastAsia="Times New Roman" w:cs="Times New Roman"/>
                <w:spacing w:val="-1"/>
                <w:position w:val="-1"/>
                <w:sz w:val="13"/>
                <w:szCs w:val="13"/>
              </w:rPr>
              <w:t>2</w:t>
            </w:r>
            <w:r>
              <w:rPr>
                <w:rFonts w:ascii="Times New Roman" w:hAnsi="Times New Roman" w:eastAsia="Times New Roman" w:cs="Times New Roman"/>
                <w:spacing w:val="-11"/>
                <w:position w:val="-1"/>
                <w:sz w:val="13"/>
                <w:szCs w:val="13"/>
              </w:rPr>
              <w:t xml:space="preserve"> </w:t>
            </w:r>
            <w:r>
              <w:rPr>
                <w:spacing w:val="-1"/>
                <w:sz w:val="20"/>
                <w:szCs w:val="20"/>
              </w:rPr>
              <w:t>、</w:t>
            </w:r>
            <w:r>
              <w:rPr>
                <w:rFonts w:ascii="Times New Roman" w:hAnsi="Times New Roman" w:eastAsia="Times New Roman" w:cs="Times New Roman"/>
                <w:spacing w:val="-1"/>
                <w:sz w:val="20"/>
                <w:szCs w:val="20"/>
              </w:rPr>
              <w:t>PM</w:t>
            </w:r>
            <w:r>
              <w:rPr>
                <w:rFonts w:ascii="Times New Roman" w:hAnsi="Times New Roman" w:eastAsia="Times New Roman" w:cs="Times New Roman"/>
                <w:spacing w:val="-1"/>
                <w:position w:val="-1"/>
                <w:sz w:val="13"/>
                <w:szCs w:val="13"/>
              </w:rPr>
              <w:t>10</w:t>
            </w:r>
            <w:r>
              <w:rPr>
                <w:spacing w:val="-1"/>
                <w:sz w:val="20"/>
                <w:szCs w:val="20"/>
              </w:rPr>
              <w:t>、</w:t>
            </w:r>
            <w:r>
              <w:rPr>
                <w:sz w:val="20"/>
                <w:szCs w:val="20"/>
              </w:rPr>
              <w:t xml:space="preserve"> </w:t>
            </w:r>
            <w:r>
              <w:rPr>
                <w:rFonts w:ascii="Times New Roman" w:hAnsi="Times New Roman" w:eastAsia="Times New Roman" w:cs="Times New Roman"/>
                <w:sz w:val="20"/>
                <w:szCs w:val="20"/>
              </w:rPr>
              <w:t>PM</w:t>
            </w:r>
            <w:r>
              <w:rPr>
                <w:rFonts w:ascii="Times New Roman" w:hAnsi="Times New Roman" w:eastAsia="Times New Roman" w:cs="Times New Roman"/>
                <w:spacing w:val="5"/>
                <w:position w:val="-1"/>
                <w:sz w:val="13"/>
                <w:szCs w:val="13"/>
              </w:rPr>
              <w:t>2.5</w:t>
            </w:r>
            <w:r>
              <w:rPr>
                <w:rFonts w:ascii="Times New Roman" w:hAnsi="Times New Roman" w:eastAsia="Times New Roman" w:cs="Times New Roman"/>
                <w:spacing w:val="-11"/>
                <w:position w:val="-1"/>
                <w:sz w:val="13"/>
                <w:szCs w:val="13"/>
              </w:rPr>
              <w:t xml:space="preserve"> </w:t>
            </w:r>
            <w:r>
              <w:rPr>
                <w:spacing w:val="5"/>
                <w:sz w:val="20"/>
                <w:szCs w:val="20"/>
              </w:rPr>
              <w:t>、</w:t>
            </w:r>
            <w:r>
              <w:rPr>
                <w:rFonts w:ascii="Times New Roman" w:hAnsi="Times New Roman" w:eastAsia="Times New Roman" w:cs="Times New Roman"/>
                <w:sz w:val="20"/>
                <w:szCs w:val="20"/>
              </w:rPr>
              <w:t>TSP</w:t>
            </w:r>
          </w:p>
        </w:tc>
        <w:tc>
          <w:tcPr>
            <w:tcW w:w="1187" w:type="dxa"/>
            <w:vAlign w:val="top"/>
          </w:tcPr>
          <w:p w14:paraId="0E755B94">
            <w:pPr>
              <w:pStyle w:val="6"/>
              <w:spacing w:before="34" w:line="231" w:lineRule="auto"/>
              <w:ind w:left="179" w:right="174" w:firstLine="1"/>
              <w:rPr>
                <w:sz w:val="20"/>
                <w:szCs w:val="20"/>
              </w:rPr>
            </w:pPr>
            <w:r>
              <w:rPr>
                <w:spacing w:val="6"/>
                <w:sz w:val="20"/>
                <w:szCs w:val="20"/>
              </w:rPr>
              <w:t>短期浓度</w:t>
            </w:r>
            <w:r>
              <w:rPr>
                <w:spacing w:val="2"/>
                <w:sz w:val="20"/>
                <w:szCs w:val="20"/>
              </w:rPr>
              <w:t xml:space="preserve"> </w:t>
            </w:r>
            <w:r>
              <w:rPr>
                <w:spacing w:val="7"/>
                <w:sz w:val="20"/>
                <w:szCs w:val="20"/>
              </w:rPr>
              <w:t>长期浓度</w:t>
            </w:r>
          </w:p>
        </w:tc>
        <w:tc>
          <w:tcPr>
            <w:tcW w:w="2920" w:type="dxa"/>
            <w:tcBorders>
              <w:right w:val="nil"/>
            </w:tcBorders>
            <w:vAlign w:val="top"/>
          </w:tcPr>
          <w:p w14:paraId="28659DEC">
            <w:pPr>
              <w:pStyle w:val="6"/>
              <w:spacing w:before="168" w:line="228" w:lineRule="auto"/>
              <w:ind w:left="733"/>
              <w:rPr>
                <w:sz w:val="20"/>
                <w:szCs w:val="20"/>
              </w:rPr>
            </w:pPr>
            <w:r>
              <w:rPr>
                <w:spacing w:val="8"/>
                <w:sz w:val="20"/>
                <w:szCs w:val="20"/>
              </w:rPr>
              <w:t>最大浓度占标率</w:t>
            </w:r>
          </w:p>
        </w:tc>
      </w:tr>
      <w:tr w14:paraId="6F3C79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5" w:hRule="atLeast"/>
        </w:trPr>
        <w:tc>
          <w:tcPr>
            <w:tcW w:w="582" w:type="dxa"/>
            <w:tcBorders>
              <w:left w:val="nil"/>
            </w:tcBorders>
            <w:vAlign w:val="top"/>
          </w:tcPr>
          <w:p w14:paraId="20A52666">
            <w:pPr>
              <w:spacing w:line="289" w:lineRule="auto"/>
              <w:rPr>
                <w:rFonts w:ascii="Arial"/>
                <w:sz w:val="21"/>
              </w:rPr>
            </w:pPr>
          </w:p>
          <w:p w14:paraId="5CBAA8DF">
            <w:pPr>
              <w:spacing w:before="58" w:line="195" w:lineRule="auto"/>
              <w:ind w:left="242"/>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374" w:type="dxa"/>
            <w:vAlign w:val="top"/>
          </w:tcPr>
          <w:p w14:paraId="6F9AFE07">
            <w:pPr>
              <w:pStyle w:val="6"/>
              <w:spacing w:before="37" w:line="236" w:lineRule="auto"/>
              <w:ind w:left="149" w:right="147" w:firstLine="19"/>
              <w:jc w:val="both"/>
              <w:rPr>
                <w:sz w:val="20"/>
                <w:szCs w:val="20"/>
              </w:rPr>
            </w:pPr>
            <w:r>
              <w:rPr>
                <w:spacing w:val="7"/>
                <w:sz w:val="20"/>
                <w:szCs w:val="20"/>
              </w:rPr>
              <w:t>新增污染源</w:t>
            </w:r>
            <w:r>
              <w:rPr>
                <w:spacing w:val="3"/>
                <w:sz w:val="20"/>
                <w:szCs w:val="20"/>
              </w:rPr>
              <w:t xml:space="preserve"> </w:t>
            </w:r>
            <w:r>
              <w:rPr>
                <w:rFonts w:ascii="Times New Roman" w:hAnsi="Times New Roman" w:eastAsia="Times New Roman" w:cs="Times New Roman"/>
                <w:spacing w:val="3"/>
                <w:sz w:val="20"/>
                <w:szCs w:val="20"/>
              </w:rPr>
              <w:t>+</w:t>
            </w:r>
            <w:r>
              <w:rPr>
                <w:rFonts w:ascii="Times New Roman" w:hAnsi="Times New Roman" w:eastAsia="Times New Roman" w:cs="Times New Roman"/>
                <w:spacing w:val="-24"/>
                <w:sz w:val="20"/>
                <w:szCs w:val="20"/>
              </w:rPr>
              <w:t xml:space="preserve"> </w:t>
            </w:r>
            <w:r>
              <w:rPr>
                <w:spacing w:val="3"/>
                <w:sz w:val="20"/>
                <w:szCs w:val="20"/>
              </w:rPr>
              <w:t>区域削减</w:t>
            </w:r>
            <w:r>
              <w:rPr>
                <w:rFonts w:ascii="Times New Roman" w:hAnsi="Times New Roman" w:eastAsia="Times New Roman" w:cs="Times New Roman"/>
                <w:spacing w:val="3"/>
                <w:sz w:val="20"/>
                <w:szCs w:val="20"/>
              </w:rPr>
              <w:t>+</w:t>
            </w:r>
            <w:r>
              <w:rPr>
                <w:rFonts w:ascii="Times New Roman" w:hAnsi="Times New Roman" w:eastAsia="Times New Roman" w:cs="Times New Roman"/>
                <w:sz w:val="20"/>
                <w:szCs w:val="20"/>
              </w:rPr>
              <w:t xml:space="preserve"> </w:t>
            </w:r>
            <w:r>
              <w:rPr>
                <w:spacing w:val="11"/>
                <w:sz w:val="20"/>
                <w:szCs w:val="20"/>
              </w:rPr>
              <w:t>拟建污染源</w:t>
            </w:r>
          </w:p>
        </w:tc>
        <w:tc>
          <w:tcPr>
            <w:tcW w:w="1302" w:type="dxa"/>
            <w:vAlign w:val="top"/>
          </w:tcPr>
          <w:p w14:paraId="40ACC164">
            <w:pPr>
              <w:spacing w:line="246" w:lineRule="auto"/>
              <w:rPr>
                <w:rFonts w:ascii="Arial"/>
                <w:sz w:val="21"/>
              </w:rPr>
            </w:pPr>
          </w:p>
          <w:p w14:paraId="41165ADD">
            <w:pPr>
              <w:pStyle w:val="6"/>
              <w:spacing w:before="65" w:line="228" w:lineRule="auto"/>
              <w:ind w:left="241"/>
              <w:rPr>
                <w:sz w:val="20"/>
                <w:szCs w:val="20"/>
              </w:rPr>
            </w:pPr>
            <w:r>
              <w:rPr>
                <w:spacing w:val="6"/>
                <w:sz w:val="20"/>
                <w:szCs w:val="20"/>
              </w:rPr>
              <w:t>正常排放</w:t>
            </w:r>
          </w:p>
        </w:tc>
        <w:tc>
          <w:tcPr>
            <w:tcW w:w="1915" w:type="dxa"/>
            <w:vAlign w:val="top"/>
          </w:tcPr>
          <w:p w14:paraId="337920FE">
            <w:pPr>
              <w:pStyle w:val="6"/>
              <w:spacing w:before="212" w:line="248" w:lineRule="auto"/>
              <w:ind w:left="108" w:right="63" w:firstLine="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SO</w:t>
            </w:r>
            <w:r>
              <w:rPr>
                <w:rFonts w:ascii="Times New Roman" w:hAnsi="Times New Roman" w:eastAsia="Times New Roman" w:cs="Times New Roman"/>
                <w:spacing w:val="-1"/>
                <w:position w:val="-1"/>
                <w:sz w:val="13"/>
                <w:szCs w:val="13"/>
              </w:rPr>
              <w:t>2</w:t>
            </w:r>
            <w:r>
              <w:rPr>
                <w:rFonts w:ascii="Times New Roman" w:hAnsi="Times New Roman" w:eastAsia="Times New Roman" w:cs="Times New Roman"/>
                <w:spacing w:val="-8"/>
                <w:position w:val="-1"/>
                <w:sz w:val="13"/>
                <w:szCs w:val="13"/>
              </w:rPr>
              <w:t xml:space="preserve"> </w:t>
            </w:r>
            <w:r>
              <w:rPr>
                <w:spacing w:val="-1"/>
                <w:sz w:val="20"/>
                <w:szCs w:val="20"/>
              </w:rPr>
              <w:t>、</w:t>
            </w:r>
            <w:r>
              <w:rPr>
                <w:rFonts w:ascii="Times New Roman" w:hAnsi="Times New Roman" w:eastAsia="Times New Roman" w:cs="Times New Roman"/>
                <w:spacing w:val="-1"/>
                <w:sz w:val="20"/>
                <w:szCs w:val="20"/>
              </w:rPr>
              <w:t>NO</w:t>
            </w:r>
            <w:r>
              <w:rPr>
                <w:rFonts w:ascii="Times New Roman" w:hAnsi="Times New Roman" w:eastAsia="Times New Roman" w:cs="Times New Roman"/>
                <w:spacing w:val="-1"/>
                <w:position w:val="-1"/>
                <w:sz w:val="13"/>
                <w:szCs w:val="13"/>
              </w:rPr>
              <w:t>2</w:t>
            </w:r>
            <w:r>
              <w:rPr>
                <w:rFonts w:ascii="Times New Roman" w:hAnsi="Times New Roman" w:eastAsia="Times New Roman" w:cs="Times New Roman"/>
                <w:spacing w:val="-11"/>
                <w:position w:val="-1"/>
                <w:sz w:val="13"/>
                <w:szCs w:val="13"/>
              </w:rPr>
              <w:t xml:space="preserve"> </w:t>
            </w:r>
            <w:r>
              <w:rPr>
                <w:spacing w:val="-1"/>
                <w:sz w:val="20"/>
                <w:szCs w:val="20"/>
              </w:rPr>
              <w:t>、</w:t>
            </w:r>
            <w:r>
              <w:rPr>
                <w:rFonts w:ascii="Times New Roman" w:hAnsi="Times New Roman" w:eastAsia="Times New Roman" w:cs="Times New Roman"/>
                <w:spacing w:val="-1"/>
                <w:sz w:val="20"/>
                <w:szCs w:val="20"/>
              </w:rPr>
              <w:t>PM</w:t>
            </w:r>
            <w:r>
              <w:rPr>
                <w:rFonts w:ascii="Times New Roman" w:hAnsi="Times New Roman" w:eastAsia="Times New Roman" w:cs="Times New Roman"/>
                <w:spacing w:val="-1"/>
                <w:position w:val="-1"/>
                <w:sz w:val="13"/>
                <w:szCs w:val="13"/>
              </w:rPr>
              <w:t>10</w:t>
            </w:r>
            <w:r>
              <w:rPr>
                <w:spacing w:val="-1"/>
                <w:sz w:val="20"/>
                <w:szCs w:val="20"/>
              </w:rPr>
              <w:t>、</w:t>
            </w:r>
            <w:r>
              <w:rPr>
                <w:sz w:val="20"/>
                <w:szCs w:val="20"/>
              </w:rPr>
              <w:t xml:space="preserve"> </w:t>
            </w:r>
            <w:r>
              <w:rPr>
                <w:rFonts w:ascii="Times New Roman" w:hAnsi="Times New Roman" w:eastAsia="Times New Roman" w:cs="Times New Roman"/>
                <w:sz w:val="20"/>
                <w:szCs w:val="20"/>
              </w:rPr>
              <w:t>PM</w:t>
            </w:r>
            <w:r>
              <w:rPr>
                <w:rFonts w:ascii="Times New Roman" w:hAnsi="Times New Roman" w:eastAsia="Times New Roman" w:cs="Times New Roman"/>
                <w:spacing w:val="5"/>
                <w:position w:val="-1"/>
                <w:sz w:val="13"/>
                <w:szCs w:val="13"/>
              </w:rPr>
              <w:t>2.5</w:t>
            </w:r>
            <w:r>
              <w:rPr>
                <w:rFonts w:ascii="Times New Roman" w:hAnsi="Times New Roman" w:eastAsia="Times New Roman" w:cs="Times New Roman"/>
                <w:spacing w:val="-11"/>
                <w:position w:val="-1"/>
                <w:sz w:val="13"/>
                <w:szCs w:val="13"/>
              </w:rPr>
              <w:t xml:space="preserve"> </w:t>
            </w:r>
            <w:r>
              <w:rPr>
                <w:spacing w:val="5"/>
                <w:sz w:val="20"/>
                <w:szCs w:val="20"/>
              </w:rPr>
              <w:t>、</w:t>
            </w:r>
            <w:r>
              <w:rPr>
                <w:rFonts w:ascii="Times New Roman" w:hAnsi="Times New Roman" w:eastAsia="Times New Roman" w:cs="Times New Roman"/>
                <w:sz w:val="20"/>
                <w:szCs w:val="20"/>
              </w:rPr>
              <w:t>TSP</w:t>
            </w:r>
          </w:p>
        </w:tc>
        <w:tc>
          <w:tcPr>
            <w:tcW w:w="1187" w:type="dxa"/>
            <w:vAlign w:val="top"/>
          </w:tcPr>
          <w:p w14:paraId="502106B1">
            <w:pPr>
              <w:pStyle w:val="6"/>
              <w:spacing w:before="176" w:line="239" w:lineRule="auto"/>
              <w:ind w:left="179" w:right="174" w:firstLine="1"/>
              <w:rPr>
                <w:sz w:val="20"/>
                <w:szCs w:val="20"/>
              </w:rPr>
            </w:pPr>
            <w:r>
              <w:rPr>
                <w:spacing w:val="6"/>
                <w:sz w:val="20"/>
                <w:szCs w:val="20"/>
              </w:rPr>
              <w:t>短期浓度</w:t>
            </w:r>
            <w:r>
              <w:rPr>
                <w:spacing w:val="2"/>
                <w:sz w:val="20"/>
                <w:szCs w:val="20"/>
              </w:rPr>
              <w:t xml:space="preserve"> </w:t>
            </w:r>
            <w:r>
              <w:rPr>
                <w:spacing w:val="7"/>
                <w:sz w:val="20"/>
                <w:szCs w:val="20"/>
              </w:rPr>
              <w:t>长期浓度</w:t>
            </w:r>
          </w:p>
        </w:tc>
        <w:tc>
          <w:tcPr>
            <w:tcW w:w="2920" w:type="dxa"/>
            <w:tcBorders>
              <w:right w:val="nil"/>
            </w:tcBorders>
            <w:vAlign w:val="top"/>
          </w:tcPr>
          <w:p w14:paraId="70681142">
            <w:pPr>
              <w:pStyle w:val="6"/>
              <w:spacing w:before="37" w:line="236" w:lineRule="auto"/>
              <w:ind w:left="113" w:right="106" w:firstLine="5"/>
              <w:jc w:val="both"/>
              <w:rPr>
                <w:sz w:val="20"/>
                <w:szCs w:val="20"/>
              </w:rPr>
            </w:pPr>
            <w:r>
              <w:rPr>
                <w:spacing w:val="24"/>
                <w:sz w:val="20"/>
                <w:szCs w:val="20"/>
              </w:rPr>
              <w:t>叠加环境质量现状浓度后的</w:t>
            </w:r>
            <w:r>
              <w:rPr>
                <w:spacing w:val="3"/>
                <w:sz w:val="20"/>
                <w:szCs w:val="20"/>
              </w:rPr>
              <w:t xml:space="preserve"> </w:t>
            </w:r>
            <w:r>
              <w:rPr>
                <w:spacing w:val="24"/>
                <w:sz w:val="20"/>
                <w:szCs w:val="20"/>
              </w:rPr>
              <w:t>保证率日平均质量浓度和年</w:t>
            </w:r>
            <w:r>
              <w:rPr>
                <w:spacing w:val="8"/>
                <w:sz w:val="20"/>
                <w:szCs w:val="20"/>
              </w:rPr>
              <w:t xml:space="preserve"> </w:t>
            </w:r>
            <w:r>
              <w:rPr>
                <w:spacing w:val="9"/>
                <w:sz w:val="20"/>
                <w:szCs w:val="20"/>
              </w:rPr>
              <w:t>平均质量浓度的占标率</w:t>
            </w:r>
          </w:p>
        </w:tc>
      </w:tr>
      <w:tr w14:paraId="146809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582" w:type="dxa"/>
            <w:tcBorders>
              <w:left w:val="nil"/>
            </w:tcBorders>
            <w:vAlign w:val="top"/>
          </w:tcPr>
          <w:p w14:paraId="46DC1BD9">
            <w:pPr>
              <w:spacing w:before="219" w:line="195" w:lineRule="auto"/>
              <w:ind w:left="246"/>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374" w:type="dxa"/>
            <w:vAlign w:val="top"/>
          </w:tcPr>
          <w:p w14:paraId="7C698F67">
            <w:pPr>
              <w:pStyle w:val="6"/>
              <w:spacing w:before="182" w:line="228" w:lineRule="auto"/>
              <w:ind w:left="169"/>
              <w:rPr>
                <w:sz w:val="20"/>
                <w:szCs w:val="20"/>
              </w:rPr>
            </w:pPr>
            <w:r>
              <w:rPr>
                <w:spacing w:val="7"/>
                <w:sz w:val="20"/>
                <w:szCs w:val="20"/>
              </w:rPr>
              <w:t>新增污染源</w:t>
            </w:r>
          </w:p>
        </w:tc>
        <w:tc>
          <w:tcPr>
            <w:tcW w:w="1302" w:type="dxa"/>
            <w:vAlign w:val="top"/>
          </w:tcPr>
          <w:p w14:paraId="42FD30FD">
            <w:pPr>
              <w:pStyle w:val="6"/>
              <w:spacing w:before="182" w:line="228" w:lineRule="auto"/>
              <w:ind w:left="134"/>
              <w:rPr>
                <w:sz w:val="20"/>
                <w:szCs w:val="20"/>
              </w:rPr>
            </w:pPr>
            <w:r>
              <w:rPr>
                <w:spacing w:val="7"/>
                <w:sz w:val="20"/>
                <w:szCs w:val="20"/>
              </w:rPr>
              <w:t>非正常排放</w:t>
            </w:r>
          </w:p>
        </w:tc>
        <w:tc>
          <w:tcPr>
            <w:tcW w:w="1915" w:type="dxa"/>
            <w:vAlign w:val="top"/>
          </w:tcPr>
          <w:p w14:paraId="5D18C523">
            <w:pPr>
              <w:pStyle w:val="6"/>
              <w:spacing w:before="218" w:line="192" w:lineRule="auto"/>
              <w:ind w:left="108"/>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4"/>
                <w:position w:val="-1"/>
                <w:sz w:val="13"/>
                <w:szCs w:val="13"/>
              </w:rPr>
              <w:t>10</w:t>
            </w:r>
            <w:r>
              <w:rPr>
                <w:rFonts w:ascii="Times New Roman" w:hAnsi="Times New Roman" w:eastAsia="Times New Roman" w:cs="Times New Roman"/>
                <w:spacing w:val="-11"/>
                <w:position w:val="-1"/>
                <w:sz w:val="13"/>
                <w:szCs w:val="13"/>
              </w:rPr>
              <w:t xml:space="preserve"> </w:t>
            </w:r>
            <w:r>
              <w:rPr>
                <w:spacing w:val="4"/>
                <w:sz w:val="20"/>
                <w:szCs w:val="20"/>
              </w:rPr>
              <w:t>、</w:t>
            </w:r>
            <w:r>
              <w:rPr>
                <w:rFonts w:ascii="Times New Roman" w:hAnsi="Times New Roman" w:eastAsia="Times New Roman" w:cs="Times New Roman"/>
                <w:sz w:val="20"/>
                <w:szCs w:val="20"/>
              </w:rPr>
              <w:t>SO</w:t>
            </w:r>
            <w:r>
              <w:rPr>
                <w:rFonts w:ascii="Times New Roman" w:hAnsi="Times New Roman" w:eastAsia="Times New Roman" w:cs="Times New Roman"/>
                <w:spacing w:val="4"/>
                <w:position w:val="-1"/>
                <w:sz w:val="13"/>
                <w:szCs w:val="13"/>
              </w:rPr>
              <w:t>2</w:t>
            </w:r>
            <w:r>
              <w:rPr>
                <w:rFonts w:ascii="Times New Roman" w:hAnsi="Times New Roman" w:eastAsia="Times New Roman" w:cs="Times New Roman"/>
                <w:spacing w:val="-8"/>
                <w:position w:val="-1"/>
                <w:sz w:val="13"/>
                <w:szCs w:val="13"/>
              </w:rPr>
              <w:t xml:space="preserve"> </w:t>
            </w:r>
            <w:r>
              <w:rPr>
                <w:spacing w:val="4"/>
                <w:sz w:val="20"/>
                <w:szCs w:val="20"/>
              </w:rPr>
              <w:t>、</w:t>
            </w:r>
            <w:r>
              <w:rPr>
                <w:rFonts w:ascii="Times New Roman" w:hAnsi="Times New Roman" w:eastAsia="Times New Roman" w:cs="Times New Roman"/>
                <w:sz w:val="20"/>
                <w:szCs w:val="20"/>
              </w:rPr>
              <w:t>NO</w:t>
            </w:r>
            <w:r>
              <w:rPr>
                <w:rFonts w:ascii="Times New Roman" w:hAnsi="Times New Roman" w:eastAsia="Times New Roman" w:cs="Times New Roman"/>
                <w:spacing w:val="4"/>
                <w:position w:val="-1"/>
                <w:sz w:val="13"/>
                <w:szCs w:val="13"/>
              </w:rPr>
              <w:t>2</w:t>
            </w:r>
          </w:p>
        </w:tc>
        <w:tc>
          <w:tcPr>
            <w:tcW w:w="1187" w:type="dxa"/>
            <w:vAlign w:val="top"/>
          </w:tcPr>
          <w:p w14:paraId="613C4B64">
            <w:pPr>
              <w:pStyle w:val="6"/>
              <w:spacing w:before="47" w:line="225" w:lineRule="auto"/>
              <w:ind w:left="283" w:right="147" w:hanging="115"/>
              <w:rPr>
                <w:sz w:val="20"/>
                <w:szCs w:val="20"/>
              </w:rPr>
            </w:pPr>
            <w:r>
              <w:rPr>
                <w:rFonts w:ascii="Times New Roman" w:hAnsi="Times New Roman" w:eastAsia="Times New Roman" w:cs="Times New Roman"/>
                <w:spacing w:val="1"/>
                <w:sz w:val="20"/>
                <w:szCs w:val="20"/>
              </w:rPr>
              <w:t>1h</w:t>
            </w:r>
            <w:r>
              <w:rPr>
                <w:rFonts w:ascii="Times New Roman" w:hAnsi="Times New Roman" w:eastAsia="Times New Roman" w:cs="Times New Roman"/>
                <w:spacing w:val="10"/>
                <w:sz w:val="20"/>
                <w:szCs w:val="20"/>
              </w:rPr>
              <w:t xml:space="preserve"> </w:t>
            </w:r>
            <w:r>
              <w:rPr>
                <w:spacing w:val="1"/>
                <w:sz w:val="20"/>
                <w:szCs w:val="20"/>
              </w:rPr>
              <w:t>平均质</w:t>
            </w:r>
            <w:r>
              <w:rPr>
                <w:sz w:val="20"/>
                <w:szCs w:val="20"/>
              </w:rPr>
              <w:t xml:space="preserve"> </w:t>
            </w:r>
            <w:r>
              <w:rPr>
                <w:spacing w:val="6"/>
                <w:sz w:val="20"/>
                <w:szCs w:val="20"/>
              </w:rPr>
              <w:t>量浓度</w:t>
            </w:r>
          </w:p>
        </w:tc>
        <w:tc>
          <w:tcPr>
            <w:tcW w:w="2920" w:type="dxa"/>
            <w:tcBorders>
              <w:right w:val="nil"/>
            </w:tcBorders>
            <w:vAlign w:val="top"/>
          </w:tcPr>
          <w:p w14:paraId="12EB32C6">
            <w:pPr>
              <w:pStyle w:val="6"/>
              <w:spacing w:before="181" w:line="228" w:lineRule="auto"/>
              <w:ind w:left="733"/>
              <w:rPr>
                <w:sz w:val="20"/>
                <w:szCs w:val="20"/>
              </w:rPr>
            </w:pPr>
            <w:r>
              <w:rPr>
                <w:spacing w:val="8"/>
                <w:sz w:val="20"/>
                <w:szCs w:val="20"/>
              </w:rPr>
              <w:t>最大浓度占标率</w:t>
            </w:r>
          </w:p>
        </w:tc>
      </w:tr>
      <w:tr w14:paraId="5C2699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9" w:hRule="atLeast"/>
        </w:trPr>
        <w:tc>
          <w:tcPr>
            <w:tcW w:w="582" w:type="dxa"/>
            <w:tcBorders>
              <w:left w:val="nil"/>
              <w:bottom w:val="single" w:color="000000" w:sz="10" w:space="0"/>
            </w:tcBorders>
            <w:vAlign w:val="top"/>
          </w:tcPr>
          <w:p w14:paraId="1F6DCD68">
            <w:pPr>
              <w:spacing w:before="224" w:line="195" w:lineRule="auto"/>
              <w:ind w:left="24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374" w:type="dxa"/>
            <w:tcBorders>
              <w:bottom w:val="single" w:color="000000" w:sz="10" w:space="0"/>
            </w:tcBorders>
            <w:vAlign w:val="top"/>
          </w:tcPr>
          <w:p w14:paraId="59283525">
            <w:pPr>
              <w:pStyle w:val="6"/>
              <w:spacing w:before="188" w:line="228" w:lineRule="auto"/>
              <w:ind w:left="169"/>
              <w:rPr>
                <w:sz w:val="20"/>
                <w:szCs w:val="20"/>
              </w:rPr>
            </w:pPr>
            <w:r>
              <w:rPr>
                <w:spacing w:val="7"/>
                <w:sz w:val="20"/>
                <w:szCs w:val="20"/>
              </w:rPr>
              <w:t>新增污染源</w:t>
            </w:r>
          </w:p>
        </w:tc>
        <w:tc>
          <w:tcPr>
            <w:tcW w:w="1302" w:type="dxa"/>
            <w:tcBorders>
              <w:bottom w:val="single" w:color="000000" w:sz="10" w:space="0"/>
            </w:tcBorders>
            <w:vAlign w:val="top"/>
          </w:tcPr>
          <w:p w14:paraId="0BC8B5C4">
            <w:pPr>
              <w:pStyle w:val="6"/>
              <w:spacing w:before="188" w:line="228" w:lineRule="auto"/>
              <w:ind w:left="241"/>
              <w:rPr>
                <w:sz w:val="20"/>
                <w:szCs w:val="20"/>
              </w:rPr>
            </w:pPr>
            <w:r>
              <w:rPr>
                <w:spacing w:val="6"/>
                <w:sz w:val="20"/>
                <w:szCs w:val="20"/>
              </w:rPr>
              <w:t>正常排放</w:t>
            </w:r>
          </w:p>
        </w:tc>
        <w:tc>
          <w:tcPr>
            <w:tcW w:w="1915" w:type="dxa"/>
            <w:tcBorders>
              <w:bottom w:val="single" w:color="000000" w:sz="10" w:space="0"/>
            </w:tcBorders>
            <w:vAlign w:val="top"/>
          </w:tcPr>
          <w:p w14:paraId="7BE0B913">
            <w:pPr>
              <w:pStyle w:val="6"/>
              <w:spacing w:before="86" w:line="218" w:lineRule="auto"/>
              <w:ind w:left="108" w:right="63" w:firstLine="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SO</w:t>
            </w:r>
            <w:r>
              <w:rPr>
                <w:rFonts w:ascii="Times New Roman" w:hAnsi="Times New Roman" w:eastAsia="Times New Roman" w:cs="Times New Roman"/>
                <w:spacing w:val="-1"/>
                <w:position w:val="-1"/>
                <w:sz w:val="13"/>
                <w:szCs w:val="13"/>
              </w:rPr>
              <w:t>2</w:t>
            </w:r>
            <w:r>
              <w:rPr>
                <w:rFonts w:ascii="Times New Roman" w:hAnsi="Times New Roman" w:eastAsia="Times New Roman" w:cs="Times New Roman"/>
                <w:spacing w:val="-8"/>
                <w:position w:val="-1"/>
                <w:sz w:val="13"/>
                <w:szCs w:val="13"/>
              </w:rPr>
              <w:t xml:space="preserve"> </w:t>
            </w:r>
            <w:r>
              <w:rPr>
                <w:spacing w:val="-1"/>
                <w:sz w:val="20"/>
                <w:szCs w:val="20"/>
              </w:rPr>
              <w:t>、</w:t>
            </w:r>
            <w:r>
              <w:rPr>
                <w:rFonts w:ascii="Times New Roman" w:hAnsi="Times New Roman" w:eastAsia="Times New Roman" w:cs="Times New Roman"/>
                <w:spacing w:val="-1"/>
                <w:sz w:val="20"/>
                <w:szCs w:val="20"/>
              </w:rPr>
              <w:t>NO</w:t>
            </w:r>
            <w:r>
              <w:rPr>
                <w:rFonts w:ascii="Times New Roman" w:hAnsi="Times New Roman" w:eastAsia="Times New Roman" w:cs="Times New Roman"/>
                <w:spacing w:val="-1"/>
                <w:position w:val="-1"/>
                <w:sz w:val="13"/>
                <w:szCs w:val="13"/>
              </w:rPr>
              <w:t>2</w:t>
            </w:r>
            <w:r>
              <w:rPr>
                <w:rFonts w:ascii="Times New Roman" w:hAnsi="Times New Roman" w:eastAsia="Times New Roman" w:cs="Times New Roman"/>
                <w:spacing w:val="-11"/>
                <w:position w:val="-1"/>
                <w:sz w:val="13"/>
                <w:szCs w:val="13"/>
              </w:rPr>
              <w:t xml:space="preserve"> </w:t>
            </w:r>
            <w:r>
              <w:rPr>
                <w:spacing w:val="-1"/>
                <w:sz w:val="20"/>
                <w:szCs w:val="20"/>
              </w:rPr>
              <w:t>、</w:t>
            </w:r>
            <w:r>
              <w:rPr>
                <w:rFonts w:ascii="Times New Roman" w:hAnsi="Times New Roman" w:eastAsia="Times New Roman" w:cs="Times New Roman"/>
                <w:spacing w:val="-1"/>
                <w:sz w:val="20"/>
                <w:szCs w:val="20"/>
              </w:rPr>
              <w:t>PM</w:t>
            </w:r>
            <w:r>
              <w:rPr>
                <w:rFonts w:ascii="Times New Roman" w:hAnsi="Times New Roman" w:eastAsia="Times New Roman" w:cs="Times New Roman"/>
                <w:spacing w:val="-1"/>
                <w:position w:val="-1"/>
                <w:sz w:val="13"/>
                <w:szCs w:val="13"/>
              </w:rPr>
              <w:t>10</w:t>
            </w:r>
            <w:r>
              <w:rPr>
                <w:spacing w:val="-1"/>
                <w:sz w:val="20"/>
                <w:szCs w:val="20"/>
              </w:rPr>
              <w:t>、</w:t>
            </w:r>
            <w:r>
              <w:rPr>
                <w:sz w:val="20"/>
                <w:szCs w:val="20"/>
              </w:rPr>
              <w:t xml:space="preserve"> </w:t>
            </w:r>
            <w:r>
              <w:rPr>
                <w:rFonts w:ascii="Times New Roman" w:hAnsi="Times New Roman" w:eastAsia="Times New Roman" w:cs="Times New Roman"/>
                <w:sz w:val="20"/>
                <w:szCs w:val="20"/>
              </w:rPr>
              <w:t>PM</w:t>
            </w:r>
            <w:r>
              <w:rPr>
                <w:rFonts w:ascii="Times New Roman" w:hAnsi="Times New Roman" w:eastAsia="Times New Roman" w:cs="Times New Roman"/>
                <w:spacing w:val="5"/>
                <w:position w:val="-1"/>
                <w:sz w:val="13"/>
                <w:szCs w:val="13"/>
              </w:rPr>
              <w:t>2.5</w:t>
            </w:r>
            <w:r>
              <w:rPr>
                <w:rFonts w:ascii="Times New Roman" w:hAnsi="Times New Roman" w:eastAsia="Times New Roman" w:cs="Times New Roman"/>
                <w:spacing w:val="-11"/>
                <w:position w:val="-1"/>
                <w:sz w:val="13"/>
                <w:szCs w:val="13"/>
              </w:rPr>
              <w:t xml:space="preserve"> </w:t>
            </w:r>
            <w:r>
              <w:rPr>
                <w:spacing w:val="5"/>
                <w:sz w:val="20"/>
                <w:szCs w:val="20"/>
              </w:rPr>
              <w:t>、</w:t>
            </w:r>
            <w:r>
              <w:rPr>
                <w:rFonts w:ascii="Times New Roman" w:hAnsi="Times New Roman" w:eastAsia="Times New Roman" w:cs="Times New Roman"/>
                <w:sz w:val="20"/>
                <w:szCs w:val="20"/>
              </w:rPr>
              <w:t>TSP</w:t>
            </w:r>
          </w:p>
        </w:tc>
        <w:tc>
          <w:tcPr>
            <w:tcW w:w="1187" w:type="dxa"/>
            <w:tcBorders>
              <w:bottom w:val="single" w:color="000000" w:sz="10" w:space="0"/>
            </w:tcBorders>
            <w:vAlign w:val="top"/>
          </w:tcPr>
          <w:p w14:paraId="131F9019">
            <w:pPr>
              <w:pStyle w:val="6"/>
              <w:spacing w:before="188" w:line="228" w:lineRule="auto"/>
              <w:ind w:left="180"/>
              <w:rPr>
                <w:sz w:val="20"/>
                <w:szCs w:val="20"/>
              </w:rPr>
            </w:pPr>
            <w:r>
              <w:rPr>
                <w:spacing w:val="6"/>
                <w:sz w:val="20"/>
                <w:szCs w:val="20"/>
              </w:rPr>
              <w:t>短期浓度</w:t>
            </w:r>
          </w:p>
        </w:tc>
        <w:tc>
          <w:tcPr>
            <w:tcW w:w="2920" w:type="dxa"/>
            <w:tcBorders>
              <w:bottom w:val="single" w:color="000000" w:sz="10" w:space="0"/>
              <w:right w:val="nil"/>
            </w:tcBorders>
            <w:vAlign w:val="top"/>
          </w:tcPr>
          <w:p w14:paraId="7B832FCC">
            <w:pPr>
              <w:pStyle w:val="6"/>
              <w:spacing w:before="188" w:line="227" w:lineRule="auto"/>
              <w:ind w:left="628"/>
              <w:rPr>
                <w:sz w:val="20"/>
                <w:szCs w:val="20"/>
              </w:rPr>
            </w:pPr>
            <w:r>
              <w:rPr>
                <w:spacing w:val="8"/>
                <w:sz w:val="20"/>
                <w:szCs w:val="20"/>
              </w:rPr>
              <w:t>大气环境防护距离</w:t>
            </w:r>
          </w:p>
        </w:tc>
      </w:tr>
    </w:tbl>
    <w:p w14:paraId="592E4E0E">
      <w:pPr>
        <w:spacing w:before="114" w:line="219" w:lineRule="auto"/>
        <w:ind w:left="110"/>
        <w:outlineLvl w:val="3"/>
        <w:rPr>
          <w:rFonts w:ascii="宋体" w:hAnsi="宋体" w:eastAsia="宋体" w:cs="宋体"/>
          <w:sz w:val="24"/>
          <w:szCs w:val="24"/>
        </w:rPr>
      </w:pPr>
      <w:r>
        <w:fldChar w:fldCharType="begin"/>
      </w:r>
      <w:r>
        <w:instrText xml:space="preserve"> HYPERLINK "4.1.2.6" </w:instrText>
      </w:r>
      <w:r>
        <w:fldChar w:fldCharType="separate"/>
      </w:r>
      <w:r>
        <w:rPr>
          <w:rFonts w:ascii="Times New Roman" w:hAnsi="Times New Roman" w:eastAsia="Times New Roman" w:cs="Times New Roman"/>
          <w:b/>
          <w:bCs/>
          <w:spacing w:val="-2"/>
          <w:sz w:val="24"/>
          <w:szCs w:val="24"/>
        </w:rPr>
        <w:t>4.1.2.6</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污染源特征参数</w:t>
      </w:r>
    </w:p>
    <w:p w14:paraId="7C8E4517">
      <w:pPr>
        <w:spacing w:before="184" w:line="346" w:lineRule="auto"/>
        <w:ind w:left="113" w:right="196" w:firstLine="480"/>
        <w:rPr>
          <w:rFonts w:ascii="宋体" w:hAnsi="宋体" w:eastAsia="宋体" w:cs="宋体"/>
          <w:sz w:val="24"/>
          <w:szCs w:val="24"/>
        </w:rPr>
      </w:pPr>
      <w:r>
        <w:rPr>
          <w:rFonts w:ascii="宋体" w:hAnsi="宋体" w:eastAsia="宋体" w:cs="宋体"/>
          <w:spacing w:val="-2"/>
          <w:sz w:val="24"/>
          <w:szCs w:val="24"/>
        </w:rPr>
        <w:t>本项目各点源、面源污染源排放源强见表</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4.1-6</w:t>
      </w:r>
      <w:r>
        <w:rPr>
          <w:rFonts w:ascii="Times New Roman" w:hAnsi="Times New Roman" w:eastAsia="Times New Roman" w:cs="Times New Roman"/>
          <w:spacing w:val="-34"/>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4.1-7</w:t>
      </w:r>
      <w:r>
        <w:rPr>
          <w:rFonts w:ascii="Times New Roman" w:hAnsi="Times New Roman" w:eastAsia="Times New Roman" w:cs="Times New Roman"/>
          <w:spacing w:val="-29"/>
          <w:sz w:val="24"/>
          <w:szCs w:val="24"/>
        </w:rPr>
        <w:t xml:space="preserve"> </w:t>
      </w:r>
      <w:r>
        <w:rPr>
          <w:rFonts w:ascii="宋体" w:hAnsi="宋体" w:eastAsia="宋体" w:cs="宋体"/>
          <w:spacing w:val="-2"/>
          <w:sz w:val="24"/>
          <w:szCs w:val="24"/>
        </w:rPr>
        <w:t>，评价范围内与本项目污染</w:t>
      </w:r>
      <w:r>
        <w:rPr>
          <w:rFonts w:ascii="宋体" w:hAnsi="宋体" w:eastAsia="宋体" w:cs="宋体"/>
          <w:sz w:val="24"/>
          <w:szCs w:val="24"/>
        </w:rPr>
        <w:t xml:space="preserve"> </w:t>
      </w:r>
      <w:r>
        <w:rPr>
          <w:rFonts w:ascii="宋体" w:hAnsi="宋体" w:eastAsia="宋体" w:cs="宋体"/>
          <w:spacing w:val="-1"/>
          <w:sz w:val="24"/>
          <w:szCs w:val="24"/>
        </w:rPr>
        <w:t>物排放有关的拟建、在建项目排放源强见表</w:t>
      </w:r>
      <w:r>
        <w:rPr>
          <w:rFonts w:ascii="宋体" w:hAnsi="宋体" w:eastAsia="宋体" w:cs="宋体"/>
          <w:spacing w:val="-57"/>
          <w:sz w:val="24"/>
          <w:szCs w:val="24"/>
        </w:rPr>
        <w:t xml:space="preserve"> </w:t>
      </w:r>
      <w:r>
        <w:rPr>
          <w:rFonts w:ascii="Times New Roman" w:hAnsi="Times New Roman" w:eastAsia="Times New Roman" w:cs="Times New Roman"/>
          <w:spacing w:val="-1"/>
          <w:sz w:val="24"/>
          <w:szCs w:val="24"/>
        </w:rPr>
        <w:t>4.1-8</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，非正常情况下项目排</w:t>
      </w:r>
      <w:r>
        <w:rPr>
          <w:rFonts w:ascii="宋体" w:hAnsi="宋体" w:eastAsia="宋体" w:cs="宋体"/>
          <w:spacing w:val="-2"/>
          <w:sz w:val="24"/>
          <w:szCs w:val="24"/>
        </w:rPr>
        <w:t>放源强见表</w:t>
      </w:r>
    </w:p>
    <w:p w14:paraId="4EFC9D90">
      <w:pPr>
        <w:spacing w:before="77" w:line="180" w:lineRule="auto"/>
        <w:ind w:left="107"/>
        <w:rPr>
          <w:rFonts w:ascii="宋体" w:hAnsi="宋体" w:eastAsia="宋体" w:cs="宋体"/>
          <w:sz w:val="24"/>
          <w:szCs w:val="24"/>
        </w:rPr>
      </w:pPr>
      <w:r>
        <w:rPr>
          <w:rFonts w:ascii="Times New Roman" w:hAnsi="Times New Roman" w:eastAsia="Times New Roman" w:cs="Times New Roman"/>
          <w:spacing w:val="-1"/>
          <w:sz w:val="24"/>
          <w:szCs w:val="24"/>
        </w:rPr>
        <w:t>4.1-9</w:t>
      </w:r>
      <w:r>
        <w:rPr>
          <w:rFonts w:ascii="宋体" w:hAnsi="宋体" w:eastAsia="宋体" w:cs="宋体"/>
          <w:spacing w:val="-1"/>
          <w:sz w:val="24"/>
          <w:szCs w:val="24"/>
        </w:rPr>
        <w:t>。</w:t>
      </w:r>
    </w:p>
    <w:p w14:paraId="4243D5B5">
      <w:pPr>
        <w:spacing w:line="180" w:lineRule="auto"/>
        <w:rPr>
          <w:rFonts w:ascii="宋体" w:hAnsi="宋体" w:eastAsia="宋体" w:cs="宋体"/>
          <w:sz w:val="24"/>
          <w:szCs w:val="24"/>
        </w:rPr>
        <w:sectPr>
          <w:headerReference r:id="rId271" w:type="default"/>
          <w:footerReference r:id="rId272" w:type="default"/>
          <w:pgSz w:w="11906" w:h="16839"/>
          <w:pgMar w:top="1191" w:right="1313" w:bottom="1156" w:left="1311" w:header="882" w:footer="994" w:gutter="0"/>
          <w:cols w:space="720" w:num="1"/>
        </w:sectPr>
      </w:pPr>
    </w:p>
    <w:p w14:paraId="39078055">
      <w:pPr>
        <w:spacing w:line="28" w:lineRule="exact"/>
      </w:pPr>
      <w:r>
        <w:pict>
          <v:shape id="_x0000_s1790" o:spid="_x0000_s1790" style="height:1.45pt;width:700.25pt;" fillcolor="#000000" filled="t" stroked="f" coordsize="14005,29" path="m0,0l14004,0,14004,28,0,28,0,0xe">
            <v:path/>
            <v:fill on="t" focussize="0,0"/>
            <v:stroke on="f"/>
            <v:imagedata o:title=""/>
            <o:lock v:ext="edit"/>
            <w10:wrap type="none"/>
            <w10:anchorlock/>
          </v:shape>
        </w:pict>
      </w:r>
    </w:p>
    <w:p w14:paraId="30C34067">
      <w:pPr>
        <w:spacing w:before="227" w:line="227" w:lineRule="auto"/>
        <w:ind w:left="5077"/>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1"/>
          <w:sz w:val="20"/>
          <w:szCs w:val="20"/>
        </w:rPr>
        <w:t xml:space="preserve"> </w:t>
      </w:r>
      <w:r>
        <w:rPr>
          <w:rFonts w:ascii="Times New Roman" w:hAnsi="Times New Roman" w:eastAsia="Times New Roman" w:cs="Times New Roman"/>
          <w:b/>
          <w:bCs/>
          <w:spacing w:val="5"/>
          <w:sz w:val="20"/>
          <w:szCs w:val="20"/>
        </w:rPr>
        <w:t xml:space="preserve">4.1-6        </w:t>
      </w:r>
      <w:r>
        <w:rPr>
          <w:rFonts w:ascii="宋体" w:hAnsi="宋体" w:eastAsia="宋体" w:cs="宋体"/>
          <w:b/>
          <w:bCs/>
          <w:spacing w:val="5"/>
          <w:sz w:val="20"/>
          <w:szCs w:val="20"/>
        </w:rPr>
        <w:t>本项目点源排放源参数统计表</w:t>
      </w:r>
    </w:p>
    <w:p w14:paraId="38160D10">
      <w:pPr>
        <w:spacing w:line="131" w:lineRule="exact"/>
      </w:pPr>
    </w:p>
    <w:tbl>
      <w:tblPr>
        <w:tblStyle w:val="5"/>
        <w:tblW w:w="13993" w:type="dxa"/>
        <w:tblInd w:w="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35"/>
        <w:gridCol w:w="2445"/>
        <w:gridCol w:w="714"/>
        <w:gridCol w:w="683"/>
        <w:gridCol w:w="1044"/>
        <w:gridCol w:w="776"/>
        <w:gridCol w:w="647"/>
        <w:gridCol w:w="832"/>
        <w:gridCol w:w="759"/>
        <w:gridCol w:w="882"/>
        <w:gridCol w:w="552"/>
        <w:gridCol w:w="876"/>
        <w:gridCol w:w="826"/>
        <w:gridCol w:w="812"/>
        <w:gridCol w:w="851"/>
        <w:gridCol w:w="759"/>
      </w:tblGrid>
      <w:tr w14:paraId="118D02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3" w:hRule="atLeast"/>
        </w:trPr>
        <w:tc>
          <w:tcPr>
            <w:tcW w:w="535" w:type="dxa"/>
            <w:vMerge w:val="restart"/>
            <w:tcBorders>
              <w:top w:val="single" w:color="000000" w:sz="10" w:space="0"/>
              <w:left w:val="nil"/>
              <w:bottom w:val="nil"/>
            </w:tcBorders>
            <w:vAlign w:val="top"/>
          </w:tcPr>
          <w:p w14:paraId="6A1A5C62">
            <w:pPr>
              <w:pStyle w:val="6"/>
              <w:spacing w:before="268" w:line="219" w:lineRule="auto"/>
              <w:ind w:left="93"/>
              <w:rPr>
                <w:sz w:val="18"/>
                <w:szCs w:val="18"/>
              </w:rPr>
            </w:pPr>
            <w:r>
              <w:rPr>
                <w:spacing w:val="-5"/>
                <w:sz w:val="18"/>
                <w:szCs w:val="18"/>
              </w:rPr>
              <w:t>编号</w:t>
            </w:r>
          </w:p>
        </w:tc>
        <w:tc>
          <w:tcPr>
            <w:tcW w:w="2445" w:type="dxa"/>
            <w:vMerge w:val="restart"/>
            <w:tcBorders>
              <w:top w:val="single" w:color="000000" w:sz="10" w:space="0"/>
              <w:bottom w:val="nil"/>
            </w:tcBorders>
            <w:vAlign w:val="top"/>
          </w:tcPr>
          <w:p w14:paraId="2902C2BB">
            <w:pPr>
              <w:pStyle w:val="6"/>
              <w:spacing w:before="268" w:line="221" w:lineRule="auto"/>
              <w:ind w:left="1049"/>
              <w:rPr>
                <w:sz w:val="18"/>
                <w:szCs w:val="18"/>
              </w:rPr>
            </w:pPr>
            <w:r>
              <w:rPr>
                <w:spacing w:val="-5"/>
                <w:sz w:val="18"/>
                <w:szCs w:val="18"/>
              </w:rPr>
              <w:t>名称</w:t>
            </w:r>
          </w:p>
        </w:tc>
        <w:tc>
          <w:tcPr>
            <w:tcW w:w="1397" w:type="dxa"/>
            <w:gridSpan w:val="2"/>
            <w:tcBorders>
              <w:top w:val="single" w:color="000000" w:sz="10" w:space="0"/>
            </w:tcBorders>
            <w:vAlign w:val="top"/>
          </w:tcPr>
          <w:p w14:paraId="06F7140B">
            <w:pPr>
              <w:pStyle w:val="6"/>
              <w:spacing w:before="30" w:line="222" w:lineRule="auto"/>
              <w:ind w:left="426" w:right="67" w:hanging="355"/>
              <w:rPr>
                <w:rFonts w:ascii="Times New Roman" w:hAnsi="Times New Roman" w:eastAsia="Times New Roman" w:cs="Times New Roman"/>
                <w:sz w:val="18"/>
                <w:szCs w:val="18"/>
              </w:rPr>
            </w:pPr>
            <w:r>
              <w:rPr>
                <w:spacing w:val="-2"/>
                <w:sz w:val="18"/>
                <w:szCs w:val="18"/>
              </w:rPr>
              <w:t>排气筒底部中心</w:t>
            </w:r>
            <w:r>
              <w:rPr>
                <w:spacing w:val="5"/>
                <w:sz w:val="18"/>
                <w:szCs w:val="18"/>
              </w:rPr>
              <w:t xml:space="preserve"> </w:t>
            </w:r>
            <w:r>
              <w:rPr>
                <w:spacing w:val="-2"/>
                <w:sz w:val="18"/>
                <w:szCs w:val="18"/>
              </w:rPr>
              <w:t>坐标</w:t>
            </w:r>
            <w:r>
              <w:rPr>
                <w:rFonts w:ascii="Times New Roman" w:hAnsi="Times New Roman" w:eastAsia="Times New Roman" w:cs="Times New Roman"/>
                <w:spacing w:val="-2"/>
                <w:sz w:val="18"/>
                <w:szCs w:val="18"/>
              </w:rPr>
              <w:t>/m</w:t>
            </w:r>
          </w:p>
        </w:tc>
        <w:tc>
          <w:tcPr>
            <w:tcW w:w="1044" w:type="dxa"/>
            <w:vMerge w:val="restart"/>
            <w:tcBorders>
              <w:top w:val="single" w:color="000000" w:sz="10" w:space="0"/>
              <w:bottom w:val="nil"/>
            </w:tcBorders>
            <w:vAlign w:val="top"/>
          </w:tcPr>
          <w:p w14:paraId="39FB82AF">
            <w:pPr>
              <w:pStyle w:val="6"/>
              <w:spacing w:before="153" w:line="229" w:lineRule="auto"/>
              <w:ind w:left="70" w:right="64" w:firstLine="5"/>
              <w:rPr>
                <w:rFonts w:ascii="Times New Roman" w:hAnsi="Times New Roman" w:eastAsia="Times New Roman" w:cs="Times New Roman"/>
                <w:sz w:val="18"/>
                <w:szCs w:val="18"/>
              </w:rPr>
            </w:pPr>
            <w:r>
              <w:rPr>
                <w:spacing w:val="-2"/>
                <w:sz w:val="18"/>
                <w:szCs w:val="18"/>
              </w:rPr>
              <w:t>排气筒底部</w:t>
            </w:r>
            <w:r>
              <w:rPr>
                <w:spacing w:val="1"/>
                <w:sz w:val="18"/>
                <w:szCs w:val="18"/>
              </w:rPr>
              <w:t xml:space="preserve"> </w:t>
            </w:r>
            <w:r>
              <w:rPr>
                <w:spacing w:val="-2"/>
                <w:sz w:val="18"/>
                <w:szCs w:val="18"/>
              </w:rPr>
              <w:t>海拔高度</w:t>
            </w:r>
            <w:r>
              <w:rPr>
                <w:rFonts w:ascii="Times New Roman" w:hAnsi="Times New Roman" w:eastAsia="Times New Roman" w:cs="Times New Roman"/>
                <w:spacing w:val="-2"/>
                <w:sz w:val="18"/>
                <w:szCs w:val="18"/>
              </w:rPr>
              <w:t>/m</w:t>
            </w:r>
          </w:p>
        </w:tc>
        <w:tc>
          <w:tcPr>
            <w:tcW w:w="776" w:type="dxa"/>
            <w:vMerge w:val="restart"/>
            <w:tcBorders>
              <w:top w:val="single" w:color="000000" w:sz="10" w:space="0"/>
              <w:bottom w:val="nil"/>
            </w:tcBorders>
            <w:vAlign w:val="top"/>
          </w:tcPr>
          <w:p w14:paraId="16598BED">
            <w:pPr>
              <w:pStyle w:val="6"/>
              <w:spacing w:before="153" w:line="229" w:lineRule="auto"/>
              <w:ind w:left="121" w:right="111"/>
              <w:rPr>
                <w:rFonts w:ascii="Times New Roman" w:hAnsi="Times New Roman" w:eastAsia="Times New Roman" w:cs="Times New Roman"/>
                <w:sz w:val="18"/>
                <w:szCs w:val="18"/>
              </w:rPr>
            </w:pPr>
            <w:r>
              <w:rPr>
                <w:spacing w:val="-3"/>
                <w:sz w:val="18"/>
                <w:szCs w:val="18"/>
              </w:rPr>
              <w:t>排气筒</w:t>
            </w:r>
            <w:r>
              <w:rPr>
                <w:sz w:val="18"/>
                <w:szCs w:val="18"/>
              </w:rPr>
              <w:t xml:space="preserve"> </w:t>
            </w:r>
            <w:r>
              <w:rPr>
                <w:spacing w:val="-3"/>
                <w:sz w:val="18"/>
                <w:szCs w:val="18"/>
              </w:rPr>
              <w:t>高度</w:t>
            </w:r>
            <w:r>
              <w:rPr>
                <w:rFonts w:ascii="Times New Roman" w:hAnsi="Times New Roman" w:eastAsia="Times New Roman" w:cs="Times New Roman"/>
                <w:spacing w:val="-3"/>
                <w:sz w:val="18"/>
                <w:szCs w:val="18"/>
              </w:rPr>
              <w:t>/m</w:t>
            </w:r>
          </w:p>
        </w:tc>
        <w:tc>
          <w:tcPr>
            <w:tcW w:w="647" w:type="dxa"/>
            <w:vMerge w:val="restart"/>
            <w:tcBorders>
              <w:top w:val="single" w:color="000000" w:sz="10" w:space="0"/>
              <w:bottom w:val="nil"/>
            </w:tcBorders>
            <w:vAlign w:val="top"/>
          </w:tcPr>
          <w:p w14:paraId="6D92C472">
            <w:pPr>
              <w:pStyle w:val="6"/>
              <w:spacing w:before="153" w:line="229" w:lineRule="auto"/>
              <w:ind w:left="74" w:right="45" w:hanging="16"/>
              <w:rPr>
                <w:rFonts w:ascii="Times New Roman" w:hAnsi="Times New Roman" w:eastAsia="Times New Roman" w:cs="Times New Roman"/>
                <w:sz w:val="18"/>
                <w:szCs w:val="18"/>
              </w:rPr>
            </w:pPr>
            <w:r>
              <w:rPr>
                <w:spacing w:val="-3"/>
                <w:sz w:val="18"/>
                <w:szCs w:val="18"/>
              </w:rPr>
              <w:t>排气筒</w:t>
            </w:r>
            <w:r>
              <w:rPr>
                <w:sz w:val="18"/>
                <w:szCs w:val="18"/>
              </w:rPr>
              <w:t xml:space="preserve"> </w:t>
            </w:r>
            <w:r>
              <w:rPr>
                <w:spacing w:val="-8"/>
                <w:sz w:val="18"/>
                <w:szCs w:val="18"/>
              </w:rPr>
              <w:t>内径</w:t>
            </w:r>
            <w:r>
              <w:rPr>
                <w:rFonts w:ascii="Times New Roman" w:hAnsi="Times New Roman" w:eastAsia="Times New Roman" w:cs="Times New Roman"/>
                <w:spacing w:val="-8"/>
                <w:sz w:val="18"/>
                <w:szCs w:val="18"/>
              </w:rPr>
              <w:t>/m</w:t>
            </w:r>
          </w:p>
        </w:tc>
        <w:tc>
          <w:tcPr>
            <w:tcW w:w="832" w:type="dxa"/>
            <w:vMerge w:val="restart"/>
            <w:tcBorders>
              <w:top w:val="single" w:color="000000" w:sz="10" w:space="0"/>
              <w:bottom w:val="nil"/>
            </w:tcBorders>
            <w:vAlign w:val="top"/>
          </w:tcPr>
          <w:p w14:paraId="556DDE99">
            <w:pPr>
              <w:pStyle w:val="6"/>
              <w:spacing w:before="153" w:line="235" w:lineRule="auto"/>
              <w:ind w:left="81" w:right="28" w:hanging="45"/>
              <w:rPr>
                <w:sz w:val="18"/>
                <w:szCs w:val="18"/>
              </w:rPr>
            </w:pPr>
            <w:r>
              <w:rPr>
                <w:spacing w:val="-2"/>
                <w:sz w:val="18"/>
                <w:szCs w:val="18"/>
              </w:rPr>
              <w:t>烟气流量</w:t>
            </w:r>
            <w:r>
              <w:rPr>
                <w:rFonts w:ascii="Times New Roman" w:hAnsi="Times New Roman" w:eastAsia="Times New Roman" w:cs="Times New Roman"/>
                <w:spacing w:val="-2"/>
                <w:sz w:val="18"/>
                <w:szCs w:val="18"/>
              </w:rPr>
              <w:t>/</w:t>
            </w:r>
            <w:r>
              <w:rPr>
                <w:rFonts w:ascii="Times New Roman" w:hAnsi="Times New Roman" w:eastAsia="Times New Roman" w:cs="Times New Roman"/>
                <w:spacing w:val="1"/>
                <w:sz w:val="18"/>
                <w:szCs w:val="18"/>
              </w:rPr>
              <w:t xml:space="preserve"> </w:t>
            </w:r>
            <w:r>
              <w:rPr>
                <w:spacing w:val="-3"/>
                <w:sz w:val="18"/>
                <w:szCs w:val="18"/>
              </w:rPr>
              <w:t>（</w:t>
            </w:r>
            <w:r>
              <w:rPr>
                <w:rFonts w:ascii="Times New Roman" w:hAnsi="Times New Roman" w:eastAsia="Times New Roman" w:cs="Times New Roman"/>
                <w:spacing w:val="-3"/>
                <w:sz w:val="18"/>
                <w:szCs w:val="18"/>
              </w:rPr>
              <w:t>m</w:t>
            </w:r>
            <w:r>
              <w:rPr>
                <w:rFonts w:ascii="Times New Roman" w:hAnsi="Times New Roman" w:eastAsia="Times New Roman" w:cs="Times New Roman"/>
                <w:spacing w:val="-3"/>
                <w:position w:val="5"/>
                <w:sz w:val="11"/>
                <w:szCs w:val="11"/>
              </w:rPr>
              <w:t>3</w:t>
            </w:r>
            <w:r>
              <w:rPr>
                <w:rFonts w:ascii="Times New Roman" w:hAnsi="Times New Roman" w:eastAsia="Times New Roman" w:cs="Times New Roman"/>
                <w:spacing w:val="-3"/>
                <w:sz w:val="18"/>
                <w:szCs w:val="18"/>
              </w:rPr>
              <w:t>/h</w:t>
            </w:r>
            <w:r>
              <w:rPr>
                <w:spacing w:val="-3"/>
                <w:sz w:val="18"/>
                <w:szCs w:val="18"/>
              </w:rPr>
              <w:t>）</w:t>
            </w:r>
          </w:p>
        </w:tc>
        <w:tc>
          <w:tcPr>
            <w:tcW w:w="759" w:type="dxa"/>
            <w:vMerge w:val="restart"/>
            <w:tcBorders>
              <w:top w:val="single" w:color="000000" w:sz="10" w:space="0"/>
              <w:bottom w:val="nil"/>
            </w:tcBorders>
            <w:vAlign w:val="top"/>
          </w:tcPr>
          <w:p w14:paraId="39804EE5">
            <w:pPr>
              <w:pStyle w:val="6"/>
              <w:spacing w:before="164" w:line="230" w:lineRule="auto"/>
              <w:ind w:left="258" w:right="16" w:hanging="234"/>
              <w:rPr>
                <w:rFonts w:ascii="Times New Roman" w:hAnsi="Times New Roman" w:eastAsia="Times New Roman" w:cs="Times New Roman"/>
                <w:sz w:val="18"/>
                <w:szCs w:val="18"/>
              </w:rPr>
            </w:pPr>
            <w:r>
              <w:rPr>
                <w:spacing w:val="-2"/>
                <w:sz w:val="18"/>
                <w:szCs w:val="18"/>
              </w:rPr>
              <w:t>烟气温度</w:t>
            </w:r>
            <w:r>
              <w:rPr>
                <w:sz w:val="18"/>
                <w:szCs w:val="18"/>
              </w:rPr>
              <w:t xml:space="preserve"> </w:t>
            </w:r>
            <w:r>
              <w:rPr>
                <w:rFonts w:ascii="Times New Roman" w:hAnsi="Times New Roman" w:eastAsia="Times New Roman" w:cs="Times New Roman"/>
                <w:sz w:val="18"/>
                <w:szCs w:val="18"/>
              </w:rPr>
              <w:t>/℃</w:t>
            </w:r>
          </w:p>
        </w:tc>
        <w:tc>
          <w:tcPr>
            <w:tcW w:w="882" w:type="dxa"/>
            <w:vMerge w:val="restart"/>
            <w:tcBorders>
              <w:top w:val="single" w:color="000000" w:sz="10" w:space="0"/>
              <w:bottom w:val="nil"/>
            </w:tcBorders>
            <w:vAlign w:val="top"/>
          </w:tcPr>
          <w:p w14:paraId="0D89B11C">
            <w:pPr>
              <w:pStyle w:val="6"/>
              <w:spacing w:before="153" w:line="229" w:lineRule="auto"/>
              <w:ind w:left="204" w:right="78" w:hanging="118"/>
              <w:rPr>
                <w:rFonts w:ascii="Times New Roman" w:hAnsi="Times New Roman" w:eastAsia="Times New Roman" w:cs="Times New Roman"/>
                <w:sz w:val="18"/>
                <w:szCs w:val="18"/>
              </w:rPr>
            </w:pPr>
            <w:r>
              <w:rPr>
                <w:spacing w:val="-2"/>
                <w:sz w:val="18"/>
                <w:szCs w:val="18"/>
              </w:rPr>
              <w:t>年排放小</w:t>
            </w:r>
            <w:r>
              <w:rPr>
                <w:sz w:val="18"/>
                <w:szCs w:val="18"/>
              </w:rPr>
              <w:t xml:space="preserve"> </w:t>
            </w:r>
            <w:r>
              <w:rPr>
                <w:spacing w:val="-4"/>
                <w:sz w:val="18"/>
                <w:szCs w:val="18"/>
              </w:rPr>
              <w:t>时数</w:t>
            </w:r>
            <w:r>
              <w:rPr>
                <w:rFonts w:ascii="Times New Roman" w:hAnsi="Times New Roman" w:eastAsia="Times New Roman" w:cs="Times New Roman"/>
                <w:spacing w:val="-4"/>
                <w:sz w:val="18"/>
                <w:szCs w:val="18"/>
              </w:rPr>
              <w:t>/h</w:t>
            </w:r>
          </w:p>
        </w:tc>
        <w:tc>
          <w:tcPr>
            <w:tcW w:w="552" w:type="dxa"/>
            <w:vMerge w:val="restart"/>
            <w:tcBorders>
              <w:top w:val="single" w:color="000000" w:sz="10" w:space="0"/>
              <w:bottom w:val="nil"/>
            </w:tcBorders>
            <w:vAlign w:val="top"/>
          </w:tcPr>
          <w:p w14:paraId="15738547">
            <w:pPr>
              <w:pStyle w:val="6"/>
              <w:spacing w:before="153" w:line="229" w:lineRule="auto"/>
              <w:ind w:left="103" w:right="92" w:hanging="2"/>
              <w:rPr>
                <w:sz w:val="18"/>
                <w:szCs w:val="18"/>
              </w:rPr>
            </w:pPr>
            <w:r>
              <w:rPr>
                <w:spacing w:val="-4"/>
                <w:sz w:val="18"/>
                <w:szCs w:val="18"/>
              </w:rPr>
              <w:t>排放</w:t>
            </w:r>
            <w:r>
              <w:rPr>
                <w:sz w:val="18"/>
                <w:szCs w:val="18"/>
              </w:rPr>
              <w:t xml:space="preserve"> </w:t>
            </w:r>
            <w:r>
              <w:rPr>
                <w:spacing w:val="-5"/>
                <w:sz w:val="18"/>
                <w:szCs w:val="18"/>
              </w:rPr>
              <w:t>工况</w:t>
            </w:r>
          </w:p>
        </w:tc>
        <w:tc>
          <w:tcPr>
            <w:tcW w:w="4124" w:type="dxa"/>
            <w:gridSpan w:val="5"/>
            <w:tcBorders>
              <w:top w:val="single" w:color="000000" w:sz="10" w:space="0"/>
              <w:right w:val="nil"/>
            </w:tcBorders>
            <w:vAlign w:val="top"/>
          </w:tcPr>
          <w:p w14:paraId="20110772">
            <w:pPr>
              <w:pStyle w:val="6"/>
              <w:spacing w:before="147" w:line="210" w:lineRule="auto"/>
              <w:ind w:left="1074"/>
              <w:rPr>
                <w:sz w:val="18"/>
                <w:szCs w:val="18"/>
              </w:rPr>
            </w:pPr>
            <w:r>
              <w:rPr>
                <w:spacing w:val="-1"/>
                <w:sz w:val="18"/>
                <w:szCs w:val="18"/>
              </w:rPr>
              <w:t>污染物排放速率</w:t>
            </w:r>
            <w:r>
              <w:rPr>
                <w:rFonts w:ascii="Times New Roman" w:hAnsi="Times New Roman" w:eastAsia="Times New Roman" w:cs="Times New Roman"/>
                <w:spacing w:val="-1"/>
                <w:sz w:val="18"/>
                <w:szCs w:val="18"/>
              </w:rPr>
              <w:t>/</w:t>
            </w:r>
            <w:r>
              <w:rPr>
                <w:spacing w:val="-1"/>
                <w:sz w:val="18"/>
                <w:szCs w:val="18"/>
              </w:rPr>
              <w:t>（</w:t>
            </w:r>
            <w:r>
              <w:rPr>
                <w:rFonts w:ascii="Times New Roman" w:hAnsi="Times New Roman" w:eastAsia="Times New Roman" w:cs="Times New Roman"/>
                <w:spacing w:val="-1"/>
                <w:sz w:val="18"/>
                <w:szCs w:val="18"/>
              </w:rPr>
              <w:t>kg/h</w:t>
            </w:r>
            <w:r>
              <w:rPr>
                <w:spacing w:val="-1"/>
                <w:sz w:val="18"/>
                <w:szCs w:val="18"/>
              </w:rPr>
              <w:t>）</w:t>
            </w:r>
          </w:p>
        </w:tc>
      </w:tr>
      <w:tr w14:paraId="3E8B74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535" w:type="dxa"/>
            <w:vMerge w:val="continue"/>
            <w:tcBorders>
              <w:top w:val="nil"/>
              <w:left w:val="nil"/>
            </w:tcBorders>
            <w:vAlign w:val="top"/>
          </w:tcPr>
          <w:p w14:paraId="02041DD6">
            <w:pPr>
              <w:rPr>
                <w:rFonts w:ascii="Arial"/>
                <w:sz w:val="21"/>
              </w:rPr>
            </w:pPr>
          </w:p>
        </w:tc>
        <w:tc>
          <w:tcPr>
            <w:tcW w:w="2445" w:type="dxa"/>
            <w:vMerge w:val="continue"/>
            <w:tcBorders>
              <w:top w:val="nil"/>
            </w:tcBorders>
            <w:vAlign w:val="top"/>
          </w:tcPr>
          <w:p w14:paraId="11D171F1">
            <w:pPr>
              <w:rPr>
                <w:rFonts w:ascii="Arial"/>
                <w:sz w:val="21"/>
              </w:rPr>
            </w:pPr>
          </w:p>
        </w:tc>
        <w:tc>
          <w:tcPr>
            <w:tcW w:w="714" w:type="dxa"/>
            <w:vAlign w:val="top"/>
          </w:tcPr>
          <w:p w14:paraId="70852FF2">
            <w:pPr>
              <w:spacing w:before="64" w:line="185" w:lineRule="auto"/>
              <w:ind w:left="291"/>
              <w:rPr>
                <w:rFonts w:ascii="Times New Roman" w:hAnsi="Times New Roman" w:eastAsia="Times New Roman" w:cs="Times New Roman"/>
                <w:sz w:val="18"/>
                <w:szCs w:val="18"/>
              </w:rPr>
            </w:pPr>
            <w:r>
              <w:rPr>
                <w:rFonts w:ascii="Times New Roman" w:hAnsi="Times New Roman" w:eastAsia="Times New Roman" w:cs="Times New Roman"/>
                <w:sz w:val="18"/>
                <w:szCs w:val="18"/>
              </w:rPr>
              <w:t>X</w:t>
            </w:r>
          </w:p>
        </w:tc>
        <w:tc>
          <w:tcPr>
            <w:tcW w:w="683" w:type="dxa"/>
            <w:vAlign w:val="top"/>
          </w:tcPr>
          <w:p w14:paraId="02705763">
            <w:pPr>
              <w:spacing w:before="64" w:line="185" w:lineRule="auto"/>
              <w:ind w:left="275"/>
              <w:rPr>
                <w:rFonts w:ascii="Times New Roman" w:hAnsi="Times New Roman" w:eastAsia="Times New Roman" w:cs="Times New Roman"/>
                <w:sz w:val="18"/>
                <w:szCs w:val="18"/>
              </w:rPr>
            </w:pPr>
            <w:r>
              <w:rPr>
                <w:rFonts w:ascii="Times New Roman" w:hAnsi="Times New Roman" w:eastAsia="Times New Roman" w:cs="Times New Roman"/>
                <w:sz w:val="18"/>
                <w:szCs w:val="18"/>
              </w:rPr>
              <w:t>Y</w:t>
            </w:r>
          </w:p>
        </w:tc>
        <w:tc>
          <w:tcPr>
            <w:tcW w:w="1044" w:type="dxa"/>
            <w:vMerge w:val="continue"/>
            <w:tcBorders>
              <w:top w:val="nil"/>
            </w:tcBorders>
            <w:vAlign w:val="top"/>
          </w:tcPr>
          <w:p w14:paraId="265B8CBD">
            <w:pPr>
              <w:rPr>
                <w:rFonts w:ascii="Arial"/>
                <w:sz w:val="21"/>
              </w:rPr>
            </w:pPr>
          </w:p>
        </w:tc>
        <w:tc>
          <w:tcPr>
            <w:tcW w:w="776" w:type="dxa"/>
            <w:vMerge w:val="continue"/>
            <w:tcBorders>
              <w:top w:val="nil"/>
            </w:tcBorders>
            <w:vAlign w:val="top"/>
          </w:tcPr>
          <w:p w14:paraId="160EBDF0">
            <w:pPr>
              <w:rPr>
                <w:rFonts w:ascii="Arial"/>
                <w:sz w:val="21"/>
              </w:rPr>
            </w:pPr>
          </w:p>
        </w:tc>
        <w:tc>
          <w:tcPr>
            <w:tcW w:w="647" w:type="dxa"/>
            <w:vMerge w:val="continue"/>
            <w:tcBorders>
              <w:top w:val="nil"/>
            </w:tcBorders>
            <w:vAlign w:val="top"/>
          </w:tcPr>
          <w:p w14:paraId="74E87BCF">
            <w:pPr>
              <w:rPr>
                <w:rFonts w:ascii="Arial"/>
                <w:sz w:val="21"/>
              </w:rPr>
            </w:pPr>
          </w:p>
        </w:tc>
        <w:tc>
          <w:tcPr>
            <w:tcW w:w="832" w:type="dxa"/>
            <w:vMerge w:val="continue"/>
            <w:tcBorders>
              <w:top w:val="nil"/>
            </w:tcBorders>
            <w:vAlign w:val="top"/>
          </w:tcPr>
          <w:p w14:paraId="76E0FC0C">
            <w:pPr>
              <w:rPr>
                <w:rFonts w:ascii="Arial"/>
                <w:sz w:val="21"/>
              </w:rPr>
            </w:pPr>
          </w:p>
        </w:tc>
        <w:tc>
          <w:tcPr>
            <w:tcW w:w="759" w:type="dxa"/>
            <w:vMerge w:val="continue"/>
            <w:tcBorders>
              <w:top w:val="nil"/>
            </w:tcBorders>
            <w:vAlign w:val="top"/>
          </w:tcPr>
          <w:p w14:paraId="70847480">
            <w:pPr>
              <w:rPr>
                <w:rFonts w:ascii="Arial"/>
                <w:sz w:val="21"/>
              </w:rPr>
            </w:pPr>
          </w:p>
        </w:tc>
        <w:tc>
          <w:tcPr>
            <w:tcW w:w="882" w:type="dxa"/>
            <w:vMerge w:val="continue"/>
            <w:tcBorders>
              <w:top w:val="nil"/>
            </w:tcBorders>
            <w:vAlign w:val="top"/>
          </w:tcPr>
          <w:p w14:paraId="163A278A">
            <w:pPr>
              <w:rPr>
                <w:rFonts w:ascii="Arial"/>
                <w:sz w:val="21"/>
              </w:rPr>
            </w:pPr>
          </w:p>
        </w:tc>
        <w:tc>
          <w:tcPr>
            <w:tcW w:w="552" w:type="dxa"/>
            <w:vMerge w:val="continue"/>
            <w:tcBorders>
              <w:top w:val="nil"/>
            </w:tcBorders>
            <w:vAlign w:val="top"/>
          </w:tcPr>
          <w:p w14:paraId="39F96049">
            <w:pPr>
              <w:rPr>
                <w:rFonts w:ascii="Arial"/>
                <w:sz w:val="21"/>
              </w:rPr>
            </w:pPr>
          </w:p>
        </w:tc>
        <w:tc>
          <w:tcPr>
            <w:tcW w:w="876" w:type="dxa"/>
            <w:vAlign w:val="top"/>
          </w:tcPr>
          <w:p w14:paraId="45ED74D6">
            <w:pPr>
              <w:pStyle w:val="6"/>
              <w:spacing w:before="30" w:line="203" w:lineRule="auto"/>
              <w:ind w:left="172"/>
              <w:rPr>
                <w:sz w:val="18"/>
                <w:szCs w:val="18"/>
              </w:rPr>
            </w:pPr>
            <w:r>
              <w:rPr>
                <w:spacing w:val="-3"/>
                <w:sz w:val="18"/>
                <w:szCs w:val="18"/>
              </w:rPr>
              <w:t>颗粒物</w:t>
            </w:r>
          </w:p>
        </w:tc>
        <w:tc>
          <w:tcPr>
            <w:tcW w:w="826" w:type="dxa"/>
            <w:vAlign w:val="top"/>
          </w:tcPr>
          <w:p w14:paraId="1014E1DC">
            <w:pPr>
              <w:spacing w:before="61" w:line="191" w:lineRule="auto"/>
              <w:ind w:left="278"/>
              <w:rPr>
                <w:rFonts w:ascii="Times New Roman" w:hAnsi="Times New Roman" w:eastAsia="Times New Roman" w:cs="Times New Roman"/>
                <w:sz w:val="11"/>
                <w:szCs w:val="11"/>
              </w:rPr>
            </w:pPr>
            <w:r>
              <w:rPr>
                <w:rFonts w:ascii="Times New Roman" w:hAnsi="Times New Roman" w:eastAsia="Times New Roman" w:cs="Times New Roman"/>
                <w:spacing w:val="-4"/>
                <w:sz w:val="18"/>
                <w:szCs w:val="18"/>
              </w:rPr>
              <w:t>SO</w:t>
            </w:r>
            <w:r>
              <w:rPr>
                <w:rFonts w:ascii="Times New Roman" w:hAnsi="Times New Roman" w:eastAsia="Times New Roman" w:cs="Times New Roman"/>
                <w:spacing w:val="-4"/>
                <w:position w:val="-1"/>
                <w:sz w:val="11"/>
                <w:szCs w:val="11"/>
              </w:rPr>
              <w:t>2</w:t>
            </w:r>
          </w:p>
        </w:tc>
        <w:tc>
          <w:tcPr>
            <w:tcW w:w="812" w:type="dxa"/>
            <w:vAlign w:val="top"/>
          </w:tcPr>
          <w:p w14:paraId="5A1566E3">
            <w:pPr>
              <w:spacing w:before="61" w:line="191" w:lineRule="auto"/>
              <w:ind w:left="243"/>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851" w:type="dxa"/>
            <w:vAlign w:val="top"/>
          </w:tcPr>
          <w:p w14:paraId="4965D68E">
            <w:pPr>
              <w:spacing w:before="64" w:line="190" w:lineRule="auto"/>
              <w:ind w:left="223"/>
              <w:rPr>
                <w:rFonts w:ascii="Times New Roman" w:hAnsi="Times New Roman" w:eastAsia="Times New Roman" w:cs="Times New Roman"/>
                <w:sz w:val="11"/>
                <w:szCs w:val="11"/>
              </w:rPr>
            </w:pPr>
            <w:r>
              <w:rPr>
                <w:rFonts w:ascii="Times New Roman" w:hAnsi="Times New Roman" w:eastAsia="Times New Roman" w:cs="Times New Roman"/>
                <w:sz w:val="18"/>
                <w:szCs w:val="18"/>
              </w:rPr>
              <w:t>PM</w:t>
            </w:r>
            <w:r>
              <w:rPr>
                <w:rFonts w:ascii="Times New Roman" w:hAnsi="Times New Roman" w:eastAsia="Times New Roman" w:cs="Times New Roman"/>
                <w:sz w:val="11"/>
                <w:szCs w:val="11"/>
              </w:rPr>
              <w:t>2.5</w:t>
            </w:r>
          </w:p>
        </w:tc>
        <w:tc>
          <w:tcPr>
            <w:tcW w:w="759" w:type="dxa"/>
            <w:tcBorders>
              <w:right w:val="nil"/>
            </w:tcBorders>
            <w:vAlign w:val="top"/>
          </w:tcPr>
          <w:p w14:paraId="573301B8">
            <w:pPr>
              <w:spacing w:before="64" w:line="190" w:lineRule="auto"/>
              <w:ind w:left="219"/>
              <w:rPr>
                <w:rFonts w:ascii="Times New Roman" w:hAnsi="Times New Roman" w:eastAsia="Times New Roman" w:cs="Times New Roman"/>
                <w:sz w:val="11"/>
                <w:szCs w:val="11"/>
              </w:rPr>
            </w:pPr>
            <w:r>
              <w:rPr>
                <w:rFonts w:ascii="Times New Roman" w:hAnsi="Times New Roman" w:eastAsia="Times New Roman" w:cs="Times New Roman"/>
                <w:sz w:val="18"/>
                <w:szCs w:val="18"/>
              </w:rPr>
              <w:t>NH</w:t>
            </w:r>
            <w:r>
              <w:rPr>
                <w:rFonts w:ascii="Times New Roman" w:hAnsi="Times New Roman" w:eastAsia="Times New Roman" w:cs="Times New Roman"/>
                <w:spacing w:val="1"/>
                <w:sz w:val="11"/>
                <w:szCs w:val="11"/>
              </w:rPr>
              <w:t>3</w:t>
            </w:r>
          </w:p>
        </w:tc>
      </w:tr>
      <w:tr w14:paraId="556F24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535" w:type="dxa"/>
            <w:tcBorders>
              <w:left w:val="nil"/>
            </w:tcBorders>
            <w:vAlign w:val="top"/>
          </w:tcPr>
          <w:p w14:paraId="1D16831C">
            <w:pPr>
              <w:spacing w:before="101"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DA001</w:t>
            </w:r>
          </w:p>
        </w:tc>
        <w:tc>
          <w:tcPr>
            <w:tcW w:w="2445" w:type="dxa"/>
            <w:vAlign w:val="top"/>
          </w:tcPr>
          <w:p w14:paraId="2DD5E502">
            <w:pPr>
              <w:pStyle w:val="6"/>
              <w:spacing w:before="70" w:line="219" w:lineRule="auto"/>
              <w:ind w:left="236"/>
              <w:rPr>
                <w:sz w:val="18"/>
                <w:szCs w:val="18"/>
              </w:rPr>
            </w:pPr>
            <w:r>
              <w:rPr>
                <w:spacing w:val="-1"/>
                <w:sz w:val="18"/>
                <w:szCs w:val="18"/>
              </w:rPr>
              <w:t>焦炭烘干、筛分出料废气</w:t>
            </w:r>
          </w:p>
        </w:tc>
        <w:tc>
          <w:tcPr>
            <w:tcW w:w="714" w:type="dxa"/>
            <w:vAlign w:val="top"/>
          </w:tcPr>
          <w:p w14:paraId="0ED02A4F">
            <w:pPr>
              <w:spacing w:before="99" w:line="188" w:lineRule="auto"/>
              <w:ind w:left="22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428</w:t>
            </w:r>
          </w:p>
        </w:tc>
        <w:tc>
          <w:tcPr>
            <w:tcW w:w="683" w:type="dxa"/>
            <w:vAlign w:val="top"/>
          </w:tcPr>
          <w:p w14:paraId="3171A898">
            <w:pPr>
              <w:spacing w:before="99"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-420</w:t>
            </w:r>
          </w:p>
        </w:tc>
        <w:tc>
          <w:tcPr>
            <w:tcW w:w="1044" w:type="dxa"/>
            <w:vAlign w:val="top"/>
          </w:tcPr>
          <w:p w14:paraId="09ED2044">
            <w:pPr>
              <w:spacing w:before="99"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1144</w:t>
            </w:r>
          </w:p>
        </w:tc>
        <w:tc>
          <w:tcPr>
            <w:tcW w:w="776" w:type="dxa"/>
            <w:vAlign w:val="top"/>
          </w:tcPr>
          <w:p w14:paraId="61ECF28F">
            <w:pPr>
              <w:spacing w:before="99"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30</w:t>
            </w:r>
          </w:p>
        </w:tc>
        <w:tc>
          <w:tcPr>
            <w:tcW w:w="647" w:type="dxa"/>
            <w:vAlign w:val="top"/>
          </w:tcPr>
          <w:p w14:paraId="7A17CB00">
            <w:pPr>
              <w:spacing w:before="99" w:line="188" w:lineRule="auto"/>
              <w:ind w:left="21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w:t>
            </w:r>
          </w:p>
        </w:tc>
        <w:tc>
          <w:tcPr>
            <w:tcW w:w="832" w:type="dxa"/>
            <w:vAlign w:val="top"/>
          </w:tcPr>
          <w:p w14:paraId="10635EAD">
            <w:pPr>
              <w:spacing w:before="99" w:line="188" w:lineRule="auto"/>
              <w:ind w:left="9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13196.59</w:t>
            </w:r>
          </w:p>
        </w:tc>
        <w:tc>
          <w:tcPr>
            <w:tcW w:w="759" w:type="dxa"/>
            <w:vAlign w:val="top"/>
          </w:tcPr>
          <w:p w14:paraId="650D3040">
            <w:pPr>
              <w:spacing w:before="99" w:line="188" w:lineRule="auto"/>
              <w:ind w:left="26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39D0F581">
            <w:pPr>
              <w:spacing w:before="99"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521EA7AD">
            <w:pPr>
              <w:pStyle w:val="6"/>
              <w:spacing w:before="70" w:line="220" w:lineRule="auto"/>
              <w:ind w:left="105"/>
              <w:rPr>
                <w:sz w:val="18"/>
                <w:szCs w:val="18"/>
              </w:rPr>
            </w:pPr>
            <w:r>
              <w:rPr>
                <w:spacing w:val="-6"/>
                <w:sz w:val="18"/>
                <w:szCs w:val="18"/>
              </w:rPr>
              <w:t>正常</w:t>
            </w:r>
          </w:p>
        </w:tc>
        <w:tc>
          <w:tcPr>
            <w:tcW w:w="876" w:type="dxa"/>
            <w:vAlign w:val="top"/>
          </w:tcPr>
          <w:p w14:paraId="5BCD7D03">
            <w:pPr>
              <w:spacing w:before="99"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0.15</w:t>
            </w:r>
          </w:p>
        </w:tc>
        <w:tc>
          <w:tcPr>
            <w:tcW w:w="826" w:type="dxa"/>
            <w:vAlign w:val="top"/>
          </w:tcPr>
          <w:p w14:paraId="592AB6A5">
            <w:pPr>
              <w:spacing w:before="101" w:line="188" w:lineRule="auto"/>
              <w:ind w:left="25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0.36</w:t>
            </w:r>
          </w:p>
        </w:tc>
        <w:tc>
          <w:tcPr>
            <w:tcW w:w="812" w:type="dxa"/>
            <w:vAlign w:val="top"/>
          </w:tcPr>
          <w:p w14:paraId="1BAA7BEF">
            <w:pPr>
              <w:spacing w:before="99" w:line="188" w:lineRule="auto"/>
              <w:ind w:left="25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0.16</w:t>
            </w:r>
          </w:p>
        </w:tc>
        <w:tc>
          <w:tcPr>
            <w:tcW w:w="851" w:type="dxa"/>
            <w:vAlign w:val="top"/>
          </w:tcPr>
          <w:p w14:paraId="443AC2F5">
            <w:pPr>
              <w:spacing w:before="101" w:line="188" w:lineRule="auto"/>
              <w:ind w:left="27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0.28</w:t>
            </w:r>
          </w:p>
        </w:tc>
        <w:tc>
          <w:tcPr>
            <w:tcW w:w="759" w:type="dxa"/>
            <w:tcBorders>
              <w:right w:val="nil"/>
            </w:tcBorders>
            <w:vAlign w:val="top"/>
          </w:tcPr>
          <w:p w14:paraId="086FF157">
            <w:pPr>
              <w:rPr>
                <w:rFonts w:ascii="Arial"/>
                <w:sz w:val="21"/>
              </w:rPr>
            </w:pPr>
          </w:p>
        </w:tc>
      </w:tr>
      <w:tr w14:paraId="163AE9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535" w:type="dxa"/>
            <w:tcBorders>
              <w:left w:val="nil"/>
            </w:tcBorders>
            <w:vAlign w:val="top"/>
          </w:tcPr>
          <w:p w14:paraId="0793585C">
            <w:pPr>
              <w:spacing w:before="102"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DA002</w:t>
            </w:r>
          </w:p>
        </w:tc>
        <w:tc>
          <w:tcPr>
            <w:tcW w:w="2445" w:type="dxa"/>
            <w:vAlign w:val="top"/>
          </w:tcPr>
          <w:p w14:paraId="6CBC8D64">
            <w:pPr>
              <w:pStyle w:val="6"/>
              <w:spacing w:before="70" w:line="219" w:lineRule="auto"/>
              <w:ind w:left="147"/>
              <w:rPr>
                <w:sz w:val="18"/>
                <w:szCs w:val="18"/>
              </w:rPr>
            </w:pPr>
            <w:r>
              <w:rPr>
                <w:spacing w:val="-1"/>
                <w:sz w:val="18"/>
                <w:szCs w:val="18"/>
              </w:rPr>
              <w:t>锰矿石烘干筛分、出料废气</w:t>
            </w:r>
          </w:p>
        </w:tc>
        <w:tc>
          <w:tcPr>
            <w:tcW w:w="714" w:type="dxa"/>
            <w:vAlign w:val="top"/>
          </w:tcPr>
          <w:p w14:paraId="0B20B4EF">
            <w:pPr>
              <w:spacing w:before="99" w:line="188" w:lineRule="auto"/>
              <w:ind w:left="22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437</w:t>
            </w:r>
          </w:p>
        </w:tc>
        <w:tc>
          <w:tcPr>
            <w:tcW w:w="683" w:type="dxa"/>
            <w:vAlign w:val="top"/>
          </w:tcPr>
          <w:p w14:paraId="1E152F2C">
            <w:pPr>
              <w:spacing w:before="99"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-528</w:t>
            </w:r>
          </w:p>
        </w:tc>
        <w:tc>
          <w:tcPr>
            <w:tcW w:w="1044" w:type="dxa"/>
            <w:vAlign w:val="top"/>
          </w:tcPr>
          <w:p w14:paraId="755DC299">
            <w:pPr>
              <w:spacing w:before="99"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1148</w:t>
            </w:r>
          </w:p>
        </w:tc>
        <w:tc>
          <w:tcPr>
            <w:tcW w:w="776" w:type="dxa"/>
            <w:vAlign w:val="top"/>
          </w:tcPr>
          <w:p w14:paraId="7C15C480">
            <w:pPr>
              <w:spacing w:before="99"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4F99698B">
            <w:pPr>
              <w:spacing w:before="99" w:line="188" w:lineRule="auto"/>
              <w:ind w:left="21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w:t>
            </w:r>
          </w:p>
        </w:tc>
        <w:tc>
          <w:tcPr>
            <w:tcW w:w="832" w:type="dxa"/>
            <w:vAlign w:val="top"/>
          </w:tcPr>
          <w:p w14:paraId="54667A57">
            <w:pPr>
              <w:spacing w:before="99" w:line="188" w:lineRule="auto"/>
              <w:ind w:left="14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205000</w:t>
            </w:r>
          </w:p>
        </w:tc>
        <w:tc>
          <w:tcPr>
            <w:tcW w:w="759" w:type="dxa"/>
            <w:vAlign w:val="top"/>
          </w:tcPr>
          <w:p w14:paraId="3FBC8E2C">
            <w:pPr>
              <w:spacing w:before="99" w:line="188" w:lineRule="auto"/>
              <w:ind w:left="26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56304FB8">
            <w:pPr>
              <w:spacing w:before="99"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469506BD">
            <w:pPr>
              <w:pStyle w:val="6"/>
              <w:spacing w:before="71" w:line="220" w:lineRule="auto"/>
              <w:ind w:left="105"/>
              <w:rPr>
                <w:sz w:val="18"/>
                <w:szCs w:val="18"/>
              </w:rPr>
            </w:pPr>
            <w:r>
              <w:rPr>
                <w:spacing w:val="-6"/>
                <w:sz w:val="18"/>
                <w:szCs w:val="18"/>
              </w:rPr>
              <w:t>正常</w:t>
            </w:r>
          </w:p>
        </w:tc>
        <w:tc>
          <w:tcPr>
            <w:tcW w:w="876" w:type="dxa"/>
            <w:vAlign w:val="top"/>
          </w:tcPr>
          <w:p w14:paraId="7FD7498F">
            <w:pPr>
              <w:spacing w:before="102" w:line="188" w:lineRule="auto"/>
              <w:ind w:left="297"/>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1.55</w:t>
            </w:r>
          </w:p>
        </w:tc>
        <w:tc>
          <w:tcPr>
            <w:tcW w:w="826" w:type="dxa"/>
            <w:vAlign w:val="top"/>
          </w:tcPr>
          <w:p w14:paraId="58F2D718">
            <w:pPr>
              <w:spacing w:before="102" w:line="188" w:lineRule="auto"/>
              <w:ind w:left="25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0.59</w:t>
            </w:r>
          </w:p>
        </w:tc>
        <w:tc>
          <w:tcPr>
            <w:tcW w:w="812" w:type="dxa"/>
            <w:vAlign w:val="top"/>
          </w:tcPr>
          <w:p w14:paraId="57BB4088">
            <w:pPr>
              <w:spacing w:before="99" w:line="188" w:lineRule="auto"/>
              <w:ind w:left="25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0.70</w:t>
            </w:r>
          </w:p>
        </w:tc>
        <w:tc>
          <w:tcPr>
            <w:tcW w:w="851" w:type="dxa"/>
            <w:vAlign w:val="top"/>
          </w:tcPr>
          <w:p w14:paraId="6612EF9C">
            <w:pPr>
              <w:spacing w:before="102" w:line="188" w:lineRule="auto"/>
              <w:ind w:left="27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0.65</w:t>
            </w:r>
          </w:p>
        </w:tc>
        <w:tc>
          <w:tcPr>
            <w:tcW w:w="759" w:type="dxa"/>
            <w:tcBorders>
              <w:right w:val="nil"/>
            </w:tcBorders>
            <w:vAlign w:val="top"/>
          </w:tcPr>
          <w:p w14:paraId="6281D58D">
            <w:pPr>
              <w:rPr>
                <w:rFonts w:ascii="Arial"/>
                <w:sz w:val="21"/>
              </w:rPr>
            </w:pPr>
          </w:p>
        </w:tc>
      </w:tr>
      <w:tr w14:paraId="51F9CF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535" w:type="dxa"/>
            <w:tcBorders>
              <w:left w:val="nil"/>
            </w:tcBorders>
            <w:vAlign w:val="top"/>
          </w:tcPr>
          <w:p w14:paraId="404701D3">
            <w:pPr>
              <w:spacing w:before="103"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DA003</w:t>
            </w:r>
          </w:p>
        </w:tc>
        <w:tc>
          <w:tcPr>
            <w:tcW w:w="2445" w:type="dxa"/>
            <w:vAlign w:val="top"/>
          </w:tcPr>
          <w:p w14:paraId="1824B549">
            <w:pPr>
              <w:pStyle w:val="6"/>
              <w:spacing w:before="72" w:line="219" w:lineRule="auto"/>
              <w:ind w:left="595"/>
              <w:rPr>
                <w:sz w:val="18"/>
                <w:szCs w:val="18"/>
              </w:rPr>
            </w:pPr>
            <w:r>
              <w:rPr>
                <w:spacing w:val="-1"/>
                <w:sz w:val="18"/>
                <w:szCs w:val="18"/>
              </w:rPr>
              <w:t>烧结机配料粉尘</w:t>
            </w:r>
          </w:p>
        </w:tc>
        <w:tc>
          <w:tcPr>
            <w:tcW w:w="714" w:type="dxa"/>
            <w:vAlign w:val="top"/>
          </w:tcPr>
          <w:p w14:paraId="453C7BA1">
            <w:pPr>
              <w:spacing w:before="101"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509</w:t>
            </w:r>
          </w:p>
        </w:tc>
        <w:tc>
          <w:tcPr>
            <w:tcW w:w="683" w:type="dxa"/>
            <w:vAlign w:val="top"/>
          </w:tcPr>
          <w:p w14:paraId="5AD6CD82">
            <w:pPr>
              <w:spacing w:before="101"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-471</w:t>
            </w:r>
          </w:p>
        </w:tc>
        <w:tc>
          <w:tcPr>
            <w:tcW w:w="1044" w:type="dxa"/>
            <w:vAlign w:val="top"/>
          </w:tcPr>
          <w:p w14:paraId="382AABD0">
            <w:pPr>
              <w:spacing w:before="101"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1145</w:t>
            </w:r>
          </w:p>
        </w:tc>
        <w:tc>
          <w:tcPr>
            <w:tcW w:w="776" w:type="dxa"/>
            <w:vAlign w:val="top"/>
          </w:tcPr>
          <w:p w14:paraId="4E0B297E">
            <w:pPr>
              <w:spacing w:before="101"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33</w:t>
            </w:r>
          </w:p>
        </w:tc>
        <w:tc>
          <w:tcPr>
            <w:tcW w:w="647" w:type="dxa"/>
            <w:vAlign w:val="top"/>
          </w:tcPr>
          <w:p w14:paraId="3E0214C5">
            <w:pPr>
              <w:spacing w:before="101" w:line="188" w:lineRule="auto"/>
              <w:ind w:left="21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w:t>
            </w:r>
          </w:p>
        </w:tc>
        <w:tc>
          <w:tcPr>
            <w:tcW w:w="832" w:type="dxa"/>
            <w:vAlign w:val="top"/>
          </w:tcPr>
          <w:p w14:paraId="6254ECF4">
            <w:pPr>
              <w:spacing w:before="101" w:line="188" w:lineRule="auto"/>
              <w:ind w:left="19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25000</w:t>
            </w:r>
          </w:p>
        </w:tc>
        <w:tc>
          <w:tcPr>
            <w:tcW w:w="759" w:type="dxa"/>
            <w:vAlign w:val="top"/>
          </w:tcPr>
          <w:p w14:paraId="6DBE56C3">
            <w:pPr>
              <w:pStyle w:val="6"/>
              <w:spacing w:before="72" w:line="220" w:lineRule="auto"/>
              <w:ind w:left="208"/>
              <w:rPr>
                <w:sz w:val="18"/>
                <w:szCs w:val="18"/>
              </w:rPr>
            </w:pPr>
            <w:r>
              <w:rPr>
                <w:spacing w:val="-6"/>
                <w:sz w:val="18"/>
                <w:szCs w:val="18"/>
              </w:rPr>
              <w:t>常温</w:t>
            </w:r>
          </w:p>
        </w:tc>
        <w:tc>
          <w:tcPr>
            <w:tcW w:w="882" w:type="dxa"/>
            <w:vAlign w:val="top"/>
          </w:tcPr>
          <w:p w14:paraId="33F226A3">
            <w:pPr>
              <w:spacing w:before="101"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5A03F017">
            <w:pPr>
              <w:pStyle w:val="6"/>
              <w:spacing w:before="72" w:line="220" w:lineRule="auto"/>
              <w:ind w:left="105"/>
              <w:rPr>
                <w:sz w:val="18"/>
                <w:szCs w:val="18"/>
              </w:rPr>
            </w:pPr>
            <w:r>
              <w:rPr>
                <w:spacing w:val="-6"/>
                <w:sz w:val="18"/>
                <w:szCs w:val="18"/>
              </w:rPr>
              <w:t>正常</w:t>
            </w:r>
          </w:p>
        </w:tc>
        <w:tc>
          <w:tcPr>
            <w:tcW w:w="876" w:type="dxa"/>
            <w:vAlign w:val="top"/>
          </w:tcPr>
          <w:p w14:paraId="0F55A9D5">
            <w:pPr>
              <w:spacing w:before="103"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0.20</w:t>
            </w:r>
          </w:p>
        </w:tc>
        <w:tc>
          <w:tcPr>
            <w:tcW w:w="826" w:type="dxa"/>
            <w:vAlign w:val="top"/>
          </w:tcPr>
          <w:p w14:paraId="659F2D7A">
            <w:pPr>
              <w:rPr>
                <w:rFonts w:ascii="Arial"/>
                <w:sz w:val="21"/>
              </w:rPr>
            </w:pPr>
          </w:p>
        </w:tc>
        <w:tc>
          <w:tcPr>
            <w:tcW w:w="812" w:type="dxa"/>
            <w:vAlign w:val="top"/>
          </w:tcPr>
          <w:p w14:paraId="08CF63BD">
            <w:pPr>
              <w:rPr>
                <w:rFonts w:ascii="Arial"/>
                <w:sz w:val="21"/>
              </w:rPr>
            </w:pPr>
          </w:p>
        </w:tc>
        <w:tc>
          <w:tcPr>
            <w:tcW w:w="851" w:type="dxa"/>
            <w:vAlign w:val="top"/>
          </w:tcPr>
          <w:p w14:paraId="154D6E92">
            <w:pPr>
              <w:spacing w:before="103" w:line="188" w:lineRule="auto"/>
              <w:ind w:left="27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0.04</w:t>
            </w:r>
          </w:p>
        </w:tc>
        <w:tc>
          <w:tcPr>
            <w:tcW w:w="759" w:type="dxa"/>
            <w:tcBorders>
              <w:right w:val="nil"/>
            </w:tcBorders>
            <w:vAlign w:val="top"/>
          </w:tcPr>
          <w:p w14:paraId="2E4272E8">
            <w:pPr>
              <w:rPr>
                <w:rFonts w:ascii="Arial"/>
                <w:sz w:val="21"/>
              </w:rPr>
            </w:pPr>
          </w:p>
        </w:tc>
      </w:tr>
      <w:tr w14:paraId="684EAA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535" w:type="dxa"/>
            <w:tcBorders>
              <w:left w:val="nil"/>
            </w:tcBorders>
            <w:vAlign w:val="top"/>
          </w:tcPr>
          <w:p w14:paraId="10C91779">
            <w:pPr>
              <w:spacing w:before="105"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DA004</w:t>
            </w:r>
          </w:p>
        </w:tc>
        <w:tc>
          <w:tcPr>
            <w:tcW w:w="2445" w:type="dxa"/>
            <w:vAlign w:val="top"/>
          </w:tcPr>
          <w:p w14:paraId="32B514F3">
            <w:pPr>
              <w:pStyle w:val="6"/>
              <w:spacing w:before="74" w:line="216" w:lineRule="auto"/>
              <w:ind w:left="415"/>
              <w:rPr>
                <w:sz w:val="18"/>
                <w:szCs w:val="18"/>
              </w:rPr>
            </w:pPr>
            <w:r>
              <w:rPr>
                <w:spacing w:val="-1"/>
                <w:sz w:val="18"/>
                <w:szCs w:val="18"/>
              </w:rPr>
              <w:t>烧结机头、机尾废气</w:t>
            </w:r>
          </w:p>
        </w:tc>
        <w:tc>
          <w:tcPr>
            <w:tcW w:w="714" w:type="dxa"/>
            <w:vAlign w:val="top"/>
          </w:tcPr>
          <w:p w14:paraId="1ADB309F">
            <w:pPr>
              <w:spacing w:before="105"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516</w:t>
            </w:r>
          </w:p>
        </w:tc>
        <w:tc>
          <w:tcPr>
            <w:tcW w:w="683" w:type="dxa"/>
            <w:vAlign w:val="top"/>
          </w:tcPr>
          <w:p w14:paraId="662FA8C0">
            <w:pPr>
              <w:spacing w:before="105"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-552</w:t>
            </w:r>
          </w:p>
        </w:tc>
        <w:tc>
          <w:tcPr>
            <w:tcW w:w="1044" w:type="dxa"/>
            <w:vAlign w:val="top"/>
          </w:tcPr>
          <w:p w14:paraId="6DC685C1">
            <w:pPr>
              <w:spacing w:before="105"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1145</w:t>
            </w:r>
          </w:p>
        </w:tc>
        <w:tc>
          <w:tcPr>
            <w:tcW w:w="776" w:type="dxa"/>
            <w:vAlign w:val="top"/>
          </w:tcPr>
          <w:p w14:paraId="13FB4D8C">
            <w:pPr>
              <w:spacing w:before="105"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30</w:t>
            </w:r>
          </w:p>
        </w:tc>
        <w:tc>
          <w:tcPr>
            <w:tcW w:w="647" w:type="dxa"/>
            <w:vAlign w:val="top"/>
          </w:tcPr>
          <w:p w14:paraId="5F32C8DB">
            <w:pPr>
              <w:spacing w:before="105"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w:t>
            </w:r>
          </w:p>
        </w:tc>
        <w:tc>
          <w:tcPr>
            <w:tcW w:w="832" w:type="dxa"/>
            <w:vAlign w:val="top"/>
          </w:tcPr>
          <w:p w14:paraId="4A8A7961">
            <w:pPr>
              <w:spacing w:before="105" w:line="188" w:lineRule="auto"/>
              <w:ind w:left="3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299673.39</w:t>
            </w:r>
          </w:p>
        </w:tc>
        <w:tc>
          <w:tcPr>
            <w:tcW w:w="759" w:type="dxa"/>
            <w:vAlign w:val="top"/>
          </w:tcPr>
          <w:p w14:paraId="4B1887D3">
            <w:pPr>
              <w:spacing w:before="105" w:line="188" w:lineRule="auto"/>
              <w:ind w:left="292"/>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70</w:t>
            </w:r>
          </w:p>
        </w:tc>
        <w:tc>
          <w:tcPr>
            <w:tcW w:w="882" w:type="dxa"/>
            <w:vAlign w:val="top"/>
          </w:tcPr>
          <w:p w14:paraId="2542CEAE">
            <w:pPr>
              <w:spacing w:before="105"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2B7B62AA">
            <w:pPr>
              <w:pStyle w:val="6"/>
              <w:spacing w:before="74" w:line="220" w:lineRule="auto"/>
              <w:ind w:left="105"/>
              <w:rPr>
                <w:sz w:val="18"/>
                <w:szCs w:val="18"/>
              </w:rPr>
            </w:pPr>
            <w:r>
              <w:rPr>
                <w:spacing w:val="-6"/>
                <w:sz w:val="18"/>
                <w:szCs w:val="18"/>
              </w:rPr>
              <w:t>正常</w:t>
            </w:r>
          </w:p>
        </w:tc>
        <w:tc>
          <w:tcPr>
            <w:tcW w:w="876" w:type="dxa"/>
            <w:vAlign w:val="top"/>
          </w:tcPr>
          <w:p w14:paraId="14FF4938">
            <w:pPr>
              <w:spacing w:before="105" w:line="188" w:lineRule="auto"/>
              <w:ind w:left="28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3.19</w:t>
            </w:r>
          </w:p>
        </w:tc>
        <w:tc>
          <w:tcPr>
            <w:tcW w:w="826" w:type="dxa"/>
            <w:vAlign w:val="top"/>
          </w:tcPr>
          <w:p w14:paraId="7E69D141">
            <w:pPr>
              <w:spacing w:before="105" w:line="188" w:lineRule="auto"/>
              <w:ind w:left="263"/>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8.29</w:t>
            </w:r>
          </w:p>
        </w:tc>
        <w:tc>
          <w:tcPr>
            <w:tcW w:w="812" w:type="dxa"/>
            <w:vAlign w:val="top"/>
          </w:tcPr>
          <w:p w14:paraId="015D4995">
            <w:pPr>
              <w:spacing w:before="105" w:line="188" w:lineRule="auto"/>
              <w:ind w:left="20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41.53</w:t>
            </w:r>
          </w:p>
        </w:tc>
        <w:tc>
          <w:tcPr>
            <w:tcW w:w="851" w:type="dxa"/>
            <w:vAlign w:val="top"/>
          </w:tcPr>
          <w:p w14:paraId="00B7E8EF">
            <w:pPr>
              <w:spacing w:before="105" w:line="188" w:lineRule="auto"/>
              <w:ind w:left="22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23.08</w:t>
            </w:r>
          </w:p>
        </w:tc>
        <w:tc>
          <w:tcPr>
            <w:tcW w:w="759" w:type="dxa"/>
            <w:tcBorders>
              <w:right w:val="nil"/>
            </w:tcBorders>
            <w:vAlign w:val="top"/>
          </w:tcPr>
          <w:p w14:paraId="0E60DC4F">
            <w:pPr>
              <w:rPr>
                <w:rFonts w:ascii="Arial"/>
                <w:sz w:val="21"/>
              </w:rPr>
            </w:pPr>
          </w:p>
        </w:tc>
      </w:tr>
      <w:tr w14:paraId="155280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535" w:type="dxa"/>
            <w:tcBorders>
              <w:left w:val="nil"/>
            </w:tcBorders>
            <w:vAlign w:val="top"/>
          </w:tcPr>
          <w:p w14:paraId="3893C3FE">
            <w:pPr>
              <w:spacing w:before="107"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DA005</w:t>
            </w:r>
          </w:p>
        </w:tc>
        <w:tc>
          <w:tcPr>
            <w:tcW w:w="2445" w:type="dxa"/>
            <w:vAlign w:val="top"/>
          </w:tcPr>
          <w:p w14:paraId="7D3BA30C">
            <w:pPr>
              <w:pStyle w:val="6"/>
              <w:spacing w:before="78" w:line="219" w:lineRule="auto"/>
              <w:ind w:left="236"/>
              <w:rPr>
                <w:sz w:val="18"/>
                <w:szCs w:val="18"/>
              </w:rPr>
            </w:pPr>
            <w:r>
              <w:rPr>
                <w:spacing w:val="-1"/>
                <w:sz w:val="18"/>
                <w:szCs w:val="18"/>
              </w:rPr>
              <w:t>锰硅电炉配料、加料粉尘</w:t>
            </w:r>
          </w:p>
        </w:tc>
        <w:tc>
          <w:tcPr>
            <w:tcW w:w="714" w:type="dxa"/>
            <w:vAlign w:val="top"/>
          </w:tcPr>
          <w:p w14:paraId="2141F821">
            <w:pPr>
              <w:spacing w:before="107"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359</w:t>
            </w:r>
          </w:p>
        </w:tc>
        <w:tc>
          <w:tcPr>
            <w:tcW w:w="683" w:type="dxa"/>
            <w:vAlign w:val="top"/>
          </w:tcPr>
          <w:p w14:paraId="6C4ABB44">
            <w:pPr>
              <w:spacing w:before="107"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-493</w:t>
            </w:r>
          </w:p>
        </w:tc>
        <w:tc>
          <w:tcPr>
            <w:tcW w:w="1044" w:type="dxa"/>
            <w:vAlign w:val="top"/>
          </w:tcPr>
          <w:p w14:paraId="54C11A62">
            <w:pPr>
              <w:spacing w:before="107"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1147</w:t>
            </w:r>
          </w:p>
        </w:tc>
        <w:tc>
          <w:tcPr>
            <w:tcW w:w="776" w:type="dxa"/>
            <w:vAlign w:val="top"/>
          </w:tcPr>
          <w:p w14:paraId="1C9D0657">
            <w:pPr>
              <w:spacing w:before="107"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62862F39">
            <w:pPr>
              <w:spacing w:before="107"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w:t>
            </w:r>
          </w:p>
        </w:tc>
        <w:tc>
          <w:tcPr>
            <w:tcW w:w="832" w:type="dxa"/>
            <w:vAlign w:val="top"/>
          </w:tcPr>
          <w:p w14:paraId="22A764E2">
            <w:pPr>
              <w:spacing w:before="107" w:line="188" w:lineRule="auto"/>
              <w:ind w:left="10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3×60000</w:t>
            </w:r>
          </w:p>
        </w:tc>
        <w:tc>
          <w:tcPr>
            <w:tcW w:w="759" w:type="dxa"/>
            <w:vAlign w:val="top"/>
          </w:tcPr>
          <w:p w14:paraId="6552D639">
            <w:pPr>
              <w:pStyle w:val="6"/>
              <w:spacing w:before="75" w:line="220" w:lineRule="auto"/>
              <w:ind w:left="208"/>
              <w:rPr>
                <w:sz w:val="18"/>
                <w:szCs w:val="18"/>
              </w:rPr>
            </w:pPr>
            <w:r>
              <w:rPr>
                <w:spacing w:val="-6"/>
                <w:sz w:val="18"/>
                <w:szCs w:val="18"/>
              </w:rPr>
              <w:t>常温</w:t>
            </w:r>
          </w:p>
        </w:tc>
        <w:tc>
          <w:tcPr>
            <w:tcW w:w="882" w:type="dxa"/>
            <w:vAlign w:val="top"/>
          </w:tcPr>
          <w:p w14:paraId="5942FA44">
            <w:pPr>
              <w:spacing w:before="107"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7B30EDD2">
            <w:pPr>
              <w:pStyle w:val="6"/>
              <w:spacing w:before="75" w:line="220" w:lineRule="auto"/>
              <w:ind w:left="105"/>
              <w:rPr>
                <w:sz w:val="18"/>
                <w:szCs w:val="18"/>
              </w:rPr>
            </w:pPr>
            <w:r>
              <w:rPr>
                <w:spacing w:val="-6"/>
                <w:sz w:val="18"/>
                <w:szCs w:val="18"/>
              </w:rPr>
              <w:t>正常</w:t>
            </w:r>
          </w:p>
        </w:tc>
        <w:tc>
          <w:tcPr>
            <w:tcW w:w="876" w:type="dxa"/>
            <w:vAlign w:val="top"/>
          </w:tcPr>
          <w:p w14:paraId="7E469BD3">
            <w:pPr>
              <w:spacing w:before="107"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3B3152B7">
            <w:pPr>
              <w:rPr>
                <w:rFonts w:ascii="Arial"/>
                <w:sz w:val="21"/>
              </w:rPr>
            </w:pPr>
          </w:p>
        </w:tc>
        <w:tc>
          <w:tcPr>
            <w:tcW w:w="812" w:type="dxa"/>
            <w:vAlign w:val="top"/>
          </w:tcPr>
          <w:p w14:paraId="4F8C53F1">
            <w:pPr>
              <w:rPr>
                <w:rFonts w:ascii="Arial"/>
                <w:sz w:val="21"/>
              </w:rPr>
            </w:pPr>
          </w:p>
        </w:tc>
        <w:tc>
          <w:tcPr>
            <w:tcW w:w="851" w:type="dxa"/>
            <w:vAlign w:val="top"/>
          </w:tcPr>
          <w:p w14:paraId="0752CC7B">
            <w:pPr>
              <w:spacing w:before="107"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13B39000">
            <w:pPr>
              <w:rPr>
                <w:rFonts w:ascii="Arial"/>
                <w:sz w:val="21"/>
              </w:rPr>
            </w:pPr>
          </w:p>
        </w:tc>
      </w:tr>
      <w:tr w14:paraId="21CE19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535" w:type="dxa"/>
            <w:tcBorders>
              <w:left w:val="nil"/>
            </w:tcBorders>
            <w:vAlign w:val="top"/>
          </w:tcPr>
          <w:p w14:paraId="1A4F7276">
            <w:pPr>
              <w:spacing w:before="108"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DA006</w:t>
            </w:r>
          </w:p>
        </w:tc>
        <w:tc>
          <w:tcPr>
            <w:tcW w:w="2445" w:type="dxa"/>
            <w:vAlign w:val="top"/>
          </w:tcPr>
          <w:p w14:paraId="0A308813">
            <w:pPr>
              <w:pStyle w:val="6"/>
              <w:spacing w:before="80" w:line="219" w:lineRule="auto"/>
              <w:ind w:left="236"/>
              <w:rPr>
                <w:sz w:val="18"/>
                <w:szCs w:val="18"/>
              </w:rPr>
            </w:pPr>
            <w:r>
              <w:rPr>
                <w:spacing w:val="-1"/>
                <w:sz w:val="18"/>
                <w:szCs w:val="18"/>
              </w:rPr>
              <w:t>锰硅电炉配料、加料粉尘</w:t>
            </w:r>
          </w:p>
        </w:tc>
        <w:tc>
          <w:tcPr>
            <w:tcW w:w="714" w:type="dxa"/>
            <w:vAlign w:val="top"/>
          </w:tcPr>
          <w:p w14:paraId="05CEA7BE">
            <w:pPr>
              <w:spacing w:before="108"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363</w:t>
            </w:r>
          </w:p>
        </w:tc>
        <w:tc>
          <w:tcPr>
            <w:tcW w:w="683" w:type="dxa"/>
            <w:vAlign w:val="top"/>
          </w:tcPr>
          <w:p w14:paraId="5BAC853E">
            <w:pPr>
              <w:spacing w:before="108"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-552</w:t>
            </w:r>
          </w:p>
        </w:tc>
        <w:tc>
          <w:tcPr>
            <w:tcW w:w="1044" w:type="dxa"/>
            <w:vAlign w:val="top"/>
          </w:tcPr>
          <w:p w14:paraId="227BD1EA">
            <w:pPr>
              <w:spacing w:before="108"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1147</w:t>
            </w:r>
          </w:p>
        </w:tc>
        <w:tc>
          <w:tcPr>
            <w:tcW w:w="776" w:type="dxa"/>
            <w:vAlign w:val="top"/>
          </w:tcPr>
          <w:p w14:paraId="3DE8F5E1">
            <w:pPr>
              <w:spacing w:before="108"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55DF5C81">
            <w:pPr>
              <w:spacing w:before="108"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w:t>
            </w:r>
          </w:p>
        </w:tc>
        <w:tc>
          <w:tcPr>
            <w:tcW w:w="832" w:type="dxa"/>
            <w:vAlign w:val="top"/>
          </w:tcPr>
          <w:p w14:paraId="775E798E">
            <w:pPr>
              <w:spacing w:before="108" w:line="188" w:lineRule="auto"/>
              <w:ind w:left="10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3×60000</w:t>
            </w:r>
          </w:p>
        </w:tc>
        <w:tc>
          <w:tcPr>
            <w:tcW w:w="759" w:type="dxa"/>
            <w:vAlign w:val="top"/>
          </w:tcPr>
          <w:p w14:paraId="62E39F52">
            <w:pPr>
              <w:pStyle w:val="6"/>
              <w:spacing w:before="77" w:line="220" w:lineRule="auto"/>
              <w:ind w:left="208"/>
              <w:rPr>
                <w:sz w:val="18"/>
                <w:szCs w:val="18"/>
              </w:rPr>
            </w:pPr>
            <w:r>
              <w:rPr>
                <w:spacing w:val="-6"/>
                <w:sz w:val="18"/>
                <w:szCs w:val="18"/>
              </w:rPr>
              <w:t>常温</w:t>
            </w:r>
          </w:p>
        </w:tc>
        <w:tc>
          <w:tcPr>
            <w:tcW w:w="882" w:type="dxa"/>
            <w:vAlign w:val="top"/>
          </w:tcPr>
          <w:p w14:paraId="14941FD3">
            <w:pPr>
              <w:spacing w:before="108"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3F67122D">
            <w:pPr>
              <w:pStyle w:val="6"/>
              <w:spacing w:before="77" w:line="220" w:lineRule="auto"/>
              <w:ind w:left="105"/>
              <w:rPr>
                <w:sz w:val="18"/>
                <w:szCs w:val="18"/>
              </w:rPr>
            </w:pPr>
            <w:r>
              <w:rPr>
                <w:spacing w:val="-6"/>
                <w:sz w:val="18"/>
                <w:szCs w:val="18"/>
              </w:rPr>
              <w:t>正常</w:t>
            </w:r>
          </w:p>
        </w:tc>
        <w:tc>
          <w:tcPr>
            <w:tcW w:w="876" w:type="dxa"/>
            <w:vAlign w:val="top"/>
          </w:tcPr>
          <w:p w14:paraId="2843A98B">
            <w:pPr>
              <w:spacing w:before="108"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515BA732">
            <w:pPr>
              <w:rPr>
                <w:rFonts w:ascii="Arial"/>
                <w:sz w:val="21"/>
              </w:rPr>
            </w:pPr>
          </w:p>
        </w:tc>
        <w:tc>
          <w:tcPr>
            <w:tcW w:w="812" w:type="dxa"/>
            <w:vAlign w:val="top"/>
          </w:tcPr>
          <w:p w14:paraId="1DF58406">
            <w:pPr>
              <w:rPr>
                <w:rFonts w:ascii="Arial"/>
                <w:sz w:val="21"/>
              </w:rPr>
            </w:pPr>
          </w:p>
        </w:tc>
        <w:tc>
          <w:tcPr>
            <w:tcW w:w="851" w:type="dxa"/>
            <w:vAlign w:val="top"/>
          </w:tcPr>
          <w:p w14:paraId="287EE114">
            <w:pPr>
              <w:spacing w:before="108"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2D564005">
            <w:pPr>
              <w:rPr>
                <w:rFonts w:ascii="Arial"/>
                <w:sz w:val="21"/>
              </w:rPr>
            </w:pPr>
          </w:p>
        </w:tc>
      </w:tr>
      <w:tr w14:paraId="573968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535" w:type="dxa"/>
            <w:tcBorders>
              <w:left w:val="nil"/>
            </w:tcBorders>
            <w:vAlign w:val="top"/>
          </w:tcPr>
          <w:p w14:paraId="6D1C438D">
            <w:pPr>
              <w:spacing w:before="111"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DA007</w:t>
            </w:r>
          </w:p>
        </w:tc>
        <w:tc>
          <w:tcPr>
            <w:tcW w:w="2445" w:type="dxa"/>
            <w:vAlign w:val="top"/>
          </w:tcPr>
          <w:p w14:paraId="30382AEE">
            <w:pPr>
              <w:pStyle w:val="6"/>
              <w:spacing w:before="80" w:line="219" w:lineRule="auto"/>
              <w:ind w:left="236"/>
              <w:rPr>
                <w:sz w:val="18"/>
                <w:szCs w:val="18"/>
              </w:rPr>
            </w:pPr>
            <w:r>
              <w:rPr>
                <w:spacing w:val="-1"/>
                <w:sz w:val="18"/>
                <w:szCs w:val="18"/>
              </w:rPr>
              <w:t>锰硅电炉配料、加料粉尘</w:t>
            </w:r>
          </w:p>
        </w:tc>
        <w:tc>
          <w:tcPr>
            <w:tcW w:w="714" w:type="dxa"/>
            <w:vAlign w:val="top"/>
          </w:tcPr>
          <w:p w14:paraId="3132DC81">
            <w:pPr>
              <w:spacing w:before="109"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376</w:t>
            </w:r>
          </w:p>
        </w:tc>
        <w:tc>
          <w:tcPr>
            <w:tcW w:w="683" w:type="dxa"/>
            <w:vAlign w:val="top"/>
          </w:tcPr>
          <w:p w14:paraId="198139C6">
            <w:pPr>
              <w:spacing w:before="109"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-621</w:t>
            </w:r>
          </w:p>
        </w:tc>
        <w:tc>
          <w:tcPr>
            <w:tcW w:w="1044" w:type="dxa"/>
            <w:vAlign w:val="top"/>
          </w:tcPr>
          <w:p w14:paraId="1B6D33B7">
            <w:pPr>
              <w:spacing w:before="109"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1146</w:t>
            </w:r>
          </w:p>
        </w:tc>
        <w:tc>
          <w:tcPr>
            <w:tcW w:w="776" w:type="dxa"/>
            <w:vAlign w:val="top"/>
          </w:tcPr>
          <w:p w14:paraId="4CE304AF">
            <w:pPr>
              <w:spacing w:before="109"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608C5D2D">
            <w:pPr>
              <w:spacing w:before="109"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w:t>
            </w:r>
          </w:p>
        </w:tc>
        <w:tc>
          <w:tcPr>
            <w:tcW w:w="832" w:type="dxa"/>
            <w:vAlign w:val="top"/>
          </w:tcPr>
          <w:p w14:paraId="6F166A38">
            <w:pPr>
              <w:spacing w:before="109" w:line="188" w:lineRule="auto"/>
              <w:ind w:left="10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3×60000</w:t>
            </w:r>
          </w:p>
        </w:tc>
        <w:tc>
          <w:tcPr>
            <w:tcW w:w="759" w:type="dxa"/>
            <w:vAlign w:val="top"/>
          </w:tcPr>
          <w:p w14:paraId="70E33F3B">
            <w:pPr>
              <w:pStyle w:val="6"/>
              <w:spacing w:before="80" w:line="220" w:lineRule="auto"/>
              <w:ind w:left="208"/>
              <w:rPr>
                <w:sz w:val="18"/>
                <w:szCs w:val="18"/>
              </w:rPr>
            </w:pPr>
            <w:r>
              <w:rPr>
                <w:spacing w:val="-6"/>
                <w:sz w:val="18"/>
                <w:szCs w:val="18"/>
              </w:rPr>
              <w:t>常温</w:t>
            </w:r>
          </w:p>
        </w:tc>
        <w:tc>
          <w:tcPr>
            <w:tcW w:w="882" w:type="dxa"/>
            <w:vAlign w:val="top"/>
          </w:tcPr>
          <w:p w14:paraId="5EEE4710">
            <w:pPr>
              <w:spacing w:before="109"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vAlign w:val="top"/>
          </w:tcPr>
          <w:p w14:paraId="3BA91A75">
            <w:pPr>
              <w:pStyle w:val="6"/>
              <w:spacing w:before="80" w:line="220" w:lineRule="auto"/>
              <w:ind w:left="105"/>
              <w:rPr>
                <w:sz w:val="18"/>
                <w:szCs w:val="18"/>
              </w:rPr>
            </w:pPr>
            <w:r>
              <w:rPr>
                <w:spacing w:val="-6"/>
                <w:sz w:val="18"/>
                <w:szCs w:val="18"/>
              </w:rPr>
              <w:t>正常</w:t>
            </w:r>
          </w:p>
        </w:tc>
        <w:tc>
          <w:tcPr>
            <w:tcW w:w="876" w:type="dxa"/>
            <w:vAlign w:val="top"/>
          </w:tcPr>
          <w:p w14:paraId="5B55F731">
            <w:pPr>
              <w:spacing w:before="109"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64A8B024">
            <w:pPr>
              <w:rPr>
                <w:rFonts w:ascii="Arial"/>
                <w:sz w:val="21"/>
              </w:rPr>
            </w:pPr>
          </w:p>
        </w:tc>
        <w:tc>
          <w:tcPr>
            <w:tcW w:w="812" w:type="dxa"/>
            <w:vAlign w:val="top"/>
          </w:tcPr>
          <w:p w14:paraId="15EBEBC3">
            <w:pPr>
              <w:rPr>
                <w:rFonts w:ascii="Arial"/>
                <w:sz w:val="21"/>
              </w:rPr>
            </w:pPr>
          </w:p>
        </w:tc>
        <w:tc>
          <w:tcPr>
            <w:tcW w:w="851" w:type="dxa"/>
            <w:vAlign w:val="top"/>
          </w:tcPr>
          <w:p w14:paraId="6A666DE5">
            <w:pPr>
              <w:spacing w:before="111"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44180C04">
            <w:pPr>
              <w:rPr>
                <w:rFonts w:ascii="Arial"/>
                <w:sz w:val="21"/>
              </w:rPr>
            </w:pPr>
          </w:p>
        </w:tc>
      </w:tr>
      <w:tr w14:paraId="4E41EE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535" w:type="dxa"/>
            <w:tcBorders>
              <w:left w:val="nil"/>
            </w:tcBorders>
            <w:vAlign w:val="top"/>
          </w:tcPr>
          <w:p w14:paraId="520A07C9">
            <w:pPr>
              <w:spacing w:before="113"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DA008</w:t>
            </w:r>
          </w:p>
        </w:tc>
        <w:tc>
          <w:tcPr>
            <w:tcW w:w="2445" w:type="dxa"/>
            <w:vAlign w:val="top"/>
          </w:tcPr>
          <w:p w14:paraId="573E3855">
            <w:pPr>
              <w:pStyle w:val="6"/>
              <w:spacing w:before="81" w:line="219" w:lineRule="auto"/>
              <w:ind w:left="236"/>
              <w:rPr>
                <w:sz w:val="18"/>
                <w:szCs w:val="18"/>
              </w:rPr>
            </w:pPr>
            <w:r>
              <w:rPr>
                <w:spacing w:val="-1"/>
                <w:sz w:val="18"/>
                <w:szCs w:val="18"/>
              </w:rPr>
              <w:t>锰硅出铁出渣及浇铸烟气</w:t>
            </w:r>
          </w:p>
        </w:tc>
        <w:tc>
          <w:tcPr>
            <w:tcW w:w="714" w:type="dxa"/>
            <w:vAlign w:val="top"/>
          </w:tcPr>
          <w:p w14:paraId="106D5D89">
            <w:pPr>
              <w:spacing w:before="110"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124</w:t>
            </w:r>
          </w:p>
        </w:tc>
        <w:tc>
          <w:tcPr>
            <w:tcW w:w="683" w:type="dxa"/>
            <w:vAlign w:val="top"/>
          </w:tcPr>
          <w:p w14:paraId="25B4937E">
            <w:pPr>
              <w:spacing w:before="110"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-420</w:t>
            </w:r>
          </w:p>
        </w:tc>
        <w:tc>
          <w:tcPr>
            <w:tcW w:w="1044" w:type="dxa"/>
            <w:vAlign w:val="top"/>
          </w:tcPr>
          <w:p w14:paraId="682D58FE">
            <w:pPr>
              <w:spacing w:before="110"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1150</w:t>
            </w:r>
          </w:p>
        </w:tc>
        <w:tc>
          <w:tcPr>
            <w:tcW w:w="776" w:type="dxa"/>
            <w:vAlign w:val="top"/>
          </w:tcPr>
          <w:p w14:paraId="1C13EE0D">
            <w:pPr>
              <w:spacing w:before="110"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492E4B42">
            <w:pPr>
              <w:spacing w:before="110"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5283CB2F">
            <w:pPr>
              <w:spacing w:before="110" w:line="188" w:lineRule="auto"/>
              <w:ind w:left="10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6×50000</w:t>
            </w:r>
          </w:p>
        </w:tc>
        <w:tc>
          <w:tcPr>
            <w:tcW w:w="759" w:type="dxa"/>
            <w:vAlign w:val="top"/>
          </w:tcPr>
          <w:p w14:paraId="02DEB84A">
            <w:pPr>
              <w:spacing w:before="110" w:line="188" w:lineRule="auto"/>
              <w:ind w:left="26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515C56B3">
            <w:pPr>
              <w:spacing w:before="110" w:line="188" w:lineRule="auto"/>
              <w:ind w:left="279"/>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7BA51802">
            <w:pPr>
              <w:pStyle w:val="6"/>
              <w:spacing w:before="82" w:line="220" w:lineRule="auto"/>
              <w:ind w:left="105"/>
              <w:rPr>
                <w:sz w:val="18"/>
                <w:szCs w:val="18"/>
              </w:rPr>
            </w:pPr>
            <w:r>
              <w:rPr>
                <w:spacing w:val="-6"/>
                <w:sz w:val="18"/>
                <w:szCs w:val="18"/>
              </w:rPr>
              <w:t>正常</w:t>
            </w:r>
          </w:p>
        </w:tc>
        <w:tc>
          <w:tcPr>
            <w:tcW w:w="876" w:type="dxa"/>
            <w:vAlign w:val="top"/>
          </w:tcPr>
          <w:p w14:paraId="4383221D">
            <w:pPr>
              <w:spacing w:before="110"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4A147712">
            <w:pPr>
              <w:rPr>
                <w:rFonts w:ascii="Arial"/>
                <w:sz w:val="21"/>
              </w:rPr>
            </w:pPr>
          </w:p>
        </w:tc>
        <w:tc>
          <w:tcPr>
            <w:tcW w:w="812" w:type="dxa"/>
            <w:vAlign w:val="top"/>
          </w:tcPr>
          <w:p w14:paraId="06785659">
            <w:pPr>
              <w:rPr>
                <w:rFonts w:ascii="Arial"/>
                <w:sz w:val="21"/>
              </w:rPr>
            </w:pPr>
          </w:p>
        </w:tc>
        <w:tc>
          <w:tcPr>
            <w:tcW w:w="851" w:type="dxa"/>
            <w:vAlign w:val="top"/>
          </w:tcPr>
          <w:p w14:paraId="3F25B165">
            <w:pPr>
              <w:spacing w:before="113"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2B9A1C1F">
            <w:pPr>
              <w:rPr>
                <w:rFonts w:ascii="Arial"/>
                <w:sz w:val="21"/>
              </w:rPr>
            </w:pPr>
          </w:p>
        </w:tc>
      </w:tr>
      <w:tr w14:paraId="04DA67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535" w:type="dxa"/>
            <w:tcBorders>
              <w:left w:val="nil"/>
            </w:tcBorders>
            <w:vAlign w:val="top"/>
          </w:tcPr>
          <w:p w14:paraId="639F2D23">
            <w:pPr>
              <w:spacing w:before="114"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DA009</w:t>
            </w:r>
          </w:p>
        </w:tc>
        <w:tc>
          <w:tcPr>
            <w:tcW w:w="2445" w:type="dxa"/>
            <w:vAlign w:val="top"/>
          </w:tcPr>
          <w:p w14:paraId="1477626F">
            <w:pPr>
              <w:pStyle w:val="6"/>
              <w:spacing w:before="83" w:line="219" w:lineRule="auto"/>
              <w:ind w:left="236"/>
              <w:rPr>
                <w:sz w:val="18"/>
                <w:szCs w:val="18"/>
              </w:rPr>
            </w:pPr>
            <w:r>
              <w:rPr>
                <w:spacing w:val="-1"/>
                <w:sz w:val="18"/>
                <w:szCs w:val="18"/>
              </w:rPr>
              <w:t>锰硅出铁出渣及浇铸烟气</w:t>
            </w:r>
          </w:p>
        </w:tc>
        <w:tc>
          <w:tcPr>
            <w:tcW w:w="714" w:type="dxa"/>
            <w:vAlign w:val="top"/>
          </w:tcPr>
          <w:p w14:paraId="44FAC69C">
            <w:pPr>
              <w:spacing w:before="112"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126</w:t>
            </w:r>
          </w:p>
        </w:tc>
        <w:tc>
          <w:tcPr>
            <w:tcW w:w="683" w:type="dxa"/>
            <w:vAlign w:val="top"/>
          </w:tcPr>
          <w:p w14:paraId="5546BAFC">
            <w:pPr>
              <w:spacing w:before="112"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-459</w:t>
            </w:r>
          </w:p>
        </w:tc>
        <w:tc>
          <w:tcPr>
            <w:tcW w:w="1044" w:type="dxa"/>
            <w:vAlign w:val="top"/>
          </w:tcPr>
          <w:p w14:paraId="3EEA16CD">
            <w:pPr>
              <w:spacing w:before="112"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1149</w:t>
            </w:r>
          </w:p>
        </w:tc>
        <w:tc>
          <w:tcPr>
            <w:tcW w:w="776" w:type="dxa"/>
            <w:vAlign w:val="top"/>
          </w:tcPr>
          <w:p w14:paraId="21BD0A10">
            <w:pPr>
              <w:spacing w:before="112"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1834F28E">
            <w:pPr>
              <w:spacing w:before="112"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516137E6">
            <w:pPr>
              <w:spacing w:before="112" w:line="188" w:lineRule="auto"/>
              <w:ind w:left="10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6×50000</w:t>
            </w:r>
          </w:p>
        </w:tc>
        <w:tc>
          <w:tcPr>
            <w:tcW w:w="759" w:type="dxa"/>
            <w:vAlign w:val="top"/>
          </w:tcPr>
          <w:p w14:paraId="673D41F0">
            <w:pPr>
              <w:spacing w:before="112" w:line="188" w:lineRule="auto"/>
              <w:ind w:left="26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35DF4D86">
            <w:pPr>
              <w:spacing w:before="112" w:line="188" w:lineRule="auto"/>
              <w:ind w:left="279"/>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4258BB99">
            <w:pPr>
              <w:pStyle w:val="6"/>
              <w:spacing w:before="83" w:line="220" w:lineRule="auto"/>
              <w:ind w:left="105"/>
              <w:rPr>
                <w:sz w:val="18"/>
                <w:szCs w:val="18"/>
              </w:rPr>
            </w:pPr>
            <w:r>
              <w:rPr>
                <w:spacing w:val="-6"/>
                <w:sz w:val="18"/>
                <w:szCs w:val="18"/>
              </w:rPr>
              <w:t>正常</w:t>
            </w:r>
          </w:p>
        </w:tc>
        <w:tc>
          <w:tcPr>
            <w:tcW w:w="876" w:type="dxa"/>
            <w:vAlign w:val="top"/>
          </w:tcPr>
          <w:p w14:paraId="526D7D40">
            <w:pPr>
              <w:spacing w:before="112"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67A285D7">
            <w:pPr>
              <w:rPr>
                <w:rFonts w:ascii="Arial"/>
                <w:sz w:val="21"/>
              </w:rPr>
            </w:pPr>
          </w:p>
        </w:tc>
        <w:tc>
          <w:tcPr>
            <w:tcW w:w="812" w:type="dxa"/>
            <w:vAlign w:val="top"/>
          </w:tcPr>
          <w:p w14:paraId="7D92014E">
            <w:pPr>
              <w:rPr>
                <w:rFonts w:ascii="Arial"/>
                <w:sz w:val="21"/>
              </w:rPr>
            </w:pPr>
          </w:p>
        </w:tc>
        <w:tc>
          <w:tcPr>
            <w:tcW w:w="851" w:type="dxa"/>
            <w:vAlign w:val="top"/>
          </w:tcPr>
          <w:p w14:paraId="24F90CCA">
            <w:pPr>
              <w:spacing w:before="114"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33C61585">
            <w:pPr>
              <w:rPr>
                <w:rFonts w:ascii="Arial"/>
                <w:sz w:val="21"/>
              </w:rPr>
            </w:pPr>
          </w:p>
        </w:tc>
      </w:tr>
      <w:tr w14:paraId="6C2781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535" w:type="dxa"/>
            <w:tcBorders>
              <w:left w:val="nil"/>
            </w:tcBorders>
            <w:vAlign w:val="top"/>
          </w:tcPr>
          <w:p w14:paraId="7112822F">
            <w:pPr>
              <w:spacing w:before="115"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DA010</w:t>
            </w:r>
          </w:p>
        </w:tc>
        <w:tc>
          <w:tcPr>
            <w:tcW w:w="2445" w:type="dxa"/>
            <w:vAlign w:val="top"/>
          </w:tcPr>
          <w:p w14:paraId="00ACBA3F">
            <w:pPr>
              <w:pStyle w:val="6"/>
              <w:spacing w:before="83" w:line="219" w:lineRule="auto"/>
              <w:ind w:left="236"/>
              <w:rPr>
                <w:sz w:val="18"/>
                <w:szCs w:val="18"/>
              </w:rPr>
            </w:pPr>
            <w:r>
              <w:rPr>
                <w:spacing w:val="-1"/>
                <w:sz w:val="18"/>
                <w:szCs w:val="18"/>
              </w:rPr>
              <w:t>锰硅出铁出渣及浇铸烟气</w:t>
            </w:r>
          </w:p>
        </w:tc>
        <w:tc>
          <w:tcPr>
            <w:tcW w:w="714" w:type="dxa"/>
            <w:vAlign w:val="top"/>
          </w:tcPr>
          <w:p w14:paraId="59BBE142">
            <w:pPr>
              <w:spacing w:before="115"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131</w:t>
            </w:r>
          </w:p>
        </w:tc>
        <w:tc>
          <w:tcPr>
            <w:tcW w:w="683" w:type="dxa"/>
            <w:vAlign w:val="top"/>
          </w:tcPr>
          <w:p w14:paraId="0B09C5C6">
            <w:pPr>
              <w:spacing w:before="115"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-521</w:t>
            </w:r>
          </w:p>
        </w:tc>
        <w:tc>
          <w:tcPr>
            <w:tcW w:w="1044" w:type="dxa"/>
            <w:vAlign w:val="top"/>
          </w:tcPr>
          <w:p w14:paraId="539D5597">
            <w:pPr>
              <w:spacing w:before="115"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1146</w:t>
            </w:r>
          </w:p>
        </w:tc>
        <w:tc>
          <w:tcPr>
            <w:tcW w:w="776" w:type="dxa"/>
            <w:vAlign w:val="top"/>
          </w:tcPr>
          <w:p w14:paraId="34A30990">
            <w:pPr>
              <w:spacing w:before="115"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28369042">
            <w:pPr>
              <w:spacing w:before="115"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31676931">
            <w:pPr>
              <w:spacing w:before="115" w:line="188" w:lineRule="auto"/>
              <w:ind w:left="10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6×50000</w:t>
            </w:r>
          </w:p>
        </w:tc>
        <w:tc>
          <w:tcPr>
            <w:tcW w:w="759" w:type="dxa"/>
            <w:vAlign w:val="top"/>
          </w:tcPr>
          <w:p w14:paraId="09D31F6D">
            <w:pPr>
              <w:spacing w:before="115" w:line="188" w:lineRule="auto"/>
              <w:ind w:left="26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3B622720">
            <w:pPr>
              <w:spacing w:before="115" w:line="188" w:lineRule="auto"/>
              <w:ind w:left="279"/>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239E3F5F">
            <w:pPr>
              <w:pStyle w:val="6"/>
              <w:spacing w:before="84" w:line="220" w:lineRule="auto"/>
              <w:ind w:left="105"/>
              <w:rPr>
                <w:sz w:val="18"/>
                <w:szCs w:val="18"/>
              </w:rPr>
            </w:pPr>
            <w:r>
              <w:rPr>
                <w:spacing w:val="-6"/>
                <w:sz w:val="18"/>
                <w:szCs w:val="18"/>
              </w:rPr>
              <w:t>正常</w:t>
            </w:r>
          </w:p>
        </w:tc>
        <w:tc>
          <w:tcPr>
            <w:tcW w:w="876" w:type="dxa"/>
            <w:vAlign w:val="top"/>
          </w:tcPr>
          <w:p w14:paraId="1B600610">
            <w:pPr>
              <w:spacing w:before="115"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5DC731BB">
            <w:pPr>
              <w:rPr>
                <w:rFonts w:ascii="Arial"/>
                <w:sz w:val="21"/>
              </w:rPr>
            </w:pPr>
          </w:p>
        </w:tc>
        <w:tc>
          <w:tcPr>
            <w:tcW w:w="812" w:type="dxa"/>
            <w:vAlign w:val="top"/>
          </w:tcPr>
          <w:p w14:paraId="18BCA3BD">
            <w:pPr>
              <w:rPr>
                <w:rFonts w:ascii="Arial"/>
                <w:sz w:val="21"/>
              </w:rPr>
            </w:pPr>
          </w:p>
        </w:tc>
        <w:tc>
          <w:tcPr>
            <w:tcW w:w="851" w:type="dxa"/>
            <w:vAlign w:val="top"/>
          </w:tcPr>
          <w:p w14:paraId="3A7BFC0A">
            <w:pPr>
              <w:spacing w:before="115"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1F9C38F2">
            <w:pPr>
              <w:rPr>
                <w:rFonts w:ascii="Arial"/>
                <w:sz w:val="21"/>
              </w:rPr>
            </w:pPr>
          </w:p>
        </w:tc>
      </w:tr>
      <w:tr w14:paraId="50A9EB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535" w:type="dxa"/>
            <w:tcBorders>
              <w:left w:val="nil"/>
            </w:tcBorders>
            <w:vAlign w:val="top"/>
          </w:tcPr>
          <w:p w14:paraId="1C51F33A">
            <w:pPr>
              <w:spacing w:before="116" w:line="188" w:lineRule="auto"/>
              <w:jc w:val="right"/>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DA011</w:t>
            </w:r>
          </w:p>
        </w:tc>
        <w:tc>
          <w:tcPr>
            <w:tcW w:w="2445" w:type="dxa"/>
            <w:vAlign w:val="top"/>
          </w:tcPr>
          <w:p w14:paraId="5911CB05">
            <w:pPr>
              <w:pStyle w:val="6"/>
              <w:spacing w:before="86" w:line="219" w:lineRule="auto"/>
              <w:ind w:left="236"/>
              <w:rPr>
                <w:sz w:val="18"/>
                <w:szCs w:val="18"/>
              </w:rPr>
            </w:pPr>
            <w:r>
              <w:rPr>
                <w:spacing w:val="-1"/>
                <w:sz w:val="18"/>
                <w:szCs w:val="18"/>
              </w:rPr>
              <w:t>锰硅出铁出渣及浇铸烟气</w:t>
            </w:r>
          </w:p>
        </w:tc>
        <w:tc>
          <w:tcPr>
            <w:tcW w:w="714" w:type="dxa"/>
            <w:vAlign w:val="top"/>
          </w:tcPr>
          <w:p w14:paraId="4FE6E3AA">
            <w:pPr>
              <w:spacing w:before="116"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137</w:t>
            </w:r>
          </w:p>
        </w:tc>
        <w:tc>
          <w:tcPr>
            <w:tcW w:w="683" w:type="dxa"/>
            <w:vAlign w:val="top"/>
          </w:tcPr>
          <w:p w14:paraId="550BF5A5">
            <w:pPr>
              <w:spacing w:before="116"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-566</w:t>
            </w:r>
          </w:p>
        </w:tc>
        <w:tc>
          <w:tcPr>
            <w:tcW w:w="1044" w:type="dxa"/>
            <w:vAlign w:val="top"/>
          </w:tcPr>
          <w:p w14:paraId="12D6C833">
            <w:pPr>
              <w:spacing w:before="116"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1147</w:t>
            </w:r>
          </w:p>
        </w:tc>
        <w:tc>
          <w:tcPr>
            <w:tcW w:w="776" w:type="dxa"/>
            <w:vAlign w:val="top"/>
          </w:tcPr>
          <w:p w14:paraId="4D3B3199">
            <w:pPr>
              <w:spacing w:before="116"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7E8B9763">
            <w:pPr>
              <w:spacing w:before="116"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0182AB72">
            <w:pPr>
              <w:spacing w:before="116" w:line="188" w:lineRule="auto"/>
              <w:ind w:left="10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6×50000</w:t>
            </w:r>
          </w:p>
        </w:tc>
        <w:tc>
          <w:tcPr>
            <w:tcW w:w="759" w:type="dxa"/>
            <w:vAlign w:val="top"/>
          </w:tcPr>
          <w:p w14:paraId="72146077">
            <w:pPr>
              <w:spacing w:before="116" w:line="188" w:lineRule="auto"/>
              <w:ind w:left="26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24192AC9">
            <w:pPr>
              <w:spacing w:before="116" w:line="188" w:lineRule="auto"/>
              <w:ind w:left="279"/>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654A56EE">
            <w:pPr>
              <w:pStyle w:val="6"/>
              <w:spacing w:before="84" w:line="220" w:lineRule="auto"/>
              <w:ind w:left="105"/>
              <w:rPr>
                <w:sz w:val="18"/>
                <w:szCs w:val="18"/>
              </w:rPr>
            </w:pPr>
            <w:r>
              <w:rPr>
                <w:spacing w:val="-6"/>
                <w:sz w:val="18"/>
                <w:szCs w:val="18"/>
              </w:rPr>
              <w:t>正常</w:t>
            </w:r>
          </w:p>
        </w:tc>
        <w:tc>
          <w:tcPr>
            <w:tcW w:w="876" w:type="dxa"/>
            <w:vAlign w:val="top"/>
          </w:tcPr>
          <w:p w14:paraId="093CDEB1">
            <w:pPr>
              <w:spacing w:before="116"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1081A551">
            <w:pPr>
              <w:rPr>
                <w:rFonts w:ascii="Arial"/>
                <w:sz w:val="21"/>
              </w:rPr>
            </w:pPr>
          </w:p>
        </w:tc>
        <w:tc>
          <w:tcPr>
            <w:tcW w:w="812" w:type="dxa"/>
            <w:vAlign w:val="top"/>
          </w:tcPr>
          <w:p w14:paraId="16C85EB6">
            <w:pPr>
              <w:rPr>
                <w:rFonts w:ascii="Arial"/>
                <w:sz w:val="21"/>
              </w:rPr>
            </w:pPr>
          </w:p>
        </w:tc>
        <w:tc>
          <w:tcPr>
            <w:tcW w:w="851" w:type="dxa"/>
            <w:vAlign w:val="top"/>
          </w:tcPr>
          <w:p w14:paraId="5099658F">
            <w:pPr>
              <w:spacing w:before="116"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64C4AA5F">
            <w:pPr>
              <w:rPr>
                <w:rFonts w:ascii="Arial"/>
                <w:sz w:val="21"/>
              </w:rPr>
            </w:pPr>
          </w:p>
        </w:tc>
      </w:tr>
      <w:tr w14:paraId="2AE48A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535" w:type="dxa"/>
            <w:tcBorders>
              <w:left w:val="nil"/>
            </w:tcBorders>
            <w:vAlign w:val="top"/>
          </w:tcPr>
          <w:p w14:paraId="6C67DF1F">
            <w:pPr>
              <w:spacing w:before="116"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DA012</w:t>
            </w:r>
          </w:p>
        </w:tc>
        <w:tc>
          <w:tcPr>
            <w:tcW w:w="2445" w:type="dxa"/>
            <w:vAlign w:val="top"/>
          </w:tcPr>
          <w:p w14:paraId="54A5ACC9">
            <w:pPr>
              <w:pStyle w:val="6"/>
              <w:spacing w:before="87" w:line="219" w:lineRule="auto"/>
              <w:ind w:left="236"/>
              <w:rPr>
                <w:sz w:val="18"/>
                <w:szCs w:val="18"/>
              </w:rPr>
            </w:pPr>
            <w:r>
              <w:rPr>
                <w:spacing w:val="-1"/>
                <w:sz w:val="18"/>
                <w:szCs w:val="18"/>
              </w:rPr>
              <w:t>锰硅出铁出渣及浇铸烟气</w:t>
            </w:r>
          </w:p>
        </w:tc>
        <w:tc>
          <w:tcPr>
            <w:tcW w:w="714" w:type="dxa"/>
            <w:vAlign w:val="top"/>
          </w:tcPr>
          <w:p w14:paraId="0193CBEE">
            <w:pPr>
              <w:spacing w:before="116"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140</w:t>
            </w:r>
          </w:p>
        </w:tc>
        <w:tc>
          <w:tcPr>
            <w:tcW w:w="683" w:type="dxa"/>
            <w:vAlign w:val="top"/>
          </w:tcPr>
          <w:p w14:paraId="133FBCA3">
            <w:pPr>
              <w:spacing w:before="116"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-605</w:t>
            </w:r>
          </w:p>
        </w:tc>
        <w:tc>
          <w:tcPr>
            <w:tcW w:w="1044" w:type="dxa"/>
            <w:vAlign w:val="top"/>
          </w:tcPr>
          <w:p w14:paraId="2D39AFEE">
            <w:pPr>
              <w:spacing w:before="116"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1147</w:t>
            </w:r>
          </w:p>
        </w:tc>
        <w:tc>
          <w:tcPr>
            <w:tcW w:w="776" w:type="dxa"/>
            <w:vAlign w:val="top"/>
          </w:tcPr>
          <w:p w14:paraId="37D3E5A1">
            <w:pPr>
              <w:spacing w:before="116"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22EE5666">
            <w:pPr>
              <w:spacing w:before="116"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42A2FB0E">
            <w:pPr>
              <w:spacing w:before="116" w:line="188" w:lineRule="auto"/>
              <w:ind w:left="10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6×50000</w:t>
            </w:r>
          </w:p>
        </w:tc>
        <w:tc>
          <w:tcPr>
            <w:tcW w:w="759" w:type="dxa"/>
            <w:vAlign w:val="top"/>
          </w:tcPr>
          <w:p w14:paraId="6A1E3338">
            <w:pPr>
              <w:spacing w:before="116" w:line="188" w:lineRule="auto"/>
              <w:ind w:left="26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03437E91">
            <w:pPr>
              <w:spacing w:before="116" w:line="188" w:lineRule="auto"/>
              <w:ind w:left="279"/>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78BFF88A">
            <w:pPr>
              <w:pStyle w:val="6"/>
              <w:spacing w:before="85" w:line="220" w:lineRule="auto"/>
              <w:ind w:left="105"/>
              <w:rPr>
                <w:sz w:val="18"/>
                <w:szCs w:val="18"/>
              </w:rPr>
            </w:pPr>
            <w:r>
              <w:rPr>
                <w:spacing w:val="-6"/>
                <w:sz w:val="18"/>
                <w:szCs w:val="18"/>
              </w:rPr>
              <w:t>正常</w:t>
            </w:r>
          </w:p>
        </w:tc>
        <w:tc>
          <w:tcPr>
            <w:tcW w:w="876" w:type="dxa"/>
            <w:vAlign w:val="top"/>
          </w:tcPr>
          <w:p w14:paraId="42C4BB1C">
            <w:pPr>
              <w:spacing w:before="116"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77402136">
            <w:pPr>
              <w:rPr>
                <w:rFonts w:ascii="Arial"/>
                <w:sz w:val="21"/>
              </w:rPr>
            </w:pPr>
          </w:p>
        </w:tc>
        <w:tc>
          <w:tcPr>
            <w:tcW w:w="812" w:type="dxa"/>
            <w:vAlign w:val="top"/>
          </w:tcPr>
          <w:p w14:paraId="77433F8D">
            <w:pPr>
              <w:rPr>
                <w:rFonts w:ascii="Arial"/>
                <w:sz w:val="21"/>
              </w:rPr>
            </w:pPr>
          </w:p>
        </w:tc>
        <w:tc>
          <w:tcPr>
            <w:tcW w:w="851" w:type="dxa"/>
            <w:vAlign w:val="top"/>
          </w:tcPr>
          <w:p w14:paraId="56E050F2">
            <w:pPr>
              <w:spacing w:before="116"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5C354B69">
            <w:pPr>
              <w:rPr>
                <w:rFonts w:ascii="Arial"/>
                <w:sz w:val="21"/>
              </w:rPr>
            </w:pPr>
          </w:p>
        </w:tc>
      </w:tr>
      <w:tr w14:paraId="5494E3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535" w:type="dxa"/>
            <w:tcBorders>
              <w:left w:val="nil"/>
            </w:tcBorders>
            <w:vAlign w:val="top"/>
          </w:tcPr>
          <w:p w14:paraId="18035E83">
            <w:pPr>
              <w:spacing w:before="119"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DA013</w:t>
            </w:r>
          </w:p>
        </w:tc>
        <w:tc>
          <w:tcPr>
            <w:tcW w:w="2445" w:type="dxa"/>
            <w:vAlign w:val="top"/>
          </w:tcPr>
          <w:p w14:paraId="51381CDB">
            <w:pPr>
              <w:pStyle w:val="6"/>
              <w:spacing w:before="88" w:line="219" w:lineRule="auto"/>
              <w:ind w:left="236"/>
              <w:rPr>
                <w:sz w:val="18"/>
                <w:szCs w:val="18"/>
              </w:rPr>
            </w:pPr>
            <w:r>
              <w:rPr>
                <w:spacing w:val="-1"/>
                <w:sz w:val="18"/>
                <w:szCs w:val="18"/>
              </w:rPr>
              <w:t>锰硅出铁出渣及浇铸烟气</w:t>
            </w:r>
          </w:p>
        </w:tc>
        <w:tc>
          <w:tcPr>
            <w:tcW w:w="714" w:type="dxa"/>
            <w:vAlign w:val="top"/>
          </w:tcPr>
          <w:p w14:paraId="370ACE59">
            <w:pPr>
              <w:spacing w:before="117"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144</w:t>
            </w:r>
          </w:p>
        </w:tc>
        <w:tc>
          <w:tcPr>
            <w:tcW w:w="683" w:type="dxa"/>
            <w:vAlign w:val="top"/>
          </w:tcPr>
          <w:p w14:paraId="4D6A6519">
            <w:pPr>
              <w:spacing w:before="117"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-636</w:t>
            </w:r>
          </w:p>
        </w:tc>
        <w:tc>
          <w:tcPr>
            <w:tcW w:w="1044" w:type="dxa"/>
            <w:vAlign w:val="top"/>
          </w:tcPr>
          <w:p w14:paraId="3272BC20">
            <w:pPr>
              <w:spacing w:before="117"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1147</w:t>
            </w:r>
          </w:p>
        </w:tc>
        <w:tc>
          <w:tcPr>
            <w:tcW w:w="776" w:type="dxa"/>
            <w:vAlign w:val="top"/>
          </w:tcPr>
          <w:p w14:paraId="62DE6BDA">
            <w:pPr>
              <w:spacing w:before="117" w:line="188"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p>
        </w:tc>
        <w:tc>
          <w:tcPr>
            <w:tcW w:w="647" w:type="dxa"/>
            <w:vAlign w:val="top"/>
          </w:tcPr>
          <w:p w14:paraId="65A1199B">
            <w:pPr>
              <w:spacing w:before="117" w:line="188" w:lineRule="auto"/>
              <w:ind w:left="2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832" w:type="dxa"/>
            <w:vAlign w:val="top"/>
          </w:tcPr>
          <w:p w14:paraId="0CE844DE">
            <w:pPr>
              <w:spacing w:before="117" w:line="188" w:lineRule="auto"/>
              <w:ind w:left="10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6×50000</w:t>
            </w:r>
          </w:p>
        </w:tc>
        <w:tc>
          <w:tcPr>
            <w:tcW w:w="759" w:type="dxa"/>
            <w:vAlign w:val="top"/>
          </w:tcPr>
          <w:p w14:paraId="10A0DA03">
            <w:pPr>
              <w:spacing w:before="117" w:line="188" w:lineRule="auto"/>
              <w:ind w:left="26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vAlign w:val="top"/>
          </w:tcPr>
          <w:p w14:paraId="339955EC">
            <w:pPr>
              <w:spacing w:before="117" w:line="188" w:lineRule="auto"/>
              <w:ind w:left="279"/>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1665</w:t>
            </w:r>
          </w:p>
        </w:tc>
        <w:tc>
          <w:tcPr>
            <w:tcW w:w="552" w:type="dxa"/>
            <w:vAlign w:val="top"/>
          </w:tcPr>
          <w:p w14:paraId="0DB39726">
            <w:pPr>
              <w:pStyle w:val="6"/>
              <w:spacing w:before="88" w:line="220" w:lineRule="auto"/>
              <w:ind w:left="105"/>
              <w:rPr>
                <w:sz w:val="18"/>
                <w:szCs w:val="18"/>
              </w:rPr>
            </w:pPr>
            <w:r>
              <w:rPr>
                <w:spacing w:val="-6"/>
                <w:sz w:val="18"/>
                <w:szCs w:val="18"/>
              </w:rPr>
              <w:t>正常</w:t>
            </w:r>
          </w:p>
        </w:tc>
        <w:tc>
          <w:tcPr>
            <w:tcW w:w="876" w:type="dxa"/>
            <w:vAlign w:val="top"/>
          </w:tcPr>
          <w:p w14:paraId="1D04BCBC">
            <w:pPr>
              <w:spacing w:before="117"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0.17</w:t>
            </w:r>
          </w:p>
        </w:tc>
        <w:tc>
          <w:tcPr>
            <w:tcW w:w="826" w:type="dxa"/>
            <w:vAlign w:val="top"/>
          </w:tcPr>
          <w:p w14:paraId="6C8E7D43">
            <w:pPr>
              <w:rPr>
                <w:rFonts w:ascii="Arial"/>
                <w:sz w:val="21"/>
              </w:rPr>
            </w:pPr>
          </w:p>
        </w:tc>
        <w:tc>
          <w:tcPr>
            <w:tcW w:w="812" w:type="dxa"/>
            <w:vAlign w:val="top"/>
          </w:tcPr>
          <w:p w14:paraId="1FDBDA8A">
            <w:pPr>
              <w:rPr>
                <w:rFonts w:ascii="Arial"/>
                <w:sz w:val="21"/>
              </w:rPr>
            </w:pPr>
          </w:p>
        </w:tc>
        <w:tc>
          <w:tcPr>
            <w:tcW w:w="851" w:type="dxa"/>
            <w:vAlign w:val="top"/>
          </w:tcPr>
          <w:p w14:paraId="54DA3EBA">
            <w:pPr>
              <w:spacing w:before="119" w:line="188" w:lineRule="auto"/>
              <w:ind w:left="22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0.034</w:t>
            </w:r>
          </w:p>
        </w:tc>
        <w:tc>
          <w:tcPr>
            <w:tcW w:w="759" w:type="dxa"/>
            <w:tcBorders>
              <w:right w:val="nil"/>
            </w:tcBorders>
            <w:vAlign w:val="top"/>
          </w:tcPr>
          <w:p w14:paraId="72A4FBF1">
            <w:pPr>
              <w:rPr>
                <w:rFonts w:ascii="Arial"/>
                <w:sz w:val="21"/>
              </w:rPr>
            </w:pPr>
          </w:p>
        </w:tc>
      </w:tr>
      <w:tr w14:paraId="331AF9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535" w:type="dxa"/>
            <w:tcBorders>
              <w:left w:val="nil"/>
              <w:bottom w:val="single" w:color="000000" w:sz="10" w:space="0"/>
            </w:tcBorders>
            <w:vAlign w:val="top"/>
          </w:tcPr>
          <w:p w14:paraId="39BEB954">
            <w:pPr>
              <w:spacing w:before="121" w:line="188" w:lineRule="auto"/>
              <w:ind w:left="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DA014</w:t>
            </w:r>
          </w:p>
        </w:tc>
        <w:tc>
          <w:tcPr>
            <w:tcW w:w="2445" w:type="dxa"/>
            <w:tcBorders>
              <w:bottom w:val="single" w:color="000000" w:sz="10" w:space="0"/>
            </w:tcBorders>
            <w:vAlign w:val="top"/>
          </w:tcPr>
          <w:p w14:paraId="773A71D6">
            <w:pPr>
              <w:pStyle w:val="6"/>
              <w:spacing w:before="89" w:line="218" w:lineRule="auto"/>
              <w:ind w:left="688"/>
              <w:rPr>
                <w:sz w:val="18"/>
                <w:szCs w:val="18"/>
              </w:rPr>
            </w:pPr>
            <w:r>
              <w:rPr>
                <w:spacing w:val="-2"/>
                <w:sz w:val="18"/>
                <w:szCs w:val="18"/>
              </w:rPr>
              <w:t>燃气锅炉废气</w:t>
            </w:r>
          </w:p>
        </w:tc>
        <w:tc>
          <w:tcPr>
            <w:tcW w:w="714" w:type="dxa"/>
            <w:tcBorders>
              <w:bottom w:val="single" w:color="000000" w:sz="10" w:space="0"/>
            </w:tcBorders>
            <w:vAlign w:val="top"/>
          </w:tcPr>
          <w:p w14:paraId="6028788B">
            <w:pPr>
              <w:spacing w:before="118"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398</w:t>
            </w:r>
          </w:p>
        </w:tc>
        <w:tc>
          <w:tcPr>
            <w:tcW w:w="683" w:type="dxa"/>
            <w:tcBorders>
              <w:bottom w:val="single" w:color="000000" w:sz="10" w:space="0"/>
            </w:tcBorders>
            <w:vAlign w:val="top"/>
          </w:tcPr>
          <w:p w14:paraId="19C9DFA5">
            <w:pPr>
              <w:spacing w:before="118" w:line="188" w:lineRule="auto"/>
              <w:ind w:left="18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-192</w:t>
            </w:r>
          </w:p>
        </w:tc>
        <w:tc>
          <w:tcPr>
            <w:tcW w:w="1044" w:type="dxa"/>
            <w:tcBorders>
              <w:bottom w:val="single" w:color="000000" w:sz="10" w:space="0"/>
            </w:tcBorders>
            <w:vAlign w:val="top"/>
          </w:tcPr>
          <w:p w14:paraId="3477735D">
            <w:pPr>
              <w:spacing w:before="118" w:line="188" w:lineRule="auto"/>
              <w:ind w:left="361"/>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1143</w:t>
            </w:r>
          </w:p>
        </w:tc>
        <w:tc>
          <w:tcPr>
            <w:tcW w:w="776" w:type="dxa"/>
            <w:tcBorders>
              <w:bottom w:val="single" w:color="000000" w:sz="10" w:space="0"/>
            </w:tcBorders>
            <w:vAlign w:val="top"/>
          </w:tcPr>
          <w:p w14:paraId="531D1FD2">
            <w:pPr>
              <w:spacing w:before="118" w:line="188" w:lineRule="auto"/>
              <w:ind w:left="29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p>
        </w:tc>
        <w:tc>
          <w:tcPr>
            <w:tcW w:w="647" w:type="dxa"/>
            <w:tcBorders>
              <w:bottom w:val="single" w:color="000000" w:sz="10" w:space="0"/>
            </w:tcBorders>
            <w:vAlign w:val="top"/>
          </w:tcPr>
          <w:p w14:paraId="68B2BF9B">
            <w:pPr>
              <w:spacing w:before="118" w:line="188" w:lineRule="auto"/>
              <w:ind w:left="21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w:t>
            </w:r>
          </w:p>
        </w:tc>
        <w:tc>
          <w:tcPr>
            <w:tcW w:w="832" w:type="dxa"/>
            <w:tcBorders>
              <w:bottom w:val="single" w:color="000000" w:sz="10" w:space="0"/>
            </w:tcBorders>
            <w:vAlign w:val="top"/>
          </w:tcPr>
          <w:p w14:paraId="064EB403">
            <w:pPr>
              <w:spacing w:before="121" w:line="188" w:lineRule="auto"/>
              <w:ind w:left="3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222223.10</w:t>
            </w:r>
          </w:p>
        </w:tc>
        <w:tc>
          <w:tcPr>
            <w:tcW w:w="759" w:type="dxa"/>
            <w:tcBorders>
              <w:bottom w:val="single" w:color="000000" w:sz="10" w:space="0"/>
            </w:tcBorders>
            <w:vAlign w:val="top"/>
          </w:tcPr>
          <w:p w14:paraId="15C618C8">
            <w:pPr>
              <w:spacing w:before="118" w:line="188" w:lineRule="auto"/>
              <w:ind w:left="26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82" w:type="dxa"/>
            <w:tcBorders>
              <w:bottom w:val="single" w:color="000000" w:sz="10" w:space="0"/>
            </w:tcBorders>
            <w:vAlign w:val="top"/>
          </w:tcPr>
          <w:p w14:paraId="59DAFD9F">
            <w:pPr>
              <w:spacing w:before="118" w:line="188" w:lineRule="auto"/>
              <w:ind w:left="26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8000</w:t>
            </w:r>
          </w:p>
        </w:tc>
        <w:tc>
          <w:tcPr>
            <w:tcW w:w="552" w:type="dxa"/>
            <w:tcBorders>
              <w:bottom w:val="single" w:color="000000" w:sz="10" w:space="0"/>
            </w:tcBorders>
            <w:vAlign w:val="top"/>
          </w:tcPr>
          <w:p w14:paraId="65E0A638">
            <w:pPr>
              <w:pStyle w:val="6"/>
              <w:spacing w:before="90" w:line="220" w:lineRule="auto"/>
              <w:ind w:left="105"/>
              <w:rPr>
                <w:sz w:val="18"/>
                <w:szCs w:val="18"/>
              </w:rPr>
            </w:pPr>
            <w:r>
              <w:rPr>
                <w:spacing w:val="-6"/>
                <w:sz w:val="18"/>
                <w:szCs w:val="18"/>
              </w:rPr>
              <w:t>正常</w:t>
            </w:r>
          </w:p>
        </w:tc>
        <w:tc>
          <w:tcPr>
            <w:tcW w:w="876" w:type="dxa"/>
            <w:tcBorders>
              <w:bottom w:val="single" w:color="000000" w:sz="10" w:space="0"/>
            </w:tcBorders>
            <w:vAlign w:val="top"/>
          </w:tcPr>
          <w:p w14:paraId="0A5EAF15">
            <w:pPr>
              <w:spacing w:before="118" w:line="188" w:lineRule="auto"/>
              <w:ind w:left="283"/>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0.58</w:t>
            </w:r>
          </w:p>
        </w:tc>
        <w:tc>
          <w:tcPr>
            <w:tcW w:w="826" w:type="dxa"/>
            <w:tcBorders>
              <w:bottom w:val="single" w:color="000000" w:sz="10" w:space="0"/>
            </w:tcBorders>
            <w:vAlign w:val="top"/>
          </w:tcPr>
          <w:p w14:paraId="3D7394BA">
            <w:pPr>
              <w:spacing w:before="121" w:line="188" w:lineRule="auto"/>
              <w:ind w:left="25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4.42</w:t>
            </w:r>
          </w:p>
        </w:tc>
        <w:tc>
          <w:tcPr>
            <w:tcW w:w="812" w:type="dxa"/>
            <w:tcBorders>
              <w:bottom w:val="single" w:color="000000" w:sz="10" w:space="0"/>
            </w:tcBorders>
            <w:vAlign w:val="top"/>
          </w:tcPr>
          <w:p w14:paraId="774A9520">
            <w:pPr>
              <w:spacing w:before="118" w:line="188" w:lineRule="auto"/>
              <w:ind w:left="220"/>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17.33</w:t>
            </w:r>
          </w:p>
        </w:tc>
        <w:tc>
          <w:tcPr>
            <w:tcW w:w="851" w:type="dxa"/>
            <w:tcBorders>
              <w:bottom w:val="single" w:color="000000" w:sz="10" w:space="0"/>
            </w:tcBorders>
            <w:vAlign w:val="top"/>
          </w:tcPr>
          <w:p w14:paraId="3BC601CB">
            <w:pPr>
              <w:spacing w:before="121" w:line="188" w:lineRule="auto"/>
              <w:ind w:left="24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10.19</w:t>
            </w:r>
          </w:p>
        </w:tc>
        <w:tc>
          <w:tcPr>
            <w:tcW w:w="759" w:type="dxa"/>
            <w:tcBorders>
              <w:bottom w:val="single" w:color="000000" w:sz="10" w:space="0"/>
              <w:right w:val="nil"/>
            </w:tcBorders>
            <w:vAlign w:val="top"/>
          </w:tcPr>
          <w:p w14:paraId="144A3921">
            <w:pPr>
              <w:spacing w:before="118" w:line="188" w:lineRule="auto"/>
              <w:ind w:left="227"/>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0.56</w:t>
            </w:r>
          </w:p>
        </w:tc>
      </w:tr>
    </w:tbl>
    <w:p w14:paraId="184D5EE8">
      <w:pPr>
        <w:spacing w:before="31" w:line="228" w:lineRule="auto"/>
        <w:ind w:left="7"/>
        <w:rPr>
          <w:rFonts w:ascii="宋体" w:hAnsi="宋体" w:eastAsia="宋体" w:cs="宋体"/>
          <w:sz w:val="20"/>
          <w:szCs w:val="20"/>
        </w:rPr>
      </w:pPr>
      <w:r>
        <w:rPr>
          <w:rFonts w:ascii="宋体" w:hAnsi="宋体" w:eastAsia="宋体" w:cs="宋体"/>
          <w:b/>
          <w:bCs/>
          <w:spacing w:val="7"/>
          <w:sz w:val="20"/>
          <w:szCs w:val="20"/>
        </w:rPr>
        <w:t>注：</w:t>
      </w:r>
      <w:r>
        <w:rPr>
          <w:rFonts w:ascii="Times New Roman" w:hAnsi="Times New Roman" w:eastAsia="Times New Roman" w:cs="Times New Roman"/>
          <w:b/>
          <w:bCs/>
          <w:sz w:val="20"/>
          <w:szCs w:val="20"/>
        </w:rPr>
        <w:t>PM</w:t>
      </w:r>
      <w:r>
        <w:rPr>
          <w:rFonts w:ascii="Times New Roman" w:hAnsi="Times New Roman" w:eastAsia="Times New Roman" w:cs="Times New Roman"/>
          <w:b/>
          <w:bCs/>
          <w:spacing w:val="7"/>
          <w:position w:val="-1"/>
          <w:sz w:val="13"/>
          <w:szCs w:val="13"/>
        </w:rPr>
        <w:t>2.5</w:t>
      </w:r>
      <w:r>
        <w:rPr>
          <w:rFonts w:ascii="Times New Roman" w:hAnsi="Times New Roman" w:eastAsia="Times New Roman" w:cs="Times New Roman"/>
          <w:b/>
          <w:bCs/>
          <w:spacing w:val="12"/>
          <w:position w:val="-1"/>
          <w:sz w:val="13"/>
          <w:szCs w:val="13"/>
        </w:rPr>
        <w:t xml:space="preserve"> </w:t>
      </w:r>
      <w:r>
        <w:rPr>
          <w:rFonts w:ascii="宋体" w:hAnsi="宋体" w:eastAsia="宋体" w:cs="宋体"/>
          <w:b/>
          <w:bCs/>
          <w:spacing w:val="7"/>
          <w:sz w:val="20"/>
          <w:szCs w:val="20"/>
        </w:rPr>
        <w:t>一次污染物按照</w:t>
      </w:r>
      <w:r>
        <w:rPr>
          <w:rFonts w:ascii="宋体" w:hAnsi="宋体" w:eastAsia="宋体" w:cs="宋体"/>
          <w:spacing w:val="-40"/>
          <w:sz w:val="20"/>
          <w:szCs w:val="20"/>
        </w:rPr>
        <w:t xml:space="preserve"> </w:t>
      </w:r>
      <w:r>
        <w:rPr>
          <w:rFonts w:ascii="Times New Roman" w:hAnsi="Times New Roman" w:eastAsia="Times New Roman" w:cs="Times New Roman"/>
          <w:b/>
          <w:bCs/>
          <w:spacing w:val="7"/>
          <w:sz w:val="20"/>
          <w:szCs w:val="20"/>
        </w:rPr>
        <w:t>2%</w:t>
      </w:r>
      <w:r>
        <w:rPr>
          <w:rFonts w:ascii="Times New Roman" w:hAnsi="Times New Roman" w:eastAsia="Times New Roman" w:cs="Times New Roman"/>
          <w:b/>
          <w:bCs/>
          <w:sz w:val="20"/>
          <w:szCs w:val="20"/>
        </w:rPr>
        <w:t>TSP</w:t>
      </w:r>
      <w:r>
        <w:rPr>
          <w:rFonts w:ascii="Times New Roman" w:hAnsi="Times New Roman" w:eastAsia="Times New Roman" w:cs="Times New Roman"/>
          <w:b/>
          <w:bCs/>
          <w:spacing w:val="-28"/>
          <w:sz w:val="20"/>
          <w:szCs w:val="20"/>
        </w:rPr>
        <w:t xml:space="preserve"> </w:t>
      </w:r>
      <w:r>
        <w:rPr>
          <w:rFonts w:ascii="宋体" w:hAnsi="宋体" w:eastAsia="宋体" w:cs="宋体"/>
          <w:b/>
          <w:bCs/>
          <w:spacing w:val="7"/>
          <w:sz w:val="20"/>
          <w:szCs w:val="20"/>
        </w:rPr>
        <w:t>、</w:t>
      </w:r>
      <w:r>
        <w:rPr>
          <w:rFonts w:ascii="Times New Roman" w:hAnsi="Times New Roman" w:eastAsia="Times New Roman" w:cs="Times New Roman"/>
          <w:b/>
          <w:bCs/>
          <w:spacing w:val="7"/>
          <w:sz w:val="20"/>
          <w:szCs w:val="20"/>
        </w:rPr>
        <w:t>20%</w:t>
      </w:r>
      <w:r>
        <w:rPr>
          <w:rFonts w:ascii="Times New Roman" w:hAnsi="Times New Roman" w:eastAsia="Times New Roman" w:cs="Times New Roman"/>
          <w:b/>
          <w:bCs/>
          <w:sz w:val="20"/>
          <w:szCs w:val="20"/>
        </w:rPr>
        <w:t>PM</w:t>
      </w:r>
      <w:r>
        <w:rPr>
          <w:rFonts w:ascii="Times New Roman" w:hAnsi="Times New Roman" w:eastAsia="Times New Roman" w:cs="Times New Roman"/>
          <w:b/>
          <w:bCs/>
          <w:spacing w:val="7"/>
          <w:position w:val="-1"/>
          <w:sz w:val="13"/>
          <w:szCs w:val="13"/>
        </w:rPr>
        <w:t>10</w:t>
      </w:r>
      <w:r>
        <w:rPr>
          <w:rFonts w:ascii="Times New Roman" w:hAnsi="Times New Roman" w:eastAsia="Times New Roman" w:cs="Times New Roman"/>
          <w:b/>
          <w:bCs/>
          <w:spacing w:val="6"/>
          <w:position w:val="-1"/>
          <w:sz w:val="13"/>
          <w:szCs w:val="13"/>
        </w:rPr>
        <w:t xml:space="preserve"> </w:t>
      </w:r>
      <w:r>
        <w:rPr>
          <w:rFonts w:ascii="宋体" w:hAnsi="宋体" w:eastAsia="宋体" w:cs="宋体"/>
          <w:b/>
          <w:bCs/>
          <w:spacing w:val="6"/>
          <w:sz w:val="20"/>
          <w:szCs w:val="20"/>
        </w:rPr>
        <w:t>排放量进行计算。</w:t>
      </w:r>
    </w:p>
    <w:p w14:paraId="1C03726B">
      <w:pPr>
        <w:spacing w:before="161" w:line="227" w:lineRule="auto"/>
        <w:ind w:left="5605"/>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7"/>
          <w:sz w:val="20"/>
          <w:szCs w:val="20"/>
        </w:rPr>
        <w:t xml:space="preserve"> </w:t>
      </w:r>
      <w:r>
        <w:rPr>
          <w:rFonts w:ascii="Times New Roman" w:hAnsi="Times New Roman" w:eastAsia="Times New Roman" w:cs="Times New Roman"/>
          <w:b/>
          <w:bCs/>
          <w:spacing w:val="4"/>
          <w:sz w:val="20"/>
          <w:szCs w:val="20"/>
        </w:rPr>
        <w:t xml:space="preserve">4.1-7        </w:t>
      </w:r>
      <w:r>
        <w:rPr>
          <w:rFonts w:ascii="宋体" w:hAnsi="宋体" w:eastAsia="宋体" w:cs="宋体"/>
          <w:b/>
          <w:bCs/>
          <w:spacing w:val="4"/>
          <w:sz w:val="20"/>
          <w:szCs w:val="20"/>
        </w:rPr>
        <w:t>本项目面源参数表</w:t>
      </w:r>
    </w:p>
    <w:p w14:paraId="53EB0354">
      <w:pPr>
        <w:spacing w:line="133" w:lineRule="exact"/>
      </w:pPr>
    </w:p>
    <w:tbl>
      <w:tblPr>
        <w:tblStyle w:val="5"/>
        <w:tblW w:w="13995"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0"/>
        <w:gridCol w:w="2367"/>
        <w:gridCol w:w="882"/>
        <w:gridCol w:w="835"/>
        <w:gridCol w:w="955"/>
        <w:gridCol w:w="899"/>
        <w:gridCol w:w="935"/>
        <w:gridCol w:w="882"/>
        <w:gridCol w:w="1151"/>
        <w:gridCol w:w="899"/>
        <w:gridCol w:w="650"/>
        <w:gridCol w:w="871"/>
        <w:gridCol w:w="1501"/>
        <w:gridCol w:w="938"/>
      </w:tblGrid>
      <w:tr w14:paraId="47DA74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230" w:type="dxa"/>
            <w:vMerge w:val="restart"/>
            <w:tcBorders>
              <w:top w:val="single" w:color="000000" w:sz="10" w:space="0"/>
              <w:left w:val="nil"/>
              <w:bottom w:val="nil"/>
            </w:tcBorders>
            <w:textDirection w:val="tbRlV"/>
            <w:vAlign w:val="top"/>
          </w:tcPr>
          <w:p w14:paraId="76B70386">
            <w:pPr>
              <w:pStyle w:val="6"/>
              <w:spacing w:before="11" w:line="214" w:lineRule="auto"/>
              <w:ind w:left="40"/>
              <w:rPr>
                <w:sz w:val="20"/>
                <w:szCs w:val="20"/>
              </w:rPr>
            </w:pPr>
            <w:r>
              <w:rPr>
                <w:spacing w:val="8"/>
                <w:sz w:val="20"/>
                <w:szCs w:val="20"/>
              </w:rPr>
              <w:t>编</w:t>
            </w:r>
            <w:r>
              <w:rPr>
                <w:spacing w:val="-38"/>
                <w:sz w:val="20"/>
                <w:szCs w:val="20"/>
              </w:rPr>
              <w:t xml:space="preserve"> </w:t>
            </w:r>
            <w:r>
              <w:rPr>
                <w:spacing w:val="8"/>
                <w:sz w:val="20"/>
                <w:szCs w:val="20"/>
              </w:rPr>
              <w:t>号</w:t>
            </w:r>
          </w:p>
        </w:tc>
        <w:tc>
          <w:tcPr>
            <w:tcW w:w="2367" w:type="dxa"/>
            <w:vMerge w:val="restart"/>
            <w:tcBorders>
              <w:top w:val="single" w:color="000000" w:sz="10" w:space="0"/>
              <w:bottom w:val="nil"/>
            </w:tcBorders>
            <w:vAlign w:val="top"/>
          </w:tcPr>
          <w:p w14:paraId="0745349A">
            <w:pPr>
              <w:pStyle w:val="6"/>
              <w:spacing w:before="174" w:line="230" w:lineRule="auto"/>
              <w:ind w:left="980"/>
              <w:rPr>
                <w:sz w:val="20"/>
                <w:szCs w:val="20"/>
              </w:rPr>
            </w:pPr>
            <w:r>
              <w:rPr>
                <w:spacing w:val="3"/>
                <w:sz w:val="20"/>
                <w:szCs w:val="20"/>
              </w:rPr>
              <w:t>名称</w:t>
            </w:r>
          </w:p>
        </w:tc>
        <w:tc>
          <w:tcPr>
            <w:tcW w:w="1717" w:type="dxa"/>
            <w:gridSpan w:val="2"/>
            <w:tcBorders>
              <w:top w:val="single" w:color="000000" w:sz="10" w:space="0"/>
            </w:tcBorders>
            <w:vAlign w:val="top"/>
          </w:tcPr>
          <w:p w14:paraId="57810B14">
            <w:pPr>
              <w:pStyle w:val="6"/>
              <w:spacing w:before="35" w:line="215" w:lineRule="auto"/>
              <w:ind w:left="18"/>
              <w:rPr>
                <w:rFonts w:ascii="Times New Roman" w:hAnsi="Times New Roman" w:eastAsia="Times New Roman" w:cs="Times New Roman"/>
                <w:sz w:val="20"/>
                <w:szCs w:val="20"/>
              </w:rPr>
            </w:pPr>
            <w:r>
              <w:rPr>
                <w:spacing w:val="7"/>
                <w:sz w:val="20"/>
                <w:szCs w:val="20"/>
              </w:rPr>
              <w:t>面源中心点坐标</w:t>
            </w:r>
            <w:r>
              <w:rPr>
                <w:rFonts w:ascii="Times New Roman" w:hAnsi="Times New Roman" w:eastAsia="Times New Roman" w:cs="Times New Roman"/>
                <w:spacing w:val="7"/>
                <w:sz w:val="20"/>
                <w:szCs w:val="20"/>
              </w:rPr>
              <w:t>/m</w:t>
            </w:r>
          </w:p>
        </w:tc>
        <w:tc>
          <w:tcPr>
            <w:tcW w:w="955" w:type="dxa"/>
            <w:vMerge w:val="restart"/>
            <w:tcBorders>
              <w:top w:val="single" w:color="000000" w:sz="10" w:space="0"/>
              <w:bottom w:val="nil"/>
            </w:tcBorders>
            <w:vAlign w:val="top"/>
          </w:tcPr>
          <w:p w14:paraId="3058F0C1">
            <w:pPr>
              <w:pStyle w:val="6"/>
              <w:spacing w:before="40" w:line="234" w:lineRule="auto"/>
              <w:ind w:left="167" w:right="58" w:hanging="105"/>
              <w:rPr>
                <w:rFonts w:ascii="Times New Roman" w:hAnsi="Times New Roman" w:eastAsia="Times New Roman" w:cs="Times New Roman"/>
                <w:sz w:val="20"/>
                <w:szCs w:val="20"/>
              </w:rPr>
            </w:pPr>
            <w:r>
              <w:rPr>
                <w:spacing w:val="7"/>
                <w:sz w:val="20"/>
                <w:szCs w:val="20"/>
              </w:rPr>
              <w:t>面源海拔</w:t>
            </w:r>
            <w:r>
              <w:rPr>
                <w:sz w:val="20"/>
                <w:szCs w:val="20"/>
              </w:rPr>
              <w:t xml:space="preserve"> </w:t>
            </w:r>
            <w:r>
              <w:rPr>
                <w:spacing w:val="3"/>
                <w:sz w:val="20"/>
                <w:szCs w:val="20"/>
              </w:rPr>
              <w:t>高度</w:t>
            </w:r>
            <w:r>
              <w:rPr>
                <w:rFonts w:ascii="Times New Roman" w:hAnsi="Times New Roman" w:eastAsia="Times New Roman" w:cs="Times New Roman"/>
                <w:spacing w:val="3"/>
                <w:sz w:val="20"/>
                <w:szCs w:val="20"/>
              </w:rPr>
              <w:t>/m</w:t>
            </w:r>
          </w:p>
        </w:tc>
        <w:tc>
          <w:tcPr>
            <w:tcW w:w="899" w:type="dxa"/>
            <w:vMerge w:val="restart"/>
            <w:tcBorders>
              <w:top w:val="single" w:color="000000" w:sz="10" w:space="0"/>
              <w:bottom w:val="nil"/>
            </w:tcBorders>
            <w:vAlign w:val="top"/>
          </w:tcPr>
          <w:p w14:paraId="55603A4C">
            <w:pPr>
              <w:pStyle w:val="6"/>
              <w:spacing w:before="53" w:line="242" w:lineRule="auto"/>
              <w:ind w:left="334" w:right="28" w:hanging="298"/>
              <w:rPr>
                <w:rFonts w:ascii="Times New Roman" w:hAnsi="Times New Roman" w:eastAsia="Times New Roman" w:cs="Times New Roman"/>
                <w:sz w:val="20"/>
                <w:szCs w:val="20"/>
              </w:rPr>
            </w:pPr>
            <w:r>
              <w:rPr>
                <w:spacing w:val="7"/>
                <w:sz w:val="20"/>
                <w:szCs w:val="20"/>
              </w:rPr>
              <w:t>面源长度</w:t>
            </w:r>
            <w:r>
              <w:rPr>
                <w:sz w:val="20"/>
                <w:szCs w:val="20"/>
              </w:rPr>
              <w:t xml:space="preserve"> </w:t>
            </w:r>
            <w:r>
              <w:rPr>
                <w:rFonts w:ascii="Times New Roman" w:hAnsi="Times New Roman" w:eastAsia="Times New Roman" w:cs="Times New Roman"/>
                <w:spacing w:val="4"/>
                <w:sz w:val="20"/>
                <w:szCs w:val="20"/>
              </w:rPr>
              <w:t>/m</w:t>
            </w:r>
          </w:p>
        </w:tc>
        <w:tc>
          <w:tcPr>
            <w:tcW w:w="935" w:type="dxa"/>
            <w:vMerge w:val="restart"/>
            <w:tcBorders>
              <w:top w:val="single" w:color="000000" w:sz="10" w:space="0"/>
              <w:bottom w:val="nil"/>
            </w:tcBorders>
            <w:vAlign w:val="top"/>
          </w:tcPr>
          <w:p w14:paraId="5AD7685B">
            <w:pPr>
              <w:pStyle w:val="6"/>
              <w:spacing w:before="53" w:line="242" w:lineRule="auto"/>
              <w:ind w:left="352" w:right="46" w:hanging="298"/>
              <w:rPr>
                <w:rFonts w:ascii="Times New Roman" w:hAnsi="Times New Roman" w:eastAsia="Times New Roman" w:cs="Times New Roman"/>
                <w:sz w:val="20"/>
                <w:szCs w:val="20"/>
              </w:rPr>
            </w:pPr>
            <w:r>
              <w:rPr>
                <w:spacing w:val="7"/>
                <w:sz w:val="20"/>
                <w:szCs w:val="20"/>
              </w:rPr>
              <w:t>面源宽度</w:t>
            </w:r>
            <w:r>
              <w:rPr>
                <w:sz w:val="20"/>
                <w:szCs w:val="20"/>
              </w:rPr>
              <w:t xml:space="preserve"> </w:t>
            </w:r>
            <w:r>
              <w:rPr>
                <w:rFonts w:ascii="Times New Roman" w:hAnsi="Times New Roman" w:eastAsia="Times New Roman" w:cs="Times New Roman"/>
                <w:spacing w:val="4"/>
                <w:sz w:val="20"/>
                <w:szCs w:val="20"/>
              </w:rPr>
              <w:t>/m</w:t>
            </w:r>
          </w:p>
        </w:tc>
        <w:tc>
          <w:tcPr>
            <w:tcW w:w="882" w:type="dxa"/>
            <w:vMerge w:val="restart"/>
            <w:tcBorders>
              <w:top w:val="single" w:color="000000" w:sz="10" w:space="0"/>
              <w:bottom w:val="nil"/>
            </w:tcBorders>
            <w:vAlign w:val="top"/>
          </w:tcPr>
          <w:p w14:paraId="225DA495">
            <w:pPr>
              <w:pStyle w:val="6"/>
              <w:spacing w:before="40" w:line="234" w:lineRule="auto"/>
              <w:ind w:left="165" w:right="21" w:hanging="136"/>
              <w:rPr>
                <w:rFonts w:ascii="Times New Roman" w:hAnsi="Times New Roman" w:eastAsia="Times New Roman" w:cs="Times New Roman"/>
                <w:sz w:val="20"/>
                <w:szCs w:val="20"/>
              </w:rPr>
            </w:pPr>
            <w:r>
              <w:rPr>
                <w:spacing w:val="6"/>
                <w:sz w:val="20"/>
                <w:szCs w:val="20"/>
              </w:rPr>
              <w:t>与正北向</w:t>
            </w:r>
            <w:r>
              <w:rPr>
                <w:sz w:val="20"/>
                <w:szCs w:val="20"/>
              </w:rPr>
              <w:t xml:space="preserve"> </w:t>
            </w:r>
            <w:r>
              <w:rPr>
                <w:spacing w:val="3"/>
                <w:sz w:val="20"/>
                <w:szCs w:val="20"/>
              </w:rPr>
              <w:t>夹角</w:t>
            </w:r>
            <w:r>
              <w:rPr>
                <w:rFonts w:ascii="Times New Roman" w:hAnsi="Times New Roman" w:eastAsia="Times New Roman" w:cs="Times New Roman"/>
                <w:spacing w:val="3"/>
                <w:sz w:val="20"/>
                <w:szCs w:val="20"/>
              </w:rPr>
              <w:t>/°</w:t>
            </w:r>
          </w:p>
        </w:tc>
        <w:tc>
          <w:tcPr>
            <w:tcW w:w="1151" w:type="dxa"/>
            <w:vMerge w:val="restart"/>
            <w:tcBorders>
              <w:top w:val="single" w:color="000000" w:sz="10" w:space="0"/>
              <w:bottom w:val="nil"/>
            </w:tcBorders>
            <w:vAlign w:val="top"/>
          </w:tcPr>
          <w:p w14:paraId="2410208D">
            <w:pPr>
              <w:pStyle w:val="6"/>
              <w:spacing w:before="40" w:line="234" w:lineRule="auto"/>
              <w:ind w:left="153" w:right="49" w:hanging="97"/>
              <w:rPr>
                <w:rFonts w:ascii="Times New Roman" w:hAnsi="Times New Roman" w:eastAsia="Times New Roman" w:cs="Times New Roman"/>
                <w:sz w:val="20"/>
                <w:szCs w:val="20"/>
              </w:rPr>
            </w:pPr>
            <w:r>
              <w:rPr>
                <w:spacing w:val="7"/>
                <w:sz w:val="20"/>
                <w:szCs w:val="20"/>
              </w:rPr>
              <w:t>面源有效排</w:t>
            </w:r>
            <w:r>
              <w:rPr>
                <w:spacing w:val="3"/>
                <w:sz w:val="20"/>
                <w:szCs w:val="20"/>
              </w:rPr>
              <w:t xml:space="preserve"> </w:t>
            </w:r>
            <w:r>
              <w:rPr>
                <w:spacing w:val="6"/>
                <w:sz w:val="20"/>
                <w:szCs w:val="20"/>
              </w:rPr>
              <w:t>放高度</w:t>
            </w:r>
            <w:r>
              <w:rPr>
                <w:rFonts w:ascii="Times New Roman" w:hAnsi="Times New Roman" w:eastAsia="Times New Roman" w:cs="Times New Roman"/>
                <w:spacing w:val="6"/>
                <w:sz w:val="20"/>
                <w:szCs w:val="20"/>
              </w:rPr>
              <w:t>/m</w:t>
            </w:r>
          </w:p>
        </w:tc>
        <w:tc>
          <w:tcPr>
            <w:tcW w:w="899" w:type="dxa"/>
            <w:vMerge w:val="restart"/>
            <w:tcBorders>
              <w:top w:val="single" w:color="000000" w:sz="10" w:space="0"/>
              <w:bottom w:val="nil"/>
            </w:tcBorders>
            <w:vAlign w:val="top"/>
          </w:tcPr>
          <w:p w14:paraId="47D97623">
            <w:pPr>
              <w:pStyle w:val="6"/>
              <w:spacing w:before="40" w:line="234" w:lineRule="auto"/>
              <w:ind w:left="173" w:right="29" w:hanging="138"/>
              <w:rPr>
                <w:rFonts w:ascii="Times New Roman" w:hAnsi="Times New Roman" w:eastAsia="Times New Roman" w:cs="Times New Roman"/>
                <w:sz w:val="20"/>
                <w:szCs w:val="20"/>
              </w:rPr>
            </w:pPr>
            <w:r>
              <w:rPr>
                <w:spacing w:val="7"/>
                <w:sz w:val="20"/>
                <w:szCs w:val="20"/>
              </w:rPr>
              <w:t>年排放小</w:t>
            </w:r>
            <w:r>
              <w:rPr>
                <w:sz w:val="20"/>
                <w:szCs w:val="20"/>
              </w:rPr>
              <w:t xml:space="preserve"> </w:t>
            </w:r>
            <w:r>
              <w:rPr>
                <w:spacing w:val="2"/>
                <w:sz w:val="20"/>
                <w:szCs w:val="20"/>
              </w:rPr>
              <w:t>时数</w:t>
            </w:r>
            <w:r>
              <w:rPr>
                <w:rFonts w:ascii="Times New Roman" w:hAnsi="Times New Roman" w:eastAsia="Times New Roman" w:cs="Times New Roman"/>
                <w:spacing w:val="2"/>
                <w:sz w:val="20"/>
                <w:szCs w:val="20"/>
              </w:rPr>
              <w:t>/h</w:t>
            </w:r>
          </w:p>
        </w:tc>
        <w:tc>
          <w:tcPr>
            <w:tcW w:w="650" w:type="dxa"/>
            <w:vMerge w:val="restart"/>
            <w:tcBorders>
              <w:top w:val="single" w:color="000000" w:sz="10" w:space="0"/>
              <w:bottom w:val="nil"/>
            </w:tcBorders>
            <w:vAlign w:val="top"/>
          </w:tcPr>
          <w:p w14:paraId="51FDB667">
            <w:pPr>
              <w:pStyle w:val="6"/>
              <w:spacing w:before="40" w:line="234" w:lineRule="auto"/>
              <w:ind w:left="122" w:right="115" w:hanging="2"/>
              <w:rPr>
                <w:sz w:val="20"/>
                <w:szCs w:val="20"/>
              </w:rPr>
            </w:pPr>
            <w:r>
              <w:rPr>
                <w:spacing w:val="4"/>
                <w:sz w:val="20"/>
                <w:szCs w:val="20"/>
              </w:rPr>
              <w:t>排放</w:t>
            </w:r>
            <w:r>
              <w:rPr>
                <w:sz w:val="20"/>
                <w:szCs w:val="20"/>
              </w:rPr>
              <w:t xml:space="preserve"> </w:t>
            </w:r>
            <w:r>
              <w:rPr>
                <w:spacing w:val="3"/>
                <w:sz w:val="20"/>
                <w:szCs w:val="20"/>
              </w:rPr>
              <w:t>工况</w:t>
            </w:r>
          </w:p>
        </w:tc>
        <w:tc>
          <w:tcPr>
            <w:tcW w:w="3310" w:type="dxa"/>
            <w:gridSpan w:val="3"/>
            <w:tcBorders>
              <w:top w:val="single" w:color="000000" w:sz="10" w:space="0"/>
              <w:right w:val="nil"/>
            </w:tcBorders>
            <w:vAlign w:val="top"/>
          </w:tcPr>
          <w:p w14:paraId="2A0FEBF2">
            <w:pPr>
              <w:pStyle w:val="6"/>
              <w:spacing w:before="35" w:line="215" w:lineRule="auto"/>
              <w:ind w:left="503"/>
              <w:rPr>
                <w:sz w:val="20"/>
                <w:szCs w:val="20"/>
              </w:rPr>
            </w:pPr>
            <w:r>
              <w:rPr>
                <w:spacing w:val="7"/>
                <w:sz w:val="20"/>
                <w:szCs w:val="20"/>
              </w:rPr>
              <w:t>污染物排放速率</w:t>
            </w:r>
            <w:r>
              <w:rPr>
                <w:rFonts w:ascii="Times New Roman" w:hAnsi="Times New Roman" w:eastAsia="Times New Roman" w:cs="Times New Roman"/>
                <w:spacing w:val="7"/>
                <w:sz w:val="20"/>
                <w:szCs w:val="20"/>
              </w:rPr>
              <w:t>/</w:t>
            </w:r>
            <w:r>
              <w:rPr>
                <w:spacing w:val="7"/>
                <w:sz w:val="20"/>
                <w:szCs w:val="20"/>
              </w:rPr>
              <w:t>（</w:t>
            </w:r>
            <w:r>
              <w:rPr>
                <w:rFonts w:ascii="Times New Roman" w:hAnsi="Times New Roman" w:eastAsia="Times New Roman" w:cs="Times New Roman"/>
                <w:sz w:val="20"/>
                <w:szCs w:val="20"/>
              </w:rPr>
              <w:t>kg</w:t>
            </w:r>
            <w:r>
              <w:rPr>
                <w:rFonts w:ascii="Times New Roman" w:hAnsi="Times New Roman" w:eastAsia="Times New Roman" w:cs="Times New Roman"/>
                <w:spacing w:val="7"/>
                <w:sz w:val="20"/>
                <w:szCs w:val="20"/>
              </w:rPr>
              <w:t>/h</w:t>
            </w:r>
            <w:r>
              <w:rPr>
                <w:spacing w:val="7"/>
                <w:sz w:val="20"/>
                <w:szCs w:val="20"/>
              </w:rPr>
              <w:t>）</w:t>
            </w:r>
          </w:p>
        </w:tc>
      </w:tr>
      <w:tr w14:paraId="3EC2E3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30" w:type="dxa"/>
            <w:vMerge w:val="continue"/>
            <w:tcBorders>
              <w:top w:val="nil"/>
              <w:left w:val="nil"/>
            </w:tcBorders>
            <w:textDirection w:val="tbRlV"/>
            <w:vAlign w:val="top"/>
          </w:tcPr>
          <w:p w14:paraId="776AB49E">
            <w:pPr>
              <w:spacing w:line="227" w:lineRule="exact"/>
              <w:rPr>
                <w:rFonts w:ascii="Arial"/>
                <w:sz w:val="19"/>
              </w:rPr>
            </w:pPr>
          </w:p>
        </w:tc>
        <w:tc>
          <w:tcPr>
            <w:tcW w:w="2367" w:type="dxa"/>
            <w:vMerge w:val="continue"/>
            <w:tcBorders>
              <w:top w:val="nil"/>
            </w:tcBorders>
            <w:vAlign w:val="top"/>
          </w:tcPr>
          <w:p w14:paraId="15476819">
            <w:pPr>
              <w:rPr>
                <w:rFonts w:ascii="Arial"/>
                <w:sz w:val="21"/>
              </w:rPr>
            </w:pPr>
          </w:p>
        </w:tc>
        <w:tc>
          <w:tcPr>
            <w:tcW w:w="882" w:type="dxa"/>
            <w:vAlign w:val="top"/>
          </w:tcPr>
          <w:p w14:paraId="2A891B2E">
            <w:pPr>
              <w:spacing w:before="74" w:line="192"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X</w:t>
            </w:r>
          </w:p>
        </w:tc>
        <w:tc>
          <w:tcPr>
            <w:tcW w:w="835" w:type="dxa"/>
            <w:vAlign w:val="top"/>
          </w:tcPr>
          <w:p w14:paraId="219FB772">
            <w:pPr>
              <w:spacing w:before="74" w:line="192" w:lineRule="auto"/>
              <w:ind w:left="34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Y</w:t>
            </w:r>
          </w:p>
        </w:tc>
        <w:tc>
          <w:tcPr>
            <w:tcW w:w="955" w:type="dxa"/>
            <w:vMerge w:val="continue"/>
            <w:tcBorders>
              <w:top w:val="nil"/>
            </w:tcBorders>
            <w:vAlign w:val="top"/>
          </w:tcPr>
          <w:p w14:paraId="5E6BE8D6">
            <w:pPr>
              <w:rPr>
                <w:rFonts w:ascii="Arial"/>
                <w:sz w:val="21"/>
              </w:rPr>
            </w:pPr>
          </w:p>
        </w:tc>
        <w:tc>
          <w:tcPr>
            <w:tcW w:w="899" w:type="dxa"/>
            <w:vMerge w:val="continue"/>
            <w:tcBorders>
              <w:top w:val="nil"/>
            </w:tcBorders>
            <w:vAlign w:val="top"/>
          </w:tcPr>
          <w:p w14:paraId="1421B38A">
            <w:pPr>
              <w:rPr>
                <w:rFonts w:ascii="Arial"/>
                <w:sz w:val="21"/>
              </w:rPr>
            </w:pPr>
          </w:p>
        </w:tc>
        <w:tc>
          <w:tcPr>
            <w:tcW w:w="935" w:type="dxa"/>
            <w:vMerge w:val="continue"/>
            <w:tcBorders>
              <w:top w:val="nil"/>
            </w:tcBorders>
            <w:vAlign w:val="top"/>
          </w:tcPr>
          <w:p w14:paraId="098F415C">
            <w:pPr>
              <w:rPr>
                <w:rFonts w:ascii="Arial"/>
                <w:sz w:val="21"/>
              </w:rPr>
            </w:pPr>
          </w:p>
        </w:tc>
        <w:tc>
          <w:tcPr>
            <w:tcW w:w="882" w:type="dxa"/>
            <w:vMerge w:val="continue"/>
            <w:tcBorders>
              <w:top w:val="nil"/>
            </w:tcBorders>
            <w:vAlign w:val="top"/>
          </w:tcPr>
          <w:p w14:paraId="7AD4CD1B">
            <w:pPr>
              <w:rPr>
                <w:rFonts w:ascii="Arial"/>
                <w:sz w:val="21"/>
              </w:rPr>
            </w:pPr>
          </w:p>
        </w:tc>
        <w:tc>
          <w:tcPr>
            <w:tcW w:w="1151" w:type="dxa"/>
            <w:vMerge w:val="continue"/>
            <w:tcBorders>
              <w:top w:val="nil"/>
            </w:tcBorders>
            <w:vAlign w:val="top"/>
          </w:tcPr>
          <w:p w14:paraId="3528014B">
            <w:pPr>
              <w:rPr>
                <w:rFonts w:ascii="Arial"/>
                <w:sz w:val="21"/>
              </w:rPr>
            </w:pPr>
          </w:p>
        </w:tc>
        <w:tc>
          <w:tcPr>
            <w:tcW w:w="899" w:type="dxa"/>
            <w:vMerge w:val="continue"/>
            <w:tcBorders>
              <w:top w:val="nil"/>
            </w:tcBorders>
            <w:vAlign w:val="top"/>
          </w:tcPr>
          <w:p w14:paraId="348ED8DC">
            <w:pPr>
              <w:rPr>
                <w:rFonts w:ascii="Arial"/>
                <w:sz w:val="21"/>
              </w:rPr>
            </w:pPr>
          </w:p>
        </w:tc>
        <w:tc>
          <w:tcPr>
            <w:tcW w:w="650" w:type="dxa"/>
            <w:vMerge w:val="continue"/>
            <w:tcBorders>
              <w:top w:val="nil"/>
            </w:tcBorders>
            <w:vAlign w:val="top"/>
          </w:tcPr>
          <w:p w14:paraId="720CD87E">
            <w:pPr>
              <w:rPr>
                <w:rFonts w:ascii="Arial"/>
                <w:sz w:val="21"/>
              </w:rPr>
            </w:pPr>
          </w:p>
        </w:tc>
        <w:tc>
          <w:tcPr>
            <w:tcW w:w="871" w:type="dxa"/>
            <w:vAlign w:val="top"/>
          </w:tcPr>
          <w:p w14:paraId="4B38AAA6">
            <w:pPr>
              <w:pStyle w:val="6"/>
              <w:spacing w:before="35" w:line="212" w:lineRule="auto"/>
              <w:ind w:left="124"/>
              <w:rPr>
                <w:sz w:val="20"/>
                <w:szCs w:val="20"/>
              </w:rPr>
            </w:pPr>
            <w:r>
              <w:rPr>
                <w:spacing w:val="7"/>
                <w:sz w:val="20"/>
                <w:szCs w:val="20"/>
              </w:rPr>
              <w:t>颗粒物</w:t>
            </w:r>
          </w:p>
        </w:tc>
        <w:tc>
          <w:tcPr>
            <w:tcW w:w="1501" w:type="dxa"/>
            <w:vAlign w:val="top"/>
          </w:tcPr>
          <w:p w14:paraId="1696F617">
            <w:pPr>
              <w:pStyle w:val="6"/>
              <w:spacing w:before="35" w:line="212" w:lineRule="auto"/>
              <w:ind w:left="125"/>
              <w:rPr>
                <w:sz w:val="20"/>
                <w:szCs w:val="20"/>
              </w:rPr>
            </w:pPr>
            <w:r>
              <w:rPr>
                <w:spacing w:val="8"/>
                <w:sz w:val="20"/>
                <w:szCs w:val="20"/>
              </w:rPr>
              <w:t>锰及其化合物</w:t>
            </w:r>
          </w:p>
        </w:tc>
        <w:tc>
          <w:tcPr>
            <w:tcW w:w="938" w:type="dxa"/>
            <w:tcBorders>
              <w:right w:val="nil"/>
            </w:tcBorders>
            <w:vAlign w:val="top"/>
          </w:tcPr>
          <w:p w14:paraId="2530CFBE">
            <w:pPr>
              <w:spacing w:before="81" w:line="191" w:lineRule="auto"/>
              <w:ind w:left="270"/>
              <w:rPr>
                <w:rFonts w:ascii="Times New Roman" w:hAnsi="Times New Roman" w:eastAsia="Times New Roman" w:cs="Times New Roman"/>
                <w:sz w:val="11"/>
                <w:szCs w:val="11"/>
              </w:rPr>
            </w:pPr>
            <w:r>
              <w:rPr>
                <w:rFonts w:ascii="Times New Roman" w:hAnsi="Times New Roman" w:eastAsia="Times New Roman" w:cs="Times New Roman"/>
                <w:sz w:val="18"/>
                <w:szCs w:val="18"/>
              </w:rPr>
              <w:t>PM</w:t>
            </w:r>
            <w:r>
              <w:rPr>
                <w:rFonts w:ascii="Times New Roman" w:hAnsi="Times New Roman" w:eastAsia="Times New Roman" w:cs="Times New Roman"/>
                <w:position w:val="-1"/>
                <w:sz w:val="11"/>
                <w:szCs w:val="11"/>
              </w:rPr>
              <w:t>2.5</w:t>
            </w:r>
          </w:p>
        </w:tc>
      </w:tr>
      <w:tr w14:paraId="4112A1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230" w:type="dxa"/>
            <w:tcBorders>
              <w:left w:val="nil"/>
            </w:tcBorders>
            <w:vAlign w:val="top"/>
          </w:tcPr>
          <w:p w14:paraId="679AD11B">
            <w:pPr>
              <w:spacing w:before="94" w:line="195" w:lineRule="auto"/>
              <w:ind w:left="84"/>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367" w:type="dxa"/>
            <w:vAlign w:val="top"/>
          </w:tcPr>
          <w:p w14:paraId="2332D60D">
            <w:pPr>
              <w:pStyle w:val="6"/>
              <w:spacing w:before="58" w:line="227" w:lineRule="auto"/>
              <w:ind w:left="459"/>
              <w:rPr>
                <w:sz w:val="20"/>
                <w:szCs w:val="20"/>
              </w:rPr>
            </w:pPr>
            <w:r>
              <w:rPr>
                <w:spacing w:val="7"/>
                <w:sz w:val="20"/>
                <w:szCs w:val="20"/>
              </w:rPr>
              <w:t>原料大棚无组织</w:t>
            </w:r>
          </w:p>
        </w:tc>
        <w:tc>
          <w:tcPr>
            <w:tcW w:w="882" w:type="dxa"/>
            <w:vAlign w:val="top"/>
          </w:tcPr>
          <w:p w14:paraId="0DFDAE43">
            <w:pPr>
              <w:spacing w:before="93" w:line="195"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471</w:t>
            </w:r>
          </w:p>
        </w:tc>
        <w:tc>
          <w:tcPr>
            <w:tcW w:w="835" w:type="dxa"/>
            <w:vAlign w:val="top"/>
          </w:tcPr>
          <w:p w14:paraId="3103FD85">
            <w:pPr>
              <w:spacing w:before="93"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-378</w:t>
            </w:r>
          </w:p>
        </w:tc>
        <w:tc>
          <w:tcPr>
            <w:tcW w:w="955" w:type="dxa"/>
            <w:vAlign w:val="top"/>
          </w:tcPr>
          <w:p w14:paraId="4245C278">
            <w:pPr>
              <w:spacing w:before="94"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1141</w:t>
            </w:r>
          </w:p>
        </w:tc>
        <w:tc>
          <w:tcPr>
            <w:tcW w:w="899" w:type="dxa"/>
            <w:vAlign w:val="top"/>
          </w:tcPr>
          <w:p w14:paraId="4B1579A9">
            <w:pPr>
              <w:spacing w:before="93" w:line="195" w:lineRule="auto"/>
              <w:ind w:left="16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623.</w:t>
            </w:r>
            <w:r>
              <w:rPr>
                <w:rFonts w:ascii="Times New Roman" w:hAnsi="Times New Roman" w:eastAsia="Times New Roman" w:cs="Times New Roman"/>
                <w:spacing w:val="-21"/>
                <w:sz w:val="20"/>
                <w:szCs w:val="20"/>
              </w:rPr>
              <w:t xml:space="preserve"> </w:t>
            </w:r>
            <w:r>
              <w:rPr>
                <w:rFonts w:ascii="Times New Roman" w:hAnsi="Times New Roman" w:eastAsia="Times New Roman" w:cs="Times New Roman"/>
                <w:spacing w:val="-2"/>
                <w:sz w:val="20"/>
                <w:szCs w:val="20"/>
              </w:rPr>
              <w:t>12</w:t>
            </w:r>
          </w:p>
        </w:tc>
        <w:tc>
          <w:tcPr>
            <w:tcW w:w="935" w:type="dxa"/>
            <w:vAlign w:val="top"/>
          </w:tcPr>
          <w:p w14:paraId="7F5F83A6">
            <w:pPr>
              <w:spacing w:before="93" w:line="195" w:lineRule="auto"/>
              <w:ind w:left="369"/>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882" w:type="dxa"/>
            <w:vAlign w:val="top"/>
          </w:tcPr>
          <w:p w14:paraId="7316D3D8">
            <w:pPr>
              <w:spacing w:before="93" w:line="195" w:lineRule="auto"/>
              <w:ind w:left="39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3C6DBA00">
            <w:pPr>
              <w:spacing w:before="93" w:line="195" w:lineRule="auto"/>
              <w:ind w:left="3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24.3</w:t>
            </w:r>
          </w:p>
        </w:tc>
        <w:tc>
          <w:tcPr>
            <w:tcW w:w="899" w:type="dxa"/>
            <w:vAlign w:val="top"/>
          </w:tcPr>
          <w:p w14:paraId="6407C425">
            <w:pPr>
              <w:spacing w:before="93"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c>
          <w:tcPr>
            <w:tcW w:w="650" w:type="dxa"/>
            <w:vAlign w:val="top"/>
          </w:tcPr>
          <w:p w14:paraId="0A6D3BA4">
            <w:pPr>
              <w:pStyle w:val="6"/>
              <w:spacing w:before="56" w:line="228" w:lineRule="auto"/>
              <w:ind w:left="124"/>
              <w:rPr>
                <w:sz w:val="20"/>
                <w:szCs w:val="20"/>
              </w:rPr>
            </w:pPr>
            <w:r>
              <w:rPr>
                <w:spacing w:val="2"/>
                <w:sz w:val="20"/>
                <w:szCs w:val="20"/>
              </w:rPr>
              <w:t>正常</w:t>
            </w:r>
          </w:p>
        </w:tc>
        <w:tc>
          <w:tcPr>
            <w:tcW w:w="871" w:type="dxa"/>
            <w:vAlign w:val="top"/>
          </w:tcPr>
          <w:p w14:paraId="5540E3BA">
            <w:pPr>
              <w:spacing w:before="93"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0.42</w:t>
            </w:r>
          </w:p>
        </w:tc>
        <w:tc>
          <w:tcPr>
            <w:tcW w:w="1501" w:type="dxa"/>
            <w:vAlign w:val="top"/>
          </w:tcPr>
          <w:p w14:paraId="69007832">
            <w:pPr>
              <w:spacing w:before="90" w:line="199" w:lineRule="auto"/>
              <w:ind w:left="71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38" w:type="dxa"/>
            <w:tcBorders>
              <w:right w:val="nil"/>
            </w:tcBorders>
            <w:vAlign w:val="top"/>
          </w:tcPr>
          <w:p w14:paraId="46B72BCA">
            <w:pPr>
              <w:spacing w:before="93"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0.008</w:t>
            </w:r>
          </w:p>
        </w:tc>
      </w:tr>
      <w:tr w14:paraId="7F645F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230" w:type="dxa"/>
            <w:tcBorders>
              <w:left w:val="nil"/>
            </w:tcBorders>
            <w:vAlign w:val="top"/>
          </w:tcPr>
          <w:p w14:paraId="1B5DB316">
            <w:pPr>
              <w:spacing w:before="96" w:line="195" w:lineRule="auto"/>
              <w:ind w:left="6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367" w:type="dxa"/>
            <w:vAlign w:val="top"/>
          </w:tcPr>
          <w:p w14:paraId="1E7A4873">
            <w:pPr>
              <w:pStyle w:val="6"/>
              <w:spacing w:before="60" w:line="225" w:lineRule="auto"/>
              <w:ind w:left="243"/>
              <w:rPr>
                <w:sz w:val="20"/>
                <w:szCs w:val="20"/>
              </w:rPr>
            </w:pPr>
            <w:r>
              <w:rPr>
                <w:spacing w:val="8"/>
                <w:sz w:val="20"/>
                <w:szCs w:val="20"/>
              </w:rPr>
              <w:t>焦炭烘干车间无组织</w:t>
            </w:r>
          </w:p>
        </w:tc>
        <w:tc>
          <w:tcPr>
            <w:tcW w:w="882" w:type="dxa"/>
            <w:vAlign w:val="top"/>
          </w:tcPr>
          <w:p w14:paraId="7739BCC6">
            <w:pPr>
              <w:spacing w:before="96" w:line="195"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401</w:t>
            </w:r>
          </w:p>
        </w:tc>
        <w:tc>
          <w:tcPr>
            <w:tcW w:w="835" w:type="dxa"/>
            <w:vAlign w:val="top"/>
          </w:tcPr>
          <w:p w14:paraId="64E7418F">
            <w:pPr>
              <w:spacing w:before="96"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-380</w:t>
            </w:r>
          </w:p>
        </w:tc>
        <w:tc>
          <w:tcPr>
            <w:tcW w:w="955" w:type="dxa"/>
            <w:vAlign w:val="top"/>
          </w:tcPr>
          <w:p w14:paraId="3F9A05B4">
            <w:pPr>
              <w:spacing w:before="96"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1144</w:t>
            </w:r>
          </w:p>
        </w:tc>
        <w:tc>
          <w:tcPr>
            <w:tcW w:w="899" w:type="dxa"/>
            <w:vAlign w:val="top"/>
          </w:tcPr>
          <w:p w14:paraId="3C53FFB0">
            <w:pPr>
              <w:spacing w:before="96" w:line="195" w:lineRule="auto"/>
              <w:ind w:left="3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935" w:type="dxa"/>
            <w:vAlign w:val="top"/>
          </w:tcPr>
          <w:p w14:paraId="644B0FE8">
            <w:pPr>
              <w:spacing w:before="96"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50.4</w:t>
            </w:r>
          </w:p>
        </w:tc>
        <w:tc>
          <w:tcPr>
            <w:tcW w:w="882" w:type="dxa"/>
            <w:vAlign w:val="top"/>
          </w:tcPr>
          <w:p w14:paraId="2533BEF7">
            <w:pPr>
              <w:spacing w:before="96" w:line="195" w:lineRule="auto"/>
              <w:ind w:left="39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44086D23">
            <w:pPr>
              <w:spacing w:before="96" w:line="195" w:lineRule="auto"/>
              <w:ind w:left="41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17.9</w:t>
            </w:r>
          </w:p>
        </w:tc>
        <w:tc>
          <w:tcPr>
            <w:tcW w:w="899" w:type="dxa"/>
            <w:vAlign w:val="top"/>
          </w:tcPr>
          <w:p w14:paraId="28DD8259">
            <w:pPr>
              <w:spacing w:before="96"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c>
          <w:tcPr>
            <w:tcW w:w="650" w:type="dxa"/>
            <w:vAlign w:val="top"/>
          </w:tcPr>
          <w:p w14:paraId="323054C9">
            <w:pPr>
              <w:pStyle w:val="6"/>
              <w:spacing w:before="58" w:line="227" w:lineRule="auto"/>
              <w:ind w:left="124"/>
              <w:rPr>
                <w:sz w:val="20"/>
                <w:szCs w:val="20"/>
              </w:rPr>
            </w:pPr>
            <w:r>
              <w:rPr>
                <w:spacing w:val="2"/>
                <w:sz w:val="20"/>
                <w:szCs w:val="20"/>
              </w:rPr>
              <w:t>正常</w:t>
            </w:r>
          </w:p>
        </w:tc>
        <w:tc>
          <w:tcPr>
            <w:tcW w:w="871" w:type="dxa"/>
            <w:vAlign w:val="top"/>
          </w:tcPr>
          <w:p w14:paraId="311E2DD5">
            <w:pPr>
              <w:spacing w:before="96"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12</w:t>
            </w:r>
          </w:p>
        </w:tc>
        <w:tc>
          <w:tcPr>
            <w:tcW w:w="1501" w:type="dxa"/>
            <w:vAlign w:val="top"/>
          </w:tcPr>
          <w:p w14:paraId="16CA496F">
            <w:pPr>
              <w:spacing w:before="92" w:line="199" w:lineRule="auto"/>
              <w:ind w:left="71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38" w:type="dxa"/>
            <w:tcBorders>
              <w:right w:val="nil"/>
            </w:tcBorders>
            <w:vAlign w:val="top"/>
          </w:tcPr>
          <w:p w14:paraId="26AEF19B">
            <w:pPr>
              <w:spacing w:before="96"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w:t>
            </w:r>
          </w:p>
        </w:tc>
      </w:tr>
      <w:tr w14:paraId="18DF18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230" w:type="dxa"/>
            <w:tcBorders>
              <w:left w:val="nil"/>
            </w:tcBorders>
            <w:vAlign w:val="top"/>
          </w:tcPr>
          <w:p w14:paraId="4BD5DDC2">
            <w:pPr>
              <w:spacing w:before="99" w:line="195" w:lineRule="auto"/>
              <w:ind w:left="68"/>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367" w:type="dxa"/>
            <w:vAlign w:val="top"/>
          </w:tcPr>
          <w:p w14:paraId="16A5F19D">
            <w:pPr>
              <w:pStyle w:val="6"/>
              <w:spacing w:before="63" w:line="222" w:lineRule="auto"/>
              <w:ind w:left="137"/>
              <w:rPr>
                <w:sz w:val="20"/>
                <w:szCs w:val="20"/>
              </w:rPr>
            </w:pPr>
            <w:r>
              <w:rPr>
                <w:spacing w:val="8"/>
                <w:sz w:val="20"/>
                <w:szCs w:val="20"/>
              </w:rPr>
              <w:t>锰矿石烘干车间无组织</w:t>
            </w:r>
          </w:p>
        </w:tc>
        <w:tc>
          <w:tcPr>
            <w:tcW w:w="882" w:type="dxa"/>
            <w:vAlign w:val="top"/>
          </w:tcPr>
          <w:p w14:paraId="521FA346">
            <w:pPr>
              <w:spacing w:before="99" w:line="195"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432</w:t>
            </w:r>
          </w:p>
        </w:tc>
        <w:tc>
          <w:tcPr>
            <w:tcW w:w="835" w:type="dxa"/>
            <w:vAlign w:val="top"/>
          </w:tcPr>
          <w:p w14:paraId="4B889C9E">
            <w:pPr>
              <w:spacing w:before="99"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-539</w:t>
            </w:r>
          </w:p>
        </w:tc>
        <w:tc>
          <w:tcPr>
            <w:tcW w:w="955" w:type="dxa"/>
            <w:vAlign w:val="top"/>
          </w:tcPr>
          <w:p w14:paraId="73B5CCA1">
            <w:pPr>
              <w:spacing w:before="99"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1148</w:t>
            </w:r>
          </w:p>
        </w:tc>
        <w:tc>
          <w:tcPr>
            <w:tcW w:w="899" w:type="dxa"/>
            <w:vAlign w:val="top"/>
          </w:tcPr>
          <w:p w14:paraId="1430D54D">
            <w:pPr>
              <w:spacing w:before="99" w:line="195" w:lineRule="auto"/>
              <w:ind w:left="3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935" w:type="dxa"/>
            <w:vAlign w:val="top"/>
          </w:tcPr>
          <w:p w14:paraId="3521A026">
            <w:pPr>
              <w:spacing w:before="99"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50.4</w:t>
            </w:r>
          </w:p>
        </w:tc>
        <w:tc>
          <w:tcPr>
            <w:tcW w:w="882" w:type="dxa"/>
            <w:vAlign w:val="top"/>
          </w:tcPr>
          <w:p w14:paraId="10CDEC80">
            <w:pPr>
              <w:spacing w:before="99" w:line="195" w:lineRule="auto"/>
              <w:ind w:left="39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4DDC1C49">
            <w:pPr>
              <w:spacing w:before="99" w:line="195" w:lineRule="auto"/>
              <w:ind w:left="41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17.9</w:t>
            </w:r>
          </w:p>
        </w:tc>
        <w:tc>
          <w:tcPr>
            <w:tcW w:w="899" w:type="dxa"/>
            <w:vAlign w:val="top"/>
          </w:tcPr>
          <w:p w14:paraId="494AF14A">
            <w:pPr>
              <w:spacing w:before="99"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c>
          <w:tcPr>
            <w:tcW w:w="650" w:type="dxa"/>
            <w:vAlign w:val="top"/>
          </w:tcPr>
          <w:p w14:paraId="1BA01989">
            <w:pPr>
              <w:pStyle w:val="6"/>
              <w:spacing w:before="63" w:line="222" w:lineRule="auto"/>
              <w:ind w:left="124"/>
              <w:rPr>
                <w:sz w:val="20"/>
                <w:szCs w:val="20"/>
              </w:rPr>
            </w:pPr>
            <w:r>
              <w:rPr>
                <w:spacing w:val="2"/>
                <w:sz w:val="20"/>
                <w:szCs w:val="20"/>
              </w:rPr>
              <w:t>正常</w:t>
            </w:r>
          </w:p>
        </w:tc>
        <w:tc>
          <w:tcPr>
            <w:tcW w:w="871" w:type="dxa"/>
            <w:vAlign w:val="top"/>
          </w:tcPr>
          <w:p w14:paraId="7F89FF0A">
            <w:pPr>
              <w:spacing w:before="99" w:line="195" w:lineRule="auto"/>
              <w:ind w:left="20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0.009</w:t>
            </w:r>
          </w:p>
        </w:tc>
        <w:tc>
          <w:tcPr>
            <w:tcW w:w="1501" w:type="dxa"/>
            <w:vAlign w:val="top"/>
          </w:tcPr>
          <w:p w14:paraId="27D38E71">
            <w:pPr>
              <w:spacing w:before="95" w:line="199" w:lineRule="auto"/>
              <w:ind w:left="71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938" w:type="dxa"/>
            <w:tcBorders>
              <w:right w:val="nil"/>
            </w:tcBorders>
            <w:vAlign w:val="top"/>
          </w:tcPr>
          <w:p w14:paraId="464FE87E">
            <w:pPr>
              <w:spacing w:before="99" w:line="195" w:lineRule="auto"/>
              <w:ind w:left="18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0.0002</w:t>
            </w:r>
          </w:p>
        </w:tc>
      </w:tr>
      <w:tr w14:paraId="3F3C35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230" w:type="dxa"/>
            <w:tcBorders>
              <w:left w:val="nil"/>
            </w:tcBorders>
            <w:vAlign w:val="top"/>
          </w:tcPr>
          <w:p w14:paraId="57F102E2">
            <w:pPr>
              <w:spacing w:before="101" w:line="195" w:lineRule="auto"/>
              <w:ind w:left="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367" w:type="dxa"/>
            <w:vAlign w:val="top"/>
          </w:tcPr>
          <w:p w14:paraId="6E095CFD">
            <w:pPr>
              <w:pStyle w:val="6"/>
              <w:spacing w:before="65" w:line="220" w:lineRule="auto"/>
              <w:ind w:left="348"/>
              <w:rPr>
                <w:sz w:val="20"/>
                <w:szCs w:val="20"/>
              </w:rPr>
            </w:pPr>
            <w:r>
              <w:rPr>
                <w:spacing w:val="8"/>
                <w:sz w:val="20"/>
                <w:szCs w:val="20"/>
              </w:rPr>
              <w:t>烧结原料库无组织</w:t>
            </w:r>
          </w:p>
        </w:tc>
        <w:tc>
          <w:tcPr>
            <w:tcW w:w="882" w:type="dxa"/>
            <w:vAlign w:val="top"/>
          </w:tcPr>
          <w:p w14:paraId="7D68635D">
            <w:pPr>
              <w:spacing w:before="101" w:line="195" w:lineRule="auto"/>
              <w:ind w:left="28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494</w:t>
            </w:r>
          </w:p>
        </w:tc>
        <w:tc>
          <w:tcPr>
            <w:tcW w:w="835" w:type="dxa"/>
            <w:vAlign w:val="top"/>
          </w:tcPr>
          <w:p w14:paraId="13EFE6CA">
            <w:pPr>
              <w:spacing w:before="101"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-517</w:t>
            </w:r>
          </w:p>
        </w:tc>
        <w:tc>
          <w:tcPr>
            <w:tcW w:w="955" w:type="dxa"/>
            <w:vAlign w:val="top"/>
          </w:tcPr>
          <w:p w14:paraId="23947263">
            <w:pPr>
              <w:spacing w:before="101"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1147</w:t>
            </w:r>
          </w:p>
        </w:tc>
        <w:tc>
          <w:tcPr>
            <w:tcW w:w="899" w:type="dxa"/>
            <w:vAlign w:val="top"/>
          </w:tcPr>
          <w:p w14:paraId="1EFA0644">
            <w:pPr>
              <w:spacing w:before="101"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165</w:t>
            </w:r>
          </w:p>
        </w:tc>
        <w:tc>
          <w:tcPr>
            <w:tcW w:w="935" w:type="dxa"/>
            <w:vAlign w:val="top"/>
          </w:tcPr>
          <w:p w14:paraId="4265A74B">
            <w:pPr>
              <w:spacing w:before="101"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60.6</w:t>
            </w:r>
          </w:p>
        </w:tc>
        <w:tc>
          <w:tcPr>
            <w:tcW w:w="882" w:type="dxa"/>
            <w:vAlign w:val="top"/>
          </w:tcPr>
          <w:p w14:paraId="38144E84">
            <w:pPr>
              <w:spacing w:before="101" w:line="195" w:lineRule="auto"/>
              <w:ind w:left="39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12EFBD84">
            <w:pPr>
              <w:spacing w:before="101" w:line="195" w:lineRule="auto"/>
              <w:ind w:left="3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21.5</w:t>
            </w:r>
          </w:p>
        </w:tc>
        <w:tc>
          <w:tcPr>
            <w:tcW w:w="899" w:type="dxa"/>
            <w:vAlign w:val="top"/>
          </w:tcPr>
          <w:p w14:paraId="1CCBB62C">
            <w:pPr>
              <w:spacing w:before="101"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c>
          <w:tcPr>
            <w:tcW w:w="650" w:type="dxa"/>
            <w:vAlign w:val="top"/>
          </w:tcPr>
          <w:p w14:paraId="2FDB6A9F">
            <w:pPr>
              <w:pStyle w:val="6"/>
              <w:spacing w:before="65" w:line="220" w:lineRule="auto"/>
              <w:ind w:left="124"/>
              <w:rPr>
                <w:sz w:val="20"/>
                <w:szCs w:val="20"/>
              </w:rPr>
            </w:pPr>
            <w:r>
              <w:rPr>
                <w:spacing w:val="2"/>
                <w:sz w:val="20"/>
                <w:szCs w:val="20"/>
              </w:rPr>
              <w:t>正常</w:t>
            </w:r>
          </w:p>
        </w:tc>
        <w:tc>
          <w:tcPr>
            <w:tcW w:w="871" w:type="dxa"/>
            <w:vAlign w:val="top"/>
          </w:tcPr>
          <w:p w14:paraId="7AF4B6EA">
            <w:pPr>
              <w:spacing w:before="104"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0.39</w:t>
            </w:r>
          </w:p>
        </w:tc>
        <w:tc>
          <w:tcPr>
            <w:tcW w:w="1501" w:type="dxa"/>
            <w:vAlign w:val="top"/>
          </w:tcPr>
          <w:p w14:paraId="0D9CE8D6">
            <w:pPr>
              <w:spacing w:before="101" w:line="195" w:lineRule="auto"/>
              <w:ind w:left="5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c>
          <w:tcPr>
            <w:tcW w:w="938" w:type="dxa"/>
            <w:tcBorders>
              <w:right w:val="nil"/>
            </w:tcBorders>
            <w:vAlign w:val="top"/>
          </w:tcPr>
          <w:p w14:paraId="54584420">
            <w:pPr>
              <w:spacing w:before="104"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0.008</w:t>
            </w:r>
          </w:p>
        </w:tc>
      </w:tr>
      <w:tr w14:paraId="1ADA20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230" w:type="dxa"/>
            <w:tcBorders>
              <w:left w:val="nil"/>
            </w:tcBorders>
            <w:vAlign w:val="top"/>
          </w:tcPr>
          <w:p w14:paraId="51AB06BA">
            <w:pPr>
              <w:spacing w:before="107" w:line="192" w:lineRule="auto"/>
              <w:ind w:left="69"/>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367" w:type="dxa"/>
            <w:vAlign w:val="top"/>
          </w:tcPr>
          <w:p w14:paraId="4132CA54">
            <w:pPr>
              <w:pStyle w:val="6"/>
              <w:spacing w:before="68" w:line="217" w:lineRule="auto"/>
              <w:ind w:left="453"/>
              <w:rPr>
                <w:sz w:val="20"/>
                <w:szCs w:val="20"/>
              </w:rPr>
            </w:pPr>
            <w:r>
              <w:rPr>
                <w:spacing w:val="8"/>
                <w:sz w:val="20"/>
                <w:szCs w:val="20"/>
              </w:rPr>
              <w:t>烧结系统无组织</w:t>
            </w:r>
          </w:p>
        </w:tc>
        <w:tc>
          <w:tcPr>
            <w:tcW w:w="882" w:type="dxa"/>
            <w:vAlign w:val="top"/>
          </w:tcPr>
          <w:p w14:paraId="583B44CA">
            <w:pPr>
              <w:spacing w:before="104"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502</w:t>
            </w:r>
          </w:p>
        </w:tc>
        <w:tc>
          <w:tcPr>
            <w:tcW w:w="835" w:type="dxa"/>
            <w:vAlign w:val="top"/>
          </w:tcPr>
          <w:p w14:paraId="49F54DD7">
            <w:pPr>
              <w:spacing w:before="104"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-563</w:t>
            </w:r>
          </w:p>
        </w:tc>
        <w:tc>
          <w:tcPr>
            <w:tcW w:w="955" w:type="dxa"/>
            <w:vAlign w:val="top"/>
          </w:tcPr>
          <w:p w14:paraId="389F44B7">
            <w:pPr>
              <w:spacing w:before="104"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1145</w:t>
            </w:r>
          </w:p>
        </w:tc>
        <w:tc>
          <w:tcPr>
            <w:tcW w:w="899" w:type="dxa"/>
            <w:vAlign w:val="top"/>
          </w:tcPr>
          <w:p w14:paraId="286727BC">
            <w:pPr>
              <w:spacing w:before="104"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165</w:t>
            </w:r>
          </w:p>
        </w:tc>
        <w:tc>
          <w:tcPr>
            <w:tcW w:w="935" w:type="dxa"/>
            <w:vAlign w:val="top"/>
          </w:tcPr>
          <w:p w14:paraId="73D00020">
            <w:pPr>
              <w:spacing w:before="104" w:line="195" w:lineRule="auto"/>
              <w:ind w:left="3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160</w:t>
            </w:r>
          </w:p>
        </w:tc>
        <w:tc>
          <w:tcPr>
            <w:tcW w:w="882" w:type="dxa"/>
            <w:vAlign w:val="top"/>
          </w:tcPr>
          <w:p w14:paraId="39EC4860">
            <w:pPr>
              <w:spacing w:before="104" w:line="195" w:lineRule="auto"/>
              <w:ind w:left="39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2B7B0B28">
            <w:pPr>
              <w:spacing w:before="104" w:line="195" w:lineRule="auto"/>
              <w:ind w:left="3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28.5</w:t>
            </w:r>
          </w:p>
        </w:tc>
        <w:tc>
          <w:tcPr>
            <w:tcW w:w="899" w:type="dxa"/>
            <w:vAlign w:val="top"/>
          </w:tcPr>
          <w:p w14:paraId="0560AAEA">
            <w:pPr>
              <w:spacing w:before="104"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c>
          <w:tcPr>
            <w:tcW w:w="650" w:type="dxa"/>
            <w:vAlign w:val="top"/>
          </w:tcPr>
          <w:p w14:paraId="510546B1">
            <w:pPr>
              <w:pStyle w:val="6"/>
              <w:spacing w:before="68" w:line="217" w:lineRule="auto"/>
              <w:ind w:left="124"/>
              <w:rPr>
                <w:sz w:val="20"/>
                <w:szCs w:val="20"/>
              </w:rPr>
            </w:pPr>
            <w:r>
              <w:rPr>
                <w:spacing w:val="2"/>
                <w:sz w:val="20"/>
                <w:szCs w:val="20"/>
              </w:rPr>
              <w:t>正常</w:t>
            </w:r>
          </w:p>
        </w:tc>
        <w:tc>
          <w:tcPr>
            <w:tcW w:w="871" w:type="dxa"/>
            <w:vAlign w:val="top"/>
          </w:tcPr>
          <w:p w14:paraId="5A2BFC5E">
            <w:pPr>
              <w:spacing w:before="106"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0.80</w:t>
            </w:r>
          </w:p>
        </w:tc>
        <w:tc>
          <w:tcPr>
            <w:tcW w:w="1501" w:type="dxa"/>
            <w:vAlign w:val="top"/>
          </w:tcPr>
          <w:p w14:paraId="160BE34E">
            <w:pPr>
              <w:spacing w:before="104" w:line="195" w:lineRule="auto"/>
              <w:ind w:left="5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0.13</w:t>
            </w:r>
          </w:p>
        </w:tc>
        <w:tc>
          <w:tcPr>
            <w:tcW w:w="938" w:type="dxa"/>
            <w:tcBorders>
              <w:right w:val="nil"/>
            </w:tcBorders>
            <w:vAlign w:val="top"/>
          </w:tcPr>
          <w:p w14:paraId="6D56F23C">
            <w:pPr>
              <w:spacing w:before="106"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0.016</w:t>
            </w:r>
          </w:p>
        </w:tc>
      </w:tr>
      <w:tr w14:paraId="23492B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230" w:type="dxa"/>
            <w:tcBorders>
              <w:left w:val="nil"/>
              <w:bottom w:val="single" w:color="000000" w:sz="10" w:space="0"/>
            </w:tcBorders>
            <w:vAlign w:val="top"/>
          </w:tcPr>
          <w:p w14:paraId="2FAC2E82">
            <w:pPr>
              <w:spacing w:before="109" w:line="195" w:lineRule="auto"/>
              <w:ind w:left="68"/>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367" w:type="dxa"/>
            <w:tcBorders>
              <w:bottom w:val="single" w:color="000000" w:sz="10" w:space="0"/>
            </w:tcBorders>
            <w:vAlign w:val="top"/>
          </w:tcPr>
          <w:p w14:paraId="2E6AE8CE">
            <w:pPr>
              <w:pStyle w:val="6"/>
              <w:spacing w:before="73" w:line="228" w:lineRule="auto"/>
              <w:ind w:left="59"/>
              <w:rPr>
                <w:sz w:val="20"/>
                <w:szCs w:val="20"/>
              </w:rPr>
            </w:pPr>
            <w:r>
              <w:rPr>
                <w:spacing w:val="6"/>
                <w:sz w:val="20"/>
                <w:szCs w:val="20"/>
              </w:rPr>
              <w:t>电炉生产区配料站无组织</w:t>
            </w:r>
          </w:p>
        </w:tc>
        <w:tc>
          <w:tcPr>
            <w:tcW w:w="882" w:type="dxa"/>
            <w:tcBorders>
              <w:bottom w:val="single" w:color="000000" w:sz="10" w:space="0"/>
            </w:tcBorders>
            <w:vAlign w:val="top"/>
          </w:tcPr>
          <w:p w14:paraId="22E19EA8">
            <w:pPr>
              <w:spacing w:before="109" w:line="195" w:lineRule="auto"/>
              <w:ind w:left="2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376</w:t>
            </w:r>
          </w:p>
        </w:tc>
        <w:tc>
          <w:tcPr>
            <w:tcW w:w="835" w:type="dxa"/>
            <w:tcBorders>
              <w:bottom w:val="single" w:color="000000" w:sz="10" w:space="0"/>
            </w:tcBorders>
            <w:vAlign w:val="top"/>
          </w:tcPr>
          <w:p w14:paraId="6F775FF3">
            <w:pPr>
              <w:spacing w:before="109"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-535</w:t>
            </w:r>
          </w:p>
        </w:tc>
        <w:tc>
          <w:tcPr>
            <w:tcW w:w="955" w:type="dxa"/>
            <w:tcBorders>
              <w:bottom w:val="single" w:color="000000" w:sz="10" w:space="0"/>
            </w:tcBorders>
            <w:vAlign w:val="top"/>
          </w:tcPr>
          <w:p w14:paraId="1BBFC0E7">
            <w:pPr>
              <w:spacing w:before="109"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1148</w:t>
            </w:r>
          </w:p>
        </w:tc>
        <w:tc>
          <w:tcPr>
            <w:tcW w:w="899" w:type="dxa"/>
            <w:tcBorders>
              <w:bottom w:val="single" w:color="000000" w:sz="10" w:space="0"/>
            </w:tcBorders>
            <w:vAlign w:val="top"/>
          </w:tcPr>
          <w:p w14:paraId="624421FE">
            <w:pPr>
              <w:spacing w:before="109"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110</w:t>
            </w:r>
          </w:p>
        </w:tc>
        <w:tc>
          <w:tcPr>
            <w:tcW w:w="935" w:type="dxa"/>
            <w:tcBorders>
              <w:bottom w:val="single" w:color="000000" w:sz="10" w:space="0"/>
            </w:tcBorders>
            <w:vAlign w:val="top"/>
          </w:tcPr>
          <w:p w14:paraId="48C36B26">
            <w:pPr>
              <w:spacing w:before="109" w:line="195" w:lineRule="auto"/>
              <w:ind w:left="3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882" w:type="dxa"/>
            <w:tcBorders>
              <w:bottom w:val="single" w:color="000000" w:sz="10" w:space="0"/>
            </w:tcBorders>
            <w:vAlign w:val="top"/>
          </w:tcPr>
          <w:p w14:paraId="0EA6C675">
            <w:pPr>
              <w:spacing w:before="109" w:line="195" w:lineRule="auto"/>
              <w:ind w:left="39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tcBorders>
              <w:bottom w:val="single" w:color="000000" w:sz="10" w:space="0"/>
            </w:tcBorders>
            <w:vAlign w:val="top"/>
          </w:tcPr>
          <w:p w14:paraId="260285B8">
            <w:pPr>
              <w:spacing w:before="109" w:line="195" w:lineRule="auto"/>
              <w:ind w:left="4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899" w:type="dxa"/>
            <w:tcBorders>
              <w:bottom w:val="single" w:color="000000" w:sz="10" w:space="0"/>
            </w:tcBorders>
            <w:vAlign w:val="top"/>
          </w:tcPr>
          <w:p w14:paraId="724E0947">
            <w:pPr>
              <w:spacing w:before="109"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c>
          <w:tcPr>
            <w:tcW w:w="650" w:type="dxa"/>
            <w:tcBorders>
              <w:bottom w:val="single" w:color="000000" w:sz="10" w:space="0"/>
            </w:tcBorders>
            <w:vAlign w:val="top"/>
          </w:tcPr>
          <w:p w14:paraId="60763765">
            <w:pPr>
              <w:pStyle w:val="6"/>
              <w:spacing w:before="71" w:line="228" w:lineRule="auto"/>
              <w:ind w:left="124"/>
              <w:rPr>
                <w:sz w:val="20"/>
                <w:szCs w:val="20"/>
              </w:rPr>
            </w:pPr>
            <w:r>
              <w:rPr>
                <w:spacing w:val="2"/>
                <w:sz w:val="20"/>
                <w:szCs w:val="20"/>
              </w:rPr>
              <w:t>正常</w:t>
            </w:r>
          </w:p>
        </w:tc>
        <w:tc>
          <w:tcPr>
            <w:tcW w:w="871" w:type="dxa"/>
            <w:tcBorders>
              <w:bottom w:val="single" w:color="000000" w:sz="10" w:space="0"/>
            </w:tcBorders>
            <w:vAlign w:val="top"/>
          </w:tcPr>
          <w:p w14:paraId="0F83A272">
            <w:pPr>
              <w:spacing w:before="109"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0.17</w:t>
            </w:r>
          </w:p>
        </w:tc>
        <w:tc>
          <w:tcPr>
            <w:tcW w:w="1501" w:type="dxa"/>
            <w:tcBorders>
              <w:bottom w:val="single" w:color="000000" w:sz="10" w:space="0"/>
            </w:tcBorders>
            <w:vAlign w:val="top"/>
          </w:tcPr>
          <w:p w14:paraId="79543D2E">
            <w:pPr>
              <w:spacing w:before="109" w:line="195" w:lineRule="auto"/>
              <w:ind w:left="5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8" w:type="dxa"/>
            <w:tcBorders>
              <w:bottom w:val="single" w:color="000000" w:sz="10" w:space="0"/>
              <w:right w:val="nil"/>
            </w:tcBorders>
            <w:vAlign w:val="top"/>
          </w:tcPr>
          <w:p w14:paraId="2B45F9FD">
            <w:pPr>
              <w:spacing w:before="109"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w:t>
            </w:r>
          </w:p>
        </w:tc>
      </w:tr>
    </w:tbl>
    <w:p w14:paraId="638F5132">
      <w:pPr>
        <w:pStyle w:val="2"/>
      </w:pPr>
    </w:p>
    <w:p w14:paraId="41E0D774">
      <w:pPr>
        <w:sectPr>
          <w:headerReference r:id="rId273" w:type="default"/>
          <w:footerReference r:id="rId274" w:type="default"/>
          <w:pgSz w:w="16839" w:h="11906"/>
          <w:pgMar w:top="1191" w:right="1416" w:bottom="1012" w:left="1417" w:header="882" w:footer="850" w:gutter="0"/>
          <w:cols w:space="720" w:num="1"/>
        </w:sectPr>
      </w:pPr>
    </w:p>
    <w:p w14:paraId="20CD7474">
      <w:pPr>
        <w:spacing w:line="28" w:lineRule="exact"/>
      </w:pPr>
      <w:r>
        <w:pict>
          <v:shape id="_x0000_s1791" o:spid="_x0000_s1791" style="height:1.45pt;width:700.25pt;" fillcolor="#000000" filled="t" stroked="f" coordsize="14005,29" path="m0,0l14004,0,14004,28,0,28,0,0xe">
            <v:path/>
            <v:fill on="t" focussize="0,0"/>
            <v:stroke on="f"/>
            <v:imagedata o:title=""/>
            <o:lock v:ext="edit"/>
            <w10:wrap type="none"/>
            <w10:anchorlock/>
          </v:shape>
        </w:pict>
      </w:r>
    </w:p>
    <w:p w14:paraId="0C39A9B8">
      <w:pPr>
        <w:spacing w:line="196" w:lineRule="exact"/>
      </w:pPr>
    </w:p>
    <w:tbl>
      <w:tblPr>
        <w:tblStyle w:val="5"/>
        <w:tblW w:w="13995"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0"/>
        <w:gridCol w:w="2367"/>
        <w:gridCol w:w="882"/>
        <w:gridCol w:w="835"/>
        <w:gridCol w:w="955"/>
        <w:gridCol w:w="899"/>
        <w:gridCol w:w="935"/>
        <w:gridCol w:w="882"/>
        <w:gridCol w:w="1151"/>
        <w:gridCol w:w="899"/>
        <w:gridCol w:w="650"/>
        <w:gridCol w:w="871"/>
        <w:gridCol w:w="1501"/>
        <w:gridCol w:w="938"/>
      </w:tblGrid>
      <w:tr w14:paraId="741308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230" w:type="dxa"/>
            <w:vMerge w:val="restart"/>
            <w:tcBorders>
              <w:top w:val="single" w:color="000000" w:sz="10" w:space="0"/>
              <w:left w:val="nil"/>
              <w:bottom w:val="nil"/>
            </w:tcBorders>
            <w:textDirection w:val="tbRlV"/>
            <w:vAlign w:val="top"/>
          </w:tcPr>
          <w:p w14:paraId="240A169E">
            <w:pPr>
              <w:pStyle w:val="6"/>
              <w:spacing w:before="11" w:line="214" w:lineRule="auto"/>
              <w:ind w:left="40"/>
              <w:rPr>
                <w:sz w:val="20"/>
                <w:szCs w:val="20"/>
              </w:rPr>
            </w:pPr>
            <w:r>
              <w:rPr>
                <w:spacing w:val="8"/>
                <w:sz w:val="20"/>
                <w:szCs w:val="20"/>
              </w:rPr>
              <w:t>编</w:t>
            </w:r>
            <w:r>
              <w:rPr>
                <w:spacing w:val="-38"/>
                <w:sz w:val="20"/>
                <w:szCs w:val="20"/>
              </w:rPr>
              <w:t xml:space="preserve"> </w:t>
            </w:r>
            <w:r>
              <w:rPr>
                <w:spacing w:val="8"/>
                <w:sz w:val="20"/>
                <w:szCs w:val="20"/>
              </w:rPr>
              <w:t>号</w:t>
            </w:r>
          </w:p>
        </w:tc>
        <w:tc>
          <w:tcPr>
            <w:tcW w:w="2367" w:type="dxa"/>
            <w:vMerge w:val="restart"/>
            <w:tcBorders>
              <w:top w:val="single" w:color="000000" w:sz="10" w:space="0"/>
              <w:bottom w:val="nil"/>
            </w:tcBorders>
            <w:vAlign w:val="top"/>
          </w:tcPr>
          <w:p w14:paraId="48751A0A">
            <w:pPr>
              <w:pStyle w:val="6"/>
              <w:spacing w:before="176" w:line="230" w:lineRule="auto"/>
              <w:ind w:left="980"/>
              <w:rPr>
                <w:sz w:val="20"/>
                <w:szCs w:val="20"/>
              </w:rPr>
            </w:pPr>
            <w:r>
              <w:rPr>
                <w:spacing w:val="3"/>
                <w:sz w:val="20"/>
                <w:szCs w:val="20"/>
              </w:rPr>
              <w:t>名称</w:t>
            </w:r>
          </w:p>
        </w:tc>
        <w:tc>
          <w:tcPr>
            <w:tcW w:w="1717" w:type="dxa"/>
            <w:gridSpan w:val="2"/>
            <w:tcBorders>
              <w:top w:val="single" w:color="000000" w:sz="10" w:space="0"/>
            </w:tcBorders>
            <w:vAlign w:val="top"/>
          </w:tcPr>
          <w:p w14:paraId="1B04CBF8">
            <w:pPr>
              <w:pStyle w:val="6"/>
              <w:spacing w:before="35" w:line="215" w:lineRule="auto"/>
              <w:ind w:left="18"/>
              <w:rPr>
                <w:rFonts w:ascii="Times New Roman" w:hAnsi="Times New Roman" w:eastAsia="Times New Roman" w:cs="Times New Roman"/>
                <w:sz w:val="20"/>
                <w:szCs w:val="20"/>
              </w:rPr>
            </w:pPr>
            <w:r>
              <w:rPr>
                <w:spacing w:val="7"/>
                <w:sz w:val="20"/>
                <w:szCs w:val="20"/>
              </w:rPr>
              <w:t>面源中心点坐标</w:t>
            </w:r>
            <w:r>
              <w:rPr>
                <w:rFonts w:ascii="Times New Roman" w:hAnsi="Times New Roman" w:eastAsia="Times New Roman" w:cs="Times New Roman"/>
                <w:spacing w:val="7"/>
                <w:sz w:val="20"/>
                <w:szCs w:val="20"/>
              </w:rPr>
              <w:t>/m</w:t>
            </w:r>
          </w:p>
        </w:tc>
        <w:tc>
          <w:tcPr>
            <w:tcW w:w="955" w:type="dxa"/>
            <w:vMerge w:val="restart"/>
            <w:tcBorders>
              <w:top w:val="single" w:color="000000" w:sz="10" w:space="0"/>
              <w:bottom w:val="nil"/>
            </w:tcBorders>
            <w:vAlign w:val="top"/>
          </w:tcPr>
          <w:p w14:paraId="0E0E2572">
            <w:pPr>
              <w:pStyle w:val="6"/>
              <w:spacing w:before="40" w:line="234" w:lineRule="auto"/>
              <w:ind w:left="167" w:right="58" w:hanging="105"/>
              <w:rPr>
                <w:rFonts w:ascii="Times New Roman" w:hAnsi="Times New Roman" w:eastAsia="Times New Roman" w:cs="Times New Roman"/>
                <w:sz w:val="20"/>
                <w:szCs w:val="20"/>
              </w:rPr>
            </w:pPr>
            <w:r>
              <w:rPr>
                <w:spacing w:val="7"/>
                <w:sz w:val="20"/>
                <w:szCs w:val="20"/>
              </w:rPr>
              <w:t>面源海拔</w:t>
            </w:r>
            <w:r>
              <w:rPr>
                <w:sz w:val="20"/>
                <w:szCs w:val="20"/>
              </w:rPr>
              <w:t xml:space="preserve"> </w:t>
            </w:r>
            <w:r>
              <w:rPr>
                <w:spacing w:val="3"/>
                <w:sz w:val="20"/>
                <w:szCs w:val="20"/>
              </w:rPr>
              <w:t>高度</w:t>
            </w:r>
            <w:r>
              <w:rPr>
                <w:rFonts w:ascii="Times New Roman" w:hAnsi="Times New Roman" w:eastAsia="Times New Roman" w:cs="Times New Roman"/>
                <w:spacing w:val="3"/>
                <w:sz w:val="20"/>
                <w:szCs w:val="20"/>
              </w:rPr>
              <w:t>/m</w:t>
            </w:r>
          </w:p>
        </w:tc>
        <w:tc>
          <w:tcPr>
            <w:tcW w:w="899" w:type="dxa"/>
            <w:vMerge w:val="restart"/>
            <w:tcBorders>
              <w:top w:val="single" w:color="000000" w:sz="10" w:space="0"/>
              <w:bottom w:val="nil"/>
            </w:tcBorders>
            <w:vAlign w:val="top"/>
          </w:tcPr>
          <w:p w14:paraId="132AD786">
            <w:pPr>
              <w:pStyle w:val="6"/>
              <w:spacing w:before="58"/>
              <w:ind w:left="334" w:right="28" w:hanging="298"/>
              <w:rPr>
                <w:rFonts w:ascii="Times New Roman" w:hAnsi="Times New Roman" w:eastAsia="Times New Roman" w:cs="Times New Roman"/>
                <w:sz w:val="20"/>
                <w:szCs w:val="20"/>
              </w:rPr>
            </w:pPr>
            <w:r>
              <w:rPr>
                <w:spacing w:val="7"/>
                <w:sz w:val="20"/>
                <w:szCs w:val="20"/>
              </w:rPr>
              <w:t>面源长度</w:t>
            </w:r>
            <w:r>
              <w:rPr>
                <w:sz w:val="20"/>
                <w:szCs w:val="20"/>
              </w:rPr>
              <w:t xml:space="preserve"> </w:t>
            </w:r>
            <w:r>
              <w:rPr>
                <w:rFonts w:ascii="Times New Roman" w:hAnsi="Times New Roman" w:eastAsia="Times New Roman" w:cs="Times New Roman"/>
                <w:spacing w:val="4"/>
                <w:sz w:val="20"/>
                <w:szCs w:val="20"/>
              </w:rPr>
              <w:t>/m</w:t>
            </w:r>
          </w:p>
        </w:tc>
        <w:tc>
          <w:tcPr>
            <w:tcW w:w="935" w:type="dxa"/>
            <w:vMerge w:val="restart"/>
            <w:tcBorders>
              <w:top w:val="single" w:color="000000" w:sz="10" w:space="0"/>
              <w:bottom w:val="nil"/>
            </w:tcBorders>
            <w:vAlign w:val="top"/>
          </w:tcPr>
          <w:p w14:paraId="5D2A2AE3">
            <w:pPr>
              <w:pStyle w:val="6"/>
              <w:spacing w:before="58"/>
              <w:ind w:left="352" w:right="46" w:hanging="298"/>
              <w:rPr>
                <w:rFonts w:ascii="Times New Roman" w:hAnsi="Times New Roman" w:eastAsia="Times New Roman" w:cs="Times New Roman"/>
                <w:sz w:val="20"/>
                <w:szCs w:val="20"/>
              </w:rPr>
            </w:pPr>
            <w:r>
              <w:rPr>
                <w:spacing w:val="7"/>
                <w:sz w:val="20"/>
                <w:szCs w:val="20"/>
              </w:rPr>
              <w:t>面源宽度</w:t>
            </w:r>
            <w:r>
              <w:rPr>
                <w:sz w:val="20"/>
                <w:szCs w:val="20"/>
              </w:rPr>
              <w:t xml:space="preserve"> </w:t>
            </w:r>
            <w:r>
              <w:rPr>
                <w:rFonts w:ascii="Times New Roman" w:hAnsi="Times New Roman" w:eastAsia="Times New Roman" w:cs="Times New Roman"/>
                <w:spacing w:val="4"/>
                <w:sz w:val="20"/>
                <w:szCs w:val="20"/>
              </w:rPr>
              <w:t>/m</w:t>
            </w:r>
          </w:p>
        </w:tc>
        <w:tc>
          <w:tcPr>
            <w:tcW w:w="882" w:type="dxa"/>
            <w:vMerge w:val="restart"/>
            <w:tcBorders>
              <w:top w:val="single" w:color="000000" w:sz="10" w:space="0"/>
              <w:bottom w:val="nil"/>
            </w:tcBorders>
            <w:vAlign w:val="top"/>
          </w:tcPr>
          <w:p w14:paraId="32692BE3">
            <w:pPr>
              <w:pStyle w:val="6"/>
              <w:spacing w:before="40" w:line="234" w:lineRule="auto"/>
              <w:ind w:left="165" w:right="21" w:hanging="136"/>
              <w:rPr>
                <w:rFonts w:ascii="Times New Roman" w:hAnsi="Times New Roman" w:eastAsia="Times New Roman" w:cs="Times New Roman"/>
                <w:sz w:val="20"/>
                <w:szCs w:val="20"/>
              </w:rPr>
            </w:pPr>
            <w:r>
              <w:rPr>
                <w:spacing w:val="6"/>
                <w:sz w:val="20"/>
                <w:szCs w:val="20"/>
              </w:rPr>
              <w:t>与正北向</w:t>
            </w:r>
            <w:r>
              <w:rPr>
                <w:sz w:val="20"/>
                <w:szCs w:val="20"/>
              </w:rPr>
              <w:t xml:space="preserve"> </w:t>
            </w:r>
            <w:r>
              <w:rPr>
                <w:spacing w:val="3"/>
                <w:sz w:val="20"/>
                <w:szCs w:val="20"/>
              </w:rPr>
              <w:t>夹角</w:t>
            </w:r>
            <w:r>
              <w:rPr>
                <w:rFonts w:ascii="Times New Roman" w:hAnsi="Times New Roman" w:eastAsia="Times New Roman" w:cs="Times New Roman"/>
                <w:spacing w:val="3"/>
                <w:sz w:val="20"/>
                <w:szCs w:val="20"/>
              </w:rPr>
              <w:t>/°</w:t>
            </w:r>
          </w:p>
        </w:tc>
        <w:tc>
          <w:tcPr>
            <w:tcW w:w="1151" w:type="dxa"/>
            <w:vMerge w:val="restart"/>
            <w:tcBorders>
              <w:top w:val="single" w:color="000000" w:sz="10" w:space="0"/>
              <w:bottom w:val="nil"/>
            </w:tcBorders>
            <w:vAlign w:val="top"/>
          </w:tcPr>
          <w:p w14:paraId="00984A96">
            <w:pPr>
              <w:pStyle w:val="6"/>
              <w:spacing w:before="40" w:line="234" w:lineRule="auto"/>
              <w:ind w:left="153" w:right="49" w:hanging="97"/>
              <w:rPr>
                <w:rFonts w:ascii="Times New Roman" w:hAnsi="Times New Roman" w:eastAsia="Times New Roman" w:cs="Times New Roman"/>
                <w:sz w:val="20"/>
                <w:szCs w:val="20"/>
              </w:rPr>
            </w:pPr>
            <w:r>
              <w:rPr>
                <w:spacing w:val="7"/>
                <w:sz w:val="20"/>
                <w:szCs w:val="20"/>
              </w:rPr>
              <w:t>面源有效排</w:t>
            </w:r>
            <w:r>
              <w:rPr>
                <w:spacing w:val="3"/>
                <w:sz w:val="20"/>
                <w:szCs w:val="20"/>
              </w:rPr>
              <w:t xml:space="preserve"> </w:t>
            </w:r>
            <w:r>
              <w:rPr>
                <w:spacing w:val="6"/>
                <w:sz w:val="20"/>
                <w:szCs w:val="20"/>
              </w:rPr>
              <w:t>放高度</w:t>
            </w:r>
            <w:r>
              <w:rPr>
                <w:rFonts w:ascii="Times New Roman" w:hAnsi="Times New Roman" w:eastAsia="Times New Roman" w:cs="Times New Roman"/>
                <w:spacing w:val="6"/>
                <w:sz w:val="20"/>
                <w:szCs w:val="20"/>
              </w:rPr>
              <w:t>/m</w:t>
            </w:r>
          </w:p>
        </w:tc>
        <w:tc>
          <w:tcPr>
            <w:tcW w:w="899" w:type="dxa"/>
            <w:vMerge w:val="restart"/>
            <w:tcBorders>
              <w:top w:val="single" w:color="000000" w:sz="10" w:space="0"/>
              <w:bottom w:val="nil"/>
            </w:tcBorders>
            <w:vAlign w:val="top"/>
          </w:tcPr>
          <w:p w14:paraId="495DE14F">
            <w:pPr>
              <w:pStyle w:val="6"/>
              <w:spacing w:before="40" w:line="234" w:lineRule="auto"/>
              <w:ind w:left="173" w:right="29" w:hanging="138"/>
              <w:rPr>
                <w:rFonts w:ascii="Times New Roman" w:hAnsi="Times New Roman" w:eastAsia="Times New Roman" w:cs="Times New Roman"/>
                <w:sz w:val="20"/>
                <w:szCs w:val="20"/>
              </w:rPr>
            </w:pPr>
            <w:r>
              <w:rPr>
                <w:spacing w:val="7"/>
                <w:sz w:val="20"/>
                <w:szCs w:val="20"/>
              </w:rPr>
              <w:t>年排放小</w:t>
            </w:r>
            <w:r>
              <w:rPr>
                <w:sz w:val="20"/>
                <w:szCs w:val="20"/>
              </w:rPr>
              <w:t xml:space="preserve"> </w:t>
            </w:r>
            <w:r>
              <w:rPr>
                <w:spacing w:val="2"/>
                <w:sz w:val="20"/>
                <w:szCs w:val="20"/>
              </w:rPr>
              <w:t>时数</w:t>
            </w:r>
            <w:r>
              <w:rPr>
                <w:rFonts w:ascii="Times New Roman" w:hAnsi="Times New Roman" w:eastAsia="Times New Roman" w:cs="Times New Roman"/>
                <w:spacing w:val="2"/>
                <w:sz w:val="20"/>
                <w:szCs w:val="20"/>
              </w:rPr>
              <w:t>/h</w:t>
            </w:r>
          </w:p>
        </w:tc>
        <w:tc>
          <w:tcPr>
            <w:tcW w:w="650" w:type="dxa"/>
            <w:vMerge w:val="restart"/>
            <w:tcBorders>
              <w:top w:val="single" w:color="000000" w:sz="10" w:space="0"/>
              <w:bottom w:val="nil"/>
            </w:tcBorders>
            <w:vAlign w:val="top"/>
          </w:tcPr>
          <w:p w14:paraId="275AFCAD">
            <w:pPr>
              <w:pStyle w:val="6"/>
              <w:spacing w:before="40" w:line="234" w:lineRule="auto"/>
              <w:ind w:left="122" w:right="115" w:hanging="2"/>
              <w:rPr>
                <w:sz w:val="20"/>
                <w:szCs w:val="20"/>
              </w:rPr>
            </w:pPr>
            <w:r>
              <w:rPr>
                <w:spacing w:val="4"/>
                <w:sz w:val="20"/>
                <w:szCs w:val="20"/>
              </w:rPr>
              <w:t>排放</w:t>
            </w:r>
            <w:r>
              <w:rPr>
                <w:sz w:val="20"/>
                <w:szCs w:val="20"/>
              </w:rPr>
              <w:t xml:space="preserve"> </w:t>
            </w:r>
            <w:r>
              <w:rPr>
                <w:spacing w:val="3"/>
                <w:sz w:val="20"/>
                <w:szCs w:val="20"/>
              </w:rPr>
              <w:t>工况</w:t>
            </w:r>
          </w:p>
        </w:tc>
        <w:tc>
          <w:tcPr>
            <w:tcW w:w="3310" w:type="dxa"/>
            <w:gridSpan w:val="3"/>
            <w:tcBorders>
              <w:top w:val="single" w:color="000000" w:sz="10" w:space="0"/>
              <w:right w:val="nil"/>
            </w:tcBorders>
            <w:vAlign w:val="top"/>
          </w:tcPr>
          <w:p w14:paraId="411905B5">
            <w:pPr>
              <w:pStyle w:val="6"/>
              <w:spacing w:before="35" w:line="215" w:lineRule="auto"/>
              <w:ind w:left="503"/>
              <w:rPr>
                <w:sz w:val="20"/>
                <w:szCs w:val="20"/>
              </w:rPr>
            </w:pPr>
            <w:r>
              <w:rPr>
                <w:spacing w:val="7"/>
                <w:sz w:val="20"/>
                <w:szCs w:val="20"/>
              </w:rPr>
              <w:t>污染物排放速率</w:t>
            </w:r>
            <w:r>
              <w:rPr>
                <w:rFonts w:ascii="Times New Roman" w:hAnsi="Times New Roman" w:eastAsia="Times New Roman" w:cs="Times New Roman"/>
                <w:spacing w:val="7"/>
                <w:sz w:val="20"/>
                <w:szCs w:val="20"/>
              </w:rPr>
              <w:t>/</w:t>
            </w:r>
            <w:r>
              <w:rPr>
                <w:spacing w:val="7"/>
                <w:sz w:val="20"/>
                <w:szCs w:val="20"/>
              </w:rPr>
              <w:t>（</w:t>
            </w:r>
            <w:r>
              <w:rPr>
                <w:rFonts w:ascii="Times New Roman" w:hAnsi="Times New Roman" w:eastAsia="Times New Roman" w:cs="Times New Roman"/>
                <w:sz w:val="20"/>
                <w:szCs w:val="20"/>
              </w:rPr>
              <w:t>kg</w:t>
            </w:r>
            <w:r>
              <w:rPr>
                <w:rFonts w:ascii="Times New Roman" w:hAnsi="Times New Roman" w:eastAsia="Times New Roman" w:cs="Times New Roman"/>
                <w:spacing w:val="7"/>
                <w:sz w:val="20"/>
                <w:szCs w:val="20"/>
              </w:rPr>
              <w:t>/h</w:t>
            </w:r>
            <w:r>
              <w:rPr>
                <w:spacing w:val="7"/>
                <w:sz w:val="20"/>
                <w:szCs w:val="20"/>
              </w:rPr>
              <w:t>）</w:t>
            </w:r>
          </w:p>
        </w:tc>
      </w:tr>
      <w:tr w14:paraId="54FD8E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30" w:type="dxa"/>
            <w:vMerge w:val="continue"/>
            <w:tcBorders>
              <w:top w:val="nil"/>
              <w:left w:val="nil"/>
            </w:tcBorders>
            <w:textDirection w:val="tbRlV"/>
            <w:vAlign w:val="top"/>
          </w:tcPr>
          <w:p w14:paraId="15AA62F7">
            <w:pPr>
              <w:spacing w:line="227" w:lineRule="exact"/>
              <w:rPr>
                <w:rFonts w:ascii="Arial"/>
                <w:sz w:val="19"/>
              </w:rPr>
            </w:pPr>
          </w:p>
        </w:tc>
        <w:tc>
          <w:tcPr>
            <w:tcW w:w="2367" w:type="dxa"/>
            <w:vMerge w:val="continue"/>
            <w:tcBorders>
              <w:top w:val="nil"/>
            </w:tcBorders>
            <w:vAlign w:val="top"/>
          </w:tcPr>
          <w:p w14:paraId="7E321A99">
            <w:pPr>
              <w:rPr>
                <w:rFonts w:ascii="Arial"/>
                <w:sz w:val="21"/>
              </w:rPr>
            </w:pPr>
          </w:p>
        </w:tc>
        <w:tc>
          <w:tcPr>
            <w:tcW w:w="882" w:type="dxa"/>
            <w:vAlign w:val="top"/>
          </w:tcPr>
          <w:p w14:paraId="5C2459BB">
            <w:pPr>
              <w:spacing w:before="74" w:line="192"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X</w:t>
            </w:r>
          </w:p>
        </w:tc>
        <w:tc>
          <w:tcPr>
            <w:tcW w:w="835" w:type="dxa"/>
            <w:vAlign w:val="top"/>
          </w:tcPr>
          <w:p w14:paraId="1D3398D5">
            <w:pPr>
              <w:spacing w:before="74" w:line="192" w:lineRule="auto"/>
              <w:ind w:left="34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Y</w:t>
            </w:r>
          </w:p>
        </w:tc>
        <w:tc>
          <w:tcPr>
            <w:tcW w:w="955" w:type="dxa"/>
            <w:vMerge w:val="continue"/>
            <w:tcBorders>
              <w:top w:val="nil"/>
            </w:tcBorders>
            <w:vAlign w:val="top"/>
          </w:tcPr>
          <w:p w14:paraId="6436589C">
            <w:pPr>
              <w:rPr>
                <w:rFonts w:ascii="Arial"/>
                <w:sz w:val="21"/>
              </w:rPr>
            </w:pPr>
          </w:p>
        </w:tc>
        <w:tc>
          <w:tcPr>
            <w:tcW w:w="899" w:type="dxa"/>
            <w:vMerge w:val="continue"/>
            <w:tcBorders>
              <w:top w:val="nil"/>
            </w:tcBorders>
            <w:vAlign w:val="top"/>
          </w:tcPr>
          <w:p w14:paraId="1799D3AB">
            <w:pPr>
              <w:rPr>
                <w:rFonts w:ascii="Arial"/>
                <w:sz w:val="21"/>
              </w:rPr>
            </w:pPr>
          </w:p>
        </w:tc>
        <w:tc>
          <w:tcPr>
            <w:tcW w:w="935" w:type="dxa"/>
            <w:vMerge w:val="continue"/>
            <w:tcBorders>
              <w:top w:val="nil"/>
            </w:tcBorders>
            <w:vAlign w:val="top"/>
          </w:tcPr>
          <w:p w14:paraId="1C0E91BE">
            <w:pPr>
              <w:rPr>
                <w:rFonts w:ascii="Arial"/>
                <w:sz w:val="21"/>
              </w:rPr>
            </w:pPr>
          </w:p>
        </w:tc>
        <w:tc>
          <w:tcPr>
            <w:tcW w:w="882" w:type="dxa"/>
            <w:vMerge w:val="continue"/>
            <w:tcBorders>
              <w:top w:val="nil"/>
            </w:tcBorders>
            <w:vAlign w:val="top"/>
          </w:tcPr>
          <w:p w14:paraId="59C18B38">
            <w:pPr>
              <w:rPr>
                <w:rFonts w:ascii="Arial"/>
                <w:sz w:val="21"/>
              </w:rPr>
            </w:pPr>
          </w:p>
        </w:tc>
        <w:tc>
          <w:tcPr>
            <w:tcW w:w="1151" w:type="dxa"/>
            <w:vMerge w:val="continue"/>
            <w:tcBorders>
              <w:top w:val="nil"/>
            </w:tcBorders>
            <w:vAlign w:val="top"/>
          </w:tcPr>
          <w:p w14:paraId="09EC866A">
            <w:pPr>
              <w:rPr>
                <w:rFonts w:ascii="Arial"/>
                <w:sz w:val="21"/>
              </w:rPr>
            </w:pPr>
          </w:p>
        </w:tc>
        <w:tc>
          <w:tcPr>
            <w:tcW w:w="899" w:type="dxa"/>
            <w:vMerge w:val="continue"/>
            <w:tcBorders>
              <w:top w:val="nil"/>
            </w:tcBorders>
            <w:vAlign w:val="top"/>
          </w:tcPr>
          <w:p w14:paraId="5CAB756C">
            <w:pPr>
              <w:rPr>
                <w:rFonts w:ascii="Arial"/>
                <w:sz w:val="21"/>
              </w:rPr>
            </w:pPr>
          </w:p>
        </w:tc>
        <w:tc>
          <w:tcPr>
            <w:tcW w:w="650" w:type="dxa"/>
            <w:vMerge w:val="continue"/>
            <w:tcBorders>
              <w:top w:val="nil"/>
            </w:tcBorders>
            <w:vAlign w:val="top"/>
          </w:tcPr>
          <w:p w14:paraId="6076AF57">
            <w:pPr>
              <w:rPr>
                <w:rFonts w:ascii="Arial"/>
                <w:sz w:val="21"/>
              </w:rPr>
            </w:pPr>
          </w:p>
        </w:tc>
        <w:tc>
          <w:tcPr>
            <w:tcW w:w="871" w:type="dxa"/>
            <w:vAlign w:val="top"/>
          </w:tcPr>
          <w:p w14:paraId="39B40397">
            <w:pPr>
              <w:pStyle w:val="6"/>
              <w:spacing w:before="35" w:line="212" w:lineRule="auto"/>
              <w:ind w:left="124"/>
              <w:rPr>
                <w:sz w:val="20"/>
                <w:szCs w:val="20"/>
              </w:rPr>
            </w:pPr>
            <w:r>
              <w:rPr>
                <w:spacing w:val="7"/>
                <w:sz w:val="20"/>
                <w:szCs w:val="20"/>
              </w:rPr>
              <w:t>颗粒物</w:t>
            </w:r>
          </w:p>
        </w:tc>
        <w:tc>
          <w:tcPr>
            <w:tcW w:w="1501" w:type="dxa"/>
            <w:vAlign w:val="top"/>
          </w:tcPr>
          <w:p w14:paraId="34F957F0">
            <w:pPr>
              <w:pStyle w:val="6"/>
              <w:spacing w:before="35" w:line="212" w:lineRule="auto"/>
              <w:ind w:left="125"/>
              <w:rPr>
                <w:sz w:val="20"/>
                <w:szCs w:val="20"/>
              </w:rPr>
            </w:pPr>
            <w:r>
              <w:rPr>
                <w:spacing w:val="8"/>
                <w:sz w:val="20"/>
                <w:szCs w:val="20"/>
              </w:rPr>
              <w:t>锰及其化合物</w:t>
            </w:r>
          </w:p>
        </w:tc>
        <w:tc>
          <w:tcPr>
            <w:tcW w:w="938" w:type="dxa"/>
            <w:tcBorders>
              <w:right w:val="nil"/>
            </w:tcBorders>
            <w:vAlign w:val="top"/>
          </w:tcPr>
          <w:p w14:paraId="18E3108F">
            <w:pPr>
              <w:spacing w:before="81" w:line="191" w:lineRule="auto"/>
              <w:ind w:left="270"/>
              <w:rPr>
                <w:rFonts w:ascii="Times New Roman" w:hAnsi="Times New Roman" w:eastAsia="Times New Roman" w:cs="Times New Roman"/>
                <w:sz w:val="11"/>
                <w:szCs w:val="11"/>
              </w:rPr>
            </w:pPr>
            <w:r>
              <w:rPr>
                <w:rFonts w:ascii="Times New Roman" w:hAnsi="Times New Roman" w:eastAsia="Times New Roman" w:cs="Times New Roman"/>
                <w:sz w:val="18"/>
                <w:szCs w:val="18"/>
              </w:rPr>
              <w:t>PM</w:t>
            </w:r>
            <w:r>
              <w:rPr>
                <w:rFonts w:ascii="Times New Roman" w:hAnsi="Times New Roman" w:eastAsia="Times New Roman" w:cs="Times New Roman"/>
                <w:position w:val="-1"/>
                <w:sz w:val="11"/>
                <w:szCs w:val="11"/>
              </w:rPr>
              <w:t>2.5</w:t>
            </w:r>
          </w:p>
        </w:tc>
      </w:tr>
      <w:tr w14:paraId="4A33AA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230" w:type="dxa"/>
            <w:tcBorders>
              <w:left w:val="nil"/>
            </w:tcBorders>
            <w:vAlign w:val="top"/>
          </w:tcPr>
          <w:p w14:paraId="6F47D6AA">
            <w:pPr>
              <w:spacing w:before="96" w:line="192" w:lineRule="auto"/>
              <w:ind w:left="67"/>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367" w:type="dxa"/>
            <w:vAlign w:val="top"/>
          </w:tcPr>
          <w:p w14:paraId="0085C7DB">
            <w:pPr>
              <w:pStyle w:val="6"/>
              <w:spacing w:before="58" w:line="226" w:lineRule="auto"/>
              <w:ind w:left="59"/>
              <w:rPr>
                <w:sz w:val="20"/>
                <w:szCs w:val="20"/>
              </w:rPr>
            </w:pPr>
            <w:r>
              <w:rPr>
                <w:spacing w:val="6"/>
                <w:sz w:val="20"/>
                <w:szCs w:val="20"/>
              </w:rPr>
              <w:t>电炉生产区配料站无组织</w:t>
            </w:r>
          </w:p>
        </w:tc>
        <w:tc>
          <w:tcPr>
            <w:tcW w:w="882" w:type="dxa"/>
            <w:vAlign w:val="top"/>
          </w:tcPr>
          <w:p w14:paraId="1F1FE0DA">
            <w:pPr>
              <w:spacing w:before="93" w:line="195" w:lineRule="auto"/>
              <w:ind w:left="2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379</w:t>
            </w:r>
          </w:p>
        </w:tc>
        <w:tc>
          <w:tcPr>
            <w:tcW w:w="835" w:type="dxa"/>
            <w:vAlign w:val="top"/>
          </w:tcPr>
          <w:p w14:paraId="427ED417">
            <w:pPr>
              <w:spacing w:before="93"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-525</w:t>
            </w:r>
          </w:p>
        </w:tc>
        <w:tc>
          <w:tcPr>
            <w:tcW w:w="955" w:type="dxa"/>
            <w:vAlign w:val="top"/>
          </w:tcPr>
          <w:p w14:paraId="3AA09DF9">
            <w:pPr>
              <w:spacing w:before="93"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1148</w:t>
            </w:r>
          </w:p>
        </w:tc>
        <w:tc>
          <w:tcPr>
            <w:tcW w:w="899" w:type="dxa"/>
            <w:vAlign w:val="top"/>
          </w:tcPr>
          <w:p w14:paraId="72819083">
            <w:pPr>
              <w:spacing w:before="93"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110</w:t>
            </w:r>
          </w:p>
        </w:tc>
        <w:tc>
          <w:tcPr>
            <w:tcW w:w="935" w:type="dxa"/>
            <w:vAlign w:val="top"/>
          </w:tcPr>
          <w:p w14:paraId="630281F6">
            <w:pPr>
              <w:spacing w:before="93" w:line="195" w:lineRule="auto"/>
              <w:ind w:left="3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882" w:type="dxa"/>
            <w:vAlign w:val="top"/>
          </w:tcPr>
          <w:p w14:paraId="50478B9B">
            <w:pPr>
              <w:spacing w:before="93" w:line="195" w:lineRule="auto"/>
              <w:ind w:left="39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111B9BCA">
            <w:pPr>
              <w:spacing w:before="93" w:line="195" w:lineRule="auto"/>
              <w:ind w:left="4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899" w:type="dxa"/>
            <w:vAlign w:val="top"/>
          </w:tcPr>
          <w:p w14:paraId="57CFF0A2">
            <w:pPr>
              <w:spacing w:before="93"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c>
          <w:tcPr>
            <w:tcW w:w="650" w:type="dxa"/>
            <w:vAlign w:val="top"/>
          </w:tcPr>
          <w:p w14:paraId="7BECD432">
            <w:pPr>
              <w:pStyle w:val="6"/>
              <w:spacing w:before="55" w:line="228" w:lineRule="auto"/>
              <w:ind w:left="124"/>
              <w:rPr>
                <w:sz w:val="20"/>
                <w:szCs w:val="20"/>
              </w:rPr>
            </w:pPr>
            <w:r>
              <w:rPr>
                <w:spacing w:val="2"/>
                <w:sz w:val="20"/>
                <w:szCs w:val="20"/>
              </w:rPr>
              <w:t>正常</w:t>
            </w:r>
          </w:p>
        </w:tc>
        <w:tc>
          <w:tcPr>
            <w:tcW w:w="871" w:type="dxa"/>
            <w:vAlign w:val="top"/>
          </w:tcPr>
          <w:p w14:paraId="7A4EF346">
            <w:pPr>
              <w:spacing w:before="93"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0.17</w:t>
            </w:r>
          </w:p>
        </w:tc>
        <w:tc>
          <w:tcPr>
            <w:tcW w:w="1501" w:type="dxa"/>
            <w:vAlign w:val="top"/>
          </w:tcPr>
          <w:p w14:paraId="662EA08A">
            <w:pPr>
              <w:spacing w:before="93" w:line="195" w:lineRule="auto"/>
              <w:ind w:left="5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8" w:type="dxa"/>
            <w:tcBorders>
              <w:right w:val="nil"/>
            </w:tcBorders>
            <w:vAlign w:val="top"/>
          </w:tcPr>
          <w:p w14:paraId="6BD239DD">
            <w:pPr>
              <w:spacing w:before="93"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w:t>
            </w:r>
          </w:p>
        </w:tc>
      </w:tr>
      <w:tr w14:paraId="4AF8F8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230" w:type="dxa"/>
            <w:tcBorders>
              <w:left w:val="nil"/>
            </w:tcBorders>
            <w:vAlign w:val="top"/>
          </w:tcPr>
          <w:p w14:paraId="0F3CEA4F">
            <w:pPr>
              <w:spacing w:before="97" w:line="195" w:lineRule="auto"/>
              <w:ind w:left="72"/>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367" w:type="dxa"/>
            <w:vAlign w:val="top"/>
          </w:tcPr>
          <w:p w14:paraId="27113D52">
            <w:pPr>
              <w:pStyle w:val="6"/>
              <w:spacing w:before="61" w:line="223" w:lineRule="auto"/>
              <w:ind w:left="59"/>
              <w:rPr>
                <w:sz w:val="20"/>
                <w:szCs w:val="20"/>
              </w:rPr>
            </w:pPr>
            <w:r>
              <w:rPr>
                <w:spacing w:val="6"/>
                <w:sz w:val="20"/>
                <w:szCs w:val="20"/>
              </w:rPr>
              <w:t>电炉生产区配料站无组织</w:t>
            </w:r>
          </w:p>
        </w:tc>
        <w:tc>
          <w:tcPr>
            <w:tcW w:w="882" w:type="dxa"/>
            <w:vAlign w:val="top"/>
          </w:tcPr>
          <w:p w14:paraId="5F7E7FE8">
            <w:pPr>
              <w:spacing w:before="97" w:line="195" w:lineRule="auto"/>
              <w:ind w:left="2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385</w:t>
            </w:r>
          </w:p>
        </w:tc>
        <w:tc>
          <w:tcPr>
            <w:tcW w:w="835" w:type="dxa"/>
            <w:vAlign w:val="top"/>
          </w:tcPr>
          <w:p w14:paraId="377B125A">
            <w:pPr>
              <w:spacing w:before="97"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-605</w:t>
            </w:r>
          </w:p>
        </w:tc>
        <w:tc>
          <w:tcPr>
            <w:tcW w:w="955" w:type="dxa"/>
            <w:vAlign w:val="top"/>
          </w:tcPr>
          <w:p w14:paraId="1BCCB25C">
            <w:pPr>
              <w:spacing w:before="97"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1147</w:t>
            </w:r>
          </w:p>
        </w:tc>
        <w:tc>
          <w:tcPr>
            <w:tcW w:w="899" w:type="dxa"/>
            <w:vAlign w:val="top"/>
          </w:tcPr>
          <w:p w14:paraId="57DF5951">
            <w:pPr>
              <w:spacing w:before="97"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110</w:t>
            </w:r>
          </w:p>
        </w:tc>
        <w:tc>
          <w:tcPr>
            <w:tcW w:w="935" w:type="dxa"/>
            <w:vAlign w:val="top"/>
          </w:tcPr>
          <w:p w14:paraId="7F5A1118">
            <w:pPr>
              <w:spacing w:before="97" w:line="195" w:lineRule="auto"/>
              <w:ind w:left="3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882" w:type="dxa"/>
            <w:vAlign w:val="top"/>
          </w:tcPr>
          <w:p w14:paraId="59DFD509">
            <w:pPr>
              <w:spacing w:before="97" w:line="195" w:lineRule="auto"/>
              <w:ind w:left="39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3B9D625F">
            <w:pPr>
              <w:spacing w:before="97" w:line="195" w:lineRule="auto"/>
              <w:ind w:left="4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899" w:type="dxa"/>
            <w:vAlign w:val="top"/>
          </w:tcPr>
          <w:p w14:paraId="07196BB9">
            <w:pPr>
              <w:spacing w:before="97"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c>
          <w:tcPr>
            <w:tcW w:w="650" w:type="dxa"/>
            <w:vAlign w:val="top"/>
          </w:tcPr>
          <w:p w14:paraId="67DE4C3E">
            <w:pPr>
              <w:pStyle w:val="6"/>
              <w:spacing w:before="59" w:line="225" w:lineRule="auto"/>
              <w:ind w:left="124"/>
              <w:rPr>
                <w:sz w:val="20"/>
                <w:szCs w:val="20"/>
              </w:rPr>
            </w:pPr>
            <w:r>
              <w:rPr>
                <w:spacing w:val="2"/>
                <w:sz w:val="20"/>
                <w:szCs w:val="20"/>
              </w:rPr>
              <w:t>正常</w:t>
            </w:r>
          </w:p>
        </w:tc>
        <w:tc>
          <w:tcPr>
            <w:tcW w:w="871" w:type="dxa"/>
            <w:vAlign w:val="top"/>
          </w:tcPr>
          <w:p w14:paraId="4A491BEF">
            <w:pPr>
              <w:spacing w:before="97"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0.17</w:t>
            </w:r>
          </w:p>
        </w:tc>
        <w:tc>
          <w:tcPr>
            <w:tcW w:w="1501" w:type="dxa"/>
            <w:vAlign w:val="top"/>
          </w:tcPr>
          <w:p w14:paraId="00053189">
            <w:pPr>
              <w:spacing w:before="97" w:line="195" w:lineRule="auto"/>
              <w:ind w:left="5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8" w:type="dxa"/>
            <w:tcBorders>
              <w:right w:val="nil"/>
            </w:tcBorders>
            <w:vAlign w:val="top"/>
          </w:tcPr>
          <w:p w14:paraId="63F59C9B">
            <w:pPr>
              <w:spacing w:before="97"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0.003</w:t>
            </w:r>
          </w:p>
        </w:tc>
      </w:tr>
      <w:tr w14:paraId="779870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230" w:type="dxa"/>
            <w:tcBorders>
              <w:left w:val="nil"/>
            </w:tcBorders>
            <w:vAlign w:val="top"/>
          </w:tcPr>
          <w:p w14:paraId="76E025CE">
            <w:pPr>
              <w:spacing w:before="101" w:line="195" w:lineRule="auto"/>
              <w:ind w:left="68"/>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2367" w:type="dxa"/>
            <w:vAlign w:val="top"/>
          </w:tcPr>
          <w:p w14:paraId="6C6BCEFB">
            <w:pPr>
              <w:pStyle w:val="6"/>
              <w:spacing w:before="65" w:line="220" w:lineRule="auto"/>
              <w:ind w:left="479"/>
              <w:rPr>
                <w:sz w:val="20"/>
                <w:szCs w:val="20"/>
              </w:rPr>
            </w:pPr>
            <w:r>
              <w:rPr>
                <w:spacing w:val="5"/>
                <w:sz w:val="20"/>
                <w:szCs w:val="20"/>
              </w:rPr>
              <w:t>电炉车间无组织</w:t>
            </w:r>
          </w:p>
        </w:tc>
        <w:tc>
          <w:tcPr>
            <w:tcW w:w="882" w:type="dxa"/>
            <w:vAlign w:val="top"/>
          </w:tcPr>
          <w:p w14:paraId="2721D925">
            <w:pPr>
              <w:spacing w:before="101" w:line="195" w:lineRule="auto"/>
              <w:ind w:left="2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210</w:t>
            </w:r>
          </w:p>
        </w:tc>
        <w:tc>
          <w:tcPr>
            <w:tcW w:w="835" w:type="dxa"/>
            <w:vAlign w:val="top"/>
          </w:tcPr>
          <w:p w14:paraId="52BFC2D7">
            <w:pPr>
              <w:spacing w:before="101"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-497</w:t>
            </w:r>
          </w:p>
        </w:tc>
        <w:tc>
          <w:tcPr>
            <w:tcW w:w="955" w:type="dxa"/>
            <w:vAlign w:val="top"/>
          </w:tcPr>
          <w:p w14:paraId="3F037072">
            <w:pPr>
              <w:spacing w:before="101"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1147</w:t>
            </w:r>
          </w:p>
        </w:tc>
        <w:tc>
          <w:tcPr>
            <w:tcW w:w="899" w:type="dxa"/>
            <w:vAlign w:val="top"/>
          </w:tcPr>
          <w:p w14:paraId="60D049A8">
            <w:pPr>
              <w:spacing w:before="101"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137</w:t>
            </w:r>
          </w:p>
        </w:tc>
        <w:tc>
          <w:tcPr>
            <w:tcW w:w="935" w:type="dxa"/>
            <w:vAlign w:val="top"/>
          </w:tcPr>
          <w:p w14:paraId="57C617A0">
            <w:pPr>
              <w:spacing w:before="101" w:line="195" w:lineRule="auto"/>
              <w:ind w:left="368"/>
              <w:rPr>
                <w:rFonts w:ascii="Times New Roman" w:hAnsi="Times New Roman" w:eastAsia="Times New Roman" w:cs="Times New Roman"/>
                <w:sz w:val="20"/>
                <w:szCs w:val="20"/>
              </w:rPr>
            </w:pPr>
            <w:r>
              <w:rPr>
                <w:rFonts w:ascii="Times New Roman" w:hAnsi="Times New Roman" w:eastAsia="Times New Roman" w:cs="Times New Roman"/>
                <w:sz w:val="20"/>
                <w:szCs w:val="20"/>
              </w:rPr>
              <w:t>93</w:t>
            </w:r>
          </w:p>
        </w:tc>
        <w:tc>
          <w:tcPr>
            <w:tcW w:w="882" w:type="dxa"/>
            <w:vAlign w:val="top"/>
          </w:tcPr>
          <w:p w14:paraId="0F9B0CB7">
            <w:pPr>
              <w:spacing w:before="101" w:line="195" w:lineRule="auto"/>
              <w:ind w:left="39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695B08CB">
            <w:pPr>
              <w:spacing w:before="101" w:line="195" w:lineRule="auto"/>
              <w:ind w:left="476"/>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899" w:type="dxa"/>
            <w:vAlign w:val="top"/>
          </w:tcPr>
          <w:p w14:paraId="6DD6B6DA">
            <w:pPr>
              <w:spacing w:before="101"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c>
          <w:tcPr>
            <w:tcW w:w="650" w:type="dxa"/>
            <w:vAlign w:val="top"/>
          </w:tcPr>
          <w:p w14:paraId="448A758F">
            <w:pPr>
              <w:pStyle w:val="6"/>
              <w:spacing w:before="65" w:line="220" w:lineRule="auto"/>
              <w:ind w:left="124"/>
              <w:rPr>
                <w:sz w:val="20"/>
                <w:szCs w:val="20"/>
              </w:rPr>
            </w:pPr>
            <w:r>
              <w:rPr>
                <w:spacing w:val="2"/>
                <w:sz w:val="20"/>
                <w:szCs w:val="20"/>
              </w:rPr>
              <w:t>正常</w:t>
            </w:r>
          </w:p>
        </w:tc>
        <w:tc>
          <w:tcPr>
            <w:tcW w:w="871" w:type="dxa"/>
            <w:vAlign w:val="top"/>
          </w:tcPr>
          <w:p w14:paraId="09976AFD">
            <w:pPr>
              <w:spacing w:before="101"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w:t>
            </w:r>
          </w:p>
        </w:tc>
        <w:tc>
          <w:tcPr>
            <w:tcW w:w="1501" w:type="dxa"/>
            <w:vAlign w:val="top"/>
          </w:tcPr>
          <w:p w14:paraId="47E49397">
            <w:pPr>
              <w:spacing w:before="101" w:line="195" w:lineRule="auto"/>
              <w:ind w:left="5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8" w:type="dxa"/>
            <w:tcBorders>
              <w:right w:val="nil"/>
            </w:tcBorders>
            <w:vAlign w:val="top"/>
          </w:tcPr>
          <w:p w14:paraId="6E064516">
            <w:pPr>
              <w:spacing w:before="101"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w:t>
            </w:r>
          </w:p>
        </w:tc>
      </w:tr>
      <w:tr w14:paraId="11F41A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230" w:type="dxa"/>
            <w:tcBorders>
              <w:left w:val="nil"/>
            </w:tcBorders>
            <w:vAlign w:val="top"/>
          </w:tcPr>
          <w:p w14:paraId="548EFD39">
            <w:pPr>
              <w:spacing w:before="103" w:line="195" w:lineRule="auto"/>
              <w:ind w:left="31"/>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2367" w:type="dxa"/>
            <w:vAlign w:val="top"/>
          </w:tcPr>
          <w:p w14:paraId="3FF32F8F">
            <w:pPr>
              <w:pStyle w:val="6"/>
              <w:spacing w:before="67" w:line="217" w:lineRule="auto"/>
              <w:ind w:left="479"/>
              <w:rPr>
                <w:sz w:val="20"/>
                <w:szCs w:val="20"/>
              </w:rPr>
            </w:pPr>
            <w:r>
              <w:rPr>
                <w:spacing w:val="5"/>
                <w:sz w:val="20"/>
                <w:szCs w:val="20"/>
              </w:rPr>
              <w:t>电炉车间无组织</w:t>
            </w:r>
          </w:p>
        </w:tc>
        <w:tc>
          <w:tcPr>
            <w:tcW w:w="882" w:type="dxa"/>
            <w:vAlign w:val="top"/>
          </w:tcPr>
          <w:p w14:paraId="1339FBBE">
            <w:pPr>
              <w:spacing w:before="103" w:line="195" w:lineRule="auto"/>
              <w:ind w:left="2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215</w:t>
            </w:r>
          </w:p>
        </w:tc>
        <w:tc>
          <w:tcPr>
            <w:tcW w:w="835" w:type="dxa"/>
            <w:vAlign w:val="top"/>
          </w:tcPr>
          <w:p w14:paraId="34F8FA4D">
            <w:pPr>
              <w:spacing w:before="103"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-550</w:t>
            </w:r>
          </w:p>
        </w:tc>
        <w:tc>
          <w:tcPr>
            <w:tcW w:w="955" w:type="dxa"/>
            <w:vAlign w:val="top"/>
          </w:tcPr>
          <w:p w14:paraId="5B4CB7BD">
            <w:pPr>
              <w:spacing w:before="103"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1147</w:t>
            </w:r>
          </w:p>
        </w:tc>
        <w:tc>
          <w:tcPr>
            <w:tcW w:w="899" w:type="dxa"/>
            <w:vAlign w:val="top"/>
          </w:tcPr>
          <w:p w14:paraId="4812929E">
            <w:pPr>
              <w:spacing w:before="103"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137</w:t>
            </w:r>
          </w:p>
        </w:tc>
        <w:tc>
          <w:tcPr>
            <w:tcW w:w="935" w:type="dxa"/>
            <w:vAlign w:val="top"/>
          </w:tcPr>
          <w:p w14:paraId="30AB7090">
            <w:pPr>
              <w:spacing w:before="103" w:line="195" w:lineRule="auto"/>
              <w:ind w:left="368"/>
              <w:rPr>
                <w:rFonts w:ascii="Times New Roman" w:hAnsi="Times New Roman" w:eastAsia="Times New Roman" w:cs="Times New Roman"/>
                <w:sz w:val="20"/>
                <w:szCs w:val="20"/>
              </w:rPr>
            </w:pPr>
            <w:r>
              <w:rPr>
                <w:rFonts w:ascii="Times New Roman" w:hAnsi="Times New Roman" w:eastAsia="Times New Roman" w:cs="Times New Roman"/>
                <w:sz w:val="20"/>
                <w:szCs w:val="20"/>
              </w:rPr>
              <w:t>93</w:t>
            </w:r>
          </w:p>
        </w:tc>
        <w:tc>
          <w:tcPr>
            <w:tcW w:w="882" w:type="dxa"/>
            <w:vAlign w:val="top"/>
          </w:tcPr>
          <w:p w14:paraId="5030A031">
            <w:pPr>
              <w:spacing w:before="103" w:line="195" w:lineRule="auto"/>
              <w:ind w:left="39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vAlign w:val="top"/>
          </w:tcPr>
          <w:p w14:paraId="7E677AE9">
            <w:pPr>
              <w:spacing w:before="103" w:line="195" w:lineRule="auto"/>
              <w:ind w:left="476"/>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899" w:type="dxa"/>
            <w:vAlign w:val="top"/>
          </w:tcPr>
          <w:p w14:paraId="50282A26">
            <w:pPr>
              <w:spacing w:before="103"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c>
          <w:tcPr>
            <w:tcW w:w="650" w:type="dxa"/>
            <w:vAlign w:val="top"/>
          </w:tcPr>
          <w:p w14:paraId="24461D8F">
            <w:pPr>
              <w:pStyle w:val="6"/>
              <w:spacing w:before="67" w:line="217" w:lineRule="auto"/>
              <w:ind w:left="124"/>
              <w:rPr>
                <w:sz w:val="20"/>
                <w:szCs w:val="20"/>
              </w:rPr>
            </w:pPr>
            <w:r>
              <w:rPr>
                <w:spacing w:val="2"/>
                <w:sz w:val="20"/>
                <w:szCs w:val="20"/>
              </w:rPr>
              <w:t>正常</w:t>
            </w:r>
          </w:p>
        </w:tc>
        <w:tc>
          <w:tcPr>
            <w:tcW w:w="871" w:type="dxa"/>
            <w:vAlign w:val="top"/>
          </w:tcPr>
          <w:p w14:paraId="252F2309">
            <w:pPr>
              <w:spacing w:before="106"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w:t>
            </w:r>
          </w:p>
        </w:tc>
        <w:tc>
          <w:tcPr>
            <w:tcW w:w="1501" w:type="dxa"/>
            <w:vAlign w:val="top"/>
          </w:tcPr>
          <w:p w14:paraId="7568420D">
            <w:pPr>
              <w:spacing w:before="103" w:line="195" w:lineRule="auto"/>
              <w:ind w:left="5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8" w:type="dxa"/>
            <w:tcBorders>
              <w:right w:val="nil"/>
            </w:tcBorders>
            <w:vAlign w:val="top"/>
          </w:tcPr>
          <w:p w14:paraId="6EE542C0">
            <w:pPr>
              <w:spacing w:before="106"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w:t>
            </w:r>
          </w:p>
        </w:tc>
      </w:tr>
      <w:tr w14:paraId="69186B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230" w:type="dxa"/>
            <w:tcBorders>
              <w:left w:val="nil"/>
              <w:bottom w:val="single" w:color="000000" w:sz="10" w:space="0"/>
            </w:tcBorders>
            <w:vAlign w:val="top"/>
          </w:tcPr>
          <w:p w14:paraId="538F68B5">
            <w:pPr>
              <w:spacing w:before="107" w:line="195" w:lineRule="auto"/>
              <w:ind w:left="31"/>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11</w:t>
            </w:r>
          </w:p>
        </w:tc>
        <w:tc>
          <w:tcPr>
            <w:tcW w:w="2367" w:type="dxa"/>
            <w:tcBorders>
              <w:bottom w:val="single" w:color="000000" w:sz="10" w:space="0"/>
            </w:tcBorders>
            <w:vAlign w:val="top"/>
          </w:tcPr>
          <w:p w14:paraId="4F62E4AD">
            <w:pPr>
              <w:pStyle w:val="6"/>
              <w:spacing w:before="71" w:line="228" w:lineRule="auto"/>
              <w:ind w:left="479"/>
              <w:rPr>
                <w:sz w:val="20"/>
                <w:szCs w:val="20"/>
              </w:rPr>
            </w:pPr>
            <w:r>
              <w:rPr>
                <w:spacing w:val="5"/>
                <w:sz w:val="20"/>
                <w:szCs w:val="20"/>
              </w:rPr>
              <w:t>电炉车间无组织</w:t>
            </w:r>
          </w:p>
        </w:tc>
        <w:tc>
          <w:tcPr>
            <w:tcW w:w="882" w:type="dxa"/>
            <w:tcBorders>
              <w:bottom w:val="single" w:color="000000" w:sz="10" w:space="0"/>
            </w:tcBorders>
            <w:vAlign w:val="top"/>
          </w:tcPr>
          <w:p w14:paraId="337E7C0C">
            <w:pPr>
              <w:spacing w:before="107" w:line="195" w:lineRule="auto"/>
              <w:ind w:left="2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224</w:t>
            </w:r>
          </w:p>
        </w:tc>
        <w:tc>
          <w:tcPr>
            <w:tcW w:w="835" w:type="dxa"/>
            <w:tcBorders>
              <w:bottom w:val="single" w:color="000000" w:sz="10" w:space="0"/>
            </w:tcBorders>
            <w:vAlign w:val="top"/>
          </w:tcPr>
          <w:p w14:paraId="7AA2A0F9">
            <w:pPr>
              <w:spacing w:before="107"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-614</w:t>
            </w:r>
          </w:p>
        </w:tc>
        <w:tc>
          <w:tcPr>
            <w:tcW w:w="955" w:type="dxa"/>
            <w:tcBorders>
              <w:bottom w:val="single" w:color="000000" w:sz="10" w:space="0"/>
            </w:tcBorders>
            <w:vAlign w:val="top"/>
          </w:tcPr>
          <w:p w14:paraId="7135F530">
            <w:pPr>
              <w:spacing w:before="107"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1147</w:t>
            </w:r>
          </w:p>
        </w:tc>
        <w:tc>
          <w:tcPr>
            <w:tcW w:w="899" w:type="dxa"/>
            <w:tcBorders>
              <w:bottom w:val="single" w:color="000000" w:sz="10" w:space="0"/>
            </w:tcBorders>
            <w:vAlign w:val="top"/>
          </w:tcPr>
          <w:p w14:paraId="30FE9D19">
            <w:pPr>
              <w:spacing w:before="107"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137</w:t>
            </w:r>
          </w:p>
        </w:tc>
        <w:tc>
          <w:tcPr>
            <w:tcW w:w="935" w:type="dxa"/>
            <w:tcBorders>
              <w:bottom w:val="single" w:color="000000" w:sz="10" w:space="0"/>
            </w:tcBorders>
            <w:vAlign w:val="top"/>
          </w:tcPr>
          <w:p w14:paraId="6AD175CD">
            <w:pPr>
              <w:spacing w:before="107" w:line="195" w:lineRule="auto"/>
              <w:ind w:left="368"/>
              <w:rPr>
                <w:rFonts w:ascii="Times New Roman" w:hAnsi="Times New Roman" w:eastAsia="Times New Roman" w:cs="Times New Roman"/>
                <w:sz w:val="20"/>
                <w:szCs w:val="20"/>
              </w:rPr>
            </w:pPr>
            <w:r>
              <w:rPr>
                <w:rFonts w:ascii="Times New Roman" w:hAnsi="Times New Roman" w:eastAsia="Times New Roman" w:cs="Times New Roman"/>
                <w:sz w:val="20"/>
                <w:szCs w:val="20"/>
              </w:rPr>
              <w:t>93</w:t>
            </w:r>
          </w:p>
        </w:tc>
        <w:tc>
          <w:tcPr>
            <w:tcW w:w="882" w:type="dxa"/>
            <w:tcBorders>
              <w:bottom w:val="single" w:color="000000" w:sz="10" w:space="0"/>
            </w:tcBorders>
            <w:vAlign w:val="top"/>
          </w:tcPr>
          <w:p w14:paraId="69D77044">
            <w:pPr>
              <w:spacing w:before="107" w:line="195" w:lineRule="auto"/>
              <w:ind w:left="39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51" w:type="dxa"/>
            <w:tcBorders>
              <w:bottom w:val="single" w:color="000000" w:sz="10" w:space="0"/>
            </w:tcBorders>
            <w:vAlign w:val="top"/>
          </w:tcPr>
          <w:p w14:paraId="6EE376FC">
            <w:pPr>
              <w:spacing w:before="107" w:line="195" w:lineRule="auto"/>
              <w:ind w:left="476"/>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899" w:type="dxa"/>
            <w:tcBorders>
              <w:bottom w:val="single" w:color="000000" w:sz="10" w:space="0"/>
            </w:tcBorders>
            <w:vAlign w:val="top"/>
          </w:tcPr>
          <w:p w14:paraId="2CE4F03E">
            <w:pPr>
              <w:spacing w:before="107"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c>
          <w:tcPr>
            <w:tcW w:w="650" w:type="dxa"/>
            <w:tcBorders>
              <w:bottom w:val="single" w:color="000000" w:sz="10" w:space="0"/>
            </w:tcBorders>
            <w:vAlign w:val="top"/>
          </w:tcPr>
          <w:p w14:paraId="7621AE40">
            <w:pPr>
              <w:pStyle w:val="6"/>
              <w:spacing w:before="71" w:line="228" w:lineRule="auto"/>
              <w:ind w:left="124"/>
              <w:rPr>
                <w:sz w:val="20"/>
                <w:szCs w:val="20"/>
              </w:rPr>
            </w:pPr>
            <w:r>
              <w:rPr>
                <w:spacing w:val="2"/>
                <w:sz w:val="20"/>
                <w:szCs w:val="20"/>
              </w:rPr>
              <w:t>正常</w:t>
            </w:r>
          </w:p>
        </w:tc>
        <w:tc>
          <w:tcPr>
            <w:tcW w:w="871" w:type="dxa"/>
            <w:tcBorders>
              <w:bottom w:val="single" w:color="000000" w:sz="10" w:space="0"/>
            </w:tcBorders>
            <w:vAlign w:val="top"/>
          </w:tcPr>
          <w:p w14:paraId="7BA3011B">
            <w:pPr>
              <w:spacing w:before="109"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w:t>
            </w:r>
          </w:p>
        </w:tc>
        <w:tc>
          <w:tcPr>
            <w:tcW w:w="1501" w:type="dxa"/>
            <w:tcBorders>
              <w:bottom w:val="single" w:color="000000" w:sz="10" w:space="0"/>
            </w:tcBorders>
            <w:vAlign w:val="top"/>
          </w:tcPr>
          <w:p w14:paraId="07DA6096">
            <w:pPr>
              <w:spacing w:before="107" w:line="195" w:lineRule="auto"/>
              <w:ind w:left="5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938" w:type="dxa"/>
            <w:tcBorders>
              <w:bottom w:val="single" w:color="000000" w:sz="10" w:space="0"/>
              <w:right w:val="nil"/>
            </w:tcBorders>
            <w:vAlign w:val="top"/>
          </w:tcPr>
          <w:p w14:paraId="31CE59C9">
            <w:pPr>
              <w:spacing w:before="109"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0.002</w:t>
            </w:r>
          </w:p>
        </w:tc>
      </w:tr>
    </w:tbl>
    <w:p w14:paraId="27F01B42">
      <w:pPr>
        <w:spacing w:before="32" w:line="228" w:lineRule="auto"/>
        <w:ind w:left="7"/>
        <w:rPr>
          <w:rFonts w:ascii="宋体" w:hAnsi="宋体" w:eastAsia="宋体" w:cs="宋体"/>
          <w:sz w:val="20"/>
          <w:szCs w:val="20"/>
        </w:rPr>
      </w:pPr>
      <w:r>
        <w:rPr>
          <w:rFonts w:ascii="宋体" w:hAnsi="宋体" w:eastAsia="宋体" w:cs="宋体"/>
          <w:b/>
          <w:bCs/>
          <w:spacing w:val="7"/>
          <w:sz w:val="20"/>
          <w:szCs w:val="20"/>
        </w:rPr>
        <w:t>注：</w:t>
      </w:r>
      <w:r>
        <w:rPr>
          <w:rFonts w:ascii="Times New Roman" w:hAnsi="Times New Roman" w:eastAsia="Times New Roman" w:cs="Times New Roman"/>
          <w:b/>
          <w:bCs/>
          <w:sz w:val="20"/>
          <w:szCs w:val="20"/>
        </w:rPr>
        <w:t>PM</w:t>
      </w:r>
      <w:r>
        <w:rPr>
          <w:rFonts w:ascii="Times New Roman" w:hAnsi="Times New Roman" w:eastAsia="Times New Roman" w:cs="Times New Roman"/>
          <w:b/>
          <w:bCs/>
          <w:spacing w:val="7"/>
          <w:position w:val="-1"/>
          <w:sz w:val="13"/>
          <w:szCs w:val="13"/>
        </w:rPr>
        <w:t>2.5</w:t>
      </w:r>
      <w:r>
        <w:rPr>
          <w:rFonts w:ascii="Times New Roman" w:hAnsi="Times New Roman" w:eastAsia="Times New Roman" w:cs="Times New Roman"/>
          <w:b/>
          <w:bCs/>
          <w:spacing w:val="12"/>
          <w:position w:val="-1"/>
          <w:sz w:val="13"/>
          <w:szCs w:val="13"/>
        </w:rPr>
        <w:t xml:space="preserve"> </w:t>
      </w:r>
      <w:r>
        <w:rPr>
          <w:rFonts w:ascii="宋体" w:hAnsi="宋体" w:eastAsia="宋体" w:cs="宋体"/>
          <w:b/>
          <w:bCs/>
          <w:spacing w:val="7"/>
          <w:sz w:val="20"/>
          <w:szCs w:val="20"/>
        </w:rPr>
        <w:t>一次污染物按照</w:t>
      </w:r>
      <w:r>
        <w:rPr>
          <w:rFonts w:ascii="宋体" w:hAnsi="宋体" w:eastAsia="宋体" w:cs="宋体"/>
          <w:spacing w:val="-40"/>
          <w:sz w:val="20"/>
          <w:szCs w:val="20"/>
        </w:rPr>
        <w:t xml:space="preserve"> </w:t>
      </w:r>
      <w:r>
        <w:rPr>
          <w:rFonts w:ascii="Times New Roman" w:hAnsi="Times New Roman" w:eastAsia="Times New Roman" w:cs="Times New Roman"/>
          <w:b/>
          <w:bCs/>
          <w:spacing w:val="7"/>
          <w:sz w:val="20"/>
          <w:szCs w:val="20"/>
        </w:rPr>
        <w:t>2%</w:t>
      </w:r>
      <w:r>
        <w:rPr>
          <w:rFonts w:ascii="Times New Roman" w:hAnsi="Times New Roman" w:eastAsia="Times New Roman" w:cs="Times New Roman"/>
          <w:b/>
          <w:bCs/>
          <w:sz w:val="20"/>
          <w:szCs w:val="20"/>
        </w:rPr>
        <w:t>TSP</w:t>
      </w:r>
      <w:r>
        <w:rPr>
          <w:rFonts w:ascii="Times New Roman" w:hAnsi="Times New Roman" w:eastAsia="Times New Roman" w:cs="Times New Roman"/>
          <w:b/>
          <w:bCs/>
          <w:spacing w:val="-28"/>
          <w:sz w:val="20"/>
          <w:szCs w:val="20"/>
        </w:rPr>
        <w:t xml:space="preserve"> </w:t>
      </w:r>
      <w:r>
        <w:rPr>
          <w:rFonts w:ascii="宋体" w:hAnsi="宋体" w:eastAsia="宋体" w:cs="宋体"/>
          <w:b/>
          <w:bCs/>
          <w:spacing w:val="7"/>
          <w:sz w:val="20"/>
          <w:szCs w:val="20"/>
        </w:rPr>
        <w:t>、</w:t>
      </w:r>
      <w:r>
        <w:rPr>
          <w:rFonts w:ascii="Times New Roman" w:hAnsi="Times New Roman" w:eastAsia="Times New Roman" w:cs="Times New Roman"/>
          <w:b/>
          <w:bCs/>
          <w:spacing w:val="7"/>
          <w:sz w:val="20"/>
          <w:szCs w:val="20"/>
        </w:rPr>
        <w:t>20%</w:t>
      </w:r>
      <w:r>
        <w:rPr>
          <w:rFonts w:ascii="Times New Roman" w:hAnsi="Times New Roman" w:eastAsia="Times New Roman" w:cs="Times New Roman"/>
          <w:b/>
          <w:bCs/>
          <w:sz w:val="20"/>
          <w:szCs w:val="20"/>
        </w:rPr>
        <w:t>PM</w:t>
      </w:r>
      <w:r>
        <w:rPr>
          <w:rFonts w:ascii="Times New Roman" w:hAnsi="Times New Roman" w:eastAsia="Times New Roman" w:cs="Times New Roman"/>
          <w:b/>
          <w:bCs/>
          <w:spacing w:val="7"/>
          <w:position w:val="-1"/>
          <w:sz w:val="13"/>
          <w:szCs w:val="13"/>
        </w:rPr>
        <w:t>10</w:t>
      </w:r>
      <w:r>
        <w:rPr>
          <w:rFonts w:ascii="Times New Roman" w:hAnsi="Times New Roman" w:eastAsia="Times New Roman" w:cs="Times New Roman"/>
          <w:b/>
          <w:bCs/>
          <w:spacing w:val="6"/>
          <w:position w:val="-1"/>
          <w:sz w:val="13"/>
          <w:szCs w:val="13"/>
        </w:rPr>
        <w:t xml:space="preserve"> </w:t>
      </w:r>
      <w:r>
        <w:rPr>
          <w:rFonts w:ascii="宋体" w:hAnsi="宋体" w:eastAsia="宋体" w:cs="宋体"/>
          <w:b/>
          <w:bCs/>
          <w:spacing w:val="6"/>
          <w:sz w:val="20"/>
          <w:szCs w:val="20"/>
        </w:rPr>
        <w:t>排放量进行计算。</w:t>
      </w:r>
    </w:p>
    <w:p w14:paraId="590EA1A9">
      <w:pPr>
        <w:spacing w:before="161" w:line="227" w:lineRule="auto"/>
        <w:ind w:left="4763"/>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6"/>
          <w:sz w:val="20"/>
          <w:szCs w:val="20"/>
        </w:rPr>
        <w:t xml:space="preserve">4.1-9        </w:t>
      </w:r>
      <w:r>
        <w:rPr>
          <w:rFonts w:ascii="宋体" w:hAnsi="宋体" w:eastAsia="宋体" w:cs="宋体"/>
          <w:b/>
          <w:bCs/>
          <w:spacing w:val="6"/>
          <w:sz w:val="20"/>
          <w:szCs w:val="20"/>
        </w:rPr>
        <w:t>本项目非正常工</w:t>
      </w:r>
      <w:r>
        <w:rPr>
          <w:rFonts w:ascii="宋体" w:hAnsi="宋体" w:eastAsia="宋体" w:cs="宋体"/>
          <w:b/>
          <w:bCs/>
          <w:spacing w:val="5"/>
          <w:sz w:val="20"/>
          <w:szCs w:val="20"/>
        </w:rPr>
        <w:t>况排放源参数统计表</w:t>
      </w:r>
    </w:p>
    <w:p w14:paraId="67804D57">
      <w:pPr>
        <w:spacing w:line="131" w:lineRule="exact"/>
      </w:pPr>
    </w:p>
    <w:tbl>
      <w:tblPr>
        <w:tblStyle w:val="5"/>
        <w:tblW w:w="13995"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92"/>
        <w:gridCol w:w="1507"/>
        <w:gridCol w:w="1163"/>
        <w:gridCol w:w="1163"/>
        <w:gridCol w:w="1252"/>
        <w:gridCol w:w="911"/>
        <w:gridCol w:w="950"/>
        <w:gridCol w:w="1227"/>
        <w:gridCol w:w="949"/>
        <w:gridCol w:w="847"/>
        <w:gridCol w:w="498"/>
        <w:gridCol w:w="1145"/>
        <w:gridCol w:w="955"/>
        <w:gridCol w:w="736"/>
      </w:tblGrid>
      <w:tr w14:paraId="7BF302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692" w:type="dxa"/>
            <w:vMerge w:val="restart"/>
            <w:tcBorders>
              <w:top w:val="single" w:color="000000" w:sz="10" w:space="0"/>
              <w:left w:val="nil"/>
              <w:bottom w:val="nil"/>
            </w:tcBorders>
            <w:vAlign w:val="top"/>
          </w:tcPr>
          <w:p w14:paraId="5CA80387">
            <w:pPr>
              <w:pStyle w:val="6"/>
              <w:spacing w:before="175" w:line="228" w:lineRule="auto"/>
              <w:ind w:left="141"/>
              <w:rPr>
                <w:sz w:val="20"/>
                <w:szCs w:val="20"/>
              </w:rPr>
            </w:pPr>
            <w:r>
              <w:rPr>
                <w:spacing w:val="3"/>
                <w:sz w:val="20"/>
                <w:szCs w:val="20"/>
              </w:rPr>
              <w:t>编号</w:t>
            </w:r>
          </w:p>
        </w:tc>
        <w:tc>
          <w:tcPr>
            <w:tcW w:w="1507" w:type="dxa"/>
            <w:vMerge w:val="restart"/>
            <w:tcBorders>
              <w:top w:val="single" w:color="000000" w:sz="10" w:space="0"/>
              <w:bottom w:val="nil"/>
            </w:tcBorders>
            <w:vAlign w:val="top"/>
          </w:tcPr>
          <w:p w14:paraId="0ECB10E0">
            <w:pPr>
              <w:pStyle w:val="6"/>
              <w:spacing w:before="175" w:line="230" w:lineRule="auto"/>
              <w:ind w:left="551"/>
              <w:rPr>
                <w:sz w:val="20"/>
                <w:szCs w:val="20"/>
              </w:rPr>
            </w:pPr>
            <w:r>
              <w:rPr>
                <w:spacing w:val="3"/>
                <w:sz w:val="20"/>
                <w:szCs w:val="20"/>
              </w:rPr>
              <w:t>名称</w:t>
            </w:r>
          </w:p>
        </w:tc>
        <w:tc>
          <w:tcPr>
            <w:tcW w:w="2326" w:type="dxa"/>
            <w:gridSpan w:val="2"/>
            <w:tcBorders>
              <w:top w:val="single" w:color="000000" w:sz="10" w:space="0"/>
            </w:tcBorders>
            <w:vAlign w:val="top"/>
          </w:tcPr>
          <w:p w14:paraId="2D2E2694">
            <w:pPr>
              <w:pStyle w:val="6"/>
              <w:spacing w:before="34" w:line="215" w:lineRule="auto"/>
              <w:ind w:left="112"/>
              <w:rPr>
                <w:rFonts w:ascii="Times New Roman" w:hAnsi="Times New Roman" w:eastAsia="Times New Roman" w:cs="Times New Roman"/>
                <w:sz w:val="20"/>
                <w:szCs w:val="20"/>
              </w:rPr>
            </w:pPr>
            <w:r>
              <w:rPr>
                <w:spacing w:val="8"/>
                <w:sz w:val="20"/>
                <w:szCs w:val="20"/>
              </w:rPr>
              <w:t>排气筒底部中心坐标</w:t>
            </w:r>
            <w:r>
              <w:rPr>
                <w:rFonts w:ascii="Times New Roman" w:hAnsi="Times New Roman" w:eastAsia="Times New Roman" w:cs="Times New Roman"/>
                <w:spacing w:val="8"/>
                <w:sz w:val="20"/>
                <w:szCs w:val="20"/>
              </w:rPr>
              <w:t>/m</w:t>
            </w:r>
          </w:p>
        </w:tc>
        <w:tc>
          <w:tcPr>
            <w:tcW w:w="1252" w:type="dxa"/>
            <w:vMerge w:val="restart"/>
            <w:tcBorders>
              <w:top w:val="single" w:color="000000" w:sz="10" w:space="0"/>
              <w:bottom w:val="nil"/>
            </w:tcBorders>
            <w:vAlign w:val="top"/>
          </w:tcPr>
          <w:p w14:paraId="07F136D6">
            <w:pPr>
              <w:pStyle w:val="6"/>
              <w:spacing w:before="39" w:line="233" w:lineRule="auto"/>
              <w:ind w:left="99" w:right="94" w:firstLine="8"/>
              <w:rPr>
                <w:rFonts w:ascii="Times New Roman" w:hAnsi="Times New Roman" w:eastAsia="Times New Roman" w:cs="Times New Roman"/>
                <w:sz w:val="20"/>
                <w:szCs w:val="20"/>
              </w:rPr>
            </w:pPr>
            <w:r>
              <w:rPr>
                <w:spacing w:val="8"/>
                <w:sz w:val="20"/>
                <w:szCs w:val="20"/>
              </w:rPr>
              <w:t>排气筒底部</w:t>
            </w:r>
            <w:r>
              <w:rPr>
                <w:sz w:val="20"/>
                <w:szCs w:val="20"/>
              </w:rPr>
              <w:t xml:space="preserve"> </w:t>
            </w:r>
            <w:r>
              <w:rPr>
                <w:spacing w:val="6"/>
                <w:sz w:val="20"/>
                <w:szCs w:val="20"/>
              </w:rPr>
              <w:t>海拔高度</w:t>
            </w:r>
            <w:r>
              <w:rPr>
                <w:rFonts w:ascii="Times New Roman" w:hAnsi="Times New Roman" w:eastAsia="Times New Roman" w:cs="Times New Roman"/>
                <w:spacing w:val="6"/>
                <w:sz w:val="20"/>
                <w:szCs w:val="20"/>
              </w:rPr>
              <w:t>/m</w:t>
            </w:r>
          </w:p>
        </w:tc>
        <w:tc>
          <w:tcPr>
            <w:tcW w:w="911" w:type="dxa"/>
            <w:vMerge w:val="restart"/>
            <w:tcBorders>
              <w:top w:val="single" w:color="000000" w:sz="10" w:space="0"/>
              <w:bottom w:val="nil"/>
            </w:tcBorders>
            <w:vAlign w:val="top"/>
          </w:tcPr>
          <w:p w14:paraId="7EDCE416">
            <w:pPr>
              <w:pStyle w:val="6"/>
              <w:spacing w:before="39" w:line="233" w:lineRule="auto"/>
              <w:ind w:left="244" w:right="35" w:hanging="203"/>
              <w:rPr>
                <w:rFonts w:ascii="Times New Roman" w:hAnsi="Times New Roman" w:eastAsia="Times New Roman" w:cs="Times New Roman"/>
                <w:sz w:val="20"/>
                <w:szCs w:val="20"/>
              </w:rPr>
            </w:pPr>
            <w:r>
              <w:rPr>
                <w:spacing w:val="7"/>
                <w:sz w:val="20"/>
                <w:szCs w:val="20"/>
              </w:rPr>
              <w:t>排气筒高</w:t>
            </w:r>
            <w:r>
              <w:rPr>
                <w:sz w:val="20"/>
                <w:szCs w:val="20"/>
              </w:rPr>
              <w:t xml:space="preserve"> </w:t>
            </w:r>
            <w:r>
              <w:rPr>
                <w:spacing w:val="3"/>
                <w:sz w:val="20"/>
                <w:szCs w:val="20"/>
              </w:rPr>
              <w:t>度</w:t>
            </w:r>
            <w:r>
              <w:rPr>
                <w:rFonts w:ascii="Times New Roman" w:hAnsi="Times New Roman" w:eastAsia="Times New Roman" w:cs="Times New Roman"/>
                <w:spacing w:val="3"/>
                <w:sz w:val="20"/>
                <w:szCs w:val="20"/>
              </w:rPr>
              <w:t>/m</w:t>
            </w:r>
          </w:p>
        </w:tc>
        <w:tc>
          <w:tcPr>
            <w:tcW w:w="950" w:type="dxa"/>
            <w:vMerge w:val="restart"/>
            <w:tcBorders>
              <w:top w:val="single" w:color="000000" w:sz="10" w:space="0"/>
              <w:bottom w:val="nil"/>
            </w:tcBorders>
            <w:vAlign w:val="top"/>
          </w:tcPr>
          <w:p w14:paraId="0E5B06AF">
            <w:pPr>
              <w:pStyle w:val="6"/>
              <w:spacing w:before="39" w:line="233" w:lineRule="auto"/>
              <w:ind w:left="264" w:right="53" w:hanging="203"/>
              <w:rPr>
                <w:rFonts w:ascii="Times New Roman" w:hAnsi="Times New Roman" w:eastAsia="Times New Roman" w:cs="Times New Roman"/>
                <w:sz w:val="20"/>
                <w:szCs w:val="20"/>
              </w:rPr>
            </w:pPr>
            <w:r>
              <w:rPr>
                <w:spacing w:val="7"/>
                <w:sz w:val="20"/>
                <w:szCs w:val="20"/>
              </w:rPr>
              <w:t>排气筒内</w:t>
            </w:r>
            <w:r>
              <w:rPr>
                <w:sz w:val="20"/>
                <w:szCs w:val="20"/>
              </w:rPr>
              <w:t xml:space="preserve"> </w:t>
            </w:r>
            <w:r>
              <w:rPr>
                <w:spacing w:val="3"/>
                <w:sz w:val="20"/>
                <w:szCs w:val="20"/>
              </w:rPr>
              <w:t>径</w:t>
            </w:r>
            <w:r>
              <w:rPr>
                <w:rFonts w:ascii="Times New Roman" w:hAnsi="Times New Roman" w:eastAsia="Times New Roman" w:cs="Times New Roman"/>
                <w:spacing w:val="3"/>
                <w:sz w:val="20"/>
                <w:szCs w:val="20"/>
              </w:rPr>
              <w:t>/m</w:t>
            </w:r>
          </w:p>
        </w:tc>
        <w:tc>
          <w:tcPr>
            <w:tcW w:w="1227" w:type="dxa"/>
            <w:vMerge w:val="restart"/>
            <w:tcBorders>
              <w:top w:val="single" w:color="000000" w:sz="10" w:space="0"/>
              <w:bottom w:val="nil"/>
            </w:tcBorders>
            <w:vAlign w:val="top"/>
          </w:tcPr>
          <w:p w14:paraId="33FDF66A">
            <w:pPr>
              <w:pStyle w:val="6"/>
              <w:spacing w:before="39" w:line="233" w:lineRule="auto"/>
              <w:ind w:left="220" w:right="161" w:hanging="50"/>
              <w:rPr>
                <w:sz w:val="20"/>
                <w:szCs w:val="20"/>
              </w:rPr>
            </w:pPr>
            <w:r>
              <w:rPr>
                <w:spacing w:val="6"/>
                <w:sz w:val="20"/>
                <w:szCs w:val="20"/>
              </w:rPr>
              <w:t>烟气流量</w:t>
            </w:r>
            <w:r>
              <w:rPr>
                <w:rFonts w:ascii="Times New Roman" w:hAnsi="Times New Roman" w:eastAsia="Times New Roman" w:cs="Times New Roman"/>
                <w:spacing w:val="6"/>
                <w:sz w:val="20"/>
                <w:szCs w:val="20"/>
              </w:rPr>
              <w:t>/</w:t>
            </w:r>
            <w:r>
              <w:rPr>
                <w:rFonts w:ascii="Times New Roman" w:hAnsi="Times New Roman" w:eastAsia="Times New Roman" w:cs="Times New Roman"/>
                <w:spacing w:val="2"/>
                <w:sz w:val="20"/>
                <w:szCs w:val="20"/>
              </w:rPr>
              <w:t xml:space="preserve"> </w:t>
            </w:r>
            <w:r>
              <w:rPr>
                <w:spacing w:val="1"/>
                <w:sz w:val="20"/>
                <w:szCs w:val="20"/>
              </w:rPr>
              <w:t>（</w:t>
            </w:r>
            <w:r>
              <w:rPr>
                <w:rFonts w:ascii="Times New Roman" w:hAnsi="Times New Roman" w:eastAsia="Times New Roman" w:cs="Times New Roman"/>
                <w:spacing w:val="1"/>
                <w:sz w:val="20"/>
                <w:szCs w:val="20"/>
              </w:rPr>
              <w:t>m</w:t>
            </w:r>
            <w:r>
              <w:rPr>
                <w:rFonts w:ascii="Times New Roman" w:hAnsi="Times New Roman" w:eastAsia="Times New Roman" w:cs="Times New Roman"/>
                <w:spacing w:val="1"/>
                <w:position w:val="6"/>
                <w:sz w:val="13"/>
                <w:szCs w:val="13"/>
              </w:rPr>
              <w:t>3</w:t>
            </w:r>
            <w:r>
              <w:rPr>
                <w:rFonts w:ascii="Times New Roman" w:hAnsi="Times New Roman" w:eastAsia="Times New Roman" w:cs="Times New Roman"/>
                <w:spacing w:val="1"/>
                <w:sz w:val="20"/>
                <w:szCs w:val="20"/>
              </w:rPr>
              <w:t>/h</w:t>
            </w:r>
            <w:r>
              <w:rPr>
                <w:spacing w:val="1"/>
                <w:sz w:val="20"/>
                <w:szCs w:val="20"/>
              </w:rPr>
              <w:t>）</w:t>
            </w:r>
          </w:p>
        </w:tc>
        <w:tc>
          <w:tcPr>
            <w:tcW w:w="949" w:type="dxa"/>
            <w:vMerge w:val="restart"/>
            <w:tcBorders>
              <w:top w:val="single" w:color="000000" w:sz="10" w:space="0"/>
              <w:bottom w:val="nil"/>
            </w:tcBorders>
            <w:vAlign w:val="top"/>
          </w:tcPr>
          <w:p w14:paraId="3A0E4AA0">
            <w:pPr>
              <w:pStyle w:val="6"/>
              <w:spacing w:before="56" w:line="239" w:lineRule="auto"/>
              <w:ind w:left="335" w:right="55" w:hanging="276"/>
              <w:rPr>
                <w:rFonts w:ascii="Times New Roman" w:hAnsi="Times New Roman" w:eastAsia="Times New Roman" w:cs="Times New Roman"/>
                <w:sz w:val="20"/>
                <w:szCs w:val="20"/>
              </w:rPr>
            </w:pPr>
            <w:r>
              <w:rPr>
                <w:spacing w:val="7"/>
                <w:sz w:val="20"/>
                <w:szCs w:val="20"/>
              </w:rPr>
              <w:t>烟气温度</w:t>
            </w:r>
            <w:r>
              <w:rPr>
                <w:sz w:val="20"/>
                <w:szCs w:val="20"/>
              </w:rPr>
              <w:t xml:space="preserve"> </w:t>
            </w:r>
            <w:r>
              <w:rPr>
                <w:rFonts w:ascii="Times New Roman" w:hAnsi="Times New Roman" w:eastAsia="Times New Roman" w:cs="Times New Roman"/>
                <w:spacing w:val="5"/>
                <w:sz w:val="20"/>
                <w:szCs w:val="20"/>
              </w:rPr>
              <w:t>/℃</w:t>
            </w:r>
          </w:p>
        </w:tc>
        <w:tc>
          <w:tcPr>
            <w:tcW w:w="847" w:type="dxa"/>
            <w:vMerge w:val="restart"/>
            <w:tcBorders>
              <w:top w:val="single" w:color="000000" w:sz="10" w:space="0"/>
              <w:bottom w:val="nil"/>
            </w:tcBorders>
            <w:vAlign w:val="top"/>
          </w:tcPr>
          <w:p w14:paraId="7F873B38">
            <w:pPr>
              <w:pStyle w:val="6"/>
              <w:spacing w:before="39" w:line="233" w:lineRule="auto"/>
              <w:ind w:left="37" w:right="25" w:firstLine="79"/>
              <w:rPr>
                <w:rFonts w:ascii="Times New Roman" w:hAnsi="Times New Roman" w:eastAsia="Times New Roman" w:cs="Times New Roman"/>
                <w:sz w:val="20"/>
                <w:szCs w:val="20"/>
              </w:rPr>
            </w:pPr>
            <w:r>
              <w:rPr>
                <w:spacing w:val="6"/>
                <w:sz w:val="20"/>
                <w:szCs w:val="20"/>
              </w:rPr>
              <w:t>年排放</w:t>
            </w:r>
            <w:r>
              <w:rPr>
                <w:sz w:val="20"/>
                <w:szCs w:val="20"/>
              </w:rPr>
              <w:t xml:space="preserve">  </w:t>
            </w:r>
            <w:r>
              <w:rPr>
                <w:spacing w:val="4"/>
                <w:sz w:val="20"/>
                <w:szCs w:val="20"/>
              </w:rPr>
              <w:t>小时数</w:t>
            </w:r>
            <w:r>
              <w:rPr>
                <w:rFonts w:ascii="Times New Roman" w:hAnsi="Times New Roman" w:eastAsia="Times New Roman" w:cs="Times New Roman"/>
                <w:spacing w:val="4"/>
                <w:sz w:val="20"/>
                <w:szCs w:val="20"/>
              </w:rPr>
              <w:t>/h</w:t>
            </w:r>
          </w:p>
        </w:tc>
        <w:tc>
          <w:tcPr>
            <w:tcW w:w="498" w:type="dxa"/>
            <w:vMerge w:val="restart"/>
            <w:tcBorders>
              <w:top w:val="single" w:color="000000" w:sz="10" w:space="0"/>
              <w:bottom w:val="nil"/>
            </w:tcBorders>
            <w:vAlign w:val="top"/>
          </w:tcPr>
          <w:p w14:paraId="20B08FD3">
            <w:pPr>
              <w:pStyle w:val="6"/>
              <w:spacing w:before="39" w:line="233" w:lineRule="auto"/>
              <w:ind w:left="48" w:right="37" w:hanging="2"/>
              <w:rPr>
                <w:sz w:val="20"/>
                <w:szCs w:val="20"/>
              </w:rPr>
            </w:pPr>
            <w:r>
              <w:rPr>
                <w:spacing w:val="4"/>
                <w:sz w:val="20"/>
                <w:szCs w:val="20"/>
              </w:rPr>
              <w:t>排放</w:t>
            </w:r>
            <w:r>
              <w:rPr>
                <w:sz w:val="20"/>
                <w:szCs w:val="20"/>
              </w:rPr>
              <w:t xml:space="preserve"> </w:t>
            </w:r>
            <w:r>
              <w:rPr>
                <w:spacing w:val="3"/>
                <w:sz w:val="20"/>
                <w:szCs w:val="20"/>
              </w:rPr>
              <w:t>工况</w:t>
            </w:r>
          </w:p>
        </w:tc>
        <w:tc>
          <w:tcPr>
            <w:tcW w:w="2836" w:type="dxa"/>
            <w:gridSpan w:val="3"/>
            <w:tcBorders>
              <w:top w:val="single" w:color="000000" w:sz="10" w:space="0"/>
              <w:right w:val="nil"/>
            </w:tcBorders>
            <w:vAlign w:val="top"/>
          </w:tcPr>
          <w:p w14:paraId="7554CE95">
            <w:pPr>
              <w:pStyle w:val="6"/>
              <w:spacing w:before="34" w:line="215" w:lineRule="auto"/>
              <w:ind w:left="267"/>
              <w:rPr>
                <w:sz w:val="20"/>
                <w:szCs w:val="20"/>
              </w:rPr>
            </w:pPr>
            <w:r>
              <w:rPr>
                <w:spacing w:val="7"/>
                <w:sz w:val="20"/>
                <w:szCs w:val="20"/>
              </w:rPr>
              <w:t>污染物排放速率</w:t>
            </w:r>
            <w:r>
              <w:rPr>
                <w:rFonts w:ascii="Times New Roman" w:hAnsi="Times New Roman" w:eastAsia="Times New Roman" w:cs="Times New Roman"/>
                <w:spacing w:val="7"/>
                <w:sz w:val="20"/>
                <w:szCs w:val="20"/>
              </w:rPr>
              <w:t>/</w:t>
            </w:r>
            <w:r>
              <w:rPr>
                <w:spacing w:val="7"/>
                <w:sz w:val="20"/>
                <w:szCs w:val="20"/>
              </w:rPr>
              <w:t>（</w:t>
            </w:r>
            <w:r>
              <w:rPr>
                <w:rFonts w:ascii="Times New Roman" w:hAnsi="Times New Roman" w:eastAsia="Times New Roman" w:cs="Times New Roman"/>
                <w:sz w:val="20"/>
                <w:szCs w:val="20"/>
              </w:rPr>
              <w:t>kg</w:t>
            </w:r>
            <w:r>
              <w:rPr>
                <w:rFonts w:ascii="Times New Roman" w:hAnsi="Times New Roman" w:eastAsia="Times New Roman" w:cs="Times New Roman"/>
                <w:spacing w:val="7"/>
                <w:sz w:val="20"/>
                <w:szCs w:val="20"/>
              </w:rPr>
              <w:t>/h</w:t>
            </w:r>
            <w:r>
              <w:rPr>
                <w:spacing w:val="7"/>
                <w:sz w:val="20"/>
                <w:szCs w:val="20"/>
              </w:rPr>
              <w:t>）</w:t>
            </w:r>
          </w:p>
        </w:tc>
      </w:tr>
      <w:tr w14:paraId="2074FF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 w:hRule="atLeast"/>
        </w:trPr>
        <w:tc>
          <w:tcPr>
            <w:tcW w:w="692" w:type="dxa"/>
            <w:vMerge w:val="continue"/>
            <w:tcBorders>
              <w:top w:val="nil"/>
              <w:left w:val="nil"/>
            </w:tcBorders>
            <w:vAlign w:val="top"/>
          </w:tcPr>
          <w:p w14:paraId="784A361B">
            <w:pPr>
              <w:rPr>
                <w:rFonts w:ascii="Arial"/>
                <w:sz w:val="21"/>
              </w:rPr>
            </w:pPr>
          </w:p>
        </w:tc>
        <w:tc>
          <w:tcPr>
            <w:tcW w:w="1507" w:type="dxa"/>
            <w:vMerge w:val="continue"/>
            <w:tcBorders>
              <w:top w:val="nil"/>
            </w:tcBorders>
            <w:vAlign w:val="top"/>
          </w:tcPr>
          <w:p w14:paraId="7D669199">
            <w:pPr>
              <w:rPr>
                <w:rFonts w:ascii="Arial"/>
                <w:sz w:val="21"/>
              </w:rPr>
            </w:pPr>
          </w:p>
        </w:tc>
        <w:tc>
          <w:tcPr>
            <w:tcW w:w="1163" w:type="dxa"/>
            <w:vAlign w:val="top"/>
          </w:tcPr>
          <w:p w14:paraId="48E5099F">
            <w:pPr>
              <w:spacing w:before="74" w:line="192" w:lineRule="auto"/>
              <w:ind w:left="504"/>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X</w:t>
            </w:r>
          </w:p>
        </w:tc>
        <w:tc>
          <w:tcPr>
            <w:tcW w:w="1163" w:type="dxa"/>
            <w:vAlign w:val="top"/>
          </w:tcPr>
          <w:p w14:paraId="0D1FEE39">
            <w:pPr>
              <w:spacing w:before="74" w:line="192" w:lineRule="auto"/>
              <w:ind w:left="50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Y</w:t>
            </w:r>
          </w:p>
        </w:tc>
        <w:tc>
          <w:tcPr>
            <w:tcW w:w="1252" w:type="dxa"/>
            <w:vMerge w:val="continue"/>
            <w:tcBorders>
              <w:top w:val="nil"/>
            </w:tcBorders>
            <w:vAlign w:val="top"/>
          </w:tcPr>
          <w:p w14:paraId="6877969D">
            <w:pPr>
              <w:rPr>
                <w:rFonts w:ascii="Arial"/>
                <w:sz w:val="21"/>
              </w:rPr>
            </w:pPr>
          </w:p>
        </w:tc>
        <w:tc>
          <w:tcPr>
            <w:tcW w:w="911" w:type="dxa"/>
            <w:vMerge w:val="continue"/>
            <w:tcBorders>
              <w:top w:val="nil"/>
            </w:tcBorders>
            <w:vAlign w:val="top"/>
          </w:tcPr>
          <w:p w14:paraId="4360B256">
            <w:pPr>
              <w:rPr>
                <w:rFonts w:ascii="Arial"/>
                <w:sz w:val="21"/>
              </w:rPr>
            </w:pPr>
          </w:p>
        </w:tc>
        <w:tc>
          <w:tcPr>
            <w:tcW w:w="950" w:type="dxa"/>
            <w:vMerge w:val="continue"/>
            <w:tcBorders>
              <w:top w:val="nil"/>
            </w:tcBorders>
            <w:vAlign w:val="top"/>
          </w:tcPr>
          <w:p w14:paraId="2D843576">
            <w:pPr>
              <w:rPr>
                <w:rFonts w:ascii="Arial"/>
                <w:sz w:val="21"/>
              </w:rPr>
            </w:pPr>
          </w:p>
        </w:tc>
        <w:tc>
          <w:tcPr>
            <w:tcW w:w="1227" w:type="dxa"/>
            <w:vMerge w:val="continue"/>
            <w:tcBorders>
              <w:top w:val="nil"/>
            </w:tcBorders>
            <w:vAlign w:val="top"/>
          </w:tcPr>
          <w:p w14:paraId="3748E34D">
            <w:pPr>
              <w:rPr>
                <w:rFonts w:ascii="Arial"/>
                <w:sz w:val="21"/>
              </w:rPr>
            </w:pPr>
          </w:p>
        </w:tc>
        <w:tc>
          <w:tcPr>
            <w:tcW w:w="949" w:type="dxa"/>
            <w:vMerge w:val="continue"/>
            <w:tcBorders>
              <w:top w:val="nil"/>
            </w:tcBorders>
            <w:vAlign w:val="top"/>
          </w:tcPr>
          <w:p w14:paraId="344EF8E4">
            <w:pPr>
              <w:rPr>
                <w:rFonts w:ascii="Arial"/>
                <w:sz w:val="21"/>
              </w:rPr>
            </w:pPr>
          </w:p>
        </w:tc>
        <w:tc>
          <w:tcPr>
            <w:tcW w:w="847" w:type="dxa"/>
            <w:vMerge w:val="continue"/>
            <w:tcBorders>
              <w:top w:val="nil"/>
            </w:tcBorders>
            <w:vAlign w:val="top"/>
          </w:tcPr>
          <w:p w14:paraId="49504B6F">
            <w:pPr>
              <w:rPr>
                <w:rFonts w:ascii="Arial"/>
                <w:sz w:val="21"/>
              </w:rPr>
            </w:pPr>
          </w:p>
        </w:tc>
        <w:tc>
          <w:tcPr>
            <w:tcW w:w="498" w:type="dxa"/>
            <w:vMerge w:val="continue"/>
            <w:tcBorders>
              <w:top w:val="nil"/>
            </w:tcBorders>
            <w:vAlign w:val="top"/>
          </w:tcPr>
          <w:p w14:paraId="38D641B9">
            <w:pPr>
              <w:rPr>
                <w:rFonts w:ascii="Arial"/>
                <w:sz w:val="21"/>
              </w:rPr>
            </w:pPr>
          </w:p>
        </w:tc>
        <w:tc>
          <w:tcPr>
            <w:tcW w:w="1145" w:type="dxa"/>
            <w:vAlign w:val="top"/>
          </w:tcPr>
          <w:p w14:paraId="19E7FE02">
            <w:pPr>
              <w:pStyle w:val="6"/>
              <w:spacing w:before="35" w:line="209" w:lineRule="auto"/>
              <w:ind w:left="262"/>
              <w:rPr>
                <w:sz w:val="20"/>
                <w:szCs w:val="20"/>
              </w:rPr>
            </w:pPr>
            <w:r>
              <w:rPr>
                <w:spacing w:val="7"/>
                <w:sz w:val="20"/>
                <w:szCs w:val="20"/>
              </w:rPr>
              <w:t>颗粒物</w:t>
            </w:r>
          </w:p>
        </w:tc>
        <w:tc>
          <w:tcPr>
            <w:tcW w:w="955" w:type="dxa"/>
            <w:vAlign w:val="top"/>
          </w:tcPr>
          <w:p w14:paraId="05B16482">
            <w:pPr>
              <w:spacing w:before="71" w:line="199" w:lineRule="auto"/>
              <w:ind w:left="320"/>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736" w:type="dxa"/>
            <w:tcBorders>
              <w:right w:val="nil"/>
            </w:tcBorders>
            <w:vAlign w:val="top"/>
          </w:tcPr>
          <w:p w14:paraId="1A99EECB">
            <w:pPr>
              <w:spacing w:before="71" w:line="199" w:lineRule="auto"/>
              <w:ind w:left="180"/>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x</w:t>
            </w:r>
          </w:p>
        </w:tc>
      </w:tr>
      <w:tr w14:paraId="1F83D1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trPr>
        <w:tc>
          <w:tcPr>
            <w:tcW w:w="692" w:type="dxa"/>
            <w:tcBorders>
              <w:left w:val="nil"/>
            </w:tcBorders>
            <w:vAlign w:val="top"/>
          </w:tcPr>
          <w:p w14:paraId="37EBFB5D">
            <w:pPr>
              <w:spacing w:before="99" w:line="195" w:lineRule="auto"/>
              <w:ind w:left="314"/>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507" w:type="dxa"/>
            <w:vAlign w:val="top"/>
          </w:tcPr>
          <w:p w14:paraId="0415FE1A">
            <w:pPr>
              <w:pStyle w:val="6"/>
              <w:spacing w:before="60" w:line="223" w:lineRule="auto"/>
              <w:ind w:left="128"/>
              <w:rPr>
                <w:sz w:val="20"/>
                <w:szCs w:val="20"/>
              </w:rPr>
            </w:pPr>
            <w:r>
              <w:rPr>
                <w:spacing w:val="8"/>
                <w:sz w:val="20"/>
                <w:szCs w:val="20"/>
              </w:rPr>
              <w:t>烧结机头废气</w:t>
            </w:r>
          </w:p>
        </w:tc>
        <w:tc>
          <w:tcPr>
            <w:tcW w:w="1163" w:type="dxa"/>
            <w:vAlign w:val="top"/>
          </w:tcPr>
          <w:p w14:paraId="255CB9C0">
            <w:pPr>
              <w:spacing w:before="96" w:line="195" w:lineRule="auto"/>
              <w:ind w:left="43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516</w:t>
            </w:r>
          </w:p>
        </w:tc>
        <w:tc>
          <w:tcPr>
            <w:tcW w:w="1163" w:type="dxa"/>
            <w:vAlign w:val="top"/>
          </w:tcPr>
          <w:p w14:paraId="18A33493">
            <w:pPr>
              <w:spacing w:before="96" w:line="195" w:lineRule="auto"/>
              <w:ind w:left="3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-552</w:t>
            </w:r>
          </w:p>
        </w:tc>
        <w:tc>
          <w:tcPr>
            <w:tcW w:w="1252" w:type="dxa"/>
            <w:vAlign w:val="top"/>
          </w:tcPr>
          <w:p w14:paraId="321CAB85">
            <w:pPr>
              <w:spacing w:before="96" w:line="195"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1145</w:t>
            </w:r>
          </w:p>
        </w:tc>
        <w:tc>
          <w:tcPr>
            <w:tcW w:w="911" w:type="dxa"/>
            <w:vAlign w:val="top"/>
          </w:tcPr>
          <w:p w14:paraId="0A9F2FDC">
            <w:pPr>
              <w:spacing w:before="99" w:line="195" w:lineRule="auto"/>
              <w:ind w:left="356"/>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950" w:type="dxa"/>
            <w:vAlign w:val="top"/>
          </w:tcPr>
          <w:p w14:paraId="18C2C278">
            <w:pPr>
              <w:spacing w:before="99" w:line="195" w:lineRule="auto"/>
              <w:ind w:left="3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1227" w:type="dxa"/>
            <w:vAlign w:val="top"/>
          </w:tcPr>
          <w:p w14:paraId="79300072">
            <w:pPr>
              <w:spacing w:before="99" w:line="195" w:lineRule="auto"/>
              <w:ind w:left="1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147207.98</w:t>
            </w:r>
          </w:p>
        </w:tc>
        <w:tc>
          <w:tcPr>
            <w:tcW w:w="949" w:type="dxa"/>
            <w:vAlign w:val="top"/>
          </w:tcPr>
          <w:p w14:paraId="79F3BADA">
            <w:pPr>
              <w:spacing w:before="96" w:line="195" w:lineRule="auto"/>
              <w:ind w:left="37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847" w:type="dxa"/>
            <w:vAlign w:val="top"/>
          </w:tcPr>
          <w:p w14:paraId="36EE62EF">
            <w:pPr>
              <w:spacing w:before="96" w:line="195"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498" w:type="dxa"/>
            <w:vAlign w:val="top"/>
          </w:tcPr>
          <w:p w14:paraId="7C8E1C62">
            <w:pPr>
              <w:pStyle w:val="6"/>
              <w:spacing w:before="60" w:line="223" w:lineRule="auto"/>
              <w:ind w:left="46"/>
              <w:rPr>
                <w:sz w:val="20"/>
                <w:szCs w:val="20"/>
              </w:rPr>
            </w:pPr>
            <w:r>
              <w:rPr>
                <w:spacing w:val="4"/>
                <w:sz w:val="20"/>
                <w:szCs w:val="20"/>
              </w:rPr>
              <w:t>事故</w:t>
            </w:r>
          </w:p>
        </w:tc>
        <w:tc>
          <w:tcPr>
            <w:tcW w:w="1145" w:type="dxa"/>
            <w:vAlign w:val="top"/>
          </w:tcPr>
          <w:p w14:paraId="096DC616">
            <w:pPr>
              <w:spacing w:before="96"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319.13</w:t>
            </w:r>
          </w:p>
        </w:tc>
        <w:tc>
          <w:tcPr>
            <w:tcW w:w="955" w:type="dxa"/>
            <w:vAlign w:val="top"/>
          </w:tcPr>
          <w:p w14:paraId="041C8BC7">
            <w:pPr>
              <w:spacing w:before="99"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34.56</w:t>
            </w:r>
          </w:p>
        </w:tc>
        <w:tc>
          <w:tcPr>
            <w:tcW w:w="736" w:type="dxa"/>
            <w:tcBorders>
              <w:right w:val="nil"/>
            </w:tcBorders>
            <w:vAlign w:val="top"/>
          </w:tcPr>
          <w:p w14:paraId="69E2A05B">
            <w:pPr>
              <w:spacing w:before="96"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41.53</w:t>
            </w:r>
          </w:p>
        </w:tc>
      </w:tr>
      <w:tr w14:paraId="1D3C95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trPr>
        <w:tc>
          <w:tcPr>
            <w:tcW w:w="692" w:type="dxa"/>
            <w:tcBorders>
              <w:left w:val="nil"/>
            </w:tcBorders>
            <w:vAlign w:val="top"/>
          </w:tcPr>
          <w:p w14:paraId="37E80358">
            <w:pPr>
              <w:spacing w:before="103" w:line="195" w:lineRule="auto"/>
              <w:ind w:left="29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507" w:type="dxa"/>
            <w:vAlign w:val="top"/>
          </w:tcPr>
          <w:p w14:paraId="1010E90D">
            <w:pPr>
              <w:pStyle w:val="6"/>
              <w:spacing w:before="65" w:line="218" w:lineRule="auto"/>
              <w:ind w:left="153"/>
              <w:rPr>
                <w:sz w:val="20"/>
                <w:szCs w:val="20"/>
              </w:rPr>
            </w:pPr>
            <w:r>
              <w:rPr>
                <w:spacing w:val="4"/>
                <w:sz w:val="20"/>
                <w:szCs w:val="20"/>
              </w:rPr>
              <w:t>电炉放散煤气</w:t>
            </w:r>
          </w:p>
        </w:tc>
        <w:tc>
          <w:tcPr>
            <w:tcW w:w="1163" w:type="dxa"/>
            <w:vAlign w:val="top"/>
          </w:tcPr>
          <w:p w14:paraId="39D53BC2">
            <w:pPr>
              <w:spacing w:before="101" w:line="195" w:lineRule="auto"/>
              <w:ind w:left="4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359</w:t>
            </w:r>
          </w:p>
        </w:tc>
        <w:tc>
          <w:tcPr>
            <w:tcW w:w="1163" w:type="dxa"/>
            <w:vAlign w:val="top"/>
          </w:tcPr>
          <w:p w14:paraId="6E1CD958">
            <w:pPr>
              <w:spacing w:before="101" w:line="195" w:lineRule="auto"/>
              <w:ind w:left="3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-493</w:t>
            </w:r>
          </w:p>
        </w:tc>
        <w:tc>
          <w:tcPr>
            <w:tcW w:w="1252" w:type="dxa"/>
            <w:vAlign w:val="top"/>
          </w:tcPr>
          <w:p w14:paraId="5DF4515D">
            <w:pPr>
              <w:spacing w:before="101" w:line="195"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1147</w:t>
            </w:r>
          </w:p>
        </w:tc>
        <w:tc>
          <w:tcPr>
            <w:tcW w:w="911" w:type="dxa"/>
            <w:vAlign w:val="top"/>
          </w:tcPr>
          <w:p w14:paraId="5837D6B0">
            <w:pPr>
              <w:spacing w:before="103" w:line="195" w:lineRule="auto"/>
              <w:ind w:left="356"/>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950" w:type="dxa"/>
            <w:vAlign w:val="top"/>
          </w:tcPr>
          <w:p w14:paraId="34FF920A">
            <w:pPr>
              <w:spacing w:before="103" w:line="195" w:lineRule="auto"/>
              <w:ind w:left="36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c>
          <w:tcPr>
            <w:tcW w:w="1227" w:type="dxa"/>
            <w:vAlign w:val="top"/>
          </w:tcPr>
          <w:p w14:paraId="576771AF">
            <w:pPr>
              <w:spacing w:before="103" w:line="195" w:lineRule="auto"/>
              <w:ind w:left="1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6×11652.05</w:t>
            </w:r>
          </w:p>
        </w:tc>
        <w:tc>
          <w:tcPr>
            <w:tcW w:w="949" w:type="dxa"/>
            <w:vAlign w:val="top"/>
          </w:tcPr>
          <w:p w14:paraId="1BB60193">
            <w:pPr>
              <w:spacing w:before="101" w:line="195" w:lineRule="auto"/>
              <w:ind w:left="3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120</w:t>
            </w:r>
          </w:p>
        </w:tc>
        <w:tc>
          <w:tcPr>
            <w:tcW w:w="847" w:type="dxa"/>
            <w:vAlign w:val="top"/>
          </w:tcPr>
          <w:p w14:paraId="002AD570">
            <w:pPr>
              <w:spacing w:before="101" w:line="195"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498" w:type="dxa"/>
            <w:vAlign w:val="top"/>
          </w:tcPr>
          <w:p w14:paraId="7098D899">
            <w:pPr>
              <w:pStyle w:val="6"/>
              <w:spacing w:before="65" w:line="218" w:lineRule="auto"/>
              <w:ind w:left="46"/>
              <w:rPr>
                <w:sz w:val="20"/>
                <w:szCs w:val="20"/>
              </w:rPr>
            </w:pPr>
            <w:r>
              <w:rPr>
                <w:spacing w:val="4"/>
                <w:sz w:val="20"/>
                <w:szCs w:val="20"/>
              </w:rPr>
              <w:t>事故</w:t>
            </w:r>
          </w:p>
        </w:tc>
        <w:tc>
          <w:tcPr>
            <w:tcW w:w="1145" w:type="dxa"/>
            <w:vAlign w:val="top"/>
          </w:tcPr>
          <w:p w14:paraId="7B901B80">
            <w:pPr>
              <w:spacing w:before="103"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6×26.03</w:t>
            </w:r>
          </w:p>
        </w:tc>
        <w:tc>
          <w:tcPr>
            <w:tcW w:w="955" w:type="dxa"/>
            <w:vAlign w:val="top"/>
          </w:tcPr>
          <w:p w14:paraId="42A9CCE1">
            <w:pPr>
              <w:spacing w:before="103" w:line="195" w:lineRule="auto"/>
              <w:ind w:left="1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6×0.60</w:t>
            </w:r>
          </w:p>
        </w:tc>
        <w:tc>
          <w:tcPr>
            <w:tcW w:w="736" w:type="dxa"/>
            <w:tcBorders>
              <w:right w:val="nil"/>
            </w:tcBorders>
            <w:vAlign w:val="top"/>
          </w:tcPr>
          <w:p w14:paraId="4BD7BAF0">
            <w:pPr>
              <w:spacing w:before="101" w:line="195" w:lineRule="auto"/>
              <w:ind w:left="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6×70.58</w:t>
            </w:r>
          </w:p>
        </w:tc>
      </w:tr>
      <w:tr w14:paraId="20ADD2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692" w:type="dxa"/>
            <w:tcBorders>
              <w:left w:val="nil"/>
              <w:bottom w:val="single" w:color="000000" w:sz="10" w:space="0"/>
            </w:tcBorders>
            <w:vAlign w:val="top"/>
          </w:tcPr>
          <w:p w14:paraId="1878518A">
            <w:pPr>
              <w:spacing w:before="108" w:line="195" w:lineRule="auto"/>
              <w:ind w:left="298"/>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507" w:type="dxa"/>
            <w:tcBorders>
              <w:bottom w:val="single" w:color="000000" w:sz="10" w:space="0"/>
            </w:tcBorders>
            <w:vAlign w:val="top"/>
          </w:tcPr>
          <w:p w14:paraId="1FD676D1">
            <w:pPr>
              <w:pStyle w:val="6"/>
              <w:spacing w:before="72" w:line="226" w:lineRule="auto"/>
              <w:ind w:left="130"/>
              <w:rPr>
                <w:sz w:val="20"/>
                <w:szCs w:val="20"/>
              </w:rPr>
            </w:pPr>
            <w:r>
              <w:rPr>
                <w:spacing w:val="8"/>
                <w:sz w:val="20"/>
                <w:szCs w:val="20"/>
              </w:rPr>
              <w:t>燃气发电锅炉</w:t>
            </w:r>
          </w:p>
        </w:tc>
        <w:tc>
          <w:tcPr>
            <w:tcW w:w="1163" w:type="dxa"/>
            <w:tcBorders>
              <w:bottom w:val="single" w:color="000000" w:sz="10" w:space="0"/>
            </w:tcBorders>
            <w:vAlign w:val="top"/>
          </w:tcPr>
          <w:p w14:paraId="619EBCE0">
            <w:pPr>
              <w:spacing w:before="108" w:line="195" w:lineRule="auto"/>
              <w:ind w:left="4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398</w:t>
            </w:r>
          </w:p>
        </w:tc>
        <w:tc>
          <w:tcPr>
            <w:tcW w:w="1163" w:type="dxa"/>
            <w:tcBorders>
              <w:bottom w:val="single" w:color="000000" w:sz="10" w:space="0"/>
            </w:tcBorders>
            <w:vAlign w:val="top"/>
          </w:tcPr>
          <w:p w14:paraId="6253BFC0">
            <w:pPr>
              <w:spacing w:before="108" w:line="195" w:lineRule="auto"/>
              <w:ind w:left="3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-192</w:t>
            </w:r>
          </w:p>
        </w:tc>
        <w:tc>
          <w:tcPr>
            <w:tcW w:w="1252" w:type="dxa"/>
            <w:tcBorders>
              <w:bottom w:val="single" w:color="000000" w:sz="10" w:space="0"/>
            </w:tcBorders>
            <w:vAlign w:val="top"/>
          </w:tcPr>
          <w:p w14:paraId="49C5E975">
            <w:pPr>
              <w:spacing w:before="108" w:line="195" w:lineRule="auto"/>
              <w:ind w:left="4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1143</w:t>
            </w:r>
          </w:p>
        </w:tc>
        <w:tc>
          <w:tcPr>
            <w:tcW w:w="911" w:type="dxa"/>
            <w:tcBorders>
              <w:bottom w:val="single" w:color="000000" w:sz="10" w:space="0"/>
            </w:tcBorders>
            <w:vAlign w:val="top"/>
          </w:tcPr>
          <w:p w14:paraId="2C15F529">
            <w:pPr>
              <w:spacing w:before="108" w:line="195" w:lineRule="auto"/>
              <w:ind w:left="356"/>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950" w:type="dxa"/>
            <w:tcBorders>
              <w:bottom w:val="single" w:color="000000" w:sz="10" w:space="0"/>
            </w:tcBorders>
            <w:vAlign w:val="top"/>
          </w:tcPr>
          <w:p w14:paraId="55ABA2CB">
            <w:pPr>
              <w:spacing w:before="108" w:line="195" w:lineRule="auto"/>
              <w:ind w:left="34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1227" w:type="dxa"/>
            <w:tcBorders>
              <w:bottom w:val="single" w:color="000000" w:sz="10" w:space="0"/>
            </w:tcBorders>
            <w:vAlign w:val="top"/>
          </w:tcPr>
          <w:p w14:paraId="4E9BA12F">
            <w:pPr>
              <w:spacing w:before="108" w:line="195" w:lineRule="auto"/>
              <w:ind w:left="16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222223.10</w:t>
            </w:r>
          </w:p>
        </w:tc>
        <w:tc>
          <w:tcPr>
            <w:tcW w:w="949" w:type="dxa"/>
            <w:tcBorders>
              <w:bottom w:val="single" w:color="000000" w:sz="10" w:space="0"/>
            </w:tcBorders>
            <w:vAlign w:val="top"/>
          </w:tcPr>
          <w:p w14:paraId="2048A1FE">
            <w:pPr>
              <w:spacing w:before="108" w:line="195" w:lineRule="auto"/>
              <w:ind w:left="3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160</w:t>
            </w:r>
          </w:p>
        </w:tc>
        <w:tc>
          <w:tcPr>
            <w:tcW w:w="847" w:type="dxa"/>
            <w:tcBorders>
              <w:bottom w:val="single" w:color="000000" w:sz="10" w:space="0"/>
            </w:tcBorders>
            <w:vAlign w:val="top"/>
          </w:tcPr>
          <w:p w14:paraId="0D7DDB7F">
            <w:pPr>
              <w:spacing w:before="108" w:line="195"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498" w:type="dxa"/>
            <w:tcBorders>
              <w:bottom w:val="single" w:color="000000" w:sz="10" w:space="0"/>
            </w:tcBorders>
            <w:vAlign w:val="top"/>
          </w:tcPr>
          <w:p w14:paraId="5E55605F">
            <w:pPr>
              <w:pStyle w:val="6"/>
              <w:spacing w:before="70" w:line="228" w:lineRule="auto"/>
              <w:ind w:left="46"/>
              <w:rPr>
                <w:sz w:val="20"/>
                <w:szCs w:val="20"/>
              </w:rPr>
            </w:pPr>
            <w:r>
              <w:rPr>
                <w:spacing w:val="4"/>
                <w:sz w:val="20"/>
                <w:szCs w:val="20"/>
              </w:rPr>
              <w:t>事故</w:t>
            </w:r>
          </w:p>
        </w:tc>
        <w:tc>
          <w:tcPr>
            <w:tcW w:w="1145" w:type="dxa"/>
            <w:tcBorders>
              <w:bottom w:val="single" w:color="000000" w:sz="10" w:space="0"/>
            </w:tcBorders>
            <w:vAlign w:val="top"/>
          </w:tcPr>
          <w:p w14:paraId="13260E0C">
            <w:pPr>
              <w:spacing w:before="108" w:line="195" w:lineRule="auto"/>
              <w:ind w:left="3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2.59</w:t>
            </w:r>
          </w:p>
        </w:tc>
        <w:tc>
          <w:tcPr>
            <w:tcW w:w="955" w:type="dxa"/>
            <w:tcBorders>
              <w:bottom w:val="single" w:color="000000" w:sz="10" w:space="0"/>
            </w:tcBorders>
            <w:vAlign w:val="top"/>
          </w:tcPr>
          <w:p w14:paraId="4E996214">
            <w:pPr>
              <w:spacing w:before="108"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34.82</w:t>
            </w:r>
          </w:p>
        </w:tc>
        <w:tc>
          <w:tcPr>
            <w:tcW w:w="736" w:type="dxa"/>
            <w:tcBorders>
              <w:bottom w:val="single" w:color="000000" w:sz="10" w:space="0"/>
              <w:right w:val="nil"/>
            </w:tcBorders>
            <w:vAlign w:val="top"/>
          </w:tcPr>
          <w:p w14:paraId="4FAC7F79">
            <w:pPr>
              <w:spacing w:before="108" w:line="195" w:lineRule="auto"/>
              <w:ind w:left="104"/>
              <w:rPr>
                <w:rFonts w:ascii="Times New Roman" w:hAnsi="Times New Roman" w:eastAsia="Times New Roman" w:cs="Times New Roman"/>
                <w:sz w:val="20"/>
                <w:szCs w:val="20"/>
              </w:rPr>
            </w:pPr>
            <w:r>
              <w:rPr>
                <w:rFonts w:ascii="Times New Roman" w:hAnsi="Times New Roman" w:eastAsia="Times New Roman" w:cs="Times New Roman"/>
                <w:sz w:val="20"/>
                <w:szCs w:val="20"/>
              </w:rPr>
              <w:t>155.96</w:t>
            </w:r>
          </w:p>
        </w:tc>
      </w:tr>
    </w:tbl>
    <w:p w14:paraId="44D8ABA8">
      <w:pPr>
        <w:spacing w:before="33" w:line="227" w:lineRule="auto"/>
        <w:ind w:left="4223"/>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4.1-8        </w:t>
      </w:r>
      <w:r>
        <w:rPr>
          <w:rFonts w:ascii="宋体" w:hAnsi="宋体" w:eastAsia="宋体" w:cs="宋体"/>
          <w:b/>
          <w:bCs/>
          <w:spacing w:val="6"/>
          <w:sz w:val="20"/>
          <w:szCs w:val="20"/>
        </w:rPr>
        <w:t>拟建、在建项目</w:t>
      </w:r>
      <w:r>
        <w:rPr>
          <w:rFonts w:ascii="宋体" w:hAnsi="宋体" w:eastAsia="宋体" w:cs="宋体"/>
          <w:b/>
          <w:bCs/>
          <w:spacing w:val="5"/>
          <w:sz w:val="20"/>
          <w:szCs w:val="20"/>
        </w:rPr>
        <w:t>污染源排放源参数统计表（</w:t>
      </w:r>
      <w:r>
        <w:rPr>
          <w:rFonts w:ascii="Times New Roman" w:hAnsi="Times New Roman" w:eastAsia="Times New Roman" w:cs="Times New Roman"/>
          <w:b/>
          <w:bCs/>
          <w:spacing w:val="5"/>
          <w:sz w:val="20"/>
          <w:szCs w:val="20"/>
        </w:rPr>
        <w:t>t/a</w:t>
      </w:r>
      <w:r>
        <w:rPr>
          <w:rFonts w:ascii="宋体" w:hAnsi="宋体" w:eastAsia="宋体" w:cs="宋体"/>
          <w:b/>
          <w:bCs/>
          <w:spacing w:val="5"/>
          <w:sz w:val="20"/>
          <w:szCs w:val="20"/>
        </w:rPr>
        <w:t>）</w:t>
      </w:r>
    </w:p>
    <w:p w14:paraId="34CA837D">
      <w:pPr>
        <w:spacing w:line="131" w:lineRule="exact"/>
      </w:pPr>
    </w:p>
    <w:tbl>
      <w:tblPr>
        <w:tblStyle w:val="5"/>
        <w:tblW w:w="1399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812"/>
        <w:gridCol w:w="913"/>
        <w:gridCol w:w="975"/>
        <w:gridCol w:w="938"/>
        <w:gridCol w:w="938"/>
        <w:gridCol w:w="975"/>
        <w:gridCol w:w="1598"/>
        <w:gridCol w:w="846"/>
      </w:tblGrid>
      <w:tr w14:paraId="719928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6812" w:type="dxa"/>
            <w:tcBorders>
              <w:top w:val="single" w:color="000000" w:sz="10" w:space="0"/>
              <w:left w:val="nil"/>
            </w:tcBorders>
            <w:vAlign w:val="top"/>
          </w:tcPr>
          <w:p w14:paraId="5E235812">
            <w:pPr>
              <w:pStyle w:val="6"/>
              <w:spacing w:before="56" w:line="228" w:lineRule="auto"/>
              <w:ind w:left="3204"/>
              <w:rPr>
                <w:sz w:val="20"/>
                <w:szCs w:val="20"/>
              </w:rPr>
            </w:pPr>
            <w:r>
              <w:rPr>
                <w:spacing w:val="3"/>
                <w:sz w:val="20"/>
                <w:szCs w:val="20"/>
              </w:rPr>
              <w:t>项目</w:t>
            </w:r>
          </w:p>
        </w:tc>
        <w:tc>
          <w:tcPr>
            <w:tcW w:w="913" w:type="dxa"/>
            <w:tcBorders>
              <w:top w:val="single" w:color="000000" w:sz="10" w:space="0"/>
            </w:tcBorders>
            <w:vAlign w:val="top"/>
          </w:tcPr>
          <w:p w14:paraId="573A6E95">
            <w:pPr>
              <w:spacing w:before="95" w:line="199" w:lineRule="auto"/>
              <w:ind w:left="236"/>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8"/>
                <w:position w:val="-1"/>
                <w:sz w:val="13"/>
                <w:szCs w:val="13"/>
              </w:rPr>
              <w:t>10</w:t>
            </w:r>
          </w:p>
        </w:tc>
        <w:tc>
          <w:tcPr>
            <w:tcW w:w="975" w:type="dxa"/>
            <w:tcBorders>
              <w:top w:val="single" w:color="000000" w:sz="10" w:space="0"/>
            </w:tcBorders>
            <w:vAlign w:val="top"/>
          </w:tcPr>
          <w:p w14:paraId="15729E06">
            <w:pPr>
              <w:spacing w:before="92" w:line="202" w:lineRule="auto"/>
              <w:ind w:left="329"/>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938" w:type="dxa"/>
            <w:tcBorders>
              <w:top w:val="single" w:color="000000" w:sz="10" w:space="0"/>
            </w:tcBorders>
            <w:vAlign w:val="top"/>
          </w:tcPr>
          <w:p w14:paraId="4C1D4045">
            <w:pPr>
              <w:spacing w:before="92" w:line="202" w:lineRule="auto"/>
              <w:ind w:left="277"/>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938" w:type="dxa"/>
            <w:tcBorders>
              <w:top w:val="single" w:color="000000" w:sz="10" w:space="0"/>
            </w:tcBorders>
            <w:vAlign w:val="top"/>
          </w:tcPr>
          <w:p w14:paraId="22335AEA">
            <w:pPr>
              <w:spacing w:before="92"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TSP</w:t>
            </w:r>
          </w:p>
        </w:tc>
        <w:tc>
          <w:tcPr>
            <w:tcW w:w="975" w:type="dxa"/>
            <w:tcBorders>
              <w:top w:val="single" w:color="000000" w:sz="10" w:space="0"/>
            </w:tcBorders>
            <w:vAlign w:val="top"/>
          </w:tcPr>
          <w:p w14:paraId="11F2A522">
            <w:pPr>
              <w:spacing w:before="95" w:line="199" w:lineRule="auto"/>
              <w:ind w:left="250"/>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6"/>
                <w:position w:val="-1"/>
                <w:sz w:val="13"/>
                <w:szCs w:val="13"/>
              </w:rPr>
              <w:t>2.5</w:t>
            </w:r>
          </w:p>
        </w:tc>
        <w:tc>
          <w:tcPr>
            <w:tcW w:w="1598" w:type="dxa"/>
            <w:tcBorders>
              <w:top w:val="single" w:color="000000" w:sz="10" w:space="0"/>
            </w:tcBorders>
            <w:vAlign w:val="top"/>
          </w:tcPr>
          <w:p w14:paraId="65600D88">
            <w:pPr>
              <w:pStyle w:val="6"/>
              <w:spacing w:before="56" w:line="225" w:lineRule="auto"/>
              <w:ind w:left="175"/>
              <w:rPr>
                <w:sz w:val="20"/>
                <w:szCs w:val="20"/>
              </w:rPr>
            </w:pPr>
            <w:r>
              <w:rPr>
                <w:spacing w:val="8"/>
                <w:sz w:val="20"/>
                <w:szCs w:val="20"/>
              </w:rPr>
              <w:t>锰及其化合物</w:t>
            </w:r>
          </w:p>
        </w:tc>
        <w:tc>
          <w:tcPr>
            <w:tcW w:w="846" w:type="dxa"/>
            <w:tcBorders>
              <w:top w:val="single" w:color="000000" w:sz="10" w:space="0"/>
              <w:right w:val="nil"/>
            </w:tcBorders>
            <w:vAlign w:val="top"/>
          </w:tcPr>
          <w:p w14:paraId="29E2FDE1">
            <w:pPr>
              <w:pStyle w:val="6"/>
              <w:spacing w:before="56" w:line="225" w:lineRule="auto"/>
              <w:ind w:left="326"/>
              <w:rPr>
                <w:sz w:val="20"/>
                <w:szCs w:val="20"/>
              </w:rPr>
            </w:pPr>
            <w:r>
              <w:rPr>
                <w:sz w:val="20"/>
                <w:szCs w:val="20"/>
              </w:rPr>
              <w:t>氨</w:t>
            </w:r>
          </w:p>
        </w:tc>
      </w:tr>
      <w:tr w14:paraId="10D57B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6812" w:type="dxa"/>
            <w:tcBorders>
              <w:left w:val="nil"/>
            </w:tcBorders>
            <w:vAlign w:val="top"/>
          </w:tcPr>
          <w:p w14:paraId="29654DF2">
            <w:pPr>
              <w:pStyle w:val="6"/>
              <w:spacing w:before="56" w:line="226" w:lineRule="auto"/>
              <w:ind w:left="214"/>
              <w:rPr>
                <w:sz w:val="20"/>
                <w:szCs w:val="20"/>
              </w:rPr>
            </w:pPr>
            <w:r>
              <w:rPr>
                <w:spacing w:val="8"/>
                <w:sz w:val="20"/>
                <w:szCs w:val="20"/>
              </w:rPr>
              <w:t>蒙铁特钢（内蒙古）有限公司固废资源综合利用年产</w:t>
            </w:r>
            <w:r>
              <w:rPr>
                <w:spacing w:val="-27"/>
                <w:sz w:val="20"/>
                <w:szCs w:val="20"/>
              </w:rPr>
              <w:t xml:space="preserve"> </w:t>
            </w:r>
            <w:r>
              <w:rPr>
                <w:rFonts w:ascii="Times New Roman" w:hAnsi="Times New Roman" w:eastAsia="Times New Roman" w:cs="Times New Roman"/>
                <w:spacing w:val="8"/>
                <w:sz w:val="20"/>
                <w:szCs w:val="20"/>
              </w:rPr>
              <w:t>50</w:t>
            </w:r>
            <w:r>
              <w:rPr>
                <w:rFonts w:ascii="Times New Roman" w:hAnsi="Times New Roman" w:eastAsia="Times New Roman" w:cs="Times New Roman"/>
                <w:spacing w:val="17"/>
                <w:w w:val="101"/>
                <w:sz w:val="20"/>
                <w:szCs w:val="20"/>
              </w:rPr>
              <w:t xml:space="preserve"> </w:t>
            </w:r>
            <w:r>
              <w:rPr>
                <w:spacing w:val="8"/>
                <w:sz w:val="20"/>
                <w:szCs w:val="20"/>
              </w:rPr>
              <w:t>万吨铸造项目</w:t>
            </w:r>
          </w:p>
        </w:tc>
        <w:tc>
          <w:tcPr>
            <w:tcW w:w="913" w:type="dxa"/>
            <w:vAlign w:val="top"/>
          </w:tcPr>
          <w:p w14:paraId="784A1E4A">
            <w:pPr>
              <w:spacing w:before="91" w:line="195" w:lineRule="auto"/>
              <w:ind w:left="188"/>
              <w:rPr>
                <w:rFonts w:ascii="Times New Roman" w:hAnsi="Times New Roman" w:eastAsia="Times New Roman" w:cs="Times New Roman"/>
                <w:sz w:val="20"/>
                <w:szCs w:val="20"/>
              </w:rPr>
            </w:pPr>
            <w:r>
              <w:rPr>
                <w:rFonts w:ascii="Times New Roman" w:hAnsi="Times New Roman" w:eastAsia="Times New Roman" w:cs="Times New Roman"/>
                <w:sz w:val="20"/>
                <w:szCs w:val="20"/>
              </w:rPr>
              <w:t>157.45</w:t>
            </w:r>
          </w:p>
        </w:tc>
        <w:tc>
          <w:tcPr>
            <w:tcW w:w="975" w:type="dxa"/>
            <w:vAlign w:val="top"/>
          </w:tcPr>
          <w:p w14:paraId="1AEE7DD5">
            <w:pPr>
              <w:spacing w:before="91" w:line="195" w:lineRule="auto"/>
              <w:ind w:left="3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190</w:t>
            </w:r>
          </w:p>
        </w:tc>
        <w:tc>
          <w:tcPr>
            <w:tcW w:w="938" w:type="dxa"/>
            <w:vAlign w:val="top"/>
          </w:tcPr>
          <w:p w14:paraId="39E57BF5">
            <w:pPr>
              <w:spacing w:before="91" w:line="195" w:lineRule="auto"/>
              <w:ind w:left="200"/>
              <w:rPr>
                <w:rFonts w:ascii="Times New Roman" w:hAnsi="Times New Roman" w:eastAsia="Times New Roman" w:cs="Times New Roman"/>
                <w:sz w:val="20"/>
                <w:szCs w:val="20"/>
              </w:rPr>
            </w:pPr>
            <w:r>
              <w:rPr>
                <w:rFonts w:ascii="Times New Roman" w:hAnsi="Times New Roman" w:eastAsia="Times New Roman" w:cs="Times New Roman"/>
                <w:sz w:val="20"/>
                <w:szCs w:val="20"/>
              </w:rPr>
              <w:t>117.65</w:t>
            </w:r>
          </w:p>
        </w:tc>
        <w:tc>
          <w:tcPr>
            <w:tcW w:w="938" w:type="dxa"/>
            <w:vAlign w:val="top"/>
          </w:tcPr>
          <w:p w14:paraId="787A6240">
            <w:pPr>
              <w:spacing w:before="91" w:line="195" w:lineRule="auto"/>
              <w:ind w:left="25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11.81</w:t>
            </w:r>
          </w:p>
        </w:tc>
        <w:tc>
          <w:tcPr>
            <w:tcW w:w="975" w:type="dxa"/>
            <w:vAlign w:val="top"/>
          </w:tcPr>
          <w:p w14:paraId="56D7660D">
            <w:pPr>
              <w:spacing w:before="91" w:line="195" w:lineRule="auto"/>
              <w:ind w:left="1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31.7262</w:t>
            </w:r>
          </w:p>
        </w:tc>
        <w:tc>
          <w:tcPr>
            <w:tcW w:w="1598" w:type="dxa"/>
            <w:vAlign w:val="top"/>
          </w:tcPr>
          <w:p w14:paraId="4D479F8F">
            <w:pPr>
              <w:spacing w:before="88" w:line="199" w:lineRule="auto"/>
              <w:ind w:left="76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46" w:type="dxa"/>
            <w:tcBorders>
              <w:right w:val="nil"/>
            </w:tcBorders>
            <w:vAlign w:val="top"/>
          </w:tcPr>
          <w:p w14:paraId="7972AC7C">
            <w:pPr>
              <w:spacing w:before="88" w:line="199" w:lineRule="auto"/>
              <w:ind w:left="3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4895DE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6812" w:type="dxa"/>
            <w:tcBorders>
              <w:left w:val="nil"/>
            </w:tcBorders>
            <w:vAlign w:val="top"/>
          </w:tcPr>
          <w:p w14:paraId="6D7903C7">
            <w:pPr>
              <w:pStyle w:val="6"/>
              <w:spacing w:before="59" w:line="225" w:lineRule="auto"/>
              <w:ind w:left="759"/>
              <w:rPr>
                <w:sz w:val="20"/>
                <w:szCs w:val="20"/>
              </w:rPr>
            </w:pPr>
            <w:r>
              <w:rPr>
                <w:spacing w:val="7"/>
                <w:sz w:val="20"/>
                <w:szCs w:val="20"/>
              </w:rPr>
              <w:t>内蒙古新蒙新科技有限公司计划建设</w:t>
            </w:r>
            <w:r>
              <w:rPr>
                <w:spacing w:val="-21"/>
                <w:sz w:val="20"/>
                <w:szCs w:val="20"/>
              </w:rPr>
              <w:t xml:space="preserve"> </w:t>
            </w:r>
            <w:r>
              <w:rPr>
                <w:rFonts w:ascii="Times New Roman" w:hAnsi="Times New Roman" w:eastAsia="Times New Roman" w:cs="Times New Roman"/>
                <w:spacing w:val="7"/>
                <w:sz w:val="20"/>
                <w:szCs w:val="20"/>
              </w:rPr>
              <w:t xml:space="preserve">10 </w:t>
            </w:r>
            <w:r>
              <w:rPr>
                <w:spacing w:val="7"/>
                <w:sz w:val="20"/>
                <w:szCs w:val="20"/>
              </w:rPr>
              <w:t>万吨负极材料项目</w:t>
            </w:r>
          </w:p>
        </w:tc>
        <w:tc>
          <w:tcPr>
            <w:tcW w:w="913" w:type="dxa"/>
            <w:vAlign w:val="top"/>
          </w:tcPr>
          <w:p w14:paraId="606EE4FD">
            <w:pPr>
              <w:spacing w:before="95" w:line="195" w:lineRule="auto"/>
              <w:ind w:left="11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28.9318</w:t>
            </w:r>
          </w:p>
        </w:tc>
        <w:tc>
          <w:tcPr>
            <w:tcW w:w="975" w:type="dxa"/>
            <w:vAlign w:val="top"/>
          </w:tcPr>
          <w:p w14:paraId="535E7AC1">
            <w:pPr>
              <w:spacing w:before="95" w:line="195" w:lineRule="auto"/>
              <w:ind w:left="9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208.6506</w:t>
            </w:r>
          </w:p>
        </w:tc>
        <w:tc>
          <w:tcPr>
            <w:tcW w:w="938" w:type="dxa"/>
            <w:vAlign w:val="top"/>
          </w:tcPr>
          <w:p w14:paraId="7DCD1DA6">
            <w:pPr>
              <w:spacing w:before="95" w:line="195"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95.6192</w:t>
            </w:r>
          </w:p>
        </w:tc>
        <w:tc>
          <w:tcPr>
            <w:tcW w:w="938" w:type="dxa"/>
            <w:vAlign w:val="top"/>
          </w:tcPr>
          <w:p w14:paraId="4307EE2F">
            <w:pPr>
              <w:spacing w:before="95" w:line="195" w:lineRule="auto"/>
              <w:ind w:left="1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2.0018</w:t>
            </w:r>
          </w:p>
        </w:tc>
        <w:tc>
          <w:tcPr>
            <w:tcW w:w="975" w:type="dxa"/>
            <w:vAlign w:val="top"/>
          </w:tcPr>
          <w:p w14:paraId="012B0501">
            <w:pPr>
              <w:spacing w:before="95" w:line="195" w:lineRule="auto"/>
              <w:ind w:left="2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5.8264</w:t>
            </w:r>
          </w:p>
        </w:tc>
        <w:tc>
          <w:tcPr>
            <w:tcW w:w="1598" w:type="dxa"/>
            <w:vAlign w:val="top"/>
          </w:tcPr>
          <w:p w14:paraId="3C5F1DFD">
            <w:pPr>
              <w:spacing w:before="91" w:line="199" w:lineRule="auto"/>
              <w:ind w:left="76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46" w:type="dxa"/>
            <w:tcBorders>
              <w:right w:val="nil"/>
            </w:tcBorders>
            <w:vAlign w:val="top"/>
          </w:tcPr>
          <w:p w14:paraId="795097B9">
            <w:pPr>
              <w:spacing w:before="95" w:line="195" w:lineRule="auto"/>
              <w:ind w:left="1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7.6067</w:t>
            </w:r>
          </w:p>
        </w:tc>
      </w:tr>
      <w:tr w14:paraId="4624A6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1" w:hRule="atLeast"/>
        </w:trPr>
        <w:tc>
          <w:tcPr>
            <w:tcW w:w="6812" w:type="dxa"/>
            <w:tcBorders>
              <w:left w:val="nil"/>
            </w:tcBorders>
            <w:vAlign w:val="top"/>
          </w:tcPr>
          <w:p w14:paraId="1AE6AA46">
            <w:pPr>
              <w:pStyle w:val="6"/>
              <w:spacing w:before="62" w:line="253" w:lineRule="auto"/>
              <w:ind w:left="1627" w:right="23" w:hanging="1599"/>
              <w:rPr>
                <w:sz w:val="20"/>
                <w:szCs w:val="20"/>
              </w:rPr>
            </w:pPr>
            <w:r>
              <w:rPr>
                <w:spacing w:val="8"/>
                <w:sz w:val="20"/>
                <w:szCs w:val="20"/>
              </w:rPr>
              <w:t>苏尼特右旗新蒙新材料有限公司</w:t>
            </w:r>
            <w:r>
              <w:rPr>
                <w:spacing w:val="-23"/>
                <w:sz w:val="20"/>
                <w:szCs w:val="20"/>
              </w:rPr>
              <w:t xml:space="preserve"> </w:t>
            </w:r>
            <w:r>
              <w:rPr>
                <w:rFonts w:ascii="Times New Roman" w:hAnsi="Times New Roman" w:eastAsia="Times New Roman" w:cs="Times New Roman"/>
                <w:spacing w:val="8"/>
                <w:sz w:val="20"/>
                <w:szCs w:val="20"/>
              </w:rPr>
              <w:t xml:space="preserve">46.5 </w:t>
            </w:r>
            <w:r>
              <w:rPr>
                <w:spacing w:val="8"/>
                <w:sz w:val="20"/>
                <w:szCs w:val="20"/>
              </w:rPr>
              <w:t>万吨铁合金新能源冶炼、尾渣及余气</w:t>
            </w:r>
            <w:r>
              <w:rPr>
                <w:sz w:val="20"/>
                <w:szCs w:val="20"/>
              </w:rPr>
              <w:t xml:space="preserve"> </w:t>
            </w:r>
            <w:r>
              <w:rPr>
                <w:spacing w:val="9"/>
                <w:sz w:val="20"/>
                <w:szCs w:val="20"/>
              </w:rPr>
              <w:t>余热综合利用高质量发展循环经济项目</w:t>
            </w:r>
          </w:p>
        </w:tc>
        <w:tc>
          <w:tcPr>
            <w:tcW w:w="913" w:type="dxa"/>
            <w:vAlign w:val="top"/>
          </w:tcPr>
          <w:p w14:paraId="12893376">
            <w:pPr>
              <w:spacing w:before="255" w:line="195" w:lineRule="auto"/>
              <w:ind w:left="16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29.156</w:t>
            </w:r>
          </w:p>
        </w:tc>
        <w:tc>
          <w:tcPr>
            <w:tcW w:w="975" w:type="dxa"/>
            <w:vAlign w:val="top"/>
          </w:tcPr>
          <w:p w14:paraId="2D9CEE1B">
            <w:pPr>
              <w:spacing w:before="255" w:line="195" w:lineRule="auto"/>
              <w:ind w:left="2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56.79</w:t>
            </w:r>
          </w:p>
        </w:tc>
        <w:tc>
          <w:tcPr>
            <w:tcW w:w="938" w:type="dxa"/>
            <w:vAlign w:val="top"/>
          </w:tcPr>
          <w:p w14:paraId="6F0AB328">
            <w:pPr>
              <w:spacing w:before="255" w:line="195" w:lineRule="auto"/>
              <w:ind w:left="12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409.983</w:t>
            </w:r>
          </w:p>
        </w:tc>
        <w:tc>
          <w:tcPr>
            <w:tcW w:w="938" w:type="dxa"/>
            <w:vAlign w:val="top"/>
          </w:tcPr>
          <w:p w14:paraId="380D49C9">
            <w:pPr>
              <w:spacing w:before="255" w:line="195" w:lineRule="auto"/>
              <w:ind w:left="201"/>
              <w:rPr>
                <w:rFonts w:ascii="Times New Roman" w:hAnsi="Times New Roman" w:eastAsia="Times New Roman" w:cs="Times New Roman"/>
                <w:sz w:val="20"/>
                <w:szCs w:val="20"/>
              </w:rPr>
            </w:pPr>
            <w:r>
              <w:rPr>
                <w:rFonts w:ascii="Times New Roman" w:hAnsi="Times New Roman" w:eastAsia="Times New Roman" w:cs="Times New Roman"/>
                <w:sz w:val="20"/>
                <w:szCs w:val="20"/>
              </w:rPr>
              <w:t>11.767</w:t>
            </w:r>
          </w:p>
        </w:tc>
        <w:tc>
          <w:tcPr>
            <w:tcW w:w="975" w:type="dxa"/>
            <w:vAlign w:val="top"/>
          </w:tcPr>
          <w:p w14:paraId="797D31A2">
            <w:pPr>
              <w:spacing w:before="255" w:line="195" w:lineRule="auto"/>
              <w:ind w:left="2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6.067</w:t>
            </w:r>
          </w:p>
        </w:tc>
        <w:tc>
          <w:tcPr>
            <w:tcW w:w="1598" w:type="dxa"/>
            <w:vAlign w:val="top"/>
          </w:tcPr>
          <w:p w14:paraId="0270ADB2">
            <w:pPr>
              <w:spacing w:before="251" w:line="199" w:lineRule="auto"/>
              <w:ind w:left="76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46" w:type="dxa"/>
            <w:tcBorders>
              <w:right w:val="nil"/>
            </w:tcBorders>
            <w:vAlign w:val="top"/>
          </w:tcPr>
          <w:p w14:paraId="652F7017">
            <w:pPr>
              <w:spacing w:before="251" w:line="199" w:lineRule="auto"/>
              <w:ind w:left="3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59E215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812" w:type="dxa"/>
            <w:tcBorders>
              <w:left w:val="nil"/>
              <w:bottom w:val="single" w:color="000000" w:sz="10" w:space="0"/>
            </w:tcBorders>
            <w:vAlign w:val="top"/>
          </w:tcPr>
          <w:p w14:paraId="00D10F84">
            <w:pPr>
              <w:pStyle w:val="6"/>
              <w:spacing w:before="70" w:line="224" w:lineRule="auto"/>
              <w:ind w:left="150"/>
              <w:rPr>
                <w:sz w:val="20"/>
                <w:szCs w:val="20"/>
              </w:rPr>
            </w:pPr>
            <w:r>
              <w:rPr>
                <w:spacing w:val="7"/>
                <w:sz w:val="20"/>
                <w:szCs w:val="20"/>
              </w:rPr>
              <w:t>苏尼特右旗华兴实业有限公司</w:t>
            </w:r>
            <w:r>
              <w:rPr>
                <w:spacing w:val="-13"/>
                <w:sz w:val="20"/>
                <w:szCs w:val="20"/>
              </w:rPr>
              <w:t xml:space="preserve"> </w:t>
            </w:r>
            <w:r>
              <w:rPr>
                <w:rFonts w:ascii="Times New Roman" w:hAnsi="Times New Roman" w:eastAsia="Times New Roman" w:cs="Times New Roman"/>
                <w:spacing w:val="7"/>
                <w:sz w:val="20"/>
                <w:szCs w:val="20"/>
              </w:rPr>
              <w:t>1×35400</w:t>
            </w:r>
            <w:r>
              <w:rPr>
                <w:rFonts w:ascii="Times New Roman" w:hAnsi="Times New Roman" w:eastAsia="Times New Roman" w:cs="Times New Roman"/>
                <w:sz w:val="20"/>
                <w:szCs w:val="20"/>
              </w:rPr>
              <w:t>KVA</w:t>
            </w:r>
            <w:r>
              <w:rPr>
                <w:rFonts w:ascii="Times New Roman" w:hAnsi="Times New Roman" w:eastAsia="Times New Roman" w:cs="Times New Roman"/>
                <w:spacing w:val="7"/>
                <w:sz w:val="20"/>
                <w:szCs w:val="20"/>
              </w:rPr>
              <w:t xml:space="preserve"> </w:t>
            </w:r>
            <w:r>
              <w:rPr>
                <w:spacing w:val="7"/>
                <w:sz w:val="20"/>
                <w:szCs w:val="20"/>
              </w:rPr>
              <w:t>全密闭锰硅合金矿热炉项目</w:t>
            </w:r>
          </w:p>
        </w:tc>
        <w:tc>
          <w:tcPr>
            <w:tcW w:w="913" w:type="dxa"/>
            <w:tcBorders>
              <w:bottom w:val="single" w:color="000000" w:sz="10" w:space="0"/>
            </w:tcBorders>
            <w:vAlign w:val="top"/>
          </w:tcPr>
          <w:p w14:paraId="1894BFB5">
            <w:pPr>
              <w:spacing w:before="106" w:line="195" w:lineRule="auto"/>
              <w:ind w:left="16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23.361</w:t>
            </w:r>
          </w:p>
        </w:tc>
        <w:tc>
          <w:tcPr>
            <w:tcW w:w="975" w:type="dxa"/>
            <w:tcBorders>
              <w:bottom w:val="single" w:color="000000" w:sz="10" w:space="0"/>
            </w:tcBorders>
            <w:vAlign w:val="top"/>
          </w:tcPr>
          <w:p w14:paraId="29ABF6B0">
            <w:pPr>
              <w:spacing w:before="106"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43.54</w:t>
            </w:r>
          </w:p>
        </w:tc>
        <w:tc>
          <w:tcPr>
            <w:tcW w:w="938" w:type="dxa"/>
            <w:tcBorders>
              <w:bottom w:val="single" w:color="000000" w:sz="10" w:space="0"/>
            </w:tcBorders>
            <w:vAlign w:val="top"/>
          </w:tcPr>
          <w:p w14:paraId="79BDE07F">
            <w:pPr>
              <w:spacing w:before="106" w:line="195" w:lineRule="auto"/>
              <w:ind w:left="2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58.94</w:t>
            </w:r>
          </w:p>
        </w:tc>
        <w:tc>
          <w:tcPr>
            <w:tcW w:w="938" w:type="dxa"/>
            <w:tcBorders>
              <w:bottom w:val="single" w:color="000000" w:sz="10" w:space="0"/>
            </w:tcBorders>
            <w:vAlign w:val="top"/>
          </w:tcPr>
          <w:p w14:paraId="24FA2BB1">
            <w:pPr>
              <w:spacing w:before="106" w:line="195"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0.809</w:t>
            </w:r>
          </w:p>
        </w:tc>
        <w:tc>
          <w:tcPr>
            <w:tcW w:w="975" w:type="dxa"/>
            <w:tcBorders>
              <w:bottom w:val="single" w:color="000000" w:sz="10" w:space="0"/>
            </w:tcBorders>
            <w:vAlign w:val="top"/>
          </w:tcPr>
          <w:p w14:paraId="6647BE10">
            <w:pPr>
              <w:spacing w:before="109" w:line="195" w:lineRule="auto"/>
              <w:ind w:left="19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4.6722</w:t>
            </w:r>
          </w:p>
        </w:tc>
        <w:tc>
          <w:tcPr>
            <w:tcW w:w="1598" w:type="dxa"/>
            <w:tcBorders>
              <w:bottom w:val="single" w:color="000000" w:sz="10" w:space="0"/>
            </w:tcBorders>
            <w:vAlign w:val="top"/>
          </w:tcPr>
          <w:p w14:paraId="13510A97">
            <w:pPr>
              <w:spacing w:before="105" w:line="199" w:lineRule="auto"/>
              <w:ind w:left="76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846" w:type="dxa"/>
            <w:tcBorders>
              <w:bottom w:val="single" w:color="000000" w:sz="10" w:space="0"/>
              <w:right w:val="nil"/>
            </w:tcBorders>
            <w:vAlign w:val="top"/>
          </w:tcPr>
          <w:p w14:paraId="0251FDFA">
            <w:pPr>
              <w:spacing w:before="105" w:line="199" w:lineRule="auto"/>
              <w:ind w:left="3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bl>
    <w:p w14:paraId="56EC4E62">
      <w:pPr>
        <w:spacing w:before="31" w:line="228" w:lineRule="auto"/>
        <w:ind w:left="7"/>
        <w:rPr>
          <w:rFonts w:ascii="宋体" w:hAnsi="宋体" w:eastAsia="宋体" w:cs="宋体"/>
          <w:sz w:val="20"/>
          <w:szCs w:val="20"/>
        </w:rPr>
      </w:pPr>
      <w:r>
        <w:rPr>
          <w:rFonts w:ascii="宋体" w:hAnsi="宋体" w:eastAsia="宋体" w:cs="宋体"/>
          <w:b/>
          <w:bCs/>
          <w:spacing w:val="7"/>
          <w:sz w:val="20"/>
          <w:szCs w:val="20"/>
        </w:rPr>
        <w:t>注：</w:t>
      </w:r>
      <w:r>
        <w:rPr>
          <w:rFonts w:ascii="Times New Roman" w:hAnsi="Times New Roman" w:eastAsia="Times New Roman" w:cs="Times New Roman"/>
          <w:b/>
          <w:bCs/>
          <w:sz w:val="20"/>
          <w:szCs w:val="20"/>
        </w:rPr>
        <w:t>PM</w:t>
      </w:r>
      <w:r>
        <w:rPr>
          <w:rFonts w:ascii="Times New Roman" w:hAnsi="Times New Roman" w:eastAsia="Times New Roman" w:cs="Times New Roman"/>
          <w:b/>
          <w:bCs/>
          <w:spacing w:val="7"/>
          <w:position w:val="-1"/>
          <w:sz w:val="13"/>
          <w:szCs w:val="13"/>
        </w:rPr>
        <w:t>2.5</w:t>
      </w:r>
      <w:r>
        <w:rPr>
          <w:rFonts w:ascii="Times New Roman" w:hAnsi="Times New Roman" w:eastAsia="Times New Roman" w:cs="Times New Roman"/>
          <w:b/>
          <w:bCs/>
          <w:spacing w:val="12"/>
          <w:position w:val="-1"/>
          <w:sz w:val="13"/>
          <w:szCs w:val="13"/>
        </w:rPr>
        <w:t xml:space="preserve"> </w:t>
      </w:r>
      <w:r>
        <w:rPr>
          <w:rFonts w:ascii="宋体" w:hAnsi="宋体" w:eastAsia="宋体" w:cs="宋体"/>
          <w:b/>
          <w:bCs/>
          <w:spacing w:val="7"/>
          <w:sz w:val="20"/>
          <w:szCs w:val="20"/>
        </w:rPr>
        <w:t>一次污染物按照</w:t>
      </w:r>
      <w:r>
        <w:rPr>
          <w:rFonts w:ascii="宋体" w:hAnsi="宋体" w:eastAsia="宋体" w:cs="宋体"/>
          <w:spacing w:val="-40"/>
          <w:sz w:val="20"/>
          <w:szCs w:val="20"/>
        </w:rPr>
        <w:t xml:space="preserve"> </w:t>
      </w:r>
      <w:r>
        <w:rPr>
          <w:rFonts w:ascii="Times New Roman" w:hAnsi="Times New Roman" w:eastAsia="Times New Roman" w:cs="Times New Roman"/>
          <w:b/>
          <w:bCs/>
          <w:spacing w:val="7"/>
          <w:sz w:val="20"/>
          <w:szCs w:val="20"/>
        </w:rPr>
        <w:t>2%</w:t>
      </w:r>
      <w:r>
        <w:rPr>
          <w:rFonts w:ascii="Times New Roman" w:hAnsi="Times New Roman" w:eastAsia="Times New Roman" w:cs="Times New Roman"/>
          <w:b/>
          <w:bCs/>
          <w:sz w:val="20"/>
          <w:szCs w:val="20"/>
        </w:rPr>
        <w:t>TSP</w:t>
      </w:r>
      <w:r>
        <w:rPr>
          <w:rFonts w:ascii="Times New Roman" w:hAnsi="Times New Roman" w:eastAsia="Times New Roman" w:cs="Times New Roman"/>
          <w:b/>
          <w:bCs/>
          <w:spacing w:val="-28"/>
          <w:sz w:val="20"/>
          <w:szCs w:val="20"/>
        </w:rPr>
        <w:t xml:space="preserve"> </w:t>
      </w:r>
      <w:r>
        <w:rPr>
          <w:rFonts w:ascii="宋体" w:hAnsi="宋体" w:eastAsia="宋体" w:cs="宋体"/>
          <w:b/>
          <w:bCs/>
          <w:spacing w:val="7"/>
          <w:sz w:val="20"/>
          <w:szCs w:val="20"/>
        </w:rPr>
        <w:t>、</w:t>
      </w:r>
      <w:r>
        <w:rPr>
          <w:rFonts w:ascii="Times New Roman" w:hAnsi="Times New Roman" w:eastAsia="Times New Roman" w:cs="Times New Roman"/>
          <w:b/>
          <w:bCs/>
          <w:spacing w:val="7"/>
          <w:sz w:val="20"/>
          <w:szCs w:val="20"/>
        </w:rPr>
        <w:t>20%</w:t>
      </w:r>
      <w:r>
        <w:rPr>
          <w:rFonts w:ascii="Times New Roman" w:hAnsi="Times New Roman" w:eastAsia="Times New Roman" w:cs="Times New Roman"/>
          <w:b/>
          <w:bCs/>
          <w:sz w:val="20"/>
          <w:szCs w:val="20"/>
        </w:rPr>
        <w:t>PM</w:t>
      </w:r>
      <w:r>
        <w:rPr>
          <w:rFonts w:ascii="Times New Roman" w:hAnsi="Times New Roman" w:eastAsia="Times New Roman" w:cs="Times New Roman"/>
          <w:b/>
          <w:bCs/>
          <w:spacing w:val="7"/>
          <w:position w:val="-1"/>
          <w:sz w:val="13"/>
          <w:szCs w:val="13"/>
        </w:rPr>
        <w:t>10</w:t>
      </w:r>
      <w:r>
        <w:rPr>
          <w:rFonts w:ascii="Times New Roman" w:hAnsi="Times New Roman" w:eastAsia="Times New Roman" w:cs="Times New Roman"/>
          <w:b/>
          <w:bCs/>
          <w:spacing w:val="6"/>
          <w:position w:val="-1"/>
          <w:sz w:val="13"/>
          <w:szCs w:val="13"/>
        </w:rPr>
        <w:t xml:space="preserve"> </w:t>
      </w:r>
      <w:r>
        <w:rPr>
          <w:rFonts w:ascii="宋体" w:hAnsi="宋体" w:eastAsia="宋体" w:cs="宋体"/>
          <w:b/>
          <w:bCs/>
          <w:spacing w:val="6"/>
          <w:sz w:val="20"/>
          <w:szCs w:val="20"/>
        </w:rPr>
        <w:t>排放量进行计算。</w:t>
      </w:r>
    </w:p>
    <w:p w14:paraId="5FA6C0BA">
      <w:pPr>
        <w:spacing w:line="228" w:lineRule="auto"/>
        <w:rPr>
          <w:rFonts w:ascii="宋体" w:hAnsi="宋体" w:eastAsia="宋体" w:cs="宋体"/>
          <w:sz w:val="20"/>
          <w:szCs w:val="20"/>
        </w:rPr>
        <w:sectPr>
          <w:footerReference r:id="rId275" w:type="default"/>
          <w:pgSz w:w="16839" w:h="11906"/>
          <w:pgMar w:top="1191" w:right="1416" w:bottom="1012" w:left="1417" w:header="882" w:footer="850" w:gutter="0"/>
          <w:cols w:space="720" w:num="1"/>
        </w:sectPr>
      </w:pPr>
    </w:p>
    <w:p w14:paraId="48E7FD3C">
      <w:pPr>
        <w:spacing w:line="28" w:lineRule="exact"/>
        <w:ind w:firstLine="2"/>
      </w:pPr>
      <w:r>
        <w:pict>
          <v:shape id="_x0000_s1792" o:spid="_x0000_s1792" style="height:1.45pt;width:453.65pt;" fillcolor="#000000" filled="t" stroked="f" coordsize="9072,29" path="m0,0l9072,0,9072,28,0,28,0,0xe">
            <v:path/>
            <v:fill on="t" focussize="0,0"/>
            <v:stroke on="f"/>
            <v:imagedata o:title=""/>
            <o:lock v:ext="edit"/>
            <w10:wrap type="none"/>
            <w10:anchorlock/>
          </v:shape>
        </w:pict>
      </w:r>
    </w:p>
    <w:p w14:paraId="0424CDF3">
      <w:pPr>
        <w:spacing w:before="241" w:line="222" w:lineRule="auto"/>
        <w:ind w:left="5"/>
        <w:outlineLvl w:val="2"/>
        <w:rPr>
          <w:rFonts w:ascii="黑体" w:hAnsi="黑体" w:eastAsia="黑体" w:cs="黑体"/>
          <w:sz w:val="30"/>
          <w:szCs w:val="30"/>
        </w:rPr>
      </w:pPr>
      <w:bookmarkStart w:id="361" w:name="bookmark190"/>
      <w:bookmarkEnd w:id="361"/>
      <w:r>
        <w:rPr>
          <w:rFonts w:ascii="Times New Roman" w:hAnsi="Times New Roman" w:eastAsia="Times New Roman" w:cs="Times New Roman"/>
          <w:spacing w:val="-1"/>
          <w:sz w:val="30"/>
          <w:szCs w:val="30"/>
        </w:rPr>
        <w:t xml:space="preserve">4.1.3 </w:t>
      </w:r>
      <w:r>
        <w:rPr>
          <w:rFonts w:ascii="黑体" w:hAnsi="黑体" w:eastAsia="黑体" w:cs="黑体"/>
          <w:spacing w:val="-1"/>
          <w:sz w:val="30"/>
          <w:szCs w:val="30"/>
        </w:rPr>
        <w:t>预测结果与评价</w:t>
      </w:r>
    </w:p>
    <w:p w14:paraId="5856AEA8">
      <w:pPr>
        <w:spacing w:before="214" w:line="218" w:lineRule="auto"/>
        <w:ind w:left="7"/>
        <w:outlineLvl w:val="3"/>
        <w:rPr>
          <w:rFonts w:ascii="宋体" w:hAnsi="宋体" w:eastAsia="宋体" w:cs="宋体"/>
          <w:sz w:val="24"/>
          <w:szCs w:val="24"/>
        </w:rPr>
      </w:pPr>
      <w:r>
        <w:fldChar w:fldCharType="begin"/>
      </w:r>
      <w:r>
        <w:instrText xml:space="preserve"> HYPERLINK "4.1.3.1" </w:instrText>
      </w:r>
      <w:r>
        <w:fldChar w:fldCharType="separate"/>
      </w:r>
      <w:r>
        <w:rPr>
          <w:rFonts w:ascii="Times New Roman" w:hAnsi="Times New Roman" w:eastAsia="Times New Roman" w:cs="Times New Roman"/>
          <w:b/>
          <w:bCs/>
          <w:spacing w:val="-2"/>
          <w:sz w:val="24"/>
          <w:szCs w:val="24"/>
        </w:rPr>
        <w:t>4.1.3.1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正常工况贡献值预测结果与评价</w:t>
      </w:r>
    </w:p>
    <w:p w14:paraId="47A55FAC">
      <w:pPr>
        <w:spacing w:before="183" w:line="350" w:lineRule="auto"/>
        <w:ind w:left="12" w:right="3" w:firstLine="477"/>
        <w:jc w:val="both"/>
        <w:rPr>
          <w:rFonts w:ascii="宋体" w:hAnsi="宋体" w:eastAsia="宋体" w:cs="宋体"/>
          <w:sz w:val="24"/>
          <w:szCs w:val="24"/>
        </w:rPr>
      </w:pPr>
      <w:r>
        <w:rPr>
          <w:rFonts w:ascii="宋体" w:hAnsi="宋体" w:eastAsia="宋体" w:cs="宋体"/>
          <w:spacing w:val="-2"/>
          <w:sz w:val="24"/>
          <w:szCs w:val="24"/>
        </w:rPr>
        <w:t>在项目新增污染源正常排放情景下，预测环境空气保护目标和网格点各预测因子的</w:t>
      </w:r>
      <w:r>
        <w:rPr>
          <w:rFonts w:ascii="宋体" w:hAnsi="宋体" w:eastAsia="宋体" w:cs="宋体"/>
          <w:spacing w:val="14"/>
          <w:sz w:val="24"/>
          <w:szCs w:val="24"/>
        </w:rPr>
        <w:t xml:space="preserve"> </w:t>
      </w:r>
      <w:r>
        <w:rPr>
          <w:rFonts w:ascii="宋体" w:hAnsi="宋体" w:eastAsia="宋体" w:cs="宋体"/>
          <w:spacing w:val="-2"/>
          <w:sz w:val="24"/>
          <w:szCs w:val="24"/>
        </w:rPr>
        <w:t>短期浓度和长期浓度贡献值，根据不同平均时段浓度限值的要求，评价其最大浓度占标</w:t>
      </w:r>
      <w:r>
        <w:rPr>
          <w:rFonts w:ascii="宋体" w:hAnsi="宋体" w:eastAsia="宋体" w:cs="宋体"/>
          <w:spacing w:val="15"/>
          <w:sz w:val="24"/>
          <w:szCs w:val="24"/>
        </w:rPr>
        <w:t xml:space="preserve"> </w:t>
      </w:r>
      <w:r>
        <w:rPr>
          <w:rFonts w:ascii="宋体" w:hAnsi="宋体" w:eastAsia="宋体" w:cs="宋体"/>
          <w:spacing w:val="-6"/>
          <w:sz w:val="24"/>
          <w:szCs w:val="24"/>
        </w:rPr>
        <w:t>率。</w:t>
      </w:r>
    </w:p>
    <w:p w14:paraId="27A05798">
      <w:pPr>
        <w:spacing w:before="31" w:line="227" w:lineRule="auto"/>
        <w:ind w:left="1928"/>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4.1-10        </w:t>
      </w:r>
      <w:r>
        <w:rPr>
          <w:rFonts w:ascii="宋体" w:hAnsi="宋体" w:eastAsia="宋体" w:cs="宋体"/>
          <w:b/>
          <w:bCs/>
          <w:spacing w:val="6"/>
          <w:sz w:val="20"/>
          <w:szCs w:val="20"/>
        </w:rPr>
        <w:t>本项目主要污染物贡献质量浓度预测结</w:t>
      </w:r>
      <w:r>
        <w:rPr>
          <w:rFonts w:ascii="宋体" w:hAnsi="宋体" w:eastAsia="宋体" w:cs="宋体"/>
          <w:b/>
          <w:bCs/>
          <w:spacing w:val="5"/>
          <w:sz w:val="20"/>
          <w:szCs w:val="20"/>
        </w:rPr>
        <w:t>果表</w:t>
      </w:r>
    </w:p>
    <w:p w14:paraId="5BC88C04">
      <w:pPr>
        <w:spacing w:line="132" w:lineRule="exact"/>
      </w:pPr>
    </w:p>
    <w:tbl>
      <w:tblPr>
        <w:tblStyle w:val="5"/>
        <w:tblW w:w="907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30"/>
        <w:gridCol w:w="1436"/>
        <w:gridCol w:w="1318"/>
        <w:gridCol w:w="2041"/>
        <w:gridCol w:w="1436"/>
        <w:gridCol w:w="1078"/>
        <w:gridCol w:w="936"/>
      </w:tblGrid>
      <w:tr w14:paraId="78CB0F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trPr>
        <w:tc>
          <w:tcPr>
            <w:tcW w:w="830" w:type="dxa"/>
            <w:tcBorders>
              <w:top w:val="single" w:color="000000" w:sz="10" w:space="0"/>
              <w:left w:val="nil"/>
            </w:tcBorders>
            <w:vAlign w:val="top"/>
          </w:tcPr>
          <w:p w14:paraId="1BDD5780">
            <w:pPr>
              <w:pStyle w:val="6"/>
              <w:spacing w:before="35" w:line="217" w:lineRule="auto"/>
              <w:ind w:left="106"/>
              <w:rPr>
                <w:sz w:val="20"/>
                <w:szCs w:val="20"/>
              </w:rPr>
            </w:pPr>
            <w:r>
              <w:rPr>
                <w:spacing w:val="6"/>
                <w:sz w:val="20"/>
                <w:szCs w:val="20"/>
              </w:rPr>
              <w:t>污染物</w:t>
            </w:r>
          </w:p>
        </w:tc>
        <w:tc>
          <w:tcPr>
            <w:tcW w:w="1436" w:type="dxa"/>
            <w:tcBorders>
              <w:top w:val="single" w:color="000000" w:sz="10" w:space="0"/>
            </w:tcBorders>
            <w:vAlign w:val="top"/>
          </w:tcPr>
          <w:p w14:paraId="0CB628D4">
            <w:pPr>
              <w:pStyle w:val="6"/>
              <w:spacing w:before="35" w:line="217" w:lineRule="auto"/>
              <w:ind w:left="409"/>
              <w:rPr>
                <w:sz w:val="20"/>
                <w:szCs w:val="20"/>
              </w:rPr>
            </w:pPr>
            <w:r>
              <w:rPr>
                <w:spacing w:val="6"/>
                <w:sz w:val="20"/>
                <w:szCs w:val="20"/>
              </w:rPr>
              <w:t>预测点</w:t>
            </w:r>
          </w:p>
        </w:tc>
        <w:tc>
          <w:tcPr>
            <w:tcW w:w="1318" w:type="dxa"/>
            <w:tcBorders>
              <w:top w:val="single" w:color="000000" w:sz="10" w:space="0"/>
            </w:tcBorders>
            <w:vAlign w:val="top"/>
          </w:tcPr>
          <w:p w14:paraId="12018004">
            <w:pPr>
              <w:pStyle w:val="6"/>
              <w:spacing w:before="35" w:line="217" w:lineRule="auto"/>
              <w:ind w:left="242"/>
              <w:rPr>
                <w:sz w:val="20"/>
                <w:szCs w:val="20"/>
              </w:rPr>
            </w:pPr>
            <w:r>
              <w:rPr>
                <w:spacing w:val="7"/>
                <w:sz w:val="20"/>
                <w:szCs w:val="20"/>
              </w:rPr>
              <w:t>平均时段</w:t>
            </w:r>
          </w:p>
        </w:tc>
        <w:tc>
          <w:tcPr>
            <w:tcW w:w="2041" w:type="dxa"/>
            <w:tcBorders>
              <w:top w:val="single" w:color="000000" w:sz="10" w:space="0"/>
            </w:tcBorders>
            <w:vAlign w:val="top"/>
          </w:tcPr>
          <w:p w14:paraId="2AAA5650">
            <w:pPr>
              <w:pStyle w:val="6"/>
              <w:spacing w:before="35" w:line="217" w:lineRule="auto"/>
              <w:ind w:left="13"/>
              <w:rPr>
                <w:sz w:val="20"/>
                <w:szCs w:val="20"/>
              </w:rPr>
            </w:pPr>
            <w:r>
              <w:rPr>
                <w:spacing w:val="5"/>
                <w:sz w:val="20"/>
                <w:szCs w:val="20"/>
              </w:rPr>
              <w:t>最大贡献值</w:t>
            </w:r>
            <w:r>
              <w:rPr>
                <w:rFonts w:ascii="Times New Roman" w:hAnsi="Times New Roman" w:eastAsia="Times New Roman" w:cs="Times New Roman"/>
                <w:spacing w:val="5"/>
                <w:sz w:val="20"/>
                <w:szCs w:val="20"/>
              </w:rPr>
              <w:t xml:space="preserve">/  </w:t>
            </w:r>
            <w:r>
              <w:rPr>
                <w:spacing w:val="5"/>
                <w:sz w:val="20"/>
                <w:szCs w:val="20"/>
              </w:rPr>
              <w:t>(</w:t>
            </w:r>
            <w:r>
              <w:rPr>
                <w:rFonts w:ascii="Times New Roman" w:hAnsi="Times New Roman" w:eastAsia="Times New Roman" w:cs="Times New Roman"/>
                <w:spacing w:val="5"/>
                <w:sz w:val="20"/>
                <w:szCs w:val="20"/>
              </w:rPr>
              <w:t>μg/m</w:t>
            </w:r>
            <w:r>
              <w:rPr>
                <w:rFonts w:ascii="Times New Roman" w:hAnsi="Times New Roman" w:eastAsia="Times New Roman" w:cs="Times New Roman"/>
                <w:spacing w:val="5"/>
                <w:position w:val="6"/>
                <w:sz w:val="13"/>
                <w:szCs w:val="13"/>
              </w:rPr>
              <w:t>3</w:t>
            </w:r>
            <w:r>
              <w:rPr>
                <w:spacing w:val="5"/>
                <w:sz w:val="20"/>
                <w:szCs w:val="20"/>
              </w:rPr>
              <w:t>）</w:t>
            </w:r>
          </w:p>
        </w:tc>
        <w:tc>
          <w:tcPr>
            <w:tcW w:w="1436" w:type="dxa"/>
            <w:tcBorders>
              <w:top w:val="single" w:color="000000" w:sz="10" w:space="0"/>
            </w:tcBorders>
            <w:vAlign w:val="top"/>
          </w:tcPr>
          <w:p w14:paraId="310FCBAE">
            <w:pPr>
              <w:pStyle w:val="6"/>
              <w:spacing w:before="35" w:line="217" w:lineRule="auto"/>
              <w:ind w:left="320"/>
              <w:rPr>
                <w:sz w:val="20"/>
                <w:szCs w:val="20"/>
              </w:rPr>
            </w:pPr>
            <w:r>
              <w:rPr>
                <w:spacing w:val="2"/>
                <w:sz w:val="20"/>
                <w:szCs w:val="20"/>
              </w:rPr>
              <w:t>出现时间</w:t>
            </w:r>
          </w:p>
        </w:tc>
        <w:tc>
          <w:tcPr>
            <w:tcW w:w="1078" w:type="dxa"/>
            <w:tcBorders>
              <w:top w:val="single" w:color="000000" w:sz="10" w:space="0"/>
            </w:tcBorders>
            <w:vAlign w:val="top"/>
          </w:tcPr>
          <w:p w14:paraId="6BC5D6EC">
            <w:pPr>
              <w:pStyle w:val="6"/>
              <w:spacing w:before="35" w:line="217" w:lineRule="auto"/>
              <w:ind w:left="148"/>
              <w:rPr>
                <w:rFonts w:ascii="Times New Roman" w:hAnsi="Times New Roman" w:eastAsia="Times New Roman" w:cs="Times New Roman"/>
                <w:sz w:val="20"/>
                <w:szCs w:val="20"/>
              </w:rPr>
            </w:pPr>
            <w:r>
              <w:rPr>
                <w:spacing w:val="-1"/>
                <w:sz w:val="20"/>
                <w:szCs w:val="20"/>
              </w:rPr>
              <w:t>占标率</w:t>
            </w:r>
            <w:r>
              <w:rPr>
                <w:rFonts w:ascii="Times New Roman" w:hAnsi="Times New Roman" w:eastAsia="Times New Roman" w:cs="Times New Roman"/>
                <w:spacing w:val="-1"/>
                <w:sz w:val="20"/>
                <w:szCs w:val="20"/>
              </w:rPr>
              <w:t>/%</w:t>
            </w:r>
          </w:p>
        </w:tc>
        <w:tc>
          <w:tcPr>
            <w:tcW w:w="936" w:type="dxa"/>
            <w:tcBorders>
              <w:top w:val="single" w:color="000000" w:sz="10" w:space="0"/>
              <w:right w:val="nil"/>
            </w:tcBorders>
            <w:vAlign w:val="top"/>
          </w:tcPr>
          <w:p w14:paraId="11279AF9">
            <w:pPr>
              <w:pStyle w:val="6"/>
              <w:spacing w:before="35" w:line="217" w:lineRule="auto"/>
              <w:ind w:left="55"/>
              <w:rPr>
                <w:sz w:val="20"/>
                <w:szCs w:val="20"/>
              </w:rPr>
            </w:pPr>
            <w:r>
              <w:rPr>
                <w:spacing w:val="7"/>
                <w:sz w:val="20"/>
                <w:szCs w:val="20"/>
              </w:rPr>
              <w:t>达标情况</w:t>
            </w:r>
          </w:p>
        </w:tc>
      </w:tr>
      <w:tr w14:paraId="7B223F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restart"/>
            <w:tcBorders>
              <w:left w:val="nil"/>
              <w:bottom w:val="nil"/>
            </w:tcBorders>
            <w:vAlign w:val="top"/>
          </w:tcPr>
          <w:p w14:paraId="5095482E">
            <w:pPr>
              <w:spacing w:line="356" w:lineRule="auto"/>
              <w:rPr>
                <w:rFonts w:ascii="Arial"/>
                <w:sz w:val="21"/>
              </w:rPr>
            </w:pPr>
          </w:p>
          <w:p w14:paraId="2B4FC767">
            <w:pPr>
              <w:spacing w:line="357" w:lineRule="auto"/>
              <w:rPr>
                <w:rFonts w:ascii="Arial"/>
                <w:sz w:val="21"/>
              </w:rPr>
            </w:pPr>
          </w:p>
          <w:p w14:paraId="2C92DDBE">
            <w:pPr>
              <w:spacing w:before="58" w:line="199" w:lineRule="auto"/>
              <w:ind w:left="196"/>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8"/>
                <w:position w:val="-1"/>
                <w:sz w:val="13"/>
                <w:szCs w:val="13"/>
              </w:rPr>
              <w:t>10</w:t>
            </w:r>
          </w:p>
        </w:tc>
        <w:tc>
          <w:tcPr>
            <w:tcW w:w="1436" w:type="dxa"/>
            <w:vMerge w:val="restart"/>
            <w:tcBorders>
              <w:bottom w:val="nil"/>
            </w:tcBorders>
            <w:vAlign w:val="top"/>
          </w:tcPr>
          <w:p w14:paraId="7E182BA7">
            <w:pPr>
              <w:pStyle w:val="6"/>
              <w:spacing w:before="169" w:line="228" w:lineRule="auto"/>
              <w:ind w:left="306"/>
              <w:rPr>
                <w:sz w:val="20"/>
                <w:szCs w:val="20"/>
              </w:rPr>
            </w:pPr>
            <w:r>
              <w:rPr>
                <w:spacing w:val="6"/>
                <w:sz w:val="20"/>
                <w:szCs w:val="20"/>
              </w:rPr>
              <w:t>温都尔庙</w:t>
            </w:r>
          </w:p>
        </w:tc>
        <w:tc>
          <w:tcPr>
            <w:tcW w:w="1318" w:type="dxa"/>
            <w:vAlign w:val="top"/>
          </w:tcPr>
          <w:p w14:paraId="054F361F">
            <w:pPr>
              <w:pStyle w:val="6"/>
              <w:spacing w:before="30" w:line="218" w:lineRule="auto"/>
              <w:ind w:left="385"/>
              <w:rPr>
                <w:sz w:val="20"/>
                <w:szCs w:val="20"/>
              </w:rPr>
            </w:pPr>
            <w:r>
              <w:rPr>
                <w:spacing w:val="-6"/>
                <w:sz w:val="20"/>
                <w:szCs w:val="20"/>
              </w:rPr>
              <w:t>日均值</w:t>
            </w:r>
          </w:p>
        </w:tc>
        <w:tc>
          <w:tcPr>
            <w:tcW w:w="2041" w:type="dxa"/>
            <w:vAlign w:val="top"/>
          </w:tcPr>
          <w:p w14:paraId="13F8AA49">
            <w:pPr>
              <w:spacing w:before="66" w:line="195"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0.67344</w:t>
            </w:r>
          </w:p>
        </w:tc>
        <w:tc>
          <w:tcPr>
            <w:tcW w:w="1436" w:type="dxa"/>
            <w:vAlign w:val="top"/>
          </w:tcPr>
          <w:p w14:paraId="5EFB08C0">
            <w:pPr>
              <w:spacing w:before="66" w:line="195"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220930</w:t>
            </w:r>
          </w:p>
        </w:tc>
        <w:tc>
          <w:tcPr>
            <w:tcW w:w="1078" w:type="dxa"/>
            <w:vAlign w:val="top"/>
          </w:tcPr>
          <w:p w14:paraId="4DCAC867">
            <w:pPr>
              <w:spacing w:before="66"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0.45</w:t>
            </w:r>
          </w:p>
        </w:tc>
        <w:tc>
          <w:tcPr>
            <w:tcW w:w="936" w:type="dxa"/>
            <w:tcBorders>
              <w:right w:val="nil"/>
            </w:tcBorders>
            <w:vAlign w:val="top"/>
          </w:tcPr>
          <w:p w14:paraId="02FDCDF4">
            <w:pPr>
              <w:pStyle w:val="6"/>
              <w:spacing w:before="30" w:line="218" w:lineRule="auto"/>
              <w:ind w:left="266"/>
              <w:rPr>
                <w:sz w:val="20"/>
                <w:szCs w:val="20"/>
              </w:rPr>
            </w:pPr>
            <w:r>
              <w:rPr>
                <w:spacing w:val="5"/>
                <w:sz w:val="20"/>
                <w:szCs w:val="20"/>
              </w:rPr>
              <w:t>达标</w:t>
            </w:r>
          </w:p>
        </w:tc>
      </w:tr>
      <w:tr w14:paraId="766D87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1EEBD2B3">
            <w:pPr>
              <w:rPr>
                <w:rFonts w:ascii="Arial"/>
                <w:sz w:val="21"/>
              </w:rPr>
            </w:pPr>
          </w:p>
        </w:tc>
        <w:tc>
          <w:tcPr>
            <w:tcW w:w="1436" w:type="dxa"/>
            <w:vMerge w:val="continue"/>
            <w:tcBorders>
              <w:top w:val="nil"/>
            </w:tcBorders>
            <w:vAlign w:val="top"/>
          </w:tcPr>
          <w:p w14:paraId="3255A09B">
            <w:pPr>
              <w:rPr>
                <w:rFonts w:ascii="Arial"/>
                <w:sz w:val="21"/>
              </w:rPr>
            </w:pPr>
          </w:p>
        </w:tc>
        <w:tc>
          <w:tcPr>
            <w:tcW w:w="1318" w:type="dxa"/>
            <w:vAlign w:val="top"/>
          </w:tcPr>
          <w:p w14:paraId="11707ABD">
            <w:pPr>
              <w:pStyle w:val="6"/>
              <w:spacing w:before="31" w:line="217" w:lineRule="auto"/>
              <w:ind w:left="350"/>
              <w:rPr>
                <w:sz w:val="20"/>
                <w:szCs w:val="20"/>
              </w:rPr>
            </w:pPr>
            <w:r>
              <w:rPr>
                <w:spacing w:val="6"/>
                <w:sz w:val="20"/>
                <w:szCs w:val="20"/>
              </w:rPr>
              <w:t>年平均</w:t>
            </w:r>
          </w:p>
        </w:tc>
        <w:tc>
          <w:tcPr>
            <w:tcW w:w="2041" w:type="dxa"/>
            <w:vAlign w:val="top"/>
          </w:tcPr>
          <w:p w14:paraId="300C8331">
            <w:pPr>
              <w:spacing w:before="68" w:line="195" w:lineRule="auto"/>
              <w:ind w:left="68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11212</w:t>
            </w:r>
          </w:p>
        </w:tc>
        <w:tc>
          <w:tcPr>
            <w:tcW w:w="1436" w:type="dxa"/>
            <w:vAlign w:val="top"/>
          </w:tcPr>
          <w:p w14:paraId="55984111">
            <w:pPr>
              <w:pStyle w:val="6"/>
              <w:spacing w:before="31" w:line="217" w:lineRule="auto"/>
              <w:ind w:left="407"/>
              <w:rPr>
                <w:sz w:val="20"/>
                <w:szCs w:val="20"/>
              </w:rPr>
            </w:pPr>
            <w:r>
              <w:rPr>
                <w:spacing w:val="7"/>
                <w:sz w:val="20"/>
                <w:szCs w:val="20"/>
              </w:rPr>
              <w:t>平均值</w:t>
            </w:r>
          </w:p>
        </w:tc>
        <w:tc>
          <w:tcPr>
            <w:tcW w:w="1078" w:type="dxa"/>
            <w:vAlign w:val="top"/>
          </w:tcPr>
          <w:p w14:paraId="33FD78AF">
            <w:pPr>
              <w:spacing w:before="68"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0.16</w:t>
            </w:r>
          </w:p>
        </w:tc>
        <w:tc>
          <w:tcPr>
            <w:tcW w:w="936" w:type="dxa"/>
            <w:tcBorders>
              <w:right w:val="nil"/>
            </w:tcBorders>
            <w:vAlign w:val="top"/>
          </w:tcPr>
          <w:p w14:paraId="13B34CD8">
            <w:pPr>
              <w:pStyle w:val="6"/>
              <w:spacing w:before="31" w:line="217" w:lineRule="auto"/>
              <w:ind w:left="266"/>
              <w:rPr>
                <w:sz w:val="20"/>
                <w:szCs w:val="20"/>
              </w:rPr>
            </w:pPr>
            <w:r>
              <w:rPr>
                <w:spacing w:val="5"/>
                <w:sz w:val="20"/>
                <w:szCs w:val="20"/>
              </w:rPr>
              <w:t>达标</w:t>
            </w:r>
          </w:p>
        </w:tc>
      </w:tr>
      <w:tr w14:paraId="50EDE4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62B250D0">
            <w:pPr>
              <w:rPr>
                <w:rFonts w:ascii="Arial"/>
                <w:sz w:val="21"/>
              </w:rPr>
            </w:pPr>
          </w:p>
        </w:tc>
        <w:tc>
          <w:tcPr>
            <w:tcW w:w="1436" w:type="dxa"/>
            <w:vMerge w:val="restart"/>
            <w:tcBorders>
              <w:bottom w:val="nil"/>
            </w:tcBorders>
            <w:vAlign w:val="top"/>
          </w:tcPr>
          <w:p w14:paraId="5D92BEDB">
            <w:pPr>
              <w:pStyle w:val="6"/>
              <w:spacing w:before="173" w:line="228" w:lineRule="auto"/>
              <w:ind w:left="115"/>
              <w:rPr>
                <w:sz w:val="20"/>
                <w:szCs w:val="20"/>
              </w:rPr>
            </w:pPr>
            <w:r>
              <w:rPr>
                <w:spacing w:val="4"/>
                <w:sz w:val="20"/>
                <w:szCs w:val="20"/>
              </w:rPr>
              <w:t>巴润阿木斯尔</w:t>
            </w:r>
          </w:p>
        </w:tc>
        <w:tc>
          <w:tcPr>
            <w:tcW w:w="1318" w:type="dxa"/>
            <w:vAlign w:val="top"/>
          </w:tcPr>
          <w:p w14:paraId="47999B4F">
            <w:pPr>
              <w:pStyle w:val="6"/>
              <w:spacing w:before="32" w:line="216" w:lineRule="auto"/>
              <w:ind w:left="385"/>
              <w:rPr>
                <w:sz w:val="20"/>
                <w:szCs w:val="20"/>
              </w:rPr>
            </w:pPr>
            <w:r>
              <w:rPr>
                <w:spacing w:val="-6"/>
                <w:sz w:val="20"/>
                <w:szCs w:val="20"/>
              </w:rPr>
              <w:t>日均值</w:t>
            </w:r>
          </w:p>
        </w:tc>
        <w:tc>
          <w:tcPr>
            <w:tcW w:w="2041" w:type="dxa"/>
            <w:vAlign w:val="top"/>
          </w:tcPr>
          <w:p w14:paraId="4B917ABE">
            <w:pPr>
              <w:spacing w:before="69" w:line="195" w:lineRule="auto"/>
              <w:ind w:left="70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1.29973</w:t>
            </w:r>
          </w:p>
        </w:tc>
        <w:tc>
          <w:tcPr>
            <w:tcW w:w="1436" w:type="dxa"/>
            <w:vAlign w:val="top"/>
          </w:tcPr>
          <w:p w14:paraId="5DA45D51">
            <w:pPr>
              <w:spacing w:before="69" w:line="195"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220423</w:t>
            </w:r>
          </w:p>
        </w:tc>
        <w:tc>
          <w:tcPr>
            <w:tcW w:w="1078" w:type="dxa"/>
            <w:vAlign w:val="top"/>
          </w:tcPr>
          <w:p w14:paraId="75A775D3">
            <w:pPr>
              <w:spacing w:before="69"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0.87</w:t>
            </w:r>
          </w:p>
        </w:tc>
        <w:tc>
          <w:tcPr>
            <w:tcW w:w="936" w:type="dxa"/>
            <w:tcBorders>
              <w:right w:val="nil"/>
            </w:tcBorders>
            <w:vAlign w:val="top"/>
          </w:tcPr>
          <w:p w14:paraId="3B92ABDD">
            <w:pPr>
              <w:pStyle w:val="6"/>
              <w:spacing w:before="32" w:line="216" w:lineRule="auto"/>
              <w:ind w:left="266"/>
              <w:rPr>
                <w:sz w:val="20"/>
                <w:szCs w:val="20"/>
              </w:rPr>
            </w:pPr>
            <w:r>
              <w:rPr>
                <w:spacing w:val="5"/>
                <w:sz w:val="20"/>
                <w:szCs w:val="20"/>
              </w:rPr>
              <w:t>达标</w:t>
            </w:r>
          </w:p>
        </w:tc>
      </w:tr>
      <w:tr w14:paraId="5DFAC9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30" w:type="dxa"/>
            <w:vMerge w:val="continue"/>
            <w:tcBorders>
              <w:top w:val="nil"/>
              <w:left w:val="nil"/>
              <w:bottom w:val="nil"/>
            </w:tcBorders>
            <w:vAlign w:val="top"/>
          </w:tcPr>
          <w:p w14:paraId="77BA2EC6">
            <w:pPr>
              <w:rPr>
                <w:rFonts w:ascii="Arial"/>
                <w:sz w:val="21"/>
              </w:rPr>
            </w:pPr>
          </w:p>
        </w:tc>
        <w:tc>
          <w:tcPr>
            <w:tcW w:w="1436" w:type="dxa"/>
            <w:vMerge w:val="continue"/>
            <w:tcBorders>
              <w:top w:val="nil"/>
            </w:tcBorders>
            <w:vAlign w:val="top"/>
          </w:tcPr>
          <w:p w14:paraId="4F33D133">
            <w:pPr>
              <w:rPr>
                <w:rFonts w:ascii="Arial"/>
                <w:sz w:val="21"/>
              </w:rPr>
            </w:pPr>
          </w:p>
        </w:tc>
        <w:tc>
          <w:tcPr>
            <w:tcW w:w="1318" w:type="dxa"/>
            <w:vAlign w:val="top"/>
          </w:tcPr>
          <w:p w14:paraId="7B6C45DB">
            <w:pPr>
              <w:pStyle w:val="6"/>
              <w:spacing w:before="31" w:line="216" w:lineRule="auto"/>
              <w:ind w:left="350"/>
              <w:rPr>
                <w:sz w:val="20"/>
                <w:szCs w:val="20"/>
              </w:rPr>
            </w:pPr>
            <w:r>
              <w:rPr>
                <w:spacing w:val="6"/>
                <w:sz w:val="20"/>
                <w:szCs w:val="20"/>
              </w:rPr>
              <w:t>年平均</w:t>
            </w:r>
          </w:p>
        </w:tc>
        <w:tc>
          <w:tcPr>
            <w:tcW w:w="2041" w:type="dxa"/>
            <w:vAlign w:val="top"/>
          </w:tcPr>
          <w:p w14:paraId="18014584">
            <w:pPr>
              <w:spacing w:before="68" w:line="195"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0.09291</w:t>
            </w:r>
          </w:p>
        </w:tc>
        <w:tc>
          <w:tcPr>
            <w:tcW w:w="1436" w:type="dxa"/>
            <w:vAlign w:val="top"/>
          </w:tcPr>
          <w:p w14:paraId="197CD92A">
            <w:pPr>
              <w:pStyle w:val="6"/>
              <w:spacing w:before="31" w:line="216" w:lineRule="auto"/>
              <w:ind w:left="407"/>
              <w:rPr>
                <w:sz w:val="20"/>
                <w:szCs w:val="20"/>
              </w:rPr>
            </w:pPr>
            <w:r>
              <w:rPr>
                <w:spacing w:val="7"/>
                <w:sz w:val="20"/>
                <w:szCs w:val="20"/>
              </w:rPr>
              <w:t>平均值</w:t>
            </w:r>
          </w:p>
        </w:tc>
        <w:tc>
          <w:tcPr>
            <w:tcW w:w="1078" w:type="dxa"/>
            <w:vAlign w:val="top"/>
          </w:tcPr>
          <w:p w14:paraId="1D3511AA">
            <w:pPr>
              <w:spacing w:before="68"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0.13</w:t>
            </w:r>
          </w:p>
        </w:tc>
        <w:tc>
          <w:tcPr>
            <w:tcW w:w="936" w:type="dxa"/>
            <w:tcBorders>
              <w:right w:val="nil"/>
            </w:tcBorders>
            <w:vAlign w:val="top"/>
          </w:tcPr>
          <w:p w14:paraId="6B0E9D4A">
            <w:pPr>
              <w:pStyle w:val="6"/>
              <w:spacing w:before="31" w:line="216" w:lineRule="auto"/>
              <w:ind w:left="266"/>
              <w:rPr>
                <w:sz w:val="20"/>
                <w:szCs w:val="20"/>
              </w:rPr>
            </w:pPr>
            <w:r>
              <w:rPr>
                <w:spacing w:val="5"/>
                <w:sz w:val="20"/>
                <w:szCs w:val="20"/>
              </w:rPr>
              <w:t>达标</w:t>
            </w:r>
          </w:p>
        </w:tc>
      </w:tr>
      <w:tr w14:paraId="6BEC69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6119F35F">
            <w:pPr>
              <w:rPr>
                <w:rFonts w:ascii="Arial"/>
                <w:sz w:val="21"/>
              </w:rPr>
            </w:pPr>
          </w:p>
        </w:tc>
        <w:tc>
          <w:tcPr>
            <w:tcW w:w="1436" w:type="dxa"/>
            <w:vMerge w:val="restart"/>
            <w:tcBorders>
              <w:bottom w:val="nil"/>
            </w:tcBorders>
            <w:vAlign w:val="top"/>
          </w:tcPr>
          <w:p w14:paraId="77105CB4">
            <w:pPr>
              <w:pStyle w:val="6"/>
              <w:spacing w:before="38" w:line="235" w:lineRule="auto"/>
              <w:ind w:left="9" w:firstLine="98"/>
              <w:rPr>
                <w:sz w:val="20"/>
                <w:szCs w:val="20"/>
              </w:rPr>
            </w:pPr>
            <w:r>
              <w:rPr>
                <w:spacing w:val="2"/>
                <w:sz w:val="20"/>
                <w:szCs w:val="20"/>
              </w:rPr>
              <w:t>区域最大落地</w:t>
            </w:r>
            <w:r>
              <w:rPr>
                <w:spacing w:val="1"/>
                <w:sz w:val="20"/>
                <w:szCs w:val="20"/>
              </w:rPr>
              <w:t xml:space="preserve">  </w:t>
            </w:r>
            <w:r>
              <w:rPr>
                <w:spacing w:val="3"/>
                <w:sz w:val="20"/>
                <w:szCs w:val="20"/>
              </w:rPr>
              <w:t>浓度（网格点）</w:t>
            </w:r>
          </w:p>
        </w:tc>
        <w:tc>
          <w:tcPr>
            <w:tcW w:w="1318" w:type="dxa"/>
            <w:vAlign w:val="top"/>
          </w:tcPr>
          <w:p w14:paraId="4304D999">
            <w:pPr>
              <w:pStyle w:val="6"/>
              <w:spacing w:before="34" w:line="215" w:lineRule="auto"/>
              <w:ind w:left="385"/>
              <w:rPr>
                <w:sz w:val="20"/>
                <w:szCs w:val="20"/>
              </w:rPr>
            </w:pPr>
            <w:r>
              <w:rPr>
                <w:spacing w:val="-6"/>
                <w:sz w:val="20"/>
                <w:szCs w:val="20"/>
              </w:rPr>
              <w:t>日均值</w:t>
            </w:r>
          </w:p>
        </w:tc>
        <w:tc>
          <w:tcPr>
            <w:tcW w:w="2041" w:type="dxa"/>
            <w:vAlign w:val="top"/>
          </w:tcPr>
          <w:p w14:paraId="04E5976D">
            <w:pPr>
              <w:spacing w:before="70" w:line="195" w:lineRule="auto"/>
              <w:ind w:left="6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5.51867</w:t>
            </w:r>
          </w:p>
        </w:tc>
        <w:tc>
          <w:tcPr>
            <w:tcW w:w="1436" w:type="dxa"/>
            <w:vAlign w:val="top"/>
          </w:tcPr>
          <w:p w14:paraId="5865D52B">
            <w:pPr>
              <w:pStyle w:val="6"/>
              <w:spacing w:before="34" w:line="215" w:lineRule="auto"/>
              <w:ind w:left="407"/>
              <w:rPr>
                <w:sz w:val="20"/>
                <w:szCs w:val="20"/>
              </w:rPr>
            </w:pPr>
            <w:r>
              <w:rPr>
                <w:spacing w:val="7"/>
                <w:sz w:val="20"/>
                <w:szCs w:val="20"/>
              </w:rPr>
              <w:t>平均值</w:t>
            </w:r>
          </w:p>
        </w:tc>
        <w:tc>
          <w:tcPr>
            <w:tcW w:w="1078" w:type="dxa"/>
            <w:vAlign w:val="top"/>
          </w:tcPr>
          <w:p w14:paraId="0E7405F6">
            <w:pPr>
              <w:spacing w:before="70" w:line="195" w:lineRule="auto"/>
              <w:ind w:left="36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3.68</w:t>
            </w:r>
          </w:p>
        </w:tc>
        <w:tc>
          <w:tcPr>
            <w:tcW w:w="936" w:type="dxa"/>
            <w:tcBorders>
              <w:right w:val="nil"/>
            </w:tcBorders>
            <w:vAlign w:val="top"/>
          </w:tcPr>
          <w:p w14:paraId="5A25690E">
            <w:pPr>
              <w:pStyle w:val="6"/>
              <w:spacing w:before="34" w:line="215" w:lineRule="auto"/>
              <w:ind w:left="266"/>
              <w:rPr>
                <w:sz w:val="20"/>
                <w:szCs w:val="20"/>
              </w:rPr>
            </w:pPr>
            <w:r>
              <w:rPr>
                <w:spacing w:val="5"/>
                <w:sz w:val="20"/>
                <w:szCs w:val="20"/>
              </w:rPr>
              <w:t>达标</w:t>
            </w:r>
          </w:p>
        </w:tc>
      </w:tr>
      <w:tr w14:paraId="0D957B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30" w:type="dxa"/>
            <w:vMerge w:val="continue"/>
            <w:tcBorders>
              <w:top w:val="nil"/>
              <w:left w:val="nil"/>
            </w:tcBorders>
            <w:vAlign w:val="top"/>
          </w:tcPr>
          <w:p w14:paraId="41AE21BE">
            <w:pPr>
              <w:rPr>
                <w:rFonts w:ascii="Arial"/>
                <w:sz w:val="21"/>
              </w:rPr>
            </w:pPr>
          </w:p>
        </w:tc>
        <w:tc>
          <w:tcPr>
            <w:tcW w:w="1436" w:type="dxa"/>
            <w:vMerge w:val="continue"/>
            <w:tcBorders>
              <w:top w:val="nil"/>
            </w:tcBorders>
            <w:vAlign w:val="top"/>
          </w:tcPr>
          <w:p w14:paraId="60A05A94">
            <w:pPr>
              <w:rPr>
                <w:rFonts w:ascii="Arial"/>
                <w:sz w:val="21"/>
              </w:rPr>
            </w:pPr>
          </w:p>
        </w:tc>
        <w:tc>
          <w:tcPr>
            <w:tcW w:w="1318" w:type="dxa"/>
            <w:vAlign w:val="top"/>
          </w:tcPr>
          <w:p w14:paraId="7CDD7DE5">
            <w:pPr>
              <w:pStyle w:val="6"/>
              <w:spacing w:before="33" w:line="215" w:lineRule="auto"/>
              <w:ind w:left="350"/>
              <w:rPr>
                <w:sz w:val="20"/>
                <w:szCs w:val="20"/>
              </w:rPr>
            </w:pPr>
            <w:r>
              <w:rPr>
                <w:spacing w:val="6"/>
                <w:sz w:val="20"/>
                <w:szCs w:val="20"/>
              </w:rPr>
              <w:t>年平均</w:t>
            </w:r>
          </w:p>
        </w:tc>
        <w:tc>
          <w:tcPr>
            <w:tcW w:w="2041" w:type="dxa"/>
            <w:vAlign w:val="top"/>
          </w:tcPr>
          <w:p w14:paraId="23F8C079">
            <w:pPr>
              <w:spacing w:before="69" w:line="195" w:lineRule="auto"/>
              <w:ind w:left="70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1.07168</w:t>
            </w:r>
          </w:p>
        </w:tc>
        <w:tc>
          <w:tcPr>
            <w:tcW w:w="1436" w:type="dxa"/>
            <w:vAlign w:val="top"/>
          </w:tcPr>
          <w:p w14:paraId="6E2B685F">
            <w:pPr>
              <w:spacing w:before="69" w:line="195"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220930</w:t>
            </w:r>
          </w:p>
        </w:tc>
        <w:tc>
          <w:tcPr>
            <w:tcW w:w="1078" w:type="dxa"/>
            <w:vAlign w:val="top"/>
          </w:tcPr>
          <w:p w14:paraId="60BF9238">
            <w:pPr>
              <w:spacing w:before="69" w:line="195" w:lineRule="auto"/>
              <w:ind w:left="3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1.53</w:t>
            </w:r>
          </w:p>
        </w:tc>
        <w:tc>
          <w:tcPr>
            <w:tcW w:w="936" w:type="dxa"/>
            <w:tcBorders>
              <w:right w:val="nil"/>
            </w:tcBorders>
            <w:vAlign w:val="top"/>
          </w:tcPr>
          <w:p w14:paraId="1F6F10C6">
            <w:pPr>
              <w:pStyle w:val="6"/>
              <w:spacing w:before="33" w:line="215" w:lineRule="auto"/>
              <w:ind w:left="266"/>
              <w:rPr>
                <w:sz w:val="20"/>
                <w:szCs w:val="20"/>
              </w:rPr>
            </w:pPr>
            <w:r>
              <w:rPr>
                <w:spacing w:val="5"/>
                <w:sz w:val="20"/>
                <w:szCs w:val="20"/>
              </w:rPr>
              <w:t>达标</w:t>
            </w:r>
          </w:p>
        </w:tc>
      </w:tr>
      <w:tr w14:paraId="52EAF8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30" w:type="dxa"/>
            <w:vMerge w:val="restart"/>
            <w:tcBorders>
              <w:left w:val="nil"/>
              <w:bottom w:val="nil"/>
            </w:tcBorders>
            <w:vAlign w:val="top"/>
          </w:tcPr>
          <w:p w14:paraId="6C2B3624">
            <w:pPr>
              <w:rPr>
                <w:rFonts w:ascii="Arial"/>
                <w:sz w:val="21"/>
              </w:rPr>
            </w:pPr>
          </w:p>
          <w:p w14:paraId="58EF99BE">
            <w:pPr>
              <w:rPr>
                <w:rFonts w:ascii="Arial"/>
                <w:sz w:val="21"/>
              </w:rPr>
            </w:pPr>
          </w:p>
          <w:p w14:paraId="0A1C5D30">
            <w:pPr>
              <w:rPr>
                <w:rFonts w:ascii="Arial"/>
                <w:sz w:val="21"/>
              </w:rPr>
            </w:pPr>
          </w:p>
          <w:p w14:paraId="71C34E14">
            <w:pPr>
              <w:spacing w:before="57" w:line="199" w:lineRule="auto"/>
              <w:ind w:left="177"/>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7"/>
                <w:position w:val="-1"/>
                <w:sz w:val="13"/>
                <w:szCs w:val="13"/>
              </w:rPr>
              <w:t>2.5</w:t>
            </w:r>
          </w:p>
        </w:tc>
        <w:tc>
          <w:tcPr>
            <w:tcW w:w="1436" w:type="dxa"/>
            <w:vMerge w:val="restart"/>
            <w:tcBorders>
              <w:bottom w:val="nil"/>
            </w:tcBorders>
            <w:vAlign w:val="top"/>
          </w:tcPr>
          <w:p w14:paraId="1C8D44CB">
            <w:pPr>
              <w:pStyle w:val="6"/>
              <w:spacing w:before="176" w:line="228" w:lineRule="auto"/>
              <w:ind w:left="306"/>
              <w:rPr>
                <w:sz w:val="20"/>
                <w:szCs w:val="20"/>
              </w:rPr>
            </w:pPr>
            <w:r>
              <w:rPr>
                <w:spacing w:val="6"/>
                <w:sz w:val="20"/>
                <w:szCs w:val="20"/>
              </w:rPr>
              <w:t>温都尔庙</w:t>
            </w:r>
          </w:p>
        </w:tc>
        <w:tc>
          <w:tcPr>
            <w:tcW w:w="1318" w:type="dxa"/>
            <w:vAlign w:val="top"/>
          </w:tcPr>
          <w:p w14:paraId="49E4F118">
            <w:pPr>
              <w:pStyle w:val="6"/>
              <w:spacing w:before="35" w:line="213" w:lineRule="auto"/>
              <w:ind w:left="385"/>
              <w:rPr>
                <w:sz w:val="20"/>
                <w:szCs w:val="20"/>
              </w:rPr>
            </w:pPr>
            <w:r>
              <w:rPr>
                <w:spacing w:val="-6"/>
                <w:sz w:val="20"/>
                <w:szCs w:val="20"/>
              </w:rPr>
              <w:t>日均值</w:t>
            </w:r>
          </w:p>
        </w:tc>
        <w:tc>
          <w:tcPr>
            <w:tcW w:w="2041" w:type="dxa"/>
            <w:vAlign w:val="top"/>
          </w:tcPr>
          <w:p w14:paraId="53988768">
            <w:pPr>
              <w:spacing w:before="71" w:line="195" w:lineRule="auto"/>
              <w:ind w:left="68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2.24431</w:t>
            </w:r>
          </w:p>
        </w:tc>
        <w:tc>
          <w:tcPr>
            <w:tcW w:w="1436" w:type="dxa"/>
            <w:vAlign w:val="top"/>
          </w:tcPr>
          <w:p w14:paraId="5FAD3208">
            <w:pPr>
              <w:spacing w:before="71" w:line="195" w:lineRule="auto"/>
              <w:ind w:left="4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220119</w:t>
            </w:r>
          </w:p>
        </w:tc>
        <w:tc>
          <w:tcPr>
            <w:tcW w:w="1078" w:type="dxa"/>
            <w:vAlign w:val="top"/>
          </w:tcPr>
          <w:p w14:paraId="3D0E2242">
            <w:pPr>
              <w:spacing w:before="71" w:line="195" w:lineRule="auto"/>
              <w:ind w:left="3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2.99</w:t>
            </w:r>
          </w:p>
        </w:tc>
        <w:tc>
          <w:tcPr>
            <w:tcW w:w="936" w:type="dxa"/>
            <w:tcBorders>
              <w:right w:val="nil"/>
            </w:tcBorders>
            <w:vAlign w:val="top"/>
          </w:tcPr>
          <w:p w14:paraId="3676B595">
            <w:pPr>
              <w:pStyle w:val="6"/>
              <w:spacing w:before="35" w:line="213" w:lineRule="auto"/>
              <w:ind w:left="266"/>
              <w:rPr>
                <w:sz w:val="20"/>
                <w:szCs w:val="20"/>
              </w:rPr>
            </w:pPr>
            <w:r>
              <w:rPr>
                <w:spacing w:val="5"/>
                <w:sz w:val="20"/>
                <w:szCs w:val="20"/>
              </w:rPr>
              <w:t>达标</w:t>
            </w:r>
          </w:p>
        </w:tc>
      </w:tr>
      <w:tr w14:paraId="6AA01A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6E7D0DB0">
            <w:pPr>
              <w:rPr>
                <w:rFonts w:ascii="Arial"/>
                <w:sz w:val="21"/>
              </w:rPr>
            </w:pPr>
          </w:p>
        </w:tc>
        <w:tc>
          <w:tcPr>
            <w:tcW w:w="1436" w:type="dxa"/>
            <w:vMerge w:val="continue"/>
            <w:tcBorders>
              <w:top w:val="nil"/>
            </w:tcBorders>
            <w:vAlign w:val="top"/>
          </w:tcPr>
          <w:p w14:paraId="3B7F7A47">
            <w:pPr>
              <w:rPr>
                <w:rFonts w:ascii="Arial"/>
                <w:sz w:val="21"/>
              </w:rPr>
            </w:pPr>
          </w:p>
        </w:tc>
        <w:tc>
          <w:tcPr>
            <w:tcW w:w="1318" w:type="dxa"/>
            <w:vAlign w:val="top"/>
          </w:tcPr>
          <w:p w14:paraId="65186561">
            <w:pPr>
              <w:pStyle w:val="6"/>
              <w:spacing w:before="37" w:line="212" w:lineRule="auto"/>
              <w:ind w:left="350"/>
              <w:rPr>
                <w:sz w:val="20"/>
                <w:szCs w:val="20"/>
              </w:rPr>
            </w:pPr>
            <w:r>
              <w:rPr>
                <w:spacing w:val="6"/>
                <w:sz w:val="20"/>
                <w:szCs w:val="20"/>
              </w:rPr>
              <w:t>年平均</w:t>
            </w:r>
          </w:p>
        </w:tc>
        <w:tc>
          <w:tcPr>
            <w:tcW w:w="2041" w:type="dxa"/>
            <w:vAlign w:val="top"/>
          </w:tcPr>
          <w:p w14:paraId="759AD3E9">
            <w:pPr>
              <w:spacing w:before="73" w:line="195"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0.41271</w:t>
            </w:r>
          </w:p>
        </w:tc>
        <w:tc>
          <w:tcPr>
            <w:tcW w:w="1436" w:type="dxa"/>
            <w:vAlign w:val="top"/>
          </w:tcPr>
          <w:p w14:paraId="6A5B4D3B">
            <w:pPr>
              <w:pStyle w:val="6"/>
              <w:spacing w:before="37" w:line="212" w:lineRule="auto"/>
              <w:ind w:left="407"/>
              <w:rPr>
                <w:sz w:val="20"/>
                <w:szCs w:val="20"/>
              </w:rPr>
            </w:pPr>
            <w:r>
              <w:rPr>
                <w:spacing w:val="7"/>
                <w:sz w:val="20"/>
                <w:szCs w:val="20"/>
              </w:rPr>
              <w:t>平均值</w:t>
            </w:r>
          </w:p>
        </w:tc>
        <w:tc>
          <w:tcPr>
            <w:tcW w:w="1078" w:type="dxa"/>
            <w:vAlign w:val="top"/>
          </w:tcPr>
          <w:p w14:paraId="5D8BE31E">
            <w:pPr>
              <w:spacing w:before="73" w:line="195" w:lineRule="auto"/>
              <w:ind w:left="3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1.18</w:t>
            </w:r>
          </w:p>
        </w:tc>
        <w:tc>
          <w:tcPr>
            <w:tcW w:w="936" w:type="dxa"/>
            <w:tcBorders>
              <w:right w:val="nil"/>
            </w:tcBorders>
            <w:vAlign w:val="top"/>
          </w:tcPr>
          <w:p w14:paraId="618E9303">
            <w:pPr>
              <w:pStyle w:val="6"/>
              <w:spacing w:before="37" w:line="212" w:lineRule="auto"/>
              <w:ind w:left="266"/>
              <w:rPr>
                <w:sz w:val="20"/>
                <w:szCs w:val="20"/>
              </w:rPr>
            </w:pPr>
            <w:r>
              <w:rPr>
                <w:spacing w:val="5"/>
                <w:sz w:val="20"/>
                <w:szCs w:val="20"/>
              </w:rPr>
              <w:t>达标</w:t>
            </w:r>
          </w:p>
        </w:tc>
      </w:tr>
      <w:tr w14:paraId="5920D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27E96936">
            <w:pPr>
              <w:rPr>
                <w:rFonts w:ascii="Arial"/>
                <w:sz w:val="21"/>
              </w:rPr>
            </w:pPr>
          </w:p>
        </w:tc>
        <w:tc>
          <w:tcPr>
            <w:tcW w:w="1436" w:type="dxa"/>
            <w:vMerge w:val="restart"/>
            <w:tcBorders>
              <w:bottom w:val="nil"/>
            </w:tcBorders>
            <w:vAlign w:val="top"/>
          </w:tcPr>
          <w:p w14:paraId="1A7F7AAB">
            <w:pPr>
              <w:pStyle w:val="6"/>
              <w:spacing w:before="178" w:line="228" w:lineRule="auto"/>
              <w:ind w:left="115"/>
              <w:rPr>
                <w:sz w:val="20"/>
                <w:szCs w:val="20"/>
              </w:rPr>
            </w:pPr>
            <w:r>
              <w:rPr>
                <w:spacing w:val="4"/>
                <w:sz w:val="20"/>
                <w:szCs w:val="20"/>
              </w:rPr>
              <w:t>巴润阿木斯尔</w:t>
            </w:r>
          </w:p>
        </w:tc>
        <w:tc>
          <w:tcPr>
            <w:tcW w:w="1318" w:type="dxa"/>
            <w:vAlign w:val="top"/>
          </w:tcPr>
          <w:p w14:paraId="3177EAA1">
            <w:pPr>
              <w:pStyle w:val="6"/>
              <w:spacing w:before="36" w:line="213" w:lineRule="auto"/>
              <w:ind w:left="385"/>
              <w:rPr>
                <w:sz w:val="20"/>
                <w:szCs w:val="20"/>
              </w:rPr>
            </w:pPr>
            <w:r>
              <w:rPr>
                <w:spacing w:val="-6"/>
                <w:sz w:val="20"/>
                <w:szCs w:val="20"/>
              </w:rPr>
              <w:t>日均值</w:t>
            </w:r>
          </w:p>
        </w:tc>
        <w:tc>
          <w:tcPr>
            <w:tcW w:w="2041" w:type="dxa"/>
            <w:vAlign w:val="top"/>
          </w:tcPr>
          <w:p w14:paraId="5F4B6CF4">
            <w:pPr>
              <w:spacing w:before="72" w:line="195" w:lineRule="auto"/>
              <w:ind w:left="6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3.16975</w:t>
            </w:r>
          </w:p>
        </w:tc>
        <w:tc>
          <w:tcPr>
            <w:tcW w:w="1436" w:type="dxa"/>
            <w:vAlign w:val="top"/>
          </w:tcPr>
          <w:p w14:paraId="2E5AB11D">
            <w:pPr>
              <w:spacing w:before="72" w:line="195"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220920</w:t>
            </w:r>
          </w:p>
        </w:tc>
        <w:tc>
          <w:tcPr>
            <w:tcW w:w="1078" w:type="dxa"/>
            <w:vAlign w:val="top"/>
          </w:tcPr>
          <w:p w14:paraId="49C442E7">
            <w:pPr>
              <w:spacing w:before="72" w:line="195" w:lineRule="auto"/>
              <w:ind w:left="35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4.23</w:t>
            </w:r>
          </w:p>
        </w:tc>
        <w:tc>
          <w:tcPr>
            <w:tcW w:w="936" w:type="dxa"/>
            <w:tcBorders>
              <w:right w:val="nil"/>
            </w:tcBorders>
            <w:vAlign w:val="top"/>
          </w:tcPr>
          <w:p w14:paraId="31A9E7DF">
            <w:pPr>
              <w:pStyle w:val="6"/>
              <w:spacing w:before="36" w:line="213" w:lineRule="auto"/>
              <w:ind w:left="266"/>
              <w:rPr>
                <w:sz w:val="20"/>
                <w:szCs w:val="20"/>
              </w:rPr>
            </w:pPr>
            <w:r>
              <w:rPr>
                <w:spacing w:val="5"/>
                <w:sz w:val="20"/>
                <w:szCs w:val="20"/>
              </w:rPr>
              <w:t>达标</w:t>
            </w:r>
          </w:p>
        </w:tc>
      </w:tr>
      <w:tr w14:paraId="3AAA37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30" w:type="dxa"/>
            <w:vMerge w:val="continue"/>
            <w:tcBorders>
              <w:top w:val="nil"/>
              <w:left w:val="nil"/>
              <w:bottom w:val="nil"/>
            </w:tcBorders>
            <w:vAlign w:val="top"/>
          </w:tcPr>
          <w:p w14:paraId="39CE4918">
            <w:pPr>
              <w:rPr>
                <w:rFonts w:ascii="Arial"/>
                <w:sz w:val="21"/>
              </w:rPr>
            </w:pPr>
          </w:p>
        </w:tc>
        <w:tc>
          <w:tcPr>
            <w:tcW w:w="1436" w:type="dxa"/>
            <w:vMerge w:val="continue"/>
            <w:tcBorders>
              <w:top w:val="nil"/>
            </w:tcBorders>
            <w:vAlign w:val="top"/>
          </w:tcPr>
          <w:p w14:paraId="311552F8">
            <w:pPr>
              <w:rPr>
                <w:rFonts w:ascii="Arial"/>
                <w:sz w:val="21"/>
              </w:rPr>
            </w:pPr>
          </w:p>
        </w:tc>
        <w:tc>
          <w:tcPr>
            <w:tcW w:w="1318" w:type="dxa"/>
            <w:vAlign w:val="top"/>
          </w:tcPr>
          <w:p w14:paraId="158ED35A">
            <w:pPr>
              <w:pStyle w:val="6"/>
              <w:spacing w:before="37" w:line="211" w:lineRule="auto"/>
              <w:ind w:left="350"/>
              <w:rPr>
                <w:sz w:val="20"/>
                <w:szCs w:val="20"/>
              </w:rPr>
            </w:pPr>
            <w:r>
              <w:rPr>
                <w:spacing w:val="6"/>
                <w:sz w:val="20"/>
                <w:szCs w:val="20"/>
              </w:rPr>
              <w:t>年平均</w:t>
            </w:r>
          </w:p>
        </w:tc>
        <w:tc>
          <w:tcPr>
            <w:tcW w:w="2041" w:type="dxa"/>
            <w:vAlign w:val="top"/>
          </w:tcPr>
          <w:p w14:paraId="71EA9CAF">
            <w:pPr>
              <w:spacing w:before="73" w:line="195"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0.23645</w:t>
            </w:r>
          </w:p>
        </w:tc>
        <w:tc>
          <w:tcPr>
            <w:tcW w:w="1436" w:type="dxa"/>
            <w:vAlign w:val="top"/>
          </w:tcPr>
          <w:p w14:paraId="593453C3">
            <w:pPr>
              <w:pStyle w:val="6"/>
              <w:spacing w:before="37" w:line="211" w:lineRule="auto"/>
              <w:ind w:left="407"/>
              <w:rPr>
                <w:sz w:val="20"/>
                <w:szCs w:val="20"/>
              </w:rPr>
            </w:pPr>
            <w:r>
              <w:rPr>
                <w:spacing w:val="7"/>
                <w:sz w:val="20"/>
                <w:szCs w:val="20"/>
              </w:rPr>
              <w:t>平均值</w:t>
            </w:r>
          </w:p>
        </w:tc>
        <w:tc>
          <w:tcPr>
            <w:tcW w:w="1078" w:type="dxa"/>
            <w:vAlign w:val="top"/>
          </w:tcPr>
          <w:p w14:paraId="19611303">
            <w:pPr>
              <w:spacing w:before="73"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0.68</w:t>
            </w:r>
          </w:p>
        </w:tc>
        <w:tc>
          <w:tcPr>
            <w:tcW w:w="936" w:type="dxa"/>
            <w:tcBorders>
              <w:right w:val="nil"/>
            </w:tcBorders>
            <w:vAlign w:val="top"/>
          </w:tcPr>
          <w:p w14:paraId="2A675454">
            <w:pPr>
              <w:pStyle w:val="6"/>
              <w:spacing w:before="37" w:line="211" w:lineRule="auto"/>
              <w:ind w:left="266"/>
              <w:rPr>
                <w:sz w:val="20"/>
                <w:szCs w:val="20"/>
              </w:rPr>
            </w:pPr>
            <w:r>
              <w:rPr>
                <w:spacing w:val="5"/>
                <w:sz w:val="20"/>
                <w:szCs w:val="20"/>
              </w:rPr>
              <w:t>达标</w:t>
            </w:r>
          </w:p>
        </w:tc>
      </w:tr>
      <w:tr w14:paraId="21E898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263F9AAC">
            <w:pPr>
              <w:rPr>
                <w:rFonts w:ascii="Arial"/>
                <w:sz w:val="21"/>
              </w:rPr>
            </w:pPr>
          </w:p>
        </w:tc>
        <w:tc>
          <w:tcPr>
            <w:tcW w:w="1436" w:type="dxa"/>
            <w:vMerge w:val="restart"/>
            <w:tcBorders>
              <w:bottom w:val="nil"/>
            </w:tcBorders>
            <w:vAlign w:val="top"/>
          </w:tcPr>
          <w:p w14:paraId="2F809E9A">
            <w:pPr>
              <w:pStyle w:val="6"/>
              <w:spacing w:before="42" w:line="234" w:lineRule="auto"/>
              <w:ind w:left="9" w:firstLine="98"/>
              <w:rPr>
                <w:sz w:val="20"/>
                <w:szCs w:val="20"/>
              </w:rPr>
            </w:pPr>
            <w:r>
              <w:rPr>
                <w:spacing w:val="2"/>
                <w:sz w:val="20"/>
                <w:szCs w:val="20"/>
              </w:rPr>
              <w:t>区域最大落地</w:t>
            </w:r>
            <w:r>
              <w:rPr>
                <w:spacing w:val="1"/>
                <w:sz w:val="20"/>
                <w:szCs w:val="20"/>
              </w:rPr>
              <w:t xml:space="preserve">  </w:t>
            </w:r>
            <w:r>
              <w:rPr>
                <w:spacing w:val="3"/>
                <w:sz w:val="20"/>
                <w:szCs w:val="20"/>
              </w:rPr>
              <w:t>浓度（网格点）</w:t>
            </w:r>
          </w:p>
        </w:tc>
        <w:tc>
          <w:tcPr>
            <w:tcW w:w="1318" w:type="dxa"/>
            <w:vAlign w:val="top"/>
          </w:tcPr>
          <w:p w14:paraId="76ED9A62">
            <w:pPr>
              <w:pStyle w:val="6"/>
              <w:spacing w:before="39" w:line="210" w:lineRule="auto"/>
              <w:ind w:left="385"/>
              <w:rPr>
                <w:sz w:val="20"/>
                <w:szCs w:val="20"/>
              </w:rPr>
            </w:pPr>
            <w:r>
              <w:rPr>
                <w:spacing w:val="-6"/>
                <w:sz w:val="20"/>
                <w:szCs w:val="20"/>
              </w:rPr>
              <w:t>日均值</w:t>
            </w:r>
          </w:p>
        </w:tc>
        <w:tc>
          <w:tcPr>
            <w:tcW w:w="2041" w:type="dxa"/>
            <w:vAlign w:val="top"/>
          </w:tcPr>
          <w:p w14:paraId="6F795506">
            <w:pPr>
              <w:spacing w:before="75" w:line="195" w:lineRule="auto"/>
              <w:ind w:left="64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19.89087</w:t>
            </w:r>
          </w:p>
        </w:tc>
        <w:tc>
          <w:tcPr>
            <w:tcW w:w="1436" w:type="dxa"/>
            <w:vAlign w:val="top"/>
          </w:tcPr>
          <w:p w14:paraId="108866D8">
            <w:pPr>
              <w:spacing w:before="75" w:line="195"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220303</w:t>
            </w:r>
          </w:p>
        </w:tc>
        <w:tc>
          <w:tcPr>
            <w:tcW w:w="1078" w:type="dxa"/>
            <w:vAlign w:val="top"/>
          </w:tcPr>
          <w:p w14:paraId="7D984FD1">
            <w:pPr>
              <w:spacing w:before="75" w:line="195" w:lineRule="auto"/>
              <w:ind w:left="30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26.52</w:t>
            </w:r>
          </w:p>
        </w:tc>
        <w:tc>
          <w:tcPr>
            <w:tcW w:w="936" w:type="dxa"/>
            <w:tcBorders>
              <w:right w:val="nil"/>
            </w:tcBorders>
            <w:vAlign w:val="top"/>
          </w:tcPr>
          <w:p w14:paraId="46A590F7">
            <w:pPr>
              <w:pStyle w:val="6"/>
              <w:spacing w:before="39" w:line="210" w:lineRule="auto"/>
              <w:ind w:left="266"/>
              <w:rPr>
                <w:sz w:val="20"/>
                <w:szCs w:val="20"/>
              </w:rPr>
            </w:pPr>
            <w:r>
              <w:rPr>
                <w:spacing w:val="5"/>
                <w:sz w:val="20"/>
                <w:szCs w:val="20"/>
              </w:rPr>
              <w:t>达标</w:t>
            </w:r>
          </w:p>
        </w:tc>
      </w:tr>
      <w:tr w14:paraId="25F459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tcBorders>
            <w:vAlign w:val="top"/>
          </w:tcPr>
          <w:p w14:paraId="436B2609">
            <w:pPr>
              <w:rPr>
                <w:rFonts w:ascii="Arial"/>
                <w:sz w:val="21"/>
              </w:rPr>
            </w:pPr>
          </w:p>
        </w:tc>
        <w:tc>
          <w:tcPr>
            <w:tcW w:w="1436" w:type="dxa"/>
            <w:vMerge w:val="continue"/>
            <w:tcBorders>
              <w:top w:val="nil"/>
            </w:tcBorders>
            <w:vAlign w:val="top"/>
          </w:tcPr>
          <w:p w14:paraId="02CC09CD">
            <w:pPr>
              <w:rPr>
                <w:rFonts w:ascii="Arial"/>
                <w:sz w:val="21"/>
              </w:rPr>
            </w:pPr>
          </w:p>
        </w:tc>
        <w:tc>
          <w:tcPr>
            <w:tcW w:w="1318" w:type="dxa"/>
            <w:vAlign w:val="top"/>
          </w:tcPr>
          <w:p w14:paraId="4D63F621">
            <w:pPr>
              <w:pStyle w:val="6"/>
              <w:spacing w:before="38" w:line="211" w:lineRule="auto"/>
              <w:ind w:left="350"/>
              <w:rPr>
                <w:sz w:val="20"/>
                <w:szCs w:val="20"/>
              </w:rPr>
            </w:pPr>
            <w:r>
              <w:rPr>
                <w:spacing w:val="6"/>
                <w:sz w:val="20"/>
                <w:szCs w:val="20"/>
              </w:rPr>
              <w:t>年平均</w:t>
            </w:r>
          </w:p>
        </w:tc>
        <w:tc>
          <w:tcPr>
            <w:tcW w:w="2041" w:type="dxa"/>
            <w:vAlign w:val="top"/>
          </w:tcPr>
          <w:p w14:paraId="4676B5D2">
            <w:pPr>
              <w:spacing w:before="74" w:line="195" w:lineRule="auto"/>
              <w:ind w:left="68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2.74456</w:t>
            </w:r>
          </w:p>
        </w:tc>
        <w:tc>
          <w:tcPr>
            <w:tcW w:w="1436" w:type="dxa"/>
            <w:vAlign w:val="top"/>
          </w:tcPr>
          <w:p w14:paraId="6B1A516B">
            <w:pPr>
              <w:pStyle w:val="6"/>
              <w:spacing w:before="38" w:line="211" w:lineRule="auto"/>
              <w:ind w:left="407"/>
              <w:rPr>
                <w:sz w:val="20"/>
                <w:szCs w:val="20"/>
              </w:rPr>
            </w:pPr>
            <w:r>
              <w:rPr>
                <w:spacing w:val="7"/>
                <w:sz w:val="20"/>
                <w:szCs w:val="20"/>
              </w:rPr>
              <w:t>平均值</w:t>
            </w:r>
          </w:p>
        </w:tc>
        <w:tc>
          <w:tcPr>
            <w:tcW w:w="1078" w:type="dxa"/>
            <w:vAlign w:val="top"/>
          </w:tcPr>
          <w:p w14:paraId="1864646C">
            <w:pPr>
              <w:spacing w:before="74"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7.84</w:t>
            </w:r>
          </w:p>
        </w:tc>
        <w:tc>
          <w:tcPr>
            <w:tcW w:w="936" w:type="dxa"/>
            <w:tcBorders>
              <w:right w:val="nil"/>
            </w:tcBorders>
            <w:vAlign w:val="top"/>
          </w:tcPr>
          <w:p w14:paraId="4403A617">
            <w:pPr>
              <w:pStyle w:val="6"/>
              <w:spacing w:before="38" w:line="211" w:lineRule="auto"/>
              <w:ind w:left="266"/>
              <w:rPr>
                <w:sz w:val="20"/>
                <w:szCs w:val="20"/>
              </w:rPr>
            </w:pPr>
            <w:r>
              <w:rPr>
                <w:spacing w:val="5"/>
                <w:sz w:val="20"/>
                <w:szCs w:val="20"/>
              </w:rPr>
              <w:t>达标</w:t>
            </w:r>
          </w:p>
        </w:tc>
      </w:tr>
      <w:tr w14:paraId="29C6CF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restart"/>
            <w:tcBorders>
              <w:left w:val="nil"/>
              <w:bottom w:val="nil"/>
            </w:tcBorders>
            <w:vAlign w:val="top"/>
          </w:tcPr>
          <w:p w14:paraId="17317D3C">
            <w:pPr>
              <w:spacing w:line="285" w:lineRule="auto"/>
              <w:rPr>
                <w:rFonts w:ascii="Arial"/>
                <w:sz w:val="21"/>
              </w:rPr>
            </w:pPr>
          </w:p>
          <w:p w14:paraId="0C6FE1D0">
            <w:pPr>
              <w:spacing w:line="285" w:lineRule="auto"/>
              <w:rPr>
                <w:rFonts w:ascii="Arial"/>
                <w:sz w:val="21"/>
              </w:rPr>
            </w:pPr>
          </w:p>
          <w:p w14:paraId="5E02915E">
            <w:pPr>
              <w:spacing w:line="285" w:lineRule="auto"/>
              <w:rPr>
                <w:rFonts w:ascii="Arial"/>
                <w:sz w:val="21"/>
              </w:rPr>
            </w:pPr>
          </w:p>
          <w:p w14:paraId="70B50BD1">
            <w:pPr>
              <w:spacing w:line="286" w:lineRule="auto"/>
              <w:rPr>
                <w:rFonts w:ascii="Arial"/>
                <w:sz w:val="21"/>
              </w:rPr>
            </w:pPr>
          </w:p>
          <w:p w14:paraId="29131EB0">
            <w:pPr>
              <w:spacing w:before="58" w:line="202" w:lineRule="auto"/>
              <w:ind w:left="256"/>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1436" w:type="dxa"/>
            <w:vMerge w:val="restart"/>
            <w:tcBorders>
              <w:bottom w:val="nil"/>
            </w:tcBorders>
            <w:vAlign w:val="top"/>
          </w:tcPr>
          <w:p w14:paraId="021FCE31">
            <w:pPr>
              <w:spacing w:line="256" w:lineRule="auto"/>
              <w:rPr>
                <w:rFonts w:ascii="Arial"/>
                <w:sz w:val="21"/>
              </w:rPr>
            </w:pPr>
          </w:p>
          <w:p w14:paraId="4A641F1B">
            <w:pPr>
              <w:pStyle w:val="6"/>
              <w:spacing w:before="65" w:line="228" w:lineRule="auto"/>
              <w:ind w:left="306"/>
              <w:rPr>
                <w:sz w:val="20"/>
                <w:szCs w:val="20"/>
              </w:rPr>
            </w:pPr>
            <w:r>
              <w:rPr>
                <w:spacing w:val="6"/>
                <w:sz w:val="20"/>
                <w:szCs w:val="20"/>
              </w:rPr>
              <w:t>温都尔庙</w:t>
            </w:r>
          </w:p>
        </w:tc>
        <w:tc>
          <w:tcPr>
            <w:tcW w:w="1318" w:type="dxa"/>
            <w:vAlign w:val="top"/>
          </w:tcPr>
          <w:p w14:paraId="6E0A9D90">
            <w:pPr>
              <w:pStyle w:val="6"/>
              <w:spacing w:before="39" w:line="210" w:lineRule="auto"/>
              <w:ind w:left="39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spacing w:val="-6"/>
                <w:sz w:val="20"/>
                <w:szCs w:val="20"/>
              </w:rPr>
              <w:t>小时</w:t>
            </w:r>
          </w:p>
        </w:tc>
        <w:tc>
          <w:tcPr>
            <w:tcW w:w="2041" w:type="dxa"/>
            <w:vAlign w:val="top"/>
          </w:tcPr>
          <w:p w14:paraId="1F630154">
            <w:pPr>
              <w:spacing w:before="75" w:line="195" w:lineRule="auto"/>
              <w:ind w:left="68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4.07831</w:t>
            </w:r>
          </w:p>
        </w:tc>
        <w:tc>
          <w:tcPr>
            <w:tcW w:w="1436" w:type="dxa"/>
            <w:vAlign w:val="top"/>
          </w:tcPr>
          <w:p w14:paraId="4D1C9108">
            <w:pPr>
              <w:spacing w:before="75" w:line="195" w:lineRule="auto"/>
              <w:ind w:left="29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22093014</w:t>
            </w:r>
          </w:p>
        </w:tc>
        <w:tc>
          <w:tcPr>
            <w:tcW w:w="1078" w:type="dxa"/>
            <w:vAlign w:val="top"/>
          </w:tcPr>
          <w:p w14:paraId="653D4A82">
            <w:pPr>
              <w:spacing w:before="75"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0.82</w:t>
            </w:r>
          </w:p>
        </w:tc>
        <w:tc>
          <w:tcPr>
            <w:tcW w:w="936" w:type="dxa"/>
            <w:tcBorders>
              <w:right w:val="nil"/>
            </w:tcBorders>
            <w:vAlign w:val="top"/>
          </w:tcPr>
          <w:p w14:paraId="3E9DB6E8">
            <w:pPr>
              <w:pStyle w:val="6"/>
              <w:spacing w:before="39" w:line="210" w:lineRule="auto"/>
              <w:ind w:left="266"/>
              <w:rPr>
                <w:sz w:val="20"/>
                <w:szCs w:val="20"/>
              </w:rPr>
            </w:pPr>
            <w:r>
              <w:rPr>
                <w:spacing w:val="5"/>
                <w:sz w:val="20"/>
                <w:szCs w:val="20"/>
              </w:rPr>
              <w:t>达标</w:t>
            </w:r>
          </w:p>
        </w:tc>
      </w:tr>
      <w:tr w14:paraId="494D38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6A6939B3">
            <w:pPr>
              <w:rPr>
                <w:rFonts w:ascii="Arial"/>
                <w:sz w:val="21"/>
              </w:rPr>
            </w:pPr>
          </w:p>
        </w:tc>
        <w:tc>
          <w:tcPr>
            <w:tcW w:w="1436" w:type="dxa"/>
            <w:vMerge w:val="continue"/>
            <w:tcBorders>
              <w:top w:val="nil"/>
              <w:bottom w:val="nil"/>
            </w:tcBorders>
            <w:vAlign w:val="top"/>
          </w:tcPr>
          <w:p w14:paraId="242109B2">
            <w:pPr>
              <w:rPr>
                <w:rFonts w:ascii="Arial"/>
                <w:sz w:val="21"/>
              </w:rPr>
            </w:pPr>
          </w:p>
        </w:tc>
        <w:tc>
          <w:tcPr>
            <w:tcW w:w="1318" w:type="dxa"/>
            <w:vAlign w:val="top"/>
          </w:tcPr>
          <w:p w14:paraId="10CE6D3C">
            <w:pPr>
              <w:pStyle w:val="6"/>
              <w:spacing w:before="40" w:line="209" w:lineRule="auto"/>
              <w:ind w:left="385"/>
              <w:rPr>
                <w:sz w:val="20"/>
                <w:szCs w:val="20"/>
              </w:rPr>
            </w:pPr>
            <w:r>
              <w:rPr>
                <w:spacing w:val="-6"/>
                <w:sz w:val="20"/>
                <w:szCs w:val="20"/>
              </w:rPr>
              <w:t>日均值</w:t>
            </w:r>
          </w:p>
        </w:tc>
        <w:tc>
          <w:tcPr>
            <w:tcW w:w="2041" w:type="dxa"/>
            <w:vAlign w:val="top"/>
          </w:tcPr>
          <w:p w14:paraId="3F66B066">
            <w:pPr>
              <w:spacing w:before="76" w:line="195"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0.88403</w:t>
            </w:r>
          </w:p>
        </w:tc>
        <w:tc>
          <w:tcPr>
            <w:tcW w:w="1436" w:type="dxa"/>
            <w:vAlign w:val="top"/>
          </w:tcPr>
          <w:p w14:paraId="5E57CFA5">
            <w:pPr>
              <w:spacing w:before="76" w:line="195"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220909</w:t>
            </w:r>
          </w:p>
        </w:tc>
        <w:tc>
          <w:tcPr>
            <w:tcW w:w="1078" w:type="dxa"/>
            <w:vAlign w:val="top"/>
          </w:tcPr>
          <w:p w14:paraId="6308E747">
            <w:pPr>
              <w:spacing w:before="76"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0.59</w:t>
            </w:r>
          </w:p>
        </w:tc>
        <w:tc>
          <w:tcPr>
            <w:tcW w:w="936" w:type="dxa"/>
            <w:tcBorders>
              <w:right w:val="nil"/>
            </w:tcBorders>
            <w:vAlign w:val="top"/>
          </w:tcPr>
          <w:p w14:paraId="572ED1C5">
            <w:pPr>
              <w:pStyle w:val="6"/>
              <w:spacing w:before="40" w:line="209" w:lineRule="auto"/>
              <w:ind w:left="266"/>
              <w:rPr>
                <w:sz w:val="20"/>
                <w:szCs w:val="20"/>
              </w:rPr>
            </w:pPr>
            <w:r>
              <w:rPr>
                <w:spacing w:val="5"/>
                <w:sz w:val="20"/>
                <w:szCs w:val="20"/>
              </w:rPr>
              <w:t>达标</w:t>
            </w:r>
          </w:p>
        </w:tc>
      </w:tr>
      <w:tr w14:paraId="1801F1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52773370">
            <w:pPr>
              <w:rPr>
                <w:rFonts w:ascii="Arial"/>
                <w:sz w:val="21"/>
              </w:rPr>
            </w:pPr>
          </w:p>
        </w:tc>
        <w:tc>
          <w:tcPr>
            <w:tcW w:w="1436" w:type="dxa"/>
            <w:vMerge w:val="continue"/>
            <w:tcBorders>
              <w:top w:val="nil"/>
            </w:tcBorders>
            <w:vAlign w:val="top"/>
          </w:tcPr>
          <w:p w14:paraId="535C6ACE">
            <w:pPr>
              <w:rPr>
                <w:rFonts w:ascii="Arial"/>
                <w:sz w:val="21"/>
              </w:rPr>
            </w:pPr>
          </w:p>
        </w:tc>
        <w:tc>
          <w:tcPr>
            <w:tcW w:w="1318" w:type="dxa"/>
            <w:vAlign w:val="top"/>
          </w:tcPr>
          <w:p w14:paraId="30E17FE8">
            <w:pPr>
              <w:pStyle w:val="6"/>
              <w:spacing w:before="39" w:line="210" w:lineRule="auto"/>
              <w:ind w:left="350"/>
              <w:rPr>
                <w:sz w:val="20"/>
                <w:szCs w:val="20"/>
              </w:rPr>
            </w:pPr>
            <w:r>
              <w:rPr>
                <w:spacing w:val="6"/>
                <w:sz w:val="20"/>
                <w:szCs w:val="20"/>
              </w:rPr>
              <w:t>年平均</w:t>
            </w:r>
          </w:p>
        </w:tc>
        <w:tc>
          <w:tcPr>
            <w:tcW w:w="2041" w:type="dxa"/>
            <w:vAlign w:val="top"/>
          </w:tcPr>
          <w:p w14:paraId="003981A2">
            <w:pPr>
              <w:spacing w:before="75" w:line="195"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0.16352</w:t>
            </w:r>
          </w:p>
        </w:tc>
        <w:tc>
          <w:tcPr>
            <w:tcW w:w="1436" w:type="dxa"/>
            <w:vAlign w:val="top"/>
          </w:tcPr>
          <w:p w14:paraId="18BCC40B">
            <w:pPr>
              <w:pStyle w:val="6"/>
              <w:spacing w:before="39" w:line="210" w:lineRule="auto"/>
              <w:ind w:left="407"/>
              <w:rPr>
                <w:sz w:val="20"/>
                <w:szCs w:val="20"/>
              </w:rPr>
            </w:pPr>
            <w:r>
              <w:rPr>
                <w:spacing w:val="7"/>
                <w:sz w:val="20"/>
                <w:szCs w:val="20"/>
              </w:rPr>
              <w:t>平均值</w:t>
            </w:r>
          </w:p>
        </w:tc>
        <w:tc>
          <w:tcPr>
            <w:tcW w:w="1078" w:type="dxa"/>
            <w:vAlign w:val="top"/>
          </w:tcPr>
          <w:p w14:paraId="040F4CF4">
            <w:pPr>
              <w:spacing w:before="75"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0.27</w:t>
            </w:r>
          </w:p>
        </w:tc>
        <w:tc>
          <w:tcPr>
            <w:tcW w:w="936" w:type="dxa"/>
            <w:tcBorders>
              <w:right w:val="nil"/>
            </w:tcBorders>
            <w:vAlign w:val="top"/>
          </w:tcPr>
          <w:p w14:paraId="33DFD82A">
            <w:pPr>
              <w:pStyle w:val="6"/>
              <w:spacing w:before="39" w:line="210" w:lineRule="auto"/>
              <w:ind w:left="266"/>
              <w:rPr>
                <w:sz w:val="20"/>
                <w:szCs w:val="20"/>
              </w:rPr>
            </w:pPr>
            <w:r>
              <w:rPr>
                <w:spacing w:val="5"/>
                <w:sz w:val="20"/>
                <w:szCs w:val="20"/>
              </w:rPr>
              <w:t>达标</w:t>
            </w:r>
          </w:p>
        </w:tc>
      </w:tr>
      <w:tr w14:paraId="5D83E4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3BC2AB06">
            <w:pPr>
              <w:rPr>
                <w:rFonts w:ascii="Arial"/>
                <w:sz w:val="21"/>
              </w:rPr>
            </w:pPr>
          </w:p>
        </w:tc>
        <w:tc>
          <w:tcPr>
            <w:tcW w:w="1436" w:type="dxa"/>
            <w:vMerge w:val="restart"/>
            <w:tcBorders>
              <w:bottom w:val="nil"/>
            </w:tcBorders>
            <w:vAlign w:val="top"/>
          </w:tcPr>
          <w:p w14:paraId="4B7214A1">
            <w:pPr>
              <w:spacing w:line="258" w:lineRule="auto"/>
              <w:rPr>
                <w:rFonts w:ascii="Arial"/>
                <w:sz w:val="21"/>
              </w:rPr>
            </w:pPr>
          </w:p>
          <w:p w14:paraId="28B07308">
            <w:pPr>
              <w:pStyle w:val="6"/>
              <w:spacing w:before="65" w:line="228" w:lineRule="auto"/>
              <w:ind w:left="115"/>
              <w:rPr>
                <w:sz w:val="20"/>
                <w:szCs w:val="20"/>
              </w:rPr>
            </w:pPr>
            <w:r>
              <w:rPr>
                <w:spacing w:val="4"/>
                <w:sz w:val="20"/>
                <w:szCs w:val="20"/>
              </w:rPr>
              <w:t>巴润阿木斯尔</w:t>
            </w:r>
          </w:p>
        </w:tc>
        <w:tc>
          <w:tcPr>
            <w:tcW w:w="1318" w:type="dxa"/>
            <w:vAlign w:val="top"/>
          </w:tcPr>
          <w:p w14:paraId="6D80E5CC">
            <w:pPr>
              <w:pStyle w:val="6"/>
              <w:spacing w:before="40" w:line="209" w:lineRule="auto"/>
              <w:ind w:left="39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spacing w:val="-6"/>
                <w:sz w:val="20"/>
                <w:szCs w:val="20"/>
              </w:rPr>
              <w:t>小时</w:t>
            </w:r>
          </w:p>
        </w:tc>
        <w:tc>
          <w:tcPr>
            <w:tcW w:w="2041" w:type="dxa"/>
            <w:vAlign w:val="top"/>
          </w:tcPr>
          <w:p w14:paraId="75758F79">
            <w:pPr>
              <w:spacing w:before="76" w:line="195" w:lineRule="auto"/>
              <w:ind w:left="6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6.90169</w:t>
            </w:r>
          </w:p>
        </w:tc>
        <w:tc>
          <w:tcPr>
            <w:tcW w:w="1436" w:type="dxa"/>
            <w:vAlign w:val="top"/>
          </w:tcPr>
          <w:p w14:paraId="44A8182F">
            <w:pPr>
              <w:spacing w:before="76" w:line="195" w:lineRule="auto"/>
              <w:ind w:left="29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22041714</w:t>
            </w:r>
          </w:p>
        </w:tc>
        <w:tc>
          <w:tcPr>
            <w:tcW w:w="1078" w:type="dxa"/>
            <w:vAlign w:val="top"/>
          </w:tcPr>
          <w:p w14:paraId="5F29395C">
            <w:pPr>
              <w:spacing w:before="76" w:line="195" w:lineRule="auto"/>
              <w:ind w:left="3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1.38</w:t>
            </w:r>
          </w:p>
        </w:tc>
        <w:tc>
          <w:tcPr>
            <w:tcW w:w="936" w:type="dxa"/>
            <w:tcBorders>
              <w:right w:val="nil"/>
            </w:tcBorders>
            <w:vAlign w:val="top"/>
          </w:tcPr>
          <w:p w14:paraId="29DC11F6">
            <w:pPr>
              <w:pStyle w:val="6"/>
              <w:spacing w:before="40" w:line="209" w:lineRule="auto"/>
              <w:ind w:left="266"/>
              <w:rPr>
                <w:sz w:val="20"/>
                <w:szCs w:val="20"/>
              </w:rPr>
            </w:pPr>
            <w:r>
              <w:rPr>
                <w:spacing w:val="5"/>
                <w:sz w:val="20"/>
                <w:szCs w:val="20"/>
              </w:rPr>
              <w:t>达标</w:t>
            </w:r>
          </w:p>
        </w:tc>
      </w:tr>
      <w:tr w14:paraId="122CD5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403F8DBF">
            <w:pPr>
              <w:rPr>
                <w:rFonts w:ascii="Arial"/>
                <w:sz w:val="21"/>
              </w:rPr>
            </w:pPr>
          </w:p>
        </w:tc>
        <w:tc>
          <w:tcPr>
            <w:tcW w:w="1436" w:type="dxa"/>
            <w:vMerge w:val="continue"/>
            <w:tcBorders>
              <w:top w:val="nil"/>
              <w:bottom w:val="nil"/>
            </w:tcBorders>
            <w:vAlign w:val="top"/>
          </w:tcPr>
          <w:p w14:paraId="4EE49FA4">
            <w:pPr>
              <w:rPr>
                <w:rFonts w:ascii="Arial"/>
                <w:sz w:val="21"/>
              </w:rPr>
            </w:pPr>
          </w:p>
        </w:tc>
        <w:tc>
          <w:tcPr>
            <w:tcW w:w="1318" w:type="dxa"/>
            <w:vAlign w:val="top"/>
          </w:tcPr>
          <w:p w14:paraId="27FF9CC8">
            <w:pPr>
              <w:pStyle w:val="6"/>
              <w:spacing w:before="42" w:line="207" w:lineRule="auto"/>
              <w:ind w:left="385"/>
              <w:rPr>
                <w:sz w:val="20"/>
                <w:szCs w:val="20"/>
              </w:rPr>
            </w:pPr>
            <w:r>
              <w:rPr>
                <w:spacing w:val="-6"/>
                <w:sz w:val="20"/>
                <w:szCs w:val="20"/>
              </w:rPr>
              <w:t>日均值</w:t>
            </w:r>
          </w:p>
        </w:tc>
        <w:tc>
          <w:tcPr>
            <w:tcW w:w="2041" w:type="dxa"/>
            <w:vAlign w:val="top"/>
          </w:tcPr>
          <w:p w14:paraId="19FDBAFF">
            <w:pPr>
              <w:spacing w:before="78" w:line="195" w:lineRule="auto"/>
              <w:ind w:left="70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1.27649</w:t>
            </w:r>
          </w:p>
        </w:tc>
        <w:tc>
          <w:tcPr>
            <w:tcW w:w="1436" w:type="dxa"/>
            <w:vAlign w:val="top"/>
          </w:tcPr>
          <w:p w14:paraId="51757C27">
            <w:pPr>
              <w:spacing w:before="78" w:line="195"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220904</w:t>
            </w:r>
          </w:p>
        </w:tc>
        <w:tc>
          <w:tcPr>
            <w:tcW w:w="1078" w:type="dxa"/>
            <w:vAlign w:val="top"/>
          </w:tcPr>
          <w:p w14:paraId="0FCA311F">
            <w:pPr>
              <w:spacing w:before="78"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0.85</w:t>
            </w:r>
          </w:p>
        </w:tc>
        <w:tc>
          <w:tcPr>
            <w:tcW w:w="936" w:type="dxa"/>
            <w:tcBorders>
              <w:right w:val="nil"/>
            </w:tcBorders>
            <w:vAlign w:val="top"/>
          </w:tcPr>
          <w:p w14:paraId="6244D96E">
            <w:pPr>
              <w:pStyle w:val="6"/>
              <w:spacing w:before="42" w:line="207" w:lineRule="auto"/>
              <w:ind w:left="266"/>
              <w:rPr>
                <w:sz w:val="20"/>
                <w:szCs w:val="20"/>
              </w:rPr>
            </w:pPr>
            <w:r>
              <w:rPr>
                <w:spacing w:val="5"/>
                <w:sz w:val="20"/>
                <w:szCs w:val="20"/>
              </w:rPr>
              <w:t>达标</w:t>
            </w:r>
          </w:p>
        </w:tc>
      </w:tr>
      <w:tr w14:paraId="2044C8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507D7F6D">
            <w:pPr>
              <w:rPr>
                <w:rFonts w:ascii="Arial"/>
                <w:sz w:val="21"/>
              </w:rPr>
            </w:pPr>
          </w:p>
        </w:tc>
        <w:tc>
          <w:tcPr>
            <w:tcW w:w="1436" w:type="dxa"/>
            <w:vMerge w:val="continue"/>
            <w:tcBorders>
              <w:top w:val="nil"/>
            </w:tcBorders>
            <w:vAlign w:val="top"/>
          </w:tcPr>
          <w:p w14:paraId="14215325">
            <w:pPr>
              <w:rPr>
                <w:rFonts w:ascii="Arial"/>
                <w:sz w:val="21"/>
              </w:rPr>
            </w:pPr>
          </w:p>
        </w:tc>
        <w:tc>
          <w:tcPr>
            <w:tcW w:w="1318" w:type="dxa"/>
            <w:vAlign w:val="top"/>
          </w:tcPr>
          <w:p w14:paraId="1B5DCBAE">
            <w:pPr>
              <w:pStyle w:val="6"/>
              <w:spacing w:before="40" w:line="209" w:lineRule="auto"/>
              <w:ind w:left="350"/>
              <w:rPr>
                <w:sz w:val="20"/>
                <w:szCs w:val="20"/>
              </w:rPr>
            </w:pPr>
            <w:r>
              <w:rPr>
                <w:spacing w:val="6"/>
                <w:sz w:val="20"/>
                <w:szCs w:val="20"/>
              </w:rPr>
              <w:t>年平均</w:t>
            </w:r>
          </w:p>
        </w:tc>
        <w:tc>
          <w:tcPr>
            <w:tcW w:w="2041" w:type="dxa"/>
            <w:vAlign w:val="top"/>
          </w:tcPr>
          <w:p w14:paraId="1464F43C">
            <w:pPr>
              <w:spacing w:before="76" w:line="195"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0.09457</w:t>
            </w:r>
          </w:p>
        </w:tc>
        <w:tc>
          <w:tcPr>
            <w:tcW w:w="1436" w:type="dxa"/>
            <w:vAlign w:val="top"/>
          </w:tcPr>
          <w:p w14:paraId="668108AE">
            <w:pPr>
              <w:pStyle w:val="6"/>
              <w:spacing w:before="40" w:line="209" w:lineRule="auto"/>
              <w:ind w:left="407"/>
              <w:rPr>
                <w:sz w:val="20"/>
                <w:szCs w:val="20"/>
              </w:rPr>
            </w:pPr>
            <w:r>
              <w:rPr>
                <w:spacing w:val="7"/>
                <w:sz w:val="20"/>
                <w:szCs w:val="20"/>
              </w:rPr>
              <w:t>平均值</w:t>
            </w:r>
          </w:p>
        </w:tc>
        <w:tc>
          <w:tcPr>
            <w:tcW w:w="1078" w:type="dxa"/>
            <w:vAlign w:val="top"/>
          </w:tcPr>
          <w:p w14:paraId="10E732B1">
            <w:pPr>
              <w:spacing w:before="76"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0.16</w:t>
            </w:r>
          </w:p>
        </w:tc>
        <w:tc>
          <w:tcPr>
            <w:tcW w:w="936" w:type="dxa"/>
            <w:tcBorders>
              <w:right w:val="nil"/>
            </w:tcBorders>
            <w:vAlign w:val="top"/>
          </w:tcPr>
          <w:p w14:paraId="1F1FEF22">
            <w:pPr>
              <w:pStyle w:val="6"/>
              <w:spacing w:before="40" w:line="209" w:lineRule="auto"/>
              <w:ind w:left="266"/>
              <w:rPr>
                <w:sz w:val="20"/>
                <w:szCs w:val="20"/>
              </w:rPr>
            </w:pPr>
            <w:r>
              <w:rPr>
                <w:spacing w:val="5"/>
                <w:sz w:val="20"/>
                <w:szCs w:val="20"/>
              </w:rPr>
              <w:t>达标</w:t>
            </w:r>
          </w:p>
        </w:tc>
      </w:tr>
      <w:tr w14:paraId="741C5E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30" w:type="dxa"/>
            <w:vMerge w:val="continue"/>
            <w:tcBorders>
              <w:top w:val="nil"/>
              <w:left w:val="nil"/>
              <w:bottom w:val="nil"/>
            </w:tcBorders>
            <w:vAlign w:val="top"/>
          </w:tcPr>
          <w:p w14:paraId="7B18621B">
            <w:pPr>
              <w:rPr>
                <w:rFonts w:ascii="Arial"/>
                <w:sz w:val="21"/>
              </w:rPr>
            </w:pPr>
          </w:p>
        </w:tc>
        <w:tc>
          <w:tcPr>
            <w:tcW w:w="1436" w:type="dxa"/>
            <w:vMerge w:val="restart"/>
            <w:tcBorders>
              <w:bottom w:val="nil"/>
            </w:tcBorders>
            <w:vAlign w:val="top"/>
          </w:tcPr>
          <w:p w14:paraId="35591E40">
            <w:pPr>
              <w:pStyle w:val="6"/>
              <w:spacing w:before="188" w:line="239" w:lineRule="auto"/>
              <w:ind w:left="9" w:firstLine="98"/>
              <w:rPr>
                <w:sz w:val="20"/>
                <w:szCs w:val="20"/>
              </w:rPr>
            </w:pPr>
            <w:r>
              <w:rPr>
                <w:spacing w:val="2"/>
                <w:sz w:val="20"/>
                <w:szCs w:val="20"/>
              </w:rPr>
              <w:t>区域最大落地</w:t>
            </w:r>
            <w:r>
              <w:rPr>
                <w:spacing w:val="1"/>
                <w:sz w:val="20"/>
                <w:szCs w:val="20"/>
              </w:rPr>
              <w:t xml:space="preserve">  </w:t>
            </w:r>
            <w:r>
              <w:rPr>
                <w:spacing w:val="3"/>
                <w:sz w:val="20"/>
                <w:szCs w:val="20"/>
              </w:rPr>
              <w:t>浓度（网格点）</w:t>
            </w:r>
          </w:p>
        </w:tc>
        <w:tc>
          <w:tcPr>
            <w:tcW w:w="1318" w:type="dxa"/>
            <w:vAlign w:val="top"/>
          </w:tcPr>
          <w:p w14:paraId="1530FD91">
            <w:pPr>
              <w:pStyle w:val="6"/>
              <w:spacing w:before="41" w:line="207" w:lineRule="auto"/>
              <w:ind w:left="39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spacing w:val="-6"/>
                <w:sz w:val="20"/>
                <w:szCs w:val="20"/>
              </w:rPr>
              <w:t>小时</w:t>
            </w:r>
          </w:p>
        </w:tc>
        <w:tc>
          <w:tcPr>
            <w:tcW w:w="2041" w:type="dxa"/>
            <w:vAlign w:val="top"/>
          </w:tcPr>
          <w:p w14:paraId="5763190B">
            <w:pPr>
              <w:spacing w:before="78" w:line="195" w:lineRule="auto"/>
              <w:ind w:left="6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37.63904</w:t>
            </w:r>
          </w:p>
        </w:tc>
        <w:tc>
          <w:tcPr>
            <w:tcW w:w="1436" w:type="dxa"/>
            <w:vAlign w:val="top"/>
          </w:tcPr>
          <w:p w14:paraId="38909769">
            <w:pPr>
              <w:pStyle w:val="6"/>
              <w:spacing w:before="41" w:line="207" w:lineRule="auto"/>
              <w:ind w:left="407"/>
              <w:rPr>
                <w:sz w:val="20"/>
                <w:szCs w:val="20"/>
              </w:rPr>
            </w:pPr>
            <w:r>
              <w:rPr>
                <w:spacing w:val="7"/>
                <w:sz w:val="20"/>
                <w:szCs w:val="20"/>
              </w:rPr>
              <w:t>平均值</w:t>
            </w:r>
          </w:p>
        </w:tc>
        <w:tc>
          <w:tcPr>
            <w:tcW w:w="1078" w:type="dxa"/>
            <w:vAlign w:val="top"/>
          </w:tcPr>
          <w:p w14:paraId="404FAF9D">
            <w:pPr>
              <w:spacing w:before="78" w:line="195"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7.53</w:t>
            </w:r>
          </w:p>
        </w:tc>
        <w:tc>
          <w:tcPr>
            <w:tcW w:w="936" w:type="dxa"/>
            <w:tcBorders>
              <w:right w:val="nil"/>
            </w:tcBorders>
            <w:vAlign w:val="top"/>
          </w:tcPr>
          <w:p w14:paraId="7B60792F">
            <w:pPr>
              <w:pStyle w:val="6"/>
              <w:spacing w:before="41" w:line="207" w:lineRule="auto"/>
              <w:ind w:left="266"/>
              <w:rPr>
                <w:sz w:val="20"/>
                <w:szCs w:val="20"/>
              </w:rPr>
            </w:pPr>
            <w:r>
              <w:rPr>
                <w:spacing w:val="5"/>
                <w:sz w:val="20"/>
                <w:szCs w:val="20"/>
              </w:rPr>
              <w:t>达标</w:t>
            </w:r>
          </w:p>
        </w:tc>
      </w:tr>
      <w:tr w14:paraId="57D1B2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21DF1423">
            <w:pPr>
              <w:rPr>
                <w:rFonts w:ascii="Arial"/>
                <w:sz w:val="21"/>
              </w:rPr>
            </w:pPr>
          </w:p>
        </w:tc>
        <w:tc>
          <w:tcPr>
            <w:tcW w:w="1436" w:type="dxa"/>
            <w:vMerge w:val="continue"/>
            <w:tcBorders>
              <w:top w:val="nil"/>
              <w:bottom w:val="nil"/>
            </w:tcBorders>
            <w:vAlign w:val="top"/>
          </w:tcPr>
          <w:p w14:paraId="11C5BCC1">
            <w:pPr>
              <w:rPr>
                <w:rFonts w:ascii="Arial"/>
                <w:sz w:val="21"/>
              </w:rPr>
            </w:pPr>
          </w:p>
        </w:tc>
        <w:tc>
          <w:tcPr>
            <w:tcW w:w="1318" w:type="dxa"/>
            <w:vAlign w:val="top"/>
          </w:tcPr>
          <w:p w14:paraId="32B6EC8D">
            <w:pPr>
              <w:pStyle w:val="6"/>
              <w:spacing w:before="44" w:line="205" w:lineRule="auto"/>
              <w:ind w:left="385"/>
              <w:rPr>
                <w:sz w:val="20"/>
                <w:szCs w:val="20"/>
              </w:rPr>
            </w:pPr>
            <w:r>
              <w:rPr>
                <w:spacing w:val="-6"/>
                <w:sz w:val="20"/>
                <w:szCs w:val="20"/>
              </w:rPr>
              <w:t>日均值</w:t>
            </w:r>
          </w:p>
        </w:tc>
        <w:tc>
          <w:tcPr>
            <w:tcW w:w="2041" w:type="dxa"/>
            <w:vAlign w:val="top"/>
          </w:tcPr>
          <w:p w14:paraId="34125E9F">
            <w:pPr>
              <w:spacing w:before="81" w:line="194"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7.57653</w:t>
            </w:r>
          </w:p>
        </w:tc>
        <w:tc>
          <w:tcPr>
            <w:tcW w:w="1436" w:type="dxa"/>
            <w:vAlign w:val="top"/>
          </w:tcPr>
          <w:p w14:paraId="10B157CD">
            <w:pPr>
              <w:spacing w:before="81" w:line="194" w:lineRule="auto"/>
              <w:ind w:left="29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22093014</w:t>
            </w:r>
          </w:p>
        </w:tc>
        <w:tc>
          <w:tcPr>
            <w:tcW w:w="1078" w:type="dxa"/>
            <w:vAlign w:val="top"/>
          </w:tcPr>
          <w:p w14:paraId="5D8BA81A">
            <w:pPr>
              <w:spacing w:before="81" w:line="194"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5.05</w:t>
            </w:r>
          </w:p>
        </w:tc>
        <w:tc>
          <w:tcPr>
            <w:tcW w:w="936" w:type="dxa"/>
            <w:tcBorders>
              <w:right w:val="nil"/>
            </w:tcBorders>
            <w:vAlign w:val="top"/>
          </w:tcPr>
          <w:p w14:paraId="53623722">
            <w:pPr>
              <w:pStyle w:val="6"/>
              <w:spacing w:before="44" w:line="205" w:lineRule="auto"/>
              <w:ind w:left="266"/>
              <w:rPr>
                <w:sz w:val="20"/>
                <w:szCs w:val="20"/>
              </w:rPr>
            </w:pPr>
            <w:r>
              <w:rPr>
                <w:spacing w:val="5"/>
                <w:sz w:val="20"/>
                <w:szCs w:val="20"/>
              </w:rPr>
              <w:t>达标</w:t>
            </w:r>
          </w:p>
        </w:tc>
      </w:tr>
      <w:tr w14:paraId="7E8B34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30" w:type="dxa"/>
            <w:vMerge w:val="continue"/>
            <w:tcBorders>
              <w:top w:val="nil"/>
              <w:left w:val="nil"/>
            </w:tcBorders>
            <w:vAlign w:val="top"/>
          </w:tcPr>
          <w:p w14:paraId="7B2ED468">
            <w:pPr>
              <w:rPr>
                <w:rFonts w:ascii="Arial"/>
                <w:sz w:val="21"/>
              </w:rPr>
            </w:pPr>
          </w:p>
        </w:tc>
        <w:tc>
          <w:tcPr>
            <w:tcW w:w="1436" w:type="dxa"/>
            <w:vMerge w:val="continue"/>
            <w:tcBorders>
              <w:top w:val="nil"/>
            </w:tcBorders>
            <w:vAlign w:val="top"/>
          </w:tcPr>
          <w:p w14:paraId="52870B4F">
            <w:pPr>
              <w:rPr>
                <w:rFonts w:ascii="Arial"/>
                <w:sz w:val="21"/>
              </w:rPr>
            </w:pPr>
          </w:p>
        </w:tc>
        <w:tc>
          <w:tcPr>
            <w:tcW w:w="1318" w:type="dxa"/>
            <w:vAlign w:val="top"/>
          </w:tcPr>
          <w:p w14:paraId="3A027087">
            <w:pPr>
              <w:pStyle w:val="6"/>
              <w:spacing w:before="42" w:line="206" w:lineRule="auto"/>
              <w:ind w:left="350"/>
              <w:rPr>
                <w:sz w:val="20"/>
                <w:szCs w:val="20"/>
              </w:rPr>
            </w:pPr>
            <w:r>
              <w:rPr>
                <w:spacing w:val="6"/>
                <w:sz w:val="20"/>
                <w:szCs w:val="20"/>
              </w:rPr>
              <w:t>年平均</w:t>
            </w:r>
          </w:p>
        </w:tc>
        <w:tc>
          <w:tcPr>
            <w:tcW w:w="2041" w:type="dxa"/>
            <w:vAlign w:val="top"/>
          </w:tcPr>
          <w:p w14:paraId="09442931">
            <w:pPr>
              <w:spacing w:before="79" w:line="195" w:lineRule="auto"/>
              <w:ind w:left="70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1.08848</w:t>
            </w:r>
          </w:p>
        </w:tc>
        <w:tc>
          <w:tcPr>
            <w:tcW w:w="1436" w:type="dxa"/>
            <w:vAlign w:val="top"/>
          </w:tcPr>
          <w:p w14:paraId="65935810">
            <w:pPr>
              <w:spacing w:before="79" w:line="195"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220909</w:t>
            </w:r>
          </w:p>
        </w:tc>
        <w:tc>
          <w:tcPr>
            <w:tcW w:w="1078" w:type="dxa"/>
            <w:vAlign w:val="top"/>
          </w:tcPr>
          <w:p w14:paraId="13D209FD">
            <w:pPr>
              <w:spacing w:before="79" w:line="195" w:lineRule="auto"/>
              <w:ind w:left="3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1.81</w:t>
            </w:r>
          </w:p>
        </w:tc>
        <w:tc>
          <w:tcPr>
            <w:tcW w:w="936" w:type="dxa"/>
            <w:tcBorders>
              <w:right w:val="nil"/>
            </w:tcBorders>
            <w:vAlign w:val="top"/>
          </w:tcPr>
          <w:p w14:paraId="33E8F119">
            <w:pPr>
              <w:pStyle w:val="6"/>
              <w:spacing w:before="42" w:line="206" w:lineRule="auto"/>
              <w:ind w:left="266"/>
              <w:rPr>
                <w:sz w:val="20"/>
                <w:szCs w:val="20"/>
              </w:rPr>
            </w:pPr>
            <w:r>
              <w:rPr>
                <w:spacing w:val="5"/>
                <w:sz w:val="20"/>
                <w:szCs w:val="20"/>
              </w:rPr>
              <w:t>达标</w:t>
            </w:r>
          </w:p>
        </w:tc>
      </w:tr>
      <w:tr w14:paraId="4A9D04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restart"/>
            <w:tcBorders>
              <w:left w:val="nil"/>
              <w:bottom w:val="nil"/>
            </w:tcBorders>
            <w:vAlign w:val="top"/>
          </w:tcPr>
          <w:p w14:paraId="2FFEF243">
            <w:pPr>
              <w:spacing w:line="286" w:lineRule="auto"/>
              <w:rPr>
                <w:rFonts w:ascii="Arial"/>
                <w:sz w:val="21"/>
              </w:rPr>
            </w:pPr>
          </w:p>
          <w:p w14:paraId="39FC67B8">
            <w:pPr>
              <w:spacing w:line="286" w:lineRule="auto"/>
              <w:rPr>
                <w:rFonts w:ascii="Arial"/>
                <w:sz w:val="21"/>
              </w:rPr>
            </w:pPr>
          </w:p>
          <w:p w14:paraId="1E5A4968">
            <w:pPr>
              <w:spacing w:line="286" w:lineRule="auto"/>
              <w:rPr>
                <w:rFonts w:ascii="Arial"/>
                <w:sz w:val="21"/>
              </w:rPr>
            </w:pPr>
          </w:p>
          <w:p w14:paraId="139DD3EA">
            <w:pPr>
              <w:spacing w:line="286" w:lineRule="auto"/>
              <w:rPr>
                <w:rFonts w:ascii="Arial"/>
                <w:sz w:val="21"/>
              </w:rPr>
            </w:pPr>
          </w:p>
          <w:p w14:paraId="43A2C721">
            <w:pPr>
              <w:spacing w:before="58" w:line="202" w:lineRule="auto"/>
              <w:ind w:left="224"/>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2</w:t>
            </w:r>
          </w:p>
        </w:tc>
        <w:tc>
          <w:tcPr>
            <w:tcW w:w="1436" w:type="dxa"/>
            <w:vMerge w:val="restart"/>
            <w:tcBorders>
              <w:bottom w:val="nil"/>
            </w:tcBorders>
            <w:vAlign w:val="top"/>
          </w:tcPr>
          <w:p w14:paraId="104D951E">
            <w:pPr>
              <w:spacing w:line="259" w:lineRule="auto"/>
              <w:rPr>
                <w:rFonts w:ascii="Arial"/>
                <w:sz w:val="21"/>
              </w:rPr>
            </w:pPr>
          </w:p>
          <w:p w14:paraId="1E3932BE">
            <w:pPr>
              <w:pStyle w:val="6"/>
              <w:spacing w:before="65" w:line="228" w:lineRule="auto"/>
              <w:ind w:left="306"/>
              <w:rPr>
                <w:sz w:val="20"/>
                <w:szCs w:val="20"/>
              </w:rPr>
            </w:pPr>
            <w:r>
              <w:rPr>
                <w:spacing w:val="6"/>
                <w:sz w:val="20"/>
                <w:szCs w:val="20"/>
              </w:rPr>
              <w:t>温都尔庙</w:t>
            </w:r>
          </w:p>
        </w:tc>
        <w:tc>
          <w:tcPr>
            <w:tcW w:w="1318" w:type="dxa"/>
            <w:vAlign w:val="top"/>
          </w:tcPr>
          <w:p w14:paraId="0C48D821">
            <w:pPr>
              <w:pStyle w:val="6"/>
              <w:spacing w:before="46" w:line="204" w:lineRule="auto"/>
              <w:ind w:left="39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spacing w:val="-6"/>
                <w:sz w:val="20"/>
                <w:szCs w:val="20"/>
              </w:rPr>
              <w:t>小时</w:t>
            </w:r>
          </w:p>
        </w:tc>
        <w:tc>
          <w:tcPr>
            <w:tcW w:w="2041" w:type="dxa"/>
            <w:vAlign w:val="top"/>
          </w:tcPr>
          <w:p w14:paraId="27546CE7">
            <w:pPr>
              <w:spacing w:before="82" w:line="193" w:lineRule="auto"/>
              <w:ind w:left="64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17.43495</w:t>
            </w:r>
          </w:p>
        </w:tc>
        <w:tc>
          <w:tcPr>
            <w:tcW w:w="1436" w:type="dxa"/>
            <w:vAlign w:val="top"/>
          </w:tcPr>
          <w:p w14:paraId="4F3D49FB">
            <w:pPr>
              <w:spacing w:before="82" w:line="193" w:lineRule="auto"/>
              <w:ind w:left="29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22093014</w:t>
            </w:r>
          </w:p>
        </w:tc>
        <w:tc>
          <w:tcPr>
            <w:tcW w:w="1078" w:type="dxa"/>
            <w:vAlign w:val="top"/>
          </w:tcPr>
          <w:p w14:paraId="7C6BD837">
            <w:pPr>
              <w:spacing w:before="82" w:line="193" w:lineRule="auto"/>
              <w:ind w:left="366"/>
              <w:rPr>
                <w:rFonts w:ascii="Times New Roman" w:hAnsi="Times New Roman" w:eastAsia="Times New Roman" w:cs="Times New Roman"/>
                <w:sz w:val="20"/>
                <w:szCs w:val="20"/>
              </w:rPr>
            </w:pPr>
            <w:r>
              <w:rPr>
                <w:rFonts w:ascii="Times New Roman" w:hAnsi="Times New Roman" w:eastAsia="Times New Roman" w:cs="Times New Roman"/>
                <w:sz w:val="20"/>
                <w:szCs w:val="20"/>
              </w:rPr>
              <w:t>8.72</w:t>
            </w:r>
          </w:p>
        </w:tc>
        <w:tc>
          <w:tcPr>
            <w:tcW w:w="936" w:type="dxa"/>
            <w:tcBorders>
              <w:right w:val="nil"/>
            </w:tcBorders>
            <w:vAlign w:val="top"/>
          </w:tcPr>
          <w:p w14:paraId="7313E9CB">
            <w:pPr>
              <w:pStyle w:val="6"/>
              <w:spacing w:before="46" w:line="204" w:lineRule="auto"/>
              <w:ind w:left="266"/>
              <w:rPr>
                <w:sz w:val="20"/>
                <w:szCs w:val="20"/>
              </w:rPr>
            </w:pPr>
            <w:r>
              <w:rPr>
                <w:spacing w:val="5"/>
                <w:sz w:val="20"/>
                <w:szCs w:val="20"/>
              </w:rPr>
              <w:t>达标</w:t>
            </w:r>
          </w:p>
        </w:tc>
      </w:tr>
      <w:tr w14:paraId="1AC3CE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30" w:type="dxa"/>
            <w:vMerge w:val="continue"/>
            <w:tcBorders>
              <w:top w:val="nil"/>
              <w:left w:val="nil"/>
              <w:bottom w:val="nil"/>
            </w:tcBorders>
            <w:vAlign w:val="top"/>
          </w:tcPr>
          <w:p w14:paraId="26F9A1F6">
            <w:pPr>
              <w:rPr>
                <w:rFonts w:ascii="Arial"/>
                <w:sz w:val="21"/>
              </w:rPr>
            </w:pPr>
          </w:p>
        </w:tc>
        <w:tc>
          <w:tcPr>
            <w:tcW w:w="1436" w:type="dxa"/>
            <w:vMerge w:val="continue"/>
            <w:tcBorders>
              <w:top w:val="nil"/>
              <w:bottom w:val="nil"/>
            </w:tcBorders>
            <w:vAlign w:val="top"/>
          </w:tcPr>
          <w:p w14:paraId="0F0993FF">
            <w:pPr>
              <w:rPr>
                <w:rFonts w:ascii="Arial"/>
                <w:sz w:val="21"/>
              </w:rPr>
            </w:pPr>
          </w:p>
        </w:tc>
        <w:tc>
          <w:tcPr>
            <w:tcW w:w="1318" w:type="dxa"/>
            <w:vAlign w:val="top"/>
          </w:tcPr>
          <w:p w14:paraId="652DF37B">
            <w:pPr>
              <w:pStyle w:val="6"/>
              <w:spacing w:before="43" w:line="205" w:lineRule="auto"/>
              <w:ind w:left="385"/>
              <w:rPr>
                <w:sz w:val="20"/>
                <w:szCs w:val="20"/>
              </w:rPr>
            </w:pPr>
            <w:r>
              <w:rPr>
                <w:spacing w:val="-6"/>
                <w:sz w:val="20"/>
                <w:szCs w:val="20"/>
              </w:rPr>
              <w:t>日均值</w:t>
            </w:r>
          </w:p>
        </w:tc>
        <w:tc>
          <w:tcPr>
            <w:tcW w:w="2041" w:type="dxa"/>
            <w:vAlign w:val="top"/>
          </w:tcPr>
          <w:p w14:paraId="123F5A57">
            <w:pPr>
              <w:spacing w:before="80" w:line="194" w:lineRule="auto"/>
              <w:ind w:left="6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3.87969</w:t>
            </w:r>
          </w:p>
        </w:tc>
        <w:tc>
          <w:tcPr>
            <w:tcW w:w="1436" w:type="dxa"/>
            <w:vAlign w:val="top"/>
          </w:tcPr>
          <w:p w14:paraId="3FBF049A">
            <w:pPr>
              <w:spacing w:before="80" w:line="194"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220909</w:t>
            </w:r>
          </w:p>
        </w:tc>
        <w:tc>
          <w:tcPr>
            <w:tcW w:w="1078" w:type="dxa"/>
            <w:vAlign w:val="top"/>
          </w:tcPr>
          <w:p w14:paraId="0D202456">
            <w:pPr>
              <w:spacing w:before="80" w:line="194" w:lineRule="auto"/>
              <w:ind w:left="35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4.85</w:t>
            </w:r>
          </w:p>
        </w:tc>
        <w:tc>
          <w:tcPr>
            <w:tcW w:w="936" w:type="dxa"/>
            <w:tcBorders>
              <w:right w:val="nil"/>
            </w:tcBorders>
            <w:vAlign w:val="top"/>
          </w:tcPr>
          <w:p w14:paraId="3F4BA54B">
            <w:pPr>
              <w:pStyle w:val="6"/>
              <w:spacing w:before="43" w:line="205" w:lineRule="auto"/>
              <w:ind w:left="266"/>
              <w:rPr>
                <w:sz w:val="20"/>
                <w:szCs w:val="20"/>
              </w:rPr>
            </w:pPr>
            <w:r>
              <w:rPr>
                <w:spacing w:val="5"/>
                <w:sz w:val="20"/>
                <w:szCs w:val="20"/>
              </w:rPr>
              <w:t>达标</w:t>
            </w:r>
          </w:p>
        </w:tc>
      </w:tr>
      <w:tr w14:paraId="3CD2D5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712A30A3">
            <w:pPr>
              <w:rPr>
                <w:rFonts w:ascii="Arial"/>
                <w:sz w:val="21"/>
              </w:rPr>
            </w:pPr>
          </w:p>
        </w:tc>
        <w:tc>
          <w:tcPr>
            <w:tcW w:w="1436" w:type="dxa"/>
            <w:vMerge w:val="continue"/>
            <w:tcBorders>
              <w:top w:val="nil"/>
            </w:tcBorders>
            <w:vAlign w:val="top"/>
          </w:tcPr>
          <w:p w14:paraId="26FF66F7">
            <w:pPr>
              <w:rPr>
                <w:rFonts w:ascii="Arial"/>
                <w:sz w:val="21"/>
              </w:rPr>
            </w:pPr>
          </w:p>
        </w:tc>
        <w:tc>
          <w:tcPr>
            <w:tcW w:w="1318" w:type="dxa"/>
            <w:vAlign w:val="top"/>
          </w:tcPr>
          <w:p w14:paraId="7B5ED631">
            <w:pPr>
              <w:pStyle w:val="6"/>
              <w:spacing w:before="46" w:line="204" w:lineRule="auto"/>
              <w:ind w:left="350"/>
              <w:rPr>
                <w:sz w:val="20"/>
                <w:szCs w:val="20"/>
              </w:rPr>
            </w:pPr>
            <w:r>
              <w:rPr>
                <w:spacing w:val="6"/>
                <w:sz w:val="20"/>
                <w:szCs w:val="20"/>
              </w:rPr>
              <w:t>年平均</w:t>
            </w:r>
          </w:p>
        </w:tc>
        <w:tc>
          <w:tcPr>
            <w:tcW w:w="2041" w:type="dxa"/>
            <w:vAlign w:val="top"/>
          </w:tcPr>
          <w:p w14:paraId="284C4A0D">
            <w:pPr>
              <w:spacing w:before="83" w:line="192"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0.70256</w:t>
            </w:r>
          </w:p>
        </w:tc>
        <w:tc>
          <w:tcPr>
            <w:tcW w:w="1436" w:type="dxa"/>
            <w:vAlign w:val="top"/>
          </w:tcPr>
          <w:p w14:paraId="2546F667">
            <w:pPr>
              <w:pStyle w:val="6"/>
              <w:spacing w:before="46" w:line="204" w:lineRule="auto"/>
              <w:ind w:left="407"/>
              <w:rPr>
                <w:sz w:val="20"/>
                <w:szCs w:val="20"/>
              </w:rPr>
            </w:pPr>
            <w:r>
              <w:rPr>
                <w:spacing w:val="7"/>
                <w:sz w:val="20"/>
                <w:szCs w:val="20"/>
              </w:rPr>
              <w:t>平均值</w:t>
            </w:r>
          </w:p>
        </w:tc>
        <w:tc>
          <w:tcPr>
            <w:tcW w:w="1078" w:type="dxa"/>
            <w:vAlign w:val="top"/>
          </w:tcPr>
          <w:p w14:paraId="607967AB">
            <w:pPr>
              <w:spacing w:before="83" w:line="192" w:lineRule="auto"/>
              <w:ind w:left="3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1.76</w:t>
            </w:r>
          </w:p>
        </w:tc>
        <w:tc>
          <w:tcPr>
            <w:tcW w:w="936" w:type="dxa"/>
            <w:tcBorders>
              <w:right w:val="nil"/>
            </w:tcBorders>
            <w:vAlign w:val="top"/>
          </w:tcPr>
          <w:p w14:paraId="2E0F4E06">
            <w:pPr>
              <w:pStyle w:val="6"/>
              <w:spacing w:before="46" w:line="204" w:lineRule="auto"/>
              <w:ind w:left="266"/>
              <w:rPr>
                <w:sz w:val="20"/>
                <w:szCs w:val="20"/>
              </w:rPr>
            </w:pPr>
            <w:r>
              <w:rPr>
                <w:spacing w:val="5"/>
                <w:sz w:val="20"/>
                <w:szCs w:val="20"/>
              </w:rPr>
              <w:t>达标</w:t>
            </w:r>
          </w:p>
        </w:tc>
      </w:tr>
      <w:tr w14:paraId="350119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3B1415AB">
            <w:pPr>
              <w:rPr>
                <w:rFonts w:ascii="Arial"/>
                <w:sz w:val="21"/>
              </w:rPr>
            </w:pPr>
          </w:p>
        </w:tc>
        <w:tc>
          <w:tcPr>
            <w:tcW w:w="1436" w:type="dxa"/>
            <w:vMerge w:val="restart"/>
            <w:tcBorders>
              <w:bottom w:val="nil"/>
            </w:tcBorders>
            <w:vAlign w:val="top"/>
          </w:tcPr>
          <w:p w14:paraId="456A1551">
            <w:pPr>
              <w:spacing w:line="262" w:lineRule="auto"/>
              <w:rPr>
                <w:rFonts w:ascii="Arial"/>
                <w:sz w:val="21"/>
              </w:rPr>
            </w:pPr>
          </w:p>
          <w:p w14:paraId="08120D9F">
            <w:pPr>
              <w:pStyle w:val="6"/>
              <w:spacing w:before="65" w:line="228" w:lineRule="auto"/>
              <w:ind w:left="115"/>
              <w:rPr>
                <w:sz w:val="20"/>
                <w:szCs w:val="20"/>
              </w:rPr>
            </w:pPr>
            <w:r>
              <w:rPr>
                <w:spacing w:val="4"/>
                <w:sz w:val="20"/>
                <w:szCs w:val="20"/>
              </w:rPr>
              <w:t>巴润阿木斯尔</w:t>
            </w:r>
          </w:p>
        </w:tc>
        <w:tc>
          <w:tcPr>
            <w:tcW w:w="1318" w:type="dxa"/>
            <w:vAlign w:val="top"/>
          </w:tcPr>
          <w:p w14:paraId="76AABCF3">
            <w:pPr>
              <w:pStyle w:val="6"/>
              <w:spacing w:before="48" w:line="202" w:lineRule="auto"/>
              <w:ind w:left="39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spacing w:val="-6"/>
                <w:sz w:val="20"/>
                <w:szCs w:val="20"/>
              </w:rPr>
              <w:t>小时</w:t>
            </w:r>
          </w:p>
        </w:tc>
        <w:tc>
          <w:tcPr>
            <w:tcW w:w="2041" w:type="dxa"/>
            <w:vAlign w:val="top"/>
          </w:tcPr>
          <w:p w14:paraId="4FDC50FF">
            <w:pPr>
              <w:spacing w:before="83" w:line="191" w:lineRule="auto"/>
              <w:ind w:left="6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30.06716</w:t>
            </w:r>
          </w:p>
        </w:tc>
        <w:tc>
          <w:tcPr>
            <w:tcW w:w="1436" w:type="dxa"/>
            <w:vAlign w:val="top"/>
          </w:tcPr>
          <w:p w14:paraId="0DA2C40D">
            <w:pPr>
              <w:spacing w:before="83" w:line="191" w:lineRule="auto"/>
              <w:ind w:left="29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22041714</w:t>
            </w:r>
          </w:p>
        </w:tc>
        <w:tc>
          <w:tcPr>
            <w:tcW w:w="1078" w:type="dxa"/>
            <w:vAlign w:val="top"/>
          </w:tcPr>
          <w:p w14:paraId="6FFB105A">
            <w:pPr>
              <w:spacing w:before="83" w:line="191" w:lineRule="auto"/>
              <w:ind w:left="32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15.03</w:t>
            </w:r>
          </w:p>
        </w:tc>
        <w:tc>
          <w:tcPr>
            <w:tcW w:w="936" w:type="dxa"/>
            <w:tcBorders>
              <w:right w:val="nil"/>
            </w:tcBorders>
            <w:vAlign w:val="top"/>
          </w:tcPr>
          <w:p w14:paraId="7B605148">
            <w:pPr>
              <w:pStyle w:val="6"/>
              <w:spacing w:before="48" w:line="202" w:lineRule="auto"/>
              <w:ind w:left="266"/>
              <w:rPr>
                <w:sz w:val="20"/>
                <w:szCs w:val="20"/>
              </w:rPr>
            </w:pPr>
            <w:r>
              <w:rPr>
                <w:spacing w:val="5"/>
                <w:sz w:val="20"/>
                <w:szCs w:val="20"/>
              </w:rPr>
              <w:t>达标</w:t>
            </w:r>
          </w:p>
        </w:tc>
      </w:tr>
      <w:tr w14:paraId="256D5F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05B5DDF0">
            <w:pPr>
              <w:rPr>
                <w:rFonts w:ascii="Arial"/>
                <w:sz w:val="21"/>
              </w:rPr>
            </w:pPr>
          </w:p>
        </w:tc>
        <w:tc>
          <w:tcPr>
            <w:tcW w:w="1436" w:type="dxa"/>
            <w:vMerge w:val="continue"/>
            <w:tcBorders>
              <w:top w:val="nil"/>
              <w:bottom w:val="nil"/>
            </w:tcBorders>
            <w:vAlign w:val="top"/>
          </w:tcPr>
          <w:p w14:paraId="4031B21C">
            <w:pPr>
              <w:rPr>
                <w:rFonts w:ascii="Arial"/>
                <w:sz w:val="21"/>
              </w:rPr>
            </w:pPr>
          </w:p>
        </w:tc>
        <w:tc>
          <w:tcPr>
            <w:tcW w:w="1318" w:type="dxa"/>
            <w:vAlign w:val="top"/>
          </w:tcPr>
          <w:p w14:paraId="1A8FE6CC">
            <w:pPr>
              <w:pStyle w:val="6"/>
              <w:spacing w:before="46" w:line="204" w:lineRule="auto"/>
              <w:ind w:left="385"/>
              <w:rPr>
                <w:sz w:val="20"/>
                <w:szCs w:val="20"/>
              </w:rPr>
            </w:pPr>
            <w:r>
              <w:rPr>
                <w:spacing w:val="-6"/>
                <w:sz w:val="20"/>
                <w:szCs w:val="20"/>
              </w:rPr>
              <w:t>日均值</w:t>
            </w:r>
          </w:p>
        </w:tc>
        <w:tc>
          <w:tcPr>
            <w:tcW w:w="2041" w:type="dxa"/>
            <w:vAlign w:val="top"/>
          </w:tcPr>
          <w:p w14:paraId="1280D464">
            <w:pPr>
              <w:spacing w:before="83" w:line="192" w:lineRule="auto"/>
              <w:ind w:left="6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5.28056</w:t>
            </w:r>
          </w:p>
        </w:tc>
        <w:tc>
          <w:tcPr>
            <w:tcW w:w="1436" w:type="dxa"/>
            <w:vAlign w:val="top"/>
          </w:tcPr>
          <w:p w14:paraId="00828D96">
            <w:pPr>
              <w:spacing w:before="83" w:line="192"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220904</w:t>
            </w:r>
          </w:p>
        </w:tc>
        <w:tc>
          <w:tcPr>
            <w:tcW w:w="1078" w:type="dxa"/>
            <w:vAlign w:val="top"/>
          </w:tcPr>
          <w:p w14:paraId="4DBFFF4F">
            <w:pPr>
              <w:spacing w:before="83" w:line="192" w:lineRule="auto"/>
              <w:ind w:left="36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6.60</w:t>
            </w:r>
          </w:p>
        </w:tc>
        <w:tc>
          <w:tcPr>
            <w:tcW w:w="936" w:type="dxa"/>
            <w:tcBorders>
              <w:right w:val="nil"/>
            </w:tcBorders>
            <w:vAlign w:val="top"/>
          </w:tcPr>
          <w:p w14:paraId="4B9F2A57">
            <w:pPr>
              <w:pStyle w:val="6"/>
              <w:spacing w:before="46" w:line="204" w:lineRule="auto"/>
              <w:ind w:left="266"/>
              <w:rPr>
                <w:sz w:val="20"/>
                <w:szCs w:val="20"/>
              </w:rPr>
            </w:pPr>
            <w:r>
              <w:rPr>
                <w:spacing w:val="5"/>
                <w:sz w:val="20"/>
                <w:szCs w:val="20"/>
              </w:rPr>
              <w:t>达标</w:t>
            </w:r>
          </w:p>
        </w:tc>
      </w:tr>
      <w:tr w14:paraId="58891F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30" w:type="dxa"/>
            <w:vMerge w:val="continue"/>
            <w:tcBorders>
              <w:top w:val="nil"/>
              <w:left w:val="nil"/>
              <w:bottom w:val="nil"/>
            </w:tcBorders>
            <w:vAlign w:val="top"/>
          </w:tcPr>
          <w:p w14:paraId="574E4544">
            <w:pPr>
              <w:rPr>
                <w:rFonts w:ascii="Arial"/>
                <w:sz w:val="21"/>
              </w:rPr>
            </w:pPr>
          </w:p>
        </w:tc>
        <w:tc>
          <w:tcPr>
            <w:tcW w:w="1436" w:type="dxa"/>
            <w:vMerge w:val="continue"/>
            <w:tcBorders>
              <w:top w:val="nil"/>
            </w:tcBorders>
            <w:vAlign w:val="top"/>
          </w:tcPr>
          <w:p w14:paraId="2B1401D6">
            <w:pPr>
              <w:rPr>
                <w:rFonts w:ascii="Arial"/>
                <w:sz w:val="21"/>
              </w:rPr>
            </w:pPr>
          </w:p>
        </w:tc>
        <w:tc>
          <w:tcPr>
            <w:tcW w:w="1318" w:type="dxa"/>
            <w:vAlign w:val="top"/>
          </w:tcPr>
          <w:p w14:paraId="20569054">
            <w:pPr>
              <w:pStyle w:val="6"/>
              <w:spacing w:before="47" w:line="202" w:lineRule="auto"/>
              <w:ind w:left="350"/>
              <w:rPr>
                <w:sz w:val="20"/>
                <w:szCs w:val="20"/>
              </w:rPr>
            </w:pPr>
            <w:r>
              <w:rPr>
                <w:spacing w:val="6"/>
                <w:sz w:val="20"/>
                <w:szCs w:val="20"/>
              </w:rPr>
              <w:t>年平均</w:t>
            </w:r>
          </w:p>
        </w:tc>
        <w:tc>
          <w:tcPr>
            <w:tcW w:w="2041" w:type="dxa"/>
            <w:vAlign w:val="top"/>
          </w:tcPr>
          <w:p w14:paraId="6FC53AE0">
            <w:pPr>
              <w:spacing w:before="83" w:line="190"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0.39207</w:t>
            </w:r>
          </w:p>
        </w:tc>
        <w:tc>
          <w:tcPr>
            <w:tcW w:w="1436" w:type="dxa"/>
            <w:vAlign w:val="top"/>
          </w:tcPr>
          <w:p w14:paraId="466CCE45">
            <w:pPr>
              <w:pStyle w:val="6"/>
              <w:spacing w:before="47" w:line="202" w:lineRule="auto"/>
              <w:ind w:left="407"/>
              <w:rPr>
                <w:sz w:val="20"/>
                <w:szCs w:val="20"/>
              </w:rPr>
            </w:pPr>
            <w:r>
              <w:rPr>
                <w:spacing w:val="7"/>
                <w:sz w:val="20"/>
                <w:szCs w:val="20"/>
              </w:rPr>
              <w:t>平均值</w:t>
            </w:r>
          </w:p>
        </w:tc>
        <w:tc>
          <w:tcPr>
            <w:tcW w:w="1078" w:type="dxa"/>
            <w:vAlign w:val="top"/>
          </w:tcPr>
          <w:p w14:paraId="16BD3929">
            <w:pPr>
              <w:spacing w:before="83" w:line="190"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0.98</w:t>
            </w:r>
          </w:p>
        </w:tc>
        <w:tc>
          <w:tcPr>
            <w:tcW w:w="936" w:type="dxa"/>
            <w:tcBorders>
              <w:right w:val="nil"/>
            </w:tcBorders>
            <w:vAlign w:val="top"/>
          </w:tcPr>
          <w:p w14:paraId="664C3E57">
            <w:pPr>
              <w:pStyle w:val="6"/>
              <w:spacing w:before="47" w:line="202" w:lineRule="auto"/>
              <w:ind w:left="266"/>
              <w:rPr>
                <w:sz w:val="20"/>
                <w:szCs w:val="20"/>
              </w:rPr>
            </w:pPr>
            <w:r>
              <w:rPr>
                <w:spacing w:val="5"/>
                <w:sz w:val="20"/>
                <w:szCs w:val="20"/>
              </w:rPr>
              <w:t>达标</w:t>
            </w:r>
          </w:p>
        </w:tc>
      </w:tr>
      <w:tr w14:paraId="4ABC18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725BCBA6">
            <w:pPr>
              <w:rPr>
                <w:rFonts w:ascii="Arial"/>
                <w:sz w:val="21"/>
              </w:rPr>
            </w:pPr>
          </w:p>
        </w:tc>
        <w:tc>
          <w:tcPr>
            <w:tcW w:w="1436" w:type="dxa"/>
            <w:vMerge w:val="restart"/>
            <w:tcBorders>
              <w:bottom w:val="nil"/>
            </w:tcBorders>
            <w:vAlign w:val="top"/>
          </w:tcPr>
          <w:p w14:paraId="5364ADA5">
            <w:pPr>
              <w:pStyle w:val="6"/>
              <w:spacing w:before="196" w:line="239" w:lineRule="auto"/>
              <w:ind w:left="9" w:firstLine="98"/>
              <w:rPr>
                <w:sz w:val="20"/>
                <w:szCs w:val="20"/>
              </w:rPr>
            </w:pPr>
            <w:r>
              <w:rPr>
                <w:spacing w:val="2"/>
                <w:sz w:val="20"/>
                <w:szCs w:val="20"/>
              </w:rPr>
              <w:t>区域最大落地</w:t>
            </w:r>
            <w:r>
              <w:rPr>
                <w:spacing w:val="1"/>
                <w:sz w:val="20"/>
                <w:szCs w:val="20"/>
              </w:rPr>
              <w:t xml:space="preserve">  </w:t>
            </w:r>
            <w:r>
              <w:rPr>
                <w:spacing w:val="3"/>
                <w:sz w:val="20"/>
                <w:szCs w:val="20"/>
              </w:rPr>
              <w:t>浓度（网格点）</w:t>
            </w:r>
          </w:p>
        </w:tc>
        <w:tc>
          <w:tcPr>
            <w:tcW w:w="1318" w:type="dxa"/>
            <w:vAlign w:val="top"/>
          </w:tcPr>
          <w:p w14:paraId="11C8F1FB">
            <w:pPr>
              <w:pStyle w:val="6"/>
              <w:spacing w:before="50" w:line="200" w:lineRule="auto"/>
              <w:ind w:left="39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spacing w:val="-6"/>
                <w:sz w:val="20"/>
                <w:szCs w:val="20"/>
              </w:rPr>
              <w:t>小时</w:t>
            </w:r>
          </w:p>
        </w:tc>
        <w:tc>
          <w:tcPr>
            <w:tcW w:w="2041" w:type="dxa"/>
            <w:vAlign w:val="top"/>
          </w:tcPr>
          <w:p w14:paraId="54E3F5FC">
            <w:pPr>
              <w:spacing w:before="85" w:line="189" w:lineRule="auto"/>
              <w:ind w:left="6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88.7208</w:t>
            </w:r>
          </w:p>
        </w:tc>
        <w:tc>
          <w:tcPr>
            <w:tcW w:w="1436" w:type="dxa"/>
            <w:vAlign w:val="top"/>
          </w:tcPr>
          <w:p w14:paraId="1BF3FECD">
            <w:pPr>
              <w:spacing w:before="85" w:line="189" w:lineRule="auto"/>
              <w:ind w:left="30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22072411</w:t>
            </w:r>
          </w:p>
        </w:tc>
        <w:tc>
          <w:tcPr>
            <w:tcW w:w="1078" w:type="dxa"/>
            <w:vAlign w:val="top"/>
          </w:tcPr>
          <w:p w14:paraId="3B132DC7">
            <w:pPr>
              <w:spacing w:before="85" w:line="189" w:lineRule="auto"/>
              <w:ind w:left="3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44.36</w:t>
            </w:r>
          </w:p>
        </w:tc>
        <w:tc>
          <w:tcPr>
            <w:tcW w:w="936" w:type="dxa"/>
            <w:tcBorders>
              <w:right w:val="nil"/>
            </w:tcBorders>
            <w:vAlign w:val="top"/>
          </w:tcPr>
          <w:p w14:paraId="126FA11B">
            <w:pPr>
              <w:pStyle w:val="6"/>
              <w:spacing w:before="50" w:line="200" w:lineRule="auto"/>
              <w:ind w:left="266"/>
              <w:rPr>
                <w:sz w:val="20"/>
                <w:szCs w:val="20"/>
              </w:rPr>
            </w:pPr>
            <w:r>
              <w:rPr>
                <w:spacing w:val="5"/>
                <w:sz w:val="20"/>
                <w:szCs w:val="20"/>
              </w:rPr>
              <w:t>达标</w:t>
            </w:r>
          </w:p>
        </w:tc>
      </w:tr>
      <w:tr w14:paraId="0D5C4A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30" w:type="dxa"/>
            <w:vMerge w:val="continue"/>
            <w:tcBorders>
              <w:top w:val="nil"/>
              <w:left w:val="nil"/>
              <w:bottom w:val="nil"/>
            </w:tcBorders>
            <w:vAlign w:val="top"/>
          </w:tcPr>
          <w:p w14:paraId="7B04B341">
            <w:pPr>
              <w:rPr>
                <w:rFonts w:ascii="Arial"/>
                <w:sz w:val="21"/>
              </w:rPr>
            </w:pPr>
          </w:p>
        </w:tc>
        <w:tc>
          <w:tcPr>
            <w:tcW w:w="1436" w:type="dxa"/>
            <w:vMerge w:val="continue"/>
            <w:tcBorders>
              <w:top w:val="nil"/>
              <w:bottom w:val="nil"/>
            </w:tcBorders>
            <w:vAlign w:val="top"/>
          </w:tcPr>
          <w:p w14:paraId="41AF17A0">
            <w:pPr>
              <w:rPr>
                <w:rFonts w:ascii="Arial"/>
                <w:sz w:val="21"/>
              </w:rPr>
            </w:pPr>
          </w:p>
        </w:tc>
        <w:tc>
          <w:tcPr>
            <w:tcW w:w="1318" w:type="dxa"/>
            <w:vAlign w:val="top"/>
          </w:tcPr>
          <w:p w14:paraId="7129DFD5">
            <w:pPr>
              <w:pStyle w:val="6"/>
              <w:spacing w:before="48" w:line="201" w:lineRule="auto"/>
              <w:ind w:left="385"/>
              <w:rPr>
                <w:sz w:val="20"/>
                <w:szCs w:val="20"/>
              </w:rPr>
            </w:pPr>
            <w:r>
              <w:rPr>
                <w:spacing w:val="-6"/>
                <w:sz w:val="20"/>
                <w:szCs w:val="20"/>
              </w:rPr>
              <w:t>日均值</w:t>
            </w:r>
          </w:p>
        </w:tc>
        <w:tc>
          <w:tcPr>
            <w:tcW w:w="2041" w:type="dxa"/>
            <w:vAlign w:val="top"/>
          </w:tcPr>
          <w:p w14:paraId="4B8AD94B">
            <w:pPr>
              <w:spacing w:before="84" w:line="189" w:lineRule="auto"/>
              <w:ind w:left="64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18.58449</w:t>
            </w:r>
          </w:p>
        </w:tc>
        <w:tc>
          <w:tcPr>
            <w:tcW w:w="1436" w:type="dxa"/>
            <w:vAlign w:val="top"/>
          </w:tcPr>
          <w:p w14:paraId="0FCAC16E">
            <w:pPr>
              <w:spacing w:before="84" w:line="189" w:lineRule="auto"/>
              <w:ind w:left="4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220811</w:t>
            </w:r>
          </w:p>
        </w:tc>
        <w:tc>
          <w:tcPr>
            <w:tcW w:w="1078" w:type="dxa"/>
            <w:vAlign w:val="top"/>
          </w:tcPr>
          <w:p w14:paraId="79F1DDE2">
            <w:pPr>
              <w:spacing w:before="84" w:line="189" w:lineRule="auto"/>
              <w:ind w:left="30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23.23</w:t>
            </w:r>
          </w:p>
        </w:tc>
        <w:tc>
          <w:tcPr>
            <w:tcW w:w="936" w:type="dxa"/>
            <w:tcBorders>
              <w:right w:val="nil"/>
            </w:tcBorders>
            <w:vAlign w:val="top"/>
          </w:tcPr>
          <w:p w14:paraId="49048D18">
            <w:pPr>
              <w:pStyle w:val="6"/>
              <w:spacing w:before="48" w:line="201" w:lineRule="auto"/>
              <w:ind w:left="266"/>
              <w:rPr>
                <w:sz w:val="20"/>
                <w:szCs w:val="20"/>
              </w:rPr>
            </w:pPr>
            <w:r>
              <w:rPr>
                <w:spacing w:val="5"/>
                <w:sz w:val="20"/>
                <w:szCs w:val="20"/>
              </w:rPr>
              <w:t>达标</w:t>
            </w:r>
          </w:p>
        </w:tc>
      </w:tr>
      <w:tr w14:paraId="0D9DC6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30" w:type="dxa"/>
            <w:vMerge w:val="continue"/>
            <w:tcBorders>
              <w:top w:val="nil"/>
              <w:left w:val="nil"/>
            </w:tcBorders>
            <w:vAlign w:val="top"/>
          </w:tcPr>
          <w:p w14:paraId="1C665A6E">
            <w:pPr>
              <w:rPr>
                <w:rFonts w:ascii="Arial"/>
                <w:sz w:val="21"/>
              </w:rPr>
            </w:pPr>
          </w:p>
        </w:tc>
        <w:tc>
          <w:tcPr>
            <w:tcW w:w="1436" w:type="dxa"/>
            <w:vMerge w:val="continue"/>
            <w:tcBorders>
              <w:top w:val="nil"/>
            </w:tcBorders>
            <w:vAlign w:val="top"/>
          </w:tcPr>
          <w:p w14:paraId="3CB5FD7C">
            <w:pPr>
              <w:rPr>
                <w:rFonts w:ascii="Arial"/>
                <w:sz w:val="21"/>
              </w:rPr>
            </w:pPr>
          </w:p>
        </w:tc>
        <w:tc>
          <w:tcPr>
            <w:tcW w:w="1318" w:type="dxa"/>
            <w:vAlign w:val="top"/>
          </w:tcPr>
          <w:p w14:paraId="4393B6FC">
            <w:pPr>
              <w:pStyle w:val="6"/>
              <w:spacing w:before="50" w:line="199" w:lineRule="auto"/>
              <w:ind w:left="350"/>
              <w:rPr>
                <w:sz w:val="20"/>
                <w:szCs w:val="20"/>
              </w:rPr>
            </w:pPr>
            <w:r>
              <w:rPr>
                <w:spacing w:val="6"/>
                <w:sz w:val="20"/>
                <w:szCs w:val="20"/>
              </w:rPr>
              <w:t>年平均</w:t>
            </w:r>
          </w:p>
        </w:tc>
        <w:tc>
          <w:tcPr>
            <w:tcW w:w="2041" w:type="dxa"/>
            <w:vAlign w:val="top"/>
          </w:tcPr>
          <w:p w14:paraId="3E35C24C">
            <w:pPr>
              <w:spacing w:before="86" w:line="187" w:lineRule="auto"/>
              <w:ind w:left="68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2.84059</w:t>
            </w:r>
          </w:p>
        </w:tc>
        <w:tc>
          <w:tcPr>
            <w:tcW w:w="1436" w:type="dxa"/>
            <w:vAlign w:val="top"/>
          </w:tcPr>
          <w:p w14:paraId="7BB18134">
            <w:pPr>
              <w:pStyle w:val="6"/>
              <w:spacing w:before="50" w:line="199" w:lineRule="auto"/>
              <w:ind w:left="407"/>
              <w:rPr>
                <w:sz w:val="20"/>
                <w:szCs w:val="20"/>
              </w:rPr>
            </w:pPr>
            <w:r>
              <w:rPr>
                <w:spacing w:val="7"/>
                <w:sz w:val="20"/>
                <w:szCs w:val="20"/>
              </w:rPr>
              <w:t>平均值</w:t>
            </w:r>
          </w:p>
        </w:tc>
        <w:tc>
          <w:tcPr>
            <w:tcW w:w="1078" w:type="dxa"/>
            <w:vAlign w:val="top"/>
          </w:tcPr>
          <w:p w14:paraId="45648A23">
            <w:pPr>
              <w:spacing w:before="86" w:line="187"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7.10</w:t>
            </w:r>
          </w:p>
        </w:tc>
        <w:tc>
          <w:tcPr>
            <w:tcW w:w="936" w:type="dxa"/>
            <w:tcBorders>
              <w:right w:val="nil"/>
            </w:tcBorders>
            <w:vAlign w:val="top"/>
          </w:tcPr>
          <w:p w14:paraId="02F67826">
            <w:pPr>
              <w:pStyle w:val="6"/>
              <w:spacing w:before="50" w:line="199" w:lineRule="auto"/>
              <w:ind w:left="266"/>
              <w:rPr>
                <w:sz w:val="20"/>
                <w:szCs w:val="20"/>
              </w:rPr>
            </w:pPr>
            <w:r>
              <w:rPr>
                <w:spacing w:val="5"/>
                <w:sz w:val="20"/>
                <w:szCs w:val="20"/>
              </w:rPr>
              <w:t>达标</w:t>
            </w:r>
          </w:p>
        </w:tc>
      </w:tr>
      <w:tr w14:paraId="4EB73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restart"/>
            <w:tcBorders>
              <w:left w:val="nil"/>
              <w:bottom w:val="nil"/>
            </w:tcBorders>
            <w:vAlign w:val="top"/>
          </w:tcPr>
          <w:p w14:paraId="32BD8925">
            <w:pPr>
              <w:spacing w:line="244" w:lineRule="auto"/>
              <w:rPr>
                <w:rFonts w:ascii="Arial"/>
                <w:sz w:val="21"/>
              </w:rPr>
            </w:pPr>
          </w:p>
          <w:p w14:paraId="47803F65">
            <w:pPr>
              <w:spacing w:line="244" w:lineRule="auto"/>
              <w:rPr>
                <w:rFonts w:ascii="Arial"/>
                <w:sz w:val="21"/>
              </w:rPr>
            </w:pPr>
          </w:p>
          <w:p w14:paraId="10C13D08">
            <w:pPr>
              <w:spacing w:line="244" w:lineRule="auto"/>
              <w:rPr>
                <w:rFonts w:ascii="Arial"/>
                <w:sz w:val="21"/>
              </w:rPr>
            </w:pPr>
          </w:p>
          <w:p w14:paraId="0D6CFA2D">
            <w:pPr>
              <w:spacing w:before="57" w:line="195"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TSP</w:t>
            </w:r>
          </w:p>
        </w:tc>
        <w:tc>
          <w:tcPr>
            <w:tcW w:w="1436" w:type="dxa"/>
            <w:vMerge w:val="restart"/>
            <w:tcBorders>
              <w:bottom w:val="nil"/>
            </w:tcBorders>
            <w:vAlign w:val="top"/>
          </w:tcPr>
          <w:p w14:paraId="2C32F3D9">
            <w:pPr>
              <w:pStyle w:val="6"/>
              <w:spacing w:before="191" w:line="228" w:lineRule="auto"/>
              <w:ind w:left="306"/>
              <w:rPr>
                <w:sz w:val="20"/>
                <w:szCs w:val="20"/>
              </w:rPr>
            </w:pPr>
            <w:r>
              <w:rPr>
                <w:spacing w:val="6"/>
                <w:sz w:val="20"/>
                <w:szCs w:val="20"/>
              </w:rPr>
              <w:t>温都尔庙</w:t>
            </w:r>
          </w:p>
        </w:tc>
        <w:tc>
          <w:tcPr>
            <w:tcW w:w="1318" w:type="dxa"/>
            <w:vAlign w:val="top"/>
          </w:tcPr>
          <w:p w14:paraId="0670F286">
            <w:pPr>
              <w:pStyle w:val="6"/>
              <w:spacing w:before="53" w:line="197" w:lineRule="auto"/>
              <w:ind w:left="385"/>
              <w:rPr>
                <w:sz w:val="20"/>
                <w:szCs w:val="20"/>
              </w:rPr>
            </w:pPr>
            <w:r>
              <w:rPr>
                <w:spacing w:val="-6"/>
                <w:sz w:val="20"/>
                <w:szCs w:val="20"/>
              </w:rPr>
              <w:t>日均值</w:t>
            </w:r>
          </w:p>
        </w:tc>
        <w:tc>
          <w:tcPr>
            <w:tcW w:w="2041" w:type="dxa"/>
            <w:vAlign w:val="top"/>
          </w:tcPr>
          <w:p w14:paraId="52946547">
            <w:pPr>
              <w:spacing w:before="88" w:line="186" w:lineRule="auto"/>
              <w:ind w:left="70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1.31512</w:t>
            </w:r>
          </w:p>
        </w:tc>
        <w:tc>
          <w:tcPr>
            <w:tcW w:w="1436" w:type="dxa"/>
            <w:vAlign w:val="top"/>
          </w:tcPr>
          <w:p w14:paraId="2CDB9D0B">
            <w:pPr>
              <w:spacing w:before="88" w:line="186"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220806</w:t>
            </w:r>
          </w:p>
        </w:tc>
        <w:tc>
          <w:tcPr>
            <w:tcW w:w="1078" w:type="dxa"/>
            <w:vAlign w:val="top"/>
          </w:tcPr>
          <w:p w14:paraId="50591C7E">
            <w:pPr>
              <w:spacing w:before="88" w:line="186"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0.44</w:t>
            </w:r>
          </w:p>
        </w:tc>
        <w:tc>
          <w:tcPr>
            <w:tcW w:w="936" w:type="dxa"/>
            <w:tcBorders>
              <w:right w:val="nil"/>
            </w:tcBorders>
            <w:vAlign w:val="top"/>
          </w:tcPr>
          <w:p w14:paraId="3A9210B9">
            <w:pPr>
              <w:pStyle w:val="6"/>
              <w:spacing w:before="53" w:line="197" w:lineRule="auto"/>
              <w:ind w:left="266"/>
              <w:rPr>
                <w:sz w:val="20"/>
                <w:szCs w:val="20"/>
              </w:rPr>
            </w:pPr>
            <w:r>
              <w:rPr>
                <w:spacing w:val="5"/>
                <w:sz w:val="20"/>
                <w:szCs w:val="20"/>
              </w:rPr>
              <w:t>达标</w:t>
            </w:r>
          </w:p>
        </w:tc>
      </w:tr>
      <w:tr w14:paraId="3D09D9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28252DB8">
            <w:pPr>
              <w:rPr>
                <w:rFonts w:ascii="Arial"/>
                <w:sz w:val="21"/>
              </w:rPr>
            </w:pPr>
          </w:p>
        </w:tc>
        <w:tc>
          <w:tcPr>
            <w:tcW w:w="1436" w:type="dxa"/>
            <w:vMerge w:val="continue"/>
            <w:tcBorders>
              <w:top w:val="nil"/>
            </w:tcBorders>
            <w:vAlign w:val="top"/>
          </w:tcPr>
          <w:p w14:paraId="4BECEC86">
            <w:pPr>
              <w:rPr>
                <w:rFonts w:ascii="Arial"/>
                <w:sz w:val="21"/>
              </w:rPr>
            </w:pPr>
          </w:p>
        </w:tc>
        <w:tc>
          <w:tcPr>
            <w:tcW w:w="1318" w:type="dxa"/>
            <w:vAlign w:val="top"/>
          </w:tcPr>
          <w:p w14:paraId="1EC7976B">
            <w:pPr>
              <w:pStyle w:val="6"/>
              <w:spacing w:before="51" w:line="199" w:lineRule="auto"/>
              <w:ind w:left="350"/>
              <w:rPr>
                <w:sz w:val="20"/>
                <w:szCs w:val="20"/>
              </w:rPr>
            </w:pPr>
            <w:r>
              <w:rPr>
                <w:spacing w:val="6"/>
                <w:sz w:val="20"/>
                <w:szCs w:val="20"/>
              </w:rPr>
              <w:t>年平均</w:t>
            </w:r>
          </w:p>
        </w:tc>
        <w:tc>
          <w:tcPr>
            <w:tcW w:w="2041" w:type="dxa"/>
            <w:vAlign w:val="top"/>
          </w:tcPr>
          <w:p w14:paraId="7413FD98">
            <w:pPr>
              <w:spacing w:before="87" w:line="187"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0.14303</w:t>
            </w:r>
          </w:p>
        </w:tc>
        <w:tc>
          <w:tcPr>
            <w:tcW w:w="1436" w:type="dxa"/>
            <w:vAlign w:val="top"/>
          </w:tcPr>
          <w:p w14:paraId="12BC3D63">
            <w:pPr>
              <w:pStyle w:val="6"/>
              <w:spacing w:before="51" w:line="199" w:lineRule="auto"/>
              <w:ind w:left="407"/>
              <w:rPr>
                <w:sz w:val="20"/>
                <w:szCs w:val="20"/>
              </w:rPr>
            </w:pPr>
            <w:r>
              <w:rPr>
                <w:spacing w:val="7"/>
                <w:sz w:val="20"/>
                <w:szCs w:val="20"/>
              </w:rPr>
              <w:t>平均值</w:t>
            </w:r>
          </w:p>
        </w:tc>
        <w:tc>
          <w:tcPr>
            <w:tcW w:w="1078" w:type="dxa"/>
            <w:vAlign w:val="top"/>
          </w:tcPr>
          <w:p w14:paraId="486AAE01">
            <w:pPr>
              <w:spacing w:before="87" w:line="187"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0.07</w:t>
            </w:r>
          </w:p>
        </w:tc>
        <w:tc>
          <w:tcPr>
            <w:tcW w:w="936" w:type="dxa"/>
            <w:tcBorders>
              <w:right w:val="nil"/>
            </w:tcBorders>
            <w:vAlign w:val="top"/>
          </w:tcPr>
          <w:p w14:paraId="593A59FB">
            <w:pPr>
              <w:pStyle w:val="6"/>
              <w:spacing w:before="51" w:line="199" w:lineRule="auto"/>
              <w:ind w:left="266"/>
              <w:rPr>
                <w:sz w:val="20"/>
                <w:szCs w:val="20"/>
              </w:rPr>
            </w:pPr>
            <w:r>
              <w:rPr>
                <w:spacing w:val="5"/>
                <w:sz w:val="20"/>
                <w:szCs w:val="20"/>
              </w:rPr>
              <w:t>达标</w:t>
            </w:r>
          </w:p>
        </w:tc>
      </w:tr>
      <w:tr w14:paraId="7739B1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830" w:type="dxa"/>
            <w:vMerge w:val="continue"/>
            <w:tcBorders>
              <w:top w:val="nil"/>
              <w:left w:val="nil"/>
              <w:bottom w:val="nil"/>
            </w:tcBorders>
            <w:vAlign w:val="top"/>
          </w:tcPr>
          <w:p w14:paraId="087DDFA7">
            <w:pPr>
              <w:rPr>
                <w:rFonts w:ascii="Arial"/>
                <w:sz w:val="21"/>
              </w:rPr>
            </w:pPr>
          </w:p>
        </w:tc>
        <w:tc>
          <w:tcPr>
            <w:tcW w:w="1436" w:type="dxa"/>
            <w:vMerge w:val="restart"/>
            <w:tcBorders>
              <w:bottom w:val="nil"/>
            </w:tcBorders>
            <w:vAlign w:val="top"/>
          </w:tcPr>
          <w:p w14:paraId="3C6DDD92">
            <w:pPr>
              <w:pStyle w:val="6"/>
              <w:spacing w:before="192" w:line="228" w:lineRule="auto"/>
              <w:ind w:left="115"/>
              <w:rPr>
                <w:sz w:val="20"/>
                <w:szCs w:val="20"/>
              </w:rPr>
            </w:pPr>
            <w:r>
              <w:rPr>
                <w:spacing w:val="4"/>
                <w:sz w:val="20"/>
                <w:szCs w:val="20"/>
              </w:rPr>
              <w:t>巴润阿木斯尔</w:t>
            </w:r>
          </w:p>
        </w:tc>
        <w:tc>
          <w:tcPr>
            <w:tcW w:w="1318" w:type="dxa"/>
            <w:vAlign w:val="top"/>
          </w:tcPr>
          <w:p w14:paraId="01781A49">
            <w:pPr>
              <w:pStyle w:val="6"/>
              <w:spacing w:before="52" w:line="197" w:lineRule="auto"/>
              <w:ind w:left="385"/>
              <w:rPr>
                <w:sz w:val="20"/>
                <w:szCs w:val="20"/>
              </w:rPr>
            </w:pPr>
            <w:r>
              <w:rPr>
                <w:spacing w:val="-6"/>
                <w:sz w:val="20"/>
                <w:szCs w:val="20"/>
              </w:rPr>
              <w:t>日均值</w:t>
            </w:r>
          </w:p>
        </w:tc>
        <w:tc>
          <w:tcPr>
            <w:tcW w:w="2041" w:type="dxa"/>
            <w:vAlign w:val="top"/>
          </w:tcPr>
          <w:p w14:paraId="44654505">
            <w:pPr>
              <w:spacing w:before="89" w:line="184" w:lineRule="auto"/>
              <w:ind w:left="68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2.19334</w:t>
            </w:r>
          </w:p>
        </w:tc>
        <w:tc>
          <w:tcPr>
            <w:tcW w:w="1436" w:type="dxa"/>
            <w:vAlign w:val="top"/>
          </w:tcPr>
          <w:p w14:paraId="73C18BE2">
            <w:pPr>
              <w:spacing w:before="89" w:line="184"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220806</w:t>
            </w:r>
          </w:p>
        </w:tc>
        <w:tc>
          <w:tcPr>
            <w:tcW w:w="1078" w:type="dxa"/>
            <w:vAlign w:val="top"/>
          </w:tcPr>
          <w:p w14:paraId="7759C056">
            <w:pPr>
              <w:spacing w:before="89" w:line="184"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0.73</w:t>
            </w:r>
          </w:p>
        </w:tc>
        <w:tc>
          <w:tcPr>
            <w:tcW w:w="936" w:type="dxa"/>
            <w:tcBorders>
              <w:right w:val="nil"/>
            </w:tcBorders>
            <w:vAlign w:val="top"/>
          </w:tcPr>
          <w:p w14:paraId="7856B136">
            <w:pPr>
              <w:pStyle w:val="6"/>
              <w:spacing w:before="52" w:line="197" w:lineRule="auto"/>
              <w:ind w:left="266"/>
              <w:rPr>
                <w:sz w:val="20"/>
                <w:szCs w:val="20"/>
              </w:rPr>
            </w:pPr>
            <w:r>
              <w:rPr>
                <w:spacing w:val="5"/>
                <w:sz w:val="20"/>
                <w:szCs w:val="20"/>
              </w:rPr>
              <w:t>达标</w:t>
            </w:r>
          </w:p>
        </w:tc>
      </w:tr>
      <w:tr w14:paraId="38A43C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2F0E303D">
            <w:pPr>
              <w:rPr>
                <w:rFonts w:ascii="Arial"/>
                <w:sz w:val="21"/>
              </w:rPr>
            </w:pPr>
          </w:p>
        </w:tc>
        <w:tc>
          <w:tcPr>
            <w:tcW w:w="1436" w:type="dxa"/>
            <w:vMerge w:val="continue"/>
            <w:tcBorders>
              <w:top w:val="nil"/>
            </w:tcBorders>
            <w:vAlign w:val="top"/>
          </w:tcPr>
          <w:p w14:paraId="4F4F711F">
            <w:pPr>
              <w:rPr>
                <w:rFonts w:ascii="Arial"/>
                <w:sz w:val="21"/>
              </w:rPr>
            </w:pPr>
          </w:p>
        </w:tc>
        <w:tc>
          <w:tcPr>
            <w:tcW w:w="1318" w:type="dxa"/>
            <w:vAlign w:val="top"/>
          </w:tcPr>
          <w:p w14:paraId="43EC5ECA">
            <w:pPr>
              <w:pStyle w:val="6"/>
              <w:spacing w:before="55" w:line="195" w:lineRule="auto"/>
              <w:ind w:left="350"/>
              <w:rPr>
                <w:sz w:val="20"/>
                <w:szCs w:val="20"/>
              </w:rPr>
            </w:pPr>
            <w:r>
              <w:rPr>
                <w:spacing w:val="6"/>
                <w:sz w:val="20"/>
                <w:szCs w:val="20"/>
              </w:rPr>
              <w:t>年平均</w:t>
            </w:r>
          </w:p>
        </w:tc>
        <w:tc>
          <w:tcPr>
            <w:tcW w:w="2041" w:type="dxa"/>
            <w:vAlign w:val="top"/>
          </w:tcPr>
          <w:p w14:paraId="34F751FB">
            <w:pPr>
              <w:spacing w:before="91" w:line="183" w:lineRule="auto"/>
              <w:ind w:left="73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0.1436</w:t>
            </w:r>
          </w:p>
        </w:tc>
        <w:tc>
          <w:tcPr>
            <w:tcW w:w="1436" w:type="dxa"/>
            <w:vAlign w:val="top"/>
          </w:tcPr>
          <w:p w14:paraId="414780CB">
            <w:pPr>
              <w:pStyle w:val="6"/>
              <w:spacing w:before="55" w:line="195" w:lineRule="auto"/>
              <w:ind w:left="407"/>
              <w:rPr>
                <w:sz w:val="20"/>
                <w:szCs w:val="20"/>
              </w:rPr>
            </w:pPr>
            <w:r>
              <w:rPr>
                <w:spacing w:val="7"/>
                <w:sz w:val="20"/>
                <w:szCs w:val="20"/>
              </w:rPr>
              <w:t>平均值</w:t>
            </w:r>
          </w:p>
        </w:tc>
        <w:tc>
          <w:tcPr>
            <w:tcW w:w="1078" w:type="dxa"/>
            <w:vAlign w:val="top"/>
          </w:tcPr>
          <w:p w14:paraId="38E8E948">
            <w:pPr>
              <w:spacing w:before="91" w:line="183" w:lineRule="auto"/>
              <w:ind w:left="36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0.07</w:t>
            </w:r>
          </w:p>
        </w:tc>
        <w:tc>
          <w:tcPr>
            <w:tcW w:w="936" w:type="dxa"/>
            <w:tcBorders>
              <w:right w:val="nil"/>
            </w:tcBorders>
            <w:vAlign w:val="top"/>
          </w:tcPr>
          <w:p w14:paraId="74293632">
            <w:pPr>
              <w:pStyle w:val="6"/>
              <w:spacing w:before="55" w:line="195" w:lineRule="auto"/>
              <w:ind w:left="266"/>
              <w:rPr>
                <w:sz w:val="20"/>
                <w:szCs w:val="20"/>
              </w:rPr>
            </w:pPr>
            <w:r>
              <w:rPr>
                <w:spacing w:val="5"/>
                <w:sz w:val="20"/>
                <w:szCs w:val="20"/>
              </w:rPr>
              <w:t>达标</w:t>
            </w:r>
          </w:p>
        </w:tc>
      </w:tr>
      <w:tr w14:paraId="63C41E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bottom w:val="nil"/>
            </w:tcBorders>
            <w:vAlign w:val="top"/>
          </w:tcPr>
          <w:p w14:paraId="6CDDBA3D">
            <w:pPr>
              <w:rPr>
                <w:rFonts w:ascii="Arial"/>
                <w:sz w:val="21"/>
              </w:rPr>
            </w:pPr>
          </w:p>
        </w:tc>
        <w:tc>
          <w:tcPr>
            <w:tcW w:w="1436" w:type="dxa"/>
            <w:vMerge w:val="restart"/>
            <w:tcBorders>
              <w:bottom w:val="nil"/>
            </w:tcBorders>
            <w:vAlign w:val="top"/>
          </w:tcPr>
          <w:p w14:paraId="5B551E87">
            <w:pPr>
              <w:pStyle w:val="6"/>
              <w:spacing w:before="59" w:line="226" w:lineRule="auto"/>
              <w:ind w:left="9" w:firstLine="98"/>
              <w:rPr>
                <w:sz w:val="20"/>
                <w:szCs w:val="20"/>
              </w:rPr>
            </w:pPr>
            <w:r>
              <w:rPr>
                <w:spacing w:val="2"/>
                <w:sz w:val="20"/>
                <w:szCs w:val="20"/>
              </w:rPr>
              <w:t>区域最大落地</w:t>
            </w:r>
            <w:r>
              <w:rPr>
                <w:spacing w:val="1"/>
                <w:sz w:val="20"/>
                <w:szCs w:val="20"/>
              </w:rPr>
              <w:t xml:space="preserve">  </w:t>
            </w:r>
            <w:r>
              <w:rPr>
                <w:spacing w:val="3"/>
                <w:sz w:val="20"/>
                <w:szCs w:val="20"/>
              </w:rPr>
              <w:t>浓度（网格点）</w:t>
            </w:r>
          </w:p>
        </w:tc>
        <w:tc>
          <w:tcPr>
            <w:tcW w:w="1318" w:type="dxa"/>
            <w:vAlign w:val="top"/>
          </w:tcPr>
          <w:p w14:paraId="6F3A2ECC">
            <w:pPr>
              <w:pStyle w:val="6"/>
              <w:spacing w:before="53" w:line="197" w:lineRule="auto"/>
              <w:ind w:left="385"/>
              <w:rPr>
                <w:sz w:val="20"/>
                <w:szCs w:val="20"/>
              </w:rPr>
            </w:pPr>
            <w:r>
              <w:rPr>
                <w:spacing w:val="-6"/>
                <w:sz w:val="20"/>
                <w:szCs w:val="20"/>
              </w:rPr>
              <w:t>日均值</w:t>
            </w:r>
          </w:p>
        </w:tc>
        <w:tc>
          <w:tcPr>
            <w:tcW w:w="2041" w:type="dxa"/>
            <w:vAlign w:val="top"/>
          </w:tcPr>
          <w:p w14:paraId="7CFF9314">
            <w:pPr>
              <w:spacing w:before="90" w:line="184" w:lineRule="auto"/>
              <w:ind w:left="64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13.23371</w:t>
            </w:r>
          </w:p>
        </w:tc>
        <w:tc>
          <w:tcPr>
            <w:tcW w:w="1436" w:type="dxa"/>
            <w:vAlign w:val="top"/>
          </w:tcPr>
          <w:p w14:paraId="16F89687">
            <w:pPr>
              <w:spacing w:before="90" w:line="184"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220930</w:t>
            </w:r>
          </w:p>
        </w:tc>
        <w:tc>
          <w:tcPr>
            <w:tcW w:w="1078" w:type="dxa"/>
            <w:vAlign w:val="top"/>
          </w:tcPr>
          <w:p w14:paraId="2EB22309">
            <w:pPr>
              <w:spacing w:before="90" w:line="184" w:lineRule="auto"/>
              <w:ind w:left="35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4.41</w:t>
            </w:r>
          </w:p>
        </w:tc>
        <w:tc>
          <w:tcPr>
            <w:tcW w:w="936" w:type="dxa"/>
            <w:tcBorders>
              <w:right w:val="nil"/>
            </w:tcBorders>
            <w:vAlign w:val="top"/>
          </w:tcPr>
          <w:p w14:paraId="5B17B745">
            <w:pPr>
              <w:pStyle w:val="6"/>
              <w:spacing w:before="53" w:line="197" w:lineRule="auto"/>
              <w:ind w:left="266"/>
              <w:rPr>
                <w:sz w:val="20"/>
                <w:szCs w:val="20"/>
              </w:rPr>
            </w:pPr>
            <w:r>
              <w:rPr>
                <w:spacing w:val="5"/>
                <w:sz w:val="20"/>
                <w:szCs w:val="20"/>
              </w:rPr>
              <w:t>达标</w:t>
            </w:r>
          </w:p>
        </w:tc>
      </w:tr>
      <w:tr w14:paraId="23366C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continue"/>
            <w:tcBorders>
              <w:top w:val="nil"/>
              <w:left w:val="nil"/>
            </w:tcBorders>
            <w:vAlign w:val="top"/>
          </w:tcPr>
          <w:p w14:paraId="59D79870">
            <w:pPr>
              <w:rPr>
                <w:rFonts w:ascii="Arial"/>
                <w:sz w:val="21"/>
              </w:rPr>
            </w:pPr>
          </w:p>
        </w:tc>
        <w:tc>
          <w:tcPr>
            <w:tcW w:w="1436" w:type="dxa"/>
            <w:vMerge w:val="continue"/>
            <w:tcBorders>
              <w:top w:val="nil"/>
            </w:tcBorders>
            <w:vAlign w:val="top"/>
          </w:tcPr>
          <w:p w14:paraId="696AA875">
            <w:pPr>
              <w:rPr>
                <w:rFonts w:ascii="Arial"/>
                <w:sz w:val="21"/>
              </w:rPr>
            </w:pPr>
          </w:p>
        </w:tc>
        <w:tc>
          <w:tcPr>
            <w:tcW w:w="1318" w:type="dxa"/>
            <w:vAlign w:val="top"/>
          </w:tcPr>
          <w:p w14:paraId="1C7FB184">
            <w:pPr>
              <w:pStyle w:val="6"/>
              <w:spacing w:before="55" w:line="195" w:lineRule="auto"/>
              <w:ind w:left="350"/>
              <w:rPr>
                <w:sz w:val="20"/>
                <w:szCs w:val="20"/>
              </w:rPr>
            </w:pPr>
            <w:r>
              <w:rPr>
                <w:spacing w:val="6"/>
                <w:sz w:val="20"/>
                <w:szCs w:val="20"/>
              </w:rPr>
              <w:t>年平均</w:t>
            </w:r>
          </w:p>
        </w:tc>
        <w:tc>
          <w:tcPr>
            <w:tcW w:w="2041" w:type="dxa"/>
            <w:vAlign w:val="top"/>
          </w:tcPr>
          <w:p w14:paraId="0F6C362B">
            <w:pPr>
              <w:spacing w:before="91" w:line="183" w:lineRule="auto"/>
              <w:ind w:left="6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3.13634</w:t>
            </w:r>
          </w:p>
        </w:tc>
        <w:tc>
          <w:tcPr>
            <w:tcW w:w="1436" w:type="dxa"/>
            <w:vAlign w:val="top"/>
          </w:tcPr>
          <w:p w14:paraId="7A0590D0">
            <w:pPr>
              <w:pStyle w:val="6"/>
              <w:spacing w:before="55" w:line="195" w:lineRule="auto"/>
              <w:ind w:left="407"/>
              <w:rPr>
                <w:sz w:val="20"/>
                <w:szCs w:val="20"/>
              </w:rPr>
            </w:pPr>
            <w:r>
              <w:rPr>
                <w:spacing w:val="7"/>
                <w:sz w:val="20"/>
                <w:szCs w:val="20"/>
              </w:rPr>
              <w:t>平均值</w:t>
            </w:r>
          </w:p>
        </w:tc>
        <w:tc>
          <w:tcPr>
            <w:tcW w:w="1078" w:type="dxa"/>
            <w:vAlign w:val="top"/>
          </w:tcPr>
          <w:p w14:paraId="3D596D17">
            <w:pPr>
              <w:spacing w:before="91" w:line="183" w:lineRule="auto"/>
              <w:ind w:left="3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1.57</w:t>
            </w:r>
          </w:p>
        </w:tc>
        <w:tc>
          <w:tcPr>
            <w:tcW w:w="936" w:type="dxa"/>
            <w:tcBorders>
              <w:right w:val="nil"/>
            </w:tcBorders>
            <w:vAlign w:val="top"/>
          </w:tcPr>
          <w:p w14:paraId="48ABEACB">
            <w:pPr>
              <w:pStyle w:val="6"/>
              <w:spacing w:before="55" w:line="195" w:lineRule="auto"/>
              <w:ind w:left="266"/>
              <w:rPr>
                <w:sz w:val="20"/>
                <w:szCs w:val="20"/>
              </w:rPr>
            </w:pPr>
            <w:r>
              <w:rPr>
                <w:spacing w:val="5"/>
                <w:sz w:val="20"/>
                <w:szCs w:val="20"/>
              </w:rPr>
              <w:t>达标</w:t>
            </w:r>
          </w:p>
        </w:tc>
      </w:tr>
      <w:tr w14:paraId="229D63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30" w:type="dxa"/>
            <w:vMerge w:val="restart"/>
            <w:tcBorders>
              <w:left w:val="nil"/>
              <w:bottom w:val="nil"/>
            </w:tcBorders>
            <w:vAlign w:val="top"/>
          </w:tcPr>
          <w:p w14:paraId="119FFF37">
            <w:pPr>
              <w:pStyle w:val="6"/>
              <w:spacing w:before="58" w:line="236" w:lineRule="auto"/>
              <w:ind w:left="105" w:right="101"/>
              <w:rPr>
                <w:sz w:val="20"/>
                <w:szCs w:val="20"/>
              </w:rPr>
            </w:pPr>
            <w:r>
              <w:rPr>
                <w:spacing w:val="6"/>
                <w:sz w:val="20"/>
                <w:szCs w:val="20"/>
              </w:rPr>
              <w:t>锰及其</w:t>
            </w:r>
            <w:r>
              <w:rPr>
                <w:spacing w:val="1"/>
                <w:sz w:val="20"/>
                <w:szCs w:val="20"/>
              </w:rPr>
              <w:t xml:space="preserve"> </w:t>
            </w:r>
            <w:r>
              <w:rPr>
                <w:spacing w:val="6"/>
                <w:sz w:val="20"/>
                <w:szCs w:val="20"/>
              </w:rPr>
              <w:t>化合物</w:t>
            </w:r>
          </w:p>
        </w:tc>
        <w:tc>
          <w:tcPr>
            <w:tcW w:w="1436" w:type="dxa"/>
            <w:vAlign w:val="top"/>
          </w:tcPr>
          <w:p w14:paraId="05757A3E">
            <w:pPr>
              <w:pStyle w:val="6"/>
              <w:spacing w:before="56" w:line="194" w:lineRule="auto"/>
              <w:ind w:left="306"/>
              <w:rPr>
                <w:sz w:val="20"/>
                <w:szCs w:val="20"/>
              </w:rPr>
            </w:pPr>
            <w:r>
              <w:rPr>
                <w:spacing w:val="6"/>
                <w:sz w:val="20"/>
                <w:szCs w:val="20"/>
              </w:rPr>
              <w:t>温都尔庙</w:t>
            </w:r>
          </w:p>
        </w:tc>
        <w:tc>
          <w:tcPr>
            <w:tcW w:w="1318" w:type="dxa"/>
            <w:vAlign w:val="top"/>
          </w:tcPr>
          <w:p w14:paraId="4809E465">
            <w:pPr>
              <w:pStyle w:val="6"/>
              <w:spacing w:before="56" w:line="194" w:lineRule="auto"/>
              <w:ind w:left="385"/>
              <w:rPr>
                <w:sz w:val="20"/>
                <w:szCs w:val="20"/>
              </w:rPr>
            </w:pPr>
            <w:r>
              <w:rPr>
                <w:spacing w:val="-6"/>
                <w:sz w:val="20"/>
                <w:szCs w:val="20"/>
              </w:rPr>
              <w:t>日均值</w:t>
            </w:r>
          </w:p>
        </w:tc>
        <w:tc>
          <w:tcPr>
            <w:tcW w:w="2041" w:type="dxa"/>
            <w:vAlign w:val="top"/>
          </w:tcPr>
          <w:p w14:paraId="43B2CDE3">
            <w:pPr>
              <w:spacing w:before="92" w:line="182"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0.22862</w:t>
            </w:r>
          </w:p>
        </w:tc>
        <w:tc>
          <w:tcPr>
            <w:tcW w:w="1436" w:type="dxa"/>
            <w:vAlign w:val="top"/>
          </w:tcPr>
          <w:p w14:paraId="545A39F1">
            <w:pPr>
              <w:spacing w:before="92" w:line="182"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220918</w:t>
            </w:r>
          </w:p>
        </w:tc>
        <w:tc>
          <w:tcPr>
            <w:tcW w:w="1078" w:type="dxa"/>
            <w:vAlign w:val="top"/>
          </w:tcPr>
          <w:p w14:paraId="306A9340">
            <w:pPr>
              <w:spacing w:before="92" w:line="182" w:lineRule="auto"/>
              <w:ind w:left="3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2.29</w:t>
            </w:r>
          </w:p>
        </w:tc>
        <w:tc>
          <w:tcPr>
            <w:tcW w:w="936" w:type="dxa"/>
            <w:tcBorders>
              <w:right w:val="nil"/>
            </w:tcBorders>
            <w:vAlign w:val="top"/>
          </w:tcPr>
          <w:p w14:paraId="5D33DD35">
            <w:pPr>
              <w:pStyle w:val="6"/>
              <w:spacing w:before="56" w:line="194" w:lineRule="auto"/>
              <w:ind w:left="266"/>
              <w:rPr>
                <w:sz w:val="20"/>
                <w:szCs w:val="20"/>
              </w:rPr>
            </w:pPr>
            <w:r>
              <w:rPr>
                <w:spacing w:val="5"/>
                <w:sz w:val="20"/>
                <w:szCs w:val="20"/>
              </w:rPr>
              <w:t>达标</w:t>
            </w:r>
          </w:p>
        </w:tc>
      </w:tr>
      <w:tr w14:paraId="4614BC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8" w:hRule="atLeast"/>
        </w:trPr>
        <w:tc>
          <w:tcPr>
            <w:tcW w:w="830" w:type="dxa"/>
            <w:vMerge w:val="continue"/>
            <w:tcBorders>
              <w:top w:val="nil"/>
              <w:left w:val="nil"/>
              <w:bottom w:val="single" w:color="000000" w:sz="10" w:space="0"/>
            </w:tcBorders>
            <w:vAlign w:val="top"/>
          </w:tcPr>
          <w:p w14:paraId="6C9453C6">
            <w:pPr>
              <w:rPr>
                <w:rFonts w:ascii="Arial"/>
                <w:sz w:val="21"/>
              </w:rPr>
            </w:pPr>
          </w:p>
        </w:tc>
        <w:tc>
          <w:tcPr>
            <w:tcW w:w="1436" w:type="dxa"/>
            <w:tcBorders>
              <w:bottom w:val="single" w:color="000000" w:sz="10" w:space="0"/>
            </w:tcBorders>
            <w:vAlign w:val="top"/>
          </w:tcPr>
          <w:p w14:paraId="4DD2B5EC">
            <w:pPr>
              <w:pStyle w:val="6"/>
              <w:spacing w:before="55" w:line="215" w:lineRule="auto"/>
              <w:ind w:left="115"/>
              <w:rPr>
                <w:sz w:val="20"/>
                <w:szCs w:val="20"/>
              </w:rPr>
            </w:pPr>
            <w:r>
              <w:rPr>
                <w:spacing w:val="4"/>
                <w:sz w:val="20"/>
                <w:szCs w:val="20"/>
              </w:rPr>
              <w:t>巴润阿木斯尔</w:t>
            </w:r>
          </w:p>
        </w:tc>
        <w:tc>
          <w:tcPr>
            <w:tcW w:w="1318" w:type="dxa"/>
            <w:tcBorders>
              <w:bottom w:val="single" w:color="000000" w:sz="10" w:space="0"/>
            </w:tcBorders>
            <w:vAlign w:val="top"/>
          </w:tcPr>
          <w:p w14:paraId="1049DC4D">
            <w:pPr>
              <w:pStyle w:val="6"/>
              <w:spacing w:before="55" w:line="215" w:lineRule="auto"/>
              <w:ind w:left="385"/>
              <w:rPr>
                <w:sz w:val="20"/>
                <w:szCs w:val="20"/>
              </w:rPr>
            </w:pPr>
            <w:r>
              <w:rPr>
                <w:spacing w:val="-6"/>
                <w:sz w:val="20"/>
                <w:szCs w:val="20"/>
              </w:rPr>
              <w:t>日均值</w:t>
            </w:r>
          </w:p>
        </w:tc>
        <w:tc>
          <w:tcPr>
            <w:tcW w:w="2041" w:type="dxa"/>
            <w:tcBorders>
              <w:bottom w:val="single" w:color="000000" w:sz="10" w:space="0"/>
            </w:tcBorders>
            <w:vAlign w:val="top"/>
          </w:tcPr>
          <w:p w14:paraId="2A3C7A21">
            <w:pPr>
              <w:spacing w:before="91" w:line="195"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0.52992</w:t>
            </w:r>
          </w:p>
        </w:tc>
        <w:tc>
          <w:tcPr>
            <w:tcW w:w="1436" w:type="dxa"/>
            <w:tcBorders>
              <w:bottom w:val="single" w:color="000000" w:sz="10" w:space="0"/>
            </w:tcBorders>
            <w:vAlign w:val="top"/>
          </w:tcPr>
          <w:p w14:paraId="6A73EA01">
            <w:pPr>
              <w:spacing w:before="91" w:line="195" w:lineRule="auto"/>
              <w:ind w:left="4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221107</w:t>
            </w:r>
          </w:p>
        </w:tc>
        <w:tc>
          <w:tcPr>
            <w:tcW w:w="1078" w:type="dxa"/>
            <w:tcBorders>
              <w:bottom w:val="single" w:color="000000" w:sz="10" w:space="0"/>
            </w:tcBorders>
            <w:vAlign w:val="top"/>
          </w:tcPr>
          <w:p w14:paraId="38CCEBC0">
            <w:pPr>
              <w:spacing w:before="91" w:line="195"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5.30</w:t>
            </w:r>
          </w:p>
        </w:tc>
        <w:tc>
          <w:tcPr>
            <w:tcW w:w="936" w:type="dxa"/>
            <w:tcBorders>
              <w:bottom w:val="single" w:color="000000" w:sz="10" w:space="0"/>
              <w:right w:val="nil"/>
            </w:tcBorders>
            <w:vAlign w:val="top"/>
          </w:tcPr>
          <w:p w14:paraId="05859050">
            <w:pPr>
              <w:pStyle w:val="6"/>
              <w:spacing w:before="55" w:line="215" w:lineRule="auto"/>
              <w:ind w:left="266"/>
              <w:rPr>
                <w:sz w:val="20"/>
                <w:szCs w:val="20"/>
              </w:rPr>
            </w:pPr>
            <w:r>
              <w:rPr>
                <w:spacing w:val="5"/>
                <w:sz w:val="20"/>
                <w:szCs w:val="20"/>
              </w:rPr>
              <w:t>达标</w:t>
            </w:r>
          </w:p>
        </w:tc>
      </w:tr>
    </w:tbl>
    <w:p w14:paraId="25766A3E">
      <w:pPr>
        <w:pStyle w:val="2"/>
        <w:spacing w:line="65" w:lineRule="exact"/>
        <w:rPr>
          <w:sz w:val="5"/>
        </w:rPr>
      </w:pPr>
    </w:p>
    <w:p w14:paraId="31923020">
      <w:pPr>
        <w:spacing w:line="65" w:lineRule="exact"/>
        <w:rPr>
          <w:sz w:val="5"/>
          <w:szCs w:val="5"/>
        </w:rPr>
        <w:sectPr>
          <w:headerReference r:id="rId276" w:type="default"/>
          <w:footerReference r:id="rId277" w:type="default"/>
          <w:pgSz w:w="11906" w:h="16839"/>
          <w:pgMar w:top="1190" w:right="1415" w:bottom="1427" w:left="1415" w:header="882" w:footer="1265" w:gutter="0"/>
          <w:cols w:space="720" w:num="1"/>
        </w:sectPr>
      </w:pPr>
    </w:p>
    <w:p w14:paraId="7830466D">
      <w:pPr>
        <w:spacing w:line="28" w:lineRule="exact"/>
        <w:ind w:firstLine="2"/>
      </w:pPr>
      <w:r>
        <w:pict>
          <v:shape id="_x0000_s1793" o:spid="_x0000_s1793" style="height:1.45pt;width:453.65pt;" fillcolor="#000000" filled="t" stroked="f" coordsize="9072,29" path="m0,0l9072,0,9072,28,0,28,0,0xe">
            <v:path/>
            <v:fill on="t" focussize="0,0"/>
            <v:stroke on="f"/>
            <v:imagedata o:title=""/>
            <o:lock v:ext="edit"/>
            <w10:wrap type="none"/>
            <w10:anchorlock/>
          </v:shape>
        </w:pict>
      </w:r>
    </w:p>
    <w:p w14:paraId="0403084C">
      <w:pPr>
        <w:spacing w:line="197" w:lineRule="exact"/>
      </w:pPr>
    </w:p>
    <w:tbl>
      <w:tblPr>
        <w:tblStyle w:val="5"/>
        <w:tblW w:w="907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30"/>
        <w:gridCol w:w="1436"/>
        <w:gridCol w:w="1318"/>
        <w:gridCol w:w="2041"/>
        <w:gridCol w:w="1435"/>
        <w:gridCol w:w="1079"/>
        <w:gridCol w:w="936"/>
      </w:tblGrid>
      <w:tr w14:paraId="400997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830" w:type="dxa"/>
            <w:tcBorders>
              <w:top w:val="single" w:color="000000" w:sz="10" w:space="0"/>
              <w:left w:val="nil"/>
            </w:tcBorders>
            <w:vAlign w:val="top"/>
          </w:tcPr>
          <w:p w14:paraId="3307F68F">
            <w:pPr>
              <w:pStyle w:val="6"/>
              <w:spacing w:before="35" w:line="215" w:lineRule="auto"/>
              <w:ind w:left="106"/>
              <w:rPr>
                <w:sz w:val="20"/>
                <w:szCs w:val="20"/>
              </w:rPr>
            </w:pPr>
            <w:r>
              <w:rPr>
                <w:spacing w:val="6"/>
                <w:sz w:val="20"/>
                <w:szCs w:val="20"/>
              </w:rPr>
              <w:t>污染物</w:t>
            </w:r>
          </w:p>
        </w:tc>
        <w:tc>
          <w:tcPr>
            <w:tcW w:w="1436" w:type="dxa"/>
            <w:tcBorders>
              <w:top w:val="single" w:color="000000" w:sz="10" w:space="0"/>
            </w:tcBorders>
            <w:vAlign w:val="top"/>
          </w:tcPr>
          <w:p w14:paraId="3607DD0F">
            <w:pPr>
              <w:pStyle w:val="6"/>
              <w:spacing w:before="35" w:line="215" w:lineRule="auto"/>
              <w:ind w:left="409"/>
              <w:rPr>
                <w:sz w:val="20"/>
                <w:szCs w:val="20"/>
              </w:rPr>
            </w:pPr>
            <w:r>
              <w:rPr>
                <w:spacing w:val="6"/>
                <w:sz w:val="20"/>
                <w:szCs w:val="20"/>
              </w:rPr>
              <w:t>预测点</w:t>
            </w:r>
          </w:p>
        </w:tc>
        <w:tc>
          <w:tcPr>
            <w:tcW w:w="1318" w:type="dxa"/>
            <w:tcBorders>
              <w:top w:val="single" w:color="000000" w:sz="10" w:space="0"/>
            </w:tcBorders>
            <w:vAlign w:val="top"/>
          </w:tcPr>
          <w:p w14:paraId="1D4175DF">
            <w:pPr>
              <w:pStyle w:val="6"/>
              <w:spacing w:before="35" w:line="215" w:lineRule="auto"/>
              <w:ind w:left="242"/>
              <w:rPr>
                <w:sz w:val="20"/>
                <w:szCs w:val="20"/>
              </w:rPr>
            </w:pPr>
            <w:r>
              <w:rPr>
                <w:spacing w:val="7"/>
                <w:sz w:val="20"/>
                <w:szCs w:val="20"/>
              </w:rPr>
              <w:t>平均时段</w:t>
            </w:r>
          </w:p>
        </w:tc>
        <w:tc>
          <w:tcPr>
            <w:tcW w:w="2041" w:type="dxa"/>
            <w:tcBorders>
              <w:top w:val="single" w:color="000000" w:sz="10" w:space="0"/>
            </w:tcBorders>
            <w:vAlign w:val="top"/>
          </w:tcPr>
          <w:p w14:paraId="6F52FE96">
            <w:pPr>
              <w:pStyle w:val="6"/>
              <w:spacing w:before="35" w:line="215" w:lineRule="auto"/>
              <w:ind w:left="13"/>
              <w:rPr>
                <w:sz w:val="20"/>
                <w:szCs w:val="20"/>
              </w:rPr>
            </w:pPr>
            <w:r>
              <w:rPr>
                <w:spacing w:val="5"/>
                <w:sz w:val="20"/>
                <w:szCs w:val="20"/>
              </w:rPr>
              <w:t>最大贡献值</w:t>
            </w:r>
            <w:r>
              <w:rPr>
                <w:rFonts w:ascii="Times New Roman" w:hAnsi="Times New Roman" w:eastAsia="Times New Roman" w:cs="Times New Roman"/>
                <w:spacing w:val="5"/>
                <w:sz w:val="20"/>
                <w:szCs w:val="20"/>
              </w:rPr>
              <w:t xml:space="preserve">/  </w:t>
            </w:r>
            <w:r>
              <w:rPr>
                <w:spacing w:val="5"/>
                <w:sz w:val="20"/>
                <w:szCs w:val="20"/>
              </w:rPr>
              <w:t>(</w:t>
            </w:r>
            <w:r>
              <w:rPr>
                <w:rFonts w:ascii="Times New Roman" w:hAnsi="Times New Roman" w:eastAsia="Times New Roman" w:cs="Times New Roman"/>
                <w:spacing w:val="5"/>
                <w:sz w:val="20"/>
                <w:szCs w:val="20"/>
              </w:rPr>
              <w:t>μg/m</w:t>
            </w:r>
            <w:r>
              <w:rPr>
                <w:rFonts w:ascii="Times New Roman" w:hAnsi="Times New Roman" w:eastAsia="Times New Roman" w:cs="Times New Roman"/>
                <w:spacing w:val="5"/>
                <w:position w:val="6"/>
                <w:sz w:val="13"/>
                <w:szCs w:val="13"/>
              </w:rPr>
              <w:t>3</w:t>
            </w:r>
            <w:r>
              <w:rPr>
                <w:spacing w:val="5"/>
                <w:sz w:val="20"/>
                <w:szCs w:val="20"/>
              </w:rPr>
              <w:t>）</w:t>
            </w:r>
          </w:p>
        </w:tc>
        <w:tc>
          <w:tcPr>
            <w:tcW w:w="1435" w:type="dxa"/>
            <w:tcBorders>
              <w:top w:val="single" w:color="000000" w:sz="10" w:space="0"/>
            </w:tcBorders>
            <w:vAlign w:val="top"/>
          </w:tcPr>
          <w:p w14:paraId="59A11060">
            <w:pPr>
              <w:pStyle w:val="6"/>
              <w:spacing w:before="35" w:line="215" w:lineRule="auto"/>
              <w:ind w:left="320"/>
              <w:rPr>
                <w:sz w:val="20"/>
                <w:szCs w:val="20"/>
              </w:rPr>
            </w:pPr>
            <w:r>
              <w:rPr>
                <w:spacing w:val="2"/>
                <w:sz w:val="20"/>
                <w:szCs w:val="20"/>
              </w:rPr>
              <w:t>出现时间</w:t>
            </w:r>
          </w:p>
        </w:tc>
        <w:tc>
          <w:tcPr>
            <w:tcW w:w="1079" w:type="dxa"/>
            <w:tcBorders>
              <w:top w:val="single" w:color="000000" w:sz="10" w:space="0"/>
            </w:tcBorders>
            <w:vAlign w:val="top"/>
          </w:tcPr>
          <w:p w14:paraId="0B46432B">
            <w:pPr>
              <w:pStyle w:val="6"/>
              <w:spacing w:before="35" w:line="215" w:lineRule="auto"/>
              <w:ind w:left="149"/>
              <w:rPr>
                <w:rFonts w:ascii="Times New Roman" w:hAnsi="Times New Roman" w:eastAsia="Times New Roman" w:cs="Times New Roman"/>
                <w:sz w:val="20"/>
                <w:szCs w:val="20"/>
              </w:rPr>
            </w:pPr>
            <w:r>
              <w:rPr>
                <w:spacing w:val="-1"/>
                <w:sz w:val="20"/>
                <w:szCs w:val="20"/>
              </w:rPr>
              <w:t>占标率</w:t>
            </w:r>
            <w:r>
              <w:rPr>
                <w:rFonts w:ascii="Times New Roman" w:hAnsi="Times New Roman" w:eastAsia="Times New Roman" w:cs="Times New Roman"/>
                <w:spacing w:val="-1"/>
                <w:sz w:val="20"/>
                <w:szCs w:val="20"/>
              </w:rPr>
              <w:t>/%</w:t>
            </w:r>
          </w:p>
        </w:tc>
        <w:tc>
          <w:tcPr>
            <w:tcW w:w="936" w:type="dxa"/>
            <w:tcBorders>
              <w:top w:val="single" w:color="000000" w:sz="10" w:space="0"/>
              <w:right w:val="nil"/>
            </w:tcBorders>
            <w:vAlign w:val="top"/>
          </w:tcPr>
          <w:p w14:paraId="7D9609EF">
            <w:pPr>
              <w:pStyle w:val="6"/>
              <w:spacing w:before="35" w:line="215" w:lineRule="auto"/>
              <w:ind w:left="55"/>
              <w:rPr>
                <w:sz w:val="20"/>
                <w:szCs w:val="20"/>
              </w:rPr>
            </w:pPr>
            <w:r>
              <w:rPr>
                <w:spacing w:val="7"/>
                <w:sz w:val="20"/>
                <w:szCs w:val="20"/>
              </w:rPr>
              <w:t>达标情况</w:t>
            </w:r>
          </w:p>
        </w:tc>
      </w:tr>
      <w:tr w14:paraId="298F33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830" w:type="dxa"/>
            <w:tcBorders>
              <w:left w:val="nil"/>
            </w:tcBorders>
            <w:vAlign w:val="top"/>
          </w:tcPr>
          <w:p w14:paraId="6D61F56F">
            <w:pPr>
              <w:rPr>
                <w:rFonts w:ascii="Arial"/>
                <w:sz w:val="21"/>
              </w:rPr>
            </w:pPr>
          </w:p>
        </w:tc>
        <w:tc>
          <w:tcPr>
            <w:tcW w:w="1436" w:type="dxa"/>
            <w:vAlign w:val="top"/>
          </w:tcPr>
          <w:p w14:paraId="09FB00C9">
            <w:pPr>
              <w:pStyle w:val="6"/>
              <w:spacing w:before="34" w:line="230" w:lineRule="auto"/>
              <w:ind w:left="9" w:firstLine="98"/>
              <w:rPr>
                <w:sz w:val="20"/>
                <w:szCs w:val="20"/>
              </w:rPr>
            </w:pPr>
            <w:r>
              <w:rPr>
                <w:spacing w:val="2"/>
                <w:sz w:val="20"/>
                <w:szCs w:val="20"/>
              </w:rPr>
              <w:t>区域最大落地</w:t>
            </w:r>
            <w:r>
              <w:rPr>
                <w:spacing w:val="1"/>
                <w:sz w:val="20"/>
                <w:szCs w:val="20"/>
              </w:rPr>
              <w:t xml:space="preserve">  </w:t>
            </w:r>
            <w:r>
              <w:rPr>
                <w:spacing w:val="3"/>
                <w:sz w:val="20"/>
                <w:szCs w:val="20"/>
              </w:rPr>
              <w:t>浓度（网格点）</w:t>
            </w:r>
          </w:p>
        </w:tc>
        <w:tc>
          <w:tcPr>
            <w:tcW w:w="1318" w:type="dxa"/>
            <w:vAlign w:val="top"/>
          </w:tcPr>
          <w:p w14:paraId="40DD7AFA">
            <w:pPr>
              <w:pStyle w:val="6"/>
              <w:spacing w:before="169" w:line="228" w:lineRule="auto"/>
              <w:ind w:left="385"/>
              <w:rPr>
                <w:sz w:val="20"/>
                <w:szCs w:val="20"/>
              </w:rPr>
            </w:pPr>
            <w:r>
              <w:rPr>
                <w:spacing w:val="-6"/>
                <w:sz w:val="20"/>
                <w:szCs w:val="20"/>
              </w:rPr>
              <w:t>日均值</w:t>
            </w:r>
          </w:p>
        </w:tc>
        <w:tc>
          <w:tcPr>
            <w:tcW w:w="2041" w:type="dxa"/>
            <w:vAlign w:val="top"/>
          </w:tcPr>
          <w:p w14:paraId="237E4D66">
            <w:pPr>
              <w:spacing w:before="208" w:line="195" w:lineRule="auto"/>
              <w:ind w:left="68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2.83376</w:t>
            </w:r>
          </w:p>
        </w:tc>
        <w:tc>
          <w:tcPr>
            <w:tcW w:w="1435" w:type="dxa"/>
            <w:vAlign w:val="top"/>
          </w:tcPr>
          <w:p w14:paraId="2994D773">
            <w:pPr>
              <w:spacing w:before="208" w:line="195" w:lineRule="auto"/>
              <w:ind w:left="40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220312</w:t>
            </w:r>
          </w:p>
        </w:tc>
        <w:tc>
          <w:tcPr>
            <w:tcW w:w="1079" w:type="dxa"/>
            <w:vAlign w:val="top"/>
          </w:tcPr>
          <w:p w14:paraId="407A0407">
            <w:pPr>
              <w:spacing w:before="208"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28.34</w:t>
            </w:r>
          </w:p>
        </w:tc>
        <w:tc>
          <w:tcPr>
            <w:tcW w:w="936" w:type="dxa"/>
            <w:tcBorders>
              <w:right w:val="nil"/>
            </w:tcBorders>
            <w:vAlign w:val="top"/>
          </w:tcPr>
          <w:p w14:paraId="6297B4BC">
            <w:pPr>
              <w:pStyle w:val="6"/>
              <w:spacing w:before="170" w:line="228" w:lineRule="auto"/>
              <w:ind w:left="266"/>
              <w:rPr>
                <w:sz w:val="20"/>
                <w:szCs w:val="20"/>
              </w:rPr>
            </w:pPr>
            <w:r>
              <w:rPr>
                <w:spacing w:val="5"/>
                <w:sz w:val="20"/>
                <w:szCs w:val="20"/>
              </w:rPr>
              <w:t>达标</w:t>
            </w:r>
          </w:p>
        </w:tc>
      </w:tr>
      <w:tr w14:paraId="0E4F1A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830" w:type="dxa"/>
            <w:vMerge w:val="restart"/>
            <w:tcBorders>
              <w:left w:val="nil"/>
              <w:bottom w:val="nil"/>
            </w:tcBorders>
            <w:vAlign w:val="top"/>
          </w:tcPr>
          <w:p w14:paraId="7E3FE151">
            <w:pPr>
              <w:spacing w:line="392" w:lineRule="auto"/>
              <w:rPr>
                <w:rFonts w:ascii="Arial"/>
                <w:sz w:val="21"/>
              </w:rPr>
            </w:pPr>
          </w:p>
          <w:p w14:paraId="311FCF20">
            <w:pPr>
              <w:pStyle w:val="6"/>
              <w:spacing w:before="65" w:line="228" w:lineRule="auto"/>
              <w:ind w:left="313"/>
              <w:rPr>
                <w:sz w:val="20"/>
                <w:szCs w:val="20"/>
              </w:rPr>
            </w:pPr>
            <w:r>
              <w:rPr>
                <w:sz w:val="20"/>
                <w:szCs w:val="20"/>
              </w:rPr>
              <w:t>氨</w:t>
            </w:r>
          </w:p>
        </w:tc>
        <w:tc>
          <w:tcPr>
            <w:tcW w:w="1436" w:type="dxa"/>
            <w:vAlign w:val="top"/>
          </w:tcPr>
          <w:p w14:paraId="18F31E98">
            <w:pPr>
              <w:pStyle w:val="6"/>
              <w:spacing w:before="42" w:line="204" w:lineRule="auto"/>
              <w:ind w:left="306"/>
              <w:rPr>
                <w:sz w:val="20"/>
                <w:szCs w:val="20"/>
              </w:rPr>
            </w:pPr>
            <w:r>
              <w:rPr>
                <w:spacing w:val="6"/>
                <w:sz w:val="20"/>
                <w:szCs w:val="20"/>
              </w:rPr>
              <w:t>温都尔庙</w:t>
            </w:r>
          </w:p>
        </w:tc>
        <w:tc>
          <w:tcPr>
            <w:tcW w:w="1318" w:type="dxa"/>
            <w:vAlign w:val="top"/>
          </w:tcPr>
          <w:p w14:paraId="00A17FF9">
            <w:pPr>
              <w:pStyle w:val="6"/>
              <w:spacing w:before="42" w:line="204" w:lineRule="auto"/>
              <w:ind w:left="39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spacing w:val="-6"/>
                <w:sz w:val="20"/>
                <w:szCs w:val="20"/>
              </w:rPr>
              <w:t>小时</w:t>
            </w:r>
          </w:p>
        </w:tc>
        <w:tc>
          <w:tcPr>
            <w:tcW w:w="2041" w:type="dxa"/>
            <w:vAlign w:val="top"/>
          </w:tcPr>
          <w:p w14:paraId="2DBCDA93">
            <w:pPr>
              <w:spacing w:before="78" w:line="193"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0.15465</w:t>
            </w:r>
          </w:p>
        </w:tc>
        <w:tc>
          <w:tcPr>
            <w:tcW w:w="1435" w:type="dxa"/>
            <w:vAlign w:val="top"/>
          </w:tcPr>
          <w:p w14:paraId="22910303">
            <w:pPr>
              <w:spacing w:before="78" w:line="193" w:lineRule="auto"/>
              <w:ind w:left="29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22080621</w:t>
            </w:r>
          </w:p>
        </w:tc>
        <w:tc>
          <w:tcPr>
            <w:tcW w:w="1079" w:type="dxa"/>
            <w:vAlign w:val="top"/>
          </w:tcPr>
          <w:p w14:paraId="1F3878FB">
            <w:pPr>
              <w:spacing w:before="78" w:line="193" w:lineRule="auto"/>
              <w:ind w:left="3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w:t>
            </w:r>
          </w:p>
        </w:tc>
        <w:tc>
          <w:tcPr>
            <w:tcW w:w="936" w:type="dxa"/>
            <w:tcBorders>
              <w:right w:val="nil"/>
            </w:tcBorders>
            <w:vAlign w:val="top"/>
          </w:tcPr>
          <w:p w14:paraId="0AC5C41B">
            <w:pPr>
              <w:pStyle w:val="6"/>
              <w:spacing w:before="42" w:line="204" w:lineRule="auto"/>
              <w:ind w:left="266"/>
              <w:rPr>
                <w:sz w:val="20"/>
                <w:szCs w:val="20"/>
              </w:rPr>
            </w:pPr>
            <w:r>
              <w:rPr>
                <w:spacing w:val="5"/>
                <w:sz w:val="20"/>
                <w:szCs w:val="20"/>
              </w:rPr>
              <w:t>达标</w:t>
            </w:r>
          </w:p>
        </w:tc>
      </w:tr>
      <w:tr w14:paraId="6717C8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 w:hRule="atLeast"/>
        </w:trPr>
        <w:tc>
          <w:tcPr>
            <w:tcW w:w="830" w:type="dxa"/>
            <w:vMerge w:val="continue"/>
            <w:tcBorders>
              <w:top w:val="nil"/>
              <w:left w:val="nil"/>
              <w:bottom w:val="nil"/>
            </w:tcBorders>
            <w:vAlign w:val="top"/>
          </w:tcPr>
          <w:p w14:paraId="4E8F2546">
            <w:pPr>
              <w:rPr>
                <w:rFonts w:ascii="Arial"/>
                <w:sz w:val="21"/>
              </w:rPr>
            </w:pPr>
          </w:p>
        </w:tc>
        <w:tc>
          <w:tcPr>
            <w:tcW w:w="1436" w:type="dxa"/>
            <w:vAlign w:val="top"/>
          </w:tcPr>
          <w:p w14:paraId="7D59E883">
            <w:pPr>
              <w:pStyle w:val="6"/>
              <w:spacing w:before="47" w:line="200" w:lineRule="auto"/>
              <w:ind w:left="115"/>
              <w:rPr>
                <w:sz w:val="20"/>
                <w:szCs w:val="20"/>
              </w:rPr>
            </w:pPr>
            <w:r>
              <w:rPr>
                <w:spacing w:val="4"/>
                <w:sz w:val="20"/>
                <w:szCs w:val="20"/>
              </w:rPr>
              <w:t>巴润阿木斯尔</w:t>
            </w:r>
          </w:p>
        </w:tc>
        <w:tc>
          <w:tcPr>
            <w:tcW w:w="1318" w:type="dxa"/>
            <w:vAlign w:val="top"/>
          </w:tcPr>
          <w:p w14:paraId="088E71FC">
            <w:pPr>
              <w:pStyle w:val="6"/>
              <w:spacing w:before="47" w:line="200" w:lineRule="auto"/>
              <w:ind w:left="39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spacing w:val="-6"/>
                <w:sz w:val="20"/>
                <w:szCs w:val="20"/>
              </w:rPr>
              <w:t>小时</w:t>
            </w:r>
          </w:p>
        </w:tc>
        <w:tc>
          <w:tcPr>
            <w:tcW w:w="2041" w:type="dxa"/>
            <w:vAlign w:val="top"/>
          </w:tcPr>
          <w:p w14:paraId="0A621916">
            <w:pPr>
              <w:spacing w:before="83" w:line="188"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0.22441</w:t>
            </w:r>
          </w:p>
        </w:tc>
        <w:tc>
          <w:tcPr>
            <w:tcW w:w="1435" w:type="dxa"/>
            <w:vAlign w:val="top"/>
          </w:tcPr>
          <w:p w14:paraId="58B8C727">
            <w:pPr>
              <w:spacing w:before="83" w:line="188" w:lineRule="auto"/>
              <w:ind w:left="29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22072801</w:t>
            </w:r>
          </w:p>
        </w:tc>
        <w:tc>
          <w:tcPr>
            <w:tcW w:w="1079" w:type="dxa"/>
            <w:vAlign w:val="top"/>
          </w:tcPr>
          <w:p w14:paraId="6F48D3CF">
            <w:pPr>
              <w:spacing w:before="83" w:line="188" w:lineRule="auto"/>
              <w:ind w:left="364"/>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5"/>
                <w:sz w:val="20"/>
                <w:szCs w:val="20"/>
              </w:rPr>
              <w:t>11</w:t>
            </w:r>
          </w:p>
        </w:tc>
        <w:tc>
          <w:tcPr>
            <w:tcW w:w="936" w:type="dxa"/>
            <w:tcBorders>
              <w:right w:val="nil"/>
            </w:tcBorders>
            <w:vAlign w:val="top"/>
          </w:tcPr>
          <w:p w14:paraId="2FC9E4B7">
            <w:pPr>
              <w:pStyle w:val="6"/>
              <w:spacing w:before="47" w:line="200" w:lineRule="auto"/>
              <w:ind w:left="266"/>
              <w:rPr>
                <w:sz w:val="20"/>
                <w:szCs w:val="20"/>
              </w:rPr>
            </w:pPr>
            <w:r>
              <w:rPr>
                <w:spacing w:val="5"/>
                <w:sz w:val="20"/>
                <w:szCs w:val="20"/>
              </w:rPr>
              <w:t>达标</w:t>
            </w:r>
          </w:p>
        </w:tc>
      </w:tr>
      <w:tr w14:paraId="381A3F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6" w:hRule="atLeast"/>
        </w:trPr>
        <w:tc>
          <w:tcPr>
            <w:tcW w:w="830" w:type="dxa"/>
            <w:vMerge w:val="continue"/>
            <w:tcBorders>
              <w:top w:val="nil"/>
              <w:left w:val="nil"/>
              <w:bottom w:val="single" w:color="000000" w:sz="10" w:space="0"/>
            </w:tcBorders>
            <w:vAlign w:val="top"/>
          </w:tcPr>
          <w:p w14:paraId="02BD7F77">
            <w:pPr>
              <w:rPr>
                <w:rFonts w:ascii="Arial"/>
                <w:sz w:val="21"/>
              </w:rPr>
            </w:pPr>
          </w:p>
        </w:tc>
        <w:tc>
          <w:tcPr>
            <w:tcW w:w="1436" w:type="dxa"/>
            <w:tcBorders>
              <w:bottom w:val="single" w:color="000000" w:sz="10" w:space="0"/>
            </w:tcBorders>
            <w:vAlign w:val="top"/>
          </w:tcPr>
          <w:p w14:paraId="05D6517B">
            <w:pPr>
              <w:pStyle w:val="6"/>
              <w:spacing w:before="48" w:line="234" w:lineRule="auto"/>
              <w:ind w:left="9" w:firstLine="98"/>
              <w:rPr>
                <w:sz w:val="20"/>
                <w:szCs w:val="20"/>
              </w:rPr>
            </w:pPr>
            <w:r>
              <w:rPr>
                <w:spacing w:val="2"/>
                <w:sz w:val="20"/>
                <w:szCs w:val="20"/>
              </w:rPr>
              <w:t>区域最大落地</w:t>
            </w:r>
            <w:r>
              <w:rPr>
                <w:spacing w:val="1"/>
                <w:sz w:val="20"/>
                <w:szCs w:val="20"/>
              </w:rPr>
              <w:t xml:space="preserve">  </w:t>
            </w:r>
            <w:r>
              <w:rPr>
                <w:spacing w:val="3"/>
                <w:sz w:val="20"/>
                <w:szCs w:val="20"/>
              </w:rPr>
              <w:t>浓度（网格点）</w:t>
            </w:r>
          </w:p>
        </w:tc>
        <w:tc>
          <w:tcPr>
            <w:tcW w:w="1318" w:type="dxa"/>
            <w:tcBorders>
              <w:bottom w:val="single" w:color="000000" w:sz="10" w:space="0"/>
            </w:tcBorders>
            <w:vAlign w:val="top"/>
          </w:tcPr>
          <w:p w14:paraId="71E1BC6F">
            <w:pPr>
              <w:pStyle w:val="6"/>
              <w:spacing w:before="183" w:line="230" w:lineRule="auto"/>
              <w:ind w:left="39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6"/>
                <w:sz w:val="20"/>
                <w:szCs w:val="20"/>
              </w:rPr>
              <w:t xml:space="preserve"> </w:t>
            </w:r>
            <w:r>
              <w:rPr>
                <w:spacing w:val="-6"/>
                <w:sz w:val="20"/>
                <w:szCs w:val="20"/>
              </w:rPr>
              <w:t>小时</w:t>
            </w:r>
          </w:p>
        </w:tc>
        <w:tc>
          <w:tcPr>
            <w:tcW w:w="2041" w:type="dxa"/>
            <w:tcBorders>
              <w:bottom w:val="single" w:color="000000" w:sz="10" w:space="0"/>
            </w:tcBorders>
            <w:vAlign w:val="top"/>
          </w:tcPr>
          <w:p w14:paraId="5CE3FAD9">
            <w:pPr>
              <w:spacing w:before="221" w:line="195" w:lineRule="auto"/>
              <w:ind w:left="70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1.52733</w:t>
            </w:r>
          </w:p>
        </w:tc>
        <w:tc>
          <w:tcPr>
            <w:tcW w:w="1435" w:type="dxa"/>
            <w:tcBorders>
              <w:bottom w:val="single" w:color="000000" w:sz="10" w:space="0"/>
            </w:tcBorders>
            <w:vAlign w:val="top"/>
          </w:tcPr>
          <w:p w14:paraId="1C007A2D">
            <w:pPr>
              <w:spacing w:before="221" w:line="195" w:lineRule="auto"/>
              <w:ind w:left="29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22012318</w:t>
            </w:r>
          </w:p>
        </w:tc>
        <w:tc>
          <w:tcPr>
            <w:tcW w:w="1079" w:type="dxa"/>
            <w:tcBorders>
              <w:bottom w:val="single" w:color="000000" w:sz="10" w:space="0"/>
            </w:tcBorders>
            <w:vAlign w:val="top"/>
          </w:tcPr>
          <w:p w14:paraId="6EF9928E">
            <w:pPr>
              <w:spacing w:before="221" w:line="195" w:lineRule="auto"/>
              <w:ind w:left="36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0.76</w:t>
            </w:r>
          </w:p>
        </w:tc>
        <w:tc>
          <w:tcPr>
            <w:tcW w:w="936" w:type="dxa"/>
            <w:tcBorders>
              <w:bottom w:val="single" w:color="000000" w:sz="10" w:space="0"/>
              <w:right w:val="nil"/>
            </w:tcBorders>
            <w:vAlign w:val="top"/>
          </w:tcPr>
          <w:p w14:paraId="2CBD4EAC">
            <w:pPr>
              <w:pStyle w:val="6"/>
              <w:spacing w:before="183" w:line="228" w:lineRule="auto"/>
              <w:ind w:left="266"/>
              <w:rPr>
                <w:sz w:val="20"/>
                <w:szCs w:val="20"/>
              </w:rPr>
            </w:pPr>
            <w:r>
              <w:rPr>
                <w:spacing w:val="5"/>
                <w:sz w:val="20"/>
                <w:szCs w:val="20"/>
              </w:rPr>
              <w:t>达标</w:t>
            </w:r>
          </w:p>
        </w:tc>
      </w:tr>
    </w:tbl>
    <w:p w14:paraId="6E5ECE9E">
      <w:pPr>
        <w:spacing w:before="38" w:line="344" w:lineRule="auto"/>
        <w:ind w:left="10" w:right="80" w:firstLine="509"/>
        <w:rPr>
          <w:rFonts w:ascii="宋体" w:hAnsi="宋体" w:eastAsia="宋体" w:cs="宋体"/>
          <w:sz w:val="24"/>
          <w:szCs w:val="24"/>
        </w:rPr>
      </w:pPr>
      <w:r>
        <w:rPr>
          <w:rFonts w:ascii="宋体" w:hAnsi="宋体" w:eastAsia="宋体" w:cs="宋体"/>
          <w:spacing w:val="-2"/>
          <w:sz w:val="24"/>
          <w:szCs w:val="24"/>
        </w:rPr>
        <w:t>由以上分析可以看出，本项目主要污染物在环</w:t>
      </w:r>
      <w:r>
        <w:rPr>
          <w:rFonts w:ascii="宋体" w:hAnsi="宋体" w:eastAsia="宋体" w:cs="宋体"/>
          <w:spacing w:val="-3"/>
          <w:sz w:val="24"/>
          <w:szCs w:val="24"/>
        </w:rPr>
        <w:t>境保护目标和网格点处短期浓度贡献</w:t>
      </w:r>
      <w:r>
        <w:rPr>
          <w:rFonts w:ascii="宋体" w:hAnsi="宋体" w:eastAsia="宋体" w:cs="宋体"/>
          <w:sz w:val="24"/>
          <w:szCs w:val="24"/>
        </w:rPr>
        <w:t xml:space="preserve"> </w:t>
      </w:r>
      <w:r>
        <w:rPr>
          <w:rFonts w:ascii="宋体" w:hAnsi="宋体" w:eastAsia="宋体" w:cs="宋体"/>
          <w:spacing w:val="-3"/>
          <w:sz w:val="24"/>
          <w:szCs w:val="24"/>
        </w:rPr>
        <w:t>值占标率均小于</w:t>
      </w:r>
      <w:r>
        <w:rPr>
          <w:rFonts w:ascii="宋体" w:hAnsi="宋体" w:eastAsia="宋体" w:cs="宋体"/>
          <w:spacing w:val="-25"/>
          <w:sz w:val="24"/>
          <w:szCs w:val="24"/>
        </w:rPr>
        <w:t xml:space="preserve"> </w:t>
      </w:r>
      <w:r>
        <w:rPr>
          <w:rFonts w:ascii="Times New Roman" w:hAnsi="Times New Roman" w:eastAsia="Times New Roman" w:cs="Times New Roman"/>
          <w:spacing w:val="-3"/>
          <w:sz w:val="24"/>
          <w:szCs w:val="24"/>
        </w:rPr>
        <w:t>100%</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，年均浓度占标率小于</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30%</w:t>
      </w:r>
      <w:r>
        <w:rPr>
          <w:rFonts w:ascii="Times New Roman" w:hAnsi="Times New Roman" w:eastAsia="Times New Roman" w:cs="Times New Roman"/>
          <w:spacing w:val="-29"/>
          <w:sz w:val="24"/>
          <w:szCs w:val="24"/>
        </w:rPr>
        <w:t xml:space="preserve"> </w:t>
      </w:r>
      <w:r>
        <w:rPr>
          <w:rFonts w:ascii="宋体" w:hAnsi="宋体" w:eastAsia="宋体" w:cs="宋体"/>
          <w:spacing w:val="-3"/>
          <w:sz w:val="24"/>
          <w:szCs w:val="24"/>
        </w:rPr>
        <w:t>，预测结果满足评价标准要求。</w:t>
      </w:r>
    </w:p>
    <w:p w14:paraId="606B59BC">
      <w:pPr>
        <w:spacing w:before="38" w:line="354" w:lineRule="auto"/>
        <w:ind w:left="5" w:firstLine="486"/>
        <w:rPr>
          <w:rFonts w:ascii="宋体" w:hAnsi="宋体" w:eastAsia="宋体" w:cs="宋体"/>
          <w:sz w:val="24"/>
          <w:szCs w:val="24"/>
        </w:rPr>
      </w:pPr>
      <w:r>
        <w:rPr>
          <w:rFonts w:ascii="宋体" w:hAnsi="宋体" w:eastAsia="宋体" w:cs="宋体"/>
          <w:spacing w:val="-2"/>
          <w:sz w:val="24"/>
          <w:szCs w:val="24"/>
        </w:rPr>
        <w:t>其中</w:t>
      </w:r>
      <w:r>
        <w:rPr>
          <w:rFonts w:ascii="宋体" w:hAnsi="宋体" w:eastAsia="宋体" w:cs="宋体"/>
          <w:spacing w:val="-54"/>
          <w:sz w:val="24"/>
          <w:szCs w:val="24"/>
        </w:rPr>
        <w:t xml:space="preserve"> </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10</w:t>
      </w:r>
      <w:r>
        <w:rPr>
          <w:rFonts w:ascii="Times New Roman" w:hAnsi="Times New Roman" w:eastAsia="Times New Roman" w:cs="Times New Roman"/>
          <w:spacing w:val="-12"/>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2.5</w:t>
      </w:r>
      <w:r>
        <w:rPr>
          <w:rFonts w:ascii="Times New Roman" w:hAnsi="Times New Roman" w:eastAsia="Times New Roman" w:cs="Times New Roman"/>
          <w:spacing w:val="-11"/>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SO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2"/>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NO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0"/>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TSP</w:t>
      </w:r>
      <w:r>
        <w:rPr>
          <w:rFonts w:ascii="Times New Roman" w:hAnsi="Times New Roman" w:eastAsia="Times New Roman" w:cs="Times New Roman"/>
          <w:spacing w:val="-33"/>
          <w:sz w:val="24"/>
          <w:szCs w:val="24"/>
        </w:rPr>
        <w:t xml:space="preserve"> </w:t>
      </w:r>
      <w:r>
        <w:rPr>
          <w:rFonts w:ascii="宋体" w:hAnsi="宋体" w:eastAsia="宋体" w:cs="宋体"/>
          <w:spacing w:val="-2"/>
          <w:sz w:val="24"/>
          <w:szCs w:val="24"/>
        </w:rPr>
        <w:t>、锰</w:t>
      </w:r>
      <w:r>
        <w:rPr>
          <w:rFonts w:ascii="宋体" w:hAnsi="宋体" w:eastAsia="宋体" w:cs="宋体"/>
          <w:spacing w:val="-3"/>
          <w:sz w:val="24"/>
          <w:szCs w:val="24"/>
        </w:rPr>
        <w:t>及其化合物评价区域预测网格点最大落地</w:t>
      </w:r>
      <w:r>
        <w:rPr>
          <w:rFonts w:ascii="宋体" w:hAnsi="宋体" w:eastAsia="宋体" w:cs="宋体"/>
          <w:sz w:val="24"/>
          <w:szCs w:val="24"/>
        </w:rPr>
        <w:t xml:space="preserve"> </w:t>
      </w:r>
      <w:r>
        <w:rPr>
          <w:rFonts w:ascii="宋体" w:hAnsi="宋体" w:eastAsia="宋体" w:cs="宋体"/>
          <w:spacing w:val="-1"/>
          <w:sz w:val="24"/>
          <w:szCs w:val="24"/>
        </w:rPr>
        <w:t>日均贡献浓度占标率分别为</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3.68%</w:t>
      </w:r>
      <w:r>
        <w:rPr>
          <w:rFonts w:ascii="Times New Roman" w:hAnsi="Times New Roman" w:eastAsia="Times New Roman" w:cs="Times New Roman"/>
          <w:spacing w:val="-30"/>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26.52%</w:t>
      </w:r>
      <w:r>
        <w:rPr>
          <w:rFonts w:ascii="Times New Roman" w:hAnsi="Times New Roman" w:eastAsia="Times New Roman" w:cs="Times New Roman"/>
          <w:spacing w:val="-27"/>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Times New Roman" w:hAnsi="Times New Roman" w:eastAsia="Times New Roman" w:cs="Times New Roman"/>
          <w:spacing w:val="-2"/>
          <w:sz w:val="24"/>
          <w:szCs w:val="24"/>
        </w:rPr>
        <w:t>05%</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23.23%</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4.41%</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28.34%</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，其中</w:t>
      </w:r>
      <w:r>
        <w:rPr>
          <w:rFonts w:ascii="宋体" w:hAnsi="宋体" w:eastAsia="宋体" w:cs="宋体"/>
          <w:sz w:val="24"/>
          <w:szCs w:val="24"/>
        </w:rPr>
        <w:t xml:space="preserve"> </w:t>
      </w:r>
      <w:r>
        <w:rPr>
          <w:rFonts w:ascii="Times New Roman" w:hAnsi="Times New Roman" w:eastAsia="Times New Roman" w:cs="Times New Roman"/>
          <w:sz w:val="24"/>
          <w:szCs w:val="24"/>
        </w:rPr>
        <w:t>PM</w:t>
      </w:r>
      <w:r>
        <w:rPr>
          <w:rFonts w:ascii="Times New Roman" w:hAnsi="Times New Roman" w:eastAsia="Times New Roman" w:cs="Times New Roman"/>
          <w:position w:val="-1"/>
          <w:sz w:val="15"/>
          <w:szCs w:val="15"/>
        </w:rPr>
        <w:t>10</w:t>
      </w:r>
      <w:r>
        <w:rPr>
          <w:rFonts w:ascii="宋体" w:hAnsi="宋体" w:eastAsia="宋体" w:cs="宋体"/>
          <w:spacing w:val="-23"/>
          <w:sz w:val="24"/>
          <w:szCs w:val="24"/>
        </w:rPr>
        <w:t>、</w:t>
      </w:r>
      <w:r>
        <w:rPr>
          <w:rFonts w:ascii="Times New Roman" w:hAnsi="Times New Roman" w:eastAsia="Times New Roman" w:cs="Times New Roman"/>
          <w:spacing w:val="-23"/>
          <w:sz w:val="24"/>
          <w:szCs w:val="24"/>
        </w:rPr>
        <w:t>PM</w:t>
      </w:r>
      <w:r>
        <w:rPr>
          <w:rFonts w:ascii="Times New Roman" w:hAnsi="Times New Roman" w:eastAsia="Times New Roman" w:cs="Times New Roman"/>
          <w:spacing w:val="3"/>
          <w:position w:val="-1"/>
          <w:sz w:val="15"/>
          <w:szCs w:val="15"/>
        </w:rPr>
        <w:t>2.5</w:t>
      </w:r>
      <w:r>
        <w:rPr>
          <w:rFonts w:ascii="宋体" w:hAnsi="宋体" w:eastAsia="宋体" w:cs="宋体"/>
          <w:spacing w:val="-23"/>
          <w:sz w:val="24"/>
          <w:szCs w:val="24"/>
        </w:rPr>
        <w:t>、</w:t>
      </w:r>
      <w:r>
        <w:rPr>
          <w:rFonts w:ascii="Times New Roman" w:hAnsi="Times New Roman" w:eastAsia="Times New Roman" w:cs="Times New Roman"/>
          <w:spacing w:val="-23"/>
          <w:sz w:val="24"/>
          <w:szCs w:val="24"/>
        </w:rPr>
        <w:t>SO</w:t>
      </w:r>
      <w:r>
        <w:rPr>
          <w:rFonts w:ascii="Times New Roman" w:hAnsi="Times New Roman" w:eastAsia="Times New Roman" w:cs="Times New Roman"/>
          <w:spacing w:val="3"/>
          <w:position w:val="-1"/>
          <w:sz w:val="15"/>
          <w:szCs w:val="15"/>
        </w:rPr>
        <w:t>2</w:t>
      </w:r>
      <w:r>
        <w:rPr>
          <w:rFonts w:ascii="宋体" w:hAnsi="宋体" w:eastAsia="宋体" w:cs="宋体"/>
          <w:spacing w:val="-23"/>
          <w:sz w:val="24"/>
          <w:szCs w:val="24"/>
        </w:rPr>
        <w:t>、</w:t>
      </w:r>
      <w:r>
        <w:rPr>
          <w:rFonts w:ascii="Times New Roman" w:hAnsi="Times New Roman" w:eastAsia="Times New Roman" w:cs="Times New Roman"/>
          <w:spacing w:val="-23"/>
          <w:sz w:val="24"/>
          <w:szCs w:val="24"/>
        </w:rPr>
        <w:t>NO</w:t>
      </w:r>
      <w:r>
        <w:rPr>
          <w:rFonts w:ascii="Times New Roman" w:hAnsi="Times New Roman" w:eastAsia="Times New Roman" w:cs="Times New Roman"/>
          <w:spacing w:val="5"/>
          <w:position w:val="-1"/>
          <w:sz w:val="15"/>
          <w:szCs w:val="15"/>
        </w:rPr>
        <w:t>2</w:t>
      </w:r>
      <w:r>
        <w:rPr>
          <w:rFonts w:ascii="宋体" w:hAnsi="宋体" w:eastAsia="宋体" w:cs="宋体"/>
          <w:spacing w:val="-9"/>
          <w:sz w:val="24"/>
          <w:szCs w:val="24"/>
        </w:rPr>
        <w:t>、</w:t>
      </w:r>
      <w:r>
        <w:rPr>
          <w:rFonts w:ascii="Times New Roman" w:hAnsi="Times New Roman" w:eastAsia="Times New Roman" w:cs="Times New Roman"/>
          <w:spacing w:val="-9"/>
          <w:sz w:val="24"/>
          <w:szCs w:val="24"/>
        </w:rPr>
        <w:t xml:space="preserve">TSP </w:t>
      </w:r>
      <w:r>
        <w:rPr>
          <w:rFonts w:ascii="宋体" w:hAnsi="宋体" w:eastAsia="宋体" w:cs="宋体"/>
          <w:spacing w:val="-9"/>
          <w:sz w:val="24"/>
          <w:szCs w:val="24"/>
        </w:rPr>
        <w:t>年均贡献浓度占标率分别为</w:t>
      </w:r>
      <w:r>
        <w:rPr>
          <w:rFonts w:ascii="宋体" w:hAnsi="宋体" w:eastAsia="宋体" w:cs="宋体"/>
          <w:spacing w:val="-30"/>
          <w:sz w:val="24"/>
          <w:szCs w:val="24"/>
        </w:rPr>
        <w:t xml:space="preserve"> </w:t>
      </w:r>
      <w:r>
        <w:rPr>
          <w:rFonts w:ascii="Times New Roman" w:hAnsi="Times New Roman" w:eastAsia="Times New Roman" w:cs="Times New Roman"/>
          <w:spacing w:val="-9"/>
          <w:sz w:val="24"/>
          <w:szCs w:val="24"/>
        </w:rPr>
        <w:t>1.53%</w:t>
      </w:r>
      <w:r>
        <w:rPr>
          <w:rFonts w:ascii="宋体" w:hAnsi="宋体" w:eastAsia="宋体" w:cs="宋体"/>
          <w:spacing w:val="-9"/>
          <w:sz w:val="24"/>
          <w:szCs w:val="24"/>
        </w:rPr>
        <w:t>、</w:t>
      </w:r>
      <w:r>
        <w:rPr>
          <w:rFonts w:ascii="Times New Roman" w:hAnsi="Times New Roman" w:eastAsia="Times New Roman" w:cs="Times New Roman"/>
          <w:spacing w:val="-9"/>
          <w:sz w:val="24"/>
          <w:szCs w:val="24"/>
        </w:rPr>
        <w:t>7.84%</w:t>
      </w:r>
      <w:r>
        <w:rPr>
          <w:rFonts w:ascii="宋体" w:hAnsi="宋体" w:eastAsia="宋体" w:cs="宋体"/>
          <w:spacing w:val="-9"/>
          <w:sz w:val="24"/>
          <w:szCs w:val="24"/>
        </w:rPr>
        <w:t>、</w:t>
      </w:r>
      <w:r>
        <w:rPr>
          <w:rFonts w:ascii="Times New Roman" w:hAnsi="Times New Roman" w:eastAsia="Times New Roman" w:cs="Times New Roman"/>
          <w:spacing w:val="-9"/>
          <w:sz w:val="24"/>
          <w:szCs w:val="24"/>
        </w:rPr>
        <w:t>1.81%</w:t>
      </w:r>
      <w:r>
        <w:rPr>
          <w:rFonts w:ascii="宋体" w:hAnsi="宋体" w:eastAsia="宋体" w:cs="宋体"/>
          <w:spacing w:val="-9"/>
          <w:sz w:val="24"/>
          <w:szCs w:val="24"/>
        </w:rPr>
        <w:t>、</w:t>
      </w:r>
      <w:r>
        <w:rPr>
          <w:rFonts w:ascii="Times New Roman" w:hAnsi="Times New Roman" w:eastAsia="Times New Roman" w:cs="Times New Roman"/>
          <w:spacing w:val="-9"/>
          <w:sz w:val="24"/>
          <w:szCs w:val="24"/>
        </w:rPr>
        <w:t>7.</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9"/>
          <w:sz w:val="24"/>
          <w:szCs w:val="24"/>
        </w:rPr>
        <w:t>10%</w:t>
      </w:r>
      <w:r>
        <w:rPr>
          <w:rFonts w:ascii="宋体" w:hAnsi="宋体" w:eastAsia="宋体" w:cs="宋体"/>
          <w:spacing w:val="-9"/>
          <w:sz w:val="24"/>
          <w:szCs w:val="24"/>
        </w:rPr>
        <w:t>、</w:t>
      </w:r>
      <w:r>
        <w:rPr>
          <w:rFonts w:ascii="宋体" w:hAnsi="宋体" w:eastAsia="宋体" w:cs="宋体"/>
          <w:sz w:val="24"/>
          <w:szCs w:val="24"/>
        </w:rPr>
        <w:t xml:space="preserve"> </w:t>
      </w:r>
      <w:r>
        <w:rPr>
          <w:rFonts w:ascii="Times New Roman" w:hAnsi="Times New Roman" w:eastAsia="Times New Roman" w:cs="Times New Roman"/>
          <w:spacing w:val="4"/>
          <w:sz w:val="24"/>
          <w:szCs w:val="24"/>
        </w:rPr>
        <w:t>1.57%</w:t>
      </w:r>
      <w:r>
        <w:rPr>
          <w:rFonts w:ascii="宋体" w:hAnsi="宋体" w:eastAsia="宋体" w:cs="宋体"/>
          <w:spacing w:val="4"/>
          <w:sz w:val="24"/>
          <w:szCs w:val="24"/>
        </w:rPr>
        <w:t>；</w:t>
      </w:r>
      <w:r>
        <w:rPr>
          <w:rFonts w:ascii="Times New Roman" w:hAnsi="Times New Roman" w:eastAsia="Times New Roman" w:cs="Times New Roman"/>
          <w:sz w:val="24"/>
          <w:szCs w:val="24"/>
        </w:rPr>
        <w:t>SO</w:t>
      </w:r>
      <w:r>
        <w:rPr>
          <w:rFonts w:ascii="Times New Roman" w:hAnsi="Times New Roman" w:eastAsia="Times New Roman" w:cs="Times New Roman"/>
          <w:spacing w:val="4"/>
          <w:position w:val="-1"/>
          <w:sz w:val="15"/>
          <w:szCs w:val="15"/>
        </w:rPr>
        <w:t>2</w:t>
      </w:r>
      <w:r>
        <w:rPr>
          <w:rFonts w:ascii="Times New Roman" w:hAnsi="Times New Roman" w:eastAsia="Times New Roman" w:cs="Times New Roman"/>
          <w:spacing w:val="-8"/>
          <w:position w:val="-1"/>
          <w:sz w:val="15"/>
          <w:szCs w:val="15"/>
        </w:rPr>
        <w:t xml:space="preserve"> </w:t>
      </w:r>
      <w:r>
        <w:rPr>
          <w:rFonts w:ascii="宋体" w:hAnsi="宋体" w:eastAsia="宋体" w:cs="宋体"/>
          <w:spacing w:val="4"/>
          <w:sz w:val="24"/>
          <w:szCs w:val="24"/>
        </w:rPr>
        <w:t>、</w:t>
      </w:r>
      <w:r>
        <w:rPr>
          <w:rFonts w:ascii="Times New Roman" w:hAnsi="Times New Roman" w:eastAsia="Times New Roman" w:cs="Times New Roman"/>
          <w:sz w:val="24"/>
          <w:szCs w:val="24"/>
        </w:rPr>
        <w:t>NO</w:t>
      </w:r>
      <w:r>
        <w:rPr>
          <w:rFonts w:ascii="Times New Roman" w:hAnsi="Times New Roman" w:eastAsia="Times New Roman" w:cs="Times New Roman"/>
          <w:spacing w:val="4"/>
          <w:position w:val="-1"/>
          <w:sz w:val="15"/>
          <w:szCs w:val="15"/>
        </w:rPr>
        <w:t xml:space="preserve">2 </w:t>
      </w:r>
      <w:r>
        <w:rPr>
          <w:rFonts w:ascii="宋体" w:hAnsi="宋体" w:eastAsia="宋体" w:cs="宋体"/>
          <w:spacing w:val="4"/>
          <w:sz w:val="24"/>
          <w:szCs w:val="24"/>
        </w:rPr>
        <w:t>、氨评价区域预测网</w:t>
      </w:r>
      <w:r>
        <w:rPr>
          <w:rFonts w:ascii="宋体" w:hAnsi="宋体" w:eastAsia="宋体" w:cs="宋体"/>
          <w:spacing w:val="3"/>
          <w:sz w:val="24"/>
          <w:szCs w:val="24"/>
        </w:rPr>
        <w:t>格点最大落地小时平均贡献浓度占标率分别为</w:t>
      </w:r>
      <w:r>
        <w:rPr>
          <w:rFonts w:ascii="宋体" w:hAnsi="宋体" w:eastAsia="宋体" w:cs="宋体"/>
          <w:sz w:val="24"/>
          <w:szCs w:val="24"/>
        </w:rPr>
        <w:t xml:space="preserve"> </w:t>
      </w:r>
      <w:r>
        <w:rPr>
          <w:rFonts w:ascii="Times New Roman" w:hAnsi="Times New Roman" w:eastAsia="Times New Roman" w:cs="Times New Roman"/>
          <w:spacing w:val="-3"/>
          <w:sz w:val="24"/>
          <w:szCs w:val="24"/>
        </w:rPr>
        <w:t>7.53%</w:t>
      </w:r>
      <w:r>
        <w:rPr>
          <w:rFonts w:ascii="Times New Roman" w:hAnsi="Times New Roman" w:eastAsia="Times New Roman" w:cs="Times New Roman"/>
          <w:spacing w:val="-34"/>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44.36%</w:t>
      </w:r>
      <w:r>
        <w:rPr>
          <w:rFonts w:ascii="Times New Roman" w:hAnsi="Times New Roman" w:eastAsia="Times New Roman" w:cs="Times New Roman"/>
          <w:spacing w:val="-33"/>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0.76%</w:t>
      </w:r>
      <w:r>
        <w:rPr>
          <w:rFonts w:ascii="Times New Roman" w:hAnsi="Times New Roman" w:eastAsia="Times New Roman" w:cs="Times New Roman"/>
          <w:spacing w:val="-27"/>
          <w:sz w:val="24"/>
          <w:szCs w:val="24"/>
        </w:rPr>
        <w:t xml:space="preserve"> </w:t>
      </w:r>
      <w:r>
        <w:rPr>
          <w:rFonts w:ascii="宋体" w:hAnsi="宋体" w:eastAsia="宋体" w:cs="宋体"/>
          <w:spacing w:val="-3"/>
          <w:sz w:val="24"/>
          <w:szCs w:val="24"/>
        </w:rPr>
        <w:t>。因此对环境影</w:t>
      </w:r>
      <w:r>
        <w:rPr>
          <w:rFonts w:ascii="宋体" w:hAnsi="宋体" w:eastAsia="宋体" w:cs="宋体"/>
          <w:spacing w:val="-4"/>
          <w:sz w:val="24"/>
          <w:szCs w:val="24"/>
        </w:rPr>
        <w:t>响较小。</w:t>
      </w:r>
    </w:p>
    <w:p w14:paraId="20C3B3C8">
      <w:pPr>
        <w:spacing w:before="32" w:line="218" w:lineRule="auto"/>
        <w:ind w:left="7"/>
        <w:outlineLvl w:val="3"/>
        <w:rPr>
          <w:rFonts w:ascii="宋体" w:hAnsi="宋体" w:eastAsia="宋体" w:cs="宋体"/>
          <w:sz w:val="24"/>
          <w:szCs w:val="24"/>
        </w:rPr>
      </w:pPr>
      <w:r>
        <w:fldChar w:fldCharType="begin"/>
      </w:r>
      <w:r>
        <w:instrText xml:space="preserve"> HYPERLINK "4.1.3.2" </w:instrText>
      </w:r>
      <w:r>
        <w:fldChar w:fldCharType="separate"/>
      </w:r>
      <w:r>
        <w:rPr>
          <w:rFonts w:ascii="Times New Roman" w:hAnsi="Times New Roman" w:eastAsia="Times New Roman" w:cs="Times New Roman"/>
          <w:b/>
          <w:bCs/>
          <w:spacing w:val="-2"/>
          <w:sz w:val="24"/>
          <w:szCs w:val="24"/>
        </w:rPr>
        <w:t>4.1.3.2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正常工况叠加后预测结果与评价</w:t>
      </w:r>
    </w:p>
    <w:p w14:paraId="0FB2AAE8">
      <w:pPr>
        <w:spacing w:before="183" w:line="350" w:lineRule="auto"/>
        <w:ind w:left="11" w:right="80" w:firstLine="482"/>
        <w:jc w:val="both"/>
        <w:rPr>
          <w:rFonts w:ascii="宋体" w:hAnsi="宋体" w:eastAsia="宋体" w:cs="宋体"/>
          <w:sz w:val="24"/>
          <w:szCs w:val="24"/>
        </w:rPr>
      </w:pPr>
      <w:r>
        <w:rPr>
          <w:rFonts w:ascii="宋体" w:hAnsi="宋体" w:eastAsia="宋体" w:cs="宋体"/>
          <w:spacing w:val="-2"/>
          <w:sz w:val="24"/>
          <w:szCs w:val="24"/>
        </w:rPr>
        <w:t>项目正常排放条件下，叠加现状浓度、拟在建项目的环境影响后，环境空气保护目</w:t>
      </w:r>
      <w:r>
        <w:rPr>
          <w:rFonts w:ascii="宋体" w:hAnsi="宋体" w:eastAsia="宋体" w:cs="宋体"/>
          <w:spacing w:val="9"/>
          <w:sz w:val="24"/>
          <w:szCs w:val="24"/>
        </w:rPr>
        <w:t xml:space="preserve"> </w:t>
      </w:r>
      <w:r>
        <w:rPr>
          <w:rFonts w:ascii="宋体" w:hAnsi="宋体" w:eastAsia="宋体" w:cs="宋体"/>
          <w:spacing w:val="-1"/>
          <w:sz w:val="24"/>
          <w:szCs w:val="24"/>
        </w:rPr>
        <w:t>标和网格点主要污染物的保证率日平均浓度和年平均质量浓度及其占标率</w:t>
      </w:r>
      <w:r>
        <w:rPr>
          <w:rFonts w:ascii="宋体" w:hAnsi="宋体" w:eastAsia="宋体" w:cs="宋体"/>
          <w:spacing w:val="-2"/>
          <w:sz w:val="24"/>
          <w:szCs w:val="24"/>
        </w:rPr>
        <w:t>见</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4.1-11</w:t>
      </w:r>
      <w:r>
        <w:rPr>
          <w:rFonts w:ascii="Times New Roman" w:hAnsi="Times New Roman" w:eastAsia="Times New Roman" w:cs="Times New Roman"/>
          <w:spacing w:val="-34"/>
          <w:sz w:val="24"/>
          <w:szCs w:val="24"/>
        </w:rPr>
        <w:t xml:space="preserve"> </w:t>
      </w:r>
      <w:r>
        <w:rPr>
          <w:rFonts w:ascii="宋体" w:hAnsi="宋体" w:eastAsia="宋体" w:cs="宋体"/>
          <w:spacing w:val="-2"/>
          <w:sz w:val="24"/>
          <w:szCs w:val="24"/>
        </w:rPr>
        <w:t>，对</w:t>
      </w:r>
      <w:r>
        <w:rPr>
          <w:rFonts w:ascii="宋体" w:hAnsi="宋体" w:eastAsia="宋体" w:cs="宋体"/>
          <w:sz w:val="24"/>
          <w:szCs w:val="24"/>
        </w:rPr>
        <w:t xml:space="preserve"> </w:t>
      </w:r>
      <w:r>
        <w:rPr>
          <w:rFonts w:ascii="宋体" w:hAnsi="宋体" w:eastAsia="宋体" w:cs="宋体"/>
          <w:spacing w:val="-1"/>
          <w:sz w:val="24"/>
          <w:szCs w:val="24"/>
        </w:rPr>
        <w:t>于仅有短期浓度限值的污染物仅评价其短期浓度叠加影响。</w:t>
      </w:r>
    </w:p>
    <w:p w14:paraId="6FFE614A">
      <w:pPr>
        <w:spacing w:before="34" w:line="228" w:lineRule="auto"/>
        <w:ind w:left="2456"/>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8"/>
          <w:sz w:val="20"/>
          <w:szCs w:val="20"/>
        </w:rPr>
        <w:t xml:space="preserve"> </w:t>
      </w:r>
      <w:r>
        <w:rPr>
          <w:rFonts w:ascii="Times New Roman" w:hAnsi="Times New Roman" w:eastAsia="Times New Roman" w:cs="Times New Roman"/>
          <w:b/>
          <w:bCs/>
          <w:spacing w:val="5"/>
          <w:sz w:val="20"/>
          <w:szCs w:val="20"/>
        </w:rPr>
        <w:t xml:space="preserve">4.1-11        </w:t>
      </w:r>
      <w:r>
        <w:rPr>
          <w:rFonts w:ascii="宋体" w:hAnsi="宋体" w:eastAsia="宋体" w:cs="宋体"/>
          <w:b/>
          <w:bCs/>
          <w:spacing w:val="5"/>
          <w:sz w:val="20"/>
          <w:szCs w:val="20"/>
        </w:rPr>
        <w:t>叠加后环境质量浓度预测结果表</w:t>
      </w:r>
    </w:p>
    <w:p w14:paraId="340897EF">
      <w:pPr>
        <w:spacing w:line="129" w:lineRule="exact"/>
      </w:pPr>
    </w:p>
    <w:tbl>
      <w:tblPr>
        <w:tblStyle w:val="5"/>
        <w:tblW w:w="9076"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10"/>
        <w:gridCol w:w="1381"/>
        <w:gridCol w:w="1524"/>
        <w:gridCol w:w="1253"/>
        <w:gridCol w:w="919"/>
        <w:gridCol w:w="938"/>
        <w:gridCol w:w="1039"/>
        <w:gridCol w:w="723"/>
        <w:gridCol w:w="489"/>
      </w:tblGrid>
      <w:tr w14:paraId="760F87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1" w:hRule="atLeast"/>
        </w:trPr>
        <w:tc>
          <w:tcPr>
            <w:tcW w:w="810" w:type="dxa"/>
            <w:tcBorders>
              <w:top w:val="single" w:color="000000" w:sz="10" w:space="0"/>
              <w:left w:val="nil"/>
            </w:tcBorders>
            <w:vAlign w:val="top"/>
          </w:tcPr>
          <w:p w14:paraId="2C3D7B39">
            <w:pPr>
              <w:pStyle w:val="6"/>
              <w:spacing w:before="169" w:line="228" w:lineRule="auto"/>
              <w:ind w:left="97"/>
              <w:rPr>
                <w:sz w:val="20"/>
                <w:szCs w:val="20"/>
              </w:rPr>
            </w:pPr>
            <w:r>
              <w:rPr>
                <w:spacing w:val="6"/>
                <w:sz w:val="20"/>
                <w:szCs w:val="20"/>
              </w:rPr>
              <w:t>污染物</w:t>
            </w:r>
          </w:p>
        </w:tc>
        <w:tc>
          <w:tcPr>
            <w:tcW w:w="1381" w:type="dxa"/>
            <w:tcBorders>
              <w:top w:val="single" w:color="000000" w:sz="10" w:space="0"/>
            </w:tcBorders>
            <w:vAlign w:val="top"/>
          </w:tcPr>
          <w:p w14:paraId="33D441C2">
            <w:pPr>
              <w:pStyle w:val="6"/>
              <w:spacing w:before="169" w:line="228" w:lineRule="auto"/>
              <w:ind w:left="381"/>
              <w:rPr>
                <w:sz w:val="20"/>
                <w:szCs w:val="20"/>
              </w:rPr>
            </w:pPr>
            <w:r>
              <w:rPr>
                <w:spacing w:val="6"/>
                <w:sz w:val="20"/>
                <w:szCs w:val="20"/>
              </w:rPr>
              <w:t>预测点</w:t>
            </w:r>
          </w:p>
        </w:tc>
        <w:tc>
          <w:tcPr>
            <w:tcW w:w="1524" w:type="dxa"/>
            <w:tcBorders>
              <w:top w:val="single" w:color="000000" w:sz="10" w:space="0"/>
            </w:tcBorders>
            <w:vAlign w:val="top"/>
          </w:tcPr>
          <w:p w14:paraId="4C662EF2">
            <w:pPr>
              <w:pStyle w:val="6"/>
              <w:spacing w:before="169" w:line="228" w:lineRule="auto"/>
              <w:ind w:left="346"/>
              <w:rPr>
                <w:sz w:val="20"/>
                <w:szCs w:val="20"/>
              </w:rPr>
            </w:pPr>
            <w:r>
              <w:rPr>
                <w:spacing w:val="7"/>
                <w:sz w:val="20"/>
                <w:szCs w:val="20"/>
              </w:rPr>
              <w:t>平均时段</w:t>
            </w:r>
          </w:p>
        </w:tc>
        <w:tc>
          <w:tcPr>
            <w:tcW w:w="1253" w:type="dxa"/>
            <w:tcBorders>
              <w:top w:val="single" w:color="000000" w:sz="10" w:space="0"/>
            </w:tcBorders>
            <w:vAlign w:val="top"/>
          </w:tcPr>
          <w:p w14:paraId="164A8C26">
            <w:pPr>
              <w:pStyle w:val="6"/>
              <w:spacing w:before="33" w:line="234" w:lineRule="auto"/>
              <w:ind w:left="276" w:right="69" w:hanging="198"/>
              <w:rPr>
                <w:sz w:val="20"/>
                <w:szCs w:val="20"/>
              </w:rPr>
            </w:pPr>
            <w:r>
              <w:rPr>
                <w:spacing w:val="7"/>
                <w:sz w:val="20"/>
                <w:szCs w:val="20"/>
              </w:rPr>
              <w:t>最大贡献值</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 xml:space="preserve"> </w:t>
            </w:r>
            <w:r>
              <w:rPr>
                <w:spacing w:val="2"/>
                <w:sz w:val="20"/>
                <w:szCs w:val="20"/>
              </w:rPr>
              <w:t>(</w:t>
            </w: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6"/>
                <w:sz w:val="13"/>
                <w:szCs w:val="13"/>
              </w:rPr>
              <w:t>3</w:t>
            </w:r>
            <w:r>
              <w:rPr>
                <w:spacing w:val="2"/>
                <w:sz w:val="20"/>
                <w:szCs w:val="20"/>
              </w:rPr>
              <w:t>）</w:t>
            </w:r>
          </w:p>
        </w:tc>
        <w:tc>
          <w:tcPr>
            <w:tcW w:w="919" w:type="dxa"/>
            <w:tcBorders>
              <w:top w:val="single" w:color="000000" w:sz="10" w:space="0"/>
            </w:tcBorders>
            <w:vAlign w:val="top"/>
          </w:tcPr>
          <w:p w14:paraId="5A568752">
            <w:pPr>
              <w:pStyle w:val="6"/>
              <w:spacing w:before="169" w:line="228" w:lineRule="auto"/>
              <w:ind w:left="63"/>
              <w:rPr>
                <w:sz w:val="20"/>
                <w:szCs w:val="20"/>
              </w:rPr>
            </w:pPr>
            <w:r>
              <w:rPr>
                <w:spacing w:val="2"/>
                <w:sz w:val="20"/>
                <w:szCs w:val="20"/>
              </w:rPr>
              <w:t>出现时间</w:t>
            </w:r>
          </w:p>
        </w:tc>
        <w:tc>
          <w:tcPr>
            <w:tcW w:w="938" w:type="dxa"/>
            <w:tcBorders>
              <w:top w:val="single" w:color="000000" w:sz="10" w:space="0"/>
            </w:tcBorders>
            <w:vAlign w:val="top"/>
          </w:tcPr>
          <w:p w14:paraId="799F80BD">
            <w:pPr>
              <w:pStyle w:val="6"/>
              <w:spacing w:before="33" w:line="234" w:lineRule="auto"/>
              <w:ind w:left="121" w:right="16" w:hanging="94"/>
              <w:rPr>
                <w:sz w:val="20"/>
                <w:szCs w:val="20"/>
              </w:rPr>
            </w:pPr>
            <w:r>
              <w:rPr>
                <w:spacing w:val="6"/>
                <w:sz w:val="20"/>
                <w:szCs w:val="20"/>
              </w:rPr>
              <w:t>现状浓度</w:t>
            </w:r>
            <w:r>
              <w:rPr>
                <w:rFonts w:ascii="Times New Roman" w:hAnsi="Times New Roman" w:eastAsia="Times New Roman" w:cs="Times New Roman"/>
                <w:spacing w:val="6"/>
                <w:sz w:val="20"/>
                <w:szCs w:val="20"/>
              </w:rPr>
              <w:t>/</w:t>
            </w:r>
            <w:r>
              <w:rPr>
                <w:rFonts w:ascii="Times New Roman" w:hAnsi="Times New Roman" w:eastAsia="Times New Roman" w:cs="Times New Roman"/>
                <w:spacing w:val="2"/>
                <w:sz w:val="20"/>
                <w:szCs w:val="20"/>
              </w:rPr>
              <w:t xml:space="preserve"> </w:t>
            </w:r>
            <w:r>
              <w:rPr>
                <w:sz w:val="20"/>
                <w:szCs w:val="20"/>
              </w:rPr>
              <w:t>(</w:t>
            </w:r>
            <w:r>
              <w:rPr>
                <w:rFonts w:ascii="Times New Roman" w:hAnsi="Times New Roman" w:eastAsia="Times New Roman" w:cs="Times New Roman"/>
                <w:sz w:val="20"/>
                <w:szCs w:val="20"/>
              </w:rPr>
              <w:t>μg/m</w:t>
            </w:r>
            <w:r>
              <w:rPr>
                <w:rFonts w:ascii="Times New Roman" w:hAnsi="Times New Roman" w:eastAsia="Times New Roman" w:cs="Times New Roman"/>
                <w:position w:val="6"/>
                <w:sz w:val="13"/>
                <w:szCs w:val="13"/>
              </w:rPr>
              <w:t>3</w:t>
            </w:r>
            <w:r>
              <w:rPr>
                <w:sz w:val="20"/>
                <w:szCs w:val="20"/>
              </w:rPr>
              <w:t>）</w:t>
            </w:r>
          </w:p>
        </w:tc>
        <w:tc>
          <w:tcPr>
            <w:tcW w:w="1039" w:type="dxa"/>
            <w:tcBorders>
              <w:top w:val="single" w:color="000000" w:sz="10" w:space="0"/>
            </w:tcBorders>
            <w:vAlign w:val="top"/>
          </w:tcPr>
          <w:p w14:paraId="18364C66">
            <w:pPr>
              <w:pStyle w:val="6"/>
              <w:spacing w:before="33" w:line="234" w:lineRule="auto"/>
              <w:ind w:left="8" w:firstLine="93"/>
              <w:rPr>
                <w:sz w:val="20"/>
                <w:szCs w:val="20"/>
              </w:rPr>
            </w:pPr>
            <w:r>
              <w:rPr>
                <w:spacing w:val="-9"/>
                <w:sz w:val="20"/>
                <w:szCs w:val="20"/>
              </w:rPr>
              <w:t>叠加后浓</w:t>
            </w:r>
            <w:r>
              <w:rPr>
                <w:sz w:val="20"/>
                <w:szCs w:val="20"/>
              </w:rPr>
              <w:t xml:space="preserve">  </w:t>
            </w:r>
            <w:r>
              <w:rPr>
                <w:spacing w:val="-2"/>
                <w:sz w:val="20"/>
                <w:szCs w:val="20"/>
              </w:rPr>
              <w:t>度</w:t>
            </w:r>
            <w:r>
              <w:rPr>
                <w:rFonts w:ascii="Times New Roman" w:hAnsi="Times New Roman" w:eastAsia="Times New Roman" w:cs="Times New Roman"/>
                <w:spacing w:val="-2"/>
                <w:sz w:val="20"/>
                <w:szCs w:val="20"/>
              </w:rPr>
              <w:t>/</w:t>
            </w:r>
            <w:r>
              <w:rPr>
                <w:spacing w:val="-2"/>
                <w:sz w:val="20"/>
                <w:szCs w:val="20"/>
              </w:rPr>
              <w:t>(</w:t>
            </w: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6"/>
                <w:sz w:val="13"/>
                <w:szCs w:val="13"/>
              </w:rPr>
              <w:t>3</w:t>
            </w:r>
            <w:r>
              <w:rPr>
                <w:spacing w:val="-2"/>
                <w:sz w:val="20"/>
                <w:szCs w:val="20"/>
              </w:rPr>
              <w:t>）</w:t>
            </w:r>
          </w:p>
        </w:tc>
        <w:tc>
          <w:tcPr>
            <w:tcW w:w="723" w:type="dxa"/>
            <w:tcBorders>
              <w:top w:val="single" w:color="000000" w:sz="10" w:space="0"/>
            </w:tcBorders>
            <w:vAlign w:val="top"/>
          </w:tcPr>
          <w:p w14:paraId="7FB4A5B1">
            <w:pPr>
              <w:pStyle w:val="6"/>
              <w:spacing w:before="48" w:line="241" w:lineRule="auto"/>
              <w:ind w:left="240" w:right="46" w:hanging="156"/>
              <w:rPr>
                <w:rFonts w:ascii="Times New Roman" w:hAnsi="Times New Roman" w:eastAsia="Times New Roman" w:cs="Times New Roman"/>
                <w:sz w:val="20"/>
                <w:szCs w:val="20"/>
              </w:rPr>
            </w:pPr>
            <w:r>
              <w:rPr>
                <w:spacing w:val="-5"/>
                <w:sz w:val="20"/>
                <w:szCs w:val="20"/>
              </w:rPr>
              <w:t>占标率</w:t>
            </w:r>
            <w:r>
              <w:rPr>
                <w:sz w:val="20"/>
                <w:szCs w:val="20"/>
              </w:rPr>
              <w:t xml:space="preserve"> </w:t>
            </w:r>
            <w:r>
              <w:rPr>
                <w:rFonts w:ascii="Times New Roman" w:hAnsi="Times New Roman" w:eastAsia="Times New Roman" w:cs="Times New Roman"/>
                <w:spacing w:val="4"/>
                <w:sz w:val="20"/>
                <w:szCs w:val="20"/>
              </w:rPr>
              <w:t>/%</w:t>
            </w:r>
          </w:p>
        </w:tc>
        <w:tc>
          <w:tcPr>
            <w:tcW w:w="489" w:type="dxa"/>
            <w:tcBorders>
              <w:top w:val="single" w:color="000000" w:sz="10" w:space="0"/>
              <w:right w:val="nil"/>
            </w:tcBorders>
            <w:vAlign w:val="top"/>
          </w:tcPr>
          <w:p w14:paraId="3B26C0F9">
            <w:pPr>
              <w:pStyle w:val="6"/>
              <w:spacing w:before="33" w:line="234" w:lineRule="auto"/>
              <w:ind w:left="42" w:right="34" w:hanging="1"/>
              <w:rPr>
                <w:sz w:val="20"/>
                <w:szCs w:val="20"/>
              </w:rPr>
            </w:pPr>
            <w:r>
              <w:rPr>
                <w:spacing w:val="5"/>
                <w:sz w:val="20"/>
                <w:szCs w:val="20"/>
              </w:rPr>
              <w:t>达标</w:t>
            </w:r>
            <w:r>
              <w:rPr>
                <w:sz w:val="20"/>
                <w:szCs w:val="20"/>
              </w:rPr>
              <w:t xml:space="preserve"> </w:t>
            </w:r>
            <w:r>
              <w:rPr>
                <w:spacing w:val="4"/>
                <w:sz w:val="20"/>
                <w:szCs w:val="20"/>
              </w:rPr>
              <w:t>情况</w:t>
            </w:r>
          </w:p>
        </w:tc>
      </w:tr>
      <w:tr w14:paraId="29319F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restart"/>
            <w:tcBorders>
              <w:left w:val="nil"/>
              <w:bottom w:val="nil"/>
            </w:tcBorders>
            <w:vAlign w:val="top"/>
          </w:tcPr>
          <w:p w14:paraId="13CCF570">
            <w:pPr>
              <w:spacing w:line="249" w:lineRule="auto"/>
              <w:rPr>
                <w:rFonts w:ascii="Arial"/>
                <w:sz w:val="21"/>
              </w:rPr>
            </w:pPr>
          </w:p>
          <w:p w14:paraId="662C1C89">
            <w:pPr>
              <w:spacing w:line="250" w:lineRule="auto"/>
              <w:rPr>
                <w:rFonts w:ascii="Arial"/>
                <w:sz w:val="21"/>
              </w:rPr>
            </w:pPr>
          </w:p>
          <w:p w14:paraId="1292F80B">
            <w:pPr>
              <w:spacing w:line="250" w:lineRule="auto"/>
              <w:rPr>
                <w:rFonts w:ascii="Arial"/>
                <w:sz w:val="21"/>
              </w:rPr>
            </w:pPr>
          </w:p>
          <w:p w14:paraId="37572B28">
            <w:pPr>
              <w:spacing w:before="57" w:line="199" w:lineRule="auto"/>
              <w:ind w:left="184"/>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8"/>
                <w:position w:val="-1"/>
                <w:sz w:val="13"/>
                <w:szCs w:val="13"/>
              </w:rPr>
              <w:t>10</w:t>
            </w:r>
          </w:p>
        </w:tc>
        <w:tc>
          <w:tcPr>
            <w:tcW w:w="1381" w:type="dxa"/>
            <w:vMerge w:val="restart"/>
            <w:tcBorders>
              <w:bottom w:val="nil"/>
            </w:tcBorders>
            <w:vAlign w:val="top"/>
          </w:tcPr>
          <w:p w14:paraId="3757D984">
            <w:pPr>
              <w:pStyle w:val="6"/>
              <w:spacing w:before="184" w:line="228" w:lineRule="auto"/>
              <w:ind w:left="278"/>
              <w:rPr>
                <w:sz w:val="20"/>
                <w:szCs w:val="20"/>
              </w:rPr>
            </w:pPr>
            <w:r>
              <w:rPr>
                <w:spacing w:val="6"/>
                <w:sz w:val="20"/>
                <w:szCs w:val="20"/>
              </w:rPr>
              <w:t>温都尔庙</w:t>
            </w:r>
          </w:p>
        </w:tc>
        <w:tc>
          <w:tcPr>
            <w:tcW w:w="1524" w:type="dxa"/>
            <w:vAlign w:val="top"/>
          </w:tcPr>
          <w:p w14:paraId="23CC1EFB">
            <w:pPr>
              <w:pStyle w:val="6"/>
              <w:spacing w:before="40" w:line="218" w:lineRule="auto"/>
              <w:ind w:left="34"/>
              <w:rPr>
                <w:sz w:val="20"/>
                <w:szCs w:val="20"/>
              </w:rPr>
            </w:pPr>
            <w:r>
              <w:rPr>
                <w:spacing w:val="8"/>
                <w:sz w:val="20"/>
                <w:szCs w:val="20"/>
              </w:rPr>
              <w:t>保证率日均浓度</w:t>
            </w:r>
          </w:p>
        </w:tc>
        <w:tc>
          <w:tcPr>
            <w:tcW w:w="1253" w:type="dxa"/>
            <w:vAlign w:val="top"/>
          </w:tcPr>
          <w:p w14:paraId="3BBA5EFF">
            <w:pPr>
              <w:spacing w:before="76"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0.76789</w:t>
            </w:r>
          </w:p>
        </w:tc>
        <w:tc>
          <w:tcPr>
            <w:tcW w:w="919" w:type="dxa"/>
            <w:vAlign w:val="top"/>
          </w:tcPr>
          <w:p w14:paraId="1DBCD877">
            <w:pPr>
              <w:spacing w:before="76"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220529</w:t>
            </w:r>
          </w:p>
        </w:tc>
        <w:tc>
          <w:tcPr>
            <w:tcW w:w="938" w:type="dxa"/>
            <w:vAlign w:val="top"/>
          </w:tcPr>
          <w:p w14:paraId="4D69E7E1">
            <w:pPr>
              <w:spacing w:before="76"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62.0</w:t>
            </w:r>
          </w:p>
        </w:tc>
        <w:tc>
          <w:tcPr>
            <w:tcW w:w="1039" w:type="dxa"/>
            <w:vAlign w:val="top"/>
          </w:tcPr>
          <w:p w14:paraId="5E25EEF5">
            <w:pPr>
              <w:spacing w:before="76"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62.76789</w:t>
            </w:r>
          </w:p>
        </w:tc>
        <w:tc>
          <w:tcPr>
            <w:tcW w:w="723" w:type="dxa"/>
            <w:vAlign w:val="top"/>
          </w:tcPr>
          <w:p w14:paraId="768AEAC5">
            <w:pPr>
              <w:spacing w:before="76"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41.85</w:t>
            </w:r>
          </w:p>
        </w:tc>
        <w:tc>
          <w:tcPr>
            <w:tcW w:w="489" w:type="dxa"/>
            <w:tcBorders>
              <w:right w:val="nil"/>
            </w:tcBorders>
            <w:vAlign w:val="top"/>
          </w:tcPr>
          <w:p w14:paraId="0A0A2493">
            <w:pPr>
              <w:pStyle w:val="6"/>
              <w:spacing w:before="40" w:line="218" w:lineRule="auto"/>
              <w:ind w:left="41"/>
              <w:rPr>
                <w:sz w:val="20"/>
                <w:szCs w:val="20"/>
              </w:rPr>
            </w:pPr>
            <w:r>
              <w:rPr>
                <w:spacing w:val="5"/>
                <w:sz w:val="20"/>
                <w:szCs w:val="20"/>
              </w:rPr>
              <w:t>达标</w:t>
            </w:r>
          </w:p>
        </w:tc>
      </w:tr>
      <w:tr w14:paraId="37235E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63E64FE7">
            <w:pPr>
              <w:rPr>
                <w:rFonts w:ascii="Arial"/>
                <w:sz w:val="21"/>
              </w:rPr>
            </w:pPr>
          </w:p>
        </w:tc>
        <w:tc>
          <w:tcPr>
            <w:tcW w:w="1381" w:type="dxa"/>
            <w:vMerge w:val="continue"/>
            <w:tcBorders>
              <w:top w:val="nil"/>
            </w:tcBorders>
            <w:vAlign w:val="top"/>
          </w:tcPr>
          <w:p w14:paraId="57C93938">
            <w:pPr>
              <w:rPr>
                <w:rFonts w:ascii="Arial"/>
                <w:sz w:val="21"/>
              </w:rPr>
            </w:pPr>
          </w:p>
        </w:tc>
        <w:tc>
          <w:tcPr>
            <w:tcW w:w="1524" w:type="dxa"/>
            <w:vAlign w:val="top"/>
          </w:tcPr>
          <w:p w14:paraId="06153E06">
            <w:pPr>
              <w:pStyle w:val="6"/>
              <w:spacing w:before="40" w:line="218" w:lineRule="auto"/>
              <w:ind w:left="348"/>
              <w:rPr>
                <w:sz w:val="20"/>
                <w:szCs w:val="20"/>
              </w:rPr>
            </w:pPr>
            <w:r>
              <w:rPr>
                <w:spacing w:val="7"/>
                <w:sz w:val="20"/>
                <w:szCs w:val="20"/>
              </w:rPr>
              <w:t>年均浓度</w:t>
            </w:r>
          </w:p>
        </w:tc>
        <w:tc>
          <w:tcPr>
            <w:tcW w:w="1253" w:type="dxa"/>
            <w:vAlign w:val="top"/>
          </w:tcPr>
          <w:p w14:paraId="75709224">
            <w:pPr>
              <w:spacing w:before="77"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0.13246</w:t>
            </w:r>
          </w:p>
        </w:tc>
        <w:tc>
          <w:tcPr>
            <w:tcW w:w="919" w:type="dxa"/>
            <w:vAlign w:val="top"/>
          </w:tcPr>
          <w:p w14:paraId="1B5B998D">
            <w:pPr>
              <w:pStyle w:val="6"/>
              <w:spacing w:before="40" w:line="218" w:lineRule="auto"/>
              <w:ind w:left="149"/>
              <w:rPr>
                <w:sz w:val="20"/>
                <w:szCs w:val="20"/>
              </w:rPr>
            </w:pPr>
            <w:r>
              <w:rPr>
                <w:spacing w:val="7"/>
                <w:sz w:val="20"/>
                <w:szCs w:val="20"/>
              </w:rPr>
              <w:t>平均值</w:t>
            </w:r>
          </w:p>
        </w:tc>
        <w:tc>
          <w:tcPr>
            <w:tcW w:w="938" w:type="dxa"/>
            <w:vAlign w:val="top"/>
          </w:tcPr>
          <w:p w14:paraId="474D0D05">
            <w:pPr>
              <w:spacing w:before="77" w:line="195"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24.0</w:t>
            </w:r>
          </w:p>
        </w:tc>
        <w:tc>
          <w:tcPr>
            <w:tcW w:w="1039" w:type="dxa"/>
            <w:vAlign w:val="top"/>
          </w:tcPr>
          <w:p w14:paraId="049B1C9B">
            <w:pPr>
              <w:spacing w:before="77"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24.13246</w:t>
            </w:r>
          </w:p>
        </w:tc>
        <w:tc>
          <w:tcPr>
            <w:tcW w:w="723" w:type="dxa"/>
            <w:vAlign w:val="top"/>
          </w:tcPr>
          <w:p w14:paraId="2AE9E1D7">
            <w:pPr>
              <w:spacing w:before="77"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34.47</w:t>
            </w:r>
          </w:p>
        </w:tc>
        <w:tc>
          <w:tcPr>
            <w:tcW w:w="489" w:type="dxa"/>
            <w:tcBorders>
              <w:right w:val="nil"/>
            </w:tcBorders>
            <w:vAlign w:val="top"/>
          </w:tcPr>
          <w:p w14:paraId="26929C8E">
            <w:pPr>
              <w:pStyle w:val="6"/>
              <w:spacing w:before="40" w:line="218" w:lineRule="auto"/>
              <w:ind w:left="41"/>
              <w:rPr>
                <w:sz w:val="20"/>
                <w:szCs w:val="20"/>
              </w:rPr>
            </w:pPr>
            <w:r>
              <w:rPr>
                <w:spacing w:val="5"/>
                <w:sz w:val="20"/>
                <w:szCs w:val="20"/>
              </w:rPr>
              <w:t>达标</w:t>
            </w:r>
          </w:p>
        </w:tc>
      </w:tr>
      <w:tr w14:paraId="11CC2F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548E2225">
            <w:pPr>
              <w:rPr>
                <w:rFonts w:ascii="Arial"/>
                <w:sz w:val="21"/>
              </w:rPr>
            </w:pPr>
          </w:p>
        </w:tc>
        <w:tc>
          <w:tcPr>
            <w:tcW w:w="1381" w:type="dxa"/>
            <w:vMerge w:val="restart"/>
            <w:tcBorders>
              <w:bottom w:val="nil"/>
            </w:tcBorders>
            <w:vAlign w:val="top"/>
          </w:tcPr>
          <w:p w14:paraId="5E3D4DC3">
            <w:pPr>
              <w:pStyle w:val="6"/>
              <w:spacing w:before="188" w:line="228" w:lineRule="auto"/>
              <w:ind w:left="87"/>
              <w:rPr>
                <w:sz w:val="20"/>
                <w:szCs w:val="20"/>
              </w:rPr>
            </w:pPr>
            <w:r>
              <w:rPr>
                <w:spacing w:val="4"/>
                <w:sz w:val="20"/>
                <w:szCs w:val="20"/>
              </w:rPr>
              <w:t>巴润阿木斯尔</w:t>
            </w:r>
          </w:p>
        </w:tc>
        <w:tc>
          <w:tcPr>
            <w:tcW w:w="1524" w:type="dxa"/>
            <w:vAlign w:val="top"/>
          </w:tcPr>
          <w:p w14:paraId="1FE10306">
            <w:pPr>
              <w:pStyle w:val="6"/>
              <w:spacing w:before="41" w:line="217" w:lineRule="auto"/>
              <w:ind w:left="34"/>
              <w:rPr>
                <w:sz w:val="20"/>
                <w:szCs w:val="20"/>
              </w:rPr>
            </w:pPr>
            <w:r>
              <w:rPr>
                <w:spacing w:val="8"/>
                <w:sz w:val="20"/>
                <w:szCs w:val="20"/>
              </w:rPr>
              <w:t>保证率日均浓度</w:t>
            </w:r>
          </w:p>
        </w:tc>
        <w:tc>
          <w:tcPr>
            <w:tcW w:w="1253" w:type="dxa"/>
            <w:vAlign w:val="top"/>
          </w:tcPr>
          <w:p w14:paraId="1965D3C8">
            <w:pPr>
              <w:spacing w:before="77"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1.99774</w:t>
            </w:r>
          </w:p>
        </w:tc>
        <w:tc>
          <w:tcPr>
            <w:tcW w:w="919" w:type="dxa"/>
            <w:vAlign w:val="top"/>
          </w:tcPr>
          <w:p w14:paraId="7EDF10DC">
            <w:pPr>
              <w:spacing w:before="77"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220424</w:t>
            </w:r>
          </w:p>
        </w:tc>
        <w:tc>
          <w:tcPr>
            <w:tcW w:w="938" w:type="dxa"/>
            <w:vAlign w:val="top"/>
          </w:tcPr>
          <w:p w14:paraId="388B24C4">
            <w:pPr>
              <w:spacing w:before="77"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62.0</w:t>
            </w:r>
          </w:p>
        </w:tc>
        <w:tc>
          <w:tcPr>
            <w:tcW w:w="1039" w:type="dxa"/>
            <w:vAlign w:val="top"/>
          </w:tcPr>
          <w:p w14:paraId="7D36D850">
            <w:pPr>
              <w:spacing w:before="77"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63.99774</w:t>
            </w:r>
          </w:p>
        </w:tc>
        <w:tc>
          <w:tcPr>
            <w:tcW w:w="723" w:type="dxa"/>
            <w:vAlign w:val="top"/>
          </w:tcPr>
          <w:p w14:paraId="1E3FF235">
            <w:pPr>
              <w:spacing w:before="77"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42.67</w:t>
            </w:r>
          </w:p>
        </w:tc>
        <w:tc>
          <w:tcPr>
            <w:tcW w:w="489" w:type="dxa"/>
            <w:tcBorders>
              <w:right w:val="nil"/>
            </w:tcBorders>
            <w:vAlign w:val="top"/>
          </w:tcPr>
          <w:p w14:paraId="6784AC86">
            <w:pPr>
              <w:pStyle w:val="6"/>
              <w:spacing w:before="41" w:line="217" w:lineRule="auto"/>
              <w:ind w:left="41"/>
              <w:rPr>
                <w:sz w:val="20"/>
                <w:szCs w:val="20"/>
              </w:rPr>
            </w:pPr>
            <w:r>
              <w:rPr>
                <w:spacing w:val="5"/>
                <w:sz w:val="20"/>
                <w:szCs w:val="20"/>
              </w:rPr>
              <w:t>达标</w:t>
            </w:r>
          </w:p>
        </w:tc>
      </w:tr>
      <w:tr w14:paraId="29EED2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810" w:type="dxa"/>
            <w:vMerge w:val="continue"/>
            <w:tcBorders>
              <w:top w:val="nil"/>
              <w:left w:val="nil"/>
              <w:bottom w:val="nil"/>
            </w:tcBorders>
            <w:vAlign w:val="top"/>
          </w:tcPr>
          <w:p w14:paraId="1F3BD5CA">
            <w:pPr>
              <w:rPr>
                <w:rFonts w:ascii="Arial"/>
                <w:sz w:val="21"/>
              </w:rPr>
            </w:pPr>
          </w:p>
        </w:tc>
        <w:tc>
          <w:tcPr>
            <w:tcW w:w="1381" w:type="dxa"/>
            <w:vMerge w:val="continue"/>
            <w:tcBorders>
              <w:top w:val="nil"/>
            </w:tcBorders>
            <w:vAlign w:val="top"/>
          </w:tcPr>
          <w:p w14:paraId="77D31C0C">
            <w:pPr>
              <w:rPr>
                <w:rFonts w:ascii="Arial"/>
                <w:sz w:val="21"/>
              </w:rPr>
            </w:pPr>
          </w:p>
        </w:tc>
        <w:tc>
          <w:tcPr>
            <w:tcW w:w="1524" w:type="dxa"/>
            <w:vAlign w:val="top"/>
          </w:tcPr>
          <w:p w14:paraId="271A49AA">
            <w:pPr>
              <w:pStyle w:val="6"/>
              <w:spacing w:before="43" w:line="215" w:lineRule="auto"/>
              <w:ind w:left="348"/>
              <w:rPr>
                <w:sz w:val="20"/>
                <w:szCs w:val="20"/>
              </w:rPr>
            </w:pPr>
            <w:r>
              <w:rPr>
                <w:spacing w:val="7"/>
                <w:sz w:val="20"/>
                <w:szCs w:val="20"/>
              </w:rPr>
              <w:t>年均浓度</w:t>
            </w:r>
          </w:p>
        </w:tc>
        <w:tc>
          <w:tcPr>
            <w:tcW w:w="1253" w:type="dxa"/>
            <w:vAlign w:val="top"/>
          </w:tcPr>
          <w:p w14:paraId="40078CE8">
            <w:pPr>
              <w:spacing w:before="78" w:line="195" w:lineRule="auto"/>
              <w:ind w:left="3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0.145</w:t>
            </w:r>
          </w:p>
        </w:tc>
        <w:tc>
          <w:tcPr>
            <w:tcW w:w="919" w:type="dxa"/>
            <w:vAlign w:val="top"/>
          </w:tcPr>
          <w:p w14:paraId="32D808CF">
            <w:pPr>
              <w:pStyle w:val="6"/>
              <w:spacing w:before="43" w:line="215" w:lineRule="auto"/>
              <w:ind w:left="149"/>
              <w:rPr>
                <w:sz w:val="20"/>
                <w:szCs w:val="20"/>
              </w:rPr>
            </w:pPr>
            <w:r>
              <w:rPr>
                <w:spacing w:val="7"/>
                <w:sz w:val="20"/>
                <w:szCs w:val="20"/>
              </w:rPr>
              <w:t>平均值</w:t>
            </w:r>
          </w:p>
        </w:tc>
        <w:tc>
          <w:tcPr>
            <w:tcW w:w="938" w:type="dxa"/>
            <w:vAlign w:val="top"/>
          </w:tcPr>
          <w:p w14:paraId="7164CBC6">
            <w:pPr>
              <w:spacing w:before="78" w:line="195"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24.0</w:t>
            </w:r>
          </w:p>
        </w:tc>
        <w:tc>
          <w:tcPr>
            <w:tcW w:w="1039" w:type="dxa"/>
            <w:vAlign w:val="top"/>
          </w:tcPr>
          <w:p w14:paraId="2DD30CE6">
            <w:pPr>
              <w:spacing w:before="78" w:line="195" w:lineRule="auto"/>
              <w:ind w:left="2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24.145</w:t>
            </w:r>
          </w:p>
        </w:tc>
        <w:tc>
          <w:tcPr>
            <w:tcW w:w="723" w:type="dxa"/>
            <w:vAlign w:val="top"/>
          </w:tcPr>
          <w:p w14:paraId="3A483A11">
            <w:pPr>
              <w:spacing w:before="78"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34.49</w:t>
            </w:r>
          </w:p>
        </w:tc>
        <w:tc>
          <w:tcPr>
            <w:tcW w:w="489" w:type="dxa"/>
            <w:tcBorders>
              <w:right w:val="nil"/>
            </w:tcBorders>
            <w:vAlign w:val="top"/>
          </w:tcPr>
          <w:p w14:paraId="11243714">
            <w:pPr>
              <w:pStyle w:val="6"/>
              <w:spacing w:before="43" w:line="215" w:lineRule="auto"/>
              <w:ind w:left="41"/>
              <w:rPr>
                <w:sz w:val="20"/>
                <w:szCs w:val="20"/>
              </w:rPr>
            </w:pPr>
            <w:r>
              <w:rPr>
                <w:spacing w:val="5"/>
                <w:sz w:val="20"/>
                <w:szCs w:val="20"/>
              </w:rPr>
              <w:t>达标</w:t>
            </w:r>
          </w:p>
        </w:tc>
      </w:tr>
      <w:tr w14:paraId="02FDBF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78E04C3A">
            <w:pPr>
              <w:rPr>
                <w:rFonts w:ascii="Arial"/>
                <w:sz w:val="21"/>
              </w:rPr>
            </w:pPr>
          </w:p>
        </w:tc>
        <w:tc>
          <w:tcPr>
            <w:tcW w:w="1381" w:type="dxa"/>
            <w:vMerge w:val="restart"/>
            <w:tcBorders>
              <w:bottom w:val="nil"/>
            </w:tcBorders>
            <w:vAlign w:val="top"/>
          </w:tcPr>
          <w:p w14:paraId="7AADFF0D">
            <w:pPr>
              <w:pStyle w:val="6"/>
              <w:spacing w:before="54" w:line="237" w:lineRule="auto"/>
              <w:ind w:left="10" w:firstLine="66"/>
              <w:rPr>
                <w:sz w:val="20"/>
                <w:szCs w:val="20"/>
              </w:rPr>
            </w:pPr>
            <w:r>
              <w:rPr>
                <w:spacing w:val="-6"/>
                <w:sz w:val="20"/>
                <w:szCs w:val="20"/>
              </w:rPr>
              <w:t>区域最大落地</w:t>
            </w:r>
            <w:r>
              <w:rPr>
                <w:spacing w:val="1"/>
                <w:sz w:val="20"/>
                <w:szCs w:val="20"/>
              </w:rPr>
              <w:t xml:space="preserve">  </w:t>
            </w:r>
            <w:r>
              <w:rPr>
                <w:spacing w:val="-5"/>
                <w:sz w:val="20"/>
                <w:szCs w:val="20"/>
              </w:rPr>
              <w:t>浓度（网格点）</w:t>
            </w:r>
          </w:p>
        </w:tc>
        <w:tc>
          <w:tcPr>
            <w:tcW w:w="1524" w:type="dxa"/>
            <w:vAlign w:val="top"/>
          </w:tcPr>
          <w:p w14:paraId="5A876F84">
            <w:pPr>
              <w:pStyle w:val="6"/>
              <w:spacing w:before="45" w:line="214" w:lineRule="auto"/>
              <w:ind w:left="34"/>
              <w:rPr>
                <w:sz w:val="20"/>
                <w:szCs w:val="20"/>
              </w:rPr>
            </w:pPr>
            <w:r>
              <w:rPr>
                <w:spacing w:val="8"/>
                <w:sz w:val="20"/>
                <w:szCs w:val="20"/>
              </w:rPr>
              <w:t>保证率日均浓度</w:t>
            </w:r>
          </w:p>
        </w:tc>
        <w:tc>
          <w:tcPr>
            <w:tcW w:w="1253" w:type="dxa"/>
            <w:vAlign w:val="top"/>
          </w:tcPr>
          <w:p w14:paraId="48427ED3">
            <w:pPr>
              <w:spacing w:before="80"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5.64798</w:t>
            </w:r>
          </w:p>
        </w:tc>
        <w:tc>
          <w:tcPr>
            <w:tcW w:w="919" w:type="dxa"/>
            <w:vAlign w:val="top"/>
          </w:tcPr>
          <w:p w14:paraId="2082C1D7">
            <w:pPr>
              <w:spacing w:before="80"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220529</w:t>
            </w:r>
          </w:p>
        </w:tc>
        <w:tc>
          <w:tcPr>
            <w:tcW w:w="938" w:type="dxa"/>
            <w:vAlign w:val="top"/>
          </w:tcPr>
          <w:p w14:paraId="36948A5B">
            <w:pPr>
              <w:spacing w:before="80"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62.0</w:t>
            </w:r>
          </w:p>
        </w:tc>
        <w:tc>
          <w:tcPr>
            <w:tcW w:w="1039" w:type="dxa"/>
            <w:vAlign w:val="top"/>
          </w:tcPr>
          <w:p w14:paraId="23CBA97F">
            <w:pPr>
              <w:spacing w:before="80"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67.64798</w:t>
            </w:r>
          </w:p>
        </w:tc>
        <w:tc>
          <w:tcPr>
            <w:tcW w:w="723" w:type="dxa"/>
            <w:vAlign w:val="top"/>
          </w:tcPr>
          <w:p w14:paraId="741BA81E">
            <w:pPr>
              <w:spacing w:before="80"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45.10</w:t>
            </w:r>
          </w:p>
        </w:tc>
        <w:tc>
          <w:tcPr>
            <w:tcW w:w="489" w:type="dxa"/>
            <w:tcBorders>
              <w:right w:val="nil"/>
            </w:tcBorders>
            <w:vAlign w:val="top"/>
          </w:tcPr>
          <w:p w14:paraId="72613E4F">
            <w:pPr>
              <w:pStyle w:val="6"/>
              <w:spacing w:before="45" w:line="214" w:lineRule="auto"/>
              <w:ind w:left="41"/>
              <w:rPr>
                <w:sz w:val="20"/>
                <w:szCs w:val="20"/>
              </w:rPr>
            </w:pPr>
            <w:r>
              <w:rPr>
                <w:spacing w:val="5"/>
                <w:sz w:val="20"/>
                <w:szCs w:val="20"/>
              </w:rPr>
              <w:t>达标</w:t>
            </w:r>
          </w:p>
        </w:tc>
      </w:tr>
      <w:tr w14:paraId="309FEC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810" w:type="dxa"/>
            <w:vMerge w:val="continue"/>
            <w:tcBorders>
              <w:top w:val="nil"/>
              <w:left w:val="nil"/>
            </w:tcBorders>
            <w:vAlign w:val="top"/>
          </w:tcPr>
          <w:p w14:paraId="2FC4E206">
            <w:pPr>
              <w:rPr>
                <w:rFonts w:ascii="Arial"/>
                <w:sz w:val="21"/>
              </w:rPr>
            </w:pPr>
          </w:p>
        </w:tc>
        <w:tc>
          <w:tcPr>
            <w:tcW w:w="1381" w:type="dxa"/>
            <w:vMerge w:val="continue"/>
            <w:tcBorders>
              <w:top w:val="nil"/>
            </w:tcBorders>
            <w:vAlign w:val="top"/>
          </w:tcPr>
          <w:p w14:paraId="1099BE48">
            <w:pPr>
              <w:rPr>
                <w:rFonts w:ascii="Arial"/>
                <w:sz w:val="21"/>
              </w:rPr>
            </w:pPr>
          </w:p>
        </w:tc>
        <w:tc>
          <w:tcPr>
            <w:tcW w:w="1524" w:type="dxa"/>
            <w:vAlign w:val="top"/>
          </w:tcPr>
          <w:p w14:paraId="1E4FACB7">
            <w:pPr>
              <w:pStyle w:val="6"/>
              <w:spacing w:before="45" w:line="213" w:lineRule="auto"/>
              <w:ind w:left="348"/>
              <w:rPr>
                <w:sz w:val="20"/>
                <w:szCs w:val="20"/>
              </w:rPr>
            </w:pPr>
            <w:r>
              <w:rPr>
                <w:spacing w:val="7"/>
                <w:sz w:val="20"/>
                <w:szCs w:val="20"/>
              </w:rPr>
              <w:t>年均浓度</w:t>
            </w:r>
          </w:p>
        </w:tc>
        <w:tc>
          <w:tcPr>
            <w:tcW w:w="1253" w:type="dxa"/>
            <w:vAlign w:val="top"/>
          </w:tcPr>
          <w:p w14:paraId="2A257475">
            <w:pPr>
              <w:spacing w:before="81"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1.14919</w:t>
            </w:r>
          </w:p>
        </w:tc>
        <w:tc>
          <w:tcPr>
            <w:tcW w:w="919" w:type="dxa"/>
            <w:vAlign w:val="top"/>
          </w:tcPr>
          <w:p w14:paraId="0288B109">
            <w:pPr>
              <w:pStyle w:val="6"/>
              <w:spacing w:before="45" w:line="213" w:lineRule="auto"/>
              <w:ind w:left="149"/>
              <w:rPr>
                <w:sz w:val="20"/>
                <w:szCs w:val="20"/>
              </w:rPr>
            </w:pPr>
            <w:r>
              <w:rPr>
                <w:spacing w:val="7"/>
                <w:sz w:val="20"/>
                <w:szCs w:val="20"/>
              </w:rPr>
              <w:t>平均值</w:t>
            </w:r>
          </w:p>
        </w:tc>
        <w:tc>
          <w:tcPr>
            <w:tcW w:w="938" w:type="dxa"/>
            <w:vAlign w:val="top"/>
          </w:tcPr>
          <w:p w14:paraId="6268A49D">
            <w:pPr>
              <w:spacing w:before="81" w:line="195"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24.0</w:t>
            </w:r>
          </w:p>
        </w:tc>
        <w:tc>
          <w:tcPr>
            <w:tcW w:w="1039" w:type="dxa"/>
            <w:vAlign w:val="top"/>
          </w:tcPr>
          <w:p w14:paraId="4EBD844F">
            <w:pPr>
              <w:spacing w:before="81"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25.14919</w:t>
            </w:r>
          </w:p>
        </w:tc>
        <w:tc>
          <w:tcPr>
            <w:tcW w:w="723" w:type="dxa"/>
            <w:vAlign w:val="top"/>
          </w:tcPr>
          <w:p w14:paraId="7AADEE7A">
            <w:pPr>
              <w:spacing w:before="81"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35.93</w:t>
            </w:r>
          </w:p>
        </w:tc>
        <w:tc>
          <w:tcPr>
            <w:tcW w:w="489" w:type="dxa"/>
            <w:tcBorders>
              <w:right w:val="nil"/>
            </w:tcBorders>
            <w:vAlign w:val="top"/>
          </w:tcPr>
          <w:p w14:paraId="44090716">
            <w:pPr>
              <w:pStyle w:val="6"/>
              <w:spacing w:before="45" w:line="213" w:lineRule="auto"/>
              <w:ind w:left="41"/>
              <w:rPr>
                <w:sz w:val="20"/>
                <w:szCs w:val="20"/>
              </w:rPr>
            </w:pPr>
            <w:r>
              <w:rPr>
                <w:spacing w:val="5"/>
                <w:sz w:val="20"/>
                <w:szCs w:val="20"/>
              </w:rPr>
              <w:t>达标</w:t>
            </w:r>
          </w:p>
        </w:tc>
      </w:tr>
      <w:tr w14:paraId="073C12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restart"/>
            <w:tcBorders>
              <w:left w:val="nil"/>
              <w:bottom w:val="nil"/>
            </w:tcBorders>
            <w:vAlign w:val="top"/>
          </w:tcPr>
          <w:p w14:paraId="3671C977">
            <w:pPr>
              <w:spacing w:line="252" w:lineRule="auto"/>
              <w:rPr>
                <w:rFonts w:ascii="Arial"/>
                <w:sz w:val="21"/>
              </w:rPr>
            </w:pPr>
          </w:p>
          <w:p w14:paraId="5FBAA228">
            <w:pPr>
              <w:spacing w:line="252" w:lineRule="auto"/>
              <w:rPr>
                <w:rFonts w:ascii="Arial"/>
                <w:sz w:val="21"/>
              </w:rPr>
            </w:pPr>
          </w:p>
          <w:p w14:paraId="54C55460">
            <w:pPr>
              <w:spacing w:line="252" w:lineRule="auto"/>
              <w:rPr>
                <w:rFonts w:ascii="Arial"/>
                <w:sz w:val="21"/>
              </w:rPr>
            </w:pPr>
          </w:p>
          <w:p w14:paraId="46278DBE">
            <w:pPr>
              <w:spacing w:before="57" w:line="201" w:lineRule="auto"/>
              <w:ind w:left="167"/>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6"/>
                <w:position w:val="-1"/>
                <w:sz w:val="13"/>
                <w:szCs w:val="13"/>
              </w:rPr>
              <w:t>2.5</w:t>
            </w:r>
          </w:p>
        </w:tc>
        <w:tc>
          <w:tcPr>
            <w:tcW w:w="1381" w:type="dxa"/>
            <w:vMerge w:val="restart"/>
            <w:tcBorders>
              <w:bottom w:val="nil"/>
            </w:tcBorders>
            <w:vAlign w:val="top"/>
          </w:tcPr>
          <w:p w14:paraId="72E6EC09">
            <w:pPr>
              <w:pStyle w:val="6"/>
              <w:spacing w:before="193" w:line="228" w:lineRule="auto"/>
              <w:ind w:left="278"/>
              <w:rPr>
                <w:sz w:val="20"/>
                <w:szCs w:val="20"/>
              </w:rPr>
            </w:pPr>
            <w:r>
              <w:rPr>
                <w:spacing w:val="6"/>
                <w:sz w:val="20"/>
                <w:szCs w:val="20"/>
              </w:rPr>
              <w:t>温都尔庙</w:t>
            </w:r>
          </w:p>
        </w:tc>
        <w:tc>
          <w:tcPr>
            <w:tcW w:w="1524" w:type="dxa"/>
            <w:vAlign w:val="top"/>
          </w:tcPr>
          <w:p w14:paraId="4759F958">
            <w:pPr>
              <w:pStyle w:val="6"/>
              <w:spacing w:before="47" w:line="212" w:lineRule="auto"/>
              <w:ind w:left="34"/>
              <w:rPr>
                <w:sz w:val="20"/>
                <w:szCs w:val="20"/>
              </w:rPr>
            </w:pPr>
            <w:r>
              <w:rPr>
                <w:spacing w:val="8"/>
                <w:sz w:val="20"/>
                <w:szCs w:val="20"/>
              </w:rPr>
              <w:t>保证率日均浓度</w:t>
            </w:r>
          </w:p>
        </w:tc>
        <w:tc>
          <w:tcPr>
            <w:tcW w:w="1253" w:type="dxa"/>
            <w:vAlign w:val="top"/>
          </w:tcPr>
          <w:p w14:paraId="3F156CC9">
            <w:pPr>
              <w:spacing w:before="83" w:line="195"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2.24431</w:t>
            </w:r>
          </w:p>
        </w:tc>
        <w:tc>
          <w:tcPr>
            <w:tcW w:w="919" w:type="dxa"/>
            <w:vAlign w:val="top"/>
          </w:tcPr>
          <w:p w14:paraId="3F1E5653">
            <w:pPr>
              <w:spacing w:before="83" w:line="195" w:lineRule="auto"/>
              <w:ind w:left="14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220119</w:t>
            </w:r>
          </w:p>
        </w:tc>
        <w:tc>
          <w:tcPr>
            <w:tcW w:w="938" w:type="dxa"/>
            <w:vAlign w:val="top"/>
          </w:tcPr>
          <w:p w14:paraId="25873A20">
            <w:pPr>
              <w:spacing w:before="83"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33.8</w:t>
            </w:r>
          </w:p>
        </w:tc>
        <w:tc>
          <w:tcPr>
            <w:tcW w:w="1039" w:type="dxa"/>
            <w:vAlign w:val="top"/>
          </w:tcPr>
          <w:p w14:paraId="269F068E">
            <w:pPr>
              <w:spacing w:before="83"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36.04431</w:t>
            </w:r>
          </w:p>
        </w:tc>
        <w:tc>
          <w:tcPr>
            <w:tcW w:w="723" w:type="dxa"/>
            <w:vAlign w:val="top"/>
          </w:tcPr>
          <w:p w14:paraId="445FE880">
            <w:pPr>
              <w:spacing w:before="83"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48.06</w:t>
            </w:r>
          </w:p>
        </w:tc>
        <w:tc>
          <w:tcPr>
            <w:tcW w:w="489" w:type="dxa"/>
            <w:tcBorders>
              <w:right w:val="nil"/>
            </w:tcBorders>
            <w:vAlign w:val="top"/>
          </w:tcPr>
          <w:p w14:paraId="18864A45">
            <w:pPr>
              <w:pStyle w:val="6"/>
              <w:spacing w:before="47" w:line="212" w:lineRule="auto"/>
              <w:ind w:left="41"/>
              <w:rPr>
                <w:sz w:val="20"/>
                <w:szCs w:val="20"/>
              </w:rPr>
            </w:pPr>
            <w:r>
              <w:rPr>
                <w:spacing w:val="5"/>
                <w:sz w:val="20"/>
                <w:szCs w:val="20"/>
              </w:rPr>
              <w:t>达标</w:t>
            </w:r>
          </w:p>
        </w:tc>
      </w:tr>
      <w:tr w14:paraId="2311AA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471E4FF4">
            <w:pPr>
              <w:rPr>
                <w:rFonts w:ascii="Arial"/>
                <w:sz w:val="21"/>
              </w:rPr>
            </w:pPr>
          </w:p>
        </w:tc>
        <w:tc>
          <w:tcPr>
            <w:tcW w:w="1381" w:type="dxa"/>
            <w:vMerge w:val="continue"/>
            <w:tcBorders>
              <w:top w:val="nil"/>
            </w:tcBorders>
            <w:vAlign w:val="top"/>
          </w:tcPr>
          <w:p w14:paraId="11764C44">
            <w:pPr>
              <w:rPr>
                <w:rFonts w:ascii="Arial"/>
                <w:sz w:val="21"/>
              </w:rPr>
            </w:pPr>
          </w:p>
        </w:tc>
        <w:tc>
          <w:tcPr>
            <w:tcW w:w="1524" w:type="dxa"/>
            <w:vAlign w:val="top"/>
          </w:tcPr>
          <w:p w14:paraId="4414BFF6">
            <w:pPr>
              <w:pStyle w:val="6"/>
              <w:spacing w:before="48" w:line="211" w:lineRule="auto"/>
              <w:ind w:left="348"/>
              <w:rPr>
                <w:sz w:val="20"/>
                <w:szCs w:val="20"/>
              </w:rPr>
            </w:pPr>
            <w:r>
              <w:rPr>
                <w:spacing w:val="7"/>
                <w:sz w:val="20"/>
                <w:szCs w:val="20"/>
              </w:rPr>
              <w:t>年均浓度</w:t>
            </w:r>
          </w:p>
        </w:tc>
        <w:tc>
          <w:tcPr>
            <w:tcW w:w="1253" w:type="dxa"/>
            <w:vAlign w:val="top"/>
          </w:tcPr>
          <w:p w14:paraId="418EE24B">
            <w:pPr>
              <w:spacing w:before="83"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0.41271</w:t>
            </w:r>
          </w:p>
        </w:tc>
        <w:tc>
          <w:tcPr>
            <w:tcW w:w="919" w:type="dxa"/>
            <w:vAlign w:val="top"/>
          </w:tcPr>
          <w:p w14:paraId="7A3C254B">
            <w:pPr>
              <w:pStyle w:val="6"/>
              <w:spacing w:before="48" w:line="211" w:lineRule="auto"/>
              <w:ind w:left="149"/>
              <w:rPr>
                <w:sz w:val="20"/>
                <w:szCs w:val="20"/>
              </w:rPr>
            </w:pPr>
            <w:r>
              <w:rPr>
                <w:spacing w:val="7"/>
                <w:sz w:val="20"/>
                <w:szCs w:val="20"/>
              </w:rPr>
              <w:t>平均值</w:t>
            </w:r>
          </w:p>
        </w:tc>
        <w:tc>
          <w:tcPr>
            <w:tcW w:w="938" w:type="dxa"/>
            <w:vAlign w:val="top"/>
          </w:tcPr>
          <w:p w14:paraId="384F375D">
            <w:pPr>
              <w:spacing w:before="83"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1039" w:type="dxa"/>
            <w:vAlign w:val="top"/>
          </w:tcPr>
          <w:p w14:paraId="3001880B">
            <w:pPr>
              <w:spacing w:before="83"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12.41271</w:t>
            </w:r>
          </w:p>
        </w:tc>
        <w:tc>
          <w:tcPr>
            <w:tcW w:w="723" w:type="dxa"/>
            <w:vAlign w:val="top"/>
          </w:tcPr>
          <w:p w14:paraId="633596BC">
            <w:pPr>
              <w:spacing w:before="83"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35.46</w:t>
            </w:r>
          </w:p>
        </w:tc>
        <w:tc>
          <w:tcPr>
            <w:tcW w:w="489" w:type="dxa"/>
            <w:tcBorders>
              <w:right w:val="nil"/>
            </w:tcBorders>
            <w:vAlign w:val="top"/>
          </w:tcPr>
          <w:p w14:paraId="2BC920D1">
            <w:pPr>
              <w:pStyle w:val="6"/>
              <w:spacing w:before="48" w:line="211" w:lineRule="auto"/>
              <w:ind w:left="41"/>
              <w:rPr>
                <w:sz w:val="20"/>
                <w:szCs w:val="20"/>
              </w:rPr>
            </w:pPr>
            <w:r>
              <w:rPr>
                <w:spacing w:val="5"/>
                <w:sz w:val="20"/>
                <w:szCs w:val="20"/>
              </w:rPr>
              <w:t>达标</w:t>
            </w:r>
          </w:p>
        </w:tc>
      </w:tr>
      <w:tr w14:paraId="3E9492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40A5B526">
            <w:pPr>
              <w:rPr>
                <w:rFonts w:ascii="Arial"/>
                <w:sz w:val="21"/>
              </w:rPr>
            </w:pPr>
          </w:p>
        </w:tc>
        <w:tc>
          <w:tcPr>
            <w:tcW w:w="1381" w:type="dxa"/>
            <w:vMerge w:val="restart"/>
            <w:tcBorders>
              <w:bottom w:val="nil"/>
            </w:tcBorders>
            <w:vAlign w:val="top"/>
          </w:tcPr>
          <w:p w14:paraId="0732FCBB">
            <w:pPr>
              <w:pStyle w:val="6"/>
              <w:spacing w:before="195" w:line="228" w:lineRule="auto"/>
              <w:ind w:left="87"/>
              <w:rPr>
                <w:sz w:val="20"/>
                <w:szCs w:val="20"/>
              </w:rPr>
            </w:pPr>
            <w:r>
              <w:rPr>
                <w:spacing w:val="4"/>
                <w:sz w:val="20"/>
                <w:szCs w:val="20"/>
              </w:rPr>
              <w:t>巴润阿木斯尔</w:t>
            </w:r>
          </w:p>
        </w:tc>
        <w:tc>
          <w:tcPr>
            <w:tcW w:w="1524" w:type="dxa"/>
            <w:vAlign w:val="top"/>
          </w:tcPr>
          <w:p w14:paraId="632E092E">
            <w:pPr>
              <w:pStyle w:val="6"/>
              <w:spacing w:before="48" w:line="211" w:lineRule="auto"/>
              <w:ind w:left="34"/>
              <w:rPr>
                <w:sz w:val="20"/>
                <w:szCs w:val="20"/>
              </w:rPr>
            </w:pPr>
            <w:r>
              <w:rPr>
                <w:spacing w:val="8"/>
                <w:sz w:val="20"/>
                <w:szCs w:val="20"/>
              </w:rPr>
              <w:t>保证率日均浓度</w:t>
            </w:r>
          </w:p>
        </w:tc>
        <w:tc>
          <w:tcPr>
            <w:tcW w:w="1253" w:type="dxa"/>
            <w:vAlign w:val="top"/>
          </w:tcPr>
          <w:p w14:paraId="2D88ACF6">
            <w:pPr>
              <w:spacing w:before="84"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3.16975</w:t>
            </w:r>
          </w:p>
        </w:tc>
        <w:tc>
          <w:tcPr>
            <w:tcW w:w="919" w:type="dxa"/>
            <w:vAlign w:val="top"/>
          </w:tcPr>
          <w:p w14:paraId="000D652B">
            <w:pPr>
              <w:spacing w:before="84"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220920</w:t>
            </w:r>
          </w:p>
        </w:tc>
        <w:tc>
          <w:tcPr>
            <w:tcW w:w="938" w:type="dxa"/>
            <w:vAlign w:val="top"/>
          </w:tcPr>
          <w:p w14:paraId="3209CA5C">
            <w:pPr>
              <w:spacing w:before="84"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33.8</w:t>
            </w:r>
          </w:p>
        </w:tc>
        <w:tc>
          <w:tcPr>
            <w:tcW w:w="1039" w:type="dxa"/>
            <w:vAlign w:val="top"/>
          </w:tcPr>
          <w:p w14:paraId="4415F6F4">
            <w:pPr>
              <w:spacing w:before="84"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36.96975</w:t>
            </w:r>
          </w:p>
        </w:tc>
        <w:tc>
          <w:tcPr>
            <w:tcW w:w="723" w:type="dxa"/>
            <w:vAlign w:val="top"/>
          </w:tcPr>
          <w:p w14:paraId="292C3B1C">
            <w:pPr>
              <w:spacing w:before="84"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49.29</w:t>
            </w:r>
          </w:p>
        </w:tc>
        <w:tc>
          <w:tcPr>
            <w:tcW w:w="489" w:type="dxa"/>
            <w:tcBorders>
              <w:right w:val="nil"/>
            </w:tcBorders>
            <w:vAlign w:val="top"/>
          </w:tcPr>
          <w:p w14:paraId="57CD3F5E">
            <w:pPr>
              <w:pStyle w:val="6"/>
              <w:spacing w:before="48" w:line="211" w:lineRule="auto"/>
              <w:ind w:left="41"/>
              <w:rPr>
                <w:sz w:val="20"/>
                <w:szCs w:val="20"/>
              </w:rPr>
            </w:pPr>
            <w:r>
              <w:rPr>
                <w:spacing w:val="5"/>
                <w:sz w:val="20"/>
                <w:szCs w:val="20"/>
              </w:rPr>
              <w:t>达标</w:t>
            </w:r>
          </w:p>
        </w:tc>
      </w:tr>
      <w:tr w14:paraId="473367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74115466">
            <w:pPr>
              <w:rPr>
                <w:rFonts w:ascii="Arial"/>
                <w:sz w:val="21"/>
              </w:rPr>
            </w:pPr>
          </w:p>
        </w:tc>
        <w:tc>
          <w:tcPr>
            <w:tcW w:w="1381" w:type="dxa"/>
            <w:vMerge w:val="continue"/>
            <w:tcBorders>
              <w:top w:val="nil"/>
            </w:tcBorders>
            <w:vAlign w:val="top"/>
          </w:tcPr>
          <w:p w14:paraId="18E21ED0">
            <w:pPr>
              <w:rPr>
                <w:rFonts w:ascii="Arial"/>
                <w:sz w:val="21"/>
              </w:rPr>
            </w:pPr>
          </w:p>
        </w:tc>
        <w:tc>
          <w:tcPr>
            <w:tcW w:w="1524" w:type="dxa"/>
            <w:vAlign w:val="top"/>
          </w:tcPr>
          <w:p w14:paraId="5C452277">
            <w:pPr>
              <w:pStyle w:val="6"/>
              <w:spacing w:before="49" w:line="210" w:lineRule="auto"/>
              <w:ind w:left="348"/>
              <w:rPr>
                <w:sz w:val="20"/>
                <w:szCs w:val="20"/>
              </w:rPr>
            </w:pPr>
            <w:r>
              <w:rPr>
                <w:spacing w:val="7"/>
                <w:sz w:val="20"/>
                <w:szCs w:val="20"/>
              </w:rPr>
              <w:t>年均浓度</w:t>
            </w:r>
          </w:p>
        </w:tc>
        <w:tc>
          <w:tcPr>
            <w:tcW w:w="1253" w:type="dxa"/>
            <w:vAlign w:val="top"/>
          </w:tcPr>
          <w:p w14:paraId="53BE3115">
            <w:pPr>
              <w:spacing w:before="85"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0.23645</w:t>
            </w:r>
          </w:p>
        </w:tc>
        <w:tc>
          <w:tcPr>
            <w:tcW w:w="919" w:type="dxa"/>
            <w:vAlign w:val="top"/>
          </w:tcPr>
          <w:p w14:paraId="6B339301">
            <w:pPr>
              <w:pStyle w:val="6"/>
              <w:spacing w:before="49" w:line="210" w:lineRule="auto"/>
              <w:ind w:left="149"/>
              <w:rPr>
                <w:sz w:val="20"/>
                <w:szCs w:val="20"/>
              </w:rPr>
            </w:pPr>
            <w:r>
              <w:rPr>
                <w:spacing w:val="7"/>
                <w:sz w:val="20"/>
                <w:szCs w:val="20"/>
              </w:rPr>
              <w:t>平均值</w:t>
            </w:r>
          </w:p>
        </w:tc>
        <w:tc>
          <w:tcPr>
            <w:tcW w:w="938" w:type="dxa"/>
            <w:vAlign w:val="top"/>
          </w:tcPr>
          <w:p w14:paraId="185EECD2">
            <w:pPr>
              <w:spacing w:before="85"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1039" w:type="dxa"/>
            <w:vAlign w:val="top"/>
          </w:tcPr>
          <w:p w14:paraId="701A6767">
            <w:pPr>
              <w:spacing w:before="85"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12.23645</w:t>
            </w:r>
          </w:p>
        </w:tc>
        <w:tc>
          <w:tcPr>
            <w:tcW w:w="723" w:type="dxa"/>
            <w:vAlign w:val="top"/>
          </w:tcPr>
          <w:p w14:paraId="033ABF3E">
            <w:pPr>
              <w:spacing w:before="85"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34.96</w:t>
            </w:r>
          </w:p>
        </w:tc>
        <w:tc>
          <w:tcPr>
            <w:tcW w:w="489" w:type="dxa"/>
            <w:tcBorders>
              <w:right w:val="nil"/>
            </w:tcBorders>
            <w:vAlign w:val="top"/>
          </w:tcPr>
          <w:p w14:paraId="00F49583">
            <w:pPr>
              <w:pStyle w:val="6"/>
              <w:spacing w:before="49" w:line="210" w:lineRule="auto"/>
              <w:ind w:left="41"/>
              <w:rPr>
                <w:sz w:val="20"/>
                <w:szCs w:val="20"/>
              </w:rPr>
            </w:pPr>
            <w:r>
              <w:rPr>
                <w:spacing w:val="5"/>
                <w:sz w:val="20"/>
                <w:szCs w:val="20"/>
              </w:rPr>
              <w:t>达标</w:t>
            </w:r>
          </w:p>
        </w:tc>
      </w:tr>
      <w:tr w14:paraId="565C48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4F41C5F4">
            <w:pPr>
              <w:rPr>
                <w:rFonts w:ascii="Arial"/>
                <w:sz w:val="21"/>
              </w:rPr>
            </w:pPr>
          </w:p>
        </w:tc>
        <w:tc>
          <w:tcPr>
            <w:tcW w:w="1381" w:type="dxa"/>
            <w:vMerge w:val="restart"/>
            <w:tcBorders>
              <w:bottom w:val="nil"/>
            </w:tcBorders>
            <w:vAlign w:val="top"/>
          </w:tcPr>
          <w:p w14:paraId="290A18EF">
            <w:pPr>
              <w:pStyle w:val="6"/>
              <w:spacing w:before="63" w:line="233" w:lineRule="auto"/>
              <w:ind w:left="10" w:firstLine="66"/>
              <w:rPr>
                <w:sz w:val="20"/>
                <w:szCs w:val="20"/>
              </w:rPr>
            </w:pPr>
            <w:r>
              <w:rPr>
                <w:spacing w:val="-6"/>
                <w:sz w:val="20"/>
                <w:szCs w:val="20"/>
              </w:rPr>
              <w:t>区域最大落地</w:t>
            </w:r>
            <w:r>
              <w:rPr>
                <w:spacing w:val="1"/>
                <w:sz w:val="20"/>
                <w:szCs w:val="20"/>
              </w:rPr>
              <w:t xml:space="preserve">  </w:t>
            </w:r>
            <w:r>
              <w:rPr>
                <w:spacing w:val="-5"/>
                <w:sz w:val="20"/>
                <w:szCs w:val="20"/>
              </w:rPr>
              <w:t>浓度（网格点）</w:t>
            </w:r>
          </w:p>
        </w:tc>
        <w:tc>
          <w:tcPr>
            <w:tcW w:w="1524" w:type="dxa"/>
            <w:vAlign w:val="top"/>
          </w:tcPr>
          <w:p w14:paraId="533F7DE0">
            <w:pPr>
              <w:pStyle w:val="6"/>
              <w:spacing w:before="50" w:line="209" w:lineRule="auto"/>
              <w:ind w:left="34"/>
              <w:rPr>
                <w:sz w:val="20"/>
                <w:szCs w:val="20"/>
              </w:rPr>
            </w:pPr>
            <w:r>
              <w:rPr>
                <w:spacing w:val="8"/>
                <w:sz w:val="20"/>
                <w:szCs w:val="20"/>
              </w:rPr>
              <w:t>保证率日均浓度</w:t>
            </w:r>
          </w:p>
        </w:tc>
        <w:tc>
          <w:tcPr>
            <w:tcW w:w="1253" w:type="dxa"/>
            <w:vAlign w:val="top"/>
          </w:tcPr>
          <w:p w14:paraId="298DD8E5">
            <w:pPr>
              <w:spacing w:before="86" w:line="195" w:lineRule="auto"/>
              <w:ind w:left="2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19.89087</w:t>
            </w:r>
          </w:p>
        </w:tc>
        <w:tc>
          <w:tcPr>
            <w:tcW w:w="919" w:type="dxa"/>
            <w:vAlign w:val="top"/>
          </w:tcPr>
          <w:p w14:paraId="2171D39F">
            <w:pPr>
              <w:spacing w:before="86"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220303</w:t>
            </w:r>
          </w:p>
        </w:tc>
        <w:tc>
          <w:tcPr>
            <w:tcW w:w="938" w:type="dxa"/>
            <w:vAlign w:val="top"/>
          </w:tcPr>
          <w:p w14:paraId="670925E1">
            <w:pPr>
              <w:spacing w:before="86" w:line="195"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33.8</w:t>
            </w:r>
          </w:p>
        </w:tc>
        <w:tc>
          <w:tcPr>
            <w:tcW w:w="1039" w:type="dxa"/>
            <w:vAlign w:val="top"/>
          </w:tcPr>
          <w:p w14:paraId="1243F6A8">
            <w:pPr>
              <w:spacing w:before="86"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53.69087</w:t>
            </w:r>
          </w:p>
        </w:tc>
        <w:tc>
          <w:tcPr>
            <w:tcW w:w="723" w:type="dxa"/>
            <w:vAlign w:val="top"/>
          </w:tcPr>
          <w:p w14:paraId="287A25F0">
            <w:pPr>
              <w:spacing w:before="86"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71.59</w:t>
            </w:r>
          </w:p>
        </w:tc>
        <w:tc>
          <w:tcPr>
            <w:tcW w:w="489" w:type="dxa"/>
            <w:tcBorders>
              <w:right w:val="nil"/>
            </w:tcBorders>
            <w:vAlign w:val="top"/>
          </w:tcPr>
          <w:p w14:paraId="6C8AB7C2">
            <w:pPr>
              <w:pStyle w:val="6"/>
              <w:spacing w:before="50" w:line="209" w:lineRule="auto"/>
              <w:ind w:left="41"/>
              <w:rPr>
                <w:sz w:val="20"/>
                <w:szCs w:val="20"/>
              </w:rPr>
            </w:pPr>
            <w:r>
              <w:rPr>
                <w:spacing w:val="5"/>
                <w:sz w:val="20"/>
                <w:szCs w:val="20"/>
              </w:rPr>
              <w:t>达标</w:t>
            </w:r>
          </w:p>
        </w:tc>
      </w:tr>
      <w:tr w14:paraId="459E37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810" w:type="dxa"/>
            <w:vMerge w:val="continue"/>
            <w:tcBorders>
              <w:top w:val="nil"/>
              <w:left w:val="nil"/>
            </w:tcBorders>
            <w:vAlign w:val="top"/>
          </w:tcPr>
          <w:p w14:paraId="2F7E3E26">
            <w:pPr>
              <w:rPr>
                <w:rFonts w:ascii="Arial"/>
                <w:sz w:val="21"/>
              </w:rPr>
            </w:pPr>
          </w:p>
        </w:tc>
        <w:tc>
          <w:tcPr>
            <w:tcW w:w="1381" w:type="dxa"/>
            <w:vMerge w:val="continue"/>
            <w:tcBorders>
              <w:top w:val="nil"/>
            </w:tcBorders>
            <w:vAlign w:val="top"/>
          </w:tcPr>
          <w:p w14:paraId="4E1DFCC6">
            <w:pPr>
              <w:rPr>
                <w:rFonts w:ascii="Arial"/>
                <w:sz w:val="21"/>
              </w:rPr>
            </w:pPr>
          </w:p>
        </w:tc>
        <w:tc>
          <w:tcPr>
            <w:tcW w:w="1524" w:type="dxa"/>
            <w:vAlign w:val="top"/>
          </w:tcPr>
          <w:p w14:paraId="63E2F467">
            <w:pPr>
              <w:pStyle w:val="6"/>
              <w:spacing w:before="51" w:line="207" w:lineRule="auto"/>
              <w:ind w:left="348"/>
              <w:rPr>
                <w:sz w:val="20"/>
                <w:szCs w:val="20"/>
              </w:rPr>
            </w:pPr>
            <w:r>
              <w:rPr>
                <w:spacing w:val="7"/>
                <w:sz w:val="20"/>
                <w:szCs w:val="20"/>
              </w:rPr>
              <w:t>年均浓度</w:t>
            </w:r>
          </w:p>
        </w:tc>
        <w:tc>
          <w:tcPr>
            <w:tcW w:w="1253" w:type="dxa"/>
            <w:vAlign w:val="top"/>
          </w:tcPr>
          <w:p w14:paraId="004703FB">
            <w:pPr>
              <w:spacing w:before="87" w:line="195"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2.74456</w:t>
            </w:r>
          </w:p>
        </w:tc>
        <w:tc>
          <w:tcPr>
            <w:tcW w:w="919" w:type="dxa"/>
            <w:vAlign w:val="top"/>
          </w:tcPr>
          <w:p w14:paraId="7EE105B3">
            <w:pPr>
              <w:pStyle w:val="6"/>
              <w:spacing w:before="51" w:line="207" w:lineRule="auto"/>
              <w:ind w:left="149"/>
              <w:rPr>
                <w:sz w:val="20"/>
                <w:szCs w:val="20"/>
              </w:rPr>
            </w:pPr>
            <w:r>
              <w:rPr>
                <w:spacing w:val="7"/>
                <w:sz w:val="20"/>
                <w:szCs w:val="20"/>
              </w:rPr>
              <w:t>平均值</w:t>
            </w:r>
          </w:p>
        </w:tc>
        <w:tc>
          <w:tcPr>
            <w:tcW w:w="938" w:type="dxa"/>
            <w:vAlign w:val="top"/>
          </w:tcPr>
          <w:p w14:paraId="0B2A9ADA">
            <w:pPr>
              <w:spacing w:before="87"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1039" w:type="dxa"/>
            <w:vAlign w:val="top"/>
          </w:tcPr>
          <w:p w14:paraId="16EFF7F8">
            <w:pPr>
              <w:spacing w:before="87"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14.74456</w:t>
            </w:r>
          </w:p>
        </w:tc>
        <w:tc>
          <w:tcPr>
            <w:tcW w:w="723" w:type="dxa"/>
            <w:vAlign w:val="top"/>
          </w:tcPr>
          <w:p w14:paraId="1F2C7EAE">
            <w:pPr>
              <w:spacing w:before="87"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42.13</w:t>
            </w:r>
          </w:p>
        </w:tc>
        <w:tc>
          <w:tcPr>
            <w:tcW w:w="489" w:type="dxa"/>
            <w:tcBorders>
              <w:right w:val="nil"/>
            </w:tcBorders>
            <w:vAlign w:val="top"/>
          </w:tcPr>
          <w:p w14:paraId="6CB84D97">
            <w:pPr>
              <w:pStyle w:val="6"/>
              <w:spacing w:before="51" w:line="207" w:lineRule="auto"/>
              <w:ind w:left="41"/>
              <w:rPr>
                <w:sz w:val="20"/>
                <w:szCs w:val="20"/>
              </w:rPr>
            </w:pPr>
            <w:r>
              <w:rPr>
                <w:spacing w:val="5"/>
                <w:sz w:val="20"/>
                <w:szCs w:val="20"/>
              </w:rPr>
              <w:t>达标</w:t>
            </w:r>
          </w:p>
        </w:tc>
      </w:tr>
      <w:tr w14:paraId="49FC10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restart"/>
            <w:tcBorders>
              <w:left w:val="nil"/>
              <w:bottom w:val="nil"/>
            </w:tcBorders>
            <w:vAlign w:val="top"/>
          </w:tcPr>
          <w:p w14:paraId="07C07ACA">
            <w:pPr>
              <w:spacing w:line="253" w:lineRule="auto"/>
              <w:rPr>
                <w:rFonts w:ascii="Arial"/>
                <w:sz w:val="21"/>
              </w:rPr>
            </w:pPr>
          </w:p>
          <w:p w14:paraId="11DEEF8E">
            <w:pPr>
              <w:spacing w:line="254" w:lineRule="auto"/>
              <w:rPr>
                <w:rFonts w:ascii="Arial"/>
                <w:sz w:val="21"/>
              </w:rPr>
            </w:pPr>
          </w:p>
          <w:p w14:paraId="4155F6CE">
            <w:pPr>
              <w:spacing w:line="254" w:lineRule="auto"/>
              <w:rPr>
                <w:rFonts w:ascii="Arial"/>
                <w:sz w:val="21"/>
              </w:rPr>
            </w:pPr>
          </w:p>
          <w:p w14:paraId="5B99064A">
            <w:pPr>
              <w:spacing w:before="57" w:line="202" w:lineRule="auto"/>
              <w:ind w:left="246"/>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1381" w:type="dxa"/>
            <w:vMerge w:val="restart"/>
            <w:tcBorders>
              <w:bottom w:val="nil"/>
            </w:tcBorders>
            <w:vAlign w:val="top"/>
          </w:tcPr>
          <w:p w14:paraId="01D71288">
            <w:pPr>
              <w:pStyle w:val="6"/>
              <w:spacing w:before="199" w:line="228" w:lineRule="auto"/>
              <w:ind w:left="278"/>
              <w:rPr>
                <w:sz w:val="20"/>
                <w:szCs w:val="20"/>
              </w:rPr>
            </w:pPr>
            <w:r>
              <w:rPr>
                <w:spacing w:val="6"/>
                <w:sz w:val="20"/>
                <w:szCs w:val="20"/>
              </w:rPr>
              <w:t>温都尔庙</w:t>
            </w:r>
          </w:p>
        </w:tc>
        <w:tc>
          <w:tcPr>
            <w:tcW w:w="1524" w:type="dxa"/>
            <w:vAlign w:val="top"/>
          </w:tcPr>
          <w:p w14:paraId="0FDB89FB">
            <w:pPr>
              <w:pStyle w:val="6"/>
              <w:spacing w:before="56" w:line="204" w:lineRule="auto"/>
              <w:ind w:left="34"/>
              <w:rPr>
                <w:sz w:val="20"/>
                <w:szCs w:val="20"/>
              </w:rPr>
            </w:pPr>
            <w:r>
              <w:rPr>
                <w:spacing w:val="8"/>
                <w:sz w:val="20"/>
                <w:szCs w:val="20"/>
              </w:rPr>
              <w:t>保证率日均浓度</w:t>
            </w:r>
          </w:p>
        </w:tc>
        <w:tc>
          <w:tcPr>
            <w:tcW w:w="1253" w:type="dxa"/>
            <w:vAlign w:val="top"/>
          </w:tcPr>
          <w:p w14:paraId="3138817E">
            <w:pPr>
              <w:spacing w:before="92" w:line="193"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3.56898</w:t>
            </w:r>
          </w:p>
        </w:tc>
        <w:tc>
          <w:tcPr>
            <w:tcW w:w="919" w:type="dxa"/>
            <w:vAlign w:val="top"/>
          </w:tcPr>
          <w:p w14:paraId="6D404033">
            <w:pPr>
              <w:spacing w:before="92" w:line="193"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220102</w:t>
            </w:r>
          </w:p>
        </w:tc>
        <w:tc>
          <w:tcPr>
            <w:tcW w:w="938" w:type="dxa"/>
            <w:vAlign w:val="top"/>
          </w:tcPr>
          <w:p w14:paraId="51BEEB32">
            <w:pPr>
              <w:spacing w:before="92" w:line="193"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1039" w:type="dxa"/>
            <w:vAlign w:val="top"/>
          </w:tcPr>
          <w:p w14:paraId="237B3228">
            <w:pPr>
              <w:spacing w:before="92" w:line="193"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15.56898</w:t>
            </w:r>
          </w:p>
        </w:tc>
        <w:tc>
          <w:tcPr>
            <w:tcW w:w="723" w:type="dxa"/>
            <w:vAlign w:val="top"/>
          </w:tcPr>
          <w:p w14:paraId="69905011">
            <w:pPr>
              <w:spacing w:before="92" w:line="193"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10.38</w:t>
            </w:r>
          </w:p>
        </w:tc>
        <w:tc>
          <w:tcPr>
            <w:tcW w:w="489" w:type="dxa"/>
            <w:tcBorders>
              <w:right w:val="nil"/>
            </w:tcBorders>
            <w:vAlign w:val="top"/>
          </w:tcPr>
          <w:p w14:paraId="56C7305C">
            <w:pPr>
              <w:pStyle w:val="6"/>
              <w:spacing w:before="56" w:line="204" w:lineRule="auto"/>
              <w:ind w:left="41"/>
              <w:rPr>
                <w:sz w:val="20"/>
                <w:szCs w:val="20"/>
              </w:rPr>
            </w:pPr>
            <w:r>
              <w:rPr>
                <w:spacing w:val="5"/>
                <w:sz w:val="20"/>
                <w:szCs w:val="20"/>
              </w:rPr>
              <w:t>达标</w:t>
            </w:r>
          </w:p>
        </w:tc>
      </w:tr>
      <w:tr w14:paraId="266F27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4AFF241C">
            <w:pPr>
              <w:rPr>
                <w:rFonts w:ascii="Arial"/>
                <w:sz w:val="21"/>
              </w:rPr>
            </w:pPr>
          </w:p>
        </w:tc>
        <w:tc>
          <w:tcPr>
            <w:tcW w:w="1381" w:type="dxa"/>
            <w:vMerge w:val="continue"/>
            <w:tcBorders>
              <w:top w:val="nil"/>
            </w:tcBorders>
            <w:vAlign w:val="top"/>
          </w:tcPr>
          <w:p w14:paraId="221DFF86">
            <w:pPr>
              <w:rPr>
                <w:rFonts w:ascii="Arial"/>
                <w:sz w:val="21"/>
              </w:rPr>
            </w:pPr>
          </w:p>
        </w:tc>
        <w:tc>
          <w:tcPr>
            <w:tcW w:w="1524" w:type="dxa"/>
            <w:vAlign w:val="top"/>
          </w:tcPr>
          <w:p w14:paraId="6418F436">
            <w:pPr>
              <w:pStyle w:val="6"/>
              <w:spacing w:before="56" w:line="204" w:lineRule="auto"/>
              <w:ind w:left="348"/>
              <w:rPr>
                <w:sz w:val="20"/>
                <w:szCs w:val="20"/>
              </w:rPr>
            </w:pPr>
            <w:r>
              <w:rPr>
                <w:spacing w:val="7"/>
                <w:sz w:val="20"/>
                <w:szCs w:val="20"/>
              </w:rPr>
              <w:t>年均浓度</w:t>
            </w:r>
          </w:p>
        </w:tc>
        <w:tc>
          <w:tcPr>
            <w:tcW w:w="1253" w:type="dxa"/>
            <w:vAlign w:val="top"/>
          </w:tcPr>
          <w:p w14:paraId="71510C5B">
            <w:pPr>
              <w:spacing w:before="92" w:line="193"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0.71453</w:t>
            </w:r>
          </w:p>
        </w:tc>
        <w:tc>
          <w:tcPr>
            <w:tcW w:w="919" w:type="dxa"/>
            <w:vAlign w:val="top"/>
          </w:tcPr>
          <w:p w14:paraId="4346B093">
            <w:pPr>
              <w:pStyle w:val="6"/>
              <w:spacing w:before="56" w:line="204" w:lineRule="auto"/>
              <w:ind w:left="149"/>
              <w:rPr>
                <w:sz w:val="20"/>
                <w:szCs w:val="20"/>
              </w:rPr>
            </w:pPr>
            <w:r>
              <w:rPr>
                <w:spacing w:val="7"/>
                <w:sz w:val="20"/>
                <w:szCs w:val="20"/>
              </w:rPr>
              <w:t>平均值</w:t>
            </w:r>
          </w:p>
        </w:tc>
        <w:tc>
          <w:tcPr>
            <w:tcW w:w="938" w:type="dxa"/>
            <w:vAlign w:val="top"/>
          </w:tcPr>
          <w:p w14:paraId="684572E8">
            <w:pPr>
              <w:spacing w:before="92" w:line="193" w:lineRule="auto"/>
              <w:ind w:left="34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9.0</w:t>
            </w:r>
          </w:p>
        </w:tc>
        <w:tc>
          <w:tcPr>
            <w:tcW w:w="1039" w:type="dxa"/>
            <w:vAlign w:val="top"/>
          </w:tcPr>
          <w:p w14:paraId="02CFBEDB">
            <w:pPr>
              <w:spacing w:before="92" w:line="193" w:lineRule="auto"/>
              <w:ind w:left="18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9.71453</w:t>
            </w:r>
          </w:p>
        </w:tc>
        <w:tc>
          <w:tcPr>
            <w:tcW w:w="723" w:type="dxa"/>
            <w:vAlign w:val="top"/>
          </w:tcPr>
          <w:p w14:paraId="631C6DC5">
            <w:pPr>
              <w:spacing w:before="92" w:line="193"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16.19</w:t>
            </w:r>
          </w:p>
        </w:tc>
        <w:tc>
          <w:tcPr>
            <w:tcW w:w="489" w:type="dxa"/>
            <w:tcBorders>
              <w:right w:val="nil"/>
            </w:tcBorders>
            <w:vAlign w:val="top"/>
          </w:tcPr>
          <w:p w14:paraId="30E6B028">
            <w:pPr>
              <w:pStyle w:val="6"/>
              <w:spacing w:before="56" w:line="204" w:lineRule="auto"/>
              <w:ind w:left="41"/>
              <w:rPr>
                <w:sz w:val="20"/>
                <w:szCs w:val="20"/>
              </w:rPr>
            </w:pPr>
            <w:r>
              <w:rPr>
                <w:spacing w:val="5"/>
                <w:sz w:val="20"/>
                <w:szCs w:val="20"/>
              </w:rPr>
              <w:t>达标</w:t>
            </w:r>
          </w:p>
        </w:tc>
      </w:tr>
      <w:tr w14:paraId="59BFAB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7704F91D">
            <w:pPr>
              <w:rPr>
                <w:rFonts w:ascii="Arial"/>
                <w:sz w:val="21"/>
              </w:rPr>
            </w:pPr>
          </w:p>
        </w:tc>
        <w:tc>
          <w:tcPr>
            <w:tcW w:w="1381" w:type="dxa"/>
            <w:vMerge w:val="restart"/>
            <w:tcBorders>
              <w:bottom w:val="nil"/>
            </w:tcBorders>
            <w:vAlign w:val="top"/>
          </w:tcPr>
          <w:p w14:paraId="5D2A270E">
            <w:pPr>
              <w:pStyle w:val="6"/>
              <w:spacing w:before="203" w:line="228" w:lineRule="auto"/>
              <w:ind w:left="87"/>
              <w:rPr>
                <w:sz w:val="20"/>
                <w:szCs w:val="20"/>
              </w:rPr>
            </w:pPr>
            <w:r>
              <w:rPr>
                <w:spacing w:val="4"/>
                <w:sz w:val="20"/>
                <w:szCs w:val="20"/>
              </w:rPr>
              <w:t>巴润阿木斯尔</w:t>
            </w:r>
          </w:p>
        </w:tc>
        <w:tc>
          <w:tcPr>
            <w:tcW w:w="1524" w:type="dxa"/>
            <w:vAlign w:val="top"/>
          </w:tcPr>
          <w:p w14:paraId="411C5AE7">
            <w:pPr>
              <w:pStyle w:val="6"/>
              <w:spacing w:before="57" w:line="203" w:lineRule="auto"/>
              <w:ind w:left="34"/>
              <w:rPr>
                <w:sz w:val="20"/>
                <w:szCs w:val="20"/>
              </w:rPr>
            </w:pPr>
            <w:r>
              <w:rPr>
                <w:spacing w:val="8"/>
                <w:sz w:val="20"/>
                <w:szCs w:val="20"/>
              </w:rPr>
              <w:t>保证率日均浓度</w:t>
            </w:r>
          </w:p>
        </w:tc>
        <w:tc>
          <w:tcPr>
            <w:tcW w:w="1253" w:type="dxa"/>
            <w:vAlign w:val="top"/>
          </w:tcPr>
          <w:p w14:paraId="69FC574B">
            <w:pPr>
              <w:spacing w:before="93" w:line="192" w:lineRule="auto"/>
              <w:ind w:left="2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18.25577</w:t>
            </w:r>
          </w:p>
        </w:tc>
        <w:tc>
          <w:tcPr>
            <w:tcW w:w="919" w:type="dxa"/>
            <w:vAlign w:val="top"/>
          </w:tcPr>
          <w:p w14:paraId="119FAE8D">
            <w:pPr>
              <w:spacing w:before="93" w:line="192"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220102</w:t>
            </w:r>
          </w:p>
        </w:tc>
        <w:tc>
          <w:tcPr>
            <w:tcW w:w="938" w:type="dxa"/>
            <w:vAlign w:val="top"/>
          </w:tcPr>
          <w:p w14:paraId="04F69E99">
            <w:pPr>
              <w:spacing w:before="93" w:line="192"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1039" w:type="dxa"/>
            <w:vAlign w:val="top"/>
          </w:tcPr>
          <w:p w14:paraId="0267C097">
            <w:pPr>
              <w:spacing w:before="93" w:line="192"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30.25577</w:t>
            </w:r>
          </w:p>
        </w:tc>
        <w:tc>
          <w:tcPr>
            <w:tcW w:w="723" w:type="dxa"/>
            <w:vAlign w:val="top"/>
          </w:tcPr>
          <w:p w14:paraId="0704BEC1">
            <w:pPr>
              <w:spacing w:before="93" w:line="192"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20.17</w:t>
            </w:r>
          </w:p>
        </w:tc>
        <w:tc>
          <w:tcPr>
            <w:tcW w:w="489" w:type="dxa"/>
            <w:tcBorders>
              <w:right w:val="nil"/>
            </w:tcBorders>
            <w:vAlign w:val="top"/>
          </w:tcPr>
          <w:p w14:paraId="57D3AC59">
            <w:pPr>
              <w:pStyle w:val="6"/>
              <w:spacing w:before="57" w:line="203" w:lineRule="auto"/>
              <w:ind w:left="41"/>
              <w:rPr>
                <w:sz w:val="20"/>
                <w:szCs w:val="20"/>
              </w:rPr>
            </w:pPr>
            <w:r>
              <w:rPr>
                <w:spacing w:val="5"/>
                <w:sz w:val="20"/>
                <w:szCs w:val="20"/>
              </w:rPr>
              <w:t>达标</w:t>
            </w:r>
          </w:p>
        </w:tc>
      </w:tr>
      <w:tr w14:paraId="335943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7B164608">
            <w:pPr>
              <w:rPr>
                <w:rFonts w:ascii="Arial"/>
                <w:sz w:val="21"/>
              </w:rPr>
            </w:pPr>
          </w:p>
        </w:tc>
        <w:tc>
          <w:tcPr>
            <w:tcW w:w="1381" w:type="dxa"/>
            <w:vMerge w:val="continue"/>
            <w:tcBorders>
              <w:top w:val="nil"/>
            </w:tcBorders>
            <w:vAlign w:val="top"/>
          </w:tcPr>
          <w:p w14:paraId="1FC2F68B">
            <w:pPr>
              <w:rPr>
                <w:rFonts w:ascii="Arial"/>
                <w:sz w:val="21"/>
              </w:rPr>
            </w:pPr>
          </w:p>
        </w:tc>
        <w:tc>
          <w:tcPr>
            <w:tcW w:w="1524" w:type="dxa"/>
            <w:vAlign w:val="top"/>
          </w:tcPr>
          <w:p w14:paraId="29D21B29">
            <w:pPr>
              <w:pStyle w:val="6"/>
              <w:spacing w:before="58" w:line="202" w:lineRule="auto"/>
              <w:ind w:left="348"/>
              <w:rPr>
                <w:sz w:val="20"/>
                <w:szCs w:val="20"/>
              </w:rPr>
            </w:pPr>
            <w:r>
              <w:rPr>
                <w:spacing w:val="7"/>
                <w:sz w:val="20"/>
                <w:szCs w:val="20"/>
              </w:rPr>
              <w:t>年均浓度</w:t>
            </w:r>
          </w:p>
        </w:tc>
        <w:tc>
          <w:tcPr>
            <w:tcW w:w="1253" w:type="dxa"/>
            <w:vAlign w:val="top"/>
          </w:tcPr>
          <w:p w14:paraId="504352EE">
            <w:pPr>
              <w:spacing w:before="93" w:line="191"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1.34966</w:t>
            </w:r>
          </w:p>
        </w:tc>
        <w:tc>
          <w:tcPr>
            <w:tcW w:w="919" w:type="dxa"/>
            <w:vAlign w:val="top"/>
          </w:tcPr>
          <w:p w14:paraId="343C8BC4">
            <w:pPr>
              <w:pStyle w:val="6"/>
              <w:spacing w:before="58" w:line="202" w:lineRule="auto"/>
              <w:ind w:left="149"/>
              <w:rPr>
                <w:sz w:val="20"/>
                <w:szCs w:val="20"/>
              </w:rPr>
            </w:pPr>
            <w:r>
              <w:rPr>
                <w:spacing w:val="7"/>
                <w:sz w:val="20"/>
                <w:szCs w:val="20"/>
              </w:rPr>
              <w:t>平均值</w:t>
            </w:r>
          </w:p>
        </w:tc>
        <w:tc>
          <w:tcPr>
            <w:tcW w:w="938" w:type="dxa"/>
            <w:vAlign w:val="top"/>
          </w:tcPr>
          <w:p w14:paraId="26BC0E15">
            <w:pPr>
              <w:spacing w:before="93" w:line="191" w:lineRule="auto"/>
              <w:ind w:left="34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9.0</w:t>
            </w:r>
          </w:p>
        </w:tc>
        <w:tc>
          <w:tcPr>
            <w:tcW w:w="1039" w:type="dxa"/>
            <w:vAlign w:val="top"/>
          </w:tcPr>
          <w:p w14:paraId="2FC4419C">
            <w:pPr>
              <w:spacing w:before="93" w:line="191"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10.34966</w:t>
            </w:r>
          </w:p>
        </w:tc>
        <w:tc>
          <w:tcPr>
            <w:tcW w:w="723" w:type="dxa"/>
            <w:vAlign w:val="top"/>
          </w:tcPr>
          <w:p w14:paraId="5EA18D47">
            <w:pPr>
              <w:spacing w:before="93" w:line="191"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17.25</w:t>
            </w:r>
          </w:p>
        </w:tc>
        <w:tc>
          <w:tcPr>
            <w:tcW w:w="489" w:type="dxa"/>
            <w:tcBorders>
              <w:right w:val="nil"/>
            </w:tcBorders>
            <w:vAlign w:val="top"/>
          </w:tcPr>
          <w:p w14:paraId="082E8CB9">
            <w:pPr>
              <w:pStyle w:val="6"/>
              <w:spacing w:before="58" w:line="202" w:lineRule="auto"/>
              <w:ind w:left="41"/>
              <w:rPr>
                <w:sz w:val="20"/>
                <w:szCs w:val="20"/>
              </w:rPr>
            </w:pPr>
            <w:r>
              <w:rPr>
                <w:spacing w:val="5"/>
                <w:sz w:val="20"/>
                <w:szCs w:val="20"/>
              </w:rPr>
              <w:t>达标</w:t>
            </w:r>
          </w:p>
        </w:tc>
      </w:tr>
      <w:tr w14:paraId="6744DF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5E1EF7E8">
            <w:pPr>
              <w:rPr>
                <w:rFonts w:ascii="Arial"/>
                <w:sz w:val="21"/>
              </w:rPr>
            </w:pPr>
          </w:p>
        </w:tc>
        <w:tc>
          <w:tcPr>
            <w:tcW w:w="1381" w:type="dxa"/>
            <w:vMerge w:val="restart"/>
            <w:tcBorders>
              <w:bottom w:val="nil"/>
            </w:tcBorders>
            <w:vAlign w:val="top"/>
          </w:tcPr>
          <w:p w14:paraId="7300019E">
            <w:pPr>
              <w:pStyle w:val="6"/>
              <w:spacing w:before="68" w:line="231" w:lineRule="auto"/>
              <w:ind w:left="10" w:firstLine="66"/>
              <w:rPr>
                <w:sz w:val="20"/>
                <w:szCs w:val="20"/>
              </w:rPr>
            </w:pPr>
            <w:r>
              <w:rPr>
                <w:spacing w:val="-6"/>
                <w:sz w:val="20"/>
                <w:szCs w:val="20"/>
              </w:rPr>
              <w:t>区域最大落地</w:t>
            </w:r>
            <w:r>
              <w:rPr>
                <w:spacing w:val="1"/>
                <w:sz w:val="20"/>
                <w:szCs w:val="20"/>
              </w:rPr>
              <w:t xml:space="preserve">  </w:t>
            </w:r>
            <w:r>
              <w:rPr>
                <w:spacing w:val="-5"/>
                <w:sz w:val="20"/>
                <w:szCs w:val="20"/>
              </w:rPr>
              <w:t>浓度（网格点）</w:t>
            </w:r>
          </w:p>
        </w:tc>
        <w:tc>
          <w:tcPr>
            <w:tcW w:w="1524" w:type="dxa"/>
            <w:vAlign w:val="top"/>
          </w:tcPr>
          <w:p w14:paraId="16603F8D">
            <w:pPr>
              <w:pStyle w:val="6"/>
              <w:spacing w:before="58" w:line="202" w:lineRule="auto"/>
              <w:ind w:left="34"/>
              <w:rPr>
                <w:sz w:val="20"/>
                <w:szCs w:val="20"/>
              </w:rPr>
            </w:pPr>
            <w:r>
              <w:rPr>
                <w:spacing w:val="8"/>
                <w:sz w:val="20"/>
                <w:szCs w:val="20"/>
              </w:rPr>
              <w:t>保证率日均浓度</w:t>
            </w:r>
          </w:p>
        </w:tc>
        <w:tc>
          <w:tcPr>
            <w:tcW w:w="1253" w:type="dxa"/>
            <w:vAlign w:val="top"/>
          </w:tcPr>
          <w:p w14:paraId="2D382E4C">
            <w:pPr>
              <w:spacing w:before="94" w:line="190" w:lineRule="auto"/>
              <w:ind w:left="237"/>
              <w:rPr>
                <w:rFonts w:ascii="Times New Roman" w:hAnsi="Times New Roman" w:eastAsia="Times New Roman" w:cs="Times New Roman"/>
                <w:sz w:val="20"/>
                <w:szCs w:val="20"/>
              </w:rPr>
            </w:pPr>
            <w:r>
              <w:rPr>
                <w:rFonts w:ascii="Times New Roman" w:hAnsi="Times New Roman" w:eastAsia="Times New Roman" w:cs="Times New Roman"/>
                <w:sz w:val="20"/>
                <w:szCs w:val="20"/>
              </w:rPr>
              <w:t>42.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11422</w:t>
            </w:r>
          </w:p>
        </w:tc>
        <w:tc>
          <w:tcPr>
            <w:tcW w:w="919" w:type="dxa"/>
            <w:vAlign w:val="top"/>
          </w:tcPr>
          <w:p w14:paraId="493D8277">
            <w:pPr>
              <w:spacing w:before="94" w:line="190"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220131</w:t>
            </w:r>
          </w:p>
        </w:tc>
        <w:tc>
          <w:tcPr>
            <w:tcW w:w="938" w:type="dxa"/>
            <w:vAlign w:val="top"/>
          </w:tcPr>
          <w:p w14:paraId="3AAE20DA">
            <w:pPr>
              <w:spacing w:before="94" w:line="190"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12.0</w:t>
            </w:r>
          </w:p>
        </w:tc>
        <w:tc>
          <w:tcPr>
            <w:tcW w:w="1039" w:type="dxa"/>
            <w:vAlign w:val="top"/>
          </w:tcPr>
          <w:p w14:paraId="5472D168">
            <w:pPr>
              <w:spacing w:before="94" w:line="190"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54.</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1"/>
                <w:sz w:val="20"/>
                <w:szCs w:val="20"/>
              </w:rPr>
              <w:t>11422</w:t>
            </w:r>
          </w:p>
        </w:tc>
        <w:tc>
          <w:tcPr>
            <w:tcW w:w="723" w:type="dxa"/>
            <w:vAlign w:val="top"/>
          </w:tcPr>
          <w:p w14:paraId="36651D89">
            <w:pPr>
              <w:spacing w:before="94" w:line="190"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36.08</w:t>
            </w:r>
          </w:p>
        </w:tc>
        <w:tc>
          <w:tcPr>
            <w:tcW w:w="489" w:type="dxa"/>
            <w:tcBorders>
              <w:right w:val="nil"/>
            </w:tcBorders>
            <w:vAlign w:val="top"/>
          </w:tcPr>
          <w:p w14:paraId="27851457">
            <w:pPr>
              <w:pStyle w:val="6"/>
              <w:spacing w:before="58" w:line="202" w:lineRule="auto"/>
              <w:ind w:left="41"/>
              <w:rPr>
                <w:sz w:val="20"/>
                <w:szCs w:val="20"/>
              </w:rPr>
            </w:pPr>
            <w:r>
              <w:rPr>
                <w:spacing w:val="5"/>
                <w:sz w:val="20"/>
                <w:szCs w:val="20"/>
              </w:rPr>
              <w:t>达标</w:t>
            </w:r>
          </w:p>
        </w:tc>
      </w:tr>
      <w:tr w14:paraId="325585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tcBorders>
            <w:vAlign w:val="top"/>
          </w:tcPr>
          <w:p w14:paraId="354F271B">
            <w:pPr>
              <w:rPr>
                <w:rFonts w:ascii="Arial"/>
                <w:sz w:val="21"/>
              </w:rPr>
            </w:pPr>
          </w:p>
        </w:tc>
        <w:tc>
          <w:tcPr>
            <w:tcW w:w="1381" w:type="dxa"/>
            <w:vMerge w:val="continue"/>
            <w:tcBorders>
              <w:top w:val="nil"/>
            </w:tcBorders>
            <w:vAlign w:val="top"/>
          </w:tcPr>
          <w:p w14:paraId="0940D658">
            <w:pPr>
              <w:rPr>
                <w:rFonts w:ascii="Arial"/>
                <w:sz w:val="21"/>
              </w:rPr>
            </w:pPr>
          </w:p>
        </w:tc>
        <w:tc>
          <w:tcPr>
            <w:tcW w:w="1524" w:type="dxa"/>
            <w:vAlign w:val="top"/>
          </w:tcPr>
          <w:p w14:paraId="1088EC5F">
            <w:pPr>
              <w:pStyle w:val="6"/>
              <w:spacing w:before="59" w:line="201" w:lineRule="auto"/>
              <w:ind w:left="348"/>
              <w:rPr>
                <w:sz w:val="20"/>
                <w:szCs w:val="20"/>
              </w:rPr>
            </w:pPr>
            <w:r>
              <w:rPr>
                <w:spacing w:val="7"/>
                <w:sz w:val="20"/>
                <w:szCs w:val="20"/>
              </w:rPr>
              <w:t>年均浓度</w:t>
            </w:r>
          </w:p>
        </w:tc>
        <w:tc>
          <w:tcPr>
            <w:tcW w:w="1253" w:type="dxa"/>
            <w:vAlign w:val="top"/>
          </w:tcPr>
          <w:p w14:paraId="3AFFEC12">
            <w:pPr>
              <w:spacing w:before="95" w:line="189" w:lineRule="auto"/>
              <w:ind w:left="2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10.36236</w:t>
            </w:r>
          </w:p>
        </w:tc>
        <w:tc>
          <w:tcPr>
            <w:tcW w:w="919" w:type="dxa"/>
            <w:vAlign w:val="top"/>
          </w:tcPr>
          <w:p w14:paraId="02D49A67">
            <w:pPr>
              <w:pStyle w:val="6"/>
              <w:spacing w:before="59" w:line="201" w:lineRule="auto"/>
              <w:ind w:left="149"/>
              <w:rPr>
                <w:sz w:val="20"/>
                <w:szCs w:val="20"/>
              </w:rPr>
            </w:pPr>
            <w:r>
              <w:rPr>
                <w:spacing w:val="7"/>
                <w:sz w:val="20"/>
                <w:szCs w:val="20"/>
              </w:rPr>
              <w:t>平均值</w:t>
            </w:r>
          </w:p>
        </w:tc>
        <w:tc>
          <w:tcPr>
            <w:tcW w:w="938" w:type="dxa"/>
            <w:vAlign w:val="top"/>
          </w:tcPr>
          <w:p w14:paraId="2693363C">
            <w:pPr>
              <w:spacing w:before="95" w:line="189" w:lineRule="auto"/>
              <w:ind w:left="34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9.0</w:t>
            </w:r>
          </w:p>
        </w:tc>
        <w:tc>
          <w:tcPr>
            <w:tcW w:w="1039" w:type="dxa"/>
            <w:vAlign w:val="top"/>
          </w:tcPr>
          <w:p w14:paraId="4EEA954E">
            <w:pPr>
              <w:spacing w:before="95" w:line="189"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19.36236</w:t>
            </w:r>
          </w:p>
        </w:tc>
        <w:tc>
          <w:tcPr>
            <w:tcW w:w="723" w:type="dxa"/>
            <w:vAlign w:val="top"/>
          </w:tcPr>
          <w:p w14:paraId="02B4F4B7">
            <w:pPr>
              <w:spacing w:before="95" w:line="189"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32.27</w:t>
            </w:r>
          </w:p>
        </w:tc>
        <w:tc>
          <w:tcPr>
            <w:tcW w:w="489" w:type="dxa"/>
            <w:tcBorders>
              <w:right w:val="nil"/>
            </w:tcBorders>
            <w:vAlign w:val="top"/>
          </w:tcPr>
          <w:p w14:paraId="74D76F7E">
            <w:pPr>
              <w:pStyle w:val="6"/>
              <w:spacing w:before="59" w:line="201" w:lineRule="auto"/>
              <w:ind w:left="41"/>
              <w:rPr>
                <w:sz w:val="20"/>
                <w:szCs w:val="20"/>
              </w:rPr>
            </w:pPr>
            <w:r>
              <w:rPr>
                <w:spacing w:val="5"/>
                <w:sz w:val="20"/>
                <w:szCs w:val="20"/>
              </w:rPr>
              <w:t>达标</w:t>
            </w:r>
          </w:p>
        </w:tc>
      </w:tr>
      <w:tr w14:paraId="13AB83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trPr>
        <w:tc>
          <w:tcPr>
            <w:tcW w:w="810" w:type="dxa"/>
            <w:tcBorders>
              <w:left w:val="nil"/>
              <w:bottom w:val="single" w:color="000000" w:sz="10" w:space="0"/>
            </w:tcBorders>
            <w:vAlign w:val="top"/>
          </w:tcPr>
          <w:p w14:paraId="33EADF12">
            <w:pPr>
              <w:spacing w:before="96" w:line="202" w:lineRule="auto"/>
              <w:ind w:left="214"/>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2</w:t>
            </w:r>
          </w:p>
        </w:tc>
        <w:tc>
          <w:tcPr>
            <w:tcW w:w="1381" w:type="dxa"/>
            <w:tcBorders>
              <w:bottom w:val="single" w:color="000000" w:sz="10" w:space="0"/>
            </w:tcBorders>
            <w:vAlign w:val="top"/>
          </w:tcPr>
          <w:p w14:paraId="78E51E33">
            <w:pPr>
              <w:pStyle w:val="6"/>
              <w:spacing w:before="60" w:line="219" w:lineRule="auto"/>
              <w:ind w:left="278"/>
              <w:rPr>
                <w:sz w:val="20"/>
                <w:szCs w:val="20"/>
              </w:rPr>
            </w:pPr>
            <w:r>
              <w:rPr>
                <w:spacing w:val="6"/>
                <w:sz w:val="20"/>
                <w:szCs w:val="20"/>
              </w:rPr>
              <w:t>温都尔庙</w:t>
            </w:r>
          </w:p>
        </w:tc>
        <w:tc>
          <w:tcPr>
            <w:tcW w:w="1524" w:type="dxa"/>
            <w:tcBorders>
              <w:bottom w:val="single" w:color="000000" w:sz="10" w:space="0"/>
            </w:tcBorders>
            <w:vAlign w:val="top"/>
          </w:tcPr>
          <w:p w14:paraId="0367FCCF">
            <w:pPr>
              <w:pStyle w:val="6"/>
              <w:spacing w:before="60" w:line="219" w:lineRule="auto"/>
              <w:ind w:left="34"/>
              <w:rPr>
                <w:sz w:val="20"/>
                <w:szCs w:val="20"/>
              </w:rPr>
            </w:pPr>
            <w:r>
              <w:rPr>
                <w:spacing w:val="8"/>
                <w:sz w:val="20"/>
                <w:szCs w:val="20"/>
              </w:rPr>
              <w:t>保证率日均浓度</w:t>
            </w:r>
          </w:p>
        </w:tc>
        <w:tc>
          <w:tcPr>
            <w:tcW w:w="1253" w:type="dxa"/>
            <w:tcBorders>
              <w:bottom w:val="single" w:color="000000" w:sz="10" w:space="0"/>
            </w:tcBorders>
            <w:vAlign w:val="top"/>
          </w:tcPr>
          <w:p w14:paraId="09917618">
            <w:pPr>
              <w:spacing w:before="96" w:line="195" w:lineRule="auto"/>
              <w:ind w:left="39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9.989</w:t>
            </w:r>
          </w:p>
        </w:tc>
        <w:tc>
          <w:tcPr>
            <w:tcW w:w="919" w:type="dxa"/>
            <w:tcBorders>
              <w:bottom w:val="single" w:color="000000" w:sz="10" w:space="0"/>
            </w:tcBorders>
            <w:vAlign w:val="top"/>
          </w:tcPr>
          <w:p w14:paraId="652C6BFB">
            <w:pPr>
              <w:spacing w:before="96"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221213</w:t>
            </w:r>
          </w:p>
        </w:tc>
        <w:tc>
          <w:tcPr>
            <w:tcW w:w="938" w:type="dxa"/>
            <w:tcBorders>
              <w:bottom w:val="single" w:color="000000" w:sz="10" w:space="0"/>
            </w:tcBorders>
            <w:vAlign w:val="top"/>
          </w:tcPr>
          <w:p w14:paraId="70E446F1">
            <w:pPr>
              <w:spacing w:before="96" w:line="195" w:lineRule="auto"/>
              <w:ind w:left="2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20.72</w:t>
            </w:r>
          </w:p>
        </w:tc>
        <w:tc>
          <w:tcPr>
            <w:tcW w:w="1039" w:type="dxa"/>
            <w:tcBorders>
              <w:bottom w:val="single" w:color="000000" w:sz="10" w:space="0"/>
            </w:tcBorders>
            <w:vAlign w:val="top"/>
          </w:tcPr>
          <w:p w14:paraId="7D433EC1">
            <w:pPr>
              <w:spacing w:before="96" w:line="195" w:lineRule="auto"/>
              <w:ind w:left="2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30.709</w:t>
            </w:r>
          </w:p>
        </w:tc>
        <w:tc>
          <w:tcPr>
            <w:tcW w:w="723" w:type="dxa"/>
            <w:tcBorders>
              <w:bottom w:val="single" w:color="000000" w:sz="10" w:space="0"/>
            </w:tcBorders>
            <w:vAlign w:val="top"/>
          </w:tcPr>
          <w:p w14:paraId="7AD5930B">
            <w:pPr>
              <w:spacing w:before="96"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38.39</w:t>
            </w:r>
          </w:p>
        </w:tc>
        <w:tc>
          <w:tcPr>
            <w:tcW w:w="489" w:type="dxa"/>
            <w:tcBorders>
              <w:bottom w:val="single" w:color="000000" w:sz="10" w:space="0"/>
              <w:right w:val="nil"/>
            </w:tcBorders>
            <w:vAlign w:val="top"/>
          </w:tcPr>
          <w:p w14:paraId="65EE2082">
            <w:pPr>
              <w:pStyle w:val="6"/>
              <w:spacing w:before="60" w:line="219" w:lineRule="auto"/>
              <w:ind w:left="41"/>
              <w:rPr>
                <w:sz w:val="20"/>
                <w:szCs w:val="20"/>
              </w:rPr>
            </w:pPr>
            <w:r>
              <w:rPr>
                <w:spacing w:val="5"/>
                <w:sz w:val="20"/>
                <w:szCs w:val="20"/>
              </w:rPr>
              <w:t>达标</w:t>
            </w:r>
          </w:p>
        </w:tc>
      </w:tr>
    </w:tbl>
    <w:p w14:paraId="7DEE0D1B">
      <w:pPr>
        <w:pStyle w:val="2"/>
      </w:pPr>
    </w:p>
    <w:p w14:paraId="214D870B">
      <w:pPr>
        <w:sectPr>
          <w:headerReference r:id="rId278" w:type="default"/>
          <w:footerReference r:id="rId279" w:type="default"/>
          <w:pgSz w:w="11906" w:h="16839"/>
          <w:pgMar w:top="1190" w:right="1337" w:bottom="1427" w:left="1415" w:header="882" w:footer="1265" w:gutter="0"/>
          <w:cols w:space="720" w:num="1"/>
        </w:sectPr>
      </w:pPr>
    </w:p>
    <w:p w14:paraId="1D63395B">
      <w:pPr>
        <w:spacing w:line="28" w:lineRule="exact"/>
        <w:ind w:firstLine="2"/>
      </w:pPr>
      <w:r>
        <w:pict>
          <v:shape id="_x0000_s1794" o:spid="_x0000_s1794" style="height:1.45pt;width:453.65pt;" fillcolor="#000000" filled="t" stroked="f" coordsize="9072,29" path="m0,0l9072,0,9072,28,0,28,0,0xe">
            <v:path/>
            <v:fill on="t" focussize="0,0"/>
            <v:stroke on="f"/>
            <v:imagedata o:title=""/>
            <o:lock v:ext="edit"/>
            <w10:wrap type="none"/>
            <w10:anchorlock/>
          </v:shape>
        </w:pict>
      </w:r>
    </w:p>
    <w:p w14:paraId="3864E68E">
      <w:pPr>
        <w:spacing w:line="197" w:lineRule="exact"/>
      </w:pPr>
    </w:p>
    <w:tbl>
      <w:tblPr>
        <w:tblStyle w:val="5"/>
        <w:tblW w:w="907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10"/>
        <w:gridCol w:w="1381"/>
        <w:gridCol w:w="1524"/>
        <w:gridCol w:w="1253"/>
        <w:gridCol w:w="919"/>
        <w:gridCol w:w="938"/>
        <w:gridCol w:w="1038"/>
        <w:gridCol w:w="723"/>
        <w:gridCol w:w="489"/>
      </w:tblGrid>
      <w:tr w14:paraId="273492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2" w:hRule="atLeast"/>
        </w:trPr>
        <w:tc>
          <w:tcPr>
            <w:tcW w:w="810" w:type="dxa"/>
            <w:tcBorders>
              <w:top w:val="single" w:color="000000" w:sz="10" w:space="0"/>
              <w:left w:val="nil"/>
            </w:tcBorders>
            <w:vAlign w:val="top"/>
          </w:tcPr>
          <w:p w14:paraId="210CF240">
            <w:pPr>
              <w:pStyle w:val="6"/>
              <w:spacing w:before="172" w:line="228" w:lineRule="auto"/>
              <w:ind w:left="97"/>
              <w:rPr>
                <w:sz w:val="20"/>
                <w:szCs w:val="20"/>
              </w:rPr>
            </w:pPr>
            <w:r>
              <w:rPr>
                <w:spacing w:val="6"/>
                <w:sz w:val="20"/>
                <w:szCs w:val="20"/>
              </w:rPr>
              <w:t>污染物</w:t>
            </w:r>
          </w:p>
        </w:tc>
        <w:tc>
          <w:tcPr>
            <w:tcW w:w="1381" w:type="dxa"/>
            <w:tcBorders>
              <w:top w:val="single" w:color="000000" w:sz="10" w:space="0"/>
            </w:tcBorders>
            <w:vAlign w:val="top"/>
          </w:tcPr>
          <w:p w14:paraId="4911CEF8">
            <w:pPr>
              <w:pStyle w:val="6"/>
              <w:spacing w:before="172" w:line="228" w:lineRule="auto"/>
              <w:ind w:left="381"/>
              <w:rPr>
                <w:sz w:val="20"/>
                <w:szCs w:val="20"/>
              </w:rPr>
            </w:pPr>
            <w:r>
              <w:rPr>
                <w:spacing w:val="6"/>
                <w:sz w:val="20"/>
                <w:szCs w:val="20"/>
              </w:rPr>
              <w:t>预测点</w:t>
            </w:r>
          </w:p>
        </w:tc>
        <w:tc>
          <w:tcPr>
            <w:tcW w:w="1524" w:type="dxa"/>
            <w:tcBorders>
              <w:top w:val="single" w:color="000000" w:sz="10" w:space="0"/>
            </w:tcBorders>
            <w:vAlign w:val="top"/>
          </w:tcPr>
          <w:p w14:paraId="38739F03">
            <w:pPr>
              <w:pStyle w:val="6"/>
              <w:spacing w:before="172" w:line="228" w:lineRule="auto"/>
              <w:ind w:left="346"/>
              <w:rPr>
                <w:sz w:val="20"/>
                <w:szCs w:val="20"/>
              </w:rPr>
            </w:pPr>
            <w:r>
              <w:rPr>
                <w:spacing w:val="7"/>
                <w:sz w:val="20"/>
                <w:szCs w:val="20"/>
              </w:rPr>
              <w:t>平均时段</w:t>
            </w:r>
          </w:p>
        </w:tc>
        <w:tc>
          <w:tcPr>
            <w:tcW w:w="1253" w:type="dxa"/>
            <w:tcBorders>
              <w:top w:val="single" w:color="000000" w:sz="10" w:space="0"/>
            </w:tcBorders>
            <w:vAlign w:val="top"/>
          </w:tcPr>
          <w:p w14:paraId="36F29267">
            <w:pPr>
              <w:pStyle w:val="6"/>
              <w:spacing w:before="34" w:line="234" w:lineRule="auto"/>
              <w:ind w:left="276" w:right="69" w:hanging="198"/>
              <w:rPr>
                <w:sz w:val="20"/>
                <w:szCs w:val="20"/>
              </w:rPr>
            </w:pPr>
            <w:r>
              <w:rPr>
                <w:spacing w:val="7"/>
                <w:sz w:val="20"/>
                <w:szCs w:val="20"/>
              </w:rPr>
              <w:t>最大贡献值</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 xml:space="preserve"> </w:t>
            </w:r>
            <w:r>
              <w:rPr>
                <w:spacing w:val="2"/>
                <w:sz w:val="20"/>
                <w:szCs w:val="20"/>
              </w:rPr>
              <w:t>(</w:t>
            </w: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6"/>
                <w:sz w:val="13"/>
                <w:szCs w:val="13"/>
              </w:rPr>
              <w:t>3</w:t>
            </w:r>
            <w:r>
              <w:rPr>
                <w:spacing w:val="2"/>
                <w:sz w:val="20"/>
                <w:szCs w:val="20"/>
              </w:rPr>
              <w:t>）</w:t>
            </w:r>
          </w:p>
        </w:tc>
        <w:tc>
          <w:tcPr>
            <w:tcW w:w="919" w:type="dxa"/>
            <w:tcBorders>
              <w:top w:val="single" w:color="000000" w:sz="10" w:space="0"/>
            </w:tcBorders>
            <w:vAlign w:val="top"/>
          </w:tcPr>
          <w:p w14:paraId="1D51801F">
            <w:pPr>
              <w:pStyle w:val="6"/>
              <w:spacing w:before="172" w:line="228" w:lineRule="auto"/>
              <w:ind w:left="63"/>
              <w:rPr>
                <w:sz w:val="20"/>
                <w:szCs w:val="20"/>
              </w:rPr>
            </w:pPr>
            <w:r>
              <w:rPr>
                <w:spacing w:val="2"/>
                <w:sz w:val="20"/>
                <w:szCs w:val="20"/>
              </w:rPr>
              <w:t>出现时间</w:t>
            </w:r>
          </w:p>
        </w:tc>
        <w:tc>
          <w:tcPr>
            <w:tcW w:w="938" w:type="dxa"/>
            <w:tcBorders>
              <w:top w:val="single" w:color="000000" w:sz="10" w:space="0"/>
            </w:tcBorders>
            <w:vAlign w:val="top"/>
          </w:tcPr>
          <w:p w14:paraId="1D5AEAFB">
            <w:pPr>
              <w:pStyle w:val="6"/>
              <w:spacing w:before="34" w:line="234" w:lineRule="auto"/>
              <w:ind w:left="121" w:right="16" w:hanging="94"/>
              <w:rPr>
                <w:sz w:val="20"/>
                <w:szCs w:val="20"/>
              </w:rPr>
            </w:pPr>
            <w:r>
              <w:rPr>
                <w:spacing w:val="6"/>
                <w:sz w:val="20"/>
                <w:szCs w:val="20"/>
              </w:rPr>
              <w:t>现状浓度</w:t>
            </w:r>
            <w:r>
              <w:rPr>
                <w:rFonts w:ascii="Times New Roman" w:hAnsi="Times New Roman" w:eastAsia="Times New Roman" w:cs="Times New Roman"/>
                <w:spacing w:val="6"/>
                <w:sz w:val="20"/>
                <w:szCs w:val="20"/>
              </w:rPr>
              <w:t>/</w:t>
            </w:r>
            <w:r>
              <w:rPr>
                <w:rFonts w:ascii="Times New Roman" w:hAnsi="Times New Roman" w:eastAsia="Times New Roman" w:cs="Times New Roman"/>
                <w:spacing w:val="2"/>
                <w:sz w:val="20"/>
                <w:szCs w:val="20"/>
              </w:rPr>
              <w:t xml:space="preserve"> </w:t>
            </w:r>
            <w:r>
              <w:rPr>
                <w:sz w:val="20"/>
                <w:szCs w:val="20"/>
              </w:rPr>
              <w:t>(</w:t>
            </w:r>
            <w:r>
              <w:rPr>
                <w:rFonts w:ascii="Times New Roman" w:hAnsi="Times New Roman" w:eastAsia="Times New Roman" w:cs="Times New Roman"/>
                <w:sz w:val="20"/>
                <w:szCs w:val="20"/>
              </w:rPr>
              <w:t>μg/m</w:t>
            </w:r>
            <w:r>
              <w:rPr>
                <w:rFonts w:ascii="Times New Roman" w:hAnsi="Times New Roman" w:eastAsia="Times New Roman" w:cs="Times New Roman"/>
                <w:position w:val="6"/>
                <w:sz w:val="13"/>
                <w:szCs w:val="13"/>
              </w:rPr>
              <w:t>3</w:t>
            </w:r>
            <w:r>
              <w:rPr>
                <w:sz w:val="20"/>
                <w:szCs w:val="20"/>
              </w:rPr>
              <w:t>）</w:t>
            </w:r>
          </w:p>
        </w:tc>
        <w:tc>
          <w:tcPr>
            <w:tcW w:w="1038" w:type="dxa"/>
            <w:tcBorders>
              <w:top w:val="single" w:color="000000" w:sz="10" w:space="0"/>
            </w:tcBorders>
            <w:vAlign w:val="top"/>
          </w:tcPr>
          <w:p w14:paraId="6F7C1AF6">
            <w:pPr>
              <w:pStyle w:val="6"/>
              <w:spacing w:before="34" w:line="234" w:lineRule="auto"/>
              <w:ind w:left="8" w:firstLine="93"/>
              <w:rPr>
                <w:sz w:val="20"/>
                <w:szCs w:val="20"/>
              </w:rPr>
            </w:pPr>
            <w:r>
              <w:rPr>
                <w:spacing w:val="-10"/>
                <w:sz w:val="20"/>
                <w:szCs w:val="20"/>
              </w:rPr>
              <w:t>叠加后浓</w:t>
            </w:r>
            <w:r>
              <w:rPr>
                <w:spacing w:val="1"/>
                <w:sz w:val="20"/>
                <w:szCs w:val="20"/>
              </w:rPr>
              <w:t xml:space="preserve">  </w:t>
            </w:r>
            <w:r>
              <w:rPr>
                <w:spacing w:val="-2"/>
                <w:sz w:val="20"/>
                <w:szCs w:val="20"/>
              </w:rPr>
              <w:t>度</w:t>
            </w:r>
            <w:r>
              <w:rPr>
                <w:rFonts w:ascii="Times New Roman" w:hAnsi="Times New Roman" w:eastAsia="Times New Roman" w:cs="Times New Roman"/>
                <w:spacing w:val="-2"/>
                <w:sz w:val="20"/>
                <w:szCs w:val="20"/>
              </w:rPr>
              <w:t>/</w:t>
            </w:r>
            <w:r>
              <w:rPr>
                <w:spacing w:val="-2"/>
                <w:sz w:val="20"/>
                <w:szCs w:val="20"/>
              </w:rPr>
              <w:t>(</w:t>
            </w:r>
            <w:r>
              <w:rPr>
                <w:rFonts w:ascii="Times New Roman" w:hAnsi="Times New Roman" w:eastAsia="Times New Roman" w:cs="Times New Roman"/>
                <w:spacing w:val="-2"/>
                <w:sz w:val="20"/>
                <w:szCs w:val="20"/>
              </w:rPr>
              <w:t>μg/m</w:t>
            </w:r>
            <w:r>
              <w:rPr>
                <w:rFonts w:ascii="Times New Roman" w:hAnsi="Times New Roman" w:eastAsia="Times New Roman" w:cs="Times New Roman"/>
                <w:spacing w:val="-2"/>
                <w:position w:val="6"/>
                <w:sz w:val="13"/>
                <w:szCs w:val="13"/>
              </w:rPr>
              <w:t>3</w:t>
            </w:r>
            <w:r>
              <w:rPr>
                <w:spacing w:val="-2"/>
                <w:sz w:val="20"/>
                <w:szCs w:val="20"/>
              </w:rPr>
              <w:t>）</w:t>
            </w:r>
          </w:p>
        </w:tc>
        <w:tc>
          <w:tcPr>
            <w:tcW w:w="723" w:type="dxa"/>
            <w:tcBorders>
              <w:top w:val="single" w:color="000000" w:sz="10" w:space="0"/>
            </w:tcBorders>
            <w:vAlign w:val="top"/>
          </w:tcPr>
          <w:p w14:paraId="2187092E">
            <w:pPr>
              <w:pStyle w:val="6"/>
              <w:spacing w:before="52"/>
              <w:ind w:left="241" w:right="45" w:hanging="156"/>
              <w:rPr>
                <w:rFonts w:ascii="Times New Roman" w:hAnsi="Times New Roman" w:eastAsia="Times New Roman" w:cs="Times New Roman"/>
                <w:sz w:val="20"/>
                <w:szCs w:val="20"/>
              </w:rPr>
            </w:pPr>
            <w:r>
              <w:rPr>
                <w:spacing w:val="-5"/>
                <w:sz w:val="20"/>
                <w:szCs w:val="20"/>
              </w:rPr>
              <w:t>占标率</w:t>
            </w:r>
            <w:r>
              <w:rPr>
                <w:sz w:val="20"/>
                <w:szCs w:val="20"/>
              </w:rPr>
              <w:t xml:space="preserve"> </w:t>
            </w:r>
            <w:r>
              <w:rPr>
                <w:rFonts w:ascii="Times New Roman" w:hAnsi="Times New Roman" w:eastAsia="Times New Roman" w:cs="Times New Roman"/>
                <w:spacing w:val="4"/>
                <w:sz w:val="20"/>
                <w:szCs w:val="20"/>
              </w:rPr>
              <w:t>/%</w:t>
            </w:r>
          </w:p>
        </w:tc>
        <w:tc>
          <w:tcPr>
            <w:tcW w:w="489" w:type="dxa"/>
            <w:tcBorders>
              <w:top w:val="single" w:color="000000" w:sz="10" w:space="0"/>
              <w:right w:val="nil"/>
            </w:tcBorders>
            <w:vAlign w:val="top"/>
          </w:tcPr>
          <w:p w14:paraId="732B4DBC">
            <w:pPr>
              <w:pStyle w:val="6"/>
              <w:spacing w:before="34" w:line="234" w:lineRule="auto"/>
              <w:ind w:left="43" w:right="33" w:hanging="1"/>
              <w:rPr>
                <w:sz w:val="20"/>
                <w:szCs w:val="20"/>
              </w:rPr>
            </w:pPr>
            <w:r>
              <w:rPr>
                <w:spacing w:val="5"/>
                <w:sz w:val="20"/>
                <w:szCs w:val="20"/>
              </w:rPr>
              <w:t>达标</w:t>
            </w:r>
            <w:r>
              <w:rPr>
                <w:sz w:val="20"/>
                <w:szCs w:val="20"/>
              </w:rPr>
              <w:t xml:space="preserve"> </w:t>
            </w:r>
            <w:r>
              <w:rPr>
                <w:spacing w:val="4"/>
                <w:sz w:val="20"/>
                <w:szCs w:val="20"/>
              </w:rPr>
              <w:t>情况</w:t>
            </w:r>
          </w:p>
        </w:tc>
      </w:tr>
      <w:tr w14:paraId="5E056A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810" w:type="dxa"/>
            <w:vMerge w:val="restart"/>
            <w:tcBorders>
              <w:left w:val="nil"/>
              <w:bottom w:val="nil"/>
            </w:tcBorders>
            <w:vAlign w:val="top"/>
          </w:tcPr>
          <w:p w14:paraId="6D61E703">
            <w:pPr>
              <w:rPr>
                <w:rFonts w:ascii="Arial"/>
                <w:sz w:val="21"/>
              </w:rPr>
            </w:pPr>
          </w:p>
        </w:tc>
        <w:tc>
          <w:tcPr>
            <w:tcW w:w="1381" w:type="dxa"/>
            <w:vAlign w:val="top"/>
          </w:tcPr>
          <w:p w14:paraId="717F25D5">
            <w:pPr>
              <w:rPr>
                <w:rFonts w:ascii="Arial"/>
                <w:sz w:val="21"/>
              </w:rPr>
            </w:pPr>
          </w:p>
        </w:tc>
        <w:tc>
          <w:tcPr>
            <w:tcW w:w="1524" w:type="dxa"/>
            <w:vAlign w:val="top"/>
          </w:tcPr>
          <w:p w14:paraId="27E518AB">
            <w:pPr>
              <w:pStyle w:val="6"/>
              <w:spacing w:before="37" w:line="220" w:lineRule="auto"/>
              <w:ind w:left="348"/>
              <w:rPr>
                <w:sz w:val="20"/>
                <w:szCs w:val="20"/>
              </w:rPr>
            </w:pPr>
            <w:r>
              <w:rPr>
                <w:spacing w:val="7"/>
                <w:sz w:val="20"/>
                <w:szCs w:val="20"/>
              </w:rPr>
              <w:t>年均浓度</w:t>
            </w:r>
          </w:p>
        </w:tc>
        <w:tc>
          <w:tcPr>
            <w:tcW w:w="1253" w:type="dxa"/>
            <w:vAlign w:val="top"/>
          </w:tcPr>
          <w:p w14:paraId="12E99C47">
            <w:pPr>
              <w:spacing w:before="73"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1.75873</w:t>
            </w:r>
          </w:p>
        </w:tc>
        <w:tc>
          <w:tcPr>
            <w:tcW w:w="919" w:type="dxa"/>
            <w:vAlign w:val="top"/>
          </w:tcPr>
          <w:p w14:paraId="38094C20">
            <w:pPr>
              <w:pStyle w:val="6"/>
              <w:spacing w:before="37" w:line="220" w:lineRule="auto"/>
              <w:ind w:left="149"/>
              <w:rPr>
                <w:sz w:val="20"/>
                <w:szCs w:val="20"/>
              </w:rPr>
            </w:pPr>
            <w:r>
              <w:rPr>
                <w:spacing w:val="7"/>
                <w:sz w:val="20"/>
                <w:szCs w:val="20"/>
              </w:rPr>
              <w:t>平均值</w:t>
            </w:r>
          </w:p>
        </w:tc>
        <w:tc>
          <w:tcPr>
            <w:tcW w:w="938" w:type="dxa"/>
            <w:vAlign w:val="top"/>
          </w:tcPr>
          <w:p w14:paraId="73070396">
            <w:pPr>
              <w:spacing w:before="73"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1038" w:type="dxa"/>
            <w:vAlign w:val="top"/>
          </w:tcPr>
          <w:p w14:paraId="11520F92">
            <w:pPr>
              <w:spacing w:before="73" w:line="195" w:lineRule="auto"/>
              <w:ind w:left="150"/>
              <w:rPr>
                <w:rFonts w:ascii="Times New Roman" w:hAnsi="Times New Roman" w:eastAsia="Times New Roman" w:cs="Times New Roman"/>
                <w:sz w:val="20"/>
                <w:szCs w:val="20"/>
              </w:rPr>
            </w:pPr>
            <w:r>
              <w:rPr>
                <w:rFonts w:ascii="Times New Roman" w:hAnsi="Times New Roman" w:eastAsia="Times New Roman" w:cs="Times New Roman"/>
                <w:sz w:val="20"/>
                <w:szCs w:val="20"/>
              </w:rPr>
              <w:t>11.75873</w:t>
            </w:r>
          </w:p>
        </w:tc>
        <w:tc>
          <w:tcPr>
            <w:tcW w:w="723" w:type="dxa"/>
            <w:vAlign w:val="top"/>
          </w:tcPr>
          <w:p w14:paraId="41C01A63">
            <w:pPr>
              <w:spacing w:before="73" w:line="195" w:lineRule="auto"/>
              <w:ind w:left="1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29.40</w:t>
            </w:r>
          </w:p>
        </w:tc>
        <w:tc>
          <w:tcPr>
            <w:tcW w:w="489" w:type="dxa"/>
            <w:tcBorders>
              <w:right w:val="nil"/>
            </w:tcBorders>
            <w:vAlign w:val="top"/>
          </w:tcPr>
          <w:p w14:paraId="562840B0">
            <w:pPr>
              <w:pStyle w:val="6"/>
              <w:spacing w:before="37" w:line="220" w:lineRule="auto"/>
              <w:ind w:left="42"/>
              <w:rPr>
                <w:sz w:val="20"/>
                <w:szCs w:val="20"/>
              </w:rPr>
            </w:pPr>
            <w:r>
              <w:rPr>
                <w:spacing w:val="5"/>
                <w:sz w:val="20"/>
                <w:szCs w:val="20"/>
              </w:rPr>
              <w:t>达标</w:t>
            </w:r>
          </w:p>
        </w:tc>
      </w:tr>
      <w:tr w14:paraId="2D6B31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810" w:type="dxa"/>
            <w:vMerge w:val="continue"/>
            <w:tcBorders>
              <w:top w:val="nil"/>
              <w:left w:val="nil"/>
              <w:bottom w:val="nil"/>
            </w:tcBorders>
            <w:vAlign w:val="top"/>
          </w:tcPr>
          <w:p w14:paraId="3641C35F">
            <w:pPr>
              <w:rPr>
                <w:rFonts w:ascii="Arial"/>
                <w:sz w:val="21"/>
              </w:rPr>
            </w:pPr>
          </w:p>
        </w:tc>
        <w:tc>
          <w:tcPr>
            <w:tcW w:w="1381" w:type="dxa"/>
            <w:vMerge w:val="restart"/>
            <w:tcBorders>
              <w:bottom w:val="nil"/>
            </w:tcBorders>
            <w:vAlign w:val="top"/>
          </w:tcPr>
          <w:p w14:paraId="20EC13F8">
            <w:pPr>
              <w:pStyle w:val="6"/>
              <w:spacing w:before="186" w:line="228" w:lineRule="auto"/>
              <w:ind w:left="87"/>
              <w:rPr>
                <w:sz w:val="20"/>
                <w:szCs w:val="20"/>
              </w:rPr>
            </w:pPr>
            <w:r>
              <w:rPr>
                <w:spacing w:val="4"/>
                <w:sz w:val="20"/>
                <w:szCs w:val="20"/>
              </w:rPr>
              <w:t>巴润阿木斯尔</w:t>
            </w:r>
          </w:p>
        </w:tc>
        <w:tc>
          <w:tcPr>
            <w:tcW w:w="1524" w:type="dxa"/>
            <w:vAlign w:val="top"/>
          </w:tcPr>
          <w:p w14:paraId="1D49FCE8">
            <w:pPr>
              <w:pStyle w:val="6"/>
              <w:spacing w:before="39" w:line="218" w:lineRule="auto"/>
              <w:ind w:left="34"/>
              <w:rPr>
                <w:sz w:val="20"/>
                <w:szCs w:val="20"/>
              </w:rPr>
            </w:pPr>
            <w:r>
              <w:rPr>
                <w:spacing w:val="8"/>
                <w:sz w:val="20"/>
                <w:szCs w:val="20"/>
              </w:rPr>
              <w:t>保证率日均浓度</w:t>
            </w:r>
          </w:p>
        </w:tc>
        <w:tc>
          <w:tcPr>
            <w:tcW w:w="1253" w:type="dxa"/>
            <w:vAlign w:val="top"/>
          </w:tcPr>
          <w:p w14:paraId="72AEC660">
            <w:pPr>
              <w:spacing w:before="75" w:line="195"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31.35386</w:t>
            </w:r>
          </w:p>
        </w:tc>
        <w:tc>
          <w:tcPr>
            <w:tcW w:w="919" w:type="dxa"/>
            <w:vAlign w:val="top"/>
          </w:tcPr>
          <w:p w14:paraId="7B7BA73E">
            <w:pPr>
              <w:spacing w:before="75"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220920</w:t>
            </w:r>
          </w:p>
        </w:tc>
        <w:tc>
          <w:tcPr>
            <w:tcW w:w="938" w:type="dxa"/>
            <w:vAlign w:val="top"/>
          </w:tcPr>
          <w:p w14:paraId="4030620A">
            <w:pPr>
              <w:spacing w:before="75" w:line="195" w:lineRule="auto"/>
              <w:ind w:left="2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20.72</w:t>
            </w:r>
          </w:p>
        </w:tc>
        <w:tc>
          <w:tcPr>
            <w:tcW w:w="1038" w:type="dxa"/>
            <w:vAlign w:val="top"/>
          </w:tcPr>
          <w:p w14:paraId="5C102C6B">
            <w:pPr>
              <w:spacing w:before="75"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52.07386</w:t>
            </w:r>
          </w:p>
        </w:tc>
        <w:tc>
          <w:tcPr>
            <w:tcW w:w="723" w:type="dxa"/>
            <w:vAlign w:val="top"/>
          </w:tcPr>
          <w:p w14:paraId="32BABE82">
            <w:pPr>
              <w:spacing w:before="75"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65.09</w:t>
            </w:r>
          </w:p>
        </w:tc>
        <w:tc>
          <w:tcPr>
            <w:tcW w:w="489" w:type="dxa"/>
            <w:tcBorders>
              <w:right w:val="nil"/>
            </w:tcBorders>
            <w:vAlign w:val="top"/>
          </w:tcPr>
          <w:p w14:paraId="0618F079">
            <w:pPr>
              <w:pStyle w:val="6"/>
              <w:spacing w:before="39" w:line="218" w:lineRule="auto"/>
              <w:ind w:left="42"/>
              <w:rPr>
                <w:sz w:val="20"/>
                <w:szCs w:val="20"/>
              </w:rPr>
            </w:pPr>
            <w:r>
              <w:rPr>
                <w:spacing w:val="5"/>
                <w:sz w:val="20"/>
                <w:szCs w:val="20"/>
              </w:rPr>
              <w:t>达标</w:t>
            </w:r>
          </w:p>
        </w:tc>
      </w:tr>
      <w:tr w14:paraId="0BF938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810" w:type="dxa"/>
            <w:vMerge w:val="continue"/>
            <w:tcBorders>
              <w:top w:val="nil"/>
              <w:left w:val="nil"/>
              <w:bottom w:val="nil"/>
            </w:tcBorders>
            <w:vAlign w:val="top"/>
          </w:tcPr>
          <w:p w14:paraId="6A051CB4">
            <w:pPr>
              <w:rPr>
                <w:rFonts w:ascii="Arial"/>
                <w:sz w:val="21"/>
              </w:rPr>
            </w:pPr>
          </w:p>
        </w:tc>
        <w:tc>
          <w:tcPr>
            <w:tcW w:w="1381" w:type="dxa"/>
            <w:vMerge w:val="continue"/>
            <w:tcBorders>
              <w:top w:val="nil"/>
            </w:tcBorders>
            <w:vAlign w:val="top"/>
          </w:tcPr>
          <w:p w14:paraId="779A09F9">
            <w:pPr>
              <w:rPr>
                <w:rFonts w:ascii="Arial"/>
                <w:sz w:val="21"/>
              </w:rPr>
            </w:pPr>
          </w:p>
        </w:tc>
        <w:tc>
          <w:tcPr>
            <w:tcW w:w="1524" w:type="dxa"/>
            <w:vAlign w:val="top"/>
          </w:tcPr>
          <w:p w14:paraId="1273781F">
            <w:pPr>
              <w:pStyle w:val="6"/>
              <w:spacing w:before="40" w:line="217" w:lineRule="auto"/>
              <w:ind w:left="348"/>
              <w:rPr>
                <w:sz w:val="20"/>
                <w:szCs w:val="20"/>
              </w:rPr>
            </w:pPr>
            <w:r>
              <w:rPr>
                <w:spacing w:val="7"/>
                <w:sz w:val="20"/>
                <w:szCs w:val="20"/>
              </w:rPr>
              <w:t>年均浓度</w:t>
            </w:r>
          </w:p>
        </w:tc>
        <w:tc>
          <w:tcPr>
            <w:tcW w:w="1253" w:type="dxa"/>
            <w:vAlign w:val="top"/>
          </w:tcPr>
          <w:p w14:paraId="772A0883">
            <w:pPr>
              <w:spacing w:before="77" w:line="195"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2.21887</w:t>
            </w:r>
          </w:p>
        </w:tc>
        <w:tc>
          <w:tcPr>
            <w:tcW w:w="919" w:type="dxa"/>
            <w:vAlign w:val="top"/>
          </w:tcPr>
          <w:p w14:paraId="132DF8CE">
            <w:pPr>
              <w:pStyle w:val="6"/>
              <w:spacing w:before="40" w:line="217" w:lineRule="auto"/>
              <w:ind w:left="149"/>
              <w:rPr>
                <w:sz w:val="20"/>
                <w:szCs w:val="20"/>
              </w:rPr>
            </w:pPr>
            <w:r>
              <w:rPr>
                <w:spacing w:val="7"/>
                <w:sz w:val="20"/>
                <w:szCs w:val="20"/>
              </w:rPr>
              <w:t>平均值</w:t>
            </w:r>
          </w:p>
        </w:tc>
        <w:tc>
          <w:tcPr>
            <w:tcW w:w="938" w:type="dxa"/>
            <w:vAlign w:val="top"/>
          </w:tcPr>
          <w:p w14:paraId="3C7DE97C">
            <w:pPr>
              <w:spacing w:before="77"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1038" w:type="dxa"/>
            <w:vAlign w:val="top"/>
          </w:tcPr>
          <w:p w14:paraId="25F9D709">
            <w:pPr>
              <w:spacing w:before="77"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12.21887</w:t>
            </w:r>
          </w:p>
        </w:tc>
        <w:tc>
          <w:tcPr>
            <w:tcW w:w="723" w:type="dxa"/>
            <w:vAlign w:val="top"/>
          </w:tcPr>
          <w:p w14:paraId="1D03F28D">
            <w:pPr>
              <w:spacing w:before="77"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30.55</w:t>
            </w:r>
          </w:p>
        </w:tc>
        <w:tc>
          <w:tcPr>
            <w:tcW w:w="489" w:type="dxa"/>
            <w:tcBorders>
              <w:right w:val="nil"/>
            </w:tcBorders>
            <w:vAlign w:val="top"/>
          </w:tcPr>
          <w:p w14:paraId="431AF555">
            <w:pPr>
              <w:pStyle w:val="6"/>
              <w:spacing w:before="40" w:line="217" w:lineRule="auto"/>
              <w:ind w:left="42"/>
              <w:rPr>
                <w:sz w:val="20"/>
                <w:szCs w:val="20"/>
              </w:rPr>
            </w:pPr>
            <w:r>
              <w:rPr>
                <w:spacing w:val="5"/>
                <w:sz w:val="20"/>
                <w:szCs w:val="20"/>
              </w:rPr>
              <w:t>达标</w:t>
            </w:r>
          </w:p>
        </w:tc>
      </w:tr>
      <w:tr w14:paraId="594ECC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810" w:type="dxa"/>
            <w:vMerge w:val="continue"/>
            <w:tcBorders>
              <w:top w:val="nil"/>
              <w:left w:val="nil"/>
              <w:bottom w:val="nil"/>
            </w:tcBorders>
            <w:vAlign w:val="top"/>
          </w:tcPr>
          <w:p w14:paraId="34F42E59">
            <w:pPr>
              <w:rPr>
                <w:rFonts w:ascii="Arial"/>
                <w:sz w:val="21"/>
              </w:rPr>
            </w:pPr>
          </w:p>
        </w:tc>
        <w:tc>
          <w:tcPr>
            <w:tcW w:w="1381" w:type="dxa"/>
            <w:vMerge w:val="restart"/>
            <w:tcBorders>
              <w:bottom w:val="nil"/>
            </w:tcBorders>
            <w:vAlign w:val="top"/>
          </w:tcPr>
          <w:p w14:paraId="4B221F78">
            <w:pPr>
              <w:pStyle w:val="6"/>
              <w:spacing w:before="55" w:line="236" w:lineRule="auto"/>
              <w:ind w:left="10" w:firstLine="66"/>
              <w:rPr>
                <w:sz w:val="20"/>
                <w:szCs w:val="20"/>
              </w:rPr>
            </w:pPr>
            <w:r>
              <w:rPr>
                <w:spacing w:val="-6"/>
                <w:sz w:val="20"/>
                <w:szCs w:val="20"/>
              </w:rPr>
              <w:t>区域最大落地</w:t>
            </w:r>
            <w:r>
              <w:rPr>
                <w:spacing w:val="1"/>
                <w:sz w:val="20"/>
                <w:szCs w:val="20"/>
              </w:rPr>
              <w:t xml:space="preserve">  </w:t>
            </w:r>
            <w:r>
              <w:rPr>
                <w:spacing w:val="-5"/>
                <w:sz w:val="20"/>
                <w:szCs w:val="20"/>
              </w:rPr>
              <w:t>浓度（网格点）</w:t>
            </w:r>
          </w:p>
        </w:tc>
        <w:tc>
          <w:tcPr>
            <w:tcW w:w="1524" w:type="dxa"/>
            <w:vAlign w:val="top"/>
          </w:tcPr>
          <w:p w14:paraId="0064669D">
            <w:pPr>
              <w:pStyle w:val="6"/>
              <w:spacing w:before="45" w:line="213" w:lineRule="auto"/>
              <w:ind w:left="34"/>
              <w:rPr>
                <w:sz w:val="20"/>
                <w:szCs w:val="20"/>
              </w:rPr>
            </w:pPr>
            <w:r>
              <w:rPr>
                <w:spacing w:val="8"/>
                <w:sz w:val="20"/>
                <w:szCs w:val="20"/>
              </w:rPr>
              <w:t>保证率日均浓度</w:t>
            </w:r>
          </w:p>
        </w:tc>
        <w:tc>
          <w:tcPr>
            <w:tcW w:w="1253" w:type="dxa"/>
            <w:vAlign w:val="top"/>
          </w:tcPr>
          <w:p w14:paraId="7B083DE6">
            <w:pPr>
              <w:spacing w:before="81"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50.8351</w:t>
            </w:r>
          </w:p>
        </w:tc>
        <w:tc>
          <w:tcPr>
            <w:tcW w:w="919" w:type="dxa"/>
            <w:vAlign w:val="top"/>
          </w:tcPr>
          <w:p w14:paraId="0EC77FB3">
            <w:pPr>
              <w:spacing w:before="81"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220303</w:t>
            </w:r>
          </w:p>
        </w:tc>
        <w:tc>
          <w:tcPr>
            <w:tcW w:w="938" w:type="dxa"/>
            <w:vAlign w:val="top"/>
          </w:tcPr>
          <w:p w14:paraId="12372463">
            <w:pPr>
              <w:spacing w:before="81" w:line="195" w:lineRule="auto"/>
              <w:ind w:left="2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20.72</w:t>
            </w:r>
          </w:p>
        </w:tc>
        <w:tc>
          <w:tcPr>
            <w:tcW w:w="1038" w:type="dxa"/>
            <w:vAlign w:val="top"/>
          </w:tcPr>
          <w:p w14:paraId="78F6676E">
            <w:pPr>
              <w:spacing w:before="81" w:line="195" w:lineRule="auto"/>
              <w:ind w:left="18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71.5551</w:t>
            </w:r>
          </w:p>
        </w:tc>
        <w:tc>
          <w:tcPr>
            <w:tcW w:w="723" w:type="dxa"/>
            <w:vAlign w:val="top"/>
          </w:tcPr>
          <w:p w14:paraId="4685E4D2">
            <w:pPr>
              <w:spacing w:before="81" w:line="195" w:lineRule="auto"/>
              <w:ind w:left="1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89.44</w:t>
            </w:r>
          </w:p>
        </w:tc>
        <w:tc>
          <w:tcPr>
            <w:tcW w:w="489" w:type="dxa"/>
            <w:tcBorders>
              <w:right w:val="nil"/>
            </w:tcBorders>
            <w:vAlign w:val="top"/>
          </w:tcPr>
          <w:p w14:paraId="486A1E64">
            <w:pPr>
              <w:pStyle w:val="6"/>
              <w:spacing w:before="45" w:line="213" w:lineRule="auto"/>
              <w:ind w:left="42"/>
              <w:rPr>
                <w:sz w:val="20"/>
                <w:szCs w:val="20"/>
              </w:rPr>
            </w:pPr>
            <w:r>
              <w:rPr>
                <w:spacing w:val="5"/>
                <w:sz w:val="20"/>
                <w:szCs w:val="20"/>
              </w:rPr>
              <w:t>达标</w:t>
            </w:r>
          </w:p>
        </w:tc>
      </w:tr>
      <w:tr w14:paraId="4E2A4C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810" w:type="dxa"/>
            <w:vMerge w:val="continue"/>
            <w:tcBorders>
              <w:top w:val="nil"/>
              <w:left w:val="nil"/>
            </w:tcBorders>
            <w:vAlign w:val="top"/>
          </w:tcPr>
          <w:p w14:paraId="38CBFD40">
            <w:pPr>
              <w:rPr>
                <w:rFonts w:ascii="Arial"/>
                <w:sz w:val="21"/>
              </w:rPr>
            </w:pPr>
          </w:p>
        </w:tc>
        <w:tc>
          <w:tcPr>
            <w:tcW w:w="1381" w:type="dxa"/>
            <w:vMerge w:val="continue"/>
            <w:tcBorders>
              <w:top w:val="nil"/>
            </w:tcBorders>
            <w:vAlign w:val="top"/>
          </w:tcPr>
          <w:p w14:paraId="1AB38114">
            <w:pPr>
              <w:rPr>
                <w:rFonts w:ascii="Arial"/>
                <w:sz w:val="21"/>
              </w:rPr>
            </w:pPr>
          </w:p>
        </w:tc>
        <w:tc>
          <w:tcPr>
            <w:tcW w:w="1524" w:type="dxa"/>
            <w:vAlign w:val="top"/>
          </w:tcPr>
          <w:p w14:paraId="542F98A8">
            <w:pPr>
              <w:pStyle w:val="6"/>
              <w:spacing w:before="47" w:line="211" w:lineRule="auto"/>
              <w:ind w:left="348"/>
              <w:rPr>
                <w:sz w:val="20"/>
                <w:szCs w:val="20"/>
              </w:rPr>
            </w:pPr>
            <w:r>
              <w:rPr>
                <w:spacing w:val="7"/>
                <w:sz w:val="20"/>
                <w:szCs w:val="20"/>
              </w:rPr>
              <w:t>年均浓度</w:t>
            </w:r>
          </w:p>
        </w:tc>
        <w:tc>
          <w:tcPr>
            <w:tcW w:w="1253" w:type="dxa"/>
            <w:vAlign w:val="top"/>
          </w:tcPr>
          <w:p w14:paraId="33EE8D13">
            <w:pPr>
              <w:spacing w:before="83" w:line="195" w:lineRule="auto"/>
              <w:ind w:left="2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18.59359</w:t>
            </w:r>
          </w:p>
        </w:tc>
        <w:tc>
          <w:tcPr>
            <w:tcW w:w="919" w:type="dxa"/>
            <w:vAlign w:val="top"/>
          </w:tcPr>
          <w:p w14:paraId="059AC74A">
            <w:pPr>
              <w:pStyle w:val="6"/>
              <w:spacing w:before="47" w:line="211" w:lineRule="auto"/>
              <w:ind w:left="149"/>
              <w:rPr>
                <w:sz w:val="20"/>
                <w:szCs w:val="20"/>
              </w:rPr>
            </w:pPr>
            <w:r>
              <w:rPr>
                <w:spacing w:val="7"/>
                <w:sz w:val="20"/>
                <w:szCs w:val="20"/>
              </w:rPr>
              <w:t>平均值</w:t>
            </w:r>
          </w:p>
        </w:tc>
        <w:tc>
          <w:tcPr>
            <w:tcW w:w="938" w:type="dxa"/>
            <w:vAlign w:val="top"/>
          </w:tcPr>
          <w:p w14:paraId="6AFE32CB">
            <w:pPr>
              <w:spacing w:before="83"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10.0</w:t>
            </w:r>
          </w:p>
        </w:tc>
        <w:tc>
          <w:tcPr>
            <w:tcW w:w="1038" w:type="dxa"/>
            <w:vAlign w:val="top"/>
          </w:tcPr>
          <w:p w14:paraId="52337F92">
            <w:pPr>
              <w:spacing w:before="83"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28.59359</w:t>
            </w:r>
          </w:p>
        </w:tc>
        <w:tc>
          <w:tcPr>
            <w:tcW w:w="723" w:type="dxa"/>
            <w:vAlign w:val="top"/>
          </w:tcPr>
          <w:p w14:paraId="584B7EFC">
            <w:pPr>
              <w:spacing w:before="83"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71.48</w:t>
            </w:r>
          </w:p>
        </w:tc>
        <w:tc>
          <w:tcPr>
            <w:tcW w:w="489" w:type="dxa"/>
            <w:tcBorders>
              <w:right w:val="nil"/>
            </w:tcBorders>
            <w:vAlign w:val="top"/>
          </w:tcPr>
          <w:p w14:paraId="598E1ECC">
            <w:pPr>
              <w:pStyle w:val="6"/>
              <w:spacing w:before="47" w:line="211" w:lineRule="auto"/>
              <w:ind w:left="42"/>
              <w:rPr>
                <w:sz w:val="20"/>
                <w:szCs w:val="20"/>
              </w:rPr>
            </w:pPr>
            <w:r>
              <w:rPr>
                <w:spacing w:val="5"/>
                <w:sz w:val="20"/>
                <w:szCs w:val="20"/>
              </w:rPr>
              <w:t>达标</w:t>
            </w:r>
          </w:p>
        </w:tc>
      </w:tr>
      <w:tr w14:paraId="57A393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restart"/>
            <w:tcBorders>
              <w:left w:val="nil"/>
              <w:bottom w:val="nil"/>
            </w:tcBorders>
            <w:vAlign w:val="top"/>
          </w:tcPr>
          <w:p w14:paraId="6D7C9BC5">
            <w:pPr>
              <w:spacing w:line="251" w:lineRule="auto"/>
              <w:rPr>
                <w:rFonts w:ascii="Arial"/>
                <w:sz w:val="21"/>
              </w:rPr>
            </w:pPr>
          </w:p>
          <w:p w14:paraId="45C89F89">
            <w:pPr>
              <w:spacing w:line="251" w:lineRule="auto"/>
              <w:rPr>
                <w:rFonts w:ascii="Arial"/>
                <w:sz w:val="21"/>
              </w:rPr>
            </w:pPr>
          </w:p>
          <w:p w14:paraId="3798808C">
            <w:pPr>
              <w:spacing w:line="252" w:lineRule="auto"/>
              <w:rPr>
                <w:rFonts w:ascii="Arial"/>
                <w:sz w:val="21"/>
              </w:rPr>
            </w:pPr>
          </w:p>
          <w:p w14:paraId="4E3F1958">
            <w:pPr>
              <w:spacing w:before="58" w:line="195" w:lineRule="auto"/>
              <w:ind w:left="22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TSP</w:t>
            </w:r>
          </w:p>
        </w:tc>
        <w:tc>
          <w:tcPr>
            <w:tcW w:w="1381" w:type="dxa"/>
            <w:vMerge w:val="restart"/>
            <w:tcBorders>
              <w:bottom w:val="nil"/>
            </w:tcBorders>
            <w:vAlign w:val="top"/>
          </w:tcPr>
          <w:p w14:paraId="623C657D">
            <w:pPr>
              <w:pStyle w:val="6"/>
              <w:spacing w:before="195" w:line="228" w:lineRule="auto"/>
              <w:ind w:left="278"/>
              <w:rPr>
                <w:sz w:val="20"/>
                <w:szCs w:val="20"/>
              </w:rPr>
            </w:pPr>
            <w:r>
              <w:rPr>
                <w:spacing w:val="6"/>
                <w:sz w:val="20"/>
                <w:szCs w:val="20"/>
              </w:rPr>
              <w:t>温都尔庙</w:t>
            </w:r>
          </w:p>
        </w:tc>
        <w:tc>
          <w:tcPr>
            <w:tcW w:w="1524" w:type="dxa"/>
            <w:vAlign w:val="top"/>
          </w:tcPr>
          <w:p w14:paraId="47D1A805">
            <w:pPr>
              <w:pStyle w:val="6"/>
              <w:spacing w:before="49" w:line="210" w:lineRule="auto"/>
              <w:ind w:left="489"/>
              <w:rPr>
                <w:sz w:val="20"/>
                <w:szCs w:val="20"/>
              </w:rPr>
            </w:pPr>
            <w:r>
              <w:rPr>
                <w:spacing w:val="-6"/>
                <w:sz w:val="20"/>
                <w:szCs w:val="20"/>
              </w:rPr>
              <w:t>日平均</w:t>
            </w:r>
          </w:p>
        </w:tc>
        <w:tc>
          <w:tcPr>
            <w:tcW w:w="1253" w:type="dxa"/>
            <w:vAlign w:val="top"/>
          </w:tcPr>
          <w:p w14:paraId="1BECAE25">
            <w:pPr>
              <w:spacing w:before="84" w:line="195"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1.29769</w:t>
            </w:r>
          </w:p>
        </w:tc>
        <w:tc>
          <w:tcPr>
            <w:tcW w:w="919" w:type="dxa"/>
            <w:vAlign w:val="top"/>
          </w:tcPr>
          <w:p w14:paraId="5B8B8699">
            <w:pPr>
              <w:spacing w:before="84"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220918</w:t>
            </w:r>
          </w:p>
        </w:tc>
        <w:tc>
          <w:tcPr>
            <w:tcW w:w="938" w:type="dxa"/>
            <w:vAlign w:val="top"/>
          </w:tcPr>
          <w:p w14:paraId="26355A1C">
            <w:pPr>
              <w:spacing w:before="84" w:line="195" w:lineRule="auto"/>
              <w:ind w:left="2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275.0</w:t>
            </w:r>
          </w:p>
        </w:tc>
        <w:tc>
          <w:tcPr>
            <w:tcW w:w="1038" w:type="dxa"/>
            <w:vAlign w:val="top"/>
          </w:tcPr>
          <w:p w14:paraId="6897A322">
            <w:pPr>
              <w:spacing w:before="84"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276.2977</w:t>
            </w:r>
          </w:p>
        </w:tc>
        <w:tc>
          <w:tcPr>
            <w:tcW w:w="723" w:type="dxa"/>
            <w:vAlign w:val="top"/>
          </w:tcPr>
          <w:p w14:paraId="46F96528">
            <w:pPr>
              <w:spacing w:before="84"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92.10</w:t>
            </w:r>
          </w:p>
        </w:tc>
        <w:tc>
          <w:tcPr>
            <w:tcW w:w="489" w:type="dxa"/>
            <w:tcBorders>
              <w:right w:val="nil"/>
            </w:tcBorders>
            <w:vAlign w:val="top"/>
          </w:tcPr>
          <w:p w14:paraId="707EE729">
            <w:pPr>
              <w:pStyle w:val="6"/>
              <w:spacing w:before="49" w:line="210" w:lineRule="auto"/>
              <w:ind w:left="42"/>
              <w:rPr>
                <w:sz w:val="20"/>
                <w:szCs w:val="20"/>
              </w:rPr>
            </w:pPr>
            <w:r>
              <w:rPr>
                <w:spacing w:val="5"/>
                <w:sz w:val="20"/>
                <w:szCs w:val="20"/>
              </w:rPr>
              <w:t>达标</w:t>
            </w:r>
          </w:p>
        </w:tc>
      </w:tr>
      <w:tr w14:paraId="4ECC58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0384BAF6">
            <w:pPr>
              <w:rPr>
                <w:rFonts w:ascii="Arial"/>
                <w:sz w:val="21"/>
              </w:rPr>
            </w:pPr>
          </w:p>
        </w:tc>
        <w:tc>
          <w:tcPr>
            <w:tcW w:w="1381" w:type="dxa"/>
            <w:vMerge w:val="continue"/>
            <w:tcBorders>
              <w:top w:val="nil"/>
            </w:tcBorders>
            <w:vAlign w:val="top"/>
          </w:tcPr>
          <w:p w14:paraId="44762EB8">
            <w:pPr>
              <w:rPr>
                <w:rFonts w:ascii="Arial"/>
                <w:sz w:val="21"/>
              </w:rPr>
            </w:pPr>
          </w:p>
        </w:tc>
        <w:tc>
          <w:tcPr>
            <w:tcW w:w="1524" w:type="dxa"/>
            <w:vAlign w:val="top"/>
          </w:tcPr>
          <w:p w14:paraId="04D89F95">
            <w:pPr>
              <w:pStyle w:val="6"/>
              <w:spacing w:before="49" w:line="210" w:lineRule="auto"/>
              <w:ind w:left="454"/>
              <w:rPr>
                <w:sz w:val="20"/>
                <w:szCs w:val="20"/>
              </w:rPr>
            </w:pPr>
            <w:r>
              <w:rPr>
                <w:spacing w:val="6"/>
                <w:sz w:val="20"/>
                <w:szCs w:val="20"/>
              </w:rPr>
              <w:t>年平均</w:t>
            </w:r>
          </w:p>
        </w:tc>
        <w:tc>
          <w:tcPr>
            <w:tcW w:w="1253" w:type="dxa"/>
            <w:vAlign w:val="top"/>
          </w:tcPr>
          <w:p w14:paraId="352B7BC4">
            <w:pPr>
              <w:spacing w:before="85"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0.16763</w:t>
            </w:r>
          </w:p>
        </w:tc>
        <w:tc>
          <w:tcPr>
            <w:tcW w:w="919" w:type="dxa"/>
            <w:vAlign w:val="top"/>
          </w:tcPr>
          <w:p w14:paraId="762C4829">
            <w:pPr>
              <w:pStyle w:val="6"/>
              <w:spacing w:before="49" w:line="210" w:lineRule="auto"/>
              <w:ind w:left="149"/>
              <w:rPr>
                <w:sz w:val="20"/>
                <w:szCs w:val="20"/>
              </w:rPr>
            </w:pPr>
            <w:r>
              <w:rPr>
                <w:spacing w:val="7"/>
                <w:sz w:val="20"/>
                <w:szCs w:val="20"/>
              </w:rPr>
              <w:t>平均值</w:t>
            </w:r>
          </w:p>
        </w:tc>
        <w:tc>
          <w:tcPr>
            <w:tcW w:w="938" w:type="dxa"/>
            <w:vAlign w:val="top"/>
          </w:tcPr>
          <w:p w14:paraId="46F42DC7">
            <w:pPr>
              <w:spacing w:before="85" w:line="195" w:lineRule="auto"/>
              <w:ind w:left="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99.42857</w:t>
            </w:r>
          </w:p>
        </w:tc>
        <w:tc>
          <w:tcPr>
            <w:tcW w:w="1038" w:type="dxa"/>
            <w:vAlign w:val="top"/>
          </w:tcPr>
          <w:p w14:paraId="7D151767">
            <w:pPr>
              <w:spacing w:before="85"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99.59621</w:t>
            </w:r>
          </w:p>
        </w:tc>
        <w:tc>
          <w:tcPr>
            <w:tcW w:w="723" w:type="dxa"/>
            <w:vAlign w:val="top"/>
          </w:tcPr>
          <w:p w14:paraId="56C9D2FD">
            <w:pPr>
              <w:spacing w:before="85" w:line="195"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49.80</w:t>
            </w:r>
          </w:p>
        </w:tc>
        <w:tc>
          <w:tcPr>
            <w:tcW w:w="489" w:type="dxa"/>
            <w:tcBorders>
              <w:right w:val="nil"/>
            </w:tcBorders>
            <w:vAlign w:val="top"/>
          </w:tcPr>
          <w:p w14:paraId="5455D588">
            <w:pPr>
              <w:pStyle w:val="6"/>
              <w:spacing w:before="49" w:line="210" w:lineRule="auto"/>
              <w:ind w:left="42"/>
              <w:rPr>
                <w:sz w:val="20"/>
                <w:szCs w:val="20"/>
              </w:rPr>
            </w:pPr>
            <w:r>
              <w:rPr>
                <w:spacing w:val="5"/>
                <w:sz w:val="20"/>
                <w:szCs w:val="20"/>
              </w:rPr>
              <w:t>达标</w:t>
            </w:r>
          </w:p>
        </w:tc>
      </w:tr>
      <w:tr w14:paraId="087229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51912E55">
            <w:pPr>
              <w:rPr>
                <w:rFonts w:ascii="Arial"/>
                <w:sz w:val="21"/>
              </w:rPr>
            </w:pPr>
          </w:p>
        </w:tc>
        <w:tc>
          <w:tcPr>
            <w:tcW w:w="1381" w:type="dxa"/>
            <w:vMerge w:val="restart"/>
            <w:tcBorders>
              <w:bottom w:val="nil"/>
            </w:tcBorders>
            <w:vAlign w:val="top"/>
          </w:tcPr>
          <w:p w14:paraId="08990873">
            <w:pPr>
              <w:pStyle w:val="6"/>
              <w:spacing w:before="197" w:line="228" w:lineRule="auto"/>
              <w:ind w:left="87"/>
              <w:rPr>
                <w:sz w:val="20"/>
                <w:szCs w:val="20"/>
              </w:rPr>
            </w:pPr>
            <w:r>
              <w:rPr>
                <w:spacing w:val="4"/>
                <w:sz w:val="20"/>
                <w:szCs w:val="20"/>
              </w:rPr>
              <w:t>巴润阿木斯尔</w:t>
            </w:r>
          </w:p>
        </w:tc>
        <w:tc>
          <w:tcPr>
            <w:tcW w:w="1524" w:type="dxa"/>
            <w:vAlign w:val="top"/>
          </w:tcPr>
          <w:p w14:paraId="15899D07">
            <w:pPr>
              <w:pStyle w:val="6"/>
              <w:spacing w:before="50" w:line="209" w:lineRule="auto"/>
              <w:ind w:left="489"/>
              <w:rPr>
                <w:sz w:val="20"/>
                <w:szCs w:val="20"/>
              </w:rPr>
            </w:pPr>
            <w:r>
              <w:rPr>
                <w:spacing w:val="-6"/>
                <w:sz w:val="20"/>
                <w:szCs w:val="20"/>
              </w:rPr>
              <w:t>日平均</w:t>
            </w:r>
          </w:p>
        </w:tc>
        <w:tc>
          <w:tcPr>
            <w:tcW w:w="1253" w:type="dxa"/>
            <w:vAlign w:val="top"/>
          </w:tcPr>
          <w:p w14:paraId="3A379E50">
            <w:pPr>
              <w:spacing w:before="86" w:line="195"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2.76505</w:t>
            </w:r>
          </w:p>
        </w:tc>
        <w:tc>
          <w:tcPr>
            <w:tcW w:w="919" w:type="dxa"/>
            <w:vAlign w:val="top"/>
          </w:tcPr>
          <w:p w14:paraId="223CCDB1">
            <w:pPr>
              <w:spacing w:before="86"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221107</w:t>
            </w:r>
          </w:p>
        </w:tc>
        <w:tc>
          <w:tcPr>
            <w:tcW w:w="938" w:type="dxa"/>
            <w:vAlign w:val="top"/>
          </w:tcPr>
          <w:p w14:paraId="5F59A7E3">
            <w:pPr>
              <w:spacing w:before="86" w:line="195" w:lineRule="auto"/>
              <w:ind w:left="2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275.0</w:t>
            </w:r>
          </w:p>
        </w:tc>
        <w:tc>
          <w:tcPr>
            <w:tcW w:w="1038" w:type="dxa"/>
            <w:vAlign w:val="top"/>
          </w:tcPr>
          <w:p w14:paraId="2FCB84D2">
            <w:pPr>
              <w:spacing w:before="86" w:line="195" w:lineRule="auto"/>
              <w:ind w:left="17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277.765</w:t>
            </w:r>
          </w:p>
        </w:tc>
        <w:tc>
          <w:tcPr>
            <w:tcW w:w="723" w:type="dxa"/>
            <w:vAlign w:val="top"/>
          </w:tcPr>
          <w:p w14:paraId="47446EA0">
            <w:pPr>
              <w:spacing w:before="86"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92.59</w:t>
            </w:r>
          </w:p>
        </w:tc>
        <w:tc>
          <w:tcPr>
            <w:tcW w:w="489" w:type="dxa"/>
            <w:tcBorders>
              <w:right w:val="nil"/>
            </w:tcBorders>
            <w:vAlign w:val="top"/>
          </w:tcPr>
          <w:p w14:paraId="6D3AE668">
            <w:pPr>
              <w:pStyle w:val="6"/>
              <w:spacing w:before="50" w:line="209" w:lineRule="auto"/>
              <w:ind w:left="42"/>
              <w:rPr>
                <w:sz w:val="20"/>
                <w:szCs w:val="20"/>
              </w:rPr>
            </w:pPr>
            <w:r>
              <w:rPr>
                <w:spacing w:val="5"/>
                <w:sz w:val="20"/>
                <w:szCs w:val="20"/>
              </w:rPr>
              <w:t>达标</w:t>
            </w:r>
          </w:p>
        </w:tc>
      </w:tr>
      <w:tr w14:paraId="1B8FED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810" w:type="dxa"/>
            <w:vMerge w:val="continue"/>
            <w:tcBorders>
              <w:top w:val="nil"/>
              <w:left w:val="nil"/>
              <w:bottom w:val="nil"/>
            </w:tcBorders>
            <w:vAlign w:val="top"/>
          </w:tcPr>
          <w:p w14:paraId="23CAFB22">
            <w:pPr>
              <w:rPr>
                <w:rFonts w:ascii="Arial"/>
                <w:sz w:val="21"/>
              </w:rPr>
            </w:pPr>
          </w:p>
        </w:tc>
        <w:tc>
          <w:tcPr>
            <w:tcW w:w="1381" w:type="dxa"/>
            <w:vMerge w:val="continue"/>
            <w:tcBorders>
              <w:top w:val="nil"/>
            </w:tcBorders>
            <w:vAlign w:val="top"/>
          </w:tcPr>
          <w:p w14:paraId="31055632">
            <w:pPr>
              <w:rPr>
                <w:rFonts w:ascii="Arial"/>
                <w:sz w:val="21"/>
              </w:rPr>
            </w:pPr>
          </w:p>
        </w:tc>
        <w:tc>
          <w:tcPr>
            <w:tcW w:w="1524" w:type="dxa"/>
            <w:vAlign w:val="top"/>
          </w:tcPr>
          <w:p w14:paraId="507D445F">
            <w:pPr>
              <w:pStyle w:val="6"/>
              <w:spacing w:before="51" w:line="207" w:lineRule="auto"/>
              <w:ind w:left="454"/>
              <w:rPr>
                <w:sz w:val="20"/>
                <w:szCs w:val="20"/>
              </w:rPr>
            </w:pPr>
            <w:r>
              <w:rPr>
                <w:spacing w:val="6"/>
                <w:sz w:val="20"/>
                <w:szCs w:val="20"/>
              </w:rPr>
              <w:t>年平均</w:t>
            </w:r>
          </w:p>
        </w:tc>
        <w:tc>
          <w:tcPr>
            <w:tcW w:w="1253" w:type="dxa"/>
            <w:vAlign w:val="top"/>
          </w:tcPr>
          <w:p w14:paraId="7E1A6551">
            <w:pPr>
              <w:spacing w:before="87" w:line="195" w:lineRule="auto"/>
              <w:ind w:left="28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0.18984</w:t>
            </w:r>
          </w:p>
        </w:tc>
        <w:tc>
          <w:tcPr>
            <w:tcW w:w="919" w:type="dxa"/>
            <w:vAlign w:val="top"/>
          </w:tcPr>
          <w:p w14:paraId="48F4ED48">
            <w:pPr>
              <w:pStyle w:val="6"/>
              <w:spacing w:before="51" w:line="207" w:lineRule="auto"/>
              <w:ind w:left="149"/>
              <w:rPr>
                <w:sz w:val="20"/>
                <w:szCs w:val="20"/>
              </w:rPr>
            </w:pPr>
            <w:r>
              <w:rPr>
                <w:spacing w:val="7"/>
                <w:sz w:val="20"/>
                <w:szCs w:val="20"/>
              </w:rPr>
              <w:t>平均值</w:t>
            </w:r>
          </w:p>
        </w:tc>
        <w:tc>
          <w:tcPr>
            <w:tcW w:w="938" w:type="dxa"/>
            <w:vAlign w:val="top"/>
          </w:tcPr>
          <w:p w14:paraId="5EE4DF3D">
            <w:pPr>
              <w:spacing w:before="87" w:line="195" w:lineRule="auto"/>
              <w:ind w:left="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99.42857</w:t>
            </w:r>
          </w:p>
        </w:tc>
        <w:tc>
          <w:tcPr>
            <w:tcW w:w="1038" w:type="dxa"/>
            <w:vAlign w:val="top"/>
          </w:tcPr>
          <w:p w14:paraId="4CDBC9FF">
            <w:pPr>
              <w:spacing w:before="87" w:line="195" w:lineRule="auto"/>
              <w:ind w:left="1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99.61842</w:t>
            </w:r>
          </w:p>
        </w:tc>
        <w:tc>
          <w:tcPr>
            <w:tcW w:w="723" w:type="dxa"/>
            <w:vAlign w:val="top"/>
          </w:tcPr>
          <w:p w14:paraId="01F57287">
            <w:pPr>
              <w:spacing w:before="87" w:line="195" w:lineRule="auto"/>
              <w:ind w:left="12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49.81</w:t>
            </w:r>
          </w:p>
        </w:tc>
        <w:tc>
          <w:tcPr>
            <w:tcW w:w="489" w:type="dxa"/>
            <w:tcBorders>
              <w:right w:val="nil"/>
            </w:tcBorders>
            <w:vAlign w:val="top"/>
          </w:tcPr>
          <w:p w14:paraId="1226218F">
            <w:pPr>
              <w:pStyle w:val="6"/>
              <w:spacing w:before="51" w:line="207" w:lineRule="auto"/>
              <w:ind w:left="42"/>
              <w:rPr>
                <w:sz w:val="20"/>
                <w:szCs w:val="20"/>
              </w:rPr>
            </w:pPr>
            <w:r>
              <w:rPr>
                <w:spacing w:val="5"/>
                <w:sz w:val="20"/>
                <w:szCs w:val="20"/>
              </w:rPr>
              <w:t>达标</w:t>
            </w:r>
          </w:p>
        </w:tc>
      </w:tr>
      <w:tr w14:paraId="0DFF1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trPr>
        <w:tc>
          <w:tcPr>
            <w:tcW w:w="810" w:type="dxa"/>
            <w:vMerge w:val="continue"/>
            <w:tcBorders>
              <w:top w:val="nil"/>
              <w:left w:val="nil"/>
              <w:bottom w:val="nil"/>
            </w:tcBorders>
            <w:vAlign w:val="top"/>
          </w:tcPr>
          <w:p w14:paraId="524F8724">
            <w:pPr>
              <w:rPr>
                <w:rFonts w:ascii="Arial"/>
                <w:sz w:val="21"/>
              </w:rPr>
            </w:pPr>
          </w:p>
        </w:tc>
        <w:tc>
          <w:tcPr>
            <w:tcW w:w="1381" w:type="dxa"/>
            <w:vMerge w:val="restart"/>
            <w:tcBorders>
              <w:bottom w:val="nil"/>
            </w:tcBorders>
            <w:vAlign w:val="top"/>
          </w:tcPr>
          <w:p w14:paraId="3485686C">
            <w:pPr>
              <w:pStyle w:val="6"/>
              <w:spacing w:before="63" w:line="233" w:lineRule="auto"/>
              <w:ind w:left="10" w:firstLine="66"/>
              <w:rPr>
                <w:sz w:val="20"/>
                <w:szCs w:val="20"/>
              </w:rPr>
            </w:pPr>
            <w:r>
              <w:rPr>
                <w:spacing w:val="-6"/>
                <w:sz w:val="20"/>
                <w:szCs w:val="20"/>
              </w:rPr>
              <w:t>区域最大落地</w:t>
            </w:r>
            <w:r>
              <w:rPr>
                <w:spacing w:val="1"/>
                <w:sz w:val="20"/>
                <w:szCs w:val="20"/>
              </w:rPr>
              <w:t xml:space="preserve">  </w:t>
            </w:r>
            <w:r>
              <w:rPr>
                <w:spacing w:val="-5"/>
                <w:sz w:val="20"/>
                <w:szCs w:val="20"/>
              </w:rPr>
              <w:t>浓度（网格点）</w:t>
            </w:r>
          </w:p>
        </w:tc>
        <w:tc>
          <w:tcPr>
            <w:tcW w:w="1524" w:type="dxa"/>
            <w:vAlign w:val="top"/>
          </w:tcPr>
          <w:p w14:paraId="45D89189">
            <w:pPr>
              <w:pStyle w:val="6"/>
              <w:spacing w:before="52" w:line="206" w:lineRule="auto"/>
              <w:ind w:left="489"/>
              <w:rPr>
                <w:sz w:val="20"/>
                <w:szCs w:val="20"/>
              </w:rPr>
            </w:pPr>
            <w:r>
              <w:rPr>
                <w:spacing w:val="-6"/>
                <w:sz w:val="20"/>
                <w:szCs w:val="20"/>
              </w:rPr>
              <w:t>日平均</w:t>
            </w:r>
          </w:p>
        </w:tc>
        <w:tc>
          <w:tcPr>
            <w:tcW w:w="1253" w:type="dxa"/>
            <w:vAlign w:val="top"/>
          </w:tcPr>
          <w:p w14:paraId="468048AE">
            <w:pPr>
              <w:spacing w:before="89" w:line="195" w:lineRule="auto"/>
              <w:ind w:left="2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17.31448</w:t>
            </w:r>
          </w:p>
        </w:tc>
        <w:tc>
          <w:tcPr>
            <w:tcW w:w="919" w:type="dxa"/>
            <w:vAlign w:val="top"/>
          </w:tcPr>
          <w:p w14:paraId="6477B0B4">
            <w:pPr>
              <w:spacing w:before="89" w:line="195" w:lineRule="auto"/>
              <w:ind w:left="14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220312</w:t>
            </w:r>
          </w:p>
        </w:tc>
        <w:tc>
          <w:tcPr>
            <w:tcW w:w="938" w:type="dxa"/>
            <w:vAlign w:val="top"/>
          </w:tcPr>
          <w:p w14:paraId="7BE464FF">
            <w:pPr>
              <w:spacing w:before="89" w:line="195" w:lineRule="auto"/>
              <w:ind w:left="2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275.0</w:t>
            </w:r>
          </w:p>
        </w:tc>
        <w:tc>
          <w:tcPr>
            <w:tcW w:w="1038" w:type="dxa"/>
            <w:vAlign w:val="top"/>
          </w:tcPr>
          <w:p w14:paraId="7E2BB2B8">
            <w:pPr>
              <w:spacing w:before="89" w:line="195"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292.3145</w:t>
            </w:r>
          </w:p>
        </w:tc>
        <w:tc>
          <w:tcPr>
            <w:tcW w:w="723" w:type="dxa"/>
            <w:vAlign w:val="top"/>
          </w:tcPr>
          <w:p w14:paraId="20E837F6">
            <w:pPr>
              <w:spacing w:before="89" w:line="195" w:lineRule="auto"/>
              <w:ind w:left="1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97.44</w:t>
            </w:r>
          </w:p>
        </w:tc>
        <w:tc>
          <w:tcPr>
            <w:tcW w:w="489" w:type="dxa"/>
            <w:tcBorders>
              <w:right w:val="nil"/>
            </w:tcBorders>
            <w:vAlign w:val="top"/>
          </w:tcPr>
          <w:p w14:paraId="6D74B637">
            <w:pPr>
              <w:pStyle w:val="6"/>
              <w:spacing w:before="52" w:line="206" w:lineRule="auto"/>
              <w:ind w:left="42"/>
              <w:rPr>
                <w:sz w:val="20"/>
                <w:szCs w:val="20"/>
              </w:rPr>
            </w:pPr>
            <w:r>
              <w:rPr>
                <w:spacing w:val="5"/>
                <w:sz w:val="20"/>
                <w:szCs w:val="20"/>
              </w:rPr>
              <w:t>达标</w:t>
            </w:r>
          </w:p>
        </w:tc>
      </w:tr>
      <w:tr w14:paraId="7A2E54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tcBorders>
            <w:vAlign w:val="top"/>
          </w:tcPr>
          <w:p w14:paraId="46DFDAA7">
            <w:pPr>
              <w:rPr>
                <w:rFonts w:ascii="Arial"/>
                <w:sz w:val="21"/>
              </w:rPr>
            </w:pPr>
          </w:p>
        </w:tc>
        <w:tc>
          <w:tcPr>
            <w:tcW w:w="1381" w:type="dxa"/>
            <w:vMerge w:val="continue"/>
            <w:tcBorders>
              <w:top w:val="nil"/>
            </w:tcBorders>
            <w:vAlign w:val="top"/>
          </w:tcPr>
          <w:p w14:paraId="02119F60">
            <w:pPr>
              <w:rPr>
                <w:rFonts w:ascii="Arial"/>
                <w:sz w:val="21"/>
              </w:rPr>
            </w:pPr>
          </w:p>
        </w:tc>
        <w:tc>
          <w:tcPr>
            <w:tcW w:w="1524" w:type="dxa"/>
            <w:vAlign w:val="top"/>
          </w:tcPr>
          <w:p w14:paraId="2D4CDFC4">
            <w:pPr>
              <w:pStyle w:val="6"/>
              <w:spacing w:before="54" w:line="205" w:lineRule="auto"/>
              <w:ind w:left="454"/>
              <w:rPr>
                <w:sz w:val="20"/>
                <w:szCs w:val="20"/>
              </w:rPr>
            </w:pPr>
            <w:r>
              <w:rPr>
                <w:spacing w:val="6"/>
                <w:sz w:val="20"/>
                <w:szCs w:val="20"/>
              </w:rPr>
              <w:t>年平均</w:t>
            </w:r>
          </w:p>
        </w:tc>
        <w:tc>
          <w:tcPr>
            <w:tcW w:w="1253" w:type="dxa"/>
            <w:vAlign w:val="top"/>
          </w:tcPr>
          <w:p w14:paraId="14635120">
            <w:pPr>
              <w:spacing w:before="91" w:line="194"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3.56043</w:t>
            </w:r>
          </w:p>
        </w:tc>
        <w:tc>
          <w:tcPr>
            <w:tcW w:w="919" w:type="dxa"/>
            <w:vAlign w:val="top"/>
          </w:tcPr>
          <w:p w14:paraId="66E098BE">
            <w:pPr>
              <w:pStyle w:val="6"/>
              <w:spacing w:before="54" w:line="205" w:lineRule="auto"/>
              <w:ind w:left="149"/>
              <w:rPr>
                <w:sz w:val="20"/>
                <w:szCs w:val="20"/>
              </w:rPr>
            </w:pPr>
            <w:r>
              <w:rPr>
                <w:spacing w:val="7"/>
                <w:sz w:val="20"/>
                <w:szCs w:val="20"/>
              </w:rPr>
              <w:t>平均值</w:t>
            </w:r>
          </w:p>
        </w:tc>
        <w:tc>
          <w:tcPr>
            <w:tcW w:w="938" w:type="dxa"/>
            <w:vAlign w:val="top"/>
          </w:tcPr>
          <w:p w14:paraId="7AED2214">
            <w:pPr>
              <w:spacing w:before="91" w:line="194" w:lineRule="auto"/>
              <w:ind w:left="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99.42857</w:t>
            </w:r>
          </w:p>
        </w:tc>
        <w:tc>
          <w:tcPr>
            <w:tcW w:w="1038" w:type="dxa"/>
            <w:vAlign w:val="top"/>
          </w:tcPr>
          <w:p w14:paraId="4748397C">
            <w:pPr>
              <w:spacing w:before="91" w:line="194" w:lineRule="auto"/>
              <w:ind w:left="19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102.989</w:t>
            </w:r>
          </w:p>
        </w:tc>
        <w:tc>
          <w:tcPr>
            <w:tcW w:w="723" w:type="dxa"/>
            <w:vAlign w:val="top"/>
          </w:tcPr>
          <w:p w14:paraId="50CB95BE">
            <w:pPr>
              <w:spacing w:before="91" w:line="194" w:lineRule="auto"/>
              <w:ind w:left="13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51.49</w:t>
            </w:r>
          </w:p>
        </w:tc>
        <w:tc>
          <w:tcPr>
            <w:tcW w:w="489" w:type="dxa"/>
            <w:tcBorders>
              <w:right w:val="nil"/>
            </w:tcBorders>
            <w:vAlign w:val="top"/>
          </w:tcPr>
          <w:p w14:paraId="78F4A3A5">
            <w:pPr>
              <w:pStyle w:val="6"/>
              <w:spacing w:before="54" w:line="205" w:lineRule="auto"/>
              <w:ind w:left="42"/>
              <w:rPr>
                <w:sz w:val="20"/>
                <w:szCs w:val="20"/>
              </w:rPr>
            </w:pPr>
            <w:r>
              <w:rPr>
                <w:spacing w:val="5"/>
                <w:sz w:val="20"/>
                <w:szCs w:val="20"/>
              </w:rPr>
              <w:t>达标</w:t>
            </w:r>
          </w:p>
        </w:tc>
      </w:tr>
      <w:tr w14:paraId="057B9E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restart"/>
            <w:tcBorders>
              <w:left w:val="nil"/>
              <w:bottom w:val="nil"/>
            </w:tcBorders>
            <w:vAlign w:val="top"/>
          </w:tcPr>
          <w:p w14:paraId="41CBCE9F">
            <w:pPr>
              <w:spacing w:line="459" w:lineRule="auto"/>
              <w:rPr>
                <w:rFonts w:ascii="Arial"/>
                <w:sz w:val="21"/>
              </w:rPr>
            </w:pPr>
          </w:p>
          <w:p w14:paraId="0C115DF6">
            <w:pPr>
              <w:spacing w:before="57" w:line="199" w:lineRule="auto"/>
              <w:ind w:left="214"/>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NH</w:t>
            </w:r>
            <w:r>
              <w:rPr>
                <w:rFonts w:ascii="Times New Roman" w:hAnsi="Times New Roman" w:eastAsia="Times New Roman" w:cs="Times New Roman"/>
                <w:spacing w:val="6"/>
                <w:position w:val="-1"/>
                <w:sz w:val="13"/>
                <w:szCs w:val="13"/>
              </w:rPr>
              <w:t>3</w:t>
            </w:r>
          </w:p>
        </w:tc>
        <w:tc>
          <w:tcPr>
            <w:tcW w:w="1381" w:type="dxa"/>
            <w:vAlign w:val="top"/>
          </w:tcPr>
          <w:p w14:paraId="1C686FB6">
            <w:pPr>
              <w:pStyle w:val="6"/>
              <w:spacing w:before="55" w:line="204" w:lineRule="auto"/>
              <w:ind w:left="278"/>
              <w:rPr>
                <w:sz w:val="20"/>
                <w:szCs w:val="20"/>
              </w:rPr>
            </w:pPr>
            <w:r>
              <w:rPr>
                <w:spacing w:val="6"/>
                <w:sz w:val="20"/>
                <w:szCs w:val="20"/>
              </w:rPr>
              <w:t>温都尔庙</w:t>
            </w:r>
          </w:p>
        </w:tc>
        <w:tc>
          <w:tcPr>
            <w:tcW w:w="1524" w:type="dxa"/>
            <w:vAlign w:val="top"/>
          </w:tcPr>
          <w:p w14:paraId="549F16C6">
            <w:pPr>
              <w:pStyle w:val="6"/>
              <w:spacing w:before="55" w:line="204" w:lineRule="auto"/>
              <w:ind w:left="495"/>
              <w:rPr>
                <w:sz w:val="20"/>
                <w:szCs w:val="20"/>
              </w:rPr>
            </w:pPr>
            <w:r>
              <w:rPr>
                <w:spacing w:val="-6"/>
                <w:sz w:val="20"/>
                <w:szCs w:val="20"/>
              </w:rPr>
              <w:t>1</w:t>
            </w:r>
            <w:r>
              <w:rPr>
                <w:spacing w:val="-33"/>
                <w:sz w:val="20"/>
                <w:szCs w:val="20"/>
              </w:rPr>
              <w:t xml:space="preserve"> </w:t>
            </w:r>
            <w:r>
              <w:rPr>
                <w:spacing w:val="-6"/>
                <w:sz w:val="20"/>
                <w:szCs w:val="20"/>
              </w:rPr>
              <w:t>小时</w:t>
            </w:r>
          </w:p>
        </w:tc>
        <w:tc>
          <w:tcPr>
            <w:tcW w:w="1253" w:type="dxa"/>
            <w:vAlign w:val="top"/>
          </w:tcPr>
          <w:p w14:paraId="21023411">
            <w:pPr>
              <w:spacing w:before="92" w:line="193" w:lineRule="auto"/>
              <w:ind w:left="3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1.58992</w:t>
            </w:r>
          </w:p>
        </w:tc>
        <w:tc>
          <w:tcPr>
            <w:tcW w:w="919" w:type="dxa"/>
            <w:vAlign w:val="top"/>
          </w:tcPr>
          <w:p w14:paraId="234018FB">
            <w:pPr>
              <w:spacing w:before="92" w:line="193"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22100707</w:t>
            </w:r>
          </w:p>
        </w:tc>
        <w:tc>
          <w:tcPr>
            <w:tcW w:w="938" w:type="dxa"/>
            <w:vAlign w:val="top"/>
          </w:tcPr>
          <w:p w14:paraId="1A18BC47">
            <w:pPr>
              <w:spacing w:before="92" w:line="193"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038" w:type="dxa"/>
            <w:vAlign w:val="top"/>
          </w:tcPr>
          <w:p w14:paraId="03AFC7F9">
            <w:pPr>
              <w:spacing w:before="92" w:line="193"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21.58992</w:t>
            </w:r>
          </w:p>
        </w:tc>
        <w:tc>
          <w:tcPr>
            <w:tcW w:w="723" w:type="dxa"/>
            <w:vAlign w:val="top"/>
          </w:tcPr>
          <w:p w14:paraId="247E7BBC">
            <w:pPr>
              <w:spacing w:before="92" w:line="193" w:lineRule="auto"/>
              <w:ind w:left="14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10.79</w:t>
            </w:r>
          </w:p>
        </w:tc>
        <w:tc>
          <w:tcPr>
            <w:tcW w:w="489" w:type="dxa"/>
            <w:tcBorders>
              <w:right w:val="nil"/>
            </w:tcBorders>
            <w:vAlign w:val="top"/>
          </w:tcPr>
          <w:p w14:paraId="4D89BF35">
            <w:pPr>
              <w:pStyle w:val="6"/>
              <w:spacing w:before="55" w:line="204" w:lineRule="auto"/>
              <w:ind w:left="42"/>
              <w:rPr>
                <w:sz w:val="20"/>
                <w:szCs w:val="20"/>
              </w:rPr>
            </w:pPr>
            <w:r>
              <w:rPr>
                <w:spacing w:val="5"/>
                <w:sz w:val="20"/>
                <w:szCs w:val="20"/>
              </w:rPr>
              <w:t>达标</w:t>
            </w:r>
          </w:p>
        </w:tc>
      </w:tr>
      <w:tr w14:paraId="400011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810" w:type="dxa"/>
            <w:vMerge w:val="continue"/>
            <w:tcBorders>
              <w:top w:val="nil"/>
              <w:left w:val="nil"/>
              <w:bottom w:val="nil"/>
            </w:tcBorders>
            <w:vAlign w:val="top"/>
          </w:tcPr>
          <w:p w14:paraId="4FB69416">
            <w:pPr>
              <w:rPr>
                <w:rFonts w:ascii="Arial"/>
                <w:sz w:val="21"/>
              </w:rPr>
            </w:pPr>
          </w:p>
        </w:tc>
        <w:tc>
          <w:tcPr>
            <w:tcW w:w="1381" w:type="dxa"/>
            <w:vAlign w:val="top"/>
          </w:tcPr>
          <w:p w14:paraId="3BA33DEE">
            <w:pPr>
              <w:pStyle w:val="6"/>
              <w:spacing w:before="57" w:line="203" w:lineRule="auto"/>
              <w:ind w:left="87"/>
              <w:rPr>
                <w:sz w:val="20"/>
                <w:szCs w:val="20"/>
              </w:rPr>
            </w:pPr>
            <w:r>
              <w:rPr>
                <w:spacing w:val="4"/>
                <w:sz w:val="20"/>
                <w:szCs w:val="20"/>
              </w:rPr>
              <w:t>巴润阿木斯尔</w:t>
            </w:r>
          </w:p>
        </w:tc>
        <w:tc>
          <w:tcPr>
            <w:tcW w:w="1524" w:type="dxa"/>
            <w:vAlign w:val="top"/>
          </w:tcPr>
          <w:p w14:paraId="61D2CDA6">
            <w:pPr>
              <w:pStyle w:val="6"/>
              <w:spacing w:before="57" w:line="203" w:lineRule="auto"/>
              <w:ind w:left="495"/>
              <w:rPr>
                <w:sz w:val="20"/>
                <w:szCs w:val="20"/>
              </w:rPr>
            </w:pPr>
            <w:r>
              <w:rPr>
                <w:spacing w:val="-6"/>
                <w:sz w:val="20"/>
                <w:szCs w:val="20"/>
              </w:rPr>
              <w:t>1</w:t>
            </w:r>
            <w:r>
              <w:rPr>
                <w:spacing w:val="-33"/>
                <w:sz w:val="20"/>
                <w:szCs w:val="20"/>
              </w:rPr>
              <w:t xml:space="preserve"> </w:t>
            </w:r>
            <w:r>
              <w:rPr>
                <w:spacing w:val="-6"/>
                <w:sz w:val="20"/>
                <w:szCs w:val="20"/>
              </w:rPr>
              <w:t>小时</w:t>
            </w:r>
          </w:p>
        </w:tc>
        <w:tc>
          <w:tcPr>
            <w:tcW w:w="1253" w:type="dxa"/>
            <w:vAlign w:val="top"/>
          </w:tcPr>
          <w:p w14:paraId="5408FF16">
            <w:pPr>
              <w:spacing w:before="93" w:line="192"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2.88491</w:t>
            </w:r>
          </w:p>
        </w:tc>
        <w:tc>
          <w:tcPr>
            <w:tcW w:w="919" w:type="dxa"/>
            <w:vAlign w:val="top"/>
          </w:tcPr>
          <w:p w14:paraId="4435240F">
            <w:pPr>
              <w:spacing w:before="93" w:line="192"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22062119</w:t>
            </w:r>
          </w:p>
        </w:tc>
        <w:tc>
          <w:tcPr>
            <w:tcW w:w="938" w:type="dxa"/>
            <w:vAlign w:val="top"/>
          </w:tcPr>
          <w:p w14:paraId="02C62AA5">
            <w:pPr>
              <w:spacing w:before="93" w:line="192"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038" w:type="dxa"/>
            <w:vAlign w:val="top"/>
          </w:tcPr>
          <w:p w14:paraId="331CC17A">
            <w:pPr>
              <w:spacing w:before="93" w:line="192" w:lineRule="auto"/>
              <w:ind w:left="1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22.88491</w:t>
            </w:r>
          </w:p>
        </w:tc>
        <w:tc>
          <w:tcPr>
            <w:tcW w:w="723" w:type="dxa"/>
            <w:vAlign w:val="top"/>
          </w:tcPr>
          <w:p w14:paraId="6EDF2D4F">
            <w:pPr>
              <w:spacing w:before="93" w:line="192" w:lineRule="auto"/>
              <w:ind w:left="14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11.44</w:t>
            </w:r>
          </w:p>
        </w:tc>
        <w:tc>
          <w:tcPr>
            <w:tcW w:w="489" w:type="dxa"/>
            <w:tcBorders>
              <w:right w:val="nil"/>
            </w:tcBorders>
            <w:vAlign w:val="top"/>
          </w:tcPr>
          <w:p w14:paraId="4221E267">
            <w:pPr>
              <w:pStyle w:val="6"/>
              <w:spacing w:before="57" w:line="203" w:lineRule="auto"/>
              <w:ind w:left="42"/>
              <w:rPr>
                <w:sz w:val="20"/>
                <w:szCs w:val="20"/>
              </w:rPr>
            </w:pPr>
            <w:r>
              <w:rPr>
                <w:spacing w:val="5"/>
                <w:sz w:val="20"/>
                <w:szCs w:val="20"/>
              </w:rPr>
              <w:t>达标</w:t>
            </w:r>
          </w:p>
        </w:tc>
      </w:tr>
      <w:tr w14:paraId="0A689C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810" w:type="dxa"/>
            <w:vMerge w:val="continue"/>
            <w:tcBorders>
              <w:top w:val="nil"/>
              <w:left w:val="nil"/>
              <w:bottom w:val="single" w:color="000000" w:sz="10" w:space="0"/>
            </w:tcBorders>
            <w:vAlign w:val="top"/>
          </w:tcPr>
          <w:p w14:paraId="01D70F1A">
            <w:pPr>
              <w:rPr>
                <w:rFonts w:ascii="Arial"/>
                <w:sz w:val="21"/>
              </w:rPr>
            </w:pPr>
          </w:p>
        </w:tc>
        <w:tc>
          <w:tcPr>
            <w:tcW w:w="1381" w:type="dxa"/>
            <w:tcBorders>
              <w:bottom w:val="single" w:color="000000" w:sz="10" w:space="0"/>
            </w:tcBorders>
            <w:vAlign w:val="top"/>
          </w:tcPr>
          <w:p w14:paraId="6E5BE8E1">
            <w:pPr>
              <w:pStyle w:val="6"/>
              <w:spacing w:before="52" w:line="234" w:lineRule="auto"/>
              <w:ind w:left="10" w:firstLine="66"/>
              <w:rPr>
                <w:sz w:val="20"/>
                <w:szCs w:val="20"/>
              </w:rPr>
            </w:pPr>
            <w:r>
              <w:rPr>
                <w:spacing w:val="-6"/>
                <w:sz w:val="20"/>
                <w:szCs w:val="20"/>
              </w:rPr>
              <w:t>区域最大落地</w:t>
            </w:r>
            <w:r>
              <w:rPr>
                <w:spacing w:val="1"/>
                <w:sz w:val="20"/>
                <w:szCs w:val="20"/>
              </w:rPr>
              <w:t xml:space="preserve">  </w:t>
            </w:r>
            <w:r>
              <w:rPr>
                <w:spacing w:val="-5"/>
                <w:sz w:val="20"/>
                <w:szCs w:val="20"/>
              </w:rPr>
              <w:t>浓度（网格点）</w:t>
            </w:r>
          </w:p>
        </w:tc>
        <w:tc>
          <w:tcPr>
            <w:tcW w:w="1524" w:type="dxa"/>
            <w:tcBorders>
              <w:bottom w:val="single" w:color="000000" w:sz="10" w:space="0"/>
            </w:tcBorders>
            <w:vAlign w:val="top"/>
          </w:tcPr>
          <w:p w14:paraId="26CC4154">
            <w:pPr>
              <w:pStyle w:val="6"/>
              <w:spacing w:before="189" w:line="230" w:lineRule="auto"/>
              <w:ind w:left="495"/>
              <w:rPr>
                <w:sz w:val="20"/>
                <w:szCs w:val="20"/>
              </w:rPr>
            </w:pPr>
            <w:r>
              <w:rPr>
                <w:spacing w:val="-6"/>
                <w:sz w:val="20"/>
                <w:szCs w:val="20"/>
              </w:rPr>
              <w:t>1</w:t>
            </w:r>
            <w:r>
              <w:rPr>
                <w:spacing w:val="-33"/>
                <w:sz w:val="20"/>
                <w:szCs w:val="20"/>
              </w:rPr>
              <w:t xml:space="preserve"> </w:t>
            </w:r>
            <w:r>
              <w:rPr>
                <w:spacing w:val="-6"/>
                <w:sz w:val="20"/>
                <w:szCs w:val="20"/>
              </w:rPr>
              <w:t>小时</w:t>
            </w:r>
          </w:p>
        </w:tc>
        <w:tc>
          <w:tcPr>
            <w:tcW w:w="1253" w:type="dxa"/>
            <w:tcBorders>
              <w:bottom w:val="single" w:color="000000" w:sz="10" w:space="0"/>
            </w:tcBorders>
            <w:vAlign w:val="top"/>
          </w:tcPr>
          <w:p w14:paraId="5BA87DB5">
            <w:pPr>
              <w:spacing w:before="225" w:line="195" w:lineRule="auto"/>
              <w:ind w:left="2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18.82242</w:t>
            </w:r>
          </w:p>
        </w:tc>
        <w:tc>
          <w:tcPr>
            <w:tcW w:w="919" w:type="dxa"/>
            <w:tcBorders>
              <w:bottom w:val="single" w:color="000000" w:sz="10" w:space="0"/>
            </w:tcBorders>
            <w:vAlign w:val="top"/>
          </w:tcPr>
          <w:p w14:paraId="7A54B212">
            <w:pPr>
              <w:spacing w:before="225" w:line="195" w:lineRule="auto"/>
              <w:ind w:left="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22040106</w:t>
            </w:r>
          </w:p>
        </w:tc>
        <w:tc>
          <w:tcPr>
            <w:tcW w:w="938" w:type="dxa"/>
            <w:tcBorders>
              <w:bottom w:val="single" w:color="000000" w:sz="10" w:space="0"/>
            </w:tcBorders>
            <w:vAlign w:val="top"/>
          </w:tcPr>
          <w:p w14:paraId="70C0AB8B">
            <w:pPr>
              <w:spacing w:before="225" w:line="195" w:lineRule="auto"/>
              <w:ind w:left="28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038" w:type="dxa"/>
            <w:tcBorders>
              <w:bottom w:val="single" w:color="000000" w:sz="10" w:space="0"/>
            </w:tcBorders>
            <w:vAlign w:val="top"/>
          </w:tcPr>
          <w:p w14:paraId="40353091">
            <w:pPr>
              <w:spacing w:before="225" w:line="195" w:lineRule="auto"/>
              <w:ind w:left="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38.82242</w:t>
            </w:r>
          </w:p>
        </w:tc>
        <w:tc>
          <w:tcPr>
            <w:tcW w:w="723" w:type="dxa"/>
            <w:tcBorders>
              <w:bottom w:val="single" w:color="000000" w:sz="10" w:space="0"/>
            </w:tcBorders>
            <w:vAlign w:val="top"/>
          </w:tcPr>
          <w:p w14:paraId="69D861C4">
            <w:pPr>
              <w:spacing w:before="225" w:line="195" w:lineRule="auto"/>
              <w:ind w:left="14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19.41</w:t>
            </w:r>
          </w:p>
        </w:tc>
        <w:tc>
          <w:tcPr>
            <w:tcW w:w="489" w:type="dxa"/>
            <w:tcBorders>
              <w:bottom w:val="single" w:color="000000" w:sz="10" w:space="0"/>
              <w:right w:val="nil"/>
            </w:tcBorders>
            <w:vAlign w:val="top"/>
          </w:tcPr>
          <w:p w14:paraId="4ADD8974">
            <w:pPr>
              <w:pStyle w:val="6"/>
              <w:spacing w:before="189" w:line="228" w:lineRule="auto"/>
              <w:ind w:left="42"/>
              <w:rPr>
                <w:sz w:val="20"/>
                <w:szCs w:val="20"/>
              </w:rPr>
            </w:pPr>
            <w:r>
              <w:rPr>
                <w:spacing w:val="5"/>
                <w:sz w:val="20"/>
                <w:szCs w:val="20"/>
              </w:rPr>
              <w:t>达标</w:t>
            </w:r>
          </w:p>
        </w:tc>
      </w:tr>
    </w:tbl>
    <w:p w14:paraId="22922C69">
      <w:pPr>
        <w:spacing w:before="37" w:line="345" w:lineRule="auto"/>
        <w:ind w:left="16" w:right="15" w:firstLine="502"/>
        <w:rPr>
          <w:rFonts w:ascii="宋体" w:hAnsi="宋体" w:eastAsia="宋体" w:cs="宋体"/>
          <w:sz w:val="24"/>
          <w:szCs w:val="24"/>
        </w:rPr>
      </w:pPr>
      <w:r>
        <w:rPr>
          <w:rFonts w:ascii="宋体" w:hAnsi="宋体" w:eastAsia="宋体" w:cs="宋体"/>
          <w:spacing w:val="-2"/>
          <w:sz w:val="24"/>
          <w:szCs w:val="24"/>
        </w:rPr>
        <w:t>由以上分析可以看出，本项目主要污染物叠加后，环境空气保护目标和网格点处</w:t>
      </w:r>
      <w:r>
        <w:rPr>
          <w:rFonts w:ascii="宋体" w:hAnsi="宋体" w:eastAsia="宋体" w:cs="宋体"/>
          <w:spacing w:val="-28"/>
          <w:sz w:val="24"/>
          <w:szCs w:val="24"/>
        </w:rPr>
        <w:t xml:space="preserve"> </w:t>
      </w:r>
      <w:r>
        <w:rPr>
          <w:rFonts w:ascii="Times New Roman" w:hAnsi="Times New Roman" w:eastAsia="Times New Roman" w:cs="Times New Roman"/>
          <w:spacing w:val="-2"/>
          <w:sz w:val="24"/>
          <w:szCs w:val="24"/>
        </w:rPr>
        <w:t>1</w:t>
      </w:r>
      <w:r>
        <w:rPr>
          <w:rFonts w:ascii="Times New Roman" w:hAnsi="Times New Roman" w:eastAsia="Times New Roman" w:cs="Times New Roman"/>
          <w:sz w:val="24"/>
          <w:szCs w:val="24"/>
        </w:rPr>
        <w:t xml:space="preserve"> </w:t>
      </w:r>
      <w:r>
        <w:rPr>
          <w:rFonts w:ascii="宋体" w:hAnsi="宋体" w:eastAsia="宋体" w:cs="宋体"/>
          <w:spacing w:val="-3"/>
          <w:sz w:val="24"/>
          <w:szCs w:val="24"/>
        </w:rPr>
        <w:t>小时浓度叠加后大值占标率均小于</w:t>
      </w:r>
      <w:r>
        <w:rPr>
          <w:rFonts w:ascii="宋体" w:hAnsi="宋体" w:eastAsia="宋体" w:cs="宋体"/>
          <w:spacing w:val="-22"/>
          <w:sz w:val="24"/>
          <w:szCs w:val="24"/>
        </w:rPr>
        <w:t xml:space="preserve"> </w:t>
      </w:r>
      <w:r>
        <w:rPr>
          <w:rFonts w:ascii="Times New Roman" w:hAnsi="Times New Roman" w:eastAsia="Times New Roman" w:cs="Times New Roman"/>
          <w:spacing w:val="-3"/>
          <w:sz w:val="24"/>
          <w:szCs w:val="24"/>
        </w:rPr>
        <w:t>100%</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，对环境影响较小。</w:t>
      </w:r>
    </w:p>
    <w:p w14:paraId="75613D00">
      <w:pPr>
        <w:spacing w:before="36" w:line="219" w:lineRule="auto"/>
        <w:ind w:left="492"/>
        <w:rPr>
          <w:rFonts w:ascii="宋体" w:hAnsi="宋体" w:eastAsia="宋体" w:cs="宋体"/>
          <w:sz w:val="24"/>
          <w:szCs w:val="24"/>
        </w:rPr>
      </w:pPr>
      <w:r>
        <w:rPr>
          <w:rFonts w:ascii="宋体" w:hAnsi="宋体" w:eastAsia="宋体" w:cs="宋体"/>
          <w:spacing w:val="-1"/>
          <w:sz w:val="24"/>
          <w:szCs w:val="24"/>
        </w:rPr>
        <w:t>按导则</w:t>
      </w:r>
      <w:r>
        <w:rPr>
          <w:rFonts w:ascii="宋体" w:hAnsi="宋体" w:eastAsia="宋体" w:cs="宋体"/>
          <w:spacing w:val="-45"/>
          <w:sz w:val="24"/>
          <w:szCs w:val="24"/>
        </w:rPr>
        <w:t xml:space="preserve"> </w:t>
      </w:r>
      <w:r>
        <w:rPr>
          <w:rFonts w:ascii="Times New Roman" w:hAnsi="Times New Roman" w:eastAsia="Times New Roman" w:cs="Times New Roman"/>
          <w:spacing w:val="-1"/>
          <w:sz w:val="24"/>
          <w:szCs w:val="24"/>
        </w:rPr>
        <w:t xml:space="preserve">8.9.4 </w:t>
      </w:r>
      <w:r>
        <w:rPr>
          <w:rFonts w:ascii="宋体" w:hAnsi="宋体" w:eastAsia="宋体" w:cs="宋体"/>
          <w:spacing w:val="-1"/>
          <w:sz w:val="24"/>
          <w:szCs w:val="24"/>
        </w:rPr>
        <w:t>要求给出主要污染物网格浓度分布图如下：</w:t>
      </w:r>
    </w:p>
    <w:p w14:paraId="384DC567">
      <w:pPr>
        <w:spacing w:before="146" w:line="5270" w:lineRule="exact"/>
        <w:ind w:firstLine="1"/>
      </w:pPr>
      <w:r>
        <w:rPr>
          <w:position w:val="-105"/>
        </w:rPr>
        <w:drawing>
          <wp:inline distT="0" distB="0" distL="0" distR="0">
            <wp:extent cx="5755640" cy="3346450"/>
            <wp:effectExtent l="0" t="0" r="0" b="0"/>
            <wp:docPr id="104" name="IM 104"/>
            <wp:cNvGraphicFramePr/>
            <a:graphic xmlns:a="http://schemas.openxmlformats.org/drawingml/2006/main">
              <a:graphicData uri="http://schemas.openxmlformats.org/drawingml/2006/picture">
                <pic:pic xmlns:pic="http://schemas.openxmlformats.org/drawingml/2006/picture">
                  <pic:nvPicPr>
                    <pic:cNvPr id="104" name="IM 104"/>
                    <pic:cNvPicPr/>
                  </pic:nvPicPr>
                  <pic:blipFill>
                    <a:blip r:embed="rId632"/>
                    <a:stretch>
                      <a:fillRect/>
                    </a:stretch>
                  </pic:blipFill>
                  <pic:spPr>
                    <a:xfrm>
                      <a:off x="0" y="0"/>
                      <a:ext cx="5756148" cy="3346703"/>
                    </a:xfrm>
                    <a:prstGeom prst="rect">
                      <a:avLst/>
                    </a:prstGeom>
                  </pic:spPr>
                </pic:pic>
              </a:graphicData>
            </a:graphic>
          </wp:inline>
        </w:drawing>
      </w:r>
    </w:p>
    <w:p w14:paraId="6E6C080D">
      <w:pPr>
        <w:spacing w:before="160" w:line="227" w:lineRule="auto"/>
        <w:ind w:left="2026"/>
        <w:rPr>
          <w:rFonts w:ascii="宋体" w:hAnsi="宋体" w:eastAsia="宋体" w:cs="宋体"/>
          <w:sz w:val="20"/>
          <w:szCs w:val="20"/>
        </w:rPr>
      </w:pPr>
      <w:r>
        <w:rPr>
          <w:rFonts w:ascii="宋体" w:hAnsi="宋体" w:eastAsia="宋体" w:cs="宋体"/>
          <w:b/>
          <w:bCs/>
          <w:spacing w:val="5"/>
          <w:sz w:val="20"/>
          <w:szCs w:val="20"/>
        </w:rPr>
        <w:t>图</w:t>
      </w:r>
      <w:r>
        <w:rPr>
          <w:rFonts w:ascii="宋体" w:hAnsi="宋体" w:eastAsia="宋体" w:cs="宋体"/>
          <w:spacing w:val="-40"/>
          <w:sz w:val="20"/>
          <w:szCs w:val="20"/>
        </w:rPr>
        <w:t xml:space="preserve"> </w:t>
      </w:r>
      <w:r>
        <w:rPr>
          <w:rFonts w:ascii="Times New Roman" w:hAnsi="Times New Roman" w:eastAsia="Times New Roman" w:cs="Times New Roman"/>
          <w:b/>
          <w:bCs/>
          <w:spacing w:val="5"/>
          <w:sz w:val="20"/>
          <w:szCs w:val="20"/>
        </w:rPr>
        <w:t xml:space="preserve">4.1-8        </w:t>
      </w:r>
      <w:r>
        <w:rPr>
          <w:rFonts w:ascii="宋体" w:hAnsi="宋体" w:eastAsia="宋体" w:cs="宋体"/>
          <w:b/>
          <w:bCs/>
          <w:spacing w:val="5"/>
          <w:sz w:val="20"/>
          <w:szCs w:val="20"/>
        </w:rPr>
        <w:t>叠加后</w:t>
      </w:r>
      <w:r>
        <w:rPr>
          <w:rFonts w:ascii="宋体" w:hAnsi="宋体" w:eastAsia="宋体" w:cs="宋体"/>
          <w:spacing w:val="-39"/>
          <w:sz w:val="20"/>
          <w:szCs w:val="20"/>
        </w:rPr>
        <w:t xml:space="preserve"> </w:t>
      </w:r>
      <w:r>
        <w:rPr>
          <w:rFonts w:ascii="Times New Roman" w:hAnsi="Times New Roman" w:eastAsia="Times New Roman" w:cs="Times New Roman"/>
          <w:b/>
          <w:bCs/>
          <w:sz w:val="20"/>
          <w:szCs w:val="20"/>
        </w:rPr>
        <w:t>PM</w:t>
      </w:r>
      <w:r>
        <w:rPr>
          <w:rFonts w:ascii="Times New Roman" w:hAnsi="Times New Roman" w:eastAsia="Times New Roman" w:cs="Times New Roman"/>
          <w:b/>
          <w:bCs/>
          <w:spacing w:val="5"/>
          <w:position w:val="-1"/>
          <w:sz w:val="13"/>
          <w:szCs w:val="13"/>
        </w:rPr>
        <w:t>2.5</w:t>
      </w:r>
      <w:r>
        <w:rPr>
          <w:rFonts w:ascii="Times New Roman" w:hAnsi="Times New Roman" w:eastAsia="Times New Roman" w:cs="Times New Roman"/>
          <w:b/>
          <w:bCs/>
          <w:spacing w:val="11"/>
          <w:position w:val="-1"/>
          <w:sz w:val="13"/>
          <w:szCs w:val="13"/>
        </w:rPr>
        <w:t xml:space="preserve"> </w:t>
      </w:r>
      <w:r>
        <w:rPr>
          <w:rFonts w:ascii="宋体" w:hAnsi="宋体" w:eastAsia="宋体" w:cs="宋体"/>
          <w:b/>
          <w:bCs/>
          <w:spacing w:val="5"/>
          <w:sz w:val="20"/>
          <w:szCs w:val="20"/>
        </w:rPr>
        <w:t>保证率日</w:t>
      </w:r>
      <w:r>
        <w:rPr>
          <w:rFonts w:ascii="宋体" w:hAnsi="宋体" w:eastAsia="宋体" w:cs="宋体"/>
          <w:b/>
          <w:bCs/>
          <w:spacing w:val="4"/>
          <w:sz w:val="20"/>
          <w:szCs w:val="20"/>
        </w:rPr>
        <w:t>平均质量浓度分布图</w:t>
      </w:r>
    </w:p>
    <w:p w14:paraId="08D1B09A">
      <w:pPr>
        <w:spacing w:line="227" w:lineRule="auto"/>
        <w:rPr>
          <w:rFonts w:ascii="宋体" w:hAnsi="宋体" w:eastAsia="宋体" w:cs="宋体"/>
          <w:sz w:val="20"/>
          <w:szCs w:val="20"/>
        </w:rPr>
        <w:sectPr>
          <w:headerReference r:id="rId280" w:type="default"/>
          <w:footerReference r:id="rId281" w:type="default"/>
          <w:pgSz w:w="11906" w:h="16839"/>
          <w:pgMar w:top="1190" w:right="1415" w:bottom="1427" w:left="1415" w:header="882" w:footer="1265" w:gutter="0"/>
          <w:cols w:space="720" w:num="1"/>
        </w:sectPr>
      </w:pPr>
    </w:p>
    <w:p w14:paraId="04E2A96B">
      <w:pPr>
        <w:spacing w:line="28" w:lineRule="exact"/>
        <w:ind w:firstLine="1"/>
      </w:pPr>
      <w:r>
        <w:pict>
          <v:shape id="_x0000_s1795" o:spid="_x0000_s1795" style="height:1.45pt;width:453.65pt;" fillcolor="#000000" filled="t" stroked="f" coordsize="9072,29" path="m0,0l9072,0,9072,28,0,28,0,0xe">
            <v:path/>
            <v:fill on="t" focussize="0,0"/>
            <v:stroke on="f"/>
            <v:imagedata o:title=""/>
            <o:lock v:ext="edit"/>
            <w10:wrap type="none"/>
            <w10:anchorlock/>
          </v:shape>
        </w:pict>
      </w:r>
    </w:p>
    <w:p w14:paraId="1251117F">
      <w:pPr>
        <w:spacing w:before="196" w:line="5254" w:lineRule="exact"/>
      </w:pPr>
      <w:r>
        <w:rPr>
          <w:position w:val="-105"/>
        </w:rPr>
        <w:drawing>
          <wp:inline distT="0" distB="0" distL="0" distR="0">
            <wp:extent cx="5757545" cy="3335655"/>
            <wp:effectExtent l="0" t="0" r="0" b="0"/>
            <wp:docPr id="106" name="IM 106"/>
            <wp:cNvGraphicFramePr/>
            <a:graphic xmlns:a="http://schemas.openxmlformats.org/drawingml/2006/main">
              <a:graphicData uri="http://schemas.openxmlformats.org/drawingml/2006/picture">
                <pic:pic xmlns:pic="http://schemas.openxmlformats.org/drawingml/2006/picture">
                  <pic:nvPicPr>
                    <pic:cNvPr id="106" name="IM 106"/>
                    <pic:cNvPicPr/>
                  </pic:nvPicPr>
                  <pic:blipFill>
                    <a:blip r:embed="rId633"/>
                    <a:stretch>
                      <a:fillRect/>
                    </a:stretch>
                  </pic:blipFill>
                  <pic:spPr>
                    <a:xfrm>
                      <a:off x="0" y="0"/>
                      <a:ext cx="5757671" cy="3336035"/>
                    </a:xfrm>
                    <a:prstGeom prst="rect">
                      <a:avLst/>
                    </a:prstGeom>
                  </pic:spPr>
                </pic:pic>
              </a:graphicData>
            </a:graphic>
          </wp:inline>
        </w:drawing>
      </w:r>
    </w:p>
    <w:p w14:paraId="061F4BEE">
      <w:pPr>
        <w:spacing w:before="160" w:line="222" w:lineRule="auto"/>
        <w:ind w:left="2411"/>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4.1-9        </w:t>
      </w:r>
      <w:r>
        <w:rPr>
          <w:rFonts w:ascii="宋体" w:hAnsi="宋体" w:eastAsia="宋体" w:cs="宋体"/>
          <w:b/>
          <w:bCs/>
          <w:spacing w:val="5"/>
          <w:sz w:val="20"/>
          <w:szCs w:val="20"/>
        </w:rPr>
        <w:t>叠加后</w:t>
      </w:r>
      <w:r>
        <w:rPr>
          <w:rFonts w:ascii="Times New Roman" w:hAnsi="Times New Roman" w:eastAsia="Times New Roman" w:cs="Times New Roman"/>
          <w:b/>
          <w:bCs/>
          <w:sz w:val="20"/>
          <w:szCs w:val="20"/>
        </w:rPr>
        <w:t>PM</w:t>
      </w:r>
      <w:r>
        <w:rPr>
          <w:rFonts w:ascii="Times New Roman" w:hAnsi="Times New Roman" w:eastAsia="Times New Roman" w:cs="Times New Roman"/>
          <w:b/>
          <w:bCs/>
          <w:spacing w:val="5"/>
          <w:position w:val="-1"/>
          <w:sz w:val="13"/>
          <w:szCs w:val="13"/>
        </w:rPr>
        <w:t>2.5</w:t>
      </w:r>
      <w:r>
        <w:rPr>
          <w:rFonts w:ascii="宋体" w:hAnsi="宋体" w:eastAsia="宋体" w:cs="宋体"/>
          <w:b/>
          <w:bCs/>
          <w:spacing w:val="5"/>
          <w:sz w:val="20"/>
          <w:szCs w:val="20"/>
        </w:rPr>
        <w:t>年平均质量浓度分布图</w:t>
      </w:r>
    </w:p>
    <w:p w14:paraId="2BE8FA77">
      <w:pPr>
        <w:spacing w:line="5191" w:lineRule="exact"/>
      </w:pPr>
      <w:r>
        <w:rPr>
          <w:position w:val="-103"/>
        </w:rPr>
        <w:drawing>
          <wp:inline distT="0" distB="0" distL="0" distR="0">
            <wp:extent cx="5760720" cy="3296285"/>
            <wp:effectExtent l="0" t="0" r="0" b="0"/>
            <wp:docPr id="108" name="IM 108"/>
            <wp:cNvGraphicFramePr/>
            <a:graphic xmlns:a="http://schemas.openxmlformats.org/drawingml/2006/main">
              <a:graphicData uri="http://schemas.openxmlformats.org/drawingml/2006/picture">
                <pic:pic xmlns:pic="http://schemas.openxmlformats.org/drawingml/2006/picture">
                  <pic:nvPicPr>
                    <pic:cNvPr id="108" name="IM 108"/>
                    <pic:cNvPicPr/>
                  </pic:nvPicPr>
                  <pic:blipFill>
                    <a:blip r:embed="rId634"/>
                    <a:stretch>
                      <a:fillRect/>
                    </a:stretch>
                  </pic:blipFill>
                  <pic:spPr>
                    <a:xfrm>
                      <a:off x="0" y="0"/>
                      <a:ext cx="5760720" cy="3296411"/>
                    </a:xfrm>
                    <a:prstGeom prst="rect">
                      <a:avLst/>
                    </a:prstGeom>
                  </pic:spPr>
                </pic:pic>
              </a:graphicData>
            </a:graphic>
          </wp:inline>
        </w:drawing>
      </w:r>
    </w:p>
    <w:p w14:paraId="5BEC55BB">
      <w:pPr>
        <w:spacing w:before="30" w:line="227" w:lineRule="auto"/>
        <w:ind w:left="2061"/>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4.1-10        </w:t>
      </w:r>
      <w:r>
        <w:rPr>
          <w:rFonts w:ascii="宋体" w:hAnsi="宋体" w:eastAsia="宋体" w:cs="宋体"/>
          <w:b/>
          <w:bCs/>
          <w:spacing w:val="5"/>
          <w:sz w:val="20"/>
          <w:szCs w:val="20"/>
        </w:rPr>
        <w:t>叠加后</w:t>
      </w:r>
      <w:r>
        <w:rPr>
          <w:rFonts w:ascii="Times New Roman" w:hAnsi="Times New Roman" w:eastAsia="Times New Roman" w:cs="Times New Roman"/>
          <w:b/>
          <w:bCs/>
          <w:sz w:val="20"/>
          <w:szCs w:val="20"/>
        </w:rPr>
        <w:t>PM</w:t>
      </w:r>
      <w:r>
        <w:rPr>
          <w:rFonts w:ascii="Times New Roman" w:hAnsi="Times New Roman" w:eastAsia="Times New Roman" w:cs="Times New Roman"/>
          <w:b/>
          <w:bCs/>
          <w:spacing w:val="5"/>
          <w:position w:val="-1"/>
          <w:sz w:val="13"/>
          <w:szCs w:val="13"/>
        </w:rPr>
        <w:t>10</w:t>
      </w:r>
      <w:r>
        <w:rPr>
          <w:rFonts w:ascii="宋体" w:hAnsi="宋体" w:eastAsia="宋体" w:cs="宋体"/>
          <w:b/>
          <w:bCs/>
          <w:spacing w:val="5"/>
          <w:sz w:val="20"/>
          <w:szCs w:val="20"/>
        </w:rPr>
        <w:t>保证率日平均质量浓度分布图</w:t>
      </w:r>
    </w:p>
    <w:p w14:paraId="75BD33CF">
      <w:pPr>
        <w:spacing w:line="227" w:lineRule="auto"/>
        <w:rPr>
          <w:rFonts w:ascii="宋体" w:hAnsi="宋体" w:eastAsia="宋体" w:cs="宋体"/>
          <w:sz w:val="20"/>
          <w:szCs w:val="20"/>
        </w:rPr>
        <w:sectPr>
          <w:headerReference r:id="rId282" w:type="default"/>
          <w:footerReference r:id="rId283" w:type="default"/>
          <w:pgSz w:w="11906" w:h="16839"/>
          <w:pgMar w:top="1190" w:right="1416" w:bottom="1427" w:left="1416" w:header="882" w:footer="1265" w:gutter="0"/>
          <w:cols w:space="720" w:num="1"/>
        </w:sectPr>
      </w:pPr>
    </w:p>
    <w:p w14:paraId="4A95CB4D">
      <w:pPr>
        <w:spacing w:line="28" w:lineRule="exact"/>
      </w:pPr>
      <w:r>
        <w:pict>
          <v:shape id="_x0000_s1796" o:spid="_x0000_s1796" style="height:1.45pt;width:453.65pt;" fillcolor="#000000" filled="t" stroked="f" coordsize="9072,29" path="m0,0l9072,0,9072,28,0,28,0,0xe">
            <v:path/>
            <v:fill on="t" focussize="0,0"/>
            <v:stroke on="f"/>
            <v:imagedata o:title=""/>
            <o:lock v:ext="edit"/>
            <w10:wrap type="none"/>
            <w10:anchorlock/>
          </v:shape>
        </w:pict>
      </w:r>
    </w:p>
    <w:p w14:paraId="3781B427">
      <w:pPr>
        <w:spacing w:before="196" w:line="5148" w:lineRule="exact"/>
        <w:ind w:firstLine="3"/>
      </w:pPr>
      <w:r>
        <w:rPr>
          <w:position w:val="-102"/>
        </w:rPr>
        <w:drawing>
          <wp:inline distT="0" distB="0" distL="0" distR="0">
            <wp:extent cx="5754370" cy="3268345"/>
            <wp:effectExtent l="0" t="0" r="0" b="0"/>
            <wp:docPr id="110" name="IM 110"/>
            <wp:cNvGraphicFramePr/>
            <a:graphic xmlns:a="http://schemas.openxmlformats.org/drawingml/2006/main">
              <a:graphicData uri="http://schemas.openxmlformats.org/drawingml/2006/picture">
                <pic:pic xmlns:pic="http://schemas.openxmlformats.org/drawingml/2006/picture">
                  <pic:nvPicPr>
                    <pic:cNvPr id="110" name="IM 110"/>
                    <pic:cNvPicPr/>
                  </pic:nvPicPr>
                  <pic:blipFill>
                    <a:blip r:embed="rId635"/>
                    <a:stretch>
                      <a:fillRect/>
                    </a:stretch>
                  </pic:blipFill>
                  <pic:spPr>
                    <a:xfrm>
                      <a:off x="0" y="0"/>
                      <a:ext cx="5754623" cy="3268979"/>
                    </a:xfrm>
                    <a:prstGeom prst="rect">
                      <a:avLst/>
                    </a:prstGeom>
                  </pic:spPr>
                </pic:pic>
              </a:graphicData>
            </a:graphic>
          </wp:inline>
        </w:drawing>
      </w:r>
    </w:p>
    <w:p w14:paraId="08E577CF">
      <w:pPr>
        <w:spacing w:before="30" w:line="227" w:lineRule="auto"/>
        <w:ind w:left="2691"/>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4.1-11        </w:t>
      </w:r>
      <w:r>
        <w:rPr>
          <w:rFonts w:ascii="Times New Roman" w:hAnsi="Times New Roman" w:eastAsia="Times New Roman" w:cs="Times New Roman"/>
          <w:b/>
          <w:bCs/>
          <w:sz w:val="20"/>
          <w:szCs w:val="20"/>
        </w:rPr>
        <w:t>PM</w:t>
      </w:r>
      <w:r>
        <w:rPr>
          <w:rFonts w:ascii="Times New Roman" w:hAnsi="Times New Roman" w:eastAsia="Times New Roman" w:cs="Times New Roman"/>
          <w:b/>
          <w:bCs/>
          <w:spacing w:val="5"/>
          <w:position w:val="-1"/>
          <w:sz w:val="13"/>
          <w:szCs w:val="13"/>
        </w:rPr>
        <w:t>10</w:t>
      </w:r>
      <w:r>
        <w:rPr>
          <w:rFonts w:ascii="宋体" w:hAnsi="宋体" w:eastAsia="宋体" w:cs="宋体"/>
          <w:b/>
          <w:bCs/>
          <w:spacing w:val="5"/>
          <w:sz w:val="20"/>
          <w:szCs w:val="20"/>
        </w:rPr>
        <w:t>年平均质量浓度分</w:t>
      </w:r>
      <w:r>
        <w:rPr>
          <w:rFonts w:ascii="宋体" w:hAnsi="宋体" w:eastAsia="宋体" w:cs="宋体"/>
          <w:b/>
          <w:bCs/>
          <w:spacing w:val="4"/>
          <w:sz w:val="20"/>
          <w:szCs w:val="20"/>
        </w:rPr>
        <w:t>布图</w:t>
      </w:r>
    </w:p>
    <w:p w14:paraId="207225C9">
      <w:pPr>
        <w:spacing w:before="131" w:line="5211" w:lineRule="exact"/>
        <w:ind w:firstLine="6"/>
      </w:pPr>
      <w:r>
        <w:rPr>
          <w:position w:val="-104"/>
        </w:rPr>
        <w:drawing>
          <wp:inline distT="0" distB="0" distL="0" distR="0">
            <wp:extent cx="5752465" cy="3308350"/>
            <wp:effectExtent l="0" t="0" r="0" b="0"/>
            <wp:docPr id="112" name="IM 112"/>
            <wp:cNvGraphicFramePr/>
            <a:graphic xmlns:a="http://schemas.openxmlformats.org/drawingml/2006/main">
              <a:graphicData uri="http://schemas.openxmlformats.org/drawingml/2006/picture">
                <pic:pic xmlns:pic="http://schemas.openxmlformats.org/drawingml/2006/picture">
                  <pic:nvPicPr>
                    <pic:cNvPr id="112" name="IM 112"/>
                    <pic:cNvPicPr/>
                  </pic:nvPicPr>
                  <pic:blipFill>
                    <a:blip r:embed="rId636"/>
                    <a:stretch>
                      <a:fillRect/>
                    </a:stretch>
                  </pic:blipFill>
                  <pic:spPr>
                    <a:xfrm>
                      <a:off x="0" y="0"/>
                      <a:ext cx="5753099" cy="3308603"/>
                    </a:xfrm>
                    <a:prstGeom prst="rect">
                      <a:avLst/>
                    </a:prstGeom>
                  </pic:spPr>
                </pic:pic>
              </a:graphicData>
            </a:graphic>
          </wp:inline>
        </w:drawing>
      </w:r>
    </w:p>
    <w:p w14:paraId="1516BB60">
      <w:pPr>
        <w:spacing w:before="30" w:line="227" w:lineRule="auto"/>
        <w:ind w:left="2115"/>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4.1-12        </w:t>
      </w:r>
      <w:r>
        <w:rPr>
          <w:rFonts w:ascii="宋体" w:hAnsi="宋体" w:eastAsia="宋体" w:cs="宋体"/>
          <w:b/>
          <w:bCs/>
          <w:spacing w:val="5"/>
          <w:sz w:val="20"/>
          <w:szCs w:val="20"/>
        </w:rPr>
        <w:t>叠加后</w:t>
      </w:r>
      <w:r>
        <w:rPr>
          <w:rFonts w:ascii="Times New Roman" w:hAnsi="Times New Roman" w:eastAsia="Times New Roman" w:cs="Times New Roman"/>
          <w:b/>
          <w:bCs/>
          <w:sz w:val="20"/>
          <w:szCs w:val="20"/>
        </w:rPr>
        <w:t>SO</w:t>
      </w:r>
      <w:r>
        <w:rPr>
          <w:rFonts w:ascii="Times New Roman" w:hAnsi="Times New Roman" w:eastAsia="Times New Roman" w:cs="Times New Roman"/>
          <w:b/>
          <w:bCs/>
          <w:spacing w:val="5"/>
          <w:position w:val="-1"/>
          <w:sz w:val="13"/>
          <w:szCs w:val="13"/>
        </w:rPr>
        <w:t>2</w:t>
      </w:r>
      <w:r>
        <w:rPr>
          <w:rFonts w:ascii="宋体" w:hAnsi="宋体" w:eastAsia="宋体" w:cs="宋体"/>
          <w:b/>
          <w:bCs/>
          <w:spacing w:val="5"/>
          <w:sz w:val="20"/>
          <w:szCs w:val="20"/>
        </w:rPr>
        <w:t>保证率日平均质量浓度分布图</w:t>
      </w:r>
    </w:p>
    <w:p w14:paraId="7E07ECB3">
      <w:pPr>
        <w:spacing w:line="227" w:lineRule="auto"/>
        <w:rPr>
          <w:rFonts w:ascii="宋体" w:hAnsi="宋体" w:eastAsia="宋体" w:cs="宋体"/>
          <w:sz w:val="20"/>
          <w:szCs w:val="20"/>
        </w:rPr>
        <w:sectPr>
          <w:headerReference r:id="rId284" w:type="default"/>
          <w:footerReference r:id="rId285" w:type="default"/>
          <w:pgSz w:w="11906" w:h="16839"/>
          <w:pgMar w:top="1190" w:right="1416" w:bottom="1427" w:left="1417" w:header="882" w:footer="1265" w:gutter="0"/>
          <w:cols w:space="720" w:num="1"/>
        </w:sectPr>
      </w:pPr>
    </w:p>
    <w:p w14:paraId="0C6B3094">
      <w:pPr>
        <w:spacing w:line="28" w:lineRule="exact"/>
      </w:pPr>
      <w:r>
        <w:pict>
          <v:shape id="_x0000_s1797" o:spid="_x0000_s1797" style="height:1.45pt;width:453.65pt;" fillcolor="#000000" filled="t" stroked="f" coordsize="9072,29" path="m0,0l9072,0,9072,28,0,28,0,0xe">
            <v:path/>
            <v:fill on="t" focussize="0,0"/>
            <v:stroke on="f"/>
            <v:imagedata o:title=""/>
            <o:lock v:ext="edit"/>
            <w10:wrap type="none"/>
            <w10:anchorlock/>
          </v:shape>
        </w:pict>
      </w:r>
    </w:p>
    <w:p w14:paraId="687B72FC">
      <w:pPr>
        <w:spacing w:before="196" w:line="5208" w:lineRule="exact"/>
        <w:ind w:firstLine="3"/>
      </w:pPr>
      <w:r>
        <w:rPr>
          <w:position w:val="-104"/>
        </w:rPr>
        <w:drawing>
          <wp:inline distT="0" distB="0" distL="0" distR="0">
            <wp:extent cx="5757545" cy="3306445"/>
            <wp:effectExtent l="0" t="0" r="0" b="0"/>
            <wp:docPr id="114" name="IM 114"/>
            <wp:cNvGraphicFramePr/>
            <a:graphic xmlns:a="http://schemas.openxmlformats.org/drawingml/2006/main">
              <a:graphicData uri="http://schemas.openxmlformats.org/drawingml/2006/picture">
                <pic:pic xmlns:pic="http://schemas.openxmlformats.org/drawingml/2006/picture">
                  <pic:nvPicPr>
                    <pic:cNvPr id="114" name="IM 114"/>
                    <pic:cNvPicPr/>
                  </pic:nvPicPr>
                  <pic:blipFill>
                    <a:blip r:embed="rId637"/>
                    <a:stretch>
                      <a:fillRect/>
                    </a:stretch>
                  </pic:blipFill>
                  <pic:spPr>
                    <a:xfrm>
                      <a:off x="0" y="0"/>
                      <a:ext cx="5757671" cy="3307079"/>
                    </a:xfrm>
                    <a:prstGeom prst="rect">
                      <a:avLst/>
                    </a:prstGeom>
                  </pic:spPr>
                </pic:pic>
              </a:graphicData>
            </a:graphic>
          </wp:inline>
        </w:drawing>
      </w:r>
    </w:p>
    <w:p w14:paraId="6BCB66BB">
      <w:pPr>
        <w:spacing w:before="32" w:line="227" w:lineRule="auto"/>
        <w:ind w:left="2432"/>
        <w:outlineLvl w:val="2"/>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4.1-13        </w:t>
      </w:r>
      <w:r>
        <w:rPr>
          <w:rFonts w:ascii="宋体" w:hAnsi="宋体" w:eastAsia="宋体" w:cs="宋体"/>
          <w:b/>
          <w:bCs/>
          <w:spacing w:val="5"/>
          <w:sz w:val="20"/>
          <w:szCs w:val="20"/>
        </w:rPr>
        <w:t>叠加后</w:t>
      </w:r>
      <w:r>
        <w:rPr>
          <w:rFonts w:ascii="Times New Roman" w:hAnsi="Times New Roman" w:eastAsia="Times New Roman" w:cs="Times New Roman"/>
          <w:b/>
          <w:bCs/>
          <w:sz w:val="20"/>
          <w:szCs w:val="20"/>
        </w:rPr>
        <w:t>SO</w:t>
      </w:r>
      <w:r>
        <w:rPr>
          <w:rFonts w:ascii="Times New Roman" w:hAnsi="Times New Roman" w:eastAsia="Times New Roman" w:cs="Times New Roman"/>
          <w:b/>
          <w:bCs/>
          <w:spacing w:val="5"/>
          <w:position w:val="-1"/>
          <w:sz w:val="13"/>
          <w:szCs w:val="13"/>
        </w:rPr>
        <w:t>2</w:t>
      </w:r>
      <w:r>
        <w:rPr>
          <w:rFonts w:ascii="宋体" w:hAnsi="宋体" w:eastAsia="宋体" w:cs="宋体"/>
          <w:b/>
          <w:bCs/>
          <w:spacing w:val="5"/>
          <w:sz w:val="20"/>
          <w:szCs w:val="20"/>
        </w:rPr>
        <w:t>年平均质量浓度分布图</w:t>
      </w:r>
    </w:p>
    <w:p w14:paraId="1C7AF8ED">
      <w:pPr>
        <w:spacing w:before="131" w:line="5172" w:lineRule="exact"/>
        <w:ind w:firstLine="1"/>
      </w:pPr>
      <w:r>
        <w:rPr>
          <w:position w:val="-103"/>
        </w:rPr>
        <w:drawing>
          <wp:inline distT="0" distB="0" distL="0" distR="0">
            <wp:extent cx="5758815" cy="3284220"/>
            <wp:effectExtent l="0" t="0" r="0" b="0"/>
            <wp:docPr id="116" name="IM 116"/>
            <wp:cNvGraphicFramePr/>
            <a:graphic xmlns:a="http://schemas.openxmlformats.org/drawingml/2006/main">
              <a:graphicData uri="http://schemas.openxmlformats.org/drawingml/2006/picture">
                <pic:pic xmlns:pic="http://schemas.openxmlformats.org/drawingml/2006/picture">
                  <pic:nvPicPr>
                    <pic:cNvPr id="116" name="IM 116"/>
                    <pic:cNvPicPr/>
                  </pic:nvPicPr>
                  <pic:blipFill>
                    <a:blip r:embed="rId638"/>
                    <a:stretch>
                      <a:fillRect/>
                    </a:stretch>
                  </pic:blipFill>
                  <pic:spPr>
                    <a:xfrm>
                      <a:off x="0" y="0"/>
                      <a:ext cx="5759195" cy="3284220"/>
                    </a:xfrm>
                    <a:prstGeom prst="rect">
                      <a:avLst/>
                    </a:prstGeom>
                  </pic:spPr>
                </pic:pic>
              </a:graphicData>
            </a:graphic>
          </wp:inline>
        </w:drawing>
      </w:r>
    </w:p>
    <w:p w14:paraId="577C45B7">
      <w:pPr>
        <w:spacing w:before="33" w:line="227" w:lineRule="auto"/>
        <w:ind w:left="2098"/>
        <w:rPr>
          <w:rFonts w:ascii="宋体" w:hAnsi="宋体" w:eastAsia="宋体" w:cs="宋体"/>
          <w:sz w:val="20"/>
          <w:szCs w:val="20"/>
        </w:rPr>
      </w:pPr>
      <w:r>
        <w:rPr>
          <w:rFonts w:ascii="宋体" w:hAnsi="宋体" w:eastAsia="宋体" w:cs="宋体"/>
          <w:b/>
          <w:bCs/>
          <w:spacing w:val="6"/>
          <w:sz w:val="20"/>
          <w:szCs w:val="20"/>
        </w:rPr>
        <w:t>图</w:t>
      </w:r>
      <w:r>
        <w:rPr>
          <w:rFonts w:ascii="Times New Roman" w:hAnsi="Times New Roman" w:eastAsia="Times New Roman" w:cs="Times New Roman"/>
          <w:b/>
          <w:bCs/>
          <w:spacing w:val="6"/>
          <w:sz w:val="20"/>
          <w:szCs w:val="20"/>
        </w:rPr>
        <w:t xml:space="preserve">4.1-14        </w:t>
      </w:r>
      <w:r>
        <w:rPr>
          <w:rFonts w:ascii="宋体" w:hAnsi="宋体" w:eastAsia="宋体" w:cs="宋体"/>
          <w:b/>
          <w:bCs/>
          <w:spacing w:val="6"/>
          <w:sz w:val="20"/>
          <w:szCs w:val="20"/>
        </w:rPr>
        <w:t>叠加后</w:t>
      </w:r>
      <w:r>
        <w:rPr>
          <w:rFonts w:ascii="Times New Roman" w:hAnsi="Times New Roman" w:eastAsia="Times New Roman" w:cs="Times New Roman"/>
          <w:b/>
          <w:bCs/>
          <w:sz w:val="20"/>
          <w:szCs w:val="20"/>
        </w:rPr>
        <w:t>NO</w:t>
      </w:r>
      <w:r>
        <w:rPr>
          <w:rFonts w:ascii="Times New Roman" w:hAnsi="Times New Roman" w:eastAsia="Times New Roman" w:cs="Times New Roman"/>
          <w:b/>
          <w:bCs/>
          <w:spacing w:val="6"/>
          <w:position w:val="-1"/>
          <w:sz w:val="13"/>
          <w:szCs w:val="13"/>
        </w:rPr>
        <w:t>2</w:t>
      </w:r>
      <w:r>
        <w:rPr>
          <w:rFonts w:ascii="宋体" w:hAnsi="宋体" w:eastAsia="宋体" w:cs="宋体"/>
          <w:b/>
          <w:bCs/>
          <w:spacing w:val="6"/>
          <w:sz w:val="20"/>
          <w:szCs w:val="20"/>
        </w:rPr>
        <w:t>保</w:t>
      </w:r>
      <w:r>
        <w:rPr>
          <w:rFonts w:ascii="宋体" w:hAnsi="宋体" w:eastAsia="宋体" w:cs="宋体"/>
          <w:b/>
          <w:bCs/>
          <w:spacing w:val="5"/>
          <w:sz w:val="20"/>
          <w:szCs w:val="20"/>
        </w:rPr>
        <w:t>证率日平均质量浓度分布图</w:t>
      </w:r>
    </w:p>
    <w:p w14:paraId="2CCDD1F2">
      <w:pPr>
        <w:spacing w:line="227" w:lineRule="auto"/>
        <w:rPr>
          <w:rFonts w:ascii="宋体" w:hAnsi="宋体" w:eastAsia="宋体" w:cs="宋体"/>
          <w:sz w:val="20"/>
          <w:szCs w:val="20"/>
        </w:rPr>
        <w:sectPr>
          <w:footerReference r:id="rId286" w:type="default"/>
          <w:pgSz w:w="11906" w:h="16839"/>
          <w:pgMar w:top="1190" w:right="1416" w:bottom="1427" w:left="1417" w:header="882" w:footer="1265" w:gutter="0"/>
          <w:cols w:space="720" w:num="1"/>
        </w:sectPr>
      </w:pPr>
    </w:p>
    <w:p w14:paraId="4163221C">
      <w:pPr>
        <w:spacing w:line="28" w:lineRule="exact"/>
        <w:ind w:firstLine="1"/>
      </w:pPr>
      <w:r>
        <w:pict>
          <v:shape id="_x0000_s1798" o:spid="_x0000_s1798" style="height:1.45pt;width:453.65pt;" fillcolor="#000000" filled="t" stroked="f" coordsize="9072,29" path="m0,0l9072,0,9072,28,0,28,0,0xe">
            <v:path/>
            <v:fill on="t" focussize="0,0"/>
            <v:stroke on="f"/>
            <v:imagedata o:title=""/>
            <o:lock v:ext="edit"/>
            <w10:wrap type="none"/>
            <w10:anchorlock/>
          </v:shape>
        </w:pict>
      </w:r>
    </w:p>
    <w:p w14:paraId="2D8DE60E">
      <w:pPr>
        <w:spacing w:before="196" w:line="5155" w:lineRule="exact"/>
        <w:ind w:firstLine="4"/>
      </w:pPr>
      <w:r>
        <w:rPr>
          <w:position w:val="-103"/>
        </w:rPr>
        <w:drawing>
          <wp:inline distT="0" distB="0" distL="0" distR="0">
            <wp:extent cx="5757545" cy="3273425"/>
            <wp:effectExtent l="0" t="0" r="0" b="0"/>
            <wp:docPr id="118" name="IM 118"/>
            <wp:cNvGraphicFramePr/>
            <a:graphic xmlns:a="http://schemas.openxmlformats.org/drawingml/2006/main">
              <a:graphicData uri="http://schemas.openxmlformats.org/drawingml/2006/picture">
                <pic:pic xmlns:pic="http://schemas.openxmlformats.org/drawingml/2006/picture">
                  <pic:nvPicPr>
                    <pic:cNvPr id="118" name="IM 118"/>
                    <pic:cNvPicPr/>
                  </pic:nvPicPr>
                  <pic:blipFill>
                    <a:blip r:embed="rId639"/>
                    <a:stretch>
                      <a:fillRect/>
                    </a:stretch>
                  </pic:blipFill>
                  <pic:spPr>
                    <a:xfrm>
                      <a:off x="0" y="0"/>
                      <a:ext cx="5757671" cy="3273552"/>
                    </a:xfrm>
                    <a:prstGeom prst="rect">
                      <a:avLst/>
                    </a:prstGeom>
                  </pic:spPr>
                </pic:pic>
              </a:graphicData>
            </a:graphic>
          </wp:inline>
        </w:drawing>
      </w:r>
    </w:p>
    <w:p w14:paraId="0A1156B7">
      <w:pPr>
        <w:spacing w:before="32" w:line="227" w:lineRule="auto"/>
        <w:ind w:left="2416"/>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4.1-15        </w:t>
      </w:r>
      <w:r>
        <w:rPr>
          <w:rFonts w:ascii="宋体" w:hAnsi="宋体" w:eastAsia="宋体" w:cs="宋体"/>
          <w:b/>
          <w:bCs/>
          <w:spacing w:val="5"/>
          <w:sz w:val="20"/>
          <w:szCs w:val="20"/>
        </w:rPr>
        <w:t>叠加后</w:t>
      </w:r>
      <w:r>
        <w:rPr>
          <w:rFonts w:ascii="Times New Roman" w:hAnsi="Times New Roman" w:eastAsia="Times New Roman" w:cs="Times New Roman"/>
          <w:b/>
          <w:bCs/>
          <w:sz w:val="20"/>
          <w:szCs w:val="20"/>
        </w:rPr>
        <w:t>NO</w:t>
      </w:r>
      <w:r>
        <w:rPr>
          <w:rFonts w:ascii="Times New Roman" w:hAnsi="Times New Roman" w:eastAsia="Times New Roman" w:cs="Times New Roman"/>
          <w:b/>
          <w:bCs/>
          <w:spacing w:val="5"/>
          <w:position w:val="-1"/>
          <w:sz w:val="13"/>
          <w:szCs w:val="13"/>
        </w:rPr>
        <w:t>2</w:t>
      </w:r>
      <w:r>
        <w:rPr>
          <w:rFonts w:ascii="宋体" w:hAnsi="宋体" w:eastAsia="宋体" w:cs="宋体"/>
          <w:b/>
          <w:bCs/>
          <w:spacing w:val="5"/>
          <w:sz w:val="20"/>
          <w:szCs w:val="20"/>
        </w:rPr>
        <w:t>年平均质量浓度分布图</w:t>
      </w:r>
    </w:p>
    <w:p w14:paraId="72929B78">
      <w:pPr>
        <w:spacing w:before="129" w:line="5292" w:lineRule="exact"/>
      </w:pPr>
      <w:r>
        <w:rPr>
          <w:position w:val="-105"/>
        </w:rPr>
        <w:drawing>
          <wp:inline distT="0" distB="0" distL="0" distR="0">
            <wp:extent cx="5757545" cy="3360420"/>
            <wp:effectExtent l="0" t="0" r="0" b="0"/>
            <wp:docPr id="120" name="IM 120"/>
            <wp:cNvGraphicFramePr/>
            <a:graphic xmlns:a="http://schemas.openxmlformats.org/drawingml/2006/main">
              <a:graphicData uri="http://schemas.openxmlformats.org/drawingml/2006/picture">
                <pic:pic xmlns:pic="http://schemas.openxmlformats.org/drawingml/2006/picture">
                  <pic:nvPicPr>
                    <pic:cNvPr id="120" name="IM 120"/>
                    <pic:cNvPicPr/>
                  </pic:nvPicPr>
                  <pic:blipFill>
                    <a:blip r:embed="rId640"/>
                    <a:stretch>
                      <a:fillRect/>
                    </a:stretch>
                  </pic:blipFill>
                  <pic:spPr>
                    <a:xfrm>
                      <a:off x="0" y="0"/>
                      <a:ext cx="5757671" cy="3360420"/>
                    </a:xfrm>
                    <a:prstGeom prst="rect">
                      <a:avLst/>
                    </a:prstGeom>
                  </pic:spPr>
                </pic:pic>
              </a:graphicData>
            </a:graphic>
          </wp:inline>
        </w:drawing>
      </w:r>
    </w:p>
    <w:p w14:paraId="33DF7818">
      <w:pPr>
        <w:spacing w:before="186" w:line="227" w:lineRule="auto"/>
        <w:ind w:left="2680"/>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4.1-16      </w:t>
      </w:r>
      <w:r>
        <w:rPr>
          <w:rFonts w:ascii="宋体" w:hAnsi="宋体" w:eastAsia="宋体" w:cs="宋体"/>
          <w:b/>
          <w:bCs/>
          <w:spacing w:val="5"/>
          <w:sz w:val="20"/>
          <w:szCs w:val="20"/>
        </w:rPr>
        <w:t>叠加后</w:t>
      </w:r>
      <w:r>
        <w:rPr>
          <w:rFonts w:ascii="Times New Roman" w:hAnsi="Times New Roman" w:eastAsia="Times New Roman" w:cs="Times New Roman"/>
          <w:b/>
          <w:bCs/>
          <w:sz w:val="20"/>
          <w:szCs w:val="20"/>
        </w:rPr>
        <w:t>TSP</w:t>
      </w:r>
      <w:r>
        <w:rPr>
          <w:rFonts w:ascii="宋体" w:hAnsi="宋体" w:eastAsia="宋体" w:cs="宋体"/>
          <w:b/>
          <w:bCs/>
          <w:spacing w:val="5"/>
          <w:sz w:val="20"/>
          <w:szCs w:val="20"/>
        </w:rPr>
        <w:t>日平均浓度分布图</w:t>
      </w:r>
    </w:p>
    <w:p w14:paraId="5EFA1445">
      <w:pPr>
        <w:spacing w:line="227" w:lineRule="auto"/>
        <w:rPr>
          <w:rFonts w:ascii="宋体" w:hAnsi="宋体" w:eastAsia="宋体" w:cs="宋体"/>
          <w:sz w:val="20"/>
          <w:szCs w:val="20"/>
        </w:rPr>
        <w:sectPr>
          <w:headerReference r:id="rId287" w:type="default"/>
          <w:footerReference r:id="rId288" w:type="default"/>
          <w:pgSz w:w="11906" w:h="16839"/>
          <w:pgMar w:top="1190" w:right="1416" w:bottom="1427" w:left="1416" w:header="882" w:footer="1265" w:gutter="0"/>
          <w:cols w:space="720" w:num="1"/>
        </w:sectPr>
      </w:pPr>
    </w:p>
    <w:p w14:paraId="097233AC">
      <w:pPr>
        <w:spacing w:line="28" w:lineRule="exact"/>
        <w:ind w:firstLine="1"/>
      </w:pPr>
      <w:r>
        <w:pict>
          <v:shape id="_x0000_s1799" o:spid="_x0000_s1799" style="height:1.45pt;width:453.65pt;" fillcolor="#000000" filled="t" stroked="f" coordsize="9072,29" path="m0,0l9072,0,9072,28,0,28,0,0xe">
            <v:path/>
            <v:fill on="t" focussize="0,0"/>
            <v:stroke on="f"/>
            <v:imagedata o:title=""/>
            <o:lock v:ext="edit"/>
            <w10:wrap type="none"/>
            <w10:anchorlock/>
          </v:shape>
        </w:pict>
      </w:r>
    </w:p>
    <w:p w14:paraId="22CB6668">
      <w:pPr>
        <w:spacing w:before="196" w:line="5263" w:lineRule="exact"/>
      </w:pPr>
      <w:r>
        <w:rPr>
          <w:position w:val="-105"/>
        </w:rPr>
        <w:drawing>
          <wp:inline distT="0" distB="0" distL="0" distR="0">
            <wp:extent cx="5760720" cy="3342005"/>
            <wp:effectExtent l="0" t="0" r="0" b="0"/>
            <wp:docPr id="122" name="IM 122"/>
            <wp:cNvGraphicFramePr/>
            <a:graphic xmlns:a="http://schemas.openxmlformats.org/drawingml/2006/main">
              <a:graphicData uri="http://schemas.openxmlformats.org/drawingml/2006/picture">
                <pic:pic xmlns:pic="http://schemas.openxmlformats.org/drawingml/2006/picture">
                  <pic:nvPicPr>
                    <pic:cNvPr id="122" name="IM 122"/>
                    <pic:cNvPicPr/>
                  </pic:nvPicPr>
                  <pic:blipFill>
                    <a:blip r:embed="rId641"/>
                    <a:stretch>
                      <a:fillRect/>
                    </a:stretch>
                  </pic:blipFill>
                  <pic:spPr>
                    <a:xfrm>
                      <a:off x="0" y="0"/>
                      <a:ext cx="5760720" cy="3342132"/>
                    </a:xfrm>
                    <a:prstGeom prst="rect">
                      <a:avLst/>
                    </a:prstGeom>
                  </pic:spPr>
                </pic:pic>
              </a:graphicData>
            </a:graphic>
          </wp:inline>
        </w:drawing>
      </w:r>
    </w:p>
    <w:p w14:paraId="1DD35515">
      <w:pPr>
        <w:spacing w:before="186" w:line="227" w:lineRule="auto"/>
        <w:ind w:left="2680"/>
        <w:outlineLvl w:val="2"/>
        <w:rPr>
          <w:rFonts w:ascii="宋体" w:hAnsi="宋体" w:eastAsia="宋体" w:cs="宋体"/>
          <w:sz w:val="20"/>
          <w:szCs w:val="20"/>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4.1-17      </w:t>
      </w:r>
      <w:r>
        <w:rPr>
          <w:rFonts w:ascii="宋体" w:hAnsi="宋体" w:eastAsia="宋体" w:cs="宋体"/>
          <w:b/>
          <w:bCs/>
          <w:spacing w:val="5"/>
          <w:sz w:val="20"/>
          <w:szCs w:val="20"/>
        </w:rPr>
        <w:t>叠加后</w:t>
      </w:r>
      <w:r>
        <w:rPr>
          <w:rFonts w:ascii="Times New Roman" w:hAnsi="Times New Roman" w:eastAsia="Times New Roman" w:cs="Times New Roman"/>
          <w:b/>
          <w:bCs/>
          <w:sz w:val="20"/>
          <w:szCs w:val="20"/>
        </w:rPr>
        <w:t>TSP</w:t>
      </w:r>
      <w:r>
        <w:rPr>
          <w:rFonts w:ascii="宋体" w:hAnsi="宋体" w:eastAsia="宋体" w:cs="宋体"/>
          <w:b/>
          <w:bCs/>
          <w:spacing w:val="5"/>
          <w:sz w:val="20"/>
          <w:szCs w:val="20"/>
        </w:rPr>
        <w:t>年平均浓度分布图</w:t>
      </w:r>
    </w:p>
    <w:p w14:paraId="622121AE">
      <w:pPr>
        <w:spacing w:before="131" w:line="5264" w:lineRule="exact"/>
        <w:ind w:firstLine="7"/>
      </w:pPr>
      <w:r>
        <w:rPr>
          <w:position w:val="-105"/>
        </w:rPr>
        <w:drawing>
          <wp:inline distT="0" distB="0" distL="0" distR="0">
            <wp:extent cx="5752465" cy="3342005"/>
            <wp:effectExtent l="0" t="0" r="0" b="0"/>
            <wp:docPr id="124" name="IM 124"/>
            <wp:cNvGraphicFramePr/>
            <a:graphic xmlns:a="http://schemas.openxmlformats.org/drawingml/2006/main">
              <a:graphicData uri="http://schemas.openxmlformats.org/drawingml/2006/picture">
                <pic:pic xmlns:pic="http://schemas.openxmlformats.org/drawingml/2006/picture">
                  <pic:nvPicPr>
                    <pic:cNvPr id="124" name="IM 124"/>
                    <pic:cNvPicPr/>
                  </pic:nvPicPr>
                  <pic:blipFill>
                    <a:blip r:embed="rId642"/>
                    <a:stretch>
                      <a:fillRect/>
                    </a:stretch>
                  </pic:blipFill>
                  <pic:spPr>
                    <a:xfrm>
                      <a:off x="0" y="0"/>
                      <a:ext cx="5753099" cy="3342132"/>
                    </a:xfrm>
                    <a:prstGeom prst="rect">
                      <a:avLst/>
                    </a:prstGeom>
                  </pic:spPr>
                </pic:pic>
              </a:graphicData>
            </a:graphic>
          </wp:inline>
        </w:drawing>
      </w:r>
    </w:p>
    <w:p w14:paraId="7A5F5FD8">
      <w:pPr>
        <w:spacing w:before="186" w:line="229" w:lineRule="auto"/>
        <w:ind w:left="2827"/>
        <w:rPr>
          <w:rFonts w:ascii="宋体" w:hAnsi="宋体" w:eastAsia="宋体" w:cs="宋体"/>
          <w:sz w:val="19"/>
          <w:szCs w:val="19"/>
        </w:rPr>
      </w:pPr>
      <w:r>
        <w:rPr>
          <w:rFonts w:ascii="宋体" w:hAnsi="宋体" w:eastAsia="宋体" w:cs="宋体"/>
          <w:b/>
          <w:bCs/>
          <w:spacing w:val="5"/>
          <w:sz w:val="20"/>
          <w:szCs w:val="20"/>
        </w:rPr>
        <w:t>图</w:t>
      </w:r>
      <w:r>
        <w:rPr>
          <w:rFonts w:ascii="Times New Roman" w:hAnsi="Times New Roman" w:eastAsia="Times New Roman" w:cs="Times New Roman"/>
          <w:b/>
          <w:bCs/>
          <w:spacing w:val="5"/>
          <w:sz w:val="20"/>
          <w:szCs w:val="20"/>
        </w:rPr>
        <w:t xml:space="preserve">4.1-18      </w:t>
      </w:r>
      <w:r>
        <w:rPr>
          <w:rFonts w:ascii="宋体" w:hAnsi="宋体" w:eastAsia="宋体" w:cs="宋体"/>
          <w:b/>
          <w:bCs/>
          <w:spacing w:val="5"/>
          <w:sz w:val="19"/>
          <w:szCs w:val="19"/>
        </w:rPr>
        <w:t>叠加后氨小时平均值</w:t>
      </w:r>
      <w:r>
        <w:rPr>
          <w:rFonts w:ascii="宋体" w:hAnsi="宋体" w:eastAsia="宋体" w:cs="宋体"/>
          <w:b/>
          <w:bCs/>
          <w:spacing w:val="4"/>
          <w:sz w:val="19"/>
          <w:szCs w:val="19"/>
        </w:rPr>
        <w:t>分布图</w:t>
      </w:r>
    </w:p>
    <w:p w14:paraId="597507A9">
      <w:pPr>
        <w:spacing w:before="166" w:line="218" w:lineRule="auto"/>
        <w:ind w:left="6"/>
        <w:outlineLvl w:val="3"/>
        <w:rPr>
          <w:rFonts w:ascii="宋体" w:hAnsi="宋体" w:eastAsia="宋体" w:cs="宋体"/>
          <w:sz w:val="24"/>
          <w:szCs w:val="24"/>
        </w:rPr>
      </w:pPr>
      <w:r>
        <w:fldChar w:fldCharType="begin"/>
      </w:r>
      <w:r>
        <w:instrText xml:space="preserve"> HYPERLINK "4.1.3.4" </w:instrText>
      </w:r>
      <w:r>
        <w:fldChar w:fldCharType="separate"/>
      </w:r>
      <w:r>
        <w:rPr>
          <w:rFonts w:ascii="Times New Roman" w:hAnsi="Times New Roman" w:eastAsia="Times New Roman" w:cs="Times New Roman"/>
          <w:b/>
          <w:bCs/>
          <w:spacing w:val="-2"/>
          <w:sz w:val="24"/>
          <w:szCs w:val="24"/>
        </w:rPr>
        <w:t>4.1.3.4</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非正常工况贡献值预测结果与评价</w:t>
      </w:r>
    </w:p>
    <w:p w14:paraId="00832766">
      <w:pPr>
        <w:spacing w:before="182" w:line="347" w:lineRule="auto"/>
        <w:ind w:left="10" w:firstLine="482"/>
        <w:rPr>
          <w:rFonts w:ascii="宋体" w:hAnsi="宋体" w:eastAsia="宋体" w:cs="宋体"/>
          <w:sz w:val="24"/>
          <w:szCs w:val="24"/>
        </w:rPr>
      </w:pPr>
      <w:r>
        <w:rPr>
          <w:rFonts w:ascii="宋体" w:hAnsi="宋体" w:eastAsia="宋体" w:cs="宋体"/>
          <w:spacing w:val="1"/>
          <w:sz w:val="24"/>
          <w:szCs w:val="24"/>
        </w:rPr>
        <w:t>项目非正常排放条件下，环境空气保护目标和网格点主要污染物的</w:t>
      </w:r>
      <w:r>
        <w:rPr>
          <w:rFonts w:ascii="宋体" w:hAnsi="宋体" w:eastAsia="宋体" w:cs="宋体"/>
          <w:spacing w:val="-29"/>
          <w:sz w:val="24"/>
          <w:szCs w:val="24"/>
        </w:rPr>
        <w:t xml:space="preserve"> </w:t>
      </w:r>
      <w:r>
        <w:rPr>
          <w:rFonts w:ascii="Times New Roman" w:hAnsi="Times New Roman" w:eastAsia="Times New Roman" w:cs="Times New Roman"/>
          <w:sz w:val="24"/>
          <w:szCs w:val="24"/>
        </w:rPr>
        <w:t xml:space="preserve">1h </w:t>
      </w:r>
      <w:r>
        <w:rPr>
          <w:rFonts w:ascii="宋体" w:hAnsi="宋体" w:eastAsia="宋体" w:cs="宋体"/>
          <w:sz w:val="24"/>
          <w:szCs w:val="24"/>
        </w:rPr>
        <w:t xml:space="preserve">最大浓度贡 </w:t>
      </w:r>
      <w:r>
        <w:rPr>
          <w:rFonts w:ascii="宋体" w:hAnsi="宋体" w:eastAsia="宋体" w:cs="宋体"/>
          <w:spacing w:val="-1"/>
          <w:sz w:val="24"/>
          <w:szCs w:val="24"/>
        </w:rPr>
        <w:t>献值及其占标率见表</w:t>
      </w:r>
      <w:r>
        <w:rPr>
          <w:rFonts w:ascii="宋体" w:hAnsi="宋体" w:eastAsia="宋体" w:cs="宋体"/>
          <w:spacing w:val="-57"/>
          <w:sz w:val="24"/>
          <w:szCs w:val="24"/>
        </w:rPr>
        <w:t xml:space="preserve"> </w:t>
      </w:r>
      <w:r>
        <w:rPr>
          <w:rFonts w:ascii="Times New Roman" w:hAnsi="Times New Roman" w:eastAsia="Times New Roman" w:cs="Times New Roman"/>
          <w:spacing w:val="-1"/>
          <w:sz w:val="24"/>
          <w:szCs w:val="24"/>
        </w:rPr>
        <w:t>4.1-12</w:t>
      </w:r>
      <w:r>
        <w:rPr>
          <w:rFonts w:ascii="宋体" w:hAnsi="宋体" w:eastAsia="宋体" w:cs="宋体"/>
          <w:spacing w:val="-1"/>
          <w:sz w:val="24"/>
          <w:szCs w:val="24"/>
        </w:rPr>
        <w:t>。</w:t>
      </w:r>
    </w:p>
    <w:p w14:paraId="65C285C0">
      <w:pPr>
        <w:spacing w:before="31" w:line="344" w:lineRule="auto"/>
        <w:ind w:left="9" w:right="2" w:firstLine="509"/>
        <w:rPr>
          <w:rFonts w:ascii="宋体" w:hAnsi="宋体" w:eastAsia="宋体" w:cs="宋体"/>
          <w:sz w:val="24"/>
          <w:szCs w:val="24"/>
        </w:rPr>
      </w:pPr>
      <w:r>
        <w:rPr>
          <w:rFonts w:ascii="宋体" w:hAnsi="宋体" w:eastAsia="宋体" w:cs="宋体"/>
          <w:spacing w:val="-2"/>
          <w:sz w:val="24"/>
          <w:szCs w:val="24"/>
        </w:rPr>
        <w:t>由表中分析可以看出，一旦车间废气处理装置</w:t>
      </w:r>
      <w:r>
        <w:rPr>
          <w:rFonts w:ascii="宋体" w:hAnsi="宋体" w:eastAsia="宋体" w:cs="宋体"/>
          <w:spacing w:val="-3"/>
          <w:sz w:val="24"/>
          <w:szCs w:val="24"/>
        </w:rPr>
        <w:t>处理效率下降，则颗粒物、氮氧化物</w:t>
      </w:r>
      <w:r>
        <w:rPr>
          <w:rFonts w:ascii="宋体" w:hAnsi="宋体" w:eastAsia="宋体" w:cs="宋体"/>
          <w:sz w:val="24"/>
          <w:szCs w:val="24"/>
        </w:rPr>
        <w:t xml:space="preserve"> </w:t>
      </w:r>
      <w:r>
        <w:rPr>
          <w:rFonts w:ascii="宋体" w:hAnsi="宋体" w:eastAsia="宋体" w:cs="宋体"/>
          <w:spacing w:val="-2"/>
          <w:sz w:val="24"/>
          <w:szCs w:val="24"/>
        </w:rPr>
        <w:t>排放量就会出现超标状况。环评要求企业定期检查车间废气处理系统，严格管理，避免</w:t>
      </w:r>
    </w:p>
    <w:p w14:paraId="687D8135">
      <w:pPr>
        <w:spacing w:line="344" w:lineRule="auto"/>
        <w:rPr>
          <w:rFonts w:ascii="宋体" w:hAnsi="宋体" w:eastAsia="宋体" w:cs="宋体"/>
          <w:sz w:val="24"/>
          <w:szCs w:val="24"/>
        </w:rPr>
        <w:sectPr>
          <w:headerReference r:id="rId289" w:type="default"/>
          <w:footerReference r:id="rId290" w:type="default"/>
          <w:pgSz w:w="11906" w:h="16839"/>
          <w:pgMar w:top="1190" w:right="1415" w:bottom="1427" w:left="1416" w:header="882" w:footer="1265" w:gutter="0"/>
          <w:cols w:space="720" w:num="1"/>
        </w:sectPr>
      </w:pPr>
    </w:p>
    <w:p w14:paraId="02599171">
      <w:pPr>
        <w:spacing w:line="28" w:lineRule="exact"/>
      </w:pPr>
      <w:r>
        <w:pict>
          <v:shape id="_x0000_s1800" o:spid="_x0000_s1800" style="height:1.45pt;width:453.65pt;" fillcolor="#000000" filled="t" stroked="f" coordsize="9072,29" path="m0,0l9072,0,9072,28,0,28,0,0xe">
            <v:path/>
            <v:fill on="t" focussize="0,0"/>
            <v:stroke on="f"/>
            <v:imagedata o:title=""/>
            <o:lock v:ext="edit"/>
            <w10:wrap type="none"/>
            <w10:anchorlock/>
          </v:shape>
        </w:pict>
      </w:r>
    </w:p>
    <w:p w14:paraId="2F666ED0">
      <w:pPr>
        <w:spacing w:before="233" w:line="220" w:lineRule="auto"/>
        <w:ind w:left="14"/>
        <w:rPr>
          <w:rFonts w:ascii="宋体" w:hAnsi="宋体" w:eastAsia="宋体" w:cs="宋体"/>
          <w:sz w:val="24"/>
          <w:szCs w:val="24"/>
        </w:rPr>
      </w:pPr>
      <w:r>
        <w:rPr>
          <w:rFonts w:ascii="宋体" w:hAnsi="宋体" w:eastAsia="宋体" w:cs="宋体"/>
          <w:spacing w:val="-2"/>
          <w:sz w:val="24"/>
          <w:szCs w:val="24"/>
        </w:rPr>
        <w:t>失效工况的发生。</w:t>
      </w:r>
    </w:p>
    <w:p w14:paraId="1CD370CC">
      <w:pPr>
        <w:spacing w:before="175" w:line="228" w:lineRule="auto"/>
        <w:ind w:left="2031"/>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3"/>
          <w:sz w:val="20"/>
          <w:szCs w:val="20"/>
        </w:rPr>
        <w:t xml:space="preserve"> </w:t>
      </w:r>
      <w:r>
        <w:rPr>
          <w:rFonts w:ascii="Times New Roman" w:hAnsi="Times New Roman" w:eastAsia="Times New Roman" w:cs="Times New Roman"/>
          <w:b/>
          <w:bCs/>
          <w:spacing w:val="5"/>
          <w:sz w:val="20"/>
          <w:szCs w:val="20"/>
        </w:rPr>
        <w:t xml:space="preserve">4.1-12        </w:t>
      </w:r>
      <w:r>
        <w:rPr>
          <w:rFonts w:ascii="宋体" w:hAnsi="宋体" w:eastAsia="宋体" w:cs="宋体"/>
          <w:b/>
          <w:bCs/>
          <w:spacing w:val="5"/>
          <w:sz w:val="20"/>
          <w:szCs w:val="20"/>
        </w:rPr>
        <w:t>贡献质量浓度预测结果表（非正常工况）</w:t>
      </w:r>
    </w:p>
    <w:p w14:paraId="554C21EF">
      <w:pPr>
        <w:spacing w:line="130" w:lineRule="exact"/>
      </w:pPr>
    </w:p>
    <w:tbl>
      <w:tblPr>
        <w:tblStyle w:val="5"/>
        <w:tblW w:w="9066"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28"/>
        <w:gridCol w:w="1733"/>
        <w:gridCol w:w="1138"/>
        <w:gridCol w:w="2112"/>
        <w:gridCol w:w="1125"/>
        <w:gridCol w:w="1007"/>
        <w:gridCol w:w="1023"/>
      </w:tblGrid>
      <w:tr w14:paraId="77A08E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trPr>
        <w:tc>
          <w:tcPr>
            <w:tcW w:w="928" w:type="dxa"/>
            <w:tcBorders>
              <w:top w:val="single" w:color="000000" w:sz="10" w:space="0"/>
              <w:left w:val="nil"/>
            </w:tcBorders>
            <w:vAlign w:val="top"/>
          </w:tcPr>
          <w:p w14:paraId="24510968">
            <w:pPr>
              <w:pStyle w:val="6"/>
              <w:spacing w:before="36" w:line="216" w:lineRule="auto"/>
              <w:ind w:left="155"/>
              <w:rPr>
                <w:sz w:val="20"/>
                <w:szCs w:val="20"/>
              </w:rPr>
            </w:pPr>
            <w:r>
              <w:rPr>
                <w:spacing w:val="6"/>
                <w:sz w:val="20"/>
                <w:szCs w:val="20"/>
              </w:rPr>
              <w:t>污染物</w:t>
            </w:r>
          </w:p>
        </w:tc>
        <w:tc>
          <w:tcPr>
            <w:tcW w:w="1733" w:type="dxa"/>
            <w:tcBorders>
              <w:top w:val="single" w:color="000000" w:sz="10" w:space="0"/>
            </w:tcBorders>
            <w:vAlign w:val="top"/>
          </w:tcPr>
          <w:p w14:paraId="70528F60">
            <w:pPr>
              <w:pStyle w:val="6"/>
              <w:spacing w:before="36" w:line="216" w:lineRule="auto"/>
              <w:ind w:left="557"/>
              <w:rPr>
                <w:sz w:val="20"/>
                <w:szCs w:val="20"/>
              </w:rPr>
            </w:pPr>
            <w:r>
              <w:rPr>
                <w:spacing w:val="6"/>
                <w:sz w:val="20"/>
                <w:szCs w:val="20"/>
              </w:rPr>
              <w:t>预测点</w:t>
            </w:r>
          </w:p>
        </w:tc>
        <w:tc>
          <w:tcPr>
            <w:tcW w:w="1138" w:type="dxa"/>
            <w:tcBorders>
              <w:top w:val="single" w:color="000000" w:sz="10" w:space="0"/>
            </w:tcBorders>
            <w:vAlign w:val="top"/>
          </w:tcPr>
          <w:p w14:paraId="0C5E27E5">
            <w:pPr>
              <w:pStyle w:val="6"/>
              <w:spacing w:before="36" w:line="216" w:lineRule="auto"/>
              <w:ind w:left="153"/>
              <w:rPr>
                <w:sz w:val="20"/>
                <w:szCs w:val="20"/>
              </w:rPr>
            </w:pPr>
            <w:r>
              <w:rPr>
                <w:spacing w:val="7"/>
                <w:sz w:val="20"/>
                <w:szCs w:val="20"/>
              </w:rPr>
              <w:t>平均时段</w:t>
            </w:r>
          </w:p>
        </w:tc>
        <w:tc>
          <w:tcPr>
            <w:tcW w:w="2112" w:type="dxa"/>
            <w:tcBorders>
              <w:top w:val="single" w:color="000000" w:sz="10" w:space="0"/>
            </w:tcBorders>
            <w:vAlign w:val="top"/>
          </w:tcPr>
          <w:p w14:paraId="5F86EE8A">
            <w:pPr>
              <w:pStyle w:val="6"/>
              <w:spacing w:before="36" w:line="216" w:lineRule="auto"/>
              <w:ind w:left="46"/>
              <w:rPr>
                <w:sz w:val="20"/>
                <w:szCs w:val="20"/>
              </w:rPr>
            </w:pPr>
            <w:r>
              <w:rPr>
                <w:spacing w:val="5"/>
                <w:sz w:val="20"/>
                <w:szCs w:val="20"/>
              </w:rPr>
              <w:t>最大贡献值</w:t>
            </w:r>
            <w:r>
              <w:rPr>
                <w:rFonts w:ascii="Times New Roman" w:hAnsi="Times New Roman" w:eastAsia="Times New Roman" w:cs="Times New Roman"/>
                <w:spacing w:val="5"/>
                <w:sz w:val="20"/>
                <w:szCs w:val="20"/>
              </w:rPr>
              <w:t xml:space="preserve">/  </w:t>
            </w:r>
            <w:r>
              <w:rPr>
                <w:spacing w:val="5"/>
                <w:sz w:val="20"/>
                <w:szCs w:val="20"/>
              </w:rPr>
              <w:t>(</w:t>
            </w:r>
            <w:r>
              <w:rPr>
                <w:rFonts w:ascii="Times New Roman" w:hAnsi="Times New Roman" w:eastAsia="Times New Roman" w:cs="Times New Roman"/>
                <w:spacing w:val="5"/>
                <w:sz w:val="20"/>
                <w:szCs w:val="20"/>
              </w:rPr>
              <w:t>μg/m</w:t>
            </w:r>
            <w:r>
              <w:rPr>
                <w:rFonts w:ascii="Times New Roman" w:hAnsi="Times New Roman" w:eastAsia="Times New Roman" w:cs="Times New Roman"/>
                <w:spacing w:val="5"/>
                <w:position w:val="6"/>
                <w:sz w:val="13"/>
                <w:szCs w:val="13"/>
              </w:rPr>
              <w:t>3</w:t>
            </w:r>
            <w:r>
              <w:rPr>
                <w:spacing w:val="5"/>
                <w:sz w:val="20"/>
                <w:szCs w:val="20"/>
              </w:rPr>
              <w:t>）</w:t>
            </w:r>
          </w:p>
        </w:tc>
        <w:tc>
          <w:tcPr>
            <w:tcW w:w="1125" w:type="dxa"/>
            <w:tcBorders>
              <w:top w:val="single" w:color="000000" w:sz="10" w:space="0"/>
            </w:tcBorders>
            <w:vAlign w:val="top"/>
          </w:tcPr>
          <w:p w14:paraId="73128DDA">
            <w:pPr>
              <w:pStyle w:val="6"/>
              <w:spacing w:before="36" w:line="216" w:lineRule="auto"/>
              <w:ind w:left="167"/>
              <w:rPr>
                <w:sz w:val="20"/>
                <w:szCs w:val="20"/>
              </w:rPr>
            </w:pPr>
            <w:r>
              <w:rPr>
                <w:spacing w:val="2"/>
                <w:sz w:val="20"/>
                <w:szCs w:val="20"/>
              </w:rPr>
              <w:t>出现时间</w:t>
            </w:r>
          </w:p>
        </w:tc>
        <w:tc>
          <w:tcPr>
            <w:tcW w:w="1007" w:type="dxa"/>
            <w:tcBorders>
              <w:top w:val="single" w:color="000000" w:sz="10" w:space="0"/>
            </w:tcBorders>
            <w:vAlign w:val="top"/>
          </w:tcPr>
          <w:p w14:paraId="6767D8BA">
            <w:pPr>
              <w:pStyle w:val="6"/>
              <w:spacing w:before="36" w:line="216" w:lineRule="auto"/>
              <w:ind w:left="112"/>
              <w:rPr>
                <w:rFonts w:ascii="Times New Roman" w:hAnsi="Times New Roman" w:eastAsia="Times New Roman" w:cs="Times New Roman"/>
                <w:sz w:val="20"/>
                <w:szCs w:val="20"/>
              </w:rPr>
            </w:pPr>
            <w:r>
              <w:rPr>
                <w:spacing w:val="-1"/>
                <w:sz w:val="20"/>
                <w:szCs w:val="20"/>
              </w:rPr>
              <w:t>占标率</w:t>
            </w:r>
            <w:r>
              <w:rPr>
                <w:rFonts w:ascii="Times New Roman" w:hAnsi="Times New Roman" w:eastAsia="Times New Roman" w:cs="Times New Roman"/>
                <w:spacing w:val="-1"/>
                <w:sz w:val="20"/>
                <w:szCs w:val="20"/>
              </w:rPr>
              <w:t>/%</w:t>
            </w:r>
          </w:p>
        </w:tc>
        <w:tc>
          <w:tcPr>
            <w:tcW w:w="1023" w:type="dxa"/>
            <w:tcBorders>
              <w:top w:val="single" w:color="000000" w:sz="10" w:space="0"/>
              <w:right w:val="nil"/>
            </w:tcBorders>
            <w:vAlign w:val="top"/>
          </w:tcPr>
          <w:p w14:paraId="5957D4D8">
            <w:pPr>
              <w:pStyle w:val="6"/>
              <w:spacing w:before="36" w:line="216" w:lineRule="auto"/>
              <w:ind w:left="99"/>
              <w:rPr>
                <w:sz w:val="20"/>
                <w:szCs w:val="20"/>
              </w:rPr>
            </w:pPr>
            <w:r>
              <w:rPr>
                <w:spacing w:val="7"/>
                <w:sz w:val="20"/>
                <w:szCs w:val="20"/>
              </w:rPr>
              <w:t>达标情况</w:t>
            </w:r>
          </w:p>
        </w:tc>
      </w:tr>
      <w:tr w14:paraId="02CCF1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28" w:type="dxa"/>
            <w:vMerge w:val="restart"/>
            <w:tcBorders>
              <w:left w:val="nil"/>
              <w:bottom w:val="nil"/>
            </w:tcBorders>
            <w:vAlign w:val="top"/>
          </w:tcPr>
          <w:p w14:paraId="4EBCFA8F">
            <w:pPr>
              <w:spacing w:line="432" w:lineRule="auto"/>
              <w:rPr>
                <w:rFonts w:ascii="Arial"/>
                <w:sz w:val="21"/>
              </w:rPr>
            </w:pPr>
          </w:p>
          <w:p w14:paraId="43B6746E">
            <w:pPr>
              <w:spacing w:before="57" w:line="199" w:lineRule="auto"/>
              <w:ind w:left="245"/>
              <w:rPr>
                <w:rFonts w:ascii="Times New Roman" w:hAnsi="Times New Roman" w:eastAsia="Times New Roman" w:cs="Times New Roman"/>
                <w:sz w:val="13"/>
                <w:szCs w:val="13"/>
              </w:rPr>
            </w:pPr>
            <w:r>
              <w:rPr>
                <w:rFonts w:ascii="Times New Roman" w:hAnsi="Times New Roman" w:eastAsia="Times New Roman" w:cs="Times New Roman"/>
                <w:sz w:val="20"/>
                <w:szCs w:val="20"/>
              </w:rPr>
              <w:t>PM</w:t>
            </w:r>
            <w:r>
              <w:rPr>
                <w:rFonts w:ascii="Times New Roman" w:hAnsi="Times New Roman" w:eastAsia="Times New Roman" w:cs="Times New Roman"/>
                <w:spacing w:val="8"/>
                <w:position w:val="-1"/>
                <w:sz w:val="13"/>
                <w:szCs w:val="13"/>
              </w:rPr>
              <w:t>10</w:t>
            </w:r>
          </w:p>
        </w:tc>
        <w:tc>
          <w:tcPr>
            <w:tcW w:w="1733" w:type="dxa"/>
            <w:vAlign w:val="top"/>
          </w:tcPr>
          <w:p w14:paraId="52A7628B">
            <w:pPr>
              <w:pStyle w:val="6"/>
              <w:spacing w:before="30" w:line="218" w:lineRule="auto"/>
              <w:ind w:left="453"/>
              <w:rPr>
                <w:sz w:val="20"/>
                <w:szCs w:val="20"/>
              </w:rPr>
            </w:pPr>
            <w:r>
              <w:rPr>
                <w:spacing w:val="6"/>
                <w:sz w:val="20"/>
                <w:szCs w:val="20"/>
              </w:rPr>
              <w:t>温都尔庙</w:t>
            </w:r>
          </w:p>
        </w:tc>
        <w:tc>
          <w:tcPr>
            <w:tcW w:w="1138" w:type="dxa"/>
            <w:vAlign w:val="top"/>
          </w:tcPr>
          <w:p w14:paraId="45FC5A57">
            <w:pPr>
              <w:pStyle w:val="6"/>
              <w:spacing w:before="34" w:line="215" w:lineRule="auto"/>
              <w:ind w:left="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20"/>
                <w:w w:val="101"/>
                <w:sz w:val="20"/>
                <w:szCs w:val="20"/>
              </w:rPr>
              <w:t xml:space="preserve"> </w:t>
            </w:r>
            <w:r>
              <w:rPr>
                <w:sz w:val="20"/>
                <w:szCs w:val="20"/>
              </w:rPr>
              <w:t>小时平均</w:t>
            </w:r>
          </w:p>
        </w:tc>
        <w:tc>
          <w:tcPr>
            <w:tcW w:w="2112" w:type="dxa"/>
            <w:vAlign w:val="top"/>
          </w:tcPr>
          <w:p w14:paraId="3097DBB4">
            <w:pPr>
              <w:spacing w:before="69" w:line="195" w:lineRule="auto"/>
              <w:ind w:left="6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298.2649</w:t>
            </w:r>
          </w:p>
        </w:tc>
        <w:tc>
          <w:tcPr>
            <w:tcW w:w="1125" w:type="dxa"/>
            <w:vAlign w:val="top"/>
          </w:tcPr>
          <w:p w14:paraId="0ED96FC5">
            <w:pPr>
              <w:spacing w:before="69"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22011213</w:t>
            </w:r>
          </w:p>
        </w:tc>
        <w:tc>
          <w:tcPr>
            <w:tcW w:w="1007" w:type="dxa"/>
            <w:vAlign w:val="top"/>
          </w:tcPr>
          <w:p w14:paraId="4B9E6B66">
            <w:pPr>
              <w:spacing w:before="69" w:line="195" w:lineRule="auto"/>
              <w:ind w:left="2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66.28</w:t>
            </w:r>
          </w:p>
        </w:tc>
        <w:tc>
          <w:tcPr>
            <w:tcW w:w="1023" w:type="dxa"/>
            <w:tcBorders>
              <w:right w:val="nil"/>
            </w:tcBorders>
            <w:vAlign w:val="top"/>
          </w:tcPr>
          <w:p w14:paraId="1A68CE82">
            <w:pPr>
              <w:pStyle w:val="6"/>
              <w:spacing w:before="30" w:line="218" w:lineRule="auto"/>
              <w:ind w:left="310"/>
              <w:rPr>
                <w:sz w:val="20"/>
                <w:szCs w:val="20"/>
              </w:rPr>
            </w:pPr>
            <w:r>
              <w:rPr>
                <w:spacing w:val="5"/>
                <w:sz w:val="20"/>
                <w:szCs w:val="20"/>
              </w:rPr>
              <w:t>超标</w:t>
            </w:r>
          </w:p>
        </w:tc>
      </w:tr>
      <w:tr w14:paraId="7B2130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28" w:type="dxa"/>
            <w:vMerge w:val="continue"/>
            <w:tcBorders>
              <w:top w:val="nil"/>
              <w:left w:val="nil"/>
              <w:bottom w:val="nil"/>
            </w:tcBorders>
            <w:vAlign w:val="top"/>
          </w:tcPr>
          <w:p w14:paraId="61CD9A71">
            <w:pPr>
              <w:rPr>
                <w:rFonts w:ascii="Arial"/>
                <w:sz w:val="21"/>
              </w:rPr>
            </w:pPr>
          </w:p>
        </w:tc>
        <w:tc>
          <w:tcPr>
            <w:tcW w:w="1733" w:type="dxa"/>
            <w:vAlign w:val="top"/>
          </w:tcPr>
          <w:p w14:paraId="0519D633">
            <w:pPr>
              <w:pStyle w:val="6"/>
              <w:spacing w:before="35" w:line="214" w:lineRule="auto"/>
              <w:ind w:left="263"/>
              <w:rPr>
                <w:sz w:val="20"/>
                <w:szCs w:val="20"/>
              </w:rPr>
            </w:pPr>
            <w:r>
              <w:rPr>
                <w:spacing w:val="4"/>
                <w:sz w:val="20"/>
                <w:szCs w:val="20"/>
              </w:rPr>
              <w:t>巴润阿木斯尔</w:t>
            </w:r>
          </w:p>
        </w:tc>
        <w:tc>
          <w:tcPr>
            <w:tcW w:w="1138" w:type="dxa"/>
            <w:vAlign w:val="top"/>
          </w:tcPr>
          <w:p w14:paraId="1CD603A0">
            <w:pPr>
              <w:pStyle w:val="6"/>
              <w:spacing w:before="37" w:line="212" w:lineRule="auto"/>
              <w:ind w:left="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20"/>
                <w:w w:val="101"/>
                <w:sz w:val="20"/>
                <w:szCs w:val="20"/>
              </w:rPr>
              <w:t xml:space="preserve"> </w:t>
            </w:r>
            <w:r>
              <w:rPr>
                <w:sz w:val="20"/>
                <w:szCs w:val="20"/>
              </w:rPr>
              <w:t>小时平均</w:t>
            </w:r>
          </w:p>
        </w:tc>
        <w:tc>
          <w:tcPr>
            <w:tcW w:w="2112" w:type="dxa"/>
            <w:vAlign w:val="top"/>
          </w:tcPr>
          <w:p w14:paraId="1D72F4B0">
            <w:pPr>
              <w:spacing w:before="73" w:line="195" w:lineRule="auto"/>
              <w:ind w:left="66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395.5806</w:t>
            </w:r>
          </w:p>
        </w:tc>
        <w:tc>
          <w:tcPr>
            <w:tcW w:w="1125" w:type="dxa"/>
            <w:vAlign w:val="top"/>
          </w:tcPr>
          <w:p w14:paraId="015B6D83">
            <w:pPr>
              <w:spacing w:before="73"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22103009</w:t>
            </w:r>
          </w:p>
        </w:tc>
        <w:tc>
          <w:tcPr>
            <w:tcW w:w="1007" w:type="dxa"/>
            <w:vAlign w:val="top"/>
          </w:tcPr>
          <w:p w14:paraId="0AB6E31C">
            <w:pPr>
              <w:spacing w:before="73" w:line="195" w:lineRule="auto"/>
              <w:ind w:left="27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87.91</w:t>
            </w:r>
          </w:p>
        </w:tc>
        <w:tc>
          <w:tcPr>
            <w:tcW w:w="1023" w:type="dxa"/>
            <w:tcBorders>
              <w:right w:val="nil"/>
            </w:tcBorders>
            <w:vAlign w:val="top"/>
          </w:tcPr>
          <w:p w14:paraId="297E8B32">
            <w:pPr>
              <w:pStyle w:val="6"/>
              <w:spacing w:before="35" w:line="214" w:lineRule="auto"/>
              <w:ind w:left="310"/>
              <w:rPr>
                <w:sz w:val="20"/>
                <w:szCs w:val="20"/>
              </w:rPr>
            </w:pPr>
            <w:r>
              <w:rPr>
                <w:spacing w:val="5"/>
                <w:sz w:val="20"/>
                <w:szCs w:val="20"/>
              </w:rPr>
              <w:t>达标</w:t>
            </w:r>
          </w:p>
        </w:tc>
      </w:tr>
      <w:tr w14:paraId="6E5DEA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6" w:hRule="atLeast"/>
        </w:trPr>
        <w:tc>
          <w:tcPr>
            <w:tcW w:w="928" w:type="dxa"/>
            <w:vMerge w:val="continue"/>
            <w:tcBorders>
              <w:top w:val="nil"/>
              <w:left w:val="nil"/>
            </w:tcBorders>
            <w:vAlign w:val="top"/>
          </w:tcPr>
          <w:p w14:paraId="1AEE3C63">
            <w:pPr>
              <w:rPr>
                <w:rFonts w:ascii="Arial"/>
                <w:sz w:val="21"/>
              </w:rPr>
            </w:pPr>
          </w:p>
        </w:tc>
        <w:tc>
          <w:tcPr>
            <w:tcW w:w="1733" w:type="dxa"/>
            <w:vAlign w:val="top"/>
          </w:tcPr>
          <w:p w14:paraId="62D22E53">
            <w:pPr>
              <w:pStyle w:val="6"/>
              <w:spacing w:before="37" w:line="230" w:lineRule="auto"/>
              <w:ind w:left="20" w:right="4" w:firstLine="5"/>
              <w:rPr>
                <w:sz w:val="20"/>
                <w:szCs w:val="20"/>
              </w:rPr>
            </w:pPr>
            <w:r>
              <w:rPr>
                <w:spacing w:val="12"/>
                <w:sz w:val="20"/>
                <w:szCs w:val="20"/>
              </w:rPr>
              <w:t>区域最大落地浓度</w:t>
            </w:r>
            <w:r>
              <w:rPr>
                <w:sz w:val="20"/>
                <w:szCs w:val="20"/>
              </w:rPr>
              <w:t xml:space="preserve"> </w:t>
            </w:r>
            <w:r>
              <w:rPr>
                <w:spacing w:val="3"/>
                <w:sz w:val="20"/>
                <w:szCs w:val="20"/>
              </w:rPr>
              <w:t>（网格点）</w:t>
            </w:r>
          </w:p>
        </w:tc>
        <w:tc>
          <w:tcPr>
            <w:tcW w:w="1138" w:type="dxa"/>
            <w:vAlign w:val="top"/>
          </w:tcPr>
          <w:p w14:paraId="46DFA521">
            <w:pPr>
              <w:pStyle w:val="6"/>
              <w:spacing w:before="173" w:line="228" w:lineRule="auto"/>
              <w:ind w:left="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20"/>
                <w:w w:val="101"/>
                <w:sz w:val="20"/>
                <w:szCs w:val="20"/>
              </w:rPr>
              <w:t xml:space="preserve"> </w:t>
            </w:r>
            <w:r>
              <w:rPr>
                <w:sz w:val="20"/>
                <w:szCs w:val="20"/>
              </w:rPr>
              <w:t>小时平均</w:t>
            </w:r>
          </w:p>
        </w:tc>
        <w:tc>
          <w:tcPr>
            <w:tcW w:w="2112" w:type="dxa"/>
            <w:vAlign w:val="top"/>
          </w:tcPr>
          <w:p w14:paraId="4893ABFB">
            <w:pPr>
              <w:spacing w:before="211" w:line="195" w:lineRule="auto"/>
              <w:ind w:left="66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2801.419</w:t>
            </w:r>
          </w:p>
        </w:tc>
        <w:tc>
          <w:tcPr>
            <w:tcW w:w="1125" w:type="dxa"/>
            <w:vAlign w:val="top"/>
          </w:tcPr>
          <w:p w14:paraId="64CE7C48">
            <w:pPr>
              <w:spacing w:before="211"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22012303</w:t>
            </w:r>
          </w:p>
        </w:tc>
        <w:tc>
          <w:tcPr>
            <w:tcW w:w="1007" w:type="dxa"/>
            <w:vAlign w:val="top"/>
          </w:tcPr>
          <w:p w14:paraId="55D65769">
            <w:pPr>
              <w:spacing w:before="211" w:line="195" w:lineRule="auto"/>
              <w:ind w:left="2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622.54</w:t>
            </w:r>
          </w:p>
        </w:tc>
        <w:tc>
          <w:tcPr>
            <w:tcW w:w="1023" w:type="dxa"/>
            <w:tcBorders>
              <w:right w:val="nil"/>
            </w:tcBorders>
            <w:vAlign w:val="top"/>
          </w:tcPr>
          <w:p w14:paraId="787CD57C">
            <w:pPr>
              <w:pStyle w:val="6"/>
              <w:spacing w:before="173" w:line="228" w:lineRule="auto"/>
              <w:ind w:left="310"/>
              <w:rPr>
                <w:sz w:val="20"/>
                <w:szCs w:val="20"/>
              </w:rPr>
            </w:pPr>
            <w:r>
              <w:rPr>
                <w:spacing w:val="5"/>
                <w:sz w:val="20"/>
                <w:szCs w:val="20"/>
              </w:rPr>
              <w:t>超标</w:t>
            </w:r>
          </w:p>
        </w:tc>
      </w:tr>
      <w:tr w14:paraId="09AF8F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28" w:type="dxa"/>
            <w:vMerge w:val="restart"/>
            <w:tcBorders>
              <w:left w:val="nil"/>
              <w:bottom w:val="nil"/>
            </w:tcBorders>
            <w:vAlign w:val="top"/>
          </w:tcPr>
          <w:p w14:paraId="791D9A83">
            <w:pPr>
              <w:spacing w:line="437" w:lineRule="auto"/>
              <w:rPr>
                <w:rFonts w:ascii="Arial"/>
                <w:sz w:val="21"/>
              </w:rPr>
            </w:pPr>
          </w:p>
          <w:p w14:paraId="356BB358">
            <w:pPr>
              <w:spacing w:before="58" w:line="202" w:lineRule="auto"/>
              <w:ind w:left="272"/>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2</w:t>
            </w:r>
          </w:p>
        </w:tc>
        <w:tc>
          <w:tcPr>
            <w:tcW w:w="1733" w:type="dxa"/>
            <w:vAlign w:val="top"/>
          </w:tcPr>
          <w:p w14:paraId="09545691">
            <w:pPr>
              <w:pStyle w:val="6"/>
              <w:spacing w:before="41" w:line="208" w:lineRule="auto"/>
              <w:ind w:left="453"/>
              <w:rPr>
                <w:sz w:val="20"/>
                <w:szCs w:val="20"/>
              </w:rPr>
            </w:pPr>
            <w:r>
              <w:rPr>
                <w:spacing w:val="6"/>
                <w:sz w:val="20"/>
                <w:szCs w:val="20"/>
              </w:rPr>
              <w:t>温都尔庙</w:t>
            </w:r>
          </w:p>
        </w:tc>
        <w:tc>
          <w:tcPr>
            <w:tcW w:w="1138" w:type="dxa"/>
            <w:vAlign w:val="top"/>
          </w:tcPr>
          <w:p w14:paraId="5FFEC4B9">
            <w:pPr>
              <w:pStyle w:val="6"/>
              <w:spacing w:before="43" w:line="206" w:lineRule="auto"/>
              <w:ind w:left="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20"/>
                <w:w w:val="101"/>
                <w:sz w:val="20"/>
                <w:szCs w:val="20"/>
              </w:rPr>
              <w:t xml:space="preserve"> </w:t>
            </w:r>
            <w:r>
              <w:rPr>
                <w:sz w:val="20"/>
                <w:szCs w:val="20"/>
              </w:rPr>
              <w:t>小时平均</w:t>
            </w:r>
          </w:p>
        </w:tc>
        <w:tc>
          <w:tcPr>
            <w:tcW w:w="2112" w:type="dxa"/>
            <w:vAlign w:val="top"/>
          </w:tcPr>
          <w:p w14:paraId="510FFF75">
            <w:pPr>
              <w:spacing w:before="80" w:line="195" w:lineRule="auto"/>
              <w:ind w:left="66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610.2845</w:t>
            </w:r>
          </w:p>
        </w:tc>
        <w:tc>
          <w:tcPr>
            <w:tcW w:w="1125" w:type="dxa"/>
            <w:vAlign w:val="top"/>
          </w:tcPr>
          <w:p w14:paraId="2D0AA2ED">
            <w:pPr>
              <w:spacing w:before="80"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22091118</w:t>
            </w:r>
          </w:p>
        </w:tc>
        <w:tc>
          <w:tcPr>
            <w:tcW w:w="1007" w:type="dxa"/>
            <w:vAlign w:val="top"/>
          </w:tcPr>
          <w:p w14:paraId="31465C3C">
            <w:pPr>
              <w:spacing w:before="80" w:line="195" w:lineRule="auto"/>
              <w:ind w:left="21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305.</w:t>
            </w:r>
            <w:r>
              <w:rPr>
                <w:rFonts w:ascii="Times New Roman" w:hAnsi="Times New Roman" w:eastAsia="Times New Roman" w:cs="Times New Roman"/>
                <w:spacing w:val="-21"/>
                <w:sz w:val="20"/>
                <w:szCs w:val="20"/>
              </w:rPr>
              <w:t xml:space="preserve"> </w:t>
            </w:r>
            <w:r>
              <w:rPr>
                <w:rFonts w:ascii="Times New Roman" w:hAnsi="Times New Roman" w:eastAsia="Times New Roman" w:cs="Times New Roman"/>
                <w:spacing w:val="-2"/>
                <w:sz w:val="20"/>
                <w:szCs w:val="20"/>
              </w:rPr>
              <w:t>14</w:t>
            </w:r>
          </w:p>
        </w:tc>
        <w:tc>
          <w:tcPr>
            <w:tcW w:w="1023" w:type="dxa"/>
            <w:tcBorders>
              <w:right w:val="nil"/>
            </w:tcBorders>
            <w:vAlign w:val="top"/>
          </w:tcPr>
          <w:p w14:paraId="589423DB">
            <w:pPr>
              <w:pStyle w:val="6"/>
              <w:spacing w:before="41" w:line="208" w:lineRule="auto"/>
              <w:ind w:left="310"/>
              <w:rPr>
                <w:sz w:val="20"/>
                <w:szCs w:val="20"/>
              </w:rPr>
            </w:pPr>
            <w:r>
              <w:rPr>
                <w:spacing w:val="5"/>
                <w:sz w:val="20"/>
                <w:szCs w:val="20"/>
              </w:rPr>
              <w:t>达标</w:t>
            </w:r>
          </w:p>
        </w:tc>
      </w:tr>
      <w:tr w14:paraId="67A867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928" w:type="dxa"/>
            <w:vMerge w:val="continue"/>
            <w:tcBorders>
              <w:top w:val="nil"/>
              <w:left w:val="nil"/>
              <w:bottom w:val="nil"/>
            </w:tcBorders>
            <w:vAlign w:val="top"/>
          </w:tcPr>
          <w:p w14:paraId="3CBC652A">
            <w:pPr>
              <w:rPr>
                <w:rFonts w:ascii="Arial"/>
                <w:sz w:val="21"/>
              </w:rPr>
            </w:pPr>
          </w:p>
        </w:tc>
        <w:tc>
          <w:tcPr>
            <w:tcW w:w="1733" w:type="dxa"/>
            <w:vAlign w:val="top"/>
          </w:tcPr>
          <w:p w14:paraId="45AFD7DA">
            <w:pPr>
              <w:pStyle w:val="6"/>
              <w:spacing w:before="42" w:line="208" w:lineRule="auto"/>
              <w:ind w:left="263"/>
              <w:rPr>
                <w:sz w:val="20"/>
                <w:szCs w:val="20"/>
              </w:rPr>
            </w:pPr>
            <w:r>
              <w:rPr>
                <w:spacing w:val="4"/>
                <w:sz w:val="20"/>
                <w:szCs w:val="20"/>
              </w:rPr>
              <w:t>巴润阿木斯尔</w:t>
            </w:r>
          </w:p>
        </w:tc>
        <w:tc>
          <w:tcPr>
            <w:tcW w:w="1138" w:type="dxa"/>
            <w:vAlign w:val="top"/>
          </w:tcPr>
          <w:p w14:paraId="0F084443">
            <w:pPr>
              <w:pStyle w:val="6"/>
              <w:spacing w:before="45" w:line="205" w:lineRule="auto"/>
              <w:ind w:left="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20"/>
                <w:w w:val="101"/>
                <w:sz w:val="20"/>
                <w:szCs w:val="20"/>
              </w:rPr>
              <w:t xml:space="preserve"> </w:t>
            </w:r>
            <w:r>
              <w:rPr>
                <w:sz w:val="20"/>
                <w:szCs w:val="20"/>
              </w:rPr>
              <w:t>小时平均</w:t>
            </w:r>
          </w:p>
        </w:tc>
        <w:tc>
          <w:tcPr>
            <w:tcW w:w="2112" w:type="dxa"/>
            <w:vAlign w:val="top"/>
          </w:tcPr>
          <w:p w14:paraId="055A9643">
            <w:pPr>
              <w:spacing w:before="82" w:line="194" w:lineRule="auto"/>
              <w:ind w:left="72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842.007</w:t>
            </w:r>
          </w:p>
        </w:tc>
        <w:tc>
          <w:tcPr>
            <w:tcW w:w="1125" w:type="dxa"/>
            <w:vAlign w:val="top"/>
          </w:tcPr>
          <w:p w14:paraId="4742AA04">
            <w:pPr>
              <w:spacing w:before="82" w:line="194"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22062119</w:t>
            </w:r>
          </w:p>
        </w:tc>
        <w:tc>
          <w:tcPr>
            <w:tcW w:w="1007" w:type="dxa"/>
            <w:vAlign w:val="top"/>
          </w:tcPr>
          <w:p w14:paraId="2B03DE0A">
            <w:pPr>
              <w:spacing w:before="82" w:line="194" w:lineRule="auto"/>
              <w:ind w:left="21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421.00</w:t>
            </w:r>
          </w:p>
        </w:tc>
        <w:tc>
          <w:tcPr>
            <w:tcW w:w="1023" w:type="dxa"/>
            <w:tcBorders>
              <w:right w:val="nil"/>
            </w:tcBorders>
            <w:vAlign w:val="top"/>
          </w:tcPr>
          <w:p w14:paraId="610A6243">
            <w:pPr>
              <w:pStyle w:val="6"/>
              <w:spacing w:before="42" w:line="208" w:lineRule="auto"/>
              <w:ind w:left="310"/>
              <w:rPr>
                <w:sz w:val="20"/>
                <w:szCs w:val="20"/>
              </w:rPr>
            </w:pPr>
            <w:r>
              <w:rPr>
                <w:spacing w:val="5"/>
                <w:sz w:val="20"/>
                <w:szCs w:val="20"/>
              </w:rPr>
              <w:t>达标</w:t>
            </w:r>
          </w:p>
        </w:tc>
      </w:tr>
      <w:tr w14:paraId="45A27B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928" w:type="dxa"/>
            <w:vMerge w:val="continue"/>
            <w:tcBorders>
              <w:top w:val="nil"/>
              <w:left w:val="nil"/>
            </w:tcBorders>
            <w:vAlign w:val="top"/>
          </w:tcPr>
          <w:p w14:paraId="6877C2AD">
            <w:pPr>
              <w:rPr>
                <w:rFonts w:ascii="Arial"/>
                <w:sz w:val="21"/>
              </w:rPr>
            </w:pPr>
          </w:p>
        </w:tc>
        <w:tc>
          <w:tcPr>
            <w:tcW w:w="1733" w:type="dxa"/>
            <w:vAlign w:val="top"/>
          </w:tcPr>
          <w:p w14:paraId="78A75B11">
            <w:pPr>
              <w:pStyle w:val="6"/>
              <w:spacing w:before="43" w:line="227" w:lineRule="auto"/>
              <w:ind w:left="20" w:right="4" w:firstLine="5"/>
              <w:rPr>
                <w:sz w:val="20"/>
                <w:szCs w:val="20"/>
              </w:rPr>
            </w:pPr>
            <w:r>
              <w:rPr>
                <w:spacing w:val="12"/>
                <w:sz w:val="20"/>
                <w:szCs w:val="20"/>
              </w:rPr>
              <w:t>区域最大落地浓度</w:t>
            </w:r>
            <w:r>
              <w:rPr>
                <w:sz w:val="20"/>
                <w:szCs w:val="20"/>
              </w:rPr>
              <w:t xml:space="preserve"> </w:t>
            </w:r>
            <w:r>
              <w:rPr>
                <w:spacing w:val="3"/>
                <w:sz w:val="20"/>
                <w:szCs w:val="20"/>
              </w:rPr>
              <w:t>（网格点）</w:t>
            </w:r>
          </w:p>
        </w:tc>
        <w:tc>
          <w:tcPr>
            <w:tcW w:w="1138" w:type="dxa"/>
            <w:vAlign w:val="top"/>
          </w:tcPr>
          <w:p w14:paraId="3B1C0DF6">
            <w:pPr>
              <w:pStyle w:val="6"/>
              <w:spacing w:before="180" w:line="228" w:lineRule="auto"/>
              <w:ind w:left="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20"/>
                <w:w w:val="101"/>
                <w:sz w:val="20"/>
                <w:szCs w:val="20"/>
              </w:rPr>
              <w:t xml:space="preserve"> </w:t>
            </w:r>
            <w:r>
              <w:rPr>
                <w:sz w:val="20"/>
                <w:szCs w:val="20"/>
              </w:rPr>
              <w:t>小时平均</w:t>
            </w:r>
          </w:p>
        </w:tc>
        <w:tc>
          <w:tcPr>
            <w:tcW w:w="2112" w:type="dxa"/>
            <w:vAlign w:val="top"/>
          </w:tcPr>
          <w:p w14:paraId="7B349D27">
            <w:pPr>
              <w:spacing w:before="218" w:line="195" w:lineRule="auto"/>
              <w:ind w:left="66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7618.502</w:t>
            </w:r>
          </w:p>
        </w:tc>
        <w:tc>
          <w:tcPr>
            <w:tcW w:w="1125" w:type="dxa"/>
            <w:vAlign w:val="top"/>
          </w:tcPr>
          <w:p w14:paraId="0BB7F151">
            <w:pPr>
              <w:spacing w:before="218"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22012303</w:t>
            </w:r>
          </w:p>
        </w:tc>
        <w:tc>
          <w:tcPr>
            <w:tcW w:w="1007" w:type="dxa"/>
            <w:vAlign w:val="top"/>
          </w:tcPr>
          <w:p w14:paraId="0DBD7506">
            <w:pPr>
              <w:spacing w:before="218" w:line="195" w:lineRule="auto"/>
              <w:ind w:left="16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3809.25</w:t>
            </w:r>
          </w:p>
        </w:tc>
        <w:tc>
          <w:tcPr>
            <w:tcW w:w="1023" w:type="dxa"/>
            <w:tcBorders>
              <w:right w:val="nil"/>
            </w:tcBorders>
            <w:vAlign w:val="top"/>
          </w:tcPr>
          <w:p w14:paraId="5A7DBFD4">
            <w:pPr>
              <w:pStyle w:val="6"/>
              <w:spacing w:before="180" w:line="228" w:lineRule="auto"/>
              <w:ind w:left="310"/>
              <w:rPr>
                <w:sz w:val="20"/>
                <w:szCs w:val="20"/>
              </w:rPr>
            </w:pPr>
            <w:r>
              <w:rPr>
                <w:spacing w:val="5"/>
                <w:sz w:val="20"/>
                <w:szCs w:val="20"/>
              </w:rPr>
              <w:t>达标</w:t>
            </w:r>
          </w:p>
        </w:tc>
      </w:tr>
      <w:tr w14:paraId="11E275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928" w:type="dxa"/>
            <w:vMerge w:val="restart"/>
            <w:tcBorders>
              <w:left w:val="nil"/>
              <w:bottom w:val="nil"/>
            </w:tcBorders>
            <w:vAlign w:val="top"/>
          </w:tcPr>
          <w:p w14:paraId="4B8239A1">
            <w:pPr>
              <w:spacing w:line="445" w:lineRule="auto"/>
              <w:rPr>
                <w:rFonts w:ascii="Arial"/>
                <w:sz w:val="21"/>
              </w:rPr>
            </w:pPr>
          </w:p>
          <w:p w14:paraId="3A6121F4">
            <w:pPr>
              <w:spacing w:before="58" w:line="202" w:lineRule="auto"/>
              <w:ind w:left="305"/>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1733" w:type="dxa"/>
            <w:vAlign w:val="top"/>
          </w:tcPr>
          <w:p w14:paraId="186DB36D">
            <w:pPr>
              <w:pStyle w:val="6"/>
              <w:spacing w:before="50" w:line="201" w:lineRule="auto"/>
              <w:ind w:left="453"/>
              <w:rPr>
                <w:sz w:val="20"/>
                <w:szCs w:val="20"/>
              </w:rPr>
            </w:pPr>
            <w:r>
              <w:rPr>
                <w:spacing w:val="6"/>
                <w:sz w:val="20"/>
                <w:szCs w:val="20"/>
              </w:rPr>
              <w:t>温都尔庙</w:t>
            </w:r>
          </w:p>
        </w:tc>
        <w:tc>
          <w:tcPr>
            <w:tcW w:w="1138" w:type="dxa"/>
            <w:vAlign w:val="top"/>
          </w:tcPr>
          <w:p w14:paraId="6FEF0509">
            <w:pPr>
              <w:pStyle w:val="6"/>
              <w:spacing w:before="52" w:line="199" w:lineRule="auto"/>
              <w:ind w:left="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20"/>
                <w:w w:val="101"/>
                <w:sz w:val="20"/>
                <w:szCs w:val="20"/>
              </w:rPr>
              <w:t xml:space="preserve"> </w:t>
            </w:r>
            <w:r>
              <w:rPr>
                <w:sz w:val="20"/>
                <w:szCs w:val="20"/>
              </w:rPr>
              <w:t>小时平均</w:t>
            </w:r>
          </w:p>
        </w:tc>
        <w:tc>
          <w:tcPr>
            <w:tcW w:w="2112" w:type="dxa"/>
            <w:vAlign w:val="top"/>
          </w:tcPr>
          <w:p w14:paraId="19111E4C">
            <w:pPr>
              <w:spacing w:before="88" w:line="187" w:lineRule="auto"/>
              <w:ind w:left="66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39.87965</w:t>
            </w:r>
          </w:p>
        </w:tc>
        <w:tc>
          <w:tcPr>
            <w:tcW w:w="1125" w:type="dxa"/>
            <w:vAlign w:val="top"/>
          </w:tcPr>
          <w:p w14:paraId="6AE0D98E">
            <w:pPr>
              <w:spacing w:before="88" w:line="187"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22012213</w:t>
            </w:r>
          </w:p>
        </w:tc>
        <w:tc>
          <w:tcPr>
            <w:tcW w:w="1007" w:type="dxa"/>
            <w:vAlign w:val="top"/>
          </w:tcPr>
          <w:p w14:paraId="4F45FEA0">
            <w:pPr>
              <w:spacing w:before="88" w:line="187" w:lineRule="auto"/>
              <w:ind w:left="32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7.98</w:t>
            </w:r>
          </w:p>
        </w:tc>
        <w:tc>
          <w:tcPr>
            <w:tcW w:w="1023" w:type="dxa"/>
            <w:tcBorders>
              <w:right w:val="nil"/>
            </w:tcBorders>
            <w:vAlign w:val="top"/>
          </w:tcPr>
          <w:p w14:paraId="2E959CDA">
            <w:pPr>
              <w:pStyle w:val="6"/>
              <w:spacing w:before="50" w:line="201" w:lineRule="auto"/>
              <w:ind w:left="310"/>
              <w:rPr>
                <w:sz w:val="20"/>
                <w:szCs w:val="20"/>
              </w:rPr>
            </w:pPr>
            <w:r>
              <w:rPr>
                <w:spacing w:val="5"/>
                <w:sz w:val="20"/>
                <w:szCs w:val="20"/>
              </w:rPr>
              <w:t>达标</w:t>
            </w:r>
          </w:p>
        </w:tc>
      </w:tr>
      <w:tr w14:paraId="0084E0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28" w:type="dxa"/>
            <w:vMerge w:val="continue"/>
            <w:tcBorders>
              <w:top w:val="nil"/>
              <w:left w:val="nil"/>
              <w:bottom w:val="nil"/>
            </w:tcBorders>
            <w:vAlign w:val="top"/>
          </w:tcPr>
          <w:p w14:paraId="5E135E91">
            <w:pPr>
              <w:rPr>
                <w:rFonts w:ascii="Arial"/>
                <w:sz w:val="21"/>
              </w:rPr>
            </w:pPr>
          </w:p>
        </w:tc>
        <w:tc>
          <w:tcPr>
            <w:tcW w:w="1733" w:type="dxa"/>
            <w:vAlign w:val="top"/>
          </w:tcPr>
          <w:p w14:paraId="41DD3A4B">
            <w:pPr>
              <w:pStyle w:val="6"/>
              <w:spacing w:before="50" w:line="200" w:lineRule="auto"/>
              <w:ind w:left="263"/>
              <w:rPr>
                <w:sz w:val="20"/>
                <w:szCs w:val="20"/>
              </w:rPr>
            </w:pPr>
            <w:r>
              <w:rPr>
                <w:spacing w:val="4"/>
                <w:sz w:val="20"/>
                <w:szCs w:val="20"/>
              </w:rPr>
              <w:t>巴润阿木斯尔</w:t>
            </w:r>
          </w:p>
        </w:tc>
        <w:tc>
          <w:tcPr>
            <w:tcW w:w="1138" w:type="dxa"/>
            <w:vAlign w:val="top"/>
          </w:tcPr>
          <w:p w14:paraId="7D5909B6">
            <w:pPr>
              <w:pStyle w:val="6"/>
              <w:spacing w:before="52" w:line="198" w:lineRule="auto"/>
              <w:ind w:left="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20"/>
                <w:w w:val="101"/>
                <w:sz w:val="20"/>
                <w:szCs w:val="20"/>
              </w:rPr>
              <w:t xml:space="preserve"> </w:t>
            </w:r>
            <w:r>
              <w:rPr>
                <w:sz w:val="20"/>
                <w:szCs w:val="20"/>
              </w:rPr>
              <w:t>小时平均</w:t>
            </w:r>
          </w:p>
        </w:tc>
        <w:tc>
          <w:tcPr>
            <w:tcW w:w="2112" w:type="dxa"/>
            <w:vAlign w:val="top"/>
          </w:tcPr>
          <w:p w14:paraId="3853DE86">
            <w:pPr>
              <w:spacing w:before="88" w:line="186" w:lineRule="auto"/>
              <w:ind w:left="66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58.50969</w:t>
            </w:r>
          </w:p>
        </w:tc>
        <w:tc>
          <w:tcPr>
            <w:tcW w:w="1125" w:type="dxa"/>
            <w:vAlign w:val="top"/>
          </w:tcPr>
          <w:p w14:paraId="09C9EC66">
            <w:pPr>
              <w:spacing w:before="88" w:line="186"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22103009</w:t>
            </w:r>
          </w:p>
        </w:tc>
        <w:tc>
          <w:tcPr>
            <w:tcW w:w="1007" w:type="dxa"/>
            <w:vAlign w:val="top"/>
          </w:tcPr>
          <w:p w14:paraId="4D01AB65">
            <w:pPr>
              <w:spacing w:before="88" w:line="186" w:lineRule="auto"/>
              <w:ind w:left="29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11.70</w:t>
            </w:r>
          </w:p>
        </w:tc>
        <w:tc>
          <w:tcPr>
            <w:tcW w:w="1023" w:type="dxa"/>
            <w:tcBorders>
              <w:right w:val="nil"/>
            </w:tcBorders>
            <w:vAlign w:val="top"/>
          </w:tcPr>
          <w:p w14:paraId="2BBA1DB5">
            <w:pPr>
              <w:pStyle w:val="6"/>
              <w:spacing w:before="50" w:line="200" w:lineRule="auto"/>
              <w:ind w:left="310"/>
              <w:rPr>
                <w:sz w:val="20"/>
                <w:szCs w:val="20"/>
              </w:rPr>
            </w:pPr>
            <w:r>
              <w:rPr>
                <w:spacing w:val="5"/>
                <w:sz w:val="20"/>
                <w:szCs w:val="20"/>
              </w:rPr>
              <w:t>达标</w:t>
            </w:r>
          </w:p>
        </w:tc>
      </w:tr>
      <w:tr w14:paraId="0B8331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928" w:type="dxa"/>
            <w:vMerge w:val="continue"/>
            <w:tcBorders>
              <w:top w:val="nil"/>
              <w:left w:val="nil"/>
              <w:bottom w:val="single" w:color="000000" w:sz="10" w:space="0"/>
            </w:tcBorders>
            <w:vAlign w:val="top"/>
          </w:tcPr>
          <w:p w14:paraId="6ACA1271">
            <w:pPr>
              <w:rPr>
                <w:rFonts w:ascii="Arial"/>
                <w:sz w:val="21"/>
              </w:rPr>
            </w:pPr>
          </w:p>
        </w:tc>
        <w:tc>
          <w:tcPr>
            <w:tcW w:w="1733" w:type="dxa"/>
            <w:tcBorders>
              <w:bottom w:val="single" w:color="000000" w:sz="10" w:space="0"/>
            </w:tcBorders>
            <w:vAlign w:val="top"/>
          </w:tcPr>
          <w:p w14:paraId="3BBE4A7F">
            <w:pPr>
              <w:pStyle w:val="6"/>
              <w:spacing w:before="52" w:line="234" w:lineRule="auto"/>
              <w:ind w:left="20" w:right="4" w:firstLine="5"/>
              <w:rPr>
                <w:sz w:val="20"/>
                <w:szCs w:val="20"/>
              </w:rPr>
            </w:pPr>
            <w:r>
              <w:rPr>
                <w:spacing w:val="12"/>
                <w:sz w:val="20"/>
                <w:szCs w:val="20"/>
              </w:rPr>
              <w:t>区域最大落地浓度</w:t>
            </w:r>
            <w:r>
              <w:rPr>
                <w:sz w:val="20"/>
                <w:szCs w:val="20"/>
              </w:rPr>
              <w:t xml:space="preserve"> </w:t>
            </w:r>
            <w:r>
              <w:rPr>
                <w:spacing w:val="3"/>
                <w:sz w:val="20"/>
                <w:szCs w:val="20"/>
              </w:rPr>
              <w:t>（网格点）</w:t>
            </w:r>
          </w:p>
        </w:tc>
        <w:tc>
          <w:tcPr>
            <w:tcW w:w="1138" w:type="dxa"/>
            <w:tcBorders>
              <w:bottom w:val="single" w:color="000000" w:sz="10" w:space="0"/>
            </w:tcBorders>
            <w:vAlign w:val="top"/>
          </w:tcPr>
          <w:p w14:paraId="3DBC1A08">
            <w:pPr>
              <w:pStyle w:val="6"/>
              <w:spacing w:before="188" w:line="228" w:lineRule="auto"/>
              <w:ind w:left="91"/>
              <w:rPr>
                <w:sz w:val="20"/>
                <w:szCs w:val="20"/>
              </w:rPr>
            </w:pPr>
            <w:r>
              <w:rPr>
                <w:rFonts w:ascii="Times New Roman" w:hAnsi="Times New Roman" w:eastAsia="Times New Roman" w:cs="Times New Roman"/>
                <w:sz w:val="20"/>
                <w:szCs w:val="20"/>
              </w:rPr>
              <w:t>1</w:t>
            </w:r>
            <w:r>
              <w:rPr>
                <w:rFonts w:ascii="Times New Roman" w:hAnsi="Times New Roman" w:eastAsia="Times New Roman" w:cs="Times New Roman"/>
                <w:spacing w:val="20"/>
                <w:w w:val="101"/>
                <w:sz w:val="20"/>
                <w:szCs w:val="20"/>
              </w:rPr>
              <w:t xml:space="preserve"> </w:t>
            </w:r>
            <w:r>
              <w:rPr>
                <w:sz w:val="20"/>
                <w:szCs w:val="20"/>
              </w:rPr>
              <w:t>小时平均</w:t>
            </w:r>
          </w:p>
        </w:tc>
        <w:tc>
          <w:tcPr>
            <w:tcW w:w="2112" w:type="dxa"/>
            <w:tcBorders>
              <w:bottom w:val="single" w:color="000000" w:sz="10" w:space="0"/>
            </w:tcBorders>
            <w:vAlign w:val="top"/>
          </w:tcPr>
          <w:p w14:paraId="7F0009ED">
            <w:pPr>
              <w:spacing w:before="226" w:line="195" w:lineRule="auto"/>
              <w:ind w:left="68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174.2827</w:t>
            </w:r>
          </w:p>
        </w:tc>
        <w:tc>
          <w:tcPr>
            <w:tcW w:w="1125" w:type="dxa"/>
            <w:tcBorders>
              <w:bottom w:val="single" w:color="000000" w:sz="10" w:space="0"/>
            </w:tcBorders>
            <w:vAlign w:val="top"/>
          </w:tcPr>
          <w:p w14:paraId="6B81BBA5">
            <w:pPr>
              <w:spacing w:before="226" w:line="195" w:lineRule="auto"/>
              <w:ind w:left="14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22122206</w:t>
            </w:r>
          </w:p>
        </w:tc>
        <w:tc>
          <w:tcPr>
            <w:tcW w:w="1007" w:type="dxa"/>
            <w:tcBorders>
              <w:bottom w:val="single" w:color="000000" w:sz="10" w:space="0"/>
            </w:tcBorders>
            <w:vAlign w:val="top"/>
          </w:tcPr>
          <w:p w14:paraId="51A6BBA9">
            <w:pPr>
              <w:spacing w:before="226" w:line="195" w:lineRule="auto"/>
              <w:ind w:left="27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34.86</w:t>
            </w:r>
          </w:p>
        </w:tc>
        <w:tc>
          <w:tcPr>
            <w:tcW w:w="1023" w:type="dxa"/>
            <w:tcBorders>
              <w:bottom w:val="single" w:color="000000" w:sz="10" w:space="0"/>
              <w:right w:val="nil"/>
            </w:tcBorders>
            <w:vAlign w:val="top"/>
          </w:tcPr>
          <w:p w14:paraId="34AB3445">
            <w:pPr>
              <w:pStyle w:val="6"/>
              <w:spacing w:before="188" w:line="228" w:lineRule="auto"/>
              <w:ind w:left="310"/>
              <w:rPr>
                <w:sz w:val="20"/>
                <w:szCs w:val="20"/>
              </w:rPr>
            </w:pPr>
            <w:r>
              <w:rPr>
                <w:spacing w:val="5"/>
                <w:sz w:val="20"/>
                <w:szCs w:val="20"/>
              </w:rPr>
              <w:t>达标</w:t>
            </w:r>
          </w:p>
        </w:tc>
      </w:tr>
    </w:tbl>
    <w:p w14:paraId="46988AFD">
      <w:pPr>
        <w:spacing w:before="38" w:line="350" w:lineRule="auto"/>
        <w:ind w:left="12" w:right="1" w:firstLine="505"/>
        <w:jc w:val="both"/>
        <w:rPr>
          <w:rFonts w:ascii="宋体" w:hAnsi="宋体" w:eastAsia="宋体" w:cs="宋体"/>
          <w:sz w:val="24"/>
          <w:szCs w:val="24"/>
        </w:rPr>
      </w:pPr>
      <w:r>
        <w:rPr>
          <w:rFonts w:ascii="宋体" w:hAnsi="宋体" w:eastAsia="宋体" w:cs="宋体"/>
          <w:spacing w:val="-2"/>
          <w:sz w:val="24"/>
          <w:szCs w:val="24"/>
        </w:rPr>
        <w:t>由以上分析可以看出，一旦车间废气处理装置</w:t>
      </w:r>
      <w:r>
        <w:rPr>
          <w:rFonts w:ascii="宋体" w:hAnsi="宋体" w:eastAsia="宋体" w:cs="宋体"/>
          <w:spacing w:val="-3"/>
          <w:sz w:val="24"/>
          <w:szCs w:val="24"/>
        </w:rPr>
        <w:t>处理效率下降，则颗粒物排放量就会</w:t>
      </w:r>
      <w:r>
        <w:rPr>
          <w:rFonts w:ascii="宋体" w:hAnsi="宋体" w:eastAsia="宋体" w:cs="宋体"/>
          <w:sz w:val="24"/>
          <w:szCs w:val="24"/>
        </w:rPr>
        <w:t xml:space="preserve"> </w:t>
      </w:r>
      <w:r>
        <w:rPr>
          <w:rFonts w:ascii="宋体" w:hAnsi="宋体" w:eastAsia="宋体" w:cs="宋体"/>
          <w:spacing w:val="-2"/>
          <w:sz w:val="24"/>
          <w:szCs w:val="24"/>
        </w:rPr>
        <w:t>出现超标状况。环评要求企业定期检查车间废气处理系统，严格管理，避免失效工况的</w:t>
      </w:r>
      <w:r>
        <w:rPr>
          <w:rFonts w:ascii="宋体" w:hAnsi="宋体" w:eastAsia="宋体" w:cs="宋体"/>
          <w:spacing w:val="13"/>
          <w:sz w:val="24"/>
          <w:szCs w:val="24"/>
        </w:rPr>
        <w:t xml:space="preserve"> </w:t>
      </w:r>
      <w:r>
        <w:rPr>
          <w:rFonts w:ascii="宋体" w:hAnsi="宋体" w:eastAsia="宋体" w:cs="宋体"/>
          <w:spacing w:val="-5"/>
          <w:sz w:val="24"/>
          <w:szCs w:val="24"/>
        </w:rPr>
        <w:t>发生。</w:t>
      </w:r>
    </w:p>
    <w:p w14:paraId="54C74914">
      <w:pPr>
        <w:spacing w:before="39" w:line="222" w:lineRule="auto"/>
        <w:ind w:left="3"/>
        <w:outlineLvl w:val="2"/>
        <w:rPr>
          <w:rFonts w:ascii="黑体" w:hAnsi="黑体" w:eastAsia="黑体" w:cs="黑体"/>
          <w:sz w:val="28"/>
          <w:szCs w:val="28"/>
        </w:rPr>
      </w:pPr>
      <w:bookmarkStart w:id="362" w:name="bookmark192"/>
      <w:bookmarkEnd w:id="362"/>
      <w:r>
        <w:rPr>
          <w:rFonts w:ascii="Times New Roman" w:hAnsi="Times New Roman" w:eastAsia="Times New Roman" w:cs="Times New Roman"/>
          <w:spacing w:val="-3"/>
          <w:sz w:val="28"/>
          <w:szCs w:val="28"/>
        </w:rPr>
        <w:t>4.1.4</w:t>
      </w:r>
      <w:r>
        <w:rPr>
          <w:rFonts w:ascii="Times New Roman" w:hAnsi="Times New Roman" w:eastAsia="Times New Roman" w:cs="Times New Roman"/>
          <w:spacing w:val="32"/>
          <w:sz w:val="28"/>
          <w:szCs w:val="28"/>
        </w:rPr>
        <w:t xml:space="preserve"> </w:t>
      </w:r>
      <w:r>
        <w:rPr>
          <w:rFonts w:ascii="黑体" w:hAnsi="黑体" w:eastAsia="黑体" w:cs="黑体"/>
          <w:spacing w:val="-3"/>
          <w:sz w:val="28"/>
          <w:szCs w:val="28"/>
        </w:rPr>
        <w:t>防护距离的确定</w:t>
      </w:r>
    </w:p>
    <w:p w14:paraId="2E19AB6A">
      <w:pPr>
        <w:spacing w:before="207" w:line="354" w:lineRule="auto"/>
        <w:ind w:left="7" w:right="1" w:firstLine="480"/>
        <w:jc w:val="both"/>
        <w:rPr>
          <w:rFonts w:ascii="宋体" w:hAnsi="宋体" w:eastAsia="宋体" w:cs="宋体"/>
          <w:sz w:val="24"/>
          <w:szCs w:val="24"/>
        </w:rPr>
      </w:pPr>
      <w:r>
        <w:rPr>
          <w:rFonts w:ascii="宋体" w:hAnsi="宋体" w:eastAsia="宋体" w:cs="宋体"/>
          <w:sz w:val="24"/>
          <w:szCs w:val="24"/>
        </w:rPr>
        <w:t>根据《环境影响评价技术导则大气环境》（</w:t>
      </w:r>
      <w:r>
        <w:rPr>
          <w:rFonts w:ascii="Times New Roman" w:hAnsi="Times New Roman" w:eastAsia="Times New Roman" w:cs="Times New Roman"/>
          <w:sz w:val="24"/>
          <w:szCs w:val="24"/>
        </w:rPr>
        <w:t>HJ2.2-2018</w:t>
      </w:r>
      <w:r>
        <w:rPr>
          <w:rFonts w:ascii="宋体" w:hAnsi="宋体" w:eastAsia="宋体" w:cs="宋体"/>
          <w:spacing w:val="7"/>
          <w:sz w:val="24"/>
          <w:szCs w:val="24"/>
        </w:rPr>
        <w:t>），</w:t>
      </w:r>
      <w:r>
        <w:rPr>
          <w:rFonts w:ascii="宋体" w:hAnsi="宋体" w:eastAsia="宋体" w:cs="宋体"/>
          <w:sz w:val="24"/>
          <w:szCs w:val="24"/>
        </w:rPr>
        <w:t xml:space="preserve">对于项目厂界浓度满足 </w:t>
      </w:r>
      <w:r>
        <w:rPr>
          <w:rFonts w:ascii="宋体" w:hAnsi="宋体" w:eastAsia="宋体" w:cs="宋体"/>
          <w:spacing w:val="5"/>
          <w:sz w:val="24"/>
          <w:szCs w:val="24"/>
        </w:rPr>
        <w:t>大气污染物厂界浓度限值，但厂界外大气污染物短期贡献浓度超过环境质量浓</w:t>
      </w:r>
      <w:r>
        <w:rPr>
          <w:rFonts w:ascii="宋体" w:hAnsi="宋体" w:eastAsia="宋体" w:cs="宋体"/>
          <w:spacing w:val="4"/>
          <w:sz w:val="24"/>
          <w:szCs w:val="24"/>
        </w:rPr>
        <w:t>度限值</w:t>
      </w:r>
      <w:r>
        <w:rPr>
          <w:rFonts w:ascii="宋体" w:hAnsi="宋体" w:eastAsia="宋体" w:cs="宋体"/>
          <w:sz w:val="24"/>
          <w:szCs w:val="24"/>
        </w:rPr>
        <w:t xml:space="preserve"> </w:t>
      </w:r>
      <w:r>
        <w:rPr>
          <w:rFonts w:ascii="宋体" w:hAnsi="宋体" w:eastAsia="宋体" w:cs="宋体"/>
          <w:spacing w:val="-2"/>
          <w:sz w:val="24"/>
          <w:szCs w:val="24"/>
        </w:rPr>
        <w:t>的，可以自厂界向外设置一定范围的大气环境防护镜区域，以确保大气环境防护区域外</w:t>
      </w:r>
      <w:r>
        <w:rPr>
          <w:rFonts w:ascii="宋体" w:hAnsi="宋体" w:eastAsia="宋体" w:cs="宋体"/>
          <w:spacing w:val="18"/>
          <w:sz w:val="24"/>
          <w:szCs w:val="24"/>
        </w:rPr>
        <w:t xml:space="preserve"> </w:t>
      </w:r>
      <w:r>
        <w:rPr>
          <w:rFonts w:ascii="宋体" w:hAnsi="宋体" w:eastAsia="宋体" w:cs="宋体"/>
          <w:spacing w:val="-2"/>
          <w:sz w:val="24"/>
          <w:szCs w:val="24"/>
        </w:rPr>
        <w:t>的污染物贡献浓度满足环境质量标准。大气环境防护距离的确定是采用进一步预测模型</w:t>
      </w:r>
      <w:r>
        <w:rPr>
          <w:rFonts w:ascii="宋体" w:hAnsi="宋体" w:eastAsia="宋体" w:cs="宋体"/>
          <w:spacing w:val="18"/>
          <w:sz w:val="24"/>
          <w:szCs w:val="24"/>
        </w:rPr>
        <w:t xml:space="preserve"> </w:t>
      </w:r>
      <w:r>
        <w:rPr>
          <w:rFonts w:ascii="宋体" w:hAnsi="宋体" w:eastAsia="宋体" w:cs="宋体"/>
          <w:spacing w:val="-2"/>
          <w:sz w:val="24"/>
          <w:szCs w:val="24"/>
        </w:rPr>
        <w:t>模拟评价基准年内，所有污染源对厂界外主要污染物的短期贡献浓度分布，在底图上标</w:t>
      </w:r>
      <w:r>
        <w:rPr>
          <w:rFonts w:ascii="宋体" w:hAnsi="宋体" w:eastAsia="宋体" w:cs="宋体"/>
          <w:spacing w:val="18"/>
          <w:sz w:val="24"/>
          <w:szCs w:val="24"/>
        </w:rPr>
        <w:t xml:space="preserve"> </w:t>
      </w:r>
      <w:r>
        <w:rPr>
          <w:rFonts w:ascii="宋体" w:hAnsi="宋体" w:eastAsia="宋体" w:cs="宋体"/>
          <w:spacing w:val="-1"/>
          <w:sz w:val="24"/>
          <w:szCs w:val="24"/>
        </w:rPr>
        <w:t>注从厂界起所有超过环境质量短期浓度标准值的网格区域。</w:t>
      </w:r>
    </w:p>
    <w:p w14:paraId="2AE2016F">
      <w:pPr>
        <w:spacing w:before="35" w:line="345" w:lineRule="auto"/>
        <w:ind w:left="9" w:right="1" w:firstLine="479"/>
        <w:rPr>
          <w:rFonts w:ascii="宋体" w:hAnsi="宋体" w:eastAsia="宋体" w:cs="宋体"/>
          <w:sz w:val="24"/>
          <w:szCs w:val="24"/>
        </w:rPr>
      </w:pPr>
      <w:r>
        <w:rPr>
          <w:rFonts w:ascii="宋体" w:hAnsi="宋体" w:eastAsia="宋体" w:cs="宋体"/>
          <w:spacing w:val="-2"/>
          <w:sz w:val="24"/>
          <w:szCs w:val="24"/>
        </w:rPr>
        <w:t>根据正常排放工况大气影响预测结果，各项污染物短期浓度贡献值均低于环境质量</w:t>
      </w:r>
      <w:r>
        <w:rPr>
          <w:rFonts w:ascii="宋体" w:hAnsi="宋体" w:eastAsia="宋体" w:cs="宋体"/>
          <w:spacing w:val="13"/>
          <w:sz w:val="24"/>
          <w:szCs w:val="24"/>
        </w:rPr>
        <w:t xml:space="preserve"> </w:t>
      </w:r>
      <w:r>
        <w:rPr>
          <w:rFonts w:ascii="宋体" w:hAnsi="宋体" w:eastAsia="宋体" w:cs="宋体"/>
          <w:spacing w:val="-1"/>
          <w:sz w:val="24"/>
          <w:szCs w:val="24"/>
        </w:rPr>
        <w:t>标准限值，因此本项目不需设置大气防护距离。</w:t>
      </w:r>
    </w:p>
    <w:p w14:paraId="192DC81F">
      <w:pPr>
        <w:spacing w:before="44" w:line="222" w:lineRule="auto"/>
        <w:ind w:left="3"/>
        <w:outlineLvl w:val="2"/>
        <w:rPr>
          <w:rFonts w:ascii="黑体" w:hAnsi="黑体" w:eastAsia="黑体" w:cs="黑体"/>
          <w:sz w:val="28"/>
          <w:szCs w:val="28"/>
        </w:rPr>
      </w:pPr>
      <w:bookmarkStart w:id="363" w:name="bookmark194"/>
      <w:bookmarkEnd w:id="363"/>
      <w:r>
        <w:rPr>
          <w:rFonts w:ascii="Times New Roman" w:hAnsi="Times New Roman" w:eastAsia="Times New Roman" w:cs="Times New Roman"/>
          <w:spacing w:val="-1"/>
          <w:sz w:val="28"/>
          <w:szCs w:val="28"/>
        </w:rPr>
        <w:t xml:space="preserve">4.1.5 </w:t>
      </w:r>
      <w:r>
        <w:rPr>
          <w:rFonts w:ascii="黑体" w:hAnsi="黑体" w:eastAsia="黑体" w:cs="黑体"/>
          <w:spacing w:val="-1"/>
          <w:sz w:val="28"/>
          <w:szCs w:val="28"/>
        </w:rPr>
        <w:t>污染物排放量核算</w:t>
      </w:r>
    </w:p>
    <w:p w14:paraId="7DDF565B">
      <w:pPr>
        <w:spacing w:before="202" w:line="345" w:lineRule="auto"/>
        <w:ind w:left="8" w:right="1" w:firstLine="476"/>
        <w:rPr>
          <w:rFonts w:ascii="宋体" w:hAnsi="宋体" w:eastAsia="宋体" w:cs="宋体"/>
          <w:sz w:val="24"/>
          <w:szCs w:val="24"/>
        </w:rPr>
      </w:pPr>
      <w:r>
        <w:rPr>
          <w:rFonts w:ascii="宋体" w:hAnsi="宋体" w:eastAsia="宋体" w:cs="宋体"/>
          <w:spacing w:val="-1"/>
          <w:sz w:val="24"/>
          <w:szCs w:val="24"/>
        </w:rPr>
        <w:t>本项目建成情况下，大气污染物有组织排放量核算见表</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4.1-13</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w:t>
      </w:r>
      <w:r>
        <w:rPr>
          <w:rFonts w:ascii="宋体" w:hAnsi="宋体" w:eastAsia="宋体" w:cs="宋体"/>
          <w:spacing w:val="-2"/>
          <w:sz w:val="24"/>
          <w:szCs w:val="24"/>
        </w:rPr>
        <w:t>大气污染物无组织</w:t>
      </w:r>
      <w:r>
        <w:rPr>
          <w:rFonts w:ascii="宋体" w:hAnsi="宋体" w:eastAsia="宋体" w:cs="宋体"/>
          <w:sz w:val="24"/>
          <w:szCs w:val="24"/>
        </w:rPr>
        <w:t xml:space="preserve"> </w:t>
      </w:r>
      <w:r>
        <w:rPr>
          <w:rFonts w:ascii="宋体" w:hAnsi="宋体" w:eastAsia="宋体" w:cs="宋体"/>
          <w:spacing w:val="-1"/>
          <w:sz w:val="24"/>
          <w:szCs w:val="24"/>
        </w:rPr>
        <w:t>排放量核算见表</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4.1-14</w:t>
      </w:r>
      <w:r>
        <w:rPr>
          <w:rFonts w:ascii="Times New Roman" w:hAnsi="Times New Roman" w:eastAsia="Times New Roman" w:cs="Times New Roman"/>
          <w:spacing w:val="-34"/>
          <w:sz w:val="24"/>
          <w:szCs w:val="24"/>
        </w:rPr>
        <w:t xml:space="preserve"> </w:t>
      </w:r>
      <w:r>
        <w:rPr>
          <w:rFonts w:ascii="宋体" w:hAnsi="宋体" w:eastAsia="宋体" w:cs="宋体"/>
          <w:spacing w:val="-1"/>
          <w:sz w:val="24"/>
          <w:szCs w:val="24"/>
        </w:rPr>
        <w:t>、项目大气污染物年排放量核</w:t>
      </w:r>
      <w:r>
        <w:rPr>
          <w:rFonts w:ascii="宋体" w:hAnsi="宋体" w:eastAsia="宋体" w:cs="宋体"/>
          <w:spacing w:val="-2"/>
          <w:sz w:val="24"/>
          <w:szCs w:val="24"/>
        </w:rPr>
        <w:t>算见表</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4.1-15</w:t>
      </w:r>
      <w:r>
        <w:rPr>
          <w:rFonts w:ascii="宋体" w:hAnsi="宋体" w:eastAsia="宋体" w:cs="宋体"/>
          <w:spacing w:val="-2"/>
          <w:sz w:val="24"/>
          <w:szCs w:val="24"/>
        </w:rPr>
        <w:t>。</w:t>
      </w:r>
    </w:p>
    <w:p w14:paraId="7F6ABFFC">
      <w:pPr>
        <w:spacing w:line="345" w:lineRule="auto"/>
        <w:rPr>
          <w:rFonts w:ascii="宋体" w:hAnsi="宋体" w:eastAsia="宋体" w:cs="宋体"/>
          <w:sz w:val="24"/>
          <w:szCs w:val="24"/>
        </w:rPr>
        <w:sectPr>
          <w:headerReference r:id="rId291" w:type="default"/>
          <w:footerReference r:id="rId292" w:type="default"/>
          <w:pgSz w:w="11906" w:h="16839"/>
          <w:pgMar w:top="1190" w:right="1416" w:bottom="1427" w:left="1417" w:header="882" w:footer="1265" w:gutter="0"/>
          <w:cols w:space="720" w:num="1"/>
        </w:sectPr>
      </w:pPr>
    </w:p>
    <w:p w14:paraId="6666BC8C">
      <w:pPr>
        <w:spacing w:line="28" w:lineRule="exact"/>
        <w:ind w:firstLine="15"/>
      </w:pPr>
      <w:r>
        <w:pict>
          <v:shape id="_x0000_s1801" o:spid="_x0000_s1801" style="height:1.45pt;width:453.65pt;" fillcolor="#000000" filled="t" stroked="f" coordsize="9072,29" path="m0,0l9072,0,9072,28,0,28,0,0xe">
            <v:path/>
            <v:fill on="t" focussize="0,0"/>
            <v:stroke on="f"/>
            <v:imagedata o:title=""/>
            <o:lock v:ext="edit"/>
            <w10:wrap type="none"/>
            <w10:anchorlock/>
          </v:shape>
        </w:pict>
      </w:r>
    </w:p>
    <w:p w14:paraId="518F83DE">
      <w:pPr>
        <w:spacing w:before="228" w:line="227" w:lineRule="auto"/>
        <w:ind w:left="246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8"/>
          <w:sz w:val="20"/>
          <w:szCs w:val="20"/>
        </w:rPr>
        <w:t xml:space="preserve"> </w:t>
      </w:r>
      <w:r>
        <w:rPr>
          <w:rFonts w:ascii="Times New Roman" w:hAnsi="Times New Roman" w:eastAsia="Times New Roman" w:cs="Times New Roman"/>
          <w:b/>
          <w:bCs/>
          <w:spacing w:val="5"/>
          <w:sz w:val="20"/>
          <w:szCs w:val="20"/>
        </w:rPr>
        <w:t xml:space="preserve">4.1-13        </w:t>
      </w:r>
      <w:r>
        <w:rPr>
          <w:rFonts w:ascii="宋体" w:hAnsi="宋体" w:eastAsia="宋体" w:cs="宋体"/>
          <w:b/>
          <w:bCs/>
          <w:spacing w:val="5"/>
          <w:sz w:val="20"/>
          <w:szCs w:val="20"/>
        </w:rPr>
        <w:t>大气污染物有组织排放量核算表</w:t>
      </w:r>
    </w:p>
    <w:p w14:paraId="4671799F">
      <w:pPr>
        <w:spacing w:line="131" w:lineRule="exact"/>
      </w:pPr>
    </w:p>
    <w:tbl>
      <w:tblPr>
        <w:tblStyle w:val="5"/>
        <w:tblW w:w="910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34"/>
        <w:gridCol w:w="1617"/>
        <w:gridCol w:w="1562"/>
        <w:gridCol w:w="1897"/>
        <w:gridCol w:w="1859"/>
        <w:gridCol w:w="1733"/>
      </w:tblGrid>
      <w:tr w14:paraId="049110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434" w:type="dxa"/>
            <w:tcBorders>
              <w:top w:val="single" w:color="000000" w:sz="10" w:space="0"/>
              <w:left w:val="nil"/>
            </w:tcBorders>
            <w:textDirection w:val="tbRlV"/>
            <w:vAlign w:val="top"/>
          </w:tcPr>
          <w:p w14:paraId="10A63EE9">
            <w:pPr>
              <w:pStyle w:val="6"/>
              <w:spacing w:before="112" w:line="218" w:lineRule="auto"/>
              <w:ind w:left="51"/>
              <w:rPr>
                <w:sz w:val="20"/>
                <w:szCs w:val="20"/>
              </w:rPr>
            </w:pPr>
            <w:r>
              <w:rPr>
                <w:b/>
                <w:bCs/>
                <w:spacing w:val="6"/>
                <w:sz w:val="20"/>
                <w:szCs w:val="20"/>
              </w:rPr>
              <w:t>序</w:t>
            </w:r>
            <w:r>
              <w:rPr>
                <w:spacing w:val="-38"/>
                <w:sz w:val="20"/>
                <w:szCs w:val="20"/>
              </w:rPr>
              <w:t xml:space="preserve"> </w:t>
            </w:r>
            <w:r>
              <w:rPr>
                <w:b/>
                <w:bCs/>
                <w:spacing w:val="6"/>
                <w:sz w:val="20"/>
                <w:szCs w:val="20"/>
              </w:rPr>
              <w:t>号</w:t>
            </w:r>
          </w:p>
        </w:tc>
        <w:tc>
          <w:tcPr>
            <w:tcW w:w="1617" w:type="dxa"/>
            <w:tcBorders>
              <w:top w:val="single" w:color="000000" w:sz="10" w:space="0"/>
            </w:tcBorders>
            <w:vAlign w:val="top"/>
          </w:tcPr>
          <w:p w14:paraId="45CA439C">
            <w:pPr>
              <w:pStyle w:val="6"/>
              <w:spacing w:before="185" w:line="228" w:lineRule="auto"/>
              <w:ind w:left="75"/>
              <w:rPr>
                <w:sz w:val="20"/>
                <w:szCs w:val="20"/>
              </w:rPr>
            </w:pPr>
            <w:r>
              <w:rPr>
                <w:b/>
                <w:bCs/>
                <w:spacing w:val="7"/>
                <w:sz w:val="20"/>
                <w:szCs w:val="20"/>
              </w:rPr>
              <w:t>排放口编号编号</w:t>
            </w:r>
          </w:p>
        </w:tc>
        <w:tc>
          <w:tcPr>
            <w:tcW w:w="1562" w:type="dxa"/>
            <w:tcBorders>
              <w:top w:val="single" w:color="000000" w:sz="10" w:space="0"/>
            </w:tcBorders>
            <w:vAlign w:val="top"/>
          </w:tcPr>
          <w:p w14:paraId="495DA956">
            <w:pPr>
              <w:pStyle w:val="6"/>
              <w:spacing w:before="186" w:line="228" w:lineRule="auto"/>
              <w:ind w:left="471"/>
              <w:rPr>
                <w:sz w:val="20"/>
                <w:szCs w:val="20"/>
              </w:rPr>
            </w:pPr>
            <w:r>
              <w:rPr>
                <w:b/>
                <w:bCs/>
                <w:spacing w:val="5"/>
                <w:sz w:val="20"/>
                <w:szCs w:val="20"/>
              </w:rPr>
              <w:t>污染物</w:t>
            </w:r>
          </w:p>
        </w:tc>
        <w:tc>
          <w:tcPr>
            <w:tcW w:w="1897" w:type="dxa"/>
            <w:tcBorders>
              <w:top w:val="single" w:color="000000" w:sz="10" w:space="0"/>
            </w:tcBorders>
            <w:vAlign w:val="top"/>
          </w:tcPr>
          <w:p w14:paraId="2719CD10">
            <w:pPr>
              <w:pStyle w:val="6"/>
              <w:spacing w:before="51" w:line="234" w:lineRule="auto"/>
              <w:ind w:left="385" w:right="316" w:hanging="62"/>
              <w:rPr>
                <w:sz w:val="20"/>
                <w:szCs w:val="20"/>
              </w:rPr>
            </w:pPr>
            <w:r>
              <w:rPr>
                <w:b/>
                <w:bCs/>
                <w:spacing w:val="6"/>
                <w:sz w:val="20"/>
                <w:szCs w:val="20"/>
              </w:rPr>
              <w:t>核算排放浓度</w:t>
            </w:r>
            <w:r>
              <w:rPr>
                <w:spacing w:val="2"/>
                <w:sz w:val="20"/>
                <w:szCs w:val="20"/>
              </w:rPr>
              <w:t xml:space="preserve"> </w:t>
            </w:r>
            <w:r>
              <w:rPr>
                <w:b/>
                <w:bCs/>
                <w:spacing w:val="5"/>
                <w:sz w:val="20"/>
                <w:szCs w:val="20"/>
              </w:rPr>
              <w:t>（</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5"/>
                <w:sz w:val="20"/>
                <w:szCs w:val="20"/>
              </w:rPr>
              <w:t>/</w:t>
            </w:r>
            <w:r>
              <w:rPr>
                <w:rFonts w:ascii="Times New Roman" w:hAnsi="Times New Roman" w:eastAsia="Times New Roman" w:cs="Times New Roman"/>
                <w:b/>
                <w:bCs/>
                <w:sz w:val="20"/>
                <w:szCs w:val="20"/>
              </w:rPr>
              <w:t>Nm</w:t>
            </w:r>
            <w:r>
              <w:rPr>
                <w:rFonts w:ascii="Times New Roman" w:hAnsi="Times New Roman" w:eastAsia="Times New Roman" w:cs="Times New Roman"/>
                <w:b/>
                <w:bCs/>
                <w:spacing w:val="5"/>
                <w:position w:val="6"/>
                <w:sz w:val="13"/>
                <w:szCs w:val="13"/>
              </w:rPr>
              <w:t>3</w:t>
            </w:r>
            <w:r>
              <w:rPr>
                <w:b/>
                <w:bCs/>
                <w:spacing w:val="5"/>
                <w:sz w:val="20"/>
                <w:szCs w:val="20"/>
              </w:rPr>
              <w:t>）</w:t>
            </w:r>
          </w:p>
        </w:tc>
        <w:tc>
          <w:tcPr>
            <w:tcW w:w="1859" w:type="dxa"/>
            <w:tcBorders>
              <w:top w:val="single" w:color="000000" w:sz="10" w:space="0"/>
            </w:tcBorders>
            <w:vAlign w:val="top"/>
          </w:tcPr>
          <w:p w14:paraId="1B7E6DDC">
            <w:pPr>
              <w:pStyle w:val="6"/>
              <w:spacing w:before="51" w:line="227" w:lineRule="auto"/>
              <w:ind w:left="305"/>
              <w:rPr>
                <w:sz w:val="20"/>
                <w:szCs w:val="20"/>
              </w:rPr>
            </w:pPr>
            <w:r>
              <w:rPr>
                <w:b/>
                <w:bCs/>
                <w:spacing w:val="6"/>
                <w:sz w:val="20"/>
                <w:szCs w:val="20"/>
              </w:rPr>
              <w:t>核算排放速率</w:t>
            </w:r>
          </w:p>
          <w:p w14:paraId="43189819">
            <w:pPr>
              <w:pStyle w:val="6"/>
              <w:spacing w:before="25" w:line="217" w:lineRule="auto"/>
              <w:ind w:left="536"/>
              <w:rPr>
                <w:sz w:val="20"/>
                <w:szCs w:val="20"/>
              </w:rPr>
            </w:pPr>
            <w:r>
              <w:rPr>
                <w:b/>
                <w:bCs/>
                <w:sz w:val="20"/>
                <w:szCs w:val="20"/>
              </w:rPr>
              <w:t>（</w:t>
            </w:r>
            <w:r>
              <w:rPr>
                <w:rFonts w:ascii="Times New Roman" w:hAnsi="Times New Roman" w:eastAsia="Times New Roman" w:cs="Times New Roman"/>
                <w:b/>
                <w:bCs/>
                <w:sz w:val="20"/>
                <w:szCs w:val="20"/>
              </w:rPr>
              <w:t>kg/h</w:t>
            </w:r>
            <w:r>
              <w:rPr>
                <w:b/>
                <w:bCs/>
                <w:sz w:val="20"/>
                <w:szCs w:val="20"/>
              </w:rPr>
              <w:t>）</w:t>
            </w:r>
          </w:p>
        </w:tc>
        <w:tc>
          <w:tcPr>
            <w:tcW w:w="1733" w:type="dxa"/>
            <w:tcBorders>
              <w:top w:val="single" w:color="000000" w:sz="10" w:space="0"/>
              <w:right w:val="nil"/>
            </w:tcBorders>
            <w:vAlign w:val="top"/>
          </w:tcPr>
          <w:p w14:paraId="0DAE1C20">
            <w:pPr>
              <w:pStyle w:val="6"/>
              <w:spacing w:before="51" w:line="227" w:lineRule="auto"/>
              <w:ind w:left="241"/>
              <w:rPr>
                <w:sz w:val="20"/>
                <w:szCs w:val="20"/>
              </w:rPr>
            </w:pPr>
            <w:r>
              <w:rPr>
                <w:b/>
                <w:bCs/>
                <w:spacing w:val="6"/>
                <w:sz w:val="20"/>
                <w:szCs w:val="20"/>
              </w:rPr>
              <w:t>核算年排放量</w:t>
            </w:r>
          </w:p>
          <w:p w14:paraId="22055D40">
            <w:pPr>
              <w:pStyle w:val="6"/>
              <w:spacing w:before="25" w:line="217" w:lineRule="auto"/>
              <w:ind w:left="554"/>
              <w:rPr>
                <w:sz w:val="20"/>
                <w:szCs w:val="20"/>
              </w:rPr>
            </w:pP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r>
    </w:tbl>
    <w:p w14:paraId="4709C69E">
      <w:pPr>
        <w:spacing w:before="47" w:line="223" w:lineRule="auto"/>
        <w:ind w:left="4036"/>
        <w:rPr>
          <w:rFonts w:ascii="宋体" w:hAnsi="宋体" w:eastAsia="宋体" w:cs="宋体"/>
          <w:sz w:val="20"/>
          <w:szCs w:val="20"/>
        </w:rPr>
      </w:pPr>
      <w:r>
        <w:rPr>
          <w:rFonts w:ascii="宋体" w:hAnsi="宋体" w:eastAsia="宋体" w:cs="宋体"/>
          <w:spacing w:val="7"/>
          <w:sz w:val="20"/>
          <w:szCs w:val="20"/>
        </w:rPr>
        <w:t>主要排放口</w:t>
      </w:r>
    </w:p>
    <w:tbl>
      <w:tblPr>
        <w:tblStyle w:val="5"/>
        <w:tblW w:w="910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34"/>
        <w:gridCol w:w="1617"/>
        <w:gridCol w:w="1562"/>
        <w:gridCol w:w="1897"/>
        <w:gridCol w:w="1859"/>
        <w:gridCol w:w="1733"/>
      </w:tblGrid>
      <w:tr w14:paraId="15B435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6" w:hRule="atLeast"/>
        </w:trPr>
        <w:tc>
          <w:tcPr>
            <w:tcW w:w="434" w:type="dxa"/>
            <w:vMerge w:val="restart"/>
            <w:tcBorders>
              <w:left w:val="nil"/>
              <w:bottom w:val="nil"/>
            </w:tcBorders>
            <w:vAlign w:val="top"/>
          </w:tcPr>
          <w:p w14:paraId="23F34BBF">
            <w:pPr>
              <w:spacing w:line="441" w:lineRule="auto"/>
              <w:rPr>
                <w:rFonts w:ascii="Arial"/>
                <w:sz w:val="21"/>
              </w:rPr>
            </w:pPr>
          </w:p>
          <w:p w14:paraId="7A4DF093">
            <w:pPr>
              <w:spacing w:before="58" w:line="195" w:lineRule="auto"/>
              <w:ind w:left="187"/>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617" w:type="dxa"/>
            <w:vMerge w:val="restart"/>
            <w:tcBorders>
              <w:bottom w:val="nil"/>
            </w:tcBorders>
            <w:vAlign w:val="top"/>
          </w:tcPr>
          <w:p w14:paraId="4D099719">
            <w:pPr>
              <w:spacing w:line="455" w:lineRule="auto"/>
              <w:rPr>
                <w:rFonts w:ascii="Arial"/>
                <w:sz w:val="21"/>
              </w:rPr>
            </w:pPr>
          </w:p>
          <w:p w14:paraId="6BB65B40">
            <w:pPr>
              <w:spacing w:before="58" w:line="195" w:lineRule="auto"/>
              <w:ind w:left="500"/>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004</w:t>
            </w:r>
          </w:p>
        </w:tc>
        <w:tc>
          <w:tcPr>
            <w:tcW w:w="1562" w:type="dxa"/>
            <w:vAlign w:val="top"/>
          </w:tcPr>
          <w:p w14:paraId="60979451">
            <w:pPr>
              <w:pStyle w:val="6"/>
              <w:spacing w:before="50" w:line="217" w:lineRule="auto"/>
              <w:ind w:left="470"/>
              <w:rPr>
                <w:sz w:val="20"/>
                <w:szCs w:val="20"/>
              </w:rPr>
            </w:pPr>
            <w:r>
              <w:rPr>
                <w:spacing w:val="7"/>
                <w:sz w:val="20"/>
                <w:szCs w:val="20"/>
              </w:rPr>
              <w:t>颗粒物</w:t>
            </w:r>
          </w:p>
        </w:tc>
        <w:tc>
          <w:tcPr>
            <w:tcW w:w="1897" w:type="dxa"/>
            <w:vAlign w:val="top"/>
          </w:tcPr>
          <w:p w14:paraId="7D624F59">
            <w:pPr>
              <w:spacing w:before="86" w:line="195" w:lineRule="auto"/>
              <w:ind w:left="73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18.23</w:t>
            </w:r>
          </w:p>
        </w:tc>
        <w:tc>
          <w:tcPr>
            <w:tcW w:w="1859" w:type="dxa"/>
            <w:vAlign w:val="top"/>
          </w:tcPr>
          <w:p w14:paraId="71370025">
            <w:pPr>
              <w:spacing w:before="86" w:line="195" w:lineRule="auto"/>
              <w:ind w:left="7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6.38</w:t>
            </w:r>
          </w:p>
        </w:tc>
        <w:tc>
          <w:tcPr>
            <w:tcW w:w="1733" w:type="dxa"/>
            <w:tcBorders>
              <w:right w:val="nil"/>
            </w:tcBorders>
            <w:vAlign w:val="top"/>
          </w:tcPr>
          <w:p w14:paraId="38C14824">
            <w:pPr>
              <w:spacing w:before="86" w:line="195" w:lineRule="auto"/>
              <w:ind w:left="6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51.06</w:t>
            </w:r>
          </w:p>
        </w:tc>
      </w:tr>
      <w:tr w14:paraId="233333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434" w:type="dxa"/>
            <w:vMerge w:val="continue"/>
            <w:tcBorders>
              <w:top w:val="nil"/>
              <w:left w:val="nil"/>
              <w:bottom w:val="nil"/>
            </w:tcBorders>
            <w:vAlign w:val="top"/>
          </w:tcPr>
          <w:p w14:paraId="401CF6FE">
            <w:pPr>
              <w:rPr>
                <w:rFonts w:ascii="Arial"/>
                <w:sz w:val="21"/>
              </w:rPr>
            </w:pPr>
          </w:p>
        </w:tc>
        <w:tc>
          <w:tcPr>
            <w:tcW w:w="1617" w:type="dxa"/>
            <w:vMerge w:val="continue"/>
            <w:tcBorders>
              <w:top w:val="nil"/>
              <w:bottom w:val="nil"/>
            </w:tcBorders>
            <w:vAlign w:val="top"/>
          </w:tcPr>
          <w:p w14:paraId="6AA2C147">
            <w:pPr>
              <w:rPr>
                <w:rFonts w:ascii="Arial"/>
                <w:sz w:val="21"/>
              </w:rPr>
            </w:pPr>
          </w:p>
        </w:tc>
        <w:tc>
          <w:tcPr>
            <w:tcW w:w="1562" w:type="dxa"/>
            <w:vAlign w:val="top"/>
          </w:tcPr>
          <w:p w14:paraId="5B3A1F53">
            <w:pPr>
              <w:pStyle w:val="6"/>
              <w:spacing w:before="46" w:line="216" w:lineRule="auto"/>
              <w:ind w:left="157"/>
              <w:rPr>
                <w:sz w:val="20"/>
                <w:szCs w:val="20"/>
              </w:rPr>
            </w:pPr>
            <w:r>
              <w:rPr>
                <w:spacing w:val="8"/>
                <w:sz w:val="20"/>
                <w:szCs w:val="20"/>
              </w:rPr>
              <w:t>锰及其化合物</w:t>
            </w:r>
          </w:p>
        </w:tc>
        <w:tc>
          <w:tcPr>
            <w:tcW w:w="1897" w:type="dxa"/>
            <w:vAlign w:val="top"/>
          </w:tcPr>
          <w:p w14:paraId="55D4B711">
            <w:pPr>
              <w:spacing w:before="83" w:line="195" w:lineRule="auto"/>
              <w:ind w:left="7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5.01</w:t>
            </w:r>
          </w:p>
        </w:tc>
        <w:tc>
          <w:tcPr>
            <w:tcW w:w="1859" w:type="dxa"/>
            <w:vAlign w:val="top"/>
          </w:tcPr>
          <w:p w14:paraId="63AC3671">
            <w:pPr>
              <w:spacing w:before="83" w:line="195" w:lineRule="auto"/>
              <w:ind w:left="76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1.75</w:t>
            </w:r>
          </w:p>
        </w:tc>
        <w:tc>
          <w:tcPr>
            <w:tcW w:w="1733" w:type="dxa"/>
            <w:tcBorders>
              <w:right w:val="nil"/>
            </w:tcBorders>
            <w:vAlign w:val="top"/>
          </w:tcPr>
          <w:p w14:paraId="0A794C2C">
            <w:pPr>
              <w:spacing w:before="83" w:line="195" w:lineRule="auto"/>
              <w:ind w:left="65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14.02</w:t>
            </w:r>
          </w:p>
        </w:tc>
      </w:tr>
      <w:tr w14:paraId="7E799A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2" w:hRule="atLeast"/>
        </w:trPr>
        <w:tc>
          <w:tcPr>
            <w:tcW w:w="434" w:type="dxa"/>
            <w:vMerge w:val="continue"/>
            <w:tcBorders>
              <w:top w:val="nil"/>
              <w:left w:val="nil"/>
              <w:bottom w:val="nil"/>
            </w:tcBorders>
            <w:vAlign w:val="top"/>
          </w:tcPr>
          <w:p w14:paraId="5EC76F3A">
            <w:pPr>
              <w:rPr>
                <w:rFonts w:ascii="Arial"/>
                <w:sz w:val="21"/>
              </w:rPr>
            </w:pPr>
          </w:p>
        </w:tc>
        <w:tc>
          <w:tcPr>
            <w:tcW w:w="1617" w:type="dxa"/>
            <w:vMerge w:val="continue"/>
            <w:tcBorders>
              <w:top w:val="nil"/>
              <w:bottom w:val="nil"/>
            </w:tcBorders>
            <w:vAlign w:val="top"/>
          </w:tcPr>
          <w:p w14:paraId="18C80D3A">
            <w:pPr>
              <w:rPr>
                <w:rFonts w:ascii="Arial"/>
                <w:sz w:val="21"/>
              </w:rPr>
            </w:pPr>
          </w:p>
        </w:tc>
        <w:tc>
          <w:tcPr>
            <w:tcW w:w="1562" w:type="dxa"/>
            <w:vAlign w:val="top"/>
          </w:tcPr>
          <w:p w14:paraId="62157EAC">
            <w:pPr>
              <w:spacing w:before="70" w:line="189" w:lineRule="auto"/>
              <w:ind w:left="623"/>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1897" w:type="dxa"/>
            <w:vAlign w:val="top"/>
          </w:tcPr>
          <w:p w14:paraId="2BB0BD57">
            <w:pPr>
              <w:spacing w:before="70" w:line="189" w:lineRule="auto"/>
              <w:ind w:left="7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23.70</w:t>
            </w:r>
          </w:p>
        </w:tc>
        <w:tc>
          <w:tcPr>
            <w:tcW w:w="1859" w:type="dxa"/>
            <w:vAlign w:val="top"/>
          </w:tcPr>
          <w:p w14:paraId="7305E313">
            <w:pPr>
              <w:spacing w:before="70" w:line="189" w:lineRule="auto"/>
              <w:ind w:left="75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8.29</w:t>
            </w:r>
          </w:p>
        </w:tc>
        <w:tc>
          <w:tcPr>
            <w:tcW w:w="1733" w:type="dxa"/>
            <w:tcBorders>
              <w:right w:val="nil"/>
            </w:tcBorders>
            <w:vAlign w:val="top"/>
          </w:tcPr>
          <w:p w14:paraId="66927B09">
            <w:pPr>
              <w:spacing w:before="70" w:line="189" w:lineRule="auto"/>
              <w:ind w:left="6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66.35</w:t>
            </w:r>
          </w:p>
        </w:tc>
      </w:tr>
      <w:tr w14:paraId="3D90B6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1" w:hRule="atLeast"/>
        </w:trPr>
        <w:tc>
          <w:tcPr>
            <w:tcW w:w="434" w:type="dxa"/>
            <w:vMerge w:val="continue"/>
            <w:tcBorders>
              <w:top w:val="nil"/>
              <w:left w:val="nil"/>
            </w:tcBorders>
            <w:vAlign w:val="top"/>
          </w:tcPr>
          <w:p w14:paraId="1887E643">
            <w:pPr>
              <w:rPr>
                <w:rFonts w:ascii="Arial"/>
                <w:sz w:val="21"/>
              </w:rPr>
            </w:pPr>
          </w:p>
        </w:tc>
        <w:tc>
          <w:tcPr>
            <w:tcW w:w="1617" w:type="dxa"/>
            <w:vMerge w:val="continue"/>
            <w:tcBorders>
              <w:top w:val="nil"/>
            </w:tcBorders>
            <w:vAlign w:val="top"/>
          </w:tcPr>
          <w:p w14:paraId="6E75DC62">
            <w:pPr>
              <w:rPr>
                <w:rFonts w:ascii="Arial"/>
                <w:sz w:val="21"/>
              </w:rPr>
            </w:pPr>
          </w:p>
        </w:tc>
        <w:tc>
          <w:tcPr>
            <w:tcW w:w="1562" w:type="dxa"/>
            <w:vAlign w:val="top"/>
          </w:tcPr>
          <w:p w14:paraId="1CBBACFE">
            <w:pPr>
              <w:spacing w:before="67" w:line="192" w:lineRule="auto"/>
              <w:ind w:left="57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897" w:type="dxa"/>
            <w:vAlign w:val="top"/>
          </w:tcPr>
          <w:p w14:paraId="22412F76">
            <w:pPr>
              <w:spacing w:before="67" w:line="191" w:lineRule="auto"/>
              <w:ind w:left="6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118.67</w:t>
            </w:r>
          </w:p>
        </w:tc>
        <w:tc>
          <w:tcPr>
            <w:tcW w:w="1859" w:type="dxa"/>
            <w:vAlign w:val="top"/>
          </w:tcPr>
          <w:p w14:paraId="712833FE">
            <w:pPr>
              <w:spacing w:before="67" w:line="191" w:lineRule="auto"/>
              <w:ind w:left="6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41.53</w:t>
            </w:r>
          </w:p>
        </w:tc>
        <w:tc>
          <w:tcPr>
            <w:tcW w:w="1733" w:type="dxa"/>
            <w:tcBorders>
              <w:right w:val="nil"/>
            </w:tcBorders>
            <w:vAlign w:val="top"/>
          </w:tcPr>
          <w:p w14:paraId="1F10D481">
            <w:pPr>
              <w:spacing w:before="67" w:line="191" w:lineRule="auto"/>
              <w:ind w:left="58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332.27</w:t>
            </w:r>
          </w:p>
        </w:tc>
      </w:tr>
      <w:tr w14:paraId="76BE97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 w:hRule="atLeast"/>
        </w:trPr>
        <w:tc>
          <w:tcPr>
            <w:tcW w:w="434" w:type="dxa"/>
            <w:vMerge w:val="restart"/>
            <w:tcBorders>
              <w:left w:val="nil"/>
              <w:bottom w:val="nil"/>
            </w:tcBorders>
            <w:vAlign w:val="top"/>
          </w:tcPr>
          <w:p w14:paraId="25FAC0F0">
            <w:pPr>
              <w:spacing w:line="280" w:lineRule="auto"/>
              <w:rPr>
                <w:rFonts w:ascii="Arial"/>
                <w:sz w:val="21"/>
              </w:rPr>
            </w:pPr>
          </w:p>
          <w:p w14:paraId="3FD61419">
            <w:pPr>
              <w:spacing w:line="281" w:lineRule="auto"/>
              <w:rPr>
                <w:rFonts w:ascii="Arial"/>
                <w:sz w:val="21"/>
              </w:rPr>
            </w:pPr>
          </w:p>
          <w:p w14:paraId="36392E12">
            <w:pPr>
              <w:spacing w:before="57" w:line="195" w:lineRule="auto"/>
              <w:ind w:left="167"/>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617" w:type="dxa"/>
            <w:vMerge w:val="restart"/>
            <w:tcBorders>
              <w:bottom w:val="nil"/>
            </w:tcBorders>
            <w:vAlign w:val="top"/>
          </w:tcPr>
          <w:p w14:paraId="010C2CFA">
            <w:pPr>
              <w:spacing w:line="280" w:lineRule="auto"/>
              <w:rPr>
                <w:rFonts w:ascii="Arial"/>
                <w:sz w:val="21"/>
              </w:rPr>
            </w:pPr>
          </w:p>
          <w:p w14:paraId="02AB3F69">
            <w:pPr>
              <w:spacing w:line="281" w:lineRule="auto"/>
              <w:rPr>
                <w:rFonts w:ascii="Arial"/>
                <w:sz w:val="21"/>
              </w:rPr>
            </w:pPr>
          </w:p>
          <w:p w14:paraId="1B40CB67">
            <w:pPr>
              <w:spacing w:before="57" w:line="195" w:lineRule="auto"/>
              <w:ind w:left="500"/>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014</w:t>
            </w:r>
          </w:p>
        </w:tc>
        <w:tc>
          <w:tcPr>
            <w:tcW w:w="1562" w:type="dxa"/>
            <w:vAlign w:val="top"/>
          </w:tcPr>
          <w:p w14:paraId="2A152916">
            <w:pPr>
              <w:pStyle w:val="6"/>
              <w:spacing w:before="36" w:line="205" w:lineRule="auto"/>
              <w:ind w:left="470"/>
              <w:rPr>
                <w:sz w:val="20"/>
                <w:szCs w:val="20"/>
              </w:rPr>
            </w:pPr>
            <w:r>
              <w:rPr>
                <w:spacing w:val="7"/>
                <w:sz w:val="20"/>
                <w:szCs w:val="20"/>
              </w:rPr>
              <w:t>颗粒物</w:t>
            </w:r>
          </w:p>
        </w:tc>
        <w:tc>
          <w:tcPr>
            <w:tcW w:w="1897" w:type="dxa"/>
            <w:vAlign w:val="top"/>
          </w:tcPr>
          <w:p w14:paraId="28692C73">
            <w:pPr>
              <w:spacing w:before="73" w:line="194" w:lineRule="auto"/>
              <w:ind w:left="7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2.59</w:t>
            </w:r>
          </w:p>
        </w:tc>
        <w:tc>
          <w:tcPr>
            <w:tcW w:w="1859" w:type="dxa"/>
            <w:vAlign w:val="top"/>
          </w:tcPr>
          <w:p w14:paraId="0EE9C0B7">
            <w:pPr>
              <w:spacing w:before="73" w:line="194" w:lineRule="auto"/>
              <w:ind w:left="7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0.58</w:t>
            </w:r>
          </w:p>
        </w:tc>
        <w:tc>
          <w:tcPr>
            <w:tcW w:w="1733" w:type="dxa"/>
            <w:tcBorders>
              <w:right w:val="nil"/>
            </w:tcBorders>
            <w:vAlign w:val="top"/>
          </w:tcPr>
          <w:p w14:paraId="4295ECC1">
            <w:pPr>
              <w:spacing w:before="73" w:line="194" w:lineRule="auto"/>
              <w:ind w:left="68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4.61</w:t>
            </w:r>
          </w:p>
        </w:tc>
      </w:tr>
      <w:tr w14:paraId="0B5260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 w:hRule="atLeast"/>
        </w:trPr>
        <w:tc>
          <w:tcPr>
            <w:tcW w:w="434" w:type="dxa"/>
            <w:vMerge w:val="continue"/>
            <w:tcBorders>
              <w:top w:val="nil"/>
              <w:left w:val="nil"/>
              <w:bottom w:val="nil"/>
            </w:tcBorders>
            <w:vAlign w:val="top"/>
          </w:tcPr>
          <w:p w14:paraId="1E8688AC">
            <w:pPr>
              <w:rPr>
                <w:rFonts w:ascii="Arial"/>
                <w:sz w:val="21"/>
              </w:rPr>
            </w:pPr>
          </w:p>
        </w:tc>
        <w:tc>
          <w:tcPr>
            <w:tcW w:w="1617" w:type="dxa"/>
            <w:vMerge w:val="continue"/>
            <w:tcBorders>
              <w:top w:val="nil"/>
              <w:bottom w:val="nil"/>
            </w:tcBorders>
            <w:vAlign w:val="top"/>
          </w:tcPr>
          <w:p w14:paraId="66ECB1D4">
            <w:pPr>
              <w:rPr>
                <w:rFonts w:ascii="Arial"/>
                <w:sz w:val="21"/>
              </w:rPr>
            </w:pPr>
          </w:p>
        </w:tc>
        <w:tc>
          <w:tcPr>
            <w:tcW w:w="1562" w:type="dxa"/>
            <w:vAlign w:val="top"/>
          </w:tcPr>
          <w:p w14:paraId="098431AF">
            <w:pPr>
              <w:pStyle w:val="6"/>
              <w:spacing w:before="39" w:line="203" w:lineRule="auto"/>
              <w:ind w:left="157"/>
              <w:rPr>
                <w:sz w:val="20"/>
                <w:szCs w:val="20"/>
              </w:rPr>
            </w:pPr>
            <w:r>
              <w:rPr>
                <w:spacing w:val="8"/>
                <w:sz w:val="20"/>
                <w:szCs w:val="20"/>
              </w:rPr>
              <w:t>锰及其化合物</w:t>
            </w:r>
          </w:p>
        </w:tc>
        <w:tc>
          <w:tcPr>
            <w:tcW w:w="1897" w:type="dxa"/>
            <w:vAlign w:val="top"/>
          </w:tcPr>
          <w:p w14:paraId="4F9717CA">
            <w:pPr>
              <w:spacing w:before="75" w:line="192" w:lineRule="auto"/>
              <w:ind w:left="7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0.22</w:t>
            </w:r>
          </w:p>
        </w:tc>
        <w:tc>
          <w:tcPr>
            <w:tcW w:w="1859" w:type="dxa"/>
            <w:vAlign w:val="top"/>
          </w:tcPr>
          <w:p w14:paraId="16929C6A">
            <w:pPr>
              <w:spacing w:before="75" w:line="192" w:lineRule="auto"/>
              <w:ind w:left="69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0.048</w:t>
            </w:r>
          </w:p>
        </w:tc>
        <w:tc>
          <w:tcPr>
            <w:tcW w:w="1733" w:type="dxa"/>
            <w:tcBorders>
              <w:right w:val="nil"/>
            </w:tcBorders>
            <w:vAlign w:val="top"/>
          </w:tcPr>
          <w:p w14:paraId="34EA8A35">
            <w:pPr>
              <w:spacing w:before="75" w:line="192" w:lineRule="auto"/>
              <w:ind w:left="6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0.38</w:t>
            </w:r>
          </w:p>
        </w:tc>
      </w:tr>
      <w:tr w14:paraId="4CB9C9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 w:hRule="atLeast"/>
        </w:trPr>
        <w:tc>
          <w:tcPr>
            <w:tcW w:w="434" w:type="dxa"/>
            <w:vMerge w:val="continue"/>
            <w:tcBorders>
              <w:top w:val="nil"/>
              <w:left w:val="nil"/>
              <w:bottom w:val="nil"/>
            </w:tcBorders>
            <w:vAlign w:val="top"/>
          </w:tcPr>
          <w:p w14:paraId="2B999098">
            <w:pPr>
              <w:rPr>
                <w:rFonts w:ascii="Arial"/>
                <w:sz w:val="21"/>
              </w:rPr>
            </w:pPr>
          </w:p>
        </w:tc>
        <w:tc>
          <w:tcPr>
            <w:tcW w:w="1617" w:type="dxa"/>
            <w:vMerge w:val="continue"/>
            <w:tcBorders>
              <w:top w:val="nil"/>
              <w:bottom w:val="nil"/>
            </w:tcBorders>
            <w:vAlign w:val="top"/>
          </w:tcPr>
          <w:p w14:paraId="40642A55">
            <w:pPr>
              <w:rPr>
                <w:rFonts w:ascii="Arial"/>
                <w:sz w:val="21"/>
              </w:rPr>
            </w:pPr>
          </w:p>
        </w:tc>
        <w:tc>
          <w:tcPr>
            <w:tcW w:w="1562" w:type="dxa"/>
            <w:vAlign w:val="top"/>
          </w:tcPr>
          <w:p w14:paraId="2EFA1D93">
            <w:pPr>
              <w:spacing w:before="74" w:line="193" w:lineRule="auto"/>
              <w:ind w:left="623"/>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1897" w:type="dxa"/>
            <w:vAlign w:val="top"/>
          </w:tcPr>
          <w:p w14:paraId="39A0B6AF">
            <w:pPr>
              <w:spacing w:before="74" w:line="193" w:lineRule="auto"/>
              <w:ind w:left="73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19.89</w:t>
            </w:r>
          </w:p>
        </w:tc>
        <w:tc>
          <w:tcPr>
            <w:tcW w:w="1859" w:type="dxa"/>
            <w:vAlign w:val="top"/>
          </w:tcPr>
          <w:p w14:paraId="0267F088">
            <w:pPr>
              <w:spacing w:before="74" w:line="193" w:lineRule="auto"/>
              <w:ind w:left="74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4.42</w:t>
            </w:r>
          </w:p>
        </w:tc>
        <w:tc>
          <w:tcPr>
            <w:tcW w:w="1733" w:type="dxa"/>
            <w:tcBorders>
              <w:right w:val="nil"/>
            </w:tcBorders>
            <w:vAlign w:val="top"/>
          </w:tcPr>
          <w:p w14:paraId="15AD551C">
            <w:pPr>
              <w:spacing w:before="74" w:line="193" w:lineRule="auto"/>
              <w:ind w:left="6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35.37</w:t>
            </w:r>
          </w:p>
        </w:tc>
      </w:tr>
      <w:tr w14:paraId="408BA7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434" w:type="dxa"/>
            <w:vMerge w:val="continue"/>
            <w:tcBorders>
              <w:top w:val="nil"/>
              <w:left w:val="nil"/>
              <w:bottom w:val="nil"/>
            </w:tcBorders>
            <w:vAlign w:val="top"/>
          </w:tcPr>
          <w:p w14:paraId="1B75C758">
            <w:pPr>
              <w:rPr>
                <w:rFonts w:ascii="Arial"/>
                <w:sz w:val="21"/>
              </w:rPr>
            </w:pPr>
          </w:p>
        </w:tc>
        <w:tc>
          <w:tcPr>
            <w:tcW w:w="1617" w:type="dxa"/>
            <w:vMerge w:val="continue"/>
            <w:tcBorders>
              <w:top w:val="nil"/>
              <w:bottom w:val="nil"/>
            </w:tcBorders>
            <w:vAlign w:val="top"/>
          </w:tcPr>
          <w:p w14:paraId="5C2B0F06">
            <w:pPr>
              <w:rPr>
                <w:rFonts w:ascii="Arial"/>
                <w:sz w:val="21"/>
              </w:rPr>
            </w:pPr>
          </w:p>
        </w:tc>
        <w:tc>
          <w:tcPr>
            <w:tcW w:w="1562" w:type="dxa"/>
            <w:vAlign w:val="top"/>
          </w:tcPr>
          <w:p w14:paraId="374A066A">
            <w:pPr>
              <w:spacing w:before="76" w:line="192" w:lineRule="auto"/>
              <w:ind w:left="590"/>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x</w:t>
            </w:r>
          </w:p>
        </w:tc>
        <w:tc>
          <w:tcPr>
            <w:tcW w:w="1897" w:type="dxa"/>
            <w:vAlign w:val="top"/>
          </w:tcPr>
          <w:p w14:paraId="1FD7AA2F">
            <w:pPr>
              <w:spacing w:before="76" w:line="192" w:lineRule="auto"/>
              <w:ind w:left="71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77.98</w:t>
            </w:r>
          </w:p>
        </w:tc>
        <w:tc>
          <w:tcPr>
            <w:tcW w:w="1859" w:type="dxa"/>
            <w:vAlign w:val="top"/>
          </w:tcPr>
          <w:p w14:paraId="11542D97">
            <w:pPr>
              <w:spacing w:before="76" w:line="192" w:lineRule="auto"/>
              <w:ind w:left="71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17.33</w:t>
            </w:r>
          </w:p>
        </w:tc>
        <w:tc>
          <w:tcPr>
            <w:tcW w:w="1733" w:type="dxa"/>
            <w:tcBorders>
              <w:right w:val="nil"/>
            </w:tcBorders>
            <w:vAlign w:val="top"/>
          </w:tcPr>
          <w:p w14:paraId="2E1C1BFC">
            <w:pPr>
              <w:spacing w:before="76" w:line="192" w:lineRule="auto"/>
              <w:ind w:left="598"/>
              <w:rPr>
                <w:rFonts w:ascii="Times New Roman" w:hAnsi="Times New Roman" w:eastAsia="Times New Roman" w:cs="Times New Roman"/>
                <w:sz w:val="20"/>
                <w:szCs w:val="20"/>
              </w:rPr>
            </w:pPr>
            <w:r>
              <w:rPr>
                <w:rFonts w:ascii="Times New Roman" w:hAnsi="Times New Roman" w:eastAsia="Times New Roman" w:cs="Times New Roman"/>
                <w:sz w:val="20"/>
                <w:szCs w:val="20"/>
              </w:rPr>
              <w:t>138.63</w:t>
            </w:r>
          </w:p>
        </w:tc>
      </w:tr>
      <w:tr w14:paraId="3E2AC9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434" w:type="dxa"/>
            <w:vMerge w:val="continue"/>
            <w:tcBorders>
              <w:top w:val="nil"/>
              <w:left w:val="nil"/>
            </w:tcBorders>
            <w:vAlign w:val="top"/>
          </w:tcPr>
          <w:p w14:paraId="1018F13C">
            <w:pPr>
              <w:rPr>
                <w:rFonts w:ascii="Arial"/>
                <w:sz w:val="21"/>
              </w:rPr>
            </w:pPr>
          </w:p>
        </w:tc>
        <w:tc>
          <w:tcPr>
            <w:tcW w:w="1617" w:type="dxa"/>
            <w:vMerge w:val="continue"/>
            <w:tcBorders>
              <w:top w:val="nil"/>
            </w:tcBorders>
            <w:vAlign w:val="top"/>
          </w:tcPr>
          <w:p w14:paraId="7A616133">
            <w:pPr>
              <w:rPr>
                <w:rFonts w:ascii="Arial"/>
                <w:sz w:val="21"/>
              </w:rPr>
            </w:pPr>
          </w:p>
        </w:tc>
        <w:tc>
          <w:tcPr>
            <w:tcW w:w="1562" w:type="dxa"/>
            <w:vAlign w:val="top"/>
          </w:tcPr>
          <w:p w14:paraId="7B6A282F">
            <w:pPr>
              <w:spacing w:before="80" w:line="187" w:lineRule="auto"/>
              <w:ind w:left="590"/>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NH</w:t>
            </w:r>
            <w:r>
              <w:rPr>
                <w:rFonts w:ascii="Times New Roman" w:hAnsi="Times New Roman" w:eastAsia="Times New Roman" w:cs="Times New Roman"/>
                <w:spacing w:val="6"/>
                <w:position w:val="-1"/>
                <w:sz w:val="13"/>
                <w:szCs w:val="13"/>
              </w:rPr>
              <w:t>3</w:t>
            </w:r>
          </w:p>
        </w:tc>
        <w:tc>
          <w:tcPr>
            <w:tcW w:w="1897" w:type="dxa"/>
            <w:vAlign w:val="top"/>
          </w:tcPr>
          <w:p w14:paraId="1486DD21">
            <w:pPr>
              <w:spacing w:before="76" w:line="191" w:lineRule="auto"/>
              <w:ind w:left="7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c>
          <w:tcPr>
            <w:tcW w:w="1859" w:type="dxa"/>
            <w:vAlign w:val="top"/>
          </w:tcPr>
          <w:p w14:paraId="3AABA4D0">
            <w:pPr>
              <w:spacing w:before="76" w:line="191" w:lineRule="auto"/>
              <w:ind w:left="7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0.56</w:t>
            </w:r>
          </w:p>
        </w:tc>
        <w:tc>
          <w:tcPr>
            <w:tcW w:w="1733" w:type="dxa"/>
            <w:tcBorders>
              <w:right w:val="nil"/>
            </w:tcBorders>
            <w:vAlign w:val="top"/>
          </w:tcPr>
          <w:p w14:paraId="2F593E09">
            <w:pPr>
              <w:spacing w:before="76" w:line="191" w:lineRule="auto"/>
              <w:ind w:left="68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4.44</w:t>
            </w:r>
          </w:p>
        </w:tc>
      </w:tr>
      <w:tr w14:paraId="54551E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2051" w:type="dxa"/>
            <w:gridSpan w:val="2"/>
            <w:vMerge w:val="restart"/>
            <w:tcBorders>
              <w:left w:val="nil"/>
              <w:bottom w:val="nil"/>
            </w:tcBorders>
            <w:vAlign w:val="top"/>
          </w:tcPr>
          <w:p w14:paraId="6361C83B">
            <w:pPr>
              <w:spacing w:line="260" w:lineRule="auto"/>
              <w:rPr>
                <w:rFonts w:ascii="Arial"/>
                <w:sz w:val="21"/>
              </w:rPr>
            </w:pPr>
          </w:p>
          <w:p w14:paraId="31E5239F">
            <w:pPr>
              <w:spacing w:line="261" w:lineRule="auto"/>
              <w:rPr>
                <w:rFonts w:ascii="Arial"/>
                <w:sz w:val="21"/>
              </w:rPr>
            </w:pPr>
          </w:p>
          <w:p w14:paraId="4B7EEC9A">
            <w:pPr>
              <w:pStyle w:val="6"/>
              <w:spacing w:before="65" w:line="229" w:lineRule="auto"/>
              <w:ind w:left="299"/>
              <w:rPr>
                <w:sz w:val="20"/>
                <w:szCs w:val="20"/>
              </w:rPr>
            </w:pPr>
            <w:r>
              <w:rPr>
                <w:spacing w:val="8"/>
                <w:sz w:val="20"/>
                <w:szCs w:val="20"/>
              </w:rPr>
              <w:t>主要排放口合计</w:t>
            </w:r>
          </w:p>
        </w:tc>
        <w:tc>
          <w:tcPr>
            <w:tcW w:w="5318" w:type="dxa"/>
            <w:gridSpan w:val="3"/>
            <w:vAlign w:val="top"/>
          </w:tcPr>
          <w:p w14:paraId="50FB7FD1">
            <w:pPr>
              <w:pStyle w:val="6"/>
              <w:spacing w:before="40" w:line="203" w:lineRule="auto"/>
              <w:ind w:left="2347"/>
              <w:rPr>
                <w:sz w:val="20"/>
                <w:szCs w:val="20"/>
              </w:rPr>
            </w:pPr>
            <w:r>
              <w:rPr>
                <w:spacing w:val="7"/>
                <w:sz w:val="20"/>
                <w:szCs w:val="20"/>
              </w:rPr>
              <w:t>颗粒物</w:t>
            </w:r>
          </w:p>
        </w:tc>
        <w:tc>
          <w:tcPr>
            <w:tcW w:w="1733" w:type="dxa"/>
            <w:tcBorders>
              <w:right w:val="nil"/>
            </w:tcBorders>
            <w:vAlign w:val="top"/>
          </w:tcPr>
          <w:p w14:paraId="28D4C6A7">
            <w:pPr>
              <w:spacing w:before="76" w:line="192" w:lineRule="auto"/>
              <w:ind w:left="63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55.67</w:t>
            </w:r>
          </w:p>
        </w:tc>
      </w:tr>
      <w:tr w14:paraId="2BCFDB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2051" w:type="dxa"/>
            <w:gridSpan w:val="2"/>
            <w:vMerge w:val="continue"/>
            <w:tcBorders>
              <w:top w:val="nil"/>
              <w:left w:val="nil"/>
              <w:bottom w:val="nil"/>
            </w:tcBorders>
            <w:vAlign w:val="top"/>
          </w:tcPr>
          <w:p w14:paraId="7D3173F5">
            <w:pPr>
              <w:rPr>
                <w:rFonts w:ascii="Arial"/>
                <w:sz w:val="21"/>
              </w:rPr>
            </w:pPr>
          </w:p>
        </w:tc>
        <w:tc>
          <w:tcPr>
            <w:tcW w:w="5318" w:type="dxa"/>
            <w:gridSpan w:val="3"/>
            <w:vAlign w:val="top"/>
          </w:tcPr>
          <w:p w14:paraId="7D0C59EE">
            <w:pPr>
              <w:pStyle w:val="6"/>
              <w:spacing w:before="41" w:line="202" w:lineRule="auto"/>
              <w:ind w:left="2034"/>
              <w:rPr>
                <w:sz w:val="20"/>
                <w:szCs w:val="20"/>
              </w:rPr>
            </w:pPr>
            <w:r>
              <w:rPr>
                <w:spacing w:val="8"/>
                <w:sz w:val="20"/>
                <w:szCs w:val="20"/>
              </w:rPr>
              <w:t>锰及其化合物</w:t>
            </w:r>
          </w:p>
        </w:tc>
        <w:tc>
          <w:tcPr>
            <w:tcW w:w="1733" w:type="dxa"/>
            <w:tcBorders>
              <w:right w:val="nil"/>
            </w:tcBorders>
            <w:vAlign w:val="top"/>
          </w:tcPr>
          <w:p w14:paraId="5EA211BF">
            <w:pPr>
              <w:spacing w:before="76" w:line="191" w:lineRule="auto"/>
              <w:ind w:left="65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14.40</w:t>
            </w:r>
          </w:p>
        </w:tc>
      </w:tr>
      <w:tr w14:paraId="7C0522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2051" w:type="dxa"/>
            <w:gridSpan w:val="2"/>
            <w:vMerge w:val="continue"/>
            <w:tcBorders>
              <w:top w:val="nil"/>
              <w:left w:val="nil"/>
              <w:bottom w:val="nil"/>
            </w:tcBorders>
            <w:vAlign w:val="top"/>
          </w:tcPr>
          <w:p w14:paraId="54A9D940">
            <w:pPr>
              <w:rPr>
                <w:rFonts w:ascii="Arial"/>
                <w:sz w:val="21"/>
              </w:rPr>
            </w:pPr>
          </w:p>
        </w:tc>
        <w:tc>
          <w:tcPr>
            <w:tcW w:w="5318" w:type="dxa"/>
            <w:gridSpan w:val="3"/>
            <w:vAlign w:val="top"/>
          </w:tcPr>
          <w:p w14:paraId="4C65A0BE">
            <w:pPr>
              <w:spacing w:before="75" w:line="193" w:lineRule="auto"/>
              <w:ind w:left="250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733" w:type="dxa"/>
            <w:tcBorders>
              <w:right w:val="nil"/>
            </w:tcBorders>
            <w:vAlign w:val="top"/>
          </w:tcPr>
          <w:p w14:paraId="5ED8780E">
            <w:pPr>
              <w:spacing w:before="76" w:line="192" w:lineRule="auto"/>
              <w:ind w:left="598"/>
              <w:rPr>
                <w:rFonts w:ascii="Times New Roman" w:hAnsi="Times New Roman" w:eastAsia="Times New Roman" w:cs="Times New Roman"/>
                <w:sz w:val="20"/>
                <w:szCs w:val="20"/>
              </w:rPr>
            </w:pPr>
            <w:r>
              <w:rPr>
                <w:rFonts w:ascii="Times New Roman" w:hAnsi="Times New Roman" w:eastAsia="Times New Roman" w:cs="Times New Roman"/>
                <w:sz w:val="20"/>
                <w:szCs w:val="20"/>
              </w:rPr>
              <w:t>101.72</w:t>
            </w:r>
          </w:p>
        </w:tc>
      </w:tr>
      <w:tr w14:paraId="009D60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2051" w:type="dxa"/>
            <w:gridSpan w:val="2"/>
            <w:vMerge w:val="continue"/>
            <w:tcBorders>
              <w:top w:val="nil"/>
              <w:left w:val="nil"/>
              <w:bottom w:val="nil"/>
            </w:tcBorders>
            <w:vAlign w:val="top"/>
          </w:tcPr>
          <w:p w14:paraId="0FDB1841">
            <w:pPr>
              <w:rPr>
                <w:rFonts w:ascii="Arial"/>
                <w:sz w:val="21"/>
              </w:rPr>
            </w:pPr>
          </w:p>
        </w:tc>
        <w:tc>
          <w:tcPr>
            <w:tcW w:w="5318" w:type="dxa"/>
            <w:gridSpan w:val="3"/>
            <w:vAlign w:val="top"/>
          </w:tcPr>
          <w:p w14:paraId="669B822E">
            <w:pPr>
              <w:spacing w:before="76" w:line="192" w:lineRule="auto"/>
              <w:ind w:left="2467"/>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NO</w:t>
            </w:r>
            <w:r>
              <w:rPr>
                <w:rFonts w:ascii="Times New Roman" w:hAnsi="Times New Roman" w:eastAsia="Times New Roman" w:cs="Times New Roman"/>
                <w:spacing w:val="6"/>
                <w:position w:val="-1"/>
                <w:sz w:val="13"/>
                <w:szCs w:val="13"/>
              </w:rPr>
              <w:t>x</w:t>
            </w:r>
          </w:p>
        </w:tc>
        <w:tc>
          <w:tcPr>
            <w:tcW w:w="1733" w:type="dxa"/>
            <w:tcBorders>
              <w:right w:val="nil"/>
            </w:tcBorders>
            <w:vAlign w:val="top"/>
          </w:tcPr>
          <w:p w14:paraId="31CCA6D4">
            <w:pPr>
              <w:spacing w:before="76" w:line="191" w:lineRule="auto"/>
              <w:ind w:left="5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470.90</w:t>
            </w:r>
          </w:p>
        </w:tc>
      </w:tr>
      <w:tr w14:paraId="08DA20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 w:hRule="atLeast"/>
        </w:trPr>
        <w:tc>
          <w:tcPr>
            <w:tcW w:w="2051" w:type="dxa"/>
            <w:gridSpan w:val="2"/>
            <w:vMerge w:val="continue"/>
            <w:tcBorders>
              <w:top w:val="nil"/>
              <w:left w:val="nil"/>
            </w:tcBorders>
            <w:vAlign w:val="top"/>
          </w:tcPr>
          <w:p w14:paraId="3CF67F43">
            <w:pPr>
              <w:rPr>
                <w:rFonts w:ascii="Arial"/>
                <w:sz w:val="21"/>
              </w:rPr>
            </w:pPr>
          </w:p>
        </w:tc>
        <w:tc>
          <w:tcPr>
            <w:tcW w:w="5318" w:type="dxa"/>
            <w:gridSpan w:val="3"/>
            <w:vAlign w:val="top"/>
          </w:tcPr>
          <w:p w14:paraId="4B90B361">
            <w:pPr>
              <w:spacing w:before="80" w:line="191" w:lineRule="auto"/>
              <w:ind w:left="2467"/>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NH</w:t>
            </w:r>
            <w:r>
              <w:rPr>
                <w:rFonts w:ascii="Times New Roman" w:hAnsi="Times New Roman" w:eastAsia="Times New Roman" w:cs="Times New Roman"/>
                <w:spacing w:val="6"/>
                <w:position w:val="-1"/>
                <w:sz w:val="13"/>
                <w:szCs w:val="13"/>
              </w:rPr>
              <w:t>3</w:t>
            </w:r>
          </w:p>
        </w:tc>
        <w:tc>
          <w:tcPr>
            <w:tcW w:w="1733" w:type="dxa"/>
            <w:tcBorders>
              <w:right w:val="nil"/>
            </w:tcBorders>
            <w:vAlign w:val="top"/>
          </w:tcPr>
          <w:p w14:paraId="2CF5AA0F">
            <w:pPr>
              <w:spacing w:before="78" w:line="194" w:lineRule="auto"/>
              <w:ind w:left="68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4.44</w:t>
            </w:r>
          </w:p>
        </w:tc>
      </w:tr>
    </w:tbl>
    <w:p w14:paraId="0DD795F1">
      <w:pPr>
        <w:spacing w:before="48" w:line="222" w:lineRule="auto"/>
        <w:ind w:left="4038"/>
        <w:rPr>
          <w:rFonts w:ascii="宋体" w:hAnsi="宋体" w:eastAsia="宋体" w:cs="宋体"/>
          <w:sz w:val="20"/>
          <w:szCs w:val="20"/>
        </w:rPr>
      </w:pPr>
      <w:r>
        <w:rPr>
          <w:rFonts w:ascii="宋体" w:hAnsi="宋体" w:eastAsia="宋体" w:cs="宋体"/>
          <w:spacing w:val="7"/>
          <w:sz w:val="20"/>
          <w:szCs w:val="20"/>
        </w:rPr>
        <w:t>一般排放口</w:t>
      </w:r>
    </w:p>
    <w:tbl>
      <w:tblPr>
        <w:tblStyle w:val="5"/>
        <w:tblW w:w="910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34"/>
        <w:gridCol w:w="1617"/>
        <w:gridCol w:w="1562"/>
        <w:gridCol w:w="1897"/>
        <w:gridCol w:w="1859"/>
        <w:gridCol w:w="1733"/>
      </w:tblGrid>
      <w:tr w14:paraId="20035F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434" w:type="dxa"/>
            <w:vMerge w:val="restart"/>
            <w:tcBorders>
              <w:left w:val="nil"/>
              <w:bottom w:val="nil"/>
            </w:tcBorders>
            <w:vAlign w:val="top"/>
          </w:tcPr>
          <w:p w14:paraId="630CA66F">
            <w:pPr>
              <w:spacing w:line="311" w:lineRule="auto"/>
              <w:rPr>
                <w:rFonts w:ascii="Arial"/>
                <w:sz w:val="21"/>
              </w:rPr>
            </w:pPr>
          </w:p>
          <w:p w14:paraId="6A7001C8">
            <w:pPr>
              <w:spacing w:before="57" w:line="195" w:lineRule="auto"/>
              <w:ind w:left="187"/>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617" w:type="dxa"/>
            <w:vMerge w:val="restart"/>
            <w:tcBorders>
              <w:bottom w:val="nil"/>
            </w:tcBorders>
            <w:vAlign w:val="top"/>
          </w:tcPr>
          <w:p w14:paraId="1273387A">
            <w:pPr>
              <w:spacing w:line="311" w:lineRule="auto"/>
              <w:rPr>
                <w:rFonts w:ascii="Arial"/>
                <w:sz w:val="21"/>
              </w:rPr>
            </w:pPr>
          </w:p>
          <w:p w14:paraId="40AAA506">
            <w:pPr>
              <w:spacing w:before="57" w:line="195" w:lineRule="auto"/>
              <w:ind w:left="500"/>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001</w:t>
            </w:r>
          </w:p>
        </w:tc>
        <w:tc>
          <w:tcPr>
            <w:tcW w:w="1562" w:type="dxa"/>
            <w:vAlign w:val="top"/>
          </w:tcPr>
          <w:p w14:paraId="5051CFD6">
            <w:pPr>
              <w:pStyle w:val="6"/>
              <w:spacing w:before="48" w:line="218" w:lineRule="auto"/>
              <w:ind w:left="470"/>
              <w:rPr>
                <w:sz w:val="20"/>
                <w:szCs w:val="20"/>
              </w:rPr>
            </w:pPr>
            <w:r>
              <w:rPr>
                <w:spacing w:val="7"/>
                <w:sz w:val="20"/>
                <w:szCs w:val="20"/>
              </w:rPr>
              <w:t>颗粒物</w:t>
            </w:r>
          </w:p>
        </w:tc>
        <w:tc>
          <w:tcPr>
            <w:tcW w:w="1897" w:type="dxa"/>
            <w:vAlign w:val="top"/>
          </w:tcPr>
          <w:p w14:paraId="70022D70">
            <w:pPr>
              <w:spacing w:before="85" w:line="195" w:lineRule="auto"/>
              <w:ind w:left="73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15.94</w:t>
            </w:r>
          </w:p>
        </w:tc>
        <w:tc>
          <w:tcPr>
            <w:tcW w:w="1859" w:type="dxa"/>
            <w:vAlign w:val="top"/>
          </w:tcPr>
          <w:p w14:paraId="25D060D2">
            <w:pPr>
              <w:spacing w:before="85" w:line="195" w:lineRule="auto"/>
              <w:ind w:left="7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0.29</w:t>
            </w:r>
          </w:p>
        </w:tc>
        <w:tc>
          <w:tcPr>
            <w:tcW w:w="1733" w:type="dxa"/>
            <w:tcBorders>
              <w:right w:val="nil"/>
            </w:tcBorders>
            <w:vAlign w:val="top"/>
          </w:tcPr>
          <w:p w14:paraId="7D9E125E">
            <w:pPr>
              <w:spacing w:before="85" w:line="195"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2.28</w:t>
            </w:r>
          </w:p>
        </w:tc>
      </w:tr>
      <w:tr w14:paraId="71B019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434" w:type="dxa"/>
            <w:vMerge w:val="continue"/>
            <w:tcBorders>
              <w:top w:val="nil"/>
              <w:left w:val="nil"/>
              <w:bottom w:val="nil"/>
            </w:tcBorders>
            <w:vAlign w:val="top"/>
          </w:tcPr>
          <w:p w14:paraId="77B1B317">
            <w:pPr>
              <w:rPr>
                <w:rFonts w:ascii="Arial"/>
                <w:sz w:val="21"/>
              </w:rPr>
            </w:pPr>
          </w:p>
        </w:tc>
        <w:tc>
          <w:tcPr>
            <w:tcW w:w="1617" w:type="dxa"/>
            <w:vMerge w:val="continue"/>
            <w:tcBorders>
              <w:top w:val="nil"/>
              <w:bottom w:val="nil"/>
            </w:tcBorders>
            <w:vAlign w:val="top"/>
          </w:tcPr>
          <w:p w14:paraId="0E5DBA0A">
            <w:pPr>
              <w:rPr>
                <w:rFonts w:ascii="Arial"/>
                <w:sz w:val="21"/>
              </w:rPr>
            </w:pPr>
          </w:p>
        </w:tc>
        <w:tc>
          <w:tcPr>
            <w:tcW w:w="1562" w:type="dxa"/>
            <w:vAlign w:val="top"/>
          </w:tcPr>
          <w:p w14:paraId="01725794">
            <w:pPr>
              <w:spacing w:before="78" w:line="199" w:lineRule="auto"/>
              <w:ind w:left="623"/>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1897" w:type="dxa"/>
            <w:vAlign w:val="top"/>
          </w:tcPr>
          <w:p w14:paraId="2E33E06E">
            <w:pPr>
              <w:spacing w:before="77" w:line="195" w:lineRule="auto"/>
              <w:ind w:left="71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27.28</w:t>
            </w:r>
          </w:p>
        </w:tc>
        <w:tc>
          <w:tcPr>
            <w:tcW w:w="1859" w:type="dxa"/>
            <w:vAlign w:val="top"/>
          </w:tcPr>
          <w:p w14:paraId="37E6468B">
            <w:pPr>
              <w:spacing w:before="80" w:line="195" w:lineRule="auto"/>
              <w:ind w:left="7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0.36</w:t>
            </w:r>
          </w:p>
        </w:tc>
        <w:tc>
          <w:tcPr>
            <w:tcW w:w="1733" w:type="dxa"/>
            <w:tcBorders>
              <w:right w:val="nil"/>
            </w:tcBorders>
            <w:vAlign w:val="top"/>
          </w:tcPr>
          <w:p w14:paraId="6882D4D9">
            <w:pPr>
              <w:spacing w:before="80" w:line="195"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2.91</w:t>
            </w:r>
          </w:p>
        </w:tc>
      </w:tr>
      <w:tr w14:paraId="2DEC39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434" w:type="dxa"/>
            <w:vMerge w:val="continue"/>
            <w:tcBorders>
              <w:top w:val="nil"/>
              <w:left w:val="nil"/>
            </w:tcBorders>
            <w:vAlign w:val="top"/>
          </w:tcPr>
          <w:p w14:paraId="6A9B4949">
            <w:pPr>
              <w:rPr>
                <w:rFonts w:ascii="Arial"/>
                <w:sz w:val="21"/>
              </w:rPr>
            </w:pPr>
          </w:p>
        </w:tc>
        <w:tc>
          <w:tcPr>
            <w:tcW w:w="1617" w:type="dxa"/>
            <w:vMerge w:val="continue"/>
            <w:tcBorders>
              <w:top w:val="nil"/>
            </w:tcBorders>
            <w:vAlign w:val="top"/>
          </w:tcPr>
          <w:p w14:paraId="026D2B09">
            <w:pPr>
              <w:rPr>
                <w:rFonts w:ascii="Arial"/>
                <w:sz w:val="21"/>
              </w:rPr>
            </w:pPr>
          </w:p>
        </w:tc>
        <w:tc>
          <w:tcPr>
            <w:tcW w:w="1562" w:type="dxa"/>
            <w:vAlign w:val="top"/>
          </w:tcPr>
          <w:p w14:paraId="36490ACF">
            <w:pPr>
              <w:spacing w:before="77" w:line="200" w:lineRule="auto"/>
              <w:ind w:left="57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897" w:type="dxa"/>
            <w:vAlign w:val="top"/>
          </w:tcPr>
          <w:p w14:paraId="57AC47EC">
            <w:pPr>
              <w:spacing w:before="77" w:line="195" w:lineRule="auto"/>
              <w:ind w:left="73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12.13</w:t>
            </w:r>
          </w:p>
        </w:tc>
        <w:tc>
          <w:tcPr>
            <w:tcW w:w="1859" w:type="dxa"/>
            <w:vAlign w:val="top"/>
          </w:tcPr>
          <w:p w14:paraId="43FC719A">
            <w:pPr>
              <w:spacing w:before="81" w:line="195" w:lineRule="auto"/>
              <w:ind w:left="7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0.16</w:t>
            </w:r>
          </w:p>
        </w:tc>
        <w:tc>
          <w:tcPr>
            <w:tcW w:w="1733" w:type="dxa"/>
            <w:tcBorders>
              <w:right w:val="nil"/>
            </w:tcBorders>
            <w:vAlign w:val="top"/>
          </w:tcPr>
          <w:p w14:paraId="203B56B7">
            <w:pPr>
              <w:spacing w:before="81" w:line="195" w:lineRule="auto"/>
              <w:ind w:left="7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1.30</w:t>
            </w:r>
          </w:p>
        </w:tc>
      </w:tr>
      <w:tr w14:paraId="5E5E5A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434" w:type="dxa"/>
            <w:vMerge w:val="restart"/>
            <w:tcBorders>
              <w:left w:val="nil"/>
              <w:bottom w:val="nil"/>
            </w:tcBorders>
            <w:vAlign w:val="top"/>
          </w:tcPr>
          <w:p w14:paraId="4F8C98E4">
            <w:pPr>
              <w:spacing w:line="309" w:lineRule="auto"/>
              <w:rPr>
                <w:rFonts w:ascii="Arial"/>
                <w:sz w:val="21"/>
              </w:rPr>
            </w:pPr>
          </w:p>
          <w:p w14:paraId="340B36E7">
            <w:pPr>
              <w:spacing w:before="58" w:line="195" w:lineRule="auto"/>
              <w:ind w:left="167"/>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617" w:type="dxa"/>
            <w:vMerge w:val="restart"/>
            <w:tcBorders>
              <w:bottom w:val="nil"/>
            </w:tcBorders>
            <w:vAlign w:val="top"/>
          </w:tcPr>
          <w:p w14:paraId="7CC4EB4B">
            <w:pPr>
              <w:spacing w:line="309" w:lineRule="auto"/>
              <w:rPr>
                <w:rFonts w:ascii="Arial"/>
                <w:sz w:val="21"/>
              </w:rPr>
            </w:pPr>
          </w:p>
          <w:p w14:paraId="00285819">
            <w:pPr>
              <w:spacing w:before="58" w:line="195" w:lineRule="auto"/>
              <w:ind w:left="500"/>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002</w:t>
            </w:r>
          </w:p>
        </w:tc>
        <w:tc>
          <w:tcPr>
            <w:tcW w:w="1562" w:type="dxa"/>
            <w:vAlign w:val="top"/>
          </w:tcPr>
          <w:p w14:paraId="4CD734AD">
            <w:pPr>
              <w:pStyle w:val="6"/>
              <w:spacing w:before="50" w:line="213" w:lineRule="auto"/>
              <w:ind w:left="470"/>
              <w:rPr>
                <w:sz w:val="20"/>
                <w:szCs w:val="20"/>
              </w:rPr>
            </w:pPr>
            <w:r>
              <w:rPr>
                <w:spacing w:val="7"/>
                <w:sz w:val="20"/>
                <w:szCs w:val="20"/>
              </w:rPr>
              <w:t>颗粒物</w:t>
            </w:r>
          </w:p>
        </w:tc>
        <w:tc>
          <w:tcPr>
            <w:tcW w:w="1897" w:type="dxa"/>
            <w:vAlign w:val="top"/>
          </w:tcPr>
          <w:p w14:paraId="47D25E5E">
            <w:pPr>
              <w:spacing w:before="85" w:line="195" w:lineRule="auto"/>
              <w:ind w:left="73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15.17</w:t>
            </w:r>
          </w:p>
        </w:tc>
        <w:tc>
          <w:tcPr>
            <w:tcW w:w="1859" w:type="dxa"/>
            <w:vAlign w:val="top"/>
          </w:tcPr>
          <w:p w14:paraId="7428994F">
            <w:pPr>
              <w:spacing w:before="85" w:line="195" w:lineRule="auto"/>
              <w:ind w:left="75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3.</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11</w:t>
            </w:r>
          </w:p>
        </w:tc>
        <w:tc>
          <w:tcPr>
            <w:tcW w:w="1733" w:type="dxa"/>
            <w:tcBorders>
              <w:right w:val="nil"/>
            </w:tcBorders>
            <w:vAlign w:val="top"/>
          </w:tcPr>
          <w:p w14:paraId="2BCCDA34">
            <w:pPr>
              <w:spacing w:before="85" w:line="195" w:lineRule="auto"/>
              <w:ind w:left="63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24.88</w:t>
            </w:r>
          </w:p>
        </w:tc>
      </w:tr>
      <w:tr w14:paraId="408170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434" w:type="dxa"/>
            <w:vMerge w:val="continue"/>
            <w:tcBorders>
              <w:top w:val="nil"/>
              <w:left w:val="nil"/>
              <w:bottom w:val="nil"/>
            </w:tcBorders>
            <w:vAlign w:val="top"/>
          </w:tcPr>
          <w:p w14:paraId="14630132">
            <w:pPr>
              <w:rPr>
                <w:rFonts w:ascii="Arial"/>
                <w:sz w:val="21"/>
              </w:rPr>
            </w:pPr>
          </w:p>
        </w:tc>
        <w:tc>
          <w:tcPr>
            <w:tcW w:w="1617" w:type="dxa"/>
            <w:vMerge w:val="continue"/>
            <w:tcBorders>
              <w:top w:val="nil"/>
              <w:bottom w:val="nil"/>
            </w:tcBorders>
            <w:vAlign w:val="top"/>
          </w:tcPr>
          <w:p w14:paraId="4CFF466B">
            <w:pPr>
              <w:rPr>
                <w:rFonts w:ascii="Arial"/>
                <w:sz w:val="21"/>
              </w:rPr>
            </w:pPr>
          </w:p>
        </w:tc>
        <w:tc>
          <w:tcPr>
            <w:tcW w:w="1562" w:type="dxa"/>
            <w:vAlign w:val="top"/>
          </w:tcPr>
          <w:p w14:paraId="74D9B0E8">
            <w:pPr>
              <w:spacing w:before="80" w:line="197" w:lineRule="auto"/>
              <w:ind w:left="623"/>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1897" w:type="dxa"/>
            <w:vAlign w:val="top"/>
          </w:tcPr>
          <w:p w14:paraId="3206FE86">
            <w:pPr>
              <w:spacing w:before="80" w:line="195" w:lineRule="auto"/>
              <w:ind w:left="7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2.88</w:t>
            </w:r>
          </w:p>
        </w:tc>
        <w:tc>
          <w:tcPr>
            <w:tcW w:w="1859" w:type="dxa"/>
            <w:vAlign w:val="top"/>
          </w:tcPr>
          <w:p w14:paraId="75376C46">
            <w:pPr>
              <w:spacing w:before="85" w:line="192" w:lineRule="auto"/>
              <w:ind w:left="7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0.59</w:t>
            </w:r>
          </w:p>
        </w:tc>
        <w:tc>
          <w:tcPr>
            <w:tcW w:w="1733" w:type="dxa"/>
            <w:tcBorders>
              <w:right w:val="nil"/>
            </w:tcBorders>
            <w:vAlign w:val="top"/>
          </w:tcPr>
          <w:p w14:paraId="72AD1F98">
            <w:pPr>
              <w:spacing w:before="85" w:line="192" w:lineRule="auto"/>
              <w:ind w:left="68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4.71</w:t>
            </w:r>
          </w:p>
        </w:tc>
      </w:tr>
      <w:tr w14:paraId="169464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434" w:type="dxa"/>
            <w:vMerge w:val="continue"/>
            <w:tcBorders>
              <w:top w:val="nil"/>
              <w:left w:val="nil"/>
            </w:tcBorders>
            <w:vAlign w:val="top"/>
          </w:tcPr>
          <w:p w14:paraId="2D39A658">
            <w:pPr>
              <w:rPr>
                <w:rFonts w:ascii="Arial"/>
                <w:sz w:val="21"/>
              </w:rPr>
            </w:pPr>
          </w:p>
        </w:tc>
        <w:tc>
          <w:tcPr>
            <w:tcW w:w="1617" w:type="dxa"/>
            <w:vMerge w:val="continue"/>
            <w:tcBorders>
              <w:top w:val="nil"/>
            </w:tcBorders>
            <w:vAlign w:val="top"/>
          </w:tcPr>
          <w:p w14:paraId="6DD3C78A">
            <w:pPr>
              <w:rPr>
                <w:rFonts w:ascii="Arial"/>
                <w:sz w:val="21"/>
              </w:rPr>
            </w:pPr>
          </w:p>
        </w:tc>
        <w:tc>
          <w:tcPr>
            <w:tcW w:w="1562" w:type="dxa"/>
            <w:vAlign w:val="top"/>
          </w:tcPr>
          <w:p w14:paraId="22CF418B">
            <w:pPr>
              <w:spacing w:before="82" w:line="195" w:lineRule="auto"/>
              <w:ind w:left="57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897" w:type="dxa"/>
            <w:vAlign w:val="top"/>
          </w:tcPr>
          <w:p w14:paraId="5D431582">
            <w:pPr>
              <w:spacing w:before="81" w:line="195" w:lineRule="auto"/>
              <w:ind w:left="7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3.41</w:t>
            </w:r>
          </w:p>
        </w:tc>
        <w:tc>
          <w:tcPr>
            <w:tcW w:w="1859" w:type="dxa"/>
            <w:vAlign w:val="top"/>
          </w:tcPr>
          <w:p w14:paraId="67B62D08">
            <w:pPr>
              <w:spacing w:before="85" w:line="192" w:lineRule="auto"/>
              <w:ind w:left="7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0.70</w:t>
            </w:r>
          </w:p>
        </w:tc>
        <w:tc>
          <w:tcPr>
            <w:tcW w:w="1733" w:type="dxa"/>
            <w:tcBorders>
              <w:right w:val="nil"/>
            </w:tcBorders>
            <w:vAlign w:val="top"/>
          </w:tcPr>
          <w:p w14:paraId="4A9B9B82">
            <w:pPr>
              <w:spacing w:before="85" w:line="192" w:lineRule="auto"/>
              <w:ind w:left="6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5.60</w:t>
            </w:r>
          </w:p>
        </w:tc>
      </w:tr>
      <w:tr w14:paraId="465361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434" w:type="dxa"/>
            <w:vMerge w:val="restart"/>
            <w:tcBorders>
              <w:left w:val="nil"/>
              <w:bottom w:val="nil"/>
            </w:tcBorders>
            <w:vAlign w:val="top"/>
          </w:tcPr>
          <w:p w14:paraId="45EB89FB">
            <w:pPr>
              <w:spacing w:before="237" w:line="195" w:lineRule="auto"/>
              <w:ind w:left="171"/>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1617" w:type="dxa"/>
            <w:vMerge w:val="restart"/>
            <w:tcBorders>
              <w:bottom w:val="nil"/>
            </w:tcBorders>
            <w:vAlign w:val="top"/>
          </w:tcPr>
          <w:p w14:paraId="40CE0988">
            <w:pPr>
              <w:spacing w:before="237" w:line="195" w:lineRule="auto"/>
              <w:ind w:left="500"/>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003</w:t>
            </w:r>
          </w:p>
        </w:tc>
        <w:tc>
          <w:tcPr>
            <w:tcW w:w="1562" w:type="dxa"/>
            <w:vAlign w:val="top"/>
          </w:tcPr>
          <w:p w14:paraId="508B2FDB">
            <w:pPr>
              <w:pStyle w:val="6"/>
              <w:spacing w:before="52" w:line="211" w:lineRule="auto"/>
              <w:ind w:left="470"/>
              <w:rPr>
                <w:sz w:val="20"/>
                <w:szCs w:val="20"/>
              </w:rPr>
            </w:pPr>
            <w:r>
              <w:rPr>
                <w:spacing w:val="7"/>
                <w:sz w:val="20"/>
                <w:szCs w:val="20"/>
              </w:rPr>
              <w:t>颗粒物</w:t>
            </w:r>
          </w:p>
        </w:tc>
        <w:tc>
          <w:tcPr>
            <w:tcW w:w="1897" w:type="dxa"/>
            <w:vAlign w:val="top"/>
          </w:tcPr>
          <w:p w14:paraId="4568B567">
            <w:pPr>
              <w:spacing w:before="88" w:line="195" w:lineRule="auto"/>
              <w:ind w:left="73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15.70</w:t>
            </w:r>
          </w:p>
        </w:tc>
        <w:tc>
          <w:tcPr>
            <w:tcW w:w="1859" w:type="dxa"/>
            <w:vAlign w:val="top"/>
          </w:tcPr>
          <w:p w14:paraId="3B607A53">
            <w:pPr>
              <w:spacing w:before="88" w:line="195" w:lineRule="auto"/>
              <w:ind w:left="7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0.39</w:t>
            </w:r>
          </w:p>
        </w:tc>
        <w:tc>
          <w:tcPr>
            <w:tcW w:w="1733" w:type="dxa"/>
            <w:tcBorders>
              <w:right w:val="nil"/>
            </w:tcBorders>
            <w:vAlign w:val="top"/>
          </w:tcPr>
          <w:p w14:paraId="21EE28DD">
            <w:pPr>
              <w:spacing w:before="88" w:line="195" w:lineRule="auto"/>
              <w:ind w:left="68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3.</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14</w:t>
            </w:r>
          </w:p>
        </w:tc>
      </w:tr>
      <w:tr w14:paraId="5E433B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434" w:type="dxa"/>
            <w:vMerge w:val="continue"/>
            <w:tcBorders>
              <w:top w:val="nil"/>
              <w:left w:val="nil"/>
            </w:tcBorders>
            <w:vAlign w:val="top"/>
          </w:tcPr>
          <w:p w14:paraId="57F322AE">
            <w:pPr>
              <w:rPr>
                <w:rFonts w:ascii="Arial"/>
                <w:sz w:val="21"/>
              </w:rPr>
            </w:pPr>
          </w:p>
        </w:tc>
        <w:tc>
          <w:tcPr>
            <w:tcW w:w="1617" w:type="dxa"/>
            <w:vMerge w:val="continue"/>
            <w:tcBorders>
              <w:top w:val="nil"/>
            </w:tcBorders>
            <w:vAlign w:val="top"/>
          </w:tcPr>
          <w:p w14:paraId="3C6E7C71">
            <w:pPr>
              <w:rPr>
                <w:rFonts w:ascii="Arial"/>
                <w:sz w:val="21"/>
              </w:rPr>
            </w:pPr>
          </w:p>
        </w:tc>
        <w:tc>
          <w:tcPr>
            <w:tcW w:w="1562" w:type="dxa"/>
            <w:vAlign w:val="top"/>
          </w:tcPr>
          <w:p w14:paraId="32DDAC93">
            <w:pPr>
              <w:pStyle w:val="6"/>
              <w:spacing w:before="54" w:line="209" w:lineRule="auto"/>
              <w:ind w:left="157"/>
              <w:rPr>
                <w:sz w:val="20"/>
                <w:szCs w:val="20"/>
              </w:rPr>
            </w:pPr>
            <w:r>
              <w:rPr>
                <w:spacing w:val="8"/>
                <w:sz w:val="20"/>
                <w:szCs w:val="20"/>
              </w:rPr>
              <w:t>锰及其化合物</w:t>
            </w:r>
          </w:p>
        </w:tc>
        <w:tc>
          <w:tcPr>
            <w:tcW w:w="1897" w:type="dxa"/>
            <w:vAlign w:val="top"/>
          </w:tcPr>
          <w:p w14:paraId="74F041CC">
            <w:pPr>
              <w:spacing w:before="89" w:line="195" w:lineRule="auto"/>
              <w:ind w:left="7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2.85</w:t>
            </w:r>
          </w:p>
        </w:tc>
        <w:tc>
          <w:tcPr>
            <w:tcW w:w="1859" w:type="dxa"/>
            <w:vAlign w:val="top"/>
          </w:tcPr>
          <w:p w14:paraId="03540963">
            <w:pPr>
              <w:spacing w:before="89" w:line="195" w:lineRule="auto"/>
              <w:ind w:left="7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0.07</w:t>
            </w:r>
          </w:p>
        </w:tc>
        <w:tc>
          <w:tcPr>
            <w:tcW w:w="1733" w:type="dxa"/>
            <w:tcBorders>
              <w:right w:val="nil"/>
            </w:tcBorders>
            <w:vAlign w:val="top"/>
          </w:tcPr>
          <w:p w14:paraId="04FC7A0B">
            <w:pPr>
              <w:spacing w:before="89" w:line="195" w:lineRule="auto"/>
              <w:ind w:left="6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0.57</w:t>
            </w:r>
          </w:p>
        </w:tc>
      </w:tr>
      <w:tr w14:paraId="3F4837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434" w:type="dxa"/>
            <w:vMerge w:val="restart"/>
            <w:tcBorders>
              <w:left w:val="nil"/>
              <w:bottom w:val="nil"/>
            </w:tcBorders>
            <w:vAlign w:val="top"/>
          </w:tcPr>
          <w:p w14:paraId="3D72E39C">
            <w:pPr>
              <w:spacing w:before="240"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617" w:type="dxa"/>
            <w:vMerge w:val="restart"/>
            <w:tcBorders>
              <w:bottom w:val="nil"/>
            </w:tcBorders>
            <w:vAlign w:val="top"/>
          </w:tcPr>
          <w:p w14:paraId="30187F40">
            <w:pPr>
              <w:spacing w:before="240" w:line="195" w:lineRule="auto"/>
              <w:ind w:left="133"/>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005~</w:t>
            </w: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007</w:t>
            </w:r>
          </w:p>
        </w:tc>
        <w:tc>
          <w:tcPr>
            <w:tcW w:w="1562" w:type="dxa"/>
            <w:vAlign w:val="top"/>
          </w:tcPr>
          <w:p w14:paraId="47456E6E">
            <w:pPr>
              <w:pStyle w:val="6"/>
              <w:spacing w:before="55" w:line="208" w:lineRule="auto"/>
              <w:ind w:left="470"/>
              <w:rPr>
                <w:sz w:val="20"/>
                <w:szCs w:val="20"/>
              </w:rPr>
            </w:pPr>
            <w:r>
              <w:rPr>
                <w:spacing w:val="7"/>
                <w:sz w:val="20"/>
                <w:szCs w:val="20"/>
              </w:rPr>
              <w:t>颗粒物</w:t>
            </w:r>
          </w:p>
        </w:tc>
        <w:tc>
          <w:tcPr>
            <w:tcW w:w="1897" w:type="dxa"/>
            <w:vAlign w:val="top"/>
          </w:tcPr>
          <w:p w14:paraId="7F0D53E7">
            <w:pPr>
              <w:spacing w:before="91" w:line="195" w:lineRule="auto"/>
              <w:ind w:left="7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5.83</w:t>
            </w:r>
          </w:p>
        </w:tc>
        <w:tc>
          <w:tcPr>
            <w:tcW w:w="1859" w:type="dxa"/>
            <w:vAlign w:val="top"/>
          </w:tcPr>
          <w:p w14:paraId="4C7EDB90">
            <w:pPr>
              <w:spacing w:before="91" w:line="195" w:lineRule="auto"/>
              <w:ind w:left="6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3×0.35</w:t>
            </w:r>
          </w:p>
        </w:tc>
        <w:tc>
          <w:tcPr>
            <w:tcW w:w="1733" w:type="dxa"/>
            <w:tcBorders>
              <w:right w:val="nil"/>
            </w:tcBorders>
            <w:vAlign w:val="top"/>
          </w:tcPr>
          <w:p w14:paraId="5D7A8124">
            <w:pPr>
              <w:spacing w:before="91" w:line="195" w:lineRule="auto"/>
              <w:ind w:left="69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8.30</w:t>
            </w:r>
          </w:p>
        </w:tc>
      </w:tr>
      <w:tr w14:paraId="759509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434" w:type="dxa"/>
            <w:vMerge w:val="continue"/>
            <w:tcBorders>
              <w:top w:val="nil"/>
              <w:left w:val="nil"/>
            </w:tcBorders>
            <w:vAlign w:val="top"/>
          </w:tcPr>
          <w:p w14:paraId="461D0193">
            <w:pPr>
              <w:rPr>
                <w:rFonts w:ascii="Arial"/>
                <w:sz w:val="21"/>
              </w:rPr>
            </w:pPr>
          </w:p>
        </w:tc>
        <w:tc>
          <w:tcPr>
            <w:tcW w:w="1617" w:type="dxa"/>
            <w:vMerge w:val="continue"/>
            <w:tcBorders>
              <w:top w:val="nil"/>
            </w:tcBorders>
            <w:vAlign w:val="top"/>
          </w:tcPr>
          <w:p w14:paraId="011BD56E">
            <w:pPr>
              <w:rPr>
                <w:rFonts w:ascii="Arial"/>
                <w:sz w:val="21"/>
              </w:rPr>
            </w:pPr>
          </w:p>
        </w:tc>
        <w:tc>
          <w:tcPr>
            <w:tcW w:w="1562" w:type="dxa"/>
            <w:vAlign w:val="top"/>
          </w:tcPr>
          <w:p w14:paraId="11BBC4F8">
            <w:pPr>
              <w:pStyle w:val="6"/>
              <w:spacing w:before="56" w:line="207" w:lineRule="auto"/>
              <w:ind w:left="157"/>
              <w:rPr>
                <w:sz w:val="20"/>
                <w:szCs w:val="20"/>
              </w:rPr>
            </w:pPr>
            <w:r>
              <w:rPr>
                <w:spacing w:val="8"/>
                <w:sz w:val="20"/>
                <w:szCs w:val="20"/>
              </w:rPr>
              <w:t>锰及其化合物</w:t>
            </w:r>
          </w:p>
        </w:tc>
        <w:tc>
          <w:tcPr>
            <w:tcW w:w="1897" w:type="dxa"/>
            <w:vAlign w:val="top"/>
          </w:tcPr>
          <w:p w14:paraId="55576192">
            <w:pPr>
              <w:spacing w:before="93" w:line="195" w:lineRule="auto"/>
              <w:ind w:left="7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0.67</w:t>
            </w:r>
          </w:p>
        </w:tc>
        <w:tc>
          <w:tcPr>
            <w:tcW w:w="1859" w:type="dxa"/>
            <w:vAlign w:val="top"/>
          </w:tcPr>
          <w:p w14:paraId="09FB758D">
            <w:pPr>
              <w:spacing w:before="93" w:line="195" w:lineRule="auto"/>
              <w:ind w:left="63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3×0.04</w:t>
            </w:r>
          </w:p>
        </w:tc>
        <w:tc>
          <w:tcPr>
            <w:tcW w:w="1733" w:type="dxa"/>
            <w:tcBorders>
              <w:right w:val="nil"/>
            </w:tcBorders>
            <w:vAlign w:val="top"/>
          </w:tcPr>
          <w:p w14:paraId="2B86B6F9">
            <w:pPr>
              <w:spacing w:before="93" w:line="195" w:lineRule="auto"/>
              <w:ind w:left="6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0.87</w:t>
            </w:r>
          </w:p>
        </w:tc>
      </w:tr>
      <w:tr w14:paraId="039D71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434" w:type="dxa"/>
            <w:vMerge w:val="restart"/>
            <w:tcBorders>
              <w:left w:val="nil"/>
              <w:bottom w:val="nil"/>
            </w:tcBorders>
            <w:vAlign w:val="top"/>
          </w:tcPr>
          <w:p w14:paraId="763E9CD6">
            <w:pPr>
              <w:spacing w:before="241" w:line="195" w:lineRule="auto"/>
              <w:ind w:left="13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11</w:t>
            </w:r>
          </w:p>
        </w:tc>
        <w:tc>
          <w:tcPr>
            <w:tcW w:w="1617" w:type="dxa"/>
            <w:vMerge w:val="restart"/>
            <w:tcBorders>
              <w:bottom w:val="nil"/>
            </w:tcBorders>
            <w:vAlign w:val="top"/>
          </w:tcPr>
          <w:p w14:paraId="35C50602">
            <w:pPr>
              <w:spacing w:before="241" w:line="195" w:lineRule="auto"/>
              <w:ind w:left="133"/>
              <w:rPr>
                <w:rFonts w:ascii="Times New Roman" w:hAnsi="Times New Roman" w:eastAsia="Times New Roman" w:cs="Times New Roman"/>
                <w:sz w:val="20"/>
                <w:szCs w:val="20"/>
              </w:rPr>
            </w:pP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008~</w:t>
            </w:r>
            <w:r>
              <w:rPr>
                <w:rFonts w:ascii="Times New Roman" w:hAnsi="Times New Roman" w:eastAsia="Times New Roman" w:cs="Times New Roman"/>
                <w:sz w:val="20"/>
                <w:szCs w:val="20"/>
              </w:rPr>
              <w:t>DA</w:t>
            </w:r>
            <w:r>
              <w:rPr>
                <w:rFonts w:ascii="Times New Roman" w:hAnsi="Times New Roman" w:eastAsia="Times New Roman" w:cs="Times New Roman"/>
                <w:spacing w:val="8"/>
                <w:sz w:val="20"/>
                <w:szCs w:val="20"/>
              </w:rPr>
              <w:t>013</w:t>
            </w:r>
          </w:p>
        </w:tc>
        <w:tc>
          <w:tcPr>
            <w:tcW w:w="1562" w:type="dxa"/>
            <w:vAlign w:val="top"/>
          </w:tcPr>
          <w:p w14:paraId="48698EF8">
            <w:pPr>
              <w:pStyle w:val="6"/>
              <w:spacing w:before="58" w:line="205" w:lineRule="auto"/>
              <w:ind w:left="470"/>
              <w:rPr>
                <w:sz w:val="20"/>
                <w:szCs w:val="20"/>
              </w:rPr>
            </w:pPr>
            <w:r>
              <w:rPr>
                <w:spacing w:val="7"/>
                <w:sz w:val="20"/>
                <w:szCs w:val="20"/>
              </w:rPr>
              <w:t>颗粒物</w:t>
            </w:r>
          </w:p>
        </w:tc>
        <w:tc>
          <w:tcPr>
            <w:tcW w:w="1897" w:type="dxa"/>
            <w:vAlign w:val="top"/>
          </w:tcPr>
          <w:p w14:paraId="7A9A6642">
            <w:pPr>
              <w:spacing w:before="95" w:line="194" w:lineRule="auto"/>
              <w:ind w:left="7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6.80</w:t>
            </w:r>
          </w:p>
        </w:tc>
        <w:tc>
          <w:tcPr>
            <w:tcW w:w="1859" w:type="dxa"/>
            <w:vAlign w:val="top"/>
          </w:tcPr>
          <w:p w14:paraId="419F8A44">
            <w:pPr>
              <w:spacing w:before="95" w:line="194" w:lineRule="auto"/>
              <w:ind w:left="6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6×0.34</w:t>
            </w:r>
          </w:p>
        </w:tc>
        <w:tc>
          <w:tcPr>
            <w:tcW w:w="1733" w:type="dxa"/>
            <w:tcBorders>
              <w:right w:val="nil"/>
            </w:tcBorders>
            <w:vAlign w:val="top"/>
          </w:tcPr>
          <w:p w14:paraId="54C03516">
            <w:pPr>
              <w:spacing w:before="95" w:line="194" w:lineRule="auto"/>
              <w:ind w:left="6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3.38</w:t>
            </w:r>
          </w:p>
        </w:tc>
      </w:tr>
      <w:tr w14:paraId="58E53C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434" w:type="dxa"/>
            <w:vMerge w:val="continue"/>
            <w:tcBorders>
              <w:top w:val="nil"/>
              <w:left w:val="nil"/>
            </w:tcBorders>
            <w:vAlign w:val="top"/>
          </w:tcPr>
          <w:p w14:paraId="284F0250">
            <w:pPr>
              <w:rPr>
                <w:rFonts w:ascii="Arial"/>
                <w:sz w:val="21"/>
              </w:rPr>
            </w:pPr>
          </w:p>
        </w:tc>
        <w:tc>
          <w:tcPr>
            <w:tcW w:w="1617" w:type="dxa"/>
            <w:vMerge w:val="continue"/>
            <w:tcBorders>
              <w:top w:val="nil"/>
            </w:tcBorders>
            <w:vAlign w:val="top"/>
          </w:tcPr>
          <w:p w14:paraId="3C3FFC8A">
            <w:pPr>
              <w:rPr>
                <w:rFonts w:ascii="Arial"/>
                <w:sz w:val="21"/>
              </w:rPr>
            </w:pPr>
          </w:p>
        </w:tc>
        <w:tc>
          <w:tcPr>
            <w:tcW w:w="1562" w:type="dxa"/>
            <w:vAlign w:val="top"/>
          </w:tcPr>
          <w:p w14:paraId="28C0314C">
            <w:pPr>
              <w:pStyle w:val="6"/>
              <w:spacing w:before="59" w:line="204" w:lineRule="auto"/>
              <w:ind w:left="157"/>
              <w:rPr>
                <w:sz w:val="20"/>
                <w:szCs w:val="20"/>
              </w:rPr>
            </w:pPr>
            <w:r>
              <w:rPr>
                <w:spacing w:val="8"/>
                <w:sz w:val="20"/>
                <w:szCs w:val="20"/>
              </w:rPr>
              <w:t>锰及其化合物</w:t>
            </w:r>
          </w:p>
        </w:tc>
        <w:tc>
          <w:tcPr>
            <w:tcW w:w="1897" w:type="dxa"/>
            <w:vAlign w:val="top"/>
          </w:tcPr>
          <w:p w14:paraId="518F7C71">
            <w:pPr>
              <w:spacing w:before="97" w:line="192" w:lineRule="auto"/>
              <w:ind w:left="78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1.80</w:t>
            </w:r>
          </w:p>
        </w:tc>
        <w:tc>
          <w:tcPr>
            <w:tcW w:w="1859" w:type="dxa"/>
            <w:vAlign w:val="top"/>
          </w:tcPr>
          <w:p w14:paraId="39D013DF">
            <w:pPr>
              <w:spacing w:before="97" w:line="192" w:lineRule="auto"/>
              <w:ind w:left="6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6×0.09</w:t>
            </w:r>
          </w:p>
        </w:tc>
        <w:tc>
          <w:tcPr>
            <w:tcW w:w="1733" w:type="dxa"/>
            <w:tcBorders>
              <w:right w:val="nil"/>
            </w:tcBorders>
            <w:vAlign w:val="top"/>
          </w:tcPr>
          <w:p w14:paraId="0E4F2D69">
            <w:pPr>
              <w:spacing w:before="97" w:line="192" w:lineRule="auto"/>
              <w:ind w:left="6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0.91</w:t>
            </w:r>
          </w:p>
        </w:tc>
      </w:tr>
      <w:tr w14:paraId="434F3E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2051" w:type="dxa"/>
            <w:gridSpan w:val="2"/>
            <w:vMerge w:val="restart"/>
            <w:tcBorders>
              <w:left w:val="nil"/>
              <w:bottom w:val="nil"/>
            </w:tcBorders>
            <w:vAlign w:val="top"/>
          </w:tcPr>
          <w:p w14:paraId="157C524E">
            <w:pPr>
              <w:spacing w:line="407" w:lineRule="auto"/>
              <w:rPr>
                <w:rFonts w:ascii="Arial"/>
                <w:sz w:val="21"/>
              </w:rPr>
            </w:pPr>
          </w:p>
          <w:p w14:paraId="552AF429">
            <w:pPr>
              <w:pStyle w:val="6"/>
              <w:spacing w:before="65" w:line="229" w:lineRule="auto"/>
              <w:ind w:left="301"/>
              <w:rPr>
                <w:sz w:val="20"/>
                <w:szCs w:val="20"/>
              </w:rPr>
            </w:pPr>
            <w:r>
              <w:rPr>
                <w:spacing w:val="8"/>
                <w:sz w:val="20"/>
                <w:szCs w:val="20"/>
              </w:rPr>
              <w:t>一般排放口合计</w:t>
            </w:r>
          </w:p>
        </w:tc>
        <w:tc>
          <w:tcPr>
            <w:tcW w:w="5318" w:type="dxa"/>
            <w:gridSpan w:val="3"/>
            <w:vAlign w:val="top"/>
          </w:tcPr>
          <w:p w14:paraId="54A4AACF">
            <w:pPr>
              <w:pStyle w:val="6"/>
              <w:spacing w:before="62" w:line="202" w:lineRule="auto"/>
              <w:ind w:left="2347"/>
              <w:rPr>
                <w:sz w:val="20"/>
                <w:szCs w:val="20"/>
              </w:rPr>
            </w:pPr>
            <w:r>
              <w:rPr>
                <w:spacing w:val="7"/>
                <w:sz w:val="20"/>
                <w:szCs w:val="20"/>
              </w:rPr>
              <w:t>颗粒物</w:t>
            </w:r>
          </w:p>
        </w:tc>
        <w:tc>
          <w:tcPr>
            <w:tcW w:w="1733" w:type="dxa"/>
            <w:tcBorders>
              <w:right w:val="nil"/>
            </w:tcBorders>
            <w:vAlign w:val="top"/>
          </w:tcPr>
          <w:p w14:paraId="1D85D924">
            <w:pPr>
              <w:spacing w:before="97" w:line="191" w:lineRule="auto"/>
              <w:ind w:left="63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41.98</w:t>
            </w:r>
          </w:p>
        </w:tc>
      </w:tr>
      <w:tr w14:paraId="553262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2051" w:type="dxa"/>
            <w:gridSpan w:val="2"/>
            <w:vMerge w:val="continue"/>
            <w:tcBorders>
              <w:top w:val="nil"/>
              <w:left w:val="nil"/>
              <w:bottom w:val="nil"/>
            </w:tcBorders>
            <w:vAlign w:val="top"/>
          </w:tcPr>
          <w:p w14:paraId="4EBDA77D">
            <w:pPr>
              <w:rPr>
                <w:rFonts w:ascii="Arial"/>
                <w:sz w:val="21"/>
              </w:rPr>
            </w:pPr>
          </w:p>
        </w:tc>
        <w:tc>
          <w:tcPr>
            <w:tcW w:w="5318" w:type="dxa"/>
            <w:gridSpan w:val="3"/>
            <w:vAlign w:val="top"/>
          </w:tcPr>
          <w:p w14:paraId="0EFB86A7">
            <w:pPr>
              <w:pStyle w:val="6"/>
              <w:spacing w:before="61" w:line="203" w:lineRule="auto"/>
              <w:ind w:left="2034"/>
              <w:rPr>
                <w:sz w:val="20"/>
                <w:szCs w:val="20"/>
              </w:rPr>
            </w:pPr>
            <w:r>
              <w:rPr>
                <w:spacing w:val="8"/>
                <w:sz w:val="20"/>
                <w:szCs w:val="20"/>
              </w:rPr>
              <w:t>锰及其化合物</w:t>
            </w:r>
          </w:p>
        </w:tc>
        <w:tc>
          <w:tcPr>
            <w:tcW w:w="1733" w:type="dxa"/>
            <w:tcBorders>
              <w:right w:val="nil"/>
            </w:tcBorders>
            <w:vAlign w:val="top"/>
          </w:tcPr>
          <w:p w14:paraId="083930CC">
            <w:pPr>
              <w:spacing w:before="97" w:line="192" w:lineRule="auto"/>
              <w:ind w:left="6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2.35</w:t>
            </w:r>
          </w:p>
        </w:tc>
      </w:tr>
      <w:tr w14:paraId="15EFC2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 w:hRule="atLeast"/>
        </w:trPr>
        <w:tc>
          <w:tcPr>
            <w:tcW w:w="2051" w:type="dxa"/>
            <w:gridSpan w:val="2"/>
            <w:vMerge w:val="continue"/>
            <w:tcBorders>
              <w:top w:val="nil"/>
              <w:left w:val="nil"/>
              <w:bottom w:val="nil"/>
            </w:tcBorders>
            <w:vAlign w:val="top"/>
          </w:tcPr>
          <w:p w14:paraId="16438BC3">
            <w:pPr>
              <w:rPr>
                <w:rFonts w:ascii="Arial"/>
                <w:sz w:val="21"/>
              </w:rPr>
            </w:pPr>
          </w:p>
        </w:tc>
        <w:tc>
          <w:tcPr>
            <w:tcW w:w="5318" w:type="dxa"/>
            <w:gridSpan w:val="3"/>
            <w:vAlign w:val="top"/>
          </w:tcPr>
          <w:p w14:paraId="606DB8C1">
            <w:pPr>
              <w:spacing w:before="84" w:line="173" w:lineRule="auto"/>
              <w:ind w:left="250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733" w:type="dxa"/>
            <w:tcBorders>
              <w:right w:val="nil"/>
            </w:tcBorders>
            <w:vAlign w:val="top"/>
          </w:tcPr>
          <w:p w14:paraId="1D016266">
            <w:pPr>
              <w:spacing w:before="84" w:line="173" w:lineRule="auto"/>
              <w:ind w:left="6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7.62</w:t>
            </w:r>
          </w:p>
        </w:tc>
      </w:tr>
      <w:tr w14:paraId="49F3A8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1" w:hRule="atLeast"/>
        </w:trPr>
        <w:tc>
          <w:tcPr>
            <w:tcW w:w="2051" w:type="dxa"/>
            <w:gridSpan w:val="2"/>
            <w:vMerge w:val="continue"/>
            <w:tcBorders>
              <w:top w:val="nil"/>
              <w:left w:val="nil"/>
            </w:tcBorders>
            <w:vAlign w:val="top"/>
          </w:tcPr>
          <w:p w14:paraId="2A6DB547">
            <w:pPr>
              <w:rPr>
                <w:rFonts w:ascii="Arial"/>
                <w:sz w:val="21"/>
              </w:rPr>
            </w:pPr>
          </w:p>
        </w:tc>
        <w:tc>
          <w:tcPr>
            <w:tcW w:w="5318" w:type="dxa"/>
            <w:gridSpan w:val="3"/>
            <w:vAlign w:val="top"/>
          </w:tcPr>
          <w:p w14:paraId="7040BB85">
            <w:pPr>
              <w:spacing w:before="86" w:line="172" w:lineRule="auto"/>
              <w:ind w:left="2453"/>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1733" w:type="dxa"/>
            <w:tcBorders>
              <w:right w:val="nil"/>
            </w:tcBorders>
            <w:vAlign w:val="top"/>
          </w:tcPr>
          <w:p w14:paraId="352CFA59">
            <w:pPr>
              <w:spacing w:before="86" w:line="172" w:lineRule="auto"/>
              <w:ind w:left="68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6.90</w:t>
            </w:r>
          </w:p>
        </w:tc>
      </w:tr>
      <w:tr w14:paraId="57D66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2051" w:type="dxa"/>
            <w:gridSpan w:val="2"/>
            <w:vMerge w:val="restart"/>
            <w:tcBorders>
              <w:left w:val="nil"/>
              <w:bottom w:val="nil"/>
            </w:tcBorders>
            <w:vAlign w:val="top"/>
          </w:tcPr>
          <w:p w14:paraId="093C0232">
            <w:pPr>
              <w:spacing w:line="273" w:lineRule="auto"/>
              <w:rPr>
                <w:rFonts w:ascii="Arial"/>
                <w:sz w:val="21"/>
              </w:rPr>
            </w:pPr>
          </w:p>
          <w:p w14:paraId="5DB89838">
            <w:pPr>
              <w:spacing w:line="273" w:lineRule="auto"/>
              <w:rPr>
                <w:rFonts w:ascii="Arial"/>
                <w:sz w:val="21"/>
              </w:rPr>
            </w:pPr>
          </w:p>
          <w:p w14:paraId="41345C1A">
            <w:pPr>
              <w:pStyle w:val="6"/>
              <w:spacing w:before="65" w:line="228" w:lineRule="auto"/>
              <w:ind w:left="298"/>
              <w:rPr>
                <w:sz w:val="20"/>
                <w:szCs w:val="20"/>
              </w:rPr>
            </w:pPr>
            <w:r>
              <w:rPr>
                <w:spacing w:val="8"/>
                <w:sz w:val="20"/>
                <w:szCs w:val="20"/>
              </w:rPr>
              <w:t>有组织排放总计</w:t>
            </w:r>
          </w:p>
        </w:tc>
        <w:tc>
          <w:tcPr>
            <w:tcW w:w="5318" w:type="dxa"/>
            <w:gridSpan w:val="3"/>
            <w:vAlign w:val="top"/>
          </w:tcPr>
          <w:p w14:paraId="1F08AFB0">
            <w:pPr>
              <w:pStyle w:val="6"/>
              <w:spacing w:before="64" w:line="200" w:lineRule="auto"/>
              <w:ind w:left="2347"/>
              <w:rPr>
                <w:sz w:val="20"/>
                <w:szCs w:val="20"/>
              </w:rPr>
            </w:pPr>
            <w:r>
              <w:rPr>
                <w:spacing w:val="7"/>
                <w:sz w:val="20"/>
                <w:szCs w:val="20"/>
              </w:rPr>
              <w:t>颗粒物</w:t>
            </w:r>
          </w:p>
        </w:tc>
        <w:tc>
          <w:tcPr>
            <w:tcW w:w="1733" w:type="dxa"/>
            <w:tcBorders>
              <w:right w:val="nil"/>
            </w:tcBorders>
            <w:vAlign w:val="top"/>
          </w:tcPr>
          <w:p w14:paraId="45771F4C">
            <w:pPr>
              <w:spacing w:before="100" w:line="188" w:lineRule="auto"/>
              <w:ind w:left="6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97.65</w:t>
            </w:r>
          </w:p>
        </w:tc>
      </w:tr>
      <w:tr w14:paraId="1015AF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2051" w:type="dxa"/>
            <w:gridSpan w:val="2"/>
            <w:vMerge w:val="continue"/>
            <w:tcBorders>
              <w:top w:val="nil"/>
              <w:left w:val="nil"/>
              <w:bottom w:val="nil"/>
            </w:tcBorders>
            <w:vAlign w:val="top"/>
          </w:tcPr>
          <w:p w14:paraId="39C2200E">
            <w:pPr>
              <w:rPr>
                <w:rFonts w:ascii="Arial"/>
                <w:sz w:val="21"/>
              </w:rPr>
            </w:pPr>
          </w:p>
        </w:tc>
        <w:tc>
          <w:tcPr>
            <w:tcW w:w="5318" w:type="dxa"/>
            <w:gridSpan w:val="3"/>
            <w:vAlign w:val="top"/>
          </w:tcPr>
          <w:p w14:paraId="23585B4C">
            <w:pPr>
              <w:pStyle w:val="6"/>
              <w:spacing w:before="66" w:line="198" w:lineRule="auto"/>
              <w:ind w:left="2034"/>
              <w:rPr>
                <w:sz w:val="20"/>
                <w:szCs w:val="20"/>
              </w:rPr>
            </w:pPr>
            <w:r>
              <w:rPr>
                <w:spacing w:val="8"/>
                <w:sz w:val="20"/>
                <w:szCs w:val="20"/>
              </w:rPr>
              <w:t>锰及其化合物</w:t>
            </w:r>
          </w:p>
        </w:tc>
        <w:tc>
          <w:tcPr>
            <w:tcW w:w="1733" w:type="dxa"/>
            <w:tcBorders>
              <w:right w:val="nil"/>
            </w:tcBorders>
            <w:vAlign w:val="top"/>
          </w:tcPr>
          <w:p w14:paraId="72F5CA63">
            <w:pPr>
              <w:spacing w:before="102" w:line="186" w:lineRule="auto"/>
              <w:ind w:left="65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16.75</w:t>
            </w:r>
          </w:p>
        </w:tc>
      </w:tr>
      <w:tr w14:paraId="68E5A6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 w:hRule="atLeast"/>
        </w:trPr>
        <w:tc>
          <w:tcPr>
            <w:tcW w:w="2051" w:type="dxa"/>
            <w:gridSpan w:val="2"/>
            <w:vMerge w:val="continue"/>
            <w:tcBorders>
              <w:top w:val="nil"/>
              <w:left w:val="nil"/>
              <w:bottom w:val="nil"/>
            </w:tcBorders>
            <w:vAlign w:val="top"/>
          </w:tcPr>
          <w:p w14:paraId="16DA4D48">
            <w:pPr>
              <w:rPr>
                <w:rFonts w:ascii="Arial"/>
                <w:sz w:val="21"/>
              </w:rPr>
            </w:pPr>
          </w:p>
        </w:tc>
        <w:tc>
          <w:tcPr>
            <w:tcW w:w="5318" w:type="dxa"/>
            <w:gridSpan w:val="3"/>
            <w:vAlign w:val="top"/>
          </w:tcPr>
          <w:p w14:paraId="475D49AC">
            <w:pPr>
              <w:spacing w:before="89" w:line="168" w:lineRule="auto"/>
              <w:ind w:left="2502"/>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1"/>
                <w:position w:val="-1"/>
                <w:sz w:val="13"/>
                <w:szCs w:val="13"/>
              </w:rPr>
              <w:t>2</w:t>
            </w:r>
          </w:p>
        </w:tc>
        <w:tc>
          <w:tcPr>
            <w:tcW w:w="1733" w:type="dxa"/>
            <w:tcBorders>
              <w:right w:val="nil"/>
            </w:tcBorders>
            <w:vAlign w:val="top"/>
          </w:tcPr>
          <w:p w14:paraId="5A4AA563">
            <w:pPr>
              <w:spacing w:before="89" w:line="167" w:lineRule="auto"/>
              <w:ind w:left="598"/>
              <w:rPr>
                <w:rFonts w:ascii="Times New Roman" w:hAnsi="Times New Roman" w:eastAsia="Times New Roman" w:cs="Times New Roman"/>
                <w:sz w:val="20"/>
                <w:szCs w:val="20"/>
              </w:rPr>
            </w:pPr>
            <w:r>
              <w:rPr>
                <w:rFonts w:ascii="Times New Roman" w:hAnsi="Times New Roman" w:eastAsia="Times New Roman" w:cs="Times New Roman"/>
                <w:sz w:val="20"/>
                <w:szCs w:val="20"/>
              </w:rPr>
              <w:t>109.34</w:t>
            </w:r>
          </w:p>
        </w:tc>
      </w:tr>
      <w:tr w14:paraId="6BCAF7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1" w:hRule="atLeast"/>
        </w:trPr>
        <w:tc>
          <w:tcPr>
            <w:tcW w:w="2051" w:type="dxa"/>
            <w:gridSpan w:val="2"/>
            <w:vMerge w:val="continue"/>
            <w:tcBorders>
              <w:top w:val="nil"/>
              <w:left w:val="nil"/>
              <w:bottom w:val="nil"/>
            </w:tcBorders>
            <w:vAlign w:val="top"/>
          </w:tcPr>
          <w:p w14:paraId="3EF5C88F">
            <w:pPr>
              <w:rPr>
                <w:rFonts w:ascii="Arial"/>
                <w:sz w:val="21"/>
              </w:rPr>
            </w:pPr>
          </w:p>
        </w:tc>
        <w:tc>
          <w:tcPr>
            <w:tcW w:w="5318" w:type="dxa"/>
            <w:gridSpan w:val="3"/>
            <w:vAlign w:val="top"/>
          </w:tcPr>
          <w:p w14:paraId="6526CD0C">
            <w:pPr>
              <w:spacing w:before="90" w:line="167" w:lineRule="auto"/>
              <w:ind w:left="2450"/>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NOx</w:t>
            </w:r>
          </w:p>
        </w:tc>
        <w:tc>
          <w:tcPr>
            <w:tcW w:w="1733" w:type="dxa"/>
            <w:tcBorders>
              <w:right w:val="nil"/>
            </w:tcBorders>
            <w:vAlign w:val="top"/>
          </w:tcPr>
          <w:p w14:paraId="3C70B39E">
            <w:pPr>
              <w:spacing w:before="90" w:line="167" w:lineRule="auto"/>
              <w:ind w:left="63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477.8</w:t>
            </w:r>
          </w:p>
        </w:tc>
      </w:tr>
      <w:tr w14:paraId="2B2AA0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4" w:hRule="atLeast"/>
        </w:trPr>
        <w:tc>
          <w:tcPr>
            <w:tcW w:w="2051" w:type="dxa"/>
            <w:gridSpan w:val="2"/>
            <w:vMerge w:val="continue"/>
            <w:tcBorders>
              <w:top w:val="nil"/>
              <w:left w:val="nil"/>
              <w:bottom w:val="single" w:color="000000" w:sz="10" w:space="0"/>
            </w:tcBorders>
            <w:vAlign w:val="top"/>
          </w:tcPr>
          <w:p w14:paraId="2BF9EDD5">
            <w:pPr>
              <w:rPr>
                <w:rFonts w:ascii="Arial"/>
                <w:sz w:val="21"/>
              </w:rPr>
            </w:pPr>
          </w:p>
        </w:tc>
        <w:tc>
          <w:tcPr>
            <w:tcW w:w="5318" w:type="dxa"/>
            <w:gridSpan w:val="3"/>
            <w:tcBorders>
              <w:bottom w:val="single" w:color="000000" w:sz="10" w:space="0"/>
            </w:tcBorders>
            <w:vAlign w:val="top"/>
          </w:tcPr>
          <w:p w14:paraId="15F00FE5">
            <w:pPr>
              <w:spacing w:before="94" w:line="187" w:lineRule="auto"/>
              <w:ind w:left="2467"/>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NH</w:t>
            </w:r>
            <w:r>
              <w:rPr>
                <w:rFonts w:ascii="Times New Roman" w:hAnsi="Times New Roman" w:eastAsia="Times New Roman" w:cs="Times New Roman"/>
                <w:spacing w:val="6"/>
                <w:position w:val="-1"/>
                <w:sz w:val="13"/>
                <w:szCs w:val="13"/>
              </w:rPr>
              <w:t>3</w:t>
            </w:r>
          </w:p>
        </w:tc>
        <w:tc>
          <w:tcPr>
            <w:tcW w:w="1733" w:type="dxa"/>
            <w:tcBorders>
              <w:bottom w:val="single" w:color="000000" w:sz="10" w:space="0"/>
              <w:right w:val="nil"/>
            </w:tcBorders>
            <w:vAlign w:val="top"/>
          </w:tcPr>
          <w:p w14:paraId="4A79E803">
            <w:pPr>
              <w:spacing w:before="90" w:line="191" w:lineRule="auto"/>
              <w:ind w:left="68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4.44</w:t>
            </w:r>
          </w:p>
        </w:tc>
      </w:tr>
    </w:tbl>
    <w:p w14:paraId="5AA9E59B">
      <w:pPr>
        <w:pStyle w:val="2"/>
      </w:pPr>
    </w:p>
    <w:p w14:paraId="71E4591D">
      <w:pPr>
        <w:sectPr>
          <w:headerReference r:id="rId293" w:type="default"/>
          <w:footerReference r:id="rId294" w:type="default"/>
          <w:pgSz w:w="11906" w:h="16839"/>
          <w:pgMar w:top="1190" w:right="1401" w:bottom="1427" w:left="1401" w:header="882" w:footer="1265" w:gutter="0"/>
          <w:cols w:space="720" w:num="1"/>
        </w:sectPr>
      </w:pPr>
    </w:p>
    <w:p w14:paraId="1C174FB7">
      <w:pPr>
        <w:spacing w:line="28" w:lineRule="exact"/>
        <w:ind w:firstLine="107"/>
      </w:pPr>
      <w:r>
        <w:pict>
          <v:shape id="_x0000_s1802" o:spid="_x0000_s1802" style="height:1.45pt;width:453.65pt;" fillcolor="#000000" filled="t" stroked="f" coordsize="9072,29" path="m0,0l9072,0,9072,28,0,28,0,0xe">
            <v:path/>
            <v:fill on="t" focussize="0,0"/>
            <v:stroke on="f"/>
            <v:imagedata o:title=""/>
            <o:lock v:ext="edit"/>
            <w10:wrap type="none"/>
            <w10:anchorlock/>
          </v:shape>
        </w:pict>
      </w:r>
    </w:p>
    <w:p w14:paraId="5B163A25">
      <w:pPr>
        <w:spacing w:before="228" w:line="227" w:lineRule="auto"/>
        <w:ind w:left="2561"/>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8"/>
          <w:sz w:val="20"/>
          <w:szCs w:val="20"/>
        </w:rPr>
        <w:t xml:space="preserve"> </w:t>
      </w:r>
      <w:r>
        <w:rPr>
          <w:rFonts w:ascii="Times New Roman" w:hAnsi="Times New Roman" w:eastAsia="Times New Roman" w:cs="Times New Roman"/>
          <w:b/>
          <w:bCs/>
          <w:spacing w:val="5"/>
          <w:sz w:val="20"/>
          <w:szCs w:val="20"/>
        </w:rPr>
        <w:t xml:space="preserve">4.1-14        </w:t>
      </w:r>
      <w:r>
        <w:rPr>
          <w:rFonts w:ascii="宋体" w:hAnsi="宋体" w:eastAsia="宋体" w:cs="宋体"/>
          <w:b/>
          <w:bCs/>
          <w:spacing w:val="5"/>
          <w:sz w:val="20"/>
          <w:szCs w:val="20"/>
        </w:rPr>
        <w:t>大气污染物无组织排放量核算表</w:t>
      </w:r>
    </w:p>
    <w:p w14:paraId="3774D983">
      <w:pPr>
        <w:spacing w:line="131" w:lineRule="exact"/>
      </w:pPr>
    </w:p>
    <w:tbl>
      <w:tblPr>
        <w:tblStyle w:val="5"/>
        <w:tblW w:w="9286"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5"/>
        <w:gridCol w:w="693"/>
        <w:gridCol w:w="1556"/>
        <w:gridCol w:w="1590"/>
        <w:gridCol w:w="1177"/>
        <w:gridCol w:w="1202"/>
        <w:gridCol w:w="1326"/>
        <w:gridCol w:w="1177"/>
      </w:tblGrid>
      <w:tr w14:paraId="06E082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3" w:hRule="atLeast"/>
        </w:trPr>
        <w:tc>
          <w:tcPr>
            <w:tcW w:w="565" w:type="dxa"/>
            <w:vMerge w:val="restart"/>
            <w:tcBorders>
              <w:top w:val="single" w:color="000000" w:sz="10" w:space="0"/>
              <w:left w:val="nil"/>
              <w:bottom w:val="nil"/>
            </w:tcBorders>
            <w:textDirection w:val="tbRlV"/>
            <w:vAlign w:val="top"/>
          </w:tcPr>
          <w:p w14:paraId="3444AED2">
            <w:pPr>
              <w:pStyle w:val="6"/>
              <w:spacing w:before="175" w:line="218" w:lineRule="auto"/>
              <w:ind w:left="180"/>
              <w:rPr>
                <w:sz w:val="20"/>
                <w:szCs w:val="20"/>
              </w:rPr>
            </w:pPr>
            <w:r>
              <w:rPr>
                <w:b/>
                <w:bCs/>
                <w:spacing w:val="6"/>
                <w:sz w:val="20"/>
                <w:szCs w:val="20"/>
              </w:rPr>
              <w:t>序</w:t>
            </w:r>
            <w:r>
              <w:rPr>
                <w:spacing w:val="-35"/>
                <w:sz w:val="20"/>
                <w:szCs w:val="20"/>
              </w:rPr>
              <w:t xml:space="preserve"> </w:t>
            </w:r>
            <w:r>
              <w:rPr>
                <w:b/>
                <w:bCs/>
                <w:spacing w:val="6"/>
                <w:sz w:val="20"/>
                <w:szCs w:val="20"/>
              </w:rPr>
              <w:t>号</w:t>
            </w:r>
          </w:p>
        </w:tc>
        <w:tc>
          <w:tcPr>
            <w:tcW w:w="693" w:type="dxa"/>
            <w:vMerge w:val="restart"/>
            <w:tcBorders>
              <w:top w:val="single" w:color="000000" w:sz="10" w:space="0"/>
              <w:bottom w:val="nil"/>
            </w:tcBorders>
            <w:vAlign w:val="top"/>
          </w:tcPr>
          <w:p w14:paraId="09535669">
            <w:pPr>
              <w:pStyle w:val="6"/>
              <w:spacing w:before="44" w:line="229" w:lineRule="auto"/>
              <w:ind w:left="139"/>
              <w:rPr>
                <w:sz w:val="20"/>
                <w:szCs w:val="20"/>
              </w:rPr>
            </w:pPr>
            <w:r>
              <w:rPr>
                <w:b/>
                <w:bCs/>
                <w:spacing w:val="3"/>
                <w:sz w:val="20"/>
                <w:szCs w:val="20"/>
              </w:rPr>
              <w:t>排放</w:t>
            </w:r>
          </w:p>
          <w:p w14:paraId="34539F4B">
            <w:pPr>
              <w:pStyle w:val="6"/>
              <w:spacing w:before="22" w:line="228" w:lineRule="auto"/>
              <w:ind w:left="171"/>
              <w:rPr>
                <w:sz w:val="20"/>
                <w:szCs w:val="20"/>
              </w:rPr>
            </w:pPr>
            <w:r>
              <w:rPr>
                <w:b/>
                <w:bCs/>
                <w:spacing w:val="-12"/>
                <w:sz w:val="20"/>
                <w:szCs w:val="20"/>
              </w:rPr>
              <w:t>口编</w:t>
            </w:r>
          </w:p>
          <w:p w14:paraId="50B250A9">
            <w:pPr>
              <w:pStyle w:val="6"/>
              <w:spacing w:before="27" w:line="228" w:lineRule="auto"/>
              <w:ind w:left="252"/>
              <w:rPr>
                <w:sz w:val="20"/>
                <w:szCs w:val="20"/>
              </w:rPr>
            </w:pPr>
            <w:r>
              <w:rPr>
                <w:b/>
                <w:bCs/>
                <w:spacing w:val="-3"/>
                <w:sz w:val="20"/>
                <w:szCs w:val="20"/>
              </w:rPr>
              <w:t>号</w:t>
            </w:r>
          </w:p>
        </w:tc>
        <w:tc>
          <w:tcPr>
            <w:tcW w:w="1556" w:type="dxa"/>
            <w:vMerge w:val="restart"/>
            <w:tcBorders>
              <w:top w:val="single" w:color="000000" w:sz="10" w:space="0"/>
              <w:bottom w:val="nil"/>
            </w:tcBorders>
            <w:vAlign w:val="top"/>
          </w:tcPr>
          <w:p w14:paraId="0F7C2D0F">
            <w:pPr>
              <w:spacing w:line="250" w:lineRule="auto"/>
              <w:rPr>
                <w:rFonts w:ascii="Arial"/>
                <w:sz w:val="21"/>
              </w:rPr>
            </w:pPr>
          </w:p>
          <w:p w14:paraId="260B6EBF">
            <w:pPr>
              <w:pStyle w:val="6"/>
              <w:spacing w:before="65" w:line="228" w:lineRule="auto"/>
              <w:ind w:left="360"/>
              <w:rPr>
                <w:sz w:val="20"/>
                <w:szCs w:val="20"/>
              </w:rPr>
            </w:pPr>
            <w:r>
              <w:rPr>
                <w:b/>
                <w:bCs/>
                <w:spacing w:val="6"/>
                <w:sz w:val="20"/>
                <w:szCs w:val="20"/>
              </w:rPr>
              <w:t>产污环节</w:t>
            </w:r>
          </w:p>
        </w:tc>
        <w:tc>
          <w:tcPr>
            <w:tcW w:w="1590" w:type="dxa"/>
            <w:vMerge w:val="restart"/>
            <w:tcBorders>
              <w:top w:val="single" w:color="000000" w:sz="10" w:space="0"/>
              <w:bottom w:val="nil"/>
            </w:tcBorders>
            <w:vAlign w:val="top"/>
          </w:tcPr>
          <w:p w14:paraId="040F6FA5">
            <w:pPr>
              <w:spacing w:line="251" w:lineRule="auto"/>
              <w:rPr>
                <w:rFonts w:ascii="Arial"/>
                <w:sz w:val="21"/>
              </w:rPr>
            </w:pPr>
          </w:p>
          <w:p w14:paraId="77FB34A9">
            <w:pPr>
              <w:pStyle w:val="6"/>
              <w:spacing w:before="65" w:line="228" w:lineRule="auto"/>
              <w:ind w:left="486"/>
              <w:rPr>
                <w:sz w:val="20"/>
                <w:szCs w:val="20"/>
              </w:rPr>
            </w:pPr>
            <w:r>
              <w:rPr>
                <w:b/>
                <w:bCs/>
                <w:spacing w:val="5"/>
                <w:sz w:val="20"/>
                <w:szCs w:val="20"/>
              </w:rPr>
              <w:t>污染物</w:t>
            </w:r>
          </w:p>
        </w:tc>
        <w:tc>
          <w:tcPr>
            <w:tcW w:w="1177" w:type="dxa"/>
            <w:vMerge w:val="restart"/>
            <w:tcBorders>
              <w:top w:val="single" w:color="000000" w:sz="10" w:space="0"/>
              <w:bottom w:val="nil"/>
            </w:tcBorders>
            <w:vAlign w:val="top"/>
          </w:tcPr>
          <w:p w14:paraId="6314AF6A">
            <w:pPr>
              <w:pStyle w:val="6"/>
              <w:spacing w:before="181"/>
              <w:ind w:left="184" w:right="165" w:hanging="11"/>
              <w:rPr>
                <w:sz w:val="20"/>
                <w:szCs w:val="20"/>
              </w:rPr>
            </w:pPr>
            <w:r>
              <w:rPr>
                <w:b/>
                <w:bCs/>
                <w:spacing w:val="6"/>
                <w:sz w:val="20"/>
                <w:szCs w:val="20"/>
              </w:rPr>
              <w:t>主要污染</w:t>
            </w:r>
            <w:r>
              <w:rPr>
                <w:sz w:val="20"/>
                <w:szCs w:val="20"/>
              </w:rPr>
              <w:t xml:space="preserve"> </w:t>
            </w:r>
            <w:r>
              <w:rPr>
                <w:b/>
                <w:bCs/>
                <w:spacing w:val="3"/>
                <w:sz w:val="20"/>
                <w:szCs w:val="20"/>
              </w:rPr>
              <w:t>防治措施</w:t>
            </w:r>
          </w:p>
        </w:tc>
        <w:tc>
          <w:tcPr>
            <w:tcW w:w="2528" w:type="dxa"/>
            <w:gridSpan w:val="2"/>
            <w:tcBorders>
              <w:top w:val="single" w:color="000000" w:sz="10" w:space="0"/>
            </w:tcBorders>
            <w:vAlign w:val="top"/>
          </w:tcPr>
          <w:p w14:paraId="549201E5">
            <w:pPr>
              <w:pStyle w:val="6"/>
              <w:spacing w:before="33" w:line="235" w:lineRule="auto"/>
              <w:ind w:left="1058" w:right="207" w:hanging="822"/>
              <w:rPr>
                <w:sz w:val="20"/>
                <w:szCs w:val="20"/>
              </w:rPr>
            </w:pPr>
            <w:r>
              <w:rPr>
                <w:b/>
                <w:bCs/>
                <w:spacing w:val="5"/>
                <w:sz w:val="20"/>
                <w:szCs w:val="20"/>
              </w:rPr>
              <w:t>国家或地方污染物排放</w:t>
            </w:r>
            <w:r>
              <w:rPr>
                <w:spacing w:val="6"/>
                <w:sz w:val="20"/>
                <w:szCs w:val="20"/>
              </w:rPr>
              <w:t xml:space="preserve"> </w:t>
            </w:r>
            <w:r>
              <w:rPr>
                <w:b/>
                <w:bCs/>
                <w:spacing w:val="3"/>
                <w:sz w:val="20"/>
                <w:szCs w:val="20"/>
              </w:rPr>
              <w:t>标准</w:t>
            </w:r>
          </w:p>
        </w:tc>
        <w:tc>
          <w:tcPr>
            <w:tcW w:w="1177" w:type="dxa"/>
            <w:vMerge w:val="restart"/>
            <w:tcBorders>
              <w:top w:val="single" w:color="000000" w:sz="10" w:space="0"/>
              <w:bottom w:val="nil"/>
              <w:right w:val="nil"/>
            </w:tcBorders>
            <w:vAlign w:val="top"/>
          </w:tcPr>
          <w:p w14:paraId="5C0BE3A0">
            <w:pPr>
              <w:pStyle w:val="6"/>
              <w:spacing w:before="181" w:line="246" w:lineRule="auto"/>
              <w:ind w:left="275" w:right="167" w:hanging="102"/>
              <w:rPr>
                <w:sz w:val="20"/>
                <w:szCs w:val="20"/>
              </w:rPr>
            </w:pPr>
            <w:r>
              <w:rPr>
                <w:b/>
                <w:bCs/>
                <w:spacing w:val="6"/>
                <w:sz w:val="20"/>
                <w:szCs w:val="20"/>
              </w:rPr>
              <w:t>年排放量</w:t>
            </w:r>
            <w:r>
              <w:rPr>
                <w:sz w:val="20"/>
                <w:szCs w:val="20"/>
              </w:rPr>
              <w:t xml:space="preserve"> </w:t>
            </w:r>
            <w:r>
              <w:rPr>
                <w:b/>
                <w:bCs/>
                <w:spacing w:val="-1"/>
                <w:sz w:val="20"/>
                <w:szCs w:val="20"/>
              </w:rPr>
              <w:t>（</w:t>
            </w:r>
            <w:r>
              <w:rPr>
                <w:rFonts w:ascii="Times New Roman" w:hAnsi="Times New Roman" w:eastAsia="Times New Roman" w:cs="Times New Roman"/>
                <w:b/>
                <w:bCs/>
                <w:spacing w:val="-1"/>
                <w:sz w:val="20"/>
                <w:szCs w:val="20"/>
              </w:rPr>
              <w:t>t/a</w:t>
            </w:r>
            <w:r>
              <w:rPr>
                <w:b/>
                <w:bCs/>
                <w:spacing w:val="-1"/>
                <w:sz w:val="20"/>
                <w:szCs w:val="20"/>
              </w:rPr>
              <w:t>）</w:t>
            </w:r>
          </w:p>
        </w:tc>
      </w:tr>
      <w:tr w14:paraId="02DC25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trPr>
        <w:tc>
          <w:tcPr>
            <w:tcW w:w="565" w:type="dxa"/>
            <w:vMerge w:val="continue"/>
            <w:tcBorders>
              <w:top w:val="nil"/>
              <w:left w:val="nil"/>
            </w:tcBorders>
            <w:textDirection w:val="tbRlV"/>
            <w:vAlign w:val="top"/>
          </w:tcPr>
          <w:p w14:paraId="79B7B06E">
            <w:pPr>
              <w:rPr>
                <w:rFonts w:ascii="Arial"/>
                <w:sz w:val="21"/>
              </w:rPr>
            </w:pPr>
          </w:p>
        </w:tc>
        <w:tc>
          <w:tcPr>
            <w:tcW w:w="693" w:type="dxa"/>
            <w:vMerge w:val="continue"/>
            <w:tcBorders>
              <w:top w:val="nil"/>
            </w:tcBorders>
            <w:vAlign w:val="top"/>
          </w:tcPr>
          <w:p w14:paraId="3135E508">
            <w:pPr>
              <w:rPr>
                <w:rFonts w:ascii="Arial"/>
                <w:sz w:val="21"/>
              </w:rPr>
            </w:pPr>
          </w:p>
        </w:tc>
        <w:tc>
          <w:tcPr>
            <w:tcW w:w="1556" w:type="dxa"/>
            <w:vMerge w:val="continue"/>
            <w:tcBorders>
              <w:top w:val="nil"/>
            </w:tcBorders>
            <w:vAlign w:val="top"/>
          </w:tcPr>
          <w:p w14:paraId="351CE3FF">
            <w:pPr>
              <w:rPr>
                <w:rFonts w:ascii="Arial"/>
                <w:sz w:val="21"/>
              </w:rPr>
            </w:pPr>
          </w:p>
        </w:tc>
        <w:tc>
          <w:tcPr>
            <w:tcW w:w="1590" w:type="dxa"/>
            <w:vMerge w:val="continue"/>
            <w:tcBorders>
              <w:top w:val="nil"/>
            </w:tcBorders>
            <w:vAlign w:val="top"/>
          </w:tcPr>
          <w:p w14:paraId="56ACEE77">
            <w:pPr>
              <w:rPr>
                <w:rFonts w:ascii="Arial"/>
                <w:sz w:val="21"/>
              </w:rPr>
            </w:pPr>
          </w:p>
        </w:tc>
        <w:tc>
          <w:tcPr>
            <w:tcW w:w="1177" w:type="dxa"/>
            <w:vMerge w:val="continue"/>
            <w:tcBorders>
              <w:top w:val="nil"/>
            </w:tcBorders>
            <w:vAlign w:val="top"/>
          </w:tcPr>
          <w:p w14:paraId="22609CFB">
            <w:pPr>
              <w:rPr>
                <w:rFonts w:ascii="Arial"/>
                <w:sz w:val="21"/>
              </w:rPr>
            </w:pPr>
          </w:p>
        </w:tc>
        <w:tc>
          <w:tcPr>
            <w:tcW w:w="1202" w:type="dxa"/>
            <w:vAlign w:val="top"/>
          </w:tcPr>
          <w:p w14:paraId="21B11436">
            <w:pPr>
              <w:pStyle w:val="6"/>
              <w:spacing w:before="38" w:line="221" w:lineRule="auto"/>
              <w:ind w:left="185"/>
              <w:rPr>
                <w:sz w:val="20"/>
                <w:szCs w:val="20"/>
              </w:rPr>
            </w:pPr>
            <w:r>
              <w:rPr>
                <w:b/>
                <w:bCs/>
                <w:spacing w:val="6"/>
                <w:sz w:val="20"/>
                <w:szCs w:val="20"/>
              </w:rPr>
              <w:t>标准名称</w:t>
            </w:r>
          </w:p>
        </w:tc>
        <w:tc>
          <w:tcPr>
            <w:tcW w:w="1326" w:type="dxa"/>
            <w:vAlign w:val="top"/>
          </w:tcPr>
          <w:p w14:paraId="51563D4F">
            <w:pPr>
              <w:pStyle w:val="6"/>
              <w:spacing w:before="38" w:line="221" w:lineRule="auto"/>
              <w:ind w:left="245"/>
              <w:rPr>
                <w:sz w:val="20"/>
                <w:szCs w:val="20"/>
              </w:rPr>
            </w:pPr>
            <w:r>
              <w:rPr>
                <w:b/>
                <w:bCs/>
                <w:spacing w:val="6"/>
                <w:sz w:val="20"/>
                <w:szCs w:val="20"/>
              </w:rPr>
              <w:t>浓度限制</w:t>
            </w:r>
          </w:p>
        </w:tc>
        <w:tc>
          <w:tcPr>
            <w:tcW w:w="1177" w:type="dxa"/>
            <w:vMerge w:val="continue"/>
            <w:tcBorders>
              <w:top w:val="nil"/>
              <w:right w:val="nil"/>
            </w:tcBorders>
            <w:vAlign w:val="top"/>
          </w:tcPr>
          <w:p w14:paraId="4CBAD557">
            <w:pPr>
              <w:rPr>
                <w:rFonts w:ascii="Arial"/>
                <w:sz w:val="21"/>
              </w:rPr>
            </w:pPr>
          </w:p>
        </w:tc>
      </w:tr>
      <w:tr w14:paraId="1647E3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565" w:type="dxa"/>
            <w:tcBorders>
              <w:left w:val="nil"/>
            </w:tcBorders>
            <w:vAlign w:val="top"/>
          </w:tcPr>
          <w:p w14:paraId="32015673">
            <w:pPr>
              <w:spacing w:before="222" w:line="195" w:lineRule="auto"/>
              <w:ind w:left="255"/>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693" w:type="dxa"/>
            <w:vAlign w:val="top"/>
          </w:tcPr>
          <w:p w14:paraId="1A6DB5CA">
            <w:pPr>
              <w:spacing w:before="218" w:line="199"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556" w:type="dxa"/>
            <w:vAlign w:val="top"/>
          </w:tcPr>
          <w:p w14:paraId="2C40626E">
            <w:pPr>
              <w:pStyle w:val="6"/>
              <w:spacing w:before="50" w:line="241" w:lineRule="auto"/>
              <w:ind w:left="680" w:right="146" w:hanging="521"/>
              <w:rPr>
                <w:sz w:val="20"/>
                <w:szCs w:val="20"/>
              </w:rPr>
            </w:pPr>
            <w:r>
              <w:rPr>
                <w:spacing w:val="7"/>
                <w:sz w:val="20"/>
                <w:szCs w:val="20"/>
              </w:rPr>
              <w:t>原料大棚无组</w:t>
            </w:r>
            <w:r>
              <w:rPr>
                <w:spacing w:val="1"/>
                <w:sz w:val="20"/>
                <w:szCs w:val="20"/>
              </w:rPr>
              <w:t xml:space="preserve"> </w:t>
            </w:r>
            <w:r>
              <w:rPr>
                <w:sz w:val="20"/>
                <w:szCs w:val="20"/>
              </w:rPr>
              <w:t>织</w:t>
            </w:r>
          </w:p>
        </w:tc>
        <w:tc>
          <w:tcPr>
            <w:tcW w:w="1590" w:type="dxa"/>
            <w:vAlign w:val="top"/>
          </w:tcPr>
          <w:p w14:paraId="5D4CA072">
            <w:pPr>
              <w:pStyle w:val="6"/>
              <w:spacing w:before="184" w:line="228" w:lineRule="auto"/>
              <w:ind w:left="483"/>
              <w:rPr>
                <w:sz w:val="20"/>
                <w:szCs w:val="20"/>
              </w:rPr>
            </w:pPr>
            <w:r>
              <w:rPr>
                <w:spacing w:val="7"/>
                <w:sz w:val="20"/>
                <w:szCs w:val="20"/>
              </w:rPr>
              <w:t>颗粒物</w:t>
            </w:r>
          </w:p>
        </w:tc>
        <w:tc>
          <w:tcPr>
            <w:tcW w:w="1177" w:type="dxa"/>
            <w:vAlign w:val="top"/>
          </w:tcPr>
          <w:p w14:paraId="5B1C3C47">
            <w:pPr>
              <w:pStyle w:val="6"/>
              <w:spacing w:before="49" w:line="239" w:lineRule="auto"/>
              <w:ind w:left="398" w:right="108" w:hanging="285"/>
              <w:rPr>
                <w:sz w:val="20"/>
                <w:szCs w:val="20"/>
              </w:rPr>
            </w:pPr>
            <w:r>
              <w:rPr>
                <w:spacing w:val="-10"/>
                <w:sz w:val="20"/>
                <w:szCs w:val="20"/>
              </w:rPr>
              <w:t>封闭，喷雾</w:t>
            </w:r>
            <w:r>
              <w:rPr>
                <w:sz w:val="20"/>
                <w:szCs w:val="20"/>
              </w:rPr>
              <w:t xml:space="preserve"> </w:t>
            </w:r>
            <w:r>
              <w:rPr>
                <w:spacing w:val="-4"/>
                <w:sz w:val="20"/>
                <w:szCs w:val="20"/>
              </w:rPr>
              <w:t>降尘</w:t>
            </w:r>
          </w:p>
        </w:tc>
        <w:tc>
          <w:tcPr>
            <w:tcW w:w="1202" w:type="dxa"/>
            <w:vMerge w:val="restart"/>
            <w:tcBorders>
              <w:bottom w:val="nil"/>
            </w:tcBorders>
            <w:vAlign w:val="top"/>
          </w:tcPr>
          <w:p w14:paraId="0CF4CA4C">
            <w:pPr>
              <w:spacing w:line="259" w:lineRule="auto"/>
              <w:rPr>
                <w:rFonts w:ascii="Arial"/>
                <w:sz w:val="21"/>
              </w:rPr>
            </w:pPr>
          </w:p>
          <w:p w14:paraId="0F841DA7">
            <w:pPr>
              <w:spacing w:line="259" w:lineRule="auto"/>
              <w:rPr>
                <w:rFonts w:ascii="Arial"/>
                <w:sz w:val="21"/>
              </w:rPr>
            </w:pPr>
          </w:p>
          <w:p w14:paraId="5DAD6D17">
            <w:pPr>
              <w:spacing w:line="259" w:lineRule="auto"/>
              <w:rPr>
                <w:rFonts w:ascii="Arial"/>
                <w:sz w:val="21"/>
              </w:rPr>
            </w:pPr>
          </w:p>
          <w:p w14:paraId="6721A3F0">
            <w:pPr>
              <w:spacing w:line="259" w:lineRule="auto"/>
              <w:rPr>
                <w:rFonts w:ascii="Arial"/>
                <w:sz w:val="21"/>
              </w:rPr>
            </w:pPr>
          </w:p>
          <w:p w14:paraId="1CE5D71E">
            <w:pPr>
              <w:spacing w:line="259" w:lineRule="auto"/>
              <w:rPr>
                <w:rFonts w:ascii="Arial"/>
                <w:sz w:val="21"/>
              </w:rPr>
            </w:pPr>
          </w:p>
          <w:p w14:paraId="3112FBF0">
            <w:pPr>
              <w:spacing w:line="259" w:lineRule="auto"/>
              <w:rPr>
                <w:rFonts w:ascii="Arial"/>
                <w:sz w:val="21"/>
              </w:rPr>
            </w:pPr>
          </w:p>
          <w:p w14:paraId="21FD8C72">
            <w:pPr>
              <w:spacing w:line="259" w:lineRule="auto"/>
              <w:rPr>
                <w:rFonts w:ascii="Arial"/>
                <w:sz w:val="21"/>
              </w:rPr>
            </w:pPr>
          </w:p>
          <w:p w14:paraId="6CBA650E">
            <w:pPr>
              <w:pStyle w:val="6"/>
              <w:spacing w:before="57" w:line="237" w:lineRule="auto"/>
              <w:ind w:left="183" w:right="156" w:hanging="21"/>
              <w:rPr>
                <w:rFonts w:ascii="Times New Roman" w:hAnsi="Times New Roman" w:eastAsia="Times New Roman" w:cs="Times New Roman"/>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28666-</w:t>
            </w:r>
            <w:r>
              <w:rPr>
                <w:rFonts w:ascii="Times New Roman" w:hAnsi="Times New Roman" w:eastAsia="Times New Roman" w:cs="Times New Roman"/>
                <w:spacing w:val="2"/>
                <w:sz w:val="20"/>
                <w:szCs w:val="20"/>
              </w:rPr>
              <w:t xml:space="preserve"> 2012</w:t>
            </w:r>
            <w:r>
              <w:rPr>
                <w:rFonts w:ascii="Times New Roman" w:hAnsi="Times New Roman" w:eastAsia="Times New Roman" w:cs="Times New Roman"/>
                <w:spacing w:val="11"/>
                <w:sz w:val="20"/>
                <w:szCs w:val="20"/>
              </w:rPr>
              <w:t xml:space="preserve"> </w:t>
            </w:r>
            <w:r>
              <w:rPr>
                <w:spacing w:val="2"/>
                <w:sz w:val="20"/>
                <w:szCs w:val="20"/>
              </w:rPr>
              <w:t>表</w:t>
            </w:r>
            <w:r>
              <w:rPr>
                <w:spacing w:val="-37"/>
                <w:sz w:val="20"/>
                <w:szCs w:val="20"/>
              </w:rPr>
              <w:t xml:space="preserve"> </w:t>
            </w:r>
            <w:r>
              <w:rPr>
                <w:rFonts w:ascii="Times New Roman" w:hAnsi="Times New Roman" w:eastAsia="Times New Roman" w:cs="Times New Roman"/>
                <w:spacing w:val="2"/>
                <w:sz w:val="20"/>
                <w:szCs w:val="20"/>
              </w:rPr>
              <w:t>7</w:t>
            </w:r>
          </w:p>
        </w:tc>
        <w:tc>
          <w:tcPr>
            <w:tcW w:w="1326" w:type="dxa"/>
            <w:vAlign w:val="top"/>
          </w:tcPr>
          <w:p w14:paraId="3B859C47">
            <w:pPr>
              <w:spacing w:before="202" w:line="218" w:lineRule="auto"/>
              <w:ind w:left="27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1.0</w:t>
            </w:r>
            <w:r>
              <w:rPr>
                <w:rFonts w:ascii="Times New Roman" w:hAnsi="Times New Roman" w:eastAsia="Times New Roman" w:cs="Times New Roman"/>
                <w:sz w:val="20"/>
                <w:szCs w:val="20"/>
              </w:rPr>
              <w:t>mg</w:t>
            </w:r>
            <w:r>
              <w:rPr>
                <w:rFonts w:ascii="Times New Roman" w:hAnsi="Times New Roman" w:eastAsia="Times New Roman" w:cs="Times New Roman"/>
                <w:spacing w:val="2"/>
                <w:sz w:val="20"/>
                <w:szCs w:val="20"/>
              </w:rPr>
              <w:t>/m</w:t>
            </w:r>
            <w:r>
              <w:rPr>
                <w:rFonts w:ascii="Times New Roman" w:hAnsi="Times New Roman" w:eastAsia="Times New Roman" w:cs="Times New Roman"/>
                <w:spacing w:val="2"/>
                <w:position w:val="6"/>
                <w:sz w:val="13"/>
                <w:szCs w:val="13"/>
              </w:rPr>
              <w:t>3</w:t>
            </w:r>
          </w:p>
        </w:tc>
        <w:tc>
          <w:tcPr>
            <w:tcW w:w="1177" w:type="dxa"/>
            <w:tcBorders>
              <w:right w:val="nil"/>
            </w:tcBorders>
            <w:vAlign w:val="top"/>
          </w:tcPr>
          <w:p w14:paraId="31D5A53B">
            <w:pPr>
              <w:spacing w:before="222" w:line="195" w:lineRule="auto"/>
              <w:ind w:left="4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3.38</w:t>
            </w:r>
          </w:p>
        </w:tc>
      </w:tr>
      <w:tr w14:paraId="3C9613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565" w:type="dxa"/>
            <w:tcBorders>
              <w:left w:val="nil"/>
            </w:tcBorders>
            <w:vAlign w:val="top"/>
          </w:tcPr>
          <w:p w14:paraId="3E2F7B78">
            <w:pPr>
              <w:spacing w:before="204" w:line="195" w:lineRule="auto"/>
              <w:ind w:left="235"/>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693" w:type="dxa"/>
            <w:vAlign w:val="top"/>
          </w:tcPr>
          <w:p w14:paraId="207166FE">
            <w:pPr>
              <w:spacing w:before="200" w:line="199"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556" w:type="dxa"/>
            <w:vAlign w:val="top"/>
          </w:tcPr>
          <w:p w14:paraId="03109CA0">
            <w:pPr>
              <w:pStyle w:val="6"/>
              <w:spacing w:before="34" w:line="233" w:lineRule="auto"/>
              <w:ind w:left="470" w:right="146" w:hanging="316"/>
              <w:rPr>
                <w:sz w:val="20"/>
                <w:szCs w:val="20"/>
              </w:rPr>
            </w:pPr>
            <w:r>
              <w:rPr>
                <w:spacing w:val="8"/>
                <w:sz w:val="20"/>
                <w:szCs w:val="20"/>
              </w:rPr>
              <w:t>焦炭烘干车间</w:t>
            </w:r>
            <w:r>
              <w:rPr>
                <w:sz w:val="20"/>
                <w:szCs w:val="20"/>
              </w:rPr>
              <w:t xml:space="preserve"> </w:t>
            </w:r>
            <w:r>
              <w:rPr>
                <w:spacing w:val="6"/>
                <w:sz w:val="20"/>
                <w:szCs w:val="20"/>
              </w:rPr>
              <w:t>无组织</w:t>
            </w:r>
          </w:p>
        </w:tc>
        <w:tc>
          <w:tcPr>
            <w:tcW w:w="1590" w:type="dxa"/>
            <w:vAlign w:val="top"/>
          </w:tcPr>
          <w:p w14:paraId="3813E740">
            <w:pPr>
              <w:pStyle w:val="6"/>
              <w:spacing w:before="169" w:line="228" w:lineRule="auto"/>
              <w:ind w:left="483"/>
              <w:rPr>
                <w:sz w:val="20"/>
                <w:szCs w:val="20"/>
              </w:rPr>
            </w:pPr>
            <w:r>
              <w:rPr>
                <w:spacing w:val="7"/>
                <w:sz w:val="20"/>
                <w:szCs w:val="20"/>
              </w:rPr>
              <w:t>颗粒物</w:t>
            </w:r>
          </w:p>
        </w:tc>
        <w:tc>
          <w:tcPr>
            <w:tcW w:w="1177" w:type="dxa"/>
            <w:vAlign w:val="top"/>
          </w:tcPr>
          <w:p w14:paraId="5511E6A7">
            <w:pPr>
              <w:pStyle w:val="6"/>
              <w:spacing w:before="34" w:line="233" w:lineRule="auto"/>
              <w:ind w:left="398" w:right="108" w:hanging="285"/>
              <w:rPr>
                <w:sz w:val="20"/>
                <w:szCs w:val="20"/>
              </w:rPr>
            </w:pPr>
            <w:r>
              <w:rPr>
                <w:spacing w:val="-10"/>
                <w:sz w:val="20"/>
                <w:szCs w:val="20"/>
              </w:rPr>
              <w:t>封闭，喷雾</w:t>
            </w:r>
            <w:r>
              <w:rPr>
                <w:sz w:val="20"/>
                <w:szCs w:val="20"/>
              </w:rPr>
              <w:t xml:space="preserve"> </w:t>
            </w:r>
            <w:r>
              <w:rPr>
                <w:spacing w:val="-4"/>
                <w:sz w:val="20"/>
                <w:szCs w:val="20"/>
              </w:rPr>
              <w:t>降尘</w:t>
            </w:r>
          </w:p>
        </w:tc>
        <w:tc>
          <w:tcPr>
            <w:tcW w:w="1202" w:type="dxa"/>
            <w:vMerge w:val="continue"/>
            <w:tcBorders>
              <w:top w:val="nil"/>
              <w:bottom w:val="nil"/>
            </w:tcBorders>
            <w:vAlign w:val="top"/>
          </w:tcPr>
          <w:p w14:paraId="383979B8">
            <w:pPr>
              <w:rPr>
                <w:rFonts w:ascii="Arial"/>
                <w:sz w:val="21"/>
              </w:rPr>
            </w:pPr>
          </w:p>
        </w:tc>
        <w:tc>
          <w:tcPr>
            <w:tcW w:w="1326" w:type="dxa"/>
            <w:vAlign w:val="top"/>
          </w:tcPr>
          <w:p w14:paraId="60241C6B">
            <w:pPr>
              <w:spacing w:before="184" w:line="218" w:lineRule="auto"/>
              <w:ind w:left="27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1.0</w:t>
            </w:r>
            <w:r>
              <w:rPr>
                <w:rFonts w:ascii="Times New Roman" w:hAnsi="Times New Roman" w:eastAsia="Times New Roman" w:cs="Times New Roman"/>
                <w:sz w:val="20"/>
                <w:szCs w:val="20"/>
              </w:rPr>
              <w:t>mg</w:t>
            </w:r>
            <w:r>
              <w:rPr>
                <w:rFonts w:ascii="Times New Roman" w:hAnsi="Times New Roman" w:eastAsia="Times New Roman" w:cs="Times New Roman"/>
                <w:spacing w:val="2"/>
                <w:sz w:val="20"/>
                <w:szCs w:val="20"/>
              </w:rPr>
              <w:t>/m</w:t>
            </w:r>
            <w:r>
              <w:rPr>
                <w:rFonts w:ascii="Times New Roman" w:hAnsi="Times New Roman" w:eastAsia="Times New Roman" w:cs="Times New Roman"/>
                <w:spacing w:val="2"/>
                <w:position w:val="6"/>
                <w:sz w:val="13"/>
                <w:szCs w:val="13"/>
              </w:rPr>
              <w:t>3</w:t>
            </w:r>
          </w:p>
        </w:tc>
        <w:tc>
          <w:tcPr>
            <w:tcW w:w="1177" w:type="dxa"/>
            <w:tcBorders>
              <w:right w:val="nil"/>
            </w:tcBorders>
            <w:vAlign w:val="top"/>
          </w:tcPr>
          <w:p w14:paraId="5C86A159">
            <w:pPr>
              <w:spacing w:before="204" w:line="195" w:lineRule="auto"/>
              <w:ind w:left="4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0.87</w:t>
            </w:r>
          </w:p>
        </w:tc>
      </w:tr>
      <w:tr w14:paraId="383F91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565" w:type="dxa"/>
            <w:tcBorders>
              <w:left w:val="nil"/>
            </w:tcBorders>
            <w:vAlign w:val="top"/>
          </w:tcPr>
          <w:p w14:paraId="27E0637D">
            <w:pPr>
              <w:spacing w:before="205" w:line="195" w:lineRule="auto"/>
              <w:ind w:left="239"/>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693" w:type="dxa"/>
            <w:vAlign w:val="top"/>
          </w:tcPr>
          <w:p w14:paraId="23230C55">
            <w:pPr>
              <w:spacing w:before="201" w:line="199"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556" w:type="dxa"/>
            <w:vAlign w:val="top"/>
          </w:tcPr>
          <w:p w14:paraId="24540964">
            <w:pPr>
              <w:pStyle w:val="6"/>
              <w:spacing w:before="32" w:line="234" w:lineRule="auto"/>
              <w:ind w:left="379" w:right="146" w:hanging="225"/>
              <w:rPr>
                <w:sz w:val="20"/>
                <w:szCs w:val="20"/>
              </w:rPr>
            </w:pPr>
            <w:r>
              <w:rPr>
                <w:spacing w:val="8"/>
                <w:sz w:val="20"/>
                <w:szCs w:val="20"/>
              </w:rPr>
              <w:t>锰矿石烘干车</w:t>
            </w:r>
            <w:r>
              <w:rPr>
                <w:sz w:val="20"/>
                <w:szCs w:val="20"/>
              </w:rPr>
              <w:t xml:space="preserve"> </w:t>
            </w:r>
            <w:r>
              <w:rPr>
                <w:spacing w:val="3"/>
                <w:sz w:val="20"/>
                <w:szCs w:val="20"/>
              </w:rPr>
              <w:t>间无组织</w:t>
            </w:r>
          </w:p>
        </w:tc>
        <w:tc>
          <w:tcPr>
            <w:tcW w:w="1590" w:type="dxa"/>
            <w:vAlign w:val="top"/>
          </w:tcPr>
          <w:p w14:paraId="71D3BD2B">
            <w:pPr>
              <w:pStyle w:val="6"/>
              <w:spacing w:before="169" w:line="228" w:lineRule="auto"/>
              <w:ind w:left="483"/>
              <w:rPr>
                <w:sz w:val="20"/>
                <w:szCs w:val="20"/>
              </w:rPr>
            </w:pPr>
            <w:r>
              <w:rPr>
                <w:spacing w:val="7"/>
                <w:sz w:val="20"/>
                <w:szCs w:val="20"/>
              </w:rPr>
              <w:t>颗粒物</w:t>
            </w:r>
          </w:p>
        </w:tc>
        <w:tc>
          <w:tcPr>
            <w:tcW w:w="1177" w:type="dxa"/>
            <w:vAlign w:val="top"/>
          </w:tcPr>
          <w:p w14:paraId="43AABE3A">
            <w:pPr>
              <w:pStyle w:val="6"/>
              <w:spacing w:before="32" w:line="234" w:lineRule="auto"/>
              <w:ind w:left="398" w:right="108" w:hanging="285"/>
              <w:rPr>
                <w:sz w:val="20"/>
                <w:szCs w:val="20"/>
              </w:rPr>
            </w:pPr>
            <w:r>
              <w:rPr>
                <w:spacing w:val="-10"/>
                <w:sz w:val="20"/>
                <w:szCs w:val="20"/>
              </w:rPr>
              <w:t>封闭，喷雾</w:t>
            </w:r>
            <w:r>
              <w:rPr>
                <w:sz w:val="20"/>
                <w:szCs w:val="20"/>
              </w:rPr>
              <w:t xml:space="preserve"> </w:t>
            </w:r>
            <w:r>
              <w:rPr>
                <w:spacing w:val="-4"/>
                <w:sz w:val="20"/>
                <w:szCs w:val="20"/>
              </w:rPr>
              <w:t>降尘</w:t>
            </w:r>
          </w:p>
        </w:tc>
        <w:tc>
          <w:tcPr>
            <w:tcW w:w="1202" w:type="dxa"/>
            <w:vMerge w:val="continue"/>
            <w:tcBorders>
              <w:top w:val="nil"/>
              <w:bottom w:val="nil"/>
            </w:tcBorders>
            <w:vAlign w:val="top"/>
          </w:tcPr>
          <w:p w14:paraId="7A5F5A90">
            <w:pPr>
              <w:rPr>
                <w:rFonts w:ascii="Arial"/>
                <w:sz w:val="21"/>
              </w:rPr>
            </w:pPr>
          </w:p>
        </w:tc>
        <w:tc>
          <w:tcPr>
            <w:tcW w:w="1326" w:type="dxa"/>
            <w:vAlign w:val="top"/>
          </w:tcPr>
          <w:p w14:paraId="116A896A">
            <w:pPr>
              <w:spacing w:before="184" w:line="218" w:lineRule="auto"/>
              <w:ind w:left="27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1.0</w:t>
            </w:r>
            <w:r>
              <w:rPr>
                <w:rFonts w:ascii="Times New Roman" w:hAnsi="Times New Roman" w:eastAsia="Times New Roman" w:cs="Times New Roman"/>
                <w:sz w:val="20"/>
                <w:szCs w:val="20"/>
              </w:rPr>
              <w:t>mg</w:t>
            </w:r>
            <w:r>
              <w:rPr>
                <w:rFonts w:ascii="Times New Roman" w:hAnsi="Times New Roman" w:eastAsia="Times New Roman" w:cs="Times New Roman"/>
                <w:spacing w:val="2"/>
                <w:sz w:val="20"/>
                <w:szCs w:val="20"/>
              </w:rPr>
              <w:t>/m</w:t>
            </w:r>
            <w:r>
              <w:rPr>
                <w:rFonts w:ascii="Times New Roman" w:hAnsi="Times New Roman" w:eastAsia="Times New Roman" w:cs="Times New Roman"/>
                <w:spacing w:val="2"/>
                <w:position w:val="6"/>
                <w:sz w:val="13"/>
                <w:szCs w:val="13"/>
              </w:rPr>
              <w:t>3</w:t>
            </w:r>
          </w:p>
        </w:tc>
        <w:tc>
          <w:tcPr>
            <w:tcW w:w="1177" w:type="dxa"/>
            <w:tcBorders>
              <w:right w:val="nil"/>
            </w:tcBorders>
            <w:vAlign w:val="top"/>
          </w:tcPr>
          <w:p w14:paraId="0695AED3">
            <w:pPr>
              <w:spacing w:before="205" w:line="195" w:lineRule="auto"/>
              <w:ind w:left="4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0.07</w:t>
            </w:r>
          </w:p>
        </w:tc>
      </w:tr>
      <w:tr w14:paraId="722BA8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trPr>
        <w:tc>
          <w:tcPr>
            <w:tcW w:w="565" w:type="dxa"/>
            <w:vMerge w:val="restart"/>
            <w:tcBorders>
              <w:left w:val="nil"/>
              <w:bottom w:val="nil"/>
            </w:tcBorders>
            <w:vAlign w:val="top"/>
          </w:tcPr>
          <w:p w14:paraId="2DB916D2">
            <w:pPr>
              <w:spacing w:before="239" w:line="195" w:lineRule="auto"/>
              <w:ind w:left="239"/>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693" w:type="dxa"/>
            <w:vMerge w:val="restart"/>
            <w:tcBorders>
              <w:bottom w:val="nil"/>
            </w:tcBorders>
            <w:vAlign w:val="top"/>
          </w:tcPr>
          <w:p w14:paraId="778A2757">
            <w:pPr>
              <w:spacing w:before="235" w:line="199"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556" w:type="dxa"/>
            <w:vMerge w:val="restart"/>
            <w:tcBorders>
              <w:bottom w:val="nil"/>
            </w:tcBorders>
            <w:vAlign w:val="top"/>
          </w:tcPr>
          <w:p w14:paraId="283FF0D1">
            <w:pPr>
              <w:pStyle w:val="6"/>
              <w:spacing w:before="66" w:line="241" w:lineRule="auto"/>
              <w:ind w:left="576" w:right="146" w:hanging="423"/>
              <w:rPr>
                <w:sz w:val="20"/>
                <w:szCs w:val="20"/>
              </w:rPr>
            </w:pPr>
            <w:r>
              <w:rPr>
                <w:spacing w:val="8"/>
                <w:sz w:val="20"/>
                <w:szCs w:val="20"/>
              </w:rPr>
              <w:t>烧结原料库无</w:t>
            </w:r>
            <w:r>
              <w:rPr>
                <w:spacing w:val="1"/>
                <w:sz w:val="20"/>
                <w:szCs w:val="20"/>
              </w:rPr>
              <w:t xml:space="preserve"> </w:t>
            </w:r>
            <w:r>
              <w:rPr>
                <w:spacing w:val="3"/>
                <w:sz w:val="20"/>
                <w:szCs w:val="20"/>
              </w:rPr>
              <w:t>组织</w:t>
            </w:r>
          </w:p>
        </w:tc>
        <w:tc>
          <w:tcPr>
            <w:tcW w:w="1590" w:type="dxa"/>
            <w:vAlign w:val="top"/>
          </w:tcPr>
          <w:p w14:paraId="324BB2E3">
            <w:pPr>
              <w:pStyle w:val="6"/>
              <w:spacing w:before="47" w:line="228" w:lineRule="auto"/>
              <w:ind w:left="483"/>
              <w:rPr>
                <w:sz w:val="20"/>
                <w:szCs w:val="20"/>
              </w:rPr>
            </w:pPr>
            <w:r>
              <w:rPr>
                <w:spacing w:val="7"/>
                <w:sz w:val="20"/>
                <w:szCs w:val="20"/>
              </w:rPr>
              <w:t>颗粒物</w:t>
            </w:r>
          </w:p>
        </w:tc>
        <w:tc>
          <w:tcPr>
            <w:tcW w:w="1177" w:type="dxa"/>
            <w:vMerge w:val="restart"/>
            <w:tcBorders>
              <w:bottom w:val="nil"/>
            </w:tcBorders>
            <w:vAlign w:val="top"/>
          </w:tcPr>
          <w:p w14:paraId="12CBB36A">
            <w:pPr>
              <w:pStyle w:val="6"/>
              <w:spacing w:before="66" w:line="239" w:lineRule="auto"/>
              <w:ind w:left="398" w:right="108" w:hanging="285"/>
              <w:rPr>
                <w:sz w:val="20"/>
                <w:szCs w:val="20"/>
              </w:rPr>
            </w:pPr>
            <w:r>
              <w:rPr>
                <w:spacing w:val="-10"/>
                <w:sz w:val="20"/>
                <w:szCs w:val="20"/>
              </w:rPr>
              <w:t>封闭，喷雾</w:t>
            </w:r>
            <w:r>
              <w:rPr>
                <w:sz w:val="20"/>
                <w:szCs w:val="20"/>
              </w:rPr>
              <w:t xml:space="preserve"> </w:t>
            </w:r>
            <w:r>
              <w:rPr>
                <w:spacing w:val="-4"/>
                <w:sz w:val="20"/>
                <w:szCs w:val="20"/>
              </w:rPr>
              <w:t>降尘</w:t>
            </w:r>
          </w:p>
        </w:tc>
        <w:tc>
          <w:tcPr>
            <w:tcW w:w="1202" w:type="dxa"/>
            <w:vMerge w:val="continue"/>
            <w:tcBorders>
              <w:top w:val="nil"/>
              <w:bottom w:val="nil"/>
            </w:tcBorders>
            <w:vAlign w:val="top"/>
          </w:tcPr>
          <w:p w14:paraId="721F74D0">
            <w:pPr>
              <w:rPr>
                <w:rFonts w:ascii="Arial"/>
                <w:sz w:val="21"/>
              </w:rPr>
            </w:pPr>
          </w:p>
        </w:tc>
        <w:tc>
          <w:tcPr>
            <w:tcW w:w="1326" w:type="dxa"/>
            <w:vAlign w:val="top"/>
          </w:tcPr>
          <w:p w14:paraId="408FC76C">
            <w:pPr>
              <w:spacing w:before="65" w:line="215" w:lineRule="auto"/>
              <w:ind w:left="27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1.0</w:t>
            </w:r>
            <w:r>
              <w:rPr>
                <w:rFonts w:ascii="Times New Roman" w:hAnsi="Times New Roman" w:eastAsia="Times New Roman" w:cs="Times New Roman"/>
                <w:sz w:val="20"/>
                <w:szCs w:val="20"/>
              </w:rPr>
              <w:t>mg</w:t>
            </w:r>
            <w:r>
              <w:rPr>
                <w:rFonts w:ascii="Times New Roman" w:hAnsi="Times New Roman" w:eastAsia="Times New Roman" w:cs="Times New Roman"/>
                <w:spacing w:val="2"/>
                <w:sz w:val="20"/>
                <w:szCs w:val="20"/>
              </w:rPr>
              <w:t>/m</w:t>
            </w:r>
            <w:r>
              <w:rPr>
                <w:rFonts w:ascii="Times New Roman" w:hAnsi="Times New Roman" w:eastAsia="Times New Roman" w:cs="Times New Roman"/>
                <w:spacing w:val="2"/>
                <w:position w:val="6"/>
                <w:sz w:val="13"/>
                <w:szCs w:val="13"/>
              </w:rPr>
              <w:t>3</w:t>
            </w:r>
          </w:p>
        </w:tc>
        <w:tc>
          <w:tcPr>
            <w:tcW w:w="1177" w:type="dxa"/>
            <w:tcBorders>
              <w:right w:val="nil"/>
            </w:tcBorders>
            <w:vAlign w:val="top"/>
          </w:tcPr>
          <w:p w14:paraId="1EE4DDDC">
            <w:pPr>
              <w:spacing w:before="83" w:line="195" w:lineRule="auto"/>
              <w:ind w:left="4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3.15</w:t>
            </w:r>
          </w:p>
        </w:tc>
      </w:tr>
      <w:tr w14:paraId="06E802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565" w:type="dxa"/>
            <w:vMerge w:val="continue"/>
            <w:tcBorders>
              <w:top w:val="nil"/>
              <w:left w:val="nil"/>
            </w:tcBorders>
            <w:vAlign w:val="top"/>
          </w:tcPr>
          <w:p w14:paraId="087BDAA9">
            <w:pPr>
              <w:rPr>
                <w:rFonts w:ascii="Arial"/>
                <w:sz w:val="21"/>
              </w:rPr>
            </w:pPr>
          </w:p>
        </w:tc>
        <w:tc>
          <w:tcPr>
            <w:tcW w:w="693" w:type="dxa"/>
            <w:vMerge w:val="continue"/>
            <w:tcBorders>
              <w:top w:val="nil"/>
            </w:tcBorders>
            <w:vAlign w:val="top"/>
          </w:tcPr>
          <w:p w14:paraId="4743489C">
            <w:pPr>
              <w:rPr>
                <w:rFonts w:ascii="Arial"/>
                <w:sz w:val="21"/>
              </w:rPr>
            </w:pPr>
          </w:p>
        </w:tc>
        <w:tc>
          <w:tcPr>
            <w:tcW w:w="1556" w:type="dxa"/>
            <w:vMerge w:val="continue"/>
            <w:tcBorders>
              <w:top w:val="nil"/>
            </w:tcBorders>
            <w:vAlign w:val="top"/>
          </w:tcPr>
          <w:p w14:paraId="1741C905">
            <w:pPr>
              <w:rPr>
                <w:rFonts w:ascii="Arial"/>
                <w:sz w:val="21"/>
              </w:rPr>
            </w:pPr>
          </w:p>
        </w:tc>
        <w:tc>
          <w:tcPr>
            <w:tcW w:w="1590" w:type="dxa"/>
            <w:vAlign w:val="top"/>
          </w:tcPr>
          <w:p w14:paraId="376A4AC7">
            <w:pPr>
              <w:pStyle w:val="6"/>
              <w:spacing w:before="48" w:line="228" w:lineRule="auto"/>
              <w:ind w:left="170"/>
              <w:rPr>
                <w:sz w:val="20"/>
                <w:szCs w:val="20"/>
              </w:rPr>
            </w:pPr>
            <w:r>
              <w:rPr>
                <w:spacing w:val="8"/>
                <w:sz w:val="20"/>
                <w:szCs w:val="20"/>
              </w:rPr>
              <w:t>锰及其化合物</w:t>
            </w:r>
          </w:p>
        </w:tc>
        <w:tc>
          <w:tcPr>
            <w:tcW w:w="1177" w:type="dxa"/>
            <w:vMerge w:val="continue"/>
            <w:tcBorders>
              <w:top w:val="nil"/>
            </w:tcBorders>
            <w:vAlign w:val="top"/>
          </w:tcPr>
          <w:p w14:paraId="52522E09">
            <w:pPr>
              <w:rPr>
                <w:rFonts w:ascii="Arial"/>
                <w:sz w:val="21"/>
              </w:rPr>
            </w:pPr>
          </w:p>
        </w:tc>
        <w:tc>
          <w:tcPr>
            <w:tcW w:w="1202" w:type="dxa"/>
            <w:vMerge w:val="continue"/>
            <w:tcBorders>
              <w:top w:val="nil"/>
              <w:bottom w:val="nil"/>
            </w:tcBorders>
            <w:vAlign w:val="top"/>
          </w:tcPr>
          <w:p w14:paraId="097E2C3F">
            <w:pPr>
              <w:rPr>
                <w:rFonts w:ascii="Arial"/>
                <w:sz w:val="21"/>
              </w:rPr>
            </w:pPr>
          </w:p>
        </w:tc>
        <w:tc>
          <w:tcPr>
            <w:tcW w:w="1326" w:type="dxa"/>
            <w:vAlign w:val="top"/>
          </w:tcPr>
          <w:p w14:paraId="0299C516">
            <w:pPr>
              <w:spacing w:before="82" w:line="199" w:lineRule="auto"/>
              <w:ind w:left="63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177" w:type="dxa"/>
            <w:tcBorders>
              <w:right w:val="nil"/>
            </w:tcBorders>
            <w:vAlign w:val="top"/>
          </w:tcPr>
          <w:p w14:paraId="509705C7">
            <w:pPr>
              <w:spacing w:before="86" w:line="195" w:lineRule="auto"/>
              <w:ind w:left="42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1.23</w:t>
            </w:r>
          </w:p>
        </w:tc>
      </w:tr>
      <w:tr w14:paraId="5891B0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565" w:type="dxa"/>
            <w:vMerge w:val="restart"/>
            <w:tcBorders>
              <w:left w:val="nil"/>
              <w:bottom w:val="nil"/>
            </w:tcBorders>
            <w:vAlign w:val="top"/>
          </w:tcPr>
          <w:p w14:paraId="53093C6E">
            <w:pPr>
              <w:spacing w:before="242" w:line="192" w:lineRule="auto"/>
              <w:ind w:left="238"/>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693" w:type="dxa"/>
            <w:vMerge w:val="restart"/>
            <w:tcBorders>
              <w:bottom w:val="nil"/>
            </w:tcBorders>
            <w:vAlign w:val="top"/>
          </w:tcPr>
          <w:p w14:paraId="1C4A3746">
            <w:pPr>
              <w:spacing w:before="235" w:line="199"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556" w:type="dxa"/>
            <w:vMerge w:val="restart"/>
            <w:tcBorders>
              <w:bottom w:val="nil"/>
            </w:tcBorders>
            <w:vAlign w:val="top"/>
          </w:tcPr>
          <w:p w14:paraId="3A8404DE">
            <w:pPr>
              <w:pStyle w:val="6"/>
              <w:spacing w:before="67" w:line="242" w:lineRule="auto"/>
              <w:ind w:left="680" w:right="146" w:hanging="527"/>
              <w:rPr>
                <w:sz w:val="20"/>
                <w:szCs w:val="20"/>
              </w:rPr>
            </w:pPr>
            <w:r>
              <w:rPr>
                <w:spacing w:val="8"/>
                <w:sz w:val="20"/>
                <w:szCs w:val="20"/>
              </w:rPr>
              <w:t>烧结系统无组</w:t>
            </w:r>
            <w:r>
              <w:rPr>
                <w:spacing w:val="1"/>
                <w:sz w:val="20"/>
                <w:szCs w:val="20"/>
              </w:rPr>
              <w:t xml:space="preserve"> </w:t>
            </w:r>
            <w:r>
              <w:rPr>
                <w:sz w:val="20"/>
                <w:szCs w:val="20"/>
              </w:rPr>
              <w:t>织</w:t>
            </w:r>
          </w:p>
        </w:tc>
        <w:tc>
          <w:tcPr>
            <w:tcW w:w="1590" w:type="dxa"/>
            <w:vAlign w:val="top"/>
          </w:tcPr>
          <w:p w14:paraId="641BD5A7">
            <w:pPr>
              <w:pStyle w:val="6"/>
              <w:spacing w:before="47" w:line="228" w:lineRule="auto"/>
              <w:ind w:left="483"/>
              <w:rPr>
                <w:sz w:val="20"/>
                <w:szCs w:val="20"/>
              </w:rPr>
            </w:pPr>
            <w:r>
              <w:rPr>
                <w:spacing w:val="7"/>
                <w:sz w:val="20"/>
                <w:szCs w:val="20"/>
              </w:rPr>
              <w:t>颗粒物</w:t>
            </w:r>
          </w:p>
        </w:tc>
        <w:tc>
          <w:tcPr>
            <w:tcW w:w="1177" w:type="dxa"/>
            <w:vMerge w:val="restart"/>
            <w:tcBorders>
              <w:bottom w:val="nil"/>
            </w:tcBorders>
            <w:vAlign w:val="top"/>
          </w:tcPr>
          <w:p w14:paraId="73F47049">
            <w:pPr>
              <w:pStyle w:val="6"/>
              <w:spacing w:before="66"/>
              <w:ind w:left="398" w:right="108" w:hanging="285"/>
              <w:rPr>
                <w:sz w:val="20"/>
                <w:szCs w:val="20"/>
              </w:rPr>
            </w:pPr>
            <w:r>
              <w:rPr>
                <w:spacing w:val="-10"/>
                <w:sz w:val="20"/>
                <w:szCs w:val="20"/>
              </w:rPr>
              <w:t>封闭，喷雾</w:t>
            </w:r>
            <w:r>
              <w:rPr>
                <w:sz w:val="20"/>
                <w:szCs w:val="20"/>
              </w:rPr>
              <w:t xml:space="preserve"> </w:t>
            </w:r>
            <w:r>
              <w:rPr>
                <w:spacing w:val="-4"/>
                <w:sz w:val="20"/>
                <w:szCs w:val="20"/>
              </w:rPr>
              <w:t>降尘</w:t>
            </w:r>
          </w:p>
        </w:tc>
        <w:tc>
          <w:tcPr>
            <w:tcW w:w="1202" w:type="dxa"/>
            <w:vMerge w:val="continue"/>
            <w:tcBorders>
              <w:top w:val="nil"/>
              <w:bottom w:val="nil"/>
            </w:tcBorders>
            <w:vAlign w:val="top"/>
          </w:tcPr>
          <w:p w14:paraId="54329135">
            <w:pPr>
              <w:rPr>
                <w:rFonts w:ascii="Arial"/>
                <w:sz w:val="21"/>
              </w:rPr>
            </w:pPr>
          </w:p>
        </w:tc>
        <w:tc>
          <w:tcPr>
            <w:tcW w:w="1326" w:type="dxa"/>
            <w:vAlign w:val="top"/>
          </w:tcPr>
          <w:p w14:paraId="596E7109">
            <w:pPr>
              <w:spacing w:before="65" w:line="218" w:lineRule="auto"/>
              <w:ind w:left="27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1.0</w:t>
            </w:r>
            <w:r>
              <w:rPr>
                <w:rFonts w:ascii="Times New Roman" w:hAnsi="Times New Roman" w:eastAsia="Times New Roman" w:cs="Times New Roman"/>
                <w:sz w:val="20"/>
                <w:szCs w:val="20"/>
              </w:rPr>
              <w:t>mg</w:t>
            </w:r>
            <w:r>
              <w:rPr>
                <w:rFonts w:ascii="Times New Roman" w:hAnsi="Times New Roman" w:eastAsia="Times New Roman" w:cs="Times New Roman"/>
                <w:spacing w:val="2"/>
                <w:sz w:val="20"/>
                <w:szCs w:val="20"/>
              </w:rPr>
              <w:t>/m</w:t>
            </w:r>
            <w:r>
              <w:rPr>
                <w:rFonts w:ascii="Times New Roman" w:hAnsi="Times New Roman" w:eastAsia="Times New Roman" w:cs="Times New Roman"/>
                <w:spacing w:val="2"/>
                <w:position w:val="6"/>
                <w:sz w:val="13"/>
                <w:szCs w:val="13"/>
              </w:rPr>
              <w:t>3</w:t>
            </w:r>
          </w:p>
        </w:tc>
        <w:tc>
          <w:tcPr>
            <w:tcW w:w="1177" w:type="dxa"/>
            <w:tcBorders>
              <w:right w:val="nil"/>
            </w:tcBorders>
            <w:vAlign w:val="top"/>
          </w:tcPr>
          <w:p w14:paraId="707A4BDA">
            <w:pPr>
              <w:spacing w:before="85" w:line="195" w:lineRule="auto"/>
              <w:ind w:left="4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6.38</w:t>
            </w:r>
          </w:p>
        </w:tc>
      </w:tr>
      <w:tr w14:paraId="143C74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565" w:type="dxa"/>
            <w:vMerge w:val="continue"/>
            <w:tcBorders>
              <w:top w:val="nil"/>
              <w:left w:val="nil"/>
            </w:tcBorders>
            <w:vAlign w:val="top"/>
          </w:tcPr>
          <w:p w14:paraId="23787F8D">
            <w:pPr>
              <w:rPr>
                <w:rFonts w:ascii="Arial"/>
                <w:sz w:val="21"/>
              </w:rPr>
            </w:pPr>
          </w:p>
        </w:tc>
        <w:tc>
          <w:tcPr>
            <w:tcW w:w="693" w:type="dxa"/>
            <w:vMerge w:val="continue"/>
            <w:tcBorders>
              <w:top w:val="nil"/>
            </w:tcBorders>
            <w:vAlign w:val="top"/>
          </w:tcPr>
          <w:p w14:paraId="49F4B05D">
            <w:pPr>
              <w:rPr>
                <w:rFonts w:ascii="Arial"/>
                <w:sz w:val="21"/>
              </w:rPr>
            </w:pPr>
          </w:p>
        </w:tc>
        <w:tc>
          <w:tcPr>
            <w:tcW w:w="1556" w:type="dxa"/>
            <w:vMerge w:val="continue"/>
            <w:tcBorders>
              <w:top w:val="nil"/>
            </w:tcBorders>
            <w:vAlign w:val="top"/>
          </w:tcPr>
          <w:p w14:paraId="0F7BC6FC">
            <w:pPr>
              <w:rPr>
                <w:rFonts w:ascii="Arial"/>
                <w:sz w:val="21"/>
              </w:rPr>
            </w:pPr>
          </w:p>
        </w:tc>
        <w:tc>
          <w:tcPr>
            <w:tcW w:w="1590" w:type="dxa"/>
            <w:vAlign w:val="top"/>
          </w:tcPr>
          <w:p w14:paraId="297C52A6">
            <w:pPr>
              <w:pStyle w:val="6"/>
              <w:spacing w:before="49" w:line="227" w:lineRule="auto"/>
              <w:ind w:left="170"/>
              <w:rPr>
                <w:sz w:val="20"/>
                <w:szCs w:val="20"/>
              </w:rPr>
            </w:pPr>
            <w:r>
              <w:rPr>
                <w:spacing w:val="8"/>
                <w:sz w:val="20"/>
                <w:szCs w:val="20"/>
              </w:rPr>
              <w:t>锰及其化合物</w:t>
            </w:r>
          </w:p>
        </w:tc>
        <w:tc>
          <w:tcPr>
            <w:tcW w:w="1177" w:type="dxa"/>
            <w:vMerge w:val="continue"/>
            <w:tcBorders>
              <w:top w:val="nil"/>
            </w:tcBorders>
            <w:vAlign w:val="top"/>
          </w:tcPr>
          <w:p w14:paraId="3DBC8229">
            <w:pPr>
              <w:rPr>
                <w:rFonts w:ascii="Arial"/>
                <w:sz w:val="21"/>
              </w:rPr>
            </w:pPr>
          </w:p>
        </w:tc>
        <w:tc>
          <w:tcPr>
            <w:tcW w:w="1202" w:type="dxa"/>
            <w:vMerge w:val="continue"/>
            <w:tcBorders>
              <w:top w:val="nil"/>
              <w:bottom w:val="nil"/>
            </w:tcBorders>
            <w:vAlign w:val="top"/>
          </w:tcPr>
          <w:p w14:paraId="59FD5100">
            <w:pPr>
              <w:rPr>
                <w:rFonts w:ascii="Arial"/>
                <w:sz w:val="21"/>
              </w:rPr>
            </w:pPr>
          </w:p>
        </w:tc>
        <w:tc>
          <w:tcPr>
            <w:tcW w:w="1326" w:type="dxa"/>
            <w:vAlign w:val="top"/>
          </w:tcPr>
          <w:p w14:paraId="5B7832BD">
            <w:pPr>
              <w:spacing w:before="81" w:line="199" w:lineRule="auto"/>
              <w:ind w:left="63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177" w:type="dxa"/>
            <w:tcBorders>
              <w:right w:val="nil"/>
            </w:tcBorders>
            <w:vAlign w:val="top"/>
          </w:tcPr>
          <w:p w14:paraId="19F6B727">
            <w:pPr>
              <w:spacing w:before="85" w:line="195" w:lineRule="auto"/>
              <w:ind w:left="47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r>
      <w:tr w14:paraId="2E9DC7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565" w:type="dxa"/>
            <w:vMerge w:val="restart"/>
            <w:tcBorders>
              <w:left w:val="nil"/>
              <w:bottom w:val="nil"/>
            </w:tcBorders>
            <w:vAlign w:val="top"/>
          </w:tcPr>
          <w:p w14:paraId="20E6ECE9">
            <w:pPr>
              <w:spacing w:before="240" w:line="195" w:lineRule="auto"/>
              <w:ind w:left="243"/>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693" w:type="dxa"/>
            <w:vMerge w:val="restart"/>
            <w:tcBorders>
              <w:bottom w:val="nil"/>
            </w:tcBorders>
            <w:vAlign w:val="top"/>
          </w:tcPr>
          <w:p w14:paraId="6B0ACB03">
            <w:pPr>
              <w:spacing w:before="237" w:line="199"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556" w:type="dxa"/>
            <w:vMerge w:val="restart"/>
            <w:tcBorders>
              <w:bottom w:val="nil"/>
            </w:tcBorders>
            <w:vAlign w:val="top"/>
          </w:tcPr>
          <w:p w14:paraId="23862B68">
            <w:pPr>
              <w:pStyle w:val="6"/>
              <w:spacing w:before="69" w:line="239" w:lineRule="auto"/>
              <w:ind w:left="256" w:right="146" w:hanging="78"/>
              <w:rPr>
                <w:sz w:val="20"/>
                <w:szCs w:val="20"/>
              </w:rPr>
            </w:pPr>
            <w:r>
              <w:rPr>
                <w:spacing w:val="4"/>
                <w:sz w:val="20"/>
                <w:szCs w:val="20"/>
              </w:rPr>
              <w:t>电炉生产区配</w:t>
            </w:r>
            <w:r>
              <w:rPr>
                <w:sz w:val="20"/>
                <w:szCs w:val="20"/>
              </w:rPr>
              <w:t xml:space="preserve"> </w:t>
            </w:r>
            <w:r>
              <w:rPr>
                <w:spacing w:val="8"/>
                <w:sz w:val="20"/>
                <w:szCs w:val="20"/>
              </w:rPr>
              <w:t>料站无组织</w:t>
            </w:r>
          </w:p>
        </w:tc>
        <w:tc>
          <w:tcPr>
            <w:tcW w:w="1590" w:type="dxa"/>
            <w:vAlign w:val="top"/>
          </w:tcPr>
          <w:p w14:paraId="6A6A3970">
            <w:pPr>
              <w:pStyle w:val="6"/>
              <w:spacing w:before="49" w:line="227" w:lineRule="auto"/>
              <w:ind w:left="483"/>
              <w:rPr>
                <w:sz w:val="20"/>
                <w:szCs w:val="20"/>
              </w:rPr>
            </w:pPr>
            <w:r>
              <w:rPr>
                <w:spacing w:val="7"/>
                <w:sz w:val="20"/>
                <w:szCs w:val="20"/>
              </w:rPr>
              <w:t>颗粒物</w:t>
            </w:r>
          </w:p>
        </w:tc>
        <w:tc>
          <w:tcPr>
            <w:tcW w:w="1177" w:type="dxa"/>
            <w:vMerge w:val="restart"/>
            <w:tcBorders>
              <w:bottom w:val="nil"/>
            </w:tcBorders>
            <w:vAlign w:val="top"/>
          </w:tcPr>
          <w:p w14:paraId="05DBCC68">
            <w:pPr>
              <w:pStyle w:val="6"/>
              <w:spacing w:before="68" w:line="239" w:lineRule="auto"/>
              <w:ind w:left="398" w:right="108" w:hanging="285"/>
              <w:rPr>
                <w:sz w:val="20"/>
                <w:szCs w:val="20"/>
              </w:rPr>
            </w:pPr>
            <w:r>
              <w:rPr>
                <w:spacing w:val="-10"/>
                <w:sz w:val="20"/>
                <w:szCs w:val="20"/>
              </w:rPr>
              <w:t>封闭，喷雾</w:t>
            </w:r>
            <w:r>
              <w:rPr>
                <w:sz w:val="20"/>
                <w:szCs w:val="20"/>
              </w:rPr>
              <w:t xml:space="preserve"> </w:t>
            </w:r>
            <w:r>
              <w:rPr>
                <w:spacing w:val="-4"/>
                <w:sz w:val="20"/>
                <w:szCs w:val="20"/>
              </w:rPr>
              <w:t>降尘</w:t>
            </w:r>
          </w:p>
        </w:tc>
        <w:tc>
          <w:tcPr>
            <w:tcW w:w="1202" w:type="dxa"/>
            <w:vMerge w:val="continue"/>
            <w:tcBorders>
              <w:top w:val="nil"/>
              <w:bottom w:val="nil"/>
            </w:tcBorders>
            <w:vAlign w:val="top"/>
          </w:tcPr>
          <w:p w14:paraId="66568E7F">
            <w:pPr>
              <w:rPr>
                <w:rFonts w:ascii="Arial"/>
                <w:sz w:val="21"/>
              </w:rPr>
            </w:pPr>
          </w:p>
        </w:tc>
        <w:tc>
          <w:tcPr>
            <w:tcW w:w="1326" w:type="dxa"/>
            <w:vAlign w:val="top"/>
          </w:tcPr>
          <w:p w14:paraId="699C1B3D">
            <w:pPr>
              <w:spacing w:before="64" w:line="218" w:lineRule="auto"/>
              <w:ind w:left="27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1.0</w:t>
            </w:r>
            <w:r>
              <w:rPr>
                <w:rFonts w:ascii="Times New Roman" w:hAnsi="Times New Roman" w:eastAsia="Times New Roman" w:cs="Times New Roman"/>
                <w:sz w:val="20"/>
                <w:szCs w:val="20"/>
              </w:rPr>
              <w:t>mg</w:t>
            </w:r>
            <w:r>
              <w:rPr>
                <w:rFonts w:ascii="Times New Roman" w:hAnsi="Times New Roman" w:eastAsia="Times New Roman" w:cs="Times New Roman"/>
                <w:spacing w:val="2"/>
                <w:sz w:val="20"/>
                <w:szCs w:val="20"/>
              </w:rPr>
              <w:t>/m</w:t>
            </w:r>
            <w:r>
              <w:rPr>
                <w:rFonts w:ascii="Times New Roman" w:hAnsi="Times New Roman" w:eastAsia="Times New Roman" w:cs="Times New Roman"/>
                <w:spacing w:val="2"/>
                <w:position w:val="6"/>
                <w:sz w:val="13"/>
                <w:szCs w:val="13"/>
              </w:rPr>
              <w:t>3</w:t>
            </w:r>
          </w:p>
        </w:tc>
        <w:tc>
          <w:tcPr>
            <w:tcW w:w="1177" w:type="dxa"/>
            <w:tcBorders>
              <w:right w:val="nil"/>
            </w:tcBorders>
            <w:vAlign w:val="top"/>
          </w:tcPr>
          <w:p w14:paraId="4E5E8415">
            <w:pPr>
              <w:spacing w:before="84"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3×1.38</w:t>
            </w:r>
          </w:p>
        </w:tc>
      </w:tr>
      <w:tr w14:paraId="7E54B1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565" w:type="dxa"/>
            <w:vMerge w:val="continue"/>
            <w:tcBorders>
              <w:top w:val="nil"/>
              <w:left w:val="nil"/>
            </w:tcBorders>
            <w:vAlign w:val="top"/>
          </w:tcPr>
          <w:p w14:paraId="21CDBE61">
            <w:pPr>
              <w:rPr>
                <w:rFonts w:ascii="Arial"/>
                <w:sz w:val="21"/>
              </w:rPr>
            </w:pPr>
          </w:p>
        </w:tc>
        <w:tc>
          <w:tcPr>
            <w:tcW w:w="693" w:type="dxa"/>
            <w:vMerge w:val="continue"/>
            <w:tcBorders>
              <w:top w:val="nil"/>
            </w:tcBorders>
            <w:vAlign w:val="top"/>
          </w:tcPr>
          <w:p w14:paraId="6B9BA218">
            <w:pPr>
              <w:rPr>
                <w:rFonts w:ascii="Arial"/>
                <w:sz w:val="21"/>
              </w:rPr>
            </w:pPr>
          </w:p>
        </w:tc>
        <w:tc>
          <w:tcPr>
            <w:tcW w:w="1556" w:type="dxa"/>
            <w:vMerge w:val="continue"/>
            <w:tcBorders>
              <w:top w:val="nil"/>
            </w:tcBorders>
            <w:vAlign w:val="top"/>
          </w:tcPr>
          <w:p w14:paraId="38132239">
            <w:pPr>
              <w:rPr>
                <w:rFonts w:ascii="Arial"/>
                <w:sz w:val="21"/>
              </w:rPr>
            </w:pPr>
          </w:p>
        </w:tc>
        <w:tc>
          <w:tcPr>
            <w:tcW w:w="1590" w:type="dxa"/>
            <w:vAlign w:val="top"/>
          </w:tcPr>
          <w:p w14:paraId="6A344B2A">
            <w:pPr>
              <w:pStyle w:val="6"/>
              <w:spacing w:before="49" w:line="227" w:lineRule="auto"/>
              <w:ind w:left="170"/>
              <w:rPr>
                <w:sz w:val="20"/>
                <w:szCs w:val="20"/>
              </w:rPr>
            </w:pPr>
            <w:r>
              <w:rPr>
                <w:spacing w:val="8"/>
                <w:sz w:val="20"/>
                <w:szCs w:val="20"/>
              </w:rPr>
              <w:t>锰及其化合物</w:t>
            </w:r>
          </w:p>
        </w:tc>
        <w:tc>
          <w:tcPr>
            <w:tcW w:w="1177" w:type="dxa"/>
            <w:vMerge w:val="continue"/>
            <w:tcBorders>
              <w:top w:val="nil"/>
            </w:tcBorders>
            <w:vAlign w:val="top"/>
          </w:tcPr>
          <w:p w14:paraId="79FBB4AB">
            <w:pPr>
              <w:rPr>
                <w:rFonts w:ascii="Arial"/>
                <w:sz w:val="21"/>
              </w:rPr>
            </w:pPr>
          </w:p>
        </w:tc>
        <w:tc>
          <w:tcPr>
            <w:tcW w:w="1202" w:type="dxa"/>
            <w:vMerge w:val="continue"/>
            <w:tcBorders>
              <w:top w:val="nil"/>
              <w:bottom w:val="nil"/>
            </w:tcBorders>
            <w:vAlign w:val="top"/>
          </w:tcPr>
          <w:p w14:paraId="76BBA077">
            <w:pPr>
              <w:rPr>
                <w:rFonts w:ascii="Arial"/>
                <w:sz w:val="21"/>
              </w:rPr>
            </w:pPr>
          </w:p>
        </w:tc>
        <w:tc>
          <w:tcPr>
            <w:tcW w:w="1326" w:type="dxa"/>
            <w:vAlign w:val="top"/>
          </w:tcPr>
          <w:p w14:paraId="4B3DE81C">
            <w:pPr>
              <w:spacing w:before="80" w:line="199" w:lineRule="auto"/>
              <w:ind w:left="63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177" w:type="dxa"/>
            <w:tcBorders>
              <w:right w:val="nil"/>
            </w:tcBorders>
            <w:vAlign w:val="top"/>
          </w:tcPr>
          <w:p w14:paraId="2E105206">
            <w:pPr>
              <w:spacing w:before="84"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w:t>
            </w:r>
            <w:r>
              <w:rPr>
                <w:rFonts w:ascii="Times New Roman" w:hAnsi="Times New Roman" w:eastAsia="Times New Roman" w:cs="Times New Roman"/>
                <w:spacing w:val="-22"/>
                <w:sz w:val="20"/>
                <w:szCs w:val="20"/>
              </w:rPr>
              <w:t xml:space="preserve"> </w:t>
            </w:r>
            <w:r>
              <w:rPr>
                <w:rFonts w:ascii="Times New Roman" w:hAnsi="Times New Roman" w:eastAsia="Times New Roman" w:cs="Times New Roman"/>
                <w:spacing w:val="-2"/>
                <w:sz w:val="20"/>
                <w:szCs w:val="20"/>
              </w:rPr>
              <w:t>14</w:t>
            </w:r>
          </w:p>
        </w:tc>
      </w:tr>
      <w:tr w14:paraId="6B3B2C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565" w:type="dxa"/>
            <w:vMerge w:val="restart"/>
            <w:tcBorders>
              <w:left w:val="nil"/>
              <w:bottom w:val="nil"/>
            </w:tcBorders>
            <w:vAlign w:val="top"/>
          </w:tcPr>
          <w:p w14:paraId="403E610C">
            <w:pPr>
              <w:spacing w:before="240" w:line="195" w:lineRule="auto"/>
              <w:ind w:left="239"/>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693" w:type="dxa"/>
            <w:vMerge w:val="restart"/>
            <w:tcBorders>
              <w:bottom w:val="nil"/>
            </w:tcBorders>
            <w:vAlign w:val="top"/>
          </w:tcPr>
          <w:p w14:paraId="5A1125CF">
            <w:pPr>
              <w:spacing w:before="236" w:line="199"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556" w:type="dxa"/>
            <w:vMerge w:val="restart"/>
            <w:tcBorders>
              <w:bottom w:val="nil"/>
            </w:tcBorders>
            <w:vAlign w:val="top"/>
          </w:tcPr>
          <w:p w14:paraId="0B4576A3">
            <w:pPr>
              <w:pStyle w:val="6"/>
              <w:spacing w:before="67" w:line="241" w:lineRule="auto"/>
              <w:ind w:left="680" w:right="146" w:hanging="502"/>
              <w:rPr>
                <w:sz w:val="20"/>
                <w:szCs w:val="20"/>
              </w:rPr>
            </w:pPr>
            <w:r>
              <w:rPr>
                <w:spacing w:val="4"/>
                <w:sz w:val="20"/>
                <w:szCs w:val="20"/>
              </w:rPr>
              <w:t>电炉车间无组</w:t>
            </w:r>
            <w:r>
              <w:rPr>
                <w:sz w:val="20"/>
                <w:szCs w:val="20"/>
              </w:rPr>
              <w:t xml:space="preserve"> 织</w:t>
            </w:r>
          </w:p>
        </w:tc>
        <w:tc>
          <w:tcPr>
            <w:tcW w:w="1590" w:type="dxa"/>
            <w:vAlign w:val="top"/>
          </w:tcPr>
          <w:p w14:paraId="610E2EE5">
            <w:pPr>
              <w:pStyle w:val="6"/>
              <w:spacing w:before="48" w:line="228" w:lineRule="auto"/>
              <w:ind w:left="483"/>
              <w:rPr>
                <w:sz w:val="20"/>
                <w:szCs w:val="20"/>
              </w:rPr>
            </w:pPr>
            <w:r>
              <w:rPr>
                <w:spacing w:val="7"/>
                <w:sz w:val="20"/>
                <w:szCs w:val="20"/>
              </w:rPr>
              <w:t>颗粒物</w:t>
            </w:r>
          </w:p>
        </w:tc>
        <w:tc>
          <w:tcPr>
            <w:tcW w:w="1177" w:type="dxa"/>
            <w:vMerge w:val="restart"/>
            <w:tcBorders>
              <w:bottom w:val="nil"/>
            </w:tcBorders>
            <w:vAlign w:val="top"/>
          </w:tcPr>
          <w:p w14:paraId="797ED2AE">
            <w:pPr>
              <w:pStyle w:val="6"/>
              <w:spacing w:before="67" w:line="239" w:lineRule="auto"/>
              <w:ind w:left="398" w:right="108" w:hanging="285"/>
              <w:rPr>
                <w:sz w:val="20"/>
                <w:szCs w:val="20"/>
              </w:rPr>
            </w:pPr>
            <w:r>
              <w:rPr>
                <w:spacing w:val="-10"/>
                <w:sz w:val="20"/>
                <w:szCs w:val="20"/>
              </w:rPr>
              <w:t>封闭，喷雾</w:t>
            </w:r>
            <w:r>
              <w:rPr>
                <w:sz w:val="20"/>
                <w:szCs w:val="20"/>
              </w:rPr>
              <w:t xml:space="preserve"> </w:t>
            </w:r>
            <w:r>
              <w:rPr>
                <w:spacing w:val="-4"/>
                <w:sz w:val="20"/>
                <w:szCs w:val="20"/>
              </w:rPr>
              <w:t>降尘</w:t>
            </w:r>
          </w:p>
        </w:tc>
        <w:tc>
          <w:tcPr>
            <w:tcW w:w="1202" w:type="dxa"/>
            <w:vMerge w:val="continue"/>
            <w:tcBorders>
              <w:top w:val="nil"/>
              <w:bottom w:val="nil"/>
            </w:tcBorders>
            <w:vAlign w:val="top"/>
          </w:tcPr>
          <w:p w14:paraId="32D2ED1F">
            <w:pPr>
              <w:rPr>
                <w:rFonts w:ascii="Arial"/>
                <w:sz w:val="21"/>
              </w:rPr>
            </w:pPr>
          </w:p>
        </w:tc>
        <w:tc>
          <w:tcPr>
            <w:tcW w:w="1326" w:type="dxa"/>
            <w:vAlign w:val="top"/>
          </w:tcPr>
          <w:p w14:paraId="14901340">
            <w:pPr>
              <w:spacing w:before="66" w:line="215" w:lineRule="auto"/>
              <w:ind w:left="273"/>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1.0</w:t>
            </w:r>
            <w:r>
              <w:rPr>
                <w:rFonts w:ascii="Times New Roman" w:hAnsi="Times New Roman" w:eastAsia="Times New Roman" w:cs="Times New Roman"/>
                <w:sz w:val="20"/>
                <w:szCs w:val="20"/>
              </w:rPr>
              <w:t>mg</w:t>
            </w:r>
            <w:r>
              <w:rPr>
                <w:rFonts w:ascii="Times New Roman" w:hAnsi="Times New Roman" w:eastAsia="Times New Roman" w:cs="Times New Roman"/>
                <w:spacing w:val="2"/>
                <w:sz w:val="20"/>
                <w:szCs w:val="20"/>
              </w:rPr>
              <w:t>/m</w:t>
            </w:r>
            <w:r>
              <w:rPr>
                <w:rFonts w:ascii="Times New Roman" w:hAnsi="Times New Roman" w:eastAsia="Times New Roman" w:cs="Times New Roman"/>
                <w:spacing w:val="2"/>
                <w:position w:val="6"/>
                <w:sz w:val="13"/>
                <w:szCs w:val="13"/>
              </w:rPr>
              <w:t>3</w:t>
            </w:r>
          </w:p>
        </w:tc>
        <w:tc>
          <w:tcPr>
            <w:tcW w:w="1177" w:type="dxa"/>
            <w:tcBorders>
              <w:right w:val="nil"/>
            </w:tcBorders>
            <w:vAlign w:val="top"/>
          </w:tcPr>
          <w:p w14:paraId="3094AB2B">
            <w:pPr>
              <w:spacing w:before="84"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3×0.63</w:t>
            </w:r>
          </w:p>
        </w:tc>
      </w:tr>
      <w:tr w14:paraId="6AC237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65" w:type="dxa"/>
            <w:vMerge w:val="continue"/>
            <w:tcBorders>
              <w:top w:val="nil"/>
              <w:left w:val="nil"/>
            </w:tcBorders>
            <w:vAlign w:val="top"/>
          </w:tcPr>
          <w:p w14:paraId="62CD1F3D">
            <w:pPr>
              <w:rPr>
                <w:rFonts w:ascii="Arial"/>
                <w:sz w:val="21"/>
              </w:rPr>
            </w:pPr>
          </w:p>
        </w:tc>
        <w:tc>
          <w:tcPr>
            <w:tcW w:w="693" w:type="dxa"/>
            <w:vMerge w:val="continue"/>
            <w:tcBorders>
              <w:top w:val="nil"/>
            </w:tcBorders>
            <w:vAlign w:val="top"/>
          </w:tcPr>
          <w:p w14:paraId="36D57959">
            <w:pPr>
              <w:rPr>
                <w:rFonts w:ascii="Arial"/>
                <w:sz w:val="21"/>
              </w:rPr>
            </w:pPr>
          </w:p>
        </w:tc>
        <w:tc>
          <w:tcPr>
            <w:tcW w:w="1556" w:type="dxa"/>
            <w:vMerge w:val="continue"/>
            <w:tcBorders>
              <w:top w:val="nil"/>
            </w:tcBorders>
            <w:vAlign w:val="top"/>
          </w:tcPr>
          <w:p w14:paraId="3BC79734">
            <w:pPr>
              <w:rPr>
                <w:rFonts w:ascii="Arial"/>
                <w:sz w:val="21"/>
              </w:rPr>
            </w:pPr>
          </w:p>
        </w:tc>
        <w:tc>
          <w:tcPr>
            <w:tcW w:w="1590" w:type="dxa"/>
            <w:vAlign w:val="top"/>
          </w:tcPr>
          <w:p w14:paraId="18C0EA99">
            <w:pPr>
              <w:pStyle w:val="6"/>
              <w:spacing w:before="47" w:line="229" w:lineRule="auto"/>
              <w:ind w:left="170"/>
              <w:rPr>
                <w:sz w:val="20"/>
                <w:szCs w:val="20"/>
              </w:rPr>
            </w:pPr>
            <w:r>
              <w:rPr>
                <w:spacing w:val="8"/>
                <w:sz w:val="20"/>
                <w:szCs w:val="20"/>
              </w:rPr>
              <w:t>锰及其化合物</w:t>
            </w:r>
          </w:p>
        </w:tc>
        <w:tc>
          <w:tcPr>
            <w:tcW w:w="1177" w:type="dxa"/>
            <w:vMerge w:val="continue"/>
            <w:tcBorders>
              <w:top w:val="nil"/>
            </w:tcBorders>
            <w:vAlign w:val="top"/>
          </w:tcPr>
          <w:p w14:paraId="6816B720">
            <w:pPr>
              <w:rPr>
                <w:rFonts w:ascii="Arial"/>
                <w:sz w:val="21"/>
              </w:rPr>
            </w:pPr>
          </w:p>
        </w:tc>
        <w:tc>
          <w:tcPr>
            <w:tcW w:w="1202" w:type="dxa"/>
            <w:vMerge w:val="continue"/>
            <w:tcBorders>
              <w:top w:val="nil"/>
            </w:tcBorders>
            <w:vAlign w:val="top"/>
          </w:tcPr>
          <w:p w14:paraId="55373FB5">
            <w:pPr>
              <w:rPr>
                <w:rFonts w:ascii="Arial"/>
                <w:sz w:val="21"/>
              </w:rPr>
            </w:pPr>
          </w:p>
        </w:tc>
        <w:tc>
          <w:tcPr>
            <w:tcW w:w="1326" w:type="dxa"/>
            <w:vAlign w:val="top"/>
          </w:tcPr>
          <w:p w14:paraId="5F9534CD">
            <w:pPr>
              <w:spacing w:before="82" w:line="199" w:lineRule="auto"/>
              <w:ind w:left="63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177" w:type="dxa"/>
            <w:tcBorders>
              <w:right w:val="nil"/>
            </w:tcBorders>
            <w:vAlign w:val="top"/>
          </w:tcPr>
          <w:p w14:paraId="5F906C18">
            <w:pPr>
              <w:spacing w:before="86"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3×0.17</w:t>
            </w:r>
          </w:p>
        </w:tc>
      </w:tr>
    </w:tbl>
    <w:p w14:paraId="777CBAE8">
      <w:pPr>
        <w:spacing w:before="36" w:line="228" w:lineRule="auto"/>
        <w:ind w:left="3917"/>
        <w:rPr>
          <w:rFonts w:ascii="宋体" w:hAnsi="宋体" w:eastAsia="宋体" w:cs="宋体"/>
          <w:sz w:val="20"/>
          <w:szCs w:val="20"/>
        </w:rPr>
      </w:pPr>
      <w:r>
        <w:rPr>
          <w:rFonts w:ascii="宋体" w:hAnsi="宋体" w:eastAsia="宋体" w:cs="宋体"/>
          <w:spacing w:val="8"/>
          <w:sz w:val="20"/>
          <w:szCs w:val="20"/>
        </w:rPr>
        <w:t>无组织排放统计</w:t>
      </w:r>
    </w:p>
    <w:p w14:paraId="3EE6D734">
      <w:pPr>
        <w:spacing w:line="28" w:lineRule="auto"/>
        <w:rPr>
          <w:rFonts w:ascii="Arial"/>
          <w:sz w:val="2"/>
        </w:rPr>
      </w:pPr>
    </w:p>
    <w:tbl>
      <w:tblPr>
        <w:tblStyle w:val="5"/>
        <w:tblW w:w="928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14"/>
        <w:gridCol w:w="5294"/>
        <w:gridCol w:w="1177"/>
      </w:tblGrid>
      <w:tr w14:paraId="5EB5F8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2" w:hRule="atLeast"/>
        </w:trPr>
        <w:tc>
          <w:tcPr>
            <w:tcW w:w="2814" w:type="dxa"/>
            <w:vMerge w:val="restart"/>
            <w:tcBorders>
              <w:left w:val="nil"/>
              <w:bottom w:val="nil"/>
            </w:tcBorders>
            <w:vAlign w:val="top"/>
          </w:tcPr>
          <w:p w14:paraId="476401D1">
            <w:pPr>
              <w:spacing w:before="221" w:line="199" w:lineRule="auto"/>
              <w:ind w:left="137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5294" w:type="dxa"/>
            <w:vAlign w:val="top"/>
          </w:tcPr>
          <w:p w14:paraId="20FEA1E2">
            <w:pPr>
              <w:pStyle w:val="6"/>
              <w:spacing w:before="40" w:line="214" w:lineRule="auto"/>
              <w:ind w:left="2336"/>
              <w:rPr>
                <w:sz w:val="20"/>
                <w:szCs w:val="20"/>
              </w:rPr>
            </w:pPr>
            <w:r>
              <w:rPr>
                <w:spacing w:val="7"/>
                <w:sz w:val="20"/>
                <w:szCs w:val="20"/>
              </w:rPr>
              <w:t>颗粒物</w:t>
            </w:r>
          </w:p>
        </w:tc>
        <w:tc>
          <w:tcPr>
            <w:tcW w:w="1177" w:type="dxa"/>
            <w:tcBorders>
              <w:right w:val="nil"/>
            </w:tcBorders>
            <w:vAlign w:val="top"/>
          </w:tcPr>
          <w:p w14:paraId="4195EF5E">
            <w:pPr>
              <w:spacing w:before="76" w:line="195" w:lineRule="auto"/>
              <w:ind w:left="37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19.88</w:t>
            </w:r>
          </w:p>
        </w:tc>
      </w:tr>
      <w:tr w14:paraId="3C2E6F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1" w:hRule="atLeast"/>
        </w:trPr>
        <w:tc>
          <w:tcPr>
            <w:tcW w:w="2814" w:type="dxa"/>
            <w:vMerge w:val="continue"/>
            <w:tcBorders>
              <w:top w:val="nil"/>
              <w:left w:val="nil"/>
              <w:bottom w:val="single" w:color="000000" w:sz="10" w:space="0"/>
            </w:tcBorders>
            <w:vAlign w:val="top"/>
          </w:tcPr>
          <w:p w14:paraId="746FBC10">
            <w:pPr>
              <w:rPr>
                <w:rFonts w:ascii="Arial"/>
                <w:sz w:val="21"/>
              </w:rPr>
            </w:pPr>
          </w:p>
        </w:tc>
        <w:tc>
          <w:tcPr>
            <w:tcW w:w="5294" w:type="dxa"/>
            <w:tcBorders>
              <w:bottom w:val="single" w:color="000000" w:sz="10" w:space="0"/>
            </w:tcBorders>
            <w:vAlign w:val="top"/>
          </w:tcPr>
          <w:p w14:paraId="48243383">
            <w:pPr>
              <w:pStyle w:val="6"/>
              <w:spacing w:before="48" w:line="224" w:lineRule="auto"/>
              <w:ind w:left="2023"/>
              <w:rPr>
                <w:sz w:val="20"/>
                <w:szCs w:val="20"/>
              </w:rPr>
            </w:pPr>
            <w:r>
              <w:rPr>
                <w:spacing w:val="8"/>
                <w:sz w:val="20"/>
                <w:szCs w:val="20"/>
              </w:rPr>
              <w:t>锰及其化合物</w:t>
            </w:r>
          </w:p>
        </w:tc>
        <w:tc>
          <w:tcPr>
            <w:tcW w:w="1177" w:type="dxa"/>
            <w:tcBorders>
              <w:bottom w:val="single" w:color="000000" w:sz="10" w:space="0"/>
              <w:right w:val="nil"/>
            </w:tcBorders>
            <w:vAlign w:val="top"/>
          </w:tcPr>
          <w:p w14:paraId="3B9BE613">
            <w:pPr>
              <w:spacing w:before="84" w:line="195" w:lineRule="auto"/>
              <w:ind w:left="41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3.16</w:t>
            </w:r>
          </w:p>
        </w:tc>
      </w:tr>
    </w:tbl>
    <w:p w14:paraId="21FD7A46">
      <w:pPr>
        <w:spacing w:before="31" w:line="227" w:lineRule="auto"/>
        <w:ind w:left="2666"/>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0"/>
          <w:sz w:val="20"/>
          <w:szCs w:val="20"/>
        </w:rPr>
        <w:t xml:space="preserve"> </w:t>
      </w:r>
      <w:r>
        <w:rPr>
          <w:rFonts w:ascii="Times New Roman" w:hAnsi="Times New Roman" w:eastAsia="Times New Roman" w:cs="Times New Roman"/>
          <w:b/>
          <w:bCs/>
          <w:spacing w:val="5"/>
          <w:sz w:val="20"/>
          <w:szCs w:val="20"/>
        </w:rPr>
        <w:t xml:space="preserve">4.1-15        </w:t>
      </w:r>
      <w:r>
        <w:rPr>
          <w:rFonts w:ascii="宋体" w:hAnsi="宋体" w:eastAsia="宋体" w:cs="宋体"/>
          <w:b/>
          <w:bCs/>
          <w:spacing w:val="5"/>
          <w:sz w:val="20"/>
          <w:szCs w:val="20"/>
        </w:rPr>
        <w:t>项目大气污染物年排放量核算</w:t>
      </w:r>
    </w:p>
    <w:p w14:paraId="4787991B">
      <w:pPr>
        <w:spacing w:line="132" w:lineRule="exact"/>
      </w:pPr>
    </w:p>
    <w:tbl>
      <w:tblPr>
        <w:tblStyle w:val="5"/>
        <w:tblW w:w="9096" w:type="dxa"/>
        <w:tblInd w:w="9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34"/>
        <w:gridCol w:w="3724"/>
        <w:gridCol w:w="4138"/>
      </w:tblGrid>
      <w:tr w14:paraId="1A24FD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1234" w:type="dxa"/>
            <w:tcBorders>
              <w:top w:val="single" w:color="000000" w:sz="10" w:space="0"/>
              <w:left w:val="nil"/>
            </w:tcBorders>
            <w:vAlign w:val="top"/>
          </w:tcPr>
          <w:p w14:paraId="4CB5AA65">
            <w:pPr>
              <w:pStyle w:val="6"/>
              <w:spacing w:before="50" w:line="209" w:lineRule="auto"/>
              <w:ind w:left="412"/>
              <w:rPr>
                <w:sz w:val="20"/>
                <w:szCs w:val="20"/>
              </w:rPr>
            </w:pPr>
            <w:r>
              <w:rPr>
                <w:b/>
                <w:bCs/>
                <w:spacing w:val="4"/>
                <w:sz w:val="20"/>
                <w:szCs w:val="20"/>
              </w:rPr>
              <w:t>序号</w:t>
            </w:r>
          </w:p>
        </w:tc>
        <w:tc>
          <w:tcPr>
            <w:tcW w:w="3724" w:type="dxa"/>
            <w:tcBorders>
              <w:top w:val="single" w:color="000000" w:sz="10" w:space="0"/>
            </w:tcBorders>
            <w:vAlign w:val="top"/>
          </w:tcPr>
          <w:p w14:paraId="7018F93B">
            <w:pPr>
              <w:pStyle w:val="6"/>
              <w:spacing w:before="50" w:line="209" w:lineRule="auto"/>
              <w:ind w:left="1552"/>
              <w:rPr>
                <w:sz w:val="20"/>
                <w:szCs w:val="20"/>
              </w:rPr>
            </w:pPr>
            <w:r>
              <w:rPr>
                <w:b/>
                <w:bCs/>
                <w:spacing w:val="5"/>
                <w:sz w:val="20"/>
                <w:szCs w:val="20"/>
              </w:rPr>
              <w:t>污染物</w:t>
            </w:r>
          </w:p>
        </w:tc>
        <w:tc>
          <w:tcPr>
            <w:tcW w:w="4138" w:type="dxa"/>
            <w:tcBorders>
              <w:top w:val="single" w:color="000000" w:sz="10" w:space="0"/>
              <w:right w:val="nil"/>
            </w:tcBorders>
            <w:vAlign w:val="top"/>
          </w:tcPr>
          <w:p w14:paraId="08CA780C">
            <w:pPr>
              <w:pStyle w:val="6"/>
              <w:spacing w:before="50" w:line="209" w:lineRule="auto"/>
              <w:ind w:left="1326"/>
              <w:rPr>
                <w:sz w:val="20"/>
                <w:szCs w:val="20"/>
              </w:rPr>
            </w:pPr>
            <w:r>
              <w:rPr>
                <w:b/>
                <w:bCs/>
                <w:spacing w:val="4"/>
                <w:sz w:val="20"/>
                <w:szCs w:val="20"/>
              </w:rPr>
              <w:t>年排放量（</w:t>
            </w:r>
            <w:r>
              <w:rPr>
                <w:rFonts w:ascii="Times New Roman" w:hAnsi="Times New Roman" w:eastAsia="Times New Roman" w:cs="Times New Roman"/>
                <w:b/>
                <w:bCs/>
                <w:spacing w:val="4"/>
                <w:sz w:val="20"/>
                <w:szCs w:val="20"/>
              </w:rPr>
              <w:t>t/a</w:t>
            </w:r>
            <w:r>
              <w:rPr>
                <w:b/>
                <w:bCs/>
                <w:spacing w:val="4"/>
                <w:sz w:val="20"/>
                <w:szCs w:val="20"/>
              </w:rPr>
              <w:t>）</w:t>
            </w:r>
          </w:p>
        </w:tc>
      </w:tr>
      <w:tr w14:paraId="74CD86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1234" w:type="dxa"/>
            <w:tcBorders>
              <w:left w:val="nil"/>
            </w:tcBorders>
            <w:vAlign w:val="top"/>
          </w:tcPr>
          <w:p w14:paraId="16217514">
            <w:pPr>
              <w:spacing w:before="73" w:line="195" w:lineRule="auto"/>
              <w:ind w:left="588"/>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3724" w:type="dxa"/>
            <w:vAlign w:val="top"/>
          </w:tcPr>
          <w:p w14:paraId="6F54884A">
            <w:pPr>
              <w:pStyle w:val="6"/>
              <w:spacing w:before="58" w:line="216" w:lineRule="auto"/>
              <w:ind w:left="1552"/>
              <w:rPr>
                <w:sz w:val="20"/>
                <w:szCs w:val="20"/>
              </w:rPr>
            </w:pPr>
            <w:r>
              <w:rPr>
                <w:spacing w:val="7"/>
                <w:sz w:val="20"/>
                <w:szCs w:val="20"/>
              </w:rPr>
              <w:t>颗粒物</w:t>
            </w:r>
          </w:p>
        </w:tc>
        <w:tc>
          <w:tcPr>
            <w:tcW w:w="4138" w:type="dxa"/>
            <w:tcBorders>
              <w:right w:val="nil"/>
            </w:tcBorders>
            <w:vAlign w:val="top"/>
          </w:tcPr>
          <w:p w14:paraId="10B8E14B">
            <w:pPr>
              <w:spacing w:before="94" w:line="195" w:lineRule="auto"/>
              <w:ind w:left="1800"/>
              <w:rPr>
                <w:rFonts w:ascii="Times New Roman" w:hAnsi="Times New Roman" w:eastAsia="Times New Roman" w:cs="Times New Roman"/>
                <w:sz w:val="20"/>
                <w:szCs w:val="20"/>
              </w:rPr>
            </w:pPr>
            <w:r>
              <w:rPr>
                <w:rFonts w:ascii="Times New Roman" w:hAnsi="Times New Roman" w:eastAsia="Times New Roman" w:cs="Times New Roman"/>
                <w:sz w:val="20"/>
                <w:szCs w:val="20"/>
              </w:rPr>
              <w:t>117.53</w:t>
            </w:r>
          </w:p>
        </w:tc>
      </w:tr>
      <w:tr w14:paraId="46C321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1234" w:type="dxa"/>
            <w:tcBorders>
              <w:left w:val="nil"/>
            </w:tcBorders>
            <w:vAlign w:val="top"/>
          </w:tcPr>
          <w:p w14:paraId="655EA2E0">
            <w:pPr>
              <w:spacing w:before="77" w:line="195" w:lineRule="auto"/>
              <w:ind w:left="568"/>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3724" w:type="dxa"/>
            <w:vAlign w:val="top"/>
          </w:tcPr>
          <w:p w14:paraId="27664981">
            <w:pPr>
              <w:pStyle w:val="6"/>
              <w:spacing w:before="63" w:line="212" w:lineRule="auto"/>
              <w:ind w:left="1236"/>
              <w:rPr>
                <w:sz w:val="20"/>
                <w:szCs w:val="20"/>
              </w:rPr>
            </w:pPr>
            <w:r>
              <w:rPr>
                <w:spacing w:val="8"/>
                <w:sz w:val="20"/>
                <w:szCs w:val="20"/>
              </w:rPr>
              <w:t>锰及其化合物</w:t>
            </w:r>
          </w:p>
        </w:tc>
        <w:tc>
          <w:tcPr>
            <w:tcW w:w="4138" w:type="dxa"/>
            <w:tcBorders>
              <w:right w:val="nil"/>
            </w:tcBorders>
            <w:vAlign w:val="top"/>
          </w:tcPr>
          <w:p w14:paraId="0C0E732B">
            <w:pPr>
              <w:spacing w:before="98" w:line="195" w:lineRule="auto"/>
              <w:ind w:left="18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19.91</w:t>
            </w:r>
          </w:p>
        </w:tc>
      </w:tr>
      <w:tr w14:paraId="70DC8F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1234" w:type="dxa"/>
            <w:tcBorders>
              <w:left w:val="nil"/>
            </w:tcBorders>
            <w:vAlign w:val="top"/>
          </w:tcPr>
          <w:p w14:paraId="04C3738D">
            <w:pPr>
              <w:spacing w:before="81" w:line="195" w:lineRule="auto"/>
              <w:ind w:left="572"/>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3724" w:type="dxa"/>
            <w:vAlign w:val="top"/>
          </w:tcPr>
          <w:p w14:paraId="77E9B619">
            <w:pPr>
              <w:spacing w:before="103" w:line="198" w:lineRule="auto"/>
              <w:ind w:left="1704"/>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4138" w:type="dxa"/>
            <w:tcBorders>
              <w:right w:val="nil"/>
            </w:tcBorders>
            <w:vAlign w:val="top"/>
          </w:tcPr>
          <w:p w14:paraId="7FF586C3">
            <w:pPr>
              <w:spacing w:before="102" w:line="195" w:lineRule="auto"/>
              <w:ind w:left="1800"/>
              <w:rPr>
                <w:rFonts w:ascii="Times New Roman" w:hAnsi="Times New Roman" w:eastAsia="Times New Roman" w:cs="Times New Roman"/>
                <w:sz w:val="20"/>
                <w:szCs w:val="20"/>
              </w:rPr>
            </w:pPr>
            <w:r>
              <w:rPr>
                <w:rFonts w:ascii="Times New Roman" w:hAnsi="Times New Roman" w:eastAsia="Times New Roman" w:cs="Times New Roman"/>
                <w:sz w:val="20"/>
                <w:szCs w:val="20"/>
              </w:rPr>
              <w:t>109.34</w:t>
            </w:r>
          </w:p>
        </w:tc>
      </w:tr>
      <w:tr w14:paraId="08E219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1234" w:type="dxa"/>
            <w:tcBorders>
              <w:left w:val="nil"/>
            </w:tcBorders>
            <w:vAlign w:val="top"/>
          </w:tcPr>
          <w:p w14:paraId="6088F34B">
            <w:pPr>
              <w:spacing w:before="88" w:line="192" w:lineRule="auto"/>
              <w:ind w:left="574"/>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3724" w:type="dxa"/>
            <w:vAlign w:val="top"/>
          </w:tcPr>
          <w:p w14:paraId="3A1DB8EE">
            <w:pPr>
              <w:spacing w:before="107" w:line="194" w:lineRule="auto"/>
              <w:ind w:left="1669"/>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4138" w:type="dxa"/>
            <w:tcBorders>
              <w:right w:val="nil"/>
            </w:tcBorders>
            <w:vAlign w:val="top"/>
          </w:tcPr>
          <w:p w14:paraId="7A30166F">
            <w:pPr>
              <w:spacing w:before="107" w:line="194" w:lineRule="auto"/>
              <w:ind w:left="17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477.80</w:t>
            </w:r>
          </w:p>
        </w:tc>
      </w:tr>
      <w:tr w14:paraId="59B0E4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1234" w:type="dxa"/>
            <w:tcBorders>
              <w:left w:val="nil"/>
              <w:bottom w:val="single" w:color="000000" w:sz="10" w:space="0"/>
            </w:tcBorders>
            <w:vAlign w:val="top"/>
          </w:tcPr>
          <w:p w14:paraId="523B38C9">
            <w:pPr>
              <w:spacing w:before="92" w:line="192" w:lineRule="auto"/>
              <w:ind w:left="571"/>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3724" w:type="dxa"/>
            <w:tcBorders>
              <w:bottom w:val="single" w:color="000000" w:sz="10" w:space="0"/>
            </w:tcBorders>
            <w:vAlign w:val="top"/>
          </w:tcPr>
          <w:p w14:paraId="7F1C9F7C">
            <w:pPr>
              <w:spacing w:before="114" w:line="196" w:lineRule="auto"/>
              <w:ind w:left="1669"/>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NH</w:t>
            </w:r>
            <w:r>
              <w:rPr>
                <w:rFonts w:ascii="Times New Roman" w:hAnsi="Times New Roman" w:eastAsia="Times New Roman" w:cs="Times New Roman"/>
                <w:spacing w:val="7"/>
                <w:position w:val="-1"/>
                <w:sz w:val="13"/>
                <w:szCs w:val="13"/>
              </w:rPr>
              <w:t>3</w:t>
            </w:r>
          </w:p>
        </w:tc>
        <w:tc>
          <w:tcPr>
            <w:tcW w:w="4138" w:type="dxa"/>
            <w:tcBorders>
              <w:bottom w:val="single" w:color="000000" w:sz="10" w:space="0"/>
              <w:right w:val="nil"/>
            </w:tcBorders>
            <w:vAlign w:val="top"/>
          </w:tcPr>
          <w:p w14:paraId="1C8308F6">
            <w:pPr>
              <w:spacing w:before="110" w:line="195" w:lineRule="auto"/>
              <w:ind w:left="188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4.44</w:t>
            </w:r>
          </w:p>
        </w:tc>
      </w:tr>
    </w:tbl>
    <w:p w14:paraId="1E836571">
      <w:pPr>
        <w:spacing w:before="163" w:line="222" w:lineRule="auto"/>
        <w:ind w:left="110"/>
        <w:outlineLvl w:val="2"/>
        <w:rPr>
          <w:rFonts w:ascii="黑体" w:hAnsi="黑体" w:eastAsia="黑体" w:cs="黑体"/>
          <w:sz w:val="28"/>
          <w:szCs w:val="28"/>
        </w:rPr>
      </w:pPr>
      <w:bookmarkStart w:id="364" w:name="bookmark196"/>
      <w:bookmarkEnd w:id="364"/>
      <w:r>
        <w:rPr>
          <w:rFonts w:ascii="Times New Roman" w:hAnsi="Times New Roman" w:eastAsia="Times New Roman" w:cs="Times New Roman"/>
          <w:spacing w:val="-1"/>
          <w:sz w:val="28"/>
          <w:szCs w:val="28"/>
        </w:rPr>
        <w:t xml:space="preserve">4.1.6 </w:t>
      </w:r>
      <w:r>
        <w:rPr>
          <w:rFonts w:ascii="黑体" w:hAnsi="黑体" w:eastAsia="黑体" w:cs="黑体"/>
          <w:spacing w:val="-1"/>
          <w:sz w:val="28"/>
          <w:szCs w:val="28"/>
        </w:rPr>
        <w:t>大气环境影响评价结论</w:t>
      </w:r>
    </w:p>
    <w:p w14:paraId="6275B24E">
      <w:pPr>
        <w:spacing w:before="202" w:line="219" w:lineRule="auto"/>
        <w:ind w:left="591"/>
        <w:rPr>
          <w:rFonts w:ascii="宋体" w:hAnsi="宋体" w:eastAsia="宋体" w:cs="宋体"/>
          <w:sz w:val="24"/>
          <w:szCs w:val="24"/>
        </w:rPr>
      </w:pPr>
      <w:r>
        <w:rPr>
          <w:rFonts w:ascii="宋体" w:hAnsi="宋体" w:eastAsia="宋体" w:cs="宋体"/>
          <w:sz w:val="24"/>
          <w:szCs w:val="24"/>
        </w:rPr>
        <w:t>本项目位于苏尼特右旗，属于环境空气质量达标区域</w:t>
      </w:r>
      <w:r>
        <w:rPr>
          <w:rFonts w:ascii="宋体" w:hAnsi="宋体" w:eastAsia="宋体" w:cs="宋体"/>
          <w:spacing w:val="-1"/>
          <w:sz w:val="24"/>
          <w:szCs w:val="24"/>
        </w:rPr>
        <w:t>。预测结果主要结论如下：</w:t>
      </w:r>
    </w:p>
    <w:p w14:paraId="3BAF9161">
      <w:pPr>
        <w:spacing w:before="181" w:line="219" w:lineRule="auto"/>
        <w:ind w:left="60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）本项目新增污染源贡献浓度预测结果分析结论</w:t>
      </w:r>
    </w:p>
    <w:p w14:paraId="45CB6B2A">
      <w:pPr>
        <w:spacing w:before="184" w:line="350" w:lineRule="auto"/>
        <w:ind w:left="114" w:right="108" w:firstLine="481"/>
        <w:rPr>
          <w:rFonts w:ascii="宋体" w:hAnsi="宋体" w:eastAsia="宋体" w:cs="宋体"/>
          <w:sz w:val="24"/>
          <w:szCs w:val="24"/>
        </w:rPr>
      </w:pPr>
      <w:r>
        <w:rPr>
          <w:rFonts w:ascii="宋体" w:hAnsi="宋体" w:eastAsia="宋体" w:cs="宋体"/>
          <w:spacing w:val="1"/>
          <w:sz w:val="24"/>
          <w:szCs w:val="24"/>
        </w:rPr>
        <w:t>新增污染源正常排放下，评价区域预测网格点各项污染物</w:t>
      </w:r>
      <w:r>
        <w:rPr>
          <w:rFonts w:ascii="宋体" w:hAnsi="宋体" w:eastAsia="宋体" w:cs="宋体"/>
          <w:spacing w:val="-29"/>
          <w:sz w:val="24"/>
          <w:szCs w:val="24"/>
        </w:rPr>
        <w:t xml:space="preserve"> </w:t>
      </w:r>
      <w:r>
        <w:rPr>
          <w:rFonts w:ascii="Times New Roman" w:hAnsi="Times New Roman" w:eastAsia="Times New Roman" w:cs="Times New Roman"/>
          <w:spacing w:val="1"/>
          <w:sz w:val="24"/>
          <w:szCs w:val="24"/>
        </w:rPr>
        <w:t xml:space="preserve">1h </w:t>
      </w:r>
      <w:r>
        <w:rPr>
          <w:rFonts w:ascii="宋体" w:hAnsi="宋体" w:eastAsia="宋体" w:cs="宋体"/>
          <w:spacing w:val="1"/>
          <w:sz w:val="24"/>
          <w:szCs w:val="24"/>
        </w:rPr>
        <w:t>平</w:t>
      </w:r>
      <w:r>
        <w:rPr>
          <w:rFonts w:ascii="宋体" w:hAnsi="宋体" w:eastAsia="宋体" w:cs="宋体"/>
          <w:sz w:val="24"/>
          <w:szCs w:val="24"/>
        </w:rPr>
        <w:t xml:space="preserve">均浓度最大占标率 </w:t>
      </w:r>
      <w:r>
        <w:rPr>
          <w:rFonts w:ascii="宋体" w:hAnsi="宋体" w:eastAsia="宋体" w:cs="宋体"/>
          <w:spacing w:val="-2"/>
          <w:sz w:val="24"/>
          <w:szCs w:val="24"/>
        </w:rPr>
        <w:t>分别为</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NO</w:t>
      </w:r>
      <w:r>
        <w:rPr>
          <w:rFonts w:ascii="Times New Roman" w:hAnsi="Times New Roman" w:eastAsia="Times New Roman" w:cs="Times New Roman"/>
          <w:spacing w:val="-2"/>
          <w:position w:val="-1"/>
          <w:sz w:val="15"/>
          <w:szCs w:val="15"/>
        </w:rPr>
        <w:t xml:space="preserve">2 </w:t>
      </w:r>
      <w:r>
        <w:rPr>
          <w:rFonts w:ascii="宋体" w:hAnsi="宋体" w:eastAsia="宋体" w:cs="宋体"/>
          <w:spacing w:val="-2"/>
          <w:sz w:val="24"/>
          <w:szCs w:val="24"/>
        </w:rPr>
        <w:t>：</w:t>
      </w:r>
      <w:r>
        <w:rPr>
          <w:rFonts w:ascii="Times New Roman" w:hAnsi="Times New Roman" w:eastAsia="Times New Roman" w:cs="Times New Roman"/>
          <w:spacing w:val="-2"/>
          <w:sz w:val="24"/>
          <w:szCs w:val="24"/>
        </w:rPr>
        <w:t>44.36%</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SO</w:t>
      </w:r>
      <w:r>
        <w:rPr>
          <w:rFonts w:ascii="Times New Roman" w:hAnsi="Times New Roman" w:eastAsia="Times New Roman" w:cs="Times New Roman"/>
          <w:spacing w:val="-2"/>
          <w:position w:val="-1"/>
          <w:sz w:val="15"/>
          <w:szCs w:val="15"/>
        </w:rPr>
        <w:t xml:space="preserve">2 </w:t>
      </w:r>
      <w:r>
        <w:rPr>
          <w:rFonts w:ascii="宋体" w:hAnsi="宋体" w:eastAsia="宋体" w:cs="宋体"/>
          <w:spacing w:val="-2"/>
          <w:sz w:val="24"/>
          <w:szCs w:val="24"/>
        </w:rPr>
        <w:t>：</w:t>
      </w:r>
      <w:r>
        <w:rPr>
          <w:rFonts w:ascii="Times New Roman" w:hAnsi="Times New Roman" w:eastAsia="Times New Roman" w:cs="Times New Roman"/>
          <w:spacing w:val="-2"/>
          <w:sz w:val="24"/>
          <w:szCs w:val="24"/>
        </w:rPr>
        <w:t>7.53%</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、氨：</w:t>
      </w:r>
      <w:r>
        <w:rPr>
          <w:rFonts w:ascii="Times New Roman" w:hAnsi="Times New Roman" w:eastAsia="Times New Roman" w:cs="Times New Roman"/>
          <w:spacing w:val="-2"/>
          <w:sz w:val="24"/>
          <w:szCs w:val="24"/>
        </w:rPr>
        <w:t>0.76%</w:t>
      </w:r>
      <w:r>
        <w:rPr>
          <w:rFonts w:ascii="Times New Roman" w:hAnsi="Times New Roman" w:eastAsia="Times New Roman" w:cs="Times New Roman"/>
          <w:spacing w:val="-23"/>
          <w:sz w:val="24"/>
          <w:szCs w:val="24"/>
        </w:rPr>
        <w:t xml:space="preserve"> </w:t>
      </w:r>
      <w:r>
        <w:rPr>
          <w:rFonts w:ascii="宋体" w:hAnsi="宋体" w:eastAsia="宋体" w:cs="宋体"/>
          <w:spacing w:val="-2"/>
          <w:sz w:val="24"/>
          <w:szCs w:val="24"/>
        </w:rPr>
        <w:t>。评价区域各污染物的</w:t>
      </w:r>
      <w:r>
        <w:rPr>
          <w:rFonts w:ascii="宋体" w:hAnsi="宋体" w:eastAsia="宋体" w:cs="宋体"/>
          <w:spacing w:val="-27"/>
          <w:sz w:val="24"/>
          <w:szCs w:val="24"/>
        </w:rPr>
        <w:t xml:space="preserve"> </w:t>
      </w:r>
      <w:r>
        <w:rPr>
          <w:rFonts w:ascii="Times New Roman" w:hAnsi="Times New Roman" w:eastAsia="Times New Roman" w:cs="Times New Roman"/>
          <w:spacing w:val="-2"/>
          <w:sz w:val="24"/>
          <w:szCs w:val="24"/>
        </w:rPr>
        <w:t xml:space="preserve">1h </w:t>
      </w:r>
      <w:r>
        <w:rPr>
          <w:rFonts w:ascii="宋体" w:hAnsi="宋体" w:eastAsia="宋体" w:cs="宋体"/>
          <w:spacing w:val="-2"/>
          <w:sz w:val="24"/>
          <w:szCs w:val="24"/>
        </w:rPr>
        <w:t>平</w:t>
      </w:r>
      <w:r>
        <w:rPr>
          <w:rFonts w:ascii="宋体" w:hAnsi="宋体" w:eastAsia="宋体" w:cs="宋体"/>
          <w:spacing w:val="-3"/>
          <w:sz w:val="24"/>
          <w:szCs w:val="24"/>
        </w:rPr>
        <w:t>均最大浓</w:t>
      </w:r>
      <w:r>
        <w:rPr>
          <w:rFonts w:ascii="宋体" w:hAnsi="宋体" w:eastAsia="宋体" w:cs="宋体"/>
          <w:sz w:val="24"/>
          <w:szCs w:val="24"/>
        </w:rPr>
        <w:t xml:space="preserve"> </w:t>
      </w:r>
      <w:r>
        <w:rPr>
          <w:rFonts w:ascii="宋体" w:hAnsi="宋体" w:eastAsia="宋体" w:cs="宋体"/>
          <w:spacing w:val="-1"/>
          <w:sz w:val="24"/>
          <w:szCs w:val="24"/>
        </w:rPr>
        <w:t>度占标率均＜</w:t>
      </w:r>
      <w:r>
        <w:rPr>
          <w:rFonts w:ascii="Times New Roman" w:hAnsi="Times New Roman" w:eastAsia="Times New Roman" w:cs="Times New Roman"/>
          <w:spacing w:val="-1"/>
          <w:sz w:val="24"/>
          <w:szCs w:val="24"/>
        </w:rPr>
        <w:t>100%</w:t>
      </w:r>
      <w:r>
        <w:rPr>
          <w:rFonts w:ascii="宋体" w:hAnsi="宋体" w:eastAsia="宋体" w:cs="宋体"/>
          <w:spacing w:val="-1"/>
          <w:sz w:val="24"/>
          <w:szCs w:val="24"/>
        </w:rPr>
        <w:t>。</w:t>
      </w:r>
    </w:p>
    <w:p w14:paraId="3811F346">
      <w:pPr>
        <w:spacing w:before="32" w:line="353" w:lineRule="auto"/>
        <w:ind w:left="116" w:right="108" w:firstLine="480"/>
        <w:jc w:val="both"/>
        <w:rPr>
          <w:rFonts w:ascii="宋体" w:hAnsi="宋体" w:eastAsia="宋体" w:cs="宋体"/>
          <w:sz w:val="24"/>
          <w:szCs w:val="24"/>
        </w:rPr>
      </w:pPr>
      <w:r>
        <w:rPr>
          <w:rFonts w:ascii="宋体" w:hAnsi="宋体" w:eastAsia="宋体" w:cs="宋体"/>
          <w:spacing w:val="-2"/>
          <w:sz w:val="24"/>
          <w:szCs w:val="24"/>
        </w:rPr>
        <w:t>新增污染源正常排放下，评价区域预测网格点各项污染物</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 xml:space="preserve">24h </w:t>
      </w:r>
      <w:r>
        <w:rPr>
          <w:rFonts w:ascii="宋体" w:hAnsi="宋体" w:eastAsia="宋体" w:cs="宋体"/>
          <w:spacing w:val="-2"/>
          <w:sz w:val="24"/>
          <w:szCs w:val="24"/>
        </w:rPr>
        <w:t>平均最大浓度占标率</w:t>
      </w:r>
      <w:r>
        <w:rPr>
          <w:rFonts w:ascii="宋体" w:hAnsi="宋体" w:eastAsia="宋体" w:cs="宋体"/>
          <w:sz w:val="24"/>
          <w:szCs w:val="24"/>
        </w:rPr>
        <w:t xml:space="preserve"> </w:t>
      </w:r>
      <w:r>
        <w:rPr>
          <w:rFonts w:ascii="宋体" w:hAnsi="宋体" w:eastAsia="宋体" w:cs="宋体"/>
          <w:spacing w:val="-2"/>
          <w:sz w:val="24"/>
          <w:szCs w:val="24"/>
        </w:rPr>
        <w:t>分别为</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10</w:t>
      </w:r>
      <w:r>
        <w:rPr>
          <w:rFonts w:ascii="Times New Roman" w:hAnsi="Times New Roman" w:eastAsia="Times New Roman" w:cs="Times New Roman"/>
          <w:spacing w:val="-12"/>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2.5</w:t>
      </w:r>
      <w:r>
        <w:rPr>
          <w:rFonts w:ascii="Times New Roman" w:hAnsi="Times New Roman" w:eastAsia="Times New Roman" w:cs="Times New Roman"/>
          <w:spacing w:val="-13"/>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SO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2"/>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NO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0"/>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TSP</w:t>
      </w:r>
      <w:r>
        <w:rPr>
          <w:rFonts w:ascii="Times New Roman" w:hAnsi="Times New Roman" w:eastAsia="Times New Roman" w:cs="Times New Roman"/>
          <w:spacing w:val="-33"/>
          <w:sz w:val="24"/>
          <w:szCs w:val="24"/>
        </w:rPr>
        <w:t xml:space="preserve"> </w:t>
      </w:r>
      <w:r>
        <w:rPr>
          <w:rFonts w:ascii="宋体" w:hAnsi="宋体" w:eastAsia="宋体" w:cs="宋体"/>
          <w:spacing w:val="-2"/>
          <w:sz w:val="24"/>
          <w:szCs w:val="24"/>
        </w:rPr>
        <w:t>、锰及其化合物评价区域</w:t>
      </w:r>
      <w:r>
        <w:rPr>
          <w:rFonts w:ascii="宋体" w:hAnsi="宋体" w:eastAsia="宋体" w:cs="宋体"/>
          <w:spacing w:val="-3"/>
          <w:sz w:val="24"/>
          <w:szCs w:val="24"/>
        </w:rPr>
        <w:t>预测网格点最大落地日</w:t>
      </w:r>
      <w:r>
        <w:rPr>
          <w:rFonts w:ascii="宋体" w:hAnsi="宋体" w:eastAsia="宋体" w:cs="宋体"/>
          <w:sz w:val="24"/>
          <w:szCs w:val="24"/>
        </w:rPr>
        <w:t xml:space="preserve"> </w:t>
      </w:r>
      <w:r>
        <w:rPr>
          <w:rFonts w:ascii="宋体" w:hAnsi="宋体" w:eastAsia="宋体" w:cs="宋体"/>
          <w:spacing w:val="-3"/>
          <w:sz w:val="24"/>
          <w:szCs w:val="24"/>
        </w:rPr>
        <w:t>均贡献浓度占标率分别为</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3.68%</w:t>
      </w:r>
      <w:r>
        <w:rPr>
          <w:rFonts w:ascii="宋体" w:hAnsi="宋体" w:eastAsia="宋体" w:cs="宋体"/>
          <w:spacing w:val="-3"/>
          <w:sz w:val="24"/>
          <w:szCs w:val="24"/>
        </w:rPr>
        <w:t>、</w:t>
      </w:r>
      <w:r>
        <w:rPr>
          <w:rFonts w:ascii="Times New Roman" w:hAnsi="Times New Roman" w:eastAsia="Times New Roman" w:cs="Times New Roman"/>
          <w:spacing w:val="-3"/>
          <w:sz w:val="24"/>
          <w:szCs w:val="24"/>
        </w:rPr>
        <w:t>26.52%</w:t>
      </w:r>
      <w:r>
        <w:rPr>
          <w:rFonts w:ascii="Times New Roman" w:hAnsi="Times New Roman" w:eastAsia="Times New Roman" w:cs="Times New Roman"/>
          <w:spacing w:val="-34"/>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5.05%</w:t>
      </w:r>
      <w:r>
        <w:rPr>
          <w:rFonts w:ascii="宋体" w:hAnsi="宋体" w:eastAsia="宋体" w:cs="宋体"/>
          <w:spacing w:val="-3"/>
          <w:sz w:val="24"/>
          <w:szCs w:val="24"/>
        </w:rPr>
        <w:t>、</w:t>
      </w:r>
      <w:r>
        <w:rPr>
          <w:rFonts w:ascii="Times New Roman" w:hAnsi="Times New Roman" w:eastAsia="Times New Roman" w:cs="Times New Roman"/>
          <w:spacing w:val="-3"/>
          <w:sz w:val="24"/>
          <w:szCs w:val="24"/>
        </w:rPr>
        <w:t>23.23</w:t>
      </w:r>
      <w:r>
        <w:rPr>
          <w:rFonts w:ascii="Times New Roman" w:hAnsi="Times New Roman" w:eastAsia="Times New Roman" w:cs="Times New Roman"/>
          <w:spacing w:val="-4"/>
          <w:sz w:val="24"/>
          <w:szCs w:val="24"/>
        </w:rPr>
        <w:t>%</w:t>
      </w:r>
      <w:r>
        <w:rPr>
          <w:rFonts w:ascii="宋体" w:hAnsi="宋体" w:eastAsia="宋体" w:cs="宋体"/>
          <w:spacing w:val="-4"/>
          <w:sz w:val="24"/>
          <w:szCs w:val="24"/>
        </w:rPr>
        <w:t>、</w:t>
      </w:r>
      <w:r>
        <w:rPr>
          <w:rFonts w:ascii="Times New Roman" w:hAnsi="Times New Roman" w:eastAsia="Times New Roman" w:cs="Times New Roman"/>
          <w:spacing w:val="-4"/>
          <w:sz w:val="24"/>
          <w:szCs w:val="24"/>
        </w:rPr>
        <w:t>4.41%</w:t>
      </w:r>
      <w:r>
        <w:rPr>
          <w:rFonts w:ascii="宋体" w:hAnsi="宋体" w:eastAsia="宋体" w:cs="宋体"/>
          <w:spacing w:val="-4"/>
          <w:sz w:val="24"/>
          <w:szCs w:val="24"/>
        </w:rPr>
        <w:t>、</w:t>
      </w:r>
      <w:r>
        <w:rPr>
          <w:rFonts w:ascii="Times New Roman" w:hAnsi="Times New Roman" w:eastAsia="Times New Roman" w:cs="Times New Roman"/>
          <w:spacing w:val="-4"/>
          <w:sz w:val="24"/>
          <w:szCs w:val="24"/>
        </w:rPr>
        <w:t>28.34%</w:t>
      </w:r>
      <w:r>
        <w:rPr>
          <w:rFonts w:ascii="Times New Roman" w:hAnsi="Times New Roman" w:eastAsia="Times New Roman" w:cs="Times New Roman"/>
          <w:spacing w:val="-34"/>
          <w:sz w:val="24"/>
          <w:szCs w:val="24"/>
        </w:rPr>
        <w:t xml:space="preserve"> </w:t>
      </w:r>
      <w:r>
        <w:rPr>
          <w:rFonts w:ascii="宋体" w:hAnsi="宋体" w:eastAsia="宋体" w:cs="宋体"/>
          <w:spacing w:val="-4"/>
          <w:sz w:val="24"/>
          <w:szCs w:val="24"/>
        </w:rPr>
        <w:t>，日平均最</w:t>
      </w:r>
      <w:r>
        <w:rPr>
          <w:rFonts w:ascii="宋体" w:hAnsi="宋体" w:eastAsia="宋体" w:cs="宋体"/>
          <w:sz w:val="24"/>
          <w:szCs w:val="24"/>
        </w:rPr>
        <w:t xml:space="preserve"> </w:t>
      </w:r>
      <w:r>
        <w:rPr>
          <w:rFonts w:ascii="宋体" w:hAnsi="宋体" w:eastAsia="宋体" w:cs="宋体"/>
          <w:spacing w:val="-1"/>
          <w:sz w:val="24"/>
          <w:szCs w:val="24"/>
        </w:rPr>
        <w:t>大浓度占标率均＜</w:t>
      </w:r>
      <w:r>
        <w:rPr>
          <w:rFonts w:ascii="Times New Roman" w:hAnsi="Times New Roman" w:eastAsia="Times New Roman" w:cs="Times New Roman"/>
          <w:spacing w:val="-1"/>
          <w:sz w:val="24"/>
          <w:szCs w:val="24"/>
        </w:rPr>
        <w:t>100%</w:t>
      </w:r>
      <w:r>
        <w:rPr>
          <w:rFonts w:ascii="宋体" w:hAnsi="宋体" w:eastAsia="宋体" w:cs="宋体"/>
          <w:spacing w:val="-1"/>
          <w:sz w:val="24"/>
          <w:szCs w:val="24"/>
        </w:rPr>
        <w:t>。</w:t>
      </w:r>
    </w:p>
    <w:p w14:paraId="6275D1D6">
      <w:pPr>
        <w:spacing w:before="34" w:line="219" w:lineRule="auto"/>
        <w:ind w:left="614"/>
        <w:rPr>
          <w:rFonts w:ascii="宋体" w:hAnsi="宋体" w:eastAsia="宋体" w:cs="宋体"/>
          <w:sz w:val="24"/>
          <w:szCs w:val="24"/>
        </w:rPr>
      </w:pPr>
      <w:r>
        <w:rPr>
          <w:rFonts w:ascii="宋体" w:hAnsi="宋体" w:eastAsia="宋体" w:cs="宋体"/>
          <w:spacing w:val="-3"/>
          <w:sz w:val="24"/>
          <w:szCs w:val="24"/>
        </w:rPr>
        <w:t>因此，新增污染源正常排放下</w:t>
      </w:r>
      <w:r>
        <w:rPr>
          <w:rFonts w:ascii="宋体" w:hAnsi="宋体" w:eastAsia="宋体" w:cs="宋体"/>
          <w:spacing w:val="-43"/>
          <w:sz w:val="24"/>
          <w:szCs w:val="24"/>
        </w:rPr>
        <w:t xml:space="preserve"> </w:t>
      </w:r>
      <w:r>
        <w:rPr>
          <w:rFonts w:ascii="Times New Roman" w:hAnsi="Times New Roman" w:eastAsia="Times New Roman" w:cs="Times New Roman"/>
          <w:spacing w:val="-3"/>
          <w:sz w:val="24"/>
          <w:szCs w:val="24"/>
        </w:rPr>
        <w:t>PM</w:t>
      </w:r>
      <w:r>
        <w:rPr>
          <w:rFonts w:ascii="Times New Roman" w:hAnsi="Times New Roman" w:eastAsia="Times New Roman" w:cs="Times New Roman"/>
          <w:spacing w:val="-3"/>
          <w:position w:val="-1"/>
          <w:sz w:val="15"/>
          <w:szCs w:val="15"/>
        </w:rPr>
        <w:t>10</w:t>
      </w:r>
      <w:r>
        <w:rPr>
          <w:rFonts w:ascii="Times New Roman" w:hAnsi="Times New Roman" w:eastAsia="Times New Roman" w:cs="Times New Roman"/>
          <w:spacing w:val="-13"/>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PM</w:t>
      </w:r>
      <w:r>
        <w:rPr>
          <w:rFonts w:ascii="Times New Roman" w:hAnsi="Times New Roman" w:eastAsia="Times New Roman" w:cs="Times New Roman"/>
          <w:spacing w:val="-3"/>
          <w:position w:val="-1"/>
          <w:sz w:val="15"/>
          <w:szCs w:val="15"/>
        </w:rPr>
        <w:t>2.5</w:t>
      </w:r>
      <w:r>
        <w:rPr>
          <w:rFonts w:ascii="Times New Roman" w:hAnsi="Times New Roman" w:eastAsia="Times New Roman" w:cs="Times New Roman"/>
          <w:spacing w:val="-10"/>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SO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10"/>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NO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13"/>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TSP</w:t>
      </w:r>
      <w:r>
        <w:rPr>
          <w:rFonts w:ascii="Times New Roman" w:hAnsi="Times New Roman" w:eastAsia="Times New Roman" w:cs="Times New Roman"/>
          <w:spacing w:val="-35"/>
          <w:sz w:val="24"/>
          <w:szCs w:val="24"/>
        </w:rPr>
        <w:t xml:space="preserve"> </w:t>
      </w:r>
      <w:r>
        <w:rPr>
          <w:rFonts w:ascii="宋体" w:hAnsi="宋体" w:eastAsia="宋体" w:cs="宋体"/>
          <w:spacing w:val="-3"/>
          <w:sz w:val="24"/>
          <w:szCs w:val="24"/>
        </w:rPr>
        <w:t>、氨短期浓度贡献值</w:t>
      </w:r>
    </w:p>
    <w:p w14:paraId="64947A0F">
      <w:pPr>
        <w:spacing w:line="219" w:lineRule="auto"/>
        <w:rPr>
          <w:rFonts w:ascii="宋体" w:hAnsi="宋体" w:eastAsia="宋体" w:cs="宋体"/>
          <w:sz w:val="24"/>
          <w:szCs w:val="24"/>
        </w:rPr>
        <w:sectPr>
          <w:headerReference r:id="rId295" w:type="default"/>
          <w:footerReference r:id="rId296" w:type="default"/>
          <w:pgSz w:w="11906" w:h="16839"/>
          <w:pgMar w:top="1190" w:right="1310" w:bottom="1427" w:left="1310" w:header="882" w:footer="1265" w:gutter="0"/>
          <w:cols w:space="720" w:num="1"/>
        </w:sectPr>
      </w:pPr>
    </w:p>
    <w:p w14:paraId="0C1145DD">
      <w:pPr>
        <w:spacing w:line="28" w:lineRule="exact"/>
      </w:pPr>
      <w:r>
        <w:pict>
          <v:shape id="_x0000_s1803" o:spid="_x0000_s1803" style="height:1.45pt;width:453.65pt;" fillcolor="#000000" filled="t" stroked="f" coordsize="9072,29" path="m0,0l9072,0,9072,28,0,28,0,0xe">
            <v:path/>
            <v:fill on="t" focussize="0,0"/>
            <v:stroke on="f"/>
            <v:imagedata o:title=""/>
            <o:lock v:ext="edit"/>
            <w10:wrap type="none"/>
            <w10:anchorlock/>
          </v:shape>
        </w:pict>
      </w:r>
    </w:p>
    <w:p w14:paraId="1B87D93B">
      <w:pPr>
        <w:spacing w:before="234" w:line="219" w:lineRule="auto"/>
        <w:ind w:left="28"/>
        <w:rPr>
          <w:rFonts w:ascii="宋体" w:hAnsi="宋体" w:eastAsia="宋体" w:cs="宋体"/>
          <w:sz w:val="24"/>
          <w:szCs w:val="24"/>
        </w:rPr>
      </w:pPr>
      <w:r>
        <w:rPr>
          <w:rFonts w:ascii="宋体" w:hAnsi="宋体" w:eastAsia="宋体" w:cs="宋体"/>
          <w:spacing w:val="-2"/>
          <w:sz w:val="24"/>
          <w:szCs w:val="24"/>
        </w:rPr>
        <w:t>的最大浓度占标率均</w:t>
      </w:r>
      <w:r>
        <w:rPr>
          <w:rFonts w:ascii="Times New Roman" w:hAnsi="Times New Roman" w:eastAsia="Times New Roman" w:cs="Times New Roman"/>
          <w:spacing w:val="-2"/>
          <w:sz w:val="24"/>
          <w:szCs w:val="24"/>
        </w:rPr>
        <w:t>≤100%</w:t>
      </w:r>
      <w:r>
        <w:rPr>
          <w:rFonts w:ascii="宋体" w:hAnsi="宋体" w:eastAsia="宋体" w:cs="宋体"/>
          <w:spacing w:val="-2"/>
          <w:sz w:val="24"/>
          <w:szCs w:val="24"/>
        </w:rPr>
        <w:t>。</w:t>
      </w:r>
    </w:p>
    <w:p w14:paraId="00DC5C47">
      <w:pPr>
        <w:spacing w:before="181" w:line="350" w:lineRule="auto"/>
        <w:ind w:left="7" w:firstLine="481"/>
        <w:jc w:val="both"/>
        <w:rPr>
          <w:rFonts w:ascii="宋体" w:hAnsi="宋体" w:eastAsia="宋体" w:cs="宋体"/>
          <w:sz w:val="24"/>
          <w:szCs w:val="24"/>
        </w:rPr>
      </w:pPr>
      <w:r>
        <w:rPr>
          <w:rFonts w:ascii="宋体" w:hAnsi="宋体" w:eastAsia="宋体" w:cs="宋体"/>
          <w:spacing w:val="-2"/>
          <w:sz w:val="24"/>
          <w:szCs w:val="24"/>
        </w:rPr>
        <w:t>新增污染源正常排放下，评价区域预测网格点各项污染物年均贡献浓度最大占标率</w:t>
      </w:r>
      <w:r>
        <w:rPr>
          <w:rFonts w:ascii="宋体" w:hAnsi="宋体" w:eastAsia="宋体" w:cs="宋体"/>
          <w:spacing w:val="12"/>
          <w:sz w:val="24"/>
          <w:szCs w:val="24"/>
        </w:rPr>
        <w:t xml:space="preserve"> </w:t>
      </w:r>
      <w:r>
        <w:rPr>
          <w:rFonts w:ascii="宋体" w:hAnsi="宋体" w:eastAsia="宋体" w:cs="宋体"/>
          <w:spacing w:val="-6"/>
          <w:sz w:val="24"/>
          <w:szCs w:val="24"/>
        </w:rPr>
        <w:t>分别为</w:t>
      </w:r>
      <w:r>
        <w:rPr>
          <w:rFonts w:ascii="宋体" w:hAnsi="宋体" w:eastAsia="宋体" w:cs="宋体"/>
          <w:spacing w:val="-40"/>
          <w:sz w:val="24"/>
          <w:szCs w:val="24"/>
        </w:rPr>
        <w:t xml:space="preserve"> </w:t>
      </w:r>
      <w:r>
        <w:rPr>
          <w:rFonts w:ascii="Times New Roman" w:hAnsi="Times New Roman" w:eastAsia="Times New Roman" w:cs="Times New Roman"/>
          <w:spacing w:val="-6"/>
          <w:sz w:val="24"/>
          <w:szCs w:val="24"/>
        </w:rPr>
        <w:t>PM</w:t>
      </w:r>
      <w:r>
        <w:rPr>
          <w:rFonts w:ascii="Times New Roman" w:hAnsi="Times New Roman" w:eastAsia="Times New Roman" w:cs="Times New Roman"/>
          <w:spacing w:val="-6"/>
          <w:position w:val="-1"/>
          <w:sz w:val="15"/>
          <w:szCs w:val="15"/>
        </w:rPr>
        <w:t>10</w:t>
      </w:r>
      <w:r>
        <w:rPr>
          <w:rFonts w:ascii="宋体" w:hAnsi="宋体" w:eastAsia="宋体" w:cs="宋体"/>
          <w:spacing w:val="-6"/>
          <w:sz w:val="24"/>
          <w:szCs w:val="24"/>
        </w:rPr>
        <w:t>、</w:t>
      </w:r>
      <w:r>
        <w:rPr>
          <w:rFonts w:ascii="Times New Roman" w:hAnsi="Times New Roman" w:eastAsia="Times New Roman" w:cs="Times New Roman"/>
          <w:spacing w:val="-6"/>
          <w:sz w:val="24"/>
          <w:szCs w:val="24"/>
        </w:rPr>
        <w:t>PM</w:t>
      </w:r>
      <w:r>
        <w:rPr>
          <w:rFonts w:ascii="Times New Roman" w:hAnsi="Times New Roman" w:eastAsia="Times New Roman" w:cs="Times New Roman"/>
          <w:spacing w:val="-6"/>
          <w:position w:val="-1"/>
          <w:sz w:val="15"/>
          <w:szCs w:val="15"/>
        </w:rPr>
        <w:t>2.5</w:t>
      </w:r>
      <w:r>
        <w:rPr>
          <w:rFonts w:ascii="宋体" w:hAnsi="宋体" w:eastAsia="宋体" w:cs="宋体"/>
          <w:spacing w:val="-19"/>
          <w:sz w:val="24"/>
          <w:szCs w:val="24"/>
        </w:rPr>
        <w:t>、</w:t>
      </w:r>
      <w:r>
        <w:rPr>
          <w:rFonts w:ascii="Times New Roman" w:hAnsi="Times New Roman" w:eastAsia="Times New Roman" w:cs="Times New Roman"/>
          <w:spacing w:val="-19"/>
          <w:sz w:val="24"/>
          <w:szCs w:val="24"/>
        </w:rPr>
        <w:t>SO</w:t>
      </w:r>
      <w:r>
        <w:rPr>
          <w:rFonts w:ascii="Times New Roman" w:hAnsi="Times New Roman" w:eastAsia="Times New Roman" w:cs="Times New Roman"/>
          <w:spacing w:val="5"/>
          <w:position w:val="-1"/>
          <w:sz w:val="15"/>
          <w:szCs w:val="15"/>
        </w:rPr>
        <w:t>2</w:t>
      </w:r>
      <w:r>
        <w:rPr>
          <w:rFonts w:ascii="宋体" w:hAnsi="宋体" w:eastAsia="宋体" w:cs="宋体"/>
          <w:spacing w:val="-23"/>
          <w:sz w:val="24"/>
          <w:szCs w:val="24"/>
        </w:rPr>
        <w:t>、</w:t>
      </w:r>
      <w:r>
        <w:rPr>
          <w:rFonts w:ascii="Times New Roman" w:hAnsi="Times New Roman" w:eastAsia="Times New Roman" w:cs="Times New Roman"/>
          <w:spacing w:val="-23"/>
          <w:sz w:val="24"/>
          <w:szCs w:val="24"/>
        </w:rPr>
        <w:t>NO</w:t>
      </w:r>
      <w:r>
        <w:rPr>
          <w:rFonts w:ascii="Times New Roman" w:hAnsi="Times New Roman" w:eastAsia="Times New Roman" w:cs="Times New Roman"/>
          <w:spacing w:val="5"/>
          <w:position w:val="-1"/>
          <w:sz w:val="15"/>
          <w:szCs w:val="15"/>
        </w:rPr>
        <w:t>2</w:t>
      </w:r>
      <w:r>
        <w:rPr>
          <w:rFonts w:ascii="宋体" w:hAnsi="宋体" w:eastAsia="宋体" w:cs="宋体"/>
          <w:spacing w:val="-8"/>
          <w:sz w:val="24"/>
          <w:szCs w:val="24"/>
        </w:rPr>
        <w:t>、</w:t>
      </w:r>
      <w:r>
        <w:rPr>
          <w:rFonts w:ascii="Times New Roman" w:hAnsi="Times New Roman" w:eastAsia="Times New Roman" w:cs="Times New Roman"/>
          <w:spacing w:val="-8"/>
          <w:sz w:val="24"/>
          <w:szCs w:val="24"/>
        </w:rPr>
        <w:t xml:space="preserve">TSP </w:t>
      </w:r>
      <w:r>
        <w:rPr>
          <w:rFonts w:ascii="宋体" w:hAnsi="宋体" w:eastAsia="宋体" w:cs="宋体"/>
          <w:spacing w:val="-8"/>
          <w:sz w:val="24"/>
          <w:szCs w:val="24"/>
        </w:rPr>
        <w:t>年均贡献浓度占标率分别为</w:t>
      </w:r>
      <w:r>
        <w:rPr>
          <w:rFonts w:ascii="宋体" w:hAnsi="宋体" w:eastAsia="宋体" w:cs="宋体"/>
          <w:spacing w:val="-32"/>
          <w:sz w:val="24"/>
          <w:szCs w:val="24"/>
        </w:rPr>
        <w:t xml:space="preserve"> </w:t>
      </w:r>
      <w:r>
        <w:rPr>
          <w:rFonts w:ascii="Times New Roman" w:hAnsi="Times New Roman" w:eastAsia="Times New Roman" w:cs="Times New Roman"/>
          <w:spacing w:val="-8"/>
          <w:sz w:val="24"/>
          <w:szCs w:val="24"/>
        </w:rPr>
        <w:t>1.53%</w:t>
      </w:r>
      <w:r>
        <w:rPr>
          <w:rFonts w:ascii="宋体" w:hAnsi="宋体" w:eastAsia="宋体" w:cs="宋体"/>
          <w:spacing w:val="-8"/>
          <w:sz w:val="24"/>
          <w:szCs w:val="24"/>
        </w:rPr>
        <w:t>、</w:t>
      </w:r>
      <w:r>
        <w:rPr>
          <w:rFonts w:ascii="Times New Roman" w:hAnsi="Times New Roman" w:eastAsia="Times New Roman" w:cs="Times New Roman"/>
          <w:spacing w:val="-8"/>
          <w:sz w:val="24"/>
          <w:szCs w:val="24"/>
        </w:rPr>
        <w:t>7.84%</w:t>
      </w:r>
      <w:r>
        <w:rPr>
          <w:rFonts w:ascii="宋体" w:hAnsi="宋体" w:eastAsia="宋体" w:cs="宋体"/>
          <w:spacing w:val="-8"/>
          <w:sz w:val="24"/>
          <w:szCs w:val="24"/>
        </w:rPr>
        <w:t>、</w:t>
      </w:r>
      <w:r>
        <w:rPr>
          <w:rFonts w:ascii="Times New Roman" w:hAnsi="Times New Roman" w:eastAsia="Times New Roman" w:cs="Times New Roman"/>
          <w:spacing w:val="-8"/>
          <w:sz w:val="24"/>
          <w:szCs w:val="24"/>
        </w:rPr>
        <w:t>1.81%</w:t>
      </w:r>
      <w:r>
        <w:rPr>
          <w:rFonts w:ascii="宋体" w:hAnsi="宋体" w:eastAsia="宋体" w:cs="宋体"/>
          <w:spacing w:val="-8"/>
          <w:sz w:val="24"/>
          <w:szCs w:val="24"/>
        </w:rPr>
        <w:t>、</w:t>
      </w:r>
      <w:r>
        <w:rPr>
          <w:rFonts w:ascii="宋体" w:hAnsi="宋体" w:eastAsia="宋体" w:cs="宋体"/>
          <w:sz w:val="24"/>
          <w:szCs w:val="24"/>
        </w:rPr>
        <w:t xml:space="preserve"> </w:t>
      </w:r>
      <w:r>
        <w:rPr>
          <w:rFonts w:ascii="Times New Roman" w:hAnsi="Times New Roman" w:eastAsia="Times New Roman" w:cs="Times New Roman"/>
          <w:spacing w:val="-5"/>
          <w:sz w:val="24"/>
          <w:szCs w:val="24"/>
        </w:rPr>
        <w:t>7.</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5"/>
          <w:sz w:val="24"/>
          <w:szCs w:val="24"/>
        </w:rPr>
        <w:t>10%</w:t>
      </w:r>
      <w:r>
        <w:rPr>
          <w:rFonts w:ascii="Times New Roman" w:hAnsi="Times New Roman" w:eastAsia="Times New Roman" w:cs="Times New Roman"/>
          <w:spacing w:val="-34"/>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1.57%</w:t>
      </w:r>
      <w:r>
        <w:rPr>
          <w:rFonts w:ascii="Times New Roman" w:hAnsi="Times New Roman" w:eastAsia="Times New Roman" w:cs="Times New Roman"/>
          <w:spacing w:val="-28"/>
          <w:sz w:val="24"/>
          <w:szCs w:val="24"/>
        </w:rPr>
        <w:t xml:space="preserve"> </w:t>
      </w:r>
      <w:r>
        <w:rPr>
          <w:rFonts w:ascii="宋体" w:hAnsi="宋体" w:eastAsia="宋体" w:cs="宋体"/>
          <w:spacing w:val="-5"/>
          <w:sz w:val="24"/>
          <w:szCs w:val="24"/>
        </w:rPr>
        <w:t>。新增污染源正常排放下，污染物</w:t>
      </w:r>
      <w:r>
        <w:rPr>
          <w:rFonts w:ascii="宋体" w:hAnsi="宋体" w:eastAsia="宋体" w:cs="宋体"/>
          <w:spacing w:val="-56"/>
          <w:sz w:val="24"/>
          <w:szCs w:val="24"/>
        </w:rPr>
        <w:t xml:space="preserve"> </w:t>
      </w:r>
      <w:r>
        <w:rPr>
          <w:rFonts w:ascii="Times New Roman" w:hAnsi="Times New Roman" w:eastAsia="Times New Roman" w:cs="Times New Roman"/>
          <w:spacing w:val="-5"/>
          <w:sz w:val="24"/>
          <w:szCs w:val="24"/>
        </w:rPr>
        <w:t>PM</w:t>
      </w:r>
      <w:r>
        <w:rPr>
          <w:rFonts w:ascii="Times New Roman" w:hAnsi="Times New Roman" w:eastAsia="Times New Roman" w:cs="Times New Roman"/>
          <w:spacing w:val="-5"/>
          <w:position w:val="-1"/>
          <w:sz w:val="15"/>
          <w:szCs w:val="15"/>
        </w:rPr>
        <w:t>10</w:t>
      </w:r>
      <w:r>
        <w:rPr>
          <w:rFonts w:ascii="Times New Roman" w:hAnsi="Times New Roman" w:eastAsia="Times New Roman" w:cs="Times New Roman"/>
          <w:spacing w:val="-13"/>
          <w:position w:val="-1"/>
          <w:sz w:val="15"/>
          <w:szCs w:val="15"/>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PM</w:t>
      </w:r>
      <w:r>
        <w:rPr>
          <w:rFonts w:ascii="Times New Roman" w:hAnsi="Times New Roman" w:eastAsia="Times New Roman" w:cs="Times New Roman"/>
          <w:spacing w:val="-5"/>
          <w:position w:val="-1"/>
          <w:sz w:val="15"/>
          <w:szCs w:val="15"/>
        </w:rPr>
        <w:t>2.5</w:t>
      </w:r>
      <w:r>
        <w:rPr>
          <w:rFonts w:ascii="Times New Roman" w:hAnsi="Times New Roman" w:eastAsia="Times New Roman" w:cs="Times New Roman"/>
          <w:spacing w:val="-12"/>
          <w:position w:val="-1"/>
          <w:sz w:val="15"/>
          <w:szCs w:val="15"/>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SO</w:t>
      </w:r>
      <w:r>
        <w:rPr>
          <w:rFonts w:ascii="Times New Roman" w:hAnsi="Times New Roman" w:eastAsia="Times New Roman" w:cs="Times New Roman"/>
          <w:spacing w:val="-5"/>
          <w:position w:val="-1"/>
          <w:sz w:val="15"/>
          <w:szCs w:val="15"/>
        </w:rPr>
        <w:t>2</w:t>
      </w:r>
      <w:r>
        <w:rPr>
          <w:rFonts w:ascii="宋体" w:hAnsi="宋体" w:eastAsia="宋体" w:cs="宋体"/>
          <w:spacing w:val="-5"/>
          <w:sz w:val="24"/>
          <w:szCs w:val="24"/>
        </w:rPr>
        <w:t>、</w:t>
      </w:r>
      <w:r>
        <w:rPr>
          <w:rFonts w:ascii="Times New Roman" w:hAnsi="Times New Roman" w:eastAsia="Times New Roman" w:cs="Times New Roman"/>
          <w:spacing w:val="-5"/>
          <w:sz w:val="24"/>
          <w:szCs w:val="24"/>
        </w:rPr>
        <w:t>NO</w:t>
      </w:r>
      <w:r>
        <w:rPr>
          <w:rFonts w:ascii="Times New Roman" w:hAnsi="Times New Roman" w:eastAsia="Times New Roman" w:cs="Times New Roman"/>
          <w:spacing w:val="-5"/>
          <w:position w:val="-1"/>
          <w:sz w:val="15"/>
          <w:szCs w:val="15"/>
        </w:rPr>
        <w:t>2</w:t>
      </w:r>
      <w:r>
        <w:rPr>
          <w:rFonts w:ascii="Times New Roman" w:hAnsi="Times New Roman" w:eastAsia="Times New Roman" w:cs="Times New Roman"/>
          <w:spacing w:val="-13"/>
          <w:position w:val="-1"/>
          <w:sz w:val="15"/>
          <w:szCs w:val="15"/>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TS</w:t>
      </w:r>
      <w:r>
        <w:rPr>
          <w:rFonts w:ascii="Times New Roman" w:hAnsi="Times New Roman" w:eastAsia="Times New Roman" w:cs="Times New Roman"/>
          <w:spacing w:val="-6"/>
          <w:sz w:val="24"/>
          <w:szCs w:val="24"/>
        </w:rPr>
        <w:t>P</w:t>
      </w:r>
      <w:r>
        <w:rPr>
          <w:rFonts w:ascii="Times New Roman" w:hAnsi="Times New Roman" w:eastAsia="Times New Roman" w:cs="Times New Roman"/>
          <w:spacing w:val="28"/>
          <w:sz w:val="24"/>
          <w:szCs w:val="24"/>
        </w:rPr>
        <w:t xml:space="preserve"> </w:t>
      </w:r>
      <w:r>
        <w:rPr>
          <w:rFonts w:ascii="宋体" w:hAnsi="宋体" w:eastAsia="宋体" w:cs="宋体"/>
          <w:spacing w:val="-6"/>
          <w:sz w:val="24"/>
          <w:szCs w:val="24"/>
        </w:rPr>
        <w:t>的年均</w:t>
      </w:r>
    </w:p>
    <w:p w14:paraId="54FF7055">
      <w:pPr>
        <w:spacing w:before="36" w:line="219" w:lineRule="auto"/>
        <w:ind w:left="8"/>
        <w:outlineLvl w:val="2"/>
        <w:rPr>
          <w:rFonts w:ascii="宋体" w:hAnsi="宋体" w:eastAsia="宋体" w:cs="宋体"/>
          <w:sz w:val="24"/>
          <w:szCs w:val="24"/>
        </w:rPr>
      </w:pPr>
      <w:r>
        <w:rPr>
          <w:rFonts w:ascii="宋体" w:hAnsi="宋体" w:eastAsia="宋体" w:cs="宋体"/>
          <w:spacing w:val="-1"/>
          <w:sz w:val="24"/>
          <w:szCs w:val="24"/>
        </w:rPr>
        <w:t>浓度贡献值的最大占标率均</w:t>
      </w:r>
      <w:r>
        <w:rPr>
          <w:rFonts w:ascii="Times New Roman" w:hAnsi="Times New Roman" w:eastAsia="Times New Roman" w:cs="Times New Roman"/>
          <w:spacing w:val="-1"/>
          <w:sz w:val="24"/>
          <w:szCs w:val="24"/>
        </w:rPr>
        <w:t>≤30%</w:t>
      </w:r>
      <w:r>
        <w:rPr>
          <w:rFonts w:ascii="宋体" w:hAnsi="宋体" w:eastAsia="宋体" w:cs="宋体"/>
          <w:spacing w:val="-1"/>
          <w:sz w:val="24"/>
          <w:szCs w:val="24"/>
        </w:rPr>
        <w:t>。</w:t>
      </w:r>
    </w:p>
    <w:p w14:paraId="584EFB46">
      <w:pPr>
        <w:spacing w:before="180" w:line="220"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）区域叠加环境质量浓度预测结果分析结论</w:t>
      </w:r>
    </w:p>
    <w:p w14:paraId="540F0C86">
      <w:pPr>
        <w:spacing w:before="185" w:line="354" w:lineRule="auto"/>
        <w:ind w:left="3" w:right="79" w:firstLine="484"/>
        <w:rPr>
          <w:rFonts w:ascii="宋体" w:hAnsi="宋体" w:eastAsia="宋体" w:cs="宋体"/>
          <w:sz w:val="24"/>
          <w:szCs w:val="24"/>
        </w:rPr>
      </w:pPr>
      <w:r>
        <w:rPr>
          <w:rFonts w:ascii="宋体" w:hAnsi="宋体" w:eastAsia="宋体" w:cs="宋体"/>
          <w:spacing w:val="-5"/>
          <w:sz w:val="24"/>
          <w:szCs w:val="24"/>
        </w:rPr>
        <w:t>在叠加现状浓度、区域在建项目污染源后，评价区域预测网格点基本污染物</w:t>
      </w:r>
      <w:r>
        <w:rPr>
          <w:rFonts w:ascii="Times New Roman" w:hAnsi="Times New Roman" w:eastAsia="Times New Roman" w:cs="Times New Roman"/>
          <w:spacing w:val="-5"/>
          <w:sz w:val="24"/>
          <w:szCs w:val="24"/>
        </w:rPr>
        <w:t>NO</w:t>
      </w:r>
      <w:r>
        <w:rPr>
          <w:rFonts w:ascii="Times New Roman" w:hAnsi="Times New Roman" w:eastAsia="Times New Roman" w:cs="Times New Roman"/>
          <w:spacing w:val="-6"/>
          <w:position w:val="-1"/>
          <w:sz w:val="15"/>
          <w:szCs w:val="15"/>
        </w:rPr>
        <w:t>2</w:t>
      </w:r>
      <w:r>
        <w:rPr>
          <w:rFonts w:ascii="Times New Roman" w:hAnsi="Times New Roman" w:eastAsia="Times New Roman" w:cs="Times New Roman"/>
          <w:spacing w:val="-6"/>
          <w:sz w:val="24"/>
          <w:szCs w:val="24"/>
        </w:rPr>
        <w:t>98%</w:t>
      </w:r>
      <w:r>
        <w:rPr>
          <w:rFonts w:ascii="Times New Roman" w:hAnsi="Times New Roman" w:eastAsia="Times New Roman" w:cs="Times New Roman"/>
          <w:sz w:val="24"/>
          <w:szCs w:val="24"/>
        </w:rPr>
        <w:t xml:space="preserve"> </w:t>
      </w:r>
      <w:r>
        <w:rPr>
          <w:rFonts w:ascii="宋体" w:hAnsi="宋体" w:eastAsia="宋体" w:cs="宋体"/>
          <w:spacing w:val="2"/>
          <w:sz w:val="24"/>
          <w:szCs w:val="24"/>
        </w:rPr>
        <w:t>保证率日均质量浓度最大占标率为</w:t>
      </w:r>
      <w:r>
        <w:rPr>
          <w:rFonts w:ascii="宋体" w:hAnsi="宋体" w:eastAsia="宋体" w:cs="宋体"/>
          <w:spacing w:val="-40"/>
          <w:sz w:val="24"/>
          <w:szCs w:val="24"/>
        </w:rPr>
        <w:t xml:space="preserve"> </w:t>
      </w:r>
      <w:r>
        <w:rPr>
          <w:rFonts w:ascii="Times New Roman" w:hAnsi="Times New Roman" w:eastAsia="Times New Roman" w:cs="Times New Roman"/>
          <w:spacing w:val="2"/>
          <w:sz w:val="24"/>
          <w:szCs w:val="24"/>
        </w:rPr>
        <w:t>89.44</w:t>
      </w:r>
      <w:r>
        <w:rPr>
          <w:rFonts w:ascii="Times New Roman" w:hAnsi="Times New Roman" w:eastAsia="Times New Roman" w:cs="Times New Roman"/>
          <w:spacing w:val="1"/>
          <w:sz w:val="24"/>
          <w:szCs w:val="24"/>
        </w:rPr>
        <w:t>%</w:t>
      </w:r>
      <w:r>
        <w:rPr>
          <w:rFonts w:ascii="Times New Roman" w:hAnsi="Times New Roman" w:eastAsia="Times New Roman" w:cs="Times New Roman"/>
          <w:spacing w:val="-27"/>
          <w:sz w:val="24"/>
          <w:szCs w:val="24"/>
        </w:rPr>
        <w:t xml:space="preserve"> </w:t>
      </w:r>
      <w:r>
        <w:rPr>
          <w:rFonts w:ascii="宋体" w:hAnsi="宋体" w:eastAsia="宋体" w:cs="宋体"/>
          <w:spacing w:val="1"/>
          <w:sz w:val="24"/>
          <w:szCs w:val="24"/>
        </w:rPr>
        <w:t>，年均质量浓度最大占标率为</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71.48%</w:t>
      </w:r>
      <w:r>
        <w:rPr>
          <w:rFonts w:ascii="宋体" w:hAnsi="宋体" w:eastAsia="宋体" w:cs="宋体"/>
          <w:spacing w:val="1"/>
          <w:sz w:val="24"/>
          <w:szCs w:val="24"/>
        </w:rPr>
        <w:t>；</w:t>
      </w:r>
      <w:r>
        <w:rPr>
          <w:rFonts w:ascii="Times New Roman" w:hAnsi="Times New Roman" w:eastAsia="Times New Roman" w:cs="Times New Roman"/>
          <w:sz w:val="24"/>
          <w:szCs w:val="24"/>
        </w:rPr>
        <w:t>SO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position w:val="-1"/>
          <w:sz w:val="15"/>
          <w:szCs w:val="15"/>
        </w:rPr>
        <w:t xml:space="preserve"> </w:t>
      </w:r>
      <w:r>
        <w:rPr>
          <w:rFonts w:ascii="Times New Roman" w:hAnsi="Times New Roman" w:eastAsia="Times New Roman" w:cs="Times New Roman"/>
          <w:sz w:val="24"/>
          <w:szCs w:val="24"/>
        </w:rPr>
        <w:t>98%</w:t>
      </w:r>
      <w:r>
        <w:rPr>
          <w:rFonts w:ascii="宋体" w:hAnsi="宋体" w:eastAsia="宋体" w:cs="宋体"/>
          <w:sz w:val="24"/>
          <w:szCs w:val="24"/>
        </w:rPr>
        <w:t>保证率日均质量浓度最大占标率为</w:t>
      </w:r>
      <w:r>
        <w:rPr>
          <w:rFonts w:ascii="宋体" w:hAnsi="宋体" w:eastAsia="宋体" w:cs="宋体"/>
          <w:spacing w:val="-38"/>
          <w:sz w:val="24"/>
          <w:szCs w:val="24"/>
        </w:rPr>
        <w:t xml:space="preserve"> </w:t>
      </w:r>
      <w:r>
        <w:rPr>
          <w:rFonts w:ascii="Times New Roman" w:hAnsi="Times New Roman" w:eastAsia="Times New Roman" w:cs="Times New Roman"/>
          <w:sz w:val="24"/>
          <w:szCs w:val="24"/>
        </w:rPr>
        <w:t>36.08%</w:t>
      </w:r>
      <w:r>
        <w:rPr>
          <w:rFonts w:ascii="Times New Roman" w:hAnsi="Times New Roman" w:eastAsia="Times New Roman" w:cs="Times New Roman"/>
          <w:spacing w:val="-29"/>
          <w:sz w:val="24"/>
          <w:szCs w:val="24"/>
        </w:rPr>
        <w:t xml:space="preserve"> </w:t>
      </w:r>
      <w:r>
        <w:rPr>
          <w:rFonts w:ascii="宋体" w:hAnsi="宋体" w:eastAsia="宋体" w:cs="宋体"/>
          <w:sz w:val="24"/>
          <w:szCs w:val="24"/>
        </w:rPr>
        <w:t>，年均质量浓度最大占标率为</w:t>
      </w:r>
      <w:r>
        <w:rPr>
          <w:rFonts w:ascii="宋体" w:hAnsi="宋体" w:eastAsia="宋体" w:cs="宋体"/>
          <w:spacing w:val="-48"/>
          <w:sz w:val="24"/>
          <w:szCs w:val="24"/>
        </w:rPr>
        <w:t xml:space="preserve"> </w:t>
      </w:r>
      <w:r>
        <w:rPr>
          <w:rFonts w:ascii="Times New Roman" w:hAnsi="Times New Roman" w:eastAsia="Times New Roman" w:cs="Times New Roman"/>
          <w:sz w:val="24"/>
          <w:szCs w:val="24"/>
        </w:rPr>
        <w:t>32.27%</w:t>
      </w:r>
      <w:r>
        <w:rPr>
          <w:rFonts w:ascii="宋体" w:hAnsi="宋体" w:eastAsia="宋体" w:cs="宋体"/>
          <w:sz w:val="24"/>
          <w:szCs w:val="24"/>
        </w:rPr>
        <w:t xml:space="preserve">； </w:t>
      </w:r>
      <w:r>
        <w:rPr>
          <w:rFonts w:ascii="Times New Roman" w:hAnsi="Times New Roman" w:eastAsia="Times New Roman" w:cs="Times New Roman"/>
          <w:sz w:val="24"/>
          <w:szCs w:val="24"/>
        </w:rPr>
        <w:t>PM</w:t>
      </w:r>
      <w:r>
        <w:rPr>
          <w:rFonts w:ascii="Times New Roman" w:hAnsi="Times New Roman" w:eastAsia="Times New Roman" w:cs="Times New Roman"/>
          <w:spacing w:val="13"/>
          <w:position w:val="-1"/>
          <w:sz w:val="15"/>
          <w:szCs w:val="15"/>
        </w:rPr>
        <w:t>10</w:t>
      </w:r>
      <w:r>
        <w:rPr>
          <w:rFonts w:ascii="Times New Roman" w:hAnsi="Times New Roman" w:eastAsia="Times New Roman" w:cs="Times New Roman"/>
          <w:spacing w:val="13"/>
          <w:sz w:val="24"/>
          <w:szCs w:val="24"/>
        </w:rPr>
        <w:t>95%</w:t>
      </w:r>
      <w:r>
        <w:rPr>
          <w:rFonts w:ascii="宋体" w:hAnsi="宋体" w:eastAsia="宋体" w:cs="宋体"/>
          <w:spacing w:val="13"/>
          <w:sz w:val="24"/>
          <w:szCs w:val="24"/>
        </w:rPr>
        <w:t>保证率日均质量浓度最大占标率为</w:t>
      </w:r>
      <w:r>
        <w:rPr>
          <w:rFonts w:ascii="宋体" w:hAnsi="宋体" w:eastAsia="宋体" w:cs="宋体"/>
          <w:spacing w:val="-35"/>
          <w:sz w:val="24"/>
          <w:szCs w:val="24"/>
        </w:rPr>
        <w:t xml:space="preserve"> </w:t>
      </w:r>
      <w:r>
        <w:rPr>
          <w:rFonts w:ascii="Times New Roman" w:hAnsi="Times New Roman" w:eastAsia="Times New Roman" w:cs="Times New Roman"/>
          <w:spacing w:val="13"/>
          <w:sz w:val="24"/>
          <w:szCs w:val="24"/>
        </w:rPr>
        <w:t>45.</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13"/>
          <w:sz w:val="24"/>
          <w:szCs w:val="24"/>
        </w:rPr>
        <w:t>10%</w:t>
      </w:r>
      <w:r>
        <w:rPr>
          <w:rFonts w:ascii="Times New Roman" w:hAnsi="Times New Roman" w:eastAsia="Times New Roman" w:cs="Times New Roman"/>
          <w:spacing w:val="-10"/>
          <w:sz w:val="24"/>
          <w:szCs w:val="24"/>
        </w:rPr>
        <w:t xml:space="preserve"> </w:t>
      </w:r>
      <w:r>
        <w:rPr>
          <w:rFonts w:ascii="宋体" w:hAnsi="宋体" w:eastAsia="宋体" w:cs="宋体"/>
          <w:spacing w:val="13"/>
          <w:sz w:val="24"/>
          <w:szCs w:val="24"/>
        </w:rPr>
        <w:t>，年均质量浓度最大占标率为</w:t>
      </w:r>
      <w:r>
        <w:rPr>
          <w:rFonts w:ascii="宋体" w:hAnsi="宋体" w:eastAsia="宋体" w:cs="宋体"/>
          <w:sz w:val="24"/>
          <w:szCs w:val="24"/>
        </w:rPr>
        <w:t xml:space="preserve"> </w:t>
      </w:r>
      <w:r>
        <w:rPr>
          <w:rFonts w:ascii="Times New Roman" w:hAnsi="Times New Roman" w:eastAsia="Times New Roman" w:cs="Times New Roman"/>
          <w:spacing w:val="1"/>
          <w:sz w:val="24"/>
          <w:szCs w:val="24"/>
        </w:rPr>
        <w:t>35.93%</w:t>
      </w:r>
      <w:r>
        <w:rPr>
          <w:rFonts w:ascii="宋体" w:hAnsi="宋体" w:eastAsia="宋体" w:cs="宋体"/>
          <w:spacing w:val="1"/>
          <w:sz w:val="24"/>
          <w:szCs w:val="24"/>
        </w:rPr>
        <w:t>；</w:t>
      </w:r>
      <w:r>
        <w:rPr>
          <w:rFonts w:ascii="Times New Roman" w:hAnsi="Times New Roman" w:eastAsia="Times New Roman" w:cs="Times New Roman"/>
          <w:sz w:val="24"/>
          <w:szCs w:val="24"/>
        </w:rPr>
        <w:t>PM</w:t>
      </w:r>
      <w:r>
        <w:rPr>
          <w:rFonts w:ascii="Times New Roman" w:hAnsi="Times New Roman" w:eastAsia="Times New Roman" w:cs="Times New Roman"/>
          <w:spacing w:val="1"/>
          <w:position w:val="-1"/>
          <w:sz w:val="15"/>
          <w:szCs w:val="15"/>
        </w:rPr>
        <w:t>2.5</w:t>
      </w:r>
      <w:r>
        <w:rPr>
          <w:rFonts w:ascii="Times New Roman" w:hAnsi="Times New Roman" w:eastAsia="Times New Roman" w:cs="Times New Roman"/>
          <w:spacing w:val="1"/>
          <w:sz w:val="24"/>
          <w:szCs w:val="24"/>
        </w:rPr>
        <w:t>95%</w:t>
      </w:r>
      <w:r>
        <w:rPr>
          <w:rFonts w:ascii="宋体" w:hAnsi="宋体" w:eastAsia="宋体" w:cs="宋体"/>
          <w:spacing w:val="1"/>
          <w:sz w:val="24"/>
          <w:szCs w:val="24"/>
        </w:rPr>
        <w:t>保证率日均质量浓度最大占标率为</w:t>
      </w:r>
      <w:r>
        <w:rPr>
          <w:rFonts w:ascii="宋体" w:hAnsi="宋体" w:eastAsia="宋体" w:cs="宋体"/>
          <w:spacing w:val="-47"/>
          <w:sz w:val="24"/>
          <w:szCs w:val="24"/>
        </w:rPr>
        <w:t xml:space="preserve"> </w:t>
      </w:r>
      <w:r>
        <w:rPr>
          <w:rFonts w:ascii="Times New Roman" w:hAnsi="Times New Roman" w:eastAsia="Times New Roman" w:cs="Times New Roman"/>
          <w:sz w:val="24"/>
          <w:szCs w:val="24"/>
        </w:rPr>
        <w:t>71.59%</w:t>
      </w:r>
      <w:r>
        <w:rPr>
          <w:rFonts w:ascii="Times New Roman" w:hAnsi="Times New Roman" w:eastAsia="Times New Roman" w:cs="Times New Roman"/>
          <w:spacing w:val="-29"/>
          <w:sz w:val="24"/>
          <w:szCs w:val="24"/>
        </w:rPr>
        <w:t xml:space="preserve"> </w:t>
      </w:r>
      <w:r>
        <w:rPr>
          <w:rFonts w:ascii="宋体" w:hAnsi="宋体" w:eastAsia="宋体" w:cs="宋体"/>
          <w:sz w:val="24"/>
          <w:szCs w:val="24"/>
        </w:rPr>
        <w:t xml:space="preserve">，年均质量浓度最大占标 </w:t>
      </w:r>
      <w:r>
        <w:rPr>
          <w:rFonts w:ascii="宋体" w:hAnsi="宋体" w:eastAsia="宋体" w:cs="宋体"/>
          <w:spacing w:val="-5"/>
          <w:sz w:val="24"/>
          <w:szCs w:val="24"/>
        </w:rPr>
        <w:t>率为</w:t>
      </w:r>
      <w:r>
        <w:rPr>
          <w:rFonts w:ascii="宋体" w:hAnsi="宋体" w:eastAsia="宋体" w:cs="宋体"/>
          <w:spacing w:val="-49"/>
          <w:sz w:val="24"/>
          <w:szCs w:val="24"/>
        </w:rPr>
        <w:t xml:space="preserve"> </w:t>
      </w:r>
      <w:r>
        <w:rPr>
          <w:rFonts w:ascii="Times New Roman" w:hAnsi="Times New Roman" w:eastAsia="Times New Roman" w:cs="Times New Roman"/>
          <w:spacing w:val="-5"/>
          <w:sz w:val="24"/>
          <w:szCs w:val="24"/>
        </w:rPr>
        <w:t>42.</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5"/>
          <w:sz w:val="24"/>
          <w:szCs w:val="24"/>
        </w:rPr>
        <w:t>13%</w:t>
      </w:r>
      <w:r>
        <w:rPr>
          <w:rFonts w:ascii="宋体" w:hAnsi="宋体" w:eastAsia="宋体" w:cs="宋体"/>
          <w:spacing w:val="-5"/>
          <w:sz w:val="24"/>
          <w:szCs w:val="24"/>
        </w:rPr>
        <w:t>。</w:t>
      </w:r>
    </w:p>
    <w:p w14:paraId="4B300C26">
      <w:pPr>
        <w:spacing w:before="37" w:line="350" w:lineRule="auto"/>
        <w:ind w:left="7" w:right="80" w:firstLine="499"/>
        <w:rPr>
          <w:rFonts w:ascii="宋体" w:hAnsi="宋体" w:eastAsia="宋体" w:cs="宋体"/>
          <w:sz w:val="24"/>
          <w:szCs w:val="24"/>
        </w:rPr>
      </w:pPr>
      <w:r>
        <w:rPr>
          <w:rFonts w:ascii="宋体" w:hAnsi="宋体" w:eastAsia="宋体" w:cs="宋体"/>
          <w:spacing w:val="-2"/>
          <w:sz w:val="24"/>
          <w:szCs w:val="24"/>
        </w:rPr>
        <w:t>因此，叠加现状浓度、区域在建项目污染源后，各项基本污染物的保</w:t>
      </w:r>
      <w:r>
        <w:rPr>
          <w:rFonts w:ascii="宋体" w:hAnsi="宋体" w:eastAsia="宋体" w:cs="宋体"/>
          <w:spacing w:val="-3"/>
          <w:sz w:val="24"/>
          <w:szCs w:val="24"/>
        </w:rPr>
        <w:t>证率日平均质</w:t>
      </w:r>
      <w:r>
        <w:rPr>
          <w:rFonts w:ascii="宋体" w:hAnsi="宋体" w:eastAsia="宋体" w:cs="宋体"/>
          <w:sz w:val="24"/>
          <w:szCs w:val="24"/>
        </w:rPr>
        <w:t xml:space="preserve"> </w:t>
      </w:r>
      <w:r>
        <w:rPr>
          <w:rFonts w:ascii="宋体" w:hAnsi="宋体" w:eastAsia="宋体" w:cs="宋体"/>
          <w:spacing w:val="-2"/>
          <w:sz w:val="24"/>
          <w:szCs w:val="24"/>
        </w:rPr>
        <w:t>量浓度和年平均质量或短期质量浓度可满足环境质量标准要求。其他污染物区域叠加浓</w:t>
      </w:r>
      <w:r>
        <w:rPr>
          <w:rFonts w:ascii="宋体" w:hAnsi="宋体" w:eastAsia="宋体" w:cs="宋体"/>
          <w:spacing w:val="18"/>
          <w:sz w:val="24"/>
          <w:szCs w:val="24"/>
        </w:rPr>
        <w:t xml:space="preserve"> </w:t>
      </w:r>
      <w:r>
        <w:rPr>
          <w:rFonts w:ascii="宋体" w:hAnsi="宋体" w:eastAsia="宋体" w:cs="宋体"/>
          <w:spacing w:val="-1"/>
          <w:sz w:val="24"/>
          <w:szCs w:val="24"/>
        </w:rPr>
        <w:t>度均可满足环境质量标准要求。</w:t>
      </w:r>
    </w:p>
    <w:p w14:paraId="591BD5DF">
      <w:pPr>
        <w:spacing w:before="36" w:line="220"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4</w:t>
      </w:r>
      <w:r>
        <w:rPr>
          <w:rFonts w:ascii="宋体" w:hAnsi="宋体" w:eastAsia="宋体" w:cs="宋体"/>
          <w:spacing w:val="-2"/>
          <w:sz w:val="24"/>
          <w:szCs w:val="24"/>
        </w:rPr>
        <w:t>）大气环境防护距离</w:t>
      </w:r>
    </w:p>
    <w:p w14:paraId="2C474223">
      <w:pPr>
        <w:spacing w:before="178" w:line="345" w:lineRule="auto"/>
        <w:ind w:left="9" w:right="80" w:firstLine="479"/>
        <w:rPr>
          <w:rFonts w:ascii="宋体" w:hAnsi="宋体" w:eastAsia="宋体" w:cs="宋体"/>
          <w:sz w:val="24"/>
          <w:szCs w:val="24"/>
        </w:rPr>
      </w:pPr>
      <w:r>
        <w:rPr>
          <w:rFonts w:ascii="宋体" w:hAnsi="宋体" w:eastAsia="宋体" w:cs="宋体"/>
          <w:spacing w:val="-2"/>
          <w:sz w:val="24"/>
          <w:szCs w:val="24"/>
        </w:rPr>
        <w:t>根据正常排放工况大气影响预测结果，各项污染物短期浓度贡献值均低于环境质量</w:t>
      </w:r>
      <w:r>
        <w:rPr>
          <w:rFonts w:ascii="宋体" w:hAnsi="宋体" w:eastAsia="宋体" w:cs="宋体"/>
          <w:spacing w:val="13"/>
          <w:sz w:val="24"/>
          <w:szCs w:val="24"/>
        </w:rPr>
        <w:t xml:space="preserve"> </w:t>
      </w:r>
      <w:r>
        <w:rPr>
          <w:rFonts w:ascii="宋体" w:hAnsi="宋体" w:eastAsia="宋体" w:cs="宋体"/>
          <w:spacing w:val="-1"/>
          <w:sz w:val="24"/>
          <w:szCs w:val="24"/>
        </w:rPr>
        <w:t>标准限值，因此本项目不需设置大气防护距离。</w:t>
      </w:r>
    </w:p>
    <w:p w14:paraId="2C930300">
      <w:pPr>
        <w:spacing w:before="37" w:line="219" w:lineRule="auto"/>
        <w:ind w:left="491"/>
        <w:rPr>
          <w:rFonts w:ascii="宋体" w:hAnsi="宋体" w:eastAsia="宋体" w:cs="宋体"/>
          <w:sz w:val="24"/>
          <w:szCs w:val="24"/>
        </w:rPr>
      </w:pPr>
      <w:r>
        <w:rPr>
          <w:rFonts w:ascii="宋体" w:hAnsi="宋体" w:eastAsia="宋体" w:cs="宋体"/>
          <w:spacing w:val="-1"/>
          <w:sz w:val="24"/>
          <w:szCs w:val="24"/>
        </w:rPr>
        <w:t>综上所述，本项目的大气环境影响可以接受。</w:t>
      </w:r>
    </w:p>
    <w:p w14:paraId="0D17558F">
      <w:pPr>
        <w:spacing w:line="219" w:lineRule="auto"/>
        <w:rPr>
          <w:rFonts w:ascii="宋体" w:hAnsi="宋体" w:eastAsia="宋体" w:cs="宋体"/>
          <w:sz w:val="24"/>
          <w:szCs w:val="24"/>
        </w:rPr>
        <w:sectPr>
          <w:headerReference r:id="rId297" w:type="default"/>
          <w:footerReference r:id="rId298" w:type="default"/>
          <w:pgSz w:w="11906" w:h="16839"/>
          <w:pgMar w:top="1190" w:right="1337" w:bottom="1427" w:left="1417" w:header="882" w:footer="1265" w:gutter="0"/>
          <w:cols w:space="720" w:num="1"/>
        </w:sectPr>
      </w:pPr>
    </w:p>
    <w:p w14:paraId="687C93B0">
      <w:pPr>
        <w:spacing w:line="28" w:lineRule="exact"/>
        <w:ind w:firstLine="30"/>
      </w:pPr>
      <w:r>
        <w:pict>
          <v:shape id="_x0000_s1804" o:spid="_x0000_s1804" style="height:1.45pt;width:453.65pt;" fillcolor="#000000" filled="t" stroked="f" coordsize="9072,29" path="m0,0l9072,0,9072,28,0,28,0,0xe">
            <v:path/>
            <v:fill on="t" focussize="0,0"/>
            <v:stroke on="f"/>
            <v:imagedata o:title=""/>
            <o:lock v:ext="edit"/>
            <w10:wrap type="none"/>
            <w10:anchorlock/>
          </v:shape>
        </w:pict>
      </w:r>
    </w:p>
    <w:p w14:paraId="5FF9FC3A">
      <w:pPr>
        <w:spacing w:before="229" w:line="226" w:lineRule="auto"/>
        <w:ind w:left="237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2"/>
          <w:sz w:val="20"/>
          <w:szCs w:val="20"/>
        </w:rPr>
        <w:t xml:space="preserve"> </w:t>
      </w:r>
      <w:r>
        <w:rPr>
          <w:rFonts w:ascii="Times New Roman" w:hAnsi="Times New Roman" w:eastAsia="Times New Roman" w:cs="Times New Roman"/>
          <w:b/>
          <w:bCs/>
          <w:spacing w:val="5"/>
          <w:sz w:val="20"/>
          <w:szCs w:val="20"/>
        </w:rPr>
        <w:t xml:space="preserve">4.1-16        </w:t>
      </w:r>
      <w:r>
        <w:rPr>
          <w:rFonts w:ascii="宋体" w:hAnsi="宋体" w:eastAsia="宋体" w:cs="宋体"/>
          <w:b/>
          <w:bCs/>
          <w:spacing w:val="5"/>
          <w:sz w:val="20"/>
          <w:szCs w:val="20"/>
        </w:rPr>
        <w:t>建设项目大气环境影响评价自查表</w:t>
      </w:r>
    </w:p>
    <w:p w14:paraId="1AC13710">
      <w:pPr>
        <w:spacing w:line="132" w:lineRule="exact"/>
      </w:pPr>
    </w:p>
    <w:tbl>
      <w:tblPr>
        <w:tblStyle w:val="5"/>
        <w:tblW w:w="912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53"/>
        <w:gridCol w:w="1661"/>
        <w:gridCol w:w="942"/>
        <w:gridCol w:w="345"/>
        <w:gridCol w:w="80"/>
        <w:gridCol w:w="226"/>
        <w:gridCol w:w="93"/>
        <w:gridCol w:w="372"/>
        <w:gridCol w:w="405"/>
        <w:gridCol w:w="305"/>
        <w:gridCol w:w="130"/>
        <w:gridCol w:w="124"/>
        <w:gridCol w:w="895"/>
        <w:gridCol w:w="148"/>
        <w:gridCol w:w="210"/>
        <w:gridCol w:w="643"/>
        <w:gridCol w:w="418"/>
        <w:gridCol w:w="460"/>
        <w:gridCol w:w="717"/>
      </w:tblGrid>
      <w:tr w14:paraId="165551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614" w:type="dxa"/>
            <w:gridSpan w:val="2"/>
            <w:vAlign w:val="top"/>
          </w:tcPr>
          <w:p w14:paraId="24D53BDA">
            <w:pPr>
              <w:pStyle w:val="6"/>
              <w:spacing w:before="48" w:line="219" w:lineRule="auto"/>
              <w:ind w:left="953"/>
              <w:rPr>
                <w:sz w:val="18"/>
                <w:szCs w:val="18"/>
              </w:rPr>
            </w:pPr>
            <w:r>
              <w:rPr>
                <w:spacing w:val="-3"/>
                <w:sz w:val="18"/>
                <w:szCs w:val="18"/>
              </w:rPr>
              <w:t>工作内容</w:t>
            </w:r>
          </w:p>
        </w:tc>
        <w:tc>
          <w:tcPr>
            <w:tcW w:w="6513" w:type="dxa"/>
            <w:gridSpan w:val="17"/>
            <w:vAlign w:val="top"/>
          </w:tcPr>
          <w:p w14:paraId="6E7BA3EC">
            <w:pPr>
              <w:pStyle w:val="6"/>
              <w:spacing w:before="48" w:line="220" w:lineRule="auto"/>
              <w:ind w:left="2928"/>
              <w:rPr>
                <w:sz w:val="18"/>
                <w:szCs w:val="18"/>
              </w:rPr>
            </w:pPr>
            <w:r>
              <w:rPr>
                <w:spacing w:val="-10"/>
                <w:sz w:val="18"/>
                <w:szCs w:val="18"/>
              </w:rPr>
              <w:t>自查项目</w:t>
            </w:r>
          </w:p>
        </w:tc>
      </w:tr>
      <w:tr w14:paraId="53DECD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953" w:type="dxa"/>
            <w:vMerge w:val="restart"/>
            <w:tcBorders>
              <w:bottom w:val="nil"/>
            </w:tcBorders>
            <w:vAlign w:val="top"/>
          </w:tcPr>
          <w:p w14:paraId="67D865FD">
            <w:pPr>
              <w:pStyle w:val="6"/>
              <w:spacing w:before="61" w:line="229" w:lineRule="auto"/>
              <w:ind w:left="214" w:right="114" w:hanging="95"/>
              <w:rPr>
                <w:sz w:val="18"/>
                <w:szCs w:val="18"/>
              </w:rPr>
            </w:pPr>
            <w:r>
              <w:rPr>
                <w:spacing w:val="-2"/>
                <w:sz w:val="18"/>
                <w:szCs w:val="18"/>
              </w:rPr>
              <w:t>评价等级</w:t>
            </w:r>
            <w:r>
              <w:rPr>
                <w:sz w:val="18"/>
                <w:szCs w:val="18"/>
              </w:rPr>
              <w:t xml:space="preserve"> </w:t>
            </w:r>
            <w:r>
              <w:rPr>
                <w:spacing w:val="-4"/>
                <w:sz w:val="18"/>
                <w:szCs w:val="18"/>
              </w:rPr>
              <w:t>与范围</w:t>
            </w:r>
          </w:p>
        </w:tc>
        <w:tc>
          <w:tcPr>
            <w:tcW w:w="1661" w:type="dxa"/>
            <w:vAlign w:val="top"/>
          </w:tcPr>
          <w:p w14:paraId="1667A3D4">
            <w:pPr>
              <w:pStyle w:val="6"/>
              <w:spacing w:before="41" w:line="218" w:lineRule="auto"/>
              <w:ind w:left="472"/>
              <w:rPr>
                <w:sz w:val="18"/>
                <w:szCs w:val="18"/>
              </w:rPr>
            </w:pPr>
            <w:r>
              <w:rPr>
                <w:spacing w:val="-2"/>
                <w:sz w:val="18"/>
                <w:szCs w:val="18"/>
              </w:rPr>
              <w:t>评价等级</w:t>
            </w:r>
          </w:p>
        </w:tc>
        <w:tc>
          <w:tcPr>
            <w:tcW w:w="2463" w:type="dxa"/>
            <w:gridSpan w:val="7"/>
            <w:vAlign w:val="top"/>
          </w:tcPr>
          <w:p w14:paraId="00B47A0F">
            <w:pPr>
              <w:pStyle w:val="6"/>
              <w:spacing w:before="6" w:line="243" w:lineRule="exact"/>
              <w:ind w:left="1008"/>
              <w:rPr>
                <w:rFonts w:ascii="Times New Roman" w:hAnsi="Times New Roman" w:eastAsia="Times New Roman" w:cs="Times New Roman"/>
                <w:sz w:val="18"/>
                <w:szCs w:val="18"/>
              </w:rPr>
            </w:pPr>
            <w:r>
              <w:rPr>
                <w:spacing w:val="-4"/>
                <w:sz w:val="18"/>
                <w:szCs w:val="18"/>
              </w:rPr>
              <w:t>一级</w:t>
            </w:r>
            <w:r>
              <w:rPr>
                <w:rFonts w:ascii="Times New Roman" w:hAnsi="Times New Roman" w:eastAsia="Times New Roman" w:cs="Times New Roman"/>
                <w:spacing w:val="-4"/>
                <w:sz w:val="18"/>
                <w:szCs w:val="18"/>
              </w:rPr>
              <w:t>√</w:t>
            </w:r>
          </w:p>
        </w:tc>
        <w:tc>
          <w:tcPr>
            <w:tcW w:w="2455" w:type="dxa"/>
            <w:gridSpan w:val="7"/>
            <w:vAlign w:val="top"/>
          </w:tcPr>
          <w:p w14:paraId="65519B90">
            <w:pPr>
              <w:pStyle w:val="6"/>
              <w:spacing w:before="42" w:line="221" w:lineRule="auto"/>
              <w:ind w:left="1000"/>
              <w:rPr>
                <w:rFonts w:ascii="Times New Roman" w:hAnsi="Times New Roman" w:eastAsia="Times New Roman" w:cs="Times New Roman"/>
                <w:sz w:val="18"/>
                <w:szCs w:val="18"/>
              </w:rPr>
            </w:pPr>
            <w:r>
              <w:rPr>
                <w:spacing w:val="-4"/>
                <w:sz w:val="18"/>
                <w:szCs w:val="18"/>
              </w:rPr>
              <w:t>二级</w:t>
            </w:r>
            <w:r>
              <w:rPr>
                <w:rFonts w:ascii="Times New Roman" w:hAnsi="Times New Roman" w:eastAsia="Times New Roman" w:cs="Times New Roman"/>
                <w:spacing w:val="-4"/>
                <w:sz w:val="18"/>
                <w:szCs w:val="18"/>
              </w:rPr>
              <w:t>□</w:t>
            </w:r>
          </w:p>
        </w:tc>
        <w:tc>
          <w:tcPr>
            <w:tcW w:w="1595" w:type="dxa"/>
            <w:gridSpan w:val="3"/>
            <w:vAlign w:val="top"/>
          </w:tcPr>
          <w:p w14:paraId="2CC5FEC1">
            <w:pPr>
              <w:pStyle w:val="6"/>
              <w:spacing w:before="42" w:line="221" w:lineRule="auto"/>
              <w:ind w:left="568"/>
              <w:rPr>
                <w:rFonts w:ascii="Times New Roman" w:hAnsi="Times New Roman" w:eastAsia="Times New Roman" w:cs="Times New Roman"/>
                <w:sz w:val="18"/>
                <w:szCs w:val="18"/>
              </w:rPr>
            </w:pPr>
            <w:r>
              <w:rPr>
                <w:spacing w:val="-3"/>
                <w:sz w:val="18"/>
                <w:szCs w:val="18"/>
              </w:rPr>
              <w:t>三级</w:t>
            </w:r>
            <w:r>
              <w:rPr>
                <w:rFonts w:ascii="Times New Roman" w:hAnsi="Times New Roman" w:eastAsia="Times New Roman" w:cs="Times New Roman"/>
                <w:spacing w:val="-3"/>
                <w:sz w:val="18"/>
                <w:szCs w:val="18"/>
              </w:rPr>
              <w:t>□</w:t>
            </w:r>
          </w:p>
        </w:tc>
      </w:tr>
      <w:tr w14:paraId="68F3EA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953" w:type="dxa"/>
            <w:vMerge w:val="continue"/>
            <w:tcBorders>
              <w:top w:val="nil"/>
            </w:tcBorders>
            <w:vAlign w:val="top"/>
          </w:tcPr>
          <w:p w14:paraId="3B5EE507">
            <w:pPr>
              <w:rPr>
                <w:rFonts w:ascii="Arial"/>
                <w:sz w:val="21"/>
              </w:rPr>
            </w:pPr>
          </w:p>
        </w:tc>
        <w:tc>
          <w:tcPr>
            <w:tcW w:w="1661" w:type="dxa"/>
            <w:vAlign w:val="top"/>
          </w:tcPr>
          <w:p w14:paraId="1055C5A5">
            <w:pPr>
              <w:pStyle w:val="6"/>
              <w:spacing w:before="42" w:line="218" w:lineRule="auto"/>
              <w:ind w:left="472"/>
              <w:rPr>
                <w:sz w:val="18"/>
                <w:szCs w:val="18"/>
              </w:rPr>
            </w:pPr>
            <w:r>
              <w:rPr>
                <w:spacing w:val="-2"/>
                <w:sz w:val="18"/>
                <w:szCs w:val="18"/>
              </w:rPr>
              <w:t>评价范围</w:t>
            </w:r>
          </w:p>
        </w:tc>
        <w:tc>
          <w:tcPr>
            <w:tcW w:w="2463" w:type="dxa"/>
            <w:gridSpan w:val="7"/>
            <w:vAlign w:val="top"/>
          </w:tcPr>
          <w:p w14:paraId="5B9FAD7B">
            <w:pPr>
              <w:pStyle w:val="6"/>
              <w:spacing w:before="7" w:line="242" w:lineRule="exact"/>
              <w:ind w:left="745"/>
              <w:rPr>
                <w:rFonts w:ascii="Times New Roman" w:hAnsi="Times New Roman" w:eastAsia="Times New Roman" w:cs="Times New Roman"/>
                <w:sz w:val="18"/>
                <w:szCs w:val="18"/>
              </w:rPr>
            </w:pPr>
            <w:r>
              <w:rPr>
                <w:spacing w:val="-1"/>
                <w:position w:val="1"/>
                <w:sz w:val="18"/>
                <w:szCs w:val="18"/>
              </w:rPr>
              <w:t>边长</w:t>
            </w:r>
            <w:r>
              <w:rPr>
                <w:rFonts w:ascii="Times New Roman" w:hAnsi="Times New Roman" w:eastAsia="Times New Roman" w:cs="Times New Roman"/>
                <w:spacing w:val="-1"/>
                <w:position w:val="1"/>
                <w:sz w:val="18"/>
                <w:szCs w:val="18"/>
              </w:rPr>
              <w:t>=50km□</w:t>
            </w:r>
          </w:p>
        </w:tc>
        <w:tc>
          <w:tcPr>
            <w:tcW w:w="2455" w:type="dxa"/>
            <w:gridSpan w:val="7"/>
            <w:vAlign w:val="top"/>
          </w:tcPr>
          <w:p w14:paraId="583F91F4">
            <w:pPr>
              <w:pStyle w:val="6"/>
              <w:spacing w:before="42" w:line="221" w:lineRule="auto"/>
              <w:ind w:left="634"/>
              <w:rPr>
                <w:rFonts w:ascii="Times New Roman" w:hAnsi="Times New Roman" w:eastAsia="Times New Roman" w:cs="Times New Roman"/>
                <w:sz w:val="18"/>
                <w:szCs w:val="18"/>
              </w:rPr>
            </w:pPr>
            <w:r>
              <w:rPr>
                <w:spacing w:val="-2"/>
                <w:sz w:val="18"/>
                <w:szCs w:val="18"/>
              </w:rPr>
              <w:t>边长</w:t>
            </w:r>
            <w:r>
              <w:rPr>
                <w:spacing w:val="-35"/>
                <w:sz w:val="18"/>
                <w:szCs w:val="18"/>
              </w:rPr>
              <w:t xml:space="preserve"> </w:t>
            </w:r>
            <w:r>
              <w:rPr>
                <w:rFonts w:ascii="Times New Roman" w:hAnsi="Times New Roman" w:eastAsia="Times New Roman" w:cs="Times New Roman"/>
                <w:spacing w:val="-2"/>
                <w:sz w:val="18"/>
                <w:szCs w:val="18"/>
              </w:rPr>
              <w:t>5</w:t>
            </w:r>
            <w:r>
              <w:rPr>
                <w:spacing w:val="-2"/>
                <w:sz w:val="18"/>
                <w:szCs w:val="18"/>
              </w:rPr>
              <w:t>～</w:t>
            </w:r>
            <w:r>
              <w:rPr>
                <w:rFonts w:ascii="Times New Roman" w:hAnsi="Times New Roman" w:eastAsia="Times New Roman" w:cs="Times New Roman"/>
                <w:spacing w:val="-2"/>
                <w:sz w:val="18"/>
                <w:szCs w:val="18"/>
              </w:rPr>
              <w:t>50km□</w:t>
            </w:r>
          </w:p>
        </w:tc>
        <w:tc>
          <w:tcPr>
            <w:tcW w:w="1595" w:type="dxa"/>
            <w:gridSpan w:val="3"/>
            <w:vAlign w:val="top"/>
          </w:tcPr>
          <w:p w14:paraId="11A26644">
            <w:pPr>
              <w:pStyle w:val="6"/>
              <w:spacing w:before="7" w:line="242" w:lineRule="exact"/>
              <w:ind w:left="339"/>
              <w:rPr>
                <w:rFonts w:ascii="Times New Roman" w:hAnsi="Times New Roman" w:eastAsia="Times New Roman" w:cs="Times New Roman"/>
                <w:sz w:val="18"/>
                <w:szCs w:val="18"/>
              </w:rPr>
            </w:pPr>
            <w:r>
              <w:rPr>
                <w:spacing w:val="-1"/>
                <w:sz w:val="18"/>
                <w:szCs w:val="18"/>
              </w:rPr>
              <w:t>边长</w:t>
            </w:r>
            <w:r>
              <w:rPr>
                <w:rFonts w:ascii="Times New Roman" w:hAnsi="Times New Roman" w:eastAsia="Times New Roman" w:cs="Times New Roman"/>
                <w:spacing w:val="-1"/>
                <w:sz w:val="18"/>
                <w:szCs w:val="18"/>
              </w:rPr>
              <w:t>=5 km√</w:t>
            </w:r>
          </w:p>
        </w:tc>
      </w:tr>
      <w:tr w14:paraId="592B0F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953" w:type="dxa"/>
            <w:vMerge w:val="restart"/>
            <w:tcBorders>
              <w:bottom w:val="nil"/>
            </w:tcBorders>
            <w:vAlign w:val="top"/>
          </w:tcPr>
          <w:p w14:paraId="5545FC5E">
            <w:pPr>
              <w:spacing w:line="342" w:lineRule="auto"/>
              <w:rPr>
                <w:rFonts w:ascii="Arial"/>
                <w:sz w:val="21"/>
              </w:rPr>
            </w:pPr>
          </w:p>
          <w:p w14:paraId="02067435">
            <w:pPr>
              <w:pStyle w:val="6"/>
              <w:spacing w:before="58" w:line="218" w:lineRule="auto"/>
              <w:ind w:left="119"/>
              <w:rPr>
                <w:sz w:val="18"/>
                <w:szCs w:val="18"/>
              </w:rPr>
            </w:pPr>
            <w:r>
              <w:rPr>
                <w:spacing w:val="-2"/>
                <w:sz w:val="18"/>
                <w:szCs w:val="18"/>
              </w:rPr>
              <w:t>评价因子</w:t>
            </w:r>
          </w:p>
        </w:tc>
        <w:tc>
          <w:tcPr>
            <w:tcW w:w="1661" w:type="dxa"/>
            <w:vAlign w:val="top"/>
          </w:tcPr>
          <w:p w14:paraId="1505950D">
            <w:pPr>
              <w:pStyle w:val="6"/>
              <w:spacing w:before="40" w:line="221" w:lineRule="auto"/>
              <w:ind w:left="187"/>
              <w:rPr>
                <w:sz w:val="18"/>
                <w:szCs w:val="18"/>
              </w:rPr>
            </w:pPr>
            <w:r>
              <w:rPr>
                <w:rFonts w:ascii="Times New Roman" w:hAnsi="Times New Roman" w:eastAsia="Times New Roman" w:cs="Times New Roman"/>
                <w:spacing w:val="-2"/>
                <w:sz w:val="18"/>
                <w:szCs w:val="18"/>
              </w:rPr>
              <w:t>SO</w:t>
            </w:r>
            <w:r>
              <w:rPr>
                <w:rFonts w:ascii="Times New Roman" w:hAnsi="Times New Roman" w:eastAsia="Times New Roman" w:cs="Times New Roman"/>
                <w:spacing w:val="-2"/>
                <w:position w:val="-1"/>
                <w:sz w:val="11"/>
                <w:szCs w:val="11"/>
              </w:rPr>
              <w:t xml:space="preserve">2 </w:t>
            </w:r>
            <w:r>
              <w:rPr>
                <w:rFonts w:ascii="Times New Roman" w:hAnsi="Times New Roman" w:eastAsia="Times New Roman" w:cs="Times New Roman"/>
                <w:spacing w:val="-2"/>
                <w:sz w:val="18"/>
                <w:szCs w:val="18"/>
              </w:rPr>
              <w:t>+NO</w:t>
            </w:r>
            <w:r>
              <w:rPr>
                <w:rFonts w:ascii="Times New Roman" w:hAnsi="Times New Roman" w:eastAsia="Times New Roman" w:cs="Times New Roman"/>
                <w:i/>
                <w:iCs/>
                <w:spacing w:val="-2"/>
                <w:position w:val="-1"/>
                <w:sz w:val="11"/>
                <w:szCs w:val="11"/>
              </w:rPr>
              <w:t>x</w:t>
            </w:r>
            <w:r>
              <w:rPr>
                <w:rFonts w:ascii="Times New Roman" w:hAnsi="Times New Roman" w:eastAsia="Times New Roman" w:cs="Times New Roman"/>
                <w:i/>
                <w:iCs/>
                <w:spacing w:val="20"/>
                <w:position w:val="-1"/>
                <w:sz w:val="11"/>
                <w:szCs w:val="11"/>
              </w:rPr>
              <w:t xml:space="preserve"> </w:t>
            </w:r>
            <w:r>
              <w:rPr>
                <w:spacing w:val="-2"/>
                <w:sz w:val="18"/>
                <w:szCs w:val="18"/>
              </w:rPr>
              <w:t>排放量</w:t>
            </w:r>
          </w:p>
        </w:tc>
        <w:tc>
          <w:tcPr>
            <w:tcW w:w="1287" w:type="dxa"/>
            <w:gridSpan w:val="2"/>
            <w:vAlign w:val="top"/>
          </w:tcPr>
          <w:p w14:paraId="4F724167">
            <w:pPr>
              <w:spacing w:before="68" w:line="192" w:lineRule="auto"/>
              <w:ind w:left="24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 2000t/a□</w:t>
            </w:r>
          </w:p>
        </w:tc>
        <w:tc>
          <w:tcPr>
            <w:tcW w:w="3631" w:type="dxa"/>
            <w:gridSpan w:val="12"/>
            <w:vAlign w:val="top"/>
          </w:tcPr>
          <w:p w14:paraId="3226207C">
            <w:pPr>
              <w:spacing w:before="40" w:line="223" w:lineRule="auto"/>
              <w:ind w:left="1234"/>
              <w:rPr>
                <w:rFonts w:ascii="MS UI Gothic" w:hAnsi="MS UI Gothic" w:eastAsia="MS UI Gothic" w:cs="MS UI Gothic"/>
                <w:sz w:val="18"/>
                <w:szCs w:val="18"/>
              </w:rPr>
            </w:pPr>
            <w:r>
              <w:rPr>
                <w:rFonts w:ascii="Times New Roman" w:hAnsi="Times New Roman" w:eastAsia="Times New Roman" w:cs="Times New Roman"/>
                <w:spacing w:val="-1"/>
                <w:sz w:val="18"/>
                <w:szCs w:val="18"/>
              </w:rPr>
              <w:t>500 ~ 2000t/a</w:t>
            </w:r>
            <w:r>
              <w:rPr>
                <w:rFonts w:ascii="MS UI Gothic" w:hAnsi="MS UI Gothic" w:eastAsia="MS UI Gothic" w:cs="MS UI Gothic"/>
                <w:spacing w:val="-1"/>
                <w:sz w:val="18"/>
                <w:szCs w:val="18"/>
              </w:rPr>
              <w:t>☑</w:t>
            </w:r>
          </w:p>
        </w:tc>
        <w:tc>
          <w:tcPr>
            <w:tcW w:w="1595" w:type="dxa"/>
            <w:gridSpan w:val="3"/>
            <w:vAlign w:val="top"/>
          </w:tcPr>
          <w:p w14:paraId="0EFB6573">
            <w:pPr>
              <w:spacing w:before="40" w:line="223" w:lineRule="auto"/>
              <w:ind w:left="423"/>
              <w:rPr>
                <w:rFonts w:ascii="Times New Roman" w:hAnsi="Times New Roman" w:eastAsia="Times New Roman" w:cs="Times New Roman"/>
                <w:sz w:val="18"/>
                <w:szCs w:val="18"/>
              </w:rPr>
            </w:pPr>
            <w:r>
              <w:rPr>
                <w:rFonts w:ascii="仿宋" w:hAnsi="仿宋" w:eastAsia="仿宋" w:cs="仿宋"/>
                <w:spacing w:val="-3"/>
                <w:sz w:val="18"/>
                <w:szCs w:val="18"/>
              </w:rPr>
              <w:t>＜</w:t>
            </w:r>
            <w:r>
              <w:rPr>
                <w:rFonts w:ascii="Times New Roman" w:hAnsi="Times New Roman" w:eastAsia="Times New Roman" w:cs="Times New Roman"/>
                <w:spacing w:val="-3"/>
                <w:sz w:val="18"/>
                <w:szCs w:val="18"/>
              </w:rPr>
              <w:t>500 t/a□</w:t>
            </w:r>
          </w:p>
        </w:tc>
      </w:tr>
      <w:tr w14:paraId="10ECC5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8" w:hRule="atLeast"/>
        </w:trPr>
        <w:tc>
          <w:tcPr>
            <w:tcW w:w="953" w:type="dxa"/>
            <w:vMerge w:val="continue"/>
            <w:tcBorders>
              <w:top w:val="nil"/>
            </w:tcBorders>
            <w:vAlign w:val="top"/>
          </w:tcPr>
          <w:p w14:paraId="422E576B">
            <w:pPr>
              <w:rPr>
                <w:rFonts w:ascii="Arial"/>
                <w:sz w:val="21"/>
              </w:rPr>
            </w:pPr>
          </w:p>
        </w:tc>
        <w:tc>
          <w:tcPr>
            <w:tcW w:w="1661" w:type="dxa"/>
            <w:vAlign w:val="top"/>
          </w:tcPr>
          <w:p w14:paraId="43548804">
            <w:pPr>
              <w:pStyle w:val="6"/>
              <w:spacing w:before="266" w:line="218" w:lineRule="auto"/>
              <w:ind w:left="472"/>
              <w:rPr>
                <w:sz w:val="18"/>
                <w:szCs w:val="18"/>
              </w:rPr>
            </w:pPr>
            <w:r>
              <w:rPr>
                <w:spacing w:val="-2"/>
                <w:sz w:val="18"/>
                <w:szCs w:val="18"/>
              </w:rPr>
              <w:t>评价因子</w:t>
            </w:r>
          </w:p>
        </w:tc>
        <w:tc>
          <w:tcPr>
            <w:tcW w:w="3917" w:type="dxa"/>
            <w:gridSpan w:val="11"/>
            <w:vAlign w:val="top"/>
          </w:tcPr>
          <w:p w14:paraId="3CFE59EE">
            <w:pPr>
              <w:pStyle w:val="6"/>
              <w:spacing w:before="150" w:line="225" w:lineRule="auto"/>
              <w:ind w:left="375" w:right="366" w:firstLine="47"/>
              <w:rPr>
                <w:rFonts w:ascii="Times New Roman" w:hAnsi="Times New Roman" w:eastAsia="Times New Roman" w:cs="Times New Roman"/>
                <w:sz w:val="18"/>
                <w:szCs w:val="18"/>
              </w:rPr>
            </w:pPr>
            <w:r>
              <w:rPr>
                <w:spacing w:val="-3"/>
                <w:sz w:val="18"/>
                <w:szCs w:val="18"/>
              </w:rPr>
              <w:t xml:space="preserve">基本污染物 </w:t>
            </w:r>
            <w:r>
              <w:rPr>
                <w:rFonts w:ascii="Times New Roman" w:hAnsi="Times New Roman" w:eastAsia="Times New Roman" w:cs="Times New Roman"/>
                <w:spacing w:val="-3"/>
                <w:sz w:val="18"/>
                <w:szCs w:val="18"/>
              </w:rPr>
              <w:t>(PM</w:t>
            </w:r>
            <w:r>
              <w:rPr>
                <w:rFonts w:ascii="Times New Roman" w:hAnsi="Times New Roman" w:eastAsia="Times New Roman" w:cs="Times New Roman"/>
                <w:spacing w:val="-3"/>
                <w:position w:val="-1"/>
                <w:sz w:val="11"/>
                <w:szCs w:val="11"/>
              </w:rPr>
              <w:t>10</w:t>
            </w:r>
            <w:r>
              <w:rPr>
                <w:rFonts w:ascii="Times New Roman" w:hAnsi="Times New Roman" w:eastAsia="Times New Roman" w:cs="Times New Roman"/>
                <w:spacing w:val="12"/>
                <w:w w:val="103"/>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PM</w:t>
            </w:r>
            <w:r>
              <w:rPr>
                <w:rFonts w:ascii="Times New Roman" w:hAnsi="Times New Roman" w:eastAsia="Times New Roman" w:cs="Times New Roman"/>
                <w:spacing w:val="-3"/>
                <w:position w:val="-1"/>
                <w:sz w:val="11"/>
                <w:szCs w:val="11"/>
              </w:rPr>
              <w:t>2.5</w:t>
            </w:r>
            <w:r>
              <w:rPr>
                <w:rFonts w:ascii="Times New Roman" w:hAnsi="Times New Roman" w:eastAsia="Times New Roman" w:cs="Times New Roman"/>
                <w:spacing w:val="-6"/>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r>
              <w:rPr>
                <w:rFonts w:ascii="Times New Roman" w:hAnsi="Times New Roman" w:eastAsia="Times New Roman" w:cs="Times New Roman"/>
                <w:spacing w:val="-5"/>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NO</w:t>
            </w:r>
            <w:r>
              <w:rPr>
                <w:rFonts w:ascii="Times New Roman" w:hAnsi="Times New Roman" w:eastAsia="Times New Roman" w:cs="Times New Roman"/>
                <w:spacing w:val="-3"/>
                <w:position w:val="-1"/>
                <w:sz w:val="11"/>
                <w:szCs w:val="11"/>
              </w:rPr>
              <w:t xml:space="preserve">2  </w:t>
            </w:r>
            <w:r>
              <w:rPr>
                <w:rFonts w:ascii="Times New Roman" w:hAnsi="Times New Roman" w:eastAsia="Times New Roman" w:cs="Times New Roman"/>
                <w:spacing w:val="-3"/>
                <w:sz w:val="18"/>
                <w:szCs w:val="18"/>
              </w:rPr>
              <w:t>)</w:t>
            </w:r>
            <w:r>
              <w:rPr>
                <w:rFonts w:ascii="Times New Roman" w:hAnsi="Times New Roman" w:eastAsia="Times New Roman" w:cs="Times New Roman"/>
                <w:sz w:val="18"/>
                <w:szCs w:val="18"/>
              </w:rPr>
              <w:t xml:space="preserve">  </w:t>
            </w:r>
            <w:r>
              <w:rPr>
                <w:spacing w:val="-2"/>
                <w:sz w:val="18"/>
                <w:szCs w:val="18"/>
              </w:rPr>
              <w:t xml:space="preserve">其他污染物 </w:t>
            </w:r>
            <w:r>
              <w:rPr>
                <w:rFonts w:ascii="Times New Roman" w:hAnsi="Times New Roman" w:eastAsia="Times New Roman" w:cs="Times New Roman"/>
                <w:spacing w:val="-2"/>
                <w:sz w:val="18"/>
                <w:szCs w:val="18"/>
              </w:rPr>
              <w:t>(TSP</w:t>
            </w:r>
            <w:r>
              <w:rPr>
                <w:rFonts w:ascii="Times New Roman" w:hAnsi="Times New Roman" w:eastAsia="Times New Roman" w:cs="Times New Roman"/>
                <w:spacing w:val="-24"/>
                <w:sz w:val="18"/>
                <w:szCs w:val="18"/>
              </w:rPr>
              <w:t xml:space="preserve"> </w:t>
            </w:r>
            <w:r>
              <w:rPr>
                <w:spacing w:val="-2"/>
                <w:sz w:val="18"/>
                <w:szCs w:val="18"/>
              </w:rPr>
              <w:t>、</w:t>
            </w:r>
            <w:r>
              <w:rPr>
                <w:rFonts w:ascii="Times New Roman" w:hAnsi="Times New Roman" w:eastAsia="Times New Roman" w:cs="Times New Roman"/>
                <w:spacing w:val="-2"/>
                <w:sz w:val="18"/>
                <w:szCs w:val="18"/>
              </w:rPr>
              <w:t>NH</w:t>
            </w:r>
            <w:r>
              <w:rPr>
                <w:rFonts w:ascii="Times New Roman" w:hAnsi="Times New Roman" w:eastAsia="Times New Roman" w:cs="Times New Roman"/>
                <w:spacing w:val="-2"/>
                <w:position w:val="-1"/>
                <w:sz w:val="11"/>
                <w:szCs w:val="11"/>
              </w:rPr>
              <w:t>3</w:t>
            </w:r>
            <w:r>
              <w:rPr>
                <w:rFonts w:ascii="Times New Roman" w:hAnsi="Times New Roman" w:eastAsia="Times New Roman" w:cs="Times New Roman"/>
                <w:spacing w:val="-8"/>
                <w:position w:val="-1"/>
                <w:sz w:val="11"/>
                <w:szCs w:val="11"/>
              </w:rPr>
              <w:t xml:space="preserve"> </w:t>
            </w:r>
            <w:r>
              <w:rPr>
                <w:spacing w:val="-2"/>
                <w:sz w:val="18"/>
                <w:szCs w:val="18"/>
              </w:rPr>
              <w:t>、锰及其化</w:t>
            </w:r>
            <w:r>
              <w:rPr>
                <w:spacing w:val="-3"/>
                <w:sz w:val="18"/>
                <w:szCs w:val="18"/>
              </w:rPr>
              <w:t>合物</w:t>
            </w:r>
            <w:r>
              <w:rPr>
                <w:rFonts w:ascii="Times New Roman" w:hAnsi="Times New Roman" w:eastAsia="Times New Roman" w:cs="Times New Roman"/>
                <w:spacing w:val="-3"/>
                <w:sz w:val="18"/>
                <w:szCs w:val="18"/>
              </w:rPr>
              <w:t>)</w:t>
            </w:r>
          </w:p>
        </w:tc>
        <w:tc>
          <w:tcPr>
            <w:tcW w:w="2596" w:type="dxa"/>
            <w:gridSpan w:val="6"/>
            <w:vAlign w:val="top"/>
          </w:tcPr>
          <w:p w14:paraId="6DBEA003">
            <w:pPr>
              <w:pStyle w:val="6"/>
              <w:spacing w:before="149" w:line="230" w:lineRule="auto"/>
              <w:ind w:left="576" w:right="566" w:firstLine="49"/>
              <w:rPr>
                <w:rFonts w:ascii="Times New Roman" w:hAnsi="Times New Roman" w:eastAsia="Times New Roman" w:cs="Times New Roman"/>
                <w:sz w:val="18"/>
                <w:szCs w:val="18"/>
              </w:rPr>
            </w:pPr>
            <w:r>
              <w:rPr>
                <w:spacing w:val="-2"/>
                <w:sz w:val="18"/>
                <w:szCs w:val="18"/>
              </w:rPr>
              <w:t>包括二次</w:t>
            </w:r>
            <w:r>
              <w:rPr>
                <w:spacing w:val="-40"/>
                <w:sz w:val="18"/>
                <w:szCs w:val="18"/>
              </w:rPr>
              <w:t xml:space="preserve"> </w:t>
            </w:r>
            <w:r>
              <w:rPr>
                <w:rFonts w:ascii="Times New Roman" w:hAnsi="Times New Roman" w:eastAsia="Times New Roman" w:cs="Times New Roman"/>
                <w:spacing w:val="-2"/>
                <w:sz w:val="18"/>
                <w:szCs w:val="18"/>
              </w:rPr>
              <w:t>PM</w:t>
            </w:r>
            <w:r>
              <w:rPr>
                <w:rFonts w:ascii="Times New Roman" w:hAnsi="Times New Roman" w:eastAsia="Times New Roman" w:cs="Times New Roman"/>
                <w:spacing w:val="-2"/>
                <w:position w:val="-1"/>
                <w:sz w:val="11"/>
                <w:szCs w:val="11"/>
              </w:rPr>
              <w:t>2.5</w:t>
            </w:r>
            <w:r>
              <w:rPr>
                <w:rFonts w:ascii="Times New Roman" w:hAnsi="Times New Roman" w:eastAsia="Times New Roman" w:cs="Times New Roman"/>
                <w:spacing w:val="-11"/>
                <w:position w:val="-1"/>
                <w:sz w:val="11"/>
                <w:szCs w:val="11"/>
              </w:rPr>
              <w:t xml:space="preserve"> </w:t>
            </w:r>
            <w:r>
              <w:rPr>
                <w:rFonts w:ascii="MS UI Gothic" w:hAnsi="MS UI Gothic" w:eastAsia="MS UI Gothic" w:cs="MS UI Gothic"/>
                <w:spacing w:val="-2"/>
                <w:sz w:val="18"/>
                <w:szCs w:val="18"/>
              </w:rPr>
              <w:t>☑</w:t>
            </w:r>
            <w:r>
              <w:rPr>
                <w:rFonts w:ascii="MS UI Gothic" w:hAnsi="MS UI Gothic" w:eastAsia="MS UI Gothic" w:cs="MS UI Gothic"/>
                <w:sz w:val="18"/>
                <w:szCs w:val="18"/>
              </w:rPr>
              <w:t xml:space="preserve">  </w:t>
            </w:r>
            <w:r>
              <w:rPr>
                <w:spacing w:val="-1"/>
                <w:sz w:val="18"/>
                <w:szCs w:val="18"/>
              </w:rPr>
              <w:t>不包括二次</w:t>
            </w:r>
            <w:r>
              <w:rPr>
                <w:spacing w:val="-39"/>
                <w:sz w:val="18"/>
                <w:szCs w:val="18"/>
              </w:rPr>
              <w:t xml:space="preserve"> </w:t>
            </w:r>
            <w:r>
              <w:rPr>
                <w:rFonts w:ascii="Times New Roman" w:hAnsi="Times New Roman" w:eastAsia="Times New Roman" w:cs="Times New Roman"/>
                <w:spacing w:val="-1"/>
                <w:sz w:val="18"/>
                <w:szCs w:val="18"/>
              </w:rPr>
              <w:t>PM</w:t>
            </w:r>
            <w:r>
              <w:rPr>
                <w:rFonts w:ascii="Times New Roman" w:hAnsi="Times New Roman" w:eastAsia="Times New Roman" w:cs="Times New Roman"/>
                <w:spacing w:val="-1"/>
                <w:position w:val="-1"/>
                <w:sz w:val="11"/>
                <w:szCs w:val="11"/>
              </w:rPr>
              <w:t>2.5</w:t>
            </w:r>
            <w:r>
              <w:rPr>
                <w:rFonts w:ascii="Times New Roman" w:hAnsi="Times New Roman" w:eastAsia="Times New Roman" w:cs="Times New Roman"/>
                <w:spacing w:val="-1"/>
                <w:sz w:val="18"/>
                <w:szCs w:val="18"/>
              </w:rPr>
              <w:t>□</w:t>
            </w:r>
          </w:p>
        </w:tc>
      </w:tr>
      <w:tr w14:paraId="59FC70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953" w:type="dxa"/>
            <w:vAlign w:val="top"/>
          </w:tcPr>
          <w:p w14:paraId="3E4CA2A3">
            <w:pPr>
              <w:pStyle w:val="6"/>
              <w:spacing w:before="42" w:line="218" w:lineRule="auto"/>
              <w:ind w:left="119"/>
              <w:rPr>
                <w:sz w:val="18"/>
                <w:szCs w:val="18"/>
              </w:rPr>
            </w:pPr>
            <w:r>
              <w:rPr>
                <w:spacing w:val="-2"/>
                <w:sz w:val="18"/>
                <w:szCs w:val="18"/>
              </w:rPr>
              <w:t>评价标准</w:t>
            </w:r>
          </w:p>
        </w:tc>
        <w:tc>
          <w:tcPr>
            <w:tcW w:w="1661" w:type="dxa"/>
            <w:vAlign w:val="top"/>
          </w:tcPr>
          <w:p w14:paraId="03A52052">
            <w:pPr>
              <w:pStyle w:val="6"/>
              <w:spacing w:before="42" w:line="218" w:lineRule="auto"/>
              <w:ind w:left="472"/>
              <w:rPr>
                <w:sz w:val="18"/>
                <w:szCs w:val="18"/>
              </w:rPr>
            </w:pPr>
            <w:r>
              <w:rPr>
                <w:spacing w:val="-2"/>
                <w:sz w:val="18"/>
                <w:szCs w:val="18"/>
              </w:rPr>
              <w:t>评价标准</w:t>
            </w:r>
          </w:p>
        </w:tc>
        <w:tc>
          <w:tcPr>
            <w:tcW w:w="2058" w:type="dxa"/>
            <w:gridSpan w:val="6"/>
            <w:vAlign w:val="top"/>
          </w:tcPr>
          <w:p w14:paraId="0C187D3A">
            <w:pPr>
              <w:pStyle w:val="6"/>
              <w:spacing w:before="8" w:line="242" w:lineRule="exact"/>
              <w:ind w:left="641"/>
              <w:rPr>
                <w:rFonts w:ascii="Times New Roman" w:hAnsi="Times New Roman" w:eastAsia="Times New Roman" w:cs="Times New Roman"/>
                <w:sz w:val="18"/>
                <w:szCs w:val="18"/>
              </w:rPr>
            </w:pPr>
            <w:r>
              <w:rPr>
                <w:spacing w:val="-5"/>
                <w:sz w:val="18"/>
                <w:szCs w:val="18"/>
              </w:rPr>
              <w:t>国家标准</w:t>
            </w:r>
            <w:r>
              <w:rPr>
                <w:rFonts w:ascii="Times New Roman" w:hAnsi="Times New Roman" w:eastAsia="Times New Roman" w:cs="Times New Roman"/>
                <w:spacing w:val="-5"/>
                <w:sz w:val="18"/>
                <w:szCs w:val="18"/>
              </w:rPr>
              <w:t>√</w:t>
            </w:r>
          </w:p>
        </w:tc>
        <w:tc>
          <w:tcPr>
            <w:tcW w:w="1859" w:type="dxa"/>
            <w:gridSpan w:val="5"/>
            <w:vAlign w:val="top"/>
          </w:tcPr>
          <w:p w14:paraId="58EE0938">
            <w:pPr>
              <w:pStyle w:val="6"/>
              <w:spacing w:before="43" w:line="220" w:lineRule="auto"/>
              <w:ind w:left="474"/>
              <w:rPr>
                <w:rFonts w:ascii="Times New Roman" w:hAnsi="Times New Roman" w:eastAsia="Times New Roman" w:cs="Times New Roman"/>
                <w:sz w:val="18"/>
                <w:szCs w:val="18"/>
              </w:rPr>
            </w:pPr>
            <w:r>
              <w:rPr>
                <w:spacing w:val="-2"/>
                <w:sz w:val="18"/>
                <w:szCs w:val="18"/>
              </w:rPr>
              <w:t>地方标准</w:t>
            </w:r>
            <w:r>
              <w:rPr>
                <w:spacing w:val="15"/>
                <w:sz w:val="18"/>
                <w:szCs w:val="18"/>
              </w:rPr>
              <w:t xml:space="preserve"> </w:t>
            </w:r>
            <w:r>
              <w:rPr>
                <w:rFonts w:ascii="Times New Roman" w:hAnsi="Times New Roman" w:eastAsia="Times New Roman" w:cs="Times New Roman"/>
                <w:spacing w:val="-2"/>
                <w:sz w:val="18"/>
                <w:szCs w:val="18"/>
              </w:rPr>
              <w:t>□</w:t>
            </w:r>
          </w:p>
        </w:tc>
        <w:tc>
          <w:tcPr>
            <w:tcW w:w="1419" w:type="dxa"/>
            <w:gridSpan w:val="4"/>
            <w:vAlign w:val="top"/>
          </w:tcPr>
          <w:p w14:paraId="30C1160A">
            <w:pPr>
              <w:pStyle w:val="6"/>
              <w:spacing w:before="8" w:line="242" w:lineRule="exact"/>
              <w:ind w:left="412"/>
              <w:rPr>
                <w:rFonts w:ascii="Times New Roman" w:hAnsi="Times New Roman" w:eastAsia="Times New Roman" w:cs="Times New Roman"/>
                <w:sz w:val="18"/>
                <w:szCs w:val="18"/>
              </w:rPr>
            </w:pPr>
            <w:r>
              <w:rPr>
                <w:spacing w:val="-7"/>
                <w:sz w:val="18"/>
                <w:szCs w:val="18"/>
              </w:rPr>
              <w:t>附录</w:t>
            </w:r>
            <w:r>
              <w:rPr>
                <w:spacing w:val="-39"/>
                <w:sz w:val="18"/>
                <w:szCs w:val="18"/>
              </w:rPr>
              <w:t xml:space="preserve"> </w:t>
            </w:r>
            <w:r>
              <w:rPr>
                <w:rFonts w:ascii="Times New Roman" w:hAnsi="Times New Roman" w:eastAsia="Times New Roman" w:cs="Times New Roman"/>
                <w:spacing w:val="-7"/>
                <w:sz w:val="18"/>
                <w:szCs w:val="18"/>
              </w:rPr>
              <w:t>D√</w:t>
            </w:r>
          </w:p>
        </w:tc>
        <w:tc>
          <w:tcPr>
            <w:tcW w:w="1177" w:type="dxa"/>
            <w:gridSpan w:val="2"/>
            <w:vAlign w:val="top"/>
          </w:tcPr>
          <w:p w14:paraId="3D6FF7FE">
            <w:pPr>
              <w:pStyle w:val="6"/>
              <w:spacing w:before="43" w:line="220" w:lineRule="auto"/>
              <w:ind w:left="134"/>
              <w:rPr>
                <w:rFonts w:ascii="Times New Roman" w:hAnsi="Times New Roman" w:eastAsia="Times New Roman" w:cs="Times New Roman"/>
                <w:sz w:val="18"/>
                <w:szCs w:val="18"/>
              </w:rPr>
            </w:pPr>
            <w:r>
              <w:rPr>
                <w:spacing w:val="-2"/>
                <w:sz w:val="18"/>
                <w:szCs w:val="18"/>
              </w:rPr>
              <w:t>其他标准</w:t>
            </w:r>
            <w:r>
              <w:rPr>
                <w:spacing w:val="12"/>
                <w:sz w:val="18"/>
                <w:szCs w:val="18"/>
              </w:rPr>
              <w:t xml:space="preserve"> </w:t>
            </w:r>
            <w:r>
              <w:rPr>
                <w:rFonts w:ascii="Times New Roman" w:hAnsi="Times New Roman" w:eastAsia="Times New Roman" w:cs="Times New Roman"/>
                <w:spacing w:val="-2"/>
                <w:sz w:val="18"/>
                <w:szCs w:val="18"/>
              </w:rPr>
              <w:t>□</w:t>
            </w:r>
          </w:p>
        </w:tc>
      </w:tr>
      <w:tr w14:paraId="69B5A0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953" w:type="dxa"/>
            <w:vMerge w:val="restart"/>
            <w:tcBorders>
              <w:bottom w:val="nil"/>
            </w:tcBorders>
            <w:vAlign w:val="top"/>
          </w:tcPr>
          <w:p w14:paraId="42BB3CED">
            <w:pPr>
              <w:spacing w:line="244" w:lineRule="auto"/>
              <w:rPr>
                <w:rFonts w:ascii="Arial"/>
                <w:sz w:val="21"/>
              </w:rPr>
            </w:pPr>
          </w:p>
          <w:p w14:paraId="7DC32F88">
            <w:pPr>
              <w:spacing w:line="244" w:lineRule="auto"/>
              <w:rPr>
                <w:rFonts w:ascii="Arial"/>
                <w:sz w:val="21"/>
              </w:rPr>
            </w:pPr>
          </w:p>
          <w:p w14:paraId="1746B4B5">
            <w:pPr>
              <w:pStyle w:val="6"/>
              <w:spacing w:before="58" w:line="218" w:lineRule="auto"/>
              <w:ind w:left="122"/>
              <w:rPr>
                <w:sz w:val="18"/>
                <w:szCs w:val="18"/>
              </w:rPr>
            </w:pPr>
            <w:r>
              <w:rPr>
                <w:spacing w:val="-3"/>
                <w:sz w:val="18"/>
                <w:szCs w:val="18"/>
              </w:rPr>
              <w:t>现状评价</w:t>
            </w:r>
          </w:p>
        </w:tc>
        <w:tc>
          <w:tcPr>
            <w:tcW w:w="1661" w:type="dxa"/>
            <w:vAlign w:val="top"/>
          </w:tcPr>
          <w:p w14:paraId="202A40DE">
            <w:pPr>
              <w:pStyle w:val="6"/>
              <w:spacing w:before="41" w:line="220" w:lineRule="auto"/>
              <w:ind w:left="384"/>
              <w:rPr>
                <w:sz w:val="18"/>
                <w:szCs w:val="18"/>
              </w:rPr>
            </w:pPr>
            <w:r>
              <w:rPr>
                <w:spacing w:val="-2"/>
                <w:sz w:val="18"/>
                <w:szCs w:val="18"/>
              </w:rPr>
              <w:t>环境功能区</w:t>
            </w:r>
          </w:p>
        </w:tc>
        <w:tc>
          <w:tcPr>
            <w:tcW w:w="2463" w:type="dxa"/>
            <w:gridSpan w:val="7"/>
            <w:vAlign w:val="top"/>
          </w:tcPr>
          <w:p w14:paraId="4A708C89">
            <w:pPr>
              <w:pStyle w:val="6"/>
              <w:spacing w:before="41" w:line="219" w:lineRule="auto"/>
              <w:ind w:left="912"/>
              <w:rPr>
                <w:rFonts w:ascii="Times New Roman" w:hAnsi="Times New Roman" w:eastAsia="Times New Roman" w:cs="Times New Roman"/>
                <w:sz w:val="18"/>
                <w:szCs w:val="18"/>
              </w:rPr>
            </w:pPr>
            <w:r>
              <w:rPr>
                <w:spacing w:val="-3"/>
                <w:sz w:val="18"/>
                <w:szCs w:val="18"/>
              </w:rPr>
              <w:t>一类区</w:t>
            </w:r>
            <w:r>
              <w:rPr>
                <w:rFonts w:ascii="Times New Roman" w:hAnsi="Times New Roman" w:eastAsia="Times New Roman" w:cs="Times New Roman"/>
                <w:spacing w:val="-3"/>
                <w:sz w:val="18"/>
                <w:szCs w:val="18"/>
              </w:rPr>
              <w:t>□</w:t>
            </w:r>
          </w:p>
        </w:tc>
        <w:tc>
          <w:tcPr>
            <w:tcW w:w="2455" w:type="dxa"/>
            <w:gridSpan w:val="7"/>
            <w:vAlign w:val="top"/>
          </w:tcPr>
          <w:p w14:paraId="45100DB1">
            <w:pPr>
              <w:pStyle w:val="6"/>
              <w:spacing w:before="8" w:line="242" w:lineRule="exact"/>
              <w:ind w:left="916"/>
              <w:rPr>
                <w:rFonts w:ascii="Times New Roman" w:hAnsi="Times New Roman" w:eastAsia="Times New Roman" w:cs="Times New Roman"/>
                <w:sz w:val="18"/>
                <w:szCs w:val="18"/>
              </w:rPr>
            </w:pPr>
            <w:r>
              <w:rPr>
                <w:spacing w:val="-3"/>
                <w:sz w:val="18"/>
                <w:szCs w:val="18"/>
              </w:rPr>
              <w:t>二类区</w:t>
            </w:r>
            <w:r>
              <w:rPr>
                <w:rFonts w:ascii="Times New Roman" w:hAnsi="Times New Roman" w:eastAsia="Times New Roman" w:cs="Times New Roman"/>
                <w:spacing w:val="-3"/>
                <w:sz w:val="18"/>
                <w:szCs w:val="18"/>
              </w:rPr>
              <w:t>√</w:t>
            </w:r>
          </w:p>
        </w:tc>
        <w:tc>
          <w:tcPr>
            <w:tcW w:w="1595" w:type="dxa"/>
            <w:gridSpan w:val="3"/>
            <w:vAlign w:val="top"/>
          </w:tcPr>
          <w:p w14:paraId="5849682D">
            <w:pPr>
              <w:pStyle w:val="6"/>
              <w:spacing w:before="41" w:line="219" w:lineRule="auto"/>
              <w:ind w:left="120"/>
              <w:rPr>
                <w:rFonts w:ascii="Times New Roman" w:hAnsi="Times New Roman" w:eastAsia="Times New Roman" w:cs="Times New Roman"/>
                <w:sz w:val="18"/>
                <w:szCs w:val="18"/>
              </w:rPr>
            </w:pPr>
            <w:r>
              <w:rPr>
                <w:spacing w:val="-2"/>
                <w:sz w:val="18"/>
                <w:szCs w:val="18"/>
              </w:rPr>
              <w:t>一类区和二类区</w:t>
            </w:r>
            <w:r>
              <w:rPr>
                <w:rFonts w:ascii="Times New Roman" w:hAnsi="Times New Roman" w:eastAsia="Times New Roman" w:cs="Times New Roman"/>
                <w:spacing w:val="-2"/>
                <w:sz w:val="18"/>
                <w:szCs w:val="18"/>
              </w:rPr>
              <w:t>□</w:t>
            </w:r>
          </w:p>
        </w:tc>
      </w:tr>
      <w:tr w14:paraId="716C55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953" w:type="dxa"/>
            <w:vMerge w:val="continue"/>
            <w:tcBorders>
              <w:top w:val="nil"/>
              <w:bottom w:val="nil"/>
            </w:tcBorders>
            <w:vAlign w:val="top"/>
          </w:tcPr>
          <w:p w14:paraId="09417086">
            <w:pPr>
              <w:rPr>
                <w:rFonts w:ascii="Arial"/>
                <w:sz w:val="21"/>
              </w:rPr>
            </w:pPr>
          </w:p>
        </w:tc>
        <w:tc>
          <w:tcPr>
            <w:tcW w:w="1661" w:type="dxa"/>
            <w:vAlign w:val="top"/>
          </w:tcPr>
          <w:p w14:paraId="5CCB7054">
            <w:pPr>
              <w:pStyle w:val="6"/>
              <w:spacing w:before="41" w:line="218" w:lineRule="auto"/>
              <w:ind w:left="383"/>
              <w:rPr>
                <w:sz w:val="18"/>
                <w:szCs w:val="18"/>
              </w:rPr>
            </w:pPr>
            <w:r>
              <w:rPr>
                <w:spacing w:val="-2"/>
                <w:sz w:val="18"/>
                <w:szCs w:val="18"/>
              </w:rPr>
              <w:t>评价基准年</w:t>
            </w:r>
          </w:p>
        </w:tc>
        <w:tc>
          <w:tcPr>
            <w:tcW w:w="6513" w:type="dxa"/>
            <w:gridSpan w:val="17"/>
            <w:vAlign w:val="top"/>
          </w:tcPr>
          <w:p w14:paraId="7BA0C1D7">
            <w:pPr>
              <w:pStyle w:val="6"/>
              <w:spacing w:before="42" w:line="219" w:lineRule="auto"/>
              <w:ind w:left="2820"/>
              <w:rPr>
                <w:sz w:val="18"/>
                <w:szCs w:val="18"/>
              </w:rPr>
            </w:pPr>
            <w:r>
              <w:rPr>
                <w:spacing w:val="-2"/>
                <w:sz w:val="18"/>
                <w:szCs w:val="18"/>
              </w:rPr>
              <w:t>（</w:t>
            </w:r>
            <w:r>
              <w:rPr>
                <w:rFonts w:ascii="Times New Roman" w:hAnsi="Times New Roman" w:eastAsia="Times New Roman" w:cs="Times New Roman"/>
                <w:spacing w:val="-2"/>
                <w:sz w:val="18"/>
                <w:szCs w:val="18"/>
              </w:rPr>
              <w:t>2022</w:t>
            </w:r>
            <w:r>
              <w:rPr>
                <w:spacing w:val="-2"/>
                <w:sz w:val="18"/>
                <w:szCs w:val="18"/>
              </w:rPr>
              <w:t>）年</w:t>
            </w:r>
          </w:p>
        </w:tc>
      </w:tr>
      <w:tr w14:paraId="226AAC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6" w:hRule="atLeast"/>
        </w:trPr>
        <w:tc>
          <w:tcPr>
            <w:tcW w:w="953" w:type="dxa"/>
            <w:vMerge w:val="continue"/>
            <w:tcBorders>
              <w:top w:val="nil"/>
              <w:bottom w:val="nil"/>
            </w:tcBorders>
            <w:vAlign w:val="top"/>
          </w:tcPr>
          <w:p w14:paraId="23BE8EA9">
            <w:pPr>
              <w:rPr>
                <w:rFonts w:ascii="Arial"/>
                <w:sz w:val="21"/>
              </w:rPr>
            </w:pPr>
          </w:p>
        </w:tc>
        <w:tc>
          <w:tcPr>
            <w:tcW w:w="1661" w:type="dxa"/>
            <w:vAlign w:val="top"/>
          </w:tcPr>
          <w:p w14:paraId="3D5F1808">
            <w:pPr>
              <w:pStyle w:val="6"/>
              <w:spacing w:before="25" w:line="220" w:lineRule="auto"/>
              <w:ind w:left="293"/>
              <w:rPr>
                <w:sz w:val="18"/>
                <w:szCs w:val="18"/>
              </w:rPr>
            </w:pPr>
            <w:r>
              <w:rPr>
                <w:spacing w:val="-2"/>
                <w:sz w:val="18"/>
                <w:szCs w:val="18"/>
              </w:rPr>
              <w:t>环境空气质量</w:t>
            </w:r>
          </w:p>
          <w:p w14:paraId="4AFA8CF4">
            <w:pPr>
              <w:pStyle w:val="6"/>
              <w:spacing w:before="17" w:line="203" w:lineRule="auto"/>
              <w:ind w:left="114"/>
              <w:rPr>
                <w:sz w:val="18"/>
                <w:szCs w:val="18"/>
              </w:rPr>
            </w:pPr>
            <w:r>
              <w:rPr>
                <w:spacing w:val="-2"/>
                <w:sz w:val="18"/>
                <w:szCs w:val="18"/>
              </w:rPr>
              <w:t>现状调查数据来源</w:t>
            </w:r>
          </w:p>
        </w:tc>
        <w:tc>
          <w:tcPr>
            <w:tcW w:w="2463" w:type="dxa"/>
            <w:gridSpan w:val="7"/>
            <w:vAlign w:val="top"/>
          </w:tcPr>
          <w:p w14:paraId="5274847C">
            <w:pPr>
              <w:pStyle w:val="6"/>
              <w:spacing w:before="108" w:line="242" w:lineRule="exact"/>
              <w:ind w:left="466"/>
              <w:rPr>
                <w:rFonts w:ascii="Times New Roman" w:hAnsi="Times New Roman" w:eastAsia="Times New Roman" w:cs="Times New Roman"/>
                <w:sz w:val="18"/>
                <w:szCs w:val="18"/>
              </w:rPr>
            </w:pPr>
            <w:r>
              <w:rPr>
                <w:spacing w:val="-1"/>
                <w:sz w:val="18"/>
                <w:szCs w:val="18"/>
              </w:rPr>
              <w:t>长期例行监测数据</w:t>
            </w:r>
            <w:r>
              <w:rPr>
                <w:rFonts w:ascii="Times New Roman" w:hAnsi="Times New Roman" w:eastAsia="Times New Roman" w:cs="Times New Roman"/>
                <w:spacing w:val="-1"/>
                <w:sz w:val="18"/>
                <w:szCs w:val="18"/>
              </w:rPr>
              <w:t>√</w:t>
            </w:r>
          </w:p>
        </w:tc>
        <w:tc>
          <w:tcPr>
            <w:tcW w:w="2455" w:type="dxa"/>
            <w:gridSpan w:val="7"/>
            <w:vAlign w:val="top"/>
          </w:tcPr>
          <w:p w14:paraId="56903CC5">
            <w:pPr>
              <w:pStyle w:val="6"/>
              <w:spacing w:before="140" w:line="219" w:lineRule="auto"/>
              <w:ind w:left="370"/>
              <w:rPr>
                <w:rFonts w:ascii="Times New Roman" w:hAnsi="Times New Roman" w:eastAsia="Times New Roman" w:cs="Times New Roman"/>
                <w:sz w:val="18"/>
                <w:szCs w:val="18"/>
              </w:rPr>
            </w:pPr>
            <w:r>
              <w:rPr>
                <w:spacing w:val="-1"/>
                <w:sz w:val="18"/>
                <w:szCs w:val="18"/>
              </w:rPr>
              <w:t>主管部门发布的数据</w:t>
            </w:r>
            <w:r>
              <w:rPr>
                <w:rFonts w:ascii="Times New Roman" w:hAnsi="Times New Roman" w:eastAsia="Times New Roman" w:cs="Times New Roman"/>
                <w:spacing w:val="-1"/>
                <w:sz w:val="18"/>
                <w:szCs w:val="18"/>
              </w:rPr>
              <w:t>□</w:t>
            </w:r>
          </w:p>
        </w:tc>
        <w:tc>
          <w:tcPr>
            <w:tcW w:w="1595" w:type="dxa"/>
            <w:gridSpan w:val="3"/>
            <w:vAlign w:val="top"/>
          </w:tcPr>
          <w:p w14:paraId="2A738561">
            <w:pPr>
              <w:pStyle w:val="6"/>
              <w:spacing w:before="108" w:line="242" w:lineRule="exact"/>
              <w:ind w:left="214"/>
              <w:rPr>
                <w:rFonts w:ascii="Times New Roman" w:hAnsi="Times New Roman" w:eastAsia="Times New Roman" w:cs="Times New Roman"/>
                <w:sz w:val="18"/>
                <w:szCs w:val="18"/>
              </w:rPr>
            </w:pPr>
            <w:r>
              <w:rPr>
                <w:spacing w:val="-2"/>
                <w:sz w:val="18"/>
                <w:szCs w:val="18"/>
              </w:rPr>
              <w:t>现状补充监测</w:t>
            </w:r>
            <w:r>
              <w:rPr>
                <w:rFonts w:ascii="Times New Roman" w:hAnsi="Times New Roman" w:eastAsia="Times New Roman" w:cs="Times New Roman"/>
                <w:spacing w:val="-2"/>
                <w:sz w:val="18"/>
                <w:szCs w:val="18"/>
              </w:rPr>
              <w:t>√</w:t>
            </w:r>
          </w:p>
        </w:tc>
      </w:tr>
      <w:tr w14:paraId="75B594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953" w:type="dxa"/>
            <w:vMerge w:val="continue"/>
            <w:tcBorders>
              <w:top w:val="nil"/>
            </w:tcBorders>
            <w:vAlign w:val="top"/>
          </w:tcPr>
          <w:p w14:paraId="1157FC84">
            <w:pPr>
              <w:rPr>
                <w:rFonts w:ascii="Arial"/>
                <w:sz w:val="21"/>
              </w:rPr>
            </w:pPr>
          </w:p>
        </w:tc>
        <w:tc>
          <w:tcPr>
            <w:tcW w:w="1661" w:type="dxa"/>
            <w:vAlign w:val="top"/>
          </w:tcPr>
          <w:p w14:paraId="5D1AB264">
            <w:pPr>
              <w:pStyle w:val="6"/>
              <w:spacing w:before="44" w:line="218" w:lineRule="auto"/>
              <w:ind w:left="474"/>
              <w:rPr>
                <w:sz w:val="18"/>
                <w:szCs w:val="18"/>
              </w:rPr>
            </w:pPr>
            <w:r>
              <w:rPr>
                <w:spacing w:val="-3"/>
                <w:sz w:val="18"/>
                <w:szCs w:val="18"/>
              </w:rPr>
              <w:t>现状评价</w:t>
            </w:r>
          </w:p>
        </w:tc>
        <w:tc>
          <w:tcPr>
            <w:tcW w:w="3917" w:type="dxa"/>
            <w:gridSpan w:val="11"/>
            <w:vAlign w:val="top"/>
          </w:tcPr>
          <w:p w14:paraId="02ACC8FD">
            <w:pPr>
              <w:pStyle w:val="6"/>
              <w:spacing w:before="9" w:line="242" w:lineRule="exact"/>
              <w:ind w:left="1643"/>
              <w:rPr>
                <w:rFonts w:ascii="Times New Roman" w:hAnsi="Times New Roman" w:eastAsia="Times New Roman" w:cs="Times New Roman"/>
                <w:sz w:val="18"/>
                <w:szCs w:val="18"/>
              </w:rPr>
            </w:pPr>
            <w:r>
              <w:rPr>
                <w:spacing w:val="-2"/>
                <w:sz w:val="18"/>
                <w:szCs w:val="18"/>
              </w:rPr>
              <w:t>达标区</w:t>
            </w:r>
            <w:r>
              <w:rPr>
                <w:rFonts w:ascii="Times New Roman" w:hAnsi="Times New Roman" w:eastAsia="Times New Roman" w:cs="Times New Roman"/>
                <w:spacing w:val="-2"/>
                <w:sz w:val="18"/>
                <w:szCs w:val="18"/>
              </w:rPr>
              <w:t>√</w:t>
            </w:r>
          </w:p>
        </w:tc>
        <w:tc>
          <w:tcPr>
            <w:tcW w:w="2596" w:type="dxa"/>
            <w:gridSpan w:val="6"/>
            <w:vAlign w:val="top"/>
          </w:tcPr>
          <w:p w14:paraId="61040CAD">
            <w:pPr>
              <w:pStyle w:val="6"/>
              <w:spacing w:before="44" w:line="166" w:lineRule="auto"/>
              <w:ind w:left="864"/>
              <w:rPr>
                <w:rFonts w:ascii="微软雅黑" w:hAnsi="微软雅黑" w:eastAsia="微软雅黑" w:cs="微软雅黑"/>
                <w:sz w:val="18"/>
                <w:szCs w:val="18"/>
              </w:rPr>
            </w:pPr>
            <w:r>
              <w:rPr>
                <w:spacing w:val="6"/>
                <w:sz w:val="18"/>
                <w:szCs w:val="18"/>
              </w:rPr>
              <w:t>不达标区</w:t>
            </w:r>
            <w:r>
              <w:rPr>
                <w:rFonts w:ascii="微软雅黑" w:hAnsi="微软雅黑" w:eastAsia="微软雅黑" w:cs="微软雅黑"/>
                <w:spacing w:val="6"/>
                <w:sz w:val="18"/>
                <w:szCs w:val="18"/>
              </w:rPr>
              <w:t>□</w:t>
            </w:r>
          </w:p>
        </w:tc>
      </w:tr>
      <w:tr w14:paraId="6B372A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953" w:type="dxa"/>
            <w:vAlign w:val="top"/>
          </w:tcPr>
          <w:p w14:paraId="2AE97B13">
            <w:pPr>
              <w:pStyle w:val="6"/>
              <w:spacing w:before="143" w:line="230" w:lineRule="auto"/>
              <w:ind w:left="301" w:right="203" w:hanging="88"/>
              <w:rPr>
                <w:sz w:val="18"/>
                <w:szCs w:val="18"/>
              </w:rPr>
            </w:pPr>
            <w:r>
              <w:rPr>
                <w:spacing w:val="-3"/>
                <w:sz w:val="18"/>
                <w:szCs w:val="18"/>
              </w:rPr>
              <w:t>污染源</w:t>
            </w:r>
            <w:r>
              <w:rPr>
                <w:sz w:val="18"/>
                <w:szCs w:val="18"/>
              </w:rPr>
              <w:t xml:space="preserve"> </w:t>
            </w:r>
            <w:r>
              <w:rPr>
                <w:spacing w:val="-5"/>
                <w:sz w:val="18"/>
                <w:szCs w:val="18"/>
              </w:rPr>
              <w:t>调查</w:t>
            </w:r>
          </w:p>
        </w:tc>
        <w:tc>
          <w:tcPr>
            <w:tcW w:w="1661" w:type="dxa"/>
            <w:vAlign w:val="top"/>
          </w:tcPr>
          <w:p w14:paraId="678A4447">
            <w:pPr>
              <w:pStyle w:val="6"/>
              <w:spacing w:before="258" w:line="219" w:lineRule="auto"/>
              <w:ind w:left="474"/>
              <w:rPr>
                <w:sz w:val="18"/>
                <w:szCs w:val="18"/>
              </w:rPr>
            </w:pPr>
            <w:r>
              <w:rPr>
                <w:spacing w:val="-3"/>
                <w:sz w:val="18"/>
                <w:szCs w:val="18"/>
              </w:rPr>
              <w:t>调查内容</w:t>
            </w:r>
          </w:p>
        </w:tc>
        <w:tc>
          <w:tcPr>
            <w:tcW w:w="2058" w:type="dxa"/>
            <w:gridSpan w:val="6"/>
            <w:vAlign w:val="top"/>
          </w:tcPr>
          <w:p w14:paraId="7AB32F24">
            <w:pPr>
              <w:pStyle w:val="6"/>
              <w:spacing w:before="2" w:line="235" w:lineRule="auto"/>
              <w:ind w:left="32" w:right="309"/>
              <w:rPr>
                <w:rFonts w:ascii="Times New Roman" w:hAnsi="Times New Roman" w:eastAsia="Times New Roman" w:cs="Times New Roman"/>
                <w:sz w:val="18"/>
                <w:szCs w:val="18"/>
              </w:rPr>
            </w:pPr>
            <w:r>
              <w:rPr>
                <w:spacing w:val="-1"/>
                <w:sz w:val="18"/>
                <w:szCs w:val="18"/>
              </w:rPr>
              <w:t>本项目正常排放源</w:t>
            </w:r>
            <w:r>
              <w:rPr>
                <w:rFonts w:ascii="Times New Roman" w:hAnsi="Times New Roman" w:eastAsia="Times New Roman" w:cs="Times New Roman"/>
                <w:spacing w:val="-1"/>
                <w:sz w:val="18"/>
                <w:szCs w:val="18"/>
              </w:rPr>
              <w:t>√</w:t>
            </w:r>
            <w:r>
              <w:rPr>
                <w:rFonts w:ascii="Times New Roman" w:hAnsi="Times New Roman" w:eastAsia="Times New Roman" w:cs="Times New Roman"/>
                <w:sz w:val="18"/>
                <w:szCs w:val="18"/>
              </w:rPr>
              <w:t xml:space="preserve">     </w:t>
            </w:r>
            <w:r>
              <w:rPr>
                <w:spacing w:val="-1"/>
                <w:sz w:val="18"/>
                <w:szCs w:val="18"/>
              </w:rPr>
              <w:t>本项目非正常排放源</w:t>
            </w:r>
            <w:r>
              <w:rPr>
                <w:rFonts w:ascii="Times New Roman" w:hAnsi="Times New Roman" w:eastAsia="Times New Roman" w:cs="Times New Roman"/>
                <w:spacing w:val="-1"/>
                <w:sz w:val="18"/>
                <w:szCs w:val="18"/>
              </w:rPr>
              <w:t>√</w:t>
            </w:r>
            <w:r>
              <w:rPr>
                <w:rFonts w:ascii="Times New Roman" w:hAnsi="Times New Roman" w:eastAsia="Times New Roman" w:cs="Times New Roman"/>
                <w:spacing w:val="1"/>
                <w:sz w:val="18"/>
                <w:szCs w:val="18"/>
              </w:rPr>
              <w:t xml:space="preserve"> </w:t>
            </w:r>
            <w:r>
              <w:rPr>
                <w:spacing w:val="-2"/>
                <w:sz w:val="18"/>
                <w:szCs w:val="18"/>
              </w:rPr>
              <w:t>现有污染源</w:t>
            </w:r>
            <w:r>
              <w:rPr>
                <w:rFonts w:ascii="Times New Roman" w:hAnsi="Times New Roman" w:eastAsia="Times New Roman" w:cs="Times New Roman"/>
                <w:spacing w:val="-2"/>
                <w:sz w:val="18"/>
                <w:szCs w:val="18"/>
              </w:rPr>
              <w:t>√</w:t>
            </w:r>
          </w:p>
        </w:tc>
        <w:tc>
          <w:tcPr>
            <w:tcW w:w="1859" w:type="dxa"/>
            <w:gridSpan w:val="5"/>
            <w:vAlign w:val="top"/>
          </w:tcPr>
          <w:p w14:paraId="7786EC89">
            <w:pPr>
              <w:pStyle w:val="6"/>
              <w:spacing w:before="257" w:line="219" w:lineRule="auto"/>
              <w:ind w:left="248"/>
              <w:rPr>
                <w:rFonts w:ascii="Times New Roman" w:hAnsi="Times New Roman" w:eastAsia="Times New Roman" w:cs="Times New Roman"/>
                <w:sz w:val="18"/>
                <w:szCs w:val="18"/>
              </w:rPr>
            </w:pPr>
            <w:r>
              <w:rPr>
                <w:spacing w:val="-1"/>
                <w:sz w:val="18"/>
                <w:szCs w:val="18"/>
              </w:rPr>
              <w:t>拟替代的污染源</w:t>
            </w:r>
            <w:r>
              <w:rPr>
                <w:rFonts w:ascii="Times New Roman" w:hAnsi="Times New Roman" w:eastAsia="Times New Roman" w:cs="Times New Roman"/>
                <w:spacing w:val="-1"/>
                <w:sz w:val="18"/>
                <w:szCs w:val="18"/>
              </w:rPr>
              <w:t>□</w:t>
            </w:r>
          </w:p>
        </w:tc>
        <w:tc>
          <w:tcPr>
            <w:tcW w:w="1419" w:type="dxa"/>
            <w:gridSpan w:val="4"/>
            <w:vAlign w:val="top"/>
          </w:tcPr>
          <w:p w14:paraId="603AB626">
            <w:pPr>
              <w:pStyle w:val="6"/>
              <w:spacing w:before="144" w:line="243" w:lineRule="auto"/>
              <w:ind w:left="338" w:right="24" w:hanging="304"/>
              <w:rPr>
                <w:rFonts w:ascii="Times New Roman" w:hAnsi="Times New Roman" w:eastAsia="Times New Roman" w:cs="Times New Roman"/>
                <w:sz w:val="18"/>
                <w:szCs w:val="18"/>
              </w:rPr>
            </w:pPr>
            <w:r>
              <w:rPr>
                <w:spacing w:val="-11"/>
                <w:sz w:val="18"/>
                <w:szCs w:val="18"/>
              </w:rPr>
              <w:t>其他在建、拟建项</w:t>
            </w:r>
            <w:r>
              <w:rPr>
                <w:spacing w:val="2"/>
                <w:sz w:val="18"/>
                <w:szCs w:val="18"/>
              </w:rPr>
              <w:t xml:space="preserve"> </w:t>
            </w:r>
            <w:r>
              <w:rPr>
                <w:spacing w:val="-9"/>
                <w:sz w:val="18"/>
                <w:szCs w:val="18"/>
              </w:rPr>
              <w:t>目污染源</w:t>
            </w:r>
            <w:r>
              <w:rPr>
                <w:rFonts w:ascii="Times New Roman" w:hAnsi="Times New Roman" w:eastAsia="Times New Roman" w:cs="Times New Roman"/>
                <w:spacing w:val="-9"/>
                <w:sz w:val="18"/>
                <w:szCs w:val="18"/>
              </w:rPr>
              <w:t>√</w:t>
            </w:r>
          </w:p>
        </w:tc>
        <w:tc>
          <w:tcPr>
            <w:tcW w:w="1177" w:type="dxa"/>
            <w:gridSpan w:val="2"/>
            <w:vAlign w:val="top"/>
          </w:tcPr>
          <w:p w14:paraId="48EA9C87">
            <w:pPr>
              <w:pStyle w:val="6"/>
              <w:spacing w:before="258" w:line="220" w:lineRule="auto"/>
              <w:ind w:left="101"/>
              <w:rPr>
                <w:rFonts w:ascii="Times New Roman" w:hAnsi="Times New Roman" w:eastAsia="Times New Roman" w:cs="Times New Roman"/>
                <w:sz w:val="18"/>
                <w:szCs w:val="18"/>
              </w:rPr>
            </w:pPr>
            <w:r>
              <w:rPr>
                <w:spacing w:val="-4"/>
                <w:sz w:val="18"/>
                <w:szCs w:val="18"/>
              </w:rPr>
              <w:t>区域污染源</w:t>
            </w:r>
            <w:r>
              <w:rPr>
                <w:rFonts w:ascii="Times New Roman" w:hAnsi="Times New Roman" w:eastAsia="Times New Roman" w:cs="Times New Roman"/>
                <w:spacing w:val="-4"/>
                <w:sz w:val="18"/>
                <w:szCs w:val="18"/>
              </w:rPr>
              <w:t>□</w:t>
            </w:r>
          </w:p>
        </w:tc>
      </w:tr>
      <w:tr w14:paraId="135EF6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0" w:hRule="atLeast"/>
        </w:trPr>
        <w:tc>
          <w:tcPr>
            <w:tcW w:w="953" w:type="dxa"/>
            <w:vMerge w:val="restart"/>
            <w:tcBorders>
              <w:bottom w:val="nil"/>
            </w:tcBorders>
            <w:vAlign w:val="top"/>
          </w:tcPr>
          <w:p w14:paraId="0204740F">
            <w:pPr>
              <w:spacing w:line="250" w:lineRule="auto"/>
              <w:rPr>
                <w:rFonts w:ascii="Arial"/>
                <w:sz w:val="21"/>
              </w:rPr>
            </w:pPr>
          </w:p>
          <w:p w14:paraId="1146F6BA">
            <w:pPr>
              <w:spacing w:line="250" w:lineRule="auto"/>
              <w:rPr>
                <w:rFonts w:ascii="Arial"/>
                <w:sz w:val="21"/>
              </w:rPr>
            </w:pPr>
          </w:p>
          <w:p w14:paraId="4DB632B5">
            <w:pPr>
              <w:spacing w:line="250" w:lineRule="auto"/>
              <w:rPr>
                <w:rFonts w:ascii="Arial"/>
                <w:sz w:val="21"/>
              </w:rPr>
            </w:pPr>
          </w:p>
          <w:p w14:paraId="18CF8F8C">
            <w:pPr>
              <w:spacing w:line="250" w:lineRule="auto"/>
              <w:rPr>
                <w:rFonts w:ascii="Arial"/>
                <w:sz w:val="21"/>
              </w:rPr>
            </w:pPr>
          </w:p>
          <w:p w14:paraId="7BDA3E7C">
            <w:pPr>
              <w:spacing w:line="250" w:lineRule="auto"/>
              <w:rPr>
                <w:rFonts w:ascii="Arial"/>
                <w:sz w:val="21"/>
              </w:rPr>
            </w:pPr>
          </w:p>
          <w:p w14:paraId="04333ADE">
            <w:pPr>
              <w:spacing w:line="251" w:lineRule="auto"/>
              <w:rPr>
                <w:rFonts w:ascii="Arial"/>
                <w:sz w:val="21"/>
              </w:rPr>
            </w:pPr>
          </w:p>
          <w:p w14:paraId="3E789F01">
            <w:pPr>
              <w:pStyle w:val="6"/>
              <w:spacing w:before="59" w:line="220" w:lineRule="auto"/>
              <w:ind w:left="122"/>
              <w:rPr>
                <w:sz w:val="18"/>
                <w:szCs w:val="18"/>
              </w:rPr>
            </w:pPr>
            <w:r>
              <w:rPr>
                <w:spacing w:val="-3"/>
                <w:sz w:val="18"/>
                <w:szCs w:val="18"/>
              </w:rPr>
              <w:t>大气环境</w:t>
            </w:r>
          </w:p>
          <w:p w14:paraId="777E211F">
            <w:pPr>
              <w:pStyle w:val="6"/>
              <w:spacing w:before="18" w:line="220" w:lineRule="auto"/>
              <w:ind w:left="120"/>
              <w:rPr>
                <w:sz w:val="18"/>
                <w:szCs w:val="18"/>
              </w:rPr>
            </w:pPr>
            <w:r>
              <w:rPr>
                <w:spacing w:val="-2"/>
                <w:sz w:val="18"/>
                <w:szCs w:val="18"/>
              </w:rPr>
              <w:t>影响预测</w:t>
            </w:r>
          </w:p>
          <w:p w14:paraId="2D5F24A5">
            <w:pPr>
              <w:pStyle w:val="6"/>
              <w:spacing w:before="18" w:line="221" w:lineRule="auto"/>
              <w:ind w:left="395"/>
              <w:rPr>
                <w:sz w:val="18"/>
                <w:szCs w:val="18"/>
              </w:rPr>
            </w:pPr>
            <w:r>
              <w:rPr>
                <w:sz w:val="18"/>
                <w:szCs w:val="18"/>
              </w:rPr>
              <w:t>与</w:t>
            </w:r>
          </w:p>
          <w:p w14:paraId="1C954902">
            <w:pPr>
              <w:pStyle w:val="6"/>
              <w:spacing w:before="19" w:line="218" w:lineRule="auto"/>
              <w:ind w:left="299"/>
              <w:rPr>
                <w:sz w:val="18"/>
                <w:szCs w:val="18"/>
              </w:rPr>
            </w:pPr>
            <w:r>
              <w:rPr>
                <w:spacing w:val="-4"/>
                <w:sz w:val="18"/>
                <w:szCs w:val="18"/>
              </w:rPr>
              <w:t>评价</w:t>
            </w:r>
          </w:p>
        </w:tc>
        <w:tc>
          <w:tcPr>
            <w:tcW w:w="1661" w:type="dxa"/>
            <w:vAlign w:val="top"/>
          </w:tcPr>
          <w:p w14:paraId="75B51F9C">
            <w:pPr>
              <w:pStyle w:val="6"/>
              <w:spacing w:before="129" w:line="219" w:lineRule="auto"/>
              <w:ind w:left="474"/>
              <w:rPr>
                <w:sz w:val="18"/>
                <w:szCs w:val="18"/>
              </w:rPr>
            </w:pPr>
            <w:r>
              <w:rPr>
                <w:spacing w:val="-3"/>
                <w:sz w:val="18"/>
                <w:szCs w:val="18"/>
              </w:rPr>
              <w:t>预测模型</w:t>
            </w:r>
          </w:p>
        </w:tc>
        <w:tc>
          <w:tcPr>
            <w:tcW w:w="942" w:type="dxa"/>
            <w:vAlign w:val="top"/>
          </w:tcPr>
          <w:p w14:paraId="76E32E8A">
            <w:pPr>
              <w:spacing w:before="57" w:line="216" w:lineRule="auto"/>
              <w:ind w:left="424" w:right="79" w:hanging="34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AERMOD</w:t>
            </w:r>
            <w:r>
              <w:rPr>
                <w:rFonts w:ascii="Times New Roman" w:hAnsi="Times New Roman" w:eastAsia="Times New Roman" w:cs="Times New Roman"/>
                <w:spacing w:val="3"/>
                <w:sz w:val="18"/>
                <w:szCs w:val="18"/>
              </w:rPr>
              <w:t xml:space="preserve"> </w:t>
            </w:r>
            <w:r>
              <w:rPr>
                <w:rFonts w:ascii="Times New Roman" w:hAnsi="Times New Roman" w:eastAsia="Times New Roman" w:cs="Times New Roman"/>
                <w:sz w:val="18"/>
                <w:szCs w:val="18"/>
              </w:rPr>
              <w:t>√</w:t>
            </w:r>
          </w:p>
        </w:tc>
        <w:tc>
          <w:tcPr>
            <w:tcW w:w="744" w:type="dxa"/>
            <w:gridSpan w:val="4"/>
            <w:vAlign w:val="top"/>
          </w:tcPr>
          <w:p w14:paraId="518D034B">
            <w:pPr>
              <w:spacing w:before="57" w:line="216" w:lineRule="auto"/>
              <w:ind w:left="326" w:right="109" w:hanging="21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ADMS</w:t>
            </w:r>
            <w:r>
              <w:rPr>
                <w:rFonts w:ascii="Times New Roman" w:hAnsi="Times New Roman" w:eastAsia="Times New Roman" w:cs="Times New Roman"/>
                <w:spacing w:val="1"/>
                <w:sz w:val="18"/>
                <w:szCs w:val="18"/>
              </w:rPr>
              <w:t xml:space="preserve"> </w:t>
            </w:r>
            <w:r>
              <w:rPr>
                <w:rFonts w:ascii="Times New Roman" w:hAnsi="Times New Roman" w:eastAsia="Times New Roman" w:cs="Times New Roman"/>
                <w:sz w:val="18"/>
                <w:szCs w:val="18"/>
              </w:rPr>
              <w:t>□</w:t>
            </w:r>
          </w:p>
        </w:tc>
        <w:tc>
          <w:tcPr>
            <w:tcW w:w="1212" w:type="dxa"/>
            <w:gridSpan w:val="4"/>
            <w:vAlign w:val="top"/>
          </w:tcPr>
          <w:p w14:paraId="311ED23D">
            <w:pPr>
              <w:spacing w:before="57" w:line="216" w:lineRule="auto"/>
              <w:ind w:left="561" w:right="66" w:hanging="491"/>
              <w:rPr>
                <w:rFonts w:ascii="Times New Roman" w:hAnsi="Times New Roman" w:eastAsia="Times New Roman" w:cs="Times New Roman"/>
                <w:sz w:val="18"/>
                <w:szCs w:val="18"/>
              </w:rPr>
            </w:pPr>
            <w:r>
              <w:rPr>
                <w:rFonts w:ascii="Times New Roman" w:hAnsi="Times New Roman" w:eastAsia="Times New Roman" w:cs="Times New Roman"/>
                <w:sz w:val="18"/>
                <w:szCs w:val="18"/>
              </w:rPr>
              <w:t>AUSTAL2000 □</w:t>
            </w:r>
          </w:p>
        </w:tc>
        <w:tc>
          <w:tcPr>
            <w:tcW w:w="1167" w:type="dxa"/>
            <w:gridSpan w:val="3"/>
            <w:vAlign w:val="top"/>
          </w:tcPr>
          <w:p w14:paraId="318E91E8">
            <w:pPr>
              <w:spacing w:before="53" w:line="218" w:lineRule="auto"/>
              <w:ind w:left="539" w:right="66" w:hanging="4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EDMS/AEDT</w:t>
            </w:r>
            <w:r>
              <w:rPr>
                <w:rFonts w:ascii="Times New Roman" w:hAnsi="Times New Roman" w:eastAsia="Times New Roman" w:cs="Times New Roman"/>
                <w:spacing w:val="3"/>
                <w:sz w:val="18"/>
                <w:szCs w:val="18"/>
              </w:rPr>
              <w:t xml:space="preserve"> </w:t>
            </w:r>
            <w:r>
              <w:rPr>
                <w:rFonts w:ascii="Times New Roman" w:hAnsi="Times New Roman" w:eastAsia="Times New Roman" w:cs="Times New Roman"/>
                <w:sz w:val="18"/>
                <w:szCs w:val="18"/>
              </w:rPr>
              <w:t>□</w:t>
            </w:r>
          </w:p>
        </w:tc>
        <w:tc>
          <w:tcPr>
            <w:tcW w:w="853" w:type="dxa"/>
            <w:gridSpan w:val="2"/>
            <w:vAlign w:val="top"/>
          </w:tcPr>
          <w:p w14:paraId="433C5DF0">
            <w:pPr>
              <w:spacing w:before="57" w:line="216" w:lineRule="auto"/>
              <w:ind w:left="383" w:right="26" w:hanging="34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CALPUFF</w:t>
            </w:r>
            <w:r>
              <w:rPr>
                <w:rFonts w:ascii="Times New Roman" w:hAnsi="Times New Roman" w:eastAsia="Times New Roman" w:cs="Times New Roman"/>
                <w:sz w:val="18"/>
                <w:szCs w:val="18"/>
              </w:rPr>
              <w:t xml:space="preserve"> □</w:t>
            </w:r>
          </w:p>
        </w:tc>
        <w:tc>
          <w:tcPr>
            <w:tcW w:w="878" w:type="dxa"/>
            <w:gridSpan w:val="2"/>
            <w:vAlign w:val="top"/>
          </w:tcPr>
          <w:p w14:paraId="14647641">
            <w:pPr>
              <w:pStyle w:val="6"/>
              <w:spacing w:before="26" w:line="219" w:lineRule="auto"/>
              <w:ind w:left="100"/>
              <w:rPr>
                <w:sz w:val="18"/>
                <w:szCs w:val="18"/>
              </w:rPr>
            </w:pPr>
            <w:r>
              <w:rPr>
                <w:spacing w:val="-6"/>
                <w:sz w:val="18"/>
                <w:szCs w:val="18"/>
              </w:rPr>
              <w:t>网格模型</w:t>
            </w:r>
          </w:p>
          <w:p w14:paraId="4AC6EE28">
            <w:pPr>
              <w:spacing w:before="74" w:line="115" w:lineRule="exact"/>
              <w:ind w:left="396"/>
              <w:rPr>
                <w:rFonts w:ascii="Times New Roman" w:hAnsi="Times New Roman" w:eastAsia="Times New Roman" w:cs="Times New Roman"/>
                <w:sz w:val="18"/>
                <w:szCs w:val="18"/>
              </w:rPr>
            </w:pPr>
            <w:r>
              <w:rPr>
                <w:rFonts w:ascii="Times New Roman" w:hAnsi="Times New Roman" w:eastAsia="Times New Roman" w:cs="Times New Roman"/>
                <w:position w:val="-1"/>
                <w:sz w:val="18"/>
                <w:szCs w:val="18"/>
              </w:rPr>
              <w:t>□</w:t>
            </w:r>
          </w:p>
        </w:tc>
        <w:tc>
          <w:tcPr>
            <w:tcW w:w="717" w:type="dxa"/>
            <w:vAlign w:val="top"/>
          </w:tcPr>
          <w:p w14:paraId="5620FF74">
            <w:pPr>
              <w:pStyle w:val="6"/>
              <w:spacing w:before="26" w:line="220" w:lineRule="auto"/>
              <w:ind w:left="183"/>
              <w:rPr>
                <w:sz w:val="18"/>
                <w:szCs w:val="18"/>
              </w:rPr>
            </w:pPr>
            <w:r>
              <w:rPr>
                <w:spacing w:val="-4"/>
                <w:sz w:val="18"/>
                <w:szCs w:val="18"/>
              </w:rPr>
              <w:t>其他</w:t>
            </w:r>
          </w:p>
          <w:p w14:paraId="6477F874">
            <w:pPr>
              <w:spacing w:before="74" w:line="115" w:lineRule="exact"/>
              <w:ind w:left="315"/>
              <w:rPr>
                <w:rFonts w:ascii="Times New Roman" w:hAnsi="Times New Roman" w:eastAsia="Times New Roman" w:cs="Times New Roman"/>
                <w:sz w:val="18"/>
                <w:szCs w:val="18"/>
              </w:rPr>
            </w:pPr>
            <w:r>
              <w:rPr>
                <w:rFonts w:ascii="Times New Roman" w:hAnsi="Times New Roman" w:eastAsia="Times New Roman" w:cs="Times New Roman"/>
                <w:position w:val="-1"/>
                <w:sz w:val="18"/>
                <w:szCs w:val="18"/>
              </w:rPr>
              <w:t>□</w:t>
            </w:r>
          </w:p>
        </w:tc>
      </w:tr>
      <w:tr w14:paraId="03144C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953" w:type="dxa"/>
            <w:vMerge w:val="continue"/>
            <w:tcBorders>
              <w:top w:val="nil"/>
              <w:bottom w:val="nil"/>
            </w:tcBorders>
            <w:vAlign w:val="top"/>
          </w:tcPr>
          <w:p w14:paraId="5B65E4BC">
            <w:pPr>
              <w:rPr>
                <w:rFonts w:ascii="Arial"/>
                <w:sz w:val="21"/>
              </w:rPr>
            </w:pPr>
          </w:p>
        </w:tc>
        <w:tc>
          <w:tcPr>
            <w:tcW w:w="1661" w:type="dxa"/>
            <w:vAlign w:val="top"/>
          </w:tcPr>
          <w:p w14:paraId="4F4D9F6C">
            <w:pPr>
              <w:pStyle w:val="6"/>
              <w:spacing w:before="61" w:line="220" w:lineRule="auto"/>
              <w:ind w:left="474"/>
              <w:rPr>
                <w:sz w:val="18"/>
                <w:szCs w:val="18"/>
              </w:rPr>
            </w:pPr>
            <w:r>
              <w:rPr>
                <w:spacing w:val="-3"/>
                <w:sz w:val="18"/>
                <w:szCs w:val="18"/>
              </w:rPr>
              <w:t>预测范围</w:t>
            </w:r>
          </w:p>
        </w:tc>
        <w:tc>
          <w:tcPr>
            <w:tcW w:w="1686" w:type="dxa"/>
            <w:gridSpan w:val="5"/>
            <w:vAlign w:val="top"/>
          </w:tcPr>
          <w:p w14:paraId="6812A9FD">
            <w:pPr>
              <w:pStyle w:val="6"/>
              <w:spacing w:before="61" w:line="223" w:lineRule="auto"/>
              <w:ind w:left="335"/>
              <w:rPr>
                <w:rFonts w:ascii="Times New Roman" w:hAnsi="Times New Roman" w:eastAsia="Times New Roman" w:cs="Times New Roman"/>
                <w:sz w:val="18"/>
                <w:szCs w:val="18"/>
              </w:rPr>
            </w:pPr>
            <w:r>
              <w:rPr>
                <w:spacing w:val="-1"/>
                <w:sz w:val="18"/>
                <w:szCs w:val="18"/>
              </w:rPr>
              <w:t>边长</w:t>
            </w:r>
            <w:r>
              <w:rPr>
                <w:rFonts w:ascii="Times New Roman" w:hAnsi="Times New Roman" w:eastAsia="Times New Roman" w:cs="Times New Roman"/>
                <w:spacing w:val="-1"/>
                <w:sz w:val="18"/>
                <w:szCs w:val="18"/>
              </w:rPr>
              <w:t>≥ 50km□</w:t>
            </w:r>
          </w:p>
        </w:tc>
        <w:tc>
          <w:tcPr>
            <w:tcW w:w="3232" w:type="dxa"/>
            <w:gridSpan w:val="9"/>
            <w:vAlign w:val="top"/>
          </w:tcPr>
          <w:p w14:paraId="535A0DDB">
            <w:pPr>
              <w:pStyle w:val="6"/>
              <w:spacing w:before="61" w:line="223" w:lineRule="auto"/>
              <w:ind w:left="1001"/>
              <w:rPr>
                <w:rFonts w:ascii="Times New Roman" w:hAnsi="Times New Roman" w:eastAsia="Times New Roman" w:cs="Times New Roman"/>
                <w:sz w:val="18"/>
                <w:szCs w:val="18"/>
              </w:rPr>
            </w:pPr>
            <w:r>
              <w:rPr>
                <w:spacing w:val="-2"/>
                <w:sz w:val="18"/>
                <w:szCs w:val="18"/>
              </w:rPr>
              <w:t>边长</w:t>
            </w:r>
            <w:r>
              <w:rPr>
                <w:spacing w:val="-36"/>
                <w:sz w:val="18"/>
                <w:szCs w:val="18"/>
              </w:rPr>
              <w:t xml:space="preserve"> </w:t>
            </w:r>
            <w:r>
              <w:rPr>
                <w:rFonts w:ascii="Times New Roman" w:hAnsi="Times New Roman" w:eastAsia="Times New Roman" w:cs="Times New Roman"/>
                <w:spacing w:val="-2"/>
                <w:sz w:val="18"/>
                <w:szCs w:val="18"/>
              </w:rPr>
              <w:t>5</w:t>
            </w:r>
            <w:r>
              <w:rPr>
                <w:spacing w:val="-2"/>
                <w:sz w:val="18"/>
                <w:szCs w:val="18"/>
              </w:rPr>
              <w:t>～</w:t>
            </w:r>
            <w:r>
              <w:rPr>
                <w:rFonts w:ascii="Times New Roman" w:hAnsi="Times New Roman" w:eastAsia="Times New Roman" w:cs="Times New Roman"/>
                <w:spacing w:val="-2"/>
                <w:sz w:val="18"/>
                <w:szCs w:val="18"/>
              </w:rPr>
              <w:t>50km</w:t>
            </w:r>
            <w:r>
              <w:rPr>
                <w:rFonts w:ascii="Times New Roman" w:hAnsi="Times New Roman" w:eastAsia="Times New Roman" w:cs="Times New Roman"/>
                <w:spacing w:val="15"/>
                <w:sz w:val="18"/>
                <w:szCs w:val="18"/>
              </w:rPr>
              <w:t xml:space="preserve"> </w:t>
            </w:r>
            <w:r>
              <w:rPr>
                <w:rFonts w:ascii="Times New Roman" w:hAnsi="Times New Roman" w:eastAsia="Times New Roman" w:cs="Times New Roman"/>
                <w:spacing w:val="-2"/>
                <w:sz w:val="18"/>
                <w:szCs w:val="18"/>
              </w:rPr>
              <w:t>□</w:t>
            </w:r>
          </w:p>
        </w:tc>
        <w:tc>
          <w:tcPr>
            <w:tcW w:w="1595" w:type="dxa"/>
            <w:gridSpan w:val="3"/>
            <w:vAlign w:val="top"/>
          </w:tcPr>
          <w:p w14:paraId="56B3D6BA">
            <w:pPr>
              <w:pStyle w:val="6"/>
              <w:spacing w:before="28" w:line="242" w:lineRule="exact"/>
              <w:ind w:left="270"/>
              <w:rPr>
                <w:rFonts w:ascii="Times New Roman" w:hAnsi="Times New Roman" w:eastAsia="Times New Roman" w:cs="Times New Roman"/>
                <w:sz w:val="18"/>
                <w:szCs w:val="18"/>
              </w:rPr>
            </w:pPr>
            <w:r>
              <w:rPr>
                <w:spacing w:val="-2"/>
                <w:sz w:val="18"/>
                <w:szCs w:val="18"/>
              </w:rPr>
              <w:t xml:space="preserve">边长 </w:t>
            </w:r>
            <w:r>
              <w:rPr>
                <w:rFonts w:ascii="Times New Roman" w:hAnsi="Times New Roman" w:eastAsia="Times New Roman" w:cs="Times New Roman"/>
                <w:spacing w:val="-2"/>
                <w:sz w:val="18"/>
                <w:szCs w:val="18"/>
              </w:rPr>
              <w:t>=</w:t>
            </w:r>
            <w:r>
              <w:rPr>
                <w:rFonts w:ascii="Times New Roman" w:hAnsi="Times New Roman" w:eastAsia="Times New Roman" w:cs="Times New Roman"/>
                <w:spacing w:val="11"/>
                <w:sz w:val="18"/>
                <w:szCs w:val="18"/>
              </w:rPr>
              <w:t xml:space="preserve"> </w:t>
            </w:r>
            <w:r>
              <w:rPr>
                <w:rFonts w:ascii="Times New Roman" w:hAnsi="Times New Roman" w:eastAsia="Times New Roman" w:cs="Times New Roman"/>
                <w:spacing w:val="-2"/>
                <w:sz w:val="18"/>
                <w:szCs w:val="18"/>
              </w:rPr>
              <w:t>5 km√</w:t>
            </w:r>
          </w:p>
        </w:tc>
      </w:tr>
      <w:tr w14:paraId="76D918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6" w:hRule="atLeast"/>
        </w:trPr>
        <w:tc>
          <w:tcPr>
            <w:tcW w:w="953" w:type="dxa"/>
            <w:vMerge w:val="continue"/>
            <w:tcBorders>
              <w:top w:val="nil"/>
              <w:bottom w:val="nil"/>
            </w:tcBorders>
            <w:vAlign w:val="top"/>
          </w:tcPr>
          <w:p w14:paraId="3B1F7115">
            <w:pPr>
              <w:rPr>
                <w:rFonts w:ascii="Arial"/>
                <w:sz w:val="21"/>
              </w:rPr>
            </w:pPr>
          </w:p>
        </w:tc>
        <w:tc>
          <w:tcPr>
            <w:tcW w:w="1661" w:type="dxa"/>
            <w:vAlign w:val="top"/>
          </w:tcPr>
          <w:p w14:paraId="56293CAD">
            <w:pPr>
              <w:pStyle w:val="6"/>
              <w:spacing w:before="144" w:line="220" w:lineRule="auto"/>
              <w:ind w:left="474"/>
              <w:rPr>
                <w:sz w:val="18"/>
                <w:szCs w:val="18"/>
              </w:rPr>
            </w:pPr>
            <w:r>
              <w:rPr>
                <w:spacing w:val="-3"/>
                <w:sz w:val="18"/>
                <w:szCs w:val="18"/>
              </w:rPr>
              <w:t>预测因子</w:t>
            </w:r>
          </w:p>
        </w:tc>
        <w:tc>
          <w:tcPr>
            <w:tcW w:w="3917" w:type="dxa"/>
            <w:gridSpan w:val="11"/>
            <w:vAlign w:val="top"/>
          </w:tcPr>
          <w:p w14:paraId="56491F35">
            <w:pPr>
              <w:pStyle w:val="6"/>
              <w:spacing w:before="26" w:line="212" w:lineRule="auto"/>
              <w:ind w:left="66"/>
              <w:rPr>
                <w:sz w:val="18"/>
                <w:szCs w:val="18"/>
              </w:rPr>
            </w:pPr>
            <w:r>
              <w:rPr>
                <w:spacing w:val="-3"/>
                <w:sz w:val="18"/>
                <w:szCs w:val="18"/>
              </w:rPr>
              <w:t>预测因子</w:t>
            </w:r>
            <w:r>
              <w:rPr>
                <w:rFonts w:ascii="Times New Roman" w:hAnsi="Times New Roman" w:eastAsia="Times New Roman" w:cs="Times New Roman"/>
                <w:spacing w:val="-3"/>
                <w:sz w:val="18"/>
                <w:szCs w:val="18"/>
              </w:rPr>
              <w:t>(PM</w:t>
            </w:r>
            <w:r>
              <w:rPr>
                <w:rFonts w:ascii="Times New Roman" w:hAnsi="Times New Roman" w:eastAsia="Times New Roman" w:cs="Times New Roman"/>
                <w:spacing w:val="-3"/>
                <w:position w:val="-1"/>
                <w:sz w:val="11"/>
                <w:szCs w:val="11"/>
              </w:rPr>
              <w:t>10</w:t>
            </w:r>
            <w:r>
              <w:rPr>
                <w:rFonts w:ascii="Times New Roman" w:hAnsi="Times New Roman" w:eastAsia="Times New Roman" w:cs="Times New Roman"/>
                <w:spacing w:val="-8"/>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PM</w:t>
            </w:r>
            <w:r>
              <w:rPr>
                <w:rFonts w:ascii="Times New Roman" w:hAnsi="Times New Roman" w:eastAsia="Times New Roman" w:cs="Times New Roman"/>
                <w:spacing w:val="-3"/>
                <w:position w:val="-1"/>
                <w:sz w:val="11"/>
                <w:szCs w:val="11"/>
              </w:rPr>
              <w:t>2.5</w:t>
            </w:r>
            <w:r>
              <w:rPr>
                <w:rFonts w:ascii="Times New Roman" w:hAnsi="Times New Roman" w:eastAsia="Times New Roman" w:cs="Times New Roman"/>
                <w:spacing w:val="-5"/>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r>
              <w:rPr>
                <w:rFonts w:ascii="Times New Roman" w:hAnsi="Times New Roman" w:eastAsia="Times New Roman" w:cs="Times New Roman"/>
                <w:spacing w:val="11"/>
                <w:w w:val="101"/>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NO</w:t>
            </w:r>
            <w:r>
              <w:rPr>
                <w:rFonts w:ascii="Times New Roman" w:hAnsi="Times New Roman" w:eastAsia="Times New Roman" w:cs="Times New Roman"/>
                <w:spacing w:val="-3"/>
                <w:position w:val="-1"/>
                <w:sz w:val="11"/>
                <w:szCs w:val="11"/>
              </w:rPr>
              <w:t>2</w:t>
            </w:r>
            <w:r>
              <w:rPr>
                <w:rFonts w:ascii="Times New Roman" w:hAnsi="Times New Roman" w:eastAsia="Times New Roman" w:cs="Times New Roman"/>
                <w:spacing w:val="-8"/>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TSP</w:t>
            </w:r>
            <w:r>
              <w:rPr>
                <w:rFonts w:ascii="Times New Roman" w:hAnsi="Times New Roman" w:eastAsia="Times New Roman" w:cs="Times New Roman"/>
                <w:spacing w:val="-22"/>
                <w:sz w:val="18"/>
                <w:szCs w:val="18"/>
              </w:rPr>
              <w:t xml:space="preserve"> </w:t>
            </w:r>
            <w:r>
              <w:rPr>
                <w:spacing w:val="-4"/>
                <w:sz w:val="18"/>
                <w:szCs w:val="18"/>
              </w:rPr>
              <w:t>、锰及</w:t>
            </w:r>
          </w:p>
          <w:p w14:paraId="782BAC25">
            <w:pPr>
              <w:pStyle w:val="6"/>
              <w:spacing w:before="26" w:line="201" w:lineRule="auto"/>
              <w:ind w:left="1392"/>
              <w:rPr>
                <w:rFonts w:ascii="Times New Roman" w:hAnsi="Times New Roman" w:eastAsia="Times New Roman" w:cs="Times New Roman"/>
                <w:sz w:val="18"/>
                <w:szCs w:val="18"/>
              </w:rPr>
            </w:pPr>
            <w:r>
              <w:rPr>
                <w:spacing w:val="-2"/>
                <w:sz w:val="18"/>
                <w:szCs w:val="18"/>
              </w:rPr>
              <w:t>其化合物、氨</w:t>
            </w:r>
            <w:r>
              <w:rPr>
                <w:rFonts w:ascii="Times New Roman" w:hAnsi="Times New Roman" w:eastAsia="Times New Roman" w:cs="Times New Roman"/>
                <w:spacing w:val="-2"/>
                <w:sz w:val="18"/>
                <w:szCs w:val="18"/>
              </w:rPr>
              <w:t>)</w:t>
            </w:r>
          </w:p>
        </w:tc>
        <w:tc>
          <w:tcPr>
            <w:tcW w:w="2596" w:type="dxa"/>
            <w:gridSpan w:val="6"/>
            <w:vAlign w:val="top"/>
          </w:tcPr>
          <w:p w14:paraId="020FF394">
            <w:pPr>
              <w:pStyle w:val="6"/>
              <w:spacing w:before="26" w:line="220" w:lineRule="auto"/>
              <w:ind w:left="576" w:right="566" w:firstLine="49"/>
              <w:rPr>
                <w:rFonts w:ascii="Times New Roman" w:hAnsi="Times New Roman" w:eastAsia="Times New Roman" w:cs="Times New Roman"/>
                <w:sz w:val="18"/>
                <w:szCs w:val="18"/>
              </w:rPr>
            </w:pPr>
            <w:r>
              <w:rPr>
                <w:spacing w:val="-2"/>
                <w:sz w:val="18"/>
                <w:szCs w:val="18"/>
              </w:rPr>
              <w:t>包括二次</w:t>
            </w:r>
            <w:r>
              <w:rPr>
                <w:spacing w:val="-40"/>
                <w:sz w:val="18"/>
                <w:szCs w:val="18"/>
              </w:rPr>
              <w:t xml:space="preserve"> </w:t>
            </w:r>
            <w:r>
              <w:rPr>
                <w:rFonts w:ascii="Times New Roman" w:hAnsi="Times New Roman" w:eastAsia="Times New Roman" w:cs="Times New Roman"/>
                <w:spacing w:val="-2"/>
                <w:sz w:val="18"/>
                <w:szCs w:val="18"/>
              </w:rPr>
              <w:t>PM</w:t>
            </w:r>
            <w:r>
              <w:rPr>
                <w:rFonts w:ascii="Times New Roman" w:hAnsi="Times New Roman" w:eastAsia="Times New Roman" w:cs="Times New Roman"/>
                <w:spacing w:val="-2"/>
                <w:position w:val="-1"/>
                <w:sz w:val="11"/>
                <w:szCs w:val="11"/>
              </w:rPr>
              <w:t>2.5</w:t>
            </w:r>
            <w:r>
              <w:rPr>
                <w:rFonts w:ascii="Times New Roman" w:hAnsi="Times New Roman" w:eastAsia="Times New Roman" w:cs="Times New Roman"/>
                <w:spacing w:val="-11"/>
                <w:position w:val="-1"/>
                <w:sz w:val="11"/>
                <w:szCs w:val="11"/>
              </w:rPr>
              <w:t xml:space="preserve"> </w:t>
            </w:r>
            <w:r>
              <w:rPr>
                <w:rFonts w:ascii="MS UI Gothic" w:hAnsi="MS UI Gothic" w:eastAsia="MS UI Gothic" w:cs="MS UI Gothic"/>
                <w:spacing w:val="-2"/>
                <w:sz w:val="18"/>
                <w:szCs w:val="18"/>
              </w:rPr>
              <w:t>☑</w:t>
            </w:r>
            <w:r>
              <w:rPr>
                <w:rFonts w:ascii="MS UI Gothic" w:hAnsi="MS UI Gothic" w:eastAsia="MS UI Gothic" w:cs="MS UI Gothic"/>
                <w:sz w:val="18"/>
                <w:szCs w:val="18"/>
              </w:rPr>
              <w:t xml:space="preserve">  </w:t>
            </w:r>
            <w:r>
              <w:rPr>
                <w:spacing w:val="-1"/>
                <w:sz w:val="18"/>
                <w:szCs w:val="18"/>
              </w:rPr>
              <w:t>不包括二次</w:t>
            </w:r>
            <w:r>
              <w:rPr>
                <w:spacing w:val="-39"/>
                <w:sz w:val="18"/>
                <w:szCs w:val="18"/>
              </w:rPr>
              <w:t xml:space="preserve"> </w:t>
            </w:r>
            <w:r>
              <w:rPr>
                <w:rFonts w:ascii="Times New Roman" w:hAnsi="Times New Roman" w:eastAsia="Times New Roman" w:cs="Times New Roman"/>
                <w:spacing w:val="-1"/>
                <w:sz w:val="18"/>
                <w:szCs w:val="18"/>
              </w:rPr>
              <w:t>PM</w:t>
            </w:r>
            <w:r>
              <w:rPr>
                <w:rFonts w:ascii="Times New Roman" w:hAnsi="Times New Roman" w:eastAsia="Times New Roman" w:cs="Times New Roman"/>
                <w:spacing w:val="-1"/>
                <w:position w:val="-1"/>
                <w:sz w:val="11"/>
                <w:szCs w:val="11"/>
              </w:rPr>
              <w:t>2.5</w:t>
            </w:r>
            <w:r>
              <w:rPr>
                <w:rFonts w:ascii="Times New Roman" w:hAnsi="Times New Roman" w:eastAsia="Times New Roman" w:cs="Times New Roman"/>
                <w:spacing w:val="-1"/>
                <w:sz w:val="18"/>
                <w:szCs w:val="18"/>
              </w:rPr>
              <w:t>□</w:t>
            </w:r>
          </w:p>
        </w:tc>
      </w:tr>
      <w:tr w14:paraId="1202CB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7" w:hRule="atLeast"/>
        </w:trPr>
        <w:tc>
          <w:tcPr>
            <w:tcW w:w="953" w:type="dxa"/>
            <w:vMerge w:val="continue"/>
            <w:tcBorders>
              <w:top w:val="nil"/>
              <w:bottom w:val="nil"/>
            </w:tcBorders>
            <w:vAlign w:val="top"/>
          </w:tcPr>
          <w:p w14:paraId="67C3F38B">
            <w:pPr>
              <w:rPr>
                <w:rFonts w:ascii="Arial"/>
                <w:sz w:val="21"/>
              </w:rPr>
            </w:pPr>
          </w:p>
        </w:tc>
        <w:tc>
          <w:tcPr>
            <w:tcW w:w="1661" w:type="dxa"/>
            <w:vAlign w:val="top"/>
          </w:tcPr>
          <w:p w14:paraId="1255B2D9">
            <w:pPr>
              <w:pStyle w:val="6"/>
              <w:spacing w:before="26" w:line="221" w:lineRule="auto"/>
              <w:ind w:left="565" w:right="109" w:hanging="449"/>
              <w:rPr>
                <w:sz w:val="18"/>
                <w:szCs w:val="18"/>
              </w:rPr>
            </w:pPr>
            <w:r>
              <w:rPr>
                <w:spacing w:val="-2"/>
                <w:sz w:val="18"/>
                <w:szCs w:val="18"/>
              </w:rPr>
              <w:t>正常排放短期浓度</w:t>
            </w:r>
            <w:r>
              <w:rPr>
                <w:spacing w:val="4"/>
                <w:sz w:val="18"/>
                <w:szCs w:val="18"/>
              </w:rPr>
              <w:t xml:space="preserve"> </w:t>
            </w:r>
            <w:r>
              <w:rPr>
                <w:spacing w:val="-4"/>
                <w:sz w:val="18"/>
                <w:szCs w:val="18"/>
              </w:rPr>
              <w:t>贡献值</w:t>
            </w:r>
          </w:p>
        </w:tc>
        <w:tc>
          <w:tcPr>
            <w:tcW w:w="3917" w:type="dxa"/>
            <w:gridSpan w:val="11"/>
            <w:vAlign w:val="top"/>
          </w:tcPr>
          <w:p w14:paraId="18CBE121">
            <w:pPr>
              <w:pStyle w:val="6"/>
              <w:spacing w:before="69" w:line="330" w:lineRule="exact"/>
              <w:ind w:left="945"/>
              <w:rPr>
                <w:rFonts w:ascii="Times New Roman" w:hAnsi="Times New Roman" w:eastAsia="Times New Roman" w:cs="Times New Roman"/>
                <w:sz w:val="18"/>
                <w:szCs w:val="18"/>
              </w:rPr>
            </w:pPr>
            <w:r>
              <w:rPr>
                <w:position w:val="-3"/>
                <w:sz w:val="18"/>
                <w:szCs w:val="18"/>
              </w:rPr>
              <w:drawing>
                <wp:inline distT="0" distB="0" distL="0" distR="0">
                  <wp:extent cx="320040" cy="173355"/>
                  <wp:effectExtent l="0" t="0" r="0" b="0"/>
                  <wp:docPr id="126" name="IM 126"/>
                  <wp:cNvGraphicFramePr/>
                  <a:graphic xmlns:a="http://schemas.openxmlformats.org/drawingml/2006/main">
                    <a:graphicData uri="http://schemas.openxmlformats.org/drawingml/2006/picture">
                      <pic:pic xmlns:pic="http://schemas.openxmlformats.org/drawingml/2006/picture">
                        <pic:nvPicPr>
                          <pic:cNvPr id="126" name="IM 126"/>
                          <pic:cNvPicPr/>
                        </pic:nvPicPr>
                        <pic:blipFill>
                          <a:blip r:embed="rId643"/>
                          <a:stretch>
                            <a:fillRect/>
                          </a:stretch>
                        </pic:blipFill>
                        <pic:spPr>
                          <a:xfrm>
                            <a:off x="0" y="0"/>
                            <a:ext cx="320040" cy="173735"/>
                          </a:xfrm>
                          <a:prstGeom prst="rect">
                            <a:avLst/>
                          </a:prstGeom>
                        </pic:spPr>
                      </pic:pic>
                    </a:graphicData>
                  </a:graphic>
                </wp:inline>
              </w:drawing>
            </w:r>
            <w:r>
              <w:rPr>
                <w:spacing w:val="-1"/>
                <w:position w:val="-3"/>
                <w:sz w:val="18"/>
                <w:szCs w:val="18"/>
              </w:rPr>
              <w:t>最大占标率</w:t>
            </w:r>
            <w:r>
              <w:rPr>
                <w:rFonts w:ascii="Times New Roman" w:hAnsi="Times New Roman" w:eastAsia="Times New Roman" w:cs="Times New Roman"/>
                <w:spacing w:val="-1"/>
                <w:position w:val="-3"/>
                <w:sz w:val="18"/>
                <w:szCs w:val="18"/>
              </w:rPr>
              <w:t>≤100%√</w:t>
            </w:r>
          </w:p>
        </w:tc>
        <w:tc>
          <w:tcPr>
            <w:tcW w:w="2596" w:type="dxa"/>
            <w:gridSpan w:val="6"/>
            <w:vAlign w:val="top"/>
          </w:tcPr>
          <w:p w14:paraId="73A6666F">
            <w:pPr>
              <w:pStyle w:val="6"/>
              <w:spacing w:before="69" w:line="338" w:lineRule="exact"/>
              <w:ind w:left="216"/>
              <w:rPr>
                <w:rFonts w:ascii="Times New Roman" w:hAnsi="Times New Roman" w:eastAsia="Times New Roman" w:cs="Times New Roman"/>
                <w:sz w:val="18"/>
                <w:szCs w:val="18"/>
              </w:rPr>
            </w:pPr>
            <w:r>
              <w:rPr>
                <w:position w:val="-3"/>
                <w:sz w:val="18"/>
                <w:szCs w:val="18"/>
              </w:rPr>
              <w:drawing>
                <wp:inline distT="0" distB="0" distL="0" distR="0">
                  <wp:extent cx="320040" cy="173355"/>
                  <wp:effectExtent l="0" t="0" r="0" b="0"/>
                  <wp:docPr id="128" name="IM 128"/>
                  <wp:cNvGraphicFramePr/>
                  <a:graphic xmlns:a="http://schemas.openxmlformats.org/drawingml/2006/main">
                    <a:graphicData uri="http://schemas.openxmlformats.org/drawingml/2006/picture">
                      <pic:pic xmlns:pic="http://schemas.openxmlformats.org/drawingml/2006/picture">
                        <pic:nvPicPr>
                          <pic:cNvPr id="128" name="IM 128"/>
                          <pic:cNvPicPr/>
                        </pic:nvPicPr>
                        <pic:blipFill>
                          <a:blip r:embed="rId644"/>
                          <a:stretch>
                            <a:fillRect/>
                          </a:stretch>
                        </pic:blipFill>
                        <pic:spPr>
                          <a:xfrm>
                            <a:off x="0" y="0"/>
                            <a:ext cx="320040" cy="173735"/>
                          </a:xfrm>
                          <a:prstGeom prst="rect">
                            <a:avLst/>
                          </a:prstGeom>
                        </pic:spPr>
                      </pic:pic>
                    </a:graphicData>
                  </a:graphic>
                </wp:inline>
              </w:drawing>
            </w:r>
            <w:r>
              <w:rPr>
                <w:position w:val="-3"/>
                <w:sz w:val="18"/>
                <w:szCs w:val="18"/>
              </w:rPr>
              <w:t>最大占标率</w:t>
            </w:r>
            <w:r>
              <w:rPr>
                <w:rFonts w:ascii="仿宋" w:hAnsi="仿宋" w:eastAsia="仿宋" w:cs="仿宋"/>
                <w:position w:val="-3"/>
                <w:sz w:val="18"/>
                <w:szCs w:val="18"/>
              </w:rPr>
              <w:t>＞</w:t>
            </w:r>
            <w:r>
              <w:rPr>
                <w:rFonts w:ascii="Times New Roman" w:hAnsi="Times New Roman" w:eastAsia="Times New Roman" w:cs="Times New Roman"/>
                <w:position w:val="-3"/>
                <w:sz w:val="18"/>
                <w:szCs w:val="18"/>
              </w:rPr>
              <w:t>100% □</w:t>
            </w:r>
          </w:p>
        </w:tc>
      </w:tr>
      <w:tr w14:paraId="7621E8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953" w:type="dxa"/>
            <w:vMerge w:val="continue"/>
            <w:tcBorders>
              <w:top w:val="nil"/>
              <w:bottom w:val="nil"/>
            </w:tcBorders>
            <w:vAlign w:val="top"/>
          </w:tcPr>
          <w:p w14:paraId="7AD5C86E">
            <w:pPr>
              <w:rPr>
                <w:rFonts w:ascii="Arial"/>
                <w:sz w:val="21"/>
              </w:rPr>
            </w:pPr>
          </w:p>
        </w:tc>
        <w:tc>
          <w:tcPr>
            <w:tcW w:w="1661" w:type="dxa"/>
            <w:vMerge w:val="restart"/>
            <w:tcBorders>
              <w:bottom w:val="nil"/>
            </w:tcBorders>
            <w:vAlign w:val="top"/>
          </w:tcPr>
          <w:p w14:paraId="7E52CBA1">
            <w:pPr>
              <w:pStyle w:val="6"/>
              <w:spacing w:before="130" w:line="230" w:lineRule="auto"/>
              <w:ind w:left="565" w:right="109" w:hanging="449"/>
              <w:rPr>
                <w:sz w:val="18"/>
                <w:szCs w:val="18"/>
              </w:rPr>
            </w:pPr>
            <w:r>
              <w:rPr>
                <w:spacing w:val="-2"/>
                <w:sz w:val="18"/>
                <w:szCs w:val="18"/>
              </w:rPr>
              <w:t>正常排放年均浓度</w:t>
            </w:r>
            <w:r>
              <w:rPr>
                <w:spacing w:val="4"/>
                <w:sz w:val="18"/>
                <w:szCs w:val="18"/>
              </w:rPr>
              <w:t xml:space="preserve"> </w:t>
            </w:r>
            <w:r>
              <w:rPr>
                <w:spacing w:val="-4"/>
                <w:sz w:val="18"/>
                <w:szCs w:val="18"/>
              </w:rPr>
              <w:t>贡献值</w:t>
            </w:r>
          </w:p>
        </w:tc>
        <w:tc>
          <w:tcPr>
            <w:tcW w:w="942" w:type="dxa"/>
            <w:vAlign w:val="top"/>
          </w:tcPr>
          <w:p w14:paraId="23A83AA3">
            <w:pPr>
              <w:pStyle w:val="6"/>
              <w:spacing w:before="77" w:line="219" w:lineRule="auto"/>
              <w:ind w:left="207"/>
              <w:rPr>
                <w:sz w:val="18"/>
                <w:szCs w:val="18"/>
              </w:rPr>
            </w:pPr>
            <w:r>
              <w:rPr>
                <w:spacing w:val="-4"/>
                <w:sz w:val="18"/>
                <w:szCs w:val="18"/>
              </w:rPr>
              <w:t>一类区</w:t>
            </w:r>
          </w:p>
        </w:tc>
        <w:tc>
          <w:tcPr>
            <w:tcW w:w="2975" w:type="dxa"/>
            <w:gridSpan w:val="10"/>
            <w:vAlign w:val="top"/>
          </w:tcPr>
          <w:p w14:paraId="4EB35788">
            <w:pPr>
              <w:pStyle w:val="6"/>
              <w:spacing w:before="2" w:line="236" w:lineRule="auto"/>
              <w:ind w:left="515"/>
              <w:rPr>
                <w:rFonts w:ascii="Times New Roman" w:hAnsi="Times New Roman" w:eastAsia="Times New Roman" w:cs="Times New Roman"/>
                <w:sz w:val="18"/>
                <w:szCs w:val="18"/>
              </w:rPr>
            </w:pPr>
            <w:r>
              <w:rPr>
                <w:sz w:val="18"/>
                <w:szCs w:val="18"/>
              </w:rPr>
              <w:drawing>
                <wp:inline distT="0" distB="0" distL="0" distR="0">
                  <wp:extent cx="320040" cy="173355"/>
                  <wp:effectExtent l="0" t="0" r="0" b="0"/>
                  <wp:docPr id="130" name="IM 130"/>
                  <wp:cNvGraphicFramePr/>
                  <a:graphic xmlns:a="http://schemas.openxmlformats.org/drawingml/2006/main">
                    <a:graphicData uri="http://schemas.openxmlformats.org/drawingml/2006/picture">
                      <pic:pic xmlns:pic="http://schemas.openxmlformats.org/drawingml/2006/picture">
                        <pic:nvPicPr>
                          <pic:cNvPr id="130" name="IM 130"/>
                          <pic:cNvPicPr/>
                        </pic:nvPicPr>
                        <pic:blipFill>
                          <a:blip r:embed="rId643"/>
                          <a:stretch>
                            <a:fillRect/>
                          </a:stretch>
                        </pic:blipFill>
                        <pic:spPr>
                          <a:xfrm>
                            <a:off x="0" y="0"/>
                            <a:ext cx="320040" cy="173735"/>
                          </a:xfrm>
                          <a:prstGeom prst="rect">
                            <a:avLst/>
                          </a:prstGeom>
                        </pic:spPr>
                      </pic:pic>
                    </a:graphicData>
                  </a:graphic>
                </wp:inline>
              </w:drawing>
            </w:r>
            <w:r>
              <w:rPr>
                <w:spacing w:val="-1"/>
                <w:sz w:val="18"/>
                <w:szCs w:val="18"/>
              </w:rPr>
              <w:t>最大占标率</w:t>
            </w:r>
            <w:r>
              <w:rPr>
                <w:rFonts w:ascii="Times New Roman" w:hAnsi="Times New Roman" w:eastAsia="Times New Roman" w:cs="Times New Roman"/>
                <w:spacing w:val="-1"/>
                <w:sz w:val="18"/>
                <w:szCs w:val="18"/>
              </w:rPr>
              <w:t>≤10%□</w:t>
            </w:r>
          </w:p>
        </w:tc>
        <w:tc>
          <w:tcPr>
            <w:tcW w:w="2596" w:type="dxa"/>
            <w:gridSpan w:val="6"/>
            <w:vAlign w:val="top"/>
          </w:tcPr>
          <w:p w14:paraId="1A63922B">
            <w:pPr>
              <w:pStyle w:val="6"/>
              <w:spacing w:before="2" w:line="236" w:lineRule="auto"/>
              <w:ind w:left="350"/>
              <w:rPr>
                <w:rFonts w:ascii="Times New Roman" w:hAnsi="Times New Roman" w:eastAsia="Times New Roman" w:cs="Times New Roman"/>
                <w:sz w:val="18"/>
                <w:szCs w:val="18"/>
              </w:rPr>
            </w:pPr>
            <w:r>
              <w:rPr>
                <w:sz w:val="18"/>
                <w:szCs w:val="18"/>
              </w:rPr>
              <w:drawing>
                <wp:inline distT="0" distB="0" distL="0" distR="0">
                  <wp:extent cx="320040" cy="173355"/>
                  <wp:effectExtent l="0" t="0" r="0" b="0"/>
                  <wp:docPr id="132" name="IM 132"/>
                  <wp:cNvGraphicFramePr/>
                  <a:graphic xmlns:a="http://schemas.openxmlformats.org/drawingml/2006/main">
                    <a:graphicData uri="http://schemas.openxmlformats.org/drawingml/2006/picture">
                      <pic:pic xmlns:pic="http://schemas.openxmlformats.org/drawingml/2006/picture">
                        <pic:nvPicPr>
                          <pic:cNvPr id="132" name="IM 132"/>
                          <pic:cNvPicPr/>
                        </pic:nvPicPr>
                        <pic:blipFill>
                          <a:blip r:embed="rId644"/>
                          <a:stretch>
                            <a:fillRect/>
                          </a:stretch>
                        </pic:blipFill>
                        <pic:spPr>
                          <a:xfrm>
                            <a:off x="0" y="0"/>
                            <a:ext cx="320040" cy="173735"/>
                          </a:xfrm>
                          <a:prstGeom prst="rect">
                            <a:avLst/>
                          </a:prstGeom>
                        </pic:spPr>
                      </pic:pic>
                    </a:graphicData>
                  </a:graphic>
                </wp:inline>
              </w:drawing>
            </w:r>
            <w:r>
              <w:rPr>
                <w:spacing w:val="-1"/>
                <w:sz w:val="18"/>
                <w:szCs w:val="18"/>
              </w:rPr>
              <w:t>最大标率</w:t>
            </w:r>
            <w:r>
              <w:rPr>
                <w:rFonts w:ascii="仿宋" w:hAnsi="仿宋" w:eastAsia="仿宋" w:cs="仿宋"/>
                <w:spacing w:val="-1"/>
                <w:sz w:val="18"/>
                <w:szCs w:val="18"/>
              </w:rPr>
              <w:t>＞</w:t>
            </w:r>
            <w:r>
              <w:rPr>
                <w:rFonts w:ascii="Times New Roman" w:hAnsi="Times New Roman" w:eastAsia="Times New Roman" w:cs="Times New Roman"/>
                <w:spacing w:val="-1"/>
                <w:sz w:val="18"/>
                <w:szCs w:val="18"/>
              </w:rPr>
              <w:t>10%</w:t>
            </w:r>
            <w:r>
              <w:rPr>
                <w:rFonts w:ascii="Times New Roman" w:hAnsi="Times New Roman" w:eastAsia="Times New Roman" w:cs="Times New Roman"/>
                <w:spacing w:val="20"/>
                <w:sz w:val="18"/>
                <w:szCs w:val="18"/>
              </w:rPr>
              <w:t xml:space="preserve"> </w:t>
            </w:r>
            <w:r>
              <w:rPr>
                <w:rFonts w:ascii="Times New Roman" w:hAnsi="Times New Roman" w:eastAsia="Times New Roman" w:cs="Times New Roman"/>
                <w:spacing w:val="-1"/>
                <w:sz w:val="18"/>
                <w:szCs w:val="18"/>
              </w:rPr>
              <w:t>□</w:t>
            </w:r>
          </w:p>
        </w:tc>
      </w:tr>
      <w:tr w14:paraId="2F2830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953" w:type="dxa"/>
            <w:vMerge w:val="continue"/>
            <w:tcBorders>
              <w:top w:val="nil"/>
              <w:bottom w:val="nil"/>
            </w:tcBorders>
            <w:vAlign w:val="top"/>
          </w:tcPr>
          <w:p w14:paraId="1C6E60BE">
            <w:pPr>
              <w:rPr>
                <w:rFonts w:ascii="Arial"/>
                <w:sz w:val="21"/>
              </w:rPr>
            </w:pPr>
          </w:p>
        </w:tc>
        <w:tc>
          <w:tcPr>
            <w:tcW w:w="1661" w:type="dxa"/>
            <w:vMerge w:val="continue"/>
            <w:tcBorders>
              <w:top w:val="nil"/>
            </w:tcBorders>
            <w:vAlign w:val="top"/>
          </w:tcPr>
          <w:p w14:paraId="17409D0D">
            <w:pPr>
              <w:rPr>
                <w:rFonts w:ascii="Arial"/>
                <w:sz w:val="21"/>
              </w:rPr>
            </w:pPr>
          </w:p>
        </w:tc>
        <w:tc>
          <w:tcPr>
            <w:tcW w:w="942" w:type="dxa"/>
            <w:vAlign w:val="top"/>
          </w:tcPr>
          <w:p w14:paraId="1530FA2F">
            <w:pPr>
              <w:pStyle w:val="6"/>
              <w:spacing w:before="78" w:line="219" w:lineRule="auto"/>
              <w:ind w:left="207"/>
              <w:rPr>
                <w:sz w:val="18"/>
                <w:szCs w:val="18"/>
              </w:rPr>
            </w:pPr>
            <w:r>
              <w:rPr>
                <w:spacing w:val="-4"/>
                <w:sz w:val="18"/>
                <w:szCs w:val="18"/>
              </w:rPr>
              <w:t>二类区</w:t>
            </w:r>
          </w:p>
        </w:tc>
        <w:tc>
          <w:tcPr>
            <w:tcW w:w="2975" w:type="dxa"/>
            <w:gridSpan w:val="10"/>
            <w:vAlign w:val="top"/>
          </w:tcPr>
          <w:p w14:paraId="215DB37A">
            <w:pPr>
              <w:pStyle w:val="6"/>
              <w:spacing w:before="4"/>
              <w:ind w:left="519"/>
              <w:rPr>
                <w:rFonts w:ascii="Times New Roman" w:hAnsi="Times New Roman" w:eastAsia="Times New Roman" w:cs="Times New Roman"/>
                <w:sz w:val="18"/>
                <w:szCs w:val="18"/>
              </w:rPr>
            </w:pPr>
            <w:r>
              <w:rPr>
                <w:sz w:val="18"/>
                <w:szCs w:val="18"/>
              </w:rPr>
              <w:drawing>
                <wp:inline distT="0" distB="0" distL="0" distR="0">
                  <wp:extent cx="320040" cy="170180"/>
                  <wp:effectExtent l="0" t="0" r="0" b="0"/>
                  <wp:docPr id="134" name="IM 134"/>
                  <wp:cNvGraphicFramePr/>
                  <a:graphic xmlns:a="http://schemas.openxmlformats.org/drawingml/2006/main">
                    <a:graphicData uri="http://schemas.openxmlformats.org/drawingml/2006/picture">
                      <pic:pic xmlns:pic="http://schemas.openxmlformats.org/drawingml/2006/picture">
                        <pic:nvPicPr>
                          <pic:cNvPr id="134" name="IM 134"/>
                          <pic:cNvPicPr/>
                        </pic:nvPicPr>
                        <pic:blipFill>
                          <a:blip r:embed="rId643"/>
                          <a:stretch>
                            <a:fillRect/>
                          </a:stretch>
                        </pic:blipFill>
                        <pic:spPr>
                          <a:xfrm>
                            <a:off x="0" y="0"/>
                            <a:ext cx="320040" cy="170510"/>
                          </a:xfrm>
                          <a:prstGeom prst="rect">
                            <a:avLst/>
                          </a:prstGeom>
                        </pic:spPr>
                      </pic:pic>
                    </a:graphicData>
                  </a:graphic>
                </wp:inline>
              </w:drawing>
            </w:r>
            <w:r>
              <w:rPr>
                <w:spacing w:val="-1"/>
                <w:sz w:val="18"/>
                <w:szCs w:val="18"/>
              </w:rPr>
              <w:t>最大占标率</w:t>
            </w:r>
            <w:r>
              <w:rPr>
                <w:rFonts w:ascii="Times New Roman" w:hAnsi="Times New Roman" w:eastAsia="Times New Roman" w:cs="Times New Roman"/>
                <w:spacing w:val="-1"/>
                <w:sz w:val="18"/>
                <w:szCs w:val="18"/>
              </w:rPr>
              <w:t>≤30%√</w:t>
            </w:r>
          </w:p>
        </w:tc>
        <w:tc>
          <w:tcPr>
            <w:tcW w:w="2596" w:type="dxa"/>
            <w:gridSpan w:val="6"/>
            <w:vAlign w:val="top"/>
          </w:tcPr>
          <w:p w14:paraId="0DB6493F">
            <w:pPr>
              <w:pStyle w:val="6"/>
              <w:spacing w:before="3" w:line="235" w:lineRule="auto"/>
              <w:ind w:left="350"/>
              <w:rPr>
                <w:rFonts w:ascii="Times New Roman" w:hAnsi="Times New Roman" w:eastAsia="Times New Roman" w:cs="Times New Roman"/>
                <w:sz w:val="18"/>
                <w:szCs w:val="18"/>
              </w:rPr>
            </w:pPr>
            <w:r>
              <w:rPr>
                <w:sz w:val="18"/>
                <w:szCs w:val="18"/>
              </w:rPr>
              <w:drawing>
                <wp:inline distT="0" distB="0" distL="0" distR="0">
                  <wp:extent cx="320040" cy="173355"/>
                  <wp:effectExtent l="0" t="0" r="0" b="0"/>
                  <wp:docPr id="136" name="IM 136"/>
                  <wp:cNvGraphicFramePr/>
                  <a:graphic xmlns:a="http://schemas.openxmlformats.org/drawingml/2006/main">
                    <a:graphicData uri="http://schemas.openxmlformats.org/drawingml/2006/picture">
                      <pic:pic xmlns:pic="http://schemas.openxmlformats.org/drawingml/2006/picture">
                        <pic:nvPicPr>
                          <pic:cNvPr id="136" name="IM 136"/>
                          <pic:cNvPicPr/>
                        </pic:nvPicPr>
                        <pic:blipFill>
                          <a:blip r:embed="rId644"/>
                          <a:stretch>
                            <a:fillRect/>
                          </a:stretch>
                        </pic:blipFill>
                        <pic:spPr>
                          <a:xfrm>
                            <a:off x="0" y="0"/>
                            <a:ext cx="320040" cy="173735"/>
                          </a:xfrm>
                          <a:prstGeom prst="rect">
                            <a:avLst/>
                          </a:prstGeom>
                        </pic:spPr>
                      </pic:pic>
                    </a:graphicData>
                  </a:graphic>
                </wp:inline>
              </w:drawing>
            </w:r>
            <w:r>
              <w:rPr>
                <w:spacing w:val="-1"/>
                <w:sz w:val="18"/>
                <w:szCs w:val="18"/>
              </w:rPr>
              <w:t>最大标率</w:t>
            </w:r>
            <w:r>
              <w:rPr>
                <w:rFonts w:ascii="仿宋" w:hAnsi="仿宋" w:eastAsia="仿宋" w:cs="仿宋"/>
                <w:spacing w:val="-1"/>
                <w:sz w:val="18"/>
                <w:szCs w:val="18"/>
              </w:rPr>
              <w:t>＞</w:t>
            </w:r>
            <w:r>
              <w:rPr>
                <w:rFonts w:ascii="Times New Roman" w:hAnsi="Times New Roman" w:eastAsia="Times New Roman" w:cs="Times New Roman"/>
                <w:spacing w:val="-1"/>
                <w:sz w:val="18"/>
                <w:szCs w:val="18"/>
              </w:rPr>
              <w:t>30%</w:t>
            </w:r>
            <w:r>
              <w:rPr>
                <w:rFonts w:ascii="Times New Roman" w:hAnsi="Times New Roman" w:eastAsia="Times New Roman" w:cs="Times New Roman"/>
                <w:spacing w:val="20"/>
                <w:sz w:val="18"/>
                <w:szCs w:val="18"/>
              </w:rPr>
              <w:t xml:space="preserve"> </w:t>
            </w:r>
            <w:r>
              <w:rPr>
                <w:rFonts w:ascii="Times New Roman" w:hAnsi="Times New Roman" w:eastAsia="Times New Roman" w:cs="Times New Roman"/>
                <w:spacing w:val="-1"/>
                <w:sz w:val="18"/>
                <w:szCs w:val="18"/>
              </w:rPr>
              <w:t>□</w:t>
            </w:r>
          </w:p>
        </w:tc>
      </w:tr>
      <w:tr w14:paraId="776B82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6" w:hRule="atLeast"/>
        </w:trPr>
        <w:tc>
          <w:tcPr>
            <w:tcW w:w="953" w:type="dxa"/>
            <w:vMerge w:val="continue"/>
            <w:tcBorders>
              <w:top w:val="nil"/>
              <w:bottom w:val="nil"/>
            </w:tcBorders>
            <w:vAlign w:val="top"/>
          </w:tcPr>
          <w:p w14:paraId="21C20015">
            <w:pPr>
              <w:rPr>
                <w:rFonts w:ascii="Arial"/>
                <w:sz w:val="21"/>
              </w:rPr>
            </w:pPr>
          </w:p>
        </w:tc>
        <w:tc>
          <w:tcPr>
            <w:tcW w:w="1661" w:type="dxa"/>
            <w:vAlign w:val="top"/>
          </w:tcPr>
          <w:p w14:paraId="30B0383D">
            <w:pPr>
              <w:pStyle w:val="6"/>
              <w:spacing w:before="26" w:line="220" w:lineRule="auto"/>
              <w:ind w:left="566" w:right="64" w:hanging="496"/>
              <w:rPr>
                <w:sz w:val="18"/>
                <w:szCs w:val="18"/>
              </w:rPr>
            </w:pPr>
            <w:r>
              <w:rPr>
                <w:spacing w:val="-4"/>
                <w:sz w:val="18"/>
                <w:szCs w:val="18"/>
              </w:rPr>
              <w:t>非正常排放</w:t>
            </w:r>
            <w:r>
              <w:rPr>
                <w:spacing w:val="-15"/>
                <w:sz w:val="18"/>
                <w:szCs w:val="18"/>
              </w:rPr>
              <w:t xml:space="preserve"> </w:t>
            </w:r>
            <w:r>
              <w:rPr>
                <w:rFonts w:ascii="Times New Roman" w:hAnsi="Times New Roman" w:eastAsia="Times New Roman" w:cs="Times New Roman"/>
                <w:spacing w:val="-4"/>
                <w:sz w:val="18"/>
                <w:szCs w:val="18"/>
              </w:rPr>
              <w:t xml:space="preserve">1h </w:t>
            </w:r>
            <w:r>
              <w:rPr>
                <w:spacing w:val="-4"/>
                <w:sz w:val="18"/>
                <w:szCs w:val="18"/>
              </w:rPr>
              <w:t>浓度</w:t>
            </w:r>
            <w:r>
              <w:rPr>
                <w:sz w:val="18"/>
                <w:szCs w:val="18"/>
              </w:rPr>
              <w:t xml:space="preserve"> </w:t>
            </w:r>
            <w:r>
              <w:rPr>
                <w:spacing w:val="-4"/>
                <w:sz w:val="18"/>
                <w:szCs w:val="18"/>
              </w:rPr>
              <w:t>贡献值</w:t>
            </w:r>
          </w:p>
        </w:tc>
        <w:tc>
          <w:tcPr>
            <w:tcW w:w="1367" w:type="dxa"/>
            <w:gridSpan w:val="3"/>
            <w:vAlign w:val="top"/>
          </w:tcPr>
          <w:p w14:paraId="6D05E0D4">
            <w:pPr>
              <w:pStyle w:val="6"/>
              <w:spacing w:before="26" w:line="220" w:lineRule="auto"/>
              <w:ind w:left="426" w:right="51" w:hanging="366"/>
              <w:rPr>
                <w:rFonts w:ascii="Times New Roman" w:hAnsi="Times New Roman" w:eastAsia="Times New Roman" w:cs="Times New Roman"/>
                <w:sz w:val="18"/>
                <w:szCs w:val="18"/>
              </w:rPr>
            </w:pPr>
            <w:r>
              <w:rPr>
                <w:spacing w:val="-2"/>
                <w:sz w:val="18"/>
                <w:szCs w:val="18"/>
              </w:rPr>
              <w:t>非正常持续时长</w:t>
            </w:r>
            <w:r>
              <w:rPr>
                <w:spacing w:val="3"/>
                <w:sz w:val="18"/>
                <w:szCs w:val="18"/>
              </w:rPr>
              <w:t xml:space="preserve"> </w:t>
            </w:r>
            <w:r>
              <w:rPr>
                <w:spacing w:val="-5"/>
                <w:sz w:val="18"/>
                <w:szCs w:val="18"/>
              </w:rPr>
              <w:t>（</w:t>
            </w:r>
            <w:r>
              <w:rPr>
                <w:rFonts w:ascii="Times New Roman" w:hAnsi="Times New Roman" w:eastAsia="Times New Roman" w:cs="Times New Roman"/>
                <w:spacing w:val="-5"/>
                <w:sz w:val="18"/>
                <w:szCs w:val="18"/>
              </w:rPr>
              <w:t>1</w:t>
            </w:r>
            <w:r>
              <w:rPr>
                <w:spacing w:val="-5"/>
                <w:sz w:val="18"/>
                <w:szCs w:val="18"/>
              </w:rPr>
              <w:t>）</w:t>
            </w:r>
            <w:r>
              <w:rPr>
                <w:rFonts w:ascii="Times New Roman" w:hAnsi="Times New Roman" w:eastAsia="Times New Roman" w:cs="Times New Roman"/>
                <w:spacing w:val="-5"/>
                <w:sz w:val="18"/>
                <w:szCs w:val="18"/>
              </w:rPr>
              <w:t>h</w:t>
            </w:r>
          </w:p>
        </w:tc>
        <w:tc>
          <w:tcPr>
            <w:tcW w:w="2908" w:type="dxa"/>
            <w:gridSpan w:val="10"/>
            <w:vAlign w:val="top"/>
          </w:tcPr>
          <w:p w14:paraId="398E91B5">
            <w:pPr>
              <w:pStyle w:val="6"/>
              <w:spacing w:before="69" w:line="377" w:lineRule="exact"/>
              <w:ind w:left="567"/>
              <w:rPr>
                <w:rFonts w:ascii="微软雅黑" w:hAnsi="微软雅黑" w:eastAsia="微软雅黑" w:cs="微软雅黑"/>
                <w:sz w:val="18"/>
                <w:szCs w:val="18"/>
              </w:rPr>
            </w:pPr>
            <w:r>
              <w:rPr>
                <w:rFonts w:ascii="Arial" w:hAnsi="Arial" w:eastAsia="Arial" w:cs="Arial"/>
                <w:position w:val="5"/>
                <w:sz w:val="24"/>
                <w:szCs w:val="24"/>
              </w:rPr>
              <w:t>CEX</w:t>
            </w:r>
            <w:r>
              <w:rPr>
                <w:spacing w:val="4"/>
                <w:position w:val="2"/>
                <w:sz w:val="18"/>
                <w:szCs w:val="18"/>
              </w:rPr>
              <w:t>占标率</w:t>
            </w:r>
            <w:r>
              <w:rPr>
                <w:rFonts w:ascii="Times New Roman" w:hAnsi="Times New Roman" w:eastAsia="Times New Roman" w:cs="Times New Roman"/>
                <w:spacing w:val="4"/>
                <w:position w:val="2"/>
                <w:sz w:val="18"/>
                <w:szCs w:val="18"/>
              </w:rPr>
              <w:t>≤100%</w:t>
            </w:r>
            <w:r>
              <w:rPr>
                <w:rFonts w:ascii="Times New Roman" w:hAnsi="Times New Roman" w:eastAsia="Times New Roman" w:cs="Times New Roman"/>
                <w:spacing w:val="16"/>
                <w:w w:val="101"/>
                <w:position w:val="2"/>
                <w:sz w:val="18"/>
                <w:szCs w:val="18"/>
              </w:rPr>
              <w:t xml:space="preserve"> </w:t>
            </w:r>
            <w:r>
              <w:rPr>
                <w:rFonts w:ascii="微软雅黑" w:hAnsi="微软雅黑" w:eastAsia="微软雅黑" w:cs="微软雅黑"/>
                <w:spacing w:val="4"/>
                <w:position w:val="2"/>
                <w:sz w:val="18"/>
                <w:szCs w:val="18"/>
              </w:rPr>
              <w:t>□</w:t>
            </w:r>
          </w:p>
        </w:tc>
        <w:tc>
          <w:tcPr>
            <w:tcW w:w="2238" w:type="dxa"/>
            <w:gridSpan w:val="4"/>
            <w:vAlign w:val="top"/>
          </w:tcPr>
          <w:p w14:paraId="6A708240">
            <w:pPr>
              <w:pStyle w:val="6"/>
              <w:spacing w:before="69" w:line="330" w:lineRule="exact"/>
              <w:ind w:left="244"/>
              <w:rPr>
                <w:rFonts w:ascii="Times New Roman" w:hAnsi="Times New Roman" w:eastAsia="Times New Roman" w:cs="Times New Roman"/>
                <w:sz w:val="18"/>
                <w:szCs w:val="18"/>
              </w:rPr>
            </w:pPr>
            <w:r>
              <w:rPr>
                <w:position w:val="-3"/>
                <w:sz w:val="18"/>
                <w:szCs w:val="18"/>
              </w:rPr>
              <w:drawing>
                <wp:inline distT="0" distB="0" distL="0" distR="0">
                  <wp:extent cx="320040" cy="173355"/>
                  <wp:effectExtent l="0" t="0" r="0" b="0"/>
                  <wp:docPr id="138" name="IM 138"/>
                  <wp:cNvGraphicFramePr/>
                  <a:graphic xmlns:a="http://schemas.openxmlformats.org/drawingml/2006/main">
                    <a:graphicData uri="http://schemas.openxmlformats.org/drawingml/2006/picture">
                      <pic:pic xmlns:pic="http://schemas.openxmlformats.org/drawingml/2006/picture">
                        <pic:nvPicPr>
                          <pic:cNvPr id="138" name="IM 138"/>
                          <pic:cNvPicPr/>
                        </pic:nvPicPr>
                        <pic:blipFill>
                          <a:blip r:embed="rId645"/>
                          <a:stretch>
                            <a:fillRect/>
                          </a:stretch>
                        </pic:blipFill>
                        <pic:spPr>
                          <a:xfrm>
                            <a:off x="0" y="0"/>
                            <a:ext cx="320040" cy="173735"/>
                          </a:xfrm>
                          <a:prstGeom prst="rect">
                            <a:avLst/>
                          </a:prstGeom>
                        </pic:spPr>
                      </pic:pic>
                    </a:graphicData>
                  </a:graphic>
                </wp:inline>
              </w:drawing>
            </w:r>
            <w:r>
              <w:rPr>
                <w:position w:val="-3"/>
                <w:sz w:val="18"/>
                <w:szCs w:val="18"/>
              </w:rPr>
              <w:t>占标率</w:t>
            </w:r>
            <w:r>
              <w:rPr>
                <w:rFonts w:ascii="仿宋" w:hAnsi="仿宋" w:eastAsia="仿宋" w:cs="仿宋"/>
                <w:position w:val="-3"/>
                <w:sz w:val="18"/>
                <w:szCs w:val="18"/>
              </w:rPr>
              <w:t>＞</w:t>
            </w:r>
            <w:r>
              <w:rPr>
                <w:rFonts w:ascii="Times New Roman" w:hAnsi="Times New Roman" w:eastAsia="Times New Roman" w:cs="Times New Roman"/>
                <w:position w:val="-3"/>
                <w:sz w:val="18"/>
                <w:szCs w:val="18"/>
              </w:rPr>
              <w:t>100%√</w:t>
            </w:r>
          </w:p>
        </w:tc>
      </w:tr>
      <w:tr w14:paraId="5BCAAD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953" w:type="dxa"/>
            <w:vMerge w:val="continue"/>
            <w:tcBorders>
              <w:top w:val="nil"/>
              <w:bottom w:val="nil"/>
            </w:tcBorders>
            <w:vAlign w:val="top"/>
          </w:tcPr>
          <w:p w14:paraId="1E7A0474">
            <w:pPr>
              <w:rPr>
                <w:rFonts w:ascii="Arial"/>
                <w:sz w:val="21"/>
              </w:rPr>
            </w:pPr>
          </w:p>
        </w:tc>
        <w:tc>
          <w:tcPr>
            <w:tcW w:w="1661" w:type="dxa"/>
            <w:vAlign w:val="top"/>
          </w:tcPr>
          <w:p w14:paraId="31B6453A">
            <w:pPr>
              <w:pStyle w:val="6"/>
              <w:spacing w:before="28" w:line="219" w:lineRule="auto"/>
              <w:ind w:left="113"/>
              <w:rPr>
                <w:sz w:val="18"/>
                <w:szCs w:val="18"/>
              </w:rPr>
            </w:pPr>
            <w:r>
              <w:rPr>
                <w:spacing w:val="-1"/>
                <w:sz w:val="18"/>
                <w:szCs w:val="18"/>
              </w:rPr>
              <w:t>保证率日平均浓度</w:t>
            </w:r>
          </w:p>
          <w:p w14:paraId="6759B8B4">
            <w:pPr>
              <w:pStyle w:val="6"/>
              <w:spacing w:before="19" w:line="219" w:lineRule="auto"/>
              <w:ind w:left="113"/>
              <w:rPr>
                <w:sz w:val="18"/>
                <w:szCs w:val="18"/>
              </w:rPr>
            </w:pPr>
            <w:r>
              <w:rPr>
                <w:spacing w:val="-1"/>
                <w:sz w:val="18"/>
                <w:szCs w:val="18"/>
              </w:rPr>
              <w:t>和年平均浓度叠加</w:t>
            </w:r>
          </w:p>
          <w:p w14:paraId="31857333">
            <w:pPr>
              <w:pStyle w:val="6"/>
              <w:spacing w:before="19" w:line="200" w:lineRule="auto"/>
              <w:ind w:left="744"/>
              <w:rPr>
                <w:sz w:val="18"/>
                <w:szCs w:val="18"/>
              </w:rPr>
            </w:pPr>
            <w:r>
              <w:rPr>
                <w:sz w:val="18"/>
                <w:szCs w:val="18"/>
              </w:rPr>
              <w:t>值</w:t>
            </w:r>
          </w:p>
        </w:tc>
        <w:tc>
          <w:tcPr>
            <w:tcW w:w="3022" w:type="dxa"/>
            <w:gridSpan w:val="10"/>
            <w:vAlign w:val="top"/>
          </w:tcPr>
          <w:p w14:paraId="3E036CE6">
            <w:pPr>
              <w:pStyle w:val="6"/>
              <w:spacing w:before="188" w:line="328" w:lineRule="exact"/>
              <w:ind w:left="1092"/>
              <w:rPr>
                <w:rFonts w:ascii="Times New Roman" w:hAnsi="Times New Roman" w:eastAsia="Times New Roman" w:cs="Times New Roman"/>
                <w:sz w:val="18"/>
                <w:szCs w:val="18"/>
              </w:rPr>
            </w:pPr>
            <w:r>
              <w:rPr>
                <w:rFonts w:ascii="Arial" w:hAnsi="Arial" w:eastAsia="Arial" w:cs="Arial"/>
                <w:position w:val="6"/>
                <w:sz w:val="24"/>
                <w:szCs w:val="24"/>
              </w:rPr>
              <w:t>cax</w:t>
            </w:r>
            <w:r>
              <w:rPr>
                <w:position w:val="2"/>
                <w:sz w:val="18"/>
                <w:szCs w:val="18"/>
              </w:rPr>
              <w:t>达标</w:t>
            </w:r>
            <w:r>
              <w:rPr>
                <w:rFonts w:ascii="Times New Roman" w:hAnsi="Times New Roman" w:eastAsia="Times New Roman" w:cs="Times New Roman"/>
                <w:position w:val="2"/>
                <w:sz w:val="18"/>
                <w:szCs w:val="18"/>
              </w:rPr>
              <w:t>√</w:t>
            </w:r>
          </w:p>
        </w:tc>
        <w:tc>
          <w:tcPr>
            <w:tcW w:w="3491" w:type="dxa"/>
            <w:gridSpan w:val="7"/>
            <w:vAlign w:val="top"/>
          </w:tcPr>
          <w:p w14:paraId="1D2BA7A1">
            <w:pPr>
              <w:pStyle w:val="6"/>
              <w:spacing w:before="188" w:line="332" w:lineRule="exact"/>
              <w:ind w:left="1231"/>
              <w:rPr>
                <w:rFonts w:ascii="Times New Roman" w:hAnsi="Times New Roman" w:eastAsia="Times New Roman" w:cs="Times New Roman"/>
                <w:sz w:val="18"/>
                <w:szCs w:val="18"/>
              </w:rPr>
            </w:pPr>
            <w:r>
              <w:rPr>
                <w:position w:val="-3"/>
                <w:sz w:val="18"/>
                <w:szCs w:val="18"/>
              </w:rPr>
              <w:drawing>
                <wp:inline distT="0" distB="0" distL="0" distR="0">
                  <wp:extent cx="237490" cy="173355"/>
                  <wp:effectExtent l="0" t="0" r="0" b="0"/>
                  <wp:docPr id="140" name="IM 140"/>
                  <wp:cNvGraphicFramePr/>
                  <a:graphic xmlns:a="http://schemas.openxmlformats.org/drawingml/2006/main">
                    <a:graphicData uri="http://schemas.openxmlformats.org/drawingml/2006/picture">
                      <pic:pic xmlns:pic="http://schemas.openxmlformats.org/drawingml/2006/picture">
                        <pic:nvPicPr>
                          <pic:cNvPr id="140" name="IM 140"/>
                          <pic:cNvPicPr/>
                        </pic:nvPicPr>
                        <pic:blipFill>
                          <a:blip r:embed="rId646"/>
                          <a:stretch>
                            <a:fillRect/>
                          </a:stretch>
                        </pic:blipFill>
                        <pic:spPr>
                          <a:xfrm>
                            <a:off x="0" y="0"/>
                            <a:ext cx="237744" cy="173735"/>
                          </a:xfrm>
                          <a:prstGeom prst="rect">
                            <a:avLst/>
                          </a:prstGeom>
                        </pic:spPr>
                      </pic:pic>
                    </a:graphicData>
                  </a:graphic>
                </wp:inline>
              </w:drawing>
            </w:r>
            <w:r>
              <w:rPr>
                <w:position w:val="-3"/>
                <w:sz w:val="18"/>
                <w:szCs w:val="18"/>
              </w:rPr>
              <w:t>不达标</w:t>
            </w:r>
            <w:r>
              <w:rPr>
                <w:rFonts w:ascii="Times New Roman" w:hAnsi="Times New Roman" w:eastAsia="Times New Roman" w:cs="Times New Roman"/>
                <w:position w:val="-3"/>
                <w:sz w:val="18"/>
                <w:szCs w:val="18"/>
              </w:rPr>
              <w:t>□</w:t>
            </w:r>
          </w:p>
        </w:tc>
      </w:tr>
      <w:tr w14:paraId="406060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7" w:hRule="atLeast"/>
        </w:trPr>
        <w:tc>
          <w:tcPr>
            <w:tcW w:w="953" w:type="dxa"/>
            <w:vMerge w:val="continue"/>
            <w:tcBorders>
              <w:top w:val="nil"/>
            </w:tcBorders>
            <w:vAlign w:val="top"/>
          </w:tcPr>
          <w:p w14:paraId="60127CE3">
            <w:pPr>
              <w:rPr>
                <w:rFonts w:ascii="Arial"/>
                <w:sz w:val="21"/>
              </w:rPr>
            </w:pPr>
          </w:p>
        </w:tc>
        <w:tc>
          <w:tcPr>
            <w:tcW w:w="1661" w:type="dxa"/>
            <w:vAlign w:val="top"/>
          </w:tcPr>
          <w:p w14:paraId="79029D02">
            <w:pPr>
              <w:pStyle w:val="6"/>
              <w:spacing w:before="29" w:line="219" w:lineRule="auto"/>
              <w:ind w:left="383" w:right="109" w:hanging="257"/>
              <w:rPr>
                <w:sz w:val="18"/>
                <w:szCs w:val="18"/>
              </w:rPr>
            </w:pPr>
            <w:r>
              <w:rPr>
                <w:spacing w:val="-3"/>
                <w:sz w:val="18"/>
                <w:szCs w:val="18"/>
              </w:rPr>
              <w:t>区域环境质量的整</w:t>
            </w:r>
            <w:r>
              <w:rPr>
                <w:spacing w:val="2"/>
                <w:sz w:val="18"/>
                <w:szCs w:val="18"/>
              </w:rPr>
              <w:t xml:space="preserve"> </w:t>
            </w:r>
            <w:r>
              <w:rPr>
                <w:spacing w:val="-2"/>
                <w:sz w:val="18"/>
                <w:szCs w:val="18"/>
              </w:rPr>
              <w:t>体变化情况</w:t>
            </w:r>
          </w:p>
        </w:tc>
        <w:tc>
          <w:tcPr>
            <w:tcW w:w="3022" w:type="dxa"/>
            <w:gridSpan w:val="10"/>
            <w:vAlign w:val="top"/>
          </w:tcPr>
          <w:p w14:paraId="7F027710">
            <w:pPr>
              <w:spacing w:before="115" w:line="239" w:lineRule="exact"/>
              <w:ind w:left="1125"/>
              <w:rPr>
                <w:rFonts w:ascii="Times New Roman" w:hAnsi="Times New Roman" w:eastAsia="Times New Roman" w:cs="Times New Roman"/>
                <w:sz w:val="18"/>
                <w:szCs w:val="18"/>
              </w:rPr>
            </w:pPr>
            <w:r>
              <w:rPr>
                <w:rFonts w:ascii="Times New Roman" w:hAnsi="Times New Roman" w:eastAsia="Times New Roman" w:cs="Times New Roman"/>
                <w:i/>
                <w:iCs/>
                <w:spacing w:val="-1"/>
                <w:position w:val="2"/>
                <w:sz w:val="18"/>
                <w:szCs w:val="18"/>
              </w:rPr>
              <w:t xml:space="preserve">k </w:t>
            </w:r>
            <w:r>
              <w:rPr>
                <w:rFonts w:ascii="Times New Roman" w:hAnsi="Times New Roman" w:eastAsia="Times New Roman" w:cs="Times New Roman"/>
                <w:spacing w:val="-1"/>
                <w:position w:val="2"/>
                <w:sz w:val="18"/>
                <w:szCs w:val="18"/>
              </w:rPr>
              <w:t>≤-20%</w:t>
            </w:r>
            <w:r>
              <w:rPr>
                <w:rFonts w:ascii="Times New Roman" w:hAnsi="Times New Roman" w:eastAsia="Times New Roman" w:cs="Times New Roman"/>
                <w:spacing w:val="19"/>
                <w:position w:val="2"/>
                <w:sz w:val="18"/>
                <w:szCs w:val="18"/>
              </w:rPr>
              <w:t xml:space="preserve"> </w:t>
            </w:r>
            <w:r>
              <w:rPr>
                <w:rFonts w:ascii="Times New Roman" w:hAnsi="Times New Roman" w:eastAsia="Times New Roman" w:cs="Times New Roman"/>
                <w:spacing w:val="-1"/>
                <w:position w:val="2"/>
                <w:sz w:val="18"/>
                <w:szCs w:val="18"/>
              </w:rPr>
              <w:t>□</w:t>
            </w:r>
          </w:p>
        </w:tc>
        <w:tc>
          <w:tcPr>
            <w:tcW w:w="3491" w:type="dxa"/>
            <w:gridSpan w:val="7"/>
            <w:vAlign w:val="top"/>
          </w:tcPr>
          <w:p w14:paraId="46E37A10">
            <w:pPr>
              <w:spacing w:before="115" w:line="239" w:lineRule="exact"/>
              <w:ind w:left="1343"/>
              <w:rPr>
                <w:rFonts w:ascii="Times New Roman" w:hAnsi="Times New Roman" w:eastAsia="Times New Roman" w:cs="Times New Roman"/>
                <w:sz w:val="18"/>
                <w:szCs w:val="18"/>
              </w:rPr>
            </w:pPr>
            <w:r>
              <w:rPr>
                <w:rFonts w:ascii="Times New Roman" w:hAnsi="Times New Roman" w:eastAsia="Times New Roman" w:cs="Times New Roman"/>
                <w:i/>
                <w:iCs/>
                <w:spacing w:val="-1"/>
                <w:position w:val="1"/>
                <w:sz w:val="18"/>
                <w:szCs w:val="18"/>
              </w:rPr>
              <w:t>k</w:t>
            </w:r>
            <w:r>
              <w:rPr>
                <w:rFonts w:ascii="仿宋" w:hAnsi="仿宋" w:eastAsia="仿宋" w:cs="仿宋"/>
                <w:spacing w:val="-1"/>
                <w:position w:val="1"/>
                <w:sz w:val="18"/>
                <w:szCs w:val="18"/>
              </w:rPr>
              <w:t>＞</w:t>
            </w:r>
            <w:r>
              <w:rPr>
                <w:rFonts w:ascii="Times New Roman" w:hAnsi="Times New Roman" w:eastAsia="Times New Roman" w:cs="Times New Roman"/>
                <w:spacing w:val="-1"/>
                <w:position w:val="1"/>
                <w:sz w:val="18"/>
                <w:szCs w:val="18"/>
              </w:rPr>
              <w:t>-20%</w:t>
            </w:r>
            <w:r>
              <w:rPr>
                <w:rFonts w:ascii="Times New Roman" w:hAnsi="Times New Roman" w:eastAsia="Times New Roman" w:cs="Times New Roman"/>
                <w:spacing w:val="15"/>
                <w:w w:val="101"/>
                <w:position w:val="1"/>
                <w:sz w:val="18"/>
                <w:szCs w:val="18"/>
              </w:rPr>
              <w:t xml:space="preserve"> </w:t>
            </w:r>
            <w:r>
              <w:rPr>
                <w:rFonts w:ascii="Times New Roman" w:hAnsi="Times New Roman" w:eastAsia="Times New Roman" w:cs="Times New Roman"/>
                <w:spacing w:val="-1"/>
                <w:position w:val="1"/>
                <w:sz w:val="18"/>
                <w:szCs w:val="18"/>
              </w:rPr>
              <w:t>□</w:t>
            </w:r>
          </w:p>
        </w:tc>
      </w:tr>
      <w:tr w14:paraId="65487F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7" w:hRule="atLeast"/>
        </w:trPr>
        <w:tc>
          <w:tcPr>
            <w:tcW w:w="953" w:type="dxa"/>
            <w:vMerge w:val="restart"/>
            <w:tcBorders>
              <w:bottom w:val="nil"/>
            </w:tcBorders>
            <w:vAlign w:val="top"/>
          </w:tcPr>
          <w:p w14:paraId="79E5C6D7">
            <w:pPr>
              <w:pStyle w:val="6"/>
              <w:spacing w:before="263" w:line="231" w:lineRule="auto"/>
              <w:ind w:left="300" w:right="114" w:hanging="180"/>
              <w:rPr>
                <w:sz w:val="18"/>
                <w:szCs w:val="18"/>
              </w:rPr>
            </w:pPr>
            <w:r>
              <w:rPr>
                <w:spacing w:val="-2"/>
                <w:sz w:val="18"/>
                <w:szCs w:val="18"/>
              </w:rPr>
              <w:t>环境监测</w:t>
            </w:r>
            <w:r>
              <w:rPr>
                <w:sz w:val="18"/>
                <w:szCs w:val="18"/>
              </w:rPr>
              <w:t xml:space="preserve"> </w:t>
            </w:r>
            <w:r>
              <w:rPr>
                <w:spacing w:val="-4"/>
                <w:sz w:val="18"/>
                <w:szCs w:val="18"/>
              </w:rPr>
              <w:t>计划</w:t>
            </w:r>
          </w:p>
        </w:tc>
        <w:tc>
          <w:tcPr>
            <w:tcW w:w="1661" w:type="dxa"/>
            <w:vAlign w:val="top"/>
          </w:tcPr>
          <w:p w14:paraId="01685238">
            <w:pPr>
              <w:pStyle w:val="6"/>
              <w:spacing w:before="145" w:line="220" w:lineRule="auto"/>
              <w:ind w:left="385"/>
              <w:rPr>
                <w:sz w:val="18"/>
                <w:szCs w:val="18"/>
              </w:rPr>
            </w:pPr>
            <w:r>
              <w:rPr>
                <w:spacing w:val="-2"/>
                <w:sz w:val="18"/>
                <w:szCs w:val="18"/>
              </w:rPr>
              <w:t>污染源监测</w:t>
            </w:r>
          </w:p>
        </w:tc>
        <w:tc>
          <w:tcPr>
            <w:tcW w:w="2768" w:type="dxa"/>
            <w:gridSpan w:val="8"/>
            <w:vAlign w:val="top"/>
          </w:tcPr>
          <w:p w14:paraId="25A81BB4">
            <w:pPr>
              <w:pStyle w:val="6"/>
              <w:spacing w:before="30" w:line="220" w:lineRule="auto"/>
              <w:jc w:val="right"/>
              <w:rPr>
                <w:sz w:val="18"/>
                <w:szCs w:val="18"/>
              </w:rPr>
            </w:pPr>
            <w:r>
              <w:rPr>
                <w:spacing w:val="-5"/>
                <w:sz w:val="18"/>
                <w:szCs w:val="18"/>
              </w:rPr>
              <w:t>监测因子</w:t>
            </w:r>
            <w:r>
              <w:rPr>
                <w:spacing w:val="-39"/>
                <w:w w:val="82"/>
                <w:sz w:val="18"/>
                <w:szCs w:val="18"/>
              </w:rPr>
              <w:t>：（</w:t>
            </w:r>
            <w:r>
              <w:rPr>
                <w:rFonts w:ascii="Times New Roman" w:hAnsi="Times New Roman" w:eastAsia="Times New Roman" w:cs="Times New Roman"/>
                <w:spacing w:val="-5"/>
                <w:sz w:val="18"/>
                <w:szCs w:val="18"/>
              </w:rPr>
              <w:t>PM</w:t>
            </w:r>
            <w:r>
              <w:rPr>
                <w:rFonts w:ascii="Times New Roman" w:hAnsi="Times New Roman" w:eastAsia="Times New Roman" w:cs="Times New Roman"/>
                <w:spacing w:val="-5"/>
                <w:position w:val="-1"/>
                <w:sz w:val="11"/>
                <w:szCs w:val="11"/>
              </w:rPr>
              <w:t>10</w:t>
            </w:r>
            <w:r>
              <w:rPr>
                <w:spacing w:val="-5"/>
                <w:sz w:val="18"/>
                <w:szCs w:val="18"/>
              </w:rPr>
              <w:t>、</w:t>
            </w:r>
            <w:r>
              <w:rPr>
                <w:rFonts w:ascii="Times New Roman" w:hAnsi="Times New Roman" w:eastAsia="Times New Roman" w:cs="Times New Roman"/>
                <w:spacing w:val="-5"/>
                <w:sz w:val="18"/>
                <w:szCs w:val="18"/>
              </w:rPr>
              <w:t>SO</w:t>
            </w:r>
            <w:r>
              <w:rPr>
                <w:rFonts w:ascii="Times New Roman" w:hAnsi="Times New Roman" w:eastAsia="Times New Roman" w:cs="Times New Roman"/>
                <w:spacing w:val="-5"/>
                <w:position w:val="-1"/>
                <w:sz w:val="11"/>
                <w:szCs w:val="11"/>
              </w:rPr>
              <w:t>2</w:t>
            </w:r>
            <w:r>
              <w:rPr>
                <w:spacing w:val="-16"/>
                <w:w w:val="98"/>
                <w:sz w:val="18"/>
                <w:szCs w:val="18"/>
              </w:rPr>
              <w:t>、</w:t>
            </w:r>
            <w:r>
              <w:rPr>
                <w:rFonts w:ascii="Times New Roman" w:hAnsi="Times New Roman" w:eastAsia="Times New Roman" w:cs="Times New Roman"/>
                <w:spacing w:val="-16"/>
                <w:w w:val="98"/>
                <w:sz w:val="18"/>
                <w:szCs w:val="18"/>
              </w:rPr>
              <w:t>NO</w:t>
            </w:r>
            <w:r>
              <w:rPr>
                <w:rFonts w:ascii="Times New Roman" w:hAnsi="Times New Roman" w:eastAsia="Times New Roman" w:cs="Times New Roman"/>
                <w:spacing w:val="1"/>
                <w:position w:val="-1"/>
                <w:sz w:val="11"/>
                <w:szCs w:val="11"/>
              </w:rPr>
              <w:t>x</w:t>
            </w:r>
            <w:r>
              <w:rPr>
                <w:spacing w:val="-19"/>
                <w:sz w:val="18"/>
                <w:szCs w:val="18"/>
              </w:rPr>
              <w:t>、</w:t>
            </w:r>
            <w:r>
              <w:rPr>
                <w:rFonts w:ascii="Times New Roman" w:hAnsi="Times New Roman" w:eastAsia="Times New Roman" w:cs="Times New Roman"/>
                <w:spacing w:val="-19"/>
                <w:sz w:val="18"/>
                <w:szCs w:val="18"/>
              </w:rPr>
              <w:t>TSP</w:t>
            </w:r>
            <w:r>
              <w:rPr>
                <w:spacing w:val="-19"/>
                <w:sz w:val="18"/>
                <w:szCs w:val="18"/>
              </w:rPr>
              <w:t>、</w:t>
            </w:r>
          </w:p>
          <w:p w14:paraId="7CC6ABBF">
            <w:pPr>
              <w:pStyle w:val="6"/>
              <w:spacing w:before="18" w:line="199" w:lineRule="auto"/>
              <w:ind w:left="1128"/>
              <w:rPr>
                <w:sz w:val="18"/>
                <w:szCs w:val="18"/>
              </w:rPr>
            </w:pPr>
            <w:r>
              <w:rPr>
                <w:rFonts w:ascii="Times New Roman" w:hAnsi="Times New Roman" w:eastAsia="Times New Roman" w:cs="Times New Roman"/>
                <w:sz w:val="18"/>
                <w:szCs w:val="18"/>
              </w:rPr>
              <w:t>NH</w:t>
            </w:r>
            <w:r>
              <w:rPr>
                <w:rFonts w:ascii="Times New Roman" w:hAnsi="Times New Roman" w:eastAsia="Times New Roman" w:cs="Times New Roman"/>
                <w:spacing w:val="1"/>
                <w:position w:val="-1"/>
                <w:sz w:val="11"/>
                <w:szCs w:val="11"/>
              </w:rPr>
              <w:t>3</w:t>
            </w:r>
            <w:r>
              <w:rPr>
                <w:spacing w:val="1"/>
                <w:sz w:val="18"/>
                <w:szCs w:val="18"/>
              </w:rPr>
              <w:t>）</w:t>
            </w:r>
          </w:p>
        </w:tc>
        <w:tc>
          <w:tcPr>
            <w:tcW w:w="2568" w:type="dxa"/>
            <w:gridSpan w:val="7"/>
            <w:vAlign w:val="top"/>
          </w:tcPr>
          <w:p w14:paraId="578AFC6E">
            <w:pPr>
              <w:pStyle w:val="6"/>
              <w:spacing w:line="234" w:lineRule="auto"/>
              <w:ind w:left="566" w:right="556"/>
              <w:rPr>
                <w:rFonts w:ascii="Times New Roman" w:hAnsi="Times New Roman" w:eastAsia="Times New Roman" w:cs="Times New Roman"/>
                <w:sz w:val="18"/>
                <w:szCs w:val="18"/>
              </w:rPr>
            </w:pPr>
            <w:r>
              <w:rPr>
                <w:spacing w:val="-2"/>
                <w:sz w:val="18"/>
                <w:szCs w:val="18"/>
              </w:rPr>
              <w:t xml:space="preserve">有组织废气监测 </w:t>
            </w:r>
            <w:r>
              <w:rPr>
                <w:rFonts w:ascii="Times New Roman" w:hAnsi="Times New Roman" w:eastAsia="Times New Roman" w:cs="Times New Roman"/>
                <w:spacing w:val="-2"/>
                <w:sz w:val="18"/>
                <w:szCs w:val="18"/>
              </w:rPr>
              <w:t>√</w:t>
            </w:r>
            <w:r>
              <w:rPr>
                <w:rFonts w:ascii="Times New Roman" w:hAnsi="Times New Roman" w:eastAsia="Times New Roman" w:cs="Times New Roman"/>
                <w:spacing w:val="7"/>
                <w:sz w:val="18"/>
                <w:szCs w:val="18"/>
              </w:rPr>
              <w:t xml:space="preserve"> </w:t>
            </w:r>
            <w:r>
              <w:rPr>
                <w:spacing w:val="-2"/>
                <w:sz w:val="18"/>
                <w:szCs w:val="18"/>
              </w:rPr>
              <w:t xml:space="preserve">无组织废气监测 </w:t>
            </w:r>
            <w:r>
              <w:rPr>
                <w:rFonts w:ascii="Times New Roman" w:hAnsi="Times New Roman" w:eastAsia="Times New Roman" w:cs="Times New Roman"/>
                <w:spacing w:val="-2"/>
                <w:sz w:val="18"/>
                <w:szCs w:val="18"/>
              </w:rPr>
              <w:t>√</w:t>
            </w:r>
          </w:p>
        </w:tc>
        <w:tc>
          <w:tcPr>
            <w:tcW w:w="1177" w:type="dxa"/>
            <w:gridSpan w:val="2"/>
            <w:vAlign w:val="top"/>
          </w:tcPr>
          <w:p w14:paraId="655978C6">
            <w:pPr>
              <w:pStyle w:val="6"/>
              <w:spacing w:before="145" w:line="220" w:lineRule="auto"/>
              <w:ind w:left="269"/>
              <w:rPr>
                <w:rFonts w:ascii="Times New Roman" w:hAnsi="Times New Roman" w:eastAsia="Times New Roman" w:cs="Times New Roman"/>
                <w:sz w:val="18"/>
                <w:szCs w:val="18"/>
              </w:rPr>
            </w:pPr>
            <w:r>
              <w:rPr>
                <w:spacing w:val="-3"/>
                <w:sz w:val="18"/>
                <w:szCs w:val="18"/>
              </w:rPr>
              <w:t>无监测</w:t>
            </w:r>
            <w:r>
              <w:rPr>
                <w:rFonts w:ascii="Times New Roman" w:hAnsi="Times New Roman" w:eastAsia="Times New Roman" w:cs="Times New Roman"/>
                <w:spacing w:val="-3"/>
                <w:sz w:val="18"/>
                <w:szCs w:val="18"/>
              </w:rPr>
              <w:t>□</w:t>
            </w:r>
          </w:p>
        </w:tc>
      </w:tr>
      <w:tr w14:paraId="5108BE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7" w:hRule="atLeast"/>
        </w:trPr>
        <w:tc>
          <w:tcPr>
            <w:tcW w:w="953" w:type="dxa"/>
            <w:vMerge w:val="continue"/>
            <w:tcBorders>
              <w:top w:val="nil"/>
            </w:tcBorders>
            <w:vAlign w:val="top"/>
          </w:tcPr>
          <w:p w14:paraId="6A45FF9F">
            <w:pPr>
              <w:rPr>
                <w:rFonts w:ascii="Arial"/>
                <w:sz w:val="21"/>
              </w:rPr>
            </w:pPr>
          </w:p>
        </w:tc>
        <w:tc>
          <w:tcPr>
            <w:tcW w:w="1661" w:type="dxa"/>
            <w:vAlign w:val="top"/>
          </w:tcPr>
          <w:p w14:paraId="04B4F049">
            <w:pPr>
              <w:pStyle w:val="6"/>
              <w:spacing w:before="146" w:line="220" w:lineRule="auto"/>
              <w:ind w:left="293"/>
              <w:rPr>
                <w:sz w:val="18"/>
                <w:szCs w:val="18"/>
              </w:rPr>
            </w:pPr>
            <w:r>
              <w:rPr>
                <w:spacing w:val="-2"/>
                <w:sz w:val="18"/>
                <w:szCs w:val="18"/>
              </w:rPr>
              <w:t>环境质量监测</w:t>
            </w:r>
          </w:p>
        </w:tc>
        <w:tc>
          <w:tcPr>
            <w:tcW w:w="2768" w:type="dxa"/>
            <w:gridSpan w:val="8"/>
            <w:vAlign w:val="top"/>
          </w:tcPr>
          <w:p w14:paraId="1BB2C2E2">
            <w:pPr>
              <w:pStyle w:val="6"/>
              <w:spacing w:before="28" w:line="220" w:lineRule="auto"/>
              <w:jc w:val="right"/>
              <w:rPr>
                <w:sz w:val="18"/>
                <w:szCs w:val="18"/>
              </w:rPr>
            </w:pPr>
            <w:r>
              <w:rPr>
                <w:spacing w:val="-4"/>
                <w:sz w:val="18"/>
                <w:szCs w:val="18"/>
              </w:rPr>
              <w:t>监测因子</w:t>
            </w:r>
            <w:r>
              <w:rPr>
                <w:spacing w:val="-21"/>
                <w:sz w:val="18"/>
                <w:szCs w:val="18"/>
              </w:rPr>
              <w:t>：（</w:t>
            </w:r>
            <w:r>
              <w:rPr>
                <w:spacing w:val="-4"/>
                <w:sz w:val="18"/>
                <w:szCs w:val="18"/>
              </w:rPr>
              <w:t>锰及其化合物、</w:t>
            </w:r>
            <w:r>
              <w:rPr>
                <w:rFonts w:ascii="Times New Roman" w:hAnsi="Times New Roman" w:eastAsia="Times New Roman" w:cs="Times New Roman"/>
                <w:spacing w:val="-4"/>
                <w:sz w:val="18"/>
                <w:szCs w:val="18"/>
              </w:rPr>
              <w:t>TSP</w:t>
            </w:r>
            <w:r>
              <w:rPr>
                <w:spacing w:val="-4"/>
                <w:sz w:val="18"/>
                <w:szCs w:val="18"/>
              </w:rPr>
              <w:t>、</w:t>
            </w:r>
          </w:p>
          <w:p w14:paraId="3CC48CC1">
            <w:pPr>
              <w:pStyle w:val="6"/>
              <w:spacing w:before="18" w:line="200" w:lineRule="auto"/>
              <w:ind w:left="622"/>
              <w:rPr>
                <w:sz w:val="18"/>
                <w:szCs w:val="18"/>
              </w:rPr>
            </w:pPr>
            <w:r>
              <w:rPr>
                <w:rFonts w:ascii="Times New Roman" w:hAnsi="Times New Roman" w:eastAsia="Times New Roman" w:cs="Times New Roman"/>
                <w:spacing w:val="-3"/>
                <w:sz w:val="18"/>
                <w:szCs w:val="18"/>
              </w:rPr>
              <w:t>PM</w:t>
            </w:r>
            <w:r>
              <w:rPr>
                <w:rFonts w:ascii="Times New Roman" w:hAnsi="Times New Roman" w:eastAsia="Times New Roman" w:cs="Times New Roman"/>
                <w:spacing w:val="-3"/>
                <w:position w:val="-1"/>
                <w:sz w:val="11"/>
                <w:szCs w:val="11"/>
              </w:rPr>
              <w:t>10</w:t>
            </w:r>
            <w:r>
              <w:rPr>
                <w:rFonts w:ascii="Times New Roman" w:hAnsi="Times New Roman" w:eastAsia="Times New Roman" w:cs="Times New Roman"/>
                <w:spacing w:val="-2"/>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r>
              <w:rPr>
                <w:rFonts w:ascii="Times New Roman" w:hAnsi="Times New Roman" w:eastAsia="Times New Roman" w:cs="Times New Roman"/>
                <w:spacing w:val="-7"/>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NO</w:t>
            </w:r>
            <w:r>
              <w:rPr>
                <w:rFonts w:ascii="Times New Roman" w:hAnsi="Times New Roman" w:eastAsia="Times New Roman" w:cs="Times New Roman"/>
                <w:spacing w:val="-3"/>
                <w:position w:val="-1"/>
                <w:sz w:val="11"/>
                <w:szCs w:val="11"/>
              </w:rPr>
              <w:t>2</w:t>
            </w:r>
            <w:r>
              <w:rPr>
                <w:spacing w:val="-3"/>
                <w:sz w:val="18"/>
                <w:szCs w:val="18"/>
              </w:rPr>
              <w:t>）</w:t>
            </w:r>
          </w:p>
        </w:tc>
        <w:tc>
          <w:tcPr>
            <w:tcW w:w="2568" w:type="dxa"/>
            <w:gridSpan w:val="7"/>
            <w:vAlign w:val="top"/>
          </w:tcPr>
          <w:p w14:paraId="0F3F4800">
            <w:pPr>
              <w:pStyle w:val="6"/>
              <w:spacing w:before="146" w:line="219" w:lineRule="auto"/>
              <w:ind w:left="614"/>
              <w:rPr>
                <w:sz w:val="18"/>
                <w:szCs w:val="18"/>
              </w:rPr>
            </w:pPr>
            <w:r>
              <w:rPr>
                <w:spacing w:val="-1"/>
                <w:sz w:val="18"/>
                <w:szCs w:val="18"/>
              </w:rPr>
              <w:t>监测点位数（</w:t>
            </w:r>
            <w:r>
              <w:rPr>
                <w:rFonts w:ascii="Times New Roman" w:hAnsi="Times New Roman" w:eastAsia="Times New Roman" w:cs="Times New Roman"/>
                <w:spacing w:val="-1"/>
                <w:sz w:val="18"/>
                <w:szCs w:val="18"/>
              </w:rPr>
              <w:t>2</w:t>
            </w:r>
            <w:r>
              <w:rPr>
                <w:spacing w:val="-1"/>
                <w:sz w:val="18"/>
                <w:szCs w:val="18"/>
              </w:rPr>
              <w:t>）</w:t>
            </w:r>
          </w:p>
        </w:tc>
        <w:tc>
          <w:tcPr>
            <w:tcW w:w="1177" w:type="dxa"/>
            <w:gridSpan w:val="2"/>
            <w:vAlign w:val="top"/>
          </w:tcPr>
          <w:p w14:paraId="6D8B8079">
            <w:pPr>
              <w:pStyle w:val="6"/>
              <w:spacing w:before="146" w:line="220" w:lineRule="auto"/>
              <w:ind w:left="269"/>
              <w:rPr>
                <w:rFonts w:ascii="Times New Roman" w:hAnsi="Times New Roman" w:eastAsia="Times New Roman" w:cs="Times New Roman"/>
                <w:sz w:val="18"/>
                <w:szCs w:val="18"/>
              </w:rPr>
            </w:pPr>
            <w:r>
              <w:rPr>
                <w:spacing w:val="-3"/>
                <w:sz w:val="18"/>
                <w:szCs w:val="18"/>
              </w:rPr>
              <w:t>无监测</w:t>
            </w:r>
            <w:r>
              <w:rPr>
                <w:rFonts w:ascii="Times New Roman" w:hAnsi="Times New Roman" w:eastAsia="Times New Roman" w:cs="Times New Roman"/>
                <w:spacing w:val="-3"/>
                <w:sz w:val="18"/>
                <w:szCs w:val="18"/>
              </w:rPr>
              <w:t>□</w:t>
            </w:r>
          </w:p>
        </w:tc>
      </w:tr>
      <w:tr w14:paraId="47EF74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953" w:type="dxa"/>
            <w:vMerge w:val="restart"/>
            <w:tcBorders>
              <w:bottom w:val="nil"/>
            </w:tcBorders>
            <w:vAlign w:val="top"/>
          </w:tcPr>
          <w:p w14:paraId="464640EE">
            <w:pPr>
              <w:spacing w:line="274" w:lineRule="auto"/>
              <w:rPr>
                <w:rFonts w:ascii="Arial"/>
                <w:sz w:val="21"/>
              </w:rPr>
            </w:pPr>
          </w:p>
          <w:p w14:paraId="1043EB87">
            <w:pPr>
              <w:pStyle w:val="6"/>
              <w:spacing w:before="58" w:line="218" w:lineRule="auto"/>
              <w:ind w:left="119"/>
              <w:rPr>
                <w:sz w:val="18"/>
                <w:szCs w:val="18"/>
              </w:rPr>
            </w:pPr>
            <w:r>
              <w:rPr>
                <w:spacing w:val="-2"/>
                <w:sz w:val="18"/>
                <w:szCs w:val="18"/>
              </w:rPr>
              <w:t>评价结论</w:t>
            </w:r>
          </w:p>
        </w:tc>
        <w:tc>
          <w:tcPr>
            <w:tcW w:w="1661" w:type="dxa"/>
            <w:vAlign w:val="top"/>
          </w:tcPr>
          <w:p w14:paraId="3CB7069F">
            <w:pPr>
              <w:pStyle w:val="6"/>
              <w:spacing w:before="51" w:line="220" w:lineRule="auto"/>
              <w:ind w:left="473"/>
              <w:rPr>
                <w:sz w:val="18"/>
                <w:szCs w:val="18"/>
              </w:rPr>
            </w:pPr>
            <w:r>
              <w:rPr>
                <w:spacing w:val="-2"/>
                <w:sz w:val="18"/>
                <w:szCs w:val="18"/>
              </w:rPr>
              <w:t>环境影响</w:t>
            </w:r>
          </w:p>
        </w:tc>
        <w:tc>
          <w:tcPr>
            <w:tcW w:w="6513" w:type="dxa"/>
            <w:gridSpan w:val="17"/>
            <w:vAlign w:val="top"/>
          </w:tcPr>
          <w:p w14:paraId="25AE57CE">
            <w:pPr>
              <w:pStyle w:val="6"/>
              <w:spacing w:before="18" w:line="242" w:lineRule="exact"/>
              <w:ind w:left="2346"/>
              <w:rPr>
                <w:rFonts w:ascii="Times New Roman" w:hAnsi="Times New Roman" w:eastAsia="Times New Roman" w:cs="Times New Roman"/>
                <w:sz w:val="18"/>
                <w:szCs w:val="18"/>
              </w:rPr>
            </w:pPr>
            <w:r>
              <w:rPr>
                <w:spacing w:val="-1"/>
                <w:sz w:val="18"/>
                <w:szCs w:val="18"/>
              </w:rPr>
              <w:t>可以接受</w:t>
            </w:r>
            <w:r>
              <w:rPr>
                <w:rFonts w:ascii="Times New Roman" w:hAnsi="Times New Roman" w:eastAsia="Times New Roman" w:cs="Times New Roman"/>
                <w:spacing w:val="-1"/>
                <w:sz w:val="18"/>
                <w:szCs w:val="18"/>
              </w:rPr>
              <w:t>√</w:t>
            </w:r>
            <w:r>
              <w:rPr>
                <w:spacing w:val="-1"/>
                <w:sz w:val="18"/>
                <w:szCs w:val="18"/>
              </w:rPr>
              <w:t>不可以接受</w:t>
            </w:r>
            <w:r>
              <w:rPr>
                <w:rFonts w:ascii="Times New Roman" w:hAnsi="Times New Roman" w:eastAsia="Times New Roman" w:cs="Times New Roman"/>
                <w:spacing w:val="-1"/>
                <w:sz w:val="18"/>
                <w:szCs w:val="18"/>
              </w:rPr>
              <w:t>□</w:t>
            </w:r>
          </w:p>
        </w:tc>
      </w:tr>
      <w:tr w14:paraId="4A1930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953" w:type="dxa"/>
            <w:vMerge w:val="continue"/>
            <w:tcBorders>
              <w:top w:val="nil"/>
              <w:bottom w:val="nil"/>
            </w:tcBorders>
            <w:vAlign w:val="top"/>
          </w:tcPr>
          <w:p w14:paraId="5A0FD283">
            <w:pPr>
              <w:rPr>
                <w:rFonts w:ascii="Arial"/>
                <w:sz w:val="21"/>
              </w:rPr>
            </w:pPr>
          </w:p>
        </w:tc>
        <w:tc>
          <w:tcPr>
            <w:tcW w:w="1661" w:type="dxa"/>
            <w:vAlign w:val="top"/>
          </w:tcPr>
          <w:p w14:paraId="14DD5D58">
            <w:pPr>
              <w:pStyle w:val="6"/>
              <w:spacing w:before="51" w:line="220" w:lineRule="auto"/>
              <w:ind w:left="115"/>
              <w:rPr>
                <w:sz w:val="18"/>
                <w:szCs w:val="18"/>
              </w:rPr>
            </w:pPr>
            <w:r>
              <w:rPr>
                <w:spacing w:val="-2"/>
                <w:sz w:val="18"/>
                <w:szCs w:val="18"/>
              </w:rPr>
              <w:t>大气环境防护距离</w:t>
            </w:r>
          </w:p>
        </w:tc>
        <w:tc>
          <w:tcPr>
            <w:tcW w:w="6513" w:type="dxa"/>
            <w:gridSpan w:val="17"/>
            <w:vAlign w:val="top"/>
          </w:tcPr>
          <w:p w14:paraId="7FC589B3">
            <w:pPr>
              <w:pStyle w:val="6"/>
              <w:spacing w:before="84" w:line="188" w:lineRule="auto"/>
              <w:ind w:left="2977"/>
              <w:rPr>
                <w:sz w:val="18"/>
                <w:szCs w:val="18"/>
              </w:rPr>
            </w:pPr>
            <w:r>
              <w:rPr>
                <w:rFonts w:ascii="Times New Roman" w:hAnsi="Times New Roman" w:eastAsia="Times New Roman" w:cs="Times New Roman"/>
                <w:sz w:val="18"/>
                <w:szCs w:val="18"/>
              </w:rPr>
              <w:t>PM</w:t>
            </w:r>
            <w:r>
              <w:rPr>
                <w:rFonts w:ascii="Times New Roman" w:hAnsi="Times New Roman" w:eastAsia="Times New Roman" w:cs="Times New Roman"/>
                <w:spacing w:val="1"/>
                <w:sz w:val="11"/>
                <w:szCs w:val="11"/>
              </w:rPr>
              <w:t>10</w:t>
            </w:r>
            <w:r>
              <w:rPr>
                <w:spacing w:val="1"/>
                <w:sz w:val="18"/>
                <w:szCs w:val="18"/>
              </w:rPr>
              <w:t>、</w:t>
            </w:r>
          </w:p>
        </w:tc>
      </w:tr>
      <w:tr w14:paraId="0D3387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953" w:type="dxa"/>
            <w:vMerge w:val="continue"/>
            <w:tcBorders>
              <w:top w:val="nil"/>
            </w:tcBorders>
            <w:vAlign w:val="top"/>
          </w:tcPr>
          <w:p w14:paraId="2B67303C">
            <w:pPr>
              <w:rPr>
                <w:rFonts w:ascii="Arial"/>
                <w:sz w:val="21"/>
              </w:rPr>
            </w:pPr>
          </w:p>
        </w:tc>
        <w:tc>
          <w:tcPr>
            <w:tcW w:w="1661" w:type="dxa"/>
            <w:vAlign w:val="top"/>
          </w:tcPr>
          <w:p w14:paraId="1DE3D94D">
            <w:pPr>
              <w:pStyle w:val="6"/>
              <w:spacing w:before="51" w:line="219" w:lineRule="auto"/>
              <w:ind w:left="205"/>
              <w:rPr>
                <w:sz w:val="18"/>
                <w:szCs w:val="18"/>
              </w:rPr>
            </w:pPr>
            <w:r>
              <w:rPr>
                <w:spacing w:val="-2"/>
                <w:sz w:val="18"/>
                <w:szCs w:val="18"/>
              </w:rPr>
              <w:t>污染源年排放量</w:t>
            </w:r>
          </w:p>
        </w:tc>
        <w:tc>
          <w:tcPr>
            <w:tcW w:w="1593" w:type="dxa"/>
            <w:gridSpan w:val="4"/>
            <w:vAlign w:val="top"/>
          </w:tcPr>
          <w:p w14:paraId="6B0747F8">
            <w:pPr>
              <w:pStyle w:val="6"/>
              <w:spacing w:before="51" w:line="222" w:lineRule="auto"/>
              <w:ind w:left="11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sz w:val="11"/>
                <w:szCs w:val="11"/>
              </w:rPr>
              <w:t>2</w:t>
            </w:r>
            <w:r>
              <w:rPr>
                <w:rFonts w:ascii="Times New Roman" w:hAnsi="Times New Roman" w:eastAsia="Times New Roman" w:cs="Times New Roman"/>
                <w:spacing w:val="-3"/>
                <w:sz w:val="18"/>
                <w:szCs w:val="18"/>
              </w:rPr>
              <w:t>:</w:t>
            </w:r>
            <w:r>
              <w:rPr>
                <w:sz w:val="18"/>
                <w:szCs w:val="18"/>
              </w:rPr>
              <w:t>（</w:t>
            </w:r>
            <w:r>
              <w:rPr>
                <w:rFonts w:ascii="Times New Roman" w:hAnsi="Times New Roman" w:eastAsia="Times New Roman" w:cs="Times New Roman"/>
                <w:sz w:val="18"/>
                <w:szCs w:val="18"/>
              </w:rPr>
              <w:t>109.34</w:t>
            </w:r>
            <w:r>
              <w:rPr>
                <w:sz w:val="18"/>
                <w:szCs w:val="18"/>
              </w:rPr>
              <w:t>）</w:t>
            </w:r>
            <w:r>
              <w:rPr>
                <w:rFonts w:ascii="Times New Roman" w:hAnsi="Times New Roman" w:eastAsia="Times New Roman" w:cs="Times New Roman"/>
                <w:sz w:val="18"/>
                <w:szCs w:val="18"/>
              </w:rPr>
              <w:t>t/a</w:t>
            </w:r>
          </w:p>
        </w:tc>
        <w:tc>
          <w:tcPr>
            <w:tcW w:w="2324" w:type="dxa"/>
            <w:gridSpan w:val="7"/>
            <w:vAlign w:val="top"/>
          </w:tcPr>
          <w:p w14:paraId="7BE3F931">
            <w:pPr>
              <w:pStyle w:val="6"/>
              <w:spacing w:before="51" w:line="222" w:lineRule="auto"/>
              <w:ind w:left="440"/>
              <w:rPr>
                <w:rFonts w:ascii="Times New Roman" w:hAnsi="Times New Roman" w:eastAsia="Times New Roman" w:cs="Times New Roman"/>
                <w:sz w:val="18"/>
                <w:szCs w:val="18"/>
              </w:rPr>
            </w:pPr>
            <w:r>
              <w:rPr>
                <w:rFonts w:ascii="Times New Roman" w:hAnsi="Times New Roman" w:eastAsia="Times New Roman" w:cs="Times New Roman"/>
                <w:sz w:val="18"/>
                <w:szCs w:val="18"/>
              </w:rPr>
              <w:t>NOx:</w:t>
            </w:r>
            <w:r>
              <w:rPr>
                <w:sz w:val="18"/>
                <w:szCs w:val="18"/>
              </w:rPr>
              <w:t>（</w:t>
            </w:r>
            <w:r>
              <w:rPr>
                <w:rFonts w:ascii="Times New Roman" w:hAnsi="Times New Roman" w:eastAsia="Times New Roman" w:cs="Times New Roman"/>
                <w:sz w:val="18"/>
                <w:szCs w:val="18"/>
              </w:rPr>
              <w:t>477.80</w:t>
            </w:r>
            <w:r>
              <w:rPr>
                <w:sz w:val="18"/>
                <w:szCs w:val="18"/>
              </w:rPr>
              <w:t>）</w:t>
            </w:r>
            <w:r>
              <w:rPr>
                <w:rFonts w:ascii="Times New Roman" w:hAnsi="Times New Roman" w:eastAsia="Times New Roman" w:cs="Times New Roman"/>
                <w:sz w:val="18"/>
                <w:szCs w:val="18"/>
              </w:rPr>
              <w:t>t/a</w:t>
            </w:r>
          </w:p>
        </w:tc>
        <w:tc>
          <w:tcPr>
            <w:tcW w:w="2596" w:type="dxa"/>
            <w:gridSpan w:val="6"/>
            <w:vAlign w:val="top"/>
          </w:tcPr>
          <w:p w14:paraId="3F11C05E">
            <w:pPr>
              <w:pStyle w:val="6"/>
              <w:spacing w:before="51" w:line="220" w:lineRule="auto"/>
              <w:ind w:left="534"/>
              <w:rPr>
                <w:rFonts w:ascii="Times New Roman" w:hAnsi="Times New Roman" w:eastAsia="Times New Roman" w:cs="Times New Roman"/>
                <w:sz w:val="18"/>
                <w:szCs w:val="18"/>
              </w:rPr>
            </w:pPr>
            <w:r>
              <w:rPr>
                <w:spacing w:val="-3"/>
                <w:sz w:val="18"/>
                <w:szCs w:val="18"/>
              </w:rPr>
              <w:t>颗粒物</w:t>
            </w:r>
            <w:r>
              <w:rPr>
                <w:rFonts w:ascii="Times New Roman" w:hAnsi="Times New Roman" w:eastAsia="Times New Roman" w:cs="Times New Roman"/>
                <w:spacing w:val="-3"/>
                <w:sz w:val="18"/>
                <w:szCs w:val="18"/>
              </w:rPr>
              <w:t>:</w:t>
            </w:r>
            <w:r>
              <w:rPr>
                <w:spacing w:val="-3"/>
                <w:sz w:val="18"/>
                <w:szCs w:val="18"/>
              </w:rPr>
              <w:t>（</w:t>
            </w:r>
            <w:r>
              <w:rPr>
                <w:rFonts w:ascii="Times New Roman" w:hAnsi="Times New Roman" w:eastAsia="Times New Roman" w:cs="Times New Roman"/>
                <w:spacing w:val="-3"/>
                <w:sz w:val="18"/>
                <w:szCs w:val="18"/>
              </w:rPr>
              <w:t>71.</w:t>
            </w:r>
            <w:r>
              <w:rPr>
                <w:rFonts w:ascii="Times New Roman" w:hAnsi="Times New Roman" w:eastAsia="Times New Roman" w:cs="Times New Roman"/>
                <w:spacing w:val="-11"/>
                <w:sz w:val="18"/>
                <w:szCs w:val="18"/>
              </w:rPr>
              <w:t xml:space="preserve"> </w:t>
            </w:r>
            <w:r>
              <w:rPr>
                <w:rFonts w:ascii="Times New Roman" w:hAnsi="Times New Roman" w:eastAsia="Times New Roman" w:cs="Times New Roman"/>
                <w:spacing w:val="-3"/>
                <w:sz w:val="18"/>
                <w:szCs w:val="18"/>
              </w:rPr>
              <w:t>10</w:t>
            </w:r>
            <w:r>
              <w:rPr>
                <w:spacing w:val="-3"/>
                <w:sz w:val="18"/>
                <w:szCs w:val="18"/>
              </w:rPr>
              <w:t>）</w:t>
            </w:r>
            <w:r>
              <w:rPr>
                <w:rFonts w:ascii="Times New Roman" w:hAnsi="Times New Roman" w:eastAsia="Times New Roman" w:cs="Times New Roman"/>
                <w:spacing w:val="-3"/>
                <w:sz w:val="18"/>
                <w:szCs w:val="18"/>
              </w:rPr>
              <w:t>t/a</w:t>
            </w:r>
          </w:p>
        </w:tc>
      </w:tr>
      <w:tr w14:paraId="02F707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5" w:hRule="atLeast"/>
        </w:trPr>
        <w:tc>
          <w:tcPr>
            <w:tcW w:w="9127" w:type="dxa"/>
            <w:gridSpan w:val="19"/>
            <w:vAlign w:val="top"/>
          </w:tcPr>
          <w:p w14:paraId="4C6388E9">
            <w:pPr>
              <w:pStyle w:val="6"/>
              <w:spacing w:before="16" w:line="243" w:lineRule="exact"/>
              <w:ind w:left="34"/>
              <w:rPr>
                <w:sz w:val="18"/>
                <w:szCs w:val="18"/>
              </w:rPr>
            </w:pPr>
            <w:r>
              <w:rPr>
                <w:spacing w:val="-5"/>
                <w:position w:val="1"/>
                <w:sz w:val="18"/>
                <w:szCs w:val="18"/>
              </w:rPr>
              <w:t>注：</w:t>
            </w:r>
            <w:r>
              <w:rPr>
                <w:rFonts w:ascii="Times New Roman" w:hAnsi="Times New Roman" w:eastAsia="Times New Roman" w:cs="Times New Roman"/>
                <w:spacing w:val="-5"/>
                <w:position w:val="1"/>
                <w:sz w:val="18"/>
                <w:szCs w:val="18"/>
              </w:rPr>
              <w:t>ℼ□”</w:t>
            </w:r>
            <w:r>
              <w:rPr>
                <w:spacing w:val="-5"/>
                <w:position w:val="1"/>
                <w:sz w:val="18"/>
                <w:szCs w:val="18"/>
              </w:rPr>
              <w:t>为勾选项，填</w:t>
            </w:r>
            <w:r>
              <w:rPr>
                <w:rFonts w:ascii="Times New Roman" w:hAnsi="Times New Roman" w:eastAsia="Times New Roman" w:cs="Times New Roman"/>
                <w:spacing w:val="-5"/>
                <w:position w:val="1"/>
                <w:sz w:val="18"/>
                <w:szCs w:val="18"/>
              </w:rPr>
              <w:t>“√”</w:t>
            </w:r>
            <w:r>
              <w:rPr>
                <w:rFonts w:ascii="Times New Roman" w:hAnsi="Times New Roman" w:eastAsia="Times New Roman" w:cs="Times New Roman"/>
                <w:spacing w:val="-11"/>
                <w:position w:val="1"/>
                <w:sz w:val="18"/>
                <w:szCs w:val="18"/>
              </w:rPr>
              <w:t xml:space="preserve"> </w:t>
            </w:r>
            <w:r>
              <w:rPr>
                <w:spacing w:val="-5"/>
                <w:position w:val="1"/>
                <w:sz w:val="18"/>
                <w:szCs w:val="18"/>
              </w:rPr>
              <w:t>;</w:t>
            </w:r>
            <w:r>
              <w:rPr>
                <w:spacing w:val="48"/>
                <w:position w:val="1"/>
                <w:sz w:val="18"/>
                <w:szCs w:val="18"/>
              </w:rPr>
              <w:t xml:space="preserve"> </w:t>
            </w:r>
            <w:r>
              <w:rPr>
                <w:rFonts w:ascii="Times New Roman" w:hAnsi="Times New Roman" w:eastAsia="Times New Roman" w:cs="Times New Roman"/>
                <w:spacing w:val="-5"/>
                <w:position w:val="1"/>
                <w:sz w:val="18"/>
                <w:szCs w:val="18"/>
              </w:rPr>
              <w:t xml:space="preserve">ℼ  </w:t>
            </w:r>
            <w:r>
              <w:rPr>
                <w:spacing w:val="-5"/>
                <w:position w:val="1"/>
                <w:sz w:val="18"/>
                <w:szCs w:val="18"/>
              </w:rPr>
              <w:t>()</w:t>
            </w:r>
            <w:r>
              <w:rPr>
                <w:spacing w:val="18"/>
                <w:position w:val="1"/>
                <w:sz w:val="18"/>
                <w:szCs w:val="18"/>
              </w:rPr>
              <w:t xml:space="preserve"> </w:t>
            </w:r>
            <w:r>
              <w:rPr>
                <w:rFonts w:ascii="Times New Roman" w:hAnsi="Times New Roman" w:eastAsia="Times New Roman" w:cs="Times New Roman"/>
                <w:spacing w:val="-5"/>
                <w:position w:val="1"/>
                <w:sz w:val="18"/>
                <w:szCs w:val="18"/>
              </w:rPr>
              <w:t xml:space="preserve">ℽ  </w:t>
            </w:r>
            <w:r>
              <w:rPr>
                <w:spacing w:val="-5"/>
                <w:position w:val="1"/>
                <w:sz w:val="18"/>
                <w:szCs w:val="18"/>
              </w:rPr>
              <w:t>为内容填写项</w:t>
            </w:r>
          </w:p>
        </w:tc>
      </w:tr>
    </w:tbl>
    <w:p w14:paraId="3798DBA8">
      <w:pPr>
        <w:pStyle w:val="2"/>
      </w:pPr>
    </w:p>
    <w:p w14:paraId="0A78AE22">
      <w:pPr>
        <w:sectPr>
          <w:headerReference r:id="rId299" w:type="default"/>
          <w:footerReference r:id="rId300" w:type="default"/>
          <w:pgSz w:w="11906" w:h="16839"/>
          <w:pgMar w:top="1190" w:right="1387" w:bottom="1427" w:left="1386" w:header="882" w:footer="1265" w:gutter="0"/>
          <w:cols w:space="720" w:num="1"/>
        </w:sectPr>
      </w:pPr>
    </w:p>
    <w:p w14:paraId="7224E342">
      <w:pPr>
        <w:spacing w:line="28" w:lineRule="exact"/>
      </w:pPr>
      <w:r>
        <w:pict>
          <v:shape id="_x0000_s1805" o:spid="_x0000_s1805" style="height:1.45pt;width:453.6pt;" fillcolor="#000000" filled="t" stroked="f" coordsize="9072,29" path="m0,0l9071,0,9071,28,0,28,0,0xe">
            <v:path/>
            <v:fill on="t" focussize="0,0"/>
            <v:stroke on="f"/>
            <v:imagedata o:title=""/>
            <o:lock v:ext="edit"/>
            <w10:wrap type="none"/>
            <w10:anchorlock/>
          </v:shape>
        </w:pict>
      </w:r>
    </w:p>
    <w:p w14:paraId="658F7217">
      <w:pPr>
        <w:spacing w:before="247" w:line="227" w:lineRule="auto"/>
        <w:ind w:left="4"/>
        <w:outlineLvl w:val="1"/>
        <w:rPr>
          <w:rFonts w:ascii="黑体" w:hAnsi="黑体" w:eastAsia="黑体" w:cs="黑体"/>
          <w:sz w:val="31"/>
          <w:szCs w:val="31"/>
        </w:rPr>
      </w:pPr>
      <w:r>
        <w:rPr>
          <w:rFonts w:ascii="Times New Roman" w:hAnsi="Times New Roman" w:eastAsia="Times New Roman" w:cs="Times New Roman"/>
          <w:spacing w:val="8"/>
          <w:sz w:val="31"/>
          <w:szCs w:val="31"/>
        </w:rPr>
        <w:t xml:space="preserve">4.2 </w:t>
      </w:r>
      <w:r>
        <w:rPr>
          <w:rFonts w:ascii="黑体" w:hAnsi="黑体" w:eastAsia="黑体" w:cs="黑体"/>
          <w:spacing w:val="8"/>
          <w:sz w:val="31"/>
          <w:szCs w:val="31"/>
        </w:rPr>
        <w:t>地表水水环境影响分析与评价</w:t>
      </w:r>
    </w:p>
    <w:p w14:paraId="4CBACDCF">
      <w:pPr>
        <w:spacing w:before="232" w:line="220" w:lineRule="auto"/>
        <w:ind w:left="6"/>
        <w:outlineLvl w:val="2"/>
        <w:rPr>
          <w:rFonts w:ascii="宋体" w:hAnsi="宋体" w:eastAsia="宋体" w:cs="宋体"/>
          <w:sz w:val="28"/>
          <w:szCs w:val="28"/>
        </w:rPr>
      </w:pPr>
      <w:bookmarkStart w:id="365" w:name="bookmark198"/>
      <w:bookmarkEnd w:id="365"/>
      <w:bookmarkStart w:id="366" w:name="bookmark200"/>
      <w:bookmarkEnd w:id="366"/>
      <w:r>
        <w:rPr>
          <w:rFonts w:ascii="Times New Roman" w:hAnsi="Times New Roman" w:eastAsia="Times New Roman" w:cs="Times New Roman"/>
          <w:b/>
          <w:bCs/>
          <w:spacing w:val="-2"/>
          <w:sz w:val="28"/>
          <w:szCs w:val="28"/>
        </w:rPr>
        <w:t xml:space="preserve">4.2.1 </w:t>
      </w:r>
      <w:r>
        <w:rPr>
          <w:rFonts w:ascii="宋体" w:hAnsi="宋体" w:eastAsia="宋体" w:cs="宋体"/>
          <w:b/>
          <w:bCs/>
          <w:spacing w:val="-2"/>
          <w:sz w:val="28"/>
          <w:szCs w:val="28"/>
        </w:rPr>
        <w:t>项目用排水情况</w:t>
      </w:r>
    </w:p>
    <w:p w14:paraId="01BA3662">
      <w:pPr>
        <w:spacing w:before="204" w:line="354" w:lineRule="auto"/>
        <w:ind w:left="8" w:firstLine="480"/>
        <w:jc w:val="both"/>
        <w:rPr>
          <w:rFonts w:ascii="宋体" w:hAnsi="宋体" w:eastAsia="宋体" w:cs="宋体"/>
          <w:sz w:val="24"/>
          <w:szCs w:val="24"/>
        </w:rPr>
      </w:pPr>
      <w:r>
        <w:rPr>
          <w:rFonts w:ascii="宋体" w:hAnsi="宋体" w:eastAsia="宋体" w:cs="宋体"/>
          <w:spacing w:val="-2"/>
          <w:sz w:val="24"/>
          <w:szCs w:val="24"/>
        </w:rPr>
        <w:t>本项目生活污水、化验室废水经地埋式一体化污水处理设施处理后，由罐车运至苏</w:t>
      </w:r>
      <w:r>
        <w:rPr>
          <w:rFonts w:ascii="宋体" w:hAnsi="宋体" w:eastAsia="宋体" w:cs="宋体"/>
          <w:spacing w:val="12"/>
          <w:sz w:val="24"/>
          <w:szCs w:val="24"/>
        </w:rPr>
        <w:t xml:space="preserve"> </w:t>
      </w:r>
      <w:r>
        <w:rPr>
          <w:rFonts w:ascii="宋体" w:hAnsi="宋体" w:eastAsia="宋体" w:cs="宋体"/>
          <w:spacing w:val="-2"/>
          <w:sz w:val="24"/>
          <w:szCs w:val="24"/>
        </w:rPr>
        <w:t>尼特右旗赛汉塔拉镇污水处理厂进一步处理；脱硫废水采用三联箱工艺处理后补充到浊</w:t>
      </w:r>
      <w:r>
        <w:rPr>
          <w:rFonts w:ascii="宋体" w:hAnsi="宋体" w:eastAsia="宋体" w:cs="宋体"/>
          <w:spacing w:val="17"/>
          <w:sz w:val="24"/>
          <w:szCs w:val="24"/>
        </w:rPr>
        <w:t xml:space="preserve"> </w:t>
      </w:r>
      <w:r>
        <w:rPr>
          <w:rFonts w:ascii="宋体" w:hAnsi="宋体" w:eastAsia="宋体" w:cs="宋体"/>
          <w:spacing w:val="-2"/>
          <w:sz w:val="24"/>
          <w:szCs w:val="24"/>
        </w:rPr>
        <w:t>循环水系统中；过滤水循环使用；煤气冷凝废水采用隔油池进行隔油处理，出水用作矿</w:t>
      </w:r>
      <w:r>
        <w:rPr>
          <w:rFonts w:ascii="宋体" w:hAnsi="宋体" w:eastAsia="宋体" w:cs="宋体"/>
          <w:spacing w:val="17"/>
          <w:sz w:val="24"/>
          <w:szCs w:val="24"/>
        </w:rPr>
        <w:t xml:space="preserve"> </w:t>
      </w:r>
      <w:r>
        <w:rPr>
          <w:rFonts w:ascii="宋体" w:hAnsi="宋体" w:eastAsia="宋体" w:cs="宋体"/>
          <w:spacing w:val="-6"/>
          <w:sz w:val="24"/>
          <w:szCs w:val="24"/>
        </w:rPr>
        <w:t>热炉开堵眼机堵塞泥制作用水；化水车间排污、余热锅炉排污、辅机冷却循环水站排污、</w:t>
      </w:r>
      <w:r>
        <w:rPr>
          <w:rFonts w:ascii="宋体" w:hAnsi="宋体" w:eastAsia="宋体" w:cs="宋体"/>
          <w:spacing w:val="15"/>
          <w:sz w:val="24"/>
          <w:szCs w:val="24"/>
        </w:rPr>
        <w:t xml:space="preserve"> </w:t>
      </w:r>
      <w:r>
        <w:rPr>
          <w:rFonts w:ascii="宋体" w:hAnsi="宋体" w:eastAsia="宋体" w:cs="宋体"/>
          <w:sz w:val="24"/>
          <w:szCs w:val="24"/>
        </w:rPr>
        <w:t>循环水系统排污及软水制备排污全部作为浊循环水</w:t>
      </w:r>
      <w:r>
        <w:rPr>
          <w:rFonts w:ascii="宋体" w:hAnsi="宋体" w:eastAsia="宋体" w:cs="宋体"/>
          <w:spacing w:val="-1"/>
          <w:sz w:val="24"/>
          <w:szCs w:val="24"/>
        </w:rPr>
        <w:t>系统补充水，均不外排。</w:t>
      </w:r>
    </w:p>
    <w:p w14:paraId="74EBD7F1">
      <w:pPr>
        <w:spacing w:before="41" w:line="220" w:lineRule="auto"/>
        <w:ind w:left="6"/>
        <w:outlineLvl w:val="2"/>
        <w:rPr>
          <w:rFonts w:ascii="宋体" w:hAnsi="宋体" w:eastAsia="宋体" w:cs="宋体"/>
          <w:sz w:val="28"/>
          <w:szCs w:val="28"/>
        </w:rPr>
      </w:pPr>
      <w:bookmarkStart w:id="367" w:name="bookmark202"/>
      <w:bookmarkEnd w:id="367"/>
      <w:r>
        <w:rPr>
          <w:rFonts w:ascii="Times New Roman" w:hAnsi="Times New Roman" w:eastAsia="Times New Roman" w:cs="Times New Roman"/>
          <w:b/>
          <w:bCs/>
          <w:spacing w:val="-2"/>
          <w:sz w:val="28"/>
          <w:szCs w:val="28"/>
        </w:rPr>
        <w:t xml:space="preserve">4.2.2 </w:t>
      </w:r>
      <w:r>
        <w:rPr>
          <w:rFonts w:ascii="宋体" w:hAnsi="宋体" w:eastAsia="宋体" w:cs="宋体"/>
          <w:b/>
          <w:bCs/>
          <w:spacing w:val="-2"/>
          <w:sz w:val="28"/>
          <w:szCs w:val="28"/>
        </w:rPr>
        <w:t>污水处理厂可接纳性分析</w:t>
      </w:r>
    </w:p>
    <w:p w14:paraId="0EE0CB94">
      <w:pPr>
        <w:spacing w:before="204" w:line="355" w:lineRule="auto"/>
        <w:ind w:right="80" w:firstLine="492"/>
        <w:jc w:val="both"/>
        <w:rPr>
          <w:rFonts w:ascii="宋体" w:hAnsi="宋体" w:eastAsia="宋体" w:cs="宋体"/>
          <w:sz w:val="24"/>
          <w:szCs w:val="24"/>
        </w:rPr>
      </w:pPr>
      <w:r>
        <w:rPr>
          <w:rFonts w:ascii="宋体" w:hAnsi="宋体" w:eastAsia="宋体" w:cs="宋体"/>
          <w:spacing w:val="5"/>
          <w:sz w:val="24"/>
          <w:szCs w:val="24"/>
        </w:rPr>
        <w:t>苏尼特右旗赛汉塔拉镇污水处理厂位于内蒙古自治区锡林郭勒盟苏尼特右旗赛汉</w:t>
      </w:r>
      <w:r>
        <w:rPr>
          <w:rFonts w:ascii="宋体" w:hAnsi="宋体" w:eastAsia="宋体" w:cs="宋体"/>
          <w:spacing w:val="1"/>
          <w:sz w:val="24"/>
          <w:szCs w:val="24"/>
        </w:rPr>
        <w:t xml:space="preserve"> </w:t>
      </w:r>
      <w:r>
        <w:rPr>
          <w:rFonts w:ascii="宋体" w:hAnsi="宋体" w:eastAsia="宋体" w:cs="宋体"/>
          <w:spacing w:val="-1"/>
          <w:sz w:val="24"/>
          <w:szCs w:val="24"/>
        </w:rPr>
        <w:t>塔拉镇，该污水处理厂处理规模为</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2</w:t>
      </w:r>
      <w:r>
        <w:rPr>
          <w:rFonts w:ascii="Times New Roman" w:hAnsi="Times New Roman" w:eastAsia="Times New Roman" w:cs="Times New Roman"/>
          <w:spacing w:val="18"/>
          <w:sz w:val="24"/>
          <w:szCs w:val="24"/>
        </w:rPr>
        <w:t xml:space="preserve"> </w:t>
      </w:r>
      <w:r>
        <w:rPr>
          <w:rFonts w:ascii="宋体" w:hAnsi="宋体" w:eastAsia="宋体" w:cs="宋体"/>
          <w:spacing w:val="-1"/>
          <w:sz w:val="24"/>
          <w:szCs w:val="24"/>
        </w:rPr>
        <w:t>万</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/d</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，其中</w:t>
      </w:r>
      <w:r>
        <w:rPr>
          <w:rFonts w:ascii="宋体" w:hAnsi="宋体" w:eastAsia="宋体" w:cs="宋体"/>
          <w:spacing w:val="-29"/>
          <w:sz w:val="24"/>
          <w:szCs w:val="24"/>
        </w:rPr>
        <w:t xml:space="preserve"> </w:t>
      </w:r>
      <w:r>
        <w:rPr>
          <w:rFonts w:ascii="Times New Roman" w:hAnsi="Times New Roman" w:eastAsia="Times New Roman" w:cs="Times New Roman"/>
          <w:spacing w:val="-1"/>
          <w:sz w:val="24"/>
          <w:szCs w:val="24"/>
        </w:rPr>
        <w:t>1</w:t>
      </w:r>
      <w:r>
        <w:rPr>
          <w:rFonts w:ascii="Times New Roman" w:hAnsi="Times New Roman" w:eastAsia="Times New Roman" w:cs="Times New Roman"/>
          <w:spacing w:val="17"/>
          <w:w w:val="101"/>
          <w:sz w:val="24"/>
          <w:szCs w:val="24"/>
        </w:rPr>
        <w:t xml:space="preserve"> </w:t>
      </w:r>
      <w:r>
        <w:rPr>
          <w:rFonts w:ascii="宋体" w:hAnsi="宋体" w:eastAsia="宋体" w:cs="宋体"/>
          <w:spacing w:val="-1"/>
          <w:sz w:val="24"/>
          <w:szCs w:val="24"/>
        </w:rPr>
        <w:t>万</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 xml:space="preserve">/d </w:t>
      </w:r>
      <w:r>
        <w:rPr>
          <w:rFonts w:ascii="宋体" w:hAnsi="宋体" w:eastAsia="宋体" w:cs="宋体"/>
          <w:spacing w:val="-1"/>
          <w:sz w:val="24"/>
          <w:szCs w:val="24"/>
        </w:rPr>
        <w:t>装置处理工艺为粗格栅及</w:t>
      </w:r>
      <w:r>
        <w:rPr>
          <w:rFonts w:ascii="宋体" w:hAnsi="宋体" w:eastAsia="宋体" w:cs="宋体"/>
          <w:sz w:val="24"/>
          <w:szCs w:val="24"/>
        </w:rPr>
        <w:t xml:space="preserve"> </w:t>
      </w:r>
      <w:r>
        <w:rPr>
          <w:rFonts w:ascii="宋体" w:hAnsi="宋体" w:eastAsia="宋体" w:cs="宋体"/>
          <w:spacing w:val="3"/>
          <w:sz w:val="24"/>
          <w:szCs w:val="24"/>
        </w:rPr>
        <w:t>提升泵→细格栅及旋流沉砂池→细格栅及旋流沉砂池→厌氧池</w:t>
      </w:r>
      <w:r>
        <w:rPr>
          <w:rFonts w:ascii="Times New Roman" w:hAnsi="Times New Roman" w:eastAsia="Times New Roman" w:cs="Times New Roman"/>
          <w:spacing w:val="3"/>
          <w:sz w:val="24"/>
          <w:szCs w:val="24"/>
        </w:rPr>
        <w:t>+</w:t>
      </w:r>
      <w:r>
        <w:rPr>
          <w:rFonts w:ascii="宋体" w:hAnsi="宋体" w:eastAsia="宋体" w:cs="宋体"/>
          <w:spacing w:val="3"/>
          <w:sz w:val="24"/>
          <w:szCs w:val="24"/>
        </w:rPr>
        <w:t>缺氧池→</w:t>
      </w:r>
      <w:r>
        <w:rPr>
          <w:rFonts w:ascii="Times New Roman" w:hAnsi="Times New Roman" w:eastAsia="Times New Roman" w:cs="Times New Roman"/>
          <w:sz w:val="24"/>
          <w:szCs w:val="24"/>
        </w:rPr>
        <w:t>CWSBR</w:t>
      </w:r>
      <w:r>
        <w:rPr>
          <w:rFonts w:ascii="Times New Roman" w:hAnsi="Times New Roman" w:eastAsia="Times New Roman" w:cs="Times New Roman"/>
          <w:spacing w:val="3"/>
          <w:sz w:val="24"/>
          <w:szCs w:val="24"/>
        </w:rPr>
        <w:t xml:space="preserve"> </w:t>
      </w:r>
      <w:r>
        <w:rPr>
          <w:rFonts w:ascii="宋体" w:hAnsi="宋体" w:eastAsia="宋体" w:cs="宋体"/>
          <w:spacing w:val="3"/>
          <w:sz w:val="24"/>
          <w:szCs w:val="24"/>
        </w:rPr>
        <w:t>反应</w:t>
      </w:r>
      <w:r>
        <w:rPr>
          <w:rFonts w:ascii="宋体" w:hAnsi="宋体" w:eastAsia="宋体" w:cs="宋体"/>
          <w:spacing w:val="6"/>
          <w:sz w:val="24"/>
          <w:szCs w:val="24"/>
        </w:rPr>
        <w:t xml:space="preserve"> </w:t>
      </w:r>
      <w:r>
        <w:rPr>
          <w:rFonts w:ascii="宋体" w:hAnsi="宋体" w:eastAsia="宋体" w:cs="宋体"/>
          <w:spacing w:val="1"/>
          <w:sz w:val="24"/>
          <w:szCs w:val="24"/>
        </w:rPr>
        <w:t>池→磁混凝沉淀池→反硝化深床滤池→消毒出水，另外</w:t>
      </w:r>
      <w:r>
        <w:rPr>
          <w:rFonts w:ascii="宋体" w:hAnsi="宋体" w:eastAsia="宋体" w:cs="宋体"/>
          <w:spacing w:val="-27"/>
          <w:sz w:val="24"/>
          <w:szCs w:val="24"/>
        </w:rPr>
        <w:t xml:space="preserve"> </w:t>
      </w:r>
      <w:r>
        <w:rPr>
          <w:rFonts w:ascii="Times New Roman" w:hAnsi="Times New Roman" w:eastAsia="Times New Roman" w:cs="Times New Roman"/>
          <w:spacing w:val="1"/>
          <w:sz w:val="24"/>
          <w:szCs w:val="24"/>
        </w:rPr>
        <w:t>1</w:t>
      </w:r>
      <w:r>
        <w:rPr>
          <w:rFonts w:ascii="Times New Roman" w:hAnsi="Times New Roman" w:eastAsia="Times New Roman" w:cs="Times New Roman"/>
          <w:spacing w:val="18"/>
          <w:sz w:val="24"/>
          <w:szCs w:val="24"/>
        </w:rPr>
        <w:t xml:space="preserve"> </w:t>
      </w:r>
      <w:r>
        <w:rPr>
          <w:rFonts w:ascii="宋体" w:hAnsi="宋体" w:eastAsia="宋体" w:cs="宋体"/>
          <w:spacing w:val="1"/>
          <w:sz w:val="24"/>
          <w:szCs w:val="24"/>
        </w:rPr>
        <w:t>万</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d</w:t>
      </w:r>
      <w:r>
        <w:rPr>
          <w:rFonts w:ascii="Times New Roman" w:hAnsi="Times New Roman" w:eastAsia="Times New Roman" w:cs="Times New Roman"/>
          <w:spacing w:val="16"/>
          <w:w w:val="101"/>
          <w:sz w:val="24"/>
          <w:szCs w:val="24"/>
        </w:rPr>
        <w:t xml:space="preserve"> </w:t>
      </w:r>
      <w:r>
        <w:rPr>
          <w:rFonts w:ascii="宋体" w:hAnsi="宋体" w:eastAsia="宋体" w:cs="宋体"/>
          <w:sz w:val="24"/>
          <w:szCs w:val="24"/>
        </w:rPr>
        <w:t xml:space="preserve">处理工艺为工艺：五 </w:t>
      </w:r>
      <w:r>
        <w:rPr>
          <w:rFonts w:ascii="宋体" w:hAnsi="宋体" w:eastAsia="宋体" w:cs="宋体"/>
          <w:spacing w:val="2"/>
          <w:sz w:val="24"/>
          <w:szCs w:val="24"/>
        </w:rPr>
        <w:t>段</w:t>
      </w:r>
      <w:r>
        <w:rPr>
          <w:rFonts w:ascii="宋体" w:hAnsi="宋体" w:eastAsia="宋体" w:cs="宋体"/>
          <w:spacing w:val="-37"/>
          <w:sz w:val="24"/>
          <w:szCs w:val="24"/>
        </w:rPr>
        <w:t xml:space="preserve"> </w:t>
      </w:r>
      <w:r>
        <w:rPr>
          <w:rFonts w:ascii="Times New Roman" w:hAnsi="Times New Roman" w:eastAsia="Times New Roman" w:cs="Times New Roman"/>
          <w:sz w:val="24"/>
          <w:szCs w:val="24"/>
        </w:rPr>
        <w:t>Bardenpho</w:t>
      </w:r>
      <w:r>
        <w:rPr>
          <w:rFonts w:ascii="Times New Roman" w:hAnsi="Times New Roman" w:eastAsia="Times New Roman" w:cs="Times New Roman"/>
          <w:spacing w:val="2"/>
          <w:sz w:val="24"/>
          <w:szCs w:val="24"/>
        </w:rPr>
        <w:t>+</w:t>
      </w:r>
      <w:r>
        <w:rPr>
          <w:rFonts w:ascii="Times New Roman" w:hAnsi="Times New Roman" w:eastAsia="Times New Roman" w:cs="Times New Roman"/>
          <w:sz w:val="24"/>
          <w:szCs w:val="24"/>
        </w:rPr>
        <w:t>MBBR</w:t>
      </w:r>
      <w:r>
        <w:rPr>
          <w:rFonts w:ascii="Times New Roman" w:hAnsi="Times New Roman" w:eastAsia="Times New Roman" w:cs="Times New Roman"/>
          <w:spacing w:val="2"/>
          <w:sz w:val="24"/>
          <w:szCs w:val="24"/>
        </w:rPr>
        <w:t xml:space="preserve"> </w:t>
      </w:r>
      <w:r>
        <w:rPr>
          <w:rFonts w:ascii="宋体" w:hAnsi="宋体" w:eastAsia="宋体" w:cs="宋体"/>
          <w:spacing w:val="2"/>
          <w:sz w:val="24"/>
          <w:szCs w:val="24"/>
        </w:rPr>
        <w:t>工艺</w:t>
      </w:r>
      <w:r>
        <w:rPr>
          <w:rFonts w:ascii="Times New Roman" w:hAnsi="Times New Roman" w:eastAsia="Times New Roman" w:cs="Times New Roman"/>
          <w:spacing w:val="2"/>
          <w:sz w:val="24"/>
          <w:szCs w:val="24"/>
        </w:rPr>
        <w:t>+</w:t>
      </w:r>
      <w:r>
        <w:rPr>
          <w:rFonts w:ascii="宋体" w:hAnsi="宋体" w:eastAsia="宋体" w:cs="宋体"/>
          <w:spacing w:val="2"/>
          <w:sz w:val="24"/>
          <w:szCs w:val="24"/>
        </w:rPr>
        <w:t>二沉池</w:t>
      </w:r>
      <w:r>
        <w:rPr>
          <w:rFonts w:ascii="Times New Roman" w:hAnsi="Times New Roman" w:eastAsia="Times New Roman" w:cs="Times New Roman"/>
          <w:spacing w:val="2"/>
          <w:sz w:val="24"/>
          <w:szCs w:val="24"/>
        </w:rPr>
        <w:t>+</w:t>
      </w:r>
      <w:r>
        <w:rPr>
          <w:rFonts w:ascii="宋体" w:hAnsi="宋体" w:eastAsia="宋体" w:cs="宋体"/>
          <w:spacing w:val="2"/>
          <w:sz w:val="24"/>
          <w:szCs w:val="24"/>
        </w:rPr>
        <w:t>高效沉淀池</w:t>
      </w:r>
      <w:r>
        <w:rPr>
          <w:rFonts w:ascii="Times New Roman" w:hAnsi="Times New Roman" w:eastAsia="Times New Roman" w:cs="Times New Roman"/>
          <w:spacing w:val="2"/>
          <w:sz w:val="24"/>
          <w:szCs w:val="24"/>
        </w:rPr>
        <w:t>+</w:t>
      </w:r>
      <w:r>
        <w:rPr>
          <w:rFonts w:ascii="宋体" w:hAnsi="宋体" w:eastAsia="宋体" w:cs="宋体"/>
          <w:spacing w:val="2"/>
          <w:sz w:val="24"/>
          <w:szCs w:val="24"/>
        </w:rPr>
        <w:t>反硝化滤池</w:t>
      </w:r>
      <w:r>
        <w:rPr>
          <w:rFonts w:ascii="Times New Roman" w:hAnsi="Times New Roman" w:eastAsia="Times New Roman" w:cs="Times New Roman"/>
          <w:spacing w:val="2"/>
          <w:sz w:val="24"/>
          <w:szCs w:val="24"/>
        </w:rPr>
        <w:t>+</w:t>
      </w:r>
      <w:r>
        <w:rPr>
          <w:rFonts w:ascii="宋体" w:hAnsi="宋体" w:eastAsia="宋体" w:cs="宋体"/>
          <w:spacing w:val="2"/>
          <w:sz w:val="24"/>
          <w:szCs w:val="24"/>
        </w:rPr>
        <w:t>纤维转盘滤池工艺，</w:t>
      </w:r>
      <w:r>
        <w:rPr>
          <w:rFonts w:ascii="Times New Roman" w:hAnsi="Times New Roman" w:eastAsia="Times New Roman" w:cs="Times New Roman"/>
          <w:spacing w:val="2"/>
          <w:sz w:val="24"/>
          <w:szCs w:val="24"/>
        </w:rPr>
        <w:t>2</w:t>
      </w:r>
      <w:r>
        <w:rPr>
          <w:rFonts w:ascii="Times New Roman" w:hAnsi="Times New Roman" w:eastAsia="Times New Roman" w:cs="Times New Roman"/>
          <w:spacing w:val="16"/>
          <w:w w:val="101"/>
          <w:sz w:val="24"/>
          <w:szCs w:val="24"/>
        </w:rPr>
        <w:t xml:space="preserve"> </w:t>
      </w:r>
      <w:r>
        <w:rPr>
          <w:rFonts w:ascii="宋体" w:hAnsi="宋体" w:eastAsia="宋体" w:cs="宋体"/>
          <w:spacing w:val="2"/>
          <w:sz w:val="24"/>
          <w:szCs w:val="24"/>
        </w:rPr>
        <w:t>条</w:t>
      </w:r>
      <w:r>
        <w:rPr>
          <w:rFonts w:ascii="宋体" w:hAnsi="宋体" w:eastAsia="宋体" w:cs="宋体"/>
          <w:sz w:val="24"/>
          <w:szCs w:val="24"/>
        </w:rPr>
        <w:t xml:space="preserve"> </w:t>
      </w:r>
      <w:r>
        <w:rPr>
          <w:rFonts w:ascii="宋体" w:hAnsi="宋体" w:eastAsia="宋体" w:cs="宋体"/>
          <w:spacing w:val="-2"/>
          <w:sz w:val="24"/>
          <w:szCs w:val="24"/>
        </w:rPr>
        <w:t>污水处理装置出水水质达到《城镇污水处理厂污染物排放标准</w:t>
      </w:r>
      <w:r>
        <w:rPr>
          <w:rFonts w:ascii="宋体" w:hAnsi="宋体" w:eastAsia="宋体" w:cs="宋体"/>
          <w:spacing w:val="-3"/>
          <w:sz w:val="24"/>
          <w:szCs w:val="24"/>
        </w:rPr>
        <w:t>》（</w:t>
      </w:r>
      <w:r>
        <w:rPr>
          <w:rFonts w:ascii="Times New Roman" w:hAnsi="Times New Roman" w:eastAsia="Times New Roman" w:cs="Times New Roman"/>
          <w:spacing w:val="-3"/>
          <w:sz w:val="24"/>
          <w:szCs w:val="24"/>
        </w:rPr>
        <w:t>GB18918-2002</w:t>
      </w:r>
      <w:r>
        <w:rPr>
          <w:rFonts w:ascii="宋体" w:hAnsi="宋体" w:eastAsia="宋体" w:cs="宋体"/>
          <w:spacing w:val="-3"/>
          <w:sz w:val="24"/>
          <w:szCs w:val="24"/>
        </w:rPr>
        <w:t>）一级</w:t>
      </w:r>
      <w:r>
        <w:rPr>
          <w:rFonts w:ascii="宋体" w:hAnsi="宋体" w:eastAsia="宋体" w:cs="宋体"/>
          <w:sz w:val="24"/>
          <w:szCs w:val="24"/>
        </w:rPr>
        <w:t xml:space="preserve"> </w:t>
      </w:r>
      <w:r>
        <w:rPr>
          <w:rFonts w:ascii="Times New Roman" w:hAnsi="Times New Roman" w:eastAsia="Times New Roman" w:cs="Times New Roman"/>
          <w:spacing w:val="-4"/>
          <w:sz w:val="24"/>
          <w:szCs w:val="24"/>
        </w:rPr>
        <w:t>A</w:t>
      </w:r>
      <w:r>
        <w:rPr>
          <w:rFonts w:ascii="Times New Roman" w:hAnsi="Times New Roman" w:eastAsia="Times New Roman" w:cs="Times New Roman"/>
          <w:spacing w:val="12"/>
          <w:sz w:val="24"/>
          <w:szCs w:val="24"/>
        </w:rPr>
        <w:t xml:space="preserve"> </w:t>
      </w:r>
      <w:r>
        <w:rPr>
          <w:rFonts w:ascii="宋体" w:hAnsi="宋体" w:eastAsia="宋体" w:cs="宋体"/>
          <w:spacing w:val="-4"/>
          <w:sz w:val="24"/>
          <w:szCs w:val="24"/>
        </w:rPr>
        <w:t>标准。</w:t>
      </w:r>
    </w:p>
    <w:p w14:paraId="279A8CCE">
      <w:pPr>
        <w:spacing w:before="37" w:line="354" w:lineRule="auto"/>
        <w:ind w:left="7" w:firstLine="481"/>
        <w:jc w:val="both"/>
        <w:rPr>
          <w:rFonts w:ascii="宋体" w:hAnsi="宋体" w:eastAsia="宋体" w:cs="宋体"/>
          <w:sz w:val="24"/>
          <w:szCs w:val="24"/>
        </w:rPr>
      </w:pPr>
      <w:r>
        <w:rPr>
          <w:rFonts w:ascii="宋体" w:hAnsi="宋体" w:eastAsia="宋体" w:cs="宋体"/>
          <w:spacing w:val="-2"/>
          <w:sz w:val="24"/>
          <w:szCs w:val="24"/>
        </w:rPr>
        <w:t>本项目生活污水主要为职工如厕、洗浴废水，废水水质为常规生活污水水质，化验</w:t>
      </w:r>
      <w:r>
        <w:rPr>
          <w:rFonts w:ascii="宋体" w:hAnsi="宋体" w:eastAsia="宋体" w:cs="宋体"/>
          <w:spacing w:val="12"/>
          <w:sz w:val="24"/>
          <w:szCs w:val="24"/>
        </w:rPr>
        <w:t xml:space="preserve"> </w:t>
      </w:r>
      <w:r>
        <w:rPr>
          <w:rFonts w:ascii="宋体" w:hAnsi="宋体" w:eastAsia="宋体" w:cs="宋体"/>
          <w:spacing w:val="-2"/>
          <w:sz w:val="24"/>
          <w:szCs w:val="24"/>
        </w:rPr>
        <w:t>室废水主要是化验室在日常运行过程中产生一般废水，污染物成分均较为简单，采用一</w:t>
      </w:r>
      <w:r>
        <w:rPr>
          <w:rFonts w:ascii="宋体" w:hAnsi="宋体" w:eastAsia="宋体" w:cs="宋体"/>
          <w:spacing w:val="18"/>
          <w:sz w:val="24"/>
          <w:szCs w:val="24"/>
        </w:rPr>
        <w:t xml:space="preserve"> </w:t>
      </w:r>
      <w:r>
        <w:rPr>
          <w:rFonts w:ascii="宋体" w:hAnsi="宋体" w:eastAsia="宋体" w:cs="宋体"/>
          <w:spacing w:val="-1"/>
          <w:sz w:val="24"/>
          <w:szCs w:val="24"/>
        </w:rPr>
        <w:t>体化污水处理设施处理后水质可达到《铁合金工业污染物排放标准》（</w:t>
      </w:r>
      <w:r>
        <w:rPr>
          <w:rFonts w:ascii="Times New Roman" w:hAnsi="Times New Roman" w:eastAsia="Times New Roman" w:cs="Times New Roman"/>
          <w:spacing w:val="-1"/>
          <w:sz w:val="24"/>
          <w:szCs w:val="24"/>
        </w:rPr>
        <w:t>GB28666-2012</w:t>
      </w:r>
      <w:r>
        <w:rPr>
          <w:rFonts w:ascii="宋体" w:hAnsi="宋体" w:eastAsia="宋体" w:cs="宋体"/>
          <w:spacing w:val="-1"/>
          <w:sz w:val="24"/>
          <w:szCs w:val="24"/>
        </w:rPr>
        <w:t>）</w:t>
      </w:r>
      <w:r>
        <w:rPr>
          <w:rFonts w:ascii="宋体" w:hAnsi="宋体" w:eastAsia="宋体" w:cs="宋体"/>
          <w:spacing w:val="13"/>
          <w:sz w:val="24"/>
          <w:szCs w:val="24"/>
        </w:rPr>
        <w:t xml:space="preserve"> </w:t>
      </w:r>
      <w:r>
        <w:rPr>
          <w:rFonts w:ascii="宋体" w:hAnsi="宋体" w:eastAsia="宋体" w:cs="宋体"/>
          <w:spacing w:val="-2"/>
          <w:sz w:val="24"/>
          <w:szCs w:val="24"/>
        </w:rPr>
        <w:t>表</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中间接排放标准，满足苏尼特右旗赛汉</w:t>
      </w:r>
      <w:r>
        <w:rPr>
          <w:rFonts w:ascii="宋体" w:hAnsi="宋体" w:eastAsia="宋体" w:cs="宋体"/>
          <w:spacing w:val="-3"/>
          <w:sz w:val="24"/>
          <w:szCs w:val="24"/>
        </w:rPr>
        <w:t>塔拉镇污水处理厂一般废水处理废水接收标</w:t>
      </w:r>
      <w:r>
        <w:rPr>
          <w:rFonts w:ascii="宋体" w:hAnsi="宋体" w:eastAsia="宋体" w:cs="宋体"/>
          <w:sz w:val="24"/>
          <w:szCs w:val="24"/>
        </w:rPr>
        <w:t xml:space="preserve"> </w:t>
      </w:r>
      <w:r>
        <w:rPr>
          <w:rFonts w:ascii="宋体" w:hAnsi="宋体" w:eastAsia="宋体" w:cs="宋体"/>
          <w:spacing w:val="-5"/>
          <w:sz w:val="24"/>
          <w:szCs w:val="24"/>
        </w:rPr>
        <w:t>准。</w:t>
      </w:r>
    </w:p>
    <w:p w14:paraId="1581C8C3">
      <w:pPr>
        <w:spacing w:before="33" w:line="345" w:lineRule="auto"/>
        <w:ind w:left="8" w:right="72" w:firstLine="480"/>
        <w:rPr>
          <w:rFonts w:ascii="宋体" w:hAnsi="宋体" w:eastAsia="宋体" w:cs="宋体"/>
          <w:sz w:val="24"/>
          <w:szCs w:val="24"/>
        </w:rPr>
      </w:pPr>
      <w:r>
        <w:rPr>
          <w:rFonts w:ascii="宋体" w:hAnsi="宋体" w:eastAsia="宋体" w:cs="宋体"/>
          <w:spacing w:val="-2"/>
          <w:sz w:val="24"/>
          <w:szCs w:val="24"/>
        </w:rPr>
        <w:t>本项目生活污水及化验室废水产生量为</w:t>
      </w:r>
      <w:r>
        <w:rPr>
          <w:rFonts w:ascii="宋体" w:hAnsi="宋体" w:eastAsia="宋体" w:cs="宋体"/>
          <w:spacing w:val="-21"/>
          <w:sz w:val="24"/>
          <w:szCs w:val="24"/>
        </w:rPr>
        <w:t xml:space="preserve"> </w:t>
      </w:r>
      <w:r>
        <w:rPr>
          <w:rFonts w:ascii="Times New Roman" w:hAnsi="Times New Roman" w:eastAsia="Times New Roman" w:cs="Times New Roman"/>
          <w:spacing w:val="-2"/>
          <w:sz w:val="24"/>
          <w:szCs w:val="24"/>
        </w:rPr>
        <w:t>11560.0m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/a</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，每次拉运量为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30m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7"/>
          <w:position w:val="8"/>
          <w:sz w:val="15"/>
          <w:szCs w:val="15"/>
        </w:rPr>
        <w:t xml:space="preserve"> </w:t>
      </w:r>
      <w:r>
        <w:rPr>
          <w:rFonts w:ascii="宋体" w:hAnsi="宋体" w:eastAsia="宋体" w:cs="宋体"/>
          <w:spacing w:val="-2"/>
          <w:sz w:val="24"/>
          <w:szCs w:val="24"/>
        </w:rPr>
        <w:t>，每年拉</w:t>
      </w:r>
      <w:r>
        <w:rPr>
          <w:rFonts w:ascii="宋体" w:hAnsi="宋体" w:eastAsia="宋体" w:cs="宋体"/>
          <w:sz w:val="24"/>
          <w:szCs w:val="24"/>
        </w:rPr>
        <w:t xml:space="preserve"> </w:t>
      </w:r>
      <w:r>
        <w:rPr>
          <w:rFonts w:ascii="宋体" w:hAnsi="宋体" w:eastAsia="宋体" w:cs="宋体"/>
          <w:spacing w:val="-2"/>
          <w:sz w:val="24"/>
          <w:szCs w:val="24"/>
        </w:rPr>
        <w:t>运</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386</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次，苏尼特右旗赛汉塔拉镇污水处理厂剩余余量可满足本项目生活污水的处理。</w:t>
      </w:r>
    </w:p>
    <w:p w14:paraId="1186049D">
      <w:pPr>
        <w:spacing w:before="42" w:line="219" w:lineRule="auto"/>
        <w:ind w:left="6"/>
        <w:outlineLvl w:val="2"/>
        <w:rPr>
          <w:rFonts w:ascii="宋体" w:hAnsi="宋体" w:eastAsia="宋体" w:cs="宋体"/>
          <w:sz w:val="28"/>
          <w:szCs w:val="28"/>
        </w:rPr>
      </w:pPr>
      <w:bookmarkStart w:id="368" w:name="bookmark204"/>
      <w:bookmarkEnd w:id="368"/>
      <w:r>
        <w:rPr>
          <w:rFonts w:ascii="Times New Roman" w:hAnsi="Times New Roman" w:eastAsia="Times New Roman" w:cs="Times New Roman"/>
          <w:b/>
          <w:bCs/>
          <w:spacing w:val="-2"/>
          <w:sz w:val="28"/>
          <w:szCs w:val="28"/>
        </w:rPr>
        <w:t xml:space="preserve">4.2.3 </w:t>
      </w:r>
      <w:r>
        <w:rPr>
          <w:rFonts w:ascii="宋体" w:hAnsi="宋体" w:eastAsia="宋体" w:cs="宋体"/>
          <w:b/>
          <w:bCs/>
          <w:spacing w:val="-2"/>
          <w:sz w:val="28"/>
          <w:szCs w:val="28"/>
        </w:rPr>
        <w:t>地表水环境影响评价</w:t>
      </w:r>
    </w:p>
    <w:p w14:paraId="51BF5346">
      <w:pPr>
        <w:spacing w:before="207" w:line="354" w:lineRule="auto"/>
        <w:ind w:left="8" w:firstLine="480"/>
        <w:jc w:val="both"/>
        <w:rPr>
          <w:rFonts w:ascii="宋体" w:hAnsi="宋体" w:eastAsia="宋体" w:cs="宋体"/>
          <w:sz w:val="24"/>
          <w:szCs w:val="24"/>
        </w:rPr>
      </w:pPr>
      <w:r>
        <w:rPr>
          <w:rFonts w:ascii="宋体" w:hAnsi="宋体" w:eastAsia="宋体" w:cs="宋体"/>
          <w:spacing w:val="-2"/>
          <w:sz w:val="24"/>
          <w:szCs w:val="24"/>
        </w:rPr>
        <w:t>本项目生活污水、化验室废水经地埋式一体化污水处理设施处理后，由罐车运至苏</w:t>
      </w:r>
      <w:r>
        <w:rPr>
          <w:rFonts w:ascii="宋体" w:hAnsi="宋体" w:eastAsia="宋体" w:cs="宋体"/>
          <w:spacing w:val="12"/>
          <w:sz w:val="24"/>
          <w:szCs w:val="24"/>
        </w:rPr>
        <w:t xml:space="preserve"> </w:t>
      </w:r>
      <w:r>
        <w:rPr>
          <w:rFonts w:ascii="宋体" w:hAnsi="宋体" w:eastAsia="宋体" w:cs="宋体"/>
          <w:spacing w:val="-2"/>
          <w:sz w:val="24"/>
          <w:szCs w:val="24"/>
        </w:rPr>
        <w:t>尼特右旗赛汉塔拉镇污水处理厂进一步处理；脱硫废水采用三联箱工艺处理后补充到浊</w:t>
      </w:r>
      <w:r>
        <w:rPr>
          <w:rFonts w:ascii="宋体" w:hAnsi="宋体" w:eastAsia="宋体" w:cs="宋体"/>
          <w:spacing w:val="17"/>
          <w:sz w:val="24"/>
          <w:szCs w:val="24"/>
        </w:rPr>
        <w:t xml:space="preserve"> </w:t>
      </w:r>
      <w:r>
        <w:rPr>
          <w:rFonts w:ascii="宋体" w:hAnsi="宋体" w:eastAsia="宋体" w:cs="宋体"/>
          <w:spacing w:val="-2"/>
          <w:sz w:val="24"/>
          <w:szCs w:val="24"/>
        </w:rPr>
        <w:t>循环水系统中；过滤水循环使用；煤气冷凝废水采用隔油池进行隔油处理，出水用作矿</w:t>
      </w:r>
      <w:r>
        <w:rPr>
          <w:rFonts w:ascii="宋体" w:hAnsi="宋体" w:eastAsia="宋体" w:cs="宋体"/>
          <w:spacing w:val="17"/>
          <w:sz w:val="24"/>
          <w:szCs w:val="24"/>
        </w:rPr>
        <w:t xml:space="preserve"> </w:t>
      </w:r>
      <w:r>
        <w:rPr>
          <w:rFonts w:ascii="宋体" w:hAnsi="宋体" w:eastAsia="宋体" w:cs="宋体"/>
          <w:spacing w:val="-6"/>
          <w:sz w:val="24"/>
          <w:szCs w:val="24"/>
        </w:rPr>
        <w:t>热炉开堵眼机堵塞泥制作用水；化水车间排污、余热锅炉排污、辅机冷却循环水站排污、</w:t>
      </w:r>
      <w:r>
        <w:rPr>
          <w:rFonts w:ascii="宋体" w:hAnsi="宋体" w:eastAsia="宋体" w:cs="宋体"/>
          <w:spacing w:val="15"/>
          <w:sz w:val="24"/>
          <w:szCs w:val="24"/>
        </w:rPr>
        <w:t xml:space="preserve"> </w:t>
      </w:r>
      <w:r>
        <w:rPr>
          <w:rFonts w:ascii="宋体" w:hAnsi="宋体" w:eastAsia="宋体" w:cs="宋体"/>
          <w:sz w:val="24"/>
          <w:szCs w:val="24"/>
        </w:rPr>
        <w:t>循环水系统排污及软水制备排污全部作为浊循环水</w:t>
      </w:r>
      <w:r>
        <w:rPr>
          <w:rFonts w:ascii="宋体" w:hAnsi="宋体" w:eastAsia="宋体" w:cs="宋体"/>
          <w:spacing w:val="-1"/>
          <w:sz w:val="24"/>
          <w:szCs w:val="24"/>
        </w:rPr>
        <w:t>系统补充水，均不外排。</w:t>
      </w:r>
    </w:p>
    <w:p w14:paraId="4B452A8D">
      <w:pPr>
        <w:spacing w:before="35" w:line="219" w:lineRule="auto"/>
        <w:ind w:left="491"/>
        <w:rPr>
          <w:rFonts w:ascii="宋体" w:hAnsi="宋体" w:eastAsia="宋体" w:cs="宋体"/>
          <w:sz w:val="24"/>
          <w:szCs w:val="24"/>
        </w:rPr>
      </w:pPr>
      <w:r>
        <w:rPr>
          <w:rFonts w:ascii="宋体" w:hAnsi="宋体" w:eastAsia="宋体" w:cs="宋体"/>
          <w:spacing w:val="-2"/>
          <w:sz w:val="24"/>
          <w:szCs w:val="24"/>
        </w:rPr>
        <w:t>为了保证事故情况下，消防事故废水不会对土壤及水环境产生影响，厂内</w:t>
      </w:r>
      <w:r>
        <w:rPr>
          <w:rFonts w:ascii="宋体" w:hAnsi="宋体" w:eastAsia="宋体" w:cs="宋体"/>
          <w:spacing w:val="-3"/>
          <w:sz w:val="24"/>
          <w:szCs w:val="24"/>
        </w:rPr>
        <w:t>新建</w:t>
      </w:r>
      <w:r>
        <w:rPr>
          <w:rFonts w:ascii="宋体" w:hAnsi="宋体" w:eastAsia="宋体" w:cs="宋体"/>
          <w:spacing w:val="-31"/>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座</w:t>
      </w:r>
    </w:p>
    <w:p w14:paraId="5B2EE215">
      <w:pPr>
        <w:spacing w:line="219" w:lineRule="auto"/>
        <w:rPr>
          <w:rFonts w:ascii="宋体" w:hAnsi="宋体" w:eastAsia="宋体" w:cs="宋体"/>
          <w:sz w:val="24"/>
          <w:szCs w:val="24"/>
        </w:rPr>
        <w:sectPr>
          <w:headerReference r:id="rId301" w:type="default"/>
          <w:footerReference r:id="rId302" w:type="default"/>
          <w:pgSz w:w="11905" w:h="16839"/>
          <w:pgMar w:top="1190" w:right="1336" w:bottom="1427" w:left="1417" w:header="882" w:footer="1265" w:gutter="0"/>
          <w:cols w:space="720" w:num="1"/>
        </w:sectPr>
      </w:pPr>
    </w:p>
    <w:p w14:paraId="2E6F3BD9">
      <w:pPr>
        <w:spacing w:line="28" w:lineRule="exact"/>
        <w:ind w:firstLine="28"/>
      </w:pPr>
      <w:r>
        <w:pict>
          <v:shape id="_x0000_s1806" o:spid="_x0000_s1806" style="height:1.45pt;width:453.6pt;" fillcolor="#000000" filled="t" stroked="f" coordsize="9072,29" path="m0,0l9071,0,9071,28,0,28,0,0xe">
            <v:path/>
            <v:fill on="t" focussize="0,0"/>
            <v:stroke on="f"/>
            <v:imagedata o:title=""/>
            <o:lock v:ext="edit"/>
            <w10:wrap type="none"/>
            <w10:anchorlock/>
          </v:shape>
        </w:pict>
      </w:r>
    </w:p>
    <w:p w14:paraId="2F51AAA7">
      <w:pPr>
        <w:spacing w:before="234" w:line="352" w:lineRule="auto"/>
        <w:ind w:left="36"/>
        <w:jc w:val="both"/>
        <w:rPr>
          <w:rFonts w:ascii="宋体" w:hAnsi="宋体" w:eastAsia="宋体" w:cs="宋体"/>
          <w:sz w:val="24"/>
          <w:szCs w:val="24"/>
        </w:rPr>
      </w:pPr>
      <w:r>
        <w:rPr>
          <w:rFonts w:ascii="Times New Roman" w:hAnsi="Times New Roman" w:eastAsia="Times New Roman" w:cs="Times New Roman"/>
          <w:spacing w:val="-2"/>
          <w:sz w:val="24"/>
          <w:szCs w:val="24"/>
        </w:rPr>
        <w:t>3200m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15"/>
          <w:w w:val="102"/>
          <w:position w:val="8"/>
          <w:sz w:val="15"/>
          <w:szCs w:val="15"/>
        </w:rPr>
        <w:t xml:space="preserve"> </w:t>
      </w:r>
      <w:r>
        <w:rPr>
          <w:rFonts w:ascii="宋体" w:hAnsi="宋体" w:eastAsia="宋体" w:cs="宋体"/>
          <w:spacing w:val="-2"/>
          <w:sz w:val="24"/>
          <w:szCs w:val="24"/>
        </w:rPr>
        <w:t>事故水池。水池为钢混结构，池体及池底部进行防渗处理，保证其防渗要求为，</w:t>
      </w:r>
      <w:r>
        <w:rPr>
          <w:rFonts w:ascii="宋体" w:hAnsi="宋体" w:eastAsia="宋体" w:cs="宋体"/>
          <w:sz w:val="24"/>
          <w:szCs w:val="24"/>
        </w:rPr>
        <w:t xml:space="preserve"> 厚度不小于</w:t>
      </w:r>
      <w:r>
        <w:rPr>
          <w:rFonts w:ascii="宋体" w:hAnsi="宋体" w:eastAsia="宋体" w:cs="宋体"/>
          <w:spacing w:val="-27"/>
          <w:sz w:val="24"/>
          <w:szCs w:val="24"/>
        </w:rPr>
        <w:t xml:space="preserve"> </w:t>
      </w:r>
      <w:r>
        <w:rPr>
          <w:rFonts w:ascii="Times New Roman" w:hAnsi="Times New Roman" w:eastAsia="Times New Roman" w:cs="Times New Roman"/>
          <w:sz w:val="24"/>
          <w:szCs w:val="24"/>
        </w:rPr>
        <w:t>6m</w:t>
      </w:r>
      <w:r>
        <w:rPr>
          <w:rFonts w:ascii="Times New Roman" w:hAnsi="Times New Roman" w:eastAsia="Times New Roman" w:cs="Times New Roman"/>
          <w:spacing w:val="-25"/>
          <w:sz w:val="24"/>
          <w:szCs w:val="24"/>
        </w:rPr>
        <w:t xml:space="preserve"> </w:t>
      </w:r>
      <w:r>
        <w:rPr>
          <w:rFonts w:ascii="宋体" w:hAnsi="宋体" w:eastAsia="宋体" w:cs="宋体"/>
          <w:sz w:val="24"/>
          <w:szCs w:val="24"/>
        </w:rPr>
        <w:t>，防渗系数不大于</w:t>
      </w:r>
      <w:r>
        <w:rPr>
          <w:rFonts w:ascii="宋体" w:hAnsi="宋体" w:eastAsia="宋体" w:cs="宋体"/>
          <w:spacing w:val="-23"/>
          <w:sz w:val="24"/>
          <w:szCs w:val="24"/>
        </w:rPr>
        <w:t xml:space="preserve"> </w:t>
      </w:r>
      <w:r>
        <w:rPr>
          <w:rFonts w:ascii="Times New Roman" w:hAnsi="Times New Roman" w:eastAsia="Times New Roman" w:cs="Times New Roman"/>
          <w:sz w:val="24"/>
          <w:szCs w:val="24"/>
        </w:rPr>
        <w:t>1×10</w:t>
      </w:r>
      <w:r>
        <w:rPr>
          <w:rFonts w:ascii="Times New Roman" w:hAnsi="Times New Roman" w:eastAsia="Times New Roman" w:cs="Times New Roman"/>
          <w:position w:val="8"/>
          <w:sz w:val="15"/>
          <w:szCs w:val="15"/>
        </w:rPr>
        <w:t xml:space="preserve">-7  </w:t>
      </w:r>
      <w:r>
        <w:rPr>
          <w:rFonts w:ascii="宋体" w:hAnsi="宋体" w:eastAsia="宋体" w:cs="宋体"/>
          <w:sz w:val="24"/>
          <w:szCs w:val="24"/>
        </w:rPr>
        <w:t>的等效黏土防渗层。厂区内设置</w:t>
      </w:r>
      <w:r>
        <w:rPr>
          <w:rFonts w:ascii="宋体" w:hAnsi="宋体" w:eastAsia="宋体" w:cs="宋体"/>
          <w:spacing w:val="-24"/>
          <w:sz w:val="24"/>
          <w:szCs w:val="24"/>
        </w:rPr>
        <w:t xml:space="preserve"> </w:t>
      </w:r>
      <w:r>
        <w:rPr>
          <w:rFonts w:ascii="Times New Roman" w:hAnsi="Times New Roman" w:eastAsia="Times New Roman" w:cs="Times New Roman"/>
          <w:sz w:val="24"/>
          <w:szCs w:val="24"/>
        </w:rPr>
        <w:t>1</w:t>
      </w:r>
      <w:r>
        <w:rPr>
          <w:rFonts w:ascii="Times New Roman" w:hAnsi="Times New Roman" w:eastAsia="Times New Roman" w:cs="Times New Roman"/>
          <w:spacing w:val="18"/>
          <w:w w:val="101"/>
          <w:sz w:val="24"/>
          <w:szCs w:val="24"/>
        </w:rPr>
        <w:t xml:space="preserve"> </w:t>
      </w:r>
      <w:r>
        <w:rPr>
          <w:rFonts w:ascii="宋体" w:hAnsi="宋体" w:eastAsia="宋体" w:cs="宋体"/>
          <w:sz w:val="24"/>
          <w:szCs w:val="24"/>
        </w:rPr>
        <w:t>座</w:t>
      </w:r>
      <w:r>
        <w:rPr>
          <w:rFonts w:ascii="宋体" w:hAnsi="宋体" w:eastAsia="宋体" w:cs="宋体"/>
          <w:spacing w:val="-43"/>
          <w:sz w:val="24"/>
          <w:szCs w:val="24"/>
        </w:rPr>
        <w:t xml:space="preserve"> </w:t>
      </w:r>
      <w:r>
        <w:rPr>
          <w:rFonts w:ascii="Times New Roman" w:hAnsi="Times New Roman" w:eastAsia="Times New Roman" w:cs="Times New Roman"/>
          <w:sz w:val="24"/>
          <w:szCs w:val="24"/>
        </w:rPr>
        <w:t>3200m</w:t>
      </w:r>
      <w:r>
        <w:rPr>
          <w:rFonts w:ascii="Times New Roman" w:hAnsi="Times New Roman" w:eastAsia="Times New Roman" w:cs="Times New Roman"/>
          <w:position w:val="8"/>
          <w:sz w:val="15"/>
          <w:szCs w:val="15"/>
        </w:rPr>
        <w:t xml:space="preserve">3  </w:t>
      </w:r>
      <w:r>
        <w:rPr>
          <w:rFonts w:ascii="宋体" w:hAnsi="宋体" w:eastAsia="宋体" w:cs="宋体"/>
          <w:spacing w:val="-3"/>
          <w:sz w:val="24"/>
          <w:szCs w:val="24"/>
        </w:rPr>
        <w:t>事故水池可以满足厂区</w:t>
      </w:r>
      <w:r>
        <w:rPr>
          <w:rFonts w:ascii="宋体" w:hAnsi="宋体" w:eastAsia="宋体" w:cs="宋体"/>
          <w:spacing w:val="-21"/>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16"/>
          <w:w w:val="101"/>
          <w:sz w:val="24"/>
          <w:szCs w:val="24"/>
        </w:rPr>
        <w:t xml:space="preserve"> </w:t>
      </w:r>
      <w:r>
        <w:rPr>
          <w:rFonts w:ascii="宋体" w:hAnsi="宋体" w:eastAsia="宋体" w:cs="宋体"/>
          <w:spacing w:val="-3"/>
          <w:sz w:val="24"/>
          <w:szCs w:val="24"/>
        </w:rPr>
        <w:t>次消防事故水水量的要求，消防事故废水经收集沉淀后，补充</w:t>
      </w:r>
      <w:r>
        <w:rPr>
          <w:rFonts w:ascii="宋体" w:hAnsi="宋体" w:eastAsia="宋体" w:cs="宋体"/>
          <w:sz w:val="24"/>
          <w:szCs w:val="24"/>
        </w:rPr>
        <w:t xml:space="preserve"> </w:t>
      </w:r>
      <w:r>
        <w:rPr>
          <w:rFonts w:ascii="宋体" w:hAnsi="宋体" w:eastAsia="宋体" w:cs="宋体"/>
          <w:spacing w:val="-1"/>
          <w:sz w:val="24"/>
          <w:szCs w:val="24"/>
        </w:rPr>
        <w:t>到浊循环水系统，不外排。</w:t>
      </w:r>
    </w:p>
    <w:p w14:paraId="4F1D1287">
      <w:pPr>
        <w:spacing w:before="35" w:line="216" w:lineRule="auto"/>
        <w:ind w:left="535"/>
        <w:rPr>
          <w:rFonts w:ascii="宋体" w:hAnsi="宋体" w:eastAsia="宋体" w:cs="宋体"/>
          <w:sz w:val="24"/>
          <w:szCs w:val="24"/>
        </w:rPr>
      </w:pPr>
      <w:r>
        <w:rPr>
          <w:rFonts w:ascii="宋体" w:hAnsi="宋体" w:eastAsia="宋体" w:cs="宋体"/>
          <w:spacing w:val="-1"/>
          <w:sz w:val="24"/>
          <w:szCs w:val="24"/>
        </w:rPr>
        <w:t>因此本项目的废水不会对当地水体环境造成直接的、大的影</w:t>
      </w:r>
      <w:r>
        <w:rPr>
          <w:rFonts w:ascii="宋体" w:hAnsi="宋体" w:eastAsia="宋体" w:cs="宋体"/>
          <w:spacing w:val="-2"/>
          <w:sz w:val="24"/>
          <w:szCs w:val="24"/>
        </w:rPr>
        <w:t>响。</w:t>
      </w:r>
    </w:p>
    <w:p w14:paraId="055A5A56">
      <w:pPr>
        <w:spacing w:before="190" w:line="219" w:lineRule="auto"/>
        <w:ind w:left="34"/>
        <w:outlineLvl w:val="2"/>
        <w:rPr>
          <w:rFonts w:ascii="宋体" w:hAnsi="宋体" w:eastAsia="宋体" w:cs="宋体"/>
          <w:sz w:val="28"/>
          <w:szCs w:val="28"/>
        </w:rPr>
      </w:pPr>
      <w:bookmarkStart w:id="369" w:name="bookmark206"/>
      <w:bookmarkEnd w:id="369"/>
      <w:r>
        <w:rPr>
          <w:rFonts w:ascii="Times New Roman" w:hAnsi="Times New Roman" w:eastAsia="Times New Roman" w:cs="Times New Roman"/>
          <w:b/>
          <w:bCs/>
          <w:spacing w:val="-2"/>
          <w:sz w:val="28"/>
          <w:szCs w:val="28"/>
        </w:rPr>
        <w:t xml:space="preserve">4.2.4 </w:t>
      </w:r>
      <w:r>
        <w:rPr>
          <w:rFonts w:ascii="宋体" w:hAnsi="宋体" w:eastAsia="宋体" w:cs="宋体"/>
          <w:b/>
          <w:bCs/>
          <w:spacing w:val="-2"/>
          <w:sz w:val="28"/>
          <w:szCs w:val="28"/>
        </w:rPr>
        <w:t>地表水环境影响评价自查表</w:t>
      </w:r>
    </w:p>
    <w:p w14:paraId="2BA74C84">
      <w:pPr>
        <w:spacing w:before="207" w:line="218" w:lineRule="auto"/>
        <w:ind w:left="517"/>
        <w:rPr>
          <w:rFonts w:ascii="宋体" w:hAnsi="宋体" w:eastAsia="宋体" w:cs="宋体"/>
          <w:sz w:val="24"/>
          <w:szCs w:val="24"/>
        </w:rPr>
      </w:pPr>
      <w:r>
        <w:rPr>
          <w:rFonts w:ascii="宋体" w:hAnsi="宋体" w:eastAsia="宋体" w:cs="宋体"/>
          <w:spacing w:val="-1"/>
          <w:sz w:val="24"/>
          <w:szCs w:val="24"/>
        </w:rPr>
        <w:t>本建设项目地表水环境影响评价自查表见表</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4.2-1</w:t>
      </w:r>
      <w:r>
        <w:rPr>
          <w:rFonts w:ascii="宋体" w:hAnsi="宋体" w:eastAsia="宋体" w:cs="宋体"/>
          <w:spacing w:val="-1"/>
          <w:sz w:val="24"/>
          <w:szCs w:val="24"/>
        </w:rPr>
        <w:t>。</w:t>
      </w:r>
    </w:p>
    <w:p w14:paraId="32F41A01">
      <w:pPr>
        <w:spacing w:before="180" w:line="226" w:lineRule="auto"/>
        <w:ind w:left="2746"/>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4.2-1        </w:t>
      </w:r>
      <w:r>
        <w:rPr>
          <w:rFonts w:ascii="宋体" w:hAnsi="宋体" w:eastAsia="宋体" w:cs="宋体"/>
          <w:b/>
          <w:bCs/>
          <w:spacing w:val="5"/>
          <w:sz w:val="20"/>
          <w:szCs w:val="20"/>
        </w:rPr>
        <w:t>地表水环境影响评价自查表</w:t>
      </w:r>
    </w:p>
    <w:p w14:paraId="5D84B36F">
      <w:pPr>
        <w:spacing w:line="132" w:lineRule="exact"/>
      </w:pPr>
    </w:p>
    <w:tbl>
      <w:tblPr>
        <w:tblStyle w:val="5"/>
        <w:tblW w:w="9102" w:type="dxa"/>
        <w:tblInd w:w="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78"/>
        <w:gridCol w:w="1434"/>
        <w:gridCol w:w="2234"/>
        <w:gridCol w:w="1486"/>
        <w:gridCol w:w="1839"/>
        <w:gridCol w:w="768"/>
        <w:gridCol w:w="963"/>
      </w:tblGrid>
      <w:tr w14:paraId="0AC6EB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3" w:hRule="atLeast"/>
        </w:trPr>
        <w:tc>
          <w:tcPr>
            <w:tcW w:w="1812" w:type="dxa"/>
            <w:gridSpan w:val="2"/>
            <w:tcBorders>
              <w:top w:val="single" w:color="000000" w:sz="10" w:space="0"/>
              <w:left w:val="single" w:color="000000" w:sz="10" w:space="0"/>
            </w:tcBorders>
            <w:vAlign w:val="top"/>
          </w:tcPr>
          <w:p w14:paraId="1EE48BA4">
            <w:pPr>
              <w:pStyle w:val="6"/>
              <w:spacing w:before="31" w:line="207" w:lineRule="auto"/>
              <w:ind w:left="544"/>
              <w:rPr>
                <w:sz w:val="18"/>
                <w:szCs w:val="18"/>
              </w:rPr>
            </w:pPr>
            <w:r>
              <w:rPr>
                <w:spacing w:val="-3"/>
                <w:sz w:val="18"/>
                <w:szCs w:val="18"/>
              </w:rPr>
              <w:t>工作内容</w:t>
            </w:r>
          </w:p>
        </w:tc>
        <w:tc>
          <w:tcPr>
            <w:tcW w:w="7290" w:type="dxa"/>
            <w:gridSpan w:val="5"/>
            <w:tcBorders>
              <w:top w:val="single" w:color="000000" w:sz="10" w:space="0"/>
              <w:right w:val="single" w:color="000000" w:sz="10" w:space="0"/>
            </w:tcBorders>
            <w:vAlign w:val="top"/>
          </w:tcPr>
          <w:p w14:paraId="26DDE6FD">
            <w:pPr>
              <w:pStyle w:val="6"/>
              <w:spacing w:before="31" w:line="207" w:lineRule="auto"/>
              <w:ind w:left="3310"/>
              <w:rPr>
                <w:sz w:val="18"/>
                <w:szCs w:val="18"/>
              </w:rPr>
            </w:pPr>
            <w:r>
              <w:rPr>
                <w:spacing w:val="-10"/>
                <w:sz w:val="18"/>
                <w:szCs w:val="18"/>
              </w:rPr>
              <w:t>自查项目</w:t>
            </w:r>
          </w:p>
        </w:tc>
      </w:tr>
      <w:tr w14:paraId="072F75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7" w:hRule="atLeast"/>
        </w:trPr>
        <w:tc>
          <w:tcPr>
            <w:tcW w:w="378" w:type="dxa"/>
            <w:vMerge w:val="restart"/>
            <w:tcBorders>
              <w:left w:val="single" w:color="000000" w:sz="10" w:space="0"/>
              <w:bottom w:val="nil"/>
            </w:tcBorders>
            <w:textDirection w:val="tbRlV"/>
            <w:vAlign w:val="top"/>
          </w:tcPr>
          <w:p w14:paraId="403C30E1">
            <w:pPr>
              <w:pStyle w:val="6"/>
              <w:spacing w:before="96" w:line="209" w:lineRule="auto"/>
              <w:ind w:left="630"/>
              <w:rPr>
                <w:sz w:val="18"/>
                <w:szCs w:val="18"/>
              </w:rPr>
            </w:pPr>
            <w:r>
              <w:rPr>
                <w:spacing w:val="40"/>
                <w:sz w:val="18"/>
                <w:szCs w:val="18"/>
              </w:rPr>
              <w:t>影响识别</w:t>
            </w:r>
          </w:p>
        </w:tc>
        <w:tc>
          <w:tcPr>
            <w:tcW w:w="1434" w:type="dxa"/>
            <w:vAlign w:val="top"/>
          </w:tcPr>
          <w:p w14:paraId="5607B121">
            <w:pPr>
              <w:pStyle w:val="6"/>
              <w:spacing w:before="28" w:line="204" w:lineRule="auto"/>
              <w:ind w:left="351"/>
              <w:rPr>
                <w:sz w:val="18"/>
                <w:szCs w:val="18"/>
              </w:rPr>
            </w:pPr>
            <w:r>
              <w:rPr>
                <w:spacing w:val="-2"/>
                <w:sz w:val="18"/>
                <w:szCs w:val="18"/>
              </w:rPr>
              <w:t>影响类型</w:t>
            </w:r>
          </w:p>
        </w:tc>
        <w:tc>
          <w:tcPr>
            <w:tcW w:w="7290" w:type="dxa"/>
            <w:gridSpan w:val="5"/>
            <w:tcBorders>
              <w:right w:val="single" w:color="000000" w:sz="10" w:space="0"/>
            </w:tcBorders>
            <w:vAlign w:val="top"/>
          </w:tcPr>
          <w:p w14:paraId="13ADB0E2">
            <w:pPr>
              <w:pStyle w:val="6"/>
              <w:spacing w:before="27" w:line="199" w:lineRule="exact"/>
              <w:ind w:left="4"/>
              <w:rPr>
                <w:rFonts w:ascii="微软雅黑" w:hAnsi="微软雅黑" w:eastAsia="微软雅黑" w:cs="微软雅黑"/>
                <w:sz w:val="18"/>
                <w:szCs w:val="18"/>
              </w:rPr>
            </w:pPr>
            <w:r>
              <w:rPr>
                <w:spacing w:val="-1"/>
                <w:sz w:val="18"/>
                <w:szCs w:val="18"/>
              </w:rPr>
              <w:t xml:space="preserve">水污染影响型 </w:t>
            </w:r>
            <w:r>
              <w:rPr>
                <w:rFonts w:ascii="微软雅黑" w:hAnsi="微软雅黑" w:eastAsia="微软雅黑" w:cs="微软雅黑"/>
                <w:spacing w:val="-1"/>
                <w:sz w:val="18"/>
                <w:szCs w:val="18"/>
              </w:rPr>
              <w:t>□</w:t>
            </w:r>
            <w:r>
              <w:rPr>
                <w:rFonts w:ascii="微软雅黑" w:hAnsi="微软雅黑" w:eastAsia="微软雅黑" w:cs="微软雅黑"/>
                <w:spacing w:val="-28"/>
                <w:sz w:val="18"/>
                <w:szCs w:val="18"/>
              </w:rPr>
              <w:t xml:space="preserve"> </w:t>
            </w:r>
            <w:r>
              <w:rPr>
                <w:spacing w:val="-1"/>
                <w:sz w:val="18"/>
                <w:szCs w:val="18"/>
              </w:rPr>
              <w:t>;</w:t>
            </w:r>
            <w:r>
              <w:rPr>
                <w:spacing w:val="51"/>
                <w:sz w:val="18"/>
                <w:szCs w:val="18"/>
              </w:rPr>
              <w:t xml:space="preserve"> </w:t>
            </w:r>
            <w:r>
              <w:rPr>
                <w:spacing w:val="-1"/>
                <w:sz w:val="18"/>
                <w:szCs w:val="18"/>
              </w:rPr>
              <w:t>水文要素影响型</w:t>
            </w:r>
            <w:r>
              <w:rPr>
                <w:spacing w:val="16"/>
                <w:sz w:val="18"/>
                <w:szCs w:val="18"/>
              </w:rPr>
              <w:t xml:space="preserve"> </w:t>
            </w:r>
            <w:r>
              <w:rPr>
                <w:rFonts w:ascii="微软雅黑" w:hAnsi="微软雅黑" w:eastAsia="微软雅黑" w:cs="微软雅黑"/>
                <w:spacing w:val="-1"/>
                <w:sz w:val="18"/>
                <w:szCs w:val="18"/>
              </w:rPr>
              <w:t>□</w:t>
            </w:r>
          </w:p>
        </w:tc>
      </w:tr>
      <w:tr w14:paraId="7EC00D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4" w:hRule="atLeast"/>
        </w:trPr>
        <w:tc>
          <w:tcPr>
            <w:tcW w:w="378" w:type="dxa"/>
            <w:vMerge w:val="continue"/>
            <w:tcBorders>
              <w:top w:val="nil"/>
              <w:left w:val="single" w:color="000000" w:sz="10" w:space="0"/>
              <w:bottom w:val="nil"/>
            </w:tcBorders>
            <w:textDirection w:val="tbRlV"/>
            <w:vAlign w:val="top"/>
          </w:tcPr>
          <w:p w14:paraId="05F2E3E3">
            <w:pPr>
              <w:rPr>
                <w:rFonts w:ascii="Arial"/>
                <w:sz w:val="21"/>
              </w:rPr>
            </w:pPr>
          </w:p>
        </w:tc>
        <w:tc>
          <w:tcPr>
            <w:tcW w:w="1434" w:type="dxa"/>
            <w:vAlign w:val="top"/>
          </w:tcPr>
          <w:p w14:paraId="2F3CEACC">
            <w:pPr>
              <w:pStyle w:val="6"/>
              <w:spacing w:before="261" w:line="219" w:lineRule="auto"/>
              <w:ind w:left="85"/>
              <w:rPr>
                <w:sz w:val="18"/>
                <w:szCs w:val="18"/>
              </w:rPr>
            </w:pPr>
            <w:r>
              <w:rPr>
                <w:spacing w:val="-2"/>
                <w:sz w:val="18"/>
                <w:szCs w:val="18"/>
              </w:rPr>
              <w:t>水环境保护目标</w:t>
            </w:r>
          </w:p>
        </w:tc>
        <w:tc>
          <w:tcPr>
            <w:tcW w:w="7290" w:type="dxa"/>
            <w:gridSpan w:val="5"/>
            <w:tcBorders>
              <w:right w:val="single" w:color="000000" w:sz="10" w:space="0"/>
            </w:tcBorders>
            <w:vAlign w:val="top"/>
          </w:tcPr>
          <w:p w14:paraId="7A1E1995">
            <w:pPr>
              <w:pStyle w:val="6"/>
              <w:spacing w:before="29" w:line="172" w:lineRule="auto"/>
              <w:ind w:left="2" w:right="2"/>
              <w:jc w:val="both"/>
              <w:rPr>
                <w:rFonts w:ascii="微软雅黑" w:hAnsi="微软雅黑" w:eastAsia="微软雅黑" w:cs="微软雅黑"/>
                <w:sz w:val="18"/>
                <w:szCs w:val="18"/>
              </w:rPr>
            </w:pPr>
            <w:r>
              <w:rPr>
                <w:spacing w:val="-3"/>
                <w:sz w:val="18"/>
                <w:szCs w:val="18"/>
              </w:rPr>
              <w:t xml:space="preserve">饮用水水源保护区 </w:t>
            </w:r>
            <w:r>
              <w:rPr>
                <w:rFonts w:ascii="微软雅黑" w:hAnsi="微软雅黑" w:eastAsia="微软雅黑" w:cs="微软雅黑"/>
                <w:spacing w:val="-3"/>
                <w:sz w:val="18"/>
                <w:szCs w:val="18"/>
              </w:rPr>
              <w:t>□</w:t>
            </w:r>
            <w:r>
              <w:rPr>
                <w:rFonts w:ascii="微软雅黑" w:hAnsi="微软雅黑" w:eastAsia="微软雅黑" w:cs="微软雅黑"/>
                <w:spacing w:val="-31"/>
                <w:sz w:val="18"/>
                <w:szCs w:val="18"/>
              </w:rPr>
              <w:t xml:space="preserve"> </w:t>
            </w:r>
            <w:r>
              <w:rPr>
                <w:spacing w:val="-3"/>
                <w:sz w:val="18"/>
                <w:szCs w:val="18"/>
              </w:rPr>
              <w:t>;</w:t>
            </w:r>
            <w:r>
              <w:rPr>
                <w:spacing w:val="45"/>
                <w:sz w:val="18"/>
                <w:szCs w:val="18"/>
              </w:rPr>
              <w:t xml:space="preserve"> </w:t>
            </w:r>
            <w:r>
              <w:rPr>
                <w:spacing w:val="-3"/>
                <w:sz w:val="18"/>
                <w:szCs w:val="18"/>
              </w:rPr>
              <w:t xml:space="preserve">饮用水取水口 </w:t>
            </w:r>
            <w:r>
              <w:rPr>
                <w:rFonts w:ascii="微软雅黑" w:hAnsi="微软雅黑" w:eastAsia="微软雅黑" w:cs="微软雅黑"/>
                <w:spacing w:val="-3"/>
                <w:sz w:val="18"/>
                <w:szCs w:val="18"/>
              </w:rPr>
              <w:t>□</w:t>
            </w:r>
            <w:r>
              <w:rPr>
                <w:rFonts w:ascii="微软雅黑" w:hAnsi="微软雅黑" w:eastAsia="微软雅黑" w:cs="微软雅黑"/>
                <w:spacing w:val="-31"/>
                <w:sz w:val="18"/>
                <w:szCs w:val="18"/>
              </w:rPr>
              <w:t xml:space="preserve"> </w:t>
            </w:r>
            <w:r>
              <w:rPr>
                <w:spacing w:val="-3"/>
                <w:sz w:val="18"/>
                <w:szCs w:val="18"/>
              </w:rPr>
              <w:t>;</w:t>
            </w:r>
            <w:r>
              <w:rPr>
                <w:spacing w:val="44"/>
                <w:sz w:val="18"/>
                <w:szCs w:val="18"/>
              </w:rPr>
              <w:t xml:space="preserve"> </w:t>
            </w:r>
            <w:r>
              <w:rPr>
                <w:spacing w:val="-3"/>
                <w:sz w:val="18"/>
                <w:szCs w:val="18"/>
              </w:rPr>
              <w:t>涉水的自然保</w:t>
            </w:r>
            <w:r>
              <w:rPr>
                <w:spacing w:val="-4"/>
                <w:sz w:val="18"/>
                <w:szCs w:val="18"/>
              </w:rPr>
              <w:t xml:space="preserve">护区 </w:t>
            </w:r>
            <w:r>
              <w:rPr>
                <w:rFonts w:ascii="微软雅黑" w:hAnsi="微软雅黑" w:eastAsia="微软雅黑" w:cs="微软雅黑"/>
                <w:spacing w:val="-4"/>
                <w:sz w:val="18"/>
                <w:szCs w:val="18"/>
              </w:rPr>
              <w:t>□</w:t>
            </w:r>
            <w:r>
              <w:rPr>
                <w:rFonts w:ascii="微软雅黑" w:hAnsi="微软雅黑" w:eastAsia="微软雅黑" w:cs="微软雅黑"/>
                <w:spacing w:val="-33"/>
                <w:sz w:val="18"/>
                <w:szCs w:val="18"/>
              </w:rPr>
              <w:t xml:space="preserve"> </w:t>
            </w:r>
            <w:r>
              <w:rPr>
                <w:spacing w:val="-4"/>
                <w:sz w:val="18"/>
                <w:szCs w:val="18"/>
              </w:rPr>
              <w:t>;</w:t>
            </w:r>
            <w:r>
              <w:rPr>
                <w:spacing w:val="45"/>
                <w:sz w:val="18"/>
                <w:szCs w:val="18"/>
              </w:rPr>
              <w:t xml:space="preserve"> </w:t>
            </w:r>
            <w:r>
              <w:rPr>
                <w:spacing w:val="-4"/>
                <w:sz w:val="18"/>
                <w:szCs w:val="18"/>
              </w:rPr>
              <w:t>重要湿地</w:t>
            </w:r>
            <w:r>
              <w:rPr>
                <w:spacing w:val="14"/>
                <w:sz w:val="18"/>
                <w:szCs w:val="18"/>
              </w:rPr>
              <w:t xml:space="preserve"> </w:t>
            </w:r>
            <w:r>
              <w:rPr>
                <w:rFonts w:ascii="微软雅黑" w:hAnsi="微软雅黑" w:eastAsia="微软雅黑" w:cs="微软雅黑"/>
                <w:spacing w:val="-4"/>
                <w:sz w:val="18"/>
                <w:szCs w:val="18"/>
              </w:rPr>
              <w:t>□</w:t>
            </w:r>
            <w:r>
              <w:rPr>
                <w:rFonts w:ascii="微软雅黑" w:hAnsi="微软雅黑" w:eastAsia="微软雅黑" w:cs="微软雅黑"/>
                <w:spacing w:val="-30"/>
                <w:sz w:val="18"/>
                <w:szCs w:val="18"/>
              </w:rPr>
              <w:t xml:space="preserve"> </w:t>
            </w:r>
            <w:r>
              <w:rPr>
                <w:spacing w:val="-4"/>
                <w:sz w:val="18"/>
                <w:szCs w:val="18"/>
              </w:rPr>
              <w:t>;</w:t>
            </w:r>
            <w:r>
              <w:rPr>
                <w:spacing w:val="45"/>
                <w:sz w:val="18"/>
                <w:szCs w:val="18"/>
              </w:rPr>
              <w:t xml:space="preserve"> </w:t>
            </w:r>
            <w:r>
              <w:rPr>
                <w:spacing w:val="-4"/>
                <w:sz w:val="18"/>
                <w:szCs w:val="18"/>
              </w:rPr>
              <w:t>重点保护与</w:t>
            </w:r>
            <w:r>
              <w:rPr>
                <w:sz w:val="18"/>
                <w:szCs w:val="18"/>
              </w:rPr>
              <w:t xml:space="preserve"> </w:t>
            </w:r>
            <w:r>
              <w:rPr>
                <w:spacing w:val="-1"/>
                <w:sz w:val="18"/>
                <w:szCs w:val="18"/>
              </w:rPr>
              <w:t xml:space="preserve">珍稀水生生物的栖息地 </w:t>
            </w:r>
            <w:r>
              <w:rPr>
                <w:rFonts w:ascii="微软雅黑" w:hAnsi="微软雅黑" w:eastAsia="微软雅黑" w:cs="微软雅黑"/>
                <w:spacing w:val="-1"/>
                <w:sz w:val="18"/>
                <w:szCs w:val="18"/>
              </w:rPr>
              <w:t>□</w:t>
            </w:r>
            <w:r>
              <w:rPr>
                <w:rFonts w:ascii="微软雅黑" w:hAnsi="微软雅黑" w:eastAsia="微软雅黑" w:cs="微软雅黑"/>
                <w:spacing w:val="-29"/>
                <w:sz w:val="18"/>
                <w:szCs w:val="18"/>
              </w:rPr>
              <w:t xml:space="preserve"> </w:t>
            </w:r>
            <w:r>
              <w:rPr>
                <w:spacing w:val="-1"/>
                <w:sz w:val="18"/>
                <w:szCs w:val="18"/>
              </w:rPr>
              <w:t>;</w:t>
            </w:r>
            <w:r>
              <w:rPr>
                <w:spacing w:val="50"/>
                <w:sz w:val="18"/>
                <w:szCs w:val="18"/>
              </w:rPr>
              <w:t xml:space="preserve"> </w:t>
            </w:r>
            <w:r>
              <w:rPr>
                <w:spacing w:val="-1"/>
                <w:sz w:val="18"/>
                <w:szCs w:val="18"/>
              </w:rPr>
              <w:t>重要水生生物的自然产卵地及索耳场、越冬场和洄游通道、天然</w:t>
            </w:r>
            <w:r>
              <w:rPr>
                <w:sz w:val="18"/>
                <w:szCs w:val="18"/>
              </w:rPr>
              <w:t xml:space="preserve"> </w:t>
            </w:r>
            <w:r>
              <w:rPr>
                <w:spacing w:val="-1"/>
                <w:sz w:val="18"/>
                <w:szCs w:val="18"/>
              </w:rPr>
              <w:t xml:space="preserve">渔场等水体；涉水的风景名胜区 </w:t>
            </w:r>
            <w:r>
              <w:rPr>
                <w:rFonts w:ascii="微软雅黑" w:hAnsi="微软雅黑" w:eastAsia="微软雅黑" w:cs="微软雅黑"/>
                <w:spacing w:val="-1"/>
                <w:sz w:val="18"/>
                <w:szCs w:val="18"/>
              </w:rPr>
              <w:t>□</w:t>
            </w:r>
            <w:r>
              <w:rPr>
                <w:rFonts w:ascii="微软雅黑" w:hAnsi="微软雅黑" w:eastAsia="微软雅黑" w:cs="微软雅黑"/>
                <w:spacing w:val="-22"/>
                <w:sz w:val="18"/>
                <w:szCs w:val="18"/>
              </w:rPr>
              <w:t xml:space="preserve"> </w:t>
            </w:r>
            <w:r>
              <w:rPr>
                <w:spacing w:val="-1"/>
                <w:sz w:val="18"/>
                <w:szCs w:val="18"/>
              </w:rPr>
              <w:t>;</w:t>
            </w:r>
            <w:r>
              <w:rPr>
                <w:spacing w:val="50"/>
                <w:sz w:val="18"/>
                <w:szCs w:val="18"/>
              </w:rPr>
              <w:t xml:space="preserve"> </w:t>
            </w:r>
            <w:r>
              <w:rPr>
                <w:spacing w:val="-1"/>
                <w:sz w:val="18"/>
                <w:szCs w:val="18"/>
              </w:rPr>
              <w:t>其他</w:t>
            </w:r>
            <w:r>
              <w:rPr>
                <w:spacing w:val="16"/>
                <w:sz w:val="18"/>
                <w:szCs w:val="18"/>
              </w:rPr>
              <w:t xml:space="preserve"> </w:t>
            </w:r>
            <w:r>
              <w:rPr>
                <w:rFonts w:ascii="微软雅黑" w:hAnsi="微软雅黑" w:eastAsia="微软雅黑" w:cs="微软雅黑"/>
                <w:spacing w:val="-1"/>
                <w:sz w:val="18"/>
                <w:szCs w:val="18"/>
              </w:rPr>
              <w:t>□</w:t>
            </w:r>
          </w:p>
        </w:tc>
      </w:tr>
      <w:tr w14:paraId="3A1C56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7" w:hRule="atLeast"/>
        </w:trPr>
        <w:tc>
          <w:tcPr>
            <w:tcW w:w="378" w:type="dxa"/>
            <w:vMerge w:val="continue"/>
            <w:tcBorders>
              <w:top w:val="nil"/>
              <w:left w:val="single" w:color="000000" w:sz="10" w:space="0"/>
              <w:bottom w:val="nil"/>
            </w:tcBorders>
            <w:textDirection w:val="tbRlV"/>
            <w:vAlign w:val="top"/>
          </w:tcPr>
          <w:p w14:paraId="36B19D58">
            <w:pPr>
              <w:rPr>
                <w:rFonts w:ascii="Arial"/>
                <w:sz w:val="21"/>
              </w:rPr>
            </w:pPr>
          </w:p>
        </w:tc>
        <w:tc>
          <w:tcPr>
            <w:tcW w:w="1434" w:type="dxa"/>
            <w:vMerge w:val="restart"/>
            <w:tcBorders>
              <w:bottom w:val="nil"/>
            </w:tcBorders>
            <w:vAlign w:val="top"/>
          </w:tcPr>
          <w:p w14:paraId="4C8A741C">
            <w:pPr>
              <w:pStyle w:val="6"/>
              <w:spacing w:before="152" w:line="219" w:lineRule="auto"/>
              <w:ind w:left="351"/>
              <w:rPr>
                <w:sz w:val="18"/>
                <w:szCs w:val="18"/>
              </w:rPr>
            </w:pPr>
            <w:r>
              <w:rPr>
                <w:spacing w:val="-2"/>
                <w:sz w:val="18"/>
                <w:szCs w:val="18"/>
              </w:rPr>
              <w:t>影响途径</w:t>
            </w:r>
          </w:p>
        </w:tc>
        <w:tc>
          <w:tcPr>
            <w:tcW w:w="3720" w:type="dxa"/>
            <w:gridSpan w:val="2"/>
            <w:vAlign w:val="top"/>
          </w:tcPr>
          <w:p w14:paraId="48BB673D">
            <w:pPr>
              <w:pStyle w:val="6"/>
              <w:spacing w:before="30" w:line="202" w:lineRule="auto"/>
              <w:ind w:left="1324"/>
              <w:rPr>
                <w:sz w:val="18"/>
                <w:szCs w:val="18"/>
              </w:rPr>
            </w:pPr>
            <w:r>
              <w:rPr>
                <w:spacing w:val="-2"/>
                <w:sz w:val="18"/>
                <w:szCs w:val="18"/>
              </w:rPr>
              <w:t>水污染影响型</w:t>
            </w:r>
          </w:p>
        </w:tc>
        <w:tc>
          <w:tcPr>
            <w:tcW w:w="3570" w:type="dxa"/>
            <w:gridSpan w:val="3"/>
            <w:tcBorders>
              <w:right w:val="single" w:color="000000" w:sz="10" w:space="0"/>
            </w:tcBorders>
            <w:vAlign w:val="top"/>
          </w:tcPr>
          <w:p w14:paraId="09A46FB8">
            <w:pPr>
              <w:pStyle w:val="6"/>
              <w:spacing w:before="30" w:line="202" w:lineRule="auto"/>
              <w:ind w:left="1156"/>
              <w:rPr>
                <w:sz w:val="18"/>
                <w:szCs w:val="18"/>
              </w:rPr>
            </w:pPr>
            <w:r>
              <w:rPr>
                <w:spacing w:val="-2"/>
                <w:sz w:val="18"/>
                <w:szCs w:val="18"/>
              </w:rPr>
              <w:t>水文要素影响型</w:t>
            </w:r>
          </w:p>
        </w:tc>
      </w:tr>
      <w:tr w14:paraId="071917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0E1951A9">
            <w:pPr>
              <w:rPr>
                <w:rFonts w:ascii="Arial"/>
                <w:sz w:val="21"/>
              </w:rPr>
            </w:pPr>
          </w:p>
        </w:tc>
        <w:tc>
          <w:tcPr>
            <w:tcW w:w="1434" w:type="dxa"/>
            <w:vMerge w:val="continue"/>
            <w:tcBorders>
              <w:top w:val="nil"/>
            </w:tcBorders>
            <w:vAlign w:val="top"/>
          </w:tcPr>
          <w:p w14:paraId="049239BC">
            <w:pPr>
              <w:rPr>
                <w:rFonts w:ascii="Arial"/>
                <w:sz w:val="21"/>
              </w:rPr>
            </w:pPr>
          </w:p>
        </w:tc>
        <w:tc>
          <w:tcPr>
            <w:tcW w:w="3720" w:type="dxa"/>
            <w:gridSpan w:val="2"/>
            <w:vAlign w:val="top"/>
          </w:tcPr>
          <w:p w14:paraId="6CD00309">
            <w:pPr>
              <w:pStyle w:val="6"/>
              <w:spacing w:before="32" w:line="195" w:lineRule="exact"/>
              <w:ind w:left="4"/>
              <w:rPr>
                <w:rFonts w:ascii="微软雅黑" w:hAnsi="微软雅黑" w:eastAsia="微软雅黑" w:cs="微软雅黑"/>
                <w:sz w:val="18"/>
                <w:szCs w:val="18"/>
              </w:rPr>
            </w:pPr>
            <w:r>
              <w:rPr>
                <w:spacing w:val="-3"/>
                <w:sz w:val="18"/>
                <w:szCs w:val="18"/>
              </w:rPr>
              <w:t xml:space="preserve">直接排放 </w:t>
            </w:r>
            <w:r>
              <w:rPr>
                <w:rFonts w:ascii="微软雅黑" w:hAnsi="微软雅黑" w:eastAsia="微软雅黑" w:cs="微软雅黑"/>
                <w:spacing w:val="-3"/>
                <w:sz w:val="18"/>
                <w:szCs w:val="18"/>
              </w:rPr>
              <w:t>□</w:t>
            </w:r>
            <w:r>
              <w:rPr>
                <w:rFonts w:ascii="微软雅黑" w:hAnsi="微软雅黑" w:eastAsia="微软雅黑" w:cs="微软雅黑"/>
                <w:spacing w:val="-28"/>
                <w:sz w:val="18"/>
                <w:szCs w:val="18"/>
              </w:rPr>
              <w:t xml:space="preserve"> </w:t>
            </w:r>
            <w:r>
              <w:rPr>
                <w:spacing w:val="-3"/>
                <w:sz w:val="18"/>
                <w:szCs w:val="18"/>
              </w:rPr>
              <w:t>;</w:t>
            </w:r>
            <w:r>
              <w:rPr>
                <w:spacing w:val="64"/>
                <w:sz w:val="18"/>
                <w:szCs w:val="18"/>
              </w:rPr>
              <w:t xml:space="preserve"> </w:t>
            </w:r>
            <w:r>
              <w:rPr>
                <w:spacing w:val="-3"/>
                <w:sz w:val="18"/>
                <w:szCs w:val="18"/>
              </w:rPr>
              <w:t>间接排放</w:t>
            </w:r>
            <w:r>
              <w:rPr>
                <w:rFonts w:ascii="微软雅黑" w:hAnsi="微软雅黑" w:eastAsia="微软雅黑" w:cs="微软雅黑"/>
                <w:spacing w:val="-3"/>
                <w:sz w:val="18"/>
                <w:szCs w:val="18"/>
              </w:rPr>
              <w:t>四</w:t>
            </w:r>
            <w:r>
              <w:rPr>
                <w:spacing w:val="-3"/>
                <w:sz w:val="18"/>
                <w:szCs w:val="18"/>
              </w:rPr>
              <w:t>；其他</w:t>
            </w:r>
            <w:r>
              <w:rPr>
                <w:spacing w:val="14"/>
                <w:sz w:val="18"/>
                <w:szCs w:val="18"/>
              </w:rPr>
              <w:t xml:space="preserve"> </w:t>
            </w:r>
            <w:r>
              <w:rPr>
                <w:rFonts w:ascii="微软雅黑" w:hAnsi="微软雅黑" w:eastAsia="微软雅黑" w:cs="微软雅黑"/>
                <w:spacing w:val="-3"/>
                <w:sz w:val="18"/>
                <w:szCs w:val="18"/>
              </w:rPr>
              <w:t>□</w:t>
            </w:r>
          </w:p>
        </w:tc>
        <w:tc>
          <w:tcPr>
            <w:tcW w:w="3570" w:type="dxa"/>
            <w:gridSpan w:val="3"/>
            <w:tcBorders>
              <w:right w:val="single" w:color="000000" w:sz="10" w:space="0"/>
            </w:tcBorders>
            <w:vAlign w:val="top"/>
          </w:tcPr>
          <w:p w14:paraId="6D70D0AE">
            <w:pPr>
              <w:pStyle w:val="6"/>
              <w:spacing w:before="32" w:line="195" w:lineRule="exact"/>
              <w:ind w:left="14"/>
              <w:rPr>
                <w:rFonts w:ascii="微软雅黑" w:hAnsi="微软雅黑" w:eastAsia="微软雅黑" w:cs="微软雅黑"/>
                <w:sz w:val="18"/>
                <w:szCs w:val="18"/>
              </w:rPr>
            </w:pPr>
            <w:r>
              <w:rPr>
                <w:spacing w:val="-6"/>
                <w:position w:val="-1"/>
                <w:sz w:val="18"/>
                <w:szCs w:val="18"/>
              </w:rPr>
              <w:t>水温</w:t>
            </w:r>
            <w:r>
              <w:rPr>
                <w:spacing w:val="22"/>
                <w:position w:val="-1"/>
                <w:sz w:val="18"/>
                <w:szCs w:val="18"/>
              </w:rPr>
              <w:t xml:space="preserve"> </w:t>
            </w:r>
            <w:r>
              <w:rPr>
                <w:rFonts w:ascii="微软雅黑" w:hAnsi="微软雅黑" w:eastAsia="微软雅黑" w:cs="微软雅黑"/>
                <w:spacing w:val="-6"/>
                <w:position w:val="-1"/>
                <w:sz w:val="18"/>
                <w:szCs w:val="18"/>
              </w:rPr>
              <w:t>□</w:t>
            </w:r>
            <w:r>
              <w:rPr>
                <w:rFonts w:ascii="微软雅黑" w:hAnsi="微软雅黑" w:eastAsia="微软雅黑" w:cs="微软雅黑"/>
                <w:spacing w:val="-33"/>
                <w:position w:val="-1"/>
                <w:sz w:val="18"/>
                <w:szCs w:val="18"/>
              </w:rPr>
              <w:t xml:space="preserve"> </w:t>
            </w:r>
            <w:r>
              <w:rPr>
                <w:spacing w:val="-6"/>
                <w:position w:val="-1"/>
                <w:sz w:val="18"/>
                <w:szCs w:val="18"/>
              </w:rPr>
              <w:t>;</w:t>
            </w:r>
            <w:r>
              <w:rPr>
                <w:spacing w:val="49"/>
                <w:position w:val="-1"/>
                <w:sz w:val="18"/>
                <w:szCs w:val="18"/>
              </w:rPr>
              <w:t xml:space="preserve"> </w:t>
            </w:r>
            <w:r>
              <w:rPr>
                <w:spacing w:val="-6"/>
                <w:position w:val="-1"/>
                <w:sz w:val="18"/>
                <w:szCs w:val="18"/>
              </w:rPr>
              <w:t>径流</w:t>
            </w:r>
            <w:r>
              <w:rPr>
                <w:spacing w:val="16"/>
                <w:position w:val="-1"/>
                <w:sz w:val="18"/>
                <w:szCs w:val="18"/>
              </w:rPr>
              <w:t xml:space="preserve"> </w:t>
            </w:r>
            <w:r>
              <w:rPr>
                <w:rFonts w:ascii="微软雅黑" w:hAnsi="微软雅黑" w:eastAsia="微软雅黑" w:cs="微软雅黑"/>
                <w:spacing w:val="-6"/>
                <w:position w:val="-1"/>
                <w:sz w:val="18"/>
                <w:szCs w:val="18"/>
              </w:rPr>
              <w:t>□</w:t>
            </w:r>
            <w:r>
              <w:rPr>
                <w:rFonts w:ascii="微软雅黑" w:hAnsi="微软雅黑" w:eastAsia="微软雅黑" w:cs="微软雅黑"/>
                <w:spacing w:val="-32"/>
                <w:position w:val="-1"/>
                <w:sz w:val="18"/>
                <w:szCs w:val="18"/>
              </w:rPr>
              <w:t xml:space="preserve"> </w:t>
            </w:r>
            <w:r>
              <w:rPr>
                <w:spacing w:val="-6"/>
                <w:position w:val="-1"/>
                <w:sz w:val="18"/>
                <w:szCs w:val="18"/>
              </w:rPr>
              <w:t>;</w:t>
            </w:r>
            <w:r>
              <w:rPr>
                <w:spacing w:val="51"/>
                <w:position w:val="-1"/>
                <w:sz w:val="18"/>
                <w:szCs w:val="18"/>
              </w:rPr>
              <w:t xml:space="preserve"> </w:t>
            </w:r>
            <w:r>
              <w:rPr>
                <w:spacing w:val="-6"/>
                <w:position w:val="-1"/>
                <w:sz w:val="18"/>
                <w:szCs w:val="18"/>
              </w:rPr>
              <w:t>水域面积</w:t>
            </w:r>
            <w:r>
              <w:rPr>
                <w:spacing w:val="16"/>
                <w:position w:val="-1"/>
                <w:sz w:val="18"/>
                <w:szCs w:val="18"/>
              </w:rPr>
              <w:t xml:space="preserve"> </w:t>
            </w:r>
            <w:r>
              <w:rPr>
                <w:rFonts w:ascii="微软雅黑" w:hAnsi="微软雅黑" w:eastAsia="微软雅黑" w:cs="微软雅黑"/>
                <w:spacing w:val="-6"/>
                <w:position w:val="-1"/>
                <w:sz w:val="18"/>
                <w:szCs w:val="18"/>
              </w:rPr>
              <w:t>□</w:t>
            </w:r>
          </w:p>
        </w:tc>
      </w:tr>
      <w:tr w14:paraId="61A7AA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3" w:hRule="atLeast"/>
        </w:trPr>
        <w:tc>
          <w:tcPr>
            <w:tcW w:w="378" w:type="dxa"/>
            <w:vMerge w:val="continue"/>
            <w:tcBorders>
              <w:top w:val="nil"/>
              <w:left w:val="single" w:color="000000" w:sz="10" w:space="0"/>
            </w:tcBorders>
            <w:textDirection w:val="tbRlV"/>
            <w:vAlign w:val="top"/>
          </w:tcPr>
          <w:p w14:paraId="59B4DBFC">
            <w:pPr>
              <w:rPr>
                <w:rFonts w:ascii="Arial"/>
                <w:sz w:val="21"/>
              </w:rPr>
            </w:pPr>
          </w:p>
        </w:tc>
        <w:tc>
          <w:tcPr>
            <w:tcW w:w="1434" w:type="dxa"/>
            <w:vAlign w:val="top"/>
          </w:tcPr>
          <w:p w14:paraId="25A206FD">
            <w:pPr>
              <w:pStyle w:val="6"/>
              <w:spacing w:before="264" w:line="220" w:lineRule="auto"/>
              <w:ind w:left="351"/>
              <w:rPr>
                <w:sz w:val="18"/>
                <w:szCs w:val="18"/>
              </w:rPr>
            </w:pPr>
            <w:r>
              <w:rPr>
                <w:spacing w:val="-2"/>
                <w:sz w:val="18"/>
                <w:szCs w:val="18"/>
              </w:rPr>
              <w:t>影响因子</w:t>
            </w:r>
          </w:p>
        </w:tc>
        <w:tc>
          <w:tcPr>
            <w:tcW w:w="3720" w:type="dxa"/>
            <w:gridSpan w:val="2"/>
            <w:vAlign w:val="top"/>
          </w:tcPr>
          <w:p w14:paraId="4E0C8A52">
            <w:pPr>
              <w:pStyle w:val="6"/>
              <w:spacing w:before="32" w:line="171" w:lineRule="auto"/>
              <w:ind w:left="4"/>
              <w:jc w:val="both"/>
              <w:rPr>
                <w:rFonts w:ascii="微软雅黑" w:hAnsi="微软雅黑" w:eastAsia="微软雅黑" w:cs="微软雅黑"/>
                <w:sz w:val="18"/>
                <w:szCs w:val="18"/>
              </w:rPr>
            </w:pPr>
            <w:r>
              <w:rPr>
                <w:spacing w:val="-5"/>
                <w:sz w:val="18"/>
                <w:szCs w:val="18"/>
              </w:rPr>
              <w:t xml:space="preserve">持久性污染物 </w:t>
            </w:r>
            <w:r>
              <w:rPr>
                <w:rFonts w:ascii="微软雅黑" w:hAnsi="微软雅黑" w:eastAsia="微软雅黑" w:cs="微软雅黑"/>
                <w:spacing w:val="-5"/>
                <w:sz w:val="18"/>
                <w:szCs w:val="18"/>
              </w:rPr>
              <w:t>□</w:t>
            </w:r>
            <w:r>
              <w:rPr>
                <w:rFonts w:ascii="微软雅黑" w:hAnsi="微软雅黑" w:eastAsia="微软雅黑" w:cs="微软雅黑"/>
                <w:spacing w:val="-14"/>
                <w:sz w:val="18"/>
                <w:szCs w:val="18"/>
              </w:rPr>
              <w:t xml:space="preserve"> </w:t>
            </w:r>
            <w:r>
              <w:rPr>
                <w:spacing w:val="-5"/>
                <w:sz w:val="18"/>
                <w:szCs w:val="18"/>
              </w:rPr>
              <w:t>;</w:t>
            </w:r>
            <w:r>
              <w:rPr>
                <w:spacing w:val="40"/>
                <w:w w:val="101"/>
                <w:sz w:val="18"/>
                <w:szCs w:val="18"/>
              </w:rPr>
              <w:t xml:space="preserve"> </w:t>
            </w:r>
            <w:r>
              <w:rPr>
                <w:spacing w:val="-5"/>
                <w:sz w:val="18"/>
                <w:szCs w:val="18"/>
              </w:rPr>
              <w:t>有毒有害污染物</w:t>
            </w:r>
            <w:r>
              <w:rPr>
                <w:spacing w:val="13"/>
                <w:sz w:val="18"/>
                <w:szCs w:val="18"/>
              </w:rPr>
              <w:t xml:space="preserve"> </w:t>
            </w:r>
            <w:r>
              <w:rPr>
                <w:rFonts w:ascii="微软雅黑" w:hAnsi="微软雅黑" w:eastAsia="微软雅黑" w:cs="微软雅黑"/>
                <w:spacing w:val="-5"/>
                <w:sz w:val="18"/>
                <w:szCs w:val="18"/>
              </w:rPr>
              <w:t>□</w:t>
            </w:r>
            <w:r>
              <w:rPr>
                <w:rFonts w:ascii="微软雅黑" w:hAnsi="微软雅黑" w:eastAsia="微软雅黑" w:cs="微软雅黑"/>
                <w:spacing w:val="-30"/>
                <w:sz w:val="18"/>
                <w:szCs w:val="18"/>
              </w:rPr>
              <w:t xml:space="preserve"> </w:t>
            </w:r>
            <w:r>
              <w:rPr>
                <w:spacing w:val="-5"/>
                <w:sz w:val="18"/>
                <w:szCs w:val="18"/>
              </w:rPr>
              <w:t>;</w:t>
            </w:r>
            <w:r>
              <w:rPr>
                <w:spacing w:val="42"/>
                <w:w w:val="101"/>
                <w:sz w:val="18"/>
                <w:szCs w:val="18"/>
              </w:rPr>
              <w:t xml:space="preserve"> </w:t>
            </w:r>
            <w:r>
              <w:rPr>
                <w:spacing w:val="-5"/>
                <w:sz w:val="18"/>
                <w:szCs w:val="18"/>
              </w:rPr>
              <w:t>非持久</w:t>
            </w:r>
            <w:r>
              <w:rPr>
                <w:sz w:val="18"/>
                <w:szCs w:val="18"/>
              </w:rPr>
              <w:t xml:space="preserve"> </w:t>
            </w:r>
            <w:r>
              <w:rPr>
                <w:spacing w:val="-7"/>
                <w:sz w:val="18"/>
                <w:szCs w:val="18"/>
              </w:rPr>
              <w:t xml:space="preserve">性污染物 </w:t>
            </w:r>
            <w:r>
              <w:rPr>
                <w:rFonts w:ascii="微软雅黑" w:hAnsi="微软雅黑" w:eastAsia="微软雅黑" w:cs="微软雅黑"/>
                <w:spacing w:val="-7"/>
                <w:sz w:val="18"/>
                <w:szCs w:val="18"/>
              </w:rPr>
              <w:t>□</w:t>
            </w:r>
            <w:r>
              <w:rPr>
                <w:rFonts w:ascii="微软雅黑" w:hAnsi="微软雅黑" w:eastAsia="微软雅黑" w:cs="微软雅黑"/>
                <w:spacing w:val="-29"/>
                <w:sz w:val="18"/>
                <w:szCs w:val="18"/>
              </w:rPr>
              <w:t xml:space="preserve"> </w:t>
            </w:r>
            <w:r>
              <w:rPr>
                <w:spacing w:val="-7"/>
                <w:sz w:val="18"/>
                <w:szCs w:val="18"/>
              </w:rPr>
              <w:t>;</w:t>
            </w:r>
            <w:r>
              <w:rPr>
                <w:spacing w:val="42"/>
                <w:sz w:val="18"/>
                <w:szCs w:val="18"/>
              </w:rPr>
              <w:t xml:space="preserve"> </w:t>
            </w:r>
            <w:r>
              <w:rPr>
                <w:rFonts w:ascii="Times New Roman" w:hAnsi="Times New Roman" w:eastAsia="Times New Roman" w:cs="Times New Roman"/>
                <w:spacing w:val="-7"/>
                <w:sz w:val="18"/>
                <w:szCs w:val="18"/>
              </w:rPr>
              <w:t xml:space="preserve">pH </w:t>
            </w:r>
            <w:r>
              <w:rPr>
                <w:spacing w:val="-7"/>
                <w:sz w:val="18"/>
                <w:szCs w:val="18"/>
              </w:rPr>
              <w:t>值</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3"/>
                <w:sz w:val="18"/>
                <w:szCs w:val="18"/>
              </w:rPr>
              <w:t xml:space="preserve"> </w:t>
            </w:r>
            <w:r>
              <w:rPr>
                <w:spacing w:val="-7"/>
                <w:sz w:val="18"/>
                <w:szCs w:val="18"/>
              </w:rPr>
              <w:t>;</w:t>
            </w:r>
            <w:r>
              <w:rPr>
                <w:spacing w:val="53"/>
                <w:sz w:val="18"/>
                <w:szCs w:val="18"/>
              </w:rPr>
              <w:t xml:space="preserve"> </w:t>
            </w:r>
            <w:r>
              <w:rPr>
                <w:spacing w:val="-7"/>
                <w:sz w:val="18"/>
                <w:szCs w:val="18"/>
              </w:rPr>
              <w:t>热污染</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2"/>
                <w:sz w:val="18"/>
                <w:szCs w:val="18"/>
              </w:rPr>
              <w:t xml:space="preserve"> </w:t>
            </w:r>
            <w:r>
              <w:rPr>
                <w:spacing w:val="-7"/>
                <w:sz w:val="18"/>
                <w:szCs w:val="18"/>
              </w:rPr>
              <w:t>;  富营养化</w:t>
            </w:r>
            <w:r>
              <w:rPr>
                <w:sz w:val="18"/>
                <w:szCs w:val="18"/>
              </w:rPr>
              <w:t xml:space="preserve"> </w:t>
            </w:r>
            <w:r>
              <w:rPr>
                <w:rFonts w:ascii="微软雅黑" w:hAnsi="微软雅黑" w:eastAsia="微软雅黑" w:cs="微软雅黑"/>
                <w:spacing w:val="-3"/>
                <w:sz w:val="18"/>
                <w:szCs w:val="18"/>
              </w:rPr>
              <w:t>□</w:t>
            </w:r>
            <w:r>
              <w:rPr>
                <w:rFonts w:ascii="微软雅黑" w:hAnsi="微软雅黑" w:eastAsia="微软雅黑" w:cs="微软雅黑"/>
                <w:spacing w:val="-28"/>
                <w:sz w:val="18"/>
                <w:szCs w:val="18"/>
              </w:rPr>
              <w:t xml:space="preserve"> </w:t>
            </w:r>
            <w:r>
              <w:rPr>
                <w:spacing w:val="-3"/>
                <w:sz w:val="18"/>
                <w:szCs w:val="18"/>
              </w:rPr>
              <w:t>;</w:t>
            </w:r>
            <w:r>
              <w:rPr>
                <w:spacing w:val="50"/>
                <w:sz w:val="18"/>
                <w:szCs w:val="18"/>
              </w:rPr>
              <w:t xml:space="preserve"> </w:t>
            </w:r>
            <w:r>
              <w:rPr>
                <w:spacing w:val="-3"/>
                <w:sz w:val="18"/>
                <w:szCs w:val="18"/>
              </w:rPr>
              <w:t>其他</w:t>
            </w:r>
            <w:r>
              <w:rPr>
                <w:spacing w:val="14"/>
                <w:sz w:val="18"/>
                <w:szCs w:val="18"/>
              </w:rPr>
              <w:t xml:space="preserve"> </w:t>
            </w:r>
            <w:r>
              <w:rPr>
                <w:rFonts w:ascii="微软雅黑" w:hAnsi="微软雅黑" w:eastAsia="微软雅黑" w:cs="微软雅黑"/>
                <w:spacing w:val="-3"/>
                <w:sz w:val="18"/>
                <w:szCs w:val="18"/>
              </w:rPr>
              <w:t>□</w:t>
            </w:r>
          </w:p>
        </w:tc>
        <w:tc>
          <w:tcPr>
            <w:tcW w:w="3570" w:type="dxa"/>
            <w:gridSpan w:val="3"/>
            <w:tcBorders>
              <w:right w:val="single" w:color="000000" w:sz="10" w:space="0"/>
            </w:tcBorders>
            <w:vAlign w:val="top"/>
          </w:tcPr>
          <w:p w14:paraId="14BCBF3E">
            <w:pPr>
              <w:pStyle w:val="6"/>
              <w:spacing w:before="148" w:line="189" w:lineRule="auto"/>
              <w:ind w:left="12" w:right="45" w:firstLine="1"/>
              <w:rPr>
                <w:rFonts w:ascii="微软雅黑" w:hAnsi="微软雅黑" w:eastAsia="微软雅黑" w:cs="微软雅黑"/>
                <w:sz w:val="18"/>
                <w:szCs w:val="18"/>
              </w:rPr>
            </w:pPr>
            <w:r>
              <w:rPr>
                <w:spacing w:val="-10"/>
                <w:sz w:val="18"/>
                <w:szCs w:val="18"/>
              </w:rPr>
              <w:t>水温</w:t>
            </w:r>
            <w:r>
              <w:rPr>
                <w:spacing w:val="20"/>
                <w:sz w:val="18"/>
                <w:szCs w:val="18"/>
              </w:rPr>
              <w:t xml:space="preserve"> </w:t>
            </w:r>
            <w:r>
              <w:rPr>
                <w:rFonts w:ascii="微软雅黑" w:hAnsi="微软雅黑" w:eastAsia="微软雅黑" w:cs="微软雅黑"/>
                <w:spacing w:val="-10"/>
                <w:sz w:val="18"/>
                <w:szCs w:val="18"/>
              </w:rPr>
              <w:t>□</w:t>
            </w:r>
            <w:r>
              <w:rPr>
                <w:rFonts w:ascii="微软雅黑" w:hAnsi="微软雅黑" w:eastAsia="微软雅黑" w:cs="微软雅黑"/>
                <w:spacing w:val="-32"/>
                <w:sz w:val="18"/>
                <w:szCs w:val="18"/>
              </w:rPr>
              <w:t xml:space="preserve"> </w:t>
            </w:r>
            <w:r>
              <w:rPr>
                <w:spacing w:val="-10"/>
                <w:sz w:val="18"/>
                <w:szCs w:val="18"/>
              </w:rPr>
              <w:t>; 水位（水深）</w:t>
            </w:r>
            <w:r>
              <w:rPr>
                <w:spacing w:val="-34"/>
                <w:sz w:val="18"/>
                <w:szCs w:val="18"/>
              </w:rPr>
              <w:t xml:space="preserve"> </w:t>
            </w:r>
            <w:r>
              <w:rPr>
                <w:rFonts w:ascii="微软雅黑" w:hAnsi="微软雅黑" w:eastAsia="微软雅黑" w:cs="微软雅黑"/>
                <w:spacing w:val="-10"/>
                <w:sz w:val="18"/>
                <w:szCs w:val="18"/>
              </w:rPr>
              <w:t>□</w:t>
            </w:r>
            <w:r>
              <w:rPr>
                <w:rFonts w:ascii="微软雅黑" w:hAnsi="微软雅黑" w:eastAsia="微软雅黑" w:cs="微软雅黑"/>
                <w:spacing w:val="-31"/>
                <w:sz w:val="18"/>
                <w:szCs w:val="18"/>
              </w:rPr>
              <w:t xml:space="preserve"> </w:t>
            </w:r>
            <w:r>
              <w:rPr>
                <w:spacing w:val="-10"/>
                <w:sz w:val="18"/>
                <w:szCs w:val="18"/>
              </w:rPr>
              <w:t>; 流速</w:t>
            </w:r>
            <w:r>
              <w:rPr>
                <w:spacing w:val="14"/>
                <w:sz w:val="18"/>
                <w:szCs w:val="18"/>
              </w:rPr>
              <w:t xml:space="preserve"> </w:t>
            </w:r>
            <w:r>
              <w:rPr>
                <w:rFonts w:ascii="微软雅黑" w:hAnsi="微软雅黑" w:eastAsia="微软雅黑" w:cs="微软雅黑"/>
                <w:spacing w:val="-10"/>
                <w:sz w:val="18"/>
                <w:szCs w:val="18"/>
              </w:rPr>
              <w:t>□</w:t>
            </w:r>
            <w:r>
              <w:rPr>
                <w:rFonts w:ascii="微软雅黑" w:hAnsi="微软雅黑" w:eastAsia="微软雅黑" w:cs="微软雅黑"/>
                <w:spacing w:val="-30"/>
                <w:sz w:val="18"/>
                <w:szCs w:val="18"/>
              </w:rPr>
              <w:t xml:space="preserve"> </w:t>
            </w:r>
            <w:r>
              <w:rPr>
                <w:spacing w:val="-10"/>
                <w:sz w:val="18"/>
                <w:szCs w:val="18"/>
              </w:rPr>
              <w:t>; 流量</w:t>
            </w:r>
            <w:r>
              <w:rPr>
                <w:spacing w:val="14"/>
                <w:sz w:val="18"/>
                <w:szCs w:val="18"/>
              </w:rPr>
              <w:t xml:space="preserve"> </w:t>
            </w:r>
            <w:r>
              <w:rPr>
                <w:rFonts w:ascii="微软雅黑" w:hAnsi="微软雅黑" w:eastAsia="微软雅黑" w:cs="微软雅黑"/>
                <w:spacing w:val="-10"/>
                <w:sz w:val="18"/>
                <w:szCs w:val="18"/>
              </w:rPr>
              <w:t>□</w:t>
            </w:r>
            <w:r>
              <w:rPr>
                <w:rFonts w:ascii="微软雅黑" w:hAnsi="微软雅黑" w:eastAsia="微软雅黑" w:cs="微软雅黑"/>
                <w:spacing w:val="-31"/>
                <w:sz w:val="18"/>
                <w:szCs w:val="18"/>
              </w:rPr>
              <w:t xml:space="preserve"> </w:t>
            </w:r>
            <w:r>
              <w:rPr>
                <w:spacing w:val="-10"/>
                <w:sz w:val="18"/>
                <w:szCs w:val="18"/>
              </w:rPr>
              <w:t>;</w:t>
            </w:r>
            <w:r>
              <w:rPr>
                <w:sz w:val="18"/>
                <w:szCs w:val="18"/>
              </w:rPr>
              <w:t xml:space="preserve"> </w:t>
            </w:r>
            <w:r>
              <w:rPr>
                <w:spacing w:val="6"/>
                <w:sz w:val="18"/>
                <w:szCs w:val="18"/>
              </w:rPr>
              <w:t>其他</w:t>
            </w:r>
            <w:r>
              <w:rPr>
                <w:spacing w:val="17"/>
                <w:sz w:val="18"/>
                <w:szCs w:val="18"/>
              </w:rPr>
              <w:t xml:space="preserve"> </w:t>
            </w:r>
            <w:r>
              <w:rPr>
                <w:rFonts w:ascii="微软雅黑" w:hAnsi="微软雅黑" w:eastAsia="微软雅黑" w:cs="微软雅黑"/>
                <w:spacing w:val="6"/>
                <w:sz w:val="18"/>
                <w:szCs w:val="18"/>
              </w:rPr>
              <w:t>□</w:t>
            </w:r>
          </w:p>
        </w:tc>
      </w:tr>
      <w:tr w14:paraId="442661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7" w:hRule="atLeast"/>
        </w:trPr>
        <w:tc>
          <w:tcPr>
            <w:tcW w:w="1812" w:type="dxa"/>
            <w:gridSpan w:val="2"/>
            <w:vMerge w:val="restart"/>
            <w:tcBorders>
              <w:left w:val="single" w:color="000000" w:sz="10" w:space="0"/>
              <w:bottom w:val="nil"/>
            </w:tcBorders>
            <w:vAlign w:val="top"/>
          </w:tcPr>
          <w:p w14:paraId="5C68D84A">
            <w:pPr>
              <w:pStyle w:val="6"/>
              <w:spacing w:before="154" w:line="218" w:lineRule="auto"/>
              <w:ind w:left="541"/>
              <w:rPr>
                <w:sz w:val="18"/>
                <w:szCs w:val="18"/>
              </w:rPr>
            </w:pPr>
            <w:r>
              <w:rPr>
                <w:spacing w:val="-2"/>
                <w:sz w:val="18"/>
                <w:szCs w:val="18"/>
              </w:rPr>
              <w:t>评价等级</w:t>
            </w:r>
          </w:p>
        </w:tc>
        <w:tc>
          <w:tcPr>
            <w:tcW w:w="3720" w:type="dxa"/>
            <w:gridSpan w:val="2"/>
            <w:vAlign w:val="top"/>
          </w:tcPr>
          <w:p w14:paraId="553F489D">
            <w:pPr>
              <w:pStyle w:val="6"/>
              <w:spacing w:before="33" w:line="198" w:lineRule="auto"/>
              <w:ind w:left="1324"/>
              <w:rPr>
                <w:sz w:val="18"/>
                <w:szCs w:val="18"/>
              </w:rPr>
            </w:pPr>
            <w:r>
              <w:rPr>
                <w:spacing w:val="-2"/>
                <w:sz w:val="18"/>
                <w:szCs w:val="18"/>
              </w:rPr>
              <w:t>水污染影响型</w:t>
            </w:r>
          </w:p>
        </w:tc>
        <w:tc>
          <w:tcPr>
            <w:tcW w:w="3570" w:type="dxa"/>
            <w:gridSpan w:val="3"/>
            <w:tcBorders>
              <w:right w:val="single" w:color="000000" w:sz="10" w:space="0"/>
            </w:tcBorders>
            <w:vAlign w:val="top"/>
          </w:tcPr>
          <w:p w14:paraId="6BFD52E0">
            <w:pPr>
              <w:pStyle w:val="6"/>
              <w:spacing w:before="33" w:line="198" w:lineRule="auto"/>
              <w:ind w:left="1156"/>
              <w:rPr>
                <w:sz w:val="18"/>
                <w:szCs w:val="18"/>
              </w:rPr>
            </w:pPr>
            <w:r>
              <w:rPr>
                <w:spacing w:val="-2"/>
                <w:sz w:val="18"/>
                <w:szCs w:val="18"/>
              </w:rPr>
              <w:t>水文要素影响型</w:t>
            </w:r>
          </w:p>
        </w:tc>
      </w:tr>
      <w:tr w14:paraId="0217B1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1812" w:type="dxa"/>
            <w:gridSpan w:val="2"/>
            <w:vMerge w:val="continue"/>
            <w:tcBorders>
              <w:top w:val="nil"/>
              <w:left w:val="single" w:color="000000" w:sz="10" w:space="0"/>
            </w:tcBorders>
            <w:vAlign w:val="top"/>
          </w:tcPr>
          <w:p w14:paraId="1425D6F3">
            <w:pPr>
              <w:rPr>
                <w:rFonts w:ascii="Arial"/>
                <w:sz w:val="21"/>
              </w:rPr>
            </w:pPr>
          </w:p>
        </w:tc>
        <w:tc>
          <w:tcPr>
            <w:tcW w:w="3720" w:type="dxa"/>
            <w:gridSpan w:val="2"/>
            <w:vAlign w:val="top"/>
          </w:tcPr>
          <w:p w14:paraId="3FD45941">
            <w:pPr>
              <w:pStyle w:val="6"/>
              <w:spacing w:before="37" w:line="190" w:lineRule="exact"/>
              <w:ind w:left="5"/>
              <w:rPr>
                <w:rFonts w:ascii="微软雅黑" w:hAnsi="微软雅黑" w:eastAsia="微软雅黑" w:cs="微软雅黑"/>
                <w:sz w:val="18"/>
                <w:szCs w:val="18"/>
              </w:rPr>
            </w:pPr>
            <w:r>
              <w:rPr>
                <w:spacing w:val="-8"/>
                <w:sz w:val="18"/>
                <w:szCs w:val="18"/>
              </w:rPr>
              <w:t xml:space="preserve">一级 </w:t>
            </w:r>
            <w:r>
              <w:rPr>
                <w:rFonts w:ascii="微软雅黑" w:hAnsi="微软雅黑" w:eastAsia="微软雅黑" w:cs="微软雅黑"/>
                <w:spacing w:val="-8"/>
                <w:sz w:val="18"/>
                <w:szCs w:val="18"/>
              </w:rPr>
              <w:t>□</w:t>
            </w:r>
            <w:r>
              <w:rPr>
                <w:rFonts w:ascii="微软雅黑" w:hAnsi="微软雅黑" w:eastAsia="微软雅黑" w:cs="微软雅黑"/>
                <w:spacing w:val="-23"/>
                <w:sz w:val="18"/>
                <w:szCs w:val="18"/>
              </w:rPr>
              <w:t xml:space="preserve"> </w:t>
            </w:r>
            <w:r>
              <w:rPr>
                <w:spacing w:val="-8"/>
                <w:sz w:val="18"/>
                <w:szCs w:val="18"/>
              </w:rPr>
              <w:t>;</w:t>
            </w:r>
            <w:r>
              <w:rPr>
                <w:spacing w:val="52"/>
                <w:sz w:val="18"/>
                <w:szCs w:val="18"/>
              </w:rPr>
              <w:t xml:space="preserve"> </w:t>
            </w:r>
            <w:r>
              <w:rPr>
                <w:spacing w:val="-8"/>
                <w:sz w:val="18"/>
                <w:szCs w:val="18"/>
              </w:rPr>
              <w:t>二级</w:t>
            </w:r>
            <w:r>
              <w:rPr>
                <w:spacing w:val="17"/>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3"/>
                <w:sz w:val="18"/>
                <w:szCs w:val="18"/>
              </w:rPr>
              <w:t xml:space="preserve"> </w:t>
            </w:r>
            <w:r>
              <w:rPr>
                <w:spacing w:val="-8"/>
                <w:sz w:val="18"/>
                <w:szCs w:val="18"/>
              </w:rPr>
              <w:t>;</w:t>
            </w:r>
            <w:r>
              <w:rPr>
                <w:spacing w:val="49"/>
                <w:sz w:val="18"/>
                <w:szCs w:val="18"/>
              </w:rPr>
              <w:t xml:space="preserve"> </w:t>
            </w:r>
            <w:r>
              <w:rPr>
                <w:spacing w:val="-8"/>
                <w:sz w:val="18"/>
                <w:szCs w:val="18"/>
              </w:rPr>
              <w:t>三级</w:t>
            </w:r>
            <w:r>
              <w:rPr>
                <w:spacing w:val="-43"/>
                <w:sz w:val="18"/>
                <w:szCs w:val="18"/>
              </w:rPr>
              <w:t xml:space="preserve"> </w:t>
            </w:r>
            <w:r>
              <w:rPr>
                <w:rFonts w:ascii="Times New Roman" w:hAnsi="Times New Roman" w:eastAsia="Times New Roman" w:cs="Times New Roman"/>
                <w:spacing w:val="-8"/>
                <w:sz w:val="18"/>
                <w:szCs w:val="18"/>
              </w:rPr>
              <w:t>A</w:t>
            </w:r>
            <w:r>
              <w:rPr>
                <w:rFonts w:ascii="Times New Roman" w:hAnsi="Times New Roman" w:eastAsia="Times New Roman" w:cs="Times New Roman"/>
                <w:spacing w:val="6"/>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3"/>
                <w:sz w:val="18"/>
                <w:szCs w:val="18"/>
              </w:rPr>
              <w:t xml:space="preserve"> </w:t>
            </w:r>
            <w:r>
              <w:rPr>
                <w:spacing w:val="-8"/>
                <w:sz w:val="18"/>
                <w:szCs w:val="18"/>
              </w:rPr>
              <w:t>;</w:t>
            </w:r>
            <w:r>
              <w:rPr>
                <w:spacing w:val="49"/>
                <w:sz w:val="18"/>
                <w:szCs w:val="18"/>
              </w:rPr>
              <w:t xml:space="preserve"> </w:t>
            </w:r>
            <w:r>
              <w:rPr>
                <w:spacing w:val="-8"/>
                <w:sz w:val="18"/>
                <w:szCs w:val="18"/>
              </w:rPr>
              <w:t>三级</w:t>
            </w:r>
            <w:r>
              <w:rPr>
                <w:spacing w:val="-41"/>
                <w:sz w:val="18"/>
                <w:szCs w:val="18"/>
              </w:rPr>
              <w:t xml:space="preserve"> </w:t>
            </w:r>
            <w:r>
              <w:rPr>
                <w:rFonts w:ascii="Times New Roman" w:hAnsi="Times New Roman" w:eastAsia="Times New Roman" w:cs="Times New Roman"/>
                <w:spacing w:val="-8"/>
                <w:sz w:val="18"/>
                <w:szCs w:val="18"/>
              </w:rPr>
              <w:t>B</w:t>
            </w:r>
            <w:r>
              <w:rPr>
                <w:rFonts w:ascii="Times New Roman" w:hAnsi="Times New Roman" w:eastAsia="Times New Roman" w:cs="Times New Roman"/>
                <w:spacing w:val="16"/>
                <w:sz w:val="18"/>
                <w:szCs w:val="18"/>
              </w:rPr>
              <w:t xml:space="preserve"> </w:t>
            </w:r>
            <w:r>
              <w:rPr>
                <w:rFonts w:ascii="微软雅黑" w:hAnsi="微软雅黑" w:eastAsia="微软雅黑" w:cs="微软雅黑"/>
                <w:spacing w:val="-8"/>
                <w:sz w:val="18"/>
                <w:szCs w:val="18"/>
              </w:rPr>
              <w:t>四</w:t>
            </w:r>
          </w:p>
        </w:tc>
        <w:tc>
          <w:tcPr>
            <w:tcW w:w="3570" w:type="dxa"/>
            <w:gridSpan w:val="3"/>
            <w:tcBorders>
              <w:right w:val="single" w:color="000000" w:sz="10" w:space="0"/>
            </w:tcBorders>
            <w:vAlign w:val="top"/>
          </w:tcPr>
          <w:p w14:paraId="6166C10F">
            <w:pPr>
              <w:pStyle w:val="6"/>
              <w:spacing w:before="37" w:line="190" w:lineRule="exact"/>
              <w:ind w:left="15"/>
              <w:rPr>
                <w:rFonts w:ascii="微软雅黑" w:hAnsi="微软雅黑" w:eastAsia="微软雅黑" w:cs="微软雅黑"/>
                <w:sz w:val="18"/>
                <w:szCs w:val="18"/>
              </w:rPr>
            </w:pPr>
            <w:r>
              <w:rPr>
                <w:spacing w:val="-7"/>
                <w:position w:val="-1"/>
                <w:sz w:val="18"/>
                <w:szCs w:val="18"/>
              </w:rPr>
              <w:t>一级</w:t>
            </w:r>
            <w:r>
              <w:rPr>
                <w:spacing w:val="19"/>
                <w:position w:val="-1"/>
                <w:sz w:val="18"/>
                <w:szCs w:val="18"/>
              </w:rPr>
              <w:t xml:space="preserve"> </w:t>
            </w:r>
            <w:r>
              <w:rPr>
                <w:rFonts w:ascii="微软雅黑" w:hAnsi="微软雅黑" w:eastAsia="微软雅黑" w:cs="微软雅黑"/>
                <w:spacing w:val="-7"/>
                <w:position w:val="-1"/>
                <w:sz w:val="18"/>
                <w:szCs w:val="18"/>
              </w:rPr>
              <w:t>□</w:t>
            </w:r>
            <w:r>
              <w:rPr>
                <w:rFonts w:ascii="微软雅黑" w:hAnsi="微软雅黑" w:eastAsia="微软雅黑" w:cs="微软雅黑"/>
                <w:spacing w:val="-32"/>
                <w:position w:val="-1"/>
                <w:sz w:val="18"/>
                <w:szCs w:val="18"/>
              </w:rPr>
              <w:t xml:space="preserve"> </w:t>
            </w:r>
            <w:r>
              <w:rPr>
                <w:spacing w:val="-7"/>
                <w:position w:val="-1"/>
                <w:sz w:val="18"/>
                <w:szCs w:val="18"/>
              </w:rPr>
              <w:t>;</w:t>
            </w:r>
            <w:r>
              <w:rPr>
                <w:spacing w:val="52"/>
                <w:position w:val="-1"/>
                <w:sz w:val="18"/>
                <w:szCs w:val="18"/>
              </w:rPr>
              <w:t xml:space="preserve"> </w:t>
            </w:r>
            <w:r>
              <w:rPr>
                <w:spacing w:val="-7"/>
                <w:position w:val="-1"/>
                <w:sz w:val="18"/>
                <w:szCs w:val="18"/>
              </w:rPr>
              <w:t>二级</w:t>
            </w:r>
            <w:r>
              <w:rPr>
                <w:spacing w:val="16"/>
                <w:position w:val="-1"/>
                <w:sz w:val="18"/>
                <w:szCs w:val="18"/>
              </w:rPr>
              <w:t xml:space="preserve"> </w:t>
            </w:r>
            <w:r>
              <w:rPr>
                <w:rFonts w:ascii="微软雅黑" w:hAnsi="微软雅黑" w:eastAsia="微软雅黑" w:cs="微软雅黑"/>
                <w:spacing w:val="-7"/>
                <w:position w:val="-1"/>
                <w:sz w:val="18"/>
                <w:szCs w:val="18"/>
              </w:rPr>
              <w:t>□</w:t>
            </w:r>
            <w:r>
              <w:rPr>
                <w:rFonts w:ascii="微软雅黑" w:hAnsi="微软雅黑" w:eastAsia="微软雅黑" w:cs="微软雅黑"/>
                <w:spacing w:val="-33"/>
                <w:position w:val="-1"/>
                <w:sz w:val="18"/>
                <w:szCs w:val="18"/>
              </w:rPr>
              <w:t xml:space="preserve"> </w:t>
            </w:r>
            <w:r>
              <w:rPr>
                <w:spacing w:val="-7"/>
                <w:position w:val="-1"/>
                <w:sz w:val="18"/>
                <w:szCs w:val="18"/>
              </w:rPr>
              <w:t>;</w:t>
            </w:r>
            <w:r>
              <w:rPr>
                <w:spacing w:val="49"/>
                <w:position w:val="-1"/>
                <w:sz w:val="18"/>
                <w:szCs w:val="18"/>
              </w:rPr>
              <w:t xml:space="preserve"> </w:t>
            </w:r>
            <w:r>
              <w:rPr>
                <w:spacing w:val="-7"/>
                <w:position w:val="-1"/>
                <w:sz w:val="18"/>
                <w:szCs w:val="18"/>
              </w:rPr>
              <w:t>三级</w:t>
            </w:r>
            <w:r>
              <w:rPr>
                <w:spacing w:val="17"/>
                <w:position w:val="-1"/>
                <w:sz w:val="18"/>
                <w:szCs w:val="18"/>
              </w:rPr>
              <w:t xml:space="preserve"> </w:t>
            </w:r>
            <w:r>
              <w:rPr>
                <w:rFonts w:ascii="微软雅黑" w:hAnsi="微软雅黑" w:eastAsia="微软雅黑" w:cs="微软雅黑"/>
                <w:spacing w:val="-7"/>
                <w:position w:val="-1"/>
                <w:sz w:val="18"/>
                <w:szCs w:val="18"/>
              </w:rPr>
              <w:t>□</w:t>
            </w:r>
          </w:p>
        </w:tc>
      </w:tr>
      <w:tr w14:paraId="0FDFE8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restart"/>
            <w:tcBorders>
              <w:left w:val="single" w:color="000000" w:sz="10" w:space="0"/>
              <w:bottom w:val="nil"/>
            </w:tcBorders>
            <w:textDirection w:val="tbRlV"/>
            <w:vAlign w:val="top"/>
          </w:tcPr>
          <w:p w14:paraId="75449409">
            <w:pPr>
              <w:pStyle w:val="6"/>
              <w:spacing w:before="96" w:line="208" w:lineRule="auto"/>
              <w:ind w:left="1358"/>
              <w:rPr>
                <w:sz w:val="18"/>
                <w:szCs w:val="18"/>
              </w:rPr>
            </w:pPr>
            <w:r>
              <w:rPr>
                <w:spacing w:val="40"/>
                <w:sz w:val="18"/>
                <w:szCs w:val="18"/>
              </w:rPr>
              <w:t>现状调查</w:t>
            </w:r>
          </w:p>
        </w:tc>
        <w:tc>
          <w:tcPr>
            <w:tcW w:w="1434" w:type="dxa"/>
            <w:vMerge w:val="restart"/>
            <w:tcBorders>
              <w:bottom w:val="nil"/>
            </w:tcBorders>
            <w:vAlign w:val="top"/>
          </w:tcPr>
          <w:p w14:paraId="434C601A">
            <w:pPr>
              <w:spacing w:line="329" w:lineRule="auto"/>
              <w:rPr>
                <w:rFonts w:ascii="Arial"/>
                <w:sz w:val="21"/>
              </w:rPr>
            </w:pPr>
          </w:p>
          <w:p w14:paraId="077327C8">
            <w:pPr>
              <w:pStyle w:val="6"/>
              <w:spacing w:before="58" w:line="219" w:lineRule="auto"/>
              <w:ind w:left="276"/>
              <w:rPr>
                <w:sz w:val="18"/>
                <w:szCs w:val="18"/>
              </w:rPr>
            </w:pPr>
            <w:r>
              <w:rPr>
                <w:spacing w:val="-5"/>
                <w:sz w:val="18"/>
                <w:szCs w:val="18"/>
              </w:rPr>
              <w:t>区域污染源</w:t>
            </w:r>
          </w:p>
        </w:tc>
        <w:tc>
          <w:tcPr>
            <w:tcW w:w="3720" w:type="dxa"/>
            <w:gridSpan w:val="2"/>
            <w:vAlign w:val="top"/>
          </w:tcPr>
          <w:p w14:paraId="47563BC9">
            <w:pPr>
              <w:pStyle w:val="6"/>
              <w:spacing w:before="36" w:line="196" w:lineRule="auto"/>
              <w:ind w:left="1504"/>
              <w:rPr>
                <w:sz w:val="18"/>
                <w:szCs w:val="18"/>
              </w:rPr>
            </w:pPr>
            <w:r>
              <w:rPr>
                <w:spacing w:val="-3"/>
                <w:sz w:val="18"/>
                <w:szCs w:val="18"/>
              </w:rPr>
              <w:t>调查项目</w:t>
            </w:r>
          </w:p>
        </w:tc>
        <w:tc>
          <w:tcPr>
            <w:tcW w:w="3570" w:type="dxa"/>
            <w:gridSpan w:val="3"/>
            <w:tcBorders>
              <w:right w:val="single" w:color="000000" w:sz="10" w:space="0"/>
            </w:tcBorders>
            <w:vAlign w:val="top"/>
          </w:tcPr>
          <w:p w14:paraId="179D8566">
            <w:pPr>
              <w:pStyle w:val="6"/>
              <w:spacing w:before="36" w:line="196" w:lineRule="auto"/>
              <w:ind w:left="1427"/>
              <w:rPr>
                <w:sz w:val="18"/>
                <w:szCs w:val="18"/>
              </w:rPr>
            </w:pPr>
            <w:r>
              <w:rPr>
                <w:spacing w:val="-3"/>
                <w:sz w:val="18"/>
                <w:szCs w:val="18"/>
              </w:rPr>
              <w:t>数据来源</w:t>
            </w:r>
          </w:p>
        </w:tc>
      </w:tr>
      <w:tr w14:paraId="42DDF9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3" w:hRule="atLeast"/>
        </w:trPr>
        <w:tc>
          <w:tcPr>
            <w:tcW w:w="378" w:type="dxa"/>
            <w:vMerge w:val="continue"/>
            <w:tcBorders>
              <w:top w:val="nil"/>
              <w:left w:val="single" w:color="000000" w:sz="10" w:space="0"/>
              <w:bottom w:val="nil"/>
            </w:tcBorders>
            <w:textDirection w:val="tbRlV"/>
            <w:vAlign w:val="top"/>
          </w:tcPr>
          <w:p w14:paraId="315D2AD7">
            <w:pPr>
              <w:rPr>
                <w:rFonts w:ascii="Arial"/>
                <w:sz w:val="21"/>
              </w:rPr>
            </w:pPr>
          </w:p>
        </w:tc>
        <w:tc>
          <w:tcPr>
            <w:tcW w:w="1434" w:type="dxa"/>
            <w:vMerge w:val="continue"/>
            <w:tcBorders>
              <w:top w:val="nil"/>
            </w:tcBorders>
            <w:vAlign w:val="top"/>
          </w:tcPr>
          <w:p w14:paraId="3AAEDA93">
            <w:pPr>
              <w:rPr>
                <w:rFonts w:ascii="Arial"/>
                <w:sz w:val="21"/>
              </w:rPr>
            </w:pPr>
          </w:p>
        </w:tc>
        <w:tc>
          <w:tcPr>
            <w:tcW w:w="2234" w:type="dxa"/>
            <w:vAlign w:val="top"/>
          </w:tcPr>
          <w:p w14:paraId="33A95C70">
            <w:pPr>
              <w:pStyle w:val="6"/>
              <w:spacing w:before="154" w:line="189" w:lineRule="auto"/>
              <w:ind w:left="3" w:right="85" w:firstLine="18"/>
              <w:rPr>
                <w:rFonts w:ascii="微软雅黑" w:hAnsi="微软雅黑" w:eastAsia="微软雅黑" w:cs="微软雅黑"/>
                <w:sz w:val="18"/>
                <w:szCs w:val="18"/>
              </w:rPr>
            </w:pPr>
            <w:r>
              <w:rPr>
                <w:spacing w:val="-10"/>
                <w:sz w:val="18"/>
                <w:szCs w:val="18"/>
              </w:rPr>
              <w:t>已建</w:t>
            </w:r>
            <w:r>
              <w:rPr>
                <w:spacing w:val="20"/>
                <w:sz w:val="18"/>
                <w:szCs w:val="18"/>
              </w:rPr>
              <w:t xml:space="preserve"> </w:t>
            </w:r>
            <w:r>
              <w:rPr>
                <w:rFonts w:ascii="微软雅黑" w:hAnsi="微软雅黑" w:eastAsia="微软雅黑" w:cs="微软雅黑"/>
                <w:spacing w:val="-10"/>
                <w:sz w:val="18"/>
                <w:szCs w:val="18"/>
              </w:rPr>
              <w:t>□</w:t>
            </w:r>
            <w:r>
              <w:rPr>
                <w:rFonts w:ascii="微软雅黑" w:hAnsi="微软雅黑" w:eastAsia="微软雅黑" w:cs="微软雅黑"/>
                <w:spacing w:val="-30"/>
                <w:sz w:val="18"/>
                <w:szCs w:val="18"/>
              </w:rPr>
              <w:t xml:space="preserve"> </w:t>
            </w:r>
            <w:r>
              <w:rPr>
                <w:spacing w:val="-10"/>
                <w:sz w:val="18"/>
                <w:szCs w:val="18"/>
              </w:rPr>
              <w:t>;</w:t>
            </w:r>
            <w:r>
              <w:rPr>
                <w:spacing w:val="48"/>
                <w:sz w:val="18"/>
                <w:szCs w:val="18"/>
              </w:rPr>
              <w:t xml:space="preserve"> </w:t>
            </w:r>
            <w:r>
              <w:rPr>
                <w:spacing w:val="-10"/>
                <w:sz w:val="18"/>
                <w:szCs w:val="18"/>
              </w:rPr>
              <w:t>在建</w:t>
            </w:r>
            <w:r>
              <w:rPr>
                <w:spacing w:val="17"/>
                <w:sz w:val="18"/>
                <w:szCs w:val="18"/>
              </w:rPr>
              <w:t xml:space="preserve"> </w:t>
            </w:r>
            <w:r>
              <w:rPr>
                <w:rFonts w:ascii="微软雅黑" w:hAnsi="微软雅黑" w:eastAsia="微软雅黑" w:cs="微软雅黑"/>
                <w:spacing w:val="-10"/>
                <w:sz w:val="18"/>
                <w:szCs w:val="18"/>
              </w:rPr>
              <w:t>□</w:t>
            </w:r>
            <w:r>
              <w:rPr>
                <w:rFonts w:ascii="微软雅黑" w:hAnsi="微软雅黑" w:eastAsia="微软雅黑" w:cs="微软雅黑"/>
                <w:spacing w:val="-33"/>
                <w:sz w:val="18"/>
                <w:szCs w:val="18"/>
              </w:rPr>
              <w:t xml:space="preserve"> </w:t>
            </w:r>
            <w:r>
              <w:rPr>
                <w:spacing w:val="-10"/>
                <w:sz w:val="18"/>
                <w:szCs w:val="18"/>
              </w:rPr>
              <w:t>;</w:t>
            </w:r>
            <w:r>
              <w:rPr>
                <w:spacing w:val="49"/>
                <w:sz w:val="18"/>
                <w:szCs w:val="18"/>
              </w:rPr>
              <w:t xml:space="preserve"> </w:t>
            </w:r>
            <w:r>
              <w:rPr>
                <w:spacing w:val="-10"/>
                <w:sz w:val="18"/>
                <w:szCs w:val="18"/>
              </w:rPr>
              <w:t>拟建</w:t>
            </w:r>
            <w:r>
              <w:rPr>
                <w:rFonts w:ascii="微软雅黑" w:hAnsi="微软雅黑" w:eastAsia="微软雅黑" w:cs="微软雅黑"/>
                <w:spacing w:val="-10"/>
                <w:sz w:val="18"/>
                <w:szCs w:val="18"/>
              </w:rPr>
              <w:t>□</w:t>
            </w:r>
            <w:r>
              <w:rPr>
                <w:spacing w:val="-10"/>
                <w:sz w:val="18"/>
                <w:szCs w:val="18"/>
              </w:rPr>
              <w:t>;</w:t>
            </w:r>
            <w:r>
              <w:rPr>
                <w:sz w:val="18"/>
                <w:szCs w:val="18"/>
              </w:rPr>
              <w:t xml:space="preserve"> </w:t>
            </w:r>
            <w:r>
              <w:rPr>
                <w:spacing w:val="6"/>
                <w:sz w:val="18"/>
                <w:szCs w:val="18"/>
              </w:rPr>
              <w:t>其他</w:t>
            </w:r>
            <w:r>
              <w:rPr>
                <w:spacing w:val="15"/>
                <w:sz w:val="18"/>
                <w:szCs w:val="18"/>
              </w:rPr>
              <w:t xml:space="preserve"> </w:t>
            </w:r>
            <w:r>
              <w:rPr>
                <w:rFonts w:ascii="微软雅黑" w:hAnsi="微软雅黑" w:eastAsia="微软雅黑" w:cs="微软雅黑"/>
                <w:spacing w:val="6"/>
                <w:sz w:val="18"/>
                <w:szCs w:val="18"/>
              </w:rPr>
              <w:t>□</w:t>
            </w:r>
          </w:p>
        </w:tc>
        <w:tc>
          <w:tcPr>
            <w:tcW w:w="1486" w:type="dxa"/>
            <w:vAlign w:val="top"/>
          </w:tcPr>
          <w:p w14:paraId="1ED64081">
            <w:pPr>
              <w:pStyle w:val="6"/>
              <w:spacing w:before="174" w:line="211" w:lineRule="auto"/>
              <w:ind w:left="15" w:right="220" w:hanging="8"/>
              <w:rPr>
                <w:rFonts w:ascii="微软雅黑" w:hAnsi="微软雅黑" w:eastAsia="微软雅黑" w:cs="微软雅黑"/>
                <w:sz w:val="18"/>
                <w:szCs w:val="18"/>
              </w:rPr>
            </w:pPr>
            <w:r>
              <w:rPr>
                <w:spacing w:val="-2"/>
                <w:sz w:val="18"/>
                <w:szCs w:val="18"/>
              </w:rPr>
              <w:t>拟替代的污染源</w:t>
            </w:r>
            <w:r>
              <w:rPr>
                <w:spacing w:val="5"/>
                <w:sz w:val="18"/>
                <w:szCs w:val="18"/>
              </w:rPr>
              <w:t xml:space="preserve"> </w:t>
            </w:r>
            <w:r>
              <w:rPr>
                <w:rFonts w:ascii="微软雅黑" w:hAnsi="微软雅黑" w:eastAsia="微软雅黑" w:cs="微软雅黑"/>
                <w:spacing w:val="27"/>
                <w:sz w:val="18"/>
                <w:szCs w:val="18"/>
              </w:rPr>
              <w:t>□</w:t>
            </w:r>
          </w:p>
        </w:tc>
        <w:tc>
          <w:tcPr>
            <w:tcW w:w="3570" w:type="dxa"/>
            <w:gridSpan w:val="3"/>
            <w:tcBorders>
              <w:right w:val="single" w:color="000000" w:sz="10" w:space="0"/>
            </w:tcBorders>
            <w:vAlign w:val="top"/>
          </w:tcPr>
          <w:p w14:paraId="73737C23">
            <w:pPr>
              <w:pStyle w:val="6"/>
              <w:spacing w:before="36" w:line="170" w:lineRule="auto"/>
              <w:ind w:left="12" w:right="2"/>
              <w:jc w:val="both"/>
              <w:rPr>
                <w:rFonts w:ascii="微软雅黑" w:hAnsi="微软雅黑" w:eastAsia="微软雅黑" w:cs="微软雅黑"/>
                <w:sz w:val="18"/>
                <w:szCs w:val="18"/>
              </w:rPr>
            </w:pPr>
            <w:r>
              <w:rPr>
                <w:spacing w:val="-7"/>
                <w:sz w:val="18"/>
                <w:szCs w:val="18"/>
              </w:rPr>
              <w:t xml:space="preserve">排污许可证 </w:t>
            </w:r>
            <w:r>
              <w:rPr>
                <w:rFonts w:ascii="微软雅黑" w:hAnsi="微软雅黑" w:eastAsia="微软雅黑" w:cs="微软雅黑"/>
                <w:spacing w:val="-7"/>
                <w:sz w:val="18"/>
                <w:szCs w:val="18"/>
              </w:rPr>
              <w:t>□</w:t>
            </w:r>
            <w:r>
              <w:rPr>
                <w:rFonts w:ascii="微软雅黑" w:hAnsi="微软雅黑" w:eastAsia="微软雅黑" w:cs="微软雅黑"/>
                <w:spacing w:val="-30"/>
                <w:sz w:val="18"/>
                <w:szCs w:val="18"/>
              </w:rPr>
              <w:t xml:space="preserve"> </w:t>
            </w:r>
            <w:r>
              <w:rPr>
                <w:spacing w:val="-7"/>
                <w:sz w:val="18"/>
                <w:szCs w:val="18"/>
              </w:rPr>
              <w:t>;</w:t>
            </w:r>
            <w:r>
              <w:rPr>
                <w:spacing w:val="23"/>
                <w:sz w:val="18"/>
                <w:szCs w:val="18"/>
              </w:rPr>
              <w:t xml:space="preserve"> </w:t>
            </w:r>
            <w:r>
              <w:rPr>
                <w:spacing w:val="-7"/>
                <w:sz w:val="18"/>
                <w:szCs w:val="18"/>
              </w:rPr>
              <w:t>环评</w:t>
            </w:r>
            <w:r>
              <w:rPr>
                <w:spacing w:val="14"/>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0"/>
                <w:sz w:val="18"/>
                <w:szCs w:val="18"/>
              </w:rPr>
              <w:t xml:space="preserve"> </w:t>
            </w:r>
            <w:r>
              <w:rPr>
                <w:spacing w:val="-7"/>
                <w:sz w:val="18"/>
                <w:szCs w:val="18"/>
              </w:rPr>
              <w:t>;</w:t>
            </w:r>
            <w:r>
              <w:rPr>
                <w:spacing w:val="20"/>
                <w:sz w:val="18"/>
                <w:szCs w:val="18"/>
              </w:rPr>
              <w:t xml:space="preserve"> </w:t>
            </w:r>
            <w:r>
              <w:rPr>
                <w:spacing w:val="-7"/>
                <w:sz w:val="18"/>
                <w:szCs w:val="18"/>
              </w:rPr>
              <w:t>环保验收</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2"/>
                <w:sz w:val="18"/>
                <w:szCs w:val="18"/>
              </w:rPr>
              <w:t xml:space="preserve"> </w:t>
            </w:r>
            <w:r>
              <w:rPr>
                <w:spacing w:val="-7"/>
                <w:sz w:val="18"/>
                <w:szCs w:val="18"/>
              </w:rPr>
              <w:t>;</w:t>
            </w:r>
            <w:r>
              <w:rPr>
                <w:spacing w:val="36"/>
                <w:sz w:val="18"/>
                <w:szCs w:val="18"/>
              </w:rPr>
              <w:t xml:space="preserve"> </w:t>
            </w:r>
            <w:r>
              <w:rPr>
                <w:spacing w:val="-7"/>
                <w:sz w:val="18"/>
                <w:szCs w:val="18"/>
              </w:rPr>
              <w:t>即有</w:t>
            </w:r>
            <w:r>
              <w:rPr>
                <w:sz w:val="18"/>
                <w:szCs w:val="18"/>
              </w:rPr>
              <w:t xml:space="preserve"> </w:t>
            </w:r>
            <w:r>
              <w:rPr>
                <w:spacing w:val="-6"/>
                <w:sz w:val="18"/>
                <w:szCs w:val="18"/>
              </w:rPr>
              <w:t xml:space="preserve">实测 </w:t>
            </w:r>
            <w:r>
              <w:rPr>
                <w:rFonts w:ascii="微软雅黑" w:hAnsi="微软雅黑" w:eastAsia="微软雅黑" w:cs="微软雅黑"/>
                <w:spacing w:val="-6"/>
                <w:sz w:val="18"/>
                <w:szCs w:val="18"/>
              </w:rPr>
              <w:t>□</w:t>
            </w:r>
            <w:r>
              <w:rPr>
                <w:rFonts w:ascii="微软雅黑" w:hAnsi="微软雅黑" w:eastAsia="微软雅黑" w:cs="微软雅黑"/>
                <w:spacing w:val="-31"/>
                <w:sz w:val="18"/>
                <w:szCs w:val="18"/>
              </w:rPr>
              <w:t xml:space="preserve"> </w:t>
            </w:r>
            <w:r>
              <w:rPr>
                <w:spacing w:val="-6"/>
                <w:sz w:val="18"/>
                <w:szCs w:val="18"/>
              </w:rPr>
              <w:t>;</w:t>
            </w:r>
            <w:r>
              <w:rPr>
                <w:spacing w:val="51"/>
                <w:sz w:val="18"/>
                <w:szCs w:val="18"/>
              </w:rPr>
              <w:t xml:space="preserve"> </w:t>
            </w:r>
            <w:r>
              <w:rPr>
                <w:spacing w:val="-6"/>
                <w:sz w:val="18"/>
                <w:szCs w:val="18"/>
              </w:rPr>
              <w:t>现场监测</w:t>
            </w:r>
            <w:r>
              <w:rPr>
                <w:spacing w:val="16"/>
                <w:sz w:val="18"/>
                <w:szCs w:val="18"/>
              </w:rPr>
              <w:t xml:space="preserve"> </w:t>
            </w:r>
            <w:r>
              <w:rPr>
                <w:rFonts w:ascii="微软雅黑" w:hAnsi="微软雅黑" w:eastAsia="微软雅黑" w:cs="微软雅黑"/>
                <w:spacing w:val="-6"/>
                <w:sz w:val="18"/>
                <w:szCs w:val="18"/>
              </w:rPr>
              <w:t>□</w:t>
            </w:r>
            <w:r>
              <w:rPr>
                <w:rFonts w:ascii="微软雅黑" w:hAnsi="微软雅黑" w:eastAsia="微软雅黑" w:cs="微软雅黑"/>
                <w:spacing w:val="-33"/>
                <w:sz w:val="18"/>
                <w:szCs w:val="18"/>
              </w:rPr>
              <w:t xml:space="preserve"> </w:t>
            </w:r>
            <w:r>
              <w:rPr>
                <w:spacing w:val="-6"/>
                <w:sz w:val="18"/>
                <w:szCs w:val="18"/>
              </w:rPr>
              <w:t>;</w:t>
            </w:r>
            <w:r>
              <w:rPr>
                <w:spacing w:val="49"/>
                <w:sz w:val="18"/>
                <w:szCs w:val="18"/>
              </w:rPr>
              <w:t xml:space="preserve"> </w:t>
            </w:r>
            <w:r>
              <w:rPr>
                <w:spacing w:val="-6"/>
                <w:sz w:val="18"/>
                <w:szCs w:val="18"/>
              </w:rPr>
              <w:t>入河排放口数据</w:t>
            </w:r>
            <w:r>
              <w:rPr>
                <w:spacing w:val="16"/>
                <w:sz w:val="18"/>
                <w:szCs w:val="18"/>
              </w:rPr>
              <w:t xml:space="preserve"> </w:t>
            </w:r>
            <w:r>
              <w:rPr>
                <w:rFonts w:ascii="微软雅黑" w:hAnsi="微软雅黑" w:eastAsia="微软雅黑" w:cs="微软雅黑"/>
                <w:spacing w:val="-6"/>
                <w:sz w:val="18"/>
                <w:szCs w:val="18"/>
              </w:rPr>
              <w:t>□</w:t>
            </w:r>
            <w:r>
              <w:rPr>
                <w:rFonts w:ascii="微软雅黑" w:hAnsi="微软雅黑" w:eastAsia="微软雅黑" w:cs="微软雅黑"/>
                <w:spacing w:val="-30"/>
                <w:sz w:val="18"/>
                <w:szCs w:val="18"/>
              </w:rPr>
              <w:t xml:space="preserve"> </w:t>
            </w:r>
            <w:r>
              <w:rPr>
                <w:spacing w:val="-6"/>
                <w:sz w:val="18"/>
                <w:szCs w:val="18"/>
              </w:rPr>
              <w:t>;</w:t>
            </w:r>
            <w:r>
              <w:rPr>
                <w:sz w:val="18"/>
                <w:szCs w:val="18"/>
              </w:rPr>
              <w:t xml:space="preserve"> </w:t>
            </w:r>
            <w:r>
              <w:rPr>
                <w:spacing w:val="6"/>
                <w:sz w:val="18"/>
                <w:szCs w:val="18"/>
              </w:rPr>
              <w:t>其他</w:t>
            </w:r>
            <w:r>
              <w:rPr>
                <w:spacing w:val="17"/>
                <w:sz w:val="18"/>
                <w:szCs w:val="18"/>
              </w:rPr>
              <w:t xml:space="preserve"> </w:t>
            </w:r>
            <w:r>
              <w:rPr>
                <w:rFonts w:ascii="微软雅黑" w:hAnsi="微软雅黑" w:eastAsia="微软雅黑" w:cs="微软雅黑"/>
                <w:spacing w:val="6"/>
                <w:sz w:val="18"/>
                <w:szCs w:val="18"/>
              </w:rPr>
              <w:t>□</w:t>
            </w:r>
          </w:p>
        </w:tc>
      </w:tr>
      <w:tr w14:paraId="150A38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4F038690">
            <w:pPr>
              <w:rPr>
                <w:rFonts w:ascii="Arial"/>
                <w:sz w:val="21"/>
              </w:rPr>
            </w:pPr>
          </w:p>
        </w:tc>
        <w:tc>
          <w:tcPr>
            <w:tcW w:w="1434" w:type="dxa"/>
            <w:vMerge w:val="restart"/>
            <w:tcBorders>
              <w:bottom w:val="nil"/>
            </w:tcBorders>
            <w:vAlign w:val="top"/>
          </w:tcPr>
          <w:p w14:paraId="1EA5AC7D">
            <w:pPr>
              <w:pStyle w:val="6"/>
              <w:spacing w:before="161" w:line="229" w:lineRule="auto"/>
              <w:ind w:left="443" w:right="92" w:hanging="357"/>
              <w:rPr>
                <w:sz w:val="18"/>
                <w:szCs w:val="18"/>
              </w:rPr>
            </w:pPr>
            <w:r>
              <w:rPr>
                <w:spacing w:val="-2"/>
                <w:sz w:val="18"/>
                <w:szCs w:val="18"/>
              </w:rPr>
              <w:t>受影响水体水环</w:t>
            </w:r>
            <w:r>
              <w:rPr>
                <w:spacing w:val="2"/>
                <w:sz w:val="18"/>
                <w:szCs w:val="18"/>
              </w:rPr>
              <w:t xml:space="preserve"> </w:t>
            </w:r>
            <w:r>
              <w:rPr>
                <w:spacing w:val="-3"/>
                <w:sz w:val="18"/>
                <w:szCs w:val="18"/>
              </w:rPr>
              <w:t>境质量</w:t>
            </w:r>
          </w:p>
        </w:tc>
        <w:tc>
          <w:tcPr>
            <w:tcW w:w="3720" w:type="dxa"/>
            <w:gridSpan w:val="2"/>
            <w:vAlign w:val="top"/>
          </w:tcPr>
          <w:p w14:paraId="01A832CC">
            <w:pPr>
              <w:pStyle w:val="6"/>
              <w:spacing w:before="38" w:line="194" w:lineRule="auto"/>
              <w:ind w:left="1504"/>
              <w:rPr>
                <w:sz w:val="18"/>
                <w:szCs w:val="18"/>
              </w:rPr>
            </w:pPr>
            <w:r>
              <w:rPr>
                <w:spacing w:val="-3"/>
                <w:sz w:val="18"/>
                <w:szCs w:val="18"/>
              </w:rPr>
              <w:t>调查时期</w:t>
            </w:r>
          </w:p>
        </w:tc>
        <w:tc>
          <w:tcPr>
            <w:tcW w:w="3570" w:type="dxa"/>
            <w:gridSpan w:val="3"/>
            <w:tcBorders>
              <w:right w:val="single" w:color="000000" w:sz="10" w:space="0"/>
            </w:tcBorders>
            <w:vAlign w:val="top"/>
          </w:tcPr>
          <w:p w14:paraId="4EA81CC8">
            <w:pPr>
              <w:pStyle w:val="6"/>
              <w:spacing w:before="38" w:line="194" w:lineRule="auto"/>
              <w:ind w:left="1427"/>
              <w:rPr>
                <w:sz w:val="18"/>
                <w:szCs w:val="18"/>
              </w:rPr>
            </w:pPr>
            <w:r>
              <w:rPr>
                <w:spacing w:val="-3"/>
                <w:sz w:val="18"/>
                <w:szCs w:val="18"/>
              </w:rPr>
              <w:t>数据来源</w:t>
            </w:r>
          </w:p>
        </w:tc>
      </w:tr>
      <w:tr w14:paraId="372D13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378" w:type="dxa"/>
            <w:vMerge w:val="continue"/>
            <w:tcBorders>
              <w:top w:val="nil"/>
              <w:left w:val="single" w:color="000000" w:sz="10" w:space="0"/>
              <w:bottom w:val="nil"/>
            </w:tcBorders>
            <w:textDirection w:val="tbRlV"/>
            <w:vAlign w:val="top"/>
          </w:tcPr>
          <w:p w14:paraId="7FADAFB4">
            <w:pPr>
              <w:rPr>
                <w:rFonts w:ascii="Arial"/>
                <w:sz w:val="21"/>
              </w:rPr>
            </w:pPr>
          </w:p>
        </w:tc>
        <w:tc>
          <w:tcPr>
            <w:tcW w:w="1434" w:type="dxa"/>
            <w:vMerge w:val="continue"/>
            <w:tcBorders>
              <w:top w:val="nil"/>
            </w:tcBorders>
            <w:vAlign w:val="top"/>
          </w:tcPr>
          <w:p w14:paraId="1BFDC674">
            <w:pPr>
              <w:rPr>
                <w:rFonts w:ascii="Arial"/>
                <w:sz w:val="21"/>
              </w:rPr>
            </w:pPr>
          </w:p>
        </w:tc>
        <w:tc>
          <w:tcPr>
            <w:tcW w:w="3720" w:type="dxa"/>
            <w:gridSpan w:val="2"/>
            <w:vAlign w:val="top"/>
          </w:tcPr>
          <w:p w14:paraId="0F045A5E">
            <w:pPr>
              <w:pStyle w:val="6"/>
              <w:spacing w:before="38" w:line="164" w:lineRule="auto"/>
              <w:ind w:left="1" w:right="42" w:firstLine="1"/>
              <w:rPr>
                <w:rFonts w:ascii="微软雅黑" w:hAnsi="微软雅黑" w:eastAsia="微软雅黑" w:cs="微软雅黑"/>
                <w:sz w:val="18"/>
                <w:szCs w:val="18"/>
              </w:rPr>
            </w:pPr>
            <w:r>
              <w:rPr>
                <w:spacing w:val="-8"/>
                <w:sz w:val="18"/>
                <w:szCs w:val="18"/>
              </w:rPr>
              <w:t xml:space="preserve">丰水期 </w:t>
            </w:r>
            <w:r>
              <w:rPr>
                <w:rFonts w:ascii="微软雅黑" w:hAnsi="微软雅黑" w:eastAsia="微软雅黑" w:cs="微软雅黑"/>
                <w:spacing w:val="-8"/>
                <w:sz w:val="18"/>
                <w:szCs w:val="18"/>
              </w:rPr>
              <w:t>□</w:t>
            </w:r>
            <w:r>
              <w:rPr>
                <w:rFonts w:ascii="微软雅黑" w:hAnsi="微软雅黑" w:eastAsia="微软雅黑" w:cs="微软雅黑"/>
                <w:spacing w:val="-26"/>
                <w:sz w:val="18"/>
                <w:szCs w:val="18"/>
              </w:rPr>
              <w:t xml:space="preserve"> </w:t>
            </w:r>
            <w:r>
              <w:rPr>
                <w:spacing w:val="-8"/>
                <w:sz w:val="18"/>
                <w:szCs w:val="18"/>
              </w:rPr>
              <w:t>;</w:t>
            </w:r>
            <w:r>
              <w:rPr>
                <w:spacing w:val="25"/>
                <w:sz w:val="18"/>
                <w:szCs w:val="18"/>
              </w:rPr>
              <w:t xml:space="preserve"> </w:t>
            </w:r>
            <w:r>
              <w:rPr>
                <w:spacing w:val="-8"/>
                <w:sz w:val="18"/>
                <w:szCs w:val="18"/>
              </w:rPr>
              <w:t>平水期</w:t>
            </w:r>
            <w:r>
              <w:rPr>
                <w:spacing w:val="16"/>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3"/>
                <w:sz w:val="18"/>
                <w:szCs w:val="18"/>
              </w:rPr>
              <w:t xml:space="preserve"> </w:t>
            </w:r>
            <w:r>
              <w:rPr>
                <w:spacing w:val="-8"/>
                <w:sz w:val="18"/>
                <w:szCs w:val="18"/>
              </w:rPr>
              <w:t>;</w:t>
            </w:r>
            <w:r>
              <w:rPr>
                <w:spacing w:val="28"/>
                <w:w w:val="101"/>
                <w:sz w:val="18"/>
                <w:szCs w:val="18"/>
              </w:rPr>
              <w:t xml:space="preserve"> </w:t>
            </w:r>
            <w:r>
              <w:rPr>
                <w:spacing w:val="-8"/>
                <w:sz w:val="18"/>
                <w:szCs w:val="18"/>
              </w:rPr>
              <w:t>枯水期</w:t>
            </w:r>
            <w:r>
              <w:rPr>
                <w:spacing w:val="13"/>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0"/>
                <w:sz w:val="18"/>
                <w:szCs w:val="18"/>
              </w:rPr>
              <w:t xml:space="preserve"> </w:t>
            </w:r>
            <w:r>
              <w:rPr>
                <w:spacing w:val="-8"/>
                <w:sz w:val="18"/>
                <w:szCs w:val="18"/>
              </w:rPr>
              <w:t>;</w:t>
            </w:r>
            <w:r>
              <w:rPr>
                <w:spacing w:val="25"/>
                <w:sz w:val="18"/>
                <w:szCs w:val="18"/>
              </w:rPr>
              <w:t xml:space="preserve"> </w:t>
            </w:r>
            <w:r>
              <w:rPr>
                <w:spacing w:val="-8"/>
                <w:sz w:val="18"/>
                <w:szCs w:val="18"/>
              </w:rPr>
              <w:t>冰封期</w:t>
            </w:r>
            <w:r>
              <w:rPr>
                <w:spacing w:val="14"/>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0"/>
                <w:sz w:val="18"/>
                <w:szCs w:val="18"/>
              </w:rPr>
              <w:t xml:space="preserve"> </w:t>
            </w:r>
            <w:r>
              <w:rPr>
                <w:spacing w:val="-8"/>
                <w:sz w:val="18"/>
                <w:szCs w:val="18"/>
              </w:rPr>
              <w:t>;</w:t>
            </w:r>
            <w:r>
              <w:rPr>
                <w:sz w:val="18"/>
                <w:szCs w:val="18"/>
              </w:rPr>
              <w:t xml:space="preserve"> </w:t>
            </w:r>
            <w:r>
              <w:rPr>
                <w:spacing w:val="-7"/>
                <w:sz w:val="18"/>
                <w:szCs w:val="18"/>
              </w:rPr>
              <w:t xml:space="preserve">春季 </w:t>
            </w:r>
            <w:r>
              <w:rPr>
                <w:rFonts w:ascii="微软雅黑" w:hAnsi="微软雅黑" w:eastAsia="微软雅黑" w:cs="微软雅黑"/>
                <w:spacing w:val="-7"/>
                <w:sz w:val="18"/>
                <w:szCs w:val="18"/>
              </w:rPr>
              <w:t>□</w:t>
            </w:r>
            <w:r>
              <w:rPr>
                <w:rFonts w:ascii="微软雅黑" w:hAnsi="微软雅黑" w:eastAsia="微软雅黑" w:cs="微软雅黑"/>
                <w:spacing w:val="-22"/>
                <w:sz w:val="18"/>
                <w:szCs w:val="18"/>
              </w:rPr>
              <w:t xml:space="preserve"> </w:t>
            </w:r>
            <w:r>
              <w:rPr>
                <w:spacing w:val="-7"/>
                <w:sz w:val="18"/>
                <w:szCs w:val="18"/>
              </w:rPr>
              <w:t>;</w:t>
            </w:r>
            <w:r>
              <w:rPr>
                <w:spacing w:val="50"/>
                <w:sz w:val="18"/>
                <w:szCs w:val="18"/>
              </w:rPr>
              <w:t xml:space="preserve"> </w:t>
            </w:r>
            <w:r>
              <w:rPr>
                <w:spacing w:val="-7"/>
                <w:sz w:val="18"/>
                <w:szCs w:val="18"/>
              </w:rPr>
              <w:t>夏季</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3"/>
                <w:sz w:val="18"/>
                <w:szCs w:val="18"/>
              </w:rPr>
              <w:t xml:space="preserve"> </w:t>
            </w:r>
            <w:r>
              <w:rPr>
                <w:spacing w:val="-7"/>
                <w:sz w:val="18"/>
                <w:szCs w:val="18"/>
              </w:rPr>
              <w:t>;</w:t>
            </w:r>
            <w:r>
              <w:rPr>
                <w:spacing w:val="51"/>
                <w:sz w:val="18"/>
                <w:szCs w:val="18"/>
              </w:rPr>
              <w:t xml:space="preserve"> </w:t>
            </w:r>
            <w:r>
              <w:rPr>
                <w:spacing w:val="-7"/>
                <w:sz w:val="18"/>
                <w:szCs w:val="18"/>
              </w:rPr>
              <w:t>秋季</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3"/>
                <w:sz w:val="18"/>
                <w:szCs w:val="18"/>
              </w:rPr>
              <w:t xml:space="preserve"> </w:t>
            </w:r>
            <w:r>
              <w:rPr>
                <w:spacing w:val="-7"/>
                <w:sz w:val="18"/>
                <w:szCs w:val="18"/>
              </w:rPr>
              <w:t>;</w:t>
            </w:r>
            <w:r>
              <w:rPr>
                <w:spacing w:val="54"/>
                <w:sz w:val="18"/>
                <w:szCs w:val="18"/>
              </w:rPr>
              <w:t xml:space="preserve"> </w:t>
            </w:r>
            <w:r>
              <w:rPr>
                <w:spacing w:val="-7"/>
                <w:sz w:val="18"/>
                <w:szCs w:val="18"/>
              </w:rPr>
              <w:t>冬季</w:t>
            </w:r>
            <w:r>
              <w:rPr>
                <w:spacing w:val="16"/>
                <w:sz w:val="18"/>
                <w:szCs w:val="18"/>
              </w:rPr>
              <w:t xml:space="preserve"> </w:t>
            </w:r>
            <w:r>
              <w:rPr>
                <w:rFonts w:ascii="微软雅黑" w:hAnsi="微软雅黑" w:eastAsia="微软雅黑" w:cs="微软雅黑"/>
                <w:spacing w:val="-7"/>
                <w:sz w:val="18"/>
                <w:szCs w:val="18"/>
              </w:rPr>
              <w:t>□</w:t>
            </w:r>
          </w:p>
        </w:tc>
        <w:tc>
          <w:tcPr>
            <w:tcW w:w="3570" w:type="dxa"/>
            <w:gridSpan w:val="3"/>
            <w:tcBorders>
              <w:right w:val="single" w:color="000000" w:sz="10" w:space="0"/>
            </w:tcBorders>
            <w:vAlign w:val="top"/>
          </w:tcPr>
          <w:p w14:paraId="605CB3BC">
            <w:pPr>
              <w:pStyle w:val="6"/>
              <w:spacing w:before="38" w:line="164" w:lineRule="auto"/>
              <w:ind w:left="12" w:right="2" w:firstLine="1"/>
              <w:rPr>
                <w:rFonts w:ascii="微软雅黑" w:hAnsi="微软雅黑" w:eastAsia="微软雅黑" w:cs="微软雅黑"/>
                <w:sz w:val="18"/>
                <w:szCs w:val="18"/>
              </w:rPr>
            </w:pPr>
            <w:r>
              <w:rPr>
                <w:spacing w:val="-5"/>
                <w:sz w:val="18"/>
                <w:szCs w:val="18"/>
              </w:rPr>
              <w:t xml:space="preserve">生态环境保护主管部门 </w:t>
            </w:r>
            <w:r>
              <w:rPr>
                <w:rFonts w:ascii="微软雅黑" w:hAnsi="微软雅黑" w:eastAsia="微软雅黑" w:cs="微软雅黑"/>
                <w:spacing w:val="-5"/>
                <w:sz w:val="18"/>
                <w:szCs w:val="18"/>
              </w:rPr>
              <w:t>□</w:t>
            </w:r>
            <w:r>
              <w:rPr>
                <w:rFonts w:ascii="微软雅黑" w:hAnsi="微软雅黑" w:eastAsia="微软雅黑" w:cs="微软雅黑"/>
                <w:spacing w:val="-15"/>
                <w:sz w:val="18"/>
                <w:szCs w:val="18"/>
              </w:rPr>
              <w:t xml:space="preserve"> </w:t>
            </w:r>
            <w:r>
              <w:rPr>
                <w:spacing w:val="-5"/>
                <w:sz w:val="18"/>
                <w:szCs w:val="18"/>
              </w:rPr>
              <w:t>;</w:t>
            </w:r>
            <w:r>
              <w:rPr>
                <w:spacing w:val="42"/>
                <w:sz w:val="18"/>
                <w:szCs w:val="18"/>
              </w:rPr>
              <w:t xml:space="preserve"> </w:t>
            </w:r>
            <w:r>
              <w:rPr>
                <w:spacing w:val="-5"/>
                <w:sz w:val="18"/>
                <w:szCs w:val="18"/>
              </w:rPr>
              <w:t>补充监测</w:t>
            </w:r>
            <w:r>
              <w:rPr>
                <w:spacing w:val="17"/>
                <w:sz w:val="18"/>
                <w:szCs w:val="18"/>
              </w:rPr>
              <w:t xml:space="preserve"> </w:t>
            </w:r>
            <w:r>
              <w:rPr>
                <w:rFonts w:ascii="微软雅黑" w:hAnsi="微软雅黑" w:eastAsia="微软雅黑" w:cs="微软雅黑"/>
                <w:spacing w:val="-5"/>
                <w:sz w:val="18"/>
                <w:szCs w:val="18"/>
              </w:rPr>
              <w:t>□</w:t>
            </w:r>
            <w:r>
              <w:rPr>
                <w:rFonts w:ascii="微软雅黑" w:hAnsi="微软雅黑" w:eastAsia="微软雅黑" w:cs="微软雅黑"/>
                <w:spacing w:val="-33"/>
                <w:sz w:val="18"/>
                <w:szCs w:val="18"/>
              </w:rPr>
              <w:t xml:space="preserve"> </w:t>
            </w:r>
            <w:r>
              <w:rPr>
                <w:spacing w:val="-5"/>
                <w:sz w:val="18"/>
                <w:szCs w:val="18"/>
              </w:rPr>
              <w:t>;</w:t>
            </w:r>
            <w:r>
              <w:rPr>
                <w:spacing w:val="45"/>
                <w:sz w:val="18"/>
                <w:szCs w:val="18"/>
              </w:rPr>
              <w:t xml:space="preserve"> </w:t>
            </w:r>
            <w:r>
              <w:rPr>
                <w:spacing w:val="-5"/>
                <w:sz w:val="18"/>
                <w:szCs w:val="18"/>
              </w:rPr>
              <w:t>其</w:t>
            </w:r>
            <w:r>
              <w:rPr>
                <w:sz w:val="18"/>
                <w:szCs w:val="18"/>
              </w:rPr>
              <w:t xml:space="preserve"> </w:t>
            </w:r>
            <w:r>
              <w:rPr>
                <w:spacing w:val="10"/>
                <w:sz w:val="18"/>
                <w:szCs w:val="18"/>
              </w:rPr>
              <w:t>他</w:t>
            </w:r>
            <w:r>
              <w:rPr>
                <w:spacing w:val="16"/>
                <w:sz w:val="18"/>
                <w:szCs w:val="18"/>
              </w:rPr>
              <w:t xml:space="preserve"> </w:t>
            </w:r>
            <w:r>
              <w:rPr>
                <w:rFonts w:ascii="微软雅黑" w:hAnsi="微软雅黑" w:eastAsia="微软雅黑" w:cs="微软雅黑"/>
                <w:spacing w:val="10"/>
                <w:sz w:val="18"/>
                <w:szCs w:val="18"/>
              </w:rPr>
              <w:t>□</w:t>
            </w:r>
          </w:p>
        </w:tc>
      </w:tr>
      <w:tr w14:paraId="1DA46A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378" w:type="dxa"/>
            <w:vMerge w:val="continue"/>
            <w:tcBorders>
              <w:top w:val="nil"/>
              <w:left w:val="single" w:color="000000" w:sz="10" w:space="0"/>
              <w:bottom w:val="nil"/>
            </w:tcBorders>
            <w:textDirection w:val="tbRlV"/>
            <w:vAlign w:val="top"/>
          </w:tcPr>
          <w:p w14:paraId="2E316EFD">
            <w:pPr>
              <w:rPr>
                <w:rFonts w:ascii="Arial"/>
                <w:sz w:val="21"/>
              </w:rPr>
            </w:pPr>
          </w:p>
        </w:tc>
        <w:tc>
          <w:tcPr>
            <w:tcW w:w="1434" w:type="dxa"/>
            <w:vAlign w:val="top"/>
          </w:tcPr>
          <w:p w14:paraId="4C522CEE">
            <w:pPr>
              <w:pStyle w:val="6"/>
              <w:spacing w:before="39" w:line="216" w:lineRule="auto"/>
              <w:ind w:left="352" w:right="92" w:hanging="256"/>
              <w:rPr>
                <w:sz w:val="18"/>
                <w:szCs w:val="18"/>
              </w:rPr>
            </w:pPr>
            <w:r>
              <w:rPr>
                <w:spacing w:val="-3"/>
                <w:sz w:val="18"/>
                <w:szCs w:val="18"/>
              </w:rPr>
              <w:t>区域水资源开发</w:t>
            </w:r>
            <w:r>
              <w:rPr>
                <w:sz w:val="18"/>
                <w:szCs w:val="18"/>
              </w:rPr>
              <w:t xml:space="preserve"> </w:t>
            </w:r>
            <w:r>
              <w:rPr>
                <w:spacing w:val="-2"/>
                <w:sz w:val="18"/>
                <w:szCs w:val="18"/>
              </w:rPr>
              <w:t>利用状况</w:t>
            </w:r>
          </w:p>
        </w:tc>
        <w:tc>
          <w:tcPr>
            <w:tcW w:w="7290" w:type="dxa"/>
            <w:gridSpan w:val="5"/>
            <w:tcBorders>
              <w:right w:val="single" w:color="000000" w:sz="10" w:space="0"/>
            </w:tcBorders>
            <w:vAlign w:val="top"/>
          </w:tcPr>
          <w:p w14:paraId="0D3A4117">
            <w:pPr>
              <w:pStyle w:val="6"/>
              <w:spacing w:before="157" w:line="198" w:lineRule="auto"/>
              <w:ind w:left="5"/>
              <w:rPr>
                <w:rFonts w:ascii="微软雅黑" w:hAnsi="微软雅黑" w:eastAsia="微软雅黑" w:cs="微软雅黑"/>
                <w:sz w:val="18"/>
                <w:szCs w:val="18"/>
              </w:rPr>
            </w:pPr>
            <w:r>
              <w:rPr>
                <w:spacing w:val="-3"/>
                <w:sz w:val="18"/>
                <w:szCs w:val="18"/>
              </w:rPr>
              <w:t xml:space="preserve">未开发 </w:t>
            </w:r>
            <w:r>
              <w:rPr>
                <w:rFonts w:ascii="微软雅黑" w:hAnsi="微软雅黑" w:eastAsia="微软雅黑" w:cs="微软雅黑"/>
                <w:spacing w:val="-3"/>
                <w:sz w:val="18"/>
                <w:szCs w:val="18"/>
              </w:rPr>
              <w:t>□</w:t>
            </w:r>
            <w:r>
              <w:rPr>
                <w:rFonts w:ascii="微软雅黑" w:hAnsi="微软雅黑" w:eastAsia="微软雅黑" w:cs="微软雅黑"/>
                <w:spacing w:val="-27"/>
                <w:sz w:val="18"/>
                <w:szCs w:val="18"/>
              </w:rPr>
              <w:t xml:space="preserve"> </w:t>
            </w:r>
            <w:r>
              <w:rPr>
                <w:spacing w:val="-3"/>
                <w:sz w:val="18"/>
                <w:szCs w:val="18"/>
              </w:rPr>
              <w:t>;</w:t>
            </w:r>
            <w:r>
              <w:rPr>
                <w:spacing w:val="50"/>
                <w:sz w:val="18"/>
                <w:szCs w:val="18"/>
              </w:rPr>
              <w:t xml:space="preserve"> </w:t>
            </w:r>
            <w:r>
              <w:rPr>
                <w:spacing w:val="-3"/>
                <w:sz w:val="18"/>
                <w:szCs w:val="18"/>
              </w:rPr>
              <w:t>开发量</w:t>
            </w:r>
            <w:r>
              <w:rPr>
                <w:spacing w:val="-42"/>
                <w:sz w:val="18"/>
                <w:szCs w:val="18"/>
              </w:rPr>
              <w:t xml:space="preserve"> </w:t>
            </w:r>
            <w:r>
              <w:rPr>
                <w:rFonts w:ascii="Times New Roman" w:hAnsi="Times New Roman" w:eastAsia="Times New Roman" w:cs="Times New Roman"/>
                <w:spacing w:val="-3"/>
                <w:sz w:val="18"/>
                <w:szCs w:val="18"/>
              </w:rPr>
              <w:t>40%</w:t>
            </w:r>
            <w:r>
              <w:rPr>
                <w:spacing w:val="-3"/>
                <w:sz w:val="18"/>
                <w:szCs w:val="18"/>
              </w:rPr>
              <w:t>以下</w:t>
            </w:r>
            <w:r>
              <w:rPr>
                <w:spacing w:val="14"/>
                <w:sz w:val="18"/>
                <w:szCs w:val="18"/>
              </w:rPr>
              <w:t xml:space="preserve"> </w:t>
            </w:r>
            <w:r>
              <w:rPr>
                <w:rFonts w:ascii="微软雅黑" w:hAnsi="微软雅黑" w:eastAsia="微软雅黑" w:cs="微软雅黑"/>
                <w:spacing w:val="-3"/>
                <w:sz w:val="18"/>
                <w:szCs w:val="18"/>
              </w:rPr>
              <w:t>□</w:t>
            </w:r>
            <w:r>
              <w:rPr>
                <w:rFonts w:ascii="微软雅黑" w:hAnsi="微软雅黑" w:eastAsia="微软雅黑" w:cs="微软雅黑"/>
                <w:spacing w:val="-30"/>
                <w:sz w:val="18"/>
                <w:szCs w:val="18"/>
              </w:rPr>
              <w:t xml:space="preserve"> </w:t>
            </w:r>
            <w:r>
              <w:rPr>
                <w:spacing w:val="-3"/>
                <w:sz w:val="18"/>
                <w:szCs w:val="18"/>
              </w:rPr>
              <w:t>;</w:t>
            </w:r>
            <w:r>
              <w:rPr>
                <w:spacing w:val="52"/>
                <w:sz w:val="18"/>
                <w:szCs w:val="18"/>
              </w:rPr>
              <w:t xml:space="preserve"> </w:t>
            </w:r>
            <w:r>
              <w:rPr>
                <w:spacing w:val="-3"/>
                <w:sz w:val="18"/>
                <w:szCs w:val="18"/>
              </w:rPr>
              <w:t>发量</w:t>
            </w:r>
            <w:r>
              <w:rPr>
                <w:spacing w:val="-42"/>
                <w:sz w:val="18"/>
                <w:szCs w:val="18"/>
              </w:rPr>
              <w:t xml:space="preserve"> </w:t>
            </w:r>
            <w:r>
              <w:rPr>
                <w:rFonts w:ascii="Times New Roman" w:hAnsi="Times New Roman" w:eastAsia="Times New Roman" w:cs="Times New Roman"/>
                <w:spacing w:val="-3"/>
                <w:sz w:val="18"/>
                <w:szCs w:val="18"/>
              </w:rPr>
              <w:t>40%</w:t>
            </w:r>
            <w:r>
              <w:rPr>
                <w:spacing w:val="-3"/>
                <w:sz w:val="18"/>
                <w:szCs w:val="18"/>
              </w:rPr>
              <w:t>以上</w:t>
            </w:r>
            <w:r>
              <w:rPr>
                <w:spacing w:val="17"/>
                <w:sz w:val="18"/>
                <w:szCs w:val="18"/>
              </w:rPr>
              <w:t xml:space="preserve"> </w:t>
            </w:r>
            <w:r>
              <w:rPr>
                <w:rFonts w:ascii="微软雅黑" w:hAnsi="微软雅黑" w:eastAsia="微软雅黑" w:cs="微软雅黑"/>
                <w:spacing w:val="-3"/>
                <w:sz w:val="18"/>
                <w:szCs w:val="18"/>
              </w:rPr>
              <w:t>□</w:t>
            </w:r>
          </w:p>
        </w:tc>
      </w:tr>
      <w:tr w14:paraId="222D29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38E99481">
            <w:pPr>
              <w:rPr>
                <w:rFonts w:ascii="Arial"/>
                <w:sz w:val="21"/>
              </w:rPr>
            </w:pPr>
          </w:p>
        </w:tc>
        <w:tc>
          <w:tcPr>
            <w:tcW w:w="1434" w:type="dxa"/>
            <w:vMerge w:val="restart"/>
            <w:tcBorders>
              <w:bottom w:val="nil"/>
            </w:tcBorders>
            <w:vAlign w:val="top"/>
          </w:tcPr>
          <w:p w14:paraId="0D28C708">
            <w:pPr>
              <w:pStyle w:val="6"/>
              <w:spacing w:before="278" w:line="219" w:lineRule="auto"/>
              <w:ind w:left="173"/>
              <w:rPr>
                <w:sz w:val="18"/>
                <w:szCs w:val="18"/>
              </w:rPr>
            </w:pPr>
            <w:r>
              <w:rPr>
                <w:spacing w:val="-2"/>
                <w:sz w:val="18"/>
                <w:szCs w:val="18"/>
              </w:rPr>
              <w:t>水文情势调查</w:t>
            </w:r>
          </w:p>
        </w:tc>
        <w:tc>
          <w:tcPr>
            <w:tcW w:w="3720" w:type="dxa"/>
            <w:gridSpan w:val="2"/>
            <w:vAlign w:val="top"/>
          </w:tcPr>
          <w:p w14:paraId="5BD7FB95">
            <w:pPr>
              <w:pStyle w:val="6"/>
              <w:spacing w:before="40" w:line="192" w:lineRule="auto"/>
              <w:ind w:left="1504"/>
              <w:rPr>
                <w:sz w:val="18"/>
                <w:szCs w:val="18"/>
              </w:rPr>
            </w:pPr>
            <w:r>
              <w:rPr>
                <w:spacing w:val="-3"/>
                <w:sz w:val="18"/>
                <w:szCs w:val="18"/>
              </w:rPr>
              <w:t>调查时期</w:t>
            </w:r>
          </w:p>
        </w:tc>
        <w:tc>
          <w:tcPr>
            <w:tcW w:w="3570" w:type="dxa"/>
            <w:gridSpan w:val="3"/>
            <w:tcBorders>
              <w:right w:val="single" w:color="000000" w:sz="10" w:space="0"/>
            </w:tcBorders>
            <w:vAlign w:val="top"/>
          </w:tcPr>
          <w:p w14:paraId="664C2603">
            <w:pPr>
              <w:pStyle w:val="6"/>
              <w:spacing w:before="40" w:line="192" w:lineRule="auto"/>
              <w:ind w:left="1427"/>
              <w:rPr>
                <w:sz w:val="18"/>
                <w:szCs w:val="18"/>
              </w:rPr>
            </w:pPr>
            <w:r>
              <w:rPr>
                <w:spacing w:val="-3"/>
                <w:sz w:val="18"/>
                <w:szCs w:val="18"/>
              </w:rPr>
              <w:t>数据来源</w:t>
            </w:r>
          </w:p>
        </w:tc>
      </w:tr>
      <w:tr w14:paraId="467B1D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378" w:type="dxa"/>
            <w:vMerge w:val="continue"/>
            <w:tcBorders>
              <w:top w:val="nil"/>
              <w:left w:val="single" w:color="000000" w:sz="10" w:space="0"/>
              <w:bottom w:val="nil"/>
            </w:tcBorders>
            <w:textDirection w:val="tbRlV"/>
            <w:vAlign w:val="top"/>
          </w:tcPr>
          <w:p w14:paraId="0C350680">
            <w:pPr>
              <w:rPr>
                <w:rFonts w:ascii="Arial"/>
                <w:sz w:val="21"/>
              </w:rPr>
            </w:pPr>
          </w:p>
        </w:tc>
        <w:tc>
          <w:tcPr>
            <w:tcW w:w="1434" w:type="dxa"/>
            <w:vMerge w:val="continue"/>
            <w:tcBorders>
              <w:top w:val="nil"/>
            </w:tcBorders>
            <w:vAlign w:val="top"/>
          </w:tcPr>
          <w:p w14:paraId="52D5ED2A">
            <w:pPr>
              <w:rPr>
                <w:rFonts w:ascii="Arial"/>
                <w:sz w:val="21"/>
              </w:rPr>
            </w:pPr>
          </w:p>
        </w:tc>
        <w:tc>
          <w:tcPr>
            <w:tcW w:w="3720" w:type="dxa"/>
            <w:gridSpan w:val="2"/>
            <w:vAlign w:val="top"/>
          </w:tcPr>
          <w:p w14:paraId="012A8C8D">
            <w:pPr>
              <w:pStyle w:val="6"/>
              <w:spacing w:before="41" w:line="163" w:lineRule="auto"/>
              <w:ind w:left="1" w:right="42" w:firstLine="1"/>
              <w:rPr>
                <w:rFonts w:ascii="微软雅黑" w:hAnsi="微软雅黑" w:eastAsia="微软雅黑" w:cs="微软雅黑"/>
                <w:sz w:val="18"/>
                <w:szCs w:val="18"/>
              </w:rPr>
            </w:pPr>
            <w:r>
              <w:rPr>
                <w:spacing w:val="-8"/>
                <w:sz w:val="18"/>
                <w:szCs w:val="18"/>
              </w:rPr>
              <w:t xml:space="preserve">丰水期 </w:t>
            </w:r>
            <w:r>
              <w:rPr>
                <w:rFonts w:ascii="微软雅黑" w:hAnsi="微软雅黑" w:eastAsia="微软雅黑" w:cs="微软雅黑"/>
                <w:spacing w:val="-8"/>
                <w:sz w:val="18"/>
                <w:szCs w:val="18"/>
              </w:rPr>
              <w:t>□</w:t>
            </w:r>
            <w:r>
              <w:rPr>
                <w:rFonts w:ascii="微软雅黑" w:hAnsi="微软雅黑" w:eastAsia="微软雅黑" w:cs="微软雅黑"/>
                <w:spacing w:val="-26"/>
                <w:sz w:val="18"/>
                <w:szCs w:val="18"/>
              </w:rPr>
              <w:t xml:space="preserve"> </w:t>
            </w:r>
            <w:r>
              <w:rPr>
                <w:spacing w:val="-8"/>
                <w:sz w:val="18"/>
                <w:szCs w:val="18"/>
              </w:rPr>
              <w:t>;</w:t>
            </w:r>
            <w:r>
              <w:rPr>
                <w:spacing w:val="25"/>
                <w:sz w:val="18"/>
                <w:szCs w:val="18"/>
              </w:rPr>
              <w:t xml:space="preserve"> </w:t>
            </w:r>
            <w:r>
              <w:rPr>
                <w:spacing w:val="-8"/>
                <w:sz w:val="18"/>
                <w:szCs w:val="18"/>
              </w:rPr>
              <w:t>平水期</w:t>
            </w:r>
            <w:r>
              <w:rPr>
                <w:spacing w:val="16"/>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3"/>
                <w:sz w:val="18"/>
                <w:szCs w:val="18"/>
              </w:rPr>
              <w:t xml:space="preserve"> </w:t>
            </w:r>
            <w:r>
              <w:rPr>
                <w:spacing w:val="-8"/>
                <w:sz w:val="18"/>
                <w:szCs w:val="18"/>
              </w:rPr>
              <w:t>;</w:t>
            </w:r>
            <w:r>
              <w:rPr>
                <w:spacing w:val="28"/>
                <w:w w:val="101"/>
                <w:sz w:val="18"/>
                <w:szCs w:val="18"/>
              </w:rPr>
              <w:t xml:space="preserve"> </w:t>
            </w:r>
            <w:r>
              <w:rPr>
                <w:spacing w:val="-8"/>
                <w:sz w:val="18"/>
                <w:szCs w:val="18"/>
              </w:rPr>
              <w:t>枯水期</w:t>
            </w:r>
            <w:r>
              <w:rPr>
                <w:spacing w:val="13"/>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0"/>
                <w:sz w:val="18"/>
                <w:szCs w:val="18"/>
              </w:rPr>
              <w:t xml:space="preserve"> </w:t>
            </w:r>
            <w:r>
              <w:rPr>
                <w:spacing w:val="-8"/>
                <w:sz w:val="18"/>
                <w:szCs w:val="18"/>
              </w:rPr>
              <w:t>;</w:t>
            </w:r>
            <w:r>
              <w:rPr>
                <w:spacing w:val="25"/>
                <w:sz w:val="18"/>
                <w:szCs w:val="18"/>
              </w:rPr>
              <w:t xml:space="preserve"> </w:t>
            </w:r>
            <w:r>
              <w:rPr>
                <w:spacing w:val="-8"/>
                <w:sz w:val="18"/>
                <w:szCs w:val="18"/>
              </w:rPr>
              <w:t>冰封期</w:t>
            </w:r>
            <w:r>
              <w:rPr>
                <w:spacing w:val="14"/>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0"/>
                <w:sz w:val="18"/>
                <w:szCs w:val="18"/>
              </w:rPr>
              <w:t xml:space="preserve"> </w:t>
            </w:r>
            <w:r>
              <w:rPr>
                <w:spacing w:val="-8"/>
                <w:sz w:val="18"/>
                <w:szCs w:val="18"/>
              </w:rPr>
              <w:t>;</w:t>
            </w:r>
            <w:r>
              <w:rPr>
                <w:sz w:val="18"/>
                <w:szCs w:val="18"/>
              </w:rPr>
              <w:t xml:space="preserve"> </w:t>
            </w:r>
            <w:r>
              <w:rPr>
                <w:spacing w:val="-7"/>
                <w:sz w:val="18"/>
                <w:szCs w:val="18"/>
              </w:rPr>
              <w:t xml:space="preserve">春季 </w:t>
            </w:r>
            <w:r>
              <w:rPr>
                <w:rFonts w:ascii="微软雅黑" w:hAnsi="微软雅黑" w:eastAsia="微软雅黑" w:cs="微软雅黑"/>
                <w:spacing w:val="-7"/>
                <w:sz w:val="18"/>
                <w:szCs w:val="18"/>
              </w:rPr>
              <w:t>□</w:t>
            </w:r>
            <w:r>
              <w:rPr>
                <w:rFonts w:ascii="微软雅黑" w:hAnsi="微软雅黑" w:eastAsia="微软雅黑" w:cs="微软雅黑"/>
                <w:spacing w:val="-22"/>
                <w:sz w:val="18"/>
                <w:szCs w:val="18"/>
              </w:rPr>
              <w:t xml:space="preserve"> </w:t>
            </w:r>
            <w:r>
              <w:rPr>
                <w:spacing w:val="-7"/>
                <w:sz w:val="18"/>
                <w:szCs w:val="18"/>
              </w:rPr>
              <w:t>;</w:t>
            </w:r>
            <w:r>
              <w:rPr>
                <w:spacing w:val="50"/>
                <w:sz w:val="18"/>
                <w:szCs w:val="18"/>
              </w:rPr>
              <w:t xml:space="preserve"> </w:t>
            </w:r>
            <w:r>
              <w:rPr>
                <w:spacing w:val="-7"/>
                <w:sz w:val="18"/>
                <w:szCs w:val="18"/>
              </w:rPr>
              <w:t>夏季</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3"/>
                <w:sz w:val="18"/>
                <w:szCs w:val="18"/>
              </w:rPr>
              <w:t xml:space="preserve"> </w:t>
            </w:r>
            <w:r>
              <w:rPr>
                <w:spacing w:val="-7"/>
                <w:sz w:val="18"/>
                <w:szCs w:val="18"/>
              </w:rPr>
              <w:t>;</w:t>
            </w:r>
            <w:r>
              <w:rPr>
                <w:spacing w:val="51"/>
                <w:sz w:val="18"/>
                <w:szCs w:val="18"/>
              </w:rPr>
              <w:t xml:space="preserve"> </w:t>
            </w:r>
            <w:r>
              <w:rPr>
                <w:spacing w:val="-7"/>
                <w:sz w:val="18"/>
                <w:szCs w:val="18"/>
              </w:rPr>
              <w:t>秋季</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3"/>
                <w:sz w:val="18"/>
                <w:szCs w:val="18"/>
              </w:rPr>
              <w:t xml:space="preserve"> </w:t>
            </w:r>
            <w:r>
              <w:rPr>
                <w:spacing w:val="-7"/>
                <w:sz w:val="18"/>
                <w:szCs w:val="18"/>
              </w:rPr>
              <w:t>;</w:t>
            </w:r>
            <w:r>
              <w:rPr>
                <w:spacing w:val="54"/>
                <w:sz w:val="18"/>
                <w:szCs w:val="18"/>
              </w:rPr>
              <w:t xml:space="preserve"> </w:t>
            </w:r>
            <w:r>
              <w:rPr>
                <w:spacing w:val="-7"/>
                <w:sz w:val="18"/>
                <w:szCs w:val="18"/>
              </w:rPr>
              <w:t>冬季</w:t>
            </w:r>
            <w:r>
              <w:rPr>
                <w:spacing w:val="16"/>
                <w:sz w:val="18"/>
                <w:szCs w:val="18"/>
              </w:rPr>
              <w:t xml:space="preserve"> </w:t>
            </w:r>
            <w:r>
              <w:rPr>
                <w:rFonts w:ascii="微软雅黑" w:hAnsi="微软雅黑" w:eastAsia="微软雅黑" w:cs="微软雅黑"/>
                <w:spacing w:val="-7"/>
                <w:sz w:val="18"/>
                <w:szCs w:val="18"/>
              </w:rPr>
              <w:t>□</w:t>
            </w:r>
          </w:p>
        </w:tc>
        <w:tc>
          <w:tcPr>
            <w:tcW w:w="3570" w:type="dxa"/>
            <w:gridSpan w:val="3"/>
            <w:tcBorders>
              <w:right w:val="single" w:color="000000" w:sz="10" w:space="0"/>
            </w:tcBorders>
            <w:vAlign w:val="top"/>
          </w:tcPr>
          <w:p w14:paraId="66C2E03A">
            <w:pPr>
              <w:pStyle w:val="6"/>
              <w:spacing w:before="157" w:line="198" w:lineRule="auto"/>
              <w:ind w:left="14"/>
              <w:rPr>
                <w:rFonts w:ascii="微软雅黑" w:hAnsi="微软雅黑" w:eastAsia="微软雅黑" w:cs="微软雅黑"/>
                <w:sz w:val="18"/>
                <w:szCs w:val="18"/>
              </w:rPr>
            </w:pPr>
            <w:r>
              <w:rPr>
                <w:spacing w:val="-3"/>
                <w:sz w:val="18"/>
                <w:szCs w:val="18"/>
              </w:rPr>
              <w:t xml:space="preserve">水行政主管部门 </w:t>
            </w:r>
            <w:r>
              <w:rPr>
                <w:rFonts w:ascii="微软雅黑" w:hAnsi="微软雅黑" w:eastAsia="微软雅黑" w:cs="微软雅黑"/>
                <w:spacing w:val="-3"/>
                <w:sz w:val="18"/>
                <w:szCs w:val="18"/>
              </w:rPr>
              <w:t>□</w:t>
            </w:r>
            <w:r>
              <w:rPr>
                <w:rFonts w:ascii="微软雅黑" w:hAnsi="微软雅黑" w:eastAsia="微软雅黑" w:cs="微软雅黑"/>
                <w:spacing w:val="-31"/>
                <w:sz w:val="18"/>
                <w:szCs w:val="18"/>
              </w:rPr>
              <w:t xml:space="preserve"> </w:t>
            </w:r>
            <w:r>
              <w:rPr>
                <w:spacing w:val="-3"/>
                <w:sz w:val="18"/>
                <w:szCs w:val="18"/>
              </w:rPr>
              <w:t>;</w:t>
            </w:r>
            <w:r>
              <w:rPr>
                <w:spacing w:val="50"/>
                <w:sz w:val="18"/>
                <w:szCs w:val="18"/>
              </w:rPr>
              <w:t xml:space="preserve"> </w:t>
            </w:r>
            <w:r>
              <w:rPr>
                <w:spacing w:val="-3"/>
                <w:sz w:val="18"/>
                <w:szCs w:val="18"/>
              </w:rPr>
              <w:t>补充监测</w:t>
            </w:r>
            <w:r>
              <w:rPr>
                <w:spacing w:val="16"/>
                <w:sz w:val="18"/>
                <w:szCs w:val="18"/>
              </w:rPr>
              <w:t xml:space="preserve"> </w:t>
            </w:r>
            <w:r>
              <w:rPr>
                <w:rFonts w:ascii="微软雅黑" w:hAnsi="微软雅黑" w:eastAsia="微软雅黑" w:cs="微软雅黑"/>
                <w:spacing w:val="-3"/>
                <w:sz w:val="18"/>
                <w:szCs w:val="18"/>
              </w:rPr>
              <w:t>□</w:t>
            </w:r>
            <w:r>
              <w:rPr>
                <w:rFonts w:ascii="微软雅黑" w:hAnsi="微软雅黑" w:eastAsia="微软雅黑" w:cs="微软雅黑"/>
                <w:spacing w:val="-33"/>
                <w:sz w:val="18"/>
                <w:szCs w:val="18"/>
              </w:rPr>
              <w:t xml:space="preserve"> </w:t>
            </w:r>
            <w:r>
              <w:rPr>
                <w:spacing w:val="-3"/>
                <w:sz w:val="18"/>
                <w:szCs w:val="18"/>
              </w:rPr>
              <w:t>;</w:t>
            </w:r>
            <w:r>
              <w:rPr>
                <w:spacing w:val="50"/>
                <w:sz w:val="18"/>
                <w:szCs w:val="18"/>
              </w:rPr>
              <w:t xml:space="preserve"> </w:t>
            </w:r>
            <w:r>
              <w:rPr>
                <w:spacing w:val="-3"/>
                <w:sz w:val="18"/>
                <w:szCs w:val="18"/>
              </w:rPr>
              <w:t>其他</w:t>
            </w:r>
            <w:r>
              <w:rPr>
                <w:spacing w:val="16"/>
                <w:sz w:val="18"/>
                <w:szCs w:val="18"/>
              </w:rPr>
              <w:t xml:space="preserve"> </w:t>
            </w:r>
            <w:r>
              <w:rPr>
                <w:rFonts w:ascii="微软雅黑" w:hAnsi="微软雅黑" w:eastAsia="微软雅黑" w:cs="微软雅黑"/>
                <w:spacing w:val="-3"/>
                <w:sz w:val="18"/>
                <w:szCs w:val="18"/>
              </w:rPr>
              <w:t>□</w:t>
            </w:r>
          </w:p>
        </w:tc>
      </w:tr>
      <w:tr w14:paraId="0F45F7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285214B7">
            <w:pPr>
              <w:rPr>
                <w:rFonts w:ascii="Arial"/>
                <w:sz w:val="21"/>
              </w:rPr>
            </w:pPr>
          </w:p>
        </w:tc>
        <w:tc>
          <w:tcPr>
            <w:tcW w:w="1434" w:type="dxa"/>
            <w:vMerge w:val="restart"/>
            <w:tcBorders>
              <w:bottom w:val="nil"/>
            </w:tcBorders>
            <w:vAlign w:val="top"/>
          </w:tcPr>
          <w:p w14:paraId="206A31C4">
            <w:pPr>
              <w:pStyle w:val="6"/>
              <w:spacing w:before="279" w:line="220" w:lineRule="auto"/>
              <w:ind w:left="351"/>
              <w:rPr>
                <w:sz w:val="18"/>
                <w:szCs w:val="18"/>
              </w:rPr>
            </w:pPr>
            <w:r>
              <w:rPr>
                <w:spacing w:val="-2"/>
                <w:sz w:val="18"/>
                <w:szCs w:val="18"/>
              </w:rPr>
              <w:t>补充监测</w:t>
            </w:r>
          </w:p>
        </w:tc>
        <w:tc>
          <w:tcPr>
            <w:tcW w:w="3720" w:type="dxa"/>
            <w:gridSpan w:val="2"/>
            <w:vAlign w:val="top"/>
          </w:tcPr>
          <w:p w14:paraId="718BA6F1">
            <w:pPr>
              <w:pStyle w:val="6"/>
              <w:spacing w:before="41" w:line="191" w:lineRule="auto"/>
              <w:ind w:left="1503"/>
              <w:rPr>
                <w:sz w:val="18"/>
                <w:szCs w:val="18"/>
              </w:rPr>
            </w:pPr>
            <w:r>
              <w:rPr>
                <w:spacing w:val="-2"/>
                <w:sz w:val="18"/>
                <w:szCs w:val="18"/>
              </w:rPr>
              <w:t>监测时期</w:t>
            </w:r>
          </w:p>
        </w:tc>
        <w:tc>
          <w:tcPr>
            <w:tcW w:w="1839" w:type="dxa"/>
            <w:vAlign w:val="top"/>
          </w:tcPr>
          <w:p w14:paraId="7EBBD782">
            <w:pPr>
              <w:pStyle w:val="6"/>
              <w:spacing w:before="41" w:line="191" w:lineRule="auto"/>
              <w:ind w:left="569"/>
              <w:rPr>
                <w:sz w:val="18"/>
                <w:szCs w:val="18"/>
              </w:rPr>
            </w:pPr>
            <w:r>
              <w:rPr>
                <w:spacing w:val="-2"/>
                <w:sz w:val="18"/>
                <w:szCs w:val="18"/>
              </w:rPr>
              <w:t>监测因子</w:t>
            </w:r>
          </w:p>
        </w:tc>
        <w:tc>
          <w:tcPr>
            <w:tcW w:w="1731" w:type="dxa"/>
            <w:gridSpan w:val="2"/>
            <w:tcBorders>
              <w:right w:val="single" w:color="000000" w:sz="10" w:space="0"/>
            </w:tcBorders>
            <w:vAlign w:val="top"/>
          </w:tcPr>
          <w:p w14:paraId="19D41AE5">
            <w:pPr>
              <w:pStyle w:val="6"/>
              <w:spacing w:before="41" w:line="191" w:lineRule="auto"/>
              <w:ind w:left="237"/>
              <w:rPr>
                <w:sz w:val="18"/>
                <w:szCs w:val="18"/>
              </w:rPr>
            </w:pPr>
            <w:r>
              <w:rPr>
                <w:spacing w:val="-2"/>
                <w:sz w:val="18"/>
                <w:szCs w:val="18"/>
              </w:rPr>
              <w:t>监测断面或点位</w:t>
            </w:r>
          </w:p>
        </w:tc>
      </w:tr>
      <w:tr w14:paraId="1A5F0B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378" w:type="dxa"/>
            <w:vMerge w:val="continue"/>
            <w:tcBorders>
              <w:top w:val="nil"/>
              <w:left w:val="single" w:color="000000" w:sz="10" w:space="0"/>
            </w:tcBorders>
            <w:textDirection w:val="tbRlV"/>
            <w:vAlign w:val="top"/>
          </w:tcPr>
          <w:p w14:paraId="5C934C75">
            <w:pPr>
              <w:rPr>
                <w:rFonts w:ascii="Arial"/>
                <w:sz w:val="21"/>
              </w:rPr>
            </w:pPr>
          </w:p>
        </w:tc>
        <w:tc>
          <w:tcPr>
            <w:tcW w:w="1434" w:type="dxa"/>
            <w:vMerge w:val="continue"/>
            <w:tcBorders>
              <w:top w:val="nil"/>
            </w:tcBorders>
            <w:vAlign w:val="top"/>
          </w:tcPr>
          <w:p w14:paraId="42A1640D">
            <w:pPr>
              <w:rPr>
                <w:rFonts w:ascii="Arial"/>
                <w:sz w:val="21"/>
              </w:rPr>
            </w:pPr>
          </w:p>
        </w:tc>
        <w:tc>
          <w:tcPr>
            <w:tcW w:w="3720" w:type="dxa"/>
            <w:gridSpan w:val="2"/>
            <w:vAlign w:val="top"/>
          </w:tcPr>
          <w:p w14:paraId="58142779">
            <w:pPr>
              <w:pStyle w:val="6"/>
              <w:spacing w:before="44" w:line="162" w:lineRule="auto"/>
              <w:ind w:left="1" w:right="42" w:firstLine="1"/>
              <w:rPr>
                <w:rFonts w:ascii="微软雅黑" w:hAnsi="微软雅黑" w:eastAsia="微软雅黑" w:cs="微软雅黑"/>
                <w:sz w:val="18"/>
                <w:szCs w:val="18"/>
              </w:rPr>
            </w:pPr>
            <w:r>
              <w:rPr>
                <w:spacing w:val="-8"/>
                <w:sz w:val="18"/>
                <w:szCs w:val="18"/>
              </w:rPr>
              <w:t xml:space="preserve">丰水期 </w:t>
            </w:r>
            <w:r>
              <w:rPr>
                <w:rFonts w:ascii="微软雅黑" w:hAnsi="微软雅黑" w:eastAsia="微软雅黑" w:cs="微软雅黑"/>
                <w:spacing w:val="-8"/>
                <w:sz w:val="18"/>
                <w:szCs w:val="18"/>
              </w:rPr>
              <w:t>□</w:t>
            </w:r>
            <w:r>
              <w:rPr>
                <w:rFonts w:ascii="微软雅黑" w:hAnsi="微软雅黑" w:eastAsia="微软雅黑" w:cs="微软雅黑"/>
                <w:spacing w:val="-26"/>
                <w:sz w:val="18"/>
                <w:szCs w:val="18"/>
              </w:rPr>
              <w:t xml:space="preserve"> </w:t>
            </w:r>
            <w:r>
              <w:rPr>
                <w:spacing w:val="-8"/>
                <w:sz w:val="18"/>
                <w:szCs w:val="18"/>
              </w:rPr>
              <w:t>;</w:t>
            </w:r>
            <w:r>
              <w:rPr>
                <w:spacing w:val="25"/>
                <w:sz w:val="18"/>
                <w:szCs w:val="18"/>
              </w:rPr>
              <w:t xml:space="preserve"> </w:t>
            </w:r>
            <w:r>
              <w:rPr>
                <w:spacing w:val="-8"/>
                <w:sz w:val="18"/>
                <w:szCs w:val="18"/>
              </w:rPr>
              <w:t>平水期</w:t>
            </w:r>
            <w:r>
              <w:rPr>
                <w:spacing w:val="16"/>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3"/>
                <w:sz w:val="18"/>
                <w:szCs w:val="18"/>
              </w:rPr>
              <w:t xml:space="preserve"> </w:t>
            </w:r>
            <w:r>
              <w:rPr>
                <w:spacing w:val="-8"/>
                <w:sz w:val="18"/>
                <w:szCs w:val="18"/>
              </w:rPr>
              <w:t>;</w:t>
            </w:r>
            <w:r>
              <w:rPr>
                <w:spacing w:val="28"/>
                <w:w w:val="101"/>
                <w:sz w:val="18"/>
                <w:szCs w:val="18"/>
              </w:rPr>
              <w:t xml:space="preserve"> </w:t>
            </w:r>
            <w:r>
              <w:rPr>
                <w:spacing w:val="-8"/>
                <w:sz w:val="18"/>
                <w:szCs w:val="18"/>
              </w:rPr>
              <w:t>枯水期</w:t>
            </w:r>
            <w:r>
              <w:rPr>
                <w:spacing w:val="13"/>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0"/>
                <w:sz w:val="18"/>
                <w:szCs w:val="18"/>
              </w:rPr>
              <w:t xml:space="preserve"> </w:t>
            </w:r>
            <w:r>
              <w:rPr>
                <w:spacing w:val="-8"/>
                <w:sz w:val="18"/>
                <w:szCs w:val="18"/>
              </w:rPr>
              <w:t>;</w:t>
            </w:r>
            <w:r>
              <w:rPr>
                <w:spacing w:val="25"/>
                <w:sz w:val="18"/>
                <w:szCs w:val="18"/>
              </w:rPr>
              <w:t xml:space="preserve"> </w:t>
            </w:r>
            <w:r>
              <w:rPr>
                <w:spacing w:val="-8"/>
                <w:sz w:val="18"/>
                <w:szCs w:val="18"/>
              </w:rPr>
              <w:t>冰封期</w:t>
            </w:r>
            <w:r>
              <w:rPr>
                <w:spacing w:val="14"/>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0"/>
                <w:sz w:val="18"/>
                <w:szCs w:val="18"/>
              </w:rPr>
              <w:t xml:space="preserve"> </w:t>
            </w:r>
            <w:r>
              <w:rPr>
                <w:spacing w:val="-8"/>
                <w:sz w:val="18"/>
                <w:szCs w:val="18"/>
              </w:rPr>
              <w:t>;</w:t>
            </w:r>
            <w:r>
              <w:rPr>
                <w:sz w:val="18"/>
                <w:szCs w:val="18"/>
              </w:rPr>
              <w:t xml:space="preserve"> </w:t>
            </w:r>
            <w:r>
              <w:rPr>
                <w:spacing w:val="-7"/>
                <w:sz w:val="18"/>
                <w:szCs w:val="18"/>
              </w:rPr>
              <w:t xml:space="preserve">春季 </w:t>
            </w:r>
            <w:r>
              <w:rPr>
                <w:rFonts w:ascii="微软雅黑" w:hAnsi="微软雅黑" w:eastAsia="微软雅黑" w:cs="微软雅黑"/>
                <w:spacing w:val="-7"/>
                <w:sz w:val="18"/>
                <w:szCs w:val="18"/>
              </w:rPr>
              <w:t>□</w:t>
            </w:r>
            <w:r>
              <w:rPr>
                <w:rFonts w:ascii="微软雅黑" w:hAnsi="微软雅黑" w:eastAsia="微软雅黑" w:cs="微软雅黑"/>
                <w:spacing w:val="-22"/>
                <w:sz w:val="18"/>
                <w:szCs w:val="18"/>
              </w:rPr>
              <w:t xml:space="preserve"> </w:t>
            </w:r>
            <w:r>
              <w:rPr>
                <w:spacing w:val="-7"/>
                <w:sz w:val="18"/>
                <w:szCs w:val="18"/>
              </w:rPr>
              <w:t>;</w:t>
            </w:r>
            <w:r>
              <w:rPr>
                <w:spacing w:val="50"/>
                <w:sz w:val="18"/>
                <w:szCs w:val="18"/>
              </w:rPr>
              <w:t xml:space="preserve"> </w:t>
            </w:r>
            <w:r>
              <w:rPr>
                <w:spacing w:val="-7"/>
                <w:sz w:val="18"/>
                <w:szCs w:val="18"/>
              </w:rPr>
              <w:t>夏季</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3"/>
                <w:sz w:val="18"/>
                <w:szCs w:val="18"/>
              </w:rPr>
              <w:t xml:space="preserve"> </w:t>
            </w:r>
            <w:r>
              <w:rPr>
                <w:spacing w:val="-7"/>
                <w:sz w:val="18"/>
                <w:szCs w:val="18"/>
              </w:rPr>
              <w:t>;</w:t>
            </w:r>
            <w:r>
              <w:rPr>
                <w:spacing w:val="51"/>
                <w:sz w:val="18"/>
                <w:szCs w:val="18"/>
              </w:rPr>
              <w:t xml:space="preserve"> </w:t>
            </w:r>
            <w:r>
              <w:rPr>
                <w:spacing w:val="-7"/>
                <w:sz w:val="18"/>
                <w:szCs w:val="18"/>
              </w:rPr>
              <w:t>秋季</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3"/>
                <w:sz w:val="18"/>
                <w:szCs w:val="18"/>
              </w:rPr>
              <w:t xml:space="preserve"> </w:t>
            </w:r>
            <w:r>
              <w:rPr>
                <w:spacing w:val="-7"/>
                <w:sz w:val="18"/>
                <w:szCs w:val="18"/>
              </w:rPr>
              <w:t>;</w:t>
            </w:r>
            <w:r>
              <w:rPr>
                <w:spacing w:val="54"/>
                <w:sz w:val="18"/>
                <w:szCs w:val="18"/>
              </w:rPr>
              <w:t xml:space="preserve"> </w:t>
            </w:r>
            <w:r>
              <w:rPr>
                <w:spacing w:val="-7"/>
                <w:sz w:val="18"/>
                <w:szCs w:val="18"/>
              </w:rPr>
              <w:t>冬季</w:t>
            </w:r>
            <w:r>
              <w:rPr>
                <w:spacing w:val="16"/>
                <w:sz w:val="18"/>
                <w:szCs w:val="18"/>
              </w:rPr>
              <w:t xml:space="preserve"> </w:t>
            </w:r>
            <w:r>
              <w:rPr>
                <w:rFonts w:ascii="微软雅黑" w:hAnsi="微软雅黑" w:eastAsia="微软雅黑" w:cs="微软雅黑"/>
                <w:spacing w:val="-7"/>
                <w:sz w:val="18"/>
                <w:szCs w:val="18"/>
              </w:rPr>
              <w:t>□</w:t>
            </w:r>
          </w:p>
        </w:tc>
        <w:tc>
          <w:tcPr>
            <w:tcW w:w="1839" w:type="dxa"/>
            <w:vAlign w:val="top"/>
          </w:tcPr>
          <w:p w14:paraId="5D0ECB39">
            <w:pPr>
              <w:pStyle w:val="6"/>
              <w:spacing w:before="159" w:line="222" w:lineRule="auto"/>
              <w:ind w:left="107"/>
              <w:rPr>
                <w:sz w:val="18"/>
                <w:szCs w:val="18"/>
              </w:rPr>
            </w:pPr>
            <w:r>
              <w:rPr>
                <w:spacing w:val="-19"/>
                <w:sz w:val="18"/>
                <w:szCs w:val="18"/>
              </w:rPr>
              <w:t>(            )</w:t>
            </w:r>
          </w:p>
        </w:tc>
        <w:tc>
          <w:tcPr>
            <w:tcW w:w="1731" w:type="dxa"/>
            <w:gridSpan w:val="2"/>
            <w:tcBorders>
              <w:right w:val="single" w:color="000000" w:sz="10" w:space="0"/>
            </w:tcBorders>
            <w:vAlign w:val="top"/>
          </w:tcPr>
          <w:p w14:paraId="4E060E68">
            <w:pPr>
              <w:pStyle w:val="6"/>
              <w:spacing w:before="43" w:line="214" w:lineRule="auto"/>
              <w:ind w:left="111" w:right="86" w:hanging="94"/>
              <w:rPr>
                <w:sz w:val="18"/>
                <w:szCs w:val="18"/>
              </w:rPr>
            </w:pPr>
            <w:r>
              <w:rPr>
                <w:spacing w:val="-1"/>
                <w:sz w:val="18"/>
                <w:szCs w:val="18"/>
              </w:rPr>
              <w:t>监测断面或点位个数</w:t>
            </w:r>
            <w:r>
              <w:rPr>
                <w:sz w:val="18"/>
                <w:szCs w:val="18"/>
              </w:rPr>
              <w:t xml:space="preserve"> </w:t>
            </w:r>
            <w:r>
              <w:rPr>
                <w:spacing w:val="-13"/>
                <w:w w:val="89"/>
                <w:sz w:val="18"/>
                <w:szCs w:val="18"/>
              </w:rPr>
              <w:t>(</w:t>
            </w:r>
            <w:r>
              <w:rPr>
                <w:spacing w:val="26"/>
                <w:w w:val="101"/>
                <w:sz w:val="18"/>
                <w:szCs w:val="18"/>
              </w:rPr>
              <w:t xml:space="preserve">  </w:t>
            </w:r>
            <w:r>
              <w:rPr>
                <w:spacing w:val="-13"/>
                <w:w w:val="89"/>
                <w:sz w:val="18"/>
                <w:szCs w:val="18"/>
              </w:rPr>
              <w:t>)</w:t>
            </w:r>
            <w:r>
              <w:rPr>
                <w:spacing w:val="18"/>
                <w:sz w:val="18"/>
                <w:szCs w:val="18"/>
              </w:rPr>
              <w:t xml:space="preserve"> </w:t>
            </w:r>
            <w:r>
              <w:rPr>
                <w:spacing w:val="-13"/>
                <w:w w:val="89"/>
                <w:sz w:val="18"/>
                <w:szCs w:val="18"/>
              </w:rPr>
              <w:t>个</w:t>
            </w:r>
          </w:p>
        </w:tc>
      </w:tr>
      <w:tr w14:paraId="1D0BBF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restart"/>
            <w:tcBorders>
              <w:left w:val="single" w:color="000000" w:sz="10" w:space="0"/>
              <w:bottom w:val="nil"/>
            </w:tcBorders>
            <w:textDirection w:val="tbRlV"/>
            <w:vAlign w:val="top"/>
          </w:tcPr>
          <w:p w14:paraId="0A8F88E8">
            <w:pPr>
              <w:pStyle w:val="6"/>
              <w:spacing w:before="96" w:line="207" w:lineRule="auto"/>
              <w:ind w:left="1346"/>
              <w:rPr>
                <w:sz w:val="18"/>
                <w:szCs w:val="18"/>
              </w:rPr>
            </w:pPr>
            <w:r>
              <w:rPr>
                <w:spacing w:val="40"/>
                <w:sz w:val="18"/>
                <w:szCs w:val="18"/>
              </w:rPr>
              <w:t>现状评价</w:t>
            </w:r>
          </w:p>
        </w:tc>
        <w:tc>
          <w:tcPr>
            <w:tcW w:w="1434" w:type="dxa"/>
            <w:vAlign w:val="top"/>
          </w:tcPr>
          <w:p w14:paraId="31AF982C">
            <w:pPr>
              <w:pStyle w:val="6"/>
              <w:spacing w:before="45" w:line="187" w:lineRule="auto"/>
              <w:ind w:left="351"/>
              <w:rPr>
                <w:sz w:val="18"/>
                <w:szCs w:val="18"/>
              </w:rPr>
            </w:pPr>
            <w:r>
              <w:rPr>
                <w:spacing w:val="-2"/>
                <w:sz w:val="18"/>
                <w:szCs w:val="18"/>
              </w:rPr>
              <w:t>评价范围</w:t>
            </w:r>
          </w:p>
        </w:tc>
        <w:tc>
          <w:tcPr>
            <w:tcW w:w="7290" w:type="dxa"/>
            <w:gridSpan w:val="5"/>
            <w:tcBorders>
              <w:right w:val="single" w:color="000000" w:sz="10" w:space="0"/>
            </w:tcBorders>
            <w:vAlign w:val="top"/>
          </w:tcPr>
          <w:p w14:paraId="298FD70D">
            <w:pPr>
              <w:pStyle w:val="6"/>
              <w:spacing w:before="45" w:line="187" w:lineRule="auto"/>
              <w:ind w:left="1"/>
              <w:rPr>
                <w:rFonts w:ascii="Times New Roman" w:hAnsi="Times New Roman" w:eastAsia="Times New Roman" w:cs="Times New Roman"/>
                <w:sz w:val="11"/>
                <w:szCs w:val="11"/>
              </w:rPr>
            </w:pPr>
            <w:r>
              <w:rPr>
                <w:spacing w:val="-1"/>
                <w:sz w:val="18"/>
                <w:szCs w:val="18"/>
              </w:rPr>
              <w:t>河流：长度</w:t>
            </w:r>
            <w:r>
              <w:rPr>
                <w:spacing w:val="-22"/>
                <w:sz w:val="18"/>
                <w:szCs w:val="18"/>
              </w:rPr>
              <w:t>（</w:t>
            </w:r>
            <w:r>
              <w:rPr>
                <w:spacing w:val="13"/>
                <w:sz w:val="18"/>
                <w:szCs w:val="18"/>
              </w:rPr>
              <w:t xml:space="preserve">    </w:t>
            </w:r>
            <w:r>
              <w:rPr>
                <w:spacing w:val="-22"/>
                <w:sz w:val="18"/>
                <w:szCs w:val="18"/>
              </w:rPr>
              <w:t>）</w:t>
            </w:r>
            <w:r>
              <w:rPr>
                <w:rFonts w:ascii="Times New Roman" w:hAnsi="Times New Roman" w:eastAsia="Times New Roman" w:cs="Times New Roman"/>
                <w:spacing w:val="-1"/>
                <w:sz w:val="18"/>
                <w:szCs w:val="18"/>
              </w:rPr>
              <w:t>km</w:t>
            </w:r>
            <w:r>
              <w:rPr>
                <w:spacing w:val="-1"/>
                <w:sz w:val="18"/>
                <w:szCs w:val="18"/>
              </w:rPr>
              <w:t>；湖库、河口及近岸海域：面积</w:t>
            </w:r>
            <w:r>
              <w:rPr>
                <w:spacing w:val="-22"/>
                <w:sz w:val="18"/>
                <w:szCs w:val="18"/>
              </w:rPr>
              <w:t>（</w:t>
            </w:r>
            <w:r>
              <w:rPr>
                <w:spacing w:val="14"/>
                <w:sz w:val="18"/>
                <w:szCs w:val="18"/>
              </w:rPr>
              <w:t xml:space="preserve">    </w:t>
            </w:r>
            <w:r>
              <w:rPr>
                <w:spacing w:val="-22"/>
                <w:sz w:val="18"/>
                <w:szCs w:val="18"/>
              </w:rPr>
              <w:t>）</w:t>
            </w:r>
            <w:r>
              <w:rPr>
                <w:rFonts w:ascii="Times New Roman" w:hAnsi="Times New Roman" w:eastAsia="Times New Roman" w:cs="Times New Roman"/>
                <w:spacing w:val="-1"/>
                <w:sz w:val="18"/>
                <w:szCs w:val="18"/>
              </w:rPr>
              <w:t>km</w:t>
            </w:r>
            <w:r>
              <w:rPr>
                <w:rFonts w:ascii="Times New Roman" w:hAnsi="Times New Roman" w:eastAsia="Times New Roman" w:cs="Times New Roman"/>
                <w:spacing w:val="-1"/>
                <w:position w:val="6"/>
                <w:sz w:val="11"/>
                <w:szCs w:val="11"/>
              </w:rPr>
              <w:t>2</w:t>
            </w:r>
          </w:p>
        </w:tc>
      </w:tr>
      <w:tr w14:paraId="706DEB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4412D332">
            <w:pPr>
              <w:rPr>
                <w:rFonts w:ascii="Arial"/>
                <w:sz w:val="21"/>
              </w:rPr>
            </w:pPr>
          </w:p>
        </w:tc>
        <w:tc>
          <w:tcPr>
            <w:tcW w:w="1434" w:type="dxa"/>
            <w:vAlign w:val="top"/>
          </w:tcPr>
          <w:p w14:paraId="6C0BFEA9">
            <w:pPr>
              <w:pStyle w:val="6"/>
              <w:spacing w:before="44" w:line="188" w:lineRule="auto"/>
              <w:ind w:left="351"/>
              <w:rPr>
                <w:sz w:val="18"/>
                <w:szCs w:val="18"/>
              </w:rPr>
            </w:pPr>
            <w:r>
              <w:rPr>
                <w:spacing w:val="-2"/>
                <w:sz w:val="18"/>
                <w:szCs w:val="18"/>
              </w:rPr>
              <w:t>评价因子</w:t>
            </w:r>
          </w:p>
        </w:tc>
        <w:tc>
          <w:tcPr>
            <w:tcW w:w="7290" w:type="dxa"/>
            <w:gridSpan w:val="5"/>
            <w:tcBorders>
              <w:right w:val="single" w:color="000000" w:sz="10" w:space="0"/>
            </w:tcBorders>
            <w:vAlign w:val="top"/>
          </w:tcPr>
          <w:p w14:paraId="6C98F92D">
            <w:pPr>
              <w:pStyle w:val="6"/>
              <w:spacing w:before="44" w:line="188" w:lineRule="auto"/>
              <w:ind w:left="97"/>
              <w:rPr>
                <w:sz w:val="18"/>
                <w:szCs w:val="18"/>
              </w:rPr>
            </w:pPr>
            <w:r>
              <w:rPr>
                <w:spacing w:val="-15"/>
                <w:w w:val="95"/>
                <w:sz w:val="18"/>
                <w:szCs w:val="18"/>
              </w:rPr>
              <w:t>(</w:t>
            </w:r>
            <w:r>
              <w:rPr>
                <w:spacing w:val="8"/>
                <w:sz w:val="18"/>
                <w:szCs w:val="18"/>
              </w:rPr>
              <w:t xml:space="preserve">      </w:t>
            </w:r>
            <w:r>
              <w:rPr>
                <w:spacing w:val="-15"/>
                <w:w w:val="95"/>
                <w:sz w:val="18"/>
                <w:szCs w:val="18"/>
              </w:rPr>
              <w:t>)</w:t>
            </w:r>
          </w:p>
        </w:tc>
      </w:tr>
      <w:tr w14:paraId="5D1F85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3" w:hRule="atLeast"/>
        </w:trPr>
        <w:tc>
          <w:tcPr>
            <w:tcW w:w="378" w:type="dxa"/>
            <w:vMerge w:val="continue"/>
            <w:tcBorders>
              <w:top w:val="nil"/>
              <w:left w:val="single" w:color="000000" w:sz="10" w:space="0"/>
              <w:bottom w:val="nil"/>
            </w:tcBorders>
            <w:textDirection w:val="tbRlV"/>
            <w:vAlign w:val="top"/>
          </w:tcPr>
          <w:p w14:paraId="032011D3">
            <w:pPr>
              <w:rPr>
                <w:rFonts w:ascii="Arial"/>
                <w:sz w:val="21"/>
              </w:rPr>
            </w:pPr>
          </w:p>
        </w:tc>
        <w:tc>
          <w:tcPr>
            <w:tcW w:w="1434" w:type="dxa"/>
            <w:vAlign w:val="top"/>
          </w:tcPr>
          <w:p w14:paraId="6912BA4B">
            <w:pPr>
              <w:pStyle w:val="6"/>
              <w:spacing w:before="279" w:line="218" w:lineRule="auto"/>
              <w:ind w:left="351"/>
              <w:rPr>
                <w:sz w:val="18"/>
                <w:szCs w:val="18"/>
              </w:rPr>
            </w:pPr>
            <w:r>
              <w:rPr>
                <w:spacing w:val="-2"/>
                <w:sz w:val="18"/>
                <w:szCs w:val="18"/>
              </w:rPr>
              <w:t>评价标准</w:t>
            </w:r>
          </w:p>
        </w:tc>
        <w:tc>
          <w:tcPr>
            <w:tcW w:w="7290" w:type="dxa"/>
            <w:gridSpan w:val="5"/>
            <w:tcBorders>
              <w:right w:val="single" w:color="000000" w:sz="10" w:space="0"/>
            </w:tcBorders>
            <w:vAlign w:val="top"/>
          </w:tcPr>
          <w:p w14:paraId="22DF595F">
            <w:pPr>
              <w:pStyle w:val="6"/>
              <w:spacing w:before="43" w:line="183" w:lineRule="auto"/>
              <w:ind w:left="1"/>
              <w:rPr>
                <w:sz w:val="18"/>
                <w:szCs w:val="18"/>
              </w:rPr>
            </w:pPr>
            <w:r>
              <w:rPr>
                <w:spacing w:val="-4"/>
                <w:sz w:val="18"/>
                <w:szCs w:val="18"/>
              </w:rPr>
              <w:t>河流、湖库、河口：</w:t>
            </w:r>
            <w:r>
              <w:rPr>
                <w:rFonts w:ascii="Times New Roman" w:hAnsi="Times New Roman" w:eastAsia="Times New Roman" w:cs="Times New Roman"/>
                <w:spacing w:val="-4"/>
                <w:sz w:val="18"/>
                <w:szCs w:val="18"/>
              </w:rPr>
              <w:t>Ⅰ</w:t>
            </w:r>
            <w:r>
              <w:rPr>
                <w:spacing w:val="-4"/>
                <w:sz w:val="18"/>
                <w:szCs w:val="18"/>
              </w:rPr>
              <w:t xml:space="preserve">类 </w:t>
            </w:r>
            <w:r>
              <w:rPr>
                <w:rFonts w:ascii="微软雅黑" w:hAnsi="微软雅黑" w:eastAsia="微软雅黑" w:cs="微软雅黑"/>
                <w:spacing w:val="-4"/>
                <w:sz w:val="18"/>
                <w:szCs w:val="18"/>
              </w:rPr>
              <w:t>□</w:t>
            </w:r>
            <w:r>
              <w:rPr>
                <w:rFonts w:ascii="微软雅黑" w:hAnsi="微软雅黑" w:eastAsia="微软雅黑" w:cs="微软雅黑"/>
                <w:spacing w:val="-19"/>
                <w:sz w:val="18"/>
                <w:szCs w:val="18"/>
              </w:rPr>
              <w:t xml:space="preserve"> </w:t>
            </w:r>
            <w:r>
              <w:rPr>
                <w:spacing w:val="-4"/>
                <w:sz w:val="18"/>
                <w:szCs w:val="18"/>
              </w:rPr>
              <w:t>;</w:t>
            </w:r>
            <w:r>
              <w:rPr>
                <w:spacing w:val="46"/>
                <w:sz w:val="18"/>
                <w:szCs w:val="18"/>
              </w:rPr>
              <w:t xml:space="preserve"> </w:t>
            </w:r>
            <w:r>
              <w:rPr>
                <w:rFonts w:ascii="Times New Roman" w:hAnsi="Times New Roman" w:eastAsia="Times New Roman" w:cs="Times New Roman"/>
                <w:spacing w:val="-4"/>
                <w:sz w:val="18"/>
                <w:szCs w:val="18"/>
              </w:rPr>
              <w:t>Ⅱ</w:t>
            </w:r>
            <w:r>
              <w:rPr>
                <w:spacing w:val="-4"/>
                <w:sz w:val="18"/>
                <w:szCs w:val="18"/>
              </w:rPr>
              <w:t xml:space="preserve">类 </w:t>
            </w:r>
            <w:r>
              <w:rPr>
                <w:rFonts w:ascii="微软雅黑" w:hAnsi="微软雅黑" w:eastAsia="微软雅黑" w:cs="微软雅黑"/>
                <w:spacing w:val="-4"/>
                <w:sz w:val="18"/>
                <w:szCs w:val="18"/>
              </w:rPr>
              <w:t>□</w:t>
            </w:r>
            <w:r>
              <w:rPr>
                <w:rFonts w:ascii="微软雅黑" w:hAnsi="微软雅黑" w:eastAsia="微软雅黑" w:cs="微软雅黑"/>
                <w:spacing w:val="-30"/>
                <w:sz w:val="18"/>
                <w:szCs w:val="18"/>
              </w:rPr>
              <w:t xml:space="preserve"> </w:t>
            </w:r>
            <w:r>
              <w:rPr>
                <w:spacing w:val="-4"/>
                <w:sz w:val="18"/>
                <w:szCs w:val="18"/>
              </w:rPr>
              <w:t>;</w:t>
            </w:r>
            <w:r>
              <w:rPr>
                <w:spacing w:val="47"/>
                <w:sz w:val="18"/>
                <w:szCs w:val="18"/>
              </w:rPr>
              <w:t xml:space="preserve"> </w:t>
            </w:r>
            <w:r>
              <w:rPr>
                <w:rFonts w:ascii="Times New Roman" w:hAnsi="Times New Roman" w:eastAsia="Times New Roman" w:cs="Times New Roman"/>
                <w:spacing w:val="-4"/>
                <w:sz w:val="18"/>
                <w:szCs w:val="18"/>
              </w:rPr>
              <w:t>Ⅲ</w:t>
            </w:r>
            <w:r>
              <w:rPr>
                <w:spacing w:val="-4"/>
                <w:sz w:val="18"/>
                <w:szCs w:val="18"/>
              </w:rPr>
              <w:t>类</w:t>
            </w:r>
            <w:r>
              <w:rPr>
                <w:spacing w:val="13"/>
                <w:sz w:val="18"/>
                <w:szCs w:val="18"/>
              </w:rPr>
              <w:t xml:space="preserve"> </w:t>
            </w:r>
            <w:r>
              <w:rPr>
                <w:rFonts w:ascii="微软雅黑" w:hAnsi="微软雅黑" w:eastAsia="微软雅黑" w:cs="微软雅黑"/>
                <w:spacing w:val="-4"/>
                <w:sz w:val="18"/>
                <w:szCs w:val="18"/>
              </w:rPr>
              <w:t>□</w:t>
            </w:r>
            <w:r>
              <w:rPr>
                <w:rFonts w:ascii="微软雅黑" w:hAnsi="微软雅黑" w:eastAsia="微软雅黑" w:cs="微软雅黑"/>
                <w:spacing w:val="-30"/>
                <w:sz w:val="18"/>
                <w:szCs w:val="18"/>
              </w:rPr>
              <w:t xml:space="preserve"> </w:t>
            </w:r>
            <w:r>
              <w:rPr>
                <w:spacing w:val="-4"/>
                <w:sz w:val="18"/>
                <w:szCs w:val="18"/>
              </w:rPr>
              <w:t>;</w:t>
            </w:r>
            <w:r>
              <w:rPr>
                <w:spacing w:val="47"/>
                <w:sz w:val="18"/>
                <w:szCs w:val="18"/>
              </w:rPr>
              <w:t xml:space="preserve"> </w:t>
            </w:r>
            <w:r>
              <w:rPr>
                <w:rFonts w:ascii="Times New Roman" w:hAnsi="Times New Roman" w:eastAsia="Times New Roman" w:cs="Times New Roman"/>
                <w:spacing w:val="-4"/>
                <w:sz w:val="18"/>
                <w:szCs w:val="18"/>
              </w:rPr>
              <w:t>Ⅳ</w:t>
            </w:r>
            <w:r>
              <w:rPr>
                <w:spacing w:val="-4"/>
                <w:sz w:val="18"/>
                <w:szCs w:val="18"/>
              </w:rPr>
              <w:t>类</w:t>
            </w:r>
            <w:r>
              <w:rPr>
                <w:spacing w:val="14"/>
                <w:sz w:val="18"/>
                <w:szCs w:val="18"/>
              </w:rPr>
              <w:t xml:space="preserve"> </w:t>
            </w:r>
            <w:r>
              <w:rPr>
                <w:rFonts w:ascii="微软雅黑" w:hAnsi="微软雅黑" w:eastAsia="微软雅黑" w:cs="微软雅黑"/>
                <w:spacing w:val="-4"/>
                <w:sz w:val="18"/>
                <w:szCs w:val="18"/>
              </w:rPr>
              <w:t>□</w:t>
            </w:r>
            <w:r>
              <w:rPr>
                <w:rFonts w:ascii="微软雅黑" w:hAnsi="微软雅黑" w:eastAsia="微软雅黑" w:cs="微软雅黑"/>
                <w:spacing w:val="-31"/>
                <w:sz w:val="18"/>
                <w:szCs w:val="18"/>
              </w:rPr>
              <w:t xml:space="preserve"> </w:t>
            </w:r>
            <w:r>
              <w:rPr>
                <w:spacing w:val="-4"/>
                <w:sz w:val="18"/>
                <w:szCs w:val="18"/>
              </w:rPr>
              <w:t>;</w:t>
            </w:r>
            <w:r>
              <w:rPr>
                <w:spacing w:val="44"/>
                <w:sz w:val="18"/>
                <w:szCs w:val="18"/>
              </w:rPr>
              <w:t xml:space="preserve"> </w:t>
            </w:r>
            <w:r>
              <w:rPr>
                <w:rFonts w:ascii="Times New Roman" w:hAnsi="Times New Roman" w:eastAsia="Times New Roman" w:cs="Times New Roman"/>
                <w:spacing w:val="-4"/>
                <w:sz w:val="18"/>
                <w:szCs w:val="18"/>
              </w:rPr>
              <w:t>Ⅴ</w:t>
            </w:r>
            <w:r>
              <w:rPr>
                <w:spacing w:val="-4"/>
                <w:sz w:val="18"/>
                <w:szCs w:val="18"/>
              </w:rPr>
              <w:t>类</w:t>
            </w:r>
            <w:r>
              <w:rPr>
                <w:spacing w:val="14"/>
                <w:sz w:val="18"/>
                <w:szCs w:val="18"/>
              </w:rPr>
              <w:t xml:space="preserve"> </w:t>
            </w:r>
            <w:r>
              <w:rPr>
                <w:rFonts w:ascii="微软雅黑" w:hAnsi="微软雅黑" w:eastAsia="微软雅黑" w:cs="微软雅黑"/>
                <w:spacing w:val="-4"/>
                <w:sz w:val="18"/>
                <w:szCs w:val="18"/>
              </w:rPr>
              <w:t>□</w:t>
            </w:r>
            <w:r>
              <w:rPr>
                <w:rFonts w:ascii="微软雅黑" w:hAnsi="微软雅黑" w:eastAsia="微软雅黑" w:cs="微软雅黑"/>
                <w:spacing w:val="-30"/>
                <w:sz w:val="18"/>
                <w:szCs w:val="18"/>
              </w:rPr>
              <w:t xml:space="preserve"> </w:t>
            </w:r>
            <w:r>
              <w:rPr>
                <w:spacing w:val="-4"/>
                <w:sz w:val="18"/>
                <w:szCs w:val="18"/>
              </w:rPr>
              <w:t>;</w:t>
            </w:r>
          </w:p>
          <w:p w14:paraId="25B14481">
            <w:pPr>
              <w:pStyle w:val="6"/>
              <w:spacing w:before="1" w:line="182" w:lineRule="auto"/>
              <w:ind w:left="2" w:right="2679" w:hanging="1"/>
              <w:rPr>
                <w:sz w:val="18"/>
                <w:szCs w:val="18"/>
              </w:rPr>
            </w:pPr>
            <w:r>
              <w:rPr>
                <w:spacing w:val="-3"/>
                <w:sz w:val="18"/>
                <w:szCs w:val="18"/>
              </w:rPr>
              <w:t xml:space="preserve">近岸海域：第一类 </w:t>
            </w:r>
            <w:r>
              <w:rPr>
                <w:rFonts w:ascii="微软雅黑" w:hAnsi="微软雅黑" w:eastAsia="微软雅黑" w:cs="微软雅黑"/>
                <w:spacing w:val="-3"/>
                <w:sz w:val="18"/>
                <w:szCs w:val="18"/>
              </w:rPr>
              <w:t>□</w:t>
            </w:r>
            <w:r>
              <w:rPr>
                <w:rFonts w:ascii="微软雅黑" w:hAnsi="微软雅黑" w:eastAsia="微软雅黑" w:cs="微软雅黑"/>
                <w:spacing w:val="-30"/>
                <w:sz w:val="18"/>
                <w:szCs w:val="18"/>
              </w:rPr>
              <w:t xml:space="preserve"> </w:t>
            </w:r>
            <w:r>
              <w:rPr>
                <w:spacing w:val="-3"/>
                <w:sz w:val="18"/>
                <w:szCs w:val="18"/>
              </w:rPr>
              <w:t>;</w:t>
            </w:r>
            <w:r>
              <w:rPr>
                <w:spacing w:val="49"/>
                <w:sz w:val="18"/>
                <w:szCs w:val="18"/>
              </w:rPr>
              <w:t xml:space="preserve"> </w:t>
            </w:r>
            <w:r>
              <w:rPr>
                <w:spacing w:val="-3"/>
                <w:sz w:val="18"/>
                <w:szCs w:val="18"/>
              </w:rPr>
              <w:t xml:space="preserve">第二类 </w:t>
            </w:r>
            <w:r>
              <w:rPr>
                <w:rFonts w:ascii="微软雅黑" w:hAnsi="微软雅黑" w:eastAsia="微软雅黑" w:cs="微软雅黑"/>
                <w:spacing w:val="-3"/>
                <w:sz w:val="18"/>
                <w:szCs w:val="18"/>
              </w:rPr>
              <w:t>□</w:t>
            </w:r>
            <w:r>
              <w:rPr>
                <w:rFonts w:ascii="微软雅黑" w:hAnsi="微软雅黑" w:eastAsia="微软雅黑" w:cs="微软雅黑"/>
                <w:spacing w:val="-33"/>
                <w:sz w:val="18"/>
                <w:szCs w:val="18"/>
              </w:rPr>
              <w:t xml:space="preserve"> </w:t>
            </w:r>
            <w:r>
              <w:rPr>
                <w:spacing w:val="-3"/>
                <w:sz w:val="18"/>
                <w:szCs w:val="18"/>
              </w:rPr>
              <w:t>;</w:t>
            </w:r>
            <w:r>
              <w:rPr>
                <w:spacing w:val="49"/>
                <w:sz w:val="18"/>
                <w:szCs w:val="18"/>
              </w:rPr>
              <w:t xml:space="preserve"> </w:t>
            </w:r>
            <w:r>
              <w:rPr>
                <w:spacing w:val="-3"/>
                <w:sz w:val="18"/>
                <w:szCs w:val="18"/>
              </w:rPr>
              <w:t>第三类</w:t>
            </w:r>
            <w:r>
              <w:rPr>
                <w:spacing w:val="16"/>
                <w:sz w:val="18"/>
                <w:szCs w:val="18"/>
              </w:rPr>
              <w:t xml:space="preserve"> </w:t>
            </w:r>
            <w:r>
              <w:rPr>
                <w:rFonts w:ascii="微软雅黑" w:hAnsi="微软雅黑" w:eastAsia="微软雅黑" w:cs="微软雅黑"/>
                <w:spacing w:val="-3"/>
                <w:sz w:val="18"/>
                <w:szCs w:val="18"/>
              </w:rPr>
              <w:t>□</w:t>
            </w:r>
            <w:r>
              <w:rPr>
                <w:rFonts w:ascii="微软雅黑" w:hAnsi="微软雅黑" w:eastAsia="微软雅黑" w:cs="微软雅黑"/>
                <w:spacing w:val="-32"/>
                <w:sz w:val="18"/>
                <w:szCs w:val="18"/>
              </w:rPr>
              <w:t xml:space="preserve"> </w:t>
            </w:r>
            <w:r>
              <w:rPr>
                <w:spacing w:val="-3"/>
                <w:sz w:val="18"/>
                <w:szCs w:val="18"/>
              </w:rPr>
              <w:t>;</w:t>
            </w:r>
            <w:r>
              <w:rPr>
                <w:spacing w:val="49"/>
                <w:sz w:val="18"/>
                <w:szCs w:val="18"/>
              </w:rPr>
              <w:t xml:space="preserve"> </w:t>
            </w:r>
            <w:r>
              <w:rPr>
                <w:spacing w:val="-3"/>
                <w:sz w:val="18"/>
                <w:szCs w:val="18"/>
              </w:rPr>
              <w:t>第</w:t>
            </w:r>
            <w:r>
              <w:rPr>
                <w:spacing w:val="-4"/>
                <w:sz w:val="18"/>
                <w:szCs w:val="18"/>
              </w:rPr>
              <w:t>四类</w:t>
            </w:r>
            <w:r>
              <w:rPr>
                <w:spacing w:val="16"/>
                <w:sz w:val="18"/>
                <w:szCs w:val="18"/>
              </w:rPr>
              <w:t xml:space="preserve"> </w:t>
            </w:r>
            <w:r>
              <w:rPr>
                <w:rFonts w:ascii="微软雅黑" w:hAnsi="微软雅黑" w:eastAsia="微软雅黑" w:cs="微软雅黑"/>
                <w:spacing w:val="-4"/>
                <w:sz w:val="18"/>
                <w:szCs w:val="18"/>
              </w:rPr>
              <w:t>□</w:t>
            </w:r>
            <w:r>
              <w:rPr>
                <w:rFonts w:ascii="微软雅黑" w:hAnsi="微软雅黑" w:eastAsia="微软雅黑" w:cs="微软雅黑"/>
                <w:sz w:val="18"/>
                <w:szCs w:val="18"/>
              </w:rPr>
              <w:t xml:space="preserve"> </w:t>
            </w:r>
            <w:r>
              <w:rPr>
                <w:spacing w:val="-6"/>
                <w:sz w:val="18"/>
                <w:szCs w:val="18"/>
              </w:rPr>
              <w:t>规划年评价标准</w:t>
            </w:r>
            <w:r>
              <w:rPr>
                <w:spacing w:val="19"/>
                <w:sz w:val="18"/>
                <w:szCs w:val="18"/>
              </w:rPr>
              <w:t xml:space="preserve"> </w:t>
            </w:r>
            <w:r>
              <w:rPr>
                <w:spacing w:val="-6"/>
                <w:sz w:val="18"/>
                <w:szCs w:val="18"/>
              </w:rPr>
              <w:t>(</w:t>
            </w:r>
            <w:r>
              <w:rPr>
                <w:spacing w:val="26"/>
                <w:sz w:val="18"/>
                <w:szCs w:val="18"/>
              </w:rPr>
              <w:t xml:space="preserve">  </w:t>
            </w:r>
            <w:r>
              <w:rPr>
                <w:spacing w:val="-6"/>
                <w:sz w:val="18"/>
                <w:szCs w:val="18"/>
              </w:rPr>
              <w:t>)</w:t>
            </w:r>
          </w:p>
        </w:tc>
      </w:tr>
      <w:tr w14:paraId="37A577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378" w:type="dxa"/>
            <w:vMerge w:val="continue"/>
            <w:tcBorders>
              <w:top w:val="nil"/>
              <w:left w:val="single" w:color="000000" w:sz="10" w:space="0"/>
              <w:bottom w:val="nil"/>
            </w:tcBorders>
            <w:textDirection w:val="tbRlV"/>
            <w:vAlign w:val="top"/>
          </w:tcPr>
          <w:p w14:paraId="5AAD3CA9">
            <w:pPr>
              <w:rPr>
                <w:rFonts w:ascii="Arial"/>
                <w:sz w:val="21"/>
              </w:rPr>
            </w:pPr>
          </w:p>
        </w:tc>
        <w:tc>
          <w:tcPr>
            <w:tcW w:w="1434" w:type="dxa"/>
            <w:vAlign w:val="top"/>
          </w:tcPr>
          <w:p w14:paraId="43F34043">
            <w:pPr>
              <w:pStyle w:val="6"/>
              <w:spacing w:before="164" w:line="218" w:lineRule="auto"/>
              <w:ind w:left="351"/>
              <w:rPr>
                <w:sz w:val="18"/>
                <w:szCs w:val="18"/>
              </w:rPr>
            </w:pPr>
            <w:r>
              <w:rPr>
                <w:spacing w:val="-2"/>
                <w:sz w:val="18"/>
                <w:szCs w:val="18"/>
              </w:rPr>
              <w:t>评价时期</w:t>
            </w:r>
          </w:p>
        </w:tc>
        <w:tc>
          <w:tcPr>
            <w:tcW w:w="7290" w:type="dxa"/>
            <w:gridSpan w:val="5"/>
            <w:tcBorders>
              <w:right w:val="single" w:color="000000" w:sz="10" w:space="0"/>
            </w:tcBorders>
            <w:vAlign w:val="top"/>
          </w:tcPr>
          <w:p w14:paraId="295C312C">
            <w:pPr>
              <w:pStyle w:val="6"/>
              <w:spacing w:before="46" w:line="161" w:lineRule="auto"/>
              <w:ind w:left="1" w:right="3530" w:firstLine="1"/>
              <w:rPr>
                <w:rFonts w:ascii="微软雅黑" w:hAnsi="微软雅黑" w:eastAsia="微软雅黑" w:cs="微软雅黑"/>
                <w:sz w:val="18"/>
                <w:szCs w:val="18"/>
              </w:rPr>
            </w:pPr>
            <w:r>
              <w:rPr>
                <w:spacing w:val="-8"/>
                <w:sz w:val="18"/>
                <w:szCs w:val="18"/>
              </w:rPr>
              <w:t xml:space="preserve">丰水期 </w:t>
            </w:r>
            <w:r>
              <w:rPr>
                <w:rFonts w:ascii="微软雅黑" w:hAnsi="微软雅黑" w:eastAsia="微软雅黑" w:cs="微软雅黑"/>
                <w:spacing w:val="-8"/>
                <w:sz w:val="18"/>
                <w:szCs w:val="18"/>
              </w:rPr>
              <w:t>□</w:t>
            </w:r>
            <w:r>
              <w:rPr>
                <w:rFonts w:ascii="微软雅黑" w:hAnsi="微软雅黑" w:eastAsia="微软雅黑" w:cs="微软雅黑"/>
                <w:spacing w:val="-26"/>
                <w:sz w:val="18"/>
                <w:szCs w:val="18"/>
              </w:rPr>
              <w:t xml:space="preserve"> </w:t>
            </w:r>
            <w:r>
              <w:rPr>
                <w:spacing w:val="-8"/>
                <w:sz w:val="18"/>
                <w:szCs w:val="18"/>
              </w:rPr>
              <w:t>;</w:t>
            </w:r>
            <w:r>
              <w:rPr>
                <w:spacing w:val="49"/>
                <w:sz w:val="18"/>
                <w:szCs w:val="18"/>
              </w:rPr>
              <w:t xml:space="preserve"> </w:t>
            </w:r>
            <w:r>
              <w:rPr>
                <w:spacing w:val="-8"/>
                <w:sz w:val="18"/>
                <w:szCs w:val="18"/>
              </w:rPr>
              <w:t>平水期</w:t>
            </w:r>
            <w:r>
              <w:rPr>
                <w:spacing w:val="16"/>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3"/>
                <w:sz w:val="18"/>
                <w:szCs w:val="18"/>
              </w:rPr>
              <w:t xml:space="preserve"> </w:t>
            </w:r>
            <w:r>
              <w:rPr>
                <w:spacing w:val="-8"/>
                <w:sz w:val="18"/>
                <w:szCs w:val="18"/>
              </w:rPr>
              <w:t>;</w:t>
            </w:r>
            <w:r>
              <w:rPr>
                <w:spacing w:val="50"/>
                <w:sz w:val="18"/>
                <w:szCs w:val="18"/>
              </w:rPr>
              <w:t xml:space="preserve"> </w:t>
            </w:r>
            <w:r>
              <w:rPr>
                <w:spacing w:val="-8"/>
                <w:sz w:val="18"/>
                <w:szCs w:val="18"/>
              </w:rPr>
              <w:t>枯水期</w:t>
            </w:r>
            <w:r>
              <w:rPr>
                <w:spacing w:val="16"/>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2"/>
                <w:sz w:val="18"/>
                <w:szCs w:val="18"/>
              </w:rPr>
              <w:t xml:space="preserve"> </w:t>
            </w:r>
            <w:r>
              <w:rPr>
                <w:spacing w:val="-8"/>
                <w:sz w:val="18"/>
                <w:szCs w:val="18"/>
              </w:rPr>
              <w:t>;</w:t>
            </w:r>
            <w:r>
              <w:rPr>
                <w:spacing w:val="49"/>
                <w:sz w:val="18"/>
                <w:szCs w:val="18"/>
              </w:rPr>
              <w:t xml:space="preserve"> </w:t>
            </w:r>
            <w:r>
              <w:rPr>
                <w:spacing w:val="-8"/>
                <w:sz w:val="18"/>
                <w:szCs w:val="18"/>
              </w:rPr>
              <w:t>冰封期</w:t>
            </w:r>
            <w:r>
              <w:rPr>
                <w:spacing w:val="16"/>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0"/>
                <w:sz w:val="18"/>
                <w:szCs w:val="18"/>
              </w:rPr>
              <w:t xml:space="preserve"> </w:t>
            </w:r>
            <w:r>
              <w:rPr>
                <w:spacing w:val="-8"/>
                <w:sz w:val="18"/>
                <w:szCs w:val="18"/>
              </w:rPr>
              <w:t>;</w:t>
            </w:r>
            <w:r>
              <w:rPr>
                <w:sz w:val="18"/>
                <w:szCs w:val="18"/>
              </w:rPr>
              <w:t xml:space="preserve"> </w:t>
            </w:r>
            <w:r>
              <w:rPr>
                <w:spacing w:val="-7"/>
                <w:sz w:val="18"/>
                <w:szCs w:val="18"/>
              </w:rPr>
              <w:t xml:space="preserve">春季 </w:t>
            </w:r>
            <w:r>
              <w:rPr>
                <w:rFonts w:ascii="微软雅黑" w:hAnsi="微软雅黑" w:eastAsia="微软雅黑" w:cs="微软雅黑"/>
                <w:spacing w:val="-7"/>
                <w:sz w:val="18"/>
                <w:szCs w:val="18"/>
              </w:rPr>
              <w:t>□</w:t>
            </w:r>
            <w:r>
              <w:rPr>
                <w:rFonts w:ascii="微软雅黑" w:hAnsi="微软雅黑" w:eastAsia="微软雅黑" w:cs="微软雅黑"/>
                <w:spacing w:val="-22"/>
                <w:sz w:val="18"/>
                <w:szCs w:val="18"/>
              </w:rPr>
              <w:t xml:space="preserve"> </w:t>
            </w:r>
            <w:r>
              <w:rPr>
                <w:spacing w:val="-7"/>
                <w:sz w:val="18"/>
                <w:szCs w:val="18"/>
              </w:rPr>
              <w:t>;</w:t>
            </w:r>
            <w:r>
              <w:rPr>
                <w:spacing w:val="50"/>
                <w:sz w:val="18"/>
                <w:szCs w:val="18"/>
              </w:rPr>
              <w:t xml:space="preserve"> </w:t>
            </w:r>
            <w:r>
              <w:rPr>
                <w:spacing w:val="-7"/>
                <w:sz w:val="18"/>
                <w:szCs w:val="18"/>
              </w:rPr>
              <w:t>夏季</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3"/>
                <w:sz w:val="18"/>
                <w:szCs w:val="18"/>
              </w:rPr>
              <w:t xml:space="preserve"> </w:t>
            </w:r>
            <w:r>
              <w:rPr>
                <w:spacing w:val="-7"/>
                <w:sz w:val="18"/>
                <w:szCs w:val="18"/>
              </w:rPr>
              <w:t>;</w:t>
            </w:r>
            <w:r>
              <w:rPr>
                <w:spacing w:val="51"/>
                <w:sz w:val="18"/>
                <w:szCs w:val="18"/>
              </w:rPr>
              <w:t xml:space="preserve"> </w:t>
            </w:r>
            <w:r>
              <w:rPr>
                <w:spacing w:val="-7"/>
                <w:sz w:val="18"/>
                <w:szCs w:val="18"/>
              </w:rPr>
              <w:t>秋季</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3"/>
                <w:sz w:val="18"/>
                <w:szCs w:val="18"/>
              </w:rPr>
              <w:t xml:space="preserve"> </w:t>
            </w:r>
            <w:r>
              <w:rPr>
                <w:spacing w:val="-7"/>
                <w:sz w:val="18"/>
                <w:szCs w:val="18"/>
              </w:rPr>
              <w:t>;</w:t>
            </w:r>
            <w:r>
              <w:rPr>
                <w:spacing w:val="54"/>
                <w:sz w:val="18"/>
                <w:szCs w:val="18"/>
              </w:rPr>
              <w:t xml:space="preserve"> </w:t>
            </w:r>
            <w:r>
              <w:rPr>
                <w:spacing w:val="-7"/>
                <w:sz w:val="18"/>
                <w:szCs w:val="18"/>
              </w:rPr>
              <w:t>冬季</w:t>
            </w:r>
            <w:r>
              <w:rPr>
                <w:spacing w:val="16"/>
                <w:sz w:val="18"/>
                <w:szCs w:val="18"/>
              </w:rPr>
              <w:t xml:space="preserve"> </w:t>
            </w:r>
            <w:r>
              <w:rPr>
                <w:rFonts w:ascii="微软雅黑" w:hAnsi="微软雅黑" w:eastAsia="微软雅黑" w:cs="微软雅黑"/>
                <w:spacing w:val="-7"/>
                <w:sz w:val="18"/>
                <w:szCs w:val="18"/>
              </w:rPr>
              <w:t>□</w:t>
            </w:r>
          </w:p>
        </w:tc>
      </w:tr>
      <w:tr w14:paraId="578613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90" w:hRule="atLeast"/>
        </w:trPr>
        <w:tc>
          <w:tcPr>
            <w:tcW w:w="378" w:type="dxa"/>
            <w:vMerge w:val="continue"/>
            <w:tcBorders>
              <w:top w:val="nil"/>
              <w:left w:val="single" w:color="000000" w:sz="10" w:space="0"/>
              <w:bottom w:val="single" w:color="000000" w:sz="10" w:space="0"/>
            </w:tcBorders>
            <w:textDirection w:val="tbRlV"/>
            <w:vAlign w:val="top"/>
          </w:tcPr>
          <w:p w14:paraId="514904D5">
            <w:pPr>
              <w:rPr>
                <w:rFonts w:ascii="Arial"/>
                <w:sz w:val="21"/>
              </w:rPr>
            </w:pPr>
          </w:p>
        </w:tc>
        <w:tc>
          <w:tcPr>
            <w:tcW w:w="1434" w:type="dxa"/>
            <w:tcBorders>
              <w:bottom w:val="single" w:color="000000" w:sz="10" w:space="0"/>
            </w:tcBorders>
            <w:vAlign w:val="top"/>
          </w:tcPr>
          <w:p w14:paraId="3CB01D6A">
            <w:pPr>
              <w:spacing w:line="266" w:lineRule="auto"/>
              <w:rPr>
                <w:rFonts w:ascii="Arial"/>
                <w:sz w:val="21"/>
              </w:rPr>
            </w:pPr>
          </w:p>
          <w:p w14:paraId="76DAA62B">
            <w:pPr>
              <w:spacing w:line="267" w:lineRule="auto"/>
              <w:rPr>
                <w:rFonts w:ascii="Arial"/>
                <w:sz w:val="21"/>
              </w:rPr>
            </w:pPr>
          </w:p>
          <w:p w14:paraId="217F0216">
            <w:pPr>
              <w:spacing w:line="267" w:lineRule="auto"/>
              <w:rPr>
                <w:rFonts w:ascii="Arial"/>
                <w:sz w:val="21"/>
              </w:rPr>
            </w:pPr>
          </w:p>
          <w:p w14:paraId="67AB7953">
            <w:pPr>
              <w:pStyle w:val="6"/>
              <w:spacing w:before="59" w:line="218" w:lineRule="auto"/>
              <w:ind w:left="351"/>
              <w:rPr>
                <w:sz w:val="18"/>
                <w:szCs w:val="18"/>
              </w:rPr>
            </w:pPr>
            <w:r>
              <w:rPr>
                <w:spacing w:val="-2"/>
                <w:sz w:val="18"/>
                <w:szCs w:val="18"/>
              </w:rPr>
              <w:t>评价结论</w:t>
            </w:r>
          </w:p>
        </w:tc>
        <w:tc>
          <w:tcPr>
            <w:tcW w:w="6327" w:type="dxa"/>
            <w:gridSpan w:val="4"/>
            <w:tcBorders>
              <w:bottom w:val="single" w:color="000000" w:sz="10" w:space="0"/>
            </w:tcBorders>
            <w:vAlign w:val="top"/>
          </w:tcPr>
          <w:p w14:paraId="48B4B2B6">
            <w:pPr>
              <w:pStyle w:val="6"/>
              <w:spacing w:before="47" w:line="181" w:lineRule="auto"/>
              <w:ind w:left="4"/>
              <w:rPr>
                <w:rFonts w:ascii="微软雅黑" w:hAnsi="微软雅黑" w:eastAsia="微软雅黑" w:cs="微软雅黑"/>
                <w:sz w:val="18"/>
                <w:szCs w:val="18"/>
              </w:rPr>
            </w:pPr>
            <w:r>
              <w:rPr>
                <w:spacing w:val="-1"/>
                <w:sz w:val="18"/>
                <w:szCs w:val="18"/>
              </w:rPr>
              <w:t>水环境功能区或水功能区、近岸海域环境功能区水质达标状况：达标</w:t>
            </w:r>
            <w:r>
              <w:rPr>
                <w:rFonts w:ascii="微软雅黑" w:hAnsi="微软雅黑" w:eastAsia="微软雅黑" w:cs="微软雅黑"/>
                <w:spacing w:val="-1"/>
                <w:sz w:val="18"/>
                <w:szCs w:val="18"/>
              </w:rPr>
              <w:t>□</w:t>
            </w:r>
            <w:r>
              <w:rPr>
                <w:spacing w:val="-1"/>
                <w:sz w:val="18"/>
                <w:szCs w:val="18"/>
              </w:rPr>
              <w:t>; 不达</w:t>
            </w:r>
            <w:r>
              <w:rPr>
                <w:spacing w:val="-2"/>
                <w:sz w:val="18"/>
                <w:szCs w:val="18"/>
              </w:rPr>
              <w:t>标</w:t>
            </w:r>
            <w:r>
              <w:rPr>
                <w:rFonts w:ascii="微软雅黑" w:hAnsi="微软雅黑" w:eastAsia="微软雅黑" w:cs="微软雅黑"/>
                <w:spacing w:val="-2"/>
                <w:sz w:val="18"/>
                <w:szCs w:val="18"/>
              </w:rPr>
              <w:t>□</w:t>
            </w:r>
            <w:r>
              <w:rPr>
                <w:rFonts w:ascii="微软雅黑" w:hAnsi="微软雅黑" w:eastAsia="微软雅黑" w:cs="微软雅黑"/>
                <w:sz w:val="18"/>
                <w:szCs w:val="18"/>
              </w:rPr>
              <w:t xml:space="preserve"> </w:t>
            </w:r>
            <w:r>
              <w:rPr>
                <w:sz w:val="18"/>
                <w:szCs w:val="18"/>
              </w:rPr>
              <w:t xml:space="preserve">水环境控制单元或断面水质达标状况 </w:t>
            </w:r>
            <w:r>
              <w:rPr>
                <w:rFonts w:ascii="微软雅黑" w:hAnsi="微软雅黑" w:eastAsia="微软雅黑" w:cs="微软雅黑"/>
                <w:sz w:val="18"/>
                <w:szCs w:val="18"/>
              </w:rPr>
              <w:t>□</w:t>
            </w:r>
            <w:r>
              <w:rPr>
                <w:rFonts w:ascii="微软雅黑" w:hAnsi="微软雅黑" w:eastAsia="微软雅黑" w:cs="微软雅黑"/>
                <w:spacing w:val="-29"/>
                <w:sz w:val="18"/>
                <w:szCs w:val="18"/>
              </w:rPr>
              <w:t xml:space="preserve"> </w:t>
            </w:r>
            <w:r>
              <w:rPr>
                <w:sz w:val="18"/>
                <w:szCs w:val="18"/>
              </w:rPr>
              <w:t xml:space="preserve">：达标 </w:t>
            </w:r>
            <w:r>
              <w:rPr>
                <w:rFonts w:ascii="微软雅黑" w:hAnsi="微软雅黑" w:eastAsia="微软雅黑" w:cs="微软雅黑"/>
                <w:sz w:val="18"/>
                <w:szCs w:val="18"/>
              </w:rPr>
              <w:t>□</w:t>
            </w:r>
            <w:r>
              <w:rPr>
                <w:rFonts w:ascii="微软雅黑" w:hAnsi="微软雅黑" w:eastAsia="微软雅黑" w:cs="微软雅黑"/>
                <w:spacing w:val="-33"/>
                <w:sz w:val="18"/>
                <w:szCs w:val="18"/>
              </w:rPr>
              <w:t xml:space="preserve"> </w:t>
            </w:r>
            <w:r>
              <w:rPr>
                <w:sz w:val="18"/>
                <w:szCs w:val="18"/>
              </w:rPr>
              <w:t>;</w:t>
            </w:r>
            <w:r>
              <w:rPr>
                <w:spacing w:val="52"/>
                <w:sz w:val="18"/>
                <w:szCs w:val="18"/>
              </w:rPr>
              <w:t xml:space="preserve"> </w:t>
            </w:r>
            <w:r>
              <w:rPr>
                <w:sz w:val="18"/>
                <w:szCs w:val="18"/>
              </w:rPr>
              <w:t>不达标</w:t>
            </w:r>
            <w:r>
              <w:rPr>
                <w:spacing w:val="16"/>
                <w:sz w:val="18"/>
                <w:szCs w:val="18"/>
              </w:rPr>
              <w:t xml:space="preserve"> </w:t>
            </w:r>
            <w:r>
              <w:rPr>
                <w:rFonts w:ascii="微软雅黑" w:hAnsi="微软雅黑" w:eastAsia="微软雅黑" w:cs="微软雅黑"/>
                <w:sz w:val="18"/>
                <w:szCs w:val="18"/>
              </w:rPr>
              <w:t>□</w:t>
            </w:r>
          </w:p>
          <w:p w14:paraId="1C40181E">
            <w:pPr>
              <w:pStyle w:val="6"/>
              <w:spacing w:before="1" w:line="182" w:lineRule="auto"/>
              <w:ind w:left="4"/>
              <w:rPr>
                <w:rFonts w:ascii="微软雅黑" w:hAnsi="微软雅黑" w:eastAsia="微软雅黑" w:cs="微软雅黑"/>
                <w:sz w:val="18"/>
                <w:szCs w:val="18"/>
              </w:rPr>
            </w:pPr>
            <w:r>
              <w:rPr>
                <w:sz w:val="18"/>
                <w:szCs w:val="18"/>
              </w:rPr>
              <w:t xml:space="preserve">水环境保护目标质量状况 </w:t>
            </w:r>
            <w:r>
              <w:rPr>
                <w:rFonts w:ascii="微软雅黑" w:hAnsi="微软雅黑" w:eastAsia="微软雅黑" w:cs="微软雅黑"/>
                <w:sz w:val="18"/>
                <w:szCs w:val="18"/>
              </w:rPr>
              <w:t>□</w:t>
            </w:r>
            <w:r>
              <w:rPr>
                <w:rFonts w:ascii="微软雅黑" w:hAnsi="微软雅黑" w:eastAsia="微软雅黑" w:cs="微软雅黑"/>
                <w:spacing w:val="-24"/>
                <w:sz w:val="18"/>
                <w:szCs w:val="18"/>
              </w:rPr>
              <w:t xml:space="preserve"> </w:t>
            </w:r>
            <w:r>
              <w:rPr>
                <w:sz w:val="18"/>
                <w:szCs w:val="18"/>
              </w:rPr>
              <w:t xml:space="preserve">：达标 </w:t>
            </w:r>
            <w:r>
              <w:rPr>
                <w:rFonts w:ascii="微软雅黑" w:hAnsi="微软雅黑" w:eastAsia="微软雅黑" w:cs="微软雅黑"/>
                <w:sz w:val="18"/>
                <w:szCs w:val="18"/>
              </w:rPr>
              <w:t>□</w:t>
            </w:r>
            <w:r>
              <w:rPr>
                <w:rFonts w:ascii="微软雅黑" w:hAnsi="微软雅黑" w:eastAsia="微软雅黑" w:cs="微软雅黑"/>
                <w:spacing w:val="-33"/>
                <w:sz w:val="18"/>
                <w:szCs w:val="18"/>
              </w:rPr>
              <w:t xml:space="preserve"> </w:t>
            </w:r>
            <w:r>
              <w:rPr>
                <w:sz w:val="18"/>
                <w:szCs w:val="18"/>
              </w:rPr>
              <w:t>;</w:t>
            </w:r>
            <w:r>
              <w:rPr>
                <w:spacing w:val="52"/>
                <w:sz w:val="18"/>
                <w:szCs w:val="18"/>
              </w:rPr>
              <w:t xml:space="preserve"> </w:t>
            </w:r>
            <w:r>
              <w:rPr>
                <w:sz w:val="18"/>
                <w:szCs w:val="18"/>
              </w:rPr>
              <w:t>不达标</w:t>
            </w:r>
            <w:r>
              <w:rPr>
                <w:spacing w:val="16"/>
                <w:sz w:val="18"/>
                <w:szCs w:val="18"/>
              </w:rPr>
              <w:t xml:space="preserve"> </w:t>
            </w:r>
            <w:r>
              <w:rPr>
                <w:rFonts w:ascii="微软雅黑" w:hAnsi="微软雅黑" w:eastAsia="微软雅黑" w:cs="微软雅黑"/>
                <w:sz w:val="18"/>
                <w:szCs w:val="18"/>
              </w:rPr>
              <w:t>□</w:t>
            </w:r>
          </w:p>
          <w:p w14:paraId="39C5C808">
            <w:pPr>
              <w:pStyle w:val="6"/>
              <w:spacing w:before="2" w:line="180" w:lineRule="auto"/>
              <w:ind w:left="1" w:right="715"/>
              <w:rPr>
                <w:rFonts w:ascii="微软雅黑" w:hAnsi="微软雅黑" w:eastAsia="微软雅黑" w:cs="微软雅黑"/>
                <w:sz w:val="18"/>
                <w:szCs w:val="18"/>
              </w:rPr>
            </w:pPr>
            <w:r>
              <w:rPr>
                <w:spacing w:val="1"/>
                <w:sz w:val="18"/>
                <w:szCs w:val="18"/>
              </w:rPr>
              <w:t xml:space="preserve">对照断面、控制断面等代表性断面的水质状况 </w:t>
            </w:r>
            <w:r>
              <w:rPr>
                <w:rFonts w:ascii="微软雅黑" w:hAnsi="微软雅黑" w:eastAsia="微软雅黑" w:cs="微软雅黑"/>
                <w:spacing w:val="1"/>
                <w:sz w:val="18"/>
                <w:szCs w:val="18"/>
              </w:rPr>
              <w:t>□</w:t>
            </w:r>
            <w:r>
              <w:rPr>
                <w:rFonts w:ascii="微软雅黑" w:hAnsi="微软雅黑" w:eastAsia="微软雅黑" w:cs="微软雅黑"/>
                <w:spacing w:val="-30"/>
                <w:sz w:val="18"/>
                <w:szCs w:val="18"/>
              </w:rPr>
              <w:t xml:space="preserve"> </w:t>
            </w:r>
            <w:r>
              <w:rPr>
                <w:spacing w:val="1"/>
                <w:sz w:val="18"/>
                <w:szCs w:val="18"/>
              </w:rPr>
              <w:t>：达标</w:t>
            </w:r>
            <w:r>
              <w:rPr>
                <w:sz w:val="18"/>
                <w:szCs w:val="18"/>
              </w:rPr>
              <w:t xml:space="preserve"> </w:t>
            </w:r>
            <w:r>
              <w:rPr>
                <w:rFonts w:ascii="微软雅黑" w:hAnsi="微软雅黑" w:eastAsia="微软雅黑" w:cs="微软雅黑"/>
                <w:sz w:val="18"/>
                <w:szCs w:val="18"/>
              </w:rPr>
              <w:t>□</w:t>
            </w:r>
            <w:r>
              <w:rPr>
                <w:rFonts w:ascii="微软雅黑" w:hAnsi="微软雅黑" w:eastAsia="微软雅黑" w:cs="微软雅黑"/>
                <w:spacing w:val="-33"/>
                <w:sz w:val="18"/>
                <w:szCs w:val="18"/>
              </w:rPr>
              <w:t xml:space="preserve"> </w:t>
            </w:r>
            <w:r>
              <w:rPr>
                <w:sz w:val="18"/>
                <w:szCs w:val="18"/>
              </w:rPr>
              <w:t>;</w:t>
            </w:r>
            <w:r>
              <w:rPr>
                <w:spacing w:val="52"/>
                <w:sz w:val="18"/>
                <w:szCs w:val="18"/>
              </w:rPr>
              <w:t xml:space="preserve"> </w:t>
            </w:r>
            <w:r>
              <w:rPr>
                <w:sz w:val="18"/>
                <w:szCs w:val="18"/>
              </w:rPr>
              <w:t xml:space="preserve">不达标 </w:t>
            </w:r>
            <w:r>
              <w:rPr>
                <w:rFonts w:ascii="微软雅黑" w:hAnsi="微软雅黑" w:eastAsia="微软雅黑" w:cs="微软雅黑"/>
                <w:sz w:val="18"/>
                <w:szCs w:val="18"/>
              </w:rPr>
              <w:t xml:space="preserve">□ </w:t>
            </w:r>
            <w:r>
              <w:rPr>
                <w:spacing w:val="3"/>
                <w:sz w:val="18"/>
                <w:szCs w:val="18"/>
              </w:rPr>
              <w:t>底泥污染评价</w:t>
            </w:r>
            <w:r>
              <w:rPr>
                <w:spacing w:val="13"/>
                <w:sz w:val="18"/>
                <w:szCs w:val="18"/>
              </w:rPr>
              <w:t xml:space="preserve"> </w:t>
            </w:r>
            <w:r>
              <w:rPr>
                <w:rFonts w:ascii="微软雅黑" w:hAnsi="微软雅黑" w:eastAsia="微软雅黑" w:cs="微软雅黑"/>
                <w:spacing w:val="3"/>
                <w:sz w:val="18"/>
                <w:szCs w:val="18"/>
              </w:rPr>
              <w:t>□</w:t>
            </w:r>
          </w:p>
          <w:p w14:paraId="0B4EF138">
            <w:pPr>
              <w:pStyle w:val="6"/>
              <w:spacing w:before="2" w:line="181" w:lineRule="auto"/>
              <w:ind w:left="4" w:right="2837"/>
              <w:rPr>
                <w:rFonts w:ascii="微软雅黑" w:hAnsi="微软雅黑" w:eastAsia="微软雅黑" w:cs="微软雅黑"/>
                <w:sz w:val="18"/>
                <w:szCs w:val="18"/>
              </w:rPr>
            </w:pPr>
            <w:r>
              <w:rPr>
                <w:spacing w:val="1"/>
                <w:sz w:val="18"/>
                <w:szCs w:val="18"/>
              </w:rPr>
              <w:t xml:space="preserve">水资源与开发利用程度及其水文情势评价 </w:t>
            </w:r>
            <w:r>
              <w:rPr>
                <w:rFonts w:ascii="微软雅黑" w:hAnsi="微软雅黑" w:eastAsia="微软雅黑" w:cs="微软雅黑"/>
                <w:spacing w:val="1"/>
                <w:sz w:val="18"/>
                <w:szCs w:val="18"/>
              </w:rPr>
              <w:t>□</w:t>
            </w:r>
            <w:r>
              <w:rPr>
                <w:rFonts w:ascii="微软雅黑" w:hAnsi="微软雅黑" w:eastAsia="微软雅黑" w:cs="微软雅黑"/>
                <w:spacing w:val="11"/>
                <w:sz w:val="18"/>
                <w:szCs w:val="18"/>
              </w:rPr>
              <w:t xml:space="preserve"> </w:t>
            </w:r>
            <w:r>
              <w:rPr>
                <w:spacing w:val="2"/>
                <w:sz w:val="18"/>
                <w:szCs w:val="18"/>
              </w:rPr>
              <w:t xml:space="preserve">水环境质量回顾评价 </w:t>
            </w:r>
            <w:r>
              <w:rPr>
                <w:rFonts w:ascii="微软雅黑" w:hAnsi="微软雅黑" w:eastAsia="微软雅黑" w:cs="微软雅黑"/>
                <w:spacing w:val="2"/>
                <w:sz w:val="18"/>
                <w:szCs w:val="18"/>
              </w:rPr>
              <w:t>□</w:t>
            </w:r>
          </w:p>
          <w:p w14:paraId="20DB47BD">
            <w:pPr>
              <w:pStyle w:val="6"/>
              <w:spacing w:line="202" w:lineRule="auto"/>
              <w:ind w:left="3"/>
              <w:rPr>
                <w:sz w:val="18"/>
                <w:szCs w:val="18"/>
              </w:rPr>
            </w:pPr>
            <w:r>
              <w:rPr>
                <w:sz w:val="18"/>
                <w:szCs w:val="18"/>
              </w:rPr>
              <w:t>流域（区域）水资源（包括水能资源）与开发利用总体状况</w:t>
            </w:r>
            <w:r>
              <w:rPr>
                <w:spacing w:val="-1"/>
                <w:sz w:val="18"/>
                <w:szCs w:val="18"/>
              </w:rPr>
              <w:t>、生态流量管理要求</w:t>
            </w:r>
          </w:p>
        </w:tc>
        <w:tc>
          <w:tcPr>
            <w:tcW w:w="963" w:type="dxa"/>
            <w:tcBorders>
              <w:bottom w:val="single" w:color="000000" w:sz="10" w:space="0"/>
              <w:right w:val="single" w:color="000000" w:sz="10" w:space="0"/>
            </w:tcBorders>
            <w:vAlign w:val="top"/>
          </w:tcPr>
          <w:p w14:paraId="659DDDF4">
            <w:pPr>
              <w:spacing w:line="286" w:lineRule="auto"/>
              <w:rPr>
                <w:rFonts w:ascii="Arial"/>
                <w:sz w:val="21"/>
              </w:rPr>
            </w:pPr>
          </w:p>
          <w:p w14:paraId="2280F138">
            <w:pPr>
              <w:spacing w:line="286" w:lineRule="auto"/>
              <w:rPr>
                <w:rFonts w:ascii="Arial"/>
                <w:sz w:val="21"/>
              </w:rPr>
            </w:pPr>
          </w:p>
          <w:p w14:paraId="6249639B">
            <w:pPr>
              <w:pStyle w:val="6"/>
              <w:spacing w:before="77" w:line="200" w:lineRule="auto"/>
              <w:ind w:left="21" w:right="144" w:hanging="3"/>
              <w:jc w:val="both"/>
              <w:rPr>
                <w:rFonts w:ascii="微软雅黑" w:hAnsi="微软雅黑" w:eastAsia="微软雅黑" w:cs="微软雅黑"/>
                <w:sz w:val="18"/>
                <w:szCs w:val="18"/>
              </w:rPr>
            </w:pPr>
            <w:r>
              <w:rPr>
                <w:spacing w:val="5"/>
                <w:sz w:val="18"/>
                <w:szCs w:val="18"/>
              </w:rPr>
              <w:t>达标区</w:t>
            </w:r>
            <w:r>
              <w:rPr>
                <w:spacing w:val="16"/>
                <w:sz w:val="18"/>
                <w:szCs w:val="18"/>
              </w:rPr>
              <w:t xml:space="preserve"> </w:t>
            </w:r>
            <w:r>
              <w:rPr>
                <w:rFonts w:ascii="微软雅黑" w:hAnsi="微软雅黑" w:eastAsia="微软雅黑" w:cs="微软雅黑"/>
                <w:spacing w:val="5"/>
                <w:sz w:val="18"/>
                <w:szCs w:val="18"/>
              </w:rPr>
              <w:t>□</w:t>
            </w:r>
            <w:r>
              <w:rPr>
                <w:rFonts w:ascii="微软雅黑" w:hAnsi="微软雅黑" w:eastAsia="微软雅黑" w:cs="微软雅黑"/>
                <w:sz w:val="18"/>
                <w:szCs w:val="18"/>
              </w:rPr>
              <w:t xml:space="preserve"> </w:t>
            </w:r>
            <w:r>
              <w:rPr>
                <w:spacing w:val="-3"/>
                <w:sz w:val="18"/>
                <w:szCs w:val="18"/>
              </w:rPr>
              <w:t>不达标区</w:t>
            </w:r>
            <w:r>
              <w:rPr>
                <w:sz w:val="18"/>
                <w:szCs w:val="18"/>
              </w:rPr>
              <w:t xml:space="preserve">  </w:t>
            </w:r>
            <w:r>
              <w:rPr>
                <w:rFonts w:ascii="微软雅黑" w:hAnsi="微软雅黑" w:eastAsia="微软雅黑" w:cs="微软雅黑"/>
                <w:spacing w:val="27"/>
                <w:w w:val="105"/>
                <w:sz w:val="18"/>
                <w:szCs w:val="18"/>
              </w:rPr>
              <w:t>□</w:t>
            </w:r>
          </w:p>
        </w:tc>
      </w:tr>
    </w:tbl>
    <w:p w14:paraId="7F0530FB">
      <w:pPr>
        <w:pStyle w:val="2"/>
        <w:spacing w:line="158" w:lineRule="exact"/>
        <w:rPr>
          <w:sz w:val="13"/>
        </w:rPr>
      </w:pPr>
    </w:p>
    <w:p w14:paraId="6D2B56C9">
      <w:pPr>
        <w:spacing w:line="158" w:lineRule="exact"/>
        <w:rPr>
          <w:sz w:val="13"/>
          <w:szCs w:val="13"/>
        </w:rPr>
        <w:sectPr>
          <w:headerReference r:id="rId303" w:type="default"/>
          <w:footerReference r:id="rId304" w:type="default"/>
          <w:pgSz w:w="11905" w:h="16839"/>
          <w:pgMar w:top="1190" w:right="1365" w:bottom="1427" w:left="1388" w:header="882" w:footer="1265" w:gutter="0"/>
          <w:cols w:space="720" w:num="1"/>
        </w:sectPr>
      </w:pPr>
    </w:p>
    <w:p w14:paraId="0E26A1A7">
      <w:pPr>
        <w:spacing w:line="28" w:lineRule="exact"/>
        <w:ind w:firstLine="28"/>
      </w:pPr>
      <w:r>
        <w:pict>
          <v:shape id="_x0000_s1807" o:spid="_x0000_s1807" style="height:1.45pt;width:453.6pt;" fillcolor="#000000" filled="t" stroked="f" coordsize="9072,29" path="m0,0l9071,0,9071,28,0,28,0,0xe">
            <v:path/>
            <v:fill on="t" focussize="0,0"/>
            <v:stroke on="f"/>
            <v:imagedata o:title=""/>
            <o:lock v:ext="edit"/>
            <w10:wrap type="none"/>
            <w10:anchorlock/>
          </v:shape>
        </w:pict>
      </w:r>
    </w:p>
    <w:p w14:paraId="66EEE3B7">
      <w:pPr>
        <w:spacing w:line="197" w:lineRule="exact"/>
      </w:pPr>
    </w:p>
    <w:tbl>
      <w:tblPr>
        <w:tblStyle w:val="5"/>
        <w:tblW w:w="9102" w:type="dxa"/>
        <w:tblInd w:w="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78"/>
        <w:gridCol w:w="1434"/>
        <w:gridCol w:w="1414"/>
        <w:gridCol w:w="501"/>
        <w:gridCol w:w="116"/>
        <w:gridCol w:w="1069"/>
        <w:gridCol w:w="1134"/>
        <w:gridCol w:w="365"/>
        <w:gridCol w:w="862"/>
        <w:gridCol w:w="865"/>
        <w:gridCol w:w="964"/>
      </w:tblGrid>
      <w:tr w14:paraId="27C9F2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2" w:hRule="atLeast"/>
        </w:trPr>
        <w:tc>
          <w:tcPr>
            <w:tcW w:w="1812" w:type="dxa"/>
            <w:gridSpan w:val="2"/>
            <w:tcBorders>
              <w:top w:val="single" w:color="000000" w:sz="10" w:space="0"/>
              <w:left w:val="single" w:color="000000" w:sz="10" w:space="0"/>
            </w:tcBorders>
            <w:vAlign w:val="top"/>
          </w:tcPr>
          <w:p w14:paraId="535BB7EF">
            <w:pPr>
              <w:pStyle w:val="6"/>
              <w:spacing w:before="31" w:line="206" w:lineRule="auto"/>
              <w:ind w:left="544"/>
              <w:rPr>
                <w:sz w:val="18"/>
                <w:szCs w:val="18"/>
              </w:rPr>
            </w:pPr>
            <w:r>
              <w:rPr>
                <w:spacing w:val="-3"/>
                <w:sz w:val="18"/>
                <w:szCs w:val="18"/>
              </w:rPr>
              <w:t>工作内容</w:t>
            </w:r>
          </w:p>
        </w:tc>
        <w:tc>
          <w:tcPr>
            <w:tcW w:w="7290" w:type="dxa"/>
            <w:gridSpan w:val="9"/>
            <w:tcBorders>
              <w:top w:val="single" w:color="000000" w:sz="10" w:space="0"/>
              <w:right w:val="single" w:color="000000" w:sz="10" w:space="0"/>
            </w:tcBorders>
            <w:vAlign w:val="top"/>
          </w:tcPr>
          <w:p w14:paraId="0829A18B">
            <w:pPr>
              <w:pStyle w:val="6"/>
              <w:spacing w:before="31" w:line="206" w:lineRule="auto"/>
              <w:ind w:left="3310"/>
              <w:rPr>
                <w:sz w:val="18"/>
                <w:szCs w:val="18"/>
              </w:rPr>
            </w:pPr>
            <w:r>
              <w:rPr>
                <w:spacing w:val="-10"/>
                <w:sz w:val="18"/>
                <w:szCs w:val="18"/>
              </w:rPr>
              <w:t>自查项目</w:t>
            </w:r>
          </w:p>
        </w:tc>
      </w:tr>
      <w:tr w14:paraId="56D5AD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tcBorders>
              <w:left w:val="single" w:color="000000" w:sz="10" w:space="0"/>
            </w:tcBorders>
            <w:vAlign w:val="top"/>
          </w:tcPr>
          <w:p w14:paraId="58791A7F">
            <w:pPr>
              <w:spacing w:line="228" w:lineRule="exact"/>
              <w:rPr>
                <w:rFonts w:ascii="Arial"/>
                <w:sz w:val="19"/>
              </w:rPr>
            </w:pPr>
          </w:p>
        </w:tc>
        <w:tc>
          <w:tcPr>
            <w:tcW w:w="1434" w:type="dxa"/>
            <w:vAlign w:val="top"/>
          </w:tcPr>
          <w:p w14:paraId="2BF85148">
            <w:pPr>
              <w:spacing w:line="228" w:lineRule="exact"/>
              <w:rPr>
                <w:rFonts w:ascii="Arial"/>
                <w:sz w:val="19"/>
              </w:rPr>
            </w:pPr>
          </w:p>
        </w:tc>
        <w:tc>
          <w:tcPr>
            <w:tcW w:w="6326" w:type="dxa"/>
            <w:gridSpan w:val="8"/>
            <w:vAlign w:val="top"/>
          </w:tcPr>
          <w:p w14:paraId="7B0F721C">
            <w:pPr>
              <w:pStyle w:val="6"/>
              <w:spacing w:before="29" w:line="199" w:lineRule="exact"/>
              <w:ind w:left="6"/>
              <w:rPr>
                <w:rFonts w:ascii="微软雅黑" w:hAnsi="微软雅黑" w:eastAsia="微软雅黑" w:cs="微软雅黑"/>
                <w:sz w:val="18"/>
                <w:szCs w:val="18"/>
              </w:rPr>
            </w:pPr>
            <w:r>
              <w:rPr>
                <w:spacing w:val="1"/>
                <w:sz w:val="18"/>
                <w:szCs w:val="18"/>
              </w:rPr>
              <w:t>与现状满足程度、建设项目占用水域空间的水流状况与河湖演变状况</w:t>
            </w:r>
            <w:r>
              <w:rPr>
                <w:sz w:val="18"/>
                <w:szCs w:val="18"/>
              </w:rPr>
              <w:t xml:space="preserve"> </w:t>
            </w:r>
            <w:r>
              <w:rPr>
                <w:rFonts w:ascii="微软雅黑" w:hAnsi="微软雅黑" w:eastAsia="微软雅黑" w:cs="微软雅黑"/>
                <w:sz w:val="18"/>
                <w:szCs w:val="18"/>
              </w:rPr>
              <w:t>□</w:t>
            </w:r>
          </w:p>
        </w:tc>
        <w:tc>
          <w:tcPr>
            <w:tcW w:w="964" w:type="dxa"/>
            <w:tcBorders>
              <w:right w:val="single" w:color="000000" w:sz="10" w:space="0"/>
            </w:tcBorders>
            <w:vAlign w:val="top"/>
          </w:tcPr>
          <w:p w14:paraId="2EE2DEB1">
            <w:pPr>
              <w:spacing w:line="228" w:lineRule="exact"/>
              <w:rPr>
                <w:rFonts w:ascii="Arial"/>
                <w:sz w:val="19"/>
              </w:rPr>
            </w:pPr>
          </w:p>
        </w:tc>
      </w:tr>
      <w:tr w14:paraId="269B46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7" w:hRule="atLeast"/>
        </w:trPr>
        <w:tc>
          <w:tcPr>
            <w:tcW w:w="378" w:type="dxa"/>
            <w:vMerge w:val="restart"/>
            <w:tcBorders>
              <w:left w:val="single" w:color="000000" w:sz="10" w:space="0"/>
              <w:bottom w:val="nil"/>
            </w:tcBorders>
            <w:textDirection w:val="tbRlV"/>
            <w:vAlign w:val="top"/>
          </w:tcPr>
          <w:p w14:paraId="41B235DD">
            <w:pPr>
              <w:pStyle w:val="6"/>
              <w:spacing w:before="96" w:line="208" w:lineRule="auto"/>
              <w:ind w:left="863"/>
              <w:rPr>
                <w:sz w:val="18"/>
                <w:szCs w:val="18"/>
              </w:rPr>
            </w:pPr>
            <w:r>
              <w:rPr>
                <w:spacing w:val="40"/>
                <w:sz w:val="18"/>
                <w:szCs w:val="18"/>
              </w:rPr>
              <w:t>影响预测</w:t>
            </w:r>
          </w:p>
        </w:tc>
        <w:tc>
          <w:tcPr>
            <w:tcW w:w="1434" w:type="dxa"/>
            <w:vAlign w:val="top"/>
          </w:tcPr>
          <w:p w14:paraId="664E9696">
            <w:pPr>
              <w:pStyle w:val="6"/>
              <w:spacing w:before="29" w:line="203" w:lineRule="auto"/>
              <w:ind w:left="353"/>
              <w:rPr>
                <w:sz w:val="18"/>
                <w:szCs w:val="18"/>
              </w:rPr>
            </w:pPr>
            <w:r>
              <w:rPr>
                <w:spacing w:val="-3"/>
                <w:sz w:val="18"/>
                <w:szCs w:val="18"/>
              </w:rPr>
              <w:t>预测范围</w:t>
            </w:r>
          </w:p>
        </w:tc>
        <w:tc>
          <w:tcPr>
            <w:tcW w:w="7290" w:type="dxa"/>
            <w:gridSpan w:val="9"/>
            <w:tcBorders>
              <w:right w:val="single" w:color="000000" w:sz="10" w:space="0"/>
            </w:tcBorders>
            <w:vAlign w:val="top"/>
          </w:tcPr>
          <w:p w14:paraId="471CC95D">
            <w:pPr>
              <w:pStyle w:val="6"/>
              <w:spacing w:before="29" w:line="203" w:lineRule="auto"/>
              <w:ind w:left="1"/>
              <w:rPr>
                <w:rFonts w:ascii="Times New Roman" w:hAnsi="Times New Roman" w:eastAsia="Times New Roman" w:cs="Times New Roman"/>
                <w:sz w:val="11"/>
                <w:szCs w:val="11"/>
              </w:rPr>
            </w:pPr>
            <w:r>
              <w:rPr>
                <w:spacing w:val="-1"/>
                <w:sz w:val="18"/>
                <w:szCs w:val="18"/>
              </w:rPr>
              <w:t>河流：长度</w:t>
            </w:r>
            <w:r>
              <w:rPr>
                <w:spacing w:val="-22"/>
                <w:sz w:val="18"/>
                <w:szCs w:val="18"/>
              </w:rPr>
              <w:t>（</w:t>
            </w:r>
            <w:r>
              <w:rPr>
                <w:spacing w:val="13"/>
                <w:sz w:val="18"/>
                <w:szCs w:val="18"/>
              </w:rPr>
              <w:t xml:space="preserve">    </w:t>
            </w:r>
            <w:r>
              <w:rPr>
                <w:spacing w:val="-22"/>
                <w:sz w:val="18"/>
                <w:szCs w:val="18"/>
              </w:rPr>
              <w:t>）</w:t>
            </w:r>
            <w:r>
              <w:rPr>
                <w:rFonts w:ascii="Times New Roman" w:hAnsi="Times New Roman" w:eastAsia="Times New Roman" w:cs="Times New Roman"/>
                <w:spacing w:val="-1"/>
                <w:sz w:val="18"/>
                <w:szCs w:val="18"/>
              </w:rPr>
              <w:t>km</w:t>
            </w:r>
            <w:r>
              <w:rPr>
                <w:spacing w:val="-1"/>
                <w:sz w:val="18"/>
                <w:szCs w:val="18"/>
              </w:rPr>
              <w:t>；湖库、河口及近岸海域：面积</w:t>
            </w:r>
            <w:r>
              <w:rPr>
                <w:spacing w:val="-22"/>
                <w:sz w:val="18"/>
                <w:szCs w:val="18"/>
              </w:rPr>
              <w:t>（</w:t>
            </w:r>
            <w:r>
              <w:rPr>
                <w:spacing w:val="14"/>
                <w:sz w:val="18"/>
                <w:szCs w:val="18"/>
              </w:rPr>
              <w:t xml:space="preserve">    </w:t>
            </w:r>
            <w:r>
              <w:rPr>
                <w:spacing w:val="-22"/>
                <w:sz w:val="18"/>
                <w:szCs w:val="18"/>
              </w:rPr>
              <w:t>）</w:t>
            </w:r>
            <w:r>
              <w:rPr>
                <w:rFonts w:ascii="Times New Roman" w:hAnsi="Times New Roman" w:eastAsia="Times New Roman" w:cs="Times New Roman"/>
                <w:spacing w:val="-1"/>
                <w:sz w:val="18"/>
                <w:szCs w:val="18"/>
              </w:rPr>
              <w:t>km</w:t>
            </w:r>
            <w:r>
              <w:rPr>
                <w:rFonts w:ascii="Times New Roman" w:hAnsi="Times New Roman" w:eastAsia="Times New Roman" w:cs="Times New Roman"/>
                <w:spacing w:val="-1"/>
                <w:position w:val="6"/>
                <w:sz w:val="11"/>
                <w:szCs w:val="11"/>
              </w:rPr>
              <w:t>2</w:t>
            </w:r>
          </w:p>
        </w:tc>
      </w:tr>
      <w:tr w14:paraId="321444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27349E27">
            <w:pPr>
              <w:rPr>
                <w:rFonts w:ascii="Arial"/>
                <w:sz w:val="21"/>
              </w:rPr>
            </w:pPr>
          </w:p>
        </w:tc>
        <w:tc>
          <w:tcPr>
            <w:tcW w:w="1434" w:type="dxa"/>
            <w:vAlign w:val="top"/>
          </w:tcPr>
          <w:p w14:paraId="09599740">
            <w:pPr>
              <w:pStyle w:val="6"/>
              <w:spacing w:before="29" w:line="204" w:lineRule="auto"/>
              <w:ind w:left="353"/>
              <w:rPr>
                <w:sz w:val="18"/>
                <w:szCs w:val="18"/>
              </w:rPr>
            </w:pPr>
            <w:r>
              <w:rPr>
                <w:spacing w:val="-3"/>
                <w:sz w:val="18"/>
                <w:szCs w:val="18"/>
              </w:rPr>
              <w:t>预测因子</w:t>
            </w:r>
          </w:p>
        </w:tc>
        <w:tc>
          <w:tcPr>
            <w:tcW w:w="7290" w:type="dxa"/>
            <w:gridSpan w:val="9"/>
            <w:tcBorders>
              <w:right w:val="single" w:color="000000" w:sz="10" w:space="0"/>
            </w:tcBorders>
            <w:vAlign w:val="top"/>
          </w:tcPr>
          <w:p w14:paraId="2D2A4710">
            <w:pPr>
              <w:pStyle w:val="6"/>
              <w:spacing w:before="29" w:line="204" w:lineRule="auto"/>
              <w:ind w:left="97"/>
              <w:rPr>
                <w:sz w:val="18"/>
                <w:szCs w:val="18"/>
              </w:rPr>
            </w:pPr>
            <w:r>
              <w:rPr>
                <w:spacing w:val="-19"/>
                <w:sz w:val="18"/>
                <w:szCs w:val="18"/>
              </w:rPr>
              <w:t>(       )</w:t>
            </w:r>
          </w:p>
        </w:tc>
      </w:tr>
      <w:tr w14:paraId="52C3B4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3" w:hRule="atLeast"/>
        </w:trPr>
        <w:tc>
          <w:tcPr>
            <w:tcW w:w="378" w:type="dxa"/>
            <w:vMerge w:val="continue"/>
            <w:tcBorders>
              <w:top w:val="nil"/>
              <w:left w:val="single" w:color="000000" w:sz="10" w:space="0"/>
              <w:bottom w:val="nil"/>
            </w:tcBorders>
            <w:textDirection w:val="tbRlV"/>
            <w:vAlign w:val="top"/>
          </w:tcPr>
          <w:p w14:paraId="4E0CFDB6">
            <w:pPr>
              <w:rPr>
                <w:rFonts w:ascii="Arial"/>
                <w:sz w:val="21"/>
              </w:rPr>
            </w:pPr>
          </w:p>
        </w:tc>
        <w:tc>
          <w:tcPr>
            <w:tcW w:w="1434" w:type="dxa"/>
            <w:vAlign w:val="top"/>
          </w:tcPr>
          <w:p w14:paraId="48743E4D">
            <w:pPr>
              <w:pStyle w:val="6"/>
              <w:spacing w:before="264" w:line="219" w:lineRule="auto"/>
              <w:ind w:left="353"/>
              <w:rPr>
                <w:sz w:val="18"/>
                <w:szCs w:val="18"/>
              </w:rPr>
            </w:pPr>
            <w:r>
              <w:rPr>
                <w:spacing w:val="-3"/>
                <w:sz w:val="18"/>
                <w:szCs w:val="18"/>
              </w:rPr>
              <w:t>预测时期</w:t>
            </w:r>
          </w:p>
        </w:tc>
        <w:tc>
          <w:tcPr>
            <w:tcW w:w="7290" w:type="dxa"/>
            <w:gridSpan w:val="9"/>
            <w:tcBorders>
              <w:right w:val="single" w:color="000000" w:sz="10" w:space="0"/>
            </w:tcBorders>
            <w:vAlign w:val="top"/>
          </w:tcPr>
          <w:p w14:paraId="5EAC3BD9">
            <w:pPr>
              <w:pStyle w:val="6"/>
              <w:spacing w:before="30" w:line="181" w:lineRule="auto"/>
              <w:ind w:left="1" w:right="3530" w:firstLine="1"/>
              <w:rPr>
                <w:rFonts w:ascii="微软雅黑" w:hAnsi="微软雅黑" w:eastAsia="微软雅黑" w:cs="微软雅黑"/>
                <w:sz w:val="18"/>
                <w:szCs w:val="18"/>
              </w:rPr>
            </w:pPr>
            <w:r>
              <w:rPr>
                <w:spacing w:val="-8"/>
                <w:sz w:val="18"/>
                <w:szCs w:val="18"/>
              </w:rPr>
              <w:t xml:space="preserve">丰水期 </w:t>
            </w:r>
            <w:r>
              <w:rPr>
                <w:rFonts w:ascii="微软雅黑" w:hAnsi="微软雅黑" w:eastAsia="微软雅黑" w:cs="微软雅黑"/>
                <w:spacing w:val="-8"/>
                <w:sz w:val="18"/>
                <w:szCs w:val="18"/>
              </w:rPr>
              <w:t>□</w:t>
            </w:r>
            <w:r>
              <w:rPr>
                <w:rFonts w:ascii="微软雅黑" w:hAnsi="微软雅黑" w:eastAsia="微软雅黑" w:cs="微软雅黑"/>
                <w:spacing w:val="-26"/>
                <w:sz w:val="18"/>
                <w:szCs w:val="18"/>
              </w:rPr>
              <w:t xml:space="preserve"> </w:t>
            </w:r>
            <w:r>
              <w:rPr>
                <w:spacing w:val="-8"/>
                <w:sz w:val="18"/>
                <w:szCs w:val="18"/>
              </w:rPr>
              <w:t>;</w:t>
            </w:r>
            <w:r>
              <w:rPr>
                <w:spacing w:val="49"/>
                <w:sz w:val="18"/>
                <w:szCs w:val="18"/>
              </w:rPr>
              <w:t xml:space="preserve"> </w:t>
            </w:r>
            <w:r>
              <w:rPr>
                <w:spacing w:val="-8"/>
                <w:sz w:val="18"/>
                <w:szCs w:val="18"/>
              </w:rPr>
              <w:t>平水期</w:t>
            </w:r>
            <w:r>
              <w:rPr>
                <w:spacing w:val="16"/>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3"/>
                <w:sz w:val="18"/>
                <w:szCs w:val="18"/>
              </w:rPr>
              <w:t xml:space="preserve"> </w:t>
            </w:r>
            <w:r>
              <w:rPr>
                <w:spacing w:val="-8"/>
                <w:sz w:val="18"/>
                <w:szCs w:val="18"/>
              </w:rPr>
              <w:t>;</w:t>
            </w:r>
            <w:r>
              <w:rPr>
                <w:spacing w:val="50"/>
                <w:sz w:val="18"/>
                <w:szCs w:val="18"/>
              </w:rPr>
              <w:t xml:space="preserve"> </w:t>
            </w:r>
            <w:r>
              <w:rPr>
                <w:spacing w:val="-8"/>
                <w:sz w:val="18"/>
                <w:szCs w:val="18"/>
              </w:rPr>
              <w:t>枯水期</w:t>
            </w:r>
            <w:r>
              <w:rPr>
                <w:spacing w:val="16"/>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2"/>
                <w:sz w:val="18"/>
                <w:szCs w:val="18"/>
              </w:rPr>
              <w:t xml:space="preserve"> </w:t>
            </w:r>
            <w:r>
              <w:rPr>
                <w:spacing w:val="-8"/>
                <w:sz w:val="18"/>
                <w:szCs w:val="18"/>
              </w:rPr>
              <w:t>;</w:t>
            </w:r>
            <w:r>
              <w:rPr>
                <w:spacing w:val="49"/>
                <w:sz w:val="18"/>
                <w:szCs w:val="18"/>
              </w:rPr>
              <w:t xml:space="preserve"> </w:t>
            </w:r>
            <w:r>
              <w:rPr>
                <w:spacing w:val="-8"/>
                <w:sz w:val="18"/>
                <w:szCs w:val="18"/>
              </w:rPr>
              <w:t>冰封期</w:t>
            </w:r>
            <w:r>
              <w:rPr>
                <w:spacing w:val="16"/>
                <w:sz w:val="18"/>
                <w:szCs w:val="18"/>
              </w:rPr>
              <w:t xml:space="preserve"> </w:t>
            </w:r>
            <w:r>
              <w:rPr>
                <w:rFonts w:ascii="微软雅黑" w:hAnsi="微软雅黑" w:eastAsia="微软雅黑" w:cs="微软雅黑"/>
                <w:spacing w:val="-8"/>
                <w:sz w:val="18"/>
                <w:szCs w:val="18"/>
              </w:rPr>
              <w:t>□</w:t>
            </w:r>
            <w:r>
              <w:rPr>
                <w:rFonts w:ascii="微软雅黑" w:hAnsi="微软雅黑" w:eastAsia="微软雅黑" w:cs="微软雅黑"/>
                <w:spacing w:val="-30"/>
                <w:sz w:val="18"/>
                <w:szCs w:val="18"/>
              </w:rPr>
              <w:t xml:space="preserve"> </w:t>
            </w:r>
            <w:r>
              <w:rPr>
                <w:spacing w:val="-8"/>
                <w:sz w:val="18"/>
                <w:szCs w:val="18"/>
              </w:rPr>
              <w:t>;</w:t>
            </w:r>
            <w:r>
              <w:rPr>
                <w:sz w:val="18"/>
                <w:szCs w:val="18"/>
              </w:rPr>
              <w:t xml:space="preserve"> </w:t>
            </w:r>
            <w:r>
              <w:rPr>
                <w:spacing w:val="-7"/>
                <w:sz w:val="18"/>
                <w:szCs w:val="18"/>
              </w:rPr>
              <w:t xml:space="preserve">春季 </w:t>
            </w:r>
            <w:r>
              <w:rPr>
                <w:rFonts w:ascii="微软雅黑" w:hAnsi="微软雅黑" w:eastAsia="微软雅黑" w:cs="微软雅黑"/>
                <w:spacing w:val="-7"/>
                <w:sz w:val="18"/>
                <w:szCs w:val="18"/>
              </w:rPr>
              <w:t>□</w:t>
            </w:r>
            <w:r>
              <w:rPr>
                <w:rFonts w:ascii="微软雅黑" w:hAnsi="微软雅黑" w:eastAsia="微软雅黑" w:cs="微软雅黑"/>
                <w:spacing w:val="-22"/>
                <w:sz w:val="18"/>
                <w:szCs w:val="18"/>
              </w:rPr>
              <w:t xml:space="preserve"> </w:t>
            </w:r>
            <w:r>
              <w:rPr>
                <w:spacing w:val="-7"/>
                <w:sz w:val="18"/>
                <w:szCs w:val="18"/>
              </w:rPr>
              <w:t>;</w:t>
            </w:r>
            <w:r>
              <w:rPr>
                <w:spacing w:val="50"/>
                <w:sz w:val="18"/>
                <w:szCs w:val="18"/>
              </w:rPr>
              <w:t xml:space="preserve"> </w:t>
            </w:r>
            <w:r>
              <w:rPr>
                <w:spacing w:val="-7"/>
                <w:sz w:val="18"/>
                <w:szCs w:val="18"/>
              </w:rPr>
              <w:t>夏季</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3"/>
                <w:sz w:val="18"/>
                <w:szCs w:val="18"/>
              </w:rPr>
              <w:t xml:space="preserve"> </w:t>
            </w:r>
            <w:r>
              <w:rPr>
                <w:spacing w:val="-7"/>
                <w:sz w:val="18"/>
                <w:szCs w:val="18"/>
              </w:rPr>
              <w:t>;</w:t>
            </w:r>
            <w:r>
              <w:rPr>
                <w:spacing w:val="51"/>
                <w:sz w:val="18"/>
                <w:szCs w:val="18"/>
              </w:rPr>
              <w:t xml:space="preserve"> </w:t>
            </w:r>
            <w:r>
              <w:rPr>
                <w:spacing w:val="-7"/>
                <w:sz w:val="18"/>
                <w:szCs w:val="18"/>
              </w:rPr>
              <w:t>秋季</w:t>
            </w:r>
            <w:r>
              <w:rPr>
                <w:spacing w:val="16"/>
                <w:sz w:val="18"/>
                <w:szCs w:val="18"/>
              </w:rPr>
              <w:t xml:space="preserve"> </w:t>
            </w:r>
            <w:r>
              <w:rPr>
                <w:rFonts w:ascii="微软雅黑" w:hAnsi="微软雅黑" w:eastAsia="微软雅黑" w:cs="微软雅黑"/>
                <w:spacing w:val="-7"/>
                <w:sz w:val="18"/>
                <w:szCs w:val="18"/>
              </w:rPr>
              <w:t>□</w:t>
            </w:r>
            <w:r>
              <w:rPr>
                <w:rFonts w:ascii="微软雅黑" w:hAnsi="微软雅黑" w:eastAsia="微软雅黑" w:cs="微软雅黑"/>
                <w:spacing w:val="-33"/>
                <w:sz w:val="18"/>
                <w:szCs w:val="18"/>
              </w:rPr>
              <w:t xml:space="preserve"> </w:t>
            </w:r>
            <w:r>
              <w:rPr>
                <w:spacing w:val="-7"/>
                <w:sz w:val="18"/>
                <w:szCs w:val="18"/>
              </w:rPr>
              <w:t>;</w:t>
            </w:r>
            <w:r>
              <w:rPr>
                <w:spacing w:val="54"/>
                <w:sz w:val="18"/>
                <w:szCs w:val="18"/>
              </w:rPr>
              <w:t xml:space="preserve"> </w:t>
            </w:r>
            <w:r>
              <w:rPr>
                <w:spacing w:val="-7"/>
                <w:sz w:val="18"/>
                <w:szCs w:val="18"/>
              </w:rPr>
              <w:t>冬季</w:t>
            </w:r>
            <w:r>
              <w:rPr>
                <w:spacing w:val="16"/>
                <w:sz w:val="18"/>
                <w:szCs w:val="18"/>
              </w:rPr>
              <w:t xml:space="preserve"> </w:t>
            </w:r>
            <w:r>
              <w:rPr>
                <w:rFonts w:ascii="微软雅黑" w:hAnsi="微软雅黑" w:eastAsia="微软雅黑" w:cs="微软雅黑"/>
                <w:spacing w:val="-7"/>
                <w:sz w:val="18"/>
                <w:szCs w:val="18"/>
              </w:rPr>
              <w:t>□</w:t>
            </w:r>
          </w:p>
          <w:p w14:paraId="680633A4">
            <w:pPr>
              <w:pStyle w:val="6"/>
              <w:spacing w:line="196" w:lineRule="exact"/>
              <w:ind w:left="5"/>
              <w:rPr>
                <w:rFonts w:ascii="微软雅黑" w:hAnsi="微软雅黑" w:eastAsia="微软雅黑" w:cs="微软雅黑"/>
                <w:sz w:val="18"/>
                <w:szCs w:val="18"/>
              </w:rPr>
            </w:pPr>
            <w:r>
              <w:rPr>
                <w:spacing w:val="4"/>
                <w:position w:val="-1"/>
                <w:sz w:val="18"/>
                <w:szCs w:val="18"/>
              </w:rPr>
              <w:t>设计水文条件</w:t>
            </w:r>
            <w:r>
              <w:rPr>
                <w:rFonts w:ascii="微软雅黑" w:hAnsi="微软雅黑" w:eastAsia="微软雅黑" w:cs="微软雅黑"/>
                <w:spacing w:val="4"/>
                <w:position w:val="-1"/>
                <w:sz w:val="18"/>
                <w:szCs w:val="18"/>
              </w:rPr>
              <w:t>□</w:t>
            </w:r>
          </w:p>
        </w:tc>
      </w:tr>
      <w:tr w14:paraId="120CB0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7" w:hRule="atLeast"/>
        </w:trPr>
        <w:tc>
          <w:tcPr>
            <w:tcW w:w="378" w:type="dxa"/>
            <w:vMerge w:val="continue"/>
            <w:tcBorders>
              <w:top w:val="nil"/>
              <w:left w:val="single" w:color="000000" w:sz="10" w:space="0"/>
              <w:bottom w:val="nil"/>
            </w:tcBorders>
            <w:textDirection w:val="tbRlV"/>
            <w:vAlign w:val="top"/>
          </w:tcPr>
          <w:p w14:paraId="4F44644E">
            <w:pPr>
              <w:rPr>
                <w:rFonts w:ascii="Arial"/>
                <w:sz w:val="21"/>
              </w:rPr>
            </w:pPr>
          </w:p>
        </w:tc>
        <w:tc>
          <w:tcPr>
            <w:tcW w:w="1434" w:type="dxa"/>
            <w:vAlign w:val="top"/>
          </w:tcPr>
          <w:p w14:paraId="7896A1BC">
            <w:pPr>
              <w:spacing w:line="321" w:lineRule="auto"/>
              <w:rPr>
                <w:rFonts w:ascii="Arial"/>
                <w:sz w:val="21"/>
              </w:rPr>
            </w:pPr>
          </w:p>
          <w:p w14:paraId="3A1F0ED5">
            <w:pPr>
              <w:pStyle w:val="6"/>
              <w:spacing w:before="58" w:line="219" w:lineRule="auto"/>
              <w:ind w:left="353"/>
              <w:rPr>
                <w:sz w:val="18"/>
                <w:szCs w:val="18"/>
              </w:rPr>
            </w:pPr>
            <w:r>
              <w:rPr>
                <w:spacing w:val="-3"/>
                <w:sz w:val="18"/>
                <w:szCs w:val="18"/>
              </w:rPr>
              <w:t>预测情景</w:t>
            </w:r>
          </w:p>
        </w:tc>
        <w:tc>
          <w:tcPr>
            <w:tcW w:w="7290" w:type="dxa"/>
            <w:gridSpan w:val="9"/>
            <w:tcBorders>
              <w:right w:val="single" w:color="000000" w:sz="10" w:space="0"/>
            </w:tcBorders>
            <w:vAlign w:val="top"/>
          </w:tcPr>
          <w:p w14:paraId="465EE6F8">
            <w:pPr>
              <w:pStyle w:val="6"/>
              <w:spacing w:before="33" w:line="181" w:lineRule="auto"/>
              <w:ind w:left="5" w:right="3828" w:hanging="1"/>
              <w:rPr>
                <w:rFonts w:ascii="微软雅黑" w:hAnsi="微软雅黑" w:eastAsia="微软雅黑" w:cs="微软雅黑"/>
                <w:sz w:val="18"/>
                <w:szCs w:val="18"/>
              </w:rPr>
            </w:pPr>
            <w:r>
              <w:rPr>
                <w:spacing w:val="-3"/>
                <w:sz w:val="18"/>
                <w:szCs w:val="18"/>
              </w:rPr>
              <w:t xml:space="preserve">建设期 </w:t>
            </w:r>
            <w:r>
              <w:rPr>
                <w:rFonts w:ascii="微软雅黑" w:hAnsi="微软雅黑" w:eastAsia="微软雅黑" w:cs="微软雅黑"/>
                <w:spacing w:val="-3"/>
                <w:sz w:val="18"/>
                <w:szCs w:val="18"/>
              </w:rPr>
              <w:t>□</w:t>
            </w:r>
            <w:r>
              <w:rPr>
                <w:rFonts w:ascii="微软雅黑" w:hAnsi="微软雅黑" w:eastAsia="微软雅黑" w:cs="微软雅黑"/>
                <w:spacing w:val="-31"/>
                <w:sz w:val="18"/>
                <w:szCs w:val="18"/>
              </w:rPr>
              <w:t xml:space="preserve"> </w:t>
            </w:r>
            <w:r>
              <w:rPr>
                <w:spacing w:val="-3"/>
                <w:sz w:val="18"/>
                <w:szCs w:val="18"/>
              </w:rPr>
              <w:t>;</w:t>
            </w:r>
            <w:r>
              <w:rPr>
                <w:spacing w:val="50"/>
                <w:sz w:val="18"/>
                <w:szCs w:val="18"/>
              </w:rPr>
              <w:t xml:space="preserve"> </w:t>
            </w:r>
            <w:r>
              <w:rPr>
                <w:spacing w:val="-3"/>
                <w:sz w:val="18"/>
                <w:szCs w:val="18"/>
              </w:rPr>
              <w:t>生产运行期</w:t>
            </w:r>
            <w:r>
              <w:rPr>
                <w:spacing w:val="17"/>
                <w:sz w:val="18"/>
                <w:szCs w:val="18"/>
              </w:rPr>
              <w:t xml:space="preserve"> </w:t>
            </w:r>
            <w:r>
              <w:rPr>
                <w:rFonts w:ascii="微软雅黑" w:hAnsi="微软雅黑" w:eastAsia="微软雅黑" w:cs="微软雅黑"/>
                <w:spacing w:val="-3"/>
                <w:sz w:val="18"/>
                <w:szCs w:val="18"/>
              </w:rPr>
              <w:t>□</w:t>
            </w:r>
            <w:r>
              <w:rPr>
                <w:rFonts w:ascii="微软雅黑" w:hAnsi="微软雅黑" w:eastAsia="微软雅黑" w:cs="微软雅黑"/>
                <w:spacing w:val="-33"/>
                <w:sz w:val="18"/>
                <w:szCs w:val="18"/>
              </w:rPr>
              <w:t xml:space="preserve"> </w:t>
            </w:r>
            <w:r>
              <w:rPr>
                <w:spacing w:val="-3"/>
                <w:sz w:val="18"/>
                <w:szCs w:val="18"/>
              </w:rPr>
              <w:t>;</w:t>
            </w:r>
            <w:r>
              <w:rPr>
                <w:spacing w:val="49"/>
                <w:sz w:val="18"/>
                <w:szCs w:val="18"/>
              </w:rPr>
              <w:t xml:space="preserve"> </w:t>
            </w:r>
            <w:r>
              <w:rPr>
                <w:spacing w:val="-3"/>
                <w:sz w:val="18"/>
                <w:szCs w:val="18"/>
              </w:rPr>
              <w:t>服务期满后</w:t>
            </w:r>
            <w:r>
              <w:rPr>
                <w:spacing w:val="16"/>
                <w:sz w:val="18"/>
                <w:szCs w:val="18"/>
              </w:rPr>
              <w:t xml:space="preserve"> </w:t>
            </w:r>
            <w:r>
              <w:rPr>
                <w:rFonts w:ascii="微软雅黑" w:hAnsi="微软雅黑" w:eastAsia="微软雅黑" w:cs="微软雅黑"/>
                <w:spacing w:val="-3"/>
                <w:sz w:val="18"/>
                <w:szCs w:val="18"/>
              </w:rPr>
              <w:t>□</w:t>
            </w:r>
            <w:r>
              <w:rPr>
                <w:rFonts w:ascii="微软雅黑" w:hAnsi="微软雅黑" w:eastAsia="微软雅黑" w:cs="微软雅黑"/>
                <w:sz w:val="18"/>
                <w:szCs w:val="18"/>
              </w:rPr>
              <w:t xml:space="preserve"> </w:t>
            </w:r>
            <w:r>
              <w:rPr>
                <w:spacing w:val="-2"/>
                <w:sz w:val="18"/>
                <w:szCs w:val="18"/>
              </w:rPr>
              <w:t xml:space="preserve">正常工况 </w:t>
            </w:r>
            <w:r>
              <w:rPr>
                <w:rFonts w:ascii="微软雅黑" w:hAnsi="微软雅黑" w:eastAsia="微软雅黑" w:cs="微软雅黑"/>
                <w:spacing w:val="-2"/>
                <w:sz w:val="18"/>
                <w:szCs w:val="18"/>
              </w:rPr>
              <w:t>□</w:t>
            </w:r>
            <w:r>
              <w:rPr>
                <w:rFonts w:ascii="微软雅黑" w:hAnsi="微软雅黑" w:eastAsia="微软雅黑" w:cs="微软雅黑"/>
                <w:spacing w:val="-21"/>
                <w:sz w:val="18"/>
                <w:szCs w:val="18"/>
              </w:rPr>
              <w:t xml:space="preserve"> </w:t>
            </w:r>
            <w:r>
              <w:rPr>
                <w:spacing w:val="-2"/>
                <w:sz w:val="18"/>
                <w:szCs w:val="18"/>
              </w:rPr>
              <w:t>;</w:t>
            </w:r>
            <w:r>
              <w:rPr>
                <w:spacing w:val="52"/>
                <w:sz w:val="18"/>
                <w:szCs w:val="18"/>
              </w:rPr>
              <w:t xml:space="preserve"> </w:t>
            </w:r>
            <w:r>
              <w:rPr>
                <w:spacing w:val="-2"/>
                <w:sz w:val="18"/>
                <w:szCs w:val="18"/>
              </w:rPr>
              <w:t>非正常工况</w:t>
            </w:r>
            <w:r>
              <w:rPr>
                <w:spacing w:val="16"/>
                <w:sz w:val="18"/>
                <w:szCs w:val="18"/>
              </w:rPr>
              <w:t xml:space="preserve"> </w:t>
            </w:r>
            <w:r>
              <w:rPr>
                <w:rFonts w:ascii="微软雅黑" w:hAnsi="微软雅黑" w:eastAsia="微软雅黑" w:cs="微软雅黑"/>
                <w:spacing w:val="-2"/>
                <w:sz w:val="18"/>
                <w:szCs w:val="18"/>
              </w:rPr>
              <w:t>□</w:t>
            </w:r>
          </w:p>
          <w:p w14:paraId="11CF2487">
            <w:pPr>
              <w:pStyle w:val="6"/>
              <w:spacing w:line="182" w:lineRule="auto"/>
              <w:ind w:left="4"/>
              <w:rPr>
                <w:rFonts w:ascii="微软雅黑" w:hAnsi="微软雅黑" w:eastAsia="微软雅黑" w:cs="微软雅黑"/>
                <w:sz w:val="18"/>
                <w:szCs w:val="18"/>
              </w:rPr>
            </w:pPr>
            <w:r>
              <w:rPr>
                <w:spacing w:val="2"/>
                <w:sz w:val="18"/>
                <w:szCs w:val="18"/>
              </w:rPr>
              <w:t xml:space="preserve">污染控制可减缓措施方案 </w:t>
            </w:r>
            <w:r>
              <w:rPr>
                <w:rFonts w:ascii="微软雅黑" w:hAnsi="微软雅黑" w:eastAsia="微软雅黑" w:cs="微软雅黑"/>
                <w:spacing w:val="2"/>
                <w:sz w:val="18"/>
                <w:szCs w:val="18"/>
              </w:rPr>
              <w:t>□</w:t>
            </w:r>
          </w:p>
          <w:p w14:paraId="0E7E3E79">
            <w:pPr>
              <w:pStyle w:val="6"/>
              <w:spacing w:line="192" w:lineRule="exact"/>
              <w:ind w:left="15"/>
              <w:rPr>
                <w:rFonts w:ascii="微软雅黑" w:hAnsi="微软雅黑" w:eastAsia="微软雅黑" w:cs="微软雅黑"/>
                <w:sz w:val="18"/>
                <w:szCs w:val="18"/>
              </w:rPr>
            </w:pPr>
            <w:r>
              <w:rPr>
                <w:spacing w:val="1"/>
                <w:position w:val="-1"/>
                <w:sz w:val="18"/>
                <w:szCs w:val="18"/>
              </w:rPr>
              <w:t xml:space="preserve">区（流）域环境质量改善目标要求情景 </w:t>
            </w:r>
            <w:r>
              <w:rPr>
                <w:rFonts w:ascii="微软雅黑" w:hAnsi="微软雅黑" w:eastAsia="微软雅黑" w:cs="微软雅黑"/>
                <w:spacing w:val="1"/>
                <w:position w:val="-1"/>
                <w:sz w:val="18"/>
                <w:szCs w:val="18"/>
              </w:rPr>
              <w:t>□</w:t>
            </w:r>
          </w:p>
        </w:tc>
      </w:tr>
      <w:tr w14:paraId="1782A7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378" w:type="dxa"/>
            <w:vMerge w:val="continue"/>
            <w:tcBorders>
              <w:top w:val="nil"/>
              <w:left w:val="single" w:color="000000" w:sz="10" w:space="0"/>
            </w:tcBorders>
            <w:textDirection w:val="tbRlV"/>
            <w:vAlign w:val="top"/>
          </w:tcPr>
          <w:p w14:paraId="7E96C9FD">
            <w:pPr>
              <w:rPr>
                <w:rFonts w:ascii="Arial"/>
                <w:sz w:val="21"/>
              </w:rPr>
            </w:pPr>
          </w:p>
        </w:tc>
        <w:tc>
          <w:tcPr>
            <w:tcW w:w="1434" w:type="dxa"/>
            <w:vAlign w:val="top"/>
          </w:tcPr>
          <w:p w14:paraId="56EDACF1">
            <w:pPr>
              <w:pStyle w:val="6"/>
              <w:spacing w:before="150" w:line="219" w:lineRule="auto"/>
              <w:ind w:left="353"/>
              <w:rPr>
                <w:sz w:val="18"/>
                <w:szCs w:val="18"/>
              </w:rPr>
            </w:pPr>
            <w:r>
              <w:rPr>
                <w:spacing w:val="-3"/>
                <w:sz w:val="18"/>
                <w:szCs w:val="18"/>
              </w:rPr>
              <w:t>预测方法</w:t>
            </w:r>
          </w:p>
        </w:tc>
        <w:tc>
          <w:tcPr>
            <w:tcW w:w="7290" w:type="dxa"/>
            <w:gridSpan w:val="9"/>
            <w:tcBorders>
              <w:right w:val="single" w:color="000000" w:sz="10" w:space="0"/>
            </w:tcBorders>
            <w:vAlign w:val="top"/>
          </w:tcPr>
          <w:p w14:paraId="33A6BFBD">
            <w:pPr>
              <w:pStyle w:val="6"/>
              <w:spacing w:before="33" w:line="166" w:lineRule="auto"/>
              <w:ind w:left="7" w:right="4728" w:hanging="3"/>
              <w:rPr>
                <w:rFonts w:ascii="微软雅黑" w:hAnsi="微软雅黑" w:eastAsia="微软雅黑" w:cs="微软雅黑"/>
                <w:sz w:val="18"/>
                <w:szCs w:val="18"/>
              </w:rPr>
            </w:pPr>
            <w:r>
              <w:rPr>
                <w:spacing w:val="-4"/>
                <w:sz w:val="18"/>
                <w:szCs w:val="18"/>
              </w:rPr>
              <w:t xml:space="preserve">数值解 </w:t>
            </w:r>
            <w:r>
              <w:rPr>
                <w:rFonts w:ascii="微软雅黑" w:hAnsi="微软雅黑" w:eastAsia="微软雅黑" w:cs="微软雅黑"/>
                <w:spacing w:val="-4"/>
                <w:sz w:val="18"/>
                <w:szCs w:val="18"/>
              </w:rPr>
              <w:t>□</w:t>
            </w:r>
            <w:r>
              <w:rPr>
                <w:rFonts w:ascii="微软雅黑" w:hAnsi="微软雅黑" w:eastAsia="微软雅黑" w:cs="微软雅黑"/>
                <w:spacing w:val="-30"/>
                <w:sz w:val="18"/>
                <w:szCs w:val="18"/>
              </w:rPr>
              <w:t xml:space="preserve"> </w:t>
            </w:r>
            <w:r>
              <w:rPr>
                <w:spacing w:val="-4"/>
                <w:sz w:val="18"/>
                <w:szCs w:val="18"/>
              </w:rPr>
              <w:t>;</w:t>
            </w:r>
            <w:r>
              <w:rPr>
                <w:spacing w:val="48"/>
                <w:sz w:val="18"/>
                <w:szCs w:val="18"/>
              </w:rPr>
              <w:t xml:space="preserve"> </w:t>
            </w:r>
            <w:r>
              <w:rPr>
                <w:spacing w:val="-4"/>
                <w:sz w:val="18"/>
                <w:szCs w:val="18"/>
              </w:rPr>
              <w:t>解析解</w:t>
            </w:r>
            <w:r>
              <w:rPr>
                <w:spacing w:val="17"/>
                <w:sz w:val="18"/>
                <w:szCs w:val="18"/>
              </w:rPr>
              <w:t xml:space="preserve"> </w:t>
            </w:r>
            <w:r>
              <w:rPr>
                <w:rFonts w:ascii="微软雅黑" w:hAnsi="微软雅黑" w:eastAsia="微软雅黑" w:cs="微软雅黑"/>
                <w:spacing w:val="-4"/>
                <w:sz w:val="18"/>
                <w:szCs w:val="18"/>
              </w:rPr>
              <w:t>□</w:t>
            </w:r>
            <w:r>
              <w:rPr>
                <w:rFonts w:ascii="微软雅黑" w:hAnsi="微软雅黑" w:eastAsia="微软雅黑" w:cs="微软雅黑"/>
                <w:spacing w:val="-33"/>
                <w:sz w:val="18"/>
                <w:szCs w:val="18"/>
              </w:rPr>
              <w:t xml:space="preserve"> </w:t>
            </w:r>
            <w:r>
              <w:rPr>
                <w:spacing w:val="-4"/>
                <w:sz w:val="18"/>
                <w:szCs w:val="18"/>
              </w:rPr>
              <w:t>;</w:t>
            </w:r>
            <w:r>
              <w:rPr>
                <w:spacing w:val="50"/>
                <w:sz w:val="18"/>
                <w:szCs w:val="18"/>
              </w:rPr>
              <w:t xml:space="preserve"> </w:t>
            </w:r>
            <w:r>
              <w:rPr>
                <w:spacing w:val="-4"/>
                <w:sz w:val="18"/>
                <w:szCs w:val="18"/>
              </w:rPr>
              <w:t>其他</w:t>
            </w:r>
            <w:r>
              <w:rPr>
                <w:spacing w:val="16"/>
                <w:sz w:val="18"/>
                <w:szCs w:val="18"/>
              </w:rPr>
              <w:t xml:space="preserve"> </w:t>
            </w:r>
            <w:r>
              <w:rPr>
                <w:rFonts w:ascii="微软雅黑" w:hAnsi="微软雅黑" w:eastAsia="微软雅黑" w:cs="微软雅黑"/>
                <w:spacing w:val="-4"/>
                <w:sz w:val="18"/>
                <w:szCs w:val="18"/>
              </w:rPr>
              <w:t>□</w:t>
            </w:r>
            <w:r>
              <w:rPr>
                <w:rFonts w:ascii="微软雅黑" w:hAnsi="微软雅黑" w:eastAsia="微软雅黑" w:cs="微软雅黑"/>
                <w:sz w:val="18"/>
                <w:szCs w:val="18"/>
              </w:rPr>
              <w:t xml:space="preserve"> </w:t>
            </w:r>
            <w:r>
              <w:rPr>
                <w:spacing w:val="-2"/>
                <w:sz w:val="18"/>
                <w:szCs w:val="18"/>
              </w:rPr>
              <w:t xml:space="preserve">导则推荐模式 </w:t>
            </w:r>
            <w:r>
              <w:rPr>
                <w:rFonts w:ascii="微软雅黑" w:hAnsi="微软雅黑" w:eastAsia="微软雅黑" w:cs="微软雅黑"/>
                <w:spacing w:val="-2"/>
                <w:sz w:val="18"/>
                <w:szCs w:val="18"/>
              </w:rPr>
              <w:t>□</w:t>
            </w:r>
            <w:r>
              <w:rPr>
                <w:rFonts w:ascii="微软雅黑" w:hAnsi="微软雅黑" w:eastAsia="微软雅黑" w:cs="微软雅黑"/>
                <w:spacing w:val="-22"/>
                <w:sz w:val="18"/>
                <w:szCs w:val="18"/>
              </w:rPr>
              <w:t xml:space="preserve"> </w:t>
            </w:r>
            <w:r>
              <w:rPr>
                <w:spacing w:val="-2"/>
                <w:sz w:val="18"/>
                <w:szCs w:val="18"/>
              </w:rPr>
              <w:t>;</w:t>
            </w:r>
            <w:r>
              <w:rPr>
                <w:spacing w:val="49"/>
                <w:sz w:val="18"/>
                <w:szCs w:val="18"/>
              </w:rPr>
              <w:t xml:space="preserve"> </w:t>
            </w:r>
            <w:r>
              <w:rPr>
                <w:spacing w:val="-2"/>
                <w:sz w:val="18"/>
                <w:szCs w:val="18"/>
              </w:rPr>
              <w:t>其他</w:t>
            </w:r>
            <w:r>
              <w:rPr>
                <w:spacing w:val="17"/>
                <w:sz w:val="18"/>
                <w:szCs w:val="18"/>
              </w:rPr>
              <w:t xml:space="preserve"> </w:t>
            </w:r>
            <w:r>
              <w:rPr>
                <w:rFonts w:ascii="微软雅黑" w:hAnsi="微软雅黑" w:eastAsia="微软雅黑" w:cs="微软雅黑"/>
                <w:spacing w:val="-2"/>
                <w:sz w:val="18"/>
                <w:szCs w:val="18"/>
              </w:rPr>
              <w:t>□</w:t>
            </w:r>
          </w:p>
        </w:tc>
      </w:tr>
      <w:tr w14:paraId="448D34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3" w:hRule="atLeast"/>
        </w:trPr>
        <w:tc>
          <w:tcPr>
            <w:tcW w:w="378" w:type="dxa"/>
            <w:vMerge w:val="restart"/>
            <w:tcBorders>
              <w:left w:val="single" w:color="000000" w:sz="10" w:space="0"/>
              <w:bottom w:val="nil"/>
            </w:tcBorders>
            <w:textDirection w:val="tbRlV"/>
            <w:vAlign w:val="top"/>
          </w:tcPr>
          <w:p w14:paraId="1ADCDBBA">
            <w:pPr>
              <w:pStyle w:val="6"/>
              <w:spacing w:before="96" w:line="207" w:lineRule="auto"/>
              <w:ind w:left="2049"/>
              <w:rPr>
                <w:sz w:val="18"/>
                <w:szCs w:val="18"/>
              </w:rPr>
            </w:pPr>
            <w:r>
              <w:rPr>
                <w:spacing w:val="39"/>
                <w:sz w:val="18"/>
                <w:szCs w:val="18"/>
              </w:rPr>
              <w:t>影响评价</w:t>
            </w:r>
          </w:p>
        </w:tc>
        <w:tc>
          <w:tcPr>
            <w:tcW w:w="1434" w:type="dxa"/>
            <w:vAlign w:val="top"/>
          </w:tcPr>
          <w:p w14:paraId="2311F652">
            <w:pPr>
              <w:pStyle w:val="6"/>
              <w:spacing w:before="34" w:line="225" w:lineRule="auto"/>
              <w:ind w:left="83" w:right="92" w:firstLine="2"/>
              <w:jc w:val="both"/>
              <w:rPr>
                <w:sz w:val="18"/>
                <w:szCs w:val="18"/>
              </w:rPr>
            </w:pPr>
            <w:r>
              <w:rPr>
                <w:spacing w:val="-2"/>
                <w:sz w:val="18"/>
                <w:szCs w:val="18"/>
              </w:rPr>
              <w:t>水污染控制和水</w:t>
            </w:r>
            <w:r>
              <w:rPr>
                <w:spacing w:val="3"/>
                <w:sz w:val="18"/>
                <w:szCs w:val="18"/>
              </w:rPr>
              <w:t xml:space="preserve"> </w:t>
            </w:r>
            <w:r>
              <w:rPr>
                <w:spacing w:val="-2"/>
                <w:sz w:val="18"/>
                <w:szCs w:val="18"/>
              </w:rPr>
              <w:t>环境影响减缓措</w:t>
            </w:r>
            <w:r>
              <w:rPr>
                <w:spacing w:val="5"/>
                <w:sz w:val="18"/>
                <w:szCs w:val="18"/>
              </w:rPr>
              <w:t xml:space="preserve"> </w:t>
            </w:r>
            <w:r>
              <w:rPr>
                <w:spacing w:val="13"/>
                <w:sz w:val="18"/>
                <w:szCs w:val="18"/>
              </w:rPr>
              <w:t>施有效性评价</w:t>
            </w:r>
          </w:p>
        </w:tc>
        <w:tc>
          <w:tcPr>
            <w:tcW w:w="7290" w:type="dxa"/>
            <w:gridSpan w:val="9"/>
            <w:tcBorders>
              <w:right w:val="single" w:color="000000" w:sz="10" w:space="0"/>
            </w:tcBorders>
            <w:vAlign w:val="top"/>
          </w:tcPr>
          <w:p w14:paraId="7DC060B5">
            <w:pPr>
              <w:pStyle w:val="6"/>
              <w:spacing w:before="268" w:line="197" w:lineRule="auto"/>
              <w:ind w:left="15"/>
              <w:rPr>
                <w:rFonts w:ascii="微软雅黑" w:hAnsi="微软雅黑" w:eastAsia="微软雅黑" w:cs="微软雅黑"/>
                <w:sz w:val="18"/>
                <w:szCs w:val="18"/>
              </w:rPr>
            </w:pPr>
            <w:r>
              <w:rPr>
                <w:spacing w:val="-1"/>
                <w:sz w:val="18"/>
                <w:szCs w:val="18"/>
              </w:rPr>
              <w:t xml:space="preserve">区（流）域环境质量改善目标 </w:t>
            </w:r>
            <w:r>
              <w:rPr>
                <w:rFonts w:ascii="微软雅黑" w:hAnsi="微软雅黑" w:eastAsia="微软雅黑" w:cs="微软雅黑"/>
                <w:spacing w:val="-1"/>
                <w:sz w:val="18"/>
                <w:szCs w:val="18"/>
              </w:rPr>
              <w:t>□</w:t>
            </w:r>
            <w:r>
              <w:rPr>
                <w:rFonts w:ascii="微软雅黑" w:hAnsi="微软雅黑" w:eastAsia="微软雅黑" w:cs="微软雅黑"/>
                <w:spacing w:val="-25"/>
                <w:sz w:val="18"/>
                <w:szCs w:val="18"/>
              </w:rPr>
              <w:t xml:space="preserve"> </w:t>
            </w:r>
            <w:r>
              <w:rPr>
                <w:spacing w:val="-1"/>
                <w:sz w:val="18"/>
                <w:szCs w:val="18"/>
              </w:rPr>
              <w:t>;</w:t>
            </w:r>
            <w:r>
              <w:rPr>
                <w:spacing w:val="29"/>
                <w:sz w:val="18"/>
                <w:szCs w:val="18"/>
              </w:rPr>
              <w:t xml:space="preserve">  </w:t>
            </w:r>
            <w:r>
              <w:rPr>
                <w:spacing w:val="-1"/>
                <w:sz w:val="18"/>
                <w:szCs w:val="18"/>
              </w:rPr>
              <w:t xml:space="preserve">替代消减源 </w:t>
            </w:r>
            <w:r>
              <w:rPr>
                <w:rFonts w:ascii="微软雅黑" w:hAnsi="微软雅黑" w:eastAsia="微软雅黑" w:cs="微软雅黑"/>
                <w:spacing w:val="-1"/>
                <w:sz w:val="18"/>
                <w:szCs w:val="18"/>
              </w:rPr>
              <w:t>□</w:t>
            </w:r>
          </w:p>
        </w:tc>
      </w:tr>
      <w:tr w14:paraId="202464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9" w:hRule="atLeast"/>
        </w:trPr>
        <w:tc>
          <w:tcPr>
            <w:tcW w:w="378" w:type="dxa"/>
            <w:vMerge w:val="continue"/>
            <w:tcBorders>
              <w:top w:val="nil"/>
              <w:left w:val="single" w:color="000000" w:sz="10" w:space="0"/>
              <w:bottom w:val="nil"/>
            </w:tcBorders>
            <w:textDirection w:val="tbRlV"/>
            <w:vAlign w:val="top"/>
          </w:tcPr>
          <w:p w14:paraId="1CD1E819">
            <w:pPr>
              <w:rPr>
                <w:rFonts w:ascii="Arial"/>
                <w:sz w:val="21"/>
              </w:rPr>
            </w:pPr>
          </w:p>
        </w:tc>
        <w:tc>
          <w:tcPr>
            <w:tcW w:w="1434" w:type="dxa"/>
            <w:vAlign w:val="top"/>
          </w:tcPr>
          <w:p w14:paraId="7BD03B35">
            <w:pPr>
              <w:spacing w:line="250" w:lineRule="auto"/>
              <w:rPr>
                <w:rFonts w:ascii="Arial"/>
                <w:sz w:val="21"/>
              </w:rPr>
            </w:pPr>
          </w:p>
          <w:p w14:paraId="7199AAED">
            <w:pPr>
              <w:spacing w:line="250" w:lineRule="auto"/>
              <w:rPr>
                <w:rFonts w:ascii="Arial"/>
                <w:sz w:val="21"/>
              </w:rPr>
            </w:pPr>
          </w:p>
          <w:p w14:paraId="558563A1">
            <w:pPr>
              <w:spacing w:line="251" w:lineRule="auto"/>
              <w:rPr>
                <w:rFonts w:ascii="Arial"/>
                <w:sz w:val="21"/>
              </w:rPr>
            </w:pPr>
          </w:p>
          <w:p w14:paraId="5AF66B1A">
            <w:pPr>
              <w:spacing w:line="251" w:lineRule="auto"/>
              <w:rPr>
                <w:rFonts w:ascii="Arial"/>
                <w:sz w:val="21"/>
              </w:rPr>
            </w:pPr>
          </w:p>
          <w:p w14:paraId="443146C0">
            <w:pPr>
              <w:spacing w:line="251" w:lineRule="auto"/>
              <w:rPr>
                <w:rFonts w:ascii="Arial"/>
                <w:sz w:val="21"/>
              </w:rPr>
            </w:pPr>
          </w:p>
          <w:p w14:paraId="50EED4B0">
            <w:pPr>
              <w:pStyle w:val="6"/>
              <w:spacing w:before="59" w:line="218" w:lineRule="auto"/>
              <w:ind w:left="85"/>
              <w:rPr>
                <w:sz w:val="18"/>
                <w:szCs w:val="18"/>
              </w:rPr>
            </w:pPr>
            <w:r>
              <w:rPr>
                <w:spacing w:val="-2"/>
                <w:sz w:val="18"/>
                <w:szCs w:val="18"/>
              </w:rPr>
              <w:t>水环境影响评价</w:t>
            </w:r>
          </w:p>
        </w:tc>
        <w:tc>
          <w:tcPr>
            <w:tcW w:w="7290" w:type="dxa"/>
            <w:gridSpan w:val="9"/>
            <w:tcBorders>
              <w:right w:val="single" w:color="000000" w:sz="10" w:space="0"/>
            </w:tcBorders>
            <w:vAlign w:val="top"/>
          </w:tcPr>
          <w:p w14:paraId="48DDFA5F">
            <w:pPr>
              <w:pStyle w:val="6"/>
              <w:spacing w:before="38" w:line="181" w:lineRule="auto"/>
              <w:ind w:left="2"/>
              <w:rPr>
                <w:rFonts w:ascii="微软雅黑" w:hAnsi="微软雅黑" w:eastAsia="微软雅黑" w:cs="微软雅黑"/>
                <w:sz w:val="18"/>
                <w:szCs w:val="18"/>
              </w:rPr>
            </w:pPr>
            <w:r>
              <w:rPr>
                <w:spacing w:val="1"/>
                <w:sz w:val="18"/>
                <w:szCs w:val="18"/>
              </w:rPr>
              <w:t xml:space="preserve">排放口混合去外满足水环境保护要求 </w:t>
            </w:r>
            <w:r>
              <w:rPr>
                <w:rFonts w:ascii="微软雅黑" w:hAnsi="微软雅黑" w:eastAsia="微软雅黑" w:cs="微软雅黑"/>
                <w:spacing w:val="1"/>
                <w:sz w:val="18"/>
                <w:szCs w:val="18"/>
              </w:rPr>
              <w:t>□</w:t>
            </w:r>
          </w:p>
          <w:p w14:paraId="5D609F17">
            <w:pPr>
              <w:pStyle w:val="6"/>
              <w:spacing w:before="2" w:line="181" w:lineRule="auto"/>
              <w:ind w:left="2" w:right="2530" w:firstLine="2"/>
              <w:rPr>
                <w:rFonts w:ascii="微软雅黑" w:hAnsi="微软雅黑" w:eastAsia="微软雅黑" w:cs="微软雅黑"/>
                <w:sz w:val="18"/>
                <w:szCs w:val="18"/>
              </w:rPr>
            </w:pPr>
            <w:r>
              <w:rPr>
                <w:spacing w:val="1"/>
                <w:sz w:val="18"/>
                <w:szCs w:val="18"/>
              </w:rPr>
              <w:t xml:space="preserve">水环境功能区或水功能区、近岸海域环境功能区水质达标 </w:t>
            </w:r>
            <w:r>
              <w:rPr>
                <w:rFonts w:ascii="微软雅黑" w:hAnsi="微软雅黑" w:eastAsia="微软雅黑" w:cs="微软雅黑"/>
                <w:spacing w:val="1"/>
                <w:sz w:val="18"/>
                <w:szCs w:val="18"/>
              </w:rPr>
              <w:t>□</w:t>
            </w:r>
            <w:r>
              <w:rPr>
                <w:rFonts w:ascii="微软雅黑" w:hAnsi="微软雅黑" w:eastAsia="微软雅黑" w:cs="微软雅黑"/>
                <w:spacing w:val="4"/>
                <w:sz w:val="18"/>
                <w:szCs w:val="18"/>
              </w:rPr>
              <w:t xml:space="preserve"> </w:t>
            </w:r>
            <w:r>
              <w:rPr>
                <w:spacing w:val="1"/>
                <w:sz w:val="18"/>
                <w:szCs w:val="18"/>
              </w:rPr>
              <w:t xml:space="preserve">满足水环境保护目标水域水环境质量要求 </w:t>
            </w:r>
            <w:r>
              <w:rPr>
                <w:rFonts w:ascii="微软雅黑" w:hAnsi="微软雅黑" w:eastAsia="微软雅黑" w:cs="微软雅黑"/>
                <w:spacing w:val="1"/>
                <w:sz w:val="18"/>
                <w:szCs w:val="18"/>
              </w:rPr>
              <w:t>□</w:t>
            </w:r>
          </w:p>
          <w:p w14:paraId="3F30B494">
            <w:pPr>
              <w:pStyle w:val="6"/>
              <w:spacing w:before="1" w:line="180" w:lineRule="auto"/>
              <w:ind w:left="4"/>
              <w:rPr>
                <w:rFonts w:ascii="微软雅黑" w:hAnsi="微软雅黑" w:eastAsia="微软雅黑" w:cs="微软雅黑"/>
                <w:sz w:val="18"/>
                <w:szCs w:val="18"/>
              </w:rPr>
            </w:pPr>
            <w:r>
              <w:rPr>
                <w:spacing w:val="2"/>
                <w:sz w:val="18"/>
                <w:szCs w:val="18"/>
              </w:rPr>
              <w:t xml:space="preserve">水环境控制单元或断面水质达标 </w:t>
            </w:r>
            <w:r>
              <w:rPr>
                <w:rFonts w:ascii="微软雅黑" w:hAnsi="微软雅黑" w:eastAsia="微软雅黑" w:cs="微软雅黑"/>
                <w:spacing w:val="2"/>
                <w:sz w:val="18"/>
                <w:szCs w:val="18"/>
              </w:rPr>
              <w:t>□</w:t>
            </w:r>
          </w:p>
          <w:p w14:paraId="256F478D">
            <w:pPr>
              <w:pStyle w:val="6"/>
              <w:spacing w:before="1" w:line="205" w:lineRule="auto"/>
              <w:ind w:left="2" w:right="79"/>
              <w:rPr>
                <w:rFonts w:ascii="微软雅黑" w:hAnsi="微软雅黑" w:eastAsia="微软雅黑" w:cs="微软雅黑"/>
                <w:sz w:val="18"/>
                <w:szCs w:val="18"/>
              </w:rPr>
            </w:pPr>
            <w:r>
              <w:rPr>
                <w:sz w:val="18"/>
                <w:szCs w:val="18"/>
              </w:rPr>
              <w:t>满足重点水污染物排放总量控制指标要求，重点行业建设项目，主要污</w:t>
            </w:r>
            <w:r>
              <w:rPr>
                <w:spacing w:val="-1"/>
                <w:sz w:val="18"/>
                <w:szCs w:val="18"/>
              </w:rPr>
              <w:t>染物排放满足等量或</w:t>
            </w:r>
            <w:r>
              <w:rPr>
                <w:sz w:val="18"/>
                <w:szCs w:val="18"/>
              </w:rPr>
              <w:t xml:space="preserve"> </w:t>
            </w:r>
            <w:r>
              <w:rPr>
                <w:spacing w:val="2"/>
                <w:sz w:val="18"/>
                <w:szCs w:val="18"/>
              </w:rPr>
              <w:t>减量替代要求</w:t>
            </w:r>
            <w:r>
              <w:rPr>
                <w:spacing w:val="19"/>
                <w:sz w:val="18"/>
                <w:szCs w:val="18"/>
              </w:rPr>
              <w:t xml:space="preserve"> </w:t>
            </w:r>
            <w:r>
              <w:rPr>
                <w:rFonts w:ascii="微软雅黑" w:hAnsi="微软雅黑" w:eastAsia="微软雅黑" w:cs="微软雅黑"/>
                <w:spacing w:val="2"/>
                <w:sz w:val="18"/>
                <w:szCs w:val="18"/>
              </w:rPr>
              <w:t>□</w:t>
            </w:r>
          </w:p>
          <w:p w14:paraId="7770838E">
            <w:pPr>
              <w:pStyle w:val="6"/>
              <w:spacing w:before="1" w:line="182" w:lineRule="auto"/>
              <w:ind w:left="2"/>
              <w:rPr>
                <w:rFonts w:ascii="微软雅黑" w:hAnsi="微软雅黑" w:eastAsia="微软雅黑" w:cs="微软雅黑"/>
                <w:sz w:val="18"/>
                <w:szCs w:val="18"/>
              </w:rPr>
            </w:pPr>
            <w:r>
              <w:rPr>
                <w:spacing w:val="1"/>
                <w:sz w:val="18"/>
                <w:szCs w:val="18"/>
              </w:rPr>
              <w:t xml:space="preserve">满足区（流）域环境质量改善目标要求 </w:t>
            </w:r>
            <w:r>
              <w:rPr>
                <w:rFonts w:ascii="微软雅黑" w:hAnsi="微软雅黑" w:eastAsia="微软雅黑" w:cs="微软雅黑"/>
                <w:spacing w:val="1"/>
                <w:sz w:val="18"/>
                <w:szCs w:val="18"/>
              </w:rPr>
              <w:t>□</w:t>
            </w:r>
          </w:p>
          <w:p w14:paraId="262E7602">
            <w:pPr>
              <w:pStyle w:val="6"/>
              <w:spacing w:before="1" w:line="205" w:lineRule="auto"/>
              <w:ind w:left="2" w:right="79" w:firstLine="2"/>
              <w:rPr>
                <w:rFonts w:ascii="微软雅黑" w:hAnsi="微软雅黑" w:eastAsia="微软雅黑" w:cs="微软雅黑"/>
                <w:sz w:val="18"/>
                <w:szCs w:val="18"/>
              </w:rPr>
            </w:pPr>
            <w:r>
              <w:rPr>
                <w:sz w:val="18"/>
                <w:szCs w:val="18"/>
              </w:rPr>
              <w:t>水文要素影响型建设项目同时应包括水文情势变化评价、主要水文</w:t>
            </w:r>
            <w:r>
              <w:rPr>
                <w:spacing w:val="-1"/>
                <w:sz w:val="18"/>
                <w:szCs w:val="18"/>
              </w:rPr>
              <w:t>特征值影响评价、生态流</w:t>
            </w:r>
            <w:r>
              <w:rPr>
                <w:sz w:val="18"/>
                <w:szCs w:val="18"/>
              </w:rPr>
              <w:t xml:space="preserve"> </w:t>
            </w:r>
            <w:r>
              <w:rPr>
                <w:spacing w:val="2"/>
                <w:sz w:val="18"/>
                <w:szCs w:val="18"/>
              </w:rPr>
              <w:t>量符合性评价</w:t>
            </w:r>
            <w:r>
              <w:rPr>
                <w:spacing w:val="19"/>
                <w:sz w:val="18"/>
                <w:szCs w:val="18"/>
              </w:rPr>
              <w:t xml:space="preserve"> </w:t>
            </w:r>
            <w:r>
              <w:rPr>
                <w:rFonts w:ascii="微软雅黑" w:hAnsi="微软雅黑" w:eastAsia="微软雅黑" w:cs="微软雅黑"/>
                <w:spacing w:val="2"/>
                <w:sz w:val="18"/>
                <w:szCs w:val="18"/>
              </w:rPr>
              <w:t>□</w:t>
            </w:r>
          </w:p>
          <w:p w14:paraId="62E84DB7">
            <w:pPr>
              <w:pStyle w:val="6"/>
              <w:spacing w:before="2" w:line="205" w:lineRule="auto"/>
              <w:ind w:left="3" w:right="79" w:hanging="2"/>
              <w:rPr>
                <w:rFonts w:ascii="微软雅黑" w:hAnsi="微软雅黑" w:eastAsia="微软雅黑" w:cs="微软雅黑"/>
                <w:sz w:val="18"/>
                <w:szCs w:val="18"/>
              </w:rPr>
            </w:pPr>
            <w:r>
              <w:rPr>
                <w:sz w:val="18"/>
                <w:szCs w:val="18"/>
              </w:rPr>
              <w:t>对于新设或调整入河（湖库、近岸海域）排放口的建设项目，应包括排放</w:t>
            </w:r>
            <w:r>
              <w:rPr>
                <w:spacing w:val="-1"/>
                <w:sz w:val="18"/>
                <w:szCs w:val="18"/>
              </w:rPr>
              <w:t>口设置的环境合理</w:t>
            </w:r>
            <w:r>
              <w:rPr>
                <w:sz w:val="18"/>
                <w:szCs w:val="18"/>
              </w:rPr>
              <w:t xml:space="preserve"> </w:t>
            </w:r>
            <w:r>
              <w:rPr>
                <w:spacing w:val="4"/>
                <w:sz w:val="18"/>
                <w:szCs w:val="18"/>
              </w:rPr>
              <w:t>性评价</w:t>
            </w:r>
            <w:r>
              <w:rPr>
                <w:spacing w:val="15"/>
                <w:sz w:val="18"/>
                <w:szCs w:val="18"/>
              </w:rPr>
              <w:t xml:space="preserve"> </w:t>
            </w:r>
            <w:r>
              <w:rPr>
                <w:rFonts w:ascii="微软雅黑" w:hAnsi="微软雅黑" w:eastAsia="微软雅黑" w:cs="微软雅黑"/>
                <w:spacing w:val="4"/>
                <w:sz w:val="18"/>
                <w:szCs w:val="18"/>
              </w:rPr>
              <w:t>□</w:t>
            </w:r>
          </w:p>
          <w:p w14:paraId="24B9B71E">
            <w:pPr>
              <w:pStyle w:val="6"/>
              <w:spacing w:line="185" w:lineRule="exact"/>
              <w:ind w:left="2"/>
              <w:rPr>
                <w:rFonts w:ascii="微软雅黑" w:hAnsi="微软雅黑" w:eastAsia="微软雅黑" w:cs="微软雅黑"/>
                <w:sz w:val="18"/>
                <w:szCs w:val="18"/>
              </w:rPr>
            </w:pPr>
            <w:r>
              <w:rPr>
                <w:spacing w:val="1"/>
                <w:position w:val="-1"/>
                <w:sz w:val="18"/>
                <w:szCs w:val="18"/>
              </w:rPr>
              <w:t>满足生态保护红线、水环境质量底线、资源利用上线和环境准入清单管理要</w:t>
            </w:r>
            <w:r>
              <w:rPr>
                <w:position w:val="-1"/>
                <w:sz w:val="18"/>
                <w:szCs w:val="18"/>
              </w:rPr>
              <w:t xml:space="preserve">求 </w:t>
            </w:r>
            <w:r>
              <w:rPr>
                <w:rFonts w:ascii="微软雅黑" w:hAnsi="微软雅黑" w:eastAsia="微软雅黑" w:cs="微软雅黑"/>
                <w:position w:val="-1"/>
                <w:sz w:val="18"/>
                <w:szCs w:val="18"/>
              </w:rPr>
              <w:t>□</w:t>
            </w:r>
          </w:p>
        </w:tc>
      </w:tr>
      <w:tr w14:paraId="216ACD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3E8DB068">
            <w:pPr>
              <w:rPr>
                <w:rFonts w:ascii="Arial"/>
                <w:sz w:val="21"/>
              </w:rPr>
            </w:pPr>
          </w:p>
        </w:tc>
        <w:tc>
          <w:tcPr>
            <w:tcW w:w="1434" w:type="dxa"/>
            <w:vMerge w:val="restart"/>
            <w:tcBorders>
              <w:bottom w:val="nil"/>
            </w:tcBorders>
            <w:vAlign w:val="top"/>
          </w:tcPr>
          <w:p w14:paraId="44470A91">
            <w:pPr>
              <w:pStyle w:val="6"/>
              <w:spacing w:before="49" w:line="216" w:lineRule="auto"/>
              <w:ind w:left="624" w:right="92" w:hanging="540"/>
              <w:rPr>
                <w:sz w:val="18"/>
                <w:szCs w:val="18"/>
              </w:rPr>
            </w:pPr>
            <w:r>
              <w:rPr>
                <w:spacing w:val="-2"/>
                <w:sz w:val="18"/>
                <w:szCs w:val="18"/>
              </w:rPr>
              <w:t>污染源排放量核</w:t>
            </w:r>
            <w:r>
              <w:rPr>
                <w:spacing w:val="4"/>
                <w:sz w:val="18"/>
                <w:szCs w:val="18"/>
              </w:rPr>
              <w:t xml:space="preserve"> </w:t>
            </w:r>
            <w:r>
              <w:rPr>
                <w:sz w:val="18"/>
                <w:szCs w:val="18"/>
              </w:rPr>
              <w:t>算</w:t>
            </w:r>
          </w:p>
        </w:tc>
        <w:tc>
          <w:tcPr>
            <w:tcW w:w="2031" w:type="dxa"/>
            <w:gridSpan w:val="3"/>
            <w:vAlign w:val="top"/>
          </w:tcPr>
          <w:p w14:paraId="6FD65915">
            <w:pPr>
              <w:pStyle w:val="6"/>
              <w:spacing w:before="44" w:line="188" w:lineRule="auto"/>
              <w:ind w:left="565"/>
              <w:rPr>
                <w:sz w:val="18"/>
                <w:szCs w:val="18"/>
              </w:rPr>
            </w:pPr>
            <w:r>
              <w:rPr>
                <w:spacing w:val="-2"/>
                <w:sz w:val="18"/>
                <w:szCs w:val="18"/>
              </w:rPr>
              <w:t>污染物名称</w:t>
            </w:r>
          </w:p>
        </w:tc>
        <w:tc>
          <w:tcPr>
            <w:tcW w:w="2568" w:type="dxa"/>
            <w:gridSpan w:val="3"/>
            <w:vAlign w:val="top"/>
          </w:tcPr>
          <w:p w14:paraId="642D20E5">
            <w:pPr>
              <w:pStyle w:val="6"/>
              <w:spacing w:before="44" w:line="188" w:lineRule="auto"/>
              <w:ind w:left="722"/>
              <w:rPr>
                <w:sz w:val="18"/>
                <w:szCs w:val="18"/>
              </w:rPr>
            </w:pPr>
            <w:r>
              <w:rPr>
                <w:spacing w:val="-1"/>
                <w:sz w:val="18"/>
                <w:szCs w:val="18"/>
              </w:rPr>
              <w:t>排放量</w:t>
            </w:r>
            <w:r>
              <w:rPr>
                <w:rFonts w:ascii="Times New Roman" w:hAnsi="Times New Roman" w:eastAsia="Times New Roman" w:cs="Times New Roman"/>
                <w:spacing w:val="-1"/>
                <w:sz w:val="18"/>
                <w:szCs w:val="18"/>
              </w:rPr>
              <w:t>/</w:t>
            </w:r>
            <w:r>
              <w:rPr>
                <w:spacing w:val="-1"/>
                <w:sz w:val="18"/>
                <w:szCs w:val="18"/>
              </w:rPr>
              <w:t>（</w:t>
            </w:r>
            <w:r>
              <w:rPr>
                <w:rFonts w:ascii="Times New Roman" w:hAnsi="Times New Roman" w:eastAsia="Times New Roman" w:cs="Times New Roman"/>
                <w:spacing w:val="-1"/>
                <w:sz w:val="18"/>
                <w:szCs w:val="18"/>
              </w:rPr>
              <w:t>t/a</w:t>
            </w:r>
            <w:r>
              <w:rPr>
                <w:spacing w:val="-1"/>
                <w:sz w:val="18"/>
                <w:szCs w:val="18"/>
              </w:rPr>
              <w:t>）</w:t>
            </w:r>
          </w:p>
        </w:tc>
        <w:tc>
          <w:tcPr>
            <w:tcW w:w="2691" w:type="dxa"/>
            <w:gridSpan w:val="3"/>
            <w:tcBorders>
              <w:right w:val="single" w:color="000000" w:sz="10" w:space="0"/>
            </w:tcBorders>
            <w:vAlign w:val="top"/>
          </w:tcPr>
          <w:p w14:paraId="35897C77">
            <w:pPr>
              <w:pStyle w:val="6"/>
              <w:spacing w:before="44" w:line="188" w:lineRule="auto"/>
              <w:ind w:left="582"/>
              <w:rPr>
                <w:sz w:val="18"/>
                <w:szCs w:val="18"/>
              </w:rPr>
            </w:pPr>
            <w:r>
              <w:rPr>
                <w:spacing w:val="-1"/>
                <w:sz w:val="18"/>
                <w:szCs w:val="18"/>
              </w:rPr>
              <w:t>排放浓度</w:t>
            </w:r>
            <w:r>
              <w:rPr>
                <w:rFonts w:ascii="Times New Roman" w:hAnsi="Times New Roman" w:eastAsia="Times New Roman" w:cs="Times New Roman"/>
                <w:spacing w:val="-1"/>
                <w:sz w:val="18"/>
                <w:szCs w:val="18"/>
              </w:rPr>
              <w:t>/</w:t>
            </w:r>
            <w:r>
              <w:rPr>
                <w:spacing w:val="-1"/>
                <w:sz w:val="18"/>
                <w:szCs w:val="18"/>
              </w:rPr>
              <w:t>（</w:t>
            </w:r>
            <w:r>
              <w:rPr>
                <w:rFonts w:ascii="Times New Roman" w:hAnsi="Times New Roman" w:eastAsia="Times New Roman" w:cs="Times New Roman"/>
                <w:spacing w:val="-1"/>
                <w:sz w:val="18"/>
                <w:szCs w:val="18"/>
              </w:rPr>
              <w:t>mg/L</w:t>
            </w:r>
            <w:r>
              <w:rPr>
                <w:spacing w:val="-1"/>
                <w:sz w:val="18"/>
                <w:szCs w:val="18"/>
              </w:rPr>
              <w:t>）</w:t>
            </w:r>
          </w:p>
        </w:tc>
      </w:tr>
      <w:tr w14:paraId="3DE343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048A8B45">
            <w:pPr>
              <w:rPr>
                <w:rFonts w:ascii="Arial"/>
                <w:sz w:val="21"/>
              </w:rPr>
            </w:pPr>
          </w:p>
        </w:tc>
        <w:tc>
          <w:tcPr>
            <w:tcW w:w="1434" w:type="dxa"/>
            <w:vMerge w:val="continue"/>
            <w:tcBorders>
              <w:top w:val="nil"/>
            </w:tcBorders>
            <w:vAlign w:val="top"/>
          </w:tcPr>
          <w:p w14:paraId="6B842720">
            <w:pPr>
              <w:rPr>
                <w:rFonts w:ascii="Arial"/>
                <w:sz w:val="21"/>
              </w:rPr>
            </w:pPr>
          </w:p>
        </w:tc>
        <w:tc>
          <w:tcPr>
            <w:tcW w:w="2031" w:type="dxa"/>
            <w:gridSpan w:val="3"/>
            <w:vAlign w:val="top"/>
          </w:tcPr>
          <w:p w14:paraId="42521605">
            <w:pPr>
              <w:pStyle w:val="6"/>
              <w:spacing w:before="44" w:line="188" w:lineRule="auto"/>
              <w:ind w:left="750"/>
              <w:rPr>
                <w:sz w:val="18"/>
                <w:szCs w:val="18"/>
              </w:rPr>
            </w:pPr>
            <w:r>
              <w:rPr>
                <w:spacing w:val="-15"/>
                <w:w w:val="95"/>
                <w:sz w:val="18"/>
                <w:szCs w:val="18"/>
              </w:rPr>
              <w:t>(</w:t>
            </w:r>
            <w:r>
              <w:rPr>
                <w:spacing w:val="13"/>
                <w:sz w:val="18"/>
                <w:szCs w:val="18"/>
              </w:rPr>
              <w:t xml:space="preserve">    </w:t>
            </w:r>
            <w:r>
              <w:rPr>
                <w:spacing w:val="-15"/>
                <w:w w:val="95"/>
                <w:sz w:val="18"/>
                <w:szCs w:val="18"/>
              </w:rPr>
              <w:t>)</w:t>
            </w:r>
          </w:p>
        </w:tc>
        <w:tc>
          <w:tcPr>
            <w:tcW w:w="2568" w:type="dxa"/>
            <w:gridSpan w:val="3"/>
            <w:vAlign w:val="top"/>
          </w:tcPr>
          <w:p w14:paraId="659DB58F">
            <w:pPr>
              <w:pStyle w:val="6"/>
              <w:spacing w:before="44" w:line="188" w:lineRule="auto"/>
              <w:ind w:left="1020"/>
              <w:rPr>
                <w:sz w:val="18"/>
                <w:szCs w:val="18"/>
              </w:rPr>
            </w:pPr>
            <w:r>
              <w:rPr>
                <w:spacing w:val="-15"/>
                <w:w w:val="95"/>
                <w:sz w:val="18"/>
                <w:szCs w:val="18"/>
              </w:rPr>
              <w:t>(</w:t>
            </w:r>
            <w:r>
              <w:rPr>
                <w:spacing w:val="13"/>
                <w:sz w:val="18"/>
                <w:szCs w:val="18"/>
              </w:rPr>
              <w:t xml:space="preserve">    </w:t>
            </w:r>
            <w:r>
              <w:rPr>
                <w:spacing w:val="-15"/>
                <w:w w:val="95"/>
                <w:sz w:val="18"/>
                <w:szCs w:val="18"/>
              </w:rPr>
              <w:t>)</w:t>
            </w:r>
          </w:p>
        </w:tc>
        <w:tc>
          <w:tcPr>
            <w:tcW w:w="2691" w:type="dxa"/>
            <w:gridSpan w:val="3"/>
            <w:tcBorders>
              <w:right w:val="single" w:color="000000" w:sz="10" w:space="0"/>
            </w:tcBorders>
            <w:vAlign w:val="top"/>
          </w:tcPr>
          <w:p w14:paraId="5671BEE3">
            <w:pPr>
              <w:pStyle w:val="6"/>
              <w:spacing w:before="44" w:line="188" w:lineRule="auto"/>
              <w:ind w:left="1078"/>
              <w:rPr>
                <w:sz w:val="18"/>
                <w:szCs w:val="18"/>
              </w:rPr>
            </w:pPr>
            <w:r>
              <w:rPr>
                <w:spacing w:val="-15"/>
                <w:w w:val="95"/>
                <w:sz w:val="18"/>
                <w:szCs w:val="18"/>
              </w:rPr>
              <w:t>(</w:t>
            </w:r>
            <w:r>
              <w:rPr>
                <w:spacing w:val="13"/>
                <w:sz w:val="18"/>
                <w:szCs w:val="18"/>
              </w:rPr>
              <w:t xml:space="preserve">    </w:t>
            </w:r>
            <w:r>
              <w:rPr>
                <w:spacing w:val="-15"/>
                <w:w w:val="95"/>
                <w:sz w:val="18"/>
                <w:szCs w:val="18"/>
              </w:rPr>
              <w:t>)</w:t>
            </w:r>
          </w:p>
        </w:tc>
      </w:tr>
      <w:tr w14:paraId="5DD419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68C8D8F5">
            <w:pPr>
              <w:rPr>
                <w:rFonts w:ascii="Arial"/>
                <w:sz w:val="21"/>
              </w:rPr>
            </w:pPr>
          </w:p>
        </w:tc>
        <w:tc>
          <w:tcPr>
            <w:tcW w:w="1434" w:type="dxa"/>
            <w:vMerge w:val="restart"/>
            <w:tcBorders>
              <w:bottom w:val="nil"/>
            </w:tcBorders>
            <w:vAlign w:val="top"/>
          </w:tcPr>
          <w:p w14:paraId="40C78F79">
            <w:pPr>
              <w:pStyle w:val="6"/>
              <w:spacing w:before="51" w:line="215" w:lineRule="auto"/>
              <w:ind w:left="623" w:right="92" w:hanging="533"/>
              <w:rPr>
                <w:sz w:val="18"/>
                <w:szCs w:val="18"/>
              </w:rPr>
            </w:pPr>
            <w:r>
              <w:rPr>
                <w:spacing w:val="-3"/>
                <w:sz w:val="18"/>
                <w:szCs w:val="18"/>
              </w:rPr>
              <w:t>替代源排放量情</w:t>
            </w:r>
            <w:r>
              <w:rPr>
                <w:spacing w:val="5"/>
                <w:sz w:val="18"/>
                <w:szCs w:val="18"/>
              </w:rPr>
              <w:t xml:space="preserve"> </w:t>
            </w:r>
            <w:r>
              <w:rPr>
                <w:sz w:val="18"/>
                <w:szCs w:val="18"/>
              </w:rPr>
              <w:t>况</w:t>
            </w:r>
          </w:p>
        </w:tc>
        <w:tc>
          <w:tcPr>
            <w:tcW w:w="1414" w:type="dxa"/>
            <w:vAlign w:val="top"/>
          </w:tcPr>
          <w:p w14:paraId="0F1ABE4F">
            <w:pPr>
              <w:pStyle w:val="6"/>
              <w:spacing w:before="46" w:line="186" w:lineRule="auto"/>
              <w:ind w:left="258"/>
              <w:rPr>
                <w:sz w:val="18"/>
                <w:szCs w:val="18"/>
              </w:rPr>
            </w:pPr>
            <w:r>
              <w:rPr>
                <w:spacing w:val="-2"/>
                <w:sz w:val="18"/>
                <w:szCs w:val="18"/>
              </w:rPr>
              <w:t>污染源名称</w:t>
            </w:r>
          </w:p>
        </w:tc>
        <w:tc>
          <w:tcPr>
            <w:tcW w:w="1686" w:type="dxa"/>
            <w:gridSpan w:val="3"/>
            <w:vAlign w:val="top"/>
          </w:tcPr>
          <w:p w14:paraId="2442FB92">
            <w:pPr>
              <w:pStyle w:val="6"/>
              <w:spacing w:before="46" w:line="186" w:lineRule="auto"/>
              <w:ind w:left="215"/>
              <w:rPr>
                <w:sz w:val="18"/>
                <w:szCs w:val="18"/>
              </w:rPr>
            </w:pPr>
            <w:r>
              <w:rPr>
                <w:spacing w:val="-2"/>
                <w:sz w:val="18"/>
                <w:szCs w:val="18"/>
              </w:rPr>
              <w:t>排污许可证编号</w:t>
            </w:r>
          </w:p>
        </w:tc>
        <w:tc>
          <w:tcPr>
            <w:tcW w:w="1134" w:type="dxa"/>
            <w:vAlign w:val="top"/>
          </w:tcPr>
          <w:p w14:paraId="6E0FDE89">
            <w:pPr>
              <w:pStyle w:val="6"/>
              <w:spacing w:before="46" w:line="186" w:lineRule="auto"/>
              <w:ind w:left="124"/>
              <w:rPr>
                <w:sz w:val="18"/>
                <w:szCs w:val="18"/>
              </w:rPr>
            </w:pPr>
            <w:r>
              <w:rPr>
                <w:spacing w:val="-2"/>
                <w:sz w:val="18"/>
                <w:szCs w:val="18"/>
              </w:rPr>
              <w:t>污染物名称</w:t>
            </w:r>
          </w:p>
        </w:tc>
        <w:tc>
          <w:tcPr>
            <w:tcW w:w="1227" w:type="dxa"/>
            <w:gridSpan w:val="2"/>
            <w:vAlign w:val="top"/>
          </w:tcPr>
          <w:p w14:paraId="593EA4F3">
            <w:pPr>
              <w:pStyle w:val="6"/>
              <w:spacing w:before="46" w:line="186" w:lineRule="auto"/>
              <w:ind w:left="352"/>
              <w:rPr>
                <w:sz w:val="18"/>
                <w:szCs w:val="18"/>
              </w:rPr>
            </w:pPr>
            <w:r>
              <w:rPr>
                <w:spacing w:val="-3"/>
                <w:sz w:val="18"/>
                <w:szCs w:val="18"/>
              </w:rPr>
              <w:t>排放量</w:t>
            </w:r>
          </w:p>
        </w:tc>
        <w:tc>
          <w:tcPr>
            <w:tcW w:w="1829" w:type="dxa"/>
            <w:gridSpan w:val="2"/>
            <w:tcBorders>
              <w:right w:val="single" w:color="000000" w:sz="10" w:space="0"/>
            </w:tcBorders>
            <w:vAlign w:val="top"/>
          </w:tcPr>
          <w:p w14:paraId="50A9984B">
            <w:pPr>
              <w:pStyle w:val="6"/>
              <w:spacing w:before="46" w:line="186" w:lineRule="auto"/>
              <w:ind w:left="157"/>
              <w:rPr>
                <w:sz w:val="18"/>
                <w:szCs w:val="18"/>
              </w:rPr>
            </w:pPr>
            <w:r>
              <w:rPr>
                <w:spacing w:val="-1"/>
                <w:sz w:val="18"/>
                <w:szCs w:val="18"/>
              </w:rPr>
              <w:t>排放浓度</w:t>
            </w:r>
            <w:r>
              <w:rPr>
                <w:rFonts w:ascii="Times New Roman" w:hAnsi="Times New Roman" w:eastAsia="Times New Roman" w:cs="Times New Roman"/>
                <w:spacing w:val="-1"/>
                <w:sz w:val="18"/>
                <w:szCs w:val="18"/>
              </w:rPr>
              <w:t>/</w:t>
            </w:r>
            <w:r>
              <w:rPr>
                <w:spacing w:val="-1"/>
                <w:sz w:val="18"/>
                <w:szCs w:val="18"/>
              </w:rPr>
              <w:t>（</w:t>
            </w:r>
            <w:r>
              <w:rPr>
                <w:rFonts w:ascii="Times New Roman" w:hAnsi="Times New Roman" w:eastAsia="Times New Roman" w:cs="Times New Roman"/>
                <w:spacing w:val="-1"/>
                <w:sz w:val="18"/>
                <w:szCs w:val="18"/>
              </w:rPr>
              <w:t>mg/L</w:t>
            </w:r>
            <w:r>
              <w:rPr>
                <w:spacing w:val="-1"/>
                <w:sz w:val="18"/>
                <w:szCs w:val="18"/>
              </w:rPr>
              <w:t>）</w:t>
            </w:r>
          </w:p>
        </w:tc>
      </w:tr>
      <w:tr w14:paraId="16E699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14A118CB">
            <w:pPr>
              <w:rPr>
                <w:rFonts w:ascii="Arial"/>
                <w:sz w:val="21"/>
              </w:rPr>
            </w:pPr>
          </w:p>
        </w:tc>
        <w:tc>
          <w:tcPr>
            <w:tcW w:w="1434" w:type="dxa"/>
            <w:vMerge w:val="continue"/>
            <w:tcBorders>
              <w:top w:val="nil"/>
            </w:tcBorders>
            <w:vAlign w:val="top"/>
          </w:tcPr>
          <w:p w14:paraId="3890DA50">
            <w:pPr>
              <w:rPr>
                <w:rFonts w:ascii="Arial"/>
                <w:sz w:val="21"/>
              </w:rPr>
            </w:pPr>
          </w:p>
        </w:tc>
        <w:tc>
          <w:tcPr>
            <w:tcW w:w="1414" w:type="dxa"/>
            <w:vAlign w:val="top"/>
          </w:tcPr>
          <w:p w14:paraId="3094B4F1">
            <w:pPr>
              <w:pStyle w:val="6"/>
              <w:spacing w:before="45" w:line="187" w:lineRule="auto"/>
              <w:ind w:left="440"/>
              <w:rPr>
                <w:sz w:val="18"/>
                <w:szCs w:val="18"/>
              </w:rPr>
            </w:pPr>
            <w:r>
              <w:rPr>
                <w:spacing w:val="-15"/>
                <w:w w:val="95"/>
                <w:sz w:val="18"/>
                <w:szCs w:val="18"/>
              </w:rPr>
              <w:t>(</w:t>
            </w:r>
            <w:r>
              <w:rPr>
                <w:spacing w:val="13"/>
                <w:sz w:val="18"/>
                <w:szCs w:val="18"/>
              </w:rPr>
              <w:t xml:space="preserve">    </w:t>
            </w:r>
            <w:r>
              <w:rPr>
                <w:spacing w:val="-15"/>
                <w:w w:val="95"/>
                <w:sz w:val="18"/>
                <w:szCs w:val="18"/>
              </w:rPr>
              <w:t>)</w:t>
            </w:r>
          </w:p>
        </w:tc>
        <w:tc>
          <w:tcPr>
            <w:tcW w:w="1686" w:type="dxa"/>
            <w:gridSpan w:val="3"/>
            <w:vAlign w:val="top"/>
          </w:tcPr>
          <w:p w14:paraId="58D2F4B5">
            <w:pPr>
              <w:pStyle w:val="6"/>
              <w:spacing w:before="45" w:line="187" w:lineRule="auto"/>
              <w:ind w:left="581"/>
              <w:rPr>
                <w:sz w:val="18"/>
                <w:szCs w:val="18"/>
              </w:rPr>
            </w:pPr>
            <w:r>
              <w:rPr>
                <w:spacing w:val="-15"/>
                <w:w w:val="95"/>
                <w:sz w:val="18"/>
                <w:szCs w:val="18"/>
              </w:rPr>
              <w:t>(</w:t>
            </w:r>
            <w:r>
              <w:rPr>
                <w:spacing w:val="13"/>
                <w:sz w:val="18"/>
                <w:szCs w:val="18"/>
              </w:rPr>
              <w:t xml:space="preserve">    </w:t>
            </w:r>
            <w:r>
              <w:rPr>
                <w:spacing w:val="-15"/>
                <w:w w:val="95"/>
                <w:sz w:val="18"/>
                <w:szCs w:val="18"/>
              </w:rPr>
              <w:t>)</w:t>
            </w:r>
          </w:p>
        </w:tc>
        <w:tc>
          <w:tcPr>
            <w:tcW w:w="1134" w:type="dxa"/>
            <w:vAlign w:val="top"/>
          </w:tcPr>
          <w:p w14:paraId="3098073C">
            <w:pPr>
              <w:pStyle w:val="6"/>
              <w:spacing w:before="45" w:line="187" w:lineRule="auto"/>
              <w:ind w:left="307"/>
              <w:rPr>
                <w:sz w:val="18"/>
                <w:szCs w:val="18"/>
              </w:rPr>
            </w:pPr>
            <w:r>
              <w:rPr>
                <w:spacing w:val="-15"/>
                <w:w w:val="95"/>
                <w:sz w:val="18"/>
                <w:szCs w:val="18"/>
              </w:rPr>
              <w:t>(</w:t>
            </w:r>
            <w:r>
              <w:rPr>
                <w:spacing w:val="13"/>
                <w:sz w:val="18"/>
                <w:szCs w:val="18"/>
              </w:rPr>
              <w:t xml:space="preserve">    </w:t>
            </w:r>
            <w:r>
              <w:rPr>
                <w:spacing w:val="-15"/>
                <w:w w:val="95"/>
                <w:sz w:val="18"/>
                <w:szCs w:val="18"/>
              </w:rPr>
              <w:t>)</w:t>
            </w:r>
          </w:p>
        </w:tc>
        <w:tc>
          <w:tcPr>
            <w:tcW w:w="1227" w:type="dxa"/>
            <w:gridSpan w:val="2"/>
            <w:vAlign w:val="top"/>
          </w:tcPr>
          <w:p w14:paraId="0676002D">
            <w:pPr>
              <w:pStyle w:val="6"/>
              <w:spacing w:before="45" w:line="187" w:lineRule="auto"/>
              <w:ind w:left="358"/>
              <w:rPr>
                <w:sz w:val="18"/>
                <w:szCs w:val="18"/>
              </w:rPr>
            </w:pPr>
            <w:r>
              <w:rPr>
                <w:spacing w:val="-15"/>
                <w:w w:val="95"/>
                <w:sz w:val="18"/>
                <w:szCs w:val="18"/>
              </w:rPr>
              <w:t>(</w:t>
            </w:r>
            <w:r>
              <w:rPr>
                <w:spacing w:val="13"/>
                <w:sz w:val="18"/>
                <w:szCs w:val="18"/>
              </w:rPr>
              <w:t xml:space="preserve">    </w:t>
            </w:r>
            <w:r>
              <w:rPr>
                <w:spacing w:val="-15"/>
                <w:w w:val="95"/>
                <w:sz w:val="18"/>
                <w:szCs w:val="18"/>
              </w:rPr>
              <w:t>)</w:t>
            </w:r>
          </w:p>
        </w:tc>
        <w:tc>
          <w:tcPr>
            <w:tcW w:w="1829" w:type="dxa"/>
            <w:gridSpan w:val="2"/>
            <w:tcBorders>
              <w:right w:val="single" w:color="000000" w:sz="10" w:space="0"/>
            </w:tcBorders>
            <w:vAlign w:val="top"/>
          </w:tcPr>
          <w:p w14:paraId="05B0F141">
            <w:pPr>
              <w:pStyle w:val="6"/>
              <w:spacing w:before="45" w:line="187" w:lineRule="auto"/>
              <w:ind w:left="653"/>
              <w:rPr>
                <w:sz w:val="18"/>
                <w:szCs w:val="18"/>
              </w:rPr>
            </w:pPr>
            <w:r>
              <w:rPr>
                <w:spacing w:val="-15"/>
                <w:w w:val="95"/>
                <w:sz w:val="18"/>
                <w:szCs w:val="18"/>
              </w:rPr>
              <w:t>(</w:t>
            </w:r>
            <w:r>
              <w:rPr>
                <w:spacing w:val="13"/>
                <w:sz w:val="18"/>
                <w:szCs w:val="18"/>
              </w:rPr>
              <w:t xml:space="preserve">    </w:t>
            </w:r>
            <w:r>
              <w:rPr>
                <w:spacing w:val="-15"/>
                <w:w w:val="95"/>
                <w:sz w:val="18"/>
                <w:szCs w:val="18"/>
              </w:rPr>
              <w:t>)</w:t>
            </w:r>
          </w:p>
        </w:tc>
      </w:tr>
      <w:tr w14:paraId="5BFED1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378" w:type="dxa"/>
            <w:vMerge w:val="continue"/>
            <w:tcBorders>
              <w:top w:val="nil"/>
              <w:left w:val="single" w:color="000000" w:sz="10" w:space="0"/>
            </w:tcBorders>
            <w:textDirection w:val="tbRlV"/>
            <w:vAlign w:val="top"/>
          </w:tcPr>
          <w:p w14:paraId="64491ECD">
            <w:pPr>
              <w:rPr>
                <w:rFonts w:ascii="Arial"/>
                <w:sz w:val="21"/>
              </w:rPr>
            </w:pPr>
          </w:p>
        </w:tc>
        <w:tc>
          <w:tcPr>
            <w:tcW w:w="1434" w:type="dxa"/>
            <w:vAlign w:val="top"/>
          </w:tcPr>
          <w:p w14:paraId="20AAA2AE">
            <w:pPr>
              <w:pStyle w:val="6"/>
              <w:spacing w:before="162" w:line="220" w:lineRule="auto"/>
              <w:ind w:left="173"/>
              <w:rPr>
                <w:sz w:val="18"/>
                <w:szCs w:val="18"/>
              </w:rPr>
            </w:pPr>
            <w:r>
              <w:rPr>
                <w:spacing w:val="-2"/>
                <w:sz w:val="18"/>
                <w:szCs w:val="18"/>
              </w:rPr>
              <w:t>生态流量确定</w:t>
            </w:r>
          </w:p>
        </w:tc>
        <w:tc>
          <w:tcPr>
            <w:tcW w:w="7290" w:type="dxa"/>
            <w:gridSpan w:val="9"/>
            <w:tcBorders>
              <w:right w:val="single" w:color="000000" w:sz="10" w:space="0"/>
            </w:tcBorders>
            <w:vAlign w:val="top"/>
          </w:tcPr>
          <w:p w14:paraId="37ED21A0">
            <w:pPr>
              <w:pStyle w:val="6"/>
              <w:spacing w:before="47" w:line="217" w:lineRule="auto"/>
              <w:ind w:left="4"/>
              <w:rPr>
                <w:rFonts w:ascii="Times New Roman" w:hAnsi="Times New Roman" w:eastAsia="Times New Roman" w:cs="Times New Roman"/>
                <w:sz w:val="18"/>
                <w:szCs w:val="18"/>
              </w:rPr>
            </w:pPr>
            <w:r>
              <w:rPr>
                <w:sz w:val="18"/>
                <w:szCs w:val="18"/>
              </w:rPr>
              <w:t>生态流量：一般水期</w:t>
            </w:r>
            <w:r>
              <w:rPr>
                <w:spacing w:val="-26"/>
                <w:sz w:val="18"/>
                <w:szCs w:val="18"/>
              </w:rPr>
              <w:t>（</w:t>
            </w:r>
            <w:r>
              <w:rPr>
                <w:spacing w:val="28"/>
                <w:sz w:val="18"/>
                <w:szCs w:val="18"/>
              </w:rPr>
              <w:t xml:space="preserve">  </w:t>
            </w:r>
            <w:r>
              <w:rPr>
                <w:spacing w:val="-26"/>
                <w:sz w:val="18"/>
                <w:szCs w:val="18"/>
              </w:rPr>
              <w:t>）</w:t>
            </w:r>
            <w:r>
              <w:rPr>
                <w:rFonts w:ascii="Times New Roman" w:hAnsi="Times New Roman" w:eastAsia="Times New Roman" w:cs="Times New Roman"/>
                <w:sz w:val="18"/>
                <w:szCs w:val="18"/>
              </w:rPr>
              <w:t>m</w:t>
            </w:r>
            <w:r>
              <w:rPr>
                <w:rFonts w:ascii="Times New Roman" w:hAnsi="Times New Roman" w:eastAsia="Times New Roman" w:cs="Times New Roman"/>
                <w:position w:val="5"/>
                <w:sz w:val="11"/>
                <w:szCs w:val="11"/>
              </w:rPr>
              <w:t>3</w:t>
            </w:r>
            <w:r>
              <w:rPr>
                <w:rFonts w:ascii="Times New Roman" w:hAnsi="Times New Roman" w:eastAsia="Times New Roman" w:cs="Times New Roman"/>
                <w:sz w:val="18"/>
                <w:szCs w:val="18"/>
              </w:rPr>
              <w:t>/s</w:t>
            </w:r>
            <w:r>
              <w:rPr>
                <w:sz w:val="18"/>
                <w:szCs w:val="18"/>
              </w:rPr>
              <w:t>；鱼类繁殖期</w:t>
            </w:r>
            <w:r>
              <w:rPr>
                <w:spacing w:val="-26"/>
                <w:sz w:val="18"/>
                <w:szCs w:val="18"/>
              </w:rPr>
              <w:t>（</w:t>
            </w:r>
            <w:r>
              <w:rPr>
                <w:spacing w:val="26"/>
                <w:sz w:val="18"/>
                <w:szCs w:val="18"/>
              </w:rPr>
              <w:t xml:space="preserve">  </w:t>
            </w:r>
            <w:r>
              <w:rPr>
                <w:spacing w:val="-26"/>
                <w:sz w:val="18"/>
                <w:szCs w:val="18"/>
              </w:rPr>
              <w:t>）</w:t>
            </w:r>
            <w:r>
              <w:rPr>
                <w:rFonts w:ascii="Times New Roman" w:hAnsi="Times New Roman" w:eastAsia="Times New Roman" w:cs="Times New Roman"/>
                <w:sz w:val="18"/>
                <w:szCs w:val="18"/>
              </w:rPr>
              <w:t>m</w:t>
            </w:r>
            <w:r>
              <w:rPr>
                <w:rFonts w:ascii="Times New Roman" w:hAnsi="Times New Roman" w:eastAsia="Times New Roman" w:cs="Times New Roman"/>
                <w:position w:val="5"/>
                <w:sz w:val="11"/>
                <w:szCs w:val="11"/>
              </w:rPr>
              <w:t>3</w:t>
            </w:r>
            <w:r>
              <w:rPr>
                <w:rFonts w:ascii="Times New Roman" w:hAnsi="Times New Roman" w:eastAsia="Times New Roman" w:cs="Times New Roman"/>
                <w:sz w:val="18"/>
                <w:szCs w:val="18"/>
              </w:rPr>
              <w:t>/s</w:t>
            </w:r>
            <w:r>
              <w:rPr>
                <w:sz w:val="18"/>
                <w:szCs w:val="18"/>
              </w:rPr>
              <w:t>；</w:t>
            </w:r>
            <w:r>
              <w:rPr>
                <w:spacing w:val="-1"/>
                <w:sz w:val="18"/>
                <w:szCs w:val="18"/>
              </w:rPr>
              <w:t>其他</w:t>
            </w:r>
            <w:r>
              <w:rPr>
                <w:spacing w:val="-26"/>
                <w:sz w:val="18"/>
                <w:szCs w:val="18"/>
              </w:rPr>
              <w:t>（</w:t>
            </w:r>
            <w:r>
              <w:rPr>
                <w:spacing w:val="26"/>
                <w:sz w:val="18"/>
                <w:szCs w:val="18"/>
              </w:rPr>
              <w:t xml:space="preserve">  </w:t>
            </w:r>
            <w:r>
              <w:rPr>
                <w:spacing w:val="-26"/>
                <w:sz w:val="18"/>
                <w:szCs w:val="18"/>
              </w:rPr>
              <w:t>）</w:t>
            </w:r>
            <w:r>
              <w:rPr>
                <w:rFonts w:ascii="Times New Roman" w:hAnsi="Times New Roman" w:eastAsia="Times New Roman" w:cs="Times New Roman"/>
                <w:spacing w:val="-1"/>
                <w:sz w:val="18"/>
                <w:szCs w:val="18"/>
              </w:rPr>
              <w:t>m</w:t>
            </w:r>
            <w:r>
              <w:rPr>
                <w:rFonts w:ascii="Times New Roman" w:hAnsi="Times New Roman" w:eastAsia="Times New Roman" w:cs="Times New Roman"/>
                <w:spacing w:val="-1"/>
                <w:position w:val="5"/>
                <w:sz w:val="11"/>
                <w:szCs w:val="11"/>
              </w:rPr>
              <w:t>3</w:t>
            </w:r>
            <w:r>
              <w:rPr>
                <w:rFonts w:ascii="Times New Roman" w:hAnsi="Times New Roman" w:eastAsia="Times New Roman" w:cs="Times New Roman"/>
                <w:spacing w:val="-1"/>
                <w:sz w:val="18"/>
                <w:szCs w:val="18"/>
              </w:rPr>
              <w:t>/s</w:t>
            </w:r>
          </w:p>
          <w:p w14:paraId="317947F6">
            <w:pPr>
              <w:pStyle w:val="6"/>
              <w:spacing w:before="21" w:line="185" w:lineRule="auto"/>
              <w:ind w:left="4"/>
              <w:rPr>
                <w:rFonts w:ascii="Times New Roman" w:hAnsi="Times New Roman" w:eastAsia="Times New Roman" w:cs="Times New Roman"/>
                <w:sz w:val="18"/>
                <w:szCs w:val="18"/>
              </w:rPr>
            </w:pPr>
            <w:r>
              <w:rPr>
                <w:sz w:val="18"/>
                <w:szCs w:val="18"/>
              </w:rPr>
              <w:t>生态水位：一般水期</w:t>
            </w:r>
            <w:r>
              <w:rPr>
                <w:spacing w:val="-26"/>
                <w:sz w:val="18"/>
                <w:szCs w:val="18"/>
              </w:rPr>
              <w:t>（</w:t>
            </w:r>
            <w:r>
              <w:rPr>
                <w:spacing w:val="28"/>
                <w:sz w:val="18"/>
                <w:szCs w:val="18"/>
              </w:rPr>
              <w:t xml:space="preserve">  </w:t>
            </w:r>
            <w:r>
              <w:rPr>
                <w:spacing w:val="-26"/>
                <w:sz w:val="18"/>
                <w:szCs w:val="18"/>
              </w:rPr>
              <w:t>）</w:t>
            </w:r>
            <w:r>
              <w:rPr>
                <w:rFonts w:ascii="Times New Roman" w:hAnsi="Times New Roman" w:eastAsia="Times New Roman" w:cs="Times New Roman"/>
                <w:sz w:val="18"/>
                <w:szCs w:val="18"/>
              </w:rPr>
              <w:t>m</w:t>
            </w:r>
            <w:r>
              <w:rPr>
                <w:rFonts w:ascii="Times New Roman" w:hAnsi="Times New Roman" w:eastAsia="Times New Roman" w:cs="Times New Roman"/>
                <w:position w:val="5"/>
                <w:sz w:val="11"/>
                <w:szCs w:val="11"/>
              </w:rPr>
              <w:t>3</w:t>
            </w:r>
            <w:r>
              <w:rPr>
                <w:rFonts w:ascii="Times New Roman" w:hAnsi="Times New Roman" w:eastAsia="Times New Roman" w:cs="Times New Roman"/>
                <w:sz w:val="18"/>
                <w:szCs w:val="18"/>
              </w:rPr>
              <w:t>/s</w:t>
            </w:r>
            <w:r>
              <w:rPr>
                <w:sz w:val="18"/>
                <w:szCs w:val="18"/>
              </w:rPr>
              <w:t>；鱼类繁殖期</w:t>
            </w:r>
            <w:r>
              <w:rPr>
                <w:spacing w:val="-26"/>
                <w:sz w:val="18"/>
                <w:szCs w:val="18"/>
              </w:rPr>
              <w:t>（</w:t>
            </w:r>
            <w:r>
              <w:rPr>
                <w:spacing w:val="26"/>
                <w:sz w:val="18"/>
                <w:szCs w:val="18"/>
              </w:rPr>
              <w:t xml:space="preserve">  </w:t>
            </w:r>
            <w:r>
              <w:rPr>
                <w:spacing w:val="-26"/>
                <w:sz w:val="18"/>
                <w:szCs w:val="18"/>
              </w:rPr>
              <w:t>）</w:t>
            </w:r>
            <w:r>
              <w:rPr>
                <w:rFonts w:ascii="Times New Roman" w:hAnsi="Times New Roman" w:eastAsia="Times New Roman" w:cs="Times New Roman"/>
                <w:sz w:val="18"/>
                <w:szCs w:val="18"/>
              </w:rPr>
              <w:t>m</w:t>
            </w:r>
            <w:r>
              <w:rPr>
                <w:rFonts w:ascii="Times New Roman" w:hAnsi="Times New Roman" w:eastAsia="Times New Roman" w:cs="Times New Roman"/>
                <w:position w:val="5"/>
                <w:sz w:val="11"/>
                <w:szCs w:val="11"/>
              </w:rPr>
              <w:t>3</w:t>
            </w:r>
            <w:r>
              <w:rPr>
                <w:rFonts w:ascii="Times New Roman" w:hAnsi="Times New Roman" w:eastAsia="Times New Roman" w:cs="Times New Roman"/>
                <w:sz w:val="18"/>
                <w:szCs w:val="18"/>
              </w:rPr>
              <w:t>/s</w:t>
            </w:r>
            <w:r>
              <w:rPr>
                <w:sz w:val="18"/>
                <w:szCs w:val="18"/>
              </w:rPr>
              <w:t>；</w:t>
            </w:r>
            <w:r>
              <w:rPr>
                <w:spacing w:val="-1"/>
                <w:sz w:val="18"/>
                <w:szCs w:val="18"/>
              </w:rPr>
              <w:t>其他</w:t>
            </w:r>
            <w:r>
              <w:rPr>
                <w:spacing w:val="-26"/>
                <w:sz w:val="18"/>
                <w:szCs w:val="18"/>
              </w:rPr>
              <w:t>（</w:t>
            </w:r>
            <w:r>
              <w:rPr>
                <w:spacing w:val="26"/>
                <w:sz w:val="18"/>
                <w:szCs w:val="18"/>
              </w:rPr>
              <w:t xml:space="preserve">  </w:t>
            </w:r>
            <w:r>
              <w:rPr>
                <w:spacing w:val="-26"/>
                <w:sz w:val="18"/>
                <w:szCs w:val="18"/>
              </w:rPr>
              <w:t>）</w:t>
            </w:r>
            <w:r>
              <w:rPr>
                <w:rFonts w:ascii="Times New Roman" w:hAnsi="Times New Roman" w:eastAsia="Times New Roman" w:cs="Times New Roman"/>
                <w:spacing w:val="-1"/>
                <w:sz w:val="18"/>
                <w:szCs w:val="18"/>
              </w:rPr>
              <w:t>m</w:t>
            </w:r>
            <w:r>
              <w:rPr>
                <w:rFonts w:ascii="Times New Roman" w:hAnsi="Times New Roman" w:eastAsia="Times New Roman" w:cs="Times New Roman"/>
                <w:spacing w:val="-1"/>
                <w:position w:val="5"/>
                <w:sz w:val="11"/>
                <w:szCs w:val="11"/>
              </w:rPr>
              <w:t>3</w:t>
            </w:r>
            <w:r>
              <w:rPr>
                <w:rFonts w:ascii="Times New Roman" w:hAnsi="Times New Roman" w:eastAsia="Times New Roman" w:cs="Times New Roman"/>
                <w:spacing w:val="-1"/>
                <w:sz w:val="18"/>
                <w:szCs w:val="18"/>
              </w:rPr>
              <w:t>/s</w:t>
            </w:r>
          </w:p>
        </w:tc>
      </w:tr>
      <w:tr w14:paraId="004133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378" w:type="dxa"/>
            <w:vMerge w:val="restart"/>
            <w:tcBorders>
              <w:left w:val="single" w:color="000000" w:sz="10" w:space="0"/>
              <w:bottom w:val="nil"/>
            </w:tcBorders>
            <w:textDirection w:val="tbRlV"/>
            <w:vAlign w:val="top"/>
          </w:tcPr>
          <w:p w14:paraId="1225C895">
            <w:pPr>
              <w:pStyle w:val="6"/>
              <w:spacing w:before="96" w:line="209" w:lineRule="auto"/>
              <w:ind w:left="423"/>
              <w:rPr>
                <w:sz w:val="18"/>
                <w:szCs w:val="18"/>
              </w:rPr>
            </w:pPr>
            <w:r>
              <w:rPr>
                <w:spacing w:val="39"/>
                <w:sz w:val="18"/>
                <w:szCs w:val="18"/>
              </w:rPr>
              <w:t>防治措施</w:t>
            </w:r>
          </w:p>
        </w:tc>
        <w:tc>
          <w:tcPr>
            <w:tcW w:w="1434" w:type="dxa"/>
            <w:vAlign w:val="top"/>
          </w:tcPr>
          <w:p w14:paraId="794B5073">
            <w:pPr>
              <w:pStyle w:val="6"/>
              <w:spacing w:before="164" w:line="220" w:lineRule="auto"/>
              <w:ind w:left="351"/>
              <w:rPr>
                <w:sz w:val="18"/>
                <w:szCs w:val="18"/>
              </w:rPr>
            </w:pPr>
            <w:r>
              <w:rPr>
                <w:spacing w:val="-2"/>
                <w:sz w:val="18"/>
                <w:szCs w:val="18"/>
              </w:rPr>
              <w:t>环保措施</w:t>
            </w:r>
          </w:p>
        </w:tc>
        <w:tc>
          <w:tcPr>
            <w:tcW w:w="7290" w:type="dxa"/>
            <w:gridSpan w:val="9"/>
            <w:tcBorders>
              <w:right w:val="single" w:color="000000" w:sz="10" w:space="0"/>
            </w:tcBorders>
            <w:vAlign w:val="top"/>
          </w:tcPr>
          <w:p w14:paraId="1CB98E71">
            <w:pPr>
              <w:pStyle w:val="6"/>
              <w:spacing w:before="46" w:line="161" w:lineRule="auto"/>
              <w:ind w:left="3" w:right="45"/>
              <w:rPr>
                <w:rFonts w:ascii="微软雅黑" w:hAnsi="微软雅黑" w:eastAsia="微软雅黑" w:cs="微软雅黑"/>
                <w:sz w:val="18"/>
                <w:szCs w:val="18"/>
              </w:rPr>
            </w:pPr>
            <w:r>
              <w:rPr>
                <w:spacing w:val="-3"/>
                <w:sz w:val="18"/>
                <w:szCs w:val="18"/>
              </w:rPr>
              <w:t xml:space="preserve">污水处理设施 </w:t>
            </w:r>
            <w:r>
              <w:rPr>
                <w:rFonts w:ascii="微软雅黑" w:hAnsi="微软雅黑" w:eastAsia="微软雅黑" w:cs="微软雅黑"/>
                <w:spacing w:val="-3"/>
                <w:sz w:val="18"/>
                <w:szCs w:val="18"/>
              </w:rPr>
              <w:t>□</w:t>
            </w:r>
            <w:r>
              <w:rPr>
                <w:rFonts w:ascii="微软雅黑" w:hAnsi="微软雅黑" w:eastAsia="微软雅黑" w:cs="微软雅黑"/>
                <w:spacing w:val="-30"/>
                <w:sz w:val="18"/>
                <w:szCs w:val="18"/>
              </w:rPr>
              <w:t xml:space="preserve"> </w:t>
            </w:r>
            <w:r>
              <w:rPr>
                <w:spacing w:val="-3"/>
                <w:sz w:val="18"/>
                <w:szCs w:val="18"/>
              </w:rPr>
              <w:t xml:space="preserve">; 水文减缓设施 </w:t>
            </w:r>
            <w:r>
              <w:rPr>
                <w:rFonts w:ascii="微软雅黑" w:hAnsi="微软雅黑" w:eastAsia="微软雅黑" w:cs="微软雅黑"/>
                <w:spacing w:val="-3"/>
                <w:sz w:val="18"/>
                <w:szCs w:val="18"/>
              </w:rPr>
              <w:t>□</w:t>
            </w:r>
            <w:r>
              <w:rPr>
                <w:rFonts w:ascii="微软雅黑" w:hAnsi="微软雅黑" w:eastAsia="微软雅黑" w:cs="微软雅黑"/>
                <w:spacing w:val="-33"/>
                <w:sz w:val="18"/>
                <w:szCs w:val="18"/>
              </w:rPr>
              <w:t xml:space="preserve"> </w:t>
            </w:r>
            <w:r>
              <w:rPr>
                <w:spacing w:val="-3"/>
                <w:sz w:val="18"/>
                <w:szCs w:val="18"/>
              </w:rPr>
              <w:t>;</w:t>
            </w:r>
            <w:r>
              <w:rPr>
                <w:spacing w:val="15"/>
                <w:sz w:val="18"/>
                <w:szCs w:val="18"/>
              </w:rPr>
              <w:t xml:space="preserve"> </w:t>
            </w:r>
            <w:r>
              <w:rPr>
                <w:spacing w:val="-3"/>
                <w:sz w:val="18"/>
                <w:szCs w:val="18"/>
              </w:rPr>
              <w:t>生</w:t>
            </w:r>
            <w:r>
              <w:rPr>
                <w:spacing w:val="-4"/>
                <w:sz w:val="18"/>
                <w:szCs w:val="18"/>
              </w:rPr>
              <w:t>态流量保障设施</w:t>
            </w:r>
            <w:r>
              <w:rPr>
                <w:spacing w:val="14"/>
                <w:sz w:val="18"/>
                <w:szCs w:val="18"/>
              </w:rPr>
              <w:t xml:space="preserve"> </w:t>
            </w:r>
            <w:r>
              <w:rPr>
                <w:rFonts w:ascii="微软雅黑" w:hAnsi="微软雅黑" w:eastAsia="微软雅黑" w:cs="微软雅黑"/>
                <w:spacing w:val="-4"/>
                <w:sz w:val="18"/>
                <w:szCs w:val="18"/>
              </w:rPr>
              <w:t>□</w:t>
            </w:r>
            <w:r>
              <w:rPr>
                <w:rFonts w:ascii="微软雅黑" w:hAnsi="微软雅黑" w:eastAsia="微软雅黑" w:cs="微软雅黑"/>
                <w:spacing w:val="-31"/>
                <w:sz w:val="18"/>
                <w:szCs w:val="18"/>
              </w:rPr>
              <w:t xml:space="preserve"> </w:t>
            </w:r>
            <w:r>
              <w:rPr>
                <w:spacing w:val="-4"/>
                <w:sz w:val="18"/>
                <w:szCs w:val="18"/>
              </w:rPr>
              <w:t>;</w:t>
            </w:r>
            <w:r>
              <w:rPr>
                <w:spacing w:val="24"/>
                <w:sz w:val="18"/>
                <w:szCs w:val="18"/>
              </w:rPr>
              <w:t xml:space="preserve"> </w:t>
            </w:r>
            <w:r>
              <w:rPr>
                <w:spacing w:val="-4"/>
                <w:sz w:val="18"/>
                <w:szCs w:val="18"/>
              </w:rPr>
              <w:t>区域消减依托其他工程措施</w:t>
            </w:r>
            <w:r>
              <w:rPr>
                <w:spacing w:val="14"/>
                <w:sz w:val="18"/>
                <w:szCs w:val="18"/>
              </w:rPr>
              <w:t xml:space="preserve"> </w:t>
            </w:r>
            <w:r>
              <w:rPr>
                <w:rFonts w:ascii="微软雅黑" w:hAnsi="微软雅黑" w:eastAsia="微软雅黑" w:cs="微软雅黑"/>
                <w:spacing w:val="-4"/>
                <w:sz w:val="18"/>
                <w:szCs w:val="18"/>
              </w:rPr>
              <w:t>□</w:t>
            </w:r>
            <w:r>
              <w:rPr>
                <w:rFonts w:ascii="微软雅黑" w:hAnsi="微软雅黑" w:eastAsia="微软雅黑" w:cs="微软雅黑"/>
                <w:spacing w:val="-30"/>
                <w:sz w:val="18"/>
                <w:szCs w:val="18"/>
              </w:rPr>
              <w:t xml:space="preserve"> </w:t>
            </w:r>
            <w:r>
              <w:rPr>
                <w:spacing w:val="-4"/>
                <w:sz w:val="18"/>
                <w:szCs w:val="18"/>
              </w:rPr>
              <w:t>;</w:t>
            </w:r>
            <w:r>
              <w:rPr>
                <w:sz w:val="18"/>
                <w:szCs w:val="18"/>
              </w:rPr>
              <w:t xml:space="preserve"> </w:t>
            </w:r>
            <w:r>
              <w:rPr>
                <w:spacing w:val="6"/>
                <w:sz w:val="18"/>
                <w:szCs w:val="18"/>
              </w:rPr>
              <w:t>其他</w:t>
            </w:r>
            <w:r>
              <w:rPr>
                <w:spacing w:val="15"/>
                <w:sz w:val="18"/>
                <w:szCs w:val="18"/>
              </w:rPr>
              <w:t xml:space="preserve"> </w:t>
            </w:r>
            <w:r>
              <w:rPr>
                <w:rFonts w:ascii="微软雅黑" w:hAnsi="微软雅黑" w:eastAsia="微软雅黑" w:cs="微软雅黑"/>
                <w:spacing w:val="6"/>
                <w:sz w:val="18"/>
                <w:szCs w:val="18"/>
              </w:rPr>
              <w:t>□</w:t>
            </w:r>
          </w:p>
        </w:tc>
      </w:tr>
      <w:tr w14:paraId="69A018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5D709F8D">
            <w:pPr>
              <w:rPr>
                <w:rFonts w:ascii="Arial"/>
                <w:sz w:val="21"/>
              </w:rPr>
            </w:pPr>
          </w:p>
        </w:tc>
        <w:tc>
          <w:tcPr>
            <w:tcW w:w="1434" w:type="dxa"/>
            <w:vMerge w:val="restart"/>
            <w:tcBorders>
              <w:bottom w:val="nil"/>
            </w:tcBorders>
            <w:vAlign w:val="top"/>
          </w:tcPr>
          <w:p w14:paraId="15AF6110">
            <w:pPr>
              <w:spacing w:line="352" w:lineRule="auto"/>
              <w:rPr>
                <w:rFonts w:ascii="Arial"/>
                <w:sz w:val="21"/>
              </w:rPr>
            </w:pPr>
          </w:p>
          <w:p w14:paraId="5B06E524">
            <w:pPr>
              <w:pStyle w:val="6"/>
              <w:spacing w:before="58" w:line="221" w:lineRule="auto"/>
              <w:ind w:left="352"/>
              <w:rPr>
                <w:sz w:val="18"/>
                <w:szCs w:val="18"/>
              </w:rPr>
            </w:pPr>
            <w:r>
              <w:rPr>
                <w:spacing w:val="-2"/>
                <w:sz w:val="18"/>
                <w:szCs w:val="18"/>
              </w:rPr>
              <w:t>监测计划</w:t>
            </w:r>
          </w:p>
        </w:tc>
        <w:tc>
          <w:tcPr>
            <w:tcW w:w="1915" w:type="dxa"/>
            <w:gridSpan w:val="2"/>
            <w:vAlign w:val="top"/>
          </w:tcPr>
          <w:p w14:paraId="42EFCD0A">
            <w:pPr>
              <w:spacing w:line="227" w:lineRule="exact"/>
              <w:rPr>
                <w:rFonts w:ascii="Arial"/>
                <w:sz w:val="19"/>
              </w:rPr>
            </w:pPr>
          </w:p>
        </w:tc>
        <w:tc>
          <w:tcPr>
            <w:tcW w:w="2684" w:type="dxa"/>
            <w:gridSpan w:val="4"/>
            <w:vAlign w:val="top"/>
          </w:tcPr>
          <w:p w14:paraId="498E6AA5">
            <w:pPr>
              <w:pStyle w:val="6"/>
              <w:spacing w:before="48" w:line="184" w:lineRule="auto"/>
              <w:ind w:left="989"/>
              <w:rPr>
                <w:sz w:val="18"/>
                <w:szCs w:val="18"/>
              </w:rPr>
            </w:pPr>
            <w:r>
              <w:rPr>
                <w:spacing w:val="-2"/>
                <w:sz w:val="18"/>
                <w:szCs w:val="18"/>
              </w:rPr>
              <w:t>环境质量</w:t>
            </w:r>
          </w:p>
        </w:tc>
        <w:tc>
          <w:tcPr>
            <w:tcW w:w="2691" w:type="dxa"/>
            <w:gridSpan w:val="3"/>
            <w:tcBorders>
              <w:right w:val="single" w:color="000000" w:sz="10" w:space="0"/>
            </w:tcBorders>
            <w:vAlign w:val="top"/>
          </w:tcPr>
          <w:p w14:paraId="225EBE4F">
            <w:pPr>
              <w:pStyle w:val="6"/>
              <w:spacing w:before="48" w:line="184" w:lineRule="auto"/>
              <w:ind w:left="1078"/>
              <w:rPr>
                <w:sz w:val="18"/>
                <w:szCs w:val="18"/>
              </w:rPr>
            </w:pPr>
            <w:r>
              <w:rPr>
                <w:spacing w:val="-3"/>
                <w:sz w:val="18"/>
                <w:szCs w:val="18"/>
              </w:rPr>
              <w:t>污染源</w:t>
            </w:r>
          </w:p>
        </w:tc>
      </w:tr>
      <w:tr w14:paraId="6923E3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6CDA8D2F">
            <w:pPr>
              <w:rPr>
                <w:rFonts w:ascii="Arial"/>
                <w:sz w:val="21"/>
              </w:rPr>
            </w:pPr>
          </w:p>
        </w:tc>
        <w:tc>
          <w:tcPr>
            <w:tcW w:w="1434" w:type="dxa"/>
            <w:vMerge w:val="continue"/>
            <w:tcBorders>
              <w:top w:val="nil"/>
              <w:bottom w:val="nil"/>
            </w:tcBorders>
            <w:vAlign w:val="top"/>
          </w:tcPr>
          <w:p w14:paraId="08C4C93C">
            <w:pPr>
              <w:rPr>
                <w:rFonts w:ascii="Arial"/>
                <w:sz w:val="21"/>
              </w:rPr>
            </w:pPr>
          </w:p>
        </w:tc>
        <w:tc>
          <w:tcPr>
            <w:tcW w:w="1915" w:type="dxa"/>
            <w:gridSpan w:val="2"/>
            <w:vAlign w:val="top"/>
          </w:tcPr>
          <w:p w14:paraId="4319B718">
            <w:pPr>
              <w:pStyle w:val="6"/>
              <w:spacing w:before="49" w:line="183" w:lineRule="auto"/>
              <w:ind w:left="598"/>
              <w:rPr>
                <w:sz w:val="18"/>
                <w:szCs w:val="18"/>
              </w:rPr>
            </w:pPr>
            <w:r>
              <w:rPr>
                <w:spacing w:val="-2"/>
                <w:sz w:val="18"/>
                <w:szCs w:val="18"/>
              </w:rPr>
              <w:t>监测方法</w:t>
            </w:r>
          </w:p>
        </w:tc>
        <w:tc>
          <w:tcPr>
            <w:tcW w:w="2684" w:type="dxa"/>
            <w:gridSpan w:val="4"/>
            <w:vAlign w:val="top"/>
          </w:tcPr>
          <w:p w14:paraId="7C40AE30">
            <w:pPr>
              <w:pStyle w:val="6"/>
              <w:spacing w:before="49" w:line="178" w:lineRule="exact"/>
              <w:ind w:left="163"/>
              <w:rPr>
                <w:rFonts w:ascii="微软雅黑" w:hAnsi="微软雅黑" w:eastAsia="微软雅黑" w:cs="微软雅黑"/>
                <w:sz w:val="18"/>
                <w:szCs w:val="18"/>
              </w:rPr>
            </w:pPr>
            <w:r>
              <w:rPr>
                <w:spacing w:val="-9"/>
                <w:position w:val="-1"/>
                <w:sz w:val="18"/>
                <w:szCs w:val="18"/>
              </w:rPr>
              <w:t>手动</w:t>
            </w:r>
            <w:r>
              <w:rPr>
                <w:spacing w:val="25"/>
                <w:position w:val="-1"/>
                <w:sz w:val="18"/>
                <w:szCs w:val="18"/>
              </w:rPr>
              <w:t xml:space="preserve"> </w:t>
            </w:r>
            <w:r>
              <w:rPr>
                <w:rFonts w:ascii="微软雅黑" w:hAnsi="微软雅黑" w:eastAsia="微软雅黑" w:cs="微软雅黑"/>
                <w:spacing w:val="-9"/>
                <w:position w:val="-1"/>
                <w:sz w:val="18"/>
                <w:szCs w:val="18"/>
              </w:rPr>
              <w:t>□</w:t>
            </w:r>
            <w:r>
              <w:rPr>
                <w:rFonts w:ascii="微软雅黑" w:hAnsi="微软雅黑" w:eastAsia="微软雅黑" w:cs="微软雅黑"/>
                <w:spacing w:val="-33"/>
                <w:position w:val="-1"/>
                <w:sz w:val="18"/>
                <w:szCs w:val="18"/>
              </w:rPr>
              <w:t xml:space="preserve"> </w:t>
            </w:r>
            <w:r>
              <w:rPr>
                <w:spacing w:val="-9"/>
                <w:position w:val="-1"/>
                <w:sz w:val="18"/>
                <w:szCs w:val="18"/>
              </w:rPr>
              <w:t>;</w:t>
            </w:r>
            <w:r>
              <w:rPr>
                <w:spacing w:val="79"/>
                <w:position w:val="-1"/>
                <w:sz w:val="18"/>
                <w:szCs w:val="18"/>
              </w:rPr>
              <w:t xml:space="preserve"> </w:t>
            </w:r>
            <w:r>
              <w:rPr>
                <w:spacing w:val="-9"/>
                <w:position w:val="-1"/>
                <w:sz w:val="18"/>
                <w:szCs w:val="18"/>
              </w:rPr>
              <w:t>自动</w:t>
            </w:r>
            <w:r>
              <w:rPr>
                <w:spacing w:val="16"/>
                <w:position w:val="-1"/>
                <w:sz w:val="18"/>
                <w:szCs w:val="18"/>
              </w:rPr>
              <w:t xml:space="preserve"> </w:t>
            </w:r>
            <w:r>
              <w:rPr>
                <w:rFonts w:ascii="微软雅黑" w:hAnsi="微软雅黑" w:eastAsia="微软雅黑" w:cs="微软雅黑"/>
                <w:spacing w:val="-9"/>
                <w:position w:val="-1"/>
                <w:sz w:val="18"/>
                <w:szCs w:val="18"/>
              </w:rPr>
              <w:t>□</w:t>
            </w:r>
            <w:r>
              <w:rPr>
                <w:rFonts w:ascii="微软雅黑" w:hAnsi="微软雅黑" w:eastAsia="微软雅黑" w:cs="微软雅黑"/>
                <w:spacing w:val="-30"/>
                <w:position w:val="-1"/>
                <w:sz w:val="18"/>
                <w:szCs w:val="18"/>
              </w:rPr>
              <w:t xml:space="preserve"> </w:t>
            </w:r>
            <w:r>
              <w:rPr>
                <w:spacing w:val="-9"/>
                <w:position w:val="-1"/>
                <w:sz w:val="18"/>
                <w:szCs w:val="18"/>
              </w:rPr>
              <w:t>;</w:t>
            </w:r>
            <w:r>
              <w:rPr>
                <w:spacing w:val="51"/>
                <w:position w:val="-1"/>
                <w:sz w:val="18"/>
                <w:szCs w:val="18"/>
              </w:rPr>
              <w:t xml:space="preserve"> </w:t>
            </w:r>
            <w:r>
              <w:rPr>
                <w:spacing w:val="-9"/>
                <w:position w:val="-1"/>
                <w:sz w:val="18"/>
                <w:szCs w:val="18"/>
              </w:rPr>
              <w:t>无检测</w:t>
            </w:r>
            <w:r>
              <w:rPr>
                <w:spacing w:val="13"/>
                <w:position w:val="-1"/>
                <w:sz w:val="18"/>
                <w:szCs w:val="18"/>
              </w:rPr>
              <w:t xml:space="preserve"> </w:t>
            </w:r>
            <w:r>
              <w:rPr>
                <w:rFonts w:ascii="微软雅黑" w:hAnsi="微软雅黑" w:eastAsia="微软雅黑" w:cs="微软雅黑"/>
                <w:spacing w:val="-9"/>
                <w:position w:val="-1"/>
                <w:sz w:val="18"/>
                <w:szCs w:val="18"/>
              </w:rPr>
              <w:t>□</w:t>
            </w:r>
          </w:p>
        </w:tc>
        <w:tc>
          <w:tcPr>
            <w:tcW w:w="2691" w:type="dxa"/>
            <w:gridSpan w:val="3"/>
            <w:tcBorders>
              <w:right w:val="single" w:color="000000" w:sz="10" w:space="0"/>
            </w:tcBorders>
            <w:vAlign w:val="top"/>
          </w:tcPr>
          <w:p w14:paraId="55ED5397">
            <w:pPr>
              <w:pStyle w:val="6"/>
              <w:spacing w:before="49" w:line="178" w:lineRule="exact"/>
              <w:ind w:left="162"/>
              <w:rPr>
                <w:rFonts w:ascii="微软雅黑" w:hAnsi="微软雅黑" w:eastAsia="微软雅黑" w:cs="微软雅黑"/>
                <w:sz w:val="18"/>
                <w:szCs w:val="18"/>
              </w:rPr>
            </w:pPr>
            <w:r>
              <w:rPr>
                <w:spacing w:val="-9"/>
                <w:position w:val="-1"/>
                <w:sz w:val="18"/>
                <w:szCs w:val="18"/>
              </w:rPr>
              <w:t>手动</w:t>
            </w:r>
            <w:r>
              <w:rPr>
                <w:spacing w:val="25"/>
                <w:position w:val="-1"/>
                <w:sz w:val="18"/>
                <w:szCs w:val="18"/>
              </w:rPr>
              <w:t xml:space="preserve"> </w:t>
            </w:r>
            <w:r>
              <w:rPr>
                <w:rFonts w:ascii="微软雅黑" w:hAnsi="微软雅黑" w:eastAsia="微软雅黑" w:cs="微软雅黑"/>
                <w:spacing w:val="-9"/>
                <w:position w:val="-1"/>
                <w:sz w:val="18"/>
                <w:szCs w:val="18"/>
              </w:rPr>
              <w:t>□</w:t>
            </w:r>
            <w:r>
              <w:rPr>
                <w:rFonts w:ascii="微软雅黑" w:hAnsi="微软雅黑" w:eastAsia="微软雅黑" w:cs="微软雅黑"/>
                <w:spacing w:val="-33"/>
                <w:position w:val="-1"/>
                <w:sz w:val="18"/>
                <w:szCs w:val="18"/>
              </w:rPr>
              <w:t xml:space="preserve"> </w:t>
            </w:r>
            <w:r>
              <w:rPr>
                <w:spacing w:val="-9"/>
                <w:position w:val="-1"/>
                <w:sz w:val="18"/>
                <w:szCs w:val="18"/>
              </w:rPr>
              <w:t>;</w:t>
            </w:r>
            <w:r>
              <w:rPr>
                <w:spacing w:val="79"/>
                <w:position w:val="-1"/>
                <w:sz w:val="18"/>
                <w:szCs w:val="18"/>
              </w:rPr>
              <w:t xml:space="preserve"> </w:t>
            </w:r>
            <w:r>
              <w:rPr>
                <w:spacing w:val="-9"/>
                <w:position w:val="-1"/>
                <w:sz w:val="18"/>
                <w:szCs w:val="18"/>
              </w:rPr>
              <w:t>自动</w:t>
            </w:r>
            <w:r>
              <w:rPr>
                <w:spacing w:val="16"/>
                <w:position w:val="-1"/>
                <w:sz w:val="18"/>
                <w:szCs w:val="18"/>
              </w:rPr>
              <w:t xml:space="preserve"> </w:t>
            </w:r>
            <w:r>
              <w:rPr>
                <w:rFonts w:ascii="微软雅黑" w:hAnsi="微软雅黑" w:eastAsia="微软雅黑" w:cs="微软雅黑"/>
                <w:spacing w:val="-9"/>
                <w:position w:val="-1"/>
                <w:sz w:val="18"/>
                <w:szCs w:val="18"/>
              </w:rPr>
              <w:t>□</w:t>
            </w:r>
            <w:r>
              <w:rPr>
                <w:rFonts w:ascii="微软雅黑" w:hAnsi="微软雅黑" w:eastAsia="微软雅黑" w:cs="微软雅黑"/>
                <w:spacing w:val="-30"/>
                <w:position w:val="-1"/>
                <w:sz w:val="18"/>
                <w:szCs w:val="18"/>
              </w:rPr>
              <w:t xml:space="preserve"> </w:t>
            </w:r>
            <w:r>
              <w:rPr>
                <w:spacing w:val="-9"/>
                <w:position w:val="-1"/>
                <w:sz w:val="18"/>
                <w:szCs w:val="18"/>
              </w:rPr>
              <w:t>;</w:t>
            </w:r>
            <w:r>
              <w:rPr>
                <w:spacing w:val="51"/>
                <w:position w:val="-1"/>
                <w:sz w:val="18"/>
                <w:szCs w:val="18"/>
              </w:rPr>
              <w:t xml:space="preserve"> </w:t>
            </w:r>
            <w:r>
              <w:rPr>
                <w:spacing w:val="-9"/>
                <w:position w:val="-1"/>
                <w:sz w:val="18"/>
                <w:szCs w:val="18"/>
              </w:rPr>
              <w:t>无检测</w:t>
            </w:r>
            <w:r>
              <w:rPr>
                <w:spacing w:val="13"/>
                <w:position w:val="-1"/>
                <w:sz w:val="18"/>
                <w:szCs w:val="18"/>
              </w:rPr>
              <w:t xml:space="preserve"> </w:t>
            </w:r>
            <w:r>
              <w:rPr>
                <w:rFonts w:ascii="微软雅黑" w:hAnsi="微软雅黑" w:eastAsia="微软雅黑" w:cs="微软雅黑"/>
                <w:spacing w:val="-9"/>
                <w:position w:val="-1"/>
                <w:sz w:val="18"/>
                <w:szCs w:val="18"/>
              </w:rPr>
              <w:t>□</w:t>
            </w:r>
          </w:p>
        </w:tc>
      </w:tr>
      <w:tr w14:paraId="089290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20F31BD4">
            <w:pPr>
              <w:rPr>
                <w:rFonts w:ascii="Arial"/>
                <w:sz w:val="21"/>
              </w:rPr>
            </w:pPr>
          </w:p>
        </w:tc>
        <w:tc>
          <w:tcPr>
            <w:tcW w:w="1434" w:type="dxa"/>
            <w:vMerge w:val="continue"/>
            <w:tcBorders>
              <w:top w:val="nil"/>
              <w:bottom w:val="nil"/>
            </w:tcBorders>
            <w:vAlign w:val="top"/>
          </w:tcPr>
          <w:p w14:paraId="464CAB2C">
            <w:pPr>
              <w:rPr>
                <w:rFonts w:ascii="Arial"/>
                <w:sz w:val="21"/>
              </w:rPr>
            </w:pPr>
          </w:p>
        </w:tc>
        <w:tc>
          <w:tcPr>
            <w:tcW w:w="1915" w:type="dxa"/>
            <w:gridSpan w:val="2"/>
            <w:vAlign w:val="top"/>
          </w:tcPr>
          <w:p w14:paraId="0C2EDA5E">
            <w:pPr>
              <w:pStyle w:val="6"/>
              <w:spacing w:before="49" w:line="183" w:lineRule="auto"/>
              <w:ind w:left="598"/>
              <w:rPr>
                <w:sz w:val="18"/>
                <w:szCs w:val="18"/>
              </w:rPr>
            </w:pPr>
            <w:r>
              <w:rPr>
                <w:spacing w:val="-2"/>
                <w:sz w:val="18"/>
                <w:szCs w:val="18"/>
              </w:rPr>
              <w:t>监测点位</w:t>
            </w:r>
          </w:p>
        </w:tc>
        <w:tc>
          <w:tcPr>
            <w:tcW w:w="2684" w:type="dxa"/>
            <w:gridSpan w:val="4"/>
            <w:vAlign w:val="top"/>
          </w:tcPr>
          <w:p w14:paraId="4A822894">
            <w:pPr>
              <w:pStyle w:val="6"/>
              <w:spacing w:before="49" w:line="183" w:lineRule="auto"/>
              <w:ind w:left="995"/>
              <w:rPr>
                <w:sz w:val="18"/>
                <w:szCs w:val="18"/>
              </w:rPr>
            </w:pPr>
            <w:r>
              <w:rPr>
                <w:spacing w:val="-15"/>
                <w:w w:val="95"/>
                <w:sz w:val="18"/>
                <w:szCs w:val="18"/>
              </w:rPr>
              <w:t>(</w:t>
            </w:r>
            <w:r>
              <w:rPr>
                <w:spacing w:val="8"/>
                <w:sz w:val="18"/>
                <w:szCs w:val="18"/>
              </w:rPr>
              <w:t xml:space="preserve">      </w:t>
            </w:r>
            <w:r>
              <w:rPr>
                <w:spacing w:val="-15"/>
                <w:w w:val="95"/>
                <w:sz w:val="18"/>
                <w:szCs w:val="18"/>
              </w:rPr>
              <w:t>)</w:t>
            </w:r>
          </w:p>
        </w:tc>
        <w:tc>
          <w:tcPr>
            <w:tcW w:w="2691" w:type="dxa"/>
            <w:gridSpan w:val="3"/>
            <w:tcBorders>
              <w:right w:val="single" w:color="000000" w:sz="10" w:space="0"/>
            </w:tcBorders>
            <w:vAlign w:val="top"/>
          </w:tcPr>
          <w:p w14:paraId="155BBCAD">
            <w:pPr>
              <w:pStyle w:val="6"/>
              <w:spacing w:before="49" w:line="183" w:lineRule="auto"/>
              <w:ind w:left="992"/>
              <w:rPr>
                <w:sz w:val="18"/>
                <w:szCs w:val="18"/>
              </w:rPr>
            </w:pPr>
            <w:r>
              <w:rPr>
                <w:spacing w:val="-15"/>
                <w:w w:val="95"/>
                <w:sz w:val="18"/>
                <w:szCs w:val="18"/>
              </w:rPr>
              <w:t>(</w:t>
            </w:r>
            <w:r>
              <w:rPr>
                <w:spacing w:val="8"/>
                <w:sz w:val="18"/>
                <w:szCs w:val="18"/>
              </w:rPr>
              <w:t xml:space="preserve">      </w:t>
            </w:r>
            <w:r>
              <w:rPr>
                <w:spacing w:val="-15"/>
                <w:w w:val="95"/>
                <w:sz w:val="18"/>
                <w:szCs w:val="18"/>
              </w:rPr>
              <w:t>)</w:t>
            </w:r>
          </w:p>
        </w:tc>
      </w:tr>
      <w:tr w14:paraId="243971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378" w:type="dxa"/>
            <w:vMerge w:val="continue"/>
            <w:tcBorders>
              <w:top w:val="nil"/>
              <w:left w:val="single" w:color="000000" w:sz="10" w:space="0"/>
              <w:bottom w:val="nil"/>
            </w:tcBorders>
            <w:textDirection w:val="tbRlV"/>
            <w:vAlign w:val="top"/>
          </w:tcPr>
          <w:p w14:paraId="38B84DBE">
            <w:pPr>
              <w:rPr>
                <w:rFonts w:ascii="Arial"/>
                <w:sz w:val="21"/>
              </w:rPr>
            </w:pPr>
          </w:p>
        </w:tc>
        <w:tc>
          <w:tcPr>
            <w:tcW w:w="1434" w:type="dxa"/>
            <w:vMerge w:val="continue"/>
            <w:tcBorders>
              <w:top w:val="nil"/>
            </w:tcBorders>
            <w:vAlign w:val="top"/>
          </w:tcPr>
          <w:p w14:paraId="16C939B5">
            <w:pPr>
              <w:rPr>
                <w:rFonts w:ascii="Arial"/>
                <w:sz w:val="21"/>
              </w:rPr>
            </w:pPr>
          </w:p>
        </w:tc>
        <w:tc>
          <w:tcPr>
            <w:tcW w:w="1915" w:type="dxa"/>
            <w:gridSpan w:val="2"/>
            <w:vAlign w:val="top"/>
          </w:tcPr>
          <w:p w14:paraId="30746A96">
            <w:pPr>
              <w:pStyle w:val="6"/>
              <w:spacing w:before="51" w:line="181" w:lineRule="auto"/>
              <w:ind w:left="598"/>
              <w:rPr>
                <w:sz w:val="18"/>
                <w:szCs w:val="18"/>
              </w:rPr>
            </w:pPr>
            <w:r>
              <w:rPr>
                <w:spacing w:val="-2"/>
                <w:sz w:val="18"/>
                <w:szCs w:val="18"/>
              </w:rPr>
              <w:t>监测因子</w:t>
            </w:r>
          </w:p>
        </w:tc>
        <w:tc>
          <w:tcPr>
            <w:tcW w:w="2684" w:type="dxa"/>
            <w:gridSpan w:val="4"/>
            <w:vAlign w:val="top"/>
          </w:tcPr>
          <w:p w14:paraId="4656AEF1">
            <w:pPr>
              <w:pStyle w:val="6"/>
              <w:spacing w:before="51" w:line="181" w:lineRule="auto"/>
              <w:ind w:left="995"/>
              <w:rPr>
                <w:sz w:val="18"/>
                <w:szCs w:val="18"/>
              </w:rPr>
            </w:pPr>
            <w:r>
              <w:rPr>
                <w:spacing w:val="-15"/>
                <w:w w:val="95"/>
                <w:sz w:val="18"/>
                <w:szCs w:val="18"/>
              </w:rPr>
              <w:t>(</w:t>
            </w:r>
            <w:r>
              <w:rPr>
                <w:spacing w:val="8"/>
                <w:sz w:val="18"/>
                <w:szCs w:val="18"/>
              </w:rPr>
              <w:t xml:space="preserve">      </w:t>
            </w:r>
            <w:r>
              <w:rPr>
                <w:spacing w:val="-15"/>
                <w:w w:val="95"/>
                <w:sz w:val="18"/>
                <w:szCs w:val="18"/>
              </w:rPr>
              <w:t>)</w:t>
            </w:r>
          </w:p>
        </w:tc>
        <w:tc>
          <w:tcPr>
            <w:tcW w:w="2691" w:type="dxa"/>
            <w:gridSpan w:val="3"/>
            <w:tcBorders>
              <w:right w:val="single" w:color="000000" w:sz="10" w:space="0"/>
            </w:tcBorders>
            <w:vAlign w:val="top"/>
          </w:tcPr>
          <w:p w14:paraId="191618C9">
            <w:pPr>
              <w:pStyle w:val="6"/>
              <w:spacing w:before="51" w:line="181" w:lineRule="auto"/>
              <w:ind w:left="992"/>
              <w:rPr>
                <w:sz w:val="18"/>
                <w:szCs w:val="18"/>
              </w:rPr>
            </w:pPr>
            <w:r>
              <w:rPr>
                <w:spacing w:val="-15"/>
                <w:w w:val="95"/>
                <w:sz w:val="18"/>
                <w:szCs w:val="18"/>
              </w:rPr>
              <w:t>(</w:t>
            </w:r>
            <w:r>
              <w:rPr>
                <w:spacing w:val="8"/>
                <w:sz w:val="18"/>
                <w:szCs w:val="18"/>
              </w:rPr>
              <w:t xml:space="preserve">      </w:t>
            </w:r>
            <w:r>
              <w:rPr>
                <w:spacing w:val="-15"/>
                <w:w w:val="95"/>
                <w:sz w:val="18"/>
                <w:szCs w:val="18"/>
              </w:rPr>
              <w:t>)</w:t>
            </w:r>
          </w:p>
        </w:tc>
      </w:tr>
      <w:tr w14:paraId="08B4EF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7" w:hRule="atLeast"/>
        </w:trPr>
        <w:tc>
          <w:tcPr>
            <w:tcW w:w="378" w:type="dxa"/>
            <w:vMerge w:val="continue"/>
            <w:tcBorders>
              <w:top w:val="nil"/>
              <w:left w:val="single" w:color="000000" w:sz="10" w:space="0"/>
            </w:tcBorders>
            <w:textDirection w:val="tbRlV"/>
            <w:vAlign w:val="top"/>
          </w:tcPr>
          <w:p w14:paraId="13A0EE9C">
            <w:pPr>
              <w:rPr>
                <w:rFonts w:ascii="Arial"/>
                <w:sz w:val="21"/>
              </w:rPr>
            </w:pPr>
          </w:p>
        </w:tc>
        <w:tc>
          <w:tcPr>
            <w:tcW w:w="1434" w:type="dxa"/>
            <w:vAlign w:val="top"/>
          </w:tcPr>
          <w:p w14:paraId="6211D4FD">
            <w:pPr>
              <w:pStyle w:val="6"/>
              <w:spacing w:before="50" w:line="181" w:lineRule="auto"/>
              <w:ind w:left="84"/>
              <w:rPr>
                <w:sz w:val="18"/>
                <w:szCs w:val="18"/>
              </w:rPr>
            </w:pPr>
            <w:r>
              <w:rPr>
                <w:spacing w:val="-2"/>
                <w:sz w:val="18"/>
                <w:szCs w:val="18"/>
              </w:rPr>
              <w:t>污染物排放清单</w:t>
            </w:r>
          </w:p>
        </w:tc>
        <w:tc>
          <w:tcPr>
            <w:tcW w:w="7290" w:type="dxa"/>
            <w:gridSpan w:val="9"/>
            <w:tcBorders>
              <w:right w:val="single" w:color="000000" w:sz="10" w:space="0"/>
            </w:tcBorders>
            <w:vAlign w:val="top"/>
          </w:tcPr>
          <w:p w14:paraId="3CF936E2">
            <w:pPr>
              <w:spacing w:before="55" w:line="172" w:lineRule="exact"/>
              <w:ind w:left="10"/>
              <w:rPr>
                <w:rFonts w:ascii="微软雅黑" w:hAnsi="微软雅黑" w:eastAsia="微软雅黑" w:cs="微软雅黑"/>
                <w:sz w:val="18"/>
                <w:szCs w:val="18"/>
              </w:rPr>
            </w:pPr>
            <w:r>
              <w:rPr>
                <w:rFonts w:ascii="微软雅黑" w:hAnsi="微软雅黑" w:eastAsia="微软雅黑" w:cs="微软雅黑"/>
                <w:position w:val="-1"/>
                <w:sz w:val="18"/>
                <w:szCs w:val="18"/>
              </w:rPr>
              <w:t>四</w:t>
            </w:r>
          </w:p>
        </w:tc>
      </w:tr>
      <w:tr w14:paraId="40928E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1812" w:type="dxa"/>
            <w:gridSpan w:val="2"/>
            <w:tcBorders>
              <w:left w:val="single" w:color="000000" w:sz="10" w:space="0"/>
            </w:tcBorders>
            <w:vAlign w:val="top"/>
          </w:tcPr>
          <w:p w14:paraId="07B4CEE1">
            <w:pPr>
              <w:pStyle w:val="6"/>
              <w:spacing w:before="50" w:line="182" w:lineRule="auto"/>
              <w:ind w:left="541"/>
              <w:rPr>
                <w:sz w:val="18"/>
                <w:szCs w:val="18"/>
              </w:rPr>
            </w:pPr>
            <w:r>
              <w:rPr>
                <w:spacing w:val="-2"/>
                <w:sz w:val="18"/>
                <w:szCs w:val="18"/>
              </w:rPr>
              <w:t>评价结论</w:t>
            </w:r>
          </w:p>
        </w:tc>
        <w:tc>
          <w:tcPr>
            <w:tcW w:w="7290" w:type="dxa"/>
            <w:gridSpan w:val="9"/>
            <w:tcBorders>
              <w:right w:val="single" w:color="000000" w:sz="10" w:space="0"/>
            </w:tcBorders>
            <w:vAlign w:val="top"/>
          </w:tcPr>
          <w:p w14:paraId="4DBD2F3A">
            <w:pPr>
              <w:pStyle w:val="6"/>
              <w:spacing w:before="50" w:line="177" w:lineRule="exact"/>
              <w:ind w:left="4"/>
              <w:rPr>
                <w:sz w:val="18"/>
                <w:szCs w:val="18"/>
              </w:rPr>
            </w:pPr>
            <w:r>
              <w:rPr>
                <w:spacing w:val="-1"/>
                <w:position w:val="-1"/>
                <w:sz w:val="18"/>
                <w:szCs w:val="18"/>
              </w:rPr>
              <w:t xml:space="preserve">可以接受 </w:t>
            </w:r>
            <w:r>
              <w:rPr>
                <w:rFonts w:ascii="微软雅黑" w:hAnsi="微软雅黑" w:eastAsia="微软雅黑" w:cs="微软雅黑"/>
                <w:spacing w:val="-1"/>
                <w:position w:val="-1"/>
                <w:sz w:val="18"/>
                <w:szCs w:val="18"/>
              </w:rPr>
              <w:t>四</w:t>
            </w:r>
            <w:r>
              <w:rPr>
                <w:spacing w:val="-1"/>
                <w:position w:val="-1"/>
                <w:sz w:val="18"/>
                <w:szCs w:val="18"/>
              </w:rPr>
              <w:t>；不可以接受</w:t>
            </w:r>
            <w:r>
              <w:rPr>
                <w:spacing w:val="28"/>
                <w:position w:val="-1"/>
                <w:sz w:val="18"/>
                <w:szCs w:val="18"/>
              </w:rPr>
              <w:t xml:space="preserve"> </w:t>
            </w:r>
            <w:r>
              <w:rPr>
                <w:rFonts w:ascii="微软雅黑" w:hAnsi="微软雅黑" w:eastAsia="微软雅黑" w:cs="微软雅黑"/>
                <w:spacing w:val="-1"/>
                <w:position w:val="-1"/>
                <w:sz w:val="18"/>
                <w:szCs w:val="18"/>
              </w:rPr>
              <w:t>□</w:t>
            </w:r>
            <w:r>
              <w:rPr>
                <w:rFonts w:ascii="微软雅黑" w:hAnsi="微软雅黑" w:eastAsia="微软雅黑" w:cs="微软雅黑"/>
                <w:spacing w:val="-33"/>
                <w:position w:val="-1"/>
                <w:sz w:val="18"/>
                <w:szCs w:val="18"/>
              </w:rPr>
              <w:t xml:space="preserve"> </w:t>
            </w:r>
            <w:r>
              <w:rPr>
                <w:spacing w:val="-1"/>
                <w:position w:val="-1"/>
                <w:sz w:val="18"/>
                <w:szCs w:val="18"/>
              </w:rPr>
              <w:t>;</w:t>
            </w:r>
          </w:p>
        </w:tc>
      </w:tr>
      <w:tr w14:paraId="6B030A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2" w:hRule="atLeast"/>
        </w:trPr>
        <w:tc>
          <w:tcPr>
            <w:tcW w:w="9102" w:type="dxa"/>
            <w:gridSpan w:val="11"/>
            <w:tcBorders>
              <w:left w:val="single" w:color="000000" w:sz="10" w:space="0"/>
              <w:bottom w:val="single" w:color="000000" w:sz="10" w:space="0"/>
              <w:right w:val="single" w:color="000000" w:sz="10" w:space="0"/>
            </w:tcBorders>
            <w:vAlign w:val="top"/>
          </w:tcPr>
          <w:p w14:paraId="7F1BD16E">
            <w:pPr>
              <w:pStyle w:val="6"/>
              <w:spacing w:before="17" w:line="182" w:lineRule="auto"/>
              <w:ind w:left="1567"/>
              <w:rPr>
                <w:sz w:val="18"/>
                <w:szCs w:val="18"/>
              </w:rPr>
            </w:pPr>
            <w:r>
              <w:rPr>
                <w:spacing w:val="-4"/>
                <w:sz w:val="18"/>
                <w:szCs w:val="18"/>
              </w:rPr>
              <w:t>注：</w:t>
            </w:r>
            <w:r>
              <w:rPr>
                <w:rFonts w:ascii="Times New Roman" w:hAnsi="Times New Roman" w:eastAsia="Times New Roman" w:cs="Times New Roman"/>
                <w:spacing w:val="-4"/>
                <w:sz w:val="18"/>
                <w:szCs w:val="18"/>
              </w:rPr>
              <w:t>ℼ</w:t>
            </w:r>
            <w:r>
              <w:rPr>
                <w:rFonts w:ascii="Times New Roman" w:hAnsi="Times New Roman" w:eastAsia="Times New Roman" w:cs="Times New Roman"/>
                <w:spacing w:val="-16"/>
                <w:sz w:val="18"/>
                <w:szCs w:val="18"/>
              </w:rPr>
              <w:t xml:space="preserve"> </w:t>
            </w:r>
            <w:r>
              <w:rPr>
                <w:rFonts w:ascii="微软雅黑" w:hAnsi="微软雅黑" w:eastAsia="微软雅黑" w:cs="微软雅黑"/>
                <w:spacing w:val="-4"/>
                <w:sz w:val="18"/>
                <w:szCs w:val="18"/>
              </w:rPr>
              <w:t>□</w:t>
            </w:r>
            <w:r>
              <w:rPr>
                <w:rFonts w:ascii="Times New Roman" w:hAnsi="Times New Roman" w:eastAsia="Times New Roman" w:cs="Times New Roman"/>
                <w:spacing w:val="-4"/>
                <w:sz w:val="18"/>
                <w:szCs w:val="18"/>
              </w:rPr>
              <w:t>”</w:t>
            </w:r>
            <w:r>
              <w:rPr>
                <w:spacing w:val="-4"/>
                <w:sz w:val="18"/>
                <w:szCs w:val="18"/>
              </w:rPr>
              <w:t>为勾选项，可</w:t>
            </w:r>
            <w:r>
              <w:rPr>
                <w:rFonts w:ascii="Times New Roman" w:hAnsi="Times New Roman" w:eastAsia="Times New Roman" w:cs="Times New Roman"/>
                <w:spacing w:val="-4"/>
                <w:sz w:val="18"/>
                <w:szCs w:val="18"/>
              </w:rPr>
              <w:t>√</w:t>
            </w:r>
            <w:r>
              <w:rPr>
                <w:rFonts w:ascii="Times New Roman" w:hAnsi="Times New Roman" w:eastAsia="Times New Roman" w:cs="Times New Roman"/>
                <w:spacing w:val="-23"/>
                <w:sz w:val="18"/>
                <w:szCs w:val="18"/>
              </w:rPr>
              <w:t xml:space="preserve"> </w:t>
            </w:r>
            <w:r>
              <w:rPr>
                <w:spacing w:val="-4"/>
                <w:sz w:val="18"/>
                <w:szCs w:val="18"/>
              </w:rPr>
              <w:t>;</w:t>
            </w:r>
            <w:r>
              <w:rPr>
                <w:spacing w:val="48"/>
                <w:sz w:val="18"/>
                <w:szCs w:val="18"/>
              </w:rPr>
              <w:t xml:space="preserve"> </w:t>
            </w:r>
            <w:r>
              <w:rPr>
                <w:rFonts w:ascii="Times New Roman" w:hAnsi="Times New Roman" w:eastAsia="Times New Roman" w:cs="Times New Roman"/>
                <w:spacing w:val="-4"/>
                <w:sz w:val="18"/>
                <w:szCs w:val="18"/>
              </w:rPr>
              <w:t xml:space="preserve">ℼ  </w:t>
            </w:r>
            <w:r>
              <w:rPr>
                <w:spacing w:val="-4"/>
                <w:sz w:val="18"/>
                <w:szCs w:val="18"/>
              </w:rPr>
              <w:t>(</w:t>
            </w:r>
            <w:r>
              <w:rPr>
                <w:spacing w:val="26"/>
                <w:sz w:val="18"/>
                <w:szCs w:val="18"/>
              </w:rPr>
              <w:t xml:space="preserve">  </w:t>
            </w:r>
            <w:r>
              <w:rPr>
                <w:spacing w:val="-4"/>
                <w:sz w:val="18"/>
                <w:szCs w:val="18"/>
              </w:rPr>
              <w:t xml:space="preserve">) </w:t>
            </w:r>
            <w:r>
              <w:rPr>
                <w:rFonts w:ascii="Times New Roman" w:hAnsi="Times New Roman" w:eastAsia="Times New Roman" w:cs="Times New Roman"/>
                <w:spacing w:val="-4"/>
                <w:sz w:val="18"/>
                <w:szCs w:val="18"/>
              </w:rPr>
              <w:t>ℽ</w:t>
            </w:r>
            <w:r>
              <w:rPr>
                <w:spacing w:val="-4"/>
                <w:sz w:val="18"/>
                <w:szCs w:val="18"/>
              </w:rPr>
              <w:t>为内容填写项：</w:t>
            </w:r>
            <w:r>
              <w:rPr>
                <w:rFonts w:ascii="Times New Roman" w:hAnsi="Times New Roman" w:eastAsia="Times New Roman" w:cs="Times New Roman"/>
                <w:spacing w:val="-4"/>
                <w:sz w:val="18"/>
                <w:szCs w:val="18"/>
              </w:rPr>
              <w:t>“</w:t>
            </w:r>
            <w:r>
              <w:rPr>
                <w:spacing w:val="-4"/>
                <w:sz w:val="18"/>
                <w:szCs w:val="18"/>
              </w:rPr>
              <w:t>备注</w:t>
            </w:r>
            <w:r>
              <w:rPr>
                <w:rFonts w:ascii="Times New Roman" w:hAnsi="Times New Roman" w:eastAsia="Times New Roman" w:cs="Times New Roman"/>
                <w:spacing w:val="-4"/>
                <w:sz w:val="18"/>
                <w:szCs w:val="18"/>
              </w:rPr>
              <w:t>”</w:t>
            </w:r>
            <w:r>
              <w:rPr>
                <w:spacing w:val="-4"/>
                <w:sz w:val="18"/>
                <w:szCs w:val="18"/>
              </w:rPr>
              <w:t>为其他补充内容。</w:t>
            </w:r>
          </w:p>
        </w:tc>
      </w:tr>
    </w:tbl>
    <w:p w14:paraId="57BEF5E2">
      <w:pPr>
        <w:spacing w:before="48" w:line="227" w:lineRule="auto"/>
        <w:ind w:left="32"/>
        <w:outlineLvl w:val="1"/>
        <w:rPr>
          <w:rFonts w:ascii="黑体" w:hAnsi="黑体" w:eastAsia="黑体" w:cs="黑体"/>
          <w:sz w:val="31"/>
          <w:szCs w:val="31"/>
        </w:rPr>
      </w:pPr>
      <w:bookmarkStart w:id="370" w:name="bookmark208"/>
      <w:bookmarkEnd w:id="370"/>
      <w:r>
        <w:rPr>
          <w:rFonts w:ascii="Times New Roman" w:hAnsi="Times New Roman" w:eastAsia="Times New Roman" w:cs="Times New Roman"/>
          <w:spacing w:val="8"/>
          <w:sz w:val="31"/>
          <w:szCs w:val="31"/>
        </w:rPr>
        <w:t xml:space="preserve">4.3 </w:t>
      </w:r>
      <w:r>
        <w:rPr>
          <w:rFonts w:ascii="黑体" w:hAnsi="黑体" w:eastAsia="黑体" w:cs="黑体"/>
          <w:spacing w:val="8"/>
          <w:sz w:val="31"/>
          <w:szCs w:val="31"/>
        </w:rPr>
        <w:t>地下水环境影响分析与评价</w:t>
      </w:r>
    </w:p>
    <w:p w14:paraId="075651B6">
      <w:pPr>
        <w:spacing w:before="236" w:line="222" w:lineRule="auto"/>
        <w:ind w:left="32"/>
        <w:outlineLvl w:val="2"/>
        <w:rPr>
          <w:rFonts w:ascii="黑体" w:hAnsi="黑体" w:eastAsia="黑体" w:cs="黑体"/>
          <w:sz w:val="30"/>
          <w:szCs w:val="30"/>
        </w:rPr>
      </w:pPr>
      <w:bookmarkStart w:id="371" w:name="bookmark210"/>
      <w:bookmarkEnd w:id="371"/>
      <w:r>
        <w:rPr>
          <w:rFonts w:ascii="Times New Roman" w:hAnsi="Times New Roman" w:eastAsia="Times New Roman" w:cs="Times New Roman"/>
          <w:spacing w:val="-1"/>
          <w:sz w:val="30"/>
          <w:szCs w:val="30"/>
        </w:rPr>
        <w:t xml:space="preserve">4.3.1 </w:t>
      </w:r>
      <w:r>
        <w:rPr>
          <w:rFonts w:ascii="黑体" w:hAnsi="黑体" w:eastAsia="黑体" w:cs="黑体"/>
          <w:spacing w:val="-1"/>
          <w:sz w:val="30"/>
          <w:szCs w:val="30"/>
        </w:rPr>
        <w:t>环境水文地质条件</w:t>
      </w:r>
    </w:p>
    <w:p w14:paraId="5C6D649C">
      <w:pPr>
        <w:spacing w:before="214" w:line="222" w:lineRule="auto"/>
        <w:ind w:left="31"/>
        <w:outlineLvl w:val="3"/>
        <w:rPr>
          <w:rFonts w:ascii="黑体" w:hAnsi="黑体" w:eastAsia="黑体" w:cs="黑体"/>
          <w:sz w:val="24"/>
          <w:szCs w:val="24"/>
        </w:rPr>
      </w:pPr>
      <w:r>
        <w:fldChar w:fldCharType="begin"/>
      </w:r>
      <w:r>
        <w:instrText xml:space="preserve"> HYPERLINK "4.3.1.1" </w:instrText>
      </w:r>
      <w:r>
        <w:fldChar w:fldCharType="separate"/>
      </w:r>
      <w:r>
        <w:rPr>
          <w:rFonts w:ascii="Times New Roman" w:hAnsi="Times New Roman" w:eastAsia="Times New Roman" w:cs="Times New Roman"/>
          <w:spacing w:val="-1"/>
          <w:sz w:val="24"/>
          <w:szCs w:val="24"/>
        </w:rPr>
        <w:t>4.3.1.1</w:t>
      </w:r>
      <w:r>
        <w:rPr>
          <w:rFonts w:ascii="Times New Roman" w:hAnsi="Times New Roman" w:eastAsia="Times New Roman" w:cs="Times New Roman"/>
          <w:spacing w:val="-1"/>
          <w:sz w:val="24"/>
          <w:szCs w:val="24"/>
        </w:rPr>
        <w:fldChar w:fldCharType="end"/>
      </w:r>
      <w:r>
        <w:rPr>
          <w:rFonts w:ascii="Times New Roman" w:hAnsi="Times New Roman" w:eastAsia="Times New Roman" w:cs="Times New Roman"/>
          <w:spacing w:val="-1"/>
          <w:sz w:val="24"/>
          <w:szCs w:val="24"/>
        </w:rPr>
        <w:t xml:space="preserve"> </w:t>
      </w:r>
      <w:r>
        <w:rPr>
          <w:rFonts w:ascii="黑体" w:hAnsi="黑体" w:eastAsia="黑体" w:cs="黑体"/>
          <w:spacing w:val="-1"/>
          <w:sz w:val="24"/>
          <w:szCs w:val="24"/>
        </w:rPr>
        <w:t>水文地质调查</w:t>
      </w:r>
    </w:p>
    <w:p w14:paraId="1AF1DBD0">
      <w:pPr>
        <w:spacing w:before="178" w:line="352" w:lineRule="auto"/>
        <w:ind w:left="36" w:firstLine="484"/>
        <w:jc w:val="both"/>
        <w:rPr>
          <w:rFonts w:ascii="宋体" w:hAnsi="宋体" w:eastAsia="宋体" w:cs="宋体"/>
          <w:sz w:val="24"/>
          <w:szCs w:val="24"/>
        </w:rPr>
      </w:pPr>
      <w:r>
        <w:rPr>
          <w:rFonts w:ascii="宋体" w:hAnsi="宋体" w:eastAsia="宋体" w:cs="宋体"/>
          <w:spacing w:val="-1"/>
          <w:sz w:val="24"/>
          <w:szCs w:val="24"/>
        </w:rPr>
        <w:t>苏尼特右旗由于深居内陆，地处高原、缺乏各种形态的地表水。有诺尔（即湖泊）</w:t>
      </w:r>
      <w:r>
        <w:rPr>
          <w:rFonts w:ascii="宋体" w:hAnsi="宋体" w:eastAsia="宋体" w:cs="宋体"/>
          <w:spacing w:val="4"/>
          <w:sz w:val="24"/>
          <w:szCs w:val="24"/>
        </w:rPr>
        <w:t xml:space="preserve"> </w:t>
      </w:r>
      <w:r>
        <w:rPr>
          <w:rFonts w:ascii="Times New Roman" w:hAnsi="Times New Roman" w:eastAsia="Times New Roman" w:cs="Times New Roman"/>
          <w:spacing w:val="-3"/>
          <w:sz w:val="24"/>
          <w:szCs w:val="24"/>
        </w:rPr>
        <w:t>300</w:t>
      </w:r>
      <w:r>
        <w:rPr>
          <w:rFonts w:ascii="宋体" w:hAnsi="宋体" w:eastAsia="宋体" w:cs="宋体"/>
          <w:spacing w:val="-3"/>
          <w:sz w:val="24"/>
          <w:szCs w:val="24"/>
        </w:rPr>
        <w:t>多处，但大多是雨季暂时存水，其他季节多处于干涸状态。南部山谷间虽有些河床，</w:t>
      </w:r>
      <w:r>
        <w:rPr>
          <w:rFonts w:ascii="宋体" w:hAnsi="宋体" w:eastAsia="宋体" w:cs="宋体"/>
          <w:spacing w:val="3"/>
          <w:sz w:val="24"/>
          <w:szCs w:val="24"/>
        </w:rPr>
        <w:t xml:space="preserve"> </w:t>
      </w:r>
      <w:r>
        <w:rPr>
          <w:rFonts w:ascii="宋体" w:hAnsi="宋体" w:eastAsia="宋体" w:cs="宋体"/>
          <w:spacing w:val="-2"/>
          <w:sz w:val="24"/>
          <w:szCs w:val="24"/>
        </w:rPr>
        <w:t>除雨季会出现洪水外，其他时间无水或水少。地下水位深、贮量少，其流向与整个地势</w:t>
      </w:r>
      <w:r>
        <w:rPr>
          <w:rFonts w:ascii="宋体" w:hAnsi="宋体" w:eastAsia="宋体" w:cs="宋体"/>
          <w:spacing w:val="17"/>
          <w:sz w:val="24"/>
          <w:szCs w:val="24"/>
        </w:rPr>
        <w:t xml:space="preserve"> </w:t>
      </w:r>
      <w:r>
        <w:rPr>
          <w:rFonts w:ascii="宋体" w:hAnsi="宋体" w:eastAsia="宋体" w:cs="宋体"/>
          <w:spacing w:val="-1"/>
          <w:sz w:val="24"/>
          <w:szCs w:val="24"/>
        </w:rPr>
        <w:t>相一致，含水层埋藏深度从南向北由深至浅，降水少，地表水</w:t>
      </w:r>
      <w:r>
        <w:rPr>
          <w:rFonts w:ascii="宋体" w:hAnsi="宋体" w:eastAsia="宋体" w:cs="宋体"/>
          <w:spacing w:val="-2"/>
          <w:sz w:val="24"/>
          <w:szCs w:val="24"/>
        </w:rPr>
        <w:t>贫乏，地下水不稳定，深</w:t>
      </w:r>
    </w:p>
    <w:p w14:paraId="5F716703">
      <w:pPr>
        <w:spacing w:line="352" w:lineRule="auto"/>
        <w:rPr>
          <w:rFonts w:ascii="宋体" w:hAnsi="宋体" w:eastAsia="宋体" w:cs="宋体"/>
          <w:sz w:val="24"/>
          <w:szCs w:val="24"/>
        </w:rPr>
        <w:sectPr>
          <w:headerReference r:id="rId305" w:type="default"/>
          <w:footerReference r:id="rId306" w:type="default"/>
          <w:pgSz w:w="11905" w:h="16839"/>
          <w:pgMar w:top="1190" w:right="1355" w:bottom="1427" w:left="1388" w:header="882" w:footer="1265" w:gutter="0"/>
          <w:cols w:space="720" w:num="1"/>
        </w:sectPr>
      </w:pPr>
    </w:p>
    <w:p w14:paraId="6DDA82E1">
      <w:pPr>
        <w:spacing w:line="28" w:lineRule="exact"/>
      </w:pPr>
      <w:r>
        <w:pict>
          <v:shape id="_x0000_s1808" o:spid="_x0000_s1808" style="height:1.45pt;width:453.6pt;" fillcolor="#000000" filled="t" stroked="f" coordsize="9072,29" path="m0,0l9071,0,9071,28,0,28,0,0xe">
            <v:path/>
            <v:fill on="t" focussize="0,0"/>
            <v:stroke on="f"/>
            <v:imagedata o:title=""/>
            <o:lock v:ext="edit"/>
            <w10:wrap type="none"/>
            <w10:anchorlock/>
          </v:shape>
        </w:pict>
      </w:r>
    </w:p>
    <w:p w14:paraId="3D5AD122">
      <w:pPr>
        <w:spacing w:before="232" w:line="345" w:lineRule="auto"/>
        <w:ind w:left="10" w:right="61" w:hanging="2"/>
        <w:rPr>
          <w:rFonts w:ascii="宋体" w:hAnsi="宋体" w:eastAsia="宋体" w:cs="宋体"/>
          <w:sz w:val="24"/>
          <w:szCs w:val="24"/>
        </w:rPr>
      </w:pPr>
      <w:r>
        <w:rPr>
          <w:rFonts w:ascii="宋体" w:hAnsi="宋体" w:eastAsia="宋体" w:cs="宋体"/>
          <w:spacing w:val="-2"/>
          <w:sz w:val="24"/>
          <w:szCs w:val="24"/>
        </w:rPr>
        <w:t>层水开发困难，在一些地区形成缺水草场。境内无长年河流，地表水贫乏，地下水资源</w:t>
      </w:r>
      <w:r>
        <w:rPr>
          <w:rFonts w:ascii="宋体" w:hAnsi="宋体" w:eastAsia="宋体" w:cs="宋体"/>
          <w:spacing w:val="17"/>
          <w:sz w:val="24"/>
          <w:szCs w:val="24"/>
        </w:rPr>
        <w:t xml:space="preserve"> </w:t>
      </w:r>
      <w:r>
        <w:rPr>
          <w:rFonts w:ascii="宋体" w:hAnsi="宋体" w:eastAsia="宋体" w:cs="宋体"/>
          <w:spacing w:val="-2"/>
          <w:sz w:val="24"/>
          <w:szCs w:val="24"/>
        </w:rPr>
        <w:t>分布不均匀且埋藏较深。</w:t>
      </w:r>
    </w:p>
    <w:p w14:paraId="17CEA024">
      <w:pPr>
        <w:spacing w:before="38" w:line="350" w:lineRule="auto"/>
        <w:ind w:left="8" w:right="61" w:firstLine="479"/>
        <w:jc w:val="both"/>
        <w:rPr>
          <w:rFonts w:ascii="宋体" w:hAnsi="宋体" w:eastAsia="宋体" w:cs="宋体"/>
          <w:sz w:val="24"/>
          <w:szCs w:val="24"/>
        </w:rPr>
      </w:pPr>
      <w:r>
        <w:rPr>
          <w:rFonts w:ascii="宋体" w:hAnsi="宋体" w:eastAsia="宋体" w:cs="宋体"/>
          <w:spacing w:val="-2"/>
          <w:sz w:val="24"/>
          <w:szCs w:val="24"/>
        </w:rPr>
        <w:t>评价区位于近南北向延展的内蒙古北部高原之中段的二连盆地群，由于地下水的形</w:t>
      </w:r>
      <w:r>
        <w:rPr>
          <w:rFonts w:ascii="宋体" w:hAnsi="宋体" w:eastAsia="宋体" w:cs="宋体"/>
          <w:spacing w:val="14"/>
          <w:sz w:val="24"/>
          <w:szCs w:val="24"/>
        </w:rPr>
        <w:t xml:space="preserve"> </w:t>
      </w:r>
      <w:r>
        <w:rPr>
          <w:rFonts w:ascii="宋体" w:hAnsi="宋体" w:eastAsia="宋体" w:cs="宋体"/>
          <w:spacing w:val="-2"/>
          <w:sz w:val="24"/>
          <w:szCs w:val="24"/>
        </w:rPr>
        <w:t>成和分布，受到区域地质构造、岩性、地貌与地理环境条件和气候等不同程度的控制及</w:t>
      </w:r>
      <w:r>
        <w:rPr>
          <w:rFonts w:ascii="宋体" w:hAnsi="宋体" w:eastAsia="宋体" w:cs="宋体"/>
          <w:spacing w:val="17"/>
          <w:sz w:val="24"/>
          <w:szCs w:val="24"/>
        </w:rPr>
        <w:t xml:space="preserve"> </w:t>
      </w:r>
      <w:r>
        <w:rPr>
          <w:rFonts w:ascii="宋体" w:hAnsi="宋体" w:eastAsia="宋体" w:cs="宋体"/>
          <w:spacing w:val="-1"/>
          <w:sz w:val="24"/>
          <w:szCs w:val="24"/>
        </w:rPr>
        <w:t>影响，故区域水文地质条件于不同地段有着明显的差异。</w:t>
      </w:r>
    </w:p>
    <w:p w14:paraId="62499F04">
      <w:pPr>
        <w:spacing w:before="31" w:line="354" w:lineRule="auto"/>
        <w:ind w:left="10" w:firstLine="478"/>
        <w:jc w:val="both"/>
        <w:rPr>
          <w:rFonts w:ascii="宋体" w:hAnsi="宋体" w:eastAsia="宋体" w:cs="宋体"/>
          <w:sz w:val="24"/>
          <w:szCs w:val="24"/>
        </w:rPr>
      </w:pPr>
      <w:r>
        <w:rPr>
          <w:rFonts w:ascii="宋体" w:hAnsi="宋体" w:eastAsia="宋体" w:cs="宋体"/>
          <w:spacing w:val="9"/>
          <w:sz w:val="24"/>
          <w:szCs w:val="24"/>
        </w:rPr>
        <w:t>根据《全国地下水资源及其环境问题调查评价技术要求》之</w:t>
      </w:r>
      <w:r>
        <w:rPr>
          <w:rFonts w:ascii="Times New Roman" w:hAnsi="Times New Roman" w:eastAsia="Times New Roman" w:cs="Times New Roman"/>
          <w:spacing w:val="9"/>
          <w:sz w:val="24"/>
          <w:szCs w:val="24"/>
        </w:rPr>
        <w:t>“</w:t>
      </w:r>
      <w:r>
        <w:rPr>
          <w:rFonts w:ascii="宋体" w:hAnsi="宋体" w:eastAsia="宋体" w:cs="宋体"/>
          <w:spacing w:val="9"/>
          <w:sz w:val="24"/>
          <w:szCs w:val="24"/>
        </w:rPr>
        <w:t>地下水系统划分导</w:t>
      </w:r>
      <w:r>
        <w:rPr>
          <w:rFonts w:ascii="宋体" w:hAnsi="宋体" w:eastAsia="宋体" w:cs="宋体"/>
          <w:sz w:val="24"/>
          <w:szCs w:val="24"/>
        </w:rPr>
        <w:t xml:space="preserve"> </w:t>
      </w:r>
      <w:r>
        <w:rPr>
          <w:rFonts w:ascii="宋体" w:hAnsi="宋体" w:eastAsia="宋体" w:cs="宋体"/>
          <w:spacing w:val="3"/>
          <w:sz w:val="24"/>
          <w:szCs w:val="24"/>
        </w:rPr>
        <w:t>则</w:t>
      </w:r>
      <w:r>
        <w:rPr>
          <w:rFonts w:ascii="Times New Roman" w:hAnsi="Times New Roman" w:eastAsia="Times New Roman" w:cs="Times New Roman"/>
          <w:spacing w:val="3"/>
          <w:sz w:val="24"/>
          <w:szCs w:val="24"/>
        </w:rPr>
        <w:t>”—</w:t>
      </w:r>
      <w:r>
        <w:rPr>
          <w:rFonts w:ascii="宋体" w:hAnsi="宋体" w:eastAsia="宋体" w:cs="宋体"/>
          <w:spacing w:val="3"/>
          <w:sz w:val="24"/>
          <w:szCs w:val="24"/>
        </w:rPr>
        <w:t>中国地下水系统划分初步方案以及内蒙古自</w:t>
      </w:r>
      <w:r>
        <w:rPr>
          <w:rFonts w:ascii="宋体" w:hAnsi="宋体" w:eastAsia="宋体" w:cs="宋体"/>
          <w:spacing w:val="2"/>
          <w:sz w:val="24"/>
          <w:szCs w:val="24"/>
        </w:rPr>
        <w:t>治区地下水勘查</w:t>
      </w:r>
      <w:r>
        <w:rPr>
          <w:rFonts w:ascii="Times New Roman" w:hAnsi="Times New Roman" w:eastAsia="Times New Roman" w:cs="Times New Roman"/>
          <w:spacing w:val="2"/>
          <w:sz w:val="24"/>
          <w:szCs w:val="24"/>
        </w:rPr>
        <w:t>“</w:t>
      </w:r>
      <w:r>
        <w:rPr>
          <w:rFonts w:ascii="宋体" w:hAnsi="宋体" w:eastAsia="宋体" w:cs="宋体"/>
          <w:spacing w:val="2"/>
          <w:sz w:val="24"/>
          <w:szCs w:val="24"/>
        </w:rPr>
        <w:t>十二五</w:t>
      </w:r>
      <w:r>
        <w:rPr>
          <w:rFonts w:ascii="Times New Roman" w:hAnsi="Times New Roman" w:eastAsia="Times New Roman" w:cs="Times New Roman"/>
          <w:spacing w:val="2"/>
          <w:sz w:val="24"/>
          <w:szCs w:val="24"/>
        </w:rPr>
        <w:t>”</w:t>
      </w:r>
      <w:r>
        <w:rPr>
          <w:rFonts w:ascii="宋体" w:hAnsi="宋体" w:eastAsia="宋体" w:cs="宋体"/>
          <w:spacing w:val="2"/>
          <w:sz w:val="24"/>
          <w:szCs w:val="24"/>
        </w:rPr>
        <w:t>规划执行情</w:t>
      </w:r>
      <w:r>
        <w:rPr>
          <w:rFonts w:ascii="宋体" w:hAnsi="宋体" w:eastAsia="宋体" w:cs="宋体"/>
          <w:sz w:val="24"/>
          <w:szCs w:val="24"/>
        </w:rPr>
        <w:t xml:space="preserve"> </w:t>
      </w:r>
      <w:r>
        <w:rPr>
          <w:rFonts w:ascii="宋体" w:hAnsi="宋体" w:eastAsia="宋体" w:cs="宋体"/>
          <w:spacing w:val="-2"/>
          <w:sz w:val="24"/>
          <w:szCs w:val="24"/>
        </w:rPr>
        <w:t>况及主要成果报告对地下水系统的划分：评价区范围属于蒙北高原地下</w:t>
      </w:r>
      <w:r>
        <w:rPr>
          <w:rFonts w:ascii="宋体" w:hAnsi="宋体" w:eastAsia="宋体" w:cs="宋体"/>
          <w:spacing w:val="-3"/>
          <w:sz w:val="24"/>
          <w:szCs w:val="24"/>
        </w:rPr>
        <w:t>水系统区（</w:t>
      </w:r>
      <w:r>
        <w:rPr>
          <w:rFonts w:ascii="Times New Roman" w:hAnsi="Times New Roman" w:eastAsia="Times New Roman" w:cs="Times New Roman"/>
          <w:spacing w:val="-3"/>
          <w:sz w:val="24"/>
          <w:szCs w:val="24"/>
        </w:rPr>
        <w:t>D</w:t>
      </w:r>
      <w:r>
        <w:rPr>
          <w:rFonts w:ascii="宋体" w:hAnsi="宋体" w:eastAsia="宋体" w:cs="宋体"/>
          <w:spacing w:val="-47"/>
          <w:sz w:val="24"/>
          <w:szCs w:val="24"/>
        </w:rPr>
        <w:t>），</w:t>
      </w:r>
      <w:r>
        <w:rPr>
          <w:rFonts w:ascii="宋体" w:hAnsi="宋体" w:eastAsia="宋体" w:cs="宋体"/>
          <w:spacing w:val="1"/>
          <w:sz w:val="24"/>
          <w:szCs w:val="24"/>
        </w:rPr>
        <w:t xml:space="preserve"> </w:t>
      </w:r>
      <w:r>
        <w:rPr>
          <w:rFonts w:ascii="宋体" w:hAnsi="宋体" w:eastAsia="宋体" w:cs="宋体"/>
          <w:sz w:val="24"/>
          <w:szCs w:val="24"/>
        </w:rPr>
        <w:t>内陆水系阴山北部高平原一级地下水系统区（</w:t>
      </w:r>
      <w:r>
        <w:rPr>
          <w:rFonts w:ascii="Times New Roman" w:hAnsi="Times New Roman" w:eastAsia="Times New Roman" w:cs="Times New Roman"/>
          <w:sz w:val="24"/>
          <w:szCs w:val="24"/>
        </w:rPr>
        <w:t>D01</w:t>
      </w:r>
      <w:r>
        <w:rPr>
          <w:rFonts w:ascii="宋体" w:hAnsi="宋体" w:eastAsia="宋体" w:cs="宋体"/>
          <w:spacing w:val="6"/>
          <w:sz w:val="24"/>
          <w:szCs w:val="24"/>
        </w:rPr>
        <w:t>），</w:t>
      </w:r>
      <w:r>
        <w:rPr>
          <w:rFonts w:ascii="宋体" w:hAnsi="宋体" w:eastAsia="宋体" w:cs="宋体"/>
          <w:sz w:val="24"/>
          <w:szCs w:val="24"/>
        </w:rPr>
        <w:t>二连</w:t>
      </w:r>
      <w:r>
        <w:rPr>
          <w:rFonts w:ascii="Times New Roman" w:hAnsi="Times New Roman" w:eastAsia="Times New Roman" w:cs="Times New Roman"/>
          <w:sz w:val="24"/>
          <w:szCs w:val="24"/>
        </w:rPr>
        <w:t>—</w:t>
      </w:r>
      <w:r>
        <w:rPr>
          <w:rFonts w:ascii="宋体" w:hAnsi="宋体" w:eastAsia="宋体" w:cs="宋体"/>
          <w:sz w:val="24"/>
          <w:szCs w:val="24"/>
        </w:rPr>
        <w:t>白音和硕</w:t>
      </w:r>
      <w:r>
        <w:rPr>
          <w:rFonts w:ascii="宋体" w:hAnsi="宋体" w:eastAsia="宋体" w:cs="宋体"/>
          <w:spacing w:val="-1"/>
          <w:sz w:val="24"/>
          <w:szCs w:val="24"/>
        </w:rPr>
        <w:t>盆地二级地下水</w:t>
      </w:r>
      <w:r>
        <w:rPr>
          <w:rFonts w:ascii="宋体" w:hAnsi="宋体" w:eastAsia="宋体" w:cs="宋体"/>
          <w:spacing w:val="1"/>
          <w:sz w:val="24"/>
          <w:szCs w:val="24"/>
        </w:rPr>
        <w:t xml:space="preserve"> </w:t>
      </w:r>
      <w:r>
        <w:rPr>
          <w:rFonts w:ascii="宋体" w:hAnsi="宋体" w:eastAsia="宋体" w:cs="宋体"/>
          <w:spacing w:val="-1"/>
          <w:sz w:val="24"/>
          <w:szCs w:val="24"/>
        </w:rPr>
        <w:t>系统（</w:t>
      </w:r>
      <w:r>
        <w:rPr>
          <w:rFonts w:ascii="Times New Roman" w:hAnsi="Times New Roman" w:eastAsia="Times New Roman" w:cs="Times New Roman"/>
          <w:spacing w:val="-1"/>
          <w:sz w:val="24"/>
          <w:szCs w:val="24"/>
        </w:rPr>
        <w:t>D01C</w:t>
      </w:r>
      <w:r>
        <w:rPr>
          <w:rFonts w:ascii="宋体" w:hAnsi="宋体" w:eastAsia="宋体" w:cs="宋体"/>
          <w:spacing w:val="-1"/>
          <w:sz w:val="24"/>
          <w:szCs w:val="24"/>
        </w:rPr>
        <w:t>）见图</w:t>
      </w:r>
      <w:r>
        <w:rPr>
          <w:rFonts w:ascii="Times New Roman" w:hAnsi="Times New Roman" w:eastAsia="Times New Roman" w:cs="Times New Roman"/>
          <w:spacing w:val="-1"/>
          <w:sz w:val="24"/>
          <w:szCs w:val="24"/>
        </w:rPr>
        <w:t>4.3-1</w:t>
      </w:r>
      <w:r>
        <w:rPr>
          <w:rFonts w:ascii="宋体" w:hAnsi="宋体" w:eastAsia="宋体" w:cs="宋体"/>
          <w:spacing w:val="-1"/>
          <w:sz w:val="24"/>
          <w:szCs w:val="24"/>
        </w:rPr>
        <w:t>区域地下水系统分区图。</w:t>
      </w:r>
    </w:p>
    <w:p w14:paraId="111342B4">
      <w:pPr>
        <w:spacing w:before="32" w:line="356" w:lineRule="auto"/>
        <w:ind w:left="7" w:right="53" w:firstLine="480"/>
        <w:jc w:val="both"/>
        <w:rPr>
          <w:rFonts w:ascii="宋体" w:hAnsi="宋体" w:eastAsia="宋体" w:cs="宋体"/>
          <w:sz w:val="24"/>
          <w:szCs w:val="24"/>
        </w:rPr>
      </w:pPr>
      <w:r>
        <w:rPr>
          <w:rFonts w:ascii="宋体" w:hAnsi="宋体" w:eastAsia="宋体" w:cs="宋体"/>
          <w:spacing w:val="-2"/>
          <w:sz w:val="24"/>
          <w:szCs w:val="24"/>
        </w:rPr>
        <w:t>评价区地处内陆水系阴山北部高平原上，该区域在多次构造运动的作用下，形成了</w:t>
      </w:r>
      <w:r>
        <w:rPr>
          <w:rFonts w:ascii="宋体" w:hAnsi="宋体" w:eastAsia="宋体" w:cs="宋体"/>
          <w:spacing w:val="14"/>
          <w:sz w:val="24"/>
          <w:szCs w:val="24"/>
        </w:rPr>
        <w:t xml:space="preserve"> </w:t>
      </w:r>
      <w:r>
        <w:rPr>
          <w:rFonts w:ascii="宋体" w:hAnsi="宋体" w:eastAsia="宋体" w:cs="宋体"/>
          <w:spacing w:val="-2"/>
          <w:sz w:val="24"/>
          <w:szCs w:val="24"/>
        </w:rPr>
        <w:t>一系列基岩隆起带和断坳陷，这些隆起带表层长期受到风化剥蚀形成了现代的丘陵，坳</w:t>
      </w:r>
      <w:r>
        <w:rPr>
          <w:rFonts w:ascii="宋体" w:hAnsi="宋体" w:eastAsia="宋体" w:cs="宋体"/>
          <w:spacing w:val="18"/>
          <w:sz w:val="24"/>
          <w:szCs w:val="24"/>
        </w:rPr>
        <w:t xml:space="preserve"> </w:t>
      </w:r>
      <w:r>
        <w:rPr>
          <w:rFonts w:ascii="宋体" w:hAnsi="宋体" w:eastAsia="宋体" w:cs="宋体"/>
          <w:spacing w:val="-2"/>
          <w:sz w:val="24"/>
          <w:szCs w:val="24"/>
        </w:rPr>
        <w:t>陷则接受中生界、新生界沉积，形成丘间盆地、剥蚀高平原、洼地和沙地等不同的地貌</w:t>
      </w:r>
      <w:r>
        <w:rPr>
          <w:rFonts w:ascii="宋体" w:hAnsi="宋体" w:eastAsia="宋体" w:cs="宋体"/>
          <w:spacing w:val="18"/>
          <w:sz w:val="24"/>
          <w:szCs w:val="24"/>
        </w:rPr>
        <w:t xml:space="preserve"> </w:t>
      </w:r>
      <w:r>
        <w:rPr>
          <w:rFonts w:ascii="宋体" w:hAnsi="宋体" w:eastAsia="宋体" w:cs="宋体"/>
          <w:spacing w:val="-2"/>
          <w:sz w:val="24"/>
          <w:szCs w:val="24"/>
        </w:rPr>
        <w:t>形态，总地势东高西低，南高北低，由东南向西北缓倾斜。地处大陆腹地，属干旱、半</w:t>
      </w:r>
      <w:r>
        <w:rPr>
          <w:rFonts w:ascii="宋体" w:hAnsi="宋体" w:eastAsia="宋体" w:cs="宋体"/>
          <w:spacing w:val="18"/>
          <w:sz w:val="24"/>
          <w:szCs w:val="24"/>
        </w:rPr>
        <w:t xml:space="preserve"> </w:t>
      </w:r>
      <w:r>
        <w:rPr>
          <w:rFonts w:ascii="宋体" w:hAnsi="宋体" w:eastAsia="宋体" w:cs="宋体"/>
          <w:spacing w:val="-3"/>
          <w:sz w:val="24"/>
          <w:szCs w:val="24"/>
        </w:rPr>
        <w:t>干旱大陆性季风气候，冬季严寒，夏季炎热，干燥多风，</w:t>
      </w:r>
      <w:r>
        <w:rPr>
          <w:rFonts w:ascii="宋体" w:hAnsi="宋体" w:eastAsia="宋体" w:cs="宋体"/>
          <w:spacing w:val="-56"/>
          <w:sz w:val="24"/>
          <w:szCs w:val="24"/>
        </w:rPr>
        <w:t xml:space="preserve"> </w:t>
      </w:r>
      <w:r>
        <w:rPr>
          <w:rFonts w:ascii="宋体" w:hAnsi="宋体" w:eastAsia="宋体" w:cs="宋体"/>
          <w:spacing w:val="-3"/>
          <w:sz w:val="24"/>
          <w:szCs w:val="24"/>
        </w:rPr>
        <w:t>日温差大，降水量少而集中。</w:t>
      </w:r>
      <w:r>
        <w:rPr>
          <w:rFonts w:ascii="宋体" w:hAnsi="宋体" w:eastAsia="宋体" w:cs="宋体"/>
          <w:sz w:val="24"/>
          <w:szCs w:val="24"/>
        </w:rPr>
        <w:t xml:space="preserve"> </w:t>
      </w:r>
      <w:r>
        <w:rPr>
          <w:rFonts w:ascii="宋体" w:hAnsi="宋体" w:eastAsia="宋体" w:cs="宋体"/>
          <w:spacing w:val="-2"/>
          <w:sz w:val="24"/>
          <w:szCs w:val="24"/>
        </w:rPr>
        <w:t>由于补给量少，所以大部分区域浅层不含水，局部浅层地下水水量较小，民井单井涌水</w:t>
      </w:r>
      <w:r>
        <w:rPr>
          <w:rFonts w:ascii="宋体" w:hAnsi="宋体" w:eastAsia="宋体" w:cs="宋体"/>
          <w:spacing w:val="18"/>
          <w:sz w:val="24"/>
          <w:szCs w:val="24"/>
        </w:rPr>
        <w:t xml:space="preserve"> </w:t>
      </w:r>
      <w:r>
        <w:rPr>
          <w:rFonts w:ascii="宋体" w:hAnsi="宋体" w:eastAsia="宋体" w:cs="宋体"/>
          <w:spacing w:val="1"/>
          <w:sz w:val="24"/>
          <w:szCs w:val="24"/>
        </w:rPr>
        <w:t>量一般小于</w:t>
      </w:r>
      <w:r>
        <w:rPr>
          <w:rFonts w:ascii="Times New Roman" w:hAnsi="Times New Roman" w:eastAsia="Times New Roman" w:cs="Times New Roman"/>
          <w:spacing w:val="1"/>
          <w:sz w:val="24"/>
          <w:szCs w:val="24"/>
        </w:rPr>
        <w:t>100m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/d</w:t>
      </w:r>
      <w:r>
        <w:rPr>
          <w:rFonts w:ascii="Times New Roman" w:hAnsi="Times New Roman" w:eastAsia="Times New Roman" w:cs="Times New Roman"/>
          <w:spacing w:val="-10"/>
          <w:sz w:val="24"/>
          <w:szCs w:val="24"/>
        </w:rPr>
        <w:t xml:space="preserve"> </w:t>
      </w:r>
      <w:r>
        <w:rPr>
          <w:rFonts w:ascii="宋体" w:hAnsi="宋体" w:eastAsia="宋体" w:cs="宋体"/>
          <w:spacing w:val="1"/>
          <w:sz w:val="24"/>
          <w:szCs w:val="24"/>
        </w:rPr>
        <w:t>。由此说明，气候条件则是影响本区浅层地下水不大丰富的主要因</w:t>
      </w:r>
      <w:r>
        <w:rPr>
          <w:rFonts w:ascii="宋体" w:hAnsi="宋体" w:eastAsia="宋体" w:cs="宋体"/>
          <w:sz w:val="24"/>
          <w:szCs w:val="24"/>
        </w:rPr>
        <w:t xml:space="preserve"> </w:t>
      </w:r>
      <w:r>
        <w:rPr>
          <w:rFonts w:ascii="宋体" w:hAnsi="宋体" w:eastAsia="宋体" w:cs="宋体"/>
          <w:spacing w:val="-5"/>
          <w:sz w:val="24"/>
          <w:szCs w:val="24"/>
        </w:rPr>
        <w:t>素。</w:t>
      </w:r>
    </w:p>
    <w:p w14:paraId="5F5715C5">
      <w:pPr>
        <w:spacing w:line="356" w:lineRule="auto"/>
        <w:rPr>
          <w:rFonts w:ascii="宋体" w:hAnsi="宋体" w:eastAsia="宋体" w:cs="宋体"/>
          <w:sz w:val="24"/>
          <w:szCs w:val="24"/>
        </w:rPr>
        <w:sectPr>
          <w:headerReference r:id="rId307" w:type="default"/>
          <w:footerReference r:id="rId308" w:type="default"/>
          <w:pgSz w:w="11905" w:h="16839"/>
          <w:pgMar w:top="1190" w:right="1355" w:bottom="1427" w:left="1417" w:header="882" w:footer="1265" w:gutter="0"/>
          <w:cols w:space="720" w:num="1"/>
        </w:sectPr>
      </w:pPr>
    </w:p>
    <w:p w14:paraId="5EEA404C">
      <w:pPr>
        <w:spacing w:line="28" w:lineRule="exact"/>
      </w:pPr>
      <w:r>
        <w:pict>
          <v:shape id="_x0000_s1809" o:spid="_x0000_s1809" style="height:1.45pt;width:453.6pt;" fillcolor="#000000" filled="t" stroked="f" coordsize="9072,29" path="m0,0l9071,0,9071,28,0,28,0,0xe">
            <v:path/>
            <v:fill on="t" focussize="0,0"/>
            <v:stroke on="f"/>
            <v:imagedata o:title=""/>
            <o:lock v:ext="edit"/>
            <w10:wrap type="none"/>
            <w10:anchorlock/>
          </v:shape>
        </w:pict>
      </w:r>
    </w:p>
    <w:p w14:paraId="772995E4">
      <w:pPr>
        <w:spacing w:before="196" w:line="6182" w:lineRule="exact"/>
        <w:ind w:firstLine="476"/>
      </w:pPr>
      <w:r>
        <w:rPr>
          <w:position w:val="-123"/>
        </w:rPr>
        <w:drawing>
          <wp:inline distT="0" distB="0" distL="0" distR="0">
            <wp:extent cx="5155565" cy="3925570"/>
            <wp:effectExtent l="0" t="0" r="0" b="0"/>
            <wp:docPr id="142" name="IM 142"/>
            <wp:cNvGraphicFramePr/>
            <a:graphic xmlns:a="http://schemas.openxmlformats.org/drawingml/2006/main">
              <a:graphicData uri="http://schemas.openxmlformats.org/drawingml/2006/picture">
                <pic:pic xmlns:pic="http://schemas.openxmlformats.org/drawingml/2006/picture">
                  <pic:nvPicPr>
                    <pic:cNvPr id="142" name="IM 142"/>
                    <pic:cNvPicPr/>
                  </pic:nvPicPr>
                  <pic:blipFill>
                    <a:blip r:embed="rId647"/>
                    <a:stretch>
                      <a:fillRect/>
                    </a:stretch>
                  </pic:blipFill>
                  <pic:spPr>
                    <a:xfrm>
                      <a:off x="0" y="0"/>
                      <a:ext cx="5155691" cy="3925823"/>
                    </a:xfrm>
                    <a:prstGeom prst="rect">
                      <a:avLst/>
                    </a:prstGeom>
                  </pic:spPr>
                </pic:pic>
              </a:graphicData>
            </a:graphic>
          </wp:inline>
        </w:drawing>
      </w:r>
    </w:p>
    <w:p w14:paraId="0DB40D5D">
      <w:pPr>
        <w:spacing w:before="32" w:line="228" w:lineRule="auto"/>
        <w:ind w:left="2974"/>
        <w:rPr>
          <w:rFonts w:ascii="宋体" w:hAnsi="宋体" w:eastAsia="宋体" w:cs="宋体"/>
          <w:sz w:val="20"/>
          <w:szCs w:val="20"/>
        </w:rPr>
      </w:pPr>
      <w:r>
        <w:rPr>
          <w:rFonts w:ascii="宋体" w:hAnsi="宋体" w:eastAsia="宋体" w:cs="宋体"/>
          <w:b/>
          <w:bCs/>
          <w:spacing w:val="4"/>
          <w:sz w:val="20"/>
          <w:szCs w:val="20"/>
        </w:rPr>
        <w:t>图</w:t>
      </w:r>
      <w:r>
        <w:rPr>
          <w:rFonts w:ascii="Times New Roman" w:hAnsi="Times New Roman" w:eastAsia="Times New Roman" w:cs="Times New Roman"/>
          <w:b/>
          <w:bCs/>
          <w:spacing w:val="4"/>
          <w:sz w:val="20"/>
          <w:szCs w:val="20"/>
        </w:rPr>
        <w:t>4.2-1</w:t>
      </w:r>
      <w:r>
        <w:rPr>
          <w:rFonts w:ascii="Times New Roman" w:hAnsi="Times New Roman" w:eastAsia="Times New Roman" w:cs="Times New Roman"/>
          <w:b/>
          <w:bCs/>
          <w:spacing w:val="5"/>
          <w:sz w:val="20"/>
          <w:szCs w:val="20"/>
        </w:rPr>
        <w:t xml:space="preserve">        </w:t>
      </w:r>
      <w:r>
        <w:rPr>
          <w:rFonts w:ascii="宋体" w:hAnsi="宋体" w:eastAsia="宋体" w:cs="宋体"/>
          <w:b/>
          <w:bCs/>
          <w:spacing w:val="4"/>
          <w:sz w:val="20"/>
          <w:szCs w:val="20"/>
        </w:rPr>
        <w:t>区域地下水系统分区图</w:t>
      </w:r>
    </w:p>
    <w:p w14:paraId="6583D6F3">
      <w:pPr>
        <w:spacing w:before="166" w:line="352" w:lineRule="auto"/>
        <w:ind w:left="11" w:right="80" w:firstLine="478"/>
        <w:jc w:val="both"/>
        <w:rPr>
          <w:rFonts w:ascii="宋体" w:hAnsi="宋体" w:eastAsia="宋体" w:cs="宋体"/>
          <w:sz w:val="24"/>
          <w:szCs w:val="24"/>
        </w:rPr>
      </w:pPr>
      <w:r>
        <w:rPr>
          <w:rFonts w:ascii="宋体" w:hAnsi="宋体" w:eastAsia="宋体" w:cs="宋体"/>
          <w:spacing w:val="-2"/>
          <w:sz w:val="24"/>
          <w:szCs w:val="24"/>
        </w:rPr>
        <w:t>周边低山丘陵区，地层岩性主要由石炭系变质岩及各时期侵入岩组成，基岩裂隙较</w:t>
      </w:r>
      <w:r>
        <w:rPr>
          <w:rFonts w:ascii="宋体" w:hAnsi="宋体" w:eastAsia="宋体" w:cs="宋体"/>
          <w:spacing w:val="12"/>
          <w:sz w:val="24"/>
          <w:szCs w:val="24"/>
        </w:rPr>
        <w:t xml:space="preserve"> </w:t>
      </w:r>
      <w:r>
        <w:rPr>
          <w:rFonts w:ascii="宋体" w:hAnsi="宋体" w:eastAsia="宋体" w:cs="宋体"/>
          <w:spacing w:val="-2"/>
          <w:sz w:val="24"/>
          <w:szCs w:val="24"/>
        </w:rPr>
        <w:t>为发育；波状高平原区，地层主要为新近系、古近系和白垩系砂岩、砂砾岩组成；第四</w:t>
      </w:r>
      <w:r>
        <w:rPr>
          <w:rFonts w:ascii="宋体" w:hAnsi="宋体" w:eastAsia="宋体" w:cs="宋体"/>
          <w:spacing w:val="14"/>
          <w:sz w:val="24"/>
          <w:szCs w:val="24"/>
        </w:rPr>
        <w:t xml:space="preserve"> </w:t>
      </w:r>
      <w:r>
        <w:rPr>
          <w:rFonts w:ascii="宋体" w:hAnsi="宋体" w:eastAsia="宋体" w:cs="宋体"/>
          <w:spacing w:val="-2"/>
          <w:sz w:val="24"/>
          <w:szCs w:val="24"/>
        </w:rPr>
        <w:t>系湖积盆地、风积沙地、冲洪积沟谷，地层岩性主要为中细砂、粉细砂、砾砂，因沉积</w:t>
      </w:r>
      <w:r>
        <w:rPr>
          <w:rFonts w:ascii="宋体" w:hAnsi="宋体" w:eastAsia="宋体" w:cs="宋体"/>
          <w:spacing w:val="14"/>
          <w:sz w:val="24"/>
          <w:szCs w:val="24"/>
        </w:rPr>
        <w:t xml:space="preserve"> </w:t>
      </w:r>
      <w:r>
        <w:rPr>
          <w:rFonts w:ascii="宋体" w:hAnsi="宋体" w:eastAsia="宋体" w:cs="宋体"/>
          <w:spacing w:val="-1"/>
          <w:sz w:val="24"/>
          <w:szCs w:val="24"/>
        </w:rPr>
        <w:t>厚度薄，一般</w:t>
      </w:r>
      <w:r>
        <w:rPr>
          <w:rFonts w:ascii="Times New Roman" w:hAnsi="Times New Roman" w:eastAsia="Times New Roman" w:cs="Times New Roman"/>
          <w:spacing w:val="-1"/>
          <w:sz w:val="24"/>
          <w:szCs w:val="24"/>
        </w:rPr>
        <w:t>2</w:t>
      </w:r>
      <w:r>
        <w:rPr>
          <w:rFonts w:ascii="宋体" w:hAnsi="宋体" w:eastAsia="宋体" w:cs="宋体"/>
          <w:spacing w:val="-1"/>
          <w:sz w:val="24"/>
          <w:szCs w:val="24"/>
        </w:rPr>
        <w:t>～</w:t>
      </w:r>
      <w:r>
        <w:rPr>
          <w:rFonts w:ascii="Times New Roman" w:hAnsi="Times New Roman" w:eastAsia="Times New Roman" w:cs="Times New Roman"/>
          <w:spacing w:val="-1"/>
          <w:sz w:val="24"/>
          <w:szCs w:val="24"/>
        </w:rPr>
        <w:t>15m</w:t>
      </w:r>
      <w:r>
        <w:rPr>
          <w:rFonts w:ascii="Times New Roman" w:hAnsi="Times New Roman" w:eastAsia="Times New Roman" w:cs="Times New Roman"/>
          <w:spacing w:val="-30"/>
          <w:sz w:val="24"/>
          <w:szCs w:val="24"/>
        </w:rPr>
        <w:t xml:space="preserve"> </w:t>
      </w:r>
      <w:r>
        <w:rPr>
          <w:rFonts w:ascii="宋体" w:hAnsi="宋体" w:eastAsia="宋体" w:cs="宋体"/>
          <w:spacing w:val="-1"/>
          <w:sz w:val="24"/>
          <w:szCs w:val="24"/>
        </w:rPr>
        <w:t>，虽接受大气降水补给，但未能汇集多已蒸发，构不成</w:t>
      </w:r>
      <w:r>
        <w:rPr>
          <w:rFonts w:ascii="宋体" w:hAnsi="宋体" w:eastAsia="宋体" w:cs="宋体"/>
          <w:spacing w:val="-2"/>
          <w:sz w:val="24"/>
          <w:szCs w:val="24"/>
        </w:rPr>
        <w:t>含水层。</w:t>
      </w:r>
    </w:p>
    <w:p w14:paraId="2768955A">
      <w:pPr>
        <w:spacing w:before="36" w:line="350" w:lineRule="auto"/>
        <w:ind w:left="9" w:right="18" w:firstLine="496"/>
        <w:jc w:val="both"/>
        <w:rPr>
          <w:rFonts w:ascii="宋体" w:hAnsi="宋体" w:eastAsia="宋体" w:cs="宋体"/>
          <w:sz w:val="24"/>
          <w:szCs w:val="24"/>
        </w:rPr>
      </w:pPr>
      <w:r>
        <w:rPr>
          <w:rFonts w:ascii="宋体" w:hAnsi="宋体" w:eastAsia="宋体" w:cs="宋体"/>
          <w:spacing w:val="-2"/>
          <w:sz w:val="24"/>
          <w:szCs w:val="24"/>
        </w:rPr>
        <w:t>区内地下水补给来源主要为大气降水，总体流向是由低山丘陵区向高原</w:t>
      </w:r>
      <w:r>
        <w:rPr>
          <w:rFonts w:ascii="宋体" w:hAnsi="宋体" w:eastAsia="宋体" w:cs="宋体"/>
          <w:spacing w:val="-3"/>
          <w:sz w:val="24"/>
          <w:szCs w:val="24"/>
        </w:rPr>
        <w:t>及洼地、湖</w:t>
      </w:r>
      <w:r>
        <w:rPr>
          <w:rFonts w:ascii="宋体" w:hAnsi="宋体" w:eastAsia="宋体" w:cs="宋体"/>
          <w:sz w:val="24"/>
          <w:szCs w:val="24"/>
        </w:rPr>
        <w:t xml:space="preserve"> </w:t>
      </w:r>
      <w:r>
        <w:rPr>
          <w:rFonts w:ascii="宋体" w:hAnsi="宋体" w:eastAsia="宋体" w:cs="宋体"/>
          <w:spacing w:val="-6"/>
          <w:sz w:val="24"/>
          <w:szCs w:val="24"/>
        </w:rPr>
        <w:t>泊、淖尔汇集。部分盆地形成自身完整的地下水循环系统。地下水排泄方式主要</w:t>
      </w:r>
      <w:r>
        <w:rPr>
          <w:rFonts w:ascii="宋体" w:hAnsi="宋体" w:eastAsia="宋体" w:cs="宋体"/>
          <w:spacing w:val="-7"/>
          <w:sz w:val="24"/>
          <w:szCs w:val="24"/>
        </w:rPr>
        <w:t>为蒸发，</w:t>
      </w:r>
      <w:r>
        <w:rPr>
          <w:rFonts w:ascii="宋体" w:hAnsi="宋体" w:eastAsia="宋体" w:cs="宋体"/>
          <w:sz w:val="24"/>
          <w:szCs w:val="24"/>
        </w:rPr>
        <w:t xml:space="preserve"> </w:t>
      </w:r>
      <w:r>
        <w:rPr>
          <w:rFonts w:ascii="宋体" w:hAnsi="宋体" w:eastAsia="宋体" w:cs="宋体"/>
          <w:spacing w:val="-2"/>
          <w:sz w:val="24"/>
          <w:szCs w:val="24"/>
        </w:rPr>
        <w:t>其次为人工开采。</w:t>
      </w:r>
    </w:p>
    <w:p w14:paraId="253F4B8E">
      <w:pPr>
        <w:spacing w:before="35" w:line="350" w:lineRule="auto"/>
        <w:ind w:left="9" w:firstLine="496"/>
        <w:jc w:val="both"/>
        <w:rPr>
          <w:rFonts w:ascii="宋体" w:hAnsi="宋体" w:eastAsia="宋体" w:cs="宋体"/>
          <w:sz w:val="24"/>
          <w:szCs w:val="24"/>
        </w:rPr>
      </w:pPr>
      <w:r>
        <w:rPr>
          <w:rFonts w:ascii="宋体" w:hAnsi="宋体" w:eastAsia="宋体" w:cs="宋体"/>
          <w:spacing w:val="-2"/>
          <w:sz w:val="24"/>
          <w:szCs w:val="24"/>
        </w:rPr>
        <w:t>区域地下水的赋存与分布不同程度地受构造、岩性、古地理环境、地貌</w:t>
      </w:r>
      <w:r>
        <w:rPr>
          <w:rFonts w:ascii="宋体" w:hAnsi="宋体" w:eastAsia="宋体" w:cs="宋体"/>
          <w:spacing w:val="-3"/>
          <w:sz w:val="24"/>
          <w:szCs w:val="24"/>
        </w:rPr>
        <w:t>及气候、水</w:t>
      </w:r>
      <w:r>
        <w:rPr>
          <w:rFonts w:ascii="宋体" w:hAnsi="宋体" w:eastAsia="宋体" w:cs="宋体"/>
          <w:sz w:val="24"/>
          <w:szCs w:val="24"/>
        </w:rPr>
        <w:t xml:space="preserve"> </w:t>
      </w:r>
      <w:r>
        <w:rPr>
          <w:rFonts w:ascii="宋体" w:hAnsi="宋体" w:eastAsia="宋体" w:cs="宋体"/>
          <w:spacing w:val="-6"/>
          <w:sz w:val="24"/>
          <w:szCs w:val="24"/>
        </w:rPr>
        <w:t>文等多种因素的控制及影响，其中，构造、岩性和古地理环境是原生性主控因素，地貌、</w:t>
      </w:r>
      <w:r>
        <w:rPr>
          <w:rFonts w:ascii="宋体" w:hAnsi="宋体" w:eastAsia="宋体" w:cs="宋体"/>
          <w:spacing w:val="14"/>
          <w:sz w:val="24"/>
          <w:szCs w:val="24"/>
        </w:rPr>
        <w:t xml:space="preserve"> </w:t>
      </w:r>
      <w:r>
        <w:rPr>
          <w:rFonts w:ascii="宋体" w:hAnsi="宋体" w:eastAsia="宋体" w:cs="宋体"/>
          <w:spacing w:val="-1"/>
          <w:sz w:val="24"/>
          <w:szCs w:val="24"/>
        </w:rPr>
        <w:t>气候及水文等是后继性重要的影响因素。</w:t>
      </w:r>
    </w:p>
    <w:p w14:paraId="5B1021E4">
      <w:pPr>
        <w:spacing w:before="34" w:line="354" w:lineRule="auto"/>
        <w:ind w:left="8" w:right="80" w:firstLine="484"/>
        <w:jc w:val="both"/>
        <w:rPr>
          <w:rFonts w:ascii="宋体" w:hAnsi="宋体" w:eastAsia="宋体" w:cs="宋体"/>
          <w:sz w:val="24"/>
          <w:szCs w:val="24"/>
        </w:rPr>
      </w:pPr>
      <w:r>
        <w:rPr>
          <w:rFonts w:ascii="宋体" w:hAnsi="宋体" w:eastAsia="宋体" w:cs="宋体"/>
          <w:spacing w:val="-2"/>
          <w:sz w:val="24"/>
          <w:szCs w:val="24"/>
        </w:rPr>
        <w:t>受区域地质构造的影响，区域普遍沉积有第四系松散岩类和新近系、古近系、白垩</w:t>
      </w:r>
      <w:r>
        <w:rPr>
          <w:rFonts w:ascii="宋体" w:hAnsi="宋体" w:eastAsia="宋体" w:cs="宋体"/>
          <w:spacing w:val="8"/>
          <w:sz w:val="24"/>
          <w:szCs w:val="24"/>
        </w:rPr>
        <w:t xml:space="preserve"> </w:t>
      </w:r>
      <w:r>
        <w:rPr>
          <w:rFonts w:ascii="宋体" w:hAnsi="宋体" w:eastAsia="宋体" w:cs="宋体"/>
          <w:spacing w:val="-2"/>
          <w:sz w:val="24"/>
          <w:szCs w:val="24"/>
        </w:rPr>
        <w:t>系碎屑岩类，为地下水的赋存提供了良好的储存空间，富含裂隙水和孔隙水。高原区的</w:t>
      </w:r>
      <w:r>
        <w:rPr>
          <w:rFonts w:ascii="宋体" w:hAnsi="宋体" w:eastAsia="宋体" w:cs="宋体"/>
          <w:spacing w:val="17"/>
          <w:sz w:val="24"/>
          <w:szCs w:val="24"/>
        </w:rPr>
        <w:t xml:space="preserve"> </w:t>
      </w:r>
      <w:r>
        <w:rPr>
          <w:rFonts w:ascii="宋体" w:hAnsi="宋体" w:eastAsia="宋体" w:cs="宋体"/>
          <w:spacing w:val="-2"/>
          <w:sz w:val="24"/>
          <w:szCs w:val="24"/>
        </w:rPr>
        <w:t>地下水含水层的埋藏条件、厚度、水质、水量受古地理环境的影响非常明显，古河道地</w:t>
      </w:r>
      <w:r>
        <w:rPr>
          <w:rFonts w:ascii="宋体" w:hAnsi="宋体" w:eastAsia="宋体" w:cs="宋体"/>
          <w:spacing w:val="17"/>
          <w:sz w:val="24"/>
          <w:szCs w:val="24"/>
        </w:rPr>
        <w:t xml:space="preserve"> </w:t>
      </w:r>
      <w:r>
        <w:rPr>
          <w:rFonts w:ascii="宋体" w:hAnsi="宋体" w:eastAsia="宋体" w:cs="宋体"/>
          <w:spacing w:val="-2"/>
          <w:sz w:val="24"/>
          <w:szCs w:val="24"/>
        </w:rPr>
        <w:t>带往往含水层颗粒较粗，砂砾石或砂砾岩的沉积厚度相对较大，富水性强，是高原区地</w:t>
      </w:r>
      <w:r>
        <w:rPr>
          <w:rFonts w:ascii="宋体" w:hAnsi="宋体" w:eastAsia="宋体" w:cs="宋体"/>
          <w:spacing w:val="17"/>
          <w:sz w:val="24"/>
          <w:szCs w:val="24"/>
        </w:rPr>
        <w:t xml:space="preserve"> </w:t>
      </w:r>
      <w:r>
        <w:rPr>
          <w:rFonts w:ascii="宋体" w:hAnsi="宋体" w:eastAsia="宋体" w:cs="宋体"/>
          <w:sz w:val="24"/>
          <w:szCs w:val="24"/>
        </w:rPr>
        <w:t>下水的富水地段。河谷洼地区第四系松散堆积物以砂、</w:t>
      </w:r>
      <w:r>
        <w:rPr>
          <w:rFonts w:ascii="宋体" w:hAnsi="宋体" w:eastAsia="宋体" w:cs="宋体"/>
          <w:spacing w:val="-1"/>
          <w:sz w:val="24"/>
          <w:szCs w:val="24"/>
        </w:rPr>
        <w:t>砂砾石为主，水量贫乏。</w:t>
      </w:r>
    </w:p>
    <w:p w14:paraId="522AE7B4">
      <w:pPr>
        <w:spacing w:before="37"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）区域地下水类型及含水层描述</w:t>
      </w:r>
    </w:p>
    <w:p w14:paraId="4D268AD6">
      <w:pPr>
        <w:spacing w:line="219" w:lineRule="auto"/>
        <w:rPr>
          <w:rFonts w:ascii="宋体" w:hAnsi="宋体" w:eastAsia="宋体" w:cs="宋体"/>
          <w:sz w:val="24"/>
          <w:szCs w:val="24"/>
        </w:rPr>
        <w:sectPr>
          <w:headerReference r:id="rId309" w:type="default"/>
          <w:footerReference r:id="rId310" w:type="default"/>
          <w:pgSz w:w="11905" w:h="16839"/>
          <w:pgMar w:top="1190" w:right="1336" w:bottom="1427" w:left="1417" w:header="882" w:footer="1265" w:gutter="0"/>
          <w:cols w:space="720" w:num="1"/>
        </w:sectPr>
      </w:pPr>
    </w:p>
    <w:p w14:paraId="3702BF29">
      <w:pPr>
        <w:spacing w:line="28" w:lineRule="exact"/>
      </w:pPr>
      <w:r>
        <w:pict>
          <v:shape id="_x0000_s1810" o:spid="_x0000_s1810" style="height:1.45pt;width:453.6pt;" fillcolor="#000000" filled="t" stroked="f" coordsize="9072,29" path="m0,0l9071,0,9071,28,0,28,0,0xe">
            <v:path/>
            <v:fill on="t" focussize="0,0"/>
            <v:stroke on="f"/>
            <v:imagedata o:title=""/>
            <o:lock v:ext="edit"/>
            <w10:wrap type="none"/>
            <w10:anchorlock/>
          </v:shape>
        </w:pict>
      </w:r>
    </w:p>
    <w:p w14:paraId="0EBA4C5A">
      <w:pPr>
        <w:spacing w:before="233" w:line="219" w:lineRule="auto"/>
        <w:ind w:left="490"/>
        <w:rPr>
          <w:rFonts w:ascii="宋体" w:hAnsi="宋体" w:eastAsia="宋体" w:cs="宋体"/>
          <w:sz w:val="24"/>
          <w:szCs w:val="24"/>
        </w:rPr>
      </w:pPr>
      <w:r>
        <w:rPr>
          <w:rFonts w:ascii="宋体" w:hAnsi="宋体" w:eastAsia="宋体" w:cs="宋体"/>
          <w:spacing w:val="-1"/>
          <w:sz w:val="24"/>
          <w:szCs w:val="24"/>
        </w:rPr>
        <w:t>按地下水含水介质及赋存条件，可划分为三大含水岩类。</w:t>
      </w:r>
    </w:p>
    <w:p w14:paraId="0BAE0BDE">
      <w:pPr>
        <w:spacing w:before="181" w:line="217" w:lineRule="auto"/>
        <w:ind w:left="487"/>
        <w:rPr>
          <w:rFonts w:ascii="宋体" w:hAnsi="宋体" w:eastAsia="宋体" w:cs="宋体"/>
          <w:sz w:val="24"/>
          <w:szCs w:val="24"/>
        </w:rPr>
      </w:pPr>
      <w:r>
        <w:rPr>
          <w:rFonts w:ascii="宋体" w:hAnsi="宋体" w:eastAsia="宋体" w:cs="宋体"/>
          <w:spacing w:val="-1"/>
          <w:sz w:val="24"/>
          <w:szCs w:val="24"/>
        </w:rPr>
        <w:t>①第四系松散岩类孔隙水</w:t>
      </w:r>
    </w:p>
    <w:p w14:paraId="14546018">
      <w:pPr>
        <w:spacing w:before="182" w:line="356" w:lineRule="auto"/>
        <w:ind w:left="8" w:right="80" w:firstLine="480"/>
        <w:rPr>
          <w:rFonts w:ascii="宋体" w:hAnsi="宋体" w:eastAsia="宋体" w:cs="宋体"/>
          <w:sz w:val="24"/>
          <w:szCs w:val="24"/>
        </w:rPr>
      </w:pPr>
      <w:r>
        <w:rPr>
          <w:rFonts w:ascii="宋体" w:hAnsi="宋体" w:eastAsia="宋体" w:cs="宋体"/>
          <w:spacing w:val="-2"/>
          <w:sz w:val="24"/>
          <w:szCs w:val="24"/>
        </w:rPr>
        <w:t>第四系松散岩类孔隙水按其水力性质划分为孔隙潜水。主要分布于低山丘陵间的湖</w:t>
      </w:r>
      <w:r>
        <w:rPr>
          <w:rFonts w:ascii="宋体" w:hAnsi="宋体" w:eastAsia="宋体" w:cs="宋体"/>
          <w:spacing w:val="13"/>
          <w:sz w:val="24"/>
          <w:szCs w:val="24"/>
        </w:rPr>
        <w:t xml:space="preserve"> </w:t>
      </w:r>
      <w:r>
        <w:rPr>
          <w:rFonts w:ascii="宋体" w:hAnsi="宋体" w:eastAsia="宋体" w:cs="宋体"/>
          <w:spacing w:val="-2"/>
          <w:sz w:val="24"/>
          <w:szCs w:val="24"/>
        </w:rPr>
        <w:t>积盆地和风积沙地及冲洪积沟谷内，第四系孔隙潜水主要受地貌条件、古地理环境和含</w:t>
      </w:r>
      <w:r>
        <w:rPr>
          <w:rFonts w:ascii="宋体" w:hAnsi="宋体" w:eastAsia="宋体" w:cs="宋体"/>
          <w:spacing w:val="17"/>
          <w:sz w:val="24"/>
          <w:szCs w:val="24"/>
        </w:rPr>
        <w:t xml:space="preserve"> </w:t>
      </w:r>
      <w:r>
        <w:rPr>
          <w:rFonts w:ascii="宋体" w:hAnsi="宋体" w:eastAsia="宋体" w:cs="宋体"/>
          <w:spacing w:val="-2"/>
          <w:sz w:val="24"/>
          <w:szCs w:val="24"/>
        </w:rPr>
        <w:t>水层岩性的控制。据相关资料，含水层岩性由粉细砂、细砂组成，局部为砾砂，含水层</w:t>
      </w:r>
      <w:r>
        <w:rPr>
          <w:rFonts w:ascii="宋体" w:hAnsi="宋体" w:eastAsia="宋体" w:cs="宋体"/>
          <w:spacing w:val="17"/>
          <w:sz w:val="24"/>
          <w:szCs w:val="24"/>
        </w:rPr>
        <w:t xml:space="preserve"> </w:t>
      </w:r>
      <w:r>
        <w:rPr>
          <w:rFonts w:ascii="宋体" w:hAnsi="宋体" w:eastAsia="宋体" w:cs="宋体"/>
          <w:spacing w:val="-2"/>
          <w:sz w:val="24"/>
          <w:szCs w:val="24"/>
        </w:rPr>
        <w:t>厚度薄，水量贫乏，无供水意义；另外高平原第四系孔隙潜水呈零星分布，由于第四系</w:t>
      </w:r>
      <w:r>
        <w:rPr>
          <w:rFonts w:ascii="宋体" w:hAnsi="宋体" w:eastAsia="宋体" w:cs="宋体"/>
          <w:spacing w:val="17"/>
          <w:sz w:val="24"/>
          <w:szCs w:val="24"/>
        </w:rPr>
        <w:t xml:space="preserve"> </w:t>
      </w:r>
      <w:r>
        <w:rPr>
          <w:rFonts w:ascii="宋体" w:hAnsi="宋体" w:eastAsia="宋体" w:cs="宋体"/>
          <w:spacing w:val="-2"/>
          <w:sz w:val="24"/>
          <w:szCs w:val="24"/>
        </w:rPr>
        <w:t>堆积物较薄，大部地段古近系泥岩出露地表，不利于第四系孔隙潜水的形成，仅在局部</w:t>
      </w:r>
      <w:r>
        <w:rPr>
          <w:rFonts w:ascii="宋体" w:hAnsi="宋体" w:eastAsia="宋体" w:cs="宋体"/>
          <w:spacing w:val="17"/>
          <w:sz w:val="24"/>
          <w:szCs w:val="24"/>
        </w:rPr>
        <w:t xml:space="preserve"> </w:t>
      </w:r>
      <w:r>
        <w:rPr>
          <w:rFonts w:ascii="宋体" w:hAnsi="宋体" w:eastAsia="宋体" w:cs="宋体"/>
          <w:spacing w:val="-2"/>
          <w:sz w:val="24"/>
          <w:szCs w:val="24"/>
        </w:rPr>
        <w:t>洼地或沟谷中有不连续的孔隙潜水分布。其形成与上覆松散地层的岩性、厚度有密切关</w:t>
      </w:r>
      <w:r>
        <w:rPr>
          <w:rFonts w:ascii="宋体" w:hAnsi="宋体" w:eastAsia="宋体" w:cs="宋体"/>
          <w:spacing w:val="17"/>
          <w:sz w:val="24"/>
          <w:szCs w:val="24"/>
        </w:rPr>
        <w:t xml:space="preserve"> </w:t>
      </w:r>
      <w:r>
        <w:rPr>
          <w:rFonts w:ascii="宋体" w:hAnsi="宋体" w:eastAsia="宋体" w:cs="宋体"/>
          <w:spacing w:val="-1"/>
          <w:sz w:val="24"/>
          <w:szCs w:val="24"/>
        </w:rPr>
        <w:t>系。因沉积厚度薄，加之蒸发强烈，降水稀少，含水弱，民井单井涌水量＜</w:t>
      </w:r>
      <w:r>
        <w:rPr>
          <w:rFonts w:ascii="Times New Roman" w:hAnsi="Times New Roman" w:eastAsia="Times New Roman" w:cs="Times New Roman"/>
          <w:spacing w:val="-1"/>
          <w:sz w:val="24"/>
          <w:szCs w:val="24"/>
        </w:rPr>
        <w:t>100 m3/d</w:t>
      </w:r>
      <w:r>
        <w:rPr>
          <w:rFonts w:ascii="Times New Roman" w:hAnsi="Times New Roman" w:eastAsia="Times New Roman" w:cs="Times New Roman"/>
          <w:spacing w:val="-30"/>
          <w:sz w:val="24"/>
          <w:szCs w:val="24"/>
        </w:rPr>
        <w:t xml:space="preserve"> </w:t>
      </w:r>
      <w:r>
        <w:rPr>
          <w:rFonts w:ascii="宋体" w:hAnsi="宋体" w:eastAsia="宋体" w:cs="宋体"/>
          <w:spacing w:val="-1"/>
          <w:sz w:val="24"/>
          <w:szCs w:val="24"/>
        </w:rPr>
        <w:t>，</w:t>
      </w:r>
      <w:r>
        <w:rPr>
          <w:rFonts w:ascii="宋体" w:hAnsi="宋体" w:eastAsia="宋体" w:cs="宋体"/>
          <w:sz w:val="24"/>
          <w:szCs w:val="24"/>
        </w:rPr>
        <w:t xml:space="preserve"> </w:t>
      </w:r>
      <w:r>
        <w:rPr>
          <w:rFonts w:ascii="宋体" w:hAnsi="宋体" w:eastAsia="宋体" w:cs="宋体"/>
          <w:spacing w:val="-1"/>
          <w:sz w:val="24"/>
          <w:szCs w:val="24"/>
        </w:rPr>
        <w:t>水质较差，矿化度一般＞</w:t>
      </w:r>
      <w:r>
        <w:rPr>
          <w:rFonts w:ascii="Times New Roman" w:hAnsi="Times New Roman" w:eastAsia="Times New Roman" w:cs="Times New Roman"/>
          <w:spacing w:val="-1"/>
          <w:sz w:val="24"/>
          <w:szCs w:val="24"/>
        </w:rPr>
        <w:t>2g/L</w:t>
      </w:r>
      <w:r>
        <w:rPr>
          <w:rFonts w:ascii="宋体" w:hAnsi="宋体" w:eastAsia="宋体" w:cs="宋体"/>
          <w:spacing w:val="-1"/>
          <w:sz w:val="24"/>
          <w:szCs w:val="24"/>
        </w:rPr>
        <w:t>。</w:t>
      </w:r>
    </w:p>
    <w:p w14:paraId="0CCE545B">
      <w:pPr>
        <w:spacing w:before="35" w:line="217" w:lineRule="auto"/>
        <w:ind w:left="486"/>
        <w:rPr>
          <w:rFonts w:ascii="宋体" w:hAnsi="宋体" w:eastAsia="宋体" w:cs="宋体"/>
          <w:sz w:val="24"/>
          <w:szCs w:val="24"/>
        </w:rPr>
      </w:pPr>
      <w:r>
        <w:rPr>
          <w:rFonts w:ascii="宋体" w:hAnsi="宋体" w:eastAsia="宋体" w:cs="宋体"/>
          <w:spacing w:val="-1"/>
          <w:sz w:val="24"/>
          <w:szCs w:val="24"/>
        </w:rPr>
        <w:t>②碎屑岩类裂隙孔隙水</w:t>
      </w:r>
    </w:p>
    <w:p w14:paraId="25313FE5">
      <w:pPr>
        <w:spacing w:before="182" w:line="347" w:lineRule="auto"/>
        <w:ind w:left="8" w:right="18" w:firstLine="479"/>
        <w:rPr>
          <w:rFonts w:ascii="宋体" w:hAnsi="宋体" w:eastAsia="宋体" w:cs="宋体"/>
          <w:sz w:val="24"/>
          <w:szCs w:val="24"/>
        </w:rPr>
      </w:pPr>
      <w:r>
        <w:rPr>
          <w:rFonts w:ascii="宋体" w:hAnsi="宋体" w:eastAsia="宋体" w:cs="宋体"/>
          <w:spacing w:val="-6"/>
          <w:sz w:val="24"/>
          <w:szCs w:val="24"/>
        </w:rPr>
        <w:t>碎屑岩类裂隙孔隙水大面积分布于区域内，其时代主</w:t>
      </w:r>
      <w:r>
        <w:rPr>
          <w:rFonts w:ascii="宋体" w:hAnsi="宋体" w:eastAsia="宋体" w:cs="宋体"/>
          <w:spacing w:val="-7"/>
          <w:sz w:val="24"/>
          <w:szCs w:val="24"/>
        </w:rPr>
        <w:t>要为新近系、古近系和白垩系，</w:t>
      </w:r>
      <w:r>
        <w:rPr>
          <w:rFonts w:ascii="宋体" w:hAnsi="宋体" w:eastAsia="宋体" w:cs="宋体"/>
          <w:sz w:val="24"/>
          <w:szCs w:val="24"/>
        </w:rPr>
        <w:t xml:space="preserve"> </w:t>
      </w:r>
      <w:r>
        <w:rPr>
          <w:rFonts w:ascii="宋体" w:hAnsi="宋体" w:eastAsia="宋体" w:cs="宋体"/>
          <w:spacing w:val="-1"/>
          <w:sz w:val="24"/>
          <w:szCs w:val="24"/>
        </w:rPr>
        <w:t>根据其水力性质又可分为潜水和承压水。</w:t>
      </w:r>
    </w:p>
    <w:p w14:paraId="41AFB1A2">
      <w:pPr>
        <w:spacing w:before="35" w:line="219" w:lineRule="auto"/>
        <w:ind w:left="487"/>
        <w:rPr>
          <w:rFonts w:ascii="宋体" w:hAnsi="宋体" w:eastAsia="宋体" w:cs="宋体"/>
          <w:sz w:val="24"/>
          <w:szCs w:val="24"/>
        </w:rPr>
      </w:pPr>
      <w:r>
        <w:rPr>
          <w:rFonts w:ascii="Times New Roman" w:hAnsi="Times New Roman" w:eastAsia="Times New Roman" w:cs="Times New Roman"/>
          <w:spacing w:val="-1"/>
          <w:sz w:val="24"/>
          <w:szCs w:val="24"/>
        </w:rPr>
        <w:t>a.</w:t>
      </w:r>
      <w:r>
        <w:rPr>
          <w:rFonts w:ascii="宋体" w:hAnsi="宋体" w:eastAsia="宋体" w:cs="宋体"/>
          <w:spacing w:val="-1"/>
          <w:sz w:val="24"/>
          <w:szCs w:val="24"/>
        </w:rPr>
        <w:t>新近系、古近系裂隙孔隙潜水</w:t>
      </w:r>
    </w:p>
    <w:p w14:paraId="7099381C">
      <w:pPr>
        <w:spacing w:before="186" w:line="354" w:lineRule="auto"/>
        <w:ind w:left="7" w:firstLine="498"/>
        <w:rPr>
          <w:rFonts w:ascii="宋体" w:hAnsi="宋体" w:eastAsia="宋体" w:cs="宋体"/>
          <w:sz w:val="24"/>
          <w:szCs w:val="24"/>
        </w:rPr>
      </w:pPr>
      <w:r>
        <w:rPr>
          <w:rFonts w:ascii="宋体" w:hAnsi="宋体" w:eastAsia="宋体" w:cs="宋体"/>
          <w:spacing w:val="-2"/>
          <w:sz w:val="24"/>
          <w:szCs w:val="24"/>
        </w:rPr>
        <w:t>区域高平原上部的剥蚀洼地中，一般都分布有新近系上新统、中新统和</w:t>
      </w:r>
      <w:r>
        <w:rPr>
          <w:rFonts w:ascii="宋体" w:hAnsi="宋体" w:eastAsia="宋体" w:cs="宋体"/>
          <w:spacing w:val="-3"/>
          <w:sz w:val="24"/>
          <w:szCs w:val="24"/>
        </w:rPr>
        <w:t>古近系渐新</w:t>
      </w:r>
      <w:r>
        <w:rPr>
          <w:rFonts w:ascii="宋体" w:hAnsi="宋体" w:eastAsia="宋体" w:cs="宋体"/>
          <w:sz w:val="24"/>
          <w:szCs w:val="24"/>
        </w:rPr>
        <w:t xml:space="preserve"> </w:t>
      </w:r>
      <w:r>
        <w:rPr>
          <w:rFonts w:ascii="宋体" w:hAnsi="宋体" w:eastAsia="宋体" w:cs="宋体"/>
          <w:spacing w:val="-2"/>
          <w:sz w:val="24"/>
          <w:szCs w:val="24"/>
        </w:rPr>
        <w:t>统、古</w:t>
      </w:r>
      <w:r>
        <w:rPr>
          <w:rFonts w:ascii="Times New Roman" w:hAnsi="Times New Roman" w:eastAsia="Times New Roman" w:cs="Times New Roman"/>
          <w:spacing w:val="-2"/>
          <w:sz w:val="24"/>
          <w:szCs w:val="24"/>
        </w:rPr>
        <w:t>—</w:t>
      </w:r>
      <w:r>
        <w:rPr>
          <w:rFonts w:ascii="宋体" w:hAnsi="宋体" w:eastAsia="宋体" w:cs="宋体"/>
          <w:spacing w:val="-2"/>
          <w:sz w:val="24"/>
          <w:szCs w:val="24"/>
        </w:rPr>
        <w:t>始新统砂岩、砂砾岩组成的裂隙孔隙潜水。潜水受微地貌和岩性的控制，在地</w:t>
      </w:r>
      <w:r>
        <w:rPr>
          <w:rFonts w:ascii="宋体" w:hAnsi="宋体" w:eastAsia="宋体" w:cs="宋体"/>
          <w:spacing w:val="18"/>
          <w:sz w:val="24"/>
          <w:szCs w:val="24"/>
        </w:rPr>
        <w:t xml:space="preserve"> </w:t>
      </w:r>
      <w:r>
        <w:rPr>
          <w:rFonts w:ascii="宋体" w:hAnsi="宋体" w:eastAsia="宋体" w:cs="宋体"/>
          <w:spacing w:val="-2"/>
          <w:sz w:val="24"/>
          <w:szCs w:val="24"/>
        </w:rPr>
        <w:t>形低洼，上覆有胶结程度不好的砂岩、砂砾岩层，下部有隔水泥层，且隔水泥岩顶面低</w:t>
      </w:r>
      <w:r>
        <w:rPr>
          <w:rFonts w:ascii="宋体" w:hAnsi="宋体" w:eastAsia="宋体" w:cs="宋体"/>
          <w:spacing w:val="18"/>
          <w:sz w:val="24"/>
          <w:szCs w:val="24"/>
        </w:rPr>
        <w:t xml:space="preserve"> </w:t>
      </w:r>
      <w:r>
        <w:rPr>
          <w:rFonts w:ascii="宋体" w:hAnsi="宋体" w:eastAsia="宋体" w:cs="宋体"/>
          <w:spacing w:val="-2"/>
          <w:sz w:val="24"/>
          <w:szCs w:val="24"/>
        </w:rPr>
        <w:t>洼时，才有局部洼地裂隙孔隙潜水存在。含水层不连续，无统一排泄带，地下水由洼地</w:t>
      </w:r>
      <w:r>
        <w:rPr>
          <w:rFonts w:ascii="宋体" w:hAnsi="宋体" w:eastAsia="宋体" w:cs="宋体"/>
          <w:spacing w:val="18"/>
          <w:sz w:val="24"/>
          <w:szCs w:val="24"/>
        </w:rPr>
        <w:t xml:space="preserve"> </w:t>
      </w:r>
      <w:r>
        <w:rPr>
          <w:rFonts w:ascii="宋体" w:hAnsi="宋体" w:eastAsia="宋体" w:cs="宋体"/>
          <w:spacing w:val="-2"/>
          <w:sz w:val="24"/>
          <w:szCs w:val="24"/>
        </w:rPr>
        <w:t>边缘向中心径流；接受大气降水补给，新近系和古近系局部洼地裂隙孔隙潜水以上新统</w:t>
      </w:r>
      <w:r>
        <w:rPr>
          <w:rFonts w:ascii="宋体" w:hAnsi="宋体" w:eastAsia="宋体" w:cs="宋体"/>
          <w:spacing w:val="18"/>
          <w:sz w:val="24"/>
          <w:szCs w:val="24"/>
        </w:rPr>
        <w:t xml:space="preserve"> </w:t>
      </w:r>
      <w:r>
        <w:rPr>
          <w:rFonts w:ascii="宋体" w:hAnsi="宋体" w:eastAsia="宋体" w:cs="宋体"/>
          <w:spacing w:val="7"/>
          <w:sz w:val="24"/>
          <w:szCs w:val="24"/>
        </w:rPr>
        <w:t>和中新统砂岩、砂砾岩含水层富水性较好，民井单井涌水量一般</w:t>
      </w:r>
      <w:r>
        <w:rPr>
          <w:rFonts w:ascii="Times New Roman" w:hAnsi="Times New Roman" w:eastAsia="Times New Roman" w:cs="Times New Roman"/>
          <w:spacing w:val="7"/>
          <w:sz w:val="24"/>
          <w:szCs w:val="24"/>
        </w:rPr>
        <w:t>15~26m</w:t>
      </w:r>
      <w:r>
        <w:rPr>
          <w:rFonts w:ascii="Times New Roman" w:hAnsi="Times New Roman" w:eastAsia="Times New Roman" w:cs="Times New Roman"/>
          <w:spacing w:val="7"/>
          <w:position w:val="8"/>
          <w:sz w:val="15"/>
          <w:szCs w:val="15"/>
        </w:rPr>
        <w:t>3</w:t>
      </w:r>
      <w:r>
        <w:rPr>
          <w:rFonts w:ascii="Times New Roman" w:hAnsi="Times New Roman" w:eastAsia="Times New Roman" w:cs="Times New Roman"/>
          <w:spacing w:val="7"/>
          <w:sz w:val="24"/>
          <w:szCs w:val="24"/>
        </w:rPr>
        <w:t>/d</w:t>
      </w:r>
      <w:r>
        <w:rPr>
          <w:rFonts w:ascii="Times New Roman" w:hAnsi="Times New Roman" w:eastAsia="Times New Roman" w:cs="Times New Roman"/>
          <w:spacing w:val="-22"/>
          <w:sz w:val="24"/>
          <w:szCs w:val="24"/>
        </w:rPr>
        <w:t xml:space="preserve"> </w:t>
      </w:r>
      <w:r>
        <w:rPr>
          <w:rFonts w:ascii="宋体" w:hAnsi="宋体" w:eastAsia="宋体" w:cs="宋体"/>
          <w:spacing w:val="7"/>
          <w:sz w:val="24"/>
          <w:szCs w:val="24"/>
        </w:rPr>
        <w:t>，最大达</w:t>
      </w:r>
      <w:r>
        <w:rPr>
          <w:rFonts w:ascii="宋体" w:hAnsi="宋体" w:eastAsia="宋体" w:cs="宋体"/>
          <w:sz w:val="24"/>
          <w:szCs w:val="24"/>
        </w:rPr>
        <w:t xml:space="preserve"> </w:t>
      </w:r>
      <w:r>
        <w:rPr>
          <w:rFonts w:ascii="Times New Roman" w:hAnsi="Times New Roman" w:eastAsia="Times New Roman" w:cs="Times New Roman"/>
          <w:spacing w:val="-1"/>
          <w:sz w:val="24"/>
          <w:szCs w:val="24"/>
        </w:rPr>
        <w:t>50~87m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/d</w:t>
      </w:r>
      <w:r>
        <w:rPr>
          <w:rFonts w:ascii="宋体" w:hAnsi="宋体" w:eastAsia="宋体" w:cs="宋体"/>
          <w:spacing w:val="-1"/>
          <w:sz w:val="24"/>
          <w:szCs w:val="24"/>
        </w:rPr>
        <w:t>；而古近系渐新统和古</w:t>
      </w:r>
      <w:r>
        <w:rPr>
          <w:rFonts w:ascii="Times New Roman" w:hAnsi="Times New Roman" w:eastAsia="Times New Roman" w:cs="Times New Roman"/>
          <w:spacing w:val="-1"/>
          <w:sz w:val="24"/>
          <w:szCs w:val="24"/>
        </w:rPr>
        <w:t>—</w:t>
      </w:r>
      <w:r>
        <w:rPr>
          <w:rFonts w:ascii="宋体" w:hAnsi="宋体" w:eastAsia="宋体" w:cs="宋体"/>
          <w:spacing w:val="-1"/>
          <w:sz w:val="24"/>
          <w:szCs w:val="24"/>
        </w:rPr>
        <w:t>始新统则富水性较差，单井涌水量一般小于</w:t>
      </w:r>
      <w:r>
        <w:rPr>
          <w:rFonts w:ascii="Times New Roman" w:hAnsi="Times New Roman" w:eastAsia="Times New Roman" w:cs="Times New Roman"/>
          <w:spacing w:val="-1"/>
          <w:sz w:val="24"/>
          <w:szCs w:val="24"/>
        </w:rPr>
        <w:t>10m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/d</w:t>
      </w:r>
      <w:r>
        <w:rPr>
          <w:rFonts w:ascii="宋体" w:hAnsi="宋体" w:eastAsia="宋体" w:cs="宋体"/>
          <w:spacing w:val="-1"/>
          <w:sz w:val="24"/>
          <w:szCs w:val="24"/>
        </w:rPr>
        <w:t>，</w:t>
      </w:r>
      <w:r>
        <w:rPr>
          <w:rFonts w:ascii="宋体" w:hAnsi="宋体" w:eastAsia="宋体" w:cs="宋体"/>
          <w:spacing w:val="2"/>
          <w:sz w:val="24"/>
          <w:szCs w:val="24"/>
        </w:rPr>
        <w:t xml:space="preserve"> </w:t>
      </w:r>
      <w:r>
        <w:rPr>
          <w:rFonts w:ascii="宋体" w:hAnsi="宋体" w:eastAsia="宋体" w:cs="宋体"/>
          <w:spacing w:val="1"/>
          <w:sz w:val="24"/>
          <w:szCs w:val="24"/>
        </w:rPr>
        <w:t>最大</w:t>
      </w:r>
      <w:r>
        <w:rPr>
          <w:rFonts w:ascii="Times New Roman" w:hAnsi="Times New Roman" w:eastAsia="Times New Roman" w:cs="Times New Roman"/>
          <w:spacing w:val="1"/>
          <w:sz w:val="24"/>
          <w:szCs w:val="24"/>
        </w:rPr>
        <w:t>15~20m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/d</w:t>
      </w:r>
      <w:r>
        <w:rPr>
          <w:rFonts w:ascii="Times New Roman" w:hAnsi="Times New Roman" w:eastAsia="Times New Roman" w:cs="Times New Roman"/>
          <w:spacing w:val="-21"/>
          <w:sz w:val="24"/>
          <w:szCs w:val="24"/>
        </w:rPr>
        <w:t xml:space="preserve"> </w:t>
      </w:r>
      <w:r>
        <w:rPr>
          <w:rFonts w:ascii="宋体" w:hAnsi="宋体" w:eastAsia="宋体" w:cs="宋体"/>
          <w:spacing w:val="1"/>
          <w:sz w:val="24"/>
          <w:szCs w:val="24"/>
        </w:rPr>
        <w:t>。同一地质时代、同一地貌单元的民井中，单井涌水量的大小，主要取</w:t>
      </w:r>
      <w:r>
        <w:rPr>
          <w:rFonts w:ascii="宋体" w:hAnsi="宋体" w:eastAsia="宋体" w:cs="宋体"/>
          <w:sz w:val="24"/>
          <w:szCs w:val="24"/>
        </w:rPr>
        <w:t xml:space="preserve"> </w:t>
      </w:r>
      <w:r>
        <w:rPr>
          <w:rFonts w:ascii="宋体" w:hAnsi="宋体" w:eastAsia="宋体" w:cs="宋体"/>
          <w:spacing w:val="-2"/>
          <w:sz w:val="24"/>
          <w:szCs w:val="24"/>
        </w:rPr>
        <w:t>决于洼地面积的大小，含水层岩性的粗细，揭露含水层的厚度及井径的大小。调查区因</w:t>
      </w:r>
      <w:r>
        <w:rPr>
          <w:rFonts w:ascii="宋体" w:hAnsi="宋体" w:eastAsia="宋体" w:cs="宋体"/>
          <w:spacing w:val="18"/>
          <w:sz w:val="24"/>
          <w:szCs w:val="24"/>
        </w:rPr>
        <w:t xml:space="preserve"> </w:t>
      </w:r>
      <w:r>
        <w:rPr>
          <w:rFonts w:ascii="宋体" w:hAnsi="宋体" w:eastAsia="宋体" w:cs="宋体"/>
          <w:spacing w:val="-6"/>
          <w:sz w:val="24"/>
          <w:szCs w:val="24"/>
        </w:rPr>
        <w:t>降水量很小，局部洼地古近系裂隙孔隙潜水水量一般不大；主要靠蒸发和人工开采排泄。</w:t>
      </w:r>
      <w:r>
        <w:rPr>
          <w:rFonts w:ascii="宋体" w:hAnsi="宋体" w:eastAsia="宋体" w:cs="宋体"/>
          <w:spacing w:val="16"/>
          <w:sz w:val="24"/>
          <w:szCs w:val="24"/>
        </w:rPr>
        <w:t xml:space="preserve"> </w:t>
      </w:r>
      <w:r>
        <w:rPr>
          <w:rFonts w:ascii="宋体" w:hAnsi="宋体" w:eastAsia="宋体" w:cs="宋体"/>
          <w:spacing w:val="3"/>
          <w:sz w:val="24"/>
          <w:szCs w:val="24"/>
        </w:rPr>
        <w:t>水位埋深一般</w:t>
      </w:r>
      <w:r>
        <w:rPr>
          <w:rFonts w:ascii="Times New Roman" w:hAnsi="Times New Roman" w:eastAsia="Times New Roman" w:cs="Times New Roman"/>
          <w:spacing w:val="3"/>
          <w:sz w:val="24"/>
          <w:szCs w:val="24"/>
        </w:rPr>
        <w:t>1</w:t>
      </w:r>
      <w:r>
        <w:rPr>
          <w:rFonts w:ascii="宋体" w:hAnsi="宋体" w:eastAsia="宋体" w:cs="宋体"/>
          <w:spacing w:val="3"/>
          <w:sz w:val="24"/>
          <w:szCs w:val="24"/>
        </w:rPr>
        <w:t>～</w:t>
      </w:r>
      <w:r>
        <w:rPr>
          <w:rFonts w:ascii="Times New Roman" w:hAnsi="Times New Roman" w:eastAsia="Times New Roman" w:cs="Times New Roman"/>
          <w:spacing w:val="3"/>
          <w:sz w:val="24"/>
          <w:szCs w:val="24"/>
        </w:rPr>
        <w:t>5m</w:t>
      </w:r>
      <w:r>
        <w:rPr>
          <w:rFonts w:ascii="Times New Roman" w:hAnsi="Times New Roman" w:eastAsia="Times New Roman" w:cs="Times New Roman"/>
          <w:spacing w:val="-26"/>
          <w:sz w:val="24"/>
          <w:szCs w:val="24"/>
        </w:rPr>
        <w:t xml:space="preserve"> </w:t>
      </w:r>
      <w:r>
        <w:rPr>
          <w:rFonts w:ascii="宋体" w:hAnsi="宋体" w:eastAsia="宋体" w:cs="宋体"/>
          <w:spacing w:val="3"/>
          <w:sz w:val="24"/>
          <w:szCs w:val="24"/>
        </w:rPr>
        <w:t>，部分地段</w:t>
      </w:r>
      <w:r>
        <w:rPr>
          <w:rFonts w:ascii="Times New Roman" w:hAnsi="Times New Roman" w:eastAsia="Times New Roman" w:cs="Times New Roman"/>
          <w:spacing w:val="3"/>
          <w:sz w:val="24"/>
          <w:szCs w:val="24"/>
        </w:rPr>
        <w:t>5</w:t>
      </w:r>
      <w:r>
        <w:rPr>
          <w:rFonts w:ascii="宋体" w:hAnsi="宋体" w:eastAsia="宋体" w:cs="宋体"/>
          <w:spacing w:val="3"/>
          <w:sz w:val="24"/>
          <w:szCs w:val="24"/>
        </w:rPr>
        <w:t>～</w:t>
      </w:r>
      <w:r>
        <w:rPr>
          <w:rFonts w:ascii="Times New Roman" w:hAnsi="Times New Roman" w:eastAsia="Times New Roman" w:cs="Times New Roman"/>
          <w:spacing w:val="3"/>
          <w:sz w:val="24"/>
          <w:szCs w:val="24"/>
        </w:rPr>
        <w:t>10m</w:t>
      </w:r>
      <w:r>
        <w:rPr>
          <w:rFonts w:ascii="Times New Roman" w:hAnsi="Times New Roman" w:eastAsia="Times New Roman" w:cs="Times New Roman"/>
          <w:spacing w:val="-25"/>
          <w:sz w:val="24"/>
          <w:szCs w:val="24"/>
        </w:rPr>
        <w:t xml:space="preserve"> </w:t>
      </w:r>
      <w:r>
        <w:rPr>
          <w:rFonts w:ascii="宋体" w:hAnsi="宋体" w:eastAsia="宋体" w:cs="宋体"/>
          <w:spacing w:val="3"/>
          <w:sz w:val="24"/>
          <w:szCs w:val="24"/>
        </w:rPr>
        <w:t>，含水层厚</w:t>
      </w:r>
      <w:r>
        <w:rPr>
          <w:rFonts w:ascii="Times New Roman" w:hAnsi="Times New Roman" w:eastAsia="Times New Roman" w:cs="Times New Roman"/>
          <w:spacing w:val="3"/>
          <w:sz w:val="24"/>
          <w:szCs w:val="24"/>
        </w:rPr>
        <w:t>2</w:t>
      </w:r>
      <w:r>
        <w:rPr>
          <w:rFonts w:ascii="宋体" w:hAnsi="宋体" w:eastAsia="宋体" w:cs="宋体"/>
          <w:spacing w:val="3"/>
          <w:sz w:val="24"/>
          <w:szCs w:val="24"/>
        </w:rPr>
        <w:t>～</w:t>
      </w:r>
      <w:r>
        <w:rPr>
          <w:rFonts w:ascii="Times New Roman" w:hAnsi="Times New Roman" w:eastAsia="Times New Roman" w:cs="Times New Roman"/>
          <w:spacing w:val="3"/>
          <w:sz w:val="24"/>
          <w:szCs w:val="24"/>
        </w:rPr>
        <w:t>5m</w:t>
      </w:r>
      <w:r>
        <w:rPr>
          <w:rFonts w:ascii="Times New Roman" w:hAnsi="Times New Roman" w:eastAsia="Times New Roman" w:cs="Times New Roman"/>
          <w:spacing w:val="-25"/>
          <w:sz w:val="24"/>
          <w:szCs w:val="24"/>
        </w:rPr>
        <w:t xml:space="preserve"> </w:t>
      </w:r>
      <w:r>
        <w:rPr>
          <w:rFonts w:ascii="宋体" w:hAnsi="宋体" w:eastAsia="宋体" w:cs="宋体"/>
          <w:spacing w:val="3"/>
          <w:sz w:val="24"/>
          <w:szCs w:val="24"/>
        </w:rPr>
        <w:t>，民井单井</w:t>
      </w:r>
      <w:r>
        <w:rPr>
          <w:rFonts w:ascii="宋体" w:hAnsi="宋体" w:eastAsia="宋体" w:cs="宋体"/>
          <w:spacing w:val="2"/>
          <w:sz w:val="24"/>
          <w:szCs w:val="24"/>
        </w:rPr>
        <w:t>出水量一般小于</w:t>
      </w:r>
      <w:r>
        <w:rPr>
          <w:rFonts w:ascii="宋体" w:hAnsi="宋体" w:eastAsia="宋体" w:cs="宋体"/>
          <w:sz w:val="24"/>
          <w:szCs w:val="24"/>
        </w:rPr>
        <w:t xml:space="preserve"> </w:t>
      </w:r>
      <w:r>
        <w:rPr>
          <w:rFonts w:ascii="Times New Roman" w:hAnsi="Times New Roman" w:eastAsia="Times New Roman" w:cs="Times New Roman"/>
          <w:spacing w:val="-1"/>
          <w:sz w:val="24"/>
          <w:szCs w:val="24"/>
        </w:rPr>
        <w:t>10m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/d</w:t>
      </w:r>
      <w:r>
        <w:rPr>
          <w:rFonts w:ascii="宋体" w:hAnsi="宋体" w:eastAsia="宋体" w:cs="宋体"/>
          <w:spacing w:val="-1"/>
          <w:sz w:val="24"/>
          <w:szCs w:val="24"/>
        </w:rPr>
        <w:t>。</w:t>
      </w:r>
    </w:p>
    <w:p w14:paraId="06C985F8">
      <w:pPr>
        <w:spacing w:before="72" w:line="347" w:lineRule="auto"/>
        <w:ind w:left="11" w:right="81" w:firstLine="477"/>
        <w:rPr>
          <w:rFonts w:ascii="宋体" w:hAnsi="宋体" w:eastAsia="宋体" w:cs="宋体"/>
          <w:sz w:val="24"/>
          <w:szCs w:val="24"/>
        </w:rPr>
      </w:pPr>
      <w:r>
        <w:rPr>
          <w:rFonts w:ascii="宋体" w:hAnsi="宋体" w:eastAsia="宋体" w:cs="宋体"/>
          <w:spacing w:val="-2"/>
          <w:sz w:val="24"/>
          <w:szCs w:val="24"/>
        </w:rPr>
        <w:t>地下水因直接受大气降水渗入补给，径流距离较短，但由于区内蒸发浓缩作用强，</w:t>
      </w:r>
      <w:r>
        <w:rPr>
          <w:rFonts w:ascii="宋体" w:hAnsi="宋体" w:eastAsia="宋体" w:cs="宋体"/>
          <w:spacing w:val="11"/>
          <w:sz w:val="24"/>
          <w:szCs w:val="24"/>
        </w:rPr>
        <w:t xml:space="preserve"> </w:t>
      </w:r>
      <w:r>
        <w:rPr>
          <w:rFonts w:ascii="宋体" w:hAnsi="宋体" w:eastAsia="宋体" w:cs="宋体"/>
          <w:spacing w:val="-11"/>
          <w:sz w:val="24"/>
          <w:szCs w:val="24"/>
        </w:rPr>
        <w:t>或地形平缓，地下径流缓慢，溶滤作用较强，矿化度一般</w:t>
      </w:r>
      <w:r>
        <w:rPr>
          <w:rFonts w:ascii="Times New Roman" w:hAnsi="Times New Roman" w:eastAsia="Times New Roman" w:cs="Times New Roman"/>
          <w:spacing w:val="-11"/>
          <w:sz w:val="24"/>
          <w:szCs w:val="24"/>
        </w:rPr>
        <w:t>1</w:t>
      </w:r>
      <w:r>
        <w:rPr>
          <w:rFonts w:ascii="宋体" w:hAnsi="宋体" w:eastAsia="宋体" w:cs="宋体"/>
          <w:spacing w:val="-11"/>
          <w:sz w:val="24"/>
          <w:szCs w:val="24"/>
        </w:rPr>
        <w:t>～</w:t>
      </w:r>
      <w:r>
        <w:rPr>
          <w:rFonts w:ascii="Times New Roman" w:hAnsi="Times New Roman" w:eastAsia="Times New Roman" w:cs="Times New Roman"/>
          <w:spacing w:val="-12"/>
          <w:sz w:val="24"/>
          <w:szCs w:val="24"/>
        </w:rPr>
        <w:t>2g/L</w:t>
      </w:r>
      <w:r>
        <w:rPr>
          <w:rFonts w:ascii="宋体" w:hAnsi="宋体" w:eastAsia="宋体" w:cs="宋体"/>
          <w:spacing w:val="-12"/>
          <w:sz w:val="24"/>
          <w:szCs w:val="24"/>
        </w:rPr>
        <w:t>，地下水类型以</w:t>
      </w:r>
      <w:r>
        <w:rPr>
          <w:rFonts w:ascii="Times New Roman" w:hAnsi="Times New Roman" w:eastAsia="Times New Roman" w:cs="Times New Roman"/>
          <w:spacing w:val="-12"/>
          <w:sz w:val="24"/>
          <w:szCs w:val="24"/>
        </w:rPr>
        <w:t>Cl•SO</w:t>
      </w:r>
      <w:r>
        <w:rPr>
          <w:rFonts w:ascii="Times New Roman" w:hAnsi="Times New Roman" w:eastAsia="Times New Roman" w:cs="Times New Roman"/>
          <w:sz w:val="15"/>
          <w:szCs w:val="15"/>
        </w:rPr>
        <w:t>4</w:t>
      </w:r>
      <w:r>
        <w:rPr>
          <w:rFonts w:ascii="Times New Roman" w:hAnsi="Times New Roman" w:eastAsia="Times New Roman" w:cs="Times New Roman"/>
          <w:sz w:val="24"/>
          <w:szCs w:val="24"/>
        </w:rPr>
        <w:t xml:space="preserve">-Na </w:t>
      </w:r>
      <w:r>
        <w:rPr>
          <w:rFonts w:ascii="宋体" w:hAnsi="宋体" w:eastAsia="宋体" w:cs="宋体"/>
          <w:spacing w:val="-3"/>
          <w:sz w:val="24"/>
          <w:szCs w:val="24"/>
        </w:rPr>
        <w:t>型水为主。</w:t>
      </w:r>
    </w:p>
    <w:p w14:paraId="65829A23">
      <w:pPr>
        <w:spacing w:before="51" w:line="219" w:lineRule="auto"/>
        <w:ind w:left="478"/>
        <w:rPr>
          <w:rFonts w:ascii="宋体" w:hAnsi="宋体" w:eastAsia="宋体" w:cs="宋体"/>
          <w:sz w:val="24"/>
          <w:szCs w:val="24"/>
        </w:rPr>
      </w:pPr>
      <w:r>
        <w:rPr>
          <w:rFonts w:ascii="Times New Roman" w:hAnsi="Times New Roman" w:eastAsia="Times New Roman" w:cs="Times New Roman"/>
          <w:sz w:val="24"/>
          <w:szCs w:val="24"/>
        </w:rPr>
        <w:t>b.</w:t>
      </w:r>
      <w:r>
        <w:rPr>
          <w:rFonts w:ascii="宋体" w:hAnsi="宋体" w:eastAsia="宋体" w:cs="宋体"/>
          <w:sz w:val="24"/>
          <w:szCs w:val="24"/>
        </w:rPr>
        <w:t>新近系、古近系、白垩系裂隙孔隙承压水</w:t>
      </w:r>
    </w:p>
    <w:p w14:paraId="28CD16C1">
      <w:pPr>
        <w:spacing w:line="219" w:lineRule="auto"/>
        <w:rPr>
          <w:rFonts w:ascii="宋体" w:hAnsi="宋体" w:eastAsia="宋体" w:cs="宋体"/>
          <w:sz w:val="24"/>
          <w:szCs w:val="24"/>
        </w:rPr>
        <w:sectPr>
          <w:footerReference r:id="rId311" w:type="default"/>
          <w:pgSz w:w="11905" w:h="16839"/>
          <w:pgMar w:top="1190" w:right="1336" w:bottom="1427" w:left="1417" w:header="882" w:footer="1265" w:gutter="0"/>
          <w:cols w:space="720" w:num="1"/>
        </w:sectPr>
      </w:pPr>
    </w:p>
    <w:p w14:paraId="1686D5C2">
      <w:pPr>
        <w:spacing w:line="28" w:lineRule="exact"/>
      </w:pPr>
      <w:r>
        <w:pict>
          <v:shape id="_x0000_s1811" o:spid="_x0000_s1811" style="height:1.45pt;width:453.6pt;" fillcolor="#000000" filled="t" stroked="f" coordsize="9072,29" path="m0,0l9071,0,9071,28,0,28,0,0xe">
            <v:path/>
            <v:fill on="t" focussize="0,0"/>
            <v:stroke on="f"/>
            <v:imagedata o:title=""/>
            <o:lock v:ext="edit"/>
            <w10:wrap type="none"/>
            <w10:anchorlock/>
          </v:shape>
        </w:pict>
      </w:r>
    </w:p>
    <w:p w14:paraId="78AA6463">
      <w:pPr>
        <w:spacing w:before="235" w:line="350" w:lineRule="auto"/>
        <w:ind w:left="8" w:firstLine="480"/>
        <w:rPr>
          <w:rFonts w:ascii="宋体" w:hAnsi="宋体" w:eastAsia="宋体" w:cs="宋体"/>
          <w:sz w:val="24"/>
          <w:szCs w:val="24"/>
        </w:rPr>
      </w:pPr>
      <w:r>
        <w:rPr>
          <w:rFonts w:ascii="宋体" w:hAnsi="宋体" w:eastAsia="宋体" w:cs="宋体"/>
          <w:spacing w:val="-6"/>
          <w:sz w:val="24"/>
          <w:szCs w:val="24"/>
        </w:rPr>
        <w:t>深层地下水的形成与分布以及埋藏条件，主要受古地理、岩性和地貌的控制与影响。</w:t>
      </w:r>
      <w:r>
        <w:rPr>
          <w:rFonts w:ascii="宋体" w:hAnsi="宋体" w:eastAsia="宋体" w:cs="宋体"/>
          <w:spacing w:val="3"/>
          <w:sz w:val="24"/>
          <w:szCs w:val="24"/>
        </w:rPr>
        <w:t xml:space="preserve"> </w:t>
      </w:r>
      <w:r>
        <w:rPr>
          <w:rFonts w:ascii="宋体" w:hAnsi="宋体" w:eastAsia="宋体" w:cs="宋体"/>
          <w:spacing w:val="-2"/>
          <w:sz w:val="24"/>
          <w:szCs w:val="24"/>
        </w:rPr>
        <w:t>新近系、古近系、白垩系裂隙孔隙承压水主要分布在苏尼特古河道及东部高平原中。分</w:t>
      </w:r>
      <w:r>
        <w:rPr>
          <w:rFonts w:ascii="宋体" w:hAnsi="宋体" w:eastAsia="宋体" w:cs="宋体"/>
          <w:spacing w:val="17"/>
          <w:sz w:val="24"/>
          <w:szCs w:val="24"/>
        </w:rPr>
        <w:t xml:space="preserve"> </w:t>
      </w:r>
      <w:r>
        <w:rPr>
          <w:rFonts w:ascii="宋体" w:hAnsi="宋体" w:eastAsia="宋体" w:cs="宋体"/>
          <w:spacing w:val="-3"/>
          <w:sz w:val="24"/>
          <w:szCs w:val="24"/>
        </w:rPr>
        <w:t>述如下：</w:t>
      </w:r>
    </w:p>
    <w:p w14:paraId="52B698EB">
      <w:pPr>
        <w:spacing w:before="32" w:line="219" w:lineRule="auto"/>
        <w:ind w:left="488"/>
        <w:rPr>
          <w:rFonts w:ascii="宋体" w:hAnsi="宋体" w:eastAsia="宋体" w:cs="宋体"/>
          <w:sz w:val="24"/>
          <w:szCs w:val="24"/>
        </w:rPr>
      </w:pPr>
      <w:r>
        <w:rPr>
          <w:rFonts w:ascii="宋体" w:hAnsi="宋体" w:eastAsia="宋体" w:cs="宋体"/>
          <w:spacing w:val="-2"/>
          <w:sz w:val="24"/>
          <w:szCs w:val="24"/>
        </w:rPr>
        <w:t>㈠苏尼特古河道</w:t>
      </w:r>
    </w:p>
    <w:p w14:paraId="52522B0F">
      <w:pPr>
        <w:spacing w:before="185" w:line="355" w:lineRule="auto"/>
        <w:ind w:left="8" w:right="80" w:firstLine="484"/>
        <w:rPr>
          <w:rFonts w:ascii="宋体" w:hAnsi="宋体" w:eastAsia="宋体" w:cs="宋体"/>
          <w:sz w:val="24"/>
          <w:szCs w:val="24"/>
        </w:rPr>
      </w:pPr>
      <w:r>
        <w:rPr>
          <w:rFonts w:ascii="宋体" w:hAnsi="宋体" w:eastAsia="宋体" w:cs="宋体"/>
          <w:spacing w:val="-1"/>
          <w:sz w:val="24"/>
          <w:szCs w:val="24"/>
        </w:rPr>
        <w:t>苏尼特古河道上游源头位于四子王旗白乃庙地区，地面高程</w:t>
      </w:r>
      <w:r>
        <w:rPr>
          <w:rFonts w:ascii="Times New Roman" w:hAnsi="Times New Roman" w:eastAsia="Times New Roman" w:cs="Times New Roman"/>
          <w:spacing w:val="-1"/>
          <w:sz w:val="24"/>
          <w:szCs w:val="24"/>
        </w:rPr>
        <w:t>1250</w:t>
      </w:r>
      <w:r>
        <w:rPr>
          <w:rFonts w:ascii="宋体" w:hAnsi="宋体" w:eastAsia="宋体" w:cs="宋体"/>
          <w:spacing w:val="-1"/>
          <w:sz w:val="24"/>
          <w:szCs w:val="24"/>
        </w:rPr>
        <w:t>～</w:t>
      </w:r>
      <w:r>
        <w:rPr>
          <w:rFonts w:ascii="Times New Roman" w:hAnsi="Times New Roman" w:eastAsia="Times New Roman" w:cs="Times New Roman"/>
          <w:spacing w:val="-1"/>
          <w:sz w:val="24"/>
          <w:szCs w:val="24"/>
        </w:rPr>
        <w:t>1200m</w:t>
      </w:r>
      <w:r>
        <w:rPr>
          <w:rFonts w:ascii="Times New Roman" w:hAnsi="Times New Roman" w:eastAsia="Times New Roman" w:cs="Times New Roman"/>
          <w:spacing w:val="-30"/>
          <w:sz w:val="24"/>
          <w:szCs w:val="24"/>
        </w:rPr>
        <w:t xml:space="preserve"> </w:t>
      </w:r>
      <w:r>
        <w:rPr>
          <w:rFonts w:ascii="宋体" w:hAnsi="宋体" w:eastAsia="宋体" w:cs="宋体"/>
          <w:spacing w:val="-1"/>
          <w:sz w:val="24"/>
          <w:szCs w:val="24"/>
        </w:rPr>
        <w:t>，与两侧</w:t>
      </w:r>
      <w:r>
        <w:rPr>
          <w:rFonts w:ascii="宋体" w:hAnsi="宋体" w:eastAsia="宋体" w:cs="宋体"/>
          <w:sz w:val="24"/>
          <w:szCs w:val="24"/>
        </w:rPr>
        <w:t xml:space="preserve"> </w:t>
      </w:r>
      <w:r>
        <w:rPr>
          <w:rFonts w:ascii="宋体" w:hAnsi="宋体" w:eastAsia="宋体" w:cs="宋体"/>
          <w:spacing w:val="-2"/>
          <w:sz w:val="24"/>
          <w:szCs w:val="24"/>
        </w:rPr>
        <w:t>成缓坡过渡，中部窄条地带地表为第四系覆盖，两侧出露新近系上新统；在朱日和，与</w:t>
      </w:r>
      <w:r>
        <w:rPr>
          <w:rFonts w:ascii="宋体" w:hAnsi="宋体" w:eastAsia="宋体" w:cs="宋体"/>
          <w:spacing w:val="17"/>
          <w:sz w:val="24"/>
          <w:szCs w:val="24"/>
        </w:rPr>
        <w:t xml:space="preserve"> </w:t>
      </w:r>
      <w:r>
        <w:rPr>
          <w:rFonts w:ascii="宋体" w:hAnsi="宋体" w:eastAsia="宋体" w:cs="宋体"/>
          <w:spacing w:val="-2"/>
          <w:sz w:val="24"/>
          <w:szCs w:val="24"/>
        </w:rPr>
        <w:t>东侧苏尼特古河道支流汇合后，继续向北延展，宽度逐渐变大，在希勒呼都格以北至齐</w:t>
      </w:r>
      <w:r>
        <w:rPr>
          <w:rFonts w:ascii="宋体" w:hAnsi="宋体" w:eastAsia="宋体" w:cs="宋体"/>
          <w:spacing w:val="17"/>
          <w:sz w:val="24"/>
          <w:szCs w:val="24"/>
        </w:rPr>
        <w:t xml:space="preserve"> </w:t>
      </w:r>
      <w:r>
        <w:rPr>
          <w:rFonts w:ascii="宋体" w:hAnsi="宋体" w:eastAsia="宋体" w:cs="宋体"/>
          <w:spacing w:val="-3"/>
          <w:sz w:val="24"/>
          <w:szCs w:val="24"/>
        </w:rPr>
        <w:t>哈日格图水一带，宽度达到</w:t>
      </w:r>
      <w:r>
        <w:rPr>
          <w:rFonts w:ascii="Times New Roman" w:hAnsi="Times New Roman" w:eastAsia="Times New Roman" w:cs="Times New Roman"/>
          <w:spacing w:val="-3"/>
          <w:sz w:val="24"/>
          <w:szCs w:val="24"/>
        </w:rPr>
        <w:t>50km</w:t>
      </w:r>
      <w:r>
        <w:rPr>
          <w:rFonts w:ascii="宋体" w:hAnsi="宋体" w:eastAsia="宋体" w:cs="宋体"/>
          <w:spacing w:val="-3"/>
          <w:sz w:val="24"/>
          <w:szCs w:val="24"/>
        </w:rPr>
        <w:t>，地势总体向北缓倾，东西两侧渐高，中</w:t>
      </w:r>
      <w:r>
        <w:rPr>
          <w:rFonts w:ascii="宋体" w:hAnsi="宋体" w:eastAsia="宋体" w:cs="宋体"/>
          <w:spacing w:val="-4"/>
          <w:sz w:val="24"/>
          <w:szCs w:val="24"/>
        </w:rPr>
        <w:t>部较低，波状</w:t>
      </w:r>
      <w:r>
        <w:rPr>
          <w:rFonts w:ascii="宋体" w:hAnsi="宋体" w:eastAsia="宋体" w:cs="宋体"/>
          <w:sz w:val="24"/>
          <w:szCs w:val="24"/>
        </w:rPr>
        <w:t xml:space="preserve"> </w:t>
      </w:r>
      <w:r>
        <w:rPr>
          <w:rFonts w:ascii="宋体" w:hAnsi="宋体" w:eastAsia="宋体" w:cs="宋体"/>
          <w:spacing w:val="-2"/>
          <w:sz w:val="24"/>
          <w:szCs w:val="24"/>
        </w:rPr>
        <w:t>起伏，为高平原地貌，有浅缓的洼地、槽地分布其间，是为苏尼特古河道上游中段，表</w:t>
      </w:r>
      <w:r>
        <w:rPr>
          <w:rFonts w:ascii="宋体" w:hAnsi="宋体" w:eastAsia="宋体" w:cs="宋体"/>
          <w:spacing w:val="17"/>
          <w:sz w:val="24"/>
          <w:szCs w:val="24"/>
        </w:rPr>
        <w:t xml:space="preserve"> </w:t>
      </w:r>
      <w:r>
        <w:rPr>
          <w:rFonts w:ascii="宋体" w:hAnsi="宋体" w:eastAsia="宋体" w:cs="宋体"/>
          <w:spacing w:val="3"/>
          <w:sz w:val="24"/>
          <w:szCs w:val="24"/>
        </w:rPr>
        <w:t>层即为新近系中</w:t>
      </w:r>
      <w:r>
        <w:rPr>
          <w:rFonts w:ascii="Times New Roman" w:hAnsi="Times New Roman" w:eastAsia="Times New Roman" w:cs="Times New Roman"/>
          <w:spacing w:val="3"/>
          <w:sz w:val="24"/>
          <w:szCs w:val="24"/>
        </w:rPr>
        <w:t>-</w:t>
      </w:r>
      <w:r>
        <w:rPr>
          <w:rFonts w:ascii="宋体" w:hAnsi="宋体" w:eastAsia="宋体" w:cs="宋体"/>
          <w:spacing w:val="3"/>
          <w:sz w:val="24"/>
          <w:szCs w:val="24"/>
        </w:rPr>
        <w:t>上新统砖红色泥岩；在齐哈日格图</w:t>
      </w:r>
      <w:r>
        <w:rPr>
          <w:rFonts w:ascii="宋体" w:hAnsi="宋体" w:eastAsia="宋体" w:cs="宋体"/>
          <w:spacing w:val="2"/>
          <w:sz w:val="24"/>
          <w:szCs w:val="24"/>
        </w:rPr>
        <w:t>，古河道转向北东，直至准达来一</w:t>
      </w:r>
      <w:r>
        <w:rPr>
          <w:rFonts w:ascii="宋体" w:hAnsi="宋体" w:eastAsia="宋体" w:cs="宋体"/>
          <w:sz w:val="24"/>
          <w:szCs w:val="24"/>
        </w:rPr>
        <w:t xml:space="preserve"> </w:t>
      </w:r>
      <w:r>
        <w:rPr>
          <w:rFonts w:ascii="宋体" w:hAnsi="宋体" w:eastAsia="宋体" w:cs="宋体"/>
          <w:spacing w:val="-2"/>
          <w:sz w:val="24"/>
          <w:szCs w:val="24"/>
        </w:rPr>
        <w:t>带，全长大约</w:t>
      </w:r>
      <w:r>
        <w:rPr>
          <w:rFonts w:ascii="Times New Roman" w:hAnsi="Times New Roman" w:eastAsia="Times New Roman" w:cs="Times New Roman"/>
          <w:spacing w:val="-2"/>
          <w:sz w:val="24"/>
          <w:szCs w:val="24"/>
        </w:rPr>
        <w:t>300km</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，宽约</w:t>
      </w:r>
      <w:r>
        <w:rPr>
          <w:rFonts w:ascii="Times New Roman" w:hAnsi="Times New Roman" w:eastAsia="Times New Roman" w:cs="Times New Roman"/>
          <w:spacing w:val="-2"/>
          <w:sz w:val="24"/>
          <w:szCs w:val="24"/>
        </w:rPr>
        <w:t>5</w:t>
      </w:r>
      <w:r>
        <w:rPr>
          <w:rFonts w:ascii="宋体" w:hAnsi="宋体" w:eastAsia="宋体" w:cs="宋体"/>
          <w:spacing w:val="-2"/>
          <w:sz w:val="24"/>
          <w:szCs w:val="24"/>
        </w:rPr>
        <w:t>～</w:t>
      </w:r>
      <w:r>
        <w:rPr>
          <w:rFonts w:ascii="Times New Roman" w:hAnsi="Times New Roman" w:eastAsia="Times New Roman" w:cs="Times New Roman"/>
          <w:spacing w:val="-2"/>
          <w:sz w:val="24"/>
          <w:szCs w:val="24"/>
        </w:rPr>
        <w:t>20km</w:t>
      </w:r>
      <w:r>
        <w:rPr>
          <w:rFonts w:ascii="宋体" w:hAnsi="宋体" w:eastAsia="宋体" w:cs="宋体"/>
          <w:spacing w:val="-2"/>
          <w:sz w:val="24"/>
          <w:szCs w:val="24"/>
        </w:rPr>
        <w:t>。</w:t>
      </w:r>
    </w:p>
    <w:p w14:paraId="2437F122">
      <w:pPr>
        <w:spacing w:before="32" w:line="356" w:lineRule="auto"/>
        <w:ind w:left="7" w:right="18" w:firstLine="486"/>
        <w:jc w:val="both"/>
        <w:rPr>
          <w:rFonts w:ascii="宋体" w:hAnsi="宋体" w:eastAsia="宋体" w:cs="宋体"/>
          <w:sz w:val="24"/>
          <w:szCs w:val="24"/>
        </w:rPr>
      </w:pPr>
      <w:r>
        <w:rPr>
          <w:rFonts w:ascii="宋体" w:hAnsi="宋体" w:eastAsia="宋体" w:cs="宋体"/>
          <w:spacing w:val="-1"/>
          <w:sz w:val="24"/>
          <w:szCs w:val="24"/>
        </w:rPr>
        <w:t>古河道宽</w:t>
      </w:r>
      <w:r>
        <w:rPr>
          <w:rFonts w:ascii="Times New Roman" w:hAnsi="Times New Roman" w:eastAsia="Times New Roman" w:cs="Times New Roman"/>
          <w:spacing w:val="-1"/>
          <w:sz w:val="24"/>
          <w:szCs w:val="24"/>
        </w:rPr>
        <w:t>5</w:t>
      </w:r>
      <w:r>
        <w:rPr>
          <w:rFonts w:ascii="宋体" w:hAnsi="宋体" w:eastAsia="宋体" w:cs="宋体"/>
          <w:spacing w:val="-1"/>
          <w:sz w:val="24"/>
          <w:szCs w:val="24"/>
        </w:rPr>
        <w:t>～</w:t>
      </w:r>
      <w:r>
        <w:rPr>
          <w:rFonts w:ascii="Times New Roman" w:hAnsi="Times New Roman" w:eastAsia="Times New Roman" w:cs="Times New Roman"/>
          <w:spacing w:val="-1"/>
          <w:sz w:val="24"/>
          <w:szCs w:val="24"/>
        </w:rPr>
        <w:t>20km</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，总体地势由南向北降低，地貌由南部的四级阶状高</w:t>
      </w:r>
      <w:r>
        <w:rPr>
          <w:rFonts w:ascii="宋体" w:hAnsi="宋体" w:eastAsia="宋体" w:cs="宋体"/>
          <w:spacing w:val="-2"/>
          <w:sz w:val="24"/>
          <w:szCs w:val="24"/>
        </w:rPr>
        <w:t>平原降至一</w:t>
      </w:r>
      <w:r>
        <w:rPr>
          <w:rFonts w:ascii="宋体" w:hAnsi="宋体" w:eastAsia="宋体" w:cs="宋体"/>
          <w:sz w:val="24"/>
          <w:szCs w:val="24"/>
        </w:rPr>
        <w:t xml:space="preserve"> </w:t>
      </w:r>
      <w:r>
        <w:rPr>
          <w:rFonts w:ascii="宋体" w:hAnsi="宋体" w:eastAsia="宋体" w:cs="宋体"/>
          <w:spacing w:val="-2"/>
          <w:sz w:val="24"/>
          <w:szCs w:val="24"/>
        </w:rPr>
        <w:t>级阶状高平原。含水岩组主要为古近系碎屑岩，地下水属于裂隙孔隙水。因该含水岩组</w:t>
      </w:r>
      <w:r>
        <w:rPr>
          <w:rFonts w:ascii="宋体" w:hAnsi="宋体" w:eastAsia="宋体" w:cs="宋体"/>
          <w:spacing w:val="18"/>
          <w:sz w:val="24"/>
          <w:szCs w:val="24"/>
        </w:rPr>
        <w:t xml:space="preserve"> </w:t>
      </w:r>
      <w:r>
        <w:rPr>
          <w:rFonts w:ascii="宋体" w:hAnsi="宋体" w:eastAsia="宋体" w:cs="宋体"/>
          <w:spacing w:val="-6"/>
          <w:sz w:val="24"/>
          <w:szCs w:val="24"/>
        </w:rPr>
        <w:t>分布稳定，厚度较大，富水性好，成为区域主要含水岩组。古河道以始新统含水组为</w:t>
      </w:r>
      <w:r>
        <w:rPr>
          <w:rFonts w:ascii="宋体" w:hAnsi="宋体" w:eastAsia="宋体" w:cs="宋体"/>
          <w:spacing w:val="-7"/>
          <w:sz w:val="24"/>
          <w:szCs w:val="24"/>
        </w:rPr>
        <w:t>主，</w:t>
      </w:r>
      <w:r>
        <w:rPr>
          <w:rFonts w:ascii="宋体" w:hAnsi="宋体" w:eastAsia="宋体" w:cs="宋体"/>
          <w:sz w:val="24"/>
          <w:szCs w:val="24"/>
        </w:rPr>
        <w:t xml:space="preserve"> </w:t>
      </w:r>
      <w:r>
        <w:rPr>
          <w:rFonts w:ascii="宋体" w:hAnsi="宋体" w:eastAsia="宋体" w:cs="宋体"/>
          <w:spacing w:val="-2"/>
          <w:sz w:val="24"/>
          <w:szCs w:val="24"/>
        </w:rPr>
        <w:t>始新统含水组镶嵌于白垩纪地层的槽形洼地和小型盆地中。含水组由砂砾岩、含砾中粗</w:t>
      </w:r>
      <w:r>
        <w:rPr>
          <w:rFonts w:ascii="宋体" w:hAnsi="宋体" w:eastAsia="宋体" w:cs="宋体"/>
          <w:spacing w:val="18"/>
          <w:sz w:val="24"/>
          <w:szCs w:val="24"/>
        </w:rPr>
        <w:t xml:space="preserve"> </w:t>
      </w:r>
      <w:r>
        <w:rPr>
          <w:rFonts w:ascii="宋体" w:hAnsi="宋体" w:eastAsia="宋体" w:cs="宋体"/>
          <w:spacing w:val="-2"/>
          <w:sz w:val="24"/>
          <w:szCs w:val="24"/>
        </w:rPr>
        <w:t>砂岩和砂岩组成。沿古河道延展的纵向上岩性变化规律不明显，而由河道中心向两侧的</w:t>
      </w:r>
      <w:r>
        <w:rPr>
          <w:rFonts w:ascii="宋体" w:hAnsi="宋体" w:eastAsia="宋体" w:cs="宋体"/>
          <w:spacing w:val="18"/>
          <w:sz w:val="24"/>
          <w:szCs w:val="24"/>
        </w:rPr>
        <w:t xml:space="preserve"> </w:t>
      </w:r>
      <w:r>
        <w:rPr>
          <w:rFonts w:ascii="宋体" w:hAnsi="宋体" w:eastAsia="宋体" w:cs="宋体"/>
          <w:spacing w:val="-2"/>
          <w:sz w:val="24"/>
          <w:szCs w:val="24"/>
        </w:rPr>
        <w:t>横向，岩石颗粒变细，含水层厚度逐渐变薄。含水层中一般夹有多层泥岩，但由于无统</w:t>
      </w:r>
      <w:r>
        <w:rPr>
          <w:rFonts w:ascii="宋体" w:hAnsi="宋体" w:eastAsia="宋体" w:cs="宋体"/>
          <w:spacing w:val="18"/>
          <w:sz w:val="24"/>
          <w:szCs w:val="24"/>
        </w:rPr>
        <w:t xml:space="preserve"> </w:t>
      </w:r>
      <w:r>
        <w:rPr>
          <w:rFonts w:ascii="宋体" w:hAnsi="宋体" w:eastAsia="宋体" w:cs="宋体"/>
          <w:spacing w:val="-2"/>
          <w:sz w:val="24"/>
          <w:szCs w:val="24"/>
        </w:rPr>
        <w:t>一隔水层，构成统一含水体。含水层顶部以上多存在不透水层，因此，地下水主要属承</w:t>
      </w:r>
      <w:r>
        <w:rPr>
          <w:rFonts w:ascii="宋体" w:hAnsi="宋体" w:eastAsia="宋体" w:cs="宋体"/>
          <w:spacing w:val="18"/>
          <w:sz w:val="24"/>
          <w:szCs w:val="24"/>
        </w:rPr>
        <w:t xml:space="preserve"> </w:t>
      </w:r>
      <w:r>
        <w:rPr>
          <w:rFonts w:ascii="宋体" w:hAnsi="宋体" w:eastAsia="宋体" w:cs="宋体"/>
          <w:spacing w:val="-1"/>
          <w:sz w:val="24"/>
          <w:szCs w:val="24"/>
        </w:rPr>
        <w:t>压</w:t>
      </w:r>
      <w:r>
        <w:rPr>
          <w:rFonts w:ascii="Times New Roman" w:hAnsi="Times New Roman" w:eastAsia="Times New Roman" w:cs="Times New Roman"/>
          <w:spacing w:val="-1"/>
          <w:sz w:val="24"/>
          <w:szCs w:val="24"/>
        </w:rPr>
        <w:t>-</w:t>
      </w:r>
      <w:r>
        <w:rPr>
          <w:rFonts w:ascii="宋体" w:hAnsi="宋体" w:eastAsia="宋体" w:cs="宋体"/>
          <w:spacing w:val="-1"/>
          <w:sz w:val="24"/>
          <w:szCs w:val="24"/>
        </w:rPr>
        <w:t>半承压水，局部低洼地段为潜水。</w:t>
      </w:r>
    </w:p>
    <w:p w14:paraId="7CEF0459">
      <w:pPr>
        <w:spacing w:before="37" w:line="350" w:lineRule="auto"/>
        <w:ind w:left="8" w:right="18" w:firstLine="480"/>
        <w:rPr>
          <w:rFonts w:ascii="宋体" w:hAnsi="宋体" w:eastAsia="宋体" w:cs="宋体"/>
          <w:sz w:val="24"/>
          <w:szCs w:val="24"/>
        </w:rPr>
      </w:pPr>
      <w:r>
        <w:rPr>
          <w:rFonts w:ascii="宋体" w:hAnsi="宋体" w:eastAsia="宋体" w:cs="宋体"/>
          <w:spacing w:val="6"/>
          <w:sz w:val="24"/>
          <w:szCs w:val="24"/>
        </w:rPr>
        <w:t>地下水水位埋藏深度在上游一般小于</w:t>
      </w:r>
      <w:r>
        <w:rPr>
          <w:rFonts w:ascii="Times New Roman" w:hAnsi="Times New Roman" w:eastAsia="Times New Roman" w:cs="Times New Roman"/>
          <w:spacing w:val="6"/>
          <w:sz w:val="24"/>
          <w:szCs w:val="24"/>
        </w:rPr>
        <w:t>50m</w:t>
      </w:r>
      <w:r>
        <w:rPr>
          <w:rFonts w:ascii="Times New Roman" w:hAnsi="Times New Roman" w:eastAsia="Times New Roman" w:cs="Times New Roman"/>
          <w:spacing w:val="-25"/>
          <w:sz w:val="24"/>
          <w:szCs w:val="24"/>
        </w:rPr>
        <w:t xml:space="preserve"> </w:t>
      </w:r>
      <w:r>
        <w:rPr>
          <w:rFonts w:ascii="宋体" w:hAnsi="宋体" w:eastAsia="宋体" w:cs="宋体"/>
          <w:spacing w:val="6"/>
          <w:sz w:val="24"/>
          <w:szCs w:val="24"/>
        </w:rPr>
        <w:t>，赛汉塔拉</w:t>
      </w:r>
      <w:r>
        <w:rPr>
          <w:rFonts w:ascii="Times New Roman" w:hAnsi="Times New Roman" w:eastAsia="Times New Roman" w:cs="Times New Roman"/>
          <w:spacing w:val="6"/>
          <w:sz w:val="24"/>
          <w:szCs w:val="24"/>
        </w:rPr>
        <w:t>-</w:t>
      </w:r>
      <w:r>
        <w:rPr>
          <w:rFonts w:ascii="宋体" w:hAnsi="宋体" w:eastAsia="宋体" w:cs="宋体"/>
          <w:spacing w:val="6"/>
          <w:sz w:val="24"/>
          <w:szCs w:val="24"/>
        </w:rPr>
        <w:t>齐哈日格图</w:t>
      </w:r>
      <w:r>
        <w:rPr>
          <w:rFonts w:ascii="宋体" w:hAnsi="宋体" w:eastAsia="宋体" w:cs="宋体"/>
          <w:spacing w:val="5"/>
          <w:sz w:val="24"/>
          <w:szCs w:val="24"/>
        </w:rPr>
        <w:t>一带一般为</w:t>
      </w:r>
      <w:r>
        <w:rPr>
          <w:rFonts w:ascii="Times New Roman" w:hAnsi="Times New Roman" w:eastAsia="Times New Roman" w:cs="Times New Roman"/>
          <w:spacing w:val="5"/>
          <w:sz w:val="24"/>
          <w:szCs w:val="24"/>
        </w:rPr>
        <w:t>30</w:t>
      </w:r>
      <w:r>
        <w:rPr>
          <w:rFonts w:ascii="宋体" w:hAnsi="宋体" w:eastAsia="宋体" w:cs="宋体"/>
          <w:spacing w:val="5"/>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80m</w:t>
      </w:r>
      <w:r>
        <w:rPr>
          <w:rFonts w:ascii="Times New Roman" w:hAnsi="Times New Roman" w:eastAsia="Times New Roman" w:cs="Times New Roman"/>
          <w:spacing w:val="-22"/>
          <w:sz w:val="24"/>
          <w:szCs w:val="24"/>
        </w:rPr>
        <w:t xml:space="preserve"> </w:t>
      </w:r>
      <w:r>
        <w:rPr>
          <w:rFonts w:ascii="宋体" w:hAnsi="宋体" w:eastAsia="宋体" w:cs="宋体"/>
          <w:spacing w:val="-1"/>
          <w:sz w:val="24"/>
          <w:szCs w:val="24"/>
        </w:rPr>
        <w:t>。古河道中间水量比较丰富，在古河道中部一般均大于</w:t>
      </w:r>
      <w:r>
        <w:rPr>
          <w:rFonts w:ascii="Times New Roman" w:hAnsi="Times New Roman" w:eastAsia="Times New Roman" w:cs="Times New Roman"/>
          <w:spacing w:val="-1"/>
          <w:sz w:val="24"/>
          <w:szCs w:val="24"/>
        </w:rPr>
        <w:t>2000m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/d</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，向河道两侧水量</w:t>
      </w:r>
      <w:r>
        <w:rPr>
          <w:rFonts w:ascii="宋体" w:hAnsi="宋体" w:eastAsia="宋体" w:cs="宋体"/>
          <w:sz w:val="24"/>
          <w:szCs w:val="24"/>
        </w:rPr>
        <w:t xml:space="preserve"> </w:t>
      </w:r>
      <w:r>
        <w:rPr>
          <w:rFonts w:ascii="宋体" w:hAnsi="宋体" w:eastAsia="宋体" w:cs="宋体"/>
          <w:spacing w:val="-4"/>
          <w:sz w:val="24"/>
          <w:szCs w:val="24"/>
        </w:rPr>
        <w:t>变小，从单井出水量</w:t>
      </w:r>
      <w:r>
        <w:rPr>
          <w:rFonts w:ascii="Times New Roman" w:hAnsi="Times New Roman" w:eastAsia="Times New Roman" w:cs="Times New Roman"/>
          <w:spacing w:val="-4"/>
          <w:sz w:val="24"/>
          <w:szCs w:val="24"/>
        </w:rPr>
        <w:t>1000~2000m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4"/>
          <w:sz w:val="24"/>
          <w:szCs w:val="24"/>
        </w:rPr>
        <w:t>/d</w:t>
      </w:r>
      <w:r>
        <w:rPr>
          <w:rFonts w:ascii="宋体" w:hAnsi="宋体" w:eastAsia="宋体" w:cs="宋体"/>
          <w:spacing w:val="-4"/>
          <w:sz w:val="24"/>
          <w:szCs w:val="24"/>
        </w:rPr>
        <w:t>降低为</w:t>
      </w:r>
      <w:r>
        <w:rPr>
          <w:rFonts w:ascii="Times New Roman" w:hAnsi="Times New Roman" w:eastAsia="Times New Roman" w:cs="Times New Roman"/>
          <w:spacing w:val="-4"/>
          <w:sz w:val="24"/>
          <w:szCs w:val="24"/>
        </w:rPr>
        <w:t>100~500m</w:t>
      </w:r>
      <w:r>
        <w:rPr>
          <w:rFonts w:ascii="Times New Roman" w:hAnsi="Times New Roman" w:eastAsia="Times New Roman" w:cs="Times New Roman"/>
          <w:spacing w:val="-4"/>
          <w:position w:val="7"/>
          <w:sz w:val="15"/>
          <w:szCs w:val="15"/>
        </w:rPr>
        <w:t>3</w:t>
      </w:r>
      <w:r>
        <w:rPr>
          <w:rFonts w:ascii="Times New Roman" w:hAnsi="Times New Roman" w:eastAsia="Times New Roman" w:cs="Times New Roman"/>
          <w:spacing w:val="-4"/>
          <w:sz w:val="24"/>
          <w:szCs w:val="24"/>
        </w:rPr>
        <w:t>/d</w:t>
      </w:r>
      <w:r>
        <w:rPr>
          <w:rFonts w:ascii="宋体" w:hAnsi="宋体" w:eastAsia="宋体" w:cs="宋体"/>
          <w:spacing w:val="-4"/>
          <w:sz w:val="24"/>
          <w:szCs w:val="24"/>
        </w:rPr>
        <w:t>。地下水矿化度一般为</w:t>
      </w:r>
      <w:r>
        <w:rPr>
          <w:rFonts w:ascii="Times New Roman" w:hAnsi="Times New Roman" w:eastAsia="Times New Roman" w:cs="Times New Roman"/>
          <w:spacing w:val="-4"/>
          <w:sz w:val="24"/>
          <w:szCs w:val="24"/>
        </w:rPr>
        <w:t>1</w:t>
      </w:r>
      <w:r>
        <w:rPr>
          <w:rFonts w:ascii="宋体" w:hAnsi="宋体" w:eastAsia="宋体" w:cs="宋体"/>
          <w:spacing w:val="-4"/>
          <w:sz w:val="24"/>
          <w:szCs w:val="24"/>
        </w:rPr>
        <w:t>～</w:t>
      </w:r>
      <w:r>
        <w:rPr>
          <w:rFonts w:ascii="Times New Roman" w:hAnsi="Times New Roman" w:eastAsia="Times New Roman" w:cs="Times New Roman"/>
          <w:spacing w:val="-5"/>
          <w:sz w:val="24"/>
          <w:szCs w:val="24"/>
        </w:rPr>
        <w:t>1.5g/L</w:t>
      </w:r>
      <w:r>
        <w:rPr>
          <w:rFonts w:ascii="宋体" w:hAnsi="宋体" w:eastAsia="宋体" w:cs="宋体"/>
          <w:spacing w:val="-5"/>
          <w:sz w:val="24"/>
          <w:szCs w:val="24"/>
        </w:rPr>
        <w:t>，</w:t>
      </w:r>
      <w:r>
        <w:rPr>
          <w:rFonts w:ascii="宋体" w:hAnsi="宋体" w:eastAsia="宋体" w:cs="宋体"/>
          <w:sz w:val="24"/>
          <w:szCs w:val="24"/>
        </w:rPr>
        <w:t xml:space="preserve"> 水化学类型多为</w:t>
      </w:r>
      <w:r>
        <w:rPr>
          <w:rFonts w:ascii="Times New Roman" w:hAnsi="Times New Roman" w:eastAsia="Times New Roman" w:cs="Times New Roman"/>
          <w:sz w:val="24"/>
          <w:szCs w:val="24"/>
        </w:rPr>
        <w:t>HCO</w:t>
      </w:r>
      <w:r>
        <w:rPr>
          <w:rFonts w:ascii="Times New Roman" w:hAnsi="Times New Roman" w:eastAsia="Times New Roman" w:cs="Times New Roman"/>
          <w:position w:val="-1"/>
          <w:sz w:val="15"/>
          <w:szCs w:val="15"/>
        </w:rPr>
        <w:t>3</w:t>
      </w:r>
      <w:r>
        <w:rPr>
          <w:rFonts w:ascii="Times New Roman" w:hAnsi="Times New Roman" w:eastAsia="Times New Roman" w:cs="Times New Roman"/>
          <w:sz w:val="24"/>
          <w:szCs w:val="24"/>
        </w:rPr>
        <w:t xml:space="preserve">•Cl-Na•Mg  </w:t>
      </w:r>
      <w:r>
        <w:rPr>
          <w:rFonts w:ascii="宋体" w:hAnsi="宋体" w:eastAsia="宋体" w:cs="宋体"/>
          <w:sz w:val="24"/>
          <w:szCs w:val="24"/>
        </w:rPr>
        <w:t>型水，向下游矿化</w:t>
      </w:r>
      <w:r>
        <w:rPr>
          <w:rFonts w:ascii="宋体" w:hAnsi="宋体" w:eastAsia="宋体" w:cs="宋体"/>
          <w:spacing w:val="-1"/>
          <w:sz w:val="24"/>
          <w:szCs w:val="24"/>
        </w:rPr>
        <w:t>度略有增高趋势。</w:t>
      </w:r>
    </w:p>
    <w:p w14:paraId="61A11260">
      <w:pPr>
        <w:spacing w:before="47" w:line="350" w:lineRule="auto"/>
        <w:ind w:left="8" w:right="80" w:firstLine="485"/>
        <w:rPr>
          <w:rFonts w:ascii="宋体" w:hAnsi="宋体" w:eastAsia="宋体" w:cs="宋体"/>
          <w:sz w:val="24"/>
          <w:szCs w:val="24"/>
        </w:rPr>
      </w:pPr>
      <w:r>
        <w:rPr>
          <w:rFonts w:ascii="宋体" w:hAnsi="宋体" w:eastAsia="宋体" w:cs="宋体"/>
          <w:spacing w:val="-2"/>
          <w:sz w:val="24"/>
          <w:szCs w:val="24"/>
        </w:rPr>
        <w:t>古河道始新统地下水，在河道源头主要接受大气降水的补给，向下游这种补给变得</w:t>
      </w:r>
      <w:r>
        <w:rPr>
          <w:rFonts w:ascii="宋体" w:hAnsi="宋体" w:eastAsia="宋体" w:cs="宋体"/>
          <w:spacing w:val="7"/>
          <w:sz w:val="24"/>
          <w:szCs w:val="24"/>
        </w:rPr>
        <w:t xml:space="preserve"> </w:t>
      </w:r>
      <w:r>
        <w:rPr>
          <w:rFonts w:ascii="宋体" w:hAnsi="宋体" w:eastAsia="宋体" w:cs="宋体"/>
          <w:spacing w:val="-2"/>
          <w:sz w:val="24"/>
          <w:szCs w:val="24"/>
        </w:rPr>
        <w:t>微弱，地下水以径流为主，水力坡度很小，径流滞缓。至宝力格一带以泉水形式排泄部</w:t>
      </w:r>
      <w:r>
        <w:rPr>
          <w:rFonts w:ascii="宋体" w:hAnsi="宋体" w:eastAsia="宋体" w:cs="宋体"/>
          <w:spacing w:val="17"/>
          <w:sz w:val="24"/>
          <w:szCs w:val="24"/>
        </w:rPr>
        <w:t xml:space="preserve"> </w:t>
      </w:r>
      <w:r>
        <w:rPr>
          <w:rFonts w:ascii="宋体" w:hAnsi="宋体" w:eastAsia="宋体" w:cs="宋体"/>
          <w:spacing w:val="-1"/>
          <w:sz w:val="24"/>
          <w:szCs w:val="24"/>
        </w:rPr>
        <w:t>分地下水，在准达来一带，地下水排泄于湖泊和蒸发。</w:t>
      </w:r>
    </w:p>
    <w:p w14:paraId="26774CCC">
      <w:pPr>
        <w:spacing w:before="34" w:line="219" w:lineRule="auto"/>
        <w:ind w:left="488"/>
        <w:rPr>
          <w:rFonts w:ascii="宋体" w:hAnsi="宋体" w:eastAsia="宋体" w:cs="宋体"/>
          <w:sz w:val="24"/>
          <w:szCs w:val="24"/>
        </w:rPr>
      </w:pPr>
      <w:r>
        <w:rPr>
          <w:rFonts w:ascii="宋体" w:hAnsi="宋体" w:eastAsia="宋体" w:cs="宋体"/>
          <w:spacing w:val="-3"/>
          <w:sz w:val="24"/>
          <w:szCs w:val="24"/>
        </w:rPr>
        <w:t>㈡高平原</w:t>
      </w:r>
    </w:p>
    <w:p w14:paraId="27153A82">
      <w:pPr>
        <w:spacing w:before="183" w:line="344" w:lineRule="auto"/>
        <w:ind w:left="8" w:right="18" w:firstLine="479"/>
        <w:rPr>
          <w:rFonts w:ascii="宋体" w:hAnsi="宋体" w:eastAsia="宋体" w:cs="宋体"/>
          <w:sz w:val="24"/>
          <w:szCs w:val="24"/>
        </w:rPr>
      </w:pPr>
      <w:r>
        <w:rPr>
          <w:rFonts w:ascii="宋体" w:hAnsi="宋体" w:eastAsia="宋体" w:cs="宋体"/>
          <w:spacing w:val="-2"/>
          <w:sz w:val="24"/>
          <w:szCs w:val="24"/>
        </w:rPr>
        <w:t>在古河道东侧高平原中分布的新近系、古近系渐新统、白垩系地层中，因碎屑岩层</w:t>
      </w:r>
      <w:r>
        <w:rPr>
          <w:rFonts w:ascii="宋体" w:hAnsi="宋体" w:eastAsia="宋体" w:cs="宋体"/>
          <w:spacing w:val="14"/>
          <w:sz w:val="24"/>
          <w:szCs w:val="24"/>
        </w:rPr>
        <w:t xml:space="preserve"> </w:t>
      </w:r>
      <w:r>
        <w:rPr>
          <w:rFonts w:ascii="宋体" w:hAnsi="宋体" w:eastAsia="宋体" w:cs="宋体"/>
          <w:spacing w:val="-2"/>
          <w:sz w:val="24"/>
          <w:szCs w:val="24"/>
        </w:rPr>
        <w:t>中多含泥质成份，且有些呈半胶结状态，大气降水补给困难，地下水径流不利，大部分</w:t>
      </w:r>
      <w:r>
        <w:rPr>
          <w:rFonts w:ascii="宋体" w:hAnsi="宋体" w:eastAsia="宋体" w:cs="宋体"/>
          <w:spacing w:val="17"/>
          <w:sz w:val="24"/>
          <w:szCs w:val="24"/>
        </w:rPr>
        <w:t xml:space="preserve"> </w:t>
      </w:r>
      <w:r>
        <w:rPr>
          <w:rFonts w:ascii="宋体" w:hAnsi="宋体" w:eastAsia="宋体" w:cs="宋体"/>
          <w:spacing w:val="-6"/>
          <w:sz w:val="24"/>
          <w:szCs w:val="24"/>
        </w:rPr>
        <w:t>地区含水层呈不连续分布，水量小而不稳定，一般单井出水量小于</w:t>
      </w:r>
      <w:r>
        <w:rPr>
          <w:rFonts w:ascii="宋体" w:hAnsi="宋体" w:eastAsia="宋体" w:cs="宋体"/>
          <w:spacing w:val="46"/>
          <w:sz w:val="24"/>
          <w:szCs w:val="24"/>
        </w:rPr>
        <w:t xml:space="preserve"> </w:t>
      </w:r>
      <w:r>
        <w:rPr>
          <w:rFonts w:ascii="Times New Roman" w:hAnsi="Times New Roman" w:eastAsia="Times New Roman" w:cs="Times New Roman"/>
          <w:spacing w:val="-6"/>
          <w:sz w:val="24"/>
          <w:szCs w:val="24"/>
        </w:rPr>
        <w:t>100m</w:t>
      </w:r>
      <w:r>
        <w:rPr>
          <w:rFonts w:ascii="Times New Roman" w:hAnsi="Times New Roman" w:eastAsia="Times New Roman" w:cs="Times New Roman"/>
          <w:spacing w:val="-6"/>
          <w:position w:val="8"/>
          <w:sz w:val="15"/>
          <w:szCs w:val="15"/>
        </w:rPr>
        <w:t>3</w:t>
      </w:r>
      <w:r>
        <w:rPr>
          <w:rFonts w:ascii="Times New Roman" w:hAnsi="Times New Roman" w:eastAsia="Times New Roman" w:cs="Times New Roman"/>
          <w:spacing w:val="-6"/>
          <w:sz w:val="24"/>
          <w:szCs w:val="24"/>
        </w:rPr>
        <w:t>/d</w:t>
      </w:r>
      <w:r>
        <w:rPr>
          <w:rFonts w:ascii="宋体" w:hAnsi="宋体" w:eastAsia="宋体" w:cs="宋体"/>
          <w:spacing w:val="-6"/>
          <w:sz w:val="24"/>
          <w:szCs w:val="24"/>
        </w:rPr>
        <w:t>。水质较差，</w:t>
      </w:r>
    </w:p>
    <w:p w14:paraId="42FC2F6B">
      <w:pPr>
        <w:spacing w:line="344" w:lineRule="auto"/>
        <w:rPr>
          <w:rFonts w:ascii="宋体" w:hAnsi="宋体" w:eastAsia="宋体" w:cs="宋体"/>
          <w:sz w:val="24"/>
          <w:szCs w:val="24"/>
        </w:rPr>
        <w:sectPr>
          <w:footerReference r:id="rId312" w:type="default"/>
          <w:pgSz w:w="11905" w:h="16839"/>
          <w:pgMar w:top="1190" w:right="1336" w:bottom="1427" w:left="1417" w:header="882" w:footer="1265" w:gutter="0"/>
          <w:cols w:space="720" w:num="1"/>
        </w:sectPr>
      </w:pPr>
    </w:p>
    <w:p w14:paraId="5350C2FA">
      <w:pPr>
        <w:spacing w:line="28" w:lineRule="exact"/>
      </w:pPr>
      <w:r>
        <w:pict>
          <v:shape id="_x0000_s1812" o:spid="_x0000_s1812" style="height:1.45pt;width:453.6pt;" fillcolor="#000000" filled="t" stroked="f" coordsize="9072,29" path="m0,0l9071,0,9071,28,0,28,0,0xe">
            <v:path/>
            <v:fill on="t" focussize="0,0"/>
            <v:stroke on="f"/>
            <v:imagedata o:title=""/>
            <o:lock v:ext="edit"/>
            <w10:wrap type="none"/>
            <w10:anchorlock/>
          </v:shape>
        </w:pict>
      </w:r>
    </w:p>
    <w:p w14:paraId="46ADC3DF">
      <w:pPr>
        <w:spacing w:before="234" w:line="219" w:lineRule="auto"/>
        <w:ind w:left="11"/>
        <w:rPr>
          <w:rFonts w:ascii="宋体" w:hAnsi="宋体" w:eastAsia="宋体" w:cs="宋体"/>
          <w:sz w:val="24"/>
          <w:szCs w:val="24"/>
        </w:rPr>
      </w:pPr>
      <w:r>
        <w:rPr>
          <w:rFonts w:ascii="宋体" w:hAnsi="宋体" w:eastAsia="宋体" w:cs="宋体"/>
          <w:spacing w:val="-1"/>
          <w:sz w:val="24"/>
          <w:szCs w:val="24"/>
        </w:rPr>
        <w:t>水化学类型多为</w:t>
      </w:r>
      <w:r>
        <w:rPr>
          <w:rFonts w:ascii="Times New Roman" w:hAnsi="Times New Roman" w:eastAsia="Times New Roman" w:cs="Times New Roman"/>
          <w:spacing w:val="-1"/>
          <w:sz w:val="24"/>
          <w:szCs w:val="24"/>
        </w:rPr>
        <w:t>Cl•HCO</w:t>
      </w:r>
      <w:r>
        <w:rPr>
          <w:rFonts w:ascii="Times New Roman" w:hAnsi="Times New Roman" w:eastAsia="Times New Roman" w:cs="Times New Roman"/>
          <w:spacing w:val="-1"/>
          <w:sz w:val="15"/>
          <w:szCs w:val="15"/>
        </w:rPr>
        <w:t>3</w:t>
      </w:r>
      <w:r>
        <w:rPr>
          <w:rFonts w:ascii="Times New Roman" w:hAnsi="Times New Roman" w:eastAsia="Times New Roman" w:cs="Times New Roman"/>
          <w:spacing w:val="-1"/>
          <w:sz w:val="24"/>
          <w:szCs w:val="24"/>
        </w:rPr>
        <w:t>-Na</w:t>
      </w:r>
      <w:r>
        <w:rPr>
          <w:rFonts w:ascii="Times New Roman" w:hAnsi="Times New Roman" w:eastAsia="Times New Roman" w:cs="Times New Roman"/>
          <w:spacing w:val="-33"/>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Cl•SO</w:t>
      </w:r>
      <w:r>
        <w:rPr>
          <w:rFonts w:ascii="Times New Roman" w:hAnsi="Times New Roman" w:eastAsia="Times New Roman" w:cs="Times New Roman"/>
          <w:spacing w:val="-2"/>
          <w:sz w:val="15"/>
          <w:szCs w:val="15"/>
        </w:rPr>
        <w:t>4</w:t>
      </w:r>
      <w:r>
        <w:rPr>
          <w:rFonts w:ascii="Times New Roman" w:hAnsi="Times New Roman" w:eastAsia="Times New Roman" w:cs="Times New Roman"/>
          <w:spacing w:val="-2"/>
          <w:sz w:val="24"/>
          <w:szCs w:val="24"/>
        </w:rPr>
        <w:t>-Na</w:t>
      </w:r>
      <w:r>
        <w:rPr>
          <w:rFonts w:ascii="宋体" w:hAnsi="宋体" w:eastAsia="宋体" w:cs="宋体"/>
          <w:spacing w:val="-2"/>
          <w:sz w:val="24"/>
          <w:szCs w:val="24"/>
        </w:rPr>
        <w:t>型水。</w:t>
      </w:r>
    </w:p>
    <w:p w14:paraId="01476706">
      <w:pPr>
        <w:spacing w:before="179" w:line="347" w:lineRule="auto"/>
        <w:ind w:left="13" w:firstLine="480"/>
        <w:rPr>
          <w:rFonts w:ascii="宋体" w:hAnsi="宋体" w:eastAsia="宋体" w:cs="宋体"/>
          <w:sz w:val="24"/>
          <w:szCs w:val="24"/>
        </w:rPr>
      </w:pPr>
      <w:r>
        <w:rPr>
          <w:rFonts w:ascii="宋体" w:hAnsi="宋体" w:eastAsia="宋体" w:cs="宋体"/>
          <w:spacing w:val="-2"/>
          <w:sz w:val="24"/>
          <w:szCs w:val="24"/>
        </w:rPr>
        <w:t>另外靠近基岩丘陵的陵前地带，由于基底埋藏较浅，上覆新近系、古近系堆积物较</w:t>
      </w:r>
      <w:r>
        <w:rPr>
          <w:rFonts w:ascii="宋体" w:hAnsi="宋体" w:eastAsia="宋体" w:cs="宋体"/>
          <w:spacing w:val="7"/>
          <w:sz w:val="24"/>
          <w:szCs w:val="24"/>
        </w:rPr>
        <w:t xml:space="preserve"> </w:t>
      </w:r>
      <w:r>
        <w:rPr>
          <w:rFonts w:ascii="宋体" w:hAnsi="宋体" w:eastAsia="宋体" w:cs="宋体"/>
          <w:spacing w:val="-7"/>
          <w:sz w:val="24"/>
          <w:szCs w:val="24"/>
        </w:rPr>
        <w:t>薄，地形也相对较高，含水层较薄，岩性较细，所以水量贫乏，单井涌水</w:t>
      </w:r>
      <w:r>
        <w:rPr>
          <w:rFonts w:ascii="宋体" w:hAnsi="宋体" w:eastAsia="宋体" w:cs="宋体"/>
          <w:spacing w:val="-8"/>
          <w:sz w:val="24"/>
          <w:szCs w:val="24"/>
        </w:rPr>
        <w:t>量小于</w:t>
      </w:r>
      <w:r>
        <w:rPr>
          <w:rFonts w:ascii="Times New Roman" w:hAnsi="Times New Roman" w:eastAsia="Times New Roman" w:cs="Times New Roman"/>
          <w:spacing w:val="-8"/>
          <w:sz w:val="24"/>
          <w:szCs w:val="24"/>
        </w:rPr>
        <w:t>100m</w:t>
      </w:r>
      <w:r>
        <w:rPr>
          <w:rFonts w:ascii="Times New Roman" w:hAnsi="Times New Roman" w:eastAsia="Times New Roman" w:cs="Times New Roman"/>
          <w:spacing w:val="-8"/>
          <w:position w:val="8"/>
          <w:sz w:val="15"/>
          <w:szCs w:val="15"/>
        </w:rPr>
        <w:t>3</w:t>
      </w:r>
      <w:r>
        <w:rPr>
          <w:rFonts w:ascii="Times New Roman" w:hAnsi="Times New Roman" w:eastAsia="Times New Roman" w:cs="Times New Roman"/>
          <w:spacing w:val="-8"/>
          <w:sz w:val="24"/>
          <w:szCs w:val="24"/>
        </w:rPr>
        <w:t>/d</w:t>
      </w:r>
      <w:r>
        <w:rPr>
          <w:rFonts w:ascii="宋体" w:hAnsi="宋体" w:eastAsia="宋体" w:cs="宋体"/>
          <w:spacing w:val="-8"/>
          <w:sz w:val="24"/>
          <w:szCs w:val="24"/>
        </w:rPr>
        <w:t>。</w:t>
      </w:r>
    </w:p>
    <w:p w14:paraId="0C0EF58A">
      <w:pPr>
        <w:spacing w:before="31" w:line="347" w:lineRule="auto"/>
        <w:ind w:left="15" w:right="80" w:firstLine="475"/>
        <w:rPr>
          <w:rFonts w:ascii="宋体" w:hAnsi="宋体" w:eastAsia="宋体" w:cs="宋体"/>
          <w:sz w:val="24"/>
          <w:szCs w:val="24"/>
        </w:rPr>
      </w:pPr>
      <w:r>
        <w:rPr>
          <w:rFonts w:ascii="宋体" w:hAnsi="宋体" w:eastAsia="宋体" w:cs="宋体"/>
          <w:spacing w:val="-2"/>
          <w:sz w:val="24"/>
          <w:szCs w:val="24"/>
        </w:rPr>
        <w:t>综上所述，由于各地质历史时期古地理沉积环境不同，则所接受的沉积物在水平及</w:t>
      </w:r>
      <w:r>
        <w:rPr>
          <w:rFonts w:ascii="宋体" w:hAnsi="宋体" w:eastAsia="宋体" w:cs="宋体"/>
          <w:spacing w:val="10"/>
          <w:sz w:val="24"/>
          <w:szCs w:val="24"/>
        </w:rPr>
        <w:t xml:space="preserve"> </w:t>
      </w:r>
      <w:r>
        <w:rPr>
          <w:rFonts w:ascii="宋体" w:hAnsi="宋体" w:eastAsia="宋体" w:cs="宋体"/>
          <w:spacing w:val="-1"/>
          <w:sz w:val="24"/>
          <w:szCs w:val="24"/>
        </w:rPr>
        <w:t>空间上的变化也不相同，因而水文地质条件尤其富水性也各有所差异。</w:t>
      </w:r>
    </w:p>
    <w:p w14:paraId="20EAC3FC">
      <w:pPr>
        <w:spacing w:before="32" w:line="217" w:lineRule="auto"/>
        <w:ind w:left="486"/>
        <w:rPr>
          <w:rFonts w:ascii="宋体" w:hAnsi="宋体" w:eastAsia="宋体" w:cs="宋体"/>
          <w:sz w:val="24"/>
          <w:szCs w:val="24"/>
        </w:rPr>
      </w:pPr>
      <w:r>
        <w:rPr>
          <w:rFonts w:ascii="宋体" w:hAnsi="宋体" w:eastAsia="宋体" w:cs="宋体"/>
          <w:spacing w:val="-2"/>
          <w:sz w:val="24"/>
          <w:szCs w:val="24"/>
        </w:rPr>
        <w:t>③基岩裂隙水</w:t>
      </w:r>
    </w:p>
    <w:p w14:paraId="516AF9BA">
      <w:pPr>
        <w:spacing w:before="186" w:line="357" w:lineRule="auto"/>
        <w:ind w:left="8" w:firstLine="480"/>
        <w:rPr>
          <w:rFonts w:ascii="宋体" w:hAnsi="宋体" w:eastAsia="宋体" w:cs="宋体"/>
          <w:sz w:val="24"/>
          <w:szCs w:val="24"/>
        </w:rPr>
      </w:pPr>
      <w:r>
        <w:rPr>
          <w:rFonts w:ascii="宋体" w:hAnsi="宋体" w:eastAsia="宋体" w:cs="宋体"/>
          <w:spacing w:val="-2"/>
          <w:sz w:val="24"/>
          <w:szCs w:val="24"/>
        </w:rPr>
        <w:t>基岩裂隙水分布于低山丘陵区。在该区域基岩长期在地表裸露，受到内外力共同作</w:t>
      </w:r>
      <w:r>
        <w:rPr>
          <w:rFonts w:ascii="宋体" w:hAnsi="宋体" w:eastAsia="宋体" w:cs="宋体"/>
          <w:spacing w:val="13"/>
          <w:sz w:val="24"/>
          <w:szCs w:val="24"/>
        </w:rPr>
        <w:t xml:space="preserve"> </w:t>
      </w:r>
      <w:r>
        <w:rPr>
          <w:rFonts w:ascii="宋体" w:hAnsi="宋体" w:eastAsia="宋体" w:cs="宋体"/>
          <w:spacing w:val="-2"/>
          <w:sz w:val="24"/>
          <w:szCs w:val="24"/>
        </w:rPr>
        <w:t>用，节理裂隙在不同岩类和岩性发育程度不同，他们共同组成地下水系统，含水岩体主</w:t>
      </w:r>
      <w:r>
        <w:rPr>
          <w:rFonts w:ascii="宋体" w:hAnsi="宋体" w:eastAsia="宋体" w:cs="宋体"/>
          <w:spacing w:val="17"/>
          <w:sz w:val="24"/>
          <w:szCs w:val="24"/>
        </w:rPr>
        <w:t xml:space="preserve"> </w:t>
      </w:r>
      <w:r>
        <w:rPr>
          <w:rFonts w:ascii="宋体" w:hAnsi="宋体" w:eastAsia="宋体" w:cs="宋体"/>
          <w:spacing w:val="-2"/>
          <w:sz w:val="24"/>
          <w:szCs w:val="24"/>
        </w:rPr>
        <w:t>要由华力西晚期花岗岩、石炭系变质岩等组成。由于受裂隙系统、补给和径流条件的控</w:t>
      </w:r>
      <w:r>
        <w:rPr>
          <w:rFonts w:ascii="宋体" w:hAnsi="宋体" w:eastAsia="宋体" w:cs="宋体"/>
          <w:spacing w:val="17"/>
          <w:sz w:val="24"/>
          <w:szCs w:val="24"/>
        </w:rPr>
        <w:t xml:space="preserve"> </w:t>
      </w:r>
      <w:r>
        <w:rPr>
          <w:rFonts w:ascii="宋体" w:hAnsi="宋体" w:eastAsia="宋体" w:cs="宋体"/>
          <w:spacing w:val="-6"/>
          <w:sz w:val="24"/>
          <w:szCs w:val="24"/>
        </w:rPr>
        <w:t>制，基岩裂裂水分布具有不连续、不均匀、富水性差异大、水量较小、水质较好的特点。</w:t>
      </w:r>
      <w:r>
        <w:rPr>
          <w:rFonts w:ascii="宋体" w:hAnsi="宋体" w:eastAsia="宋体" w:cs="宋体"/>
          <w:spacing w:val="15"/>
          <w:sz w:val="24"/>
          <w:szCs w:val="24"/>
        </w:rPr>
        <w:t xml:space="preserve"> </w:t>
      </w:r>
      <w:r>
        <w:rPr>
          <w:rFonts w:ascii="宋体" w:hAnsi="宋体" w:eastAsia="宋体" w:cs="宋体"/>
          <w:spacing w:val="-2"/>
          <w:sz w:val="24"/>
          <w:szCs w:val="24"/>
        </w:rPr>
        <w:t>纵观基岩裂隙水，虽各岩体中均有地下水的分布，但在花岗岩岩体中的地下水较其他岩</w:t>
      </w:r>
      <w:r>
        <w:rPr>
          <w:rFonts w:ascii="宋体" w:hAnsi="宋体" w:eastAsia="宋体" w:cs="宋体"/>
          <w:spacing w:val="17"/>
          <w:sz w:val="24"/>
          <w:szCs w:val="24"/>
        </w:rPr>
        <w:t xml:space="preserve"> </w:t>
      </w:r>
      <w:r>
        <w:rPr>
          <w:rFonts w:ascii="宋体" w:hAnsi="宋体" w:eastAsia="宋体" w:cs="宋体"/>
          <w:spacing w:val="-6"/>
          <w:sz w:val="24"/>
          <w:szCs w:val="24"/>
        </w:rPr>
        <w:t>体中的地下水较为丰富。自燕山运动以来一直处于上升阶段，花岗岩遭受风化剥蚀严重，</w:t>
      </w:r>
      <w:r>
        <w:rPr>
          <w:rFonts w:ascii="宋体" w:hAnsi="宋体" w:eastAsia="宋体" w:cs="宋体"/>
          <w:spacing w:val="15"/>
          <w:sz w:val="24"/>
          <w:szCs w:val="24"/>
        </w:rPr>
        <w:t xml:space="preserve"> </w:t>
      </w:r>
      <w:r>
        <w:rPr>
          <w:rFonts w:ascii="宋体" w:hAnsi="宋体" w:eastAsia="宋体" w:cs="宋体"/>
          <w:spacing w:val="-6"/>
          <w:sz w:val="24"/>
          <w:szCs w:val="24"/>
        </w:rPr>
        <w:t>多形成地形平缓的丘陵地形，同时地形已准平原化，有利于大气降水渗入的补给。因此，</w:t>
      </w:r>
      <w:r>
        <w:rPr>
          <w:rFonts w:ascii="宋体" w:hAnsi="宋体" w:eastAsia="宋体" w:cs="宋体"/>
          <w:spacing w:val="15"/>
          <w:sz w:val="24"/>
          <w:szCs w:val="24"/>
        </w:rPr>
        <w:t xml:space="preserve"> </w:t>
      </w:r>
      <w:r>
        <w:rPr>
          <w:rFonts w:ascii="宋体" w:hAnsi="宋体" w:eastAsia="宋体" w:cs="宋体"/>
          <w:spacing w:val="-2"/>
          <w:sz w:val="24"/>
          <w:szCs w:val="24"/>
        </w:rPr>
        <w:t>花岗岩分布区裂隙水较丰富。一般在地形低洼汇水条件好的地段均有裂隙水存在，单井</w:t>
      </w:r>
      <w:r>
        <w:rPr>
          <w:rFonts w:ascii="宋体" w:hAnsi="宋体" w:eastAsia="宋体" w:cs="宋体"/>
          <w:spacing w:val="17"/>
          <w:sz w:val="24"/>
          <w:szCs w:val="24"/>
        </w:rPr>
        <w:t xml:space="preserve"> </w:t>
      </w:r>
      <w:r>
        <w:rPr>
          <w:rFonts w:ascii="宋体" w:hAnsi="宋体" w:eastAsia="宋体" w:cs="宋体"/>
          <w:spacing w:val="1"/>
          <w:sz w:val="24"/>
          <w:szCs w:val="24"/>
        </w:rPr>
        <w:t>涌水量一般为</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10~</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1"/>
          <w:sz w:val="24"/>
          <w:szCs w:val="24"/>
        </w:rPr>
        <w:t>100m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/d</w:t>
      </w:r>
      <w:r>
        <w:rPr>
          <w:rFonts w:ascii="宋体" w:hAnsi="宋体" w:eastAsia="宋体" w:cs="宋体"/>
          <w:spacing w:val="1"/>
          <w:sz w:val="24"/>
          <w:szCs w:val="24"/>
        </w:rPr>
        <w:t>左右。在</w:t>
      </w:r>
      <w:r>
        <w:rPr>
          <w:rFonts w:ascii="宋体" w:hAnsi="宋体" w:eastAsia="宋体" w:cs="宋体"/>
          <w:sz w:val="24"/>
          <w:szCs w:val="24"/>
        </w:rPr>
        <w:t xml:space="preserve">石炭系变质岩分布区，由于岩石比较坚硬致密，虽 </w:t>
      </w:r>
      <w:r>
        <w:rPr>
          <w:rFonts w:ascii="宋体" w:hAnsi="宋体" w:eastAsia="宋体" w:cs="宋体"/>
          <w:spacing w:val="-2"/>
          <w:sz w:val="24"/>
          <w:szCs w:val="24"/>
        </w:rPr>
        <w:t>也有北西向节理裂隙，但多被脉岩充填，而风化裂隙不发育，裂隙水赋存条件不好。另</w:t>
      </w:r>
      <w:r>
        <w:rPr>
          <w:rFonts w:ascii="宋体" w:hAnsi="宋体" w:eastAsia="宋体" w:cs="宋体"/>
          <w:spacing w:val="17"/>
          <w:sz w:val="24"/>
          <w:szCs w:val="24"/>
        </w:rPr>
        <w:t xml:space="preserve"> </w:t>
      </w:r>
      <w:r>
        <w:rPr>
          <w:rFonts w:ascii="宋体" w:hAnsi="宋体" w:eastAsia="宋体" w:cs="宋体"/>
          <w:spacing w:val="-2"/>
          <w:sz w:val="24"/>
          <w:szCs w:val="24"/>
        </w:rPr>
        <w:t>一方面，变质岩遭受风化破坏和剥蚀较花岗岩轻，因此，在这些地段多形成较陡、坡度</w:t>
      </w:r>
      <w:r>
        <w:rPr>
          <w:rFonts w:ascii="宋体" w:hAnsi="宋体" w:eastAsia="宋体" w:cs="宋体"/>
          <w:spacing w:val="17"/>
          <w:sz w:val="24"/>
          <w:szCs w:val="24"/>
        </w:rPr>
        <w:t xml:space="preserve"> </w:t>
      </w:r>
      <w:r>
        <w:rPr>
          <w:rFonts w:ascii="宋体" w:hAnsi="宋体" w:eastAsia="宋体" w:cs="宋体"/>
          <w:spacing w:val="-2"/>
          <w:sz w:val="24"/>
          <w:szCs w:val="24"/>
        </w:rPr>
        <w:t>大的低山地形，降水后易于流失，因此在这些地段储水条件和补给条件不及花岗岩分布</w:t>
      </w:r>
      <w:r>
        <w:rPr>
          <w:rFonts w:ascii="宋体" w:hAnsi="宋体" w:eastAsia="宋体" w:cs="宋体"/>
          <w:spacing w:val="17"/>
          <w:sz w:val="24"/>
          <w:szCs w:val="24"/>
        </w:rPr>
        <w:t xml:space="preserve"> </w:t>
      </w:r>
      <w:r>
        <w:rPr>
          <w:rFonts w:ascii="宋体" w:hAnsi="宋体" w:eastAsia="宋体" w:cs="宋体"/>
          <w:spacing w:val="-1"/>
          <w:sz w:val="24"/>
          <w:szCs w:val="24"/>
        </w:rPr>
        <w:t>区，地下水水量较小，单井出水量一般小于</w:t>
      </w:r>
      <w:r>
        <w:rPr>
          <w:rFonts w:ascii="Times New Roman" w:hAnsi="Times New Roman" w:eastAsia="Times New Roman" w:cs="Times New Roman"/>
          <w:spacing w:val="-1"/>
          <w:sz w:val="24"/>
          <w:szCs w:val="24"/>
        </w:rPr>
        <w:t>10m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/d</w:t>
      </w:r>
      <w:r>
        <w:rPr>
          <w:rFonts w:ascii="宋体" w:hAnsi="宋体" w:eastAsia="宋体" w:cs="宋体"/>
          <w:spacing w:val="-1"/>
          <w:sz w:val="24"/>
          <w:szCs w:val="24"/>
        </w:rPr>
        <w:t>。</w:t>
      </w:r>
    </w:p>
    <w:p w14:paraId="21EB297A">
      <w:pPr>
        <w:spacing w:before="36"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）区域地下水的补给、径流及排泄条件</w:t>
      </w:r>
    </w:p>
    <w:p w14:paraId="0C8661F1">
      <w:pPr>
        <w:spacing w:before="181" w:line="217" w:lineRule="auto"/>
        <w:ind w:left="487"/>
        <w:rPr>
          <w:rFonts w:ascii="宋体" w:hAnsi="宋体" w:eastAsia="宋体" w:cs="宋体"/>
          <w:sz w:val="24"/>
          <w:szCs w:val="24"/>
        </w:rPr>
      </w:pPr>
      <w:r>
        <w:rPr>
          <w:rFonts w:ascii="宋体" w:hAnsi="宋体" w:eastAsia="宋体" w:cs="宋体"/>
          <w:spacing w:val="-1"/>
          <w:sz w:val="24"/>
          <w:szCs w:val="24"/>
        </w:rPr>
        <w:t>①第四系松散岩类孔隙水</w:t>
      </w:r>
    </w:p>
    <w:p w14:paraId="3DE5EC7A">
      <w:pPr>
        <w:spacing w:before="185" w:line="345" w:lineRule="auto"/>
        <w:ind w:left="8" w:right="80" w:firstLine="480"/>
        <w:rPr>
          <w:rFonts w:ascii="宋体" w:hAnsi="宋体" w:eastAsia="宋体" w:cs="宋体"/>
          <w:sz w:val="24"/>
          <w:szCs w:val="24"/>
        </w:rPr>
      </w:pPr>
      <w:r>
        <w:rPr>
          <w:rFonts w:ascii="宋体" w:hAnsi="宋体" w:eastAsia="宋体" w:cs="宋体"/>
          <w:spacing w:val="-2"/>
          <w:sz w:val="24"/>
          <w:szCs w:val="24"/>
        </w:rPr>
        <w:t>第四系松散岩类孔隙水主要接受大气降水补给，其次为基岩裂隙水及碎屑岩类孔隙</w:t>
      </w:r>
      <w:r>
        <w:rPr>
          <w:rFonts w:ascii="宋体" w:hAnsi="宋体" w:eastAsia="宋体" w:cs="宋体"/>
          <w:spacing w:val="13"/>
          <w:sz w:val="24"/>
          <w:szCs w:val="24"/>
        </w:rPr>
        <w:t xml:space="preserve"> </w:t>
      </w:r>
      <w:r>
        <w:rPr>
          <w:rFonts w:ascii="宋体" w:hAnsi="宋体" w:eastAsia="宋体" w:cs="宋体"/>
          <w:spacing w:val="-2"/>
          <w:sz w:val="24"/>
          <w:szCs w:val="24"/>
        </w:rPr>
        <w:t>裂隙水的侧向补给，第四系孔隙潜水主要以蒸发、途中补给洼地、淖尔和局部小范围径</w:t>
      </w:r>
    </w:p>
    <w:p w14:paraId="76530E47">
      <w:pPr>
        <w:spacing w:before="37" w:line="219" w:lineRule="auto"/>
        <w:ind w:left="9"/>
        <w:rPr>
          <w:rFonts w:ascii="宋体" w:hAnsi="宋体" w:eastAsia="宋体" w:cs="宋体"/>
          <w:sz w:val="24"/>
          <w:szCs w:val="24"/>
        </w:rPr>
      </w:pPr>
      <w:r>
        <w:rPr>
          <w:rFonts w:ascii="宋体" w:hAnsi="宋体" w:eastAsia="宋体" w:cs="宋体"/>
          <w:spacing w:val="-1"/>
          <w:sz w:val="24"/>
          <w:szCs w:val="24"/>
        </w:rPr>
        <w:t>流的方式排泄，另外人工开采也是其排泄途径之一。</w:t>
      </w:r>
    </w:p>
    <w:p w14:paraId="5AD5C04A">
      <w:pPr>
        <w:spacing w:before="183" w:line="345" w:lineRule="auto"/>
        <w:ind w:left="487" w:right="3464" w:hanging="1"/>
        <w:rPr>
          <w:rFonts w:ascii="宋体" w:hAnsi="宋体" w:eastAsia="宋体" w:cs="宋体"/>
          <w:sz w:val="24"/>
          <w:szCs w:val="24"/>
        </w:rPr>
      </w:pPr>
      <w:r>
        <w:rPr>
          <w:rFonts w:ascii="宋体" w:hAnsi="宋体" w:eastAsia="宋体" w:cs="宋体"/>
          <w:spacing w:val="-1"/>
          <w:sz w:val="24"/>
          <w:szCs w:val="24"/>
        </w:rPr>
        <w:t>②新近系、古近系、白垩系碎屑岩类裂隙孔隙水</w:t>
      </w:r>
      <w:r>
        <w:rPr>
          <w:rFonts w:ascii="宋体" w:hAnsi="宋体" w:eastAsia="宋体" w:cs="宋体"/>
          <w:spacing w:val="6"/>
          <w:sz w:val="24"/>
          <w:szCs w:val="24"/>
        </w:rPr>
        <w:t xml:space="preserve">  </w:t>
      </w:r>
      <w:r>
        <w:rPr>
          <w:rFonts w:ascii="Times New Roman" w:hAnsi="Times New Roman" w:eastAsia="Times New Roman" w:cs="Times New Roman"/>
          <w:spacing w:val="-1"/>
          <w:sz w:val="24"/>
          <w:szCs w:val="24"/>
        </w:rPr>
        <w:t>a.</w:t>
      </w:r>
      <w:r>
        <w:rPr>
          <w:rFonts w:ascii="宋体" w:hAnsi="宋体" w:eastAsia="宋体" w:cs="宋体"/>
          <w:spacing w:val="-1"/>
          <w:sz w:val="24"/>
          <w:szCs w:val="24"/>
        </w:rPr>
        <w:t>新近系、古近系、白垩系碎屑岩类裂隙孔隙潜水</w:t>
      </w:r>
    </w:p>
    <w:p w14:paraId="09FB8155">
      <w:pPr>
        <w:spacing w:before="35" w:line="348" w:lineRule="auto"/>
        <w:ind w:left="8" w:right="80" w:firstLine="497"/>
        <w:jc w:val="both"/>
        <w:rPr>
          <w:rFonts w:ascii="宋体" w:hAnsi="宋体" w:eastAsia="宋体" w:cs="宋体"/>
          <w:sz w:val="24"/>
          <w:szCs w:val="24"/>
        </w:rPr>
      </w:pPr>
      <w:r>
        <w:rPr>
          <w:rFonts w:ascii="宋体" w:hAnsi="宋体" w:eastAsia="宋体" w:cs="宋体"/>
          <w:spacing w:val="-2"/>
          <w:sz w:val="24"/>
          <w:szCs w:val="24"/>
        </w:rPr>
        <w:t>区内新近系上新统、中新统和古近系渐新统、古</w:t>
      </w:r>
      <w:r>
        <w:rPr>
          <w:rFonts w:ascii="Times New Roman" w:hAnsi="Times New Roman" w:eastAsia="Times New Roman" w:cs="Times New Roman"/>
          <w:spacing w:val="-2"/>
          <w:sz w:val="24"/>
          <w:szCs w:val="24"/>
        </w:rPr>
        <w:t>—</w:t>
      </w:r>
      <w:r>
        <w:rPr>
          <w:rFonts w:ascii="宋体" w:hAnsi="宋体" w:eastAsia="宋体" w:cs="宋体"/>
          <w:spacing w:val="-2"/>
          <w:sz w:val="24"/>
          <w:szCs w:val="24"/>
        </w:rPr>
        <w:t>始新统砂岩、砂砾岩</w:t>
      </w:r>
      <w:r>
        <w:rPr>
          <w:rFonts w:ascii="宋体" w:hAnsi="宋体" w:eastAsia="宋体" w:cs="宋体"/>
          <w:spacing w:val="-3"/>
          <w:sz w:val="24"/>
          <w:szCs w:val="24"/>
        </w:rPr>
        <w:t>组成的裂隙</w:t>
      </w:r>
      <w:r>
        <w:rPr>
          <w:rFonts w:ascii="宋体" w:hAnsi="宋体" w:eastAsia="宋体" w:cs="宋体"/>
          <w:sz w:val="24"/>
          <w:szCs w:val="24"/>
        </w:rPr>
        <w:t xml:space="preserve"> </w:t>
      </w:r>
      <w:r>
        <w:rPr>
          <w:rFonts w:ascii="宋体" w:hAnsi="宋体" w:eastAsia="宋体" w:cs="宋体"/>
          <w:spacing w:val="-2"/>
          <w:sz w:val="24"/>
          <w:szCs w:val="24"/>
        </w:rPr>
        <w:t>孔隙潜水，受微地貌和岩性的控制，在地形低洼，上覆有胶结程度不好的砂岩、砂砾岩</w:t>
      </w:r>
      <w:r>
        <w:rPr>
          <w:rFonts w:ascii="宋体" w:hAnsi="宋体" w:eastAsia="宋体" w:cs="宋体"/>
          <w:spacing w:val="17"/>
          <w:sz w:val="24"/>
          <w:szCs w:val="24"/>
        </w:rPr>
        <w:t xml:space="preserve"> </w:t>
      </w:r>
      <w:r>
        <w:rPr>
          <w:rFonts w:ascii="宋体" w:hAnsi="宋体" w:eastAsia="宋体" w:cs="宋体"/>
          <w:spacing w:val="-2"/>
          <w:sz w:val="24"/>
          <w:szCs w:val="24"/>
        </w:rPr>
        <w:t>层，下部有隔水泥层，且隔水泥岩顶面低洼时，才有局部洼地裂隙孔隙潜水存在。含水</w:t>
      </w:r>
      <w:r>
        <w:rPr>
          <w:rFonts w:ascii="宋体" w:hAnsi="宋体" w:eastAsia="宋体" w:cs="宋体"/>
          <w:spacing w:val="17"/>
          <w:sz w:val="24"/>
          <w:szCs w:val="24"/>
        </w:rPr>
        <w:t xml:space="preserve"> </w:t>
      </w:r>
      <w:r>
        <w:rPr>
          <w:rFonts w:ascii="宋体" w:hAnsi="宋体" w:eastAsia="宋体" w:cs="宋体"/>
          <w:spacing w:val="-2"/>
          <w:sz w:val="24"/>
          <w:szCs w:val="24"/>
        </w:rPr>
        <w:t>层不连续，无统一排泄带，地下水由洼地边缘向中心径流和聚集；接受大气降水补给，</w:t>
      </w:r>
    </w:p>
    <w:p w14:paraId="45B50891">
      <w:pPr>
        <w:spacing w:line="348" w:lineRule="auto"/>
        <w:rPr>
          <w:rFonts w:ascii="宋体" w:hAnsi="宋体" w:eastAsia="宋体" w:cs="宋体"/>
          <w:sz w:val="24"/>
          <w:szCs w:val="24"/>
        </w:rPr>
        <w:sectPr>
          <w:footerReference r:id="rId313" w:type="default"/>
          <w:pgSz w:w="11905" w:h="16839"/>
          <w:pgMar w:top="1190" w:right="1336" w:bottom="1427" w:left="1417" w:header="882" w:footer="1265" w:gutter="0"/>
          <w:cols w:space="720" w:num="1"/>
        </w:sectPr>
      </w:pPr>
    </w:p>
    <w:p w14:paraId="0DE148D0">
      <w:pPr>
        <w:spacing w:line="28" w:lineRule="exact"/>
      </w:pPr>
      <w:r>
        <w:pict>
          <v:shape id="_x0000_s1813" o:spid="_x0000_s1813" style="height:1.45pt;width:453.6pt;" fillcolor="#000000" filled="t" stroked="f" coordsize="9072,29" path="m0,0l9071,0,9071,28,0,28,0,0xe">
            <v:path/>
            <v:fill on="t" focussize="0,0"/>
            <v:stroke on="f"/>
            <v:imagedata o:title=""/>
            <o:lock v:ext="edit"/>
            <w10:wrap type="none"/>
            <w10:anchorlock/>
          </v:shape>
        </w:pict>
      </w:r>
    </w:p>
    <w:p w14:paraId="38EB8CFD">
      <w:pPr>
        <w:spacing w:before="233" w:line="219" w:lineRule="auto"/>
        <w:ind w:left="10"/>
        <w:rPr>
          <w:rFonts w:ascii="宋体" w:hAnsi="宋体" w:eastAsia="宋体" w:cs="宋体"/>
          <w:sz w:val="24"/>
          <w:szCs w:val="24"/>
        </w:rPr>
      </w:pPr>
      <w:r>
        <w:rPr>
          <w:rFonts w:ascii="宋体" w:hAnsi="宋体" w:eastAsia="宋体" w:cs="宋体"/>
          <w:spacing w:val="-1"/>
          <w:sz w:val="24"/>
          <w:szCs w:val="24"/>
        </w:rPr>
        <w:t>主要靠蒸发和人工开采排泄，局部以泉的形式排泄。</w:t>
      </w:r>
    </w:p>
    <w:p w14:paraId="622E556F">
      <w:pPr>
        <w:spacing w:before="181" w:line="219" w:lineRule="auto"/>
        <w:ind w:left="478"/>
        <w:rPr>
          <w:rFonts w:ascii="宋体" w:hAnsi="宋体" w:eastAsia="宋体" w:cs="宋体"/>
          <w:sz w:val="24"/>
          <w:szCs w:val="24"/>
        </w:rPr>
      </w:pPr>
      <w:r>
        <w:rPr>
          <w:rFonts w:ascii="Times New Roman" w:hAnsi="Times New Roman" w:eastAsia="Times New Roman" w:cs="Times New Roman"/>
          <w:sz w:val="24"/>
          <w:szCs w:val="24"/>
        </w:rPr>
        <w:t>b.</w:t>
      </w:r>
      <w:r>
        <w:rPr>
          <w:rFonts w:ascii="宋体" w:hAnsi="宋体" w:eastAsia="宋体" w:cs="宋体"/>
          <w:sz w:val="24"/>
          <w:szCs w:val="24"/>
        </w:rPr>
        <w:t>新近系、古近系、白垩系碎屑岩类裂隙孔隙承压水</w:t>
      </w:r>
    </w:p>
    <w:p w14:paraId="62BB7556">
      <w:pPr>
        <w:spacing w:before="186" w:line="354" w:lineRule="auto"/>
        <w:ind w:left="8" w:firstLine="480"/>
        <w:rPr>
          <w:rFonts w:ascii="宋体" w:hAnsi="宋体" w:eastAsia="宋体" w:cs="宋体"/>
          <w:sz w:val="24"/>
          <w:szCs w:val="24"/>
        </w:rPr>
      </w:pPr>
      <w:r>
        <w:rPr>
          <w:rFonts w:ascii="宋体" w:hAnsi="宋体" w:eastAsia="宋体" w:cs="宋体"/>
          <w:spacing w:val="-2"/>
          <w:sz w:val="24"/>
          <w:szCs w:val="24"/>
        </w:rPr>
        <w:t>新近系、古近系、白垩系碎屑岩类裂隙孔隙承压水含水层，顶板埋深较大，上覆泥</w:t>
      </w:r>
      <w:r>
        <w:rPr>
          <w:rFonts w:ascii="宋体" w:hAnsi="宋体" w:eastAsia="宋体" w:cs="宋体"/>
          <w:spacing w:val="12"/>
          <w:sz w:val="24"/>
          <w:szCs w:val="24"/>
        </w:rPr>
        <w:t xml:space="preserve"> </w:t>
      </w:r>
      <w:r>
        <w:rPr>
          <w:rFonts w:ascii="宋体" w:hAnsi="宋体" w:eastAsia="宋体" w:cs="宋体"/>
          <w:spacing w:val="-2"/>
          <w:sz w:val="24"/>
          <w:szCs w:val="24"/>
        </w:rPr>
        <w:t>岩为承压水良好的隔水顶板。大气降水不易垂直渗入，低山丘陵区基岩裂隙水及临区的</w:t>
      </w:r>
      <w:r>
        <w:rPr>
          <w:rFonts w:ascii="宋体" w:hAnsi="宋体" w:eastAsia="宋体" w:cs="宋体"/>
          <w:spacing w:val="17"/>
          <w:sz w:val="24"/>
          <w:szCs w:val="24"/>
        </w:rPr>
        <w:t xml:space="preserve"> </w:t>
      </w:r>
      <w:r>
        <w:rPr>
          <w:rFonts w:ascii="宋体" w:hAnsi="宋体" w:eastAsia="宋体" w:cs="宋体"/>
          <w:spacing w:val="-2"/>
          <w:sz w:val="24"/>
          <w:szCs w:val="24"/>
        </w:rPr>
        <w:t>高平原古近系、白垩系碎屑岩类裂隙孔隙承压水为其主要的侧向补给来源，地下水径流</w:t>
      </w:r>
      <w:r>
        <w:rPr>
          <w:rFonts w:ascii="宋体" w:hAnsi="宋体" w:eastAsia="宋体" w:cs="宋体"/>
          <w:spacing w:val="17"/>
          <w:sz w:val="24"/>
          <w:szCs w:val="24"/>
        </w:rPr>
        <w:t xml:space="preserve"> </w:t>
      </w:r>
      <w:r>
        <w:rPr>
          <w:rFonts w:ascii="宋体" w:hAnsi="宋体" w:eastAsia="宋体" w:cs="宋体"/>
          <w:spacing w:val="-2"/>
          <w:sz w:val="24"/>
          <w:szCs w:val="24"/>
        </w:rPr>
        <w:t>方向主体为由南向北径流，山前径流较快，高平原中部径流缓慢。地下水通过地下径流</w:t>
      </w:r>
      <w:r>
        <w:rPr>
          <w:rFonts w:ascii="宋体" w:hAnsi="宋体" w:eastAsia="宋体" w:cs="宋体"/>
          <w:spacing w:val="17"/>
          <w:sz w:val="24"/>
          <w:szCs w:val="24"/>
        </w:rPr>
        <w:t xml:space="preserve"> </w:t>
      </w:r>
      <w:r>
        <w:rPr>
          <w:rFonts w:ascii="宋体" w:hAnsi="宋体" w:eastAsia="宋体" w:cs="宋体"/>
          <w:spacing w:val="-2"/>
          <w:sz w:val="24"/>
          <w:szCs w:val="24"/>
        </w:rPr>
        <w:t>的方式排泄于西北部下游古近系、白垩系含水层及古河道中，另外人工开采也是本区承</w:t>
      </w:r>
      <w:r>
        <w:rPr>
          <w:rFonts w:ascii="宋体" w:hAnsi="宋体" w:eastAsia="宋体" w:cs="宋体"/>
          <w:spacing w:val="17"/>
          <w:sz w:val="24"/>
          <w:szCs w:val="24"/>
        </w:rPr>
        <w:t xml:space="preserve"> </w:t>
      </w:r>
      <w:r>
        <w:rPr>
          <w:rFonts w:ascii="宋体" w:hAnsi="宋体" w:eastAsia="宋体" w:cs="宋体"/>
          <w:spacing w:val="-1"/>
          <w:sz w:val="24"/>
          <w:szCs w:val="24"/>
        </w:rPr>
        <w:t>压水的主要排泄途径。</w:t>
      </w:r>
    </w:p>
    <w:p w14:paraId="1C3FBE02">
      <w:pPr>
        <w:spacing w:before="36" w:line="217" w:lineRule="auto"/>
        <w:ind w:left="486"/>
        <w:rPr>
          <w:rFonts w:ascii="宋体" w:hAnsi="宋体" w:eastAsia="宋体" w:cs="宋体"/>
          <w:sz w:val="24"/>
          <w:szCs w:val="24"/>
        </w:rPr>
      </w:pPr>
      <w:r>
        <w:rPr>
          <w:rFonts w:ascii="宋体" w:hAnsi="宋体" w:eastAsia="宋体" w:cs="宋体"/>
          <w:spacing w:val="-2"/>
          <w:sz w:val="24"/>
          <w:szCs w:val="24"/>
        </w:rPr>
        <w:t>③基岩裂隙水</w:t>
      </w:r>
    </w:p>
    <w:p w14:paraId="76512A63">
      <w:pPr>
        <w:spacing w:before="182" w:line="353" w:lineRule="auto"/>
        <w:ind w:left="8" w:firstLine="479"/>
        <w:rPr>
          <w:rFonts w:ascii="宋体" w:hAnsi="宋体" w:eastAsia="宋体" w:cs="宋体"/>
          <w:sz w:val="24"/>
          <w:szCs w:val="24"/>
        </w:rPr>
      </w:pPr>
      <w:r>
        <w:rPr>
          <w:rFonts w:ascii="宋体" w:hAnsi="宋体" w:eastAsia="宋体" w:cs="宋体"/>
          <w:spacing w:val="5"/>
          <w:sz w:val="24"/>
          <w:szCs w:val="24"/>
        </w:rPr>
        <w:t>低山丘陵区的基岩裂隙水为地下水的补给区，基岩裂隙水主要接受大气降水的补</w:t>
      </w:r>
      <w:r>
        <w:rPr>
          <w:rFonts w:ascii="宋体" w:hAnsi="宋体" w:eastAsia="宋体" w:cs="宋体"/>
          <w:spacing w:val="7"/>
          <w:sz w:val="24"/>
          <w:szCs w:val="24"/>
        </w:rPr>
        <w:t xml:space="preserve"> </w:t>
      </w:r>
      <w:r>
        <w:rPr>
          <w:rFonts w:ascii="宋体" w:hAnsi="宋体" w:eastAsia="宋体" w:cs="宋体"/>
          <w:spacing w:val="-2"/>
          <w:sz w:val="24"/>
          <w:szCs w:val="24"/>
        </w:rPr>
        <w:t>给，而其径流和排泄受基岩起伏状况所控制。基岩裂隙水以蒸发和沿裂隙向低洼处径流</w:t>
      </w:r>
      <w:r>
        <w:rPr>
          <w:rFonts w:ascii="宋体" w:hAnsi="宋体" w:eastAsia="宋体" w:cs="宋体"/>
          <w:spacing w:val="17"/>
          <w:sz w:val="24"/>
          <w:szCs w:val="24"/>
        </w:rPr>
        <w:t xml:space="preserve"> </w:t>
      </w:r>
      <w:r>
        <w:rPr>
          <w:rFonts w:ascii="宋体" w:hAnsi="宋体" w:eastAsia="宋体" w:cs="宋体"/>
          <w:spacing w:val="-2"/>
          <w:sz w:val="24"/>
          <w:szCs w:val="24"/>
        </w:rPr>
        <w:t>排泄。一部分地下水随之蒸发，另一部分地下水流向高平原区和沟谷洼地中，补给第四</w:t>
      </w:r>
      <w:r>
        <w:rPr>
          <w:rFonts w:ascii="宋体" w:hAnsi="宋体" w:eastAsia="宋体" w:cs="宋体"/>
          <w:spacing w:val="17"/>
          <w:sz w:val="24"/>
          <w:szCs w:val="24"/>
        </w:rPr>
        <w:t xml:space="preserve"> </w:t>
      </w:r>
      <w:r>
        <w:rPr>
          <w:rFonts w:ascii="宋体" w:hAnsi="宋体" w:eastAsia="宋体" w:cs="宋体"/>
          <w:spacing w:val="-1"/>
          <w:sz w:val="24"/>
          <w:szCs w:val="24"/>
        </w:rPr>
        <w:t>系地下水和新近系、古近系、白垩系地下水。</w:t>
      </w:r>
    </w:p>
    <w:p w14:paraId="7D909D29">
      <w:pPr>
        <w:spacing w:line="353" w:lineRule="auto"/>
        <w:rPr>
          <w:rFonts w:ascii="宋体" w:hAnsi="宋体" w:eastAsia="宋体" w:cs="宋体"/>
          <w:sz w:val="24"/>
          <w:szCs w:val="24"/>
        </w:rPr>
        <w:sectPr>
          <w:headerReference r:id="rId314" w:type="default"/>
          <w:footerReference r:id="rId315" w:type="default"/>
          <w:pgSz w:w="11905" w:h="16839"/>
          <w:pgMar w:top="1190" w:right="1416" w:bottom="1427" w:left="1417" w:header="882" w:footer="1265" w:gutter="0"/>
          <w:cols w:space="720" w:num="1"/>
        </w:sectPr>
      </w:pPr>
    </w:p>
    <w:p w14:paraId="1DFD1446">
      <w:pPr>
        <w:spacing w:line="28" w:lineRule="exact"/>
        <w:ind w:firstLine="1"/>
      </w:pPr>
      <w:r>
        <w:pict>
          <v:shape id="_x0000_s1814" o:spid="_x0000_s1814" style="height:1.45pt;width:700.25pt;" fillcolor="#000000" filled="t" stroked="f" coordsize="14005,29" path="m0,0l14004,0,14004,28,0,28,0,0xe">
            <v:path/>
            <v:fill on="t" focussize="0,0"/>
            <v:stroke on="f"/>
            <v:imagedata o:title=""/>
            <o:lock v:ext="edit"/>
            <w10:wrap type="none"/>
            <w10:anchorlock/>
          </v:shape>
        </w:pict>
      </w:r>
    </w:p>
    <w:p w14:paraId="1AFCCF00">
      <w:pPr>
        <w:pStyle w:val="2"/>
        <w:spacing w:line="284" w:lineRule="auto"/>
      </w:pPr>
    </w:p>
    <w:p w14:paraId="36BDD4C3">
      <w:pPr>
        <w:pStyle w:val="2"/>
        <w:spacing w:line="284" w:lineRule="auto"/>
      </w:pPr>
    </w:p>
    <w:p w14:paraId="15868306">
      <w:pPr>
        <w:spacing w:before="65" w:line="188" w:lineRule="auto"/>
        <w:ind w:left="12977"/>
        <w:rPr>
          <w:rFonts w:ascii="黑体" w:hAnsi="黑体" w:eastAsia="黑体" w:cs="黑体"/>
          <w:sz w:val="20"/>
          <w:szCs w:val="20"/>
        </w:rPr>
      </w:pPr>
      <w:r>
        <w:drawing>
          <wp:anchor distT="0" distB="0" distL="0" distR="0" simplePos="0" relativeHeight="252049408" behindDoc="1" locked="0" layoutInCell="1" allowOverlap="1">
            <wp:simplePos x="0" y="0"/>
            <wp:positionH relativeFrom="column">
              <wp:posOffset>0</wp:posOffset>
            </wp:positionH>
            <wp:positionV relativeFrom="paragraph">
              <wp:posOffset>-238125</wp:posOffset>
            </wp:positionV>
            <wp:extent cx="8607425" cy="4904105"/>
            <wp:effectExtent l="0" t="0" r="0" b="0"/>
            <wp:wrapNone/>
            <wp:docPr id="144" name="IM 144"/>
            <wp:cNvGraphicFramePr/>
            <a:graphic xmlns:a="http://schemas.openxmlformats.org/drawingml/2006/main">
              <a:graphicData uri="http://schemas.openxmlformats.org/drawingml/2006/picture">
                <pic:pic xmlns:pic="http://schemas.openxmlformats.org/drawingml/2006/picture">
                  <pic:nvPicPr>
                    <pic:cNvPr id="144" name="IM 144"/>
                    <pic:cNvPicPr/>
                  </pic:nvPicPr>
                  <pic:blipFill>
                    <a:blip r:embed="rId648"/>
                    <a:stretch>
                      <a:fillRect/>
                    </a:stretch>
                  </pic:blipFill>
                  <pic:spPr>
                    <a:xfrm>
                      <a:off x="0" y="0"/>
                      <a:ext cx="8607552" cy="4904232"/>
                    </a:xfrm>
                    <a:prstGeom prst="rect">
                      <a:avLst/>
                    </a:prstGeom>
                  </pic:spPr>
                </pic:pic>
              </a:graphicData>
            </a:graphic>
          </wp:anchor>
        </w:drawing>
      </w:r>
      <w:r>
        <w:rPr>
          <w:rFonts w:ascii="黑体" w:hAnsi="黑体" w:eastAsia="黑体" w:cs="黑体"/>
          <w:b/>
          <w:bCs/>
          <w:color w:val="800000"/>
          <w:spacing w:val="-3"/>
          <w:sz w:val="20"/>
          <w:szCs w:val="20"/>
        </w:rPr>
        <w:t>N</w:t>
      </w:r>
    </w:p>
    <w:p w14:paraId="6CA2F857">
      <w:pPr>
        <w:spacing w:before="35" w:line="613" w:lineRule="exact"/>
        <w:ind w:firstLine="12836"/>
      </w:pPr>
      <w:r>
        <w:rPr>
          <w:position w:val="-12"/>
        </w:rPr>
        <w:drawing>
          <wp:inline distT="0" distB="0" distL="0" distR="0">
            <wp:extent cx="243840" cy="389255"/>
            <wp:effectExtent l="0" t="0" r="0" b="0"/>
            <wp:docPr id="146" name="IM 146"/>
            <wp:cNvGraphicFramePr/>
            <a:graphic xmlns:a="http://schemas.openxmlformats.org/drawingml/2006/main">
              <a:graphicData uri="http://schemas.openxmlformats.org/drawingml/2006/picture">
                <pic:pic xmlns:pic="http://schemas.openxmlformats.org/drawingml/2006/picture">
                  <pic:nvPicPr>
                    <pic:cNvPr id="146" name="IM 146"/>
                    <pic:cNvPicPr/>
                  </pic:nvPicPr>
                  <pic:blipFill>
                    <a:blip r:embed="rId649"/>
                    <a:stretch>
                      <a:fillRect/>
                    </a:stretch>
                  </pic:blipFill>
                  <pic:spPr>
                    <a:xfrm>
                      <a:off x="0" y="0"/>
                      <a:ext cx="243840" cy="389394"/>
                    </a:xfrm>
                    <a:prstGeom prst="rect">
                      <a:avLst/>
                    </a:prstGeom>
                  </pic:spPr>
                </pic:pic>
              </a:graphicData>
            </a:graphic>
          </wp:inline>
        </w:drawing>
      </w:r>
    </w:p>
    <w:p w14:paraId="3582668A">
      <w:pPr>
        <w:pStyle w:val="2"/>
        <w:spacing w:line="245" w:lineRule="auto"/>
      </w:pPr>
    </w:p>
    <w:p w14:paraId="211CF0E5">
      <w:pPr>
        <w:pStyle w:val="2"/>
        <w:spacing w:line="245" w:lineRule="auto"/>
      </w:pPr>
    </w:p>
    <w:p w14:paraId="4E14D05C">
      <w:pPr>
        <w:pStyle w:val="2"/>
        <w:spacing w:line="245" w:lineRule="auto"/>
      </w:pPr>
    </w:p>
    <w:p w14:paraId="54049F2B">
      <w:pPr>
        <w:pStyle w:val="2"/>
        <w:spacing w:line="245" w:lineRule="auto"/>
      </w:pPr>
    </w:p>
    <w:p w14:paraId="10464A6A">
      <w:pPr>
        <w:pStyle w:val="2"/>
        <w:spacing w:line="245" w:lineRule="auto"/>
      </w:pPr>
    </w:p>
    <w:p w14:paraId="2F941985">
      <w:pPr>
        <w:pStyle w:val="2"/>
        <w:spacing w:line="245" w:lineRule="auto"/>
      </w:pPr>
    </w:p>
    <w:p w14:paraId="7045B147">
      <w:pPr>
        <w:pStyle w:val="2"/>
        <w:spacing w:line="245" w:lineRule="auto"/>
      </w:pPr>
    </w:p>
    <w:p w14:paraId="4006E471">
      <w:pPr>
        <w:pStyle w:val="2"/>
        <w:spacing w:line="245" w:lineRule="auto"/>
      </w:pPr>
    </w:p>
    <w:p w14:paraId="2682BB26">
      <w:pPr>
        <w:pStyle w:val="2"/>
        <w:spacing w:line="245" w:lineRule="auto"/>
      </w:pPr>
    </w:p>
    <w:p w14:paraId="3ABDD673">
      <w:pPr>
        <w:pStyle w:val="2"/>
        <w:spacing w:line="245" w:lineRule="auto"/>
      </w:pPr>
    </w:p>
    <w:p w14:paraId="79F61BE6">
      <w:pPr>
        <w:pStyle w:val="2"/>
        <w:spacing w:line="245" w:lineRule="auto"/>
      </w:pPr>
    </w:p>
    <w:p w14:paraId="2B39343A">
      <w:pPr>
        <w:pStyle w:val="2"/>
        <w:spacing w:line="245" w:lineRule="auto"/>
      </w:pPr>
    </w:p>
    <w:p w14:paraId="66E0746E">
      <w:pPr>
        <w:pStyle w:val="2"/>
        <w:spacing w:line="245" w:lineRule="auto"/>
      </w:pPr>
    </w:p>
    <w:p w14:paraId="301FB49C">
      <w:pPr>
        <w:pStyle w:val="2"/>
        <w:spacing w:line="245" w:lineRule="auto"/>
      </w:pPr>
    </w:p>
    <w:p w14:paraId="36F114BC">
      <w:pPr>
        <w:pStyle w:val="2"/>
        <w:spacing w:line="245" w:lineRule="auto"/>
      </w:pPr>
    </w:p>
    <w:p w14:paraId="69A2E006">
      <w:pPr>
        <w:pStyle w:val="2"/>
        <w:spacing w:line="245" w:lineRule="auto"/>
      </w:pPr>
    </w:p>
    <w:p w14:paraId="1D7146DC">
      <w:pPr>
        <w:pStyle w:val="2"/>
        <w:spacing w:line="245" w:lineRule="auto"/>
      </w:pPr>
    </w:p>
    <w:p w14:paraId="6BAE9C2D">
      <w:pPr>
        <w:pStyle w:val="2"/>
        <w:spacing w:line="246" w:lineRule="auto"/>
      </w:pPr>
    </w:p>
    <w:p w14:paraId="2133B86D">
      <w:pPr>
        <w:pStyle w:val="2"/>
        <w:spacing w:line="246" w:lineRule="auto"/>
      </w:pPr>
    </w:p>
    <w:p w14:paraId="09D8DB75">
      <w:pPr>
        <w:spacing w:before="65" w:line="230" w:lineRule="auto"/>
        <w:ind w:left="988"/>
        <w:rPr>
          <w:rFonts w:ascii="黑体" w:hAnsi="黑体" w:eastAsia="黑体" w:cs="黑体"/>
          <w:sz w:val="20"/>
          <w:szCs w:val="20"/>
        </w:rPr>
      </w:pPr>
      <w:r>
        <w:drawing>
          <wp:anchor distT="0" distB="0" distL="0" distR="0" simplePos="0" relativeHeight="252050432" behindDoc="1" locked="0" layoutInCell="1" allowOverlap="1">
            <wp:simplePos x="0" y="0"/>
            <wp:positionH relativeFrom="column">
              <wp:posOffset>313690</wp:posOffset>
            </wp:positionH>
            <wp:positionV relativeFrom="paragraph">
              <wp:posOffset>-31115</wp:posOffset>
            </wp:positionV>
            <wp:extent cx="1045210" cy="827405"/>
            <wp:effectExtent l="0" t="0" r="0" b="0"/>
            <wp:wrapNone/>
            <wp:docPr id="148" name="IM 148"/>
            <wp:cNvGraphicFramePr/>
            <a:graphic xmlns:a="http://schemas.openxmlformats.org/drawingml/2006/main">
              <a:graphicData uri="http://schemas.openxmlformats.org/drawingml/2006/picture">
                <pic:pic xmlns:pic="http://schemas.openxmlformats.org/drawingml/2006/picture">
                  <pic:nvPicPr>
                    <pic:cNvPr id="148" name="IM 148"/>
                    <pic:cNvPicPr/>
                  </pic:nvPicPr>
                  <pic:blipFill>
                    <a:blip r:embed="rId650"/>
                    <a:stretch>
                      <a:fillRect/>
                    </a:stretch>
                  </pic:blipFill>
                  <pic:spPr>
                    <a:xfrm>
                      <a:off x="0" y="0"/>
                      <a:ext cx="1045464" cy="827608"/>
                    </a:xfrm>
                    <a:prstGeom prst="rect">
                      <a:avLst/>
                    </a:prstGeom>
                  </pic:spPr>
                </pic:pic>
              </a:graphicData>
            </a:graphic>
          </wp:anchor>
        </w:drawing>
      </w:r>
      <w:r>
        <w:rPr>
          <w:rFonts w:ascii="黑体" w:hAnsi="黑体" w:eastAsia="黑体" w:cs="黑体"/>
          <w:color w:val="0000FF"/>
          <w:spacing w:val="7"/>
          <w:sz w:val="20"/>
          <w:szCs w:val="20"/>
        </w:rPr>
        <w:t>本项目厂址</w:t>
      </w:r>
    </w:p>
    <w:p w14:paraId="3E29E5EC">
      <w:pPr>
        <w:pStyle w:val="2"/>
        <w:spacing w:line="285" w:lineRule="auto"/>
      </w:pPr>
    </w:p>
    <w:p w14:paraId="31AD8C05">
      <w:pPr>
        <w:pStyle w:val="2"/>
        <w:spacing w:line="285" w:lineRule="auto"/>
      </w:pPr>
    </w:p>
    <w:p w14:paraId="3B94AE5C">
      <w:pPr>
        <w:pStyle w:val="2"/>
        <w:spacing w:line="285" w:lineRule="auto"/>
      </w:pPr>
    </w:p>
    <w:p w14:paraId="3B80C62F">
      <w:pPr>
        <w:spacing w:before="1" w:line="91" w:lineRule="exact"/>
        <w:ind w:firstLine="465"/>
      </w:pPr>
      <w:r>
        <w:rPr>
          <w:position w:val="-1"/>
        </w:rPr>
        <w:drawing>
          <wp:inline distT="0" distB="0" distL="0" distR="0">
            <wp:extent cx="57785" cy="57785"/>
            <wp:effectExtent l="0" t="0" r="0" b="0"/>
            <wp:docPr id="150" name="IM 150"/>
            <wp:cNvGraphicFramePr/>
            <a:graphic xmlns:a="http://schemas.openxmlformats.org/drawingml/2006/main">
              <a:graphicData uri="http://schemas.openxmlformats.org/drawingml/2006/picture">
                <pic:pic xmlns:pic="http://schemas.openxmlformats.org/drawingml/2006/picture">
                  <pic:nvPicPr>
                    <pic:cNvPr id="150" name="IM 150"/>
                    <pic:cNvPicPr/>
                  </pic:nvPicPr>
                  <pic:blipFill>
                    <a:blip r:embed="rId651"/>
                    <a:stretch>
                      <a:fillRect/>
                    </a:stretch>
                  </pic:blipFill>
                  <pic:spPr>
                    <a:xfrm>
                      <a:off x="0" y="0"/>
                      <a:ext cx="57785" cy="57785"/>
                    </a:xfrm>
                    <a:prstGeom prst="rect">
                      <a:avLst/>
                    </a:prstGeom>
                  </pic:spPr>
                </pic:pic>
              </a:graphicData>
            </a:graphic>
          </wp:inline>
        </w:drawing>
      </w:r>
    </w:p>
    <w:p w14:paraId="625707CD">
      <w:pPr>
        <w:pStyle w:val="2"/>
        <w:spacing w:line="439" w:lineRule="auto"/>
      </w:pPr>
    </w:p>
    <w:p w14:paraId="5EDE6E72">
      <w:pPr>
        <w:spacing w:before="66" w:line="228" w:lineRule="auto"/>
        <w:ind w:left="5733"/>
        <w:rPr>
          <w:rFonts w:ascii="宋体" w:hAnsi="宋体" w:eastAsia="宋体" w:cs="宋体"/>
          <w:sz w:val="20"/>
          <w:szCs w:val="20"/>
        </w:rPr>
      </w:pPr>
      <w:r>
        <w:rPr>
          <w:rFonts w:ascii="宋体" w:hAnsi="宋体" w:eastAsia="宋体" w:cs="宋体"/>
          <w:b/>
          <w:bCs/>
          <w:spacing w:val="2"/>
          <w:sz w:val="20"/>
          <w:szCs w:val="20"/>
        </w:rPr>
        <w:t>图</w:t>
      </w:r>
      <w:r>
        <w:rPr>
          <w:rFonts w:ascii="宋体" w:hAnsi="宋体" w:eastAsia="宋体" w:cs="宋体"/>
          <w:spacing w:val="-37"/>
          <w:sz w:val="20"/>
          <w:szCs w:val="20"/>
        </w:rPr>
        <w:t xml:space="preserve"> </w:t>
      </w:r>
      <w:r>
        <w:rPr>
          <w:rFonts w:ascii="Times New Roman" w:hAnsi="Times New Roman" w:eastAsia="Times New Roman" w:cs="Times New Roman"/>
          <w:b/>
          <w:bCs/>
          <w:spacing w:val="2"/>
          <w:sz w:val="20"/>
          <w:szCs w:val="20"/>
        </w:rPr>
        <w:t>4.3-2</w:t>
      </w:r>
      <w:r>
        <w:rPr>
          <w:rFonts w:ascii="Times New Roman" w:hAnsi="Times New Roman" w:eastAsia="Times New Roman" w:cs="Times New Roman"/>
          <w:b/>
          <w:bCs/>
          <w:spacing w:val="5"/>
          <w:sz w:val="20"/>
          <w:szCs w:val="20"/>
        </w:rPr>
        <w:t xml:space="preserve">        </w:t>
      </w:r>
      <w:r>
        <w:rPr>
          <w:rFonts w:ascii="宋体" w:hAnsi="宋体" w:eastAsia="宋体" w:cs="宋体"/>
          <w:b/>
          <w:bCs/>
          <w:spacing w:val="2"/>
          <w:sz w:val="20"/>
          <w:szCs w:val="20"/>
        </w:rPr>
        <w:t>区域水文地质图</w:t>
      </w:r>
    </w:p>
    <w:p w14:paraId="7657E540">
      <w:pPr>
        <w:spacing w:line="228" w:lineRule="auto"/>
        <w:rPr>
          <w:rFonts w:ascii="宋体" w:hAnsi="宋体" w:eastAsia="宋体" w:cs="宋体"/>
          <w:sz w:val="20"/>
          <w:szCs w:val="20"/>
        </w:rPr>
        <w:sectPr>
          <w:headerReference r:id="rId316" w:type="default"/>
          <w:footerReference r:id="rId317" w:type="default"/>
          <w:pgSz w:w="16839" w:h="11905"/>
          <w:pgMar w:top="1190" w:right="1416" w:bottom="1426" w:left="1416" w:header="882" w:footer="1264" w:gutter="0"/>
          <w:cols w:space="720" w:num="1"/>
        </w:sectPr>
      </w:pPr>
    </w:p>
    <w:p w14:paraId="742FC20F">
      <w:pPr>
        <w:spacing w:line="28" w:lineRule="exact"/>
      </w:pPr>
      <w:r>
        <w:pict>
          <v:shape id="_x0000_s1815" o:spid="_x0000_s1815" style="height:1.45pt;width:700.25pt;" fillcolor="#000000" filled="t" stroked="f" coordsize="14005,29" path="m0,0l14004,0,14004,28,0,28,0,0xe">
            <v:path/>
            <v:fill on="t" focussize="0,0"/>
            <v:stroke on="f"/>
            <v:imagedata o:title=""/>
            <o:lock v:ext="edit"/>
            <w10:wrap type="none"/>
            <w10:anchorlock/>
          </v:shape>
        </w:pict>
      </w:r>
    </w:p>
    <w:p w14:paraId="7FC6863F">
      <w:pPr>
        <w:spacing w:before="196" w:line="7459" w:lineRule="exact"/>
        <w:ind w:firstLine="613"/>
      </w:pPr>
      <w:r>
        <w:rPr>
          <w:position w:val="-149"/>
        </w:rPr>
        <w:drawing>
          <wp:inline distT="0" distB="0" distL="0" distR="0">
            <wp:extent cx="8238490" cy="4736465"/>
            <wp:effectExtent l="0" t="0" r="0" b="0"/>
            <wp:docPr id="152" name="IM 152"/>
            <wp:cNvGraphicFramePr/>
            <a:graphic xmlns:a="http://schemas.openxmlformats.org/drawingml/2006/main">
              <a:graphicData uri="http://schemas.openxmlformats.org/drawingml/2006/picture">
                <pic:pic xmlns:pic="http://schemas.openxmlformats.org/drawingml/2006/picture">
                  <pic:nvPicPr>
                    <pic:cNvPr id="152" name="IM 152"/>
                    <pic:cNvPicPr/>
                  </pic:nvPicPr>
                  <pic:blipFill>
                    <a:blip r:embed="rId652"/>
                    <a:stretch>
                      <a:fillRect/>
                    </a:stretch>
                  </pic:blipFill>
                  <pic:spPr>
                    <a:xfrm>
                      <a:off x="0" y="0"/>
                      <a:ext cx="8238744" cy="4736591"/>
                    </a:xfrm>
                    <a:prstGeom prst="rect">
                      <a:avLst/>
                    </a:prstGeom>
                  </pic:spPr>
                </pic:pic>
              </a:graphicData>
            </a:graphic>
          </wp:inline>
        </w:drawing>
      </w:r>
    </w:p>
    <w:p w14:paraId="18D8C945">
      <w:pPr>
        <w:spacing w:before="152" w:line="226" w:lineRule="auto"/>
        <w:ind w:left="5727"/>
        <w:outlineLvl w:val="2"/>
        <w:rPr>
          <w:rFonts w:ascii="宋体" w:hAnsi="宋体" w:eastAsia="宋体" w:cs="宋体"/>
          <w:sz w:val="20"/>
          <w:szCs w:val="20"/>
        </w:rPr>
      </w:pPr>
      <w:r>
        <w:rPr>
          <w:rFonts w:ascii="宋体" w:hAnsi="宋体" w:eastAsia="宋体" w:cs="宋体"/>
          <w:b/>
          <w:bCs/>
          <w:spacing w:val="3"/>
          <w:sz w:val="20"/>
          <w:szCs w:val="20"/>
        </w:rPr>
        <w:t>图</w:t>
      </w:r>
      <w:r>
        <w:rPr>
          <w:rFonts w:ascii="宋体" w:hAnsi="宋体" w:eastAsia="宋体" w:cs="宋体"/>
          <w:spacing w:val="-28"/>
          <w:sz w:val="20"/>
          <w:szCs w:val="20"/>
        </w:rPr>
        <w:t xml:space="preserve"> </w:t>
      </w:r>
      <w:r>
        <w:rPr>
          <w:rFonts w:ascii="Times New Roman" w:hAnsi="Times New Roman" w:eastAsia="Times New Roman" w:cs="Times New Roman"/>
          <w:b/>
          <w:bCs/>
          <w:spacing w:val="3"/>
          <w:sz w:val="20"/>
          <w:szCs w:val="20"/>
        </w:rPr>
        <w:t xml:space="preserve">4.3-3        </w:t>
      </w:r>
      <w:r>
        <w:rPr>
          <w:rFonts w:ascii="宋体" w:hAnsi="宋体" w:eastAsia="宋体" w:cs="宋体"/>
          <w:b/>
          <w:bCs/>
          <w:spacing w:val="3"/>
          <w:sz w:val="20"/>
          <w:szCs w:val="20"/>
        </w:rPr>
        <w:t>评价区水文地质图</w:t>
      </w:r>
    </w:p>
    <w:p w14:paraId="1FDC4F54">
      <w:pPr>
        <w:spacing w:line="226" w:lineRule="auto"/>
        <w:rPr>
          <w:rFonts w:ascii="宋体" w:hAnsi="宋体" w:eastAsia="宋体" w:cs="宋体"/>
          <w:sz w:val="20"/>
          <w:szCs w:val="20"/>
        </w:rPr>
        <w:sectPr>
          <w:headerReference r:id="rId318" w:type="default"/>
          <w:footerReference r:id="rId319" w:type="default"/>
          <w:pgSz w:w="16839" w:h="11905"/>
          <w:pgMar w:top="1190" w:right="1416" w:bottom="1426" w:left="1417" w:header="882" w:footer="1264" w:gutter="0"/>
          <w:cols w:space="720" w:num="1"/>
        </w:sectPr>
      </w:pPr>
    </w:p>
    <w:p w14:paraId="5ACB0AE1">
      <w:pPr>
        <w:spacing w:line="28" w:lineRule="exact"/>
      </w:pPr>
      <w:r>
        <w:pict>
          <v:shape id="_x0000_s1816" o:spid="_x0000_s1816" style="height:1.45pt;width:453.65pt;" fillcolor="#000000" filled="t" stroked="f" coordsize="9072,29" path="m0,0l9072,0,9072,28,0,28,0,0xe">
            <v:path/>
            <v:fill on="t" focussize="0,0"/>
            <v:stroke on="f"/>
            <v:imagedata o:title=""/>
            <o:lock v:ext="edit"/>
            <w10:wrap type="none"/>
            <w10:anchorlock/>
          </v:shape>
        </w:pict>
      </w:r>
    </w:p>
    <w:p w14:paraId="4778C8E2">
      <w:pPr>
        <w:spacing w:before="239" w:line="222" w:lineRule="auto"/>
        <w:ind w:left="3"/>
        <w:outlineLvl w:val="3"/>
        <w:rPr>
          <w:rFonts w:ascii="黑体" w:hAnsi="黑体" w:eastAsia="黑体" w:cs="黑体"/>
          <w:sz w:val="28"/>
          <w:szCs w:val="28"/>
        </w:rPr>
      </w:pPr>
      <w:r>
        <w:fldChar w:fldCharType="begin"/>
      </w:r>
      <w:r>
        <w:instrText xml:space="preserve"> HYPERLINK "4.3.1.2" </w:instrText>
      </w:r>
      <w:r>
        <w:fldChar w:fldCharType="separate"/>
      </w:r>
      <w:r>
        <w:rPr>
          <w:rFonts w:ascii="Times New Roman" w:hAnsi="Times New Roman" w:eastAsia="Times New Roman" w:cs="Times New Roman"/>
          <w:spacing w:val="-1"/>
          <w:sz w:val="28"/>
          <w:szCs w:val="28"/>
        </w:rPr>
        <w:t>4.3.1.2</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 xml:space="preserve"> </w:t>
      </w:r>
      <w:r>
        <w:rPr>
          <w:rFonts w:ascii="黑体" w:hAnsi="黑体" w:eastAsia="黑体" w:cs="黑体"/>
          <w:spacing w:val="-1"/>
          <w:sz w:val="28"/>
          <w:szCs w:val="28"/>
        </w:rPr>
        <w:t>评价区水文地质条件</w:t>
      </w:r>
    </w:p>
    <w:p w14:paraId="78ADB382">
      <w:pPr>
        <w:spacing w:before="199" w:line="354" w:lineRule="auto"/>
        <w:ind w:left="9" w:right="61" w:firstLine="478"/>
        <w:rPr>
          <w:rFonts w:ascii="宋体" w:hAnsi="宋体" w:eastAsia="宋体" w:cs="宋体"/>
          <w:sz w:val="24"/>
          <w:szCs w:val="24"/>
        </w:rPr>
      </w:pPr>
      <w:r>
        <w:rPr>
          <w:rFonts w:ascii="宋体" w:hAnsi="宋体" w:eastAsia="宋体" w:cs="宋体"/>
          <w:spacing w:val="-2"/>
          <w:sz w:val="24"/>
          <w:szCs w:val="24"/>
        </w:rPr>
        <w:t>评价区内水文地质条件受地质构造、岩性、地貌、古地理和气候等诸因素所控制，</w:t>
      </w:r>
      <w:r>
        <w:rPr>
          <w:rFonts w:ascii="宋体" w:hAnsi="宋体" w:eastAsia="宋体" w:cs="宋体"/>
          <w:spacing w:val="14"/>
          <w:sz w:val="24"/>
          <w:szCs w:val="24"/>
        </w:rPr>
        <w:t xml:space="preserve"> </w:t>
      </w:r>
      <w:r>
        <w:rPr>
          <w:rFonts w:ascii="宋体" w:hAnsi="宋体" w:eastAsia="宋体" w:cs="宋体"/>
          <w:spacing w:val="-2"/>
          <w:sz w:val="24"/>
          <w:szCs w:val="24"/>
        </w:rPr>
        <w:t>它们制约着地下水的形成和分布，控制着地下水的径流和排泄，根据分析，评价区内主</w:t>
      </w:r>
      <w:r>
        <w:rPr>
          <w:rFonts w:ascii="宋体" w:hAnsi="宋体" w:eastAsia="宋体" w:cs="宋体"/>
          <w:spacing w:val="16"/>
          <w:sz w:val="24"/>
          <w:szCs w:val="24"/>
        </w:rPr>
        <w:t xml:space="preserve"> </w:t>
      </w:r>
      <w:r>
        <w:rPr>
          <w:rFonts w:ascii="宋体" w:hAnsi="宋体" w:eastAsia="宋体" w:cs="宋体"/>
          <w:spacing w:val="-2"/>
          <w:sz w:val="24"/>
          <w:szCs w:val="24"/>
        </w:rPr>
        <w:t>要赋存三类地下水，一是第四系松散岩类孔隙潜水，主要赋存于冲洪积沟谷内，二是碎</w:t>
      </w:r>
      <w:r>
        <w:rPr>
          <w:rFonts w:ascii="宋体" w:hAnsi="宋体" w:eastAsia="宋体" w:cs="宋体"/>
          <w:spacing w:val="16"/>
          <w:sz w:val="24"/>
          <w:szCs w:val="24"/>
        </w:rPr>
        <w:t xml:space="preserve"> </w:t>
      </w:r>
      <w:r>
        <w:rPr>
          <w:rFonts w:ascii="宋体" w:hAnsi="宋体" w:eastAsia="宋体" w:cs="宋体"/>
          <w:spacing w:val="-2"/>
          <w:sz w:val="24"/>
          <w:szCs w:val="24"/>
        </w:rPr>
        <w:t>屑岩类孔隙裂隙水，主要赋存于沟谷下部及波状高平原内，三是玄武岩孔洞裂隙水，主</w:t>
      </w:r>
      <w:r>
        <w:rPr>
          <w:rFonts w:ascii="宋体" w:hAnsi="宋体" w:eastAsia="宋体" w:cs="宋体"/>
          <w:spacing w:val="16"/>
          <w:sz w:val="24"/>
          <w:szCs w:val="24"/>
        </w:rPr>
        <w:t xml:space="preserve"> </w:t>
      </w:r>
      <w:r>
        <w:rPr>
          <w:rFonts w:ascii="宋体" w:hAnsi="宋体" w:eastAsia="宋体" w:cs="宋体"/>
          <w:sz w:val="24"/>
          <w:szCs w:val="24"/>
        </w:rPr>
        <w:t>要赋存于玄武岩熔岩台地内，其平面富水性特征详见评价</w:t>
      </w:r>
      <w:r>
        <w:rPr>
          <w:rFonts w:ascii="宋体" w:hAnsi="宋体" w:eastAsia="宋体" w:cs="宋体"/>
          <w:spacing w:val="-1"/>
          <w:sz w:val="24"/>
          <w:szCs w:val="24"/>
        </w:rPr>
        <w:t>区水文地质图，分述如下：</w:t>
      </w:r>
    </w:p>
    <w:p w14:paraId="77E2E44E">
      <w:pPr>
        <w:spacing w:before="35" w:line="219" w:lineRule="auto"/>
        <w:ind w:left="507"/>
        <w:rPr>
          <w:rFonts w:ascii="宋体" w:hAnsi="宋体" w:eastAsia="宋体" w:cs="宋体"/>
          <w:sz w:val="24"/>
          <w:szCs w:val="24"/>
        </w:rPr>
      </w:pPr>
      <w:r>
        <w:rPr>
          <w:rFonts w:ascii="Times New Roman" w:hAnsi="Times New Roman" w:eastAsia="Times New Roman" w:cs="Times New Roman"/>
          <w:spacing w:val="-6"/>
          <w:sz w:val="24"/>
          <w:szCs w:val="24"/>
        </w:rPr>
        <w:t>1</w:t>
      </w:r>
      <w:r>
        <w:rPr>
          <w:rFonts w:ascii="Times New Roman" w:hAnsi="Times New Roman" w:eastAsia="Times New Roman" w:cs="Times New Roman"/>
          <w:spacing w:val="-30"/>
          <w:sz w:val="24"/>
          <w:szCs w:val="24"/>
        </w:rPr>
        <w:t xml:space="preserve"> </w:t>
      </w:r>
      <w:r>
        <w:rPr>
          <w:rFonts w:ascii="宋体" w:hAnsi="宋体" w:eastAsia="宋体" w:cs="宋体"/>
          <w:spacing w:val="-6"/>
          <w:sz w:val="24"/>
          <w:szCs w:val="24"/>
        </w:rPr>
        <w:t>、含水层富水性特征</w:t>
      </w:r>
    </w:p>
    <w:p w14:paraId="36590D63">
      <w:pPr>
        <w:spacing w:before="183"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）第四系松散岩类孔隙潜水</w:t>
      </w:r>
    </w:p>
    <w:p w14:paraId="1A08A172">
      <w:pPr>
        <w:spacing w:before="178" w:line="356" w:lineRule="auto"/>
        <w:ind w:left="8" w:firstLine="481"/>
        <w:rPr>
          <w:rFonts w:ascii="宋体" w:hAnsi="宋体" w:eastAsia="宋体" w:cs="宋体"/>
          <w:sz w:val="24"/>
          <w:szCs w:val="24"/>
        </w:rPr>
      </w:pPr>
      <w:r>
        <w:rPr>
          <w:rFonts w:ascii="宋体" w:hAnsi="宋体" w:eastAsia="宋体" w:cs="宋体"/>
          <w:spacing w:val="-2"/>
          <w:sz w:val="24"/>
          <w:szCs w:val="24"/>
        </w:rPr>
        <w:t>主要分布于评价区内大小不一的冲洪积沟谷内，属第四系冲洪积层，含水层岩性主</w:t>
      </w:r>
      <w:r>
        <w:rPr>
          <w:rFonts w:ascii="宋体" w:hAnsi="宋体" w:eastAsia="宋体" w:cs="宋体"/>
          <w:spacing w:val="11"/>
          <w:sz w:val="24"/>
          <w:szCs w:val="24"/>
        </w:rPr>
        <w:t xml:space="preserve"> </w:t>
      </w:r>
      <w:r>
        <w:rPr>
          <w:rFonts w:ascii="宋体" w:hAnsi="宋体" w:eastAsia="宋体" w:cs="宋体"/>
          <w:spacing w:val="-2"/>
          <w:sz w:val="24"/>
          <w:szCs w:val="24"/>
        </w:rPr>
        <w:t>要由灰黄色冲洪积粉细砂和细砂组成，分选磨圆较差，含水层厚度不一，在较大沟谷内</w:t>
      </w:r>
      <w:r>
        <w:rPr>
          <w:rFonts w:ascii="宋体" w:hAnsi="宋体" w:eastAsia="宋体" w:cs="宋体"/>
          <w:spacing w:val="17"/>
          <w:sz w:val="24"/>
          <w:szCs w:val="24"/>
        </w:rPr>
        <w:t xml:space="preserve"> </w:t>
      </w:r>
      <w:r>
        <w:rPr>
          <w:rFonts w:ascii="宋体" w:hAnsi="宋体" w:eastAsia="宋体" w:cs="宋体"/>
          <w:spacing w:val="4"/>
          <w:sz w:val="24"/>
          <w:szCs w:val="24"/>
        </w:rPr>
        <w:t>厚度较厚，一般可达</w:t>
      </w:r>
      <w:r>
        <w:rPr>
          <w:rFonts w:ascii="宋体" w:hAnsi="宋体" w:eastAsia="宋体" w:cs="宋体"/>
          <w:spacing w:val="-43"/>
          <w:sz w:val="24"/>
          <w:szCs w:val="24"/>
        </w:rPr>
        <w:t xml:space="preserve"> </w:t>
      </w:r>
      <w:r>
        <w:rPr>
          <w:rFonts w:ascii="Times New Roman" w:hAnsi="Times New Roman" w:eastAsia="Times New Roman" w:cs="Times New Roman"/>
          <w:spacing w:val="4"/>
          <w:sz w:val="24"/>
          <w:szCs w:val="24"/>
        </w:rPr>
        <w:t>3-6m</w:t>
      </w:r>
      <w:r>
        <w:rPr>
          <w:rFonts w:ascii="Times New Roman" w:hAnsi="Times New Roman" w:eastAsia="Times New Roman" w:cs="Times New Roman"/>
          <w:spacing w:val="-21"/>
          <w:sz w:val="24"/>
          <w:szCs w:val="24"/>
        </w:rPr>
        <w:t xml:space="preserve"> </w:t>
      </w:r>
      <w:r>
        <w:rPr>
          <w:rFonts w:ascii="宋体" w:hAnsi="宋体" w:eastAsia="宋体" w:cs="宋体"/>
          <w:spacing w:val="4"/>
          <w:sz w:val="24"/>
          <w:szCs w:val="24"/>
        </w:rPr>
        <w:t>，小型沟谷厚度较薄，一般</w:t>
      </w:r>
      <w:r>
        <w:rPr>
          <w:rFonts w:ascii="宋体" w:hAnsi="宋体" w:eastAsia="宋体" w:cs="宋体"/>
          <w:spacing w:val="-44"/>
          <w:sz w:val="24"/>
          <w:szCs w:val="24"/>
        </w:rPr>
        <w:t xml:space="preserve"> </w:t>
      </w:r>
      <w:r>
        <w:rPr>
          <w:rFonts w:ascii="Times New Roman" w:hAnsi="Times New Roman" w:eastAsia="Times New Roman" w:cs="Times New Roman"/>
          <w:spacing w:val="4"/>
          <w:sz w:val="24"/>
          <w:szCs w:val="24"/>
        </w:rPr>
        <w:t>0.5-</w:t>
      </w:r>
      <w:r>
        <w:rPr>
          <w:rFonts w:ascii="Times New Roman" w:hAnsi="Times New Roman" w:eastAsia="Times New Roman" w:cs="Times New Roman"/>
          <w:spacing w:val="3"/>
          <w:sz w:val="24"/>
          <w:szCs w:val="24"/>
        </w:rPr>
        <w:t>2m</w:t>
      </w:r>
      <w:r>
        <w:rPr>
          <w:rFonts w:ascii="Times New Roman" w:hAnsi="Times New Roman" w:eastAsia="Times New Roman" w:cs="Times New Roman"/>
          <w:spacing w:val="24"/>
          <w:sz w:val="24"/>
          <w:szCs w:val="24"/>
        </w:rPr>
        <w:t xml:space="preserve"> </w:t>
      </w:r>
      <w:r>
        <w:rPr>
          <w:rFonts w:ascii="宋体" w:hAnsi="宋体" w:eastAsia="宋体" w:cs="宋体"/>
          <w:spacing w:val="3"/>
          <w:sz w:val="24"/>
          <w:szCs w:val="24"/>
        </w:rPr>
        <w:t>不等，水位埋深一般为</w:t>
      </w:r>
      <w:r>
        <w:rPr>
          <w:rFonts w:ascii="宋体" w:hAnsi="宋体" w:eastAsia="宋体" w:cs="宋体"/>
          <w:sz w:val="24"/>
          <w:szCs w:val="24"/>
        </w:rPr>
        <w:t xml:space="preserve"> </w:t>
      </w:r>
      <w:r>
        <w:rPr>
          <w:rFonts w:ascii="Times New Roman" w:hAnsi="Times New Roman" w:eastAsia="Times New Roman" w:cs="Times New Roman"/>
          <w:spacing w:val="-1"/>
          <w:sz w:val="24"/>
          <w:szCs w:val="24"/>
        </w:rPr>
        <w:t>1.0~6.0m</w:t>
      </w:r>
      <w:r>
        <w:rPr>
          <w:rFonts w:ascii="Times New Roman" w:hAnsi="Times New Roman" w:eastAsia="Times New Roman" w:cs="Times New Roman"/>
          <w:spacing w:val="-30"/>
          <w:sz w:val="24"/>
          <w:szCs w:val="24"/>
        </w:rPr>
        <w:t xml:space="preserve"> </w:t>
      </w:r>
      <w:r>
        <w:rPr>
          <w:rFonts w:ascii="宋体" w:hAnsi="宋体" w:eastAsia="宋体" w:cs="宋体"/>
          <w:spacing w:val="-1"/>
          <w:sz w:val="24"/>
          <w:szCs w:val="24"/>
        </w:rPr>
        <w:t>，在沟谷中心较浅，在沟谷边缘较深。随季节性变化明显，在雨季地下</w:t>
      </w:r>
      <w:r>
        <w:rPr>
          <w:rFonts w:ascii="宋体" w:hAnsi="宋体" w:eastAsia="宋体" w:cs="宋体"/>
          <w:spacing w:val="-2"/>
          <w:sz w:val="24"/>
          <w:szCs w:val="24"/>
        </w:rPr>
        <w:t>水水位</w:t>
      </w:r>
      <w:r>
        <w:rPr>
          <w:rFonts w:ascii="宋体" w:hAnsi="宋体" w:eastAsia="宋体" w:cs="宋体"/>
          <w:sz w:val="24"/>
          <w:szCs w:val="24"/>
        </w:rPr>
        <w:t xml:space="preserve"> </w:t>
      </w:r>
      <w:r>
        <w:rPr>
          <w:rFonts w:ascii="宋体" w:hAnsi="宋体" w:eastAsia="宋体" w:cs="宋体"/>
          <w:spacing w:val="-2"/>
          <w:sz w:val="24"/>
          <w:szCs w:val="24"/>
        </w:rPr>
        <w:t>较高，但水位的升高较降雨要稍稍滞后一些，地下水向自西南向东北径流，由于地处干</w:t>
      </w:r>
      <w:r>
        <w:rPr>
          <w:rFonts w:ascii="宋体" w:hAnsi="宋体" w:eastAsia="宋体" w:cs="宋体"/>
          <w:spacing w:val="17"/>
          <w:sz w:val="24"/>
          <w:szCs w:val="24"/>
        </w:rPr>
        <w:t xml:space="preserve"> </w:t>
      </w:r>
      <w:r>
        <w:rPr>
          <w:rFonts w:ascii="宋体" w:hAnsi="宋体" w:eastAsia="宋体" w:cs="宋体"/>
          <w:spacing w:val="-3"/>
          <w:sz w:val="24"/>
          <w:szCs w:val="24"/>
        </w:rPr>
        <w:t>旱山区，降雨补给较差，含水层富水性也较差，单井涌水量一般小于</w:t>
      </w:r>
      <w:r>
        <w:rPr>
          <w:rFonts w:ascii="宋体" w:hAnsi="宋体" w:eastAsia="宋体" w:cs="宋体"/>
          <w:spacing w:val="-18"/>
          <w:sz w:val="24"/>
          <w:szCs w:val="24"/>
        </w:rPr>
        <w:t xml:space="preserve"> </w:t>
      </w:r>
      <w:r>
        <w:rPr>
          <w:rFonts w:ascii="Times New Roman" w:hAnsi="Times New Roman" w:eastAsia="Times New Roman" w:cs="Times New Roman"/>
          <w:spacing w:val="-3"/>
          <w:sz w:val="24"/>
          <w:szCs w:val="24"/>
        </w:rPr>
        <w:t>100m</w:t>
      </w:r>
      <w:r>
        <w:rPr>
          <w:rFonts w:ascii="Times New Roman" w:hAnsi="Times New Roman" w:eastAsia="Times New Roman" w:cs="Times New Roman"/>
          <w:spacing w:val="-3"/>
          <w:position w:val="8"/>
          <w:sz w:val="15"/>
          <w:szCs w:val="15"/>
        </w:rPr>
        <w:t>3</w:t>
      </w:r>
      <w:r>
        <w:rPr>
          <w:rFonts w:ascii="Times New Roman" w:hAnsi="Times New Roman" w:eastAsia="Times New Roman" w:cs="Times New Roman"/>
          <w:spacing w:val="-3"/>
          <w:sz w:val="24"/>
          <w:szCs w:val="24"/>
        </w:rPr>
        <w:t>/d</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，根据</w:t>
      </w:r>
      <w:r>
        <w:rPr>
          <w:rFonts w:ascii="宋体" w:hAnsi="宋体" w:eastAsia="宋体" w:cs="宋体"/>
          <w:spacing w:val="-45"/>
          <w:sz w:val="24"/>
          <w:szCs w:val="24"/>
        </w:rPr>
        <w:t xml:space="preserve"> </w:t>
      </w:r>
      <w:r>
        <w:rPr>
          <w:rFonts w:ascii="Times New Roman" w:hAnsi="Times New Roman" w:eastAsia="Times New Roman" w:cs="Times New Roman"/>
          <w:spacing w:val="-3"/>
          <w:sz w:val="24"/>
          <w:szCs w:val="24"/>
        </w:rPr>
        <w:t>S7</w:t>
      </w:r>
      <w:r>
        <w:rPr>
          <w:rFonts w:ascii="Times New Roman" w:hAnsi="Times New Roman" w:eastAsia="Times New Roman" w:cs="Times New Roman"/>
          <w:sz w:val="24"/>
          <w:szCs w:val="24"/>
        </w:rPr>
        <w:t xml:space="preserve">  </w:t>
      </w:r>
      <w:r>
        <w:rPr>
          <w:rFonts w:ascii="宋体" w:hAnsi="宋体" w:eastAsia="宋体" w:cs="宋体"/>
          <w:spacing w:val="-4"/>
          <w:sz w:val="24"/>
          <w:szCs w:val="24"/>
        </w:rPr>
        <w:t>号民井抽水试验，抽水试验降深</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3.51m</w:t>
      </w:r>
      <w:r>
        <w:rPr>
          <w:rFonts w:ascii="Times New Roman" w:hAnsi="Times New Roman" w:eastAsia="Times New Roman" w:cs="Times New Roman"/>
          <w:spacing w:val="22"/>
          <w:sz w:val="24"/>
          <w:szCs w:val="24"/>
        </w:rPr>
        <w:t xml:space="preserve"> </w:t>
      </w:r>
      <w:r>
        <w:rPr>
          <w:rFonts w:ascii="宋体" w:hAnsi="宋体" w:eastAsia="宋体" w:cs="宋体"/>
          <w:spacing w:val="-4"/>
          <w:sz w:val="24"/>
          <w:szCs w:val="24"/>
        </w:rPr>
        <w:t>时涌水量为</w:t>
      </w:r>
      <w:r>
        <w:rPr>
          <w:rFonts w:ascii="宋体" w:hAnsi="宋体" w:eastAsia="宋体" w:cs="宋体"/>
          <w:spacing w:val="-51"/>
          <w:sz w:val="24"/>
          <w:szCs w:val="24"/>
        </w:rPr>
        <w:t xml:space="preserve"> </w:t>
      </w:r>
      <w:r>
        <w:rPr>
          <w:rFonts w:ascii="Times New Roman" w:hAnsi="Times New Roman" w:eastAsia="Times New Roman" w:cs="Times New Roman"/>
          <w:spacing w:val="-5"/>
          <w:sz w:val="24"/>
          <w:szCs w:val="24"/>
        </w:rPr>
        <w:t>33.67m</w:t>
      </w:r>
      <w:r>
        <w:rPr>
          <w:rFonts w:ascii="Times New Roman" w:hAnsi="Times New Roman" w:eastAsia="Times New Roman" w:cs="Times New Roman"/>
          <w:spacing w:val="-5"/>
          <w:position w:val="7"/>
          <w:sz w:val="15"/>
          <w:szCs w:val="15"/>
        </w:rPr>
        <w:t>3</w:t>
      </w:r>
      <w:r>
        <w:rPr>
          <w:rFonts w:ascii="Times New Roman" w:hAnsi="Times New Roman" w:eastAsia="Times New Roman" w:cs="Times New Roman"/>
          <w:spacing w:val="-5"/>
          <w:sz w:val="24"/>
          <w:szCs w:val="24"/>
        </w:rPr>
        <w:t>/d</w:t>
      </w:r>
      <w:r>
        <w:rPr>
          <w:rFonts w:ascii="宋体" w:hAnsi="宋体" w:eastAsia="宋体" w:cs="宋体"/>
          <w:spacing w:val="-5"/>
          <w:sz w:val="24"/>
          <w:szCs w:val="24"/>
        </w:rPr>
        <w:t>，换算涌水量为</w:t>
      </w:r>
      <w:r>
        <w:rPr>
          <w:rFonts w:ascii="宋体" w:hAnsi="宋体" w:eastAsia="宋体" w:cs="宋体"/>
          <w:spacing w:val="-56"/>
          <w:sz w:val="24"/>
          <w:szCs w:val="24"/>
        </w:rPr>
        <w:t xml:space="preserve"> </w:t>
      </w:r>
      <w:r>
        <w:rPr>
          <w:rFonts w:ascii="Times New Roman" w:hAnsi="Times New Roman" w:eastAsia="Times New Roman" w:cs="Times New Roman"/>
          <w:spacing w:val="-5"/>
          <w:sz w:val="24"/>
          <w:szCs w:val="24"/>
        </w:rPr>
        <w:t>47.96m</w:t>
      </w:r>
      <w:r>
        <w:rPr>
          <w:rFonts w:ascii="Times New Roman" w:hAnsi="Times New Roman" w:eastAsia="Times New Roman" w:cs="Times New Roman"/>
          <w:spacing w:val="-5"/>
          <w:position w:val="7"/>
          <w:sz w:val="15"/>
          <w:szCs w:val="15"/>
        </w:rPr>
        <w:t>3</w:t>
      </w:r>
      <w:r>
        <w:rPr>
          <w:rFonts w:ascii="Times New Roman" w:hAnsi="Times New Roman" w:eastAsia="Times New Roman" w:cs="Times New Roman"/>
          <w:spacing w:val="-5"/>
          <w:sz w:val="24"/>
          <w:szCs w:val="24"/>
        </w:rPr>
        <w:t>/d</w:t>
      </w:r>
      <w:r>
        <w:rPr>
          <w:rFonts w:ascii="宋体" w:hAnsi="宋体" w:eastAsia="宋体" w:cs="宋体"/>
          <w:spacing w:val="-5"/>
          <w:sz w:val="24"/>
          <w:szCs w:val="24"/>
        </w:rPr>
        <w:t>，</w:t>
      </w:r>
      <w:r>
        <w:rPr>
          <w:rFonts w:ascii="宋体" w:hAnsi="宋体" w:eastAsia="宋体" w:cs="宋体"/>
          <w:sz w:val="24"/>
          <w:szCs w:val="24"/>
        </w:rPr>
        <w:t xml:space="preserve"> </w:t>
      </w:r>
      <w:r>
        <w:rPr>
          <w:rFonts w:ascii="宋体" w:hAnsi="宋体" w:eastAsia="宋体" w:cs="宋体"/>
          <w:spacing w:val="-1"/>
          <w:sz w:val="24"/>
          <w:szCs w:val="24"/>
        </w:rPr>
        <w:t>水质较好，矿化度一般</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0.48-0.50g/L</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，地下水化学类型</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HCO</w:t>
      </w:r>
      <w:r>
        <w:rPr>
          <w:rFonts w:ascii="Times New Roman" w:hAnsi="Times New Roman" w:eastAsia="Times New Roman" w:cs="Times New Roman"/>
          <w:spacing w:val="-1"/>
          <w:position w:val="-1"/>
          <w:sz w:val="15"/>
          <w:szCs w:val="15"/>
        </w:rPr>
        <w:t>3</w:t>
      </w:r>
      <w:r>
        <w:rPr>
          <w:rFonts w:ascii="Times New Roman" w:hAnsi="Times New Roman" w:eastAsia="Times New Roman" w:cs="Times New Roman"/>
          <w:spacing w:val="-1"/>
          <w:sz w:val="24"/>
          <w:szCs w:val="24"/>
        </w:rPr>
        <w:t>·Cl·SO</w:t>
      </w:r>
      <w:r>
        <w:rPr>
          <w:rFonts w:ascii="Times New Roman" w:hAnsi="Times New Roman" w:eastAsia="Times New Roman" w:cs="Times New Roman"/>
          <w:spacing w:val="-1"/>
          <w:sz w:val="15"/>
          <w:szCs w:val="15"/>
        </w:rPr>
        <w:t>4</w:t>
      </w:r>
      <w:r>
        <w:rPr>
          <w:rFonts w:ascii="Times New Roman" w:hAnsi="Times New Roman" w:eastAsia="Times New Roman" w:cs="Times New Roman"/>
          <w:spacing w:val="-1"/>
          <w:sz w:val="24"/>
          <w:szCs w:val="24"/>
        </w:rPr>
        <w:t>-</w:t>
      </w:r>
      <w:r>
        <w:rPr>
          <w:rFonts w:ascii="Times New Roman" w:hAnsi="Times New Roman" w:eastAsia="Times New Roman" w:cs="Times New Roman"/>
          <w:spacing w:val="-2"/>
          <w:sz w:val="24"/>
          <w:szCs w:val="24"/>
        </w:rPr>
        <w:t>Mg·Ca</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型。为区域</w:t>
      </w:r>
      <w:r>
        <w:rPr>
          <w:rFonts w:ascii="宋体" w:hAnsi="宋体" w:eastAsia="宋体" w:cs="宋体"/>
          <w:sz w:val="24"/>
          <w:szCs w:val="24"/>
        </w:rPr>
        <w:t xml:space="preserve"> </w:t>
      </w:r>
      <w:r>
        <w:rPr>
          <w:rFonts w:ascii="宋体" w:hAnsi="宋体" w:eastAsia="宋体" w:cs="宋体"/>
          <w:spacing w:val="-1"/>
          <w:sz w:val="24"/>
          <w:szCs w:val="24"/>
        </w:rPr>
        <w:t>地下水的径流、排泄区。</w:t>
      </w:r>
    </w:p>
    <w:p w14:paraId="13A408BA">
      <w:pPr>
        <w:spacing w:before="40"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）碎屑岩类孔隙裂隙水</w:t>
      </w:r>
    </w:p>
    <w:p w14:paraId="635F37C0">
      <w:pPr>
        <w:spacing w:before="186" w:line="355" w:lineRule="auto"/>
        <w:ind w:left="3" w:right="59" w:firstLine="488"/>
        <w:rPr>
          <w:rFonts w:ascii="宋体" w:hAnsi="宋体" w:eastAsia="宋体" w:cs="宋体"/>
          <w:sz w:val="24"/>
          <w:szCs w:val="24"/>
        </w:rPr>
      </w:pPr>
      <w:r>
        <w:rPr>
          <w:rFonts w:ascii="宋体" w:hAnsi="宋体" w:eastAsia="宋体" w:cs="宋体"/>
          <w:spacing w:val="-2"/>
          <w:sz w:val="24"/>
          <w:szCs w:val="24"/>
        </w:rPr>
        <w:t>大面积分布于评价区内的波状高平原内，地层岩性以新近系中上新统棕红色、砖红</w:t>
      </w:r>
      <w:r>
        <w:rPr>
          <w:rFonts w:ascii="宋体" w:hAnsi="宋体" w:eastAsia="宋体" w:cs="宋体"/>
          <w:spacing w:val="10"/>
          <w:sz w:val="24"/>
          <w:szCs w:val="24"/>
        </w:rPr>
        <w:t xml:space="preserve"> </w:t>
      </w:r>
      <w:r>
        <w:rPr>
          <w:rFonts w:ascii="宋体" w:hAnsi="宋体" w:eastAsia="宋体" w:cs="宋体"/>
          <w:spacing w:val="-4"/>
          <w:sz w:val="24"/>
          <w:szCs w:val="24"/>
        </w:rPr>
        <w:t>色泥岩、砂质泥岩、灰白色砂岩为主，含水层岩性以砂岩、泥质砂岩为主，厚度</w:t>
      </w:r>
      <w:r>
        <w:rPr>
          <w:rFonts w:ascii="宋体" w:hAnsi="宋体" w:eastAsia="宋体" w:cs="宋体"/>
          <w:spacing w:val="-37"/>
          <w:sz w:val="24"/>
          <w:szCs w:val="24"/>
        </w:rPr>
        <w:t xml:space="preserve"> </w:t>
      </w:r>
      <w:r>
        <w:rPr>
          <w:rFonts w:ascii="Times New Roman" w:hAnsi="Times New Roman" w:eastAsia="Times New Roman" w:cs="Times New Roman"/>
          <w:spacing w:val="-4"/>
          <w:sz w:val="24"/>
          <w:szCs w:val="24"/>
        </w:rPr>
        <w:t>30-50m</w:t>
      </w:r>
      <w:r>
        <w:rPr>
          <w:rFonts w:ascii="Times New Roman" w:hAnsi="Times New Roman" w:eastAsia="Times New Roman" w:cs="Times New Roman"/>
          <w:sz w:val="24"/>
          <w:szCs w:val="24"/>
        </w:rPr>
        <w:t xml:space="preserve"> </w:t>
      </w:r>
      <w:r>
        <w:rPr>
          <w:rFonts w:ascii="宋体" w:hAnsi="宋体" w:eastAsia="宋体" w:cs="宋体"/>
          <w:spacing w:val="1"/>
          <w:sz w:val="24"/>
          <w:szCs w:val="24"/>
        </w:rPr>
        <w:t>不等，由于表层泥岩覆盖，地下水具承压性质，压力水头高度一般</w:t>
      </w:r>
      <w:r>
        <w:rPr>
          <w:rFonts w:ascii="宋体" w:hAnsi="宋体" w:eastAsia="宋体" w:cs="宋体"/>
          <w:spacing w:val="-27"/>
          <w:sz w:val="24"/>
          <w:szCs w:val="24"/>
        </w:rPr>
        <w:t xml:space="preserve"> </w:t>
      </w:r>
      <w:r>
        <w:rPr>
          <w:rFonts w:ascii="Times New Roman" w:hAnsi="Times New Roman" w:eastAsia="Times New Roman" w:cs="Times New Roman"/>
          <w:spacing w:val="1"/>
          <w:sz w:val="24"/>
          <w:szCs w:val="24"/>
        </w:rPr>
        <w:t>13.0-1</w:t>
      </w:r>
      <w:r>
        <w:rPr>
          <w:rFonts w:ascii="Times New Roman" w:hAnsi="Times New Roman" w:eastAsia="Times New Roman" w:cs="Times New Roman"/>
          <w:sz w:val="24"/>
          <w:szCs w:val="24"/>
        </w:rPr>
        <w:t>6.05m</w:t>
      </w:r>
      <w:r>
        <w:rPr>
          <w:rFonts w:ascii="Times New Roman" w:hAnsi="Times New Roman" w:eastAsia="Times New Roman" w:cs="Times New Roman"/>
          <w:spacing w:val="-28"/>
          <w:sz w:val="24"/>
          <w:szCs w:val="24"/>
        </w:rPr>
        <w:t xml:space="preserve"> </w:t>
      </w:r>
      <w:r>
        <w:rPr>
          <w:rFonts w:ascii="宋体" w:hAnsi="宋体" w:eastAsia="宋体" w:cs="宋体"/>
          <w:sz w:val="24"/>
          <w:szCs w:val="24"/>
        </w:rPr>
        <w:t xml:space="preserve">，因碎 </w:t>
      </w:r>
      <w:r>
        <w:rPr>
          <w:rFonts w:ascii="宋体" w:hAnsi="宋体" w:eastAsia="宋体" w:cs="宋体"/>
          <w:spacing w:val="-1"/>
          <w:sz w:val="24"/>
          <w:szCs w:val="24"/>
        </w:rPr>
        <w:t>屑岩层中多含泥质成分，且有些呈半胶结状态，大气降水</w:t>
      </w:r>
      <w:r>
        <w:rPr>
          <w:rFonts w:ascii="宋体" w:hAnsi="宋体" w:eastAsia="宋体" w:cs="宋体"/>
          <w:spacing w:val="-2"/>
          <w:sz w:val="24"/>
          <w:szCs w:val="24"/>
        </w:rPr>
        <w:t>补给困难，地下水径流不利，</w:t>
      </w:r>
      <w:r>
        <w:rPr>
          <w:rFonts w:ascii="宋体" w:hAnsi="宋体" w:eastAsia="宋体" w:cs="宋体"/>
          <w:sz w:val="24"/>
          <w:szCs w:val="24"/>
        </w:rPr>
        <w:t xml:space="preserve"> </w:t>
      </w:r>
      <w:r>
        <w:rPr>
          <w:rFonts w:ascii="宋体" w:hAnsi="宋体" w:eastAsia="宋体" w:cs="宋体"/>
          <w:spacing w:val="-1"/>
          <w:sz w:val="24"/>
          <w:szCs w:val="24"/>
        </w:rPr>
        <w:t>大部分地区含水层呈不连续分布，水量小而不稳定，一般单井出水量小于</w:t>
      </w:r>
      <w:r>
        <w:rPr>
          <w:rFonts w:ascii="宋体" w:hAnsi="宋体" w:eastAsia="宋体" w:cs="宋体"/>
          <w:spacing w:val="-13"/>
          <w:sz w:val="24"/>
          <w:szCs w:val="24"/>
        </w:rPr>
        <w:t xml:space="preserve"> </w:t>
      </w:r>
      <w:r>
        <w:rPr>
          <w:rFonts w:ascii="Times New Roman" w:hAnsi="Times New Roman" w:eastAsia="Times New Roman" w:cs="Times New Roman"/>
          <w:spacing w:val="-1"/>
          <w:sz w:val="24"/>
          <w:szCs w:val="24"/>
        </w:rPr>
        <w:t>100m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/d</w:t>
      </w:r>
      <w:r>
        <w:rPr>
          <w:rFonts w:ascii="Times New Roman" w:hAnsi="Times New Roman" w:eastAsia="Times New Roman" w:cs="Times New Roman"/>
          <w:spacing w:val="-26"/>
          <w:sz w:val="24"/>
          <w:szCs w:val="24"/>
        </w:rPr>
        <w:t xml:space="preserve"> </w:t>
      </w:r>
      <w:r>
        <w:rPr>
          <w:rFonts w:ascii="宋体" w:hAnsi="宋体" w:eastAsia="宋体" w:cs="宋体"/>
          <w:spacing w:val="-1"/>
          <w:sz w:val="24"/>
          <w:szCs w:val="24"/>
        </w:rPr>
        <w:t>。根</w:t>
      </w:r>
      <w:r>
        <w:rPr>
          <w:rFonts w:ascii="宋体" w:hAnsi="宋体" w:eastAsia="宋体" w:cs="宋体"/>
          <w:sz w:val="24"/>
          <w:szCs w:val="24"/>
        </w:rPr>
        <w:t xml:space="preserve"> </w:t>
      </w:r>
      <w:r>
        <w:rPr>
          <w:rFonts w:ascii="宋体" w:hAnsi="宋体" w:eastAsia="宋体" w:cs="宋体"/>
          <w:spacing w:val="-1"/>
          <w:sz w:val="24"/>
          <w:szCs w:val="24"/>
        </w:rPr>
        <w:t>据</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S5</w:t>
      </w:r>
      <w:r>
        <w:rPr>
          <w:rFonts w:ascii="Times New Roman" w:hAnsi="Times New Roman" w:eastAsia="Times New Roman" w:cs="Times New Roman"/>
          <w:spacing w:val="17"/>
          <w:sz w:val="24"/>
          <w:szCs w:val="24"/>
        </w:rPr>
        <w:t xml:space="preserve"> </w:t>
      </w:r>
      <w:r>
        <w:rPr>
          <w:rFonts w:ascii="宋体" w:hAnsi="宋体" w:eastAsia="宋体" w:cs="宋体"/>
          <w:spacing w:val="-1"/>
          <w:sz w:val="24"/>
          <w:szCs w:val="24"/>
        </w:rPr>
        <w:t>号机井抽水试验资料，抽水试验降深</w:t>
      </w:r>
      <w:r>
        <w:rPr>
          <w:rFonts w:ascii="宋体" w:hAnsi="宋体" w:eastAsia="宋体" w:cs="宋体"/>
          <w:spacing w:val="-30"/>
          <w:sz w:val="24"/>
          <w:szCs w:val="24"/>
        </w:rPr>
        <w:t xml:space="preserve"> </w:t>
      </w:r>
      <w:r>
        <w:rPr>
          <w:rFonts w:ascii="Times New Roman" w:hAnsi="Times New Roman" w:eastAsia="Times New Roman" w:cs="Times New Roman"/>
          <w:spacing w:val="-1"/>
          <w:sz w:val="24"/>
          <w:szCs w:val="24"/>
        </w:rPr>
        <w:t>15.93m</w:t>
      </w:r>
      <w:r>
        <w:rPr>
          <w:rFonts w:ascii="Times New Roman" w:hAnsi="Times New Roman" w:eastAsia="Times New Roman" w:cs="Times New Roman"/>
          <w:spacing w:val="24"/>
          <w:sz w:val="24"/>
          <w:szCs w:val="24"/>
        </w:rPr>
        <w:t xml:space="preserve"> </w:t>
      </w:r>
      <w:r>
        <w:rPr>
          <w:rFonts w:ascii="宋体" w:hAnsi="宋体" w:eastAsia="宋体" w:cs="宋体"/>
          <w:spacing w:val="-1"/>
          <w:sz w:val="24"/>
          <w:szCs w:val="24"/>
        </w:rPr>
        <w:t>时涌水量为</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46.22m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/d</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，换算涌水量</w:t>
      </w:r>
      <w:r>
        <w:rPr>
          <w:rFonts w:ascii="宋体" w:hAnsi="宋体" w:eastAsia="宋体" w:cs="宋体"/>
          <w:sz w:val="24"/>
          <w:szCs w:val="24"/>
        </w:rPr>
        <w:t xml:space="preserve"> </w:t>
      </w:r>
      <w:r>
        <w:rPr>
          <w:rFonts w:ascii="宋体" w:hAnsi="宋体" w:eastAsia="宋体" w:cs="宋体"/>
          <w:spacing w:val="1"/>
          <w:sz w:val="24"/>
          <w:szCs w:val="24"/>
        </w:rPr>
        <w:t>为</w:t>
      </w:r>
      <w:r>
        <w:rPr>
          <w:rFonts w:ascii="宋体" w:hAnsi="宋体" w:eastAsia="宋体" w:cs="宋体"/>
          <w:spacing w:val="-13"/>
          <w:sz w:val="24"/>
          <w:szCs w:val="24"/>
        </w:rPr>
        <w:t xml:space="preserve"> </w:t>
      </w:r>
      <w:r>
        <w:rPr>
          <w:rFonts w:ascii="Times New Roman" w:hAnsi="Times New Roman" w:eastAsia="Times New Roman" w:cs="Times New Roman"/>
          <w:spacing w:val="1"/>
          <w:sz w:val="24"/>
          <w:szCs w:val="24"/>
        </w:rPr>
        <w:t>14.51m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/d</w:t>
      </w:r>
      <w:r>
        <w:rPr>
          <w:rFonts w:ascii="Times New Roman" w:hAnsi="Times New Roman" w:eastAsia="Times New Roman" w:cs="Times New Roman"/>
          <w:spacing w:val="-22"/>
          <w:sz w:val="24"/>
          <w:szCs w:val="24"/>
        </w:rPr>
        <w:t xml:space="preserve"> </w:t>
      </w:r>
      <w:r>
        <w:rPr>
          <w:rFonts w:ascii="宋体" w:hAnsi="宋体" w:eastAsia="宋体" w:cs="宋体"/>
          <w:spacing w:val="1"/>
          <w:sz w:val="24"/>
          <w:szCs w:val="24"/>
        </w:rPr>
        <w:t>，水质较差，矿化度约</w:t>
      </w:r>
      <w:r>
        <w:rPr>
          <w:rFonts w:ascii="宋体" w:hAnsi="宋体" w:eastAsia="宋体" w:cs="宋体"/>
          <w:spacing w:val="-42"/>
          <w:sz w:val="24"/>
          <w:szCs w:val="24"/>
        </w:rPr>
        <w:t xml:space="preserve"> </w:t>
      </w:r>
      <w:r>
        <w:rPr>
          <w:rFonts w:ascii="Times New Roman" w:hAnsi="Times New Roman" w:eastAsia="Times New Roman" w:cs="Times New Roman"/>
          <w:spacing w:val="1"/>
          <w:sz w:val="24"/>
          <w:szCs w:val="24"/>
        </w:rPr>
        <w:t>0.49g/L</w:t>
      </w:r>
      <w:r>
        <w:rPr>
          <w:rFonts w:ascii="Times New Roman" w:hAnsi="Times New Roman" w:eastAsia="Times New Roman" w:cs="Times New Roman"/>
          <w:spacing w:val="-19"/>
          <w:sz w:val="24"/>
          <w:szCs w:val="24"/>
        </w:rPr>
        <w:t xml:space="preserve"> </w:t>
      </w:r>
      <w:r>
        <w:rPr>
          <w:rFonts w:ascii="宋体" w:hAnsi="宋体" w:eastAsia="宋体" w:cs="宋体"/>
          <w:spacing w:val="1"/>
          <w:sz w:val="24"/>
          <w:szCs w:val="24"/>
        </w:rPr>
        <w:t>，水化学类型多为</w:t>
      </w:r>
      <w:r>
        <w:rPr>
          <w:rFonts w:ascii="宋体" w:hAnsi="宋体" w:eastAsia="宋体" w:cs="宋体"/>
          <w:spacing w:val="-44"/>
          <w:sz w:val="24"/>
          <w:szCs w:val="24"/>
        </w:rPr>
        <w:t xml:space="preserve"> </w:t>
      </w:r>
      <w:r>
        <w:rPr>
          <w:rFonts w:ascii="Times New Roman" w:hAnsi="Times New Roman" w:eastAsia="Times New Roman" w:cs="Times New Roman"/>
          <w:sz w:val="24"/>
          <w:szCs w:val="24"/>
        </w:rPr>
        <w:t>HCO</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Cl</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SO</w:t>
      </w:r>
      <w:r>
        <w:rPr>
          <w:rFonts w:ascii="Times New Roman" w:hAnsi="Times New Roman" w:eastAsia="Times New Roman" w:cs="Times New Roman"/>
          <w:spacing w:val="1"/>
          <w:position w:val="7"/>
          <w:sz w:val="15"/>
          <w:szCs w:val="15"/>
        </w:rPr>
        <w:t>4</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Mg</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Ca</w:t>
      </w:r>
      <w:r>
        <w:rPr>
          <w:rFonts w:ascii="Times New Roman" w:hAnsi="Times New Roman" w:eastAsia="Times New Roman" w:cs="Times New Roman"/>
          <w:spacing w:val="-25"/>
          <w:sz w:val="24"/>
          <w:szCs w:val="24"/>
        </w:rPr>
        <w:t xml:space="preserve"> </w:t>
      </w:r>
      <w:r>
        <w:rPr>
          <w:rFonts w:ascii="宋体" w:hAnsi="宋体" w:eastAsia="宋体" w:cs="宋体"/>
          <w:spacing w:val="1"/>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HCO</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·Cl-Mg·Ca</w:t>
      </w:r>
      <w:r>
        <w:rPr>
          <w:rFonts w:ascii="Times New Roman" w:hAnsi="Times New Roman" w:eastAsia="Times New Roman" w:cs="Times New Roman"/>
          <w:spacing w:val="27"/>
          <w:w w:val="101"/>
          <w:sz w:val="24"/>
          <w:szCs w:val="24"/>
        </w:rPr>
        <w:t xml:space="preserve"> </w:t>
      </w:r>
      <w:r>
        <w:rPr>
          <w:rFonts w:ascii="宋体" w:hAnsi="宋体" w:eastAsia="宋体" w:cs="宋体"/>
          <w:spacing w:val="-1"/>
          <w:sz w:val="24"/>
          <w:szCs w:val="24"/>
        </w:rPr>
        <w:t>型水。是区域地下水的补给、径流区。</w:t>
      </w:r>
    </w:p>
    <w:p w14:paraId="43BA4CC2">
      <w:pPr>
        <w:spacing w:before="39"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）玄武岩孔洞裂隙水</w:t>
      </w:r>
    </w:p>
    <w:p w14:paraId="77D9FFF9">
      <w:pPr>
        <w:spacing w:before="183" w:line="324" w:lineRule="auto"/>
        <w:ind w:left="7" w:right="61" w:firstLine="510"/>
        <w:rPr>
          <w:rFonts w:ascii="宋体" w:hAnsi="宋体" w:eastAsia="宋体" w:cs="宋体"/>
          <w:sz w:val="24"/>
          <w:szCs w:val="24"/>
        </w:rPr>
      </w:pPr>
      <w:r>
        <w:rPr>
          <w:rFonts w:ascii="宋体" w:hAnsi="宋体" w:eastAsia="宋体" w:cs="宋体"/>
          <w:spacing w:val="-2"/>
          <w:sz w:val="24"/>
          <w:szCs w:val="24"/>
        </w:rPr>
        <w:t>由新近系中上新统玄武岩组成。岩性特征为气</w:t>
      </w:r>
      <w:r>
        <w:rPr>
          <w:rFonts w:ascii="宋体" w:hAnsi="宋体" w:eastAsia="宋体" w:cs="宋体"/>
          <w:spacing w:val="-3"/>
          <w:sz w:val="24"/>
          <w:szCs w:val="24"/>
        </w:rPr>
        <w:t>孔状玄武岩与致密状玄武岩互层，并</w:t>
      </w:r>
      <w:r>
        <w:rPr>
          <w:rFonts w:ascii="宋体" w:hAnsi="宋体" w:eastAsia="宋体" w:cs="宋体"/>
          <w:sz w:val="24"/>
          <w:szCs w:val="24"/>
        </w:rPr>
        <w:t xml:space="preserve"> </w:t>
      </w:r>
      <w:r>
        <w:rPr>
          <w:rFonts w:ascii="宋体" w:hAnsi="宋体" w:eastAsia="宋体" w:cs="宋体"/>
          <w:spacing w:val="1"/>
          <w:sz w:val="24"/>
          <w:szCs w:val="24"/>
        </w:rPr>
        <w:t>夹有</w:t>
      </w:r>
      <w:r>
        <w:rPr>
          <w:rFonts w:ascii="宋体" w:hAnsi="宋体" w:eastAsia="宋体" w:cs="宋体"/>
          <w:spacing w:val="-27"/>
          <w:sz w:val="24"/>
          <w:szCs w:val="24"/>
        </w:rPr>
        <w:t xml:space="preserve"> </w:t>
      </w:r>
      <w:r>
        <w:rPr>
          <w:rFonts w:ascii="Times New Roman" w:hAnsi="Times New Roman" w:eastAsia="Times New Roman" w:cs="Times New Roman"/>
          <w:spacing w:val="1"/>
          <w:sz w:val="24"/>
          <w:szCs w:val="24"/>
        </w:rPr>
        <w:t xml:space="preserve">1~5 </w:t>
      </w:r>
      <w:r>
        <w:rPr>
          <w:rFonts w:ascii="宋体" w:hAnsi="宋体" w:eastAsia="宋体" w:cs="宋体"/>
          <w:spacing w:val="1"/>
          <w:sz w:val="24"/>
          <w:szCs w:val="24"/>
        </w:rPr>
        <w:t>层厚</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2~</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1"/>
          <w:sz w:val="24"/>
          <w:szCs w:val="24"/>
        </w:rPr>
        <w:t xml:space="preserve">10m </w:t>
      </w:r>
      <w:r>
        <w:rPr>
          <w:rFonts w:ascii="宋体" w:hAnsi="宋体" w:eastAsia="宋体" w:cs="宋体"/>
          <w:spacing w:val="1"/>
          <w:sz w:val="24"/>
          <w:szCs w:val="24"/>
        </w:rPr>
        <w:t>且分布不连续的红色泥岩</w:t>
      </w:r>
      <w:r>
        <w:rPr>
          <w:rFonts w:ascii="宋体" w:hAnsi="宋体" w:eastAsia="宋体" w:cs="宋体"/>
          <w:sz w:val="24"/>
          <w:szCs w:val="24"/>
        </w:rPr>
        <w:t xml:space="preserve">，含水层岩性为气孔状玄武岩，厚度一 </w:t>
      </w:r>
      <w:r>
        <w:rPr>
          <w:rFonts w:ascii="宋体" w:hAnsi="宋体" w:eastAsia="宋体" w:cs="宋体"/>
          <w:spacing w:val="1"/>
          <w:sz w:val="24"/>
          <w:szCs w:val="24"/>
        </w:rPr>
        <w:t>般</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 xml:space="preserve">20-50m </w:t>
      </w:r>
      <w:r>
        <w:rPr>
          <w:rFonts w:ascii="宋体" w:hAnsi="宋体" w:eastAsia="宋体" w:cs="宋体"/>
          <w:spacing w:val="1"/>
          <w:sz w:val="24"/>
          <w:szCs w:val="24"/>
        </w:rPr>
        <w:t>不等。不同的地形条件、玄武岩的孔洞、裂隙</w:t>
      </w:r>
      <w:r>
        <w:rPr>
          <w:rFonts w:ascii="宋体" w:hAnsi="宋体" w:eastAsia="宋体" w:cs="宋体"/>
          <w:sz w:val="24"/>
          <w:szCs w:val="24"/>
        </w:rPr>
        <w:t>发育程度及玄武岩本身与泥岩</w:t>
      </w:r>
    </w:p>
    <w:p w14:paraId="456E14AD">
      <w:pPr>
        <w:spacing w:line="324" w:lineRule="auto"/>
        <w:rPr>
          <w:rFonts w:ascii="宋体" w:hAnsi="宋体" w:eastAsia="宋体" w:cs="宋体"/>
          <w:sz w:val="24"/>
          <w:szCs w:val="24"/>
        </w:rPr>
        <w:sectPr>
          <w:headerReference r:id="rId320" w:type="default"/>
          <w:footerReference r:id="rId321" w:type="default"/>
          <w:pgSz w:w="11906" w:h="16839"/>
          <w:pgMar w:top="1190" w:right="1356" w:bottom="1427" w:left="1417" w:header="882" w:footer="1265" w:gutter="0"/>
          <w:cols w:space="720" w:num="1"/>
        </w:sectPr>
      </w:pPr>
    </w:p>
    <w:p w14:paraId="25A7D711">
      <w:pPr>
        <w:spacing w:line="69" w:lineRule="exact"/>
      </w:pPr>
      <w:r>
        <w:rPr>
          <w:position w:val="-1"/>
        </w:rPr>
        <w:pict>
          <v:shape id="_x0000_s1817" o:spid="_x0000_s1817" style="height:3.5pt;width:453.65pt;" fillcolor="#000000" filled="t" stroked="f" coordsize="9072,70" path="m0,0l9072,0,9072,28,0,28,0,0xem1,54l9070,54,9070,69,1,69,1,54xe">
            <v:path/>
            <v:fill on="t" focussize="0,0"/>
            <v:stroke on="f"/>
            <v:imagedata o:title=""/>
            <o:lock v:ext="edit"/>
            <w10:wrap type="none"/>
            <w10:anchorlock/>
          </v:shape>
        </w:pict>
      </w:r>
    </w:p>
    <w:p w14:paraId="41D7BE3B">
      <w:pPr>
        <w:spacing w:before="194" w:line="349" w:lineRule="auto"/>
        <w:ind w:left="7"/>
        <w:jc w:val="both"/>
        <w:rPr>
          <w:rFonts w:ascii="宋体" w:hAnsi="宋体" w:eastAsia="宋体" w:cs="宋体"/>
          <w:sz w:val="24"/>
          <w:szCs w:val="24"/>
        </w:rPr>
      </w:pPr>
      <w:r>
        <w:rPr>
          <w:rFonts w:ascii="宋体" w:hAnsi="宋体" w:eastAsia="宋体" w:cs="宋体"/>
          <w:spacing w:val="-2"/>
          <w:sz w:val="24"/>
          <w:szCs w:val="24"/>
        </w:rPr>
        <w:t>相互关系，决定其富水性。评价区内的玄武岩台地由于所处地理外置较高，不利于降雨</w:t>
      </w:r>
      <w:r>
        <w:rPr>
          <w:rFonts w:ascii="宋体" w:hAnsi="宋体" w:eastAsia="宋体" w:cs="宋体"/>
          <w:spacing w:val="17"/>
          <w:sz w:val="24"/>
          <w:szCs w:val="24"/>
        </w:rPr>
        <w:t xml:space="preserve"> </w:t>
      </w:r>
      <w:r>
        <w:rPr>
          <w:rFonts w:ascii="宋体" w:hAnsi="宋体" w:eastAsia="宋体" w:cs="宋体"/>
          <w:spacing w:val="-5"/>
          <w:sz w:val="24"/>
          <w:szCs w:val="24"/>
        </w:rPr>
        <w:t>入渗，加之地下水位埋藏较深，富水性较差，单井涌水量一般小于</w:t>
      </w:r>
      <w:r>
        <w:rPr>
          <w:rFonts w:ascii="宋体" w:hAnsi="宋体" w:eastAsia="宋体" w:cs="宋体"/>
          <w:spacing w:val="-21"/>
          <w:sz w:val="24"/>
          <w:szCs w:val="24"/>
        </w:rPr>
        <w:t xml:space="preserve"> </w:t>
      </w:r>
      <w:r>
        <w:rPr>
          <w:rFonts w:ascii="Times New Roman" w:hAnsi="Times New Roman" w:eastAsia="Times New Roman" w:cs="Times New Roman"/>
          <w:spacing w:val="-5"/>
          <w:sz w:val="24"/>
          <w:szCs w:val="24"/>
        </w:rPr>
        <w:t>100m</w:t>
      </w:r>
      <w:r>
        <w:rPr>
          <w:rFonts w:ascii="Times New Roman" w:hAnsi="Times New Roman" w:eastAsia="Times New Roman" w:cs="Times New Roman"/>
          <w:spacing w:val="-5"/>
          <w:position w:val="8"/>
          <w:sz w:val="15"/>
          <w:szCs w:val="15"/>
        </w:rPr>
        <w:t>3</w:t>
      </w:r>
      <w:r>
        <w:rPr>
          <w:rFonts w:ascii="Times New Roman" w:hAnsi="Times New Roman" w:eastAsia="Times New Roman" w:cs="Times New Roman"/>
          <w:spacing w:val="-5"/>
          <w:sz w:val="24"/>
          <w:szCs w:val="24"/>
        </w:rPr>
        <w:t>/d</w:t>
      </w:r>
      <w:r>
        <w:rPr>
          <w:rFonts w:ascii="Times New Roman" w:hAnsi="Times New Roman" w:eastAsia="Times New Roman" w:cs="Times New Roman"/>
          <w:spacing w:val="-34"/>
          <w:sz w:val="24"/>
          <w:szCs w:val="24"/>
        </w:rPr>
        <w:t xml:space="preserve"> </w:t>
      </w:r>
      <w:r>
        <w:rPr>
          <w:rFonts w:ascii="宋体" w:hAnsi="宋体" w:eastAsia="宋体" w:cs="宋体"/>
          <w:spacing w:val="-5"/>
          <w:sz w:val="24"/>
          <w:szCs w:val="24"/>
        </w:rPr>
        <w:t>，水质良好，</w:t>
      </w:r>
      <w:r>
        <w:rPr>
          <w:rFonts w:ascii="宋体" w:hAnsi="宋体" w:eastAsia="宋体" w:cs="宋体"/>
          <w:sz w:val="24"/>
          <w:szCs w:val="24"/>
        </w:rPr>
        <w:t xml:space="preserve"> </w:t>
      </w:r>
      <w:r>
        <w:rPr>
          <w:rFonts w:ascii="宋体" w:hAnsi="宋体" w:eastAsia="宋体" w:cs="宋体"/>
          <w:spacing w:val="-2"/>
          <w:sz w:val="24"/>
          <w:szCs w:val="24"/>
        </w:rPr>
        <w:t>均为矿化度小于</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1g/L</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的</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HCO</w:t>
      </w:r>
      <w:r>
        <w:rPr>
          <w:rFonts w:ascii="Times New Roman" w:hAnsi="Times New Roman" w:eastAsia="Times New Roman" w:cs="Times New Roman"/>
          <w:spacing w:val="-2"/>
          <w:position w:val="-1"/>
          <w:sz w:val="15"/>
          <w:szCs w:val="15"/>
        </w:rPr>
        <w:t>3</w:t>
      </w:r>
      <w:r>
        <w:rPr>
          <w:rFonts w:ascii="Times New Roman" w:hAnsi="Times New Roman" w:eastAsia="Times New Roman" w:cs="Times New Roman"/>
          <w:spacing w:val="-2"/>
          <w:sz w:val="24"/>
          <w:szCs w:val="24"/>
        </w:rPr>
        <w:t>·Cl·SO</w:t>
      </w:r>
      <w:r>
        <w:rPr>
          <w:rFonts w:ascii="Times New Roman" w:hAnsi="Times New Roman" w:eastAsia="Times New Roman" w:cs="Times New Roman"/>
          <w:spacing w:val="-2"/>
          <w:sz w:val="15"/>
          <w:szCs w:val="15"/>
        </w:rPr>
        <w:t>4</w:t>
      </w:r>
      <w:r>
        <w:rPr>
          <w:rFonts w:ascii="Times New Roman" w:hAnsi="Times New Roman" w:eastAsia="Times New Roman" w:cs="Times New Roman"/>
          <w:spacing w:val="-2"/>
          <w:sz w:val="24"/>
          <w:szCs w:val="24"/>
        </w:rPr>
        <w:t>-Mg·Ca</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型水。是区域地下水的补给区。</w:t>
      </w:r>
    </w:p>
    <w:p w14:paraId="39E821F7">
      <w:pPr>
        <w:spacing w:before="37" w:line="219" w:lineRule="auto"/>
        <w:ind w:left="484"/>
        <w:rPr>
          <w:rFonts w:ascii="宋体" w:hAnsi="宋体" w:eastAsia="宋体" w:cs="宋体"/>
          <w:sz w:val="24"/>
          <w:szCs w:val="24"/>
        </w:rPr>
      </w:pPr>
      <w:r>
        <w:rPr>
          <w:rFonts w:ascii="Times New Roman" w:hAnsi="Times New Roman" w:eastAsia="Times New Roman" w:cs="Times New Roman"/>
          <w:spacing w:val="-4"/>
          <w:sz w:val="24"/>
          <w:szCs w:val="24"/>
        </w:rPr>
        <w:t>2</w:t>
      </w:r>
      <w:r>
        <w:rPr>
          <w:rFonts w:ascii="Times New Roman" w:hAnsi="Times New Roman" w:eastAsia="Times New Roman" w:cs="Times New Roman"/>
          <w:spacing w:val="-27"/>
          <w:sz w:val="24"/>
          <w:szCs w:val="24"/>
        </w:rPr>
        <w:t xml:space="preserve"> </w:t>
      </w:r>
      <w:r>
        <w:rPr>
          <w:rFonts w:ascii="宋体" w:hAnsi="宋体" w:eastAsia="宋体" w:cs="宋体"/>
          <w:spacing w:val="-4"/>
          <w:sz w:val="24"/>
          <w:szCs w:val="24"/>
        </w:rPr>
        <w:t>、地下水补径排条件</w:t>
      </w:r>
    </w:p>
    <w:p w14:paraId="4AD4D846">
      <w:pPr>
        <w:spacing w:before="181" w:line="353" w:lineRule="auto"/>
        <w:ind w:left="8" w:right="53" w:firstLine="480"/>
        <w:rPr>
          <w:rFonts w:ascii="宋体" w:hAnsi="宋体" w:eastAsia="宋体" w:cs="宋体"/>
          <w:sz w:val="24"/>
          <w:szCs w:val="24"/>
        </w:rPr>
      </w:pPr>
      <w:r>
        <w:rPr>
          <w:rFonts w:ascii="宋体" w:hAnsi="宋体" w:eastAsia="宋体" w:cs="宋体"/>
          <w:spacing w:val="-2"/>
          <w:sz w:val="24"/>
          <w:szCs w:val="24"/>
        </w:rPr>
        <w:t>第四系松散岩类孔隙潜水主要接受大气降水的垂直入渗补给，同时也接受熔岩台地</w:t>
      </w:r>
      <w:r>
        <w:rPr>
          <w:rFonts w:ascii="宋体" w:hAnsi="宋体" w:eastAsia="宋体" w:cs="宋体"/>
          <w:spacing w:val="13"/>
          <w:sz w:val="24"/>
          <w:szCs w:val="24"/>
        </w:rPr>
        <w:t xml:space="preserve"> </w:t>
      </w:r>
      <w:r>
        <w:rPr>
          <w:rFonts w:ascii="宋体" w:hAnsi="宋体" w:eastAsia="宋体" w:cs="宋体"/>
          <w:spacing w:val="-2"/>
          <w:sz w:val="24"/>
          <w:szCs w:val="24"/>
        </w:rPr>
        <w:t>玄武岩孔洞裂隙水、高平原区碎屑岩类孔隙裂隙水的侧向补给，地下水得到补给后，向</w:t>
      </w:r>
      <w:r>
        <w:rPr>
          <w:rFonts w:ascii="宋体" w:hAnsi="宋体" w:eastAsia="宋体" w:cs="宋体"/>
          <w:spacing w:val="17"/>
          <w:sz w:val="24"/>
          <w:szCs w:val="24"/>
        </w:rPr>
        <w:t xml:space="preserve"> </w:t>
      </w:r>
      <w:r>
        <w:rPr>
          <w:rFonts w:ascii="宋体" w:hAnsi="宋体" w:eastAsia="宋体" w:cs="宋体"/>
          <w:spacing w:val="-1"/>
          <w:sz w:val="24"/>
          <w:szCs w:val="24"/>
        </w:rPr>
        <w:t>下游径流，以蒸发、地下水径流和零星的人工开采等方式</w:t>
      </w:r>
      <w:r>
        <w:rPr>
          <w:rFonts w:ascii="宋体" w:hAnsi="宋体" w:eastAsia="宋体" w:cs="宋体"/>
          <w:spacing w:val="-2"/>
          <w:sz w:val="24"/>
          <w:szCs w:val="24"/>
        </w:rPr>
        <w:t>排泄。为评价区地下水径流、</w:t>
      </w:r>
      <w:r>
        <w:rPr>
          <w:rFonts w:ascii="宋体" w:hAnsi="宋体" w:eastAsia="宋体" w:cs="宋体"/>
          <w:sz w:val="24"/>
          <w:szCs w:val="24"/>
        </w:rPr>
        <w:t xml:space="preserve"> </w:t>
      </w:r>
      <w:r>
        <w:rPr>
          <w:rFonts w:ascii="宋体" w:hAnsi="宋体" w:eastAsia="宋体" w:cs="宋体"/>
          <w:spacing w:val="-3"/>
          <w:sz w:val="24"/>
          <w:szCs w:val="24"/>
        </w:rPr>
        <w:t>排泄区。</w:t>
      </w:r>
    </w:p>
    <w:p w14:paraId="18F66DE7">
      <w:pPr>
        <w:spacing w:before="32" w:line="350" w:lineRule="auto"/>
        <w:ind w:left="8" w:right="61" w:firstLine="479"/>
        <w:jc w:val="both"/>
        <w:rPr>
          <w:rFonts w:ascii="宋体" w:hAnsi="宋体" w:eastAsia="宋体" w:cs="宋体"/>
          <w:sz w:val="24"/>
          <w:szCs w:val="24"/>
        </w:rPr>
      </w:pPr>
      <w:r>
        <w:rPr>
          <w:rFonts w:ascii="宋体" w:hAnsi="宋体" w:eastAsia="宋体" w:cs="宋体"/>
          <w:spacing w:val="-2"/>
          <w:sz w:val="24"/>
          <w:szCs w:val="24"/>
        </w:rPr>
        <w:t>碎屑岩类孔隙裂隙水主要接受大气降水的垂直入渗补给，同时也接受熔岩台地玄武</w:t>
      </w:r>
      <w:r>
        <w:rPr>
          <w:rFonts w:ascii="宋体" w:hAnsi="宋体" w:eastAsia="宋体" w:cs="宋体"/>
          <w:spacing w:val="14"/>
          <w:sz w:val="24"/>
          <w:szCs w:val="24"/>
        </w:rPr>
        <w:t xml:space="preserve"> </w:t>
      </w:r>
      <w:r>
        <w:rPr>
          <w:rFonts w:ascii="宋体" w:hAnsi="宋体" w:eastAsia="宋体" w:cs="宋体"/>
          <w:spacing w:val="-2"/>
          <w:sz w:val="24"/>
          <w:szCs w:val="24"/>
        </w:rPr>
        <w:t>岩孔洞裂隙水侧向补给，地下水得到补给后，向下游径流，以地下水径流和人工开采等</w:t>
      </w:r>
      <w:r>
        <w:rPr>
          <w:rFonts w:ascii="宋体" w:hAnsi="宋体" w:eastAsia="宋体" w:cs="宋体"/>
          <w:spacing w:val="17"/>
          <w:sz w:val="24"/>
          <w:szCs w:val="24"/>
        </w:rPr>
        <w:t xml:space="preserve"> </w:t>
      </w:r>
      <w:r>
        <w:rPr>
          <w:rFonts w:ascii="宋体" w:hAnsi="宋体" w:eastAsia="宋体" w:cs="宋体"/>
          <w:spacing w:val="-1"/>
          <w:sz w:val="24"/>
          <w:szCs w:val="24"/>
        </w:rPr>
        <w:t>方式排泄。为评价区地下水补给、径流区。</w:t>
      </w:r>
    </w:p>
    <w:p w14:paraId="2D1E88B8">
      <w:pPr>
        <w:spacing w:before="33" w:line="351" w:lineRule="auto"/>
        <w:ind w:left="7" w:right="61" w:firstLine="492"/>
        <w:jc w:val="both"/>
        <w:rPr>
          <w:rFonts w:ascii="宋体" w:hAnsi="宋体" w:eastAsia="宋体" w:cs="宋体"/>
          <w:sz w:val="24"/>
          <w:szCs w:val="24"/>
        </w:rPr>
      </w:pPr>
      <w:r>
        <w:rPr>
          <w:rFonts w:ascii="宋体" w:hAnsi="宋体" w:eastAsia="宋体" w:cs="宋体"/>
          <w:spacing w:val="-2"/>
          <w:sz w:val="24"/>
          <w:szCs w:val="24"/>
        </w:rPr>
        <w:t>玄武岩孔洞裂隙水主要接受大气降水的直接渗入补给，沿节理裂隙向地形低洼处径</w:t>
      </w:r>
      <w:r>
        <w:rPr>
          <w:rFonts w:ascii="宋体" w:hAnsi="宋体" w:eastAsia="宋体" w:cs="宋体"/>
          <w:spacing w:val="2"/>
          <w:sz w:val="24"/>
          <w:szCs w:val="24"/>
        </w:rPr>
        <w:t xml:space="preserve"> </w:t>
      </w:r>
      <w:r>
        <w:rPr>
          <w:rFonts w:ascii="宋体" w:hAnsi="宋体" w:eastAsia="宋体" w:cs="宋体"/>
          <w:spacing w:val="-2"/>
          <w:sz w:val="24"/>
          <w:szCs w:val="24"/>
        </w:rPr>
        <w:t>流，排泄主要以向地形较低处径流补给第四系松散岩类孔隙潜水含水层及零星的人工开</w:t>
      </w:r>
      <w:r>
        <w:rPr>
          <w:rFonts w:ascii="宋体" w:hAnsi="宋体" w:eastAsia="宋体" w:cs="宋体"/>
          <w:spacing w:val="18"/>
          <w:sz w:val="24"/>
          <w:szCs w:val="24"/>
        </w:rPr>
        <w:t xml:space="preserve"> </w:t>
      </w:r>
      <w:r>
        <w:rPr>
          <w:rFonts w:ascii="宋体" w:hAnsi="宋体" w:eastAsia="宋体" w:cs="宋体"/>
          <w:spacing w:val="-1"/>
          <w:sz w:val="24"/>
          <w:szCs w:val="24"/>
        </w:rPr>
        <w:t>采。为评价区地下水补给区。</w:t>
      </w:r>
    </w:p>
    <w:p w14:paraId="3D6B3124">
      <w:pPr>
        <w:spacing w:before="34" w:line="219" w:lineRule="auto"/>
        <w:ind w:left="488"/>
        <w:rPr>
          <w:rFonts w:ascii="宋体" w:hAnsi="宋体" w:eastAsia="宋体" w:cs="宋体"/>
          <w:sz w:val="24"/>
          <w:szCs w:val="24"/>
        </w:rPr>
      </w:pPr>
      <w:r>
        <w:rPr>
          <w:rFonts w:ascii="Times New Roman" w:hAnsi="Times New Roman" w:eastAsia="Times New Roman" w:cs="Times New Roman"/>
          <w:spacing w:val="-4"/>
          <w:sz w:val="24"/>
          <w:szCs w:val="24"/>
        </w:rPr>
        <w:t>3</w:t>
      </w:r>
      <w:r>
        <w:rPr>
          <w:rFonts w:ascii="Times New Roman" w:hAnsi="Times New Roman" w:eastAsia="Times New Roman" w:cs="Times New Roman"/>
          <w:spacing w:val="-31"/>
          <w:sz w:val="24"/>
          <w:szCs w:val="24"/>
        </w:rPr>
        <w:t xml:space="preserve"> </w:t>
      </w:r>
      <w:r>
        <w:rPr>
          <w:rFonts w:ascii="宋体" w:hAnsi="宋体" w:eastAsia="宋体" w:cs="宋体"/>
          <w:spacing w:val="-4"/>
          <w:sz w:val="24"/>
          <w:szCs w:val="24"/>
        </w:rPr>
        <w:t>、厂区水文地质条件</w:t>
      </w:r>
    </w:p>
    <w:p w14:paraId="653CAC72">
      <w:pPr>
        <w:spacing w:before="184"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）含水层富水性特征</w:t>
      </w:r>
    </w:p>
    <w:p w14:paraId="719531A5">
      <w:pPr>
        <w:spacing w:before="179" w:line="356" w:lineRule="auto"/>
        <w:ind w:left="7" w:right="61" w:firstLine="483"/>
        <w:rPr>
          <w:rFonts w:ascii="宋体" w:hAnsi="宋体" w:eastAsia="宋体" w:cs="宋体"/>
          <w:sz w:val="24"/>
          <w:szCs w:val="24"/>
        </w:rPr>
      </w:pPr>
      <w:r>
        <w:rPr>
          <w:rFonts w:ascii="宋体" w:hAnsi="宋体" w:eastAsia="宋体" w:cs="宋体"/>
          <w:spacing w:val="1"/>
          <w:sz w:val="24"/>
          <w:szCs w:val="24"/>
        </w:rPr>
        <w:t>厂区赋存区域赋存碎屑岩类孔隙裂隙水，属承压水，水位一</w:t>
      </w:r>
      <w:r>
        <w:rPr>
          <w:rFonts w:ascii="宋体" w:hAnsi="宋体" w:eastAsia="宋体" w:cs="宋体"/>
          <w:sz w:val="24"/>
          <w:szCs w:val="24"/>
        </w:rPr>
        <w:t>般</w:t>
      </w:r>
      <w:r>
        <w:rPr>
          <w:rFonts w:ascii="宋体" w:hAnsi="宋体" w:eastAsia="宋体" w:cs="宋体"/>
          <w:spacing w:val="-29"/>
          <w:sz w:val="24"/>
          <w:szCs w:val="24"/>
        </w:rPr>
        <w:t xml:space="preserve"> </w:t>
      </w:r>
      <w:r>
        <w:rPr>
          <w:rFonts w:ascii="Times New Roman" w:hAnsi="Times New Roman" w:eastAsia="Times New Roman" w:cs="Times New Roman"/>
          <w:sz w:val="24"/>
          <w:szCs w:val="24"/>
        </w:rPr>
        <w:t>10-13m</w:t>
      </w:r>
      <w:r>
        <w:rPr>
          <w:rFonts w:ascii="Times New Roman" w:hAnsi="Times New Roman" w:eastAsia="Times New Roman" w:cs="Times New Roman"/>
          <w:spacing w:val="-25"/>
          <w:sz w:val="24"/>
          <w:szCs w:val="24"/>
        </w:rPr>
        <w:t xml:space="preserve"> </w:t>
      </w:r>
      <w:r>
        <w:rPr>
          <w:rFonts w:ascii="宋体" w:hAnsi="宋体" w:eastAsia="宋体" w:cs="宋体"/>
          <w:sz w:val="24"/>
          <w:szCs w:val="24"/>
        </w:rPr>
        <w:t>，地表为新 近系泥岩覆盖，厚度一般</w:t>
      </w:r>
      <w:r>
        <w:rPr>
          <w:rFonts w:ascii="宋体" w:hAnsi="宋体" w:eastAsia="宋体" w:cs="宋体"/>
          <w:spacing w:val="-48"/>
          <w:sz w:val="24"/>
          <w:szCs w:val="24"/>
        </w:rPr>
        <w:t xml:space="preserve"> </w:t>
      </w:r>
      <w:r>
        <w:rPr>
          <w:rFonts w:ascii="Times New Roman" w:hAnsi="Times New Roman" w:eastAsia="Times New Roman" w:cs="Times New Roman"/>
          <w:sz w:val="24"/>
          <w:szCs w:val="24"/>
        </w:rPr>
        <w:t>3-7m</w:t>
      </w:r>
      <w:r>
        <w:rPr>
          <w:rFonts w:ascii="Times New Roman" w:hAnsi="Times New Roman" w:eastAsia="Times New Roman" w:cs="Times New Roman"/>
          <w:spacing w:val="-28"/>
          <w:sz w:val="24"/>
          <w:szCs w:val="24"/>
        </w:rPr>
        <w:t xml:space="preserve"> </w:t>
      </w:r>
      <w:r>
        <w:rPr>
          <w:rFonts w:ascii="宋体" w:hAnsi="宋体" w:eastAsia="宋体" w:cs="宋体"/>
          <w:sz w:val="24"/>
          <w:szCs w:val="24"/>
        </w:rPr>
        <w:t>，下部为新近系灰白色砂岩，厚度一般</w:t>
      </w:r>
      <w:r>
        <w:rPr>
          <w:rFonts w:ascii="宋体" w:hAnsi="宋体" w:eastAsia="宋体" w:cs="宋体"/>
          <w:spacing w:val="-48"/>
          <w:sz w:val="24"/>
          <w:szCs w:val="24"/>
        </w:rPr>
        <w:t xml:space="preserve"> </w:t>
      </w:r>
      <w:r>
        <w:rPr>
          <w:rFonts w:ascii="Times New Roman" w:hAnsi="Times New Roman" w:eastAsia="Times New Roman" w:cs="Times New Roman"/>
          <w:sz w:val="24"/>
          <w:szCs w:val="24"/>
        </w:rPr>
        <w:t>7-10m</w:t>
      </w:r>
      <w:r>
        <w:rPr>
          <w:rFonts w:ascii="Times New Roman" w:hAnsi="Times New Roman" w:eastAsia="Times New Roman" w:cs="Times New Roman"/>
          <w:spacing w:val="16"/>
          <w:sz w:val="24"/>
          <w:szCs w:val="24"/>
        </w:rPr>
        <w:t xml:space="preserve"> </w:t>
      </w:r>
      <w:r>
        <w:rPr>
          <w:rFonts w:ascii="宋体" w:hAnsi="宋体" w:eastAsia="宋体" w:cs="宋体"/>
          <w:sz w:val="24"/>
          <w:szCs w:val="24"/>
        </w:rPr>
        <w:t>不</w:t>
      </w:r>
      <w:r>
        <w:rPr>
          <w:rFonts w:ascii="宋体" w:hAnsi="宋体" w:eastAsia="宋体" w:cs="宋体"/>
          <w:spacing w:val="-1"/>
          <w:sz w:val="24"/>
          <w:szCs w:val="24"/>
        </w:rPr>
        <w:t>等，为</w:t>
      </w:r>
      <w:r>
        <w:rPr>
          <w:rFonts w:ascii="宋体" w:hAnsi="宋体" w:eastAsia="宋体" w:cs="宋体"/>
          <w:sz w:val="24"/>
          <w:szCs w:val="24"/>
        </w:rPr>
        <w:t xml:space="preserve"> </w:t>
      </w:r>
      <w:r>
        <w:rPr>
          <w:rFonts w:ascii="宋体" w:hAnsi="宋体" w:eastAsia="宋体" w:cs="宋体"/>
          <w:spacing w:val="-2"/>
          <w:sz w:val="24"/>
          <w:szCs w:val="24"/>
        </w:rPr>
        <w:t>含水层，因碎屑岩层中多含泥质成份，且有些呈半胶结状态，大气降水补给困难，地下</w:t>
      </w:r>
      <w:r>
        <w:rPr>
          <w:rFonts w:ascii="宋体" w:hAnsi="宋体" w:eastAsia="宋体" w:cs="宋体"/>
          <w:spacing w:val="18"/>
          <w:sz w:val="24"/>
          <w:szCs w:val="24"/>
        </w:rPr>
        <w:t xml:space="preserve"> </w:t>
      </w:r>
      <w:r>
        <w:rPr>
          <w:rFonts w:ascii="宋体" w:hAnsi="宋体" w:eastAsia="宋体" w:cs="宋体"/>
          <w:spacing w:val="-2"/>
          <w:sz w:val="24"/>
          <w:szCs w:val="24"/>
        </w:rPr>
        <w:t>水径流不利，大部分地区含水层呈不连续分布，水量小而不稳定，一般单井出水量小于</w:t>
      </w:r>
      <w:r>
        <w:rPr>
          <w:rFonts w:ascii="宋体" w:hAnsi="宋体" w:eastAsia="宋体" w:cs="宋体"/>
          <w:spacing w:val="18"/>
          <w:sz w:val="24"/>
          <w:szCs w:val="24"/>
        </w:rPr>
        <w:t xml:space="preserve"> </w:t>
      </w:r>
      <w:r>
        <w:rPr>
          <w:rFonts w:ascii="Times New Roman" w:hAnsi="Times New Roman" w:eastAsia="Times New Roman" w:cs="Times New Roman"/>
          <w:spacing w:val="-1"/>
          <w:sz w:val="24"/>
          <w:szCs w:val="24"/>
        </w:rPr>
        <w:t>10m</w:t>
      </w:r>
      <w:r>
        <w:rPr>
          <w:rFonts w:ascii="Times New Roman" w:hAnsi="Times New Roman" w:eastAsia="Times New Roman" w:cs="Times New Roman"/>
          <w:spacing w:val="-1"/>
          <w:position w:val="8"/>
          <w:sz w:val="15"/>
          <w:szCs w:val="15"/>
        </w:rPr>
        <w:t>3</w:t>
      </w:r>
      <w:r>
        <w:rPr>
          <w:rFonts w:ascii="Times New Roman" w:hAnsi="Times New Roman" w:eastAsia="Times New Roman" w:cs="Times New Roman"/>
          <w:spacing w:val="-1"/>
          <w:sz w:val="24"/>
          <w:szCs w:val="24"/>
        </w:rPr>
        <w:t>/d</w:t>
      </w:r>
      <w:r>
        <w:rPr>
          <w:rFonts w:ascii="宋体" w:hAnsi="宋体" w:eastAsia="宋体" w:cs="宋体"/>
          <w:spacing w:val="-1"/>
          <w:sz w:val="24"/>
          <w:szCs w:val="24"/>
        </w:rPr>
        <w:t>；新近系地层下部为新近系中上新统玄武岩地层，岩性特征为气孔状玄武岩与致</w:t>
      </w:r>
      <w:r>
        <w:rPr>
          <w:rFonts w:ascii="宋体" w:hAnsi="宋体" w:eastAsia="宋体" w:cs="宋体"/>
          <w:spacing w:val="15"/>
          <w:sz w:val="24"/>
          <w:szCs w:val="24"/>
        </w:rPr>
        <w:t xml:space="preserve"> </w:t>
      </w:r>
      <w:r>
        <w:rPr>
          <w:rFonts w:ascii="宋体" w:hAnsi="宋体" w:eastAsia="宋体" w:cs="宋体"/>
          <w:spacing w:val="1"/>
          <w:sz w:val="24"/>
          <w:szCs w:val="24"/>
        </w:rPr>
        <w:t>密状玄武岩互层，并夹有</w:t>
      </w:r>
      <w:r>
        <w:rPr>
          <w:rFonts w:ascii="宋体" w:hAnsi="宋体" w:eastAsia="宋体" w:cs="宋体"/>
          <w:spacing w:val="-27"/>
          <w:sz w:val="24"/>
          <w:szCs w:val="24"/>
        </w:rPr>
        <w:t xml:space="preserve"> </w:t>
      </w:r>
      <w:r>
        <w:rPr>
          <w:rFonts w:ascii="Times New Roman" w:hAnsi="Times New Roman" w:eastAsia="Times New Roman" w:cs="Times New Roman"/>
          <w:spacing w:val="1"/>
          <w:sz w:val="24"/>
          <w:szCs w:val="24"/>
        </w:rPr>
        <w:t xml:space="preserve">1~5 </w:t>
      </w:r>
      <w:r>
        <w:rPr>
          <w:rFonts w:ascii="宋体" w:hAnsi="宋体" w:eastAsia="宋体" w:cs="宋体"/>
          <w:spacing w:val="1"/>
          <w:sz w:val="24"/>
          <w:szCs w:val="24"/>
        </w:rPr>
        <w:t>层厚</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2~</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1"/>
          <w:sz w:val="24"/>
          <w:szCs w:val="24"/>
        </w:rPr>
        <w:t xml:space="preserve">10m </w:t>
      </w:r>
      <w:r>
        <w:rPr>
          <w:rFonts w:ascii="宋体" w:hAnsi="宋体" w:eastAsia="宋体" w:cs="宋体"/>
          <w:spacing w:val="1"/>
          <w:sz w:val="24"/>
          <w:szCs w:val="24"/>
        </w:rPr>
        <w:t>且分</w:t>
      </w:r>
      <w:r>
        <w:rPr>
          <w:rFonts w:ascii="宋体" w:hAnsi="宋体" w:eastAsia="宋体" w:cs="宋体"/>
          <w:sz w:val="24"/>
          <w:szCs w:val="24"/>
        </w:rPr>
        <w:t xml:space="preserve">布不连续的红色泥岩，含水层岩性为气 </w:t>
      </w:r>
      <w:r>
        <w:rPr>
          <w:rFonts w:ascii="宋体" w:hAnsi="宋体" w:eastAsia="宋体" w:cs="宋体"/>
          <w:spacing w:val="-3"/>
          <w:sz w:val="24"/>
          <w:szCs w:val="24"/>
        </w:rPr>
        <w:t>孔状玄武岩，厚度一般</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20-50m</w:t>
      </w:r>
      <w:r>
        <w:rPr>
          <w:rFonts w:ascii="Times New Roman" w:hAnsi="Times New Roman" w:eastAsia="Times New Roman" w:cs="Times New Roman"/>
          <w:spacing w:val="14"/>
          <w:sz w:val="24"/>
          <w:szCs w:val="24"/>
        </w:rPr>
        <w:t xml:space="preserve"> </w:t>
      </w:r>
      <w:r>
        <w:rPr>
          <w:rFonts w:ascii="宋体" w:hAnsi="宋体" w:eastAsia="宋体" w:cs="宋体"/>
          <w:spacing w:val="-3"/>
          <w:sz w:val="24"/>
          <w:szCs w:val="24"/>
        </w:rPr>
        <w:t>不等。水位埋深</w:t>
      </w:r>
      <w:r>
        <w:rPr>
          <w:rFonts w:ascii="宋体" w:hAnsi="宋体" w:eastAsia="宋体" w:cs="宋体"/>
          <w:spacing w:val="-4"/>
          <w:sz w:val="24"/>
          <w:szCs w:val="24"/>
        </w:rPr>
        <w:t>一般</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25-35m</w:t>
      </w:r>
      <w:r>
        <w:rPr>
          <w:rFonts w:ascii="Times New Roman" w:hAnsi="Times New Roman" w:eastAsia="Times New Roman" w:cs="Times New Roman"/>
          <w:spacing w:val="14"/>
          <w:sz w:val="24"/>
          <w:szCs w:val="24"/>
        </w:rPr>
        <w:t xml:space="preserve"> </w:t>
      </w:r>
      <w:r>
        <w:rPr>
          <w:rFonts w:ascii="宋体" w:hAnsi="宋体" w:eastAsia="宋体" w:cs="宋体"/>
          <w:spacing w:val="-4"/>
          <w:sz w:val="24"/>
          <w:szCs w:val="24"/>
        </w:rPr>
        <w:t>不等，由于地下水位埋藏较</w:t>
      </w:r>
      <w:r>
        <w:rPr>
          <w:rFonts w:ascii="宋体" w:hAnsi="宋体" w:eastAsia="宋体" w:cs="宋体"/>
          <w:sz w:val="24"/>
          <w:szCs w:val="24"/>
        </w:rPr>
        <w:t xml:space="preserve"> </w:t>
      </w:r>
      <w:r>
        <w:rPr>
          <w:rFonts w:ascii="宋体" w:hAnsi="宋体" w:eastAsia="宋体" w:cs="宋体"/>
          <w:spacing w:val="-1"/>
          <w:sz w:val="24"/>
          <w:szCs w:val="24"/>
        </w:rPr>
        <w:t>深，补给较差，富水性较差，单井涌水量一般小于</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100</w:t>
      </w:r>
      <w:r>
        <w:rPr>
          <w:rFonts w:ascii="Times New Roman" w:hAnsi="Times New Roman" w:eastAsia="Times New Roman" w:cs="Times New Roman"/>
          <w:spacing w:val="-2"/>
          <w:sz w:val="24"/>
          <w:szCs w:val="24"/>
        </w:rPr>
        <w:t>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/d</w:t>
      </w:r>
      <w:r>
        <w:rPr>
          <w:rFonts w:ascii="宋体" w:hAnsi="宋体" w:eastAsia="宋体" w:cs="宋体"/>
          <w:spacing w:val="-2"/>
          <w:sz w:val="24"/>
          <w:szCs w:val="24"/>
        </w:rPr>
        <w:t>。</w:t>
      </w:r>
    </w:p>
    <w:p w14:paraId="33B68D04">
      <w:pPr>
        <w:spacing w:before="35" w:line="345" w:lineRule="auto"/>
        <w:ind w:left="8" w:right="61" w:firstLine="480"/>
        <w:rPr>
          <w:rFonts w:ascii="宋体" w:hAnsi="宋体" w:eastAsia="宋体" w:cs="宋体"/>
          <w:sz w:val="24"/>
          <w:szCs w:val="24"/>
        </w:rPr>
      </w:pPr>
      <w:r>
        <w:rPr>
          <w:rFonts w:ascii="宋体" w:hAnsi="宋体" w:eastAsia="宋体" w:cs="宋体"/>
          <w:spacing w:val="-2"/>
          <w:sz w:val="24"/>
          <w:szCs w:val="24"/>
        </w:rPr>
        <w:t>根据工程地质勘察资料，项目区地表岩性分布较为简单，为新近系泥岩。根据渗水</w:t>
      </w:r>
      <w:r>
        <w:rPr>
          <w:rFonts w:ascii="宋体" w:hAnsi="宋体" w:eastAsia="宋体" w:cs="宋体"/>
          <w:spacing w:val="13"/>
          <w:sz w:val="24"/>
          <w:szCs w:val="24"/>
        </w:rPr>
        <w:t xml:space="preserve"> </w:t>
      </w:r>
      <w:r>
        <w:rPr>
          <w:rFonts w:ascii="宋体" w:hAnsi="宋体" w:eastAsia="宋体" w:cs="宋体"/>
          <w:spacing w:val="-1"/>
          <w:sz w:val="24"/>
          <w:szCs w:val="24"/>
        </w:rPr>
        <w:t>试验，泥岩渗透系数</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2.25×10</w:t>
      </w:r>
      <w:r>
        <w:rPr>
          <w:rFonts w:ascii="Times New Roman" w:hAnsi="Times New Roman" w:eastAsia="Times New Roman" w:cs="Times New Roman"/>
          <w:spacing w:val="-1"/>
          <w:position w:val="8"/>
          <w:sz w:val="15"/>
          <w:szCs w:val="15"/>
        </w:rPr>
        <w:t>-5</w:t>
      </w:r>
      <w:r>
        <w:rPr>
          <w:rFonts w:ascii="Times New Roman" w:hAnsi="Times New Roman" w:eastAsia="Times New Roman" w:cs="Times New Roman"/>
          <w:spacing w:val="-1"/>
          <w:sz w:val="24"/>
          <w:szCs w:val="24"/>
        </w:rPr>
        <w:t>c</w:t>
      </w:r>
      <w:r>
        <w:rPr>
          <w:rFonts w:ascii="Times New Roman" w:hAnsi="Times New Roman" w:eastAsia="Times New Roman" w:cs="Times New Roman"/>
          <w:spacing w:val="-2"/>
          <w:sz w:val="24"/>
          <w:szCs w:val="24"/>
        </w:rPr>
        <w:t>m/s</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，防污性能中等。</w:t>
      </w:r>
    </w:p>
    <w:p w14:paraId="43810EE0">
      <w:pPr>
        <w:spacing w:before="3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）补径排条件</w:t>
      </w:r>
    </w:p>
    <w:p w14:paraId="66F52C34">
      <w:pPr>
        <w:spacing w:before="184" w:line="344" w:lineRule="auto"/>
        <w:ind w:left="9" w:right="61" w:firstLine="478"/>
        <w:rPr>
          <w:rFonts w:ascii="宋体" w:hAnsi="宋体" w:eastAsia="宋体" w:cs="宋体"/>
          <w:sz w:val="24"/>
          <w:szCs w:val="24"/>
        </w:rPr>
      </w:pPr>
      <w:r>
        <w:rPr>
          <w:rFonts w:ascii="宋体" w:hAnsi="宋体" w:eastAsia="宋体" w:cs="宋体"/>
          <w:spacing w:val="-2"/>
          <w:sz w:val="24"/>
          <w:szCs w:val="24"/>
        </w:rPr>
        <w:t>碎屑岩类孔隙裂隙水主要接受北部熔岩台地玄武岩孔洞裂隙水侧向补给，同时接受</w:t>
      </w:r>
      <w:r>
        <w:rPr>
          <w:rFonts w:ascii="宋体" w:hAnsi="宋体" w:eastAsia="宋体" w:cs="宋体"/>
          <w:spacing w:val="14"/>
          <w:sz w:val="24"/>
          <w:szCs w:val="24"/>
        </w:rPr>
        <w:t xml:space="preserve"> </w:t>
      </w:r>
      <w:r>
        <w:rPr>
          <w:rFonts w:ascii="宋体" w:hAnsi="宋体" w:eastAsia="宋体" w:cs="宋体"/>
          <w:spacing w:val="-2"/>
          <w:sz w:val="24"/>
          <w:szCs w:val="24"/>
        </w:rPr>
        <w:t>本含水岩组的侧向径流补给及零星的大气降水的垂直入渗补给，向下游东北方向径流，</w:t>
      </w:r>
      <w:r>
        <w:rPr>
          <w:rFonts w:ascii="宋体" w:hAnsi="宋体" w:eastAsia="宋体" w:cs="宋体"/>
          <w:spacing w:val="16"/>
          <w:sz w:val="24"/>
          <w:szCs w:val="24"/>
        </w:rPr>
        <w:t xml:space="preserve"> </w:t>
      </w:r>
      <w:r>
        <w:rPr>
          <w:rFonts w:ascii="宋体" w:hAnsi="宋体" w:eastAsia="宋体" w:cs="宋体"/>
          <w:spacing w:val="-1"/>
          <w:sz w:val="24"/>
          <w:szCs w:val="24"/>
        </w:rPr>
        <w:t>以地下水径流方式排泄。为项目区地下水补给、径流区。</w:t>
      </w:r>
    </w:p>
    <w:p w14:paraId="1CE1413A">
      <w:pPr>
        <w:spacing w:line="344" w:lineRule="auto"/>
        <w:rPr>
          <w:rFonts w:ascii="宋体" w:hAnsi="宋体" w:eastAsia="宋体" w:cs="宋体"/>
          <w:sz w:val="24"/>
          <w:szCs w:val="24"/>
        </w:rPr>
        <w:sectPr>
          <w:footerReference r:id="rId322" w:type="default"/>
          <w:pgSz w:w="11906" w:h="16839"/>
          <w:pgMar w:top="1190" w:right="1356" w:bottom="1427" w:left="1417" w:header="882" w:footer="1265" w:gutter="0"/>
          <w:cols w:space="720" w:num="1"/>
        </w:sectPr>
      </w:pPr>
    </w:p>
    <w:p w14:paraId="5EE1C11E">
      <w:pPr>
        <w:spacing w:line="28" w:lineRule="exact"/>
      </w:pPr>
      <w:r>
        <w:pict>
          <v:shape id="_x0000_s1818" o:spid="_x0000_s1818" style="height:1.45pt;width:453.65pt;" fillcolor="#000000" filled="t" stroked="f" coordsize="9072,29" path="m0,0l9072,0,9072,28,0,28,0,0xe">
            <v:path/>
            <v:fill on="t" focussize="0,0"/>
            <v:stroke on="f"/>
            <v:imagedata o:title=""/>
            <o:lock v:ext="edit"/>
            <w10:wrap type="none"/>
            <w10:anchorlock/>
          </v:shape>
        </w:pict>
      </w:r>
    </w:p>
    <w:p w14:paraId="51704FD3">
      <w:pPr>
        <w:spacing w:before="234"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）水力联系</w:t>
      </w:r>
    </w:p>
    <w:p w14:paraId="15C9D640">
      <w:pPr>
        <w:spacing w:before="181" w:line="350" w:lineRule="auto"/>
        <w:ind w:left="7" w:right="1" w:firstLine="480"/>
        <w:rPr>
          <w:rFonts w:ascii="宋体" w:hAnsi="宋体" w:eastAsia="宋体" w:cs="宋体"/>
          <w:sz w:val="24"/>
          <w:szCs w:val="24"/>
        </w:rPr>
      </w:pPr>
      <w:r>
        <w:rPr>
          <w:rFonts w:ascii="宋体" w:hAnsi="宋体" w:eastAsia="宋体" w:cs="宋体"/>
          <w:spacing w:val="-2"/>
          <w:sz w:val="24"/>
          <w:szCs w:val="24"/>
        </w:rPr>
        <w:t>碎屑岩类孔隙裂隙水与其下部玄武岩孔洞裂隙水直接相接，水力联系较好，总体来</w:t>
      </w:r>
      <w:r>
        <w:rPr>
          <w:rFonts w:ascii="宋体" w:hAnsi="宋体" w:eastAsia="宋体" w:cs="宋体"/>
          <w:spacing w:val="14"/>
          <w:sz w:val="24"/>
          <w:szCs w:val="24"/>
        </w:rPr>
        <w:t xml:space="preserve"> </w:t>
      </w:r>
      <w:r>
        <w:rPr>
          <w:rFonts w:ascii="宋体" w:hAnsi="宋体" w:eastAsia="宋体" w:cs="宋体"/>
          <w:spacing w:val="-2"/>
          <w:sz w:val="24"/>
          <w:szCs w:val="24"/>
        </w:rPr>
        <w:t>看，项目运营中主要会影响碎屑岩类孔隙裂隙水、沟谷内的第四系松散岩类孔隙潜水，</w:t>
      </w:r>
      <w:r>
        <w:rPr>
          <w:rFonts w:ascii="宋体" w:hAnsi="宋体" w:eastAsia="宋体" w:cs="宋体"/>
          <w:spacing w:val="18"/>
          <w:sz w:val="24"/>
          <w:szCs w:val="24"/>
        </w:rPr>
        <w:t xml:space="preserve"> </w:t>
      </w:r>
      <w:r>
        <w:rPr>
          <w:rFonts w:ascii="宋体" w:hAnsi="宋体" w:eastAsia="宋体" w:cs="宋体"/>
          <w:spacing w:val="-1"/>
          <w:sz w:val="24"/>
          <w:szCs w:val="24"/>
        </w:rPr>
        <w:t>对下部水难以产生影响。</w:t>
      </w:r>
    </w:p>
    <w:p w14:paraId="6806B939">
      <w:pPr>
        <w:spacing w:before="43" w:line="222" w:lineRule="auto"/>
        <w:ind w:left="3"/>
        <w:outlineLvl w:val="2"/>
        <w:rPr>
          <w:rFonts w:ascii="黑体" w:hAnsi="黑体" w:eastAsia="黑体" w:cs="黑体"/>
          <w:sz w:val="30"/>
          <w:szCs w:val="30"/>
        </w:rPr>
      </w:pPr>
      <w:bookmarkStart w:id="372" w:name="bookmark212"/>
      <w:bookmarkEnd w:id="372"/>
      <w:r>
        <w:rPr>
          <w:rFonts w:ascii="Times New Roman" w:hAnsi="Times New Roman" w:eastAsia="Times New Roman" w:cs="Times New Roman"/>
          <w:spacing w:val="-1"/>
          <w:sz w:val="30"/>
          <w:szCs w:val="30"/>
        </w:rPr>
        <w:t xml:space="preserve">4.3.2 </w:t>
      </w:r>
      <w:r>
        <w:rPr>
          <w:rFonts w:ascii="黑体" w:hAnsi="黑体" w:eastAsia="黑体" w:cs="黑体"/>
          <w:spacing w:val="-1"/>
          <w:sz w:val="30"/>
          <w:szCs w:val="30"/>
        </w:rPr>
        <w:t>地下水影响分析</w:t>
      </w:r>
    </w:p>
    <w:p w14:paraId="5E3E2B6F">
      <w:pPr>
        <w:spacing w:before="219" w:line="222" w:lineRule="auto"/>
        <w:ind w:left="3"/>
        <w:outlineLvl w:val="3"/>
        <w:rPr>
          <w:rFonts w:ascii="黑体" w:hAnsi="黑体" w:eastAsia="黑体" w:cs="黑体"/>
          <w:sz w:val="28"/>
          <w:szCs w:val="28"/>
        </w:rPr>
      </w:pPr>
      <w:r>
        <w:fldChar w:fldCharType="begin"/>
      </w:r>
      <w:r>
        <w:instrText xml:space="preserve"> HYPERLINK "4.3.2.1" </w:instrText>
      </w:r>
      <w:r>
        <w:fldChar w:fldCharType="separate"/>
      </w:r>
      <w:r>
        <w:rPr>
          <w:rFonts w:ascii="Times New Roman" w:hAnsi="Times New Roman" w:eastAsia="Times New Roman" w:cs="Times New Roman"/>
          <w:spacing w:val="-1"/>
          <w:sz w:val="28"/>
          <w:szCs w:val="28"/>
        </w:rPr>
        <w:t>4.3.2.1</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 xml:space="preserve"> </w:t>
      </w:r>
      <w:r>
        <w:rPr>
          <w:rFonts w:ascii="黑体" w:hAnsi="黑体" w:eastAsia="黑体" w:cs="黑体"/>
          <w:spacing w:val="-1"/>
          <w:sz w:val="28"/>
          <w:szCs w:val="28"/>
        </w:rPr>
        <w:t>地下水流数值模型</w:t>
      </w:r>
    </w:p>
    <w:p w14:paraId="7FFE3B9C">
      <w:pPr>
        <w:spacing w:before="203"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）含水层概化</w:t>
      </w:r>
    </w:p>
    <w:p w14:paraId="53A74D01">
      <w:pPr>
        <w:spacing w:before="187" w:line="356" w:lineRule="auto"/>
        <w:ind w:left="9" w:firstLine="478"/>
        <w:rPr>
          <w:rFonts w:ascii="宋体" w:hAnsi="宋体" w:eastAsia="宋体" w:cs="宋体"/>
          <w:sz w:val="24"/>
          <w:szCs w:val="24"/>
        </w:rPr>
      </w:pPr>
      <w:r>
        <w:rPr>
          <w:rFonts w:ascii="宋体" w:hAnsi="宋体" w:eastAsia="宋体" w:cs="宋体"/>
          <w:spacing w:val="3"/>
          <w:sz w:val="24"/>
          <w:szCs w:val="24"/>
        </w:rPr>
        <w:t>评价区地下水类型为第四系上更新统</w:t>
      </w:r>
      <w:r>
        <w:rPr>
          <w:rFonts w:ascii="Times New Roman" w:hAnsi="Times New Roman" w:eastAsia="Times New Roman" w:cs="Times New Roman"/>
          <w:spacing w:val="3"/>
          <w:sz w:val="24"/>
          <w:szCs w:val="24"/>
        </w:rPr>
        <w:t>-</w:t>
      </w:r>
      <w:r>
        <w:rPr>
          <w:rFonts w:ascii="宋体" w:hAnsi="宋体" w:eastAsia="宋体" w:cs="宋体"/>
          <w:spacing w:val="3"/>
          <w:sz w:val="24"/>
          <w:szCs w:val="24"/>
        </w:rPr>
        <w:t>全新统松散岩类孔隙潜水。因</w:t>
      </w:r>
      <w:r>
        <w:rPr>
          <w:rFonts w:ascii="宋体" w:hAnsi="宋体" w:eastAsia="宋体" w:cs="宋体"/>
          <w:spacing w:val="2"/>
          <w:sz w:val="24"/>
          <w:szCs w:val="24"/>
        </w:rPr>
        <w:t>此，本次模拟</w:t>
      </w:r>
      <w:r>
        <w:rPr>
          <w:rFonts w:ascii="宋体" w:hAnsi="宋体" w:eastAsia="宋体" w:cs="宋体"/>
          <w:sz w:val="24"/>
          <w:szCs w:val="24"/>
        </w:rPr>
        <w:t xml:space="preserve"> </w:t>
      </w:r>
      <w:r>
        <w:rPr>
          <w:rFonts w:ascii="宋体" w:hAnsi="宋体" w:eastAsia="宋体" w:cs="宋体"/>
          <w:spacing w:val="3"/>
          <w:sz w:val="24"/>
          <w:szCs w:val="24"/>
        </w:rPr>
        <w:t>目的含水层为第四系上更新统</w:t>
      </w:r>
      <w:r>
        <w:rPr>
          <w:rFonts w:ascii="Times New Roman" w:hAnsi="Times New Roman" w:eastAsia="Times New Roman" w:cs="Times New Roman"/>
          <w:spacing w:val="3"/>
          <w:sz w:val="24"/>
          <w:szCs w:val="24"/>
        </w:rPr>
        <w:t>-</w:t>
      </w:r>
      <w:r>
        <w:rPr>
          <w:rFonts w:ascii="宋体" w:hAnsi="宋体" w:eastAsia="宋体" w:cs="宋体"/>
          <w:spacing w:val="3"/>
          <w:sz w:val="24"/>
          <w:szCs w:val="24"/>
        </w:rPr>
        <w:t>全新统松散岩类孔隙潜</w:t>
      </w:r>
      <w:r>
        <w:rPr>
          <w:rFonts w:ascii="宋体" w:hAnsi="宋体" w:eastAsia="宋体" w:cs="宋体"/>
          <w:spacing w:val="2"/>
          <w:sz w:val="24"/>
          <w:szCs w:val="24"/>
        </w:rPr>
        <w:t>水，计算的目的层为第四系上更</w:t>
      </w:r>
      <w:r>
        <w:rPr>
          <w:rFonts w:ascii="宋体" w:hAnsi="宋体" w:eastAsia="宋体" w:cs="宋体"/>
          <w:sz w:val="24"/>
          <w:szCs w:val="24"/>
        </w:rPr>
        <w:t xml:space="preserve"> </w:t>
      </w:r>
      <w:r>
        <w:rPr>
          <w:rFonts w:ascii="宋体" w:hAnsi="宋体" w:eastAsia="宋体" w:cs="宋体"/>
          <w:spacing w:val="3"/>
          <w:sz w:val="24"/>
          <w:szCs w:val="24"/>
        </w:rPr>
        <w:t>新统</w:t>
      </w:r>
      <w:r>
        <w:rPr>
          <w:rFonts w:ascii="Times New Roman" w:hAnsi="Times New Roman" w:eastAsia="Times New Roman" w:cs="Times New Roman"/>
          <w:spacing w:val="3"/>
          <w:sz w:val="24"/>
          <w:szCs w:val="24"/>
        </w:rPr>
        <w:t>-</w:t>
      </w:r>
      <w:r>
        <w:rPr>
          <w:rFonts w:ascii="宋体" w:hAnsi="宋体" w:eastAsia="宋体" w:cs="宋体"/>
          <w:spacing w:val="3"/>
          <w:sz w:val="24"/>
          <w:szCs w:val="24"/>
        </w:rPr>
        <w:t>全新统松散岩类孔隙潜水含水层。潜水含水层介</w:t>
      </w:r>
      <w:r>
        <w:rPr>
          <w:rFonts w:ascii="宋体" w:hAnsi="宋体" w:eastAsia="宋体" w:cs="宋体"/>
          <w:spacing w:val="2"/>
          <w:sz w:val="24"/>
          <w:szCs w:val="24"/>
        </w:rPr>
        <w:t>质颗粒粒径由南向北逐渐变细，</w:t>
      </w:r>
      <w:r>
        <w:rPr>
          <w:rFonts w:ascii="宋体" w:hAnsi="宋体" w:eastAsia="宋体" w:cs="宋体"/>
          <w:sz w:val="24"/>
          <w:szCs w:val="24"/>
        </w:rPr>
        <w:t xml:space="preserve"> </w:t>
      </w:r>
      <w:r>
        <w:rPr>
          <w:rFonts w:ascii="宋体" w:hAnsi="宋体" w:eastAsia="宋体" w:cs="宋体"/>
          <w:spacing w:val="-2"/>
          <w:sz w:val="24"/>
          <w:szCs w:val="24"/>
        </w:rPr>
        <w:t>属非均质地下水含水系统；区内地下水动态随着降水量、开采量等季节变化而变化，属</w:t>
      </w:r>
      <w:r>
        <w:rPr>
          <w:rFonts w:ascii="宋体" w:hAnsi="宋体" w:eastAsia="宋体" w:cs="宋体"/>
          <w:spacing w:val="16"/>
          <w:sz w:val="24"/>
          <w:szCs w:val="24"/>
        </w:rPr>
        <w:t xml:space="preserve"> </w:t>
      </w:r>
      <w:r>
        <w:rPr>
          <w:rFonts w:ascii="宋体" w:hAnsi="宋体" w:eastAsia="宋体" w:cs="宋体"/>
          <w:spacing w:val="-2"/>
          <w:sz w:val="24"/>
          <w:szCs w:val="24"/>
        </w:rPr>
        <w:t>非稳定地下水流系统；但由于本项目关注的主要地下水环境问题是建设项目对地下水水</w:t>
      </w:r>
      <w:r>
        <w:rPr>
          <w:rFonts w:ascii="宋体" w:hAnsi="宋体" w:eastAsia="宋体" w:cs="宋体"/>
          <w:spacing w:val="16"/>
          <w:sz w:val="24"/>
          <w:szCs w:val="24"/>
        </w:rPr>
        <w:t xml:space="preserve"> </w:t>
      </w:r>
      <w:r>
        <w:rPr>
          <w:rFonts w:ascii="宋体" w:hAnsi="宋体" w:eastAsia="宋体" w:cs="宋体"/>
          <w:spacing w:val="-2"/>
          <w:sz w:val="24"/>
          <w:szCs w:val="24"/>
        </w:rPr>
        <w:t>质的影响，项目对地下水水位和水量影响甚微；且根据对区内地下水流场调查可知，区</w:t>
      </w:r>
      <w:r>
        <w:rPr>
          <w:rFonts w:ascii="宋体" w:hAnsi="宋体" w:eastAsia="宋体" w:cs="宋体"/>
          <w:spacing w:val="16"/>
          <w:sz w:val="24"/>
          <w:szCs w:val="24"/>
        </w:rPr>
        <w:t xml:space="preserve"> </w:t>
      </w:r>
      <w:r>
        <w:rPr>
          <w:rFonts w:ascii="宋体" w:hAnsi="宋体" w:eastAsia="宋体" w:cs="宋体"/>
          <w:spacing w:val="-2"/>
          <w:sz w:val="24"/>
          <w:szCs w:val="24"/>
        </w:rPr>
        <w:t>内地下水流场形状随季节变化不明显，水位的变化只表现为整体抬升或整体下降，地下</w:t>
      </w:r>
      <w:r>
        <w:rPr>
          <w:rFonts w:ascii="宋体" w:hAnsi="宋体" w:eastAsia="宋体" w:cs="宋体"/>
          <w:spacing w:val="16"/>
          <w:sz w:val="24"/>
          <w:szCs w:val="24"/>
        </w:rPr>
        <w:t xml:space="preserve"> </w:t>
      </w:r>
      <w:r>
        <w:rPr>
          <w:rFonts w:ascii="宋体" w:hAnsi="宋体" w:eastAsia="宋体" w:cs="宋体"/>
          <w:spacing w:val="5"/>
          <w:sz w:val="24"/>
          <w:szCs w:val="24"/>
        </w:rPr>
        <w:t>水年内动态变化过程中水力梯度以及与地下水溶质运移扩散对流项直接相</w:t>
      </w:r>
      <w:r>
        <w:rPr>
          <w:rFonts w:ascii="宋体" w:hAnsi="宋体" w:eastAsia="宋体" w:cs="宋体"/>
          <w:spacing w:val="4"/>
          <w:sz w:val="24"/>
          <w:szCs w:val="24"/>
        </w:rPr>
        <w:t>关的地下水</w:t>
      </w:r>
      <w:r>
        <w:rPr>
          <w:rFonts w:ascii="宋体" w:hAnsi="宋体" w:eastAsia="宋体" w:cs="宋体"/>
          <w:sz w:val="24"/>
          <w:szCs w:val="24"/>
        </w:rPr>
        <w:t xml:space="preserve"> </w:t>
      </w:r>
      <w:r>
        <w:rPr>
          <w:rFonts w:ascii="宋体" w:hAnsi="宋体" w:eastAsia="宋体" w:cs="宋体"/>
          <w:spacing w:val="-2"/>
          <w:sz w:val="24"/>
          <w:szCs w:val="24"/>
        </w:rPr>
        <w:t>流速年内不会发生较大变化，因此，在模拟过程中适当简化，将地下水流态概化为稳定</w:t>
      </w:r>
      <w:r>
        <w:rPr>
          <w:rFonts w:ascii="宋体" w:hAnsi="宋体" w:eastAsia="宋体" w:cs="宋体"/>
          <w:spacing w:val="16"/>
          <w:sz w:val="24"/>
          <w:szCs w:val="24"/>
        </w:rPr>
        <w:t xml:space="preserve"> </w:t>
      </w:r>
      <w:r>
        <w:rPr>
          <w:rFonts w:ascii="宋体" w:hAnsi="宋体" w:eastAsia="宋体" w:cs="宋体"/>
          <w:sz w:val="24"/>
          <w:szCs w:val="24"/>
        </w:rPr>
        <w:t>流。因此，本次模拟将地下水流系统概化为二维</w:t>
      </w:r>
      <w:r>
        <w:rPr>
          <w:rFonts w:ascii="宋体" w:hAnsi="宋体" w:eastAsia="宋体" w:cs="宋体"/>
          <w:spacing w:val="-1"/>
          <w:sz w:val="24"/>
          <w:szCs w:val="24"/>
        </w:rPr>
        <w:t>非均质稳定地下水流系统。</w:t>
      </w:r>
    </w:p>
    <w:p w14:paraId="2B095252">
      <w:pPr>
        <w:spacing w:before="37"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）数学模型</w:t>
      </w:r>
    </w:p>
    <w:p w14:paraId="39308A09">
      <w:pPr>
        <w:spacing w:before="179" w:line="347" w:lineRule="auto"/>
        <w:ind w:left="9" w:right="1" w:firstLine="480"/>
        <w:rPr>
          <w:rFonts w:ascii="宋体" w:hAnsi="宋体" w:eastAsia="宋体" w:cs="宋体"/>
          <w:sz w:val="24"/>
          <w:szCs w:val="24"/>
        </w:rPr>
      </w:pPr>
      <w:r>
        <w:rPr>
          <w:rFonts w:ascii="宋体" w:hAnsi="宋体" w:eastAsia="宋体" w:cs="宋体"/>
          <w:spacing w:val="-2"/>
          <w:sz w:val="24"/>
          <w:szCs w:val="24"/>
        </w:rPr>
        <w:t>本模拟区地下水流系统概化为非均质、各向同性、二维结构稳定流，可用如下微分</w:t>
      </w:r>
      <w:r>
        <w:rPr>
          <w:rFonts w:ascii="宋体" w:hAnsi="宋体" w:eastAsia="宋体" w:cs="宋体"/>
          <w:spacing w:val="12"/>
          <w:sz w:val="24"/>
          <w:szCs w:val="24"/>
        </w:rPr>
        <w:t xml:space="preserve"> </w:t>
      </w:r>
      <w:r>
        <w:rPr>
          <w:rFonts w:ascii="宋体" w:hAnsi="宋体" w:eastAsia="宋体" w:cs="宋体"/>
          <w:spacing w:val="-1"/>
          <w:sz w:val="24"/>
          <w:szCs w:val="24"/>
        </w:rPr>
        <w:t>方程的定解问题来描述：</w:t>
      </w:r>
    </w:p>
    <w:p w14:paraId="25497AA1">
      <w:pPr>
        <w:spacing w:before="175" w:line="2255" w:lineRule="exact"/>
        <w:ind w:firstLine="438"/>
      </w:pPr>
      <w:r>
        <w:rPr>
          <w:position w:val="-45"/>
        </w:rPr>
        <w:drawing>
          <wp:inline distT="0" distB="0" distL="0" distR="0">
            <wp:extent cx="3908425" cy="1431290"/>
            <wp:effectExtent l="0" t="0" r="0" b="0"/>
            <wp:docPr id="154" name="IM 154"/>
            <wp:cNvGraphicFramePr/>
            <a:graphic xmlns:a="http://schemas.openxmlformats.org/drawingml/2006/main">
              <a:graphicData uri="http://schemas.openxmlformats.org/drawingml/2006/picture">
                <pic:pic xmlns:pic="http://schemas.openxmlformats.org/drawingml/2006/picture">
                  <pic:nvPicPr>
                    <pic:cNvPr id="154" name="IM 154"/>
                    <pic:cNvPicPr/>
                  </pic:nvPicPr>
                  <pic:blipFill>
                    <a:blip r:embed="rId653"/>
                    <a:stretch>
                      <a:fillRect/>
                    </a:stretch>
                  </pic:blipFill>
                  <pic:spPr>
                    <a:xfrm>
                      <a:off x="0" y="0"/>
                      <a:ext cx="3908753" cy="1431874"/>
                    </a:xfrm>
                    <a:prstGeom prst="rect">
                      <a:avLst/>
                    </a:prstGeom>
                  </pic:spPr>
                </pic:pic>
              </a:graphicData>
            </a:graphic>
          </wp:inline>
        </w:drawing>
      </w:r>
    </w:p>
    <w:p w14:paraId="2BA6F897">
      <w:pPr>
        <w:spacing w:before="210" w:line="344" w:lineRule="auto"/>
        <w:ind w:left="1202" w:right="5414" w:hanging="709"/>
        <w:rPr>
          <w:rFonts w:ascii="宋体" w:hAnsi="宋体" w:eastAsia="宋体" w:cs="宋体"/>
          <w:sz w:val="24"/>
          <w:szCs w:val="24"/>
        </w:rPr>
      </w:pPr>
      <w:r>
        <w:rPr>
          <w:rFonts w:ascii="宋体" w:hAnsi="宋体" w:eastAsia="宋体" w:cs="宋体"/>
          <w:spacing w:val="-2"/>
          <w:sz w:val="24"/>
          <w:szCs w:val="24"/>
        </w:rPr>
        <w:t>式中：</w:t>
      </w:r>
      <w:r>
        <w:rPr>
          <w:rFonts w:ascii="Times New Roman" w:hAnsi="Times New Roman" w:eastAsia="Times New Roman" w:cs="Times New Roman"/>
          <w:spacing w:val="-2"/>
          <w:sz w:val="24"/>
          <w:szCs w:val="24"/>
        </w:rPr>
        <w:t>H—</w:t>
      </w:r>
      <w:r>
        <w:rPr>
          <w:rFonts w:ascii="宋体" w:hAnsi="宋体" w:eastAsia="宋体" w:cs="宋体"/>
          <w:spacing w:val="-2"/>
          <w:sz w:val="24"/>
          <w:szCs w:val="24"/>
        </w:rPr>
        <w:t>地下水水头（</w:t>
      </w:r>
      <w:r>
        <w:rPr>
          <w:rFonts w:ascii="Times New Roman" w:hAnsi="Times New Roman" w:eastAsia="Times New Roman" w:cs="Times New Roman"/>
          <w:spacing w:val="-2"/>
          <w:sz w:val="24"/>
          <w:szCs w:val="24"/>
        </w:rPr>
        <w:t>m</w:t>
      </w:r>
      <w:r>
        <w:rPr>
          <w:rFonts w:ascii="Times New Roman" w:hAnsi="Times New Roman" w:eastAsia="Times New Roman" w:cs="Times New Roman"/>
          <w:spacing w:val="-25"/>
          <w:sz w:val="24"/>
          <w:szCs w:val="24"/>
        </w:rPr>
        <w:t xml:space="preserve"> </w:t>
      </w:r>
      <w:r>
        <w:rPr>
          <w:rFonts w:ascii="宋体" w:hAnsi="宋体" w:eastAsia="宋体" w:cs="宋体"/>
          <w:spacing w:val="-44"/>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K—</w:t>
      </w:r>
      <w:r>
        <w:rPr>
          <w:rFonts w:ascii="宋体" w:hAnsi="宋体" w:eastAsia="宋体" w:cs="宋体"/>
          <w:spacing w:val="-1"/>
          <w:sz w:val="24"/>
          <w:szCs w:val="24"/>
        </w:rPr>
        <w:t>渗透系数</w:t>
      </w:r>
      <w:r>
        <w:rPr>
          <w:rFonts w:ascii="Times New Roman" w:hAnsi="Times New Roman" w:eastAsia="Times New Roman" w:cs="Times New Roman"/>
          <w:spacing w:val="-1"/>
          <w:sz w:val="24"/>
          <w:szCs w:val="24"/>
        </w:rPr>
        <w:t>[m/d]</w:t>
      </w:r>
      <w:r>
        <w:rPr>
          <w:rFonts w:ascii="宋体" w:hAnsi="宋体" w:eastAsia="宋体" w:cs="宋体"/>
          <w:spacing w:val="-1"/>
          <w:sz w:val="24"/>
          <w:szCs w:val="24"/>
        </w:rPr>
        <w:t>；</w:t>
      </w:r>
    </w:p>
    <w:p w14:paraId="2ADA922D">
      <w:pPr>
        <w:spacing w:before="41" w:line="210" w:lineRule="auto"/>
        <w:ind w:left="1203"/>
        <w:rPr>
          <w:rFonts w:ascii="宋体" w:hAnsi="宋体" w:eastAsia="宋体" w:cs="宋体"/>
          <w:sz w:val="24"/>
          <w:szCs w:val="24"/>
        </w:rPr>
      </w:pPr>
      <w:r>
        <w:rPr>
          <w:rFonts w:ascii="Times New Roman" w:hAnsi="Times New Roman" w:eastAsia="Times New Roman" w:cs="Times New Roman"/>
          <w:spacing w:val="-1"/>
          <w:sz w:val="24"/>
          <w:szCs w:val="24"/>
        </w:rPr>
        <w:t>H</w:t>
      </w:r>
      <w:r>
        <w:rPr>
          <w:rFonts w:ascii="Times New Roman" w:hAnsi="Times New Roman" w:eastAsia="Times New Roman" w:cs="Times New Roman"/>
          <w:spacing w:val="-1"/>
          <w:position w:val="-1"/>
          <w:sz w:val="15"/>
          <w:szCs w:val="15"/>
        </w:rPr>
        <w:t>0</w:t>
      </w:r>
      <w:r>
        <w:rPr>
          <w:rFonts w:ascii="宋体" w:hAnsi="宋体" w:eastAsia="宋体" w:cs="宋体"/>
          <w:spacing w:val="-2"/>
          <w:sz w:val="24"/>
          <w:szCs w:val="24"/>
        </w:rPr>
        <w:t>（</w:t>
      </w:r>
      <w:r>
        <w:rPr>
          <w:rFonts w:ascii="Times New Roman" w:hAnsi="Times New Roman" w:eastAsia="Times New Roman" w:cs="Times New Roman"/>
          <w:spacing w:val="-2"/>
          <w:sz w:val="24"/>
          <w:szCs w:val="24"/>
        </w:rPr>
        <w:t>x</w:t>
      </w:r>
      <w:r>
        <w:rPr>
          <w:rFonts w:ascii="Times New Roman" w:hAnsi="Times New Roman" w:eastAsia="Times New Roman" w:cs="Times New Roman"/>
          <w:spacing w:val="-22"/>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y</w:t>
      </w:r>
      <w:r>
        <w:rPr>
          <w:rFonts w:ascii="宋体" w:hAnsi="宋体" w:eastAsia="宋体" w:cs="宋体"/>
          <w:spacing w:val="-2"/>
          <w:sz w:val="24"/>
          <w:szCs w:val="24"/>
        </w:rPr>
        <w:t>）</w:t>
      </w:r>
      <w:r>
        <w:rPr>
          <w:rFonts w:ascii="Times New Roman" w:hAnsi="Times New Roman" w:eastAsia="Times New Roman" w:cs="Times New Roman"/>
          <w:spacing w:val="-2"/>
          <w:sz w:val="24"/>
          <w:szCs w:val="24"/>
        </w:rPr>
        <w:t>—</w:t>
      </w:r>
      <w:r>
        <w:rPr>
          <w:rFonts w:ascii="宋体" w:hAnsi="宋体" w:eastAsia="宋体" w:cs="宋体"/>
          <w:spacing w:val="-2"/>
          <w:sz w:val="24"/>
          <w:szCs w:val="24"/>
        </w:rPr>
        <w:t>初始地下水水头函数</w:t>
      </w:r>
      <w:r>
        <w:rPr>
          <w:rFonts w:ascii="Times New Roman" w:hAnsi="Times New Roman" w:eastAsia="Times New Roman" w:cs="Times New Roman"/>
          <w:spacing w:val="-2"/>
          <w:sz w:val="24"/>
          <w:szCs w:val="24"/>
        </w:rPr>
        <w:t>[m]</w:t>
      </w:r>
      <w:r>
        <w:rPr>
          <w:rFonts w:ascii="宋体" w:hAnsi="宋体" w:eastAsia="宋体" w:cs="宋体"/>
          <w:spacing w:val="-2"/>
          <w:sz w:val="24"/>
          <w:szCs w:val="24"/>
        </w:rPr>
        <w:t>；</w:t>
      </w:r>
    </w:p>
    <w:p w14:paraId="7BA5CC1B">
      <w:pPr>
        <w:spacing w:before="192" w:line="212" w:lineRule="auto"/>
        <w:ind w:left="1203"/>
        <w:rPr>
          <w:rFonts w:ascii="宋体" w:hAnsi="宋体" w:eastAsia="宋体" w:cs="宋体"/>
          <w:sz w:val="24"/>
          <w:szCs w:val="24"/>
        </w:rPr>
      </w:pPr>
      <w:r>
        <w:rPr>
          <w:rFonts w:ascii="Times New Roman" w:hAnsi="Times New Roman" w:eastAsia="Times New Roman" w:cs="Times New Roman"/>
          <w:spacing w:val="-1"/>
          <w:sz w:val="24"/>
          <w:szCs w:val="24"/>
        </w:rPr>
        <w:t>H</w:t>
      </w:r>
      <w:r>
        <w:rPr>
          <w:rFonts w:ascii="Times New Roman" w:hAnsi="Times New Roman" w:eastAsia="Times New Roman" w:cs="Times New Roman"/>
          <w:spacing w:val="-1"/>
          <w:position w:val="-1"/>
          <w:sz w:val="15"/>
          <w:szCs w:val="15"/>
        </w:rPr>
        <w:t>1</w:t>
      </w:r>
      <w:r>
        <w:rPr>
          <w:rFonts w:ascii="宋体" w:hAnsi="宋体" w:eastAsia="宋体" w:cs="宋体"/>
          <w:spacing w:val="-2"/>
          <w:sz w:val="24"/>
          <w:szCs w:val="24"/>
        </w:rPr>
        <w:t>（</w:t>
      </w:r>
      <w:r>
        <w:rPr>
          <w:rFonts w:ascii="Times New Roman" w:hAnsi="Times New Roman" w:eastAsia="Times New Roman" w:cs="Times New Roman"/>
          <w:spacing w:val="-2"/>
          <w:sz w:val="24"/>
          <w:szCs w:val="24"/>
        </w:rPr>
        <w:t>x</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y</w:t>
      </w:r>
      <w:r>
        <w:rPr>
          <w:rFonts w:ascii="宋体" w:hAnsi="宋体" w:eastAsia="宋体" w:cs="宋体"/>
          <w:spacing w:val="-2"/>
          <w:sz w:val="24"/>
          <w:szCs w:val="24"/>
        </w:rPr>
        <w:t>）</w:t>
      </w:r>
      <w:r>
        <w:rPr>
          <w:rFonts w:ascii="Times New Roman" w:hAnsi="Times New Roman" w:eastAsia="Times New Roman" w:cs="Times New Roman"/>
          <w:spacing w:val="-2"/>
          <w:sz w:val="24"/>
          <w:szCs w:val="24"/>
        </w:rPr>
        <w:t>—</w:t>
      </w:r>
      <w:r>
        <w:rPr>
          <w:rFonts w:ascii="宋体" w:hAnsi="宋体" w:eastAsia="宋体" w:cs="宋体"/>
          <w:spacing w:val="-2"/>
          <w:sz w:val="24"/>
          <w:szCs w:val="24"/>
        </w:rPr>
        <w:t>第一类边界地下水水头函数</w:t>
      </w:r>
      <w:r>
        <w:rPr>
          <w:rFonts w:ascii="Times New Roman" w:hAnsi="Times New Roman" w:eastAsia="Times New Roman" w:cs="Times New Roman"/>
          <w:spacing w:val="-2"/>
          <w:sz w:val="24"/>
          <w:szCs w:val="24"/>
        </w:rPr>
        <w:t>[m]</w:t>
      </w:r>
      <w:r>
        <w:rPr>
          <w:rFonts w:ascii="宋体" w:hAnsi="宋体" w:eastAsia="宋体" w:cs="宋体"/>
          <w:spacing w:val="-2"/>
          <w:sz w:val="24"/>
          <w:szCs w:val="24"/>
        </w:rPr>
        <w:t>；</w:t>
      </w:r>
    </w:p>
    <w:p w14:paraId="4C11305F">
      <w:pPr>
        <w:spacing w:line="212" w:lineRule="auto"/>
        <w:rPr>
          <w:rFonts w:ascii="宋体" w:hAnsi="宋体" w:eastAsia="宋体" w:cs="宋体"/>
          <w:sz w:val="24"/>
          <w:szCs w:val="24"/>
        </w:rPr>
        <w:sectPr>
          <w:headerReference r:id="rId323" w:type="default"/>
          <w:footerReference r:id="rId324" w:type="default"/>
          <w:pgSz w:w="11906" w:h="16839"/>
          <w:pgMar w:top="1190" w:right="1416" w:bottom="1427" w:left="1417" w:header="882" w:footer="1265" w:gutter="0"/>
          <w:cols w:space="720" w:num="1"/>
        </w:sectPr>
      </w:pPr>
    </w:p>
    <w:p w14:paraId="28479522">
      <w:pPr>
        <w:spacing w:line="28" w:lineRule="exact"/>
      </w:pPr>
      <w:r>
        <w:pict>
          <v:shape id="_x0000_s1819" o:spid="_x0000_s1819" style="height:1.45pt;width:453.65pt;" fillcolor="#000000" filled="t" stroked="f" coordsize="9072,29" path="m0,0l9072,0,9072,28,0,28,0,0xe">
            <v:path/>
            <v:fill on="t" focussize="0,0"/>
            <v:stroke on="f"/>
            <v:imagedata o:title=""/>
            <o:lock v:ext="edit"/>
            <w10:wrap type="none"/>
            <w10:anchorlock/>
          </v:shape>
        </w:pict>
      </w:r>
    </w:p>
    <w:p w14:paraId="4D4A0619">
      <w:pPr>
        <w:spacing w:before="233" w:line="333" w:lineRule="auto"/>
        <w:ind w:left="1206" w:right="801"/>
        <w:rPr>
          <w:rFonts w:ascii="宋体" w:hAnsi="宋体" w:eastAsia="宋体" w:cs="宋体"/>
          <w:sz w:val="24"/>
          <w:szCs w:val="24"/>
        </w:rPr>
      </w:pPr>
      <w:r>
        <w:rPr>
          <w:rFonts w:ascii="Times New Roman" w:hAnsi="Times New Roman" w:eastAsia="Times New Roman" w:cs="Times New Roman"/>
          <w:spacing w:val="-3"/>
          <w:sz w:val="24"/>
          <w:szCs w:val="24"/>
        </w:rPr>
        <w:t>q</w:t>
      </w:r>
      <w:r>
        <w:rPr>
          <w:rFonts w:ascii="宋体" w:hAnsi="宋体" w:eastAsia="宋体" w:cs="宋体"/>
          <w:spacing w:val="-3"/>
          <w:sz w:val="24"/>
          <w:szCs w:val="24"/>
        </w:rPr>
        <w:t>（</w:t>
      </w:r>
      <w:r>
        <w:rPr>
          <w:rFonts w:ascii="Times New Roman" w:hAnsi="Times New Roman" w:eastAsia="Times New Roman" w:cs="Times New Roman"/>
          <w:spacing w:val="-3"/>
          <w:sz w:val="24"/>
          <w:szCs w:val="24"/>
        </w:rPr>
        <w:t>x</w:t>
      </w:r>
      <w:r>
        <w:rPr>
          <w:rFonts w:ascii="Times New Roman" w:hAnsi="Times New Roman" w:eastAsia="Times New Roman" w:cs="Times New Roman"/>
          <w:spacing w:val="-29"/>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y</w:t>
      </w:r>
      <w:r>
        <w:rPr>
          <w:rFonts w:ascii="宋体" w:hAnsi="宋体" w:eastAsia="宋体" w:cs="宋体"/>
          <w:spacing w:val="-3"/>
          <w:sz w:val="24"/>
          <w:szCs w:val="24"/>
        </w:rPr>
        <w:t>）</w:t>
      </w:r>
      <w:r>
        <w:rPr>
          <w:rFonts w:ascii="Times New Roman" w:hAnsi="Times New Roman" w:eastAsia="Times New Roman" w:cs="Times New Roman"/>
          <w:spacing w:val="-3"/>
          <w:sz w:val="24"/>
          <w:szCs w:val="24"/>
        </w:rPr>
        <w:t>—</w:t>
      </w:r>
      <w:r>
        <w:rPr>
          <w:rFonts w:ascii="宋体" w:hAnsi="宋体" w:eastAsia="宋体" w:cs="宋体"/>
          <w:spacing w:val="-3"/>
          <w:sz w:val="24"/>
          <w:szCs w:val="24"/>
        </w:rPr>
        <w:t>含水层二类边界单位面积过水断面补给流量函数</w:t>
      </w:r>
      <w:r>
        <w:rPr>
          <w:rFonts w:ascii="Times New Roman" w:hAnsi="Times New Roman" w:eastAsia="Times New Roman" w:cs="Times New Roman"/>
          <w:spacing w:val="-3"/>
          <w:sz w:val="24"/>
          <w:szCs w:val="24"/>
        </w:rPr>
        <w:t>[m/d]</w:t>
      </w:r>
      <w:r>
        <w:rPr>
          <w:rFonts w:ascii="宋体" w:hAnsi="宋体" w:eastAsia="宋体" w:cs="宋体"/>
          <w:spacing w:val="-3"/>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ε—</w:t>
      </w:r>
      <w:r>
        <w:rPr>
          <w:rFonts w:ascii="宋体" w:hAnsi="宋体" w:eastAsia="宋体" w:cs="宋体"/>
          <w:spacing w:val="-1"/>
          <w:sz w:val="24"/>
          <w:szCs w:val="24"/>
        </w:rPr>
        <w:t>源汇项强度（包括开采强度等）</w:t>
      </w:r>
      <w:r>
        <w:rPr>
          <w:rFonts w:ascii="Times New Roman" w:hAnsi="Times New Roman" w:eastAsia="Times New Roman" w:cs="Times New Roman"/>
          <w:spacing w:val="-1"/>
          <w:sz w:val="24"/>
          <w:szCs w:val="24"/>
        </w:rPr>
        <w:t>[m/d]</w:t>
      </w:r>
      <w:r>
        <w:rPr>
          <w:rFonts w:ascii="宋体" w:hAnsi="宋体" w:eastAsia="宋体" w:cs="宋体"/>
          <w:spacing w:val="-1"/>
          <w:sz w:val="24"/>
          <w:szCs w:val="24"/>
        </w:rPr>
        <w:t>；</w:t>
      </w:r>
    </w:p>
    <w:p w14:paraId="2DA1535B">
      <w:pPr>
        <w:spacing w:before="67" w:line="220" w:lineRule="auto"/>
        <w:ind w:left="1205"/>
        <w:rPr>
          <w:rFonts w:ascii="宋体" w:hAnsi="宋体" w:eastAsia="宋体" w:cs="宋体"/>
          <w:sz w:val="24"/>
          <w:szCs w:val="24"/>
        </w:rPr>
      </w:pPr>
      <w:r>
        <w:rPr>
          <w:rFonts w:ascii="Times New Roman" w:hAnsi="Times New Roman" w:eastAsia="Times New Roman" w:cs="Times New Roman"/>
          <w:spacing w:val="-1"/>
          <w:sz w:val="24"/>
          <w:szCs w:val="24"/>
        </w:rPr>
        <w:t>Ω—</w:t>
      </w:r>
      <w:r>
        <w:rPr>
          <w:rFonts w:ascii="宋体" w:hAnsi="宋体" w:eastAsia="宋体" w:cs="宋体"/>
          <w:spacing w:val="-1"/>
          <w:sz w:val="24"/>
          <w:szCs w:val="24"/>
        </w:rPr>
        <w:t>渗流区域；</w:t>
      </w:r>
    </w:p>
    <w:p w14:paraId="4A491778">
      <w:pPr>
        <w:spacing w:before="179" w:line="347" w:lineRule="auto"/>
        <w:ind w:left="1203" w:right="4096"/>
        <w:rPr>
          <w:rFonts w:ascii="宋体" w:hAnsi="宋体" w:eastAsia="宋体" w:cs="宋体"/>
          <w:sz w:val="24"/>
          <w:szCs w:val="24"/>
        </w:rPr>
      </w:pPr>
      <w:r>
        <w:rPr>
          <w:rFonts w:ascii="Times New Roman" w:hAnsi="Times New Roman" w:eastAsia="Times New Roman" w:cs="Times New Roman"/>
          <w:spacing w:val="-4"/>
          <w:sz w:val="24"/>
          <w:szCs w:val="24"/>
        </w:rPr>
        <w:t>B</w:t>
      </w:r>
      <w:r>
        <w:rPr>
          <w:rFonts w:ascii="Times New Roman" w:hAnsi="Times New Roman" w:eastAsia="Times New Roman" w:cs="Times New Roman"/>
          <w:spacing w:val="-4"/>
          <w:position w:val="-1"/>
          <w:sz w:val="15"/>
          <w:szCs w:val="15"/>
        </w:rPr>
        <w:t>1</w:t>
      </w:r>
      <w:r>
        <w:rPr>
          <w:rFonts w:ascii="Times New Roman" w:hAnsi="Times New Roman" w:eastAsia="Times New Roman" w:cs="Times New Roman"/>
          <w:spacing w:val="-4"/>
          <w:sz w:val="24"/>
          <w:szCs w:val="24"/>
        </w:rPr>
        <w:t>—</w:t>
      </w:r>
      <w:r>
        <w:rPr>
          <w:rFonts w:ascii="宋体" w:hAnsi="宋体" w:eastAsia="宋体" w:cs="宋体"/>
          <w:spacing w:val="-4"/>
          <w:sz w:val="24"/>
          <w:szCs w:val="24"/>
        </w:rPr>
        <w:t>为水头已知边界，第一类边界；</w:t>
      </w:r>
      <w:r>
        <w:rPr>
          <w:rFonts w:ascii="宋体" w:hAnsi="宋体" w:eastAsia="宋体" w:cs="宋体"/>
          <w:spacing w:val="4"/>
          <w:sz w:val="24"/>
          <w:szCs w:val="24"/>
        </w:rPr>
        <w:t xml:space="preserve"> </w:t>
      </w:r>
      <w:r>
        <w:rPr>
          <w:rFonts w:ascii="Times New Roman" w:hAnsi="Times New Roman" w:eastAsia="Times New Roman" w:cs="Times New Roman"/>
          <w:spacing w:val="-4"/>
          <w:sz w:val="24"/>
          <w:szCs w:val="24"/>
        </w:rPr>
        <w:t>B</w:t>
      </w:r>
      <w:r>
        <w:rPr>
          <w:rFonts w:ascii="Times New Roman" w:hAnsi="Times New Roman" w:eastAsia="Times New Roman" w:cs="Times New Roman"/>
          <w:spacing w:val="-4"/>
          <w:position w:val="-1"/>
          <w:sz w:val="15"/>
          <w:szCs w:val="15"/>
        </w:rPr>
        <w:t>2</w:t>
      </w:r>
      <w:r>
        <w:rPr>
          <w:rFonts w:ascii="Times New Roman" w:hAnsi="Times New Roman" w:eastAsia="Times New Roman" w:cs="Times New Roman"/>
          <w:spacing w:val="-4"/>
          <w:sz w:val="24"/>
          <w:szCs w:val="24"/>
        </w:rPr>
        <w:t>—</w:t>
      </w:r>
      <w:r>
        <w:rPr>
          <w:rFonts w:ascii="宋体" w:hAnsi="宋体" w:eastAsia="宋体" w:cs="宋体"/>
          <w:spacing w:val="-4"/>
          <w:sz w:val="24"/>
          <w:szCs w:val="24"/>
        </w:rPr>
        <w:t>为流量已知边界，第二类边界；</w:t>
      </w:r>
    </w:p>
    <w:p w14:paraId="0B3EDD2A">
      <w:pPr>
        <w:spacing w:before="32" w:line="220" w:lineRule="auto"/>
        <w:ind w:left="1215"/>
        <w:rPr>
          <w:rFonts w:ascii="宋体" w:hAnsi="宋体" w:eastAsia="宋体" w:cs="宋体"/>
          <w:sz w:val="24"/>
          <w:szCs w:val="24"/>
        </w:rPr>
      </w:pPr>
      <w:r>
        <w:rPr>
          <w:rFonts w:ascii="Times New Roman" w:hAnsi="Times New Roman" w:eastAsia="Times New Roman" w:cs="Times New Roman"/>
          <w:position w:val="5"/>
          <w:sz w:val="24"/>
          <w:szCs w:val="24"/>
        </w:rPr>
        <w:drawing>
          <wp:inline distT="0" distB="0" distL="0" distR="0">
            <wp:extent cx="85090" cy="73025"/>
            <wp:effectExtent l="0" t="0" r="0" b="0"/>
            <wp:docPr id="156" name="IM 156"/>
            <wp:cNvGraphicFramePr/>
            <a:graphic xmlns:a="http://schemas.openxmlformats.org/drawingml/2006/main">
              <a:graphicData uri="http://schemas.openxmlformats.org/drawingml/2006/picture">
                <pic:pic xmlns:pic="http://schemas.openxmlformats.org/drawingml/2006/picture">
                  <pic:nvPicPr>
                    <pic:cNvPr id="156" name="IM 156"/>
                    <pic:cNvPicPr/>
                  </pic:nvPicPr>
                  <pic:blipFill>
                    <a:blip r:embed="rId654"/>
                    <a:stretch>
                      <a:fillRect/>
                    </a:stretch>
                  </pic:blipFill>
                  <pic:spPr>
                    <a:xfrm>
                      <a:off x="0" y="0"/>
                      <a:ext cx="85344" cy="73152"/>
                    </a:xfrm>
                    <a:prstGeom prst="rect">
                      <a:avLst/>
                    </a:prstGeom>
                  </pic:spPr>
                </pic:pic>
              </a:graphicData>
            </a:graphic>
          </wp:inline>
        </w:drawing>
      </w:r>
      <w:r>
        <w:rPr>
          <w:rFonts w:ascii="Times New Roman" w:hAnsi="Times New Roman" w:eastAsia="Times New Roman" w:cs="Times New Roman"/>
          <w:spacing w:val="2"/>
          <w:sz w:val="24"/>
          <w:szCs w:val="24"/>
        </w:rPr>
        <w:t>—</w:t>
      </w:r>
      <w:r>
        <w:rPr>
          <w:rFonts w:ascii="宋体" w:hAnsi="宋体" w:eastAsia="宋体" w:cs="宋体"/>
          <w:spacing w:val="2"/>
          <w:sz w:val="24"/>
          <w:szCs w:val="24"/>
        </w:rPr>
        <w:t>渗流区边界的单位外法线方向。</w:t>
      </w:r>
    </w:p>
    <w:p w14:paraId="1244231F">
      <w:pPr>
        <w:spacing w:before="184" w:line="355" w:lineRule="auto"/>
        <w:ind w:left="3" w:firstLine="486"/>
        <w:rPr>
          <w:rFonts w:ascii="宋体" w:hAnsi="宋体" w:eastAsia="宋体" w:cs="宋体"/>
          <w:sz w:val="24"/>
          <w:szCs w:val="24"/>
        </w:rPr>
      </w:pPr>
      <w:r>
        <w:rPr>
          <w:rFonts w:ascii="宋体" w:hAnsi="宋体" w:eastAsia="宋体" w:cs="宋体"/>
          <w:spacing w:val="11"/>
          <w:sz w:val="24"/>
          <w:szCs w:val="24"/>
        </w:rPr>
        <w:t>本次预测利用</w:t>
      </w:r>
      <w:r>
        <w:rPr>
          <w:rFonts w:ascii="Times New Roman" w:hAnsi="Times New Roman" w:eastAsia="Times New Roman" w:cs="Times New Roman"/>
          <w:sz w:val="24"/>
          <w:szCs w:val="24"/>
        </w:rPr>
        <w:t>Visual</w:t>
      </w:r>
      <w:r>
        <w:rPr>
          <w:rFonts w:ascii="Times New Roman" w:hAnsi="Times New Roman" w:eastAsia="Times New Roman" w:cs="Times New Roman"/>
          <w:spacing w:val="34"/>
          <w:sz w:val="24"/>
          <w:szCs w:val="24"/>
        </w:rPr>
        <w:t xml:space="preserve"> </w:t>
      </w:r>
      <w:r>
        <w:rPr>
          <w:rFonts w:ascii="Times New Roman" w:hAnsi="Times New Roman" w:eastAsia="Times New Roman" w:cs="Times New Roman"/>
          <w:sz w:val="24"/>
          <w:szCs w:val="24"/>
        </w:rPr>
        <w:t>modflow</w:t>
      </w:r>
      <w:r>
        <w:rPr>
          <w:rFonts w:ascii="Times New Roman" w:hAnsi="Times New Roman" w:eastAsia="Times New Roman" w:cs="Times New Roman"/>
          <w:spacing w:val="23"/>
          <w:sz w:val="24"/>
          <w:szCs w:val="24"/>
        </w:rPr>
        <w:t xml:space="preserve"> </w:t>
      </w:r>
      <w:r>
        <w:rPr>
          <w:rFonts w:ascii="Times New Roman" w:hAnsi="Times New Roman" w:eastAsia="Times New Roman" w:cs="Times New Roman"/>
          <w:sz w:val="24"/>
          <w:szCs w:val="24"/>
        </w:rPr>
        <w:t>Premium</w:t>
      </w:r>
      <w:r>
        <w:rPr>
          <w:rFonts w:ascii="Times New Roman" w:hAnsi="Times New Roman" w:eastAsia="Times New Roman" w:cs="Times New Roman"/>
          <w:spacing w:val="25"/>
          <w:sz w:val="24"/>
          <w:szCs w:val="24"/>
        </w:rPr>
        <w:t xml:space="preserve"> </w:t>
      </w:r>
      <w:r>
        <w:rPr>
          <w:rFonts w:ascii="Times New Roman" w:hAnsi="Times New Roman" w:eastAsia="Times New Roman" w:cs="Times New Roman"/>
          <w:spacing w:val="11"/>
          <w:sz w:val="24"/>
          <w:szCs w:val="24"/>
        </w:rPr>
        <w:t>2011.1</w:t>
      </w:r>
      <w:r>
        <w:rPr>
          <w:rFonts w:ascii="Times New Roman" w:hAnsi="Times New Roman" w:eastAsia="Times New Roman" w:cs="Times New Roman"/>
          <w:spacing w:val="26"/>
          <w:sz w:val="24"/>
          <w:szCs w:val="24"/>
        </w:rPr>
        <w:t xml:space="preserve"> </w:t>
      </w:r>
      <w:r>
        <w:rPr>
          <w:rFonts w:ascii="宋体" w:hAnsi="宋体" w:eastAsia="宋体" w:cs="宋体"/>
          <w:spacing w:val="11"/>
          <w:sz w:val="24"/>
          <w:szCs w:val="24"/>
        </w:rPr>
        <w:t>地下水数值模拟软件中的</w:t>
      </w:r>
      <w:r>
        <w:rPr>
          <w:rFonts w:ascii="Times New Roman" w:hAnsi="Times New Roman" w:eastAsia="Times New Roman" w:cs="Times New Roman"/>
          <w:sz w:val="24"/>
          <w:szCs w:val="24"/>
        </w:rPr>
        <w:t xml:space="preserve">modflow </w:t>
      </w:r>
      <w:r>
        <w:rPr>
          <w:rFonts w:ascii="Times New Roman" w:hAnsi="Times New Roman" w:eastAsia="Times New Roman" w:cs="Times New Roman"/>
          <w:spacing w:val="-2"/>
          <w:sz w:val="24"/>
          <w:szCs w:val="24"/>
        </w:rPr>
        <w:t xml:space="preserve">2005 </w:t>
      </w:r>
      <w:r>
        <w:rPr>
          <w:rFonts w:ascii="宋体" w:hAnsi="宋体" w:eastAsia="宋体" w:cs="宋体"/>
          <w:spacing w:val="-2"/>
          <w:sz w:val="24"/>
          <w:szCs w:val="24"/>
        </w:rPr>
        <w:t>模块建立水流数值模型。</w:t>
      </w:r>
      <w:r>
        <w:rPr>
          <w:rFonts w:ascii="Times New Roman" w:hAnsi="Times New Roman" w:eastAsia="Times New Roman" w:cs="Times New Roman"/>
          <w:spacing w:val="-2"/>
          <w:sz w:val="24"/>
          <w:szCs w:val="24"/>
        </w:rPr>
        <w:t>Visua</w:t>
      </w:r>
      <w:r>
        <w:rPr>
          <w:rFonts w:ascii="Times New Roman" w:hAnsi="Times New Roman" w:eastAsia="Times New Roman" w:cs="Times New Roman"/>
          <w:spacing w:val="-3"/>
          <w:sz w:val="24"/>
          <w:szCs w:val="24"/>
        </w:rPr>
        <w:t>l MODFLOW</w:t>
      </w:r>
      <w:r>
        <w:rPr>
          <w:rFonts w:ascii="宋体" w:hAnsi="宋体" w:eastAsia="宋体" w:cs="宋体"/>
          <w:spacing w:val="-3"/>
          <w:sz w:val="24"/>
          <w:szCs w:val="24"/>
        </w:rPr>
        <w:t>是三维地下水运动和溶质运移模拟实际</w:t>
      </w:r>
      <w:r>
        <w:rPr>
          <w:rFonts w:ascii="宋体" w:hAnsi="宋体" w:eastAsia="宋体" w:cs="宋体"/>
          <w:sz w:val="24"/>
          <w:szCs w:val="24"/>
        </w:rPr>
        <w:t xml:space="preserve"> </w:t>
      </w:r>
      <w:r>
        <w:rPr>
          <w:rFonts w:ascii="宋体" w:hAnsi="宋体" w:eastAsia="宋体" w:cs="宋体"/>
          <w:spacing w:val="3"/>
          <w:sz w:val="24"/>
          <w:szCs w:val="24"/>
        </w:rPr>
        <w:t>应用中功能完整且易用的专业地下水模拟软件。这个完整的集成软件将</w:t>
      </w:r>
      <w:r>
        <w:rPr>
          <w:rFonts w:ascii="Times New Roman" w:hAnsi="Times New Roman" w:eastAsia="Times New Roman" w:cs="Times New Roman"/>
          <w:sz w:val="24"/>
          <w:szCs w:val="24"/>
        </w:rPr>
        <w:t>MODFLOW</w:t>
      </w:r>
      <w:r>
        <w:rPr>
          <w:rFonts w:ascii="Times New Roman" w:hAnsi="Times New Roman" w:eastAsia="Times New Roman" w:cs="Times New Roman"/>
          <w:spacing w:val="-9"/>
          <w:sz w:val="24"/>
          <w:szCs w:val="24"/>
        </w:rPr>
        <w:t xml:space="preserve"> </w:t>
      </w:r>
      <w:r>
        <w:rPr>
          <w:rFonts w:ascii="宋体" w:hAnsi="宋体" w:eastAsia="宋体" w:cs="宋体"/>
          <w:spacing w:val="3"/>
          <w:sz w:val="24"/>
          <w:szCs w:val="24"/>
        </w:rPr>
        <w:t>、</w:t>
      </w:r>
      <w:r>
        <w:rPr>
          <w:rFonts w:ascii="宋体" w:hAnsi="宋体" w:eastAsia="宋体" w:cs="宋体"/>
          <w:sz w:val="24"/>
          <w:szCs w:val="24"/>
        </w:rPr>
        <w:t xml:space="preserve"> </w:t>
      </w:r>
      <w:r>
        <w:rPr>
          <w:rFonts w:ascii="Times New Roman" w:hAnsi="Times New Roman" w:eastAsia="Times New Roman" w:cs="Times New Roman"/>
          <w:spacing w:val="-2"/>
          <w:sz w:val="24"/>
          <w:szCs w:val="24"/>
        </w:rPr>
        <w:t xml:space="preserve">MODPATH  </w:t>
      </w:r>
      <w:r>
        <w:rPr>
          <w:rFonts w:ascii="宋体" w:hAnsi="宋体" w:eastAsia="宋体" w:cs="宋体"/>
          <w:spacing w:val="-2"/>
          <w:sz w:val="24"/>
          <w:szCs w:val="24"/>
        </w:rPr>
        <w:t xml:space="preserve">和 </w:t>
      </w:r>
      <w:r>
        <w:rPr>
          <w:rFonts w:ascii="Times New Roman" w:hAnsi="Times New Roman" w:eastAsia="Times New Roman" w:cs="Times New Roman"/>
          <w:spacing w:val="-2"/>
          <w:sz w:val="24"/>
          <w:szCs w:val="24"/>
        </w:rPr>
        <w:t>MT3D</w:t>
      </w:r>
      <w:r>
        <w:rPr>
          <w:rFonts w:ascii="宋体" w:hAnsi="宋体" w:eastAsia="宋体" w:cs="宋体"/>
          <w:spacing w:val="-2"/>
          <w:sz w:val="24"/>
          <w:szCs w:val="24"/>
        </w:rPr>
        <w:t>同最直观强大的图形用户界面结合在一起。</w:t>
      </w:r>
      <w:r>
        <w:rPr>
          <w:rFonts w:ascii="Times New Roman" w:hAnsi="Times New Roman" w:eastAsia="Times New Roman" w:cs="Times New Roman"/>
          <w:spacing w:val="-2"/>
          <w:sz w:val="24"/>
          <w:szCs w:val="24"/>
        </w:rPr>
        <w:t xml:space="preserve">Visual MODFLOW  </w:t>
      </w:r>
      <w:r>
        <w:rPr>
          <w:rFonts w:ascii="宋体" w:hAnsi="宋体" w:eastAsia="宋体" w:cs="宋体"/>
          <w:spacing w:val="-2"/>
          <w:sz w:val="24"/>
          <w:szCs w:val="24"/>
        </w:rPr>
        <w:t>在</w:t>
      </w:r>
      <w:r>
        <w:rPr>
          <w:rFonts w:ascii="宋体" w:hAnsi="宋体" w:eastAsia="宋体" w:cs="宋体"/>
          <w:spacing w:val="2"/>
          <w:sz w:val="24"/>
          <w:szCs w:val="24"/>
        </w:rPr>
        <w:t xml:space="preserve"> </w:t>
      </w:r>
      <w:r>
        <w:rPr>
          <w:rFonts w:ascii="Times New Roman" w:hAnsi="Times New Roman" w:eastAsia="Times New Roman" w:cs="Times New Roman"/>
          <w:spacing w:val="-2"/>
          <w:sz w:val="24"/>
          <w:szCs w:val="24"/>
        </w:rPr>
        <w:t xml:space="preserve">1994 </w:t>
      </w:r>
      <w:r>
        <w:rPr>
          <w:rFonts w:ascii="宋体" w:hAnsi="宋体" w:eastAsia="宋体" w:cs="宋体"/>
          <w:spacing w:val="-2"/>
          <w:sz w:val="24"/>
          <w:szCs w:val="24"/>
        </w:rPr>
        <w:t>年</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8</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月首次推出并迅速成为世界范围</w:t>
      </w:r>
      <w:r>
        <w:rPr>
          <w:rFonts w:ascii="宋体" w:hAnsi="宋体" w:eastAsia="宋体" w:cs="宋体"/>
          <w:spacing w:val="-3"/>
          <w:sz w:val="24"/>
          <w:szCs w:val="24"/>
        </w:rPr>
        <w:t>内</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1500  </w:t>
      </w:r>
      <w:r>
        <w:rPr>
          <w:rFonts w:ascii="宋体" w:hAnsi="宋体" w:eastAsia="宋体" w:cs="宋体"/>
          <w:spacing w:val="-3"/>
          <w:sz w:val="24"/>
          <w:szCs w:val="24"/>
        </w:rPr>
        <w:t>多个咨询公司、教育机构和政府机关</w:t>
      </w:r>
      <w:r>
        <w:rPr>
          <w:rFonts w:ascii="宋体" w:hAnsi="宋体" w:eastAsia="宋体" w:cs="宋体"/>
          <w:sz w:val="24"/>
          <w:szCs w:val="24"/>
        </w:rPr>
        <w:t xml:space="preserve"> 用户的标准模拟环境，得到了世界范围内</w:t>
      </w:r>
      <w:r>
        <w:rPr>
          <w:rFonts w:ascii="宋体" w:hAnsi="宋体" w:eastAsia="宋体" w:cs="宋体"/>
          <w:spacing w:val="-48"/>
          <w:sz w:val="24"/>
          <w:szCs w:val="24"/>
        </w:rPr>
        <w:t xml:space="preserve"> </w:t>
      </w:r>
      <w:r>
        <w:rPr>
          <w:rFonts w:ascii="Times New Roman" w:hAnsi="Times New Roman" w:eastAsia="Times New Roman" w:cs="Times New Roman"/>
          <w:sz w:val="24"/>
          <w:szCs w:val="24"/>
        </w:rPr>
        <w:t xml:space="preserve">90  </w:t>
      </w:r>
      <w:r>
        <w:rPr>
          <w:rFonts w:ascii="宋体" w:hAnsi="宋体" w:eastAsia="宋体" w:cs="宋体"/>
          <w:sz w:val="24"/>
          <w:szCs w:val="24"/>
        </w:rPr>
        <w:t>多个国家的地下水专家的认</w:t>
      </w:r>
      <w:r>
        <w:rPr>
          <w:rFonts w:ascii="宋体" w:hAnsi="宋体" w:eastAsia="宋体" w:cs="宋体"/>
          <w:spacing w:val="-1"/>
          <w:sz w:val="24"/>
          <w:szCs w:val="24"/>
        </w:rPr>
        <w:t>可、接受和使</w:t>
      </w:r>
      <w:r>
        <w:rPr>
          <w:rFonts w:ascii="宋体" w:hAnsi="宋体" w:eastAsia="宋体" w:cs="宋体"/>
          <w:sz w:val="24"/>
          <w:szCs w:val="24"/>
        </w:rPr>
        <w:t xml:space="preserve"> </w:t>
      </w:r>
      <w:r>
        <w:rPr>
          <w:rFonts w:ascii="宋体" w:hAnsi="宋体" w:eastAsia="宋体" w:cs="宋体"/>
          <w:spacing w:val="-1"/>
          <w:sz w:val="24"/>
          <w:szCs w:val="24"/>
        </w:rPr>
        <w:t>用，包括美国地调局（</w:t>
      </w:r>
      <w:r>
        <w:rPr>
          <w:rFonts w:ascii="Times New Roman" w:hAnsi="Times New Roman" w:eastAsia="Times New Roman" w:cs="Times New Roman"/>
          <w:spacing w:val="-1"/>
          <w:sz w:val="24"/>
          <w:szCs w:val="24"/>
        </w:rPr>
        <w:t>USGS</w:t>
      </w:r>
      <w:r>
        <w:rPr>
          <w:rFonts w:ascii="宋体" w:hAnsi="宋体" w:eastAsia="宋体" w:cs="宋体"/>
          <w:spacing w:val="-1"/>
          <w:sz w:val="24"/>
          <w:szCs w:val="24"/>
        </w:rPr>
        <w:t>）和美国环境保护局（</w:t>
      </w:r>
      <w:r>
        <w:rPr>
          <w:rFonts w:ascii="Times New Roman" w:hAnsi="Times New Roman" w:eastAsia="Times New Roman" w:cs="Times New Roman"/>
          <w:spacing w:val="-1"/>
          <w:sz w:val="24"/>
          <w:szCs w:val="24"/>
        </w:rPr>
        <w:t>USEPA</w:t>
      </w:r>
      <w:r>
        <w:rPr>
          <w:rFonts w:ascii="宋体" w:hAnsi="宋体" w:eastAsia="宋体" w:cs="宋体"/>
          <w:spacing w:val="-1"/>
          <w:sz w:val="24"/>
          <w:szCs w:val="24"/>
        </w:rPr>
        <w:t>）都成为它的用户之一。</w:t>
      </w:r>
    </w:p>
    <w:p w14:paraId="3C8B4115">
      <w:pPr>
        <w:spacing w:before="36"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）模型离散</w:t>
      </w:r>
    </w:p>
    <w:p w14:paraId="44CDDD15">
      <w:pPr>
        <w:spacing w:before="182" w:line="350" w:lineRule="auto"/>
        <w:ind w:left="20" w:right="1" w:firstLine="470"/>
        <w:rPr>
          <w:rFonts w:ascii="宋体" w:hAnsi="宋体" w:eastAsia="宋体" w:cs="宋体"/>
          <w:sz w:val="24"/>
          <w:szCs w:val="24"/>
        </w:rPr>
      </w:pPr>
      <w:r>
        <w:rPr>
          <w:rFonts w:ascii="宋体" w:hAnsi="宋体" w:eastAsia="宋体" w:cs="宋体"/>
          <w:spacing w:val="-2"/>
          <w:sz w:val="24"/>
          <w:szCs w:val="24"/>
        </w:rPr>
        <w:t>综合考虑到网格密度对求解精度和计算时间的影响及垂向上避免疏干单元的出现，</w:t>
      </w:r>
      <w:r>
        <w:rPr>
          <w:rFonts w:ascii="宋体" w:hAnsi="宋体" w:eastAsia="宋体" w:cs="宋体"/>
          <w:spacing w:val="10"/>
          <w:sz w:val="24"/>
          <w:szCs w:val="24"/>
        </w:rPr>
        <w:t xml:space="preserve"> </w:t>
      </w:r>
      <w:r>
        <w:rPr>
          <w:rFonts w:ascii="宋体" w:hAnsi="宋体" w:eastAsia="宋体" w:cs="宋体"/>
          <w:spacing w:val="-2"/>
          <w:sz w:val="24"/>
          <w:szCs w:val="24"/>
        </w:rPr>
        <w:t>需对研究区的网格进行合理的剖分。剖分单元格顶板、底板以及初始水头等数据以散列</w:t>
      </w:r>
      <w:r>
        <w:rPr>
          <w:rFonts w:ascii="宋体" w:hAnsi="宋体" w:eastAsia="宋体" w:cs="宋体"/>
          <w:spacing w:val="5"/>
          <w:sz w:val="24"/>
          <w:szCs w:val="24"/>
        </w:rPr>
        <w:t xml:space="preserve"> </w:t>
      </w:r>
      <w:r>
        <w:rPr>
          <w:rFonts w:ascii="宋体" w:hAnsi="宋体" w:eastAsia="宋体" w:cs="宋体"/>
          <w:spacing w:val="-2"/>
          <w:sz w:val="24"/>
          <w:szCs w:val="24"/>
        </w:rPr>
        <w:t>点的形式输入到模型中，然后插值进行赋值。</w:t>
      </w:r>
    </w:p>
    <w:p w14:paraId="4D4698A1">
      <w:pPr>
        <w:spacing w:before="32" w:line="347" w:lineRule="auto"/>
        <w:ind w:left="4" w:firstLine="483"/>
        <w:rPr>
          <w:rFonts w:ascii="宋体" w:hAnsi="宋体" w:eastAsia="宋体" w:cs="宋体"/>
          <w:sz w:val="24"/>
          <w:szCs w:val="24"/>
        </w:rPr>
      </w:pPr>
      <w:r>
        <w:rPr>
          <w:rFonts w:ascii="宋体" w:hAnsi="宋体" w:eastAsia="宋体" w:cs="宋体"/>
          <w:spacing w:val="7"/>
          <w:sz w:val="24"/>
          <w:szCs w:val="24"/>
        </w:rPr>
        <w:t>模拟区水平方向上网格剖分尺寸为</w:t>
      </w:r>
      <w:r>
        <w:rPr>
          <w:rFonts w:ascii="宋体" w:hAnsi="宋体" w:eastAsia="宋体" w:cs="宋体"/>
          <w:spacing w:val="-25"/>
          <w:sz w:val="24"/>
          <w:szCs w:val="24"/>
        </w:rPr>
        <w:t xml:space="preserve"> </w:t>
      </w:r>
      <w:r>
        <w:rPr>
          <w:rFonts w:ascii="Times New Roman" w:hAnsi="Times New Roman" w:eastAsia="Times New Roman" w:cs="Times New Roman"/>
          <w:spacing w:val="7"/>
          <w:sz w:val="24"/>
          <w:szCs w:val="24"/>
        </w:rPr>
        <w:t>50m×50m</w:t>
      </w:r>
      <w:r>
        <w:rPr>
          <w:rFonts w:ascii="Times New Roman" w:hAnsi="Times New Roman" w:eastAsia="Times New Roman" w:cs="Times New Roman"/>
          <w:spacing w:val="-21"/>
          <w:sz w:val="24"/>
          <w:szCs w:val="24"/>
        </w:rPr>
        <w:t xml:space="preserve"> </w:t>
      </w:r>
      <w:r>
        <w:rPr>
          <w:rFonts w:ascii="宋体" w:hAnsi="宋体" w:eastAsia="宋体" w:cs="宋体"/>
          <w:spacing w:val="7"/>
          <w:sz w:val="24"/>
          <w:szCs w:val="24"/>
        </w:rPr>
        <w:t>，项目厂区周围加密网格，尺寸为</w:t>
      </w:r>
      <w:r>
        <w:rPr>
          <w:rFonts w:ascii="宋体" w:hAnsi="宋体" w:eastAsia="宋体" w:cs="宋体"/>
          <w:sz w:val="24"/>
          <w:szCs w:val="24"/>
        </w:rPr>
        <w:t xml:space="preserve"> </w:t>
      </w:r>
      <w:r>
        <w:rPr>
          <w:rFonts w:ascii="Times New Roman" w:hAnsi="Times New Roman" w:eastAsia="Times New Roman" w:cs="Times New Roman"/>
          <w:spacing w:val="-3"/>
          <w:sz w:val="24"/>
          <w:szCs w:val="24"/>
        </w:rPr>
        <w:t>25m×25m</w:t>
      </w:r>
      <w:r>
        <w:rPr>
          <w:rFonts w:ascii="Times New Roman" w:hAnsi="Times New Roman" w:eastAsia="Times New Roman" w:cs="Times New Roman"/>
          <w:spacing w:val="-24"/>
          <w:sz w:val="24"/>
          <w:szCs w:val="24"/>
        </w:rPr>
        <w:t xml:space="preserve"> </w:t>
      </w:r>
      <w:r>
        <w:rPr>
          <w:rFonts w:ascii="宋体" w:hAnsi="宋体" w:eastAsia="宋体" w:cs="宋体"/>
          <w:spacing w:val="-3"/>
          <w:sz w:val="24"/>
          <w:szCs w:val="24"/>
        </w:rPr>
        <w:t>，垂向划分为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层，如图</w:t>
      </w:r>
      <w:r>
        <w:rPr>
          <w:rFonts w:ascii="宋体" w:hAnsi="宋体" w:eastAsia="宋体" w:cs="宋体"/>
          <w:spacing w:val="-56"/>
          <w:sz w:val="24"/>
          <w:szCs w:val="24"/>
        </w:rPr>
        <w:t xml:space="preserve"> </w:t>
      </w:r>
      <w:r>
        <w:rPr>
          <w:rFonts w:ascii="Times New Roman" w:hAnsi="Times New Roman" w:eastAsia="Times New Roman" w:cs="Times New Roman"/>
          <w:spacing w:val="-3"/>
          <w:sz w:val="24"/>
          <w:szCs w:val="24"/>
        </w:rPr>
        <w:t>4.3-4</w:t>
      </w:r>
      <w:r>
        <w:rPr>
          <w:rFonts w:ascii="宋体" w:hAnsi="宋体" w:eastAsia="宋体" w:cs="宋体"/>
          <w:spacing w:val="-3"/>
          <w:sz w:val="24"/>
          <w:szCs w:val="24"/>
        </w:rPr>
        <w:t>。</w:t>
      </w:r>
    </w:p>
    <w:p w14:paraId="1EEBCBDB">
      <w:pPr>
        <w:spacing w:line="347" w:lineRule="auto"/>
        <w:rPr>
          <w:rFonts w:ascii="宋体" w:hAnsi="宋体" w:eastAsia="宋体" w:cs="宋体"/>
          <w:sz w:val="24"/>
          <w:szCs w:val="24"/>
        </w:rPr>
        <w:sectPr>
          <w:footerReference r:id="rId325" w:type="default"/>
          <w:pgSz w:w="11906" w:h="16839"/>
          <w:pgMar w:top="1190" w:right="1416" w:bottom="1427" w:left="1417" w:header="882" w:footer="1265" w:gutter="0"/>
          <w:cols w:space="720" w:num="1"/>
        </w:sectPr>
      </w:pPr>
    </w:p>
    <w:p w14:paraId="79005F31">
      <w:pPr>
        <w:spacing w:line="28" w:lineRule="exact"/>
      </w:pPr>
      <w:r>
        <w:pict>
          <v:shape id="_x0000_s1820" o:spid="_x0000_s1820" style="height:1.45pt;width:453.65pt;" fillcolor="#000000" filled="t" stroked="f" coordsize="9072,29" path="m0,0l9072,0,9072,28,0,28,0,0xe">
            <v:path/>
            <v:fill on="t" focussize="0,0"/>
            <v:stroke on="f"/>
            <v:imagedata o:title=""/>
            <o:lock v:ext="edit"/>
            <w10:wrap type="none"/>
            <w10:anchorlock/>
          </v:shape>
        </w:pict>
      </w:r>
    </w:p>
    <w:p w14:paraId="6B7CD3D2">
      <w:pPr>
        <w:spacing w:before="222" w:line="6142" w:lineRule="exact"/>
        <w:ind w:firstLine="1086"/>
      </w:pPr>
      <w:r>
        <w:rPr>
          <w:position w:val="-122"/>
        </w:rPr>
        <w:drawing>
          <wp:inline distT="0" distB="0" distL="0" distR="0">
            <wp:extent cx="4381500" cy="3899535"/>
            <wp:effectExtent l="0" t="0" r="0" b="0"/>
            <wp:docPr id="158" name="IM 158"/>
            <wp:cNvGraphicFramePr/>
            <a:graphic xmlns:a="http://schemas.openxmlformats.org/drawingml/2006/main">
              <a:graphicData uri="http://schemas.openxmlformats.org/drawingml/2006/picture">
                <pic:pic xmlns:pic="http://schemas.openxmlformats.org/drawingml/2006/picture">
                  <pic:nvPicPr>
                    <pic:cNvPr id="158" name="IM 158"/>
                    <pic:cNvPicPr/>
                  </pic:nvPicPr>
                  <pic:blipFill>
                    <a:blip r:embed="rId655"/>
                    <a:stretch>
                      <a:fillRect/>
                    </a:stretch>
                  </pic:blipFill>
                  <pic:spPr>
                    <a:xfrm>
                      <a:off x="0" y="0"/>
                      <a:ext cx="4381500" cy="3899916"/>
                    </a:xfrm>
                    <a:prstGeom prst="rect">
                      <a:avLst/>
                    </a:prstGeom>
                  </pic:spPr>
                </pic:pic>
              </a:graphicData>
            </a:graphic>
          </wp:inline>
        </w:drawing>
      </w:r>
    </w:p>
    <w:p w14:paraId="37A68C8A">
      <w:pPr>
        <w:spacing w:before="85" w:line="227" w:lineRule="auto"/>
        <w:ind w:left="2739"/>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32"/>
          <w:sz w:val="20"/>
          <w:szCs w:val="20"/>
        </w:rPr>
        <w:t xml:space="preserve"> </w:t>
      </w:r>
      <w:r>
        <w:rPr>
          <w:rFonts w:ascii="Times New Roman" w:hAnsi="Times New Roman" w:eastAsia="Times New Roman" w:cs="Times New Roman"/>
          <w:b/>
          <w:bCs/>
          <w:spacing w:val="4"/>
          <w:sz w:val="20"/>
          <w:szCs w:val="20"/>
        </w:rPr>
        <w:t xml:space="preserve">4.3-4        </w:t>
      </w:r>
      <w:r>
        <w:rPr>
          <w:rFonts w:ascii="宋体" w:hAnsi="宋体" w:eastAsia="宋体" w:cs="宋体"/>
          <w:b/>
          <w:bCs/>
          <w:spacing w:val="4"/>
          <w:sz w:val="20"/>
          <w:szCs w:val="20"/>
        </w:rPr>
        <w:t>模拟区水平网格剖分示意图</w:t>
      </w:r>
    </w:p>
    <w:p w14:paraId="21C68A9B">
      <w:pPr>
        <w:spacing w:before="56"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）边界条件</w:t>
      </w:r>
    </w:p>
    <w:p w14:paraId="73C13622">
      <w:pPr>
        <w:spacing w:before="182" w:line="345" w:lineRule="auto"/>
        <w:ind w:left="14" w:right="1" w:firstLine="474"/>
        <w:rPr>
          <w:rFonts w:ascii="宋体" w:hAnsi="宋体" w:eastAsia="宋体" w:cs="宋体"/>
          <w:sz w:val="24"/>
          <w:szCs w:val="24"/>
        </w:rPr>
      </w:pPr>
      <w:r>
        <w:rPr>
          <w:rFonts w:ascii="宋体" w:hAnsi="宋体" w:eastAsia="宋体" w:cs="宋体"/>
          <w:spacing w:val="-2"/>
          <w:sz w:val="24"/>
          <w:szCs w:val="24"/>
        </w:rPr>
        <w:t>根据上述水文地质条件概化，及模拟区四周边界的水文地质特征，把模拟区四周边</w:t>
      </w:r>
      <w:r>
        <w:rPr>
          <w:rFonts w:ascii="宋体" w:hAnsi="宋体" w:eastAsia="宋体" w:cs="宋体"/>
          <w:spacing w:val="13"/>
          <w:sz w:val="24"/>
          <w:szCs w:val="24"/>
        </w:rPr>
        <w:t xml:space="preserve"> </w:t>
      </w:r>
      <w:r>
        <w:rPr>
          <w:rFonts w:ascii="宋体" w:hAnsi="宋体" w:eastAsia="宋体" w:cs="宋体"/>
          <w:spacing w:val="-2"/>
          <w:sz w:val="24"/>
          <w:szCs w:val="24"/>
        </w:rPr>
        <w:t>界均作为第二类边界条件处理。</w:t>
      </w:r>
    </w:p>
    <w:p w14:paraId="19CA4842">
      <w:pPr>
        <w:spacing w:before="38"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）水文地质参数</w:t>
      </w:r>
    </w:p>
    <w:p w14:paraId="2E0C448D">
      <w:pPr>
        <w:spacing w:before="181" w:line="351" w:lineRule="auto"/>
        <w:ind w:left="11" w:right="1" w:firstLine="480"/>
        <w:rPr>
          <w:rFonts w:ascii="宋体" w:hAnsi="宋体" w:eastAsia="宋体" w:cs="宋体"/>
          <w:sz w:val="24"/>
          <w:szCs w:val="24"/>
        </w:rPr>
      </w:pPr>
      <w:r>
        <w:rPr>
          <w:rFonts w:ascii="宋体" w:hAnsi="宋体" w:eastAsia="宋体" w:cs="宋体"/>
          <w:spacing w:val="-2"/>
          <w:sz w:val="24"/>
          <w:szCs w:val="24"/>
        </w:rPr>
        <w:t>为了较准确地刻画评价区水文地质条件，模型中参数的确定主要依据评价区已有的</w:t>
      </w:r>
      <w:r>
        <w:rPr>
          <w:rFonts w:ascii="宋体" w:hAnsi="宋体" w:eastAsia="宋体" w:cs="宋体"/>
          <w:spacing w:val="10"/>
          <w:sz w:val="24"/>
          <w:szCs w:val="24"/>
        </w:rPr>
        <w:t xml:space="preserve"> </w:t>
      </w:r>
      <w:r>
        <w:rPr>
          <w:rFonts w:ascii="宋体" w:hAnsi="宋体" w:eastAsia="宋体" w:cs="宋体"/>
          <w:spacing w:val="-2"/>
          <w:sz w:val="24"/>
          <w:szCs w:val="24"/>
        </w:rPr>
        <w:t>水文地质勘查资料，评价区北部含水层为第四系全新统湖积层，岩性为中细砂和粉砂，</w:t>
      </w:r>
      <w:r>
        <w:rPr>
          <w:rFonts w:ascii="宋体" w:hAnsi="宋体" w:eastAsia="宋体" w:cs="宋体"/>
          <w:spacing w:val="14"/>
          <w:sz w:val="24"/>
          <w:szCs w:val="24"/>
        </w:rPr>
        <w:t xml:space="preserve"> </w:t>
      </w:r>
      <w:r>
        <w:rPr>
          <w:rFonts w:ascii="宋体" w:hAnsi="宋体" w:eastAsia="宋体" w:cs="宋体"/>
          <w:sz w:val="24"/>
          <w:szCs w:val="24"/>
        </w:rPr>
        <w:t>南部含水层为第四系上更新统风洪积层，岩性为</w:t>
      </w:r>
      <w:r>
        <w:rPr>
          <w:rFonts w:ascii="宋体" w:hAnsi="宋体" w:eastAsia="宋体" w:cs="宋体"/>
          <w:spacing w:val="-1"/>
          <w:sz w:val="24"/>
          <w:szCs w:val="24"/>
        </w:rPr>
        <w:t>中细砂，渗透系数分区见图</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4.3-4</w:t>
      </w:r>
      <w:r>
        <w:rPr>
          <w:rFonts w:ascii="宋体" w:hAnsi="宋体" w:eastAsia="宋体" w:cs="宋体"/>
          <w:spacing w:val="-1"/>
          <w:sz w:val="24"/>
          <w:szCs w:val="24"/>
        </w:rPr>
        <w:t>。</w:t>
      </w:r>
    </w:p>
    <w:p w14:paraId="2798D95C">
      <w:pPr>
        <w:spacing w:before="32" w:line="220"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6</w:t>
      </w:r>
      <w:r>
        <w:rPr>
          <w:rFonts w:ascii="宋体" w:hAnsi="宋体" w:eastAsia="宋体" w:cs="宋体"/>
          <w:spacing w:val="-2"/>
          <w:sz w:val="24"/>
          <w:szCs w:val="24"/>
        </w:rPr>
        <w:t>）源汇项处理及确定</w:t>
      </w:r>
    </w:p>
    <w:p w14:paraId="33C5D98D">
      <w:pPr>
        <w:spacing w:before="183" w:line="344" w:lineRule="auto"/>
        <w:ind w:left="8" w:right="1" w:firstLine="479"/>
        <w:rPr>
          <w:rFonts w:ascii="宋体" w:hAnsi="宋体" w:eastAsia="宋体" w:cs="宋体"/>
          <w:sz w:val="24"/>
          <w:szCs w:val="24"/>
        </w:rPr>
      </w:pPr>
      <w:r>
        <w:rPr>
          <w:rFonts w:ascii="宋体" w:hAnsi="宋体" w:eastAsia="宋体" w:cs="宋体"/>
          <w:spacing w:val="-2"/>
          <w:sz w:val="24"/>
          <w:szCs w:val="24"/>
        </w:rPr>
        <w:t>评价区内补给项主要为大气降水入渗补给量、侧向流入，排泄项有蒸发和侧向流出</w:t>
      </w:r>
      <w:r>
        <w:rPr>
          <w:rFonts w:ascii="宋体" w:hAnsi="宋体" w:eastAsia="宋体" w:cs="宋体"/>
          <w:spacing w:val="14"/>
          <w:sz w:val="24"/>
          <w:szCs w:val="24"/>
        </w:rPr>
        <w:t xml:space="preserve"> </w:t>
      </w:r>
      <w:r>
        <w:rPr>
          <w:rFonts w:ascii="宋体" w:hAnsi="宋体" w:eastAsia="宋体" w:cs="宋体"/>
          <w:spacing w:val="-2"/>
          <w:sz w:val="24"/>
          <w:szCs w:val="24"/>
        </w:rPr>
        <w:t>排泄、开采量。</w:t>
      </w:r>
    </w:p>
    <w:p w14:paraId="70643CC5">
      <w:pPr>
        <w:spacing w:line="344" w:lineRule="auto"/>
        <w:rPr>
          <w:rFonts w:ascii="宋体" w:hAnsi="宋体" w:eastAsia="宋体" w:cs="宋体"/>
          <w:sz w:val="24"/>
          <w:szCs w:val="24"/>
        </w:rPr>
        <w:sectPr>
          <w:footerReference r:id="rId326" w:type="default"/>
          <w:pgSz w:w="11906" w:h="16839"/>
          <w:pgMar w:top="1190" w:right="1416" w:bottom="1427" w:left="1417" w:header="882" w:footer="1265" w:gutter="0"/>
          <w:cols w:space="720" w:num="1"/>
        </w:sectPr>
      </w:pPr>
    </w:p>
    <w:p w14:paraId="62F08FBB">
      <w:pPr>
        <w:spacing w:line="28" w:lineRule="exact"/>
      </w:pPr>
      <w:r>
        <w:pict>
          <v:shape id="_x0000_s1821" o:spid="_x0000_s1821" style="height:1.45pt;width:453.65pt;" fillcolor="#000000" filled="t" stroked="f" coordsize="9072,29" path="m0,0l9072,0,9072,28,0,28,0,0xe">
            <v:path/>
            <v:fill on="t" focussize="0,0"/>
            <v:stroke on="f"/>
            <v:imagedata o:title=""/>
            <o:lock v:ext="edit"/>
            <w10:wrap type="none"/>
            <w10:anchorlock/>
          </v:shape>
        </w:pict>
      </w:r>
    </w:p>
    <w:p w14:paraId="428CD97A">
      <w:pPr>
        <w:pStyle w:val="2"/>
        <w:spacing w:line="302" w:lineRule="auto"/>
      </w:pPr>
    </w:p>
    <w:p w14:paraId="3A602319">
      <w:pPr>
        <w:pStyle w:val="2"/>
        <w:spacing w:line="5652" w:lineRule="exact"/>
        <w:ind w:firstLine="1362"/>
      </w:pPr>
      <w:r>
        <w:rPr>
          <w:position w:val="-113"/>
        </w:rPr>
        <w:pict>
          <v:group id="_x0000_s1822" o:spid="_x0000_s1822" o:spt="203" style="height:282.65pt;width:317.3pt;" coordsize="6345,5652">
            <o:lock v:ext="edit"/>
            <v:shape id="_x0000_s1823" o:spid="_x0000_s1823" o:spt="75" type="#_x0000_t75" style="position:absolute;left:0;top:0;height:5652;width:6345;" filled="f" stroked="f" coordsize="21600,21600">
              <v:path/>
              <v:fill on="f" focussize="0,0"/>
              <v:stroke on="f"/>
              <v:imagedata r:id="rId656" o:title=""/>
              <o:lock v:ext="edit" aspectratio="t"/>
            </v:shape>
            <v:shape id="_x0000_s1824" o:spid="_x0000_s1824" o:spt="202" type="#_x0000_t202" style="position:absolute;left:-20;top:-20;height:5692;width:6385;" filled="f" stroked="f" coordsize="21600,21600">
              <v:path/>
              <v:fill on="f" focussize="0,0"/>
              <v:stroke on="f"/>
              <v:imagedata o:title=""/>
              <o:lock v:ext="edit" aspectratio="f"/>
              <v:textbox inset="0mm,0mm,0mm,0mm">
                <w:txbxContent>
                  <w:p w14:paraId="277CECED">
                    <w:pPr>
                      <w:spacing w:line="286" w:lineRule="auto"/>
                      <w:rPr>
                        <w:rFonts w:ascii="Arial"/>
                        <w:sz w:val="21"/>
                      </w:rPr>
                    </w:pPr>
                  </w:p>
                  <w:p w14:paraId="2B74A823">
                    <w:pPr>
                      <w:spacing w:line="286" w:lineRule="auto"/>
                      <w:rPr>
                        <w:rFonts w:ascii="Arial"/>
                        <w:sz w:val="21"/>
                      </w:rPr>
                    </w:pPr>
                  </w:p>
                  <w:p w14:paraId="77AE397F">
                    <w:pPr>
                      <w:spacing w:line="287" w:lineRule="auto"/>
                      <w:rPr>
                        <w:rFonts w:ascii="Arial"/>
                        <w:sz w:val="21"/>
                      </w:rPr>
                    </w:pPr>
                  </w:p>
                  <w:p w14:paraId="7FC87C3A">
                    <w:pPr>
                      <w:spacing w:line="287" w:lineRule="auto"/>
                      <w:rPr>
                        <w:rFonts w:ascii="Arial"/>
                        <w:sz w:val="21"/>
                      </w:rPr>
                    </w:pPr>
                  </w:p>
                  <w:p w14:paraId="35F84D89">
                    <w:pPr>
                      <w:spacing w:line="287" w:lineRule="auto"/>
                      <w:rPr>
                        <w:rFonts w:ascii="Arial"/>
                        <w:sz w:val="21"/>
                      </w:rPr>
                    </w:pPr>
                  </w:p>
                  <w:p w14:paraId="69C9B9B0">
                    <w:pPr>
                      <w:spacing w:before="58" w:line="192" w:lineRule="auto"/>
                      <w:ind w:left="2738"/>
                      <w:rPr>
                        <w:rFonts w:ascii="Times New Roman" w:hAnsi="Times New Roman" w:eastAsia="Times New Roman" w:cs="Times New Roman"/>
                        <w:sz w:val="20"/>
                        <w:szCs w:val="20"/>
                      </w:rPr>
                    </w:pPr>
                    <w:r>
                      <w:rPr>
                        <w:rFonts w:ascii="Times New Roman" w:hAnsi="Times New Roman" w:eastAsia="Times New Roman" w:cs="Times New Roman"/>
                        <w:b/>
                        <w:bCs/>
                        <w:sz w:val="20"/>
                        <w:szCs w:val="20"/>
                      </w:rPr>
                      <w:t>I</w:t>
                    </w:r>
                  </w:p>
                  <w:p w14:paraId="59C7425A">
                    <w:pPr>
                      <w:spacing w:line="268" w:lineRule="auto"/>
                      <w:rPr>
                        <w:rFonts w:ascii="Arial"/>
                        <w:sz w:val="21"/>
                      </w:rPr>
                    </w:pPr>
                  </w:p>
                  <w:p w14:paraId="666587C6">
                    <w:pPr>
                      <w:spacing w:line="268" w:lineRule="auto"/>
                      <w:rPr>
                        <w:rFonts w:ascii="Arial"/>
                        <w:sz w:val="21"/>
                      </w:rPr>
                    </w:pPr>
                  </w:p>
                  <w:p w14:paraId="2685106E">
                    <w:pPr>
                      <w:spacing w:line="268" w:lineRule="auto"/>
                      <w:rPr>
                        <w:rFonts w:ascii="Arial"/>
                        <w:sz w:val="21"/>
                      </w:rPr>
                    </w:pPr>
                  </w:p>
                  <w:p w14:paraId="668C9F86">
                    <w:pPr>
                      <w:spacing w:line="268" w:lineRule="auto"/>
                      <w:rPr>
                        <w:rFonts w:ascii="Arial"/>
                        <w:sz w:val="21"/>
                      </w:rPr>
                    </w:pPr>
                  </w:p>
                  <w:p w14:paraId="1EF7CF67">
                    <w:pPr>
                      <w:spacing w:line="268" w:lineRule="auto"/>
                      <w:rPr>
                        <w:rFonts w:ascii="Arial"/>
                        <w:sz w:val="21"/>
                      </w:rPr>
                    </w:pPr>
                  </w:p>
                  <w:p w14:paraId="7FF88C8C">
                    <w:pPr>
                      <w:spacing w:line="268" w:lineRule="auto"/>
                      <w:rPr>
                        <w:rFonts w:ascii="Arial"/>
                        <w:sz w:val="21"/>
                      </w:rPr>
                    </w:pPr>
                  </w:p>
                  <w:p w14:paraId="36C0FCD9">
                    <w:pPr>
                      <w:spacing w:line="268" w:lineRule="auto"/>
                      <w:rPr>
                        <w:rFonts w:ascii="Arial"/>
                        <w:sz w:val="21"/>
                      </w:rPr>
                    </w:pPr>
                  </w:p>
                  <w:p w14:paraId="1C67593F">
                    <w:pPr>
                      <w:spacing w:line="269" w:lineRule="auto"/>
                      <w:rPr>
                        <w:rFonts w:ascii="Arial"/>
                        <w:sz w:val="21"/>
                      </w:rPr>
                    </w:pPr>
                  </w:p>
                  <w:p w14:paraId="1AD961B2">
                    <w:pPr>
                      <w:spacing w:before="57" w:line="192" w:lineRule="auto"/>
                      <w:ind w:left="2683"/>
                      <w:rPr>
                        <w:rFonts w:ascii="Times New Roman" w:hAnsi="Times New Roman" w:eastAsia="Times New Roman" w:cs="Times New Roman"/>
                        <w:sz w:val="20"/>
                        <w:szCs w:val="20"/>
                      </w:rPr>
                    </w:pPr>
                    <w:r>
                      <w:rPr>
                        <w:rFonts w:ascii="Times New Roman" w:hAnsi="Times New Roman" w:eastAsia="Times New Roman" w:cs="Times New Roman"/>
                        <w:b/>
                        <w:bCs/>
                        <w:spacing w:val="1"/>
                        <w:sz w:val="20"/>
                        <w:szCs w:val="20"/>
                      </w:rPr>
                      <w:t>II</w:t>
                    </w:r>
                  </w:p>
                </w:txbxContent>
              </v:textbox>
            </v:shape>
            <w10:wrap type="none"/>
            <w10:anchorlock/>
          </v:group>
        </w:pict>
      </w:r>
    </w:p>
    <w:p w14:paraId="7B798CD9">
      <w:pPr>
        <w:spacing w:before="166" w:line="228" w:lineRule="auto"/>
        <w:ind w:left="3056"/>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42"/>
          <w:sz w:val="20"/>
          <w:szCs w:val="20"/>
        </w:rPr>
        <w:t xml:space="preserve"> </w:t>
      </w:r>
      <w:r>
        <w:rPr>
          <w:rFonts w:ascii="Times New Roman" w:hAnsi="Times New Roman" w:eastAsia="Times New Roman" w:cs="Times New Roman"/>
          <w:b/>
          <w:bCs/>
          <w:spacing w:val="4"/>
          <w:sz w:val="20"/>
          <w:szCs w:val="20"/>
        </w:rPr>
        <w:t xml:space="preserve">4.3-5        </w:t>
      </w:r>
      <w:r>
        <w:rPr>
          <w:rFonts w:ascii="宋体" w:hAnsi="宋体" w:eastAsia="宋体" w:cs="宋体"/>
          <w:b/>
          <w:bCs/>
          <w:spacing w:val="4"/>
          <w:sz w:val="20"/>
          <w:szCs w:val="20"/>
        </w:rPr>
        <w:t>渗透系数分区</w:t>
      </w:r>
      <w:r>
        <w:rPr>
          <w:rFonts w:ascii="宋体" w:hAnsi="宋体" w:eastAsia="宋体" w:cs="宋体"/>
          <w:b/>
          <w:bCs/>
          <w:spacing w:val="3"/>
          <w:sz w:val="20"/>
          <w:szCs w:val="20"/>
        </w:rPr>
        <w:t>示意图</w:t>
      </w:r>
    </w:p>
    <w:p w14:paraId="1FFD3B1A">
      <w:pPr>
        <w:spacing w:before="58" w:line="217" w:lineRule="auto"/>
        <w:ind w:left="487"/>
        <w:rPr>
          <w:rFonts w:ascii="宋体" w:hAnsi="宋体" w:eastAsia="宋体" w:cs="宋体"/>
          <w:sz w:val="24"/>
          <w:szCs w:val="24"/>
        </w:rPr>
      </w:pPr>
      <w:r>
        <w:rPr>
          <w:rFonts w:ascii="宋体" w:hAnsi="宋体" w:eastAsia="宋体" w:cs="宋体"/>
          <w:spacing w:val="-2"/>
          <w:sz w:val="24"/>
          <w:szCs w:val="24"/>
        </w:rPr>
        <w:t>①降水入渗补给量</w:t>
      </w:r>
    </w:p>
    <w:p w14:paraId="50B8949F">
      <w:pPr>
        <w:spacing w:before="184" w:line="343" w:lineRule="auto"/>
        <w:ind w:left="27" w:right="50" w:firstLine="464"/>
        <w:rPr>
          <w:rFonts w:ascii="宋体" w:hAnsi="宋体" w:eastAsia="宋体" w:cs="宋体"/>
          <w:sz w:val="24"/>
          <w:szCs w:val="24"/>
        </w:rPr>
      </w:pPr>
      <w:r>
        <w:rPr>
          <w:rFonts w:ascii="宋体" w:hAnsi="宋体" w:eastAsia="宋体" w:cs="宋体"/>
          <w:spacing w:val="-2"/>
          <w:sz w:val="24"/>
          <w:szCs w:val="24"/>
        </w:rPr>
        <w:t>大气降水入渗补给地下水是一个复杂的过程，入渗补给量的大小不仅与降水强度、</w:t>
      </w:r>
      <w:r>
        <w:rPr>
          <w:rFonts w:ascii="宋体" w:hAnsi="宋体" w:eastAsia="宋体" w:cs="宋体"/>
          <w:spacing w:val="18"/>
          <w:sz w:val="24"/>
          <w:szCs w:val="24"/>
        </w:rPr>
        <w:t xml:space="preserve"> </w:t>
      </w:r>
      <w:r>
        <w:rPr>
          <w:rFonts w:ascii="宋体" w:hAnsi="宋体" w:eastAsia="宋体" w:cs="宋体"/>
          <w:spacing w:val="-2"/>
          <w:sz w:val="24"/>
          <w:szCs w:val="24"/>
        </w:rPr>
        <w:t>降水在时间上的分配、地形、植被的情况有关，而且与地下水的埋深、包气带岩性</w:t>
      </w:r>
      <w:r>
        <w:rPr>
          <w:rFonts w:ascii="宋体" w:hAnsi="宋体" w:eastAsia="宋体" w:cs="宋体"/>
          <w:spacing w:val="-3"/>
          <w:sz w:val="24"/>
          <w:szCs w:val="24"/>
        </w:rPr>
        <w:t>以及</w:t>
      </w:r>
      <w:r>
        <w:rPr>
          <w:rFonts w:ascii="宋体" w:hAnsi="宋体" w:eastAsia="宋体" w:cs="宋体"/>
          <w:sz w:val="24"/>
          <w:szCs w:val="24"/>
        </w:rPr>
        <w:t xml:space="preserve"> </w:t>
      </w:r>
      <w:r>
        <w:rPr>
          <w:rFonts w:ascii="宋体" w:hAnsi="宋体" w:eastAsia="宋体" w:cs="宋体"/>
          <w:spacing w:val="-1"/>
          <w:sz w:val="24"/>
          <w:szCs w:val="24"/>
        </w:rPr>
        <w:t>降水前包气带的含水量等有关。为简化起见，通常采用下式计算：</w:t>
      </w:r>
    </w:p>
    <w:p w14:paraId="6754F18F">
      <w:pPr>
        <w:spacing w:line="323" w:lineRule="exact"/>
        <w:ind w:left="3845"/>
        <w:rPr>
          <w:rFonts w:ascii="Times New Roman" w:hAnsi="Times New Roman" w:eastAsia="Times New Roman" w:cs="Times New Roman"/>
          <w:sz w:val="24"/>
          <w:szCs w:val="24"/>
        </w:rPr>
      </w:pPr>
      <w:r>
        <w:rPr>
          <w:rFonts w:ascii="Times New Roman" w:hAnsi="Times New Roman" w:eastAsia="Times New Roman" w:cs="Times New Roman"/>
          <w:spacing w:val="-1"/>
          <w:position w:val="4"/>
          <w:sz w:val="24"/>
          <w:szCs w:val="24"/>
        </w:rPr>
        <w:t>Q=F×α×P/365</w:t>
      </w:r>
    </w:p>
    <w:p w14:paraId="4152A083">
      <w:pPr>
        <w:spacing w:before="152" w:line="219" w:lineRule="auto"/>
        <w:ind w:left="493"/>
        <w:rPr>
          <w:rFonts w:ascii="宋体" w:hAnsi="宋体" w:eastAsia="宋体" w:cs="宋体"/>
          <w:sz w:val="24"/>
          <w:szCs w:val="24"/>
        </w:rPr>
      </w:pPr>
      <w:r>
        <w:rPr>
          <w:rFonts w:ascii="宋体" w:hAnsi="宋体" w:eastAsia="宋体" w:cs="宋体"/>
          <w:spacing w:val="-2"/>
          <w:sz w:val="24"/>
          <w:szCs w:val="24"/>
        </w:rPr>
        <w:t>式中：</w:t>
      </w:r>
      <w:r>
        <w:rPr>
          <w:rFonts w:ascii="Times New Roman" w:hAnsi="Times New Roman" w:eastAsia="Times New Roman" w:cs="Times New Roman"/>
          <w:spacing w:val="-2"/>
          <w:sz w:val="24"/>
          <w:szCs w:val="24"/>
        </w:rPr>
        <w:t>α—</w:t>
      </w:r>
      <w:r>
        <w:rPr>
          <w:rFonts w:ascii="宋体" w:hAnsi="宋体" w:eastAsia="宋体" w:cs="宋体"/>
          <w:spacing w:val="-2"/>
          <w:sz w:val="24"/>
          <w:szCs w:val="24"/>
        </w:rPr>
        <w:t>降水入渗系数（无量纲</w:t>
      </w:r>
      <w:r>
        <w:rPr>
          <w:rFonts w:ascii="宋体" w:hAnsi="宋体" w:eastAsia="宋体" w:cs="宋体"/>
          <w:spacing w:val="13"/>
          <w:sz w:val="24"/>
          <w:szCs w:val="24"/>
        </w:rPr>
        <w:t>），</w:t>
      </w:r>
      <w:r>
        <w:rPr>
          <w:rFonts w:ascii="宋体" w:hAnsi="宋体" w:eastAsia="宋体" w:cs="宋体"/>
          <w:spacing w:val="-2"/>
          <w:sz w:val="24"/>
          <w:szCs w:val="24"/>
        </w:rPr>
        <w:t>区内包气带为粉土和砾砂层，</w:t>
      </w:r>
      <w:r>
        <w:rPr>
          <w:rFonts w:ascii="宋体" w:hAnsi="宋体" w:eastAsia="宋体" w:cs="宋体"/>
          <w:spacing w:val="-3"/>
          <w:sz w:val="24"/>
          <w:szCs w:val="24"/>
        </w:rPr>
        <w:t>本次取</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0.</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12</w:t>
      </w:r>
      <w:r>
        <w:rPr>
          <w:rFonts w:ascii="宋体" w:hAnsi="宋体" w:eastAsia="宋体" w:cs="宋体"/>
          <w:spacing w:val="-3"/>
          <w:sz w:val="24"/>
          <w:szCs w:val="24"/>
        </w:rPr>
        <w:t>；</w:t>
      </w:r>
    </w:p>
    <w:p w14:paraId="6613ABAD">
      <w:pPr>
        <w:spacing w:before="184" w:line="345" w:lineRule="auto"/>
        <w:ind w:left="1202" w:right="3993"/>
        <w:rPr>
          <w:rFonts w:ascii="宋体" w:hAnsi="宋体" w:eastAsia="宋体" w:cs="宋体"/>
          <w:sz w:val="24"/>
          <w:szCs w:val="24"/>
        </w:rPr>
      </w:pPr>
      <w:r>
        <w:rPr>
          <w:rFonts w:ascii="Times New Roman" w:hAnsi="Times New Roman" w:eastAsia="Times New Roman" w:cs="Times New Roman"/>
          <w:spacing w:val="-1"/>
          <w:sz w:val="24"/>
          <w:szCs w:val="24"/>
        </w:rPr>
        <w:t>F—</w:t>
      </w:r>
      <w:r>
        <w:rPr>
          <w:rFonts w:ascii="宋体" w:hAnsi="宋体" w:eastAsia="宋体" w:cs="宋体"/>
          <w:spacing w:val="-1"/>
          <w:sz w:val="24"/>
          <w:szCs w:val="24"/>
        </w:rPr>
        <w:t>接受降水入渗的地表面积（</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8"/>
          <w:sz w:val="15"/>
          <w:szCs w:val="15"/>
        </w:rPr>
        <w:t xml:space="preserve">2 </w:t>
      </w:r>
      <w:r>
        <w:rPr>
          <w:rFonts w:ascii="宋体" w:hAnsi="宋体" w:eastAsia="宋体" w:cs="宋体"/>
          <w:spacing w:val="-42"/>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P—</w:t>
      </w:r>
      <w:r>
        <w:rPr>
          <w:rFonts w:ascii="宋体" w:hAnsi="宋体" w:eastAsia="宋体" w:cs="宋体"/>
          <w:spacing w:val="-1"/>
          <w:sz w:val="24"/>
          <w:szCs w:val="24"/>
        </w:rPr>
        <w:t>年平均降水量（降水深</w:t>
      </w:r>
      <w:r>
        <w:rPr>
          <w:rFonts w:ascii="宋体" w:hAnsi="宋体" w:eastAsia="宋体" w:cs="宋体"/>
          <w:spacing w:val="-7"/>
          <w:sz w:val="24"/>
          <w:szCs w:val="24"/>
        </w:rPr>
        <w:t>）（</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23"/>
          <w:sz w:val="24"/>
          <w:szCs w:val="24"/>
        </w:rPr>
        <w:t xml:space="preserve"> </w:t>
      </w:r>
      <w:r>
        <w:rPr>
          <w:rFonts w:ascii="宋体" w:hAnsi="宋体" w:eastAsia="宋体" w:cs="宋体"/>
          <w:spacing w:val="-7"/>
          <w:sz w:val="24"/>
          <w:szCs w:val="24"/>
        </w:rPr>
        <w:t>）；</w:t>
      </w:r>
    </w:p>
    <w:p w14:paraId="41C819FC">
      <w:pPr>
        <w:spacing w:before="37" w:line="217" w:lineRule="auto"/>
        <w:ind w:left="486"/>
        <w:rPr>
          <w:rFonts w:ascii="宋体" w:hAnsi="宋体" w:eastAsia="宋体" w:cs="宋体"/>
          <w:sz w:val="24"/>
          <w:szCs w:val="24"/>
        </w:rPr>
      </w:pPr>
      <w:r>
        <w:rPr>
          <w:rFonts w:ascii="宋体" w:hAnsi="宋体" w:eastAsia="宋体" w:cs="宋体"/>
          <w:spacing w:val="-1"/>
          <w:sz w:val="24"/>
          <w:szCs w:val="24"/>
        </w:rPr>
        <w:t>②蒸发排泄量的计算</w:t>
      </w:r>
    </w:p>
    <w:p w14:paraId="5FAE5A01">
      <w:pPr>
        <w:spacing w:before="183" w:line="218" w:lineRule="auto"/>
        <w:ind w:left="488"/>
        <w:rPr>
          <w:rFonts w:ascii="宋体" w:hAnsi="宋体" w:eastAsia="宋体" w:cs="宋体"/>
          <w:sz w:val="24"/>
          <w:szCs w:val="24"/>
        </w:rPr>
      </w:pPr>
      <w:r>
        <w:rPr>
          <w:rFonts w:ascii="宋体" w:hAnsi="宋体" w:eastAsia="宋体" w:cs="宋体"/>
          <w:spacing w:val="-1"/>
          <w:sz w:val="24"/>
          <w:szCs w:val="24"/>
        </w:rPr>
        <w:t>根据现场调查，评价区地下水水位埋深较浅，潜水蒸发量强烈。</w:t>
      </w:r>
    </w:p>
    <w:p w14:paraId="2959B9B1">
      <w:pPr>
        <w:spacing w:before="185" w:line="219" w:lineRule="auto"/>
        <w:ind w:left="491"/>
        <w:rPr>
          <w:rFonts w:ascii="宋体" w:hAnsi="宋体" w:eastAsia="宋体" w:cs="宋体"/>
          <w:sz w:val="24"/>
          <w:szCs w:val="24"/>
        </w:rPr>
      </w:pPr>
      <w:r>
        <w:rPr>
          <w:rFonts w:ascii="宋体" w:hAnsi="宋体" w:eastAsia="宋体" w:cs="宋体"/>
          <w:spacing w:val="-1"/>
          <w:sz w:val="24"/>
          <w:szCs w:val="24"/>
        </w:rPr>
        <w:t>蒸发量计算选用潜水蒸发经验公式 （修正后的阿维里扬诺夫公式</w:t>
      </w:r>
      <w:r>
        <w:rPr>
          <w:rFonts w:ascii="宋体" w:hAnsi="宋体" w:eastAsia="宋体" w:cs="宋体"/>
          <w:spacing w:val="7"/>
          <w:sz w:val="24"/>
          <w:szCs w:val="24"/>
        </w:rPr>
        <w:t>）：</w:t>
      </w:r>
    </w:p>
    <w:p w14:paraId="00CD3595">
      <w:pPr>
        <w:spacing w:before="146" w:line="705" w:lineRule="exact"/>
        <w:ind w:firstLine="3210"/>
      </w:pPr>
      <w:r>
        <w:rPr>
          <w:position w:val="-14"/>
        </w:rPr>
        <w:drawing>
          <wp:inline distT="0" distB="0" distL="0" distR="0">
            <wp:extent cx="1682115" cy="447675"/>
            <wp:effectExtent l="0" t="0" r="0" b="0"/>
            <wp:docPr id="160" name="IM 160"/>
            <wp:cNvGraphicFramePr/>
            <a:graphic xmlns:a="http://schemas.openxmlformats.org/drawingml/2006/main">
              <a:graphicData uri="http://schemas.openxmlformats.org/drawingml/2006/picture">
                <pic:pic xmlns:pic="http://schemas.openxmlformats.org/drawingml/2006/picture">
                  <pic:nvPicPr>
                    <pic:cNvPr id="160" name="IM 160"/>
                    <pic:cNvPicPr/>
                  </pic:nvPicPr>
                  <pic:blipFill>
                    <a:blip r:embed="rId657"/>
                    <a:stretch>
                      <a:fillRect/>
                    </a:stretch>
                  </pic:blipFill>
                  <pic:spPr>
                    <a:xfrm>
                      <a:off x="0" y="0"/>
                      <a:ext cx="1682495" cy="448055"/>
                    </a:xfrm>
                    <a:prstGeom prst="rect">
                      <a:avLst/>
                    </a:prstGeom>
                  </pic:spPr>
                </pic:pic>
              </a:graphicData>
            </a:graphic>
          </wp:inline>
        </w:drawing>
      </w:r>
    </w:p>
    <w:p w14:paraId="25ED9575">
      <w:pPr>
        <w:spacing w:before="172" w:line="212" w:lineRule="auto"/>
        <w:ind w:left="493"/>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spacing w:val="-1"/>
          <w:sz w:val="24"/>
          <w:szCs w:val="24"/>
        </w:rPr>
        <w:t>Eg—</w:t>
      </w:r>
      <w:r>
        <w:rPr>
          <w:rFonts w:ascii="宋体" w:hAnsi="宋体" w:eastAsia="宋体" w:cs="宋体"/>
          <w:spacing w:val="-1"/>
          <w:sz w:val="24"/>
          <w:szCs w:val="24"/>
        </w:rPr>
        <w:t>潜水蒸发量，</w:t>
      </w:r>
      <w:r>
        <w:rPr>
          <w:rFonts w:ascii="Times New Roman" w:hAnsi="Times New Roman" w:eastAsia="Times New Roman" w:cs="Times New Roman"/>
          <w:spacing w:val="-1"/>
          <w:sz w:val="24"/>
          <w:szCs w:val="24"/>
        </w:rPr>
        <w:t>mm</w:t>
      </w:r>
      <w:r>
        <w:rPr>
          <w:rFonts w:ascii="宋体" w:hAnsi="宋体" w:eastAsia="宋体" w:cs="宋体"/>
          <w:spacing w:val="-1"/>
          <w:sz w:val="24"/>
          <w:szCs w:val="24"/>
        </w:rPr>
        <w:t>；</w:t>
      </w:r>
    </w:p>
    <w:p w14:paraId="699CDA4A">
      <w:pPr>
        <w:spacing w:before="194" w:line="342" w:lineRule="auto"/>
        <w:ind w:left="26" w:firstLine="1176"/>
        <w:rPr>
          <w:rFonts w:ascii="宋体" w:hAnsi="宋体" w:eastAsia="宋体" w:cs="宋体"/>
          <w:sz w:val="24"/>
          <w:szCs w:val="24"/>
        </w:rPr>
      </w:pPr>
      <w:r>
        <w:rPr>
          <w:rFonts w:ascii="Times New Roman" w:hAnsi="Times New Roman" w:eastAsia="Times New Roman" w:cs="Times New Roman"/>
          <w:spacing w:val="-4"/>
          <w:sz w:val="24"/>
          <w:szCs w:val="24"/>
        </w:rPr>
        <w:t>K—</w:t>
      </w:r>
      <w:r>
        <w:rPr>
          <w:rFonts w:ascii="宋体" w:hAnsi="宋体" w:eastAsia="宋体" w:cs="宋体"/>
          <w:spacing w:val="-4"/>
          <w:sz w:val="24"/>
          <w:szCs w:val="24"/>
        </w:rPr>
        <w:t>作物修正系数（无因次</w:t>
      </w:r>
      <w:r>
        <w:rPr>
          <w:rFonts w:ascii="宋体" w:hAnsi="宋体" w:eastAsia="宋体" w:cs="宋体"/>
          <w:spacing w:val="10"/>
          <w:sz w:val="24"/>
          <w:szCs w:val="24"/>
        </w:rPr>
        <w:t>），</w:t>
      </w:r>
      <w:r>
        <w:rPr>
          <w:rFonts w:ascii="宋体" w:hAnsi="宋体" w:eastAsia="宋体" w:cs="宋体"/>
          <w:spacing w:val="-4"/>
          <w:sz w:val="24"/>
          <w:szCs w:val="24"/>
        </w:rPr>
        <w:t>无作物时</w:t>
      </w:r>
      <w:r>
        <w:rPr>
          <w:rFonts w:ascii="Times New Roman" w:hAnsi="Times New Roman" w:eastAsia="Times New Roman" w:cs="Times New Roman"/>
          <w:spacing w:val="-4"/>
          <w:sz w:val="24"/>
          <w:szCs w:val="24"/>
        </w:rPr>
        <w:t>K</w:t>
      </w:r>
      <w:r>
        <w:rPr>
          <w:rFonts w:ascii="宋体" w:hAnsi="宋体" w:eastAsia="宋体" w:cs="宋体"/>
          <w:spacing w:val="-4"/>
          <w:sz w:val="24"/>
          <w:szCs w:val="24"/>
        </w:rPr>
        <w:t>取</w:t>
      </w:r>
      <w:r>
        <w:rPr>
          <w:rFonts w:ascii="宋体" w:hAnsi="宋体" w:eastAsia="宋体" w:cs="宋体"/>
          <w:spacing w:val="-52"/>
          <w:sz w:val="24"/>
          <w:szCs w:val="24"/>
        </w:rPr>
        <w:t xml:space="preserve"> </w:t>
      </w:r>
      <w:r>
        <w:rPr>
          <w:rFonts w:ascii="Times New Roman" w:hAnsi="Times New Roman" w:eastAsia="Times New Roman" w:cs="Times New Roman"/>
          <w:spacing w:val="-4"/>
          <w:sz w:val="24"/>
          <w:szCs w:val="24"/>
        </w:rPr>
        <w:t>0.9-1.0</w:t>
      </w:r>
      <w:r>
        <w:rPr>
          <w:rFonts w:ascii="Times New Roman" w:hAnsi="Times New Roman" w:eastAsia="Times New Roman" w:cs="Times New Roman"/>
          <w:spacing w:val="-31"/>
          <w:sz w:val="24"/>
          <w:szCs w:val="24"/>
        </w:rPr>
        <w:t xml:space="preserve"> </w:t>
      </w:r>
      <w:r>
        <w:rPr>
          <w:rFonts w:ascii="宋体" w:hAnsi="宋体" w:eastAsia="宋体" w:cs="宋体"/>
          <w:spacing w:val="-4"/>
          <w:sz w:val="24"/>
          <w:szCs w:val="24"/>
        </w:rPr>
        <w:t>，有作物时</w:t>
      </w:r>
      <w:r>
        <w:rPr>
          <w:rFonts w:ascii="Times New Roman" w:hAnsi="Times New Roman" w:eastAsia="Times New Roman" w:cs="Times New Roman"/>
          <w:spacing w:val="-4"/>
          <w:sz w:val="24"/>
          <w:szCs w:val="24"/>
        </w:rPr>
        <w:t>K</w:t>
      </w:r>
      <w:r>
        <w:rPr>
          <w:rFonts w:ascii="宋体" w:hAnsi="宋体" w:eastAsia="宋体" w:cs="宋体"/>
          <w:spacing w:val="-4"/>
          <w:sz w:val="24"/>
          <w:szCs w:val="24"/>
        </w:rPr>
        <w:t>取</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1.0-1.3</w:t>
      </w:r>
      <w:r>
        <w:rPr>
          <w:rFonts w:ascii="宋体" w:hAnsi="宋体" w:eastAsia="宋体" w:cs="宋体"/>
          <w:spacing w:val="-4"/>
          <w:sz w:val="24"/>
          <w:szCs w:val="24"/>
        </w:rPr>
        <w:t>；</w:t>
      </w:r>
      <w:r>
        <w:rPr>
          <w:rFonts w:ascii="宋体" w:hAnsi="宋体" w:eastAsia="宋体" w:cs="宋体"/>
          <w:sz w:val="24"/>
          <w:szCs w:val="24"/>
        </w:rPr>
        <w:t xml:space="preserve"> </w:t>
      </w:r>
      <w:r>
        <w:rPr>
          <w:rFonts w:ascii="宋体" w:hAnsi="宋体" w:eastAsia="宋体" w:cs="宋体"/>
          <w:spacing w:val="-4"/>
          <w:sz w:val="24"/>
          <w:szCs w:val="24"/>
        </w:rPr>
        <w:t>区内有作物生长，故</w:t>
      </w:r>
      <w:r>
        <w:rPr>
          <w:rFonts w:ascii="Times New Roman" w:hAnsi="Times New Roman" w:eastAsia="Times New Roman" w:cs="Times New Roman"/>
          <w:spacing w:val="-4"/>
          <w:sz w:val="24"/>
          <w:szCs w:val="24"/>
        </w:rPr>
        <w:t>K</w:t>
      </w:r>
      <w:r>
        <w:rPr>
          <w:rFonts w:ascii="宋体" w:hAnsi="宋体" w:eastAsia="宋体" w:cs="宋体"/>
          <w:spacing w:val="-4"/>
          <w:sz w:val="24"/>
          <w:szCs w:val="24"/>
        </w:rPr>
        <w:t>取</w:t>
      </w:r>
      <w:r>
        <w:rPr>
          <w:rFonts w:ascii="宋体" w:hAnsi="宋体" w:eastAsia="宋体" w:cs="宋体"/>
          <w:spacing w:val="-29"/>
          <w:sz w:val="24"/>
          <w:szCs w:val="24"/>
        </w:rPr>
        <w:t xml:space="preserve"> </w:t>
      </w:r>
      <w:r>
        <w:rPr>
          <w:rFonts w:ascii="Times New Roman" w:hAnsi="Times New Roman" w:eastAsia="Times New Roman" w:cs="Times New Roman"/>
          <w:spacing w:val="-4"/>
          <w:sz w:val="24"/>
          <w:szCs w:val="24"/>
        </w:rPr>
        <w:t>1.1</w:t>
      </w:r>
      <w:r>
        <w:rPr>
          <w:rFonts w:ascii="宋体" w:hAnsi="宋体" w:eastAsia="宋体" w:cs="宋体"/>
          <w:spacing w:val="-4"/>
          <w:sz w:val="24"/>
          <w:szCs w:val="24"/>
        </w:rPr>
        <w:t>。</w:t>
      </w:r>
    </w:p>
    <w:p w14:paraId="08673075">
      <w:pPr>
        <w:spacing w:line="322" w:lineRule="exact"/>
        <w:ind w:left="964"/>
        <w:rPr>
          <w:rFonts w:ascii="宋体" w:hAnsi="宋体" w:eastAsia="宋体" w:cs="宋体"/>
          <w:sz w:val="24"/>
          <w:szCs w:val="24"/>
        </w:rPr>
      </w:pPr>
      <w:r>
        <w:rPr>
          <w:rFonts w:ascii="Times New Roman" w:hAnsi="Times New Roman" w:eastAsia="Times New Roman" w:cs="Times New Roman"/>
          <w:spacing w:val="-1"/>
          <w:position w:val="2"/>
          <w:sz w:val="24"/>
          <w:szCs w:val="24"/>
        </w:rPr>
        <w:t>E</w:t>
      </w:r>
      <w:r>
        <w:rPr>
          <w:rFonts w:ascii="Times New Roman" w:hAnsi="Times New Roman" w:eastAsia="Times New Roman" w:cs="Times New Roman"/>
          <w:spacing w:val="-1"/>
          <w:position w:val="1"/>
          <w:sz w:val="15"/>
          <w:szCs w:val="15"/>
        </w:rPr>
        <w:t>0</w:t>
      </w:r>
      <w:r>
        <w:rPr>
          <w:rFonts w:ascii="Times New Roman" w:hAnsi="Times New Roman" w:eastAsia="Times New Roman" w:cs="Times New Roman"/>
          <w:spacing w:val="-1"/>
          <w:position w:val="2"/>
          <w:sz w:val="24"/>
          <w:szCs w:val="24"/>
        </w:rPr>
        <w:t>—</w:t>
      </w:r>
      <w:r>
        <w:rPr>
          <w:rFonts w:ascii="宋体" w:hAnsi="宋体" w:eastAsia="宋体" w:cs="宋体"/>
          <w:spacing w:val="-1"/>
          <w:position w:val="2"/>
          <w:sz w:val="24"/>
          <w:szCs w:val="24"/>
        </w:rPr>
        <w:t>水面蒸发量，</w:t>
      </w:r>
      <w:r>
        <w:rPr>
          <w:rFonts w:ascii="Times New Roman" w:hAnsi="Times New Roman" w:eastAsia="Times New Roman" w:cs="Times New Roman"/>
          <w:spacing w:val="-1"/>
          <w:position w:val="2"/>
          <w:sz w:val="24"/>
          <w:szCs w:val="24"/>
        </w:rPr>
        <w:t>mm,</w:t>
      </w:r>
      <w:r>
        <w:rPr>
          <w:rFonts w:ascii="宋体" w:hAnsi="宋体" w:eastAsia="宋体" w:cs="宋体"/>
          <w:spacing w:val="-1"/>
          <w:position w:val="2"/>
          <w:sz w:val="24"/>
          <w:szCs w:val="24"/>
        </w:rPr>
        <w:t>取察右前旗多年平均蒸发量，</w:t>
      </w:r>
      <w:r>
        <w:rPr>
          <w:rFonts w:ascii="Times New Roman" w:hAnsi="Times New Roman" w:eastAsia="Times New Roman" w:cs="Times New Roman"/>
          <w:spacing w:val="-1"/>
          <w:position w:val="2"/>
          <w:sz w:val="24"/>
          <w:szCs w:val="24"/>
        </w:rPr>
        <w:t>E</w:t>
      </w:r>
      <w:r>
        <w:rPr>
          <w:rFonts w:ascii="Times New Roman" w:hAnsi="Times New Roman" w:eastAsia="Times New Roman" w:cs="Times New Roman"/>
          <w:spacing w:val="-1"/>
          <w:position w:val="1"/>
          <w:sz w:val="15"/>
          <w:szCs w:val="15"/>
        </w:rPr>
        <w:t>0</w:t>
      </w:r>
      <w:r>
        <w:rPr>
          <w:rFonts w:ascii="Times New Roman" w:hAnsi="Times New Roman" w:eastAsia="Times New Roman" w:cs="Times New Roman"/>
          <w:spacing w:val="-1"/>
          <w:position w:val="2"/>
          <w:sz w:val="24"/>
          <w:szCs w:val="24"/>
        </w:rPr>
        <w:t>=</w:t>
      </w:r>
      <w:r>
        <w:rPr>
          <w:rFonts w:ascii="Times New Roman" w:hAnsi="Times New Roman" w:eastAsia="Times New Roman" w:cs="Times New Roman"/>
          <w:spacing w:val="-26"/>
          <w:position w:val="2"/>
          <w:sz w:val="24"/>
          <w:szCs w:val="24"/>
        </w:rPr>
        <w:t xml:space="preserve"> </w:t>
      </w:r>
      <w:r>
        <w:rPr>
          <w:rFonts w:ascii="Times New Roman" w:hAnsi="Times New Roman" w:eastAsia="Times New Roman" w:cs="Times New Roman"/>
          <w:spacing w:val="-1"/>
          <w:position w:val="2"/>
          <w:sz w:val="24"/>
          <w:szCs w:val="24"/>
        </w:rPr>
        <w:t>1957.7mm</w:t>
      </w:r>
      <w:r>
        <w:rPr>
          <w:rFonts w:ascii="宋体" w:hAnsi="宋体" w:eastAsia="宋体" w:cs="宋体"/>
          <w:spacing w:val="-1"/>
          <w:position w:val="2"/>
          <w:sz w:val="24"/>
          <w:szCs w:val="24"/>
        </w:rPr>
        <w:t>；</w:t>
      </w:r>
    </w:p>
    <w:p w14:paraId="284B04E4">
      <w:pPr>
        <w:spacing w:line="322" w:lineRule="exact"/>
        <w:rPr>
          <w:rFonts w:ascii="宋体" w:hAnsi="宋体" w:eastAsia="宋体" w:cs="宋体"/>
          <w:sz w:val="24"/>
          <w:szCs w:val="24"/>
        </w:rPr>
        <w:sectPr>
          <w:headerReference r:id="rId327" w:type="default"/>
          <w:footerReference r:id="rId328" w:type="default"/>
          <w:pgSz w:w="11906" w:h="16839"/>
          <w:pgMar w:top="1190" w:right="1359" w:bottom="1427" w:left="1417" w:header="882" w:footer="1265" w:gutter="0"/>
          <w:cols w:space="720" w:num="1"/>
        </w:sectPr>
      </w:pPr>
    </w:p>
    <w:p w14:paraId="4C075582">
      <w:pPr>
        <w:spacing w:line="28" w:lineRule="exact"/>
      </w:pPr>
      <w:r>
        <w:pict>
          <v:shape id="_x0000_s1825" o:spid="_x0000_s1825" style="height:1.45pt;width:453.65pt;" fillcolor="#000000" filled="t" stroked="f" coordsize="9072,29" path="m0,0l9072,0,9072,28,0,28,0,0xe">
            <v:path/>
            <v:fill on="t" focussize="0,0"/>
            <v:stroke on="f"/>
            <v:imagedata o:title=""/>
            <o:lock v:ext="edit"/>
            <w10:wrap type="none"/>
            <w10:anchorlock/>
          </v:shape>
        </w:pict>
      </w:r>
    </w:p>
    <w:p w14:paraId="46898574">
      <w:pPr>
        <w:spacing w:before="188" w:line="322" w:lineRule="exact"/>
        <w:ind w:left="962"/>
        <w:rPr>
          <w:rFonts w:ascii="宋体" w:hAnsi="宋体" w:eastAsia="宋体" w:cs="宋体"/>
          <w:sz w:val="24"/>
          <w:szCs w:val="24"/>
        </w:rPr>
      </w:pPr>
      <w:r>
        <w:rPr>
          <w:rFonts w:ascii="Times New Roman" w:hAnsi="Times New Roman" w:eastAsia="Times New Roman" w:cs="Times New Roman"/>
          <w:position w:val="1"/>
          <w:sz w:val="24"/>
          <w:szCs w:val="24"/>
        </w:rPr>
        <w:t>Z</w:t>
      </w:r>
      <w:r>
        <w:rPr>
          <w:rFonts w:ascii="Times New Roman" w:hAnsi="Times New Roman" w:eastAsia="Times New Roman" w:cs="Times New Roman"/>
          <w:sz w:val="15"/>
          <w:szCs w:val="15"/>
        </w:rPr>
        <w:t>0</w:t>
      </w:r>
      <w:r>
        <w:rPr>
          <w:rFonts w:ascii="Times New Roman" w:hAnsi="Times New Roman" w:eastAsia="Times New Roman" w:cs="Times New Roman"/>
          <w:position w:val="1"/>
          <w:sz w:val="24"/>
          <w:szCs w:val="24"/>
        </w:rPr>
        <w:t>—</w:t>
      </w:r>
      <w:r>
        <w:rPr>
          <w:rFonts w:ascii="宋体" w:hAnsi="宋体" w:eastAsia="宋体" w:cs="宋体"/>
          <w:position w:val="1"/>
          <w:sz w:val="24"/>
          <w:szCs w:val="24"/>
        </w:rPr>
        <w:t>极限埋深，据区内浅层土质多为粉土和粉细砂之混合物，取</w:t>
      </w:r>
      <w:r>
        <w:rPr>
          <w:rFonts w:ascii="Times New Roman" w:hAnsi="Times New Roman" w:eastAsia="Times New Roman" w:cs="Times New Roman"/>
          <w:position w:val="1"/>
          <w:sz w:val="24"/>
          <w:szCs w:val="24"/>
        </w:rPr>
        <w:t>z</w:t>
      </w:r>
      <w:r>
        <w:rPr>
          <w:rFonts w:ascii="Times New Roman" w:hAnsi="Times New Roman" w:eastAsia="Times New Roman" w:cs="Times New Roman"/>
          <w:position w:val="1"/>
          <w:sz w:val="15"/>
          <w:szCs w:val="15"/>
        </w:rPr>
        <w:t>0</w:t>
      </w:r>
      <w:r>
        <w:rPr>
          <w:rFonts w:ascii="Times New Roman" w:hAnsi="Times New Roman" w:eastAsia="Times New Roman" w:cs="Times New Roman"/>
          <w:position w:val="1"/>
          <w:sz w:val="24"/>
          <w:szCs w:val="24"/>
        </w:rPr>
        <w:t>=3.5m</w:t>
      </w:r>
      <w:r>
        <w:rPr>
          <w:rFonts w:ascii="宋体" w:hAnsi="宋体" w:eastAsia="宋体" w:cs="宋体"/>
          <w:position w:val="1"/>
          <w:sz w:val="24"/>
          <w:szCs w:val="24"/>
        </w:rPr>
        <w:t>；</w:t>
      </w:r>
    </w:p>
    <w:p w14:paraId="43D6E731">
      <w:pPr>
        <w:spacing w:before="145" w:line="335" w:lineRule="auto"/>
        <w:ind w:left="8" w:right="1" w:firstLine="955"/>
        <w:rPr>
          <w:rFonts w:ascii="宋体" w:hAnsi="宋体" w:eastAsia="宋体" w:cs="宋体"/>
          <w:sz w:val="24"/>
          <w:szCs w:val="24"/>
        </w:rPr>
      </w:pPr>
      <w:r>
        <w:rPr>
          <w:rFonts w:ascii="Times New Roman" w:hAnsi="Times New Roman" w:eastAsia="Times New Roman" w:cs="Times New Roman"/>
          <w:sz w:val="24"/>
          <w:szCs w:val="24"/>
        </w:rPr>
        <w:t>z—</w:t>
      </w:r>
      <w:r>
        <w:rPr>
          <w:rFonts w:ascii="宋体" w:hAnsi="宋体" w:eastAsia="宋体" w:cs="宋体"/>
          <w:sz w:val="24"/>
          <w:szCs w:val="24"/>
        </w:rPr>
        <w:t>潜水埋深，根据潜水位埋深图，潜水位埋深小于</w:t>
      </w:r>
      <w:r>
        <w:rPr>
          <w:rFonts w:ascii="宋体" w:hAnsi="宋体" w:eastAsia="宋体" w:cs="宋体"/>
          <w:spacing w:val="-50"/>
          <w:sz w:val="24"/>
          <w:szCs w:val="24"/>
        </w:rPr>
        <w:t xml:space="preserve"> </w:t>
      </w:r>
      <w:r>
        <w:rPr>
          <w:rFonts w:ascii="Times New Roman" w:hAnsi="Times New Roman" w:eastAsia="Times New Roman" w:cs="Times New Roman"/>
          <w:sz w:val="24"/>
          <w:szCs w:val="24"/>
        </w:rPr>
        <w:t>2m</w:t>
      </w:r>
      <w:r>
        <w:rPr>
          <w:rFonts w:ascii="宋体" w:hAnsi="宋体" w:eastAsia="宋体" w:cs="宋体"/>
          <w:sz w:val="24"/>
          <w:szCs w:val="24"/>
        </w:rPr>
        <w:t>区，取</w:t>
      </w:r>
      <w:r>
        <w:rPr>
          <w:rFonts w:ascii="Times New Roman" w:hAnsi="Times New Roman" w:eastAsia="Times New Roman" w:cs="Times New Roman"/>
          <w:sz w:val="24"/>
          <w:szCs w:val="24"/>
        </w:rPr>
        <w:t>z1=</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z w:val="24"/>
          <w:szCs w:val="24"/>
        </w:rPr>
        <w:t>1</w:t>
      </w:r>
      <w:r>
        <w:rPr>
          <w:rFonts w:ascii="Times New Roman" w:hAnsi="Times New Roman" w:eastAsia="Times New Roman" w:cs="Times New Roman"/>
          <w:spacing w:val="-1"/>
          <w:sz w:val="24"/>
          <w:szCs w:val="24"/>
        </w:rPr>
        <w:t>.0m</w:t>
      </w:r>
      <w:r>
        <w:rPr>
          <w:rFonts w:ascii="Times New Roman" w:hAnsi="Times New Roman" w:eastAsia="Times New Roman" w:cs="Times New Roman"/>
          <w:spacing w:val="-28"/>
          <w:sz w:val="24"/>
          <w:szCs w:val="24"/>
        </w:rPr>
        <w:t xml:space="preserve"> </w:t>
      </w:r>
      <w:r>
        <w:rPr>
          <w:rFonts w:ascii="宋体" w:hAnsi="宋体" w:eastAsia="宋体" w:cs="宋体"/>
          <w:spacing w:val="-1"/>
          <w:sz w:val="24"/>
          <w:szCs w:val="24"/>
        </w:rPr>
        <w:t>，潜水</w:t>
      </w:r>
      <w:r>
        <w:rPr>
          <w:rFonts w:ascii="宋体" w:hAnsi="宋体" w:eastAsia="宋体" w:cs="宋体"/>
          <w:sz w:val="24"/>
          <w:szCs w:val="24"/>
        </w:rPr>
        <w:t xml:space="preserve"> </w:t>
      </w:r>
      <w:r>
        <w:rPr>
          <w:rFonts w:ascii="宋体" w:hAnsi="宋体" w:eastAsia="宋体" w:cs="宋体"/>
          <w:spacing w:val="-1"/>
          <w:sz w:val="24"/>
          <w:szCs w:val="24"/>
        </w:rPr>
        <w:t>位埋深</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2-5m</w:t>
      </w:r>
      <w:r>
        <w:rPr>
          <w:rFonts w:ascii="宋体" w:hAnsi="宋体" w:eastAsia="宋体" w:cs="宋体"/>
          <w:spacing w:val="-1"/>
          <w:sz w:val="24"/>
          <w:szCs w:val="24"/>
        </w:rPr>
        <w:t>区，取</w:t>
      </w:r>
      <w:r>
        <w:rPr>
          <w:rFonts w:ascii="Times New Roman" w:hAnsi="Times New Roman" w:eastAsia="Times New Roman" w:cs="Times New Roman"/>
          <w:spacing w:val="-1"/>
          <w:sz w:val="24"/>
          <w:szCs w:val="24"/>
        </w:rPr>
        <w:t>z2=2.5m</w:t>
      </w:r>
      <w:r>
        <w:rPr>
          <w:rFonts w:ascii="宋体" w:hAnsi="宋体" w:eastAsia="宋体" w:cs="宋体"/>
          <w:spacing w:val="-1"/>
          <w:sz w:val="24"/>
          <w:szCs w:val="24"/>
        </w:rPr>
        <w:t>；</w:t>
      </w:r>
    </w:p>
    <w:p w14:paraId="071C842D">
      <w:pPr>
        <w:spacing w:before="62" w:line="323" w:lineRule="exact"/>
        <w:ind w:left="960"/>
        <w:rPr>
          <w:rFonts w:ascii="宋体" w:hAnsi="宋体" w:eastAsia="宋体" w:cs="宋体"/>
          <w:sz w:val="24"/>
          <w:szCs w:val="24"/>
        </w:rPr>
      </w:pPr>
      <w:r>
        <w:rPr>
          <w:rFonts w:ascii="Times New Roman" w:hAnsi="Times New Roman" w:eastAsia="Times New Roman" w:cs="Times New Roman"/>
          <w:spacing w:val="-2"/>
          <w:position w:val="1"/>
          <w:sz w:val="24"/>
          <w:szCs w:val="24"/>
        </w:rPr>
        <w:t>n—</w:t>
      </w:r>
      <w:r>
        <w:rPr>
          <w:rFonts w:ascii="宋体" w:hAnsi="宋体" w:eastAsia="宋体" w:cs="宋体"/>
          <w:spacing w:val="-2"/>
          <w:position w:val="1"/>
          <w:sz w:val="24"/>
          <w:szCs w:val="24"/>
        </w:rPr>
        <w:t>经验系数，一般为</w:t>
      </w:r>
      <w:r>
        <w:rPr>
          <w:rFonts w:ascii="宋体" w:hAnsi="宋体" w:eastAsia="宋体" w:cs="宋体"/>
          <w:spacing w:val="-32"/>
          <w:position w:val="1"/>
          <w:sz w:val="24"/>
          <w:szCs w:val="24"/>
        </w:rPr>
        <w:t xml:space="preserve"> </w:t>
      </w:r>
      <w:r>
        <w:rPr>
          <w:rFonts w:ascii="Times New Roman" w:hAnsi="Times New Roman" w:eastAsia="Times New Roman" w:cs="Times New Roman"/>
          <w:spacing w:val="-2"/>
          <w:position w:val="1"/>
          <w:sz w:val="24"/>
          <w:szCs w:val="24"/>
        </w:rPr>
        <w:t>1.0-2.0</w:t>
      </w:r>
      <w:r>
        <w:rPr>
          <w:rFonts w:ascii="Times New Roman" w:hAnsi="Times New Roman" w:eastAsia="Times New Roman" w:cs="Times New Roman"/>
          <w:spacing w:val="-31"/>
          <w:position w:val="1"/>
          <w:sz w:val="24"/>
          <w:szCs w:val="24"/>
        </w:rPr>
        <w:t xml:space="preserve"> </w:t>
      </w:r>
      <w:r>
        <w:rPr>
          <w:rFonts w:ascii="宋体" w:hAnsi="宋体" w:eastAsia="宋体" w:cs="宋体"/>
          <w:spacing w:val="-2"/>
          <w:position w:val="1"/>
          <w:sz w:val="24"/>
          <w:szCs w:val="24"/>
        </w:rPr>
        <w:t>，取中值，</w:t>
      </w:r>
      <w:r>
        <w:rPr>
          <w:rFonts w:ascii="Times New Roman" w:hAnsi="Times New Roman" w:eastAsia="Times New Roman" w:cs="Times New Roman"/>
          <w:spacing w:val="-3"/>
          <w:position w:val="1"/>
          <w:sz w:val="24"/>
          <w:szCs w:val="24"/>
        </w:rPr>
        <w:t>n=1.5</w:t>
      </w:r>
      <w:r>
        <w:rPr>
          <w:rFonts w:ascii="宋体" w:hAnsi="宋体" w:eastAsia="宋体" w:cs="宋体"/>
          <w:spacing w:val="-3"/>
          <w:position w:val="1"/>
          <w:sz w:val="24"/>
          <w:szCs w:val="24"/>
        </w:rPr>
        <w:t>。</w:t>
      </w:r>
    </w:p>
    <w:p w14:paraId="021E0176">
      <w:pPr>
        <w:spacing w:before="188" w:line="345" w:lineRule="auto"/>
        <w:ind w:left="8" w:right="1" w:firstLine="480"/>
        <w:rPr>
          <w:rFonts w:ascii="宋体" w:hAnsi="宋体" w:eastAsia="宋体" w:cs="宋体"/>
          <w:sz w:val="24"/>
          <w:szCs w:val="24"/>
        </w:rPr>
      </w:pPr>
      <w:r>
        <w:rPr>
          <w:rFonts w:ascii="宋体" w:hAnsi="宋体" w:eastAsia="宋体" w:cs="宋体"/>
          <w:spacing w:val="1"/>
          <w:sz w:val="24"/>
          <w:szCs w:val="24"/>
        </w:rPr>
        <w:t>地下水位埋深大于</w:t>
      </w:r>
      <w:r>
        <w:rPr>
          <w:rFonts w:ascii="宋体" w:hAnsi="宋体" w:eastAsia="宋体" w:cs="宋体"/>
          <w:spacing w:val="-42"/>
          <w:sz w:val="24"/>
          <w:szCs w:val="24"/>
        </w:rPr>
        <w:t xml:space="preserve"> </w:t>
      </w:r>
      <w:r>
        <w:rPr>
          <w:rFonts w:ascii="Times New Roman" w:hAnsi="Times New Roman" w:eastAsia="Times New Roman" w:cs="Times New Roman"/>
          <w:spacing w:val="1"/>
          <w:sz w:val="24"/>
          <w:szCs w:val="24"/>
        </w:rPr>
        <w:t>5m</w:t>
      </w:r>
      <w:r>
        <w:rPr>
          <w:rFonts w:ascii="宋体" w:hAnsi="宋体" w:eastAsia="宋体" w:cs="宋体"/>
          <w:spacing w:val="1"/>
          <w:sz w:val="24"/>
          <w:szCs w:val="24"/>
        </w:rPr>
        <w:t>区，潜水蒸发量甚微，不予计算。在数值计算过程中，蒸发</w:t>
      </w:r>
      <w:r>
        <w:rPr>
          <w:rFonts w:ascii="宋体" w:hAnsi="宋体" w:eastAsia="宋体" w:cs="宋体"/>
          <w:sz w:val="24"/>
          <w:szCs w:val="24"/>
        </w:rPr>
        <w:t xml:space="preserve"> </w:t>
      </w:r>
      <w:r>
        <w:rPr>
          <w:rFonts w:ascii="宋体" w:hAnsi="宋体" w:eastAsia="宋体" w:cs="宋体"/>
          <w:spacing w:val="-1"/>
          <w:sz w:val="24"/>
          <w:szCs w:val="24"/>
        </w:rPr>
        <w:t>量直接利用模型的蒸发模块进行计算。</w:t>
      </w:r>
    </w:p>
    <w:p w14:paraId="57C8EAB7">
      <w:pPr>
        <w:spacing w:before="37" w:line="217" w:lineRule="auto"/>
        <w:ind w:left="486"/>
        <w:rPr>
          <w:rFonts w:ascii="宋体" w:hAnsi="宋体" w:eastAsia="宋体" w:cs="宋体"/>
          <w:sz w:val="24"/>
          <w:szCs w:val="24"/>
        </w:rPr>
      </w:pPr>
      <w:r>
        <w:rPr>
          <w:rFonts w:ascii="宋体" w:hAnsi="宋体" w:eastAsia="宋体" w:cs="宋体"/>
          <w:spacing w:val="-2"/>
          <w:sz w:val="24"/>
          <w:szCs w:val="24"/>
        </w:rPr>
        <w:t>③人工开采量</w:t>
      </w:r>
    </w:p>
    <w:p w14:paraId="013F0B89">
      <w:pPr>
        <w:spacing w:before="184" w:line="346" w:lineRule="auto"/>
        <w:ind w:left="26" w:right="1" w:firstLine="462"/>
        <w:rPr>
          <w:rFonts w:ascii="宋体" w:hAnsi="宋体" w:eastAsia="宋体" w:cs="宋体"/>
          <w:sz w:val="24"/>
          <w:szCs w:val="24"/>
        </w:rPr>
      </w:pPr>
      <w:r>
        <w:rPr>
          <w:rFonts w:ascii="宋体" w:hAnsi="宋体" w:eastAsia="宋体" w:cs="宋体"/>
          <w:spacing w:val="-2"/>
          <w:sz w:val="24"/>
          <w:szCs w:val="24"/>
        </w:rPr>
        <w:t>根据野外实地调查，人工开采量主要为企业自打水井和灌溉井。将调查的开采量以</w:t>
      </w:r>
      <w:r>
        <w:rPr>
          <w:rFonts w:ascii="宋体" w:hAnsi="宋体" w:eastAsia="宋体" w:cs="宋体"/>
          <w:spacing w:val="13"/>
          <w:sz w:val="24"/>
          <w:szCs w:val="24"/>
        </w:rPr>
        <w:t xml:space="preserve"> </w:t>
      </w:r>
      <w:r>
        <w:rPr>
          <w:rFonts w:ascii="宋体" w:hAnsi="宋体" w:eastAsia="宋体" w:cs="宋体"/>
          <w:spacing w:val="-2"/>
          <w:sz w:val="24"/>
          <w:szCs w:val="24"/>
        </w:rPr>
        <w:t>区的形式直接赋予模型中的</w:t>
      </w:r>
      <w:r>
        <w:rPr>
          <w:rFonts w:ascii="Times New Roman" w:hAnsi="Times New Roman" w:eastAsia="Times New Roman" w:cs="Times New Roman"/>
          <w:spacing w:val="-2"/>
          <w:sz w:val="24"/>
          <w:szCs w:val="24"/>
        </w:rPr>
        <w:t>“recharge”</w:t>
      </w:r>
      <w:r>
        <w:rPr>
          <w:rFonts w:ascii="宋体" w:hAnsi="宋体" w:eastAsia="宋体" w:cs="宋体"/>
          <w:spacing w:val="-2"/>
          <w:sz w:val="24"/>
          <w:szCs w:val="24"/>
        </w:rPr>
        <w:t>模块。</w:t>
      </w:r>
    </w:p>
    <w:p w14:paraId="48327D46">
      <w:pPr>
        <w:spacing w:before="33" w:line="217" w:lineRule="auto"/>
        <w:ind w:left="486"/>
        <w:rPr>
          <w:rFonts w:ascii="宋体" w:hAnsi="宋体" w:eastAsia="宋体" w:cs="宋体"/>
          <w:sz w:val="24"/>
          <w:szCs w:val="24"/>
        </w:rPr>
      </w:pPr>
      <w:r>
        <w:rPr>
          <w:rFonts w:ascii="宋体" w:hAnsi="宋体" w:eastAsia="宋体" w:cs="宋体"/>
          <w:spacing w:val="-1"/>
          <w:sz w:val="24"/>
          <w:szCs w:val="24"/>
        </w:rPr>
        <w:t>④侧向流入流出量</w:t>
      </w:r>
    </w:p>
    <w:p w14:paraId="53332AFF">
      <w:pPr>
        <w:spacing w:before="184" w:line="353" w:lineRule="auto"/>
        <w:ind w:left="7" w:right="1" w:firstLine="480"/>
        <w:rPr>
          <w:rFonts w:ascii="宋体" w:hAnsi="宋体" w:eastAsia="宋体" w:cs="宋体"/>
          <w:sz w:val="24"/>
          <w:szCs w:val="24"/>
        </w:rPr>
      </w:pPr>
      <w:r>
        <w:rPr>
          <w:rFonts w:ascii="宋体" w:hAnsi="宋体" w:eastAsia="宋体" w:cs="宋体"/>
          <w:spacing w:val="-2"/>
          <w:sz w:val="24"/>
          <w:szCs w:val="24"/>
        </w:rPr>
        <w:t>评价区北部为流入边界，南部为流出边界，根据边界附近含水层厚度、渗透系数和</w:t>
      </w:r>
      <w:r>
        <w:rPr>
          <w:rFonts w:ascii="宋体" w:hAnsi="宋体" w:eastAsia="宋体" w:cs="宋体"/>
          <w:spacing w:val="14"/>
          <w:sz w:val="24"/>
          <w:szCs w:val="24"/>
        </w:rPr>
        <w:t xml:space="preserve"> </w:t>
      </w:r>
      <w:r>
        <w:rPr>
          <w:rFonts w:ascii="宋体" w:hAnsi="宋体" w:eastAsia="宋体" w:cs="宋体"/>
          <w:spacing w:val="-2"/>
          <w:sz w:val="24"/>
          <w:szCs w:val="24"/>
        </w:rPr>
        <w:t>水体梯度、边界长度采用达西定律进行计算。在数值模型中，直接将流入量等效为沿着</w:t>
      </w:r>
      <w:r>
        <w:rPr>
          <w:rFonts w:ascii="宋体" w:hAnsi="宋体" w:eastAsia="宋体" w:cs="宋体"/>
          <w:spacing w:val="18"/>
          <w:sz w:val="24"/>
          <w:szCs w:val="24"/>
        </w:rPr>
        <w:t xml:space="preserve"> </w:t>
      </w:r>
      <w:r>
        <w:rPr>
          <w:rFonts w:ascii="宋体" w:hAnsi="宋体" w:eastAsia="宋体" w:cs="宋体"/>
          <w:spacing w:val="-2"/>
          <w:sz w:val="24"/>
          <w:szCs w:val="24"/>
        </w:rPr>
        <w:t>边界均匀分布的注水井，将总流入量平均分配至每口注水井；直接将流出量等效为沿着</w:t>
      </w:r>
      <w:r>
        <w:rPr>
          <w:rFonts w:ascii="宋体" w:hAnsi="宋体" w:eastAsia="宋体" w:cs="宋体"/>
          <w:spacing w:val="18"/>
          <w:sz w:val="24"/>
          <w:szCs w:val="24"/>
        </w:rPr>
        <w:t xml:space="preserve"> </w:t>
      </w:r>
      <w:r>
        <w:rPr>
          <w:rFonts w:ascii="宋体" w:hAnsi="宋体" w:eastAsia="宋体" w:cs="宋体"/>
          <w:spacing w:val="-1"/>
          <w:sz w:val="24"/>
          <w:szCs w:val="24"/>
        </w:rPr>
        <w:t>边界均匀分布的抽水井，将总流抽量平均分配至每口注水井。</w:t>
      </w:r>
    </w:p>
    <w:p w14:paraId="4BC67B47">
      <w:pPr>
        <w:spacing w:before="34"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7</w:t>
      </w:r>
      <w:r>
        <w:rPr>
          <w:rFonts w:ascii="宋体" w:hAnsi="宋体" w:eastAsia="宋体" w:cs="宋体"/>
          <w:spacing w:val="-2"/>
          <w:sz w:val="24"/>
          <w:szCs w:val="24"/>
        </w:rPr>
        <w:t>）模型的识别和验证</w:t>
      </w:r>
    </w:p>
    <w:p w14:paraId="5C1A35A7">
      <w:pPr>
        <w:spacing w:before="182" w:line="349" w:lineRule="auto"/>
        <w:ind w:left="9" w:right="1" w:firstLine="478"/>
        <w:rPr>
          <w:rFonts w:ascii="宋体" w:hAnsi="宋体" w:eastAsia="宋体" w:cs="宋体"/>
          <w:sz w:val="24"/>
          <w:szCs w:val="24"/>
        </w:rPr>
      </w:pPr>
      <w:r>
        <w:rPr>
          <w:rFonts w:ascii="宋体" w:hAnsi="宋体" w:eastAsia="宋体" w:cs="宋体"/>
          <w:spacing w:val="-2"/>
          <w:sz w:val="24"/>
          <w:szCs w:val="24"/>
        </w:rPr>
        <w:t>模型的识别与验证过程是整个模拟中极为重要的一步工作，通常要在反复修改参数</w:t>
      </w:r>
      <w:r>
        <w:rPr>
          <w:rFonts w:ascii="宋体" w:hAnsi="宋体" w:eastAsia="宋体" w:cs="宋体"/>
          <w:spacing w:val="14"/>
          <w:sz w:val="24"/>
          <w:szCs w:val="24"/>
        </w:rPr>
        <w:t xml:space="preserve"> </w:t>
      </w:r>
      <w:r>
        <w:rPr>
          <w:rFonts w:ascii="宋体" w:hAnsi="宋体" w:eastAsia="宋体" w:cs="宋体"/>
          <w:spacing w:val="-2"/>
          <w:sz w:val="24"/>
          <w:szCs w:val="24"/>
        </w:rPr>
        <w:t>和调整某些源汇项输入的基础上，才能达到较为理想的拟合结果。此模型的识别与检验</w:t>
      </w:r>
      <w:r>
        <w:rPr>
          <w:rFonts w:ascii="宋体" w:hAnsi="宋体" w:eastAsia="宋体" w:cs="宋体"/>
          <w:spacing w:val="16"/>
          <w:sz w:val="24"/>
          <w:szCs w:val="24"/>
        </w:rPr>
        <w:t xml:space="preserve"> </w:t>
      </w:r>
      <w:r>
        <w:rPr>
          <w:rFonts w:ascii="宋体" w:hAnsi="宋体" w:eastAsia="宋体" w:cs="宋体"/>
          <w:spacing w:val="-1"/>
          <w:sz w:val="24"/>
          <w:szCs w:val="24"/>
        </w:rPr>
        <w:t>过程采用的方法称为试估</w:t>
      </w:r>
      <w:r>
        <w:rPr>
          <w:rFonts w:ascii="Times New Roman" w:hAnsi="Times New Roman" w:eastAsia="Times New Roman" w:cs="Times New Roman"/>
          <w:spacing w:val="-1"/>
          <w:sz w:val="24"/>
          <w:szCs w:val="24"/>
        </w:rPr>
        <w:t>—</w:t>
      </w:r>
      <w:r>
        <w:rPr>
          <w:rFonts w:ascii="宋体" w:hAnsi="宋体" w:eastAsia="宋体" w:cs="宋体"/>
          <w:spacing w:val="-1"/>
          <w:sz w:val="24"/>
          <w:szCs w:val="24"/>
        </w:rPr>
        <w:t>校正法，属于反求参数的间接方法之一。</w:t>
      </w:r>
    </w:p>
    <w:p w14:paraId="2F3CF751">
      <w:pPr>
        <w:spacing w:before="40" w:line="219" w:lineRule="auto"/>
        <w:ind w:left="489"/>
        <w:rPr>
          <w:rFonts w:ascii="宋体" w:hAnsi="宋体" w:eastAsia="宋体" w:cs="宋体"/>
          <w:sz w:val="24"/>
          <w:szCs w:val="24"/>
        </w:rPr>
      </w:pPr>
      <w:r>
        <w:rPr>
          <w:rFonts w:ascii="宋体" w:hAnsi="宋体" w:eastAsia="宋体" w:cs="宋体"/>
          <w:spacing w:val="-1"/>
          <w:sz w:val="24"/>
          <w:szCs w:val="24"/>
        </w:rPr>
        <w:t>稳定流模型识别和验证主要遵循以下原则：</w:t>
      </w:r>
    </w:p>
    <w:p w14:paraId="6436CA8A">
      <w:pPr>
        <w:spacing w:before="182" w:line="289" w:lineRule="auto"/>
        <w:ind w:left="9" w:right="1" w:firstLine="478"/>
        <w:rPr>
          <w:rFonts w:ascii="宋体" w:hAnsi="宋体" w:eastAsia="宋体" w:cs="宋体"/>
          <w:sz w:val="24"/>
          <w:szCs w:val="24"/>
        </w:rPr>
      </w:pPr>
      <w:r>
        <w:rPr>
          <w:rFonts w:ascii="宋体" w:hAnsi="宋体" w:eastAsia="宋体" w:cs="宋体"/>
          <w:spacing w:val="-2"/>
          <w:sz w:val="24"/>
          <w:szCs w:val="24"/>
        </w:rPr>
        <w:t>①模拟的地下水流场要与实际地下水流场基本一致，即要求地下水模拟等值线与实</w:t>
      </w:r>
      <w:r>
        <w:rPr>
          <w:rFonts w:ascii="宋体" w:hAnsi="宋体" w:eastAsia="宋体" w:cs="宋体"/>
          <w:spacing w:val="14"/>
          <w:sz w:val="24"/>
          <w:szCs w:val="24"/>
        </w:rPr>
        <w:t xml:space="preserve"> </w:t>
      </w:r>
      <w:r>
        <w:rPr>
          <w:rFonts w:ascii="宋体" w:hAnsi="宋体" w:eastAsia="宋体" w:cs="宋体"/>
          <w:spacing w:val="-1"/>
          <w:sz w:val="24"/>
          <w:szCs w:val="24"/>
        </w:rPr>
        <w:t>测地下水位等值线形状相似；</w:t>
      </w:r>
    </w:p>
    <w:p w14:paraId="3B43609B">
      <w:pPr>
        <w:spacing w:before="184" w:line="288" w:lineRule="auto"/>
        <w:ind w:left="8" w:right="1" w:firstLine="478"/>
        <w:rPr>
          <w:rFonts w:ascii="宋体" w:hAnsi="宋体" w:eastAsia="宋体" w:cs="宋体"/>
          <w:sz w:val="24"/>
          <w:szCs w:val="24"/>
        </w:rPr>
      </w:pPr>
      <w:r>
        <w:rPr>
          <w:rFonts w:ascii="宋体" w:hAnsi="宋体" w:eastAsia="宋体" w:cs="宋体"/>
          <w:spacing w:val="-2"/>
          <w:sz w:val="24"/>
          <w:szCs w:val="24"/>
        </w:rPr>
        <w:t>②水位监测点监测数据要与模拟值接近，参加拟合的水位</w:t>
      </w:r>
      <w:r>
        <w:rPr>
          <w:rFonts w:ascii="宋体" w:hAnsi="宋体" w:eastAsia="宋体" w:cs="宋体"/>
          <w:spacing w:val="-3"/>
          <w:sz w:val="24"/>
          <w:szCs w:val="24"/>
        </w:rPr>
        <w:t>监测点至少有</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75%</w:t>
      </w:r>
      <w:r>
        <w:rPr>
          <w:rFonts w:ascii="宋体" w:hAnsi="宋体" w:eastAsia="宋体" w:cs="宋体"/>
          <w:spacing w:val="-3"/>
          <w:sz w:val="24"/>
          <w:szCs w:val="24"/>
        </w:rPr>
        <w:t>的点水</w:t>
      </w:r>
      <w:r>
        <w:rPr>
          <w:rFonts w:ascii="宋体" w:hAnsi="宋体" w:eastAsia="宋体" w:cs="宋体"/>
          <w:sz w:val="24"/>
          <w:szCs w:val="24"/>
        </w:rPr>
        <w:t xml:space="preserve"> </w:t>
      </w:r>
      <w:r>
        <w:rPr>
          <w:rFonts w:ascii="宋体" w:hAnsi="宋体" w:eastAsia="宋体" w:cs="宋体"/>
          <w:spacing w:val="-1"/>
          <w:sz w:val="24"/>
          <w:szCs w:val="24"/>
        </w:rPr>
        <w:t>位模拟值与计算值的偏差在</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0.5m</w:t>
      </w:r>
      <w:r>
        <w:rPr>
          <w:rFonts w:ascii="宋体" w:hAnsi="宋体" w:eastAsia="宋体" w:cs="宋体"/>
          <w:spacing w:val="-1"/>
          <w:sz w:val="24"/>
          <w:szCs w:val="24"/>
        </w:rPr>
        <w:t>以内；</w:t>
      </w:r>
    </w:p>
    <w:p w14:paraId="6D08528E">
      <w:pPr>
        <w:spacing w:before="184" w:line="217" w:lineRule="auto"/>
        <w:ind w:left="486"/>
        <w:rPr>
          <w:rFonts w:ascii="宋体" w:hAnsi="宋体" w:eastAsia="宋体" w:cs="宋体"/>
          <w:sz w:val="24"/>
          <w:szCs w:val="24"/>
        </w:rPr>
      </w:pPr>
      <w:r>
        <w:rPr>
          <w:rFonts w:ascii="宋体" w:hAnsi="宋体" w:eastAsia="宋体" w:cs="宋体"/>
          <w:spacing w:val="-1"/>
          <w:sz w:val="24"/>
          <w:szCs w:val="24"/>
        </w:rPr>
        <w:t>③稳定流模型源之总和与汇之总和相对误差在</w:t>
      </w:r>
      <w:r>
        <w:rPr>
          <w:rFonts w:ascii="Times New Roman" w:hAnsi="Times New Roman" w:eastAsia="Times New Roman" w:cs="Times New Roman"/>
          <w:spacing w:val="-1"/>
          <w:sz w:val="24"/>
          <w:szCs w:val="24"/>
        </w:rPr>
        <w:t>±5%</w:t>
      </w:r>
      <w:r>
        <w:rPr>
          <w:rFonts w:ascii="宋体" w:hAnsi="宋体" w:eastAsia="宋体" w:cs="宋体"/>
          <w:spacing w:val="-1"/>
          <w:sz w:val="24"/>
          <w:szCs w:val="24"/>
        </w:rPr>
        <w:t>以内；</w:t>
      </w:r>
    </w:p>
    <w:p w14:paraId="64AF5F4C">
      <w:pPr>
        <w:spacing w:before="186" w:line="217" w:lineRule="auto"/>
        <w:ind w:left="486"/>
        <w:rPr>
          <w:rFonts w:ascii="宋体" w:hAnsi="宋体" w:eastAsia="宋体" w:cs="宋体"/>
          <w:sz w:val="24"/>
          <w:szCs w:val="24"/>
        </w:rPr>
      </w:pPr>
      <w:r>
        <w:rPr>
          <w:rFonts w:ascii="宋体" w:hAnsi="宋体" w:eastAsia="宋体" w:cs="宋体"/>
          <w:spacing w:val="-1"/>
          <w:sz w:val="24"/>
          <w:szCs w:val="24"/>
        </w:rPr>
        <w:t>④识别的水文地质参数要符合实际水文地质条件。</w:t>
      </w:r>
    </w:p>
    <w:p w14:paraId="00DF839B">
      <w:pPr>
        <w:spacing w:before="182" w:line="345" w:lineRule="auto"/>
        <w:ind w:left="9" w:right="1" w:firstLine="479"/>
        <w:rPr>
          <w:rFonts w:ascii="宋体" w:hAnsi="宋体" w:eastAsia="宋体" w:cs="宋体"/>
          <w:sz w:val="24"/>
          <w:szCs w:val="24"/>
        </w:rPr>
      </w:pPr>
      <w:r>
        <w:rPr>
          <w:rFonts w:ascii="宋体" w:hAnsi="宋体" w:eastAsia="宋体" w:cs="宋体"/>
          <w:spacing w:val="-2"/>
          <w:sz w:val="24"/>
          <w:szCs w:val="24"/>
        </w:rPr>
        <w:t>根据以上四个原则，对模拟区地下水系统进行了识别和验证，通过反复调整参数和</w:t>
      </w:r>
      <w:r>
        <w:rPr>
          <w:rFonts w:ascii="宋体" w:hAnsi="宋体" w:eastAsia="宋体" w:cs="宋体"/>
          <w:spacing w:val="13"/>
          <w:sz w:val="24"/>
          <w:szCs w:val="24"/>
        </w:rPr>
        <w:t xml:space="preserve"> </w:t>
      </w:r>
      <w:r>
        <w:rPr>
          <w:rFonts w:ascii="宋体" w:hAnsi="宋体" w:eastAsia="宋体" w:cs="宋体"/>
          <w:spacing w:val="-1"/>
          <w:sz w:val="24"/>
          <w:szCs w:val="24"/>
        </w:rPr>
        <w:t>均衡量，识别水文地质条件，确定了模型结构、参数和均衡要素。</w:t>
      </w:r>
    </w:p>
    <w:p w14:paraId="68EE3F2A">
      <w:pPr>
        <w:spacing w:before="140" w:line="228" w:lineRule="auto"/>
        <w:ind w:left="2401"/>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2"/>
          <w:sz w:val="20"/>
          <w:szCs w:val="20"/>
        </w:rPr>
        <w:t xml:space="preserve"> </w:t>
      </w:r>
      <w:r>
        <w:rPr>
          <w:rFonts w:ascii="Times New Roman" w:hAnsi="Times New Roman" w:eastAsia="Times New Roman" w:cs="Times New Roman"/>
          <w:b/>
          <w:bCs/>
          <w:spacing w:val="6"/>
          <w:sz w:val="20"/>
          <w:szCs w:val="20"/>
        </w:rPr>
        <w:t xml:space="preserve">4.3-1        </w:t>
      </w:r>
      <w:r>
        <w:rPr>
          <w:rFonts w:ascii="宋体" w:hAnsi="宋体" w:eastAsia="宋体" w:cs="宋体"/>
          <w:b/>
          <w:bCs/>
          <w:spacing w:val="6"/>
          <w:sz w:val="20"/>
          <w:szCs w:val="20"/>
        </w:rPr>
        <w:t>水文地质参数</w:t>
      </w:r>
      <w:r>
        <w:rPr>
          <w:rFonts w:ascii="宋体" w:hAnsi="宋体" w:eastAsia="宋体" w:cs="宋体"/>
          <w:b/>
          <w:bCs/>
          <w:spacing w:val="5"/>
          <w:sz w:val="20"/>
          <w:szCs w:val="20"/>
        </w:rPr>
        <w:t>最终选取结果一览表</w:t>
      </w:r>
    </w:p>
    <w:p w14:paraId="6BAAA114">
      <w:pPr>
        <w:spacing w:line="104" w:lineRule="exact"/>
      </w:pPr>
    </w:p>
    <w:tbl>
      <w:tblPr>
        <w:tblStyle w:val="5"/>
        <w:tblW w:w="9067"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717"/>
        <w:gridCol w:w="2440"/>
        <w:gridCol w:w="2910"/>
      </w:tblGrid>
      <w:tr w14:paraId="3A7461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3717" w:type="dxa"/>
            <w:tcBorders>
              <w:top w:val="single" w:color="000000" w:sz="10" w:space="0"/>
              <w:left w:val="nil"/>
            </w:tcBorders>
            <w:vAlign w:val="top"/>
          </w:tcPr>
          <w:p w14:paraId="30989279">
            <w:pPr>
              <w:pStyle w:val="6"/>
              <w:spacing w:before="61" w:line="228" w:lineRule="auto"/>
              <w:ind w:left="1656"/>
              <w:rPr>
                <w:sz w:val="20"/>
                <w:szCs w:val="20"/>
              </w:rPr>
            </w:pPr>
            <w:r>
              <w:rPr>
                <w:spacing w:val="3"/>
                <w:sz w:val="20"/>
                <w:szCs w:val="20"/>
              </w:rPr>
              <w:t>分区</w:t>
            </w:r>
          </w:p>
        </w:tc>
        <w:tc>
          <w:tcPr>
            <w:tcW w:w="2440" w:type="dxa"/>
            <w:tcBorders>
              <w:top w:val="single" w:color="000000" w:sz="10" w:space="0"/>
            </w:tcBorders>
            <w:vAlign w:val="top"/>
          </w:tcPr>
          <w:p w14:paraId="0EA011ED">
            <w:pPr>
              <w:spacing w:before="100" w:line="192" w:lineRule="auto"/>
              <w:ind w:left="1188"/>
              <w:rPr>
                <w:rFonts w:ascii="Times New Roman" w:hAnsi="Times New Roman" w:eastAsia="Times New Roman" w:cs="Times New Roman"/>
                <w:sz w:val="20"/>
                <w:szCs w:val="20"/>
              </w:rPr>
            </w:pPr>
            <w:r>
              <w:rPr>
                <w:rFonts w:ascii="Times New Roman" w:hAnsi="Times New Roman" w:eastAsia="Times New Roman" w:cs="Times New Roman"/>
                <w:sz w:val="20"/>
                <w:szCs w:val="20"/>
              </w:rPr>
              <w:t>I</w:t>
            </w:r>
          </w:p>
        </w:tc>
        <w:tc>
          <w:tcPr>
            <w:tcW w:w="2910" w:type="dxa"/>
            <w:tcBorders>
              <w:top w:val="single" w:color="000000" w:sz="10" w:space="0"/>
              <w:right w:val="nil"/>
            </w:tcBorders>
            <w:vAlign w:val="top"/>
          </w:tcPr>
          <w:p w14:paraId="44D5F903">
            <w:pPr>
              <w:spacing w:before="100" w:line="192" w:lineRule="auto"/>
              <w:ind w:left="1390"/>
              <w:rPr>
                <w:rFonts w:ascii="Times New Roman" w:hAnsi="Times New Roman" w:eastAsia="Times New Roman" w:cs="Times New Roman"/>
                <w:sz w:val="20"/>
                <w:szCs w:val="20"/>
              </w:rPr>
            </w:pPr>
            <w:r>
              <w:rPr>
                <w:rFonts w:ascii="Times New Roman" w:hAnsi="Times New Roman" w:eastAsia="Times New Roman" w:cs="Times New Roman"/>
                <w:sz w:val="20"/>
                <w:szCs w:val="20"/>
              </w:rPr>
              <w:t>II</w:t>
            </w:r>
          </w:p>
        </w:tc>
      </w:tr>
      <w:tr w14:paraId="281D2B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3717" w:type="dxa"/>
            <w:tcBorders>
              <w:left w:val="nil"/>
              <w:bottom w:val="single" w:color="000000" w:sz="10" w:space="0"/>
            </w:tcBorders>
            <w:vAlign w:val="top"/>
          </w:tcPr>
          <w:p w14:paraId="20F56D35">
            <w:pPr>
              <w:pStyle w:val="6"/>
              <w:spacing w:before="68" w:line="228" w:lineRule="auto"/>
              <w:ind w:left="1071"/>
              <w:rPr>
                <w:sz w:val="20"/>
                <w:szCs w:val="20"/>
              </w:rPr>
            </w:pPr>
            <w:r>
              <w:rPr>
                <w:spacing w:val="6"/>
                <w:sz w:val="20"/>
                <w:szCs w:val="20"/>
              </w:rPr>
              <w:t>渗透系数（</w:t>
            </w:r>
            <w:r>
              <w:rPr>
                <w:rFonts w:ascii="Times New Roman" w:hAnsi="Times New Roman" w:eastAsia="Times New Roman" w:cs="Times New Roman"/>
                <w:spacing w:val="6"/>
                <w:sz w:val="20"/>
                <w:szCs w:val="20"/>
              </w:rPr>
              <w:t>m/d</w:t>
            </w:r>
            <w:r>
              <w:rPr>
                <w:spacing w:val="6"/>
                <w:sz w:val="20"/>
                <w:szCs w:val="20"/>
              </w:rPr>
              <w:t>）</w:t>
            </w:r>
          </w:p>
        </w:tc>
        <w:tc>
          <w:tcPr>
            <w:tcW w:w="2440" w:type="dxa"/>
            <w:tcBorders>
              <w:bottom w:val="single" w:color="000000" w:sz="10" w:space="0"/>
            </w:tcBorders>
            <w:vAlign w:val="top"/>
          </w:tcPr>
          <w:p w14:paraId="176B21DF">
            <w:pPr>
              <w:spacing w:before="105" w:line="195" w:lineRule="auto"/>
              <w:ind w:left="104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5.22</w:t>
            </w:r>
          </w:p>
        </w:tc>
        <w:tc>
          <w:tcPr>
            <w:tcW w:w="2910" w:type="dxa"/>
            <w:tcBorders>
              <w:bottom w:val="single" w:color="000000" w:sz="10" w:space="0"/>
              <w:right w:val="nil"/>
            </w:tcBorders>
            <w:vAlign w:val="top"/>
          </w:tcPr>
          <w:p w14:paraId="290F0D1E">
            <w:pPr>
              <w:spacing w:before="105" w:line="195" w:lineRule="auto"/>
              <w:ind w:left="12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1.36</w:t>
            </w:r>
          </w:p>
        </w:tc>
      </w:tr>
    </w:tbl>
    <w:p w14:paraId="2E85B264">
      <w:pPr>
        <w:pStyle w:val="2"/>
        <w:spacing w:line="168" w:lineRule="exact"/>
        <w:rPr>
          <w:sz w:val="14"/>
        </w:rPr>
      </w:pPr>
    </w:p>
    <w:p w14:paraId="6199FE88">
      <w:pPr>
        <w:spacing w:line="168" w:lineRule="exact"/>
        <w:rPr>
          <w:sz w:val="14"/>
          <w:szCs w:val="14"/>
        </w:rPr>
        <w:sectPr>
          <w:headerReference r:id="rId329" w:type="default"/>
          <w:footerReference r:id="rId330" w:type="default"/>
          <w:pgSz w:w="11906" w:h="16839"/>
          <w:pgMar w:top="1190" w:right="1416" w:bottom="1427" w:left="1417" w:header="882" w:footer="1265" w:gutter="0"/>
          <w:cols w:space="720" w:num="1"/>
        </w:sectPr>
      </w:pPr>
    </w:p>
    <w:p w14:paraId="190A5C33">
      <w:pPr>
        <w:spacing w:line="28" w:lineRule="exact"/>
      </w:pPr>
      <w:r>
        <w:pict>
          <v:shape id="_x0000_s1826" o:spid="_x0000_s1826" style="height:1.45pt;width:453.65pt;" fillcolor="#000000" filled="t" stroked="f" coordsize="9072,29" path="m0,0l9072,0,9072,28,0,28,0,0xe">
            <v:path/>
            <v:fill on="t" focussize="0,0"/>
            <v:stroke on="f"/>
            <v:imagedata o:title=""/>
            <o:lock v:ext="edit"/>
            <w10:wrap type="none"/>
            <w10:anchorlock/>
          </v:shape>
        </w:pict>
      </w:r>
    </w:p>
    <w:p w14:paraId="5AD208CB">
      <w:pPr>
        <w:spacing w:before="238" w:line="222" w:lineRule="auto"/>
        <w:ind w:left="3"/>
        <w:outlineLvl w:val="3"/>
        <w:rPr>
          <w:rFonts w:ascii="黑体" w:hAnsi="黑体" w:eastAsia="黑体" w:cs="黑体"/>
          <w:sz w:val="28"/>
          <w:szCs w:val="28"/>
        </w:rPr>
      </w:pPr>
      <w:r>
        <w:fldChar w:fldCharType="begin"/>
      </w:r>
      <w:r>
        <w:instrText xml:space="preserve"> HYPERLINK "4.3.2.2" </w:instrText>
      </w:r>
      <w:r>
        <w:fldChar w:fldCharType="separate"/>
      </w:r>
      <w:r>
        <w:rPr>
          <w:rFonts w:ascii="Times New Roman" w:hAnsi="Times New Roman" w:eastAsia="Times New Roman" w:cs="Times New Roman"/>
          <w:spacing w:val="-1"/>
          <w:sz w:val="28"/>
          <w:szCs w:val="28"/>
        </w:rPr>
        <w:t>4.3.2.2</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 xml:space="preserve"> </w:t>
      </w:r>
      <w:r>
        <w:rPr>
          <w:rFonts w:ascii="黑体" w:hAnsi="黑体" w:eastAsia="黑体" w:cs="黑体"/>
          <w:spacing w:val="-1"/>
          <w:sz w:val="28"/>
          <w:szCs w:val="28"/>
        </w:rPr>
        <w:t>地下水溶质运移模型</w:t>
      </w:r>
    </w:p>
    <w:p w14:paraId="3CE5FA8A">
      <w:pPr>
        <w:spacing w:before="200"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）预测原则</w:t>
      </w:r>
    </w:p>
    <w:p w14:paraId="091E5BD6">
      <w:pPr>
        <w:spacing w:before="182" w:line="218" w:lineRule="auto"/>
        <w:ind w:left="489"/>
        <w:rPr>
          <w:rFonts w:ascii="宋体" w:hAnsi="宋体" w:eastAsia="宋体" w:cs="宋体"/>
          <w:sz w:val="24"/>
          <w:szCs w:val="24"/>
        </w:rPr>
      </w:pPr>
      <w:r>
        <w:rPr>
          <w:rFonts w:ascii="宋体" w:hAnsi="宋体" w:eastAsia="宋体" w:cs="宋体"/>
          <w:spacing w:val="-1"/>
          <w:sz w:val="24"/>
          <w:szCs w:val="24"/>
        </w:rPr>
        <w:t>本次地下水污染预测评价遵循如下原则：</w:t>
      </w:r>
    </w:p>
    <w:p w14:paraId="5A839BA3">
      <w:pPr>
        <w:spacing w:before="184" w:line="289" w:lineRule="auto"/>
        <w:ind w:left="10" w:right="1" w:firstLine="476"/>
        <w:rPr>
          <w:rFonts w:ascii="宋体" w:hAnsi="宋体" w:eastAsia="宋体" w:cs="宋体"/>
          <w:sz w:val="24"/>
          <w:szCs w:val="24"/>
        </w:rPr>
      </w:pPr>
      <w:r>
        <w:rPr>
          <w:rFonts w:ascii="宋体" w:hAnsi="宋体" w:eastAsia="宋体" w:cs="宋体"/>
          <w:spacing w:val="-1"/>
          <w:sz w:val="24"/>
          <w:szCs w:val="24"/>
        </w:rPr>
        <w:t>①选择《地下水质量标准》（</w:t>
      </w:r>
      <w:r>
        <w:rPr>
          <w:rFonts w:ascii="Times New Roman" w:hAnsi="Times New Roman" w:eastAsia="Times New Roman" w:cs="Times New Roman"/>
          <w:spacing w:val="-1"/>
          <w:sz w:val="24"/>
          <w:szCs w:val="24"/>
        </w:rPr>
        <w:t>GB/T</w:t>
      </w:r>
      <w:r>
        <w:rPr>
          <w:rFonts w:ascii="Times New Roman" w:hAnsi="Times New Roman" w:eastAsia="Times New Roman" w:cs="Times New Roman"/>
          <w:spacing w:val="44"/>
          <w:w w:val="101"/>
          <w:sz w:val="24"/>
          <w:szCs w:val="24"/>
        </w:rPr>
        <w:t xml:space="preserve"> </w:t>
      </w:r>
      <w:r>
        <w:rPr>
          <w:rFonts w:ascii="Times New Roman" w:hAnsi="Times New Roman" w:eastAsia="Times New Roman" w:cs="Times New Roman"/>
          <w:spacing w:val="-1"/>
          <w:sz w:val="24"/>
          <w:szCs w:val="24"/>
        </w:rPr>
        <w:t>14848-2017</w:t>
      </w:r>
      <w:r>
        <w:rPr>
          <w:rFonts w:ascii="宋体" w:hAnsi="宋体" w:eastAsia="宋体" w:cs="宋体"/>
          <w:spacing w:val="-1"/>
          <w:sz w:val="24"/>
          <w:szCs w:val="24"/>
        </w:rPr>
        <w:t>）、《生活饮用水卫生标准》（</w:t>
      </w:r>
      <w:r>
        <w:rPr>
          <w:rFonts w:ascii="Times New Roman" w:hAnsi="Times New Roman" w:eastAsia="Times New Roman" w:cs="Times New Roman"/>
          <w:spacing w:val="-1"/>
          <w:sz w:val="24"/>
          <w:szCs w:val="24"/>
        </w:rPr>
        <w:t>GB</w:t>
      </w:r>
      <w:r>
        <w:rPr>
          <w:rFonts w:ascii="Times New Roman" w:hAnsi="Times New Roman" w:eastAsia="Times New Roman" w:cs="Times New Roman"/>
          <w:sz w:val="24"/>
          <w:szCs w:val="24"/>
        </w:rPr>
        <w:t xml:space="preserve"> 5749-2006</w:t>
      </w:r>
      <w:r>
        <w:rPr>
          <w:rFonts w:ascii="宋体" w:hAnsi="宋体" w:eastAsia="宋体" w:cs="宋体"/>
          <w:sz w:val="24"/>
          <w:szCs w:val="24"/>
        </w:rPr>
        <w:t>）、《地表水环境质量标准》（</w:t>
      </w:r>
      <w:r>
        <w:rPr>
          <w:rFonts w:ascii="Times New Roman" w:hAnsi="Times New Roman" w:eastAsia="Times New Roman" w:cs="Times New Roman"/>
          <w:sz w:val="24"/>
          <w:szCs w:val="24"/>
        </w:rPr>
        <w:t>GB3838-20</w:t>
      </w:r>
      <w:r>
        <w:rPr>
          <w:rFonts w:ascii="Times New Roman" w:hAnsi="Times New Roman" w:eastAsia="Times New Roman" w:cs="Times New Roman"/>
          <w:spacing w:val="-1"/>
          <w:sz w:val="24"/>
          <w:szCs w:val="24"/>
        </w:rPr>
        <w:t>02</w:t>
      </w:r>
      <w:r>
        <w:rPr>
          <w:rFonts w:ascii="宋体" w:hAnsi="宋体" w:eastAsia="宋体" w:cs="宋体"/>
          <w:spacing w:val="-1"/>
          <w:sz w:val="24"/>
          <w:szCs w:val="24"/>
        </w:rPr>
        <w:t>）中有标准因子预测。</w:t>
      </w:r>
    </w:p>
    <w:p w14:paraId="365E20CD">
      <w:pPr>
        <w:spacing w:before="183" w:line="339" w:lineRule="auto"/>
        <w:ind w:left="7" w:right="1" w:firstLine="479"/>
        <w:rPr>
          <w:rFonts w:ascii="宋体" w:hAnsi="宋体" w:eastAsia="宋体" w:cs="宋体"/>
          <w:sz w:val="24"/>
          <w:szCs w:val="24"/>
        </w:rPr>
      </w:pPr>
      <w:r>
        <w:rPr>
          <w:rFonts w:ascii="宋体" w:hAnsi="宋体" w:eastAsia="宋体" w:cs="宋体"/>
          <w:spacing w:val="-2"/>
          <w:sz w:val="24"/>
          <w:szCs w:val="24"/>
        </w:rPr>
        <w:t>②由于污染物在地下水中的运移非常复杂，影响因素除对流、弥散作用以外，还存</w:t>
      </w:r>
      <w:r>
        <w:rPr>
          <w:rFonts w:ascii="宋体" w:hAnsi="宋体" w:eastAsia="宋体" w:cs="宋体"/>
          <w:spacing w:val="15"/>
          <w:sz w:val="24"/>
          <w:szCs w:val="24"/>
        </w:rPr>
        <w:t xml:space="preserve"> </w:t>
      </w:r>
      <w:r>
        <w:rPr>
          <w:rFonts w:ascii="宋体" w:hAnsi="宋体" w:eastAsia="宋体" w:cs="宋体"/>
          <w:spacing w:val="-2"/>
          <w:sz w:val="24"/>
          <w:szCs w:val="24"/>
        </w:rPr>
        <w:t>在物理、化学、微生物等作用，这些作用常常会使污染浓度衰减。目前国际上对这些作</w:t>
      </w:r>
      <w:r>
        <w:rPr>
          <w:rFonts w:ascii="宋体" w:hAnsi="宋体" w:eastAsia="宋体" w:cs="宋体"/>
          <w:spacing w:val="18"/>
          <w:sz w:val="24"/>
          <w:szCs w:val="24"/>
        </w:rPr>
        <w:t xml:space="preserve"> </w:t>
      </w:r>
      <w:r>
        <w:rPr>
          <w:rFonts w:ascii="宋体" w:hAnsi="宋体" w:eastAsia="宋体" w:cs="宋体"/>
          <w:spacing w:val="-2"/>
          <w:sz w:val="24"/>
          <w:szCs w:val="24"/>
        </w:rPr>
        <w:t>用参数的准确获取还存在着困难，因此，从最不利角度考虑，预测时只考虑污染物在地</w:t>
      </w:r>
      <w:r>
        <w:rPr>
          <w:rFonts w:ascii="宋体" w:hAnsi="宋体" w:eastAsia="宋体" w:cs="宋体"/>
          <w:spacing w:val="18"/>
          <w:sz w:val="24"/>
          <w:szCs w:val="24"/>
        </w:rPr>
        <w:t xml:space="preserve"> </w:t>
      </w:r>
      <w:r>
        <w:rPr>
          <w:rFonts w:ascii="宋体" w:hAnsi="宋体" w:eastAsia="宋体" w:cs="宋体"/>
          <w:spacing w:val="-2"/>
          <w:sz w:val="24"/>
          <w:szCs w:val="24"/>
        </w:rPr>
        <w:t>下水中的对流和弥散作用，不考虑吸附、生物降解、挥发、沉淀等其他的物理化学和生</w:t>
      </w:r>
      <w:r>
        <w:rPr>
          <w:rFonts w:ascii="宋体" w:hAnsi="宋体" w:eastAsia="宋体" w:cs="宋体"/>
          <w:spacing w:val="18"/>
          <w:sz w:val="24"/>
          <w:szCs w:val="24"/>
        </w:rPr>
        <w:t xml:space="preserve"> </w:t>
      </w:r>
      <w:r>
        <w:rPr>
          <w:rFonts w:ascii="宋体" w:hAnsi="宋体" w:eastAsia="宋体" w:cs="宋体"/>
          <w:spacing w:val="-2"/>
          <w:sz w:val="24"/>
          <w:szCs w:val="24"/>
        </w:rPr>
        <w:t>物化学作用；选择预测因子时，将各项因子采用标准指数法进行排序，取所有因子中的</w:t>
      </w:r>
      <w:r>
        <w:rPr>
          <w:rFonts w:ascii="宋体" w:hAnsi="宋体" w:eastAsia="宋体" w:cs="宋体"/>
          <w:spacing w:val="18"/>
          <w:sz w:val="24"/>
          <w:szCs w:val="24"/>
        </w:rPr>
        <w:t xml:space="preserve"> </w:t>
      </w:r>
      <w:r>
        <w:rPr>
          <w:rFonts w:ascii="宋体" w:hAnsi="宋体" w:eastAsia="宋体" w:cs="宋体"/>
          <w:spacing w:val="-2"/>
          <w:sz w:val="24"/>
          <w:szCs w:val="24"/>
        </w:rPr>
        <w:t>标准指数最大的因子作为预测因子，选择标准指数最大的因子进行预测，其结果能代表</w:t>
      </w:r>
      <w:r>
        <w:rPr>
          <w:rFonts w:ascii="宋体" w:hAnsi="宋体" w:eastAsia="宋体" w:cs="宋体"/>
          <w:spacing w:val="18"/>
          <w:sz w:val="24"/>
          <w:szCs w:val="24"/>
        </w:rPr>
        <w:t xml:space="preserve"> </w:t>
      </w:r>
      <w:r>
        <w:rPr>
          <w:rFonts w:ascii="宋体" w:hAnsi="宋体" w:eastAsia="宋体" w:cs="宋体"/>
          <w:sz w:val="24"/>
          <w:szCs w:val="24"/>
        </w:rPr>
        <w:t>同等泄漏强度下所有污染因子在地下水中迁</w:t>
      </w:r>
      <w:r>
        <w:rPr>
          <w:rFonts w:ascii="宋体" w:hAnsi="宋体" w:eastAsia="宋体" w:cs="宋体"/>
          <w:spacing w:val="-1"/>
          <w:sz w:val="24"/>
          <w:szCs w:val="24"/>
        </w:rPr>
        <w:t>移和污染的最大范围。</w:t>
      </w:r>
    </w:p>
    <w:p w14:paraId="23B5746B">
      <w:pPr>
        <w:spacing w:before="180" w:line="313" w:lineRule="auto"/>
        <w:ind w:left="7" w:right="1" w:firstLine="479"/>
        <w:rPr>
          <w:rFonts w:ascii="宋体" w:hAnsi="宋体" w:eastAsia="宋体" w:cs="宋体"/>
          <w:sz w:val="24"/>
          <w:szCs w:val="24"/>
        </w:rPr>
      </w:pPr>
      <w:r>
        <w:rPr>
          <w:rFonts w:ascii="宋体" w:hAnsi="宋体" w:eastAsia="宋体" w:cs="宋体"/>
          <w:spacing w:val="-2"/>
          <w:sz w:val="24"/>
          <w:szCs w:val="24"/>
        </w:rPr>
        <w:t>③本厂区包气带岩性为粉土、砾砂层，具有一定的透水性，为了考虑最不利状况，</w:t>
      </w:r>
      <w:r>
        <w:rPr>
          <w:rFonts w:ascii="宋体" w:hAnsi="宋体" w:eastAsia="宋体" w:cs="宋体"/>
          <w:spacing w:val="15"/>
          <w:sz w:val="24"/>
          <w:szCs w:val="24"/>
        </w:rPr>
        <w:t xml:space="preserve"> </w:t>
      </w:r>
      <w:r>
        <w:rPr>
          <w:rFonts w:ascii="宋体" w:hAnsi="宋体" w:eastAsia="宋体" w:cs="宋体"/>
          <w:spacing w:val="-2"/>
          <w:sz w:val="24"/>
          <w:szCs w:val="24"/>
        </w:rPr>
        <w:t>模型预测时将不考虑包气带对污染物的截留作用，假设污染物可以直接通过包气带进入</w:t>
      </w:r>
      <w:r>
        <w:rPr>
          <w:rFonts w:ascii="宋体" w:hAnsi="宋体" w:eastAsia="宋体" w:cs="宋体"/>
          <w:spacing w:val="18"/>
          <w:sz w:val="24"/>
          <w:szCs w:val="24"/>
        </w:rPr>
        <w:t xml:space="preserve"> </w:t>
      </w:r>
      <w:r>
        <w:rPr>
          <w:rFonts w:ascii="宋体" w:hAnsi="宋体" w:eastAsia="宋体" w:cs="宋体"/>
          <w:spacing w:val="-1"/>
          <w:sz w:val="24"/>
          <w:szCs w:val="24"/>
        </w:rPr>
        <w:t>地下水体，最大限度地考虑污染物对评价区水体的影响。</w:t>
      </w:r>
    </w:p>
    <w:p w14:paraId="15E1C6B0">
      <w:pPr>
        <w:spacing w:before="182"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）数学模型</w:t>
      </w:r>
    </w:p>
    <w:p w14:paraId="3B57B26F">
      <w:pPr>
        <w:pStyle w:val="2"/>
        <w:spacing w:line="346" w:lineRule="auto"/>
      </w:pPr>
    </w:p>
    <w:p w14:paraId="77F00454">
      <w:pPr>
        <w:spacing w:before="1" w:line="590" w:lineRule="exact"/>
        <w:ind w:firstLine="2502"/>
      </w:pPr>
      <w:r>
        <w:rPr>
          <w:position w:val="-11"/>
        </w:rPr>
        <w:drawing>
          <wp:inline distT="0" distB="0" distL="0" distR="0">
            <wp:extent cx="2569210" cy="374650"/>
            <wp:effectExtent l="0" t="0" r="0" b="0"/>
            <wp:docPr id="162" name="IM 162"/>
            <wp:cNvGraphicFramePr/>
            <a:graphic xmlns:a="http://schemas.openxmlformats.org/drawingml/2006/main">
              <a:graphicData uri="http://schemas.openxmlformats.org/drawingml/2006/picture">
                <pic:pic xmlns:pic="http://schemas.openxmlformats.org/drawingml/2006/picture">
                  <pic:nvPicPr>
                    <pic:cNvPr id="162" name="IM 162"/>
                    <pic:cNvPicPr/>
                  </pic:nvPicPr>
                  <pic:blipFill>
                    <a:blip r:embed="rId658"/>
                    <a:stretch>
                      <a:fillRect/>
                    </a:stretch>
                  </pic:blipFill>
                  <pic:spPr>
                    <a:xfrm>
                      <a:off x="0" y="0"/>
                      <a:ext cx="2569589" cy="374903"/>
                    </a:xfrm>
                    <a:prstGeom prst="rect">
                      <a:avLst/>
                    </a:prstGeom>
                  </pic:spPr>
                </pic:pic>
              </a:graphicData>
            </a:graphic>
          </wp:inline>
        </w:drawing>
      </w:r>
    </w:p>
    <w:p w14:paraId="1E6E976F">
      <w:pPr>
        <w:pStyle w:val="2"/>
        <w:spacing w:line="253" w:lineRule="auto"/>
      </w:pPr>
    </w:p>
    <w:p w14:paraId="6526877E">
      <w:pPr>
        <w:spacing w:before="1" w:line="514" w:lineRule="exact"/>
        <w:ind w:firstLine="3825"/>
      </w:pPr>
      <w:r>
        <w:rPr>
          <w:position w:val="-10"/>
        </w:rPr>
        <w:drawing>
          <wp:inline distT="0" distB="0" distL="0" distR="0">
            <wp:extent cx="890905" cy="326390"/>
            <wp:effectExtent l="0" t="0" r="0" b="0"/>
            <wp:docPr id="164" name="IM 164"/>
            <wp:cNvGraphicFramePr/>
            <a:graphic xmlns:a="http://schemas.openxmlformats.org/drawingml/2006/main">
              <a:graphicData uri="http://schemas.openxmlformats.org/drawingml/2006/picture">
                <pic:pic xmlns:pic="http://schemas.openxmlformats.org/drawingml/2006/picture">
                  <pic:nvPicPr>
                    <pic:cNvPr id="164" name="IM 164"/>
                    <pic:cNvPicPr/>
                  </pic:nvPicPr>
                  <pic:blipFill>
                    <a:blip r:embed="rId659"/>
                    <a:stretch>
                      <a:fillRect/>
                    </a:stretch>
                  </pic:blipFill>
                  <pic:spPr>
                    <a:xfrm>
                      <a:off x="0" y="0"/>
                      <a:ext cx="891259" cy="326690"/>
                    </a:xfrm>
                    <a:prstGeom prst="rect">
                      <a:avLst/>
                    </a:prstGeom>
                  </pic:spPr>
                </pic:pic>
              </a:graphicData>
            </a:graphic>
          </wp:inline>
        </w:drawing>
      </w:r>
    </w:p>
    <w:p w14:paraId="2E336301">
      <w:pPr>
        <w:spacing w:before="105" w:line="218" w:lineRule="auto"/>
        <w:ind w:left="489"/>
        <w:rPr>
          <w:rFonts w:ascii="宋体" w:hAnsi="宋体" w:eastAsia="宋体" w:cs="宋体"/>
          <w:sz w:val="24"/>
          <w:szCs w:val="24"/>
        </w:rPr>
      </w:pPr>
      <w:r>
        <w:rPr>
          <w:rFonts w:ascii="宋体" w:hAnsi="宋体" w:eastAsia="宋体" w:cs="宋体"/>
          <w:spacing w:val="-1"/>
          <w:sz w:val="24"/>
          <w:szCs w:val="24"/>
        </w:rPr>
        <w:t>其中：</w:t>
      </w:r>
      <w:r>
        <w:rPr>
          <w:rFonts w:ascii="Times New Roman" w:hAnsi="Times New Roman" w:eastAsia="Times New Roman" w:cs="Times New Roman"/>
          <w:spacing w:val="-1"/>
          <w:position w:val="-1"/>
          <w:sz w:val="24"/>
          <w:szCs w:val="24"/>
        </w:rPr>
        <w:t>α</w:t>
      </w:r>
      <w:r>
        <w:rPr>
          <w:rFonts w:ascii="Times New Roman" w:hAnsi="Times New Roman" w:eastAsia="Times New Roman" w:cs="Times New Roman"/>
          <w:spacing w:val="-1"/>
          <w:position w:val="-1"/>
          <w:sz w:val="15"/>
          <w:szCs w:val="15"/>
        </w:rPr>
        <w:t>ijmn</w:t>
      </w:r>
      <w:r>
        <w:rPr>
          <w:rFonts w:ascii="Times New Roman" w:hAnsi="Times New Roman" w:eastAsia="Times New Roman" w:cs="Times New Roman"/>
          <w:spacing w:val="-1"/>
          <w:sz w:val="24"/>
          <w:szCs w:val="24"/>
        </w:rPr>
        <w:t>—</w:t>
      </w:r>
      <w:r>
        <w:rPr>
          <w:rFonts w:ascii="宋体" w:hAnsi="宋体" w:eastAsia="宋体" w:cs="宋体"/>
          <w:spacing w:val="-1"/>
          <w:sz w:val="24"/>
          <w:szCs w:val="24"/>
        </w:rPr>
        <w:t>含水层的弥散度；</w:t>
      </w:r>
    </w:p>
    <w:p w14:paraId="4C6D11C8">
      <w:pPr>
        <w:spacing w:before="181" w:line="347" w:lineRule="auto"/>
        <w:ind w:left="1200" w:right="3134"/>
        <w:rPr>
          <w:rFonts w:ascii="宋体" w:hAnsi="宋体" w:eastAsia="宋体" w:cs="宋体"/>
          <w:sz w:val="24"/>
          <w:szCs w:val="24"/>
        </w:rPr>
      </w:pPr>
      <w:r>
        <w:rPr>
          <w:rFonts w:ascii="Times New Roman" w:hAnsi="Times New Roman" w:eastAsia="Times New Roman" w:cs="Times New Roman"/>
          <w:spacing w:val="-5"/>
          <w:sz w:val="24"/>
          <w:szCs w:val="24"/>
        </w:rPr>
        <w:t>Vm</w:t>
      </w:r>
      <w:r>
        <w:rPr>
          <w:rFonts w:ascii="Times New Roman" w:hAnsi="Times New Roman" w:eastAsia="Times New Roman" w:cs="Times New Roman"/>
          <w:spacing w:val="-13"/>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Vn—</w:t>
      </w:r>
      <w:r>
        <w:rPr>
          <w:rFonts w:ascii="宋体" w:hAnsi="宋体" w:eastAsia="宋体" w:cs="宋体"/>
          <w:spacing w:val="-5"/>
          <w:sz w:val="24"/>
          <w:szCs w:val="24"/>
        </w:rPr>
        <w:t>分别为</w:t>
      </w:r>
      <w:r>
        <w:rPr>
          <w:rFonts w:ascii="宋体" w:hAnsi="宋体" w:eastAsia="宋体" w:cs="宋体"/>
          <w:spacing w:val="-58"/>
          <w:sz w:val="24"/>
          <w:szCs w:val="24"/>
        </w:rPr>
        <w:t xml:space="preserve"> </w:t>
      </w:r>
      <w:r>
        <w:rPr>
          <w:rFonts w:ascii="Times New Roman" w:hAnsi="Times New Roman" w:eastAsia="Times New Roman" w:cs="Times New Roman"/>
          <w:spacing w:val="-5"/>
          <w:sz w:val="24"/>
          <w:szCs w:val="24"/>
        </w:rPr>
        <w:t xml:space="preserve">m </w:t>
      </w:r>
      <w:r>
        <w:rPr>
          <w:rFonts w:ascii="宋体" w:hAnsi="宋体" w:eastAsia="宋体" w:cs="宋体"/>
          <w:spacing w:val="-5"/>
          <w:sz w:val="24"/>
          <w:szCs w:val="24"/>
        </w:rPr>
        <w:t>和</w:t>
      </w:r>
      <w:r>
        <w:rPr>
          <w:rFonts w:ascii="宋体" w:hAnsi="宋体" w:eastAsia="宋体" w:cs="宋体"/>
          <w:spacing w:val="-59"/>
          <w:sz w:val="24"/>
          <w:szCs w:val="24"/>
        </w:rPr>
        <w:t xml:space="preserve"> </w:t>
      </w:r>
      <w:r>
        <w:rPr>
          <w:rFonts w:ascii="Times New Roman" w:hAnsi="Times New Roman" w:eastAsia="Times New Roman" w:cs="Times New Roman"/>
          <w:spacing w:val="-5"/>
          <w:sz w:val="24"/>
          <w:szCs w:val="24"/>
        </w:rPr>
        <w:t xml:space="preserve">n </w:t>
      </w:r>
      <w:r>
        <w:rPr>
          <w:rFonts w:ascii="宋体" w:hAnsi="宋体" w:eastAsia="宋体" w:cs="宋体"/>
          <w:spacing w:val="-5"/>
          <w:sz w:val="24"/>
          <w:szCs w:val="24"/>
        </w:rPr>
        <w:t>方向上的速度分量；</w:t>
      </w:r>
      <w:r>
        <w:rPr>
          <w:rFonts w:ascii="宋体" w:hAnsi="宋体" w:eastAsia="宋体" w:cs="宋体"/>
          <w:sz w:val="24"/>
          <w:szCs w:val="24"/>
        </w:rPr>
        <w:t xml:space="preserve"> </w:t>
      </w:r>
      <w:r>
        <w:rPr>
          <w:rFonts w:ascii="Times New Roman" w:hAnsi="Times New Roman" w:eastAsia="Times New Roman" w:cs="Times New Roman"/>
          <w:spacing w:val="-14"/>
          <w:sz w:val="24"/>
          <w:szCs w:val="24"/>
        </w:rPr>
        <w:t xml:space="preserve">v  </w:t>
      </w:r>
      <w:r>
        <w:rPr>
          <w:rFonts w:ascii="宋体" w:hAnsi="宋体" w:eastAsia="宋体" w:cs="宋体"/>
          <w:spacing w:val="-14"/>
          <w:sz w:val="24"/>
          <w:szCs w:val="24"/>
        </w:rPr>
        <w:t>∣</w:t>
      </w:r>
      <w:r>
        <w:rPr>
          <w:rFonts w:ascii="Times New Roman" w:hAnsi="Times New Roman" w:eastAsia="Times New Roman" w:cs="Times New Roman"/>
          <w:spacing w:val="-14"/>
          <w:sz w:val="24"/>
          <w:szCs w:val="24"/>
        </w:rPr>
        <w:t>—</w:t>
      </w:r>
      <w:r>
        <w:rPr>
          <w:rFonts w:ascii="宋体" w:hAnsi="宋体" w:eastAsia="宋体" w:cs="宋体"/>
          <w:spacing w:val="-14"/>
          <w:sz w:val="24"/>
          <w:szCs w:val="24"/>
        </w:rPr>
        <w:t>速度模；</w:t>
      </w:r>
    </w:p>
    <w:p w14:paraId="45DCDFCA">
      <w:pPr>
        <w:spacing w:before="31" w:line="336" w:lineRule="auto"/>
        <w:ind w:left="1200" w:right="4372" w:firstLine="7"/>
        <w:rPr>
          <w:rFonts w:ascii="宋体" w:hAnsi="宋体" w:eastAsia="宋体" w:cs="宋体"/>
          <w:sz w:val="24"/>
          <w:szCs w:val="24"/>
        </w:rPr>
      </w:pPr>
      <w:r>
        <w:rPr>
          <w:rFonts w:ascii="Times New Roman" w:hAnsi="Times New Roman" w:eastAsia="Times New Roman" w:cs="Times New Roman"/>
          <w:spacing w:val="-1"/>
          <w:sz w:val="24"/>
          <w:szCs w:val="24"/>
        </w:rPr>
        <w:t>C—</w:t>
      </w:r>
      <w:r>
        <w:rPr>
          <w:rFonts w:ascii="宋体" w:hAnsi="宋体" w:eastAsia="宋体" w:cs="宋体"/>
          <w:spacing w:val="-1"/>
          <w:sz w:val="24"/>
          <w:szCs w:val="24"/>
        </w:rPr>
        <w:t>模拟污染质的浓度（</w:t>
      </w:r>
      <w:r>
        <w:rPr>
          <w:rFonts w:ascii="Times New Roman" w:hAnsi="Times New Roman" w:eastAsia="Times New Roman" w:cs="Times New Roman"/>
          <w:spacing w:val="-1"/>
          <w:sz w:val="24"/>
          <w:szCs w:val="24"/>
        </w:rPr>
        <w:t>mg/L</w:t>
      </w:r>
      <w:r>
        <w:rPr>
          <w:rFonts w:ascii="宋体" w:hAnsi="宋体" w:eastAsia="宋体" w:cs="宋体"/>
          <w:spacing w:val="-28"/>
          <w:sz w:val="24"/>
          <w:szCs w:val="24"/>
        </w:rPr>
        <w:t>）；</w:t>
      </w:r>
      <w:r>
        <w:rPr>
          <w:rFonts w:ascii="宋体" w:hAnsi="宋体" w:eastAsia="宋体" w:cs="宋体"/>
          <w:spacing w:val="1"/>
          <w:sz w:val="24"/>
          <w:szCs w:val="24"/>
        </w:rPr>
        <w:t xml:space="preserve"> </w:t>
      </w:r>
      <w:r>
        <w:rPr>
          <w:rFonts w:ascii="Times New Roman" w:hAnsi="Times New Roman" w:eastAsia="Times New Roman" w:cs="Times New Roman"/>
          <w:sz w:val="24"/>
          <w:szCs w:val="24"/>
        </w:rPr>
        <w:t>n</w:t>
      </w:r>
      <w:r>
        <w:rPr>
          <w:rFonts w:ascii="Times New Roman" w:hAnsi="Times New Roman" w:eastAsia="Times New Roman" w:cs="Times New Roman"/>
          <w:position w:val="-1"/>
          <w:sz w:val="15"/>
          <w:szCs w:val="15"/>
        </w:rPr>
        <w:t>e</w:t>
      </w:r>
      <w:r>
        <w:rPr>
          <w:rFonts w:ascii="Times New Roman" w:hAnsi="Times New Roman" w:eastAsia="Times New Roman" w:cs="Times New Roman"/>
          <w:sz w:val="24"/>
          <w:szCs w:val="24"/>
        </w:rPr>
        <w:t>—</w:t>
      </w:r>
      <w:r>
        <w:rPr>
          <w:rFonts w:ascii="宋体" w:hAnsi="宋体" w:eastAsia="宋体" w:cs="宋体"/>
          <w:sz w:val="24"/>
          <w:szCs w:val="24"/>
        </w:rPr>
        <w:t>有效孔隙度；</w:t>
      </w:r>
    </w:p>
    <w:p w14:paraId="31247CE0">
      <w:pPr>
        <w:spacing w:before="17" w:line="334" w:lineRule="auto"/>
        <w:ind w:left="1202" w:right="3813" w:firstLine="5"/>
        <w:rPr>
          <w:rFonts w:ascii="宋体" w:hAnsi="宋体" w:eastAsia="宋体" w:cs="宋体"/>
          <w:sz w:val="24"/>
          <w:szCs w:val="24"/>
        </w:rPr>
      </w:pPr>
      <w:r>
        <w:rPr>
          <w:rFonts w:ascii="Times New Roman" w:hAnsi="Times New Roman" w:eastAsia="Times New Roman" w:cs="Times New Roman"/>
          <w:spacing w:val="-3"/>
          <w:sz w:val="24"/>
          <w:szCs w:val="24"/>
        </w:rPr>
        <w:t>C</w:t>
      </w:r>
      <w:r>
        <w:rPr>
          <w:rFonts w:ascii="Times New Roman" w:hAnsi="Times New Roman" w:eastAsia="Times New Roman" w:cs="Times New Roman"/>
          <w:spacing w:val="-30"/>
          <w:sz w:val="24"/>
          <w:szCs w:val="24"/>
        </w:rPr>
        <w:t xml:space="preserve"> </w:t>
      </w:r>
      <w:r>
        <w:rPr>
          <w:rFonts w:ascii="Times New Roman" w:hAnsi="Times New Roman" w:eastAsia="Times New Roman" w:cs="Times New Roman"/>
          <w:spacing w:val="-3"/>
          <w:sz w:val="24"/>
          <w:szCs w:val="24"/>
        </w:rPr>
        <w:t>ˊ—</w:t>
      </w:r>
      <w:r>
        <w:rPr>
          <w:rFonts w:ascii="宋体" w:hAnsi="宋体" w:eastAsia="宋体" w:cs="宋体"/>
          <w:spacing w:val="-3"/>
          <w:sz w:val="24"/>
          <w:szCs w:val="24"/>
        </w:rPr>
        <w:t>模拟污染质的源汇浓度（</w:t>
      </w:r>
      <w:r>
        <w:rPr>
          <w:rFonts w:ascii="Times New Roman" w:hAnsi="Times New Roman" w:eastAsia="Times New Roman" w:cs="Times New Roman"/>
          <w:spacing w:val="-3"/>
          <w:sz w:val="24"/>
          <w:szCs w:val="24"/>
        </w:rPr>
        <w:t>mg/L</w:t>
      </w:r>
      <w:r>
        <w:rPr>
          <w:rFonts w:ascii="宋体" w:hAnsi="宋体" w:eastAsia="宋体" w:cs="宋体"/>
          <w:spacing w:val="-23"/>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W—</w:t>
      </w:r>
      <w:r>
        <w:rPr>
          <w:rFonts w:ascii="宋体" w:hAnsi="宋体" w:eastAsia="宋体" w:cs="宋体"/>
          <w:spacing w:val="-1"/>
          <w:sz w:val="24"/>
          <w:szCs w:val="24"/>
        </w:rPr>
        <w:t>源汇单位面积上的通量；</w:t>
      </w:r>
    </w:p>
    <w:p w14:paraId="6D54E886">
      <w:pPr>
        <w:spacing w:before="109" w:line="220" w:lineRule="auto"/>
        <w:ind w:left="1201"/>
        <w:rPr>
          <w:rFonts w:ascii="宋体" w:hAnsi="宋体" w:eastAsia="宋体" w:cs="宋体"/>
          <w:sz w:val="24"/>
          <w:szCs w:val="24"/>
        </w:rPr>
      </w:pPr>
      <w:r>
        <w:rPr>
          <w:rFonts w:ascii="Times New Roman" w:hAnsi="Times New Roman" w:eastAsia="Times New Roman" w:cs="Times New Roman"/>
          <w:sz w:val="24"/>
          <w:szCs w:val="24"/>
        </w:rPr>
        <w:t>V</w:t>
      </w:r>
      <w:r>
        <w:rPr>
          <w:rFonts w:ascii="Times New Roman" w:hAnsi="Times New Roman" w:eastAsia="Times New Roman" w:cs="Times New Roman"/>
          <w:sz w:val="15"/>
          <w:szCs w:val="15"/>
        </w:rPr>
        <w:t>i</w:t>
      </w:r>
      <w:r>
        <w:rPr>
          <w:rFonts w:ascii="Times New Roman" w:hAnsi="Times New Roman" w:eastAsia="Times New Roman" w:cs="Times New Roman"/>
          <w:sz w:val="24"/>
          <w:szCs w:val="24"/>
        </w:rPr>
        <w:t>—</w:t>
      </w:r>
      <w:r>
        <w:rPr>
          <w:rFonts w:ascii="宋体" w:hAnsi="宋体" w:eastAsia="宋体" w:cs="宋体"/>
          <w:sz w:val="24"/>
          <w:szCs w:val="24"/>
        </w:rPr>
        <w:t>渗流速度（</w:t>
      </w:r>
      <w:r>
        <w:rPr>
          <w:rFonts w:ascii="Times New Roman" w:hAnsi="Times New Roman" w:eastAsia="Times New Roman" w:cs="Times New Roman"/>
          <w:sz w:val="24"/>
          <w:szCs w:val="24"/>
        </w:rPr>
        <w:t>m/d</w:t>
      </w:r>
      <w:r>
        <w:rPr>
          <w:rFonts w:ascii="宋体" w:hAnsi="宋体" w:eastAsia="宋体" w:cs="宋体"/>
          <w:spacing w:val="-1"/>
          <w:sz w:val="24"/>
          <w:szCs w:val="24"/>
        </w:rPr>
        <w:t>）；</w:t>
      </w:r>
    </w:p>
    <w:p w14:paraId="00B35068">
      <w:pPr>
        <w:spacing w:before="182" w:line="210" w:lineRule="auto"/>
        <w:ind w:left="1207"/>
        <w:rPr>
          <w:rFonts w:ascii="宋体" w:hAnsi="宋体" w:eastAsia="宋体" w:cs="宋体"/>
          <w:sz w:val="24"/>
          <w:szCs w:val="24"/>
        </w:rPr>
      </w:pPr>
      <w:r>
        <w:rPr>
          <w:rFonts w:ascii="Times New Roman" w:hAnsi="Times New Roman" w:eastAsia="Times New Roman" w:cs="Times New Roman"/>
          <w:spacing w:val="-1"/>
          <w:sz w:val="24"/>
          <w:szCs w:val="24"/>
        </w:rPr>
        <w:t>C</w:t>
      </w:r>
      <w:r>
        <w:rPr>
          <w:rFonts w:ascii="宋体" w:hAnsi="宋体" w:eastAsia="宋体" w:cs="宋体"/>
          <w:spacing w:val="-1"/>
          <w:sz w:val="24"/>
          <w:szCs w:val="24"/>
        </w:rPr>
        <w:t>＇</w:t>
      </w:r>
      <w:r>
        <w:rPr>
          <w:rFonts w:ascii="Times New Roman" w:hAnsi="Times New Roman" w:eastAsia="Times New Roman" w:cs="Times New Roman"/>
          <w:spacing w:val="-1"/>
          <w:sz w:val="24"/>
          <w:szCs w:val="24"/>
        </w:rPr>
        <w:t>—</w:t>
      </w:r>
      <w:r>
        <w:rPr>
          <w:rFonts w:ascii="宋体" w:hAnsi="宋体" w:eastAsia="宋体" w:cs="宋体"/>
          <w:spacing w:val="-1"/>
          <w:sz w:val="24"/>
          <w:szCs w:val="24"/>
        </w:rPr>
        <w:t>源汇的污染质浓度（</w:t>
      </w:r>
      <w:r>
        <w:rPr>
          <w:rFonts w:ascii="Times New Roman" w:hAnsi="Times New Roman" w:eastAsia="Times New Roman" w:cs="Times New Roman"/>
          <w:spacing w:val="-1"/>
          <w:sz w:val="24"/>
          <w:szCs w:val="24"/>
        </w:rPr>
        <w:t>mg/L</w:t>
      </w:r>
      <w:r>
        <w:rPr>
          <w:rFonts w:ascii="宋体" w:hAnsi="宋体" w:eastAsia="宋体" w:cs="宋体"/>
          <w:spacing w:val="2"/>
          <w:sz w:val="24"/>
          <w:szCs w:val="24"/>
        </w:rPr>
        <w:t>）；</w:t>
      </w:r>
    </w:p>
    <w:p w14:paraId="3CD4A8AD">
      <w:pPr>
        <w:spacing w:before="192" w:line="219" w:lineRule="auto"/>
        <w:ind w:left="489"/>
        <w:rPr>
          <w:rFonts w:ascii="宋体" w:hAnsi="宋体" w:eastAsia="宋体" w:cs="宋体"/>
          <w:sz w:val="24"/>
          <w:szCs w:val="24"/>
        </w:rPr>
      </w:pPr>
      <w:r>
        <w:rPr>
          <w:rFonts w:ascii="宋体" w:hAnsi="宋体" w:eastAsia="宋体" w:cs="宋体"/>
          <w:spacing w:val="-1"/>
          <w:sz w:val="24"/>
          <w:szCs w:val="24"/>
        </w:rPr>
        <w:t>联合求解水流方程和溶质运移方程就可得到污染质的空间分布。</w:t>
      </w:r>
    </w:p>
    <w:p w14:paraId="09298D4B">
      <w:pPr>
        <w:spacing w:line="219" w:lineRule="auto"/>
        <w:rPr>
          <w:rFonts w:ascii="宋体" w:hAnsi="宋体" w:eastAsia="宋体" w:cs="宋体"/>
          <w:sz w:val="24"/>
          <w:szCs w:val="24"/>
        </w:rPr>
        <w:sectPr>
          <w:footerReference r:id="rId331" w:type="default"/>
          <w:pgSz w:w="11906" w:h="16839"/>
          <w:pgMar w:top="1190" w:right="1416" w:bottom="1427" w:left="1417" w:header="882" w:footer="1265" w:gutter="0"/>
          <w:cols w:space="720" w:num="1"/>
        </w:sectPr>
      </w:pPr>
    </w:p>
    <w:p w14:paraId="1D6EFDF5">
      <w:pPr>
        <w:spacing w:line="28" w:lineRule="exact"/>
      </w:pPr>
      <w:r>
        <w:pict>
          <v:shape id="_x0000_s1827" o:spid="_x0000_s1827" style="height:1.45pt;width:453.65pt;" fillcolor="#000000" filled="t" stroked="f" coordsize="9072,29" path="m0,0l9072,0,9072,28,0,28,0,0xe">
            <v:path/>
            <v:fill on="t" focussize="0,0"/>
            <v:stroke on="f"/>
            <v:imagedata o:title=""/>
            <o:lock v:ext="edit"/>
            <w10:wrap type="none"/>
            <w10:anchorlock/>
          </v:shape>
        </w:pict>
      </w:r>
    </w:p>
    <w:p w14:paraId="01202761">
      <w:pPr>
        <w:spacing w:before="239" w:line="222" w:lineRule="auto"/>
        <w:ind w:left="3"/>
        <w:outlineLvl w:val="3"/>
        <w:rPr>
          <w:rFonts w:ascii="黑体" w:hAnsi="黑体" w:eastAsia="黑体" w:cs="黑体"/>
          <w:sz w:val="28"/>
          <w:szCs w:val="28"/>
        </w:rPr>
      </w:pPr>
      <w:r>
        <w:fldChar w:fldCharType="begin"/>
      </w:r>
      <w:r>
        <w:instrText xml:space="preserve"> HYPERLINK "4.3.2.3" </w:instrText>
      </w:r>
      <w:r>
        <w:fldChar w:fldCharType="separate"/>
      </w:r>
      <w:r>
        <w:rPr>
          <w:rFonts w:ascii="Times New Roman" w:hAnsi="Times New Roman" w:eastAsia="Times New Roman" w:cs="Times New Roman"/>
          <w:spacing w:val="-1"/>
          <w:sz w:val="28"/>
          <w:szCs w:val="28"/>
        </w:rPr>
        <w:t>4.3.2.3</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 xml:space="preserve"> </w:t>
      </w:r>
      <w:r>
        <w:rPr>
          <w:rFonts w:ascii="黑体" w:hAnsi="黑体" w:eastAsia="黑体" w:cs="黑体"/>
          <w:spacing w:val="-1"/>
          <w:sz w:val="28"/>
          <w:szCs w:val="28"/>
        </w:rPr>
        <w:t>地下水污染预测情形设定</w:t>
      </w:r>
    </w:p>
    <w:p w14:paraId="495FA8C9">
      <w:pPr>
        <w:spacing w:before="201" w:line="354" w:lineRule="auto"/>
        <w:ind w:left="9" w:right="104" w:firstLine="479"/>
        <w:rPr>
          <w:rFonts w:ascii="宋体" w:hAnsi="宋体" w:eastAsia="宋体" w:cs="宋体"/>
          <w:sz w:val="24"/>
          <w:szCs w:val="24"/>
        </w:rPr>
      </w:pPr>
      <w:r>
        <w:rPr>
          <w:rFonts w:ascii="宋体" w:hAnsi="宋体" w:eastAsia="宋体" w:cs="宋体"/>
          <w:spacing w:val="-2"/>
          <w:sz w:val="24"/>
          <w:szCs w:val="24"/>
        </w:rPr>
        <w:t>根据《环境影响评价技术导则地下水环境》（</w:t>
      </w:r>
      <w:r>
        <w:rPr>
          <w:rFonts w:ascii="Times New Roman" w:hAnsi="Times New Roman" w:eastAsia="Times New Roman" w:cs="Times New Roman"/>
          <w:spacing w:val="-2"/>
          <w:sz w:val="24"/>
          <w:szCs w:val="24"/>
        </w:rPr>
        <w:t>HJ6</w:t>
      </w:r>
      <w:r>
        <w:rPr>
          <w:rFonts w:ascii="Times New Roman" w:hAnsi="Times New Roman" w:eastAsia="Times New Roman" w:cs="Times New Roman"/>
          <w:spacing w:val="-3"/>
          <w:sz w:val="24"/>
          <w:szCs w:val="24"/>
        </w:rPr>
        <w:t>10-2016</w:t>
      </w:r>
      <w:r>
        <w:rPr>
          <w:rFonts w:ascii="宋体" w:hAnsi="宋体" w:eastAsia="宋体" w:cs="宋体"/>
          <w:spacing w:val="-3"/>
          <w:sz w:val="24"/>
          <w:szCs w:val="24"/>
        </w:rPr>
        <w:t>）第</w:t>
      </w:r>
      <w:r>
        <w:rPr>
          <w:rFonts w:ascii="Times New Roman" w:hAnsi="Times New Roman" w:eastAsia="Times New Roman" w:cs="Times New Roman"/>
          <w:spacing w:val="-3"/>
          <w:sz w:val="24"/>
          <w:szCs w:val="24"/>
        </w:rPr>
        <w:t>9.3</w:t>
      </w:r>
      <w:r>
        <w:rPr>
          <w:rFonts w:ascii="宋体" w:hAnsi="宋体" w:eastAsia="宋体" w:cs="宋体"/>
          <w:spacing w:val="-3"/>
          <w:sz w:val="24"/>
          <w:szCs w:val="24"/>
        </w:rPr>
        <w:t>节要求，地下水环</w:t>
      </w:r>
      <w:r>
        <w:rPr>
          <w:rFonts w:ascii="宋体" w:hAnsi="宋体" w:eastAsia="宋体" w:cs="宋体"/>
          <w:sz w:val="24"/>
          <w:szCs w:val="24"/>
        </w:rPr>
        <w:t xml:space="preserve"> </w:t>
      </w:r>
      <w:r>
        <w:rPr>
          <w:rFonts w:ascii="宋体" w:hAnsi="宋体" w:eastAsia="宋体" w:cs="宋体"/>
          <w:spacing w:val="12"/>
          <w:sz w:val="24"/>
          <w:szCs w:val="24"/>
        </w:rPr>
        <w:t>境影响评价预测时段应选取可能产生地下水污染的关键</w:t>
      </w:r>
      <w:r>
        <w:rPr>
          <w:rFonts w:ascii="宋体" w:hAnsi="宋体" w:eastAsia="宋体" w:cs="宋体"/>
          <w:spacing w:val="11"/>
          <w:sz w:val="24"/>
          <w:szCs w:val="24"/>
        </w:rPr>
        <w:t>时段，至少包括污染发生后</w:t>
      </w:r>
      <w:r>
        <w:rPr>
          <w:rFonts w:ascii="宋体" w:hAnsi="宋体" w:eastAsia="宋体" w:cs="宋体"/>
          <w:sz w:val="24"/>
          <w:szCs w:val="24"/>
        </w:rPr>
        <w:t xml:space="preserve"> </w:t>
      </w:r>
      <w:r>
        <w:rPr>
          <w:rFonts w:ascii="Times New Roman" w:hAnsi="Times New Roman" w:eastAsia="Times New Roman" w:cs="Times New Roman"/>
          <w:sz w:val="24"/>
          <w:szCs w:val="24"/>
        </w:rPr>
        <w:t>100d</w:t>
      </w:r>
      <w:r>
        <w:rPr>
          <w:rFonts w:ascii="Times New Roman" w:hAnsi="Times New Roman" w:eastAsia="Times New Roman" w:cs="Times New Roman"/>
          <w:spacing w:val="-31"/>
          <w:sz w:val="24"/>
          <w:szCs w:val="24"/>
        </w:rPr>
        <w:t xml:space="preserve"> </w:t>
      </w:r>
      <w:r>
        <w:rPr>
          <w:rFonts w:ascii="宋体" w:hAnsi="宋体" w:eastAsia="宋体" w:cs="宋体"/>
          <w:sz w:val="24"/>
          <w:szCs w:val="24"/>
        </w:rPr>
        <w:t>、</w:t>
      </w:r>
      <w:r>
        <w:rPr>
          <w:rFonts w:ascii="Times New Roman" w:hAnsi="Times New Roman" w:eastAsia="Times New Roman" w:cs="Times New Roman"/>
          <w:sz w:val="24"/>
          <w:szCs w:val="24"/>
        </w:rPr>
        <w:t>1000d</w:t>
      </w:r>
      <w:r>
        <w:rPr>
          <w:rFonts w:ascii="Times New Roman" w:hAnsi="Times New Roman" w:eastAsia="Times New Roman" w:cs="Times New Roman"/>
          <w:spacing w:val="-29"/>
          <w:sz w:val="24"/>
          <w:szCs w:val="24"/>
        </w:rPr>
        <w:t xml:space="preserve"> </w:t>
      </w:r>
      <w:r>
        <w:rPr>
          <w:rFonts w:ascii="宋体" w:hAnsi="宋体" w:eastAsia="宋体" w:cs="宋体"/>
          <w:sz w:val="24"/>
          <w:szCs w:val="24"/>
        </w:rPr>
        <w:t xml:space="preserve">，服务年限或能反映特征因子迁移规律的其他重要的时间节点。应包括项 </w:t>
      </w:r>
      <w:r>
        <w:rPr>
          <w:rFonts w:ascii="宋体" w:hAnsi="宋体" w:eastAsia="宋体" w:cs="宋体"/>
          <w:spacing w:val="-4"/>
          <w:sz w:val="24"/>
          <w:szCs w:val="24"/>
        </w:rPr>
        <w:t>目建设、生产运行和服务期满后三个阶段。本次预测仅针对发生渗漏后的第</w:t>
      </w:r>
      <w:r>
        <w:rPr>
          <w:rFonts w:ascii="Times New Roman" w:hAnsi="Times New Roman" w:eastAsia="Times New Roman" w:cs="Times New Roman"/>
          <w:spacing w:val="-4"/>
          <w:sz w:val="24"/>
          <w:szCs w:val="24"/>
        </w:rPr>
        <w:t>100</w:t>
      </w:r>
      <w:r>
        <w:rPr>
          <w:rFonts w:ascii="Times New Roman" w:hAnsi="Times New Roman" w:eastAsia="Times New Roman" w:cs="Times New Roman"/>
          <w:spacing w:val="-5"/>
          <w:sz w:val="24"/>
          <w:szCs w:val="24"/>
        </w:rPr>
        <w:t>d</w:t>
      </w:r>
      <w:r>
        <w:rPr>
          <w:rFonts w:ascii="宋体" w:hAnsi="宋体" w:eastAsia="宋体" w:cs="宋体"/>
          <w:spacing w:val="-5"/>
          <w:sz w:val="24"/>
          <w:szCs w:val="24"/>
        </w:rPr>
        <w:t>、</w:t>
      </w:r>
      <w:r>
        <w:rPr>
          <w:rFonts w:ascii="Times New Roman" w:hAnsi="Times New Roman" w:eastAsia="Times New Roman" w:cs="Times New Roman"/>
          <w:spacing w:val="-5"/>
          <w:sz w:val="24"/>
          <w:szCs w:val="24"/>
        </w:rPr>
        <w:t>1000d</w:t>
      </w:r>
      <w:r>
        <w:rPr>
          <w:rFonts w:ascii="Times New Roman" w:hAnsi="Times New Roman" w:eastAsia="Times New Roman" w:cs="Times New Roman"/>
          <w:sz w:val="24"/>
          <w:szCs w:val="24"/>
        </w:rPr>
        <w:t xml:space="preserve"> </w:t>
      </w:r>
      <w:r>
        <w:rPr>
          <w:rFonts w:ascii="宋体" w:hAnsi="宋体" w:eastAsia="宋体" w:cs="宋体"/>
          <w:spacing w:val="-1"/>
          <w:sz w:val="24"/>
          <w:szCs w:val="24"/>
        </w:rPr>
        <w:t>和</w:t>
      </w:r>
      <w:r>
        <w:rPr>
          <w:rFonts w:ascii="Times New Roman" w:hAnsi="Times New Roman" w:eastAsia="Times New Roman" w:cs="Times New Roman"/>
          <w:spacing w:val="-1"/>
          <w:sz w:val="24"/>
          <w:szCs w:val="24"/>
        </w:rPr>
        <w:t>5000d</w:t>
      </w:r>
      <w:r>
        <w:rPr>
          <w:rFonts w:ascii="宋体" w:hAnsi="宋体" w:eastAsia="宋体" w:cs="宋体"/>
          <w:spacing w:val="-1"/>
          <w:sz w:val="24"/>
          <w:szCs w:val="24"/>
        </w:rPr>
        <w:t>的地下水污染情况进行预测。</w:t>
      </w:r>
    </w:p>
    <w:p w14:paraId="0FD9CD55">
      <w:pPr>
        <w:spacing w:before="33"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）正常状况</w:t>
      </w:r>
    </w:p>
    <w:p w14:paraId="0FF56569">
      <w:pPr>
        <w:spacing w:before="186" w:line="355" w:lineRule="auto"/>
        <w:ind w:left="9" w:right="104" w:firstLine="483"/>
        <w:rPr>
          <w:rFonts w:ascii="宋体" w:hAnsi="宋体" w:eastAsia="宋体" w:cs="宋体"/>
          <w:sz w:val="24"/>
          <w:szCs w:val="24"/>
        </w:rPr>
      </w:pPr>
      <w:r>
        <w:rPr>
          <w:rFonts w:ascii="宋体" w:hAnsi="宋体" w:eastAsia="宋体" w:cs="宋体"/>
          <w:spacing w:val="-2"/>
          <w:sz w:val="24"/>
          <w:szCs w:val="24"/>
        </w:rPr>
        <w:t>正常状况下，对于可能出现的微量跑冒滴漏，届时企业依据《危险废物贮存污染控</w:t>
      </w:r>
      <w:r>
        <w:rPr>
          <w:rFonts w:ascii="宋体" w:hAnsi="宋体" w:eastAsia="宋体" w:cs="宋体"/>
          <w:spacing w:val="8"/>
          <w:sz w:val="24"/>
          <w:szCs w:val="24"/>
        </w:rPr>
        <w:t xml:space="preserve"> </w:t>
      </w:r>
      <w:r>
        <w:rPr>
          <w:rFonts w:ascii="宋体" w:hAnsi="宋体" w:eastAsia="宋体" w:cs="宋体"/>
          <w:spacing w:val="12"/>
          <w:sz w:val="24"/>
          <w:szCs w:val="24"/>
        </w:rPr>
        <w:t>制标准</w:t>
      </w:r>
      <w:r>
        <w:rPr>
          <w:rFonts w:ascii="宋体" w:hAnsi="宋体" w:eastAsia="宋体" w:cs="宋体"/>
          <w:spacing w:val="-69"/>
          <w:sz w:val="24"/>
          <w:szCs w:val="24"/>
        </w:rPr>
        <w:t xml:space="preserve"> </w:t>
      </w:r>
      <w:r>
        <w:rPr>
          <w:rFonts w:ascii="宋体" w:hAnsi="宋体" w:eastAsia="宋体" w:cs="宋体"/>
          <w:spacing w:val="12"/>
          <w:sz w:val="24"/>
          <w:szCs w:val="24"/>
        </w:rPr>
        <w:t>》</w:t>
      </w:r>
      <w:r>
        <w:rPr>
          <w:rFonts w:ascii="宋体" w:hAnsi="宋体" w:eastAsia="宋体" w:cs="宋体"/>
          <w:spacing w:val="-89"/>
          <w:sz w:val="24"/>
          <w:szCs w:val="24"/>
        </w:rPr>
        <w:t xml:space="preserve"> </w:t>
      </w:r>
      <w:r>
        <w:rPr>
          <w:rFonts w:ascii="宋体" w:hAnsi="宋体" w:eastAsia="宋体" w:cs="宋体"/>
          <w:spacing w:val="12"/>
          <w:sz w:val="24"/>
          <w:szCs w:val="24"/>
        </w:rPr>
        <w:t>（</w:t>
      </w:r>
      <w:r>
        <w:rPr>
          <w:rFonts w:ascii="宋体" w:hAnsi="宋体" w:eastAsia="宋体" w:cs="宋体"/>
          <w:spacing w:val="-45"/>
          <w:sz w:val="24"/>
          <w:szCs w:val="24"/>
        </w:rPr>
        <w:t xml:space="preserve"> </w:t>
      </w:r>
      <w:r>
        <w:rPr>
          <w:rFonts w:ascii="Times New Roman" w:hAnsi="Times New Roman" w:eastAsia="Times New Roman" w:cs="Times New Roman"/>
          <w:sz w:val="24"/>
          <w:szCs w:val="24"/>
        </w:rPr>
        <w:t>GB</w:t>
      </w:r>
      <w:r>
        <w:rPr>
          <w:rFonts w:ascii="Times New Roman" w:hAnsi="Times New Roman" w:eastAsia="Times New Roman" w:cs="Times New Roman"/>
          <w:spacing w:val="12"/>
          <w:sz w:val="24"/>
          <w:szCs w:val="24"/>
        </w:rPr>
        <w:t xml:space="preserve">18597-2023 </w:t>
      </w:r>
      <w:r>
        <w:rPr>
          <w:rFonts w:ascii="宋体" w:hAnsi="宋体" w:eastAsia="宋体" w:cs="宋体"/>
          <w:spacing w:val="12"/>
          <w:sz w:val="24"/>
          <w:szCs w:val="24"/>
        </w:rPr>
        <w:t>）和《</w:t>
      </w:r>
      <w:r>
        <w:rPr>
          <w:rFonts w:ascii="宋体" w:hAnsi="宋体" w:eastAsia="宋体" w:cs="宋体"/>
          <w:spacing w:val="-55"/>
          <w:sz w:val="24"/>
          <w:szCs w:val="24"/>
        </w:rPr>
        <w:t xml:space="preserve"> </w:t>
      </w:r>
      <w:r>
        <w:rPr>
          <w:rFonts w:ascii="宋体" w:hAnsi="宋体" w:eastAsia="宋体" w:cs="宋体"/>
          <w:spacing w:val="12"/>
          <w:sz w:val="24"/>
          <w:szCs w:val="24"/>
        </w:rPr>
        <w:t>一般工业</w:t>
      </w:r>
      <w:r>
        <w:rPr>
          <w:rFonts w:ascii="宋体" w:hAnsi="宋体" w:eastAsia="宋体" w:cs="宋体"/>
          <w:spacing w:val="-61"/>
          <w:sz w:val="24"/>
          <w:szCs w:val="24"/>
        </w:rPr>
        <w:t xml:space="preserve"> </w:t>
      </w:r>
      <w:r>
        <w:rPr>
          <w:rFonts w:ascii="宋体" w:hAnsi="宋体" w:eastAsia="宋体" w:cs="宋体"/>
          <w:spacing w:val="11"/>
          <w:sz w:val="24"/>
          <w:szCs w:val="24"/>
        </w:rPr>
        <w:t>固体废物贮存和填埋污染控制标准</w:t>
      </w:r>
      <w:r>
        <w:rPr>
          <w:rFonts w:ascii="宋体" w:hAnsi="宋体" w:eastAsia="宋体" w:cs="宋体"/>
          <w:spacing w:val="-66"/>
          <w:sz w:val="24"/>
          <w:szCs w:val="24"/>
        </w:rPr>
        <w:t xml:space="preserve"> </w:t>
      </w:r>
      <w:r>
        <w:rPr>
          <w:rFonts w:ascii="宋体" w:hAnsi="宋体" w:eastAsia="宋体" w:cs="宋体"/>
          <w:spacing w:val="11"/>
          <w:sz w:val="24"/>
          <w:szCs w:val="24"/>
        </w:rPr>
        <w:t>》</w:t>
      </w:r>
      <w:r>
        <w:rPr>
          <w:rFonts w:ascii="宋体" w:hAnsi="宋体" w:eastAsia="宋体" w:cs="宋体"/>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GB18599-2020</w:t>
      </w:r>
      <w:r>
        <w:rPr>
          <w:rFonts w:ascii="宋体" w:hAnsi="宋体" w:eastAsia="宋体" w:cs="宋体"/>
          <w:spacing w:val="-2"/>
          <w:sz w:val="24"/>
          <w:szCs w:val="24"/>
        </w:rPr>
        <w:t>）中相关要求</w:t>
      </w:r>
      <w:r>
        <w:rPr>
          <w:rFonts w:ascii="宋体" w:hAnsi="宋体" w:eastAsia="宋体" w:cs="宋体"/>
          <w:spacing w:val="-3"/>
          <w:sz w:val="24"/>
          <w:szCs w:val="24"/>
        </w:rPr>
        <w:t>做好防渗，在可能产生滴漏的污水构筑物等区域进行防渗</w:t>
      </w:r>
      <w:r>
        <w:rPr>
          <w:rFonts w:ascii="宋体" w:hAnsi="宋体" w:eastAsia="宋体" w:cs="宋体"/>
          <w:sz w:val="24"/>
          <w:szCs w:val="24"/>
        </w:rPr>
        <w:t xml:space="preserve"> </w:t>
      </w:r>
      <w:r>
        <w:rPr>
          <w:rFonts w:ascii="宋体" w:hAnsi="宋体" w:eastAsia="宋体" w:cs="宋体"/>
          <w:spacing w:val="-2"/>
          <w:sz w:val="24"/>
          <w:szCs w:val="24"/>
        </w:rPr>
        <w:t>处理，即使有少量的污染物泄漏，也很难通过防渗层渗入包气带。因此在正常状况下，</w:t>
      </w:r>
      <w:r>
        <w:rPr>
          <w:rFonts w:ascii="宋体" w:hAnsi="宋体" w:eastAsia="宋体" w:cs="宋体"/>
          <w:spacing w:val="16"/>
          <w:sz w:val="24"/>
          <w:szCs w:val="24"/>
        </w:rPr>
        <w:t xml:space="preserve"> </w:t>
      </w:r>
      <w:r>
        <w:rPr>
          <w:rFonts w:ascii="宋体" w:hAnsi="宋体" w:eastAsia="宋体" w:cs="宋体"/>
          <w:spacing w:val="-2"/>
          <w:sz w:val="24"/>
          <w:szCs w:val="24"/>
        </w:rPr>
        <w:t>污染物从源头和末端均得到控制，地面经防渗处理，没有污染地下水的通道，污染物污</w:t>
      </w:r>
      <w:r>
        <w:rPr>
          <w:rFonts w:ascii="宋体" w:hAnsi="宋体" w:eastAsia="宋体" w:cs="宋体"/>
          <w:spacing w:val="16"/>
          <w:sz w:val="24"/>
          <w:szCs w:val="24"/>
        </w:rPr>
        <w:t xml:space="preserve"> </w:t>
      </w:r>
      <w:r>
        <w:rPr>
          <w:rFonts w:ascii="宋体" w:hAnsi="宋体" w:eastAsia="宋体" w:cs="宋体"/>
          <w:spacing w:val="-3"/>
          <w:sz w:val="24"/>
          <w:szCs w:val="24"/>
        </w:rPr>
        <w:t>染地下水的可能性很小。根据《环境影响评价技术导则</w:t>
      </w:r>
      <w:r>
        <w:rPr>
          <w:rFonts w:ascii="Times New Roman" w:hAnsi="Times New Roman" w:eastAsia="Times New Roman" w:cs="Times New Roman"/>
          <w:spacing w:val="-3"/>
          <w:sz w:val="24"/>
          <w:szCs w:val="24"/>
        </w:rPr>
        <w:t>—</w:t>
      </w:r>
      <w:r>
        <w:rPr>
          <w:rFonts w:ascii="宋体" w:hAnsi="宋体" w:eastAsia="宋体" w:cs="宋体"/>
          <w:spacing w:val="-3"/>
          <w:sz w:val="24"/>
          <w:szCs w:val="24"/>
        </w:rPr>
        <w:t>地下水环境》</w:t>
      </w:r>
      <w:r>
        <w:rPr>
          <w:rFonts w:ascii="Times New Roman" w:hAnsi="Times New Roman" w:eastAsia="Times New Roman" w:cs="Times New Roman"/>
          <w:spacing w:val="-3"/>
          <w:sz w:val="24"/>
          <w:szCs w:val="24"/>
        </w:rPr>
        <w:t>(HJ610-2016</w:t>
      </w:r>
      <w:r>
        <w:rPr>
          <w:rFonts w:ascii="宋体" w:hAnsi="宋体" w:eastAsia="宋体" w:cs="宋体"/>
          <w:spacing w:val="-3"/>
          <w:sz w:val="24"/>
          <w:szCs w:val="24"/>
        </w:rPr>
        <w:t>）中</w:t>
      </w:r>
      <w:r>
        <w:rPr>
          <w:rFonts w:ascii="宋体" w:hAnsi="宋体" w:eastAsia="宋体" w:cs="宋体"/>
          <w:spacing w:val="6"/>
          <w:sz w:val="24"/>
          <w:szCs w:val="24"/>
        </w:rPr>
        <w:t xml:space="preserve"> </w:t>
      </w:r>
      <w:r>
        <w:rPr>
          <w:rFonts w:ascii="宋体" w:hAnsi="宋体" w:eastAsia="宋体" w:cs="宋体"/>
          <w:spacing w:val="-1"/>
          <w:sz w:val="24"/>
          <w:szCs w:val="24"/>
        </w:rPr>
        <w:t>的</w:t>
      </w:r>
      <w:r>
        <w:rPr>
          <w:rFonts w:ascii="Times New Roman" w:hAnsi="Times New Roman" w:eastAsia="Times New Roman" w:cs="Times New Roman"/>
          <w:spacing w:val="-1"/>
          <w:sz w:val="24"/>
          <w:szCs w:val="24"/>
        </w:rPr>
        <w:t>9.4.2</w:t>
      </w:r>
      <w:r>
        <w:rPr>
          <w:rFonts w:ascii="宋体" w:hAnsi="宋体" w:eastAsia="宋体" w:cs="宋体"/>
          <w:spacing w:val="-1"/>
          <w:sz w:val="24"/>
          <w:szCs w:val="24"/>
        </w:rPr>
        <w:t>章节，已依据</w:t>
      </w:r>
      <w:r>
        <w:rPr>
          <w:rFonts w:ascii="Times New Roman" w:hAnsi="Times New Roman" w:eastAsia="Times New Roman" w:cs="Times New Roman"/>
          <w:spacing w:val="-1"/>
          <w:sz w:val="24"/>
          <w:szCs w:val="24"/>
        </w:rPr>
        <w:t>GB18597</w:t>
      </w:r>
      <w:r>
        <w:rPr>
          <w:rFonts w:ascii="Times New Roman" w:hAnsi="Times New Roman" w:eastAsia="Times New Roman" w:cs="Times New Roman"/>
          <w:spacing w:val="-20"/>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GB18599</w:t>
      </w:r>
      <w:r>
        <w:rPr>
          <w:rFonts w:ascii="宋体" w:hAnsi="宋体" w:eastAsia="宋体" w:cs="宋体"/>
          <w:spacing w:val="-1"/>
          <w:sz w:val="24"/>
          <w:szCs w:val="24"/>
        </w:rPr>
        <w:t>中的设计地下水污染防渗措施的建设项目，可</w:t>
      </w:r>
      <w:r>
        <w:rPr>
          <w:rFonts w:ascii="宋体" w:hAnsi="宋体" w:eastAsia="宋体" w:cs="宋体"/>
          <w:sz w:val="24"/>
          <w:szCs w:val="24"/>
        </w:rPr>
        <w:t xml:space="preserve"> 不进行正常状况情景下的预测，因此本项目不再进</w:t>
      </w:r>
      <w:r>
        <w:rPr>
          <w:rFonts w:ascii="宋体" w:hAnsi="宋体" w:eastAsia="宋体" w:cs="宋体"/>
          <w:spacing w:val="-1"/>
          <w:sz w:val="24"/>
          <w:szCs w:val="24"/>
        </w:rPr>
        <w:t>行正常状况下的情景预测。</w:t>
      </w:r>
    </w:p>
    <w:p w14:paraId="12DF3A6F">
      <w:pPr>
        <w:spacing w:before="39"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）非正常状况</w:t>
      </w:r>
    </w:p>
    <w:p w14:paraId="49596009">
      <w:pPr>
        <w:spacing w:before="178" w:line="355" w:lineRule="auto"/>
        <w:ind w:left="7" w:right="104" w:firstLine="480"/>
        <w:jc w:val="both"/>
        <w:rPr>
          <w:rFonts w:ascii="宋体" w:hAnsi="宋体" w:eastAsia="宋体" w:cs="宋体"/>
          <w:sz w:val="24"/>
          <w:szCs w:val="24"/>
        </w:rPr>
      </w:pPr>
      <w:r>
        <w:rPr>
          <w:rFonts w:ascii="宋体" w:hAnsi="宋体" w:eastAsia="宋体" w:cs="宋体"/>
          <w:spacing w:val="-2"/>
          <w:sz w:val="24"/>
          <w:szCs w:val="24"/>
        </w:rPr>
        <w:t>根据企业实际情况分析，如果是生产区或地面管道等可视场所发生硬化面破损，即</w:t>
      </w:r>
      <w:r>
        <w:rPr>
          <w:rFonts w:ascii="宋体" w:hAnsi="宋体" w:eastAsia="宋体" w:cs="宋体"/>
          <w:spacing w:val="13"/>
          <w:sz w:val="24"/>
          <w:szCs w:val="24"/>
        </w:rPr>
        <w:t xml:space="preserve"> </w:t>
      </w:r>
      <w:r>
        <w:rPr>
          <w:rFonts w:ascii="宋体" w:hAnsi="宋体" w:eastAsia="宋体" w:cs="宋体"/>
          <w:spacing w:val="-2"/>
          <w:sz w:val="24"/>
          <w:szCs w:val="24"/>
        </w:rPr>
        <w:t>使有物料或污水等泄漏，按目前企业的管理规范，必须及时采取措施，不可能任由物料</w:t>
      </w:r>
      <w:r>
        <w:rPr>
          <w:rFonts w:ascii="宋体" w:hAnsi="宋体" w:eastAsia="宋体" w:cs="宋体"/>
          <w:spacing w:val="18"/>
          <w:sz w:val="24"/>
          <w:szCs w:val="24"/>
        </w:rPr>
        <w:t xml:space="preserve"> </w:t>
      </w:r>
      <w:r>
        <w:rPr>
          <w:rFonts w:ascii="宋体" w:hAnsi="宋体" w:eastAsia="宋体" w:cs="宋体"/>
          <w:spacing w:val="-2"/>
          <w:sz w:val="24"/>
          <w:szCs w:val="24"/>
        </w:rPr>
        <w:t>或污水漫流渗漏，同时罐区周边设有围堰，生车间厂房地面按要求进行防腐防渗，对土</w:t>
      </w:r>
      <w:r>
        <w:rPr>
          <w:rFonts w:ascii="宋体" w:hAnsi="宋体" w:eastAsia="宋体" w:cs="宋体"/>
          <w:spacing w:val="18"/>
          <w:sz w:val="24"/>
          <w:szCs w:val="24"/>
        </w:rPr>
        <w:t xml:space="preserve"> </w:t>
      </w:r>
      <w:r>
        <w:rPr>
          <w:rFonts w:ascii="宋体" w:hAnsi="宋体" w:eastAsia="宋体" w:cs="宋体"/>
          <w:spacing w:val="-2"/>
          <w:sz w:val="24"/>
          <w:szCs w:val="24"/>
        </w:rPr>
        <w:t>壤环境及地下水环境影响较小。项目危险废物堆场设置在库房内，不会因雨水淋溶从而</w:t>
      </w:r>
      <w:r>
        <w:rPr>
          <w:rFonts w:ascii="宋体" w:hAnsi="宋体" w:eastAsia="宋体" w:cs="宋体"/>
          <w:spacing w:val="18"/>
          <w:sz w:val="24"/>
          <w:szCs w:val="24"/>
        </w:rPr>
        <w:t xml:space="preserve"> </w:t>
      </w:r>
      <w:r>
        <w:rPr>
          <w:rFonts w:ascii="宋体" w:hAnsi="宋体" w:eastAsia="宋体" w:cs="宋体"/>
          <w:spacing w:val="-2"/>
          <w:sz w:val="24"/>
          <w:szCs w:val="24"/>
        </w:rPr>
        <w:t>造成地下水污染。因此，只在地埋一体化污水处理设备这些半地下非可视部位发生小面</w:t>
      </w:r>
      <w:r>
        <w:rPr>
          <w:rFonts w:ascii="宋体" w:hAnsi="宋体" w:eastAsia="宋体" w:cs="宋体"/>
          <w:spacing w:val="18"/>
          <w:sz w:val="24"/>
          <w:szCs w:val="24"/>
        </w:rPr>
        <w:t xml:space="preserve"> </w:t>
      </w:r>
      <w:r>
        <w:rPr>
          <w:rFonts w:ascii="宋体" w:hAnsi="宋体" w:eastAsia="宋体" w:cs="宋体"/>
          <w:sz w:val="24"/>
          <w:szCs w:val="24"/>
        </w:rPr>
        <w:t>积渗漏时，才可能有少量 污染物通过漏点，逐步渗入土</w:t>
      </w:r>
      <w:r>
        <w:rPr>
          <w:rFonts w:ascii="宋体" w:hAnsi="宋体" w:eastAsia="宋体" w:cs="宋体"/>
          <w:spacing w:val="-1"/>
          <w:sz w:val="24"/>
          <w:szCs w:val="24"/>
        </w:rPr>
        <w:t>壤并可能进入地下水。</w:t>
      </w:r>
    </w:p>
    <w:p w14:paraId="0F678A86">
      <w:pPr>
        <w:spacing w:before="38" w:line="350" w:lineRule="auto"/>
        <w:ind w:left="7" w:right="105" w:firstLine="483"/>
        <w:jc w:val="both"/>
        <w:rPr>
          <w:rFonts w:ascii="宋体" w:hAnsi="宋体" w:eastAsia="宋体" w:cs="宋体"/>
          <w:sz w:val="24"/>
          <w:szCs w:val="24"/>
        </w:rPr>
      </w:pPr>
      <w:r>
        <w:rPr>
          <w:rFonts w:ascii="宋体" w:hAnsi="宋体" w:eastAsia="宋体" w:cs="宋体"/>
          <w:spacing w:val="-2"/>
          <w:sz w:val="24"/>
          <w:szCs w:val="24"/>
        </w:rPr>
        <w:t>综上，本项目地下水污染源主要包括污水处理设备及污水管线等。一旦发生泄漏未</w:t>
      </w:r>
      <w:r>
        <w:rPr>
          <w:rFonts w:ascii="宋体" w:hAnsi="宋体" w:eastAsia="宋体" w:cs="宋体"/>
          <w:spacing w:val="10"/>
          <w:sz w:val="24"/>
          <w:szCs w:val="24"/>
        </w:rPr>
        <w:t xml:space="preserve"> </w:t>
      </w:r>
      <w:r>
        <w:rPr>
          <w:rFonts w:ascii="宋体" w:hAnsi="宋体" w:eastAsia="宋体" w:cs="宋体"/>
          <w:spacing w:val="-2"/>
          <w:sz w:val="24"/>
          <w:szCs w:val="24"/>
        </w:rPr>
        <w:t>经发现后果较严重，因此本次评价在设计可能出现的事故情景时，重点考虑污水处理站</w:t>
      </w:r>
      <w:r>
        <w:rPr>
          <w:rFonts w:ascii="宋体" w:hAnsi="宋体" w:eastAsia="宋体" w:cs="宋体"/>
          <w:spacing w:val="18"/>
          <w:sz w:val="24"/>
          <w:szCs w:val="24"/>
        </w:rPr>
        <w:t xml:space="preserve"> </w:t>
      </w:r>
      <w:r>
        <w:rPr>
          <w:rFonts w:ascii="宋体" w:hAnsi="宋体" w:eastAsia="宋体" w:cs="宋体"/>
          <w:spacing w:val="-1"/>
          <w:sz w:val="24"/>
          <w:szCs w:val="24"/>
        </w:rPr>
        <w:t>及废水预处理区一旦发生污染则危害较大的潜在污染源。</w:t>
      </w:r>
    </w:p>
    <w:p w14:paraId="47245893">
      <w:pPr>
        <w:spacing w:before="136" w:line="228" w:lineRule="auto"/>
        <w:ind w:left="2507"/>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6"/>
          <w:sz w:val="20"/>
          <w:szCs w:val="20"/>
        </w:rPr>
        <w:t xml:space="preserve"> </w:t>
      </w:r>
      <w:r>
        <w:rPr>
          <w:rFonts w:ascii="Times New Roman" w:hAnsi="Times New Roman" w:eastAsia="Times New Roman" w:cs="Times New Roman"/>
          <w:b/>
          <w:bCs/>
          <w:spacing w:val="5"/>
          <w:sz w:val="20"/>
          <w:szCs w:val="20"/>
        </w:rPr>
        <w:t xml:space="preserve">4.3-2        </w:t>
      </w:r>
      <w:r>
        <w:rPr>
          <w:rFonts w:ascii="宋体" w:hAnsi="宋体" w:eastAsia="宋体" w:cs="宋体"/>
          <w:b/>
          <w:bCs/>
          <w:spacing w:val="5"/>
          <w:sz w:val="20"/>
          <w:szCs w:val="20"/>
        </w:rPr>
        <w:t>预测污染物最大浓度统计一览表</w:t>
      </w:r>
    </w:p>
    <w:p w14:paraId="6296FF81">
      <w:pPr>
        <w:spacing w:line="105" w:lineRule="exact"/>
      </w:pPr>
    </w:p>
    <w:tbl>
      <w:tblPr>
        <w:tblStyle w:val="5"/>
        <w:tblW w:w="9067" w:type="dxa"/>
        <w:tblInd w:w="10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27"/>
        <w:gridCol w:w="1872"/>
        <w:gridCol w:w="1709"/>
        <w:gridCol w:w="3859"/>
      </w:tblGrid>
      <w:tr w14:paraId="699A5C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1627" w:type="dxa"/>
            <w:tcBorders>
              <w:top w:val="single" w:color="000000" w:sz="10" w:space="0"/>
              <w:left w:val="nil"/>
            </w:tcBorders>
            <w:vAlign w:val="top"/>
          </w:tcPr>
          <w:p w14:paraId="028BBF62">
            <w:pPr>
              <w:pStyle w:val="6"/>
              <w:spacing w:before="63" w:line="228" w:lineRule="auto"/>
              <w:ind w:left="505"/>
              <w:rPr>
                <w:sz w:val="20"/>
                <w:szCs w:val="20"/>
              </w:rPr>
            </w:pPr>
            <w:r>
              <w:rPr>
                <w:spacing w:val="6"/>
                <w:sz w:val="20"/>
                <w:szCs w:val="20"/>
              </w:rPr>
              <w:t>污染物</w:t>
            </w:r>
          </w:p>
        </w:tc>
        <w:tc>
          <w:tcPr>
            <w:tcW w:w="1872" w:type="dxa"/>
            <w:tcBorders>
              <w:top w:val="single" w:color="000000" w:sz="10" w:space="0"/>
            </w:tcBorders>
            <w:vAlign w:val="top"/>
          </w:tcPr>
          <w:p w14:paraId="5216F823">
            <w:pPr>
              <w:pStyle w:val="6"/>
              <w:spacing w:before="62" w:line="221" w:lineRule="auto"/>
              <w:ind w:left="292"/>
              <w:rPr>
                <w:sz w:val="20"/>
                <w:szCs w:val="20"/>
              </w:rPr>
            </w:pPr>
            <w:r>
              <w:rPr>
                <w:spacing w:val="6"/>
                <w:sz w:val="20"/>
                <w:szCs w:val="20"/>
              </w:rPr>
              <w:t>浓度（</w:t>
            </w:r>
            <w:r>
              <w:rPr>
                <w:rFonts w:ascii="Times New Roman" w:hAnsi="Times New Roman" w:eastAsia="Times New Roman" w:cs="Times New Roman"/>
                <w:sz w:val="20"/>
                <w:szCs w:val="20"/>
              </w:rPr>
              <w:t>mg</w:t>
            </w:r>
            <w:r>
              <w:rPr>
                <w:rFonts w:ascii="Times New Roman" w:hAnsi="Times New Roman" w:eastAsia="Times New Roman" w:cs="Times New Roman"/>
                <w:spacing w:val="6"/>
                <w:sz w:val="20"/>
                <w:szCs w:val="20"/>
              </w:rPr>
              <w:t>/L</w:t>
            </w:r>
            <w:r>
              <w:rPr>
                <w:spacing w:val="6"/>
                <w:sz w:val="20"/>
                <w:szCs w:val="20"/>
              </w:rPr>
              <w:t>）</w:t>
            </w:r>
          </w:p>
        </w:tc>
        <w:tc>
          <w:tcPr>
            <w:tcW w:w="1709" w:type="dxa"/>
            <w:tcBorders>
              <w:top w:val="single" w:color="000000" w:sz="10" w:space="0"/>
            </w:tcBorders>
            <w:vAlign w:val="top"/>
          </w:tcPr>
          <w:p w14:paraId="15D14DF6">
            <w:pPr>
              <w:pStyle w:val="6"/>
              <w:spacing w:before="62" w:line="228" w:lineRule="auto"/>
              <w:ind w:left="545"/>
              <w:rPr>
                <w:sz w:val="20"/>
                <w:szCs w:val="20"/>
              </w:rPr>
            </w:pPr>
            <w:r>
              <w:rPr>
                <w:spacing w:val="6"/>
                <w:sz w:val="20"/>
                <w:szCs w:val="20"/>
              </w:rPr>
              <w:t>标准值</w:t>
            </w:r>
          </w:p>
        </w:tc>
        <w:tc>
          <w:tcPr>
            <w:tcW w:w="3859" w:type="dxa"/>
            <w:tcBorders>
              <w:top w:val="single" w:color="000000" w:sz="10" w:space="0"/>
              <w:right w:val="nil"/>
            </w:tcBorders>
            <w:vAlign w:val="top"/>
          </w:tcPr>
          <w:p w14:paraId="1655BB99">
            <w:pPr>
              <w:pStyle w:val="6"/>
              <w:spacing w:before="63" w:line="228" w:lineRule="auto"/>
              <w:ind w:left="1517"/>
              <w:rPr>
                <w:sz w:val="20"/>
                <w:szCs w:val="20"/>
              </w:rPr>
            </w:pPr>
            <w:r>
              <w:rPr>
                <w:spacing w:val="7"/>
                <w:sz w:val="20"/>
                <w:szCs w:val="20"/>
              </w:rPr>
              <w:t>标准名称</w:t>
            </w:r>
          </w:p>
        </w:tc>
      </w:tr>
      <w:tr w14:paraId="0DDB82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1627" w:type="dxa"/>
            <w:tcBorders>
              <w:left w:val="nil"/>
              <w:bottom w:val="single" w:color="000000" w:sz="10" w:space="0"/>
            </w:tcBorders>
            <w:vAlign w:val="top"/>
          </w:tcPr>
          <w:p w14:paraId="49D3F4B9">
            <w:pPr>
              <w:spacing w:before="106" w:line="195" w:lineRule="auto"/>
              <w:ind w:left="59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COD</w:t>
            </w:r>
          </w:p>
        </w:tc>
        <w:tc>
          <w:tcPr>
            <w:tcW w:w="1872" w:type="dxa"/>
            <w:tcBorders>
              <w:bottom w:val="single" w:color="000000" w:sz="10" w:space="0"/>
            </w:tcBorders>
            <w:vAlign w:val="top"/>
          </w:tcPr>
          <w:p w14:paraId="0DB13C4B">
            <w:pPr>
              <w:spacing w:before="106" w:line="195" w:lineRule="auto"/>
              <w:ind w:left="77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400</w:t>
            </w:r>
          </w:p>
        </w:tc>
        <w:tc>
          <w:tcPr>
            <w:tcW w:w="1709" w:type="dxa"/>
            <w:tcBorders>
              <w:bottom w:val="single" w:color="000000" w:sz="10" w:space="0"/>
            </w:tcBorders>
            <w:vAlign w:val="top"/>
          </w:tcPr>
          <w:p w14:paraId="664072B1">
            <w:pPr>
              <w:spacing w:before="106" w:line="195" w:lineRule="auto"/>
              <w:ind w:left="806"/>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3859" w:type="dxa"/>
            <w:tcBorders>
              <w:bottom w:val="single" w:color="000000" w:sz="10" w:space="0"/>
              <w:right w:val="nil"/>
            </w:tcBorders>
            <w:vAlign w:val="top"/>
          </w:tcPr>
          <w:p w14:paraId="2757E509">
            <w:pPr>
              <w:pStyle w:val="6"/>
              <w:spacing w:before="70" w:line="228" w:lineRule="auto"/>
              <w:ind w:left="894"/>
              <w:rPr>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3838-2002 Ⅲ</w:t>
            </w:r>
            <w:r>
              <w:rPr>
                <w:spacing w:val="6"/>
                <w:sz w:val="20"/>
                <w:szCs w:val="20"/>
              </w:rPr>
              <w:t>类标准</w:t>
            </w:r>
          </w:p>
        </w:tc>
      </w:tr>
    </w:tbl>
    <w:p w14:paraId="2D8DCA23">
      <w:pPr>
        <w:spacing w:before="124" w:line="346" w:lineRule="auto"/>
        <w:ind w:left="9" w:right="105" w:firstLine="480"/>
        <w:rPr>
          <w:rFonts w:ascii="宋体" w:hAnsi="宋体" w:eastAsia="宋体" w:cs="宋体"/>
          <w:sz w:val="24"/>
          <w:szCs w:val="24"/>
        </w:rPr>
      </w:pPr>
      <w:r>
        <w:rPr>
          <w:rFonts w:ascii="宋体" w:hAnsi="宋体" w:eastAsia="宋体" w:cs="宋体"/>
          <w:spacing w:val="-2"/>
          <w:sz w:val="24"/>
          <w:szCs w:val="24"/>
        </w:rPr>
        <w:t>本次假设如下几种污染泄漏情景：对于调节池主要考虑以下状况：①正常状况有防</w:t>
      </w:r>
      <w:r>
        <w:rPr>
          <w:rFonts w:ascii="宋体" w:hAnsi="宋体" w:eastAsia="宋体" w:cs="宋体"/>
          <w:spacing w:val="12"/>
          <w:sz w:val="24"/>
          <w:szCs w:val="24"/>
        </w:rPr>
        <w:t xml:space="preserve"> </w:t>
      </w:r>
      <w:r>
        <w:rPr>
          <w:rFonts w:ascii="宋体" w:hAnsi="宋体" w:eastAsia="宋体" w:cs="宋体"/>
          <w:spacing w:val="-1"/>
          <w:sz w:val="24"/>
          <w:szCs w:val="24"/>
        </w:rPr>
        <w:t>渗；②防渗层发生破损，短时泄漏。</w:t>
      </w:r>
    </w:p>
    <w:p w14:paraId="4AF7EF14">
      <w:pPr>
        <w:spacing w:line="346" w:lineRule="auto"/>
        <w:rPr>
          <w:rFonts w:ascii="宋体" w:hAnsi="宋体" w:eastAsia="宋体" w:cs="宋体"/>
          <w:sz w:val="24"/>
          <w:szCs w:val="24"/>
        </w:rPr>
        <w:sectPr>
          <w:headerReference r:id="rId332" w:type="default"/>
          <w:footerReference r:id="rId333" w:type="default"/>
          <w:pgSz w:w="11906" w:h="16839"/>
          <w:pgMar w:top="1190" w:right="1313" w:bottom="1427" w:left="1417" w:header="882" w:footer="1265" w:gutter="0"/>
          <w:cols w:space="720" w:num="1"/>
        </w:sectPr>
      </w:pPr>
    </w:p>
    <w:p w14:paraId="4C2691DE">
      <w:pPr>
        <w:spacing w:line="28" w:lineRule="exact"/>
      </w:pPr>
      <w:r>
        <w:pict>
          <v:shape id="_x0000_s1828" o:spid="_x0000_s1828" style="height:1.45pt;width:453.65pt;" fillcolor="#000000" filled="t" stroked="f" coordsize="9072,29" path="m0,0l9072,0,9072,28,0,28,0,0xe">
            <v:path/>
            <v:fill on="t" focussize="0,0"/>
            <v:stroke on="f"/>
            <v:imagedata o:title=""/>
            <o:lock v:ext="edit"/>
            <w10:wrap type="none"/>
            <w10:anchorlock/>
          </v:shape>
        </w:pict>
      </w:r>
    </w:p>
    <w:p w14:paraId="14FCDE99">
      <w:pPr>
        <w:pStyle w:val="2"/>
        <w:spacing w:line="242" w:lineRule="auto"/>
      </w:pPr>
    </w:p>
    <w:p w14:paraId="1A6BDD47">
      <w:pPr>
        <w:spacing w:before="79" w:line="220" w:lineRule="auto"/>
        <w:ind w:left="5"/>
        <w:outlineLvl w:val="1"/>
        <w:rPr>
          <w:rFonts w:ascii="宋体" w:hAnsi="宋体" w:eastAsia="宋体" w:cs="宋体"/>
          <w:sz w:val="24"/>
          <w:szCs w:val="24"/>
        </w:rPr>
      </w:pPr>
      <w:r>
        <w:fldChar w:fldCharType="begin"/>
      </w:r>
      <w:r>
        <w:instrText xml:space="preserve"> HYPERLINK "4.3.2.4" </w:instrText>
      </w:r>
      <w:r>
        <w:fldChar w:fldCharType="separate"/>
      </w:r>
      <w:r>
        <w:rPr>
          <w:rFonts w:ascii="Times New Roman" w:hAnsi="Times New Roman" w:eastAsia="Times New Roman" w:cs="Times New Roman"/>
          <w:b/>
          <w:bCs/>
          <w:spacing w:val="-2"/>
          <w:sz w:val="24"/>
          <w:szCs w:val="24"/>
        </w:rPr>
        <w:t>4.3.2.4</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预测源强设定</w:t>
      </w:r>
    </w:p>
    <w:p w14:paraId="72B5ED29">
      <w:pPr>
        <w:spacing w:before="203"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）正常状况有防渗</w:t>
      </w:r>
    </w:p>
    <w:p w14:paraId="447734CF">
      <w:pPr>
        <w:spacing w:before="204" w:line="365" w:lineRule="auto"/>
        <w:ind w:left="9" w:firstLine="483"/>
        <w:rPr>
          <w:rFonts w:ascii="宋体" w:hAnsi="宋体" w:eastAsia="宋体" w:cs="宋体"/>
          <w:sz w:val="24"/>
          <w:szCs w:val="24"/>
        </w:rPr>
      </w:pPr>
      <w:r>
        <w:rPr>
          <w:rFonts w:ascii="宋体" w:hAnsi="宋体" w:eastAsia="宋体" w:cs="宋体"/>
          <w:spacing w:val="-5"/>
          <w:sz w:val="24"/>
          <w:szCs w:val="24"/>
        </w:rPr>
        <w:t>正常状况，地埋一体化污水处理设备的收集、输送、储</w:t>
      </w:r>
      <w:r>
        <w:rPr>
          <w:rFonts w:ascii="宋体" w:hAnsi="宋体" w:eastAsia="宋体" w:cs="宋体"/>
          <w:spacing w:val="-6"/>
          <w:sz w:val="24"/>
          <w:szCs w:val="24"/>
        </w:rPr>
        <w:t>存和处理系统保持正常运行，</w:t>
      </w:r>
      <w:r>
        <w:rPr>
          <w:rFonts w:ascii="宋体" w:hAnsi="宋体" w:eastAsia="宋体" w:cs="宋体"/>
          <w:sz w:val="24"/>
          <w:szCs w:val="24"/>
        </w:rPr>
        <w:t xml:space="preserve"> </w:t>
      </w:r>
      <w:r>
        <w:rPr>
          <w:rFonts w:ascii="宋体" w:hAnsi="宋体" w:eastAsia="宋体" w:cs="宋体"/>
          <w:spacing w:val="-2"/>
          <w:sz w:val="24"/>
          <w:szCs w:val="24"/>
        </w:rPr>
        <w:t>未发生泄漏，本次新建设施均需设置防渗。按照《环境影响评价技术导则 地下水环境》</w:t>
      </w:r>
      <w:r>
        <w:rPr>
          <w:rFonts w:ascii="宋体" w:hAnsi="宋体" w:eastAsia="宋体" w:cs="宋体"/>
          <w:spacing w:val="4"/>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HJ610 2016</w:t>
      </w:r>
      <w:r>
        <w:rPr>
          <w:rFonts w:ascii="宋体" w:hAnsi="宋体" w:eastAsia="宋体" w:cs="宋体"/>
          <w:spacing w:val="-1"/>
          <w:sz w:val="24"/>
          <w:szCs w:val="24"/>
        </w:rPr>
        <w:t>）以及《石油化工工程防渗技术规范》（</w:t>
      </w:r>
      <w:r>
        <w:rPr>
          <w:rFonts w:ascii="Times New Roman" w:hAnsi="Times New Roman" w:eastAsia="Times New Roman" w:cs="Times New Roman"/>
          <w:spacing w:val="-1"/>
          <w:sz w:val="24"/>
          <w:szCs w:val="24"/>
        </w:rPr>
        <w:t>GB/T 50934</w:t>
      </w:r>
      <w:r>
        <w:rPr>
          <w:rFonts w:ascii="宋体" w:hAnsi="宋体" w:eastAsia="宋体" w:cs="宋体"/>
          <w:spacing w:val="-1"/>
          <w:sz w:val="24"/>
          <w:szCs w:val="24"/>
        </w:rPr>
        <w:t>）的要求，地埋一体</w:t>
      </w:r>
      <w:r>
        <w:rPr>
          <w:rFonts w:ascii="宋体" w:hAnsi="宋体" w:eastAsia="宋体" w:cs="宋体"/>
          <w:spacing w:val="7"/>
          <w:sz w:val="24"/>
          <w:szCs w:val="24"/>
        </w:rPr>
        <w:t xml:space="preserve">  </w:t>
      </w:r>
      <w:r>
        <w:rPr>
          <w:rFonts w:ascii="宋体" w:hAnsi="宋体" w:eastAsia="宋体" w:cs="宋体"/>
          <w:spacing w:val="-3"/>
          <w:sz w:val="24"/>
          <w:szCs w:val="24"/>
        </w:rPr>
        <w:t>化污水处理设备设为重点污染防渗区，防渗层防渗防渗性能等效应不</w:t>
      </w:r>
      <w:r>
        <w:rPr>
          <w:rFonts w:ascii="宋体" w:hAnsi="宋体" w:eastAsia="宋体" w:cs="宋体"/>
          <w:spacing w:val="-4"/>
          <w:sz w:val="24"/>
          <w:szCs w:val="24"/>
        </w:rPr>
        <w:t>低于</w:t>
      </w:r>
      <w:r>
        <w:rPr>
          <w:rFonts w:ascii="Times New Roman" w:hAnsi="Times New Roman" w:eastAsia="Times New Roman" w:cs="Times New Roman"/>
          <w:spacing w:val="-4"/>
          <w:sz w:val="24"/>
          <w:szCs w:val="24"/>
        </w:rPr>
        <w:t>M=6m</w:t>
      </w:r>
      <w:r>
        <w:rPr>
          <w:rFonts w:ascii="宋体" w:hAnsi="宋体" w:eastAsia="宋体" w:cs="宋体"/>
          <w:spacing w:val="-4"/>
          <w:sz w:val="24"/>
          <w:szCs w:val="24"/>
        </w:rPr>
        <w:t>厚粘土，</w:t>
      </w:r>
      <w:r>
        <w:rPr>
          <w:rFonts w:ascii="宋体" w:hAnsi="宋体" w:eastAsia="宋体" w:cs="宋体"/>
          <w:sz w:val="24"/>
          <w:szCs w:val="24"/>
        </w:rPr>
        <w:t xml:space="preserve"> </w:t>
      </w:r>
      <w:r>
        <w:rPr>
          <w:rFonts w:ascii="宋体" w:hAnsi="宋体" w:eastAsia="宋体" w:cs="宋体"/>
          <w:spacing w:val="-1"/>
          <w:sz w:val="24"/>
          <w:szCs w:val="24"/>
        </w:rPr>
        <w:t>渗透系数</w:t>
      </w:r>
      <w:r>
        <w:rPr>
          <w:rFonts w:ascii="Times New Roman" w:hAnsi="Times New Roman" w:eastAsia="Times New Roman" w:cs="Times New Roman"/>
          <w:spacing w:val="-1"/>
          <w:sz w:val="24"/>
          <w:szCs w:val="24"/>
        </w:rPr>
        <w:t>K</w:t>
      </w:r>
      <w:r>
        <w:rPr>
          <w:rFonts w:ascii="宋体" w:hAnsi="宋体" w:eastAsia="宋体" w:cs="宋体"/>
          <w:spacing w:val="-1"/>
          <w:sz w:val="24"/>
          <w:szCs w:val="24"/>
        </w:rPr>
        <w:t>不大于</w:t>
      </w:r>
      <w:r>
        <w:rPr>
          <w:rFonts w:ascii="宋体" w:hAnsi="宋体" w:eastAsia="宋体" w:cs="宋体"/>
          <w:spacing w:val="-31"/>
          <w:sz w:val="24"/>
          <w:szCs w:val="24"/>
        </w:rPr>
        <w:t xml:space="preserve"> </w:t>
      </w:r>
      <w:r>
        <w:rPr>
          <w:rFonts w:ascii="Times New Roman" w:hAnsi="Times New Roman" w:eastAsia="Times New Roman" w:cs="Times New Roman"/>
          <w:spacing w:val="-1"/>
          <w:sz w:val="24"/>
          <w:szCs w:val="24"/>
        </w:rPr>
        <w:t>10</w:t>
      </w:r>
      <w:r>
        <w:rPr>
          <w:rFonts w:ascii="Times New Roman" w:hAnsi="Times New Roman" w:eastAsia="Times New Roman" w:cs="Times New Roman"/>
          <w:spacing w:val="-1"/>
          <w:position w:val="7"/>
          <w:sz w:val="15"/>
          <w:szCs w:val="15"/>
        </w:rPr>
        <w:t>-7</w:t>
      </w:r>
      <w:r>
        <w:rPr>
          <w:rFonts w:ascii="Times New Roman" w:hAnsi="Times New Roman" w:eastAsia="Times New Roman" w:cs="Times New Roman"/>
          <w:spacing w:val="-1"/>
          <w:sz w:val="24"/>
          <w:szCs w:val="24"/>
        </w:rPr>
        <w:t>cm/s</w:t>
      </w:r>
      <w:r>
        <w:rPr>
          <w:rFonts w:ascii="宋体" w:hAnsi="宋体" w:eastAsia="宋体" w:cs="宋体"/>
          <w:spacing w:val="-1"/>
          <w:sz w:val="24"/>
          <w:szCs w:val="24"/>
        </w:rPr>
        <w:t>（</w:t>
      </w:r>
      <w:r>
        <w:rPr>
          <w:rFonts w:ascii="Times New Roman" w:hAnsi="Times New Roman" w:eastAsia="Times New Roman" w:cs="Times New Roman"/>
          <w:spacing w:val="-1"/>
          <w:sz w:val="24"/>
          <w:szCs w:val="24"/>
        </w:rPr>
        <w:t>0.0000864m/d</w:t>
      </w:r>
      <w:r>
        <w:rPr>
          <w:rFonts w:ascii="宋体" w:hAnsi="宋体" w:eastAsia="宋体" w:cs="宋体"/>
          <w:spacing w:val="-1"/>
          <w:sz w:val="24"/>
          <w:szCs w:val="24"/>
        </w:rPr>
        <w:t>）防渗等级。</w:t>
      </w:r>
    </w:p>
    <w:p w14:paraId="7FA54242">
      <w:pPr>
        <w:spacing w:before="71"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）非正常工况下，地埋一体化污水处理设备防渗层发生破损，短时泄露</w:t>
      </w:r>
    </w:p>
    <w:p w14:paraId="0DF4C49F">
      <w:pPr>
        <w:spacing w:before="203" w:line="366" w:lineRule="auto"/>
        <w:ind w:left="2" w:right="105" w:firstLine="485"/>
        <w:rPr>
          <w:rFonts w:ascii="宋体" w:hAnsi="宋体" w:eastAsia="宋体" w:cs="宋体"/>
          <w:sz w:val="24"/>
          <w:szCs w:val="24"/>
        </w:rPr>
      </w:pPr>
      <w:r>
        <w:rPr>
          <w:rFonts w:ascii="宋体" w:hAnsi="宋体" w:eastAsia="宋体" w:cs="宋体"/>
          <w:spacing w:val="-2"/>
          <w:sz w:val="24"/>
          <w:szCs w:val="24"/>
        </w:rPr>
        <w:t>根据工程分析结果，废水量为</w:t>
      </w:r>
      <w:r>
        <w:rPr>
          <w:rFonts w:ascii="Times New Roman" w:hAnsi="Times New Roman" w:eastAsia="Times New Roman" w:cs="Times New Roman"/>
          <w:spacing w:val="-2"/>
          <w:sz w:val="24"/>
          <w:szCs w:val="24"/>
        </w:rPr>
        <w:t>1.445m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sz w:val="24"/>
          <w:szCs w:val="24"/>
        </w:rPr>
        <w:t>/h</w:t>
      </w:r>
      <w:r>
        <w:rPr>
          <w:rFonts w:ascii="宋体" w:hAnsi="宋体" w:eastAsia="宋体" w:cs="宋体"/>
          <w:spacing w:val="-2"/>
          <w:sz w:val="24"/>
          <w:szCs w:val="24"/>
        </w:rPr>
        <w:t>。考虑最不利情况，假设调节池</w:t>
      </w:r>
      <w:r>
        <w:rPr>
          <w:rFonts w:ascii="宋体" w:hAnsi="宋体" w:eastAsia="宋体" w:cs="宋体"/>
          <w:spacing w:val="-3"/>
          <w:sz w:val="24"/>
          <w:szCs w:val="24"/>
        </w:rPr>
        <w:t>池底部防渗</w:t>
      </w:r>
      <w:r>
        <w:rPr>
          <w:rFonts w:ascii="宋体" w:hAnsi="宋体" w:eastAsia="宋体" w:cs="宋体"/>
          <w:sz w:val="24"/>
          <w:szCs w:val="24"/>
        </w:rPr>
        <w:t xml:space="preserve"> </w:t>
      </w:r>
      <w:r>
        <w:rPr>
          <w:rFonts w:ascii="宋体" w:hAnsi="宋体" w:eastAsia="宋体" w:cs="宋体"/>
          <w:spacing w:val="8"/>
          <w:sz w:val="24"/>
          <w:szCs w:val="24"/>
        </w:rPr>
        <w:t>层破损，有</w:t>
      </w:r>
      <w:r>
        <w:rPr>
          <w:rFonts w:ascii="Times New Roman" w:hAnsi="Times New Roman" w:eastAsia="Times New Roman" w:cs="Times New Roman"/>
          <w:spacing w:val="8"/>
          <w:sz w:val="24"/>
          <w:szCs w:val="24"/>
        </w:rPr>
        <w:t>0.</w:t>
      </w:r>
      <w:r>
        <w:rPr>
          <w:rFonts w:ascii="Times New Roman" w:hAnsi="Times New Roman" w:eastAsia="Times New Roman" w:cs="Times New Roman"/>
          <w:spacing w:val="-25"/>
          <w:sz w:val="24"/>
          <w:szCs w:val="24"/>
        </w:rPr>
        <w:t xml:space="preserve"> </w:t>
      </w:r>
      <w:r>
        <w:rPr>
          <w:rFonts w:ascii="Times New Roman" w:hAnsi="Times New Roman" w:eastAsia="Times New Roman" w:cs="Times New Roman"/>
          <w:spacing w:val="8"/>
          <w:sz w:val="24"/>
          <w:szCs w:val="24"/>
        </w:rPr>
        <w:t>1%</w:t>
      </w:r>
      <w:r>
        <w:rPr>
          <w:rFonts w:ascii="宋体" w:hAnsi="宋体" w:eastAsia="宋体" w:cs="宋体"/>
          <w:spacing w:val="8"/>
          <w:sz w:val="24"/>
          <w:szCs w:val="24"/>
        </w:rPr>
        <w:t>的污水往下入渗，则入渗强度为</w:t>
      </w:r>
      <w:r>
        <w:rPr>
          <w:rFonts w:ascii="Times New Roman" w:hAnsi="Times New Roman" w:eastAsia="Times New Roman" w:cs="Times New Roman"/>
          <w:spacing w:val="8"/>
          <w:sz w:val="24"/>
          <w:szCs w:val="24"/>
        </w:rPr>
        <w:t>0.03m</w:t>
      </w:r>
      <w:r>
        <w:rPr>
          <w:rFonts w:ascii="Times New Roman" w:hAnsi="Times New Roman" w:eastAsia="Times New Roman" w:cs="Times New Roman"/>
          <w:spacing w:val="8"/>
          <w:position w:val="8"/>
          <w:sz w:val="15"/>
          <w:szCs w:val="15"/>
        </w:rPr>
        <w:t>3</w:t>
      </w:r>
      <w:r>
        <w:rPr>
          <w:rFonts w:ascii="Times New Roman" w:hAnsi="Times New Roman" w:eastAsia="Times New Roman" w:cs="Times New Roman"/>
          <w:spacing w:val="8"/>
          <w:sz w:val="24"/>
          <w:szCs w:val="24"/>
        </w:rPr>
        <w:t>/d</w:t>
      </w:r>
      <w:r>
        <w:rPr>
          <w:rFonts w:ascii="宋体" w:hAnsi="宋体" w:eastAsia="宋体" w:cs="宋体"/>
          <w:spacing w:val="8"/>
          <w:sz w:val="24"/>
          <w:szCs w:val="24"/>
        </w:rPr>
        <w:t>；</w:t>
      </w:r>
      <w:r>
        <w:rPr>
          <w:rFonts w:ascii="Times New Roman" w:hAnsi="Times New Roman" w:eastAsia="Times New Roman" w:cs="Times New Roman"/>
          <w:sz w:val="24"/>
          <w:szCs w:val="24"/>
        </w:rPr>
        <w:t>COD</w:t>
      </w:r>
      <w:r>
        <w:rPr>
          <w:rFonts w:ascii="Times New Roman" w:hAnsi="Times New Roman" w:eastAsia="Times New Roman" w:cs="Times New Roman"/>
          <w:position w:val="-1"/>
          <w:sz w:val="15"/>
          <w:szCs w:val="15"/>
        </w:rPr>
        <w:t>cr</w:t>
      </w:r>
      <w:r>
        <w:rPr>
          <w:rFonts w:ascii="宋体" w:hAnsi="宋体" w:eastAsia="宋体" w:cs="宋体"/>
          <w:spacing w:val="8"/>
          <w:sz w:val="24"/>
          <w:szCs w:val="24"/>
        </w:rPr>
        <w:t>污染源浓度设定为</w:t>
      </w:r>
      <w:r>
        <w:rPr>
          <w:rFonts w:ascii="宋体" w:hAnsi="宋体" w:eastAsia="宋体" w:cs="宋体"/>
          <w:sz w:val="24"/>
          <w:szCs w:val="24"/>
        </w:rPr>
        <w:t xml:space="preserve"> </w:t>
      </w:r>
      <w:r>
        <w:rPr>
          <w:rFonts w:ascii="Times New Roman" w:hAnsi="Times New Roman" w:eastAsia="Times New Roman" w:cs="Times New Roman"/>
          <w:spacing w:val="-1"/>
          <w:sz w:val="24"/>
          <w:szCs w:val="24"/>
        </w:rPr>
        <w:t>400mg/L</w:t>
      </w:r>
      <w:r>
        <w:rPr>
          <w:rFonts w:ascii="宋体" w:hAnsi="宋体" w:eastAsia="宋体" w:cs="宋体"/>
          <w:spacing w:val="-1"/>
          <w:sz w:val="24"/>
          <w:szCs w:val="24"/>
        </w:rPr>
        <w:t>。</w:t>
      </w:r>
    </w:p>
    <w:p w14:paraId="5E290227">
      <w:pPr>
        <w:spacing w:before="38" w:line="368" w:lineRule="auto"/>
        <w:ind w:left="8" w:right="25" w:firstLine="483"/>
        <w:jc w:val="both"/>
        <w:rPr>
          <w:rFonts w:ascii="宋体" w:hAnsi="宋体" w:eastAsia="宋体" w:cs="宋体"/>
          <w:sz w:val="24"/>
          <w:szCs w:val="24"/>
        </w:rPr>
      </w:pPr>
      <w:r>
        <w:rPr>
          <w:rFonts w:ascii="宋体" w:hAnsi="宋体" w:eastAsia="宋体" w:cs="宋体"/>
          <w:spacing w:val="5"/>
          <w:sz w:val="24"/>
          <w:szCs w:val="24"/>
        </w:rPr>
        <w:t>非正常状况废水泄漏情景是企业日常加强对厂区各单元防渗层完整性和有效性的</w:t>
      </w:r>
      <w:r>
        <w:rPr>
          <w:rFonts w:ascii="宋体" w:hAnsi="宋体" w:eastAsia="宋体" w:cs="宋体"/>
          <w:spacing w:val="2"/>
          <w:sz w:val="24"/>
          <w:szCs w:val="24"/>
        </w:rPr>
        <w:t xml:space="preserve"> </w:t>
      </w:r>
      <w:r>
        <w:rPr>
          <w:rFonts w:ascii="宋体" w:hAnsi="宋体" w:eastAsia="宋体" w:cs="宋体"/>
          <w:spacing w:val="-6"/>
          <w:sz w:val="24"/>
          <w:szCs w:val="24"/>
        </w:rPr>
        <w:t>检查，同时加强对下游地下水污染跟踪监测井的跟踪监测，发现泄漏后及时切断泄漏源。</w:t>
      </w:r>
      <w:r>
        <w:rPr>
          <w:rFonts w:ascii="宋体" w:hAnsi="宋体" w:eastAsia="宋体" w:cs="宋体"/>
          <w:spacing w:val="15"/>
          <w:sz w:val="24"/>
          <w:szCs w:val="24"/>
        </w:rPr>
        <w:t xml:space="preserve"> </w:t>
      </w:r>
      <w:r>
        <w:rPr>
          <w:rFonts w:ascii="宋体" w:hAnsi="宋体" w:eastAsia="宋体" w:cs="宋体"/>
          <w:spacing w:val="-2"/>
          <w:sz w:val="24"/>
          <w:szCs w:val="24"/>
        </w:rPr>
        <w:t>下游跟踪监测井监测频率为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w:t>
      </w:r>
      <w:r>
        <w:rPr>
          <w:rFonts w:ascii="Times New Roman" w:hAnsi="Times New Roman" w:eastAsia="Times New Roman" w:cs="Times New Roman"/>
          <w:spacing w:val="16"/>
          <w:w w:val="101"/>
          <w:sz w:val="24"/>
          <w:szCs w:val="24"/>
        </w:rPr>
        <w:t xml:space="preserve"> </w:t>
      </w:r>
      <w:r>
        <w:rPr>
          <w:rFonts w:ascii="宋体" w:hAnsi="宋体" w:eastAsia="宋体" w:cs="宋体"/>
          <w:spacing w:val="-2"/>
          <w:sz w:val="24"/>
          <w:szCs w:val="24"/>
        </w:rPr>
        <w:t>次</w:t>
      </w:r>
      <w:r>
        <w:rPr>
          <w:rFonts w:ascii="Times New Roman" w:hAnsi="Times New Roman" w:eastAsia="Times New Roman" w:cs="Times New Roman"/>
          <w:spacing w:val="-2"/>
          <w:sz w:val="24"/>
          <w:szCs w:val="24"/>
        </w:rPr>
        <w:t>/2</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月，则本次假设短时泄漏持续时间</w:t>
      </w:r>
      <w:r>
        <w:rPr>
          <w:rFonts w:ascii="宋体" w:hAnsi="宋体" w:eastAsia="宋体" w:cs="宋体"/>
          <w:spacing w:val="-3"/>
          <w:sz w:val="24"/>
          <w:szCs w:val="24"/>
        </w:rPr>
        <w:t>为</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 xml:space="preserve">60 </w:t>
      </w:r>
      <w:r>
        <w:rPr>
          <w:rFonts w:ascii="宋体" w:hAnsi="宋体" w:eastAsia="宋体" w:cs="宋体"/>
          <w:spacing w:val="-3"/>
          <w:sz w:val="24"/>
          <w:szCs w:val="24"/>
        </w:rPr>
        <w:t>天。</w:t>
      </w:r>
    </w:p>
    <w:p w14:paraId="57781F5D">
      <w:pPr>
        <w:spacing w:before="33" w:line="218" w:lineRule="auto"/>
        <w:ind w:left="5"/>
        <w:outlineLvl w:val="3"/>
        <w:rPr>
          <w:rFonts w:ascii="宋体" w:hAnsi="宋体" w:eastAsia="宋体" w:cs="宋体"/>
          <w:sz w:val="24"/>
          <w:szCs w:val="24"/>
        </w:rPr>
      </w:pPr>
      <w:r>
        <w:fldChar w:fldCharType="begin"/>
      </w:r>
      <w:r>
        <w:instrText xml:space="preserve"> HYPERLINK "4.3.2.5" </w:instrText>
      </w:r>
      <w:r>
        <w:fldChar w:fldCharType="separate"/>
      </w:r>
      <w:r>
        <w:rPr>
          <w:rFonts w:ascii="Times New Roman" w:hAnsi="Times New Roman" w:eastAsia="Times New Roman" w:cs="Times New Roman"/>
          <w:b/>
          <w:bCs/>
          <w:spacing w:val="-2"/>
          <w:sz w:val="24"/>
          <w:szCs w:val="24"/>
        </w:rPr>
        <w:t>4.3.2.5</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地下水环境影响预测评价</w:t>
      </w:r>
    </w:p>
    <w:p w14:paraId="01C03EF9">
      <w:pPr>
        <w:spacing w:before="205" w:line="368" w:lineRule="auto"/>
        <w:ind w:left="7" w:right="44" w:firstLine="485"/>
        <w:jc w:val="both"/>
        <w:rPr>
          <w:rFonts w:ascii="宋体" w:hAnsi="宋体" w:eastAsia="宋体" w:cs="宋体"/>
          <w:sz w:val="24"/>
          <w:szCs w:val="24"/>
        </w:rPr>
      </w:pPr>
      <w:r>
        <w:rPr>
          <w:rFonts w:ascii="宋体" w:hAnsi="宋体" w:eastAsia="宋体" w:cs="宋体"/>
          <w:spacing w:val="-2"/>
          <w:sz w:val="24"/>
          <w:szCs w:val="24"/>
        </w:rPr>
        <w:t>正常状况，防渗层防渗防渗性能等效于</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6m</w:t>
      </w:r>
      <w:r>
        <w:rPr>
          <w:rFonts w:ascii="Times New Roman" w:hAnsi="Times New Roman" w:eastAsia="Times New Roman" w:cs="Times New Roman"/>
          <w:spacing w:val="18"/>
          <w:sz w:val="24"/>
          <w:szCs w:val="24"/>
        </w:rPr>
        <w:t xml:space="preserve"> </w:t>
      </w:r>
      <w:r>
        <w:rPr>
          <w:rFonts w:ascii="宋体" w:hAnsi="宋体" w:eastAsia="宋体" w:cs="宋体"/>
          <w:spacing w:val="-2"/>
          <w:sz w:val="24"/>
          <w:szCs w:val="24"/>
        </w:rPr>
        <w:t>厚粘土，渗透系数不大于</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10</w:t>
      </w:r>
      <w:r>
        <w:rPr>
          <w:rFonts w:ascii="Times New Roman" w:hAnsi="Times New Roman" w:eastAsia="Times New Roman" w:cs="Times New Roman"/>
          <w:spacing w:val="-2"/>
          <w:position w:val="8"/>
          <w:sz w:val="15"/>
          <w:szCs w:val="15"/>
        </w:rPr>
        <w:t>-7</w:t>
      </w:r>
      <w:r>
        <w:rPr>
          <w:rFonts w:ascii="Times New Roman" w:hAnsi="Times New Roman" w:eastAsia="Times New Roman" w:cs="Times New Roman"/>
          <w:spacing w:val="-2"/>
          <w:sz w:val="24"/>
          <w:szCs w:val="24"/>
        </w:rPr>
        <w:t>cm/s</w:t>
      </w:r>
      <w:r>
        <w:rPr>
          <w:rFonts w:ascii="Times New Roman" w:hAnsi="Times New Roman" w:eastAsia="Times New Roman" w:cs="Times New Roman"/>
          <w:spacing w:val="29"/>
          <w:w w:val="101"/>
          <w:sz w:val="24"/>
          <w:szCs w:val="24"/>
        </w:rPr>
        <w:t xml:space="preserve"> </w:t>
      </w:r>
      <w:r>
        <w:rPr>
          <w:rFonts w:ascii="宋体" w:hAnsi="宋体" w:eastAsia="宋体" w:cs="宋体"/>
          <w:spacing w:val="-2"/>
          <w:sz w:val="24"/>
          <w:szCs w:val="24"/>
        </w:rPr>
        <w:t>的防</w:t>
      </w:r>
      <w:r>
        <w:rPr>
          <w:rFonts w:ascii="宋体" w:hAnsi="宋体" w:eastAsia="宋体" w:cs="宋体"/>
          <w:sz w:val="24"/>
          <w:szCs w:val="24"/>
        </w:rPr>
        <w:t xml:space="preserve"> </w:t>
      </w:r>
      <w:r>
        <w:rPr>
          <w:rFonts w:ascii="宋体" w:hAnsi="宋体" w:eastAsia="宋体" w:cs="宋体"/>
          <w:spacing w:val="-6"/>
          <w:sz w:val="24"/>
          <w:szCs w:val="24"/>
        </w:rPr>
        <w:t>渗等级设置防渗，正常状况防渗层发挥作用，项目运行期间不会在地下水中形成污染</w:t>
      </w:r>
      <w:r>
        <w:rPr>
          <w:rFonts w:ascii="宋体" w:hAnsi="宋体" w:eastAsia="宋体" w:cs="宋体"/>
          <w:spacing w:val="-7"/>
          <w:sz w:val="24"/>
          <w:szCs w:val="24"/>
        </w:rPr>
        <w:t>晕，</w:t>
      </w:r>
      <w:r>
        <w:rPr>
          <w:rFonts w:ascii="宋体" w:hAnsi="宋体" w:eastAsia="宋体" w:cs="宋体"/>
          <w:sz w:val="24"/>
          <w:szCs w:val="24"/>
        </w:rPr>
        <w:t xml:space="preserve"> </w:t>
      </w:r>
      <w:r>
        <w:rPr>
          <w:rFonts w:ascii="宋体" w:hAnsi="宋体" w:eastAsia="宋体" w:cs="宋体"/>
          <w:spacing w:val="-1"/>
          <w:sz w:val="24"/>
          <w:szCs w:val="24"/>
        </w:rPr>
        <w:t>对地下水不会造成污染。</w:t>
      </w:r>
    </w:p>
    <w:p w14:paraId="091F8242">
      <w:pPr>
        <w:spacing w:before="33" w:line="219" w:lineRule="auto"/>
        <w:ind w:left="492"/>
        <w:rPr>
          <w:rFonts w:ascii="宋体" w:hAnsi="宋体" w:eastAsia="宋体" w:cs="宋体"/>
          <w:sz w:val="24"/>
          <w:szCs w:val="24"/>
        </w:rPr>
      </w:pPr>
      <w:r>
        <w:rPr>
          <w:rFonts w:ascii="宋体" w:hAnsi="宋体" w:eastAsia="宋体" w:cs="宋体"/>
          <w:spacing w:val="-1"/>
          <w:sz w:val="24"/>
          <w:szCs w:val="24"/>
        </w:rPr>
        <w:t>非正常状况，废水槽发生短时泄漏，预测结果见表</w:t>
      </w:r>
      <w:r>
        <w:rPr>
          <w:rFonts w:ascii="宋体" w:hAnsi="宋体" w:eastAsia="宋体" w:cs="宋体"/>
          <w:spacing w:val="-44"/>
          <w:sz w:val="24"/>
          <w:szCs w:val="24"/>
        </w:rPr>
        <w:t xml:space="preserve"> </w:t>
      </w:r>
      <w:r>
        <w:rPr>
          <w:rFonts w:ascii="Times New Roman" w:hAnsi="Times New Roman" w:eastAsia="Times New Roman" w:cs="Times New Roman"/>
          <w:spacing w:val="-1"/>
          <w:sz w:val="24"/>
          <w:szCs w:val="24"/>
        </w:rPr>
        <w:t xml:space="preserve">4.3-3 </w:t>
      </w:r>
      <w:r>
        <w:rPr>
          <w:rFonts w:ascii="宋体" w:hAnsi="宋体" w:eastAsia="宋体" w:cs="宋体"/>
          <w:spacing w:val="-1"/>
          <w:sz w:val="24"/>
          <w:szCs w:val="24"/>
        </w:rPr>
        <w:t>和图</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4.3-7</w:t>
      </w:r>
      <w:r>
        <w:rPr>
          <w:rFonts w:ascii="宋体" w:hAnsi="宋体" w:eastAsia="宋体" w:cs="宋体"/>
          <w:spacing w:val="-1"/>
          <w:sz w:val="24"/>
          <w:szCs w:val="24"/>
        </w:rPr>
        <w:t>。</w:t>
      </w:r>
    </w:p>
    <w:p w14:paraId="0AE3C5EF">
      <w:pPr>
        <w:spacing w:before="219" w:line="228" w:lineRule="auto"/>
        <w:ind w:left="1115"/>
        <w:rPr>
          <w:rFonts w:ascii="宋体" w:hAnsi="宋体" w:eastAsia="宋体" w:cs="宋体"/>
          <w:sz w:val="20"/>
          <w:szCs w:val="20"/>
        </w:rPr>
      </w:pPr>
      <w:r>
        <w:rPr>
          <w:rFonts w:ascii="宋体" w:hAnsi="宋体" w:eastAsia="宋体" w:cs="宋体"/>
          <w:b/>
          <w:bCs/>
          <w:spacing w:val="7"/>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7"/>
          <w:sz w:val="20"/>
          <w:szCs w:val="20"/>
        </w:rPr>
        <w:t xml:space="preserve">4.3-3        </w:t>
      </w:r>
      <w:r>
        <w:rPr>
          <w:rFonts w:ascii="宋体" w:hAnsi="宋体" w:eastAsia="宋体" w:cs="宋体"/>
          <w:b/>
          <w:bCs/>
          <w:spacing w:val="7"/>
          <w:sz w:val="20"/>
          <w:szCs w:val="20"/>
        </w:rPr>
        <w:t>非正常状况调</w:t>
      </w:r>
      <w:r>
        <w:rPr>
          <w:rFonts w:ascii="宋体" w:hAnsi="宋体" w:eastAsia="宋体" w:cs="宋体"/>
          <w:b/>
          <w:bCs/>
          <w:spacing w:val="6"/>
          <w:sz w:val="20"/>
          <w:szCs w:val="20"/>
        </w:rPr>
        <w:t>节池防渗层破损，短时泄漏</w:t>
      </w:r>
      <w:r>
        <w:rPr>
          <w:rFonts w:ascii="宋体" w:hAnsi="宋体" w:eastAsia="宋体" w:cs="宋体"/>
          <w:spacing w:val="-36"/>
          <w:sz w:val="20"/>
          <w:szCs w:val="20"/>
        </w:rPr>
        <w:t xml:space="preserve"> </w:t>
      </w:r>
      <w:r>
        <w:rPr>
          <w:rFonts w:ascii="Times New Roman" w:hAnsi="Times New Roman" w:eastAsia="Times New Roman" w:cs="Times New Roman"/>
          <w:b/>
          <w:bCs/>
          <w:sz w:val="20"/>
          <w:szCs w:val="20"/>
        </w:rPr>
        <w:t>COD</w:t>
      </w:r>
      <w:r>
        <w:rPr>
          <w:rFonts w:ascii="Times New Roman" w:hAnsi="Times New Roman" w:eastAsia="Times New Roman" w:cs="Times New Roman"/>
          <w:b/>
          <w:bCs/>
          <w:position w:val="-1"/>
          <w:sz w:val="13"/>
          <w:szCs w:val="13"/>
        </w:rPr>
        <w:t>cr</w:t>
      </w:r>
      <w:r>
        <w:rPr>
          <w:rFonts w:ascii="Times New Roman" w:hAnsi="Times New Roman" w:eastAsia="Times New Roman" w:cs="Times New Roman"/>
          <w:b/>
          <w:bCs/>
          <w:spacing w:val="10"/>
          <w:w w:val="101"/>
          <w:position w:val="-1"/>
          <w:sz w:val="13"/>
          <w:szCs w:val="13"/>
        </w:rPr>
        <w:t xml:space="preserve"> </w:t>
      </w:r>
      <w:r>
        <w:rPr>
          <w:rFonts w:ascii="宋体" w:hAnsi="宋体" w:eastAsia="宋体" w:cs="宋体"/>
          <w:b/>
          <w:bCs/>
          <w:spacing w:val="6"/>
          <w:sz w:val="20"/>
          <w:szCs w:val="20"/>
        </w:rPr>
        <w:t>污染预测结果</w:t>
      </w:r>
    </w:p>
    <w:p w14:paraId="44B70E91">
      <w:pPr>
        <w:spacing w:line="103"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88"/>
        <w:gridCol w:w="3251"/>
        <w:gridCol w:w="3333"/>
      </w:tblGrid>
      <w:tr w14:paraId="78CBA7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2" w:hRule="atLeast"/>
        </w:trPr>
        <w:tc>
          <w:tcPr>
            <w:tcW w:w="2488" w:type="dxa"/>
            <w:tcBorders>
              <w:top w:val="single" w:color="000000" w:sz="10" w:space="0"/>
              <w:left w:val="nil"/>
            </w:tcBorders>
            <w:vAlign w:val="top"/>
          </w:tcPr>
          <w:p w14:paraId="71D68512">
            <w:pPr>
              <w:pStyle w:val="6"/>
              <w:spacing w:before="208" w:line="230" w:lineRule="auto"/>
              <w:ind w:left="1048"/>
              <w:rPr>
                <w:sz w:val="20"/>
                <w:szCs w:val="20"/>
              </w:rPr>
            </w:pPr>
            <w:r>
              <w:rPr>
                <w:spacing w:val="-1"/>
                <w:sz w:val="20"/>
                <w:szCs w:val="20"/>
              </w:rPr>
              <w:t>时间</w:t>
            </w:r>
          </w:p>
        </w:tc>
        <w:tc>
          <w:tcPr>
            <w:tcW w:w="3251" w:type="dxa"/>
            <w:tcBorders>
              <w:top w:val="single" w:color="000000" w:sz="10" w:space="0"/>
            </w:tcBorders>
            <w:vAlign w:val="top"/>
          </w:tcPr>
          <w:p w14:paraId="2C18EC9A">
            <w:pPr>
              <w:pStyle w:val="6"/>
              <w:spacing w:before="227" w:line="228" w:lineRule="auto"/>
              <w:ind w:left="806"/>
              <w:rPr>
                <w:rFonts w:ascii="Times New Roman" w:hAnsi="Times New Roman" w:eastAsia="Times New Roman" w:cs="Times New Roman"/>
                <w:sz w:val="20"/>
                <w:szCs w:val="20"/>
              </w:rPr>
            </w:pPr>
            <w:r>
              <w:rPr>
                <w:spacing w:val="5"/>
                <w:sz w:val="20"/>
                <w:szCs w:val="20"/>
              </w:rPr>
              <w:t>向下游迁移距离</w:t>
            </w:r>
            <w:r>
              <w:rPr>
                <w:rFonts w:ascii="Times New Roman" w:hAnsi="Times New Roman" w:eastAsia="Times New Roman" w:cs="Times New Roman"/>
                <w:spacing w:val="5"/>
                <w:sz w:val="20"/>
                <w:szCs w:val="20"/>
              </w:rPr>
              <w:t>/m</w:t>
            </w:r>
          </w:p>
        </w:tc>
        <w:tc>
          <w:tcPr>
            <w:tcW w:w="3333" w:type="dxa"/>
            <w:tcBorders>
              <w:top w:val="single" w:color="000000" w:sz="10" w:space="0"/>
              <w:right w:val="nil"/>
            </w:tcBorders>
            <w:vAlign w:val="top"/>
          </w:tcPr>
          <w:p w14:paraId="1501B7B1">
            <w:pPr>
              <w:pStyle w:val="6"/>
              <w:spacing w:before="227" w:line="221" w:lineRule="auto"/>
              <w:ind w:left="820"/>
              <w:rPr>
                <w:sz w:val="20"/>
                <w:szCs w:val="20"/>
              </w:rPr>
            </w:pPr>
            <w:r>
              <w:rPr>
                <w:spacing w:val="7"/>
                <w:sz w:val="20"/>
                <w:szCs w:val="20"/>
              </w:rPr>
              <w:t>最大浓度（</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/L</w:t>
            </w:r>
            <w:r>
              <w:rPr>
                <w:spacing w:val="7"/>
                <w:sz w:val="20"/>
                <w:szCs w:val="20"/>
              </w:rPr>
              <w:t>）</w:t>
            </w:r>
          </w:p>
        </w:tc>
      </w:tr>
      <w:tr w14:paraId="2B7BAA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2488" w:type="dxa"/>
            <w:tcBorders>
              <w:left w:val="nil"/>
            </w:tcBorders>
            <w:vAlign w:val="top"/>
          </w:tcPr>
          <w:p w14:paraId="6D42AF25">
            <w:pPr>
              <w:spacing w:before="102" w:line="199" w:lineRule="auto"/>
              <w:ind w:left="10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100d</w:t>
            </w:r>
          </w:p>
        </w:tc>
        <w:tc>
          <w:tcPr>
            <w:tcW w:w="3251" w:type="dxa"/>
            <w:vAlign w:val="top"/>
          </w:tcPr>
          <w:p w14:paraId="54E7A2DC">
            <w:pPr>
              <w:spacing w:before="106" w:line="195" w:lineRule="auto"/>
              <w:ind w:left="149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149</w:t>
            </w:r>
          </w:p>
        </w:tc>
        <w:tc>
          <w:tcPr>
            <w:tcW w:w="3333" w:type="dxa"/>
            <w:tcBorders>
              <w:right w:val="nil"/>
            </w:tcBorders>
            <w:vAlign w:val="top"/>
          </w:tcPr>
          <w:p w14:paraId="2D7A5633">
            <w:pPr>
              <w:spacing w:before="106" w:line="195" w:lineRule="auto"/>
              <w:ind w:left="151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270</w:t>
            </w:r>
          </w:p>
        </w:tc>
      </w:tr>
      <w:tr w14:paraId="587150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2488" w:type="dxa"/>
            <w:tcBorders>
              <w:left w:val="nil"/>
            </w:tcBorders>
            <w:vAlign w:val="top"/>
          </w:tcPr>
          <w:p w14:paraId="3F5340A9">
            <w:pPr>
              <w:spacing w:before="106" w:line="199" w:lineRule="auto"/>
              <w:ind w:left="1002"/>
              <w:rPr>
                <w:rFonts w:ascii="Times New Roman" w:hAnsi="Times New Roman" w:eastAsia="Times New Roman" w:cs="Times New Roman"/>
                <w:sz w:val="20"/>
                <w:szCs w:val="20"/>
              </w:rPr>
            </w:pPr>
            <w:r>
              <w:rPr>
                <w:rFonts w:ascii="Times New Roman" w:hAnsi="Times New Roman" w:eastAsia="Times New Roman" w:cs="Times New Roman"/>
                <w:sz w:val="20"/>
                <w:szCs w:val="20"/>
              </w:rPr>
              <w:t>1000d</w:t>
            </w:r>
          </w:p>
        </w:tc>
        <w:tc>
          <w:tcPr>
            <w:tcW w:w="3251" w:type="dxa"/>
            <w:vAlign w:val="top"/>
          </w:tcPr>
          <w:p w14:paraId="7F035BF5">
            <w:pPr>
              <w:spacing w:before="110" w:line="195" w:lineRule="auto"/>
              <w:ind w:left="146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421</w:t>
            </w:r>
          </w:p>
        </w:tc>
        <w:tc>
          <w:tcPr>
            <w:tcW w:w="3333" w:type="dxa"/>
            <w:tcBorders>
              <w:right w:val="nil"/>
            </w:tcBorders>
            <w:vAlign w:val="top"/>
          </w:tcPr>
          <w:p w14:paraId="6AB03BAF">
            <w:pPr>
              <w:spacing w:before="110" w:line="195" w:lineRule="auto"/>
              <w:ind w:left="1622"/>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r>
      <w:tr w14:paraId="177E05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 w:hRule="atLeast"/>
        </w:trPr>
        <w:tc>
          <w:tcPr>
            <w:tcW w:w="2488" w:type="dxa"/>
            <w:tcBorders>
              <w:left w:val="nil"/>
              <w:bottom w:val="single" w:color="000000" w:sz="10" w:space="0"/>
            </w:tcBorders>
            <w:vAlign w:val="top"/>
          </w:tcPr>
          <w:p w14:paraId="6F4A5666">
            <w:pPr>
              <w:spacing w:before="112" w:line="199" w:lineRule="auto"/>
              <w:ind w:left="9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5000d</w:t>
            </w:r>
          </w:p>
        </w:tc>
        <w:tc>
          <w:tcPr>
            <w:tcW w:w="3251" w:type="dxa"/>
            <w:tcBorders>
              <w:bottom w:val="single" w:color="000000" w:sz="10" w:space="0"/>
            </w:tcBorders>
            <w:vAlign w:val="top"/>
          </w:tcPr>
          <w:p w14:paraId="5C7F1460">
            <w:pPr>
              <w:spacing w:before="116" w:line="195" w:lineRule="auto"/>
              <w:ind w:left="144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1142</w:t>
            </w:r>
          </w:p>
        </w:tc>
        <w:tc>
          <w:tcPr>
            <w:tcW w:w="3333" w:type="dxa"/>
            <w:tcBorders>
              <w:bottom w:val="single" w:color="000000" w:sz="10" w:space="0"/>
              <w:right w:val="nil"/>
            </w:tcBorders>
            <w:vAlign w:val="top"/>
          </w:tcPr>
          <w:p w14:paraId="25854233">
            <w:pPr>
              <w:spacing w:before="115" w:line="195" w:lineRule="auto"/>
              <w:ind w:left="155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r>
    </w:tbl>
    <w:p w14:paraId="66A4E593">
      <w:pPr>
        <w:spacing w:before="126" w:line="220" w:lineRule="auto"/>
        <w:ind w:left="517"/>
        <w:rPr>
          <w:rFonts w:ascii="宋体" w:hAnsi="宋体" w:eastAsia="宋体" w:cs="宋体"/>
          <w:sz w:val="24"/>
          <w:szCs w:val="24"/>
        </w:rPr>
      </w:pPr>
      <w:r>
        <w:rPr>
          <w:rFonts w:ascii="宋体" w:hAnsi="宋体" w:eastAsia="宋体" w:cs="宋体"/>
          <w:spacing w:val="-5"/>
          <w:sz w:val="24"/>
          <w:szCs w:val="24"/>
        </w:rPr>
        <w:t>由预测结果可知：</w:t>
      </w:r>
    </w:p>
    <w:p w14:paraId="14B8CAEB">
      <w:pPr>
        <w:spacing w:before="203" w:line="363" w:lineRule="auto"/>
        <w:ind w:left="8" w:right="44" w:firstLine="482"/>
        <w:rPr>
          <w:rFonts w:ascii="宋体" w:hAnsi="宋体" w:eastAsia="宋体" w:cs="宋体"/>
          <w:sz w:val="24"/>
          <w:szCs w:val="24"/>
        </w:rPr>
      </w:pPr>
      <w:r>
        <w:rPr>
          <w:rFonts w:ascii="宋体" w:hAnsi="宋体" w:eastAsia="宋体" w:cs="宋体"/>
          <w:spacing w:val="1"/>
          <w:sz w:val="24"/>
          <w:szCs w:val="24"/>
        </w:rPr>
        <w:t>从第</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60</w:t>
      </w:r>
      <w:r>
        <w:rPr>
          <w:rFonts w:ascii="Times New Roman" w:hAnsi="Times New Roman" w:eastAsia="Times New Roman" w:cs="Times New Roman"/>
          <w:spacing w:val="17"/>
          <w:sz w:val="24"/>
          <w:szCs w:val="24"/>
        </w:rPr>
        <w:t xml:space="preserve"> </w:t>
      </w:r>
      <w:r>
        <w:rPr>
          <w:rFonts w:ascii="宋体" w:hAnsi="宋体" w:eastAsia="宋体" w:cs="宋体"/>
          <w:spacing w:val="1"/>
          <w:sz w:val="24"/>
          <w:szCs w:val="24"/>
        </w:rPr>
        <w:t>天开始，随着泄漏的停止，在地下水的自然稀释衰减作用</w:t>
      </w:r>
      <w:r>
        <w:rPr>
          <w:rFonts w:ascii="宋体" w:hAnsi="宋体" w:eastAsia="宋体" w:cs="宋体"/>
          <w:sz w:val="24"/>
          <w:szCs w:val="24"/>
        </w:rPr>
        <w:t xml:space="preserve">下，污染晕最大 </w:t>
      </w:r>
      <w:r>
        <w:rPr>
          <w:rFonts w:ascii="宋体" w:hAnsi="宋体" w:eastAsia="宋体" w:cs="宋体"/>
          <w:spacing w:val="7"/>
          <w:sz w:val="24"/>
          <w:szCs w:val="24"/>
        </w:rPr>
        <w:t>浓度逐渐降低，污染晕范围逐渐缩小，耗氧量至第</w:t>
      </w:r>
      <w:r>
        <w:rPr>
          <w:rFonts w:ascii="宋体" w:hAnsi="宋体" w:eastAsia="宋体" w:cs="宋体"/>
          <w:spacing w:val="-39"/>
          <w:sz w:val="24"/>
          <w:szCs w:val="24"/>
        </w:rPr>
        <w:t xml:space="preserve"> </w:t>
      </w:r>
      <w:r>
        <w:rPr>
          <w:rFonts w:ascii="Times New Roman" w:hAnsi="Times New Roman" w:eastAsia="Times New Roman" w:cs="Times New Roman"/>
          <w:spacing w:val="7"/>
          <w:sz w:val="24"/>
          <w:szCs w:val="24"/>
        </w:rPr>
        <w:t>5000</w:t>
      </w:r>
      <w:r>
        <w:rPr>
          <w:rFonts w:ascii="Times New Roman" w:hAnsi="Times New Roman" w:eastAsia="Times New Roman" w:cs="Times New Roman"/>
          <w:spacing w:val="24"/>
          <w:w w:val="101"/>
          <w:sz w:val="24"/>
          <w:szCs w:val="24"/>
        </w:rPr>
        <w:t xml:space="preserve"> </w:t>
      </w:r>
      <w:r>
        <w:rPr>
          <w:rFonts w:ascii="宋体" w:hAnsi="宋体" w:eastAsia="宋体" w:cs="宋体"/>
          <w:spacing w:val="7"/>
          <w:sz w:val="24"/>
          <w:szCs w:val="24"/>
        </w:rPr>
        <w:t>天，</w:t>
      </w:r>
      <w:r>
        <w:rPr>
          <w:rFonts w:ascii="宋体" w:hAnsi="宋体" w:eastAsia="宋体" w:cs="宋体"/>
          <w:spacing w:val="6"/>
          <w:sz w:val="24"/>
          <w:szCs w:val="24"/>
        </w:rPr>
        <w:t>污染晕最大浓度减小至</w:t>
      </w:r>
      <w:r>
        <w:rPr>
          <w:rFonts w:ascii="宋体" w:hAnsi="宋体" w:eastAsia="宋体" w:cs="宋体"/>
          <w:sz w:val="24"/>
          <w:szCs w:val="24"/>
        </w:rPr>
        <w:t xml:space="preserve"> </w:t>
      </w:r>
      <w:r>
        <w:rPr>
          <w:rFonts w:ascii="Times New Roman" w:hAnsi="Times New Roman" w:eastAsia="Times New Roman" w:cs="Times New Roman"/>
          <w:spacing w:val="-2"/>
          <w:sz w:val="24"/>
          <w:szCs w:val="24"/>
        </w:rPr>
        <w:t>1.2mg/L</w:t>
      </w:r>
      <w:r>
        <w:rPr>
          <w:rFonts w:ascii="Times New Roman" w:hAnsi="Times New Roman" w:eastAsia="Times New Roman" w:cs="Times New Roman"/>
          <w:spacing w:val="-28"/>
          <w:sz w:val="24"/>
          <w:szCs w:val="24"/>
        </w:rPr>
        <w:t xml:space="preserve"> </w:t>
      </w:r>
      <w:r>
        <w:rPr>
          <w:rFonts w:ascii="宋体" w:hAnsi="宋体" w:eastAsia="宋体" w:cs="宋体"/>
          <w:spacing w:val="-2"/>
          <w:sz w:val="24"/>
          <w:szCs w:val="24"/>
        </w:rPr>
        <w:t>，小于耗氧量地下水中的超标限值（</w:t>
      </w:r>
      <w:r>
        <w:rPr>
          <w:rFonts w:ascii="Times New Roman" w:hAnsi="Times New Roman" w:eastAsia="Times New Roman" w:cs="Times New Roman"/>
          <w:spacing w:val="-2"/>
          <w:sz w:val="24"/>
          <w:szCs w:val="24"/>
        </w:rPr>
        <w:t>3mg/L</w:t>
      </w:r>
      <w:r>
        <w:rPr>
          <w:rFonts w:ascii="宋体" w:hAnsi="宋体" w:eastAsia="宋体" w:cs="宋体"/>
          <w:spacing w:val="-7"/>
          <w:sz w:val="24"/>
          <w:szCs w:val="24"/>
        </w:rPr>
        <w:t>），</w:t>
      </w:r>
      <w:r>
        <w:rPr>
          <w:rFonts w:ascii="宋体" w:hAnsi="宋体" w:eastAsia="宋体" w:cs="宋体"/>
          <w:spacing w:val="-2"/>
          <w:sz w:val="24"/>
          <w:szCs w:val="24"/>
        </w:rPr>
        <w:t>此</w:t>
      </w:r>
      <w:r>
        <w:rPr>
          <w:rFonts w:ascii="宋体" w:hAnsi="宋体" w:eastAsia="宋体" w:cs="宋体"/>
          <w:spacing w:val="-3"/>
          <w:sz w:val="24"/>
          <w:szCs w:val="24"/>
        </w:rPr>
        <w:t>时，污染晕对地下水的影响基</w:t>
      </w:r>
      <w:r>
        <w:rPr>
          <w:rFonts w:ascii="宋体" w:hAnsi="宋体" w:eastAsia="宋体" w:cs="宋体"/>
          <w:sz w:val="24"/>
          <w:szCs w:val="24"/>
        </w:rPr>
        <w:t xml:space="preserve"> </w:t>
      </w:r>
      <w:r>
        <w:rPr>
          <w:rFonts w:ascii="宋体" w:hAnsi="宋体" w:eastAsia="宋体" w:cs="宋体"/>
          <w:spacing w:val="-15"/>
          <w:sz w:val="24"/>
          <w:szCs w:val="24"/>
        </w:rPr>
        <w:t>本消失。由表</w:t>
      </w:r>
      <w:r>
        <w:rPr>
          <w:rFonts w:ascii="宋体" w:hAnsi="宋体" w:eastAsia="宋体" w:cs="宋体"/>
          <w:spacing w:val="-62"/>
          <w:sz w:val="24"/>
          <w:szCs w:val="24"/>
        </w:rPr>
        <w:t xml:space="preserve"> </w:t>
      </w:r>
      <w:r>
        <w:rPr>
          <w:rFonts w:ascii="Times New Roman" w:hAnsi="Times New Roman" w:eastAsia="Times New Roman" w:cs="Times New Roman"/>
          <w:spacing w:val="-15"/>
          <w:sz w:val="24"/>
          <w:szCs w:val="24"/>
        </w:rPr>
        <w:t xml:space="preserve">4.3-3 </w:t>
      </w:r>
      <w:r>
        <w:rPr>
          <w:rFonts w:ascii="宋体" w:hAnsi="宋体" w:eastAsia="宋体" w:cs="宋体"/>
          <w:spacing w:val="-15"/>
          <w:sz w:val="24"/>
          <w:szCs w:val="24"/>
        </w:rPr>
        <w:t>可知：</w:t>
      </w:r>
      <w:r>
        <w:rPr>
          <w:rFonts w:ascii="Times New Roman" w:hAnsi="Times New Roman" w:eastAsia="Times New Roman" w:cs="Times New Roman"/>
          <w:spacing w:val="-15"/>
          <w:sz w:val="24"/>
          <w:szCs w:val="24"/>
        </w:rPr>
        <w:t>COD</w:t>
      </w:r>
      <w:r>
        <w:rPr>
          <w:rFonts w:ascii="Times New Roman" w:hAnsi="Times New Roman" w:eastAsia="Times New Roman" w:cs="Times New Roman"/>
          <w:spacing w:val="-8"/>
          <w:position w:val="-1"/>
          <w:sz w:val="15"/>
          <w:szCs w:val="15"/>
        </w:rPr>
        <w:t xml:space="preserve">cr </w:t>
      </w:r>
      <w:r>
        <w:rPr>
          <w:rFonts w:ascii="宋体" w:hAnsi="宋体" w:eastAsia="宋体" w:cs="宋体"/>
          <w:spacing w:val="-8"/>
          <w:sz w:val="24"/>
          <w:szCs w:val="24"/>
        </w:rPr>
        <w:t>泄漏停止后的第</w:t>
      </w:r>
      <w:r>
        <w:rPr>
          <w:rFonts w:ascii="宋体" w:hAnsi="宋体" w:eastAsia="宋体" w:cs="宋体"/>
          <w:spacing w:val="-63"/>
          <w:sz w:val="24"/>
          <w:szCs w:val="24"/>
        </w:rPr>
        <w:t xml:space="preserve"> </w:t>
      </w:r>
      <w:r>
        <w:rPr>
          <w:rFonts w:ascii="Times New Roman" w:hAnsi="Times New Roman" w:eastAsia="Times New Roman" w:cs="Times New Roman"/>
          <w:spacing w:val="-8"/>
          <w:sz w:val="24"/>
          <w:szCs w:val="24"/>
        </w:rPr>
        <w:t xml:space="preserve">5000 </w:t>
      </w:r>
      <w:r>
        <w:rPr>
          <w:rFonts w:ascii="宋体" w:hAnsi="宋体" w:eastAsia="宋体" w:cs="宋体"/>
          <w:spacing w:val="-8"/>
          <w:sz w:val="24"/>
          <w:szCs w:val="24"/>
        </w:rPr>
        <w:t>天，污染晕整体向下游迁移</w:t>
      </w:r>
      <w:r>
        <w:rPr>
          <w:rFonts w:ascii="宋体" w:hAnsi="宋体" w:eastAsia="宋体" w:cs="宋体"/>
          <w:spacing w:val="-46"/>
          <w:sz w:val="24"/>
          <w:szCs w:val="24"/>
        </w:rPr>
        <w:t xml:space="preserve"> </w:t>
      </w:r>
      <w:r>
        <w:rPr>
          <w:rFonts w:ascii="Times New Roman" w:hAnsi="Times New Roman" w:eastAsia="Times New Roman" w:cs="Times New Roman"/>
          <w:spacing w:val="-8"/>
          <w:sz w:val="24"/>
          <w:szCs w:val="24"/>
        </w:rPr>
        <w:t>1.</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8"/>
          <w:sz w:val="24"/>
          <w:szCs w:val="24"/>
        </w:rPr>
        <w:t>14km</w:t>
      </w:r>
      <w:r>
        <w:rPr>
          <w:rFonts w:ascii="宋体" w:hAnsi="宋体" w:eastAsia="宋体" w:cs="宋体"/>
          <w:spacing w:val="-8"/>
          <w:sz w:val="24"/>
          <w:szCs w:val="24"/>
        </w:rPr>
        <w:t>，</w:t>
      </w:r>
    </w:p>
    <w:p w14:paraId="63C9925F">
      <w:pPr>
        <w:spacing w:line="363" w:lineRule="auto"/>
        <w:rPr>
          <w:rFonts w:ascii="宋体" w:hAnsi="宋体" w:eastAsia="宋体" w:cs="宋体"/>
          <w:sz w:val="24"/>
          <w:szCs w:val="24"/>
        </w:rPr>
        <w:sectPr>
          <w:headerReference r:id="rId334" w:type="default"/>
          <w:footerReference r:id="rId335" w:type="default"/>
          <w:pgSz w:w="11906" w:h="16839"/>
          <w:pgMar w:top="1190" w:right="1312" w:bottom="1427" w:left="1417" w:header="882" w:footer="1265" w:gutter="0"/>
          <w:cols w:space="720" w:num="1"/>
        </w:sectPr>
      </w:pPr>
    </w:p>
    <w:p w14:paraId="3386703E">
      <w:pPr>
        <w:spacing w:line="28" w:lineRule="exact"/>
      </w:pPr>
      <w:r>
        <w:pict>
          <v:shape id="_x0000_s1829" o:spid="_x0000_s1829" style="height:1.45pt;width:453.65pt;" fillcolor="#000000" filled="t" stroked="f" coordsize="9072,29" path="m0,0l9072,0,9072,28,0,28,0,0xe">
            <v:path/>
            <v:fill on="t" focussize="0,0"/>
            <v:stroke on="f"/>
            <v:imagedata o:title=""/>
            <o:lock v:ext="edit"/>
            <w10:wrap type="none"/>
            <w10:anchorlock/>
          </v:shape>
        </w:pict>
      </w:r>
    </w:p>
    <w:p w14:paraId="43D92AA7">
      <w:pPr>
        <w:pStyle w:val="2"/>
        <w:spacing w:line="242" w:lineRule="auto"/>
      </w:pPr>
    </w:p>
    <w:p w14:paraId="6ED74805">
      <w:pPr>
        <w:spacing w:before="78" w:line="364" w:lineRule="auto"/>
        <w:ind w:left="491" w:right="1752" w:hanging="479"/>
        <w:rPr>
          <w:rFonts w:ascii="宋体" w:hAnsi="宋体" w:eastAsia="宋体" w:cs="宋体"/>
          <w:sz w:val="24"/>
          <w:szCs w:val="24"/>
        </w:rPr>
      </w:pPr>
      <w:r>
        <w:rPr>
          <w:rFonts w:ascii="宋体" w:hAnsi="宋体" w:eastAsia="宋体" w:cs="宋体"/>
          <w:spacing w:val="-2"/>
          <w:sz w:val="24"/>
          <w:szCs w:val="24"/>
        </w:rPr>
        <w:t>染晕迁移范围内未到达下游地下水环境保护目标，对地下水污染较轻。</w:t>
      </w:r>
      <w:r>
        <w:rPr>
          <w:rFonts w:ascii="宋体" w:hAnsi="宋体" w:eastAsia="宋体" w:cs="宋体"/>
          <w:spacing w:val="8"/>
          <w:sz w:val="24"/>
          <w:szCs w:val="24"/>
        </w:rPr>
        <w:t xml:space="preserve"> </w:t>
      </w:r>
      <w:r>
        <w:rPr>
          <w:rFonts w:ascii="宋体" w:hAnsi="宋体" w:eastAsia="宋体" w:cs="宋体"/>
          <w:spacing w:val="-2"/>
          <w:sz w:val="24"/>
          <w:szCs w:val="24"/>
        </w:rPr>
        <w:t>综合上述预测结果可知：</w:t>
      </w:r>
    </w:p>
    <w:p w14:paraId="6C37E995">
      <w:pPr>
        <w:spacing w:before="34" w:line="372" w:lineRule="auto"/>
        <w:ind w:left="7" w:firstLine="485"/>
        <w:jc w:val="both"/>
        <w:rPr>
          <w:rFonts w:ascii="宋体" w:hAnsi="宋体" w:eastAsia="宋体" w:cs="宋体"/>
          <w:sz w:val="24"/>
          <w:szCs w:val="24"/>
        </w:rPr>
      </w:pPr>
      <w:r>
        <w:rPr>
          <w:rFonts w:ascii="宋体" w:hAnsi="宋体" w:eastAsia="宋体" w:cs="宋体"/>
          <w:spacing w:val="-2"/>
          <w:sz w:val="24"/>
          <w:szCs w:val="24"/>
        </w:rPr>
        <w:t>正常状况，企业严格按照防渗等级对各区设置防渗，本项目各区不会在地下水中形</w:t>
      </w:r>
      <w:r>
        <w:rPr>
          <w:rFonts w:ascii="宋体" w:hAnsi="宋体" w:eastAsia="宋体" w:cs="宋体"/>
          <w:spacing w:val="8"/>
          <w:sz w:val="24"/>
          <w:szCs w:val="24"/>
        </w:rPr>
        <w:t xml:space="preserve"> </w:t>
      </w:r>
      <w:r>
        <w:rPr>
          <w:rFonts w:ascii="宋体" w:hAnsi="宋体" w:eastAsia="宋体" w:cs="宋体"/>
          <w:spacing w:val="-2"/>
          <w:sz w:val="24"/>
          <w:szCs w:val="24"/>
        </w:rPr>
        <w:t>成污染晕，不会对地下水造成污染。非正常泄漏状况，若企业能够按照设定的监测频率</w:t>
      </w:r>
      <w:r>
        <w:rPr>
          <w:rFonts w:ascii="宋体" w:hAnsi="宋体" w:eastAsia="宋体" w:cs="宋体"/>
          <w:spacing w:val="18"/>
          <w:sz w:val="24"/>
          <w:szCs w:val="24"/>
        </w:rPr>
        <w:t xml:space="preserve"> </w:t>
      </w:r>
      <w:r>
        <w:rPr>
          <w:rFonts w:ascii="宋体" w:hAnsi="宋体" w:eastAsia="宋体" w:cs="宋体"/>
          <w:spacing w:val="-2"/>
          <w:sz w:val="24"/>
          <w:szCs w:val="24"/>
        </w:rPr>
        <w:t>对下游的地下水污染跟踪监测井进行跟踪监测，同时对厂区各液体贮存单元、输送管道</w:t>
      </w:r>
      <w:r>
        <w:rPr>
          <w:rFonts w:ascii="宋体" w:hAnsi="宋体" w:eastAsia="宋体" w:cs="宋体"/>
          <w:spacing w:val="18"/>
          <w:sz w:val="24"/>
          <w:szCs w:val="24"/>
        </w:rPr>
        <w:t xml:space="preserve"> </w:t>
      </w:r>
      <w:r>
        <w:rPr>
          <w:rFonts w:ascii="宋体" w:hAnsi="宋体" w:eastAsia="宋体" w:cs="宋体"/>
          <w:spacing w:val="-2"/>
          <w:sz w:val="24"/>
          <w:szCs w:val="24"/>
        </w:rPr>
        <w:t>防渗层进行定期排查，发现破损或泄漏及时切断泄漏源，依靠地下水的自然稀释衰减作</w:t>
      </w:r>
      <w:r>
        <w:rPr>
          <w:rFonts w:ascii="宋体" w:hAnsi="宋体" w:eastAsia="宋体" w:cs="宋体"/>
          <w:spacing w:val="18"/>
          <w:sz w:val="24"/>
          <w:szCs w:val="24"/>
        </w:rPr>
        <w:t xml:space="preserve"> </w:t>
      </w:r>
      <w:r>
        <w:rPr>
          <w:rFonts w:ascii="宋体" w:hAnsi="宋体" w:eastAsia="宋体" w:cs="宋体"/>
          <w:spacing w:val="-2"/>
          <w:sz w:val="24"/>
          <w:szCs w:val="24"/>
        </w:rPr>
        <w:t>用控制污染晕，可将泄漏引起的地下水污染范围和时间控制在可接受的范围内，此次模</w:t>
      </w:r>
      <w:r>
        <w:rPr>
          <w:rFonts w:ascii="宋体" w:hAnsi="宋体" w:eastAsia="宋体" w:cs="宋体"/>
          <w:spacing w:val="18"/>
          <w:sz w:val="24"/>
          <w:szCs w:val="24"/>
        </w:rPr>
        <w:t xml:space="preserve"> </w:t>
      </w:r>
      <w:r>
        <w:rPr>
          <w:rFonts w:ascii="宋体" w:hAnsi="宋体" w:eastAsia="宋体" w:cs="宋体"/>
          <w:spacing w:val="-6"/>
          <w:sz w:val="24"/>
          <w:szCs w:val="24"/>
        </w:rPr>
        <w:t>拟情景可知：污染晕迁移范围内无饮用水井等地下水环境保护目标，对地下水污染较轻。</w:t>
      </w:r>
      <w:r>
        <w:rPr>
          <w:rFonts w:ascii="宋体" w:hAnsi="宋体" w:eastAsia="宋体" w:cs="宋体"/>
          <w:spacing w:val="16"/>
          <w:sz w:val="24"/>
          <w:szCs w:val="24"/>
        </w:rPr>
        <w:t xml:space="preserve"> </w:t>
      </w:r>
      <w:r>
        <w:rPr>
          <w:rFonts w:ascii="宋体" w:hAnsi="宋体" w:eastAsia="宋体" w:cs="宋体"/>
          <w:spacing w:val="-1"/>
          <w:sz w:val="24"/>
          <w:szCs w:val="24"/>
        </w:rPr>
        <w:t>因此，从地下水环境保护的角度上而言，本项目建设可行。</w:t>
      </w:r>
    </w:p>
    <w:p w14:paraId="031B70D0">
      <w:pPr>
        <w:spacing w:before="58" w:line="4920" w:lineRule="exact"/>
        <w:ind w:firstLine="1947"/>
      </w:pPr>
      <w:r>
        <w:rPr>
          <w:position w:val="-98"/>
        </w:rPr>
        <w:drawing>
          <wp:inline distT="0" distB="0" distL="0" distR="0">
            <wp:extent cx="3285490" cy="3124200"/>
            <wp:effectExtent l="0" t="0" r="0" b="0"/>
            <wp:docPr id="166" name="IM 166"/>
            <wp:cNvGraphicFramePr/>
            <a:graphic xmlns:a="http://schemas.openxmlformats.org/drawingml/2006/main">
              <a:graphicData uri="http://schemas.openxmlformats.org/drawingml/2006/picture">
                <pic:pic xmlns:pic="http://schemas.openxmlformats.org/drawingml/2006/picture">
                  <pic:nvPicPr>
                    <pic:cNvPr id="166" name="IM 166"/>
                    <pic:cNvPicPr/>
                  </pic:nvPicPr>
                  <pic:blipFill>
                    <a:blip r:embed="rId660"/>
                    <a:stretch>
                      <a:fillRect/>
                    </a:stretch>
                  </pic:blipFill>
                  <pic:spPr>
                    <a:xfrm>
                      <a:off x="0" y="0"/>
                      <a:ext cx="3285744" cy="3124200"/>
                    </a:xfrm>
                    <a:prstGeom prst="rect">
                      <a:avLst/>
                    </a:prstGeom>
                  </pic:spPr>
                </pic:pic>
              </a:graphicData>
            </a:graphic>
          </wp:inline>
        </w:drawing>
      </w:r>
    </w:p>
    <w:p w14:paraId="4C9282B8">
      <w:pPr>
        <w:pStyle w:val="2"/>
        <w:spacing w:line="263" w:lineRule="auto"/>
      </w:pPr>
    </w:p>
    <w:p w14:paraId="27FE80BE">
      <w:pPr>
        <w:spacing w:before="58" w:line="195" w:lineRule="auto"/>
        <w:ind w:left="4332"/>
        <w:rPr>
          <w:rFonts w:ascii="Times New Roman" w:hAnsi="Times New Roman" w:eastAsia="Times New Roman" w:cs="Times New Roman"/>
          <w:sz w:val="20"/>
          <w:szCs w:val="20"/>
        </w:rPr>
      </w:pPr>
      <w:r>
        <w:rPr>
          <w:rFonts w:ascii="Times New Roman" w:hAnsi="Times New Roman" w:eastAsia="Times New Roman" w:cs="Times New Roman"/>
          <w:b/>
          <w:bCs/>
          <w:spacing w:val="1"/>
          <w:sz w:val="20"/>
          <w:szCs w:val="20"/>
        </w:rPr>
        <w:t>100d</w:t>
      </w:r>
    </w:p>
    <w:p w14:paraId="3ACDDEA5">
      <w:pPr>
        <w:spacing w:line="195" w:lineRule="auto"/>
        <w:rPr>
          <w:rFonts w:ascii="Times New Roman" w:hAnsi="Times New Roman" w:eastAsia="Times New Roman" w:cs="Times New Roman"/>
          <w:sz w:val="20"/>
          <w:szCs w:val="20"/>
        </w:rPr>
        <w:sectPr>
          <w:headerReference r:id="rId336" w:type="default"/>
          <w:footerReference r:id="rId337" w:type="default"/>
          <w:pgSz w:w="11906" w:h="16839"/>
          <w:pgMar w:top="1190" w:right="1337" w:bottom="1427" w:left="1417" w:header="882" w:footer="1265" w:gutter="0"/>
          <w:cols w:space="720" w:num="1"/>
        </w:sectPr>
      </w:pPr>
    </w:p>
    <w:p w14:paraId="28596CEF">
      <w:pPr>
        <w:spacing w:line="28" w:lineRule="exact"/>
      </w:pPr>
      <w:r>
        <w:pict>
          <v:shape id="_x0000_s1830" o:spid="_x0000_s1830" style="height:1.45pt;width:453.65pt;" fillcolor="#000000" filled="t" stroked="f" coordsize="9072,29" path="m0,0l9072,0,9072,28,0,28,0,0xe">
            <v:path/>
            <v:fill on="t" focussize="0,0"/>
            <v:stroke on="f"/>
            <v:imagedata o:title=""/>
            <o:lock v:ext="edit"/>
            <w10:wrap type="none"/>
            <w10:anchorlock/>
          </v:shape>
        </w:pict>
      </w:r>
    </w:p>
    <w:p w14:paraId="0B908224">
      <w:pPr>
        <w:spacing w:before="234" w:line="4815" w:lineRule="exact"/>
        <w:ind w:firstLine="1986"/>
      </w:pPr>
      <w:r>
        <w:rPr>
          <w:position w:val="-96"/>
        </w:rPr>
        <w:drawing>
          <wp:inline distT="0" distB="0" distL="0" distR="0">
            <wp:extent cx="3238500" cy="3056890"/>
            <wp:effectExtent l="0" t="0" r="0" b="0"/>
            <wp:docPr id="168" name="IM 168"/>
            <wp:cNvGraphicFramePr/>
            <a:graphic xmlns:a="http://schemas.openxmlformats.org/drawingml/2006/main">
              <a:graphicData uri="http://schemas.openxmlformats.org/drawingml/2006/picture">
                <pic:pic xmlns:pic="http://schemas.openxmlformats.org/drawingml/2006/picture">
                  <pic:nvPicPr>
                    <pic:cNvPr id="168" name="IM 168"/>
                    <pic:cNvPicPr/>
                  </pic:nvPicPr>
                  <pic:blipFill>
                    <a:blip r:embed="rId661"/>
                    <a:stretch>
                      <a:fillRect/>
                    </a:stretch>
                  </pic:blipFill>
                  <pic:spPr>
                    <a:xfrm>
                      <a:off x="0" y="0"/>
                      <a:ext cx="3238500" cy="3057144"/>
                    </a:xfrm>
                    <a:prstGeom prst="rect">
                      <a:avLst/>
                    </a:prstGeom>
                  </pic:spPr>
                </pic:pic>
              </a:graphicData>
            </a:graphic>
          </wp:inline>
        </w:drawing>
      </w:r>
    </w:p>
    <w:p w14:paraId="269D0F08">
      <w:pPr>
        <w:spacing w:before="212" w:line="195" w:lineRule="auto"/>
        <w:ind w:left="4279"/>
        <w:rPr>
          <w:rFonts w:ascii="Times New Roman" w:hAnsi="Times New Roman" w:eastAsia="Times New Roman" w:cs="Times New Roman"/>
          <w:sz w:val="20"/>
          <w:szCs w:val="20"/>
        </w:rPr>
      </w:pPr>
      <w:r>
        <w:rPr>
          <w:rFonts w:ascii="Times New Roman" w:hAnsi="Times New Roman" w:eastAsia="Times New Roman" w:cs="Times New Roman"/>
          <w:b/>
          <w:bCs/>
          <w:spacing w:val="2"/>
          <w:sz w:val="20"/>
          <w:szCs w:val="20"/>
        </w:rPr>
        <w:t>1000d</w:t>
      </w:r>
    </w:p>
    <w:p w14:paraId="7DA61F86">
      <w:pPr>
        <w:spacing w:before="128" w:line="4891" w:lineRule="exact"/>
        <w:ind w:firstLine="1940"/>
      </w:pPr>
      <w:r>
        <w:rPr>
          <w:position w:val="-97"/>
        </w:rPr>
        <w:drawing>
          <wp:inline distT="0" distB="0" distL="0" distR="0">
            <wp:extent cx="3296285" cy="3105785"/>
            <wp:effectExtent l="0" t="0" r="0" b="0"/>
            <wp:docPr id="170" name="IM 170"/>
            <wp:cNvGraphicFramePr/>
            <a:graphic xmlns:a="http://schemas.openxmlformats.org/drawingml/2006/main">
              <a:graphicData uri="http://schemas.openxmlformats.org/drawingml/2006/picture">
                <pic:pic xmlns:pic="http://schemas.openxmlformats.org/drawingml/2006/picture">
                  <pic:nvPicPr>
                    <pic:cNvPr id="170" name="IM 170"/>
                    <pic:cNvPicPr/>
                  </pic:nvPicPr>
                  <pic:blipFill>
                    <a:blip r:embed="rId662"/>
                    <a:stretch>
                      <a:fillRect/>
                    </a:stretch>
                  </pic:blipFill>
                  <pic:spPr>
                    <a:xfrm>
                      <a:off x="0" y="0"/>
                      <a:ext cx="3296411" cy="3105911"/>
                    </a:xfrm>
                    <a:prstGeom prst="rect">
                      <a:avLst/>
                    </a:prstGeom>
                  </pic:spPr>
                </pic:pic>
              </a:graphicData>
            </a:graphic>
          </wp:inline>
        </w:drawing>
      </w:r>
    </w:p>
    <w:p w14:paraId="29049130">
      <w:pPr>
        <w:spacing w:before="174" w:line="195" w:lineRule="auto"/>
        <w:ind w:left="4273"/>
        <w:rPr>
          <w:rFonts w:ascii="Times New Roman" w:hAnsi="Times New Roman" w:eastAsia="Times New Roman" w:cs="Times New Roman"/>
          <w:sz w:val="20"/>
          <w:szCs w:val="20"/>
        </w:rPr>
      </w:pPr>
      <w:r>
        <w:rPr>
          <w:rFonts w:ascii="Times New Roman" w:hAnsi="Times New Roman" w:eastAsia="Times New Roman" w:cs="Times New Roman"/>
          <w:b/>
          <w:bCs/>
          <w:spacing w:val="3"/>
          <w:sz w:val="20"/>
          <w:szCs w:val="20"/>
        </w:rPr>
        <w:t>5000d</w:t>
      </w:r>
    </w:p>
    <w:p w14:paraId="0EF1343B">
      <w:pPr>
        <w:spacing w:before="264" w:line="228" w:lineRule="auto"/>
        <w:ind w:left="1095"/>
        <w:rPr>
          <w:rFonts w:ascii="宋体" w:hAnsi="宋体" w:eastAsia="宋体" w:cs="宋体"/>
          <w:sz w:val="20"/>
          <w:szCs w:val="20"/>
        </w:rPr>
      </w:pPr>
      <w:r>
        <w:rPr>
          <w:rFonts w:ascii="宋体" w:hAnsi="宋体" w:eastAsia="宋体" w:cs="宋体"/>
          <w:b/>
          <w:bCs/>
          <w:spacing w:val="6"/>
          <w:sz w:val="20"/>
          <w:szCs w:val="20"/>
        </w:rPr>
        <w:t>图</w:t>
      </w:r>
      <w:r>
        <w:rPr>
          <w:rFonts w:ascii="宋体" w:hAnsi="宋体" w:eastAsia="宋体" w:cs="宋体"/>
          <w:spacing w:val="-37"/>
          <w:sz w:val="20"/>
          <w:szCs w:val="20"/>
        </w:rPr>
        <w:t xml:space="preserve"> </w:t>
      </w:r>
      <w:r>
        <w:rPr>
          <w:rFonts w:ascii="Times New Roman" w:hAnsi="Times New Roman" w:eastAsia="Times New Roman" w:cs="Times New Roman"/>
          <w:b/>
          <w:bCs/>
          <w:spacing w:val="6"/>
          <w:sz w:val="20"/>
          <w:szCs w:val="20"/>
        </w:rPr>
        <w:t xml:space="preserve">4.3-7        </w:t>
      </w:r>
      <w:r>
        <w:rPr>
          <w:rFonts w:ascii="宋体" w:hAnsi="宋体" w:eastAsia="宋体" w:cs="宋体"/>
          <w:b/>
          <w:bCs/>
          <w:spacing w:val="6"/>
          <w:sz w:val="20"/>
          <w:szCs w:val="20"/>
        </w:rPr>
        <w:t>非正常状况调节池防渗层破损，短时泄漏</w:t>
      </w:r>
      <w:r>
        <w:rPr>
          <w:rFonts w:ascii="宋体" w:hAnsi="宋体" w:eastAsia="宋体" w:cs="宋体"/>
          <w:spacing w:val="-34"/>
          <w:sz w:val="20"/>
          <w:szCs w:val="20"/>
        </w:rPr>
        <w:t xml:space="preserve"> </w:t>
      </w:r>
      <w:r>
        <w:rPr>
          <w:rFonts w:ascii="Times New Roman" w:hAnsi="Times New Roman" w:eastAsia="Times New Roman" w:cs="Times New Roman"/>
          <w:b/>
          <w:bCs/>
          <w:sz w:val="20"/>
          <w:szCs w:val="20"/>
        </w:rPr>
        <w:t>CODcr</w:t>
      </w:r>
      <w:r>
        <w:rPr>
          <w:rFonts w:ascii="Times New Roman" w:hAnsi="Times New Roman" w:eastAsia="Times New Roman" w:cs="Times New Roman"/>
          <w:b/>
          <w:bCs/>
          <w:spacing w:val="6"/>
          <w:sz w:val="20"/>
          <w:szCs w:val="20"/>
        </w:rPr>
        <w:t xml:space="preserve"> </w:t>
      </w:r>
      <w:r>
        <w:rPr>
          <w:rFonts w:ascii="宋体" w:hAnsi="宋体" w:eastAsia="宋体" w:cs="宋体"/>
          <w:b/>
          <w:bCs/>
          <w:spacing w:val="6"/>
          <w:sz w:val="20"/>
          <w:szCs w:val="20"/>
        </w:rPr>
        <w:t>污染预测结果</w:t>
      </w:r>
    </w:p>
    <w:p w14:paraId="254A9D77">
      <w:pPr>
        <w:spacing w:line="228" w:lineRule="auto"/>
        <w:rPr>
          <w:rFonts w:ascii="宋体" w:hAnsi="宋体" w:eastAsia="宋体" w:cs="宋体"/>
          <w:sz w:val="20"/>
          <w:szCs w:val="20"/>
        </w:rPr>
        <w:sectPr>
          <w:headerReference r:id="rId338" w:type="default"/>
          <w:footerReference r:id="rId339" w:type="default"/>
          <w:pgSz w:w="11906" w:h="16839"/>
          <w:pgMar w:top="1190" w:right="1416" w:bottom="1427" w:left="1417" w:header="882" w:footer="1265" w:gutter="0"/>
          <w:cols w:space="720" w:num="1"/>
        </w:sectPr>
      </w:pPr>
    </w:p>
    <w:p w14:paraId="518F9C94">
      <w:pPr>
        <w:spacing w:line="28" w:lineRule="exact"/>
      </w:pPr>
      <w:r>
        <w:pict>
          <v:shape id="_x0000_s1831" o:spid="_x0000_s1831" style="height:1.45pt;width:453.65pt;" fillcolor="#000000" filled="t" stroked="f" coordsize="9072,29" path="m0,0l9072,0,9072,28,0,28,0,0xe">
            <v:path/>
            <v:fill on="t" focussize="0,0"/>
            <v:stroke on="f"/>
            <v:imagedata o:title=""/>
            <o:lock v:ext="edit"/>
            <w10:wrap type="none"/>
            <w10:anchorlock/>
          </v:shape>
        </w:pict>
      </w:r>
    </w:p>
    <w:p w14:paraId="66E05149">
      <w:pPr>
        <w:spacing w:before="247" w:line="227" w:lineRule="auto"/>
        <w:ind w:left="4"/>
        <w:outlineLvl w:val="1"/>
        <w:rPr>
          <w:rFonts w:ascii="黑体" w:hAnsi="黑体" w:eastAsia="黑体" w:cs="黑体"/>
          <w:sz w:val="31"/>
          <w:szCs w:val="31"/>
        </w:rPr>
      </w:pPr>
      <w:bookmarkStart w:id="373" w:name="bookmark214"/>
      <w:bookmarkEnd w:id="373"/>
      <w:r>
        <w:rPr>
          <w:rFonts w:ascii="Times New Roman" w:hAnsi="Times New Roman" w:eastAsia="Times New Roman" w:cs="Times New Roman"/>
          <w:spacing w:val="7"/>
          <w:sz w:val="31"/>
          <w:szCs w:val="31"/>
        </w:rPr>
        <w:t xml:space="preserve">4.4 </w:t>
      </w:r>
      <w:r>
        <w:rPr>
          <w:rFonts w:ascii="黑体" w:hAnsi="黑体" w:eastAsia="黑体" w:cs="黑体"/>
          <w:spacing w:val="7"/>
          <w:sz w:val="31"/>
          <w:szCs w:val="31"/>
        </w:rPr>
        <w:t>声环境影响预测与评价</w:t>
      </w:r>
    </w:p>
    <w:p w14:paraId="1BBA5E80">
      <w:pPr>
        <w:spacing w:before="234" w:line="221" w:lineRule="auto"/>
        <w:ind w:left="3"/>
        <w:outlineLvl w:val="2"/>
        <w:rPr>
          <w:rFonts w:ascii="黑体" w:hAnsi="黑体" w:eastAsia="黑体" w:cs="黑体"/>
          <w:sz w:val="30"/>
          <w:szCs w:val="30"/>
        </w:rPr>
      </w:pPr>
      <w:bookmarkStart w:id="374" w:name="bookmark216"/>
      <w:bookmarkEnd w:id="374"/>
      <w:r>
        <w:rPr>
          <w:rFonts w:ascii="Times New Roman" w:hAnsi="Times New Roman" w:eastAsia="Times New Roman" w:cs="Times New Roman"/>
          <w:spacing w:val="-1"/>
          <w:sz w:val="30"/>
          <w:szCs w:val="30"/>
        </w:rPr>
        <w:t xml:space="preserve">4.4.1 </w:t>
      </w:r>
      <w:r>
        <w:rPr>
          <w:rFonts w:ascii="黑体" w:hAnsi="黑体" w:eastAsia="黑体" w:cs="黑体"/>
          <w:spacing w:val="-1"/>
          <w:sz w:val="30"/>
          <w:szCs w:val="30"/>
        </w:rPr>
        <w:t>主要噪声源强</w:t>
      </w:r>
    </w:p>
    <w:p w14:paraId="418830D2">
      <w:pPr>
        <w:spacing w:before="215" w:line="345" w:lineRule="auto"/>
        <w:ind w:left="35" w:firstLine="453"/>
        <w:rPr>
          <w:rFonts w:ascii="宋体" w:hAnsi="宋体" w:eastAsia="宋体" w:cs="宋体"/>
          <w:sz w:val="24"/>
          <w:szCs w:val="24"/>
        </w:rPr>
      </w:pPr>
      <w:r>
        <w:rPr>
          <w:rFonts w:ascii="宋体" w:hAnsi="宋体" w:eastAsia="宋体" w:cs="宋体"/>
          <w:spacing w:val="-2"/>
          <w:sz w:val="24"/>
          <w:szCs w:val="24"/>
        </w:rPr>
        <w:t>本项目噪声源主要为工艺设备及泵类噪声，噪声强度一般在</w:t>
      </w:r>
      <w:r>
        <w:rPr>
          <w:rFonts w:ascii="Times New Roman" w:hAnsi="Times New Roman" w:eastAsia="Times New Roman" w:cs="Times New Roman"/>
          <w:spacing w:val="-2"/>
          <w:sz w:val="24"/>
          <w:szCs w:val="24"/>
        </w:rPr>
        <w:t>85</w:t>
      </w:r>
      <w:r>
        <w:rPr>
          <w:rFonts w:ascii="宋体" w:hAnsi="宋体" w:eastAsia="宋体" w:cs="宋体"/>
          <w:spacing w:val="-3"/>
          <w:sz w:val="24"/>
          <w:szCs w:val="24"/>
        </w:rPr>
        <w:t>～</w:t>
      </w:r>
      <w:r>
        <w:rPr>
          <w:rFonts w:ascii="Times New Roman" w:hAnsi="Times New Roman" w:eastAsia="Times New Roman" w:cs="Times New Roman"/>
          <w:spacing w:val="-3"/>
          <w:sz w:val="24"/>
          <w:szCs w:val="24"/>
        </w:rPr>
        <w:t>110dB</w:t>
      </w:r>
      <w:r>
        <w:rPr>
          <w:rFonts w:ascii="宋体" w:hAnsi="宋体" w:eastAsia="宋体" w:cs="宋体"/>
          <w:spacing w:val="-3"/>
          <w:sz w:val="24"/>
          <w:szCs w:val="24"/>
        </w:rPr>
        <w:t>（</w:t>
      </w:r>
      <w:r>
        <w:rPr>
          <w:rFonts w:ascii="Times New Roman" w:hAnsi="Times New Roman" w:eastAsia="Times New Roman" w:cs="Times New Roman"/>
          <w:spacing w:val="-3"/>
          <w:sz w:val="24"/>
          <w:szCs w:val="24"/>
        </w:rPr>
        <w:t>A</w:t>
      </w:r>
      <w:r>
        <w:rPr>
          <w:rFonts w:ascii="宋体" w:hAnsi="宋体" w:eastAsia="宋体" w:cs="宋体"/>
          <w:spacing w:val="-3"/>
          <w:sz w:val="24"/>
          <w:szCs w:val="24"/>
        </w:rPr>
        <w:t>）之间，</w:t>
      </w:r>
      <w:r>
        <w:rPr>
          <w:rFonts w:ascii="宋体" w:hAnsi="宋体" w:eastAsia="宋体" w:cs="宋体"/>
          <w:sz w:val="24"/>
          <w:szCs w:val="24"/>
        </w:rPr>
        <w:t xml:space="preserve"> </w:t>
      </w:r>
      <w:r>
        <w:rPr>
          <w:rFonts w:ascii="宋体" w:hAnsi="宋体" w:eastAsia="宋体" w:cs="宋体"/>
          <w:spacing w:val="-1"/>
          <w:sz w:val="24"/>
          <w:szCs w:val="24"/>
        </w:rPr>
        <w:t>以上噪声源为宽频带、固定、连续噪声源。主要噪声源详见表</w:t>
      </w:r>
      <w:r>
        <w:rPr>
          <w:rFonts w:ascii="Times New Roman" w:hAnsi="Times New Roman" w:eastAsia="Times New Roman" w:cs="Times New Roman"/>
          <w:spacing w:val="-1"/>
          <w:sz w:val="24"/>
          <w:szCs w:val="24"/>
        </w:rPr>
        <w:t>2.</w:t>
      </w:r>
      <w:r>
        <w:rPr>
          <w:rFonts w:ascii="Times New Roman" w:hAnsi="Times New Roman" w:eastAsia="Times New Roman" w:cs="Times New Roman"/>
          <w:spacing w:val="-2"/>
          <w:sz w:val="24"/>
          <w:szCs w:val="24"/>
        </w:rPr>
        <w:t>3-29</w:t>
      </w:r>
      <w:r>
        <w:rPr>
          <w:rFonts w:ascii="宋体" w:hAnsi="宋体" w:eastAsia="宋体" w:cs="宋体"/>
          <w:spacing w:val="-2"/>
          <w:sz w:val="24"/>
          <w:szCs w:val="24"/>
        </w:rPr>
        <w:t>。</w:t>
      </w:r>
    </w:p>
    <w:p w14:paraId="2FE7B332">
      <w:pPr>
        <w:spacing w:before="45" w:line="222" w:lineRule="auto"/>
        <w:ind w:left="3"/>
        <w:outlineLvl w:val="2"/>
        <w:rPr>
          <w:rFonts w:ascii="黑体" w:hAnsi="黑体" w:eastAsia="黑体" w:cs="黑体"/>
          <w:sz w:val="30"/>
          <w:szCs w:val="30"/>
        </w:rPr>
      </w:pPr>
      <w:bookmarkStart w:id="375" w:name="bookmark218"/>
      <w:bookmarkEnd w:id="375"/>
      <w:r>
        <w:rPr>
          <w:rFonts w:ascii="Times New Roman" w:hAnsi="Times New Roman" w:eastAsia="Times New Roman" w:cs="Times New Roman"/>
          <w:spacing w:val="-3"/>
          <w:sz w:val="30"/>
          <w:szCs w:val="30"/>
        </w:rPr>
        <w:t>4.4.2</w:t>
      </w:r>
      <w:r>
        <w:rPr>
          <w:rFonts w:ascii="Times New Roman" w:hAnsi="Times New Roman" w:eastAsia="Times New Roman" w:cs="Times New Roman"/>
          <w:spacing w:val="22"/>
          <w:w w:val="101"/>
          <w:sz w:val="30"/>
          <w:szCs w:val="30"/>
        </w:rPr>
        <w:t xml:space="preserve"> </w:t>
      </w:r>
      <w:r>
        <w:rPr>
          <w:rFonts w:ascii="黑体" w:hAnsi="黑体" w:eastAsia="黑体" w:cs="黑体"/>
          <w:spacing w:val="-3"/>
          <w:sz w:val="30"/>
          <w:szCs w:val="30"/>
        </w:rPr>
        <w:t>预测模式</w:t>
      </w:r>
    </w:p>
    <w:p w14:paraId="12EAE104">
      <w:pPr>
        <w:spacing w:before="303" w:line="222" w:lineRule="auto"/>
        <w:ind w:left="2"/>
        <w:outlineLvl w:val="3"/>
        <w:rPr>
          <w:rFonts w:ascii="黑体" w:hAnsi="黑体" w:eastAsia="黑体" w:cs="黑体"/>
          <w:sz w:val="24"/>
          <w:szCs w:val="24"/>
        </w:rPr>
      </w:pPr>
      <w:r>
        <w:fldChar w:fldCharType="begin"/>
      </w:r>
      <w:r>
        <w:instrText xml:space="preserve"> HYPERLINK "4.4.2.1" </w:instrText>
      </w:r>
      <w:r>
        <w:fldChar w:fldCharType="separate"/>
      </w:r>
      <w:r>
        <w:rPr>
          <w:rFonts w:ascii="Times New Roman" w:hAnsi="Times New Roman" w:eastAsia="Times New Roman" w:cs="Times New Roman"/>
          <w:spacing w:val="-1"/>
          <w:sz w:val="24"/>
          <w:szCs w:val="24"/>
        </w:rPr>
        <w:t>4.4.2.1</w:t>
      </w:r>
      <w:r>
        <w:rPr>
          <w:rFonts w:ascii="Times New Roman" w:hAnsi="Times New Roman" w:eastAsia="Times New Roman" w:cs="Times New Roman"/>
          <w:spacing w:val="-1"/>
          <w:sz w:val="24"/>
          <w:szCs w:val="24"/>
        </w:rPr>
        <w:fldChar w:fldCharType="end"/>
      </w:r>
      <w:r>
        <w:rPr>
          <w:rFonts w:ascii="Times New Roman" w:hAnsi="Times New Roman" w:eastAsia="Times New Roman" w:cs="Times New Roman"/>
          <w:spacing w:val="-1"/>
          <w:sz w:val="24"/>
          <w:szCs w:val="24"/>
        </w:rPr>
        <w:t xml:space="preserve"> </w:t>
      </w:r>
      <w:r>
        <w:rPr>
          <w:rFonts w:ascii="黑体" w:hAnsi="黑体" w:eastAsia="黑体" w:cs="黑体"/>
          <w:spacing w:val="-1"/>
          <w:sz w:val="24"/>
          <w:szCs w:val="24"/>
        </w:rPr>
        <w:t>预测模式选择</w:t>
      </w:r>
    </w:p>
    <w:p w14:paraId="1FFD6600">
      <w:pPr>
        <w:spacing w:before="201" w:line="218" w:lineRule="auto"/>
        <w:ind w:left="487"/>
        <w:rPr>
          <w:rFonts w:ascii="宋体" w:hAnsi="宋体" w:eastAsia="宋体" w:cs="宋体"/>
          <w:sz w:val="24"/>
          <w:szCs w:val="24"/>
        </w:rPr>
      </w:pPr>
      <w:r>
        <w:rPr>
          <w:rFonts w:ascii="宋体" w:hAnsi="宋体" w:eastAsia="宋体" w:cs="宋体"/>
          <w:sz w:val="24"/>
          <w:szCs w:val="24"/>
        </w:rPr>
        <w:t>评价采用《环境影响评价技术导则声环境》（</w:t>
      </w:r>
      <w:r>
        <w:rPr>
          <w:rFonts w:ascii="Times New Roman" w:hAnsi="Times New Roman" w:eastAsia="Times New Roman" w:cs="Times New Roman"/>
          <w:sz w:val="24"/>
          <w:szCs w:val="24"/>
        </w:rPr>
        <w:t>HJ2.4-2021</w:t>
      </w:r>
      <w:r>
        <w:rPr>
          <w:rFonts w:ascii="宋体" w:hAnsi="宋体" w:eastAsia="宋体" w:cs="宋体"/>
          <w:sz w:val="24"/>
          <w:szCs w:val="24"/>
        </w:rPr>
        <w:t>）中</w:t>
      </w:r>
      <w:r>
        <w:rPr>
          <w:rFonts w:ascii="宋体" w:hAnsi="宋体" w:eastAsia="宋体" w:cs="宋体"/>
          <w:spacing w:val="-1"/>
          <w:sz w:val="24"/>
          <w:szCs w:val="24"/>
        </w:rPr>
        <w:t>工业噪声预测模式。</w:t>
      </w:r>
    </w:p>
    <w:p w14:paraId="4D36D455">
      <w:pPr>
        <w:spacing w:before="206" w:line="219" w:lineRule="auto"/>
        <w:ind w:left="499"/>
        <w:rPr>
          <w:rFonts w:ascii="宋体" w:hAnsi="宋体" w:eastAsia="宋体" w:cs="宋体"/>
          <w:sz w:val="24"/>
          <w:szCs w:val="24"/>
        </w:rPr>
      </w:pPr>
      <w:r>
        <w:rPr>
          <w:rFonts w:ascii="宋体" w:hAnsi="宋体" w:eastAsia="宋体" w:cs="宋体"/>
          <w:b/>
          <w:bCs/>
          <w:spacing w:val="-3"/>
          <w:sz w:val="24"/>
          <w:szCs w:val="24"/>
        </w:rPr>
        <w:t>（</w:t>
      </w:r>
      <w:r>
        <w:rPr>
          <w:rFonts w:ascii="Times New Roman" w:hAnsi="Times New Roman" w:eastAsia="Times New Roman" w:cs="Times New Roman"/>
          <w:b/>
          <w:bCs/>
          <w:spacing w:val="-3"/>
          <w:sz w:val="24"/>
          <w:szCs w:val="24"/>
        </w:rPr>
        <w:t>1</w:t>
      </w:r>
      <w:r>
        <w:rPr>
          <w:rFonts w:ascii="宋体" w:hAnsi="宋体" w:eastAsia="宋体" w:cs="宋体"/>
          <w:b/>
          <w:bCs/>
          <w:spacing w:val="-3"/>
          <w:sz w:val="24"/>
          <w:szCs w:val="24"/>
        </w:rPr>
        <w:t>）单个室外点声源在预测点产生的声级计算基本公式</w:t>
      </w:r>
    </w:p>
    <w:p w14:paraId="7D5CBDBC">
      <w:pPr>
        <w:spacing w:before="206" w:line="210" w:lineRule="auto"/>
        <w:ind w:left="492"/>
        <w:rPr>
          <w:rFonts w:ascii="宋体" w:hAnsi="宋体" w:eastAsia="宋体" w:cs="宋体"/>
          <w:sz w:val="24"/>
          <w:szCs w:val="24"/>
        </w:rPr>
      </w:pPr>
      <w:r>
        <w:rPr>
          <w:rFonts w:ascii="宋体" w:hAnsi="宋体" w:eastAsia="宋体" w:cs="宋体"/>
          <w:sz w:val="24"/>
          <w:szCs w:val="24"/>
        </w:rPr>
        <w:t>如已知声源的倍频带声功率级，预测点位置</w:t>
      </w:r>
      <w:r>
        <w:rPr>
          <w:rFonts w:ascii="宋体" w:hAnsi="宋体" w:eastAsia="宋体" w:cs="宋体"/>
          <w:spacing w:val="-1"/>
          <w:sz w:val="24"/>
          <w:szCs w:val="24"/>
        </w:rPr>
        <w:t>的倍频带声压级</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Lp</w:t>
      </w:r>
      <w:r>
        <w:rPr>
          <w:rFonts w:ascii="宋体" w:hAnsi="宋体" w:eastAsia="宋体" w:cs="宋体"/>
          <w:spacing w:val="-1"/>
          <w:sz w:val="24"/>
          <w:szCs w:val="24"/>
        </w:rPr>
        <w:t>（</w:t>
      </w:r>
      <w:r>
        <w:rPr>
          <w:rFonts w:ascii="Times New Roman" w:hAnsi="Times New Roman" w:eastAsia="Times New Roman" w:cs="Times New Roman"/>
          <w:spacing w:val="-1"/>
          <w:sz w:val="24"/>
          <w:szCs w:val="24"/>
        </w:rPr>
        <w:t>r</w:t>
      </w:r>
      <w:r>
        <w:rPr>
          <w:rFonts w:ascii="宋体" w:hAnsi="宋体" w:eastAsia="宋体" w:cs="宋体"/>
          <w:spacing w:val="-1"/>
          <w:sz w:val="24"/>
          <w:szCs w:val="24"/>
        </w:rPr>
        <w:t>）可按下面公式</w:t>
      </w:r>
    </w:p>
    <w:p w14:paraId="4138B52C">
      <w:pPr>
        <w:spacing w:before="214" w:line="219" w:lineRule="auto"/>
        <w:ind w:left="8"/>
        <w:rPr>
          <w:rFonts w:ascii="宋体" w:hAnsi="宋体" w:eastAsia="宋体" w:cs="宋体"/>
          <w:sz w:val="24"/>
          <w:szCs w:val="24"/>
        </w:rPr>
      </w:pPr>
      <w:r>
        <w:rPr>
          <w:rFonts w:ascii="宋体" w:hAnsi="宋体" w:eastAsia="宋体" w:cs="宋体"/>
          <w:spacing w:val="-4"/>
          <w:sz w:val="24"/>
          <w:szCs w:val="24"/>
        </w:rPr>
        <w:t>计算：</w:t>
      </w:r>
    </w:p>
    <w:p w14:paraId="393515B9">
      <w:pPr>
        <w:spacing w:before="220" w:line="374" w:lineRule="exact"/>
        <w:ind w:firstLine="1993"/>
      </w:pPr>
      <w:r>
        <w:rPr>
          <w:position w:val="-7"/>
        </w:rPr>
        <w:drawing>
          <wp:inline distT="0" distB="0" distL="0" distR="0">
            <wp:extent cx="3227705" cy="237490"/>
            <wp:effectExtent l="0" t="0" r="0" b="0"/>
            <wp:docPr id="172" name="IM 172"/>
            <wp:cNvGraphicFramePr/>
            <a:graphic xmlns:a="http://schemas.openxmlformats.org/drawingml/2006/main">
              <a:graphicData uri="http://schemas.openxmlformats.org/drawingml/2006/picture">
                <pic:pic xmlns:pic="http://schemas.openxmlformats.org/drawingml/2006/picture">
                  <pic:nvPicPr>
                    <pic:cNvPr id="172" name="IM 172"/>
                    <pic:cNvPicPr/>
                  </pic:nvPicPr>
                  <pic:blipFill>
                    <a:blip r:embed="rId663"/>
                    <a:stretch>
                      <a:fillRect/>
                    </a:stretch>
                  </pic:blipFill>
                  <pic:spPr>
                    <a:xfrm>
                      <a:off x="0" y="0"/>
                      <a:ext cx="3227831" cy="237744"/>
                    </a:xfrm>
                    <a:prstGeom prst="rect">
                      <a:avLst/>
                    </a:prstGeom>
                  </pic:spPr>
                </pic:pic>
              </a:graphicData>
            </a:graphic>
          </wp:inline>
        </w:drawing>
      </w:r>
    </w:p>
    <w:p w14:paraId="7B76D037">
      <w:pPr>
        <w:spacing w:before="264" w:line="211" w:lineRule="auto"/>
        <w:ind w:left="493"/>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p</w:t>
      </w:r>
      <w:r>
        <w:rPr>
          <w:rFonts w:ascii="Times New Roman" w:hAnsi="Times New Roman" w:eastAsia="Times New Roman" w:cs="Times New Roman"/>
          <w:spacing w:val="-1"/>
          <w:sz w:val="24"/>
          <w:szCs w:val="24"/>
        </w:rPr>
        <w:t>(r)——</w:t>
      </w:r>
      <w:r>
        <w:rPr>
          <w:rFonts w:ascii="宋体" w:hAnsi="宋体" w:eastAsia="宋体" w:cs="宋体"/>
          <w:spacing w:val="-1"/>
          <w:sz w:val="24"/>
          <w:szCs w:val="24"/>
        </w:rPr>
        <w:t>预测点处声压级，</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p>
    <w:p w14:paraId="00D7B509">
      <w:pPr>
        <w:spacing w:before="215" w:line="219" w:lineRule="auto"/>
        <w:ind w:left="483"/>
        <w:rPr>
          <w:rFonts w:ascii="宋体" w:hAnsi="宋体" w:eastAsia="宋体" w:cs="宋体"/>
          <w:sz w:val="24"/>
          <w:szCs w:val="24"/>
        </w:rPr>
      </w:pPr>
      <w:r>
        <w:rPr>
          <w:rFonts w:ascii="Times New Roman" w:hAnsi="Times New Roman" w:eastAsia="Times New Roman" w:cs="Times New Roman"/>
          <w:spacing w:val="-1"/>
          <w:sz w:val="24"/>
          <w:szCs w:val="24"/>
        </w:rPr>
        <w:t>D</w:t>
      </w:r>
      <w:r>
        <w:rPr>
          <w:rFonts w:ascii="Times New Roman" w:hAnsi="Times New Roman" w:eastAsia="Times New Roman" w:cs="Times New Roman"/>
          <w:spacing w:val="-1"/>
          <w:position w:val="-1"/>
          <w:sz w:val="15"/>
          <w:szCs w:val="15"/>
        </w:rPr>
        <w:t>c</w:t>
      </w:r>
      <w:r>
        <w:rPr>
          <w:rFonts w:ascii="Times New Roman" w:hAnsi="Times New Roman" w:eastAsia="Times New Roman" w:cs="Times New Roman"/>
          <w:spacing w:val="-1"/>
          <w:sz w:val="24"/>
          <w:szCs w:val="24"/>
        </w:rPr>
        <w:t>——</w:t>
      </w:r>
      <w:r>
        <w:rPr>
          <w:rFonts w:ascii="宋体" w:hAnsi="宋体" w:eastAsia="宋体" w:cs="宋体"/>
          <w:spacing w:val="-1"/>
          <w:sz w:val="24"/>
          <w:szCs w:val="24"/>
        </w:rPr>
        <w:t>指向性校正，它描述点声源的等效连续声压级与</w:t>
      </w:r>
      <w:r>
        <w:rPr>
          <w:rFonts w:ascii="宋体" w:hAnsi="宋体" w:eastAsia="宋体" w:cs="宋体"/>
          <w:spacing w:val="-2"/>
          <w:sz w:val="24"/>
          <w:szCs w:val="24"/>
        </w:rPr>
        <w:t>产生声功率级</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Lw</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的全向点</w:t>
      </w:r>
    </w:p>
    <w:p w14:paraId="01934A37">
      <w:pPr>
        <w:spacing w:before="203" w:line="219" w:lineRule="auto"/>
        <w:ind w:left="13"/>
        <w:rPr>
          <w:rFonts w:ascii="宋体" w:hAnsi="宋体" w:eastAsia="宋体" w:cs="宋体"/>
          <w:sz w:val="24"/>
          <w:szCs w:val="24"/>
        </w:rPr>
      </w:pPr>
      <w:r>
        <w:rPr>
          <w:rFonts w:ascii="宋体" w:hAnsi="宋体" w:eastAsia="宋体" w:cs="宋体"/>
          <w:spacing w:val="-1"/>
          <w:sz w:val="24"/>
          <w:szCs w:val="24"/>
        </w:rPr>
        <w:t>声源在规定方向的声级的偏差程度，</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p>
    <w:p w14:paraId="3E2FE064">
      <w:pPr>
        <w:spacing w:before="203" w:line="219" w:lineRule="auto"/>
        <w:ind w:left="480"/>
        <w:rPr>
          <w:rFonts w:ascii="宋体" w:hAnsi="宋体" w:eastAsia="宋体" w:cs="宋体"/>
          <w:sz w:val="24"/>
          <w:szCs w:val="24"/>
        </w:rPr>
      </w:pP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div</w:t>
      </w:r>
      <w:r>
        <w:rPr>
          <w:rFonts w:ascii="Times New Roman" w:hAnsi="Times New Roman" w:eastAsia="Times New Roman" w:cs="Times New Roman"/>
          <w:sz w:val="24"/>
          <w:szCs w:val="24"/>
        </w:rPr>
        <w:t>——</w:t>
      </w:r>
      <w:r>
        <w:rPr>
          <w:rFonts w:ascii="宋体" w:hAnsi="宋体" w:eastAsia="宋体" w:cs="宋体"/>
          <w:sz w:val="24"/>
          <w:szCs w:val="24"/>
        </w:rPr>
        <w:t>几何发散引起的衰减，</w:t>
      </w:r>
      <w:r>
        <w:rPr>
          <w:rFonts w:ascii="Times New Roman" w:hAnsi="Times New Roman" w:eastAsia="Times New Roman" w:cs="Times New Roman"/>
          <w:sz w:val="24"/>
          <w:szCs w:val="24"/>
        </w:rPr>
        <w:t>dB</w:t>
      </w:r>
      <w:r>
        <w:rPr>
          <w:rFonts w:ascii="宋体" w:hAnsi="宋体" w:eastAsia="宋体" w:cs="宋体"/>
          <w:sz w:val="24"/>
          <w:szCs w:val="24"/>
        </w:rPr>
        <w:t>；</w:t>
      </w:r>
    </w:p>
    <w:p w14:paraId="2CF510FC">
      <w:pPr>
        <w:spacing w:before="206" w:line="219" w:lineRule="auto"/>
        <w:ind w:left="480"/>
        <w:rPr>
          <w:rFonts w:ascii="宋体" w:hAnsi="宋体" w:eastAsia="宋体" w:cs="宋体"/>
          <w:sz w:val="24"/>
          <w:szCs w:val="24"/>
        </w:rPr>
      </w:pP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atm</w:t>
      </w:r>
      <w:r>
        <w:rPr>
          <w:rFonts w:ascii="Times New Roman" w:hAnsi="Times New Roman" w:eastAsia="Times New Roman" w:cs="Times New Roman"/>
          <w:sz w:val="24"/>
          <w:szCs w:val="24"/>
        </w:rPr>
        <w:t>——</w:t>
      </w:r>
      <w:r>
        <w:rPr>
          <w:rFonts w:ascii="宋体" w:hAnsi="宋体" w:eastAsia="宋体" w:cs="宋体"/>
          <w:sz w:val="24"/>
          <w:szCs w:val="24"/>
        </w:rPr>
        <w:t>大气吸收引起的衰减，</w:t>
      </w:r>
      <w:r>
        <w:rPr>
          <w:rFonts w:ascii="Times New Roman" w:hAnsi="Times New Roman" w:eastAsia="Times New Roman" w:cs="Times New Roman"/>
          <w:sz w:val="24"/>
          <w:szCs w:val="24"/>
        </w:rPr>
        <w:t>dB</w:t>
      </w:r>
      <w:r>
        <w:rPr>
          <w:rFonts w:ascii="宋体" w:hAnsi="宋体" w:eastAsia="宋体" w:cs="宋体"/>
          <w:sz w:val="24"/>
          <w:szCs w:val="24"/>
        </w:rPr>
        <w:t>；</w:t>
      </w:r>
    </w:p>
    <w:p w14:paraId="7033687C">
      <w:pPr>
        <w:spacing w:before="205" w:line="218" w:lineRule="auto"/>
        <w:ind w:left="480"/>
        <w:rPr>
          <w:rFonts w:ascii="宋体" w:hAnsi="宋体" w:eastAsia="宋体" w:cs="宋体"/>
          <w:sz w:val="24"/>
          <w:szCs w:val="24"/>
        </w:rPr>
      </w:pP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gr</w:t>
      </w:r>
      <w:r>
        <w:rPr>
          <w:rFonts w:ascii="Times New Roman" w:hAnsi="Times New Roman" w:eastAsia="Times New Roman" w:cs="Times New Roman"/>
          <w:sz w:val="24"/>
          <w:szCs w:val="24"/>
        </w:rPr>
        <w:t>——</w:t>
      </w:r>
      <w:r>
        <w:rPr>
          <w:rFonts w:ascii="宋体" w:hAnsi="宋体" w:eastAsia="宋体" w:cs="宋体"/>
          <w:sz w:val="24"/>
          <w:szCs w:val="24"/>
        </w:rPr>
        <w:t>地面效应引起的衰减，</w:t>
      </w:r>
      <w:r>
        <w:rPr>
          <w:rFonts w:ascii="Times New Roman" w:hAnsi="Times New Roman" w:eastAsia="Times New Roman" w:cs="Times New Roman"/>
          <w:sz w:val="24"/>
          <w:szCs w:val="24"/>
        </w:rPr>
        <w:t>dB</w:t>
      </w:r>
      <w:r>
        <w:rPr>
          <w:rFonts w:ascii="宋体" w:hAnsi="宋体" w:eastAsia="宋体" w:cs="宋体"/>
          <w:sz w:val="24"/>
          <w:szCs w:val="24"/>
        </w:rPr>
        <w:t>；</w:t>
      </w:r>
    </w:p>
    <w:p w14:paraId="7058A670">
      <w:pPr>
        <w:spacing w:before="204" w:line="219" w:lineRule="auto"/>
        <w:ind w:left="480"/>
        <w:rPr>
          <w:rFonts w:ascii="宋体" w:hAnsi="宋体" w:eastAsia="宋体" w:cs="宋体"/>
          <w:sz w:val="24"/>
          <w:szCs w:val="24"/>
        </w:rPr>
      </w:pP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bar</w:t>
      </w:r>
      <w:r>
        <w:rPr>
          <w:rFonts w:ascii="Times New Roman" w:hAnsi="Times New Roman" w:eastAsia="Times New Roman" w:cs="Times New Roman"/>
          <w:sz w:val="24"/>
          <w:szCs w:val="24"/>
        </w:rPr>
        <w:t>——</w:t>
      </w:r>
      <w:r>
        <w:rPr>
          <w:rFonts w:ascii="宋体" w:hAnsi="宋体" w:eastAsia="宋体" w:cs="宋体"/>
          <w:sz w:val="24"/>
          <w:szCs w:val="24"/>
        </w:rPr>
        <w:t>障碍物屏蔽引起的衰减，</w:t>
      </w:r>
      <w:r>
        <w:rPr>
          <w:rFonts w:ascii="Times New Roman" w:hAnsi="Times New Roman" w:eastAsia="Times New Roman" w:cs="Times New Roman"/>
          <w:sz w:val="24"/>
          <w:szCs w:val="24"/>
        </w:rPr>
        <w:t>dB</w:t>
      </w:r>
      <w:r>
        <w:rPr>
          <w:rFonts w:ascii="宋体" w:hAnsi="宋体" w:eastAsia="宋体" w:cs="宋体"/>
          <w:sz w:val="24"/>
          <w:szCs w:val="24"/>
        </w:rPr>
        <w:t>；</w:t>
      </w:r>
    </w:p>
    <w:p w14:paraId="0B8D2982">
      <w:pPr>
        <w:spacing w:before="205" w:line="220" w:lineRule="auto"/>
        <w:ind w:left="480"/>
        <w:rPr>
          <w:rFonts w:ascii="宋体" w:hAnsi="宋体" w:eastAsia="宋体" w:cs="宋体"/>
          <w:sz w:val="24"/>
          <w:szCs w:val="24"/>
        </w:rPr>
      </w:pP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misc</w:t>
      </w:r>
      <w:r>
        <w:rPr>
          <w:rFonts w:ascii="Times New Roman" w:hAnsi="Times New Roman" w:eastAsia="Times New Roman" w:cs="Times New Roman"/>
          <w:sz w:val="24"/>
          <w:szCs w:val="24"/>
        </w:rPr>
        <w:t>——</w:t>
      </w:r>
      <w:r>
        <w:rPr>
          <w:rFonts w:ascii="宋体" w:hAnsi="宋体" w:eastAsia="宋体" w:cs="宋体"/>
          <w:sz w:val="24"/>
          <w:szCs w:val="24"/>
        </w:rPr>
        <w:t>其他多方面效应引起的衰减，</w:t>
      </w:r>
      <w:r>
        <w:rPr>
          <w:rFonts w:ascii="Times New Roman" w:hAnsi="Times New Roman" w:eastAsia="Times New Roman" w:cs="Times New Roman"/>
          <w:sz w:val="24"/>
          <w:szCs w:val="24"/>
        </w:rPr>
        <w:t>dB</w:t>
      </w:r>
      <w:r>
        <w:rPr>
          <w:rFonts w:ascii="宋体" w:hAnsi="宋体" w:eastAsia="宋体" w:cs="宋体"/>
          <w:sz w:val="24"/>
          <w:szCs w:val="24"/>
        </w:rPr>
        <w:t>。</w:t>
      </w:r>
    </w:p>
    <w:p w14:paraId="4E78B0D6">
      <w:pPr>
        <w:spacing w:before="203" w:line="351" w:lineRule="auto"/>
        <w:ind w:left="9" w:right="61" w:firstLine="482"/>
        <w:rPr>
          <w:rFonts w:ascii="宋体" w:hAnsi="宋体" w:eastAsia="宋体" w:cs="宋体"/>
          <w:sz w:val="24"/>
          <w:szCs w:val="24"/>
        </w:rPr>
      </w:pPr>
      <w:r>
        <w:rPr>
          <w:rFonts w:ascii="宋体" w:hAnsi="宋体" w:eastAsia="宋体" w:cs="宋体"/>
          <w:spacing w:val="-1"/>
          <w:sz w:val="24"/>
          <w:szCs w:val="24"/>
        </w:rPr>
        <w:t>如已知靠近声源处某点的倍频带声压级</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Lp(r0)</w:t>
      </w:r>
      <w:r>
        <w:rPr>
          <w:rFonts w:ascii="宋体" w:hAnsi="宋体" w:eastAsia="宋体" w:cs="宋体"/>
          <w:spacing w:val="-1"/>
          <w:sz w:val="24"/>
          <w:szCs w:val="24"/>
        </w:rPr>
        <w:t>时，相同方向预测点位置的倍频带声</w:t>
      </w:r>
      <w:r>
        <w:rPr>
          <w:rFonts w:ascii="宋体" w:hAnsi="宋体" w:eastAsia="宋体" w:cs="宋体"/>
          <w:sz w:val="24"/>
          <w:szCs w:val="24"/>
        </w:rPr>
        <w:t xml:space="preserve"> </w:t>
      </w:r>
      <w:r>
        <w:rPr>
          <w:rFonts w:ascii="宋体" w:hAnsi="宋体" w:eastAsia="宋体" w:cs="宋体"/>
          <w:spacing w:val="-2"/>
          <w:sz w:val="24"/>
          <w:szCs w:val="24"/>
        </w:rPr>
        <w:t>压级</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Lp(r)</w:t>
      </w:r>
      <w:r>
        <w:rPr>
          <w:rFonts w:ascii="宋体" w:hAnsi="宋体" w:eastAsia="宋体" w:cs="宋体"/>
          <w:spacing w:val="-2"/>
          <w:sz w:val="24"/>
          <w:szCs w:val="24"/>
        </w:rPr>
        <w:t>可按公式计算：</w:t>
      </w:r>
    </w:p>
    <w:p w14:paraId="03D088E6">
      <w:pPr>
        <w:spacing w:before="56" w:line="420" w:lineRule="exact"/>
        <w:ind w:firstLine="2024"/>
      </w:pPr>
      <w:r>
        <w:rPr>
          <w:position w:val="-8"/>
        </w:rPr>
        <w:drawing>
          <wp:inline distT="0" distB="0" distL="0" distR="0">
            <wp:extent cx="3494405" cy="266700"/>
            <wp:effectExtent l="0" t="0" r="0" b="0"/>
            <wp:docPr id="174" name="IM 174"/>
            <wp:cNvGraphicFramePr/>
            <a:graphic xmlns:a="http://schemas.openxmlformats.org/drawingml/2006/main">
              <a:graphicData uri="http://schemas.openxmlformats.org/drawingml/2006/picture">
                <pic:pic xmlns:pic="http://schemas.openxmlformats.org/drawingml/2006/picture">
                  <pic:nvPicPr>
                    <pic:cNvPr id="174" name="IM 174"/>
                    <pic:cNvPicPr/>
                  </pic:nvPicPr>
                  <pic:blipFill>
                    <a:blip r:embed="rId664"/>
                    <a:stretch>
                      <a:fillRect/>
                    </a:stretch>
                  </pic:blipFill>
                  <pic:spPr>
                    <a:xfrm>
                      <a:off x="0" y="0"/>
                      <a:ext cx="3494531" cy="266700"/>
                    </a:xfrm>
                    <a:prstGeom prst="rect">
                      <a:avLst/>
                    </a:prstGeom>
                  </pic:spPr>
                </pic:pic>
              </a:graphicData>
            </a:graphic>
          </wp:inline>
        </w:drawing>
      </w:r>
    </w:p>
    <w:p w14:paraId="00BA96C2">
      <w:pPr>
        <w:spacing w:before="241" w:line="349" w:lineRule="auto"/>
        <w:ind w:left="19" w:right="59" w:firstLine="470"/>
        <w:rPr>
          <w:rFonts w:ascii="宋体" w:hAnsi="宋体" w:eastAsia="宋体" w:cs="宋体"/>
          <w:sz w:val="24"/>
          <w:szCs w:val="24"/>
        </w:rPr>
      </w:pPr>
      <w:r>
        <w:rPr>
          <w:rFonts w:ascii="宋体" w:hAnsi="宋体" w:eastAsia="宋体" w:cs="宋体"/>
          <w:spacing w:val="-3"/>
          <w:sz w:val="24"/>
          <w:szCs w:val="24"/>
        </w:rPr>
        <w:t>预测点的</w:t>
      </w:r>
      <w:r>
        <w:rPr>
          <w:rFonts w:ascii="宋体" w:hAnsi="宋体" w:eastAsia="宋体" w:cs="宋体"/>
          <w:spacing w:val="-47"/>
          <w:sz w:val="24"/>
          <w:szCs w:val="24"/>
        </w:rPr>
        <w:t xml:space="preserve"> </w:t>
      </w:r>
      <w:r>
        <w:rPr>
          <w:rFonts w:ascii="Times New Roman" w:hAnsi="Times New Roman" w:eastAsia="Times New Roman" w:cs="Times New Roman"/>
          <w:spacing w:val="-3"/>
          <w:sz w:val="24"/>
          <w:szCs w:val="24"/>
        </w:rPr>
        <w:t xml:space="preserve">A </w:t>
      </w:r>
      <w:r>
        <w:rPr>
          <w:rFonts w:ascii="宋体" w:hAnsi="宋体" w:eastAsia="宋体" w:cs="宋体"/>
          <w:spacing w:val="-3"/>
          <w:sz w:val="24"/>
          <w:szCs w:val="24"/>
        </w:rPr>
        <w:t>声级</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L</w:t>
      </w:r>
      <w:r>
        <w:rPr>
          <w:rFonts w:ascii="Times New Roman" w:hAnsi="Times New Roman" w:eastAsia="Times New Roman" w:cs="Times New Roman"/>
          <w:spacing w:val="-3"/>
          <w:position w:val="-1"/>
          <w:sz w:val="15"/>
          <w:szCs w:val="15"/>
        </w:rPr>
        <w:t>A</w:t>
      </w:r>
      <w:r>
        <w:rPr>
          <w:rFonts w:ascii="Times New Roman" w:hAnsi="Times New Roman" w:eastAsia="Times New Roman" w:cs="Times New Roman"/>
          <w:spacing w:val="-3"/>
          <w:sz w:val="24"/>
          <w:szCs w:val="24"/>
        </w:rPr>
        <w:t>(r)</w:t>
      </w:r>
      <w:r>
        <w:rPr>
          <w:rFonts w:ascii="宋体" w:hAnsi="宋体" w:eastAsia="宋体" w:cs="宋体"/>
          <w:spacing w:val="-3"/>
          <w:sz w:val="24"/>
          <w:szCs w:val="24"/>
        </w:rPr>
        <w:t>，即将</w:t>
      </w:r>
      <w:r>
        <w:rPr>
          <w:rFonts w:ascii="宋体" w:hAnsi="宋体" w:eastAsia="宋体" w:cs="宋体"/>
          <w:spacing w:val="-46"/>
          <w:sz w:val="24"/>
          <w:szCs w:val="24"/>
        </w:rPr>
        <w:t xml:space="preserve"> </w:t>
      </w:r>
      <w:r>
        <w:rPr>
          <w:rFonts w:ascii="Times New Roman" w:hAnsi="Times New Roman" w:eastAsia="Times New Roman" w:cs="Times New Roman"/>
          <w:spacing w:val="-3"/>
          <w:sz w:val="24"/>
          <w:szCs w:val="24"/>
        </w:rPr>
        <w:t xml:space="preserve">8 </w:t>
      </w:r>
      <w:r>
        <w:rPr>
          <w:rFonts w:ascii="宋体" w:hAnsi="宋体" w:eastAsia="宋体" w:cs="宋体"/>
          <w:spacing w:val="-3"/>
          <w:sz w:val="24"/>
          <w:szCs w:val="24"/>
        </w:rPr>
        <w:t>个倍频带的声压级合成，计算出预测点的</w:t>
      </w:r>
      <w:r>
        <w:rPr>
          <w:rFonts w:ascii="宋体" w:hAnsi="宋体" w:eastAsia="宋体" w:cs="宋体"/>
          <w:spacing w:val="-58"/>
          <w:sz w:val="24"/>
          <w:szCs w:val="24"/>
        </w:rPr>
        <w:t xml:space="preserve"> </w:t>
      </w:r>
      <w:r>
        <w:rPr>
          <w:rFonts w:ascii="Times New Roman" w:hAnsi="Times New Roman" w:eastAsia="Times New Roman" w:cs="Times New Roman"/>
          <w:spacing w:val="-3"/>
          <w:sz w:val="24"/>
          <w:szCs w:val="24"/>
        </w:rPr>
        <w:t xml:space="preserve">A </w:t>
      </w:r>
      <w:r>
        <w:rPr>
          <w:rFonts w:ascii="宋体" w:hAnsi="宋体" w:eastAsia="宋体" w:cs="宋体"/>
          <w:spacing w:val="-3"/>
          <w:sz w:val="24"/>
          <w:szCs w:val="24"/>
        </w:rPr>
        <w:t>声级</w:t>
      </w:r>
      <w:r>
        <w:rPr>
          <w:rFonts w:ascii="Times New Roman" w:hAnsi="Times New Roman" w:eastAsia="Times New Roman" w:cs="Times New Roman"/>
          <w:spacing w:val="-3"/>
          <w:sz w:val="24"/>
          <w:szCs w:val="24"/>
        </w:rPr>
        <w:t>[L</w:t>
      </w:r>
      <w:r>
        <w:rPr>
          <w:rFonts w:ascii="Times New Roman" w:hAnsi="Times New Roman" w:eastAsia="Times New Roman" w:cs="Times New Roman"/>
          <w:spacing w:val="-3"/>
          <w:position w:val="-1"/>
          <w:sz w:val="15"/>
          <w:szCs w:val="15"/>
        </w:rPr>
        <w:t>A</w:t>
      </w:r>
      <w:r>
        <w:rPr>
          <w:rFonts w:ascii="Times New Roman" w:hAnsi="Times New Roman" w:eastAsia="Times New Roman" w:cs="Times New Roman"/>
          <w:position w:val="-1"/>
          <w:sz w:val="15"/>
          <w:szCs w:val="15"/>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r</w:t>
      </w:r>
      <w:r>
        <w:rPr>
          <w:rFonts w:ascii="宋体" w:hAnsi="宋体" w:eastAsia="宋体" w:cs="宋体"/>
          <w:spacing w:val="-5"/>
          <w:sz w:val="24"/>
          <w:szCs w:val="24"/>
        </w:rPr>
        <w:t>）</w:t>
      </w:r>
      <w:r>
        <w:rPr>
          <w:rFonts w:ascii="Times New Roman" w:hAnsi="Times New Roman" w:eastAsia="Times New Roman" w:cs="Times New Roman"/>
          <w:spacing w:val="-5"/>
          <w:sz w:val="24"/>
          <w:szCs w:val="24"/>
        </w:rPr>
        <w:t>]</w:t>
      </w:r>
      <w:r>
        <w:rPr>
          <w:rFonts w:ascii="宋体" w:hAnsi="宋体" w:eastAsia="宋体" w:cs="宋体"/>
          <w:spacing w:val="-5"/>
          <w:sz w:val="24"/>
          <w:szCs w:val="24"/>
        </w:rPr>
        <w:t>。</w:t>
      </w:r>
    </w:p>
    <w:p w14:paraId="080C7FCB">
      <w:pPr>
        <w:spacing w:before="6" w:line="537" w:lineRule="exact"/>
        <w:ind w:left="903"/>
        <w:rPr>
          <w:rFonts w:ascii="Times New Roman" w:hAnsi="Times New Roman" w:eastAsia="Times New Roman" w:cs="Times New Roman"/>
          <w:sz w:val="24"/>
          <w:szCs w:val="24"/>
        </w:rPr>
      </w:pPr>
      <w:r>
        <w:rPr>
          <w:rFonts w:ascii="Times New Roman" w:hAnsi="Times New Roman" w:eastAsia="Times New Roman" w:cs="Times New Roman"/>
          <w:spacing w:val="-1"/>
          <w:position w:val="-4"/>
          <w:sz w:val="24"/>
          <w:szCs w:val="24"/>
        </w:rPr>
        <w:t>L</w:t>
      </w:r>
      <w:r>
        <w:rPr>
          <w:rFonts w:ascii="Times New Roman" w:hAnsi="Times New Roman" w:eastAsia="Times New Roman" w:cs="Times New Roman"/>
          <w:spacing w:val="-1"/>
          <w:position w:val="-6"/>
          <w:sz w:val="15"/>
          <w:szCs w:val="15"/>
        </w:rPr>
        <w:t>A</w:t>
      </w:r>
      <w:r>
        <w:rPr>
          <w:rFonts w:ascii="宋体" w:hAnsi="宋体" w:eastAsia="宋体" w:cs="宋体"/>
          <w:spacing w:val="-2"/>
          <w:position w:val="-4"/>
          <w:sz w:val="24"/>
          <w:szCs w:val="24"/>
        </w:rPr>
        <w:t>（</w:t>
      </w:r>
      <w:r>
        <w:rPr>
          <w:rFonts w:ascii="Times New Roman" w:hAnsi="Times New Roman" w:eastAsia="Times New Roman" w:cs="Times New Roman"/>
          <w:spacing w:val="-2"/>
          <w:position w:val="-4"/>
          <w:sz w:val="24"/>
          <w:szCs w:val="24"/>
        </w:rPr>
        <w:t>r</w:t>
      </w:r>
      <w:r>
        <w:rPr>
          <w:rFonts w:ascii="宋体" w:hAnsi="宋体" w:eastAsia="宋体" w:cs="宋体"/>
          <w:spacing w:val="-2"/>
          <w:position w:val="-4"/>
          <w:sz w:val="24"/>
          <w:szCs w:val="24"/>
        </w:rPr>
        <w:t>）</w:t>
      </w:r>
      <w:r>
        <w:rPr>
          <w:rFonts w:ascii="Times New Roman" w:hAnsi="Times New Roman" w:eastAsia="Times New Roman" w:cs="Times New Roman"/>
          <w:spacing w:val="-2"/>
          <w:position w:val="-4"/>
          <w:sz w:val="24"/>
          <w:szCs w:val="24"/>
        </w:rPr>
        <w:t>=</w:t>
      </w:r>
      <w:r>
        <w:rPr>
          <w:rFonts w:ascii="Times New Roman" w:hAnsi="Times New Roman" w:eastAsia="Times New Roman" w:cs="Times New Roman"/>
          <w:spacing w:val="-24"/>
          <w:position w:val="-4"/>
          <w:sz w:val="24"/>
          <w:szCs w:val="24"/>
        </w:rPr>
        <w:t xml:space="preserve"> </w:t>
      </w:r>
      <w:r>
        <w:rPr>
          <w:rFonts w:ascii="Times New Roman" w:hAnsi="Times New Roman" w:eastAsia="Times New Roman" w:cs="Times New Roman"/>
          <w:spacing w:val="-2"/>
          <w:position w:val="-4"/>
          <w:sz w:val="24"/>
          <w:szCs w:val="24"/>
        </w:rPr>
        <w:t>10lg{</w:t>
      </w:r>
      <w:r>
        <w:rPr>
          <w:position w:val="-4"/>
          <w:sz w:val="24"/>
          <w:szCs w:val="24"/>
        </w:rPr>
        <w:drawing>
          <wp:inline distT="0" distB="0" distL="0" distR="0">
            <wp:extent cx="408305" cy="294005"/>
            <wp:effectExtent l="0" t="0" r="0" b="0"/>
            <wp:docPr id="176" name="IM 176"/>
            <wp:cNvGraphicFramePr/>
            <a:graphic xmlns:a="http://schemas.openxmlformats.org/drawingml/2006/main">
              <a:graphicData uri="http://schemas.openxmlformats.org/drawingml/2006/picture">
                <pic:pic xmlns:pic="http://schemas.openxmlformats.org/drawingml/2006/picture">
                  <pic:nvPicPr>
                    <pic:cNvPr id="176" name="IM 176"/>
                    <pic:cNvPicPr/>
                  </pic:nvPicPr>
                  <pic:blipFill>
                    <a:blip r:embed="rId665"/>
                    <a:stretch>
                      <a:fillRect/>
                    </a:stretch>
                  </pic:blipFill>
                  <pic:spPr>
                    <a:xfrm>
                      <a:off x="0" y="0"/>
                      <a:ext cx="408673" cy="294132"/>
                    </a:xfrm>
                    <a:prstGeom prst="rect">
                      <a:avLst/>
                    </a:prstGeom>
                  </pic:spPr>
                </pic:pic>
              </a:graphicData>
            </a:graphic>
          </wp:inline>
        </w:drawing>
      </w:r>
      <w:r>
        <w:rPr>
          <w:rFonts w:ascii="Times New Roman" w:hAnsi="Times New Roman" w:eastAsia="Times New Roman" w:cs="Times New Roman"/>
          <w:spacing w:val="-2"/>
          <w:position w:val="-4"/>
          <w:sz w:val="24"/>
          <w:szCs w:val="24"/>
        </w:rPr>
        <w:t>10</w:t>
      </w:r>
      <w:r>
        <w:rPr>
          <w:rFonts w:ascii="Times New Roman" w:hAnsi="Times New Roman" w:eastAsia="Times New Roman" w:cs="Times New Roman"/>
          <w:spacing w:val="-2"/>
          <w:position w:val="3"/>
          <w:sz w:val="15"/>
          <w:szCs w:val="15"/>
        </w:rPr>
        <w:t>0.1</w:t>
      </w:r>
      <w:r>
        <w:rPr>
          <w:rFonts w:ascii="Times New Roman" w:hAnsi="Times New Roman" w:eastAsia="Times New Roman" w:cs="Times New Roman"/>
          <w:spacing w:val="14"/>
          <w:w w:val="101"/>
          <w:position w:val="3"/>
          <w:sz w:val="15"/>
          <w:szCs w:val="15"/>
        </w:rPr>
        <w:t xml:space="preserve"> </w:t>
      </w:r>
      <w:r>
        <w:rPr>
          <w:position w:val="-4"/>
          <w:sz w:val="15"/>
          <w:szCs w:val="15"/>
        </w:rPr>
        <w:drawing>
          <wp:inline distT="0" distB="0" distL="0" distR="0">
            <wp:extent cx="437515" cy="246380"/>
            <wp:effectExtent l="0" t="0" r="0" b="0"/>
            <wp:docPr id="178" name="IM 178"/>
            <wp:cNvGraphicFramePr/>
            <a:graphic xmlns:a="http://schemas.openxmlformats.org/drawingml/2006/main">
              <a:graphicData uri="http://schemas.openxmlformats.org/drawingml/2006/picture">
                <pic:pic xmlns:pic="http://schemas.openxmlformats.org/drawingml/2006/picture">
                  <pic:nvPicPr>
                    <pic:cNvPr id="178" name="IM 178"/>
                    <pic:cNvPicPr/>
                  </pic:nvPicPr>
                  <pic:blipFill>
                    <a:blip r:embed="rId666"/>
                    <a:stretch>
                      <a:fillRect/>
                    </a:stretch>
                  </pic:blipFill>
                  <pic:spPr>
                    <a:xfrm>
                      <a:off x="0" y="0"/>
                      <a:ext cx="437646" cy="246888"/>
                    </a:xfrm>
                    <a:prstGeom prst="rect">
                      <a:avLst/>
                    </a:prstGeom>
                  </pic:spPr>
                </pic:pic>
              </a:graphicData>
            </a:graphic>
          </wp:inline>
        </w:drawing>
      </w:r>
      <w:r>
        <w:rPr>
          <w:rFonts w:ascii="Times New Roman" w:hAnsi="Times New Roman" w:eastAsia="Times New Roman" w:cs="Times New Roman"/>
          <w:spacing w:val="-32"/>
          <w:position w:val="3"/>
          <w:sz w:val="15"/>
          <w:szCs w:val="15"/>
        </w:rPr>
        <w:t xml:space="preserve"> </w:t>
      </w:r>
      <w:r>
        <w:rPr>
          <w:rFonts w:ascii="Times New Roman" w:hAnsi="Times New Roman" w:eastAsia="Times New Roman" w:cs="Times New Roman"/>
          <w:spacing w:val="-2"/>
          <w:position w:val="3"/>
          <w:sz w:val="15"/>
          <w:szCs w:val="15"/>
        </w:rPr>
        <w:t>-</w:t>
      </w:r>
      <w:r>
        <w:rPr>
          <w:position w:val="-4"/>
          <w:sz w:val="15"/>
          <w:szCs w:val="15"/>
        </w:rPr>
        <w:drawing>
          <wp:inline distT="0" distB="0" distL="0" distR="0">
            <wp:extent cx="351790" cy="208280"/>
            <wp:effectExtent l="0" t="0" r="0" b="0"/>
            <wp:docPr id="180" name="IM 180"/>
            <wp:cNvGraphicFramePr/>
            <a:graphic xmlns:a="http://schemas.openxmlformats.org/drawingml/2006/main">
              <a:graphicData uri="http://schemas.openxmlformats.org/drawingml/2006/picture">
                <pic:pic xmlns:pic="http://schemas.openxmlformats.org/drawingml/2006/picture">
                  <pic:nvPicPr>
                    <pic:cNvPr id="180" name="IM 180"/>
                    <pic:cNvPicPr/>
                  </pic:nvPicPr>
                  <pic:blipFill>
                    <a:blip r:embed="rId667"/>
                    <a:stretch>
                      <a:fillRect/>
                    </a:stretch>
                  </pic:blipFill>
                  <pic:spPr>
                    <a:xfrm>
                      <a:off x="0" y="0"/>
                      <a:ext cx="352251" cy="208788"/>
                    </a:xfrm>
                    <a:prstGeom prst="rect">
                      <a:avLst/>
                    </a:prstGeom>
                  </pic:spPr>
                </pic:pic>
              </a:graphicData>
            </a:graphic>
          </wp:inline>
        </w:drawing>
      </w:r>
      <w:r>
        <w:rPr>
          <w:rFonts w:ascii="Times New Roman" w:hAnsi="Times New Roman" w:eastAsia="Times New Roman" w:cs="Times New Roman"/>
          <w:spacing w:val="-2"/>
          <w:position w:val="3"/>
          <w:sz w:val="15"/>
          <w:szCs w:val="15"/>
        </w:rPr>
        <w:t>]</w:t>
      </w:r>
      <w:r>
        <w:rPr>
          <w:rFonts w:ascii="Times New Roman" w:hAnsi="Times New Roman" w:eastAsia="Times New Roman" w:cs="Times New Roman"/>
          <w:spacing w:val="-16"/>
          <w:position w:val="3"/>
          <w:sz w:val="15"/>
          <w:szCs w:val="15"/>
        </w:rPr>
        <w:t xml:space="preserve"> </w:t>
      </w:r>
      <w:r>
        <w:rPr>
          <w:rFonts w:ascii="Times New Roman" w:hAnsi="Times New Roman" w:eastAsia="Times New Roman" w:cs="Times New Roman"/>
          <w:spacing w:val="-2"/>
          <w:position w:val="-4"/>
          <w:sz w:val="24"/>
          <w:szCs w:val="24"/>
        </w:rPr>
        <w:t>}</w:t>
      </w:r>
    </w:p>
    <w:p w14:paraId="40E15ECC">
      <w:pPr>
        <w:spacing w:before="179" w:line="212" w:lineRule="auto"/>
        <w:ind w:left="493"/>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Pi</w:t>
      </w:r>
      <w:r>
        <w:rPr>
          <w:rFonts w:ascii="Times New Roman" w:hAnsi="Times New Roman" w:eastAsia="Times New Roman" w:cs="Times New Roman"/>
          <w:spacing w:val="-1"/>
          <w:sz w:val="24"/>
          <w:szCs w:val="24"/>
        </w:rPr>
        <w:t>(r)—</w:t>
      </w:r>
      <w:r>
        <w:rPr>
          <w:rFonts w:ascii="宋体" w:hAnsi="宋体" w:eastAsia="宋体" w:cs="宋体"/>
          <w:spacing w:val="-1"/>
          <w:sz w:val="24"/>
          <w:szCs w:val="24"/>
        </w:rPr>
        <w:t>距声源</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 xml:space="preserve">r </w:t>
      </w:r>
      <w:r>
        <w:rPr>
          <w:rFonts w:ascii="宋体" w:hAnsi="宋体" w:eastAsia="宋体" w:cs="宋体"/>
          <w:spacing w:val="-1"/>
          <w:sz w:val="24"/>
          <w:szCs w:val="24"/>
        </w:rPr>
        <w:t>处的</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 xml:space="preserve">A </w:t>
      </w:r>
      <w:r>
        <w:rPr>
          <w:rFonts w:ascii="宋体" w:hAnsi="宋体" w:eastAsia="宋体" w:cs="宋体"/>
          <w:spacing w:val="-1"/>
          <w:sz w:val="24"/>
          <w:szCs w:val="24"/>
        </w:rPr>
        <w:t>声级，</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r>
        <w:rPr>
          <w:rFonts w:ascii="Times New Roman" w:hAnsi="Times New Roman" w:eastAsia="Times New Roman" w:cs="Times New Roman"/>
          <w:spacing w:val="-1"/>
          <w:sz w:val="24"/>
          <w:szCs w:val="24"/>
        </w:rPr>
        <w:t>A</w:t>
      </w:r>
      <w:r>
        <w:rPr>
          <w:rFonts w:ascii="宋体" w:hAnsi="宋体" w:eastAsia="宋体" w:cs="宋体"/>
          <w:spacing w:val="5"/>
          <w:sz w:val="24"/>
          <w:szCs w:val="24"/>
        </w:rPr>
        <w:t>）；</w:t>
      </w:r>
    </w:p>
    <w:p w14:paraId="4160C14C">
      <w:pPr>
        <w:spacing w:line="212" w:lineRule="auto"/>
        <w:rPr>
          <w:rFonts w:ascii="宋体" w:hAnsi="宋体" w:eastAsia="宋体" w:cs="宋体"/>
          <w:sz w:val="24"/>
          <w:szCs w:val="24"/>
        </w:rPr>
        <w:sectPr>
          <w:headerReference r:id="rId340" w:type="default"/>
          <w:footerReference r:id="rId341" w:type="default"/>
          <w:pgSz w:w="11906" w:h="16839"/>
          <w:pgMar w:top="1190" w:right="1356" w:bottom="1427" w:left="1417" w:header="882" w:footer="1265" w:gutter="0"/>
          <w:cols w:space="720" w:num="1"/>
        </w:sectPr>
      </w:pPr>
    </w:p>
    <w:p w14:paraId="2C02F39D">
      <w:pPr>
        <w:spacing w:line="28" w:lineRule="exact"/>
      </w:pPr>
      <w:r>
        <w:pict>
          <v:shape id="_x0000_s1832" o:spid="_x0000_s1832" style="height:1.45pt;width:453.65pt;" fillcolor="#000000" filled="t" stroked="f" coordsize="9072,29" path="m0,0l9072,0,9072,28,0,28,0,0xe">
            <v:path/>
            <v:fill on="t" focussize="0,0"/>
            <v:stroke on="f"/>
            <v:imagedata o:title=""/>
            <o:lock v:ext="edit"/>
            <w10:wrap type="none"/>
            <w10:anchorlock/>
          </v:shape>
        </w:pict>
      </w:r>
    </w:p>
    <w:p w14:paraId="731B5BD9">
      <w:pPr>
        <w:pStyle w:val="2"/>
        <w:spacing w:line="319" w:lineRule="auto"/>
      </w:pPr>
    </w:p>
    <w:p w14:paraId="6C9267A0">
      <w:pPr>
        <w:pStyle w:val="2"/>
        <w:spacing w:before="81" w:line="366" w:lineRule="auto"/>
        <w:ind w:left="502" w:right="3177" w:firstLine="630"/>
        <w:rPr>
          <w:rFonts w:ascii="宋体" w:hAnsi="宋体" w:eastAsia="宋体" w:cs="宋体"/>
          <w:sz w:val="24"/>
          <w:szCs w:val="24"/>
        </w:rPr>
      </w:pPr>
      <w:r>
        <w:rPr>
          <w:spacing w:val="-4"/>
          <w:w w:val="95"/>
          <w:position w:val="4"/>
          <w:sz w:val="28"/>
          <w:szCs w:val="28"/>
        </w:rPr>
        <w:t>Δ</w:t>
      </w:r>
      <w:r>
        <w:rPr>
          <w:spacing w:val="13"/>
          <w:position w:val="4"/>
          <w:sz w:val="28"/>
          <w:szCs w:val="28"/>
        </w:rPr>
        <w:t xml:space="preserve"> </w:t>
      </w:r>
      <w:r>
        <w:rPr>
          <w:rFonts w:ascii="Times New Roman" w:hAnsi="Times New Roman" w:eastAsia="Times New Roman" w:cs="Times New Roman"/>
          <w:spacing w:val="-4"/>
          <w:w w:val="95"/>
          <w:sz w:val="24"/>
          <w:szCs w:val="24"/>
        </w:rPr>
        <w:t>L</w:t>
      </w:r>
      <w:r>
        <w:rPr>
          <w:rFonts w:ascii="Times New Roman" w:hAnsi="Times New Roman" w:eastAsia="Times New Roman" w:cs="Times New Roman"/>
          <w:spacing w:val="-2"/>
          <w:sz w:val="15"/>
          <w:szCs w:val="15"/>
        </w:rPr>
        <w:t>i</w:t>
      </w:r>
      <w:r>
        <w:rPr>
          <w:rFonts w:ascii="Times New Roman" w:hAnsi="Times New Roman" w:eastAsia="Times New Roman" w:cs="Times New Roman"/>
          <w:spacing w:val="-2"/>
          <w:sz w:val="15"/>
          <w:szCs w:val="15"/>
          <w:u w:val="single" w:color="auto"/>
        </w:rPr>
        <w:t xml:space="preserve">      </w:t>
      </w:r>
      <w:r>
        <w:rPr>
          <w:rFonts w:ascii="Times New Roman" w:hAnsi="Times New Roman" w:eastAsia="Times New Roman" w:cs="Times New Roman"/>
          <w:spacing w:val="-30"/>
          <w:sz w:val="15"/>
          <w:szCs w:val="15"/>
        </w:rPr>
        <w:t xml:space="preserve"> </w:t>
      </w:r>
      <w:r>
        <w:rPr>
          <w:rFonts w:ascii="宋体" w:hAnsi="宋体" w:eastAsia="宋体" w:cs="宋体"/>
          <w:spacing w:val="-2"/>
          <w:sz w:val="24"/>
          <w:szCs w:val="24"/>
        </w:rPr>
        <w:t>第</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 xml:space="preserve">i </w:t>
      </w:r>
      <w:r>
        <w:rPr>
          <w:rFonts w:ascii="宋体" w:hAnsi="宋体" w:eastAsia="宋体" w:cs="宋体"/>
          <w:spacing w:val="-2"/>
          <w:sz w:val="24"/>
          <w:szCs w:val="24"/>
        </w:rPr>
        <w:t>倍频带的</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A</w:t>
      </w:r>
      <w:r>
        <w:rPr>
          <w:rFonts w:ascii="Times New Roman" w:hAnsi="Times New Roman" w:eastAsia="Times New Roman" w:cs="Times New Roman"/>
          <w:spacing w:val="9"/>
          <w:sz w:val="24"/>
          <w:szCs w:val="24"/>
        </w:rPr>
        <w:t xml:space="preserve"> </w:t>
      </w:r>
      <w:r>
        <w:rPr>
          <w:rFonts w:ascii="宋体" w:hAnsi="宋体" w:eastAsia="宋体" w:cs="宋体"/>
          <w:spacing w:val="-2"/>
          <w:sz w:val="24"/>
          <w:szCs w:val="24"/>
        </w:rPr>
        <w:t>计权网络修正值，</w:t>
      </w:r>
      <w:r>
        <w:rPr>
          <w:rFonts w:ascii="Times New Roman" w:hAnsi="Times New Roman" w:eastAsia="Times New Roman" w:cs="Times New Roman"/>
          <w:spacing w:val="-2"/>
          <w:sz w:val="24"/>
          <w:szCs w:val="24"/>
        </w:rPr>
        <w:t>dB</w:t>
      </w:r>
      <w:r>
        <w:rPr>
          <w:rFonts w:ascii="宋体" w:hAnsi="宋体" w:eastAsia="宋体" w:cs="宋体"/>
          <w:spacing w:val="-2"/>
          <w:sz w:val="24"/>
          <w:szCs w:val="24"/>
        </w:rPr>
        <w:t>。</w:t>
      </w:r>
      <w:r>
        <w:rPr>
          <w:rFonts w:ascii="宋体" w:hAnsi="宋体" w:eastAsia="宋体" w:cs="宋体"/>
          <w:sz w:val="24"/>
          <w:szCs w:val="24"/>
        </w:rPr>
        <w:t xml:space="preserve"> </w:t>
      </w:r>
      <w:r>
        <w:rPr>
          <w:rFonts w:ascii="宋体" w:hAnsi="宋体" w:eastAsia="宋体" w:cs="宋体"/>
          <w:spacing w:val="-2"/>
          <w:sz w:val="24"/>
          <w:szCs w:val="24"/>
        </w:rPr>
        <w:t>只考虑几何发散衰减时，可按下式计算。</w:t>
      </w:r>
    </w:p>
    <w:p w14:paraId="248D6F8E">
      <w:pPr>
        <w:spacing w:line="348" w:lineRule="auto"/>
        <w:ind w:left="493" w:right="3143" w:firstLine="3137"/>
        <w:rPr>
          <w:rFonts w:ascii="宋体" w:hAnsi="宋体" w:eastAsia="宋体" w:cs="宋体"/>
          <w:sz w:val="24"/>
          <w:szCs w:val="24"/>
        </w:rPr>
      </w:pP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A</w:t>
      </w:r>
      <w:r>
        <w:rPr>
          <w:rFonts w:ascii="宋体" w:hAnsi="宋体" w:eastAsia="宋体" w:cs="宋体"/>
          <w:spacing w:val="1"/>
          <w:sz w:val="24"/>
          <w:szCs w:val="24"/>
        </w:rPr>
        <w:t>（</w:t>
      </w:r>
      <w:r>
        <w:rPr>
          <w:rFonts w:ascii="Times New Roman" w:hAnsi="Times New Roman" w:eastAsia="Times New Roman" w:cs="Times New Roman"/>
          <w:spacing w:val="1"/>
          <w:sz w:val="24"/>
          <w:szCs w:val="24"/>
        </w:rPr>
        <w:t>r</w:t>
      </w:r>
      <w:r>
        <w:rPr>
          <w:rFonts w:ascii="宋体" w:hAnsi="宋体" w:eastAsia="宋体" w:cs="宋体"/>
          <w:spacing w:val="1"/>
          <w:sz w:val="24"/>
          <w:szCs w:val="24"/>
        </w:rPr>
        <w:t>）</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L</w:t>
      </w:r>
      <w:r>
        <w:rPr>
          <w:rFonts w:ascii="Times New Roman" w:hAnsi="Times New Roman" w:eastAsia="Times New Roman" w:cs="Times New Roman"/>
          <w:position w:val="-1"/>
          <w:sz w:val="15"/>
          <w:szCs w:val="15"/>
        </w:rPr>
        <w:t>A</w:t>
      </w:r>
      <w:r>
        <w:rPr>
          <w:rFonts w:ascii="宋体" w:hAnsi="宋体" w:eastAsia="宋体" w:cs="宋体"/>
          <w:spacing w:val="1"/>
          <w:sz w:val="24"/>
          <w:szCs w:val="24"/>
        </w:rPr>
        <w:t>（</w:t>
      </w:r>
      <w:r>
        <w:rPr>
          <w:rFonts w:ascii="Times New Roman" w:hAnsi="Times New Roman" w:eastAsia="Times New Roman" w:cs="Times New Roman"/>
          <w:spacing w:val="1"/>
          <w:sz w:val="24"/>
          <w:szCs w:val="24"/>
        </w:rPr>
        <w:t>r</w:t>
      </w:r>
      <w:r>
        <w:rPr>
          <w:rFonts w:ascii="Times New Roman" w:hAnsi="Times New Roman" w:eastAsia="Times New Roman" w:cs="Times New Roman"/>
          <w:spacing w:val="1"/>
          <w:sz w:val="15"/>
          <w:szCs w:val="15"/>
        </w:rPr>
        <w:t>0</w:t>
      </w:r>
      <w:r>
        <w:rPr>
          <w:rFonts w:ascii="宋体" w:hAnsi="宋体" w:eastAsia="宋体" w:cs="宋体"/>
          <w:spacing w:val="1"/>
          <w:sz w:val="24"/>
          <w:szCs w:val="24"/>
        </w:rPr>
        <w:t>）</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div</w:t>
      </w:r>
      <w:r>
        <w:rPr>
          <w:rFonts w:ascii="Times New Roman" w:hAnsi="Times New Roman" w:eastAsia="Times New Roman" w:cs="Times New Roman"/>
          <w:spacing w:val="5"/>
          <w:position w:val="-1"/>
          <w:sz w:val="15"/>
          <w:szCs w:val="15"/>
        </w:rPr>
        <w:t xml:space="preserve"> </w:t>
      </w:r>
      <w:r>
        <w:rPr>
          <w:rFonts w:ascii="宋体" w:hAnsi="宋体" w:eastAsia="宋体" w:cs="宋体"/>
          <w:spacing w:val="-1"/>
          <w:sz w:val="24"/>
          <w:szCs w:val="24"/>
        </w:rPr>
        <w:t>式中：</w:t>
      </w: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A</w:t>
      </w:r>
      <w:r>
        <w:rPr>
          <w:rFonts w:ascii="宋体" w:hAnsi="宋体" w:eastAsia="宋体" w:cs="宋体"/>
          <w:spacing w:val="-1"/>
          <w:sz w:val="24"/>
          <w:szCs w:val="24"/>
        </w:rPr>
        <w:t>（</w:t>
      </w:r>
      <w:r>
        <w:rPr>
          <w:rFonts w:ascii="Times New Roman" w:hAnsi="Times New Roman" w:eastAsia="Times New Roman" w:cs="Times New Roman"/>
          <w:spacing w:val="-1"/>
          <w:sz w:val="24"/>
          <w:szCs w:val="24"/>
        </w:rPr>
        <w:t>r</w:t>
      </w:r>
      <w:r>
        <w:rPr>
          <w:rFonts w:ascii="宋体" w:hAnsi="宋体" w:eastAsia="宋体" w:cs="宋体"/>
          <w:spacing w:val="-1"/>
          <w:sz w:val="24"/>
          <w:szCs w:val="24"/>
        </w:rPr>
        <w:t>）</w:t>
      </w:r>
      <w:r>
        <w:rPr>
          <w:rFonts w:ascii="Times New Roman" w:hAnsi="Times New Roman" w:eastAsia="Times New Roman" w:cs="Times New Roman"/>
          <w:spacing w:val="-1"/>
          <w:sz w:val="24"/>
          <w:szCs w:val="24"/>
        </w:rPr>
        <w:t>—</w:t>
      </w:r>
      <w:r>
        <w:rPr>
          <w:rFonts w:ascii="宋体" w:hAnsi="宋体" w:eastAsia="宋体" w:cs="宋体"/>
          <w:spacing w:val="-1"/>
          <w:sz w:val="24"/>
          <w:szCs w:val="24"/>
        </w:rPr>
        <w:t>距声源</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 xml:space="preserve">r </w:t>
      </w:r>
      <w:r>
        <w:rPr>
          <w:rFonts w:ascii="宋体" w:hAnsi="宋体" w:eastAsia="宋体" w:cs="宋体"/>
          <w:spacing w:val="-1"/>
          <w:sz w:val="24"/>
          <w:szCs w:val="24"/>
        </w:rPr>
        <w:t>处的</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 xml:space="preserve">A </w:t>
      </w:r>
      <w:r>
        <w:rPr>
          <w:rFonts w:ascii="宋体" w:hAnsi="宋体" w:eastAsia="宋体" w:cs="宋体"/>
          <w:spacing w:val="-1"/>
          <w:sz w:val="24"/>
          <w:szCs w:val="24"/>
        </w:rPr>
        <w:t>声级，</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r>
        <w:rPr>
          <w:rFonts w:ascii="Times New Roman" w:hAnsi="Times New Roman" w:eastAsia="Times New Roman" w:cs="Times New Roman"/>
          <w:spacing w:val="-1"/>
          <w:sz w:val="24"/>
          <w:szCs w:val="24"/>
        </w:rPr>
        <w:t>A</w:t>
      </w:r>
      <w:r>
        <w:rPr>
          <w:rFonts w:ascii="宋体" w:hAnsi="宋体" w:eastAsia="宋体" w:cs="宋体"/>
          <w:spacing w:val="4"/>
          <w:sz w:val="24"/>
          <w:szCs w:val="24"/>
        </w:rPr>
        <w:t>）；</w:t>
      </w:r>
    </w:p>
    <w:p w14:paraId="10DDE10F">
      <w:pPr>
        <w:spacing w:before="117" w:line="363" w:lineRule="auto"/>
        <w:ind w:left="1080" w:right="3035" w:firstLine="2"/>
        <w:rPr>
          <w:rFonts w:ascii="宋体" w:hAnsi="宋体" w:eastAsia="宋体" w:cs="宋体"/>
          <w:sz w:val="24"/>
          <w:szCs w:val="24"/>
        </w:rPr>
      </w:pP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A</w:t>
      </w:r>
      <w:r>
        <w:rPr>
          <w:rFonts w:ascii="宋体" w:hAnsi="宋体" w:eastAsia="宋体" w:cs="宋体"/>
          <w:spacing w:val="2"/>
          <w:sz w:val="24"/>
          <w:szCs w:val="24"/>
        </w:rPr>
        <w:t>（</w:t>
      </w:r>
      <w:r>
        <w:rPr>
          <w:rFonts w:ascii="Times New Roman" w:hAnsi="Times New Roman" w:eastAsia="Times New Roman" w:cs="Times New Roman"/>
          <w:spacing w:val="2"/>
          <w:sz w:val="24"/>
          <w:szCs w:val="24"/>
        </w:rPr>
        <w:t>r</w:t>
      </w:r>
      <w:r>
        <w:rPr>
          <w:rFonts w:ascii="Times New Roman" w:hAnsi="Times New Roman" w:eastAsia="Times New Roman" w:cs="Times New Roman"/>
          <w:spacing w:val="2"/>
          <w:sz w:val="15"/>
          <w:szCs w:val="15"/>
        </w:rPr>
        <w:t>0</w:t>
      </w:r>
      <w:r>
        <w:rPr>
          <w:rFonts w:ascii="宋体" w:hAnsi="宋体" w:eastAsia="宋体" w:cs="宋体"/>
          <w:spacing w:val="2"/>
          <w:sz w:val="24"/>
          <w:szCs w:val="24"/>
        </w:rPr>
        <w:t>）</w:t>
      </w:r>
      <w:r>
        <w:rPr>
          <w:rFonts w:ascii="Times New Roman" w:hAnsi="Times New Roman" w:eastAsia="Times New Roman" w:cs="Times New Roman"/>
          <w:spacing w:val="2"/>
          <w:sz w:val="24"/>
          <w:szCs w:val="24"/>
        </w:rPr>
        <w:t>—</w:t>
      </w:r>
      <w:r>
        <w:rPr>
          <w:rFonts w:ascii="宋体" w:hAnsi="宋体" w:eastAsia="宋体" w:cs="宋体"/>
          <w:spacing w:val="2"/>
          <w:sz w:val="24"/>
          <w:szCs w:val="24"/>
        </w:rPr>
        <w:t>参考位置</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r</w:t>
      </w:r>
      <w:r>
        <w:rPr>
          <w:rFonts w:ascii="Times New Roman" w:hAnsi="Times New Roman" w:eastAsia="Times New Roman" w:cs="Times New Roman"/>
          <w:spacing w:val="2"/>
          <w:sz w:val="15"/>
          <w:szCs w:val="15"/>
        </w:rPr>
        <w:t>0</w:t>
      </w:r>
      <w:r>
        <w:rPr>
          <w:rFonts w:ascii="宋体" w:hAnsi="宋体" w:eastAsia="宋体" w:cs="宋体"/>
          <w:spacing w:val="2"/>
          <w:sz w:val="24"/>
          <w:szCs w:val="24"/>
        </w:rPr>
        <w:t>处的</w:t>
      </w:r>
      <w:r>
        <w:rPr>
          <w:rFonts w:ascii="宋体" w:hAnsi="宋体" w:eastAsia="宋体" w:cs="宋体"/>
          <w:spacing w:val="-59"/>
          <w:sz w:val="24"/>
          <w:szCs w:val="24"/>
        </w:rPr>
        <w:t xml:space="preserve"> </w:t>
      </w:r>
      <w:r>
        <w:rPr>
          <w:rFonts w:ascii="Times New Roman" w:hAnsi="Times New Roman" w:eastAsia="Times New Roman" w:cs="Times New Roman"/>
          <w:spacing w:val="2"/>
          <w:sz w:val="24"/>
          <w:szCs w:val="24"/>
        </w:rPr>
        <w:t xml:space="preserve">A </w:t>
      </w:r>
      <w:r>
        <w:rPr>
          <w:rFonts w:ascii="宋体" w:hAnsi="宋体" w:eastAsia="宋体" w:cs="宋体"/>
          <w:spacing w:val="2"/>
          <w:sz w:val="24"/>
          <w:szCs w:val="24"/>
        </w:rPr>
        <w:t>声级，</w:t>
      </w:r>
      <w:r>
        <w:rPr>
          <w:rFonts w:ascii="Times New Roman" w:hAnsi="Times New Roman" w:eastAsia="Times New Roman" w:cs="Times New Roman"/>
          <w:sz w:val="24"/>
          <w:szCs w:val="24"/>
        </w:rPr>
        <w:t>dB</w:t>
      </w:r>
      <w:r>
        <w:rPr>
          <w:rFonts w:ascii="宋体" w:hAnsi="宋体" w:eastAsia="宋体" w:cs="宋体"/>
          <w:spacing w:val="2"/>
          <w:sz w:val="24"/>
          <w:szCs w:val="24"/>
        </w:rPr>
        <w:t>（</w:t>
      </w:r>
      <w:r>
        <w:rPr>
          <w:rFonts w:ascii="Times New Roman" w:hAnsi="Times New Roman" w:eastAsia="Times New Roman" w:cs="Times New Roman"/>
          <w:spacing w:val="2"/>
          <w:sz w:val="24"/>
          <w:szCs w:val="24"/>
        </w:rPr>
        <w:t>A</w:t>
      </w:r>
      <w:r>
        <w:rPr>
          <w:rFonts w:ascii="宋体" w:hAnsi="宋体" w:eastAsia="宋体" w:cs="宋体"/>
          <w:spacing w:val="-31"/>
          <w:sz w:val="24"/>
          <w:szCs w:val="24"/>
        </w:rPr>
        <w:t>）；</w:t>
      </w:r>
      <w:r>
        <w:rPr>
          <w:rFonts w:ascii="宋体" w:hAnsi="宋体" w:eastAsia="宋体" w:cs="宋体"/>
          <w:sz w:val="24"/>
          <w:szCs w:val="24"/>
        </w:rPr>
        <w:t xml:space="preserve"> </w:t>
      </w: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div</w:t>
      </w:r>
      <w:r>
        <w:rPr>
          <w:rFonts w:ascii="Times New Roman" w:hAnsi="Times New Roman" w:eastAsia="Times New Roman" w:cs="Times New Roman"/>
          <w:sz w:val="24"/>
          <w:szCs w:val="24"/>
        </w:rPr>
        <w:t>——</w:t>
      </w:r>
      <w:r>
        <w:rPr>
          <w:rFonts w:ascii="宋体" w:hAnsi="宋体" w:eastAsia="宋体" w:cs="宋体"/>
          <w:sz w:val="24"/>
          <w:szCs w:val="24"/>
        </w:rPr>
        <w:t>几何发散引起的衰减，</w:t>
      </w:r>
      <w:r>
        <w:rPr>
          <w:rFonts w:ascii="Times New Roman" w:hAnsi="Times New Roman" w:eastAsia="Times New Roman" w:cs="Times New Roman"/>
          <w:sz w:val="24"/>
          <w:szCs w:val="24"/>
        </w:rPr>
        <w:t>dB</w:t>
      </w:r>
      <w:r>
        <w:rPr>
          <w:rFonts w:ascii="宋体" w:hAnsi="宋体" w:eastAsia="宋体" w:cs="宋体"/>
          <w:sz w:val="24"/>
          <w:szCs w:val="24"/>
        </w:rPr>
        <w:t>。</w:t>
      </w:r>
    </w:p>
    <w:p w14:paraId="2E7A501B">
      <w:pPr>
        <w:spacing w:before="32" w:line="219" w:lineRule="auto"/>
        <w:ind w:left="499"/>
        <w:rPr>
          <w:rFonts w:ascii="宋体" w:hAnsi="宋体" w:eastAsia="宋体" w:cs="宋体"/>
          <w:sz w:val="24"/>
          <w:szCs w:val="24"/>
        </w:rPr>
      </w:pPr>
      <w:r>
        <w:rPr>
          <w:rFonts w:ascii="宋体" w:hAnsi="宋体" w:eastAsia="宋体" w:cs="宋体"/>
          <w:b/>
          <w:bCs/>
          <w:spacing w:val="-2"/>
          <w:sz w:val="24"/>
          <w:szCs w:val="24"/>
        </w:rPr>
        <w:t>（</w:t>
      </w:r>
      <w:r>
        <w:rPr>
          <w:rFonts w:ascii="Times New Roman" w:hAnsi="Times New Roman" w:eastAsia="Times New Roman" w:cs="Times New Roman"/>
          <w:b/>
          <w:bCs/>
          <w:spacing w:val="-2"/>
          <w:sz w:val="24"/>
          <w:szCs w:val="24"/>
        </w:rPr>
        <w:t>2</w:t>
      </w:r>
      <w:r>
        <w:rPr>
          <w:rFonts w:ascii="宋体" w:hAnsi="宋体" w:eastAsia="宋体" w:cs="宋体"/>
          <w:b/>
          <w:bCs/>
          <w:spacing w:val="-2"/>
          <w:sz w:val="24"/>
          <w:szCs w:val="24"/>
        </w:rPr>
        <w:t>）几何发散引起的衰减（</w:t>
      </w:r>
      <w:r>
        <w:rPr>
          <w:rFonts w:ascii="Times New Roman" w:hAnsi="Times New Roman" w:eastAsia="Times New Roman" w:cs="Times New Roman"/>
          <w:b/>
          <w:bCs/>
          <w:spacing w:val="-2"/>
          <w:sz w:val="24"/>
          <w:szCs w:val="24"/>
        </w:rPr>
        <w:t>A</w:t>
      </w:r>
      <w:r>
        <w:rPr>
          <w:rFonts w:ascii="Times New Roman" w:hAnsi="Times New Roman" w:eastAsia="Times New Roman" w:cs="Times New Roman"/>
          <w:b/>
          <w:bCs/>
          <w:spacing w:val="-2"/>
          <w:position w:val="-1"/>
          <w:sz w:val="15"/>
          <w:szCs w:val="15"/>
        </w:rPr>
        <w:t>div</w:t>
      </w:r>
      <w:r>
        <w:rPr>
          <w:rFonts w:ascii="宋体" w:hAnsi="宋体" w:eastAsia="宋体" w:cs="宋体"/>
          <w:b/>
          <w:bCs/>
          <w:spacing w:val="-2"/>
          <w:sz w:val="24"/>
          <w:szCs w:val="24"/>
        </w:rPr>
        <w:t>）</w:t>
      </w:r>
    </w:p>
    <w:p w14:paraId="3E844E7A">
      <w:pPr>
        <w:spacing w:before="204" w:line="219" w:lineRule="auto"/>
        <w:ind w:left="490"/>
        <w:rPr>
          <w:rFonts w:ascii="宋体" w:hAnsi="宋体" w:eastAsia="宋体" w:cs="宋体"/>
          <w:sz w:val="24"/>
          <w:szCs w:val="24"/>
        </w:rPr>
      </w:pPr>
      <w:r>
        <w:rPr>
          <w:rFonts w:ascii="宋体" w:hAnsi="宋体" w:eastAsia="宋体" w:cs="宋体"/>
          <w:spacing w:val="-1"/>
          <w:sz w:val="24"/>
          <w:szCs w:val="24"/>
        </w:rPr>
        <w:t>无指向性点声源几何发散衰减的基本公式是：</w:t>
      </w:r>
    </w:p>
    <w:p w14:paraId="1439868F">
      <w:pPr>
        <w:spacing w:before="166" w:line="480" w:lineRule="exact"/>
        <w:ind w:firstLine="3224"/>
      </w:pPr>
      <w:r>
        <w:rPr>
          <w:position w:val="-9"/>
        </w:rPr>
        <w:drawing>
          <wp:inline distT="0" distB="0" distL="0" distR="0">
            <wp:extent cx="1970405" cy="304800"/>
            <wp:effectExtent l="0" t="0" r="0" b="0"/>
            <wp:docPr id="182" name="IM 182"/>
            <wp:cNvGraphicFramePr/>
            <a:graphic xmlns:a="http://schemas.openxmlformats.org/drawingml/2006/main">
              <a:graphicData uri="http://schemas.openxmlformats.org/drawingml/2006/picture">
                <pic:pic xmlns:pic="http://schemas.openxmlformats.org/drawingml/2006/picture">
                  <pic:nvPicPr>
                    <pic:cNvPr id="182" name="IM 182"/>
                    <pic:cNvPicPr/>
                  </pic:nvPicPr>
                  <pic:blipFill>
                    <a:blip r:embed="rId668"/>
                    <a:stretch>
                      <a:fillRect/>
                    </a:stretch>
                  </pic:blipFill>
                  <pic:spPr>
                    <a:xfrm>
                      <a:off x="0" y="0"/>
                      <a:ext cx="1970531" cy="304800"/>
                    </a:xfrm>
                    <a:prstGeom prst="rect">
                      <a:avLst/>
                    </a:prstGeom>
                  </pic:spPr>
                </pic:pic>
              </a:graphicData>
            </a:graphic>
          </wp:inline>
        </w:drawing>
      </w:r>
    </w:p>
    <w:p w14:paraId="3371F86E">
      <w:pPr>
        <w:spacing w:before="210" w:line="220" w:lineRule="auto"/>
        <w:ind w:left="493"/>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P</w:t>
      </w:r>
      <w:r>
        <w:rPr>
          <w:rFonts w:ascii="宋体" w:hAnsi="宋体" w:eastAsia="宋体" w:cs="宋体"/>
          <w:spacing w:val="-1"/>
          <w:sz w:val="24"/>
          <w:szCs w:val="24"/>
        </w:rPr>
        <w:t>（</w:t>
      </w:r>
      <w:r>
        <w:rPr>
          <w:rFonts w:ascii="Times New Roman" w:hAnsi="Times New Roman" w:eastAsia="Times New Roman" w:cs="Times New Roman"/>
          <w:spacing w:val="-1"/>
          <w:sz w:val="24"/>
          <w:szCs w:val="24"/>
        </w:rPr>
        <w:t>r</w:t>
      </w:r>
      <w:r>
        <w:rPr>
          <w:rFonts w:ascii="宋体" w:hAnsi="宋体" w:eastAsia="宋体" w:cs="宋体"/>
          <w:spacing w:val="-1"/>
          <w:sz w:val="24"/>
          <w:szCs w:val="24"/>
        </w:rPr>
        <w:t>）</w:t>
      </w:r>
      <w:r>
        <w:rPr>
          <w:rFonts w:ascii="Times New Roman" w:hAnsi="Times New Roman" w:eastAsia="Times New Roman" w:cs="Times New Roman"/>
          <w:spacing w:val="-1"/>
          <w:sz w:val="24"/>
          <w:szCs w:val="24"/>
        </w:rPr>
        <w:t>—</w:t>
      </w:r>
      <w:r>
        <w:rPr>
          <w:rFonts w:ascii="宋体" w:hAnsi="宋体" w:eastAsia="宋体" w:cs="宋体"/>
          <w:spacing w:val="-1"/>
          <w:sz w:val="24"/>
          <w:szCs w:val="24"/>
        </w:rPr>
        <w:t>预测点处声压级，</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p>
    <w:p w14:paraId="6B8E4078">
      <w:pPr>
        <w:spacing w:before="204" w:line="219" w:lineRule="auto"/>
        <w:ind w:left="1203"/>
        <w:rPr>
          <w:rFonts w:ascii="宋体" w:hAnsi="宋体" w:eastAsia="宋体" w:cs="宋体"/>
          <w:sz w:val="24"/>
          <w:szCs w:val="24"/>
        </w:rPr>
      </w:pP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P</w:t>
      </w:r>
      <w:r>
        <w:rPr>
          <w:rFonts w:ascii="宋体" w:hAnsi="宋体" w:eastAsia="宋体" w:cs="宋体"/>
          <w:spacing w:val="2"/>
          <w:sz w:val="24"/>
          <w:szCs w:val="24"/>
        </w:rPr>
        <w:t>（</w:t>
      </w:r>
      <w:r>
        <w:rPr>
          <w:rFonts w:ascii="Times New Roman" w:hAnsi="Times New Roman" w:eastAsia="Times New Roman" w:cs="Times New Roman"/>
          <w:spacing w:val="2"/>
          <w:sz w:val="24"/>
          <w:szCs w:val="24"/>
        </w:rPr>
        <w:t>r</w:t>
      </w:r>
      <w:r>
        <w:rPr>
          <w:rFonts w:ascii="Times New Roman" w:hAnsi="Times New Roman" w:eastAsia="Times New Roman" w:cs="Times New Roman"/>
          <w:spacing w:val="2"/>
          <w:sz w:val="15"/>
          <w:szCs w:val="15"/>
        </w:rPr>
        <w:t>0</w:t>
      </w:r>
      <w:r>
        <w:rPr>
          <w:rFonts w:ascii="宋体" w:hAnsi="宋体" w:eastAsia="宋体" w:cs="宋体"/>
          <w:spacing w:val="2"/>
          <w:sz w:val="24"/>
          <w:szCs w:val="24"/>
        </w:rPr>
        <w:t>）</w:t>
      </w:r>
      <w:r>
        <w:rPr>
          <w:rFonts w:ascii="Times New Roman" w:hAnsi="Times New Roman" w:eastAsia="Times New Roman" w:cs="Times New Roman"/>
          <w:spacing w:val="2"/>
          <w:sz w:val="24"/>
          <w:szCs w:val="24"/>
        </w:rPr>
        <w:t>—</w:t>
      </w:r>
      <w:r>
        <w:rPr>
          <w:rFonts w:ascii="宋体" w:hAnsi="宋体" w:eastAsia="宋体" w:cs="宋体"/>
          <w:spacing w:val="2"/>
          <w:sz w:val="24"/>
          <w:szCs w:val="24"/>
        </w:rPr>
        <w:t>参考位置</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r</w:t>
      </w:r>
      <w:r>
        <w:rPr>
          <w:rFonts w:ascii="Times New Roman" w:hAnsi="Times New Roman" w:eastAsia="Times New Roman" w:cs="Times New Roman"/>
          <w:spacing w:val="2"/>
          <w:sz w:val="15"/>
          <w:szCs w:val="15"/>
        </w:rPr>
        <w:t>0</w:t>
      </w:r>
      <w:r>
        <w:rPr>
          <w:rFonts w:ascii="宋体" w:hAnsi="宋体" w:eastAsia="宋体" w:cs="宋体"/>
          <w:spacing w:val="2"/>
          <w:sz w:val="24"/>
          <w:szCs w:val="24"/>
        </w:rPr>
        <w:t>处的声压级，</w:t>
      </w:r>
      <w:r>
        <w:rPr>
          <w:rFonts w:ascii="Times New Roman" w:hAnsi="Times New Roman" w:eastAsia="Times New Roman" w:cs="Times New Roman"/>
          <w:sz w:val="24"/>
          <w:szCs w:val="24"/>
        </w:rPr>
        <w:t>dB</w:t>
      </w:r>
      <w:r>
        <w:rPr>
          <w:rFonts w:ascii="宋体" w:hAnsi="宋体" w:eastAsia="宋体" w:cs="宋体"/>
          <w:spacing w:val="2"/>
          <w:sz w:val="24"/>
          <w:szCs w:val="24"/>
        </w:rPr>
        <w:t>；</w:t>
      </w:r>
    </w:p>
    <w:p w14:paraId="210D6355">
      <w:pPr>
        <w:spacing w:before="205" w:line="220" w:lineRule="auto"/>
        <w:ind w:left="1200"/>
        <w:rPr>
          <w:rFonts w:ascii="宋体" w:hAnsi="宋体" w:eastAsia="宋体" w:cs="宋体"/>
          <w:sz w:val="24"/>
          <w:szCs w:val="24"/>
        </w:rPr>
      </w:pPr>
      <w:r>
        <w:rPr>
          <w:rFonts w:ascii="Times New Roman" w:hAnsi="Times New Roman" w:eastAsia="Times New Roman" w:cs="Times New Roman"/>
          <w:spacing w:val="-1"/>
          <w:sz w:val="24"/>
          <w:szCs w:val="24"/>
        </w:rPr>
        <w:t>r—</w:t>
      </w:r>
      <w:r>
        <w:rPr>
          <w:rFonts w:ascii="宋体" w:hAnsi="宋体" w:eastAsia="宋体" w:cs="宋体"/>
          <w:spacing w:val="-1"/>
          <w:sz w:val="24"/>
          <w:szCs w:val="24"/>
        </w:rPr>
        <w:t>预测点距声源的距离；</w:t>
      </w:r>
    </w:p>
    <w:p w14:paraId="74F3ECA0">
      <w:pPr>
        <w:spacing w:before="204" w:line="219" w:lineRule="auto"/>
        <w:ind w:left="1200"/>
        <w:rPr>
          <w:rFonts w:ascii="宋体" w:hAnsi="宋体" w:eastAsia="宋体" w:cs="宋体"/>
          <w:sz w:val="24"/>
          <w:szCs w:val="24"/>
        </w:rPr>
      </w:pPr>
      <w:r>
        <w:rPr>
          <w:rFonts w:ascii="Times New Roman" w:hAnsi="Times New Roman" w:eastAsia="Times New Roman" w:cs="Times New Roman"/>
          <w:sz w:val="24"/>
          <w:szCs w:val="24"/>
        </w:rPr>
        <w:t>r</w:t>
      </w:r>
      <w:r>
        <w:rPr>
          <w:rFonts w:ascii="Times New Roman" w:hAnsi="Times New Roman" w:eastAsia="Times New Roman" w:cs="Times New Roman"/>
          <w:sz w:val="15"/>
          <w:szCs w:val="15"/>
        </w:rPr>
        <w:t>0</w:t>
      </w:r>
      <w:r>
        <w:rPr>
          <w:rFonts w:ascii="Times New Roman" w:hAnsi="Times New Roman" w:eastAsia="Times New Roman" w:cs="Times New Roman"/>
          <w:sz w:val="24"/>
          <w:szCs w:val="24"/>
        </w:rPr>
        <w:t>—</w:t>
      </w:r>
      <w:r>
        <w:rPr>
          <w:rFonts w:ascii="宋体" w:hAnsi="宋体" w:eastAsia="宋体" w:cs="宋体"/>
          <w:sz w:val="24"/>
          <w:szCs w:val="24"/>
        </w:rPr>
        <w:t>参考位置距声源的距离。</w:t>
      </w:r>
    </w:p>
    <w:p w14:paraId="7EB45D78">
      <w:pPr>
        <w:spacing w:before="201" w:line="219" w:lineRule="auto"/>
        <w:ind w:left="490"/>
        <w:rPr>
          <w:rFonts w:ascii="宋体" w:hAnsi="宋体" w:eastAsia="宋体" w:cs="宋体"/>
          <w:sz w:val="24"/>
          <w:szCs w:val="24"/>
        </w:rPr>
      </w:pPr>
      <w:r>
        <w:rPr>
          <w:rFonts w:ascii="宋体" w:hAnsi="宋体" w:eastAsia="宋体" w:cs="宋体"/>
          <w:spacing w:val="-1"/>
          <w:sz w:val="24"/>
          <w:szCs w:val="24"/>
        </w:rPr>
        <w:t>上式第二项表示了点声源的几何发散衰减：</w:t>
      </w:r>
    </w:p>
    <w:p w14:paraId="55B35380">
      <w:pPr>
        <w:pStyle w:val="2"/>
        <w:spacing w:before="153" w:line="212" w:lineRule="auto"/>
        <w:ind w:left="3900"/>
        <w:rPr>
          <w:sz w:val="50"/>
          <w:szCs w:val="50"/>
        </w:rPr>
      </w:pPr>
      <w:r>
        <w:rPr>
          <w:color w:val="C2C3C3"/>
          <w:spacing w:val="-11"/>
          <w:sz w:val="50"/>
          <w:szCs w:val="50"/>
        </w:rPr>
        <w:t>A=20lg(r)</w:t>
      </w:r>
    </w:p>
    <w:p w14:paraId="0858DA9A">
      <w:pPr>
        <w:spacing w:before="197" w:line="219" w:lineRule="auto"/>
        <w:ind w:left="493"/>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1"/>
          <w:position w:val="-1"/>
          <w:sz w:val="15"/>
          <w:szCs w:val="15"/>
        </w:rPr>
        <w:t>div</w:t>
      </w:r>
      <w:r>
        <w:rPr>
          <w:rFonts w:ascii="Times New Roman" w:hAnsi="Times New Roman" w:eastAsia="Times New Roman" w:cs="Times New Roman"/>
          <w:spacing w:val="-1"/>
          <w:sz w:val="24"/>
          <w:szCs w:val="24"/>
        </w:rPr>
        <w:t>——</w:t>
      </w:r>
      <w:r>
        <w:rPr>
          <w:rFonts w:ascii="宋体" w:hAnsi="宋体" w:eastAsia="宋体" w:cs="宋体"/>
          <w:spacing w:val="-1"/>
          <w:sz w:val="24"/>
          <w:szCs w:val="24"/>
        </w:rPr>
        <w:t>几何发散引起的衰减，</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p>
    <w:p w14:paraId="333F53EC">
      <w:pPr>
        <w:spacing w:before="206" w:line="220" w:lineRule="auto"/>
        <w:ind w:left="1200"/>
        <w:rPr>
          <w:rFonts w:ascii="宋体" w:hAnsi="宋体" w:eastAsia="宋体" w:cs="宋体"/>
          <w:sz w:val="24"/>
          <w:szCs w:val="24"/>
        </w:rPr>
      </w:pPr>
      <w:r>
        <w:rPr>
          <w:rFonts w:ascii="Times New Roman" w:hAnsi="Times New Roman" w:eastAsia="Times New Roman" w:cs="Times New Roman"/>
          <w:spacing w:val="-1"/>
          <w:sz w:val="24"/>
          <w:szCs w:val="24"/>
        </w:rPr>
        <w:t>r—</w:t>
      </w:r>
      <w:r>
        <w:rPr>
          <w:rFonts w:ascii="宋体" w:hAnsi="宋体" w:eastAsia="宋体" w:cs="宋体"/>
          <w:spacing w:val="-1"/>
          <w:sz w:val="24"/>
          <w:szCs w:val="24"/>
        </w:rPr>
        <w:t>预测点距声源的距离；</w:t>
      </w:r>
    </w:p>
    <w:p w14:paraId="7019FF75">
      <w:pPr>
        <w:spacing w:before="201" w:line="219" w:lineRule="auto"/>
        <w:ind w:left="1200"/>
        <w:rPr>
          <w:rFonts w:ascii="宋体" w:hAnsi="宋体" w:eastAsia="宋体" w:cs="宋体"/>
          <w:sz w:val="24"/>
          <w:szCs w:val="24"/>
        </w:rPr>
      </w:pPr>
      <w:r>
        <w:rPr>
          <w:rFonts w:ascii="Times New Roman" w:hAnsi="Times New Roman" w:eastAsia="Times New Roman" w:cs="Times New Roman"/>
          <w:sz w:val="24"/>
          <w:szCs w:val="24"/>
        </w:rPr>
        <w:t>r</w:t>
      </w:r>
      <w:r>
        <w:rPr>
          <w:rFonts w:ascii="Times New Roman" w:hAnsi="Times New Roman" w:eastAsia="Times New Roman" w:cs="Times New Roman"/>
          <w:sz w:val="15"/>
          <w:szCs w:val="15"/>
        </w:rPr>
        <w:t>0</w:t>
      </w:r>
      <w:r>
        <w:rPr>
          <w:rFonts w:ascii="Times New Roman" w:hAnsi="Times New Roman" w:eastAsia="Times New Roman" w:cs="Times New Roman"/>
          <w:sz w:val="24"/>
          <w:szCs w:val="24"/>
        </w:rPr>
        <w:t>—</w:t>
      </w:r>
      <w:r>
        <w:rPr>
          <w:rFonts w:ascii="宋体" w:hAnsi="宋体" w:eastAsia="宋体" w:cs="宋体"/>
          <w:sz w:val="24"/>
          <w:szCs w:val="24"/>
        </w:rPr>
        <w:t>参考位置距声源的距离。</w:t>
      </w:r>
    </w:p>
    <w:p w14:paraId="7A739E91">
      <w:pPr>
        <w:spacing w:before="204" w:line="219" w:lineRule="auto"/>
        <w:ind w:left="499"/>
        <w:rPr>
          <w:rFonts w:ascii="宋体" w:hAnsi="宋体" w:eastAsia="宋体" w:cs="宋体"/>
          <w:sz w:val="24"/>
          <w:szCs w:val="24"/>
        </w:rPr>
      </w:pPr>
      <w:r>
        <w:rPr>
          <w:rFonts w:ascii="宋体" w:hAnsi="宋体" w:eastAsia="宋体" w:cs="宋体"/>
          <w:b/>
          <w:bCs/>
          <w:spacing w:val="-4"/>
          <w:sz w:val="24"/>
          <w:szCs w:val="24"/>
        </w:rPr>
        <w:t>（</w:t>
      </w:r>
      <w:r>
        <w:rPr>
          <w:rFonts w:ascii="Times New Roman" w:hAnsi="Times New Roman" w:eastAsia="Times New Roman" w:cs="Times New Roman"/>
          <w:b/>
          <w:bCs/>
          <w:spacing w:val="-4"/>
          <w:sz w:val="24"/>
          <w:szCs w:val="24"/>
        </w:rPr>
        <w:t>3</w:t>
      </w:r>
      <w:r>
        <w:rPr>
          <w:rFonts w:ascii="宋体" w:hAnsi="宋体" w:eastAsia="宋体" w:cs="宋体"/>
          <w:b/>
          <w:bCs/>
          <w:spacing w:val="-4"/>
          <w:sz w:val="24"/>
          <w:szCs w:val="24"/>
        </w:rPr>
        <w:t>）面声源的几何发散衰减</w:t>
      </w:r>
    </w:p>
    <w:p w14:paraId="6D5FAFC0">
      <w:pPr>
        <w:spacing w:before="206" w:line="363" w:lineRule="auto"/>
        <w:ind w:left="13" w:right="51" w:firstLine="482"/>
        <w:rPr>
          <w:rFonts w:ascii="宋体" w:hAnsi="宋体" w:eastAsia="宋体" w:cs="宋体"/>
          <w:sz w:val="24"/>
          <w:szCs w:val="24"/>
        </w:rPr>
      </w:pPr>
      <w:r>
        <w:rPr>
          <w:rFonts w:ascii="宋体" w:hAnsi="宋体" w:eastAsia="宋体" w:cs="宋体"/>
          <w:spacing w:val="-1"/>
          <w:sz w:val="24"/>
          <w:szCs w:val="24"/>
        </w:rPr>
        <w:t>下图给出了长方形面声源中心轴线上的声衰减曲线。当预测点和面声源中心距离</w:t>
      </w:r>
      <w:r>
        <w:rPr>
          <w:rFonts w:ascii="宋体" w:hAnsi="宋体" w:eastAsia="宋体" w:cs="宋体"/>
          <w:spacing w:val="-41"/>
          <w:sz w:val="24"/>
          <w:szCs w:val="24"/>
        </w:rPr>
        <w:t xml:space="preserve"> </w:t>
      </w:r>
      <w:r>
        <w:rPr>
          <w:rFonts w:ascii="Times New Roman" w:hAnsi="Times New Roman" w:eastAsia="Times New Roman" w:cs="Times New Roman"/>
          <w:spacing w:val="-1"/>
          <w:sz w:val="24"/>
          <w:szCs w:val="24"/>
        </w:rPr>
        <w:t>r</w:t>
      </w:r>
      <w:r>
        <w:rPr>
          <w:rFonts w:ascii="Times New Roman" w:hAnsi="Times New Roman" w:eastAsia="Times New Roman" w:cs="Times New Roman"/>
          <w:sz w:val="24"/>
          <w:szCs w:val="24"/>
        </w:rPr>
        <w:t xml:space="preserve"> </w:t>
      </w:r>
      <w:r>
        <w:rPr>
          <w:rFonts w:ascii="宋体" w:hAnsi="宋体" w:eastAsia="宋体" w:cs="宋体"/>
          <w:spacing w:val="-1"/>
          <w:sz w:val="24"/>
          <w:szCs w:val="24"/>
        </w:rPr>
        <w:t>处于以下条件时，可按下述方法近似计算：</w:t>
      </w:r>
    </w:p>
    <w:p w14:paraId="1CA8EC98">
      <w:pPr>
        <w:spacing w:before="32" w:line="219" w:lineRule="auto"/>
        <w:ind w:left="480"/>
        <w:rPr>
          <w:rFonts w:ascii="宋体" w:hAnsi="宋体" w:eastAsia="宋体" w:cs="宋体"/>
          <w:sz w:val="24"/>
          <w:szCs w:val="24"/>
        </w:rPr>
      </w:pPr>
      <w:r>
        <w:rPr>
          <w:rFonts w:ascii="Times New Roman" w:hAnsi="Times New Roman" w:eastAsia="Times New Roman" w:cs="Times New Roman"/>
          <w:sz w:val="24"/>
          <w:szCs w:val="24"/>
        </w:rPr>
        <w:t>r&lt;a/π</w:t>
      </w:r>
      <w:r>
        <w:rPr>
          <w:rFonts w:ascii="宋体" w:hAnsi="宋体" w:eastAsia="宋体" w:cs="宋体"/>
          <w:sz w:val="24"/>
          <w:szCs w:val="24"/>
        </w:rPr>
        <w:t>时，</w:t>
      </w: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div</w:t>
      </w:r>
      <w:r>
        <w:rPr>
          <w:rFonts w:ascii="Times New Roman" w:hAnsi="Times New Roman" w:eastAsia="Times New Roman" w:cs="Times New Roman"/>
          <w:sz w:val="24"/>
          <w:szCs w:val="24"/>
        </w:rPr>
        <w:t>≈0</w:t>
      </w:r>
      <w:r>
        <w:rPr>
          <w:rFonts w:ascii="宋体" w:hAnsi="宋体" w:eastAsia="宋体" w:cs="宋体"/>
          <w:sz w:val="24"/>
          <w:szCs w:val="24"/>
        </w:rPr>
        <w:t>；几乎不衰减；</w:t>
      </w:r>
    </w:p>
    <w:p w14:paraId="290EAE17">
      <w:pPr>
        <w:spacing w:before="206" w:line="349" w:lineRule="auto"/>
        <w:ind w:left="480" w:right="587" w:firstLine="7"/>
        <w:rPr>
          <w:rFonts w:ascii="宋体" w:hAnsi="宋体" w:eastAsia="宋体" w:cs="宋体"/>
          <w:sz w:val="24"/>
          <w:szCs w:val="24"/>
        </w:rPr>
      </w:pPr>
      <w:r>
        <w:rPr>
          <w:rFonts w:ascii="Times New Roman" w:hAnsi="Times New Roman" w:eastAsia="Times New Roman" w:cs="Times New Roman"/>
          <w:spacing w:val="-2"/>
          <w:sz w:val="24"/>
          <w:szCs w:val="24"/>
        </w:rPr>
        <w:t>a/π&lt;r&lt;b/π</w:t>
      </w:r>
      <w:r>
        <w:rPr>
          <w:rFonts w:ascii="宋体" w:hAnsi="宋体" w:eastAsia="宋体" w:cs="宋体"/>
          <w:spacing w:val="-2"/>
          <w:sz w:val="24"/>
          <w:szCs w:val="24"/>
        </w:rPr>
        <w:t>时，距离加倍衰减</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 xml:space="preserve">3dB </w:t>
      </w:r>
      <w:r>
        <w:rPr>
          <w:rFonts w:ascii="宋体" w:hAnsi="宋体" w:eastAsia="宋体" w:cs="宋体"/>
          <w:spacing w:val="-2"/>
          <w:sz w:val="24"/>
          <w:szCs w:val="24"/>
        </w:rPr>
        <w:t>左右，类似线声源衰减特性</w:t>
      </w:r>
      <w:r>
        <w:rPr>
          <w:rFonts w:ascii="Times New Roman" w:hAnsi="Times New Roman" w:eastAsia="Times New Roman" w:cs="Times New Roman"/>
          <w:spacing w:val="-2"/>
          <w:sz w:val="24"/>
          <w:szCs w:val="24"/>
        </w:rPr>
        <w:t>[A</w:t>
      </w:r>
      <w:r>
        <w:rPr>
          <w:rFonts w:ascii="Times New Roman" w:hAnsi="Times New Roman" w:eastAsia="Times New Roman" w:cs="Times New Roman"/>
          <w:spacing w:val="-2"/>
          <w:position w:val="-1"/>
          <w:sz w:val="15"/>
          <w:szCs w:val="15"/>
        </w:rPr>
        <w:t>div</w:t>
      </w:r>
      <w:r>
        <w:rPr>
          <w:rFonts w:ascii="Times New Roman" w:hAnsi="Times New Roman" w:eastAsia="Times New Roman" w:cs="Times New Roman"/>
          <w:spacing w:val="-2"/>
          <w:sz w:val="24"/>
          <w:szCs w:val="24"/>
        </w:rPr>
        <w:t>≈</w:t>
      </w:r>
      <w:r>
        <w:rPr>
          <w:rFonts w:ascii="Times New Roman" w:hAnsi="Times New Roman" w:eastAsia="Times New Roman" w:cs="Times New Roman"/>
          <w:spacing w:val="-31"/>
          <w:sz w:val="24"/>
          <w:szCs w:val="24"/>
        </w:rPr>
        <w:t xml:space="preserve"> </w:t>
      </w:r>
      <w:r>
        <w:rPr>
          <w:rFonts w:ascii="Times New Roman" w:hAnsi="Times New Roman" w:eastAsia="Times New Roman" w:cs="Times New Roman"/>
          <w:spacing w:val="-2"/>
          <w:sz w:val="24"/>
          <w:szCs w:val="24"/>
        </w:rPr>
        <w:t>10lg(r/r</w:t>
      </w:r>
      <w:r>
        <w:rPr>
          <w:rFonts w:ascii="Times New Roman" w:hAnsi="Times New Roman" w:eastAsia="Times New Roman" w:cs="Times New Roman"/>
          <w:spacing w:val="-2"/>
          <w:sz w:val="15"/>
          <w:szCs w:val="15"/>
        </w:rPr>
        <w:t>0</w:t>
      </w:r>
      <w:r>
        <w:rPr>
          <w:rFonts w:ascii="Times New Roman" w:hAnsi="Times New Roman" w:eastAsia="Times New Roman" w:cs="Times New Roman"/>
          <w:spacing w:val="-2"/>
          <w:sz w:val="24"/>
          <w:szCs w:val="24"/>
        </w:rPr>
        <w:t>)]</w:t>
      </w:r>
      <w:r>
        <w:rPr>
          <w:rFonts w:ascii="宋体" w:hAnsi="宋体" w:eastAsia="宋体" w:cs="宋体"/>
          <w:spacing w:val="-2"/>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r&gt;b/π</w:t>
      </w:r>
      <w:r>
        <w:rPr>
          <w:rFonts w:ascii="宋体" w:hAnsi="宋体" w:eastAsia="宋体" w:cs="宋体"/>
          <w:spacing w:val="-1"/>
          <w:sz w:val="24"/>
          <w:szCs w:val="24"/>
        </w:rPr>
        <w:t>时，距离加倍衰减趋近于</w:t>
      </w:r>
      <w:r>
        <w:rPr>
          <w:rFonts w:ascii="宋体" w:hAnsi="宋体" w:eastAsia="宋体" w:cs="宋体"/>
          <w:spacing w:val="-39"/>
          <w:sz w:val="24"/>
          <w:szCs w:val="24"/>
        </w:rPr>
        <w:t xml:space="preserve"> </w:t>
      </w:r>
      <w:r>
        <w:rPr>
          <w:rFonts w:ascii="Times New Roman" w:hAnsi="Times New Roman" w:eastAsia="Times New Roman" w:cs="Times New Roman"/>
          <w:spacing w:val="-1"/>
          <w:sz w:val="24"/>
          <w:szCs w:val="24"/>
        </w:rPr>
        <w:t>6dB</w:t>
      </w:r>
      <w:r>
        <w:rPr>
          <w:rFonts w:ascii="Times New Roman" w:hAnsi="Times New Roman" w:eastAsia="Times New Roman" w:cs="Times New Roman"/>
          <w:spacing w:val="-30"/>
          <w:sz w:val="24"/>
          <w:szCs w:val="24"/>
        </w:rPr>
        <w:t xml:space="preserve"> </w:t>
      </w:r>
      <w:r>
        <w:rPr>
          <w:rFonts w:ascii="宋体" w:hAnsi="宋体" w:eastAsia="宋体" w:cs="宋体"/>
          <w:spacing w:val="-1"/>
          <w:sz w:val="24"/>
          <w:szCs w:val="24"/>
        </w:rPr>
        <w:t>，类似线声源衰减特性</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1"/>
          <w:position w:val="-1"/>
          <w:sz w:val="15"/>
          <w:szCs w:val="15"/>
        </w:rPr>
        <w:t>div</w:t>
      </w:r>
      <w:r>
        <w:rPr>
          <w:rFonts w:ascii="Times New Roman" w:hAnsi="Times New Roman" w:eastAsia="Times New Roman" w:cs="Times New Roman"/>
          <w:spacing w:val="-1"/>
          <w:sz w:val="24"/>
          <w:szCs w:val="24"/>
        </w:rPr>
        <w:t>≈20lg(r/r</w:t>
      </w:r>
      <w:r>
        <w:rPr>
          <w:rFonts w:ascii="Times New Roman" w:hAnsi="Times New Roman" w:eastAsia="Times New Roman" w:cs="Times New Roman"/>
          <w:spacing w:val="-1"/>
          <w:sz w:val="15"/>
          <w:szCs w:val="15"/>
        </w:rPr>
        <w:t>0</w:t>
      </w:r>
      <w:r>
        <w:rPr>
          <w:rFonts w:ascii="Times New Roman" w:hAnsi="Times New Roman" w:eastAsia="Times New Roman" w:cs="Times New Roman"/>
          <w:spacing w:val="-1"/>
          <w:sz w:val="24"/>
          <w:szCs w:val="24"/>
        </w:rPr>
        <w:t>)]</w:t>
      </w:r>
      <w:r>
        <w:rPr>
          <w:rFonts w:ascii="宋体" w:hAnsi="宋体" w:eastAsia="宋体" w:cs="宋体"/>
          <w:spacing w:val="-1"/>
          <w:sz w:val="24"/>
          <w:szCs w:val="24"/>
        </w:rPr>
        <w:t>；</w:t>
      </w:r>
    </w:p>
    <w:p w14:paraId="494861D2">
      <w:pPr>
        <w:spacing w:before="72" w:line="219" w:lineRule="auto"/>
        <w:ind w:left="489"/>
        <w:rPr>
          <w:rFonts w:ascii="宋体" w:hAnsi="宋体" w:eastAsia="宋体" w:cs="宋体"/>
          <w:sz w:val="24"/>
          <w:szCs w:val="24"/>
        </w:rPr>
      </w:pPr>
      <w:r>
        <w:rPr>
          <w:rFonts w:ascii="宋体" w:hAnsi="宋体" w:eastAsia="宋体" w:cs="宋体"/>
          <w:spacing w:val="-2"/>
          <w:sz w:val="24"/>
          <w:szCs w:val="24"/>
        </w:rPr>
        <w:t>其中面声源的</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b&gt;a</w:t>
      </w:r>
      <w:r>
        <w:rPr>
          <w:rFonts w:ascii="Times New Roman" w:hAnsi="Times New Roman" w:eastAsia="Times New Roman" w:cs="Times New Roman"/>
          <w:spacing w:val="23"/>
          <w:sz w:val="24"/>
          <w:szCs w:val="24"/>
        </w:rPr>
        <w:t xml:space="preserve"> </w:t>
      </w:r>
      <w:r>
        <w:rPr>
          <w:rFonts w:ascii="宋体" w:hAnsi="宋体" w:eastAsia="宋体" w:cs="宋体"/>
          <w:spacing w:val="-2"/>
          <w:sz w:val="24"/>
          <w:szCs w:val="24"/>
        </w:rPr>
        <w:t>时，下图中虚线为实际衰减量。</w:t>
      </w:r>
    </w:p>
    <w:p w14:paraId="32467C28">
      <w:pPr>
        <w:spacing w:line="219" w:lineRule="auto"/>
        <w:rPr>
          <w:rFonts w:ascii="宋体" w:hAnsi="宋体" w:eastAsia="宋体" w:cs="宋体"/>
          <w:sz w:val="24"/>
          <w:szCs w:val="24"/>
        </w:rPr>
        <w:sectPr>
          <w:headerReference r:id="rId342" w:type="default"/>
          <w:footerReference r:id="rId343" w:type="default"/>
          <w:pgSz w:w="11906" w:h="16839"/>
          <w:pgMar w:top="1190" w:right="1416" w:bottom="1427" w:left="1417" w:header="882" w:footer="1265" w:gutter="0"/>
          <w:cols w:space="720" w:num="1"/>
        </w:sectPr>
      </w:pPr>
    </w:p>
    <w:p w14:paraId="05554038">
      <w:pPr>
        <w:spacing w:line="28" w:lineRule="exact"/>
        <w:ind w:firstLine="108"/>
      </w:pPr>
      <w:r>
        <w:pict>
          <v:shape id="_x0000_s1833" o:spid="_x0000_s1833" style="height:1.45pt;width:453.65pt;" fillcolor="#000000" filled="t" stroked="f" coordsize="9072,29" path="m0,0l9072,0,9072,28,0,28,0,0xe">
            <v:path/>
            <v:fill on="t" focussize="0,0"/>
            <v:stroke on="f"/>
            <v:imagedata o:title=""/>
            <o:lock v:ext="edit"/>
            <w10:wrap type="none"/>
            <w10:anchorlock/>
          </v:shape>
        </w:pict>
      </w:r>
    </w:p>
    <w:p w14:paraId="109CF909">
      <w:pPr>
        <w:spacing w:before="196" w:line="5496" w:lineRule="exact"/>
        <w:ind w:firstLine="1102"/>
      </w:pPr>
      <w:r>
        <w:rPr>
          <w:position w:val="-109"/>
        </w:rPr>
        <w:drawing>
          <wp:inline distT="0" distB="0" distL="0" distR="0">
            <wp:extent cx="4495800" cy="3489325"/>
            <wp:effectExtent l="0" t="0" r="0" b="0"/>
            <wp:docPr id="184" name="IM 184"/>
            <wp:cNvGraphicFramePr/>
            <a:graphic xmlns:a="http://schemas.openxmlformats.org/drawingml/2006/main">
              <a:graphicData uri="http://schemas.openxmlformats.org/drawingml/2006/picture">
                <pic:pic xmlns:pic="http://schemas.openxmlformats.org/drawingml/2006/picture">
                  <pic:nvPicPr>
                    <pic:cNvPr id="184" name="IM 184"/>
                    <pic:cNvPicPr/>
                  </pic:nvPicPr>
                  <pic:blipFill>
                    <a:blip r:embed="rId669"/>
                    <a:stretch>
                      <a:fillRect/>
                    </a:stretch>
                  </pic:blipFill>
                  <pic:spPr>
                    <a:xfrm>
                      <a:off x="0" y="0"/>
                      <a:ext cx="4495800" cy="3489959"/>
                    </a:xfrm>
                    <a:prstGeom prst="rect">
                      <a:avLst/>
                    </a:prstGeom>
                  </pic:spPr>
                </pic:pic>
              </a:graphicData>
            </a:graphic>
          </wp:inline>
        </w:drawing>
      </w:r>
    </w:p>
    <w:p w14:paraId="47412086">
      <w:pPr>
        <w:spacing w:before="263" w:line="219" w:lineRule="auto"/>
        <w:ind w:left="607"/>
        <w:rPr>
          <w:rFonts w:ascii="宋体" w:hAnsi="宋体" w:eastAsia="宋体" w:cs="宋体"/>
          <w:sz w:val="24"/>
          <w:szCs w:val="24"/>
        </w:rPr>
      </w:pPr>
      <w:r>
        <w:rPr>
          <w:rFonts w:ascii="宋体" w:hAnsi="宋体" w:eastAsia="宋体" w:cs="宋体"/>
          <w:b/>
          <w:bCs/>
          <w:spacing w:val="-2"/>
          <w:sz w:val="24"/>
          <w:szCs w:val="24"/>
        </w:rPr>
        <w:t>（</w:t>
      </w:r>
      <w:r>
        <w:rPr>
          <w:rFonts w:ascii="Times New Roman" w:hAnsi="Times New Roman" w:eastAsia="Times New Roman" w:cs="Times New Roman"/>
          <w:b/>
          <w:bCs/>
          <w:spacing w:val="-2"/>
          <w:sz w:val="24"/>
          <w:szCs w:val="24"/>
        </w:rPr>
        <w:t>4</w:t>
      </w:r>
      <w:r>
        <w:rPr>
          <w:rFonts w:ascii="宋体" w:hAnsi="宋体" w:eastAsia="宋体" w:cs="宋体"/>
          <w:b/>
          <w:bCs/>
          <w:spacing w:val="-2"/>
          <w:sz w:val="24"/>
          <w:szCs w:val="24"/>
        </w:rPr>
        <w:t>）大气吸收引起的衰减（</w:t>
      </w:r>
      <w:r>
        <w:rPr>
          <w:rFonts w:ascii="Times New Roman" w:hAnsi="Times New Roman" w:eastAsia="Times New Roman" w:cs="Times New Roman"/>
          <w:b/>
          <w:bCs/>
          <w:spacing w:val="-2"/>
          <w:sz w:val="24"/>
          <w:szCs w:val="24"/>
        </w:rPr>
        <w:t>A</w:t>
      </w:r>
      <w:r>
        <w:rPr>
          <w:rFonts w:ascii="Times New Roman" w:hAnsi="Times New Roman" w:eastAsia="Times New Roman" w:cs="Times New Roman"/>
          <w:b/>
          <w:bCs/>
          <w:spacing w:val="-2"/>
          <w:position w:val="-1"/>
          <w:sz w:val="15"/>
          <w:szCs w:val="15"/>
        </w:rPr>
        <w:t>atm</w:t>
      </w:r>
      <w:r>
        <w:rPr>
          <w:rFonts w:ascii="宋体" w:hAnsi="宋体" w:eastAsia="宋体" w:cs="宋体"/>
          <w:b/>
          <w:bCs/>
          <w:spacing w:val="-2"/>
          <w:sz w:val="24"/>
          <w:szCs w:val="24"/>
        </w:rPr>
        <w:t>）</w:t>
      </w:r>
    </w:p>
    <w:p w14:paraId="2E392530">
      <w:pPr>
        <w:spacing w:before="203" w:line="375" w:lineRule="auto"/>
        <w:ind w:left="588" w:right="5161" w:firstLine="10"/>
        <w:rPr>
          <w:rFonts w:ascii="Times New Roman" w:hAnsi="Times New Roman" w:eastAsia="Times New Roman" w:cs="Times New Roman"/>
          <w:sz w:val="24"/>
          <w:szCs w:val="24"/>
        </w:rPr>
      </w:pPr>
      <w:r>
        <w:rPr>
          <w:rFonts w:ascii="宋体" w:hAnsi="宋体" w:eastAsia="宋体" w:cs="宋体"/>
          <w:spacing w:val="-5"/>
          <w:sz w:val="24"/>
          <w:szCs w:val="24"/>
        </w:rPr>
        <w:t>大气吸收引起的衰减按下式计算：</w:t>
      </w:r>
      <w:r>
        <w:rPr>
          <w:rFonts w:ascii="宋体" w:hAnsi="宋体" w:eastAsia="宋体" w:cs="宋体"/>
          <w:spacing w:val="1"/>
          <w:sz w:val="24"/>
          <w:szCs w:val="24"/>
        </w:rPr>
        <w:t xml:space="preserve"> </w:t>
      </w: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atm</w:t>
      </w:r>
      <w:r>
        <w:rPr>
          <w:rFonts w:ascii="Times New Roman" w:hAnsi="Times New Roman" w:eastAsia="Times New Roman" w:cs="Times New Roman"/>
          <w:sz w:val="24"/>
          <w:szCs w:val="24"/>
        </w:rPr>
        <w:t>=α</w:t>
      </w:r>
      <w:r>
        <w:rPr>
          <w:rFonts w:ascii="宋体" w:hAnsi="宋体" w:eastAsia="宋体" w:cs="宋体"/>
          <w:sz w:val="24"/>
          <w:szCs w:val="24"/>
        </w:rPr>
        <w:t>（</w:t>
      </w:r>
      <w:r>
        <w:rPr>
          <w:rFonts w:ascii="Times New Roman" w:hAnsi="Times New Roman" w:eastAsia="Times New Roman" w:cs="Times New Roman"/>
          <w:sz w:val="24"/>
          <w:szCs w:val="24"/>
        </w:rPr>
        <w:t>r-r</w:t>
      </w:r>
      <w:r>
        <w:rPr>
          <w:rFonts w:ascii="Times New Roman" w:hAnsi="Times New Roman" w:eastAsia="Times New Roman" w:cs="Times New Roman"/>
          <w:sz w:val="15"/>
          <w:szCs w:val="15"/>
        </w:rPr>
        <w:t>0</w:t>
      </w:r>
      <w:r>
        <w:rPr>
          <w:rFonts w:ascii="宋体" w:hAnsi="宋体" w:eastAsia="宋体" w:cs="宋体"/>
          <w:sz w:val="24"/>
          <w:szCs w:val="24"/>
        </w:rPr>
        <w:t>）</w:t>
      </w:r>
      <w:r>
        <w:rPr>
          <w:rFonts w:ascii="Times New Roman" w:hAnsi="Times New Roman" w:eastAsia="Times New Roman" w:cs="Times New Roman"/>
          <w:sz w:val="24"/>
          <w:szCs w:val="24"/>
        </w:rPr>
        <w:t>/1000</w:t>
      </w:r>
    </w:p>
    <w:p w14:paraId="2ECCDA28">
      <w:pPr>
        <w:spacing w:before="5" w:line="219" w:lineRule="auto"/>
        <w:ind w:left="601"/>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1"/>
          <w:position w:val="-1"/>
          <w:sz w:val="15"/>
          <w:szCs w:val="15"/>
        </w:rPr>
        <w:t>atm</w:t>
      </w:r>
      <w:r>
        <w:rPr>
          <w:rFonts w:ascii="Times New Roman" w:hAnsi="Times New Roman" w:eastAsia="Times New Roman" w:cs="Times New Roman"/>
          <w:spacing w:val="-1"/>
          <w:sz w:val="24"/>
          <w:szCs w:val="24"/>
        </w:rPr>
        <w:t>——</w:t>
      </w:r>
      <w:r>
        <w:rPr>
          <w:rFonts w:ascii="宋体" w:hAnsi="宋体" w:eastAsia="宋体" w:cs="宋体"/>
          <w:spacing w:val="-1"/>
          <w:sz w:val="24"/>
          <w:szCs w:val="24"/>
        </w:rPr>
        <w:t>大气吸收引起的衰减，</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p>
    <w:p w14:paraId="6072A09E">
      <w:pPr>
        <w:spacing w:before="203" w:line="363" w:lineRule="auto"/>
        <w:ind w:left="116" w:right="50" w:firstLine="1200"/>
        <w:rPr>
          <w:rFonts w:ascii="宋体" w:hAnsi="宋体" w:eastAsia="宋体" w:cs="宋体"/>
          <w:sz w:val="24"/>
          <w:szCs w:val="24"/>
        </w:rPr>
      </w:pPr>
      <w:r>
        <w:rPr>
          <w:rFonts w:ascii="Times New Roman" w:hAnsi="Times New Roman" w:eastAsia="Times New Roman" w:cs="Times New Roman"/>
          <w:sz w:val="24"/>
          <w:szCs w:val="24"/>
        </w:rPr>
        <w:t>α——</w:t>
      </w:r>
      <w:r>
        <w:rPr>
          <w:rFonts w:ascii="宋体" w:hAnsi="宋体" w:eastAsia="宋体" w:cs="宋体"/>
          <w:sz w:val="24"/>
          <w:szCs w:val="24"/>
        </w:rPr>
        <w:t>与温度、湿度和声波频率有关的大气吸</w:t>
      </w:r>
      <w:r>
        <w:rPr>
          <w:rFonts w:ascii="宋体" w:hAnsi="宋体" w:eastAsia="宋体" w:cs="宋体"/>
          <w:spacing w:val="-1"/>
          <w:sz w:val="24"/>
          <w:szCs w:val="24"/>
        </w:rPr>
        <w:t>收衰减系数，预测计算中一般</w:t>
      </w:r>
      <w:r>
        <w:rPr>
          <w:rFonts w:ascii="宋体" w:hAnsi="宋体" w:eastAsia="宋体" w:cs="宋体"/>
          <w:sz w:val="24"/>
          <w:szCs w:val="24"/>
        </w:rPr>
        <w:t xml:space="preserve">  </w:t>
      </w:r>
      <w:r>
        <w:rPr>
          <w:rFonts w:ascii="宋体" w:hAnsi="宋体" w:eastAsia="宋体" w:cs="宋体"/>
          <w:spacing w:val="-2"/>
          <w:sz w:val="24"/>
          <w:szCs w:val="24"/>
        </w:rPr>
        <w:t>根据建设项目所处区域常年平均气温和湿度选择相应的</w:t>
      </w:r>
      <w:r>
        <w:rPr>
          <w:rFonts w:ascii="宋体" w:hAnsi="宋体" w:eastAsia="宋体" w:cs="宋体"/>
          <w:spacing w:val="-3"/>
          <w:sz w:val="24"/>
          <w:szCs w:val="24"/>
        </w:rPr>
        <w:t>大气吸收衰减系数（表</w:t>
      </w:r>
      <w:r>
        <w:rPr>
          <w:rFonts w:ascii="宋体" w:hAnsi="宋体" w:eastAsia="宋体" w:cs="宋体"/>
          <w:spacing w:val="-54"/>
          <w:sz w:val="24"/>
          <w:szCs w:val="24"/>
        </w:rPr>
        <w:t xml:space="preserve"> </w:t>
      </w:r>
      <w:r>
        <w:rPr>
          <w:rFonts w:ascii="Times New Roman" w:hAnsi="Times New Roman" w:eastAsia="Times New Roman" w:cs="Times New Roman"/>
          <w:spacing w:val="-3"/>
          <w:sz w:val="24"/>
          <w:szCs w:val="24"/>
        </w:rPr>
        <w:t>4.3.2-1</w:t>
      </w:r>
      <w:r>
        <w:rPr>
          <w:rFonts w:ascii="宋体" w:hAnsi="宋体" w:eastAsia="宋体" w:cs="宋体"/>
          <w:spacing w:val="-57"/>
          <w:w w:val="89"/>
          <w:sz w:val="24"/>
          <w:szCs w:val="24"/>
        </w:rPr>
        <w:t>）；</w:t>
      </w:r>
    </w:p>
    <w:p w14:paraId="4C195457">
      <w:pPr>
        <w:spacing w:before="35" w:line="220" w:lineRule="auto"/>
        <w:ind w:left="1308"/>
        <w:rPr>
          <w:rFonts w:ascii="宋体" w:hAnsi="宋体" w:eastAsia="宋体" w:cs="宋体"/>
          <w:sz w:val="24"/>
          <w:szCs w:val="24"/>
        </w:rPr>
      </w:pPr>
      <w:r>
        <w:rPr>
          <w:rFonts w:ascii="Times New Roman" w:hAnsi="Times New Roman" w:eastAsia="Times New Roman" w:cs="Times New Roman"/>
          <w:spacing w:val="-1"/>
          <w:sz w:val="24"/>
          <w:szCs w:val="24"/>
        </w:rPr>
        <w:t>r—</w:t>
      </w:r>
      <w:r>
        <w:rPr>
          <w:rFonts w:ascii="宋体" w:hAnsi="宋体" w:eastAsia="宋体" w:cs="宋体"/>
          <w:spacing w:val="-1"/>
          <w:sz w:val="24"/>
          <w:szCs w:val="24"/>
        </w:rPr>
        <w:t>预测点距声源的距离；</w:t>
      </w:r>
    </w:p>
    <w:p w14:paraId="165264DE">
      <w:pPr>
        <w:spacing w:before="204" w:line="219" w:lineRule="auto"/>
        <w:ind w:left="1308"/>
        <w:rPr>
          <w:rFonts w:ascii="宋体" w:hAnsi="宋体" w:eastAsia="宋体" w:cs="宋体"/>
          <w:sz w:val="24"/>
          <w:szCs w:val="24"/>
        </w:rPr>
      </w:pPr>
      <w:r>
        <w:rPr>
          <w:rFonts w:ascii="Times New Roman" w:hAnsi="Times New Roman" w:eastAsia="Times New Roman" w:cs="Times New Roman"/>
          <w:sz w:val="24"/>
          <w:szCs w:val="24"/>
        </w:rPr>
        <w:t>r</w:t>
      </w:r>
      <w:r>
        <w:rPr>
          <w:rFonts w:ascii="Times New Roman" w:hAnsi="Times New Roman" w:eastAsia="Times New Roman" w:cs="Times New Roman"/>
          <w:sz w:val="15"/>
          <w:szCs w:val="15"/>
        </w:rPr>
        <w:t>0</w:t>
      </w:r>
      <w:r>
        <w:rPr>
          <w:rFonts w:ascii="Times New Roman" w:hAnsi="Times New Roman" w:eastAsia="Times New Roman" w:cs="Times New Roman"/>
          <w:sz w:val="24"/>
          <w:szCs w:val="24"/>
        </w:rPr>
        <w:t>—</w:t>
      </w:r>
      <w:r>
        <w:rPr>
          <w:rFonts w:ascii="宋体" w:hAnsi="宋体" w:eastAsia="宋体" w:cs="宋体"/>
          <w:sz w:val="24"/>
          <w:szCs w:val="24"/>
        </w:rPr>
        <w:t>参考位置距声源的距离。</w:t>
      </w:r>
    </w:p>
    <w:p w14:paraId="755B44BF">
      <w:pPr>
        <w:spacing w:before="108" w:line="228" w:lineRule="auto"/>
        <w:ind w:left="2555"/>
        <w:rPr>
          <w:rFonts w:ascii="Times New Roman" w:hAnsi="Times New Roman" w:eastAsia="Times New Roman" w:cs="Times New Roman"/>
          <w:sz w:val="20"/>
          <w:szCs w:val="20"/>
        </w:rPr>
      </w:pPr>
      <w:r>
        <w:rPr>
          <w:rFonts w:ascii="宋体" w:hAnsi="宋体" w:eastAsia="宋体" w:cs="宋体"/>
          <w:b/>
          <w:bCs/>
          <w:spacing w:val="5"/>
          <w:sz w:val="20"/>
          <w:szCs w:val="20"/>
        </w:rPr>
        <w:t>表</w:t>
      </w:r>
      <w:r>
        <w:rPr>
          <w:rFonts w:ascii="宋体" w:hAnsi="宋体" w:eastAsia="宋体" w:cs="宋体"/>
          <w:spacing w:val="-24"/>
          <w:sz w:val="20"/>
          <w:szCs w:val="20"/>
        </w:rPr>
        <w:t xml:space="preserve"> </w:t>
      </w:r>
      <w:r>
        <w:rPr>
          <w:rFonts w:ascii="Times New Roman" w:hAnsi="Times New Roman" w:eastAsia="Times New Roman" w:cs="Times New Roman"/>
          <w:b/>
          <w:bCs/>
          <w:spacing w:val="5"/>
          <w:sz w:val="20"/>
          <w:szCs w:val="20"/>
        </w:rPr>
        <w:t xml:space="preserve">4.4-1        </w:t>
      </w:r>
      <w:r>
        <w:rPr>
          <w:rFonts w:ascii="宋体" w:hAnsi="宋体" w:eastAsia="宋体" w:cs="宋体"/>
          <w:b/>
          <w:bCs/>
          <w:spacing w:val="5"/>
          <w:sz w:val="20"/>
          <w:szCs w:val="20"/>
        </w:rPr>
        <w:t>倍频带噪声的大气吸收衰减系数</w:t>
      </w:r>
      <w:r>
        <w:rPr>
          <w:rFonts w:ascii="Times New Roman" w:hAnsi="Times New Roman" w:eastAsia="Times New Roman" w:cs="Times New Roman"/>
          <w:b/>
          <w:bCs/>
          <w:spacing w:val="5"/>
          <w:sz w:val="20"/>
          <w:szCs w:val="20"/>
        </w:rPr>
        <w:t>α</w:t>
      </w:r>
    </w:p>
    <w:p w14:paraId="7839774A">
      <w:pPr>
        <w:spacing w:line="133" w:lineRule="exact"/>
      </w:pPr>
    </w:p>
    <w:tbl>
      <w:tblPr>
        <w:tblStyle w:val="5"/>
        <w:tblW w:w="928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27"/>
        <w:gridCol w:w="927"/>
        <w:gridCol w:w="927"/>
        <w:gridCol w:w="927"/>
        <w:gridCol w:w="927"/>
        <w:gridCol w:w="927"/>
        <w:gridCol w:w="927"/>
        <w:gridCol w:w="927"/>
        <w:gridCol w:w="929"/>
        <w:gridCol w:w="942"/>
      </w:tblGrid>
      <w:tr w14:paraId="6A39EB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27" w:type="dxa"/>
            <w:vMerge w:val="restart"/>
            <w:tcBorders>
              <w:top w:val="single" w:color="000000" w:sz="10" w:space="0"/>
              <w:left w:val="nil"/>
              <w:bottom w:val="nil"/>
            </w:tcBorders>
            <w:vAlign w:val="top"/>
          </w:tcPr>
          <w:p w14:paraId="79881191">
            <w:pPr>
              <w:spacing w:line="325" w:lineRule="auto"/>
              <w:rPr>
                <w:rFonts w:ascii="Arial"/>
                <w:sz w:val="21"/>
              </w:rPr>
            </w:pPr>
          </w:p>
          <w:p w14:paraId="13821FB7">
            <w:pPr>
              <w:pStyle w:val="6"/>
              <w:spacing w:before="65" w:line="228" w:lineRule="auto"/>
              <w:ind w:left="126"/>
              <w:rPr>
                <w:rFonts w:ascii="Times New Roman" w:hAnsi="Times New Roman" w:eastAsia="Times New Roman" w:cs="Times New Roman"/>
                <w:sz w:val="20"/>
                <w:szCs w:val="20"/>
              </w:rPr>
            </w:pPr>
            <w:r>
              <w:rPr>
                <w:spacing w:val="5"/>
                <w:sz w:val="20"/>
                <w:szCs w:val="20"/>
              </w:rPr>
              <w:t>温度</w:t>
            </w:r>
            <w:r>
              <w:rPr>
                <w:rFonts w:ascii="Times New Roman" w:hAnsi="Times New Roman" w:eastAsia="Times New Roman" w:cs="Times New Roman"/>
                <w:spacing w:val="5"/>
                <w:sz w:val="20"/>
                <w:szCs w:val="20"/>
              </w:rPr>
              <w:t>/℃</w:t>
            </w:r>
          </w:p>
        </w:tc>
        <w:tc>
          <w:tcPr>
            <w:tcW w:w="927" w:type="dxa"/>
            <w:vMerge w:val="restart"/>
            <w:tcBorders>
              <w:top w:val="single" w:color="000000" w:sz="10" w:space="0"/>
              <w:bottom w:val="nil"/>
            </w:tcBorders>
            <w:vAlign w:val="top"/>
          </w:tcPr>
          <w:p w14:paraId="34115A4A">
            <w:pPr>
              <w:pStyle w:val="6"/>
              <w:spacing w:before="258" w:line="239" w:lineRule="auto"/>
              <w:ind w:left="244" w:right="148" w:hanging="92"/>
              <w:rPr>
                <w:rFonts w:ascii="Times New Roman" w:hAnsi="Times New Roman" w:eastAsia="Times New Roman" w:cs="Times New Roman"/>
                <w:sz w:val="20"/>
                <w:szCs w:val="20"/>
              </w:rPr>
            </w:pPr>
            <w:r>
              <w:rPr>
                <w:spacing w:val="6"/>
                <w:sz w:val="20"/>
                <w:szCs w:val="20"/>
              </w:rPr>
              <w:t>相对湿</w:t>
            </w:r>
            <w:r>
              <w:rPr>
                <w:spacing w:val="1"/>
                <w:sz w:val="20"/>
                <w:szCs w:val="20"/>
              </w:rPr>
              <w:t xml:space="preserve"> </w:t>
            </w:r>
            <w:r>
              <w:rPr>
                <w:spacing w:val="4"/>
                <w:sz w:val="20"/>
                <w:szCs w:val="20"/>
              </w:rPr>
              <w:t>度</w:t>
            </w:r>
            <w:r>
              <w:rPr>
                <w:rFonts w:ascii="Times New Roman" w:hAnsi="Times New Roman" w:eastAsia="Times New Roman" w:cs="Times New Roman"/>
                <w:spacing w:val="4"/>
                <w:sz w:val="20"/>
                <w:szCs w:val="20"/>
              </w:rPr>
              <w:t>/%</w:t>
            </w:r>
          </w:p>
        </w:tc>
        <w:tc>
          <w:tcPr>
            <w:tcW w:w="7433" w:type="dxa"/>
            <w:gridSpan w:val="8"/>
            <w:tcBorders>
              <w:top w:val="single" w:color="000000" w:sz="10" w:space="0"/>
              <w:right w:val="nil"/>
            </w:tcBorders>
            <w:vAlign w:val="top"/>
          </w:tcPr>
          <w:p w14:paraId="06B734D6">
            <w:pPr>
              <w:pStyle w:val="6"/>
              <w:spacing w:before="53" w:line="228" w:lineRule="auto"/>
              <w:ind w:left="2305"/>
              <w:rPr>
                <w:sz w:val="20"/>
                <w:szCs w:val="20"/>
              </w:rPr>
            </w:pPr>
            <w:r>
              <w:rPr>
                <w:spacing w:val="8"/>
                <w:sz w:val="20"/>
                <w:szCs w:val="20"/>
              </w:rPr>
              <w:t>大气吸收衰减系数</w:t>
            </w:r>
            <w:r>
              <w:rPr>
                <w:rFonts w:ascii="Times New Roman" w:hAnsi="Times New Roman" w:eastAsia="Times New Roman" w:cs="Times New Roman"/>
                <w:spacing w:val="8"/>
                <w:sz w:val="20"/>
                <w:szCs w:val="20"/>
              </w:rPr>
              <w:t>α/</w:t>
            </w:r>
            <w:r>
              <w:rPr>
                <w:spacing w:val="8"/>
                <w:sz w:val="20"/>
                <w:szCs w:val="20"/>
              </w:rPr>
              <w:t>（</w:t>
            </w:r>
            <w:r>
              <w:rPr>
                <w:rFonts w:ascii="Times New Roman" w:hAnsi="Times New Roman" w:eastAsia="Times New Roman" w:cs="Times New Roman"/>
                <w:sz w:val="20"/>
                <w:szCs w:val="20"/>
              </w:rPr>
              <w:t>dB</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km</w:t>
            </w:r>
            <w:r>
              <w:rPr>
                <w:spacing w:val="8"/>
                <w:sz w:val="20"/>
                <w:szCs w:val="20"/>
              </w:rPr>
              <w:t>）</w:t>
            </w:r>
          </w:p>
        </w:tc>
      </w:tr>
      <w:tr w14:paraId="48196C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927" w:type="dxa"/>
            <w:vMerge w:val="continue"/>
            <w:tcBorders>
              <w:top w:val="nil"/>
              <w:left w:val="nil"/>
              <w:bottom w:val="nil"/>
            </w:tcBorders>
            <w:vAlign w:val="top"/>
          </w:tcPr>
          <w:p w14:paraId="5D278C65">
            <w:pPr>
              <w:rPr>
                <w:rFonts w:ascii="Arial"/>
                <w:sz w:val="21"/>
              </w:rPr>
            </w:pPr>
          </w:p>
        </w:tc>
        <w:tc>
          <w:tcPr>
            <w:tcW w:w="927" w:type="dxa"/>
            <w:vMerge w:val="continue"/>
            <w:tcBorders>
              <w:top w:val="nil"/>
              <w:bottom w:val="nil"/>
            </w:tcBorders>
            <w:vAlign w:val="top"/>
          </w:tcPr>
          <w:p w14:paraId="2283AF6F">
            <w:pPr>
              <w:rPr>
                <w:rFonts w:ascii="Arial"/>
                <w:sz w:val="21"/>
              </w:rPr>
            </w:pPr>
          </w:p>
        </w:tc>
        <w:tc>
          <w:tcPr>
            <w:tcW w:w="7433" w:type="dxa"/>
            <w:gridSpan w:val="8"/>
            <w:tcBorders>
              <w:right w:val="nil"/>
            </w:tcBorders>
            <w:vAlign w:val="top"/>
          </w:tcPr>
          <w:p w14:paraId="3B582E53">
            <w:pPr>
              <w:pStyle w:val="6"/>
              <w:spacing w:before="60" w:line="228" w:lineRule="auto"/>
              <w:ind w:left="2835"/>
              <w:rPr>
                <w:rFonts w:ascii="Times New Roman" w:hAnsi="Times New Roman" w:eastAsia="Times New Roman" w:cs="Times New Roman"/>
                <w:sz w:val="20"/>
                <w:szCs w:val="20"/>
              </w:rPr>
            </w:pPr>
            <w:r>
              <w:rPr>
                <w:spacing w:val="9"/>
                <w:sz w:val="20"/>
                <w:szCs w:val="20"/>
              </w:rPr>
              <w:t>倍频带中心频率</w:t>
            </w:r>
            <w:r>
              <w:rPr>
                <w:rFonts w:ascii="Times New Roman" w:hAnsi="Times New Roman" w:eastAsia="Times New Roman" w:cs="Times New Roman"/>
                <w:spacing w:val="9"/>
                <w:sz w:val="20"/>
                <w:szCs w:val="20"/>
              </w:rPr>
              <w:t>/</w:t>
            </w:r>
            <w:r>
              <w:rPr>
                <w:rFonts w:ascii="Times New Roman" w:hAnsi="Times New Roman" w:eastAsia="Times New Roman" w:cs="Times New Roman"/>
                <w:sz w:val="20"/>
                <w:szCs w:val="20"/>
              </w:rPr>
              <w:t>Hz</w:t>
            </w:r>
          </w:p>
        </w:tc>
      </w:tr>
      <w:tr w14:paraId="32EAB1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927" w:type="dxa"/>
            <w:vMerge w:val="continue"/>
            <w:tcBorders>
              <w:top w:val="nil"/>
              <w:left w:val="nil"/>
            </w:tcBorders>
            <w:vAlign w:val="top"/>
          </w:tcPr>
          <w:p w14:paraId="0771A999">
            <w:pPr>
              <w:rPr>
                <w:rFonts w:ascii="Arial"/>
                <w:sz w:val="21"/>
              </w:rPr>
            </w:pPr>
          </w:p>
        </w:tc>
        <w:tc>
          <w:tcPr>
            <w:tcW w:w="927" w:type="dxa"/>
            <w:vMerge w:val="continue"/>
            <w:tcBorders>
              <w:top w:val="nil"/>
            </w:tcBorders>
            <w:vAlign w:val="top"/>
          </w:tcPr>
          <w:p w14:paraId="0090EE14">
            <w:pPr>
              <w:rPr>
                <w:rFonts w:ascii="Arial"/>
                <w:sz w:val="21"/>
              </w:rPr>
            </w:pPr>
          </w:p>
        </w:tc>
        <w:tc>
          <w:tcPr>
            <w:tcW w:w="927" w:type="dxa"/>
            <w:vAlign w:val="top"/>
          </w:tcPr>
          <w:p w14:paraId="26AD5D7B">
            <w:pPr>
              <w:spacing w:before="100" w:line="195" w:lineRule="auto"/>
              <w:ind w:left="364"/>
              <w:rPr>
                <w:rFonts w:ascii="Times New Roman" w:hAnsi="Times New Roman" w:eastAsia="Times New Roman" w:cs="Times New Roman"/>
                <w:sz w:val="20"/>
                <w:szCs w:val="20"/>
              </w:rPr>
            </w:pPr>
            <w:r>
              <w:rPr>
                <w:rFonts w:ascii="Times New Roman" w:hAnsi="Times New Roman" w:eastAsia="Times New Roman" w:cs="Times New Roman"/>
                <w:sz w:val="20"/>
                <w:szCs w:val="20"/>
              </w:rPr>
              <w:t>63</w:t>
            </w:r>
          </w:p>
        </w:tc>
        <w:tc>
          <w:tcPr>
            <w:tcW w:w="927" w:type="dxa"/>
            <w:vAlign w:val="top"/>
          </w:tcPr>
          <w:p w14:paraId="15B2CDF5">
            <w:pPr>
              <w:spacing w:before="100" w:line="195" w:lineRule="auto"/>
              <w:ind w:left="3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125</w:t>
            </w:r>
          </w:p>
        </w:tc>
        <w:tc>
          <w:tcPr>
            <w:tcW w:w="927" w:type="dxa"/>
            <w:vAlign w:val="top"/>
          </w:tcPr>
          <w:p w14:paraId="796B4E10">
            <w:pPr>
              <w:spacing w:before="100" w:line="195" w:lineRule="auto"/>
              <w:ind w:left="30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c>
          <w:tcPr>
            <w:tcW w:w="927" w:type="dxa"/>
            <w:vAlign w:val="top"/>
          </w:tcPr>
          <w:p w14:paraId="7D8843BA">
            <w:pPr>
              <w:spacing w:before="100" w:line="195" w:lineRule="auto"/>
              <w:ind w:left="31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500</w:t>
            </w:r>
          </w:p>
        </w:tc>
        <w:tc>
          <w:tcPr>
            <w:tcW w:w="927" w:type="dxa"/>
            <w:vAlign w:val="top"/>
          </w:tcPr>
          <w:p w14:paraId="5F8383DF">
            <w:pPr>
              <w:spacing w:before="100" w:line="195" w:lineRule="auto"/>
              <w:ind w:left="27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1000</w:t>
            </w:r>
          </w:p>
        </w:tc>
        <w:tc>
          <w:tcPr>
            <w:tcW w:w="927" w:type="dxa"/>
            <w:vAlign w:val="top"/>
          </w:tcPr>
          <w:p w14:paraId="7F7D52D3">
            <w:pPr>
              <w:spacing w:before="100"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2000</w:t>
            </w:r>
          </w:p>
        </w:tc>
        <w:tc>
          <w:tcPr>
            <w:tcW w:w="929" w:type="dxa"/>
            <w:vAlign w:val="top"/>
          </w:tcPr>
          <w:p w14:paraId="1886EF9F">
            <w:pPr>
              <w:spacing w:before="100" w:line="195" w:lineRule="auto"/>
              <w:ind w:left="25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4000</w:t>
            </w:r>
          </w:p>
        </w:tc>
        <w:tc>
          <w:tcPr>
            <w:tcW w:w="942" w:type="dxa"/>
            <w:tcBorders>
              <w:right w:val="nil"/>
            </w:tcBorders>
            <w:vAlign w:val="top"/>
          </w:tcPr>
          <w:p w14:paraId="34006FFF">
            <w:pPr>
              <w:spacing w:before="100" w:line="195" w:lineRule="auto"/>
              <w:ind w:left="2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r>
      <w:tr w14:paraId="4D9ACD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927" w:type="dxa"/>
            <w:tcBorders>
              <w:left w:val="nil"/>
            </w:tcBorders>
            <w:vAlign w:val="top"/>
          </w:tcPr>
          <w:p w14:paraId="4D9CFDFC">
            <w:pPr>
              <w:spacing w:before="104" w:line="195" w:lineRule="auto"/>
              <w:ind w:left="38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927" w:type="dxa"/>
            <w:vAlign w:val="top"/>
          </w:tcPr>
          <w:p w14:paraId="2911A89E">
            <w:pPr>
              <w:spacing w:before="104" w:line="195"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927" w:type="dxa"/>
            <w:vAlign w:val="top"/>
          </w:tcPr>
          <w:p w14:paraId="28DA510E">
            <w:pPr>
              <w:spacing w:before="104" w:line="195" w:lineRule="auto"/>
              <w:ind w:left="336"/>
              <w:rPr>
                <w:rFonts w:ascii="Times New Roman" w:hAnsi="Times New Roman" w:eastAsia="Times New Roman" w:cs="Times New Roman"/>
                <w:sz w:val="20"/>
                <w:szCs w:val="20"/>
              </w:rPr>
            </w:pPr>
            <w:r>
              <w:rPr>
                <w:rFonts w:ascii="Times New Roman" w:hAnsi="Times New Roman" w:eastAsia="Times New Roman" w:cs="Times New Roman"/>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c>
          <w:tcPr>
            <w:tcW w:w="927" w:type="dxa"/>
            <w:vAlign w:val="top"/>
          </w:tcPr>
          <w:p w14:paraId="3DEB1337">
            <w:pPr>
              <w:spacing w:before="104"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0.4</w:t>
            </w:r>
          </w:p>
        </w:tc>
        <w:tc>
          <w:tcPr>
            <w:tcW w:w="927" w:type="dxa"/>
            <w:vAlign w:val="top"/>
          </w:tcPr>
          <w:p w14:paraId="38F1C829">
            <w:pPr>
              <w:spacing w:before="104" w:line="195" w:lineRule="auto"/>
              <w:ind w:left="35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c>
          <w:tcPr>
            <w:tcW w:w="927" w:type="dxa"/>
            <w:vAlign w:val="top"/>
          </w:tcPr>
          <w:p w14:paraId="2C093F54">
            <w:pPr>
              <w:spacing w:before="104" w:line="195" w:lineRule="auto"/>
              <w:ind w:left="353"/>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1.9</w:t>
            </w:r>
          </w:p>
        </w:tc>
        <w:tc>
          <w:tcPr>
            <w:tcW w:w="927" w:type="dxa"/>
            <w:vAlign w:val="top"/>
          </w:tcPr>
          <w:p w14:paraId="5CA8FF6B">
            <w:pPr>
              <w:spacing w:before="104" w:line="195" w:lineRule="auto"/>
              <w:ind w:left="33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3.7</w:t>
            </w:r>
          </w:p>
        </w:tc>
        <w:tc>
          <w:tcPr>
            <w:tcW w:w="927" w:type="dxa"/>
            <w:vAlign w:val="top"/>
          </w:tcPr>
          <w:p w14:paraId="31FCFF42">
            <w:pPr>
              <w:spacing w:before="104"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9.7</w:t>
            </w:r>
          </w:p>
        </w:tc>
        <w:tc>
          <w:tcPr>
            <w:tcW w:w="929" w:type="dxa"/>
            <w:vAlign w:val="top"/>
          </w:tcPr>
          <w:p w14:paraId="1174AFC6">
            <w:pPr>
              <w:spacing w:before="104" w:line="195" w:lineRule="auto"/>
              <w:ind w:left="28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32.8</w:t>
            </w:r>
          </w:p>
        </w:tc>
        <w:tc>
          <w:tcPr>
            <w:tcW w:w="942" w:type="dxa"/>
            <w:tcBorders>
              <w:right w:val="nil"/>
            </w:tcBorders>
            <w:vAlign w:val="top"/>
          </w:tcPr>
          <w:p w14:paraId="22B34EFA">
            <w:pPr>
              <w:spacing w:before="104"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117.0</w:t>
            </w:r>
          </w:p>
        </w:tc>
      </w:tr>
      <w:tr w14:paraId="7D0FAE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927" w:type="dxa"/>
            <w:tcBorders>
              <w:left w:val="nil"/>
            </w:tcBorders>
            <w:vAlign w:val="top"/>
          </w:tcPr>
          <w:p w14:paraId="3A47213F">
            <w:pPr>
              <w:spacing w:before="107" w:line="195"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927" w:type="dxa"/>
            <w:vAlign w:val="top"/>
          </w:tcPr>
          <w:p w14:paraId="577BBFC8">
            <w:pPr>
              <w:spacing w:before="107" w:line="195"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927" w:type="dxa"/>
            <w:vAlign w:val="top"/>
          </w:tcPr>
          <w:p w14:paraId="443882A6">
            <w:pPr>
              <w:spacing w:before="107" w:line="195" w:lineRule="auto"/>
              <w:ind w:left="336"/>
              <w:rPr>
                <w:rFonts w:ascii="Times New Roman" w:hAnsi="Times New Roman" w:eastAsia="Times New Roman" w:cs="Times New Roman"/>
                <w:sz w:val="20"/>
                <w:szCs w:val="20"/>
              </w:rPr>
            </w:pPr>
            <w:r>
              <w:rPr>
                <w:rFonts w:ascii="Times New Roman" w:hAnsi="Times New Roman" w:eastAsia="Times New Roman" w:cs="Times New Roman"/>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c>
          <w:tcPr>
            <w:tcW w:w="927" w:type="dxa"/>
            <w:vAlign w:val="top"/>
          </w:tcPr>
          <w:p w14:paraId="653E29CD">
            <w:pPr>
              <w:spacing w:before="107"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0.3</w:t>
            </w:r>
          </w:p>
        </w:tc>
        <w:tc>
          <w:tcPr>
            <w:tcW w:w="927" w:type="dxa"/>
            <w:vAlign w:val="top"/>
          </w:tcPr>
          <w:p w14:paraId="06AF4EA1">
            <w:pPr>
              <w:spacing w:before="107" w:line="195" w:lineRule="auto"/>
              <w:ind w:left="354"/>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6"/>
                <w:sz w:val="20"/>
                <w:szCs w:val="20"/>
              </w:rPr>
              <w:t>1</w:t>
            </w:r>
          </w:p>
        </w:tc>
        <w:tc>
          <w:tcPr>
            <w:tcW w:w="927" w:type="dxa"/>
            <w:vAlign w:val="top"/>
          </w:tcPr>
          <w:p w14:paraId="015EA230">
            <w:pPr>
              <w:spacing w:before="107" w:line="195" w:lineRule="auto"/>
              <w:ind w:left="3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2.8</w:t>
            </w:r>
          </w:p>
        </w:tc>
        <w:tc>
          <w:tcPr>
            <w:tcW w:w="927" w:type="dxa"/>
            <w:vAlign w:val="top"/>
          </w:tcPr>
          <w:p w14:paraId="07E650D5">
            <w:pPr>
              <w:spacing w:before="107" w:line="195" w:lineRule="auto"/>
              <w:ind w:left="338"/>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927" w:type="dxa"/>
            <w:vAlign w:val="top"/>
          </w:tcPr>
          <w:p w14:paraId="1C003EF4">
            <w:pPr>
              <w:spacing w:before="107"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9.0</w:t>
            </w:r>
          </w:p>
        </w:tc>
        <w:tc>
          <w:tcPr>
            <w:tcW w:w="929" w:type="dxa"/>
            <w:vAlign w:val="top"/>
          </w:tcPr>
          <w:p w14:paraId="4B342FA5">
            <w:pPr>
              <w:spacing w:before="107" w:line="195" w:lineRule="auto"/>
              <w:ind w:left="2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22.9</w:t>
            </w:r>
          </w:p>
        </w:tc>
        <w:tc>
          <w:tcPr>
            <w:tcW w:w="942" w:type="dxa"/>
            <w:tcBorders>
              <w:right w:val="nil"/>
            </w:tcBorders>
            <w:vAlign w:val="top"/>
          </w:tcPr>
          <w:p w14:paraId="4ED40054">
            <w:pPr>
              <w:spacing w:before="107"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76.6</w:t>
            </w:r>
          </w:p>
        </w:tc>
      </w:tr>
      <w:tr w14:paraId="7FCE46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927" w:type="dxa"/>
            <w:tcBorders>
              <w:left w:val="nil"/>
            </w:tcBorders>
            <w:vAlign w:val="top"/>
          </w:tcPr>
          <w:p w14:paraId="53D062A8">
            <w:pPr>
              <w:spacing w:before="109" w:line="195" w:lineRule="auto"/>
              <w:ind w:left="367"/>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927" w:type="dxa"/>
            <w:vAlign w:val="top"/>
          </w:tcPr>
          <w:p w14:paraId="3702788E">
            <w:pPr>
              <w:spacing w:before="109" w:line="195" w:lineRule="auto"/>
              <w:ind w:left="3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927" w:type="dxa"/>
            <w:vAlign w:val="top"/>
          </w:tcPr>
          <w:p w14:paraId="4F7F72BE">
            <w:pPr>
              <w:spacing w:before="109" w:line="195" w:lineRule="auto"/>
              <w:ind w:left="336"/>
              <w:rPr>
                <w:rFonts w:ascii="Times New Roman" w:hAnsi="Times New Roman" w:eastAsia="Times New Roman" w:cs="Times New Roman"/>
                <w:sz w:val="20"/>
                <w:szCs w:val="20"/>
              </w:rPr>
            </w:pPr>
            <w:r>
              <w:rPr>
                <w:rFonts w:ascii="Times New Roman" w:hAnsi="Times New Roman" w:eastAsia="Times New Roman" w:cs="Times New Roman"/>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c>
          <w:tcPr>
            <w:tcW w:w="927" w:type="dxa"/>
            <w:vAlign w:val="top"/>
          </w:tcPr>
          <w:p w14:paraId="106BC05D">
            <w:pPr>
              <w:spacing w:before="109"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0.3</w:t>
            </w:r>
          </w:p>
        </w:tc>
        <w:tc>
          <w:tcPr>
            <w:tcW w:w="927" w:type="dxa"/>
            <w:vAlign w:val="top"/>
          </w:tcPr>
          <w:p w14:paraId="746789AD">
            <w:pPr>
              <w:spacing w:before="109" w:line="195" w:lineRule="auto"/>
              <w:ind w:left="35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c>
          <w:tcPr>
            <w:tcW w:w="927" w:type="dxa"/>
            <w:vAlign w:val="top"/>
          </w:tcPr>
          <w:p w14:paraId="78003083">
            <w:pPr>
              <w:spacing w:before="109" w:line="195" w:lineRule="auto"/>
              <w:ind w:left="33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927" w:type="dxa"/>
            <w:vAlign w:val="top"/>
          </w:tcPr>
          <w:p w14:paraId="7AC6BE5F">
            <w:pPr>
              <w:spacing w:before="109"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7.4</w:t>
            </w:r>
          </w:p>
        </w:tc>
        <w:tc>
          <w:tcPr>
            <w:tcW w:w="927" w:type="dxa"/>
            <w:vAlign w:val="top"/>
          </w:tcPr>
          <w:p w14:paraId="1E30DC9D">
            <w:pPr>
              <w:spacing w:before="109"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12.7</w:t>
            </w:r>
          </w:p>
        </w:tc>
        <w:tc>
          <w:tcPr>
            <w:tcW w:w="929" w:type="dxa"/>
            <w:vAlign w:val="top"/>
          </w:tcPr>
          <w:p w14:paraId="6A7C00FC">
            <w:pPr>
              <w:spacing w:before="109" w:line="195" w:lineRule="auto"/>
              <w:ind w:left="28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2"/>
                <w:sz w:val="20"/>
                <w:szCs w:val="20"/>
              </w:rPr>
              <w:t>1</w:t>
            </w:r>
          </w:p>
        </w:tc>
        <w:tc>
          <w:tcPr>
            <w:tcW w:w="942" w:type="dxa"/>
            <w:tcBorders>
              <w:right w:val="nil"/>
            </w:tcBorders>
            <w:vAlign w:val="top"/>
          </w:tcPr>
          <w:p w14:paraId="422C48C5">
            <w:pPr>
              <w:spacing w:before="109" w:line="195" w:lineRule="auto"/>
              <w:ind w:left="2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59.3</w:t>
            </w:r>
          </w:p>
        </w:tc>
      </w:tr>
      <w:tr w14:paraId="34BDB8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927" w:type="dxa"/>
            <w:tcBorders>
              <w:left w:val="nil"/>
            </w:tcBorders>
            <w:vAlign w:val="top"/>
          </w:tcPr>
          <w:p w14:paraId="05C7C67A">
            <w:pPr>
              <w:spacing w:before="113" w:line="195" w:lineRule="auto"/>
              <w:ind w:left="38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927" w:type="dxa"/>
            <w:vAlign w:val="top"/>
          </w:tcPr>
          <w:p w14:paraId="771435C0">
            <w:pPr>
              <w:spacing w:before="113" w:line="195" w:lineRule="auto"/>
              <w:ind w:left="3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927" w:type="dxa"/>
            <w:vAlign w:val="top"/>
          </w:tcPr>
          <w:p w14:paraId="1A4FC62A">
            <w:pPr>
              <w:spacing w:before="113"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0.3</w:t>
            </w:r>
          </w:p>
        </w:tc>
        <w:tc>
          <w:tcPr>
            <w:tcW w:w="927" w:type="dxa"/>
            <w:vAlign w:val="top"/>
          </w:tcPr>
          <w:p w14:paraId="27F176DA">
            <w:pPr>
              <w:spacing w:before="113"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0.6</w:t>
            </w:r>
          </w:p>
        </w:tc>
        <w:tc>
          <w:tcPr>
            <w:tcW w:w="927" w:type="dxa"/>
            <w:vAlign w:val="top"/>
          </w:tcPr>
          <w:p w14:paraId="7F39E62B">
            <w:pPr>
              <w:spacing w:before="113" w:line="195" w:lineRule="auto"/>
              <w:ind w:left="35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c>
          <w:tcPr>
            <w:tcW w:w="927" w:type="dxa"/>
            <w:vAlign w:val="top"/>
          </w:tcPr>
          <w:p w14:paraId="64426837">
            <w:pPr>
              <w:spacing w:before="113" w:line="195" w:lineRule="auto"/>
              <w:ind w:left="3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2.7</w:t>
            </w:r>
          </w:p>
        </w:tc>
        <w:tc>
          <w:tcPr>
            <w:tcW w:w="927" w:type="dxa"/>
            <w:vAlign w:val="top"/>
          </w:tcPr>
          <w:p w14:paraId="1BC77D9B">
            <w:pPr>
              <w:spacing w:before="113" w:line="195" w:lineRule="auto"/>
              <w:ind w:left="341"/>
              <w:rPr>
                <w:rFonts w:ascii="Times New Roman" w:hAnsi="Times New Roman" w:eastAsia="Times New Roman" w:cs="Times New Roman"/>
                <w:sz w:val="20"/>
                <w:szCs w:val="20"/>
              </w:rPr>
            </w:pPr>
            <w:r>
              <w:rPr>
                <w:rFonts w:ascii="Times New Roman" w:hAnsi="Times New Roman" w:eastAsia="Times New Roman" w:cs="Times New Roman"/>
                <w:sz w:val="20"/>
                <w:szCs w:val="20"/>
              </w:rPr>
              <w:t>8.2</w:t>
            </w:r>
          </w:p>
        </w:tc>
        <w:tc>
          <w:tcPr>
            <w:tcW w:w="927" w:type="dxa"/>
            <w:vAlign w:val="top"/>
          </w:tcPr>
          <w:p w14:paraId="553A0151">
            <w:pPr>
              <w:spacing w:before="113" w:line="195" w:lineRule="auto"/>
              <w:ind w:left="2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28.2</w:t>
            </w:r>
          </w:p>
        </w:tc>
        <w:tc>
          <w:tcPr>
            <w:tcW w:w="929" w:type="dxa"/>
            <w:vAlign w:val="top"/>
          </w:tcPr>
          <w:p w14:paraId="27283C66">
            <w:pPr>
              <w:spacing w:before="113" w:line="195" w:lineRule="auto"/>
              <w:ind w:left="2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28.8</w:t>
            </w:r>
          </w:p>
        </w:tc>
        <w:tc>
          <w:tcPr>
            <w:tcW w:w="942" w:type="dxa"/>
            <w:tcBorders>
              <w:right w:val="nil"/>
            </w:tcBorders>
            <w:vAlign w:val="top"/>
          </w:tcPr>
          <w:p w14:paraId="4D18BB2E">
            <w:pPr>
              <w:spacing w:before="113" w:line="195" w:lineRule="auto"/>
              <w:ind w:left="2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202.0</w:t>
            </w:r>
          </w:p>
        </w:tc>
      </w:tr>
      <w:tr w14:paraId="7F026A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927" w:type="dxa"/>
            <w:tcBorders>
              <w:left w:val="nil"/>
            </w:tcBorders>
            <w:vAlign w:val="top"/>
          </w:tcPr>
          <w:p w14:paraId="23874BA6">
            <w:pPr>
              <w:spacing w:before="116" w:line="195" w:lineRule="auto"/>
              <w:ind w:left="38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927" w:type="dxa"/>
            <w:vAlign w:val="top"/>
          </w:tcPr>
          <w:p w14:paraId="364C9C62">
            <w:pPr>
              <w:spacing w:before="116" w:line="195" w:lineRule="auto"/>
              <w:ind w:left="365"/>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927" w:type="dxa"/>
            <w:vAlign w:val="top"/>
          </w:tcPr>
          <w:p w14:paraId="47F15C42">
            <w:pPr>
              <w:spacing w:before="116" w:line="195" w:lineRule="auto"/>
              <w:ind w:left="336"/>
              <w:rPr>
                <w:rFonts w:ascii="Times New Roman" w:hAnsi="Times New Roman" w:eastAsia="Times New Roman" w:cs="Times New Roman"/>
                <w:sz w:val="20"/>
                <w:szCs w:val="20"/>
              </w:rPr>
            </w:pPr>
            <w:r>
              <w:rPr>
                <w:rFonts w:ascii="Times New Roman" w:hAnsi="Times New Roman" w:eastAsia="Times New Roman" w:cs="Times New Roman"/>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c>
          <w:tcPr>
            <w:tcW w:w="927" w:type="dxa"/>
            <w:vAlign w:val="top"/>
          </w:tcPr>
          <w:p w14:paraId="3C15530C">
            <w:pPr>
              <w:spacing w:before="116"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927" w:type="dxa"/>
            <w:vAlign w:val="top"/>
          </w:tcPr>
          <w:p w14:paraId="406B3F1C">
            <w:pPr>
              <w:spacing w:before="116" w:line="195" w:lineRule="auto"/>
              <w:ind w:left="35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c>
          <w:tcPr>
            <w:tcW w:w="927" w:type="dxa"/>
            <w:vAlign w:val="top"/>
          </w:tcPr>
          <w:p w14:paraId="57ADD042">
            <w:pPr>
              <w:spacing w:before="116" w:line="195" w:lineRule="auto"/>
              <w:ind w:left="3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927" w:type="dxa"/>
            <w:vAlign w:val="top"/>
          </w:tcPr>
          <w:p w14:paraId="6A39EE04">
            <w:pPr>
              <w:spacing w:before="116" w:line="195" w:lineRule="auto"/>
              <w:ind w:left="33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w:t>
            </w:r>
          </w:p>
        </w:tc>
        <w:tc>
          <w:tcPr>
            <w:tcW w:w="927" w:type="dxa"/>
            <w:vAlign w:val="top"/>
          </w:tcPr>
          <w:p w14:paraId="4F85EC54">
            <w:pPr>
              <w:spacing w:before="116"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10.8</w:t>
            </w:r>
          </w:p>
        </w:tc>
        <w:tc>
          <w:tcPr>
            <w:tcW w:w="929" w:type="dxa"/>
            <w:vAlign w:val="top"/>
          </w:tcPr>
          <w:p w14:paraId="4261D95F">
            <w:pPr>
              <w:spacing w:before="116" w:line="195" w:lineRule="auto"/>
              <w:ind w:left="28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36.2</w:t>
            </w:r>
          </w:p>
        </w:tc>
        <w:tc>
          <w:tcPr>
            <w:tcW w:w="942" w:type="dxa"/>
            <w:tcBorders>
              <w:right w:val="nil"/>
            </w:tcBorders>
            <w:vAlign w:val="top"/>
          </w:tcPr>
          <w:p w14:paraId="31C6447B">
            <w:pPr>
              <w:spacing w:before="116" w:line="195" w:lineRule="auto"/>
              <w:ind w:left="25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129.0</w:t>
            </w:r>
          </w:p>
        </w:tc>
      </w:tr>
      <w:tr w14:paraId="5941BE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 w:hRule="atLeast"/>
        </w:trPr>
        <w:tc>
          <w:tcPr>
            <w:tcW w:w="927" w:type="dxa"/>
            <w:tcBorders>
              <w:left w:val="nil"/>
              <w:bottom w:val="single" w:color="000000" w:sz="10" w:space="0"/>
            </w:tcBorders>
            <w:vAlign w:val="top"/>
          </w:tcPr>
          <w:p w14:paraId="00E389B2">
            <w:pPr>
              <w:spacing w:before="117" w:line="195" w:lineRule="auto"/>
              <w:ind w:left="38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927" w:type="dxa"/>
            <w:tcBorders>
              <w:bottom w:val="single" w:color="000000" w:sz="10" w:space="0"/>
            </w:tcBorders>
            <w:vAlign w:val="top"/>
          </w:tcPr>
          <w:p w14:paraId="0A742EB6">
            <w:pPr>
              <w:spacing w:before="117" w:line="195" w:lineRule="auto"/>
              <w:ind w:left="36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w:t>
            </w:r>
          </w:p>
        </w:tc>
        <w:tc>
          <w:tcPr>
            <w:tcW w:w="927" w:type="dxa"/>
            <w:tcBorders>
              <w:bottom w:val="single" w:color="000000" w:sz="10" w:space="0"/>
            </w:tcBorders>
            <w:vAlign w:val="top"/>
          </w:tcPr>
          <w:p w14:paraId="6DA6BD77">
            <w:pPr>
              <w:spacing w:before="117" w:line="195" w:lineRule="auto"/>
              <w:ind w:left="336"/>
              <w:rPr>
                <w:rFonts w:ascii="Times New Roman" w:hAnsi="Times New Roman" w:eastAsia="Times New Roman" w:cs="Times New Roman"/>
                <w:sz w:val="20"/>
                <w:szCs w:val="20"/>
              </w:rPr>
            </w:pPr>
            <w:r>
              <w:rPr>
                <w:rFonts w:ascii="Times New Roman" w:hAnsi="Times New Roman" w:eastAsia="Times New Roman" w:cs="Times New Roman"/>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c>
          <w:tcPr>
            <w:tcW w:w="927" w:type="dxa"/>
            <w:tcBorders>
              <w:bottom w:val="single" w:color="000000" w:sz="10" w:space="0"/>
            </w:tcBorders>
            <w:vAlign w:val="top"/>
          </w:tcPr>
          <w:p w14:paraId="326C1540">
            <w:pPr>
              <w:spacing w:before="117"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0.3</w:t>
            </w:r>
          </w:p>
        </w:tc>
        <w:tc>
          <w:tcPr>
            <w:tcW w:w="927" w:type="dxa"/>
            <w:tcBorders>
              <w:bottom w:val="single" w:color="000000" w:sz="10" w:space="0"/>
            </w:tcBorders>
            <w:vAlign w:val="top"/>
          </w:tcPr>
          <w:p w14:paraId="76D4EEA2">
            <w:pPr>
              <w:spacing w:before="117" w:line="195" w:lineRule="auto"/>
              <w:ind w:left="354"/>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6"/>
                <w:sz w:val="20"/>
                <w:szCs w:val="20"/>
              </w:rPr>
              <w:t>1</w:t>
            </w:r>
          </w:p>
        </w:tc>
        <w:tc>
          <w:tcPr>
            <w:tcW w:w="927" w:type="dxa"/>
            <w:tcBorders>
              <w:bottom w:val="single" w:color="000000" w:sz="10" w:space="0"/>
            </w:tcBorders>
            <w:vAlign w:val="top"/>
          </w:tcPr>
          <w:p w14:paraId="152B5A98">
            <w:pPr>
              <w:spacing w:before="117" w:line="195" w:lineRule="auto"/>
              <w:ind w:left="3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927" w:type="dxa"/>
            <w:tcBorders>
              <w:bottom w:val="single" w:color="000000" w:sz="10" w:space="0"/>
            </w:tcBorders>
            <w:vAlign w:val="top"/>
          </w:tcPr>
          <w:p w14:paraId="582341F0">
            <w:pPr>
              <w:spacing w:before="117" w:line="195" w:lineRule="auto"/>
              <w:ind w:left="33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c>
          <w:tcPr>
            <w:tcW w:w="927" w:type="dxa"/>
            <w:tcBorders>
              <w:bottom w:val="single" w:color="000000" w:sz="10" w:space="0"/>
            </w:tcBorders>
            <w:vAlign w:val="top"/>
          </w:tcPr>
          <w:p w14:paraId="0E954A6F">
            <w:pPr>
              <w:spacing w:before="117" w:line="195" w:lineRule="auto"/>
              <w:ind w:left="341"/>
              <w:rPr>
                <w:rFonts w:ascii="Times New Roman" w:hAnsi="Times New Roman" w:eastAsia="Times New Roman" w:cs="Times New Roman"/>
                <w:sz w:val="20"/>
                <w:szCs w:val="20"/>
              </w:rPr>
            </w:pPr>
            <w:r>
              <w:rPr>
                <w:rFonts w:ascii="Times New Roman" w:hAnsi="Times New Roman" w:eastAsia="Times New Roman" w:cs="Times New Roman"/>
                <w:sz w:val="20"/>
                <w:szCs w:val="20"/>
              </w:rPr>
              <w:t>8.3</w:t>
            </w:r>
          </w:p>
        </w:tc>
        <w:tc>
          <w:tcPr>
            <w:tcW w:w="929" w:type="dxa"/>
            <w:tcBorders>
              <w:bottom w:val="single" w:color="000000" w:sz="10" w:space="0"/>
            </w:tcBorders>
            <w:vAlign w:val="top"/>
          </w:tcPr>
          <w:p w14:paraId="02CC45D0">
            <w:pPr>
              <w:spacing w:before="117" w:line="195" w:lineRule="auto"/>
              <w:ind w:left="2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23.7</w:t>
            </w:r>
          </w:p>
        </w:tc>
        <w:tc>
          <w:tcPr>
            <w:tcW w:w="942" w:type="dxa"/>
            <w:tcBorders>
              <w:bottom w:val="single" w:color="000000" w:sz="10" w:space="0"/>
              <w:right w:val="nil"/>
            </w:tcBorders>
            <w:vAlign w:val="top"/>
          </w:tcPr>
          <w:p w14:paraId="2D015975">
            <w:pPr>
              <w:spacing w:before="117" w:line="195" w:lineRule="auto"/>
              <w:ind w:left="2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82.8</w:t>
            </w:r>
          </w:p>
        </w:tc>
      </w:tr>
    </w:tbl>
    <w:p w14:paraId="718CD2DA">
      <w:pPr>
        <w:spacing w:before="125" w:line="218" w:lineRule="auto"/>
        <w:ind w:left="607"/>
        <w:rPr>
          <w:rFonts w:ascii="宋体" w:hAnsi="宋体" w:eastAsia="宋体" w:cs="宋体"/>
          <w:sz w:val="24"/>
          <w:szCs w:val="24"/>
        </w:rPr>
      </w:pPr>
      <w:r>
        <w:rPr>
          <w:rFonts w:ascii="宋体" w:hAnsi="宋体" w:eastAsia="宋体" w:cs="宋体"/>
          <w:b/>
          <w:bCs/>
          <w:spacing w:val="-3"/>
          <w:sz w:val="24"/>
          <w:szCs w:val="24"/>
        </w:rPr>
        <w:t>（</w:t>
      </w:r>
      <w:r>
        <w:rPr>
          <w:rFonts w:ascii="Times New Roman" w:hAnsi="Times New Roman" w:eastAsia="Times New Roman" w:cs="Times New Roman"/>
          <w:b/>
          <w:bCs/>
          <w:spacing w:val="-3"/>
          <w:sz w:val="24"/>
          <w:szCs w:val="24"/>
        </w:rPr>
        <w:t>5</w:t>
      </w:r>
      <w:r>
        <w:rPr>
          <w:rFonts w:ascii="宋体" w:hAnsi="宋体" w:eastAsia="宋体" w:cs="宋体"/>
          <w:b/>
          <w:bCs/>
          <w:spacing w:val="-3"/>
          <w:sz w:val="24"/>
          <w:szCs w:val="24"/>
        </w:rPr>
        <w:t>）地面效应引起的衰减（</w:t>
      </w:r>
      <w:r>
        <w:rPr>
          <w:rFonts w:ascii="Times New Roman" w:hAnsi="Times New Roman" w:eastAsia="Times New Roman" w:cs="Times New Roman"/>
          <w:b/>
          <w:bCs/>
          <w:spacing w:val="-3"/>
          <w:sz w:val="24"/>
          <w:szCs w:val="24"/>
        </w:rPr>
        <w:t>A</w:t>
      </w:r>
      <w:r>
        <w:rPr>
          <w:rFonts w:ascii="Times New Roman" w:hAnsi="Times New Roman" w:eastAsia="Times New Roman" w:cs="Times New Roman"/>
          <w:b/>
          <w:bCs/>
          <w:spacing w:val="-3"/>
          <w:position w:val="-1"/>
          <w:sz w:val="15"/>
          <w:szCs w:val="15"/>
        </w:rPr>
        <w:t>gr</w:t>
      </w:r>
      <w:r>
        <w:rPr>
          <w:rFonts w:ascii="宋体" w:hAnsi="宋体" w:eastAsia="宋体" w:cs="宋体"/>
          <w:b/>
          <w:bCs/>
          <w:spacing w:val="-3"/>
          <w:sz w:val="24"/>
          <w:szCs w:val="24"/>
        </w:rPr>
        <w:t>）</w:t>
      </w:r>
    </w:p>
    <w:p w14:paraId="2D897B9F">
      <w:pPr>
        <w:spacing w:before="206" w:line="219" w:lineRule="auto"/>
        <w:ind w:left="596"/>
        <w:rPr>
          <w:rFonts w:ascii="宋体" w:hAnsi="宋体" w:eastAsia="宋体" w:cs="宋体"/>
          <w:sz w:val="24"/>
          <w:szCs w:val="24"/>
        </w:rPr>
      </w:pPr>
      <w:r>
        <w:rPr>
          <w:rFonts w:ascii="宋体" w:hAnsi="宋体" w:eastAsia="宋体" w:cs="宋体"/>
          <w:spacing w:val="-2"/>
          <w:sz w:val="24"/>
          <w:szCs w:val="24"/>
        </w:rPr>
        <w:t>地面类型可分为：</w:t>
      </w:r>
    </w:p>
    <w:p w14:paraId="3867B2AD">
      <w:pPr>
        <w:spacing w:line="219" w:lineRule="auto"/>
        <w:rPr>
          <w:rFonts w:ascii="宋体" w:hAnsi="宋体" w:eastAsia="宋体" w:cs="宋体"/>
          <w:sz w:val="24"/>
          <w:szCs w:val="24"/>
        </w:rPr>
        <w:sectPr>
          <w:headerReference r:id="rId344" w:type="default"/>
          <w:footerReference r:id="rId345" w:type="default"/>
          <w:pgSz w:w="11906" w:h="16839"/>
          <w:pgMar w:top="1190" w:right="1309" w:bottom="1427" w:left="1309" w:header="882" w:footer="1265" w:gutter="0"/>
          <w:cols w:space="720" w:num="1"/>
        </w:sectPr>
      </w:pPr>
    </w:p>
    <w:p w14:paraId="5FCDA29E">
      <w:pPr>
        <w:spacing w:line="28" w:lineRule="exact"/>
      </w:pPr>
      <w:r>
        <w:pict>
          <v:shape id="_x0000_s1834" o:spid="_x0000_s1834" style="height:1.45pt;width:453.65pt;" fillcolor="#000000" filled="t" stroked="f" coordsize="9072,29" path="m0,0l9072,0,9072,28,0,28,0,0xe">
            <v:path/>
            <v:fill on="t" focussize="0,0"/>
            <v:stroke on="f"/>
            <v:imagedata o:title=""/>
            <o:lock v:ext="edit"/>
            <w10:wrap type="none"/>
            <w10:anchorlock/>
          </v:shape>
        </w:pict>
      </w:r>
    </w:p>
    <w:p w14:paraId="09194479">
      <w:pPr>
        <w:pStyle w:val="2"/>
        <w:spacing w:line="243" w:lineRule="auto"/>
      </w:pPr>
    </w:p>
    <w:p w14:paraId="5108187F">
      <w:pPr>
        <w:spacing w:before="78" w:line="219" w:lineRule="auto"/>
        <w:ind w:left="487"/>
        <w:rPr>
          <w:rFonts w:ascii="宋体" w:hAnsi="宋体" w:eastAsia="宋体" w:cs="宋体"/>
          <w:sz w:val="24"/>
          <w:szCs w:val="24"/>
        </w:rPr>
      </w:pPr>
      <w:r>
        <w:rPr>
          <w:rFonts w:ascii="Times New Roman" w:hAnsi="Times New Roman" w:eastAsia="Times New Roman" w:cs="Times New Roman"/>
          <w:sz w:val="24"/>
          <w:szCs w:val="24"/>
        </w:rPr>
        <w:t>a</w:t>
      </w:r>
      <w:r>
        <w:rPr>
          <w:rFonts w:ascii="宋体" w:hAnsi="宋体" w:eastAsia="宋体" w:cs="宋体"/>
          <w:sz w:val="24"/>
          <w:szCs w:val="24"/>
        </w:rPr>
        <w:t>）坚实地面，包括铺筑过的路面、水面、</w:t>
      </w:r>
      <w:r>
        <w:rPr>
          <w:rFonts w:ascii="宋体" w:hAnsi="宋体" w:eastAsia="宋体" w:cs="宋体"/>
          <w:spacing w:val="-1"/>
          <w:sz w:val="24"/>
          <w:szCs w:val="24"/>
        </w:rPr>
        <w:t>冰面以及夯实地面；</w:t>
      </w:r>
    </w:p>
    <w:p w14:paraId="342BFE98">
      <w:pPr>
        <w:spacing w:before="205" w:line="362" w:lineRule="auto"/>
        <w:ind w:left="9" w:right="73" w:firstLine="469"/>
        <w:rPr>
          <w:rFonts w:ascii="宋体" w:hAnsi="宋体" w:eastAsia="宋体" w:cs="宋体"/>
          <w:sz w:val="24"/>
          <w:szCs w:val="24"/>
        </w:rPr>
      </w:pPr>
      <w:r>
        <w:rPr>
          <w:rFonts w:ascii="Times New Roman" w:hAnsi="Times New Roman" w:eastAsia="Times New Roman" w:cs="Times New Roman"/>
          <w:sz w:val="24"/>
          <w:szCs w:val="24"/>
        </w:rPr>
        <w:t>b</w:t>
      </w:r>
      <w:r>
        <w:rPr>
          <w:rFonts w:ascii="宋体" w:hAnsi="宋体" w:eastAsia="宋体" w:cs="宋体"/>
          <w:sz w:val="24"/>
          <w:szCs w:val="24"/>
        </w:rPr>
        <w:t xml:space="preserve">）疏松地面，包括被草或其他植物覆盖的地面，以及农田等适合于植物生长的地 </w:t>
      </w:r>
      <w:r>
        <w:rPr>
          <w:rFonts w:ascii="宋体" w:hAnsi="宋体" w:eastAsia="宋体" w:cs="宋体"/>
          <w:spacing w:val="-6"/>
          <w:sz w:val="24"/>
          <w:szCs w:val="24"/>
        </w:rPr>
        <w:t>面；</w:t>
      </w:r>
    </w:p>
    <w:p w14:paraId="3301E5A5">
      <w:pPr>
        <w:spacing w:before="35" w:line="219" w:lineRule="auto"/>
        <w:ind w:left="487"/>
        <w:rPr>
          <w:rFonts w:ascii="宋体" w:hAnsi="宋体" w:eastAsia="宋体" w:cs="宋体"/>
          <w:sz w:val="24"/>
          <w:szCs w:val="24"/>
        </w:rPr>
      </w:pPr>
      <w:r>
        <w:rPr>
          <w:rFonts w:ascii="Times New Roman" w:hAnsi="Times New Roman" w:eastAsia="Times New Roman" w:cs="Times New Roman"/>
          <w:spacing w:val="-1"/>
          <w:sz w:val="24"/>
          <w:szCs w:val="24"/>
        </w:rPr>
        <w:t>c</w:t>
      </w:r>
      <w:r>
        <w:rPr>
          <w:rFonts w:ascii="宋体" w:hAnsi="宋体" w:eastAsia="宋体" w:cs="宋体"/>
          <w:spacing w:val="-1"/>
          <w:sz w:val="24"/>
          <w:szCs w:val="24"/>
        </w:rPr>
        <w:t>）混合地面，由坚实地面和疏松地面组成。</w:t>
      </w:r>
    </w:p>
    <w:p w14:paraId="2B7F89E0">
      <w:pPr>
        <w:spacing w:before="204" w:line="359" w:lineRule="auto"/>
        <w:ind w:left="12" w:firstLine="480"/>
        <w:rPr>
          <w:rFonts w:ascii="宋体" w:hAnsi="宋体" w:eastAsia="宋体" w:cs="宋体"/>
          <w:sz w:val="24"/>
          <w:szCs w:val="24"/>
        </w:rPr>
      </w:pPr>
      <w:r>
        <w:rPr>
          <w:rFonts w:ascii="宋体" w:hAnsi="宋体" w:eastAsia="宋体" w:cs="宋体"/>
          <w:spacing w:val="-3"/>
          <w:sz w:val="24"/>
          <w:szCs w:val="24"/>
        </w:rPr>
        <w:t>声波掠过疏松地面传播时，或大部分为疏松地面的混合地面，在预</w:t>
      </w:r>
      <w:r>
        <w:rPr>
          <w:rFonts w:ascii="宋体" w:hAnsi="宋体" w:eastAsia="宋体" w:cs="宋体"/>
          <w:spacing w:val="-4"/>
          <w:sz w:val="24"/>
          <w:szCs w:val="24"/>
        </w:rPr>
        <w:t>测点仅计算</w:t>
      </w:r>
      <w:r>
        <w:rPr>
          <w:rFonts w:ascii="宋体" w:hAnsi="宋体" w:eastAsia="宋体" w:cs="宋体"/>
          <w:spacing w:val="-58"/>
          <w:sz w:val="24"/>
          <w:szCs w:val="24"/>
        </w:rPr>
        <w:t xml:space="preserve"> </w:t>
      </w:r>
      <w:r>
        <w:rPr>
          <w:rFonts w:ascii="Times New Roman" w:hAnsi="Times New Roman" w:eastAsia="Times New Roman" w:cs="Times New Roman"/>
          <w:spacing w:val="-4"/>
          <w:sz w:val="24"/>
          <w:szCs w:val="24"/>
        </w:rPr>
        <w:t xml:space="preserve">A </w:t>
      </w:r>
      <w:r>
        <w:rPr>
          <w:rFonts w:ascii="宋体" w:hAnsi="宋体" w:eastAsia="宋体" w:cs="宋体"/>
          <w:spacing w:val="-4"/>
          <w:sz w:val="24"/>
          <w:szCs w:val="24"/>
        </w:rPr>
        <w:t>声</w:t>
      </w:r>
      <w:r>
        <w:rPr>
          <w:rFonts w:ascii="宋体" w:hAnsi="宋体" w:eastAsia="宋体" w:cs="宋体"/>
          <w:sz w:val="24"/>
          <w:szCs w:val="24"/>
        </w:rPr>
        <w:t xml:space="preserve"> </w:t>
      </w:r>
      <w:r>
        <w:rPr>
          <w:rFonts w:ascii="宋体" w:hAnsi="宋体" w:eastAsia="宋体" w:cs="宋体"/>
          <w:spacing w:val="-1"/>
          <w:sz w:val="24"/>
          <w:szCs w:val="24"/>
        </w:rPr>
        <w:t>级前提下，地面效应引起的倍频带衰减可用下式计算。</w:t>
      </w:r>
    </w:p>
    <w:p w14:paraId="28C32E0B">
      <w:pPr>
        <w:spacing w:before="2" w:line="348" w:lineRule="auto"/>
        <w:ind w:left="493" w:right="2733" w:firstLine="2699"/>
        <w:rPr>
          <w:rFonts w:ascii="宋体" w:hAnsi="宋体" w:eastAsia="宋体" w:cs="宋体"/>
          <w:sz w:val="24"/>
          <w:szCs w:val="24"/>
        </w:rPr>
      </w:pP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gr</w:t>
      </w:r>
      <w:r>
        <w:rPr>
          <w:rFonts w:ascii="Times New Roman" w:hAnsi="Times New Roman" w:eastAsia="Times New Roman" w:cs="Times New Roman"/>
          <w:spacing w:val="1"/>
          <w:sz w:val="24"/>
          <w:szCs w:val="24"/>
        </w:rPr>
        <w:t>=4.8-</w:t>
      </w: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Times New Roman" w:hAnsi="Times New Roman" w:eastAsia="Times New Roman" w:cs="Times New Roman"/>
          <w:sz w:val="24"/>
          <w:szCs w:val="24"/>
        </w:rPr>
        <w:t>h</w:t>
      </w:r>
      <w:r>
        <w:rPr>
          <w:rFonts w:ascii="Times New Roman" w:hAnsi="Times New Roman" w:eastAsia="Times New Roman" w:cs="Times New Roman"/>
          <w:position w:val="-1"/>
          <w:sz w:val="15"/>
          <w:szCs w:val="15"/>
        </w:rPr>
        <w:t>m</w:t>
      </w:r>
      <w:r>
        <w:rPr>
          <w:rFonts w:ascii="Times New Roman" w:hAnsi="Times New Roman" w:eastAsia="Times New Roman" w:cs="Times New Roman"/>
          <w:spacing w:val="1"/>
          <w:sz w:val="24"/>
          <w:szCs w:val="24"/>
        </w:rPr>
        <w:t>/r</w:t>
      </w:r>
      <w:r>
        <w:rPr>
          <w:rFonts w:ascii="宋体" w:hAnsi="宋体" w:eastAsia="宋体" w:cs="宋体"/>
          <w:spacing w:val="-17"/>
          <w:sz w:val="24"/>
          <w:szCs w:val="24"/>
        </w:rPr>
        <w:t>）（</w:t>
      </w:r>
      <w:r>
        <w:rPr>
          <w:rFonts w:ascii="Times New Roman" w:hAnsi="Times New Roman" w:eastAsia="Times New Roman" w:cs="Times New Roman"/>
          <w:spacing w:val="1"/>
          <w:sz w:val="24"/>
          <w:szCs w:val="24"/>
        </w:rPr>
        <w:t>17+300/r</w:t>
      </w:r>
      <w:r>
        <w:rPr>
          <w:rFonts w:ascii="宋体" w:hAnsi="宋体" w:eastAsia="宋体" w:cs="宋体"/>
          <w:spacing w:val="1"/>
          <w:sz w:val="24"/>
          <w:szCs w:val="24"/>
        </w:rPr>
        <w:t xml:space="preserve">） </w:t>
      </w:r>
      <w:r>
        <w:rPr>
          <w:rFonts w:ascii="宋体" w:hAnsi="宋体" w:eastAsia="宋体" w:cs="宋体"/>
          <w:spacing w:val="-1"/>
          <w:sz w:val="24"/>
          <w:szCs w:val="24"/>
        </w:rPr>
        <w:t>式中：</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1"/>
          <w:position w:val="-1"/>
          <w:sz w:val="15"/>
          <w:szCs w:val="15"/>
        </w:rPr>
        <w:t>gr</w:t>
      </w:r>
      <w:r>
        <w:rPr>
          <w:rFonts w:ascii="Times New Roman" w:hAnsi="Times New Roman" w:eastAsia="Times New Roman" w:cs="Times New Roman"/>
          <w:spacing w:val="-1"/>
          <w:sz w:val="24"/>
          <w:szCs w:val="24"/>
        </w:rPr>
        <w:t>—</w:t>
      </w:r>
      <w:r>
        <w:rPr>
          <w:rFonts w:ascii="宋体" w:hAnsi="宋体" w:eastAsia="宋体" w:cs="宋体"/>
          <w:spacing w:val="-1"/>
          <w:sz w:val="24"/>
          <w:szCs w:val="24"/>
        </w:rPr>
        <w:t>大气吸收引起的衰减，</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p>
    <w:p w14:paraId="6B416D03">
      <w:pPr>
        <w:spacing w:before="115" w:line="220" w:lineRule="auto"/>
        <w:ind w:left="1200"/>
        <w:rPr>
          <w:rFonts w:ascii="宋体" w:hAnsi="宋体" w:eastAsia="宋体" w:cs="宋体"/>
          <w:sz w:val="24"/>
          <w:szCs w:val="24"/>
        </w:rPr>
      </w:pPr>
      <w:r>
        <w:rPr>
          <w:rFonts w:ascii="Times New Roman" w:hAnsi="Times New Roman" w:eastAsia="Times New Roman" w:cs="Times New Roman"/>
          <w:spacing w:val="-1"/>
          <w:sz w:val="24"/>
          <w:szCs w:val="24"/>
        </w:rPr>
        <w:t>r—</w:t>
      </w:r>
      <w:r>
        <w:rPr>
          <w:rFonts w:ascii="宋体" w:hAnsi="宋体" w:eastAsia="宋体" w:cs="宋体"/>
          <w:spacing w:val="-1"/>
          <w:sz w:val="24"/>
          <w:szCs w:val="24"/>
        </w:rPr>
        <w:t>预测点距声源的距离；</w:t>
      </w:r>
    </w:p>
    <w:p w14:paraId="30E2ED46">
      <w:pPr>
        <w:spacing w:before="204" w:line="219" w:lineRule="auto"/>
        <w:ind w:left="1200"/>
        <w:rPr>
          <w:rFonts w:ascii="宋体" w:hAnsi="宋体" w:eastAsia="宋体" w:cs="宋体"/>
          <w:sz w:val="24"/>
          <w:szCs w:val="24"/>
        </w:rPr>
      </w:pPr>
      <w:r>
        <w:rPr>
          <w:rFonts w:ascii="Times New Roman" w:hAnsi="Times New Roman" w:eastAsia="Times New Roman" w:cs="Times New Roman"/>
          <w:sz w:val="24"/>
          <w:szCs w:val="24"/>
        </w:rPr>
        <w:t>h</w:t>
      </w:r>
      <w:r>
        <w:rPr>
          <w:rFonts w:ascii="Times New Roman" w:hAnsi="Times New Roman" w:eastAsia="Times New Roman" w:cs="Times New Roman"/>
          <w:position w:val="-1"/>
          <w:sz w:val="15"/>
          <w:szCs w:val="15"/>
        </w:rPr>
        <w:t>m</w:t>
      </w:r>
      <w:r>
        <w:rPr>
          <w:rFonts w:ascii="Times New Roman" w:hAnsi="Times New Roman" w:eastAsia="Times New Roman" w:cs="Times New Roman"/>
          <w:sz w:val="24"/>
          <w:szCs w:val="24"/>
        </w:rPr>
        <w:t>—</w:t>
      </w:r>
      <w:r>
        <w:rPr>
          <w:rFonts w:ascii="宋体" w:hAnsi="宋体" w:eastAsia="宋体" w:cs="宋体"/>
          <w:sz w:val="24"/>
          <w:szCs w:val="24"/>
        </w:rPr>
        <w:t>传播路径的平均离地高度，</w:t>
      </w:r>
      <w:r>
        <w:rPr>
          <w:rFonts w:ascii="Times New Roman" w:hAnsi="Times New Roman" w:eastAsia="Times New Roman" w:cs="Times New Roman"/>
          <w:sz w:val="24"/>
          <w:szCs w:val="24"/>
        </w:rPr>
        <w:t>m</w:t>
      </w:r>
      <w:r>
        <w:rPr>
          <w:rFonts w:ascii="宋体" w:hAnsi="宋体" w:eastAsia="宋体" w:cs="宋体"/>
          <w:sz w:val="24"/>
          <w:szCs w:val="24"/>
        </w:rPr>
        <w:t>。</w:t>
      </w:r>
    </w:p>
    <w:p w14:paraId="28BF38BB">
      <w:pPr>
        <w:spacing w:before="203" w:line="219" w:lineRule="auto"/>
        <w:ind w:left="499"/>
        <w:rPr>
          <w:rFonts w:ascii="宋体" w:hAnsi="宋体" w:eastAsia="宋体" w:cs="宋体"/>
          <w:sz w:val="24"/>
          <w:szCs w:val="24"/>
        </w:rPr>
      </w:pPr>
      <w:r>
        <w:rPr>
          <w:rFonts w:ascii="宋体" w:hAnsi="宋体" w:eastAsia="宋体" w:cs="宋体"/>
          <w:b/>
          <w:bCs/>
          <w:spacing w:val="-2"/>
          <w:sz w:val="24"/>
          <w:szCs w:val="24"/>
        </w:rPr>
        <w:t>（</w:t>
      </w:r>
      <w:r>
        <w:rPr>
          <w:rFonts w:ascii="Times New Roman" w:hAnsi="Times New Roman" w:eastAsia="Times New Roman" w:cs="Times New Roman"/>
          <w:b/>
          <w:bCs/>
          <w:spacing w:val="-2"/>
          <w:sz w:val="24"/>
          <w:szCs w:val="24"/>
        </w:rPr>
        <w:t>6</w:t>
      </w:r>
      <w:r>
        <w:rPr>
          <w:rFonts w:ascii="宋体" w:hAnsi="宋体" w:eastAsia="宋体" w:cs="宋体"/>
          <w:b/>
          <w:bCs/>
          <w:spacing w:val="-2"/>
          <w:sz w:val="24"/>
          <w:szCs w:val="24"/>
        </w:rPr>
        <w:t>）障碍物屏蔽引起的衰减（</w:t>
      </w:r>
      <w:r>
        <w:rPr>
          <w:rFonts w:ascii="Times New Roman" w:hAnsi="Times New Roman" w:eastAsia="Times New Roman" w:cs="Times New Roman"/>
          <w:b/>
          <w:bCs/>
          <w:spacing w:val="-2"/>
          <w:sz w:val="24"/>
          <w:szCs w:val="24"/>
        </w:rPr>
        <w:t>A</w:t>
      </w:r>
      <w:r>
        <w:rPr>
          <w:rFonts w:ascii="Times New Roman" w:hAnsi="Times New Roman" w:eastAsia="Times New Roman" w:cs="Times New Roman"/>
          <w:b/>
          <w:bCs/>
          <w:spacing w:val="-2"/>
          <w:position w:val="-1"/>
          <w:sz w:val="15"/>
          <w:szCs w:val="15"/>
        </w:rPr>
        <w:t>bar</w:t>
      </w:r>
      <w:r>
        <w:rPr>
          <w:rFonts w:ascii="宋体" w:hAnsi="宋体" w:eastAsia="宋体" w:cs="宋体"/>
          <w:b/>
          <w:bCs/>
          <w:spacing w:val="-2"/>
          <w:sz w:val="24"/>
          <w:szCs w:val="24"/>
        </w:rPr>
        <w:t>）</w:t>
      </w:r>
    </w:p>
    <w:p w14:paraId="4FE3E685">
      <w:pPr>
        <w:spacing w:before="203" w:line="368" w:lineRule="auto"/>
        <w:ind w:left="10" w:right="1" w:firstLine="478"/>
        <w:jc w:val="both"/>
        <w:rPr>
          <w:rFonts w:ascii="宋体" w:hAnsi="宋体" w:eastAsia="宋体" w:cs="宋体"/>
          <w:sz w:val="24"/>
          <w:szCs w:val="24"/>
        </w:rPr>
      </w:pPr>
      <w:r>
        <w:rPr>
          <w:rFonts w:ascii="宋体" w:hAnsi="宋体" w:eastAsia="宋体" w:cs="宋体"/>
          <w:spacing w:val="-2"/>
          <w:sz w:val="24"/>
          <w:szCs w:val="24"/>
        </w:rPr>
        <w:t>位于声源和预测点之间的实体障碍物，如围墙、建筑物、土坡或地堑等起声屏障作</w:t>
      </w:r>
      <w:r>
        <w:rPr>
          <w:rFonts w:ascii="宋体" w:hAnsi="宋体" w:eastAsia="宋体" w:cs="宋体"/>
          <w:spacing w:val="13"/>
          <w:sz w:val="24"/>
          <w:szCs w:val="24"/>
        </w:rPr>
        <w:t xml:space="preserve"> </w:t>
      </w:r>
      <w:r>
        <w:rPr>
          <w:rFonts w:ascii="宋体" w:hAnsi="宋体" w:eastAsia="宋体" w:cs="宋体"/>
          <w:spacing w:val="-2"/>
          <w:sz w:val="24"/>
          <w:szCs w:val="24"/>
        </w:rPr>
        <w:t>用，从而引起声能量的较大衰减。在环境影响评价中，可将各种形式的屏障简化为具有</w:t>
      </w:r>
      <w:r>
        <w:rPr>
          <w:rFonts w:ascii="宋体" w:hAnsi="宋体" w:eastAsia="宋体" w:cs="宋体"/>
          <w:spacing w:val="15"/>
          <w:sz w:val="24"/>
          <w:szCs w:val="24"/>
        </w:rPr>
        <w:t xml:space="preserve"> </w:t>
      </w:r>
      <w:r>
        <w:rPr>
          <w:rFonts w:ascii="宋体" w:hAnsi="宋体" w:eastAsia="宋体" w:cs="宋体"/>
          <w:spacing w:val="-2"/>
          <w:sz w:val="24"/>
          <w:szCs w:val="24"/>
        </w:rPr>
        <w:t>一定高度的薄屏障。</w:t>
      </w:r>
    </w:p>
    <w:p w14:paraId="2545B06E">
      <w:pPr>
        <w:spacing w:before="33" w:line="219" w:lineRule="auto"/>
        <w:ind w:left="492"/>
        <w:rPr>
          <w:rFonts w:ascii="宋体" w:hAnsi="宋体" w:eastAsia="宋体" w:cs="宋体"/>
          <w:sz w:val="24"/>
          <w:szCs w:val="24"/>
        </w:rPr>
      </w:pPr>
      <w:r>
        <w:rPr>
          <w:rFonts w:ascii="宋体" w:hAnsi="宋体" w:eastAsia="宋体" w:cs="宋体"/>
          <w:spacing w:val="-3"/>
          <w:sz w:val="24"/>
          <w:szCs w:val="24"/>
        </w:rPr>
        <w:t>如下图所示，</w:t>
      </w:r>
      <w:r>
        <w:rPr>
          <w:rFonts w:ascii="Times New Roman" w:hAnsi="Times New Roman" w:eastAsia="Times New Roman" w:cs="Times New Roman"/>
          <w:spacing w:val="-3"/>
          <w:sz w:val="24"/>
          <w:szCs w:val="24"/>
        </w:rPr>
        <w:t>S</w:t>
      </w:r>
      <w:r>
        <w:rPr>
          <w:rFonts w:ascii="Times New Roman" w:hAnsi="Times New Roman" w:eastAsia="Times New Roman" w:cs="Times New Roman"/>
          <w:spacing w:val="-18"/>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O</w:t>
      </w:r>
      <w:r>
        <w:rPr>
          <w:rFonts w:ascii="Times New Roman" w:hAnsi="Times New Roman" w:eastAsia="Times New Roman" w:cs="Times New Roman"/>
          <w:spacing w:val="-34"/>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 xml:space="preserve">P </w:t>
      </w:r>
      <w:r>
        <w:rPr>
          <w:rFonts w:ascii="宋体" w:hAnsi="宋体" w:eastAsia="宋体" w:cs="宋体"/>
          <w:spacing w:val="-3"/>
          <w:sz w:val="24"/>
          <w:szCs w:val="24"/>
        </w:rPr>
        <w:t>三点在同一平面内且垂直于地面。</w:t>
      </w:r>
    </w:p>
    <w:p w14:paraId="5EA2A4E8">
      <w:pPr>
        <w:spacing w:before="81" w:line="2450" w:lineRule="exact"/>
        <w:ind w:firstLine="2735"/>
      </w:pPr>
      <w:r>
        <w:rPr>
          <w:position w:val="-49"/>
        </w:rPr>
        <w:drawing>
          <wp:inline distT="0" distB="0" distL="0" distR="0">
            <wp:extent cx="2286000" cy="1555750"/>
            <wp:effectExtent l="0" t="0" r="0" b="0"/>
            <wp:docPr id="186" name="IM 186"/>
            <wp:cNvGraphicFramePr/>
            <a:graphic xmlns:a="http://schemas.openxmlformats.org/drawingml/2006/main">
              <a:graphicData uri="http://schemas.openxmlformats.org/drawingml/2006/picture">
                <pic:pic xmlns:pic="http://schemas.openxmlformats.org/drawingml/2006/picture">
                  <pic:nvPicPr>
                    <pic:cNvPr id="186" name="IM 186"/>
                    <pic:cNvPicPr/>
                  </pic:nvPicPr>
                  <pic:blipFill>
                    <a:blip r:embed="rId670"/>
                    <a:stretch>
                      <a:fillRect/>
                    </a:stretch>
                  </pic:blipFill>
                  <pic:spPr>
                    <a:xfrm>
                      <a:off x="0" y="0"/>
                      <a:ext cx="2286000" cy="1556003"/>
                    </a:xfrm>
                    <a:prstGeom prst="rect">
                      <a:avLst/>
                    </a:prstGeom>
                  </pic:spPr>
                </pic:pic>
              </a:graphicData>
            </a:graphic>
          </wp:inline>
        </w:drawing>
      </w:r>
    </w:p>
    <w:p w14:paraId="3BBE44D4">
      <w:pPr>
        <w:spacing w:before="30" w:line="228" w:lineRule="auto"/>
        <w:ind w:left="3805"/>
        <w:rPr>
          <w:rFonts w:ascii="宋体" w:hAnsi="宋体" w:eastAsia="宋体" w:cs="宋体"/>
          <w:sz w:val="20"/>
          <w:szCs w:val="20"/>
        </w:rPr>
      </w:pPr>
      <w:r>
        <w:rPr>
          <w:rFonts w:ascii="宋体" w:hAnsi="宋体" w:eastAsia="宋体" w:cs="宋体"/>
          <w:b/>
          <w:bCs/>
          <w:spacing w:val="7"/>
          <w:sz w:val="20"/>
          <w:szCs w:val="20"/>
        </w:rPr>
        <w:t>无限长声屏障示意图</w:t>
      </w:r>
    </w:p>
    <w:p w14:paraId="3C5E5F5E">
      <w:pPr>
        <w:pStyle w:val="2"/>
        <w:spacing w:before="262" w:line="342" w:lineRule="auto"/>
        <w:ind w:left="487" w:right="647" w:firstLine="6"/>
        <w:rPr>
          <w:rFonts w:ascii="宋体" w:hAnsi="宋体" w:eastAsia="宋体" w:cs="宋体"/>
          <w:sz w:val="24"/>
          <w:szCs w:val="24"/>
        </w:rPr>
      </w:pPr>
      <w:r>
        <w:rPr>
          <w:rFonts w:ascii="宋体" w:hAnsi="宋体" w:eastAsia="宋体" w:cs="宋体"/>
          <w:spacing w:val="-1"/>
          <w:position w:val="-5"/>
          <w:sz w:val="24"/>
          <w:szCs w:val="24"/>
        </w:rPr>
        <w:t>定义</w:t>
      </w:r>
      <w:r>
        <w:rPr>
          <w:color w:val="86888B"/>
          <w:spacing w:val="-1"/>
          <w:sz w:val="30"/>
          <w:szCs w:val="30"/>
        </w:rPr>
        <w:t>j=SO+OP-SP</w:t>
      </w:r>
      <w:r>
        <w:rPr>
          <w:rFonts w:ascii="宋体" w:hAnsi="宋体" w:eastAsia="宋体" w:cs="宋体"/>
          <w:spacing w:val="-1"/>
          <w:position w:val="-5"/>
          <w:sz w:val="24"/>
          <w:szCs w:val="24"/>
        </w:rPr>
        <w:t>为声程差</w:t>
      </w:r>
      <w:r>
        <w:rPr>
          <w:rFonts w:ascii="宋体" w:hAnsi="宋体" w:eastAsia="宋体" w:cs="宋体"/>
          <w:spacing w:val="-1"/>
          <w:position w:val="-11"/>
          <w:sz w:val="24"/>
          <w:szCs w:val="24"/>
        </w:rPr>
        <w:t>，</w:t>
      </w:r>
      <w:r>
        <w:rPr>
          <w:color w:val="ACB0AE"/>
          <w:spacing w:val="-1"/>
          <w:position w:val="1"/>
          <w:sz w:val="30"/>
          <w:szCs w:val="30"/>
        </w:rPr>
        <w:t>N=26/a</w:t>
      </w:r>
      <w:r>
        <w:rPr>
          <w:rFonts w:ascii="宋体" w:hAnsi="宋体" w:eastAsia="宋体" w:cs="宋体"/>
          <w:spacing w:val="-1"/>
          <w:position w:val="-5"/>
          <w:sz w:val="24"/>
          <w:szCs w:val="24"/>
        </w:rPr>
        <w:t>为菲涅尔数</w:t>
      </w:r>
      <w:r>
        <w:rPr>
          <w:rFonts w:ascii="宋体" w:hAnsi="宋体" w:eastAsia="宋体" w:cs="宋体"/>
          <w:spacing w:val="-1"/>
          <w:position w:val="-11"/>
          <w:sz w:val="24"/>
          <w:szCs w:val="24"/>
        </w:rPr>
        <w:t>，</w:t>
      </w:r>
      <w:r>
        <w:rPr>
          <w:rFonts w:ascii="宋体" w:hAnsi="宋体" w:eastAsia="宋体" w:cs="宋体"/>
          <w:spacing w:val="-1"/>
          <w:position w:val="-5"/>
          <w:sz w:val="24"/>
          <w:szCs w:val="24"/>
        </w:rPr>
        <w:t>其中</w:t>
      </w:r>
      <w:r>
        <w:rPr>
          <w:color w:val="C2C8C9"/>
          <w:spacing w:val="-1"/>
          <w:position w:val="1"/>
          <w:sz w:val="30"/>
          <w:szCs w:val="30"/>
        </w:rPr>
        <w:t>d</w:t>
      </w:r>
      <w:r>
        <w:rPr>
          <w:rFonts w:ascii="宋体" w:hAnsi="宋体" w:eastAsia="宋体" w:cs="宋体"/>
          <w:spacing w:val="-1"/>
          <w:position w:val="-5"/>
          <w:sz w:val="24"/>
          <w:szCs w:val="24"/>
        </w:rPr>
        <w:t>为声波波长</w:t>
      </w:r>
      <w:r>
        <w:rPr>
          <w:rFonts w:ascii="宋体" w:hAnsi="宋体" w:eastAsia="宋体" w:cs="宋体"/>
          <w:spacing w:val="-1"/>
          <w:position w:val="-11"/>
          <w:sz w:val="24"/>
          <w:szCs w:val="24"/>
        </w:rPr>
        <w:t>。</w:t>
      </w:r>
      <w:r>
        <w:rPr>
          <w:rFonts w:ascii="宋体" w:hAnsi="宋体" w:eastAsia="宋体" w:cs="宋体"/>
          <w:position w:val="-11"/>
          <w:sz w:val="24"/>
          <w:szCs w:val="24"/>
        </w:rPr>
        <w:t xml:space="preserve"> </w:t>
      </w:r>
      <w:r>
        <w:rPr>
          <w:rFonts w:ascii="宋体" w:hAnsi="宋体" w:eastAsia="宋体" w:cs="宋体"/>
          <w:sz w:val="24"/>
          <w:szCs w:val="24"/>
        </w:rPr>
        <w:t>在噪声预测中，声屏障插入损失的计算方法需要根据</w:t>
      </w:r>
      <w:r>
        <w:rPr>
          <w:rFonts w:ascii="宋体" w:hAnsi="宋体" w:eastAsia="宋体" w:cs="宋体"/>
          <w:spacing w:val="-1"/>
          <w:sz w:val="24"/>
          <w:szCs w:val="24"/>
        </w:rPr>
        <w:t>实际情况做简化处理。</w:t>
      </w:r>
    </w:p>
    <w:p w14:paraId="3552712B">
      <w:pPr>
        <w:spacing w:before="74" w:line="363" w:lineRule="auto"/>
        <w:ind w:left="20" w:right="101" w:firstLine="469"/>
        <w:rPr>
          <w:rFonts w:ascii="宋体" w:hAnsi="宋体" w:eastAsia="宋体" w:cs="宋体"/>
          <w:sz w:val="24"/>
          <w:szCs w:val="24"/>
        </w:rPr>
      </w:pPr>
      <w:r>
        <w:rPr>
          <w:rFonts w:ascii="宋体" w:hAnsi="宋体" w:eastAsia="宋体" w:cs="宋体"/>
          <w:sz w:val="24"/>
          <w:szCs w:val="24"/>
        </w:rPr>
        <w:t>屏障衰减</w:t>
      </w:r>
      <w:r>
        <w:rPr>
          <w:rFonts w:ascii="宋体" w:hAnsi="宋体" w:eastAsia="宋体" w:cs="宋体"/>
          <w:spacing w:val="-58"/>
          <w:sz w:val="24"/>
          <w:szCs w:val="24"/>
        </w:rPr>
        <w:t xml:space="preserve"> </w:t>
      </w: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 xml:space="preserve">bar </w:t>
      </w:r>
      <w:r>
        <w:rPr>
          <w:rFonts w:ascii="宋体" w:hAnsi="宋体" w:eastAsia="宋体" w:cs="宋体"/>
          <w:sz w:val="24"/>
          <w:szCs w:val="24"/>
        </w:rPr>
        <w:t>在单绕射（即薄屏障〉情况，衰减最大取</w:t>
      </w:r>
      <w:r>
        <w:rPr>
          <w:rFonts w:ascii="宋体" w:hAnsi="宋体" w:eastAsia="宋体" w:cs="宋体"/>
          <w:spacing w:val="-55"/>
          <w:sz w:val="24"/>
          <w:szCs w:val="24"/>
        </w:rPr>
        <w:t xml:space="preserve"> </w:t>
      </w:r>
      <w:r>
        <w:rPr>
          <w:rFonts w:ascii="Times New Roman" w:hAnsi="Times New Roman" w:eastAsia="Times New Roman" w:cs="Times New Roman"/>
          <w:sz w:val="24"/>
          <w:szCs w:val="24"/>
        </w:rPr>
        <w:t>20</w:t>
      </w:r>
      <w:r>
        <w:rPr>
          <w:rFonts w:ascii="Times New Roman" w:hAnsi="Times New Roman" w:eastAsia="Times New Roman" w:cs="Times New Roman"/>
          <w:spacing w:val="-1"/>
          <w:sz w:val="24"/>
          <w:szCs w:val="24"/>
        </w:rPr>
        <w:t>dB</w:t>
      </w:r>
      <w:r>
        <w:rPr>
          <w:rFonts w:ascii="宋体" w:hAnsi="宋体" w:eastAsia="宋体" w:cs="宋体"/>
          <w:spacing w:val="-1"/>
          <w:sz w:val="24"/>
          <w:szCs w:val="24"/>
        </w:rPr>
        <w:t>；在双绕射（即厚屏</w:t>
      </w:r>
      <w:r>
        <w:rPr>
          <w:rFonts w:ascii="宋体" w:hAnsi="宋体" w:eastAsia="宋体" w:cs="宋体"/>
          <w:sz w:val="24"/>
          <w:szCs w:val="24"/>
        </w:rPr>
        <w:t xml:space="preserve"> </w:t>
      </w:r>
      <w:r>
        <w:rPr>
          <w:rFonts w:ascii="宋体" w:hAnsi="宋体" w:eastAsia="宋体" w:cs="宋体"/>
          <w:spacing w:val="-2"/>
          <w:sz w:val="24"/>
          <w:szCs w:val="24"/>
        </w:rPr>
        <w:t>障）情况，衰减最大取</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25dB</w:t>
      </w:r>
      <w:r>
        <w:rPr>
          <w:rFonts w:ascii="宋体" w:hAnsi="宋体" w:eastAsia="宋体" w:cs="宋体"/>
          <w:spacing w:val="-2"/>
          <w:sz w:val="24"/>
          <w:szCs w:val="24"/>
        </w:rPr>
        <w:t>。</w:t>
      </w:r>
    </w:p>
    <w:p w14:paraId="6852376E">
      <w:pPr>
        <w:spacing w:before="32" w:line="220" w:lineRule="auto"/>
        <w:ind w:left="499"/>
        <w:rPr>
          <w:rFonts w:ascii="宋体" w:hAnsi="宋体" w:eastAsia="宋体" w:cs="宋体"/>
          <w:sz w:val="24"/>
          <w:szCs w:val="24"/>
        </w:rPr>
      </w:pPr>
      <w:r>
        <w:rPr>
          <w:rFonts w:ascii="宋体" w:hAnsi="宋体" w:eastAsia="宋体" w:cs="宋体"/>
          <w:b/>
          <w:bCs/>
          <w:spacing w:val="-2"/>
          <w:sz w:val="24"/>
          <w:szCs w:val="24"/>
        </w:rPr>
        <w:t>（</w:t>
      </w:r>
      <w:r>
        <w:rPr>
          <w:rFonts w:ascii="Times New Roman" w:hAnsi="Times New Roman" w:eastAsia="Times New Roman" w:cs="Times New Roman"/>
          <w:b/>
          <w:bCs/>
          <w:spacing w:val="-2"/>
          <w:sz w:val="24"/>
          <w:szCs w:val="24"/>
        </w:rPr>
        <w:t>7</w:t>
      </w:r>
      <w:r>
        <w:rPr>
          <w:rFonts w:ascii="宋体" w:hAnsi="宋体" w:eastAsia="宋体" w:cs="宋体"/>
          <w:b/>
          <w:bCs/>
          <w:spacing w:val="-2"/>
          <w:sz w:val="24"/>
          <w:szCs w:val="24"/>
        </w:rPr>
        <w:t>）其他方面效应引起的衰减（</w:t>
      </w:r>
      <w:r>
        <w:rPr>
          <w:rFonts w:ascii="Times New Roman" w:hAnsi="Times New Roman" w:eastAsia="Times New Roman" w:cs="Times New Roman"/>
          <w:b/>
          <w:bCs/>
          <w:spacing w:val="-2"/>
          <w:sz w:val="24"/>
          <w:szCs w:val="24"/>
        </w:rPr>
        <w:t>A</w:t>
      </w:r>
      <w:r>
        <w:rPr>
          <w:rFonts w:ascii="Times New Roman" w:hAnsi="Times New Roman" w:eastAsia="Times New Roman" w:cs="Times New Roman"/>
          <w:b/>
          <w:bCs/>
          <w:spacing w:val="-2"/>
          <w:position w:val="-1"/>
          <w:sz w:val="15"/>
          <w:szCs w:val="15"/>
        </w:rPr>
        <w:t>misc</w:t>
      </w:r>
      <w:r>
        <w:rPr>
          <w:rFonts w:ascii="宋体" w:hAnsi="宋体" w:eastAsia="宋体" w:cs="宋体"/>
          <w:b/>
          <w:bCs/>
          <w:spacing w:val="-2"/>
          <w:sz w:val="24"/>
          <w:szCs w:val="24"/>
        </w:rPr>
        <w:t>）</w:t>
      </w:r>
    </w:p>
    <w:p w14:paraId="2034C90E">
      <w:pPr>
        <w:spacing w:before="203" w:line="363" w:lineRule="auto"/>
        <w:ind w:left="12" w:right="11" w:firstLine="477"/>
        <w:rPr>
          <w:rFonts w:ascii="宋体" w:hAnsi="宋体" w:eastAsia="宋体" w:cs="宋体"/>
          <w:sz w:val="24"/>
          <w:szCs w:val="24"/>
        </w:rPr>
      </w:pPr>
      <w:r>
        <w:rPr>
          <w:rFonts w:ascii="宋体" w:hAnsi="宋体" w:eastAsia="宋体" w:cs="宋体"/>
          <w:spacing w:val="-2"/>
          <w:sz w:val="24"/>
          <w:szCs w:val="24"/>
        </w:rPr>
        <w:t>其他衰减包括通过工业场所的衰减；通过建筑群的衰减等。在声环境影响评价中，</w:t>
      </w:r>
      <w:r>
        <w:rPr>
          <w:rFonts w:ascii="宋体" w:hAnsi="宋体" w:eastAsia="宋体" w:cs="宋体"/>
          <w:spacing w:val="2"/>
          <w:sz w:val="24"/>
          <w:szCs w:val="24"/>
        </w:rPr>
        <w:t xml:space="preserve"> </w:t>
      </w:r>
      <w:r>
        <w:rPr>
          <w:rFonts w:ascii="宋体" w:hAnsi="宋体" w:eastAsia="宋体" w:cs="宋体"/>
          <w:sz w:val="24"/>
          <w:szCs w:val="24"/>
        </w:rPr>
        <w:t>一般情况下，不考虑自然条件（如风、温度</w:t>
      </w:r>
      <w:r>
        <w:rPr>
          <w:rFonts w:ascii="宋体" w:hAnsi="宋体" w:eastAsia="宋体" w:cs="宋体"/>
          <w:spacing w:val="-1"/>
          <w:sz w:val="24"/>
          <w:szCs w:val="24"/>
        </w:rPr>
        <w:t>梯度、雾）变化引起的附加修正。</w:t>
      </w:r>
    </w:p>
    <w:p w14:paraId="443B6A8B">
      <w:pPr>
        <w:spacing w:line="363" w:lineRule="auto"/>
        <w:rPr>
          <w:rFonts w:ascii="宋体" w:hAnsi="宋体" w:eastAsia="宋体" w:cs="宋体"/>
          <w:sz w:val="24"/>
          <w:szCs w:val="24"/>
        </w:rPr>
        <w:sectPr>
          <w:headerReference r:id="rId346" w:type="default"/>
          <w:footerReference r:id="rId347" w:type="default"/>
          <w:pgSz w:w="11906" w:h="16839"/>
          <w:pgMar w:top="1190" w:right="1416" w:bottom="1427" w:left="1417" w:header="882" w:footer="1265" w:gutter="0"/>
          <w:cols w:space="720" w:num="1"/>
        </w:sectPr>
      </w:pPr>
    </w:p>
    <w:p w14:paraId="53B80052">
      <w:pPr>
        <w:spacing w:line="28" w:lineRule="exact"/>
        <w:ind w:firstLine="108"/>
      </w:pPr>
      <w:r>
        <w:pict>
          <v:shape id="_x0000_s1835" o:spid="_x0000_s1835" style="height:1.45pt;width:453.65pt;" fillcolor="#000000" filled="t" stroked="f" coordsize="9072,29" path="m0,0l9072,0,9072,28,0,28,0,0xe">
            <v:path/>
            <v:fill on="t" focussize="0,0"/>
            <v:stroke on="f"/>
            <v:imagedata o:title=""/>
            <o:lock v:ext="edit"/>
            <w10:wrap type="none"/>
            <w10:anchorlock/>
          </v:shape>
        </w:pict>
      </w:r>
    </w:p>
    <w:p w14:paraId="548F4730">
      <w:pPr>
        <w:pStyle w:val="2"/>
        <w:spacing w:line="243" w:lineRule="auto"/>
      </w:pPr>
    </w:p>
    <w:p w14:paraId="37D0BEC0">
      <w:pPr>
        <w:spacing w:before="78" w:line="217" w:lineRule="auto"/>
        <w:ind w:left="595"/>
        <w:rPr>
          <w:rFonts w:ascii="宋体" w:hAnsi="宋体" w:eastAsia="宋体" w:cs="宋体"/>
          <w:sz w:val="24"/>
          <w:szCs w:val="24"/>
        </w:rPr>
      </w:pPr>
      <w:r>
        <w:rPr>
          <w:rFonts w:ascii="宋体" w:hAnsi="宋体" w:eastAsia="宋体" w:cs="宋体"/>
          <w:b/>
          <w:bCs/>
          <w:spacing w:val="-2"/>
          <w:sz w:val="24"/>
          <w:szCs w:val="24"/>
        </w:rPr>
        <w:t>①绿化林带引起的衰减（</w:t>
      </w:r>
      <w:r>
        <w:rPr>
          <w:rFonts w:ascii="Times New Roman" w:hAnsi="Times New Roman" w:eastAsia="Times New Roman" w:cs="Times New Roman"/>
          <w:b/>
          <w:bCs/>
          <w:spacing w:val="-2"/>
          <w:sz w:val="24"/>
          <w:szCs w:val="24"/>
        </w:rPr>
        <w:t>A</w:t>
      </w:r>
      <w:r>
        <w:rPr>
          <w:rFonts w:ascii="Times New Roman" w:hAnsi="Times New Roman" w:eastAsia="Times New Roman" w:cs="Times New Roman"/>
          <w:b/>
          <w:bCs/>
          <w:spacing w:val="-2"/>
          <w:position w:val="-1"/>
          <w:sz w:val="15"/>
          <w:szCs w:val="15"/>
        </w:rPr>
        <w:t>fol</w:t>
      </w:r>
      <w:r>
        <w:rPr>
          <w:rFonts w:ascii="宋体" w:hAnsi="宋体" w:eastAsia="宋体" w:cs="宋体"/>
          <w:b/>
          <w:bCs/>
          <w:spacing w:val="-2"/>
          <w:sz w:val="24"/>
          <w:szCs w:val="24"/>
        </w:rPr>
        <w:t>）</w:t>
      </w:r>
    </w:p>
    <w:p w14:paraId="341E92E3">
      <w:pPr>
        <w:spacing w:before="207" w:line="359" w:lineRule="auto"/>
        <w:ind w:left="119" w:right="47" w:firstLine="479"/>
        <w:rPr>
          <w:rFonts w:ascii="宋体" w:hAnsi="宋体" w:eastAsia="宋体" w:cs="宋体"/>
          <w:sz w:val="24"/>
          <w:szCs w:val="24"/>
        </w:rPr>
      </w:pPr>
      <w:r>
        <w:rPr>
          <w:rFonts w:ascii="宋体" w:hAnsi="宋体" w:eastAsia="宋体" w:cs="宋体"/>
          <w:spacing w:val="-6"/>
          <w:sz w:val="24"/>
          <w:szCs w:val="24"/>
        </w:rPr>
        <w:t>绿化林带的附加衰减与树种、林带结构和密度</w:t>
      </w:r>
      <w:r>
        <w:rPr>
          <w:rFonts w:ascii="宋体" w:hAnsi="宋体" w:eastAsia="宋体" w:cs="宋体"/>
          <w:spacing w:val="-7"/>
          <w:sz w:val="24"/>
          <w:szCs w:val="24"/>
        </w:rPr>
        <w:t>等因素有关。在声源附近的绿化林带，</w:t>
      </w:r>
      <w:r>
        <w:rPr>
          <w:rFonts w:ascii="宋体" w:hAnsi="宋体" w:eastAsia="宋体" w:cs="宋体"/>
          <w:sz w:val="24"/>
          <w:szCs w:val="24"/>
        </w:rPr>
        <w:t xml:space="preserve"> </w:t>
      </w:r>
      <w:r>
        <w:rPr>
          <w:rFonts w:ascii="宋体" w:hAnsi="宋体" w:eastAsia="宋体" w:cs="宋体"/>
          <w:spacing w:val="-1"/>
          <w:sz w:val="24"/>
          <w:szCs w:val="24"/>
        </w:rPr>
        <w:t>或在预测点附近的绿化林带，或两者均有的情况都可以使声波衰减。</w:t>
      </w:r>
    </w:p>
    <w:p w14:paraId="53DE3B45">
      <w:pPr>
        <w:spacing w:before="1" w:line="347" w:lineRule="auto"/>
        <w:ind w:left="119" w:right="47" w:firstLine="477"/>
        <w:rPr>
          <w:rFonts w:ascii="宋体" w:hAnsi="宋体" w:eastAsia="宋体" w:cs="宋体"/>
          <w:sz w:val="24"/>
          <w:szCs w:val="24"/>
        </w:rPr>
      </w:pPr>
      <w:r>
        <w:rPr>
          <w:rFonts w:ascii="宋体" w:hAnsi="宋体" w:eastAsia="宋体" w:cs="宋体"/>
          <w:spacing w:val="-5"/>
          <w:sz w:val="24"/>
          <w:szCs w:val="24"/>
        </w:rPr>
        <w:t>通过树叶传播造成的噪声衰减随通过树叶传播距离</w:t>
      </w:r>
      <w:r>
        <w:rPr>
          <w:rFonts w:ascii="宋体" w:hAnsi="宋体" w:eastAsia="宋体" w:cs="宋体"/>
          <w:spacing w:val="-56"/>
          <w:sz w:val="24"/>
          <w:szCs w:val="24"/>
        </w:rPr>
        <w:t xml:space="preserve"> </w:t>
      </w:r>
      <w:r>
        <w:rPr>
          <w:rFonts w:ascii="Times New Roman" w:hAnsi="Times New Roman" w:eastAsia="Times New Roman" w:cs="Times New Roman"/>
          <w:spacing w:val="-5"/>
          <w:sz w:val="24"/>
          <w:szCs w:val="24"/>
        </w:rPr>
        <w:t>d</w:t>
      </w:r>
      <w:r>
        <w:rPr>
          <w:rFonts w:ascii="Times New Roman" w:hAnsi="Times New Roman" w:eastAsia="Times New Roman" w:cs="Times New Roman"/>
          <w:spacing w:val="-5"/>
          <w:position w:val="-1"/>
          <w:sz w:val="15"/>
          <w:szCs w:val="15"/>
        </w:rPr>
        <w:t>f</w:t>
      </w:r>
      <w:r>
        <w:rPr>
          <w:rFonts w:ascii="Times New Roman" w:hAnsi="Times New Roman" w:eastAsia="Times New Roman" w:cs="Times New Roman"/>
          <w:spacing w:val="10"/>
          <w:position w:val="-1"/>
          <w:sz w:val="15"/>
          <w:szCs w:val="15"/>
        </w:rPr>
        <w:t xml:space="preserve"> </w:t>
      </w:r>
      <w:r>
        <w:rPr>
          <w:rFonts w:ascii="宋体" w:hAnsi="宋体" w:eastAsia="宋体" w:cs="宋体"/>
          <w:spacing w:val="-5"/>
          <w:sz w:val="24"/>
          <w:szCs w:val="24"/>
        </w:rPr>
        <w:t>的增长而增加，其中</w:t>
      </w:r>
      <w:r>
        <w:rPr>
          <w:rFonts w:ascii="宋体" w:hAnsi="宋体" w:eastAsia="宋体" w:cs="宋体"/>
          <w:spacing w:val="-59"/>
          <w:sz w:val="24"/>
          <w:szCs w:val="24"/>
        </w:rPr>
        <w:t xml:space="preserve"> </w:t>
      </w:r>
      <w:r>
        <w:rPr>
          <w:rFonts w:ascii="Times New Roman" w:hAnsi="Times New Roman" w:eastAsia="Times New Roman" w:cs="Times New Roman"/>
          <w:spacing w:val="-5"/>
          <w:sz w:val="24"/>
          <w:szCs w:val="24"/>
        </w:rPr>
        <w:t>d</w:t>
      </w:r>
      <w:r>
        <w:rPr>
          <w:rFonts w:ascii="Times New Roman" w:hAnsi="Times New Roman" w:eastAsia="Times New Roman" w:cs="Times New Roman"/>
          <w:spacing w:val="-5"/>
          <w:position w:val="-1"/>
          <w:sz w:val="15"/>
          <w:szCs w:val="15"/>
        </w:rPr>
        <w:t>f</w:t>
      </w:r>
      <w:r>
        <w:rPr>
          <w:rFonts w:ascii="Times New Roman" w:hAnsi="Times New Roman" w:eastAsia="Times New Roman" w:cs="Times New Roman"/>
          <w:spacing w:val="-5"/>
          <w:sz w:val="24"/>
          <w:szCs w:val="24"/>
        </w:rPr>
        <w:t>=d</w:t>
      </w:r>
      <w:r>
        <w:rPr>
          <w:rFonts w:ascii="Times New Roman" w:hAnsi="Times New Roman" w:eastAsia="Times New Roman" w:cs="Times New Roman"/>
          <w:spacing w:val="-5"/>
          <w:position w:val="-1"/>
          <w:sz w:val="15"/>
          <w:szCs w:val="15"/>
        </w:rPr>
        <w:t>1</w:t>
      </w:r>
      <w:r>
        <w:rPr>
          <w:rFonts w:ascii="Times New Roman" w:hAnsi="Times New Roman" w:eastAsia="Times New Roman" w:cs="Times New Roman"/>
          <w:spacing w:val="-5"/>
          <w:sz w:val="24"/>
          <w:szCs w:val="24"/>
        </w:rPr>
        <w:t>+d</w:t>
      </w:r>
      <w:r>
        <w:rPr>
          <w:rFonts w:ascii="Times New Roman" w:hAnsi="Times New Roman" w:eastAsia="Times New Roman" w:cs="Times New Roman"/>
          <w:spacing w:val="-5"/>
          <w:position w:val="-1"/>
          <w:sz w:val="15"/>
          <w:szCs w:val="15"/>
        </w:rPr>
        <w:t>2</w:t>
      </w:r>
      <w:r>
        <w:rPr>
          <w:rFonts w:ascii="宋体" w:hAnsi="宋体" w:eastAsia="宋体" w:cs="宋体"/>
          <w:spacing w:val="-5"/>
          <w:sz w:val="24"/>
          <w:szCs w:val="24"/>
        </w:rPr>
        <w:t>，</w:t>
      </w:r>
      <w:r>
        <w:rPr>
          <w:rFonts w:ascii="宋体" w:hAnsi="宋体" w:eastAsia="宋体" w:cs="宋体"/>
          <w:sz w:val="24"/>
          <w:szCs w:val="24"/>
        </w:rPr>
        <w:t xml:space="preserve"> </w:t>
      </w:r>
      <w:r>
        <w:rPr>
          <w:rFonts w:ascii="宋体" w:hAnsi="宋体" w:eastAsia="宋体" w:cs="宋体"/>
          <w:spacing w:val="-3"/>
          <w:sz w:val="24"/>
          <w:szCs w:val="24"/>
        </w:rPr>
        <w:t>为了计算</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d</w:t>
      </w:r>
      <w:r>
        <w:rPr>
          <w:rFonts w:ascii="Times New Roman" w:hAnsi="Times New Roman" w:eastAsia="Times New Roman" w:cs="Times New Roman"/>
          <w:spacing w:val="-3"/>
          <w:position w:val="-1"/>
          <w:sz w:val="15"/>
          <w:szCs w:val="15"/>
        </w:rPr>
        <w:t>1</w:t>
      </w:r>
      <w:r>
        <w:rPr>
          <w:rFonts w:ascii="Times New Roman" w:hAnsi="Times New Roman" w:eastAsia="Times New Roman" w:cs="Times New Roman"/>
          <w:spacing w:val="13"/>
          <w:position w:val="-1"/>
          <w:sz w:val="15"/>
          <w:szCs w:val="15"/>
        </w:rPr>
        <w:t xml:space="preserve"> </w:t>
      </w:r>
      <w:r>
        <w:rPr>
          <w:rFonts w:ascii="宋体" w:hAnsi="宋体" w:eastAsia="宋体" w:cs="宋体"/>
          <w:spacing w:val="-3"/>
          <w:sz w:val="24"/>
          <w:szCs w:val="24"/>
        </w:rPr>
        <w:t>和</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d</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10"/>
          <w:position w:val="-1"/>
          <w:sz w:val="15"/>
          <w:szCs w:val="15"/>
        </w:rPr>
        <w:t xml:space="preserve"> </w:t>
      </w:r>
      <w:r>
        <w:rPr>
          <w:rFonts w:ascii="宋体" w:hAnsi="宋体" w:eastAsia="宋体" w:cs="宋体"/>
          <w:spacing w:val="-3"/>
          <w:sz w:val="24"/>
          <w:szCs w:val="24"/>
        </w:rPr>
        <w:t>，可假设弯曲路径的半径为</w:t>
      </w:r>
      <w:r>
        <w:rPr>
          <w:rFonts w:ascii="宋体" w:hAnsi="宋体" w:eastAsia="宋体" w:cs="宋体"/>
          <w:spacing w:val="-49"/>
          <w:sz w:val="24"/>
          <w:szCs w:val="24"/>
        </w:rPr>
        <w:t xml:space="preserve"> </w:t>
      </w:r>
      <w:r>
        <w:rPr>
          <w:rFonts w:ascii="Times New Roman" w:hAnsi="Times New Roman" w:eastAsia="Times New Roman" w:cs="Times New Roman"/>
          <w:spacing w:val="-3"/>
          <w:sz w:val="24"/>
          <w:szCs w:val="24"/>
        </w:rPr>
        <w:t>5km</w:t>
      </w:r>
      <w:r>
        <w:rPr>
          <w:rFonts w:ascii="宋体" w:hAnsi="宋体" w:eastAsia="宋体" w:cs="宋体"/>
          <w:spacing w:val="-3"/>
          <w:sz w:val="24"/>
          <w:szCs w:val="24"/>
        </w:rPr>
        <w:t>。</w:t>
      </w:r>
    </w:p>
    <w:p w14:paraId="7AC371CD">
      <w:pPr>
        <w:spacing w:before="118" w:line="367" w:lineRule="auto"/>
        <w:ind w:left="122" w:right="107" w:firstLine="480"/>
        <w:rPr>
          <w:rFonts w:ascii="宋体" w:hAnsi="宋体" w:eastAsia="宋体" w:cs="宋体"/>
          <w:sz w:val="24"/>
          <w:szCs w:val="24"/>
        </w:rPr>
      </w:pPr>
      <w:r>
        <w:rPr>
          <w:rFonts w:ascii="宋体" w:hAnsi="宋体" w:eastAsia="宋体" w:cs="宋体"/>
          <w:spacing w:val="-2"/>
          <w:sz w:val="24"/>
          <w:szCs w:val="24"/>
        </w:rPr>
        <w:t>下表中的第一行给出了通过总长度为</w:t>
      </w:r>
      <w:r>
        <w:rPr>
          <w:rFonts w:ascii="宋体" w:hAnsi="宋体" w:eastAsia="宋体" w:cs="宋体"/>
          <w:spacing w:val="-23"/>
          <w:sz w:val="24"/>
          <w:szCs w:val="24"/>
        </w:rPr>
        <w:t xml:space="preserve"> </w:t>
      </w:r>
      <w:r>
        <w:rPr>
          <w:rFonts w:ascii="Times New Roman" w:hAnsi="Times New Roman" w:eastAsia="Times New Roman" w:cs="Times New Roman"/>
          <w:spacing w:val="-2"/>
          <w:sz w:val="24"/>
          <w:szCs w:val="24"/>
        </w:rPr>
        <w:t>10m</w:t>
      </w:r>
      <w:r>
        <w:rPr>
          <w:rFonts w:ascii="Times New Roman" w:hAnsi="Times New Roman" w:eastAsia="Times New Roman" w:cs="Times New Roman"/>
          <w:spacing w:val="17"/>
          <w:sz w:val="24"/>
          <w:szCs w:val="24"/>
        </w:rPr>
        <w:t xml:space="preserve"> </w:t>
      </w:r>
      <w:r>
        <w:rPr>
          <w:rFonts w:ascii="宋体" w:hAnsi="宋体" w:eastAsia="宋体" w:cs="宋体"/>
          <w:spacing w:val="-2"/>
          <w:sz w:val="24"/>
          <w:szCs w:val="24"/>
        </w:rPr>
        <w:t>到</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 xml:space="preserve">20m </w:t>
      </w:r>
      <w:r>
        <w:rPr>
          <w:rFonts w:ascii="宋体" w:hAnsi="宋体" w:eastAsia="宋体" w:cs="宋体"/>
          <w:spacing w:val="-2"/>
          <w:sz w:val="24"/>
          <w:szCs w:val="24"/>
        </w:rPr>
        <w:t>之间的乔灌结合郁闭度较高的林</w:t>
      </w:r>
      <w:r>
        <w:rPr>
          <w:rFonts w:ascii="宋体" w:hAnsi="宋体" w:eastAsia="宋体" w:cs="宋体"/>
          <w:sz w:val="24"/>
          <w:szCs w:val="24"/>
        </w:rPr>
        <w:t xml:space="preserve"> </w:t>
      </w:r>
      <w:r>
        <w:rPr>
          <w:rFonts w:ascii="宋体" w:hAnsi="宋体" w:eastAsia="宋体" w:cs="宋体"/>
          <w:spacing w:val="-2"/>
          <w:sz w:val="24"/>
          <w:szCs w:val="24"/>
        </w:rPr>
        <w:t>带时，由林带引起的衰减；第二行为通过总</w:t>
      </w:r>
      <w:r>
        <w:rPr>
          <w:rFonts w:ascii="宋体" w:hAnsi="宋体" w:eastAsia="宋体" w:cs="宋体"/>
          <w:spacing w:val="-3"/>
          <w:sz w:val="24"/>
          <w:szCs w:val="24"/>
        </w:rPr>
        <w:t>长度</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20m</w:t>
      </w:r>
      <w:r>
        <w:rPr>
          <w:rFonts w:ascii="Times New Roman" w:hAnsi="Times New Roman" w:eastAsia="Times New Roman" w:cs="Times New Roman"/>
          <w:spacing w:val="16"/>
          <w:w w:val="101"/>
          <w:sz w:val="24"/>
          <w:szCs w:val="24"/>
        </w:rPr>
        <w:t xml:space="preserve"> </w:t>
      </w:r>
      <w:r>
        <w:rPr>
          <w:rFonts w:ascii="宋体" w:hAnsi="宋体" w:eastAsia="宋体" w:cs="宋体"/>
          <w:spacing w:val="-3"/>
          <w:sz w:val="24"/>
          <w:szCs w:val="24"/>
        </w:rPr>
        <w:t>到</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 xml:space="preserve">200m </w:t>
      </w:r>
      <w:r>
        <w:rPr>
          <w:rFonts w:ascii="宋体" w:hAnsi="宋体" w:eastAsia="宋体" w:cs="宋体"/>
          <w:spacing w:val="-3"/>
          <w:sz w:val="24"/>
          <w:szCs w:val="24"/>
        </w:rPr>
        <w:t>之间林带时的衰减系数；</w:t>
      </w:r>
      <w:r>
        <w:rPr>
          <w:rFonts w:ascii="宋体" w:hAnsi="宋体" w:eastAsia="宋体" w:cs="宋体"/>
          <w:sz w:val="24"/>
          <w:szCs w:val="24"/>
        </w:rPr>
        <w:t xml:space="preserve"> </w:t>
      </w:r>
      <w:r>
        <w:rPr>
          <w:rFonts w:ascii="宋体" w:hAnsi="宋体" w:eastAsia="宋体" w:cs="宋体"/>
          <w:spacing w:val="-3"/>
          <w:sz w:val="24"/>
          <w:szCs w:val="24"/>
        </w:rPr>
        <w:t>当通过林带的路径长度大于</w:t>
      </w:r>
      <w:r>
        <w:rPr>
          <w:rFonts w:ascii="宋体" w:hAnsi="宋体" w:eastAsia="宋体" w:cs="宋体"/>
          <w:spacing w:val="-42"/>
          <w:sz w:val="24"/>
          <w:szCs w:val="24"/>
        </w:rPr>
        <w:t xml:space="preserve"> </w:t>
      </w:r>
      <w:r>
        <w:rPr>
          <w:rFonts w:ascii="Times New Roman" w:hAnsi="Times New Roman" w:eastAsia="Times New Roman" w:cs="Times New Roman"/>
          <w:spacing w:val="-3"/>
          <w:sz w:val="24"/>
          <w:szCs w:val="24"/>
        </w:rPr>
        <w:t>200m</w:t>
      </w:r>
      <w:r>
        <w:rPr>
          <w:rFonts w:ascii="Times New Roman" w:hAnsi="Times New Roman" w:eastAsia="Times New Roman" w:cs="Times New Roman"/>
          <w:spacing w:val="21"/>
          <w:sz w:val="24"/>
          <w:szCs w:val="24"/>
        </w:rPr>
        <w:t xml:space="preserve"> </w:t>
      </w:r>
      <w:r>
        <w:rPr>
          <w:rFonts w:ascii="宋体" w:hAnsi="宋体" w:eastAsia="宋体" w:cs="宋体"/>
          <w:spacing w:val="-3"/>
          <w:sz w:val="24"/>
          <w:szCs w:val="24"/>
        </w:rPr>
        <w:t>时，可使用</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200m</w:t>
      </w:r>
      <w:r>
        <w:rPr>
          <w:rFonts w:ascii="Times New Roman" w:hAnsi="Times New Roman" w:eastAsia="Times New Roman" w:cs="Times New Roman"/>
          <w:spacing w:val="30"/>
          <w:sz w:val="24"/>
          <w:szCs w:val="24"/>
        </w:rPr>
        <w:t xml:space="preserve"> </w:t>
      </w:r>
      <w:r>
        <w:rPr>
          <w:rFonts w:ascii="宋体" w:hAnsi="宋体" w:eastAsia="宋体" w:cs="宋体"/>
          <w:spacing w:val="-3"/>
          <w:sz w:val="24"/>
          <w:szCs w:val="24"/>
        </w:rPr>
        <w:t>的衰减值。</w:t>
      </w:r>
    </w:p>
    <w:p w14:paraId="1C3CF14E">
      <w:pPr>
        <w:spacing w:before="50" w:line="227" w:lineRule="auto"/>
        <w:ind w:left="2298"/>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4.4-2        </w:t>
      </w:r>
      <w:r>
        <w:rPr>
          <w:rFonts w:ascii="宋体" w:hAnsi="宋体" w:eastAsia="宋体" w:cs="宋体"/>
          <w:b/>
          <w:bCs/>
          <w:spacing w:val="6"/>
          <w:sz w:val="20"/>
          <w:szCs w:val="20"/>
        </w:rPr>
        <w:t>倍频带噪声通过林带</w:t>
      </w:r>
      <w:r>
        <w:rPr>
          <w:rFonts w:ascii="宋体" w:hAnsi="宋体" w:eastAsia="宋体" w:cs="宋体"/>
          <w:b/>
          <w:bCs/>
          <w:spacing w:val="5"/>
          <w:sz w:val="20"/>
          <w:szCs w:val="20"/>
        </w:rPr>
        <w:t>传播时产生的衰减</w:t>
      </w:r>
    </w:p>
    <w:p w14:paraId="5108E936">
      <w:pPr>
        <w:spacing w:line="103" w:lineRule="exact"/>
      </w:pPr>
    </w:p>
    <w:tbl>
      <w:tblPr>
        <w:tblStyle w:val="5"/>
        <w:tblW w:w="928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28"/>
        <w:gridCol w:w="1154"/>
        <w:gridCol w:w="875"/>
        <w:gridCol w:w="875"/>
        <w:gridCol w:w="877"/>
        <w:gridCol w:w="877"/>
        <w:gridCol w:w="877"/>
        <w:gridCol w:w="876"/>
        <w:gridCol w:w="877"/>
        <w:gridCol w:w="871"/>
      </w:tblGrid>
      <w:tr w14:paraId="7FD927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1128" w:type="dxa"/>
            <w:vMerge w:val="restart"/>
            <w:tcBorders>
              <w:top w:val="single" w:color="000000" w:sz="10" w:space="0"/>
              <w:left w:val="nil"/>
              <w:bottom w:val="nil"/>
            </w:tcBorders>
            <w:vAlign w:val="top"/>
          </w:tcPr>
          <w:p w14:paraId="0DBDD45A">
            <w:pPr>
              <w:pStyle w:val="6"/>
              <w:spacing w:before="223" w:line="228" w:lineRule="auto"/>
              <w:ind w:left="365"/>
              <w:rPr>
                <w:sz w:val="20"/>
                <w:szCs w:val="20"/>
              </w:rPr>
            </w:pPr>
            <w:r>
              <w:rPr>
                <w:spacing w:val="3"/>
                <w:sz w:val="20"/>
                <w:szCs w:val="20"/>
              </w:rPr>
              <w:t>项目</w:t>
            </w:r>
          </w:p>
        </w:tc>
        <w:tc>
          <w:tcPr>
            <w:tcW w:w="1154" w:type="dxa"/>
            <w:vMerge w:val="restart"/>
            <w:tcBorders>
              <w:top w:val="single" w:color="000000" w:sz="10" w:space="0"/>
              <w:bottom w:val="nil"/>
            </w:tcBorders>
            <w:vAlign w:val="top"/>
          </w:tcPr>
          <w:p w14:paraId="19553A2E">
            <w:pPr>
              <w:pStyle w:val="6"/>
              <w:spacing w:before="104" w:line="247" w:lineRule="auto"/>
              <w:ind w:left="394" w:right="156" w:hanging="233"/>
              <w:rPr>
                <w:rFonts w:ascii="Times New Roman" w:hAnsi="Times New Roman" w:eastAsia="Times New Roman" w:cs="Times New Roman"/>
                <w:sz w:val="20"/>
                <w:szCs w:val="20"/>
              </w:rPr>
            </w:pPr>
            <w:r>
              <w:rPr>
                <w:spacing w:val="7"/>
                <w:sz w:val="20"/>
                <w:szCs w:val="20"/>
              </w:rPr>
              <w:t>传播距离</w:t>
            </w:r>
            <w:r>
              <w:rPr>
                <w:spacing w:val="2"/>
                <w:sz w:val="20"/>
                <w:szCs w:val="20"/>
              </w:rPr>
              <w:t xml:space="preserve"> </w:t>
            </w:r>
            <w:r>
              <w:rPr>
                <w:rFonts w:ascii="Times New Roman" w:hAnsi="Times New Roman" w:eastAsia="Times New Roman" w:cs="Times New Roman"/>
                <w:sz w:val="20"/>
                <w:szCs w:val="20"/>
              </w:rPr>
              <w:t>d</w:t>
            </w:r>
            <w:r>
              <w:rPr>
                <w:rFonts w:ascii="Times New Roman" w:hAnsi="Times New Roman" w:eastAsia="Times New Roman" w:cs="Times New Roman"/>
                <w:position w:val="-1"/>
                <w:sz w:val="13"/>
                <w:szCs w:val="13"/>
              </w:rPr>
              <w:t>f</w:t>
            </w:r>
            <w:r>
              <w:rPr>
                <w:rFonts w:ascii="Times New Roman" w:hAnsi="Times New Roman" w:eastAsia="Times New Roman" w:cs="Times New Roman"/>
                <w:spacing w:val="4"/>
                <w:sz w:val="20"/>
                <w:szCs w:val="20"/>
              </w:rPr>
              <w:t>/m</w:t>
            </w:r>
          </w:p>
        </w:tc>
        <w:tc>
          <w:tcPr>
            <w:tcW w:w="7005" w:type="dxa"/>
            <w:gridSpan w:val="8"/>
            <w:tcBorders>
              <w:top w:val="single" w:color="000000" w:sz="10" w:space="0"/>
              <w:right w:val="nil"/>
            </w:tcBorders>
            <w:vAlign w:val="top"/>
          </w:tcPr>
          <w:p w14:paraId="6743BEF5">
            <w:pPr>
              <w:pStyle w:val="6"/>
              <w:spacing w:before="54" w:line="228" w:lineRule="auto"/>
              <w:ind w:left="2621"/>
              <w:rPr>
                <w:rFonts w:ascii="Times New Roman" w:hAnsi="Times New Roman" w:eastAsia="Times New Roman" w:cs="Times New Roman"/>
                <w:sz w:val="20"/>
                <w:szCs w:val="20"/>
              </w:rPr>
            </w:pPr>
            <w:r>
              <w:rPr>
                <w:spacing w:val="9"/>
                <w:sz w:val="20"/>
                <w:szCs w:val="20"/>
              </w:rPr>
              <w:t>倍频带中心频率</w:t>
            </w:r>
            <w:r>
              <w:rPr>
                <w:rFonts w:ascii="Times New Roman" w:hAnsi="Times New Roman" w:eastAsia="Times New Roman" w:cs="Times New Roman"/>
                <w:spacing w:val="9"/>
                <w:sz w:val="20"/>
                <w:szCs w:val="20"/>
              </w:rPr>
              <w:t>/</w:t>
            </w:r>
            <w:r>
              <w:rPr>
                <w:rFonts w:ascii="Times New Roman" w:hAnsi="Times New Roman" w:eastAsia="Times New Roman" w:cs="Times New Roman"/>
                <w:sz w:val="20"/>
                <w:szCs w:val="20"/>
              </w:rPr>
              <w:t>Hz</w:t>
            </w:r>
          </w:p>
        </w:tc>
      </w:tr>
      <w:tr w14:paraId="61EDF4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1128" w:type="dxa"/>
            <w:vMerge w:val="continue"/>
            <w:tcBorders>
              <w:top w:val="nil"/>
              <w:left w:val="nil"/>
            </w:tcBorders>
            <w:vAlign w:val="top"/>
          </w:tcPr>
          <w:p w14:paraId="7C18D1FD">
            <w:pPr>
              <w:rPr>
                <w:rFonts w:ascii="Arial"/>
                <w:sz w:val="21"/>
              </w:rPr>
            </w:pPr>
          </w:p>
        </w:tc>
        <w:tc>
          <w:tcPr>
            <w:tcW w:w="1154" w:type="dxa"/>
            <w:vMerge w:val="continue"/>
            <w:tcBorders>
              <w:top w:val="nil"/>
            </w:tcBorders>
            <w:vAlign w:val="top"/>
          </w:tcPr>
          <w:p w14:paraId="3CFE43CA">
            <w:pPr>
              <w:rPr>
                <w:rFonts w:ascii="Arial"/>
                <w:sz w:val="21"/>
              </w:rPr>
            </w:pPr>
          </w:p>
        </w:tc>
        <w:tc>
          <w:tcPr>
            <w:tcW w:w="875" w:type="dxa"/>
            <w:vAlign w:val="top"/>
          </w:tcPr>
          <w:p w14:paraId="107CABB1">
            <w:pPr>
              <w:spacing w:before="104" w:line="195" w:lineRule="auto"/>
              <w:ind w:left="339"/>
              <w:rPr>
                <w:rFonts w:ascii="Times New Roman" w:hAnsi="Times New Roman" w:eastAsia="Times New Roman" w:cs="Times New Roman"/>
                <w:sz w:val="20"/>
                <w:szCs w:val="20"/>
              </w:rPr>
            </w:pPr>
            <w:r>
              <w:rPr>
                <w:rFonts w:ascii="Times New Roman" w:hAnsi="Times New Roman" w:eastAsia="Times New Roman" w:cs="Times New Roman"/>
                <w:sz w:val="20"/>
                <w:szCs w:val="20"/>
              </w:rPr>
              <w:t>63</w:t>
            </w:r>
          </w:p>
        </w:tc>
        <w:tc>
          <w:tcPr>
            <w:tcW w:w="875" w:type="dxa"/>
            <w:vAlign w:val="top"/>
          </w:tcPr>
          <w:p w14:paraId="20D814E8">
            <w:pPr>
              <w:spacing w:before="104" w:line="195" w:lineRule="auto"/>
              <w:ind w:left="3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125</w:t>
            </w:r>
          </w:p>
        </w:tc>
        <w:tc>
          <w:tcPr>
            <w:tcW w:w="877" w:type="dxa"/>
            <w:vAlign w:val="top"/>
          </w:tcPr>
          <w:p w14:paraId="59B59082">
            <w:pPr>
              <w:spacing w:before="104" w:line="195" w:lineRule="auto"/>
              <w:ind w:left="28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c>
          <w:tcPr>
            <w:tcW w:w="877" w:type="dxa"/>
            <w:vAlign w:val="top"/>
          </w:tcPr>
          <w:p w14:paraId="4B8CE3F1">
            <w:pPr>
              <w:spacing w:before="104" w:line="195" w:lineRule="auto"/>
              <w:ind w:left="28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500</w:t>
            </w:r>
          </w:p>
        </w:tc>
        <w:tc>
          <w:tcPr>
            <w:tcW w:w="877" w:type="dxa"/>
            <w:vAlign w:val="top"/>
          </w:tcPr>
          <w:p w14:paraId="1D51387F">
            <w:pPr>
              <w:spacing w:before="104"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1000</w:t>
            </w:r>
          </w:p>
        </w:tc>
        <w:tc>
          <w:tcPr>
            <w:tcW w:w="876" w:type="dxa"/>
            <w:vAlign w:val="top"/>
          </w:tcPr>
          <w:p w14:paraId="7BEE2808">
            <w:pPr>
              <w:spacing w:before="104" w:line="195" w:lineRule="auto"/>
              <w:ind w:left="2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2000</w:t>
            </w:r>
          </w:p>
        </w:tc>
        <w:tc>
          <w:tcPr>
            <w:tcW w:w="877" w:type="dxa"/>
            <w:vAlign w:val="top"/>
          </w:tcPr>
          <w:p w14:paraId="19316F10">
            <w:pPr>
              <w:spacing w:before="104" w:line="195"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4000</w:t>
            </w:r>
          </w:p>
        </w:tc>
        <w:tc>
          <w:tcPr>
            <w:tcW w:w="871" w:type="dxa"/>
            <w:tcBorders>
              <w:right w:val="nil"/>
            </w:tcBorders>
            <w:vAlign w:val="top"/>
          </w:tcPr>
          <w:p w14:paraId="7CD3D23A">
            <w:pPr>
              <w:spacing w:before="104" w:line="195" w:lineRule="auto"/>
              <w:ind w:left="23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8000</w:t>
            </w:r>
          </w:p>
        </w:tc>
      </w:tr>
      <w:tr w14:paraId="4C204D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1128" w:type="dxa"/>
            <w:tcBorders>
              <w:left w:val="nil"/>
            </w:tcBorders>
            <w:vAlign w:val="top"/>
          </w:tcPr>
          <w:p w14:paraId="71DA4C81">
            <w:pPr>
              <w:pStyle w:val="6"/>
              <w:spacing w:before="73" w:line="227" w:lineRule="auto"/>
              <w:ind w:left="211"/>
              <w:rPr>
                <w:rFonts w:ascii="Times New Roman" w:hAnsi="Times New Roman" w:eastAsia="Times New Roman" w:cs="Times New Roman"/>
                <w:sz w:val="20"/>
                <w:szCs w:val="20"/>
              </w:rPr>
            </w:pPr>
            <w:r>
              <w:rPr>
                <w:spacing w:val="8"/>
                <w:sz w:val="20"/>
                <w:szCs w:val="20"/>
              </w:rPr>
              <w:t>衰减</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dB</w:t>
            </w:r>
          </w:p>
        </w:tc>
        <w:tc>
          <w:tcPr>
            <w:tcW w:w="1154" w:type="dxa"/>
            <w:vAlign w:val="top"/>
          </w:tcPr>
          <w:p w14:paraId="3DC1974B">
            <w:pPr>
              <w:spacing w:before="104" w:line="200" w:lineRule="auto"/>
              <w:ind w:left="19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w:t>
            </w:r>
            <w:r>
              <w:rPr>
                <w:rFonts w:ascii="Times New Roman" w:hAnsi="Times New Roman" w:eastAsia="Times New Roman" w:cs="Times New Roman"/>
                <w:sz w:val="20"/>
                <w:szCs w:val="20"/>
              </w:rPr>
              <w:t>d</w:t>
            </w:r>
            <w:r>
              <w:rPr>
                <w:rFonts w:ascii="Times New Roman" w:hAnsi="Times New Roman" w:eastAsia="Times New Roman" w:cs="Times New Roman"/>
                <w:position w:val="-1"/>
                <w:sz w:val="13"/>
                <w:szCs w:val="13"/>
              </w:rPr>
              <w:t>f</w:t>
            </w:r>
            <w:r>
              <w:rPr>
                <w:rFonts w:ascii="Times New Roman" w:hAnsi="Times New Roman" w:eastAsia="Times New Roman" w:cs="Times New Roman"/>
                <w:spacing w:val="2"/>
                <w:sz w:val="20"/>
                <w:szCs w:val="20"/>
              </w:rPr>
              <w:t>&lt;20</w:t>
            </w:r>
          </w:p>
        </w:tc>
        <w:tc>
          <w:tcPr>
            <w:tcW w:w="875" w:type="dxa"/>
            <w:vAlign w:val="top"/>
          </w:tcPr>
          <w:p w14:paraId="5B9CA7CE">
            <w:pPr>
              <w:spacing w:before="108" w:line="195" w:lineRule="auto"/>
              <w:ind w:left="390"/>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875" w:type="dxa"/>
            <w:vAlign w:val="top"/>
          </w:tcPr>
          <w:p w14:paraId="03C0E89F">
            <w:pPr>
              <w:spacing w:before="108" w:line="195" w:lineRule="auto"/>
              <w:ind w:left="389"/>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877" w:type="dxa"/>
            <w:vAlign w:val="top"/>
          </w:tcPr>
          <w:p w14:paraId="4C815FB1">
            <w:pPr>
              <w:spacing w:before="108" w:line="195" w:lineRule="auto"/>
              <w:ind w:left="407"/>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877" w:type="dxa"/>
            <w:vAlign w:val="top"/>
          </w:tcPr>
          <w:p w14:paraId="7D90ED42">
            <w:pPr>
              <w:spacing w:before="108" w:line="195" w:lineRule="auto"/>
              <w:ind w:left="408"/>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877" w:type="dxa"/>
            <w:vAlign w:val="top"/>
          </w:tcPr>
          <w:p w14:paraId="36AAE1CB">
            <w:pPr>
              <w:spacing w:before="108" w:line="195" w:lineRule="auto"/>
              <w:ind w:left="407"/>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876" w:type="dxa"/>
            <w:vAlign w:val="top"/>
          </w:tcPr>
          <w:p w14:paraId="12FF79BE">
            <w:pPr>
              <w:spacing w:before="108" w:line="195" w:lineRule="auto"/>
              <w:ind w:left="40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877" w:type="dxa"/>
            <w:vAlign w:val="top"/>
          </w:tcPr>
          <w:p w14:paraId="30BE23A2">
            <w:pPr>
              <w:spacing w:before="108" w:line="195" w:lineRule="auto"/>
              <w:ind w:left="389"/>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871" w:type="dxa"/>
            <w:tcBorders>
              <w:right w:val="nil"/>
            </w:tcBorders>
            <w:vAlign w:val="top"/>
          </w:tcPr>
          <w:p w14:paraId="6788683F">
            <w:pPr>
              <w:spacing w:before="108" w:line="195" w:lineRule="auto"/>
              <w:ind w:left="389"/>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r>
      <w:tr w14:paraId="7A240F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2" w:hRule="atLeast"/>
        </w:trPr>
        <w:tc>
          <w:tcPr>
            <w:tcW w:w="1128" w:type="dxa"/>
            <w:tcBorders>
              <w:left w:val="nil"/>
              <w:bottom w:val="single" w:color="000000" w:sz="10" w:space="0"/>
            </w:tcBorders>
            <w:vAlign w:val="top"/>
          </w:tcPr>
          <w:p w14:paraId="6FB50838">
            <w:pPr>
              <w:pStyle w:val="6"/>
              <w:spacing w:before="50" w:line="228" w:lineRule="auto"/>
              <w:ind w:left="123"/>
              <w:rPr>
                <w:rFonts w:ascii="Times New Roman" w:hAnsi="Times New Roman" w:eastAsia="Times New Roman" w:cs="Times New Roman"/>
                <w:sz w:val="20"/>
                <w:szCs w:val="20"/>
              </w:rPr>
            </w:pPr>
            <w:r>
              <w:rPr>
                <w:spacing w:val="6"/>
                <w:sz w:val="20"/>
                <w:szCs w:val="20"/>
              </w:rPr>
              <w:t>衰减系数</w:t>
            </w:r>
            <w:r>
              <w:rPr>
                <w:rFonts w:ascii="Times New Roman" w:hAnsi="Times New Roman" w:eastAsia="Times New Roman" w:cs="Times New Roman"/>
                <w:spacing w:val="6"/>
                <w:sz w:val="20"/>
                <w:szCs w:val="20"/>
              </w:rPr>
              <w:t>/</w:t>
            </w:r>
          </w:p>
        </w:tc>
        <w:tc>
          <w:tcPr>
            <w:tcW w:w="1154" w:type="dxa"/>
            <w:tcBorders>
              <w:bottom w:val="single" w:color="000000" w:sz="10" w:space="0"/>
            </w:tcBorders>
            <w:vAlign w:val="top"/>
          </w:tcPr>
          <w:p w14:paraId="3488024C">
            <w:pPr>
              <w:spacing w:before="111" w:line="200" w:lineRule="auto"/>
              <w:ind w:left="123"/>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20≤</w:t>
            </w:r>
            <w:r>
              <w:rPr>
                <w:rFonts w:ascii="Times New Roman" w:hAnsi="Times New Roman" w:eastAsia="Times New Roman" w:cs="Times New Roman"/>
                <w:sz w:val="20"/>
                <w:szCs w:val="20"/>
              </w:rPr>
              <w:t>d</w:t>
            </w:r>
            <w:r>
              <w:rPr>
                <w:rFonts w:ascii="Times New Roman" w:hAnsi="Times New Roman" w:eastAsia="Times New Roman" w:cs="Times New Roman"/>
                <w:position w:val="-1"/>
                <w:sz w:val="13"/>
                <w:szCs w:val="13"/>
              </w:rPr>
              <w:t>f</w:t>
            </w:r>
            <w:r>
              <w:rPr>
                <w:rFonts w:ascii="Times New Roman" w:hAnsi="Times New Roman" w:eastAsia="Times New Roman" w:cs="Times New Roman"/>
                <w:spacing w:val="5"/>
                <w:sz w:val="20"/>
                <w:szCs w:val="20"/>
              </w:rPr>
              <w:t>&lt;200</w:t>
            </w:r>
          </w:p>
        </w:tc>
        <w:tc>
          <w:tcPr>
            <w:tcW w:w="875" w:type="dxa"/>
            <w:tcBorders>
              <w:bottom w:val="single" w:color="000000" w:sz="10" w:space="0"/>
            </w:tcBorders>
            <w:vAlign w:val="top"/>
          </w:tcPr>
          <w:p w14:paraId="6F4E9E01">
            <w:pPr>
              <w:spacing w:before="115" w:line="195" w:lineRule="auto"/>
              <w:ind w:left="2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0.02</w:t>
            </w:r>
          </w:p>
        </w:tc>
        <w:tc>
          <w:tcPr>
            <w:tcW w:w="875" w:type="dxa"/>
            <w:tcBorders>
              <w:bottom w:val="single" w:color="000000" w:sz="10" w:space="0"/>
            </w:tcBorders>
            <w:vAlign w:val="top"/>
          </w:tcPr>
          <w:p w14:paraId="57D6DC9E">
            <w:pPr>
              <w:spacing w:before="115" w:line="195"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0.03</w:t>
            </w:r>
          </w:p>
        </w:tc>
        <w:tc>
          <w:tcPr>
            <w:tcW w:w="877" w:type="dxa"/>
            <w:tcBorders>
              <w:bottom w:val="single" w:color="000000" w:sz="10" w:space="0"/>
            </w:tcBorders>
            <w:vAlign w:val="top"/>
          </w:tcPr>
          <w:p w14:paraId="380EB334">
            <w:pPr>
              <w:spacing w:before="115" w:line="195" w:lineRule="auto"/>
              <w:ind w:left="2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0.04</w:t>
            </w:r>
          </w:p>
        </w:tc>
        <w:tc>
          <w:tcPr>
            <w:tcW w:w="877" w:type="dxa"/>
            <w:tcBorders>
              <w:bottom w:val="single" w:color="000000" w:sz="10" w:space="0"/>
            </w:tcBorders>
            <w:vAlign w:val="top"/>
          </w:tcPr>
          <w:p w14:paraId="0751F28A">
            <w:pPr>
              <w:spacing w:before="115" w:line="195" w:lineRule="auto"/>
              <w:ind w:left="2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0.05</w:t>
            </w:r>
          </w:p>
        </w:tc>
        <w:tc>
          <w:tcPr>
            <w:tcW w:w="877" w:type="dxa"/>
            <w:tcBorders>
              <w:bottom w:val="single" w:color="000000" w:sz="10" w:space="0"/>
            </w:tcBorders>
            <w:vAlign w:val="top"/>
          </w:tcPr>
          <w:p w14:paraId="01A78091">
            <w:pPr>
              <w:spacing w:before="115" w:line="195" w:lineRule="auto"/>
              <w:ind w:left="25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0.06</w:t>
            </w:r>
          </w:p>
        </w:tc>
        <w:tc>
          <w:tcPr>
            <w:tcW w:w="876" w:type="dxa"/>
            <w:tcBorders>
              <w:bottom w:val="single" w:color="000000" w:sz="10" w:space="0"/>
            </w:tcBorders>
            <w:vAlign w:val="top"/>
          </w:tcPr>
          <w:p w14:paraId="45A575FE">
            <w:pPr>
              <w:spacing w:before="115" w:line="195"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w:t>
            </w:r>
          </w:p>
        </w:tc>
        <w:tc>
          <w:tcPr>
            <w:tcW w:w="877" w:type="dxa"/>
            <w:tcBorders>
              <w:bottom w:val="single" w:color="000000" w:sz="10" w:space="0"/>
            </w:tcBorders>
            <w:vAlign w:val="top"/>
          </w:tcPr>
          <w:p w14:paraId="422715BF">
            <w:pPr>
              <w:spacing w:before="115" w:line="195" w:lineRule="auto"/>
              <w:ind w:left="26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0.09</w:t>
            </w:r>
          </w:p>
        </w:tc>
        <w:tc>
          <w:tcPr>
            <w:tcW w:w="871" w:type="dxa"/>
            <w:tcBorders>
              <w:bottom w:val="single" w:color="000000" w:sz="10" w:space="0"/>
              <w:right w:val="nil"/>
            </w:tcBorders>
            <w:vAlign w:val="top"/>
          </w:tcPr>
          <w:p w14:paraId="331E811E">
            <w:pPr>
              <w:spacing w:before="115" w:line="195" w:lineRule="auto"/>
              <w:ind w:left="25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w:t>
            </w:r>
          </w:p>
        </w:tc>
      </w:tr>
    </w:tbl>
    <w:p w14:paraId="33242507">
      <w:pPr>
        <w:spacing w:before="127" w:line="217" w:lineRule="auto"/>
        <w:ind w:left="594"/>
        <w:rPr>
          <w:rFonts w:ascii="宋体" w:hAnsi="宋体" w:eastAsia="宋体" w:cs="宋体"/>
          <w:sz w:val="24"/>
          <w:szCs w:val="24"/>
        </w:rPr>
      </w:pPr>
      <w:r>
        <w:pict>
          <v:shape id="_x0000_s1836" o:spid="_x0000_s1836" o:spt="202" type="#_x0000_t202" style="position:absolute;left:0pt;margin-left:5.85pt;margin-top:-3.75pt;height:12.45pt;width:44.5pt;z-index:-251265024;mso-width-relative:page;mso-height-relative:page;" filled="f" stroked="f" coordsize="21600,21600">
            <v:path/>
            <v:fill on="f" focussize="0,0"/>
            <v:stroke on="f"/>
            <v:imagedata o:title=""/>
            <o:lock v:ext="edit" aspectratio="f"/>
            <v:textbox inset="0mm,0mm,0mm,0mm">
              <w:txbxContent>
                <w:p w14:paraId="2982EC97">
                  <w:pPr>
                    <w:spacing w:before="19" w:line="193" w:lineRule="auto"/>
                    <w:ind w:left="20"/>
                    <w:rPr>
                      <w:rFonts w:ascii="宋体" w:hAnsi="宋体" w:eastAsia="宋体" w:cs="宋体"/>
                      <w:sz w:val="20"/>
                      <w:szCs w:val="20"/>
                    </w:rPr>
                  </w:pPr>
                  <w:r>
                    <w:rPr>
                      <w:rFonts w:ascii="宋体" w:hAnsi="宋体" w:eastAsia="宋体" w:cs="宋体"/>
                      <w:spacing w:val="2"/>
                      <w:sz w:val="20"/>
                      <w:szCs w:val="20"/>
                    </w:rPr>
                    <w:t>（</w:t>
                  </w:r>
                  <w:r>
                    <w:rPr>
                      <w:rFonts w:ascii="Times New Roman" w:hAnsi="Times New Roman" w:eastAsia="Times New Roman" w:cs="Times New Roman"/>
                      <w:sz w:val="20"/>
                      <w:szCs w:val="20"/>
                    </w:rPr>
                    <w:t>dB</w:t>
                  </w:r>
                  <w:r>
                    <w:rPr>
                      <w:rFonts w:ascii="Times New Roman" w:hAnsi="Times New Roman" w:eastAsia="Times New Roman" w:cs="Times New Roman"/>
                      <w:spacing w:val="2"/>
                      <w:sz w:val="20"/>
                      <w:szCs w:val="20"/>
                    </w:rPr>
                    <w:t>/</w:t>
                  </w:r>
                  <w:r>
                    <w:rPr>
                      <w:rFonts w:ascii="Times New Roman" w:hAnsi="Times New Roman" w:eastAsia="Times New Roman" w:cs="Times New Roman"/>
                      <w:spacing w:val="4"/>
                      <w:sz w:val="20"/>
                      <w:szCs w:val="20"/>
                    </w:rPr>
                    <w:t xml:space="preserve">   </w:t>
                  </w:r>
                  <w:r>
                    <w:rPr>
                      <w:rFonts w:ascii="宋体" w:hAnsi="宋体" w:eastAsia="宋体" w:cs="宋体"/>
                      <w:spacing w:val="2"/>
                      <w:sz w:val="20"/>
                      <w:szCs w:val="20"/>
                    </w:rPr>
                    <w:t>）</w:t>
                  </w:r>
                </w:p>
              </w:txbxContent>
            </v:textbox>
          </v:shape>
        </w:pict>
      </w:r>
      <w:r>
        <w:rPr>
          <w:rFonts w:ascii="宋体" w:hAnsi="宋体" w:eastAsia="宋体" w:cs="宋体"/>
          <w:b/>
          <w:bCs/>
          <w:spacing w:val="-1"/>
          <w:sz w:val="24"/>
          <w:szCs w:val="24"/>
        </w:rPr>
        <w:t>②建筑群噪声衰减（</w:t>
      </w:r>
      <w:r>
        <w:rPr>
          <w:rFonts w:ascii="Times New Roman" w:hAnsi="Times New Roman" w:eastAsia="Times New Roman" w:cs="Times New Roman"/>
          <w:b/>
          <w:bCs/>
          <w:spacing w:val="-1"/>
          <w:sz w:val="24"/>
          <w:szCs w:val="24"/>
        </w:rPr>
        <w:t>A</w:t>
      </w:r>
      <w:r>
        <w:rPr>
          <w:rFonts w:ascii="Times New Roman" w:hAnsi="Times New Roman" w:eastAsia="Times New Roman" w:cs="Times New Roman"/>
          <w:b/>
          <w:bCs/>
          <w:spacing w:val="-1"/>
          <w:position w:val="-1"/>
          <w:sz w:val="15"/>
          <w:szCs w:val="15"/>
        </w:rPr>
        <w:t>hous</w:t>
      </w:r>
      <w:r>
        <w:rPr>
          <w:rFonts w:ascii="宋体" w:hAnsi="宋体" w:eastAsia="宋体" w:cs="宋体"/>
          <w:b/>
          <w:bCs/>
          <w:spacing w:val="-1"/>
          <w:sz w:val="24"/>
          <w:szCs w:val="24"/>
        </w:rPr>
        <w:t>）</w:t>
      </w:r>
    </w:p>
    <w:p w14:paraId="346C3D24">
      <w:pPr>
        <w:spacing w:before="207" w:line="359" w:lineRule="auto"/>
        <w:ind w:left="118" w:right="224" w:firstLine="480"/>
        <w:rPr>
          <w:rFonts w:ascii="宋体" w:hAnsi="宋体" w:eastAsia="宋体" w:cs="宋体"/>
          <w:sz w:val="24"/>
          <w:szCs w:val="24"/>
        </w:rPr>
      </w:pPr>
      <w:r>
        <w:rPr>
          <w:rFonts w:ascii="宋体" w:hAnsi="宋体" w:eastAsia="宋体" w:cs="宋体"/>
          <w:spacing w:val="-2"/>
          <w:sz w:val="24"/>
          <w:szCs w:val="24"/>
        </w:rPr>
        <w:t>建筑群衰减</w:t>
      </w:r>
      <w:r>
        <w:rPr>
          <w:rFonts w:ascii="宋体" w:hAnsi="宋体" w:eastAsia="宋体" w:cs="宋体"/>
          <w:spacing w:val="-46"/>
          <w:sz w:val="24"/>
          <w:szCs w:val="24"/>
        </w:rPr>
        <w:t xml:space="preserve"> </w:t>
      </w:r>
      <w:r>
        <w:rPr>
          <w:rFonts w:ascii="Times New Roman" w:hAnsi="Times New Roman" w:eastAsia="Times New Roman" w:cs="Times New Roman"/>
          <w:b/>
          <w:bCs/>
          <w:spacing w:val="-2"/>
          <w:sz w:val="24"/>
          <w:szCs w:val="24"/>
        </w:rPr>
        <w:t>A</w:t>
      </w:r>
      <w:r>
        <w:rPr>
          <w:rFonts w:ascii="Times New Roman" w:hAnsi="Times New Roman" w:eastAsia="Times New Roman" w:cs="Times New Roman"/>
          <w:b/>
          <w:bCs/>
          <w:spacing w:val="-2"/>
          <w:position w:val="-1"/>
          <w:sz w:val="15"/>
          <w:szCs w:val="15"/>
        </w:rPr>
        <w:t>hous</w:t>
      </w:r>
      <w:r>
        <w:rPr>
          <w:rFonts w:ascii="Times New Roman" w:hAnsi="Times New Roman" w:eastAsia="Times New Roman" w:cs="Times New Roman"/>
          <w:b/>
          <w:bCs/>
          <w:spacing w:val="13"/>
          <w:w w:val="101"/>
          <w:position w:val="-1"/>
          <w:sz w:val="15"/>
          <w:szCs w:val="15"/>
        </w:rPr>
        <w:t xml:space="preserve"> </w:t>
      </w:r>
      <w:r>
        <w:rPr>
          <w:rFonts w:ascii="宋体" w:hAnsi="宋体" w:eastAsia="宋体" w:cs="宋体"/>
          <w:spacing w:val="-2"/>
          <w:sz w:val="24"/>
          <w:szCs w:val="24"/>
        </w:rPr>
        <w:t>不超过</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10dB</w:t>
      </w:r>
      <w:r>
        <w:rPr>
          <w:rFonts w:ascii="Times New Roman" w:hAnsi="Times New Roman" w:eastAsia="Times New Roman" w:cs="Times New Roman"/>
          <w:spacing w:val="21"/>
          <w:w w:val="101"/>
          <w:sz w:val="24"/>
          <w:szCs w:val="24"/>
        </w:rPr>
        <w:t xml:space="preserve"> </w:t>
      </w:r>
      <w:r>
        <w:rPr>
          <w:rFonts w:ascii="宋体" w:hAnsi="宋体" w:eastAsia="宋体" w:cs="宋体"/>
          <w:spacing w:val="-2"/>
          <w:sz w:val="24"/>
          <w:szCs w:val="24"/>
        </w:rPr>
        <w:t>时，近似等效连续</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 xml:space="preserve">A </w:t>
      </w:r>
      <w:r>
        <w:rPr>
          <w:rFonts w:ascii="宋体" w:hAnsi="宋体" w:eastAsia="宋体" w:cs="宋体"/>
          <w:spacing w:val="-2"/>
          <w:sz w:val="24"/>
          <w:szCs w:val="24"/>
        </w:rPr>
        <w:t>声级按下式估算。当从受声点</w:t>
      </w:r>
      <w:r>
        <w:rPr>
          <w:rFonts w:ascii="宋体" w:hAnsi="宋体" w:eastAsia="宋体" w:cs="宋体"/>
          <w:sz w:val="24"/>
          <w:szCs w:val="24"/>
        </w:rPr>
        <w:t xml:space="preserve"> </w:t>
      </w:r>
      <w:r>
        <w:rPr>
          <w:rFonts w:ascii="宋体" w:hAnsi="宋体" w:eastAsia="宋体" w:cs="宋体"/>
          <w:spacing w:val="-1"/>
          <w:sz w:val="24"/>
          <w:szCs w:val="24"/>
        </w:rPr>
        <w:t>可直接观察到线路时，不考虑此项衰减。</w:t>
      </w:r>
    </w:p>
    <w:p w14:paraId="5B095A37">
      <w:pPr>
        <w:spacing w:before="3" w:line="365" w:lineRule="auto"/>
        <w:ind w:left="601" w:right="3371" w:firstLine="3251"/>
        <w:rPr>
          <w:rFonts w:ascii="宋体" w:hAnsi="宋体" w:eastAsia="宋体" w:cs="宋体"/>
          <w:sz w:val="24"/>
          <w:szCs w:val="24"/>
        </w:rPr>
      </w:pP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hous</w:t>
      </w:r>
      <w:r>
        <w:rPr>
          <w:rFonts w:ascii="Times New Roman" w:hAnsi="Times New Roman" w:eastAsia="Times New Roman" w:cs="Times New Roman"/>
          <w:spacing w:val="5"/>
          <w:sz w:val="24"/>
          <w:szCs w:val="24"/>
        </w:rPr>
        <w:t>=</w:t>
      </w: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hous</w:t>
      </w:r>
      <w:r>
        <w:rPr>
          <w:rFonts w:ascii="宋体" w:hAnsi="宋体" w:eastAsia="宋体" w:cs="宋体"/>
          <w:spacing w:val="5"/>
          <w:position w:val="-2"/>
          <w:sz w:val="12"/>
          <w:szCs w:val="12"/>
        </w:rPr>
        <w:t>，</w:t>
      </w:r>
      <w:r>
        <w:rPr>
          <w:rFonts w:ascii="Times New Roman" w:hAnsi="Times New Roman" w:eastAsia="Times New Roman" w:cs="Times New Roman"/>
          <w:spacing w:val="5"/>
          <w:position w:val="-1"/>
          <w:sz w:val="15"/>
          <w:szCs w:val="15"/>
        </w:rPr>
        <w:t>1</w:t>
      </w:r>
      <w:r>
        <w:rPr>
          <w:rFonts w:ascii="Times New Roman" w:hAnsi="Times New Roman" w:eastAsia="Times New Roman" w:cs="Times New Roman"/>
          <w:spacing w:val="5"/>
          <w:sz w:val="24"/>
          <w:szCs w:val="24"/>
        </w:rPr>
        <w:t>+</w:t>
      </w: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hous</w:t>
      </w:r>
      <w:r>
        <w:rPr>
          <w:rFonts w:ascii="宋体" w:hAnsi="宋体" w:eastAsia="宋体" w:cs="宋体"/>
          <w:spacing w:val="5"/>
          <w:position w:val="-2"/>
          <w:sz w:val="12"/>
          <w:szCs w:val="12"/>
        </w:rPr>
        <w:t>，</w:t>
      </w:r>
      <w:r>
        <w:rPr>
          <w:rFonts w:ascii="Times New Roman" w:hAnsi="Times New Roman" w:eastAsia="Times New Roman" w:cs="Times New Roman"/>
          <w:spacing w:val="5"/>
          <w:position w:val="-1"/>
          <w:sz w:val="15"/>
          <w:szCs w:val="15"/>
        </w:rPr>
        <w:t>2</w:t>
      </w:r>
      <w:r>
        <w:rPr>
          <w:rFonts w:ascii="Times New Roman" w:hAnsi="Times New Roman" w:eastAsia="Times New Roman" w:cs="Times New Roman"/>
          <w:spacing w:val="1"/>
          <w:position w:val="-1"/>
          <w:sz w:val="15"/>
          <w:szCs w:val="15"/>
        </w:rPr>
        <w:t xml:space="preserve"> </w:t>
      </w:r>
      <w:r>
        <w:rPr>
          <w:rFonts w:ascii="宋体" w:hAnsi="宋体" w:eastAsia="宋体" w:cs="宋体"/>
          <w:spacing w:val="-2"/>
          <w:sz w:val="24"/>
          <w:szCs w:val="24"/>
        </w:rPr>
        <w:t>式中</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A</w:t>
      </w:r>
      <w:r>
        <w:rPr>
          <w:rFonts w:ascii="Times New Roman" w:hAnsi="Times New Roman" w:eastAsia="Times New Roman" w:cs="Times New Roman"/>
          <w:spacing w:val="-2"/>
          <w:position w:val="-1"/>
          <w:sz w:val="15"/>
          <w:szCs w:val="15"/>
        </w:rPr>
        <w:t>hous</w:t>
      </w:r>
      <w:r>
        <w:rPr>
          <w:rFonts w:ascii="Times New Roman" w:hAnsi="Times New Roman" w:eastAsia="Times New Roman" w:cs="Times New Roman"/>
          <w:spacing w:val="-21"/>
          <w:position w:val="-1"/>
          <w:sz w:val="15"/>
          <w:szCs w:val="15"/>
        </w:rPr>
        <w:t xml:space="preserve"> </w:t>
      </w:r>
      <w:r>
        <w:rPr>
          <w:rFonts w:ascii="宋体" w:hAnsi="宋体" w:eastAsia="宋体" w:cs="宋体"/>
          <w:spacing w:val="-2"/>
          <w:position w:val="-3"/>
          <w:sz w:val="12"/>
          <w:szCs w:val="12"/>
        </w:rPr>
        <w:t>，</w:t>
      </w:r>
      <w:r>
        <w:rPr>
          <w:rFonts w:ascii="Times New Roman" w:hAnsi="Times New Roman" w:eastAsia="Times New Roman" w:cs="Times New Roman"/>
          <w:spacing w:val="-2"/>
          <w:position w:val="-1"/>
          <w:sz w:val="15"/>
          <w:szCs w:val="15"/>
        </w:rPr>
        <w:t>1</w:t>
      </w:r>
      <w:r>
        <w:rPr>
          <w:rFonts w:ascii="Times New Roman" w:hAnsi="Times New Roman" w:eastAsia="Times New Roman" w:cs="Times New Roman"/>
          <w:spacing w:val="11"/>
          <w:position w:val="-1"/>
          <w:sz w:val="15"/>
          <w:szCs w:val="15"/>
        </w:rPr>
        <w:t xml:space="preserve"> </w:t>
      </w:r>
      <w:r>
        <w:rPr>
          <w:rFonts w:ascii="宋体" w:hAnsi="宋体" w:eastAsia="宋体" w:cs="宋体"/>
          <w:spacing w:val="-2"/>
          <w:sz w:val="24"/>
          <w:szCs w:val="24"/>
        </w:rPr>
        <w:t>按下式计算，单位为</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dB</w:t>
      </w:r>
      <w:r>
        <w:rPr>
          <w:rFonts w:ascii="宋体" w:hAnsi="宋体" w:eastAsia="宋体" w:cs="宋体"/>
          <w:spacing w:val="-2"/>
          <w:sz w:val="24"/>
          <w:szCs w:val="24"/>
        </w:rPr>
        <w:t>。</w:t>
      </w:r>
    </w:p>
    <w:p w14:paraId="6FA73A73">
      <w:pPr>
        <w:spacing w:before="77" w:line="323" w:lineRule="exact"/>
        <w:ind w:left="4157"/>
        <w:rPr>
          <w:rFonts w:ascii="Times New Roman" w:hAnsi="Times New Roman" w:eastAsia="Times New Roman" w:cs="Times New Roman"/>
          <w:sz w:val="15"/>
          <w:szCs w:val="15"/>
        </w:rPr>
      </w:pPr>
      <w:r>
        <w:rPr>
          <w:rFonts w:ascii="Times New Roman" w:hAnsi="Times New Roman" w:eastAsia="Times New Roman" w:cs="Times New Roman"/>
          <w:spacing w:val="-2"/>
          <w:position w:val="3"/>
          <w:sz w:val="24"/>
          <w:szCs w:val="24"/>
        </w:rPr>
        <w:t>A</w:t>
      </w:r>
      <w:r>
        <w:rPr>
          <w:rFonts w:ascii="Times New Roman" w:hAnsi="Times New Roman" w:eastAsia="Times New Roman" w:cs="Times New Roman"/>
          <w:spacing w:val="-2"/>
          <w:position w:val="2"/>
          <w:sz w:val="15"/>
          <w:szCs w:val="15"/>
        </w:rPr>
        <w:t>hous</w:t>
      </w:r>
      <w:r>
        <w:rPr>
          <w:rFonts w:ascii="宋体" w:hAnsi="宋体" w:eastAsia="宋体" w:cs="宋体"/>
          <w:spacing w:val="-2"/>
          <w:sz w:val="12"/>
          <w:szCs w:val="12"/>
        </w:rPr>
        <w:t>，</w:t>
      </w:r>
      <w:r>
        <w:rPr>
          <w:rFonts w:ascii="Times New Roman" w:hAnsi="Times New Roman" w:eastAsia="Times New Roman" w:cs="Times New Roman"/>
          <w:spacing w:val="-2"/>
          <w:position w:val="2"/>
          <w:sz w:val="15"/>
          <w:szCs w:val="15"/>
        </w:rPr>
        <w:t>1</w:t>
      </w:r>
      <w:r>
        <w:rPr>
          <w:rFonts w:ascii="Times New Roman" w:hAnsi="Times New Roman" w:eastAsia="Times New Roman" w:cs="Times New Roman"/>
          <w:spacing w:val="-2"/>
          <w:position w:val="3"/>
          <w:sz w:val="24"/>
          <w:szCs w:val="24"/>
        </w:rPr>
        <w:t>=0.</w:t>
      </w:r>
      <w:r>
        <w:rPr>
          <w:rFonts w:ascii="Times New Roman" w:hAnsi="Times New Roman" w:eastAsia="Times New Roman" w:cs="Times New Roman"/>
          <w:spacing w:val="-22"/>
          <w:position w:val="3"/>
          <w:sz w:val="24"/>
          <w:szCs w:val="24"/>
        </w:rPr>
        <w:t xml:space="preserve"> </w:t>
      </w:r>
      <w:r>
        <w:rPr>
          <w:rFonts w:ascii="Times New Roman" w:hAnsi="Times New Roman" w:eastAsia="Times New Roman" w:cs="Times New Roman"/>
          <w:spacing w:val="-2"/>
          <w:position w:val="3"/>
          <w:sz w:val="24"/>
          <w:szCs w:val="24"/>
        </w:rPr>
        <w:t>1Bd</w:t>
      </w:r>
      <w:r>
        <w:rPr>
          <w:rFonts w:ascii="Times New Roman" w:hAnsi="Times New Roman" w:eastAsia="Times New Roman" w:cs="Times New Roman"/>
          <w:spacing w:val="-2"/>
          <w:position w:val="2"/>
          <w:sz w:val="15"/>
          <w:szCs w:val="15"/>
        </w:rPr>
        <w:t>b</w:t>
      </w:r>
    </w:p>
    <w:p w14:paraId="0B1EA0D4">
      <w:pPr>
        <w:spacing w:before="209" w:line="364" w:lineRule="auto"/>
        <w:ind w:left="116" w:right="140" w:firstLine="484"/>
        <w:rPr>
          <w:rFonts w:ascii="宋体" w:hAnsi="宋体" w:eastAsia="宋体" w:cs="宋体"/>
          <w:sz w:val="24"/>
          <w:szCs w:val="24"/>
        </w:rPr>
      </w:pPr>
      <w:r>
        <w:rPr>
          <w:rFonts w:ascii="宋体" w:hAnsi="宋体" w:eastAsia="宋体" w:cs="宋体"/>
          <w:sz w:val="24"/>
          <w:szCs w:val="24"/>
        </w:rPr>
        <w:t>式中：</w:t>
      </w:r>
      <w:r>
        <w:rPr>
          <w:rFonts w:ascii="Times New Roman" w:hAnsi="Times New Roman" w:eastAsia="Times New Roman" w:cs="Times New Roman"/>
          <w:sz w:val="24"/>
          <w:szCs w:val="24"/>
        </w:rPr>
        <w:t>B—</w:t>
      </w:r>
      <w:r>
        <w:rPr>
          <w:rFonts w:ascii="宋体" w:hAnsi="宋体" w:eastAsia="宋体" w:cs="宋体"/>
          <w:sz w:val="24"/>
          <w:szCs w:val="24"/>
        </w:rPr>
        <w:t>沿声传播路线上的建筑物的密度，等</w:t>
      </w:r>
      <w:r>
        <w:rPr>
          <w:rFonts w:ascii="宋体" w:hAnsi="宋体" w:eastAsia="宋体" w:cs="宋体"/>
          <w:spacing w:val="-1"/>
          <w:sz w:val="24"/>
          <w:szCs w:val="24"/>
        </w:rPr>
        <w:t>于建筑物总平面面积除以总地面面</w:t>
      </w:r>
      <w:r>
        <w:rPr>
          <w:rFonts w:ascii="宋体" w:hAnsi="宋体" w:eastAsia="宋体" w:cs="宋体"/>
          <w:sz w:val="24"/>
          <w:szCs w:val="24"/>
        </w:rPr>
        <w:t xml:space="preserve"> </w:t>
      </w:r>
      <w:r>
        <w:rPr>
          <w:rFonts w:ascii="宋体" w:hAnsi="宋体" w:eastAsia="宋体" w:cs="宋体"/>
          <w:spacing w:val="-1"/>
          <w:sz w:val="24"/>
          <w:szCs w:val="24"/>
        </w:rPr>
        <w:t>积（包括建筑物所占面积</w:t>
      </w:r>
      <w:r>
        <w:rPr>
          <w:rFonts w:ascii="宋体" w:hAnsi="宋体" w:eastAsia="宋体" w:cs="宋体"/>
          <w:sz w:val="24"/>
          <w:szCs w:val="24"/>
        </w:rPr>
        <w:t>）；</w:t>
      </w:r>
    </w:p>
    <w:p w14:paraId="1957CAE8">
      <w:pPr>
        <w:spacing w:before="34" w:line="390" w:lineRule="auto"/>
        <w:ind w:left="4457" w:right="935" w:hanging="3863"/>
        <w:rPr>
          <w:rFonts w:ascii="Times New Roman" w:hAnsi="Times New Roman" w:eastAsia="Times New Roman" w:cs="Times New Roman"/>
          <w:sz w:val="15"/>
          <w:szCs w:val="15"/>
        </w:rPr>
      </w:pPr>
      <w:r>
        <w:rPr>
          <w:rFonts w:ascii="Times New Roman" w:hAnsi="Times New Roman" w:eastAsia="Times New Roman" w:cs="Times New Roman"/>
          <w:spacing w:val="-3"/>
          <w:sz w:val="24"/>
          <w:szCs w:val="24"/>
        </w:rPr>
        <w:t>d</w:t>
      </w:r>
      <w:r>
        <w:rPr>
          <w:rFonts w:ascii="Times New Roman" w:hAnsi="Times New Roman" w:eastAsia="Times New Roman" w:cs="Times New Roman"/>
          <w:spacing w:val="-3"/>
          <w:position w:val="-1"/>
          <w:sz w:val="15"/>
          <w:szCs w:val="15"/>
        </w:rPr>
        <w:t>b</w:t>
      </w:r>
      <w:r>
        <w:rPr>
          <w:rFonts w:ascii="Times New Roman" w:hAnsi="Times New Roman" w:eastAsia="Times New Roman" w:cs="Times New Roman"/>
          <w:spacing w:val="-3"/>
          <w:sz w:val="24"/>
          <w:szCs w:val="24"/>
        </w:rPr>
        <w:t>—</w:t>
      </w:r>
      <w:r>
        <w:rPr>
          <w:rFonts w:ascii="宋体" w:hAnsi="宋体" w:eastAsia="宋体" w:cs="宋体"/>
          <w:spacing w:val="-3"/>
          <w:sz w:val="24"/>
          <w:szCs w:val="24"/>
        </w:rPr>
        <w:t>通过建筑群的声传播路线长度，按下式计算，</w:t>
      </w:r>
      <w:r>
        <w:rPr>
          <w:rFonts w:ascii="Times New Roman" w:hAnsi="Times New Roman" w:eastAsia="Times New Roman" w:cs="Times New Roman"/>
          <w:spacing w:val="-3"/>
          <w:sz w:val="24"/>
          <w:szCs w:val="24"/>
        </w:rPr>
        <w:t>d</w:t>
      </w:r>
      <w:r>
        <w:rPr>
          <w:rFonts w:ascii="Times New Roman" w:hAnsi="Times New Roman" w:eastAsia="Times New Roman" w:cs="Times New Roman"/>
          <w:spacing w:val="-3"/>
          <w:position w:val="-1"/>
          <w:sz w:val="15"/>
          <w:szCs w:val="15"/>
        </w:rPr>
        <w:t>1</w:t>
      </w:r>
      <w:r>
        <w:rPr>
          <w:rFonts w:ascii="Times New Roman" w:hAnsi="Times New Roman" w:eastAsia="Times New Roman" w:cs="Times New Roman"/>
          <w:spacing w:val="23"/>
          <w:w w:val="101"/>
          <w:position w:val="-1"/>
          <w:sz w:val="15"/>
          <w:szCs w:val="15"/>
        </w:rPr>
        <w:t xml:space="preserve"> </w:t>
      </w:r>
      <w:r>
        <w:rPr>
          <w:rFonts w:ascii="宋体" w:hAnsi="宋体" w:eastAsia="宋体" w:cs="宋体"/>
          <w:spacing w:val="-3"/>
          <w:sz w:val="24"/>
          <w:szCs w:val="24"/>
        </w:rPr>
        <w:t>和</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d</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15"/>
          <w:w w:val="101"/>
          <w:position w:val="-1"/>
          <w:sz w:val="15"/>
          <w:szCs w:val="15"/>
        </w:rPr>
        <w:t xml:space="preserve"> </w:t>
      </w:r>
      <w:r>
        <w:rPr>
          <w:rFonts w:ascii="宋体" w:hAnsi="宋体" w:eastAsia="宋体" w:cs="宋体"/>
          <w:spacing w:val="-3"/>
          <w:sz w:val="24"/>
          <w:szCs w:val="24"/>
        </w:rPr>
        <w:t>如图</w:t>
      </w:r>
      <w:r>
        <w:rPr>
          <w:rFonts w:ascii="宋体" w:hAnsi="宋体" w:eastAsia="宋体" w:cs="宋体"/>
          <w:spacing w:val="-59"/>
          <w:sz w:val="24"/>
          <w:szCs w:val="24"/>
        </w:rPr>
        <w:t xml:space="preserve"> </w:t>
      </w:r>
      <w:r>
        <w:rPr>
          <w:rFonts w:ascii="Times New Roman" w:hAnsi="Times New Roman" w:eastAsia="Times New Roman" w:cs="Times New Roman"/>
          <w:spacing w:val="-3"/>
          <w:sz w:val="24"/>
          <w:szCs w:val="24"/>
        </w:rPr>
        <w:t>A.</w:t>
      </w:r>
      <w:r>
        <w:rPr>
          <w:rFonts w:ascii="Times New Roman" w:hAnsi="Times New Roman" w:eastAsia="Times New Roman" w:cs="Times New Roman"/>
          <w:spacing w:val="-31"/>
          <w:sz w:val="24"/>
          <w:szCs w:val="24"/>
        </w:rPr>
        <w:t xml:space="preserve"> </w:t>
      </w:r>
      <w:r>
        <w:rPr>
          <w:rFonts w:ascii="Times New Roman" w:hAnsi="Times New Roman" w:eastAsia="Times New Roman" w:cs="Times New Roman"/>
          <w:spacing w:val="-3"/>
          <w:sz w:val="24"/>
          <w:szCs w:val="24"/>
        </w:rPr>
        <w:t xml:space="preserve">10 </w:t>
      </w:r>
      <w:r>
        <w:rPr>
          <w:rFonts w:ascii="宋体" w:hAnsi="宋体" w:eastAsia="宋体" w:cs="宋体"/>
          <w:spacing w:val="-3"/>
          <w:sz w:val="24"/>
          <w:szCs w:val="24"/>
        </w:rPr>
        <w:t>所示。</w:t>
      </w:r>
      <w:r>
        <w:rPr>
          <w:rFonts w:ascii="宋体" w:hAnsi="宋体" w:eastAsia="宋体" w:cs="宋体"/>
          <w:sz w:val="24"/>
          <w:szCs w:val="24"/>
        </w:rPr>
        <w:t xml:space="preserve"> </w:t>
      </w:r>
      <w:r>
        <w:rPr>
          <w:rFonts w:ascii="Times New Roman" w:hAnsi="Times New Roman" w:eastAsia="Times New Roman" w:cs="Times New Roman"/>
          <w:spacing w:val="-1"/>
          <w:sz w:val="24"/>
          <w:szCs w:val="24"/>
        </w:rPr>
        <w:t>d</w:t>
      </w:r>
      <w:r>
        <w:rPr>
          <w:rFonts w:ascii="Times New Roman" w:hAnsi="Times New Roman" w:eastAsia="Times New Roman" w:cs="Times New Roman"/>
          <w:spacing w:val="-1"/>
          <w:position w:val="-1"/>
          <w:sz w:val="15"/>
          <w:szCs w:val="15"/>
        </w:rPr>
        <w:t>b</w:t>
      </w:r>
      <w:r>
        <w:rPr>
          <w:rFonts w:ascii="Times New Roman" w:hAnsi="Times New Roman" w:eastAsia="Times New Roman" w:cs="Times New Roman"/>
          <w:spacing w:val="-1"/>
          <w:sz w:val="24"/>
          <w:szCs w:val="24"/>
        </w:rPr>
        <w:t>=d</w:t>
      </w:r>
      <w:r>
        <w:rPr>
          <w:rFonts w:ascii="Times New Roman" w:hAnsi="Times New Roman" w:eastAsia="Times New Roman" w:cs="Times New Roman"/>
          <w:spacing w:val="-1"/>
          <w:position w:val="-1"/>
          <w:sz w:val="15"/>
          <w:szCs w:val="15"/>
        </w:rPr>
        <w:t>1</w:t>
      </w:r>
      <w:r>
        <w:rPr>
          <w:rFonts w:ascii="Times New Roman" w:hAnsi="Times New Roman" w:eastAsia="Times New Roman" w:cs="Times New Roman"/>
          <w:spacing w:val="-1"/>
          <w:sz w:val="24"/>
          <w:szCs w:val="24"/>
        </w:rPr>
        <w:t>+d</w:t>
      </w:r>
      <w:r>
        <w:rPr>
          <w:rFonts w:ascii="Times New Roman" w:hAnsi="Times New Roman" w:eastAsia="Times New Roman" w:cs="Times New Roman"/>
          <w:spacing w:val="-1"/>
          <w:position w:val="-1"/>
          <w:sz w:val="15"/>
          <w:szCs w:val="15"/>
        </w:rPr>
        <w:t>2</w:t>
      </w:r>
    </w:p>
    <w:p w14:paraId="6C617A45">
      <w:pPr>
        <w:spacing w:before="21" w:line="365" w:lineRule="auto"/>
        <w:ind w:left="121" w:right="108" w:firstLine="475"/>
        <w:jc w:val="both"/>
        <w:rPr>
          <w:rFonts w:ascii="宋体" w:hAnsi="宋体" w:eastAsia="宋体" w:cs="宋体"/>
          <w:sz w:val="24"/>
          <w:szCs w:val="24"/>
        </w:rPr>
      </w:pPr>
      <w:r>
        <w:rPr>
          <w:rFonts w:ascii="宋体" w:hAnsi="宋体" w:eastAsia="宋体" w:cs="宋体"/>
          <w:spacing w:val="-2"/>
          <w:sz w:val="24"/>
          <w:szCs w:val="24"/>
        </w:rPr>
        <w:t>假如声源沿线附近有成排整齐排列的建筑物时，</w:t>
      </w:r>
      <w:r>
        <w:rPr>
          <w:rFonts w:ascii="宋体" w:hAnsi="宋体" w:eastAsia="宋体" w:cs="宋体"/>
          <w:spacing w:val="-3"/>
          <w:sz w:val="24"/>
          <w:szCs w:val="24"/>
        </w:rPr>
        <w:t>则可将附加项</w:t>
      </w:r>
      <w:r>
        <w:rPr>
          <w:rFonts w:ascii="宋体" w:hAnsi="宋体" w:eastAsia="宋体" w:cs="宋体"/>
          <w:spacing w:val="-58"/>
          <w:sz w:val="24"/>
          <w:szCs w:val="24"/>
        </w:rPr>
        <w:t xml:space="preserve"> </w:t>
      </w:r>
      <w:r>
        <w:rPr>
          <w:rFonts w:ascii="Times New Roman" w:hAnsi="Times New Roman" w:eastAsia="Times New Roman" w:cs="Times New Roman"/>
          <w:spacing w:val="-3"/>
          <w:sz w:val="24"/>
          <w:szCs w:val="24"/>
        </w:rPr>
        <w:t>A</w:t>
      </w:r>
      <w:r>
        <w:rPr>
          <w:rFonts w:ascii="Times New Roman" w:hAnsi="Times New Roman" w:eastAsia="Times New Roman" w:cs="Times New Roman"/>
          <w:spacing w:val="-3"/>
          <w:position w:val="-1"/>
          <w:sz w:val="15"/>
          <w:szCs w:val="15"/>
        </w:rPr>
        <w:t>hous</w:t>
      </w:r>
      <w:r>
        <w:rPr>
          <w:rFonts w:ascii="宋体" w:hAnsi="宋体" w:eastAsia="宋体" w:cs="宋体"/>
          <w:spacing w:val="-3"/>
          <w:position w:val="-3"/>
          <w:sz w:val="12"/>
          <w:szCs w:val="12"/>
        </w:rPr>
        <w:t>，</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9"/>
          <w:w w:val="101"/>
          <w:position w:val="-1"/>
          <w:sz w:val="15"/>
          <w:szCs w:val="15"/>
        </w:rPr>
        <w:t xml:space="preserve"> </w:t>
      </w:r>
      <w:r>
        <w:rPr>
          <w:rFonts w:ascii="宋体" w:hAnsi="宋体" w:eastAsia="宋体" w:cs="宋体"/>
          <w:spacing w:val="-3"/>
          <w:sz w:val="24"/>
          <w:szCs w:val="24"/>
        </w:rPr>
        <w:t>包括在内（假</w:t>
      </w:r>
      <w:r>
        <w:rPr>
          <w:rFonts w:ascii="宋体" w:hAnsi="宋体" w:eastAsia="宋体" w:cs="宋体"/>
          <w:sz w:val="24"/>
          <w:szCs w:val="24"/>
        </w:rPr>
        <w:t xml:space="preserve"> </w:t>
      </w:r>
      <w:r>
        <w:rPr>
          <w:rFonts w:ascii="宋体" w:hAnsi="宋体" w:eastAsia="宋体" w:cs="宋体"/>
          <w:spacing w:val="-1"/>
          <w:sz w:val="24"/>
          <w:szCs w:val="24"/>
        </w:rPr>
        <w:t>定这一项小于在同一位置上与建筑物平均高度等高的一个屏障插入损失）。</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1"/>
          <w:position w:val="-1"/>
          <w:sz w:val="15"/>
          <w:szCs w:val="15"/>
        </w:rPr>
        <w:t>hous</w:t>
      </w:r>
      <w:r>
        <w:rPr>
          <w:rFonts w:ascii="宋体" w:hAnsi="宋体" w:eastAsia="宋体" w:cs="宋体"/>
          <w:spacing w:val="-1"/>
          <w:position w:val="-3"/>
          <w:sz w:val="12"/>
          <w:szCs w:val="12"/>
        </w:rPr>
        <w:t>，</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1"/>
          <w:w w:val="101"/>
          <w:position w:val="-1"/>
          <w:sz w:val="15"/>
          <w:szCs w:val="15"/>
        </w:rPr>
        <w:t xml:space="preserve"> </w:t>
      </w:r>
      <w:r>
        <w:rPr>
          <w:rFonts w:ascii="宋体" w:hAnsi="宋体" w:eastAsia="宋体" w:cs="宋体"/>
          <w:spacing w:val="-2"/>
          <w:sz w:val="24"/>
          <w:szCs w:val="24"/>
        </w:rPr>
        <w:t>按下</w:t>
      </w:r>
      <w:r>
        <w:rPr>
          <w:rFonts w:ascii="宋体" w:hAnsi="宋体" w:eastAsia="宋体" w:cs="宋体"/>
          <w:sz w:val="24"/>
          <w:szCs w:val="24"/>
        </w:rPr>
        <w:t xml:space="preserve"> </w:t>
      </w:r>
      <w:r>
        <w:rPr>
          <w:rFonts w:ascii="宋体" w:hAnsi="宋体" w:eastAsia="宋体" w:cs="宋体"/>
          <w:spacing w:val="-4"/>
          <w:sz w:val="24"/>
          <w:szCs w:val="24"/>
        </w:rPr>
        <w:t>式计算。</w:t>
      </w:r>
    </w:p>
    <w:p w14:paraId="6E6B906A">
      <w:pPr>
        <w:spacing w:line="322" w:lineRule="exact"/>
        <w:ind w:left="3833"/>
        <w:rPr>
          <w:rFonts w:ascii="宋体" w:hAnsi="宋体" w:eastAsia="宋体" w:cs="宋体"/>
          <w:sz w:val="24"/>
          <w:szCs w:val="24"/>
        </w:rPr>
      </w:pPr>
      <w:r>
        <w:rPr>
          <w:rFonts w:ascii="Times New Roman" w:hAnsi="Times New Roman" w:eastAsia="Times New Roman" w:cs="Times New Roman"/>
          <w:position w:val="3"/>
          <w:sz w:val="24"/>
          <w:szCs w:val="24"/>
        </w:rPr>
        <w:t>A</w:t>
      </w:r>
      <w:r>
        <w:rPr>
          <w:rFonts w:ascii="Times New Roman" w:hAnsi="Times New Roman" w:eastAsia="Times New Roman" w:cs="Times New Roman"/>
          <w:position w:val="2"/>
          <w:sz w:val="15"/>
          <w:szCs w:val="15"/>
        </w:rPr>
        <w:t>hous</w:t>
      </w:r>
      <w:r>
        <w:rPr>
          <w:rFonts w:ascii="宋体" w:hAnsi="宋体" w:eastAsia="宋体" w:cs="宋体"/>
          <w:sz w:val="12"/>
          <w:szCs w:val="12"/>
        </w:rPr>
        <w:t>，</w:t>
      </w:r>
      <w:r>
        <w:rPr>
          <w:rFonts w:ascii="Times New Roman" w:hAnsi="Times New Roman" w:eastAsia="Times New Roman" w:cs="Times New Roman"/>
          <w:position w:val="2"/>
          <w:sz w:val="15"/>
          <w:szCs w:val="15"/>
        </w:rPr>
        <w:t>2</w:t>
      </w:r>
      <w:r>
        <w:rPr>
          <w:rFonts w:ascii="Times New Roman" w:hAnsi="Times New Roman" w:eastAsia="Times New Roman" w:cs="Times New Roman"/>
          <w:position w:val="3"/>
          <w:sz w:val="24"/>
          <w:szCs w:val="24"/>
        </w:rPr>
        <w:t>=-10lg</w:t>
      </w:r>
      <w:r>
        <w:rPr>
          <w:rFonts w:ascii="宋体" w:hAnsi="宋体" w:eastAsia="宋体" w:cs="宋体"/>
          <w:position w:val="3"/>
          <w:sz w:val="24"/>
          <w:szCs w:val="24"/>
        </w:rPr>
        <w:t>（</w:t>
      </w:r>
      <w:r>
        <w:rPr>
          <w:rFonts w:ascii="Times New Roman" w:hAnsi="Times New Roman" w:eastAsia="Times New Roman" w:cs="Times New Roman"/>
          <w:position w:val="3"/>
          <w:sz w:val="24"/>
          <w:szCs w:val="24"/>
        </w:rPr>
        <w:t>1-p</w:t>
      </w:r>
      <w:r>
        <w:rPr>
          <w:rFonts w:ascii="宋体" w:hAnsi="宋体" w:eastAsia="宋体" w:cs="宋体"/>
          <w:position w:val="3"/>
          <w:sz w:val="24"/>
          <w:szCs w:val="24"/>
        </w:rPr>
        <w:t>）</w:t>
      </w:r>
    </w:p>
    <w:p w14:paraId="57D6BAC4">
      <w:pPr>
        <w:spacing w:before="209" w:line="352" w:lineRule="auto"/>
        <w:ind w:left="119" w:right="180" w:firstLine="481"/>
        <w:rPr>
          <w:rFonts w:ascii="宋体" w:hAnsi="宋体" w:eastAsia="宋体" w:cs="宋体"/>
          <w:sz w:val="24"/>
          <w:szCs w:val="24"/>
        </w:rPr>
      </w:pPr>
      <w:r>
        <w:rPr>
          <w:rFonts w:ascii="宋体" w:hAnsi="宋体" w:eastAsia="宋体" w:cs="宋体"/>
          <w:sz w:val="24"/>
          <w:szCs w:val="24"/>
        </w:rPr>
        <w:t>式中：</w:t>
      </w:r>
      <w:r>
        <w:rPr>
          <w:rFonts w:ascii="Times New Roman" w:hAnsi="Times New Roman" w:eastAsia="Times New Roman" w:cs="Times New Roman"/>
          <w:sz w:val="24"/>
          <w:szCs w:val="24"/>
        </w:rPr>
        <w:t>p——</w:t>
      </w:r>
      <w:r>
        <w:rPr>
          <w:rFonts w:ascii="宋体" w:hAnsi="宋体" w:eastAsia="宋体" w:cs="宋体"/>
          <w:sz w:val="24"/>
          <w:szCs w:val="24"/>
        </w:rPr>
        <w:t>沿声源纵向分布的建筑物正面总</w:t>
      </w:r>
      <w:r>
        <w:rPr>
          <w:rFonts w:ascii="宋体" w:hAnsi="宋体" w:eastAsia="宋体" w:cs="宋体"/>
          <w:spacing w:val="-1"/>
          <w:sz w:val="24"/>
          <w:szCs w:val="24"/>
        </w:rPr>
        <w:t>长度除以对应的声源长度，其值小于</w:t>
      </w:r>
      <w:r>
        <w:rPr>
          <w:rFonts w:ascii="宋体" w:hAnsi="宋体" w:eastAsia="宋体" w:cs="宋体"/>
          <w:sz w:val="24"/>
          <w:szCs w:val="24"/>
        </w:rPr>
        <w:t xml:space="preserve"> </w:t>
      </w:r>
      <w:r>
        <w:rPr>
          <w:rFonts w:ascii="宋体" w:hAnsi="宋体" w:eastAsia="宋体" w:cs="宋体"/>
          <w:spacing w:val="-4"/>
          <w:sz w:val="24"/>
          <w:szCs w:val="24"/>
        </w:rPr>
        <w:t>或等于</w:t>
      </w:r>
      <w:r>
        <w:rPr>
          <w:rFonts w:ascii="宋体" w:hAnsi="宋体" w:eastAsia="宋体" w:cs="宋体"/>
          <w:spacing w:val="-46"/>
          <w:sz w:val="24"/>
          <w:szCs w:val="24"/>
        </w:rPr>
        <w:t xml:space="preserve"> </w:t>
      </w:r>
      <w:r>
        <w:rPr>
          <w:rFonts w:ascii="Times New Roman" w:hAnsi="Times New Roman" w:eastAsia="Times New Roman" w:cs="Times New Roman"/>
          <w:spacing w:val="-4"/>
          <w:sz w:val="24"/>
          <w:szCs w:val="24"/>
        </w:rPr>
        <w:t>90%</w:t>
      </w:r>
      <w:r>
        <w:rPr>
          <w:rFonts w:ascii="宋体" w:hAnsi="宋体" w:eastAsia="宋体" w:cs="宋体"/>
          <w:spacing w:val="-4"/>
          <w:sz w:val="24"/>
          <w:szCs w:val="24"/>
        </w:rPr>
        <w:t>。</w:t>
      </w:r>
    </w:p>
    <w:p w14:paraId="6BBCE366">
      <w:pPr>
        <w:spacing w:line="352" w:lineRule="auto"/>
        <w:rPr>
          <w:rFonts w:ascii="宋体" w:hAnsi="宋体" w:eastAsia="宋体" w:cs="宋体"/>
          <w:sz w:val="24"/>
          <w:szCs w:val="24"/>
        </w:rPr>
        <w:sectPr>
          <w:headerReference r:id="rId348" w:type="default"/>
          <w:footerReference r:id="rId349" w:type="default"/>
          <w:pgSz w:w="11906" w:h="16839"/>
          <w:pgMar w:top="1190" w:right="1309" w:bottom="1427" w:left="1309" w:header="882" w:footer="1265" w:gutter="0"/>
          <w:cols w:space="720" w:num="1"/>
        </w:sectPr>
      </w:pPr>
    </w:p>
    <w:p w14:paraId="14DAC126">
      <w:pPr>
        <w:spacing w:line="28" w:lineRule="exact"/>
      </w:pPr>
      <w:r>
        <w:pict>
          <v:shape id="_x0000_s1837" o:spid="_x0000_s1837" style="height:1.45pt;width:453.65pt;" fillcolor="#000000" filled="t" stroked="f" coordsize="9072,29" path="m0,0l9072,0,9072,28,0,28,0,0xe">
            <v:path/>
            <v:fill on="t" focussize="0,0"/>
            <v:stroke on="f"/>
            <v:imagedata o:title=""/>
            <o:lock v:ext="edit"/>
            <w10:wrap type="none"/>
            <w10:anchorlock/>
          </v:shape>
        </w:pict>
      </w:r>
    </w:p>
    <w:p w14:paraId="0762FC0B">
      <w:pPr>
        <w:pStyle w:val="2"/>
        <w:spacing w:line="244" w:lineRule="auto"/>
      </w:pPr>
    </w:p>
    <w:p w14:paraId="70E31B2A">
      <w:pPr>
        <w:spacing w:before="78" w:line="363" w:lineRule="auto"/>
        <w:ind w:left="8" w:right="58" w:firstLine="479"/>
        <w:jc w:val="both"/>
        <w:rPr>
          <w:rFonts w:ascii="宋体" w:hAnsi="宋体" w:eastAsia="宋体" w:cs="宋体"/>
          <w:sz w:val="24"/>
          <w:szCs w:val="24"/>
        </w:rPr>
      </w:pPr>
      <w:r>
        <w:rPr>
          <w:rFonts w:ascii="宋体" w:hAnsi="宋体" w:eastAsia="宋体" w:cs="宋体"/>
          <w:spacing w:val="-2"/>
          <w:sz w:val="24"/>
          <w:szCs w:val="24"/>
        </w:rPr>
        <w:t>在进行预测计算时，建筑群衰减</w:t>
      </w:r>
      <w:r>
        <w:rPr>
          <w:rFonts w:ascii="宋体" w:hAnsi="宋体" w:eastAsia="宋体" w:cs="宋体"/>
          <w:spacing w:val="-54"/>
          <w:sz w:val="24"/>
          <w:szCs w:val="24"/>
        </w:rPr>
        <w:t xml:space="preserve"> </w:t>
      </w:r>
      <w:r>
        <w:rPr>
          <w:rFonts w:ascii="Times New Roman" w:hAnsi="Times New Roman" w:eastAsia="Times New Roman" w:cs="Times New Roman"/>
          <w:spacing w:val="-2"/>
          <w:sz w:val="24"/>
          <w:szCs w:val="24"/>
        </w:rPr>
        <w:t>A</w:t>
      </w:r>
      <w:r>
        <w:rPr>
          <w:rFonts w:ascii="Times New Roman" w:hAnsi="Times New Roman" w:eastAsia="Times New Roman" w:cs="Times New Roman"/>
          <w:spacing w:val="-2"/>
          <w:position w:val="-1"/>
          <w:sz w:val="15"/>
          <w:szCs w:val="15"/>
        </w:rPr>
        <w:t>hous</w:t>
      </w:r>
      <w:r>
        <w:rPr>
          <w:rFonts w:ascii="Times New Roman" w:hAnsi="Times New Roman" w:eastAsia="Times New Roman" w:cs="Times New Roman"/>
          <w:spacing w:val="14"/>
          <w:w w:val="101"/>
          <w:position w:val="-1"/>
          <w:sz w:val="15"/>
          <w:szCs w:val="15"/>
        </w:rPr>
        <w:t xml:space="preserve"> </w:t>
      </w:r>
      <w:r>
        <w:rPr>
          <w:rFonts w:ascii="宋体" w:hAnsi="宋体" w:eastAsia="宋体" w:cs="宋体"/>
          <w:spacing w:val="-2"/>
          <w:sz w:val="24"/>
          <w:szCs w:val="24"/>
        </w:rPr>
        <w:t>与地面效应引起的衰减</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A</w:t>
      </w:r>
      <w:r>
        <w:rPr>
          <w:rFonts w:ascii="Times New Roman" w:hAnsi="Times New Roman" w:eastAsia="Times New Roman" w:cs="Times New Roman"/>
          <w:spacing w:val="-2"/>
          <w:position w:val="-1"/>
          <w:sz w:val="15"/>
          <w:szCs w:val="15"/>
        </w:rPr>
        <w:t>gr</w:t>
      </w:r>
      <w:r>
        <w:rPr>
          <w:rFonts w:ascii="Times New Roman" w:hAnsi="Times New Roman" w:eastAsia="Times New Roman" w:cs="Times New Roman"/>
          <w:spacing w:val="10"/>
          <w:position w:val="-1"/>
          <w:sz w:val="15"/>
          <w:szCs w:val="15"/>
        </w:rPr>
        <w:t xml:space="preserve"> </w:t>
      </w:r>
      <w:r>
        <w:rPr>
          <w:rFonts w:ascii="宋体" w:hAnsi="宋体" w:eastAsia="宋体" w:cs="宋体"/>
          <w:spacing w:val="-2"/>
          <w:sz w:val="24"/>
          <w:szCs w:val="24"/>
        </w:rPr>
        <w:t>通常只需考虑一项</w:t>
      </w:r>
      <w:r>
        <w:rPr>
          <w:rFonts w:ascii="宋体" w:hAnsi="宋体" w:eastAsia="宋体" w:cs="宋体"/>
          <w:sz w:val="24"/>
          <w:szCs w:val="24"/>
        </w:rPr>
        <w:t xml:space="preserve"> 最主要的衰减。对于通过建筑群的声传播，一般不考虑地面效应引起</w:t>
      </w:r>
      <w:r>
        <w:rPr>
          <w:rFonts w:ascii="宋体" w:hAnsi="宋体" w:eastAsia="宋体" w:cs="宋体"/>
          <w:spacing w:val="-1"/>
          <w:sz w:val="24"/>
          <w:szCs w:val="24"/>
        </w:rPr>
        <w:t>的衰减</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1"/>
          <w:position w:val="-1"/>
          <w:sz w:val="15"/>
          <w:szCs w:val="15"/>
        </w:rPr>
        <w:t>gr</w:t>
      </w:r>
      <w:r>
        <w:rPr>
          <w:rFonts w:ascii="宋体" w:hAnsi="宋体" w:eastAsia="宋体" w:cs="宋体"/>
          <w:spacing w:val="-1"/>
          <w:sz w:val="24"/>
          <w:szCs w:val="24"/>
        </w:rPr>
        <w:t>；但地</w:t>
      </w:r>
      <w:r>
        <w:rPr>
          <w:rFonts w:ascii="宋体" w:hAnsi="宋体" w:eastAsia="宋体" w:cs="宋体"/>
          <w:sz w:val="24"/>
          <w:szCs w:val="24"/>
        </w:rPr>
        <w:t xml:space="preserve"> 面效应引起的衰减</w:t>
      </w:r>
      <w:r>
        <w:rPr>
          <w:rFonts w:ascii="宋体" w:hAnsi="宋体" w:eastAsia="宋体" w:cs="宋体"/>
          <w:spacing w:val="-58"/>
          <w:sz w:val="24"/>
          <w:szCs w:val="24"/>
        </w:rPr>
        <w:t xml:space="preserve"> </w:t>
      </w: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gr</w:t>
      </w:r>
      <w:r>
        <w:rPr>
          <w:rFonts w:ascii="宋体" w:hAnsi="宋体" w:eastAsia="宋体" w:cs="宋体"/>
          <w:sz w:val="24"/>
          <w:szCs w:val="24"/>
        </w:rPr>
        <w:t>（假定预测点与声源之间不存在建筑群时的</w:t>
      </w:r>
      <w:r>
        <w:rPr>
          <w:rFonts w:ascii="宋体" w:hAnsi="宋体" w:eastAsia="宋体" w:cs="宋体"/>
          <w:spacing w:val="-1"/>
          <w:sz w:val="24"/>
          <w:szCs w:val="24"/>
        </w:rPr>
        <w:t>计算结果）大于建筑</w:t>
      </w:r>
      <w:r>
        <w:rPr>
          <w:rFonts w:ascii="宋体" w:hAnsi="宋体" w:eastAsia="宋体" w:cs="宋体"/>
          <w:sz w:val="24"/>
          <w:szCs w:val="24"/>
        </w:rPr>
        <w:t xml:space="preserve"> </w:t>
      </w:r>
      <w:r>
        <w:rPr>
          <w:rFonts w:ascii="宋体" w:hAnsi="宋体" w:eastAsia="宋体" w:cs="宋体"/>
          <w:spacing w:val="-1"/>
          <w:sz w:val="24"/>
          <w:szCs w:val="24"/>
        </w:rPr>
        <w:t>群衰减</w:t>
      </w:r>
      <w:r>
        <w:rPr>
          <w:rFonts w:ascii="宋体" w:hAnsi="宋体" w:eastAsia="宋体" w:cs="宋体"/>
          <w:spacing w:val="-45"/>
          <w:sz w:val="24"/>
          <w:szCs w:val="24"/>
        </w:rPr>
        <w:t xml:space="preserve"> </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1"/>
          <w:position w:val="-1"/>
          <w:sz w:val="15"/>
          <w:szCs w:val="15"/>
        </w:rPr>
        <w:t>hous</w:t>
      </w:r>
      <w:r>
        <w:rPr>
          <w:rFonts w:ascii="Times New Roman" w:hAnsi="Times New Roman" w:eastAsia="Times New Roman" w:cs="Times New Roman"/>
          <w:spacing w:val="21"/>
          <w:w w:val="101"/>
          <w:position w:val="-1"/>
          <w:sz w:val="15"/>
          <w:szCs w:val="15"/>
        </w:rPr>
        <w:t xml:space="preserve"> </w:t>
      </w:r>
      <w:r>
        <w:rPr>
          <w:rFonts w:ascii="宋体" w:hAnsi="宋体" w:eastAsia="宋体" w:cs="宋体"/>
          <w:spacing w:val="-1"/>
          <w:sz w:val="24"/>
          <w:szCs w:val="24"/>
        </w:rPr>
        <w:t>时，则不考虑建筑群插入损失</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1"/>
          <w:position w:val="-1"/>
          <w:sz w:val="15"/>
          <w:szCs w:val="15"/>
        </w:rPr>
        <w:t>hous</w:t>
      </w:r>
      <w:r>
        <w:rPr>
          <w:rFonts w:ascii="宋体" w:hAnsi="宋体" w:eastAsia="宋体" w:cs="宋体"/>
          <w:spacing w:val="-1"/>
          <w:sz w:val="24"/>
          <w:szCs w:val="24"/>
        </w:rPr>
        <w:t>。</w:t>
      </w:r>
    </w:p>
    <w:p w14:paraId="761B5B16">
      <w:pPr>
        <w:spacing w:before="67" w:line="219" w:lineRule="auto"/>
        <w:ind w:left="499"/>
        <w:rPr>
          <w:rFonts w:ascii="宋体" w:hAnsi="宋体" w:eastAsia="宋体" w:cs="宋体"/>
          <w:sz w:val="24"/>
          <w:szCs w:val="24"/>
        </w:rPr>
      </w:pPr>
      <w:r>
        <w:rPr>
          <w:rFonts w:ascii="宋体" w:hAnsi="宋体" w:eastAsia="宋体" w:cs="宋体"/>
          <w:b/>
          <w:bCs/>
          <w:spacing w:val="-4"/>
          <w:sz w:val="24"/>
          <w:szCs w:val="24"/>
        </w:rPr>
        <w:t>（</w:t>
      </w:r>
      <w:r>
        <w:rPr>
          <w:rFonts w:ascii="Times New Roman" w:hAnsi="Times New Roman" w:eastAsia="Times New Roman" w:cs="Times New Roman"/>
          <w:b/>
          <w:bCs/>
          <w:spacing w:val="-4"/>
          <w:sz w:val="24"/>
          <w:szCs w:val="24"/>
        </w:rPr>
        <w:t>8</w:t>
      </w:r>
      <w:r>
        <w:rPr>
          <w:rFonts w:ascii="宋体" w:hAnsi="宋体" w:eastAsia="宋体" w:cs="宋体"/>
          <w:b/>
          <w:bCs/>
          <w:spacing w:val="-4"/>
          <w:sz w:val="24"/>
          <w:szCs w:val="24"/>
        </w:rPr>
        <w:t>）噪声贡献值计算</w:t>
      </w:r>
    </w:p>
    <w:p w14:paraId="30E430AB">
      <w:pPr>
        <w:spacing w:before="205" w:line="361" w:lineRule="auto"/>
        <w:ind w:left="8" w:firstLine="483"/>
        <w:rPr>
          <w:rFonts w:ascii="宋体" w:hAnsi="宋体" w:eastAsia="宋体" w:cs="宋体"/>
          <w:sz w:val="24"/>
          <w:szCs w:val="24"/>
        </w:rPr>
      </w:pPr>
      <w:r>
        <w:rPr>
          <w:rFonts w:ascii="宋体" w:hAnsi="宋体" w:eastAsia="宋体" w:cs="宋体"/>
          <w:spacing w:val="-4"/>
          <w:sz w:val="24"/>
          <w:szCs w:val="24"/>
        </w:rPr>
        <w:t>设第</w:t>
      </w:r>
      <w:r>
        <w:rPr>
          <w:rFonts w:ascii="宋体" w:hAnsi="宋体" w:eastAsia="宋体" w:cs="宋体"/>
          <w:spacing w:val="-53"/>
          <w:sz w:val="24"/>
          <w:szCs w:val="24"/>
        </w:rPr>
        <w:t xml:space="preserve"> </w:t>
      </w:r>
      <w:r>
        <w:rPr>
          <w:rFonts w:ascii="Times New Roman" w:hAnsi="Times New Roman" w:eastAsia="Times New Roman" w:cs="Times New Roman"/>
          <w:spacing w:val="-4"/>
          <w:sz w:val="24"/>
          <w:szCs w:val="24"/>
        </w:rPr>
        <w:t xml:space="preserve">i </w:t>
      </w:r>
      <w:r>
        <w:rPr>
          <w:rFonts w:ascii="宋体" w:hAnsi="宋体" w:eastAsia="宋体" w:cs="宋体"/>
          <w:spacing w:val="-4"/>
          <w:sz w:val="24"/>
          <w:szCs w:val="24"/>
        </w:rPr>
        <w:t>个室外声源在预测点产生的</w:t>
      </w:r>
      <w:r>
        <w:rPr>
          <w:rFonts w:ascii="宋体" w:hAnsi="宋体" w:eastAsia="宋体" w:cs="宋体"/>
          <w:spacing w:val="-58"/>
          <w:sz w:val="24"/>
          <w:szCs w:val="24"/>
        </w:rPr>
        <w:t xml:space="preserve"> </w:t>
      </w:r>
      <w:r>
        <w:rPr>
          <w:rFonts w:ascii="Times New Roman" w:hAnsi="Times New Roman" w:eastAsia="Times New Roman" w:cs="Times New Roman"/>
          <w:spacing w:val="-4"/>
          <w:sz w:val="24"/>
          <w:szCs w:val="24"/>
        </w:rPr>
        <w:t>A</w:t>
      </w:r>
      <w:r>
        <w:rPr>
          <w:rFonts w:ascii="Times New Roman" w:hAnsi="Times New Roman" w:eastAsia="Times New Roman" w:cs="Times New Roman"/>
          <w:spacing w:val="14"/>
          <w:sz w:val="24"/>
          <w:szCs w:val="24"/>
        </w:rPr>
        <w:t xml:space="preserve"> </w:t>
      </w:r>
      <w:r>
        <w:rPr>
          <w:rFonts w:ascii="宋体" w:hAnsi="宋体" w:eastAsia="宋体" w:cs="宋体"/>
          <w:spacing w:val="-4"/>
          <w:sz w:val="24"/>
          <w:szCs w:val="24"/>
        </w:rPr>
        <w:t>声级为</w:t>
      </w:r>
      <w:r>
        <w:rPr>
          <w:rFonts w:ascii="宋体" w:hAnsi="宋体" w:eastAsia="宋体" w:cs="宋体"/>
          <w:spacing w:val="-56"/>
          <w:sz w:val="24"/>
          <w:szCs w:val="24"/>
        </w:rPr>
        <w:t xml:space="preserve"> </w:t>
      </w:r>
      <w:r>
        <w:rPr>
          <w:rFonts w:ascii="Times New Roman" w:hAnsi="Times New Roman" w:eastAsia="Times New Roman" w:cs="Times New Roman"/>
          <w:spacing w:val="-4"/>
          <w:sz w:val="24"/>
          <w:szCs w:val="24"/>
        </w:rPr>
        <w:t>L</w:t>
      </w:r>
      <w:r>
        <w:rPr>
          <w:rFonts w:ascii="Times New Roman" w:hAnsi="Times New Roman" w:eastAsia="Times New Roman" w:cs="Times New Roman"/>
          <w:spacing w:val="-4"/>
          <w:position w:val="-1"/>
          <w:sz w:val="15"/>
          <w:szCs w:val="15"/>
        </w:rPr>
        <w:t xml:space="preserve">Ai </w:t>
      </w:r>
      <w:r>
        <w:rPr>
          <w:rFonts w:ascii="宋体" w:hAnsi="宋体" w:eastAsia="宋体" w:cs="宋体"/>
          <w:spacing w:val="-4"/>
          <w:sz w:val="24"/>
          <w:szCs w:val="24"/>
        </w:rPr>
        <w:t>，在</w:t>
      </w:r>
      <w:r>
        <w:rPr>
          <w:rFonts w:ascii="宋体" w:hAnsi="宋体" w:eastAsia="宋体" w:cs="宋体"/>
          <w:spacing w:val="-52"/>
          <w:sz w:val="24"/>
          <w:szCs w:val="24"/>
        </w:rPr>
        <w:t xml:space="preserve"> </w:t>
      </w:r>
      <w:r>
        <w:rPr>
          <w:rFonts w:ascii="Times New Roman" w:hAnsi="Times New Roman" w:eastAsia="Times New Roman" w:cs="Times New Roman"/>
          <w:spacing w:val="-4"/>
          <w:sz w:val="24"/>
          <w:szCs w:val="24"/>
        </w:rPr>
        <w:t>T</w:t>
      </w:r>
      <w:r>
        <w:rPr>
          <w:rFonts w:ascii="Times New Roman" w:hAnsi="Times New Roman" w:eastAsia="Times New Roman" w:cs="Times New Roman"/>
          <w:spacing w:val="23"/>
          <w:sz w:val="24"/>
          <w:szCs w:val="24"/>
        </w:rPr>
        <w:t xml:space="preserve"> </w:t>
      </w:r>
      <w:r>
        <w:rPr>
          <w:rFonts w:ascii="宋体" w:hAnsi="宋体" w:eastAsia="宋体" w:cs="宋体"/>
          <w:spacing w:val="-4"/>
          <w:sz w:val="24"/>
          <w:szCs w:val="24"/>
        </w:rPr>
        <w:t>时间内该声</w:t>
      </w:r>
      <w:r>
        <w:rPr>
          <w:rFonts w:ascii="宋体" w:hAnsi="宋体" w:eastAsia="宋体" w:cs="宋体"/>
          <w:spacing w:val="-5"/>
          <w:sz w:val="24"/>
          <w:szCs w:val="24"/>
        </w:rPr>
        <w:t>源工作时间为</w:t>
      </w:r>
      <w:r>
        <w:rPr>
          <w:rFonts w:ascii="宋体" w:hAnsi="宋体" w:eastAsia="宋体" w:cs="宋体"/>
          <w:spacing w:val="-58"/>
          <w:sz w:val="24"/>
          <w:szCs w:val="24"/>
        </w:rPr>
        <w:t xml:space="preserve"> </w:t>
      </w:r>
      <w:r>
        <w:rPr>
          <w:rFonts w:ascii="Times New Roman" w:hAnsi="Times New Roman" w:eastAsia="Times New Roman" w:cs="Times New Roman"/>
          <w:spacing w:val="-5"/>
          <w:sz w:val="24"/>
          <w:szCs w:val="24"/>
        </w:rPr>
        <w:t>t</w:t>
      </w:r>
      <w:r>
        <w:rPr>
          <w:rFonts w:ascii="Times New Roman" w:hAnsi="Times New Roman" w:eastAsia="Times New Roman" w:cs="Times New Roman"/>
          <w:spacing w:val="-5"/>
          <w:position w:val="-1"/>
          <w:sz w:val="15"/>
          <w:szCs w:val="15"/>
        </w:rPr>
        <w:t>i</w:t>
      </w:r>
      <w:r>
        <w:rPr>
          <w:rFonts w:ascii="宋体" w:hAnsi="宋体" w:eastAsia="宋体" w:cs="宋体"/>
          <w:spacing w:val="-5"/>
          <w:sz w:val="24"/>
          <w:szCs w:val="24"/>
        </w:rPr>
        <w:t>；</w:t>
      </w:r>
      <w:r>
        <w:rPr>
          <w:rFonts w:ascii="宋体" w:hAnsi="宋体" w:eastAsia="宋体" w:cs="宋体"/>
          <w:sz w:val="24"/>
          <w:szCs w:val="24"/>
        </w:rPr>
        <w:t xml:space="preserve"> 第</w:t>
      </w:r>
      <w:r>
        <w:rPr>
          <w:rFonts w:ascii="Times New Roman" w:hAnsi="Times New Roman" w:eastAsia="Times New Roman" w:cs="Times New Roman"/>
          <w:sz w:val="24"/>
          <w:szCs w:val="24"/>
        </w:rPr>
        <w:t xml:space="preserve">j </w:t>
      </w:r>
      <w:r>
        <w:rPr>
          <w:rFonts w:ascii="宋体" w:hAnsi="宋体" w:eastAsia="宋体" w:cs="宋体"/>
          <w:sz w:val="24"/>
          <w:szCs w:val="24"/>
        </w:rPr>
        <w:t>个等效室外声源在预测点产生的</w:t>
      </w:r>
      <w:r>
        <w:rPr>
          <w:rFonts w:ascii="宋体" w:hAnsi="宋体" w:eastAsia="宋体" w:cs="宋体"/>
          <w:spacing w:val="-58"/>
          <w:sz w:val="24"/>
          <w:szCs w:val="24"/>
        </w:rPr>
        <w:t xml:space="preserve"> </w:t>
      </w:r>
      <w:r>
        <w:rPr>
          <w:rFonts w:ascii="Times New Roman" w:hAnsi="Times New Roman" w:eastAsia="Times New Roman" w:cs="Times New Roman"/>
          <w:sz w:val="24"/>
          <w:szCs w:val="24"/>
        </w:rPr>
        <w:t xml:space="preserve">A </w:t>
      </w:r>
      <w:r>
        <w:rPr>
          <w:rFonts w:ascii="宋体" w:hAnsi="宋体" w:eastAsia="宋体" w:cs="宋体"/>
          <w:sz w:val="24"/>
          <w:szCs w:val="24"/>
        </w:rPr>
        <w:t>声级为</w:t>
      </w:r>
      <w:r>
        <w:rPr>
          <w:rFonts w:ascii="宋体" w:hAnsi="宋体" w:eastAsia="宋体" w:cs="宋体"/>
          <w:spacing w:val="-55"/>
          <w:sz w:val="24"/>
          <w:szCs w:val="24"/>
        </w:rPr>
        <w:t xml:space="preserve"> </w:t>
      </w:r>
      <w:r>
        <w:rPr>
          <w:rFonts w:ascii="Times New Roman" w:hAnsi="Times New Roman" w:eastAsia="Times New Roman" w:cs="Times New Roman"/>
          <w:sz w:val="24"/>
          <w:szCs w:val="24"/>
        </w:rPr>
        <w:t>L</w:t>
      </w:r>
      <w:r>
        <w:rPr>
          <w:rFonts w:ascii="Times New Roman" w:hAnsi="Times New Roman" w:eastAsia="Times New Roman" w:cs="Times New Roman"/>
          <w:position w:val="-1"/>
          <w:sz w:val="15"/>
          <w:szCs w:val="15"/>
        </w:rPr>
        <w:t>Aj</w:t>
      </w:r>
      <w:r>
        <w:rPr>
          <w:rFonts w:ascii="Times New Roman" w:hAnsi="Times New Roman" w:eastAsia="Times New Roman" w:cs="Times New Roman"/>
          <w:spacing w:val="-1"/>
          <w:position w:val="-1"/>
          <w:sz w:val="15"/>
          <w:szCs w:val="15"/>
        </w:rPr>
        <w:t xml:space="preserve"> </w:t>
      </w:r>
      <w:r>
        <w:rPr>
          <w:rFonts w:ascii="宋体" w:hAnsi="宋体" w:eastAsia="宋体" w:cs="宋体"/>
          <w:spacing w:val="-1"/>
          <w:sz w:val="24"/>
          <w:szCs w:val="24"/>
        </w:rPr>
        <w:t>，在</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T</w:t>
      </w:r>
      <w:r>
        <w:rPr>
          <w:rFonts w:ascii="Times New Roman" w:hAnsi="Times New Roman" w:eastAsia="Times New Roman" w:cs="Times New Roman"/>
          <w:spacing w:val="21"/>
          <w:sz w:val="24"/>
          <w:szCs w:val="24"/>
        </w:rPr>
        <w:t xml:space="preserve"> </w:t>
      </w:r>
      <w:r>
        <w:rPr>
          <w:rFonts w:ascii="宋体" w:hAnsi="宋体" w:eastAsia="宋体" w:cs="宋体"/>
          <w:spacing w:val="-1"/>
          <w:sz w:val="24"/>
          <w:szCs w:val="24"/>
        </w:rPr>
        <w:t>时间内该声源工作时间为</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t</w:t>
      </w:r>
      <w:r>
        <w:rPr>
          <w:rFonts w:ascii="Times New Roman" w:hAnsi="Times New Roman" w:eastAsia="Times New Roman" w:cs="Times New Roman"/>
          <w:spacing w:val="-1"/>
          <w:position w:val="-1"/>
          <w:sz w:val="15"/>
          <w:szCs w:val="15"/>
        </w:rPr>
        <w:t>j</w:t>
      </w:r>
      <w:r>
        <w:rPr>
          <w:rFonts w:ascii="宋体" w:hAnsi="宋体" w:eastAsia="宋体" w:cs="宋体"/>
          <w:spacing w:val="-1"/>
          <w:sz w:val="24"/>
          <w:szCs w:val="24"/>
        </w:rPr>
        <w:t>；</w:t>
      </w:r>
    </w:p>
    <w:p w14:paraId="4473D78F">
      <w:pPr>
        <w:spacing w:before="37" w:line="218" w:lineRule="auto"/>
        <w:ind w:left="13"/>
        <w:rPr>
          <w:rFonts w:ascii="宋体" w:hAnsi="宋体" w:eastAsia="宋体" w:cs="宋体"/>
          <w:sz w:val="24"/>
          <w:szCs w:val="24"/>
        </w:rPr>
      </w:pPr>
      <w:r>
        <w:rPr>
          <w:rFonts w:ascii="宋体" w:hAnsi="宋体" w:eastAsia="宋体" w:cs="宋体"/>
          <w:spacing w:val="-1"/>
          <w:sz w:val="24"/>
          <w:szCs w:val="24"/>
        </w:rPr>
        <w:t>则已建工程声源对预测点产生的贡献值为（</w:t>
      </w: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 xml:space="preserve">eqg </w:t>
      </w:r>
      <w:r>
        <w:rPr>
          <w:rFonts w:ascii="宋体" w:hAnsi="宋体" w:eastAsia="宋体" w:cs="宋体"/>
          <w:spacing w:val="-10"/>
          <w:sz w:val="24"/>
          <w:szCs w:val="24"/>
        </w:rPr>
        <w:t>）：</w:t>
      </w:r>
    </w:p>
    <w:p w14:paraId="457C7A1D">
      <w:pPr>
        <w:pStyle w:val="2"/>
        <w:spacing w:before="159"/>
        <w:ind w:left="2480"/>
        <w:rPr>
          <w:sz w:val="26"/>
          <w:szCs w:val="26"/>
        </w:rPr>
      </w:pPr>
      <w:r>
        <w:rPr>
          <w:rFonts w:ascii="Times New Roman" w:hAnsi="Times New Roman" w:eastAsia="Times New Roman" w:cs="Times New Roman"/>
          <w:i/>
          <w:iCs/>
          <w:spacing w:val="-1"/>
          <w:w w:val="97"/>
          <w:position w:val="5"/>
          <w:sz w:val="26"/>
          <w:szCs w:val="26"/>
        </w:rPr>
        <w:t>L</w:t>
      </w:r>
      <w:r>
        <w:rPr>
          <w:rFonts w:ascii="Times New Roman" w:hAnsi="Times New Roman" w:eastAsia="Times New Roman" w:cs="Times New Roman"/>
          <w:i/>
          <w:iCs/>
          <w:spacing w:val="-1"/>
          <w:w w:val="97"/>
          <w:position w:val="-1"/>
          <w:sz w:val="16"/>
          <w:szCs w:val="16"/>
        </w:rPr>
        <w:t>eqg</w:t>
      </w:r>
      <w:r>
        <w:rPr>
          <w:rFonts w:ascii="Times New Roman" w:hAnsi="Times New Roman" w:eastAsia="Times New Roman" w:cs="Times New Roman"/>
          <w:i/>
          <w:iCs/>
          <w:spacing w:val="5"/>
          <w:position w:val="-1"/>
          <w:sz w:val="16"/>
          <w:szCs w:val="16"/>
        </w:rPr>
        <w:t xml:space="preserve">  </w:t>
      </w:r>
      <w:r>
        <w:rPr>
          <w:spacing w:val="-8"/>
          <w:position w:val="5"/>
          <w:sz w:val="26"/>
          <w:szCs w:val="26"/>
        </w:rPr>
        <w:t>=</w:t>
      </w:r>
      <w:r>
        <w:rPr>
          <w:spacing w:val="-18"/>
          <w:position w:val="5"/>
          <w:sz w:val="26"/>
          <w:szCs w:val="26"/>
        </w:rPr>
        <w:t xml:space="preserve"> </w:t>
      </w:r>
      <w:r>
        <w:rPr>
          <w:rFonts w:ascii="Times New Roman" w:hAnsi="Times New Roman" w:eastAsia="Times New Roman" w:cs="Times New Roman"/>
          <w:spacing w:val="-8"/>
          <w:position w:val="5"/>
          <w:sz w:val="26"/>
          <w:szCs w:val="26"/>
        </w:rPr>
        <w:t>10lg</w:t>
      </w:r>
      <w:r>
        <w:rPr>
          <w:position w:val="-30"/>
          <w:sz w:val="26"/>
          <w:szCs w:val="26"/>
        </w:rPr>
        <w:drawing>
          <wp:inline distT="0" distB="0" distL="0" distR="0">
            <wp:extent cx="1927860" cy="530225"/>
            <wp:effectExtent l="0" t="0" r="0" b="0"/>
            <wp:docPr id="188" name="IM 188"/>
            <wp:cNvGraphicFramePr/>
            <a:graphic xmlns:a="http://schemas.openxmlformats.org/drawingml/2006/main">
              <a:graphicData uri="http://schemas.openxmlformats.org/drawingml/2006/picture">
                <pic:pic xmlns:pic="http://schemas.openxmlformats.org/drawingml/2006/picture">
                  <pic:nvPicPr>
                    <pic:cNvPr id="188" name="IM 188"/>
                    <pic:cNvPicPr/>
                  </pic:nvPicPr>
                  <pic:blipFill>
                    <a:blip r:embed="rId671"/>
                    <a:stretch>
                      <a:fillRect/>
                    </a:stretch>
                  </pic:blipFill>
                  <pic:spPr>
                    <a:xfrm>
                      <a:off x="0" y="0"/>
                      <a:ext cx="1928475" cy="530231"/>
                    </a:xfrm>
                    <a:prstGeom prst="rect">
                      <a:avLst/>
                    </a:prstGeom>
                  </pic:spPr>
                </pic:pic>
              </a:graphicData>
            </a:graphic>
          </wp:inline>
        </w:drawing>
      </w:r>
    </w:p>
    <w:p w14:paraId="494BB21B">
      <w:pPr>
        <w:spacing w:before="189" w:line="218" w:lineRule="auto"/>
        <w:ind w:left="493"/>
        <w:rPr>
          <w:rFonts w:ascii="宋体" w:hAnsi="宋体" w:eastAsia="宋体" w:cs="宋体"/>
          <w:sz w:val="24"/>
          <w:szCs w:val="24"/>
        </w:rPr>
      </w:pPr>
      <w:r>
        <w:rPr>
          <w:rFonts w:ascii="宋体" w:hAnsi="宋体" w:eastAsia="宋体" w:cs="宋体"/>
          <w:sz w:val="24"/>
          <w:szCs w:val="24"/>
        </w:rPr>
        <w:t>式中：</w:t>
      </w:r>
      <w:r>
        <w:rPr>
          <w:rFonts w:ascii="Times New Roman" w:hAnsi="Times New Roman" w:eastAsia="Times New Roman" w:cs="Times New Roman"/>
          <w:sz w:val="24"/>
          <w:szCs w:val="24"/>
        </w:rPr>
        <w:t>L</w:t>
      </w:r>
      <w:r>
        <w:rPr>
          <w:rFonts w:ascii="Times New Roman" w:hAnsi="Times New Roman" w:eastAsia="Times New Roman" w:cs="Times New Roman"/>
          <w:position w:val="-1"/>
          <w:sz w:val="15"/>
          <w:szCs w:val="15"/>
        </w:rPr>
        <w:t>eqg</w:t>
      </w:r>
      <w:r>
        <w:rPr>
          <w:rFonts w:ascii="Times New Roman" w:hAnsi="Times New Roman" w:eastAsia="Times New Roman" w:cs="Times New Roman"/>
          <w:sz w:val="24"/>
          <w:szCs w:val="24"/>
        </w:rPr>
        <w:t>—</w:t>
      </w:r>
      <w:r>
        <w:rPr>
          <w:rFonts w:ascii="宋体" w:hAnsi="宋体" w:eastAsia="宋体" w:cs="宋体"/>
          <w:sz w:val="24"/>
          <w:szCs w:val="24"/>
        </w:rPr>
        <w:t>建设项目声源在预测点产生的噪声</w:t>
      </w:r>
      <w:r>
        <w:rPr>
          <w:rFonts w:ascii="宋体" w:hAnsi="宋体" w:eastAsia="宋体" w:cs="宋体"/>
          <w:spacing w:val="-1"/>
          <w:sz w:val="24"/>
          <w:szCs w:val="24"/>
        </w:rPr>
        <w:t>贡献值，</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p>
    <w:p w14:paraId="475DDCCB">
      <w:pPr>
        <w:spacing w:before="207" w:line="363" w:lineRule="auto"/>
        <w:ind w:left="1196" w:right="4392" w:firstLine="10"/>
        <w:rPr>
          <w:rFonts w:ascii="宋体" w:hAnsi="宋体" w:eastAsia="宋体" w:cs="宋体"/>
          <w:sz w:val="24"/>
          <w:szCs w:val="24"/>
        </w:rPr>
      </w:pPr>
      <w:r>
        <w:rPr>
          <w:rFonts w:ascii="Times New Roman" w:hAnsi="Times New Roman" w:eastAsia="Times New Roman" w:cs="Times New Roman"/>
          <w:spacing w:val="-5"/>
          <w:sz w:val="24"/>
          <w:szCs w:val="24"/>
        </w:rPr>
        <w:t>T—</w:t>
      </w:r>
      <w:r>
        <w:rPr>
          <w:rFonts w:ascii="宋体" w:hAnsi="宋体" w:eastAsia="宋体" w:cs="宋体"/>
          <w:spacing w:val="-5"/>
          <w:sz w:val="24"/>
          <w:szCs w:val="24"/>
        </w:rPr>
        <w:t>用于计算等效声级的时间，</w:t>
      </w:r>
      <w:r>
        <w:rPr>
          <w:rFonts w:ascii="Times New Roman" w:hAnsi="Times New Roman" w:eastAsia="Times New Roman" w:cs="Times New Roman"/>
          <w:spacing w:val="-5"/>
          <w:sz w:val="24"/>
          <w:szCs w:val="24"/>
        </w:rPr>
        <w:t>s</w:t>
      </w:r>
      <w:r>
        <w:rPr>
          <w:rFonts w:ascii="宋体" w:hAnsi="宋体" w:eastAsia="宋体" w:cs="宋体"/>
          <w:spacing w:val="-5"/>
          <w:sz w:val="24"/>
          <w:szCs w:val="24"/>
        </w:rPr>
        <w:t>；</w:t>
      </w:r>
      <w:r>
        <w:rPr>
          <w:rFonts w:ascii="宋体" w:hAnsi="宋体" w:eastAsia="宋体" w:cs="宋体"/>
          <w:spacing w:val="10"/>
          <w:sz w:val="24"/>
          <w:szCs w:val="24"/>
        </w:rPr>
        <w:t xml:space="preserve"> </w:t>
      </w:r>
      <w:r>
        <w:rPr>
          <w:rFonts w:ascii="Times New Roman" w:hAnsi="Times New Roman" w:eastAsia="Times New Roman" w:cs="Times New Roman"/>
          <w:sz w:val="24"/>
          <w:szCs w:val="24"/>
        </w:rPr>
        <w:t>N—</w:t>
      </w:r>
      <w:r>
        <w:rPr>
          <w:rFonts w:ascii="宋体" w:hAnsi="宋体" w:eastAsia="宋体" w:cs="宋体"/>
          <w:sz w:val="24"/>
          <w:szCs w:val="24"/>
        </w:rPr>
        <w:t>室外声源个数；</w:t>
      </w:r>
    </w:p>
    <w:p w14:paraId="0528F4AD">
      <w:pPr>
        <w:spacing w:before="36" w:line="361" w:lineRule="auto"/>
        <w:ind w:left="1202" w:right="4214" w:hanging="1"/>
        <w:rPr>
          <w:rFonts w:ascii="宋体" w:hAnsi="宋体" w:eastAsia="宋体" w:cs="宋体"/>
          <w:sz w:val="24"/>
          <w:szCs w:val="24"/>
        </w:rPr>
      </w:pPr>
      <w:r>
        <w:rPr>
          <w:rFonts w:ascii="Times New Roman" w:hAnsi="Times New Roman" w:eastAsia="Times New Roman" w:cs="Times New Roman"/>
          <w:spacing w:val="-7"/>
          <w:sz w:val="24"/>
          <w:szCs w:val="24"/>
        </w:rPr>
        <w:t>t</w:t>
      </w:r>
      <w:r>
        <w:rPr>
          <w:rFonts w:ascii="Times New Roman" w:hAnsi="Times New Roman" w:eastAsia="Times New Roman" w:cs="Times New Roman"/>
          <w:spacing w:val="-7"/>
          <w:position w:val="-1"/>
          <w:sz w:val="15"/>
          <w:szCs w:val="15"/>
        </w:rPr>
        <w:t>i</w:t>
      </w:r>
      <w:r>
        <w:rPr>
          <w:rFonts w:ascii="Times New Roman" w:hAnsi="Times New Roman" w:eastAsia="Times New Roman" w:cs="Times New Roman"/>
          <w:spacing w:val="-7"/>
          <w:sz w:val="24"/>
          <w:szCs w:val="24"/>
        </w:rPr>
        <w:t>—</w:t>
      </w:r>
      <w:r>
        <w:rPr>
          <w:rFonts w:ascii="宋体" w:hAnsi="宋体" w:eastAsia="宋体" w:cs="宋体"/>
          <w:spacing w:val="-7"/>
          <w:sz w:val="24"/>
          <w:szCs w:val="24"/>
        </w:rPr>
        <w:t>在</w:t>
      </w:r>
      <w:r>
        <w:rPr>
          <w:rFonts w:ascii="宋体" w:hAnsi="宋体" w:eastAsia="宋体" w:cs="宋体"/>
          <w:spacing w:val="-39"/>
          <w:sz w:val="24"/>
          <w:szCs w:val="24"/>
        </w:rPr>
        <w:t xml:space="preserve"> </w:t>
      </w:r>
      <w:r>
        <w:rPr>
          <w:rFonts w:ascii="Times New Roman" w:hAnsi="Times New Roman" w:eastAsia="Times New Roman" w:cs="Times New Roman"/>
          <w:spacing w:val="-7"/>
          <w:sz w:val="24"/>
          <w:szCs w:val="24"/>
        </w:rPr>
        <w:t>T</w:t>
      </w:r>
      <w:r>
        <w:rPr>
          <w:rFonts w:ascii="Times New Roman" w:hAnsi="Times New Roman" w:eastAsia="Times New Roman" w:cs="Times New Roman"/>
          <w:spacing w:val="21"/>
          <w:sz w:val="24"/>
          <w:szCs w:val="24"/>
        </w:rPr>
        <w:t xml:space="preserve"> </w:t>
      </w:r>
      <w:r>
        <w:rPr>
          <w:rFonts w:ascii="宋体" w:hAnsi="宋体" w:eastAsia="宋体" w:cs="宋体"/>
          <w:spacing w:val="-7"/>
          <w:sz w:val="24"/>
          <w:szCs w:val="24"/>
        </w:rPr>
        <w:t>时间内</w:t>
      </w:r>
      <w:r>
        <w:rPr>
          <w:rFonts w:ascii="宋体" w:hAnsi="宋体" w:eastAsia="宋体" w:cs="宋体"/>
          <w:spacing w:val="-53"/>
          <w:sz w:val="24"/>
          <w:szCs w:val="24"/>
        </w:rPr>
        <w:t xml:space="preserve"> </w:t>
      </w:r>
      <w:r>
        <w:rPr>
          <w:rFonts w:ascii="Times New Roman" w:hAnsi="Times New Roman" w:eastAsia="Times New Roman" w:cs="Times New Roman"/>
          <w:spacing w:val="-7"/>
          <w:sz w:val="24"/>
          <w:szCs w:val="24"/>
        </w:rPr>
        <w:t>i</w:t>
      </w:r>
      <w:r>
        <w:rPr>
          <w:rFonts w:ascii="Times New Roman" w:hAnsi="Times New Roman" w:eastAsia="Times New Roman" w:cs="Times New Roman"/>
          <w:spacing w:val="15"/>
          <w:sz w:val="24"/>
          <w:szCs w:val="24"/>
        </w:rPr>
        <w:t xml:space="preserve"> </w:t>
      </w:r>
      <w:r>
        <w:rPr>
          <w:rFonts w:ascii="宋体" w:hAnsi="宋体" w:eastAsia="宋体" w:cs="宋体"/>
          <w:spacing w:val="-7"/>
          <w:sz w:val="24"/>
          <w:szCs w:val="24"/>
        </w:rPr>
        <w:t>声源工作时间，</w:t>
      </w:r>
      <w:r>
        <w:rPr>
          <w:rFonts w:ascii="Times New Roman" w:hAnsi="Times New Roman" w:eastAsia="Times New Roman" w:cs="Times New Roman"/>
          <w:spacing w:val="-7"/>
          <w:sz w:val="24"/>
          <w:szCs w:val="24"/>
        </w:rPr>
        <w:t>s</w:t>
      </w:r>
      <w:r>
        <w:rPr>
          <w:rFonts w:ascii="宋体" w:hAnsi="宋体" w:eastAsia="宋体" w:cs="宋体"/>
          <w:spacing w:val="-7"/>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M—</w:t>
      </w:r>
      <w:r>
        <w:rPr>
          <w:rFonts w:ascii="宋体" w:hAnsi="宋体" w:eastAsia="宋体" w:cs="宋体"/>
          <w:spacing w:val="-1"/>
          <w:sz w:val="24"/>
          <w:szCs w:val="24"/>
        </w:rPr>
        <w:t>等效室外声源个数。</w:t>
      </w:r>
    </w:p>
    <w:p w14:paraId="0B558F4A">
      <w:pPr>
        <w:spacing w:before="37" w:line="212" w:lineRule="auto"/>
        <w:ind w:left="1201"/>
        <w:rPr>
          <w:rFonts w:ascii="宋体" w:hAnsi="宋体" w:eastAsia="宋体" w:cs="宋体"/>
          <w:sz w:val="24"/>
          <w:szCs w:val="24"/>
        </w:rPr>
      </w:pPr>
      <w:r>
        <w:rPr>
          <w:rFonts w:ascii="Times New Roman" w:hAnsi="Times New Roman" w:eastAsia="Times New Roman" w:cs="Times New Roman"/>
          <w:sz w:val="24"/>
          <w:szCs w:val="24"/>
        </w:rPr>
        <w:t>t</w:t>
      </w:r>
      <w:r>
        <w:rPr>
          <w:rFonts w:ascii="Times New Roman" w:hAnsi="Times New Roman" w:eastAsia="Times New Roman" w:cs="Times New Roman"/>
          <w:position w:val="-1"/>
          <w:sz w:val="15"/>
          <w:szCs w:val="15"/>
        </w:rPr>
        <w:t>j</w:t>
      </w:r>
      <w:r>
        <w:rPr>
          <w:rFonts w:ascii="Times New Roman" w:hAnsi="Times New Roman" w:eastAsia="Times New Roman" w:cs="Times New Roman"/>
          <w:spacing w:val="1"/>
          <w:sz w:val="24"/>
          <w:szCs w:val="24"/>
        </w:rPr>
        <w:t>—</w:t>
      </w:r>
      <w:r>
        <w:rPr>
          <w:rFonts w:ascii="宋体" w:hAnsi="宋体" w:eastAsia="宋体" w:cs="宋体"/>
          <w:spacing w:val="1"/>
          <w:sz w:val="24"/>
          <w:szCs w:val="24"/>
        </w:rPr>
        <w:t>在</w:t>
      </w:r>
      <w:r>
        <w:rPr>
          <w:rFonts w:ascii="宋体" w:hAnsi="宋体" w:eastAsia="宋体" w:cs="宋体"/>
          <w:spacing w:val="-39"/>
          <w:sz w:val="24"/>
          <w:szCs w:val="24"/>
        </w:rPr>
        <w:t xml:space="preserve"> </w:t>
      </w:r>
      <w:r>
        <w:rPr>
          <w:rFonts w:ascii="Times New Roman" w:hAnsi="Times New Roman" w:eastAsia="Times New Roman" w:cs="Times New Roman"/>
          <w:spacing w:val="1"/>
          <w:sz w:val="24"/>
          <w:szCs w:val="24"/>
        </w:rPr>
        <w:t>T</w:t>
      </w:r>
      <w:r>
        <w:rPr>
          <w:rFonts w:ascii="Times New Roman" w:hAnsi="Times New Roman" w:eastAsia="Times New Roman" w:cs="Times New Roman"/>
          <w:spacing w:val="20"/>
          <w:w w:val="101"/>
          <w:sz w:val="24"/>
          <w:szCs w:val="24"/>
        </w:rPr>
        <w:t xml:space="preserve"> </w:t>
      </w:r>
      <w:r>
        <w:rPr>
          <w:rFonts w:ascii="宋体" w:hAnsi="宋体" w:eastAsia="宋体" w:cs="宋体"/>
          <w:spacing w:val="1"/>
          <w:sz w:val="24"/>
          <w:szCs w:val="24"/>
        </w:rPr>
        <w:t>时间内</w:t>
      </w:r>
      <w:r>
        <w:rPr>
          <w:rFonts w:ascii="Times New Roman" w:hAnsi="Times New Roman" w:eastAsia="Times New Roman" w:cs="Times New Roman"/>
          <w:spacing w:val="1"/>
          <w:sz w:val="24"/>
          <w:szCs w:val="24"/>
        </w:rPr>
        <w:t xml:space="preserve">j </w:t>
      </w:r>
      <w:r>
        <w:rPr>
          <w:rFonts w:ascii="宋体" w:hAnsi="宋体" w:eastAsia="宋体" w:cs="宋体"/>
          <w:spacing w:val="1"/>
          <w:sz w:val="24"/>
          <w:szCs w:val="24"/>
        </w:rPr>
        <w:t>声源工作时间，</w:t>
      </w:r>
      <w:r>
        <w:rPr>
          <w:rFonts w:ascii="Times New Roman" w:hAnsi="Times New Roman" w:eastAsia="Times New Roman" w:cs="Times New Roman"/>
          <w:spacing w:val="1"/>
          <w:sz w:val="24"/>
          <w:szCs w:val="24"/>
        </w:rPr>
        <w:t>s</w:t>
      </w:r>
      <w:r>
        <w:rPr>
          <w:rFonts w:ascii="宋体" w:hAnsi="宋体" w:eastAsia="宋体" w:cs="宋体"/>
          <w:spacing w:val="1"/>
          <w:sz w:val="24"/>
          <w:szCs w:val="24"/>
        </w:rPr>
        <w:t>。</w:t>
      </w:r>
    </w:p>
    <w:p w14:paraId="09A85618">
      <w:pPr>
        <w:spacing w:before="213" w:line="221" w:lineRule="auto"/>
        <w:ind w:left="2"/>
        <w:outlineLvl w:val="3"/>
        <w:rPr>
          <w:rFonts w:ascii="黑体" w:hAnsi="黑体" w:eastAsia="黑体" w:cs="黑体"/>
          <w:sz w:val="24"/>
          <w:szCs w:val="24"/>
        </w:rPr>
      </w:pPr>
      <w:r>
        <w:fldChar w:fldCharType="begin"/>
      </w:r>
      <w:r>
        <w:instrText xml:space="preserve"> HYPERLINK "4.3.2.2" </w:instrText>
      </w:r>
      <w:r>
        <w:fldChar w:fldCharType="separate"/>
      </w:r>
      <w:r>
        <w:rPr>
          <w:rFonts w:ascii="Times New Roman" w:hAnsi="Times New Roman" w:eastAsia="Times New Roman" w:cs="Times New Roman"/>
          <w:spacing w:val="-1"/>
          <w:sz w:val="24"/>
          <w:szCs w:val="24"/>
        </w:rPr>
        <w:t>4.3.2.2</w:t>
      </w:r>
      <w:r>
        <w:rPr>
          <w:rFonts w:ascii="Times New Roman" w:hAnsi="Times New Roman" w:eastAsia="Times New Roman" w:cs="Times New Roman"/>
          <w:spacing w:val="-1"/>
          <w:sz w:val="24"/>
          <w:szCs w:val="24"/>
        </w:rPr>
        <w:fldChar w:fldCharType="end"/>
      </w:r>
      <w:r>
        <w:rPr>
          <w:rFonts w:ascii="Times New Roman" w:hAnsi="Times New Roman" w:eastAsia="Times New Roman" w:cs="Times New Roman"/>
          <w:spacing w:val="-1"/>
          <w:sz w:val="24"/>
          <w:szCs w:val="24"/>
        </w:rPr>
        <w:t xml:space="preserve"> </w:t>
      </w:r>
      <w:r>
        <w:rPr>
          <w:rFonts w:ascii="黑体" w:hAnsi="黑体" w:eastAsia="黑体" w:cs="黑体"/>
          <w:spacing w:val="-1"/>
          <w:sz w:val="24"/>
          <w:szCs w:val="24"/>
        </w:rPr>
        <w:t>坐标系统</w:t>
      </w:r>
    </w:p>
    <w:p w14:paraId="03EBAD24">
      <w:pPr>
        <w:spacing w:before="204" w:line="361" w:lineRule="auto"/>
        <w:ind w:left="26" w:right="58" w:firstLine="463"/>
        <w:rPr>
          <w:rFonts w:ascii="宋体" w:hAnsi="宋体" w:eastAsia="宋体" w:cs="宋体"/>
          <w:sz w:val="24"/>
          <w:szCs w:val="24"/>
        </w:rPr>
      </w:pPr>
      <w:r>
        <w:rPr>
          <w:rFonts w:ascii="宋体" w:hAnsi="宋体" w:eastAsia="宋体" w:cs="宋体"/>
          <w:spacing w:val="-4"/>
          <w:sz w:val="24"/>
          <w:szCs w:val="24"/>
        </w:rPr>
        <w:t>本次环评采用了石家庄环安科技开发噪声预测评价软件。预测点高度为</w:t>
      </w:r>
      <w:r>
        <w:rPr>
          <w:rFonts w:ascii="宋体" w:hAnsi="宋体" w:eastAsia="宋体" w:cs="宋体"/>
          <w:spacing w:val="-31"/>
          <w:sz w:val="24"/>
          <w:szCs w:val="24"/>
        </w:rPr>
        <w:t xml:space="preserve"> </w:t>
      </w:r>
      <w:r>
        <w:rPr>
          <w:rFonts w:ascii="Times New Roman" w:hAnsi="Times New Roman" w:eastAsia="Times New Roman" w:cs="Times New Roman"/>
          <w:spacing w:val="-4"/>
          <w:sz w:val="24"/>
          <w:szCs w:val="24"/>
        </w:rPr>
        <w:t>1.2m</w:t>
      </w:r>
      <w:r>
        <w:rPr>
          <w:rFonts w:ascii="宋体" w:hAnsi="宋体" w:eastAsia="宋体" w:cs="宋体"/>
          <w:spacing w:val="-5"/>
          <w:sz w:val="24"/>
          <w:szCs w:val="24"/>
        </w:rPr>
        <w:t>。预测</w:t>
      </w:r>
      <w:r>
        <w:rPr>
          <w:rFonts w:ascii="宋体" w:hAnsi="宋体" w:eastAsia="宋体" w:cs="宋体"/>
          <w:sz w:val="24"/>
          <w:szCs w:val="24"/>
        </w:rPr>
        <w:t xml:space="preserve"> </w:t>
      </w:r>
      <w:r>
        <w:rPr>
          <w:rFonts w:ascii="宋体" w:hAnsi="宋体" w:eastAsia="宋体" w:cs="宋体"/>
          <w:spacing w:val="-5"/>
          <w:sz w:val="24"/>
          <w:szCs w:val="24"/>
        </w:rPr>
        <w:t>区内测算点的间隔为</w:t>
      </w:r>
      <w:r>
        <w:rPr>
          <w:rFonts w:ascii="宋体" w:hAnsi="宋体" w:eastAsia="宋体" w:cs="宋体"/>
          <w:spacing w:val="-24"/>
          <w:sz w:val="24"/>
          <w:szCs w:val="24"/>
        </w:rPr>
        <w:t xml:space="preserve"> </w:t>
      </w:r>
      <w:r>
        <w:rPr>
          <w:rFonts w:ascii="Times New Roman" w:hAnsi="Times New Roman" w:eastAsia="Times New Roman" w:cs="Times New Roman"/>
          <w:spacing w:val="-5"/>
          <w:sz w:val="24"/>
          <w:szCs w:val="24"/>
        </w:rPr>
        <w:t>10m</w:t>
      </w:r>
      <w:r>
        <w:rPr>
          <w:rFonts w:ascii="宋体" w:hAnsi="宋体" w:eastAsia="宋体" w:cs="宋体"/>
          <w:spacing w:val="-5"/>
          <w:sz w:val="24"/>
          <w:szCs w:val="24"/>
        </w:rPr>
        <w:t>。</w:t>
      </w:r>
    </w:p>
    <w:p w14:paraId="6060148D">
      <w:pPr>
        <w:spacing w:before="37" w:line="221" w:lineRule="auto"/>
        <w:ind w:left="2"/>
        <w:outlineLvl w:val="3"/>
        <w:rPr>
          <w:rFonts w:ascii="黑体" w:hAnsi="黑体" w:eastAsia="黑体" w:cs="黑体"/>
          <w:sz w:val="24"/>
          <w:szCs w:val="24"/>
        </w:rPr>
      </w:pPr>
      <w:r>
        <w:fldChar w:fldCharType="begin"/>
      </w:r>
      <w:r>
        <w:instrText xml:space="preserve"> HYPERLINK "4.4.2.3" </w:instrText>
      </w:r>
      <w:r>
        <w:fldChar w:fldCharType="separate"/>
      </w:r>
      <w:r>
        <w:rPr>
          <w:rFonts w:ascii="Times New Roman" w:hAnsi="Times New Roman" w:eastAsia="Times New Roman" w:cs="Times New Roman"/>
          <w:spacing w:val="-1"/>
          <w:sz w:val="24"/>
          <w:szCs w:val="24"/>
        </w:rPr>
        <w:t>4.4.2.3</w:t>
      </w:r>
      <w:r>
        <w:rPr>
          <w:rFonts w:ascii="Times New Roman" w:hAnsi="Times New Roman" w:eastAsia="Times New Roman" w:cs="Times New Roman"/>
          <w:spacing w:val="-1"/>
          <w:sz w:val="24"/>
          <w:szCs w:val="24"/>
        </w:rPr>
        <w:fldChar w:fldCharType="end"/>
      </w:r>
      <w:r>
        <w:rPr>
          <w:rFonts w:ascii="Times New Roman" w:hAnsi="Times New Roman" w:eastAsia="Times New Roman" w:cs="Times New Roman"/>
          <w:spacing w:val="-1"/>
          <w:sz w:val="24"/>
          <w:szCs w:val="24"/>
        </w:rPr>
        <w:t xml:space="preserve"> </w:t>
      </w:r>
      <w:r>
        <w:rPr>
          <w:rFonts w:ascii="黑体" w:hAnsi="黑体" w:eastAsia="黑体" w:cs="黑体"/>
          <w:spacing w:val="-1"/>
          <w:sz w:val="24"/>
          <w:szCs w:val="24"/>
        </w:rPr>
        <w:t>影响声波传播的各类参数</w:t>
      </w:r>
    </w:p>
    <w:p w14:paraId="75988523">
      <w:pPr>
        <w:spacing w:before="202" w:line="219" w:lineRule="auto"/>
        <w:ind w:left="489"/>
        <w:rPr>
          <w:rFonts w:ascii="宋体" w:hAnsi="宋体" w:eastAsia="宋体" w:cs="宋体"/>
          <w:sz w:val="24"/>
          <w:szCs w:val="24"/>
        </w:rPr>
      </w:pPr>
      <w:r>
        <w:rPr>
          <w:rFonts w:ascii="宋体" w:hAnsi="宋体" w:eastAsia="宋体" w:cs="宋体"/>
          <w:spacing w:val="-1"/>
          <w:sz w:val="24"/>
          <w:szCs w:val="24"/>
        </w:rPr>
        <w:t>本项目影响声波传播的各类参量见表</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4.4-3</w:t>
      </w:r>
      <w:r>
        <w:rPr>
          <w:rFonts w:ascii="宋体" w:hAnsi="宋体" w:eastAsia="宋体" w:cs="宋体"/>
          <w:spacing w:val="-1"/>
          <w:sz w:val="24"/>
          <w:szCs w:val="24"/>
        </w:rPr>
        <w:t>。</w:t>
      </w:r>
    </w:p>
    <w:p w14:paraId="7F84EB02">
      <w:pPr>
        <w:spacing w:before="220" w:line="227" w:lineRule="auto"/>
        <w:ind w:left="2718"/>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4.4-3        </w:t>
      </w:r>
      <w:r>
        <w:rPr>
          <w:rFonts w:ascii="宋体" w:hAnsi="宋体" w:eastAsia="宋体" w:cs="宋体"/>
          <w:b/>
          <w:bCs/>
          <w:spacing w:val="5"/>
          <w:sz w:val="20"/>
          <w:szCs w:val="20"/>
        </w:rPr>
        <w:t>影响声波传播的各类参量表</w:t>
      </w:r>
    </w:p>
    <w:p w14:paraId="75AB69C5">
      <w:pPr>
        <w:spacing w:line="103"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939"/>
        <w:gridCol w:w="3161"/>
        <w:gridCol w:w="2972"/>
      </w:tblGrid>
      <w:tr w14:paraId="67365D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2939" w:type="dxa"/>
            <w:tcBorders>
              <w:top w:val="single" w:color="000000" w:sz="10" w:space="0"/>
              <w:left w:val="nil"/>
            </w:tcBorders>
            <w:vAlign w:val="top"/>
          </w:tcPr>
          <w:p w14:paraId="20D37778">
            <w:pPr>
              <w:pStyle w:val="6"/>
              <w:spacing w:before="53" w:line="228" w:lineRule="auto"/>
              <w:ind w:left="848"/>
              <w:rPr>
                <w:sz w:val="20"/>
                <w:szCs w:val="20"/>
              </w:rPr>
            </w:pPr>
            <w:r>
              <w:rPr>
                <w:spacing w:val="7"/>
                <w:sz w:val="20"/>
                <w:szCs w:val="20"/>
              </w:rPr>
              <w:t>项目所在区域</w:t>
            </w:r>
          </w:p>
        </w:tc>
        <w:tc>
          <w:tcPr>
            <w:tcW w:w="3161" w:type="dxa"/>
            <w:tcBorders>
              <w:top w:val="single" w:color="000000" w:sz="10" w:space="0"/>
            </w:tcBorders>
            <w:vAlign w:val="top"/>
          </w:tcPr>
          <w:p w14:paraId="1DCA1325">
            <w:pPr>
              <w:pStyle w:val="6"/>
              <w:spacing w:before="52" w:line="231" w:lineRule="auto"/>
              <w:ind w:left="1377"/>
              <w:rPr>
                <w:sz w:val="20"/>
                <w:szCs w:val="20"/>
              </w:rPr>
            </w:pPr>
            <w:r>
              <w:rPr>
                <w:spacing w:val="3"/>
                <w:sz w:val="20"/>
                <w:szCs w:val="20"/>
              </w:rPr>
              <w:t>参量</w:t>
            </w:r>
          </w:p>
        </w:tc>
        <w:tc>
          <w:tcPr>
            <w:tcW w:w="2972" w:type="dxa"/>
            <w:tcBorders>
              <w:top w:val="single" w:color="000000" w:sz="10" w:space="0"/>
              <w:right w:val="nil"/>
            </w:tcBorders>
            <w:vAlign w:val="top"/>
          </w:tcPr>
          <w:p w14:paraId="18E395BF">
            <w:pPr>
              <w:pStyle w:val="6"/>
              <w:spacing w:before="53" w:line="228" w:lineRule="auto"/>
              <w:ind w:left="1287"/>
              <w:rPr>
                <w:sz w:val="20"/>
                <w:szCs w:val="20"/>
              </w:rPr>
            </w:pPr>
            <w:r>
              <w:rPr>
                <w:spacing w:val="3"/>
                <w:sz w:val="20"/>
                <w:szCs w:val="20"/>
              </w:rPr>
              <w:t>取值</w:t>
            </w:r>
          </w:p>
        </w:tc>
      </w:tr>
      <w:tr w14:paraId="231BD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939" w:type="dxa"/>
            <w:vMerge w:val="restart"/>
            <w:tcBorders>
              <w:left w:val="nil"/>
              <w:bottom w:val="nil"/>
            </w:tcBorders>
            <w:vAlign w:val="top"/>
          </w:tcPr>
          <w:p w14:paraId="05B50359">
            <w:pPr>
              <w:spacing w:line="337" w:lineRule="auto"/>
              <w:rPr>
                <w:rFonts w:ascii="Arial"/>
                <w:sz w:val="21"/>
              </w:rPr>
            </w:pPr>
          </w:p>
          <w:p w14:paraId="01C990F3">
            <w:pPr>
              <w:spacing w:line="337" w:lineRule="auto"/>
              <w:rPr>
                <w:rFonts w:ascii="Arial"/>
                <w:sz w:val="21"/>
              </w:rPr>
            </w:pPr>
          </w:p>
          <w:p w14:paraId="184A0EC4">
            <w:pPr>
              <w:pStyle w:val="6"/>
              <w:spacing w:before="65" w:line="228" w:lineRule="auto"/>
              <w:ind w:left="1056"/>
              <w:rPr>
                <w:sz w:val="20"/>
                <w:szCs w:val="20"/>
              </w:rPr>
            </w:pPr>
            <w:r>
              <w:rPr>
                <w:spacing w:val="7"/>
                <w:sz w:val="20"/>
                <w:szCs w:val="20"/>
              </w:rPr>
              <w:t>朱日和镇</w:t>
            </w:r>
          </w:p>
        </w:tc>
        <w:tc>
          <w:tcPr>
            <w:tcW w:w="3161" w:type="dxa"/>
            <w:vAlign w:val="top"/>
          </w:tcPr>
          <w:p w14:paraId="6439494C">
            <w:pPr>
              <w:pStyle w:val="6"/>
              <w:spacing w:before="65" w:line="228" w:lineRule="auto"/>
              <w:ind w:left="1166"/>
              <w:rPr>
                <w:sz w:val="20"/>
                <w:szCs w:val="20"/>
              </w:rPr>
            </w:pPr>
            <w:r>
              <w:rPr>
                <w:spacing w:val="6"/>
                <w:sz w:val="20"/>
                <w:szCs w:val="20"/>
              </w:rPr>
              <w:t>主导风向</w:t>
            </w:r>
          </w:p>
        </w:tc>
        <w:tc>
          <w:tcPr>
            <w:tcW w:w="2972" w:type="dxa"/>
            <w:tcBorders>
              <w:right w:val="nil"/>
            </w:tcBorders>
            <w:vAlign w:val="top"/>
          </w:tcPr>
          <w:p w14:paraId="00A6A396">
            <w:pPr>
              <w:spacing w:before="100" w:line="195" w:lineRule="auto"/>
              <w:ind w:left="1231"/>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WSW</w:t>
            </w:r>
          </w:p>
        </w:tc>
      </w:tr>
      <w:tr w14:paraId="61154A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939" w:type="dxa"/>
            <w:vMerge w:val="continue"/>
            <w:tcBorders>
              <w:top w:val="nil"/>
              <w:left w:val="nil"/>
              <w:bottom w:val="nil"/>
            </w:tcBorders>
            <w:vAlign w:val="top"/>
          </w:tcPr>
          <w:p w14:paraId="03D0C69B">
            <w:pPr>
              <w:rPr>
                <w:rFonts w:ascii="Arial"/>
                <w:sz w:val="21"/>
              </w:rPr>
            </w:pPr>
          </w:p>
        </w:tc>
        <w:tc>
          <w:tcPr>
            <w:tcW w:w="3161" w:type="dxa"/>
            <w:vAlign w:val="top"/>
          </w:tcPr>
          <w:p w14:paraId="7AADF39B">
            <w:pPr>
              <w:pStyle w:val="6"/>
              <w:spacing w:before="69" w:line="228" w:lineRule="auto"/>
              <w:ind w:left="803"/>
              <w:rPr>
                <w:sz w:val="20"/>
                <w:szCs w:val="20"/>
              </w:rPr>
            </w:pPr>
            <w:r>
              <w:rPr>
                <w:spacing w:val="6"/>
                <w:sz w:val="20"/>
                <w:szCs w:val="20"/>
              </w:rPr>
              <w:t>平均风速（</w:t>
            </w:r>
            <w:r>
              <w:rPr>
                <w:rFonts w:ascii="Times New Roman" w:hAnsi="Times New Roman" w:eastAsia="Times New Roman" w:cs="Times New Roman"/>
                <w:spacing w:val="6"/>
                <w:sz w:val="20"/>
                <w:szCs w:val="20"/>
              </w:rPr>
              <w:t>m/s</w:t>
            </w:r>
            <w:r>
              <w:rPr>
                <w:spacing w:val="6"/>
                <w:sz w:val="20"/>
                <w:szCs w:val="20"/>
              </w:rPr>
              <w:t>）</w:t>
            </w:r>
          </w:p>
        </w:tc>
        <w:tc>
          <w:tcPr>
            <w:tcW w:w="2972" w:type="dxa"/>
            <w:tcBorders>
              <w:right w:val="nil"/>
            </w:tcBorders>
            <w:vAlign w:val="top"/>
          </w:tcPr>
          <w:p w14:paraId="58EEA32C">
            <w:pPr>
              <w:spacing w:before="105" w:line="195" w:lineRule="auto"/>
              <w:ind w:left="130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4.61</w:t>
            </w:r>
          </w:p>
        </w:tc>
      </w:tr>
      <w:tr w14:paraId="120B74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939" w:type="dxa"/>
            <w:vMerge w:val="continue"/>
            <w:tcBorders>
              <w:top w:val="nil"/>
              <w:left w:val="nil"/>
              <w:bottom w:val="nil"/>
            </w:tcBorders>
            <w:vAlign w:val="top"/>
          </w:tcPr>
          <w:p w14:paraId="789CF570">
            <w:pPr>
              <w:rPr>
                <w:rFonts w:ascii="Arial"/>
                <w:sz w:val="21"/>
              </w:rPr>
            </w:pPr>
          </w:p>
        </w:tc>
        <w:tc>
          <w:tcPr>
            <w:tcW w:w="3161" w:type="dxa"/>
            <w:vAlign w:val="top"/>
          </w:tcPr>
          <w:p w14:paraId="66B0B54A">
            <w:pPr>
              <w:pStyle w:val="6"/>
              <w:spacing w:before="71" w:line="228" w:lineRule="auto"/>
              <w:ind w:left="743"/>
              <w:rPr>
                <w:sz w:val="20"/>
                <w:szCs w:val="20"/>
              </w:rPr>
            </w:pPr>
            <w:r>
              <w:rPr>
                <w:spacing w:val="5"/>
                <w:sz w:val="20"/>
                <w:szCs w:val="20"/>
              </w:rPr>
              <w:t>年平均气温</w:t>
            </w:r>
            <w:r>
              <w:rPr>
                <w:spacing w:val="19"/>
                <w:sz w:val="20"/>
                <w:szCs w:val="20"/>
              </w:rPr>
              <w:t xml:space="preserve"> </w:t>
            </w:r>
            <w:r>
              <w:rPr>
                <w:spacing w:val="5"/>
                <w:sz w:val="20"/>
                <w:szCs w:val="20"/>
              </w:rPr>
              <w:t>(</w:t>
            </w:r>
            <w:r>
              <w:rPr>
                <w:rFonts w:ascii="Times New Roman" w:hAnsi="Times New Roman" w:eastAsia="Times New Roman" w:cs="Times New Roman"/>
                <w:spacing w:val="5"/>
                <w:sz w:val="20"/>
                <w:szCs w:val="20"/>
              </w:rPr>
              <w:t>℃</w:t>
            </w:r>
            <w:r>
              <w:rPr>
                <w:spacing w:val="5"/>
                <w:sz w:val="20"/>
                <w:szCs w:val="20"/>
              </w:rPr>
              <w:t>)</w:t>
            </w:r>
          </w:p>
        </w:tc>
        <w:tc>
          <w:tcPr>
            <w:tcW w:w="2972" w:type="dxa"/>
            <w:tcBorders>
              <w:right w:val="nil"/>
            </w:tcBorders>
            <w:vAlign w:val="top"/>
          </w:tcPr>
          <w:p w14:paraId="7F0D29A1">
            <w:pPr>
              <w:spacing w:before="110" w:line="195" w:lineRule="auto"/>
              <w:ind w:left="130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6.02</w:t>
            </w:r>
          </w:p>
        </w:tc>
      </w:tr>
      <w:tr w14:paraId="2CECDE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939" w:type="dxa"/>
            <w:vMerge w:val="continue"/>
            <w:tcBorders>
              <w:top w:val="nil"/>
              <w:left w:val="nil"/>
              <w:bottom w:val="nil"/>
            </w:tcBorders>
            <w:vAlign w:val="top"/>
          </w:tcPr>
          <w:p w14:paraId="6B972BC5">
            <w:pPr>
              <w:rPr>
                <w:rFonts w:ascii="Arial"/>
                <w:sz w:val="21"/>
              </w:rPr>
            </w:pPr>
          </w:p>
        </w:tc>
        <w:tc>
          <w:tcPr>
            <w:tcW w:w="3161" w:type="dxa"/>
            <w:vAlign w:val="top"/>
          </w:tcPr>
          <w:p w14:paraId="60655910">
            <w:pPr>
              <w:pStyle w:val="6"/>
              <w:spacing w:before="76" w:line="226" w:lineRule="auto"/>
              <w:ind w:left="553"/>
              <w:rPr>
                <w:sz w:val="20"/>
                <w:szCs w:val="20"/>
              </w:rPr>
            </w:pPr>
            <w:r>
              <w:rPr>
                <w:spacing w:val="7"/>
                <w:sz w:val="20"/>
                <w:szCs w:val="20"/>
              </w:rPr>
              <w:t>年平均相对湿度（</w:t>
            </w:r>
            <w:r>
              <w:rPr>
                <w:rFonts w:ascii="Times New Roman" w:hAnsi="Times New Roman" w:eastAsia="Times New Roman" w:cs="Times New Roman"/>
                <w:spacing w:val="7"/>
                <w:sz w:val="20"/>
                <w:szCs w:val="20"/>
              </w:rPr>
              <w:t>%</w:t>
            </w:r>
            <w:r>
              <w:rPr>
                <w:spacing w:val="7"/>
                <w:sz w:val="20"/>
                <w:szCs w:val="20"/>
              </w:rPr>
              <w:t>）</w:t>
            </w:r>
          </w:p>
        </w:tc>
        <w:tc>
          <w:tcPr>
            <w:tcW w:w="2972" w:type="dxa"/>
            <w:tcBorders>
              <w:right w:val="nil"/>
            </w:tcBorders>
            <w:vAlign w:val="top"/>
          </w:tcPr>
          <w:p w14:paraId="4F9566FD">
            <w:pPr>
              <w:spacing w:before="112" w:line="195" w:lineRule="auto"/>
              <w:ind w:left="125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45.34</w:t>
            </w:r>
          </w:p>
        </w:tc>
      </w:tr>
      <w:tr w14:paraId="102F80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2939" w:type="dxa"/>
            <w:vMerge w:val="continue"/>
            <w:tcBorders>
              <w:top w:val="nil"/>
              <w:left w:val="nil"/>
              <w:bottom w:val="single" w:color="000000" w:sz="10" w:space="0"/>
            </w:tcBorders>
            <w:vAlign w:val="top"/>
          </w:tcPr>
          <w:p w14:paraId="1ACF61A7">
            <w:pPr>
              <w:rPr>
                <w:rFonts w:ascii="Arial"/>
                <w:sz w:val="21"/>
              </w:rPr>
            </w:pPr>
          </w:p>
        </w:tc>
        <w:tc>
          <w:tcPr>
            <w:tcW w:w="3161" w:type="dxa"/>
            <w:tcBorders>
              <w:bottom w:val="single" w:color="000000" w:sz="10" w:space="0"/>
            </w:tcBorders>
            <w:vAlign w:val="top"/>
          </w:tcPr>
          <w:p w14:paraId="5B263E53">
            <w:pPr>
              <w:pStyle w:val="6"/>
              <w:spacing w:before="81" w:line="228" w:lineRule="auto"/>
              <w:ind w:left="700"/>
              <w:rPr>
                <w:sz w:val="20"/>
                <w:szCs w:val="20"/>
              </w:rPr>
            </w:pPr>
            <w:r>
              <w:rPr>
                <w:spacing w:val="8"/>
                <w:sz w:val="20"/>
                <w:szCs w:val="20"/>
              </w:rPr>
              <w:t>空气大气压（</w:t>
            </w:r>
            <w:r>
              <w:rPr>
                <w:rFonts w:ascii="Times New Roman" w:hAnsi="Times New Roman" w:eastAsia="Times New Roman" w:cs="Times New Roman"/>
                <w:sz w:val="20"/>
                <w:szCs w:val="20"/>
              </w:rPr>
              <w:t>hPa</w:t>
            </w:r>
            <w:r>
              <w:rPr>
                <w:spacing w:val="8"/>
                <w:sz w:val="20"/>
                <w:szCs w:val="20"/>
              </w:rPr>
              <w:t>）</w:t>
            </w:r>
          </w:p>
        </w:tc>
        <w:tc>
          <w:tcPr>
            <w:tcW w:w="2972" w:type="dxa"/>
            <w:tcBorders>
              <w:bottom w:val="single" w:color="000000" w:sz="10" w:space="0"/>
              <w:right w:val="nil"/>
            </w:tcBorders>
            <w:vAlign w:val="top"/>
          </w:tcPr>
          <w:p w14:paraId="37508107">
            <w:pPr>
              <w:spacing w:before="117" w:line="195" w:lineRule="auto"/>
              <w:ind w:left="12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885.29</w:t>
            </w:r>
          </w:p>
        </w:tc>
      </w:tr>
    </w:tbl>
    <w:p w14:paraId="1E1EF3FF">
      <w:pPr>
        <w:pStyle w:val="2"/>
      </w:pPr>
    </w:p>
    <w:p w14:paraId="27A7A202">
      <w:pPr>
        <w:sectPr>
          <w:headerReference r:id="rId350" w:type="default"/>
          <w:footerReference r:id="rId351" w:type="default"/>
          <w:pgSz w:w="11906" w:h="16839"/>
          <w:pgMar w:top="1190" w:right="1359" w:bottom="1427" w:left="1417" w:header="882" w:footer="1265" w:gutter="0"/>
          <w:cols w:space="720" w:num="1"/>
        </w:sectPr>
      </w:pPr>
    </w:p>
    <w:p w14:paraId="3A637DE8">
      <w:pPr>
        <w:spacing w:line="28" w:lineRule="exact"/>
        <w:ind w:firstLine="107"/>
      </w:pPr>
      <w:r>
        <w:pict>
          <v:shape id="_x0000_s1838" o:spid="_x0000_s1838" style="height:1.45pt;width:453.65pt;" fillcolor="#000000" filled="t" stroked="f" coordsize="9072,29" path="m0,0l9072,0,9072,28,0,28,0,0xe">
            <v:path/>
            <v:fill on="t" focussize="0,0"/>
            <v:stroke on="f"/>
            <v:imagedata o:title=""/>
            <o:lock v:ext="edit"/>
            <w10:wrap type="none"/>
            <w10:anchorlock/>
          </v:shape>
        </w:pict>
      </w:r>
    </w:p>
    <w:p w14:paraId="6AAEC9F3">
      <w:pPr>
        <w:spacing w:before="241" w:line="222" w:lineRule="auto"/>
        <w:ind w:left="110"/>
        <w:outlineLvl w:val="2"/>
        <w:rPr>
          <w:rFonts w:ascii="黑体" w:hAnsi="黑体" w:eastAsia="黑体" w:cs="黑体"/>
          <w:sz w:val="30"/>
          <w:szCs w:val="30"/>
        </w:rPr>
      </w:pPr>
      <w:bookmarkStart w:id="376" w:name="bookmark220"/>
      <w:bookmarkEnd w:id="376"/>
      <w:r>
        <w:rPr>
          <w:rFonts w:ascii="Times New Roman" w:hAnsi="Times New Roman" w:eastAsia="Times New Roman" w:cs="Times New Roman"/>
          <w:spacing w:val="-1"/>
          <w:sz w:val="30"/>
          <w:szCs w:val="30"/>
        </w:rPr>
        <w:t xml:space="preserve">4.4.3 </w:t>
      </w:r>
      <w:r>
        <w:rPr>
          <w:rFonts w:ascii="黑体" w:hAnsi="黑体" w:eastAsia="黑体" w:cs="黑体"/>
          <w:spacing w:val="-1"/>
          <w:sz w:val="30"/>
          <w:szCs w:val="30"/>
        </w:rPr>
        <w:t>噪声预测结果与评价</w:t>
      </w:r>
    </w:p>
    <w:p w14:paraId="52DF2B8B">
      <w:pPr>
        <w:spacing w:before="304" w:line="367" w:lineRule="auto"/>
        <w:ind w:left="116" w:right="108" w:firstLine="479"/>
        <w:rPr>
          <w:rFonts w:ascii="宋体" w:hAnsi="宋体" w:eastAsia="宋体" w:cs="宋体"/>
          <w:sz w:val="24"/>
          <w:szCs w:val="24"/>
        </w:rPr>
      </w:pPr>
      <w:r>
        <w:rPr>
          <w:rFonts w:ascii="宋体" w:hAnsi="宋体" w:eastAsia="宋体" w:cs="宋体"/>
          <w:spacing w:val="-2"/>
          <w:sz w:val="24"/>
          <w:szCs w:val="24"/>
        </w:rPr>
        <w:t>根据项目投产后厂内主要噪声源的位置、声功率级值以及所采取的噪声防治措施，</w:t>
      </w:r>
      <w:r>
        <w:rPr>
          <w:rFonts w:ascii="宋体" w:hAnsi="宋体" w:eastAsia="宋体" w:cs="宋体"/>
          <w:spacing w:val="13"/>
          <w:sz w:val="24"/>
          <w:szCs w:val="24"/>
        </w:rPr>
        <w:t xml:space="preserve"> </w:t>
      </w:r>
      <w:r>
        <w:rPr>
          <w:rFonts w:ascii="宋体" w:hAnsi="宋体" w:eastAsia="宋体" w:cs="宋体"/>
          <w:spacing w:val="-2"/>
          <w:sz w:val="24"/>
          <w:szCs w:val="24"/>
        </w:rPr>
        <w:t>结合噪声现状情况，按上述噪声衰减模式对评价区域内噪声源对项目厂界的影响进行预</w:t>
      </w:r>
      <w:r>
        <w:rPr>
          <w:rFonts w:ascii="宋体" w:hAnsi="宋体" w:eastAsia="宋体" w:cs="宋体"/>
          <w:spacing w:val="16"/>
          <w:sz w:val="24"/>
          <w:szCs w:val="24"/>
        </w:rPr>
        <w:t xml:space="preserve"> </w:t>
      </w:r>
      <w:r>
        <w:rPr>
          <w:rFonts w:ascii="宋体" w:hAnsi="宋体" w:eastAsia="宋体" w:cs="宋体"/>
          <w:spacing w:val="-6"/>
          <w:sz w:val="24"/>
          <w:szCs w:val="24"/>
        </w:rPr>
        <w:t>测。</w:t>
      </w:r>
    </w:p>
    <w:p w14:paraId="37891224">
      <w:pPr>
        <w:spacing w:before="33" w:line="219" w:lineRule="auto"/>
        <w:ind w:left="596"/>
        <w:rPr>
          <w:rFonts w:ascii="宋体" w:hAnsi="宋体" w:eastAsia="宋体" w:cs="宋体"/>
          <w:sz w:val="24"/>
          <w:szCs w:val="24"/>
        </w:rPr>
      </w:pPr>
      <w:r>
        <w:rPr>
          <w:rFonts w:ascii="宋体" w:hAnsi="宋体" w:eastAsia="宋体" w:cs="宋体"/>
          <w:spacing w:val="-1"/>
          <w:sz w:val="24"/>
          <w:szCs w:val="24"/>
        </w:rPr>
        <w:t>本项目声环境保护目标调查表见表</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4.4-4</w:t>
      </w:r>
      <w:r>
        <w:rPr>
          <w:rFonts w:ascii="宋体" w:hAnsi="宋体" w:eastAsia="宋体" w:cs="宋体"/>
          <w:spacing w:val="-1"/>
          <w:sz w:val="24"/>
          <w:szCs w:val="24"/>
        </w:rPr>
        <w:t>。</w:t>
      </w:r>
    </w:p>
    <w:p w14:paraId="7D239DB4">
      <w:pPr>
        <w:spacing w:before="220" w:line="228" w:lineRule="auto"/>
        <w:ind w:left="2614"/>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6"/>
          <w:sz w:val="20"/>
          <w:szCs w:val="20"/>
        </w:rPr>
        <w:t xml:space="preserve"> </w:t>
      </w:r>
      <w:r>
        <w:rPr>
          <w:rFonts w:ascii="Times New Roman" w:hAnsi="Times New Roman" w:eastAsia="Times New Roman" w:cs="Times New Roman"/>
          <w:b/>
          <w:bCs/>
          <w:spacing w:val="5"/>
          <w:sz w:val="20"/>
          <w:szCs w:val="20"/>
        </w:rPr>
        <w:t xml:space="preserve">4.4-4        </w:t>
      </w:r>
      <w:r>
        <w:rPr>
          <w:rFonts w:ascii="宋体" w:hAnsi="宋体" w:eastAsia="宋体" w:cs="宋体"/>
          <w:b/>
          <w:bCs/>
          <w:spacing w:val="5"/>
          <w:sz w:val="20"/>
          <w:szCs w:val="20"/>
        </w:rPr>
        <w:t>工业企业声环境保护目标调查表</w:t>
      </w:r>
    </w:p>
    <w:p w14:paraId="4AA8F02E">
      <w:pPr>
        <w:spacing w:line="103" w:lineRule="exact"/>
      </w:pPr>
    </w:p>
    <w:tbl>
      <w:tblPr>
        <w:tblStyle w:val="5"/>
        <w:tblW w:w="9071" w:type="dxa"/>
        <w:tblInd w:w="10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7"/>
        <w:gridCol w:w="949"/>
        <w:gridCol w:w="464"/>
        <w:gridCol w:w="464"/>
        <w:gridCol w:w="466"/>
        <w:gridCol w:w="928"/>
        <w:gridCol w:w="775"/>
        <w:gridCol w:w="1239"/>
        <w:gridCol w:w="3189"/>
      </w:tblGrid>
      <w:tr w14:paraId="3CC084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597" w:type="dxa"/>
            <w:vMerge w:val="restart"/>
            <w:tcBorders>
              <w:top w:val="single" w:color="000000" w:sz="10" w:space="0"/>
              <w:left w:val="nil"/>
              <w:bottom w:val="nil"/>
            </w:tcBorders>
            <w:vAlign w:val="top"/>
          </w:tcPr>
          <w:p w14:paraId="28AB69FA">
            <w:pPr>
              <w:spacing w:line="292" w:lineRule="auto"/>
              <w:rPr>
                <w:rFonts w:ascii="Arial"/>
                <w:sz w:val="21"/>
              </w:rPr>
            </w:pPr>
          </w:p>
          <w:p w14:paraId="326A44FD">
            <w:pPr>
              <w:pStyle w:val="6"/>
              <w:spacing w:before="71" w:line="222" w:lineRule="auto"/>
              <w:ind w:left="83"/>
            </w:pPr>
            <w:r>
              <w:rPr>
                <w:spacing w:val="-3"/>
              </w:rPr>
              <w:t>序号</w:t>
            </w:r>
          </w:p>
        </w:tc>
        <w:tc>
          <w:tcPr>
            <w:tcW w:w="949" w:type="dxa"/>
            <w:vMerge w:val="restart"/>
            <w:tcBorders>
              <w:top w:val="single" w:color="000000" w:sz="10" w:space="0"/>
              <w:bottom w:val="nil"/>
            </w:tcBorders>
            <w:vAlign w:val="top"/>
          </w:tcPr>
          <w:p w14:paraId="57DCF9A8">
            <w:pPr>
              <w:pStyle w:val="6"/>
              <w:spacing w:before="80" w:line="221" w:lineRule="auto"/>
              <w:ind w:left="43"/>
            </w:pPr>
            <w:r>
              <w:rPr>
                <w:spacing w:val="-4"/>
              </w:rPr>
              <w:t>声环境保</w:t>
            </w:r>
          </w:p>
          <w:p w14:paraId="6C2AE3D1">
            <w:pPr>
              <w:pStyle w:val="6"/>
              <w:spacing w:before="22" w:line="221" w:lineRule="auto"/>
              <w:ind w:left="40"/>
            </w:pPr>
            <w:r>
              <w:rPr>
                <w:spacing w:val="-3"/>
              </w:rPr>
              <w:t>护目标名</w:t>
            </w:r>
          </w:p>
          <w:p w14:paraId="6EF583B9">
            <w:pPr>
              <w:pStyle w:val="6"/>
              <w:spacing w:before="20" w:line="222" w:lineRule="auto"/>
              <w:ind w:left="369"/>
            </w:pPr>
            <w:r>
              <w:t>称</w:t>
            </w:r>
          </w:p>
        </w:tc>
        <w:tc>
          <w:tcPr>
            <w:tcW w:w="1394" w:type="dxa"/>
            <w:gridSpan w:val="3"/>
            <w:tcBorders>
              <w:top w:val="single" w:color="000000" w:sz="10" w:space="0"/>
            </w:tcBorders>
            <w:vAlign w:val="top"/>
          </w:tcPr>
          <w:p w14:paraId="75ABE19D">
            <w:pPr>
              <w:pStyle w:val="6"/>
              <w:spacing w:before="37" w:line="218" w:lineRule="auto"/>
              <w:ind w:left="578" w:right="34" w:hanging="529"/>
              <w:rPr>
                <w:rFonts w:ascii="Times New Roman" w:hAnsi="Times New Roman" w:eastAsia="Times New Roman" w:cs="Times New Roman"/>
              </w:rPr>
            </w:pPr>
            <w:r>
              <w:rPr>
                <w:spacing w:val="-3"/>
              </w:rPr>
              <w:t>空间相对位置</w:t>
            </w:r>
            <w:r>
              <w:rPr>
                <w:spacing w:val="1"/>
              </w:rPr>
              <w:t xml:space="preserve"> </w:t>
            </w:r>
            <w:r>
              <w:rPr>
                <w:rFonts w:ascii="Times New Roman" w:hAnsi="Times New Roman" w:eastAsia="Times New Roman" w:cs="Times New Roman"/>
              </w:rPr>
              <w:t>/m</w:t>
            </w:r>
          </w:p>
        </w:tc>
        <w:tc>
          <w:tcPr>
            <w:tcW w:w="928" w:type="dxa"/>
            <w:vMerge w:val="restart"/>
            <w:tcBorders>
              <w:top w:val="single" w:color="000000" w:sz="10" w:space="0"/>
              <w:bottom w:val="nil"/>
            </w:tcBorders>
            <w:vAlign w:val="top"/>
          </w:tcPr>
          <w:p w14:paraId="6808C4F5">
            <w:pPr>
              <w:pStyle w:val="6"/>
              <w:spacing w:before="224" w:line="229" w:lineRule="auto"/>
              <w:ind w:left="23" w:right="13" w:firstLine="4"/>
              <w:rPr>
                <w:rFonts w:ascii="Times New Roman" w:hAnsi="Times New Roman" w:eastAsia="Times New Roman" w:cs="Times New Roman"/>
              </w:rPr>
            </w:pPr>
            <w:r>
              <w:rPr>
                <w:spacing w:val="-2"/>
              </w:rPr>
              <w:t>距厂界最</w:t>
            </w:r>
            <w:r>
              <w:t xml:space="preserve"> </w:t>
            </w:r>
            <w:r>
              <w:rPr>
                <w:spacing w:val="-2"/>
              </w:rPr>
              <w:t>近距离</w:t>
            </w:r>
            <w:r>
              <w:rPr>
                <w:rFonts w:ascii="Times New Roman" w:hAnsi="Times New Roman" w:eastAsia="Times New Roman" w:cs="Times New Roman"/>
                <w:spacing w:val="-2"/>
              </w:rPr>
              <w:t>/m</w:t>
            </w:r>
          </w:p>
        </w:tc>
        <w:tc>
          <w:tcPr>
            <w:tcW w:w="775" w:type="dxa"/>
            <w:vMerge w:val="restart"/>
            <w:tcBorders>
              <w:top w:val="single" w:color="000000" w:sz="10" w:space="0"/>
              <w:bottom w:val="nil"/>
            </w:tcBorders>
            <w:vAlign w:val="top"/>
          </w:tcPr>
          <w:p w14:paraId="1CF2F790">
            <w:pPr>
              <w:spacing w:line="292" w:lineRule="auto"/>
              <w:rPr>
                <w:rFonts w:ascii="Arial"/>
                <w:sz w:val="21"/>
              </w:rPr>
            </w:pPr>
          </w:p>
          <w:p w14:paraId="7801706B">
            <w:pPr>
              <w:pStyle w:val="6"/>
              <w:spacing w:before="71" w:line="222" w:lineRule="auto"/>
              <w:ind w:left="174"/>
            </w:pPr>
            <w:r>
              <w:rPr>
                <w:spacing w:val="-4"/>
              </w:rPr>
              <w:t>方位</w:t>
            </w:r>
          </w:p>
        </w:tc>
        <w:tc>
          <w:tcPr>
            <w:tcW w:w="1239" w:type="dxa"/>
            <w:vMerge w:val="restart"/>
            <w:tcBorders>
              <w:top w:val="single" w:color="000000" w:sz="10" w:space="0"/>
              <w:bottom w:val="nil"/>
            </w:tcBorders>
            <w:vAlign w:val="top"/>
          </w:tcPr>
          <w:p w14:paraId="76150033">
            <w:pPr>
              <w:pStyle w:val="6"/>
              <w:spacing w:before="223" w:line="229" w:lineRule="auto"/>
              <w:ind w:left="193" w:right="33" w:hanging="147"/>
            </w:pPr>
            <w:r>
              <w:rPr>
                <w:spacing w:val="-2"/>
              </w:rPr>
              <w:t>执行标准</w:t>
            </w:r>
            <w:r>
              <w:rPr>
                <w:rFonts w:ascii="Times New Roman" w:hAnsi="Times New Roman" w:eastAsia="Times New Roman" w:cs="Times New Roman"/>
                <w:spacing w:val="-2"/>
              </w:rPr>
              <w:t>/</w:t>
            </w:r>
            <w:r>
              <w:rPr>
                <w:spacing w:val="-2"/>
              </w:rPr>
              <w:t>功</w:t>
            </w:r>
            <w:r>
              <w:rPr>
                <w:spacing w:val="3"/>
              </w:rPr>
              <w:t xml:space="preserve"> </w:t>
            </w:r>
            <w:r>
              <w:rPr>
                <w:spacing w:val="-5"/>
              </w:rPr>
              <w:t>能区类别</w:t>
            </w:r>
          </w:p>
        </w:tc>
        <w:tc>
          <w:tcPr>
            <w:tcW w:w="3189" w:type="dxa"/>
            <w:vMerge w:val="restart"/>
            <w:tcBorders>
              <w:top w:val="single" w:color="000000" w:sz="10" w:space="0"/>
              <w:bottom w:val="nil"/>
              <w:right w:val="nil"/>
            </w:tcBorders>
            <w:vAlign w:val="top"/>
          </w:tcPr>
          <w:p w14:paraId="2908F803">
            <w:pPr>
              <w:pStyle w:val="6"/>
              <w:spacing w:before="80" w:line="219" w:lineRule="auto"/>
              <w:ind w:left="67"/>
            </w:pPr>
            <w:r>
              <w:rPr>
                <w:spacing w:val="-1"/>
              </w:rPr>
              <w:t>声环境保护目标情况说明（介绍</w:t>
            </w:r>
          </w:p>
          <w:p w14:paraId="2253747A">
            <w:pPr>
              <w:pStyle w:val="6"/>
              <w:spacing w:before="24" w:line="220" w:lineRule="auto"/>
              <w:jc w:val="right"/>
            </w:pPr>
            <w:r>
              <w:rPr>
                <w:spacing w:val="-9"/>
              </w:rPr>
              <w:t>声环境保护目标建筑结构、朝向、</w:t>
            </w:r>
          </w:p>
          <w:p w14:paraId="4239D249">
            <w:pPr>
              <w:pStyle w:val="6"/>
              <w:spacing w:before="21" w:line="220" w:lineRule="auto"/>
              <w:ind w:left="503"/>
            </w:pPr>
            <w:r>
              <w:rPr>
                <w:spacing w:val="-1"/>
              </w:rPr>
              <w:t>楼层、周围环境情况）</w:t>
            </w:r>
          </w:p>
        </w:tc>
      </w:tr>
      <w:tr w14:paraId="222C3A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5" w:hRule="atLeast"/>
        </w:trPr>
        <w:tc>
          <w:tcPr>
            <w:tcW w:w="597" w:type="dxa"/>
            <w:vMerge w:val="continue"/>
            <w:tcBorders>
              <w:top w:val="nil"/>
              <w:left w:val="nil"/>
            </w:tcBorders>
            <w:vAlign w:val="top"/>
          </w:tcPr>
          <w:p w14:paraId="1780CD11">
            <w:pPr>
              <w:rPr>
                <w:rFonts w:ascii="Arial"/>
                <w:sz w:val="21"/>
              </w:rPr>
            </w:pPr>
          </w:p>
        </w:tc>
        <w:tc>
          <w:tcPr>
            <w:tcW w:w="949" w:type="dxa"/>
            <w:vMerge w:val="continue"/>
            <w:tcBorders>
              <w:top w:val="nil"/>
            </w:tcBorders>
            <w:vAlign w:val="top"/>
          </w:tcPr>
          <w:p w14:paraId="5CF88B43">
            <w:pPr>
              <w:rPr>
                <w:rFonts w:ascii="Arial"/>
                <w:sz w:val="21"/>
              </w:rPr>
            </w:pPr>
          </w:p>
        </w:tc>
        <w:tc>
          <w:tcPr>
            <w:tcW w:w="464" w:type="dxa"/>
            <w:vAlign w:val="top"/>
          </w:tcPr>
          <w:p w14:paraId="6F808DD5">
            <w:pPr>
              <w:spacing w:before="160" w:line="186" w:lineRule="auto"/>
              <w:ind w:left="163"/>
              <w:rPr>
                <w:rFonts w:ascii="Times New Roman" w:hAnsi="Times New Roman" w:eastAsia="Times New Roman" w:cs="Times New Roman"/>
                <w:sz w:val="22"/>
                <w:szCs w:val="22"/>
              </w:rPr>
            </w:pPr>
            <w:r>
              <w:rPr>
                <w:rFonts w:ascii="Times New Roman" w:hAnsi="Times New Roman" w:eastAsia="Times New Roman" w:cs="Times New Roman"/>
                <w:sz w:val="22"/>
                <w:szCs w:val="22"/>
              </w:rPr>
              <w:t>X</w:t>
            </w:r>
          </w:p>
        </w:tc>
        <w:tc>
          <w:tcPr>
            <w:tcW w:w="464" w:type="dxa"/>
            <w:vAlign w:val="top"/>
          </w:tcPr>
          <w:p w14:paraId="7B15FFB2">
            <w:pPr>
              <w:spacing w:before="160" w:line="186" w:lineRule="auto"/>
              <w:ind w:left="162"/>
              <w:rPr>
                <w:rFonts w:ascii="Times New Roman" w:hAnsi="Times New Roman" w:eastAsia="Times New Roman" w:cs="Times New Roman"/>
                <w:sz w:val="22"/>
                <w:szCs w:val="22"/>
              </w:rPr>
            </w:pPr>
            <w:r>
              <w:rPr>
                <w:rFonts w:ascii="Times New Roman" w:hAnsi="Times New Roman" w:eastAsia="Times New Roman" w:cs="Times New Roman"/>
                <w:sz w:val="22"/>
                <w:szCs w:val="22"/>
              </w:rPr>
              <w:t>Y</w:t>
            </w:r>
          </w:p>
        </w:tc>
        <w:tc>
          <w:tcPr>
            <w:tcW w:w="466" w:type="dxa"/>
            <w:vAlign w:val="top"/>
          </w:tcPr>
          <w:p w14:paraId="09811AC9">
            <w:pPr>
              <w:spacing w:before="160" w:line="186" w:lineRule="auto"/>
              <w:ind w:left="174"/>
              <w:rPr>
                <w:rFonts w:ascii="Times New Roman" w:hAnsi="Times New Roman" w:eastAsia="Times New Roman" w:cs="Times New Roman"/>
                <w:sz w:val="22"/>
                <w:szCs w:val="22"/>
              </w:rPr>
            </w:pPr>
            <w:r>
              <w:rPr>
                <w:rFonts w:ascii="Times New Roman" w:hAnsi="Times New Roman" w:eastAsia="Times New Roman" w:cs="Times New Roman"/>
                <w:sz w:val="22"/>
                <w:szCs w:val="22"/>
              </w:rPr>
              <w:t>Z</w:t>
            </w:r>
          </w:p>
        </w:tc>
        <w:tc>
          <w:tcPr>
            <w:tcW w:w="928" w:type="dxa"/>
            <w:vMerge w:val="continue"/>
            <w:tcBorders>
              <w:top w:val="nil"/>
            </w:tcBorders>
            <w:vAlign w:val="top"/>
          </w:tcPr>
          <w:p w14:paraId="1A97197B">
            <w:pPr>
              <w:rPr>
                <w:rFonts w:ascii="Arial"/>
                <w:sz w:val="21"/>
              </w:rPr>
            </w:pPr>
          </w:p>
        </w:tc>
        <w:tc>
          <w:tcPr>
            <w:tcW w:w="775" w:type="dxa"/>
            <w:vMerge w:val="continue"/>
            <w:tcBorders>
              <w:top w:val="nil"/>
            </w:tcBorders>
            <w:vAlign w:val="top"/>
          </w:tcPr>
          <w:p w14:paraId="4387317A">
            <w:pPr>
              <w:rPr>
                <w:rFonts w:ascii="Arial"/>
                <w:sz w:val="21"/>
              </w:rPr>
            </w:pPr>
          </w:p>
        </w:tc>
        <w:tc>
          <w:tcPr>
            <w:tcW w:w="1239" w:type="dxa"/>
            <w:vMerge w:val="continue"/>
            <w:tcBorders>
              <w:top w:val="nil"/>
            </w:tcBorders>
            <w:vAlign w:val="top"/>
          </w:tcPr>
          <w:p w14:paraId="2674098E">
            <w:pPr>
              <w:rPr>
                <w:rFonts w:ascii="Arial"/>
                <w:sz w:val="21"/>
              </w:rPr>
            </w:pPr>
          </w:p>
        </w:tc>
        <w:tc>
          <w:tcPr>
            <w:tcW w:w="3189" w:type="dxa"/>
            <w:vMerge w:val="continue"/>
            <w:tcBorders>
              <w:top w:val="nil"/>
              <w:right w:val="nil"/>
            </w:tcBorders>
            <w:vAlign w:val="top"/>
          </w:tcPr>
          <w:p w14:paraId="2276EB74">
            <w:pPr>
              <w:rPr>
                <w:rFonts w:ascii="Arial"/>
                <w:sz w:val="21"/>
              </w:rPr>
            </w:pPr>
          </w:p>
        </w:tc>
      </w:tr>
      <w:tr w14:paraId="5646F3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597" w:type="dxa"/>
            <w:tcBorders>
              <w:left w:val="nil"/>
              <w:bottom w:val="single" w:color="000000" w:sz="10" w:space="0"/>
            </w:tcBorders>
            <w:vAlign w:val="top"/>
          </w:tcPr>
          <w:p w14:paraId="0898C9EC">
            <w:pPr>
              <w:spacing w:before="141" w:line="189" w:lineRule="auto"/>
              <w:ind w:left="267"/>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c>
          <w:tcPr>
            <w:tcW w:w="8474" w:type="dxa"/>
            <w:gridSpan w:val="8"/>
            <w:tcBorders>
              <w:bottom w:val="single" w:color="000000" w:sz="10" w:space="0"/>
              <w:right w:val="nil"/>
            </w:tcBorders>
            <w:vAlign w:val="top"/>
          </w:tcPr>
          <w:p w14:paraId="4C70346C">
            <w:pPr>
              <w:pStyle w:val="6"/>
              <w:spacing w:before="103" w:line="219" w:lineRule="auto"/>
              <w:ind w:left="2125"/>
            </w:pPr>
            <w:r>
              <w:rPr>
                <w:spacing w:val="-1"/>
              </w:rPr>
              <w:t>本项目</w:t>
            </w:r>
            <w:r>
              <w:rPr>
                <w:rFonts w:ascii="Times New Roman" w:hAnsi="Times New Roman" w:eastAsia="Times New Roman" w:cs="Times New Roman"/>
                <w:spacing w:val="-1"/>
              </w:rPr>
              <w:t>200m</w:t>
            </w:r>
            <w:r>
              <w:rPr>
                <w:spacing w:val="-1"/>
              </w:rPr>
              <w:t>范围内无居民等声环境保护目标</w:t>
            </w:r>
          </w:p>
        </w:tc>
      </w:tr>
    </w:tbl>
    <w:p w14:paraId="4308130A">
      <w:pPr>
        <w:spacing w:before="125" w:line="365" w:lineRule="auto"/>
        <w:ind w:left="114" w:right="108" w:firstLine="483"/>
        <w:rPr>
          <w:rFonts w:ascii="宋体" w:hAnsi="宋体" w:eastAsia="宋体" w:cs="宋体"/>
          <w:sz w:val="24"/>
          <w:szCs w:val="24"/>
        </w:rPr>
      </w:pPr>
      <w:r>
        <w:rPr>
          <w:rFonts w:ascii="宋体" w:hAnsi="宋体" w:eastAsia="宋体" w:cs="宋体"/>
          <w:spacing w:val="-2"/>
          <w:sz w:val="24"/>
          <w:szCs w:val="24"/>
        </w:rPr>
        <w:t>为了降低厂区内运行设备对周围环境的影响，对于噪声防治措施，主要采取如下措</w:t>
      </w:r>
      <w:r>
        <w:rPr>
          <w:rFonts w:ascii="宋体" w:hAnsi="宋体" w:eastAsia="宋体" w:cs="宋体"/>
          <w:spacing w:val="10"/>
          <w:sz w:val="24"/>
          <w:szCs w:val="24"/>
        </w:rPr>
        <w:t xml:space="preserve"> </w:t>
      </w:r>
      <w:r>
        <w:rPr>
          <w:rFonts w:ascii="宋体" w:hAnsi="宋体" w:eastAsia="宋体" w:cs="宋体"/>
          <w:spacing w:val="-5"/>
          <w:sz w:val="24"/>
          <w:szCs w:val="24"/>
        </w:rPr>
        <w:t>施。</w:t>
      </w:r>
    </w:p>
    <w:p w14:paraId="38CE5AFD">
      <w:pPr>
        <w:spacing w:before="28" w:line="298" w:lineRule="auto"/>
        <w:ind w:left="135" w:right="108" w:firstLine="459"/>
        <w:rPr>
          <w:rFonts w:ascii="宋体" w:hAnsi="宋体" w:eastAsia="宋体" w:cs="宋体"/>
          <w:sz w:val="24"/>
          <w:szCs w:val="24"/>
        </w:rPr>
      </w:pPr>
      <w:r>
        <w:rPr>
          <w:rFonts w:ascii="宋体" w:hAnsi="宋体" w:eastAsia="宋体" w:cs="宋体"/>
          <w:spacing w:val="-2"/>
          <w:sz w:val="24"/>
          <w:szCs w:val="24"/>
        </w:rPr>
        <w:t>①加强厂界绿化，优化总图，合理布局使高噪声设备远离厂界，尽量减少夜间噪声</w:t>
      </w:r>
      <w:r>
        <w:rPr>
          <w:rFonts w:ascii="宋体" w:hAnsi="宋体" w:eastAsia="宋体" w:cs="宋体"/>
          <w:spacing w:val="14"/>
          <w:sz w:val="24"/>
          <w:szCs w:val="24"/>
        </w:rPr>
        <w:t xml:space="preserve"> </w:t>
      </w:r>
      <w:r>
        <w:rPr>
          <w:rFonts w:ascii="宋体" w:hAnsi="宋体" w:eastAsia="宋体" w:cs="宋体"/>
          <w:spacing w:val="-5"/>
          <w:sz w:val="24"/>
          <w:szCs w:val="24"/>
        </w:rPr>
        <w:t>的排放的次数；</w:t>
      </w:r>
    </w:p>
    <w:p w14:paraId="4FF7466B">
      <w:pPr>
        <w:spacing w:before="205" w:line="298" w:lineRule="auto"/>
        <w:ind w:left="126" w:right="108" w:firstLine="466"/>
        <w:rPr>
          <w:rFonts w:ascii="宋体" w:hAnsi="宋体" w:eastAsia="宋体" w:cs="宋体"/>
          <w:sz w:val="24"/>
          <w:szCs w:val="24"/>
        </w:rPr>
      </w:pPr>
      <w:r>
        <w:rPr>
          <w:rFonts w:ascii="宋体" w:hAnsi="宋体" w:eastAsia="宋体" w:cs="宋体"/>
          <w:spacing w:val="-2"/>
          <w:sz w:val="24"/>
          <w:szCs w:val="24"/>
        </w:rPr>
        <w:t>②对高噪声设备采取减振降噪措施，如墙体加厚或加隔声棉等，以降低工程运行时</w:t>
      </w:r>
      <w:r>
        <w:rPr>
          <w:rFonts w:ascii="宋体" w:hAnsi="宋体" w:eastAsia="宋体" w:cs="宋体"/>
          <w:spacing w:val="15"/>
          <w:sz w:val="24"/>
          <w:szCs w:val="24"/>
        </w:rPr>
        <w:t xml:space="preserve"> </w:t>
      </w:r>
      <w:r>
        <w:rPr>
          <w:rFonts w:ascii="宋体" w:hAnsi="宋体" w:eastAsia="宋体" w:cs="宋体"/>
          <w:spacing w:val="-2"/>
          <w:sz w:val="24"/>
          <w:szCs w:val="24"/>
        </w:rPr>
        <w:t>噪声对周围环境的影响。</w:t>
      </w:r>
    </w:p>
    <w:p w14:paraId="1551DAF2">
      <w:pPr>
        <w:spacing w:before="201" w:line="365" w:lineRule="auto"/>
        <w:ind w:left="114" w:right="108" w:firstLine="483"/>
        <w:rPr>
          <w:rFonts w:ascii="宋体" w:hAnsi="宋体" w:eastAsia="宋体" w:cs="宋体"/>
          <w:sz w:val="24"/>
          <w:szCs w:val="24"/>
        </w:rPr>
      </w:pPr>
      <w:r>
        <w:rPr>
          <w:rFonts w:ascii="宋体" w:hAnsi="宋体" w:eastAsia="宋体" w:cs="宋体"/>
          <w:spacing w:val="-2"/>
          <w:sz w:val="24"/>
          <w:szCs w:val="24"/>
        </w:rPr>
        <w:t>为了降低厂区内运行设备对周围环境的影响，对于噪声防治措施，主要采取如下措</w:t>
      </w:r>
      <w:r>
        <w:rPr>
          <w:rFonts w:ascii="宋体" w:hAnsi="宋体" w:eastAsia="宋体" w:cs="宋体"/>
          <w:spacing w:val="10"/>
          <w:sz w:val="24"/>
          <w:szCs w:val="24"/>
        </w:rPr>
        <w:t xml:space="preserve"> </w:t>
      </w:r>
      <w:r>
        <w:rPr>
          <w:rFonts w:ascii="宋体" w:hAnsi="宋体" w:eastAsia="宋体" w:cs="宋体"/>
          <w:spacing w:val="-5"/>
          <w:sz w:val="24"/>
          <w:szCs w:val="24"/>
        </w:rPr>
        <w:t>施。</w:t>
      </w:r>
    </w:p>
    <w:p w14:paraId="13468420">
      <w:pPr>
        <w:spacing w:before="31" w:line="298" w:lineRule="auto"/>
        <w:ind w:left="135" w:right="108" w:firstLine="459"/>
        <w:rPr>
          <w:rFonts w:ascii="宋体" w:hAnsi="宋体" w:eastAsia="宋体" w:cs="宋体"/>
          <w:sz w:val="24"/>
          <w:szCs w:val="24"/>
        </w:rPr>
      </w:pPr>
      <w:r>
        <w:rPr>
          <w:rFonts w:ascii="宋体" w:hAnsi="宋体" w:eastAsia="宋体" w:cs="宋体"/>
          <w:spacing w:val="-2"/>
          <w:sz w:val="24"/>
          <w:szCs w:val="24"/>
        </w:rPr>
        <w:t>①加强厂界绿化，优化总图，合理布局使高噪声设备远离厂界，尽量减少夜间噪声</w:t>
      </w:r>
      <w:r>
        <w:rPr>
          <w:rFonts w:ascii="宋体" w:hAnsi="宋体" w:eastAsia="宋体" w:cs="宋体"/>
          <w:spacing w:val="14"/>
          <w:sz w:val="24"/>
          <w:szCs w:val="24"/>
        </w:rPr>
        <w:t xml:space="preserve"> </w:t>
      </w:r>
      <w:r>
        <w:rPr>
          <w:rFonts w:ascii="宋体" w:hAnsi="宋体" w:eastAsia="宋体" w:cs="宋体"/>
          <w:spacing w:val="-5"/>
          <w:sz w:val="24"/>
          <w:szCs w:val="24"/>
        </w:rPr>
        <w:t>的排放的次数；</w:t>
      </w:r>
    </w:p>
    <w:p w14:paraId="1CC3CDCA">
      <w:pPr>
        <w:spacing w:before="202" w:line="298" w:lineRule="auto"/>
        <w:ind w:left="126" w:right="108" w:firstLine="466"/>
        <w:rPr>
          <w:rFonts w:ascii="宋体" w:hAnsi="宋体" w:eastAsia="宋体" w:cs="宋体"/>
          <w:sz w:val="24"/>
          <w:szCs w:val="24"/>
        </w:rPr>
      </w:pPr>
      <w:r>
        <w:rPr>
          <w:rFonts w:ascii="宋体" w:hAnsi="宋体" w:eastAsia="宋体" w:cs="宋体"/>
          <w:spacing w:val="-2"/>
          <w:sz w:val="24"/>
          <w:szCs w:val="24"/>
        </w:rPr>
        <w:t>②对高噪声设备采取减振降噪措施，如墙体加厚或加隔声棉等，以降低工程运行时</w:t>
      </w:r>
      <w:r>
        <w:rPr>
          <w:rFonts w:ascii="宋体" w:hAnsi="宋体" w:eastAsia="宋体" w:cs="宋体"/>
          <w:spacing w:val="15"/>
          <w:sz w:val="24"/>
          <w:szCs w:val="24"/>
        </w:rPr>
        <w:t xml:space="preserve"> </w:t>
      </w:r>
      <w:r>
        <w:rPr>
          <w:rFonts w:ascii="宋体" w:hAnsi="宋体" w:eastAsia="宋体" w:cs="宋体"/>
          <w:spacing w:val="-2"/>
          <w:sz w:val="24"/>
          <w:szCs w:val="24"/>
        </w:rPr>
        <w:t>噪声对周围环境的影响。</w:t>
      </w:r>
    </w:p>
    <w:p w14:paraId="14D4A294">
      <w:pPr>
        <w:spacing w:before="203" w:line="219" w:lineRule="auto"/>
        <w:ind w:left="610"/>
        <w:rPr>
          <w:rFonts w:ascii="宋体" w:hAnsi="宋体" w:eastAsia="宋体" w:cs="宋体"/>
          <w:sz w:val="24"/>
          <w:szCs w:val="24"/>
        </w:rPr>
      </w:pPr>
      <w:r>
        <w:rPr>
          <w:rFonts w:ascii="宋体" w:hAnsi="宋体" w:eastAsia="宋体" w:cs="宋体"/>
          <w:spacing w:val="-1"/>
          <w:sz w:val="24"/>
          <w:szCs w:val="24"/>
        </w:rPr>
        <w:t>当本项目正常运行时，预测点的噪声贡献值如表</w:t>
      </w:r>
      <w:r>
        <w:rPr>
          <w:rFonts w:ascii="宋体" w:hAnsi="宋体" w:eastAsia="宋体" w:cs="宋体"/>
          <w:spacing w:val="-57"/>
          <w:sz w:val="24"/>
          <w:szCs w:val="24"/>
        </w:rPr>
        <w:t xml:space="preserve"> </w:t>
      </w:r>
      <w:r>
        <w:rPr>
          <w:rFonts w:ascii="Times New Roman" w:hAnsi="Times New Roman" w:eastAsia="Times New Roman" w:cs="Times New Roman"/>
          <w:spacing w:val="-1"/>
          <w:sz w:val="24"/>
          <w:szCs w:val="24"/>
        </w:rPr>
        <w:t xml:space="preserve">4.4-5 </w:t>
      </w:r>
      <w:r>
        <w:rPr>
          <w:rFonts w:ascii="宋体" w:hAnsi="宋体" w:eastAsia="宋体" w:cs="宋体"/>
          <w:spacing w:val="-1"/>
          <w:sz w:val="24"/>
          <w:szCs w:val="24"/>
        </w:rPr>
        <w:t>所示。</w:t>
      </w:r>
    </w:p>
    <w:p w14:paraId="1097F7A5">
      <w:pPr>
        <w:spacing w:before="220" w:line="227" w:lineRule="auto"/>
        <w:ind w:left="3142"/>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4"/>
          <w:sz w:val="20"/>
          <w:szCs w:val="20"/>
        </w:rPr>
        <w:t xml:space="preserve"> </w:t>
      </w:r>
      <w:r>
        <w:rPr>
          <w:rFonts w:ascii="Times New Roman" w:hAnsi="Times New Roman" w:eastAsia="Times New Roman" w:cs="Times New Roman"/>
          <w:b/>
          <w:bCs/>
          <w:spacing w:val="4"/>
          <w:sz w:val="20"/>
          <w:szCs w:val="20"/>
        </w:rPr>
        <w:t xml:space="preserve">4.4-5        </w:t>
      </w:r>
      <w:r>
        <w:rPr>
          <w:rFonts w:ascii="宋体" w:hAnsi="宋体" w:eastAsia="宋体" w:cs="宋体"/>
          <w:b/>
          <w:bCs/>
          <w:spacing w:val="4"/>
          <w:sz w:val="20"/>
          <w:szCs w:val="20"/>
        </w:rPr>
        <w:t>本项目的噪声贡献值</w:t>
      </w:r>
    </w:p>
    <w:p w14:paraId="1FEF8263">
      <w:pPr>
        <w:spacing w:line="104" w:lineRule="exact"/>
      </w:pPr>
    </w:p>
    <w:tbl>
      <w:tblPr>
        <w:tblStyle w:val="5"/>
        <w:tblW w:w="928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66"/>
        <w:gridCol w:w="2358"/>
        <w:gridCol w:w="2358"/>
        <w:gridCol w:w="2203"/>
      </w:tblGrid>
      <w:tr w14:paraId="13297F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2366" w:type="dxa"/>
            <w:tcBorders>
              <w:top w:val="single" w:color="000000" w:sz="10" w:space="0"/>
              <w:left w:val="nil"/>
            </w:tcBorders>
            <w:vAlign w:val="top"/>
          </w:tcPr>
          <w:p w14:paraId="3F89A58F">
            <w:pPr>
              <w:pStyle w:val="6"/>
              <w:spacing w:before="52" w:line="228" w:lineRule="auto"/>
              <w:ind w:left="874"/>
              <w:rPr>
                <w:sz w:val="20"/>
                <w:szCs w:val="20"/>
              </w:rPr>
            </w:pPr>
            <w:r>
              <w:rPr>
                <w:spacing w:val="7"/>
                <w:sz w:val="20"/>
                <w:szCs w:val="20"/>
              </w:rPr>
              <w:t>接收点</w:t>
            </w:r>
          </w:p>
        </w:tc>
        <w:tc>
          <w:tcPr>
            <w:tcW w:w="2358" w:type="dxa"/>
            <w:tcBorders>
              <w:top w:val="single" w:color="000000" w:sz="10" w:space="0"/>
            </w:tcBorders>
            <w:vAlign w:val="top"/>
          </w:tcPr>
          <w:p w14:paraId="387CD799">
            <w:pPr>
              <w:pStyle w:val="6"/>
              <w:spacing w:before="52" w:line="228" w:lineRule="auto"/>
              <w:ind w:left="550"/>
              <w:rPr>
                <w:rFonts w:ascii="Times New Roman" w:hAnsi="Times New Roman" w:eastAsia="Times New Roman" w:cs="Times New Roman"/>
                <w:sz w:val="20"/>
                <w:szCs w:val="20"/>
              </w:rPr>
            </w:pPr>
            <w:r>
              <w:rPr>
                <w:spacing w:val="7"/>
                <w:sz w:val="20"/>
                <w:szCs w:val="20"/>
              </w:rPr>
              <w:t>接收点高度</w:t>
            </w:r>
            <w:r>
              <w:rPr>
                <w:spacing w:val="-42"/>
                <w:sz w:val="20"/>
                <w:szCs w:val="20"/>
              </w:rPr>
              <w:t xml:space="preserve"> </w:t>
            </w:r>
            <w:r>
              <w:rPr>
                <w:rFonts w:ascii="Times New Roman" w:hAnsi="Times New Roman" w:eastAsia="Times New Roman" w:cs="Times New Roman"/>
                <w:spacing w:val="7"/>
                <w:sz w:val="20"/>
                <w:szCs w:val="20"/>
              </w:rPr>
              <w:t>m</w:t>
            </w:r>
          </w:p>
        </w:tc>
        <w:tc>
          <w:tcPr>
            <w:tcW w:w="2358" w:type="dxa"/>
            <w:tcBorders>
              <w:top w:val="single" w:color="000000" w:sz="10" w:space="0"/>
            </w:tcBorders>
            <w:vAlign w:val="top"/>
          </w:tcPr>
          <w:p w14:paraId="45C1E5D4">
            <w:pPr>
              <w:pStyle w:val="6"/>
              <w:spacing w:before="52" w:line="228" w:lineRule="auto"/>
              <w:ind w:left="222"/>
              <w:rPr>
                <w:sz w:val="20"/>
                <w:szCs w:val="20"/>
              </w:rPr>
            </w:pPr>
            <w:r>
              <w:rPr>
                <w:spacing w:val="7"/>
                <w:sz w:val="20"/>
                <w:szCs w:val="20"/>
              </w:rPr>
              <w:t>昼间贡献值</w:t>
            </w:r>
            <w:r>
              <w:rPr>
                <w:spacing w:val="-34"/>
                <w:sz w:val="20"/>
                <w:szCs w:val="20"/>
              </w:rPr>
              <w:t xml:space="preserve"> </w:t>
            </w:r>
            <w:r>
              <w:rPr>
                <w:rFonts w:ascii="Times New Roman" w:hAnsi="Times New Roman" w:eastAsia="Times New Roman" w:cs="Times New Roman"/>
                <w:sz w:val="20"/>
                <w:szCs w:val="20"/>
              </w:rPr>
              <w:t>dB</w:t>
            </w:r>
            <w:r>
              <w:rPr>
                <w:spacing w:val="7"/>
                <w:sz w:val="20"/>
                <w:szCs w:val="20"/>
              </w:rPr>
              <w:t>（</w:t>
            </w:r>
            <w:r>
              <w:rPr>
                <w:rFonts w:ascii="Times New Roman" w:hAnsi="Times New Roman" w:eastAsia="Times New Roman" w:cs="Times New Roman"/>
                <w:spacing w:val="7"/>
                <w:sz w:val="20"/>
                <w:szCs w:val="20"/>
              </w:rPr>
              <w:t>A</w:t>
            </w:r>
            <w:r>
              <w:rPr>
                <w:spacing w:val="7"/>
                <w:sz w:val="20"/>
                <w:szCs w:val="20"/>
              </w:rPr>
              <w:t>）</w:t>
            </w:r>
          </w:p>
        </w:tc>
        <w:tc>
          <w:tcPr>
            <w:tcW w:w="2203" w:type="dxa"/>
            <w:tcBorders>
              <w:top w:val="single" w:color="000000" w:sz="10" w:space="0"/>
              <w:right w:val="nil"/>
            </w:tcBorders>
            <w:vAlign w:val="top"/>
          </w:tcPr>
          <w:p w14:paraId="7E7F6E94">
            <w:pPr>
              <w:pStyle w:val="6"/>
              <w:spacing w:before="52" w:line="228" w:lineRule="auto"/>
              <w:ind w:left="151"/>
              <w:rPr>
                <w:sz w:val="20"/>
                <w:szCs w:val="20"/>
              </w:rPr>
            </w:pPr>
            <w:r>
              <w:rPr>
                <w:spacing w:val="7"/>
                <w:sz w:val="20"/>
                <w:szCs w:val="20"/>
              </w:rPr>
              <w:t>夜间贡献值</w:t>
            </w:r>
            <w:r>
              <w:rPr>
                <w:spacing w:val="-38"/>
                <w:sz w:val="20"/>
                <w:szCs w:val="20"/>
              </w:rPr>
              <w:t xml:space="preserve"> </w:t>
            </w:r>
            <w:r>
              <w:rPr>
                <w:rFonts w:ascii="Times New Roman" w:hAnsi="Times New Roman" w:eastAsia="Times New Roman" w:cs="Times New Roman"/>
                <w:sz w:val="20"/>
                <w:szCs w:val="20"/>
              </w:rPr>
              <w:t>dB</w:t>
            </w:r>
            <w:r>
              <w:rPr>
                <w:spacing w:val="7"/>
                <w:sz w:val="20"/>
                <w:szCs w:val="20"/>
              </w:rPr>
              <w:t>（</w:t>
            </w:r>
            <w:r>
              <w:rPr>
                <w:rFonts w:ascii="Times New Roman" w:hAnsi="Times New Roman" w:eastAsia="Times New Roman" w:cs="Times New Roman"/>
                <w:spacing w:val="7"/>
                <w:sz w:val="20"/>
                <w:szCs w:val="20"/>
              </w:rPr>
              <w:t>A</w:t>
            </w:r>
            <w:r>
              <w:rPr>
                <w:spacing w:val="7"/>
                <w:sz w:val="20"/>
                <w:szCs w:val="20"/>
              </w:rPr>
              <w:t>）</w:t>
            </w:r>
          </w:p>
        </w:tc>
      </w:tr>
      <w:tr w14:paraId="3F4626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2366" w:type="dxa"/>
            <w:tcBorders>
              <w:left w:val="nil"/>
            </w:tcBorders>
            <w:vAlign w:val="top"/>
          </w:tcPr>
          <w:p w14:paraId="5F3C9886">
            <w:pPr>
              <w:pStyle w:val="6"/>
              <w:spacing w:before="63" w:line="228" w:lineRule="auto"/>
              <w:ind w:left="512"/>
              <w:rPr>
                <w:rFonts w:ascii="Times New Roman" w:hAnsi="Times New Roman" w:eastAsia="Times New Roman" w:cs="Times New Roman"/>
                <w:sz w:val="20"/>
                <w:szCs w:val="20"/>
              </w:rPr>
            </w:pPr>
            <w:r>
              <w:rPr>
                <w:spacing w:val="3"/>
                <w:sz w:val="20"/>
                <w:szCs w:val="20"/>
              </w:rPr>
              <w:t>东侧厂界外</w:t>
            </w:r>
            <w:r>
              <w:rPr>
                <w:spacing w:val="-23"/>
                <w:sz w:val="20"/>
                <w:szCs w:val="20"/>
              </w:rPr>
              <w:t xml:space="preserve"> </w:t>
            </w:r>
            <w:r>
              <w:rPr>
                <w:rFonts w:ascii="Times New Roman" w:hAnsi="Times New Roman" w:eastAsia="Times New Roman" w:cs="Times New Roman"/>
                <w:spacing w:val="3"/>
                <w:sz w:val="20"/>
                <w:szCs w:val="20"/>
              </w:rPr>
              <w:t>1m</w:t>
            </w:r>
          </w:p>
        </w:tc>
        <w:tc>
          <w:tcPr>
            <w:tcW w:w="2358" w:type="dxa"/>
            <w:vAlign w:val="top"/>
          </w:tcPr>
          <w:p w14:paraId="67A4F1C7">
            <w:pPr>
              <w:spacing w:before="99" w:line="195" w:lineRule="auto"/>
              <w:ind w:left="106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c>
          <w:tcPr>
            <w:tcW w:w="2358" w:type="dxa"/>
            <w:vAlign w:val="top"/>
          </w:tcPr>
          <w:p w14:paraId="038A3BDB">
            <w:pPr>
              <w:spacing w:before="99" w:line="195" w:lineRule="auto"/>
              <w:ind w:left="94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40.24</w:t>
            </w:r>
          </w:p>
        </w:tc>
        <w:tc>
          <w:tcPr>
            <w:tcW w:w="2203" w:type="dxa"/>
            <w:tcBorders>
              <w:right w:val="nil"/>
            </w:tcBorders>
            <w:vAlign w:val="top"/>
          </w:tcPr>
          <w:p w14:paraId="3D27700C">
            <w:pPr>
              <w:spacing w:before="99" w:line="195" w:lineRule="auto"/>
              <w:ind w:left="9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47.2</w:t>
            </w:r>
          </w:p>
        </w:tc>
      </w:tr>
      <w:tr w14:paraId="12749A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2366" w:type="dxa"/>
            <w:tcBorders>
              <w:left w:val="nil"/>
            </w:tcBorders>
            <w:vAlign w:val="top"/>
          </w:tcPr>
          <w:p w14:paraId="62CD6B3A">
            <w:pPr>
              <w:pStyle w:val="6"/>
              <w:spacing w:before="69" w:line="228" w:lineRule="auto"/>
              <w:ind w:left="507"/>
              <w:rPr>
                <w:rFonts w:ascii="Times New Roman" w:hAnsi="Times New Roman" w:eastAsia="Times New Roman" w:cs="Times New Roman"/>
                <w:sz w:val="20"/>
                <w:szCs w:val="20"/>
              </w:rPr>
            </w:pPr>
            <w:r>
              <w:rPr>
                <w:spacing w:val="3"/>
                <w:sz w:val="20"/>
                <w:szCs w:val="20"/>
              </w:rPr>
              <w:t>南侧厂界外</w:t>
            </w:r>
            <w:r>
              <w:rPr>
                <w:spacing w:val="-19"/>
                <w:sz w:val="20"/>
                <w:szCs w:val="20"/>
              </w:rPr>
              <w:t xml:space="preserve"> </w:t>
            </w:r>
            <w:r>
              <w:rPr>
                <w:rFonts w:ascii="Times New Roman" w:hAnsi="Times New Roman" w:eastAsia="Times New Roman" w:cs="Times New Roman"/>
                <w:spacing w:val="3"/>
                <w:sz w:val="20"/>
                <w:szCs w:val="20"/>
              </w:rPr>
              <w:t>1m</w:t>
            </w:r>
          </w:p>
        </w:tc>
        <w:tc>
          <w:tcPr>
            <w:tcW w:w="2358" w:type="dxa"/>
            <w:vAlign w:val="top"/>
          </w:tcPr>
          <w:p w14:paraId="54C0ABC0">
            <w:pPr>
              <w:spacing w:before="105" w:line="195" w:lineRule="auto"/>
              <w:ind w:left="106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c>
          <w:tcPr>
            <w:tcW w:w="2358" w:type="dxa"/>
            <w:vAlign w:val="top"/>
          </w:tcPr>
          <w:p w14:paraId="669A1DDB">
            <w:pPr>
              <w:spacing w:before="105" w:line="195" w:lineRule="auto"/>
              <w:ind w:left="9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53.19</w:t>
            </w:r>
          </w:p>
        </w:tc>
        <w:tc>
          <w:tcPr>
            <w:tcW w:w="2203" w:type="dxa"/>
            <w:tcBorders>
              <w:right w:val="nil"/>
            </w:tcBorders>
            <w:vAlign w:val="top"/>
          </w:tcPr>
          <w:p w14:paraId="3B60BDB7">
            <w:pPr>
              <w:spacing w:before="105" w:line="195" w:lineRule="auto"/>
              <w:ind w:left="9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45.4</w:t>
            </w:r>
          </w:p>
        </w:tc>
      </w:tr>
      <w:tr w14:paraId="3A9B8A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2366" w:type="dxa"/>
            <w:tcBorders>
              <w:left w:val="nil"/>
            </w:tcBorders>
            <w:vAlign w:val="top"/>
          </w:tcPr>
          <w:p w14:paraId="60F20916">
            <w:pPr>
              <w:pStyle w:val="6"/>
              <w:spacing w:before="72" w:line="228" w:lineRule="auto"/>
              <w:ind w:left="510"/>
              <w:rPr>
                <w:rFonts w:ascii="Times New Roman" w:hAnsi="Times New Roman" w:eastAsia="Times New Roman" w:cs="Times New Roman"/>
                <w:sz w:val="20"/>
                <w:szCs w:val="20"/>
              </w:rPr>
            </w:pPr>
            <w:r>
              <w:rPr>
                <w:spacing w:val="3"/>
                <w:sz w:val="20"/>
                <w:szCs w:val="20"/>
              </w:rPr>
              <w:t>西侧厂界外</w:t>
            </w:r>
            <w:r>
              <w:rPr>
                <w:spacing w:val="-22"/>
                <w:sz w:val="20"/>
                <w:szCs w:val="20"/>
              </w:rPr>
              <w:t xml:space="preserve"> </w:t>
            </w:r>
            <w:r>
              <w:rPr>
                <w:rFonts w:ascii="Times New Roman" w:hAnsi="Times New Roman" w:eastAsia="Times New Roman" w:cs="Times New Roman"/>
                <w:spacing w:val="3"/>
                <w:sz w:val="20"/>
                <w:szCs w:val="20"/>
              </w:rPr>
              <w:t>1m</w:t>
            </w:r>
          </w:p>
        </w:tc>
        <w:tc>
          <w:tcPr>
            <w:tcW w:w="2358" w:type="dxa"/>
            <w:vAlign w:val="top"/>
          </w:tcPr>
          <w:p w14:paraId="154AADAD">
            <w:pPr>
              <w:spacing w:before="111" w:line="195" w:lineRule="auto"/>
              <w:ind w:left="106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c>
          <w:tcPr>
            <w:tcW w:w="2358" w:type="dxa"/>
            <w:vAlign w:val="top"/>
          </w:tcPr>
          <w:p w14:paraId="76E99D73">
            <w:pPr>
              <w:spacing w:before="111" w:line="195" w:lineRule="auto"/>
              <w:ind w:left="94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40.04</w:t>
            </w:r>
          </w:p>
        </w:tc>
        <w:tc>
          <w:tcPr>
            <w:tcW w:w="2203" w:type="dxa"/>
            <w:tcBorders>
              <w:right w:val="nil"/>
            </w:tcBorders>
            <w:vAlign w:val="top"/>
          </w:tcPr>
          <w:p w14:paraId="6CFFA91A">
            <w:pPr>
              <w:spacing w:before="111" w:line="195" w:lineRule="auto"/>
              <w:ind w:left="9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47.0</w:t>
            </w:r>
          </w:p>
        </w:tc>
      </w:tr>
      <w:tr w14:paraId="48A28F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 w:hRule="atLeast"/>
        </w:trPr>
        <w:tc>
          <w:tcPr>
            <w:tcW w:w="2366" w:type="dxa"/>
            <w:tcBorders>
              <w:left w:val="nil"/>
              <w:bottom w:val="single" w:color="000000" w:sz="10" w:space="0"/>
            </w:tcBorders>
            <w:vAlign w:val="top"/>
          </w:tcPr>
          <w:p w14:paraId="24194E26">
            <w:pPr>
              <w:pStyle w:val="6"/>
              <w:spacing w:before="78" w:line="228" w:lineRule="auto"/>
              <w:ind w:left="508"/>
              <w:rPr>
                <w:rFonts w:ascii="Times New Roman" w:hAnsi="Times New Roman" w:eastAsia="Times New Roman" w:cs="Times New Roman"/>
                <w:sz w:val="20"/>
                <w:szCs w:val="20"/>
              </w:rPr>
            </w:pPr>
            <w:r>
              <w:rPr>
                <w:spacing w:val="3"/>
                <w:sz w:val="20"/>
                <w:szCs w:val="20"/>
              </w:rPr>
              <w:t>北侧厂界外</w:t>
            </w:r>
            <w:r>
              <w:rPr>
                <w:spacing w:val="-20"/>
                <w:sz w:val="20"/>
                <w:szCs w:val="20"/>
              </w:rPr>
              <w:t xml:space="preserve"> </w:t>
            </w:r>
            <w:r>
              <w:rPr>
                <w:rFonts w:ascii="Times New Roman" w:hAnsi="Times New Roman" w:eastAsia="Times New Roman" w:cs="Times New Roman"/>
                <w:spacing w:val="3"/>
                <w:sz w:val="20"/>
                <w:szCs w:val="20"/>
              </w:rPr>
              <w:t>1m</w:t>
            </w:r>
          </w:p>
        </w:tc>
        <w:tc>
          <w:tcPr>
            <w:tcW w:w="2358" w:type="dxa"/>
            <w:tcBorders>
              <w:bottom w:val="single" w:color="000000" w:sz="10" w:space="0"/>
            </w:tcBorders>
            <w:vAlign w:val="top"/>
          </w:tcPr>
          <w:p w14:paraId="36B6A6FF">
            <w:pPr>
              <w:spacing w:before="114" w:line="195" w:lineRule="auto"/>
              <w:ind w:left="106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c>
          <w:tcPr>
            <w:tcW w:w="2358" w:type="dxa"/>
            <w:tcBorders>
              <w:bottom w:val="single" w:color="000000" w:sz="10" w:space="0"/>
            </w:tcBorders>
            <w:vAlign w:val="top"/>
          </w:tcPr>
          <w:p w14:paraId="6E8E653F">
            <w:pPr>
              <w:spacing w:before="114" w:line="195" w:lineRule="auto"/>
              <w:ind w:left="94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46.93</w:t>
            </w:r>
          </w:p>
        </w:tc>
        <w:tc>
          <w:tcPr>
            <w:tcW w:w="2203" w:type="dxa"/>
            <w:tcBorders>
              <w:bottom w:val="single" w:color="000000" w:sz="10" w:space="0"/>
              <w:right w:val="nil"/>
            </w:tcBorders>
            <w:vAlign w:val="top"/>
          </w:tcPr>
          <w:p w14:paraId="53C2C9F9">
            <w:pPr>
              <w:spacing w:before="114" w:line="195" w:lineRule="auto"/>
              <w:ind w:left="91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47.3</w:t>
            </w:r>
          </w:p>
        </w:tc>
      </w:tr>
    </w:tbl>
    <w:p w14:paraId="0C7635BF">
      <w:pPr>
        <w:spacing w:before="125" w:line="324" w:lineRule="auto"/>
        <w:ind w:left="121" w:right="108" w:firstLine="474"/>
        <w:rPr>
          <w:rFonts w:ascii="宋体" w:hAnsi="宋体" w:eastAsia="宋体" w:cs="宋体"/>
          <w:sz w:val="24"/>
          <w:szCs w:val="24"/>
        </w:rPr>
      </w:pPr>
      <w:r>
        <w:rPr>
          <w:rFonts w:ascii="宋体" w:hAnsi="宋体" w:eastAsia="宋体" w:cs="宋体"/>
          <w:spacing w:val="-2"/>
          <w:sz w:val="24"/>
          <w:szCs w:val="24"/>
        </w:rPr>
        <w:t>根据预测结果，本项目厂界的噪声最大贡献值在昼间、夜间均能满足《工业企业厂</w:t>
      </w:r>
      <w:r>
        <w:rPr>
          <w:rFonts w:ascii="宋体" w:hAnsi="宋体" w:eastAsia="宋体" w:cs="宋体"/>
          <w:spacing w:val="13"/>
          <w:sz w:val="24"/>
          <w:szCs w:val="24"/>
        </w:rPr>
        <w:t xml:space="preserve"> </w:t>
      </w:r>
      <w:r>
        <w:rPr>
          <w:rFonts w:ascii="宋体" w:hAnsi="宋体" w:eastAsia="宋体" w:cs="宋体"/>
          <w:spacing w:val="-1"/>
          <w:sz w:val="24"/>
          <w:szCs w:val="24"/>
        </w:rPr>
        <w:t>界环境噪声排放标准》（</w:t>
      </w:r>
      <w:r>
        <w:rPr>
          <w:rFonts w:ascii="Times New Roman" w:hAnsi="Times New Roman" w:eastAsia="Times New Roman" w:cs="Times New Roman"/>
          <w:spacing w:val="-1"/>
          <w:sz w:val="24"/>
          <w:szCs w:val="24"/>
        </w:rPr>
        <w:t>GB12348-2008</w:t>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3 </w:t>
      </w:r>
      <w:r>
        <w:rPr>
          <w:rFonts w:ascii="宋体" w:hAnsi="宋体" w:eastAsia="宋体" w:cs="宋体"/>
          <w:spacing w:val="-1"/>
          <w:sz w:val="24"/>
          <w:szCs w:val="24"/>
        </w:rPr>
        <w:t>类区标准的要求。</w:t>
      </w:r>
    </w:p>
    <w:p w14:paraId="2CDF6F08">
      <w:pPr>
        <w:spacing w:line="324" w:lineRule="auto"/>
        <w:rPr>
          <w:rFonts w:ascii="宋体" w:hAnsi="宋体" w:eastAsia="宋体" w:cs="宋体"/>
          <w:sz w:val="24"/>
          <w:szCs w:val="24"/>
        </w:rPr>
        <w:sectPr>
          <w:headerReference r:id="rId352" w:type="default"/>
          <w:footerReference r:id="rId353" w:type="default"/>
          <w:pgSz w:w="11906" w:h="16839"/>
          <w:pgMar w:top="1190" w:right="1310" w:bottom="1427" w:left="1310" w:header="882" w:footer="1265" w:gutter="0"/>
          <w:cols w:space="720" w:num="1"/>
        </w:sectPr>
      </w:pPr>
    </w:p>
    <w:p w14:paraId="79C0A409">
      <w:pPr>
        <w:spacing w:line="28" w:lineRule="exact"/>
        <w:ind w:firstLine="108"/>
      </w:pPr>
      <w:r>
        <w:pict>
          <v:shape id="_x0000_s1839" o:spid="_x0000_s1839" style="height:1.45pt;width:453.65pt;" fillcolor="#000000" filled="t" stroked="f" coordsize="9072,29" path="m0,0l9072,0,9072,28,0,28,0,0xe">
            <v:path/>
            <v:fill on="t" focussize="0,0"/>
            <v:stroke on="f"/>
            <v:imagedata o:title=""/>
            <o:lock v:ext="edit"/>
            <w10:wrap type="none"/>
            <w10:anchorlock/>
          </v:shape>
        </w:pict>
      </w:r>
    </w:p>
    <w:p w14:paraId="541A2C63">
      <w:pPr>
        <w:spacing w:before="115" w:line="226" w:lineRule="auto"/>
        <w:ind w:left="3035"/>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5"/>
          <w:sz w:val="20"/>
          <w:szCs w:val="20"/>
        </w:rPr>
        <w:t xml:space="preserve">4.4-6        </w:t>
      </w:r>
      <w:r>
        <w:rPr>
          <w:rFonts w:ascii="宋体" w:hAnsi="宋体" w:eastAsia="宋体" w:cs="宋体"/>
          <w:b/>
          <w:bCs/>
          <w:spacing w:val="5"/>
          <w:sz w:val="20"/>
          <w:szCs w:val="20"/>
        </w:rPr>
        <w:t>声环境影响评价自查表</w:t>
      </w:r>
    </w:p>
    <w:p w14:paraId="13C8F19C">
      <w:pPr>
        <w:spacing w:line="132" w:lineRule="exact"/>
      </w:pPr>
    </w:p>
    <w:tbl>
      <w:tblPr>
        <w:tblStyle w:val="5"/>
        <w:tblW w:w="928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60"/>
        <w:gridCol w:w="1712"/>
        <w:gridCol w:w="1094"/>
        <w:gridCol w:w="703"/>
        <w:gridCol w:w="229"/>
        <w:gridCol w:w="491"/>
        <w:gridCol w:w="531"/>
        <w:gridCol w:w="948"/>
        <w:gridCol w:w="119"/>
        <w:gridCol w:w="238"/>
        <w:gridCol w:w="800"/>
        <w:gridCol w:w="1062"/>
      </w:tblGrid>
      <w:tr w14:paraId="7DAC02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3072" w:type="dxa"/>
            <w:gridSpan w:val="2"/>
            <w:tcBorders>
              <w:top w:val="single" w:color="000000" w:sz="10" w:space="0"/>
              <w:left w:val="nil"/>
            </w:tcBorders>
            <w:vAlign w:val="top"/>
          </w:tcPr>
          <w:p w14:paraId="442832C1">
            <w:pPr>
              <w:pStyle w:val="6"/>
              <w:spacing w:before="62" w:line="228" w:lineRule="auto"/>
              <w:ind w:left="1125"/>
              <w:rPr>
                <w:sz w:val="20"/>
                <w:szCs w:val="20"/>
              </w:rPr>
            </w:pPr>
            <w:r>
              <w:rPr>
                <w:spacing w:val="6"/>
                <w:sz w:val="20"/>
                <w:szCs w:val="20"/>
              </w:rPr>
              <w:t>工作内容</w:t>
            </w:r>
          </w:p>
        </w:tc>
        <w:tc>
          <w:tcPr>
            <w:tcW w:w="6215" w:type="dxa"/>
            <w:gridSpan w:val="10"/>
            <w:tcBorders>
              <w:top w:val="single" w:color="000000" w:sz="10" w:space="0"/>
              <w:right w:val="nil"/>
            </w:tcBorders>
            <w:vAlign w:val="top"/>
          </w:tcPr>
          <w:p w14:paraId="00ADD878">
            <w:pPr>
              <w:pStyle w:val="6"/>
              <w:spacing w:before="63" w:line="228" w:lineRule="auto"/>
              <w:ind w:left="2726"/>
              <w:rPr>
                <w:sz w:val="20"/>
                <w:szCs w:val="20"/>
              </w:rPr>
            </w:pPr>
            <w:r>
              <w:rPr>
                <w:spacing w:val="-2"/>
                <w:sz w:val="20"/>
                <w:szCs w:val="20"/>
              </w:rPr>
              <w:t>自查项目</w:t>
            </w:r>
          </w:p>
        </w:tc>
      </w:tr>
      <w:tr w14:paraId="645EDF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1360" w:type="dxa"/>
            <w:vMerge w:val="restart"/>
            <w:tcBorders>
              <w:left w:val="nil"/>
              <w:bottom w:val="nil"/>
            </w:tcBorders>
            <w:vAlign w:val="top"/>
          </w:tcPr>
          <w:p w14:paraId="33C3372F">
            <w:pPr>
              <w:pStyle w:val="6"/>
              <w:spacing w:before="64" w:line="279" w:lineRule="auto"/>
              <w:ind w:left="482" w:right="153" w:hanging="320"/>
              <w:rPr>
                <w:sz w:val="20"/>
                <w:szCs w:val="20"/>
              </w:rPr>
            </w:pPr>
            <w:r>
              <w:rPr>
                <w:spacing w:val="8"/>
                <w:sz w:val="20"/>
                <w:szCs w:val="20"/>
              </w:rPr>
              <w:t>评价等级与</w:t>
            </w:r>
            <w:r>
              <w:rPr>
                <w:sz w:val="20"/>
                <w:szCs w:val="20"/>
              </w:rPr>
              <w:t xml:space="preserve"> </w:t>
            </w:r>
            <w:r>
              <w:rPr>
                <w:spacing w:val="2"/>
                <w:sz w:val="20"/>
                <w:szCs w:val="20"/>
              </w:rPr>
              <w:t>范围</w:t>
            </w:r>
          </w:p>
        </w:tc>
        <w:tc>
          <w:tcPr>
            <w:tcW w:w="1712" w:type="dxa"/>
            <w:vAlign w:val="top"/>
          </w:tcPr>
          <w:p w14:paraId="007C1941">
            <w:pPr>
              <w:pStyle w:val="6"/>
              <w:spacing w:before="58" w:line="226" w:lineRule="auto"/>
              <w:ind w:left="441"/>
              <w:rPr>
                <w:sz w:val="20"/>
                <w:szCs w:val="20"/>
              </w:rPr>
            </w:pPr>
            <w:r>
              <w:rPr>
                <w:spacing w:val="7"/>
                <w:sz w:val="20"/>
                <w:szCs w:val="20"/>
              </w:rPr>
              <w:t>评价等级</w:t>
            </w:r>
          </w:p>
        </w:tc>
        <w:tc>
          <w:tcPr>
            <w:tcW w:w="6215" w:type="dxa"/>
            <w:gridSpan w:val="10"/>
            <w:tcBorders>
              <w:right w:val="nil"/>
            </w:tcBorders>
            <w:vAlign w:val="top"/>
          </w:tcPr>
          <w:p w14:paraId="56B0C4D9">
            <w:pPr>
              <w:pStyle w:val="6"/>
              <w:spacing w:before="58" w:line="188" w:lineRule="auto"/>
              <w:ind w:left="1419"/>
              <w:rPr>
                <w:rFonts w:ascii="微软雅黑" w:hAnsi="微软雅黑" w:eastAsia="微软雅黑" w:cs="微软雅黑"/>
                <w:sz w:val="20"/>
                <w:szCs w:val="20"/>
              </w:rPr>
            </w:pPr>
            <w:r>
              <w:rPr>
                <w:spacing w:val="14"/>
                <w:sz w:val="20"/>
                <w:szCs w:val="20"/>
              </w:rPr>
              <w:t>一级</w:t>
            </w:r>
            <w:r>
              <w:rPr>
                <w:rFonts w:ascii="微软雅黑" w:hAnsi="微软雅黑" w:eastAsia="微软雅黑" w:cs="微软雅黑"/>
                <w:spacing w:val="14"/>
                <w:sz w:val="20"/>
                <w:szCs w:val="20"/>
              </w:rPr>
              <w:t>□</w:t>
            </w:r>
            <w:r>
              <w:rPr>
                <w:rFonts w:ascii="微软雅黑" w:hAnsi="微软雅黑" w:eastAsia="微软雅黑" w:cs="微软雅黑"/>
                <w:spacing w:val="2"/>
                <w:sz w:val="20"/>
                <w:szCs w:val="20"/>
              </w:rPr>
              <w:t xml:space="preserve">              </w:t>
            </w:r>
            <w:r>
              <w:rPr>
                <w:spacing w:val="14"/>
                <w:sz w:val="20"/>
                <w:szCs w:val="20"/>
              </w:rPr>
              <w:t>二级</w:t>
            </w:r>
            <w:r>
              <w:rPr>
                <w:rFonts w:ascii="微软雅黑" w:hAnsi="微软雅黑" w:eastAsia="微软雅黑" w:cs="微软雅黑"/>
                <w:spacing w:val="14"/>
                <w:sz w:val="20"/>
                <w:szCs w:val="20"/>
              </w:rPr>
              <w:t xml:space="preserve">□           </w:t>
            </w:r>
            <w:r>
              <w:rPr>
                <w:spacing w:val="14"/>
                <w:sz w:val="20"/>
                <w:szCs w:val="20"/>
              </w:rPr>
              <w:t>三级</w:t>
            </w:r>
            <w:r>
              <w:rPr>
                <w:rFonts w:ascii="微软雅黑" w:hAnsi="微软雅黑" w:eastAsia="微软雅黑" w:cs="微软雅黑"/>
                <w:spacing w:val="14"/>
                <w:sz w:val="20"/>
                <w:szCs w:val="20"/>
              </w:rPr>
              <w:t>□</w:t>
            </w:r>
          </w:p>
        </w:tc>
      </w:tr>
      <w:tr w14:paraId="08F6BE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1360" w:type="dxa"/>
            <w:vMerge w:val="continue"/>
            <w:tcBorders>
              <w:top w:val="nil"/>
              <w:left w:val="nil"/>
            </w:tcBorders>
            <w:vAlign w:val="top"/>
          </w:tcPr>
          <w:p w14:paraId="63F6945F">
            <w:pPr>
              <w:rPr>
                <w:rFonts w:ascii="Arial"/>
                <w:sz w:val="21"/>
              </w:rPr>
            </w:pPr>
          </w:p>
        </w:tc>
        <w:tc>
          <w:tcPr>
            <w:tcW w:w="1712" w:type="dxa"/>
            <w:vAlign w:val="top"/>
          </w:tcPr>
          <w:p w14:paraId="38752601">
            <w:pPr>
              <w:pStyle w:val="6"/>
              <w:spacing w:before="54" w:line="226" w:lineRule="auto"/>
              <w:ind w:left="441"/>
              <w:rPr>
                <w:sz w:val="20"/>
                <w:szCs w:val="20"/>
              </w:rPr>
            </w:pPr>
            <w:r>
              <w:rPr>
                <w:spacing w:val="7"/>
                <w:sz w:val="20"/>
                <w:szCs w:val="20"/>
              </w:rPr>
              <w:t>评价范围</w:t>
            </w:r>
          </w:p>
        </w:tc>
        <w:tc>
          <w:tcPr>
            <w:tcW w:w="6215" w:type="dxa"/>
            <w:gridSpan w:val="10"/>
            <w:tcBorders>
              <w:right w:val="nil"/>
            </w:tcBorders>
            <w:vAlign w:val="top"/>
          </w:tcPr>
          <w:p w14:paraId="36A7906E">
            <w:pPr>
              <w:pStyle w:val="6"/>
              <w:spacing w:before="53" w:line="191" w:lineRule="auto"/>
              <w:ind w:left="852"/>
              <w:rPr>
                <w:rFonts w:ascii="微软雅黑" w:hAnsi="微软雅黑" w:eastAsia="微软雅黑" w:cs="微软雅黑"/>
                <w:sz w:val="20"/>
                <w:szCs w:val="20"/>
              </w:rPr>
            </w:pPr>
            <w:r>
              <w:rPr>
                <w:rFonts w:ascii="Times New Roman" w:hAnsi="Times New Roman" w:eastAsia="Times New Roman" w:cs="Times New Roman"/>
                <w:spacing w:val="9"/>
                <w:sz w:val="20"/>
                <w:szCs w:val="20"/>
              </w:rPr>
              <w:t>200m</w:t>
            </w:r>
            <w:r>
              <w:rPr>
                <w:rFonts w:ascii="微软雅黑" w:hAnsi="微软雅黑" w:eastAsia="微软雅黑" w:cs="微软雅黑"/>
                <w:spacing w:val="9"/>
                <w:sz w:val="20"/>
                <w:szCs w:val="20"/>
              </w:rPr>
              <w:t xml:space="preserve">□             </w:t>
            </w:r>
            <w:r>
              <w:rPr>
                <w:spacing w:val="9"/>
                <w:sz w:val="20"/>
                <w:szCs w:val="20"/>
              </w:rPr>
              <w:t>大于</w:t>
            </w:r>
            <w:r>
              <w:rPr>
                <w:rFonts w:ascii="Times New Roman" w:hAnsi="Times New Roman" w:eastAsia="Times New Roman" w:cs="Times New Roman"/>
                <w:spacing w:val="9"/>
                <w:sz w:val="20"/>
                <w:szCs w:val="20"/>
              </w:rPr>
              <w:t>200m</w:t>
            </w:r>
            <w:r>
              <w:rPr>
                <w:rFonts w:ascii="微软雅黑" w:hAnsi="微软雅黑" w:eastAsia="微软雅黑" w:cs="微软雅黑"/>
                <w:spacing w:val="9"/>
                <w:sz w:val="20"/>
                <w:szCs w:val="20"/>
              </w:rPr>
              <w:t xml:space="preserve">□             </w:t>
            </w:r>
            <w:r>
              <w:rPr>
                <w:spacing w:val="9"/>
                <w:sz w:val="20"/>
                <w:szCs w:val="20"/>
              </w:rPr>
              <w:t>小于</w:t>
            </w:r>
            <w:r>
              <w:rPr>
                <w:rFonts w:ascii="Times New Roman" w:hAnsi="Times New Roman" w:eastAsia="Times New Roman" w:cs="Times New Roman"/>
                <w:spacing w:val="9"/>
                <w:sz w:val="20"/>
                <w:szCs w:val="20"/>
              </w:rPr>
              <w:t>200m</w:t>
            </w:r>
            <w:r>
              <w:rPr>
                <w:rFonts w:ascii="微软雅黑" w:hAnsi="微软雅黑" w:eastAsia="微软雅黑" w:cs="微软雅黑"/>
                <w:spacing w:val="9"/>
                <w:sz w:val="20"/>
                <w:szCs w:val="20"/>
              </w:rPr>
              <w:t>□</w:t>
            </w:r>
          </w:p>
        </w:tc>
      </w:tr>
      <w:tr w14:paraId="39C8A4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360" w:type="dxa"/>
            <w:tcBorders>
              <w:left w:val="nil"/>
            </w:tcBorders>
            <w:vAlign w:val="top"/>
          </w:tcPr>
          <w:p w14:paraId="3C0B1988">
            <w:pPr>
              <w:pStyle w:val="6"/>
              <w:spacing w:before="53" w:line="226" w:lineRule="auto"/>
              <w:ind w:left="267"/>
              <w:rPr>
                <w:sz w:val="20"/>
                <w:szCs w:val="20"/>
              </w:rPr>
            </w:pPr>
            <w:r>
              <w:rPr>
                <w:spacing w:val="7"/>
                <w:sz w:val="20"/>
                <w:szCs w:val="20"/>
              </w:rPr>
              <w:t>评价因子</w:t>
            </w:r>
          </w:p>
        </w:tc>
        <w:tc>
          <w:tcPr>
            <w:tcW w:w="1712" w:type="dxa"/>
            <w:vAlign w:val="top"/>
          </w:tcPr>
          <w:p w14:paraId="22CC8B11">
            <w:pPr>
              <w:pStyle w:val="6"/>
              <w:spacing w:before="53" w:line="226" w:lineRule="auto"/>
              <w:ind w:left="441"/>
              <w:rPr>
                <w:sz w:val="20"/>
                <w:szCs w:val="20"/>
              </w:rPr>
            </w:pPr>
            <w:r>
              <w:rPr>
                <w:spacing w:val="7"/>
                <w:sz w:val="20"/>
                <w:szCs w:val="20"/>
              </w:rPr>
              <w:t>评价因子</w:t>
            </w:r>
          </w:p>
        </w:tc>
        <w:tc>
          <w:tcPr>
            <w:tcW w:w="6215" w:type="dxa"/>
            <w:gridSpan w:val="10"/>
            <w:tcBorders>
              <w:right w:val="nil"/>
            </w:tcBorders>
            <w:vAlign w:val="top"/>
          </w:tcPr>
          <w:p w14:paraId="1C2B7643">
            <w:pPr>
              <w:pStyle w:val="6"/>
              <w:spacing w:before="53" w:line="192" w:lineRule="auto"/>
              <w:ind w:left="267"/>
              <w:rPr>
                <w:rFonts w:ascii="微软雅黑" w:hAnsi="微软雅黑" w:eastAsia="微软雅黑" w:cs="微软雅黑"/>
                <w:sz w:val="20"/>
                <w:szCs w:val="20"/>
              </w:rPr>
            </w:pPr>
            <w:r>
              <w:rPr>
                <w:spacing w:val="14"/>
                <w:sz w:val="20"/>
                <w:szCs w:val="20"/>
              </w:rPr>
              <w:t>等效连续</w:t>
            </w:r>
            <w:r>
              <w:rPr>
                <w:rFonts w:ascii="Times New Roman" w:hAnsi="Times New Roman" w:eastAsia="Times New Roman" w:cs="Times New Roman"/>
                <w:spacing w:val="14"/>
                <w:sz w:val="20"/>
                <w:szCs w:val="20"/>
              </w:rPr>
              <w:t>A</w:t>
            </w:r>
            <w:r>
              <w:rPr>
                <w:spacing w:val="14"/>
                <w:sz w:val="20"/>
                <w:szCs w:val="20"/>
              </w:rPr>
              <w:t>声级</w:t>
            </w:r>
            <w:r>
              <w:rPr>
                <w:rFonts w:ascii="微软雅黑" w:hAnsi="微软雅黑" w:eastAsia="微软雅黑" w:cs="微软雅黑"/>
                <w:spacing w:val="14"/>
                <w:sz w:val="20"/>
                <w:szCs w:val="20"/>
              </w:rPr>
              <w:t xml:space="preserve">□   </w:t>
            </w:r>
            <w:r>
              <w:rPr>
                <w:spacing w:val="14"/>
                <w:sz w:val="20"/>
                <w:szCs w:val="20"/>
              </w:rPr>
              <w:t>最大</w:t>
            </w:r>
            <w:r>
              <w:rPr>
                <w:rFonts w:ascii="Times New Roman" w:hAnsi="Times New Roman" w:eastAsia="Times New Roman" w:cs="Times New Roman"/>
                <w:spacing w:val="14"/>
                <w:sz w:val="20"/>
                <w:szCs w:val="20"/>
              </w:rPr>
              <w:t>A</w:t>
            </w:r>
            <w:r>
              <w:rPr>
                <w:spacing w:val="14"/>
                <w:sz w:val="20"/>
                <w:szCs w:val="20"/>
              </w:rPr>
              <w:t>声级</w:t>
            </w:r>
            <w:r>
              <w:rPr>
                <w:rFonts w:ascii="微软雅黑" w:hAnsi="微软雅黑" w:eastAsia="微软雅黑" w:cs="微软雅黑"/>
                <w:spacing w:val="14"/>
                <w:sz w:val="20"/>
                <w:szCs w:val="20"/>
              </w:rPr>
              <w:t xml:space="preserve">□   </w:t>
            </w:r>
            <w:r>
              <w:rPr>
                <w:spacing w:val="14"/>
                <w:sz w:val="20"/>
                <w:szCs w:val="20"/>
              </w:rPr>
              <w:t>计权等效连续感觉噪声级</w:t>
            </w:r>
            <w:r>
              <w:rPr>
                <w:rFonts w:ascii="微软雅黑" w:hAnsi="微软雅黑" w:eastAsia="微软雅黑" w:cs="微软雅黑"/>
                <w:spacing w:val="14"/>
                <w:sz w:val="20"/>
                <w:szCs w:val="20"/>
              </w:rPr>
              <w:t>□</w:t>
            </w:r>
          </w:p>
        </w:tc>
      </w:tr>
      <w:tr w14:paraId="542F00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360" w:type="dxa"/>
            <w:tcBorders>
              <w:left w:val="nil"/>
            </w:tcBorders>
            <w:vAlign w:val="top"/>
          </w:tcPr>
          <w:p w14:paraId="171BB845">
            <w:pPr>
              <w:pStyle w:val="6"/>
              <w:spacing w:before="51" w:line="226" w:lineRule="auto"/>
              <w:ind w:left="267"/>
              <w:rPr>
                <w:sz w:val="20"/>
                <w:szCs w:val="20"/>
              </w:rPr>
            </w:pPr>
            <w:r>
              <w:rPr>
                <w:spacing w:val="7"/>
                <w:sz w:val="20"/>
                <w:szCs w:val="20"/>
              </w:rPr>
              <w:t>评价标准</w:t>
            </w:r>
          </w:p>
        </w:tc>
        <w:tc>
          <w:tcPr>
            <w:tcW w:w="1712" w:type="dxa"/>
            <w:vAlign w:val="top"/>
          </w:tcPr>
          <w:p w14:paraId="418B418D">
            <w:pPr>
              <w:pStyle w:val="6"/>
              <w:spacing w:before="51" w:line="226" w:lineRule="auto"/>
              <w:ind w:left="441"/>
              <w:rPr>
                <w:sz w:val="20"/>
                <w:szCs w:val="20"/>
              </w:rPr>
            </w:pPr>
            <w:r>
              <w:rPr>
                <w:spacing w:val="7"/>
                <w:sz w:val="20"/>
                <w:szCs w:val="20"/>
              </w:rPr>
              <w:t>评价标准</w:t>
            </w:r>
          </w:p>
        </w:tc>
        <w:tc>
          <w:tcPr>
            <w:tcW w:w="6215" w:type="dxa"/>
            <w:gridSpan w:val="10"/>
            <w:tcBorders>
              <w:right w:val="nil"/>
            </w:tcBorders>
            <w:vAlign w:val="top"/>
          </w:tcPr>
          <w:p w14:paraId="58DB3D24">
            <w:pPr>
              <w:pStyle w:val="6"/>
              <w:spacing w:before="50" w:line="194" w:lineRule="auto"/>
              <w:ind w:left="752"/>
              <w:rPr>
                <w:rFonts w:ascii="微软雅黑" w:hAnsi="微软雅黑" w:eastAsia="微软雅黑" w:cs="微软雅黑"/>
                <w:sz w:val="20"/>
                <w:szCs w:val="20"/>
              </w:rPr>
            </w:pPr>
            <w:r>
              <w:rPr>
                <w:spacing w:val="11"/>
                <w:sz w:val="20"/>
                <w:szCs w:val="20"/>
              </w:rPr>
              <w:t>国家标准</w:t>
            </w:r>
            <w:r>
              <w:rPr>
                <w:rFonts w:ascii="微软雅黑" w:hAnsi="微软雅黑" w:eastAsia="微软雅黑" w:cs="微软雅黑"/>
                <w:spacing w:val="11"/>
                <w:sz w:val="20"/>
                <w:szCs w:val="20"/>
              </w:rPr>
              <w:t xml:space="preserve">□             </w:t>
            </w:r>
            <w:r>
              <w:rPr>
                <w:spacing w:val="11"/>
                <w:sz w:val="20"/>
                <w:szCs w:val="20"/>
              </w:rPr>
              <w:t>地方</w:t>
            </w:r>
            <w:r>
              <w:rPr>
                <w:spacing w:val="10"/>
                <w:sz w:val="20"/>
                <w:szCs w:val="20"/>
              </w:rPr>
              <w:t>标准</w:t>
            </w:r>
            <w:r>
              <w:rPr>
                <w:rFonts w:ascii="微软雅黑" w:hAnsi="微软雅黑" w:eastAsia="微软雅黑" w:cs="微软雅黑"/>
                <w:spacing w:val="10"/>
                <w:sz w:val="20"/>
                <w:szCs w:val="20"/>
              </w:rPr>
              <w:t>□</w:t>
            </w:r>
            <w:r>
              <w:rPr>
                <w:rFonts w:ascii="微软雅黑" w:hAnsi="微软雅黑" w:eastAsia="微软雅黑" w:cs="微软雅黑"/>
                <w:spacing w:val="2"/>
                <w:sz w:val="20"/>
                <w:szCs w:val="20"/>
              </w:rPr>
              <w:t xml:space="preserve">              </w:t>
            </w:r>
            <w:r>
              <w:rPr>
                <w:spacing w:val="10"/>
                <w:sz w:val="20"/>
                <w:szCs w:val="20"/>
              </w:rPr>
              <w:t>国外标准</w:t>
            </w:r>
            <w:r>
              <w:rPr>
                <w:rFonts w:ascii="微软雅黑" w:hAnsi="微软雅黑" w:eastAsia="微软雅黑" w:cs="微软雅黑"/>
                <w:spacing w:val="10"/>
                <w:sz w:val="20"/>
                <w:szCs w:val="20"/>
              </w:rPr>
              <w:t>□</w:t>
            </w:r>
          </w:p>
        </w:tc>
      </w:tr>
      <w:tr w14:paraId="540184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360" w:type="dxa"/>
            <w:vMerge w:val="restart"/>
            <w:tcBorders>
              <w:left w:val="nil"/>
              <w:bottom w:val="nil"/>
            </w:tcBorders>
            <w:vAlign w:val="top"/>
          </w:tcPr>
          <w:p w14:paraId="44DE8D9D">
            <w:pPr>
              <w:spacing w:line="244" w:lineRule="auto"/>
              <w:rPr>
                <w:rFonts w:ascii="Arial"/>
                <w:sz w:val="21"/>
              </w:rPr>
            </w:pPr>
          </w:p>
          <w:p w14:paraId="0E52D289">
            <w:pPr>
              <w:spacing w:line="245" w:lineRule="auto"/>
              <w:rPr>
                <w:rFonts w:ascii="Arial"/>
                <w:sz w:val="21"/>
              </w:rPr>
            </w:pPr>
          </w:p>
          <w:p w14:paraId="34DBC034">
            <w:pPr>
              <w:pStyle w:val="6"/>
              <w:spacing w:before="65" w:line="226" w:lineRule="auto"/>
              <w:ind w:left="270"/>
              <w:rPr>
                <w:sz w:val="20"/>
                <w:szCs w:val="20"/>
              </w:rPr>
            </w:pPr>
            <w:r>
              <w:rPr>
                <w:spacing w:val="6"/>
                <w:sz w:val="20"/>
                <w:szCs w:val="20"/>
              </w:rPr>
              <w:t>现状评价</w:t>
            </w:r>
          </w:p>
        </w:tc>
        <w:tc>
          <w:tcPr>
            <w:tcW w:w="1712" w:type="dxa"/>
            <w:vAlign w:val="top"/>
          </w:tcPr>
          <w:p w14:paraId="2B893382">
            <w:pPr>
              <w:pStyle w:val="6"/>
              <w:spacing w:before="46" w:line="228" w:lineRule="auto"/>
              <w:ind w:left="336"/>
              <w:rPr>
                <w:sz w:val="20"/>
                <w:szCs w:val="20"/>
              </w:rPr>
            </w:pPr>
            <w:r>
              <w:rPr>
                <w:spacing w:val="8"/>
                <w:sz w:val="20"/>
                <w:szCs w:val="20"/>
              </w:rPr>
              <w:t>环境功能区</w:t>
            </w:r>
          </w:p>
        </w:tc>
        <w:tc>
          <w:tcPr>
            <w:tcW w:w="1094" w:type="dxa"/>
            <w:vAlign w:val="top"/>
          </w:tcPr>
          <w:p w14:paraId="597D7D03">
            <w:pPr>
              <w:pStyle w:val="6"/>
              <w:spacing w:before="46" w:line="197" w:lineRule="auto"/>
              <w:ind w:left="196"/>
              <w:rPr>
                <w:rFonts w:ascii="微软雅黑" w:hAnsi="微软雅黑" w:eastAsia="微软雅黑" w:cs="微软雅黑"/>
                <w:sz w:val="20"/>
                <w:szCs w:val="20"/>
              </w:rPr>
            </w:pPr>
            <w:r>
              <w:rPr>
                <w:rFonts w:ascii="Times New Roman" w:hAnsi="Times New Roman" w:eastAsia="Times New Roman" w:cs="Times New Roman"/>
                <w:spacing w:val="18"/>
                <w:sz w:val="20"/>
                <w:szCs w:val="20"/>
              </w:rPr>
              <w:t>0</w:t>
            </w:r>
            <w:r>
              <w:rPr>
                <w:spacing w:val="18"/>
                <w:sz w:val="20"/>
                <w:szCs w:val="20"/>
              </w:rPr>
              <w:t>类区</w:t>
            </w:r>
            <w:r>
              <w:rPr>
                <w:rFonts w:ascii="微软雅黑" w:hAnsi="微软雅黑" w:eastAsia="微软雅黑" w:cs="微软雅黑"/>
                <w:spacing w:val="18"/>
                <w:sz w:val="20"/>
                <w:szCs w:val="20"/>
              </w:rPr>
              <w:t>□</w:t>
            </w:r>
          </w:p>
        </w:tc>
        <w:tc>
          <w:tcPr>
            <w:tcW w:w="932" w:type="dxa"/>
            <w:gridSpan w:val="2"/>
            <w:vAlign w:val="top"/>
          </w:tcPr>
          <w:p w14:paraId="10122BEC">
            <w:pPr>
              <w:pStyle w:val="6"/>
              <w:spacing w:before="46" w:line="197" w:lineRule="auto"/>
              <w:ind w:left="131"/>
              <w:rPr>
                <w:rFonts w:ascii="微软雅黑" w:hAnsi="微软雅黑" w:eastAsia="微软雅黑" w:cs="微软雅黑"/>
                <w:sz w:val="20"/>
                <w:szCs w:val="20"/>
              </w:rPr>
            </w:pPr>
            <w:r>
              <w:rPr>
                <w:rFonts w:ascii="Times New Roman" w:hAnsi="Times New Roman" w:eastAsia="Times New Roman" w:cs="Times New Roman"/>
                <w:spacing w:val="14"/>
                <w:sz w:val="20"/>
                <w:szCs w:val="20"/>
              </w:rPr>
              <w:t>1</w:t>
            </w:r>
            <w:r>
              <w:rPr>
                <w:spacing w:val="14"/>
                <w:sz w:val="20"/>
                <w:szCs w:val="20"/>
              </w:rPr>
              <w:t>类区</w:t>
            </w:r>
            <w:r>
              <w:rPr>
                <w:rFonts w:ascii="微软雅黑" w:hAnsi="微软雅黑" w:eastAsia="微软雅黑" w:cs="微软雅黑"/>
                <w:spacing w:val="14"/>
                <w:sz w:val="20"/>
                <w:szCs w:val="20"/>
              </w:rPr>
              <w:t>□</w:t>
            </w:r>
          </w:p>
        </w:tc>
        <w:tc>
          <w:tcPr>
            <w:tcW w:w="1022" w:type="dxa"/>
            <w:gridSpan w:val="2"/>
            <w:vAlign w:val="top"/>
          </w:tcPr>
          <w:p w14:paraId="209F07A7">
            <w:pPr>
              <w:pStyle w:val="6"/>
              <w:spacing w:before="46" w:line="197" w:lineRule="auto"/>
              <w:ind w:left="156"/>
              <w:rPr>
                <w:rFonts w:ascii="微软雅黑" w:hAnsi="微软雅黑" w:eastAsia="微软雅黑" w:cs="微软雅黑"/>
                <w:sz w:val="20"/>
                <w:szCs w:val="20"/>
              </w:rPr>
            </w:pPr>
            <w:r>
              <w:rPr>
                <w:rFonts w:ascii="Times New Roman" w:hAnsi="Times New Roman" w:eastAsia="Times New Roman" w:cs="Times New Roman"/>
                <w:spacing w:val="19"/>
                <w:sz w:val="20"/>
                <w:szCs w:val="20"/>
              </w:rPr>
              <w:t>2</w:t>
            </w:r>
            <w:r>
              <w:rPr>
                <w:spacing w:val="19"/>
                <w:sz w:val="20"/>
                <w:szCs w:val="20"/>
              </w:rPr>
              <w:t>类区</w:t>
            </w:r>
            <w:r>
              <w:rPr>
                <w:rFonts w:ascii="微软雅黑" w:hAnsi="微软雅黑" w:eastAsia="微软雅黑" w:cs="微软雅黑"/>
                <w:spacing w:val="19"/>
                <w:sz w:val="20"/>
                <w:szCs w:val="20"/>
              </w:rPr>
              <w:t>□</w:t>
            </w:r>
          </w:p>
        </w:tc>
        <w:tc>
          <w:tcPr>
            <w:tcW w:w="1067" w:type="dxa"/>
            <w:gridSpan w:val="2"/>
            <w:vAlign w:val="top"/>
          </w:tcPr>
          <w:p w14:paraId="68040DB3">
            <w:pPr>
              <w:pStyle w:val="6"/>
              <w:spacing w:before="46" w:line="197" w:lineRule="auto"/>
              <w:ind w:left="182"/>
              <w:rPr>
                <w:rFonts w:ascii="微软雅黑" w:hAnsi="微软雅黑" w:eastAsia="微软雅黑" w:cs="微软雅黑"/>
                <w:sz w:val="20"/>
                <w:szCs w:val="20"/>
              </w:rPr>
            </w:pPr>
            <w:r>
              <w:rPr>
                <w:rFonts w:ascii="Times New Roman" w:hAnsi="Times New Roman" w:eastAsia="Times New Roman" w:cs="Times New Roman"/>
                <w:spacing w:val="18"/>
                <w:sz w:val="20"/>
                <w:szCs w:val="20"/>
              </w:rPr>
              <w:t>3</w:t>
            </w:r>
            <w:r>
              <w:rPr>
                <w:spacing w:val="18"/>
                <w:sz w:val="20"/>
                <w:szCs w:val="20"/>
              </w:rPr>
              <w:t>类区</w:t>
            </w:r>
            <w:r>
              <w:rPr>
                <w:rFonts w:ascii="微软雅黑" w:hAnsi="微软雅黑" w:eastAsia="微软雅黑" w:cs="微软雅黑"/>
                <w:spacing w:val="18"/>
                <w:sz w:val="20"/>
                <w:szCs w:val="20"/>
              </w:rPr>
              <w:t>□</w:t>
            </w:r>
          </w:p>
        </w:tc>
        <w:tc>
          <w:tcPr>
            <w:tcW w:w="1038" w:type="dxa"/>
            <w:gridSpan w:val="2"/>
            <w:vAlign w:val="top"/>
          </w:tcPr>
          <w:p w14:paraId="61B0CB5B">
            <w:pPr>
              <w:pStyle w:val="6"/>
              <w:spacing w:before="46" w:line="197" w:lineRule="auto"/>
              <w:ind w:left="147"/>
              <w:rPr>
                <w:rFonts w:ascii="微软雅黑" w:hAnsi="微软雅黑" w:eastAsia="微软雅黑" w:cs="微软雅黑"/>
                <w:sz w:val="20"/>
                <w:szCs w:val="20"/>
              </w:rPr>
            </w:pPr>
            <w:r>
              <w:rPr>
                <w:rFonts w:ascii="Times New Roman" w:hAnsi="Times New Roman" w:eastAsia="Times New Roman" w:cs="Times New Roman"/>
                <w:spacing w:val="4"/>
                <w:sz w:val="20"/>
                <w:szCs w:val="20"/>
              </w:rPr>
              <w:t>4a</w:t>
            </w:r>
            <w:r>
              <w:rPr>
                <w:spacing w:val="4"/>
                <w:sz w:val="20"/>
                <w:szCs w:val="20"/>
              </w:rPr>
              <w:t>类区</w:t>
            </w:r>
            <w:r>
              <w:rPr>
                <w:rFonts w:ascii="微软雅黑" w:hAnsi="微软雅黑" w:eastAsia="微软雅黑" w:cs="微软雅黑"/>
                <w:spacing w:val="4"/>
                <w:sz w:val="20"/>
                <w:szCs w:val="20"/>
              </w:rPr>
              <w:t>□</w:t>
            </w:r>
          </w:p>
        </w:tc>
        <w:tc>
          <w:tcPr>
            <w:tcW w:w="1062" w:type="dxa"/>
            <w:tcBorders>
              <w:right w:val="nil"/>
            </w:tcBorders>
            <w:vAlign w:val="top"/>
          </w:tcPr>
          <w:p w14:paraId="463DCFDC">
            <w:pPr>
              <w:pStyle w:val="6"/>
              <w:spacing w:before="46" w:line="197" w:lineRule="auto"/>
              <w:ind w:left="153"/>
              <w:rPr>
                <w:rFonts w:ascii="微软雅黑" w:hAnsi="微软雅黑" w:eastAsia="微软雅黑" w:cs="微软雅黑"/>
                <w:sz w:val="20"/>
                <w:szCs w:val="20"/>
              </w:rPr>
            </w:pPr>
            <w:r>
              <w:rPr>
                <w:rFonts w:ascii="Times New Roman" w:hAnsi="Times New Roman" w:eastAsia="Times New Roman" w:cs="Times New Roman"/>
                <w:spacing w:val="4"/>
                <w:sz w:val="20"/>
                <w:szCs w:val="20"/>
              </w:rPr>
              <w:t>4b</w:t>
            </w:r>
            <w:r>
              <w:rPr>
                <w:spacing w:val="4"/>
                <w:sz w:val="20"/>
                <w:szCs w:val="20"/>
              </w:rPr>
              <w:t>类区</w:t>
            </w:r>
            <w:r>
              <w:rPr>
                <w:rFonts w:ascii="微软雅黑" w:hAnsi="微软雅黑" w:eastAsia="微软雅黑" w:cs="微软雅黑"/>
                <w:spacing w:val="4"/>
                <w:sz w:val="20"/>
                <w:szCs w:val="20"/>
              </w:rPr>
              <w:t>□</w:t>
            </w:r>
          </w:p>
        </w:tc>
      </w:tr>
      <w:tr w14:paraId="747143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360" w:type="dxa"/>
            <w:vMerge w:val="continue"/>
            <w:tcBorders>
              <w:top w:val="nil"/>
              <w:left w:val="nil"/>
              <w:bottom w:val="nil"/>
            </w:tcBorders>
            <w:vAlign w:val="top"/>
          </w:tcPr>
          <w:p w14:paraId="2FC20A47">
            <w:pPr>
              <w:rPr>
                <w:rFonts w:ascii="Arial"/>
                <w:sz w:val="21"/>
              </w:rPr>
            </w:pPr>
          </w:p>
        </w:tc>
        <w:tc>
          <w:tcPr>
            <w:tcW w:w="1712" w:type="dxa"/>
            <w:vAlign w:val="top"/>
          </w:tcPr>
          <w:p w14:paraId="61F133B7">
            <w:pPr>
              <w:pStyle w:val="6"/>
              <w:spacing w:before="44" w:line="226" w:lineRule="auto"/>
              <w:ind w:left="441"/>
              <w:rPr>
                <w:sz w:val="20"/>
                <w:szCs w:val="20"/>
              </w:rPr>
            </w:pPr>
            <w:r>
              <w:rPr>
                <w:spacing w:val="7"/>
                <w:sz w:val="20"/>
                <w:szCs w:val="20"/>
              </w:rPr>
              <w:t>评价年度</w:t>
            </w:r>
          </w:p>
        </w:tc>
        <w:tc>
          <w:tcPr>
            <w:tcW w:w="1094" w:type="dxa"/>
            <w:vAlign w:val="top"/>
          </w:tcPr>
          <w:p w14:paraId="422849BA">
            <w:pPr>
              <w:pStyle w:val="6"/>
              <w:spacing w:before="43" w:line="199" w:lineRule="auto"/>
              <w:ind w:left="248"/>
              <w:rPr>
                <w:rFonts w:ascii="微软雅黑" w:hAnsi="微软雅黑" w:eastAsia="微软雅黑" w:cs="微软雅黑"/>
                <w:sz w:val="20"/>
                <w:szCs w:val="20"/>
              </w:rPr>
            </w:pPr>
            <w:r>
              <w:rPr>
                <w:spacing w:val="22"/>
                <w:sz w:val="20"/>
                <w:szCs w:val="20"/>
              </w:rPr>
              <w:t>初期</w:t>
            </w:r>
            <w:r>
              <w:rPr>
                <w:rFonts w:ascii="微软雅黑" w:hAnsi="微软雅黑" w:eastAsia="微软雅黑" w:cs="微软雅黑"/>
                <w:spacing w:val="22"/>
                <w:sz w:val="20"/>
                <w:szCs w:val="20"/>
              </w:rPr>
              <w:t>□</w:t>
            </w:r>
          </w:p>
        </w:tc>
        <w:tc>
          <w:tcPr>
            <w:tcW w:w="1954" w:type="dxa"/>
            <w:gridSpan w:val="4"/>
            <w:vAlign w:val="top"/>
          </w:tcPr>
          <w:p w14:paraId="6E19E604">
            <w:pPr>
              <w:pStyle w:val="6"/>
              <w:spacing w:before="43" w:line="199" w:lineRule="auto"/>
              <w:ind w:left="678"/>
              <w:rPr>
                <w:rFonts w:ascii="微软雅黑" w:hAnsi="微软雅黑" w:eastAsia="微软雅黑" w:cs="微软雅黑"/>
                <w:sz w:val="20"/>
                <w:szCs w:val="20"/>
              </w:rPr>
            </w:pPr>
            <w:r>
              <w:rPr>
                <w:spacing w:val="22"/>
                <w:sz w:val="20"/>
                <w:szCs w:val="20"/>
              </w:rPr>
              <w:t>近期</w:t>
            </w:r>
            <w:r>
              <w:rPr>
                <w:rFonts w:ascii="微软雅黑" w:hAnsi="微软雅黑" w:eastAsia="微软雅黑" w:cs="微软雅黑"/>
                <w:spacing w:val="22"/>
                <w:sz w:val="20"/>
                <w:szCs w:val="20"/>
              </w:rPr>
              <w:t>□</w:t>
            </w:r>
          </w:p>
        </w:tc>
        <w:tc>
          <w:tcPr>
            <w:tcW w:w="948" w:type="dxa"/>
            <w:vAlign w:val="top"/>
          </w:tcPr>
          <w:p w14:paraId="3EC21F9C">
            <w:pPr>
              <w:pStyle w:val="6"/>
              <w:spacing w:before="43" w:line="199" w:lineRule="auto"/>
              <w:ind w:left="194"/>
              <w:rPr>
                <w:rFonts w:ascii="微软雅黑" w:hAnsi="微软雅黑" w:eastAsia="微软雅黑" w:cs="微软雅黑"/>
                <w:sz w:val="20"/>
                <w:szCs w:val="20"/>
              </w:rPr>
            </w:pPr>
            <w:r>
              <w:rPr>
                <w:spacing w:val="15"/>
                <w:sz w:val="20"/>
                <w:szCs w:val="20"/>
              </w:rPr>
              <w:t>中期</w:t>
            </w:r>
            <w:r>
              <w:rPr>
                <w:rFonts w:ascii="微软雅黑" w:hAnsi="微软雅黑" w:eastAsia="微软雅黑" w:cs="微软雅黑"/>
                <w:spacing w:val="15"/>
                <w:sz w:val="20"/>
                <w:szCs w:val="20"/>
              </w:rPr>
              <w:t>□</w:t>
            </w:r>
          </w:p>
        </w:tc>
        <w:tc>
          <w:tcPr>
            <w:tcW w:w="2219" w:type="dxa"/>
            <w:gridSpan w:val="4"/>
            <w:tcBorders>
              <w:right w:val="nil"/>
            </w:tcBorders>
            <w:vAlign w:val="top"/>
          </w:tcPr>
          <w:p w14:paraId="074D02A6">
            <w:pPr>
              <w:pStyle w:val="6"/>
              <w:spacing w:before="43" w:line="199" w:lineRule="auto"/>
              <w:ind w:left="811"/>
              <w:rPr>
                <w:rFonts w:ascii="微软雅黑" w:hAnsi="微软雅黑" w:eastAsia="微软雅黑" w:cs="微软雅黑"/>
                <w:sz w:val="20"/>
                <w:szCs w:val="20"/>
              </w:rPr>
            </w:pPr>
            <w:r>
              <w:rPr>
                <w:spacing w:val="22"/>
                <w:sz w:val="20"/>
                <w:szCs w:val="20"/>
              </w:rPr>
              <w:t>远期</w:t>
            </w:r>
            <w:r>
              <w:rPr>
                <w:rFonts w:ascii="微软雅黑" w:hAnsi="微软雅黑" w:eastAsia="微软雅黑" w:cs="微软雅黑"/>
                <w:spacing w:val="22"/>
                <w:sz w:val="20"/>
                <w:szCs w:val="20"/>
              </w:rPr>
              <w:t>□</w:t>
            </w:r>
          </w:p>
        </w:tc>
      </w:tr>
      <w:tr w14:paraId="58DB2A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360" w:type="dxa"/>
            <w:vMerge w:val="continue"/>
            <w:tcBorders>
              <w:top w:val="nil"/>
              <w:left w:val="nil"/>
              <w:bottom w:val="nil"/>
            </w:tcBorders>
            <w:vAlign w:val="top"/>
          </w:tcPr>
          <w:p w14:paraId="78EAEB42">
            <w:pPr>
              <w:rPr>
                <w:rFonts w:ascii="Arial"/>
                <w:sz w:val="21"/>
              </w:rPr>
            </w:pPr>
          </w:p>
        </w:tc>
        <w:tc>
          <w:tcPr>
            <w:tcW w:w="1712" w:type="dxa"/>
            <w:vAlign w:val="top"/>
          </w:tcPr>
          <w:p w14:paraId="1AE60FAA">
            <w:pPr>
              <w:pStyle w:val="6"/>
              <w:spacing w:before="41" w:line="228" w:lineRule="auto"/>
              <w:ind w:left="232"/>
              <w:rPr>
                <w:sz w:val="20"/>
                <w:szCs w:val="20"/>
              </w:rPr>
            </w:pPr>
            <w:r>
              <w:rPr>
                <w:spacing w:val="7"/>
                <w:sz w:val="20"/>
                <w:szCs w:val="20"/>
              </w:rPr>
              <w:t>现状调查方法</w:t>
            </w:r>
          </w:p>
        </w:tc>
        <w:tc>
          <w:tcPr>
            <w:tcW w:w="6215" w:type="dxa"/>
            <w:gridSpan w:val="10"/>
            <w:tcBorders>
              <w:right w:val="nil"/>
            </w:tcBorders>
            <w:vAlign w:val="top"/>
          </w:tcPr>
          <w:p w14:paraId="47009E21">
            <w:pPr>
              <w:pStyle w:val="6"/>
              <w:spacing w:before="42" w:line="200" w:lineRule="auto"/>
              <w:ind w:left="630"/>
              <w:rPr>
                <w:rFonts w:ascii="微软雅黑" w:hAnsi="微软雅黑" w:eastAsia="微软雅黑" w:cs="微软雅黑"/>
                <w:sz w:val="20"/>
                <w:szCs w:val="20"/>
              </w:rPr>
            </w:pPr>
            <w:r>
              <w:rPr>
                <w:spacing w:val="12"/>
                <w:sz w:val="20"/>
                <w:szCs w:val="20"/>
              </w:rPr>
              <w:t>现场实测法</w:t>
            </w:r>
            <w:r>
              <w:rPr>
                <w:rFonts w:ascii="微软雅黑" w:hAnsi="微软雅黑" w:eastAsia="微软雅黑" w:cs="微软雅黑"/>
                <w:spacing w:val="12"/>
                <w:sz w:val="20"/>
                <w:szCs w:val="20"/>
              </w:rPr>
              <w:t xml:space="preserve">□   </w:t>
            </w:r>
            <w:r>
              <w:rPr>
                <w:spacing w:val="12"/>
                <w:sz w:val="20"/>
                <w:szCs w:val="20"/>
              </w:rPr>
              <w:t>现场实测加模型计算法</w:t>
            </w:r>
            <w:r>
              <w:rPr>
                <w:rFonts w:ascii="微软雅黑" w:hAnsi="微软雅黑" w:eastAsia="微软雅黑" w:cs="微软雅黑"/>
                <w:spacing w:val="12"/>
                <w:sz w:val="20"/>
                <w:szCs w:val="20"/>
              </w:rPr>
              <w:t xml:space="preserve">□    </w:t>
            </w:r>
            <w:r>
              <w:rPr>
                <w:spacing w:val="12"/>
                <w:sz w:val="20"/>
                <w:szCs w:val="20"/>
              </w:rPr>
              <w:t>收集资料</w:t>
            </w:r>
            <w:r>
              <w:rPr>
                <w:rFonts w:ascii="微软雅黑" w:hAnsi="微软雅黑" w:eastAsia="微软雅黑" w:cs="微软雅黑"/>
                <w:spacing w:val="12"/>
                <w:sz w:val="20"/>
                <w:szCs w:val="20"/>
              </w:rPr>
              <w:t>□</w:t>
            </w:r>
          </w:p>
        </w:tc>
      </w:tr>
      <w:tr w14:paraId="02EA9F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360" w:type="dxa"/>
            <w:vMerge w:val="continue"/>
            <w:tcBorders>
              <w:top w:val="nil"/>
              <w:left w:val="nil"/>
            </w:tcBorders>
            <w:vAlign w:val="top"/>
          </w:tcPr>
          <w:p w14:paraId="6954CF44">
            <w:pPr>
              <w:rPr>
                <w:rFonts w:ascii="Arial"/>
                <w:sz w:val="21"/>
              </w:rPr>
            </w:pPr>
          </w:p>
        </w:tc>
        <w:tc>
          <w:tcPr>
            <w:tcW w:w="1712" w:type="dxa"/>
            <w:vAlign w:val="top"/>
          </w:tcPr>
          <w:p w14:paraId="1684FA11">
            <w:pPr>
              <w:pStyle w:val="6"/>
              <w:spacing w:before="37" w:line="226" w:lineRule="auto"/>
              <w:ind w:left="443"/>
              <w:rPr>
                <w:sz w:val="20"/>
                <w:szCs w:val="20"/>
              </w:rPr>
            </w:pPr>
            <w:r>
              <w:rPr>
                <w:spacing w:val="6"/>
                <w:sz w:val="20"/>
                <w:szCs w:val="20"/>
              </w:rPr>
              <w:t>现状评价</w:t>
            </w:r>
          </w:p>
        </w:tc>
        <w:tc>
          <w:tcPr>
            <w:tcW w:w="1797" w:type="dxa"/>
            <w:gridSpan w:val="2"/>
            <w:vAlign w:val="top"/>
          </w:tcPr>
          <w:p w14:paraId="50B071E7">
            <w:pPr>
              <w:pStyle w:val="6"/>
              <w:spacing w:before="37" w:line="228" w:lineRule="auto"/>
              <w:ind w:left="378"/>
              <w:rPr>
                <w:sz w:val="20"/>
                <w:szCs w:val="20"/>
              </w:rPr>
            </w:pPr>
            <w:r>
              <w:rPr>
                <w:spacing w:val="8"/>
                <w:sz w:val="20"/>
                <w:szCs w:val="20"/>
              </w:rPr>
              <w:t>达标百分比</w:t>
            </w:r>
          </w:p>
        </w:tc>
        <w:tc>
          <w:tcPr>
            <w:tcW w:w="4418" w:type="dxa"/>
            <w:gridSpan w:val="8"/>
            <w:tcBorders>
              <w:right w:val="nil"/>
            </w:tcBorders>
            <w:vAlign w:val="top"/>
          </w:tcPr>
          <w:p w14:paraId="1957931B">
            <w:pPr>
              <w:spacing w:before="73" w:line="195" w:lineRule="auto"/>
              <w:ind w:left="198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w:t>
            </w:r>
          </w:p>
        </w:tc>
      </w:tr>
      <w:tr w14:paraId="6BF013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360" w:type="dxa"/>
            <w:tcBorders>
              <w:left w:val="nil"/>
            </w:tcBorders>
            <w:vAlign w:val="top"/>
          </w:tcPr>
          <w:p w14:paraId="2EEBCD7E">
            <w:pPr>
              <w:pStyle w:val="6"/>
              <w:spacing w:before="35" w:line="228" w:lineRule="auto"/>
              <w:ind w:left="172"/>
              <w:rPr>
                <w:sz w:val="20"/>
                <w:szCs w:val="20"/>
              </w:rPr>
            </w:pPr>
            <w:r>
              <w:rPr>
                <w:spacing w:val="6"/>
                <w:sz w:val="20"/>
                <w:szCs w:val="20"/>
              </w:rPr>
              <w:t>噪声源调查</w:t>
            </w:r>
          </w:p>
        </w:tc>
        <w:tc>
          <w:tcPr>
            <w:tcW w:w="1712" w:type="dxa"/>
            <w:vAlign w:val="top"/>
          </w:tcPr>
          <w:p w14:paraId="42EB5D28">
            <w:pPr>
              <w:pStyle w:val="6"/>
              <w:spacing w:before="35" w:line="228" w:lineRule="auto"/>
              <w:ind w:left="135"/>
              <w:rPr>
                <w:sz w:val="20"/>
                <w:szCs w:val="20"/>
              </w:rPr>
            </w:pPr>
            <w:r>
              <w:rPr>
                <w:spacing w:val="7"/>
                <w:sz w:val="20"/>
                <w:szCs w:val="20"/>
              </w:rPr>
              <w:t>噪声源调查方法</w:t>
            </w:r>
          </w:p>
        </w:tc>
        <w:tc>
          <w:tcPr>
            <w:tcW w:w="6215" w:type="dxa"/>
            <w:gridSpan w:val="10"/>
            <w:tcBorders>
              <w:right w:val="nil"/>
            </w:tcBorders>
            <w:vAlign w:val="top"/>
          </w:tcPr>
          <w:p w14:paraId="75D49AF1">
            <w:pPr>
              <w:pStyle w:val="6"/>
              <w:spacing w:before="34" w:line="205" w:lineRule="auto"/>
              <w:ind w:left="733"/>
              <w:rPr>
                <w:rFonts w:ascii="微软雅黑" w:hAnsi="微软雅黑" w:eastAsia="微软雅黑" w:cs="微软雅黑"/>
                <w:sz w:val="20"/>
                <w:szCs w:val="20"/>
              </w:rPr>
            </w:pPr>
            <w:r>
              <w:rPr>
                <w:spacing w:val="11"/>
                <w:sz w:val="20"/>
                <w:szCs w:val="20"/>
              </w:rPr>
              <w:t>现场实测</w:t>
            </w:r>
            <w:r>
              <w:rPr>
                <w:rFonts w:ascii="微软雅黑" w:hAnsi="微软雅黑" w:eastAsia="微软雅黑" w:cs="微软雅黑"/>
                <w:spacing w:val="11"/>
                <w:sz w:val="20"/>
                <w:szCs w:val="20"/>
              </w:rPr>
              <w:t>□</w:t>
            </w:r>
            <w:r>
              <w:rPr>
                <w:rFonts w:ascii="微软雅黑" w:hAnsi="微软雅黑" w:eastAsia="微软雅黑" w:cs="微软雅黑"/>
                <w:spacing w:val="3"/>
                <w:sz w:val="20"/>
                <w:szCs w:val="20"/>
              </w:rPr>
              <w:t xml:space="preserve">              </w:t>
            </w:r>
            <w:r>
              <w:rPr>
                <w:spacing w:val="11"/>
                <w:sz w:val="20"/>
                <w:szCs w:val="20"/>
              </w:rPr>
              <w:t>已有资料</w:t>
            </w:r>
            <w:r>
              <w:rPr>
                <w:rFonts w:ascii="微软雅黑" w:hAnsi="微软雅黑" w:eastAsia="微软雅黑" w:cs="微软雅黑"/>
                <w:spacing w:val="11"/>
                <w:sz w:val="20"/>
                <w:szCs w:val="20"/>
              </w:rPr>
              <w:t xml:space="preserve">□             </w:t>
            </w:r>
            <w:r>
              <w:rPr>
                <w:spacing w:val="11"/>
                <w:sz w:val="20"/>
                <w:szCs w:val="20"/>
              </w:rPr>
              <w:t>研究成果</w:t>
            </w:r>
            <w:r>
              <w:rPr>
                <w:rFonts w:ascii="微软雅黑" w:hAnsi="微软雅黑" w:eastAsia="微软雅黑" w:cs="微软雅黑"/>
                <w:spacing w:val="11"/>
                <w:sz w:val="20"/>
                <w:szCs w:val="20"/>
              </w:rPr>
              <w:t>□</w:t>
            </w:r>
          </w:p>
        </w:tc>
      </w:tr>
      <w:tr w14:paraId="03A6F1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 w:hRule="atLeast"/>
        </w:trPr>
        <w:tc>
          <w:tcPr>
            <w:tcW w:w="1360" w:type="dxa"/>
            <w:vMerge w:val="restart"/>
            <w:tcBorders>
              <w:left w:val="nil"/>
              <w:bottom w:val="nil"/>
            </w:tcBorders>
            <w:vAlign w:val="top"/>
          </w:tcPr>
          <w:p w14:paraId="6C9C1566">
            <w:pPr>
              <w:spacing w:line="320" w:lineRule="auto"/>
              <w:rPr>
                <w:rFonts w:ascii="Arial"/>
                <w:sz w:val="21"/>
              </w:rPr>
            </w:pPr>
          </w:p>
          <w:p w14:paraId="402725C1">
            <w:pPr>
              <w:spacing w:line="321" w:lineRule="auto"/>
              <w:rPr>
                <w:rFonts w:ascii="Arial"/>
                <w:sz w:val="21"/>
              </w:rPr>
            </w:pPr>
          </w:p>
          <w:p w14:paraId="014F5507">
            <w:pPr>
              <w:pStyle w:val="6"/>
              <w:spacing w:before="65" w:line="228" w:lineRule="auto"/>
              <w:ind w:left="167"/>
              <w:rPr>
                <w:sz w:val="20"/>
                <w:szCs w:val="20"/>
              </w:rPr>
            </w:pPr>
            <w:r>
              <w:rPr>
                <w:spacing w:val="7"/>
                <w:sz w:val="20"/>
                <w:szCs w:val="20"/>
              </w:rPr>
              <w:t>声环境影响</w:t>
            </w:r>
          </w:p>
          <w:p w14:paraId="0DF3AD54">
            <w:pPr>
              <w:pStyle w:val="6"/>
              <w:spacing w:before="79" w:line="226" w:lineRule="auto"/>
              <w:ind w:left="164"/>
              <w:outlineLvl w:val="1"/>
              <w:rPr>
                <w:sz w:val="20"/>
                <w:szCs w:val="20"/>
              </w:rPr>
            </w:pPr>
            <w:r>
              <w:rPr>
                <w:spacing w:val="7"/>
                <w:sz w:val="20"/>
                <w:szCs w:val="20"/>
              </w:rPr>
              <w:t>预测与评价</w:t>
            </w:r>
          </w:p>
        </w:tc>
        <w:tc>
          <w:tcPr>
            <w:tcW w:w="1712" w:type="dxa"/>
            <w:vAlign w:val="top"/>
          </w:tcPr>
          <w:p w14:paraId="12EE8933">
            <w:pPr>
              <w:pStyle w:val="6"/>
              <w:spacing w:before="33" w:line="212" w:lineRule="auto"/>
              <w:ind w:left="443"/>
              <w:rPr>
                <w:sz w:val="20"/>
                <w:szCs w:val="20"/>
              </w:rPr>
            </w:pPr>
            <w:r>
              <w:rPr>
                <w:spacing w:val="6"/>
                <w:sz w:val="20"/>
                <w:szCs w:val="20"/>
              </w:rPr>
              <w:t>预测模型</w:t>
            </w:r>
          </w:p>
        </w:tc>
        <w:tc>
          <w:tcPr>
            <w:tcW w:w="6215" w:type="dxa"/>
            <w:gridSpan w:val="10"/>
            <w:tcBorders>
              <w:right w:val="nil"/>
            </w:tcBorders>
            <w:vAlign w:val="top"/>
          </w:tcPr>
          <w:p w14:paraId="32865070">
            <w:pPr>
              <w:pStyle w:val="6"/>
              <w:spacing w:before="32" w:line="161" w:lineRule="auto"/>
              <w:ind w:left="1462"/>
              <w:rPr>
                <w:rFonts w:ascii="微软雅黑" w:hAnsi="微软雅黑" w:eastAsia="微软雅黑" w:cs="微软雅黑"/>
                <w:sz w:val="20"/>
                <w:szCs w:val="20"/>
              </w:rPr>
            </w:pPr>
            <w:r>
              <w:rPr>
                <w:spacing w:val="16"/>
                <w:sz w:val="20"/>
                <w:szCs w:val="20"/>
              </w:rPr>
              <w:t>导则推荐模型</w:t>
            </w:r>
            <w:r>
              <w:rPr>
                <w:rFonts w:ascii="微软雅黑" w:hAnsi="微软雅黑" w:eastAsia="微软雅黑" w:cs="微软雅黑"/>
                <w:spacing w:val="16"/>
                <w:sz w:val="20"/>
                <w:szCs w:val="20"/>
              </w:rPr>
              <w:t>□</w:t>
            </w:r>
            <w:r>
              <w:rPr>
                <w:rFonts w:ascii="微软雅黑" w:hAnsi="微软雅黑" w:eastAsia="微软雅黑" w:cs="微软雅黑"/>
                <w:spacing w:val="1"/>
                <w:sz w:val="20"/>
                <w:szCs w:val="20"/>
              </w:rPr>
              <w:t xml:space="preserve">                     </w:t>
            </w:r>
            <w:r>
              <w:rPr>
                <w:spacing w:val="16"/>
                <w:sz w:val="20"/>
                <w:szCs w:val="20"/>
              </w:rPr>
              <w:t>其它</w:t>
            </w:r>
            <w:r>
              <w:rPr>
                <w:rFonts w:ascii="微软雅黑" w:hAnsi="微软雅黑" w:eastAsia="微软雅黑" w:cs="微软雅黑"/>
                <w:spacing w:val="16"/>
                <w:sz w:val="20"/>
                <w:szCs w:val="20"/>
              </w:rPr>
              <w:t>□</w:t>
            </w:r>
          </w:p>
        </w:tc>
      </w:tr>
      <w:tr w14:paraId="343DBF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360" w:type="dxa"/>
            <w:vMerge w:val="continue"/>
            <w:tcBorders>
              <w:top w:val="nil"/>
              <w:left w:val="nil"/>
              <w:bottom w:val="nil"/>
            </w:tcBorders>
            <w:vAlign w:val="top"/>
          </w:tcPr>
          <w:p w14:paraId="5116D7F4">
            <w:pPr>
              <w:rPr>
                <w:rFonts w:ascii="Arial"/>
                <w:sz w:val="21"/>
              </w:rPr>
            </w:pPr>
          </w:p>
        </w:tc>
        <w:tc>
          <w:tcPr>
            <w:tcW w:w="1712" w:type="dxa"/>
            <w:vAlign w:val="top"/>
          </w:tcPr>
          <w:p w14:paraId="7D13AC47">
            <w:pPr>
              <w:pStyle w:val="6"/>
              <w:spacing w:before="92" w:line="217" w:lineRule="auto"/>
              <w:ind w:left="443"/>
              <w:rPr>
                <w:sz w:val="20"/>
                <w:szCs w:val="20"/>
              </w:rPr>
            </w:pPr>
            <w:r>
              <w:rPr>
                <w:spacing w:val="6"/>
                <w:sz w:val="20"/>
                <w:szCs w:val="20"/>
              </w:rPr>
              <w:t>预测范围</w:t>
            </w:r>
          </w:p>
        </w:tc>
        <w:tc>
          <w:tcPr>
            <w:tcW w:w="6215" w:type="dxa"/>
            <w:gridSpan w:val="10"/>
            <w:tcBorders>
              <w:right w:val="nil"/>
            </w:tcBorders>
            <w:vAlign w:val="top"/>
          </w:tcPr>
          <w:p w14:paraId="119140F1">
            <w:pPr>
              <w:pStyle w:val="6"/>
              <w:spacing w:before="93" w:line="164" w:lineRule="auto"/>
              <w:ind w:left="852"/>
              <w:rPr>
                <w:rFonts w:ascii="微软雅黑" w:hAnsi="微软雅黑" w:eastAsia="微软雅黑" w:cs="微软雅黑"/>
                <w:sz w:val="20"/>
                <w:szCs w:val="20"/>
              </w:rPr>
            </w:pPr>
            <w:r>
              <w:rPr>
                <w:rFonts w:ascii="Times New Roman" w:hAnsi="Times New Roman" w:eastAsia="Times New Roman" w:cs="Times New Roman"/>
                <w:spacing w:val="9"/>
                <w:sz w:val="20"/>
                <w:szCs w:val="20"/>
              </w:rPr>
              <w:t>200m</w:t>
            </w:r>
            <w:r>
              <w:rPr>
                <w:rFonts w:ascii="微软雅黑" w:hAnsi="微软雅黑" w:eastAsia="微软雅黑" w:cs="微软雅黑"/>
                <w:spacing w:val="9"/>
                <w:sz w:val="20"/>
                <w:szCs w:val="20"/>
              </w:rPr>
              <w:t xml:space="preserve">□             </w:t>
            </w:r>
            <w:r>
              <w:rPr>
                <w:spacing w:val="9"/>
                <w:sz w:val="20"/>
                <w:szCs w:val="20"/>
              </w:rPr>
              <w:t>大于</w:t>
            </w:r>
            <w:r>
              <w:rPr>
                <w:rFonts w:ascii="Times New Roman" w:hAnsi="Times New Roman" w:eastAsia="Times New Roman" w:cs="Times New Roman"/>
                <w:spacing w:val="9"/>
                <w:sz w:val="20"/>
                <w:szCs w:val="20"/>
              </w:rPr>
              <w:t>200m</w:t>
            </w:r>
            <w:r>
              <w:rPr>
                <w:rFonts w:ascii="微软雅黑" w:hAnsi="微软雅黑" w:eastAsia="微软雅黑" w:cs="微软雅黑"/>
                <w:spacing w:val="9"/>
                <w:sz w:val="20"/>
                <w:szCs w:val="20"/>
              </w:rPr>
              <w:t xml:space="preserve">□             </w:t>
            </w:r>
            <w:r>
              <w:rPr>
                <w:spacing w:val="9"/>
                <w:sz w:val="20"/>
                <w:szCs w:val="20"/>
              </w:rPr>
              <w:t>小于</w:t>
            </w:r>
            <w:r>
              <w:rPr>
                <w:rFonts w:ascii="Times New Roman" w:hAnsi="Times New Roman" w:eastAsia="Times New Roman" w:cs="Times New Roman"/>
                <w:spacing w:val="9"/>
                <w:sz w:val="20"/>
                <w:szCs w:val="20"/>
              </w:rPr>
              <w:t>200m</w:t>
            </w:r>
            <w:r>
              <w:rPr>
                <w:rFonts w:ascii="微软雅黑" w:hAnsi="微软雅黑" w:eastAsia="微软雅黑" w:cs="微软雅黑"/>
                <w:spacing w:val="9"/>
                <w:sz w:val="20"/>
                <w:szCs w:val="20"/>
              </w:rPr>
              <w:t>□</w:t>
            </w:r>
          </w:p>
        </w:tc>
      </w:tr>
      <w:tr w14:paraId="53D0F8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360" w:type="dxa"/>
            <w:vMerge w:val="continue"/>
            <w:tcBorders>
              <w:top w:val="nil"/>
              <w:left w:val="nil"/>
              <w:bottom w:val="nil"/>
            </w:tcBorders>
            <w:vAlign w:val="top"/>
          </w:tcPr>
          <w:p w14:paraId="76633AA4">
            <w:pPr>
              <w:rPr>
                <w:rFonts w:ascii="Arial"/>
                <w:sz w:val="21"/>
              </w:rPr>
            </w:pPr>
          </w:p>
        </w:tc>
        <w:tc>
          <w:tcPr>
            <w:tcW w:w="1712" w:type="dxa"/>
            <w:vAlign w:val="top"/>
          </w:tcPr>
          <w:p w14:paraId="7EA6AE35">
            <w:pPr>
              <w:pStyle w:val="6"/>
              <w:spacing w:before="90" w:line="219" w:lineRule="auto"/>
              <w:ind w:left="443"/>
              <w:rPr>
                <w:sz w:val="20"/>
                <w:szCs w:val="20"/>
              </w:rPr>
            </w:pPr>
            <w:r>
              <w:rPr>
                <w:spacing w:val="6"/>
                <w:sz w:val="20"/>
                <w:szCs w:val="20"/>
              </w:rPr>
              <w:t>预测因子</w:t>
            </w:r>
          </w:p>
        </w:tc>
        <w:tc>
          <w:tcPr>
            <w:tcW w:w="6215" w:type="dxa"/>
            <w:gridSpan w:val="10"/>
            <w:tcBorders>
              <w:right w:val="nil"/>
            </w:tcBorders>
            <w:vAlign w:val="top"/>
          </w:tcPr>
          <w:p w14:paraId="28427B26">
            <w:pPr>
              <w:pStyle w:val="6"/>
              <w:spacing w:before="90" w:line="166" w:lineRule="auto"/>
              <w:ind w:left="267"/>
              <w:rPr>
                <w:rFonts w:ascii="微软雅黑" w:hAnsi="微软雅黑" w:eastAsia="微软雅黑" w:cs="微软雅黑"/>
                <w:sz w:val="20"/>
                <w:szCs w:val="20"/>
              </w:rPr>
            </w:pPr>
            <w:r>
              <w:rPr>
                <w:spacing w:val="14"/>
                <w:sz w:val="20"/>
                <w:szCs w:val="20"/>
              </w:rPr>
              <w:t>等效连续</w:t>
            </w:r>
            <w:r>
              <w:rPr>
                <w:rFonts w:ascii="Times New Roman" w:hAnsi="Times New Roman" w:eastAsia="Times New Roman" w:cs="Times New Roman"/>
                <w:spacing w:val="14"/>
                <w:sz w:val="20"/>
                <w:szCs w:val="20"/>
              </w:rPr>
              <w:t>A</w:t>
            </w:r>
            <w:r>
              <w:rPr>
                <w:spacing w:val="14"/>
                <w:sz w:val="20"/>
                <w:szCs w:val="20"/>
              </w:rPr>
              <w:t>声级</w:t>
            </w:r>
            <w:r>
              <w:rPr>
                <w:rFonts w:ascii="微软雅黑" w:hAnsi="微软雅黑" w:eastAsia="微软雅黑" w:cs="微软雅黑"/>
                <w:spacing w:val="14"/>
                <w:sz w:val="20"/>
                <w:szCs w:val="20"/>
              </w:rPr>
              <w:t xml:space="preserve">□   </w:t>
            </w:r>
            <w:r>
              <w:rPr>
                <w:spacing w:val="14"/>
                <w:sz w:val="20"/>
                <w:szCs w:val="20"/>
              </w:rPr>
              <w:t>最大</w:t>
            </w:r>
            <w:r>
              <w:rPr>
                <w:rFonts w:ascii="Times New Roman" w:hAnsi="Times New Roman" w:eastAsia="Times New Roman" w:cs="Times New Roman"/>
                <w:spacing w:val="14"/>
                <w:sz w:val="20"/>
                <w:szCs w:val="20"/>
              </w:rPr>
              <w:t>A</w:t>
            </w:r>
            <w:r>
              <w:rPr>
                <w:spacing w:val="14"/>
                <w:sz w:val="20"/>
                <w:szCs w:val="20"/>
              </w:rPr>
              <w:t>声级</w:t>
            </w:r>
            <w:r>
              <w:rPr>
                <w:rFonts w:ascii="微软雅黑" w:hAnsi="微软雅黑" w:eastAsia="微软雅黑" w:cs="微软雅黑"/>
                <w:spacing w:val="14"/>
                <w:sz w:val="20"/>
                <w:szCs w:val="20"/>
              </w:rPr>
              <w:t xml:space="preserve">□   </w:t>
            </w:r>
            <w:r>
              <w:rPr>
                <w:spacing w:val="14"/>
                <w:sz w:val="20"/>
                <w:szCs w:val="20"/>
              </w:rPr>
              <w:t>计权等效连续感觉噪声级</w:t>
            </w:r>
            <w:r>
              <w:rPr>
                <w:rFonts w:ascii="微软雅黑" w:hAnsi="微软雅黑" w:eastAsia="微软雅黑" w:cs="微软雅黑"/>
                <w:spacing w:val="14"/>
                <w:sz w:val="20"/>
                <w:szCs w:val="20"/>
              </w:rPr>
              <w:t>□</w:t>
            </w:r>
          </w:p>
        </w:tc>
      </w:tr>
      <w:tr w14:paraId="5D8F9E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360" w:type="dxa"/>
            <w:vMerge w:val="continue"/>
            <w:tcBorders>
              <w:top w:val="nil"/>
              <w:left w:val="nil"/>
              <w:bottom w:val="nil"/>
            </w:tcBorders>
            <w:vAlign w:val="top"/>
          </w:tcPr>
          <w:p w14:paraId="03DDE21A">
            <w:pPr>
              <w:rPr>
                <w:rFonts w:ascii="Arial"/>
                <w:sz w:val="21"/>
              </w:rPr>
            </w:pPr>
          </w:p>
        </w:tc>
        <w:tc>
          <w:tcPr>
            <w:tcW w:w="1712" w:type="dxa"/>
            <w:vAlign w:val="top"/>
          </w:tcPr>
          <w:p w14:paraId="0EC481F7">
            <w:pPr>
              <w:pStyle w:val="6"/>
              <w:spacing w:before="88" w:line="221" w:lineRule="auto"/>
              <w:ind w:left="127"/>
              <w:rPr>
                <w:sz w:val="20"/>
                <w:szCs w:val="20"/>
              </w:rPr>
            </w:pPr>
            <w:r>
              <w:rPr>
                <w:spacing w:val="8"/>
                <w:sz w:val="20"/>
                <w:szCs w:val="20"/>
              </w:rPr>
              <w:t>厂界噪声贡献值</w:t>
            </w:r>
          </w:p>
        </w:tc>
        <w:tc>
          <w:tcPr>
            <w:tcW w:w="6215" w:type="dxa"/>
            <w:gridSpan w:val="10"/>
            <w:tcBorders>
              <w:right w:val="nil"/>
            </w:tcBorders>
            <w:vAlign w:val="top"/>
          </w:tcPr>
          <w:p w14:paraId="2D1D5AE2">
            <w:pPr>
              <w:pStyle w:val="6"/>
              <w:spacing w:before="89" w:line="167" w:lineRule="auto"/>
              <w:ind w:left="1770"/>
              <w:rPr>
                <w:rFonts w:ascii="微软雅黑" w:hAnsi="微软雅黑" w:eastAsia="微软雅黑" w:cs="微软雅黑"/>
                <w:sz w:val="20"/>
                <w:szCs w:val="20"/>
              </w:rPr>
            </w:pPr>
            <w:r>
              <w:rPr>
                <w:spacing w:val="11"/>
                <w:sz w:val="20"/>
                <w:szCs w:val="20"/>
              </w:rPr>
              <w:t>达标</w:t>
            </w:r>
            <w:r>
              <w:rPr>
                <w:rFonts w:ascii="微软雅黑" w:hAnsi="微软雅黑" w:eastAsia="微软雅黑" w:cs="微软雅黑"/>
                <w:spacing w:val="11"/>
                <w:sz w:val="20"/>
                <w:szCs w:val="20"/>
              </w:rPr>
              <w:t xml:space="preserve">□                   </w:t>
            </w:r>
            <w:r>
              <w:rPr>
                <w:spacing w:val="11"/>
                <w:sz w:val="20"/>
                <w:szCs w:val="20"/>
              </w:rPr>
              <w:t>不达标</w:t>
            </w:r>
            <w:r>
              <w:rPr>
                <w:rFonts w:ascii="微软雅黑" w:hAnsi="微软雅黑" w:eastAsia="微软雅黑" w:cs="微软雅黑"/>
                <w:spacing w:val="11"/>
                <w:sz w:val="20"/>
                <w:szCs w:val="20"/>
              </w:rPr>
              <w:t>□</w:t>
            </w:r>
          </w:p>
        </w:tc>
      </w:tr>
      <w:tr w14:paraId="5DCCFF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7" w:hRule="atLeast"/>
        </w:trPr>
        <w:tc>
          <w:tcPr>
            <w:tcW w:w="1360" w:type="dxa"/>
            <w:vMerge w:val="continue"/>
            <w:tcBorders>
              <w:top w:val="nil"/>
              <w:left w:val="nil"/>
            </w:tcBorders>
            <w:vAlign w:val="top"/>
          </w:tcPr>
          <w:p w14:paraId="4401A30A">
            <w:pPr>
              <w:rPr>
                <w:rFonts w:ascii="Arial"/>
                <w:sz w:val="21"/>
              </w:rPr>
            </w:pPr>
          </w:p>
        </w:tc>
        <w:tc>
          <w:tcPr>
            <w:tcW w:w="1712" w:type="dxa"/>
            <w:vAlign w:val="top"/>
          </w:tcPr>
          <w:p w14:paraId="1F3B244E">
            <w:pPr>
              <w:pStyle w:val="6"/>
              <w:spacing w:before="85" w:line="264" w:lineRule="auto"/>
              <w:ind w:left="445" w:right="120" w:hanging="316"/>
              <w:rPr>
                <w:sz w:val="20"/>
                <w:szCs w:val="20"/>
              </w:rPr>
            </w:pPr>
            <w:r>
              <w:rPr>
                <w:spacing w:val="8"/>
                <w:sz w:val="20"/>
                <w:szCs w:val="20"/>
              </w:rPr>
              <w:t>声环境保护目标</w:t>
            </w:r>
            <w:r>
              <w:rPr>
                <w:sz w:val="20"/>
                <w:szCs w:val="20"/>
              </w:rPr>
              <w:t xml:space="preserve"> </w:t>
            </w:r>
            <w:r>
              <w:rPr>
                <w:spacing w:val="6"/>
                <w:sz w:val="20"/>
                <w:szCs w:val="20"/>
              </w:rPr>
              <w:t>处噪声值</w:t>
            </w:r>
          </w:p>
        </w:tc>
        <w:tc>
          <w:tcPr>
            <w:tcW w:w="6215" w:type="dxa"/>
            <w:gridSpan w:val="10"/>
            <w:tcBorders>
              <w:right w:val="nil"/>
            </w:tcBorders>
            <w:vAlign w:val="top"/>
          </w:tcPr>
          <w:p w14:paraId="5082F0F3">
            <w:pPr>
              <w:pStyle w:val="6"/>
              <w:spacing w:before="247" w:line="205" w:lineRule="auto"/>
              <w:ind w:left="1770"/>
              <w:rPr>
                <w:rFonts w:ascii="微软雅黑" w:hAnsi="微软雅黑" w:eastAsia="微软雅黑" w:cs="微软雅黑"/>
                <w:sz w:val="20"/>
                <w:szCs w:val="20"/>
              </w:rPr>
            </w:pPr>
            <w:r>
              <w:rPr>
                <w:spacing w:val="11"/>
                <w:sz w:val="20"/>
                <w:szCs w:val="20"/>
              </w:rPr>
              <w:t>达标</w:t>
            </w:r>
            <w:r>
              <w:rPr>
                <w:rFonts w:ascii="微软雅黑" w:hAnsi="微软雅黑" w:eastAsia="微软雅黑" w:cs="微软雅黑"/>
                <w:spacing w:val="11"/>
                <w:sz w:val="20"/>
                <w:szCs w:val="20"/>
              </w:rPr>
              <w:t xml:space="preserve">□                   </w:t>
            </w:r>
            <w:r>
              <w:rPr>
                <w:spacing w:val="11"/>
                <w:sz w:val="20"/>
                <w:szCs w:val="20"/>
              </w:rPr>
              <w:t>不达标</w:t>
            </w:r>
            <w:r>
              <w:rPr>
                <w:rFonts w:ascii="微软雅黑" w:hAnsi="微软雅黑" w:eastAsia="微软雅黑" w:cs="微软雅黑"/>
                <w:spacing w:val="11"/>
                <w:sz w:val="20"/>
                <w:szCs w:val="20"/>
              </w:rPr>
              <w:t>□</w:t>
            </w:r>
          </w:p>
        </w:tc>
      </w:tr>
      <w:tr w14:paraId="5CE123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1360" w:type="dxa"/>
            <w:vMerge w:val="restart"/>
            <w:tcBorders>
              <w:left w:val="nil"/>
              <w:bottom w:val="nil"/>
            </w:tcBorders>
            <w:vAlign w:val="top"/>
          </w:tcPr>
          <w:p w14:paraId="5C38FEA0">
            <w:pPr>
              <w:pStyle w:val="6"/>
              <w:spacing w:before="242" w:line="288" w:lineRule="auto"/>
              <w:ind w:left="582" w:right="153" w:hanging="419"/>
              <w:rPr>
                <w:sz w:val="20"/>
                <w:szCs w:val="20"/>
              </w:rPr>
            </w:pPr>
            <w:r>
              <w:rPr>
                <w:spacing w:val="8"/>
                <w:sz w:val="20"/>
                <w:szCs w:val="20"/>
              </w:rPr>
              <w:t>环境监测计</w:t>
            </w:r>
            <w:r>
              <w:rPr>
                <w:sz w:val="20"/>
                <w:szCs w:val="20"/>
              </w:rPr>
              <w:t xml:space="preserve"> </w:t>
            </w:r>
            <w:r>
              <w:rPr>
                <w:spacing w:val="1"/>
                <w:sz w:val="20"/>
                <w:szCs w:val="20"/>
              </w:rPr>
              <w:t>划</w:t>
            </w:r>
          </w:p>
        </w:tc>
        <w:tc>
          <w:tcPr>
            <w:tcW w:w="1712" w:type="dxa"/>
            <w:vAlign w:val="top"/>
          </w:tcPr>
          <w:p w14:paraId="4CDE3538">
            <w:pPr>
              <w:pStyle w:val="6"/>
              <w:spacing w:before="74" w:line="229" w:lineRule="auto"/>
              <w:ind w:left="442"/>
              <w:rPr>
                <w:sz w:val="20"/>
                <w:szCs w:val="20"/>
              </w:rPr>
            </w:pPr>
            <w:r>
              <w:rPr>
                <w:spacing w:val="7"/>
                <w:sz w:val="20"/>
                <w:szCs w:val="20"/>
              </w:rPr>
              <w:t>排放监测</w:t>
            </w:r>
          </w:p>
        </w:tc>
        <w:tc>
          <w:tcPr>
            <w:tcW w:w="6215" w:type="dxa"/>
            <w:gridSpan w:val="10"/>
            <w:tcBorders>
              <w:right w:val="nil"/>
            </w:tcBorders>
            <w:vAlign w:val="top"/>
          </w:tcPr>
          <w:p w14:paraId="26DF3C62">
            <w:pPr>
              <w:pStyle w:val="6"/>
              <w:spacing w:before="74" w:line="177" w:lineRule="auto"/>
              <w:ind w:left="139"/>
              <w:rPr>
                <w:rFonts w:ascii="微软雅黑" w:hAnsi="微软雅黑" w:eastAsia="微软雅黑" w:cs="微软雅黑"/>
                <w:sz w:val="20"/>
                <w:szCs w:val="20"/>
              </w:rPr>
            </w:pPr>
            <w:r>
              <w:rPr>
                <w:spacing w:val="8"/>
                <w:sz w:val="20"/>
                <w:szCs w:val="20"/>
              </w:rPr>
              <w:t>厂界监测</w:t>
            </w:r>
            <w:r>
              <w:rPr>
                <w:rFonts w:ascii="微软雅黑" w:hAnsi="微软雅黑" w:eastAsia="微软雅黑" w:cs="微软雅黑"/>
                <w:spacing w:val="8"/>
                <w:sz w:val="20"/>
                <w:szCs w:val="20"/>
              </w:rPr>
              <w:t xml:space="preserve">□   </w:t>
            </w:r>
            <w:r>
              <w:rPr>
                <w:spacing w:val="8"/>
                <w:sz w:val="20"/>
                <w:szCs w:val="20"/>
              </w:rPr>
              <w:t>固定位置监测</w:t>
            </w:r>
            <w:r>
              <w:rPr>
                <w:rFonts w:ascii="微软雅黑" w:hAnsi="微软雅黑" w:eastAsia="微软雅黑" w:cs="微软雅黑"/>
                <w:spacing w:val="8"/>
                <w:sz w:val="20"/>
                <w:szCs w:val="20"/>
              </w:rPr>
              <w:t xml:space="preserve">□    </w:t>
            </w:r>
            <w:r>
              <w:rPr>
                <w:spacing w:val="8"/>
                <w:sz w:val="20"/>
                <w:szCs w:val="20"/>
              </w:rPr>
              <w:t>自动监测</w:t>
            </w:r>
            <w:r>
              <w:rPr>
                <w:rFonts w:ascii="微软雅黑" w:hAnsi="微软雅黑" w:eastAsia="微软雅黑" w:cs="微软雅黑"/>
                <w:spacing w:val="8"/>
                <w:sz w:val="20"/>
                <w:szCs w:val="20"/>
              </w:rPr>
              <w:t xml:space="preserve">□   </w:t>
            </w:r>
            <w:r>
              <w:rPr>
                <w:spacing w:val="8"/>
                <w:sz w:val="20"/>
                <w:szCs w:val="20"/>
              </w:rPr>
              <w:t>手动监测</w:t>
            </w:r>
            <w:r>
              <w:rPr>
                <w:rFonts w:ascii="微软雅黑" w:hAnsi="微软雅黑" w:eastAsia="微软雅黑" w:cs="微软雅黑"/>
                <w:spacing w:val="8"/>
                <w:sz w:val="20"/>
                <w:szCs w:val="20"/>
              </w:rPr>
              <w:t>□</w:t>
            </w:r>
            <w:r>
              <w:rPr>
                <w:rFonts w:ascii="微软雅黑" w:hAnsi="微软雅黑" w:eastAsia="微软雅黑" w:cs="微软雅黑"/>
                <w:spacing w:val="9"/>
                <w:sz w:val="20"/>
                <w:szCs w:val="20"/>
              </w:rPr>
              <w:t xml:space="preserve">   </w:t>
            </w:r>
            <w:r>
              <w:rPr>
                <w:spacing w:val="8"/>
                <w:sz w:val="20"/>
                <w:szCs w:val="20"/>
              </w:rPr>
              <w:t>无监测</w:t>
            </w:r>
            <w:r>
              <w:rPr>
                <w:rFonts w:ascii="微软雅黑" w:hAnsi="微软雅黑" w:eastAsia="微软雅黑" w:cs="微软雅黑"/>
                <w:spacing w:val="8"/>
                <w:sz w:val="20"/>
                <w:szCs w:val="20"/>
              </w:rPr>
              <w:t>□</w:t>
            </w:r>
          </w:p>
        </w:tc>
      </w:tr>
      <w:tr w14:paraId="34AE6D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2" w:hRule="atLeast"/>
        </w:trPr>
        <w:tc>
          <w:tcPr>
            <w:tcW w:w="1360" w:type="dxa"/>
            <w:vMerge w:val="continue"/>
            <w:tcBorders>
              <w:top w:val="nil"/>
              <w:left w:val="nil"/>
            </w:tcBorders>
            <w:vAlign w:val="top"/>
          </w:tcPr>
          <w:p w14:paraId="41BE2D3F">
            <w:pPr>
              <w:rPr>
                <w:rFonts w:ascii="Arial"/>
                <w:sz w:val="21"/>
              </w:rPr>
            </w:pPr>
          </w:p>
        </w:tc>
        <w:tc>
          <w:tcPr>
            <w:tcW w:w="1712" w:type="dxa"/>
            <w:vAlign w:val="top"/>
          </w:tcPr>
          <w:p w14:paraId="7D9AD7B7">
            <w:pPr>
              <w:pStyle w:val="6"/>
              <w:spacing w:before="69" w:line="269" w:lineRule="auto"/>
              <w:ind w:left="340" w:right="120" w:hanging="211"/>
              <w:rPr>
                <w:sz w:val="20"/>
                <w:szCs w:val="20"/>
              </w:rPr>
            </w:pPr>
            <w:r>
              <w:rPr>
                <w:spacing w:val="8"/>
                <w:sz w:val="20"/>
                <w:szCs w:val="20"/>
              </w:rPr>
              <w:t>声环境保护目标</w:t>
            </w:r>
            <w:r>
              <w:rPr>
                <w:sz w:val="20"/>
                <w:szCs w:val="20"/>
              </w:rPr>
              <w:t xml:space="preserve"> </w:t>
            </w:r>
            <w:r>
              <w:rPr>
                <w:spacing w:val="7"/>
                <w:sz w:val="20"/>
                <w:szCs w:val="20"/>
              </w:rPr>
              <w:t>处噪声监测</w:t>
            </w:r>
          </w:p>
        </w:tc>
        <w:tc>
          <w:tcPr>
            <w:tcW w:w="2517" w:type="dxa"/>
            <w:gridSpan w:val="4"/>
            <w:vAlign w:val="top"/>
          </w:tcPr>
          <w:p w14:paraId="232CDC75">
            <w:pPr>
              <w:pStyle w:val="6"/>
              <w:spacing w:before="233" w:line="228" w:lineRule="auto"/>
              <w:ind w:left="528"/>
              <w:rPr>
                <w:sz w:val="20"/>
                <w:szCs w:val="20"/>
              </w:rPr>
            </w:pPr>
            <w:r>
              <w:rPr>
                <w:spacing w:val="1"/>
                <w:sz w:val="20"/>
                <w:szCs w:val="20"/>
              </w:rPr>
              <w:t>监测因子：</w:t>
            </w:r>
            <w:r>
              <w:rPr>
                <w:spacing w:val="33"/>
                <w:sz w:val="20"/>
                <w:szCs w:val="20"/>
              </w:rPr>
              <w:t xml:space="preserve"> </w:t>
            </w:r>
            <w:r>
              <w:rPr>
                <w:spacing w:val="1"/>
                <w:sz w:val="20"/>
                <w:szCs w:val="20"/>
              </w:rPr>
              <w:t>()</w:t>
            </w:r>
          </w:p>
        </w:tc>
        <w:tc>
          <w:tcPr>
            <w:tcW w:w="1836" w:type="dxa"/>
            <w:gridSpan w:val="4"/>
            <w:vAlign w:val="top"/>
          </w:tcPr>
          <w:p w14:paraId="208230A9">
            <w:pPr>
              <w:pStyle w:val="6"/>
              <w:spacing w:before="232" w:line="228" w:lineRule="auto"/>
              <w:ind w:left="114"/>
              <w:rPr>
                <w:sz w:val="20"/>
                <w:szCs w:val="20"/>
              </w:rPr>
            </w:pPr>
            <w:r>
              <w:rPr>
                <w:sz w:val="20"/>
                <w:szCs w:val="20"/>
              </w:rPr>
              <w:t>监测点位数</w:t>
            </w:r>
            <w:r>
              <w:rPr>
                <w:spacing w:val="18"/>
                <w:sz w:val="20"/>
                <w:szCs w:val="20"/>
              </w:rPr>
              <w:t xml:space="preserve"> </w:t>
            </w:r>
            <w:r>
              <w:rPr>
                <w:sz w:val="20"/>
                <w:szCs w:val="20"/>
              </w:rPr>
              <w:t>(</w:t>
            </w:r>
            <w:r>
              <w:rPr>
                <w:spacing w:val="37"/>
                <w:sz w:val="20"/>
                <w:szCs w:val="20"/>
              </w:rPr>
              <w:t xml:space="preserve">  </w:t>
            </w:r>
            <w:r>
              <w:rPr>
                <w:sz w:val="20"/>
                <w:szCs w:val="20"/>
              </w:rPr>
              <w:t>)</w:t>
            </w:r>
          </w:p>
        </w:tc>
        <w:tc>
          <w:tcPr>
            <w:tcW w:w="1862" w:type="dxa"/>
            <w:gridSpan w:val="2"/>
            <w:tcBorders>
              <w:right w:val="nil"/>
            </w:tcBorders>
            <w:vAlign w:val="top"/>
          </w:tcPr>
          <w:p w14:paraId="53580A00">
            <w:pPr>
              <w:pStyle w:val="6"/>
              <w:spacing w:before="233" w:line="207" w:lineRule="auto"/>
              <w:ind w:left="530"/>
              <w:rPr>
                <w:rFonts w:ascii="微软雅黑" w:hAnsi="微软雅黑" w:eastAsia="微软雅黑" w:cs="微软雅黑"/>
                <w:sz w:val="20"/>
                <w:szCs w:val="20"/>
              </w:rPr>
            </w:pPr>
            <w:r>
              <w:rPr>
                <w:spacing w:val="19"/>
                <w:sz w:val="20"/>
                <w:szCs w:val="20"/>
              </w:rPr>
              <w:t>无监测</w:t>
            </w:r>
            <w:r>
              <w:rPr>
                <w:rFonts w:ascii="微软雅黑" w:hAnsi="微软雅黑" w:eastAsia="微软雅黑" w:cs="微软雅黑"/>
                <w:spacing w:val="19"/>
                <w:sz w:val="20"/>
                <w:szCs w:val="20"/>
              </w:rPr>
              <w:t>□</w:t>
            </w:r>
          </w:p>
        </w:tc>
      </w:tr>
      <w:tr w14:paraId="44CDF2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1360" w:type="dxa"/>
            <w:tcBorders>
              <w:left w:val="nil"/>
            </w:tcBorders>
            <w:vAlign w:val="top"/>
          </w:tcPr>
          <w:p w14:paraId="7811E765">
            <w:pPr>
              <w:pStyle w:val="6"/>
              <w:spacing w:before="68" w:line="226" w:lineRule="auto"/>
              <w:ind w:left="267"/>
              <w:rPr>
                <w:sz w:val="20"/>
                <w:szCs w:val="20"/>
              </w:rPr>
            </w:pPr>
            <w:r>
              <w:rPr>
                <w:spacing w:val="7"/>
                <w:sz w:val="20"/>
                <w:szCs w:val="20"/>
              </w:rPr>
              <w:t>评价结论</w:t>
            </w:r>
          </w:p>
        </w:tc>
        <w:tc>
          <w:tcPr>
            <w:tcW w:w="1712" w:type="dxa"/>
            <w:vAlign w:val="top"/>
          </w:tcPr>
          <w:p w14:paraId="5AC9A8D9">
            <w:pPr>
              <w:pStyle w:val="6"/>
              <w:spacing w:before="68" w:line="228" w:lineRule="auto"/>
              <w:ind w:left="442"/>
              <w:rPr>
                <w:sz w:val="20"/>
                <w:szCs w:val="20"/>
              </w:rPr>
            </w:pPr>
            <w:r>
              <w:rPr>
                <w:spacing w:val="7"/>
                <w:sz w:val="20"/>
                <w:szCs w:val="20"/>
              </w:rPr>
              <w:t>环境影响</w:t>
            </w:r>
          </w:p>
        </w:tc>
        <w:tc>
          <w:tcPr>
            <w:tcW w:w="6215" w:type="dxa"/>
            <w:gridSpan w:val="10"/>
            <w:tcBorders>
              <w:right w:val="nil"/>
            </w:tcBorders>
            <w:vAlign w:val="top"/>
          </w:tcPr>
          <w:p w14:paraId="7F598B62">
            <w:pPr>
              <w:pStyle w:val="6"/>
              <w:spacing w:before="67" w:line="185" w:lineRule="auto"/>
              <w:ind w:left="2139"/>
              <w:rPr>
                <w:rFonts w:ascii="微软雅黑" w:hAnsi="微软雅黑" w:eastAsia="微软雅黑" w:cs="微软雅黑"/>
                <w:sz w:val="20"/>
                <w:szCs w:val="20"/>
              </w:rPr>
            </w:pPr>
            <w:r>
              <w:rPr>
                <w:spacing w:val="13"/>
                <w:sz w:val="20"/>
                <w:szCs w:val="20"/>
              </w:rPr>
              <w:t>可行</w:t>
            </w:r>
            <w:r>
              <w:rPr>
                <w:rFonts w:ascii="微软雅黑" w:hAnsi="微软雅黑" w:eastAsia="微软雅黑" w:cs="微软雅黑"/>
                <w:spacing w:val="13"/>
                <w:sz w:val="20"/>
                <w:szCs w:val="20"/>
              </w:rPr>
              <w:t xml:space="preserve">□        </w:t>
            </w:r>
            <w:r>
              <w:rPr>
                <w:spacing w:val="13"/>
                <w:sz w:val="20"/>
                <w:szCs w:val="20"/>
              </w:rPr>
              <w:t>不可行</w:t>
            </w:r>
            <w:r>
              <w:rPr>
                <w:rFonts w:ascii="微软雅黑" w:hAnsi="微软雅黑" w:eastAsia="微软雅黑" w:cs="微软雅黑"/>
                <w:spacing w:val="13"/>
                <w:sz w:val="20"/>
                <w:szCs w:val="20"/>
              </w:rPr>
              <w:t>□</w:t>
            </w:r>
          </w:p>
        </w:tc>
      </w:tr>
    </w:tbl>
    <w:p w14:paraId="318DB7D2">
      <w:pPr>
        <w:spacing w:before="58" w:line="190" w:lineRule="auto"/>
        <w:ind w:left="115"/>
        <w:rPr>
          <w:rFonts w:ascii="宋体" w:hAnsi="宋体" w:eastAsia="宋体" w:cs="宋体"/>
          <w:sz w:val="20"/>
          <w:szCs w:val="20"/>
        </w:rPr>
      </w:pPr>
      <w:r>
        <w:rPr>
          <w:rFonts w:ascii="宋体" w:hAnsi="宋体" w:eastAsia="宋体" w:cs="宋体"/>
          <w:spacing w:val="3"/>
          <w:sz w:val="20"/>
          <w:szCs w:val="20"/>
        </w:rPr>
        <w:t>注：</w:t>
      </w:r>
      <w:r>
        <w:rPr>
          <w:rFonts w:ascii="Times New Roman" w:hAnsi="Times New Roman" w:eastAsia="Times New Roman" w:cs="Times New Roman"/>
          <w:spacing w:val="3"/>
          <w:sz w:val="20"/>
          <w:szCs w:val="20"/>
        </w:rPr>
        <w:t>ℼ</w:t>
      </w:r>
      <w:r>
        <w:rPr>
          <w:rFonts w:ascii="Times New Roman" w:hAnsi="Times New Roman" w:eastAsia="Times New Roman" w:cs="Times New Roman"/>
          <w:spacing w:val="-30"/>
          <w:sz w:val="20"/>
          <w:szCs w:val="20"/>
        </w:rPr>
        <w:t xml:space="preserve"> </w:t>
      </w:r>
      <w:r>
        <w:rPr>
          <w:rFonts w:ascii="微软雅黑" w:hAnsi="微软雅黑" w:eastAsia="微软雅黑" w:cs="微软雅黑"/>
          <w:spacing w:val="3"/>
          <w:sz w:val="20"/>
          <w:szCs w:val="20"/>
        </w:rPr>
        <w:t>□</w:t>
      </w:r>
      <w:r>
        <w:rPr>
          <w:rFonts w:ascii="Times New Roman" w:hAnsi="Times New Roman" w:eastAsia="Times New Roman" w:cs="Times New Roman"/>
          <w:spacing w:val="3"/>
          <w:sz w:val="20"/>
          <w:szCs w:val="20"/>
        </w:rPr>
        <w:t>”</w:t>
      </w:r>
      <w:r>
        <w:rPr>
          <w:rFonts w:ascii="宋体" w:hAnsi="宋体" w:eastAsia="宋体" w:cs="宋体"/>
          <w:spacing w:val="3"/>
          <w:sz w:val="20"/>
          <w:szCs w:val="20"/>
        </w:rPr>
        <w:t>为勾选项，填</w:t>
      </w:r>
      <w:r>
        <w:rPr>
          <w:rFonts w:ascii="Times New Roman" w:hAnsi="Times New Roman" w:eastAsia="Times New Roman" w:cs="Times New Roman"/>
          <w:spacing w:val="3"/>
          <w:sz w:val="20"/>
          <w:szCs w:val="20"/>
        </w:rPr>
        <w:t>“</w:t>
      </w:r>
      <w:r>
        <w:rPr>
          <w:rFonts w:ascii="微软雅黑" w:hAnsi="微软雅黑" w:eastAsia="微软雅黑" w:cs="微软雅黑"/>
          <w:spacing w:val="3"/>
          <w:sz w:val="20"/>
          <w:szCs w:val="20"/>
        </w:rPr>
        <w:t>√</w:t>
      </w:r>
      <w:r>
        <w:rPr>
          <w:rFonts w:ascii="Times New Roman" w:hAnsi="Times New Roman" w:eastAsia="Times New Roman" w:cs="Times New Roman"/>
          <w:spacing w:val="3"/>
          <w:sz w:val="20"/>
          <w:szCs w:val="20"/>
        </w:rPr>
        <w:t>”</w:t>
      </w:r>
      <w:r>
        <w:rPr>
          <w:rFonts w:ascii="Times New Roman" w:hAnsi="Times New Roman" w:eastAsia="Times New Roman" w:cs="Times New Roman"/>
          <w:spacing w:val="-22"/>
          <w:sz w:val="20"/>
          <w:szCs w:val="20"/>
        </w:rPr>
        <w:t xml:space="preserve"> </w:t>
      </w:r>
      <w:r>
        <w:rPr>
          <w:rFonts w:ascii="宋体" w:hAnsi="宋体" w:eastAsia="宋体" w:cs="宋体"/>
          <w:spacing w:val="3"/>
          <w:sz w:val="20"/>
          <w:szCs w:val="20"/>
        </w:rPr>
        <w:t>;</w:t>
      </w:r>
      <w:r>
        <w:rPr>
          <w:rFonts w:ascii="宋体" w:hAnsi="宋体" w:eastAsia="宋体" w:cs="宋体"/>
          <w:spacing w:val="60"/>
          <w:sz w:val="20"/>
          <w:szCs w:val="20"/>
        </w:rPr>
        <w:t xml:space="preserve"> </w:t>
      </w:r>
      <w:r>
        <w:rPr>
          <w:rFonts w:ascii="Times New Roman" w:hAnsi="Times New Roman" w:eastAsia="Times New Roman" w:cs="Times New Roman"/>
          <w:spacing w:val="3"/>
          <w:sz w:val="20"/>
          <w:szCs w:val="20"/>
        </w:rPr>
        <w:t xml:space="preserve">ℼ  </w:t>
      </w:r>
      <w:r>
        <w:rPr>
          <w:rFonts w:ascii="宋体" w:hAnsi="宋体" w:eastAsia="宋体" w:cs="宋体"/>
          <w:spacing w:val="3"/>
          <w:sz w:val="20"/>
          <w:szCs w:val="20"/>
        </w:rPr>
        <w:t>()</w:t>
      </w:r>
      <w:r>
        <w:rPr>
          <w:rFonts w:ascii="宋体" w:hAnsi="宋体" w:eastAsia="宋体" w:cs="宋体"/>
          <w:spacing w:val="27"/>
          <w:sz w:val="20"/>
          <w:szCs w:val="20"/>
        </w:rPr>
        <w:t xml:space="preserve"> </w:t>
      </w:r>
      <w:r>
        <w:rPr>
          <w:rFonts w:ascii="Times New Roman" w:hAnsi="Times New Roman" w:eastAsia="Times New Roman" w:cs="Times New Roman"/>
          <w:spacing w:val="3"/>
          <w:sz w:val="20"/>
          <w:szCs w:val="20"/>
        </w:rPr>
        <w:t>ℽ</w:t>
      </w:r>
      <w:r>
        <w:rPr>
          <w:rFonts w:ascii="宋体" w:hAnsi="宋体" w:eastAsia="宋体" w:cs="宋体"/>
          <w:spacing w:val="3"/>
          <w:sz w:val="20"/>
          <w:szCs w:val="20"/>
        </w:rPr>
        <w:t>为内容填写项。</w:t>
      </w:r>
    </w:p>
    <w:p w14:paraId="206FF8E2">
      <w:pPr>
        <w:spacing w:line="28" w:lineRule="exact"/>
      </w:pPr>
      <w:r>
        <w:pict>
          <v:shape id="_x0000_s1840" o:spid="_x0000_s1840" style="height:1.45pt;width:464.4pt;" filled="f" stroked="t" coordsize="9287,29" path="m0,14l9287,14e">
            <v:fill on="f" focussize="0,0"/>
            <v:stroke weight="1.44pt" color="#000000" miterlimit="2" joinstyle="bevel"/>
            <v:imagedata o:title=""/>
            <o:lock v:ext="edit"/>
            <w10:wrap type="none"/>
            <w10:anchorlock/>
          </v:shape>
        </w:pict>
      </w:r>
    </w:p>
    <w:p w14:paraId="011CFA4E">
      <w:pPr>
        <w:spacing w:line="28" w:lineRule="exact"/>
        <w:sectPr>
          <w:headerReference r:id="rId354" w:type="default"/>
          <w:footerReference r:id="rId355" w:type="default"/>
          <w:pgSz w:w="11906" w:h="16839"/>
          <w:pgMar w:top="1304" w:right="1309" w:bottom="1540" w:left="1309" w:header="995" w:footer="1378" w:gutter="0"/>
          <w:cols w:space="720" w:num="1"/>
        </w:sectPr>
      </w:pPr>
    </w:p>
    <w:p w14:paraId="7E908466">
      <w:pPr>
        <w:spacing w:line="28" w:lineRule="exact"/>
      </w:pPr>
      <w:r>
        <w:pict>
          <v:shape id="_x0000_s1841" o:spid="_x0000_s1841" style="height:1.45pt;width:453.65pt;" fillcolor="#000000" filled="t" stroked="f" coordsize="9072,29" path="m0,0l9072,0,9072,28,0,28,0,0xe">
            <v:path/>
            <v:fill on="t" focussize="0,0"/>
            <v:stroke on="f"/>
            <v:imagedata o:title=""/>
            <o:lock v:ext="edit"/>
            <w10:wrap type="none"/>
            <w10:anchorlock/>
          </v:shape>
        </w:pict>
      </w:r>
    </w:p>
    <w:p w14:paraId="30A82106">
      <w:pPr>
        <w:pStyle w:val="2"/>
        <w:spacing w:line="254" w:lineRule="auto"/>
      </w:pPr>
    </w:p>
    <w:p w14:paraId="2C7ACF8E">
      <w:pPr>
        <w:spacing w:before="101" w:line="227" w:lineRule="auto"/>
        <w:ind w:left="4"/>
        <w:outlineLvl w:val="1"/>
        <w:rPr>
          <w:rFonts w:ascii="黑体" w:hAnsi="黑体" w:eastAsia="黑体" w:cs="黑体"/>
          <w:sz w:val="31"/>
          <w:szCs w:val="31"/>
        </w:rPr>
      </w:pPr>
      <w:bookmarkStart w:id="377" w:name="bookmark222"/>
      <w:bookmarkEnd w:id="377"/>
      <w:r>
        <w:rPr>
          <w:rFonts w:ascii="Times New Roman" w:hAnsi="Times New Roman" w:eastAsia="Times New Roman" w:cs="Times New Roman"/>
          <w:spacing w:val="5"/>
          <w:sz w:val="31"/>
          <w:szCs w:val="31"/>
        </w:rPr>
        <w:t>4.5</w:t>
      </w:r>
      <w:r>
        <w:rPr>
          <w:rFonts w:ascii="Times New Roman" w:hAnsi="Times New Roman" w:eastAsia="Times New Roman" w:cs="Times New Roman"/>
          <w:spacing w:val="38"/>
          <w:sz w:val="31"/>
          <w:szCs w:val="31"/>
        </w:rPr>
        <w:t xml:space="preserve"> </w:t>
      </w:r>
      <w:r>
        <w:rPr>
          <w:rFonts w:ascii="黑体" w:hAnsi="黑体" w:eastAsia="黑体" w:cs="黑体"/>
          <w:spacing w:val="5"/>
          <w:sz w:val="31"/>
          <w:szCs w:val="31"/>
        </w:rPr>
        <w:t>固体废弃物影响分析</w:t>
      </w:r>
    </w:p>
    <w:p w14:paraId="2A5CC696">
      <w:pPr>
        <w:spacing w:before="217" w:line="354" w:lineRule="auto"/>
        <w:ind w:left="11" w:right="117" w:firstLine="483"/>
        <w:rPr>
          <w:rFonts w:ascii="宋体" w:hAnsi="宋体" w:eastAsia="宋体" w:cs="宋体"/>
          <w:sz w:val="24"/>
          <w:szCs w:val="24"/>
        </w:rPr>
      </w:pPr>
      <w:r>
        <w:rPr>
          <w:rFonts w:ascii="宋体" w:hAnsi="宋体" w:eastAsia="宋体" w:cs="宋体"/>
          <w:spacing w:val="-2"/>
          <w:sz w:val="24"/>
          <w:szCs w:val="24"/>
        </w:rPr>
        <w:t>项目固体废物产生的总量为</w:t>
      </w:r>
      <w:r>
        <w:rPr>
          <w:rFonts w:ascii="宋体" w:hAnsi="宋体" w:eastAsia="宋体" w:cs="宋体"/>
          <w:spacing w:val="-38"/>
          <w:sz w:val="24"/>
          <w:szCs w:val="24"/>
        </w:rPr>
        <w:t xml:space="preserve"> </w:t>
      </w:r>
      <w:r>
        <w:rPr>
          <w:rFonts w:ascii="Times New Roman" w:hAnsi="Times New Roman" w:eastAsia="Times New Roman" w:cs="Times New Roman"/>
          <w:spacing w:val="-2"/>
          <w:sz w:val="24"/>
          <w:szCs w:val="24"/>
        </w:rPr>
        <w:t>287274.07</w:t>
      </w:r>
      <w:r>
        <w:rPr>
          <w:rFonts w:ascii="Times New Roman" w:hAnsi="Times New Roman" w:eastAsia="Times New Roman" w:cs="Times New Roman"/>
          <w:spacing w:val="23"/>
          <w:sz w:val="24"/>
          <w:szCs w:val="24"/>
        </w:rPr>
        <w:t xml:space="preserve"> </w:t>
      </w:r>
      <w:r>
        <w:rPr>
          <w:rFonts w:ascii="宋体" w:hAnsi="宋体" w:eastAsia="宋体" w:cs="宋体"/>
          <w:spacing w:val="-2"/>
          <w:sz w:val="24"/>
          <w:szCs w:val="24"/>
        </w:rPr>
        <w:t>吨</w:t>
      </w:r>
      <w:r>
        <w:rPr>
          <w:rFonts w:ascii="Times New Roman" w:hAnsi="Times New Roman" w:eastAsia="Times New Roman" w:cs="Times New Roman"/>
          <w:spacing w:val="-2"/>
          <w:sz w:val="24"/>
          <w:szCs w:val="24"/>
        </w:rPr>
        <w:t>/</w:t>
      </w:r>
      <w:r>
        <w:rPr>
          <w:rFonts w:ascii="宋体" w:hAnsi="宋体" w:eastAsia="宋体" w:cs="宋体"/>
          <w:spacing w:val="-2"/>
          <w:sz w:val="24"/>
          <w:szCs w:val="24"/>
        </w:rPr>
        <w:t>年，其中一般工业固废</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287043.4</w:t>
      </w:r>
      <w:r>
        <w:rPr>
          <w:rFonts w:ascii="Times New Roman" w:hAnsi="Times New Roman" w:eastAsia="Times New Roman" w:cs="Times New Roman"/>
          <w:spacing w:val="23"/>
          <w:w w:val="101"/>
          <w:sz w:val="24"/>
          <w:szCs w:val="24"/>
        </w:rPr>
        <w:t xml:space="preserve"> </w:t>
      </w:r>
      <w:r>
        <w:rPr>
          <w:rFonts w:ascii="宋体" w:hAnsi="宋体" w:eastAsia="宋体" w:cs="宋体"/>
          <w:spacing w:val="-2"/>
          <w:sz w:val="24"/>
          <w:szCs w:val="24"/>
        </w:rPr>
        <w:t>吨</w:t>
      </w:r>
      <w:r>
        <w:rPr>
          <w:rFonts w:ascii="Times New Roman" w:hAnsi="Times New Roman" w:eastAsia="Times New Roman" w:cs="Times New Roman"/>
          <w:spacing w:val="-2"/>
          <w:sz w:val="24"/>
          <w:szCs w:val="24"/>
        </w:rPr>
        <w:t>/</w:t>
      </w:r>
      <w:r>
        <w:rPr>
          <w:rFonts w:ascii="宋体" w:hAnsi="宋体" w:eastAsia="宋体" w:cs="宋体"/>
          <w:spacing w:val="-2"/>
          <w:sz w:val="24"/>
          <w:szCs w:val="24"/>
        </w:rPr>
        <w:t>年，</w:t>
      </w:r>
      <w:r>
        <w:rPr>
          <w:rFonts w:ascii="宋体" w:hAnsi="宋体" w:eastAsia="宋体" w:cs="宋体"/>
          <w:sz w:val="24"/>
          <w:szCs w:val="24"/>
        </w:rPr>
        <w:t xml:space="preserve"> </w:t>
      </w:r>
      <w:r>
        <w:rPr>
          <w:rFonts w:ascii="宋体" w:hAnsi="宋体" w:eastAsia="宋体" w:cs="宋体"/>
          <w:spacing w:val="-3"/>
          <w:sz w:val="24"/>
          <w:szCs w:val="24"/>
        </w:rPr>
        <w:t>危险废物</w:t>
      </w:r>
      <w:r>
        <w:rPr>
          <w:rFonts w:ascii="宋体" w:hAnsi="宋体" w:eastAsia="宋体" w:cs="宋体"/>
          <w:spacing w:val="-28"/>
          <w:sz w:val="24"/>
          <w:szCs w:val="24"/>
        </w:rPr>
        <w:t xml:space="preserve"> </w:t>
      </w:r>
      <w:r>
        <w:rPr>
          <w:rFonts w:ascii="Times New Roman" w:hAnsi="Times New Roman" w:eastAsia="Times New Roman" w:cs="Times New Roman"/>
          <w:spacing w:val="-3"/>
          <w:sz w:val="24"/>
          <w:szCs w:val="24"/>
        </w:rPr>
        <w:t>114.12</w:t>
      </w:r>
      <w:r>
        <w:rPr>
          <w:rFonts w:ascii="Times New Roman" w:hAnsi="Times New Roman" w:eastAsia="Times New Roman" w:cs="Times New Roman"/>
          <w:spacing w:val="21"/>
          <w:sz w:val="24"/>
          <w:szCs w:val="24"/>
        </w:rPr>
        <w:t xml:space="preserve"> </w:t>
      </w:r>
      <w:r>
        <w:rPr>
          <w:rFonts w:ascii="宋体" w:hAnsi="宋体" w:eastAsia="宋体" w:cs="宋体"/>
          <w:spacing w:val="-3"/>
          <w:sz w:val="24"/>
          <w:szCs w:val="24"/>
        </w:rPr>
        <w:t>吨</w:t>
      </w:r>
      <w:r>
        <w:rPr>
          <w:rFonts w:ascii="Times New Roman" w:hAnsi="Times New Roman" w:eastAsia="Times New Roman" w:cs="Times New Roman"/>
          <w:spacing w:val="-3"/>
          <w:sz w:val="24"/>
          <w:szCs w:val="24"/>
        </w:rPr>
        <w:t>/</w:t>
      </w:r>
      <w:r>
        <w:rPr>
          <w:rFonts w:ascii="宋体" w:hAnsi="宋体" w:eastAsia="宋体" w:cs="宋体"/>
          <w:spacing w:val="-3"/>
          <w:sz w:val="24"/>
          <w:szCs w:val="24"/>
        </w:rPr>
        <w:t>年，生活垃圾</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116.55</w:t>
      </w:r>
      <w:r>
        <w:rPr>
          <w:rFonts w:ascii="Times New Roman" w:hAnsi="Times New Roman" w:eastAsia="Times New Roman" w:cs="Times New Roman"/>
          <w:spacing w:val="20"/>
          <w:w w:val="101"/>
          <w:sz w:val="24"/>
          <w:szCs w:val="24"/>
        </w:rPr>
        <w:t xml:space="preserve"> </w:t>
      </w:r>
      <w:r>
        <w:rPr>
          <w:rFonts w:ascii="宋体" w:hAnsi="宋体" w:eastAsia="宋体" w:cs="宋体"/>
          <w:spacing w:val="-3"/>
          <w:sz w:val="24"/>
          <w:szCs w:val="24"/>
        </w:rPr>
        <w:t>吨</w:t>
      </w:r>
      <w:r>
        <w:rPr>
          <w:rFonts w:ascii="Times New Roman" w:hAnsi="Times New Roman" w:eastAsia="Times New Roman" w:cs="Times New Roman"/>
          <w:spacing w:val="-3"/>
          <w:sz w:val="24"/>
          <w:szCs w:val="24"/>
        </w:rPr>
        <w:t>/</w:t>
      </w:r>
      <w:r>
        <w:rPr>
          <w:rFonts w:ascii="宋体" w:hAnsi="宋体" w:eastAsia="宋体" w:cs="宋体"/>
          <w:spacing w:val="-3"/>
          <w:sz w:val="24"/>
          <w:szCs w:val="24"/>
        </w:rPr>
        <w:t>年，全部得到了合理处置。</w:t>
      </w:r>
    </w:p>
    <w:p w14:paraId="00909D93">
      <w:pPr>
        <w:spacing w:before="83" w:line="221" w:lineRule="auto"/>
        <w:ind w:left="3"/>
        <w:outlineLvl w:val="2"/>
        <w:rPr>
          <w:rFonts w:ascii="黑体" w:hAnsi="黑体" w:eastAsia="黑体" w:cs="黑体"/>
          <w:sz w:val="30"/>
          <w:szCs w:val="30"/>
        </w:rPr>
      </w:pPr>
      <w:bookmarkStart w:id="378" w:name="bookmark224"/>
      <w:bookmarkEnd w:id="378"/>
      <w:r>
        <w:rPr>
          <w:rFonts w:ascii="Times New Roman" w:hAnsi="Times New Roman" w:eastAsia="Times New Roman" w:cs="Times New Roman"/>
          <w:spacing w:val="-1"/>
          <w:sz w:val="30"/>
          <w:szCs w:val="30"/>
        </w:rPr>
        <w:t xml:space="preserve">4.5.1 </w:t>
      </w:r>
      <w:r>
        <w:rPr>
          <w:rFonts w:ascii="黑体" w:hAnsi="黑体" w:eastAsia="黑体" w:cs="黑体"/>
          <w:spacing w:val="-1"/>
          <w:sz w:val="30"/>
          <w:szCs w:val="30"/>
        </w:rPr>
        <w:t>一般固体废物处置措施</w:t>
      </w:r>
    </w:p>
    <w:p w14:paraId="36D5BAA1">
      <w:pPr>
        <w:spacing w:before="231" w:line="318" w:lineRule="auto"/>
        <w:ind w:left="7" w:right="2" w:firstLine="492"/>
        <w:rPr>
          <w:rFonts w:ascii="宋体" w:hAnsi="宋体" w:eastAsia="宋体" w:cs="宋体"/>
          <w:sz w:val="24"/>
          <w:szCs w:val="24"/>
        </w:rPr>
      </w:pPr>
      <w:r>
        <w:rPr>
          <w:rFonts w:ascii="宋体" w:hAnsi="宋体" w:eastAsia="宋体" w:cs="宋体"/>
          <w:spacing w:val="-6"/>
          <w:sz w:val="24"/>
          <w:szCs w:val="24"/>
        </w:rPr>
        <w:t>（</w:t>
      </w:r>
      <w:r>
        <w:rPr>
          <w:rFonts w:ascii="Times New Roman" w:hAnsi="Times New Roman" w:eastAsia="Times New Roman" w:cs="Times New Roman"/>
          <w:spacing w:val="-6"/>
          <w:sz w:val="24"/>
          <w:szCs w:val="24"/>
        </w:rPr>
        <w:t>1</w:t>
      </w:r>
      <w:r>
        <w:rPr>
          <w:rFonts w:ascii="宋体" w:hAnsi="宋体" w:eastAsia="宋体" w:cs="宋体"/>
          <w:spacing w:val="-6"/>
          <w:sz w:val="24"/>
          <w:szCs w:val="24"/>
        </w:rPr>
        <w:t>）烧结机头废气石灰石</w:t>
      </w:r>
      <w:r>
        <w:rPr>
          <w:rFonts w:ascii="Times New Roman" w:hAnsi="Times New Roman" w:eastAsia="Times New Roman" w:cs="Times New Roman"/>
          <w:spacing w:val="-6"/>
          <w:sz w:val="24"/>
          <w:szCs w:val="24"/>
        </w:rPr>
        <w:t>-</w:t>
      </w:r>
      <w:r>
        <w:rPr>
          <w:rFonts w:ascii="宋体" w:hAnsi="宋体" w:eastAsia="宋体" w:cs="宋体"/>
          <w:spacing w:val="-6"/>
          <w:sz w:val="24"/>
          <w:szCs w:val="24"/>
        </w:rPr>
        <w:t>石膏脱硫塔运行时产生脱硫石膏，其主要成分为硫酸钙，</w:t>
      </w:r>
      <w:r>
        <w:rPr>
          <w:rFonts w:ascii="宋体" w:hAnsi="宋体" w:eastAsia="宋体" w:cs="宋体"/>
          <w:spacing w:val="17"/>
          <w:sz w:val="24"/>
          <w:szCs w:val="24"/>
        </w:rPr>
        <w:t xml:space="preserve"> </w:t>
      </w:r>
      <w:r>
        <w:rPr>
          <w:rFonts w:ascii="宋体" w:hAnsi="宋体" w:eastAsia="宋体" w:cs="宋体"/>
          <w:spacing w:val="3"/>
          <w:sz w:val="24"/>
          <w:szCs w:val="24"/>
        </w:rPr>
        <w:t>未列入《国家危险废物名录（</w:t>
      </w:r>
      <w:r>
        <w:rPr>
          <w:rFonts w:ascii="Times New Roman" w:hAnsi="Times New Roman" w:eastAsia="Times New Roman" w:cs="Times New Roman"/>
          <w:spacing w:val="3"/>
          <w:sz w:val="24"/>
          <w:szCs w:val="24"/>
        </w:rPr>
        <w:t>2021</w:t>
      </w:r>
      <w:r>
        <w:rPr>
          <w:rFonts w:ascii="Times New Roman" w:hAnsi="Times New Roman" w:eastAsia="Times New Roman" w:cs="Times New Roman"/>
          <w:spacing w:val="22"/>
          <w:sz w:val="24"/>
          <w:szCs w:val="24"/>
        </w:rPr>
        <w:t xml:space="preserve"> </w:t>
      </w:r>
      <w:r>
        <w:rPr>
          <w:rFonts w:ascii="宋体" w:hAnsi="宋体" w:eastAsia="宋体" w:cs="宋体"/>
          <w:spacing w:val="3"/>
          <w:sz w:val="24"/>
          <w:szCs w:val="24"/>
        </w:rPr>
        <w:t>年版）》中</w:t>
      </w:r>
      <w:r>
        <w:rPr>
          <w:rFonts w:ascii="宋体" w:hAnsi="宋体" w:eastAsia="宋体" w:cs="宋体"/>
          <w:spacing w:val="2"/>
          <w:sz w:val="24"/>
          <w:szCs w:val="24"/>
        </w:rPr>
        <w:t>，属于一般固废，脱水后在一般固废暂</w:t>
      </w:r>
      <w:r>
        <w:rPr>
          <w:rFonts w:ascii="宋体" w:hAnsi="宋体" w:eastAsia="宋体" w:cs="宋体"/>
          <w:sz w:val="24"/>
          <w:szCs w:val="24"/>
        </w:rPr>
        <w:t xml:space="preserve"> </w:t>
      </w:r>
      <w:r>
        <w:rPr>
          <w:rFonts w:ascii="宋体" w:hAnsi="宋体" w:eastAsia="宋体" w:cs="宋体"/>
          <w:spacing w:val="-1"/>
          <w:sz w:val="24"/>
          <w:szCs w:val="24"/>
        </w:rPr>
        <w:t>存库内临时贮存，定期外售用作建材生产原料。</w:t>
      </w:r>
    </w:p>
    <w:p w14:paraId="6E198FEE">
      <w:pPr>
        <w:spacing w:before="195" w:line="318" w:lineRule="auto"/>
        <w:ind w:left="11" w:right="61" w:firstLine="505"/>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）电炉、烧结机、铁水包检修更换产生的废耐火材料，</w:t>
      </w:r>
      <w:r>
        <w:rPr>
          <w:rFonts w:ascii="宋体" w:hAnsi="宋体" w:eastAsia="宋体" w:cs="宋体"/>
          <w:sz w:val="24"/>
          <w:szCs w:val="24"/>
        </w:rPr>
        <w:t xml:space="preserve">未列入《国家危险废物 </w:t>
      </w:r>
      <w:r>
        <w:rPr>
          <w:rFonts w:ascii="宋体" w:hAnsi="宋体" w:eastAsia="宋体" w:cs="宋体"/>
          <w:spacing w:val="1"/>
          <w:sz w:val="24"/>
          <w:szCs w:val="24"/>
        </w:rPr>
        <w:t>名录（</w:t>
      </w:r>
      <w:r>
        <w:rPr>
          <w:rFonts w:ascii="Times New Roman" w:hAnsi="Times New Roman" w:eastAsia="Times New Roman" w:cs="Times New Roman"/>
          <w:spacing w:val="1"/>
          <w:sz w:val="24"/>
          <w:szCs w:val="24"/>
        </w:rPr>
        <w:t>2021</w:t>
      </w:r>
      <w:r>
        <w:rPr>
          <w:rFonts w:ascii="Times New Roman" w:hAnsi="Times New Roman" w:eastAsia="Times New Roman" w:cs="Times New Roman"/>
          <w:spacing w:val="41"/>
          <w:sz w:val="24"/>
          <w:szCs w:val="24"/>
        </w:rPr>
        <w:t xml:space="preserve"> </w:t>
      </w:r>
      <w:r>
        <w:rPr>
          <w:rFonts w:ascii="宋体" w:hAnsi="宋体" w:eastAsia="宋体" w:cs="宋体"/>
          <w:spacing w:val="1"/>
          <w:sz w:val="24"/>
          <w:szCs w:val="24"/>
        </w:rPr>
        <w:t>年版）》，属于一般固废，约</w:t>
      </w:r>
      <w:r>
        <w:rPr>
          <w:rFonts w:ascii="宋体" w:hAnsi="宋体" w:eastAsia="宋体" w:cs="宋体"/>
          <w:spacing w:val="-39"/>
          <w:sz w:val="24"/>
          <w:szCs w:val="24"/>
        </w:rPr>
        <w:t xml:space="preserve"> </w:t>
      </w:r>
      <w:r>
        <w:rPr>
          <w:rFonts w:ascii="Times New Roman" w:hAnsi="Times New Roman" w:eastAsia="Times New Roman" w:cs="Times New Roman"/>
          <w:spacing w:val="1"/>
          <w:sz w:val="24"/>
          <w:szCs w:val="24"/>
        </w:rPr>
        <w:t>5</w:t>
      </w:r>
      <w:r>
        <w:rPr>
          <w:rFonts w:ascii="Times New Roman" w:hAnsi="Times New Roman" w:eastAsia="Times New Roman" w:cs="Times New Roman"/>
          <w:spacing w:val="17"/>
          <w:w w:val="101"/>
          <w:sz w:val="24"/>
          <w:szCs w:val="24"/>
        </w:rPr>
        <w:t xml:space="preserve"> </w:t>
      </w:r>
      <w:r>
        <w:rPr>
          <w:rFonts w:ascii="宋体" w:hAnsi="宋体" w:eastAsia="宋体" w:cs="宋体"/>
          <w:spacing w:val="1"/>
          <w:sz w:val="24"/>
          <w:szCs w:val="24"/>
        </w:rPr>
        <w:t>年左右更换一次，在一般固废暂存库内临</w:t>
      </w:r>
      <w:r>
        <w:rPr>
          <w:rFonts w:ascii="宋体" w:hAnsi="宋体" w:eastAsia="宋体" w:cs="宋体"/>
          <w:sz w:val="24"/>
          <w:szCs w:val="24"/>
        </w:rPr>
        <w:t xml:space="preserve"> </w:t>
      </w:r>
      <w:r>
        <w:rPr>
          <w:rFonts w:ascii="宋体" w:hAnsi="宋体" w:eastAsia="宋体" w:cs="宋体"/>
          <w:spacing w:val="-1"/>
          <w:sz w:val="24"/>
          <w:szCs w:val="24"/>
        </w:rPr>
        <w:t>时贮存，定期外售用作建材生产原料。</w:t>
      </w:r>
    </w:p>
    <w:p w14:paraId="7E79FD21">
      <w:pPr>
        <w:spacing w:before="193" w:line="331" w:lineRule="auto"/>
        <w:ind w:left="8" w:firstLine="508"/>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3</w:t>
      </w:r>
      <w:r>
        <w:rPr>
          <w:rFonts w:ascii="宋体" w:hAnsi="宋体" w:eastAsia="宋体" w:cs="宋体"/>
          <w:spacing w:val="4"/>
          <w:sz w:val="24"/>
          <w:szCs w:val="24"/>
        </w:rPr>
        <w:t>）锰硅渣主要成分为</w:t>
      </w:r>
      <w:r>
        <w:rPr>
          <w:rFonts w:ascii="宋体" w:hAnsi="宋体" w:eastAsia="宋体" w:cs="宋体"/>
          <w:spacing w:val="-33"/>
          <w:sz w:val="24"/>
          <w:szCs w:val="24"/>
        </w:rPr>
        <w:t xml:space="preserve"> </w:t>
      </w:r>
      <w:r>
        <w:rPr>
          <w:rFonts w:ascii="Times New Roman" w:hAnsi="Times New Roman" w:eastAsia="Times New Roman" w:cs="Times New Roman"/>
          <w:sz w:val="24"/>
          <w:szCs w:val="24"/>
        </w:rPr>
        <w:t>MnO</w:t>
      </w:r>
      <w:r>
        <w:rPr>
          <w:rFonts w:ascii="Times New Roman" w:hAnsi="Times New Roman" w:eastAsia="Times New Roman" w:cs="Times New Roman"/>
          <w:spacing w:val="-24"/>
          <w:sz w:val="24"/>
          <w:szCs w:val="24"/>
        </w:rPr>
        <w:t xml:space="preserve"> </w:t>
      </w:r>
      <w:r>
        <w:rPr>
          <w:rFonts w:ascii="宋体" w:hAnsi="宋体" w:eastAsia="宋体" w:cs="宋体"/>
          <w:spacing w:val="4"/>
          <w:sz w:val="24"/>
          <w:szCs w:val="24"/>
        </w:rPr>
        <w:t>、</w:t>
      </w:r>
      <w:r>
        <w:rPr>
          <w:rFonts w:ascii="Times New Roman" w:hAnsi="Times New Roman" w:eastAsia="Times New Roman" w:cs="Times New Roman"/>
          <w:sz w:val="24"/>
          <w:szCs w:val="24"/>
        </w:rPr>
        <w:t>SiO</w:t>
      </w:r>
      <w:r>
        <w:rPr>
          <w:rFonts w:ascii="Times New Roman" w:hAnsi="Times New Roman" w:eastAsia="Times New Roman" w:cs="Times New Roman"/>
          <w:spacing w:val="4"/>
          <w:position w:val="-1"/>
          <w:sz w:val="15"/>
          <w:szCs w:val="15"/>
        </w:rPr>
        <w:t xml:space="preserve">2 </w:t>
      </w:r>
      <w:r>
        <w:rPr>
          <w:rFonts w:ascii="宋体" w:hAnsi="宋体" w:eastAsia="宋体" w:cs="宋体"/>
          <w:spacing w:val="4"/>
          <w:sz w:val="24"/>
          <w:szCs w:val="24"/>
        </w:rPr>
        <w:t>、</w:t>
      </w:r>
      <w:r>
        <w:rPr>
          <w:rFonts w:ascii="Times New Roman" w:hAnsi="Times New Roman" w:eastAsia="Times New Roman" w:cs="Times New Roman"/>
          <w:sz w:val="24"/>
          <w:szCs w:val="24"/>
        </w:rPr>
        <w:t>Al</w:t>
      </w:r>
      <w:r>
        <w:rPr>
          <w:rFonts w:ascii="Times New Roman" w:hAnsi="Times New Roman" w:eastAsia="Times New Roman" w:cs="Times New Roman"/>
          <w:spacing w:val="4"/>
          <w:position w:val="-1"/>
          <w:sz w:val="15"/>
          <w:szCs w:val="15"/>
        </w:rPr>
        <w:t>2</w:t>
      </w:r>
      <w:r>
        <w:rPr>
          <w:rFonts w:ascii="Times New Roman" w:hAnsi="Times New Roman" w:eastAsia="Times New Roman" w:cs="Times New Roman"/>
          <w:spacing w:val="4"/>
          <w:sz w:val="24"/>
          <w:szCs w:val="24"/>
        </w:rPr>
        <w:t>O</w:t>
      </w:r>
      <w:r>
        <w:rPr>
          <w:rFonts w:ascii="Times New Roman" w:hAnsi="Times New Roman" w:eastAsia="Times New Roman" w:cs="Times New Roman"/>
          <w:spacing w:val="4"/>
          <w:position w:val="-1"/>
          <w:sz w:val="15"/>
          <w:szCs w:val="15"/>
        </w:rPr>
        <w:t xml:space="preserve">3 </w:t>
      </w:r>
      <w:r>
        <w:rPr>
          <w:rFonts w:ascii="宋体" w:hAnsi="宋体" w:eastAsia="宋体" w:cs="宋体"/>
          <w:spacing w:val="4"/>
          <w:sz w:val="24"/>
          <w:szCs w:val="24"/>
        </w:rPr>
        <w:t>、</w:t>
      </w:r>
      <w:r>
        <w:rPr>
          <w:rFonts w:ascii="Times New Roman" w:hAnsi="Times New Roman" w:eastAsia="Times New Roman" w:cs="Times New Roman"/>
          <w:sz w:val="24"/>
          <w:szCs w:val="24"/>
        </w:rPr>
        <w:t>MgO</w:t>
      </w:r>
      <w:r>
        <w:rPr>
          <w:rFonts w:ascii="Times New Roman" w:hAnsi="Times New Roman" w:eastAsia="Times New Roman" w:cs="Times New Roman"/>
          <w:spacing w:val="-23"/>
          <w:sz w:val="24"/>
          <w:szCs w:val="24"/>
        </w:rPr>
        <w:t xml:space="preserve"> </w:t>
      </w:r>
      <w:r>
        <w:rPr>
          <w:rFonts w:ascii="宋体" w:hAnsi="宋体" w:eastAsia="宋体" w:cs="宋体"/>
          <w:spacing w:val="4"/>
          <w:sz w:val="24"/>
          <w:szCs w:val="24"/>
        </w:rPr>
        <w:t>、</w:t>
      </w:r>
      <w:r>
        <w:rPr>
          <w:rFonts w:ascii="Times New Roman" w:hAnsi="Times New Roman" w:eastAsia="Times New Roman" w:cs="Times New Roman"/>
          <w:sz w:val="24"/>
          <w:szCs w:val="24"/>
        </w:rPr>
        <w:t>CaO</w:t>
      </w:r>
      <w:r>
        <w:rPr>
          <w:rFonts w:ascii="Times New Roman" w:hAnsi="Times New Roman" w:eastAsia="Times New Roman" w:cs="Times New Roman"/>
          <w:spacing w:val="25"/>
          <w:w w:val="101"/>
          <w:sz w:val="24"/>
          <w:szCs w:val="24"/>
        </w:rPr>
        <w:t xml:space="preserve"> </w:t>
      </w:r>
      <w:r>
        <w:rPr>
          <w:rFonts w:ascii="宋体" w:hAnsi="宋体" w:eastAsia="宋体" w:cs="宋体"/>
          <w:spacing w:val="4"/>
          <w:sz w:val="24"/>
          <w:szCs w:val="24"/>
        </w:rPr>
        <w:t>等，未列入《国家危</w:t>
      </w:r>
      <w:r>
        <w:rPr>
          <w:rFonts w:ascii="宋体" w:hAnsi="宋体" w:eastAsia="宋体" w:cs="宋体"/>
          <w:sz w:val="24"/>
          <w:szCs w:val="24"/>
        </w:rPr>
        <w:t xml:space="preserve"> </w:t>
      </w:r>
      <w:r>
        <w:rPr>
          <w:rFonts w:ascii="宋体" w:hAnsi="宋体" w:eastAsia="宋体" w:cs="宋体"/>
          <w:spacing w:val="-2"/>
          <w:sz w:val="24"/>
          <w:szCs w:val="24"/>
        </w:rPr>
        <w:t>险废物名录（</w:t>
      </w:r>
      <w:r>
        <w:rPr>
          <w:rFonts w:ascii="Times New Roman" w:hAnsi="Times New Roman" w:eastAsia="Times New Roman" w:cs="Times New Roman"/>
          <w:spacing w:val="-2"/>
          <w:sz w:val="24"/>
          <w:szCs w:val="24"/>
        </w:rPr>
        <w:t>2021</w:t>
      </w:r>
      <w:r>
        <w:rPr>
          <w:rFonts w:ascii="Times New Roman" w:hAnsi="Times New Roman" w:eastAsia="Times New Roman" w:cs="Times New Roman"/>
          <w:spacing w:val="23"/>
          <w:sz w:val="24"/>
          <w:szCs w:val="24"/>
        </w:rPr>
        <w:t xml:space="preserve"> </w:t>
      </w:r>
      <w:r>
        <w:rPr>
          <w:rFonts w:ascii="宋体" w:hAnsi="宋体" w:eastAsia="宋体" w:cs="宋体"/>
          <w:spacing w:val="-2"/>
          <w:sz w:val="24"/>
          <w:szCs w:val="24"/>
        </w:rPr>
        <w:t>年）》中，属于一般工业固废。锰硅炉渣经中间包进入水冲渣系统，</w:t>
      </w:r>
      <w:r>
        <w:rPr>
          <w:rFonts w:ascii="宋体" w:hAnsi="宋体" w:eastAsia="宋体" w:cs="宋体"/>
          <w:sz w:val="24"/>
          <w:szCs w:val="24"/>
        </w:rPr>
        <w:t xml:space="preserve"> </w:t>
      </w:r>
      <w:r>
        <w:rPr>
          <w:rFonts w:ascii="宋体" w:hAnsi="宋体" w:eastAsia="宋体" w:cs="宋体"/>
          <w:spacing w:val="-2"/>
          <w:sz w:val="24"/>
          <w:szCs w:val="24"/>
        </w:rPr>
        <w:t>经冲渣系统水淬后，由水力冲入冲渣池中水淬，池内水淬渣使用行车抓斗抓出暂存在冲</w:t>
      </w:r>
      <w:r>
        <w:rPr>
          <w:rFonts w:ascii="宋体" w:hAnsi="宋体" w:eastAsia="宋体" w:cs="宋体"/>
          <w:spacing w:val="17"/>
          <w:sz w:val="24"/>
          <w:szCs w:val="24"/>
        </w:rPr>
        <w:t xml:space="preserve"> </w:t>
      </w:r>
      <w:r>
        <w:rPr>
          <w:rFonts w:ascii="宋体" w:hAnsi="宋体" w:eastAsia="宋体" w:cs="宋体"/>
          <w:spacing w:val="-1"/>
          <w:sz w:val="24"/>
          <w:szCs w:val="24"/>
        </w:rPr>
        <w:t>渣池，当天即由车辆将废渣运走外售综合利用。</w:t>
      </w:r>
    </w:p>
    <w:p w14:paraId="45EEDB9E">
      <w:pPr>
        <w:spacing w:before="196" w:line="318" w:lineRule="auto"/>
        <w:ind w:left="8" w:right="61" w:firstLine="508"/>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）锰硅合金液出炉及浇铸过程中产生的扒渣和铁水包包底清理出来的包</w:t>
      </w:r>
      <w:r>
        <w:rPr>
          <w:rFonts w:ascii="宋体" w:hAnsi="宋体" w:eastAsia="宋体" w:cs="宋体"/>
          <w:sz w:val="24"/>
          <w:szCs w:val="24"/>
        </w:rPr>
        <w:t xml:space="preserve">底渣， </w:t>
      </w:r>
      <w:r>
        <w:rPr>
          <w:rFonts w:ascii="宋体" w:hAnsi="宋体" w:eastAsia="宋体" w:cs="宋体"/>
          <w:spacing w:val="-2"/>
          <w:sz w:val="24"/>
          <w:szCs w:val="24"/>
        </w:rPr>
        <w:t>含锰量较高，统称为硅锰重渣，冷却后去位于本项目厂区西侧建设单位现有厂区内破碎</w:t>
      </w:r>
      <w:r>
        <w:rPr>
          <w:rFonts w:ascii="宋体" w:hAnsi="宋体" w:eastAsia="宋体" w:cs="宋体"/>
          <w:spacing w:val="17"/>
          <w:sz w:val="24"/>
          <w:szCs w:val="24"/>
        </w:rPr>
        <w:t xml:space="preserve"> </w:t>
      </w:r>
      <w:r>
        <w:rPr>
          <w:rFonts w:ascii="宋体" w:hAnsi="宋体" w:eastAsia="宋体" w:cs="宋体"/>
          <w:spacing w:val="1"/>
          <w:sz w:val="24"/>
          <w:szCs w:val="24"/>
        </w:rPr>
        <w:t>设施（颚式破碎机）破碎成</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10</w:t>
      </w:r>
      <w:r>
        <w:rPr>
          <w:rFonts w:ascii="宋体" w:hAnsi="宋体" w:eastAsia="宋体" w:cs="宋体"/>
          <w:spacing w:val="1"/>
          <w:sz w:val="24"/>
          <w:szCs w:val="24"/>
        </w:rPr>
        <w:t>～</w:t>
      </w:r>
      <w:r>
        <w:rPr>
          <w:rFonts w:ascii="Times New Roman" w:hAnsi="Times New Roman" w:eastAsia="Times New Roman" w:cs="Times New Roman"/>
          <w:spacing w:val="1"/>
          <w:sz w:val="24"/>
          <w:szCs w:val="24"/>
        </w:rPr>
        <w:t>80</w:t>
      </w:r>
      <w:r>
        <w:rPr>
          <w:rFonts w:ascii="Times New Roman" w:hAnsi="Times New Roman" w:eastAsia="Times New Roman" w:cs="Times New Roman"/>
          <w:sz w:val="24"/>
          <w:szCs w:val="24"/>
        </w:rPr>
        <w:t>mm</w:t>
      </w:r>
      <w:r>
        <w:rPr>
          <w:rFonts w:ascii="宋体" w:hAnsi="宋体" w:eastAsia="宋体" w:cs="宋体"/>
          <w:spacing w:val="1"/>
          <w:sz w:val="24"/>
          <w:szCs w:val="24"/>
        </w:rPr>
        <w:t>块料，返回</w:t>
      </w:r>
      <w:r>
        <w:rPr>
          <w:rFonts w:ascii="宋体" w:hAnsi="宋体" w:eastAsia="宋体" w:cs="宋体"/>
          <w:sz w:val="24"/>
          <w:szCs w:val="24"/>
        </w:rPr>
        <w:t>锰硅配料站综合利用。</w:t>
      </w:r>
    </w:p>
    <w:p w14:paraId="1C08FE95">
      <w:pPr>
        <w:spacing w:before="193" w:line="331" w:lineRule="auto"/>
        <w:ind w:left="10" w:right="60" w:firstLine="489"/>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5</w:t>
      </w:r>
      <w:r>
        <w:rPr>
          <w:rFonts w:ascii="宋体" w:hAnsi="宋体" w:eastAsia="宋体" w:cs="宋体"/>
          <w:spacing w:val="5"/>
          <w:sz w:val="24"/>
          <w:szCs w:val="24"/>
        </w:rPr>
        <w:t>）化学水车间采用二级反渗透</w:t>
      </w:r>
      <w:r>
        <w:rPr>
          <w:rFonts w:ascii="Times New Roman" w:hAnsi="Times New Roman" w:eastAsia="Times New Roman" w:cs="Times New Roman"/>
          <w:spacing w:val="5"/>
          <w:sz w:val="24"/>
          <w:szCs w:val="24"/>
        </w:rPr>
        <w:t>+</w:t>
      </w:r>
      <w:r>
        <w:rPr>
          <w:rFonts w:ascii="Times New Roman" w:hAnsi="Times New Roman" w:eastAsia="Times New Roman" w:cs="Times New Roman"/>
          <w:sz w:val="24"/>
          <w:szCs w:val="24"/>
        </w:rPr>
        <w:t>EDI</w:t>
      </w:r>
      <w:r>
        <w:rPr>
          <w:rFonts w:ascii="Times New Roman" w:hAnsi="Times New Roman" w:eastAsia="Times New Roman" w:cs="Times New Roman"/>
          <w:spacing w:val="21"/>
          <w:sz w:val="24"/>
          <w:szCs w:val="24"/>
        </w:rPr>
        <w:t xml:space="preserve"> </w:t>
      </w:r>
      <w:r>
        <w:rPr>
          <w:rFonts w:ascii="宋体" w:hAnsi="宋体" w:eastAsia="宋体" w:cs="宋体"/>
          <w:spacing w:val="5"/>
          <w:sz w:val="24"/>
          <w:szCs w:val="24"/>
        </w:rPr>
        <w:t>工艺，运行过程中其反渗透膜组件及</w:t>
      </w:r>
      <w:r>
        <w:rPr>
          <w:rFonts w:ascii="宋体" w:hAnsi="宋体" w:eastAsia="宋体" w:cs="宋体"/>
          <w:spacing w:val="-46"/>
          <w:sz w:val="24"/>
          <w:szCs w:val="24"/>
        </w:rPr>
        <w:t xml:space="preserve"> </w:t>
      </w:r>
      <w:r>
        <w:rPr>
          <w:rFonts w:ascii="Times New Roman" w:hAnsi="Times New Roman" w:eastAsia="Times New Roman" w:cs="Times New Roman"/>
          <w:sz w:val="24"/>
          <w:szCs w:val="24"/>
        </w:rPr>
        <w:t xml:space="preserve">EDI </w:t>
      </w:r>
      <w:r>
        <w:rPr>
          <w:rFonts w:ascii="宋体" w:hAnsi="宋体" w:eastAsia="宋体" w:cs="宋体"/>
          <w:sz w:val="24"/>
          <w:szCs w:val="24"/>
        </w:rPr>
        <w:t>离子交换膜组件需要定期，更换周期</w:t>
      </w:r>
      <w:r>
        <w:rPr>
          <w:rFonts w:ascii="宋体" w:hAnsi="宋体" w:eastAsia="宋体" w:cs="宋体"/>
          <w:spacing w:val="-48"/>
          <w:sz w:val="24"/>
          <w:szCs w:val="24"/>
        </w:rPr>
        <w:t xml:space="preserve"> </w:t>
      </w:r>
      <w:r>
        <w:rPr>
          <w:rFonts w:ascii="Times New Roman" w:hAnsi="Times New Roman" w:eastAsia="Times New Roman" w:cs="Times New Roman"/>
          <w:sz w:val="24"/>
          <w:szCs w:val="24"/>
        </w:rPr>
        <w:t>3</w:t>
      </w:r>
      <w:r>
        <w:rPr>
          <w:rFonts w:ascii="宋体" w:hAnsi="宋体" w:eastAsia="宋体" w:cs="宋体"/>
          <w:sz w:val="24"/>
          <w:szCs w:val="24"/>
        </w:rPr>
        <w:t>～</w:t>
      </w:r>
      <w:r>
        <w:rPr>
          <w:rFonts w:ascii="Times New Roman" w:hAnsi="Times New Roman" w:eastAsia="Times New Roman" w:cs="Times New Roman"/>
          <w:sz w:val="24"/>
          <w:szCs w:val="24"/>
        </w:rPr>
        <w:t xml:space="preserve">5 </w:t>
      </w:r>
      <w:r>
        <w:rPr>
          <w:rFonts w:ascii="宋体" w:hAnsi="宋体" w:eastAsia="宋体" w:cs="宋体"/>
          <w:sz w:val="24"/>
          <w:szCs w:val="24"/>
        </w:rPr>
        <w:t>年，更换产生废反渗透膜组件、废</w:t>
      </w:r>
      <w:r>
        <w:rPr>
          <w:rFonts w:ascii="宋体" w:hAnsi="宋体" w:eastAsia="宋体" w:cs="宋体"/>
          <w:spacing w:val="-53"/>
          <w:sz w:val="24"/>
          <w:szCs w:val="24"/>
        </w:rPr>
        <w:t xml:space="preserve"> </w:t>
      </w:r>
      <w:r>
        <w:rPr>
          <w:rFonts w:ascii="Times New Roman" w:hAnsi="Times New Roman" w:eastAsia="Times New Roman" w:cs="Times New Roman"/>
          <w:sz w:val="24"/>
          <w:szCs w:val="24"/>
        </w:rPr>
        <w:t xml:space="preserve">EDI </w:t>
      </w:r>
      <w:r>
        <w:rPr>
          <w:rFonts w:ascii="宋体" w:hAnsi="宋体" w:eastAsia="宋体" w:cs="宋体"/>
          <w:sz w:val="24"/>
          <w:szCs w:val="24"/>
        </w:rPr>
        <w:t xml:space="preserve">离子 </w:t>
      </w:r>
      <w:r>
        <w:rPr>
          <w:rFonts w:ascii="宋体" w:hAnsi="宋体" w:eastAsia="宋体" w:cs="宋体"/>
          <w:spacing w:val="2"/>
          <w:sz w:val="24"/>
          <w:szCs w:val="24"/>
        </w:rPr>
        <w:t>交换膜组件，未列入《国家危险废物名录（</w:t>
      </w:r>
      <w:r>
        <w:rPr>
          <w:rFonts w:ascii="Times New Roman" w:hAnsi="Times New Roman" w:eastAsia="Times New Roman" w:cs="Times New Roman"/>
          <w:spacing w:val="2"/>
          <w:sz w:val="24"/>
          <w:szCs w:val="24"/>
        </w:rPr>
        <w:t>2021</w:t>
      </w:r>
      <w:r>
        <w:rPr>
          <w:rFonts w:ascii="Times New Roman" w:hAnsi="Times New Roman" w:eastAsia="Times New Roman" w:cs="Times New Roman"/>
          <w:spacing w:val="34"/>
          <w:sz w:val="24"/>
          <w:szCs w:val="24"/>
        </w:rPr>
        <w:t xml:space="preserve"> </w:t>
      </w:r>
      <w:r>
        <w:rPr>
          <w:rFonts w:ascii="宋体" w:hAnsi="宋体" w:eastAsia="宋体" w:cs="宋体"/>
          <w:spacing w:val="2"/>
          <w:sz w:val="24"/>
          <w:szCs w:val="24"/>
        </w:rPr>
        <w:t>年）》中，属于一般工业固废，更换</w:t>
      </w:r>
      <w:r>
        <w:rPr>
          <w:rFonts w:ascii="宋体" w:hAnsi="宋体" w:eastAsia="宋体" w:cs="宋体"/>
          <w:sz w:val="24"/>
          <w:szCs w:val="24"/>
        </w:rPr>
        <w:t xml:space="preserve"> </w:t>
      </w:r>
      <w:r>
        <w:rPr>
          <w:rFonts w:ascii="宋体" w:hAnsi="宋体" w:eastAsia="宋体" w:cs="宋体"/>
          <w:spacing w:val="-1"/>
          <w:sz w:val="24"/>
          <w:szCs w:val="24"/>
        </w:rPr>
        <w:t>后由其生产厂家回收。</w:t>
      </w:r>
    </w:p>
    <w:p w14:paraId="34A7C3F3">
      <w:pPr>
        <w:spacing w:before="191" w:line="319" w:lineRule="auto"/>
        <w:ind w:left="11" w:firstLine="488"/>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6</w:t>
      </w:r>
      <w:r>
        <w:rPr>
          <w:rFonts w:ascii="宋体" w:hAnsi="宋体" w:eastAsia="宋体" w:cs="宋体"/>
          <w:spacing w:val="1"/>
          <w:sz w:val="24"/>
          <w:szCs w:val="24"/>
        </w:rPr>
        <w:t>）软水制备装置钠离子交换树脂需要定期产生废离子交换树脂，未列入《国家</w:t>
      </w:r>
      <w:r>
        <w:rPr>
          <w:rFonts w:ascii="宋体" w:hAnsi="宋体" w:eastAsia="宋体" w:cs="宋体"/>
          <w:spacing w:val="6"/>
          <w:sz w:val="24"/>
          <w:szCs w:val="24"/>
        </w:rPr>
        <w:t xml:space="preserve"> </w:t>
      </w:r>
      <w:r>
        <w:rPr>
          <w:rFonts w:ascii="宋体" w:hAnsi="宋体" w:eastAsia="宋体" w:cs="宋体"/>
          <w:spacing w:val="1"/>
          <w:sz w:val="24"/>
          <w:szCs w:val="24"/>
        </w:rPr>
        <w:t>危险废物名录（</w:t>
      </w:r>
      <w:r>
        <w:rPr>
          <w:rFonts w:ascii="Times New Roman" w:hAnsi="Times New Roman" w:eastAsia="Times New Roman" w:cs="Times New Roman"/>
          <w:spacing w:val="1"/>
          <w:sz w:val="24"/>
          <w:szCs w:val="24"/>
        </w:rPr>
        <w:t>2021</w:t>
      </w:r>
      <w:r>
        <w:rPr>
          <w:rFonts w:ascii="Times New Roman" w:hAnsi="Times New Roman" w:eastAsia="Times New Roman" w:cs="Times New Roman"/>
          <w:spacing w:val="20"/>
          <w:sz w:val="24"/>
          <w:szCs w:val="24"/>
        </w:rPr>
        <w:t xml:space="preserve"> </w:t>
      </w:r>
      <w:r>
        <w:rPr>
          <w:rFonts w:ascii="宋体" w:hAnsi="宋体" w:eastAsia="宋体" w:cs="宋体"/>
          <w:spacing w:val="1"/>
          <w:sz w:val="24"/>
          <w:szCs w:val="24"/>
        </w:rPr>
        <w:t>年）》中，属于一般工业固废，因更换周期</w:t>
      </w:r>
      <w:r>
        <w:rPr>
          <w:rFonts w:ascii="宋体" w:hAnsi="宋体" w:eastAsia="宋体" w:cs="宋体"/>
          <w:spacing w:val="-50"/>
          <w:sz w:val="24"/>
          <w:szCs w:val="24"/>
        </w:rPr>
        <w:t xml:space="preserve"> </w:t>
      </w:r>
      <w:r>
        <w:rPr>
          <w:rFonts w:ascii="Times New Roman" w:hAnsi="Times New Roman" w:eastAsia="Times New Roman" w:cs="Times New Roman"/>
          <w:sz w:val="24"/>
          <w:szCs w:val="24"/>
        </w:rPr>
        <w:t>3</w:t>
      </w:r>
      <w:r>
        <w:rPr>
          <w:rFonts w:ascii="宋体" w:hAnsi="宋体" w:eastAsia="宋体" w:cs="宋体"/>
          <w:sz w:val="24"/>
          <w:szCs w:val="24"/>
        </w:rPr>
        <w:t>～</w:t>
      </w:r>
      <w:r>
        <w:rPr>
          <w:rFonts w:ascii="Times New Roman" w:hAnsi="Times New Roman" w:eastAsia="Times New Roman" w:cs="Times New Roman"/>
          <w:sz w:val="24"/>
          <w:szCs w:val="24"/>
        </w:rPr>
        <w:t xml:space="preserve">5 </w:t>
      </w:r>
      <w:r>
        <w:rPr>
          <w:rFonts w:ascii="宋体" w:hAnsi="宋体" w:eastAsia="宋体" w:cs="宋体"/>
          <w:sz w:val="24"/>
          <w:szCs w:val="24"/>
        </w:rPr>
        <w:t xml:space="preserve">年，时间较长， </w:t>
      </w:r>
      <w:r>
        <w:rPr>
          <w:rFonts w:ascii="宋体" w:hAnsi="宋体" w:eastAsia="宋体" w:cs="宋体"/>
          <w:spacing w:val="3"/>
          <w:sz w:val="24"/>
          <w:szCs w:val="24"/>
        </w:rPr>
        <w:t>更换后厂家进行回收处理。</w:t>
      </w:r>
    </w:p>
    <w:p w14:paraId="58BEFEC4">
      <w:pPr>
        <w:spacing w:before="196" w:line="293" w:lineRule="auto"/>
        <w:ind w:left="10" w:right="93" w:firstLine="506"/>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7</w:t>
      </w:r>
      <w:r>
        <w:rPr>
          <w:rFonts w:ascii="宋体" w:hAnsi="宋体" w:eastAsia="宋体" w:cs="宋体"/>
          <w:spacing w:val="4"/>
          <w:sz w:val="24"/>
          <w:szCs w:val="24"/>
        </w:rPr>
        <w:t>）废分子筛主要成分为沸石，未列入《国家危险废物名录（</w:t>
      </w:r>
      <w:r>
        <w:rPr>
          <w:rFonts w:ascii="Times New Roman" w:hAnsi="Times New Roman" w:eastAsia="Times New Roman" w:cs="Times New Roman"/>
          <w:spacing w:val="4"/>
          <w:sz w:val="24"/>
          <w:szCs w:val="24"/>
        </w:rPr>
        <w:t>2021</w:t>
      </w:r>
      <w:r>
        <w:rPr>
          <w:rFonts w:ascii="Times New Roman" w:hAnsi="Times New Roman" w:eastAsia="Times New Roman" w:cs="Times New Roman"/>
          <w:spacing w:val="33"/>
          <w:sz w:val="24"/>
          <w:szCs w:val="24"/>
        </w:rPr>
        <w:t xml:space="preserve"> </w:t>
      </w:r>
      <w:r>
        <w:rPr>
          <w:rFonts w:ascii="宋体" w:hAnsi="宋体" w:eastAsia="宋体" w:cs="宋体"/>
          <w:spacing w:val="4"/>
          <w:sz w:val="24"/>
          <w:szCs w:val="24"/>
        </w:rPr>
        <w:t>年）》中，</w:t>
      </w:r>
      <w:r>
        <w:rPr>
          <w:rFonts w:ascii="宋体" w:hAnsi="宋体" w:eastAsia="宋体" w:cs="宋体"/>
          <w:sz w:val="24"/>
          <w:szCs w:val="24"/>
        </w:rPr>
        <w:t xml:space="preserve"> </w:t>
      </w:r>
      <w:r>
        <w:rPr>
          <w:rFonts w:ascii="宋体" w:hAnsi="宋体" w:eastAsia="宋体" w:cs="宋体"/>
          <w:spacing w:val="2"/>
          <w:sz w:val="24"/>
          <w:szCs w:val="24"/>
        </w:rPr>
        <w:t>属于一般固废，更换后厂家进行回收处理。</w:t>
      </w:r>
    </w:p>
    <w:p w14:paraId="23083443">
      <w:pPr>
        <w:spacing w:before="192" w:line="219" w:lineRule="auto"/>
        <w:ind w:left="517"/>
        <w:rPr>
          <w:rFonts w:ascii="宋体" w:hAnsi="宋体" w:eastAsia="宋体" w:cs="宋体"/>
          <w:sz w:val="24"/>
          <w:szCs w:val="24"/>
        </w:rPr>
      </w:pPr>
      <w:r>
        <w:rPr>
          <w:rFonts w:ascii="宋体" w:hAnsi="宋体" w:eastAsia="宋体" w:cs="宋体"/>
          <w:spacing w:val="-2"/>
          <w:sz w:val="24"/>
          <w:szCs w:val="24"/>
        </w:rPr>
        <w:t>由上可知，本项目一般固废均可以得到合理处置。</w:t>
      </w:r>
    </w:p>
    <w:p w14:paraId="2C5E2870">
      <w:pPr>
        <w:spacing w:line="219" w:lineRule="auto"/>
        <w:rPr>
          <w:rFonts w:ascii="宋体" w:hAnsi="宋体" w:eastAsia="宋体" w:cs="宋体"/>
          <w:sz w:val="24"/>
          <w:szCs w:val="24"/>
        </w:rPr>
        <w:sectPr>
          <w:headerReference r:id="rId356" w:type="default"/>
          <w:footerReference r:id="rId357" w:type="default"/>
          <w:pgSz w:w="11906" w:h="16839"/>
          <w:pgMar w:top="1191" w:right="1356" w:bottom="1569" w:left="1417" w:header="882" w:footer="1407" w:gutter="0"/>
          <w:cols w:space="720" w:num="1"/>
        </w:sectPr>
      </w:pPr>
    </w:p>
    <w:p w14:paraId="374B9E65">
      <w:pPr>
        <w:spacing w:line="28" w:lineRule="exact"/>
      </w:pPr>
      <w:r>
        <w:pict>
          <v:shape id="_x0000_s1842" o:spid="_x0000_s1842" style="height:1.45pt;width:453.65pt;" fillcolor="#000000" filled="t" stroked="f" coordsize="9072,29" path="m0,0l9072,0,9072,28,0,28,0,0xe">
            <v:path/>
            <v:fill on="t" focussize="0,0"/>
            <v:stroke on="f"/>
            <v:imagedata o:title=""/>
            <o:lock v:ext="edit"/>
            <w10:wrap type="none"/>
            <w10:anchorlock/>
          </v:shape>
        </w:pict>
      </w:r>
    </w:p>
    <w:p w14:paraId="2C7CA374">
      <w:pPr>
        <w:pStyle w:val="2"/>
        <w:spacing w:line="266" w:lineRule="auto"/>
      </w:pPr>
    </w:p>
    <w:p w14:paraId="602625BD">
      <w:pPr>
        <w:spacing w:before="97" w:line="222" w:lineRule="auto"/>
        <w:ind w:left="3"/>
        <w:outlineLvl w:val="2"/>
        <w:rPr>
          <w:rFonts w:ascii="黑体" w:hAnsi="黑体" w:eastAsia="黑体" w:cs="黑体"/>
          <w:sz w:val="30"/>
          <w:szCs w:val="30"/>
        </w:rPr>
      </w:pPr>
      <w:bookmarkStart w:id="379" w:name="bookmark226"/>
      <w:bookmarkEnd w:id="379"/>
      <w:r>
        <w:rPr>
          <w:rFonts w:ascii="Times New Roman" w:hAnsi="Times New Roman" w:eastAsia="Times New Roman" w:cs="Times New Roman"/>
          <w:spacing w:val="-1"/>
          <w:sz w:val="30"/>
          <w:szCs w:val="30"/>
        </w:rPr>
        <w:t xml:space="preserve">4.5.2 </w:t>
      </w:r>
      <w:r>
        <w:rPr>
          <w:rFonts w:ascii="黑体" w:hAnsi="黑体" w:eastAsia="黑体" w:cs="黑体"/>
          <w:spacing w:val="-1"/>
          <w:sz w:val="30"/>
          <w:szCs w:val="30"/>
        </w:rPr>
        <w:t>危险废物治理措施</w:t>
      </w:r>
    </w:p>
    <w:p w14:paraId="69D025F6">
      <w:pPr>
        <w:spacing w:before="229" w:line="318" w:lineRule="auto"/>
        <w:ind w:left="7"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）煤气冷凝废水集中收集后排入隔油池，经隔油处理后会产生浮渣，主要成分</w:t>
      </w:r>
      <w:r>
        <w:rPr>
          <w:rFonts w:ascii="宋体" w:hAnsi="宋体" w:eastAsia="宋体" w:cs="宋体"/>
          <w:spacing w:val="13"/>
          <w:sz w:val="24"/>
          <w:szCs w:val="24"/>
        </w:rPr>
        <w:t xml:space="preserve"> </w:t>
      </w:r>
      <w:r>
        <w:rPr>
          <w:rFonts w:ascii="宋体" w:hAnsi="宋体" w:eastAsia="宋体" w:cs="宋体"/>
          <w:spacing w:val="-3"/>
          <w:sz w:val="24"/>
          <w:szCs w:val="24"/>
        </w:rPr>
        <w:t>为焦油、水，被列入《国家危险废物名录（</w:t>
      </w:r>
      <w:r>
        <w:rPr>
          <w:rFonts w:ascii="Times New Roman" w:hAnsi="Times New Roman" w:eastAsia="Times New Roman" w:cs="Times New Roman"/>
          <w:spacing w:val="-3"/>
          <w:sz w:val="24"/>
          <w:szCs w:val="24"/>
        </w:rPr>
        <w:t>2021</w:t>
      </w:r>
      <w:r>
        <w:rPr>
          <w:rFonts w:ascii="Times New Roman" w:hAnsi="Times New Roman" w:eastAsia="Times New Roman" w:cs="Times New Roman"/>
          <w:spacing w:val="25"/>
          <w:sz w:val="24"/>
          <w:szCs w:val="24"/>
        </w:rPr>
        <w:t xml:space="preserve"> </w:t>
      </w:r>
      <w:r>
        <w:rPr>
          <w:rFonts w:ascii="宋体" w:hAnsi="宋体" w:eastAsia="宋体" w:cs="宋体"/>
          <w:spacing w:val="-3"/>
          <w:sz w:val="24"/>
          <w:szCs w:val="24"/>
        </w:rPr>
        <w:t>年）》中，危废类别为</w:t>
      </w:r>
      <w:r>
        <w:rPr>
          <w:rFonts w:ascii="宋体" w:hAnsi="宋体" w:eastAsia="宋体" w:cs="宋体"/>
          <w:spacing w:val="-44"/>
          <w:sz w:val="24"/>
          <w:szCs w:val="24"/>
        </w:rPr>
        <w:t xml:space="preserve"> </w:t>
      </w:r>
      <w:r>
        <w:rPr>
          <w:rFonts w:ascii="Times New Roman" w:hAnsi="Times New Roman" w:eastAsia="Times New Roman" w:cs="Times New Roman"/>
          <w:spacing w:val="-3"/>
          <w:sz w:val="24"/>
          <w:szCs w:val="24"/>
        </w:rPr>
        <w:t>HW11</w:t>
      </w:r>
      <w:r>
        <w:rPr>
          <w:rFonts w:ascii="Times New Roman" w:hAnsi="Times New Roman" w:eastAsia="Times New Roman" w:cs="Times New Roman"/>
          <w:spacing w:val="19"/>
          <w:sz w:val="24"/>
          <w:szCs w:val="24"/>
        </w:rPr>
        <w:t xml:space="preserve"> </w:t>
      </w:r>
      <w:r>
        <w:rPr>
          <w:rFonts w:ascii="宋体" w:hAnsi="宋体" w:eastAsia="宋体" w:cs="宋体"/>
          <w:spacing w:val="-3"/>
          <w:sz w:val="24"/>
          <w:szCs w:val="24"/>
        </w:rPr>
        <w:t>精（蒸）</w:t>
      </w:r>
      <w:r>
        <w:rPr>
          <w:rFonts w:ascii="宋体" w:hAnsi="宋体" w:eastAsia="宋体" w:cs="宋体"/>
          <w:sz w:val="24"/>
          <w:szCs w:val="24"/>
        </w:rPr>
        <w:t xml:space="preserve"> </w:t>
      </w:r>
      <w:r>
        <w:rPr>
          <w:rFonts w:ascii="宋体" w:hAnsi="宋体" w:eastAsia="宋体" w:cs="宋体"/>
          <w:spacing w:val="1"/>
          <w:sz w:val="24"/>
          <w:szCs w:val="24"/>
        </w:rPr>
        <w:t>馏残渣，属于危险废物，桶装后在危废暂存库内分隔暂</w:t>
      </w:r>
      <w:r>
        <w:rPr>
          <w:rFonts w:ascii="宋体" w:hAnsi="宋体" w:eastAsia="宋体" w:cs="宋体"/>
          <w:sz w:val="24"/>
          <w:szCs w:val="24"/>
        </w:rPr>
        <w:t>存，定期委托有资质单位处理。</w:t>
      </w:r>
    </w:p>
    <w:p w14:paraId="38CF2162">
      <w:pPr>
        <w:spacing w:before="194" w:line="318" w:lineRule="auto"/>
        <w:ind w:left="12" w:right="94" w:firstLine="487"/>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）电捕焦油器用于去除粗煤气中的少量焦油杂质，主要成分为焦油和灰尘，被</w:t>
      </w:r>
      <w:r>
        <w:rPr>
          <w:rFonts w:ascii="宋体" w:hAnsi="宋体" w:eastAsia="宋体" w:cs="宋体"/>
          <w:spacing w:val="14"/>
          <w:sz w:val="24"/>
          <w:szCs w:val="24"/>
        </w:rPr>
        <w:t xml:space="preserve"> </w:t>
      </w:r>
      <w:r>
        <w:rPr>
          <w:rFonts w:ascii="宋体" w:hAnsi="宋体" w:eastAsia="宋体" w:cs="宋体"/>
          <w:spacing w:val="7"/>
          <w:sz w:val="24"/>
          <w:szCs w:val="24"/>
        </w:rPr>
        <w:t>列入《国家危险废物名录（</w:t>
      </w:r>
      <w:r>
        <w:rPr>
          <w:rFonts w:ascii="Times New Roman" w:hAnsi="Times New Roman" w:eastAsia="Times New Roman" w:cs="Times New Roman"/>
          <w:spacing w:val="7"/>
          <w:sz w:val="24"/>
          <w:szCs w:val="24"/>
        </w:rPr>
        <w:t>2021</w:t>
      </w:r>
      <w:r>
        <w:rPr>
          <w:rFonts w:ascii="Times New Roman" w:hAnsi="Times New Roman" w:eastAsia="Times New Roman" w:cs="Times New Roman"/>
          <w:spacing w:val="22"/>
          <w:sz w:val="24"/>
          <w:szCs w:val="24"/>
        </w:rPr>
        <w:t xml:space="preserve"> </w:t>
      </w:r>
      <w:r>
        <w:rPr>
          <w:rFonts w:ascii="宋体" w:hAnsi="宋体" w:eastAsia="宋体" w:cs="宋体"/>
          <w:spacing w:val="7"/>
          <w:sz w:val="24"/>
          <w:szCs w:val="24"/>
        </w:rPr>
        <w:t>年）》中，危废类别为</w:t>
      </w:r>
      <w:r>
        <w:rPr>
          <w:rFonts w:ascii="宋体" w:hAnsi="宋体" w:eastAsia="宋体" w:cs="宋体"/>
          <w:spacing w:val="-44"/>
          <w:sz w:val="24"/>
          <w:szCs w:val="24"/>
        </w:rPr>
        <w:t xml:space="preserve"> </w:t>
      </w:r>
      <w:r>
        <w:rPr>
          <w:rFonts w:ascii="Times New Roman" w:hAnsi="Times New Roman" w:eastAsia="Times New Roman" w:cs="Times New Roman"/>
          <w:sz w:val="24"/>
          <w:szCs w:val="24"/>
        </w:rPr>
        <w:t>HW</w:t>
      </w:r>
      <w:r>
        <w:rPr>
          <w:rFonts w:ascii="Times New Roman" w:hAnsi="Times New Roman" w:eastAsia="Times New Roman" w:cs="Times New Roman"/>
          <w:spacing w:val="7"/>
          <w:sz w:val="24"/>
          <w:szCs w:val="24"/>
        </w:rPr>
        <w:t>11</w:t>
      </w:r>
      <w:r>
        <w:rPr>
          <w:rFonts w:ascii="Times New Roman" w:hAnsi="Times New Roman" w:eastAsia="Times New Roman" w:cs="Times New Roman"/>
          <w:spacing w:val="21"/>
          <w:sz w:val="24"/>
          <w:szCs w:val="24"/>
        </w:rPr>
        <w:t xml:space="preserve"> </w:t>
      </w:r>
      <w:r>
        <w:rPr>
          <w:rFonts w:ascii="宋体" w:hAnsi="宋体" w:eastAsia="宋体" w:cs="宋体"/>
          <w:spacing w:val="7"/>
          <w:sz w:val="24"/>
          <w:szCs w:val="24"/>
        </w:rPr>
        <w:t>精（蒸）馏残渣，属</w:t>
      </w:r>
      <w:r>
        <w:rPr>
          <w:rFonts w:ascii="宋体" w:hAnsi="宋体" w:eastAsia="宋体" w:cs="宋体"/>
          <w:sz w:val="24"/>
          <w:szCs w:val="24"/>
        </w:rPr>
        <w:t xml:space="preserve"> </w:t>
      </w:r>
      <w:r>
        <w:rPr>
          <w:rFonts w:ascii="宋体" w:hAnsi="宋体" w:eastAsia="宋体" w:cs="宋体"/>
          <w:spacing w:val="-1"/>
          <w:sz w:val="24"/>
          <w:szCs w:val="24"/>
        </w:rPr>
        <w:t>于危险废物，桶装后在危废暂存库分隔暂存，定期委托有资质单位处理。</w:t>
      </w:r>
    </w:p>
    <w:p w14:paraId="3C422CFE">
      <w:pPr>
        <w:spacing w:before="194" w:line="319" w:lineRule="auto"/>
        <w:ind w:left="12" w:right="94" w:firstLine="487"/>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）加压后的煤气通过精过滤器时会产生过滤杂质，主要成分为焦油和灰尘，被</w:t>
      </w:r>
      <w:r>
        <w:rPr>
          <w:rFonts w:ascii="宋体" w:hAnsi="宋体" w:eastAsia="宋体" w:cs="宋体"/>
          <w:spacing w:val="14"/>
          <w:sz w:val="24"/>
          <w:szCs w:val="24"/>
        </w:rPr>
        <w:t xml:space="preserve"> </w:t>
      </w:r>
      <w:r>
        <w:rPr>
          <w:rFonts w:ascii="宋体" w:hAnsi="宋体" w:eastAsia="宋体" w:cs="宋体"/>
          <w:spacing w:val="7"/>
          <w:sz w:val="24"/>
          <w:szCs w:val="24"/>
        </w:rPr>
        <w:t>列入《国家危险废物名录（</w:t>
      </w:r>
      <w:r>
        <w:rPr>
          <w:rFonts w:ascii="Times New Roman" w:hAnsi="Times New Roman" w:eastAsia="Times New Roman" w:cs="Times New Roman"/>
          <w:spacing w:val="7"/>
          <w:sz w:val="24"/>
          <w:szCs w:val="24"/>
        </w:rPr>
        <w:t>2021</w:t>
      </w:r>
      <w:r>
        <w:rPr>
          <w:rFonts w:ascii="Times New Roman" w:hAnsi="Times New Roman" w:eastAsia="Times New Roman" w:cs="Times New Roman"/>
          <w:spacing w:val="22"/>
          <w:sz w:val="24"/>
          <w:szCs w:val="24"/>
        </w:rPr>
        <w:t xml:space="preserve"> </w:t>
      </w:r>
      <w:r>
        <w:rPr>
          <w:rFonts w:ascii="宋体" w:hAnsi="宋体" w:eastAsia="宋体" w:cs="宋体"/>
          <w:spacing w:val="7"/>
          <w:sz w:val="24"/>
          <w:szCs w:val="24"/>
        </w:rPr>
        <w:t>年）》中，危废类别为</w:t>
      </w:r>
      <w:r>
        <w:rPr>
          <w:rFonts w:ascii="宋体" w:hAnsi="宋体" w:eastAsia="宋体" w:cs="宋体"/>
          <w:spacing w:val="-44"/>
          <w:sz w:val="24"/>
          <w:szCs w:val="24"/>
        </w:rPr>
        <w:t xml:space="preserve"> </w:t>
      </w:r>
      <w:r>
        <w:rPr>
          <w:rFonts w:ascii="Times New Roman" w:hAnsi="Times New Roman" w:eastAsia="Times New Roman" w:cs="Times New Roman"/>
          <w:sz w:val="24"/>
          <w:szCs w:val="24"/>
        </w:rPr>
        <w:t>HW</w:t>
      </w:r>
      <w:r>
        <w:rPr>
          <w:rFonts w:ascii="Times New Roman" w:hAnsi="Times New Roman" w:eastAsia="Times New Roman" w:cs="Times New Roman"/>
          <w:spacing w:val="7"/>
          <w:sz w:val="24"/>
          <w:szCs w:val="24"/>
        </w:rPr>
        <w:t>11</w:t>
      </w:r>
      <w:r>
        <w:rPr>
          <w:rFonts w:ascii="Times New Roman" w:hAnsi="Times New Roman" w:eastAsia="Times New Roman" w:cs="Times New Roman"/>
          <w:spacing w:val="21"/>
          <w:sz w:val="24"/>
          <w:szCs w:val="24"/>
        </w:rPr>
        <w:t xml:space="preserve"> </w:t>
      </w:r>
      <w:r>
        <w:rPr>
          <w:rFonts w:ascii="宋体" w:hAnsi="宋体" w:eastAsia="宋体" w:cs="宋体"/>
          <w:spacing w:val="7"/>
          <w:sz w:val="24"/>
          <w:szCs w:val="24"/>
        </w:rPr>
        <w:t>精（蒸）馏残渣，属</w:t>
      </w:r>
      <w:r>
        <w:rPr>
          <w:rFonts w:ascii="宋体" w:hAnsi="宋体" w:eastAsia="宋体" w:cs="宋体"/>
          <w:sz w:val="24"/>
          <w:szCs w:val="24"/>
        </w:rPr>
        <w:t xml:space="preserve"> </w:t>
      </w:r>
      <w:r>
        <w:rPr>
          <w:rFonts w:ascii="宋体" w:hAnsi="宋体" w:eastAsia="宋体" w:cs="宋体"/>
          <w:spacing w:val="-1"/>
          <w:sz w:val="24"/>
          <w:szCs w:val="24"/>
        </w:rPr>
        <w:t>于危险废物，在危废暂存库分隔暂存，定期委托有资质单位处理。</w:t>
      </w:r>
    </w:p>
    <w:p w14:paraId="683620DB">
      <w:pPr>
        <w:spacing w:before="192" w:line="332" w:lineRule="auto"/>
        <w:ind w:left="11" w:right="94" w:firstLine="488"/>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4</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SCR </w:t>
      </w:r>
      <w:r>
        <w:rPr>
          <w:rFonts w:ascii="宋体" w:hAnsi="宋体" w:eastAsia="宋体" w:cs="宋体"/>
          <w:spacing w:val="-2"/>
          <w:sz w:val="24"/>
          <w:szCs w:val="24"/>
        </w:rPr>
        <w:t>脱硝装置催化剂主要成分为</w:t>
      </w:r>
      <w:r>
        <w:rPr>
          <w:rFonts w:ascii="宋体" w:hAnsi="宋体" w:eastAsia="宋体" w:cs="宋体"/>
          <w:spacing w:val="-37"/>
          <w:sz w:val="24"/>
          <w:szCs w:val="24"/>
        </w:rPr>
        <w:t xml:space="preserve"> </w:t>
      </w:r>
      <w:r>
        <w:rPr>
          <w:rFonts w:ascii="Times New Roman" w:hAnsi="Times New Roman" w:eastAsia="Times New Roman" w:cs="Times New Roman"/>
          <w:spacing w:val="-2"/>
          <w:sz w:val="24"/>
          <w:szCs w:val="24"/>
        </w:rPr>
        <w:t>V</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
          <w:sz w:val="24"/>
          <w:szCs w:val="24"/>
        </w:rPr>
        <w:t>O</w:t>
      </w:r>
      <w:r>
        <w:rPr>
          <w:rFonts w:ascii="Times New Roman" w:hAnsi="Times New Roman" w:eastAsia="Times New Roman" w:cs="Times New Roman"/>
          <w:spacing w:val="-2"/>
          <w:position w:val="-1"/>
          <w:sz w:val="15"/>
          <w:szCs w:val="15"/>
        </w:rPr>
        <w:t>5</w:t>
      </w:r>
      <w:r>
        <w:rPr>
          <w:rFonts w:ascii="Times New Roman" w:hAnsi="Times New Roman" w:eastAsia="Times New Roman" w:cs="Times New Roman"/>
          <w:spacing w:val="-10"/>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TiO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0"/>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WO</w:t>
      </w:r>
      <w:r>
        <w:rPr>
          <w:rFonts w:ascii="Times New Roman" w:hAnsi="Times New Roman" w:eastAsia="Times New Roman" w:cs="Times New Roman"/>
          <w:spacing w:val="-2"/>
          <w:position w:val="-1"/>
          <w:sz w:val="15"/>
          <w:szCs w:val="15"/>
        </w:rPr>
        <w:t>3</w:t>
      </w:r>
      <w:r>
        <w:rPr>
          <w:rFonts w:ascii="Times New Roman" w:hAnsi="Times New Roman" w:eastAsia="Times New Roman" w:cs="Times New Roman"/>
          <w:spacing w:val="-8"/>
          <w:position w:val="-1"/>
          <w:sz w:val="15"/>
          <w:szCs w:val="15"/>
        </w:rPr>
        <w:t xml:space="preserve"> </w:t>
      </w:r>
      <w:r>
        <w:rPr>
          <w:rFonts w:ascii="宋体" w:hAnsi="宋体" w:eastAsia="宋体" w:cs="宋体"/>
          <w:spacing w:val="-2"/>
          <w:sz w:val="24"/>
          <w:szCs w:val="24"/>
        </w:rPr>
        <w:t>，其使用寿命为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 xml:space="preserve">2.5 </w:t>
      </w:r>
      <w:r>
        <w:rPr>
          <w:rFonts w:ascii="宋体" w:hAnsi="宋体" w:eastAsia="宋体" w:cs="宋体"/>
          <w:spacing w:val="-2"/>
          <w:sz w:val="24"/>
          <w:szCs w:val="24"/>
        </w:rPr>
        <w:t>年，</w:t>
      </w:r>
      <w:r>
        <w:rPr>
          <w:rFonts w:ascii="宋体" w:hAnsi="宋体" w:eastAsia="宋体" w:cs="宋体"/>
          <w:sz w:val="24"/>
          <w:szCs w:val="24"/>
        </w:rPr>
        <w:t xml:space="preserve"> </w:t>
      </w:r>
      <w:r>
        <w:rPr>
          <w:rFonts w:ascii="宋体" w:hAnsi="宋体" w:eastAsia="宋体" w:cs="宋体"/>
          <w:spacing w:val="2"/>
          <w:sz w:val="24"/>
          <w:szCs w:val="24"/>
        </w:rPr>
        <w:t>定期更换产生废脱硝催化剂，被列入《国家危险废物名录（</w:t>
      </w:r>
      <w:r>
        <w:rPr>
          <w:rFonts w:ascii="Times New Roman" w:hAnsi="Times New Roman" w:eastAsia="Times New Roman" w:cs="Times New Roman"/>
          <w:spacing w:val="2"/>
          <w:sz w:val="24"/>
          <w:szCs w:val="24"/>
        </w:rPr>
        <w:t>2021</w:t>
      </w:r>
      <w:r>
        <w:rPr>
          <w:rFonts w:ascii="Times New Roman" w:hAnsi="Times New Roman" w:eastAsia="Times New Roman" w:cs="Times New Roman"/>
          <w:spacing w:val="33"/>
          <w:sz w:val="24"/>
          <w:szCs w:val="24"/>
        </w:rPr>
        <w:t xml:space="preserve"> </w:t>
      </w:r>
      <w:r>
        <w:rPr>
          <w:rFonts w:ascii="宋体" w:hAnsi="宋体" w:eastAsia="宋体" w:cs="宋体"/>
          <w:spacing w:val="2"/>
          <w:sz w:val="24"/>
          <w:szCs w:val="24"/>
        </w:rPr>
        <w:t>年）》中，危废类别</w:t>
      </w:r>
      <w:r>
        <w:rPr>
          <w:rFonts w:ascii="宋体" w:hAnsi="宋体" w:eastAsia="宋体" w:cs="宋体"/>
          <w:sz w:val="24"/>
          <w:szCs w:val="24"/>
        </w:rPr>
        <w:t xml:space="preserve"> </w:t>
      </w:r>
      <w:r>
        <w:rPr>
          <w:rFonts w:ascii="宋体" w:hAnsi="宋体" w:eastAsia="宋体" w:cs="宋体"/>
          <w:spacing w:val="3"/>
          <w:sz w:val="24"/>
          <w:szCs w:val="24"/>
        </w:rPr>
        <w:t>为</w:t>
      </w:r>
      <w:r>
        <w:rPr>
          <w:rFonts w:ascii="宋体" w:hAnsi="宋体" w:eastAsia="宋体" w:cs="宋体"/>
          <w:spacing w:val="-44"/>
          <w:sz w:val="24"/>
          <w:szCs w:val="24"/>
        </w:rPr>
        <w:t xml:space="preserve"> </w:t>
      </w:r>
      <w:r>
        <w:rPr>
          <w:rFonts w:ascii="Times New Roman" w:hAnsi="Times New Roman" w:eastAsia="Times New Roman" w:cs="Times New Roman"/>
          <w:sz w:val="24"/>
          <w:szCs w:val="24"/>
        </w:rPr>
        <w:t>HW</w:t>
      </w:r>
      <w:r>
        <w:rPr>
          <w:rFonts w:ascii="Times New Roman" w:hAnsi="Times New Roman" w:eastAsia="Times New Roman" w:cs="Times New Roman"/>
          <w:spacing w:val="3"/>
          <w:sz w:val="24"/>
          <w:szCs w:val="24"/>
        </w:rPr>
        <w:t>50</w:t>
      </w:r>
      <w:r>
        <w:rPr>
          <w:rFonts w:ascii="Times New Roman" w:hAnsi="Times New Roman" w:eastAsia="Times New Roman" w:cs="Times New Roman"/>
          <w:spacing w:val="20"/>
          <w:w w:val="101"/>
          <w:sz w:val="24"/>
          <w:szCs w:val="24"/>
        </w:rPr>
        <w:t xml:space="preserve"> </w:t>
      </w:r>
      <w:r>
        <w:rPr>
          <w:rFonts w:ascii="宋体" w:hAnsi="宋体" w:eastAsia="宋体" w:cs="宋体"/>
          <w:spacing w:val="3"/>
          <w:sz w:val="24"/>
          <w:szCs w:val="24"/>
        </w:rPr>
        <w:t>废催化剂，属于危险废物，在危废暂存库内分隔暂存，定期委</w:t>
      </w:r>
      <w:r>
        <w:rPr>
          <w:rFonts w:ascii="宋体" w:hAnsi="宋体" w:eastAsia="宋体" w:cs="宋体"/>
          <w:spacing w:val="2"/>
          <w:sz w:val="24"/>
          <w:szCs w:val="24"/>
        </w:rPr>
        <w:t>托有资质单位</w:t>
      </w:r>
      <w:r>
        <w:rPr>
          <w:rFonts w:ascii="宋体" w:hAnsi="宋体" w:eastAsia="宋体" w:cs="宋体"/>
          <w:sz w:val="24"/>
          <w:szCs w:val="24"/>
        </w:rPr>
        <w:t xml:space="preserve"> </w:t>
      </w:r>
      <w:r>
        <w:rPr>
          <w:rFonts w:ascii="宋体" w:hAnsi="宋体" w:eastAsia="宋体" w:cs="宋体"/>
          <w:spacing w:val="-5"/>
          <w:sz w:val="24"/>
          <w:szCs w:val="24"/>
        </w:rPr>
        <w:t>处理。</w:t>
      </w:r>
    </w:p>
    <w:p w14:paraId="4E9C58CA">
      <w:pPr>
        <w:spacing w:before="189" w:line="331" w:lineRule="auto"/>
        <w:ind w:left="7" w:right="14" w:firstLine="492"/>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）设备保养、检修、维修产生的废矿物油，主要废润滑油、液压油、变压器油、</w:t>
      </w:r>
      <w:r>
        <w:rPr>
          <w:rFonts w:ascii="宋体" w:hAnsi="宋体" w:eastAsia="宋体" w:cs="宋体"/>
          <w:spacing w:val="1"/>
          <w:sz w:val="24"/>
          <w:szCs w:val="24"/>
        </w:rPr>
        <w:t xml:space="preserve"> </w:t>
      </w:r>
      <w:r>
        <w:rPr>
          <w:rFonts w:ascii="宋体" w:hAnsi="宋体" w:eastAsia="宋体" w:cs="宋体"/>
          <w:spacing w:val="8"/>
          <w:sz w:val="24"/>
          <w:szCs w:val="24"/>
        </w:rPr>
        <w:t>发电机润滑油等，被列入《国家危险废物名录（</w:t>
      </w:r>
      <w:r>
        <w:rPr>
          <w:rFonts w:ascii="Times New Roman" w:hAnsi="Times New Roman" w:eastAsia="Times New Roman" w:cs="Times New Roman"/>
          <w:spacing w:val="8"/>
          <w:sz w:val="24"/>
          <w:szCs w:val="24"/>
        </w:rPr>
        <w:t>202</w:t>
      </w:r>
      <w:r>
        <w:rPr>
          <w:rFonts w:ascii="Times New Roman" w:hAnsi="Times New Roman" w:eastAsia="Times New Roman" w:cs="Times New Roman"/>
          <w:spacing w:val="7"/>
          <w:sz w:val="24"/>
          <w:szCs w:val="24"/>
        </w:rPr>
        <w:t>1</w:t>
      </w:r>
      <w:r>
        <w:rPr>
          <w:rFonts w:ascii="Times New Roman" w:hAnsi="Times New Roman" w:eastAsia="Times New Roman" w:cs="Times New Roman"/>
          <w:spacing w:val="25"/>
          <w:sz w:val="24"/>
          <w:szCs w:val="24"/>
        </w:rPr>
        <w:t xml:space="preserve"> </w:t>
      </w:r>
      <w:r>
        <w:rPr>
          <w:rFonts w:ascii="宋体" w:hAnsi="宋体" w:eastAsia="宋体" w:cs="宋体"/>
          <w:spacing w:val="7"/>
          <w:sz w:val="24"/>
          <w:szCs w:val="24"/>
        </w:rPr>
        <w:t>年）</w:t>
      </w:r>
      <w:r>
        <w:rPr>
          <w:rFonts w:ascii="宋体" w:hAnsi="宋体" w:eastAsia="宋体" w:cs="宋体"/>
          <w:spacing w:val="-71"/>
          <w:sz w:val="24"/>
          <w:szCs w:val="24"/>
        </w:rPr>
        <w:t xml:space="preserve"> </w:t>
      </w:r>
      <w:r>
        <w:rPr>
          <w:rFonts w:ascii="宋体" w:hAnsi="宋体" w:eastAsia="宋体" w:cs="宋体"/>
          <w:spacing w:val="7"/>
          <w:sz w:val="24"/>
          <w:szCs w:val="24"/>
        </w:rPr>
        <w:t>》中，危废类别为</w:t>
      </w:r>
      <w:r>
        <w:rPr>
          <w:rFonts w:ascii="宋体" w:hAnsi="宋体" w:eastAsia="宋体" w:cs="宋体"/>
          <w:spacing w:val="-40"/>
          <w:sz w:val="24"/>
          <w:szCs w:val="24"/>
        </w:rPr>
        <w:t xml:space="preserve"> </w:t>
      </w:r>
      <w:r>
        <w:rPr>
          <w:rFonts w:ascii="Times New Roman" w:hAnsi="Times New Roman" w:eastAsia="Times New Roman" w:cs="Times New Roman"/>
          <w:sz w:val="24"/>
          <w:szCs w:val="24"/>
        </w:rPr>
        <w:t>HW</w:t>
      </w:r>
      <w:r>
        <w:rPr>
          <w:rFonts w:ascii="Times New Roman" w:hAnsi="Times New Roman" w:eastAsia="Times New Roman" w:cs="Times New Roman"/>
          <w:spacing w:val="7"/>
          <w:sz w:val="24"/>
          <w:szCs w:val="24"/>
        </w:rPr>
        <w:t>08</w:t>
      </w:r>
      <w:r>
        <w:rPr>
          <w:rFonts w:ascii="Times New Roman" w:hAnsi="Times New Roman" w:eastAsia="Times New Roman" w:cs="Times New Roman"/>
          <w:sz w:val="24"/>
          <w:szCs w:val="24"/>
        </w:rPr>
        <w:t xml:space="preserve">  </w:t>
      </w:r>
      <w:r>
        <w:rPr>
          <w:rFonts w:ascii="宋体" w:hAnsi="宋体" w:eastAsia="宋体" w:cs="宋体"/>
          <w:spacing w:val="5"/>
          <w:sz w:val="24"/>
          <w:szCs w:val="24"/>
        </w:rPr>
        <w:t>废矿物油与含矿物油废物，属于危险废物，桶装后在危废暂存库内分隔暂存，</w:t>
      </w:r>
      <w:r>
        <w:rPr>
          <w:rFonts w:ascii="宋体" w:hAnsi="宋体" w:eastAsia="宋体" w:cs="宋体"/>
          <w:spacing w:val="4"/>
          <w:sz w:val="24"/>
          <w:szCs w:val="24"/>
        </w:rPr>
        <w:t>委托有</w:t>
      </w:r>
      <w:r>
        <w:rPr>
          <w:rFonts w:ascii="宋体" w:hAnsi="宋体" w:eastAsia="宋体" w:cs="宋体"/>
          <w:sz w:val="24"/>
          <w:szCs w:val="24"/>
        </w:rPr>
        <w:t xml:space="preserve"> </w:t>
      </w:r>
      <w:r>
        <w:rPr>
          <w:rFonts w:ascii="宋体" w:hAnsi="宋体" w:eastAsia="宋体" w:cs="宋体"/>
          <w:spacing w:val="-2"/>
          <w:sz w:val="24"/>
          <w:szCs w:val="24"/>
        </w:rPr>
        <w:t>资质单位处理。</w:t>
      </w:r>
    </w:p>
    <w:p w14:paraId="4A8B8BF5">
      <w:pPr>
        <w:spacing w:before="191" w:line="339" w:lineRule="auto"/>
        <w:ind w:left="8" w:right="94"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6</w:t>
      </w:r>
      <w:r>
        <w:rPr>
          <w:rFonts w:ascii="宋体" w:hAnsi="宋体" w:eastAsia="宋体" w:cs="宋体"/>
          <w:spacing w:val="1"/>
          <w:sz w:val="24"/>
          <w:szCs w:val="24"/>
        </w:rPr>
        <w:t>）化验室运行会产生化验室废液，主要为检验废液（包含各种化学废液、含有</w:t>
      </w:r>
      <w:r>
        <w:rPr>
          <w:rFonts w:ascii="宋体" w:hAnsi="宋体" w:eastAsia="宋体" w:cs="宋体"/>
          <w:spacing w:val="13"/>
          <w:sz w:val="24"/>
          <w:szCs w:val="24"/>
        </w:rPr>
        <w:t xml:space="preserve"> </w:t>
      </w:r>
      <w:r>
        <w:rPr>
          <w:rFonts w:ascii="宋体" w:hAnsi="宋体" w:eastAsia="宋体" w:cs="宋体"/>
          <w:spacing w:val="-2"/>
          <w:sz w:val="24"/>
          <w:szCs w:val="24"/>
        </w:rPr>
        <w:t>化学试剂的废水）、含重金属清洗废水及高浓度清洗废水，主要成分为酸碱废液或其他</w:t>
      </w:r>
      <w:r>
        <w:rPr>
          <w:rFonts w:ascii="宋体" w:hAnsi="宋体" w:eastAsia="宋体" w:cs="宋体"/>
          <w:spacing w:val="17"/>
          <w:sz w:val="24"/>
          <w:szCs w:val="24"/>
        </w:rPr>
        <w:t xml:space="preserve"> </w:t>
      </w:r>
      <w:r>
        <w:rPr>
          <w:rFonts w:ascii="宋体" w:hAnsi="宋体" w:eastAsia="宋体" w:cs="宋体"/>
          <w:spacing w:val="7"/>
          <w:sz w:val="24"/>
          <w:szCs w:val="24"/>
        </w:rPr>
        <w:t>有机废液，被列入《国家危险废物名录（</w:t>
      </w:r>
      <w:r>
        <w:rPr>
          <w:rFonts w:ascii="Times New Roman" w:hAnsi="Times New Roman" w:eastAsia="Times New Roman" w:cs="Times New Roman"/>
          <w:spacing w:val="7"/>
          <w:sz w:val="24"/>
          <w:szCs w:val="24"/>
        </w:rPr>
        <w:t>2021</w:t>
      </w:r>
      <w:r>
        <w:rPr>
          <w:rFonts w:ascii="Times New Roman" w:hAnsi="Times New Roman" w:eastAsia="Times New Roman" w:cs="Times New Roman"/>
          <w:spacing w:val="24"/>
          <w:w w:val="101"/>
          <w:sz w:val="24"/>
          <w:szCs w:val="24"/>
        </w:rPr>
        <w:t xml:space="preserve"> </w:t>
      </w:r>
      <w:r>
        <w:rPr>
          <w:rFonts w:ascii="宋体" w:hAnsi="宋体" w:eastAsia="宋体" w:cs="宋体"/>
          <w:spacing w:val="7"/>
          <w:sz w:val="24"/>
          <w:szCs w:val="24"/>
        </w:rPr>
        <w:t>年）》中，</w:t>
      </w:r>
      <w:r>
        <w:rPr>
          <w:rFonts w:ascii="宋体" w:hAnsi="宋体" w:eastAsia="宋体" w:cs="宋体"/>
          <w:spacing w:val="6"/>
          <w:sz w:val="24"/>
          <w:szCs w:val="24"/>
        </w:rPr>
        <w:t>危废类别为</w:t>
      </w:r>
      <w:r>
        <w:rPr>
          <w:rFonts w:ascii="宋体" w:hAnsi="宋体" w:eastAsia="宋体" w:cs="宋体"/>
          <w:spacing w:val="-44"/>
          <w:sz w:val="24"/>
          <w:szCs w:val="24"/>
        </w:rPr>
        <w:t xml:space="preserve"> </w:t>
      </w:r>
      <w:r>
        <w:rPr>
          <w:rFonts w:ascii="Times New Roman" w:hAnsi="Times New Roman" w:eastAsia="Times New Roman" w:cs="Times New Roman"/>
          <w:sz w:val="24"/>
          <w:szCs w:val="24"/>
        </w:rPr>
        <w:t>HW</w:t>
      </w:r>
      <w:r>
        <w:rPr>
          <w:rFonts w:ascii="Times New Roman" w:hAnsi="Times New Roman" w:eastAsia="Times New Roman" w:cs="Times New Roman"/>
          <w:spacing w:val="6"/>
          <w:sz w:val="24"/>
          <w:szCs w:val="24"/>
        </w:rPr>
        <w:t>49</w:t>
      </w:r>
      <w:r>
        <w:rPr>
          <w:rFonts w:ascii="Times New Roman" w:hAnsi="Times New Roman" w:eastAsia="Times New Roman" w:cs="Times New Roman"/>
          <w:spacing w:val="22"/>
          <w:sz w:val="24"/>
          <w:szCs w:val="24"/>
        </w:rPr>
        <w:t xml:space="preserve"> </w:t>
      </w:r>
      <w:r>
        <w:rPr>
          <w:rFonts w:ascii="宋体" w:hAnsi="宋体" w:eastAsia="宋体" w:cs="宋体"/>
          <w:spacing w:val="6"/>
          <w:sz w:val="24"/>
          <w:szCs w:val="24"/>
        </w:rPr>
        <w:t>其他废</w:t>
      </w:r>
      <w:r>
        <w:rPr>
          <w:rFonts w:ascii="宋体" w:hAnsi="宋体" w:eastAsia="宋体" w:cs="宋体"/>
          <w:sz w:val="24"/>
          <w:szCs w:val="24"/>
        </w:rPr>
        <w:t xml:space="preserve"> </w:t>
      </w:r>
      <w:r>
        <w:rPr>
          <w:rFonts w:ascii="宋体" w:hAnsi="宋体" w:eastAsia="宋体" w:cs="宋体"/>
          <w:spacing w:val="-2"/>
          <w:sz w:val="24"/>
          <w:szCs w:val="24"/>
        </w:rPr>
        <w:t>物，属于危险废物，分类装入密封高密度聚乙烯桶后在危废库内暂存，委托有资质单位</w:t>
      </w:r>
      <w:r>
        <w:rPr>
          <w:rFonts w:ascii="宋体" w:hAnsi="宋体" w:eastAsia="宋体" w:cs="宋体"/>
          <w:spacing w:val="17"/>
          <w:sz w:val="24"/>
          <w:szCs w:val="24"/>
        </w:rPr>
        <w:t xml:space="preserve"> </w:t>
      </w:r>
      <w:r>
        <w:rPr>
          <w:rFonts w:ascii="宋体" w:hAnsi="宋体" w:eastAsia="宋体" w:cs="宋体"/>
          <w:spacing w:val="-4"/>
          <w:sz w:val="24"/>
          <w:szCs w:val="24"/>
        </w:rPr>
        <w:t>处理。</w:t>
      </w:r>
    </w:p>
    <w:p w14:paraId="19009B93">
      <w:pPr>
        <w:spacing w:before="238" w:line="222" w:lineRule="auto"/>
        <w:ind w:left="3"/>
        <w:outlineLvl w:val="2"/>
        <w:rPr>
          <w:rFonts w:ascii="黑体" w:hAnsi="黑体" w:eastAsia="黑体" w:cs="黑体"/>
          <w:sz w:val="30"/>
          <w:szCs w:val="30"/>
        </w:rPr>
      </w:pPr>
      <w:bookmarkStart w:id="380" w:name="bookmark228"/>
      <w:bookmarkEnd w:id="380"/>
      <w:r>
        <w:rPr>
          <w:rFonts w:ascii="Times New Roman" w:hAnsi="Times New Roman" w:eastAsia="Times New Roman" w:cs="Times New Roman"/>
          <w:spacing w:val="-1"/>
          <w:sz w:val="30"/>
          <w:szCs w:val="30"/>
        </w:rPr>
        <w:t xml:space="preserve">4.5.3 </w:t>
      </w:r>
      <w:r>
        <w:rPr>
          <w:rFonts w:ascii="黑体" w:hAnsi="黑体" w:eastAsia="黑体" w:cs="黑体"/>
          <w:spacing w:val="-1"/>
          <w:sz w:val="30"/>
          <w:szCs w:val="30"/>
        </w:rPr>
        <w:t>其他固废治理措施</w:t>
      </w:r>
    </w:p>
    <w:p w14:paraId="2C8D75B3">
      <w:pPr>
        <w:spacing w:before="230" w:line="354" w:lineRule="auto"/>
        <w:ind w:left="11" w:right="94" w:firstLine="478"/>
        <w:rPr>
          <w:rFonts w:ascii="宋体" w:hAnsi="宋体" w:eastAsia="宋体" w:cs="宋体"/>
          <w:sz w:val="24"/>
          <w:szCs w:val="24"/>
        </w:rPr>
      </w:pPr>
      <w:r>
        <w:rPr>
          <w:rFonts w:ascii="宋体" w:hAnsi="宋体" w:eastAsia="宋体" w:cs="宋体"/>
          <w:spacing w:val="5"/>
          <w:sz w:val="24"/>
          <w:szCs w:val="24"/>
        </w:rPr>
        <w:t xml:space="preserve">本项目产生的生活垃圾在厂区内集中收集后，生活垃圾委托园区环卫部门定期清 </w:t>
      </w:r>
      <w:r>
        <w:rPr>
          <w:rFonts w:ascii="宋体" w:hAnsi="宋体" w:eastAsia="宋体" w:cs="宋体"/>
          <w:spacing w:val="-1"/>
          <w:sz w:val="24"/>
          <w:szCs w:val="24"/>
        </w:rPr>
        <w:t>理，送往生活垃圾填埋场卫生填埋。</w:t>
      </w:r>
    </w:p>
    <w:p w14:paraId="1333702B">
      <w:pPr>
        <w:spacing w:before="85" w:line="222" w:lineRule="auto"/>
        <w:ind w:left="3"/>
        <w:outlineLvl w:val="2"/>
        <w:rPr>
          <w:rFonts w:ascii="黑体" w:hAnsi="黑体" w:eastAsia="黑体" w:cs="黑体"/>
          <w:sz w:val="30"/>
          <w:szCs w:val="30"/>
        </w:rPr>
      </w:pPr>
      <w:bookmarkStart w:id="381" w:name="bookmark230"/>
      <w:bookmarkEnd w:id="381"/>
      <w:r>
        <w:rPr>
          <w:rFonts w:ascii="Times New Roman" w:hAnsi="Times New Roman" w:eastAsia="Times New Roman" w:cs="Times New Roman"/>
          <w:spacing w:val="-1"/>
          <w:sz w:val="30"/>
          <w:szCs w:val="30"/>
        </w:rPr>
        <w:t xml:space="preserve">4.5.4 </w:t>
      </w:r>
      <w:r>
        <w:rPr>
          <w:rFonts w:ascii="黑体" w:hAnsi="黑体" w:eastAsia="黑体" w:cs="黑体"/>
          <w:spacing w:val="-1"/>
          <w:sz w:val="30"/>
          <w:szCs w:val="30"/>
        </w:rPr>
        <w:t>环境影响分析</w:t>
      </w:r>
    </w:p>
    <w:p w14:paraId="6D0C563B">
      <w:pPr>
        <w:spacing w:before="227" w:line="219" w:lineRule="auto"/>
        <w:ind w:left="488"/>
        <w:rPr>
          <w:rFonts w:ascii="宋体" w:hAnsi="宋体" w:eastAsia="宋体" w:cs="宋体"/>
          <w:sz w:val="24"/>
          <w:szCs w:val="24"/>
        </w:rPr>
      </w:pPr>
      <w:r>
        <w:rPr>
          <w:rFonts w:ascii="宋体" w:hAnsi="宋体" w:eastAsia="宋体" w:cs="宋体"/>
          <w:spacing w:val="-2"/>
          <w:sz w:val="24"/>
          <w:szCs w:val="24"/>
        </w:rPr>
        <w:t>通常固体废物中有害物质通过释放到水体、土壤和大气中而进入环境，对环境造成</w:t>
      </w:r>
    </w:p>
    <w:p w14:paraId="4832EBB4">
      <w:pPr>
        <w:spacing w:line="219" w:lineRule="auto"/>
        <w:rPr>
          <w:rFonts w:ascii="宋体" w:hAnsi="宋体" w:eastAsia="宋体" w:cs="宋体"/>
          <w:sz w:val="24"/>
          <w:szCs w:val="24"/>
        </w:rPr>
        <w:sectPr>
          <w:headerReference r:id="rId358" w:type="default"/>
          <w:footerReference r:id="rId359" w:type="default"/>
          <w:pgSz w:w="11906" w:h="16839"/>
          <w:pgMar w:top="1191" w:right="1323" w:bottom="1569" w:left="1417" w:header="882" w:footer="1407" w:gutter="0"/>
          <w:cols w:space="720" w:num="1"/>
        </w:sectPr>
      </w:pPr>
    </w:p>
    <w:p w14:paraId="41007FC7">
      <w:pPr>
        <w:spacing w:line="28" w:lineRule="exact"/>
        <w:ind w:firstLine="108"/>
      </w:pPr>
      <w:r>
        <w:pict>
          <v:shape id="_x0000_s1843" o:spid="_x0000_s1843" style="height:1.45pt;width:453.65pt;" fillcolor="#000000" filled="t" stroked="f" coordsize="9072,29" path="m0,0l9072,0,9072,28,0,28,0,0xe">
            <v:path/>
            <v:fill on="t" focussize="0,0"/>
            <v:stroke on="f"/>
            <v:imagedata o:title=""/>
            <o:lock v:ext="edit"/>
            <w10:wrap type="none"/>
            <w10:anchorlock/>
          </v:shape>
        </w:pict>
      </w:r>
    </w:p>
    <w:p w14:paraId="17D4333C">
      <w:pPr>
        <w:spacing w:before="319" w:line="363" w:lineRule="auto"/>
        <w:ind w:left="115" w:right="53"/>
        <w:jc w:val="both"/>
        <w:rPr>
          <w:rFonts w:ascii="宋体" w:hAnsi="宋体" w:eastAsia="宋体" w:cs="宋体"/>
          <w:sz w:val="24"/>
          <w:szCs w:val="24"/>
        </w:rPr>
      </w:pPr>
      <w:r>
        <w:rPr>
          <w:rFonts w:ascii="宋体" w:hAnsi="宋体" w:eastAsia="宋体" w:cs="宋体"/>
          <w:spacing w:val="-2"/>
          <w:sz w:val="24"/>
          <w:szCs w:val="24"/>
        </w:rPr>
        <w:t>影响，影响的程度取决于释放过程中污染物的转移量及其进入环境的浓度。根据对本项</w:t>
      </w:r>
      <w:r>
        <w:rPr>
          <w:rFonts w:ascii="宋体" w:hAnsi="宋体" w:eastAsia="宋体" w:cs="宋体"/>
          <w:spacing w:val="17"/>
          <w:sz w:val="24"/>
          <w:szCs w:val="24"/>
        </w:rPr>
        <w:t xml:space="preserve"> </w:t>
      </w:r>
      <w:r>
        <w:rPr>
          <w:rFonts w:ascii="宋体" w:hAnsi="宋体" w:eastAsia="宋体" w:cs="宋体"/>
          <w:spacing w:val="-2"/>
          <w:sz w:val="24"/>
          <w:szCs w:val="24"/>
        </w:rPr>
        <w:t>目各类固体废物处置分析可以看出，本项目的固体废物都有相应的处置方案，为了减少</w:t>
      </w:r>
      <w:r>
        <w:rPr>
          <w:rFonts w:ascii="宋体" w:hAnsi="宋体" w:eastAsia="宋体" w:cs="宋体"/>
          <w:spacing w:val="18"/>
          <w:sz w:val="24"/>
          <w:szCs w:val="24"/>
        </w:rPr>
        <w:t xml:space="preserve"> </w:t>
      </w:r>
      <w:r>
        <w:rPr>
          <w:rFonts w:ascii="宋体" w:hAnsi="宋体" w:eastAsia="宋体" w:cs="宋体"/>
          <w:spacing w:val="-1"/>
          <w:sz w:val="24"/>
          <w:szCs w:val="24"/>
        </w:rPr>
        <w:t>固废在临时储存和运输中对环境产生的不利影响，要求在储</w:t>
      </w:r>
      <w:r>
        <w:rPr>
          <w:rFonts w:ascii="宋体" w:hAnsi="宋体" w:eastAsia="宋体" w:cs="宋体"/>
          <w:spacing w:val="-2"/>
          <w:sz w:val="24"/>
          <w:szCs w:val="24"/>
        </w:rPr>
        <w:t>存和运输过程中应严禁跑、</w:t>
      </w:r>
      <w:r>
        <w:rPr>
          <w:rFonts w:ascii="宋体" w:hAnsi="宋体" w:eastAsia="宋体" w:cs="宋体"/>
          <w:sz w:val="24"/>
          <w:szCs w:val="24"/>
        </w:rPr>
        <w:t xml:space="preserve"> </w:t>
      </w:r>
      <w:r>
        <w:rPr>
          <w:rFonts w:ascii="宋体" w:hAnsi="宋体" w:eastAsia="宋体" w:cs="宋体"/>
          <w:spacing w:val="-10"/>
          <w:sz w:val="24"/>
          <w:szCs w:val="24"/>
        </w:rPr>
        <w:t>冒、滴、漏现象的发生，并严格按照《一般工业固体废物贮存和填埋污染控制标准》（</w:t>
      </w:r>
      <w:r>
        <w:rPr>
          <w:rFonts w:ascii="Times New Roman" w:hAnsi="Times New Roman" w:eastAsia="Times New Roman" w:cs="Times New Roman"/>
          <w:spacing w:val="-10"/>
          <w:sz w:val="24"/>
          <w:szCs w:val="24"/>
        </w:rPr>
        <w:t>GB</w:t>
      </w:r>
      <w:r>
        <w:rPr>
          <w:rFonts w:ascii="Times New Roman" w:hAnsi="Times New Roman" w:eastAsia="Times New Roman" w:cs="Times New Roman"/>
          <w:spacing w:val="8"/>
          <w:sz w:val="24"/>
          <w:szCs w:val="24"/>
        </w:rPr>
        <w:t xml:space="preserve"> </w:t>
      </w:r>
      <w:r>
        <w:rPr>
          <w:rFonts w:ascii="Times New Roman" w:hAnsi="Times New Roman" w:eastAsia="Times New Roman" w:cs="Times New Roman"/>
          <w:spacing w:val="-1"/>
          <w:sz w:val="24"/>
          <w:szCs w:val="24"/>
        </w:rPr>
        <w:t>18599-2020</w:t>
      </w:r>
      <w:r>
        <w:rPr>
          <w:rFonts w:ascii="宋体" w:hAnsi="宋体" w:eastAsia="宋体" w:cs="宋体"/>
          <w:spacing w:val="-1"/>
          <w:sz w:val="24"/>
          <w:szCs w:val="24"/>
        </w:rPr>
        <w:t>）及《危险废物贮存污染控制标准》（</w:t>
      </w:r>
      <w:r>
        <w:rPr>
          <w:rFonts w:ascii="Times New Roman" w:hAnsi="Times New Roman" w:eastAsia="Times New Roman" w:cs="Times New Roman"/>
          <w:spacing w:val="-2"/>
          <w:sz w:val="24"/>
          <w:szCs w:val="24"/>
        </w:rPr>
        <w:t>GB18597-2023</w:t>
      </w:r>
      <w:r>
        <w:rPr>
          <w:rFonts w:ascii="宋体" w:hAnsi="宋体" w:eastAsia="宋体" w:cs="宋体"/>
          <w:spacing w:val="-2"/>
          <w:sz w:val="24"/>
          <w:szCs w:val="24"/>
        </w:rPr>
        <w:t>）要求建设固废临时储</w:t>
      </w:r>
      <w:r>
        <w:rPr>
          <w:rFonts w:ascii="宋体" w:hAnsi="宋体" w:eastAsia="宋体" w:cs="宋体"/>
          <w:sz w:val="24"/>
          <w:szCs w:val="24"/>
        </w:rPr>
        <w:t xml:space="preserve"> </w:t>
      </w:r>
      <w:r>
        <w:rPr>
          <w:rFonts w:ascii="宋体" w:hAnsi="宋体" w:eastAsia="宋体" w:cs="宋体"/>
          <w:spacing w:val="-1"/>
          <w:sz w:val="24"/>
          <w:szCs w:val="24"/>
        </w:rPr>
        <w:t>存场所，以免造成对环境的影响。</w:t>
      </w:r>
    </w:p>
    <w:p w14:paraId="0971B0A9">
      <w:pPr>
        <w:spacing w:before="35" w:line="354" w:lineRule="auto"/>
        <w:ind w:left="137" w:right="61" w:firstLine="461"/>
        <w:rPr>
          <w:rFonts w:ascii="宋体" w:hAnsi="宋体" w:eastAsia="宋体" w:cs="宋体"/>
          <w:sz w:val="24"/>
          <w:szCs w:val="24"/>
        </w:rPr>
      </w:pPr>
      <w:r>
        <w:rPr>
          <w:rFonts w:ascii="宋体" w:hAnsi="宋体" w:eastAsia="宋体" w:cs="宋体"/>
          <w:spacing w:val="-2"/>
          <w:sz w:val="24"/>
          <w:szCs w:val="24"/>
        </w:rPr>
        <w:t>综上，本项目的固体废物都有相应的处置方案，并且对固废的临时储存和运输采取</w:t>
      </w:r>
      <w:r>
        <w:rPr>
          <w:rFonts w:ascii="宋体" w:hAnsi="宋体" w:eastAsia="宋体" w:cs="宋体"/>
          <w:spacing w:val="10"/>
          <w:sz w:val="24"/>
          <w:szCs w:val="24"/>
        </w:rPr>
        <w:t xml:space="preserve"> </w:t>
      </w:r>
      <w:r>
        <w:rPr>
          <w:rFonts w:ascii="宋体" w:hAnsi="宋体" w:eastAsia="宋体" w:cs="宋体"/>
          <w:spacing w:val="-1"/>
          <w:sz w:val="24"/>
          <w:szCs w:val="24"/>
        </w:rPr>
        <w:t>了相应的污染防治措施，因此本项目固废对环</w:t>
      </w:r>
      <w:r>
        <w:rPr>
          <w:rFonts w:ascii="宋体" w:hAnsi="宋体" w:eastAsia="宋体" w:cs="宋体"/>
          <w:spacing w:val="-2"/>
          <w:sz w:val="24"/>
          <w:szCs w:val="24"/>
        </w:rPr>
        <w:t>境影响较小。</w:t>
      </w:r>
    </w:p>
    <w:p w14:paraId="000E2D35">
      <w:pPr>
        <w:spacing w:before="78" w:line="227" w:lineRule="auto"/>
        <w:ind w:left="112"/>
        <w:outlineLvl w:val="1"/>
        <w:rPr>
          <w:rFonts w:ascii="黑体" w:hAnsi="黑体" w:eastAsia="黑体" w:cs="黑体"/>
          <w:sz w:val="31"/>
          <w:szCs w:val="31"/>
        </w:rPr>
      </w:pPr>
      <w:bookmarkStart w:id="382" w:name="bookmark232"/>
      <w:bookmarkEnd w:id="382"/>
      <w:r>
        <w:rPr>
          <w:rFonts w:ascii="Times New Roman" w:hAnsi="Times New Roman" w:eastAsia="Times New Roman" w:cs="Times New Roman"/>
          <w:spacing w:val="7"/>
          <w:sz w:val="31"/>
          <w:szCs w:val="31"/>
        </w:rPr>
        <w:t xml:space="preserve">4.6 </w:t>
      </w:r>
      <w:r>
        <w:rPr>
          <w:rFonts w:ascii="黑体" w:hAnsi="黑体" w:eastAsia="黑体" w:cs="黑体"/>
          <w:spacing w:val="7"/>
          <w:sz w:val="31"/>
          <w:szCs w:val="31"/>
        </w:rPr>
        <w:t>土壤环境影响预测与评价</w:t>
      </w:r>
    </w:p>
    <w:p w14:paraId="45481B89">
      <w:pPr>
        <w:spacing w:before="265" w:line="222" w:lineRule="auto"/>
        <w:ind w:left="111"/>
        <w:outlineLvl w:val="2"/>
        <w:rPr>
          <w:rFonts w:ascii="黑体" w:hAnsi="黑体" w:eastAsia="黑体" w:cs="黑体"/>
          <w:sz w:val="30"/>
          <w:szCs w:val="30"/>
        </w:rPr>
      </w:pPr>
      <w:bookmarkStart w:id="383" w:name="bookmark234"/>
      <w:bookmarkEnd w:id="383"/>
      <w:r>
        <w:rPr>
          <w:rFonts w:ascii="Times New Roman" w:hAnsi="Times New Roman" w:eastAsia="Times New Roman" w:cs="Times New Roman"/>
          <w:spacing w:val="-1"/>
          <w:sz w:val="30"/>
          <w:szCs w:val="30"/>
        </w:rPr>
        <w:t xml:space="preserve">4.6.1 </w:t>
      </w:r>
      <w:r>
        <w:rPr>
          <w:rFonts w:ascii="黑体" w:hAnsi="黑体" w:eastAsia="黑体" w:cs="黑体"/>
          <w:spacing w:val="-1"/>
          <w:sz w:val="30"/>
          <w:szCs w:val="30"/>
        </w:rPr>
        <w:t>土壤环境影响识别</w:t>
      </w:r>
    </w:p>
    <w:p w14:paraId="2ADF46A9">
      <w:pPr>
        <w:spacing w:before="225" w:line="364" w:lineRule="auto"/>
        <w:ind w:left="115" w:firstLine="481"/>
        <w:jc w:val="both"/>
        <w:rPr>
          <w:rFonts w:ascii="宋体" w:hAnsi="宋体" w:eastAsia="宋体" w:cs="宋体"/>
          <w:sz w:val="24"/>
          <w:szCs w:val="24"/>
        </w:rPr>
      </w:pPr>
      <w:r>
        <w:rPr>
          <w:rFonts w:ascii="宋体" w:hAnsi="宋体" w:eastAsia="宋体" w:cs="宋体"/>
          <w:spacing w:val="-1"/>
          <w:sz w:val="24"/>
          <w:szCs w:val="24"/>
        </w:rPr>
        <w:t>土壤污染是指人类活动所产生的物质（污染物</w:t>
      </w:r>
      <w:r>
        <w:rPr>
          <w:rFonts w:ascii="宋体" w:hAnsi="宋体" w:eastAsia="宋体" w:cs="宋体"/>
          <w:spacing w:val="-12"/>
          <w:sz w:val="24"/>
          <w:szCs w:val="24"/>
        </w:rPr>
        <w:t>），</w:t>
      </w:r>
      <w:r>
        <w:rPr>
          <w:rFonts w:ascii="宋体" w:hAnsi="宋体" w:eastAsia="宋体" w:cs="宋体"/>
          <w:spacing w:val="-1"/>
          <w:sz w:val="24"/>
          <w:szCs w:val="24"/>
        </w:rPr>
        <w:t>通过多种途径进入土壤的数</w:t>
      </w:r>
      <w:r>
        <w:rPr>
          <w:rFonts w:ascii="宋体" w:hAnsi="宋体" w:eastAsia="宋体" w:cs="宋体"/>
          <w:spacing w:val="-2"/>
          <w:sz w:val="24"/>
          <w:szCs w:val="24"/>
        </w:rPr>
        <w:t>量和</w:t>
      </w:r>
      <w:r>
        <w:rPr>
          <w:rFonts w:ascii="宋体" w:hAnsi="宋体" w:eastAsia="宋体" w:cs="宋体"/>
          <w:sz w:val="24"/>
          <w:szCs w:val="24"/>
        </w:rPr>
        <w:t xml:space="preserve"> </w:t>
      </w:r>
      <w:r>
        <w:rPr>
          <w:rFonts w:ascii="宋体" w:hAnsi="宋体" w:eastAsia="宋体" w:cs="宋体"/>
          <w:spacing w:val="-2"/>
          <w:sz w:val="24"/>
          <w:szCs w:val="24"/>
        </w:rPr>
        <w:t>速度超过了土壤的容纳能力和净化速度所产生的结果。土壤污染可使土壤的性质、组成</w:t>
      </w:r>
      <w:r>
        <w:rPr>
          <w:rFonts w:ascii="宋体" w:hAnsi="宋体" w:eastAsia="宋体" w:cs="宋体"/>
          <w:spacing w:val="18"/>
          <w:sz w:val="24"/>
          <w:szCs w:val="24"/>
        </w:rPr>
        <w:t xml:space="preserve"> </w:t>
      </w:r>
      <w:r>
        <w:rPr>
          <w:rFonts w:ascii="宋体" w:hAnsi="宋体" w:eastAsia="宋体" w:cs="宋体"/>
          <w:spacing w:val="-6"/>
          <w:sz w:val="24"/>
          <w:szCs w:val="24"/>
        </w:rPr>
        <w:t>及性状等发生变化，使污染物质的积累过程逐渐占据优势，破坏了土壤的自然动态平</w:t>
      </w:r>
      <w:r>
        <w:rPr>
          <w:rFonts w:ascii="宋体" w:hAnsi="宋体" w:eastAsia="宋体" w:cs="宋体"/>
          <w:spacing w:val="-7"/>
          <w:sz w:val="24"/>
          <w:szCs w:val="24"/>
        </w:rPr>
        <w:t>衡，</w:t>
      </w:r>
      <w:r>
        <w:rPr>
          <w:rFonts w:ascii="宋体" w:hAnsi="宋体" w:eastAsia="宋体" w:cs="宋体"/>
          <w:sz w:val="24"/>
          <w:szCs w:val="24"/>
        </w:rPr>
        <w:t xml:space="preserve"> </w:t>
      </w:r>
      <w:r>
        <w:rPr>
          <w:rFonts w:ascii="宋体" w:hAnsi="宋体" w:eastAsia="宋体" w:cs="宋体"/>
          <w:spacing w:val="-2"/>
          <w:sz w:val="24"/>
          <w:szCs w:val="24"/>
        </w:rPr>
        <w:t>从而导致土壤自然正常功能失调，土壤质量恶化，影响作物的生产发育，以致造成产量</w:t>
      </w:r>
      <w:r>
        <w:rPr>
          <w:rFonts w:ascii="宋体" w:hAnsi="宋体" w:eastAsia="宋体" w:cs="宋体"/>
          <w:spacing w:val="18"/>
          <w:sz w:val="24"/>
          <w:szCs w:val="24"/>
        </w:rPr>
        <w:t xml:space="preserve"> </w:t>
      </w:r>
      <w:r>
        <w:rPr>
          <w:rFonts w:ascii="宋体" w:hAnsi="宋体" w:eastAsia="宋体" w:cs="宋体"/>
          <w:spacing w:val="-2"/>
          <w:sz w:val="24"/>
          <w:szCs w:val="24"/>
        </w:rPr>
        <w:t>和质量的下降，并可通过食物链引起对生物和人类的直接危害，甚至形成对有机生命的</w:t>
      </w:r>
      <w:r>
        <w:rPr>
          <w:rFonts w:ascii="宋体" w:hAnsi="宋体" w:eastAsia="宋体" w:cs="宋体"/>
          <w:spacing w:val="18"/>
          <w:sz w:val="24"/>
          <w:szCs w:val="24"/>
        </w:rPr>
        <w:t xml:space="preserve"> </w:t>
      </w:r>
      <w:r>
        <w:rPr>
          <w:rFonts w:ascii="宋体" w:hAnsi="宋体" w:eastAsia="宋体" w:cs="宋体"/>
          <w:spacing w:val="-2"/>
          <w:sz w:val="24"/>
          <w:szCs w:val="24"/>
        </w:rPr>
        <w:t>超地方性的危害。</w:t>
      </w:r>
    </w:p>
    <w:p w14:paraId="65F77279">
      <w:pPr>
        <w:spacing w:before="35" w:line="219" w:lineRule="auto"/>
        <w:ind w:left="597"/>
        <w:rPr>
          <w:rFonts w:ascii="宋体" w:hAnsi="宋体" w:eastAsia="宋体" w:cs="宋体"/>
          <w:sz w:val="24"/>
          <w:szCs w:val="24"/>
        </w:rPr>
      </w:pPr>
      <w:r>
        <w:rPr>
          <w:rFonts w:ascii="宋体" w:hAnsi="宋体" w:eastAsia="宋体" w:cs="宋体"/>
          <w:spacing w:val="-1"/>
          <w:sz w:val="24"/>
          <w:szCs w:val="24"/>
        </w:rPr>
        <w:t>本项目污染物质可以通过多种途径进入土壤，主要类型有以下几种：</w:t>
      </w:r>
    </w:p>
    <w:p w14:paraId="4CF9193E">
      <w:pPr>
        <w:spacing w:before="192" w:line="294" w:lineRule="auto"/>
        <w:ind w:left="114" w:firstLine="493"/>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）项目厂区向大气排放的污染物由于重</w:t>
      </w:r>
      <w:r>
        <w:rPr>
          <w:rFonts w:ascii="宋体" w:hAnsi="宋体" w:eastAsia="宋体" w:cs="宋体"/>
          <w:spacing w:val="-4"/>
          <w:sz w:val="24"/>
          <w:szCs w:val="24"/>
        </w:rPr>
        <w:t>力沉降、雨水淋洗等作用而降落到地表，</w:t>
      </w:r>
      <w:r>
        <w:rPr>
          <w:rFonts w:ascii="宋体" w:hAnsi="宋体" w:eastAsia="宋体" w:cs="宋体"/>
          <w:sz w:val="24"/>
          <w:szCs w:val="24"/>
        </w:rPr>
        <w:t xml:space="preserve"> </w:t>
      </w:r>
      <w:r>
        <w:rPr>
          <w:rFonts w:ascii="宋体" w:hAnsi="宋体" w:eastAsia="宋体" w:cs="宋体"/>
          <w:spacing w:val="-1"/>
          <w:sz w:val="24"/>
          <w:szCs w:val="24"/>
        </w:rPr>
        <w:t>进入到土壤环境中，对土壤环境造成影响。</w:t>
      </w:r>
    </w:p>
    <w:p w14:paraId="7BD9C96E">
      <w:pPr>
        <w:spacing w:before="194" w:line="294" w:lineRule="auto"/>
        <w:ind w:left="117" w:right="61"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）厂区内水淬渣池、脱硫浆液池以及生产区等，因防渗层破裂导致废水垂直入</w:t>
      </w:r>
      <w:r>
        <w:rPr>
          <w:rFonts w:ascii="宋体" w:hAnsi="宋体" w:eastAsia="宋体" w:cs="宋体"/>
          <w:spacing w:val="13"/>
          <w:sz w:val="24"/>
          <w:szCs w:val="24"/>
        </w:rPr>
        <w:t xml:space="preserve"> </w:t>
      </w:r>
      <w:r>
        <w:rPr>
          <w:rFonts w:ascii="宋体" w:hAnsi="宋体" w:eastAsia="宋体" w:cs="宋体"/>
          <w:spacing w:val="-1"/>
          <w:sz w:val="24"/>
          <w:szCs w:val="24"/>
        </w:rPr>
        <w:t>渗进入到土壤中，污染土壤环境。</w:t>
      </w:r>
    </w:p>
    <w:p w14:paraId="2FEE5A5D">
      <w:pPr>
        <w:spacing w:before="191" w:line="295" w:lineRule="auto"/>
        <w:ind w:left="117" w:right="61"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）本项目厂区危险废物在运输、贮存过程中通过扩散、泄露或降水淋洗等影响</w:t>
      </w:r>
      <w:r>
        <w:rPr>
          <w:rFonts w:ascii="宋体" w:hAnsi="宋体" w:eastAsia="宋体" w:cs="宋体"/>
          <w:spacing w:val="13"/>
          <w:sz w:val="24"/>
          <w:szCs w:val="24"/>
        </w:rPr>
        <w:t xml:space="preserve"> </w:t>
      </w:r>
      <w:r>
        <w:rPr>
          <w:rFonts w:ascii="宋体" w:hAnsi="宋体" w:eastAsia="宋体" w:cs="宋体"/>
          <w:spacing w:val="-4"/>
          <w:sz w:val="24"/>
          <w:szCs w:val="24"/>
        </w:rPr>
        <w:t>土壤。</w:t>
      </w:r>
    </w:p>
    <w:p w14:paraId="44B427A6">
      <w:pPr>
        <w:spacing w:before="212" w:line="228" w:lineRule="auto"/>
        <w:ind w:left="1981"/>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8"/>
          <w:sz w:val="20"/>
          <w:szCs w:val="20"/>
        </w:rPr>
        <w:t xml:space="preserve"> </w:t>
      </w:r>
      <w:r>
        <w:rPr>
          <w:rFonts w:ascii="Times New Roman" w:hAnsi="Times New Roman" w:eastAsia="Times New Roman" w:cs="Times New Roman"/>
          <w:b/>
          <w:bCs/>
          <w:spacing w:val="6"/>
          <w:sz w:val="20"/>
          <w:szCs w:val="20"/>
        </w:rPr>
        <w:t xml:space="preserve">4.6-1        </w:t>
      </w:r>
      <w:r>
        <w:rPr>
          <w:rFonts w:ascii="宋体" w:hAnsi="宋体" w:eastAsia="宋体" w:cs="宋体"/>
          <w:b/>
          <w:bCs/>
          <w:spacing w:val="6"/>
          <w:sz w:val="20"/>
          <w:szCs w:val="20"/>
        </w:rPr>
        <w:t>建设项目厂区土壤环境影响类型与影响途径表</w:t>
      </w:r>
    </w:p>
    <w:p w14:paraId="742BB537">
      <w:pPr>
        <w:spacing w:line="143" w:lineRule="auto"/>
        <w:rPr>
          <w:rFonts w:ascii="Arial"/>
          <w:sz w:val="2"/>
        </w:rPr>
      </w:pPr>
    </w:p>
    <w:tbl>
      <w:tblPr>
        <w:tblStyle w:val="5"/>
        <w:tblW w:w="872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60"/>
        <w:gridCol w:w="1110"/>
        <w:gridCol w:w="1110"/>
        <w:gridCol w:w="1139"/>
        <w:gridCol w:w="828"/>
        <w:gridCol w:w="835"/>
        <w:gridCol w:w="834"/>
        <w:gridCol w:w="697"/>
        <w:gridCol w:w="807"/>
      </w:tblGrid>
      <w:tr w14:paraId="6385CC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1360" w:type="dxa"/>
            <w:vMerge w:val="restart"/>
            <w:tcBorders>
              <w:top w:val="single" w:color="000000" w:sz="10" w:space="0"/>
              <w:left w:val="nil"/>
              <w:bottom w:val="nil"/>
            </w:tcBorders>
            <w:vAlign w:val="top"/>
          </w:tcPr>
          <w:p w14:paraId="727FA3A1">
            <w:pPr>
              <w:pStyle w:val="6"/>
              <w:spacing w:before="221" w:line="229" w:lineRule="auto"/>
              <w:ind w:left="269"/>
              <w:rPr>
                <w:sz w:val="20"/>
                <w:szCs w:val="20"/>
              </w:rPr>
            </w:pPr>
            <w:r>
              <w:rPr>
                <w:b/>
                <w:bCs/>
                <w:spacing w:val="5"/>
                <w:sz w:val="20"/>
                <w:szCs w:val="20"/>
              </w:rPr>
              <w:t>不同时段</w:t>
            </w:r>
          </w:p>
        </w:tc>
        <w:tc>
          <w:tcPr>
            <w:tcW w:w="4187" w:type="dxa"/>
            <w:gridSpan w:val="4"/>
            <w:tcBorders>
              <w:top w:val="single" w:color="000000" w:sz="10" w:space="0"/>
            </w:tcBorders>
            <w:vAlign w:val="top"/>
          </w:tcPr>
          <w:p w14:paraId="4C304D30">
            <w:pPr>
              <w:pStyle w:val="6"/>
              <w:spacing w:before="58" w:line="228" w:lineRule="auto"/>
              <w:ind w:left="1574"/>
              <w:rPr>
                <w:sz w:val="20"/>
                <w:szCs w:val="20"/>
              </w:rPr>
            </w:pPr>
            <w:r>
              <w:rPr>
                <w:b/>
                <w:bCs/>
                <w:spacing w:val="6"/>
                <w:sz w:val="20"/>
                <w:szCs w:val="20"/>
              </w:rPr>
              <w:t>污染影响型</w:t>
            </w:r>
          </w:p>
        </w:tc>
        <w:tc>
          <w:tcPr>
            <w:tcW w:w="3173" w:type="dxa"/>
            <w:gridSpan w:val="4"/>
            <w:tcBorders>
              <w:top w:val="single" w:color="000000" w:sz="10" w:space="0"/>
              <w:right w:val="nil"/>
            </w:tcBorders>
            <w:vAlign w:val="top"/>
          </w:tcPr>
          <w:p w14:paraId="3EF34246">
            <w:pPr>
              <w:pStyle w:val="6"/>
              <w:spacing w:before="58" w:line="230" w:lineRule="auto"/>
              <w:ind w:left="1066"/>
              <w:rPr>
                <w:sz w:val="20"/>
                <w:szCs w:val="20"/>
              </w:rPr>
            </w:pPr>
            <w:r>
              <w:rPr>
                <w:b/>
                <w:bCs/>
                <w:spacing w:val="6"/>
                <w:sz w:val="20"/>
                <w:szCs w:val="20"/>
              </w:rPr>
              <w:t>生态影响型</w:t>
            </w:r>
          </w:p>
        </w:tc>
      </w:tr>
      <w:tr w14:paraId="462881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1360" w:type="dxa"/>
            <w:vMerge w:val="continue"/>
            <w:tcBorders>
              <w:top w:val="nil"/>
              <w:left w:val="nil"/>
            </w:tcBorders>
            <w:vAlign w:val="top"/>
          </w:tcPr>
          <w:p w14:paraId="7EEB0D04">
            <w:pPr>
              <w:rPr>
                <w:rFonts w:ascii="Arial"/>
                <w:sz w:val="21"/>
              </w:rPr>
            </w:pPr>
          </w:p>
        </w:tc>
        <w:tc>
          <w:tcPr>
            <w:tcW w:w="1110" w:type="dxa"/>
            <w:vAlign w:val="top"/>
          </w:tcPr>
          <w:p w14:paraId="05477D76">
            <w:pPr>
              <w:pStyle w:val="6"/>
              <w:spacing w:before="54" w:line="228" w:lineRule="auto"/>
              <w:ind w:left="139"/>
              <w:rPr>
                <w:sz w:val="20"/>
                <w:szCs w:val="20"/>
              </w:rPr>
            </w:pPr>
            <w:r>
              <w:rPr>
                <w:b/>
                <w:bCs/>
                <w:spacing w:val="5"/>
                <w:sz w:val="20"/>
                <w:szCs w:val="20"/>
              </w:rPr>
              <w:t>大气沉降</w:t>
            </w:r>
          </w:p>
        </w:tc>
        <w:tc>
          <w:tcPr>
            <w:tcW w:w="1110" w:type="dxa"/>
            <w:vAlign w:val="top"/>
          </w:tcPr>
          <w:p w14:paraId="39FD8891">
            <w:pPr>
              <w:pStyle w:val="6"/>
              <w:spacing w:before="55" w:line="228" w:lineRule="auto"/>
              <w:ind w:left="138"/>
              <w:rPr>
                <w:sz w:val="20"/>
                <w:szCs w:val="20"/>
              </w:rPr>
            </w:pPr>
            <w:r>
              <w:rPr>
                <w:b/>
                <w:bCs/>
                <w:spacing w:val="6"/>
                <w:sz w:val="20"/>
                <w:szCs w:val="20"/>
              </w:rPr>
              <w:t>地面漫流</w:t>
            </w:r>
          </w:p>
        </w:tc>
        <w:tc>
          <w:tcPr>
            <w:tcW w:w="1139" w:type="dxa"/>
            <w:vAlign w:val="top"/>
          </w:tcPr>
          <w:p w14:paraId="5FD01FA8">
            <w:pPr>
              <w:pStyle w:val="6"/>
              <w:spacing w:before="55" w:line="228" w:lineRule="auto"/>
              <w:ind w:left="155"/>
              <w:rPr>
                <w:sz w:val="20"/>
                <w:szCs w:val="20"/>
              </w:rPr>
            </w:pPr>
            <w:r>
              <w:rPr>
                <w:b/>
                <w:bCs/>
                <w:spacing w:val="6"/>
                <w:sz w:val="20"/>
                <w:szCs w:val="20"/>
              </w:rPr>
              <w:t>垂直入渗</w:t>
            </w:r>
          </w:p>
        </w:tc>
        <w:tc>
          <w:tcPr>
            <w:tcW w:w="828" w:type="dxa"/>
            <w:vAlign w:val="top"/>
          </w:tcPr>
          <w:p w14:paraId="6DE160B2">
            <w:pPr>
              <w:pStyle w:val="6"/>
              <w:spacing w:before="55" w:line="228" w:lineRule="auto"/>
              <w:ind w:left="211"/>
              <w:rPr>
                <w:sz w:val="20"/>
                <w:szCs w:val="20"/>
              </w:rPr>
            </w:pPr>
            <w:r>
              <w:rPr>
                <w:b/>
                <w:bCs/>
                <w:spacing w:val="3"/>
                <w:sz w:val="20"/>
                <w:szCs w:val="20"/>
              </w:rPr>
              <w:t>其他</w:t>
            </w:r>
          </w:p>
        </w:tc>
        <w:tc>
          <w:tcPr>
            <w:tcW w:w="835" w:type="dxa"/>
            <w:vAlign w:val="top"/>
          </w:tcPr>
          <w:p w14:paraId="39C864B6">
            <w:pPr>
              <w:pStyle w:val="6"/>
              <w:spacing w:before="55" w:line="229" w:lineRule="auto"/>
              <w:ind w:left="214"/>
              <w:rPr>
                <w:sz w:val="20"/>
                <w:szCs w:val="20"/>
              </w:rPr>
            </w:pPr>
            <w:r>
              <w:rPr>
                <w:b/>
                <w:bCs/>
                <w:spacing w:val="3"/>
                <w:sz w:val="20"/>
                <w:szCs w:val="20"/>
              </w:rPr>
              <w:t>盐化</w:t>
            </w:r>
          </w:p>
        </w:tc>
        <w:tc>
          <w:tcPr>
            <w:tcW w:w="834" w:type="dxa"/>
            <w:vAlign w:val="top"/>
          </w:tcPr>
          <w:p w14:paraId="34793211">
            <w:pPr>
              <w:pStyle w:val="6"/>
              <w:spacing w:before="55" w:line="229" w:lineRule="auto"/>
              <w:ind w:left="211"/>
              <w:rPr>
                <w:sz w:val="20"/>
                <w:szCs w:val="20"/>
              </w:rPr>
            </w:pPr>
            <w:r>
              <w:rPr>
                <w:b/>
                <w:bCs/>
                <w:spacing w:val="4"/>
                <w:sz w:val="20"/>
                <w:szCs w:val="20"/>
              </w:rPr>
              <w:t>碱化</w:t>
            </w:r>
          </w:p>
        </w:tc>
        <w:tc>
          <w:tcPr>
            <w:tcW w:w="697" w:type="dxa"/>
            <w:vAlign w:val="top"/>
          </w:tcPr>
          <w:p w14:paraId="23231437">
            <w:pPr>
              <w:pStyle w:val="6"/>
              <w:spacing w:before="55" w:line="229" w:lineRule="auto"/>
              <w:ind w:left="145"/>
              <w:rPr>
                <w:sz w:val="20"/>
                <w:szCs w:val="20"/>
              </w:rPr>
            </w:pPr>
            <w:r>
              <w:rPr>
                <w:b/>
                <w:bCs/>
                <w:spacing w:val="3"/>
                <w:sz w:val="20"/>
                <w:szCs w:val="20"/>
              </w:rPr>
              <w:t>酸化</w:t>
            </w:r>
          </w:p>
        </w:tc>
        <w:tc>
          <w:tcPr>
            <w:tcW w:w="807" w:type="dxa"/>
            <w:tcBorders>
              <w:right w:val="nil"/>
            </w:tcBorders>
            <w:vAlign w:val="top"/>
          </w:tcPr>
          <w:p w14:paraId="284A31BB">
            <w:pPr>
              <w:pStyle w:val="6"/>
              <w:spacing w:before="55" w:line="228" w:lineRule="auto"/>
              <w:ind w:left="199"/>
              <w:rPr>
                <w:sz w:val="20"/>
                <w:szCs w:val="20"/>
              </w:rPr>
            </w:pPr>
            <w:r>
              <w:rPr>
                <w:b/>
                <w:bCs/>
                <w:spacing w:val="3"/>
                <w:sz w:val="20"/>
                <w:szCs w:val="20"/>
              </w:rPr>
              <w:t>其他</w:t>
            </w:r>
          </w:p>
        </w:tc>
      </w:tr>
      <w:tr w14:paraId="674879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1360" w:type="dxa"/>
            <w:tcBorders>
              <w:left w:val="nil"/>
            </w:tcBorders>
            <w:vAlign w:val="top"/>
          </w:tcPr>
          <w:p w14:paraId="487B0F55">
            <w:pPr>
              <w:pStyle w:val="6"/>
              <w:spacing w:before="56" w:line="228" w:lineRule="auto"/>
              <w:ind w:left="374"/>
              <w:rPr>
                <w:sz w:val="20"/>
                <w:szCs w:val="20"/>
              </w:rPr>
            </w:pPr>
            <w:r>
              <w:rPr>
                <w:spacing w:val="6"/>
                <w:sz w:val="20"/>
                <w:szCs w:val="20"/>
              </w:rPr>
              <w:t>建设期</w:t>
            </w:r>
          </w:p>
        </w:tc>
        <w:tc>
          <w:tcPr>
            <w:tcW w:w="1110" w:type="dxa"/>
            <w:vAlign w:val="top"/>
          </w:tcPr>
          <w:p w14:paraId="5149406B">
            <w:pPr>
              <w:rPr>
                <w:rFonts w:ascii="Arial"/>
                <w:sz w:val="21"/>
              </w:rPr>
            </w:pPr>
          </w:p>
        </w:tc>
        <w:tc>
          <w:tcPr>
            <w:tcW w:w="1110" w:type="dxa"/>
            <w:vAlign w:val="top"/>
          </w:tcPr>
          <w:p w14:paraId="40738DC9">
            <w:pPr>
              <w:rPr>
                <w:rFonts w:ascii="Arial"/>
                <w:sz w:val="21"/>
              </w:rPr>
            </w:pPr>
          </w:p>
        </w:tc>
        <w:tc>
          <w:tcPr>
            <w:tcW w:w="1139" w:type="dxa"/>
            <w:vAlign w:val="top"/>
          </w:tcPr>
          <w:p w14:paraId="068DC855">
            <w:pPr>
              <w:rPr>
                <w:rFonts w:ascii="Arial"/>
                <w:sz w:val="21"/>
              </w:rPr>
            </w:pPr>
          </w:p>
        </w:tc>
        <w:tc>
          <w:tcPr>
            <w:tcW w:w="828" w:type="dxa"/>
            <w:vAlign w:val="top"/>
          </w:tcPr>
          <w:p w14:paraId="79F3F995">
            <w:pPr>
              <w:rPr>
                <w:rFonts w:ascii="Arial"/>
                <w:sz w:val="21"/>
              </w:rPr>
            </w:pPr>
          </w:p>
        </w:tc>
        <w:tc>
          <w:tcPr>
            <w:tcW w:w="835" w:type="dxa"/>
            <w:vAlign w:val="top"/>
          </w:tcPr>
          <w:p w14:paraId="7839B3DF">
            <w:pPr>
              <w:rPr>
                <w:rFonts w:ascii="Arial"/>
                <w:sz w:val="21"/>
              </w:rPr>
            </w:pPr>
          </w:p>
        </w:tc>
        <w:tc>
          <w:tcPr>
            <w:tcW w:w="834" w:type="dxa"/>
            <w:vAlign w:val="top"/>
          </w:tcPr>
          <w:p w14:paraId="1AD19DEA">
            <w:pPr>
              <w:rPr>
                <w:rFonts w:ascii="Arial"/>
                <w:sz w:val="21"/>
              </w:rPr>
            </w:pPr>
          </w:p>
        </w:tc>
        <w:tc>
          <w:tcPr>
            <w:tcW w:w="697" w:type="dxa"/>
            <w:vAlign w:val="top"/>
          </w:tcPr>
          <w:p w14:paraId="4BEFE8B8">
            <w:pPr>
              <w:rPr>
                <w:rFonts w:ascii="Arial"/>
                <w:sz w:val="21"/>
              </w:rPr>
            </w:pPr>
          </w:p>
        </w:tc>
        <w:tc>
          <w:tcPr>
            <w:tcW w:w="807" w:type="dxa"/>
            <w:tcBorders>
              <w:right w:val="nil"/>
            </w:tcBorders>
            <w:vAlign w:val="top"/>
          </w:tcPr>
          <w:p w14:paraId="0371863B">
            <w:pPr>
              <w:rPr>
                <w:rFonts w:ascii="Arial"/>
                <w:sz w:val="21"/>
              </w:rPr>
            </w:pPr>
          </w:p>
        </w:tc>
      </w:tr>
      <w:tr w14:paraId="4FF566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1360" w:type="dxa"/>
            <w:tcBorders>
              <w:left w:val="nil"/>
            </w:tcBorders>
            <w:vAlign w:val="top"/>
          </w:tcPr>
          <w:p w14:paraId="5553ACFC">
            <w:pPr>
              <w:pStyle w:val="6"/>
              <w:spacing w:before="57" w:line="228" w:lineRule="auto"/>
              <w:ind w:left="371"/>
              <w:rPr>
                <w:sz w:val="20"/>
                <w:szCs w:val="20"/>
              </w:rPr>
            </w:pPr>
            <w:r>
              <w:rPr>
                <w:spacing w:val="6"/>
                <w:sz w:val="20"/>
                <w:szCs w:val="20"/>
              </w:rPr>
              <w:t>运营期</w:t>
            </w:r>
          </w:p>
        </w:tc>
        <w:tc>
          <w:tcPr>
            <w:tcW w:w="1110" w:type="dxa"/>
            <w:vAlign w:val="top"/>
          </w:tcPr>
          <w:p w14:paraId="5C130C2C">
            <w:pPr>
              <w:spacing w:before="19" w:line="281" w:lineRule="exact"/>
              <w:ind w:left="502"/>
              <w:rPr>
                <w:rFonts w:ascii="Times New Roman" w:hAnsi="Times New Roman" w:eastAsia="Times New Roman" w:cs="Times New Roman"/>
                <w:sz w:val="20"/>
                <w:szCs w:val="20"/>
              </w:rPr>
            </w:pPr>
            <w:r>
              <w:rPr>
                <w:rFonts w:ascii="Times New Roman" w:hAnsi="Times New Roman" w:eastAsia="Times New Roman" w:cs="Times New Roman"/>
                <w:sz w:val="20"/>
                <w:szCs w:val="20"/>
              </w:rPr>
              <w:t>√</w:t>
            </w:r>
          </w:p>
        </w:tc>
        <w:tc>
          <w:tcPr>
            <w:tcW w:w="1110" w:type="dxa"/>
            <w:vAlign w:val="top"/>
          </w:tcPr>
          <w:p w14:paraId="784F253A">
            <w:pPr>
              <w:rPr>
                <w:rFonts w:ascii="Arial"/>
                <w:sz w:val="21"/>
              </w:rPr>
            </w:pPr>
          </w:p>
        </w:tc>
        <w:tc>
          <w:tcPr>
            <w:tcW w:w="1139" w:type="dxa"/>
            <w:vAlign w:val="top"/>
          </w:tcPr>
          <w:p w14:paraId="540F7B8B">
            <w:pPr>
              <w:spacing w:before="19" w:line="281" w:lineRule="exact"/>
              <w:ind w:left="517"/>
              <w:rPr>
                <w:rFonts w:ascii="Times New Roman" w:hAnsi="Times New Roman" w:eastAsia="Times New Roman" w:cs="Times New Roman"/>
                <w:sz w:val="20"/>
                <w:szCs w:val="20"/>
              </w:rPr>
            </w:pPr>
            <w:r>
              <w:rPr>
                <w:rFonts w:ascii="Times New Roman" w:hAnsi="Times New Roman" w:eastAsia="Times New Roman" w:cs="Times New Roman"/>
                <w:sz w:val="20"/>
                <w:szCs w:val="20"/>
              </w:rPr>
              <w:t>√</w:t>
            </w:r>
          </w:p>
        </w:tc>
        <w:tc>
          <w:tcPr>
            <w:tcW w:w="828" w:type="dxa"/>
            <w:vAlign w:val="top"/>
          </w:tcPr>
          <w:p w14:paraId="215513E3">
            <w:pPr>
              <w:rPr>
                <w:rFonts w:ascii="Arial"/>
                <w:sz w:val="21"/>
              </w:rPr>
            </w:pPr>
          </w:p>
        </w:tc>
        <w:tc>
          <w:tcPr>
            <w:tcW w:w="835" w:type="dxa"/>
            <w:vAlign w:val="top"/>
          </w:tcPr>
          <w:p w14:paraId="7E068CFA">
            <w:pPr>
              <w:rPr>
                <w:rFonts w:ascii="Arial"/>
                <w:sz w:val="21"/>
              </w:rPr>
            </w:pPr>
          </w:p>
        </w:tc>
        <w:tc>
          <w:tcPr>
            <w:tcW w:w="834" w:type="dxa"/>
            <w:vAlign w:val="top"/>
          </w:tcPr>
          <w:p w14:paraId="570A96A2">
            <w:pPr>
              <w:rPr>
                <w:rFonts w:ascii="Arial"/>
                <w:sz w:val="21"/>
              </w:rPr>
            </w:pPr>
          </w:p>
        </w:tc>
        <w:tc>
          <w:tcPr>
            <w:tcW w:w="697" w:type="dxa"/>
            <w:vAlign w:val="top"/>
          </w:tcPr>
          <w:p w14:paraId="1E1C5104">
            <w:pPr>
              <w:rPr>
                <w:rFonts w:ascii="Arial"/>
                <w:sz w:val="21"/>
              </w:rPr>
            </w:pPr>
          </w:p>
        </w:tc>
        <w:tc>
          <w:tcPr>
            <w:tcW w:w="807" w:type="dxa"/>
            <w:tcBorders>
              <w:right w:val="nil"/>
            </w:tcBorders>
            <w:vAlign w:val="top"/>
          </w:tcPr>
          <w:p w14:paraId="0BD8FDA6">
            <w:pPr>
              <w:rPr>
                <w:rFonts w:ascii="Arial"/>
                <w:sz w:val="21"/>
              </w:rPr>
            </w:pPr>
          </w:p>
        </w:tc>
      </w:tr>
      <w:tr w14:paraId="488A4E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1360" w:type="dxa"/>
            <w:tcBorders>
              <w:left w:val="nil"/>
            </w:tcBorders>
            <w:vAlign w:val="top"/>
          </w:tcPr>
          <w:p w14:paraId="708E5399">
            <w:pPr>
              <w:pStyle w:val="6"/>
              <w:spacing w:before="57" w:line="228" w:lineRule="auto"/>
              <w:ind w:left="163"/>
              <w:rPr>
                <w:sz w:val="20"/>
                <w:szCs w:val="20"/>
              </w:rPr>
            </w:pPr>
            <w:r>
              <w:rPr>
                <w:spacing w:val="8"/>
                <w:sz w:val="20"/>
                <w:szCs w:val="20"/>
              </w:rPr>
              <w:t>服务期满后</w:t>
            </w:r>
          </w:p>
        </w:tc>
        <w:tc>
          <w:tcPr>
            <w:tcW w:w="1110" w:type="dxa"/>
            <w:vAlign w:val="top"/>
          </w:tcPr>
          <w:p w14:paraId="54EFF37D">
            <w:pPr>
              <w:rPr>
                <w:rFonts w:ascii="Arial"/>
                <w:sz w:val="21"/>
              </w:rPr>
            </w:pPr>
          </w:p>
        </w:tc>
        <w:tc>
          <w:tcPr>
            <w:tcW w:w="1110" w:type="dxa"/>
            <w:vAlign w:val="top"/>
          </w:tcPr>
          <w:p w14:paraId="2588DBD6">
            <w:pPr>
              <w:rPr>
                <w:rFonts w:ascii="Arial"/>
                <w:sz w:val="21"/>
              </w:rPr>
            </w:pPr>
          </w:p>
        </w:tc>
        <w:tc>
          <w:tcPr>
            <w:tcW w:w="1139" w:type="dxa"/>
            <w:vAlign w:val="top"/>
          </w:tcPr>
          <w:p w14:paraId="2AF75F2E">
            <w:pPr>
              <w:rPr>
                <w:rFonts w:ascii="Arial"/>
                <w:sz w:val="21"/>
              </w:rPr>
            </w:pPr>
          </w:p>
        </w:tc>
        <w:tc>
          <w:tcPr>
            <w:tcW w:w="828" w:type="dxa"/>
            <w:vAlign w:val="top"/>
          </w:tcPr>
          <w:p w14:paraId="0434680C">
            <w:pPr>
              <w:rPr>
                <w:rFonts w:ascii="Arial"/>
                <w:sz w:val="21"/>
              </w:rPr>
            </w:pPr>
          </w:p>
        </w:tc>
        <w:tc>
          <w:tcPr>
            <w:tcW w:w="835" w:type="dxa"/>
            <w:vAlign w:val="top"/>
          </w:tcPr>
          <w:p w14:paraId="557236D1">
            <w:pPr>
              <w:rPr>
                <w:rFonts w:ascii="Arial"/>
                <w:sz w:val="21"/>
              </w:rPr>
            </w:pPr>
          </w:p>
        </w:tc>
        <w:tc>
          <w:tcPr>
            <w:tcW w:w="834" w:type="dxa"/>
            <w:vAlign w:val="top"/>
          </w:tcPr>
          <w:p w14:paraId="508E5D54">
            <w:pPr>
              <w:rPr>
                <w:rFonts w:ascii="Arial"/>
                <w:sz w:val="21"/>
              </w:rPr>
            </w:pPr>
          </w:p>
        </w:tc>
        <w:tc>
          <w:tcPr>
            <w:tcW w:w="697" w:type="dxa"/>
            <w:vAlign w:val="top"/>
          </w:tcPr>
          <w:p w14:paraId="2F84F10B">
            <w:pPr>
              <w:rPr>
                <w:rFonts w:ascii="Arial"/>
                <w:sz w:val="21"/>
              </w:rPr>
            </w:pPr>
          </w:p>
        </w:tc>
        <w:tc>
          <w:tcPr>
            <w:tcW w:w="807" w:type="dxa"/>
            <w:tcBorders>
              <w:right w:val="nil"/>
            </w:tcBorders>
            <w:vAlign w:val="top"/>
          </w:tcPr>
          <w:p w14:paraId="5F99BA4D">
            <w:pPr>
              <w:rPr>
                <w:rFonts w:ascii="Arial"/>
                <w:sz w:val="21"/>
              </w:rPr>
            </w:pPr>
          </w:p>
        </w:tc>
      </w:tr>
    </w:tbl>
    <w:p w14:paraId="0703852B">
      <w:pPr>
        <w:spacing w:before="15" w:line="281" w:lineRule="exact"/>
        <w:ind w:left="962"/>
        <w:rPr>
          <w:rFonts w:ascii="宋体" w:hAnsi="宋体" w:eastAsia="宋体" w:cs="宋体"/>
          <w:sz w:val="20"/>
          <w:szCs w:val="20"/>
        </w:rPr>
      </w:pPr>
      <w:r>
        <w:rPr>
          <w:rFonts w:ascii="宋体" w:hAnsi="宋体" w:eastAsia="宋体" w:cs="宋体"/>
          <w:spacing w:val="6"/>
          <w:sz w:val="20"/>
          <w:szCs w:val="20"/>
        </w:rPr>
        <w:t>注：在可能产生的土壤环境影响类型处打</w:t>
      </w:r>
      <w:r>
        <w:rPr>
          <w:rFonts w:ascii="Times New Roman" w:hAnsi="Times New Roman" w:eastAsia="Times New Roman" w:cs="Times New Roman"/>
          <w:spacing w:val="6"/>
          <w:sz w:val="20"/>
          <w:szCs w:val="20"/>
        </w:rPr>
        <w:t>“√”</w:t>
      </w:r>
      <w:r>
        <w:rPr>
          <w:rFonts w:ascii="Times New Roman" w:hAnsi="Times New Roman" w:eastAsia="Times New Roman" w:cs="Times New Roman"/>
          <w:spacing w:val="-16"/>
          <w:sz w:val="20"/>
          <w:szCs w:val="20"/>
        </w:rPr>
        <w:t xml:space="preserve"> </w:t>
      </w:r>
      <w:r>
        <w:rPr>
          <w:rFonts w:ascii="宋体" w:hAnsi="宋体" w:eastAsia="宋体" w:cs="宋体"/>
          <w:spacing w:val="6"/>
          <w:sz w:val="20"/>
          <w:szCs w:val="20"/>
        </w:rPr>
        <w:t>,</w:t>
      </w:r>
      <w:r>
        <w:rPr>
          <w:rFonts w:ascii="宋体" w:hAnsi="宋体" w:eastAsia="宋体" w:cs="宋体"/>
          <w:spacing w:val="63"/>
          <w:sz w:val="20"/>
          <w:szCs w:val="20"/>
        </w:rPr>
        <w:t xml:space="preserve"> </w:t>
      </w:r>
      <w:r>
        <w:rPr>
          <w:rFonts w:ascii="宋体" w:hAnsi="宋体" w:eastAsia="宋体" w:cs="宋体"/>
          <w:spacing w:val="6"/>
          <w:sz w:val="20"/>
          <w:szCs w:val="20"/>
        </w:rPr>
        <w:t>列表未涵盖的可自行设计。</w:t>
      </w:r>
    </w:p>
    <w:p w14:paraId="15223763">
      <w:pPr>
        <w:spacing w:before="23" w:line="29" w:lineRule="exact"/>
      </w:pPr>
      <w:r>
        <w:pict>
          <v:shape id="_x0000_s1844" o:spid="_x0000_s1844" style="height:1.45pt;width:436.05pt;" filled="f" stroked="t" coordsize="8720,29" path="m0,14l8720,14e">
            <v:fill on="f" focussize="0,0"/>
            <v:stroke weight="1.44pt" color="#000000" miterlimit="2" joinstyle="bevel"/>
            <v:imagedata o:title=""/>
            <o:lock v:ext="edit"/>
            <w10:wrap type="none"/>
            <w10:anchorlock/>
          </v:shape>
        </w:pict>
      </w:r>
    </w:p>
    <w:p w14:paraId="7A498082">
      <w:pPr>
        <w:spacing w:line="29" w:lineRule="exact"/>
        <w:sectPr>
          <w:headerReference r:id="rId360" w:type="default"/>
          <w:footerReference r:id="rId361" w:type="default"/>
          <w:pgSz w:w="11906" w:h="16839"/>
          <w:pgMar w:top="1191" w:right="1356" w:bottom="1569" w:left="1309" w:header="882" w:footer="1407" w:gutter="0"/>
          <w:cols w:space="720" w:num="1"/>
        </w:sectPr>
      </w:pPr>
    </w:p>
    <w:p w14:paraId="6AB21CF2">
      <w:pPr>
        <w:spacing w:line="28" w:lineRule="exact"/>
      </w:pPr>
      <w:r>
        <w:pict>
          <v:shape id="_x0000_s1845" o:spid="_x0000_s1845" style="height:1.45pt;width:453.65pt;" fillcolor="#000000" filled="t" stroked="f" coordsize="9072,29" path="m0,0l9072,0,9072,28,0,28,0,0xe">
            <v:path/>
            <v:fill on="t" focussize="0,0"/>
            <v:stroke on="f"/>
            <v:imagedata o:title=""/>
            <o:lock v:ext="edit"/>
            <w10:wrap type="none"/>
            <w10:anchorlock/>
          </v:shape>
        </w:pict>
      </w:r>
    </w:p>
    <w:p w14:paraId="11858D55">
      <w:pPr>
        <w:pStyle w:val="2"/>
        <w:spacing w:line="265" w:lineRule="auto"/>
      </w:pPr>
    </w:p>
    <w:p w14:paraId="5AD2E831">
      <w:pPr>
        <w:spacing w:before="65" w:line="228" w:lineRule="auto"/>
        <w:ind w:left="2190"/>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4.6-2        </w:t>
      </w:r>
      <w:r>
        <w:rPr>
          <w:rFonts w:ascii="宋体" w:hAnsi="宋体" w:eastAsia="宋体" w:cs="宋体"/>
          <w:b/>
          <w:bCs/>
          <w:spacing w:val="6"/>
          <w:sz w:val="20"/>
          <w:szCs w:val="20"/>
        </w:rPr>
        <w:t>厂区土壤环境影响源</w:t>
      </w:r>
      <w:r>
        <w:rPr>
          <w:rFonts w:ascii="宋体" w:hAnsi="宋体" w:eastAsia="宋体" w:cs="宋体"/>
          <w:b/>
          <w:bCs/>
          <w:spacing w:val="5"/>
          <w:sz w:val="20"/>
          <w:szCs w:val="20"/>
        </w:rPr>
        <w:t>及影响因子识别表</w:t>
      </w:r>
    </w:p>
    <w:p w14:paraId="331EA1B5">
      <w:pPr>
        <w:spacing w:line="96" w:lineRule="exact"/>
      </w:pPr>
    </w:p>
    <w:tbl>
      <w:tblPr>
        <w:tblStyle w:val="5"/>
        <w:tblW w:w="906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02"/>
        <w:gridCol w:w="987"/>
        <w:gridCol w:w="2025"/>
        <w:gridCol w:w="4553"/>
      </w:tblGrid>
      <w:tr w14:paraId="1D70DD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502" w:type="dxa"/>
            <w:tcBorders>
              <w:top w:val="single" w:color="000000" w:sz="10" w:space="0"/>
              <w:left w:val="nil"/>
            </w:tcBorders>
            <w:vAlign w:val="top"/>
          </w:tcPr>
          <w:p w14:paraId="5FFBE211">
            <w:pPr>
              <w:pStyle w:val="6"/>
              <w:spacing w:before="36" w:line="214" w:lineRule="auto"/>
              <w:ind w:left="98"/>
              <w:rPr>
                <w:sz w:val="20"/>
                <w:szCs w:val="20"/>
              </w:rPr>
            </w:pPr>
            <w:r>
              <w:rPr>
                <w:spacing w:val="7"/>
                <w:sz w:val="20"/>
                <w:szCs w:val="20"/>
              </w:rPr>
              <w:t>工艺流程</w:t>
            </w:r>
            <w:r>
              <w:rPr>
                <w:rFonts w:ascii="Times New Roman" w:hAnsi="Times New Roman" w:eastAsia="Times New Roman" w:cs="Times New Roman"/>
                <w:spacing w:val="7"/>
                <w:sz w:val="20"/>
                <w:szCs w:val="20"/>
              </w:rPr>
              <w:t>/</w:t>
            </w:r>
            <w:r>
              <w:rPr>
                <w:spacing w:val="7"/>
                <w:sz w:val="20"/>
                <w:szCs w:val="20"/>
              </w:rPr>
              <w:t>节点</w:t>
            </w:r>
          </w:p>
        </w:tc>
        <w:tc>
          <w:tcPr>
            <w:tcW w:w="987" w:type="dxa"/>
            <w:tcBorders>
              <w:top w:val="single" w:color="000000" w:sz="10" w:space="0"/>
            </w:tcBorders>
            <w:vAlign w:val="top"/>
          </w:tcPr>
          <w:p w14:paraId="48ABED18">
            <w:pPr>
              <w:pStyle w:val="6"/>
              <w:spacing w:before="36" w:line="214" w:lineRule="auto"/>
              <w:ind w:left="81"/>
              <w:rPr>
                <w:sz w:val="20"/>
                <w:szCs w:val="20"/>
              </w:rPr>
            </w:pPr>
            <w:r>
              <w:rPr>
                <w:spacing w:val="6"/>
                <w:sz w:val="20"/>
                <w:szCs w:val="20"/>
              </w:rPr>
              <w:t>污染途径</w:t>
            </w:r>
          </w:p>
        </w:tc>
        <w:tc>
          <w:tcPr>
            <w:tcW w:w="2025" w:type="dxa"/>
            <w:tcBorders>
              <w:top w:val="single" w:color="000000" w:sz="10" w:space="0"/>
            </w:tcBorders>
            <w:vAlign w:val="top"/>
          </w:tcPr>
          <w:p w14:paraId="77A86C61">
            <w:pPr>
              <w:pStyle w:val="6"/>
              <w:spacing w:before="36" w:line="214" w:lineRule="auto"/>
              <w:ind w:left="598"/>
              <w:rPr>
                <w:sz w:val="20"/>
                <w:szCs w:val="20"/>
              </w:rPr>
            </w:pPr>
            <w:r>
              <w:rPr>
                <w:spacing w:val="6"/>
                <w:sz w:val="20"/>
                <w:szCs w:val="20"/>
              </w:rPr>
              <w:t>污染因子</w:t>
            </w:r>
          </w:p>
        </w:tc>
        <w:tc>
          <w:tcPr>
            <w:tcW w:w="4553" w:type="dxa"/>
            <w:tcBorders>
              <w:top w:val="single" w:color="000000" w:sz="10" w:space="0"/>
              <w:right w:val="nil"/>
            </w:tcBorders>
            <w:vAlign w:val="top"/>
          </w:tcPr>
          <w:p w14:paraId="1BAEAB55">
            <w:pPr>
              <w:pStyle w:val="6"/>
              <w:spacing w:before="36" w:line="214" w:lineRule="auto"/>
              <w:ind w:left="2076"/>
              <w:rPr>
                <w:sz w:val="20"/>
                <w:szCs w:val="20"/>
              </w:rPr>
            </w:pPr>
            <w:r>
              <w:rPr>
                <w:spacing w:val="3"/>
                <w:sz w:val="20"/>
                <w:szCs w:val="20"/>
              </w:rPr>
              <w:t>备注</w:t>
            </w:r>
          </w:p>
        </w:tc>
      </w:tr>
      <w:tr w14:paraId="0E7FE2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502" w:type="dxa"/>
            <w:tcBorders>
              <w:left w:val="nil"/>
            </w:tcBorders>
            <w:vAlign w:val="top"/>
          </w:tcPr>
          <w:p w14:paraId="5F617614">
            <w:pPr>
              <w:pStyle w:val="6"/>
              <w:spacing w:before="169" w:line="228" w:lineRule="auto"/>
              <w:ind w:left="231"/>
              <w:rPr>
                <w:sz w:val="20"/>
                <w:szCs w:val="20"/>
              </w:rPr>
            </w:pPr>
            <w:r>
              <w:rPr>
                <w:spacing w:val="7"/>
                <w:sz w:val="20"/>
                <w:szCs w:val="20"/>
              </w:rPr>
              <w:t>有组织废气</w:t>
            </w:r>
          </w:p>
        </w:tc>
        <w:tc>
          <w:tcPr>
            <w:tcW w:w="987" w:type="dxa"/>
            <w:vAlign w:val="top"/>
          </w:tcPr>
          <w:p w14:paraId="1BA85228">
            <w:pPr>
              <w:pStyle w:val="6"/>
              <w:spacing w:before="168" w:line="228" w:lineRule="auto"/>
              <w:ind w:left="81"/>
              <w:rPr>
                <w:sz w:val="20"/>
                <w:szCs w:val="20"/>
              </w:rPr>
            </w:pPr>
            <w:r>
              <w:rPr>
                <w:spacing w:val="6"/>
                <w:sz w:val="20"/>
                <w:szCs w:val="20"/>
              </w:rPr>
              <w:t>大气沉降</w:t>
            </w:r>
          </w:p>
        </w:tc>
        <w:tc>
          <w:tcPr>
            <w:tcW w:w="2025" w:type="dxa"/>
            <w:vAlign w:val="top"/>
          </w:tcPr>
          <w:p w14:paraId="18D68607">
            <w:pPr>
              <w:pStyle w:val="6"/>
              <w:spacing w:before="33" w:line="231" w:lineRule="auto"/>
              <w:ind w:left="97" w:right="49" w:hanging="80"/>
              <w:rPr>
                <w:rFonts w:ascii="Times New Roman" w:hAnsi="Times New Roman" w:eastAsia="Times New Roman" w:cs="Times New Roman"/>
                <w:sz w:val="13"/>
                <w:szCs w:val="13"/>
              </w:rPr>
            </w:pPr>
            <w:r>
              <w:rPr>
                <w:spacing w:val="3"/>
                <w:sz w:val="20"/>
                <w:szCs w:val="20"/>
              </w:rPr>
              <w:t>颗粒物、</w:t>
            </w: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r>
              <w:rPr>
                <w:rFonts w:ascii="Times New Roman" w:hAnsi="Times New Roman" w:eastAsia="Times New Roman" w:cs="Times New Roman"/>
                <w:spacing w:val="-6"/>
                <w:position w:val="-1"/>
                <w:sz w:val="13"/>
                <w:szCs w:val="13"/>
              </w:rPr>
              <w:t xml:space="preserve"> </w:t>
            </w:r>
            <w:r>
              <w:rPr>
                <w:spacing w:val="3"/>
                <w:sz w:val="20"/>
                <w:szCs w:val="20"/>
              </w:rPr>
              <w:t>、</w:t>
            </w:r>
            <w:r>
              <w:rPr>
                <w:rFonts w:ascii="Times New Roman" w:hAnsi="Times New Roman" w:eastAsia="Times New Roman" w:cs="Times New Roman"/>
                <w:sz w:val="20"/>
                <w:szCs w:val="20"/>
              </w:rPr>
              <w:t>NO</w:t>
            </w:r>
            <w:r>
              <w:rPr>
                <w:rFonts w:ascii="Times New Roman" w:hAnsi="Times New Roman" w:eastAsia="Times New Roman" w:cs="Times New Roman"/>
                <w:position w:val="-1"/>
                <w:sz w:val="13"/>
                <w:szCs w:val="13"/>
              </w:rPr>
              <w:t>X</w:t>
            </w:r>
            <w:r>
              <w:rPr>
                <w:spacing w:val="3"/>
                <w:sz w:val="20"/>
                <w:szCs w:val="20"/>
              </w:rPr>
              <w:t>、</w:t>
            </w:r>
            <w:r>
              <w:rPr>
                <w:sz w:val="20"/>
                <w:szCs w:val="20"/>
              </w:rPr>
              <w:t xml:space="preserve"> </w:t>
            </w:r>
            <w:r>
              <w:rPr>
                <w:spacing w:val="10"/>
                <w:sz w:val="20"/>
                <w:szCs w:val="20"/>
              </w:rPr>
              <w:t>锰及其化合物、</w:t>
            </w:r>
            <w:r>
              <w:rPr>
                <w:rFonts w:ascii="Times New Roman" w:hAnsi="Times New Roman" w:eastAsia="Times New Roman" w:cs="Times New Roman"/>
                <w:sz w:val="20"/>
                <w:szCs w:val="20"/>
              </w:rPr>
              <w:t>NH</w:t>
            </w:r>
            <w:r>
              <w:rPr>
                <w:rFonts w:ascii="Times New Roman" w:hAnsi="Times New Roman" w:eastAsia="Times New Roman" w:cs="Times New Roman"/>
                <w:spacing w:val="10"/>
                <w:position w:val="-1"/>
                <w:sz w:val="13"/>
                <w:szCs w:val="13"/>
              </w:rPr>
              <w:t>3</w:t>
            </w:r>
          </w:p>
        </w:tc>
        <w:tc>
          <w:tcPr>
            <w:tcW w:w="4553" w:type="dxa"/>
            <w:tcBorders>
              <w:right w:val="nil"/>
            </w:tcBorders>
            <w:vAlign w:val="top"/>
          </w:tcPr>
          <w:p w14:paraId="0217D236">
            <w:pPr>
              <w:pStyle w:val="6"/>
              <w:spacing w:before="33" w:line="231" w:lineRule="auto"/>
              <w:ind w:left="8" w:right="78"/>
              <w:rPr>
                <w:sz w:val="20"/>
                <w:szCs w:val="20"/>
              </w:rPr>
            </w:pPr>
            <w:r>
              <w:rPr>
                <w:spacing w:val="8"/>
                <w:sz w:val="20"/>
                <w:szCs w:val="20"/>
              </w:rPr>
              <w:t>废气中颗粒物、</w:t>
            </w:r>
            <w:r>
              <w:rPr>
                <w:rFonts w:ascii="Times New Roman" w:hAnsi="Times New Roman" w:eastAsia="Times New Roman" w:cs="Times New Roman"/>
                <w:sz w:val="20"/>
                <w:szCs w:val="20"/>
              </w:rPr>
              <w:t>SO</w:t>
            </w:r>
            <w:r>
              <w:rPr>
                <w:rFonts w:ascii="Times New Roman" w:hAnsi="Times New Roman" w:eastAsia="Times New Roman" w:cs="Times New Roman"/>
                <w:spacing w:val="8"/>
                <w:position w:val="-1"/>
                <w:sz w:val="13"/>
                <w:szCs w:val="13"/>
              </w:rPr>
              <w:t xml:space="preserve">2 </w:t>
            </w:r>
            <w:r>
              <w:rPr>
                <w:spacing w:val="8"/>
                <w:sz w:val="20"/>
                <w:szCs w:val="20"/>
              </w:rPr>
              <w:t>、</w:t>
            </w:r>
            <w:r>
              <w:rPr>
                <w:rFonts w:ascii="Times New Roman" w:hAnsi="Times New Roman" w:eastAsia="Times New Roman" w:cs="Times New Roman"/>
                <w:sz w:val="20"/>
                <w:szCs w:val="20"/>
              </w:rPr>
              <w:t>NO</w:t>
            </w:r>
            <w:r>
              <w:rPr>
                <w:rFonts w:ascii="Times New Roman" w:hAnsi="Times New Roman" w:eastAsia="Times New Roman" w:cs="Times New Roman"/>
                <w:position w:val="-1"/>
                <w:sz w:val="13"/>
                <w:szCs w:val="13"/>
              </w:rPr>
              <w:t>X</w:t>
            </w:r>
            <w:r>
              <w:rPr>
                <w:rFonts w:ascii="Times New Roman" w:hAnsi="Times New Roman" w:eastAsia="Times New Roman" w:cs="Times New Roman"/>
                <w:spacing w:val="-13"/>
                <w:position w:val="-1"/>
                <w:sz w:val="13"/>
                <w:szCs w:val="13"/>
              </w:rPr>
              <w:t xml:space="preserve"> </w:t>
            </w:r>
            <w:r>
              <w:rPr>
                <w:spacing w:val="8"/>
                <w:sz w:val="20"/>
                <w:szCs w:val="20"/>
              </w:rPr>
              <w:t>、锰及其化合物、</w:t>
            </w:r>
            <w:r>
              <w:rPr>
                <w:rFonts w:ascii="Times New Roman" w:hAnsi="Times New Roman" w:eastAsia="Times New Roman" w:cs="Times New Roman"/>
                <w:sz w:val="20"/>
                <w:szCs w:val="20"/>
              </w:rPr>
              <w:t>NH</w:t>
            </w:r>
            <w:r>
              <w:rPr>
                <w:rFonts w:ascii="Times New Roman" w:hAnsi="Times New Roman" w:eastAsia="Times New Roman" w:cs="Times New Roman"/>
                <w:spacing w:val="8"/>
                <w:position w:val="-1"/>
                <w:sz w:val="13"/>
                <w:szCs w:val="13"/>
              </w:rPr>
              <w:t>3</w:t>
            </w:r>
            <w:r>
              <w:rPr>
                <w:rFonts w:ascii="Times New Roman" w:hAnsi="Times New Roman" w:eastAsia="Times New Roman" w:cs="Times New Roman"/>
                <w:position w:val="-1"/>
                <w:sz w:val="13"/>
                <w:szCs w:val="13"/>
              </w:rPr>
              <w:t xml:space="preserve"> </w:t>
            </w:r>
            <w:r>
              <w:rPr>
                <w:spacing w:val="8"/>
                <w:sz w:val="20"/>
                <w:szCs w:val="20"/>
              </w:rPr>
              <w:t>沉降到土壤表层，对表层土壤造成污染。</w:t>
            </w:r>
          </w:p>
        </w:tc>
      </w:tr>
      <w:tr w14:paraId="7DD7B9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74" w:hRule="atLeast"/>
        </w:trPr>
        <w:tc>
          <w:tcPr>
            <w:tcW w:w="1502" w:type="dxa"/>
            <w:tcBorders>
              <w:left w:val="nil"/>
              <w:bottom w:val="single" w:color="000000" w:sz="10" w:space="0"/>
            </w:tcBorders>
            <w:vAlign w:val="top"/>
          </w:tcPr>
          <w:p w14:paraId="77D5C0C9">
            <w:pPr>
              <w:spacing w:line="257" w:lineRule="auto"/>
              <w:rPr>
                <w:rFonts w:ascii="Arial"/>
                <w:sz w:val="21"/>
              </w:rPr>
            </w:pPr>
          </w:p>
          <w:p w14:paraId="54443F38">
            <w:pPr>
              <w:spacing w:line="258" w:lineRule="auto"/>
              <w:rPr>
                <w:rFonts w:ascii="Arial"/>
                <w:sz w:val="21"/>
              </w:rPr>
            </w:pPr>
          </w:p>
          <w:p w14:paraId="4B268316">
            <w:pPr>
              <w:pStyle w:val="6"/>
              <w:spacing w:before="65" w:line="228" w:lineRule="auto"/>
              <w:ind w:left="335"/>
              <w:rPr>
                <w:sz w:val="20"/>
                <w:szCs w:val="20"/>
              </w:rPr>
            </w:pPr>
            <w:r>
              <w:rPr>
                <w:spacing w:val="7"/>
                <w:sz w:val="20"/>
                <w:szCs w:val="20"/>
              </w:rPr>
              <w:t>事故废水</w:t>
            </w:r>
          </w:p>
        </w:tc>
        <w:tc>
          <w:tcPr>
            <w:tcW w:w="987" w:type="dxa"/>
            <w:tcBorders>
              <w:bottom w:val="single" w:color="000000" w:sz="10" w:space="0"/>
            </w:tcBorders>
            <w:vAlign w:val="top"/>
          </w:tcPr>
          <w:p w14:paraId="336E514E">
            <w:pPr>
              <w:spacing w:line="258" w:lineRule="auto"/>
              <w:rPr>
                <w:rFonts w:ascii="Arial"/>
                <w:sz w:val="21"/>
              </w:rPr>
            </w:pPr>
          </w:p>
          <w:p w14:paraId="74468B02">
            <w:pPr>
              <w:spacing w:line="258" w:lineRule="auto"/>
              <w:rPr>
                <w:rFonts w:ascii="Arial"/>
                <w:sz w:val="21"/>
              </w:rPr>
            </w:pPr>
          </w:p>
          <w:p w14:paraId="362664F5">
            <w:pPr>
              <w:pStyle w:val="6"/>
              <w:spacing w:before="65" w:line="228" w:lineRule="auto"/>
              <w:ind w:left="80"/>
              <w:rPr>
                <w:sz w:val="20"/>
                <w:szCs w:val="20"/>
              </w:rPr>
            </w:pPr>
            <w:r>
              <w:rPr>
                <w:spacing w:val="7"/>
                <w:sz w:val="20"/>
                <w:szCs w:val="20"/>
              </w:rPr>
              <w:t>垂直下渗</w:t>
            </w:r>
          </w:p>
        </w:tc>
        <w:tc>
          <w:tcPr>
            <w:tcW w:w="2025" w:type="dxa"/>
            <w:tcBorders>
              <w:bottom w:val="single" w:color="000000" w:sz="10" w:space="0"/>
            </w:tcBorders>
            <w:vAlign w:val="top"/>
          </w:tcPr>
          <w:p w14:paraId="64D770EA">
            <w:pPr>
              <w:spacing w:line="379" w:lineRule="auto"/>
              <w:rPr>
                <w:rFonts w:ascii="Arial"/>
                <w:sz w:val="21"/>
              </w:rPr>
            </w:pPr>
          </w:p>
          <w:p w14:paraId="2530251E">
            <w:pPr>
              <w:pStyle w:val="6"/>
              <w:spacing w:before="65"/>
              <w:ind w:left="375" w:right="92" w:hanging="311"/>
              <w:rPr>
                <w:sz w:val="20"/>
                <w:szCs w:val="20"/>
              </w:rPr>
            </w:pPr>
            <w:r>
              <w:rPr>
                <w:rFonts w:ascii="Times New Roman" w:hAnsi="Times New Roman" w:eastAsia="Times New Roman" w:cs="Times New Roman"/>
                <w:sz w:val="20"/>
                <w:szCs w:val="20"/>
              </w:rPr>
              <w:t>SS</w:t>
            </w:r>
            <w:r>
              <w:rPr>
                <w:rFonts w:ascii="Times New Roman" w:hAnsi="Times New Roman" w:eastAsia="Times New Roman" w:cs="Times New Roman"/>
                <w:spacing w:val="-19"/>
                <w:sz w:val="20"/>
                <w:szCs w:val="20"/>
              </w:rPr>
              <w:t xml:space="preserve"> </w:t>
            </w:r>
            <w:r>
              <w:rPr>
                <w:spacing w:val="1"/>
                <w:sz w:val="20"/>
                <w:szCs w:val="20"/>
              </w:rPr>
              <w:t>、溶解性总固体、</w:t>
            </w:r>
            <w:r>
              <w:rPr>
                <w:sz w:val="20"/>
                <w:szCs w:val="20"/>
              </w:rPr>
              <w:t xml:space="preserve"> </w:t>
            </w:r>
            <w:r>
              <w:rPr>
                <w:rFonts w:ascii="Times New Roman" w:hAnsi="Times New Roman" w:eastAsia="Times New Roman" w:cs="Times New Roman"/>
                <w:sz w:val="20"/>
                <w:szCs w:val="20"/>
              </w:rPr>
              <w:t>COD</w:t>
            </w:r>
            <w:r>
              <w:rPr>
                <w:rFonts w:ascii="Times New Roman" w:hAnsi="Times New Roman" w:eastAsia="Times New Roman" w:cs="Times New Roman"/>
                <w:spacing w:val="-24"/>
                <w:sz w:val="20"/>
                <w:szCs w:val="20"/>
              </w:rPr>
              <w:t xml:space="preserve"> </w:t>
            </w:r>
            <w:r>
              <w:rPr>
                <w:spacing w:val="6"/>
                <w:sz w:val="20"/>
                <w:szCs w:val="20"/>
              </w:rPr>
              <w:t>、氨氮等</w:t>
            </w:r>
          </w:p>
        </w:tc>
        <w:tc>
          <w:tcPr>
            <w:tcW w:w="4553" w:type="dxa"/>
            <w:tcBorders>
              <w:bottom w:val="single" w:color="000000" w:sz="10" w:space="0"/>
              <w:right w:val="nil"/>
            </w:tcBorders>
            <w:vAlign w:val="top"/>
          </w:tcPr>
          <w:p w14:paraId="4528E26C">
            <w:pPr>
              <w:pStyle w:val="6"/>
              <w:spacing w:before="42" w:line="244" w:lineRule="auto"/>
              <w:ind w:left="8"/>
              <w:jc w:val="both"/>
              <w:rPr>
                <w:sz w:val="20"/>
                <w:szCs w:val="20"/>
              </w:rPr>
            </w:pPr>
            <w:r>
              <w:rPr>
                <w:spacing w:val="6"/>
                <w:sz w:val="20"/>
                <w:szCs w:val="20"/>
              </w:rPr>
              <w:t>事故废水引流区地面硬化，并与非硬化区之间设置</w:t>
            </w:r>
            <w:r>
              <w:rPr>
                <w:spacing w:val="4"/>
                <w:sz w:val="20"/>
                <w:szCs w:val="20"/>
              </w:rPr>
              <w:t xml:space="preserve"> </w:t>
            </w:r>
            <w:r>
              <w:rPr>
                <w:spacing w:val="6"/>
                <w:sz w:val="20"/>
                <w:szCs w:val="20"/>
              </w:rPr>
              <w:t>阻水带，消防事故水池做防渗处理，平时腾空，仅</w:t>
            </w:r>
            <w:r>
              <w:rPr>
                <w:spacing w:val="7"/>
                <w:sz w:val="20"/>
                <w:szCs w:val="20"/>
              </w:rPr>
              <w:t xml:space="preserve"> </w:t>
            </w:r>
            <w:r>
              <w:rPr>
                <w:spacing w:val="6"/>
                <w:sz w:val="20"/>
                <w:szCs w:val="20"/>
              </w:rPr>
              <w:t>在发生事故时暂时存放事故废水，一般不会发生泄</w:t>
            </w:r>
            <w:r>
              <w:rPr>
                <w:spacing w:val="7"/>
                <w:sz w:val="20"/>
                <w:szCs w:val="20"/>
              </w:rPr>
              <w:t xml:space="preserve"> </w:t>
            </w:r>
            <w:r>
              <w:rPr>
                <w:spacing w:val="6"/>
                <w:sz w:val="20"/>
                <w:szCs w:val="20"/>
              </w:rPr>
              <w:t>漏污染土壤。只有当硬化区破损或池体防渗层破损</w:t>
            </w:r>
            <w:r>
              <w:rPr>
                <w:spacing w:val="5"/>
                <w:sz w:val="20"/>
                <w:szCs w:val="20"/>
              </w:rPr>
              <w:t xml:space="preserve"> </w:t>
            </w:r>
            <w:r>
              <w:rPr>
                <w:spacing w:val="8"/>
                <w:sz w:val="20"/>
                <w:szCs w:val="20"/>
              </w:rPr>
              <w:t>时可能对地下水造成短暂污染。</w:t>
            </w:r>
          </w:p>
        </w:tc>
      </w:tr>
    </w:tbl>
    <w:p w14:paraId="5104E903">
      <w:pPr>
        <w:spacing w:before="168" w:line="222" w:lineRule="auto"/>
        <w:ind w:left="3"/>
        <w:outlineLvl w:val="2"/>
        <w:rPr>
          <w:rFonts w:ascii="黑体" w:hAnsi="黑体" w:eastAsia="黑体" w:cs="黑体"/>
          <w:sz w:val="30"/>
          <w:szCs w:val="30"/>
        </w:rPr>
      </w:pPr>
      <w:bookmarkStart w:id="384" w:name="bookmark236"/>
      <w:bookmarkEnd w:id="384"/>
      <w:r>
        <w:rPr>
          <w:rFonts w:ascii="Times New Roman" w:hAnsi="Times New Roman" w:eastAsia="Times New Roman" w:cs="Times New Roman"/>
          <w:spacing w:val="-1"/>
          <w:sz w:val="30"/>
          <w:szCs w:val="30"/>
        </w:rPr>
        <w:t xml:space="preserve">4.6.2 </w:t>
      </w:r>
      <w:r>
        <w:rPr>
          <w:rFonts w:ascii="黑体" w:hAnsi="黑体" w:eastAsia="黑体" w:cs="黑体"/>
          <w:spacing w:val="-1"/>
          <w:sz w:val="30"/>
          <w:szCs w:val="30"/>
        </w:rPr>
        <w:t>对土壤环境的影响</w:t>
      </w:r>
    </w:p>
    <w:p w14:paraId="434A0D29">
      <w:pPr>
        <w:spacing w:before="228" w:line="354" w:lineRule="auto"/>
        <w:ind w:left="7" w:firstLine="480"/>
        <w:rPr>
          <w:rFonts w:ascii="宋体" w:hAnsi="宋体" w:eastAsia="宋体" w:cs="宋体"/>
          <w:sz w:val="24"/>
          <w:szCs w:val="24"/>
        </w:rPr>
      </w:pPr>
      <w:r>
        <w:rPr>
          <w:rFonts w:ascii="宋体" w:hAnsi="宋体" w:eastAsia="宋体" w:cs="宋体"/>
          <w:spacing w:val="-2"/>
          <w:sz w:val="24"/>
          <w:szCs w:val="24"/>
        </w:rPr>
        <w:t>根据影响识别结果和评价工作等级，确定本项目影响预测的范围为厂区内及厂区外</w:t>
      </w:r>
      <w:r>
        <w:rPr>
          <w:rFonts w:ascii="宋体" w:hAnsi="宋体" w:eastAsia="宋体" w:cs="宋体"/>
          <w:spacing w:val="13"/>
          <w:sz w:val="24"/>
          <w:szCs w:val="24"/>
        </w:rPr>
        <w:t xml:space="preserve"> </w:t>
      </w:r>
      <w:r>
        <w:rPr>
          <w:rFonts w:ascii="Times New Roman" w:hAnsi="Times New Roman" w:eastAsia="Times New Roman" w:cs="Times New Roman"/>
          <w:spacing w:val="-1"/>
          <w:sz w:val="24"/>
          <w:szCs w:val="24"/>
        </w:rPr>
        <w:t>0.2km</w:t>
      </w:r>
      <w:r>
        <w:rPr>
          <w:rFonts w:ascii="Times New Roman" w:hAnsi="Times New Roman" w:eastAsia="Times New Roman" w:cs="Times New Roman"/>
          <w:spacing w:val="20"/>
          <w:w w:val="101"/>
          <w:sz w:val="24"/>
          <w:szCs w:val="24"/>
        </w:rPr>
        <w:t xml:space="preserve"> </w:t>
      </w:r>
      <w:r>
        <w:rPr>
          <w:rFonts w:ascii="宋体" w:hAnsi="宋体" w:eastAsia="宋体" w:cs="宋体"/>
          <w:spacing w:val="-1"/>
          <w:sz w:val="24"/>
          <w:szCs w:val="24"/>
        </w:rPr>
        <w:t>范围内，预测时段为营运期，预测方法采用附录</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 xml:space="preserve">E.1 </w:t>
      </w:r>
      <w:r>
        <w:rPr>
          <w:rFonts w:ascii="宋体" w:hAnsi="宋体" w:eastAsia="宋体" w:cs="宋体"/>
          <w:spacing w:val="-1"/>
          <w:sz w:val="24"/>
          <w:szCs w:val="24"/>
        </w:rPr>
        <w:t>进行预测。</w:t>
      </w:r>
    </w:p>
    <w:p w14:paraId="0140DCDC">
      <w:pPr>
        <w:spacing w:before="39"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）单位质量土壤中某种物质的增量可用下式计算：</w:t>
      </w:r>
    </w:p>
    <w:p w14:paraId="2DE50E27">
      <w:pPr>
        <w:spacing w:before="149" w:line="338" w:lineRule="auto"/>
        <w:ind w:left="493" w:right="2572" w:firstLine="263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S=n</w:t>
      </w:r>
      <w:r>
        <w:rPr>
          <w:rFonts w:ascii="宋体" w:hAnsi="宋体" w:eastAsia="宋体" w:cs="宋体"/>
          <w:spacing w:val="-1"/>
          <w:sz w:val="24"/>
          <w:szCs w:val="24"/>
        </w:rPr>
        <w:t>（</w:t>
      </w:r>
      <w:r>
        <w:rPr>
          <w:rFonts w:ascii="Times New Roman" w:hAnsi="Times New Roman" w:eastAsia="Times New Roman" w:cs="Times New Roman"/>
          <w:spacing w:val="-1"/>
          <w:sz w:val="24"/>
          <w:szCs w:val="24"/>
        </w:rPr>
        <w:t>Is-Ls-Rs</w:t>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ρb×A×D</w:t>
      </w:r>
      <w:r>
        <w:rPr>
          <w:rFonts w:ascii="宋体" w:hAnsi="宋体" w:eastAsia="宋体" w:cs="宋体"/>
          <w:spacing w:val="-1"/>
          <w:sz w:val="24"/>
          <w:szCs w:val="24"/>
        </w:rPr>
        <w:t>）</w:t>
      </w:r>
      <w:r>
        <w:rPr>
          <w:rFonts w:ascii="宋体" w:hAnsi="宋体" w:eastAsia="宋体" w:cs="宋体"/>
          <w:spacing w:val="4"/>
          <w:sz w:val="24"/>
          <w:szCs w:val="24"/>
        </w:rPr>
        <w:t xml:space="preserve"> </w:t>
      </w:r>
      <w:r>
        <w:rPr>
          <w:rFonts w:ascii="宋体" w:hAnsi="宋体" w:eastAsia="宋体" w:cs="宋体"/>
          <w:spacing w:val="-3"/>
          <w:sz w:val="24"/>
          <w:szCs w:val="24"/>
        </w:rPr>
        <w:t>式中：△</w:t>
      </w:r>
      <w:r>
        <w:rPr>
          <w:rFonts w:ascii="Times New Roman" w:hAnsi="Times New Roman" w:eastAsia="Times New Roman" w:cs="Times New Roman"/>
          <w:spacing w:val="-3"/>
          <w:sz w:val="24"/>
          <w:szCs w:val="24"/>
        </w:rPr>
        <w:t>S—</w:t>
      </w:r>
      <w:r>
        <w:rPr>
          <w:rFonts w:ascii="宋体" w:hAnsi="宋体" w:eastAsia="宋体" w:cs="宋体"/>
          <w:spacing w:val="-3"/>
          <w:sz w:val="24"/>
          <w:szCs w:val="24"/>
        </w:rPr>
        <w:t>单位质量表层土壤中某种物质的增量，</w:t>
      </w:r>
      <w:r>
        <w:rPr>
          <w:rFonts w:ascii="Times New Roman" w:hAnsi="Times New Roman" w:eastAsia="Times New Roman" w:cs="Times New Roman"/>
          <w:spacing w:val="-3"/>
          <w:sz w:val="24"/>
          <w:szCs w:val="24"/>
        </w:rPr>
        <w:t>g/kg</w:t>
      </w:r>
      <w:r>
        <w:rPr>
          <w:rFonts w:ascii="宋体" w:hAnsi="宋体" w:eastAsia="宋体" w:cs="宋体"/>
          <w:spacing w:val="-3"/>
          <w:sz w:val="24"/>
          <w:szCs w:val="24"/>
        </w:rPr>
        <w:t>；</w:t>
      </w:r>
    </w:p>
    <w:p w14:paraId="5382034A">
      <w:pPr>
        <w:spacing w:before="122" w:line="210" w:lineRule="auto"/>
        <w:ind w:left="485"/>
        <w:rPr>
          <w:rFonts w:ascii="宋体" w:hAnsi="宋体" w:eastAsia="宋体" w:cs="宋体"/>
          <w:sz w:val="24"/>
          <w:szCs w:val="24"/>
        </w:rPr>
      </w:pPr>
      <w:r>
        <w:rPr>
          <w:rFonts w:ascii="Times New Roman" w:hAnsi="Times New Roman" w:eastAsia="Times New Roman" w:cs="Times New Roman"/>
          <w:sz w:val="24"/>
          <w:szCs w:val="24"/>
        </w:rPr>
        <w:t>Is—</w:t>
      </w:r>
      <w:r>
        <w:rPr>
          <w:rFonts w:ascii="宋体" w:hAnsi="宋体" w:eastAsia="宋体" w:cs="宋体"/>
          <w:sz w:val="24"/>
          <w:szCs w:val="24"/>
        </w:rPr>
        <w:t>预测评价范围内单位年份表层土壤中某种物</w:t>
      </w:r>
      <w:r>
        <w:rPr>
          <w:rFonts w:ascii="宋体" w:hAnsi="宋体" w:eastAsia="宋体" w:cs="宋体"/>
          <w:spacing w:val="-1"/>
          <w:sz w:val="24"/>
          <w:szCs w:val="24"/>
        </w:rPr>
        <w:t>质的输入量，</w:t>
      </w:r>
      <w:r>
        <w:rPr>
          <w:rFonts w:ascii="Times New Roman" w:hAnsi="Times New Roman" w:eastAsia="Times New Roman" w:cs="Times New Roman"/>
          <w:spacing w:val="-1"/>
          <w:sz w:val="24"/>
          <w:szCs w:val="24"/>
        </w:rPr>
        <w:t>g</w:t>
      </w:r>
      <w:r>
        <w:rPr>
          <w:rFonts w:ascii="宋体" w:hAnsi="宋体" w:eastAsia="宋体" w:cs="宋体"/>
          <w:spacing w:val="-1"/>
          <w:sz w:val="24"/>
          <w:szCs w:val="24"/>
        </w:rPr>
        <w:t>；</w:t>
      </w:r>
    </w:p>
    <w:p w14:paraId="3FB62D6E">
      <w:pPr>
        <w:spacing w:before="205" w:line="341" w:lineRule="auto"/>
        <w:ind w:left="483" w:right="1079"/>
        <w:rPr>
          <w:rFonts w:ascii="宋体" w:hAnsi="宋体" w:eastAsia="宋体" w:cs="宋体"/>
          <w:sz w:val="24"/>
          <w:szCs w:val="24"/>
        </w:rPr>
      </w:pPr>
      <w:r>
        <w:rPr>
          <w:rFonts w:ascii="Times New Roman" w:hAnsi="Times New Roman" w:eastAsia="Times New Roman" w:cs="Times New Roman"/>
          <w:spacing w:val="-2"/>
          <w:sz w:val="24"/>
          <w:szCs w:val="24"/>
        </w:rPr>
        <w:t>Ls—</w:t>
      </w:r>
      <w:r>
        <w:rPr>
          <w:rFonts w:ascii="宋体" w:hAnsi="宋体" w:eastAsia="宋体" w:cs="宋体"/>
          <w:spacing w:val="-2"/>
          <w:sz w:val="24"/>
          <w:szCs w:val="24"/>
        </w:rPr>
        <w:t>预测评价范围内单位年份表层土壤中某种物质经淋溶排出的量，</w:t>
      </w:r>
      <w:r>
        <w:rPr>
          <w:rFonts w:ascii="Times New Roman" w:hAnsi="Times New Roman" w:eastAsia="Times New Roman" w:cs="Times New Roman"/>
          <w:spacing w:val="-2"/>
          <w:sz w:val="24"/>
          <w:szCs w:val="24"/>
        </w:rPr>
        <w:t>g</w:t>
      </w:r>
      <w:r>
        <w:rPr>
          <w:rFonts w:ascii="宋体" w:hAnsi="宋体" w:eastAsia="宋体" w:cs="宋体"/>
          <w:spacing w:val="-2"/>
          <w:sz w:val="24"/>
          <w:szCs w:val="24"/>
        </w:rPr>
        <w:t>；</w:t>
      </w:r>
      <w:r>
        <w:rPr>
          <w:rFonts w:ascii="宋体" w:hAnsi="宋体" w:eastAsia="宋体" w:cs="宋体"/>
          <w:spacing w:val="13"/>
          <w:sz w:val="24"/>
          <w:szCs w:val="24"/>
        </w:rPr>
        <w:t xml:space="preserve"> </w:t>
      </w:r>
      <w:r>
        <w:rPr>
          <w:rFonts w:ascii="Times New Roman" w:hAnsi="Times New Roman" w:eastAsia="Times New Roman" w:cs="Times New Roman"/>
          <w:spacing w:val="-2"/>
          <w:sz w:val="24"/>
          <w:szCs w:val="24"/>
        </w:rPr>
        <w:t>Rs—</w:t>
      </w:r>
      <w:r>
        <w:rPr>
          <w:rFonts w:ascii="宋体" w:hAnsi="宋体" w:eastAsia="宋体" w:cs="宋体"/>
          <w:spacing w:val="-2"/>
          <w:sz w:val="24"/>
          <w:szCs w:val="24"/>
        </w:rPr>
        <w:t>预测评价范围内单位年份表层土壤中某种物质经径流排出的量，</w:t>
      </w:r>
      <w:r>
        <w:rPr>
          <w:rFonts w:ascii="Times New Roman" w:hAnsi="Times New Roman" w:eastAsia="Times New Roman" w:cs="Times New Roman"/>
          <w:spacing w:val="-2"/>
          <w:sz w:val="24"/>
          <w:szCs w:val="24"/>
        </w:rPr>
        <w:t>g</w:t>
      </w:r>
      <w:r>
        <w:rPr>
          <w:rFonts w:ascii="宋体" w:hAnsi="宋体" w:eastAsia="宋体" w:cs="宋体"/>
          <w:spacing w:val="-2"/>
          <w:sz w:val="24"/>
          <w:szCs w:val="24"/>
        </w:rPr>
        <w:t>；</w:t>
      </w:r>
    </w:p>
    <w:p w14:paraId="43C003BF">
      <w:pPr>
        <w:spacing w:before="70" w:line="342" w:lineRule="auto"/>
        <w:ind w:left="480" w:right="5802" w:firstLine="8"/>
        <w:rPr>
          <w:rFonts w:ascii="宋体" w:hAnsi="宋体" w:eastAsia="宋体" w:cs="宋体"/>
          <w:sz w:val="24"/>
          <w:szCs w:val="24"/>
        </w:rPr>
      </w:pPr>
      <w:r>
        <w:rPr>
          <w:rFonts w:ascii="Times New Roman" w:hAnsi="Times New Roman" w:eastAsia="Times New Roman" w:cs="Times New Roman"/>
          <w:spacing w:val="-5"/>
          <w:sz w:val="24"/>
          <w:szCs w:val="24"/>
        </w:rPr>
        <w:t>ρ—</w:t>
      </w:r>
      <w:r>
        <w:rPr>
          <w:rFonts w:ascii="宋体" w:hAnsi="宋体" w:eastAsia="宋体" w:cs="宋体"/>
          <w:spacing w:val="-5"/>
          <w:sz w:val="24"/>
          <w:szCs w:val="24"/>
        </w:rPr>
        <w:t>表层土壤容重，</w:t>
      </w:r>
      <w:r>
        <w:rPr>
          <w:rFonts w:ascii="Times New Roman" w:hAnsi="Times New Roman" w:eastAsia="Times New Roman" w:cs="Times New Roman"/>
          <w:spacing w:val="-5"/>
          <w:sz w:val="24"/>
          <w:szCs w:val="24"/>
        </w:rPr>
        <w:t>kg/m</w:t>
      </w:r>
      <w:r>
        <w:rPr>
          <w:rFonts w:ascii="Times New Roman" w:hAnsi="Times New Roman" w:eastAsia="Times New Roman" w:cs="Times New Roman"/>
          <w:spacing w:val="-5"/>
          <w:position w:val="7"/>
          <w:sz w:val="15"/>
          <w:szCs w:val="15"/>
        </w:rPr>
        <w:t>3</w:t>
      </w:r>
      <w:r>
        <w:rPr>
          <w:rFonts w:ascii="宋体" w:hAnsi="宋体" w:eastAsia="宋体" w:cs="宋体"/>
          <w:spacing w:val="-5"/>
          <w:sz w:val="24"/>
          <w:szCs w:val="24"/>
        </w:rPr>
        <w:t>；</w:t>
      </w:r>
      <w:r>
        <w:rPr>
          <w:rFonts w:ascii="宋体" w:hAnsi="宋体" w:eastAsia="宋体" w:cs="宋体"/>
          <w:spacing w:val="5"/>
          <w:sz w:val="24"/>
          <w:szCs w:val="24"/>
        </w:rPr>
        <w:t xml:space="preserve"> </w:t>
      </w:r>
      <w:r>
        <w:rPr>
          <w:rFonts w:ascii="Times New Roman" w:hAnsi="Times New Roman" w:eastAsia="Times New Roman" w:cs="Times New Roman"/>
          <w:sz w:val="24"/>
          <w:szCs w:val="24"/>
        </w:rPr>
        <w:t>A—</w:t>
      </w:r>
      <w:r>
        <w:rPr>
          <w:rFonts w:ascii="宋体" w:hAnsi="宋体" w:eastAsia="宋体" w:cs="宋体"/>
          <w:sz w:val="24"/>
          <w:szCs w:val="24"/>
        </w:rPr>
        <w:t>预测评价范围，</w:t>
      </w:r>
      <w:r>
        <w:rPr>
          <w:rFonts w:ascii="Times New Roman" w:hAnsi="Times New Roman" w:eastAsia="Times New Roman" w:cs="Times New Roman"/>
          <w:sz w:val="24"/>
          <w:szCs w:val="24"/>
        </w:rPr>
        <w:t>m</w:t>
      </w:r>
      <w:r>
        <w:rPr>
          <w:rFonts w:ascii="Times New Roman" w:hAnsi="Times New Roman" w:eastAsia="Times New Roman" w:cs="Times New Roman"/>
          <w:position w:val="7"/>
          <w:sz w:val="15"/>
          <w:szCs w:val="15"/>
        </w:rPr>
        <w:t>2</w:t>
      </w:r>
      <w:r>
        <w:rPr>
          <w:rFonts w:ascii="宋体" w:hAnsi="宋体" w:eastAsia="宋体" w:cs="宋体"/>
          <w:sz w:val="24"/>
          <w:szCs w:val="24"/>
        </w:rPr>
        <w:t>；</w:t>
      </w:r>
    </w:p>
    <w:p w14:paraId="607ADBD9">
      <w:pPr>
        <w:spacing w:before="69" w:line="354" w:lineRule="auto"/>
        <w:ind w:left="480" w:right="5054" w:firstLine="2"/>
        <w:rPr>
          <w:rFonts w:ascii="宋体" w:hAnsi="宋体" w:eastAsia="宋体" w:cs="宋体"/>
          <w:sz w:val="24"/>
          <w:szCs w:val="24"/>
        </w:rPr>
      </w:pPr>
      <w:r>
        <w:rPr>
          <w:rFonts w:ascii="Times New Roman" w:hAnsi="Times New Roman" w:eastAsia="Times New Roman" w:cs="Times New Roman"/>
          <w:spacing w:val="-5"/>
          <w:sz w:val="24"/>
          <w:szCs w:val="24"/>
        </w:rPr>
        <w:t>D—</w:t>
      </w:r>
      <w:r>
        <w:rPr>
          <w:rFonts w:ascii="宋体" w:hAnsi="宋体" w:eastAsia="宋体" w:cs="宋体"/>
          <w:spacing w:val="-5"/>
          <w:sz w:val="24"/>
          <w:szCs w:val="24"/>
        </w:rPr>
        <w:t>表层土壤深度，一般取</w:t>
      </w:r>
      <w:r>
        <w:rPr>
          <w:rFonts w:ascii="宋体" w:hAnsi="宋体" w:eastAsia="宋体" w:cs="宋体"/>
          <w:spacing w:val="-42"/>
          <w:sz w:val="24"/>
          <w:szCs w:val="24"/>
        </w:rPr>
        <w:t xml:space="preserve"> </w:t>
      </w:r>
      <w:r>
        <w:rPr>
          <w:rFonts w:ascii="Times New Roman" w:hAnsi="Times New Roman" w:eastAsia="Times New Roman" w:cs="Times New Roman"/>
          <w:spacing w:val="-5"/>
          <w:sz w:val="24"/>
          <w:szCs w:val="24"/>
        </w:rPr>
        <w:t>0.2m</w:t>
      </w:r>
      <w:r>
        <w:rPr>
          <w:rFonts w:ascii="宋体" w:hAnsi="宋体" w:eastAsia="宋体" w:cs="宋体"/>
          <w:spacing w:val="-5"/>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n—</w:t>
      </w:r>
      <w:r>
        <w:rPr>
          <w:rFonts w:ascii="宋体" w:hAnsi="宋体" w:eastAsia="宋体" w:cs="宋体"/>
          <w:spacing w:val="-1"/>
          <w:sz w:val="24"/>
          <w:szCs w:val="24"/>
        </w:rPr>
        <w:t>持续年份，</w:t>
      </w:r>
      <w:r>
        <w:rPr>
          <w:rFonts w:ascii="Times New Roman" w:hAnsi="Times New Roman" w:eastAsia="Times New Roman" w:cs="Times New Roman"/>
          <w:spacing w:val="-1"/>
          <w:sz w:val="24"/>
          <w:szCs w:val="24"/>
        </w:rPr>
        <w:t>a</w:t>
      </w:r>
      <w:r>
        <w:rPr>
          <w:rFonts w:ascii="宋体" w:hAnsi="宋体" w:eastAsia="宋体" w:cs="宋体"/>
          <w:spacing w:val="-1"/>
          <w:sz w:val="24"/>
          <w:szCs w:val="24"/>
        </w:rPr>
        <w:t>。</w:t>
      </w:r>
    </w:p>
    <w:p w14:paraId="036B3C9C">
      <w:pPr>
        <w:spacing w:before="37" w:line="367" w:lineRule="auto"/>
        <w:ind w:left="4273" w:right="611" w:hanging="3774"/>
        <w:rPr>
          <w:rFonts w:ascii="Times New Roman" w:hAnsi="Times New Roman" w:eastAsia="Times New Roman" w:cs="Times New Roman"/>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）单位质量土壤中某种物质的预测值可根据</w:t>
      </w:r>
      <w:r>
        <w:rPr>
          <w:rFonts w:ascii="宋体" w:hAnsi="宋体" w:eastAsia="宋体" w:cs="宋体"/>
          <w:spacing w:val="-3"/>
          <w:sz w:val="24"/>
          <w:szCs w:val="24"/>
        </w:rPr>
        <w:t>其增量叠加现状值进行计算，</w:t>
      </w:r>
      <w:r>
        <w:rPr>
          <w:rFonts w:ascii="宋体" w:hAnsi="宋体" w:eastAsia="宋体" w:cs="宋体"/>
          <w:sz w:val="24"/>
          <w:szCs w:val="24"/>
        </w:rPr>
        <w:t xml:space="preserve"> </w:t>
      </w:r>
      <w:r>
        <w:rPr>
          <w:rFonts w:ascii="Times New Roman" w:hAnsi="Times New Roman" w:eastAsia="Times New Roman" w:cs="Times New Roman"/>
          <w:spacing w:val="-3"/>
          <w:sz w:val="24"/>
          <w:szCs w:val="24"/>
        </w:rPr>
        <w:t>S=Sb+</w:t>
      </w:r>
      <w:r>
        <w:rPr>
          <w:rFonts w:ascii="宋体" w:hAnsi="宋体" w:eastAsia="宋体" w:cs="宋体"/>
          <w:spacing w:val="-3"/>
          <w:sz w:val="24"/>
          <w:szCs w:val="24"/>
        </w:rPr>
        <w:t>△</w:t>
      </w:r>
      <w:r>
        <w:rPr>
          <w:rFonts w:ascii="Times New Roman" w:hAnsi="Times New Roman" w:eastAsia="Times New Roman" w:cs="Times New Roman"/>
          <w:spacing w:val="-3"/>
          <w:sz w:val="24"/>
          <w:szCs w:val="24"/>
        </w:rPr>
        <w:t>S</w:t>
      </w:r>
    </w:p>
    <w:p w14:paraId="27FD2A32">
      <w:pPr>
        <w:spacing w:before="2" w:line="341" w:lineRule="auto"/>
        <w:ind w:left="493" w:right="2932"/>
        <w:rPr>
          <w:rFonts w:ascii="宋体" w:hAnsi="宋体" w:eastAsia="宋体" w:cs="宋体"/>
          <w:sz w:val="24"/>
          <w:szCs w:val="24"/>
        </w:rPr>
      </w:pPr>
      <w:r>
        <w:rPr>
          <w:rFonts w:ascii="宋体" w:hAnsi="宋体" w:eastAsia="宋体" w:cs="宋体"/>
          <w:spacing w:val="-3"/>
          <w:sz w:val="24"/>
          <w:szCs w:val="24"/>
        </w:rPr>
        <w:t>式中：</w:t>
      </w:r>
      <w:r>
        <w:rPr>
          <w:rFonts w:ascii="Times New Roman" w:hAnsi="Times New Roman" w:eastAsia="Times New Roman" w:cs="Times New Roman"/>
          <w:spacing w:val="-3"/>
          <w:sz w:val="24"/>
          <w:szCs w:val="24"/>
        </w:rPr>
        <w:t>Sb—</w:t>
      </w:r>
      <w:r>
        <w:rPr>
          <w:rFonts w:ascii="宋体" w:hAnsi="宋体" w:eastAsia="宋体" w:cs="宋体"/>
          <w:spacing w:val="-3"/>
          <w:sz w:val="24"/>
          <w:szCs w:val="24"/>
        </w:rPr>
        <w:t>单位质量土壤中某种物质的现状值，</w:t>
      </w:r>
      <w:r>
        <w:rPr>
          <w:rFonts w:ascii="Times New Roman" w:hAnsi="Times New Roman" w:eastAsia="Times New Roman" w:cs="Times New Roman"/>
          <w:spacing w:val="-3"/>
          <w:sz w:val="24"/>
          <w:szCs w:val="24"/>
        </w:rPr>
        <w:t>g/kg</w:t>
      </w:r>
      <w:r>
        <w:rPr>
          <w:rFonts w:ascii="宋体" w:hAnsi="宋体" w:eastAsia="宋体" w:cs="宋体"/>
          <w:spacing w:val="-3"/>
          <w:sz w:val="24"/>
          <w:szCs w:val="24"/>
        </w:rPr>
        <w:t>；</w:t>
      </w:r>
      <w:r>
        <w:rPr>
          <w:rFonts w:ascii="宋体" w:hAnsi="宋体" w:eastAsia="宋体" w:cs="宋体"/>
          <w:spacing w:val="6"/>
          <w:sz w:val="24"/>
          <w:szCs w:val="24"/>
        </w:rPr>
        <w:t xml:space="preserve"> </w:t>
      </w:r>
      <w:r>
        <w:rPr>
          <w:rFonts w:ascii="Times New Roman" w:hAnsi="Times New Roman" w:eastAsia="Times New Roman" w:cs="Times New Roman"/>
          <w:spacing w:val="-1"/>
          <w:sz w:val="24"/>
          <w:szCs w:val="24"/>
        </w:rPr>
        <w:t>S—</w:t>
      </w:r>
      <w:r>
        <w:rPr>
          <w:rFonts w:ascii="宋体" w:hAnsi="宋体" w:eastAsia="宋体" w:cs="宋体"/>
          <w:spacing w:val="-1"/>
          <w:sz w:val="24"/>
          <w:szCs w:val="24"/>
        </w:rPr>
        <w:t>单位质量土壤中某种物质的预测值，</w:t>
      </w:r>
      <w:r>
        <w:rPr>
          <w:rFonts w:ascii="Times New Roman" w:hAnsi="Times New Roman" w:eastAsia="Times New Roman" w:cs="Times New Roman"/>
          <w:spacing w:val="-1"/>
          <w:sz w:val="24"/>
          <w:szCs w:val="24"/>
        </w:rPr>
        <w:t>g/kg</w:t>
      </w:r>
      <w:r>
        <w:rPr>
          <w:rFonts w:ascii="宋体" w:hAnsi="宋体" w:eastAsia="宋体" w:cs="宋体"/>
          <w:spacing w:val="-1"/>
          <w:sz w:val="24"/>
          <w:szCs w:val="24"/>
        </w:rPr>
        <w:t>。</w:t>
      </w:r>
    </w:p>
    <w:p w14:paraId="3D03DE02">
      <w:pPr>
        <w:spacing w:before="70" w:line="354" w:lineRule="auto"/>
        <w:ind w:left="12" w:firstLine="476"/>
        <w:rPr>
          <w:rFonts w:ascii="宋体" w:hAnsi="宋体" w:eastAsia="宋体" w:cs="宋体"/>
          <w:sz w:val="24"/>
          <w:szCs w:val="24"/>
        </w:rPr>
      </w:pPr>
      <w:r>
        <w:rPr>
          <w:rFonts w:ascii="宋体" w:hAnsi="宋体" w:eastAsia="宋体" w:cs="宋体"/>
          <w:spacing w:val="-2"/>
          <w:sz w:val="24"/>
          <w:szCs w:val="24"/>
        </w:rPr>
        <w:t>根据工程分析可知，本项目厂区在正常状况下地埋一体化污水处理设备、事故池是</w:t>
      </w:r>
      <w:r>
        <w:rPr>
          <w:rFonts w:ascii="宋体" w:hAnsi="宋体" w:eastAsia="宋体" w:cs="宋体"/>
          <w:spacing w:val="13"/>
          <w:sz w:val="24"/>
          <w:szCs w:val="24"/>
        </w:rPr>
        <w:t xml:space="preserve"> </w:t>
      </w:r>
      <w:r>
        <w:rPr>
          <w:rFonts w:ascii="宋体" w:hAnsi="宋体" w:eastAsia="宋体" w:cs="宋体"/>
          <w:spacing w:val="-1"/>
          <w:sz w:val="24"/>
          <w:szCs w:val="24"/>
        </w:rPr>
        <w:t>不会产生破损渗漏的，因此不考虑在正常状况下对土壤环境的影响。</w:t>
      </w:r>
    </w:p>
    <w:p w14:paraId="20D391F8">
      <w:pPr>
        <w:spacing w:before="36" w:line="360" w:lineRule="auto"/>
        <w:ind w:left="6" w:right="1" w:firstLine="493"/>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）厂区生产废水全部回用。厂区内污水处理设施、水淬渣池、储渣场、脱硫装</w:t>
      </w:r>
      <w:r>
        <w:rPr>
          <w:rFonts w:ascii="宋体" w:hAnsi="宋体" w:eastAsia="宋体" w:cs="宋体"/>
          <w:spacing w:val="14"/>
          <w:sz w:val="24"/>
          <w:szCs w:val="24"/>
        </w:rPr>
        <w:t xml:space="preserve"> </w:t>
      </w:r>
      <w:r>
        <w:rPr>
          <w:rFonts w:ascii="宋体" w:hAnsi="宋体" w:eastAsia="宋体" w:cs="宋体"/>
          <w:spacing w:val="-1"/>
          <w:sz w:val="24"/>
          <w:szCs w:val="24"/>
        </w:rPr>
        <w:t>置及事故水池等均进行防渗处理，正常情况</w:t>
      </w:r>
      <w:r>
        <w:rPr>
          <w:rFonts w:ascii="宋体" w:hAnsi="宋体" w:eastAsia="宋体" w:cs="宋体"/>
          <w:spacing w:val="-2"/>
          <w:sz w:val="24"/>
          <w:szCs w:val="24"/>
        </w:rPr>
        <w:t>下废水不会下渗进入到土壤环境中，对其影</w:t>
      </w:r>
      <w:r>
        <w:rPr>
          <w:rFonts w:ascii="宋体" w:hAnsi="宋体" w:eastAsia="宋体" w:cs="宋体"/>
          <w:sz w:val="24"/>
          <w:szCs w:val="24"/>
        </w:rPr>
        <w:t xml:space="preserve"> </w:t>
      </w:r>
      <w:r>
        <w:rPr>
          <w:rFonts w:ascii="宋体" w:hAnsi="宋体" w:eastAsia="宋体" w:cs="宋体"/>
          <w:spacing w:val="-2"/>
          <w:sz w:val="24"/>
          <w:szCs w:val="24"/>
        </w:rPr>
        <w:t>响很小。</w:t>
      </w:r>
    </w:p>
    <w:p w14:paraId="65AABC77">
      <w:pPr>
        <w:spacing w:line="360" w:lineRule="auto"/>
        <w:rPr>
          <w:rFonts w:ascii="宋体" w:hAnsi="宋体" w:eastAsia="宋体" w:cs="宋体"/>
          <w:sz w:val="24"/>
          <w:szCs w:val="24"/>
        </w:rPr>
        <w:sectPr>
          <w:headerReference r:id="rId362" w:type="default"/>
          <w:footerReference r:id="rId363" w:type="default"/>
          <w:pgSz w:w="11906" w:h="16839"/>
          <w:pgMar w:top="1191" w:right="1416" w:bottom="1569" w:left="1417" w:header="882" w:footer="1407" w:gutter="0"/>
          <w:cols w:space="720" w:num="1"/>
        </w:sectPr>
      </w:pPr>
    </w:p>
    <w:p w14:paraId="2C20C041">
      <w:pPr>
        <w:spacing w:line="28" w:lineRule="exact"/>
        <w:ind w:firstLine="116"/>
      </w:pPr>
      <w:r>
        <w:pict>
          <v:shape id="_x0000_s1846" o:spid="_x0000_s1846" style="height:1.45pt;width:453.65pt;" fillcolor="#000000" filled="t" stroked="f" coordsize="9072,29" path="m0,0l9072,0,9072,28,0,28,0,0xe">
            <v:path/>
            <v:fill on="t" focussize="0,0"/>
            <v:stroke on="f"/>
            <v:imagedata o:title=""/>
            <o:lock v:ext="edit"/>
            <w10:wrap type="none"/>
            <w10:anchorlock/>
          </v:shape>
        </w:pict>
      </w:r>
    </w:p>
    <w:p w14:paraId="6BD12AAF">
      <w:pPr>
        <w:spacing w:before="314" w:line="347" w:lineRule="auto"/>
        <w:ind w:left="125" w:right="37" w:firstLine="490"/>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4</w:t>
      </w:r>
      <w:r>
        <w:rPr>
          <w:rFonts w:ascii="宋体" w:hAnsi="宋体" w:eastAsia="宋体" w:cs="宋体"/>
          <w:spacing w:val="-2"/>
          <w:sz w:val="24"/>
          <w:szCs w:val="24"/>
        </w:rPr>
        <w:t>）项目废气中主要污染物有颗粒物、</w:t>
      </w:r>
      <w:r>
        <w:rPr>
          <w:rFonts w:ascii="Times New Roman" w:hAnsi="Times New Roman" w:eastAsia="Times New Roman" w:cs="Times New Roman"/>
          <w:spacing w:val="-2"/>
          <w:sz w:val="24"/>
          <w:szCs w:val="24"/>
        </w:rPr>
        <w:t>SO</w:t>
      </w:r>
      <w:r>
        <w:rPr>
          <w:rFonts w:ascii="Times New Roman" w:hAnsi="Times New Roman" w:eastAsia="Times New Roman" w:cs="Times New Roman"/>
          <w:spacing w:val="-2"/>
          <w:position w:val="-1"/>
          <w:sz w:val="15"/>
          <w:szCs w:val="15"/>
        </w:rPr>
        <w:t>2</w:t>
      </w:r>
      <w:r>
        <w:rPr>
          <w:rFonts w:ascii="宋体" w:hAnsi="宋体" w:eastAsia="宋体" w:cs="宋体"/>
          <w:spacing w:val="-2"/>
          <w:sz w:val="24"/>
          <w:szCs w:val="24"/>
        </w:rPr>
        <w:t>、</w:t>
      </w:r>
      <w:r>
        <w:rPr>
          <w:rFonts w:ascii="Times New Roman" w:hAnsi="Times New Roman" w:eastAsia="Times New Roman" w:cs="Times New Roman"/>
          <w:spacing w:val="-2"/>
          <w:sz w:val="24"/>
          <w:szCs w:val="24"/>
        </w:rPr>
        <w:t>NO</w:t>
      </w:r>
      <w:r>
        <w:rPr>
          <w:rFonts w:ascii="Times New Roman" w:hAnsi="Times New Roman" w:eastAsia="Times New Roman" w:cs="Times New Roman"/>
          <w:spacing w:val="-2"/>
          <w:position w:val="-1"/>
          <w:sz w:val="15"/>
          <w:szCs w:val="15"/>
        </w:rPr>
        <w:t>x</w:t>
      </w:r>
      <w:r>
        <w:rPr>
          <w:rFonts w:ascii="Times New Roman" w:hAnsi="Times New Roman" w:eastAsia="Times New Roman" w:cs="Times New Roman"/>
          <w:spacing w:val="14"/>
          <w:position w:val="-1"/>
          <w:sz w:val="15"/>
          <w:szCs w:val="15"/>
        </w:rPr>
        <w:t xml:space="preserve"> </w:t>
      </w:r>
      <w:r>
        <w:rPr>
          <w:rFonts w:ascii="宋体" w:hAnsi="宋体" w:eastAsia="宋体" w:cs="宋体"/>
          <w:spacing w:val="-2"/>
          <w:sz w:val="24"/>
          <w:szCs w:val="24"/>
        </w:rPr>
        <w:t>等，通过采用先</w:t>
      </w:r>
      <w:r>
        <w:rPr>
          <w:rFonts w:ascii="宋体" w:hAnsi="宋体" w:eastAsia="宋体" w:cs="宋体"/>
          <w:spacing w:val="-3"/>
          <w:sz w:val="24"/>
          <w:szCs w:val="24"/>
        </w:rPr>
        <w:t>进工艺和有效治</w:t>
      </w:r>
      <w:r>
        <w:rPr>
          <w:rFonts w:ascii="宋体" w:hAnsi="宋体" w:eastAsia="宋体" w:cs="宋体"/>
          <w:sz w:val="24"/>
          <w:szCs w:val="24"/>
        </w:rPr>
        <w:t xml:space="preserve"> </w:t>
      </w:r>
      <w:r>
        <w:rPr>
          <w:rFonts w:ascii="宋体" w:hAnsi="宋体" w:eastAsia="宋体" w:cs="宋体"/>
          <w:spacing w:val="-6"/>
          <w:sz w:val="24"/>
          <w:szCs w:val="24"/>
        </w:rPr>
        <w:t>理措施，可使污染物的危害程度和排放量得到大幅度减轻、降低，并使其全部达标排放。</w:t>
      </w:r>
      <w:r>
        <w:rPr>
          <w:rFonts w:ascii="宋体" w:hAnsi="宋体" w:eastAsia="宋体" w:cs="宋体"/>
          <w:spacing w:val="14"/>
          <w:sz w:val="24"/>
          <w:szCs w:val="24"/>
        </w:rPr>
        <w:t xml:space="preserve"> </w:t>
      </w:r>
      <w:r>
        <w:rPr>
          <w:rFonts w:ascii="宋体" w:hAnsi="宋体" w:eastAsia="宋体" w:cs="宋体"/>
          <w:spacing w:val="-2"/>
          <w:sz w:val="24"/>
          <w:szCs w:val="24"/>
        </w:rPr>
        <w:t>由于废气污染物中的颗粒物等较重，会在较近的地方就沉降下来，一般情况下均局限于</w:t>
      </w:r>
      <w:r>
        <w:rPr>
          <w:rFonts w:ascii="宋体" w:hAnsi="宋体" w:eastAsia="宋体" w:cs="宋体"/>
          <w:spacing w:val="16"/>
          <w:sz w:val="24"/>
          <w:szCs w:val="24"/>
        </w:rPr>
        <w:t xml:space="preserve"> </w:t>
      </w:r>
      <w:r>
        <w:rPr>
          <w:rFonts w:ascii="宋体" w:hAnsi="宋体" w:eastAsia="宋体" w:cs="宋体"/>
          <w:spacing w:val="-6"/>
          <w:sz w:val="24"/>
          <w:szCs w:val="24"/>
        </w:rPr>
        <w:t>厂区内。厂区内各装置区、道路、料棚等处均进行了硬化处理，建设单位定期进行清理，</w:t>
      </w:r>
      <w:r>
        <w:rPr>
          <w:rFonts w:ascii="宋体" w:hAnsi="宋体" w:eastAsia="宋体" w:cs="宋体"/>
          <w:spacing w:val="14"/>
          <w:sz w:val="24"/>
          <w:szCs w:val="24"/>
        </w:rPr>
        <w:t xml:space="preserve"> </w:t>
      </w:r>
      <w:r>
        <w:rPr>
          <w:rFonts w:ascii="宋体" w:hAnsi="宋体" w:eastAsia="宋体" w:cs="宋体"/>
          <w:spacing w:val="-2"/>
          <w:sz w:val="24"/>
          <w:szCs w:val="24"/>
        </w:rPr>
        <w:t>不会进入土壤中。其它的气态物质大部分会随着大气扩散得以稀释自净，仅有极少量可</w:t>
      </w:r>
      <w:r>
        <w:rPr>
          <w:rFonts w:ascii="宋体" w:hAnsi="宋体" w:eastAsia="宋体" w:cs="宋体"/>
          <w:spacing w:val="16"/>
          <w:sz w:val="24"/>
          <w:szCs w:val="24"/>
        </w:rPr>
        <w:t xml:space="preserve"> </w:t>
      </w:r>
      <w:r>
        <w:rPr>
          <w:rFonts w:ascii="宋体" w:hAnsi="宋体" w:eastAsia="宋体" w:cs="宋体"/>
          <w:sz w:val="24"/>
          <w:szCs w:val="24"/>
        </w:rPr>
        <w:t>能会被吸附在土壤表面，即使在降水的过程中也仅有少量污染物会被随降雨落到地面，</w:t>
      </w:r>
      <w:r>
        <w:rPr>
          <w:rFonts w:ascii="宋体" w:hAnsi="宋体" w:eastAsia="宋体" w:cs="宋体"/>
          <w:spacing w:val="17"/>
          <w:sz w:val="24"/>
          <w:szCs w:val="24"/>
        </w:rPr>
        <w:t xml:space="preserve"> </w:t>
      </w:r>
      <w:r>
        <w:rPr>
          <w:rFonts w:ascii="宋体" w:hAnsi="宋体" w:eastAsia="宋体" w:cs="宋体"/>
          <w:spacing w:val="-1"/>
          <w:sz w:val="24"/>
          <w:szCs w:val="24"/>
        </w:rPr>
        <w:t>而这部分落到地面的污染物由于浓度较低，对土壤环境影响较小。</w:t>
      </w:r>
    </w:p>
    <w:p w14:paraId="5D05F1D4">
      <w:pPr>
        <w:spacing w:before="193" w:line="331" w:lineRule="auto"/>
        <w:ind w:left="123" w:right="117" w:firstLine="493"/>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）本项目厂区对原料大棚、原料烘干车间、危废暂存间等均为全封闭，而且设</w:t>
      </w:r>
      <w:r>
        <w:rPr>
          <w:rFonts w:ascii="宋体" w:hAnsi="宋体" w:eastAsia="宋体" w:cs="宋体"/>
          <w:spacing w:val="13"/>
          <w:sz w:val="24"/>
          <w:szCs w:val="24"/>
        </w:rPr>
        <w:t xml:space="preserve"> </w:t>
      </w:r>
      <w:r>
        <w:rPr>
          <w:rFonts w:ascii="宋体" w:hAnsi="宋体" w:eastAsia="宋体" w:cs="宋体"/>
          <w:spacing w:val="-1"/>
          <w:sz w:val="24"/>
          <w:szCs w:val="24"/>
        </w:rPr>
        <w:t>置了雨水导流设施，不会产生雨水淋滤水；</w:t>
      </w:r>
      <w:r>
        <w:rPr>
          <w:rFonts w:ascii="宋体" w:hAnsi="宋体" w:eastAsia="宋体" w:cs="宋体"/>
          <w:spacing w:val="-2"/>
          <w:sz w:val="24"/>
          <w:szCs w:val="24"/>
        </w:rPr>
        <w:t>建设单位对装置区等处均进行了硬化处理，</w:t>
      </w:r>
      <w:r>
        <w:rPr>
          <w:rFonts w:ascii="宋体" w:hAnsi="宋体" w:eastAsia="宋体" w:cs="宋体"/>
          <w:sz w:val="24"/>
          <w:szCs w:val="24"/>
        </w:rPr>
        <w:t xml:space="preserve"> </w:t>
      </w:r>
      <w:r>
        <w:rPr>
          <w:rFonts w:ascii="宋体" w:hAnsi="宋体" w:eastAsia="宋体" w:cs="宋体"/>
          <w:spacing w:val="-1"/>
          <w:sz w:val="24"/>
          <w:szCs w:val="24"/>
        </w:rPr>
        <w:t>同时建设了应急事故水池，消防废水经地表</w:t>
      </w:r>
      <w:r>
        <w:rPr>
          <w:rFonts w:ascii="宋体" w:hAnsi="宋体" w:eastAsia="宋体" w:cs="宋体"/>
          <w:spacing w:val="-2"/>
          <w:sz w:val="24"/>
          <w:szCs w:val="24"/>
        </w:rPr>
        <w:t>径流进入到收集系统中，最终进入应急事故</w:t>
      </w:r>
      <w:r>
        <w:rPr>
          <w:rFonts w:ascii="宋体" w:hAnsi="宋体" w:eastAsia="宋体" w:cs="宋体"/>
          <w:sz w:val="24"/>
          <w:szCs w:val="24"/>
        </w:rPr>
        <w:t xml:space="preserve"> </w:t>
      </w:r>
      <w:r>
        <w:rPr>
          <w:rFonts w:ascii="宋体" w:hAnsi="宋体" w:eastAsia="宋体" w:cs="宋体"/>
          <w:spacing w:val="-1"/>
          <w:sz w:val="24"/>
          <w:szCs w:val="24"/>
        </w:rPr>
        <w:t>水池，不会直接进入到土壤环境，影响较小。</w:t>
      </w:r>
    </w:p>
    <w:p w14:paraId="12F71082">
      <w:pPr>
        <w:spacing w:before="192" w:line="219" w:lineRule="auto"/>
        <w:ind w:left="607"/>
        <w:rPr>
          <w:rFonts w:ascii="宋体" w:hAnsi="宋体" w:eastAsia="宋体" w:cs="宋体"/>
          <w:sz w:val="24"/>
          <w:szCs w:val="24"/>
        </w:rPr>
      </w:pPr>
      <w:r>
        <w:rPr>
          <w:rFonts w:ascii="宋体" w:hAnsi="宋体" w:eastAsia="宋体" w:cs="宋体"/>
          <w:spacing w:val="-1"/>
          <w:sz w:val="24"/>
          <w:szCs w:val="24"/>
        </w:rPr>
        <w:t>综上所述，本项目不会对土壤环境产生大的影响。</w:t>
      </w:r>
    </w:p>
    <w:p w14:paraId="2D4CF86E">
      <w:pPr>
        <w:spacing w:before="208" w:line="230" w:lineRule="auto"/>
        <w:ind w:left="3115"/>
        <w:rPr>
          <w:rFonts w:ascii="黑体" w:hAnsi="黑体" w:eastAsia="黑体" w:cs="黑体"/>
          <w:sz w:val="20"/>
          <w:szCs w:val="20"/>
        </w:rPr>
      </w:pPr>
      <w:r>
        <w:rPr>
          <w:rFonts w:ascii="黑体" w:hAnsi="黑体" w:eastAsia="黑体" w:cs="黑体"/>
          <w:spacing w:val="5"/>
          <w:sz w:val="20"/>
          <w:szCs w:val="20"/>
        </w:rPr>
        <w:t>表</w:t>
      </w:r>
      <w:r>
        <w:rPr>
          <w:rFonts w:ascii="黑体" w:hAnsi="黑体" w:eastAsia="黑体" w:cs="黑体"/>
          <w:spacing w:val="-31"/>
          <w:sz w:val="20"/>
          <w:szCs w:val="20"/>
        </w:rPr>
        <w:t xml:space="preserve"> </w:t>
      </w:r>
      <w:r>
        <w:rPr>
          <w:rFonts w:ascii="Times New Roman" w:hAnsi="Times New Roman" w:eastAsia="Times New Roman" w:cs="Times New Roman"/>
          <w:spacing w:val="5"/>
          <w:sz w:val="20"/>
          <w:szCs w:val="20"/>
        </w:rPr>
        <w:t>G.</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5"/>
          <w:sz w:val="20"/>
          <w:szCs w:val="20"/>
        </w:rPr>
        <w:t xml:space="preserve">1    </w:t>
      </w:r>
      <w:r>
        <w:rPr>
          <w:rFonts w:ascii="黑体" w:hAnsi="黑体" w:eastAsia="黑体" w:cs="黑体"/>
          <w:spacing w:val="5"/>
          <w:sz w:val="20"/>
          <w:szCs w:val="20"/>
        </w:rPr>
        <w:t>土壤环境影响评价自查表</w:t>
      </w:r>
    </w:p>
    <w:p w14:paraId="06354880">
      <w:pPr>
        <w:spacing w:line="96" w:lineRule="exact"/>
      </w:pPr>
    </w:p>
    <w:tbl>
      <w:tblPr>
        <w:tblStyle w:val="5"/>
        <w:tblW w:w="9290"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437"/>
        <w:gridCol w:w="1478"/>
        <w:gridCol w:w="1611"/>
        <w:gridCol w:w="1507"/>
        <w:gridCol w:w="2024"/>
        <w:gridCol w:w="827"/>
        <w:gridCol w:w="1406"/>
      </w:tblGrid>
      <w:tr w14:paraId="287E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8" w:hRule="atLeast"/>
        </w:trPr>
        <w:tc>
          <w:tcPr>
            <w:tcW w:w="1915" w:type="dxa"/>
            <w:gridSpan w:val="2"/>
            <w:vAlign w:val="top"/>
          </w:tcPr>
          <w:p w14:paraId="219EE205">
            <w:pPr>
              <w:pStyle w:val="6"/>
              <w:spacing w:before="70" w:line="219" w:lineRule="auto"/>
              <w:ind w:left="596"/>
              <w:rPr>
                <w:sz w:val="18"/>
                <w:szCs w:val="18"/>
              </w:rPr>
            </w:pPr>
            <w:r>
              <w:rPr>
                <w:spacing w:val="-3"/>
                <w:sz w:val="18"/>
                <w:szCs w:val="18"/>
              </w:rPr>
              <w:t>工作内容</w:t>
            </w:r>
          </w:p>
        </w:tc>
        <w:tc>
          <w:tcPr>
            <w:tcW w:w="5969" w:type="dxa"/>
            <w:gridSpan w:val="4"/>
            <w:vAlign w:val="top"/>
          </w:tcPr>
          <w:p w14:paraId="03131B14">
            <w:pPr>
              <w:pStyle w:val="6"/>
              <w:spacing w:before="70" w:line="219" w:lineRule="auto"/>
              <w:ind w:left="2624"/>
              <w:rPr>
                <w:sz w:val="18"/>
                <w:szCs w:val="18"/>
              </w:rPr>
            </w:pPr>
            <w:r>
              <w:rPr>
                <w:spacing w:val="-3"/>
                <w:sz w:val="18"/>
                <w:szCs w:val="18"/>
              </w:rPr>
              <w:t>完成情况</w:t>
            </w:r>
          </w:p>
        </w:tc>
        <w:tc>
          <w:tcPr>
            <w:tcW w:w="1406" w:type="dxa"/>
            <w:vAlign w:val="top"/>
          </w:tcPr>
          <w:p w14:paraId="7095707C">
            <w:pPr>
              <w:pStyle w:val="6"/>
              <w:spacing w:before="69" w:line="221" w:lineRule="auto"/>
              <w:ind w:left="524"/>
              <w:rPr>
                <w:sz w:val="18"/>
                <w:szCs w:val="18"/>
              </w:rPr>
            </w:pPr>
            <w:r>
              <w:rPr>
                <w:spacing w:val="-5"/>
                <w:sz w:val="18"/>
                <w:szCs w:val="18"/>
              </w:rPr>
              <w:t>备注</w:t>
            </w:r>
          </w:p>
        </w:tc>
      </w:tr>
      <w:tr w14:paraId="2169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6" w:hRule="atLeast"/>
        </w:trPr>
        <w:tc>
          <w:tcPr>
            <w:tcW w:w="437" w:type="dxa"/>
            <w:vMerge w:val="restart"/>
            <w:tcBorders>
              <w:bottom w:val="nil"/>
            </w:tcBorders>
            <w:vAlign w:val="top"/>
          </w:tcPr>
          <w:p w14:paraId="1A9F6670">
            <w:pPr>
              <w:spacing w:line="256" w:lineRule="auto"/>
              <w:rPr>
                <w:rFonts w:ascii="Arial"/>
                <w:sz w:val="21"/>
              </w:rPr>
            </w:pPr>
          </w:p>
          <w:p w14:paraId="7E22411C">
            <w:pPr>
              <w:spacing w:line="256" w:lineRule="auto"/>
              <w:rPr>
                <w:rFonts w:ascii="Arial"/>
                <w:sz w:val="21"/>
              </w:rPr>
            </w:pPr>
          </w:p>
          <w:p w14:paraId="5F9CFF1B">
            <w:pPr>
              <w:spacing w:line="256" w:lineRule="auto"/>
              <w:rPr>
                <w:rFonts w:ascii="Arial"/>
                <w:sz w:val="21"/>
              </w:rPr>
            </w:pPr>
          </w:p>
          <w:p w14:paraId="2BFC081E">
            <w:pPr>
              <w:spacing w:line="256" w:lineRule="auto"/>
              <w:rPr>
                <w:rFonts w:ascii="Arial"/>
                <w:sz w:val="21"/>
              </w:rPr>
            </w:pPr>
          </w:p>
          <w:p w14:paraId="35F055B7">
            <w:pPr>
              <w:spacing w:line="257" w:lineRule="auto"/>
              <w:rPr>
                <w:rFonts w:ascii="Arial"/>
                <w:sz w:val="21"/>
              </w:rPr>
            </w:pPr>
          </w:p>
          <w:p w14:paraId="56538233">
            <w:pPr>
              <w:pStyle w:val="6"/>
              <w:spacing w:before="58" w:line="221" w:lineRule="auto"/>
              <w:ind w:left="35"/>
              <w:outlineLvl w:val="2"/>
              <w:rPr>
                <w:sz w:val="18"/>
                <w:szCs w:val="18"/>
              </w:rPr>
            </w:pPr>
            <w:r>
              <w:rPr>
                <w:spacing w:val="-4"/>
                <w:sz w:val="18"/>
                <w:szCs w:val="18"/>
              </w:rPr>
              <w:t>影响</w:t>
            </w:r>
          </w:p>
          <w:p w14:paraId="616D2386">
            <w:pPr>
              <w:pStyle w:val="6"/>
              <w:spacing w:before="16" w:line="220" w:lineRule="auto"/>
              <w:ind w:left="37"/>
              <w:rPr>
                <w:sz w:val="18"/>
                <w:szCs w:val="18"/>
              </w:rPr>
            </w:pPr>
            <w:r>
              <w:rPr>
                <w:spacing w:val="-5"/>
                <w:sz w:val="18"/>
                <w:szCs w:val="18"/>
              </w:rPr>
              <w:t>识别</w:t>
            </w:r>
          </w:p>
          <w:p w14:paraId="2D1F974B">
            <w:pPr>
              <w:spacing w:line="241" w:lineRule="auto"/>
              <w:rPr>
                <w:rFonts w:ascii="Arial"/>
                <w:sz w:val="21"/>
              </w:rPr>
            </w:pPr>
          </w:p>
          <w:p w14:paraId="42BD723C">
            <w:pPr>
              <w:spacing w:line="241" w:lineRule="auto"/>
              <w:rPr>
                <w:rFonts w:ascii="Arial"/>
                <w:sz w:val="21"/>
              </w:rPr>
            </w:pPr>
          </w:p>
          <w:p w14:paraId="4BB32D2F">
            <w:pPr>
              <w:pStyle w:val="6"/>
              <w:spacing w:before="58" w:line="220" w:lineRule="auto"/>
              <w:jc w:val="right"/>
              <w:rPr>
                <w:sz w:val="18"/>
                <w:szCs w:val="18"/>
              </w:rPr>
            </w:pPr>
            <w:r>
              <w:rPr>
                <w:spacing w:val="-10"/>
                <w:w w:val="90"/>
                <w:sz w:val="18"/>
                <w:szCs w:val="18"/>
              </w:rPr>
              <w:t>所</w:t>
            </w:r>
          </w:p>
        </w:tc>
        <w:tc>
          <w:tcPr>
            <w:tcW w:w="1478" w:type="dxa"/>
            <w:vAlign w:val="top"/>
          </w:tcPr>
          <w:p w14:paraId="26EB4B08">
            <w:pPr>
              <w:pStyle w:val="6"/>
              <w:spacing w:before="61" w:line="219" w:lineRule="auto"/>
              <w:ind w:left="371"/>
              <w:rPr>
                <w:sz w:val="18"/>
                <w:szCs w:val="18"/>
              </w:rPr>
            </w:pPr>
            <w:r>
              <w:rPr>
                <w:spacing w:val="-2"/>
                <w:sz w:val="18"/>
                <w:szCs w:val="18"/>
              </w:rPr>
              <w:t>影响类型</w:t>
            </w:r>
          </w:p>
        </w:tc>
        <w:tc>
          <w:tcPr>
            <w:tcW w:w="5969" w:type="dxa"/>
            <w:gridSpan w:val="4"/>
            <w:vAlign w:val="top"/>
          </w:tcPr>
          <w:p w14:paraId="30056947">
            <w:pPr>
              <w:pStyle w:val="6"/>
              <w:spacing w:before="28" w:line="242" w:lineRule="exact"/>
              <w:ind w:left="6"/>
              <w:rPr>
                <w:rFonts w:ascii="Times New Roman" w:hAnsi="Times New Roman" w:eastAsia="Times New Roman" w:cs="Times New Roman"/>
                <w:sz w:val="18"/>
                <w:szCs w:val="18"/>
              </w:rPr>
            </w:pPr>
            <w:r>
              <w:rPr>
                <w:spacing w:val="-9"/>
                <w:sz w:val="18"/>
                <w:szCs w:val="18"/>
              </w:rPr>
              <w:t>污染影响型</w:t>
            </w:r>
            <w:r>
              <w:rPr>
                <w:rFonts w:ascii="Times New Roman" w:hAnsi="Times New Roman" w:eastAsia="Times New Roman" w:cs="Times New Roman"/>
                <w:spacing w:val="-9"/>
                <w:sz w:val="18"/>
                <w:szCs w:val="18"/>
              </w:rPr>
              <w:t>√</w:t>
            </w:r>
            <w:r>
              <w:rPr>
                <w:rFonts w:ascii="Times New Roman" w:hAnsi="Times New Roman" w:eastAsia="Times New Roman" w:cs="Times New Roman"/>
                <w:spacing w:val="-7"/>
                <w:sz w:val="18"/>
                <w:szCs w:val="18"/>
              </w:rPr>
              <w:t xml:space="preserve"> </w:t>
            </w:r>
            <w:r>
              <w:rPr>
                <w:spacing w:val="-9"/>
                <w:sz w:val="18"/>
                <w:szCs w:val="18"/>
              </w:rPr>
              <w:t>;</w:t>
            </w:r>
            <w:r>
              <w:rPr>
                <w:spacing w:val="50"/>
                <w:sz w:val="18"/>
                <w:szCs w:val="18"/>
              </w:rPr>
              <w:t xml:space="preserve"> </w:t>
            </w:r>
            <w:r>
              <w:rPr>
                <w:spacing w:val="-9"/>
                <w:sz w:val="18"/>
                <w:szCs w:val="18"/>
              </w:rPr>
              <w:t>生态影响型</w:t>
            </w:r>
            <w:r>
              <w:rPr>
                <w:rFonts w:ascii="Times New Roman" w:hAnsi="Times New Roman" w:eastAsia="Times New Roman" w:cs="Times New Roman"/>
                <w:spacing w:val="-9"/>
                <w:sz w:val="18"/>
                <w:szCs w:val="18"/>
              </w:rPr>
              <w:t>□</w:t>
            </w:r>
            <w:r>
              <w:rPr>
                <w:rFonts w:ascii="Times New Roman" w:hAnsi="Times New Roman" w:eastAsia="Times New Roman" w:cs="Times New Roman"/>
                <w:spacing w:val="-23"/>
                <w:sz w:val="18"/>
                <w:szCs w:val="18"/>
              </w:rPr>
              <w:t xml:space="preserve"> </w:t>
            </w:r>
            <w:r>
              <w:rPr>
                <w:spacing w:val="-9"/>
                <w:sz w:val="18"/>
                <w:szCs w:val="18"/>
              </w:rPr>
              <w:t>;</w:t>
            </w:r>
            <w:r>
              <w:rPr>
                <w:spacing w:val="50"/>
                <w:sz w:val="18"/>
                <w:szCs w:val="18"/>
              </w:rPr>
              <w:t xml:space="preserve"> </w:t>
            </w:r>
            <w:r>
              <w:rPr>
                <w:spacing w:val="-9"/>
                <w:sz w:val="18"/>
                <w:szCs w:val="18"/>
              </w:rPr>
              <w:t>两种兼有</w:t>
            </w:r>
            <w:r>
              <w:rPr>
                <w:rFonts w:ascii="Times New Roman" w:hAnsi="Times New Roman" w:eastAsia="Times New Roman" w:cs="Times New Roman"/>
                <w:spacing w:val="-9"/>
                <w:sz w:val="18"/>
                <w:szCs w:val="18"/>
              </w:rPr>
              <w:t>□</w:t>
            </w:r>
          </w:p>
        </w:tc>
        <w:tc>
          <w:tcPr>
            <w:tcW w:w="1406" w:type="dxa"/>
            <w:vAlign w:val="top"/>
          </w:tcPr>
          <w:p w14:paraId="3CE77D5E">
            <w:pPr>
              <w:rPr>
                <w:rFonts w:ascii="Arial"/>
                <w:sz w:val="21"/>
              </w:rPr>
            </w:pPr>
          </w:p>
        </w:tc>
      </w:tr>
      <w:tr w14:paraId="1A3B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4" w:hRule="atLeast"/>
        </w:trPr>
        <w:tc>
          <w:tcPr>
            <w:tcW w:w="437" w:type="dxa"/>
            <w:vMerge w:val="continue"/>
            <w:tcBorders>
              <w:top w:val="nil"/>
              <w:bottom w:val="nil"/>
            </w:tcBorders>
            <w:vAlign w:val="top"/>
          </w:tcPr>
          <w:p w14:paraId="2ED2951F">
            <w:pPr>
              <w:rPr>
                <w:rFonts w:ascii="Arial"/>
                <w:sz w:val="21"/>
              </w:rPr>
            </w:pPr>
          </w:p>
        </w:tc>
        <w:tc>
          <w:tcPr>
            <w:tcW w:w="1478" w:type="dxa"/>
            <w:vAlign w:val="top"/>
          </w:tcPr>
          <w:p w14:paraId="42E2BA17">
            <w:pPr>
              <w:pStyle w:val="6"/>
              <w:spacing w:before="66" w:line="219" w:lineRule="auto"/>
              <w:ind w:left="192"/>
              <w:rPr>
                <w:sz w:val="18"/>
                <w:szCs w:val="18"/>
              </w:rPr>
            </w:pPr>
            <w:r>
              <w:rPr>
                <w:spacing w:val="-2"/>
                <w:sz w:val="18"/>
                <w:szCs w:val="18"/>
              </w:rPr>
              <w:t>土地利用类型</w:t>
            </w:r>
          </w:p>
        </w:tc>
        <w:tc>
          <w:tcPr>
            <w:tcW w:w="5969" w:type="dxa"/>
            <w:gridSpan w:val="4"/>
            <w:vAlign w:val="top"/>
          </w:tcPr>
          <w:p w14:paraId="4B2356A4">
            <w:pPr>
              <w:pStyle w:val="6"/>
              <w:spacing w:before="33" w:line="242" w:lineRule="exact"/>
              <w:ind w:left="6"/>
              <w:rPr>
                <w:rFonts w:ascii="Times New Roman" w:hAnsi="Times New Roman" w:eastAsia="Times New Roman" w:cs="Times New Roman"/>
                <w:sz w:val="18"/>
                <w:szCs w:val="18"/>
              </w:rPr>
            </w:pPr>
            <w:r>
              <w:rPr>
                <w:spacing w:val="-10"/>
                <w:sz w:val="18"/>
                <w:szCs w:val="18"/>
              </w:rPr>
              <w:t>建设用地</w:t>
            </w:r>
            <w:r>
              <w:rPr>
                <w:rFonts w:ascii="Times New Roman" w:hAnsi="Times New Roman" w:eastAsia="Times New Roman" w:cs="Times New Roman"/>
                <w:spacing w:val="-10"/>
                <w:sz w:val="18"/>
                <w:szCs w:val="18"/>
              </w:rPr>
              <w:t>√</w:t>
            </w:r>
            <w:r>
              <w:rPr>
                <w:rFonts w:ascii="Times New Roman" w:hAnsi="Times New Roman" w:eastAsia="Times New Roman" w:cs="Times New Roman"/>
                <w:spacing w:val="-20"/>
                <w:sz w:val="18"/>
                <w:szCs w:val="18"/>
              </w:rPr>
              <w:t xml:space="preserve"> </w:t>
            </w:r>
            <w:r>
              <w:rPr>
                <w:spacing w:val="-10"/>
                <w:sz w:val="18"/>
                <w:szCs w:val="18"/>
              </w:rPr>
              <w:t>;</w:t>
            </w:r>
            <w:r>
              <w:rPr>
                <w:spacing w:val="49"/>
                <w:w w:val="101"/>
                <w:sz w:val="18"/>
                <w:szCs w:val="18"/>
              </w:rPr>
              <w:t xml:space="preserve"> </w:t>
            </w:r>
            <w:r>
              <w:rPr>
                <w:spacing w:val="-10"/>
                <w:sz w:val="18"/>
                <w:szCs w:val="18"/>
              </w:rPr>
              <w:t>农用地</w:t>
            </w:r>
            <w:r>
              <w:rPr>
                <w:rFonts w:ascii="Times New Roman" w:hAnsi="Times New Roman" w:eastAsia="Times New Roman" w:cs="Times New Roman"/>
                <w:spacing w:val="-10"/>
                <w:sz w:val="18"/>
                <w:szCs w:val="18"/>
              </w:rPr>
              <w:t>□</w:t>
            </w:r>
            <w:r>
              <w:rPr>
                <w:rFonts w:ascii="Times New Roman" w:hAnsi="Times New Roman" w:eastAsia="Times New Roman" w:cs="Times New Roman"/>
                <w:spacing w:val="-24"/>
                <w:sz w:val="18"/>
                <w:szCs w:val="18"/>
              </w:rPr>
              <w:t xml:space="preserve"> </w:t>
            </w:r>
            <w:r>
              <w:rPr>
                <w:spacing w:val="-10"/>
                <w:sz w:val="18"/>
                <w:szCs w:val="18"/>
              </w:rPr>
              <w:t>;</w:t>
            </w:r>
            <w:r>
              <w:rPr>
                <w:spacing w:val="52"/>
                <w:sz w:val="18"/>
                <w:szCs w:val="18"/>
              </w:rPr>
              <w:t xml:space="preserve"> </w:t>
            </w:r>
            <w:r>
              <w:rPr>
                <w:spacing w:val="-10"/>
                <w:sz w:val="18"/>
                <w:szCs w:val="18"/>
              </w:rPr>
              <w:t>未利用地</w:t>
            </w:r>
            <w:r>
              <w:rPr>
                <w:rFonts w:ascii="Times New Roman" w:hAnsi="Times New Roman" w:eastAsia="Times New Roman" w:cs="Times New Roman"/>
                <w:spacing w:val="-10"/>
                <w:sz w:val="18"/>
                <w:szCs w:val="18"/>
              </w:rPr>
              <w:t>□</w:t>
            </w:r>
          </w:p>
        </w:tc>
        <w:tc>
          <w:tcPr>
            <w:tcW w:w="1406" w:type="dxa"/>
            <w:vAlign w:val="top"/>
          </w:tcPr>
          <w:p w14:paraId="0FAF6889">
            <w:pPr>
              <w:pStyle w:val="6"/>
              <w:spacing w:before="66" w:line="219" w:lineRule="auto"/>
              <w:ind w:left="43"/>
              <w:rPr>
                <w:sz w:val="18"/>
                <w:szCs w:val="18"/>
              </w:rPr>
            </w:pPr>
            <w:r>
              <w:rPr>
                <w:spacing w:val="7"/>
                <w:sz w:val="18"/>
                <w:szCs w:val="18"/>
              </w:rPr>
              <w:t>土地利用类型图</w:t>
            </w:r>
          </w:p>
        </w:tc>
      </w:tr>
      <w:tr w14:paraId="0D1E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437" w:type="dxa"/>
            <w:vMerge w:val="continue"/>
            <w:tcBorders>
              <w:top w:val="nil"/>
              <w:bottom w:val="nil"/>
            </w:tcBorders>
            <w:vAlign w:val="top"/>
          </w:tcPr>
          <w:p w14:paraId="4F14DCBC">
            <w:pPr>
              <w:rPr>
                <w:rFonts w:ascii="Arial"/>
                <w:sz w:val="21"/>
              </w:rPr>
            </w:pPr>
          </w:p>
        </w:tc>
        <w:tc>
          <w:tcPr>
            <w:tcW w:w="1478" w:type="dxa"/>
            <w:vAlign w:val="top"/>
          </w:tcPr>
          <w:p w14:paraId="73ABF55A">
            <w:pPr>
              <w:pStyle w:val="6"/>
              <w:spacing w:before="60" w:line="219" w:lineRule="auto"/>
              <w:ind w:left="400"/>
              <w:rPr>
                <w:sz w:val="18"/>
                <w:szCs w:val="18"/>
              </w:rPr>
            </w:pPr>
            <w:r>
              <w:rPr>
                <w:spacing w:val="-10"/>
                <w:sz w:val="18"/>
                <w:szCs w:val="18"/>
              </w:rPr>
              <w:t>占地规模</w:t>
            </w:r>
          </w:p>
        </w:tc>
        <w:tc>
          <w:tcPr>
            <w:tcW w:w="5969" w:type="dxa"/>
            <w:gridSpan w:val="4"/>
            <w:vAlign w:val="top"/>
          </w:tcPr>
          <w:p w14:paraId="5ECA27DB">
            <w:pPr>
              <w:pStyle w:val="6"/>
              <w:spacing w:before="59" w:line="232" w:lineRule="auto"/>
              <w:ind w:left="14"/>
              <w:rPr>
                <w:rFonts w:ascii="Times New Roman" w:hAnsi="Times New Roman" w:eastAsia="Times New Roman" w:cs="Times New Roman"/>
                <w:sz w:val="11"/>
                <w:szCs w:val="11"/>
              </w:rPr>
            </w:pPr>
            <w:r>
              <w:rPr>
                <w:spacing w:val="-2"/>
                <w:sz w:val="18"/>
                <w:szCs w:val="18"/>
              </w:rPr>
              <w:t>（</w:t>
            </w:r>
            <w:r>
              <w:rPr>
                <w:rFonts w:ascii="Times New Roman" w:hAnsi="Times New Roman" w:eastAsia="Times New Roman" w:cs="Times New Roman"/>
                <w:spacing w:val="-2"/>
                <w:sz w:val="18"/>
                <w:szCs w:val="18"/>
              </w:rPr>
              <w:t>26.67</w:t>
            </w:r>
            <w:r>
              <w:rPr>
                <w:spacing w:val="-2"/>
                <w:sz w:val="18"/>
                <w:szCs w:val="18"/>
              </w:rPr>
              <w:t>）</w:t>
            </w:r>
            <w:r>
              <w:rPr>
                <w:rFonts w:ascii="Times New Roman" w:hAnsi="Times New Roman" w:eastAsia="Times New Roman" w:cs="Times New Roman"/>
                <w:spacing w:val="-2"/>
                <w:sz w:val="18"/>
                <w:szCs w:val="18"/>
              </w:rPr>
              <w:t>hm</w:t>
            </w:r>
            <w:r>
              <w:rPr>
                <w:rFonts w:ascii="Times New Roman" w:hAnsi="Times New Roman" w:eastAsia="Times New Roman" w:cs="Times New Roman"/>
                <w:spacing w:val="-2"/>
                <w:position w:val="5"/>
                <w:sz w:val="11"/>
                <w:szCs w:val="11"/>
              </w:rPr>
              <w:t>2</w:t>
            </w:r>
          </w:p>
        </w:tc>
        <w:tc>
          <w:tcPr>
            <w:tcW w:w="1406" w:type="dxa"/>
            <w:vAlign w:val="top"/>
          </w:tcPr>
          <w:p w14:paraId="7943B801">
            <w:pPr>
              <w:rPr>
                <w:rFonts w:ascii="Arial"/>
                <w:sz w:val="21"/>
              </w:rPr>
            </w:pPr>
          </w:p>
        </w:tc>
      </w:tr>
      <w:tr w14:paraId="1D24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437" w:type="dxa"/>
            <w:vMerge w:val="continue"/>
            <w:tcBorders>
              <w:top w:val="nil"/>
              <w:bottom w:val="nil"/>
            </w:tcBorders>
            <w:vAlign w:val="top"/>
          </w:tcPr>
          <w:p w14:paraId="431658DD">
            <w:pPr>
              <w:rPr>
                <w:rFonts w:ascii="Arial"/>
                <w:sz w:val="21"/>
              </w:rPr>
            </w:pPr>
          </w:p>
        </w:tc>
        <w:tc>
          <w:tcPr>
            <w:tcW w:w="1478" w:type="dxa"/>
            <w:vAlign w:val="top"/>
          </w:tcPr>
          <w:p w14:paraId="3DCDC56E">
            <w:pPr>
              <w:pStyle w:val="6"/>
              <w:spacing w:before="61" w:line="219" w:lineRule="auto"/>
              <w:ind w:left="192"/>
              <w:rPr>
                <w:sz w:val="18"/>
                <w:szCs w:val="18"/>
              </w:rPr>
            </w:pPr>
            <w:r>
              <w:rPr>
                <w:spacing w:val="-2"/>
                <w:sz w:val="18"/>
                <w:szCs w:val="18"/>
              </w:rPr>
              <w:t>敏感目标信息</w:t>
            </w:r>
          </w:p>
        </w:tc>
        <w:tc>
          <w:tcPr>
            <w:tcW w:w="5969" w:type="dxa"/>
            <w:gridSpan w:val="4"/>
            <w:vAlign w:val="top"/>
          </w:tcPr>
          <w:p w14:paraId="7B4C39AB">
            <w:pPr>
              <w:pStyle w:val="6"/>
              <w:spacing w:before="61" w:line="219" w:lineRule="auto"/>
              <w:ind w:left="5"/>
              <w:rPr>
                <w:sz w:val="18"/>
                <w:szCs w:val="18"/>
              </w:rPr>
            </w:pPr>
            <w:r>
              <w:rPr>
                <w:spacing w:val="-1"/>
                <w:sz w:val="18"/>
                <w:szCs w:val="18"/>
              </w:rPr>
              <w:t>敏感目标（</w:t>
            </w:r>
            <w:r>
              <w:rPr>
                <w:rFonts w:ascii="Times New Roman" w:hAnsi="Times New Roman" w:eastAsia="Times New Roman" w:cs="Times New Roman"/>
                <w:spacing w:val="-1"/>
                <w:sz w:val="18"/>
                <w:szCs w:val="18"/>
              </w:rPr>
              <w:t>/</w:t>
            </w:r>
            <w:r>
              <w:rPr>
                <w:spacing w:val="-1"/>
                <w:sz w:val="18"/>
                <w:szCs w:val="18"/>
              </w:rPr>
              <w:t>）、方位（</w:t>
            </w:r>
            <w:r>
              <w:rPr>
                <w:rFonts w:ascii="Times New Roman" w:hAnsi="Times New Roman" w:eastAsia="Times New Roman" w:cs="Times New Roman"/>
                <w:spacing w:val="-1"/>
                <w:sz w:val="18"/>
                <w:szCs w:val="18"/>
              </w:rPr>
              <w:t>/</w:t>
            </w:r>
            <w:r>
              <w:rPr>
                <w:spacing w:val="-1"/>
                <w:sz w:val="18"/>
                <w:szCs w:val="18"/>
              </w:rPr>
              <w:t>）、距离（</w:t>
            </w:r>
            <w:r>
              <w:rPr>
                <w:rFonts w:ascii="Times New Roman" w:hAnsi="Times New Roman" w:eastAsia="Times New Roman" w:cs="Times New Roman"/>
                <w:spacing w:val="-1"/>
                <w:sz w:val="18"/>
                <w:szCs w:val="18"/>
              </w:rPr>
              <w:t>/</w:t>
            </w:r>
            <w:r>
              <w:rPr>
                <w:spacing w:val="-1"/>
                <w:sz w:val="18"/>
                <w:szCs w:val="18"/>
              </w:rPr>
              <w:t>）</w:t>
            </w:r>
          </w:p>
        </w:tc>
        <w:tc>
          <w:tcPr>
            <w:tcW w:w="1406" w:type="dxa"/>
            <w:vAlign w:val="top"/>
          </w:tcPr>
          <w:p w14:paraId="6716C227">
            <w:pPr>
              <w:rPr>
                <w:rFonts w:ascii="Arial"/>
                <w:sz w:val="21"/>
              </w:rPr>
            </w:pPr>
          </w:p>
        </w:tc>
      </w:tr>
      <w:tr w14:paraId="74EA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437" w:type="dxa"/>
            <w:vMerge w:val="continue"/>
            <w:tcBorders>
              <w:top w:val="nil"/>
              <w:bottom w:val="nil"/>
            </w:tcBorders>
            <w:vAlign w:val="top"/>
          </w:tcPr>
          <w:p w14:paraId="6420331E">
            <w:pPr>
              <w:rPr>
                <w:rFonts w:ascii="Arial"/>
                <w:sz w:val="21"/>
              </w:rPr>
            </w:pPr>
          </w:p>
        </w:tc>
        <w:tc>
          <w:tcPr>
            <w:tcW w:w="1478" w:type="dxa"/>
            <w:vAlign w:val="top"/>
          </w:tcPr>
          <w:p w14:paraId="15CAD183">
            <w:pPr>
              <w:pStyle w:val="6"/>
              <w:spacing w:before="61" w:line="219" w:lineRule="auto"/>
              <w:ind w:left="371"/>
              <w:rPr>
                <w:sz w:val="18"/>
                <w:szCs w:val="18"/>
              </w:rPr>
            </w:pPr>
            <w:r>
              <w:rPr>
                <w:spacing w:val="-2"/>
                <w:sz w:val="18"/>
                <w:szCs w:val="18"/>
              </w:rPr>
              <w:t>影响途径</w:t>
            </w:r>
          </w:p>
        </w:tc>
        <w:tc>
          <w:tcPr>
            <w:tcW w:w="5969" w:type="dxa"/>
            <w:gridSpan w:val="4"/>
            <w:vAlign w:val="top"/>
          </w:tcPr>
          <w:p w14:paraId="49621AB3">
            <w:pPr>
              <w:pStyle w:val="6"/>
              <w:spacing w:before="28" w:line="242" w:lineRule="exact"/>
              <w:ind w:left="6"/>
              <w:rPr>
                <w:sz w:val="18"/>
                <w:szCs w:val="18"/>
              </w:rPr>
            </w:pPr>
            <w:r>
              <w:rPr>
                <w:spacing w:val="-11"/>
                <w:sz w:val="18"/>
                <w:szCs w:val="18"/>
              </w:rPr>
              <w:t>大气沉降</w:t>
            </w:r>
            <w:r>
              <w:rPr>
                <w:rFonts w:ascii="Times New Roman" w:hAnsi="Times New Roman" w:eastAsia="Times New Roman" w:cs="Times New Roman"/>
                <w:spacing w:val="-11"/>
                <w:sz w:val="18"/>
                <w:szCs w:val="18"/>
              </w:rPr>
              <w:t>√</w:t>
            </w:r>
            <w:r>
              <w:rPr>
                <w:rFonts w:ascii="Times New Roman" w:hAnsi="Times New Roman" w:eastAsia="Times New Roman" w:cs="Times New Roman"/>
                <w:spacing w:val="-23"/>
                <w:sz w:val="18"/>
                <w:szCs w:val="18"/>
              </w:rPr>
              <w:t xml:space="preserve"> </w:t>
            </w:r>
            <w:r>
              <w:rPr>
                <w:spacing w:val="-11"/>
                <w:sz w:val="18"/>
                <w:szCs w:val="18"/>
              </w:rPr>
              <w:t>;</w:t>
            </w:r>
            <w:r>
              <w:rPr>
                <w:spacing w:val="49"/>
                <w:w w:val="101"/>
                <w:sz w:val="18"/>
                <w:szCs w:val="18"/>
              </w:rPr>
              <w:t xml:space="preserve"> </w:t>
            </w:r>
            <w:r>
              <w:rPr>
                <w:spacing w:val="-11"/>
                <w:sz w:val="18"/>
                <w:szCs w:val="18"/>
              </w:rPr>
              <w:t>地面漫流</w:t>
            </w:r>
            <w:r>
              <w:rPr>
                <w:rFonts w:ascii="Times New Roman" w:hAnsi="Times New Roman" w:eastAsia="Times New Roman" w:cs="Times New Roman"/>
                <w:spacing w:val="-11"/>
                <w:sz w:val="18"/>
                <w:szCs w:val="18"/>
              </w:rPr>
              <w:t>□</w:t>
            </w:r>
            <w:r>
              <w:rPr>
                <w:rFonts w:ascii="Times New Roman" w:hAnsi="Times New Roman" w:eastAsia="Times New Roman" w:cs="Times New Roman"/>
                <w:spacing w:val="-24"/>
                <w:sz w:val="18"/>
                <w:szCs w:val="18"/>
              </w:rPr>
              <w:t xml:space="preserve"> </w:t>
            </w:r>
            <w:r>
              <w:rPr>
                <w:spacing w:val="-11"/>
                <w:sz w:val="18"/>
                <w:szCs w:val="18"/>
              </w:rPr>
              <w:t>;</w:t>
            </w:r>
            <w:r>
              <w:rPr>
                <w:spacing w:val="50"/>
                <w:sz w:val="18"/>
                <w:szCs w:val="18"/>
              </w:rPr>
              <w:t xml:space="preserve"> </w:t>
            </w:r>
            <w:r>
              <w:rPr>
                <w:spacing w:val="-11"/>
                <w:sz w:val="18"/>
                <w:szCs w:val="18"/>
              </w:rPr>
              <w:t>垂直入渗</w:t>
            </w:r>
            <w:r>
              <w:rPr>
                <w:rFonts w:ascii="Times New Roman" w:hAnsi="Times New Roman" w:eastAsia="Times New Roman" w:cs="Times New Roman"/>
                <w:spacing w:val="-11"/>
                <w:sz w:val="18"/>
                <w:szCs w:val="18"/>
              </w:rPr>
              <w:t>□</w:t>
            </w:r>
            <w:r>
              <w:rPr>
                <w:rFonts w:ascii="Times New Roman" w:hAnsi="Times New Roman" w:eastAsia="Times New Roman" w:cs="Times New Roman"/>
                <w:spacing w:val="-21"/>
                <w:sz w:val="18"/>
                <w:szCs w:val="18"/>
              </w:rPr>
              <w:t xml:space="preserve"> </w:t>
            </w:r>
            <w:r>
              <w:rPr>
                <w:spacing w:val="-11"/>
                <w:sz w:val="18"/>
                <w:szCs w:val="18"/>
              </w:rPr>
              <w:t>;</w:t>
            </w:r>
            <w:r>
              <w:rPr>
                <w:spacing w:val="50"/>
                <w:sz w:val="18"/>
                <w:szCs w:val="18"/>
              </w:rPr>
              <w:t xml:space="preserve"> </w:t>
            </w:r>
            <w:r>
              <w:rPr>
                <w:spacing w:val="-11"/>
                <w:sz w:val="18"/>
                <w:szCs w:val="18"/>
              </w:rPr>
              <w:t>地下水位</w:t>
            </w:r>
            <w:r>
              <w:rPr>
                <w:rFonts w:ascii="Times New Roman" w:hAnsi="Times New Roman" w:eastAsia="Times New Roman" w:cs="Times New Roman"/>
                <w:spacing w:val="-11"/>
                <w:sz w:val="18"/>
                <w:szCs w:val="18"/>
              </w:rPr>
              <w:t>□</w:t>
            </w:r>
            <w:r>
              <w:rPr>
                <w:rFonts w:ascii="Times New Roman" w:hAnsi="Times New Roman" w:eastAsia="Times New Roman" w:cs="Times New Roman"/>
                <w:spacing w:val="-24"/>
                <w:sz w:val="18"/>
                <w:szCs w:val="18"/>
              </w:rPr>
              <w:t xml:space="preserve"> </w:t>
            </w:r>
            <w:r>
              <w:rPr>
                <w:spacing w:val="-12"/>
                <w:sz w:val="18"/>
                <w:szCs w:val="18"/>
              </w:rPr>
              <w:t>;</w:t>
            </w:r>
            <w:r>
              <w:rPr>
                <w:spacing w:val="50"/>
                <w:sz w:val="18"/>
                <w:szCs w:val="18"/>
              </w:rPr>
              <w:t xml:space="preserve"> </w:t>
            </w:r>
            <w:r>
              <w:rPr>
                <w:spacing w:val="-12"/>
                <w:sz w:val="18"/>
                <w:szCs w:val="18"/>
              </w:rPr>
              <w:t>其他 (</w:t>
            </w:r>
            <w:r>
              <w:rPr>
                <w:spacing w:val="12"/>
                <w:sz w:val="18"/>
                <w:szCs w:val="18"/>
              </w:rPr>
              <w:t xml:space="preserve">       </w:t>
            </w:r>
            <w:r>
              <w:rPr>
                <w:spacing w:val="-12"/>
                <w:sz w:val="18"/>
                <w:szCs w:val="18"/>
              </w:rPr>
              <w:t>)</w:t>
            </w:r>
          </w:p>
        </w:tc>
        <w:tc>
          <w:tcPr>
            <w:tcW w:w="1406" w:type="dxa"/>
            <w:vAlign w:val="top"/>
          </w:tcPr>
          <w:p w14:paraId="09641546">
            <w:pPr>
              <w:rPr>
                <w:rFonts w:ascii="Arial"/>
                <w:sz w:val="21"/>
              </w:rPr>
            </w:pPr>
          </w:p>
        </w:tc>
      </w:tr>
      <w:tr w14:paraId="06FC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437" w:type="dxa"/>
            <w:vMerge w:val="continue"/>
            <w:tcBorders>
              <w:top w:val="nil"/>
              <w:bottom w:val="nil"/>
            </w:tcBorders>
            <w:vAlign w:val="top"/>
          </w:tcPr>
          <w:p w14:paraId="54B754AF">
            <w:pPr>
              <w:rPr>
                <w:rFonts w:ascii="Arial"/>
                <w:sz w:val="21"/>
              </w:rPr>
            </w:pPr>
          </w:p>
        </w:tc>
        <w:tc>
          <w:tcPr>
            <w:tcW w:w="1478" w:type="dxa"/>
            <w:vAlign w:val="top"/>
          </w:tcPr>
          <w:p w14:paraId="75A83AE5">
            <w:pPr>
              <w:pStyle w:val="6"/>
              <w:spacing w:before="64" w:line="219" w:lineRule="auto"/>
              <w:ind w:left="282"/>
              <w:rPr>
                <w:sz w:val="18"/>
                <w:szCs w:val="18"/>
              </w:rPr>
            </w:pPr>
            <w:r>
              <w:rPr>
                <w:spacing w:val="-2"/>
                <w:sz w:val="18"/>
                <w:szCs w:val="18"/>
              </w:rPr>
              <w:t>全部污染物</w:t>
            </w:r>
          </w:p>
        </w:tc>
        <w:tc>
          <w:tcPr>
            <w:tcW w:w="5969" w:type="dxa"/>
            <w:gridSpan w:val="4"/>
            <w:vAlign w:val="top"/>
          </w:tcPr>
          <w:p w14:paraId="090E1DB3">
            <w:pPr>
              <w:pStyle w:val="6"/>
              <w:spacing w:before="64" w:line="220" w:lineRule="auto"/>
              <w:ind w:left="3"/>
              <w:rPr>
                <w:rFonts w:ascii="Times New Roman" w:hAnsi="Times New Roman" w:eastAsia="Times New Roman" w:cs="Times New Roman"/>
                <w:sz w:val="11"/>
                <w:szCs w:val="11"/>
              </w:rPr>
            </w:pPr>
            <w:r>
              <w:rPr>
                <w:spacing w:val="-2"/>
                <w:sz w:val="18"/>
                <w:szCs w:val="18"/>
              </w:rPr>
              <w:t>颗粒物、锰及其化合物、</w:t>
            </w:r>
            <w:r>
              <w:rPr>
                <w:rFonts w:ascii="Times New Roman" w:hAnsi="Times New Roman" w:eastAsia="Times New Roman" w:cs="Times New Roman"/>
                <w:spacing w:val="-2"/>
                <w:sz w:val="18"/>
                <w:szCs w:val="18"/>
              </w:rPr>
              <w:t>SO</w:t>
            </w:r>
            <w:r>
              <w:rPr>
                <w:rFonts w:ascii="Times New Roman" w:hAnsi="Times New Roman" w:eastAsia="Times New Roman" w:cs="Times New Roman"/>
                <w:spacing w:val="-2"/>
                <w:position w:val="-1"/>
                <w:sz w:val="11"/>
                <w:szCs w:val="11"/>
              </w:rPr>
              <w:t>2</w:t>
            </w:r>
            <w:r>
              <w:rPr>
                <w:rFonts w:ascii="Times New Roman" w:hAnsi="Times New Roman" w:eastAsia="Times New Roman" w:cs="Times New Roman"/>
                <w:spacing w:val="-7"/>
                <w:position w:val="-1"/>
                <w:sz w:val="11"/>
                <w:szCs w:val="11"/>
              </w:rPr>
              <w:t xml:space="preserve"> </w:t>
            </w:r>
            <w:r>
              <w:rPr>
                <w:spacing w:val="-2"/>
                <w:sz w:val="18"/>
                <w:szCs w:val="18"/>
              </w:rPr>
              <w:t>、</w:t>
            </w:r>
            <w:r>
              <w:rPr>
                <w:rFonts w:ascii="Times New Roman" w:hAnsi="Times New Roman" w:eastAsia="Times New Roman" w:cs="Times New Roman"/>
                <w:spacing w:val="-2"/>
                <w:sz w:val="18"/>
                <w:szCs w:val="18"/>
              </w:rPr>
              <w:t>NOx</w:t>
            </w:r>
            <w:r>
              <w:rPr>
                <w:rFonts w:ascii="Times New Roman" w:hAnsi="Times New Roman" w:eastAsia="Times New Roman" w:cs="Times New Roman"/>
                <w:spacing w:val="-24"/>
                <w:sz w:val="18"/>
                <w:szCs w:val="18"/>
              </w:rPr>
              <w:t xml:space="preserve"> </w:t>
            </w:r>
            <w:r>
              <w:rPr>
                <w:spacing w:val="-2"/>
                <w:sz w:val="18"/>
                <w:szCs w:val="18"/>
              </w:rPr>
              <w:t>、</w:t>
            </w:r>
            <w:r>
              <w:rPr>
                <w:rFonts w:ascii="Times New Roman" w:hAnsi="Times New Roman" w:eastAsia="Times New Roman" w:cs="Times New Roman"/>
                <w:spacing w:val="-2"/>
                <w:sz w:val="18"/>
                <w:szCs w:val="18"/>
              </w:rPr>
              <w:t>NH</w:t>
            </w:r>
            <w:r>
              <w:rPr>
                <w:rFonts w:ascii="Times New Roman" w:hAnsi="Times New Roman" w:eastAsia="Times New Roman" w:cs="Times New Roman"/>
                <w:spacing w:val="-2"/>
                <w:position w:val="-1"/>
                <w:sz w:val="11"/>
                <w:szCs w:val="11"/>
              </w:rPr>
              <w:t>3</w:t>
            </w:r>
          </w:p>
        </w:tc>
        <w:tc>
          <w:tcPr>
            <w:tcW w:w="1406" w:type="dxa"/>
            <w:vAlign w:val="top"/>
          </w:tcPr>
          <w:p w14:paraId="5D0ED91D">
            <w:pPr>
              <w:rPr>
                <w:rFonts w:ascii="Arial"/>
                <w:sz w:val="21"/>
              </w:rPr>
            </w:pPr>
          </w:p>
        </w:tc>
      </w:tr>
      <w:tr w14:paraId="12BE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437" w:type="dxa"/>
            <w:vMerge w:val="continue"/>
            <w:tcBorders>
              <w:top w:val="nil"/>
              <w:bottom w:val="nil"/>
            </w:tcBorders>
            <w:vAlign w:val="top"/>
          </w:tcPr>
          <w:p w14:paraId="39D73CAF">
            <w:pPr>
              <w:rPr>
                <w:rFonts w:ascii="Arial"/>
                <w:sz w:val="21"/>
              </w:rPr>
            </w:pPr>
          </w:p>
        </w:tc>
        <w:tc>
          <w:tcPr>
            <w:tcW w:w="1478" w:type="dxa"/>
            <w:vAlign w:val="top"/>
          </w:tcPr>
          <w:p w14:paraId="73F0B7DD">
            <w:pPr>
              <w:pStyle w:val="6"/>
              <w:spacing w:before="64" w:line="219" w:lineRule="auto"/>
              <w:ind w:left="371"/>
              <w:rPr>
                <w:sz w:val="18"/>
                <w:szCs w:val="18"/>
              </w:rPr>
            </w:pPr>
            <w:r>
              <w:rPr>
                <w:spacing w:val="-2"/>
                <w:sz w:val="18"/>
                <w:szCs w:val="18"/>
              </w:rPr>
              <w:t>特征因子</w:t>
            </w:r>
          </w:p>
        </w:tc>
        <w:tc>
          <w:tcPr>
            <w:tcW w:w="5969" w:type="dxa"/>
            <w:gridSpan w:val="4"/>
            <w:vAlign w:val="top"/>
          </w:tcPr>
          <w:p w14:paraId="3C643F73">
            <w:pPr>
              <w:pStyle w:val="6"/>
              <w:spacing w:before="64" w:line="221" w:lineRule="auto"/>
              <w:ind w:left="4"/>
              <w:rPr>
                <w:rFonts w:ascii="Times New Roman" w:hAnsi="Times New Roman" w:eastAsia="Times New Roman" w:cs="Times New Roman"/>
                <w:sz w:val="11"/>
                <w:szCs w:val="11"/>
              </w:rPr>
            </w:pPr>
            <w:r>
              <w:rPr>
                <w:spacing w:val="-1"/>
                <w:sz w:val="18"/>
                <w:szCs w:val="18"/>
              </w:rPr>
              <w:t>锰及其化合物、</w:t>
            </w:r>
            <w:r>
              <w:rPr>
                <w:rFonts w:ascii="Times New Roman" w:hAnsi="Times New Roman" w:eastAsia="Times New Roman" w:cs="Times New Roman"/>
                <w:spacing w:val="-1"/>
                <w:sz w:val="18"/>
                <w:szCs w:val="18"/>
              </w:rPr>
              <w:t>NH</w:t>
            </w:r>
            <w:r>
              <w:rPr>
                <w:rFonts w:ascii="Times New Roman" w:hAnsi="Times New Roman" w:eastAsia="Times New Roman" w:cs="Times New Roman"/>
                <w:spacing w:val="-1"/>
                <w:position w:val="-1"/>
                <w:sz w:val="11"/>
                <w:szCs w:val="11"/>
              </w:rPr>
              <w:t>3</w:t>
            </w:r>
          </w:p>
        </w:tc>
        <w:tc>
          <w:tcPr>
            <w:tcW w:w="1406" w:type="dxa"/>
            <w:vAlign w:val="top"/>
          </w:tcPr>
          <w:p w14:paraId="411E8E76">
            <w:pPr>
              <w:rPr>
                <w:rFonts w:ascii="Arial"/>
                <w:sz w:val="21"/>
              </w:rPr>
            </w:pPr>
          </w:p>
        </w:tc>
      </w:tr>
      <w:tr w14:paraId="51885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8" w:hRule="atLeast"/>
        </w:trPr>
        <w:tc>
          <w:tcPr>
            <w:tcW w:w="437" w:type="dxa"/>
            <w:vMerge w:val="continue"/>
            <w:tcBorders>
              <w:top w:val="nil"/>
              <w:bottom w:val="nil"/>
            </w:tcBorders>
            <w:vAlign w:val="top"/>
          </w:tcPr>
          <w:p w14:paraId="5484A138">
            <w:pPr>
              <w:rPr>
                <w:rFonts w:ascii="Arial"/>
                <w:sz w:val="21"/>
              </w:rPr>
            </w:pPr>
          </w:p>
        </w:tc>
        <w:tc>
          <w:tcPr>
            <w:tcW w:w="1478" w:type="dxa"/>
            <w:vAlign w:val="top"/>
          </w:tcPr>
          <w:p w14:paraId="772323B0">
            <w:pPr>
              <w:pStyle w:val="6"/>
              <w:spacing w:before="37" w:line="226" w:lineRule="auto"/>
              <w:ind w:left="282" w:right="18" w:hanging="270"/>
              <w:rPr>
                <w:sz w:val="18"/>
                <w:szCs w:val="18"/>
              </w:rPr>
            </w:pPr>
            <w:r>
              <w:rPr>
                <w:spacing w:val="-2"/>
                <w:sz w:val="18"/>
                <w:szCs w:val="18"/>
              </w:rPr>
              <w:t>属土壤环境影响评</w:t>
            </w:r>
            <w:r>
              <w:rPr>
                <w:spacing w:val="6"/>
                <w:sz w:val="18"/>
                <w:szCs w:val="18"/>
              </w:rPr>
              <w:t xml:space="preserve"> </w:t>
            </w:r>
            <w:r>
              <w:rPr>
                <w:spacing w:val="-2"/>
                <w:sz w:val="18"/>
                <w:szCs w:val="18"/>
              </w:rPr>
              <w:t>价项目类别</w:t>
            </w:r>
          </w:p>
        </w:tc>
        <w:tc>
          <w:tcPr>
            <w:tcW w:w="5969" w:type="dxa"/>
            <w:gridSpan w:val="4"/>
            <w:vAlign w:val="top"/>
          </w:tcPr>
          <w:p w14:paraId="6475ED16">
            <w:pPr>
              <w:pStyle w:val="6"/>
              <w:spacing w:before="159" w:line="198" w:lineRule="auto"/>
              <w:ind w:left="2"/>
              <w:rPr>
                <w:rFonts w:ascii="Times New Roman" w:hAnsi="Times New Roman" w:eastAsia="Times New Roman" w:cs="Times New Roman"/>
                <w:sz w:val="18"/>
                <w:szCs w:val="18"/>
              </w:rPr>
            </w:pPr>
            <w:r>
              <w:rPr>
                <w:rFonts w:ascii="Times New Roman" w:hAnsi="Times New Roman" w:eastAsia="Times New Roman" w:cs="Times New Roman"/>
                <w:spacing w:val="-9"/>
                <w:sz w:val="18"/>
                <w:szCs w:val="18"/>
              </w:rPr>
              <w:t>Ⅰ</w:t>
            </w:r>
            <w:r>
              <w:rPr>
                <w:spacing w:val="-9"/>
                <w:sz w:val="18"/>
                <w:szCs w:val="18"/>
              </w:rPr>
              <w:t>类</w:t>
            </w:r>
            <w:r>
              <w:rPr>
                <w:rFonts w:ascii="Times New Roman" w:hAnsi="Times New Roman" w:eastAsia="Times New Roman" w:cs="Times New Roman"/>
                <w:spacing w:val="-9"/>
                <w:sz w:val="18"/>
                <w:szCs w:val="18"/>
              </w:rPr>
              <w:t>□</w:t>
            </w:r>
            <w:r>
              <w:rPr>
                <w:rFonts w:ascii="Times New Roman" w:hAnsi="Times New Roman" w:eastAsia="Times New Roman" w:cs="Times New Roman"/>
                <w:spacing w:val="-13"/>
                <w:sz w:val="18"/>
                <w:szCs w:val="18"/>
              </w:rPr>
              <w:t xml:space="preserve"> </w:t>
            </w:r>
            <w:r>
              <w:rPr>
                <w:spacing w:val="-9"/>
                <w:sz w:val="18"/>
                <w:szCs w:val="18"/>
              </w:rPr>
              <w:t>;</w:t>
            </w:r>
            <w:r>
              <w:rPr>
                <w:spacing w:val="47"/>
                <w:sz w:val="18"/>
                <w:szCs w:val="18"/>
              </w:rPr>
              <w:t xml:space="preserve"> </w:t>
            </w:r>
            <w:r>
              <w:rPr>
                <w:rFonts w:ascii="Times New Roman" w:hAnsi="Times New Roman" w:eastAsia="Times New Roman" w:cs="Times New Roman"/>
                <w:spacing w:val="-9"/>
                <w:sz w:val="18"/>
                <w:szCs w:val="18"/>
              </w:rPr>
              <w:t>Ⅱ</w:t>
            </w:r>
            <w:r>
              <w:rPr>
                <w:spacing w:val="-9"/>
                <w:sz w:val="18"/>
                <w:szCs w:val="18"/>
              </w:rPr>
              <w:t>类</w:t>
            </w:r>
            <w:r>
              <w:rPr>
                <w:rFonts w:ascii="微软雅黑" w:hAnsi="微软雅黑" w:eastAsia="微软雅黑" w:cs="微软雅黑"/>
                <w:spacing w:val="-9"/>
                <w:sz w:val="18"/>
                <w:szCs w:val="18"/>
              </w:rPr>
              <w:t>□</w:t>
            </w:r>
            <w:r>
              <w:rPr>
                <w:spacing w:val="-9"/>
                <w:sz w:val="18"/>
                <w:szCs w:val="18"/>
              </w:rPr>
              <w:t>;</w:t>
            </w:r>
            <w:r>
              <w:rPr>
                <w:spacing w:val="46"/>
                <w:sz w:val="18"/>
                <w:szCs w:val="18"/>
              </w:rPr>
              <w:t xml:space="preserve"> </w:t>
            </w:r>
            <w:r>
              <w:rPr>
                <w:rFonts w:ascii="Times New Roman" w:hAnsi="Times New Roman" w:eastAsia="Times New Roman" w:cs="Times New Roman"/>
                <w:spacing w:val="-9"/>
                <w:sz w:val="18"/>
                <w:szCs w:val="18"/>
              </w:rPr>
              <w:t>Ⅲ</w:t>
            </w:r>
            <w:r>
              <w:rPr>
                <w:spacing w:val="-9"/>
                <w:sz w:val="18"/>
                <w:szCs w:val="18"/>
              </w:rPr>
              <w:t>类</w:t>
            </w:r>
            <w:r>
              <w:rPr>
                <w:rFonts w:ascii="Segoe UI Symbol" w:hAnsi="Segoe UI Symbol" w:eastAsia="Segoe UI Symbol" w:cs="Segoe UI Symbol"/>
                <w:spacing w:val="-9"/>
                <w:sz w:val="18"/>
                <w:szCs w:val="18"/>
              </w:rPr>
              <w:t>☑</w:t>
            </w:r>
            <w:r>
              <w:rPr>
                <w:spacing w:val="-9"/>
                <w:sz w:val="18"/>
                <w:szCs w:val="18"/>
              </w:rPr>
              <w:t>;</w:t>
            </w:r>
            <w:r>
              <w:rPr>
                <w:spacing w:val="47"/>
                <w:sz w:val="18"/>
                <w:szCs w:val="18"/>
              </w:rPr>
              <w:t xml:space="preserve"> </w:t>
            </w:r>
            <w:r>
              <w:rPr>
                <w:rFonts w:ascii="Times New Roman" w:hAnsi="Times New Roman" w:eastAsia="Times New Roman" w:cs="Times New Roman"/>
                <w:spacing w:val="-9"/>
                <w:sz w:val="18"/>
                <w:szCs w:val="18"/>
              </w:rPr>
              <w:t>Ⅳ</w:t>
            </w:r>
            <w:r>
              <w:rPr>
                <w:spacing w:val="-9"/>
                <w:sz w:val="18"/>
                <w:szCs w:val="18"/>
              </w:rPr>
              <w:t>类</w:t>
            </w:r>
            <w:r>
              <w:rPr>
                <w:rFonts w:ascii="Times New Roman" w:hAnsi="Times New Roman" w:eastAsia="Times New Roman" w:cs="Times New Roman"/>
                <w:spacing w:val="-9"/>
                <w:sz w:val="18"/>
                <w:szCs w:val="18"/>
              </w:rPr>
              <w:t>□</w:t>
            </w:r>
          </w:p>
        </w:tc>
        <w:tc>
          <w:tcPr>
            <w:tcW w:w="1406" w:type="dxa"/>
            <w:vAlign w:val="top"/>
          </w:tcPr>
          <w:p w14:paraId="548B1769">
            <w:pPr>
              <w:rPr>
                <w:rFonts w:ascii="Arial"/>
                <w:sz w:val="21"/>
              </w:rPr>
            </w:pPr>
          </w:p>
        </w:tc>
      </w:tr>
      <w:tr w14:paraId="7D61C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437" w:type="dxa"/>
            <w:vMerge w:val="continue"/>
            <w:tcBorders>
              <w:top w:val="nil"/>
            </w:tcBorders>
            <w:vAlign w:val="top"/>
          </w:tcPr>
          <w:p w14:paraId="178E7FEA">
            <w:pPr>
              <w:rPr>
                <w:rFonts w:ascii="Arial"/>
                <w:sz w:val="21"/>
              </w:rPr>
            </w:pPr>
          </w:p>
        </w:tc>
        <w:tc>
          <w:tcPr>
            <w:tcW w:w="1478" w:type="dxa"/>
            <w:vAlign w:val="top"/>
          </w:tcPr>
          <w:p w14:paraId="55BE0B1A">
            <w:pPr>
              <w:pStyle w:val="6"/>
              <w:spacing w:before="65" w:line="219" w:lineRule="auto"/>
              <w:ind w:left="372"/>
              <w:rPr>
                <w:sz w:val="18"/>
                <w:szCs w:val="18"/>
              </w:rPr>
            </w:pPr>
            <w:r>
              <w:rPr>
                <w:spacing w:val="-2"/>
                <w:sz w:val="18"/>
                <w:szCs w:val="18"/>
              </w:rPr>
              <w:t>敏感程度</w:t>
            </w:r>
          </w:p>
        </w:tc>
        <w:tc>
          <w:tcPr>
            <w:tcW w:w="5969" w:type="dxa"/>
            <w:gridSpan w:val="4"/>
            <w:vAlign w:val="top"/>
          </w:tcPr>
          <w:p w14:paraId="5811597C">
            <w:pPr>
              <w:pStyle w:val="6"/>
              <w:spacing w:before="71" w:line="178" w:lineRule="auto"/>
              <w:ind w:left="5"/>
              <w:rPr>
                <w:rFonts w:ascii="微软雅黑" w:hAnsi="微软雅黑" w:eastAsia="微软雅黑" w:cs="微软雅黑"/>
                <w:sz w:val="18"/>
                <w:szCs w:val="18"/>
              </w:rPr>
            </w:pPr>
            <w:r>
              <w:rPr>
                <w:spacing w:val="-7"/>
                <w:sz w:val="18"/>
                <w:szCs w:val="18"/>
              </w:rPr>
              <w:t>敏感</w:t>
            </w:r>
            <w:r>
              <w:rPr>
                <w:rFonts w:ascii="Segoe UI Symbol" w:hAnsi="Segoe UI Symbol" w:eastAsia="Segoe UI Symbol" w:cs="Segoe UI Symbol"/>
                <w:spacing w:val="-7"/>
                <w:sz w:val="18"/>
                <w:szCs w:val="18"/>
              </w:rPr>
              <w:t>☑</w:t>
            </w:r>
            <w:r>
              <w:rPr>
                <w:spacing w:val="-7"/>
                <w:sz w:val="18"/>
                <w:szCs w:val="18"/>
              </w:rPr>
              <w:t>;</w:t>
            </w:r>
            <w:r>
              <w:rPr>
                <w:spacing w:val="51"/>
                <w:sz w:val="18"/>
                <w:szCs w:val="18"/>
              </w:rPr>
              <w:t xml:space="preserve"> </w:t>
            </w:r>
            <w:r>
              <w:rPr>
                <w:spacing w:val="-7"/>
                <w:sz w:val="18"/>
                <w:szCs w:val="18"/>
              </w:rPr>
              <w:t>较敏感</w:t>
            </w:r>
            <w:r>
              <w:rPr>
                <w:rFonts w:ascii="Times New Roman" w:hAnsi="Times New Roman" w:eastAsia="Times New Roman" w:cs="Times New Roman"/>
                <w:spacing w:val="-7"/>
                <w:sz w:val="18"/>
                <w:szCs w:val="18"/>
              </w:rPr>
              <w:t>□</w:t>
            </w:r>
            <w:r>
              <w:rPr>
                <w:rFonts w:ascii="Times New Roman" w:hAnsi="Times New Roman" w:eastAsia="Times New Roman" w:cs="Times New Roman"/>
                <w:spacing w:val="-23"/>
                <w:sz w:val="18"/>
                <w:szCs w:val="18"/>
              </w:rPr>
              <w:t xml:space="preserve"> </w:t>
            </w:r>
            <w:r>
              <w:rPr>
                <w:spacing w:val="-7"/>
                <w:sz w:val="18"/>
                <w:szCs w:val="18"/>
              </w:rPr>
              <w:t>;</w:t>
            </w:r>
            <w:r>
              <w:rPr>
                <w:spacing w:val="52"/>
                <w:sz w:val="18"/>
                <w:szCs w:val="18"/>
              </w:rPr>
              <w:t xml:space="preserve"> </w:t>
            </w:r>
            <w:r>
              <w:rPr>
                <w:spacing w:val="-7"/>
                <w:sz w:val="18"/>
                <w:szCs w:val="18"/>
              </w:rPr>
              <w:t>不敏感</w:t>
            </w:r>
            <w:r>
              <w:rPr>
                <w:rFonts w:ascii="微软雅黑" w:hAnsi="微软雅黑" w:eastAsia="微软雅黑" w:cs="微软雅黑"/>
                <w:spacing w:val="-7"/>
                <w:sz w:val="18"/>
                <w:szCs w:val="18"/>
              </w:rPr>
              <w:t>□</w:t>
            </w:r>
          </w:p>
        </w:tc>
        <w:tc>
          <w:tcPr>
            <w:tcW w:w="1406" w:type="dxa"/>
            <w:vAlign w:val="top"/>
          </w:tcPr>
          <w:p w14:paraId="2E3D4793">
            <w:pPr>
              <w:rPr>
                <w:rFonts w:ascii="Arial"/>
                <w:sz w:val="21"/>
              </w:rPr>
            </w:pPr>
          </w:p>
        </w:tc>
      </w:tr>
      <w:tr w14:paraId="0EDB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1915" w:type="dxa"/>
            <w:gridSpan w:val="2"/>
            <w:vAlign w:val="top"/>
          </w:tcPr>
          <w:p w14:paraId="65F01F9C">
            <w:pPr>
              <w:pStyle w:val="6"/>
              <w:spacing w:before="65" w:line="218" w:lineRule="auto"/>
              <w:ind w:left="414"/>
              <w:rPr>
                <w:sz w:val="18"/>
                <w:szCs w:val="18"/>
              </w:rPr>
            </w:pPr>
            <w:r>
              <w:rPr>
                <w:spacing w:val="-2"/>
                <w:sz w:val="18"/>
                <w:szCs w:val="18"/>
              </w:rPr>
              <w:t>评价工作等级</w:t>
            </w:r>
          </w:p>
        </w:tc>
        <w:tc>
          <w:tcPr>
            <w:tcW w:w="5969" w:type="dxa"/>
            <w:gridSpan w:val="4"/>
            <w:vAlign w:val="top"/>
          </w:tcPr>
          <w:p w14:paraId="790BD0AC">
            <w:pPr>
              <w:pStyle w:val="6"/>
              <w:spacing w:before="65" w:line="183" w:lineRule="auto"/>
              <w:ind w:left="7"/>
              <w:rPr>
                <w:rFonts w:ascii="微软雅黑" w:hAnsi="微软雅黑" w:eastAsia="微软雅黑" w:cs="微软雅黑"/>
                <w:sz w:val="18"/>
                <w:szCs w:val="18"/>
              </w:rPr>
            </w:pPr>
            <w:r>
              <w:rPr>
                <w:spacing w:val="-3"/>
                <w:sz w:val="18"/>
                <w:szCs w:val="18"/>
              </w:rPr>
              <w:t>一级</w:t>
            </w:r>
            <w:r>
              <w:rPr>
                <w:rFonts w:ascii="微软雅黑" w:hAnsi="微软雅黑" w:eastAsia="微软雅黑" w:cs="微软雅黑"/>
                <w:spacing w:val="-3"/>
                <w:sz w:val="18"/>
                <w:szCs w:val="18"/>
              </w:rPr>
              <w:t>□</w:t>
            </w:r>
            <w:r>
              <w:rPr>
                <w:spacing w:val="-3"/>
                <w:sz w:val="18"/>
                <w:szCs w:val="18"/>
              </w:rPr>
              <w:t>;</w:t>
            </w:r>
            <w:r>
              <w:rPr>
                <w:spacing w:val="59"/>
                <w:sz w:val="18"/>
                <w:szCs w:val="18"/>
              </w:rPr>
              <w:t xml:space="preserve"> </w:t>
            </w:r>
            <w:r>
              <w:rPr>
                <w:spacing w:val="-3"/>
                <w:sz w:val="18"/>
                <w:szCs w:val="18"/>
              </w:rPr>
              <w:t>二级</w:t>
            </w:r>
            <w:r>
              <w:rPr>
                <w:rFonts w:ascii="MS Gothic" w:hAnsi="MS Gothic" w:eastAsia="MS Gothic" w:cs="MS Gothic"/>
                <w:spacing w:val="-3"/>
                <w:sz w:val="18"/>
                <w:szCs w:val="18"/>
              </w:rPr>
              <w:t>☑</w:t>
            </w:r>
            <w:r>
              <w:rPr>
                <w:spacing w:val="-3"/>
                <w:sz w:val="18"/>
                <w:szCs w:val="18"/>
              </w:rPr>
              <w:t>;</w:t>
            </w:r>
            <w:r>
              <w:rPr>
                <w:spacing w:val="49"/>
                <w:sz w:val="18"/>
                <w:szCs w:val="18"/>
              </w:rPr>
              <w:t xml:space="preserve"> </w:t>
            </w:r>
            <w:r>
              <w:rPr>
                <w:spacing w:val="-3"/>
                <w:sz w:val="18"/>
                <w:szCs w:val="18"/>
              </w:rPr>
              <w:t>三级</w:t>
            </w:r>
            <w:r>
              <w:rPr>
                <w:rFonts w:ascii="微软雅黑" w:hAnsi="微软雅黑" w:eastAsia="微软雅黑" w:cs="微软雅黑"/>
                <w:spacing w:val="-3"/>
                <w:sz w:val="18"/>
                <w:szCs w:val="18"/>
              </w:rPr>
              <w:t>□</w:t>
            </w:r>
          </w:p>
        </w:tc>
        <w:tc>
          <w:tcPr>
            <w:tcW w:w="1406" w:type="dxa"/>
            <w:vAlign w:val="top"/>
          </w:tcPr>
          <w:p w14:paraId="272DA422">
            <w:pPr>
              <w:rPr>
                <w:rFonts w:ascii="Arial"/>
                <w:sz w:val="21"/>
              </w:rPr>
            </w:pPr>
          </w:p>
        </w:tc>
      </w:tr>
      <w:tr w14:paraId="5DE95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437" w:type="dxa"/>
            <w:vMerge w:val="restart"/>
            <w:tcBorders>
              <w:bottom w:val="nil"/>
            </w:tcBorders>
            <w:vAlign w:val="top"/>
          </w:tcPr>
          <w:p w14:paraId="3911D218">
            <w:pPr>
              <w:spacing w:line="261" w:lineRule="auto"/>
              <w:rPr>
                <w:rFonts w:ascii="Arial"/>
                <w:sz w:val="21"/>
              </w:rPr>
            </w:pPr>
          </w:p>
          <w:p w14:paraId="4189CB57">
            <w:pPr>
              <w:spacing w:line="261" w:lineRule="auto"/>
              <w:rPr>
                <w:rFonts w:ascii="Arial"/>
                <w:sz w:val="21"/>
              </w:rPr>
            </w:pPr>
          </w:p>
          <w:p w14:paraId="671EE8DF">
            <w:pPr>
              <w:spacing w:line="261" w:lineRule="auto"/>
              <w:rPr>
                <w:rFonts w:ascii="Arial"/>
                <w:sz w:val="21"/>
              </w:rPr>
            </w:pPr>
          </w:p>
          <w:p w14:paraId="789F19CC">
            <w:pPr>
              <w:pStyle w:val="6"/>
              <w:spacing w:before="58" w:line="232" w:lineRule="auto"/>
              <w:ind w:left="37" w:right="33"/>
              <w:jc w:val="both"/>
              <w:rPr>
                <w:sz w:val="18"/>
                <w:szCs w:val="18"/>
              </w:rPr>
            </w:pPr>
            <w:r>
              <w:rPr>
                <w:spacing w:val="-5"/>
                <w:sz w:val="18"/>
                <w:szCs w:val="18"/>
              </w:rPr>
              <w:t>现状</w:t>
            </w:r>
            <w:r>
              <w:rPr>
                <w:sz w:val="18"/>
                <w:szCs w:val="18"/>
              </w:rPr>
              <w:t xml:space="preserve"> </w:t>
            </w:r>
            <w:r>
              <w:rPr>
                <w:spacing w:val="-5"/>
                <w:sz w:val="18"/>
                <w:szCs w:val="18"/>
              </w:rPr>
              <w:t>调查</w:t>
            </w:r>
            <w:r>
              <w:rPr>
                <w:sz w:val="18"/>
                <w:szCs w:val="18"/>
              </w:rPr>
              <w:t xml:space="preserve"> </w:t>
            </w:r>
            <w:r>
              <w:rPr>
                <w:spacing w:val="-5"/>
                <w:sz w:val="18"/>
                <w:szCs w:val="18"/>
              </w:rPr>
              <w:t>内容</w:t>
            </w:r>
          </w:p>
        </w:tc>
        <w:tc>
          <w:tcPr>
            <w:tcW w:w="1478" w:type="dxa"/>
            <w:vAlign w:val="top"/>
          </w:tcPr>
          <w:p w14:paraId="40B601EC">
            <w:pPr>
              <w:pStyle w:val="6"/>
              <w:spacing w:before="68" w:line="219" w:lineRule="auto"/>
              <w:ind w:left="379"/>
              <w:rPr>
                <w:sz w:val="18"/>
                <w:szCs w:val="18"/>
              </w:rPr>
            </w:pPr>
            <w:r>
              <w:rPr>
                <w:spacing w:val="-4"/>
                <w:sz w:val="18"/>
                <w:szCs w:val="18"/>
              </w:rPr>
              <w:t>资料收集</w:t>
            </w:r>
          </w:p>
        </w:tc>
        <w:tc>
          <w:tcPr>
            <w:tcW w:w="5969" w:type="dxa"/>
            <w:gridSpan w:val="4"/>
            <w:vAlign w:val="top"/>
          </w:tcPr>
          <w:p w14:paraId="6511CE6A">
            <w:pPr>
              <w:pStyle w:val="6"/>
              <w:spacing w:before="68" w:line="221" w:lineRule="auto"/>
              <w:ind w:left="4"/>
              <w:rPr>
                <w:rFonts w:ascii="Times New Roman" w:hAnsi="Times New Roman" w:eastAsia="Times New Roman" w:cs="Times New Roman"/>
                <w:sz w:val="18"/>
                <w:szCs w:val="18"/>
              </w:rPr>
            </w:pPr>
            <w:r>
              <w:rPr>
                <w:rFonts w:ascii="Times New Roman" w:hAnsi="Times New Roman" w:eastAsia="Times New Roman" w:cs="Times New Roman"/>
                <w:spacing w:val="-14"/>
                <w:sz w:val="18"/>
                <w:szCs w:val="18"/>
              </w:rPr>
              <w:t>a</w:t>
            </w:r>
            <w:r>
              <w:rPr>
                <w:spacing w:val="-14"/>
                <w:sz w:val="18"/>
                <w:szCs w:val="18"/>
              </w:rPr>
              <w:t>）</w:t>
            </w:r>
            <w:r>
              <w:rPr>
                <w:rFonts w:ascii="Times New Roman" w:hAnsi="Times New Roman" w:eastAsia="Times New Roman" w:cs="Times New Roman"/>
                <w:spacing w:val="-14"/>
                <w:sz w:val="18"/>
                <w:szCs w:val="18"/>
              </w:rPr>
              <w:t>□</w:t>
            </w:r>
            <w:r>
              <w:rPr>
                <w:rFonts w:ascii="Times New Roman" w:hAnsi="Times New Roman" w:eastAsia="Times New Roman" w:cs="Times New Roman"/>
                <w:spacing w:val="-13"/>
                <w:sz w:val="18"/>
                <w:szCs w:val="18"/>
              </w:rPr>
              <w:t xml:space="preserve"> </w:t>
            </w:r>
            <w:r>
              <w:rPr>
                <w:spacing w:val="-14"/>
                <w:sz w:val="18"/>
                <w:szCs w:val="18"/>
              </w:rPr>
              <w:t>;</w:t>
            </w:r>
            <w:r>
              <w:rPr>
                <w:spacing w:val="42"/>
                <w:sz w:val="18"/>
                <w:szCs w:val="18"/>
              </w:rPr>
              <w:t xml:space="preserve"> </w:t>
            </w:r>
            <w:r>
              <w:rPr>
                <w:rFonts w:ascii="Times New Roman" w:hAnsi="Times New Roman" w:eastAsia="Times New Roman" w:cs="Times New Roman"/>
                <w:spacing w:val="-14"/>
                <w:sz w:val="18"/>
                <w:szCs w:val="18"/>
              </w:rPr>
              <w:t>b</w:t>
            </w:r>
            <w:r>
              <w:rPr>
                <w:spacing w:val="-14"/>
                <w:sz w:val="18"/>
                <w:szCs w:val="18"/>
              </w:rPr>
              <w:t>）</w:t>
            </w:r>
            <w:r>
              <w:rPr>
                <w:rFonts w:ascii="Times New Roman" w:hAnsi="Times New Roman" w:eastAsia="Times New Roman" w:cs="Times New Roman"/>
                <w:spacing w:val="-14"/>
                <w:sz w:val="18"/>
                <w:szCs w:val="18"/>
              </w:rPr>
              <w:t>□</w:t>
            </w:r>
            <w:r>
              <w:rPr>
                <w:rFonts w:ascii="Times New Roman" w:hAnsi="Times New Roman" w:eastAsia="Times New Roman" w:cs="Times New Roman"/>
                <w:spacing w:val="-23"/>
                <w:sz w:val="18"/>
                <w:szCs w:val="18"/>
              </w:rPr>
              <w:t xml:space="preserve"> </w:t>
            </w:r>
            <w:r>
              <w:rPr>
                <w:spacing w:val="-14"/>
                <w:sz w:val="18"/>
                <w:szCs w:val="18"/>
              </w:rPr>
              <w:t>;</w:t>
            </w:r>
            <w:r>
              <w:rPr>
                <w:spacing w:val="48"/>
                <w:sz w:val="18"/>
                <w:szCs w:val="18"/>
              </w:rPr>
              <w:t xml:space="preserve"> </w:t>
            </w:r>
            <w:r>
              <w:rPr>
                <w:rFonts w:ascii="Times New Roman" w:hAnsi="Times New Roman" w:eastAsia="Times New Roman" w:cs="Times New Roman"/>
                <w:spacing w:val="-14"/>
                <w:sz w:val="18"/>
                <w:szCs w:val="18"/>
              </w:rPr>
              <w:t>c</w:t>
            </w:r>
            <w:r>
              <w:rPr>
                <w:spacing w:val="-14"/>
                <w:sz w:val="18"/>
                <w:szCs w:val="18"/>
              </w:rPr>
              <w:t>）</w:t>
            </w:r>
            <w:r>
              <w:rPr>
                <w:rFonts w:ascii="Times New Roman" w:hAnsi="Times New Roman" w:eastAsia="Times New Roman" w:cs="Times New Roman"/>
                <w:spacing w:val="-14"/>
                <w:sz w:val="18"/>
                <w:szCs w:val="18"/>
              </w:rPr>
              <w:t>□</w:t>
            </w:r>
            <w:r>
              <w:rPr>
                <w:rFonts w:ascii="Times New Roman" w:hAnsi="Times New Roman" w:eastAsia="Times New Roman" w:cs="Times New Roman"/>
                <w:spacing w:val="-23"/>
                <w:sz w:val="18"/>
                <w:szCs w:val="18"/>
              </w:rPr>
              <w:t xml:space="preserve"> </w:t>
            </w:r>
            <w:r>
              <w:rPr>
                <w:spacing w:val="-14"/>
                <w:sz w:val="18"/>
                <w:szCs w:val="18"/>
              </w:rPr>
              <w:t>;</w:t>
            </w:r>
            <w:r>
              <w:rPr>
                <w:spacing w:val="48"/>
                <w:sz w:val="18"/>
                <w:szCs w:val="18"/>
              </w:rPr>
              <w:t xml:space="preserve"> </w:t>
            </w:r>
            <w:r>
              <w:rPr>
                <w:rFonts w:ascii="Times New Roman" w:hAnsi="Times New Roman" w:eastAsia="Times New Roman" w:cs="Times New Roman"/>
                <w:spacing w:val="-14"/>
                <w:sz w:val="18"/>
                <w:szCs w:val="18"/>
              </w:rPr>
              <w:t>d</w:t>
            </w:r>
            <w:r>
              <w:rPr>
                <w:spacing w:val="-14"/>
                <w:sz w:val="18"/>
                <w:szCs w:val="18"/>
              </w:rPr>
              <w:t>）</w:t>
            </w:r>
            <w:r>
              <w:rPr>
                <w:rFonts w:ascii="Times New Roman" w:hAnsi="Times New Roman" w:eastAsia="Times New Roman" w:cs="Times New Roman"/>
                <w:spacing w:val="-14"/>
                <w:sz w:val="18"/>
                <w:szCs w:val="18"/>
              </w:rPr>
              <w:t>□</w:t>
            </w:r>
          </w:p>
        </w:tc>
        <w:tc>
          <w:tcPr>
            <w:tcW w:w="1406" w:type="dxa"/>
            <w:vAlign w:val="top"/>
          </w:tcPr>
          <w:p w14:paraId="293F289D">
            <w:pPr>
              <w:rPr>
                <w:rFonts w:ascii="Arial"/>
                <w:sz w:val="21"/>
              </w:rPr>
            </w:pPr>
          </w:p>
        </w:tc>
      </w:tr>
      <w:tr w14:paraId="6A605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437" w:type="dxa"/>
            <w:vMerge w:val="continue"/>
            <w:tcBorders>
              <w:top w:val="nil"/>
              <w:bottom w:val="nil"/>
            </w:tcBorders>
            <w:vAlign w:val="top"/>
          </w:tcPr>
          <w:p w14:paraId="33FA428F">
            <w:pPr>
              <w:rPr>
                <w:rFonts w:ascii="Arial"/>
                <w:sz w:val="21"/>
              </w:rPr>
            </w:pPr>
          </w:p>
        </w:tc>
        <w:tc>
          <w:tcPr>
            <w:tcW w:w="1478" w:type="dxa"/>
            <w:vAlign w:val="top"/>
          </w:tcPr>
          <w:p w14:paraId="49569729">
            <w:pPr>
              <w:pStyle w:val="6"/>
              <w:spacing w:before="68" w:line="219" w:lineRule="auto"/>
              <w:ind w:left="373"/>
              <w:rPr>
                <w:sz w:val="18"/>
                <w:szCs w:val="18"/>
              </w:rPr>
            </w:pPr>
            <w:r>
              <w:rPr>
                <w:spacing w:val="-3"/>
                <w:sz w:val="18"/>
                <w:szCs w:val="18"/>
              </w:rPr>
              <w:t>理化特性</w:t>
            </w:r>
          </w:p>
        </w:tc>
        <w:tc>
          <w:tcPr>
            <w:tcW w:w="5969" w:type="dxa"/>
            <w:gridSpan w:val="4"/>
            <w:vAlign w:val="top"/>
          </w:tcPr>
          <w:p w14:paraId="5E606663">
            <w:pPr>
              <w:pStyle w:val="6"/>
              <w:spacing w:before="68" w:line="219" w:lineRule="auto"/>
              <w:ind w:left="5"/>
              <w:rPr>
                <w:sz w:val="18"/>
                <w:szCs w:val="18"/>
              </w:rPr>
            </w:pPr>
            <w:r>
              <w:rPr>
                <w:spacing w:val="-1"/>
                <w:sz w:val="18"/>
                <w:szCs w:val="18"/>
              </w:rPr>
              <w:t>土壤呈黄褐色、沙粒状</w:t>
            </w:r>
          </w:p>
        </w:tc>
        <w:tc>
          <w:tcPr>
            <w:tcW w:w="1406" w:type="dxa"/>
            <w:vAlign w:val="top"/>
          </w:tcPr>
          <w:p w14:paraId="6F662C11">
            <w:pPr>
              <w:pStyle w:val="6"/>
              <w:spacing w:before="68" w:line="219" w:lineRule="auto"/>
              <w:ind w:left="31"/>
              <w:rPr>
                <w:rFonts w:ascii="Times New Roman" w:hAnsi="Times New Roman" w:eastAsia="Times New Roman" w:cs="Times New Roman"/>
                <w:sz w:val="18"/>
                <w:szCs w:val="18"/>
              </w:rPr>
            </w:pPr>
            <w:r>
              <w:rPr>
                <w:spacing w:val="-7"/>
                <w:sz w:val="18"/>
                <w:szCs w:val="18"/>
              </w:rPr>
              <w:t>同附录</w:t>
            </w:r>
            <w:r>
              <w:rPr>
                <w:spacing w:val="-36"/>
                <w:sz w:val="18"/>
                <w:szCs w:val="18"/>
              </w:rPr>
              <w:t xml:space="preserve"> </w:t>
            </w:r>
            <w:r>
              <w:rPr>
                <w:rFonts w:ascii="Times New Roman" w:hAnsi="Times New Roman" w:eastAsia="Times New Roman" w:cs="Times New Roman"/>
                <w:spacing w:val="-7"/>
                <w:sz w:val="18"/>
                <w:szCs w:val="18"/>
              </w:rPr>
              <w:t>C</w:t>
            </w:r>
          </w:p>
        </w:tc>
      </w:tr>
      <w:tr w14:paraId="1D67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0" w:hRule="atLeast"/>
        </w:trPr>
        <w:tc>
          <w:tcPr>
            <w:tcW w:w="437" w:type="dxa"/>
            <w:vMerge w:val="continue"/>
            <w:tcBorders>
              <w:top w:val="nil"/>
              <w:bottom w:val="nil"/>
            </w:tcBorders>
            <w:vAlign w:val="top"/>
          </w:tcPr>
          <w:p w14:paraId="02C4BC9E">
            <w:pPr>
              <w:rPr>
                <w:rFonts w:ascii="Arial"/>
                <w:sz w:val="21"/>
              </w:rPr>
            </w:pPr>
          </w:p>
        </w:tc>
        <w:tc>
          <w:tcPr>
            <w:tcW w:w="1478" w:type="dxa"/>
            <w:vMerge w:val="restart"/>
            <w:tcBorders>
              <w:bottom w:val="nil"/>
            </w:tcBorders>
            <w:vAlign w:val="top"/>
          </w:tcPr>
          <w:p w14:paraId="684BF2C5">
            <w:pPr>
              <w:spacing w:line="333" w:lineRule="auto"/>
              <w:rPr>
                <w:rFonts w:ascii="Arial"/>
                <w:sz w:val="21"/>
              </w:rPr>
            </w:pPr>
          </w:p>
          <w:p w14:paraId="188CFBA3">
            <w:pPr>
              <w:pStyle w:val="6"/>
              <w:spacing w:before="59" w:line="219" w:lineRule="auto"/>
              <w:ind w:left="192"/>
              <w:rPr>
                <w:sz w:val="18"/>
                <w:szCs w:val="18"/>
              </w:rPr>
            </w:pPr>
            <w:r>
              <w:rPr>
                <w:spacing w:val="-2"/>
                <w:sz w:val="18"/>
                <w:szCs w:val="18"/>
              </w:rPr>
              <w:t>现状监测点位</w:t>
            </w:r>
          </w:p>
        </w:tc>
        <w:tc>
          <w:tcPr>
            <w:tcW w:w="1611" w:type="dxa"/>
            <w:vAlign w:val="top"/>
          </w:tcPr>
          <w:p w14:paraId="362B6949">
            <w:pPr>
              <w:rPr>
                <w:rFonts w:ascii="Arial"/>
                <w:sz w:val="21"/>
              </w:rPr>
            </w:pPr>
          </w:p>
        </w:tc>
        <w:tc>
          <w:tcPr>
            <w:tcW w:w="1507" w:type="dxa"/>
            <w:vAlign w:val="top"/>
          </w:tcPr>
          <w:p w14:paraId="77D4EF89">
            <w:pPr>
              <w:pStyle w:val="6"/>
              <w:spacing w:before="68" w:line="219" w:lineRule="auto"/>
              <w:ind w:left="331"/>
              <w:rPr>
                <w:sz w:val="18"/>
                <w:szCs w:val="18"/>
              </w:rPr>
            </w:pPr>
            <w:r>
              <w:rPr>
                <w:spacing w:val="-8"/>
                <w:sz w:val="18"/>
                <w:szCs w:val="18"/>
              </w:rPr>
              <w:t>占地范围内</w:t>
            </w:r>
          </w:p>
        </w:tc>
        <w:tc>
          <w:tcPr>
            <w:tcW w:w="2024" w:type="dxa"/>
            <w:vAlign w:val="top"/>
          </w:tcPr>
          <w:p w14:paraId="0ACA50CB">
            <w:pPr>
              <w:pStyle w:val="6"/>
              <w:spacing w:before="67" w:line="220" w:lineRule="auto"/>
              <w:ind w:left="592"/>
              <w:rPr>
                <w:sz w:val="18"/>
                <w:szCs w:val="18"/>
              </w:rPr>
            </w:pPr>
            <w:r>
              <w:rPr>
                <w:spacing w:val="-8"/>
                <w:sz w:val="18"/>
                <w:szCs w:val="18"/>
              </w:rPr>
              <w:t>占地范围外</w:t>
            </w:r>
          </w:p>
        </w:tc>
        <w:tc>
          <w:tcPr>
            <w:tcW w:w="827" w:type="dxa"/>
            <w:vAlign w:val="top"/>
          </w:tcPr>
          <w:p w14:paraId="10E8DA81">
            <w:pPr>
              <w:pStyle w:val="6"/>
              <w:spacing w:before="67" w:line="220" w:lineRule="auto"/>
              <w:ind w:left="238"/>
              <w:rPr>
                <w:sz w:val="18"/>
                <w:szCs w:val="18"/>
              </w:rPr>
            </w:pPr>
            <w:r>
              <w:rPr>
                <w:spacing w:val="-4"/>
                <w:sz w:val="18"/>
                <w:szCs w:val="18"/>
              </w:rPr>
              <w:t>深度</w:t>
            </w:r>
          </w:p>
        </w:tc>
        <w:tc>
          <w:tcPr>
            <w:tcW w:w="1406" w:type="dxa"/>
            <w:vMerge w:val="restart"/>
            <w:tcBorders>
              <w:bottom w:val="nil"/>
            </w:tcBorders>
            <w:vAlign w:val="top"/>
          </w:tcPr>
          <w:p w14:paraId="4C0E1E14">
            <w:pPr>
              <w:spacing w:line="333" w:lineRule="auto"/>
              <w:rPr>
                <w:rFonts w:ascii="Arial"/>
                <w:sz w:val="21"/>
              </w:rPr>
            </w:pPr>
          </w:p>
          <w:p w14:paraId="5A16F17E">
            <w:pPr>
              <w:pStyle w:val="6"/>
              <w:spacing w:before="58" w:line="219" w:lineRule="auto"/>
              <w:ind w:left="23"/>
              <w:rPr>
                <w:sz w:val="18"/>
                <w:szCs w:val="18"/>
              </w:rPr>
            </w:pPr>
            <w:r>
              <w:rPr>
                <w:spacing w:val="-4"/>
                <w:sz w:val="18"/>
                <w:szCs w:val="18"/>
              </w:rPr>
              <w:t>点位布置图</w:t>
            </w:r>
          </w:p>
        </w:tc>
      </w:tr>
      <w:tr w14:paraId="3C4F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437" w:type="dxa"/>
            <w:vMerge w:val="continue"/>
            <w:tcBorders>
              <w:top w:val="nil"/>
              <w:bottom w:val="nil"/>
            </w:tcBorders>
            <w:vAlign w:val="top"/>
          </w:tcPr>
          <w:p w14:paraId="2D24131C">
            <w:pPr>
              <w:rPr>
                <w:rFonts w:ascii="Arial"/>
                <w:sz w:val="21"/>
              </w:rPr>
            </w:pPr>
          </w:p>
        </w:tc>
        <w:tc>
          <w:tcPr>
            <w:tcW w:w="1478" w:type="dxa"/>
            <w:vMerge w:val="continue"/>
            <w:tcBorders>
              <w:top w:val="nil"/>
              <w:bottom w:val="nil"/>
            </w:tcBorders>
            <w:vAlign w:val="top"/>
          </w:tcPr>
          <w:p w14:paraId="2936E20E">
            <w:pPr>
              <w:rPr>
                <w:rFonts w:ascii="Arial"/>
                <w:sz w:val="21"/>
              </w:rPr>
            </w:pPr>
          </w:p>
        </w:tc>
        <w:tc>
          <w:tcPr>
            <w:tcW w:w="1611" w:type="dxa"/>
            <w:vAlign w:val="top"/>
          </w:tcPr>
          <w:p w14:paraId="501328C1">
            <w:pPr>
              <w:pStyle w:val="6"/>
              <w:spacing w:before="69" w:line="219" w:lineRule="auto"/>
              <w:ind w:left="351"/>
              <w:rPr>
                <w:sz w:val="18"/>
                <w:szCs w:val="18"/>
              </w:rPr>
            </w:pPr>
            <w:r>
              <w:rPr>
                <w:spacing w:val="-2"/>
                <w:sz w:val="18"/>
                <w:szCs w:val="18"/>
              </w:rPr>
              <w:t>表层样点数</w:t>
            </w:r>
          </w:p>
        </w:tc>
        <w:tc>
          <w:tcPr>
            <w:tcW w:w="1507" w:type="dxa"/>
            <w:vAlign w:val="top"/>
          </w:tcPr>
          <w:p w14:paraId="097299DE">
            <w:pPr>
              <w:spacing w:before="100" w:line="188" w:lineRule="auto"/>
              <w:ind w:left="703"/>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tc>
        <w:tc>
          <w:tcPr>
            <w:tcW w:w="2024" w:type="dxa"/>
            <w:vAlign w:val="top"/>
          </w:tcPr>
          <w:p w14:paraId="44E8FD55">
            <w:pPr>
              <w:spacing w:before="100" w:line="188" w:lineRule="auto"/>
              <w:ind w:left="964"/>
              <w:rPr>
                <w:rFonts w:ascii="Times New Roman" w:hAnsi="Times New Roman" w:eastAsia="Times New Roman" w:cs="Times New Roman"/>
                <w:sz w:val="18"/>
                <w:szCs w:val="18"/>
              </w:rPr>
            </w:pPr>
            <w:r>
              <w:rPr>
                <w:rFonts w:ascii="Times New Roman" w:hAnsi="Times New Roman" w:eastAsia="Times New Roman" w:cs="Times New Roman"/>
                <w:sz w:val="18"/>
                <w:szCs w:val="18"/>
              </w:rPr>
              <w:t>4</w:t>
            </w:r>
          </w:p>
        </w:tc>
        <w:tc>
          <w:tcPr>
            <w:tcW w:w="827" w:type="dxa"/>
            <w:vAlign w:val="top"/>
          </w:tcPr>
          <w:p w14:paraId="7B790D68">
            <w:pPr>
              <w:spacing w:before="100" w:line="188" w:lineRule="auto"/>
              <w:ind w:left="14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0-20cm</w:t>
            </w:r>
          </w:p>
        </w:tc>
        <w:tc>
          <w:tcPr>
            <w:tcW w:w="1406" w:type="dxa"/>
            <w:vMerge w:val="continue"/>
            <w:tcBorders>
              <w:top w:val="nil"/>
              <w:bottom w:val="nil"/>
            </w:tcBorders>
            <w:vAlign w:val="top"/>
          </w:tcPr>
          <w:p w14:paraId="173FF65C">
            <w:pPr>
              <w:rPr>
                <w:rFonts w:ascii="Arial"/>
                <w:sz w:val="21"/>
              </w:rPr>
            </w:pPr>
          </w:p>
        </w:tc>
      </w:tr>
      <w:tr w14:paraId="61B9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3" w:hRule="atLeast"/>
        </w:trPr>
        <w:tc>
          <w:tcPr>
            <w:tcW w:w="437" w:type="dxa"/>
            <w:vMerge w:val="continue"/>
            <w:tcBorders>
              <w:top w:val="nil"/>
              <w:bottom w:val="nil"/>
            </w:tcBorders>
            <w:vAlign w:val="top"/>
          </w:tcPr>
          <w:p w14:paraId="594433B8">
            <w:pPr>
              <w:rPr>
                <w:rFonts w:ascii="Arial"/>
                <w:sz w:val="21"/>
              </w:rPr>
            </w:pPr>
          </w:p>
        </w:tc>
        <w:tc>
          <w:tcPr>
            <w:tcW w:w="1478" w:type="dxa"/>
            <w:vMerge w:val="continue"/>
            <w:tcBorders>
              <w:top w:val="nil"/>
            </w:tcBorders>
            <w:vAlign w:val="top"/>
          </w:tcPr>
          <w:p w14:paraId="341FC41F">
            <w:pPr>
              <w:rPr>
                <w:rFonts w:ascii="Arial"/>
                <w:sz w:val="21"/>
              </w:rPr>
            </w:pPr>
          </w:p>
        </w:tc>
        <w:tc>
          <w:tcPr>
            <w:tcW w:w="1611" w:type="dxa"/>
            <w:vAlign w:val="top"/>
          </w:tcPr>
          <w:p w14:paraId="2AD62D13">
            <w:pPr>
              <w:pStyle w:val="6"/>
              <w:spacing w:before="69" w:line="219" w:lineRule="auto"/>
              <w:ind w:left="352"/>
              <w:rPr>
                <w:sz w:val="18"/>
                <w:szCs w:val="18"/>
              </w:rPr>
            </w:pPr>
            <w:r>
              <w:rPr>
                <w:spacing w:val="-2"/>
                <w:sz w:val="18"/>
                <w:szCs w:val="18"/>
              </w:rPr>
              <w:t>柱状样点数</w:t>
            </w:r>
          </w:p>
        </w:tc>
        <w:tc>
          <w:tcPr>
            <w:tcW w:w="1507" w:type="dxa"/>
            <w:vAlign w:val="top"/>
          </w:tcPr>
          <w:p w14:paraId="0506A77A">
            <w:pPr>
              <w:spacing w:before="103" w:line="185" w:lineRule="auto"/>
              <w:ind w:left="708"/>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tc>
        <w:tc>
          <w:tcPr>
            <w:tcW w:w="2024" w:type="dxa"/>
            <w:vAlign w:val="top"/>
          </w:tcPr>
          <w:p w14:paraId="304666E1">
            <w:pPr>
              <w:spacing w:before="100" w:line="188" w:lineRule="auto"/>
              <w:ind w:left="96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827" w:type="dxa"/>
            <w:vAlign w:val="top"/>
          </w:tcPr>
          <w:p w14:paraId="3E7733CE">
            <w:pPr>
              <w:pStyle w:val="6"/>
              <w:spacing w:before="69" w:line="236" w:lineRule="auto"/>
              <w:ind w:left="16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w:t>
            </w:r>
            <w:r>
              <w:rPr>
                <w:spacing w:val="-2"/>
                <w:sz w:val="18"/>
                <w:szCs w:val="18"/>
              </w:rPr>
              <w:t>～</w:t>
            </w:r>
            <w:r>
              <w:rPr>
                <w:rFonts w:ascii="Times New Roman" w:hAnsi="Times New Roman" w:eastAsia="Times New Roman" w:cs="Times New Roman"/>
                <w:spacing w:val="-2"/>
                <w:sz w:val="18"/>
                <w:szCs w:val="18"/>
              </w:rPr>
              <w:t>3m</w:t>
            </w:r>
          </w:p>
        </w:tc>
        <w:tc>
          <w:tcPr>
            <w:tcW w:w="1406" w:type="dxa"/>
            <w:vMerge w:val="continue"/>
            <w:tcBorders>
              <w:top w:val="nil"/>
            </w:tcBorders>
            <w:vAlign w:val="top"/>
          </w:tcPr>
          <w:p w14:paraId="67D22555">
            <w:pPr>
              <w:rPr>
                <w:rFonts w:ascii="Arial"/>
                <w:sz w:val="21"/>
              </w:rPr>
            </w:pPr>
          </w:p>
        </w:tc>
      </w:tr>
      <w:tr w14:paraId="3A1B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99" w:hRule="atLeast"/>
        </w:trPr>
        <w:tc>
          <w:tcPr>
            <w:tcW w:w="437" w:type="dxa"/>
            <w:vMerge w:val="continue"/>
            <w:tcBorders>
              <w:top w:val="nil"/>
            </w:tcBorders>
            <w:vAlign w:val="top"/>
          </w:tcPr>
          <w:p w14:paraId="042D49A7">
            <w:pPr>
              <w:rPr>
                <w:rFonts w:ascii="Arial"/>
                <w:sz w:val="21"/>
              </w:rPr>
            </w:pPr>
          </w:p>
        </w:tc>
        <w:tc>
          <w:tcPr>
            <w:tcW w:w="1478" w:type="dxa"/>
            <w:vAlign w:val="top"/>
          </w:tcPr>
          <w:p w14:paraId="02E3DFA1">
            <w:pPr>
              <w:pStyle w:val="6"/>
              <w:spacing w:before="265" w:line="219" w:lineRule="auto"/>
              <w:ind w:left="192"/>
              <w:rPr>
                <w:sz w:val="18"/>
                <w:szCs w:val="18"/>
              </w:rPr>
            </w:pPr>
            <w:r>
              <w:rPr>
                <w:spacing w:val="-2"/>
                <w:sz w:val="18"/>
                <w:szCs w:val="18"/>
              </w:rPr>
              <w:t>现状监测因子</w:t>
            </w:r>
          </w:p>
        </w:tc>
        <w:tc>
          <w:tcPr>
            <w:tcW w:w="5969" w:type="dxa"/>
            <w:gridSpan w:val="4"/>
            <w:vAlign w:val="top"/>
          </w:tcPr>
          <w:p w14:paraId="1C9728CD">
            <w:pPr>
              <w:pStyle w:val="6"/>
              <w:spacing w:before="34" w:line="219" w:lineRule="auto"/>
              <w:ind w:left="15"/>
              <w:rPr>
                <w:sz w:val="18"/>
                <w:szCs w:val="18"/>
              </w:rPr>
            </w:pPr>
            <w:r>
              <w:rPr>
                <w:rFonts w:ascii="Times New Roman" w:hAnsi="Times New Roman" w:eastAsia="Times New Roman" w:cs="Times New Roman"/>
                <w:spacing w:val="-1"/>
                <w:sz w:val="18"/>
                <w:szCs w:val="18"/>
              </w:rPr>
              <w:t>GB36600-2018</w:t>
            </w:r>
            <w:r>
              <w:rPr>
                <w:rFonts w:ascii="Times New Roman" w:hAnsi="Times New Roman" w:eastAsia="Times New Roman" w:cs="Times New Roman"/>
                <w:spacing w:val="21"/>
                <w:w w:val="101"/>
                <w:sz w:val="18"/>
                <w:szCs w:val="18"/>
              </w:rPr>
              <w:t xml:space="preserve"> </w:t>
            </w:r>
            <w:r>
              <w:rPr>
                <w:spacing w:val="-1"/>
                <w:sz w:val="18"/>
                <w:szCs w:val="18"/>
              </w:rPr>
              <w:t>中表</w:t>
            </w:r>
            <w:r>
              <w:rPr>
                <w:spacing w:val="-24"/>
                <w:sz w:val="18"/>
                <w:szCs w:val="18"/>
              </w:rPr>
              <w:t xml:space="preserve"> </w:t>
            </w:r>
            <w:r>
              <w:rPr>
                <w:rFonts w:ascii="Times New Roman" w:hAnsi="Times New Roman" w:eastAsia="Times New Roman" w:cs="Times New Roman"/>
                <w:spacing w:val="-1"/>
                <w:sz w:val="18"/>
                <w:szCs w:val="18"/>
              </w:rPr>
              <w:t xml:space="preserve">1 </w:t>
            </w:r>
            <w:r>
              <w:rPr>
                <w:spacing w:val="-1"/>
                <w:sz w:val="18"/>
                <w:szCs w:val="18"/>
              </w:rPr>
              <w:t>全</w:t>
            </w:r>
            <w:r>
              <w:rPr>
                <w:spacing w:val="-41"/>
                <w:sz w:val="18"/>
                <w:szCs w:val="18"/>
              </w:rPr>
              <w:t xml:space="preserve"> </w:t>
            </w:r>
            <w:r>
              <w:rPr>
                <w:rFonts w:ascii="Times New Roman" w:hAnsi="Times New Roman" w:eastAsia="Times New Roman" w:cs="Times New Roman"/>
                <w:spacing w:val="-1"/>
                <w:sz w:val="18"/>
                <w:szCs w:val="18"/>
              </w:rPr>
              <w:t xml:space="preserve">45 </w:t>
            </w:r>
            <w:r>
              <w:rPr>
                <w:spacing w:val="-1"/>
                <w:sz w:val="18"/>
                <w:szCs w:val="18"/>
              </w:rPr>
              <w:t>项（包含重金属和无机物、</w:t>
            </w:r>
            <w:r>
              <w:rPr>
                <w:spacing w:val="-2"/>
                <w:sz w:val="18"/>
                <w:szCs w:val="18"/>
              </w:rPr>
              <w:t>半挥发性有机物、挥</w:t>
            </w:r>
          </w:p>
          <w:p w14:paraId="10CBAED7">
            <w:pPr>
              <w:pStyle w:val="6"/>
              <w:spacing w:before="19" w:line="212" w:lineRule="auto"/>
              <w:ind w:left="21"/>
              <w:rPr>
                <w:sz w:val="18"/>
                <w:szCs w:val="18"/>
              </w:rPr>
            </w:pPr>
            <w:r>
              <w:rPr>
                <w:spacing w:val="-2"/>
                <w:sz w:val="18"/>
                <w:szCs w:val="18"/>
              </w:rPr>
              <w:t>发性有机物</w:t>
            </w:r>
            <w:r>
              <w:rPr>
                <w:spacing w:val="4"/>
                <w:sz w:val="18"/>
                <w:szCs w:val="18"/>
              </w:rPr>
              <w:t>），</w:t>
            </w:r>
            <w:r>
              <w:rPr>
                <w:rFonts w:ascii="Times New Roman" w:hAnsi="Times New Roman" w:eastAsia="Times New Roman" w:cs="Times New Roman"/>
                <w:spacing w:val="-2"/>
                <w:sz w:val="18"/>
                <w:szCs w:val="18"/>
              </w:rPr>
              <w:t xml:space="preserve">GB15618-2018 </w:t>
            </w:r>
            <w:r>
              <w:rPr>
                <w:spacing w:val="-2"/>
                <w:sz w:val="18"/>
                <w:szCs w:val="18"/>
              </w:rPr>
              <w:t>表</w:t>
            </w:r>
            <w:r>
              <w:rPr>
                <w:spacing w:val="-24"/>
                <w:sz w:val="18"/>
                <w:szCs w:val="18"/>
              </w:rPr>
              <w:t xml:space="preserve"> </w:t>
            </w:r>
            <w:r>
              <w:rPr>
                <w:rFonts w:ascii="Times New Roman" w:hAnsi="Times New Roman" w:eastAsia="Times New Roman" w:cs="Times New Roman"/>
                <w:spacing w:val="-2"/>
                <w:sz w:val="18"/>
                <w:szCs w:val="18"/>
              </w:rPr>
              <w:t>1</w:t>
            </w:r>
            <w:r>
              <w:rPr>
                <w:rFonts w:ascii="Times New Roman" w:hAnsi="Times New Roman" w:eastAsia="Times New Roman" w:cs="Times New Roman"/>
                <w:spacing w:val="24"/>
                <w:sz w:val="18"/>
                <w:szCs w:val="18"/>
              </w:rPr>
              <w:t xml:space="preserve"> </w:t>
            </w:r>
            <w:r>
              <w:rPr>
                <w:spacing w:val="-2"/>
                <w:sz w:val="18"/>
                <w:szCs w:val="18"/>
              </w:rPr>
              <w:t>中</w:t>
            </w:r>
            <w:r>
              <w:rPr>
                <w:spacing w:val="-34"/>
                <w:sz w:val="18"/>
                <w:szCs w:val="18"/>
              </w:rPr>
              <w:t xml:space="preserve"> </w:t>
            </w:r>
            <w:r>
              <w:rPr>
                <w:rFonts w:ascii="Times New Roman" w:hAnsi="Times New Roman" w:eastAsia="Times New Roman" w:cs="Times New Roman"/>
                <w:spacing w:val="-2"/>
                <w:sz w:val="18"/>
                <w:szCs w:val="18"/>
              </w:rPr>
              <w:t xml:space="preserve">8 </w:t>
            </w:r>
            <w:r>
              <w:rPr>
                <w:spacing w:val="-2"/>
                <w:sz w:val="18"/>
                <w:szCs w:val="18"/>
              </w:rPr>
              <w:t>项，以及</w:t>
            </w:r>
            <w:r>
              <w:rPr>
                <w:spacing w:val="-44"/>
                <w:sz w:val="18"/>
                <w:szCs w:val="18"/>
              </w:rPr>
              <w:t xml:space="preserve"> </w:t>
            </w:r>
            <w:r>
              <w:rPr>
                <w:rFonts w:ascii="Times New Roman" w:hAnsi="Times New Roman" w:eastAsia="Times New Roman" w:cs="Times New Roman"/>
                <w:spacing w:val="-2"/>
                <w:sz w:val="18"/>
                <w:szCs w:val="18"/>
              </w:rPr>
              <w:t>pH</w:t>
            </w:r>
            <w:r>
              <w:rPr>
                <w:spacing w:val="-2"/>
                <w:sz w:val="18"/>
                <w:szCs w:val="18"/>
              </w:rPr>
              <w:t>、阳离子交换量、氧化</w:t>
            </w:r>
          </w:p>
          <w:p w14:paraId="119DA61B">
            <w:pPr>
              <w:pStyle w:val="6"/>
              <w:spacing w:before="25" w:line="194" w:lineRule="auto"/>
              <w:ind w:left="1273"/>
              <w:rPr>
                <w:sz w:val="18"/>
                <w:szCs w:val="18"/>
              </w:rPr>
            </w:pPr>
            <w:r>
              <w:rPr>
                <w:spacing w:val="-1"/>
                <w:sz w:val="18"/>
                <w:szCs w:val="18"/>
              </w:rPr>
              <w:t>还原电位、饱和导水率、土壤容重、孔隙度</w:t>
            </w:r>
          </w:p>
        </w:tc>
        <w:tc>
          <w:tcPr>
            <w:tcW w:w="1406" w:type="dxa"/>
            <w:vAlign w:val="top"/>
          </w:tcPr>
          <w:p w14:paraId="1D7325CC">
            <w:pPr>
              <w:rPr>
                <w:rFonts w:ascii="Arial"/>
                <w:sz w:val="21"/>
              </w:rPr>
            </w:pPr>
          </w:p>
        </w:tc>
      </w:tr>
      <w:tr w14:paraId="1BBD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6" w:hRule="atLeast"/>
        </w:trPr>
        <w:tc>
          <w:tcPr>
            <w:tcW w:w="437" w:type="dxa"/>
            <w:vMerge w:val="restart"/>
            <w:tcBorders>
              <w:bottom w:val="nil"/>
            </w:tcBorders>
            <w:vAlign w:val="top"/>
          </w:tcPr>
          <w:p w14:paraId="0492ED2C">
            <w:pPr>
              <w:spacing w:line="273" w:lineRule="auto"/>
              <w:rPr>
                <w:rFonts w:ascii="Arial"/>
                <w:sz w:val="21"/>
              </w:rPr>
            </w:pPr>
          </w:p>
          <w:p w14:paraId="74AEF4BF">
            <w:pPr>
              <w:pStyle w:val="6"/>
              <w:spacing w:before="59" w:line="228" w:lineRule="auto"/>
              <w:ind w:left="34" w:right="33" w:firstLine="2"/>
              <w:rPr>
                <w:sz w:val="18"/>
                <w:szCs w:val="18"/>
              </w:rPr>
            </w:pPr>
            <w:r>
              <w:rPr>
                <w:spacing w:val="-5"/>
                <w:sz w:val="18"/>
                <w:szCs w:val="18"/>
              </w:rPr>
              <w:t>现状</w:t>
            </w:r>
            <w:r>
              <w:rPr>
                <w:sz w:val="18"/>
                <w:szCs w:val="18"/>
              </w:rPr>
              <w:t xml:space="preserve"> </w:t>
            </w:r>
            <w:r>
              <w:rPr>
                <w:spacing w:val="-4"/>
                <w:sz w:val="18"/>
                <w:szCs w:val="18"/>
              </w:rPr>
              <w:t>评价</w:t>
            </w:r>
          </w:p>
        </w:tc>
        <w:tc>
          <w:tcPr>
            <w:tcW w:w="1478" w:type="dxa"/>
            <w:vAlign w:val="top"/>
          </w:tcPr>
          <w:p w14:paraId="0FC5534A">
            <w:pPr>
              <w:pStyle w:val="6"/>
              <w:spacing w:before="280" w:line="218" w:lineRule="auto"/>
              <w:ind w:left="370"/>
              <w:rPr>
                <w:sz w:val="18"/>
                <w:szCs w:val="18"/>
              </w:rPr>
            </w:pPr>
            <w:r>
              <w:rPr>
                <w:spacing w:val="-2"/>
                <w:sz w:val="18"/>
                <w:szCs w:val="18"/>
              </w:rPr>
              <w:t>评价因子</w:t>
            </w:r>
          </w:p>
        </w:tc>
        <w:tc>
          <w:tcPr>
            <w:tcW w:w="5969" w:type="dxa"/>
            <w:gridSpan w:val="4"/>
            <w:vAlign w:val="top"/>
          </w:tcPr>
          <w:p w14:paraId="4DCB8416">
            <w:pPr>
              <w:pStyle w:val="6"/>
              <w:spacing w:before="44" w:line="219" w:lineRule="auto"/>
              <w:ind w:left="15"/>
              <w:rPr>
                <w:sz w:val="18"/>
                <w:szCs w:val="18"/>
              </w:rPr>
            </w:pPr>
            <w:r>
              <w:rPr>
                <w:rFonts w:ascii="Times New Roman" w:hAnsi="Times New Roman" w:eastAsia="Times New Roman" w:cs="Times New Roman"/>
                <w:spacing w:val="-1"/>
                <w:sz w:val="18"/>
                <w:szCs w:val="18"/>
              </w:rPr>
              <w:t>GB36600-2018</w:t>
            </w:r>
            <w:r>
              <w:rPr>
                <w:rFonts w:ascii="Times New Roman" w:hAnsi="Times New Roman" w:eastAsia="Times New Roman" w:cs="Times New Roman"/>
                <w:spacing w:val="21"/>
                <w:w w:val="101"/>
                <w:sz w:val="18"/>
                <w:szCs w:val="18"/>
              </w:rPr>
              <w:t xml:space="preserve"> </w:t>
            </w:r>
            <w:r>
              <w:rPr>
                <w:spacing w:val="-1"/>
                <w:sz w:val="18"/>
                <w:szCs w:val="18"/>
              </w:rPr>
              <w:t>中表</w:t>
            </w:r>
            <w:r>
              <w:rPr>
                <w:spacing w:val="-24"/>
                <w:sz w:val="18"/>
                <w:szCs w:val="18"/>
              </w:rPr>
              <w:t xml:space="preserve"> </w:t>
            </w:r>
            <w:r>
              <w:rPr>
                <w:rFonts w:ascii="Times New Roman" w:hAnsi="Times New Roman" w:eastAsia="Times New Roman" w:cs="Times New Roman"/>
                <w:spacing w:val="-1"/>
                <w:sz w:val="18"/>
                <w:szCs w:val="18"/>
              </w:rPr>
              <w:t xml:space="preserve">1 </w:t>
            </w:r>
            <w:r>
              <w:rPr>
                <w:spacing w:val="-1"/>
                <w:sz w:val="18"/>
                <w:szCs w:val="18"/>
              </w:rPr>
              <w:t>全</w:t>
            </w:r>
            <w:r>
              <w:rPr>
                <w:spacing w:val="-41"/>
                <w:sz w:val="18"/>
                <w:szCs w:val="18"/>
              </w:rPr>
              <w:t xml:space="preserve"> </w:t>
            </w:r>
            <w:r>
              <w:rPr>
                <w:rFonts w:ascii="Times New Roman" w:hAnsi="Times New Roman" w:eastAsia="Times New Roman" w:cs="Times New Roman"/>
                <w:spacing w:val="-1"/>
                <w:sz w:val="18"/>
                <w:szCs w:val="18"/>
              </w:rPr>
              <w:t xml:space="preserve">45 </w:t>
            </w:r>
            <w:r>
              <w:rPr>
                <w:spacing w:val="-1"/>
                <w:sz w:val="18"/>
                <w:szCs w:val="18"/>
              </w:rPr>
              <w:t>项（包含重金属和无机物、</w:t>
            </w:r>
            <w:r>
              <w:rPr>
                <w:spacing w:val="-2"/>
                <w:sz w:val="18"/>
                <w:szCs w:val="18"/>
              </w:rPr>
              <w:t>半挥发性有机物、挥</w:t>
            </w:r>
          </w:p>
          <w:p w14:paraId="0ED72DFB">
            <w:pPr>
              <w:pStyle w:val="6"/>
              <w:spacing w:before="19" w:line="212" w:lineRule="auto"/>
              <w:ind w:left="21"/>
              <w:rPr>
                <w:sz w:val="18"/>
                <w:szCs w:val="18"/>
              </w:rPr>
            </w:pPr>
            <w:r>
              <w:rPr>
                <w:spacing w:val="-2"/>
                <w:sz w:val="18"/>
                <w:szCs w:val="18"/>
              </w:rPr>
              <w:t>发性有机物</w:t>
            </w:r>
            <w:r>
              <w:rPr>
                <w:spacing w:val="4"/>
                <w:sz w:val="18"/>
                <w:szCs w:val="18"/>
              </w:rPr>
              <w:t>），</w:t>
            </w:r>
            <w:r>
              <w:rPr>
                <w:rFonts w:ascii="Times New Roman" w:hAnsi="Times New Roman" w:eastAsia="Times New Roman" w:cs="Times New Roman"/>
                <w:spacing w:val="-2"/>
                <w:sz w:val="18"/>
                <w:szCs w:val="18"/>
              </w:rPr>
              <w:t xml:space="preserve">GB15618-2018 </w:t>
            </w:r>
            <w:r>
              <w:rPr>
                <w:spacing w:val="-2"/>
                <w:sz w:val="18"/>
                <w:szCs w:val="18"/>
              </w:rPr>
              <w:t>表</w:t>
            </w:r>
            <w:r>
              <w:rPr>
                <w:spacing w:val="-24"/>
                <w:sz w:val="18"/>
                <w:szCs w:val="18"/>
              </w:rPr>
              <w:t xml:space="preserve"> </w:t>
            </w:r>
            <w:r>
              <w:rPr>
                <w:rFonts w:ascii="Times New Roman" w:hAnsi="Times New Roman" w:eastAsia="Times New Roman" w:cs="Times New Roman"/>
                <w:spacing w:val="-2"/>
                <w:sz w:val="18"/>
                <w:szCs w:val="18"/>
              </w:rPr>
              <w:t>1</w:t>
            </w:r>
            <w:r>
              <w:rPr>
                <w:rFonts w:ascii="Times New Roman" w:hAnsi="Times New Roman" w:eastAsia="Times New Roman" w:cs="Times New Roman"/>
                <w:spacing w:val="24"/>
                <w:sz w:val="18"/>
                <w:szCs w:val="18"/>
              </w:rPr>
              <w:t xml:space="preserve"> </w:t>
            </w:r>
            <w:r>
              <w:rPr>
                <w:spacing w:val="-2"/>
                <w:sz w:val="18"/>
                <w:szCs w:val="18"/>
              </w:rPr>
              <w:t>中</w:t>
            </w:r>
            <w:r>
              <w:rPr>
                <w:spacing w:val="-34"/>
                <w:sz w:val="18"/>
                <w:szCs w:val="18"/>
              </w:rPr>
              <w:t xml:space="preserve"> </w:t>
            </w:r>
            <w:r>
              <w:rPr>
                <w:rFonts w:ascii="Times New Roman" w:hAnsi="Times New Roman" w:eastAsia="Times New Roman" w:cs="Times New Roman"/>
                <w:spacing w:val="-2"/>
                <w:sz w:val="18"/>
                <w:szCs w:val="18"/>
              </w:rPr>
              <w:t xml:space="preserve">8 </w:t>
            </w:r>
            <w:r>
              <w:rPr>
                <w:spacing w:val="-2"/>
                <w:sz w:val="18"/>
                <w:szCs w:val="18"/>
              </w:rPr>
              <w:t>项，以及</w:t>
            </w:r>
            <w:r>
              <w:rPr>
                <w:spacing w:val="-44"/>
                <w:sz w:val="18"/>
                <w:szCs w:val="18"/>
              </w:rPr>
              <w:t xml:space="preserve"> </w:t>
            </w:r>
            <w:r>
              <w:rPr>
                <w:rFonts w:ascii="Times New Roman" w:hAnsi="Times New Roman" w:eastAsia="Times New Roman" w:cs="Times New Roman"/>
                <w:spacing w:val="-2"/>
                <w:sz w:val="18"/>
                <w:szCs w:val="18"/>
              </w:rPr>
              <w:t>pH</w:t>
            </w:r>
            <w:r>
              <w:rPr>
                <w:spacing w:val="-2"/>
                <w:sz w:val="18"/>
                <w:szCs w:val="18"/>
              </w:rPr>
              <w:t>、阳离子交换量、氧化</w:t>
            </w:r>
          </w:p>
          <w:p w14:paraId="791D673C">
            <w:pPr>
              <w:pStyle w:val="6"/>
              <w:spacing w:before="25" w:line="211" w:lineRule="auto"/>
              <w:ind w:left="1273"/>
              <w:rPr>
                <w:sz w:val="18"/>
                <w:szCs w:val="18"/>
              </w:rPr>
            </w:pPr>
            <w:r>
              <w:rPr>
                <w:spacing w:val="-1"/>
                <w:sz w:val="18"/>
                <w:szCs w:val="18"/>
              </w:rPr>
              <w:t>还原电位、饱和导水率、土壤容重、孔隙度</w:t>
            </w:r>
          </w:p>
        </w:tc>
        <w:tc>
          <w:tcPr>
            <w:tcW w:w="1406" w:type="dxa"/>
            <w:vAlign w:val="top"/>
          </w:tcPr>
          <w:p w14:paraId="2E0B1FE9">
            <w:pPr>
              <w:rPr>
                <w:rFonts w:ascii="Arial"/>
                <w:sz w:val="21"/>
              </w:rPr>
            </w:pPr>
          </w:p>
        </w:tc>
      </w:tr>
      <w:tr w14:paraId="449D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2" w:hRule="atLeast"/>
        </w:trPr>
        <w:tc>
          <w:tcPr>
            <w:tcW w:w="437" w:type="dxa"/>
            <w:vMerge w:val="continue"/>
            <w:tcBorders>
              <w:top w:val="nil"/>
            </w:tcBorders>
            <w:vAlign w:val="top"/>
          </w:tcPr>
          <w:p w14:paraId="45A7F6F1">
            <w:pPr>
              <w:rPr>
                <w:rFonts w:ascii="Arial"/>
                <w:sz w:val="21"/>
              </w:rPr>
            </w:pPr>
          </w:p>
        </w:tc>
        <w:tc>
          <w:tcPr>
            <w:tcW w:w="1478" w:type="dxa"/>
            <w:vAlign w:val="top"/>
          </w:tcPr>
          <w:p w14:paraId="219ECECF">
            <w:pPr>
              <w:pStyle w:val="6"/>
              <w:spacing w:before="79" w:line="218" w:lineRule="auto"/>
              <w:ind w:left="370"/>
              <w:rPr>
                <w:sz w:val="18"/>
                <w:szCs w:val="18"/>
              </w:rPr>
            </w:pPr>
            <w:r>
              <w:rPr>
                <w:spacing w:val="-2"/>
                <w:sz w:val="18"/>
                <w:szCs w:val="18"/>
              </w:rPr>
              <w:t>评价标准</w:t>
            </w:r>
          </w:p>
        </w:tc>
        <w:tc>
          <w:tcPr>
            <w:tcW w:w="5969" w:type="dxa"/>
            <w:gridSpan w:val="4"/>
            <w:vAlign w:val="top"/>
          </w:tcPr>
          <w:p w14:paraId="37CCFF52">
            <w:pPr>
              <w:pStyle w:val="6"/>
              <w:spacing w:before="79" w:line="220" w:lineRule="auto"/>
              <w:ind w:left="3"/>
              <w:rPr>
                <w:sz w:val="18"/>
                <w:szCs w:val="18"/>
              </w:rPr>
            </w:pPr>
            <w:r>
              <w:rPr>
                <w:rFonts w:ascii="Times New Roman" w:hAnsi="Times New Roman" w:eastAsia="Times New Roman" w:cs="Times New Roman"/>
                <w:spacing w:val="-7"/>
                <w:sz w:val="18"/>
                <w:szCs w:val="18"/>
              </w:rPr>
              <w:t>GB15618</w:t>
            </w:r>
            <w:r>
              <w:rPr>
                <w:rFonts w:ascii="MS Gothic" w:hAnsi="MS Gothic" w:eastAsia="MS Gothic" w:cs="MS Gothic"/>
                <w:spacing w:val="-7"/>
                <w:sz w:val="18"/>
                <w:szCs w:val="18"/>
              </w:rPr>
              <w:t>☑</w:t>
            </w:r>
            <w:r>
              <w:rPr>
                <w:spacing w:val="-7"/>
                <w:sz w:val="18"/>
                <w:szCs w:val="18"/>
              </w:rPr>
              <w:t>;</w:t>
            </w:r>
            <w:r>
              <w:rPr>
                <w:spacing w:val="52"/>
                <w:sz w:val="18"/>
                <w:szCs w:val="18"/>
              </w:rPr>
              <w:t xml:space="preserve"> </w:t>
            </w:r>
            <w:r>
              <w:rPr>
                <w:rFonts w:ascii="Times New Roman" w:hAnsi="Times New Roman" w:eastAsia="Times New Roman" w:cs="Times New Roman"/>
                <w:spacing w:val="-7"/>
                <w:sz w:val="18"/>
                <w:szCs w:val="18"/>
              </w:rPr>
              <w:t>GB36600</w:t>
            </w:r>
            <w:r>
              <w:rPr>
                <w:rFonts w:ascii="MS Gothic" w:hAnsi="MS Gothic" w:eastAsia="MS Gothic" w:cs="MS Gothic"/>
                <w:spacing w:val="-7"/>
                <w:sz w:val="18"/>
                <w:szCs w:val="18"/>
              </w:rPr>
              <w:t>☑</w:t>
            </w:r>
            <w:r>
              <w:rPr>
                <w:spacing w:val="-7"/>
                <w:sz w:val="18"/>
                <w:szCs w:val="18"/>
              </w:rPr>
              <w:t>;</w:t>
            </w:r>
            <w:r>
              <w:rPr>
                <w:spacing w:val="48"/>
                <w:sz w:val="18"/>
                <w:szCs w:val="18"/>
              </w:rPr>
              <w:t xml:space="preserve"> </w:t>
            </w:r>
            <w:r>
              <w:rPr>
                <w:spacing w:val="-7"/>
                <w:sz w:val="18"/>
                <w:szCs w:val="18"/>
              </w:rPr>
              <w:t xml:space="preserve">表 </w:t>
            </w:r>
            <w:r>
              <w:rPr>
                <w:rFonts w:ascii="Times New Roman" w:hAnsi="Times New Roman" w:eastAsia="Times New Roman" w:cs="Times New Roman"/>
                <w:spacing w:val="-7"/>
                <w:sz w:val="18"/>
                <w:szCs w:val="18"/>
              </w:rPr>
              <w:t>D.</w:t>
            </w:r>
            <w:r>
              <w:rPr>
                <w:rFonts w:ascii="Times New Roman" w:hAnsi="Times New Roman" w:eastAsia="Times New Roman" w:cs="Times New Roman"/>
                <w:spacing w:val="-23"/>
                <w:sz w:val="18"/>
                <w:szCs w:val="18"/>
              </w:rPr>
              <w:t xml:space="preserve"> </w:t>
            </w:r>
            <w:r>
              <w:rPr>
                <w:rFonts w:ascii="Times New Roman" w:hAnsi="Times New Roman" w:eastAsia="Times New Roman" w:cs="Times New Roman"/>
                <w:spacing w:val="-7"/>
                <w:sz w:val="18"/>
                <w:szCs w:val="18"/>
              </w:rPr>
              <w:t>1</w:t>
            </w:r>
            <w:r>
              <w:rPr>
                <w:spacing w:val="-7"/>
                <w:sz w:val="18"/>
                <w:szCs w:val="18"/>
              </w:rPr>
              <w:t>□;</w:t>
            </w:r>
            <w:r>
              <w:rPr>
                <w:spacing w:val="48"/>
                <w:sz w:val="18"/>
                <w:szCs w:val="18"/>
              </w:rPr>
              <w:t xml:space="preserve"> </w:t>
            </w:r>
            <w:r>
              <w:rPr>
                <w:spacing w:val="-7"/>
                <w:sz w:val="18"/>
                <w:szCs w:val="18"/>
              </w:rPr>
              <w:t xml:space="preserve">表 </w:t>
            </w:r>
            <w:r>
              <w:rPr>
                <w:rFonts w:ascii="Times New Roman" w:hAnsi="Times New Roman" w:eastAsia="Times New Roman" w:cs="Times New Roman"/>
                <w:spacing w:val="-7"/>
                <w:sz w:val="18"/>
                <w:szCs w:val="18"/>
              </w:rPr>
              <w:t>D.2</w:t>
            </w:r>
            <w:r>
              <w:rPr>
                <w:spacing w:val="-7"/>
                <w:sz w:val="18"/>
                <w:szCs w:val="18"/>
              </w:rPr>
              <w:t>□;</w:t>
            </w:r>
            <w:r>
              <w:rPr>
                <w:spacing w:val="50"/>
                <w:sz w:val="18"/>
                <w:szCs w:val="18"/>
              </w:rPr>
              <w:t xml:space="preserve"> </w:t>
            </w:r>
            <w:r>
              <w:rPr>
                <w:spacing w:val="-7"/>
                <w:sz w:val="18"/>
                <w:szCs w:val="18"/>
              </w:rPr>
              <w:t>其他</w:t>
            </w:r>
            <w:r>
              <w:rPr>
                <w:spacing w:val="12"/>
                <w:sz w:val="18"/>
                <w:szCs w:val="18"/>
              </w:rPr>
              <w:t xml:space="preserve"> </w:t>
            </w:r>
            <w:r>
              <w:rPr>
                <w:spacing w:val="-7"/>
                <w:sz w:val="18"/>
                <w:szCs w:val="18"/>
              </w:rPr>
              <w:t>()</w:t>
            </w:r>
          </w:p>
        </w:tc>
        <w:tc>
          <w:tcPr>
            <w:tcW w:w="1406" w:type="dxa"/>
            <w:vAlign w:val="top"/>
          </w:tcPr>
          <w:p w14:paraId="1FB10AD2">
            <w:pPr>
              <w:rPr>
                <w:rFonts w:ascii="Arial"/>
                <w:sz w:val="21"/>
              </w:rPr>
            </w:pPr>
          </w:p>
        </w:tc>
      </w:tr>
    </w:tbl>
    <w:p w14:paraId="210AE1BB">
      <w:pPr>
        <w:pStyle w:val="2"/>
      </w:pPr>
    </w:p>
    <w:p w14:paraId="625533DC">
      <w:pPr>
        <w:sectPr>
          <w:headerReference r:id="rId364" w:type="default"/>
          <w:footerReference r:id="rId365" w:type="default"/>
          <w:pgSz w:w="11906" w:h="16839"/>
          <w:pgMar w:top="1191" w:right="1300" w:bottom="1569" w:left="1300" w:header="882" w:footer="1407" w:gutter="0"/>
          <w:cols w:space="720" w:num="1"/>
        </w:sectPr>
      </w:pPr>
    </w:p>
    <w:p w14:paraId="681454DD">
      <w:pPr>
        <w:spacing w:line="28" w:lineRule="exact"/>
        <w:ind w:firstLine="116"/>
      </w:pPr>
      <w:r>
        <w:pict>
          <v:shape id="_x0000_s1847" o:spid="_x0000_s1847" style="height:1.45pt;width:453.65pt;" fillcolor="#000000" filled="t" stroked="f" coordsize="9072,29" path="m0,0l9072,0,9072,28,0,28,0,0xe">
            <v:path/>
            <v:fill on="t" focussize="0,0"/>
            <v:stroke on="f"/>
            <v:imagedata o:title=""/>
            <o:lock v:ext="edit"/>
            <w10:wrap type="none"/>
            <w10:anchorlock/>
          </v:shape>
        </w:pict>
      </w:r>
    </w:p>
    <w:p w14:paraId="57A77EE2">
      <w:pPr>
        <w:spacing w:line="196" w:lineRule="exact"/>
      </w:pPr>
    </w:p>
    <w:tbl>
      <w:tblPr>
        <w:tblStyle w:val="5"/>
        <w:tblW w:w="9290"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437"/>
        <w:gridCol w:w="1477"/>
        <w:gridCol w:w="850"/>
        <w:gridCol w:w="4293"/>
        <w:gridCol w:w="827"/>
        <w:gridCol w:w="1406"/>
      </w:tblGrid>
      <w:tr w14:paraId="14F3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8" w:hRule="atLeast"/>
        </w:trPr>
        <w:tc>
          <w:tcPr>
            <w:tcW w:w="1914" w:type="dxa"/>
            <w:gridSpan w:val="2"/>
            <w:vAlign w:val="top"/>
          </w:tcPr>
          <w:p w14:paraId="6F254ACD">
            <w:pPr>
              <w:pStyle w:val="6"/>
              <w:spacing w:before="73" w:line="219" w:lineRule="auto"/>
              <w:ind w:left="596"/>
              <w:rPr>
                <w:sz w:val="18"/>
                <w:szCs w:val="18"/>
              </w:rPr>
            </w:pPr>
            <w:r>
              <w:rPr>
                <w:spacing w:val="-3"/>
                <w:sz w:val="18"/>
                <w:szCs w:val="18"/>
              </w:rPr>
              <w:t>工作内容</w:t>
            </w:r>
          </w:p>
        </w:tc>
        <w:tc>
          <w:tcPr>
            <w:tcW w:w="5970" w:type="dxa"/>
            <w:gridSpan w:val="3"/>
            <w:vAlign w:val="top"/>
          </w:tcPr>
          <w:p w14:paraId="2EE5EEE1">
            <w:pPr>
              <w:pStyle w:val="6"/>
              <w:spacing w:before="73" w:line="219" w:lineRule="auto"/>
              <w:ind w:left="2625"/>
              <w:rPr>
                <w:sz w:val="18"/>
                <w:szCs w:val="18"/>
              </w:rPr>
            </w:pPr>
            <w:r>
              <w:rPr>
                <w:spacing w:val="-3"/>
                <w:sz w:val="18"/>
                <w:szCs w:val="18"/>
              </w:rPr>
              <w:t>完成情况</w:t>
            </w:r>
          </w:p>
        </w:tc>
        <w:tc>
          <w:tcPr>
            <w:tcW w:w="1406" w:type="dxa"/>
            <w:vAlign w:val="top"/>
          </w:tcPr>
          <w:p w14:paraId="0CDB4C74">
            <w:pPr>
              <w:pStyle w:val="6"/>
              <w:spacing w:before="72" w:line="221" w:lineRule="auto"/>
              <w:ind w:left="524"/>
              <w:rPr>
                <w:sz w:val="18"/>
                <w:szCs w:val="18"/>
              </w:rPr>
            </w:pPr>
            <w:r>
              <w:rPr>
                <w:spacing w:val="-5"/>
                <w:sz w:val="18"/>
                <w:szCs w:val="18"/>
              </w:rPr>
              <w:t>备注</w:t>
            </w:r>
          </w:p>
        </w:tc>
      </w:tr>
      <w:tr w14:paraId="62F2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4" w:hRule="atLeast"/>
        </w:trPr>
        <w:tc>
          <w:tcPr>
            <w:tcW w:w="437" w:type="dxa"/>
            <w:vAlign w:val="top"/>
          </w:tcPr>
          <w:p w14:paraId="653EEFFB">
            <w:pPr>
              <w:rPr>
                <w:rFonts w:ascii="Arial"/>
                <w:sz w:val="21"/>
              </w:rPr>
            </w:pPr>
          </w:p>
        </w:tc>
        <w:tc>
          <w:tcPr>
            <w:tcW w:w="1477" w:type="dxa"/>
            <w:vAlign w:val="top"/>
          </w:tcPr>
          <w:p w14:paraId="0FECF74A">
            <w:pPr>
              <w:pStyle w:val="6"/>
              <w:spacing w:before="65" w:line="218" w:lineRule="auto"/>
              <w:ind w:left="192"/>
              <w:rPr>
                <w:sz w:val="18"/>
                <w:szCs w:val="18"/>
              </w:rPr>
            </w:pPr>
            <w:r>
              <w:rPr>
                <w:spacing w:val="-2"/>
                <w:sz w:val="18"/>
                <w:szCs w:val="18"/>
              </w:rPr>
              <w:t>现状评价结论</w:t>
            </w:r>
          </w:p>
        </w:tc>
        <w:tc>
          <w:tcPr>
            <w:tcW w:w="5970" w:type="dxa"/>
            <w:gridSpan w:val="3"/>
            <w:vAlign w:val="top"/>
          </w:tcPr>
          <w:p w14:paraId="53D9D948">
            <w:pPr>
              <w:pStyle w:val="6"/>
              <w:spacing w:before="65" w:line="220" w:lineRule="auto"/>
              <w:ind w:left="6"/>
              <w:rPr>
                <w:sz w:val="18"/>
                <w:szCs w:val="18"/>
              </w:rPr>
            </w:pPr>
            <w:r>
              <w:rPr>
                <w:spacing w:val="-6"/>
                <w:sz w:val="18"/>
                <w:szCs w:val="18"/>
              </w:rPr>
              <w:t>土壤环境影响较小。</w:t>
            </w:r>
          </w:p>
        </w:tc>
        <w:tc>
          <w:tcPr>
            <w:tcW w:w="1406" w:type="dxa"/>
            <w:vAlign w:val="top"/>
          </w:tcPr>
          <w:p w14:paraId="3DC1CE7B">
            <w:pPr>
              <w:rPr>
                <w:rFonts w:ascii="Arial"/>
                <w:sz w:val="21"/>
              </w:rPr>
            </w:pPr>
          </w:p>
        </w:tc>
      </w:tr>
      <w:tr w14:paraId="7FD41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4" w:hRule="atLeast"/>
        </w:trPr>
        <w:tc>
          <w:tcPr>
            <w:tcW w:w="437" w:type="dxa"/>
            <w:vMerge w:val="restart"/>
            <w:tcBorders>
              <w:bottom w:val="nil"/>
            </w:tcBorders>
            <w:textDirection w:val="tbRlV"/>
            <w:vAlign w:val="top"/>
          </w:tcPr>
          <w:p w14:paraId="249709E3">
            <w:pPr>
              <w:pStyle w:val="6"/>
              <w:spacing w:before="124" w:line="208" w:lineRule="auto"/>
              <w:ind w:left="302"/>
              <w:rPr>
                <w:sz w:val="18"/>
                <w:szCs w:val="18"/>
              </w:rPr>
            </w:pPr>
            <w:r>
              <w:rPr>
                <w:spacing w:val="39"/>
                <w:sz w:val="18"/>
                <w:szCs w:val="18"/>
              </w:rPr>
              <w:t>影响预测</w:t>
            </w:r>
          </w:p>
        </w:tc>
        <w:tc>
          <w:tcPr>
            <w:tcW w:w="1477" w:type="dxa"/>
            <w:vAlign w:val="top"/>
          </w:tcPr>
          <w:p w14:paraId="36122009">
            <w:pPr>
              <w:pStyle w:val="6"/>
              <w:spacing w:before="67" w:line="219" w:lineRule="auto"/>
              <w:ind w:left="372"/>
              <w:rPr>
                <w:sz w:val="18"/>
                <w:szCs w:val="18"/>
              </w:rPr>
            </w:pPr>
            <w:r>
              <w:rPr>
                <w:spacing w:val="-3"/>
                <w:sz w:val="18"/>
                <w:szCs w:val="18"/>
              </w:rPr>
              <w:t>预测因子</w:t>
            </w:r>
          </w:p>
        </w:tc>
        <w:tc>
          <w:tcPr>
            <w:tcW w:w="5970" w:type="dxa"/>
            <w:gridSpan w:val="3"/>
            <w:vAlign w:val="top"/>
          </w:tcPr>
          <w:p w14:paraId="59E3BCF3">
            <w:pPr>
              <w:pStyle w:val="6"/>
              <w:spacing w:before="67" w:line="217" w:lineRule="auto"/>
              <w:ind w:left="5"/>
              <w:rPr>
                <w:sz w:val="18"/>
                <w:szCs w:val="18"/>
              </w:rPr>
            </w:pPr>
            <w:r>
              <w:rPr>
                <w:spacing w:val="-2"/>
                <w:sz w:val="18"/>
                <w:szCs w:val="18"/>
              </w:rPr>
              <w:t>锰及其化合物</w:t>
            </w:r>
          </w:p>
        </w:tc>
        <w:tc>
          <w:tcPr>
            <w:tcW w:w="1406" w:type="dxa"/>
            <w:vAlign w:val="top"/>
          </w:tcPr>
          <w:p w14:paraId="6F6F7558">
            <w:pPr>
              <w:rPr>
                <w:rFonts w:ascii="Arial"/>
                <w:sz w:val="21"/>
              </w:rPr>
            </w:pPr>
          </w:p>
        </w:tc>
      </w:tr>
      <w:tr w14:paraId="277FD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4" w:hRule="atLeast"/>
        </w:trPr>
        <w:tc>
          <w:tcPr>
            <w:tcW w:w="437" w:type="dxa"/>
            <w:vMerge w:val="continue"/>
            <w:tcBorders>
              <w:top w:val="nil"/>
              <w:bottom w:val="nil"/>
            </w:tcBorders>
            <w:textDirection w:val="tbRlV"/>
            <w:vAlign w:val="top"/>
          </w:tcPr>
          <w:p w14:paraId="0EFE18FE">
            <w:pPr>
              <w:rPr>
                <w:rFonts w:ascii="Arial"/>
                <w:sz w:val="21"/>
              </w:rPr>
            </w:pPr>
          </w:p>
        </w:tc>
        <w:tc>
          <w:tcPr>
            <w:tcW w:w="1477" w:type="dxa"/>
            <w:vAlign w:val="top"/>
          </w:tcPr>
          <w:p w14:paraId="7924B2E3">
            <w:pPr>
              <w:pStyle w:val="6"/>
              <w:spacing w:before="69" w:line="219" w:lineRule="auto"/>
              <w:ind w:left="372"/>
              <w:rPr>
                <w:sz w:val="18"/>
                <w:szCs w:val="18"/>
              </w:rPr>
            </w:pPr>
            <w:r>
              <w:rPr>
                <w:spacing w:val="-3"/>
                <w:sz w:val="18"/>
                <w:szCs w:val="18"/>
              </w:rPr>
              <w:t>预测方法</w:t>
            </w:r>
          </w:p>
        </w:tc>
        <w:tc>
          <w:tcPr>
            <w:tcW w:w="5970" w:type="dxa"/>
            <w:gridSpan w:val="3"/>
            <w:vAlign w:val="top"/>
          </w:tcPr>
          <w:p w14:paraId="26373E65">
            <w:pPr>
              <w:pStyle w:val="6"/>
              <w:spacing w:before="69" w:line="217" w:lineRule="auto"/>
              <w:ind w:left="19"/>
              <w:rPr>
                <w:sz w:val="18"/>
                <w:szCs w:val="18"/>
              </w:rPr>
            </w:pPr>
            <w:r>
              <w:rPr>
                <w:spacing w:val="-10"/>
                <w:sz w:val="18"/>
                <w:szCs w:val="18"/>
              </w:rPr>
              <w:t>附录</w:t>
            </w:r>
            <w:r>
              <w:rPr>
                <w:spacing w:val="-40"/>
                <w:sz w:val="18"/>
                <w:szCs w:val="18"/>
              </w:rPr>
              <w:t xml:space="preserve"> </w:t>
            </w:r>
            <w:r>
              <w:rPr>
                <w:rFonts w:ascii="Times New Roman" w:hAnsi="Times New Roman" w:eastAsia="Times New Roman" w:cs="Times New Roman"/>
                <w:spacing w:val="-10"/>
                <w:sz w:val="18"/>
                <w:szCs w:val="18"/>
              </w:rPr>
              <w:t>E□</w:t>
            </w:r>
            <w:r>
              <w:rPr>
                <w:spacing w:val="-10"/>
                <w:sz w:val="18"/>
                <w:szCs w:val="18"/>
              </w:rPr>
              <w:t>;</w:t>
            </w:r>
            <w:r>
              <w:rPr>
                <w:spacing w:val="63"/>
                <w:sz w:val="18"/>
                <w:szCs w:val="18"/>
              </w:rPr>
              <w:t xml:space="preserve"> </w:t>
            </w:r>
            <w:r>
              <w:rPr>
                <w:spacing w:val="-10"/>
                <w:sz w:val="18"/>
                <w:szCs w:val="18"/>
              </w:rPr>
              <w:t>附录</w:t>
            </w:r>
            <w:r>
              <w:rPr>
                <w:spacing w:val="-44"/>
                <w:sz w:val="18"/>
                <w:szCs w:val="18"/>
              </w:rPr>
              <w:t xml:space="preserve"> </w:t>
            </w:r>
            <w:r>
              <w:rPr>
                <w:rFonts w:ascii="Times New Roman" w:hAnsi="Times New Roman" w:eastAsia="Times New Roman" w:cs="Times New Roman"/>
                <w:spacing w:val="-10"/>
                <w:sz w:val="18"/>
                <w:szCs w:val="18"/>
              </w:rPr>
              <w:t>F□</w:t>
            </w:r>
            <w:r>
              <w:rPr>
                <w:spacing w:val="-10"/>
                <w:sz w:val="18"/>
                <w:szCs w:val="18"/>
              </w:rPr>
              <w:t>;</w:t>
            </w:r>
            <w:r>
              <w:rPr>
                <w:spacing w:val="50"/>
                <w:sz w:val="18"/>
                <w:szCs w:val="18"/>
              </w:rPr>
              <w:t xml:space="preserve"> </w:t>
            </w:r>
            <w:r>
              <w:rPr>
                <w:spacing w:val="-10"/>
                <w:sz w:val="18"/>
                <w:szCs w:val="18"/>
              </w:rPr>
              <w:t>其他</w:t>
            </w:r>
            <w:r>
              <w:rPr>
                <w:spacing w:val="12"/>
                <w:sz w:val="18"/>
                <w:szCs w:val="18"/>
              </w:rPr>
              <w:t xml:space="preserve"> </w:t>
            </w:r>
            <w:r>
              <w:rPr>
                <w:spacing w:val="-10"/>
                <w:sz w:val="18"/>
                <w:szCs w:val="18"/>
              </w:rPr>
              <w:t xml:space="preserve">(       </w:t>
            </w:r>
            <w:r>
              <w:rPr>
                <w:spacing w:val="-11"/>
                <w:sz w:val="18"/>
                <w:szCs w:val="18"/>
              </w:rPr>
              <w:t xml:space="preserve">   )</w:t>
            </w:r>
          </w:p>
        </w:tc>
        <w:tc>
          <w:tcPr>
            <w:tcW w:w="1406" w:type="dxa"/>
            <w:vAlign w:val="top"/>
          </w:tcPr>
          <w:p w14:paraId="1492B3AD">
            <w:pPr>
              <w:rPr>
                <w:rFonts w:ascii="Arial"/>
                <w:sz w:val="21"/>
              </w:rPr>
            </w:pPr>
          </w:p>
        </w:tc>
      </w:tr>
      <w:tr w14:paraId="66C24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3" w:hRule="atLeast"/>
        </w:trPr>
        <w:tc>
          <w:tcPr>
            <w:tcW w:w="437" w:type="dxa"/>
            <w:vMerge w:val="continue"/>
            <w:tcBorders>
              <w:top w:val="nil"/>
              <w:bottom w:val="nil"/>
            </w:tcBorders>
            <w:textDirection w:val="tbRlV"/>
            <w:vAlign w:val="top"/>
          </w:tcPr>
          <w:p w14:paraId="7F40009E">
            <w:pPr>
              <w:rPr>
                <w:rFonts w:ascii="Arial"/>
                <w:sz w:val="21"/>
              </w:rPr>
            </w:pPr>
          </w:p>
        </w:tc>
        <w:tc>
          <w:tcPr>
            <w:tcW w:w="1477" w:type="dxa"/>
            <w:vAlign w:val="top"/>
          </w:tcPr>
          <w:p w14:paraId="097DC477">
            <w:pPr>
              <w:pStyle w:val="6"/>
              <w:spacing w:before="143" w:line="219" w:lineRule="auto"/>
              <w:ind w:left="192"/>
              <w:rPr>
                <w:sz w:val="18"/>
                <w:szCs w:val="18"/>
              </w:rPr>
            </w:pPr>
            <w:r>
              <w:rPr>
                <w:spacing w:val="-2"/>
                <w:sz w:val="18"/>
                <w:szCs w:val="18"/>
              </w:rPr>
              <w:t>预测分析内容</w:t>
            </w:r>
          </w:p>
        </w:tc>
        <w:tc>
          <w:tcPr>
            <w:tcW w:w="5970" w:type="dxa"/>
            <w:gridSpan w:val="3"/>
            <w:vAlign w:val="top"/>
          </w:tcPr>
          <w:p w14:paraId="3A5C2448">
            <w:pPr>
              <w:pStyle w:val="6"/>
              <w:spacing w:before="28" w:line="223" w:lineRule="auto"/>
              <w:ind w:left="5" w:right="3674"/>
              <w:rPr>
                <w:sz w:val="18"/>
                <w:szCs w:val="18"/>
              </w:rPr>
            </w:pPr>
            <w:r>
              <w:rPr>
                <w:spacing w:val="-3"/>
                <w:sz w:val="18"/>
                <w:szCs w:val="18"/>
              </w:rPr>
              <w:t>影响范围（厂界</w:t>
            </w:r>
            <w:r>
              <w:rPr>
                <w:spacing w:val="-40"/>
                <w:sz w:val="18"/>
                <w:szCs w:val="18"/>
              </w:rPr>
              <w:t xml:space="preserve"> </w:t>
            </w:r>
            <w:r>
              <w:rPr>
                <w:rFonts w:ascii="Times New Roman" w:hAnsi="Times New Roman" w:eastAsia="Times New Roman" w:cs="Times New Roman"/>
                <w:spacing w:val="-3"/>
                <w:sz w:val="18"/>
                <w:szCs w:val="18"/>
              </w:rPr>
              <w:t>200m</w:t>
            </w:r>
            <w:r>
              <w:rPr>
                <w:rFonts w:ascii="Times New Roman" w:hAnsi="Times New Roman" w:eastAsia="Times New Roman" w:cs="Times New Roman"/>
                <w:spacing w:val="11"/>
                <w:sz w:val="18"/>
                <w:szCs w:val="18"/>
              </w:rPr>
              <w:t xml:space="preserve"> </w:t>
            </w:r>
            <w:r>
              <w:rPr>
                <w:spacing w:val="-3"/>
                <w:sz w:val="18"/>
                <w:szCs w:val="18"/>
              </w:rPr>
              <w:t>范围）</w:t>
            </w:r>
            <w:r>
              <w:rPr>
                <w:sz w:val="18"/>
                <w:szCs w:val="18"/>
              </w:rPr>
              <w:t xml:space="preserve"> 影响程度（较小）</w:t>
            </w:r>
          </w:p>
        </w:tc>
        <w:tc>
          <w:tcPr>
            <w:tcW w:w="1406" w:type="dxa"/>
            <w:vAlign w:val="top"/>
          </w:tcPr>
          <w:p w14:paraId="1601A14A">
            <w:pPr>
              <w:rPr>
                <w:rFonts w:ascii="Arial"/>
                <w:sz w:val="21"/>
              </w:rPr>
            </w:pPr>
          </w:p>
        </w:tc>
      </w:tr>
      <w:tr w14:paraId="27D0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4" w:hRule="atLeast"/>
        </w:trPr>
        <w:tc>
          <w:tcPr>
            <w:tcW w:w="437" w:type="dxa"/>
            <w:vMerge w:val="continue"/>
            <w:tcBorders>
              <w:top w:val="nil"/>
            </w:tcBorders>
            <w:textDirection w:val="tbRlV"/>
            <w:vAlign w:val="top"/>
          </w:tcPr>
          <w:p w14:paraId="22BE1616">
            <w:pPr>
              <w:rPr>
                <w:rFonts w:ascii="Arial"/>
                <w:sz w:val="21"/>
              </w:rPr>
            </w:pPr>
          </w:p>
        </w:tc>
        <w:tc>
          <w:tcPr>
            <w:tcW w:w="1477" w:type="dxa"/>
            <w:vAlign w:val="top"/>
          </w:tcPr>
          <w:p w14:paraId="30467BEF">
            <w:pPr>
              <w:pStyle w:val="6"/>
              <w:spacing w:before="70" w:line="219" w:lineRule="auto"/>
              <w:ind w:left="372"/>
              <w:rPr>
                <w:sz w:val="18"/>
                <w:szCs w:val="18"/>
              </w:rPr>
            </w:pPr>
            <w:r>
              <w:rPr>
                <w:spacing w:val="-3"/>
                <w:sz w:val="18"/>
                <w:szCs w:val="18"/>
              </w:rPr>
              <w:t>预测结论</w:t>
            </w:r>
          </w:p>
        </w:tc>
        <w:tc>
          <w:tcPr>
            <w:tcW w:w="5970" w:type="dxa"/>
            <w:gridSpan w:val="3"/>
            <w:vAlign w:val="top"/>
          </w:tcPr>
          <w:p w14:paraId="1F09B222">
            <w:pPr>
              <w:pStyle w:val="6"/>
              <w:spacing w:before="70" w:line="220" w:lineRule="auto"/>
              <w:ind w:left="4"/>
              <w:rPr>
                <w:rFonts w:ascii="Times New Roman" w:hAnsi="Times New Roman" w:eastAsia="Times New Roman" w:cs="Times New Roman"/>
                <w:sz w:val="18"/>
                <w:szCs w:val="18"/>
              </w:rPr>
            </w:pPr>
            <w:r>
              <w:rPr>
                <w:spacing w:val="-6"/>
                <w:sz w:val="18"/>
                <w:szCs w:val="18"/>
              </w:rPr>
              <w:t>达标结论：</w:t>
            </w:r>
            <w:r>
              <w:rPr>
                <w:rFonts w:ascii="Times New Roman" w:hAnsi="Times New Roman" w:eastAsia="Times New Roman" w:cs="Times New Roman"/>
                <w:spacing w:val="-6"/>
                <w:sz w:val="18"/>
                <w:szCs w:val="18"/>
              </w:rPr>
              <w:t>a</w:t>
            </w:r>
            <w:r>
              <w:rPr>
                <w:spacing w:val="-6"/>
                <w:sz w:val="18"/>
                <w:szCs w:val="18"/>
              </w:rPr>
              <w:t>）</w:t>
            </w:r>
            <w:r>
              <w:rPr>
                <w:rFonts w:ascii="Times New Roman" w:hAnsi="Times New Roman" w:eastAsia="Times New Roman" w:cs="Times New Roman"/>
                <w:spacing w:val="-6"/>
                <w:sz w:val="18"/>
                <w:szCs w:val="18"/>
              </w:rPr>
              <w:t>□</w:t>
            </w:r>
            <w:r>
              <w:rPr>
                <w:rFonts w:ascii="Times New Roman" w:hAnsi="Times New Roman" w:eastAsia="Times New Roman" w:cs="Times New Roman"/>
                <w:spacing w:val="-23"/>
                <w:sz w:val="18"/>
                <w:szCs w:val="18"/>
              </w:rPr>
              <w:t xml:space="preserve"> </w:t>
            </w:r>
            <w:r>
              <w:rPr>
                <w:spacing w:val="-6"/>
                <w:sz w:val="18"/>
                <w:szCs w:val="18"/>
              </w:rPr>
              <w:t>;</w:t>
            </w:r>
            <w:r>
              <w:rPr>
                <w:spacing w:val="41"/>
                <w:w w:val="101"/>
                <w:sz w:val="18"/>
                <w:szCs w:val="18"/>
              </w:rPr>
              <w:t xml:space="preserve"> </w:t>
            </w:r>
            <w:r>
              <w:rPr>
                <w:rFonts w:ascii="Times New Roman" w:hAnsi="Times New Roman" w:eastAsia="Times New Roman" w:cs="Times New Roman"/>
                <w:spacing w:val="-6"/>
                <w:sz w:val="18"/>
                <w:szCs w:val="18"/>
              </w:rPr>
              <w:t>b</w:t>
            </w:r>
            <w:r>
              <w:rPr>
                <w:spacing w:val="-6"/>
                <w:sz w:val="18"/>
                <w:szCs w:val="18"/>
              </w:rPr>
              <w:t>）</w:t>
            </w:r>
            <w:r>
              <w:rPr>
                <w:rFonts w:ascii="Times New Roman" w:hAnsi="Times New Roman" w:eastAsia="Times New Roman" w:cs="Times New Roman"/>
                <w:spacing w:val="-6"/>
                <w:sz w:val="18"/>
                <w:szCs w:val="18"/>
              </w:rPr>
              <w:t>□</w:t>
            </w:r>
            <w:r>
              <w:rPr>
                <w:rFonts w:ascii="Times New Roman" w:hAnsi="Times New Roman" w:eastAsia="Times New Roman" w:cs="Times New Roman"/>
                <w:spacing w:val="-24"/>
                <w:sz w:val="18"/>
                <w:szCs w:val="18"/>
              </w:rPr>
              <w:t xml:space="preserve"> </w:t>
            </w:r>
            <w:r>
              <w:rPr>
                <w:spacing w:val="-6"/>
                <w:sz w:val="18"/>
                <w:szCs w:val="18"/>
              </w:rPr>
              <w:t>;</w:t>
            </w:r>
            <w:r>
              <w:rPr>
                <w:spacing w:val="49"/>
                <w:sz w:val="18"/>
                <w:szCs w:val="18"/>
              </w:rPr>
              <w:t xml:space="preserve"> </w:t>
            </w:r>
            <w:r>
              <w:rPr>
                <w:rFonts w:ascii="Times New Roman" w:hAnsi="Times New Roman" w:eastAsia="Times New Roman" w:cs="Times New Roman"/>
                <w:spacing w:val="-6"/>
                <w:sz w:val="18"/>
                <w:szCs w:val="18"/>
              </w:rPr>
              <w:t>c</w:t>
            </w:r>
            <w:r>
              <w:rPr>
                <w:spacing w:val="-6"/>
                <w:sz w:val="18"/>
                <w:szCs w:val="18"/>
              </w:rPr>
              <w:t>）</w:t>
            </w:r>
            <w:r>
              <w:rPr>
                <w:rFonts w:ascii="Times New Roman" w:hAnsi="Times New Roman" w:eastAsia="Times New Roman" w:cs="Times New Roman"/>
                <w:spacing w:val="-6"/>
                <w:sz w:val="18"/>
                <w:szCs w:val="18"/>
              </w:rPr>
              <w:t xml:space="preserve">□  </w:t>
            </w:r>
            <w:r>
              <w:rPr>
                <w:spacing w:val="-6"/>
                <w:sz w:val="18"/>
                <w:szCs w:val="18"/>
              </w:rPr>
              <w:t>不达标</w:t>
            </w:r>
            <w:r>
              <w:rPr>
                <w:spacing w:val="-7"/>
                <w:sz w:val="18"/>
                <w:szCs w:val="18"/>
              </w:rPr>
              <w:t>结论：</w:t>
            </w:r>
            <w:r>
              <w:rPr>
                <w:rFonts w:ascii="Times New Roman" w:hAnsi="Times New Roman" w:eastAsia="Times New Roman" w:cs="Times New Roman"/>
                <w:spacing w:val="-7"/>
                <w:sz w:val="18"/>
                <w:szCs w:val="18"/>
              </w:rPr>
              <w:t>a</w:t>
            </w:r>
            <w:r>
              <w:rPr>
                <w:spacing w:val="-7"/>
                <w:sz w:val="18"/>
                <w:szCs w:val="18"/>
              </w:rPr>
              <w:t>）</w:t>
            </w:r>
            <w:r>
              <w:rPr>
                <w:rFonts w:ascii="Times New Roman" w:hAnsi="Times New Roman" w:eastAsia="Times New Roman" w:cs="Times New Roman"/>
                <w:spacing w:val="-7"/>
                <w:sz w:val="18"/>
                <w:szCs w:val="18"/>
              </w:rPr>
              <w:t>□</w:t>
            </w:r>
            <w:r>
              <w:rPr>
                <w:rFonts w:ascii="Times New Roman" w:hAnsi="Times New Roman" w:eastAsia="Times New Roman" w:cs="Times New Roman"/>
                <w:spacing w:val="-21"/>
                <w:sz w:val="18"/>
                <w:szCs w:val="18"/>
              </w:rPr>
              <w:t xml:space="preserve"> </w:t>
            </w:r>
            <w:r>
              <w:rPr>
                <w:spacing w:val="-7"/>
                <w:sz w:val="18"/>
                <w:szCs w:val="18"/>
              </w:rPr>
              <w:t>;</w:t>
            </w:r>
            <w:r>
              <w:rPr>
                <w:spacing w:val="42"/>
                <w:sz w:val="18"/>
                <w:szCs w:val="18"/>
              </w:rPr>
              <w:t xml:space="preserve"> </w:t>
            </w:r>
            <w:r>
              <w:rPr>
                <w:rFonts w:ascii="Times New Roman" w:hAnsi="Times New Roman" w:eastAsia="Times New Roman" w:cs="Times New Roman"/>
                <w:spacing w:val="-7"/>
                <w:sz w:val="18"/>
                <w:szCs w:val="18"/>
              </w:rPr>
              <w:t>b</w:t>
            </w:r>
            <w:r>
              <w:rPr>
                <w:spacing w:val="-7"/>
                <w:sz w:val="18"/>
                <w:szCs w:val="18"/>
              </w:rPr>
              <w:t>）</w:t>
            </w:r>
            <w:r>
              <w:rPr>
                <w:rFonts w:ascii="Times New Roman" w:hAnsi="Times New Roman" w:eastAsia="Times New Roman" w:cs="Times New Roman"/>
                <w:spacing w:val="-7"/>
                <w:sz w:val="18"/>
                <w:szCs w:val="18"/>
              </w:rPr>
              <w:t>□</w:t>
            </w:r>
          </w:p>
        </w:tc>
        <w:tc>
          <w:tcPr>
            <w:tcW w:w="1406" w:type="dxa"/>
            <w:vAlign w:val="top"/>
          </w:tcPr>
          <w:p w14:paraId="4A5B2C28">
            <w:pPr>
              <w:rPr>
                <w:rFonts w:ascii="Arial"/>
                <w:sz w:val="21"/>
              </w:rPr>
            </w:pPr>
          </w:p>
        </w:tc>
      </w:tr>
      <w:tr w14:paraId="7C76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4" w:hRule="atLeast"/>
        </w:trPr>
        <w:tc>
          <w:tcPr>
            <w:tcW w:w="437" w:type="dxa"/>
            <w:vMerge w:val="restart"/>
            <w:tcBorders>
              <w:bottom w:val="nil"/>
            </w:tcBorders>
            <w:vAlign w:val="top"/>
          </w:tcPr>
          <w:p w14:paraId="33F2161B">
            <w:pPr>
              <w:spacing w:line="275" w:lineRule="auto"/>
              <w:rPr>
                <w:rFonts w:ascii="Arial"/>
                <w:sz w:val="21"/>
              </w:rPr>
            </w:pPr>
          </w:p>
          <w:p w14:paraId="71F28BEC">
            <w:pPr>
              <w:spacing w:line="276" w:lineRule="auto"/>
              <w:rPr>
                <w:rFonts w:ascii="Arial"/>
                <w:sz w:val="21"/>
              </w:rPr>
            </w:pPr>
          </w:p>
          <w:p w14:paraId="7F712FC1">
            <w:pPr>
              <w:spacing w:line="276" w:lineRule="auto"/>
              <w:rPr>
                <w:rFonts w:ascii="Arial"/>
                <w:sz w:val="21"/>
              </w:rPr>
            </w:pPr>
          </w:p>
          <w:p w14:paraId="17982796">
            <w:pPr>
              <w:pStyle w:val="6"/>
              <w:spacing w:before="58" w:line="220" w:lineRule="auto"/>
              <w:ind w:left="46"/>
              <w:rPr>
                <w:sz w:val="18"/>
                <w:szCs w:val="18"/>
              </w:rPr>
            </w:pPr>
            <w:r>
              <w:rPr>
                <w:spacing w:val="-10"/>
                <w:sz w:val="18"/>
                <w:szCs w:val="18"/>
              </w:rPr>
              <w:t>防治</w:t>
            </w:r>
          </w:p>
          <w:p w14:paraId="533F50C0">
            <w:pPr>
              <w:pStyle w:val="6"/>
              <w:spacing w:before="18" w:line="220" w:lineRule="auto"/>
              <w:ind w:left="35"/>
              <w:outlineLvl w:val="2"/>
              <w:rPr>
                <w:sz w:val="18"/>
                <w:szCs w:val="18"/>
              </w:rPr>
            </w:pPr>
            <w:r>
              <w:rPr>
                <w:spacing w:val="-4"/>
                <w:sz w:val="18"/>
                <w:szCs w:val="18"/>
              </w:rPr>
              <w:t>措施</w:t>
            </w:r>
          </w:p>
        </w:tc>
        <w:tc>
          <w:tcPr>
            <w:tcW w:w="1477" w:type="dxa"/>
            <w:vAlign w:val="top"/>
          </w:tcPr>
          <w:p w14:paraId="4750781C">
            <w:pPr>
              <w:pStyle w:val="6"/>
              <w:spacing w:before="72" w:line="220" w:lineRule="auto"/>
              <w:ind w:left="382"/>
              <w:rPr>
                <w:sz w:val="18"/>
                <w:szCs w:val="18"/>
              </w:rPr>
            </w:pPr>
            <w:r>
              <w:rPr>
                <w:spacing w:val="-5"/>
                <w:sz w:val="18"/>
                <w:szCs w:val="18"/>
              </w:rPr>
              <w:t>防控措施</w:t>
            </w:r>
          </w:p>
        </w:tc>
        <w:tc>
          <w:tcPr>
            <w:tcW w:w="5970" w:type="dxa"/>
            <w:gridSpan w:val="3"/>
            <w:vAlign w:val="top"/>
          </w:tcPr>
          <w:p w14:paraId="31169F9B">
            <w:pPr>
              <w:pStyle w:val="6"/>
              <w:spacing w:before="39" w:line="242" w:lineRule="exact"/>
              <w:ind w:left="6"/>
              <w:rPr>
                <w:sz w:val="18"/>
                <w:szCs w:val="18"/>
              </w:rPr>
            </w:pPr>
            <w:r>
              <w:rPr>
                <w:spacing w:val="-8"/>
                <w:sz w:val="18"/>
                <w:szCs w:val="18"/>
              </w:rPr>
              <w:t>土壤环境质量现状保障</w:t>
            </w:r>
            <w:r>
              <w:rPr>
                <w:rFonts w:ascii="Times New Roman" w:hAnsi="Times New Roman" w:eastAsia="Times New Roman" w:cs="Times New Roman"/>
                <w:spacing w:val="-8"/>
                <w:sz w:val="18"/>
                <w:szCs w:val="18"/>
              </w:rPr>
              <w:t>□</w:t>
            </w:r>
            <w:r>
              <w:rPr>
                <w:rFonts w:ascii="Times New Roman" w:hAnsi="Times New Roman" w:eastAsia="Times New Roman" w:cs="Times New Roman"/>
                <w:spacing w:val="-16"/>
                <w:sz w:val="18"/>
                <w:szCs w:val="18"/>
              </w:rPr>
              <w:t xml:space="preserve"> </w:t>
            </w:r>
            <w:r>
              <w:rPr>
                <w:spacing w:val="-8"/>
                <w:sz w:val="18"/>
                <w:szCs w:val="18"/>
              </w:rPr>
              <w:t>;</w:t>
            </w:r>
            <w:r>
              <w:rPr>
                <w:spacing w:val="48"/>
                <w:sz w:val="18"/>
                <w:szCs w:val="18"/>
              </w:rPr>
              <w:t xml:space="preserve"> </w:t>
            </w:r>
            <w:r>
              <w:rPr>
                <w:spacing w:val="-8"/>
                <w:sz w:val="18"/>
                <w:szCs w:val="18"/>
              </w:rPr>
              <w:t>源头控制</w:t>
            </w:r>
            <w:r>
              <w:rPr>
                <w:rFonts w:ascii="Times New Roman" w:hAnsi="Times New Roman" w:eastAsia="Times New Roman" w:cs="Times New Roman"/>
                <w:spacing w:val="-8"/>
                <w:sz w:val="18"/>
                <w:szCs w:val="18"/>
              </w:rPr>
              <w:t>√</w:t>
            </w:r>
            <w:r>
              <w:rPr>
                <w:rFonts w:ascii="Times New Roman" w:hAnsi="Times New Roman" w:eastAsia="Times New Roman" w:cs="Times New Roman"/>
                <w:spacing w:val="-23"/>
                <w:sz w:val="18"/>
                <w:szCs w:val="18"/>
              </w:rPr>
              <w:t xml:space="preserve"> </w:t>
            </w:r>
            <w:r>
              <w:rPr>
                <w:spacing w:val="-8"/>
                <w:sz w:val="18"/>
                <w:szCs w:val="18"/>
              </w:rPr>
              <w:t>;</w:t>
            </w:r>
            <w:r>
              <w:rPr>
                <w:spacing w:val="50"/>
                <w:sz w:val="18"/>
                <w:szCs w:val="18"/>
              </w:rPr>
              <w:t xml:space="preserve"> </w:t>
            </w:r>
            <w:r>
              <w:rPr>
                <w:spacing w:val="-8"/>
                <w:sz w:val="18"/>
                <w:szCs w:val="18"/>
              </w:rPr>
              <w:t>过程防控</w:t>
            </w:r>
            <w:r>
              <w:rPr>
                <w:rFonts w:ascii="Times New Roman" w:hAnsi="Times New Roman" w:eastAsia="Times New Roman" w:cs="Times New Roman"/>
                <w:spacing w:val="-8"/>
                <w:sz w:val="18"/>
                <w:szCs w:val="18"/>
              </w:rPr>
              <w:t>√</w:t>
            </w:r>
            <w:r>
              <w:rPr>
                <w:rFonts w:ascii="Times New Roman" w:hAnsi="Times New Roman" w:eastAsia="Times New Roman" w:cs="Times New Roman"/>
                <w:spacing w:val="-22"/>
                <w:sz w:val="18"/>
                <w:szCs w:val="18"/>
              </w:rPr>
              <w:t xml:space="preserve"> </w:t>
            </w:r>
            <w:r>
              <w:rPr>
                <w:spacing w:val="-8"/>
                <w:sz w:val="18"/>
                <w:szCs w:val="18"/>
              </w:rPr>
              <w:t>;</w:t>
            </w:r>
            <w:r>
              <w:rPr>
                <w:spacing w:val="49"/>
                <w:sz w:val="18"/>
                <w:szCs w:val="18"/>
              </w:rPr>
              <w:t xml:space="preserve"> </w:t>
            </w:r>
            <w:r>
              <w:rPr>
                <w:spacing w:val="-8"/>
                <w:sz w:val="18"/>
                <w:szCs w:val="18"/>
              </w:rPr>
              <w:t>其他 (           )</w:t>
            </w:r>
          </w:p>
        </w:tc>
        <w:tc>
          <w:tcPr>
            <w:tcW w:w="1406" w:type="dxa"/>
            <w:vAlign w:val="top"/>
          </w:tcPr>
          <w:p w14:paraId="59B86FBD">
            <w:pPr>
              <w:rPr>
                <w:rFonts w:ascii="Arial"/>
                <w:sz w:val="21"/>
              </w:rPr>
            </w:pPr>
          </w:p>
        </w:tc>
      </w:tr>
      <w:tr w14:paraId="7B00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4" w:hRule="atLeast"/>
        </w:trPr>
        <w:tc>
          <w:tcPr>
            <w:tcW w:w="437" w:type="dxa"/>
            <w:vMerge w:val="continue"/>
            <w:tcBorders>
              <w:top w:val="nil"/>
              <w:bottom w:val="nil"/>
            </w:tcBorders>
            <w:vAlign w:val="top"/>
          </w:tcPr>
          <w:p w14:paraId="47CD7BC8">
            <w:pPr>
              <w:rPr>
                <w:rFonts w:ascii="Arial"/>
                <w:sz w:val="21"/>
              </w:rPr>
            </w:pPr>
          </w:p>
        </w:tc>
        <w:tc>
          <w:tcPr>
            <w:tcW w:w="1477" w:type="dxa"/>
            <w:vMerge w:val="restart"/>
            <w:tcBorders>
              <w:bottom w:val="nil"/>
            </w:tcBorders>
            <w:vAlign w:val="top"/>
          </w:tcPr>
          <w:p w14:paraId="4635F31D">
            <w:pPr>
              <w:spacing w:line="303" w:lineRule="auto"/>
              <w:rPr>
                <w:rFonts w:ascii="Arial"/>
                <w:sz w:val="21"/>
              </w:rPr>
            </w:pPr>
          </w:p>
          <w:p w14:paraId="6BE1B2D9">
            <w:pPr>
              <w:spacing w:line="303" w:lineRule="auto"/>
              <w:rPr>
                <w:rFonts w:ascii="Arial"/>
                <w:sz w:val="21"/>
              </w:rPr>
            </w:pPr>
          </w:p>
          <w:p w14:paraId="4BED8E3A">
            <w:pPr>
              <w:pStyle w:val="6"/>
              <w:spacing w:before="59" w:line="220" w:lineRule="auto"/>
              <w:ind w:left="369"/>
              <w:rPr>
                <w:sz w:val="18"/>
                <w:szCs w:val="18"/>
              </w:rPr>
            </w:pPr>
            <w:r>
              <w:rPr>
                <w:spacing w:val="-2"/>
                <w:sz w:val="18"/>
                <w:szCs w:val="18"/>
              </w:rPr>
              <w:t>跟踪监测</w:t>
            </w:r>
          </w:p>
        </w:tc>
        <w:tc>
          <w:tcPr>
            <w:tcW w:w="850" w:type="dxa"/>
            <w:vAlign w:val="top"/>
          </w:tcPr>
          <w:p w14:paraId="03F2D088">
            <w:pPr>
              <w:pStyle w:val="6"/>
              <w:spacing w:before="74" w:line="219" w:lineRule="auto"/>
              <w:ind w:left="61"/>
              <w:rPr>
                <w:sz w:val="18"/>
                <w:szCs w:val="18"/>
              </w:rPr>
            </w:pPr>
            <w:r>
              <w:rPr>
                <w:spacing w:val="-2"/>
                <w:sz w:val="18"/>
                <w:szCs w:val="18"/>
              </w:rPr>
              <w:t>监测点数</w:t>
            </w:r>
          </w:p>
        </w:tc>
        <w:tc>
          <w:tcPr>
            <w:tcW w:w="4293" w:type="dxa"/>
            <w:vAlign w:val="top"/>
          </w:tcPr>
          <w:p w14:paraId="71925EFB">
            <w:pPr>
              <w:pStyle w:val="6"/>
              <w:spacing w:before="74" w:line="220" w:lineRule="auto"/>
              <w:ind w:left="1786"/>
              <w:rPr>
                <w:sz w:val="18"/>
                <w:szCs w:val="18"/>
              </w:rPr>
            </w:pPr>
            <w:r>
              <w:rPr>
                <w:spacing w:val="-2"/>
                <w:sz w:val="18"/>
                <w:szCs w:val="18"/>
              </w:rPr>
              <w:t>监测指标</w:t>
            </w:r>
          </w:p>
        </w:tc>
        <w:tc>
          <w:tcPr>
            <w:tcW w:w="827" w:type="dxa"/>
            <w:vAlign w:val="top"/>
          </w:tcPr>
          <w:p w14:paraId="11CA14EE">
            <w:pPr>
              <w:pStyle w:val="6"/>
              <w:spacing w:before="74" w:line="219" w:lineRule="auto"/>
              <w:ind w:left="59"/>
              <w:rPr>
                <w:sz w:val="18"/>
                <w:szCs w:val="18"/>
              </w:rPr>
            </w:pPr>
            <w:r>
              <w:rPr>
                <w:spacing w:val="-2"/>
                <w:sz w:val="18"/>
                <w:szCs w:val="18"/>
              </w:rPr>
              <w:t>监测频次</w:t>
            </w:r>
          </w:p>
        </w:tc>
        <w:tc>
          <w:tcPr>
            <w:tcW w:w="1406" w:type="dxa"/>
            <w:vMerge w:val="restart"/>
            <w:tcBorders>
              <w:bottom w:val="nil"/>
            </w:tcBorders>
            <w:vAlign w:val="top"/>
          </w:tcPr>
          <w:p w14:paraId="5838415A">
            <w:pPr>
              <w:rPr>
                <w:rFonts w:ascii="Arial"/>
                <w:sz w:val="21"/>
              </w:rPr>
            </w:pPr>
          </w:p>
        </w:tc>
      </w:tr>
      <w:tr w14:paraId="3409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75" w:hRule="atLeast"/>
        </w:trPr>
        <w:tc>
          <w:tcPr>
            <w:tcW w:w="437" w:type="dxa"/>
            <w:vMerge w:val="continue"/>
            <w:tcBorders>
              <w:top w:val="nil"/>
              <w:bottom w:val="nil"/>
            </w:tcBorders>
            <w:vAlign w:val="top"/>
          </w:tcPr>
          <w:p w14:paraId="01DE7C99">
            <w:pPr>
              <w:rPr>
                <w:rFonts w:ascii="Arial"/>
                <w:sz w:val="21"/>
              </w:rPr>
            </w:pPr>
          </w:p>
        </w:tc>
        <w:tc>
          <w:tcPr>
            <w:tcW w:w="1477" w:type="dxa"/>
            <w:vMerge w:val="continue"/>
            <w:tcBorders>
              <w:top w:val="nil"/>
            </w:tcBorders>
            <w:vAlign w:val="top"/>
          </w:tcPr>
          <w:p w14:paraId="36FE41EC">
            <w:pPr>
              <w:rPr>
                <w:rFonts w:ascii="Arial"/>
                <w:sz w:val="21"/>
              </w:rPr>
            </w:pPr>
          </w:p>
        </w:tc>
        <w:tc>
          <w:tcPr>
            <w:tcW w:w="850" w:type="dxa"/>
            <w:vAlign w:val="top"/>
          </w:tcPr>
          <w:p w14:paraId="39416EC8">
            <w:pPr>
              <w:spacing w:line="479" w:lineRule="auto"/>
              <w:rPr>
                <w:rFonts w:ascii="Arial"/>
                <w:sz w:val="21"/>
              </w:rPr>
            </w:pPr>
          </w:p>
          <w:p w14:paraId="148389AA">
            <w:pPr>
              <w:spacing w:before="52" w:line="185" w:lineRule="auto"/>
              <w:ind w:left="376"/>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tc>
        <w:tc>
          <w:tcPr>
            <w:tcW w:w="4293" w:type="dxa"/>
            <w:vAlign w:val="top"/>
          </w:tcPr>
          <w:p w14:paraId="1ACF25F8">
            <w:pPr>
              <w:pStyle w:val="6"/>
              <w:spacing w:before="109" w:line="219" w:lineRule="auto"/>
              <w:jc w:val="right"/>
              <w:rPr>
                <w:sz w:val="18"/>
                <w:szCs w:val="18"/>
              </w:rPr>
            </w:pPr>
            <w:r>
              <w:rPr>
                <w:spacing w:val="-2"/>
                <w:sz w:val="18"/>
                <w:szCs w:val="18"/>
              </w:rPr>
              <w:t>初次监测：《土壤环境质量建设用地土壤污染风险</w:t>
            </w:r>
            <w:r>
              <w:rPr>
                <w:spacing w:val="-3"/>
                <w:sz w:val="18"/>
                <w:szCs w:val="18"/>
              </w:rPr>
              <w:t>管控</w:t>
            </w:r>
          </w:p>
          <w:p w14:paraId="62D00761">
            <w:pPr>
              <w:pStyle w:val="6"/>
              <w:spacing w:before="103" w:line="212" w:lineRule="auto"/>
              <w:jc w:val="right"/>
              <w:rPr>
                <w:sz w:val="18"/>
                <w:szCs w:val="18"/>
              </w:rPr>
            </w:pPr>
            <w:r>
              <w:rPr>
                <w:spacing w:val="-6"/>
                <w:sz w:val="18"/>
                <w:szCs w:val="18"/>
              </w:rPr>
              <w:t>标准（试行）》（</w:t>
            </w:r>
            <w:r>
              <w:rPr>
                <w:rFonts w:ascii="Times New Roman" w:hAnsi="Times New Roman" w:eastAsia="Times New Roman" w:cs="Times New Roman"/>
                <w:spacing w:val="-6"/>
                <w:sz w:val="18"/>
                <w:szCs w:val="18"/>
              </w:rPr>
              <w:t>GB36600-2018</w:t>
            </w:r>
            <w:r>
              <w:rPr>
                <w:spacing w:val="-6"/>
                <w:sz w:val="18"/>
                <w:szCs w:val="18"/>
              </w:rPr>
              <w:t>）中表</w:t>
            </w:r>
            <w:r>
              <w:rPr>
                <w:spacing w:val="-24"/>
                <w:sz w:val="18"/>
                <w:szCs w:val="18"/>
              </w:rPr>
              <w:t xml:space="preserve"> </w:t>
            </w:r>
            <w:r>
              <w:rPr>
                <w:rFonts w:ascii="Times New Roman" w:hAnsi="Times New Roman" w:eastAsia="Times New Roman" w:cs="Times New Roman"/>
                <w:spacing w:val="-6"/>
                <w:sz w:val="18"/>
                <w:szCs w:val="18"/>
              </w:rPr>
              <w:t xml:space="preserve">1 </w:t>
            </w:r>
            <w:r>
              <w:rPr>
                <w:spacing w:val="-6"/>
                <w:sz w:val="18"/>
                <w:szCs w:val="18"/>
              </w:rPr>
              <w:t>基本</w:t>
            </w:r>
            <w:r>
              <w:rPr>
                <w:spacing w:val="-7"/>
                <w:sz w:val="18"/>
                <w:szCs w:val="18"/>
              </w:rPr>
              <w:t>项及</w:t>
            </w:r>
            <w:r>
              <w:rPr>
                <w:spacing w:val="-46"/>
                <w:sz w:val="18"/>
                <w:szCs w:val="18"/>
              </w:rPr>
              <w:t xml:space="preserve"> </w:t>
            </w:r>
            <w:r>
              <w:rPr>
                <w:rFonts w:ascii="Times New Roman" w:hAnsi="Times New Roman" w:eastAsia="Times New Roman" w:cs="Times New Roman"/>
                <w:spacing w:val="-7"/>
                <w:sz w:val="18"/>
                <w:szCs w:val="18"/>
              </w:rPr>
              <w:t>pH</w:t>
            </w:r>
            <w:r>
              <w:rPr>
                <w:spacing w:val="-7"/>
                <w:sz w:val="18"/>
                <w:szCs w:val="18"/>
              </w:rPr>
              <w:t>。</w:t>
            </w:r>
          </w:p>
          <w:p w14:paraId="23745D4B">
            <w:pPr>
              <w:pStyle w:val="6"/>
              <w:spacing w:before="69" w:line="212" w:lineRule="auto"/>
              <w:jc w:val="right"/>
              <w:rPr>
                <w:sz w:val="18"/>
                <w:szCs w:val="18"/>
              </w:rPr>
            </w:pPr>
            <w:r>
              <w:rPr>
                <w:spacing w:val="-2"/>
                <w:sz w:val="18"/>
                <w:szCs w:val="18"/>
              </w:rPr>
              <w:t>后续监测：前期监测中出现超标的项目</w:t>
            </w:r>
            <w:r>
              <w:rPr>
                <w:rFonts w:ascii="Times New Roman" w:hAnsi="Times New Roman" w:eastAsia="Times New Roman" w:cs="Times New Roman"/>
                <w:spacing w:val="-2"/>
                <w:sz w:val="18"/>
                <w:szCs w:val="18"/>
              </w:rPr>
              <w:t>+pH</w:t>
            </w:r>
            <w:r>
              <w:rPr>
                <w:spacing w:val="-2"/>
                <w:sz w:val="18"/>
                <w:szCs w:val="18"/>
              </w:rPr>
              <w:t>、砷、镉、</w:t>
            </w:r>
          </w:p>
          <w:p w14:paraId="7FB046D5">
            <w:pPr>
              <w:pStyle w:val="6"/>
              <w:spacing w:before="28" w:line="218" w:lineRule="auto"/>
              <w:ind w:left="886"/>
              <w:rPr>
                <w:sz w:val="18"/>
                <w:szCs w:val="18"/>
              </w:rPr>
            </w:pPr>
            <w:r>
              <w:rPr>
                <w:spacing w:val="-1"/>
                <w:sz w:val="18"/>
                <w:szCs w:val="18"/>
              </w:rPr>
              <w:t>铜、铅、汞、镍、铬（六价）。</w:t>
            </w:r>
          </w:p>
        </w:tc>
        <w:tc>
          <w:tcPr>
            <w:tcW w:w="827" w:type="dxa"/>
            <w:vAlign w:val="top"/>
          </w:tcPr>
          <w:p w14:paraId="6ABFD7D2">
            <w:pPr>
              <w:spacing w:line="324" w:lineRule="auto"/>
              <w:rPr>
                <w:rFonts w:ascii="Arial"/>
                <w:sz w:val="21"/>
              </w:rPr>
            </w:pPr>
          </w:p>
          <w:p w14:paraId="4D49C318">
            <w:pPr>
              <w:pStyle w:val="6"/>
              <w:spacing w:before="59" w:line="229" w:lineRule="auto"/>
              <w:ind w:left="58" w:right="40"/>
              <w:rPr>
                <w:sz w:val="18"/>
                <w:szCs w:val="18"/>
              </w:rPr>
            </w:pPr>
            <w:r>
              <w:rPr>
                <w:spacing w:val="-6"/>
                <w:sz w:val="18"/>
                <w:szCs w:val="18"/>
              </w:rPr>
              <w:t>每</w:t>
            </w:r>
            <w:r>
              <w:rPr>
                <w:spacing w:val="-39"/>
                <w:sz w:val="18"/>
                <w:szCs w:val="18"/>
              </w:rPr>
              <w:t xml:space="preserve"> </w:t>
            </w:r>
            <w:r>
              <w:rPr>
                <w:rFonts w:ascii="Times New Roman" w:hAnsi="Times New Roman" w:eastAsia="Times New Roman" w:cs="Times New Roman"/>
                <w:spacing w:val="-6"/>
                <w:sz w:val="18"/>
                <w:szCs w:val="18"/>
              </w:rPr>
              <w:t>5</w:t>
            </w:r>
            <w:r>
              <w:rPr>
                <w:rFonts w:ascii="Times New Roman" w:hAnsi="Times New Roman" w:eastAsia="Times New Roman" w:cs="Times New Roman"/>
                <w:spacing w:val="9"/>
                <w:sz w:val="18"/>
                <w:szCs w:val="18"/>
              </w:rPr>
              <w:t xml:space="preserve"> </w:t>
            </w:r>
            <w:r>
              <w:rPr>
                <w:spacing w:val="-6"/>
                <w:sz w:val="18"/>
                <w:szCs w:val="18"/>
              </w:rPr>
              <w:t>年内</w:t>
            </w:r>
            <w:r>
              <w:rPr>
                <w:sz w:val="18"/>
                <w:szCs w:val="18"/>
              </w:rPr>
              <w:t xml:space="preserve"> </w:t>
            </w:r>
            <w:r>
              <w:rPr>
                <w:spacing w:val="-11"/>
                <w:sz w:val="18"/>
                <w:szCs w:val="18"/>
              </w:rPr>
              <w:t>开展</w:t>
            </w:r>
            <w:r>
              <w:rPr>
                <w:spacing w:val="-24"/>
                <w:sz w:val="18"/>
                <w:szCs w:val="18"/>
              </w:rPr>
              <w:t xml:space="preserve"> </w:t>
            </w:r>
            <w:r>
              <w:rPr>
                <w:rFonts w:ascii="Times New Roman" w:hAnsi="Times New Roman" w:eastAsia="Times New Roman" w:cs="Times New Roman"/>
                <w:spacing w:val="-11"/>
                <w:sz w:val="18"/>
                <w:szCs w:val="18"/>
              </w:rPr>
              <w:t>1</w:t>
            </w:r>
            <w:r>
              <w:rPr>
                <w:rFonts w:ascii="Times New Roman" w:hAnsi="Times New Roman" w:eastAsia="Times New Roman" w:cs="Times New Roman"/>
                <w:spacing w:val="14"/>
                <w:sz w:val="18"/>
                <w:szCs w:val="18"/>
              </w:rPr>
              <w:t xml:space="preserve"> </w:t>
            </w:r>
            <w:r>
              <w:rPr>
                <w:spacing w:val="-11"/>
                <w:sz w:val="18"/>
                <w:szCs w:val="18"/>
              </w:rPr>
              <w:t>次</w:t>
            </w:r>
          </w:p>
        </w:tc>
        <w:tc>
          <w:tcPr>
            <w:tcW w:w="1406" w:type="dxa"/>
            <w:vMerge w:val="continue"/>
            <w:tcBorders>
              <w:top w:val="nil"/>
              <w:bottom w:val="nil"/>
            </w:tcBorders>
            <w:vAlign w:val="top"/>
          </w:tcPr>
          <w:p w14:paraId="646D4162">
            <w:pPr>
              <w:rPr>
                <w:rFonts w:ascii="Arial"/>
                <w:sz w:val="21"/>
              </w:rPr>
            </w:pPr>
          </w:p>
        </w:tc>
      </w:tr>
      <w:tr w14:paraId="3D83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2" w:hRule="atLeast"/>
        </w:trPr>
        <w:tc>
          <w:tcPr>
            <w:tcW w:w="437" w:type="dxa"/>
            <w:vMerge w:val="continue"/>
            <w:tcBorders>
              <w:top w:val="nil"/>
            </w:tcBorders>
            <w:vAlign w:val="top"/>
          </w:tcPr>
          <w:p w14:paraId="4C3530ED">
            <w:pPr>
              <w:rPr>
                <w:rFonts w:ascii="Arial"/>
                <w:sz w:val="21"/>
              </w:rPr>
            </w:pPr>
          </w:p>
        </w:tc>
        <w:tc>
          <w:tcPr>
            <w:tcW w:w="1477" w:type="dxa"/>
            <w:vAlign w:val="top"/>
          </w:tcPr>
          <w:p w14:paraId="6917C58F">
            <w:pPr>
              <w:pStyle w:val="6"/>
              <w:spacing w:before="76" w:line="219" w:lineRule="auto"/>
              <w:ind w:left="191"/>
              <w:rPr>
                <w:sz w:val="18"/>
                <w:szCs w:val="18"/>
              </w:rPr>
            </w:pPr>
            <w:r>
              <w:rPr>
                <w:spacing w:val="-2"/>
                <w:sz w:val="18"/>
                <w:szCs w:val="18"/>
              </w:rPr>
              <w:t>信息公开指标</w:t>
            </w:r>
          </w:p>
        </w:tc>
        <w:tc>
          <w:tcPr>
            <w:tcW w:w="5970" w:type="dxa"/>
            <w:gridSpan w:val="3"/>
            <w:vAlign w:val="top"/>
          </w:tcPr>
          <w:p w14:paraId="592ACCBE">
            <w:pPr>
              <w:rPr>
                <w:rFonts w:ascii="Arial"/>
                <w:sz w:val="21"/>
              </w:rPr>
            </w:pPr>
          </w:p>
        </w:tc>
        <w:tc>
          <w:tcPr>
            <w:tcW w:w="1406" w:type="dxa"/>
            <w:vMerge w:val="continue"/>
            <w:tcBorders>
              <w:top w:val="nil"/>
            </w:tcBorders>
            <w:vAlign w:val="top"/>
          </w:tcPr>
          <w:p w14:paraId="3CF7FEC8">
            <w:pPr>
              <w:rPr>
                <w:rFonts w:ascii="Arial"/>
                <w:sz w:val="21"/>
              </w:rPr>
            </w:pPr>
          </w:p>
        </w:tc>
      </w:tr>
      <w:tr w14:paraId="57B8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3" w:hRule="atLeast"/>
        </w:trPr>
        <w:tc>
          <w:tcPr>
            <w:tcW w:w="1914" w:type="dxa"/>
            <w:gridSpan w:val="2"/>
            <w:vAlign w:val="top"/>
          </w:tcPr>
          <w:p w14:paraId="5CF04C6D">
            <w:pPr>
              <w:pStyle w:val="6"/>
              <w:spacing w:before="72" w:line="218" w:lineRule="auto"/>
              <w:ind w:left="594"/>
              <w:rPr>
                <w:sz w:val="18"/>
                <w:szCs w:val="18"/>
              </w:rPr>
            </w:pPr>
            <w:r>
              <w:rPr>
                <w:spacing w:val="-2"/>
                <w:sz w:val="18"/>
                <w:szCs w:val="18"/>
              </w:rPr>
              <w:t>评价结论</w:t>
            </w:r>
          </w:p>
        </w:tc>
        <w:tc>
          <w:tcPr>
            <w:tcW w:w="5970" w:type="dxa"/>
            <w:gridSpan w:val="3"/>
            <w:vAlign w:val="top"/>
          </w:tcPr>
          <w:p w14:paraId="68411004">
            <w:pPr>
              <w:pStyle w:val="6"/>
              <w:spacing w:before="73" w:line="216" w:lineRule="auto"/>
              <w:ind w:left="5"/>
              <w:rPr>
                <w:sz w:val="18"/>
                <w:szCs w:val="18"/>
              </w:rPr>
            </w:pPr>
            <w:r>
              <w:rPr>
                <w:sz w:val="18"/>
                <w:szCs w:val="18"/>
              </w:rPr>
              <w:t>通过源头控制，并做好防渗等措施后，本项目对</w:t>
            </w:r>
            <w:r>
              <w:rPr>
                <w:spacing w:val="-1"/>
                <w:sz w:val="18"/>
                <w:szCs w:val="18"/>
              </w:rPr>
              <w:t>土壤环境影响较小。</w:t>
            </w:r>
          </w:p>
        </w:tc>
        <w:tc>
          <w:tcPr>
            <w:tcW w:w="1406" w:type="dxa"/>
            <w:vAlign w:val="top"/>
          </w:tcPr>
          <w:p w14:paraId="6AA55CBC">
            <w:pPr>
              <w:rPr>
                <w:rFonts w:ascii="Arial"/>
                <w:sz w:val="21"/>
              </w:rPr>
            </w:pPr>
          </w:p>
        </w:tc>
      </w:tr>
      <w:tr w14:paraId="6108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7" w:hRule="atLeast"/>
        </w:trPr>
        <w:tc>
          <w:tcPr>
            <w:tcW w:w="9290" w:type="dxa"/>
            <w:gridSpan w:val="6"/>
            <w:vAlign w:val="top"/>
          </w:tcPr>
          <w:p w14:paraId="099EF136">
            <w:pPr>
              <w:pStyle w:val="6"/>
              <w:spacing w:before="81" w:line="243" w:lineRule="exact"/>
              <w:ind w:left="11"/>
              <w:rPr>
                <w:sz w:val="18"/>
                <w:szCs w:val="18"/>
              </w:rPr>
            </w:pPr>
            <w:r>
              <w:rPr>
                <w:spacing w:val="-2"/>
                <w:position w:val="1"/>
                <w:sz w:val="18"/>
                <w:szCs w:val="18"/>
              </w:rPr>
              <w:t>注</w:t>
            </w:r>
            <w:r>
              <w:rPr>
                <w:spacing w:val="23"/>
                <w:position w:val="1"/>
                <w:sz w:val="18"/>
                <w:szCs w:val="18"/>
              </w:rPr>
              <w:t xml:space="preserve"> </w:t>
            </w:r>
            <w:r>
              <w:rPr>
                <w:rFonts w:ascii="Times New Roman" w:hAnsi="Times New Roman" w:eastAsia="Times New Roman" w:cs="Times New Roman"/>
                <w:spacing w:val="-2"/>
                <w:position w:val="1"/>
                <w:sz w:val="18"/>
                <w:szCs w:val="18"/>
              </w:rPr>
              <w:t>1</w:t>
            </w:r>
            <w:r>
              <w:rPr>
                <w:rFonts w:ascii="Times New Roman" w:hAnsi="Times New Roman" w:eastAsia="Times New Roman" w:cs="Times New Roman"/>
                <w:spacing w:val="-19"/>
                <w:position w:val="1"/>
                <w:sz w:val="18"/>
                <w:szCs w:val="18"/>
              </w:rPr>
              <w:t xml:space="preserve"> </w:t>
            </w:r>
            <w:r>
              <w:rPr>
                <w:spacing w:val="-2"/>
                <w:position w:val="1"/>
                <w:sz w:val="18"/>
                <w:szCs w:val="18"/>
              </w:rPr>
              <w:t>：</w:t>
            </w:r>
            <w:r>
              <w:rPr>
                <w:rFonts w:ascii="Times New Roman" w:hAnsi="Times New Roman" w:eastAsia="Times New Roman" w:cs="Times New Roman"/>
                <w:spacing w:val="-2"/>
                <w:position w:val="1"/>
                <w:sz w:val="18"/>
                <w:szCs w:val="18"/>
              </w:rPr>
              <w:t>ℼ□”</w:t>
            </w:r>
            <w:r>
              <w:rPr>
                <w:spacing w:val="-2"/>
                <w:position w:val="1"/>
                <w:sz w:val="18"/>
                <w:szCs w:val="18"/>
              </w:rPr>
              <w:t>为勾选项，可</w:t>
            </w:r>
            <w:r>
              <w:rPr>
                <w:rFonts w:ascii="Times New Roman" w:hAnsi="Times New Roman" w:eastAsia="Times New Roman" w:cs="Times New Roman"/>
                <w:spacing w:val="-2"/>
                <w:position w:val="1"/>
                <w:sz w:val="18"/>
                <w:szCs w:val="18"/>
              </w:rPr>
              <w:t>√</w:t>
            </w:r>
            <w:r>
              <w:rPr>
                <w:rFonts w:ascii="Times New Roman" w:hAnsi="Times New Roman" w:eastAsia="Times New Roman" w:cs="Times New Roman"/>
                <w:spacing w:val="-21"/>
                <w:position w:val="1"/>
                <w:sz w:val="18"/>
                <w:szCs w:val="18"/>
              </w:rPr>
              <w:t xml:space="preserve"> </w:t>
            </w:r>
            <w:r>
              <w:rPr>
                <w:spacing w:val="-2"/>
                <w:position w:val="1"/>
                <w:sz w:val="18"/>
                <w:szCs w:val="18"/>
              </w:rPr>
              <w:t>;</w:t>
            </w:r>
            <w:r>
              <w:rPr>
                <w:spacing w:val="48"/>
                <w:w w:val="101"/>
                <w:position w:val="1"/>
                <w:sz w:val="18"/>
                <w:szCs w:val="18"/>
              </w:rPr>
              <w:t xml:space="preserve"> </w:t>
            </w:r>
            <w:r>
              <w:rPr>
                <w:rFonts w:ascii="Times New Roman" w:hAnsi="Times New Roman" w:eastAsia="Times New Roman" w:cs="Times New Roman"/>
                <w:spacing w:val="-2"/>
                <w:position w:val="1"/>
                <w:sz w:val="18"/>
                <w:szCs w:val="18"/>
              </w:rPr>
              <w:t xml:space="preserve">ℼ  </w:t>
            </w:r>
            <w:r>
              <w:rPr>
                <w:spacing w:val="-2"/>
                <w:position w:val="1"/>
                <w:sz w:val="18"/>
                <w:szCs w:val="18"/>
              </w:rPr>
              <w:t xml:space="preserve">() </w:t>
            </w:r>
            <w:r>
              <w:rPr>
                <w:rFonts w:ascii="Times New Roman" w:hAnsi="Times New Roman" w:eastAsia="Times New Roman" w:cs="Times New Roman"/>
                <w:spacing w:val="-2"/>
                <w:position w:val="1"/>
                <w:sz w:val="18"/>
                <w:szCs w:val="18"/>
              </w:rPr>
              <w:t>ℽ</w:t>
            </w:r>
            <w:r>
              <w:rPr>
                <w:spacing w:val="-2"/>
                <w:position w:val="1"/>
                <w:sz w:val="18"/>
                <w:szCs w:val="18"/>
              </w:rPr>
              <w:t>为内容填写项；</w:t>
            </w:r>
            <w:r>
              <w:rPr>
                <w:rFonts w:ascii="Times New Roman" w:hAnsi="Times New Roman" w:eastAsia="Times New Roman" w:cs="Times New Roman"/>
                <w:spacing w:val="-2"/>
                <w:position w:val="1"/>
                <w:sz w:val="18"/>
                <w:szCs w:val="18"/>
              </w:rPr>
              <w:t>“</w:t>
            </w:r>
            <w:r>
              <w:rPr>
                <w:spacing w:val="-2"/>
                <w:position w:val="1"/>
                <w:sz w:val="18"/>
                <w:szCs w:val="18"/>
              </w:rPr>
              <w:t>备注</w:t>
            </w:r>
            <w:r>
              <w:rPr>
                <w:rFonts w:ascii="Times New Roman" w:hAnsi="Times New Roman" w:eastAsia="Times New Roman" w:cs="Times New Roman"/>
                <w:spacing w:val="-2"/>
                <w:position w:val="1"/>
                <w:sz w:val="18"/>
                <w:szCs w:val="18"/>
              </w:rPr>
              <w:t>”</w:t>
            </w:r>
            <w:r>
              <w:rPr>
                <w:spacing w:val="-2"/>
                <w:position w:val="1"/>
                <w:sz w:val="18"/>
                <w:szCs w:val="18"/>
              </w:rPr>
              <w:t>为其他补充内容。 注</w:t>
            </w:r>
            <w:r>
              <w:rPr>
                <w:spacing w:val="-41"/>
                <w:position w:val="1"/>
                <w:sz w:val="18"/>
                <w:szCs w:val="18"/>
              </w:rPr>
              <w:t xml:space="preserve"> </w:t>
            </w:r>
            <w:r>
              <w:rPr>
                <w:rFonts w:ascii="Times New Roman" w:hAnsi="Times New Roman" w:eastAsia="Times New Roman" w:cs="Times New Roman"/>
                <w:spacing w:val="-2"/>
                <w:position w:val="1"/>
                <w:sz w:val="18"/>
                <w:szCs w:val="18"/>
              </w:rPr>
              <w:t>2</w:t>
            </w:r>
            <w:r>
              <w:rPr>
                <w:rFonts w:ascii="Times New Roman" w:hAnsi="Times New Roman" w:eastAsia="Times New Roman" w:cs="Times New Roman"/>
                <w:spacing w:val="-21"/>
                <w:position w:val="1"/>
                <w:sz w:val="18"/>
                <w:szCs w:val="18"/>
              </w:rPr>
              <w:t xml:space="preserve"> </w:t>
            </w:r>
            <w:r>
              <w:rPr>
                <w:spacing w:val="-2"/>
                <w:position w:val="1"/>
                <w:sz w:val="18"/>
                <w:szCs w:val="18"/>
              </w:rPr>
              <w:t>：需要分别开展土壤环境影响</w:t>
            </w:r>
            <w:r>
              <w:rPr>
                <w:spacing w:val="-3"/>
                <w:position w:val="1"/>
                <w:sz w:val="18"/>
                <w:szCs w:val="18"/>
              </w:rPr>
              <w:t>评级工</w:t>
            </w:r>
          </w:p>
          <w:p w14:paraId="3841DA0F">
            <w:pPr>
              <w:pStyle w:val="6"/>
              <w:spacing w:before="23" w:line="216" w:lineRule="auto"/>
              <w:ind w:left="12"/>
              <w:rPr>
                <w:sz w:val="18"/>
                <w:szCs w:val="18"/>
              </w:rPr>
            </w:pPr>
            <w:r>
              <w:rPr>
                <w:spacing w:val="-1"/>
                <w:sz w:val="18"/>
                <w:szCs w:val="18"/>
              </w:rPr>
              <w:t>作的，分别填写自查表。</w:t>
            </w:r>
          </w:p>
        </w:tc>
      </w:tr>
    </w:tbl>
    <w:p w14:paraId="4AB22681">
      <w:pPr>
        <w:spacing w:before="321" w:line="227" w:lineRule="auto"/>
        <w:ind w:left="120"/>
        <w:outlineLvl w:val="1"/>
        <w:rPr>
          <w:rFonts w:ascii="黑体" w:hAnsi="黑体" w:eastAsia="黑体" w:cs="黑体"/>
          <w:sz w:val="31"/>
          <w:szCs w:val="31"/>
        </w:rPr>
      </w:pPr>
      <w:bookmarkStart w:id="385" w:name="bookmark238"/>
      <w:bookmarkEnd w:id="385"/>
      <w:r>
        <w:rPr>
          <w:rFonts w:ascii="Times New Roman" w:hAnsi="Times New Roman" w:eastAsia="Times New Roman" w:cs="Times New Roman"/>
          <w:spacing w:val="7"/>
          <w:sz w:val="31"/>
          <w:szCs w:val="31"/>
        </w:rPr>
        <w:t xml:space="preserve">4.7 </w:t>
      </w:r>
      <w:r>
        <w:rPr>
          <w:rFonts w:ascii="黑体" w:hAnsi="黑体" w:eastAsia="黑体" w:cs="黑体"/>
          <w:spacing w:val="7"/>
          <w:sz w:val="31"/>
          <w:szCs w:val="31"/>
        </w:rPr>
        <w:t>施工期环境影响分析</w:t>
      </w:r>
    </w:p>
    <w:p w14:paraId="51C5F2D2">
      <w:pPr>
        <w:spacing w:before="299" w:line="222" w:lineRule="auto"/>
        <w:ind w:left="120"/>
        <w:outlineLvl w:val="2"/>
        <w:rPr>
          <w:rFonts w:ascii="黑体" w:hAnsi="黑体" w:eastAsia="黑体" w:cs="黑体"/>
          <w:sz w:val="30"/>
          <w:szCs w:val="30"/>
        </w:rPr>
      </w:pPr>
      <w:bookmarkStart w:id="386" w:name="bookmark240"/>
      <w:bookmarkEnd w:id="386"/>
      <w:r>
        <w:rPr>
          <w:rFonts w:ascii="Times New Roman" w:hAnsi="Times New Roman" w:eastAsia="Times New Roman" w:cs="Times New Roman"/>
          <w:spacing w:val="-1"/>
          <w:sz w:val="30"/>
          <w:szCs w:val="30"/>
        </w:rPr>
        <w:t xml:space="preserve">4.7.1 </w:t>
      </w:r>
      <w:r>
        <w:rPr>
          <w:rFonts w:ascii="黑体" w:hAnsi="黑体" w:eastAsia="黑体" w:cs="黑体"/>
          <w:spacing w:val="-1"/>
          <w:sz w:val="30"/>
          <w:szCs w:val="30"/>
        </w:rPr>
        <w:t>施工扬尘环境影响分析</w:t>
      </w:r>
    </w:p>
    <w:p w14:paraId="35BD98DB">
      <w:pPr>
        <w:spacing w:before="298" w:line="218" w:lineRule="auto"/>
        <w:ind w:left="604"/>
        <w:rPr>
          <w:rFonts w:ascii="宋体" w:hAnsi="宋体" w:eastAsia="宋体" w:cs="宋体"/>
          <w:sz w:val="24"/>
          <w:szCs w:val="24"/>
        </w:rPr>
      </w:pPr>
      <w:r>
        <w:rPr>
          <w:rFonts w:ascii="宋体" w:hAnsi="宋体" w:eastAsia="宋体" w:cs="宋体"/>
          <w:sz w:val="24"/>
          <w:szCs w:val="24"/>
        </w:rPr>
        <w:t>施工期大气污染主要为施工扬尘、施工机械运转、施工车辆</w:t>
      </w:r>
      <w:r>
        <w:rPr>
          <w:rFonts w:ascii="宋体" w:hAnsi="宋体" w:eastAsia="宋体" w:cs="宋体"/>
          <w:spacing w:val="-1"/>
          <w:sz w:val="24"/>
          <w:szCs w:val="24"/>
        </w:rPr>
        <w:t>运输产生的汽车尾气。</w:t>
      </w:r>
    </w:p>
    <w:p w14:paraId="2914DBD6">
      <w:pPr>
        <w:spacing w:before="195" w:line="221" w:lineRule="auto"/>
        <w:ind w:left="623"/>
        <w:rPr>
          <w:rFonts w:ascii="宋体" w:hAnsi="宋体" w:eastAsia="宋体" w:cs="宋体"/>
          <w:sz w:val="24"/>
          <w:szCs w:val="24"/>
        </w:rPr>
      </w:pPr>
      <w:r>
        <w:rPr>
          <w:rFonts w:ascii="Times New Roman" w:hAnsi="Times New Roman" w:eastAsia="Times New Roman" w:cs="Times New Roman"/>
          <w:spacing w:val="-10"/>
          <w:sz w:val="24"/>
          <w:szCs w:val="24"/>
        </w:rPr>
        <w:t>1</w:t>
      </w:r>
      <w:r>
        <w:rPr>
          <w:rFonts w:ascii="Times New Roman" w:hAnsi="Times New Roman" w:eastAsia="Times New Roman" w:cs="Times New Roman"/>
          <w:spacing w:val="-30"/>
          <w:sz w:val="24"/>
          <w:szCs w:val="24"/>
        </w:rPr>
        <w:t xml:space="preserve"> </w:t>
      </w:r>
      <w:r>
        <w:rPr>
          <w:rFonts w:ascii="宋体" w:hAnsi="宋体" w:eastAsia="宋体" w:cs="宋体"/>
          <w:spacing w:val="-10"/>
          <w:sz w:val="24"/>
          <w:szCs w:val="24"/>
        </w:rPr>
        <w:t>、施工扬尘</w:t>
      </w:r>
    </w:p>
    <w:p w14:paraId="1AB1AB03">
      <w:pPr>
        <w:spacing w:before="193" w:line="356" w:lineRule="auto"/>
        <w:ind w:left="124" w:right="117" w:firstLine="480"/>
        <w:rPr>
          <w:rFonts w:ascii="宋体" w:hAnsi="宋体" w:eastAsia="宋体" w:cs="宋体"/>
          <w:sz w:val="24"/>
          <w:szCs w:val="24"/>
        </w:rPr>
      </w:pPr>
      <w:r>
        <w:rPr>
          <w:rFonts w:ascii="宋体" w:hAnsi="宋体" w:eastAsia="宋体" w:cs="宋体"/>
          <w:spacing w:val="-2"/>
          <w:sz w:val="24"/>
          <w:szCs w:val="24"/>
        </w:rPr>
        <w:t>施工扬尘的主要来源是施工场地开挖填方、露天堆场和裸露场地的风力扬尘。由于</w:t>
      </w:r>
      <w:r>
        <w:rPr>
          <w:rFonts w:ascii="宋体" w:hAnsi="宋体" w:eastAsia="宋体" w:cs="宋体"/>
          <w:spacing w:val="14"/>
          <w:sz w:val="24"/>
          <w:szCs w:val="24"/>
        </w:rPr>
        <w:t xml:space="preserve"> </w:t>
      </w:r>
      <w:r>
        <w:rPr>
          <w:rFonts w:ascii="宋体" w:hAnsi="宋体" w:eastAsia="宋体" w:cs="宋体"/>
          <w:spacing w:val="-2"/>
          <w:sz w:val="24"/>
          <w:szCs w:val="24"/>
        </w:rPr>
        <w:t>施工需要，一些建筑材料和开挖的土方需临时堆放，在气候干燥及有风的情况下，会产</w:t>
      </w:r>
      <w:r>
        <w:rPr>
          <w:rFonts w:ascii="宋体" w:hAnsi="宋体" w:eastAsia="宋体" w:cs="宋体"/>
          <w:spacing w:val="18"/>
          <w:sz w:val="24"/>
          <w:szCs w:val="24"/>
        </w:rPr>
        <w:t xml:space="preserve"> </w:t>
      </w:r>
      <w:r>
        <w:rPr>
          <w:rFonts w:ascii="宋体" w:hAnsi="宋体" w:eastAsia="宋体" w:cs="宋体"/>
          <w:spacing w:val="-1"/>
          <w:sz w:val="24"/>
          <w:szCs w:val="24"/>
        </w:rPr>
        <w:t>生扬尘，其扬尘量可按堆场起尘的经验公式计算：</w:t>
      </w:r>
    </w:p>
    <w:p w14:paraId="29F47673">
      <w:pPr>
        <w:pStyle w:val="2"/>
        <w:spacing w:line="397" w:lineRule="exact"/>
        <w:ind w:left="3709"/>
        <w:rPr>
          <w:rFonts w:ascii="Times New Roman" w:hAnsi="Times New Roman" w:eastAsia="Times New Roman" w:cs="Times New Roman"/>
          <w:sz w:val="14"/>
          <w:szCs w:val="14"/>
        </w:rPr>
      </w:pPr>
      <w:r>
        <w:rPr>
          <w:rFonts w:ascii="Times New Roman" w:hAnsi="Times New Roman" w:eastAsia="Times New Roman" w:cs="Times New Roman"/>
          <w:i/>
          <w:iCs/>
          <w:spacing w:val="-9"/>
          <w:position w:val="4"/>
          <w:sz w:val="24"/>
          <w:szCs w:val="24"/>
        </w:rPr>
        <w:t>Q</w:t>
      </w:r>
      <w:r>
        <w:rPr>
          <w:rFonts w:ascii="Times New Roman" w:hAnsi="Times New Roman" w:eastAsia="Times New Roman" w:cs="Times New Roman"/>
          <w:i/>
          <w:iCs/>
          <w:spacing w:val="10"/>
          <w:position w:val="4"/>
          <w:sz w:val="24"/>
          <w:szCs w:val="24"/>
        </w:rPr>
        <w:t xml:space="preserve"> </w:t>
      </w:r>
      <w:r>
        <w:rPr>
          <w:spacing w:val="-9"/>
          <w:position w:val="4"/>
          <w:sz w:val="24"/>
          <w:szCs w:val="24"/>
        </w:rPr>
        <w:t xml:space="preserve">= </w:t>
      </w:r>
      <w:r>
        <w:rPr>
          <w:rFonts w:ascii="Times New Roman" w:hAnsi="Times New Roman" w:eastAsia="Times New Roman" w:cs="Times New Roman"/>
          <w:spacing w:val="-9"/>
          <w:position w:val="4"/>
          <w:sz w:val="24"/>
          <w:szCs w:val="24"/>
        </w:rPr>
        <w:t>2.1</w:t>
      </w:r>
      <w:r>
        <w:rPr>
          <w:spacing w:val="-9"/>
          <w:position w:val="4"/>
          <w:sz w:val="32"/>
          <w:szCs w:val="32"/>
        </w:rPr>
        <w:t>(</w:t>
      </w:r>
      <w:r>
        <w:rPr>
          <w:rFonts w:ascii="Times New Roman" w:hAnsi="Times New Roman" w:eastAsia="Times New Roman" w:cs="Times New Roman"/>
          <w:spacing w:val="-9"/>
          <w:position w:val="4"/>
          <w:sz w:val="24"/>
          <w:szCs w:val="24"/>
        </w:rPr>
        <w:t>V</w:t>
      </w:r>
      <w:r>
        <w:rPr>
          <w:rFonts w:ascii="Times New Roman" w:hAnsi="Times New Roman" w:eastAsia="Times New Roman" w:cs="Times New Roman"/>
          <w:spacing w:val="-9"/>
          <w:position w:val="-2"/>
          <w:sz w:val="14"/>
          <w:szCs w:val="14"/>
        </w:rPr>
        <w:t>50</w:t>
      </w:r>
      <w:r>
        <w:rPr>
          <w:rFonts w:ascii="Times New Roman" w:hAnsi="Times New Roman" w:eastAsia="Times New Roman" w:cs="Times New Roman"/>
          <w:spacing w:val="7"/>
          <w:position w:val="-2"/>
          <w:sz w:val="14"/>
          <w:szCs w:val="14"/>
        </w:rPr>
        <w:t xml:space="preserve">  </w:t>
      </w:r>
      <w:r>
        <w:rPr>
          <w:rFonts w:ascii="Times New Roman" w:hAnsi="Times New Roman" w:eastAsia="Times New Roman" w:cs="Times New Roman"/>
          <w:spacing w:val="-4"/>
          <w:position w:val="4"/>
          <w:sz w:val="24"/>
          <w:szCs w:val="24"/>
        </w:rPr>
        <w:t>-</w:t>
      </w:r>
      <w:r>
        <w:rPr>
          <w:rFonts w:ascii="Times New Roman" w:hAnsi="Times New Roman" w:eastAsia="Times New Roman" w:cs="Times New Roman"/>
          <w:spacing w:val="-15"/>
          <w:position w:val="4"/>
          <w:sz w:val="24"/>
          <w:szCs w:val="24"/>
        </w:rPr>
        <w:t xml:space="preserve"> </w:t>
      </w:r>
      <w:r>
        <w:rPr>
          <w:rFonts w:ascii="Times New Roman" w:hAnsi="Times New Roman" w:eastAsia="Times New Roman" w:cs="Times New Roman"/>
          <w:spacing w:val="-4"/>
          <w:position w:val="4"/>
          <w:sz w:val="24"/>
          <w:szCs w:val="24"/>
        </w:rPr>
        <w:t>V</w:t>
      </w:r>
      <w:r>
        <w:rPr>
          <w:rFonts w:ascii="Times New Roman" w:hAnsi="Times New Roman" w:eastAsia="Times New Roman" w:cs="Times New Roman"/>
          <w:spacing w:val="-4"/>
          <w:position w:val="-2"/>
          <w:sz w:val="14"/>
          <w:szCs w:val="14"/>
        </w:rPr>
        <w:t>0</w:t>
      </w:r>
      <w:r>
        <w:rPr>
          <w:rFonts w:ascii="Times New Roman" w:hAnsi="Times New Roman" w:eastAsia="Times New Roman" w:cs="Times New Roman"/>
          <w:spacing w:val="11"/>
          <w:position w:val="-2"/>
          <w:sz w:val="14"/>
          <w:szCs w:val="14"/>
        </w:rPr>
        <w:t xml:space="preserve"> </w:t>
      </w:r>
      <w:r>
        <w:rPr>
          <w:spacing w:val="-20"/>
          <w:w w:val="88"/>
          <w:position w:val="4"/>
          <w:sz w:val="32"/>
          <w:szCs w:val="32"/>
        </w:rPr>
        <w:t>)</w:t>
      </w:r>
      <w:r>
        <w:rPr>
          <w:rFonts w:ascii="Times New Roman" w:hAnsi="Times New Roman" w:eastAsia="Times New Roman" w:cs="Times New Roman"/>
          <w:spacing w:val="5"/>
          <w:position w:val="15"/>
          <w:sz w:val="14"/>
          <w:szCs w:val="14"/>
        </w:rPr>
        <w:t xml:space="preserve">3 </w:t>
      </w:r>
      <w:r>
        <w:rPr>
          <w:rFonts w:ascii="Times New Roman" w:hAnsi="Times New Roman" w:eastAsia="Times New Roman" w:cs="Times New Roman"/>
          <w:i/>
          <w:iCs/>
          <w:spacing w:val="5"/>
          <w:position w:val="4"/>
          <w:sz w:val="24"/>
          <w:szCs w:val="24"/>
        </w:rPr>
        <w:t>e</w:t>
      </w:r>
      <w:r>
        <w:rPr>
          <w:spacing w:val="5"/>
          <w:position w:val="14"/>
          <w:sz w:val="14"/>
          <w:szCs w:val="14"/>
        </w:rPr>
        <w:t>-</w:t>
      </w:r>
      <w:r>
        <w:rPr>
          <w:rFonts w:ascii="Times New Roman" w:hAnsi="Times New Roman" w:eastAsia="Times New Roman" w:cs="Times New Roman"/>
          <w:spacing w:val="5"/>
          <w:position w:val="14"/>
          <w:sz w:val="14"/>
          <w:szCs w:val="14"/>
        </w:rPr>
        <w:t>1.023</w:t>
      </w:r>
      <w:r>
        <w:rPr>
          <w:rFonts w:ascii="Times New Roman" w:hAnsi="Times New Roman" w:eastAsia="Times New Roman" w:cs="Times New Roman"/>
          <w:i/>
          <w:iCs/>
          <w:spacing w:val="5"/>
          <w:position w:val="14"/>
          <w:sz w:val="14"/>
          <w:szCs w:val="14"/>
        </w:rPr>
        <w:t>w</w:t>
      </w:r>
    </w:p>
    <w:p w14:paraId="34783C19">
      <w:pPr>
        <w:spacing w:before="288" w:line="210" w:lineRule="auto"/>
        <w:ind w:left="609"/>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spacing w:val="-1"/>
          <w:sz w:val="24"/>
          <w:szCs w:val="24"/>
        </w:rPr>
        <w:t>Q—</w:t>
      </w:r>
      <w:r>
        <w:rPr>
          <w:rFonts w:ascii="宋体" w:hAnsi="宋体" w:eastAsia="宋体" w:cs="宋体"/>
          <w:spacing w:val="-1"/>
          <w:sz w:val="24"/>
          <w:szCs w:val="24"/>
        </w:rPr>
        <w:t>起尘量，</w:t>
      </w:r>
      <w:r>
        <w:rPr>
          <w:rFonts w:ascii="Times New Roman" w:hAnsi="Times New Roman" w:eastAsia="Times New Roman" w:cs="Times New Roman"/>
          <w:spacing w:val="-1"/>
          <w:sz w:val="24"/>
          <w:szCs w:val="24"/>
        </w:rPr>
        <w:t>kg/t·a</w:t>
      </w:r>
      <w:r>
        <w:rPr>
          <w:rFonts w:ascii="宋体" w:hAnsi="宋体" w:eastAsia="宋体" w:cs="宋体"/>
          <w:spacing w:val="-1"/>
          <w:sz w:val="24"/>
          <w:szCs w:val="24"/>
        </w:rPr>
        <w:t>；</w:t>
      </w:r>
    </w:p>
    <w:p w14:paraId="0B8144B4">
      <w:pPr>
        <w:spacing w:before="204" w:line="220" w:lineRule="auto"/>
        <w:ind w:left="597"/>
        <w:rPr>
          <w:rFonts w:ascii="宋体" w:hAnsi="宋体" w:eastAsia="宋体" w:cs="宋体"/>
          <w:sz w:val="24"/>
          <w:szCs w:val="24"/>
        </w:rPr>
      </w:pPr>
      <w:r>
        <w:rPr>
          <w:rFonts w:ascii="Times New Roman" w:hAnsi="Times New Roman" w:eastAsia="Times New Roman" w:cs="Times New Roman"/>
          <w:spacing w:val="-1"/>
          <w:sz w:val="24"/>
          <w:szCs w:val="24"/>
        </w:rPr>
        <w:t>V</w:t>
      </w:r>
      <w:r>
        <w:rPr>
          <w:rFonts w:ascii="Times New Roman" w:hAnsi="Times New Roman" w:eastAsia="Times New Roman" w:cs="Times New Roman"/>
          <w:spacing w:val="-1"/>
          <w:position w:val="-1"/>
          <w:sz w:val="15"/>
          <w:szCs w:val="15"/>
        </w:rPr>
        <w:t>50</w:t>
      </w:r>
      <w:r>
        <w:rPr>
          <w:rFonts w:ascii="Times New Roman" w:hAnsi="Times New Roman" w:eastAsia="Times New Roman" w:cs="Times New Roman"/>
          <w:spacing w:val="-1"/>
          <w:sz w:val="24"/>
          <w:szCs w:val="24"/>
        </w:rPr>
        <w:t>—</w:t>
      </w:r>
      <w:r>
        <w:rPr>
          <w:rFonts w:ascii="宋体" w:hAnsi="宋体" w:eastAsia="宋体" w:cs="宋体"/>
          <w:spacing w:val="-1"/>
          <w:sz w:val="24"/>
          <w:szCs w:val="24"/>
        </w:rPr>
        <w:t>距地面</w:t>
      </w:r>
      <w:r>
        <w:rPr>
          <w:rFonts w:ascii="宋体" w:hAnsi="宋体" w:eastAsia="宋体" w:cs="宋体"/>
          <w:spacing w:val="-39"/>
          <w:sz w:val="24"/>
          <w:szCs w:val="24"/>
        </w:rPr>
        <w:t xml:space="preserve"> </w:t>
      </w:r>
      <w:r>
        <w:rPr>
          <w:rFonts w:ascii="Times New Roman" w:hAnsi="Times New Roman" w:eastAsia="Times New Roman" w:cs="Times New Roman"/>
          <w:spacing w:val="-1"/>
          <w:sz w:val="24"/>
          <w:szCs w:val="24"/>
        </w:rPr>
        <w:t xml:space="preserve">50m </w:t>
      </w:r>
      <w:r>
        <w:rPr>
          <w:rFonts w:ascii="宋体" w:hAnsi="宋体" w:eastAsia="宋体" w:cs="宋体"/>
          <w:spacing w:val="-1"/>
          <w:sz w:val="24"/>
          <w:szCs w:val="24"/>
        </w:rPr>
        <w:t>风速，</w:t>
      </w:r>
      <w:r>
        <w:rPr>
          <w:rFonts w:ascii="Times New Roman" w:hAnsi="Times New Roman" w:eastAsia="Times New Roman" w:cs="Times New Roman"/>
          <w:spacing w:val="-1"/>
          <w:sz w:val="24"/>
          <w:szCs w:val="24"/>
        </w:rPr>
        <w:t>m/s</w:t>
      </w:r>
      <w:r>
        <w:rPr>
          <w:rFonts w:ascii="宋体" w:hAnsi="宋体" w:eastAsia="宋体" w:cs="宋体"/>
          <w:spacing w:val="-1"/>
          <w:sz w:val="24"/>
          <w:szCs w:val="24"/>
        </w:rPr>
        <w:t>；</w:t>
      </w:r>
    </w:p>
    <w:p w14:paraId="4A61E069">
      <w:pPr>
        <w:spacing w:before="194" w:line="220" w:lineRule="auto"/>
        <w:ind w:left="597"/>
        <w:rPr>
          <w:rFonts w:ascii="宋体" w:hAnsi="宋体" w:eastAsia="宋体" w:cs="宋体"/>
          <w:sz w:val="24"/>
          <w:szCs w:val="24"/>
        </w:rPr>
      </w:pPr>
      <w:r>
        <w:rPr>
          <w:rFonts w:ascii="Times New Roman" w:hAnsi="Times New Roman" w:eastAsia="Times New Roman" w:cs="Times New Roman"/>
          <w:sz w:val="24"/>
          <w:szCs w:val="24"/>
        </w:rPr>
        <w:t>V</w:t>
      </w:r>
      <w:r>
        <w:rPr>
          <w:rFonts w:ascii="Times New Roman" w:hAnsi="Times New Roman" w:eastAsia="Times New Roman" w:cs="Times New Roman"/>
          <w:position w:val="-1"/>
          <w:sz w:val="15"/>
          <w:szCs w:val="15"/>
        </w:rPr>
        <w:t>0</w:t>
      </w:r>
      <w:r>
        <w:rPr>
          <w:rFonts w:ascii="Times New Roman" w:hAnsi="Times New Roman" w:eastAsia="Times New Roman" w:cs="Times New Roman"/>
          <w:sz w:val="24"/>
          <w:szCs w:val="24"/>
        </w:rPr>
        <w:t>—</w:t>
      </w:r>
      <w:r>
        <w:rPr>
          <w:rFonts w:ascii="宋体" w:hAnsi="宋体" w:eastAsia="宋体" w:cs="宋体"/>
          <w:sz w:val="24"/>
          <w:szCs w:val="24"/>
        </w:rPr>
        <w:t>起尘风速，</w:t>
      </w:r>
      <w:r>
        <w:rPr>
          <w:rFonts w:ascii="Times New Roman" w:hAnsi="Times New Roman" w:eastAsia="Times New Roman" w:cs="Times New Roman"/>
          <w:sz w:val="24"/>
          <w:szCs w:val="24"/>
        </w:rPr>
        <w:t>m/s</w:t>
      </w:r>
      <w:r>
        <w:rPr>
          <w:rFonts w:ascii="宋体" w:hAnsi="宋体" w:eastAsia="宋体" w:cs="宋体"/>
          <w:sz w:val="24"/>
          <w:szCs w:val="24"/>
        </w:rPr>
        <w:t>；</w:t>
      </w:r>
    </w:p>
    <w:p w14:paraId="4A16F4E4">
      <w:pPr>
        <w:spacing w:before="192" w:line="219" w:lineRule="auto"/>
        <w:ind w:left="598"/>
        <w:rPr>
          <w:rFonts w:ascii="宋体" w:hAnsi="宋体" w:eastAsia="宋体" w:cs="宋体"/>
          <w:sz w:val="24"/>
          <w:szCs w:val="24"/>
        </w:rPr>
      </w:pPr>
      <w:r>
        <w:rPr>
          <w:rFonts w:ascii="Times New Roman" w:hAnsi="Times New Roman" w:eastAsia="Times New Roman" w:cs="Times New Roman"/>
          <w:spacing w:val="-1"/>
          <w:sz w:val="24"/>
          <w:szCs w:val="24"/>
        </w:rPr>
        <w:t>W—</w:t>
      </w:r>
      <w:r>
        <w:rPr>
          <w:rFonts w:ascii="宋体" w:hAnsi="宋体" w:eastAsia="宋体" w:cs="宋体"/>
          <w:spacing w:val="-1"/>
          <w:sz w:val="24"/>
          <w:szCs w:val="24"/>
        </w:rPr>
        <w:t>尘粒的含水率，</w:t>
      </w:r>
      <w:r>
        <w:rPr>
          <w:rFonts w:ascii="Times New Roman" w:hAnsi="Times New Roman" w:eastAsia="Times New Roman" w:cs="Times New Roman"/>
          <w:spacing w:val="-1"/>
          <w:sz w:val="24"/>
          <w:szCs w:val="24"/>
        </w:rPr>
        <w:t>%</w:t>
      </w:r>
      <w:r>
        <w:rPr>
          <w:rFonts w:ascii="宋体" w:hAnsi="宋体" w:eastAsia="宋体" w:cs="宋体"/>
          <w:spacing w:val="-1"/>
          <w:sz w:val="24"/>
          <w:szCs w:val="24"/>
        </w:rPr>
        <w:t>。</w:t>
      </w:r>
    </w:p>
    <w:p w14:paraId="2C4B3E9C">
      <w:pPr>
        <w:spacing w:before="195" w:line="359" w:lineRule="auto"/>
        <w:ind w:left="124" w:right="117" w:firstLine="480"/>
        <w:jc w:val="both"/>
        <w:rPr>
          <w:rFonts w:ascii="宋体" w:hAnsi="宋体" w:eastAsia="宋体" w:cs="宋体"/>
          <w:sz w:val="24"/>
          <w:szCs w:val="24"/>
        </w:rPr>
      </w:pPr>
      <w:r>
        <w:rPr>
          <w:rFonts w:ascii="宋体" w:hAnsi="宋体" w:eastAsia="宋体" w:cs="宋体"/>
          <w:spacing w:val="-2"/>
          <w:sz w:val="24"/>
          <w:szCs w:val="24"/>
        </w:rPr>
        <w:t>起尘风速与粒径和含水率有关，因此减小露天堆场和保证一定的含水率及减少裸露</w:t>
      </w:r>
      <w:r>
        <w:rPr>
          <w:rFonts w:ascii="宋体" w:hAnsi="宋体" w:eastAsia="宋体" w:cs="宋体"/>
          <w:spacing w:val="12"/>
          <w:sz w:val="24"/>
          <w:szCs w:val="24"/>
        </w:rPr>
        <w:t xml:space="preserve"> </w:t>
      </w:r>
      <w:r>
        <w:rPr>
          <w:rFonts w:ascii="宋体" w:hAnsi="宋体" w:eastAsia="宋体" w:cs="宋体"/>
          <w:spacing w:val="-2"/>
          <w:sz w:val="24"/>
          <w:szCs w:val="24"/>
        </w:rPr>
        <w:t>地面是减少风力起尘的有效手段。粉尘在空气中的扩散稀散与风速等气象条件有关，也</w:t>
      </w:r>
      <w:r>
        <w:rPr>
          <w:rFonts w:ascii="宋体" w:hAnsi="宋体" w:eastAsia="宋体" w:cs="宋体"/>
          <w:spacing w:val="17"/>
          <w:sz w:val="24"/>
          <w:szCs w:val="24"/>
        </w:rPr>
        <w:t xml:space="preserve"> </w:t>
      </w:r>
      <w:r>
        <w:rPr>
          <w:rFonts w:ascii="宋体" w:hAnsi="宋体" w:eastAsia="宋体" w:cs="宋体"/>
          <w:spacing w:val="-1"/>
          <w:sz w:val="24"/>
          <w:szCs w:val="24"/>
        </w:rPr>
        <w:t>与粉尘的沉降速度有关。不同粒径的沉降速度见表</w:t>
      </w:r>
      <w:r>
        <w:rPr>
          <w:rFonts w:ascii="宋体" w:hAnsi="宋体" w:eastAsia="宋体" w:cs="宋体"/>
          <w:spacing w:val="-44"/>
          <w:sz w:val="24"/>
          <w:szCs w:val="24"/>
        </w:rPr>
        <w:t xml:space="preserve"> </w:t>
      </w:r>
      <w:r>
        <w:rPr>
          <w:rFonts w:ascii="Times New Roman" w:hAnsi="Times New Roman" w:eastAsia="Times New Roman" w:cs="Times New Roman"/>
          <w:spacing w:val="-1"/>
          <w:sz w:val="24"/>
          <w:szCs w:val="24"/>
        </w:rPr>
        <w:t>4.7-1</w:t>
      </w:r>
      <w:r>
        <w:rPr>
          <w:rFonts w:ascii="宋体" w:hAnsi="宋体" w:eastAsia="宋体" w:cs="宋体"/>
          <w:spacing w:val="-1"/>
          <w:sz w:val="24"/>
          <w:szCs w:val="24"/>
        </w:rPr>
        <w:t>。</w:t>
      </w:r>
    </w:p>
    <w:p w14:paraId="5BAF3FA4">
      <w:pPr>
        <w:spacing w:line="359" w:lineRule="auto"/>
        <w:rPr>
          <w:rFonts w:ascii="宋体" w:hAnsi="宋体" w:eastAsia="宋体" w:cs="宋体"/>
          <w:sz w:val="24"/>
          <w:szCs w:val="24"/>
        </w:rPr>
        <w:sectPr>
          <w:footerReference r:id="rId366" w:type="default"/>
          <w:pgSz w:w="11906" w:h="16839"/>
          <w:pgMar w:top="1191" w:right="1300" w:bottom="1569" w:left="1300" w:header="882" w:footer="1407" w:gutter="0"/>
          <w:cols w:space="720" w:num="1"/>
        </w:sectPr>
      </w:pPr>
    </w:p>
    <w:p w14:paraId="6842C447">
      <w:pPr>
        <w:spacing w:line="28" w:lineRule="exact"/>
        <w:ind w:firstLine="106"/>
      </w:pPr>
      <w:r>
        <w:pict>
          <v:shape id="_x0000_s1848" o:spid="_x0000_s1848" style="height:1.45pt;width:453.65pt;" fillcolor="#000000" filled="t" stroked="f" coordsize="9072,29" path="m0,0l9072,0,9072,28,0,28,0,0xe">
            <v:path/>
            <v:fill on="t" focussize="0,0"/>
            <v:stroke on="f"/>
            <v:imagedata o:title=""/>
            <o:lock v:ext="edit"/>
            <w10:wrap type="none"/>
            <w10:anchorlock/>
          </v:shape>
        </w:pict>
      </w:r>
    </w:p>
    <w:p w14:paraId="19240A51">
      <w:pPr>
        <w:pStyle w:val="2"/>
        <w:spacing w:line="264" w:lineRule="auto"/>
      </w:pPr>
    </w:p>
    <w:p w14:paraId="6E46CB44">
      <w:pPr>
        <w:spacing w:before="65" w:line="228" w:lineRule="auto"/>
        <w:ind w:left="2613"/>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6"/>
          <w:sz w:val="20"/>
          <w:szCs w:val="20"/>
        </w:rPr>
        <w:t xml:space="preserve"> </w:t>
      </w:r>
      <w:r>
        <w:rPr>
          <w:rFonts w:ascii="Times New Roman" w:hAnsi="Times New Roman" w:eastAsia="Times New Roman" w:cs="Times New Roman"/>
          <w:b/>
          <w:bCs/>
          <w:spacing w:val="5"/>
          <w:sz w:val="20"/>
          <w:szCs w:val="20"/>
        </w:rPr>
        <w:t xml:space="preserve">4.7-1        </w:t>
      </w:r>
      <w:r>
        <w:rPr>
          <w:rFonts w:ascii="宋体" w:hAnsi="宋体" w:eastAsia="宋体" w:cs="宋体"/>
          <w:b/>
          <w:bCs/>
          <w:spacing w:val="5"/>
          <w:sz w:val="20"/>
          <w:szCs w:val="20"/>
        </w:rPr>
        <w:t>不同粒径尘粒的沉降速度一览表</w:t>
      </w:r>
    </w:p>
    <w:p w14:paraId="28FB1B12">
      <w:pPr>
        <w:spacing w:line="97" w:lineRule="exact"/>
      </w:pPr>
    </w:p>
    <w:tbl>
      <w:tblPr>
        <w:tblStyle w:val="5"/>
        <w:tblW w:w="928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70"/>
        <w:gridCol w:w="963"/>
        <w:gridCol w:w="961"/>
        <w:gridCol w:w="961"/>
        <w:gridCol w:w="961"/>
        <w:gridCol w:w="965"/>
        <w:gridCol w:w="958"/>
        <w:gridCol w:w="1144"/>
      </w:tblGrid>
      <w:tr w14:paraId="2DD141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2370" w:type="dxa"/>
            <w:tcBorders>
              <w:top w:val="single" w:color="000000" w:sz="10" w:space="0"/>
              <w:left w:val="nil"/>
            </w:tcBorders>
            <w:vAlign w:val="top"/>
          </w:tcPr>
          <w:p w14:paraId="78EED592">
            <w:pPr>
              <w:pStyle w:val="6"/>
              <w:spacing w:before="53" w:line="221" w:lineRule="auto"/>
              <w:ind w:left="424"/>
              <w:rPr>
                <w:sz w:val="20"/>
                <w:szCs w:val="20"/>
              </w:rPr>
            </w:pPr>
            <w:r>
              <w:rPr>
                <w:spacing w:val="4"/>
                <w:sz w:val="20"/>
                <w:szCs w:val="20"/>
              </w:rPr>
              <w:t>粉尘粒径</w:t>
            </w:r>
            <w:r>
              <w:rPr>
                <w:spacing w:val="20"/>
                <w:sz w:val="20"/>
                <w:szCs w:val="20"/>
              </w:rPr>
              <w:t xml:space="preserve"> </w:t>
            </w:r>
            <w:r>
              <w:rPr>
                <w:spacing w:val="4"/>
                <w:sz w:val="20"/>
                <w:szCs w:val="20"/>
              </w:rPr>
              <w:t>(</w:t>
            </w:r>
            <w:r>
              <w:rPr>
                <w:rFonts w:ascii="Times New Roman" w:hAnsi="Times New Roman" w:eastAsia="Times New Roman" w:cs="Times New Roman"/>
                <w:spacing w:val="4"/>
                <w:sz w:val="20"/>
                <w:szCs w:val="20"/>
              </w:rPr>
              <w:t>μm</w:t>
            </w:r>
            <w:r>
              <w:rPr>
                <w:spacing w:val="4"/>
                <w:sz w:val="20"/>
                <w:szCs w:val="20"/>
              </w:rPr>
              <w:t>）</w:t>
            </w:r>
          </w:p>
        </w:tc>
        <w:tc>
          <w:tcPr>
            <w:tcW w:w="963" w:type="dxa"/>
            <w:tcBorders>
              <w:top w:val="single" w:color="000000" w:sz="10" w:space="0"/>
            </w:tcBorders>
            <w:vAlign w:val="top"/>
          </w:tcPr>
          <w:p w14:paraId="6F989CD3">
            <w:pPr>
              <w:spacing w:before="89" w:line="195" w:lineRule="auto"/>
              <w:ind w:left="39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961" w:type="dxa"/>
            <w:tcBorders>
              <w:top w:val="single" w:color="000000" w:sz="10" w:space="0"/>
            </w:tcBorders>
            <w:vAlign w:val="top"/>
          </w:tcPr>
          <w:p w14:paraId="73B0FA5B">
            <w:pPr>
              <w:spacing w:before="89" w:line="195" w:lineRule="auto"/>
              <w:ind w:left="37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961" w:type="dxa"/>
            <w:tcBorders>
              <w:top w:val="single" w:color="000000" w:sz="10" w:space="0"/>
            </w:tcBorders>
            <w:vAlign w:val="top"/>
          </w:tcPr>
          <w:p w14:paraId="4FFE071D">
            <w:pPr>
              <w:spacing w:before="89" w:line="195" w:lineRule="auto"/>
              <w:ind w:left="381"/>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961" w:type="dxa"/>
            <w:tcBorders>
              <w:top w:val="single" w:color="000000" w:sz="10" w:space="0"/>
            </w:tcBorders>
            <w:vAlign w:val="top"/>
          </w:tcPr>
          <w:p w14:paraId="4649A576">
            <w:pPr>
              <w:spacing w:before="89" w:line="195" w:lineRule="auto"/>
              <w:ind w:left="3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965" w:type="dxa"/>
            <w:tcBorders>
              <w:top w:val="single" w:color="000000" w:sz="10" w:space="0"/>
            </w:tcBorders>
            <w:vAlign w:val="top"/>
          </w:tcPr>
          <w:p w14:paraId="369E0425">
            <w:pPr>
              <w:spacing w:before="89" w:line="195" w:lineRule="auto"/>
              <w:ind w:left="383"/>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958" w:type="dxa"/>
            <w:tcBorders>
              <w:top w:val="single" w:color="000000" w:sz="10" w:space="0"/>
            </w:tcBorders>
            <w:vAlign w:val="top"/>
          </w:tcPr>
          <w:p w14:paraId="6FBCB7BE">
            <w:pPr>
              <w:spacing w:before="89" w:line="195" w:lineRule="auto"/>
              <w:ind w:left="380"/>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144" w:type="dxa"/>
            <w:tcBorders>
              <w:top w:val="single" w:color="000000" w:sz="10" w:space="0"/>
              <w:right w:val="nil"/>
            </w:tcBorders>
            <w:vAlign w:val="top"/>
          </w:tcPr>
          <w:p w14:paraId="2914B7F0">
            <w:pPr>
              <w:spacing w:before="89" w:line="195" w:lineRule="auto"/>
              <w:ind w:left="4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r>
      <w:tr w14:paraId="594B58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370" w:type="dxa"/>
            <w:tcBorders>
              <w:left w:val="nil"/>
            </w:tcBorders>
            <w:vAlign w:val="top"/>
          </w:tcPr>
          <w:p w14:paraId="2A208539">
            <w:pPr>
              <w:pStyle w:val="6"/>
              <w:spacing w:before="64" w:line="228" w:lineRule="auto"/>
              <w:ind w:left="410"/>
              <w:rPr>
                <w:sz w:val="20"/>
                <w:szCs w:val="20"/>
              </w:rPr>
            </w:pPr>
            <w:r>
              <w:rPr>
                <w:spacing w:val="6"/>
                <w:sz w:val="20"/>
                <w:szCs w:val="20"/>
              </w:rPr>
              <w:t>沉降速度（</w:t>
            </w:r>
            <w:r>
              <w:rPr>
                <w:rFonts w:ascii="Times New Roman" w:hAnsi="Times New Roman" w:eastAsia="Times New Roman" w:cs="Times New Roman"/>
                <w:spacing w:val="6"/>
                <w:sz w:val="20"/>
                <w:szCs w:val="20"/>
              </w:rPr>
              <w:t>m/s</w:t>
            </w:r>
            <w:r>
              <w:rPr>
                <w:spacing w:val="6"/>
                <w:sz w:val="20"/>
                <w:szCs w:val="20"/>
              </w:rPr>
              <w:t>）</w:t>
            </w:r>
          </w:p>
        </w:tc>
        <w:tc>
          <w:tcPr>
            <w:tcW w:w="963" w:type="dxa"/>
            <w:vAlign w:val="top"/>
          </w:tcPr>
          <w:p w14:paraId="07F69B24">
            <w:pPr>
              <w:spacing w:before="100" w:line="195" w:lineRule="auto"/>
              <w:ind w:left="2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0.003</w:t>
            </w:r>
          </w:p>
        </w:tc>
        <w:tc>
          <w:tcPr>
            <w:tcW w:w="961" w:type="dxa"/>
            <w:vAlign w:val="top"/>
          </w:tcPr>
          <w:p w14:paraId="005C34A7">
            <w:pPr>
              <w:spacing w:before="100"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0.012</w:t>
            </w:r>
          </w:p>
        </w:tc>
        <w:tc>
          <w:tcPr>
            <w:tcW w:w="961" w:type="dxa"/>
            <w:vAlign w:val="top"/>
          </w:tcPr>
          <w:p w14:paraId="23437AAA">
            <w:pPr>
              <w:spacing w:before="100"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0.027</w:t>
            </w:r>
          </w:p>
        </w:tc>
        <w:tc>
          <w:tcPr>
            <w:tcW w:w="961" w:type="dxa"/>
            <w:vAlign w:val="top"/>
          </w:tcPr>
          <w:p w14:paraId="1B8F5D39">
            <w:pPr>
              <w:spacing w:before="100" w:line="195" w:lineRule="auto"/>
              <w:ind w:left="2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0.048</w:t>
            </w:r>
          </w:p>
        </w:tc>
        <w:tc>
          <w:tcPr>
            <w:tcW w:w="965" w:type="dxa"/>
            <w:vAlign w:val="top"/>
          </w:tcPr>
          <w:p w14:paraId="3A0A4962">
            <w:pPr>
              <w:spacing w:before="100" w:line="195" w:lineRule="auto"/>
              <w:ind w:left="2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0.075</w:t>
            </w:r>
          </w:p>
        </w:tc>
        <w:tc>
          <w:tcPr>
            <w:tcW w:w="958" w:type="dxa"/>
            <w:vAlign w:val="top"/>
          </w:tcPr>
          <w:p w14:paraId="22BB1C17">
            <w:pPr>
              <w:spacing w:before="100" w:line="195" w:lineRule="auto"/>
              <w:ind w:left="27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0108</w:t>
            </w:r>
          </w:p>
        </w:tc>
        <w:tc>
          <w:tcPr>
            <w:tcW w:w="1144" w:type="dxa"/>
            <w:tcBorders>
              <w:right w:val="nil"/>
            </w:tcBorders>
            <w:vAlign w:val="top"/>
          </w:tcPr>
          <w:p w14:paraId="1B5FDBD1">
            <w:pPr>
              <w:spacing w:before="100" w:line="195" w:lineRule="auto"/>
              <w:ind w:left="3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0.147</w:t>
            </w:r>
          </w:p>
        </w:tc>
      </w:tr>
      <w:tr w14:paraId="7FB964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370" w:type="dxa"/>
            <w:tcBorders>
              <w:left w:val="nil"/>
            </w:tcBorders>
            <w:vAlign w:val="top"/>
          </w:tcPr>
          <w:p w14:paraId="05108D65">
            <w:pPr>
              <w:pStyle w:val="6"/>
              <w:spacing w:before="66" w:line="221" w:lineRule="auto"/>
              <w:ind w:left="424"/>
              <w:rPr>
                <w:sz w:val="20"/>
                <w:szCs w:val="20"/>
              </w:rPr>
            </w:pPr>
            <w:r>
              <w:rPr>
                <w:spacing w:val="4"/>
                <w:sz w:val="20"/>
                <w:szCs w:val="20"/>
              </w:rPr>
              <w:t>粉尘粒径</w:t>
            </w:r>
            <w:r>
              <w:rPr>
                <w:spacing w:val="20"/>
                <w:sz w:val="20"/>
                <w:szCs w:val="20"/>
              </w:rPr>
              <w:t xml:space="preserve"> </w:t>
            </w:r>
            <w:r>
              <w:rPr>
                <w:spacing w:val="4"/>
                <w:sz w:val="20"/>
                <w:szCs w:val="20"/>
              </w:rPr>
              <w:t>(</w:t>
            </w:r>
            <w:r>
              <w:rPr>
                <w:rFonts w:ascii="Times New Roman" w:hAnsi="Times New Roman" w:eastAsia="Times New Roman" w:cs="Times New Roman"/>
                <w:spacing w:val="4"/>
                <w:sz w:val="20"/>
                <w:szCs w:val="20"/>
              </w:rPr>
              <w:t>μm</w:t>
            </w:r>
            <w:r>
              <w:rPr>
                <w:spacing w:val="4"/>
                <w:sz w:val="20"/>
                <w:szCs w:val="20"/>
              </w:rPr>
              <w:t>）</w:t>
            </w:r>
          </w:p>
        </w:tc>
        <w:tc>
          <w:tcPr>
            <w:tcW w:w="963" w:type="dxa"/>
            <w:vAlign w:val="top"/>
          </w:tcPr>
          <w:p w14:paraId="560B55F5">
            <w:pPr>
              <w:spacing w:before="105" w:line="195" w:lineRule="auto"/>
              <w:ind w:left="38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w:t>
            </w:r>
          </w:p>
        </w:tc>
        <w:tc>
          <w:tcPr>
            <w:tcW w:w="961" w:type="dxa"/>
            <w:vAlign w:val="top"/>
          </w:tcPr>
          <w:p w14:paraId="0CC1FA7D">
            <w:pPr>
              <w:spacing w:before="105" w:line="195" w:lineRule="auto"/>
              <w:ind w:left="380"/>
              <w:rPr>
                <w:rFonts w:ascii="Times New Roman" w:hAnsi="Times New Roman" w:eastAsia="Times New Roman" w:cs="Times New Roman"/>
                <w:sz w:val="20"/>
                <w:szCs w:val="20"/>
              </w:rPr>
            </w:pPr>
            <w:r>
              <w:rPr>
                <w:rFonts w:ascii="Times New Roman" w:hAnsi="Times New Roman" w:eastAsia="Times New Roman" w:cs="Times New Roman"/>
                <w:sz w:val="20"/>
                <w:szCs w:val="20"/>
              </w:rPr>
              <w:t>90</w:t>
            </w:r>
          </w:p>
        </w:tc>
        <w:tc>
          <w:tcPr>
            <w:tcW w:w="961" w:type="dxa"/>
            <w:vAlign w:val="top"/>
          </w:tcPr>
          <w:p w14:paraId="5A703A3B">
            <w:pPr>
              <w:spacing w:before="105" w:line="195" w:lineRule="auto"/>
              <w:ind w:left="34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961" w:type="dxa"/>
            <w:vAlign w:val="top"/>
          </w:tcPr>
          <w:p w14:paraId="502BBA90">
            <w:pPr>
              <w:spacing w:before="105" w:line="195" w:lineRule="auto"/>
              <w:ind w:left="34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150</w:t>
            </w:r>
          </w:p>
        </w:tc>
        <w:tc>
          <w:tcPr>
            <w:tcW w:w="965" w:type="dxa"/>
            <w:vAlign w:val="top"/>
          </w:tcPr>
          <w:p w14:paraId="3328914A">
            <w:pPr>
              <w:spacing w:before="105" w:line="195" w:lineRule="auto"/>
              <w:ind w:left="32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958" w:type="dxa"/>
            <w:vAlign w:val="top"/>
          </w:tcPr>
          <w:p w14:paraId="70C16369">
            <w:pPr>
              <w:spacing w:before="105"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c>
          <w:tcPr>
            <w:tcW w:w="1144" w:type="dxa"/>
            <w:tcBorders>
              <w:right w:val="nil"/>
            </w:tcBorders>
            <w:vAlign w:val="top"/>
          </w:tcPr>
          <w:p w14:paraId="23A48D6D">
            <w:pPr>
              <w:spacing w:before="105" w:line="195" w:lineRule="auto"/>
              <w:ind w:left="42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350</w:t>
            </w:r>
          </w:p>
        </w:tc>
      </w:tr>
      <w:tr w14:paraId="52755F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370" w:type="dxa"/>
            <w:tcBorders>
              <w:left w:val="nil"/>
            </w:tcBorders>
            <w:vAlign w:val="top"/>
          </w:tcPr>
          <w:p w14:paraId="56BDBA95">
            <w:pPr>
              <w:pStyle w:val="6"/>
              <w:spacing w:before="71" w:line="228" w:lineRule="auto"/>
              <w:ind w:left="410"/>
              <w:rPr>
                <w:sz w:val="20"/>
                <w:szCs w:val="20"/>
              </w:rPr>
            </w:pPr>
            <w:r>
              <w:rPr>
                <w:spacing w:val="6"/>
                <w:sz w:val="20"/>
                <w:szCs w:val="20"/>
              </w:rPr>
              <w:t>沉降速度（</w:t>
            </w:r>
            <w:r>
              <w:rPr>
                <w:rFonts w:ascii="Times New Roman" w:hAnsi="Times New Roman" w:eastAsia="Times New Roman" w:cs="Times New Roman"/>
                <w:spacing w:val="6"/>
                <w:sz w:val="20"/>
                <w:szCs w:val="20"/>
              </w:rPr>
              <w:t>m/s</w:t>
            </w:r>
            <w:r>
              <w:rPr>
                <w:spacing w:val="6"/>
                <w:sz w:val="20"/>
                <w:szCs w:val="20"/>
              </w:rPr>
              <w:t>）</w:t>
            </w:r>
          </w:p>
        </w:tc>
        <w:tc>
          <w:tcPr>
            <w:tcW w:w="963" w:type="dxa"/>
            <w:vAlign w:val="top"/>
          </w:tcPr>
          <w:p w14:paraId="4A50C90F">
            <w:pPr>
              <w:spacing w:before="107" w:line="195" w:lineRule="auto"/>
              <w:ind w:left="2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0.158</w:t>
            </w:r>
          </w:p>
        </w:tc>
        <w:tc>
          <w:tcPr>
            <w:tcW w:w="961" w:type="dxa"/>
            <w:vAlign w:val="top"/>
          </w:tcPr>
          <w:p w14:paraId="5654FFF9">
            <w:pPr>
              <w:spacing w:before="107"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0.170</w:t>
            </w:r>
          </w:p>
        </w:tc>
        <w:tc>
          <w:tcPr>
            <w:tcW w:w="961" w:type="dxa"/>
            <w:vAlign w:val="top"/>
          </w:tcPr>
          <w:p w14:paraId="250DAB82">
            <w:pPr>
              <w:spacing w:before="107"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0.182</w:t>
            </w:r>
          </w:p>
        </w:tc>
        <w:tc>
          <w:tcPr>
            <w:tcW w:w="961" w:type="dxa"/>
            <w:vAlign w:val="top"/>
          </w:tcPr>
          <w:p w14:paraId="3FEDE1D5">
            <w:pPr>
              <w:spacing w:before="107" w:line="195" w:lineRule="auto"/>
              <w:ind w:left="2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0.239</w:t>
            </w:r>
          </w:p>
        </w:tc>
        <w:tc>
          <w:tcPr>
            <w:tcW w:w="965" w:type="dxa"/>
            <w:vAlign w:val="top"/>
          </w:tcPr>
          <w:p w14:paraId="4A61F532">
            <w:pPr>
              <w:spacing w:before="107" w:line="195" w:lineRule="auto"/>
              <w:ind w:left="2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0.804</w:t>
            </w:r>
          </w:p>
        </w:tc>
        <w:tc>
          <w:tcPr>
            <w:tcW w:w="958" w:type="dxa"/>
            <w:vAlign w:val="top"/>
          </w:tcPr>
          <w:p w14:paraId="51870D23">
            <w:pPr>
              <w:spacing w:before="107" w:line="195" w:lineRule="auto"/>
              <w:ind w:left="26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1.005</w:t>
            </w:r>
          </w:p>
        </w:tc>
        <w:tc>
          <w:tcPr>
            <w:tcW w:w="1144" w:type="dxa"/>
            <w:tcBorders>
              <w:right w:val="nil"/>
            </w:tcBorders>
            <w:vAlign w:val="top"/>
          </w:tcPr>
          <w:p w14:paraId="7C3F5324">
            <w:pPr>
              <w:spacing w:before="107" w:line="195" w:lineRule="auto"/>
              <w:ind w:left="35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1.829</w:t>
            </w:r>
          </w:p>
        </w:tc>
      </w:tr>
      <w:tr w14:paraId="6AC1B6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370" w:type="dxa"/>
            <w:tcBorders>
              <w:left w:val="nil"/>
            </w:tcBorders>
            <w:vAlign w:val="top"/>
          </w:tcPr>
          <w:p w14:paraId="09C51098">
            <w:pPr>
              <w:pStyle w:val="6"/>
              <w:spacing w:before="76" w:line="221" w:lineRule="auto"/>
              <w:ind w:left="424"/>
              <w:rPr>
                <w:sz w:val="20"/>
                <w:szCs w:val="20"/>
              </w:rPr>
            </w:pPr>
            <w:r>
              <w:rPr>
                <w:spacing w:val="4"/>
                <w:sz w:val="20"/>
                <w:szCs w:val="20"/>
              </w:rPr>
              <w:t>粉尘粒径</w:t>
            </w:r>
            <w:r>
              <w:rPr>
                <w:spacing w:val="20"/>
                <w:sz w:val="20"/>
                <w:szCs w:val="20"/>
              </w:rPr>
              <w:t xml:space="preserve"> </w:t>
            </w:r>
            <w:r>
              <w:rPr>
                <w:spacing w:val="4"/>
                <w:sz w:val="20"/>
                <w:szCs w:val="20"/>
              </w:rPr>
              <w:t>(</w:t>
            </w:r>
            <w:r>
              <w:rPr>
                <w:rFonts w:ascii="Times New Roman" w:hAnsi="Times New Roman" w:eastAsia="Times New Roman" w:cs="Times New Roman"/>
                <w:spacing w:val="4"/>
                <w:sz w:val="20"/>
                <w:szCs w:val="20"/>
              </w:rPr>
              <w:t>μm</w:t>
            </w:r>
            <w:r>
              <w:rPr>
                <w:spacing w:val="4"/>
                <w:sz w:val="20"/>
                <w:szCs w:val="20"/>
              </w:rPr>
              <w:t>）</w:t>
            </w:r>
          </w:p>
        </w:tc>
        <w:tc>
          <w:tcPr>
            <w:tcW w:w="963" w:type="dxa"/>
            <w:vAlign w:val="top"/>
          </w:tcPr>
          <w:p w14:paraId="4D60AD00">
            <w:pPr>
              <w:spacing w:before="112" w:line="195" w:lineRule="auto"/>
              <w:ind w:left="32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450</w:t>
            </w:r>
          </w:p>
        </w:tc>
        <w:tc>
          <w:tcPr>
            <w:tcW w:w="961" w:type="dxa"/>
            <w:vAlign w:val="top"/>
          </w:tcPr>
          <w:p w14:paraId="222C5D10">
            <w:pPr>
              <w:spacing w:before="112" w:line="195" w:lineRule="auto"/>
              <w:ind w:left="33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550</w:t>
            </w:r>
          </w:p>
        </w:tc>
        <w:tc>
          <w:tcPr>
            <w:tcW w:w="961" w:type="dxa"/>
            <w:vAlign w:val="top"/>
          </w:tcPr>
          <w:p w14:paraId="4F635644">
            <w:pPr>
              <w:spacing w:before="112" w:line="195" w:lineRule="auto"/>
              <w:ind w:left="3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650</w:t>
            </w:r>
          </w:p>
        </w:tc>
        <w:tc>
          <w:tcPr>
            <w:tcW w:w="961" w:type="dxa"/>
            <w:vAlign w:val="top"/>
          </w:tcPr>
          <w:p w14:paraId="5DE4AD2C">
            <w:pPr>
              <w:spacing w:before="112" w:line="195" w:lineRule="auto"/>
              <w:ind w:left="32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750</w:t>
            </w:r>
          </w:p>
        </w:tc>
        <w:tc>
          <w:tcPr>
            <w:tcW w:w="965" w:type="dxa"/>
            <w:vAlign w:val="top"/>
          </w:tcPr>
          <w:p w14:paraId="20C9B46D">
            <w:pPr>
              <w:spacing w:before="112" w:line="195" w:lineRule="auto"/>
              <w:ind w:left="336"/>
              <w:rPr>
                <w:rFonts w:ascii="Times New Roman" w:hAnsi="Times New Roman" w:eastAsia="Times New Roman" w:cs="Times New Roman"/>
                <w:sz w:val="20"/>
                <w:szCs w:val="20"/>
              </w:rPr>
            </w:pPr>
            <w:r>
              <w:rPr>
                <w:rFonts w:ascii="Times New Roman" w:hAnsi="Times New Roman" w:eastAsia="Times New Roman" w:cs="Times New Roman"/>
                <w:sz w:val="20"/>
                <w:szCs w:val="20"/>
              </w:rPr>
              <w:t>850</w:t>
            </w:r>
          </w:p>
        </w:tc>
        <w:tc>
          <w:tcPr>
            <w:tcW w:w="958" w:type="dxa"/>
            <w:vAlign w:val="top"/>
          </w:tcPr>
          <w:p w14:paraId="2D0435AD">
            <w:pPr>
              <w:spacing w:before="112" w:line="195" w:lineRule="auto"/>
              <w:ind w:left="32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950</w:t>
            </w:r>
          </w:p>
        </w:tc>
        <w:tc>
          <w:tcPr>
            <w:tcW w:w="1144" w:type="dxa"/>
            <w:tcBorders>
              <w:right w:val="nil"/>
            </w:tcBorders>
            <w:vAlign w:val="top"/>
          </w:tcPr>
          <w:p w14:paraId="72AA5213">
            <w:pPr>
              <w:spacing w:before="112" w:line="195" w:lineRule="auto"/>
              <w:ind w:left="38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1050</w:t>
            </w:r>
          </w:p>
        </w:tc>
      </w:tr>
      <w:tr w14:paraId="5BDE04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2370" w:type="dxa"/>
            <w:tcBorders>
              <w:left w:val="nil"/>
              <w:bottom w:val="single" w:color="000000" w:sz="10" w:space="0"/>
            </w:tcBorders>
            <w:vAlign w:val="top"/>
          </w:tcPr>
          <w:p w14:paraId="772EB983">
            <w:pPr>
              <w:pStyle w:val="6"/>
              <w:spacing w:before="78" w:line="228" w:lineRule="auto"/>
              <w:ind w:left="410"/>
              <w:rPr>
                <w:sz w:val="20"/>
                <w:szCs w:val="20"/>
              </w:rPr>
            </w:pPr>
            <w:r>
              <w:rPr>
                <w:spacing w:val="6"/>
                <w:sz w:val="20"/>
                <w:szCs w:val="20"/>
              </w:rPr>
              <w:t>沉降速度（</w:t>
            </w:r>
            <w:r>
              <w:rPr>
                <w:rFonts w:ascii="Times New Roman" w:hAnsi="Times New Roman" w:eastAsia="Times New Roman" w:cs="Times New Roman"/>
                <w:spacing w:val="6"/>
                <w:sz w:val="20"/>
                <w:szCs w:val="20"/>
              </w:rPr>
              <w:t>m/s</w:t>
            </w:r>
            <w:r>
              <w:rPr>
                <w:spacing w:val="6"/>
                <w:sz w:val="20"/>
                <w:szCs w:val="20"/>
              </w:rPr>
              <w:t>）</w:t>
            </w:r>
          </w:p>
        </w:tc>
        <w:tc>
          <w:tcPr>
            <w:tcW w:w="963" w:type="dxa"/>
            <w:tcBorders>
              <w:bottom w:val="single" w:color="000000" w:sz="10" w:space="0"/>
            </w:tcBorders>
            <w:vAlign w:val="top"/>
          </w:tcPr>
          <w:p w14:paraId="760C7B0C">
            <w:pPr>
              <w:spacing w:before="117" w:line="195" w:lineRule="auto"/>
              <w:ind w:left="2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2.211</w:t>
            </w:r>
          </w:p>
        </w:tc>
        <w:tc>
          <w:tcPr>
            <w:tcW w:w="961" w:type="dxa"/>
            <w:tcBorders>
              <w:bottom w:val="single" w:color="000000" w:sz="10" w:space="0"/>
            </w:tcBorders>
            <w:vAlign w:val="top"/>
          </w:tcPr>
          <w:p w14:paraId="4E8F1FE1">
            <w:pPr>
              <w:spacing w:before="117" w:line="195" w:lineRule="auto"/>
              <w:ind w:left="24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2.614</w:t>
            </w:r>
          </w:p>
        </w:tc>
        <w:tc>
          <w:tcPr>
            <w:tcW w:w="961" w:type="dxa"/>
            <w:tcBorders>
              <w:bottom w:val="single" w:color="000000" w:sz="10" w:space="0"/>
            </w:tcBorders>
            <w:vAlign w:val="top"/>
          </w:tcPr>
          <w:p w14:paraId="3E7C3AF5">
            <w:pPr>
              <w:spacing w:before="117" w:line="195" w:lineRule="auto"/>
              <w:ind w:left="24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3.016</w:t>
            </w:r>
          </w:p>
        </w:tc>
        <w:tc>
          <w:tcPr>
            <w:tcW w:w="961" w:type="dxa"/>
            <w:tcBorders>
              <w:bottom w:val="single" w:color="000000" w:sz="10" w:space="0"/>
            </w:tcBorders>
            <w:vAlign w:val="top"/>
          </w:tcPr>
          <w:p w14:paraId="513C16BE">
            <w:pPr>
              <w:spacing w:before="117"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3.418</w:t>
            </w:r>
          </w:p>
        </w:tc>
        <w:tc>
          <w:tcPr>
            <w:tcW w:w="965" w:type="dxa"/>
            <w:tcBorders>
              <w:bottom w:val="single" w:color="000000" w:sz="10" w:space="0"/>
            </w:tcBorders>
            <w:vAlign w:val="top"/>
          </w:tcPr>
          <w:p w14:paraId="6D155C9A">
            <w:pPr>
              <w:spacing w:before="117"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3.820</w:t>
            </w:r>
          </w:p>
        </w:tc>
        <w:tc>
          <w:tcPr>
            <w:tcW w:w="958" w:type="dxa"/>
            <w:tcBorders>
              <w:bottom w:val="single" w:color="000000" w:sz="10" w:space="0"/>
            </w:tcBorders>
            <w:vAlign w:val="top"/>
          </w:tcPr>
          <w:p w14:paraId="06292096">
            <w:pPr>
              <w:spacing w:before="117" w:line="195" w:lineRule="auto"/>
              <w:ind w:left="24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4.222</w:t>
            </w:r>
          </w:p>
        </w:tc>
        <w:tc>
          <w:tcPr>
            <w:tcW w:w="1144" w:type="dxa"/>
            <w:tcBorders>
              <w:bottom w:val="single" w:color="000000" w:sz="10" w:space="0"/>
              <w:right w:val="nil"/>
            </w:tcBorders>
            <w:vAlign w:val="top"/>
          </w:tcPr>
          <w:p w14:paraId="2E82A9E1">
            <w:pPr>
              <w:spacing w:before="117" w:line="195" w:lineRule="auto"/>
              <w:ind w:left="33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4.624</w:t>
            </w:r>
          </w:p>
        </w:tc>
      </w:tr>
    </w:tbl>
    <w:p w14:paraId="4C9BA437">
      <w:pPr>
        <w:spacing w:before="116" w:line="356" w:lineRule="auto"/>
        <w:ind w:left="116" w:right="45" w:firstLine="480"/>
        <w:jc w:val="both"/>
        <w:rPr>
          <w:rFonts w:ascii="宋体" w:hAnsi="宋体" w:eastAsia="宋体" w:cs="宋体"/>
          <w:sz w:val="24"/>
          <w:szCs w:val="24"/>
        </w:rPr>
      </w:pPr>
      <w:r>
        <w:rPr>
          <w:rFonts w:ascii="宋体" w:hAnsi="宋体" w:eastAsia="宋体" w:cs="宋体"/>
          <w:spacing w:val="-3"/>
          <w:sz w:val="24"/>
          <w:szCs w:val="24"/>
        </w:rPr>
        <w:t>从表中可知，粉尘的沉降速度随着粒径的增大而迅速增大，当粒径大于</w:t>
      </w:r>
      <w:r>
        <w:rPr>
          <w:rFonts w:ascii="宋体" w:hAnsi="宋体" w:eastAsia="宋体" w:cs="宋体"/>
          <w:spacing w:val="-43"/>
          <w:sz w:val="24"/>
          <w:szCs w:val="24"/>
        </w:rPr>
        <w:t xml:space="preserve"> </w:t>
      </w:r>
      <w:r>
        <w:rPr>
          <w:rFonts w:ascii="Times New Roman" w:hAnsi="Times New Roman" w:eastAsia="Times New Roman" w:cs="Times New Roman"/>
          <w:spacing w:val="-3"/>
          <w:sz w:val="24"/>
          <w:szCs w:val="24"/>
        </w:rPr>
        <w:t>250μm</w:t>
      </w:r>
      <w:r>
        <w:rPr>
          <w:rFonts w:ascii="Times New Roman" w:hAnsi="Times New Roman" w:eastAsia="Times New Roman" w:cs="Times New Roman"/>
          <w:spacing w:val="21"/>
          <w:w w:val="101"/>
          <w:sz w:val="24"/>
          <w:szCs w:val="24"/>
        </w:rPr>
        <w:t xml:space="preserve"> </w:t>
      </w:r>
      <w:r>
        <w:rPr>
          <w:rFonts w:ascii="宋体" w:hAnsi="宋体" w:eastAsia="宋体" w:cs="宋体"/>
          <w:spacing w:val="-3"/>
          <w:sz w:val="24"/>
          <w:szCs w:val="24"/>
        </w:rPr>
        <w:t>时，</w:t>
      </w:r>
      <w:r>
        <w:rPr>
          <w:rFonts w:ascii="宋体" w:hAnsi="宋体" w:eastAsia="宋体" w:cs="宋体"/>
          <w:sz w:val="24"/>
          <w:szCs w:val="24"/>
        </w:rPr>
        <w:t xml:space="preserve"> </w:t>
      </w:r>
      <w:r>
        <w:rPr>
          <w:rFonts w:ascii="宋体" w:hAnsi="宋体" w:eastAsia="宋体" w:cs="宋体"/>
          <w:spacing w:val="-2"/>
          <w:sz w:val="24"/>
          <w:szCs w:val="24"/>
        </w:rPr>
        <w:t>主要影响范围在扬尘产生点下风向近距离范围内，而对外环境影响较大的是一些粒径微</w:t>
      </w:r>
      <w:r>
        <w:rPr>
          <w:rFonts w:ascii="宋体" w:hAnsi="宋体" w:eastAsia="宋体" w:cs="宋体"/>
          <w:spacing w:val="15"/>
          <w:sz w:val="24"/>
          <w:szCs w:val="24"/>
        </w:rPr>
        <w:t xml:space="preserve"> </w:t>
      </w:r>
      <w:r>
        <w:rPr>
          <w:rFonts w:ascii="宋体" w:hAnsi="宋体" w:eastAsia="宋体" w:cs="宋体"/>
          <w:spacing w:val="-3"/>
          <w:sz w:val="24"/>
          <w:szCs w:val="24"/>
        </w:rPr>
        <w:t>小的粉尘。</w:t>
      </w:r>
    </w:p>
    <w:p w14:paraId="26DB47FC">
      <w:pPr>
        <w:spacing w:before="50" w:line="354" w:lineRule="auto"/>
        <w:ind w:left="133" w:right="126" w:firstLine="461"/>
        <w:rPr>
          <w:rFonts w:ascii="宋体" w:hAnsi="宋体" w:eastAsia="宋体" w:cs="宋体"/>
          <w:sz w:val="24"/>
          <w:szCs w:val="24"/>
        </w:rPr>
      </w:pPr>
      <w:r>
        <w:rPr>
          <w:rFonts w:ascii="宋体" w:hAnsi="宋体" w:eastAsia="宋体" w:cs="宋体"/>
          <w:sz w:val="24"/>
          <w:szCs w:val="24"/>
        </w:rPr>
        <w:t>根据有关资料，施工扬尘的影响范围一般在下风向</w:t>
      </w:r>
      <w:r>
        <w:rPr>
          <w:rFonts w:ascii="宋体" w:hAnsi="宋体" w:eastAsia="宋体" w:cs="宋体"/>
          <w:spacing w:val="-48"/>
          <w:sz w:val="24"/>
          <w:szCs w:val="24"/>
        </w:rPr>
        <w:t xml:space="preserve"> </w:t>
      </w:r>
      <w:r>
        <w:rPr>
          <w:rFonts w:ascii="Times New Roman" w:hAnsi="Times New Roman" w:eastAsia="Times New Roman" w:cs="Times New Roman"/>
          <w:sz w:val="24"/>
          <w:szCs w:val="24"/>
        </w:rPr>
        <w:t>50m</w:t>
      </w:r>
      <w:r>
        <w:rPr>
          <w:rFonts w:ascii="Times New Roman" w:hAnsi="Times New Roman" w:eastAsia="Times New Roman" w:cs="Times New Roman"/>
          <w:spacing w:val="16"/>
          <w:w w:val="101"/>
          <w:sz w:val="24"/>
          <w:szCs w:val="24"/>
        </w:rPr>
        <w:t xml:space="preserve"> </w:t>
      </w:r>
      <w:r>
        <w:rPr>
          <w:rFonts w:ascii="宋体" w:hAnsi="宋体" w:eastAsia="宋体" w:cs="宋体"/>
          <w:sz w:val="24"/>
          <w:szCs w:val="24"/>
        </w:rPr>
        <w:t>范围内为重污染带、</w:t>
      </w:r>
      <w:r>
        <w:rPr>
          <w:rFonts w:ascii="Times New Roman" w:hAnsi="Times New Roman" w:eastAsia="Times New Roman" w:cs="Times New Roman"/>
          <w:sz w:val="24"/>
          <w:szCs w:val="24"/>
        </w:rPr>
        <w:t>50m</w:t>
      </w:r>
      <w:r>
        <w:rPr>
          <w:rFonts w:ascii="宋体" w:hAnsi="宋体" w:eastAsia="宋体" w:cs="宋体"/>
          <w:sz w:val="24"/>
          <w:szCs w:val="24"/>
        </w:rPr>
        <w:t xml:space="preserve">~ </w:t>
      </w:r>
      <w:r>
        <w:rPr>
          <w:rFonts w:ascii="Times New Roman" w:hAnsi="Times New Roman" w:eastAsia="Times New Roman" w:cs="Times New Roman"/>
          <w:spacing w:val="-2"/>
          <w:sz w:val="24"/>
          <w:szCs w:val="24"/>
        </w:rPr>
        <w:t xml:space="preserve">100m </w:t>
      </w:r>
      <w:r>
        <w:rPr>
          <w:rFonts w:ascii="宋体" w:hAnsi="宋体" w:eastAsia="宋体" w:cs="宋体"/>
          <w:spacing w:val="-2"/>
          <w:sz w:val="24"/>
          <w:szCs w:val="24"/>
        </w:rPr>
        <w:t>为中污染带、</w:t>
      </w:r>
      <w:r>
        <w:rPr>
          <w:rFonts w:ascii="Times New Roman" w:hAnsi="Times New Roman" w:eastAsia="Times New Roman" w:cs="Times New Roman"/>
          <w:spacing w:val="-2"/>
          <w:sz w:val="24"/>
          <w:szCs w:val="24"/>
        </w:rPr>
        <w:t>100m</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150m </w:t>
      </w:r>
      <w:r>
        <w:rPr>
          <w:rFonts w:ascii="宋体" w:hAnsi="宋体" w:eastAsia="宋体" w:cs="宋体"/>
          <w:spacing w:val="-2"/>
          <w:sz w:val="24"/>
          <w:szCs w:val="24"/>
        </w:rPr>
        <w:t>为轻污染带、</w:t>
      </w:r>
      <w:r>
        <w:rPr>
          <w:rFonts w:ascii="Times New Roman" w:hAnsi="Times New Roman" w:eastAsia="Times New Roman" w:cs="Times New Roman"/>
          <w:spacing w:val="-2"/>
          <w:sz w:val="24"/>
          <w:szCs w:val="24"/>
        </w:rPr>
        <w:t>150m</w:t>
      </w:r>
      <w:r>
        <w:rPr>
          <w:rFonts w:ascii="Times New Roman" w:hAnsi="Times New Roman" w:eastAsia="Times New Roman" w:cs="Times New Roman"/>
          <w:spacing w:val="50"/>
          <w:w w:val="101"/>
          <w:sz w:val="24"/>
          <w:szCs w:val="24"/>
        </w:rPr>
        <w:t xml:space="preserve"> </w:t>
      </w:r>
      <w:r>
        <w:rPr>
          <w:rFonts w:ascii="宋体" w:hAnsi="宋体" w:eastAsia="宋体" w:cs="宋体"/>
          <w:spacing w:val="-2"/>
          <w:sz w:val="24"/>
          <w:szCs w:val="24"/>
        </w:rPr>
        <w:t>以外基本不受影响。</w:t>
      </w:r>
    </w:p>
    <w:p w14:paraId="74FDFDB7">
      <w:pPr>
        <w:spacing w:before="37" w:line="363" w:lineRule="auto"/>
        <w:ind w:left="113" w:right="104" w:firstLine="480"/>
        <w:rPr>
          <w:rFonts w:ascii="宋体" w:hAnsi="宋体" w:eastAsia="宋体" w:cs="宋体"/>
          <w:sz w:val="24"/>
          <w:szCs w:val="24"/>
        </w:rPr>
      </w:pPr>
      <w:r>
        <w:rPr>
          <w:rFonts w:ascii="宋体" w:hAnsi="宋体" w:eastAsia="宋体" w:cs="宋体"/>
          <w:spacing w:val="-2"/>
          <w:sz w:val="24"/>
          <w:szCs w:val="24"/>
        </w:rPr>
        <w:t>通常施工扬尘中粒径大于</w:t>
      </w:r>
      <w:r>
        <w:rPr>
          <w:rFonts w:ascii="宋体" w:hAnsi="宋体" w:eastAsia="宋体" w:cs="宋体"/>
          <w:spacing w:val="-30"/>
          <w:sz w:val="24"/>
          <w:szCs w:val="24"/>
        </w:rPr>
        <w:t xml:space="preserve"> </w:t>
      </w:r>
      <w:r>
        <w:rPr>
          <w:rFonts w:ascii="Times New Roman" w:hAnsi="Times New Roman" w:eastAsia="Times New Roman" w:cs="Times New Roman"/>
          <w:spacing w:val="-2"/>
          <w:sz w:val="24"/>
          <w:szCs w:val="24"/>
        </w:rPr>
        <w:t>10μm</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的颗粒物（降尘）会降落在植物叶片上，使植物叶</w:t>
      </w:r>
      <w:r>
        <w:rPr>
          <w:rFonts w:ascii="宋体" w:hAnsi="宋体" w:eastAsia="宋体" w:cs="宋体"/>
          <w:sz w:val="24"/>
          <w:szCs w:val="24"/>
        </w:rPr>
        <w:t xml:space="preserve"> </w:t>
      </w:r>
      <w:r>
        <w:rPr>
          <w:rFonts w:ascii="宋体" w:hAnsi="宋体" w:eastAsia="宋体" w:cs="宋体"/>
          <w:spacing w:val="-2"/>
          <w:sz w:val="24"/>
          <w:szCs w:val="24"/>
        </w:rPr>
        <w:t>片表面积尘成层而抑制植物的光合作用、呼吸作用和蒸腾作用，不利于植物的生长。根</w:t>
      </w:r>
      <w:r>
        <w:rPr>
          <w:rFonts w:ascii="宋体" w:hAnsi="宋体" w:eastAsia="宋体" w:cs="宋体"/>
          <w:spacing w:val="18"/>
          <w:sz w:val="24"/>
          <w:szCs w:val="24"/>
        </w:rPr>
        <w:t xml:space="preserve"> </w:t>
      </w:r>
      <w:r>
        <w:rPr>
          <w:rFonts w:ascii="宋体" w:hAnsi="宋体" w:eastAsia="宋体" w:cs="宋体"/>
          <w:spacing w:val="-1"/>
          <w:sz w:val="24"/>
          <w:szCs w:val="24"/>
        </w:rPr>
        <w:t>据类比，施工扬尘对周围植物的影响范围为扬尘点下风向</w:t>
      </w:r>
      <w:r>
        <w:rPr>
          <w:rFonts w:ascii="宋体" w:hAnsi="宋体" w:eastAsia="宋体" w:cs="宋体"/>
          <w:spacing w:val="-29"/>
          <w:sz w:val="24"/>
          <w:szCs w:val="24"/>
        </w:rPr>
        <w:t xml:space="preserve"> </w:t>
      </w:r>
      <w:r>
        <w:rPr>
          <w:rFonts w:ascii="Times New Roman" w:hAnsi="Times New Roman" w:eastAsia="Times New Roman" w:cs="Times New Roman"/>
          <w:spacing w:val="-1"/>
          <w:sz w:val="24"/>
          <w:szCs w:val="24"/>
        </w:rPr>
        <w:t>100m</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范围内，但在施工场地</w:t>
      </w:r>
      <w:r>
        <w:rPr>
          <w:rFonts w:ascii="宋体" w:hAnsi="宋体" w:eastAsia="宋体" w:cs="宋体"/>
          <w:sz w:val="24"/>
          <w:szCs w:val="24"/>
        </w:rPr>
        <w:t xml:space="preserve"> </w:t>
      </w:r>
      <w:r>
        <w:rPr>
          <w:rFonts w:ascii="宋体" w:hAnsi="宋体" w:eastAsia="宋体" w:cs="宋体"/>
          <w:spacing w:val="2"/>
          <w:sz w:val="24"/>
          <w:szCs w:val="24"/>
        </w:rPr>
        <w:t>采取勤洒水等防尘抑尘措施后，施工扬尘对周围植物的影响范围可以被控制在</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20-50m</w:t>
      </w:r>
      <w:r>
        <w:rPr>
          <w:rFonts w:ascii="Times New Roman" w:hAnsi="Times New Roman" w:eastAsia="Times New Roman" w:cs="Times New Roman"/>
          <w:sz w:val="24"/>
          <w:szCs w:val="24"/>
        </w:rPr>
        <w:t xml:space="preserve"> </w:t>
      </w:r>
      <w:r>
        <w:rPr>
          <w:rFonts w:ascii="宋体" w:hAnsi="宋体" w:eastAsia="宋体" w:cs="宋体"/>
          <w:spacing w:val="-2"/>
          <w:sz w:val="24"/>
          <w:szCs w:val="24"/>
        </w:rPr>
        <w:t>范围内，且施工对植物造成的这种影响是局部和暂时的，施工结束，这些影响也随即消</w:t>
      </w:r>
      <w:r>
        <w:rPr>
          <w:rFonts w:ascii="宋体" w:hAnsi="宋体" w:eastAsia="宋体" w:cs="宋体"/>
          <w:spacing w:val="18"/>
          <w:sz w:val="24"/>
          <w:szCs w:val="24"/>
        </w:rPr>
        <w:t xml:space="preserve"> </w:t>
      </w:r>
      <w:r>
        <w:rPr>
          <w:rFonts w:ascii="宋体" w:hAnsi="宋体" w:eastAsia="宋体" w:cs="宋体"/>
          <w:spacing w:val="-5"/>
          <w:sz w:val="24"/>
          <w:szCs w:val="24"/>
        </w:rPr>
        <w:t>失。</w:t>
      </w:r>
    </w:p>
    <w:p w14:paraId="45E3688D">
      <w:pPr>
        <w:spacing w:before="42" w:line="359" w:lineRule="auto"/>
        <w:ind w:left="115" w:right="104" w:firstLine="482"/>
        <w:jc w:val="both"/>
        <w:rPr>
          <w:rFonts w:ascii="宋体" w:hAnsi="宋体" w:eastAsia="宋体" w:cs="宋体"/>
          <w:sz w:val="24"/>
          <w:szCs w:val="24"/>
        </w:rPr>
      </w:pPr>
      <w:r>
        <w:rPr>
          <w:rFonts w:ascii="宋体" w:hAnsi="宋体" w:eastAsia="宋体" w:cs="宋体"/>
          <w:spacing w:val="1"/>
          <w:sz w:val="24"/>
          <w:szCs w:val="24"/>
        </w:rPr>
        <w:t>如果施工阶段对汽车行驶路面勤洒水（</w:t>
      </w:r>
      <w:r>
        <w:rPr>
          <w:rFonts w:ascii="Times New Roman" w:hAnsi="Times New Roman" w:eastAsia="Times New Roman" w:cs="Times New Roman"/>
          <w:spacing w:val="1"/>
          <w:sz w:val="24"/>
          <w:szCs w:val="24"/>
        </w:rPr>
        <w:t>4</w:t>
      </w: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Times New Roman" w:hAnsi="Times New Roman" w:eastAsia="Times New Roman" w:cs="Times New Roman"/>
          <w:spacing w:val="16"/>
          <w:sz w:val="24"/>
          <w:szCs w:val="24"/>
        </w:rPr>
        <w:t xml:space="preserve"> </w:t>
      </w:r>
      <w:r>
        <w:rPr>
          <w:rFonts w:ascii="宋体" w:hAnsi="宋体" w:eastAsia="宋体" w:cs="宋体"/>
          <w:spacing w:val="1"/>
          <w:sz w:val="24"/>
          <w:szCs w:val="24"/>
        </w:rPr>
        <w:t>次</w:t>
      </w:r>
      <w:r>
        <w:rPr>
          <w:rFonts w:ascii="Times New Roman" w:hAnsi="Times New Roman" w:eastAsia="Times New Roman" w:cs="Times New Roman"/>
          <w:sz w:val="24"/>
          <w:szCs w:val="24"/>
        </w:rPr>
        <w:t>/</w:t>
      </w:r>
      <w:r>
        <w:rPr>
          <w:rFonts w:ascii="宋体" w:hAnsi="宋体" w:eastAsia="宋体" w:cs="宋体"/>
          <w:sz w:val="24"/>
          <w:szCs w:val="24"/>
        </w:rPr>
        <w:t>天</w:t>
      </w:r>
      <w:r>
        <w:rPr>
          <w:rFonts w:ascii="宋体" w:hAnsi="宋体" w:eastAsia="宋体" w:cs="宋体"/>
          <w:spacing w:val="8"/>
          <w:sz w:val="24"/>
          <w:szCs w:val="24"/>
        </w:rPr>
        <w:t>），</w:t>
      </w:r>
      <w:r>
        <w:rPr>
          <w:rFonts w:ascii="宋体" w:hAnsi="宋体" w:eastAsia="宋体" w:cs="宋体"/>
          <w:sz w:val="24"/>
          <w:szCs w:val="24"/>
        </w:rPr>
        <w:t xml:space="preserve">可以使空气中扬尘产生量减 </w:t>
      </w:r>
      <w:r>
        <w:rPr>
          <w:rFonts w:ascii="宋体" w:hAnsi="宋体" w:eastAsia="宋体" w:cs="宋体"/>
          <w:spacing w:val="-3"/>
          <w:sz w:val="24"/>
          <w:szCs w:val="24"/>
        </w:rPr>
        <w:t>少</w:t>
      </w:r>
      <w:r>
        <w:rPr>
          <w:rFonts w:ascii="宋体" w:hAnsi="宋体" w:eastAsia="宋体" w:cs="宋体"/>
          <w:spacing w:val="-49"/>
          <w:sz w:val="24"/>
          <w:szCs w:val="24"/>
        </w:rPr>
        <w:t xml:space="preserve"> </w:t>
      </w:r>
      <w:r>
        <w:rPr>
          <w:rFonts w:ascii="Times New Roman" w:hAnsi="Times New Roman" w:eastAsia="Times New Roman" w:cs="Times New Roman"/>
          <w:spacing w:val="-3"/>
          <w:sz w:val="24"/>
          <w:szCs w:val="24"/>
        </w:rPr>
        <w:t>70%</w:t>
      </w:r>
      <w:r>
        <w:rPr>
          <w:rFonts w:ascii="宋体" w:hAnsi="宋体" w:eastAsia="宋体" w:cs="宋体"/>
          <w:spacing w:val="-3"/>
          <w:sz w:val="24"/>
          <w:szCs w:val="24"/>
        </w:rPr>
        <w:t>左右，收到很好的降尘效果，施工扬尘造成的</w:t>
      </w:r>
      <w:r>
        <w:rPr>
          <w:rFonts w:ascii="宋体" w:hAnsi="宋体" w:eastAsia="宋体" w:cs="宋体"/>
          <w:spacing w:val="-53"/>
          <w:sz w:val="24"/>
          <w:szCs w:val="24"/>
        </w:rPr>
        <w:t xml:space="preserve"> </w:t>
      </w:r>
      <w:r>
        <w:rPr>
          <w:rFonts w:ascii="Times New Roman" w:hAnsi="Times New Roman" w:eastAsia="Times New Roman" w:cs="Times New Roman"/>
          <w:spacing w:val="-3"/>
          <w:sz w:val="24"/>
          <w:szCs w:val="24"/>
        </w:rPr>
        <w:t xml:space="preserve">TSP </w:t>
      </w:r>
      <w:r>
        <w:rPr>
          <w:rFonts w:ascii="宋体" w:hAnsi="宋体" w:eastAsia="宋体" w:cs="宋体"/>
          <w:spacing w:val="-3"/>
          <w:sz w:val="24"/>
          <w:szCs w:val="24"/>
        </w:rPr>
        <w:t>污染距离可缩小到</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20~50m</w:t>
      </w:r>
      <w:r>
        <w:rPr>
          <w:rFonts w:ascii="Times New Roman" w:hAnsi="Times New Roman" w:eastAsia="Times New Roman" w:cs="Times New Roman"/>
          <w:spacing w:val="16"/>
          <w:w w:val="101"/>
          <w:sz w:val="24"/>
          <w:szCs w:val="24"/>
        </w:rPr>
        <w:t xml:space="preserve"> </w:t>
      </w:r>
      <w:r>
        <w:rPr>
          <w:rFonts w:ascii="宋体" w:hAnsi="宋体" w:eastAsia="宋体" w:cs="宋体"/>
          <w:spacing w:val="-3"/>
          <w:sz w:val="24"/>
          <w:szCs w:val="24"/>
        </w:rPr>
        <w:t>范</w:t>
      </w:r>
      <w:r>
        <w:rPr>
          <w:rFonts w:ascii="宋体" w:hAnsi="宋体" w:eastAsia="宋体" w:cs="宋体"/>
          <w:sz w:val="24"/>
          <w:szCs w:val="24"/>
        </w:rPr>
        <w:t xml:space="preserve"> </w:t>
      </w:r>
      <w:r>
        <w:rPr>
          <w:rFonts w:ascii="宋体" w:hAnsi="宋体" w:eastAsia="宋体" w:cs="宋体"/>
          <w:spacing w:val="-1"/>
          <w:sz w:val="24"/>
          <w:szCs w:val="24"/>
        </w:rPr>
        <w:t>围内。施工阶段洒水的试验资料见表</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4.7-2</w:t>
      </w:r>
      <w:r>
        <w:rPr>
          <w:rFonts w:ascii="宋体" w:hAnsi="宋体" w:eastAsia="宋体" w:cs="宋体"/>
          <w:spacing w:val="-1"/>
          <w:sz w:val="24"/>
          <w:szCs w:val="24"/>
        </w:rPr>
        <w:t>。</w:t>
      </w:r>
    </w:p>
    <w:p w14:paraId="37287F15">
      <w:pPr>
        <w:spacing w:before="34" w:line="354" w:lineRule="auto"/>
        <w:ind w:left="114" w:right="104" w:firstLine="482"/>
        <w:jc w:val="both"/>
        <w:rPr>
          <w:rFonts w:ascii="宋体" w:hAnsi="宋体" w:eastAsia="宋体" w:cs="宋体"/>
          <w:sz w:val="24"/>
          <w:szCs w:val="24"/>
        </w:rPr>
      </w:pPr>
      <w:r>
        <w:rPr>
          <w:rFonts w:ascii="宋体" w:hAnsi="宋体" w:eastAsia="宋体" w:cs="宋体"/>
          <w:spacing w:val="1"/>
          <w:sz w:val="24"/>
          <w:szCs w:val="24"/>
        </w:rPr>
        <w:t>从表</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 xml:space="preserve">4.7-2 </w:t>
      </w:r>
      <w:r>
        <w:rPr>
          <w:rFonts w:ascii="宋体" w:hAnsi="宋体" w:eastAsia="宋体" w:cs="宋体"/>
          <w:spacing w:val="1"/>
          <w:sz w:val="24"/>
          <w:szCs w:val="24"/>
        </w:rPr>
        <w:t>可知，洒水抑尘可以使扬尘在</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20~50m</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的距离内</w:t>
      </w:r>
      <w:r>
        <w:rPr>
          <w:rFonts w:ascii="宋体" w:hAnsi="宋体" w:eastAsia="宋体" w:cs="宋体"/>
          <w:sz w:val="24"/>
          <w:szCs w:val="24"/>
        </w:rPr>
        <w:t xml:space="preserve">接近和达到《大气污染 </w:t>
      </w:r>
      <w:r>
        <w:rPr>
          <w:rFonts w:ascii="宋体" w:hAnsi="宋体" w:eastAsia="宋体" w:cs="宋体"/>
          <w:spacing w:val="2"/>
          <w:sz w:val="24"/>
          <w:szCs w:val="24"/>
        </w:rPr>
        <w:t>物综合排放标准》（</w:t>
      </w:r>
      <w:r>
        <w:rPr>
          <w:rFonts w:ascii="Times New Roman" w:hAnsi="Times New Roman" w:eastAsia="Times New Roman" w:cs="Times New Roman"/>
          <w:sz w:val="24"/>
          <w:szCs w:val="24"/>
        </w:rPr>
        <w:t>GB</w:t>
      </w:r>
      <w:r>
        <w:rPr>
          <w:rFonts w:ascii="Times New Roman" w:hAnsi="Times New Roman" w:eastAsia="Times New Roman" w:cs="Times New Roman"/>
          <w:spacing w:val="2"/>
          <w:sz w:val="24"/>
          <w:szCs w:val="24"/>
        </w:rPr>
        <w:t>16297-1996</w:t>
      </w:r>
      <w:r>
        <w:rPr>
          <w:rFonts w:ascii="宋体" w:hAnsi="宋体" w:eastAsia="宋体" w:cs="宋体"/>
          <w:spacing w:val="1"/>
          <w:sz w:val="24"/>
          <w:szCs w:val="24"/>
        </w:rPr>
        <w:t>）中无组织排放监控浓度限值要求的</w:t>
      </w:r>
      <w:r>
        <w:rPr>
          <w:rFonts w:ascii="宋体" w:hAnsi="宋体" w:eastAsia="宋体" w:cs="宋体"/>
          <w:spacing w:val="-27"/>
          <w:sz w:val="24"/>
          <w:szCs w:val="24"/>
        </w:rPr>
        <w:t xml:space="preserve"> </w:t>
      </w:r>
      <w:r>
        <w:rPr>
          <w:rFonts w:ascii="Times New Roman" w:hAnsi="Times New Roman" w:eastAsia="Times New Roman" w:cs="Times New Roman"/>
          <w:spacing w:val="1"/>
          <w:sz w:val="24"/>
          <w:szCs w:val="24"/>
        </w:rPr>
        <w:t>1.0</w:t>
      </w:r>
      <w:r>
        <w:rPr>
          <w:rFonts w:ascii="Times New Roman" w:hAnsi="Times New Roman" w:eastAsia="Times New Roman" w:cs="Times New Roman"/>
          <w:sz w:val="24"/>
          <w:szCs w:val="24"/>
        </w:rPr>
        <w:t>mg</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7"/>
          <w:sz w:val="15"/>
          <w:szCs w:val="15"/>
        </w:rPr>
        <w:t>3</w:t>
      </w:r>
      <w:r>
        <w:rPr>
          <w:rFonts w:ascii="宋体" w:hAnsi="宋体" w:eastAsia="宋体" w:cs="宋体"/>
          <w:spacing w:val="1"/>
          <w:sz w:val="24"/>
          <w:szCs w:val="24"/>
        </w:rPr>
        <w:t>（周</w:t>
      </w:r>
      <w:r>
        <w:rPr>
          <w:rFonts w:ascii="宋体" w:hAnsi="宋体" w:eastAsia="宋体" w:cs="宋体"/>
          <w:sz w:val="24"/>
          <w:szCs w:val="24"/>
        </w:rPr>
        <w:t xml:space="preserve"> </w:t>
      </w:r>
      <w:r>
        <w:rPr>
          <w:rFonts w:ascii="宋体" w:hAnsi="宋体" w:eastAsia="宋体" w:cs="宋体"/>
          <w:spacing w:val="-2"/>
          <w:sz w:val="24"/>
          <w:szCs w:val="24"/>
        </w:rPr>
        <w:t>界外浓度最高点）。</w:t>
      </w:r>
    </w:p>
    <w:p w14:paraId="3861265D">
      <w:pPr>
        <w:spacing w:before="68" w:line="228" w:lineRule="auto"/>
        <w:ind w:left="2296"/>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4.7-2        </w:t>
      </w:r>
      <w:r>
        <w:rPr>
          <w:rFonts w:ascii="宋体" w:hAnsi="宋体" w:eastAsia="宋体" w:cs="宋体"/>
          <w:b/>
          <w:bCs/>
          <w:spacing w:val="6"/>
          <w:sz w:val="20"/>
          <w:szCs w:val="20"/>
        </w:rPr>
        <w:t>施工阶段使用洒水降</w:t>
      </w:r>
      <w:r>
        <w:rPr>
          <w:rFonts w:ascii="宋体" w:hAnsi="宋体" w:eastAsia="宋体" w:cs="宋体"/>
          <w:b/>
          <w:bCs/>
          <w:spacing w:val="5"/>
          <w:sz w:val="20"/>
          <w:szCs w:val="20"/>
        </w:rPr>
        <w:t>尘试验结果一览表</w:t>
      </w:r>
    </w:p>
    <w:p w14:paraId="0BBB0A1A">
      <w:pPr>
        <w:spacing w:line="98" w:lineRule="exact"/>
      </w:pPr>
    </w:p>
    <w:tbl>
      <w:tblPr>
        <w:tblStyle w:val="5"/>
        <w:tblW w:w="928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85"/>
        <w:gridCol w:w="1598"/>
        <w:gridCol w:w="1300"/>
        <w:gridCol w:w="1100"/>
        <w:gridCol w:w="1100"/>
        <w:gridCol w:w="1100"/>
        <w:gridCol w:w="1098"/>
      </w:tblGrid>
      <w:tr w14:paraId="619F9B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3583" w:type="dxa"/>
            <w:gridSpan w:val="2"/>
            <w:tcBorders>
              <w:top w:val="single" w:color="000000" w:sz="10" w:space="0"/>
              <w:left w:val="nil"/>
            </w:tcBorders>
            <w:vAlign w:val="top"/>
          </w:tcPr>
          <w:p w14:paraId="182ED0C9">
            <w:pPr>
              <w:pStyle w:val="6"/>
              <w:spacing w:before="53" w:line="228" w:lineRule="auto"/>
              <w:ind w:left="1593"/>
              <w:rPr>
                <w:sz w:val="20"/>
                <w:szCs w:val="20"/>
              </w:rPr>
            </w:pPr>
            <w:r>
              <w:rPr>
                <w:spacing w:val="3"/>
                <w:sz w:val="20"/>
                <w:szCs w:val="20"/>
              </w:rPr>
              <w:t>项目</w:t>
            </w:r>
          </w:p>
        </w:tc>
        <w:tc>
          <w:tcPr>
            <w:tcW w:w="1300" w:type="dxa"/>
            <w:tcBorders>
              <w:top w:val="single" w:color="000000" w:sz="10" w:space="0"/>
            </w:tcBorders>
            <w:vAlign w:val="top"/>
          </w:tcPr>
          <w:p w14:paraId="398D1304">
            <w:pPr>
              <w:spacing w:before="90" w:line="195" w:lineRule="auto"/>
              <w:ind w:left="60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1100" w:type="dxa"/>
            <w:tcBorders>
              <w:top w:val="single" w:color="000000" w:sz="10" w:space="0"/>
            </w:tcBorders>
            <w:vAlign w:val="top"/>
          </w:tcPr>
          <w:p w14:paraId="18B6B9CC">
            <w:pPr>
              <w:spacing w:before="90" w:line="195" w:lineRule="auto"/>
              <w:ind w:left="4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1100" w:type="dxa"/>
            <w:tcBorders>
              <w:top w:val="single" w:color="000000" w:sz="10" w:space="0"/>
            </w:tcBorders>
            <w:vAlign w:val="top"/>
          </w:tcPr>
          <w:p w14:paraId="3097EEF2">
            <w:pPr>
              <w:spacing w:before="90" w:line="195" w:lineRule="auto"/>
              <w:ind w:left="452"/>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1100" w:type="dxa"/>
            <w:tcBorders>
              <w:top w:val="single" w:color="000000" w:sz="10" w:space="0"/>
            </w:tcBorders>
            <w:vAlign w:val="top"/>
          </w:tcPr>
          <w:p w14:paraId="55F8165A">
            <w:pPr>
              <w:spacing w:before="90" w:line="195" w:lineRule="auto"/>
              <w:ind w:left="4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100</w:t>
            </w:r>
          </w:p>
        </w:tc>
        <w:tc>
          <w:tcPr>
            <w:tcW w:w="1098" w:type="dxa"/>
            <w:tcBorders>
              <w:top w:val="single" w:color="000000" w:sz="10" w:space="0"/>
              <w:right w:val="nil"/>
            </w:tcBorders>
            <w:vAlign w:val="top"/>
          </w:tcPr>
          <w:p w14:paraId="4CB6493E">
            <w:pPr>
              <w:spacing w:before="90" w:line="195" w:lineRule="auto"/>
              <w:ind w:left="39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r>
      <w:tr w14:paraId="3D1B81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1985" w:type="dxa"/>
            <w:vMerge w:val="restart"/>
            <w:tcBorders>
              <w:left w:val="nil"/>
              <w:bottom w:val="nil"/>
            </w:tcBorders>
            <w:vAlign w:val="top"/>
          </w:tcPr>
          <w:p w14:paraId="21A7F838">
            <w:pPr>
              <w:pStyle w:val="6"/>
              <w:spacing w:before="236" w:line="228" w:lineRule="auto"/>
              <w:ind w:left="580"/>
              <w:rPr>
                <w:sz w:val="20"/>
                <w:szCs w:val="20"/>
              </w:rPr>
            </w:pPr>
            <w:r>
              <w:rPr>
                <w:rFonts w:ascii="Times New Roman" w:hAnsi="Times New Roman" w:eastAsia="Times New Roman" w:cs="Times New Roman"/>
                <w:sz w:val="20"/>
                <w:szCs w:val="20"/>
              </w:rPr>
              <w:t>TSP</w:t>
            </w:r>
            <w:r>
              <w:rPr>
                <w:rFonts w:ascii="Times New Roman" w:hAnsi="Times New Roman" w:eastAsia="Times New Roman" w:cs="Times New Roman"/>
                <w:spacing w:val="13"/>
                <w:sz w:val="20"/>
                <w:szCs w:val="20"/>
              </w:rPr>
              <w:t xml:space="preserve"> </w:t>
            </w:r>
            <w:r>
              <w:rPr>
                <w:spacing w:val="9"/>
                <w:sz w:val="20"/>
                <w:szCs w:val="20"/>
              </w:rPr>
              <w:t>浓度</w:t>
            </w:r>
          </w:p>
        </w:tc>
        <w:tc>
          <w:tcPr>
            <w:tcW w:w="1598" w:type="dxa"/>
            <w:vAlign w:val="top"/>
          </w:tcPr>
          <w:p w14:paraId="1B188383">
            <w:pPr>
              <w:pStyle w:val="6"/>
              <w:spacing w:before="65" w:line="228" w:lineRule="auto"/>
              <w:ind w:left="491"/>
              <w:rPr>
                <w:sz w:val="20"/>
                <w:szCs w:val="20"/>
              </w:rPr>
            </w:pPr>
            <w:r>
              <w:rPr>
                <w:spacing w:val="5"/>
                <w:sz w:val="20"/>
                <w:szCs w:val="20"/>
              </w:rPr>
              <w:t>不洒水</w:t>
            </w:r>
          </w:p>
        </w:tc>
        <w:tc>
          <w:tcPr>
            <w:tcW w:w="1300" w:type="dxa"/>
            <w:vAlign w:val="top"/>
          </w:tcPr>
          <w:p w14:paraId="009873E0">
            <w:pPr>
              <w:spacing w:before="101" w:line="195" w:lineRule="auto"/>
              <w:ind w:left="43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11.03</w:t>
            </w:r>
          </w:p>
        </w:tc>
        <w:tc>
          <w:tcPr>
            <w:tcW w:w="1100" w:type="dxa"/>
            <w:vAlign w:val="top"/>
          </w:tcPr>
          <w:p w14:paraId="208B584B">
            <w:pPr>
              <w:spacing w:before="101" w:line="195" w:lineRule="auto"/>
              <w:ind w:left="36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2.89</w:t>
            </w:r>
          </w:p>
        </w:tc>
        <w:tc>
          <w:tcPr>
            <w:tcW w:w="1100" w:type="dxa"/>
            <w:vAlign w:val="top"/>
          </w:tcPr>
          <w:p w14:paraId="065895C9">
            <w:pPr>
              <w:spacing w:before="101" w:line="195" w:lineRule="auto"/>
              <w:ind w:left="3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1.15</w:t>
            </w:r>
          </w:p>
        </w:tc>
        <w:tc>
          <w:tcPr>
            <w:tcW w:w="1100" w:type="dxa"/>
            <w:vAlign w:val="top"/>
          </w:tcPr>
          <w:p w14:paraId="68395D26">
            <w:pPr>
              <w:spacing w:before="101" w:line="195" w:lineRule="auto"/>
              <w:ind w:left="3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0.86</w:t>
            </w:r>
          </w:p>
        </w:tc>
        <w:tc>
          <w:tcPr>
            <w:tcW w:w="1098" w:type="dxa"/>
            <w:tcBorders>
              <w:right w:val="nil"/>
            </w:tcBorders>
            <w:vAlign w:val="top"/>
          </w:tcPr>
          <w:p w14:paraId="0CF86EFA">
            <w:pPr>
              <w:spacing w:before="101"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0.56</w:t>
            </w:r>
          </w:p>
        </w:tc>
      </w:tr>
      <w:tr w14:paraId="0271E7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1985" w:type="dxa"/>
            <w:vMerge w:val="continue"/>
            <w:tcBorders>
              <w:top w:val="nil"/>
              <w:left w:val="nil"/>
            </w:tcBorders>
            <w:vAlign w:val="top"/>
          </w:tcPr>
          <w:p w14:paraId="1074BDAE">
            <w:pPr>
              <w:rPr>
                <w:rFonts w:ascii="Arial"/>
                <w:sz w:val="21"/>
              </w:rPr>
            </w:pPr>
          </w:p>
        </w:tc>
        <w:tc>
          <w:tcPr>
            <w:tcW w:w="1598" w:type="dxa"/>
            <w:vAlign w:val="top"/>
          </w:tcPr>
          <w:p w14:paraId="3DC3C64A">
            <w:pPr>
              <w:pStyle w:val="6"/>
              <w:spacing w:before="69" w:line="228" w:lineRule="auto"/>
              <w:ind w:left="596"/>
              <w:rPr>
                <w:sz w:val="20"/>
                <w:szCs w:val="20"/>
              </w:rPr>
            </w:pPr>
            <w:r>
              <w:rPr>
                <w:spacing w:val="3"/>
                <w:sz w:val="20"/>
                <w:szCs w:val="20"/>
              </w:rPr>
              <w:t>洒水</w:t>
            </w:r>
          </w:p>
        </w:tc>
        <w:tc>
          <w:tcPr>
            <w:tcW w:w="1300" w:type="dxa"/>
            <w:vAlign w:val="top"/>
          </w:tcPr>
          <w:p w14:paraId="046534F1">
            <w:pPr>
              <w:spacing w:before="108" w:line="195" w:lineRule="auto"/>
              <w:ind w:left="46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3"/>
                <w:sz w:val="20"/>
                <w:szCs w:val="20"/>
              </w:rPr>
              <w:t>11</w:t>
            </w:r>
          </w:p>
        </w:tc>
        <w:tc>
          <w:tcPr>
            <w:tcW w:w="1100" w:type="dxa"/>
            <w:vAlign w:val="top"/>
          </w:tcPr>
          <w:p w14:paraId="60803EEC">
            <w:pPr>
              <w:spacing w:before="108" w:line="195" w:lineRule="auto"/>
              <w:ind w:left="3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1.40</w:t>
            </w:r>
          </w:p>
        </w:tc>
        <w:tc>
          <w:tcPr>
            <w:tcW w:w="1100" w:type="dxa"/>
            <w:vAlign w:val="top"/>
          </w:tcPr>
          <w:p w14:paraId="3A96CA3D">
            <w:pPr>
              <w:spacing w:before="108" w:line="195" w:lineRule="auto"/>
              <w:ind w:left="3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0.68</w:t>
            </w:r>
          </w:p>
        </w:tc>
        <w:tc>
          <w:tcPr>
            <w:tcW w:w="1100" w:type="dxa"/>
            <w:vAlign w:val="top"/>
          </w:tcPr>
          <w:p w14:paraId="4F9452F2">
            <w:pPr>
              <w:spacing w:before="108" w:line="195" w:lineRule="auto"/>
              <w:ind w:left="3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0.60</w:t>
            </w:r>
          </w:p>
        </w:tc>
        <w:tc>
          <w:tcPr>
            <w:tcW w:w="1098" w:type="dxa"/>
            <w:tcBorders>
              <w:right w:val="nil"/>
            </w:tcBorders>
            <w:vAlign w:val="top"/>
          </w:tcPr>
          <w:p w14:paraId="0ED4012F">
            <w:pPr>
              <w:spacing w:before="108"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0.29</w:t>
            </w:r>
          </w:p>
        </w:tc>
      </w:tr>
      <w:tr w14:paraId="140A28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2" w:hRule="atLeast"/>
        </w:trPr>
        <w:tc>
          <w:tcPr>
            <w:tcW w:w="3583" w:type="dxa"/>
            <w:gridSpan w:val="2"/>
            <w:tcBorders>
              <w:left w:val="nil"/>
              <w:bottom w:val="single" w:color="000000" w:sz="10" w:space="0"/>
            </w:tcBorders>
            <w:vAlign w:val="top"/>
          </w:tcPr>
          <w:p w14:paraId="5460E73D">
            <w:pPr>
              <w:pStyle w:val="6"/>
              <w:spacing w:before="76" w:line="228" w:lineRule="auto"/>
              <w:ind w:left="1098"/>
              <w:rPr>
                <w:sz w:val="20"/>
                <w:szCs w:val="20"/>
              </w:rPr>
            </w:pPr>
            <w:r>
              <w:rPr>
                <w:spacing w:val="4"/>
                <w:sz w:val="20"/>
                <w:szCs w:val="20"/>
              </w:rPr>
              <w:t>降尘效果（</w:t>
            </w:r>
            <w:r>
              <w:rPr>
                <w:rFonts w:ascii="Times New Roman" w:hAnsi="Times New Roman" w:eastAsia="Times New Roman" w:cs="Times New Roman"/>
                <w:spacing w:val="4"/>
                <w:sz w:val="20"/>
                <w:szCs w:val="20"/>
              </w:rPr>
              <w:t>%</w:t>
            </w:r>
            <w:r>
              <w:rPr>
                <w:spacing w:val="4"/>
                <w:sz w:val="20"/>
                <w:szCs w:val="20"/>
              </w:rPr>
              <w:t>）</w:t>
            </w:r>
          </w:p>
        </w:tc>
        <w:tc>
          <w:tcPr>
            <w:tcW w:w="1300" w:type="dxa"/>
            <w:tcBorders>
              <w:bottom w:val="single" w:color="000000" w:sz="10" w:space="0"/>
            </w:tcBorders>
            <w:vAlign w:val="top"/>
          </w:tcPr>
          <w:p w14:paraId="09A2110D">
            <w:pPr>
              <w:spacing w:before="115" w:line="195" w:lineRule="auto"/>
              <w:ind w:left="47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80.2</w:t>
            </w:r>
          </w:p>
        </w:tc>
        <w:tc>
          <w:tcPr>
            <w:tcW w:w="1100" w:type="dxa"/>
            <w:tcBorders>
              <w:bottom w:val="single" w:color="000000" w:sz="10" w:space="0"/>
            </w:tcBorders>
            <w:vAlign w:val="top"/>
          </w:tcPr>
          <w:p w14:paraId="3AA2FA11">
            <w:pPr>
              <w:spacing w:before="115" w:line="195" w:lineRule="auto"/>
              <w:ind w:left="3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51.6</w:t>
            </w:r>
          </w:p>
        </w:tc>
        <w:tc>
          <w:tcPr>
            <w:tcW w:w="1100" w:type="dxa"/>
            <w:tcBorders>
              <w:bottom w:val="single" w:color="000000" w:sz="10" w:space="0"/>
            </w:tcBorders>
            <w:vAlign w:val="top"/>
          </w:tcPr>
          <w:p w14:paraId="228D74A6">
            <w:pPr>
              <w:spacing w:before="115" w:line="195" w:lineRule="auto"/>
              <w:ind w:left="36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41.7</w:t>
            </w:r>
          </w:p>
        </w:tc>
        <w:tc>
          <w:tcPr>
            <w:tcW w:w="1100" w:type="dxa"/>
            <w:tcBorders>
              <w:bottom w:val="single" w:color="000000" w:sz="10" w:space="0"/>
            </w:tcBorders>
            <w:vAlign w:val="top"/>
          </w:tcPr>
          <w:p w14:paraId="76983C07">
            <w:pPr>
              <w:spacing w:before="115" w:line="195" w:lineRule="auto"/>
              <w:ind w:left="37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30.2</w:t>
            </w:r>
          </w:p>
        </w:tc>
        <w:tc>
          <w:tcPr>
            <w:tcW w:w="1098" w:type="dxa"/>
            <w:tcBorders>
              <w:bottom w:val="single" w:color="000000" w:sz="10" w:space="0"/>
              <w:right w:val="nil"/>
            </w:tcBorders>
            <w:vAlign w:val="top"/>
          </w:tcPr>
          <w:p w14:paraId="145DA209">
            <w:pPr>
              <w:spacing w:before="115" w:line="195" w:lineRule="auto"/>
              <w:ind w:left="36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48.2</w:t>
            </w:r>
          </w:p>
        </w:tc>
      </w:tr>
    </w:tbl>
    <w:p w14:paraId="28B9F363">
      <w:pPr>
        <w:spacing w:before="119" w:line="356" w:lineRule="auto"/>
        <w:ind w:left="116" w:right="26" w:firstLine="478"/>
        <w:rPr>
          <w:rFonts w:ascii="宋体" w:hAnsi="宋体" w:eastAsia="宋体" w:cs="宋体"/>
          <w:sz w:val="24"/>
          <w:szCs w:val="24"/>
        </w:rPr>
      </w:pPr>
      <w:r>
        <w:rPr>
          <w:rFonts w:ascii="宋体" w:hAnsi="宋体" w:eastAsia="宋体" w:cs="宋体"/>
          <w:spacing w:val="-2"/>
          <w:sz w:val="24"/>
          <w:szCs w:val="24"/>
        </w:rPr>
        <w:t>根据现场踏勘及工程设计，在采取洒水抑尘的措施后，粉尘排放浓度可达到《大气</w:t>
      </w:r>
      <w:r>
        <w:rPr>
          <w:rFonts w:ascii="宋体" w:hAnsi="宋体" w:eastAsia="宋体" w:cs="宋体"/>
          <w:spacing w:val="13"/>
          <w:sz w:val="24"/>
          <w:szCs w:val="24"/>
        </w:rPr>
        <w:t xml:space="preserve"> </w:t>
      </w:r>
      <w:r>
        <w:rPr>
          <w:rFonts w:ascii="宋体" w:hAnsi="宋体" w:eastAsia="宋体" w:cs="宋体"/>
          <w:spacing w:val="-2"/>
          <w:sz w:val="24"/>
          <w:szCs w:val="24"/>
        </w:rPr>
        <w:t>污染物综合排放标准》（</w:t>
      </w:r>
      <w:r>
        <w:rPr>
          <w:rFonts w:ascii="Times New Roman" w:hAnsi="Times New Roman" w:eastAsia="Times New Roman" w:cs="Times New Roman"/>
          <w:spacing w:val="-2"/>
          <w:sz w:val="24"/>
          <w:szCs w:val="24"/>
        </w:rPr>
        <w:t>GB16297-1996</w:t>
      </w:r>
      <w:r>
        <w:rPr>
          <w:rFonts w:ascii="宋体" w:hAnsi="宋体" w:eastAsia="宋体" w:cs="宋体"/>
          <w:spacing w:val="-2"/>
          <w:sz w:val="24"/>
          <w:szCs w:val="24"/>
        </w:rPr>
        <w:t>）中无组织排放监控浓度限值要求的</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1.0mg/m</w:t>
      </w:r>
      <w:r>
        <w:rPr>
          <w:rFonts w:ascii="Times New Roman" w:hAnsi="Times New Roman" w:eastAsia="Times New Roman" w:cs="Times New Roman"/>
          <w:spacing w:val="-2"/>
          <w:position w:val="8"/>
          <w:sz w:val="15"/>
          <w:szCs w:val="15"/>
        </w:rPr>
        <w:t>3</w:t>
      </w:r>
      <w:r>
        <w:rPr>
          <w:rFonts w:ascii="宋体" w:hAnsi="宋体" w:eastAsia="宋体" w:cs="宋体"/>
          <w:spacing w:val="-2"/>
          <w:sz w:val="24"/>
          <w:szCs w:val="24"/>
        </w:rPr>
        <w:t>。</w:t>
      </w:r>
    </w:p>
    <w:p w14:paraId="17F1D043">
      <w:pPr>
        <w:spacing w:line="356" w:lineRule="auto"/>
        <w:rPr>
          <w:rFonts w:ascii="宋体" w:hAnsi="宋体" w:eastAsia="宋体" w:cs="宋体"/>
          <w:sz w:val="24"/>
          <w:szCs w:val="24"/>
        </w:rPr>
        <w:sectPr>
          <w:headerReference r:id="rId367" w:type="default"/>
          <w:footerReference r:id="rId368" w:type="default"/>
          <w:pgSz w:w="11906" w:h="16839"/>
          <w:pgMar w:top="1191" w:right="1310" w:bottom="1569" w:left="1311" w:header="882" w:footer="1407" w:gutter="0"/>
          <w:cols w:space="720" w:num="1"/>
        </w:sectPr>
      </w:pPr>
    </w:p>
    <w:p w14:paraId="5CB6EDF3">
      <w:pPr>
        <w:spacing w:line="28" w:lineRule="exact"/>
        <w:ind w:firstLine="108"/>
      </w:pPr>
      <w:r>
        <w:pict>
          <v:shape id="_x0000_s1849" o:spid="_x0000_s1849" style="height:1.45pt;width:453.65pt;" fillcolor="#000000" filled="t" stroked="f" coordsize="9072,29" path="m0,0l9072,0,9072,28,0,28,0,0xe">
            <v:path/>
            <v:fill on="t" focussize="0,0"/>
            <v:stroke on="f"/>
            <v:imagedata o:title=""/>
            <o:lock v:ext="edit"/>
            <w10:wrap type="none"/>
            <w10:anchorlock/>
          </v:shape>
        </w:pict>
      </w:r>
    </w:p>
    <w:p w14:paraId="2B732A23">
      <w:pPr>
        <w:spacing w:before="316" w:line="220" w:lineRule="auto"/>
        <w:ind w:left="115"/>
        <w:rPr>
          <w:rFonts w:ascii="宋体" w:hAnsi="宋体" w:eastAsia="宋体" w:cs="宋体"/>
          <w:sz w:val="24"/>
          <w:szCs w:val="24"/>
        </w:rPr>
      </w:pPr>
      <w:r>
        <w:rPr>
          <w:rFonts w:ascii="宋体" w:hAnsi="宋体" w:eastAsia="宋体" w:cs="宋体"/>
          <w:spacing w:val="-1"/>
          <w:sz w:val="24"/>
          <w:szCs w:val="24"/>
        </w:rPr>
        <w:t>对周围环境影响较小。</w:t>
      </w:r>
    </w:p>
    <w:p w14:paraId="68B4550A">
      <w:pPr>
        <w:spacing w:before="191" w:line="219" w:lineRule="auto"/>
        <w:ind w:left="592"/>
        <w:rPr>
          <w:rFonts w:ascii="宋体" w:hAnsi="宋体" w:eastAsia="宋体" w:cs="宋体"/>
          <w:sz w:val="24"/>
          <w:szCs w:val="24"/>
        </w:rPr>
      </w:pPr>
      <w:r>
        <w:rPr>
          <w:rFonts w:ascii="Times New Roman" w:hAnsi="Times New Roman" w:eastAsia="Times New Roman" w:cs="Times New Roman"/>
          <w:spacing w:val="-4"/>
          <w:sz w:val="24"/>
          <w:szCs w:val="24"/>
        </w:rPr>
        <w:t>2</w:t>
      </w:r>
      <w:r>
        <w:rPr>
          <w:rFonts w:ascii="Times New Roman" w:hAnsi="Times New Roman" w:eastAsia="Times New Roman" w:cs="Times New Roman"/>
          <w:spacing w:val="-34"/>
          <w:sz w:val="24"/>
          <w:szCs w:val="24"/>
        </w:rPr>
        <w:t xml:space="preserve"> </w:t>
      </w:r>
      <w:r>
        <w:rPr>
          <w:rFonts w:ascii="宋体" w:hAnsi="宋体" w:eastAsia="宋体" w:cs="宋体"/>
          <w:spacing w:val="-4"/>
          <w:sz w:val="24"/>
          <w:szCs w:val="24"/>
        </w:rPr>
        <w:t>、车辆行驶扬尘</w:t>
      </w:r>
    </w:p>
    <w:p w14:paraId="4F9830FB">
      <w:pPr>
        <w:spacing w:before="194" w:line="354" w:lineRule="auto"/>
        <w:ind w:left="118" w:right="81" w:firstLine="478"/>
        <w:rPr>
          <w:rFonts w:ascii="宋体" w:hAnsi="宋体" w:eastAsia="宋体" w:cs="宋体"/>
          <w:sz w:val="24"/>
          <w:szCs w:val="24"/>
        </w:rPr>
      </w:pPr>
      <w:r>
        <w:rPr>
          <w:rFonts w:ascii="宋体" w:hAnsi="宋体" w:eastAsia="宋体" w:cs="宋体"/>
          <w:sz w:val="24"/>
          <w:szCs w:val="24"/>
        </w:rPr>
        <w:t>根据有关文献资料介绍，施工过程中，车辆行驶产生的扬尘占总扬尘的</w:t>
      </w:r>
      <w:r>
        <w:rPr>
          <w:rFonts w:ascii="Times New Roman" w:hAnsi="Times New Roman" w:eastAsia="Times New Roman" w:cs="Times New Roman"/>
          <w:sz w:val="24"/>
          <w:szCs w:val="24"/>
        </w:rPr>
        <w:t>60%</w:t>
      </w:r>
      <w:r>
        <w:rPr>
          <w:rFonts w:ascii="宋体" w:hAnsi="宋体" w:eastAsia="宋体" w:cs="宋体"/>
          <w:sz w:val="24"/>
          <w:szCs w:val="24"/>
        </w:rPr>
        <w:t>以上。</w:t>
      </w:r>
      <w:r>
        <w:rPr>
          <w:rFonts w:ascii="宋体" w:hAnsi="宋体" w:eastAsia="宋体" w:cs="宋体"/>
          <w:spacing w:val="9"/>
          <w:sz w:val="24"/>
          <w:szCs w:val="24"/>
        </w:rPr>
        <w:t xml:space="preserve"> </w:t>
      </w:r>
      <w:r>
        <w:rPr>
          <w:rFonts w:ascii="宋体" w:hAnsi="宋体" w:eastAsia="宋体" w:cs="宋体"/>
          <w:spacing w:val="-1"/>
          <w:sz w:val="24"/>
          <w:szCs w:val="24"/>
        </w:rPr>
        <w:t>车辆行驶产生的扬尘，在完全干燥的情况下，可按以下经验公式计算：</w:t>
      </w:r>
    </w:p>
    <w:p w14:paraId="7B2B6217">
      <w:pPr>
        <w:spacing w:before="95" w:line="656" w:lineRule="exact"/>
        <w:ind w:left="3393"/>
      </w:pPr>
      <w:r>
        <w:rPr>
          <w:position w:val="-13"/>
        </w:rPr>
        <w:drawing>
          <wp:inline distT="0" distB="0" distL="0" distR="0">
            <wp:extent cx="1894840" cy="415925"/>
            <wp:effectExtent l="0" t="0" r="0" b="0"/>
            <wp:docPr id="190" name="IM 190"/>
            <wp:cNvGraphicFramePr/>
            <a:graphic xmlns:a="http://schemas.openxmlformats.org/drawingml/2006/main">
              <a:graphicData uri="http://schemas.openxmlformats.org/drawingml/2006/picture">
                <pic:pic xmlns:pic="http://schemas.openxmlformats.org/drawingml/2006/picture">
                  <pic:nvPicPr>
                    <pic:cNvPr id="190" name="IM 190"/>
                    <pic:cNvPicPr/>
                  </pic:nvPicPr>
                  <pic:blipFill>
                    <a:blip r:embed="rId672"/>
                    <a:stretch>
                      <a:fillRect/>
                    </a:stretch>
                  </pic:blipFill>
                  <pic:spPr>
                    <a:xfrm>
                      <a:off x="0" y="0"/>
                      <a:ext cx="1894858" cy="416402"/>
                    </a:xfrm>
                    <a:prstGeom prst="rect">
                      <a:avLst/>
                    </a:prstGeom>
                  </pic:spPr>
                </pic:pic>
              </a:graphicData>
            </a:graphic>
          </wp:inline>
        </w:drawing>
      </w:r>
    </w:p>
    <w:p w14:paraId="20D30984">
      <w:pPr>
        <w:spacing w:before="243" w:line="342" w:lineRule="auto"/>
        <w:ind w:left="589" w:right="4295" w:firstLine="11"/>
        <w:rPr>
          <w:rFonts w:ascii="宋体" w:hAnsi="宋体" w:eastAsia="宋体" w:cs="宋体"/>
          <w:sz w:val="24"/>
          <w:szCs w:val="24"/>
        </w:rPr>
      </w:pPr>
      <w:r>
        <w:rPr>
          <w:rFonts w:ascii="宋体" w:hAnsi="宋体" w:eastAsia="宋体" w:cs="宋体"/>
          <w:spacing w:val="-4"/>
          <w:sz w:val="24"/>
          <w:szCs w:val="24"/>
        </w:rPr>
        <w:t>式中：</w:t>
      </w:r>
      <w:r>
        <w:rPr>
          <w:rFonts w:ascii="Times New Roman" w:hAnsi="Times New Roman" w:eastAsia="Times New Roman" w:cs="Times New Roman"/>
          <w:spacing w:val="-4"/>
          <w:sz w:val="24"/>
          <w:szCs w:val="24"/>
        </w:rPr>
        <w:t>Q—</w:t>
      </w:r>
      <w:r>
        <w:rPr>
          <w:rFonts w:ascii="宋体" w:hAnsi="宋体" w:eastAsia="宋体" w:cs="宋体"/>
          <w:spacing w:val="-4"/>
          <w:sz w:val="24"/>
          <w:szCs w:val="24"/>
        </w:rPr>
        <w:t>汽车行驶的扬尘量，</w:t>
      </w:r>
      <w:r>
        <w:rPr>
          <w:rFonts w:ascii="Times New Roman" w:hAnsi="Times New Roman" w:eastAsia="Times New Roman" w:cs="Times New Roman"/>
          <w:spacing w:val="-4"/>
          <w:sz w:val="24"/>
          <w:szCs w:val="24"/>
        </w:rPr>
        <w:t>kg/km·</w:t>
      </w:r>
      <w:r>
        <w:rPr>
          <w:rFonts w:ascii="宋体" w:hAnsi="宋体" w:eastAsia="宋体" w:cs="宋体"/>
          <w:spacing w:val="-4"/>
          <w:sz w:val="24"/>
          <w:szCs w:val="24"/>
        </w:rPr>
        <w:t>辆；</w:t>
      </w:r>
      <w:r>
        <w:rPr>
          <w:rFonts w:ascii="宋体" w:hAnsi="宋体" w:eastAsia="宋体" w:cs="宋体"/>
          <w:spacing w:val="11"/>
          <w:sz w:val="24"/>
          <w:szCs w:val="24"/>
        </w:rPr>
        <w:t xml:space="preserve"> </w:t>
      </w:r>
      <w:r>
        <w:rPr>
          <w:rFonts w:ascii="Times New Roman" w:hAnsi="Times New Roman" w:eastAsia="Times New Roman" w:cs="Times New Roman"/>
          <w:spacing w:val="-1"/>
          <w:sz w:val="24"/>
          <w:szCs w:val="24"/>
        </w:rPr>
        <w:t>V—</w:t>
      </w:r>
      <w:r>
        <w:rPr>
          <w:rFonts w:ascii="宋体" w:hAnsi="宋体" w:eastAsia="宋体" w:cs="宋体"/>
          <w:spacing w:val="-1"/>
          <w:sz w:val="24"/>
          <w:szCs w:val="24"/>
        </w:rPr>
        <w:t>汽车速度，</w:t>
      </w:r>
      <w:r>
        <w:rPr>
          <w:rFonts w:ascii="Times New Roman" w:hAnsi="Times New Roman" w:eastAsia="Times New Roman" w:cs="Times New Roman"/>
          <w:spacing w:val="-1"/>
          <w:sz w:val="24"/>
          <w:szCs w:val="24"/>
        </w:rPr>
        <w:t>km/h</w:t>
      </w:r>
      <w:r>
        <w:rPr>
          <w:rFonts w:ascii="宋体" w:hAnsi="宋体" w:eastAsia="宋体" w:cs="宋体"/>
          <w:spacing w:val="-1"/>
          <w:sz w:val="24"/>
          <w:szCs w:val="24"/>
        </w:rPr>
        <w:t>；</w:t>
      </w:r>
    </w:p>
    <w:p w14:paraId="487F7A32">
      <w:pPr>
        <w:spacing w:before="68" w:line="219" w:lineRule="auto"/>
        <w:ind w:left="590"/>
        <w:rPr>
          <w:rFonts w:ascii="宋体" w:hAnsi="宋体" w:eastAsia="宋体" w:cs="宋体"/>
          <w:sz w:val="24"/>
          <w:szCs w:val="24"/>
        </w:rPr>
      </w:pPr>
      <w:r>
        <w:rPr>
          <w:rFonts w:ascii="Times New Roman" w:hAnsi="Times New Roman" w:eastAsia="Times New Roman" w:cs="Times New Roman"/>
          <w:spacing w:val="-1"/>
          <w:sz w:val="24"/>
          <w:szCs w:val="24"/>
        </w:rPr>
        <w:t>W—</w:t>
      </w:r>
      <w:r>
        <w:rPr>
          <w:rFonts w:ascii="宋体" w:hAnsi="宋体" w:eastAsia="宋体" w:cs="宋体"/>
          <w:spacing w:val="-1"/>
          <w:sz w:val="24"/>
          <w:szCs w:val="24"/>
        </w:rPr>
        <w:t>汽车载重量，</w:t>
      </w:r>
      <w:r>
        <w:rPr>
          <w:rFonts w:ascii="Times New Roman" w:hAnsi="Times New Roman" w:eastAsia="Times New Roman" w:cs="Times New Roman"/>
          <w:spacing w:val="-1"/>
          <w:sz w:val="24"/>
          <w:szCs w:val="24"/>
        </w:rPr>
        <w:t>T</w:t>
      </w:r>
      <w:r>
        <w:rPr>
          <w:rFonts w:ascii="宋体" w:hAnsi="宋体" w:eastAsia="宋体" w:cs="宋体"/>
          <w:spacing w:val="-1"/>
          <w:sz w:val="24"/>
          <w:szCs w:val="24"/>
        </w:rPr>
        <w:t>；</w:t>
      </w:r>
    </w:p>
    <w:p w14:paraId="307F565D">
      <w:pPr>
        <w:spacing w:before="193" w:line="212" w:lineRule="auto"/>
        <w:ind w:left="591"/>
        <w:rPr>
          <w:rFonts w:ascii="宋体" w:hAnsi="宋体" w:eastAsia="宋体" w:cs="宋体"/>
          <w:sz w:val="24"/>
          <w:szCs w:val="24"/>
        </w:rPr>
      </w:pPr>
      <w:r>
        <w:rPr>
          <w:rFonts w:ascii="Times New Roman" w:hAnsi="Times New Roman" w:eastAsia="Times New Roman" w:cs="Times New Roman"/>
          <w:spacing w:val="-1"/>
          <w:sz w:val="24"/>
          <w:szCs w:val="24"/>
        </w:rPr>
        <w:t>P—</w:t>
      </w:r>
      <w:r>
        <w:rPr>
          <w:rFonts w:ascii="宋体" w:hAnsi="宋体" w:eastAsia="宋体" w:cs="宋体"/>
          <w:spacing w:val="-1"/>
          <w:sz w:val="24"/>
          <w:szCs w:val="24"/>
        </w:rPr>
        <w:t>道路表面粉尘量，</w:t>
      </w:r>
      <w:r>
        <w:rPr>
          <w:rFonts w:ascii="Times New Roman" w:hAnsi="Times New Roman" w:eastAsia="Times New Roman" w:cs="Times New Roman"/>
          <w:spacing w:val="-1"/>
          <w:sz w:val="24"/>
          <w:szCs w:val="24"/>
        </w:rPr>
        <w:t>kg/m</w:t>
      </w:r>
      <w:r>
        <w:rPr>
          <w:rFonts w:ascii="Times New Roman" w:hAnsi="Times New Roman" w:eastAsia="Times New Roman" w:cs="Times New Roman"/>
          <w:spacing w:val="-1"/>
          <w:position w:val="7"/>
          <w:sz w:val="15"/>
          <w:szCs w:val="15"/>
        </w:rPr>
        <w:t>2</w:t>
      </w:r>
      <w:r>
        <w:rPr>
          <w:rFonts w:ascii="宋体" w:hAnsi="宋体" w:eastAsia="宋体" w:cs="宋体"/>
          <w:spacing w:val="-1"/>
          <w:sz w:val="24"/>
          <w:szCs w:val="24"/>
        </w:rPr>
        <w:t>。</w:t>
      </w:r>
    </w:p>
    <w:p w14:paraId="5BD76F68">
      <w:pPr>
        <w:spacing w:before="204" w:line="354" w:lineRule="auto"/>
        <w:ind w:left="120" w:right="109" w:firstLine="475"/>
        <w:rPr>
          <w:rFonts w:ascii="宋体" w:hAnsi="宋体" w:eastAsia="宋体" w:cs="宋体"/>
          <w:sz w:val="24"/>
          <w:szCs w:val="24"/>
        </w:rPr>
      </w:pPr>
      <w:r>
        <w:rPr>
          <w:rFonts w:ascii="宋体" w:hAnsi="宋体" w:eastAsia="宋体" w:cs="宋体"/>
          <w:spacing w:val="-2"/>
          <w:sz w:val="24"/>
          <w:szCs w:val="24"/>
        </w:rPr>
        <w:t>表</w:t>
      </w:r>
      <w:r>
        <w:rPr>
          <w:rFonts w:ascii="宋体" w:hAnsi="宋体" w:eastAsia="宋体" w:cs="宋体"/>
          <w:spacing w:val="-54"/>
          <w:sz w:val="24"/>
          <w:szCs w:val="24"/>
        </w:rPr>
        <w:t xml:space="preserve"> </w:t>
      </w:r>
      <w:r>
        <w:rPr>
          <w:rFonts w:ascii="Times New Roman" w:hAnsi="Times New Roman" w:eastAsia="Times New Roman" w:cs="Times New Roman"/>
          <w:spacing w:val="-2"/>
          <w:sz w:val="24"/>
          <w:szCs w:val="24"/>
        </w:rPr>
        <w:t>4.7-3</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为一辆</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10t</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卡车，通过一段长为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1km</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的路面</w:t>
      </w:r>
      <w:r>
        <w:rPr>
          <w:rFonts w:ascii="宋体" w:hAnsi="宋体" w:eastAsia="宋体" w:cs="宋体"/>
          <w:spacing w:val="-3"/>
          <w:sz w:val="24"/>
          <w:szCs w:val="24"/>
        </w:rPr>
        <w:t>时，不同路面清洁程度，不同</w:t>
      </w:r>
      <w:r>
        <w:rPr>
          <w:rFonts w:ascii="宋体" w:hAnsi="宋体" w:eastAsia="宋体" w:cs="宋体"/>
          <w:sz w:val="24"/>
          <w:szCs w:val="24"/>
        </w:rPr>
        <w:t xml:space="preserve"> </w:t>
      </w:r>
      <w:r>
        <w:rPr>
          <w:rFonts w:ascii="宋体" w:hAnsi="宋体" w:eastAsia="宋体" w:cs="宋体"/>
          <w:spacing w:val="-2"/>
          <w:sz w:val="24"/>
          <w:szCs w:val="24"/>
        </w:rPr>
        <w:t>行驶速度情况下的扬尘量。</w:t>
      </w:r>
    </w:p>
    <w:p w14:paraId="64B7AB89">
      <w:pPr>
        <w:spacing w:before="49" w:line="221" w:lineRule="auto"/>
        <w:ind w:left="1239"/>
        <w:rPr>
          <w:rFonts w:ascii="宋体" w:hAnsi="宋体" w:eastAsia="宋体" w:cs="宋体"/>
          <w:sz w:val="20"/>
          <w:szCs w:val="20"/>
        </w:rPr>
      </w:pPr>
      <w:r>
        <w:rPr>
          <w:rFonts w:ascii="宋体" w:hAnsi="宋体" w:eastAsia="宋体" w:cs="宋体"/>
          <w:b/>
          <w:bCs/>
          <w:spacing w:val="7"/>
          <w:sz w:val="20"/>
          <w:szCs w:val="20"/>
        </w:rPr>
        <w:t>表</w:t>
      </w:r>
      <w:r>
        <w:rPr>
          <w:rFonts w:ascii="宋体" w:hAnsi="宋体" w:eastAsia="宋体" w:cs="宋体"/>
          <w:spacing w:val="-39"/>
          <w:sz w:val="20"/>
          <w:szCs w:val="20"/>
        </w:rPr>
        <w:t xml:space="preserve"> </w:t>
      </w:r>
      <w:r>
        <w:rPr>
          <w:rFonts w:ascii="Times New Roman" w:hAnsi="Times New Roman" w:eastAsia="Times New Roman" w:cs="Times New Roman"/>
          <w:b/>
          <w:bCs/>
          <w:spacing w:val="7"/>
          <w:sz w:val="20"/>
          <w:szCs w:val="20"/>
        </w:rPr>
        <w:t xml:space="preserve">4.7-3        </w:t>
      </w:r>
      <w:r>
        <w:rPr>
          <w:rFonts w:ascii="宋体" w:hAnsi="宋体" w:eastAsia="宋体" w:cs="宋体"/>
          <w:b/>
          <w:bCs/>
          <w:spacing w:val="7"/>
          <w:sz w:val="20"/>
          <w:szCs w:val="20"/>
        </w:rPr>
        <w:t>在不同车速和地</w:t>
      </w:r>
      <w:r>
        <w:rPr>
          <w:rFonts w:ascii="宋体" w:hAnsi="宋体" w:eastAsia="宋体" w:cs="宋体"/>
          <w:b/>
          <w:bCs/>
          <w:spacing w:val="6"/>
          <w:sz w:val="20"/>
          <w:szCs w:val="20"/>
        </w:rPr>
        <w:t>面清洁程度的汽车扬尘量</w:t>
      </w:r>
      <w:r>
        <w:rPr>
          <w:rFonts w:ascii="宋体" w:hAnsi="宋体" w:eastAsia="宋体" w:cs="宋体"/>
          <w:spacing w:val="6"/>
          <w:sz w:val="20"/>
          <w:szCs w:val="20"/>
        </w:rPr>
        <w:t xml:space="preserve">    </w:t>
      </w:r>
      <w:r>
        <w:rPr>
          <w:rFonts w:ascii="宋体" w:hAnsi="宋体" w:eastAsia="宋体" w:cs="宋体"/>
          <w:b/>
          <w:bCs/>
          <w:spacing w:val="6"/>
          <w:sz w:val="20"/>
          <w:szCs w:val="20"/>
        </w:rPr>
        <w:t>单位：</w:t>
      </w:r>
      <w:r>
        <w:rPr>
          <w:rFonts w:ascii="Times New Roman" w:hAnsi="Times New Roman" w:eastAsia="Times New Roman" w:cs="Times New Roman"/>
          <w:b/>
          <w:bCs/>
          <w:sz w:val="20"/>
          <w:szCs w:val="20"/>
        </w:rPr>
        <w:t>kg</w:t>
      </w:r>
      <w:r>
        <w:rPr>
          <w:rFonts w:ascii="Times New Roman" w:hAnsi="Times New Roman" w:eastAsia="Times New Roman" w:cs="Times New Roman"/>
          <w:b/>
          <w:bCs/>
          <w:spacing w:val="6"/>
          <w:sz w:val="20"/>
          <w:szCs w:val="20"/>
        </w:rPr>
        <w:t>/</w:t>
      </w:r>
      <w:r>
        <w:rPr>
          <w:rFonts w:ascii="Times New Roman" w:hAnsi="Times New Roman" w:eastAsia="Times New Roman" w:cs="Times New Roman"/>
          <w:b/>
          <w:bCs/>
          <w:sz w:val="20"/>
          <w:szCs w:val="20"/>
        </w:rPr>
        <w:t>km</w:t>
      </w:r>
      <w:r>
        <w:rPr>
          <w:rFonts w:ascii="Times New Roman" w:hAnsi="Times New Roman" w:eastAsia="Times New Roman" w:cs="Times New Roman"/>
          <w:b/>
          <w:bCs/>
          <w:spacing w:val="6"/>
          <w:sz w:val="20"/>
          <w:szCs w:val="20"/>
        </w:rPr>
        <w:t>·</w:t>
      </w:r>
      <w:r>
        <w:rPr>
          <w:rFonts w:ascii="宋体" w:hAnsi="宋体" w:eastAsia="宋体" w:cs="宋体"/>
          <w:b/>
          <w:bCs/>
          <w:spacing w:val="6"/>
          <w:sz w:val="20"/>
          <w:szCs w:val="20"/>
        </w:rPr>
        <w:t>辆</w:t>
      </w:r>
    </w:p>
    <w:p w14:paraId="46749888">
      <w:pPr>
        <w:spacing w:line="106" w:lineRule="exact"/>
      </w:pPr>
    </w:p>
    <w:tbl>
      <w:tblPr>
        <w:tblStyle w:val="5"/>
        <w:tblW w:w="928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004"/>
        <w:gridCol w:w="1049"/>
        <w:gridCol w:w="1050"/>
        <w:gridCol w:w="1046"/>
        <w:gridCol w:w="1046"/>
        <w:gridCol w:w="1046"/>
        <w:gridCol w:w="1046"/>
      </w:tblGrid>
      <w:tr w14:paraId="28FB9D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6" w:hRule="atLeast"/>
        </w:trPr>
        <w:tc>
          <w:tcPr>
            <w:tcW w:w="3004" w:type="dxa"/>
            <w:tcBorders>
              <w:top w:val="single" w:color="000000" w:sz="10" w:space="0"/>
              <w:left w:val="nil"/>
              <w:tl2br w:val="single" w:color="000000" w:sz="4" w:space="0"/>
            </w:tcBorders>
            <w:vAlign w:val="top"/>
          </w:tcPr>
          <w:p w14:paraId="4530562B">
            <w:pPr>
              <w:pStyle w:val="6"/>
              <w:spacing w:before="35" w:line="221" w:lineRule="auto"/>
              <w:ind w:left="1512"/>
              <w:rPr>
                <w:sz w:val="20"/>
                <w:szCs w:val="20"/>
              </w:rPr>
            </w:pPr>
            <w:r>
              <w:rPr>
                <w:rFonts w:ascii="Times New Roman" w:hAnsi="Times New Roman" w:eastAsia="Times New Roman" w:cs="Times New Roman"/>
                <w:spacing w:val="5"/>
                <w:sz w:val="20"/>
                <w:szCs w:val="20"/>
              </w:rPr>
              <w:t>P</w:t>
            </w:r>
            <w:r>
              <w:rPr>
                <w:spacing w:val="5"/>
                <w:sz w:val="20"/>
                <w:szCs w:val="20"/>
              </w:rPr>
              <w:t>（</w:t>
            </w:r>
            <w:r>
              <w:rPr>
                <w:rFonts w:ascii="Times New Roman" w:hAnsi="Times New Roman" w:eastAsia="Times New Roman" w:cs="Times New Roman"/>
                <w:sz w:val="20"/>
                <w:szCs w:val="20"/>
              </w:rPr>
              <w:t>kg</w:t>
            </w:r>
            <w:r>
              <w:rPr>
                <w:rFonts w:ascii="Times New Roman" w:hAnsi="Times New Roman" w:eastAsia="Times New Roman" w:cs="Times New Roman"/>
                <w:spacing w:val="5"/>
                <w:sz w:val="20"/>
                <w:szCs w:val="20"/>
              </w:rPr>
              <w:t>/m</w:t>
            </w:r>
            <w:r>
              <w:rPr>
                <w:rFonts w:ascii="Times New Roman" w:hAnsi="Times New Roman" w:eastAsia="Times New Roman" w:cs="Times New Roman"/>
                <w:spacing w:val="5"/>
                <w:position w:val="6"/>
                <w:sz w:val="13"/>
                <w:szCs w:val="13"/>
              </w:rPr>
              <w:t>2</w:t>
            </w:r>
            <w:r>
              <w:rPr>
                <w:spacing w:val="5"/>
                <w:sz w:val="20"/>
                <w:szCs w:val="20"/>
              </w:rPr>
              <w:t>）</w:t>
            </w:r>
          </w:p>
          <w:p w14:paraId="4C80EC54">
            <w:pPr>
              <w:pStyle w:val="6"/>
              <w:spacing w:before="31" w:line="212" w:lineRule="auto"/>
              <w:ind w:left="116"/>
              <w:rPr>
                <w:sz w:val="20"/>
                <w:szCs w:val="20"/>
              </w:rPr>
            </w:pPr>
            <w:r>
              <w:rPr>
                <w:spacing w:val="6"/>
                <w:sz w:val="20"/>
                <w:szCs w:val="20"/>
              </w:rPr>
              <w:t>车速（</w:t>
            </w:r>
            <w:r>
              <w:rPr>
                <w:rFonts w:ascii="Times New Roman" w:hAnsi="Times New Roman" w:eastAsia="Times New Roman" w:cs="Times New Roman"/>
                <w:sz w:val="20"/>
                <w:szCs w:val="20"/>
              </w:rPr>
              <w:t>km</w:t>
            </w:r>
            <w:r>
              <w:rPr>
                <w:rFonts w:ascii="Times New Roman" w:hAnsi="Times New Roman" w:eastAsia="Times New Roman" w:cs="Times New Roman"/>
                <w:spacing w:val="6"/>
                <w:sz w:val="20"/>
                <w:szCs w:val="20"/>
              </w:rPr>
              <w:t>/h</w:t>
            </w:r>
            <w:r>
              <w:rPr>
                <w:spacing w:val="6"/>
                <w:sz w:val="20"/>
                <w:szCs w:val="20"/>
              </w:rPr>
              <w:t>）</w:t>
            </w:r>
          </w:p>
        </w:tc>
        <w:tc>
          <w:tcPr>
            <w:tcW w:w="1049" w:type="dxa"/>
            <w:tcBorders>
              <w:top w:val="single" w:color="000000" w:sz="10" w:space="0"/>
            </w:tcBorders>
            <w:vAlign w:val="top"/>
          </w:tcPr>
          <w:p w14:paraId="7E1C1849">
            <w:pPr>
              <w:spacing w:before="207" w:line="195" w:lineRule="auto"/>
              <w:ind w:left="398"/>
              <w:rPr>
                <w:rFonts w:ascii="Times New Roman" w:hAnsi="Times New Roman" w:eastAsia="Times New Roman" w:cs="Times New Roman"/>
                <w:sz w:val="20"/>
                <w:szCs w:val="20"/>
              </w:rPr>
            </w:pPr>
            <w:r>
              <w:rPr>
                <w:rFonts w:ascii="Times New Roman" w:hAnsi="Times New Roman" w:eastAsia="Times New Roman" w:cs="Times New Roman"/>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w:t>
            </w:r>
          </w:p>
        </w:tc>
        <w:tc>
          <w:tcPr>
            <w:tcW w:w="1050" w:type="dxa"/>
            <w:tcBorders>
              <w:top w:val="single" w:color="000000" w:sz="10" w:space="0"/>
            </w:tcBorders>
            <w:vAlign w:val="top"/>
          </w:tcPr>
          <w:p w14:paraId="066AA6BA">
            <w:pPr>
              <w:spacing w:before="207" w:line="195" w:lineRule="auto"/>
              <w:ind w:left="39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0.2</w:t>
            </w:r>
          </w:p>
        </w:tc>
        <w:tc>
          <w:tcPr>
            <w:tcW w:w="1046" w:type="dxa"/>
            <w:tcBorders>
              <w:top w:val="single" w:color="000000" w:sz="10" w:space="0"/>
            </w:tcBorders>
            <w:vAlign w:val="top"/>
          </w:tcPr>
          <w:p w14:paraId="2BB59495">
            <w:pPr>
              <w:spacing w:before="207" w:line="195" w:lineRule="auto"/>
              <w:ind w:left="3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0.3</w:t>
            </w:r>
          </w:p>
        </w:tc>
        <w:tc>
          <w:tcPr>
            <w:tcW w:w="1046" w:type="dxa"/>
            <w:tcBorders>
              <w:top w:val="single" w:color="000000" w:sz="10" w:space="0"/>
            </w:tcBorders>
            <w:vAlign w:val="top"/>
          </w:tcPr>
          <w:p w14:paraId="34827A91">
            <w:pPr>
              <w:spacing w:before="207" w:line="195" w:lineRule="auto"/>
              <w:ind w:left="3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0.4</w:t>
            </w:r>
          </w:p>
        </w:tc>
        <w:tc>
          <w:tcPr>
            <w:tcW w:w="1046" w:type="dxa"/>
            <w:tcBorders>
              <w:top w:val="single" w:color="000000" w:sz="10" w:space="0"/>
            </w:tcBorders>
            <w:vAlign w:val="top"/>
          </w:tcPr>
          <w:p w14:paraId="2C6AF96A">
            <w:pPr>
              <w:spacing w:before="207" w:line="195" w:lineRule="auto"/>
              <w:ind w:left="39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0.5</w:t>
            </w:r>
          </w:p>
        </w:tc>
        <w:tc>
          <w:tcPr>
            <w:tcW w:w="1046" w:type="dxa"/>
            <w:tcBorders>
              <w:top w:val="single" w:color="000000" w:sz="10" w:space="0"/>
              <w:right w:val="nil"/>
            </w:tcBorders>
            <w:vAlign w:val="top"/>
          </w:tcPr>
          <w:p w14:paraId="5A89E3C0">
            <w:pPr>
              <w:spacing w:before="207" w:line="195" w:lineRule="auto"/>
              <w:ind w:left="41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r>
      <w:tr w14:paraId="2A4215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3004" w:type="dxa"/>
            <w:tcBorders>
              <w:left w:val="nil"/>
            </w:tcBorders>
            <w:vAlign w:val="top"/>
          </w:tcPr>
          <w:p w14:paraId="67683B47">
            <w:pPr>
              <w:spacing w:before="106" w:line="192" w:lineRule="auto"/>
              <w:ind w:left="1458"/>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049" w:type="dxa"/>
            <w:vAlign w:val="top"/>
          </w:tcPr>
          <w:p w14:paraId="26555F15">
            <w:pPr>
              <w:spacing w:before="103"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0.051</w:t>
            </w:r>
          </w:p>
        </w:tc>
        <w:tc>
          <w:tcPr>
            <w:tcW w:w="1050" w:type="dxa"/>
            <w:vAlign w:val="top"/>
          </w:tcPr>
          <w:p w14:paraId="1992C8B0">
            <w:pPr>
              <w:spacing w:before="103" w:line="195"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0.086</w:t>
            </w:r>
          </w:p>
        </w:tc>
        <w:tc>
          <w:tcPr>
            <w:tcW w:w="1046" w:type="dxa"/>
            <w:vAlign w:val="top"/>
          </w:tcPr>
          <w:p w14:paraId="296214D9">
            <w:pPr>
              <w:spacing w:before="103"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0.116</w:t>
            </w:r>
          </w:p>
        </w:tc>
        <w:tc>
          <w:tcPr>
            <w:tcW w:w="1046" w:type="dxa"/>
            <w:vAlign w:val="top"/>
          </w:tcPr>
          <w:p w14:paraId="2D6252E6">
            <w:pPr>
              <w:spacing w:before="103"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2"/>
                <w:sz w:val="20"/>
                <w:szCs w:val="20"/>
              </w:rPr>
              <w:t>144</w:t>
            </w:r>
          </w:p>
        </w:tc>
        <w:tc>
          <w:tcPr>
            <w:tcW w:w="1046" w:type="dxa"/>
            <w:vAlign w:val="top"/>
          </w:tcPr>
          <w:p w14:paraId="4FF27EAF">
            <w:pPr>
              <w:spacing w:before="103"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0.171</w:t>
            </w:r>
          </w:p>
        </w:tc>
        <w:tc>
          <w:tcPr>
            <w:tcW w:w="1046" w:type="dxa"/>
            <w:tcBorders>
              <w:right w:val="nil"/>
            </w:tcBorders>
            <w:vAlign w:val="top"/>
          </w:tcPr>
          <w:p w14:paraId="6638087F">
            <w:pPr>
              <w:spacing w:before="103"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0.287</w:t>
            </w:r>
          </w:p>
        </w:tc>
      </w:tr>
      <w:tr w14:paraId="5C3578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3004" w:type="dxa"/>
            <w:tcBorders>
              <w:left w:val="nil"/>
            </w:tcBorders>
            <w:vAlign w:val="top"/>
          </w:tcPr>
          <w:p w14:paraId="116D83FC">
            <w:pPr>
              <w:spacing w:before="109" w:line="195" w:lineRule="auto"/>
              <w:ind w:left="142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049" w:type="dxa"/>
            <w:vAlign w:val="top"/>
          </w:tcPr>
          <w:p w14:paraId="7EDD6D55">
            <w:pPr>
              <w:spacing w:before="109"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0.102</w:t>
            </w:r>
          </w:p>
        </w:tc>
        <w:tc>
          <w:tcPr>
            <w:tcW w:w="1050" w:type="dxa"/>
            <w:vAlign w:val="top"/>
          </w:tcPr>
          <w:p w14:paraId="1140FE7F">
            <w:pPr>
              <w:spacing w:before="109" w:line="195"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0.171</w:t>
            </w:r>
          </w:p>
        </w:tc>
        <w:tc>
          <w:tcPr>
            <w:tcW w:w="1046" w:type="dxa"/>
            <w:vAlign w:val="top"/>
          </w:tcPr>
          <w:p w14:paraId="620E396A">
            <w:pPr>
              <w:spacing w:before="109"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0.232</w:t>
            </w:r>
          </w:p>
        </w:tc>
        <w:tc>
          <w:tcPr>
            <w:tcW w:w="1046" w:type="dxa"/>
            <w:vAlign w:val="top"/>
          </w:tcPr>
          <w:p w14:paraId="2BCEC466">
            <w:pPr>
              <w:spacing w:before="109"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0.289</w:t>
            </w:r>
          </w:p>
        </w:tc>
        <w:tc>
          <w:tcPr>
            <w:tcW w:w="1046" w:type="dxa"/>
            <w:vAlign w:val="top"/>
          </w:tcPr>
          <w:p w14:paraId="2D98334B">
            <w:pPr>
              <w:spacing w:before="109"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0.341</w:t>
            </w:r>
          </w:p>
        </w:tc>
        <w:tc>
          <w:tcPr>
            <w:tcW w:w="1046" w:type="dxa"/>
            <w:tcBorders>
              <w:right w:val="nil"/>
            </w:tcBorders>
            <w:vAlign w:val="top"/>
          </w:tcPr>
          <w:p w14:paraId="4162D2E4">
            <w:pPr>
              <w:spacing w:before="109"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0.574</w:t>
            </w:r>
          </w:p>
        </w:tc>
      </w:tr>
      <w:tr w14:paraId="7EDABF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3004" w:type="dxa"/>
            <w:tcBorders>
              <w:left w:val="nil"/>
            </w:tcBorders>
            <w:vAlign w:val="top"/>
          </w:tcPr>
          <w:p w14:paraId="348B536D">
            <w:pPr>
              <w:spacing w:before="113" w:line="195" w:lineRule="auto"/>
              <w:ind w:left="142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1049" w:type="dxa"/>
            <w:vAlign w:val="top"/>
          </w:tcPr>
          <w:p w14:paraId="5E24291D">
            <w:pPr>
              <w:spacing w:before="113"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0.153</w:t>
            </w:r>
          </w:p>
        </w:tc>
        <w:tc>
          <w:tcPr>
            <w:tcW w:w="1050" w:type="dxa"/>
            <w:vAlign w:val="top"/>
          </w:tcPr>
          <w:p w14:paraId="06E150A2">
            <w:pPr>
              <w:spacing w:before="113" w:line="195"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0.257</w:t>
            </w:r>
          </w:p>
        </w:tc>
        <w:tc>
          <w:tcPr>
            <w:tcW w:w="1046" w:type="dxa"/>
            <w:vAlign w:val="top"/>
          </w:tcPr>
          <w:p w14:paraId="3B7F401F">
            <w:pPr>
              <w:spacing w:before="113"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0.349</w:t>
            </w:r>
          </w:p>
        </w:tc>
        <w:tc>
          <w:tcPr>
            <w:tcW w:w="1046" w:type="dxa"/>
            <w:vAlign w:val="top"/>
          </w:tcPr>
          <w:p w14:paraId="46ED6ACE">
            <w:pPr>
              <w:spacing w:before="113"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0.433</w:t>
            </w:r>
          </w:p>
        </w:tc>
        <w:tc>
          <w:tcPr>
            <w:tcW w:w="1046" w:type="dxa"/>
            <w:vAlign w:val="top"/>
          </w:tcPr>
          <w:p w14:paraId="140DB9D9">
            <w:pPr>
              <w:spacing w:before="113"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0.512</w:t>
            </w:r>
          </w:p>
        </w:tc>
        <w:tc>
          <w:tcPr>
            <w:tcW w:w="1046" w:type="dxa"/>
            <w:tcBorders>
              <w:right w:val="nil"/>
            </w:tcBorders>
            <w:vAlign w:val="top"/>
          </w:tcPr>
          <w:p w14:paraId="43536031">
            <w:pPr>
              <w:spacing w:before="113"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0.861</w:t>
            </w:r>
          </w:p>
        </w:tc>
      </w:tr>
      <w:tr w14:paraId="439880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3004" w:type="dxa"/>
            <w:tcBorders>
              <w:left w:val="nil"/>
              <w:bottom w:val="single" w:color="000000" w:sz="10" w:space="0"/>
            </w:tcBorders>
            <w:vAlign w:val="top"/>
          </w:tcPr>
          <w:p w14:paraId="5E5ED83E">
            <w:pPr>
              <w:spacing w:before="116" w:line="195" w:lineRule="auto"/>
              <w:ind w:left="14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1049" w:type="dxa"/>
            <w:tcBorders>
              <w:bottom w:val="single" w:color="000000" w:sz="10" w:space="0"/>
            </w:tcBorders>
            <w:vAlign w:val="top"/>
          </w:tcPr>
          <w:p w14:paraId="4135D148">
            <w:pPr>
              <w:spacing w:before="116"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0.255</w:t>
            </w:r>
          </w:p>
        </w:tc>
        <w:tc>
          <w:tcPr>
            <w:tcW w:w="1050" w:type="dxa"/>
            <w:tcBorders>
              <w:bottom w:val="single" w:color="000000" w:sz="10" w:space="0"/>
            </w:tcBorders>
            <w:vAlign w:val="top"/>
          </w:tcPr>
          <w:p w14:paraId="77332ABE">
            <w:pPr>
              <w:spacing w:before="116" w:line="195" w:lineRule="auto"/>
              <w:ind w:left="2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0.429</w:t>
            </w:r>
          </w:p>
        </w:tc>
        <w:tc>
          <w:tcPr>
            <w:tcW w:w="1046" w:type="dxa"/>
            <w:tcBorders>
              <w:bottom w:val="single" w:color="000000" w:sz="10" w:space="0"/>
            </w:tcBorders>
            <w:vAlign w:val="top"/>
          </w:tcPr>
          <w:p w14:paraId="4BDE289A">
            <w:pPr>
              <w:spacing w:before="116"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0.582</w:t>
            </w:r>
          </w:p>
        </w:tc>
        <w:tc>
          <w:tcPr>
            <w:tcW w:w="1046" w:type="dxa"/>
            <w:tcBorders>
              <w:bottom w:val="single" w:color="000000" w:sz="10" w:space="0"/>
            </w:tcBorders>
            <w:vAlign w:val="top"/>
          </w:tcPr>
          <w:p w14:paraId="050DC39F">
            <w:pPr>
              <w:spacing w:before="116"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0.722</w:t>
            </w:r>
          </w:p>
        </w:tc>
        <w:tc>
          <w:tcPr>
            <w:tcW w:w="1046" w:type="dxa"/>
            <w:tcBorders>
              <w:bottom w:val="single" w:color="000000" w:sz="10" w:space="0"/>
            </w:tcBorders>
            <w:vAlign w:val="top"/>
          </w:tcPr>
          <w:p w14:paraId="02B0862D">
            <w:pPr>
              <w:spacing w:before="116"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0.853</w:t>
            </w:r>
          </w:p>
        </w:tc>
        <w:tc>
          <w:tcPr>
            <w:tcW w:w="1046" w:type="dxa"/>
            <w:tcBorders>
              <w:bottom w:val="single" w:color="000000" w:sz="10" w:space="0"/>
              <w:right w:val="nil"/>
            </w:tcBorders>
            <w:vAlign w:val="top"/>
          </w:tcPr>
          <w:p w14:paraId="0A8B54D4">
            <w:pPr>
              <w:spacing w:before="116" w:line="195" w:lineRule="auto"/>
              <w:ind w:left="30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1.435</w:t>
            </w:r>
          </w:p>
        </w:tc>
      </w:tr>
    </w:tbl>
    <w:p w14:paraId="3E0C405B">
      <w:pPr>
        <w:spacing w:before="120" w:line="360" w:lineRule="auto"/>
        <w:ind w:left="118" w:right="109" w:firstLine="480"/>
        <w:rPr>
          <w:rFonts w:ascii="宋体" w:hAnsi="宋体" w:eastAsia="宋体" w:cs="宋体"/>
          <w:sz w:val="24"/>
          <w:szCs w:val="24"/>
        </w:rPr>
      </w:pPr>
      <w:r>
        <w:rPr>
          <w:rFonts w:ascii="宋体" w:hAnsi="宋体" w:eastAsia="宋体" w:cs="宋体"/>
          <w:spacing w:val="1"/>
          <w:sz w:val="24"/>
          <w:szCs w:val="24"/>
        </w:rPr>
        <w:t>从表</w:t>
      </w:r>
      <w:r>
        <w:rPr>
          <w:rFonts w:ascii="宋体" w:hAnsi="宋体" w:eastAsia="宋体" w:cs="宋体"/>
          <w:spacing w:val="-54"/>
          <w:sz w:val="24"/>
          <w:szCs w:val="24"/>
        </w:rPr>
        <w:t xml:space="preserve"> </w:t>
      </w:r>
      <w:r>
        <w:rPr>
          <w:rFonts w:ascii="Times New Roman" w:hAnsi="Times New Roman" w:eastAsia="Times New Roman" w:cs="Times New Roman"/>
          <w:spacing w:val="1"/>
          <w:sz w:val="24"/>
          <w:szCs w:val="24"/>
        </w:rPr>
        <w:t xml:space="preserve">4.7-3 </w:t>
      </w:r>
      <w:r>
        <w:rPr>
          <w:rFonts w:ascii="宋体" w:hAnsi="宋体" w:eastAsia="宋体" w:cs="宋体"/>
          <w:spacing w:val="1"/>
          <w:sz w:val="24"/>
          <w:szCs w:val="24"/>
        </w:rPr>
        <w:t>可见，在同样的路面条件下，车速越快，扬尘量越大，</w:t>
      </w:r>
      <w:r>
        <w:rPr>
          <w:rFonts w:ascii="宋体" w:hAnsi="宋体" w:eastAsia="宋体" w:cs="宋体"/>
          <w:sz w:val="24"/>
          <w:szCs w:val="24"/>
        </w:rPr>
        <w:t xml:space="preserve">在同样的车速情 </w:t>
      </w:r>
      <w:r>
        <w:rPr>
          <w:rFonts w:ascii="宋体" w:hAnsi="宋体" w:eastAsia="宋体" w:cs="宋体"/>
          <w:spacing w:val="-2"/>
          <w:sz w:val="24"/>
          <w:szCs w:val="24"/>
        </w:rPr>
        <w:t>况下，路面粉尘越大，扬尘量越大。因此，限制施工车辆速度和保持路面清洁是减小扬</w:t>
      </w:r>
      <w:r>
        <w:rPr>
          <w:rFonts w:ascii="宋体" w:hAnsi="宋体" w:eastAsia="宋体" w:cs="宋体"/>
          <w:spacing w:val="15"/>
          <w:sz w:val="24"/>
          <w:szCs w:val="24"/>
        </w:rPr>
        <w:t xml:space="preserve"> </w:t>
      </w:r>
      <w:r>
        <w:rPr>
          <w:rFonts w:ascii="宋体" w:hAnsi="宋体" w:eastAsia="宋体" w:cs="宋体"/>
          <w:spacing w:val="-2"/>
          <w:sz w:val="24"/>
          <w:szCs w:val="24"/>
        </w:rPr>
        <w:t>尘的有效手段。</w:t>
      </w:r>
    </w:p>
    <w:p w14:paraId="16C47C30">
      <w:pPr>
        <w:spacing w:before="31" w:line="219" w:lineRule="auto"/>
        <w:ind w:left="596"/>
        <w:rPr>
          <w:rFonts w:ascii="宋体" w:hAnsi="宋体" w:eastAsia="宋体" w:cs="宋体"/>
          <w:sz w:val="24"/>
          <w:szCs w:val="24"/>
        </w:rPr>
      </w:pPr>
      <w:r>
        <w:rPr>
          <w:rFonts w:ascii="Times New Roman" w:hAnsi="Times New Roman" w:eastAsia="Times New Roman" w:cs="Times New Roman"/>
          <w:spacing w:val="-6"/>
          <w:sz w:val="24"/>
          <w:szCs w:val="24"/>
        </w:rPr>
        <w:t>3</w:t>
      </w:r>
      <w:r>
        <w:rPr>
          <w:rFonts w:ascii="Times New Roman" w:hAnsi="Times New Roman" w:eastAsia="Times New Roman" w:cs="Times New Roman"/>
          <w:spacing w:val="-34"/>
          <w:sz w:val="24"/>
          <w:szCs w:val="24"/>
        </w:rPr>
        <w:t xml:space="preserve"> </w:t>
      </w:r>
      <w:r>
        <w:rPr>
          <w:rFonts w:ascii="宋体" w:hAnsi="宋体" w:eastAsia="宋体" w:cs="宋体"/>
          <w:spacing w:val="-6"/>
          <w:sz w:val="24"/>
          <w:szCs w:val="24"/>
        </w:rPr>
        <w:t>、机械废气</w:t>
      </w:r>
    </w:p>
    <w:p w14:paraId="741EC531">
      <w:pPr>
        <w:spacing w:before="198" w:line="361" w:lineRule="auto"/>
        <w:ind w:left="117" w:right="109" w:firstLine="478"/>
        <w:rPr>
          <w:rFonts w:ascii="宋体" w:hAnsi="宋体" w:eastAsia="宋体" w:cs="宋体"/>
          <w:sz w:val="24"/>
          <w:szCs w:val="24"/>
        </w:rPr>
      </w:pPr>
      <w:r>
        <w:rPr>
          <w:rFonts w:ascii="宋体" w:hAnsi="宋体" w:eastAsia="宋体" w:cs="宋体"/>
          <w:spacing w:val="-2"/>
          <w:sz w:val="24"/>
          <w:szCs w:val="24"/>
        </w:rPr>
        <w:t>施工时使用的施工机械和大型建筑材料运输车辆一般都以柴油为燃料，柴油燃烧产</w:t>
      </w:r>
      <w:r>
        <w:rPr>
          <w:rFonts w:ascii="宋体" w:hAnsi="宋体" w:eastAsia="宋体" w:cs="宋体"/>
          <w:spacing w:val="14"/>
          <w:sz w:val="24"/>
          <w:szCs w:val="24"/>
        </w:rPr>
        <w:t xml:space="preserve"> </w:t>
      </w:r>
      <w:r>
        <w:rPr>
          <w:rFonts w:ascii="宋体" w:hAnsi="宋体" w:eastAsia="宋体" w:cs="宋体"/>
          <w:spacing w:val="-2"/>
          <w:sz w:val="24"/>
          <w:szCs w:val="24"/>
        </w:rPr>
        <w:t>生的尾气中主要含有颗粒物和碳氢化合物等废气，在常规气象条件下废气污染影响范围</w:t>
      </w:r>
      <w:r>
        <w:rPr>
          <w:rFonts w:ascii="宋体" w:hAnsi="宋体" w:eastAsia="宋体" w:cs="宋体"/>
          <w:spacing w:val="16"/>
          <w:sz w:val="24"/>
          <w:szCs w:val="24"/>
        </w:rPr>
        <w:t xml:space="preserve"> </w:t>
      </w:r>
      <w:r>
        <w:rPr>
          <w:rFonts w:ascii="宋体" w:hAnsi="宋体" w:eastAsia="宋体" w:cs="宋体"/>
          <w:spacing w:val="-2"/>
          <w:sz w:val="24"/>
          <w:szCs w:val="24"/>
        </w:rPr>
        <w:t>最大不超过排气孔下风向轴线几十米远的距离。一般情况下，在工地内运行的机械及载</w:t>
      </w:r>
      <w:r>
        <w:rPr>
          <w:rFonts w:ascii="宋体" w:hAnsi="宋体" w:eastAsia="宋体" w:cs="宋体"/>
          <w:spacing w:val="16"/>
          <w:sz w:val="24"/>
          <w:szCs w:val="24"/>
        </w:rPr>
        <w:t xml:space="preserve"> </w:t>
      </w:r>
      <w:r>
        <w:rPr>
          <w:rFonts w:ascii="宋体" w:hAnsi="宋体" w:eastAsia="宋体" w:cs="宋体"/>
          <w:spacing w:val="-1"/>
          <w:sz w:val="24"/>
          <w:szCs w:val="24"/>
        </w:rPr>
        <w:t>重卡车的废气污染影响范围仅局限于施工工地内，不影响界外区域。</w:t>
      </w:r>
    </w:p>
    <w:p w14:paraId="0D112240">
      <w:pPr>
        <w:spacing w:before="82" w:line="222" w:lineRule="auto"/>
        <w:ind w:left="111"/>
        <w:outlineLvl w:val="2"/>
        <w:rPr>
          <w:rFonts w:ascii="黑体" w:hAnsi="黑体" w:eastAsia="黑体" w:cs="黑体"/>
          <w:sz w:val="30"/>
          <w:szCs w:val="30"/>
        </w:rPr>
      </w:pPr>
      <w:bookmarkStart w:id="387" w:name="bookmark242"/>
      <w:bookmarkEnd w:id="387"/>
      <w:r>
        <w:rPr>
          <w:rFonts w:ascii="Times New Roman" w:hAnsi="Times New Roman" w:eastAsia="Times New Roman" w:cs="Times New Roman"/>
          <w:spacing w:val="-1"/>
          <w:sz w:val="30"/>
          <w:szCs w:val="30"/>
        </w:rPr>
        <w:t xml:space="preserve">4.7.2 </w:t>
      </w:r>
      <w:r>
        <w:rPr>
          <w:rFonts w:ascii="黑体" w:hAnsi="黑体" w:eastAsia="黑体" w:cs="黑体"/>
          <w:spacing w:val="-1"/>
          <w:sz w:val="30"/>
          <w:szCs w:val="30"/>
        </w:rPr>
        <w:t>施工期废水污染影响</w:t>
      </w:r>
    </w:p>
    <w:p w14:paraId="1E1CB741">
      <w:pPr>
        <w:spacing w:before="229" w:line="354" w:lineRule="auto"/>
        <w:ind w:left="118" w:right="109" w:firstLine="480"/>
        <w:rPr>
          <w:rFonts w:ascii="宋体" w:hAnsi="宋体" w:eastAsia="宋体" w:cs="宋体"/>
          <w:sz w:val="24"/>
          <w:szCs w:val="24"/>
        </w:rPr>
      </w:pPr>
      <w:r>
        <w:rPr>
          <w:rFonts w:ascii="宋体" w:hAnsi="宋体" w:eastAsia="宋体" w:cs="宋体"/>
          <w:spacing w:val="-2"/>
          <w:sz w:val="24"/>
          <w:szCs w:val="24"/>
        </w:rPr>
        <w:t>建筑施工期间，车辆清洗、设备维修等，将会带来一定量的含油废水，此外还将产</w:t>
      </w:r>
      <w:r>
        <w:rPr>
          <w:rFonts w:ascii="宋体" w:hAnsi="宋体" w:eastAsia="宋体" w:cs="宋体"/>
          <w:spacing w:val="10"/>
          <w:sz w:val="24"/>
          <w:szCs w:val="24"/>
        </w:rPr>
        <w:t xml:space="preserve"> </w:t>
      </w:r>
      <w:r>
        <w:rPr>
          <w:rFonts w:ascii="宋体" w:hAnsi="宋体" w:eastAsia="宋体" w:cs="宋体"/>
          <w:sz w:val="24"/>
          <w:szCs w:val="24"/>
        </w:rPr>
        <w:t>生一定量的生活废水。施工废水主要污染物为无机悬浮物</w:t>
      </w:r>
      <w:r>
        <w:rPr>
          <w:rFonts w:ascii="宋体" w:hAnsi="宋体" w:eastAsia="宋体" w:cs="宋体"/>
          <w:spacing w:val="-1"/>
          <w:sz w:val="24"/>
          <w:szCs w:val="24"/>
        </w:rPr>
        <w:t>（</w:t>
      </w:r>
      <w:r>
        <w:rPr>
          <w:rFonts w:ascii="Times New Roman" w:hAnsi="Times New Roman" w:eastAsia="Times New Roman" w:cs="Times New Roman"/>
          <w:spacing w:val="-1"/>
          <w:sz w:val="24"/>
          <w:szCs w:val="24"/>
        </w:rPr>
        <w:t>SS</w:t>
      </w:r>
      <w:r>
        <w:rPr>
          <w:rFonts w:ascii="宋体" w:hAnsi="宋体" w:eastAsia="宋体" w:cs="宋体"/>
          <w:spacing w:val="-1"/>
          <w:sz w:val="24"/>
          <w:szCs w:val="24"/>
        </w:rPr>
        <w:t>）和极少量的油类等。</w:t>
      </w:r>
    </w:p>
    <w:p w14:paraId="0F697D6E">
      <w:pPr>
        <w:spacing w:line="354" w:lineRule="auto"/>
        <w:rPr>
          <w:rFonts w:ascii="宋体" w:hAnsi="宋体" w:eastAsia="宋体" w:cs="宋体"/>
          <w:sz w:val="24"/>
          <w:szCs w:val="24"/>
        </w:rPr>
        <w:sectPr>
          <w:headerReference r:id="rId369" w:type="default"/>
          <w:footerReference r:id="rId370" w:type="default"/>
          <w:pgSz w:w="11906" w:h="16839"/>
          <w:pgMar w:top="1191" w:right="1309" w:bottom="1569" w:left="1309" w:header="882" w:footer="1407" w:gutter="0"/>
          <w:cols w:space="720" w:num="1"/>
        </w:sectPr>
      </w:pPr>
    </w:p>
    <w:p w14:paraId="4B765662">
      <w:pPr>
        <w:spacing w:line="28" w:lineRule="exact"/>
        <w:ind w:firstLine="99"/>
      </w:pPr>
      <w:r>
        <w:pict>
          <v:shape id="_x0000_s1852" o:spid="_x0000_s1852" style="height:1.45pt;width:453.65pt;" fillcolor="#000000" filled="t" stroked="f" coordsize="9072,29" path="m0,0l9072,0,9072,28,0,28,0,0xe">
            <v:path/>
            <v:fill on="t" focussize="0,0"/>
            <v:stroke on="f"/>
            <v:imagedata o:title=""/>
            <o:lock v:ext="edit"/>
            <w10:wrap type="none"/>
            <w10:anchorlock/>
          </v:shape>
        </w:pict>
      </w:r>
    </w:p>
    <w:p w14:paraId="18752606">
      <w:pPr>
        <w:spacing w:before="314" w:line="362" w:lineRule="auto"/>
        <w:ind w:left="105" w:right="99" w:firstLine="480"/>
        <w:jc w:val="both"/>
        <w:rPr>
          <w:rFonts w:ascii="宋体" w:hAnsi="宋体" w:eastAsia="宋体" w:cs="宋体"/>
          <w:sz w:val="24"/>
          <w:szCs w:val="24"/>
        </w:rPr>
      </w:pPr>
      <w:r>
        <w:rPr>
          <w:rFonts w:ascii="宋体" w:hAnsi="宋体" w:eastAsia="宋体" w:cs="宋体"/>
          <w:spacing w:val="-2"/>
          <w:sz w:val="24"/>
          <w:szCs w:val="24"/>
        </w:rPr>
        <w:t>在降雨时对某些建筑材料及时遮盖以减少雨水冲刷产生污水，对污染较重的废污水</w:t>
      </w:r>
      <w:r>
        <w:rPr>
          <w:rFonts w:ascii="宋体" w:hAnsi="宋体" w:eastAsia="宋体" w:cs="宋体"/>
          <w:spacing w:val="14"/>
          <w:sz w:val="24"/>
          <w:szCs w:val="24"/>
        </w:rPr>
        <w:t xml:space="preserve"> </w:t>
      </w:r>
      <w:r>
        <w:rPr>
          <w:rFonts w:ascii="宋体" w:hAnsi="宋体" w:eastAsia="宋体" w:cs="宋体"/>
          <w:spacing w:val="-1"/>
          <w:sz w:val="24"/>
          <w:szCs w:val="24"/>
        </w:rPr>
        <w:t>应设临时储存及处理装置。要求施工单位在</w:t>
      </w:r>
      <w:r>
        <w:rPr>
          <w:rFonts w:ascii="宋体" w:hAnsi="宋体" w:eastAsia="宋体" w:cs="宋体"/>
          <w:spacing w:val="-2"/>
          <w:sz w:val="24"/>
          <w:szCs w:val="24"/>
        </w:rPr>
        <w:t>进行设备及车辆冲洗时应固定地点，不允许</w:t>
      </w:r>
      <w:r>
        <w:rPr>
          <w:rFonts w:ascii="宋体" w:hAnsi="宋体" w:eastAsia="宋体" w:cs="宋体"/>
          <w:sz w:val="24"/>
          <w:szCs w:val="24"/>
        </w:rPr>
        <w:t xml:space="preserve"> </w:t>
      </w:r>
      <w:r>
        <w:rPr>
          <w:rFonts w:ascii="宋体" w:hAnsi="宋体" w:eastAsia="宋体" w:cs="宋体"/>
          <w:spacing w:val="-1"/>
          <w:sz w:val="24"/>
          <w:szCs w:val="24"/>
        </w:rPr>
        <w:t>将冲洗水随时随地排放，设废水隔油沉淀池</w:t>
      </w:r>
      <w:r>
        <w:rPr>
          <w:rFonts w:ascii="宋体" w:hAnsi="宋体" w:eastAsia="宋体" w:cs="宋体"/>
          <w:spacing w:val="-2"/>
          <w:sz w:val="24"/>
          <w:szCs w:val="24"/>
        </w:rPr>
        <w:t>，沉淀后的废水复用于搅拌砂浆等施工环节</w:t>
      </w:r>
      <w:r>
        <w:rPr>
          <w:rFonts w:ascii="宋体" w:hAnsi="宋体" w:eastAsia="宋体" w:cs="宋体"/>
          <w:sz w:val="24"/>
          <w:szCs w:val="24"/>
        </w:rPr>
        <w:t xml:space="preserve"> </w:t>
      </w:r>
      <w:r>
        <w:rPr>
          <w:rFonts w:ascii="宋体" w:hAnsi="宋体" w:eastAsia="宋体" w:cs="宋体"/>
          <w:spacing w:val="-4"/>
          <w:sz w:val="24"/>
          <w:szCs w:val="24"/>
        </w:rPr>
        <w:t>中。</w:t>
      </w:r>
    </w:p>
    <w:p w14:paraId="04432665">
      <w:pPr>
        <w:spacing w:before="32" w:line="359" w:lineRule="auto"/>
        <w:ind w:left="110" w:right="96" w:firstLine="480"/>
        <w:jc w:val="both"/>
        <w:rPr>
          <w:rFonts w:ascii="宋体" w:hAnsi="宋体" w:eastAsia="宋体" w:cs="宋体"/>
          <w:sz w:val="24"/>
          <w:szCs w:val="24"/>
        </w:rPr>
      </w:pPr>
      <w:r>
        <w:rPr>
          <w:rFonts w:ascii="宋体" w:hAnsi="宋体" w:eastAsia="宋体" w:cs="宋体"/>
          <w:sz w:val="24"/>
          <w:szCs w:val="24"/>
        </w:rPr>
        <w:t>建设期生活污水主要为施工人员的洗漱和食堂排水，水量</w:t>
      </w:r>
      <w:r>
        <w:rPr>
          <w:rFonts w:ascii="宋体" w:hAnsi="宋体" w:eastAsia="宋体" w:cs="宋体"/>
          <w:spacing w:val="-1"/>
          <w:sz w:val="24"/>
          <w:szCs w:val="24"/>
        </w:rPr>
        <w:t>较小约为</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5m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/d</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，生活污</w:t>
      </w:r>
      <w:r>
        <w:rPr>
          <w:rFonts w:ascii="宋体" w:hAnsi="宋体" w:eastAsia="宋体" w:cs="宋体"/>
          <w:sz w:val="24"/>
          <w:szCs w:val="24"/>
        </w:rPr>
        <w:t xml:space="preserve"> </w:t>
      </w:r>
      <w:r>
        <w:rPr>
          <w:rFonts w:ascii="宋体" w:hAnsi="宋体" w:eastAsia="宋体" w:cs="宋体"/>
          <w:spacing w:val="-2"/>
          <w:sz w:val="24"/>
          <w:szCs w:val="24"/>
        </w:rPr>
        <w:t>水水质较简单，主要为有机污染物，生活污水经现有地埋式一体化污水处理装置集中处</w:t>
      </w:r>
      <w:r>
        <w:rPr>
          <w:rFonts w:ascii="宋体" w:hAnsi="宋体" w:eastAsia="宋体" w:cs="宋体"/>
          <w:spacing w:val="14"/>
          <w:sz w:val="24"/>
          <w:szCs w:val="24"/>
        </w:rPr>
        <w:t xml:space="preserve"> </w:t>
      </w:r>
      <w:r>
        <w:rPr>
          <w:rFonts w:ascii="宋体" w:hAnsi="宋体" w:eastAsia="宋体" w:cs="宋体"/>
          <w:spacing w:val="-2"/>
          <w:sz w:val="24"/>
          <w:szCs w:val="24"/>
        </w:rPr>
        <w:t>理后用于炉渣喷淋。</w:t>
      </w:r>
    </w:p>
    <w:p w14:paraId="058EA5AC">
      <w:pPr>
        <w:spacing w:before="84" w:line="221" w:lineRule="auto"/>
        <w:ind w:left="102"/>
        <w:outlineLvl w:val="2"/>
        <w:rPr>
          <w:rFonts w:ascii="黑体" w:hAnsi="黑体" w:eastAsia="黑体" w:cs="黑体"/>
          <w:sz w:val="30"/>
          <w:szCs w:val="30"/>
        </w:rPr>
      </w:pPr>
      <w:r>
        <w:rPr>
          <w:rFonts w:ascii="Times New Roman" w:hAnsi="Times New Roman" w:eastAsia="Times New Roman" w:cs="Times New Roman"/>
          <w:spacing w:val="-1"/>
          <w:sz w:val="30"/>
          <w:szCs w:val="30"/>
        </w:rPr>
        <w:t xml:space="preserve">4.7.3 </w:t>
      </w:r>
      <w:r>
        <w:rPr>
          <w:rFonts w:ascii="黑体" w:hAnsi="黑体" w:eastAsia="黑体" w:cs="黑体"/>
          <w:spacing w:val="-1"/>
          <w:sz w:val="30"/>
          <w:szCs w:val="30"/>
        </w:rPr>
        <w:t>施工期噪声污染影响及预防措施</w:t>
      </w:r>
    </w:p>
    <w:p w14:paraId="1F37BF55">
      <w:pPr>
        <w:spacing w:before="230" w:line="219" w:lineRule="auto"/>
        <w:ind w:left="104"/>
        <w:outlineLvl w:val="3"/>
        <w:rPr>
          <w:rFonts w:ascii="宋体" w:hAnsi="宋体" w:eastAsia="宋体" w:cs="宋体"/>
          <w:sz w:val="24"/>
          <w:szCs w:val="24"/>
        </w:rPr>
      </w:pPr>
      <w:bookmarkStart w:id="388" w:name="bookmark244"/>
      <w:bookmarkEnd w:id="388"/>
      <w:r>
        <w:fldChar w:fldCharType="begin"/>
      </w:r>
      <w:r>
        <w:instrText xml:space="preserve"> HYPERLINK "4.7.3.1" </w:instrText>
      </w:r>
      <w:r>
        <w:fldChar w:fldCharType="separate"/>
      </w:r>
      <w:r>
        <w:rPr>
          <w:rFonts w:ascii="Times New Roman" w:hAnsi="Times New Roman" w:eastAsia="Times New Roman" w:cs="Times New Roman"/>
          <w:b/>
          <w:bCs/>
          <w:spacing w:val="-3"/>
          <w:sz w:val="24"/>
          <w:szCs w:val="24"/>
        </w:rPr>
        <w:t>4.7.3.1</w:t>
      </w:r>
      <w:r>
        <w:rPr>
          <w:rFonts w:ascii="Times New Roman" w:hAnsi="Times New Roman" w:eastAsia="Times New Roman" w:cs="Times New Roman"/>
          <w:b/>
          <w:bCs/>
          <w:spacing w:val="-3"/>
          <w:sz w:val="24"/>
          <w:szCs w:val="24"/>
        </w:rPr>
        <w:fldChar w:fldCharType="end"/>
      </w:r>
      <w:r>
        <w:rPr>
          <w:rFonts w:ascii="Times New Roman" w:hAnsi="Times New Roman" w:eastAsia="Times New Roman" w:cs="Times New Roman"/>
          <w:b/>
          <w:bCs/>
          <w:spacing w:val="21"/>
          <w:w w:val="101"/>
          <w:sz w:val="24"/>
          <w:szCs w:val="24"/>
        </w:rPr>
        <w:t xml:space="preserve"> </w:t>
      </w:r>
      <w:r>
        <w:rPr>
          <w:rFonts w:ascii="宋体" w:hAnsi="宋体" w:eastAsia="宋体" w:cs="宋体"/>
          <w:b/>
          <w:bCs/>
          <w:spacing w:val="-3"/>
          <w:sz w:val="24"/>
          <w:szCs w:val="24"/>
        </w:rPr>
        <w:t>噪声污染特征</w:t>
      </w:r>
    </w:p>
    <w:p w14:paraId="44925623">
      <w:pPr>
        <w:spacing w:before="195" w:line="220" w:lineRule="auto"/>
        <w:ind w:left="598"/>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）施工期噪声源强</w:t>
      </w:r>
    </w:p>
    <w:p w14:paraId="6450A6AC">
      <w:pPr>
        <w:spacing w:before="192" w:line="359" w:lineRule="auto"/>
        <w:ind w:left="108" w:right="99" w:firstLine="478"/>
        <w:jc w:val="both"/>
        <w:rPr>
          <w:rFonts w:ascii="宋体" w:hAnsi="宋体" w:eastAsia="宋体" w:cs="宋体"/>
          <w:sz w:val="24"/>
          <w:szCs w:val="24"/>
        </w:rPr>
      </w:pPr>
      <w:r>
        <w:rPr>
          <w:rFonts w:ascii="宋体" w:hAnsi="宋体" w:eastAsia="宋体" w:cs="宋体"/>
          <w:spacing w:val="-2"/>
          <w:sz w:val="24"/>
          <w:szCs w:val="24"/>
        </w:rPr>
        <w:t>在施工过程中，常使用的施工机械有挖掘机、装卸机、振捣棒、吊车、电锯、运输</w:t>
      </w:r>
      <w:r>
        <w:rPr>
          <w:rFonts w:ascii="宋体" w:hAnsi="宋体" w:eastAsia="宋体" w:cs="宋体"/>
          <w:spacing w:val="14"/>
          <w:sz w:val="24"/>
          <w:szCs w:val="24"/>
        </w:rPr>
        <w:t xml:space="preserve"> </w:t>
      </w:r>
      <w:r>
        <w:rPr>
          <w:rFonts w:ascii="宋体" w:hAnsi="宋体" w:eastAsia="宋体" w:cs="宋体"/>
          <w:spacing w:val="-3"/>
          <w:sz w:val="24"/>
          <w:szCs w:val="24"/>
        </w:rPr>
        <w:t>车辆等设备，在正常情况下这些设备产生的声压级在</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72~</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11</w:t>
      </w:r>
      <w:r>
        <w:rPr>
          <w:rFonts w:ascii="Times New Roman" w:hAnsi="Times New Roman" w:eastAsia="Times New Roman" w:cs="Times New Roman"/>
          <w:spacing w:val="-4"/>
          <w:sz w:val="24"/>
          <w:szCs w:val="24"/>
        </w:rPr>
        <w:t>0dB</w:t>
      </w:r>
      <w:r>
        <w:rPr>
          <w:rFonts w:ascii="宋体" w:hAnsi="宋体" w:eastAsia="宋体" w:cs="宋体"/>
          <w:spacing w:val="-4"/>
          <w:sz w:val="24"/>
          <w:szCs w:val="24"/>
        </w:rPr>
        <w:t>（</w:t>
      </w:r>
      <w:r>
        <w:rPr>
          <w:rFonts w:ascii="Times New Roman" w:hAnsi="Times New Roman" w:eastAsia="Times New Roman" w:cs="Times New Roman"/>
          <w:spacing w:val="-4"/>
          <w:sz w:val="24"/>
          <w:szCs w:val="24"/>
        </w:rPr>
        <w:t>A</w:t>
      </w:r>
      <w:r>
        <w:rPr>
          <w:rFonts w:ascii="宋体" w:hAnsi="宋体" w:eastAsia="宋体" w:cs="宋体"/>
          <w:spacing w:val="-4"/>
          <w:sz w:val="24"/>
          <w:szCs w:val="24"/>
        </w:rPr>
        <w:t>）之间，且施工期间</w:t>
      </w:r>
      <w:r>
        <w:rPr>
          <w:rFonts w:ascii="宋体" w:hAnsi="宋体" w:eastAsia="宋体" w:cs="宋体"/>
          <w:sz w:val="24"/>
          <w:szCs w:val="24"/>
        </w:rPr>
        <w:t xml:space="preserve"> 这些噪声源均处于露天状态。根据类比调查各类</w:t>
      </w:r>
      <w:r>
        <w:rPr>
          <w:rFonts w:ascii="宋体" w:hAnsi="宋体" w:eastAsia="宋体" w:cs="宋体"/>
          <w:spacing w:val="-1"/>
          <w:sz w:val="24"/>
          <w:szCs w:val="24"/>
        </w:rPr>
        <w:t>施工机械噪声源强见表</w:t>
      </w:r>
      <w:r>
        <w:rPr>
          <w:rFonts w:ascii="宋体" w:hAnsi="宋体" w:eastAsia="宋体" w:cs="宋体"/>
          <w:spacing w:val="-57"/>
          <w:sz w:val="24"/>
          <w:szCs w:val="24"/>
        </w:rPr>
        <w:t xml:space="preserve"> </w:t>
      </w:r>
      <w:r>
        <w:rPr>
          <w:rFonts w:ascii="Times New Roman" w:hAnsi="Times New Roman" w:eastAsia="Times New Roman" w:cs="Times New Roman"/>
          <w:spacing w:val="-1"/>
          <w:sz w:val="24"/>
          <w:szCs w:val="24"/>
        </w:rPr>
        <w:t>4.7-4</w:t>
      </w:r>
      <w:r>
        <w:rPr>
          <w:rFonts w:ascii="宋体" w:hAnsi="宋体" w:eastAsia="宋体" w:cs="宋体"/>
          <w:spacing w:val="-1"/>
          <w:sz w:val="24"/>
          <w:szCs w:val="24"/>
        </w:rPr>
        <w:t>。</w:t>
      </w:r>
    </w:p>
    <w:p w14:paraId="6E89415D">
      <w:pPr>
        <w:spacing w:before="50" w:line="228" w:lineRule="auto"/>
        <w:ind w:left="2085"/>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4.7-4        </w:t>
      </w:r>
      <w:r>
        <w:rPr>
          <w:rFonts w:ascii="宋体" w:hAnsi="宋体" w:eastAsia="宋体" w:cs="宋体"/>
          <w:b/>
          <w:bCs/>
          <w:spacing w:val="6"/>
          <w:sz w:val="20"/>
          <w:szCs w:val="20"/>
        </w:rPr>
        <w:t>主要施工设备噪声</w:t>
      </w:r>
      <w:r>
        <w:rPr>
          <w:rFonts w:ascii="宋体" w:hAnsi="宋体" w:eastAsia="宋体" w:cs="宋体"/>
          <w:b/>
          <w:bCs/>
          <w:spacing w:val="5"/>
          <w:sz w:val="20"/>
          <w:szCs w:val="20"/>
        </w:rPr>
        <w:t>源强</w:t>
      </w:r>
      <w:r>
        <w:rPr>
          <w:rFonts w:ascii="宋体" w:hAnsi="宋体" w:eastAsia="宋体" w:cs="宋体"/>
          <w:spacing w:val="5"/>
          <w:sz w:val="20"/>
          <w:szCs w:val="20"/>
        </w:rPr>
        <w:t xml:space="preserve">    </w:t>
      </w:r>
      <w:r>
        <w:rPr>
          <w:rFonts w:ascii="宋体" w:hAnsi="宋体" w:eastAsia="宋体" w:cs="宋体"/>
          <w:b/>
          <w:bCs/>
          <w:spacing w:val="5"/>
          <w:sz w:val="20"/>
          <w:szCs w:val="20"/>
        </w:rPr>
        <w:t>单位：</w:t>
      </w:r>
      <w:r>
        <w:rPr>
          <w:rFonts w:ascii="Times New Roman" w:hAnsi="Times New Roman" w:eastAsia="Times New Roman" w:cs="Times New Roman"/>
          <w:b/>
          <w:bCs/>
          <w:sz w:val="20"/>
          <w:szCs w:val="20"/>
        </w:rPr>
        <w:t>dB</w:t>
      </w:r>
      <w:r>
        <w:rPr>
          <w:rFonts w:ascii="宋体" w:hAnsi="宋体" w:eastAsia="宋体" w:cs="宋体"/>
          <w:b/>
          <w:bCs/>
          <w:spacing w:val="5"/>
          <w:sz w:val="20"/>
          <w:szCs w:val="20"/>
        </w:rPr>
        <w:t>（</w:t>
      </w:r>
      <w:r>
        <w:rPr>
          <w:rFonts w:ascii="Times New Roman" w:hAnsi="Times New Roman" w:eastAsia="Times New Roman" w:cs="Times New Roman"/>
          <w:b/>
          <w:bCs/>
          <w:spacing w:val="5"/>
          <w:sz w:val="20"/>
          <w:szCs w:val="20"/>
        </w:rPr>
        <w:t>A</w:t>
      </w:r>
      <w:r>
        <w:rPr>
          <w:rFonts w:ascii="宋体" w:hAnsi="宋体" w:eastAsia="宋体" w:cs="宋体"/>
          <w:b/>
          <w:bCs/>
          <w:spacing w:val="5"/>
          <w:sz w:val="20"/>
          <w:szCs w:val="20"/>
        </w:rPr>
        <w:t>）</w:t>
      </w:r>
    </w:p>
    <w:p w14:paraId="24F98FF6">
      <w:pPr>
        <w:spacing w:line="97" w:lineRule="exact"/>
      </w:pPr>
    </w:p>
    <w:tbl>
      <w:tblPr>
        <w:tblStyle w:val="5"/>
        <w:tblW w:w="926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50"/>
        <w:gridCol w:w="2290"/>
        <w:gridCol w:w="2710"/>
        <w:gridCol w:w="2018"/>
      </w:tblGrid>
      <w:tr w14:paraId="6521B9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2250" w:type="dxa"/>
            <w:tcBorders>
              <w:top w:val="single" w:color="000000" w:sz="10" w:space="0"/>
              <w:left w:val="nil"/>
            </w:tcBorders>
            <w:vAlign w:val="top"/>
          </w:tcPr>
          <w:p w14:paraId="33591C5F">
            <w:pPr>
              <w:pStyle w:val="6"/>
              <w:spacing w:before="52" w:line="228" w:lineRule="auto"/>
              <w:ind w:left="717"/>
              <w:rPr>
                <w:sz w:val="20"/>
                <w:szCs w:val="20"/>
              </w:rPr>
            </w:pPr>
            <w:r>
              <w:rPr>
                <w:spacing w:val="6"/>
                <w:sz w:val="20"/>
                <w:szCs w:val="20"/>
              </w:rPr>
              <w:t>声源名称</w:t>
            </w:r>
          </w:p>
        </w:tc>
        <w:tc>
          <w:tcPr>
            <w:tcW w:w="2290" w:type="dxa"/>
            <w:tcBorders>
              <w:top w:val="single" w:color="000000" w:sz="10" w:space="0"/>
            </w:tcBorders>
            <w:vAlign w:val="top"/>
          </w:tcPr>
          <w:p w14:paraId="3C72CA4E">
            <w:pPr>
              <w:pStyle w:val="6"/>
              <w:spacing w:before="52" w:line="228" w:lineRule="auto"/>
              <w:ind w:left="741"/>
              <w:rPr>
                <w:sz w:val="20"/>
                <w:szCs w:val="20"/>
              </w:rPr>
            </w:pPr>
            <w:r>
              <w:rPr>
                <w:spacing w:val="4"/>
                <w:sz w:val="20"/>
                <w:szCs w:val="20"/>
              </w:rPr>
              <w:t>噪声强度</w:t>
            </w:r>
          </w:p>
        </w:tc>
        <w:tc>
          <w:tcPr>
            <w:tcW w:w="2710" w:type="dxa"/>
            <w:tcBorders>
              <w:top w:val="single" w:color="000000" w:sz="10" w:space="0"/>
            </w:tcBorders>
            <w:vAlign w:val="top"/>
          </w:tcPr>
          <w:p w14:paraId="11B4F572">
            <w:pPr>
              <w:pStyle w:val="6"/>
              <w:spacing w:before="52" w:line="228" w:lineRule="auto"/>
              <w:ind w:left="943"/>
              <w:rPr>
                <w:sz w:val="20"/>
                <w:szCs w:val="20"/>
              </w:rPr>
            </w:pPr>
            <w:r>
              <w:rPr>
                <w:spacing w:val="6"/>
                <w:sz w:val="20"/>
                <w:szCs w:val="20"/>
              </w:rPr>
              <w:t>声源名称</w:t>
            </w:r>
          </w:p>
        </w:tc>
        <w:tc>
          <w:tcPr>
            <w:tcW w:w="2018" w:type="dxa"/>
            <w:tcBorders>
              <w:top w:val="single" w:color="000000" w:sz="10" w:space="0"/>
              <w:right w:val="nil"/>
            </w:tcBorders>
            <w:vAlign w:val="top"/>
          </w:tcPr>
          <w:p w14:paraId="224E48FC">
            <w:pPr>
              <w:pStyle w:val="6"/>
              <w:spacing w:before="52" w:line="228" w:lineRule="auto"/>
              <w:ind w:left="605"/>
              <w:rPr>
                <w:sz w:val="20"/>
                <w:szCs w:val="20"/>
              </w:rPr>
            </w:pPr>
            <w:r>
              <w:rPr>
                <w:spacing w:val="4"/>
                <w:sz w:val="20"/>
                <w:szCs w:val="20"/>
              </w:rPr>
              <w:t>噪声强度</w:t>
            </w:r>
          </w:p>
        </w:tc>
      </w:tr>
      <w:tr w14:paraId="6DEB54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250" w:type="dxa"/>
            <w:tcBorders>
              <w:left w:val="nil"/>
            </w:tcBorders>
            <w:vAlign w:val="top"/>
          </w:tcPr>
          <w:p w14:paraId="2C6BE86E">
            <w:pPr>
              <w:pStyle w:val="6"/>
              <w:spacing w:before="62" w:line="227" w:lineRule="auto"/>
              <w:ind w:left="825"/>
              <w:rPr>
                <w:sz w:val="20"/>
                <w:szCs w:val="20"/>
              </w:rPr>
            </w:pPr>
            <w:r>
              <w:rPr>
                <w:spacing w:val="4"/>
                <w:sz w:val="20"/>
                <w:szCs w:val="20"/>
              </w:rPr>
              <w:t>空压机</w:t>
            </w:r>
          </w:p>
        </w:tc>
        <w:tc>
          <w:tcPr>
            <w:tcW w:w="2290" w:type="dxa"/>
            <w:vAlign w:val="top"/>
          </w:tcPr>
          <w:p w14:paraId="7BEAD780">
            <w:pPr>
              <w:spacing w:before="98" w:line="195" w:lineRule="auto"/>
              <w:ind w:left="1013"/>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110</w:t>
            </w:r>
          </w:p>
        </w:tc>
        <w:tc>
          <w:tcPr>
            <w:tcW w:w="2710" w:type="dxa"/>
            <w:vAlign w:val="top"/>
          </w:tcPr>
          <w:p w14:paraId="6FBC5179">
            <w:pPr>
              <w:pStyle w:val="6"/>
              <w:spacing w:before="62" w:line="228" w:lineRule="auto"/>
              <w:ind w:left="940"/>
              <w:rPr>
                <w:sz w:val="20"/>
                <w:szCs w:val="20"/>
              </w:rPr>
            </w:pPr>
            <w:r>
              <w:rPr>
                <w:spacing w:val="7"/>
                <w:sz w:val="20"/>
                <w:szCs w:val="20"/>
              </w:rPr>
              <w:t>载重汽车</w:t>
            </w:r>
          </w:p>
        </w:tc>
        <w:tc>
          <w:tcPr>
            <w:tcW w:w="2018" w:type="dxa"/>
            <w:tcBorders>
              <w:right w:val="nil"/>
            </w:tcBorders>
            <w:vAlign w:val="top"/>
          </w:tcPr>
          <w:p w14:paraId="6ED047D1">
            <w:pPr>
              <w:spacing w:before="98" w:line="195" w:lineRule="auto"/>
              <w:ind w:left="9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83</w:t>
            </w:r>
          </w:p>
        </w:tc>
      </w:tr>
      <w:tr w14:paraId="1CF2E7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250" w:type="dxa"/>
            <w:tcBorders>
              <w:left w:val="nil"/>
            </w:tcBorders>
            <w:vAlign w:val="top"/>
          </w:tcPr>
          <w:p w14:paraId="38D4CD5F">
            <w:pPr>
              <w:pStyle w:val="6"/>
              <w:spacing w:before="67" w:line="227" w:lineRule="auto"/>
              <w:ind w:left="818"/>
              <w:rPr>
                <w:sz w:val="20"/>
                <w:szCs w:val="20"/>
              </w:rPr>
            </w:pPr>
            <w:r>
              <w:rPr>
                <w:spacing w:val="7"/>
                <w:sz w:val="20"/>
                <w:szCs w:val="20"/>
              </w:rPr>
              <w:t>挖掘机</w:t>
            </w:r>
          </w:p>
        </w:tc>
        <w:tc>
          <w:tcPr>
            <w:tcW w:w="2290" w:type="dxa"/>
            <w:vAlign w:val="top"/>
          </w:tcPr>
          <w:p w14:paraId="03C5B426">
            <w:pPr>
              <w:spacing w:before="103" w:line="195" w:lineRule="auto"/>
              <w:ind w:left="10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83</w:t>
            </w:r>
          </w:p>
        </w:tc>
        <w:tc>
          <w:tcPr>
            <w:tcW w:w="2710" w:type="dxa"/>
            <w:vAlign w:val="top"/>
          </w:tcPr>
          <w:p w14:paraId="6DE59CE8">
            <w:pPr>
              <w:pStyle w:val="6"/>
              <w:spacing w:before="67" w:line="230" w:lineRule="auto"/>
              <w:ind w:left="1175"/>
              <w:rPr>
                <w:sz w:val="20"/>
                <w:szCs w:val="20"/>
              </w:rPr>
            </w:pPr>
            <w:r>
              <w:rPr>
                <w:spacing w:val="-8"/>
                <w:sz w:val="20"/>
                <w:szCs w:val="20"/>
              </w:rPr>
              <w:t>电锯</w:t>
            </w:r>
          </w:p>
        </w:tc>
        <w:tc>
          <w:tcPr>
            <w:tcW w:w="2018" w:type="dxa"/>
            <w:tcBorders>
              <w:right w:val="nil"/>
            </w:tcBorders>
            <w:vAlign w:val="top"/>
          </w:tcPr>
          <w:p w14:paraId="6938984C">
            <w:pPr>
              <w:spacing w:before="103" w:line="195" w:lineRule="auto"/>
              <w:ind w:left="910"/>
              <w:rPr>
                <w:rFonts w:ascii="Times New Roman" w:hAnsi="Times New Roman" w:eastAsia="Times New Roman" w:cs="Times New Roman"/>
                <w:sz w:val="20"/>
                <w:szCs w:val="20"/>
              </w:rPr>
            </w:pPr>
            <w:r>
              <w:rPr>
                <w:rFonts w:ascii="Times New Roman" w:hAnsi="Times New Roman" w:eastAsia="Times New Roman" w:cs="Times New Roman"/>
                <w:sz w:val="20"/>
                <w:szCs w:val="20"/>
              </w:rPr>
              <w:t>90</w:t>
            </w:r>
          </w:p>
        </w:tc>
      </w:tr>
      <w:tr w14:paraId="056F0B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2250" w:type="dxa"/>
            <w:tcBorders>
              <w:left w:val="nil"/>
            </w:tcBorders>
            <w:vAlign w:val="top"/>
          </w:tcPr>
          <w:p w14:paraId="17CE575C">
            <w:pPr>
              <w:pStyle w:val="6"/>
              <w:spacing w:before="69" w:line="227" w:lineRule="auto"/>
              <w:ind w:left="818"/>
              <w:rPr>
                <w:sz w:val="20"/>
                <w:szCs w:val="20"/>
              </w:rPr>
            </w:pPr>
            <w:r>
              <w:rPr>
                <w:spacing w:val="6"/>
                <w:sz w:val="20"/>
                <w:szCs w:val="20"/>
              </w:rPr>
              <w:t>推土机</w:t>
            </w:r>
          </w:p>
        </w:tc>
        <w:tc>
          <w:tcPr>
            <w:tcW w:w="2290" w:type="dxa"/>
            <w:vAlign w:val="top"/>
          </w:tcPr>
          <w:p w14:paraId="40900C84">
            <w:pPr>
              <w:spacing w:before="108" w:line="195" w:lineRule="auto"/>
              <w:ind w:left="10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w:t>
            </w:r>
          </w:p>
        </w:tc>
        <w:tc>
          <w:tcPr>
            <w:tcW w:w="2710" w:type="dxa"/>
            <w:vAlign w:val="top"/>
          </w:tcPr>
          <w:p w14:paraId="725B171A">
            <w:pPr>
              <w:pStyle w:val="6"/>
              <w:spacing w:before="69" w:line="227" w:lineRule="auto"/>
              <w:ind w:left="1046"/>
              <w:rPr>
                <w:sz w:val="20"/>
                <w:szCs w:val="20"/>
              </w:rPr>
            </w:pPr>
            <w:r>
              <w:rPr>
                <w:spacing w:val="6"/>
                <w:sz w:val="20"/>
                <w:szCs w:val="20"/>
              </w:rPr>
              <w:t>焊接机</w:t>
            </w:r>
          </w:p>
        </w:tc>
        <w:tc>
          <w:tcPr>
            <w:tcW w:w="2018" w:type="dxa"/>
            <w:tcBorders>
              <w:right w:val="nil"/>
            </w:tcBorders>
            <w:vAlign w:val="top"/>
          </w:tcPr>
          <w:p w14:paraId="6D631276">
            <w:pPr>
              <w:spacing w:before="108" w:line="195" w:lineRule="auto"/>
              <w:ind w:left="91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78</w:t>
            </w:r>
          </w:p>
        </w:tc>
      </w:tr>
      <w:tr w14:paraId="40C01E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2250" w:type="dxa"/>
            <w:tcBorders>
              <w:left w:val="nil"/>
            </w:tcBorders>
            <w:vAlign w:val="top"/>
          </w:tcPr>
          <w:p w14:paraId="55A4B9A9">
            <w:pPr>
              <w:pStyle w:val="6"/>
              <w:spacing w:before="73" w:line="227" w:lineRule="auto"/>
              <w:ind w:left="818"/>
              <w:rPr>
                <w:sz w:val="20"/>
                <w:szCs w:val="20"/>
              </w:rPr>
            </w:pPr>
            <w:r>
              <w:rPr>
                <w:spacing w:val="6"/>
                <w:sz w:val="20"/>
                <w:szCs w:val="20"/>
              </w:rPr>
              <w:t>装载机</w:t>
            </w:r>
          </w:p>
        </w:tc>
        <w:tc>
          <w:tcPr>
            <w:tcW w:w="2290" w:type="dxa"/>
            <w:vAlign w:val="top"/>
          </w:tcPr>
          <w:p w14:paraId="3A994CD5">
            <w:pPr>
              <w:spacing w:before="109" w:line="195" w:lineRule="auto"/>
              <w:ind w:left="10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w:t>
            </w:r>
          </w:p>
        </w:tc>
        <w:tc>
          <w:tcPr>
            <w:tcW w:w="2710" w:type="dxa"/>
            <w:vAlign w:val="top"/>
          </w:tcPr>
          <w:p w14:paraId="757EE75C">
            <w:pPr>
              <w:pStyle w:val="6"/>
              <w:spacing w:before="74" w:line="228" w:lineRule="auto"/>
              <w:ind w:left="1149"/>
              <w:rPr>
                <w:sz w:val="20"/>
                <w:szCs w:val="20"/>
              </w:rPr>
            </w:pPr>
            <w:r>
              <w:rPr>
                <w:spacing w:val="5"/>
                <w:sz w:val="20"/>
                <w:szCs w:val="20"/>
              </w:rPr>
              <w:t>平铲</w:t>
            </w:r>
          </w:p>
        </w:tc>
        <w:tc>
          <w:tcPr>
            <w:tcW w:w="2018" w:type="dxa"/>
            <w:tcBorders>
              <w:right w:val="nil"/>
            </w:tcBorders>
            <w:vAlign w:val="top"/>
          </w:tcPr>
          <w:p w14:paraId="12E49777">
            <w:pPr>
              <w:spacing w:before="109" w:line="195" w:lineRule="auto"/>
              <w:ind w:left="9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w:t>
            </w:r>
          </w:p>
        </w:tc>
      </w:tr>
      <w:tr w14:paraId="2D2D2D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2250" w:type="dxa"/>
            <w:tcBorders>
              <w:left w:val="nil"/>
            </w:tcBorders>
            <w:vAlign w:val="top"/>
          </w:tcPr>
          <w:p w14:paraId="4F01FEBE">
            <w:pPr>
              <w:pStyle w:val="6"/>
              <w:spacing w:before="77" w:line="225" w:lineRule="auto"/>
              <w:ind w:left="820"/>
              <w:rPr>
                <w:sz w:val="20"/>
                <w:szCs w:val="20"/>
              </w:rPr>
            </w:pPr>
            <w:r>
              <w:rPr>
                <w:spacing w:val="6"/>
                <w:sz w:val="20"/>
                <w:szCs w:val="20"/>
              </w:rPr>
              <w:t>升降机</w:t>
            </w:r>
          </w:p>
        </w:tc>
        <w:tc>
          <w:tcPr>
            <w:tcW w:w="2290" w:type="dxa"/>
            <w:vAlign w:val="top"/>
          </w:tcPr>
          <w:p w14:paraId="3D5F33FC">
            <w:pPr>
              <w:spacing w:before="113" w:line="195" w:lineRule="auto"/>
              <w:ind w:left="104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72</w:t>
            </w:r>
          </w:p>
        </w:tc>
        <w:tc>
          <w:tcPr>
            <w:tcW w:w="2710" w:type="dxa"/>
            <w:vAlign w:val="top"/>
          </w:tcPr>
          <w:p w14:paraId="130715BA">
            <w:pPr>
              <w:pStyle w:val="6"/>
              <w:spacing w:before="77" w:line="225" w:lineRule="auto"/>
              <w:ind w:left="1046"/>
              <w:rPr>
                <w:sz w:val="20"/>
                <w:szCs w:val="20"/>
              </w:rPr>
            </w:pPr>
            <w:r>
              <w:rPr>
                <w:spacing w:val="6"/>
                <w:sz w:val="20"/>
                <w:szCs w:val="20"/>
              </w:rPr>
              <w:t>压路机</w:t>
            </w:r>
          </w:p>
        </w:tc>
        <w:tc>
          <w:tcPr>
            <w:tcW w:w="2018" w:type="dxa"/>
            <w:tcBorders>
              <w:right w:val="nil"/>
            </w:tcBorders>
            <w:vAlign w:val="top"/>
          </w:tcPr>
          <w:p w14:paraId="1181A938">
            <w:pPr>
              <w:spacing w:before="113" w:line="195" w:lineRule="auto"/>
              <w:ind w:left="9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84</w:t>
            </w:r>
          </w:p>
        </w:tc>
      </w:tr>
      <w:tr w14:paraId="7F397E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2250" w:type="dxa"/>
            <w:tcBorders>
              <w:left w:val="nil"/>
              <w:bottom w:val="single" w:color="000000" w:sz="10" w:space="0"/>
            </w:tcBorders>
            <w:vAlign w:val="top"/>
          </w:tcPr>
          <w:p w14:paraId="3B1AEE24">
            <w:pPr>
              <w:pStyle w:val="6"/>
              <w:spacing w:before="79" w:line="228" w:lineRule="auto"/>
              <w:ind w:left="715"/>
              <w:rPr>
                <w:sz w:val="20"/>
                <w:szCs w:val="20"/>
              </w:rPr>
            </w:pPr>
            <w:r>
              <w:rPr>
                <w:spacing w:val="6"/>
                <w:sz w:val="20"/>
                <w:szCs w:val="20"/>
              </w:rPr>
              <w:t>混凝土泵</w:t>
            </w:r>
          </w:p>
        </w:tc>
        <w:tc>
          <w:tcPr>
            <w:tcW w:w="2290" w:type="dxa"/>
            <w:tcBorders>
              <w:bottom w:val="single" w:color="000000" w:sz="10" w:space="0"/>
            </w:tcBorders>
            <w:vAlign w:val="top"/>
          </w:tcPr>
          <w:p w14:paraId="5EFCE2A4">
            <w:pPr>
              <w:spacing w:before="118" w:line="195" w:lineRule="auto"/>
              <w:ind w:left="10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w:t>
            </w:r>
          </w:p>
        </w:tc>
        <w:tc>
          <w:tcPr>
            <w:tcW w:w="2710" w:type="dxa"/>
            <w:tcBorders>
              <w:bottom w:val="single" w:color="000000" w:sz="10" w:space="0"/>
            </w:tcBorders>
            <w:vAlign w:val="top"/>
          </w:tcPr>
          <w:p w14:paraId="59E28A4E">
            <w:pPr>
              <w:rPr>
                <w:rFonts w:ascii="Arial"/>
                <w:sz w:val="21"/>
              </w:rPr>
            </w:pPr>
          </w:p>
        </w:tc>
        <w:tc>
          <w:tcPr>
            <w:tcW w:w="2018" w:type="dxa"/>
            <w:tcBorders>
              <w:bottom w:val="single" w:color="000000" w:sz="10" w:space="0"/>
              <w:right w:val="nil"/>
            </w:tcBorders>
            <w:vAlign w:val="top"/>
          </w:tcPr>
          <w:p w14:paraId="72B8241B">
            <w:pPr>
              <w:rPr>
                <w:rFonts w:ascii="Arial"/>
                <w:sz w:val="21"/>
              </w:rPr>
            </w:pPr>
          </w:p>
        </w:tc>
      </w:tr>
    </w:tbl>
    <w:p w14:paraId="64533CE3">
      <w:pPr>
        <w:spacing w:before="196" w:line="219" w:lineRule="auto"/>
        <w:ind w:left="598"/>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）预测模式</w:t>
      </w:r>
    </w:p>
    <w:p w14:paraId="6F78E17E">
      <w:pPr>
        <w:spacing w:before="183" w:line="219" w:lineRule="auto"/>
        <w:ind w:left="586"/>
        <w:rPr>
          <w:rFonts w:ascii="宋体" w:hAnsi="宋体" w:eastAsia="宋体" w:cs="宋体"/>
          <w:sz w:val="24"/>
          <w:szCs w:val="24"/>
        </w:rPr>
      </w:pPr>
      <w:r>
        <w:rPr>
          <w:rFonts w:ascii="宋体" w:hAnsi="宋体" w:eastAsia="宋体" w:cs="宋体"/>
          <w:spacing w:val="-1"/>
          <w:sz w:val="24"/>
          <w:szCs w:val="24"/>
        </w:rPr>
        <w:t>施工期噪声预测采用如下模式：</w:t>
      </w:r>
    </w:p>
    <w:p w14:paraId="55F61B71">
      <w:pPr>
        <w:spacing w:before="181" w:line="219" w:lineRule="auto"/>
        <w:ind w:left="599"/>
        <w:rPr>
          <w:rFonts w:ascii="宋体" w:hAnsi="宋体" w:eastAsia="宋体" w:cs="宋体"/>
          <w:sz w:val="24"/>
          <w:szCs w:val="24"/>
        </w:rPr>
      </w:pPr>
      <w:r>
        <w:rPr>
          <w:rFonts w:ascii="宋体" w:hAnsi="宋体" w:eastAsia="宋体" w:cs="宋体"/>
          <w:spacing w:val="-2"/>
          <w:sz w:val="24"/>
          <w:szCs w:val="24"/>
        </w:rPr>
        <w:t>点声源几何发散衰减模式：</w:t>
      </w:r>
    </w:p>
    <w:p w14:paraId="439C40C4">
      <w:pPr>
        <w:spacing w:before="184" w:line="210" w:lineRule="auto"/>
        <w:ind w:left="591"/>
        <w:rPr>
          <w:rFonts w:ascii="宋体" w:hAnsi="宋体" w:eastAsia="宋体" w:cs="宋体"/>
          <w:sz w:val="24"/>
          <w:szCs w:val="24"/>
        </w:rPr>
      </w:pPr>
      <w:r>
        <w:rPr>
          <w:rFonts w:ascii="宋体" w:hAnsi="宋体" w:eastAsia="宋体" w:cs="宋体"/>
          <w:sz w:val="24"/>
          <w:szCs w:val="24"/>
        </w:rPr>
        <w:t>如已知声源的倍频带声功率级，预测点位置的倍频带声压级</w:t>
      </w:r>
      <w:r>
        <w:rPr>
          <w:rFonts w:ascii="宋体" w:hAnsi="宋体" w:eastAsia="宋体" w:cs="宋体"/>
          <w:spacing w:val="-49"/>
          <w:sz w:val="24"/>
          <w:szCs w:val="24"/>
        </w:rPr>
        <w:t xml:space="preserve"> </w:t>
      </w:r>
      <w:r>
        <w:rPr>
          <w:rFonts w:ascii="Times New Roman" w:hAnsi="Times New Roman" w:eastAsia="Times New Roman" w:cs="Times New Roman"/>
          <w:sz w:val="24"/>
          <w:szCs w:val="24"/>
        </w:rPr>
        <w:t>Lp</w:t>
      </w:r>
      <w:r>
        <w:rPr>
          <w:rFonts w:ascii="宋体" w:hAnsi="宋体" w:eastAsia="宋体" w:cs="宋体"/>
          <w:sz w:val="24"/>
          <w:szCs w:val="24"/>
        </w:rPr>
        <w:t>（</w:t>
      </w:r>
      <w:r>
        <w:rPr>
          <w:rFonts w:ascii="Times New Roman" w:hAnsi="Times New Roman" w:eastAsia="Times New Roman" w:cs="Times New Roman"/>
          <w:sz w:val="24"/>
          <w:szCs w:val="24"/>
        </w:rPr>
        <w:t>r</w:t>
      </w:r>
      <w:r>
        <w:rPr>
          <w:rFonts w:ascii="宋体" w:hAnsi="宋体" w:eastAsia="宋体" w:cs="宋体"/>
          <w:sz w:val="24"/>
          <w:szCs w:val="24"/>
        </w:rPr>
        <w:t>）可按下面公式</w:t>
      </w:r>
    </w:p>
    <w:p w14:paraId="7DC5104D">
      <w:pPr>
        <w:spacing w:before="192" w:line="219" w:lineRule="auto"/>
        <w:ind w:left="107"/>
        <w:rPr>
          <w:rFonts w:ascii="宋体" w:hAnsi="宋体" w:eastAsia="宋体" w:cs="宋体"/>
          <w:sz w:val="24"/>
          <w:szCs w:val="24"/>
        </w:rPr>
      </w:pPr>
      <w:r>
        <w:rPr>
          <w:rFonts w:ascii="宋体" w:hAnsi="宋体" w:eastAsia="宋体" w:cs="宋体"/>
          <w:spacing w:val="-4"/>
          <w:sz w:val="24"/>
          <w:szCs w:val="24"/>
        </w:rPr>
        <w:t>计算：</w:t>
      </w:r>
    </w:p>
    <w:p w14:paraId="0A78B87E">
      <w:pPr>
        <w:spacing w:before="146" w:line="374" w:lineRule="exact"/>
        <w:ind w:firstLine="2332"/>
      </w:pPr>
      <w:r>
        <w:rPr>
          <w:position w:val="-7"/>
        </w:rPr>
        <w:drawing>
          <wp:inline distT="0" distB="0" distL="0" distR="0">
            <wp:extent cx="3227705" cy="237490"/>
            <wp:effectExtent l="0" t="0" r="0" b="0"/>
            <wp:docPr id="192" name="IM 192"/>
            <wp:cNvGraphicFramePr/>
            <a:graphic xmlns:a="http://schemas.openxmlformats.org/drawingml/2006/main">
              <a:graphicData uri="http://schemas.openxmlformats.org/drawingml/2006/picture">
                <pic:pic xmlns:pic="http://schemas.openxmlformats.org/drawingml/2006/picture">
                  <pic:nvPicPr>
                    <pic:cNvPr id="192" name="IM 192"/>
                    <pic:cNvPicPr/>
                  </pic:nvPicPr>
                  <pic:blipFill>
                    <a:blip r:embed="rId663"/>
                    <a:stretch>
                      <a:fillRect/>
                    </a:stretch>
                  </pic:blipFill>
                  <pic:spPr>
                    <a:xfrm>
                      <a:off x="0" y="0"/>
                      <a:ext cx="3227831" cy="237744"/>
                    </a:xfrm>
                    <a:prstGeom prst="rect">
                      <a:avLst/>
                    </a:prstGeom>
                  </pic:spPr>
                </pic:pic>
              </a:graphicData>
            </a:graphic>
          </wp:inline>
        </w:drawing>
      </w:r>
    </w:p>
    <w:p w14:paraId="2CCE6D7E">
      <w:pPr>
        <w:spacing w:before="175" w:line="212" w:lineRule="auto"/>
        <w:ind w:left="592"/>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p</w:t>
      </w:r>
      <w:r>
        <w:rPr>
          <w:rFonts w:ascii="Times New Roman" w:hAnsi="Times New Roman" w:eastAsia="Times New Roman" w:cs="Times New Roman"/>
          <w:spacing w:val="-1"/>
          <w:sz w:val="24"/>
          <w:szCs w:val="24"/>
        </w:rPr>
        <w:t>(r)——</w:t>
      </w:r>
      <w:r>
        <w:rPr>
          <w:rFonts w:ascii="宋体" w:hAnsi="宋体" w:eastAsia="宋体" w:cs="宋体"/>
          <w:spacing w:val="-1"/>
          <w:sz w:val="24"/>
          <w:szCs w:val="24"/>
        </w:rPr>
        <w:t>预测点处声压级，</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p>
    <w:p w14:paraId="28EB9407">
      <w:pPr>
        <w:spacing w:before="192" w:line="345" w:lineRule="auto"/>
        <w:ind w:left="112" w:right="99" w:firstLine="469"/>
        <w:rPr>
          <w:rFonts w:ascii="宋体" w:hAnsi="宋体" w:eastAsia="宋体" w:cs="宋体"/>
          <w:sz w:val="24"/>
          <w:szCs w:val="24"/>
        </w:rPr>
      </w:pPr>
      <w:r>
        <w:rPr>
          <w:rFonts w:ascii="Times New Roman" w:hAnsi="Times New Roman" w:eastAsia="Times New Roman" w:cs="Times New Roman"/>
          <w:spacing w:val="-1"/>
          <w:sz w:val="24"/>
          <w:szCs w:val="24"/>
        </w:rPr>
        <w:t>D</w:t>
      </w:r>
      <w:r>
        <w:rPr>
          <w:rFonts w:ascii="Times New Roman" w:hAnsi="Times New Roman" w:eastAsia="Times New Roman" w:cs="Times New Roman"/>
          <w:spacing w:val="-1"/>
          <w:position w:val="-1"/>
          <w:sz w:val="15"/>
          <w:szCs w:val="15"/>
        </w:rPr>
        <w:t>c</w:t>
      </w:r>
      <w:r>
        <w:rPr>
          <w:rFonts w:ascii="Times New Roman" w:hAnsi="Times New Roman" w:eastAsia="Times New Roman" w:cs="Times New Roman"/>
          <w:spacing w:val="-1"/>
          <w:sz w:val="24"/>
          <w:szCs w:val="24"/>
        </w:rPr>
        <w:t>——</w:t>
      </w:r>
      <w:r>
        <w:rPr>
          <w:rFonts w:ascii="宋体" w:hAnsi="宋体" w:eastAsia="宋体" w:cs="宋体"/>
          <w:spacing w:val="-1"/>
          <w:sz w:val="24"/>
          <w:szCs w:val="24"/>
        </w:rPr>
        <w:t>指向性校正，它描述点声源的等效连续声压级与</w:t>
      </w:r>
      <w:r>
        <w:rPr>
          <w:rFonts w:ascii="宋体" w:hAnsi="宋体" w:eastAsia="宋体" w:cs="宋体"/>
          <w:spacing w:val="-2"/>
          <w:sz w:val="24"/>
          <w:szCs w:val="24"/>
        </w:rPr>
        <w:t>产生声功率级</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Lw</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的全向点</w:t>
      </w:r>
      <w:r>
        <w:rPr>
          <w:rFonts w:ascii="宋体" w:hAnsi="宋体" w:eastAsia="宋体" w:cs="宋体"/>
          <w:sz w:val="24"/>
          <w:szCs w:val="24"/>
        </w:rPr>
        <w:t xml:space="preserve"> </w:t>
      </w:r>
      <w:r>
        <w:rPr>
          <w:rFonts w:ascii="宋体" w:hAnsi="宋体" w:eastAsia="宋体" w:cs="宋体"/>
          <w:spacing w:val="-1"/>
          <w:sz w:val="24"/>
          <w:szCs w:val="24"/>
        </w:rPr>
        <w:t>声源在规定方向的声级的偏差程度，</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p>
    <w:p w14:paraId="595EF27C">
      <w:pPr>
        <w:spacing w:line="345" w:lineRule="auto"/>
        <w:rPr>
          <w:rFonts w:ascii="宋体" w:hAnsi="宋体" w:eastAsia="宋体" w:cs="宋体"/>
          <w:sz w:val="24"/>
          <w:szCs w:val="24"/>
        </w:rPr>
        <w:sectPr>
          <w:headerReference r:id="rId371" w:type="default"/>
          <w:footerReference r:id="rId372" w:type="default"/>
          <w:pgSz w:w="11906" w:h="16839"/>
          <w:pgMar w:top="1191" w:right="1319" w:bottom="1569" w:left="1318" w:header="882" w:footer="1407" w:gutter="0"/>
          <w:cols w:space="720" w:num="1"/>
        </w:sectPr>
      </w:pPr>
    </w:p>
    <w:p w14:paraId="7EE8A540">
      <w:pPr>
        <w:spacing w:line="28" w:lineRule="exact"/>
      </w:pPr>
      <w:r>
        <w:pict>
          <v:shape id="_x0000_s1856" o:spid="_x0000_s1856" style="height:1.45pt;width:453.65pt;" fillcolor="#000000" filled="t" stroked="f" coordsize="9072,29" path="m0,0l9072,0,9072,28,0,28,0,0xe">
            <v:path/>
            <v:fill on="t" focussize="0,0"/>
            <v:stroke on="f"/>
            <v:imagedata o:title=""/>
            <o:lock v:ext="edit"/>
            <w10:wrap type="none"/>
            <w10:anchorlock/>
          </v:shape>
        </w:pict>
      </w:r>
    </w:p>
    <w:p w14:paraId="1344DBA5">
      <w:pPr>
        <w:spacing w:before="232" w:line="219" w:lineRule="auto"/>
        <w:ind w:left="480"/>
        <w:rPr>
          <w:rFonts w:ascii="宋体" w:hAnsi="宋体" w:eastAsia="宋体" w:cs="宋体"/>
          <w:sz w:val="24"/>
          <w:szCs w:val="24"/>
        </w:rPr>
      </w:pP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div</w:t>
      </w:r>
      <w:r>
        <w:rPr>
          <w:rFonts w:ascii="Times New Roman" w:hAnsi="Times New Roman" w:eastAsia="Times New Roman" w:cs="Times New Roman"/>
          <w:sz w:val="24"/>
          <w:szCs w:val="24"/>
        </w:rPr>
        <w:t>——</w:t>
      </w:r>
      <w:r>
        <w:rPr>
          <w:rFonts w:ascii="宋体" w:hAnsi="宋体" w:eastAsia="宋体" w:cs="宋体"/>
          <w:sz w:val="24"/>
          <w:szCs w:val="24"/>
        </w:rPr>
        <w:t>几何发散引起的衰减，</w:t>
      </w:r>
      <w:r>
        <w:rPr>
          <w:rFonts w:ascii="Times New Roman" w:hAnsi="Times New Roman" w:eastAsia="Times New Roman" w:cs="Times New Roman"/>
          <w:sz w:val="24"/>
          <w:szCs w:val="24"/>
        </w:rPr>
        <w:t>dB</w:t>
      </w:r>
      <w:r>
        <w:rPr>
          <w:rFonts w:ascii="宋体" w:hAnsi="宋体" w:eastAsia="宋体" w:cs="宋体"/>
          <w:sz w:val="24"/>
          <w:szCs w:val="24"/>
        </w:rPr>
        <w:t>；</w:t>
      </w:r>
    </w:p>
    <w:p w14:paraId="5232F45B">
      <w:pPr>
        <w:spacing w:before="181" w:line="349" w:lineRule="auto"/>
        <w:ind w:left="480" w:right="4848"/>
        <w:rPr>
          <w:rFonts w:ascii="宋体" w:hAnsi="宋体" w:eastAsia="宋体" w:cs="宋体"/>
          <w:sz w:val="24"/>
          <w:szCs w:val="24"/>
        </w:rPr>
      </w:pPr>
      <w:r>
        <w:rPr>
          <w:rFonts w:ascii="Times New Roman" w:hAnsi="Times New Roman" w:eastAsia="Times New Roman" w:cs="Times New Roman"/>
          <w:spacing w:val="-3"/>
          <w:sz w:val="24"/>
          <w:szCs w:val="24"/>
        </w:rPr>
        <w:t>A</w:t>
      </w:r>
      <w:r>
        <w:rPr>
          <w:rFonts w:ascii="Times New Roman" w:hAnsi="Times New Roman" w:eastAsia="Times New Roman" w:cs="Times New Roman"/>
          <w:spacing w:val="-3"/>
          <w:position w:val="-1"/>
          <w:sz w:val="15"/>
          <w:szCs w:val="15"/>
        </w:rPr>
        <w:t>atm</w:t>
      </w:r>
      <w:r>
        <w:rPr>
          <w:rFonts w:ascii="Times New Roman" w:hAnsi="Times New Roman" w:eastAsia="Times New Roman" w:cs="Times New Roman"/>
          <w:spacing w:val="-3"/>
          <w:sz w:val="24"/>
          <w:szCs w:val="24"/>
        </w:rPr>
        <w:t>——</w:t>
      </w:r>
      <w:r>
        <w:rPr>
          <w:rFonts w:ascii="宋体" w:hAnsi="宋体" w:eastAsia="宋体" w:cs="宋体"/>
          <w:spacing w:val="-3"/>
          <w:sz w:val="24"/>
          <w:szCs w:val="24"/>
        </w:rPr>
        <w:t>大气吸收引起的衰减，</w:t>
      </w:r>
      <w:r>
        <w:rPr>
          <w:rFonts w:ascii="Times New Roman" w:hAnsi="Times New Roman" w:eastAsia="Times New Roman" w:cs="Times New Roman"/>
          <w:spacing w:val="-3"/>
          <w:sz w:val="24"/>
          <w:szCs w:val="24"/>
        </w:rPr>
        <w:t>dB</w:t>
      </w:r>
      <w:r>
        <w:rPr>
          <w:rFonts w:ascii="宋体" w:hAnsi="宋体" w:eastAsia="宋体" w:cs="宋体"/>
          <w:spacing w:val="-3"/>
          <w:sz w:val="24"/>
          <w:szCs w:val="24"/>
        </w:rPr>
        <w:t>；</w:t>
      </w:r>
      <w:r>
        <w:rPr>
          <w:rFonts w:ascii="宋体" w:hAnsi="宋体" w:eastAsia="宋体" w:cs="宋体"/>
          <w:sz w:val="24"/>
          <w:szCs w:val="24"/>
        </w:rPr>
        <w:t xml:space="preserve"> </w:t>
      </w: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gr</w:t>
      </w:r>
      <w:r>
        <w:rPr>
          <w:rFonts w:ascii="Times New Roman" w:hAnsi="Times New Roman" w:eastAsia="Times New Roman" w:cs="Times New Roman"/>
          <w:sz w:val="24"/>
          <w:szCs w:val="24"/>
        </w:rPr>
        <w:t>——</w:t>
      </w:r>
      <w:r>
        <w:rPr>
          <w:rFonts w:ascii="宋体" w:hAnsi="宋体" w:eastAsia="宋体" w:cs="宋体"/>
          <w:sz w:val="24"/>
          <w:szCs w:val="24"/>
        </w:rPr>
        <w:t>地面效应引起的衰减，</w:t>
      </w:r>
      <w:r>
        <w:rPr>
          <w:rFonts w:ascii="Times New Roman" w:hAnsi="Times New Roman" w:eastAsia="Times New Roman" w:cs="Times New Roman"/>
          <w:sz w:val="24"/>
          <w:szCs w:val="24"/>
        </w:rPr>
        <w:t>dB</w:t>
      </w:r>
      <w:r>
        <w:rPr>
          <w:rFonts w:ascii="宋体" w:hAnsi="宋体" w:eastAsia="宋体" w:cs="宋体"/>
          <w:sz w:val="24"/>
          <w:szCs w:val="24"/>
        </w:rPr>
        <w:t>；</w:t>
      </w:r>
    </w:p>
    <w:p w14:paraId="37E0C4FC">
      <w:pPr>
        <w:spacing w:before="26" w:line="219" w:lineRule="auto"/>
        <w:ind w:left="480"/>
        <w:rPr>
          <w:rFonts w:ascii="宋体" w:hAnsi="宋体" w:eastAsia="宋体" w:cs="宋体"/>
          <w:sz w:val="24"/>
          <w:szCs w:val="24"/>
        </w:rPr>
      </w:pP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bar</w:t>
      </w:r>
      <w:r>
        <w:rPr>
          <w:rFonts w:ascii="Times New Roman" w:hAnsi="Times New Roman" w:eastAsia="Times New Roman" w:cs="Times New Roman"/>
          <w:sz w:val="24"/>
          <w:szCs w:val="24"/>
        </w:rPr>
        <w:t>——</w:t>
      </w:r>
      <w:r>
        <w:rPr>
          <w:rFonts w:ascii="宋体" w:hAnsi="宋体" w:eastAsia="宋体" w:cs="宋体"/>
          <w:sz w:val="24"/>
          <w:szCs w:val="24"/>
        </w:rPr>
        <w:t>障碍物屏蔽引起的衰减，</w:t>
      </w:r>
      <w:r>
        <w:rPr>
          <w:rFonts w:ascii="Times New Roman" w:hAnsi="Times New Roman" w:eastAsia="Times New Roman" w:cs="Times New Roman"/>
          <w:sz w:val="24"/>
          <w:szCs w:val="24"/>
        </w:rPr>
        <w:t>dB</w:t>
      </w:r>
      <w:r>
        <w:rPr>
          <w:rFonts w:ascii="宋体" w:hAnsi="宋体" w:eastAsia="宋体" w:cs="宋体"/>
          <w:sz w:val="24"/>
          <w:szCs w:val="24"/>
        </w:rPr>
        <w:t>；</w:t>
      </w:r>
    </w:p>
    <w:p w14:paraId="1C1756B7">
      <w:pPr>
        <w:spacing w:before="182" w:line="220" w:lineRule="auto"/>
        <w:ind w:left="480"/>
        <w:rPr>
          <w:rFonts w:ascii="宋体" w:hAnsi="宋体" w:eastAsia="宋体" w:cs="宋体"/>
          <w:sz w:val="24"/>
          <w:szCs w:val="24"/>
        </w:rPr>
      </w:pP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misc</w:t>
      </w:r>
      <w:r>
        <w:rPr>
          <w:rFonts w:ascii="Times New Roman" w:hAnsi="Times New Roman" w:eastAsia="Times New Roman" w:cs="Times New Roman"/>
          <w:sz w:val="24"/>
          <w:szCs w:val="24"/>
        </w:rPr>
        <w:t>——</w:t>
      </w:r>
      <w:r>
        <w:rPr>
          <w:rFonts w:ascii="宋体" w:hAnsi="宋体" w:eastAsia="宋体" w:cs="宋体"/>
          <w:sz w:val="24"/>
          <w:szCs w:val="24"/>
        </w:rPr>
        <w:t>其他多方面效应引起的衰减，</w:t>
      </w:r>
      <w:r>
        <w:rPr>
          <w:rFonts w:ascii="Times New Roman" w:hAnsi="Times New Roman" w:eastAsia="Times New Roman" w:cs="Times New Roman"/>
          <w:sz w:val="24"/>
          <w:szCs w:val="24"/>
        </w:rPr>
        <w:t>dB</w:t>
      </w:r>
      <w:r>
        <w:rPr>
          <w:rFonts w:ascii="宋体" w:hAnsi="宋体" w:eastAsia="宋体" w:cs="宋体"/>
          <w:sz w:val="24"/>
          <w:szCs w:val="24"/>
        </w:rPr>
        <w:t>。</w:t>
      </w:r>
    </w:p>
    <w:p w14:paraId="28AD90C7">
      <w:pPr>
        <w:spacing w:before="180" w:line="333" w:lineRule="auto"/>
        <w:ind w:left="9" w:right="2" w:firstLine="482"/>
        <w:rPr>
          <w:rFonts w:ascii="宋体" w:hAnsi="宋体" w:eastAsia="宋体" w:cs="宋体"/>
          <w:sz w:val="24"/>
          <w:szCs w:val="24"/>
        </w:rPr>
      </w:pPr>
      <w:r>
        <w:rPr>
          <w:rFonts w:ascii="宋体" w:hAnsi="宋体" w:eastAsia="宋体" w:cs="宋体"/>
          <w:spacing w:val="-1"/>
          <w:sz w:val="24"/>
          <w:szCs w:val="24"/>
        </w:rPr>
        <w:t>如已知靠近声源处某点的倍频带声压级</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Lp(r0)</w:t>
      </w:r>
      <w:r>
        <w:rPr>
          <w:rFonts w:ascii="宋体" w:hAnsi="宋体" w:eastAsia="宋体" w:cs="宋体"/>
          <w:spacing w:val="-1"/>
          <w:sz w:val="24"/>
          <w:szCs w:val="24"/>
        </w:rPr>
        <w:t>时，相同方向预测点位置的倍频带声</w:t>
      </w:r>
      <w:r>
        <w:rPr>
          <w:rFonts w:ascii="宋体" w:hAnsi="宋体" w:eastAsia="宋体" w:cs="宋体"/>
          <w:sz w:val="24"/>
          <w:szCs w:val="24"/>
        </w:rPr>
        <w:t xml:space="preserve"> </w:t>
      </w:r>
      <w:r>
        <w:rPr>
          <w:rFonts w:ascii="宋体" w:hAnsi="宋体" w:eastAsia="宋体" w:cs="宋体"/>
          <w:spacing w:val="-2"/>
          <w:sz w:val="24"/>
          <w:szCs w:val="24"/>
        </w:rPr>
        <w:t>压级</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Lp(r)</w:t>
      </w:r>
      <w:r>
        <w:rPr>
          <w:rFonts w:ascii="宋体" w:hAnsi="宋体" w:eastAsia="宋体" w:cs="宋体"/>
          <w:spacing w:val="-2"/>
          <w:sz w:val="24"/>
          <w:szCs w:val="24"/>
        </w:rPr>
        <w:t>可按公式计算：</w:t>
      </w:r>
    </w:p>
    <w:p w14:paraId="7608F218">
      <w:pPr>
        <w:spacing w:before="33" w:line="420" w:lineRule="exact"/>
        <w:ind w:firstLine="2024"/>
      </w:pPr>
      <w:r>
        <w:rPr>
          <w:position w:val="-8"/>
        </w:rPr>
        <w:drawing>
          <wp:inline distT="0" distB="0" distL="0" distR="0">
            <wp:extent cx="3494405" cy="266700"/>
            <wp:effectExtent l="0" t="0" r="0" b="0"/>
            <wp:docPr id="194" name="IM 194"/>
            <wp:cNvGraphicFramePr/>
            <a:graphic xmlns:a="http://schemas.openxmlformats.org/drawingml/2006/main">
              <a:graphicData uri="http://schemas.openxmlformats.org/drawingml/2006/picture">
                <pic:pic xmlns:pic="http://schemas.openxmlformats.org/drawingml/2006/picture">
                  <pic:nvPicPr>
                    <pic:cNvPr id="194" name="IM 194"/>
                    <pic:cNvPicPr/>
                  </pic:nvPicPr>
                  <pic:blipFill>
                    <a:blip r:embed="rId664"/>
                    <a:stretch>
                      <a:fillRect/>
                    </a:stretch>
                  </pic:blipFill>
                  <pic:spPr>
                    <a:xfrm>
                      <a:off x="0" y="0"/>
                      <a:ext cx="3494531" cy="266700"/>
                    </a:xfrm>
                    <a:prstGeom prst="rect">
                      <a:avLst/>
                    </a:prstGeom>
                  </pic:spPr>
                </pic:pic>
              </a:graphicData>
            </a:graphic>
          </wp:inline>
        </w:drawing>
      </w:r>
    </w:p>
    <w:p w14:paraId="7CE3018C">
      <w:pPr>
        <w:spacing w:before="174" w:line="332" w:lineRule="auto"/>
        <w:ind w:left="19" w:firstLine="470"/>
        <w:rPr>
          <w:rFonts w:ascii="宋体" w:hAnsi="宋体" w:eastAsia="宋体" w:cs="宋体"/>
          <w:sz w:val="24"/>
          <w:szCs w:val="24"/>
        </w:rPr>
      </w:pPr>
      <w:r>
        <w:rPr>
          <w:rFonts w:ascii="宋体" w:hAnsi="宋体" w:eastAsia="宋体" w:cs="宋体"/>
          <w:spacing w:val="-4"/>
          <w:sz w:val="24"/>
          <w:szCs w:val="24"/>
        </w:rPr>
        <w:t>预</w:t>
      </w:r>
      <w:r>
        <w:rPr>
          <w:rFonts w:ascii="宋体" w:hAnsi="宋体" w:eastAsia="宋体" w:cs="宋体"/>
          <w:spacing w:val="-3"/>
          <w:sz w:val="24"/>
          <w:szCs w:val="24"/>
        </w:rPr>
        <w:t>测点的</w:t>
      </w:r>
      <w:r>
        <w:rPr>
          <w:rFonts w:ascii="宋体" w:hAnsi="宋体" w:eastAsia="宋体" w:cs="宋体"/>
          <w:spacing w:val="-47"/>
          <w:sz w:val="24"/>
          <w:szCs w:val="24"/>
        </w:rPr>
        <w:t xml:space="preserve"> </w:t>
      </w:r>
      <w:r>
        <w:rPr>
          <w:rFonts w:ascii="Times New Roman" w:hAnsi="Times New Roman" w:eastAsia="Times New Roman" w:cs="Times New Roman"/>
          <w:spacing w:val="-3"/>
          <w:sz w:val="24"/>
          <w:szCs w:val="24"/>
        </w:rPr>
        <w:t xml:space="preserve">A </w:t>
      </w:r>
      <w:r>
        <w:rPr>
          <w:rFonts w:ascii="宋体" w:hAnsi="宋体" w:eastAsia="宋体" w:cs="宋体"/>
          <w:spacing w:val="-3"/>
          <w:sz w:val="24"/>
          <w:szCs w:val="24"/>
        </w:rPr>
        <w:t>声级</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L</w:t>
      </w:r>
      <w:r>
        <w:rPr>
          <w:rFonts w:ascii="Times New Roman" w:hAnsi="Times New Roman" w:eastAsia="Times New Roman" w:cs="Times New Roman"/>
          <w:spacing w:val="-3"/>
          <w:position w:val="-1"/>
          <w:sz w:val="15"/>
          <w:szCs w:val="15"/>
        </w:rPr>
        <w:t>A</w:t>
      </w:r>
      <w:r>
        <w:rPr>
          <w:rFonts w:ascii="Times New Roman" w:hAnsi="Times New Roman" w:eastAsia="Times New Roman" w:cs="Times New Roman"/>
          <w:spacing w:val="-3"/>
          <w:sz w:val="24"/>
          <w:szCs w:val="24"/>
        </w:rPr>
        <w:t>(r)</w:t>
      </w:r>
      <w:r>
        <w:rPr>
          <w:rFonts w:ascii="宋体" w:hAnsi="宋体" w:eastAsia="宋体" w:cs="宋体"/>
          <w:spacing w:val="-3"/>
          <w:sz w:val="24"/>
          <w:szCs w:val="24"/>
        </w:rPr>
        <w:t>，即将</w:t>
      </w:r>
      <w:r>
        <w:rPr>
          <w:rFonts w:ascii="宋体" w:hAnsi="宋体" w:eastAsia="宋体" w:cs="宋体"/>
          <w:spacing w:val="-46"/>
          <w:sz w:val="24"/>
          <w:szCs w:val="24"/>
        </w:rPr>
        <w:t xml:space="preserve"> </w:t>
      </w:r>
      <w:r>
        <w:rPr>
          <w:rFonts w:ascii="Times New Roman" w:hAnsi="Times New Roman" w:eastAsia="Times New Roman" w:cs="Times New Roman"/>
          <w:spacing w:val="-3"/>
          <w:sz w:val="24"/>
          <w:szCs w:val="24"/>
        </w:rPr>
        <w:t xml:space="preserve">8 </w:t>
      </w:r>
      <w:r>
        <w:rPr>
          <w:rFonts w:ascii="宋体" w:hAnsi="宋体" w:eastAsia="宋体" w:cs="宋体"/>
          <w:spacing w:val="-3"/>
          <w:sz w:val="24"/>
          <w:szCs w:val="24"/>
        </w:rPr>
        <w:t>个倍频带的声压级合成，计算出预测点的</w:t>
      </w:r>
      <w:r>
        <w:rPr>
          <w:rFonts w:ascii="宋体" w:hAnsi="宋体" w:eastAsia="宋体" w:cs="宋体"/>
          <w:spacing w:val="-58"/>
          <w:sz w:val="24"/>
          <w:szCs w:val="24"/>
        </w:rPr>
        <w:t xml:space="preserve"> </w:t>
      </w:r>
      <w:r>
        <w:rPr>
          <w:rFonts w:ascii="Times New Roman" w:hAnsi="Times New Roman" w:eastAsia="Times New Roman" w:cs="Times New Roman"/>
          <w:spacing w:val="-3"/>
          <w:sz w:val="24"/>
          <w:szCs w:val="24"/>
        </w:rPr>
        <w:t xml:space="preserve">A </w:t>
      </w:r>
      <w:r>
        <w:rPr>
          <w:rFonts w:ascii="宋体" w:hAnsi="宋体" w:eastAsia="宋体" w:cs="宋体"/>
          <w:spacing w:val="-3"/>
          <w:sz w:val="24"/>
          <w:szCs w:val="24"/>
        </w:rPr>
        <w:t>声级</w:t>
      </w:r>
      <w:r>
        <w:rPr>
          <w:rFonts w:ascii="Times New Roman" w:hAnsi="Times New Roman" w:eastAsia="Times New Roman" w:cs="Times New Roman"/>
          <w:spacing w:val="-3"/>
          <w:sz w:val="24"/>
          <w:szCs w:val="24"/>
        </w:rPr>
        <w:t>[L</w:t>
      </w:r>
      <w:r>
        <w:rPr>
          <w:rFonts w:ascii="Times New Roman" w:hAnsi="Times New Roman" w:eastAsia="Times New Roman" w:cs="Times New Roman"/>
          <w:spacing w:val="-2"/>
          <w:position w:val="-1"/>
          <w:sz w:val="15"/>
          <w:szCs w:val="15"/>
        </w:rPr>
        <w:t>A</w:t>
      </w:r>
      <w:r>
        <w:rPr>
          <w:rFonts w:ascii="Times New Roman" w:hAnsi="Times New Roman" w:eastAsia="Times New Roman" w:cs="Times New Roman"/>
          <w:position w:val="-1"/>
          <w:sz w:val="15"/>
          <w:szCs w:val="15"/>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r</w:t>
      </w:r>
      <w:r>
        <w:rPr>
          <w:rFonts w:ascii="宋体" w:hAnsi="宋体" w:eastAsia="宋体" w:cs="宋体"/>
          <w:spacing w:val="-5"/>
          <w:sz w:val="24"/>
          <w:szCs w:val="24"/>
        </w:rPr>
        <w:t>）</w:t>
      </w:r>
      <w:r>
        <w:rPr>
          <w:rFonts w:ascii="Times New Roman" w:hAnsi="Times New Roman" w:eastAsia="Times New Roman" w:cs="Times New Roman"/>
          <w:spacing w:val="-5"/>
          <w:sz w:val="24"/>
          <w:szCs w:val="24"/>
        </w:rPr>
        <w:t>]</w:t>
      </w:r>
      <w:r>
        <w:rPr>
          <w:rFonts w:ascii="宋体" w:hAnsi="宋体" w:eastAsia="宋体" w:cs="宋体"/>
          <w:spacing w:val="-5"/>
          <w:sz w:val="24"/>
          <w:szCs w:val="24"/>
        </w:rPr>
        <w:t>。</w:t>
      </w:r>
    </w:p>
    <w:p w14:paraId="771AF929">
      <w:pPr>
        <w:spacing w:before="33" w:line="538" w:lineRule="exact"/>
        <w:ind w:left="903"/>
        <w:rPr>
          <w:rFonts w:ascii="Times New Roman" w:hAnsi="Times New Roman" w:eastAsia="Times New Roman" w:cs="Times New Roman"/>
          <w:sz w:val="24"/>
          <w:szCs w:val="24"/>
        </w:rPr>
      </w:pPr>
      <w:r>
        <w:rPr>
          <w:rFonts w:ascii="Times New Roman" w:hAnsi="Times New Roman" w:eastAsia="Times New Roman" w:cs="Times New Roman"/>
          <w:spacing w:val="-1"/>
          <w:position w:val="-4"/>
          <w:sz w:val="24"/>
          <w:szCs w:val="24"/>
        </w:rPr>
        <w:t>L</w:t>
      </w:r>
      <w:r>
        <w:rPr>
          <w:rFonts w:ascii="Times New Roman" w:hAnsi="Times New Roman" w:eastAsia="Times New Roman" w:cs="Times New Roman"/>
          <w:spacing w:val="-1"/>
          <w:position w:val="-6"/>
          <w:sz w:val="15"/>
          <w:szCs w:val="15"/>
        </w:rPr>
        <w:t>A</w:t>
      </w:r>
      <w:r>
        <w:rPr>
          <w:rFonts w:ascii="宋体" w:hAnsi="宋体" w:eastAsia="宋体" w:cs="宋体"/>
          <w:spacing w:val="-2"/>
          <w:position w:val="-4"/>
          <w:sz w:val="24"/>
          <w:szCs w:val="24"/>
        </w:rPr>
        <w:t>（</w:t>
      </w:r>
      <w:r>
        <w:rPr>
          <w:rFonts w:ascii="Times New Roman" w:hAnsi="Times New Roman" w:eastAsia="Times New Roman" w:cs="Times New Roman"/>
          <w:spacing w:val="-2"/>
          <w:position w:val="-4"/>
          <w:sz w:val="24"/>
          <w:szCs w:val="24"/>
        </w:rPr>
        <w:t>r</w:t>
      </w:r>
      <w:r>
        <w:rPr>
          <w:rFonts w:ascii="宋体" w:hAnsi="宋体" w:eastAsia="宋体" w:cs="宋体"/>
          <w:spacing w:val="-2"/>
          <w:position w:val="-4"/>
          <w:sz w:val="24"/>
          <w:szCs w:val="24"/>
        </w:rPr>
        <w:t>）</w:t>
      </w:r>
      <w:r>
        <w:rPr>
          <w:rFonts w:ascii="Times New Roman" w:hAnsi="Times New Roman" w:eastAsia="Times New Roman" w:cs="Times New Roman"/>
          <w:spacing w:val="-2"/>
          <w:position w:val="-4"/>
          <w:sz w:val="24"/>
          <w:szCs w:val="24"/>
        </w:rPr>
        <w:t>=</w:t>
      </w:r>
      <w:r>
        <w:rPr>
          <w:rFonts w:ascii="Times New Roman" w:hAnsi="Times New Roman" w:eastAsia="Times New Roman" w:cs="Times New Roman"/>
          <w:spacing w:val="-24"/>
          <w:position w:val="-4"/>
          <w:sz w:val="24"/>
          <w:szCs w:val="24"/>
        </w:rPr>
        <w:t xml:space="preserve"> </w:t>
      </w:r>
      <w:r>
        <w:rPr>
          <w:rFonts w:ascii="Times New Roman" w:hAnsi="Times New Roman" w:eastAsia="Times New Roman" w:cs="Times New Roman"/>
          <w:spacing w:val="-2"/>
          <w:position w:val="-4"/>
          <w:sz w:val="24"/>
          <w:szCs w:val="24"/>
        </w:rPr>
        <w:t>10lg{</w:t>
      </w:r>
      <w:r>
        <w:rPr>
          <w:position w:val="-4"/>
          <w:sz w:val="24"/>
          <w:szCs w:val="24"/>
        </w:rPr>
        <w:drawing>
          <wp:inline distT="0" distB="0" distL="0" distR="0">
            <wp:extent cx="408305" cy="294005"/>
            <wp:effectExtent l="0" t="0" r="0" b="0"/>
            <wp:docPr id="196" name="IM 196"/>
            <wp:cNvGraphicFramePr/>
            <a:graphic xmlns:a="http://schemas.openxmlformats.org/drawingml/2006/main">
              <a:graphicData uri="http://schemas.openxmlformats.org/drawingml/2006/picture">
                <pic:pic xmlns:pic="http://schemas.openxmlformats.org/drawingml/2006/picture">
                  <pic:nvPicPr>
                    <pic:cNvPr id="196" name="IM 196"/>
                    <pic:cNvPicPr/>
                  </pic:nvPicPr>
                  <pic:blipFill>
                    <a:blip r:embed="rId665"/>
                    <a:stretch>
                      <a:fillRect/>
                    </a:stretch>
                  </pic:blipFill>
                  <pic:spPr>
                    <a:xfrm>
                      <a:off x="0" y="0"/>
                      <a:ext cx="408673" cy="294131"/>
                    </a:xfrm>
                    <a:prstGeom prst="rect">
                      <a:avLst/>
                    </a:prstGeom>
                  </pic:spPr>
                </pic:pic>
              </a:graphicData>
            </a:graphic>
          </wp:inline>
        </w:drawing>
      </w:r>
      <w:r>
        <w:rPr>
          <w:rFonts w:ascii="Times New Roman" w:hAnsi="Times New Roman" w:eastAsia="Times New Roman" w:cs="Times New Roman"/>
          <w:spacing w:val="-2"/>
          <w:position w:val="-4"/>
          <w:sz w:val="24"/>
          <w:szCs w:val="24"/>
        </w:rPr>
        <w:t>10</w:t>
      </w:r>
      <w:r>
        <w:rPr>
          <w:rFonts w:ascii="Times New Roman" w:hAnsi="Times New Roman" w:eastAsia="Times New Roman" w:cs="Times New Roman"/>
          <w:spacing w:val="-2"/>
          <w:position w:val="3"/>
          <w:sz w:val="15"/>
          <w:szCs w:val="15"/>
        </w:rPr>
        <w:t>0.1</w:t>
      </w:r>
      <w:r>
        <w:rPr>
          <w:rFonts w:ascii="Times New Roman" w:hAnsi="Times New Roman" w:eastAsia="Times New Roman" w:cs="Times New Roman"/>
          <w:spacing w:val="14"/>
          <w:w w:val="101"/>
          <w:position w:val="3"/>
          <w:sz w:val="15"/>
          <w:szCs w:val="15"/>
        </w:rPr>
        <w:t xml:space="preserve"> </w:t>
      </w:r>
      <w:r>
        <w:rPr>
          <w:position w:val="-4"/>
          <w:sz w:val="15"/>
          <w:szCs w:val="15"/>
        </w:rPr>
        <w:drawing>
          <wp:inline distT="0" distB="0" distL="0" distR="0">
            <wp:extent cx="437515" cy="246380"/>
            <wp:effectExtent l="0" t="0" r="0" b="0"/>
            <wp:docPr id="198" name="IM 198"/>
            <wp:cNvGraphicFramePr/>
            <a:graphic xmlns:a="http://schemas.openxmlformats.org/drawingml/2006/main">
              <a:graphicData uri="http://schemas.openxmlformats.org/drawingml/2006/picture">
                <pic:pic xmlns:pic="http://schemas.openxmlformats.org/drawingml/2006/picture">
                  <pic:nvPicPr>
                    <pic:cNvPr id="198" name="IM 198"/>
                    <pic:cNvPicPr/>
                  </pic:nvPicPr>
                  <pic:blipFill>
                    <a:blip r:embed="rId666"/>
                    <a:stretch>
                      <a:fillRect/>
                    </a:stretch>
                  </pic:blipFill>
                  <pic:spPr>
                    <a:xfrm>
                      <a:off x="0" y="0"/>
                      <a:ext cx="437646" cy="246888"/>
                    </a:xfrm>
                    <a:prstGeom prst="rect">
                      <a:avLst/>
                    </a:prstGeom>
                  </pic:spPr>
                </pic:pic>
              </a:graphicData>
            </a:graphic>
          </wp:inline>
        </w:drawing>
      </w:r>
      <w:r>
        <w:rPr>
          <w:rFonts w:ascii="Times New Roman" w:hAnsi="Times New Roman" w:eastAsia="Times New Roman" w:cs="Times New Roman"/>
          <w:spacing w:val="-32"/>
          <w:position w:val="3"/>
          <w:sz w:val="15"/>
          <w:szCs w:val="15"/>
        </w:rPr>
        <w:t xml:space="preserve"> </w:t>
      </w:r>
      <w:r>
        <w:rPr>
          <w:rFonts w:ascii="Times New Roman" w:hAnsi="Times New Roman" w:eastAsia="Times New Roman" w:cs="Times New Roman"/>
          <w:spacing w:val="-2"/>
          <w:position w:val="3"/>
          <w:sz w:val="15"/>
          <w:szCs w:val="15"/>
        </w:rPr>
        <w:t>-</w:t>
      </w:r>
      <w:r>
        <w:rPr>
          <w:position w:val="-4"/>
          <w:sz w:val="15"/>
          <w:szCs w:val="15"/>
        </w:rPr>
        <w:drawing>
          <wp:inline distT="0" distB="0" distL="0" distR="0">
            <wp:extent cx="351790" cy="208280"/>
            <wp:effectExtent l="0" t="0" r="0" b="0"/>
            <wp:docPr id="200" name="IM 200"/>
            <wp:cNvGraphicFramePr/>
            <a:graphic xmlns:a="http://schemas.openxmlformats.org/drawingml/2006/main">
              <a:graphicData uri="http://schemas.openxmlformats.org/drawingml/2006/picture">
                <pic:pic xmlns:pic="http://schemas.openxmlformats.org/drawingml/2006/picture">
                  <pic:nvPicPr>
                    <pic:cNvPr id="200" name="IM 200"/>
                    <pic:cNvPicPr/>
                  </pic:nvPicPr>
                  <pic:blipFill>
                    <a:blip r:embed="rId667"/>
                    <a:stretch>
                      <a:fillRect/>
                    </a:stretch>
                  </pic:blipFill>
                  <pic:spPr>
                    <a:xfrm>
                      <a:off x="0" y="0"/>
                      <a:ext cx="352251" cy="208787"/>
                    </a:xfrm>
                    <a:prstGeom prst="rect">
                      <a:avLst/>
                    </a:prstGeom>
                  </pic:spPr>
                </pic:pic>
              </a:graphicData>
            </a:graphic>
          </wp:inline>
        </w:drawing>
      </w:r>
      <w:r>
        <w:rPr>
          <w:rFonts w:ascii="Times New Roman" w:hAnsi="Times New Roman" w:eastAsia="Times New Roman" w:cs="Times New Roman"/>
          <w:spacing w:val="-2"/>
          <w:position w:val="3"/>
          <w:sz w:val="15"/>
          <w:szCs w:val="15"/>
        </w:rPr>
        <w:t>]</w:t>
      </w:r>
      <w:r>
        <w:rPr>
          <w:rFonts w:ascii="Times New Roman" w:hAnsi="Times New Roman" w:eastAsia="Times New Roman" w:cs="Times New Roman"/>
          <w:spacing w:val="-16"/>
          <w:position w:val="3"/>
          <w:sz w:val="15"/>
          <w:szCs w:val="15"/>
        </w:rPr>
        <w:t xml:space="preserve"> </w:t>
      </w:r>
      <w:r>
        <w:rPr>
          <w:rFonts w:ascii="Times New Roman" w:hAnsi="Times New Roman" w:eastAsia="Times New Roman" w:cs="Times New Roman"/>
          <w:spacing w:val="-2"/>
          <w:position w:val="-4"/>
          <w:sz w:val="24"/>
          <w:szCs w:val="24"/>
        </w:rPr>
        <w:t>}</w:t>
      </w:r>
    </w:p>
    <w:p w14:paraId="0B80A5B5">
      <w:pPr>
        <w:spacing w:before="306" w:line="212" w:lineRule="auto"/>
        <w:ind w:left="493"/>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Pi</w:t>
      </w:r>
      <w:r>
        <w:rPr>
          <w:rFonts w:ascii="Times New Roman" w:hAnsi="Times New Roman" w:eastAsia="Times New Roman" w:cs="Times New Roman"/>
          <w:spacing w:val="-1"/>
          <w:sz w:val="24"/>
          <w:szCs w:val="24"/>
        </w:rPr>
        <w:t>(r)—</w:t>
      </w:r>
      <w:r>
        <w:rPr>
          <w:rFonts w:ascii="宋体" w:hAnsi="宋体" w:eastAsia="宋体" w:cs="宋体"/>
          <w:spacing w:val="-1"/>
          <w:sz w:val="24"/>
          <w:szCs w:val="24"/>
        </w:rPr>
        <w:t>距声源</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 xml:space="preserve">r </w:t>
      </w:r>
      <w:r>
        <w:rPr>
          <w:rFonts w:ascii="宋体" w:hAnsi="宋体" w:eastAsia="宋体" w:cs="宋体"/>
          <w:spacing w:val="-1"/>
          <w:sz w:val="24"/>
          <w:szCs w:val="24"/>
        </w:rPr>
        <w:t>处的</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 xml:space="preserve">A </w:t>
      </w:r>
      <w:r>
        <w:rPr>
          <w:rFonts w:ascii="宋体" w:hAnsi="宋体" w:eastAsia="宋体" w:cs="宋体"/>
          <w:spacing w:val="-1"/>
          <w:sz w:val="24"/>
          <w:szCs w:val="24"/>
        </w:rPr>
        <w:t>声级，</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r>
        <w:rPr>
          <w:rFonts w:ascii="Times New Roman" w:hAnsi="Times New Roman" w:eastAsia="Times New Roman" w:cs="Times New Roman"/>
          <w:spacing w:val="-1"/>
          <w:sz w:val="24"/>
          <w:szCs w:val="24"/>
        </w:rPr>
        <w:t>A</w:t>
      </w:r>
      <w:r>
        <w:rPr>
          <w:rFonts w:ascii="宋体" w:hAnsi="宋体" w:eastAsia="宋体" w:cs="宋体"/>
          <w:spacing w:val="5"/>
          <w:sz w:val="24"/>
          <w:szCs w:val="24"/>
        </w:rPr>
        <w:t>）；</w:t>
      </w:r>
    </w:p>
    <w:p w14:paraId="42E78296">
      <w:pPr>
        <w:pStyle w:val="2"/>
        <w:spacing w:before="223" w:line="324" w:lineRule="auto"/>
        <w:ind w:left="502" w:right="3178" w:firstLine="630"/>
        <w:rPr>
          <w:rFonts w:ascii="宋体" w:hAnsi="宋体" w:eastAsia="宋体" w:cs="宋体"/>
          <w:sz w:val="24"/>
          <w:szCs w:val="24"/>
        </w:rPr>
      </w:pPr>
      <w:r>
        <w:rPr>
          <w:spacing w:val="-4"/>
          <w:w w:val="95"/>
          <w:position w:val="4"/>
          <w:sz w:val="28"/>
          <w:szCs w:val="28"/>
        </w:rPr>
        <w:t>Δ</w:t>
      </w:r>
      <w:r>
        <w:rPr>
          <w:spacing w:val="13"/>
          <w:position w:val="4"/>
          <w:sz w:val="28"/>
          <w:szCs w:val="28"/>
        </w:rPr>
        <w:t xml:space="preserve"> </w:t>
      </w:r>
      <w:r>
        <w:rPr>
          <w:rFonts w:ascii="Times New Roman" w:hAnsi="Times New Roman" w:eastAsia="Times New Roman" w:cs="Times New Roman"/>
          <w:spacing w:val="-4"/>
          <w:w w:val="95"/>
          <w:sz w:val="24"/>
          <w:szCs w:val="24"/>
        </w:rPr>
        <w:t>L</w:t>
      </w:r>
      <w:r>
        <w:rPr>
          <w:rFonts w:ascii="Times New Roman" w:hAnsi="Times New Roman" w:eastAsia="Times New Roman" w:cs="Times New Roman"/>
          <w:spacing w:val="-2"/>
          <w:sz w:val="15"/>
          <w:szCs w:val="15"/>
        </w:rPr>
        <w:t>i</w:t>
      </w:r>
      <w:r>
        <w:rPr>
          <w:rFonts w:ascii="Times New Roman" w:hAnsi="Times New Roman" w:eastAsia="Times New Roman" w:cs="Times New Roman"/>
          <w:spacing w:val="-2"/>
          <w:sz w:val="15"/>
          <w:szCs w:val="15"/>
          <w:u w:val="single" w:color="auto"/>
        </w:rPr>
        <w:t xml:space="preserve">      </w:t>
      </w:r>
      <w:r>
        <w:rPr>
          <w:rFonts w:ascii="Times New Roman" w:hAnsi="Times New Roman" w:eastAsia="Times New Roman" w:cs="Times New Roman"/>
          <w:spacing w:val="-30"/>
          <w:sz w:val="15"/>
          <w:szCs w:val="15"/>
        </w:rPr>
        <w:t xml:space="preserve"> </w:t>
      </w:r>
      <w:r>
        <w:rPr>
          <w:rFonts w:ascii="宋体" w:hAnsi="宋体" w:eastAsia="宋体" w:cs="宋体"/>
          <w:spacing w:val="-2"/>
          <w:sz w:val="24"/>
          <w:szCs w:val="24"/>
        </w:rPr>
        <w:t>第</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 xml:space="preserve">i </w:t>
      </w:r>
      <w:r>
        <w:rPr>
          <w:rFonts w:ascii="宋体" w:hAnsi="宋体" w:eastAsia="宋体" w:cs="宋体"/>
          <w:spacing w:val="-2"/>
          <w:sz w:val="24"/>
          <w:szCs w:val="24"/>
        </w:rPr>
        <w:t>倍频带的</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A</w:t>
      </w:r>
      <w:r>
        <w:rPr>
          <w:rFonts w:ascii="Times New Roman" w:hAnsi="Times New Roman" w:eastAsia="Times New Roman" w:cs="Times New Roman"/>
          <w:spacing w:val="9"/>
          <w:sz w:val="24"/>
          <w:szCs w:val="24"/>
        </w:rPr>
        <w:t xml:space="preserve"> </w:t>
      </w:r>
      <w:r>
        <w:rPr>
          <w:rFonts w:ascii="宋体" w:hAnsi="宋体" w:eastAsia="宋体" w:cs="宋体"/>
          <w:spacing w:val="-2"/>
          <w:sz w:val="24"/>
          <w:szCs w:val="24"/>
        </w:rPr>
        <w:t>计权网络修正值，</w:t>
      </w:r>
      <w:r>
        <w:rPr>
          <w:rFonts w:ascii="Times New Roman" w:hAnsi="Times New Roman" w:eastAsia="Times New Roman" w:cs="Times New Roman"/>
          <w:spacing w:val="-2"/>
          <w:sz w:val="24"/>
          <w:szCs w:val="24"/>
        </w:rPr>
        <w:t>dB</w:t>
      </w:r>
      <w:r>
        <w:rPr>
          <w:rFonts w:ascii="宋体" w:hAnsi="宋体" w:eastAsia="宋体" w:cs="宋体"/>
          <w:spacing w:val="-2"/>
          <w:sz w:val="24"/>
          <w:szCs w:val="24"/>
        </w:rPr>
        <w:t>。</w:t>
      </w:r>
      <w:r>
        <w:rPr>
          <w:rFonts w:ascii="宋体" w:hAnsi="宋体" w:eastAsia="宋体" w:cs="宋体"/>
          <w:sz w:val="24"/>
          <w:szCs w:val="24"/>
        </w:rPr>
        <w:t xml:space="preserve"> </w:t>
      </w:r>
      <w:r>
        <w:rPr>
          <w:rFonts w:ascii="宋体" w:hAnsi="宋体" w:eastAsia="宋体" w:cs="宋体"/>
          <w:spacing w:val="-2"/>
          <w:sz w:val="24"/>
          <w:szCs w:val="24"/>
        </w:rPr>
        <w:t>只考虑几何发散衰减时，可按下式计算。</w:t>
      </w:r>
    </w:p>
    <w:p w14:paraId="08B7E173">
      <w:pPr>
        <w:spacing w:before="15" w:line="334" w:lineRule="auto"/>
        <w:ind w:left="493" w:right="3145" w:firstLine="3137"/>
        <w:rPr>
          <w:rFonts w:ascii="宋体" w:hAnsi="宋体" w:eastAsia="宋体" w:cs="宋体"/>
          <w:sz w:val="24"/>
          <w:szCs w:val="24"/>
        </w:rPr>
      </w:pP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A</w:t>
      </w:r>
      <w:r>
        <w:rPr>
          <w:rFonts w:ascii="宋体" w:hAnsi="宋体" w:eastAsia="宋体" w:cs="宋体"/>
          <w:spacing w:val="1"/>
          <w:sz w:val="24"/>
          <w:szCs w:val="24"/>
        </w:rPr>
        <w:t>（</w:t>
      </w:r>
      <w:r>
        <w:rPr>
          <w:rFonts w:ascii="Times New Roman" w:hAnsi="Times New Roman" w:eastAsia="Times New Roman" w:cs="Times New Roman"/>
          <w:spacing w:val="1"/>
          <w:sz w:val="24"/>
          <w:szCs w:val="24"/>
        </w:rPr>
        <w:t>r</w:t>
      </w:r>
      <w:r>
        <w:rPr>
          <w:rFonts w:ascii="宋体" w:hAnsi="宋体" w:eastAsia="宋体" w:cs="宋体"/>
          <w:spacing w:val="1"/>
          <w:sz w:val="24"/>
          <w:szCs w:val="24"/>
        </w:rPr>
        <w:t>）</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L</w:t>
      </w:r>
      <w:r>
        <w:rPr>
          <w:rFonts w:ascii="Times New Roman" w:hAnsi="Times New Roman" w:eastAsia="Times New Roman" w:cs="Times New Roman"/>
          <w:position w:val="-1"/>
          <w:sz w:val="15"/>
          <w:szCs w:val="15"/>
        </w:rPr>
        <w:t>A</w:t>
      </w:r>
      <w:r>
        <w:rPr>
          <w:rFonts w:ascii="宋体" w:hAnsi="宋体" w:eastAsia="宋体" w:cs="宋体"/>
          <w:spacing w:val="1"/>
          <w:sz w:val="24"/>
          <w:szCs w:val="24"/>
        </w:rPr>
        <w:t>（</w:t>
      </w:r>
      <w:r>
        <w:rPr>
          <w:rFonts w:ascii="Times New Roman" w:hAnsi="Times New Roman" w:eastAsia="Times New Roman" w:cs="Times New Roman"/>
          <w:spacing w:val="1"/>
          <w:sz w:val="24"/>
          <w:szCs w:val="24"/>
        </w:rPr>
        <w:t>r</w:t>
      </w:r>
      <w:r>
        <w:rPr>
          <w:rFonts w:ascii="Times New Roman" w:hAnsi="Times New Roman" w:eastAsia="Times New Roman" w:cs="Times New Roman"/>
          <w:spacing w:val="1"/>
          <w:sz w:val="15"/>
          <w:szCs w:val="15"/>
        </w:rPr>
        <w:t>0</w:t>
      </w:r>
      <w:r>
        <w:rPr>
          <w:rFonts w:ascii="宋体" w:hAnsi="宋体" w:eastAsia="宋体" w:cs="宋体"/>
          <w:spacing w:val="1"/>
          <w:sz w:val="24"/>
          <w:szCs w:val="24"/>
        </w:rPr>
        <w:t>）</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div</w:t>
      </w:r>
      <w:r>
        <w:rPr>
          <w:rFonts w:ascii="Times New Roman" w:hAnsi="Times New Roman" w:eastAsia="Times New Roman" w:cs="Times New Roman"/>
          <w:spacing w:val="5"/>
          <w:position w:val="-1"/>
          <w:sz w:val="15"/>
          <w:szCs w:val="15"/>
        </w:rPr>
        <w:t xml:space="preserve"> </w:t>
      </w:r>
      <w:r>
        <w:rPr>
          <w:rFonts w:ascii="宋体" w:hAnsi="宋体" w:eastAsia="宋体" w:cs="宋体"/>
          <w:spacing w:val="-1"/>
          <w:sz w:val="24"/>
          <w:szCs w:val="24"/>
        </w:rPr>
        <w:t>式中：</w:t>
      </w: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A</w:t>
      </w:r>
      <w:r>
        <w:rPr>
          <w:rFonts w:ascii="宋体" w:hAnsi="宋体" w:eastAsia="宋体" w:cs="宋体"/>
          <w:spacing w:val="-1"/>
          <w:sz w:val="24"/>
          <w:szCs w:val="24"/>
        </w:rPr>
        <w:t>（</w:t>
      </w:r>
      <w:r>
        <w:rPr>
          <w:rFonts w:ascii="Times New Roman" w:hAnsi="Times New Roman" w:eastAsia="Times New Roman" w:cs="Times New Roman"/>
          <w:spacing w:val="-1"/>
          <w:sz w:val="24"/>
          <w:szCs w:val="24"/>
        </w:rPr>
        <w:t>r</w:t>
      </w:r>
      <w:r>
        <w:rPr>
          <w:rFonts w:ascii="宋体" w:hAnsi="宋体" w:eastAsia="宋体" w:cs="宋体"/>
          <w:spacing w:val="-1"/>
          <w:sz w:val="24"/>
          <w:szCs w:val="24"/>
        </w:rPr>
        <w:t>）</w:t>
      </w:r>
      <w:r>
        <w:rPr>
          <w:rFonts w:ascii="Times New Roman" w:hAnsi="Times New Roman" w:eastAsia="Times New Roman" w:cs="Times New Roman"/>
          <w:spacing w:val="-1"/>
          <w:sz w:val="24"/>
          <w:szCs w:val="24"/>
        </w:rPr>
        <w:t>—</w:t>
      </w:r>
      <w:r>
        <w:rPr>
          <w:rFonts w:ascii="宋体" w:hAnsi="宋体" w:eastAsia="宋体" w:cs="宋体"/>
          <w:spacing w:val="-1"/>
          <w:sz w:val="24"/>
          <w:szCs w:val="24"/>
        </w:rPr>
        <w:t>距声源</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 xml:space="preserve">r </w:t>
      </w:r>
      <w:r>
        <w:rPr>
          <w:rFonts w:ascii="宋体" w:hAnsi="宋体" w:eastAsia="宋体" w:cs="宋体"/>
          <w:spacing w:val="-1"/>
          <w:sz w:val="24"/>
          <w:szCs w:val="24"/>
        </w:rPr>
        <w:t>处的</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 xml:space="preserve">A </w:t>
      </w:r>
      <w:r>
        <w:rPr>
          <w:rFonts w:ascii="宋体" w:hAnsi="宋体" w:eastAsia="宋体" w:cs="宋体"/>
          <w:spacing w:val="-1"/>
          <w:sz w:val="24"/>
          <w:szCs w:val="24"/>
        </w:rPr>
        <w:t>声级，</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r>
        <w:rPr>
          <w:rFonts w:ascii="Times New Roman" w:hAnsi="Times New Roman" w:eastAsia="Times New Roman" w:cs="Times New Roman"/>
          <w:spacing w:val="-1"/>
          <w:sz w:val="24"/>
          <w:szCs w:val="24"/>
        </w:rPr>
        <w:t>A</w:t>
      </w:r>
      <w:r>
        <w:rPr>
          <w:rFonts w:ascii="宋体" w:hAnsi="宋体" w:eastAsia="宋体" w:cs="宋体"/>
          <w:spacing w:val="4"/>
          <w:sz w:val="24"/>
          <w:szCs w:val="24"/>
        </w:rPr>
        <w:t>）；</w:t>
      </w:r>
    </w:p>
    <w:p w14:paraId="693379E8">
      <w:pPr>
        <w:spacing w:before="112" w:line="346" w:lineRule="auto"/>
        <w:ind w:left="1080" w:right="3036" w:firstLine="2"/>
        <w:rPr>
          <w:rFonts w:ascii="宋体" w:hAnsi="宋体" w:eastAsia="宋体" w:cs="宋体"/>
          <w:sz w:val="24"/>
          <w:szCs w:val="24"/>
        </w:rPr>
      </w:pPr>
      <w:r>
        <w:rPr>
          <w:rFonts w:ascii="Times New Roman" w:hAnsi="Times New Roman" w:eastAsia="Times New Roman" w:cs="Times New Roman"/>
          <w:spacing w:val="-1"/>
          <w:sz w:val="24"/>
          <w:szCs w:val="24"/>
        </w:rPr>
        <w:t>L</w:t>
      </w:r>
      <w:r>
        <w:rPr>
          <w:rFonts w:ascii="Times New Roman" w:hAnsi="Times New Roman" w:eastAsia="Times New Roman" w:cs="Times New Roman"/>
          <w:spacing w:val="-1"/>
          <w:position w:val="-1"/>
          <w:sz w:val="15"/>
          <w:szCs w:val="15"/>
        </w:rPr>
        <w:t>A</w:t>
      </w:r>
      <w:r>
        <w:rPr>
          <w:rFonts w:ascii="宋体" w:hAnsi="宋体" w:eastAsia="宋体" w:cs="宋体"/>
          <w:spacing w:val="2"/>
          <w:sz w:val="24"/>
          <w:szCs w:val="24"/>
        </w:rPr>
        <w:t>（</w:t>
      </w:r>
      <w:r>
        <w:rPr>
          <w:rFonts w:ascii="Times New Roman" w:hAnsi="Times New Roman" w:eastAsia="Times New Roman" w:cs="Times New Roman"/>
          <w:spacing w:val="2"/>
          <w:sz w:val="24"/>
          <w:szCs w:val="24"/>
        </w:rPr>
        <w:t>r</w:t>
      </w:r>
      <w:r>
        <w:rPr>
          <w:rFonts w:ascii="Times New Roman" w:hAnsi="Times New Roman" w:eastAsia="Times New Roman" w:cs="Times New Roman"/>
          <w:spacing w:val="2"/>
          <w:sz w:val="15"/>
          <w:szCs w:val="15"/>
        </w:rPr>
        <w:t>0</w:t>
      </w:r>
      <w:r>
        <w:rPr>
          <w:rFonts w:ascii="宋体" w:hAnsi="宋体" w:eastAsia="宋体" w:cs="宋体"/>
          <w:spacing w:val="2"/>
          <w:sz w:val="24"/>
          <w:szCs w:val="24"/>
        </w:rPr>
        <w:t>）</w:t>
      </w:r>
      <w:r>
        <w:rPr>
          <w:rFonts w:ascii="Times New Roman" w:hAnsi="Times New Roman" w:eastAsia="Times New Roman" w:cs="Times New Roman"/>
          <w:spacing w:val="2"/>
          <w:sz w:val="24"/>
          <w:szCs w:val="24"/>
        </w:rPr>
        <w:t>—</w:t>
      </w:r>
      <w:r>
        <w:rPr>
          <w:rFonts w:ascii="宋体" w:hAnsi="宋体" w:eastAsia="宋体" w:cs="宋体"/>
          <w:spacing w:val="2"/>
          <w:sz w:val="24"/>
          <w:szCs w:val="24"/>
        </w:rPr>
        <w:t>参考位置</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r</w:t>
      </w:r>
      <w:r>
        <w:rPr>
          <w:rFonts w:ascii="Times New Roman" w:hAnsi="Times New Roman" w:eastAsia="Times New Roman" w:cs="Times New Roman"/>
          <w:spacing w:val="2"/>
          <w:sz w:val="15"/>
          <w:szCs w:val="15"/>
        </w:rPr>
        <w:t>0</w:t>
      </w:r>
      <w:r>
        <w:rPr>
          <w:rFonts w:ascii="宋体" w:hAnsi="宋体" w:eastAsia="宋体" w:cs="宋体"/>
          <w:spacing w:val="2"/>
          <w:sz w:val="24"/>
          <w:szCs w:val="24"/>
        </w:rPr>
        <w:t>处的</w:t>
      </w:r>
      <w:r>
        <w:rPr>
          <w:rFonts w:ascii="宋体" w:hAnsi="宋体" w:eastAsia="宋体" w:cs="宋体"/>
          <w:spacing w:val="-59"/>
          <w:sz w:val="24"/>
          <w:szCs w:val="24"/>
        </w:rPr>
        <w:t xml:space="preserve"> </w:t>
      </w:r>
      <w:r>
        <w:rPr>
          <w:rFonts w:ascii="Times New Roman" w:hAnsi="Times New Roman" w:eastAsia="Times New Roman" w:cs="Times New Roman"/>
          <w:spacing w:val="2"/>
          <w:sz w:val="24"/>
          <w:szCs w:val="24"/>
        </w:rPr>
        <w:t xml:space="preserve">A </w:t>
      </w:r>
      <w:r>
        <w:rPr>
          <w:rFonts w:ascii="宋体" w:hAnsi="宋体" w:eastAsia="宋体" w:cs="宋体"/>
          <w:spacing w:val="2"/>
          <w:sz w:val="24"/>
          <w:szCs w:val="24"/>
        </w:rPr>
        <w:t>声级，</w:t>
      </w:r>
      <w:r>
        <w:rPr>
          <w:rFonts w:ascii="Times New Roman" w:hAnsi="Times New Roman" w:eastAsia="Times New Roman" w:cs="Times New Roman"/>
          <w:sz w:val="24"/>
          <w:szCs w:val="24"/>
        </w:rPr>
        <w:t>dB</w:t>
      </w:r>
      <w:r>
        <w:rPr>
          <w:rFonts w:ascii="宋体" w:hAnsi="宋体" w:eastAsia="宋体" w:cs="宋体"/>
          <w:spacing w:val="2"/>
          <w:sz w:val="24"/>
          <w:szCs w:val="24"/>
        </w:rPr>
        <w:t>（</w:t>
      </w:r>
      <w:r>
        <w:rPr>
          <w:rFonts w:ascii="Times New Roman" w:hAnsi="Times New Roman" w:eastAsia="Times New Roman" w:cs="Times New Roman"/>
          <w:spacing w:val="2"/>
          <w:sz w:val="24"/>
          <w:szCs w:val="24"/>
        </w:rPr>
        <w:t>A</w:t>
      </w:r>
      <w:r>
        <w:rPr>
          <w:rFonts w:ascii="宋体" w:hAnsi="宋体" w:eastAsia="宋体" w:cs="宋体"/>
          <w:spacing w:val="-31"/>
          <w:sz w:val="24"/>
          <w:szCs w:val="24"/>
        </w:rPr>
        <w:t>）；</w:t>
      </w:r>
      <w:r>
        <w:rPr>
          <w:rFonts w:ascii="宋体" w:hAnsi="宋体" w:eastAsia="宋体" w:cs="宋体"/>
          <w:sz w:val="24"/>
          <w:szCs w:val="24"/>
        </w:rPr>
        <w:t xml:space="preserve"> </w:t>
      </w:r>
      <w:r>
        <w:rPr>
          <w:rFonts w:ascii="Times New Roman" w:hAnsi="Times New Roman" w:eastAsia="Times New Roman" w:cs="Times New Roman"/>
          <w:sz w:val="24"/>
          <w:szCs w:val="24"/>
        </w:rPr>
        <w:t>A</w:t>
      </w:r>
      <w:r>
        <w:rPr>
          <w:rFonts w:ascii="Times New Roman" w:hAnsi="Times New Roman" w:eastAsia="Times New Roman" w:cs="Times New Roman"/>
          <w:position w:val="-1"/>
          <w:sz w:val="15"/>
          <w:szCs w:val="15"/>
        </w:rPr>
        <w:t>div</w:t>
      </w:r>
      <w:r>
        <w:rPr>
          <w:rFonts w:ascii="Times New Roman" w:hAnsi="Times New Roman" w:eastAsia="Times New Roman" w:cs="Times New Roman"/>
          <w:sz w:val="24"/>
          <w:szCs w:val="24"/>
        </w:rPr>
        <w:t>——</w:t>
      </w:r>
      <w:r>
        <w:rPr>
          <w:rFonts w:ascii="宋体" w:hAnsi="宋体" w:eastAsia="宋体" w:cs="宋体"/>
          <w:sz w:val="24"/>
          <w:szCs w:val="24"/>
        </w:rPr>
        <w:t>几何发散引起的衰减，</w:t>
      </w:r>
      <w:r>
        <w:rPr>
          <w:rFonts w:ascii="Times New Roman" w:hAnsi="Times New Roman" w:eastAsia="Times New Roman" w:cs="Times New Roman"/>
          <w:sz w:val="24"/>
          <w:szCs w:val="24"/>
        </w:rPr>
        <w:t>dB</w:t>
      </w:r>
      <w:r>
        <w:rPr>
          <w:rFonts w:ascii="宋体" w:hAnsi="宋体" w:eastAsia="宋体" w:cs="宋体"/>
          <w:sz w:val="24"/>
          <w:szCs w:val="24"/>
        </w:rPr>
        <w:t>。</w:t>
      </w:r>
    </w:p>
    <w:p w14:paraId="59391A12">
      <w:pPr>
        <w:pStyle w:val="2"/>
        <w:spacing w:before="22"/>
        <w:ind w:left="1738"/>
        <w:rPr>
          <w:sz w:val="26"/>
          <w:szCs w:val="26"/>
        </w:rPr>
      </w:pPr>
      <w:r>
        <w:rPr>
          <w:rFonts w:ascii="宋体" w:hAnsi="宋体" w:eastAsia="宋体" w:cs="宋体"/>
          <w:spacing w:val="-2"/>
          <w:position w:val="1"/>
          <w:sz w:val="24"/>
          <w:szCs w:val="24"/>
        </w:rPr>
        <w:t>声级叠加模式为：</w:t>
      </w:r>
      <w:r>
        <w:rPr>
          <w:rFonts w:ascii="Times New Roman" w:hAnsi="Times New Roman" w:eastAsia="Times New Roman" w:cs="Times New Roman"/>
          <w:i/>
          <w:iCs/>
          <w:spacing w:val="-2"/>
          <w:position w:val="4"/>
          <w:sz w:val="26"/>
          <w:szCs w:val="26"/>
        </w:rPr>
        <w:t>L</w:t>
      </w:r>
      <w:r>
        <w:rPr>
          <w:rFonts w:ascii="Times New Roman" w:hAnsi="Times New Roman" w:eastAsia="Times New Roman" w:cs="Times New Roman"/>
          <w:i/>
          <w:iCs/>
          <w:spacing w:val="-2"/>
          <w:position w:val="-1"/>
          <w:sz w:val="16"/>
          <w:szCs w:val="16"/>
        </w:rPr>
        <w:t xml:space="preserve">eqg  </w:t>
      </w:r>
      <w:r>
        <w:rPr>
          <w:spacing w:val="-2"/>
          <w:position w:val="4"/>
          <w:sz w:val="26"/>
          <w:szCs w:val="26"/>
        </w:rPr>
        <w:t xml:space="preserve">= </w:t>
      </w:r>
      <w:r>
        <w:rPr>
          <w:rFonts w:ascii="Times New Roman" w:hAnsi="Times New Roman" w:eastAsia="Times New Roman" w:cs="Times New Roman"/>
          <w:spacing w:val="-2"/>
          <w:position w:val="4"/>
          <w:sz w:val="26"/>
          <w:szCs w:val="26"/>
        </w:rPr>
        <w:t>10lg</w:t>
      </w:r>
      <w:r>
        <w:rPr>
          <w:position w:val="-31"/>
          <w:sz w:val="26"/>
          <w:szCs w:val="26"/>
        </w:rPr>
        <w:drawing>
          <wp:inline distT="0" distB="0" distL="0" distR="0">
            <wp:extent cx="1927225" cy="535305"/>
            <wp:effectExtent l="0" t="0" r="0" b="0"/>
            <wp:docPr id="202" name="IM 202"/>
            <wp:cNvGraphicFramePr/>
            <a:graphic xmlns:a="http://schemas.openxmlformats.org/drawingml/2006/main">
              <a:graphicData uri="http://schemas.openxmlformats.org/drawingml/2006/picture">
                <pic:pic xmlns:pic="http://schemas.openxmlformats.org/drawingml/2006/picture">
                  <pic:nvPicPr>
                    <pic:cNvPr id="202" name="IM 202"/>
                    <pic:cNvPicPr/>
                  </pic:nvPicPr>
                  <pic:blipFill>
                    <a:blip r:embed="rId673"/>
                    <a:stretch>
                      <a:fillRect/>
                    </a:stretch>
                  </pic:blipFill>
                  <pic:spPr>
                    <a:xfrm>
                      <a:off x="0" y="0"/>
                      <a:ext cx="1927688" cy="535565"/>
                    </a:xfrm>
                    <a:prstGeom prst="rect">
                      <a:avLst/>
                    </a:prstGeom>
                  </pic:spPr>
                </pic:pic>
              </a:graphicData>
            </a:graphic>
          </wp:inline>
        </w:drawing>
      </w:r>
    </w:p>
    <w:p w14:paraId="20872B37">
      <w:pPr>
        <w:spacing w:before="196" w:line="220" w:lineRule="auto"/>
        <w:ind w:left="493"/>
        <w:rPr>
          <w:rFonts w:ascii="宋体" w:hAnsi="宋体" w:eastAsia="宋体" w:cs="宋体"/>
          <w:sz w:val="24"/>
          <w:szCs w:val="24"/>
        </w:rPr>
      </w:pPr>
      <w:r>
        <w:rPr>
          <w:rFonts w:ascii="宋体" w:hAnsi="宋体" w:eastAsia="宋体" w:cs="宋体"/>
          <w:sz w:val="24"/>
          <w:szCs w:val="24"/>
        </w:rPr>
        <w:t>式中：</w:t>
      </w:r>
      <w:r>
        <w:rPr>
          <w:rFonts w:ascii="Times New Roman" w:hAnsi="Times New Roman" w:eastAsia="Times New Roman" w:cs="Times New Roman"/>
          <w:sz w:val="24"/>
          <w:szCs w:val="24"/>
        </w:rPr>
        <w:t>L</w:t>
      </w:r>
      <w:r>
        <w:rPr>
          <w:rFonts w:ascii="Times New Roman" w:hAnsi="Times New Roman" w:eastAsia="Times New Roman" w:cs="Times New Roman"/>
          <w:position w:val="-1"/>
          <w:sz w:val="15"/>
          <w:szCs w:val="15"/>
        </w:rPr>
        <w:t>eqg</w:t>
      </w:r>
      <w:r>
        <w:rPr>
          <w:rFonts w:ascii="Times New Roman" w:hAnsi="Times New Roman" w:eastAsia="Times New Roman" w:cs="Times New Roman"/>
          <w:sz w:val="24"/>
          <w:szCs w:val="24"/>
        </w:rPr>
        <w:t>—</w:t>
      </w:r>
      <w:r>
        <w:rPr>
          <w:rFonts w:ascii="宋体" w:hAnsi="宋体" w:eastAsia="宋体" w:cs="宋体"/>
          <w:sz w:val="24"/>
          <w:szCs w:val="24"/>
        </w:rPr>
        <w:t>建设项目声源在预测点产生的噪声</w:t>
      </w:r>
      <w:r>
        <w:rPr>
          <w:rFonts w:ascii="宋体" w:hAnsi="宋体" w:eastAsia="宋体" w:cs="宋体"/>
          <w:spacing w:val="-1"/>
          <w:sz w:val="24"/>
          <w:szCs w:val="24"/>
        </w:rPr>
        <w:t>贡献值，</w:t>
      </w:r>
      <w:r>
        <w:rPr>
          <w:rFonts w:ascii="Times New Roman" w:hAnsi="Times New Roman" w:eastAsia="Times New Roman" w:cs="Times New Roman"/>
          <w:spacing w:val="-1"/>
          <w:sz w:val="24"/>
          <w:szCs w:val="24"/>
        </w:rPr>
        <w:t>dB</w:t>
      </w:r>
      <w:r>
        <w:rPr>
          <w:rFonts w:ascii="宋体" w:hAnsi="宋体" w:eastAsia="宋体" w:cs="宋体"/>
          <w:spacing w:val="-1"/>
          <w:sz w:val="24"/>
          <w:szCs w:val="24"/>
        </w:rPr>
        <w:t>；</w:t>
      </w:r>
    </w:p>
    <w:p w14:paraId="2D6DA579">
      <w:pPr>
        <w:spacing w:before="181" w:line="347" w:lineRule="auto"/>
        <w:ind w:left="1196" w:right="4335" w:firstLine="10"/>
        <w:rPr>
          <w:rFonts w:ascii="宋体" w:hAnsi="宋体" w:eastAsia="宋体" w:cs="宋体"/>
          <w:sz w:val="24"/>
          <w:szCs w:val="24"/>
        </w:rPr>
      </w:pPr>
      <w:r>
        <w:rPr>
          <w:rFonts w:ascii="Times New Roman" w:hAnsi="Times New Roman" w:eastAsia="Times New Roman" w:cs="Times New Roman"/>
          <w:spacing w:val="-5"/>
          <w:sz w:val="24"/>
          <w:szCs w:val="24"/>
        </w:rPr>
        <w:t>T—</w:t>
      </w:r>
      <w:r>
        <w:rPr>
          <w:rFonts w:ascii="宋体" w:hAnsi="宋体" w:eastAsia="宋体" w:cs="宋体"/>
          <w:spacing w:val="-5"/>
          <w:sz w:val="24"/>
          <w:szCs w:val="24"/>
        </w:rPr>
        <w:t>用于计算等效声级的时间，</w:t>
      </w:r>
      <w:r>
        <w:rPr>
          <w:rFonts w:ascii="Times New Roman" w:hAnsi="Times New Roman" w:eastAsia="Times New Roman" w:cs="Times New Roman"/>
          <w:spacing w:val="-5"/>
          <w:sz w:val="24"/>
          <w:szCs w:val="24"/>
        </w:rPr>
        <w:t>s</w:t>
      </w:r>
      <w:r>
        <w:rPr>
          <w:rFonts w:ascii="宋体" w:hAnsi="宋体" w:eastAsia="宋体" w:cs="宋体"/>
          <w:spacing w:val="-5"/>
          <w:sz w:val="24"/>
          <w:szCs w:val="24"/>
        </w:rPr>
        <w:t>；</w:t>
      </w:r>
      <w:r>
        <w:rPr>
          <w:rFonts w:ascii="宋体" w:hAnsi="宋体" w:eastAsia="宋体" w:cs="宋体"/>
          <w:spacing w:val="10"/>
          <w:sz w:val="24"/>
          <w:szCs w:val="24"/>
        </w:rPr>
        <w:t xml:space="preserve"> </w:t>
      </w:r>
      <w:r>
        <w:rPr>
          <w:rFonts w:ascii="Times New Roman" w:hAnsi="Times New Roman" w:eastAsia="Times New Roman" w:cs="Times New Roman"/>
          <w:sz w:val="24"/>
          <w:szCs w:val="24"/>
        </w:rPr>
        <w:t>N—</w:t>
      </w:r>
      <w:r>
        <w:rPr>
          <w:rFonts w:ascii="宋体" w:hAnsi="宋体" w:eastAsia="宋体" w:cs="宋体"/>
          <w:sz w:val="24"/>
          <w:szCs w:val="24"/>
        </w:rPr>
        <w:t>室外声源个数；</w:t>
      </w:r>
    </w:p>
    <w:p w14:paraId="64EADEEF">
      <w:pPr>
        <w:spacing w:before="31" w:line="347" w:lineRule="auto"/>
        <w:ind w:left="1202" w:right="4157" w:hanging="1"/>
        <w:rPr>
          <w:rFonts w:ascii="宋体" w:hAnsi="宋体" w:eastAsia="宋体" w:cs="宋体"/>
          <w:sz w:val="24"/>
          <w:szCs w:val="24"/>
        </w:rPr>
      </w:pPr>
      <w:r>
        <w:rPr>
          <w:rFonts w:ascii="Times New Roman" w:hAnsi="Times New Roman" w:eastAsia="Times New Roman" w:cs="Times New Roman"/>
          <w:spacing w:val="-7"/>
          <w:sz w:val="24"/>
          <w:szCs w:val="24"/>
        </w:rPr>
        <w:t>t</w:t>
      </w:r>
      <w:r>
        <w:rPr>
          <w:rFonts w:ascii="Times New Roman" w:hAnsi="Times New Roman" w:eastAsia="Times New Roman" w:cs="Times New Roman"/>
          <w:spacing w:val="-7"/>
          <w:sz w:val="15"/>
          <w:szCs w:val="15"/>
        </w:rPr>
        <w:t>i</w:t>
      </w:r>
      <w:r>
        <w:rPr>
          <w:rFonts w:ascii="Times New Roman" w:hAnsi="Times New Roman" w:eastAsia="Times New Roman" w:cs="Times New Roman"/>
          <w:spacing w:val="-7"/>
          <w:sz w:val="24"/>
          <w:szCs w:val="24"/>
        </w:rPr>
        <w:t>—</w:t>
      </w:r>
      <w:r>
        <w:rPr>
          <w:rFonts w:ascii="宋体" w:hAnsi="宋体" w:eastAsia="宋体" w:cs="宋体"/>
          <w:spacing w:val="-7"/>
          <w:sz w:val="24"/>
          <w:szCs w:val="24"/>
        </w:rPr>
        <w:t>在</w:t>
      </w:r>
      <w:r>
        <w:rPr>
          <w:rFonts w:ascii="宋体" w:hAnsi="宋体" w:eastAsia="宋体" w:cs="宋体"/>
          <w:spacing w:val="-39"/>
          <w:sz w:val="24"/>
          <w:szCs w:val="24"/>
        </w:rPr>
        <w:t xml:space="preserve"> </w:t>
      </w:r>
      <w:r>
        <w:rPr>
          <w:rFonts w:ascii="Times New Roman" w:hAnsi="Times New Roman" w:eastAsia="Times New Roman" w:cs="Times New Roman"/>
          <w:spacing w:val="-7"/>
          <w:sz w:val="24"/>
          <w:szCs w:val="24"/>
        </w:rPr>
        <w:t>T</w:t>
      </w:r>
      <w:r>
        <w:rPr>
          <w:rFonts w:ascii="Times New Roman" w:hAnsi="Times New Roman" w:eastAsia="Times New Roman" w:cs="Times New Roman"/>
          <w:spacing w:val="21"/>
          <w:sz w:val="24"/>
          <w:szCs w:val="24"/>
        </w:rPr>
        <w:t xml:space="preserve"> </w:t>
      </w:r>
      <w:r>
        <w:rPr>
          <w:rFonts w:ascii="宋体" w:hAnsi="宋体" w:eastAsia="宋体" w:cs="宋体"/>
          <w:spacing w:val="-7"/>
          <w:sz w:val="24"/>
          <w:szCs w:val="24"/>
        </w:rPr>
        <w:t>时间内</w:t>
      </w:r>
      <w:r>
        <w:rPr>
          <w:rFonts w:ascii="宋体" w:hAnsi="宋体" w:eastAsia="宋体" w:cs="宋体"/>
          <w:spacing w:val="-53"/>
          <w:sz w:val="24"/>
          <w:szCs w:val="24"/>
        </w:rPr>
        <w:t xml:space="preserve"> </w:t>
      </w:r>
      <w:r>
        <w:rPr>
          <w:rFonts w:ascii="Times New Roman" w:hAnsi="Times New Roman" w:eastAsia="Times New Roman" w:cs="Times New Roman"/>
          <w:spacing w:val="-7"/>
          <w:sz w:val="24"/>
          <w:szCs w:val="24"/>
        </w:rPr>
        <w:t>i</w:t>
      </w:r>
      <w:r>
        <w:rPr>
          <w:rFonts w:ascii="Times New Roman" w:hAnsi="Times New Roman" w:eastAsia="Times New Roman" w:cs="Times New Roman"/>
          <w:spacing w:val="15"/>
          <w:sz w:val="24"/>
          <w:szCs w:val="24"/>
        </w:rPr>
        <w:t xml:space="preserve"> </w:t>
      </w:r>
      <w:r>
        <w:rPr>
          <w:rFonts w:ascii="宋体" w:hAnsi="宋体" w:eastAsia="宋体" w:cs="宋体"/>
          <w:spacing w:val="-7"/>
          <w:sz w:val="24"/>
          <w:szCs w:val="24"/>
        </w:rPr>
        <w:t>声源工作时间，</w:t>
      </w:r>
      <w:r>
        <w:rPr>
          <w:rFonts w:ascii="Times New Roman" w:hAnsi="Times New Roman" w:eastAsia="Times New Roman" w:cs="Times New Roman"/>
          <w:spacing w:val="-7"/>
          <w:sz w:val="24"/>
          <w:szCs w:val="24"/>
        </w:rPr>
        <w:t>s</w:t>
      </w:r>
      <w:r>
        <w:rPr>
          <w:rFonts w:ascii="宋体" w:hAnsi="宋体" w:eastAsia="宋体" w:cs="宋体"/>
          <w:spacing w:val="-7"/>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M—</w:t>
      </w:r>
      <w:r>
        <w:rPr>
          <w:rFonts w:ascii="宋体" w:hAnsi="宋体" w:eastAsia="宋体" w:cs="宋体"/>
          <w:spacing w:val="-1"/>
          <w:sz w:val="24"/>
          <w:szCs w:val="24"/>
        </w:rPr>
        <w:t>等效室外声源个数。</w:t>
      </w:r>
    </w:p>
    <w:p w14:paraId="625817B7">
      <w:pPr>
        <w:spacing w:before="32" w:line="212" w:lineRule="auto"/>
        <w:ind w:left="1201"/>
        <w:rPr>
          <w:rFonts w:ascii="宋体" w:hAnsi="宋体" w:eastAsia="宋体" w:cs="宋体"/>
          <w:sz w:val="24"/>
          <w:szCs w:val="24"/>
        </w:rPr>
      </w:pPr>
      <w:r>
        <w:rPr>
          <w:rFonts w:ascii="Times New Roman" w:hAnsi="Times New Roman" w:eastAsia="Times New Roman" w:cs="Times New Roman"/>
          <w:sz w:val="24"/>
          <w:szCs w:val="24"/>
        </w:rPr>
        <w:t>t</w:t>
      </w:r>
      <w:r>
        <w:rPr>
          <w:rFonts w:ascii="Times New Roman" w:hAnsi="Times New Roman" w:eastAsia="Times New Roman" w:cs="Times New Roman"/>
          <w:position w:val="-1"/>
          <w:sz w:val="15"/>
          <w:szCs w:val="15"/>
        </w:rPr>
        <w:t>j</w:t>
      </w:r>
      <w:r>
        <w:rPr>
          <w:rFonts w:ascii="Times New Roman" w:hAnsi="Times New Roman" w:eastAsia="Times New Roman" w:cs="Times New Roman"/>
          <w:spacing w:val="1"/>
          <w:sz w:val="24"/>
          <w:szCs w:val="24"/>
        </w:rPr>
        <w:t>—</w:t>
      </w:r>
      <w:r>
        <w:rPr>
          <w:rFonts w:ascii="宋体" w:hAnsi="宋体" w:eastAsia="宋体" w:cs="宋体"/>
          <w:spacing w:val="1"/>
          <w:sz w:val="24"/>
          <w:szCs w:val="24"/>
        </w:rPr>
        <w:t>在</w:t>
      </w:r>
      <w:r>
        <w:rPr>
          <w:rFonts w:ascii="宋体" w:hAnsi="宋体" w:eastAsia="宋体" w:cs="宋体"/>
          <w:spacing w:val="-39"/>
          <w:sz w:val="24"/>
          <w:szCs w:val="24"/>
        </w:rPr>
        <w:t xml:space="preserve"> </w:t>
      </w:r>
      <w:r>
        <w:rPr>
          <w:rFonts w:ascii="Times New Roman" w:hAnsi="Times New Roman" w:eastAsia="Times New Roman" w:cs="Times New Roman"/>
          <w:spacing w:val="1"/>
          <w:sz w:val="24"/>
          <w:szCs w:val="24"/>
        </w:rPr>
        <w:t>T</w:t>
      </w:r>
      <w:r>
        <w:rPr>
          <w:rFonts w:ascii="Times New Roman" w:hAnsi="Times New Roman" w:eastAsia="Times New Roman" w:cs="Times New Roman"/>
          <w:spacing w:val="20"/>
          <w:w w:val="101"/>
          <w:sz w:val="24"/>
          <w:szCs w:val="24"/>
        </w:rPr>
        <w:t xml:space="preserve"> </w:t>
      </w:r>
      <w:r>
        <w:rPr>
          <w:rFonts w:ascii="宋体" w:hAnsi="宋体" w:eastAsia="宋体" w:cs="宋体"/>
          <w:spacing w:val="1"/>
          <w:sz w:val="24"/>
          <w:szCs w:val="24"/>
        </w:rPr>
        <w:t>时间内</w:t>
      </w:r>
      <w:r>
        <w:rPr>
          <w:rFonts w:ascii="Times New Roman" w:hAnsi="Times New Roman" w:eastAsia="Times New Roman" w:cs="Times New Roman"/>
          <w:spacing w:val="1"/>
          <w:sz w:val="24"/>
          <w:szCs w:val="24"/>
        </w:rPr>
        <w:t xml:space="preserve">j </w:t>
      </w:r>
      <w:r>
        <w:rPr>
          <w:rFonts w:ascii="宋体" w:hAnsi="宋体" w:eastAsia="宋体" w:cs="宋体"/>
          <w:spacing w:val="1"/>
          <w:sz w:val="24"/>
          <w:szCs w:val="24"/>
        </w:rPr>
        <w:t>声源工作时间，</w:t>
      </w:r>
      <w:r>
        <w:rPr>
          <w:rFonts w:ascii="Times New Roman" w:hAnsi="Times New Roman" w:eastAsia="Times New Roman" w:cs="Times New Roman"/>
          <w:spacing w:val="1"/>
          <w:sz w:val="24"/>
          <w:szCs w:val="24"/>
        </w:rPr>
        <w:t>s</w:t>
      </w:r>
      <w:r>
        <w:rPr>
          <w:rFonts w:ascii="宋体" w:hAnsi="宋体" w:eastAsia="宋体" w:cs="宋体"/>
          <w:spacing w:val="1"/>
          <w:sz w:val="24"/>
          <w:szCs w:val="24"/>
        </w:rPr>
        <w:t>。</w:t>
      </w:r>
    </w:p>
    <w:p w14:paraId="55F5DB07">
      <w:pPr>
        <w:spacing w:before="193"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）施工场界噪声限值</w:t>
      </w:r>
    </w:p>
    <w:p w14:paraId="3C40B5AD">
      <w:pPr>
        <w:spacing w:before="181" w:line="219" w:lineRule="auto"/>
        <w:ind w:left="487"/>
        <w:rPr>
          <w:rFonts w:ascii="宋体" w:hAnsi="宋体" w:eastAsia="宋体" w:cs="宋体"/>
          <w:sz w:val="24"/>
          <w:szCs w:val="24"/>
        </w:rPr>
      </w:pPr>
      <w:r>
        <w:rPr>
          <w:rFonts w:ascii="宋体" w:hAnsi="宋体" w:eastAsia="宋体" w:cs="宋体"/>
          <w:spacing w:val="-1"/>
          <w:sz w:val="24"/>
          <w:szCs w:val="24"/>
        </w:rPr>
        <w:t>施工场界噪声限值见表</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4.7-5</w:t>
      </w:r>
      <w:r>
        <w:rPr>
          <w:rFonts w:ascii="宋体" w:hAnsi="宋体" w:eastAsia="宋体" w:cs="宋体"/>
          <w:spacing w:val="-1"/>
          <w:sz w:val="24"/>
          <w:szCs w:val="24"/>
        </w:rPr>
        <w:t>。</w:t>
      </w:r>
    </w:p>
    <w:p w14:paraId="34AD9CF7">
      <w:pPr>
        <w:spacing w:line="219" w:lineRule="auto"/>
        <w:rPr>
          <w:rFonts w:ascii="宋体" w:hAnsi="宋体" w:eastAsia="宋体" w:cs="宋体"/>
          <w:sz w:val="24"/>
          <w:szCs w:val="24"/>
        </w:rPr>
        <w:sectPr>
          <w:headerReference r:id="rId373" w:type="default"/>
          <w:footerReference r:id="rId374" w:type="default"/>
          <w:pgSz w:w="11906" w:h="16839"/>
          <w:pgMar w:top="1191" w:right="1415" w:bottom="1569" w:left="1417" w:header="882" w:footer="1407" w:gutter="0"/>
          <w:cols w:space="720" w:num="1"/>
        </w:sectPr>
      </w:pPr>
    </w:p>
    <w:p w14:paraId="4F24B4C3">
      <w:pPr>
        <w:spacing w:line="28" w:lineRule="exact"/>
        <w:ind w:firstLine="108"/>
      </w:pPr>
      <w:r>
        <w:pict>
          <v:shape id="_x0000_s1858" o:spid="_x0000_s1858" style="height:1.45pt;width:453.65pt;" fillcolor="#000000" filled="t" stroked="f" coordsize="9072,29" path="m0,0l9072,0,9072,28,0,28,0,0xe">
            <v:path/>
            <v:fill on="t" focussize="0,0"/>
            <v:stroke on="f"/>
            <v:imagedata o:title=""/>
            <o:lock v:ext="edit"/>
            <w10:wrap type="none"/>
            <w10:anchorlock/>
          </v:shape>
        </w:pict>
      </w:r>
    </w:p>
    <w:p w14:paraId="2A339E48">
      <w:pPr>
        <w:pStyle w:val="2"/>
        <w:spacing w:line="264" w:lineRule="auto"/>
      </w:pPr>
    </w:p>
    <w:p w14:paraId="10E64220">
      <w:pPr>
        <w:spacing w:before="65" w:line="221" w:lineRule="auto"/>
        <w:ind w:left="2130"/>
        <w:rPr>
          <w:rFonts w:ascii="Times New Roman" w:hAnsi="Times New Roman" w:eastAsia="Times New Roman" w:cs="Times New Roman"/>
          <w:sz w:val="20"/>
          <w:szCs w:val="20"/>
        </w:rPr>
      </w:pPr>
      <w:r>
        <w:rPr>
          <w:rFonts w:ascii="宋体" w:hAnsi="宋体" w:eastAsia="宋体" w:cs="宋体"/>
          <w:b/>
          <w:bCs/>
          <w:spacing w:val="6"/>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4.7-5        </w:t>
      </w:r>
      <w:r>
        <w:rPr>
          <w:rFonts w:ascii="宋体" w:hAnsi="宋体" w:eastAsia="宋体" w:cs="宋体"/>
          <w:b/>
          <w:bCs/>
          <w:spacing w:val="6"/>
          <w:sz w:val="20"/>
          <w:szCs w:val="20"/>
        </w:rPr>
        <w:t>建筑施工场界环境噪声排放</w:t>
      </w:r>
      <w:r>
        <w:rPr>
          <w:rFonts w:ascii="宋体" w:hAnsi="宋体" w:eastAsia="宋体" w:cs="宋体"/>
          <w:b/>
          <w:bCs/>
          <w:spacing w:val="5"/>
          <w:sz w:val="20"/>
          <w:szCs w:val="20"/>
        </w:rPr>
        <w:t>标准</w:t>
      </w:r>
      <w:r>
        <w:rPr>
          <w:rFonts w:ascii="宋体" w:hAnsi="宋体" w:eastAsia="宋体" w:cs="宋体"/>
          <w:spacing w:val="5"/>
          <w:sz w:val="20"/>
          <w:szCs w:val="20"/>
        </w:rPr>
        <w:t xml:space="preserve">    </w:t>
      </w:r>
      <w:r>
        <w:rPr>
          <w:rFonts w:ascii="Times New Roman" w:hAnsi="Times New Roman" w:eastAsia="Times New Roman" w:cs="Times New Roman"/>
          <w:b/>
          <w:bCs/>
          <w:sz w:val="20"/>
          <w:szCs w:val="20"/>
        </w:rPr>
        <w:t>dB</w:t>
      </w:r>
      <w:r>
        <w:rPr>
          <w:rFonts w:ascii="Times New Roman" w:hAnsi="Times New Roman" w:eastAsia="Times New Roman" w:cs="Times New Roman"/>
          <w:b/>
          <w:bCs/>
          <w:spacing w:val="5"/>
          <w:sz w:val="20"/>
          <w:szCs w:val="20"/>
        </w:rPr>
        <w:t>(A)</w:t>
      </w:r>
    </w:p>
    <w:p w14:paraId="13E8E789">
      <w:pPr>
        <w:spacing w:line="104" w:lineRule="exact"/>
      </w:pPr>
    </w:p>
    <w:tbl>
      <w:tblPr>
        <w:tblStyle w:val="5"/>
        <w:tblW w:w="928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643"/>
        <w:gridCol w:w="4644"/>
      </w:tblGrid>
      <w:tr w14:paraId="233285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trPr>
        <w:tc>
          <w:tcPr>
            <w:tcW w:w="4643" w:type="dxa"/>
            <w:tcBorders>
              <w:top w:val="single" w:color="000000" w:sz="10" w:space="0"/>
              <w:left w:val="nil"/>
            </w:tcBorders>
            <w:vAlign w:val="top"/>
          </w:tcPr>
          <w:p w14:paraId="0D4E874D">
            <w:pPr>
              <w:pStyle w:val="6"/>
              <w:spacing w:before="53" w:line="225" w:lineRule="auto"/>
              <w:ind w:left="2118"/>
              <w:rPr>
                <w:sz w:val="20"/>
                <w:szCs w:val="20"/>
              </w:rPr>
            </w:pPr>
            <w:r>
              <w:rPr>
                <w:spacing w:val="5"/>
                <w:sz w:val="20"/>
                <w:szCs w:val="20"/>
              </w:rPr>
              <w:t>昼间</w:t>
            </w:r>
          </w:p>
        </w:tc>
        <w:tc>
          <w:tcPr>
            <w:tcW w:w="4644" w:type="dxa"/>
            <w:tcBorders>
              <w:top w:val="single" w:color="000000" w:sz="10" w:space="0"/>
              <w:right w:val="nil"/>
            </w:tcBorders>
            <w:vAlign w:val="top"/>
          </w:tcPr>
          <w:p w14:paraId="6DC255E1">
            <w:pPr>
              <w:pStyle w:val="6"/>
              <w:spacing w:before="53" w:line="225" w:lineRule="auto"/>
              <w:ind w:left="2120"/>
              <w:rPr>
                <w:sz w:val="20"/>
                <w:szCs w:val="20"/>
              </w:rPr>
            </w:pPr>
            <w:r>
              <w:rPr>
                <w:spacing w:val="3"/>
                <w:sz w:val="20"/>
                <w:szCs w:val="20"/>
              </w:rPr>
              <w:t>夜间</w:t>
            </w:r>
          </w:p>
        </w:tc>
      </w:tr>
      <w:tr w14:paraId="31D4EC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4643" w:type="dxa"/>
            <w:tcBorders>
              <w:left w:val="nil"/>
              <w:bottom w:val="single" w:color="000000" w:sz="10" w:space="0"/>
            </w:tcBorders>
            <w:vAlign w:val="top"/>
          </w:tcPr>
          <w:p w14:paraId="2C193D6D">
            <w:pPr>
              <w:spacing w:before="108" w:line="195" w:lineRule="auto"/>
              <w:ind w:left="222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4644" w:type="dxa"/>
            <w:tcBorders>
              <w:bottom w:val="single" w:color="000000" w:sz="10" w:space="0"/>
              <w:right w:val="nil"/>
            </w:tcBorders>
            <w:vAlign w:val="top"/>
          </w:tcPr>
          <w:p w14:paraId="0BC6F568">
            <w:pPr>
              <w:spacing w:before="111" w:line="192" w:lineRule="auto"/>
              <w:ind w:left="2225"/>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r>
    </w:tbl>
    <w:p w14:paraId="5A02BF01">
      <w:pPr>
        <w:spacing w:before="120" w:line="220" w:lineRule="auto"/>
        <w:ind w:left="113"/>
        <w:outlineLvl w:val="3"/>
        <w:rPr>
          <w:rFonts w:ascii="宋体" w:hAnsi="宋体" w:eastAsia="宋体" w:cs="宋体"/>
          <w:sz w:val="24"/>
          <w:szCs w:val="24"/>
        </w:rPr>
      </w:pPr>
      <w:r>
        <w:fldChar w:fldCharType="begin"/>
      </w:r>
      <w:r>
        <w:instrText xml:space="preserve"> HYPERLINK "4.7.3.2" </w:instrText>
      </w:r>
      <w:r>
        <w:fldChar w:fldCharType="separate"/>
      </w:r>
      <w:r>
        <w:rPr>
          <w:rFonts w:ascii="Times New Roman" w:hAnsi="Times New Roman" w:eastAsia="Times New Roman" w:cs="Times New Roman"/>
          <w:b/>
          <w:bCs/>
          <w:spacing w:val="-2"/>
          <w:sz w:val="24"/>
          <w:szCs w:val="24"/>
        </w:rPr>
        <w:t>4.7.3.2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施工期声环境影响分析</w:t>
      </w:r>
    </w:p>
    <w:p w14:paraId="19CB2E0B">
      <w:pPr>
        <w:spacing w:before="192" w:line="363" w:lineRule="auto"/>
        <w:ind w:left="117" w:right="109" w:firstLine="478"/>
        <w:jc w:val="both"/>
        <w:rPr>
          <w:rFonts w:ascii="宋体" w:hAnsi="宋体" w:eastAsia="宋体" w:cs="宋体"/>
          <w:sz w:val="24"/>
          <w:szCs w:val="24"/>
        </w:rPr>
      </w:pPr>
      <w:r>
        <w:rPr>
          <w:rFonts w:ascii="宋体" w:hAnsi="宋体" w:eastAsia="宋体" w:cs="宋体"/>
          <w:spacing w:val="-2"/>
          <w:sz w:val="24"/>
          <w:szCs w:val="24"/>
        </w:rPr>
        <w:t>施工期分不同的施工阶段，不同的施工阶段使用的机械也不同，即使在同一施工阶</w:t>
      </w:r>
      <w:r>
        <w:rPr>
          <w:rFonts w:ascii="宋体" w:hAnsi="宋体" w:eastAsia="宋体" w:cs="宋体"/>
          <w:spacing w:val="14"/>
          <w:sz w:val="24"/>
          <w:szCs w:val="24"/>
        </w:rPr>
        <w:t xml:space="preserve"> </w:t>
      </w:r>
      <w:r>
        <w:rPr>
          <w:rFonts w:ascii="宋体" w:hAnsi="宋体" w:eastAsia="宋体" w:cs="宋体"/>
          <w:spacing w:val="-2"/>
          <w:sz w:val="24"/>
          <w:szCs w:val="24"/>
        </w:rPr>
        <w:t>段，几台同一型号的机械有时同时使用，有时单独使用，且在厂界内随时移动，因此施</w:t>
      </w:r>
      <w:r>
        <w:rPr>
          <w:rFonts w:ascii="宋体" w:hAnsi="宋体" w:eastAsia="宋体" w:cs="宋体"/>
          <w:spacing w:val="16"/>
          <w:sz w:val="24"/>
          <w:szCs w:val="24"/>
        </w:rPr>
        <w:t xml:space="preserve"> </w:t>
      </w:r>
      <w:r>
        <w:rPr>
          <w:rFonts w:ascii="宋体" w:hAnsi="宋体" w:eastAsia="宋体" w:cs="宋体"/>
          <w:spacing w:val="-2"/>
          <w:sz w:val="24"/>
          <w:szCs w:val="24"/>
        </w:rPr>
        <w:t>工期具有噪声强度大、噪声源数量增减频率大和噪声源位置不固定的特点。为说明施工</w:t>
      </w:r>
      <w:r>
        <w:rPr>
          <w:rFonts w:ascii="宋体" w:hAnsi="宋体" w:eastAsia="宋体" w:cs="宋体"/>
          <w:spacing w:val="16"/>
          <w:sz w:val="24"/>
          <w:szCs w:val="24"/>
        </w:rPr>
        <w:t xml:space="preserve"> </w:t>
      </w:r>
      <w:r>
        <w:rPr>
          <w:rFonts w:ascii="宋体" w:hAnsi="宋体" w:eastAsia="宋体" w:cs="宋体"/>
          <w:spacing w:val="-2"/>
          <w:sz w:val="24"/>
          <w:szCs w:val="24"/>
        </w:rPr>
        <w:t>期噪声对声环境的影响，本次评价以单台施工机械单独作业为基点，计算其对距声源不</w:t>
      </w:r>
      <w:r>
        <w:rPr>
          <w:rFonts w:ascii="宋体" w:hAnsi="宋体" w:eastAsia="宋体" w:cs="宋体"/>
          <w:spacing w:val="16"/>
          <w:sz w:val="24"/>
          <w:szCs w:val="24"/>
        </w:rPr>
        <w:t xml:space="preserve"> </w:t>
      </w:r>
      <w:r>
        <w:rPr>
          <w:rFonts w:ascii="宋体" w:hAnsi="宋体" w:eastAsia="宋体" w:cs="宋体"/>
          <w:spacing w:val="-1"/>
          <w:sz w:val="24"/>
          <w:szCs w:val="24"/>
        </w:rPr>
        <w:t>同距离处的噪声贡献值，从而确定其影响范围。计算结果见表</w:t>
      </w:r>
      <w:r>
        <w:rPr>
          <w:rFonts w:ascii="宋体" w:hAnsi="宋体" w:eastAsia="宋体" w:cs="宋体"/>
          <w:spacing w:val="-40"/>
          <w:sz w:val="24"/>
          <w:szCs w:val="24"/>
        </w:rPr>
        <w:t xml:space="preserve"> </w:t>
      </w:r>
      <w:r>
        <w:rPr>
          <w:rFonts w:ascii="Times New Roman" w:hAnsi="Times New Roman" w:eastAsia="Times New Roman" w:cs="Times New Roman"/>
          <w:spacing w:val="-1"/>
          <w:sz w:val="24"/>
          <w:szCs w:val="24"/>
        </w:rPr>
        <w:t>4.7-6</w:t>
      </w:r>
      <w:r>
        <w:rPr>
          <w:rFonts w:ascii="宋体" w:hAnsi="宋体" w:eastAsia="宋体" w:cs="宋体"/>
          <w:spacing w:val="-1"/>
          <w:sz w:val="24"/>
          <w:szCs w:val="24"/>
        </w:rPr>
        <w:t>。</w:t>
      </w:r>
    </w:p>
    <w:p w14:paraId="48AB59D8">
      <w:pPr>
        <w:spacing w:before="47" w:line="221" w:lineRule="auto"/>
        <w:ind w:left="2024"/>
        <w:rPr>
          <w:rFonts w:ascii="Times New Roman" w:hAnsi="Times New Roman" w:eastAsia="Times New Roman" w:cs="Times New Roman"/>
          <w:sz w:val="20"/>
          <w:szCs w:val="20"/>
        </w:rPr>
      </w:pPr>
      <w:r>
        <w:rPr>
          <w:rFonts w:ascii="宋体" w:hAnsi="宋体" w:eastAsia="宋体" w:cs="宋体"/>
          <w:b/>
          <w:bCs/>
          <w:spacing w:val="6"/>
          <w:sz w:val="20"/>
          <w:szCs w:val="20"/>
        </w:rPr>
        <w:t>表</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4.7-6        </w:t>
      </w:r>
      <w:r>
        <w:rPr>
          <w:rFonts w:ascii="宋体" w:hAnsi="宋体" w:eastAsia="宋体" w:cs="宋体"/>
          <w:b/>
          <w:bCs/>
          <w:spacing w:val="6"/>
          <w:sz w:val="20"/>
          <w:szCs w:val="20"/>
        </w:rPr>
        <w:t>距声源不同距离处的噪声值</w:t>
      </w:r>
      <w:r>
        <w:rPr>
          <w:rFonts w:ascii="宋体" w:hAnsi="宋体" w:eastAsia="宋体" w:cs="宋体"/>
          <w:spacing w:val="6"/>
          <w:sz w:val="20"/>
          <w:szCs w:val="20"/>
        </w:rPr>
        <w:t xml:space="preserve">    </w:t>
      </w:r>
      <w:r>
        <w:rPr>
          <w:rFonts w:ascii="宋体" w:hAnsi="宋体" w:eastAsia="宋体" w:cs="宋体"/>
          <w:b/>
          <w:bCs/>
          <w:spacing w:val="5"/>
          <w:sz w:val="20"/>
          <w:szCs w:val="20"/>
        </w:rPr>
        <w:t>单位：</w:t>
      </w:r>
      <w:r>
        <w:rPr>
          <w:rFonts w:ascii="Times New Roman" w:hAnsi="Times New Roman" w:eastAsia="Times New Roman" w:cs="Times New Roman"/>
          <w:b/>
          <w:bCs/>
          <w:sz w:val="20"/>
          <w:szCs w:val="20"/>
        </w:rPr>
        <w:t>dB</w:t>
      </w:r>
      <w:r>
        <w:rPr>
          <w:rFonts w:ascii="Times New Roman" w:hAnsi="Times New Roman" w:eastAsia="Times New Roman" w:cs="Times New Roman"/>
          <w:b/>
          <w:bCs/>
          <w:spacing w:val="5"/>
          <w:sz w:val="20"/>
          <w:szCs w:val="20"/>
        </w:rPr>
        <w:t>(A)</w:t>
      </w:r>
    </w:p>
    <w:p w14:paraId="0AB61D82">
      <w:pPr>
        <w:spacing w:line="106" w:lineRule="exact"/>
      </w:pPr>
    </w:p>
    <w:tbl>
      <w:tblPr>
        <w:tblStyle w:val="5"/>
        <w:tblW w:w="928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35"/>
        <w:gridCol w:w="848"/>
        <w:gridCol w:w="850"/>
        <w:gridCol w:w="851"/>
        <w:gridCol w:w="851"/>
        <w:gridCol w:w="851"/>
        <w:gridCol w:w="948"/>
        <w:gridCol w:w="948"/>
        <w:gridCol w:w="948"/>
        <w:gridCol w:w="955"/>
      </w:tblGrid>
      <w:tr w14:paraId="4BE971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35" w:type="dxa"/>
            <w:vMerge w:val="restart"/>
            <w:tcBorders>
              <w:top w:val="single" w:color="000000" w:sz="10" w:space="0"/>
              <w:left w:val="nil"/>
              <w:bottom w:val="nil"/>
            </w:tcBorders>
            <w:vAlign w:val="top"/>
          </w:tcPr>
          <w:p w14:paraId="0BF37059">
            <w:pPr>
              <w:pStyle w:val="6"/>
              <w:spacing w:before="225" w:line="228" w:lineRule="auto"/>
              <w:ind w:left="209"/>
              <w:rPr>
                <w:sz w:val="20"/>
                <w:szCs w:val="20"/>
              </w:rPr>
            </w:pPr>
            <w:r>
              <w:rPr>
                <w:spacing w:val="6"/>
                <w:sz w:val="20"/>
                <w:szCs w:val="20"/>
              </w:rPr>
              <w:t>声源名称</w:t>
            </w:r>
          </w:p>
        </w:tc>
        <w:tc>
          <w:tcPr>
            <w:tcW w:w="848" w:type="dxa"/>
            <w:vMerge w:val="restart"/>
            <w:tcBorders>
              <w:top w:val="single" w:color="000000" w:sz="10" w:space="0"/>
              <w:bottom w:val="nil"/>
            </w:tcBorders>
            <w:vAlign w:val="top"/>
          </w:tcPr>
          <w:p w14:paraId="4E199433">
            <w:pPr>
              <w:pStyle w:val="6"/>
              <w:spacing w:before="89" w:line="239" w:lineRule="auto"/>
              <w:ind w:left="225" w:right="212" w:firstLine="4"/>
              <w:rPr>
                <w:sz w:val="20"/>
                <w:szCs w:val="20"/>
              </w:rPr>
            </w:pPr>
            <w:r>
              <w:rPr>
                <w:spacing w:val="-1"/>
                <w:sz w:val="20"/>
                <w:szCs w:val="20"/>
              </w:rPr>
              <w:t>噪声</w:t>
            </w:r>
            <w:r>
              <w:rPr>
                <w:sz w:val="20"/>
                <w:szCs w:val="20"/>
              </w:rPr>
              <w:t xml:space="preserve"> </w:t>
            </w:r>
            <w:r>
              <w:rPr>
                <w:spacing w:val="2"/>
                <w:sz w:val="20"/>
                <w:szCs w:val="20"/>
              </w:rPr>
              <w:t>强度</w:t>
            </w:r>
          </w:p>
        </w:tc>
        <w:tc>
          <w:tcPr>
            <w:tcW w:w="7202" w:type="dxa"/>
            <w:gridSpan w:val="8"/>
            <w:tcBorders>
              <w:top w:val="single" w:color="000000" w:sz="10" w:space="0"/>
              <w:right w:val="nil"/>
            </w:tcBorders>
            <w:vAlign w:val="top"/>
          </w:tcPr>
          <w:p w14:paraId="1B9115DE">
            <w:pPr>
              <w:pStyle w:val="6"/>
              <w:spacing w:before="55" w:line="221" w:lineRule="auto"/>
              <w:ind w:left="2047"/>
              <w:rPr>
                <w:rFonts w:ascii="Times New Roman" w:hAnsi="Times New Roman" w:eastAsia="Times New Roman" w:cs="Times New Roman"/>
                <w:sz w:val="20"/>
                <w:szCs w:val="20"/>
              </w:rPr>
            </w:pPr>
            <w:r>
              <w:rPr>
                <w:spacing w:val="8"/>
                <w:sz w:val="20"/>
                <w:szCs w:val="20"/>
              </w:rPr>
              <w:t>距声源不同距离处的噪声值</w:t>
            </w:r>
            <w:r>
              <w:rPr>
                <w:rFonts w:ascii="Times New Roman" w:hAnsi="Times New Roman" w:eastAsia="Times New Roman" w:cs="Times New Roman"/>
                <w:spacing w:val="8"/>
                <w:sz w:val="20"/>
                <w:szCs w:val="20"/>
              </w:rPr>
              <w:t>/</w:t>
            </w:r>
            <w:r>
              <w:rPr>
                <w:rFonts w:ascii="Times New Roman" w:hAnsi="Times New Roman" w:eastAsia="Times New Roman" w:cs="Times New Roman"/>
                <w:sz w:val="20"/>
                <w:szCs w:val="20"/>
              </w:rPr>
              <w:t>dB</w:t>
            </w:r>
            <w:r>
              <w:rPr>
                <w:rFonts w:ascii="Times New Roman" w:hAnsi="Times New Roman" w:eastAsia="Times New Roman" w:cs="Times New Roman"/>
                <w:spacing w:val="8"/>
                <w:sz w:val="20"/>
                <w:szCs w:val="20"/>
              </w:rPr>
              <w:t>(A)</w:t>
            </w:r>
          </w:p>
        </w:tc>
      </w:tr>
      <w:tr w14:paraId="001C83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35" w:type="dxa"/>
            <w:vMerge w:val="continue"/>
            <w:tcBorders>
              <w:top w:val="nil"/>
              <w:left w:val="nil"/>
            </w:tcBorders>
            <w:vAlign w:val="top"/>
          </w:tcPr>
          <w:p w14:paraId="23197387">
            <w:pPr>
              <w:rPr>
                <w:rFonts w:ascii="Arial"/>
                <w:sz w:val="21"/>
              </w:rPr>
            </w:pPr>
          </w:p>
        </w:tc>
        <w:tc>
          <w:tcPr>
            <w:tcW w:w="848" w:type="dxa"/>
            <w:vMerge w:val="continue"/>
            <w:tcBorders>
              <w:top w:val="nil"/>
            </w:tcBorders>
            <w:vAlign w:val="top"/>
          </w:tcPr>
          <w:p w14:paraId="4B76EE00">
            <w:pPr>
              <w:rPr>
                <w:rFonts w:ascii="Arial"/>
                <w:sz w:val="21"/>
              </w:rPr>
            </w:pPr>
          </w:p>
        </w:tc>
        <w:tc>
          <w:tcPr>
            <w:tcW w:w="850" w:type="dxa"/>
            <w:vAlign w:val="top"/>
          </w:tcPr>
          <w:p w14:paraId="44990701">
            <w:pPr>
              <w:spacing w:before="100" w:line="195" w:lineRule="auto"/>
              <w:ind w:left="24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20m</w:t>
            </w:r>
          </w:p>
        </w:tc>
        <w:tc>
          <w:tcPr>
            <w:tcW w:w="851" w:type="dxa"/>
            <w:vAlign w:val="top"/>
          </w:tcPr>
          <w:p w14:paraId="0BDF5B01">
            <w:pPr>
              <w:spacing w:before="100" w:line="195" w:lineRule="auto"/>
              <w:ind w:left="2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40m</w:t>
            </w:r>
          </w:p>
        </w:tc>
        <w:tc>
          <w:tcPr>
            <w:tcW w:w="851" w:type="dxa"/>
            <w:vAlign w:val="top"/>
          </w:tcPr>
          <w:p w14:paraId="75B05361">
            <w:pPr>
              <w:spacing w:before="100" w:line="195" w:lineRule="auto"/>
              <w:ind w:left="24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60m</w:t>
            </w:r>
          </w:p>
        </w:tc>
        <w:tc>
          <w:tcPr>
            <w:tcW w:w="851" w:type="dxa"/>
            <w:vAlign w:val="top"/>
          </w:tcPr>
          <w:p w14:paraId="33676680">
            <w:pPr>
              <w:spacing w:before="100" w:line="195" w:lineRule="auto"/>
              <w:ind w:left="25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80m</w:t>
            </w:r>
          </w:p>
        </w:tc>
        <w:tc>
          <w:tcPr>
            <w:tcW w:w="948" w:type="dxa"/>
            <w:vAlign w:val="top"/>
          </w:tcPr>
          <w:p w14:paraId="3F83DABC">
            <w:pPr>
              <w:spacing w:before="100" w:line="195" w:lineRule="auto"/>
              <w:ind w:left="25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100m</w:t>
            </w:r>
          </w:p>
        </w:tc>
        <w:tc>
          <w:tcPr>
            <w:tcW w:w="948" w:type="dxa"/>
            <w:vAlign w:val="top"/>
          </w:tcPr>
          <w:p w14:paraId="0244CE19">
            <w:pPr>
              <w:spacing w:before="100" w:line="195" w:lineRule="auto"/>
              <w:ind w:left="23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200m</w:t>
            </w:r>
          </w:p>
        </w:tc>
        <w:tc>
          <w:tcPr>
            <w:tcW w:w="948" w:type="dxa"/>
            <w:vAlign w:val="top"/>
          </w:tcPr>
          <w:p w14:paraId="309DBF57">
            <w:pPr>
              <w:spacing w:before="100" w:line="195" w:lineRule="auto"/>
              <w:ind w:left="24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300m</w:t>
            </w:r>
          </w:p>
        </w:tc>
        <w:tc>
          <w:tcPr>
            <w:tcW w:w="955" w:type="dxa"/>
            <w:tcBorders>
              <w:right w:val="nil"/>
            </w:tcBorders>
            <w:vAlign w:val="top"/>
          </w:tcPr>
          <w:p w14:paraId="7ED95E98">
            <w:pPr>
              <w:spacing w:before="100" w:line="195" w:lineRule="auto"/>
              <w:ind w:left="24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500m</w:t>
            </w:r>
          </w:p>
        </w:tc>
      </w:tr>
      <w:tr w14:paraId="411E90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35" w:type="dxa"/>
            <w:tcBorders>
              <w:left w:val="nil"/>
            </w:tcBorders>
            <w:vAlign w:val="top"/>
          </w:tcPr>
          <w:p w14:paraId="79D45DFD">
            <w:pPr>
              <w:pStyle w:val="6"/>
              <w:spacing w:before="64" w:line="227" w:lineRule="auto"/>
              <w:ind w:left="317"/>
              <w:rPr>
                <w:sz w:val="20"/>
                <w:szCs w:val="20"/>
              </w:rPr>
            </w:pPr>
            <w:r>
              <w:rPr>
                <w:spacing w:val="4"/>
                <w:sz w:val="20"/>
                <w:szCs w:val="20"/>
              </w:rPr>
              <w:t>空压机</w:t>
            </w:r>
          </w:p>
        </w:tc>
        <w:tc>
          <w:tcPr>
            <w:tcW w:w="848" w:type="dxa"/>
            <w:vAlign w:val="top"/>
          </w:tcPr>
          <w:p w14:paraId="3EC01221">
            <w:pPr>
              <w:spacing w:before="100" w:line="195" w:lineRule="auto"/>
              <w:ind w:left="292"/>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110</w:t>
            </w:r>
          </w:p>
        </w:tc>
        <w:tc>
          <w:tcPr>
            <w:tcW w:w="850" w:type="dxa"/>
            <w:vAlign w:val="top"/>
          </w:tcPr>
          <w:p w14:paraId="61FD7E8F">
            <w:pPr>
              <w:spacing w:before="100"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84</w:t>
            </w:r>
          </w:p>
        </w:tc>
        <w:tc>
          <w:tcPr>
            <w:tcW w:w="851" w:type="dxa"/>
            <w:vAlign w:val="top"/>
          </w:tcPr>
          <w:p w14:paraId="57ED5443">
            <w:pPr>
              <w:spacing w:before="100" w:line="195" w:lineRule="auto"/>
              <w:ind w:left="32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78</w:t>
            </w:r>
          </w:p>
        </w:tc>
        <w:tc>
          <w:tcPr>
            <w:tcW w:w="851" w:type="dxa"/>
            <w:vAlign w:val="top"/>
          </w:tcPr>
          <w:p w14:paraId="102819A3">
            <w:pPr>
              <w:spacing w:before="100" w:line="195" w:lineRule="auto"/>
              <w:ind w:left="32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74</w:t>
            </w:r>
          </w:p>
        </w:tc>
        <w:tc>
          <w:tcPr>
            <w:tcW w:w="851" w:type="dxa"/>
            <w:vAlign w:val="top"/>
          </w:tcPr>
          <w:p w14:paraId="56BB094F">
            <w:pPr>
              <w:spacing w:before="100" w:line="195" w:lineRule="auto"/>
              <w:ind w:left="32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72</w:t>
            </w:r>
          </w:p>
        </w:tc>
        <w:tc>
          <w:tcPr>
            <w:tcW w:w="948" w:type="dxa"/>
            <w:vAlign w:val="top"/>
          </w:tcPr>
          <w:p w14:paraId="435BD097">
            <w:pPr>
              <w:spacing w:before="100" w:line="195" w:lineRule="auto"/>
              <w:ind w:left="37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948" w:type="dxa"/>
            <w:vAlign w:val="top"/>
          </w:tcPr>
          <w:p w14:paraId="0670C41F">
            <w:pPr>
              <w:spacing w:before="100" w:line="195" w:lineRule="auto"/>
              <w:ind w:left="376"/>
              <w:rPr>
                <w:rFonts w:ascii="Times New Roman" w:hAnsi="Times New Roman" w:eastAsia="Times New Roman" w:cs="Times New Roman"/>
                <w:sz w:val="20"/>
                <w:szCs w:val="20"/>
              </w:rPr>
            </w:pPr>
            <w:r>
              <w:rPr>
                <w:rFonts w:ascii="Times New Roman" w:hAnsi="Times New Roman" w:eastAsia="Times New Roman" w:cs="Times New Roman"/>
                <w:sz w:val="20"/>
                <w:szCs w:val="20"/>
              </w:rPr>
              <w:t>64</w:t>
            </w:r>
          </w:p>
        </w:tc>
        <w:tc>
          <w:tcPr>
            <w:tcW w:w="948" w:type="dxa"/>
            <w:vAlign w:val="top"/>
          </w:tcPr>
          <w:p w14:paraId="1ED3A6EE">
            <w:pPr>
              <w:spacing w:before="100" w:line="195" w:lineRule="auto"/>
              <w:ind w:left="376"/>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955" w:type="dxa"/>
            <w:tcBorders>
              <w:right w:val="nil"/>
            </w:tcBorders>
            <w:vAlign w:val="top"/>
          </w:tcPr>
          <w:p w14:paraId="5D47B21C">
            <w:pPr>
              <w:spacing w:before="100" w:line="195" w:lineRule="auto"/>
              <w:ind w:left="380"/>
              <w:rPr>
                <w:rFonts w:ascii="Times New Roman" w:hAnsi="Times New Roman" w:eastAsia="Times New Roman" w:cs="Times New Roman"/>
                <w:sz w:val="20"/>
                <w:szCs w:val="20"/>
              </w:rPr>
            </w:pPr>
            <w:r>
              <w:rPr>
                <w:rFonts w:ascii="Times New Roman" w:hAnsi="Times New Roman" w:eastAsia="Times New Roman" w:cs="Times New Roman"/>
                <w:sz w:val="20"/>
                <w:szCs w:val="20"/>
              </w:rPr>
              <w:t>56</w:t>
            </w:r>
          </w:p>
        </w:tc>
      </w:tr>
      <w:tr w14:paraId="3EDD47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35" w:type="dxa"/>
            <w:tcBorders>
              <w:left w:val="nil"/>
            </w:tcBorders>
            <w:vAlign w:val="top"/>
          </w:tcPr>
          <w:p w14:paraId="5BF135A9">
            <w:pPr>
              <w:pStyle w:val="6"/>
              <w:spacing w:before="67" w:line="227" w:lineRule="auto"/>
              <w:ind w:left="310"/>
              <w:rPr>
                <w:sz w:val="20"/>
                <w:szCs w:val="20"/>
              </w:rPr>
            </w:pPr>
            <w:r>
              <w:rPr>
                <w:spacing w:val="7"/>
                <w:sz w:val="20"/>
                <w:szCs w:val="20"/>
              </w:rPr>
              <w:t>挖掘机</w:t>
            </w:r>
          </w:p>
        </w:tc>
        <w:tc>
          <w:tcPr>
            <w:tcW w:w="848" w:type="dxa"/>
            <w:vAlign w:val="top"/>
          </w:tcPr>
          <w:p w14:paraId="1C2C7F5C">
            <w:pPr>
              <w:spacing w:before="103" w:line="195" w:lineRule="auto"/>
              <w:ind w:left="32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83</w:t>
            </w:r>
          </w:p>
        </w:tc>
        <w:tc>
          <w:tcPr>
            <w:tcW w:w="850" w:type="dxa"/>
            <w:vAlign w:val="top"/>
          </w:tcPr>
          <w:p w14:paraId="250A710F">
            <w:pPr>
              <w:spacing w:before="106" w:line="192"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57</w:t>
            </w:r>
          </w:p>
        </w:tc>
        <w:tc>
          <w:tcPr>
            <w:tcW w:w="851" w:type="dxa"/>
            <w:vAlign w:val="top"/>
          </w:tcPr>
          <w:p w14:paraId="192BDC75">
            <w:pPr>
              <w:spacing w:before="103" w:line="195" w:lineRule="auto"/>
              <w:ind w:left="329"/>
              <w:rPr>
                <w:rFonts w:ascii="Times New Roman" w:hAnsi="Times New Roman" w:eastAsia="Times New Roman" w:cs="Times New Roman"/>
                <w:sz w:val="20"/>
                <w:szCs w:val="20"/>
              </w:rPr>
            </w:pPr>
            <w:r>
              <w:rPr>
                <w:rFonts w:ascii="Times New Roman" w:hAnsi="Times New Roman" w:eastAsia="Times New Roman" w:cs="Times New Roman"/>
                <w:sz w:val="20"/>
                <w:szCs w:val="20"/>
              </w:rPr>
              <w:t>51</w:t>
            </w:r>
          </w:p>
        </w:tc>
        <w:tc>
          <w:tcPr>
            <w:tcW w:w="851" w:type="dxa"/>
            <w:vAlign w:val="top"/>
          </w:tcPr>
          <w:p w14:paraId="1A251A4A">
            <w:pPr>
              <w:spacing w:before="103" w:line="195" w:lineRule="auto"/>
              <w:ind w:left="3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w:t>
            </w:r>
          </w:p>
        </w:tc>
        <w:tc>
          <w:tcPr>
            <w:tcW w:w="851" w:type="dxa"/>
            <w:vAlign w:val="top"/>
          </w:tcPr>
          <w:p w14:paraId="5D9D6CF2">
            <w:pPr>
              <w:spacing w:before="103"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948" w:type="dxa"/>
            <w:vAlign w:val="top"/>
          </w:tcPr>
          <w:p w14:paraId="68647586">
            <w:pPr>
              <w:spacing w:before="103"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w:t>
            </w:r>
          </w:p>
        </w:tc>
        <w:tc>
          <w:tcPr>
            <w:tcW w:w="948" w:type="dxa"/>
            <w:vAlign w:val="top"/>
          </w:tcPr>
          <w:p w14:paraId="4A8AE736">
            <w:pPr>
              <w:spacing w:before="103" w:line="195" w:lineRule="auto"/>
              <w:ind w:left="376"/>
              <w:rPr>
                <w:rFonts w:ascii="Times New Roman" w:hAnsi="Times New Roman" w:eastAsia="Times New Roman" w:cs="Times New Roman"/>
                <w:sz w:val="20"/>
                <w:szCs w:val="20"/>
              </w:rPr>
            </w:pPr>
            <w:r>
              <w:rPr>
                <w:rFonts w:ascii="Times New Roman" w:hAnsi="Times New Roman" w:eastAsia="Times New Roman" w:cs="Times New Roman"/>
                <w:sz w:val="20"/>
                <w:szCs w:val="20"/>
              </w:rPr>
              <w:t>37</w:t>
            </w:r>
          </w:p>
        </w:tc>
        <w:tc>
          <w:tcPr>
            <w:tcW w:w="948" w:type="dxa"/>
            <w:vAlign w:val="top"/>
          </w:tcPr>
          <w:p w14:paraId="2D79B44A">
            <w:pPr>
              <w:spacing w:before="191" w:line="97" w:lineRule="exact"/>
              <w:ind w:left="446"/>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55" w:type="dxa"/>
            <w:tcBorders>
              <w:right w:val="nil"/>
            </w:tcBorders>
            <w:vAlign w:val="top"/>
          </w:tcPr>
          <w:p w14:paraId="28188CB1">
            <w:pPr>
              <w:spacing w:before="191" w:line="97" w:lineRule="exact"/>
              <w:ind w:left="448"/>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r>
      <w:tr w14:paraId="79C599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35" w:type="dxa"/>
            <w:tcBorders>
              <w:left w:val="nil"/>
            </w:tcBorders>
            <w:vAlign w:val="top"/>
          </w:tcPr>
          <w:p w14:paraId="259747CC">
            <w:pPr>
              <w:pStyle w:val="6"/>
              <w:spacing w:before="67" w:line="227" w:lineRule="auto"/>
              <w:ind w:left="310"/>
              <w:rPr>
                <w:sz w:val="20"/>
                <w:szCs w:val="20"/>
              </w:rPr>
            </w:pPr>
            <w:r>
              <w:rPr>
                <w:spacing w:val="6"/>
                <w:sz w:val="20"/>
                <w:szCs w:val="20"/>
              </w:rPr>
              <w:t>推土机</w:t>
            </w:r>
          </w:p>
        </w:tc>
        <w:tc>
          <w:tcPr>
            <w:tcW w:w="848" w:type="dxa"/>
            <w:vAlign w:val="top"/>
          </w:tcPr>
          <w:p w14:paraId="0CF0F6F7">
            <w:pPr>
              <w:spacing w:before="106" w:line="195" w:lineRule="auto"/>
              <w:ind w:left="32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w:t>
            </w:r>
          </w:p>
        </w:tc>
        <w:tc>
          <w:tcPr>
            <w:tcW w:w="850" w:type="dxa"/>
            <w:vAlign w:val="top"/>
          </w:tcPr>
          <w:p w14:paraId="68FB0255">
            <w:pPr>
              <w:spacing w:before="106" w:line="195"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59</w:t>
            </w:r>
          </w:p>
        </w:tc>
        <w:tc>
          <w:tcPr>
            <w:tcW w:w="851" w:type="dxa"/>
            <w:vAlign w:val="top"/>
          </w:tcPr>
          <w:p w14:paraId="62EA1C9C">
            <w:pPr>
              <w:spacing w:before="106" w:line="195" w:lineRule="auto"/>
              <w:ind w:left="329"/>
              <w:rPr>
                <w:rFonts w:ascii="Times New Roman" w:hAnsi="Times New Roman" w:eastAsia="Times New Roman" w:cs="Times New Roman"/>
                <w:sz w:val="20"/>
                <w:szCs w:val="20"/>
              </w:rPr>
            </w:pPr>
            <w:r>
              <w:rPr>
                <w:rFonts w:ascii="Times New Roman" w:hAnsi="Times New Roman" w:eastAsia="Times New Roman" w:cs="Times New Roman"/>
                <w:sz w:val="20"/>
                <w:szCs w:val="20"/>
              </w:rPr>
              <w:t>53</w:t>
            </w:r>
          </w:p>
        </w:tc>
        <w:tc>
          <w:tcPr>
            <w:tcW w:w="851" w:type="dxa"/>
            <w:vAlign w:val="top"/>
          </w:tcPr>
          <w:p w14:paraId="4C2EEB83">
            <w:pPr>
              <w:spacing w:before="106" w:line="195" w:lineRule="auto"/>
              <w:ind w:left="3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w:t>
            </w:r>
          </w:p>
        </w:tc>
        <w:tc>
          <w:tcPr>
            <w:tcW w:w="851" w:type="dxa"/>
            <w:vAlign w:val="top"/>
          </w:tcPr>
          <w:p w14:paraId="554C9847">
            <w:pPr>
              <w:spacing w:before="106"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w:t>
            </w:r>
          </w:p>
        </w:tc>
        <w:tc>
          <w:tcPr>
            <w:tcW w:w="948" w:type="dxa"/>
            <w:vAlign w:val="top"/>
          </w:tcPr>
          <w:p w14:paraId="6DDB08AE">
            <w:pPr>
              <w:spacing w:before="106"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948" w:type="dxa"/>
            <w:vAlign w:val="top"/>
          </w:tcPr>
          <w:p w14:paraId="1A93787F">
            <w:pPr>
              <w:spacing w:before="106" w:line="195" w:lineRule="auto"/>
              <w:ind w:left="376"/>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948" w:type="dxa"/>
            <w:vAlign w:val="top"/>
          </w:tcPr>
          <w:p w14:paraId="3124D417">
            <w:pPr>
              <w:spacing w:before="194" w:line="97" w:lineRule="exact"/>
              <w:ind w:left="446"/>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55" w:type="dxa"/>
            <w:tcBorders>
              <w:right w:val="nil"/>
            </w:tcBorders>
            <w:vAlign w:val="top"/>
          </w:tcPr>
          <w:p w14:paraId="38711090">
            <w:pPr>
              <w:spacing w:before="194" w:line="97" w:lineRule="exact"/>
              <w:ind w:left="448"/>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r>
      <w:tr w14:paraId="47DFDE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35" w:type="dxa"/>
            <w:tcBorders>
              <w:left w:val="nil"/>
            </w:tcBorders>
            <w:vAlign w:val="top"/>
          </w:tcPr>
          <w:p w14:paraId="280ABCDE">
            <w:pPr>
              <w:pStyle w:val="6"/>
              <w:spacing w:before="70" w:line="227" w:lineRule="auto"/>
              <w:ind w:left="310"/>
              <w:rPr>
                <w:sz w:val="20"/>
                <w:szCs w:val="20"/>
              </w:rPr>
            </w:pPr>
            <w:r>
              <w:rPr>
                <w:spacing w:val="6"/>
                <w:sz w:val="20"/>
                <w:szCs w:val="20"/>
              </w:rPr>
              <w:t>装载机</w:t>
            </w:r>
          </w:p>
        </w:tc>
        <w:tc>
          <w:tcPr>
            <w:tcW w:w="848" w:type="dxa"/>
            <w:vAlign w:val="top"/>
          </w:tcPr>
          <w:p w14:paraId="42C7BA04">
            <w:pPr>
              <w:spacing w:before="106" w:line="195" w:lineRule="auto"/>
              <w:ind w:left="32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w:t>
            </w:r>
          </w:p>
        </w:tc>
        <w:tc>
          <w:tcPr>
            <w:tcW w:w="850" w:type="dxa"/>
            <w:vAlign w:val="top"/>
          </w:tcPr>
          <w:p w14:paraId="20628651">
            <w:pPr>
              <w:spacing w:before="106" w:line="195"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59</w:t>
            </w:r>
          </w:p>
        </w:tc>
        <w:tc>
          <w:tcPr>
            <w:tcW w:w="851" w:type="dxa"/>
            <w:vAlign w:val="top"/>
          </w:tcPr>
          <w:p w14:paraId="7C7AC517">
            <w:pPr>
              <w:spacing w:before="106" w:line="195" w:lineRule="auto"/>
              <w:ind w:left="329"/>
              <w:rPr>
                <w:rFonts w:ascii="Times New Roman" w:hAnsi="Times New Roman" w:eastAsia="Times New Roman" w:cs="Times New Roman"/>
                <w:sz w:val="20"/>
                <w:szCs w:val="20"/>
              </w:rPr>
            </w:pPr>
            <w:r>
              <w:rPr>
                <w:rFonts w:ascii="Times New Roman" w:hAnsi="Times New Roman" w:eastAsia="Times New Roman" w:cs="Times New Roman"/>
                <w:sz w:val="20"/>
                <w:szCs w:val="20"/>
              </w:rPr>
              <w:t>53</w:t>
            </w:r>
          </w:p>
        </w:tc>
        <w:tc>
          <w:tcPr>
            <w:tcW w:w="851" w:type="dxa"/>
            <w:vAlign w:val="top"/>
          </w:tcPr>
          <w:p w14:paraId="67F17C88">
            <w:pPr>
              <w:spacing w:before="106" w:line="195" w:lineRule="auto"/>
              <w:ind w:left="3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w:t>
            </w:r>
          </w:p>
        </w:tc>
        <w:tc>
          <w:tcPr>
            <w:tcW w:w="851" w:type="dxa"/>
            <w:vAlign w:val="top"/>
          </w:tcPr>
          <w:p w14:paraId="7DEA7907">
            <w:pPr>
              <w:spacing w:before="106"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w:t>
            </w:r>
          </w:p>
        </w:tc>
        <w:tc>
          <w:tcPr>
            <w:tcW w:w="948" w:type="dxa"/>
            <w:vAlign w:val="top"/>
          </w:tcPr>
          <w:p w14:paraId="0DC4B9B0">
            <w:pPr>
              <w:spacing w:before="106"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948" w:type="dxa"/>
            <w:vAlign w:val="top"/>
          </w:tcPr>
          <w:p w14:paraId="7C1FC6A9">
            <w:pPr>
              <w:spacing w:before="106" w:line="195" w:lineRule="auto"/>
              <w:ind w:left="376"/>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948" w:type="dxa"/>
            <w:vAlign w:val="top"/>
          </w:tcPr>
          <w:p w14:paraId="3AD509F7">
            <w:pPr>
              <w:spacing w:before="194" w:line="97" w:lineRule="exact"/>
              <w:ind w:left="446"/>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55" w:type="dxa"/>
            <w:tcBorders>
              <w:right w:val="nil"/>
            </w:tcBorders>
            <w:vAlign w:val="top"/>
          </w:tcPr>
          <w:p w14:paraId="4605BF72">
            <w:pPr>
              <w:spacing w:before="194" w:line="97" w:lineRule="exact"/>
              <w:ind w:left="448"/>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r>
      <w:tr w14:paraId="7E87D7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35" w:type="dxa"/>
            <w:tcBorders>
              <w:left w:val="nil"/>
            </w:tcBorders>
            <w:vAlign w:val="top"/>
          </w:tcPr>
          <w:p w14:paraId="67CB1F7D">
            <w:pPr>
              <w:pStyle w:val="6"/>
              <w:spacing w:before="73" w:line="227" w:lineRule="auto"/>
              <w:ind w:left="312"/>
              <w:rPr>
                <w:sz w:val="20"/>
                <w:szCs w:val="20"/>
              </w:rPr>
            </w:pPr>
            <w:r>
              <w:rPr>
                <w:spacing w:val="6"/>
                <w:sz w:val="20"/>
                <w:szCs w:val="20"/>
              </w:rPr>
              <w:t>升降机</w:t>
            </w:r>
          </w:p>
        </w:tc>
        <w:tc>
          <w:tcPr>
            <w:tcW w:w="848" w:type="dxa"/>
            <w:vAlign w:val="top"/>
          </w:tcPr>
          <w:p w14:paraId="6721590C">
            <w:pPr>
              <w:spacing w:before="109" w:line="195" w:lineRule="auto"/>
              <w:ind w:left="32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72</w:t>
            </w:r>
          </w:p>
        </w:tc>
        <w:tc>
          <w:tcPr>
            <w:tcW w:w="850" w:type="dxa"/>
            <w:vAlign w:val="top"/>
          </w:tcPr>
          <w:p w14:paraId="59F23239">
            <w:pPr>
              <w:spacing w:before="109" w:line="195" w:lineRule="auto"/>
              <w:ind w:left="3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w:t>
            </w:r>
          </w:p>
        </w:tc>
        <w:tc>
          <w:tcPr>
            <w:tcW w:w="851" w:type="dxa"/>
            <w:vAlign w:val="top"/>
          </w:tcPr>
          <w:p w14:paraId="4433E68F">
            <w:pPr>
              <w:spacing w:before="109"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851" w:type="dxa"/>
            <w:vAlign w:val="top"/>
          </w:tcPr>
          <w:p w14:paraId="19CFE953">
            <w:pPr>
              <w:spacing w:before="109" w:line="195" w:lineRule="auto"/>
              <w:ind w:left="326"/>
              <w:rPr>
                <w:rFonts w:ascii="Times New Roman" w:hAnsi="Times New Roman" w:eastAsia="Times New Roman" w:cs="Times New Roman"/>
                <w:sz w:val="20"/>
                <w:szCs w:val="20"/>
              </w:rPr>
            </w:pPr>
            <w:r>
              <w:rPr>
                <w:rFonts w:ascii="Times New Roman" w:hAnsi="Times New Roman" w:eastAsia="Times New Roman" w:cs="Times New Roman"/>
                <w:sz w:val="20"/>
                <w:szCs w:val="20"/>
              </w:rPr>
              <w:t>36</w:t>
            </w:r>
          </w:p>
        </w:tc>
        <w:tc>
          <w:tcPr>
            <w:tcW w:w="851" w:type="dxa"/>
            <w:vAlign w:val="top"/>
          </w:tcPr>
          <w:p w14:paraId="60780B68">
            <w:pPr>
              <w:spacing w:before="197" w:line="97" w:lineRule="exact"/>
              <w:ind w:left="397"/>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48" w:type="dxa"/>
            <w:vAlign w:val="top"/>
          </w:tcPr>
          <w:p w14:paraId="6BB462DF">
            <w:pPr>
              <w:spacing w:before="197" w:line="97" w:lineRule="exact"/>
              <w:ind w:left="446"/>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48" w:type="dxa"/>
            <w:vAlign w:val="top"/>
          </w:tcPr>
          <w:p w14:paraId="0971FE01">
            <w:pPr>
              <w:spacing w:before="197" w:line="97" w:lineRule="exact"/>
              <w:ind w:left="446"/>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48" w:type="dxa"/>
            <w:vAlign w:val="top"/>
          </w:tcPr>
          <w:p w14:paraId="78CCCDEC">
            <w:pPr>
              <w:spacing w:before="197" w:line="97" w:lineRule="exact"/>
              <w:ind w:left="446"/>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55" w:type="dxa"/>
            <w:tcBorders>
              <w:right w:val="nil"/>
            </w:tcBorders>
            <w:vAlign w:val="top"/>
          </w:tcPr>
          <w:p w14:paraId="1F2CA582">
            <w:pPr>
              <w:spacing w:before="197" w:line="97" w:lineRule="exact"/>
              <w:ind w:left="448"/>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r>
      <w:tr w14:paraId="6345B6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35" w:type="dxa"/>
            <w:tcBorders>
              <w:left w:val="nil"/>
            </w:tcBorders>
            <w:vAlign w:val="top"/>
          </w:tcPr>
          <w:p w14:paraId="633F9EED">
            <w:pPr>
              <w:pStyle w:val="6"/>
              <w:spacing w:before="73" w:line="228" w:lineRule="auto"/>
              <w:ind w:left="206"/>
              <w:rPr>
                <w:sz w:val="20"/>
                <w:szCs w:val="20"/>
              </w:rPr>
            </w:pPr>
            <w:r>
              <w:rPr>
                <w:spacing w:val="7"/>
                <w:sz w:val="20"/>
                <w:szCs w:val="20"/>
              </w:rPr>
              <w:t>载重汽车</w:t>
            </w:r>
          </w:p>
        </w:tc>
        <w:tc>
          <w:tcPr>
            <w:tcW w:w="848" w:type="dxa"/>
            <w:vAlign w:val="top"/>
          </w:tcPr>
          <w:p w14:paraId="61897A39">
            <w:pPr>
              <w:spacing w:before="112" w:line="195" w:lineRule="auto"/>
              <w:ind w:left="32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83</w:t>
            </w:r>
          </w:p>
        </w:tc>
        <w:tc>
          <w:tcPr>
            <w:tcW w:w="850" w:type="dxa"/>
            <w:vAlign w:val="top"/>
          </w:tcPr>
          <w:p w14:paraId="5946A44B">
            <w:pPr>
              <w:spacing w:before="115" w:line="192"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57</w:t>
            </w:r>
          </w:p>
        </w:tc>
        <w:tc>
          <w:tcPr>
            <w:tcW w:w="851" w:type="dxa"/>
            <w:vAlign w:val="top"/>
          </w:tcPr>
          <w:p w14:paraId="25C823C6">
            <w:pPr>
              <w:spacing w:before="112" w:line="195" w:lineRule="auto"/>
              <w:ind w:left="329"/>
              <w:rPr>
                <w:rFonts w:ascii="Times New Roman" w:hAnsi="Times New Roman" w:eastAsia="Times New Roman" w:cs="Times New Roman"/>
                <w:sz w:val="20"/>
                <w:szCs w:val="20"/>
              </w:rPr>
            </w:pPr>
            <w:r>
              <w:rPr>
                <w:rFonts w:ascii="Times New Roman" w:hAnsi="Times New Roman" w:eastAsia="Times New Roman" w:cs="Times New Roman"/>
                <w:sz w:val="20"/>
                <w:szCs w:val="20"/>
              </w:rPr>
              <w:t>51</w:t>
            </w:r>
          </w:p>
        </w:tc>
        <w:tc>
          <w:tcPr>
            <w:tcW w:w="851" w:type="dxa"/>
            <w:vAlign w:val="top"/>
          </w:tcPr>
          <w:p w14:paraId="3EDBB860">
            <w:pPr>
              <w:spacing w:before="112" w:line="195" w:lineRule="auto"/>
              <w:ind w:left="3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w:t>
            </w:r>
          </w:p>
        </w:tc>
        <w:tc>
          <w:tcPr>
            <w:tcW w:w="851" w:type="dxa"/>
            <w:vAlign w:val="top"/>
          </w:tcPr>
          <w:p w14:paraId="693DD981">
            <w:pPr>
              <w:spacing w:before="112"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948" w:type="dxa"/>
            <w:vAlign w:val="top"/>
          </w:tcPr>
          <w:p w14:paraId="4B1065C8">
            <w:pPr>
              <w:spacing w:before="112"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43</w:t>
            </w:r>
          </w:p>
        </w:tc>
        <w:tc>
          <w:tcPr>
            <w:tcW w:w="948" w:type="dxa"/>
            <w:vAlign w:val="top"/>
          </w:tcPr>
          <w:p w14:paraId="54536EF9">
            <w:pPr>
              <w:spacing w:before="112" w:line="195" w:lineRule="auto"/>
              <w:ind w:left="376"/>
              <w:rPr>
                <w:rFonts w:ascii="Times New Roman" w:hAnsi="Times New Roman" w:eastAsia="Times New Roman" w:cs="Times New Roman"/>
                <w:sz w:val="20"/>
                <w:szCs w:val="20"/>
              </w:rPr>
            </w:pPr>
            <w:r>
              <w:rPr>
                <w:rFonts w:ascii="Times New Roman" w:hAnsi="Times New Roman" w:eastAsia="Times New Roman" w:cs="Times New Roman"/>
                <w:sz w:val="20"/>
                <w:szCs w:val="20"/>
              </w:rPr>
              <w:t>37</w:t>
            </w:r>
          </w:p>
        </w:tc>
        <w:tc>
          <w:tcPr>
            <w:tcW w:w="948" w:type="dxa"/>
            <w:vAlign w:val="top"/>
          </w:tcPr>
          <w:p w14:paraId="389916D2">
            <w:pPr>
              <w:spacing w:before="200" w:line="97" w:lineRule="exact"/>
              <w:ind w:left="446"/>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55" w:type="dxa"/>
            <w:tcBorders>
              <w:right w:val="nil"/>
            </w:tcBorders>
            <w:vAlign w:val="top"/>
          </w:tcPr>
          <w:p w14:paraId="1CDCB797">
            <w:pPr>
              <w:spacing w:before="200" w:line="97" w:lineRule="exact"/>
              <w:ind w:left="448"/>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r>
      <w:tr w14:paraId="4FA91D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35" w:type="dxa"/>
            <w:tcBorders>
              <w:left w:val="nil"/>
            </w:tcBorders>
            <w:vAlign w:val="top"/>
          </w:tcPr>
          <w:p w14:paraId="54F8143C">
            <w:pPr>
              <w:pStyle w:val="6"/>
              <w:spacing w:before="77" w:line="227" w:lineRule="auto"/>
              <w:ind w:left="438"/>
              <w:rPr>
                <w:sz w:val="20"/>
                <w:szCs w:val="20"/>
              </w:rPr>
            </w:pPr>
            <w:r>
              <w:rPr>
                <w:spacing w:val="-8"/>
                <w:sz w:val="20"/>
                <w:szCs w:val="20"/>
              </w:rPr>
              <w:t>电锯</w:t>
            </w:r>
          </w:p>
        </w:tc>
        <w:tc>
          <w:tcPr>
            <w:tcW w:w="848" w:type="dxa"/>
            <w:vAlign w:val="top"/>
          </w:tcPr>
          <w:p w14:paraId="65CA453E">
            <w:pPr>
              <w:spacing w:before="112" w:line="195" w:lineRule="auto"/>
              <w:ind w:left="324"/>
              <w:rPr>
                <w:rFonts w:ascii="Times New Roman" w:hAnsi="Times New Roman" w:eastAsia="Times New Roman" w:cs="Times New Roman"/>
                <w:sz w:val="20"/>
                <w:szCs w:val="20"/>
              </w:rPr>
            </w:pPr>
            <w:r>
              <w:rPr>
                <w:rFonts w:ascii="Times New Roman" w:hAnsi="Times New Roman" w:eastAsia="Times New Roman" w:cs="Times New Roman"/>
                <w:sz w:val="20"/>
                <w:szCs w:val="20"/>
              </w:rPr>
              <w:t>90</w:t>
            </w:r>
          </w:p>
        </w:tc>
        <w:tc>
          <w:tcPr>
            <w:tcW w:w="850" w:type="dxa"/>
            <w:vAlign w:val="top"/>
          </w:tcPr>
          <w:p w14:paraId="343851AE">
            <w:pPr>
              <w:spacing w:before="112" w:line="195" w:lineRule="auto"/>
              <w:ind w:left="326"/>
              <w:rPr>
                <w:rFonts w:ascii="Times New Roman" w:hAnsi="Times New Roman" w:eastAsia="Times New Roman" w:cs="Times New Roman"/>
                <w:sz w:val="20"/>
                <w:szCs w:val="20"/>
              </w:rPr>
            </w:pPr>
            <w:r>
              <w:rPr>
                <w:rFonts w:ascii="Times New Roman" w:hAnsi="Times New Roman" w:eastAsia="Times New Roman" w:cs="Times New Roman"/>
                <w:sz w:val="20"/>
                <w:szCs w:val="20"/>
              </w:rPr>
              <w:t>64</w:t>
            </w:r>
          </w:p>
        </w:tc>
        <w:tc>
          <w:tcPr>
            <w:tcW w:w="851" w:type="dxa"/>
            <w:vAlign w:val="top"/>
          </w:tcPr>
          <w:p w14:paraId="7F86F68A">
            <w:pPr>
              <w:spacing w:before="112" w:line="195" w:lineRule="auto"/>
              <w:ind w:left="329"/>
              <w:rPr>
                <w:rFonts w:ascii="Times New Roman" w:hAnsi="Times New Roman" w:eastAsia="Times New Roman" w:cs="Times New Roman"/>
                <w:sz w:val="20"/>
                <w:szCs w:val="20"/>
              </w:rPr>
            </w:pPr>
            <w:r>
              <w:rPr>
                <w:rFonts w:ascii="Times New Roman" w:hAnsi="Times New Roman" w:eastAsia="Times New Roman" w:cs="Times New Roman"/>
                <w:sz w:val="20"/>
                <w:szCs w:val="20"/>
              </w:rPr>
              <w:t>58</w:t>
            </w:r>
          </w:p>
        </w:tc>
        <w:tc>
          <w:tcPr>
            <w:tcW w:w="851" w:type="dxa"/>
            <w:vAlign w:val="top"/>
          </w:tcPr>
          <w:p w14:paraId="36CC4925">
            <w:pPr>
              <w:spacing w:before="112" w:line="195"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54</w:t>
            </w:r>
          </w:p>
        </w:tc>
        <w:tc>
          <w:tcPr>
            <w:tcW w:w="851" w:type="dxa"/>
            <w:vAlign w:val="top"/>
          </w:tcPr>
          <w:p w14:paraId="4A4A8D9D">
            <w:pPr>
              <w:spacing w:before="112" w:line="195" w:lineRule="auto"/>
              <w:ind w:left="328"/>
              <w:rPr>
                <w:rFonts w:ascii="Times New Roman" w:hAnsi="Times New Roman" w:eastAsia="Times New Roman" w:cs="Times New Roman"/>
                <w:sz w:val="20"/>
                <w:szCs w:val="20"/>
              </w:rPr>
            </w:pPr>
            <w:r>
              <w:rPr>
                <w:rFonts w:ascii="Times New Roman" w:hAnsi="Times New Roman" w:eastAsia="Times New Roman" w:cs="Times New Roman"/>
                <w:sz w:val="20"/>
                <w:szCs w:val="20"/>
              </w:rPr>
              <w:t>52</w:t>
            </w:r>
          </w:p>
        </w:tc>
        <w:tc>
          <w:tcPr>
            <w:tcW w:w="948" w:type="dxa"/>
            <w:vAlign w:val="top"/>
          </w:tcPr>
          <w:p w14:paraId="1D7378E7">
            <w:pPr>
              <w:spacing w:before="112" w:line="195" w:lineRule="auto"/>
              <w:ind w:left="377"/>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948" w:type="dxa"/>
            <w:vAlign w:val="top"/>
          </w:tcPr>
          <w:p w14:paraId="6767B3AC">
            <w:pPr>
              <w:spacing w:before="112"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w:t>
            </w:r>
          </w:p>
        </w:tc>
        <w:tc>
          <w:tcPr>
            <w:tcW w:w="948" w:type="dxa"/>
            <w:vAlign w:val="top"/>
          </w:tcPr>
          <w:p w14:paraId="51AF37BF">
            <w:pPr>
              <w:spacing w:before="112"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955" w:type="dxa"/>
            <w:tcBorders>
              <w:right w:val="nil"/>
            </w:tcBorders>
            <w:vAlign w:val="top"/>
          </w:tcPr>
          <w:p w14:paraId="1C07AF4E">
            <w:pPr>
              <w:spacing w:before="112" w:line="195" w:lineRule="auto"/>
              <w:ind w:left="378"/>
              <w:rPr>
                <w:rFonts w:ascii="Times New Roman" w:hAnsi="Times New Roman" w:eastAsia="Times New Roman" w:cs="Times New Roman"/>
                <w:sz w:val="20"/>
                <w:szCs w:val="20"/>
              </w:rPr>
            </w:pPr>
            <w:r>
              <w:rPr>
                <w:rFonts w:ascii="Times New Roman" w:hAnsi="Times New Roman" w:eastAsia="Times New Roman" w:cs="Times New Roman"/>
                <w:sz w:val="20"/>
                <w:szCs w:val="20"/>
              </w:rPr>
              <w:t>36</w:t>
            </w:r>
          </w:p>
        </w:tc>
      </w:tr>
      <w:tr w14:paraId="51B413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35" w:type="dxa"/>
            <w:tcBorders>
              <w:left w:val="nil"/>
            </w:tcBorders>
            <w:vAlign w:val="top"/>
          </w:tcPr>
          <w:p w14:paraId="61E6991C">
            <w:pPr>
              <w:pStyle w:val="6"/>
              <w:spacing w:before="79" w:line="225" w:lineRule="auto"/>
              <w:ind w:left="311"/>
              <w:rPr>
                <w:sz w:val="20"/>
                <w:szCs w:val="20"/>
              </w:rPr>
            </w:pPr>
            <w:r>
              <w:rPr>
                <w:spacing w:val="6"/>
                <w:sz w:val="20"/>
                <w:szCs w:val="20"/>
              </w:rPr>
              <w:t>焊接机</w:t>
            </w:r>
          </w:p>
        </w:tc>
        <w:tc>
          <w:tcPr>
            <w:tcW w:w="848" w:type="dxa"/>
            <w:vAlign w:val="top"/>
          </w:tcPr>
          <w:p w14:paraId="64575433">
            <w:pPr>
              <w:spacing w:before="115" w:line="195" w:lineRule="auto"/>
              <w:ind w:left="32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78</w:t>
            </w:r>
          </w:p>
        </w:tc>
        <w:tc>
          <w:tcPr>
            <w:tcW w:w="850" w:type="dxa"/>
            <w:vAlign w:val="top"/>
          </w:tcPr>
          <w:p w14:paraId="487341E6">
            <w:pPr>
              <w:spacing w:before="115" w:line="195"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52</w:t>
            </w:r>
          </w:p>
        </w:tc>
        <w:tc>
          <w:tcPr>
            <w:tcW w:w="851" w:type="dxa"/>
            <w:vAlign w:val="top"/>
          </w:tcPr>
          <w:p w14:paraId="2B76BDD0">
            <w:pPr>
              <w:spacing w:before="115"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46</w:t>
            </w:r>
          </w:p>
        </w:tc>
        <w:tc>
          <w:tcPr>
            <w:tcW w:w="851" w:type="dxa"/>
            <w:vAlign w:val="top"/>
          </w:tcPr>
          <w:p w14:paraId="1A17E369">
            <w:pPr>
              <w:spacing w:before="115" w:line="195" w:lineRule="auto"/>
              <w:ind w:left="3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w:t>
            </w:r>
          </w:p>
        </w:tc>
        <w:tc>
          <w:tcPr>
            <w:tcW w:w="851" w:type="dxa"/>
            <w:vAlign w:val="top"/>
          </w:tcPr>
          <w:p w14:paraId="7213AAEA">
            <w:pPr>
              <w:spacing w:before="115"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948" w:type="dxa"/>
            <w:vAlign w:val="top"/>
          </w:tcPr>
          <w:p w14:paraId="02C59EE0">
            <w:pPr>
              <w:spacing w:before="115" w:line="195" w:lineRule="auto"/>
              <w:ind w:left="376"/>
              <w:rPr>
                <w:rFonts w:ascii="Times New Roman" w:hAnsi="Times New Roman" w:eastAsia="Times New Roman" w:cs="Times New Roman"/>
                <w:sz w:val="20"/>
                <w:szCs w:val="20"/>
              </w:rPr>
            </w:pPr>
            <w:r>
              <w:rPr>
                <w:rFonts w:ascii="Times New Roman" w:hAnsi="Times New Roman" w:eastAsia="Times New Roman" w:cs="Times New Roman"/>
                <w:sz w:val="20"/>
                <w:szCs w:val="20"/>
              </w:rPr>
              <w:t>38</w:t>
            </w:r>
          </w:p>
        </w:tc>
        <w:tc>
          <w:tcPr>
            <w:tcW w:w="948" w:type="dxa"/>
            <w:vAlign w:val="top"/>
          </w:tcPr>
          <w:p w14:paraId="003C280B">
            <w:pPr>
              <w:spacing w:before="203" w:line="97" w:lineRule="exact"/>
              <w:ind w:left="446"/>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48" w:type="dxa"/>
            <w:vAlign w:val="top"/>
          </w:tcPr>
          <w:p w14:paraId="45822DBC">
            <w:pPr>
              <w:spacing w:before="203" w:line="97" w:lineRule="exact"/>
              <w:ind w:left="446"/>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55" w:type="dxa"/>
            <w:tcBorders>
              <w:right w:val="nil"/>
            </w:tcBorders>
            <w:vAlign w:val="top"/>
          </w:tcPr>
          <w:p w14:paraId="35767BCD">
            <w:pPr>
              <w:spacing w:before="203" w:line="97" w:lineRule="exact"/>
              <w:ind w:left="448"/>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r>
      <w:tr w14:paraId="4411C0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235" w:type="dxa"/>
            <w:tcBorders>
              <w:left w:val="nil"/>
            </w:tcBorders>
            <w:vAlign w:val="top"/>
          </w:tcPr>
          <w:p w14:paraId="79C76F30">
            <w:pPr>
              <w:pStyle w:val="6"/>
              <w:spacing w:before="80" w:line="224" w:lineRule="auto"/>
              <w:ind w:left="413"/>
              <w:rPr>
                <w:sz w:val="20"/>
                <w:szCs w:val="20"/>
              </w:rPr>
            </w:pPr>
            <w:r>
              <w:rPr>
                <w:spacing w:val="5"/>
                <w:sz w:val="20"/>
                <w:szCs w:val="20"/>
              </w:rPr>
              <w:t>平铲</w:t>
            </w:r>
          </w:p>
        </w:tc>
        <w:tc>
          <w:tcPr>
            <w:tcW w:w="848" w:type="dxa"/>
            <w:vAlign w:val="top"/>
          </w:tcPr>
          <w:p w14:paraId="46D43BE9">
            <w:pPr>
              <w:spacing w:before="118" w:line="195" w:lineRule="auto"/>
              <w:ind w:left="32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w:t>
            </w:r>
          </w:p>
        </w:tc>
        <w:tc>
          <w:tcPr>
            <w:tcW w:w="850" w:type="dxa"/>
            <w:vAlign w:val="top"/>
          </w:tcPr>
          <w:p w14:paraId="1CF95BF4">
            <w:pPr>
              <w:spacing w:before="118" w:line="195"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54</w:t>
            </w:r>
          </w:p>
        </w:tc>
        <w:tc>
          <w:tcPr>
            <w:tcW w:w="851" w:type="dxa"/>
            <w:vAlign w:val="top"/>
          </w:tcPr>
          <w:p w14:paraId="691C3CA4">
            <w:pPr>
              <w:spacing w:before="118"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48</w:t>
            </w:r>
          </w:p>
        </w:tc>
        <w:tc>
          <w:tcPr>
            <w:tcW w:w="851" w:type="dxa"/>
            <w:vAlign w:val="top"/>
          </w:tcPr>
          <w:p w14:paraId="20600A70">
            <w:pPr>
              <w:spacing w:before="118" w:line="195" w:lineRule="auto"/>
              <w:ind w:left="3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44</w:t>
            </w:r>
          </w:p>
        </w:tc>
        <w:tc>
          <w:tcPr>
            <w:tcW w:w="851" w:type="dxa"/>
            <w:vAlign w:val="top"/>
          </w:tcPr>
          <w:p w14:paraId="7CD9D082">
            <w:pPr>
              <w:spacing w:before="118"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w:t>
            </w:r>
          </w:p>
        </w:tc>
        <w:tc>
          <w:tcPr>
            <w:tcW w:w="948" w:type="dxa"/>
            <w:vAlign w:val="top"/>
          </w:tcPr>
          <w:p w14:paraId="3A939FC8">
            <w:pPr>
              <w:spacing w:before="118"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948" w:type="dxa"/>
            <w:vAlign w:val="top"/>
          </w:tcPr>
          <w:p w14:paraId="2CACD378">
            <w:pPr>
              <w:spacing w:before="118" w:line="195" w:lineRule="auto"/>
              <w:ind w:left="376"/>
              <w:rPr>
                <w:rFonts w:ascii="Times New Roman" w:hAnsi="Times New Roman" w:eastAsia="Times New Roman" w:cs="Times New Roman"/>
                <w:sz w:val="20"/>
                <w:szCs w:val="20"/>
              </w:rPr>
            </w:pPr>
            <w:r>
              <w:rPr>
                <w:rFonts w:ascii="Times New Roman" w:hAnsi="Times New Roman" w:eastAsia="Times New Roman" w:cs="Times New Roman"/>
                <w:sz w:val="20"/>
                <w:szCs w:val="20"/>
              </w:rPr>
              <w:t>34</w:t>
            </w:r>
          </w:p>
        </w:tc>
        <w:tc>
          <w:tcPr>
            <w:tcW w:w="948" w:type="dxa"/>
            <w:vAlign w:val="top"/>
          </w:tcPr>
          <w:p w14:paraId="2931BB89">
            <w:pPr>
              <w:spacing w:before="206" w:line="97" w:lineRule="exact"/>
              <w:ind w:left="446"/>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55" w:type="dxa"/>
            <w:tcBorders>
              <w:right w:val="nil"/>
            </w:tcBorders>
            <w:vAlign w:val="top"/>
          </w:tcPr>
          <w:p w14:paraId="42FE57A3">
            <w:pPr>
              <w:spacing w:before="206" w:line="97" w:lineRule="exact"/>
              <w:ind w:left="448"/>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r>
      <w:tr w14:paraId="4E3E69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 w:hRule="atLeast"/>
        </w:trPr>
        <w:tc>
          <w:tcPr>
            <w:tcW w:w="1235" w:type="dxa"/>
            <w:tcBorders>
              <w:left w:val="nil"/>
              <w:bottom w:val="single" w:color="000000" w:sz="10" w:space="0"/>
            </w:tcBorders>
            <w:vAlign w:val="top"/>
          </w:tcPr>
          <w:p w14:paraId="18FB3B24">
            <w:pPr>
              <w:pStyle w:val="6"/>
              <w:spacing w:before="82" w:line="228" w:lineRule="auto"/>
              <w:ind w:left="207"/>
              <w:rPr>
                <w:sz w:val="20"/>
                <w:szCs w:val="20"/>
              </w:rPr>
            </w:pPr>
            <w:r>
              <w:rPr>
                <w:spacing w:val="6"/>
                <w:sz w:val="20"/>
                <w:szCs w:val="20"/>
              </w:rPr>
              <w:t>混凝土泵</w:t>
            </w:r>
          </w:p>
        </w:tc>
        <w:tc>
          <w:tcPr>
            <w:tcW w:w="848" w:type="dxa"/>
            <w:tcBorders>
              <w:bottom w:val="single" w:color="000000" w:sz="10" w:space="0"/>
            </w:tcBorders>
            <w:vAlign w:val="top"/>
          </w:tcPr>
          <w:p w14:paraId="712FD9C6">
            <w:pPr>
              <w:spacing w:before="118" w:line="195" w:lineRule="auto"/>
              <w:ind w:left="32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85</w:t>
            </w:r>
          </w:p>
        </w:tc>
        <w:tc>
          <w:tcPr>
            <w:tcW w:w="850" w:type="dxa"/>
            <w:tcBorders>
              <w:bottom w:val="single" w:color="000000" w:sz="10" w:space="0"/>
            </w:tcBorders>
            <w:vAlign w:val="top"/>
          </w:tcPr>
          <w:p w14:paraId="38C5FF5B">
            <w:pPr>
              <w:spacing w:before="118" w:line="195"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59</w:t>
            </w:r>
          </w:p>
        </w:tc>
        <w:tc>
          <w:tcPr>
            <w:tcW w:w="851" w:type="dxa"/>
            <w:tcBorders>
              <w:bottom w:val="single" w:color="000000" w:sz="10" w:space="0"/>
            </w:tcBorders>
            <w:vAlign w:val="top"/>
          </w:tcPr>
          <w:p w14:paraId="1E20D0B2">
            <w:pPr>
              <w:spacing w:before="118" w:line="195" w:lineRule="auto"/>
              <w:ind w:left="329"/>
              <w:rPr>
                <w:rFonts w:ascii="Times New Roman" w:hAnsi="Times New Roman" w:eastAsia="Times New Roman" w:cs="Times New Roman"/>
                <w:sz w:val="20"/>
                <w:szCs w:val="20"/>
              </w:rPr>
            </w:pPr>
            <w:r>
              <w:rPr>
                <w:rFonts w:ascii="Times New Roman" w:hAnsi="Times New Roman" w:eastAsia="Times New Roman" w:cs="Times New Roman"/>
                <w:sz w:val="20"/>
                <w:szCs w:val="20"/>
              </w:rPr>
              <w:t>53</w:t>
            </w:r>
          </w:p>
        </w:tc>
        <w:tc>
          <w:tcPr>
            <w:tcW w:w="851" w:type="dxa"/>
            <w:tcBorders>
              <w:bottom w:val="single" w:color="000000" w:sz="10" w:space="0"/>
            </w:tcBorders>
            <w:vAlign w:val="top"/>
          </w:tcPr>
          <w:p w14:paraId="3AFDCF4A">
            <w:pPr>
              <w:spacing w:before="118" w:line="195" w:lineRule="auto"/>
              <w:ind w:left="3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49</w:t>
            </w:r>
          </w:p>
        </w:tc>
        <w:tc>
          <w:tcPr>
            <w:tcW w:w="851" w:type="dxa"/>
            <w:tcBorders>
              <w:bottom w:val="single" w:color="000000" w:sz="10" w:space="0"/>
            </w:tcBorders>
            <w:vAlign w:val="top"/>
          </w:tcPr>
          <w:p w14:paraId="3304B139">
            <w:pPr>
              <w:spacing w:before="118" w:line="195" w:lineRule="auto"/>
              <w:ind w:left="3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w:t>
            </w:r>
          </w:p>
        </w:tc>
        <w:tc>
          <w:tcPr>
            <w:tcW w:w="948" w:type="dxa"/>
            <w:tcBorders>
              <w:bottom w:val="single" w:color="000000" w:sz="10" w:space="0"/>
            </w:tcBorders>
            <w:vAlign w:val="top"/>
          </w:tcPr>
          <w:p w14:paraId="1E9F6DE0">
            <w:pPr>
              <w:spacing w:before="118" w:line="195" w:lineRule="auto"/>
              <w:ind w:left="3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948" w:type="dxa"/>
            <w:tcBorders>
              <w:bottom w:val="single" w:color="000000" w:sz="10" w:space="0"/>
            </w:tcBorders>
            <w:vAlign w:val="top"/>
          </w:tcPr>
          <w:p w14:paraId="658D6B1F">
            <w:pPr>
              <w:spacing w:before="118" w:line="195" w:lineRule="auto"/>
              <w:ind w:left="376"/>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tc>
        <w:tc>
          <w:tcPr>
            <w:tcW w:w="948" w:type="dxa"/>
            <w:tcBorders>
              <w:bottom w:val="single" w:color="000000" w:sz="10" w:space="0"/>
            </w:tcBorders>
            <w:vAlign w:val="top"/>
          </w:tcPr>
          <w:p w14:paraId="76572B4A">
            <w:pPr>
              <w:spacing w:before="206" w:line="97" w:lineRule="exact"/>
              <w:ind w:left="446"/>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c>
          <w:tcPr>
            <w:tcW w:w="955" w:type="dxa"/>
            <w:tcBorders>
              <w:bottom w:val="single" w:color="000000" w:sz="10" w:space="0"/>
              <w:right w:val="nil"/>
            </w:tcBorders>
            <w:vAlign w:val="top"/>
          </w:tcPr>
          <w:p w14:paraId="15CAD5E7">
            <w:pPr>
              <w:spacing w:before="206" w:line="97" w:lineRule="exact"/>
              <w:ind w:left="448"/>
              <w:rPr>
                <w:rFonts w:ascii="Times New Roman" w:hAnsi="Times New Roman" w:eastAsia="Times New Roman" w:cs="Times New Roman"/>
                <w:sz w:val="20"/>
                <w:szCs w:val="20"/>
              </w:rPr>
            </w:pPr>
            <w:r>
              <w:rPr>
                <w:rFonts w:ascii="Times New Roman" w:hAnsi="Times New Roman" w:eastAsia="Times New Roman" w:cs="Times New Roman"/>
                <w:position w:val="-2"/>
                <w:sz w:val="20"/>
                <w:szCs w:val="20"/>
              </w:rPr>
              <w:t>-</w:t>
            </w:r>
          </w:p>
        </w:tc>
      </w:tr>
    </w:tbl>
    <w:p w14:paraId="4E9D04AA">
      <w:pPr>
        <w:spacing w:before="121" w:line="361" w:lineRule="auto"/>
        <w:ind w:left="117" w:right="109" w:firstLine="508"/>
        <w:jc w:val="both"/>
        <w:rPr>
          <w:rFonts w:ascii="宋体" w:hAnsi="宋体" w:eastAsia="宋体" w:cs="宋体"/>
          <w:sz w:val="24"/>
          <w:szCs w:val="24"/>
        </w:rPr>
      </w:pPr>
      <w:r>
        <w:rPr>
          <w:rFonts w:ascii="宋体" w:hAnsi="宋体" w:eastAsia="宋体" w:cs="宋体"/>
          <w:spacing w:val="-2"/>
          <w:sz w:val="24"/>
          <w:szCs w:val="24"/>
        </w:rPr>
        <w:t>由上表可以看出，施工机械的噪声较高，白天</w:t>
      </w:r>
      <w:r>
        <w:rPr>
          <w:rFonts w:ascii="宋体" w:hAnsi="宋体" w:eastAsia="宋体" w:cs="宋体"/>
          <w:spacing w:val="-3"/>
          <w:sz w:val="24"/>
          <w:szCs w:val="24"/>
        </w:rPr>
        <w:t>施工噪声不能满足《建筑施工场界环</w:t>
      </w:r>
      <w:r>
        <w:rPr>
          <w:rFonts w:ascii="宋体" w:hAnsi="宋体" w:eastAsia="宋体" w:cs="宋体"/>
          <w:sz w:val="24"/>
          <w:szCs w:val="24"/>
        </w:rPr>
        <w:t xml:space="preserve"> 境噪声排放标准》（</w:t>
      </w:r>
      <w:r>
        <w:rPr>
          <w:rFonts w:ascii="Times New Roman" w:hAnsi="Times New Roman" w:eastAsia="Times New Roman" w:cs="Times New Roman"/>
          <w:sz w:val="24"/>
          <w:szCs w:val="24"/>
        </w:rPr>
        <w:t>GB12523-2011</w:t>
      </w:r>
      <w:r>
        <w:rPr>
          <w:rFonts w:ascii="宋体" w:hAnsi="宋体" w:eastAsia="宋体" w:cs="宋体"/>
          <w:sz w:val="24"/>
          <w:szCs w:val="24"/>
        </w:rPr>
        <w:t>）的点出现在距声源</w:t>
      </w:r>
      <w:r>
        <w:rPr>
          <w:rFonts w:ascii="宋体" w:hAnsi="宋体" w:eastAsia="宋体" w:cs="宋体"/>
          <w:spacing w:val="-32"/>
          <w:sz w:val="24"/>
          <w:szCs w:val="24"/>
        </w:rPr>
        <w:t xml:space="preserve"> </w:t>
      </w:r>
      <w:r>
        <w:rPr>
          <w:rFonts w:ascii="Times New Roman" w:hAnsi="Times New Roman" w:eastAsia="Times New Roman" w:cs="Times New Roman"/>
          <w:sz w:val="24"/>
          <w:szCs w:val="24"/>
        </w:rPr>
        <w:t>50m</w:t>
      </w:r>
      <w:r>
        <w:rPr>
          <w:rFonts w:ascii="Times New Roman" w:hAnsi="Times New Roman" w:eastAsia="Times New Roman" w:cs="Times New Roman"/>
          <w:spacing w:val="32"/>
          <w:sz w:val="24"/>
          <w:szCs w:val="24"/>
        </w:rPr>
        <w:t xml:space="preserve"> </w:t>
      </w:r>
      <w:r>
        <w:rPr>
          <w:rFonts w:ascii="宋体" w:hAnsi="宋体" w:eastAsia="宋体" w:cs="宋体"/>
          <w:sz w:val="24"/>
          <w:szCs w:val="24"/>
        </w:rPr>
        <w:t xml:space="preserve">的范围内，夜间出现在距 </w:t>
      </w:r>
      <w:r>
        <w:rPr>
          <w:rFonts w:ascii="宋体" w:hAnsi="宋体" w:eastAsia="宋体" w:cs="宋体"/>
          <w:spacing w:val="-4"/>
          <w:sz w:val="24"/>
          <w:szCs w:val="24"/>
        </w:rPr>
        <w:t>声源</w:t>
      </w:r>
      <w:r>
        <w:rPr>
          <w:rFonts w:ascii="宋体" w:hAnsi="宋体" w:eastAsia="宋体" w:cs="宋体"/>
          <w:spacing w:val="-16"/>
          <w:sz w:val="24"/>
          <w:szCs w:val="24"/>
        </w:rPr>
        <w:t xml:space="preserve"> </w:t>
      </w:r>
      <w:r>
        <w:rPr>
          <w:rFonts w:ascii="Times New Roman" w:hAnsi="Times New Roman" w:eastAsia="Times New Roman" w:cs="Times New Roman"/>
          <w:spacing w:val="-4"/>
          <w:sz w:val="24"/>
          <w:szCs w:val="24"/>
        </w:rPr>
        <w:t>150m</w:t>
      </w:r>
      <w:r>
        <w:rPr>
          <w:rFonts w:ascii="Times New Roman" w:hAnsi="Times New Roman" w:eastAsia="Times New Roman" w:cs="Times New Roman"/>
          <w:spacing w:val="15"/>
          <w:w w:val="101"/>
          <w:sz w:val="24"/>
          <w:szCs w:val="24"/>
        </w:rPr>
        <w:t xml:space="preserve"> </w:t>
      </w:r>
      <w:r>
        <w:rPr>
          <w:rFonts w:ascii="宋体" w:hAnsi="宋体" w:eastAsia="宋体" w:cs="宋体"/>
          <w:spacing w:val="-4"/>
          <w:sz w:val="24"/>
          <w:szCs w:val="24"/>
        </w:rPr>
        <w:t>范围内。本项目仅昼间施工，施工点位</w:t>
      </w:r>
      <w:r>
        <w:rPr>
          <w:rFonts w:ascii="宋体" w:hAnsi="宋体" w:eastAsia="宋体" w:cs="宋体"/>
          <w:spacing w:val="-49"/>
          <w:sz w:val="24"/>
          <w:szCs w:val="24"/>
        </w:rPr>
        <w:t xml:space="preserve"> </w:t>
      </w:r>
      <w:r>
        <w:rPr>
          <w:rFonts w:ascii="Times New Roman" w:hAnsi="Times New Roman" w:eastAsia="Times New Roman" w:cs="Times New Roman"/>
          <w:spacing w:val="-4"/>
          <w:sz w:val="24"/>
          <w:szCs w:val="24"/>
        </w:rPr>
        <w:t>50m</w:t>
      </w:r>
      <w:r>
        <w:rPr>
          <w:rFonts w:ascii="Times New Roman" w:hAnsi="Times New Roman" w:eastAsia="Times New Roman" w:cs="Times New Roman"/>
          <w:spacing w:val="16"/>
          <w:w w:val="101"/>
          <w:sz w:val="24"/>
          <w:szCs w:val="24"/>
        </w:rPr>
        <w:t xml:space="preserve"> </w:t>
      </w:r>
      <w:r>
        <w:rPr>
          <w:rFonts w:ascii="宋体" w:hAnsi="宋体" w:eastAsia="宋体" w:cs="宋体"/>
          <w:spacing w:val="-4"/>
          <w:sz w:val="24"/>
          <w:szCs w:val="24"/>
        </w:rPr>
        <w:t>范围内无敏感目标，因此拟建项</w:t>
      </w:r>
      <w:r>
        <w:rPr>
          <w:rFonts w:ascii="宋体" w:hAnsi="宋体" w:eastAsia="宋体" w:cs="宋体"/>
          <w:sz w:val="24"/>
          <w:szCs w:val="24"/>
        </w:rPr>
        <w:t xml:space="preserve"> </w:t>
      </w:r>
      <w:r>
        <w:rPr>
          <w:rFonts w:ascii="宋体" w:hAnsi="宋体" w:eastAsia="宋体" w:cs="宋体"/>
          <w:spacing w:val="-1"/>
          <w:sz w:val="24"/>
          <w:szCs w:val="24"/>
        </w:rPr>
        <w:t>目施工期间不会发生噪声扰民现象。</w:t>
      </w:r>
    </w:p>
    <w:p w14:paraId="73DF03A7">
      <w:pPr>
        <w:spacing w:before="86" w:line="222" w:lineRule="auto"/>
        <w:ind w:left="111"/>
        <w:outlineLvl w:val="2"/>
        <w:rPr>
          <w:rFonts w:ascii="黑体" w:hAnsi="黑体" w:eastAsia="黑体" w:cs="黑体"/>
          <w:sz w:val="30"/>
          <w:szCs w:val="30"/>
        </w:rPr>
      </w:pPr>
      <w:bookmarkStart w:id="389" w:name="bookmark246"/>
      <w:bookmarkEnd w:id="389"/>
      <w:r>
        <w:rPr>
          <w:rFonts w:ascii="Times New Roman" w:hAnsi="Times New Roman" w:eastAsia="Times New Roman" w:cs="Times New Roman"/>
          <w:spacing w:val="-1"/>
          <w:sz w:val="30"/>
          <w:szCs w:val="30"/>
        </w:rPr>
        <w:t xml:space="preserve">4.7.4 </w:t>
      </w:r>
      <w:r>
        <w:rPr>
          <w:rFonts w:ascii="黑体" w:hAnsi="黑体" w:eastAsia="黑体" w:cs="黑体"/>
          <w:spacing w:val="-1"/>
          <w:sz w:val="30"/>
          <w:szCs w:val="30"/>
        </w:rPr>
        <w:t>施工期固体废物影响</w:t>
      </w:r>
    </w:p>
    <w:p w14:paraId="4BDF0D6F">
      <w:pPr>
        <w:spacing w:before="227" w:line="363" w:lineRule="auto"/>
        <w:ind w:left="120" w:right="108" w:firstLine="475"/>
        <w:jc w:val="both"/>
        <w:rPr>
          <w:rFonts w:ascii="宋体" w:hAnsi="宋体" w:eastAsia="宋体" w:cs="宋体"/>
          <w:sz w:val="24"/>
          <w:szCs w:val="24"/>
        </w:rPr>
      </w:pPr>
      <w:r>
        <w:rPr>
          <w:rFonts w:ascii="宋体" w:hAnsi="宋体" w:eastAsia="宋体" w:cs="宋体"/>
          <w:spacing w:val="-2"/>
          <w:sz w:val="24"/>
          <w:szCs w:val="24"/>
        </w:rPr>
        <w:t>施工期会产生建筑垃圾（含拆除的建筑物）、生活垃圾等固体废弃物。建筑垃圾可</w:t>
      </w:r>
      <w:r>
        <w:rPr>
          <w:rFonts w:ascii="宋体" w:hAnsi="宋体" w:eastAsia="宋体" w:cs="宋体"/>
          <w:spacing w:val="14"/>
          <w:sz w:val="24"/>
          <w:szCs w:val="24"/>
        </w:rPr>
        <w:t xml:space="preserve"> </w:t>
      </w:r>
      <w:r>
        <w:rPr>
          <w:rFonts w:ascii="宋体" w:hAnsi="宋体" w:eastAsia="宋体" w:cs="宋体"/>
          <w:spacing w:val="-2"/>
          <w:sz w:val="24"/>
          <w:szCs w:val="24"/>
        </w:rPr>
        <w:t>回收利用部分，如废弃钢材、木材等，进行分类回收，交废物收购站处理；对建筑垃圾</w:t>
      </w:r>
      <w:r>
        <w:rPr>
          <w:rFonts w:ascii="宋体" w:hAnsi="宋体" w:eastAsia="宋体" w:cs="宋体"/>
          <w:spacing w:val="13"/>
          <w:sz w:val="24"/>
          <w:szCs w:val="24"/>
        </w:rPr>
        <w:t xml:space="preserve"> </w:t>
      </w:r>
      <w:r>
        <w:rPr>
          <w:rFonts w:ascii="宋体" w:hAnsi="宋体" w:eastAsia="宋体" w:cs="宋体"/>
          <w:spacing w:val="-2"/>
          <w:sz w:val="24"/>
          <w:szCs w:val="24"/>
        </w:rPr>
        <w:t>中不可回收部分，如混凝土废料、含砖、石、沙的杂土应集中堆放，定时清运，按照相</w:t>
      </w:r>
      <w:r>
        <w:rPr>
          <w:rFonts w:ascii="宋体" w:hAnsi="宋体" w:eastAsia="宋体" w:cs="宋体"/>
          <w:spacing w:val="13"/>
          <w:sz w:val="24"/>
          <w:szCs w:val="24"/>
        </w:rPr>
        <w:t xml:space="preserve"> </w:t>
      </w:r>
      <w:r>
        <w:rPr>
          <w:rFonts w:ascii="宋体" w:hAnsi="宋体" w:eastAsia="宋体" w:cs="宋体"/>
          <w:spacing w:val="-2"/>
          <w:sz w:val="24"/>
          <w:szCs w:val="24"/>
        </w:rPr>
        <w:t>关部门要求，运至指定的建筑垃圾堆放点进行堆放处理，以免影响施工和环境卫生。生</w:t>
      </w:r>
      <w:r>
        <w:rPr>
          <w:rFonts w:ascii="宋体" w:hAnsi="宋体" w:eastAsia="宋体" w:cs="宋体"/>
          <w:spacing w:val="13"/>
          <w:sz w:val="24"/>
          <w:szCs w:val="24"/>
        </w:rPr>
        <w:t xml:space="preserve"> </w:t>
      </w:r>
      <w:r>
        <w:rPr>
          <w:rFonts w:ascii="宋体" w:hAnsi="宋体" w:eastAsia="宋体" w:cs="宋体"/>
          <w:spacing w:val="-1"/>
          <w:sz w:val="24"/>
          <w:szCs w:val="24"/>
        </w:rPr>
        <w:t>活垃圾及时收集并委托环卫部门统一处理，以将产生的不利影响减到最少。</w:t>
      </w:r>
    </w:p>
    <w:p w14:paraId="6DCE65EC">
      <w:pPr>
        <w:spacing w:line="363" w:lineRule="auto"/>
        <w:rPr>
          <w:rFonts w:ascii="宋体" w:hAnsi="宋体" w:eastAsia="宋体" w:cs="宋体"/>
          <w:sz w:val="24"/>
          <w:szCs w:val="24"/>
        </w:rPr>
        <w:sectPr>
          <w:headerReference r:id="rId375" w:type="default"/>
          <w:footerReference r:id="rId376" w:type="default"/>
          <w:pgSz w:w="11906" w:h="16839"/>
          <w:pgMar w:top="1191" w:right="1309" w:bottom="1569" w:left="1309" w:header="882" w:footer="1407" w:gutter="0"/>
          <w:cols w:space="720" w:num="1"/>
        </w:sectPr>
      </w:pPr>
    </w:p>
    <w:p w14:paraId="0936C19D">
      <w:pPr>
        <w:spacing w:line="28" w:lineRule="exact"/>
      </w:pPr>
      <w:r>
        <w:pict>
          <v:shape id="_x0000_s1860" o:spid="_x0000_s1860" style="height:1.45pt;width:453.65pt;" fillcolor="#000000" filled="t" stroked="f" coordsize="9072,29" path="m0,0l9072,0,9072,28,0,28,0,0xe">
            <v:path/>
            <v:fill on="t" focussize="0,0"/>
            <v:stroke on="f"/>
            <v:imagedata o:title=""/>
            <o:lock v:ext="edit"/>
            <w10:wrap type="none"/>
            <w10:anchorlock/>
          </v:shape>
        </w:pict>
      </w:r>
    </w:p>
    <w:p w14:paraId="1C86C92E">
      <w:pPr>
        <w:spacing w:before="316" w:line="355" w:lineRule="auto"/>
        <w:ind w:left="10" w:right="1" w:firstLine="477"/>
        <w:rPr>
          <w:rFonts w:ascii="宋体" w:hAnsi="宋体" w:eastAsia="宋体" w:cs="宋体"/>
          <w:sz w:val="24"/>
          <w:szCs w:val="24"/>
        </w:rPr>
      </w:pPr>
      <w:r>
        <w:rPr>
          <w:rFonts w:ascii="宋体" w:hAnsi="宋体" w:eastAsia="宋体" w:cs="宋体"/>
          <w:spacing w:val="-2"/>
          <w:sz w:val="24"/>
          <w:szCs w:val="24"/>
        </w:rPr>
        <w:t>采取以上措施后，本项目施工期产生的固体废物能够得到有效处理，对周围环境造</w:t>
      </w:r>
      <w:r>
        <w:rPr>
          <w:rFonts w:ascii="宋体" w:hAnsi="宋体" w:eastAsia="宋体" w:cs="宋体"/>
          <w:spacing w:val="14"/>
          <w:sz w:val="24"/>
          <w:szCs w:val="24"/>
        </w:rPr>
        <w:t xml:space="preserve"> </w:t>
      </w:r>
      <w:r>
        <w:rPr>
          <w:rFonts w:ascii="宋体" w:hAnsi="宋体" w:eastAsia="宋体" w:cs="宋体"/>
          <w:spacing w:val="-2"/>
          <w:sz w:val="24"/>
          <w:szCs w:val="24"/>
        </w:rPr>
        <w:t>成的影响较小。</w:t>
      </w:r>
    </w:p>
    <w:p w14:paraId="402DB292">
      <w:pPr>
        <w:spacing w:before="84" w:line="222" w:lineRule="auto"/>
        <w:ind w:left="3"/>
        <w:outlineLvl w:val="2"/>
        <w:rPr>
          <w:rFonts w:ascii="黑体" w:hAnsi="黑体" w:eastAsia="黑体" w:cs="黑体"/>
          <w:sz w:val="30"/>
          <w:szCs w:val="30"/>
        </w:rPr>
      </w:pPr>
      <w:bookmarkStart w:id="390" w:name="bookmark248"/>
      <w:bookmarkEnd w:id="390"/>
      <w:r>
        <w:rPr>
          <w:rFonts w:ascii="Times New Roman" w:hAnsi="Times New Roman" w:eastAsia="Times New Roman" w:cs="Times New Roman"/>
          <w:spacing w:val="-1"/>
          <w:sz w:val="30"/>
          <w:szCs w:val="30"/>
        </w:rPr>
        <w:t xml:space="preserve">4.7.5 </w:t>
      </w:r>
      <w:r>
        <w:rPr>
          <w:rFonts w:ascii="黑体" w:hAnsi="黑体" w:eastAsia="黑体" w:cs="黑体"/>
          <w:spacing w:val="-1"/>
          <w:sz w:val="30"/>
          <w:szCs w:val="30"/>
        </w:rPr>
        <w:t>施工期生态影响分析</w:t>
      </w:r>
    </w:p>
    <w:p w14:paraId="30662710">
      <w:pPr>
        <w:spacing w:before="226" w:line="356" w:lineRule="auto"/>
        <w:ind w:left="8" w:right="1" w:firstLine="480"/>
        <w:rPr>
          <w:rFonts w:ascii="宋体" w:hAnsi="宋体" w:eastAsia="宋体" w:cs="宋体"/>
          <w:sz w:val="24"/>
          <w:szCs w:val="24"/>
        </w:rPr>
      </w:pPr>
      <w:r>
        <w:rPr>
          <w:rFonts w:ascii="宋体" w:hAnsi="宋体" w:eastAsia="宋体" w:cs="宋体"/>
          <w:spacing w:val="-2"/>
          <w:sz w:val="24"/>
          <w:szCs w:val="24"/>
        </w:rPr>
        <w:t>本项目位于苏尼特右旗朱日和工业园区南区冶金产业园，施工过程不会造成生态破</w:t>
      </w:r>
      <w:r>
        <w:rPr>
          <w:rFonts w:ascii="宋体" w:hAnsi="宋体" w:eastAsia="宋体" w:cs="宋体"/>
          <w:spacing w:val="12"/>
          <w:sz w:val="24"/>
          <w:szCs w:val="24"/>
        </w:rPr>
        <w:t xml:space="preserve"> </w:t>
      </w:r>
      <w:r>
        <w:rPr>
          <w:rFonts w:ascii="宋体" w:hAnsi="宋体" w:eastAsia="宋体" w:cs="宋体"/>
          <w:spacing w:val="-5"/>
          <w:sz w:val="24"/>
          <w:szCs w:val="24"/>
        </w:rPr>
        <w:t>坏。</w:t>
      </w:r>
    </w:p>
    <w:p w14:paraId="54D6735F">
      <w:pPr>
        <w:spacing w:line="356" w:lineRule="auto"/>
        <w:rPr>
          <w:rFonts w:ascii="宋体" w:hAnsi="宋体" w:eastAsia="宋体" w:cs="宋体"/>
          <w:sz w:val="24"/>
          <w:szCs w:val="24"/>
        </w:rPr>
        <w:sectPr>
          <w:headerReference r:id="rId377" w:type="default"/>
          <w:footerReference r:id="rId378" w:type="default"/>
          <w:pgSz w:w="11906" w:h="16839"/>
          <w:pgMar w:top="1191" w:right="1416" w:bottom="1569" w:left="1417" w:header="882" w:footer="1407" w:gutter="0"/>
          <w:cols w:space="720" w:num="1"/>
        </w:sectPr>
      </w:pPr>
    </w:p>
    <w:p w14:paraId="53D57691">
      <w:pPr>
        <w:spacing w:line="28" w:lineRule="exact"/>
      </w:pPr>
      <w:r>
        <w:pict>
          <v:shape id="_x0000_s1862" o:spid="_x0000_s1862" style="height:1.45pt;width:453.65pt;" fillcolor="#000000" filled="t" stroked="f" coordsize="9072,29" path="m0,0l9072,0,9072,28,0,28,0,0xe">
            <v:path/>
            <v:fill on="t" focussize="0,0"/>
            <v:stroke on="f"/>
            <v:imagedata o:title=""/>
            <o:lock v:ext="edit"/>
            <w10:wrap type="none"/>
            <w10:anchorlock/>
          </v:shape>
        </w:pict>
      </w:r>
    </w:p>
    <w:p w14:paraId="62EC99A6">
      <w:pPr>
        <w:spacing w:before="335" w:line="227" w:lineRule="auto"/>
        <w:ind w:left="2741"/>
        <w:outlineLvl w:val="0"/>
        <w:rPr>
          <w:rFonts w:ascii="黑体" w:hAnsi="黑体" w:eastAsia="黑体" w:cs="黑体"/>
          <w:sz w:val="35"/>
          <w:szCs w:val="35"/>
        </w:rPr>
      </w:pPr>
      <w:bookmarkStart w:id="391" w:name="bookmark252"/>
      <w:bookmarkEnd w:id="391"/>
      <w:bookmarkStart w:id="392" w:name="bookmark250"/>
      <w:bookmarkEnd w:id="392"/>
      <w:r>
        <w:rPr>
          <w:rFonts w:ascii="黑体" w:hAnsi="黑体" w:eastAsia="黑体" w:cs="黑体"/>
          <w:b/>
          <w:bCs/>
          <w:spacing w:val="5"/>
          <w:sz w:val="35"/>
          <w:szCs w:val="35"/>
        </w:rPr>
        <w:t>第五章</w:t>
      </w:r>
      <w:r>
        <w:rPr>
          <w:rFonts w:ascii="黑体" w:hAnsi="黑体" w:eastAsia="黑体" w:cs="黑体"/>
          <w:spacing w:val="5"/>
          <w:sz w:val="35"/>
          <w:szCs w:val="35"/>
        </w:rPr>
        <w:t xml:space="preserve">  </w:t>
      </w:r>
      <w:r>
        <w:rPr>
          <w:rFonts w:ascii="黑体" w:hAnsi="黑体" w:eastAsia="黑体" w:cs="黑体"/>
          <w:b/>
          <w:bCs/>
          <w:spacing w:val="5"/>
          <w:sz w:val="35"/>
          <w:szCs w:val="35"/>
        </w:rPr>
        <w:t>环境风险评价</w:t>
      </w:r>
    </w:p>
    <w:p w14:paraId="22EF4D60">
      <w:pPr>
        <w:pStyle w:val="2"/>
        <w:spacing w:line="306" w:lineRule="auto"/>
      </w:pPr>
    </w:p>
    <w:p w14:paraId="5405A6F2">
      <w:pPr>
        <w:pStyle w:val="2"/>
        <w:spacing w:line="307" w:lineRule="auto"/>
      </w:pPr>
    </w:p>
    <w:p w14:paraId="3843F796">
      <w:pPr>
        <w:spacing w:before="98" w:line="222" w:lineRule="auto"/>
        <w:ind w:left="13"/>
        <w:outlineLvl w:val="1"/>
        <w:rPr>
          <w:rFonts w:ascii="黑体" w:hAnsi="黑体" w:eastAsia="黑体" w:cs="黑体"/>
          <w:sz w:val="30"/>
          <w:szCs w:val="30"/>
        </w:rPr>
      </w:pPr>
      <w:r>
        <w:rPr>
          <w:rFonts w:ascii="Times New Roman" w:hAnsi="Times New Roman" w:eastAsia="Times New Roman" w:cs="Times New Roman"/>
          <w:spacing w:val="-2"/>
          <w:sz w:val="30"/>
          <w:szCs w:val="30"/>
        </w:rPr>
        <w:t xml:space="preserve">5.1 </w:t>
      </w:r>
      <w:r>
        <w:rPr>
          <w:rFonts w:ascii="黑体" w:hAnsi="黑体" w:eastAsia="黑体" w:cs="黑体"/>
          <w:spacing w:val="-2"/>
          <w:sz w:val="30"/>
          <w:szCs w:val="30"/>
        </w:rPr>
        <w:t>风险调查</w:t>
      </w:r>
    </w:p>
    <w:p w14:paraId="4B66A923">
      <w:pPr>
        <w:pStyle w:val="2"/>
        <w:spacing w:line="314" w:lineRule="auto"/>
      </w:pPr>
    </w:p>
    <w:p w14:paraId="56CC5396">
      <w:pPr>
        <w:spacing w:before="91" w:line="221" w:lineRule="auto"/>
        <w:ind w:left="8"/>
        <w:outlineLvl w:val="2"/>
        <w:rPr>
          <w:rFonts w:ascii="宋体" w:hAnsi="宋体" w:eastAsia="宋体" w:cs="宋体"/>
          <w:sz w:val="28"/>
          <w:szCs w:val="28"/>
        </w:rPr>
      </w:pPr>
      <w:bookmarkStart w:id="393" w:name="bookmark254"/>
      <w:bookmarkEnd w:id="393"/>
      <w:r>
        <w:rPr>
          <w:rFonts w:ascii="Times New Roman" w:hAnsi="Times New Roman" w:eastAsia="Times New Roman" w:cs="Times New Roman"/>
          <w:b/>
          <w:bCs/>
          <w:spacing w:val="-2"/>
          <w:sz w:val="28"/>
          <w:szCs w:val="28"/>
        </w:rPr>
        <w:t xml:space="preserve">5.1.1 </w:t>
      </w:r>
      <w:r>
        <w:rPr>
          <w:rFonts w:ascii="宋体" w:hAnsi="宋体" w:eastAsia="宋体" w:cs="宋体"/>
          <w:b/>
          <w:bCs/>
          <w:spacing w:val="-2"/>
          <w:sz w:val="28"/>
          <w:szCs w:val="28"/>
        </w:rPr>
        <w:t>建设项目风险源调查</w:t>
      </w:r>
    </w:p>
    <w:p w14:paraId="40AE9752">
      <w:pPr>
        <w:spacing w:before="247" w:line="359" w:lineRule="auto"/>
        <w:ind w:left="8" w:right="1" w:firstLine="483"/>
        <w:jc w:val="both"/>
        <w:rPr>
          <w:rFonts w:ascii="宋体" w:hAnsi="宋体" w:eastAsia="宋体" w:cs="宋体"/>
          <w:sz w:val="24"/>
          <w:szCs w:val="24"/>
        </w:rPr>
      </w:pPr>
      <w:r>
        <w:rPr>
          <w:rFonts w:ascii="宋体" w:hAnsi="宋体" w:eastAsia="宋体" w:cs="宋体"/>
          <w:spacing w:val="-3"/>
          <w:sz w:val="24"/>
          <w:szCs w:val="24"/>
        </w:rPr>
        <w:t>项目生产过程中涉及的危险物质主要为电炉煤气，厂区设</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个容积为</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30000m</w:t>
      </w:r>
      <w:r>
        <w:rPr>
          <w:rFonts w:ascii="Times New Roman" w:hAnsi="Times New Roman" w:eastAsia="Times New Roman" w:cs="Times New Roman"/>
          <w:spacing w:val="-4"/>
          <w:position w:val="8"/>
          <w:sz w:val="15"/>
          <w:szCs w:val="15"/>
        </w:rPr>
        <w:t xml:space="preserve">3  </w:t>
      </w:r>
      <w:r>
        <w:rPr>
          <w:rFonts w:ascii="宋体" w:hAnsi="宋体" w:eastAsia="宋体" w:cs="宋体"/>
          <w:spacing w:val="-4"/>
          <w:sz w:val="24"/>
          <w:szCs w:val="24"/>
        </w:rPr>
        <w:t>的煤</w:t>
      </w:r>
      <w:r>
        <w:rPr>
          <w:rFonts w:ascii="宋体" w:hAnsi="宋体" w:eastAsia="宋体" w:cs="宋体"/>
          <w:sz w:val="24"/>
          <w:szCs w:val="24"/>
        </w:rPr>
        <w:t xml:space="preserve"> </w:t>
      </w:r>
      <w:r>
        <w:rPr>
          <w:rFonts w:ascii="宋体" w:hAnsi="宋体" w:eastAsia="宋体" w:cs="宋体"/>
          <w:spacing w:val="-5"/>
          <w:sz w:val="24"/>
          <w:szCs w:val="24"/>
        </w:rPr>
        <w:t>气气柜，储存量为</w:t>
      </w:r>
      <w:r>
        <w:rPr>
          <w:rFonts w:ascii="宋体" w:hAnsi="宋体" w:eastAsia="宋体" w:cs="宋体"/>
          <w:spacing w:val="-48"/>
          <w:sz w:val="24"/>
          <w:szCs w:val="24"/>
        </w:rPr>
        <w:t xml:space="preserve"> </w:t>
      </w:r>
      <w:r>
        <w:rPr>
          <w:rFonts w:ascii="Times New Roman" w:hAnsi="Times New Roman" w:eastAsia="Times New Roman" w:cs="Times New Roman"/>
          <w:spacing w:val="-5"/>
          <w:sz w:val="24"/>
          <w:szCs w:val="24"/>
        </w:rPr>
        <w:t>24</w:t>
      </w:r>
      <w:r>
        <w:rPr>
          <w:rFonts w:ascii="Times New Roman" w:hAnsi="Times New Roman" w:eastAsia="Times New Roman" w:cs="Times New Roman"/>
          <w:spacing w:val="20"/>
          <w:w w:val="101"/>
          <w:sz w:val="24"/>
          <w:szCs w:val="24"/>
        </w:rPr>
        <w:t xml:space="preserve"> </w:t>
      </w:r>
      <w:r>
        <w:rPr>
          <w:rFonts w:ascii="宋体" w:hAnsi="宋体" w:eastAsia="宋体" w:cs="宋体"/>
          <w:spacing w:val="-5"/>
          <w:sz w:val="24"/>
          <w:szCs w:val="24"/>
        </w:rPr>
        <w:t>吨，煤气在线储存量为</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1.8</w:t>
      </w:r>
      <w:r>
        <w:rPr>
          <w:rFonts w:ascii="Times New Roman" w:hAnsi="Times New Roman" w:eastAsia="Times New Roman" w:cs="Times New Roman"/>
          <w:spacing w:val="21"/>
          <w:sz w:val="24"/>
          <w:szCs w:val="24"/>
        </w:rPr>
        <w:t xml:space="preserve"> </w:t>
      </w:r>
      <w:r>
        <w:rPr>
          <w:rFonts w:ascii="宋体" w:hAnsi="宋体" w:eastAsia="宋体" w:cs="宋体"/>
          <w:spacing w:val="-5"/>
          <w:sz w:val="24"/>
          <w:szCs w:val="24"/>
        </w:rPr>
        <w:t>吨，则矿热炉煤气在厂区内的最大存在</w:t>
      </w:r>
      <w:r>
        <w:rPr>
          <w:rFonts w:ascii="宋体" w:hAnsi="宋体" w:eastAsia="宋体" w:cs="宋体"/>
          <w:sz w:val="24"/>
          <w:szCs w:val="24"/>
        </w:rPr>
        <w:t xml:space="preserve"> </w:t>
      </w:r>
      <w:r>
        <w:rPr>
          <w:rFonts w:ascii="宋体" w:hAnsi="宋体" w:eastAsia="宋体" w:cs="宋体"/>
          <w:spacing w:val="-2"/>
          <w:sz w:val="24"/>
          <w:szCs w:val="24"/>
        </w:rPr>
        <w:t>量（气柜</w:t>
      </w:r>
      <w:r>
        <w:rPr>
          <w:rFonts w:ascii="Times New Roman" w:hAnsi="Times New Roman" w:eastAsia="Times New Roman" w:cs="Times New Roman"/>
          <w:spacing w:val="-2"/>
          <w:sz w:val="24"/>
          <w:szCs w:val="24"/>
        </w:rPr>
        <w:t>+</w:t>
      </w:r>
      <w:r>
        <w:rPr>
          <w:rFonts w:ascii="宋体" w:hAnsi="宋体" w:eastAsia="宋体" w:cs="宋体"/>
          <w:spacing w:val="-2"/>
          <w:sz w:val="24"/>
          <w:szCs w:val="24"/>
        </w:rPr>
        <w:t>在线储存量）为</w:t>
      </w:r>
      <w:r>
        <w:rPr>
          <w:rFonts w:ascii="宋体" w:hAnsi="宋体" w:eastAsia="宋体" w:cs="宋体"/>
          <w:spacing w:val="-54"/>
          <w:sz w:val="24"/>
          <w:szCs w:val="24"/>
        </w:rPr>
        <w:t xml:space="preserve"> </w:t>
      </w:r>
      <w:r>
        <w:rPr>
          <w:rFonts w:ascii="Times New Roman" w:hAnsi="Times New Roman" w:eastAsia="Times New Roman" w:cs="Times New Roman"/>
          <w:spacing w:val="-2"/>
          <w:sz w:val="24"/>
          <w:szCs w:val="24"/>
        </w:rPr>
        <w:t>25.8</w:t>
      </w:r>
      <w:r>
        <w:rPr>
          <w:rFonts w:ascii="Times New Roman" w:hAnsi="Times New Roman" w:eastAsia="Times New Roman" w:cs="Times New Roman"/>
          <w:spacing w:val="21"/>
          <w:sz w:val="24"/>
          <w:szCs w:val="24"/>
        </w:rPr>
        <w:t xml:space="preserve"> </w:t>
      </w:r>
      <w:r>
        <w:rPr>
          <w:rFonts w:ascii="宋体" w:hAnsi="宋体" w:eastAsia="宋体" w:cs="宋体"/>
          <w:spacing w:val="-2"/>
          <w:sz w:val="24"/>
          <w:szCs w:val="24"/>
        </w:rPr>
        <w:t>吨。</w:t>
      </w:r>
    </w:p>
    <w:p w14:paraId="0FDC2E67">
      <w:pPr>
        <w:spacing w:before="32" w:line="354" w:lineRule="auto"/>
        <w:ind w:left="37" w:right="1" w:firstLine="453"/>
        <w:rPr>
          <w:rFonts w:ascii="宋体" w:hAnsi="宋体" w:eastAsia="宋体" w:cs="宋体"/>
          <w:sz w:val="24"/>
          <w:szCs w:val="24"/>
        </w:rPr>
      </w:pPr>
      <w:r>
        <w:rPr>
          <w:rFonts w:ascii="宋体" w:hAnsi="宋体" w:eastAsia="宋体" w:cs="宋体"/>
          <w:spacing w:val="-2"/>
          <w:sz w:val="24"/>
          <w:szCs w:val="24"/>
        </w:rPr>
        <w:t>危险物质矿热炉煤气主要分布在煤气柜、煤气净化设施、电炉车间及煤气输送管道</w:t>
      </w:r>
      <w:r>
        <w:rPr>
          <w:rFonts w:ascii="宋体" w:hAnsi="宋体" w:eastAsia="宋体" w:cs="宋体"/>
          <w:spacing w:val="10"/>
          <w:sz w:val="24"/>
          <w:szCs w:val="24"/>
        </w:rPr>
        <w:t xml:space="preserve"> </w:t>
      </w:r>
      <w:r>
        <w:rPr>
          <w:rFonts w:ascii="宋体" w:hAnsi="宋体" w:eastAsia="宋体" w:cs="宋体"/>
          <w:spacing w:val="-2"/>
          <w:sz w:val="24"/>
          <w:szCs w:val="24"/>
        </w:rPr>
        <w:t>内，各危险物质的安全技术说明书详见表</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5.</w:t>
      </w:r>
      <w:r>
        <w:rPr>
          <w:rFonts w:ascii="Times New Roman" w:hAnsi="Times New Roman" w:eastAsia="Times New Roman" w:cs="Times New Roman"/>
          <w:spacing w:val="-3"/>
          <w:sz w:val="24"/>
          <w:szCs w:val="24"/>
        </w:rPr>
        <w:t>1-1</w:t>
      </w:r>
      <w:r>
        <w:rPr>
          <w:rFonts w:ascii="宋体" w:hAnsi="宋体" w:eastAsia="宋体" w:cs="宋体"/>
          <w:spacing w:val="-3"/>
          <w:sz w:val="24"/>
          <w:szCs w:val="24"/>
        </w:rPr>
        <w:t>。</w:t>
      </w:r>
    </w:p>
    <w:p w14:paraId="0F61BDED">
      <w:pPr>
        <w:spacing w:before="53" w:line="227" w:lineRule="auto"/>
        <w:ind w:left="3035"/>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4"/>
          <w:sz w:val="20"/>
          <w:szCs w:val="20"/>
        </w:rPr>
        <w:t xml:space="preserve"> </w:t>
      </w:r>
      <w:r>
        <w:rPr>
          <w:rFonts w:ascii="Times New Roman" w:hAnsi="Times New Roman" w:eastAsia="Times New Roman" w:cs="Times New Roman"/>
          <w:b/>
          <w:bCs/>
          <w:spacing w:val="4"/>
          <w:sz w:val="20"/>
          <w:szCs w:val="20"/>
        </w:rPr>
        <w:t xml:space="preserve">5.1-1        </w:t>
      </w:r>
      <w:r>
        <w:rPr>
          <w:rFonts w:ascii="宋体" w:hAnsi="宋体" w:eastAsia="宋体" w:cs="宋体"/>
          <w:b/>
          <w:bCs/>
          <w:spacing w:val="4"/>
          <w:sz w:val="20"/>
          <w:szCs w:val="20"/>
        </w:rPr>
        <w:t>煤气安全技术说明书</w:t>
      </w:r>
    </w:p>
    <w:p w14:paraId="71792183">
      <w:pPr>
        <w:spacing w:line="97" w:lineRule="exact"/>
      </w:pPr>
    </w:p>
    <w:tbl>
      <w:tblPr>
        <w:tblStyle w:val="5"/>
        <w:tblW w:w="907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16"/>
        <w:gridCol w:w="1661"/>
        <w:gridCol w:w="2571"/>
        <w:gridCol w:w="3023"/>
      </w:tblGrid>
      <w:tr w14:paraId="4F78B0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816" w:type="dxa"/>
            <w:tcBorders>
              <w:top w:val="single" w:color="000000" w:sz="10" w:space="0"/>
              <w:left w:val="nil"/>
            </w:tcBorders>
            <w:vAlign w:val="top"/>
          </w:tcPr>
          <w:p w14:paraId="0AABC483">
            <w:pPr>
              <w:pStyle w:val="6"/>
              <w:spacing w:before="58" w:line="228" w:lineRule="auto"/>
              <w:ind w:left="494"/>
              <w:rPr>
                <w:sz w:val="20"/>
                <w:szCs w:val="20"/>
              </w:rPr>
            </w:pPr>
            <w:r>
              <w:rPr>
                <w:spacing w:val="7"/>
                <w:sz w:val="20"/>
                <w:szCs w:val="20"/>
              </w:rPr>
              <w:t>第一部分</w:t>
            </w:r>
          </w:p>
        </w:tc>
        <w:tc>
          <w:tcPr>
            <w:tcW w:w="7255" w:type="dxa"/>
            <w:gridSpan w:val="3"/>
            <w:tcBorders>
              <w:top w:val="single" w:color="000000" w:sz="10" w:space="0"/>
              <w:right w:val="nil"/>
            </w:tcBorders>
            <w:vAlign w:val="top"/>
          </w:tcPr>
          <w:p w14:paraId="555D26C9">
            <w:pPr>
              <w:pStyle w:val="6"/>
              <w:spacing w:before="58" w:line="229" w:lineRule="auto"/>
              <w:ind w:left="3109"/>
              <w:rPr>
                <w:sz w:val="20"/>
                <w:szCs w:val="20"/>
              </w:rPr>
            </w:pPr>
            <w:r>
              <w:rPr>
                <w:spacing w:val="7"/>
                <w:sz w:val="20"/>
                <w:szCs w:val="20"/>
              </w:rPr>
              <w:t>化学品名称</w:t>
            </w:r>
          </w:p>
        </w:tc>
      </w:tr>
      <w:tr w14:paraId="22576D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2373121C">
            <w:pPr>
              <w:pStyle w:val="6"/>
              <w:spacing w:before="53" w:line="228" w:lineRule="auto"/>
              <w:ind w:left="75"/>
              <w:rPr>
                <w:sz w:val="20"/>
                <w:szCs w:val="20"/>
              </w:rPr>
            </w:pPr>
            <w:r>
              <w:rPr>
                <w:spacing w:val="7"/>
                <w:sz w:val="20"/>
                <w:szCs w:val="20"/>
              </w:rPr>
              <w:t>化学品中文名称：</w:t>
            </w:r>
          </w:p>
        </w:tc>
        <w:tc>
          <w:tcPr>
            <w:tcW w:w="1661" w:type="dxa"/>
            <w:vAlign w:val="top"/>
          </w:tcPr>
          <w:p w14:paraId="0E6A8406">
            <w:pPr>
              <w:pStyle w:val="6"/>
              <w:spacing w:before="53" w:line="228" w:lineRule="auto"/>
              <w:ind w:left="627"/>
              <w:rPr>
                <w:sz w:val="20"/>
                <w:szCs w:val="20"/>
              </w:rPr>
            </w:pPr>
            <w:r>
              <w:rPr>
                <w:spacing w:val="4"/>
                <w:sz w:val="20"/>
                <w:szCs w:val="20"/>
              </w:rPr>
              <w:t>煤气</w:t>
            </w:r>
          </w:p>
        </w:tc>
        <w:tc>
          <w:tcPr>
            <w:tcW w:w="2571" w:type="dxa"/>
            <w:vAlign w:val="top"/>
          </w:tcPr>
          <w:p w14:paraId="14DE07E9">
            <w:pPr>
              <w:pStyle w:val="6"/>
              <w:spacing w:before="53" w:line="228" w:lineRule="auto"/>
              <w:ind w:left="452"/>
              <w:rPr>
                <w:sz w:val="20"/>
                <w:szCs w:val="20"/>
              </w:rPr>
            </w:pPr>
            <w:r>
              <w:rPr>
                <w:spacing w:val="7"/>
                <w:sz w:val="20"/>
                <w:szCs w:val="20"/>
              </w:rPr>
              <w:t>化学品英文名称：</w:t>
            </w:r>
          </w:p>
        </w:tc>
        <w:tc>
          <w:tcPr>
            <w:tcW w:w="3023" w:type="dxa"/>
            <w:tcBorders>
              <w:right w:val="nil"/>
            </w:tcBorders>
            <w:vAlign w:val="top"/>
          </w:tcPr>
          <w:p w14:paraId="2557E4FB">
            <w:pPr>
              <w:spacing w:before="84" w:line="201" w:lineRule="auto"/>
              <w:ind w:left="115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Coal</w:t>
            </w:r>
            <w:r>
              <w:rPr>
                <w:rFonts w:ascii="Times New Roman" w:hAnsi="Times New Roman" w:eastAsia="Times New Roman" w:cs="Times New Roman"/>
                <w:spacing w:val="10"/>
                <w:sz w:val="20"/>
                <w:szCs w:val="20"/>
              </w:rPr>
              <w:t xml:space="preserve"> </w:t>
            </w:r>
            <w:r>
              <w:rPr>
                <w:rFonts w:ascii="Times New Roman" w:hAnsi="Times New Roman" w:eastAsia="Times New Roman" w:cs="Times New Roman"/>
                <w:spacing w:val="2"/>
                <w:sz w:val="20"/>
                <w:szCs w:val="20"/>
              </w:rPr>
              <w:t>gas</w:t>
            </w:r>
          </w:p>
        </w:tc>
      </w:tr>
      <w:tr w14:paraId="77ACAC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1A846373">
            <w:pPr>
              <w:pStyle w:val="6"/>
              <w:spacing w:before="54" w:line="228" w:lineRule="auto"/>
              <w:jc w:val="right"/>
              <w:rPr>
                <w:sz w:val="20"/>
                <w:szCs w:val="20"/>
              </w:rPr>
            </w:pPr>
            <w:r>
              <w:rPr>
                <w:spacing w:val="5"/>
                <w:sz w:val="20"/>
                <w:szCs w:val="20"/>
              </w:rPr>
              <w:t>分子式（分子量</w:t>
            </w:r>
            <w:r>
              <w:rPr>
                <w:spacing w:val="-17"/>
                <w:sz w:val="20"/>
                <w:szCs w:val="20"/>
              </w:rPr>
              <w:t>）：</w:t>
            </w:r>
          </w:p>
        </w:tc>
        <w:tc>
          <w:tcPr>
            <w:tcW w:w="1661" w:type="dxa"/>
            <w:vAlign w:val="top"/>
          </w:tcPr>
          <w:p w14:paraId="4B9CEA4E">
            <w:pPr>
              <w:pStyle w:val="6"/>
              <w:spacing w:before="53" w:line="235" w:lineRule="auto"/>
              <w:ind w:left="374"/>
              <w:rPr>
                <w:sz w:val="20"/>
                <w:szCs w:val="20"/>
              </w:rPr>
            </w:pPr>
            <w:r>
              <w:rPr>
                <w:rFonts w:ascii="Times New Roman" w:hAnsi="Times New Roman" w:eastAsia="Times New Roman" w:cs="Times New Roman"/>
                <w:sz w:val="20"/>
                <w:szCs w:val="20"/>
              </w:rPr>
              <w:t>CO</w:t>
            </w:r>
            <w:r>
              <w:rPr>
                <w:spacing w:val="6"/>
                <w:sz w:val="20"/>
                <w:szCs w:val="20"/>
              </w:rPr>
              <w:t>（</w:t>
            </w:r>
            <w:r>
              <w:rPr>
                <w:rFonts w:ascii="Times New Roman" w:hAnsi="Times New Roman" w:eastAsia="Times New Roman" w:cs="Times New Roman"/>
                <w:spacing w:val="6"/>
                <w:sz w:val="20"/>
                <w:szCs w:val="20"/>
              </w:rPr>
              <w:t>28</w:t>
            </w:r>
            <w:r>
              <w:rPr>
                <w:spacing w:val="6"/>
                <w:sz w:val="20"/>
                <w:szCs w:val="20"/>
              </w:rPr>
              <w:t>）</w:t>
            </w:r>
          </w:p>
        </w:tc>
        <w:tc>
          <w:tcPr>
            <w:tcW w:w="2571" w:type="dxa"/>
            <w:vAlign w:val="top"/>
          </w:tcPr>
          <w:p w14:paraId="6E29C96E">
            <w:pPr>
              <w:pStyle w:val="6"/>
              <w:spacing w:before="53" w:line="229" w:lineRule="auto"/>
              <w:ind w:left="823"/>
              <w:rPr>
                <w:sz w:val="20"/>
                <w:szCs w:val="20"/>
              </w:rPr>
            </w:pPr>
            <w:r>
              <w:rPr>
                <w:rFonts w:ascii="Times New Roman" w:hAnsi="Times New Roman" w:eastAsia="Times New Roman" w:cs="Times New Roman"/>
                <w:sz w:val="20"/>
                <w:szCs w:val="20"/>
              </w:rPr>
              <w:t>CAS</w:t>
            </w:r>
            <w:r>
              <w:rPr>
                <w:rFonts w:ascii="Times New Roman" w:hAnsi="Times New Roman" w:eastAsia="Times New Roman" w:cs="Times New Roman"/>
                <w:spacing w:val="10"/>
                <w:sz w:val="20"/>
                <w:szCs w:val="20"/>
              </w:rPr>
              <w:t xml:space="preserve">  </w:t>
            </w:r>
            <w:r>
              <w:rPr>
                <w:spacing w:val="2"/>
                <w:sz w:val="20"/>
                <w:szCs w:val="20"/>
              </w:rPr>
              <w:t>号：</w:t>
            </w:r>
          </w:p>
        </w:tc>
        <w:tc>
          <w:tcPr>
            <w:tcW w:w="3023" w:type="dxa"/>
            <w:tcBorders>
              <w:right w:val="nil"/>
            </w:tcBorders>
            <w:vAlign w:val="top"/>
          </w:tcPr>
          <w:p w14:paraId="6AA84FB7">
            <w:pPr>
              <w:spacing w:before="89" w:line="195" w:lineRule="auto"/>
              <w:ind w:left="11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630-08-0</w:t>
            </w:r>
          </w:p>
        </w:tc>
      </w:tr>
      <w:tr w14:paraId="7B2960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084167A0">
            <w:pPr>
              <w:pStyle w:val="6"/>
              <w:spacing w:before="55" w:line="228" w:lineRule="auto"/>
              <w:ind w:left="496"/>
              <w:rPr>
                <w:sz w:val="20"/>
                <w:szCs w:val="20"/>
              </w:rPr>
            </w:pPr>
            <w:r>
              <w:rPr>
                <w:spacing w:val="4"/>
                <w:sz w:val="20"/>
                <w:szCs w:val="20"/>
              </w:rPr>
              <w:t>危规号：</w:t>
            </w:r>
          </w:p>
        </w:tc>
        <w:tc>
          <w:tcPr>
            <w:tcW w:w="1661" w:type="dxa"/>
            <w:vAlign w:val="top"/>
          </w:tcPr>
          <w:p w14:paraId="42F53D89">
            <w:pPr>
              <w:spacing w:before="90" w:line="195" w:lineRule="auto"/>
              <w:ind w:left="57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21005</w:t>
            </w:r>
          </w:p>
        </w:tc>
        <w:tc>
          <w:tcPr>
            <w:tcW w:w="2571" w:type="dxa"/>
            <w:vAlign w:val="top"/>
          </w:tcPr>
          <w:p w14:paraId="42715F8A">
            <w:pPr>
              <w:pStyle w:val="6"/>
              <w:spacing w:before="54" w:line="228" w:lineRule="auto"/>
              <w:ind w:left="792"/>
              <w:rPr>
                <w:sz w:val="20"/>
                <w:szCs w:val="20"/>
              </w:rPr>
            </w:pPr>
            <w:r>
              <w:rPr>
                <w:rFonts w:ascii="Times New Roman" w:hAnsi="Times New Roman" w:eastAsia="Times New Roman" w:cs="Times New Roman"/>
                <w:sz w:val="20"/>
                <w:szCs w:val="20"/>
              </w:rPr>
              <w:t>UN</w:t>
            </w:r>
            <w:r>
              <w:rPr>
                <w:rFonts w:ascii="Times New Roman" w:hAnsi="Times New Roman" w:eastAsia="Times New Roman" w:cs="Times New Roman"/>
                <w:spacing w:val="11"/>
                <w:sz w:val="20"/>
                <w:szCs w:val="20"/>
              </w:rPr>
              <w:t xml:space="preserve"> </w:t>
            </w:r>
            <w:r>
              <w:rPr>
                <w:spacing w:val="6"/>
                <w:sz w:val="20"/>
                <w:szCs w:val="20"/>
              </w:rPr>
              <w:t>编号：</w:t>
            </w:r>
          </w:p>
        </w:tc>
        <w:tc>
          <w:tcPr>
            <w:tcW w:w="3023" w:type="dxa"/>
            <w:tcBorders>
              <w:right w:val="nil"/>
            </w:tcBorders>
            <w:vAlign w:val="top"/>
          </w:tcPr>
          <w:p w14:paraId="376A5776">
            <w:pPr>
              <w:spacing w:before="90" w:line="195" w:lineRule="auto"/>
              <w:ind w:left="132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1023</w:t>
            </w:r>
          </w:p>
        </w:tc>
      </w:tr>
      <w:tr w14:paraId="58260D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1856969E">
            <w:pPr>
              <w:pStyle w:val="6"/>
              <w:spacing w:before="55" w:line="228" w:lineRule="auto"/>
              <w:ind w:left="494"/>
              <w:rPr>
                <w:sz w:val="20"/>
                <w:szCs w:val="20"/>
              </w:rPr>
            </w:pPr>
            <w:r>
              <w:rPr>
                <w:spacing w:val="7"/>
                <w:sz w:val="20"/>
                <w:szCs w:val="20"/>
              </w:rPr>
              <w:t>第二部分</w:t>
            </w:r>
          </w:p>
        </w:tc>
        <w:tc>
          <w:tcPr>
            <w:tcW w:w="7255" w:type="dxa"/>
            <w:gridSpan w:val="3"/>
            <w:tcBorders>
              <w:right w:val="nil"/>
            </w:tcBorders>
            <w:vAlign w:val="top"/>
          </w:tcPr>
          <w:p w14:paraId="0D62CC6F">
            <w:pPr>
              <w:pStyle w:val="6"/>
              <w:spacing w:before="55" w:line="228" w:lineRule="auto"/>
              <w:ind w:left="3111"/>
              <w:rPr>
                <w:sz w:val="20"/>
                <w:szCs w:val="20"/>
              </w:rPr>
            </w:pPr>
            <w:r>
              <w:rPr>
                <w:spacing w:val="7"/>
                <w:sz w:val="20"/>
                <w:szCs w:val="20"/>
              </w:rPr>
              <w:t>危险性概述</w:t>
            </w:r>
          </w:p>
        </w:tc>
      </w:tr>
      <w:tr w14:paraId="592755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6BDFF10B">
            <w:pPr>
              <w:pStyle w:val="6"/>
              <w:spacing w:before="56" w:line="228" w:lineRule="auto"/>
              <w:ind w:left="288"/>
              <w:rPr>
                <w:sz w:val="20"/>
                <w:szCs w:val="20"/>
              </w:rPr>
            </w:pPr>
            <w:r>
              <w:rPr>
                <w:spacing w:val="6"/>
                <w:sz w:val="20"/>
                <w:szCs w:val="20"/>
              </w:rPr>
              <w:t>危险性类别：</w:t>
            </w:r>
          </w:p>
        </w:tc>
        <w:tc>
          <w:tcPr>
            <w:tcW w:w="7255" w:type="dxa"/>
            <w:gridSpan w:val="3"/>
            <w:tcBorders>
              <w:right w:val="nil"/>
            </w:tcBorders>
            <w:vAlign w:val="top"/>
          </w:tcPr>
          <w:p w14:paraId="666F13FB">
            <w:pPr>
              <w:pStyle w:val="6"/>
              <w:spacing w:before="56" w:line="228" w:lineRule="auto"/>
              <w:ind w:left="1061"/>
              <w:rPr>
                <w:sz w:val="20"/>
                <w:szCs w:val="20"/>
              </w:rPr>
            </w:pPr>
            <w:r>
              <w:rPr>
                <w:spacing w:val="5"/>
                <w:sz w:val="20"/>
                <w:szCs w:val="20"/>
              </w:rPr>
              <w:t>第</w:t>
            </w:r>
            <w:r>
              <w:rPr>
                <w:spacing w:val="-43"/>
                <w:sz w:val="20"/>
                <w:szCs w:val="20"/>
              </w:rPr>
              <w:t xml:space="preserve"> </w:t>
            </w:r>
            <w:r>
              <w:rPr>
                <w:rFonts w:ascii="Times New Roman" w:hAnsi="Times New Roman" w:eastAsia="Times New Roman" w:cs="Times New Roman"/>
                <w:spacing w:val="5"/>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5"/>
                <w:sz w:val="20"/>
                <w:szCs w:val="20"/>
              </w:rPr>
              <w:t xml:space="preserve">1 </w:t>
            </w:r>
            <w:r>
              <w:rPr>
                <w:spacing w:val="5"/>
                <w:sz w:val="20"/>
                <w:szCs w:val="20"/>
              </w:rPr>
              <w:t>类，易燃气体（主</w:t>
            </w:r>
            <w:r>
              <w:rPr>
                <w:spacing w:val="23"/>
                <w:sz w:val="20"/>
                <w:szCs w:val="20"/>
              </w:rPr>
              <w:t>）；</w:t>
            </w:r>
            <w:r>
              <w:rPr>
                <w:spacing w:val="5"/>
                <w:sz w:val="20"/>
                <w:szCs w:val="20"/>
              </w:rPr>
              <w:t>第</w:t>
            </w:r>
            <w:r>
              <w:rPr>
                <w:spacing w:val="-41"/>
                <w:sz w:val="20"/>
                <w:szCs w:val="20"/>
              </w:rPr>
              <w:t xml:space="preserve"> </w:t>
            </w:r>
            <w:r>
              <w:rPr>
                <w:rFonts w:ascii="Times New Roman" w:hAnsi="Times New Roman" w:eastAsia="Times New Roman" w:cs="Times New Roman"/>
                <w:spacing w:val="5"/>
                <w:sz w:val="20"/>
                <w:szCs w:val="20"/>
              </w:rPr>
              <w:t xml:space="preserve">2.3 </w:t>
            </w:r>
            <w:r>
              <w:rPr>
                <w:spacing w:val="5"/>
                <w:sz w:val="20"/>
                <w:szCs w:val="20"/>
              </w:rPr>
              <w:t>类，毒性气体（次）</w:t>
            </w:r>
          </w:p>
        </w:tc>
      </w:tr>
      <w:tr w14:paraId="0BCECF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6F69078F">
            <w:pPr>
              <w:pStyle w:val="6"/>
              <w:spacing w:before="57" w:line="228" w:lineRule="auto"/>
              <w:ind w:left="392"/>
              <w:rPr>
                <w:sz w:val="20"/>
                <w:szCs w:val="20"/>
              </w:rPr>
            </w:pPr>
            <w:r>
              <w:rPr>
                <w:spacing w:val="5"/>
                <w:sz w:val="20"/>
                <w:szCs w:val="20"/>
              </w:rPr>
              <w:t>侵入途径：</w:t>
            </w:r>
          </w:p>
        </w:tc>
        <w:tc>
          <w:tcPr>
            <w:tcW w:w="7255" w:type="dxa"/>
            <w:gridSpan w:val="3"/>
            <w:tcBorders>
              <w:right w:val="nil"/>
            </w:tcBorders>
            <w:vAlign w:val="top"/>
          </w:tcPr>
          <w:p w14:paraId="1B6E5BA0">
            <w:pPr>
              <w:pStyle w:val="6"/>
              <w:spacing w:before="58" w:line="228" w:lineRule="auto"/>
              <w:ind w:left="3433"/>
              <w:rPr>
                <w:sz w:val="20"/>
                <w:szCs w:val="20"/>
              </w:rPr>
            </w:pPr>
            <w:r>
              <w:rPr>
                <w:sz w:val="20"/>
                <w:szCs w:val="20"/>
              </w:rPr>
              <w:t>吸入</w:t>
            </w:r>
          </w:p>
        </w:tc>
      </w:tr>
      <w:tr w14:paraId="35A4BD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1816" w:type="dxa"/>
            <w:tcBorders>
              <w:left w:val="nil"/>
            </w:tcBorders>
            <w:vAlign w:val="top"/>
          </w:tcPr>
          <w:p w14:paraId="14C87C40">
            <w:pPr>
              <w:pStyle w:val="6"/>
              <w:spacing w:before="219" w:line="228" w:lineRule="auto"/>
              <w:ind w:left="391"/>
              <w:rPr>
                <w:sz w:val="20"/>
                <w:szCs w:val="20"/>
              </w:rPr>
            </w:pPr>
            <w:r>
              <w:rPr>
                <w:spacing w:val="5"/>
                <w:sz w:val="20"/>
                <w:szCs w:val="20"/>
              </w:rPr>
              <w:t>健康危害：</w:t>
            </w:r>
          </w:p>
        </w:tc>
        <w:tc>
          <w:tcPr>
            <w:tcW w:w="7255" w:type="dxa"/>
            <w:gridSpan w:val="3"/>
            <w:tcBorders>
              <w:right w:val="nil"/>
            </w:tcBorders>
            <w:vAlign w:val="top"/>
          </w:tcPr>
          <w:p w14:paraId="6EB4CB4A">
            <w:pPr>
              <w:pStyle w:val="6"/>
              <w:spacing w:before="58" w:line="262" w:lineRule="auto"/>
              <w:ind w:left="7"/>
              <w:rPr>
                <w:sz w:val="20"/>
                <w:szCs w:val="20"/>
              </w:rPr>
            </w:pPr>
            <w:r>
              <w:rPr>
                <w:spacing w:val="7"/>
                <w:sz w:val="20"/>
                <w:szCs w:val="20"/>
              </w:rPr>
              <w:t>本品有剧毒，有关煤气中毒的相关信息较多，长时间处于本品中或短时间</w:t>
            </w:r>
            <w:r>
              <w:rPr>
                <w:spacing w:val="6"/>
                <w:sz w:val="20"/>
                <w:szCs w:val="20"/>
              </w:rPr>
              <w:t>处于高</w:t>
            </w:r>
            <w:r>
              <w:rPr>
                <w:sz w:val="20"/>
                <w:szCs w:val="20"/>
              </w:rPr>
              <w:t xml:space="preserve"> </w:t>
            </w:r>
            <w:r>
              <w:rPr>
                <w:spacing w:val="8"/>
                <w:sz w:val="20"/>
                <w:szCs w:val="20"/>
              </w:rPr>
              <w:t>浓度本品中均有生命危险。</w:t>
            </w:r>
          </w:p>
        </w:tc>
      </w:tr>
      <w:tr w14:paraId="4402D2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75CFE382">
            <w:pPr>
              <w:pStyle w:val="6"/>
              <w:spacing w:before="60" w:line="228" w:lineRule="auto"/>
              <w:ind w:left="391"/>
              <w:rPr>
                <w:sz w:val="20"/>
                <w:szCs w:val="20"/>
              </w:rPr>
            </w:pPr>
            <w:r>
              <w:rPr>
                <w:spacing w:val="5"/>
                <w:sz w:val="20"/>
                <w:szCs w:val="20"/>
              </w:rPr>
              <w:t>环境危害：</w:t>
            </w:r>
          </w:p>
        </w:tc>
        <w:tc>
          <w:tcPr>
            <w:tcW w:w="7255" w:type="dxa"/>
            <w:gridSpan w:val="3"/>
            <w:tcBorders>
              <w:right w:val="nil"/>
            </w:tcBorders>
            <w:vAlign w:val="top"/>
          </w:tcPr>
          <w:p w14:paraId="1F98A3D7">
            <w:pPr>
              <w:pStyle w:val="6"/>
              <w:spacing w:before="60" w:line="228" w:lineRule="auto"/>
              <w:ind w:left="3004"/>
              <w:rPr>
                <w:sz w:val="20"/>
                <w:szCs w:val="20"/>
              </w:rPr>
            </w:pPr>
            <w:r>
              <w:rPr>
                <w:spacing w:val="6"/>
                <w:sz w:val="20"/>
                <w:szCs w:val="20"/>
              </w:rPr>
              <w:t>对环境有害。</w:t>
            </w:r>
          </w:p>
        </w:tc>
      </w:tr>
      <w:tr w14:paraId="1EFBB5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2ACC4C56">
            <w:pPr>
              <w:pStyle w:val="6"/>
              <w:spacing w:before="62" w:line="226" w:lineRule="auto"/>
              <w:ind w:left="391"/>
              <w:rPr>
                <w:sz w:val="20"/>
                <w:szCs w:val="20"/>
              </w:rPr>
            </w:pPr>
            <w:r>
              <w:rPr>
                <w:spacing w:val="5"/>
                <w:sz w:val="20"/>
                <w:szCs w:val="20"/>
              </w:rPr>
              <w:t>燃爆危险：</w:t>
            </w:r>
          </w:p>
        </w:tc>
        <w:tc>
          <w:tcPr>
            <w:tcW w:w="7255" w:type="dxa"/>
            <w:gridSpan w:val="3"/>
            <w:tcBorders>
              <w:right w:val="nil"/>
            </w:tcBorders>
            <w:vAlign w:val="top"/>
          </w:tcPr>
          <w:p w14:paraId="3E29A733">
            <w:pPr>
              <w:pStyle w:val="6"/>
              <w:spacing w:before="62" w:line="226" w:lineRule="auto"/>
              <w:ind w:left="1862"/>
              <w:rPr>
                <w:sz w:val="20"/>
                <w:szCs w:val="20"/>
              </w:rPr>
            </w:pPr>
            <w:r>
              <w:rPr>
                <w:spacing w:val="7"/>
                <w:sz w:val="20"/>
                <w:szCs w:val="20"/>
              </w:rPr>
              <w:t>易燃，与空气混合形成爆炸性混合物。</w:t>
            </w:r>
          </w:p>
        </w:tc>
      </w:tr>
      <w:tr w14:paraId="54C5D1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511B54A2">
            <w:pPr>
              <w:pStyle w:val="6"/>
              <w:spacing w:before="63" w:line="226" w:lineRule="auto"/>
              <w:ind w:left="494"/>
              <w:rPr>
                <w:sz w:val="20"/>
                <w:szCs w:val="20"/>
              </w:rPr>
            </w:pPr>
            <w:r>
              <w:rPr>
                <w:spacing w:val="7"/>
                <w:sz w:val="20"/>
                <w:szCs w:val="20"/>
              </w:rPr>
              <w:t>第三部分</w:t>
            </w:r>
          </w:p>
        </w:tc>
        <w:tc>
          <w:tcPr>
            <w:tcW w:w="7255" w:type="dxa"/>
            <w:gridSpan w:val="3"/>
            <w:tcBorders>
              <w:right w:val="nil"/>
            </w:tcBorders>
            <w:vAlign w:val="top"/>
          </w:tcPr>
          <w:p w14:paraId="456FA9DA">
            <w:pPr>
              <w:pStyle w:val="6"/>
              <w:spacing w:before="63" w:line="226" w:lineRule="auto"/>
              <w:ind w:left="2978"/>
              <w:rPr>
                <w:sz w:val="20"/>
                <w:szCs w:val="20"/>
              </w:rPr>
            </w:pPr>
            <w:r>
              <w:rPr>
                <w:spacing w:val="7"/>
                <w:sz w:val="20"/>
                <w:szCs w:val="20"/>
              </w:rPr>
              <w:t>成分</w:t>
            </w:r>
            <w:r>
              <w:rPr>
                <w:rFonts w:ascii="Times New Roman" w:hAnsi="Times New Roman" w:eastAsia="Times New Roman" w:cs="Times New Roman"/>
                <w:spacing w:val="7"/>
                <w:sz w:val="20"/>
                <w:szCs w:val="20"/>
              </w:rPr>
              <w:t>/</w:t>
            </w:r>
            <w:r>
              <w:rPr>
                <w:spacing w:val="7"/>
                <w:sz w:val="20"/>
                <w:szCs w:val="20"/>
              </w:rPr>
              <w:t>组成信息</w:t>
            </w:r>
          </w:p>
        </w:tc>
      </w:tr>
      <w:tr w14:paraId="62FEB5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0DB15F38">
            <w:pPr>
              <w:pStyle w:val="6"/>
              <w:spacing w:before="64" w:line="225" w:lineRule="auto"/>
              <w:ind w:left="391"/>
              <w:rPr>
                <w:sz w:val="20"/>
                <w:szCs w:val="20"/>
              </w:rPr>
            </w:pPr>
            <w:r>
              <w:rPr>
                <w:spacing w:val="5"/>
                <w:sz w:val="20"/>
                <w:szCs w:val="20"/>
              </w:rPr>
              <w:t>有害成分：</w:t>
            </w:r>
          </w:p>
        </w:tc>
        <w:tc>
          <w:tcPr>
            <w:tcW w:w="7255" w:type="dxa"/>
            <w:gridSpan w:val="3"/>
            <w:tcBorders>
              <w:right w:val="nil"/>
            </w:tcBorders>
            <w:vAlign w:val="top"/>
          </w:tcPr>
          <w:p w14:paraId="2AE26A6C">
            <w:pPr>
              <w:pStyle w:val="6"/>
              <w:spacing w:before="64" w:line="225" w:lineRule="auto"/>
              <w:ind w:left="2479"/>
              <w:rPr>
                <w:sz w:val="20"/>
                <w:szCs w:val="20"/>
              </w:rPr>
            </w:pPr>
            <w:r>
              <w:rPr>
                <w:spacing w:val="5"/>
                <w:sz w:val="20"/>
                <w:szCs w:val="20"/>
              </w:rPr>
              <w:t>氢气、</w:t>
            </w:r>
            <w:r>
              <w:rPr>
                <w:spacing w:val="-56"/>
                <w:sz w:val="20"/>
                <w:szCs w:val="20"/>
              </w:rPr>
              <w:t xml:space="preserve"> </w:t>
            </w:r>
            <w:r>
              <w:rPr>
                <w:spacing w:val="5"/>
                <w:sz w:val="20"/>
                <w:szCs w:val="20"/>
              </w:rPr>
              <w:t>甲烷、一氧化碳等</w:t>
            </w:r>
          </w:p>
        </w:tc>
      </w:tr>
      <w:tr w14:paraId="0164D5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611FD358">
            <w:pPr>
              <w:pStyle w:val="6"/>
              <w:spacing w:before="65" w:line="224" w:lineRule="auto"/>
              <w:ind w:left="494"/>
              <w:rPr>
                <w:sz w:val="20"/>
                <w:szCs w:val="20"/>
              </w:rPr>
            </w:pPr>
            <w:r>
              <w:rPr>
                <w:spacing w:val="7"/>
                <w:sz w:val="20"/>
                <w:szCs w:val="20"/>
              </w:rPr>
              <w:t>第四部分</w:t>
            </w:r>
          </w:p>
        </w:tc>
        <w:tc>
          <w:tcPr>
            <w:tcW w:w="7255" w:type="dxa"/>
            <w:gridSpan w:val="3"/>
            <w:tcBorders>
              <w:right w:val="nil"/>
            </w:tcBorders>
            <w:vAlign w:val="top"/>
          </w:tcPr>
          <w:p w14:paraId="4D3A0446">
            <w:pPr>
              <w:pStyle w:val="6"/>
              <w:spacing w:before="65" w:line="224" w:lineRule="auto"/>
              <w:ind w:left="3220"/>
              <w:rPr>
                <w:sz w:val="20"/>
                <w:szCs w:val="20"/>
              </w:rPr>
            </w:pPr>
            <w:r>
              <w:rPr>
                <w:spacing w:val="5"/>
                <w:sz w:val="20"/>
                <w:szCs w:val="20"/>
              </w:rPr>
              <w:t>急救措施</w:t>
            </w:r>
          </w:p>
        </w:tc>
      </w:tr>
      <w:tr w14:paraId="437D7B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0D14B3A0">
            <w:pPr>
              <w:pStyle w:val="6"/>
              <w:spacing w:before="65" w:line="224" w:lineRule="auto"/>
              <w:ind w:left="394"/>
              <w:rPr>
                <w:sz w:val="20"/>
                <w:szCs w:val="20"/>
              </w:rPr>
            </w:pPr>
            <w:r>
              <w:rPr>
                <w:spacing w:val="5"/>
                <w:sz w:val="20"/>
                <w:szCs w:val="20"/>
              </w:rPr>
              <w:t>皮肤接触：</w:t>
            </w:r>
          </w:p>
        </w:tc>
        <w:tc>
          <w:tcPr>
            <w:tcW w:w="7255" w:type="dxa"/>
            <w:gridSpan w:val="3"/>
            <w:tcBorders>
              <w:right w:val="nil"/>
            </w:tcBorders>
            <w:vAlign w:val="top"/>
          </w:tcPr>
          <w:p w14:paraId="20D3A4A3">
            <w:pPr>
              <w:spacing w:before="97" w:line="199" w:lineRule="auto"/>
              <w:ind w:left="35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3804F5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67F36177">
            <w:pPr>
              <w:pStyle w:val="6"/>
              <w:spacing w:before="66" w:line="223" w:lineRule="auto"/>
              <w:ind w:left="404"/>
              <w:rPr>
                <w:sz w:val="20"/>
                <w:szCs w:val="20"/>
              </w:rPr>
            </w:pPr>
            <w:r>
              <w:rPr>
                <w:spacing w:val="3"/>
                <w:sz w:val="20"/>
                <w:szCs w:val="20"/>
              </w:rPr>
              <w:t>眼睛接触：</w:t>
            </w:r>
          </w:p>
        </w:tc>
        <w:tc>
          <w:tcPr>
            <w:tcW w:w="7255" w:type="dxa"/>
            <w:gridSpan w:val="3"/>
            <w:tcBorders>
              <w:right w:val="nil"/>
            </w:tcBorders>
            <w:vAlign w:val="top"/>
          </w:tcPr>
          <w:p w14:paraId="2A5611D4">
            <w:pPr>
              <w:spacing w:before="98" w:line="199" w:lineRule="auto"/>
              <w:ind w:left="35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6CCF45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1816" w:type="dxa"/>
            <w:tcBorders>
              <w:left w:val="nil"/>
            </w:tcBorders>
            <w:vAlign w:val="top"/>
          </w:tcPr>
          <w:p w14:paraId="7B7FA6E8">
            <w:pPr>
              <w:pStyle w:val="6"/>
              <w:spacing w:before="226" w:line="228" w:lineRule="auto"/>
              <w:ind w:left="608"/>
              <w:rPr>
                <w:sz w:val="20"/>
                <w:szCs w:val="20"/>
              </w:rPr>
            </w:pPr>
            <w:r>
              <w:rPr>
                <w:sz w:val="20"/>
                <w:szCs w:val="20"/>
              </w:rPr>
              <w:t>吸入：</w:t>
            </w:r>
          </w:p>
        </w:tc>
        <w:tc>
          <w:tcPr>
            <w:tcW w:w="7255" w:type="dxa"/>
            <w:gridSpan w:val="3"/>
            <w:tcBorders>
              <w:right w:val="nil"/>
            </w:tcBorders>
            <w:vAlign w:val="top"/>
          </w:tcPr>
          <w:p w14:paraId="7392E17E">
            <w:pPr>
              <w:pStyle w:val="6"/>
              <w:spacing w:before="67" w:line="258" w:lineRule="auto"/>
              <w:ind w:left="7" w:right="2"/>
              <w:rPr>
                <w:sz w:val="20"/>
                <w:szCs w:val="20"/>
              </w:rPr>
            </w:pPr>
            <w:r>
              <w:rPr>
                <w:spacing w:val="7"/>
                <w:sz w:val="20"/>
                <w:szCs w:val="20"/>
              </w:rPr>
              <w:t>迅速脱离现场至空气新鲜处，保持呼吸道畅通；如呼吸困难，给输氧；</w:t>
            </w:r>
            <w:r>
              <w:rPr>
                <w:spacing w:val="6"/>
                <w:sz w:val="20"/>
                <w:szCs w:val="20"/>
              </w:rPr>
              <w:t>如果呼吸</w:t>
            </w:r>
            <w:r>
              <w:rPr>
                <w:sz w:val="20"/>
                <w:szCs w:val="20"/>
              </w:rPr>
              <w:t xml:space="preserve"> </w:t>
            </w:r>
            <w:r>
              <w:rPr>
                <w:spacing w:val="8"/>
                <w:sz w:val="20"/>
                <w:szCs w:val="20"/>
              </w:rPr>
              <w:t>停止，立即进行人工呼吸，并立即就医。</w:t>
            </w:r>
          </w:p>
        </w:tc>
      </w:tr>
      <w:tr w14:paraId="6067F7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599A0417">
            <w:pPr>
              <w:pStyle w:val="6"/>
              <w:spacing w:before="69" w:line="220" w:lineRule="auto"/>
              <w:ind w:left="599"/>
              <w:rPr>
                <w:sz w:val="20"/>
                <w:szCs w:val="20"/>
              </w:rPr>
            </w:pPr>
            <w:r>
              <w:rPr>
                <w:spacing w:val="3"/>
                <w:sz w:val="20"/>
                <w:szCs w:val="20"/>
              </w:rPr>
              <w:t>食入：</w:t>
            </w:r>
          </w:p>
        </w:tc>
        <w:tc>
          <w:tcPr>
            <w:tcW w:w="7255" w:type="dxa"/>
            <w:gridSpan w:val="3"/>
            <w:tcBorders>
              <w:right w:val="nil"/>
            </w:tcBorders>
            <w:vAlign w:val="top"/>
          </w:tcPr>
          <w:p w14:paraId="21E92A2F">
            <w:pPr>
              <w:spacing w:before="102" w:line="199" w:lineRule="auto"/>
              <w:ind w:left="35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7646C9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2FA89B4C">
            <w:pPr>
              <w:pStyle w:val="6"/>
              <w:spacing w:before="70" w:line="219" w:lineRule="auto"/>
              <w:ind w:left="494"/>
              <w:rPr>
                <w:sz w:val="20"/>
                <w:szCs w:val="20"/>
              </w:rPr>
            </w:pPr>
            <w:r>
              <w:rPr>
                <w:spacing w:val="7"/>
                <w:sz w:val="20"/>
                <w:szCs w:val="20"/>
              </w:rPr>
              <w:t>第五部分</w:t>
            </w:r>
          </w:p>
        </w:tc>
        <w:tc>
          <w:tcPr>
            <w:tcW w:w="7255" w:type="dxa"/>
            <w:gridSpan w:val="3"/>
            <w:tcBorders>
              <w:right w:val="nil"/>
            </w:tcBorders>
            <w:vAlign w:val="top"/>
          </w:tcPr>
          <w:p w14:paraId="4453DF7E">
            <w:pPr>
              <w:pStyle w:val="6"/>
              <w:spacing w:before="70" w:line="219" w:lineRule="auto"/>
              <w:ind w:left="3218"/>
              <w:rPr>
                <w:sz w:val="20"/>
                <w:szCs w:val="20"/>
              </w:rPr>
            </w:pPr>
            <w:r>
              <w:rPr>
                <w:spacing w:val="6"/>
                <w:sz w:val="20"/>
                <w:szCs w:val="20"/>
              </w:rPr>
              <w:t>消防措施</w:t>
            </w:r>
          </w:p>
        </w:tc>
      </w:tr>
      <w:tr w14:paraId="4FDBD9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6F87C328">
            <w:pPr>
              <w:pStyle w:val="6"/>
              <w:spacing w:before="71" w:line="218" w:lineRule="auto"/>
              <w:ind w:left="393"/>
              <w:rPr>
                <w:sz w:val="20"/>
                <w:szCs w:val="20"/>
              </w:rPr>
            </w:pPr>
            <w:r>
              <w:rPr>
                <w:spacing w:val="5"/>
                <w:sz w:val="20"/>
                <w:szCs w:val="20"/>
              </w:rPr>
              <w:t>危险特性：</w:t>
            </w:r>
          </w:p>
        </w:tc>
        <w:tc>
          <w:tcPr>
            <w:tcW w:w="7255" w:type="dxa"/>
            <w:gridSpan w:val="3"/>
            <w:tcBorders>
              <w:right w:val="nil"/>
            </w:tcBorders>
            <w:vAlign w:val="top"/>
          </w:tcPr>
          <w:p w14:paraId="4E3742D8">
            <w:pPr>
              <w:pStyle w:val="6"/>
              <w:spacing w:before="71" w:line="218" w:lineRule="auto"/>
              <w:ind w:left="275"/>
              <w:rPr>
                <w:sz w:val="20"/>
                <w:szCs w:val="20"/>
              </w:rPr>
            </w:pPr>
            <w:r>
              <w:rPr>
                <w:spacing w:val="9"/>
                <w:sz w:val="20"/>
                <w:szCs w:val="20"/>
              </w:rPr>
              <w:t>有毒，与空气混合易形成爆炸性混合物，遇火星、高温有燃烧爆炸危险。</w:t>
            </w:r>
          </w:p>
        </w:tc>
      </w:tr>
      <w:tr w14:paraId="386780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65FB9792">
            <w:pPr>
              <w:pStyle w:val="6"/>
              <w:spacing w:before="72" w:line="217" w:lineRule="auto"/>
              <w:ind w:left="180"/>
              <w:rPr>
                <w:sz w:val="20"/>
                <w:szCs w:val="20"/>
              </w:rPr>
            </w:pPr>
            <w:r>
              <w:rPr>
                <w:spacing w:val="6"/>
                <w:sz w:val="20"/>
                <w:szCs w:val="20"/>
              </w:rPr>
              <w:t>有害燃烧产物：</w:t>
            </w:r>
          </w:p>
        </w:tc>
        <w:tc>
          <w:tcPr>
            <w:tcW w:w="7255" w:type="dxa"/>
            <w:gridSpan w:val="3"/>
            <w:tcBorders>
              <w:right w:val="nil"/>
            </w:tcBorders>
            <w:vAlign w:val="top"/>
          </w:tcPr>
          <w:p w14:paraId="232EB3A4">
            <w:pPr>
              <w:pStyle w:val="6"/>
              <w:spacing w:before="72" w:line="217" w:lineRule="auto"/>
              <w:ind w:left="3530"/>
              <w:rPr>
                <w:sz w:val="20"/>
                <w:szCs w:val="20"/>
              </w:rPr>
            </w:pPr>
            <w:r>
              <w:rPr>
                <w:sz w:val="20"/>
                <w:szCs w:val="20"/>
              </w:rPr>
              <w:t>无</w:t>
            </w:r>
          </w:p>
        </w:tc>
      </w:tr>
      <w:tr w14:paraId="4FBDFF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6CB31DFA">
            <w:pPr>
              <w:pStyle w:val="6"/>
              <w:spacing w:before="73" w:line="216" w:lineRule="auto"/>
              <w:ind w:left="394"/>
              <w:rPr>
                <w:sz w:val="20"/>
                <w:szCs w:val="20"/>
              </w:rPr>
            </w:pPr>
            <w:r>
              <w:rPr>
                <w:spacing w:val="5"/>
                <w:sz w:val="20"/>
                <w:szCs w:val="20"/>
              </w:rPr>
              <w:t>灭火方法：</w:t>
            </w:r>
          </w:p>
        </w:tc>
        <w:tc>
          <w:tcPr>
            <w:tcW w:w="7255" w:type="dxa"/>
            <w:gridSpan w:val="3"/>
            <w:tcBorders>
              <w:right w:val="nil"/>
            </w:tcBorders>
            <w:vAlign w:val="top"/>
          </w:tcPr>
          <w:p w14:paraId="338FD68B">
            <w:pPr>
              <w:pStyle w:val="6"/>
              <w:spacing w:before="73" w:line="216" w:lineRule="auto"/>
              <w:ind w:left="1221"/>
              <w:rPr>
                <w:sz w:val="20"/>
                <w:szCs w:val="20"/>
              </w:rPr>
            </w:pPr>
            <w:r>
              <w:rPr>
                <w:spacing w:val="9"/>
                <w:sz w:val="20"/>
                <w:szCs w:val="20"/>
              </w:rPr>
              <w:t>按照规定储运；灭火剂为雾水状、泡沫、二氧化碳。</w:t>
            </w:r>
          </w:p>
        </w:tc>
      </w:tr>
      <w:tr w14:paraId="1F68DB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9" w:hRule="atLeast"/>
        </w:trPr>
        <w:tc>
          <w:tcPr>
            <w:tcW w:w="1816" w:type="dxa"/>
            <w:tcBorders>
              <w:left w:val="nil"/>
              <w:bottom w:val="single" w:color="000000" w:sz="10" w:space="0"/>
            </w:tcBorders>
            <w:vAlign w:val="top"/>
          </w:tcPr>
          <w:p w14:paraId="0DFDCD7A">
            <w:pPr>
              <w:pStyle w:val="6"/>
              <w:spacing w:before="234" w:line="281" w:lineRule="auto"/>
              <w:ind w:left="704" w:right="69" w:hanging="627"/>
              <w:rPr>
                <w:sz w:val="20"/>
                <w:szCs w:val="20"/>
              </w:rPr>
            </w:pPr>
            <w:r>
              <w:rPr>
                <w:spacing w:val="8"/>
                <w:sz w:val="20"/>
                <w:szCs w:val="20"/>
              </w:rPr>
              <w:t>灭火注意事项及措</w:t>
            </w:r>
            <w:r>
              <w:rPr>
                <w:spacing w:val="1"/>
                <w:sz w:val="20"/>
                <w:szCs w:val="20"/>
              </w:rPr>
              <w:t xml:space="preserve"> </w:t>
            </w:r>
            <w:r>
              <w:rPr>
                <w:sz w:val="20"/>
                <w:szCs w:val="20"/>
              </w:rPr>
              <w:t>施：</w:t>
            </w:r>
          </w:p>
        </w:tc>
        <w:tc>
          <w:tcPr>
            <w:tcW w:w="7255" w:type="dxa"/>
            <w:gridSpan w:val="3"/>
            <w:tcBorders>
              <w:bottom w:val="single" w:color="000000" w:sz="10" w:space="0"/>
              <w:right w:val="nil"/>
            </w:tcBorders>
            <w:vAlign w:val="top"/>
          </w:tcPr>
          <w:p w14:paraId="18D1BEF7">
            <w:pPr>
              <w:pStyle w:val="6"/>
              <w:spacing w:before="75" w:line="275" w:lineRule="auto"/>
              <w:ind w:left="7" w:hanging="1"/>
              <w:jc w:val="both"/>
              <w:rPr>
                <w:sz w:val="20"/>
                <w:szCs w:val="20"/>
              </w:rPr>
            </w:pPr>
            <w:r>
              <w:rPr>
                <w:spacing w:val="5"/>
                <w:sz w:val="20"/>
                <w:szCs w:val="20"/>
              </w:rPr>
              <w:t>切断气源。若不能切断气源，则不允许熄灭泄露处的火焰。消防人员必须佩戴空</w:t>
            </w:r>
            <w:r>
              <w:rPr>
                <w:sz w:val="20"/>
                <w:szCs w:val="20"/>
              </w:rPr>
              <w:t xml:space="preserve"> </w:t>
            </w:r>
            <w:r>
              <w:rPr>
                <w:spacing w:val="1"/>
                <w:sz w:val="20"/>
                <w:szCs w:val="20"/>
              </w:rPr>
              <w:t>气呼吸器、穿全身防火防毒服，在上风向灭火，尽可能将容器从火场移至空旷处。</w:t>
            </w:r>
            <w:r>
              <w:rPr>
                <w:spacing w:val="6"/>
                <w:sz w:val="20"/>
                <w:szCs w:val="20"/>
              </w:rPr>
              <w:t xml:space="preserve"> 喷水保持火场容器冷却，直至灭火结束。</w:t>
            </w:r>
          </w:p>
        </w:tc>
      </w:tr>
    </w:tbl>
    <w:p w14:paraId="77F2D1ED">
      <w:pPr>
        <w:pStyle w:val="2"/>
      </w:pPr>
    </w:p>
    <w:p w14:paraId="6F8458D3">
      <w:pPr>
        <w:sectPr>
          <w:footerReference r:id="rId379" w:type="default"/>
          <w:pgSz w:w="11906" w:h="16839"/>
          <w:pgMar w:top="1191" w:right="1416" w:bottom="1221" w:left="1417" w:header="882" w:footer="1059" w:gutter="0"/>
          <w:cols w:space="720" w:num="1"/>
        </w:sectPr>
      </w:pPr>
    </w:p>
    <w:p w14:paraId="20E12640">
      <w:pPr>
        <w:spacing w:line="28" w:lineRule="exact"/>
      </w:pPr>
      <w:r>
        <w:pict>
          <v:shape id="_x0000_s1864" o:spid="_x0000_s1864" style="height:1.45pt;width:453.65pt;" fillcolor="#000000" filled="t" stroked="f" coordsize="9072,29" path="m0,0l9072,0,9072,28,0,28,0,0xe">
            <v:path/>
            <v:fill on="t" focussize="0,0"/>
            <v:stroke on="f"/>
            <v:imagedata o:title=""/>
            <o:lock v:ext="edit"/>
            <w10:wrap type="none"/>
            <w10:anchorlock/>
          </v:shape>
        </w:pict>
      </w:r>
    </w:p>
    <w:p w14:paraId="2C3076D1">
      <w:pPr>
        <w:spacing w:line="196" w:lineRule="exact"/>
      </w:pPr>
    </w:p>
    <w:tbl>
      <w:tblPr>
        <w:tblStyle w:val="5"/>
        <w:tblW w:w="907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16"/>
        <w:gridCol w:w="1661"/>
        <w:gridCol w:w="2571"/>
        <w:gridCol w:w="3023"/>
      </w:tblGrid>
      <w:tr w14:paraId="628BC4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1816" w:type="dxa"/>
            <w:tcBorders>
              <w:top w:val="single" w:color="000000" w:sz="10" w:space="0"/>
              <w:left w:val="nil"/>
            </w:tcBorders>
            <w:vAlign w:val="top"/>
          </w:tcPr>
          <w:p w14:paraId="728A5D11">
            <w:pPr>
              <w:pStyle w:val="6"/>
              <w:spacing w:before="59" w:line="228" w:lineRule="auto"/>
              <w:ind w:left="494"/>
              <w:rPr>
                <w:sz w:val="20"/>
                <w:szCs w:val="20"/>
              </w:rPr>
            </w:pPr>
            <w:r>
              <w:rPr>
                <w:spacing w:val="7"/>
                <w:sz w:val="20"/>
                <w:szCs w:val="20"/>
              </w:rPr>
              <w:t>第六部分</w:t>
            </w:r>
          </w:p>
        </w:tc>
        <w:tc>
          <w:tcPr>
            <w:tcW w:w="7255" w:type="dxa"/>
            <w:gridSpan w:val="3"/>
            <w:tcBorders>
              <w:top w:val="single" w:color="000000" w:sz="10" w:space="0"/>
              <w:right w:val="nil"/>
            </w:tcBorders>
            <w:vAlign w:val="top"/>
          </w:tcPr>
          <w:p w14:paraId="2C457056">
            <w:pPr>
              <w:pStyle w:val="6"/>
              <w:spacing w:before="59" w:line="229" w:lineRule="auto"/>
              <w:ind w:left="3008"/>
              <w:rPr>
                <w:sz w:val="20"/>
                <w:szCs w:val="20"/>
              </w:rPr>
            </w:pPr>
            <w:r>
              <w:rPr>
                <w:spacing w:val="7"/>
                <w:sz w:val="20"/>
                <w:szCs w:val="20"/>
              </w:rPr>
              <w:t>泄漏应急处理</w:t>
            </w:r>
          </w:p>
        </w:tc>
      </w:tr>
      <w:tr w14:paraId="191336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92" w:hRule="atLeast"/>
        </w:trPr>
        <w:tc>
          <w:tcPr>
            <w:tcW w:w="1816" w:type="dxa"/>
            <w:tcBorders>
              <w:left w:val="nil"/>
            </w:tcBorders>
            <w:vAlign w:val="top"/>
          </w:tcPr>
          <w:p w14:paraId="397BE398">
            <w:pPr>
              <w:spacing w:line="310" w:lineRule="auto"/>
              <w:rPr>
                <w:rFonts w:ascii="Arial"/>
                <w:sz w:val="21"/>
              </w:rPr>
            </w:pPr>
          </w:p>
          <w:p w14:paraId="2C9529E9">
            <w:pPr>
              <w:spacing w:line="311" w:lineRule="auto"/>
              <w:rPr>
                <w:rFonts w:ascii="Arial"/>
                <w:sz w:val="21"/>
              </w:rPr>
            </w:pPr>
          </w:p>
          <w:p w14:paraId="0D1159B9">
            <w:pPr>
              <w:pStyle w:val="6"/>
              <w:spacing w:before="65" w:line="230" w:lineRule="auto"/>
              <w:ind w:left="391"/>
              <w:rPr>
                <w:sz w:val="20"/>
                <w:szCs w:val="20"/>
              </w:rPr>
            </w:pPr>
            <w:r>
              <w:rPr>
                <w:spacing w:val="5"/>
                <w:sz w:val="20"/>
                <w:szCs w:val="20"/>
              </w:rPr>
              <w:t>应急处理：</w:t>
            </w:r>
          </w:p>
        </w:tc>
        <w:tc>
          <w:tcPr>
            <w:tcW w:w="7255" w:type="dxa"/>
            <w:gridSpan w:val="3"/>
            <w:tcBorders>
              <w:right w:val="nil"/>
            </w:tcBorders>
            <w:vAlign w:val="top"/>
          </w:tcPr>
          <w:p w14:paraId="37EC8350">
            <w:pPr>
              <w:pStyle w:val="6"/>
              <w:spacing w:before="54" w:line="282" w:lineRule="auto"/>
              <w:ind w:left="8" w:hanging="1"/>
              <w:jc w:val="both"/>
              <w:rPr>
                <w:sz w:val="20"/>
                <w:szCs w:val="20"/>
              </w:rPr>
            </w:pPr>
            <w:r>
              <w:rPr>
                <w:spacing w:val="7"/>
                <w:sz w:val="20"/>
                <w:szCs w:val="20"/>
              </w:rPr>
              <w:t>迅速撤离泄漏污染区人员至上风处，并隔离直至气体散尽，切断附近一切火</w:t>
            </w:r>
            <w:r>
              <w:rPr>
                <w:spacing w:val="6"/>
                <w:sz w:val="20"/>
                <w:szCs w:val="20"/>
              </w:rPr>
              <w:t>源，</w:t>
            </w:r>
            <w:r>
              <w:rPr>
                <w:sz w:val="20"/>
                <w:szCs w:val="20"/>
              </w:rPr>
              <w:t xml:space="preserve"> </w:t>
            </w:r>
            <w:r>
              <w:rPr>
                <w:spacing w:val="5"/>
                <w:sz w:val="20"/>
                <w:szCs w:val="20"/>
              </w:rPr>
              <w:t>大量泄漏时要立即划出警戒线，禁止一切车辆、行人进入，派专人负责控制所有</w:t>
            </w:r>
            <w:r>
              <w:rPr>
                <w:sz w:val="20"/>
                <w:szCs w:val="20"/>
              </w:rPr>
              <w:t xml:space="preserve"> </w:t>
            </w:r>
            <w:r>
              <w:rPr>
                <w:spacing w:val="1"/>
                <w:sz w:val="20"/>
                <w:szCs w:val="20"/>
              </w:rPr>
              <w:t>火源。应急处理人员戴呼吸器，穿防护服。设法切断气源，用雾状水中和、稀释、</w:t>
            </w:r>
            <w:r>
              <w:rPr>
                <w:spacing w:val="6"/>
                <w:sz w:val="20"/>
                <w:szCs w:val="20"/>
              </w:rPr>
              <w:t xml:space="preserve"> </w:t>
            </w:r>
            <w:r>
              <w:rPr>
                <w:spacing w:val="5"/>
                <w:sz w:val="20"/>
                <w:szCs w:val="20"/>
              </w:rPr>
              <w:t>溶解，然后抽排（室内）或强力通风（室外）。漏气容器不能再用，且要经过技</w:t>
            </w:r>
            <w:r>
              <w:rPr>
                <w:sz w:val="20"/>
                <w:szCs w:val="20"/>
              </w:rPr>
              <w:t xml:space="preserve"> </w:t>
            </w:r>
            <w:r>
              <w:rPr>
                <w:spacing w:val="6"/>
                <w:sz w:val="20"/>
                <w:szCs w:val="20"/>
              </w:rPr>
              <w:t>术处理以清除可能剩下的气体。</w:t>
            </w:r>
          </w:p>
        </w:tc>
      </w:tr>
      <w:tr w14:paraId="7629BE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28EC0B5E">
            <w:pPr>
              <w:pStyle w:val="6"/>
              <w:spacing w:before="55" w:line="228" w:lineRule="auto"/>
              <w:ind w:left="494"/>
              <w:rPr>
                <w:sz w:val="20"/>
                <w:szCs w:val="20"/>
              </w:rPr>
            </w:pPr>
            <w:r>
              <w:rPr>
                <w:spacing w:val="7"/>
                <w:sz w:val="20"/>
                <w:szCs w:val="20"/>
              </w:rPr>
              <w:t>第七部分</w:t>
            </w:r>
          </w:p>
        </w:tc>
        <w:tc>
          <w:tcPr>
            <w:tcW w:w="7255" w:type="dxa"/>
            <w:gridSpan w:val="3"/>
            <w:tcBorders>
              <w:right w:val="nil"/>
            </w:tcBorders>
            <w:vAlign w:val="top"/>
          </w:tcPr>
          <w:p w14:paraId="24F68899">
            <w:pPr>
              <w:pStyle w:val="6"/>
              <w:spacing w:before="55" w:line="228" w:lineRule="auto"/>
              <w:ind w:left="2898"/>
              <w:rPr>
                <w:sz w:val="20"/>
                <w:szCs w:val="20"/>
              </w:rPr>
            </w:pPr>
            <w:r>
              <w:rPr>
                <w:spacing w:val="8"/>
                <w:sz w:val="20"/>
                <w:szCs w:val="20"/>
              </w:rPr>
              <w:t>操作处置与储存</w:t>
            </w:r>
          </w:p>
        </w:tc>
      </w:tr>
      <w:tr w14:paraId="7D83FA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1" w:hRule="atLeast"/>
        </w:trPr>
        <w:tc>
          <w:tcPr>
            <w:tcW w:w="1816" w:type="dxa"/>
            <w:tcBorders>
              <w:left w:val="nil"/>
            </w:tcBorders>
            <w:vAlign w:val="top"/>
          </w:tcPr>
          <w:p w14:paraId="544E9295">
            <w:pPr>
              <w:spacing w:line="261" w:lineRule="auto"/>
              <w:rPr>
                <w:rFonts w:ascii="Arial"/>
                <w:sz w:val="21"/>
              </w:rPr>
            </w:pPr>
          </w:p>
          <w:p w14:paraId="4A035A3F">
            <w:pPr>
              <w:spacing w:line="261" w:lineRule="auto"/>
              <w:rPr>
                <w:rFonts w:ascii="Arial"/>
                <w:sz w:val="21"/>
              </w:rPr>
            </w:pPr>
          </w:p>
          <w:p w14:paraId="35A13381">
            <w:pPr>
              <w:spacing w:line="261" w:lineRule="auto"/>
              <w:rPr>
                <w:rFonts w:ascii="Arial"/>
                <w:sz w:val="21"/>
              </w:rPr>
            </w:pPr>
          </w:p>
          <w:p w14:paraId="1354F5DB">
            <w:pPr>
              <w:pStyle w:val="6"/>
              <w:spacing w:before="65" w:line="228" w:lineRule="auto"/>
              <w:ind w:left="179"/>
              <w:rPr>
                <w:sz w:val="20"/>
                <w:szCs w:val="20"/>
              </w:rPr>
            </w:pPr>
            <w:r>
              <w:rPr>
                <w:spacing w:val="7"/>
                <w:sz w:val="20"/>
                <w:szCs w:val="20"/>
              </w:rPr>
              <w:t>操作注意事项：</w:t>
            </w:r>
          </w:p>
        </w:tc>
        <w:tc>
          <w:tcPr>
            <w:tcW w:w="7255" w:type="dxa"/>
            <w:gridSpan w:val="3"/>
            <w:tcBorders>
              <w:right w:val="nil"/>
            </w:tcBorders>
            <w:vAlign w:val="top"/>
          </w:tcPr>
          <w:p w14:paraId="7DDF0213">
            <w:pPr>
              <w:pStyle w:val="6"/>
              <w:spacing w:before="54" w:line="284" w:lineRule="auto"/>
              <w:ind w:left="6" w:firstLine="1"/>
              <w:jc w:val="both"/>
              <w:rPr>
                <w:sz w:val="20"/>
                <w:szCs w:val="20"/>
              </w:rPr>
            </w:pPr>
            <w:r>
              <w:rPr>
                <w:spacing w:val="5"/>
                <w:sz w:val="20"/>
                <w:szCs w:val="20"/>
              </w:rPr>
              <w:t>严加密闭，提供充分的局部排风和全面通风。操作人员必须经过专门培训，严格</w:t>
            </w:r>
            <w:r>
              <w:rPr>
                <w:spacing w:val="11"/>
                <w:sz w:val="20"/>
                <w:szCs w:val="20"/>
              </w:rPr>
              <w:t xml:space="preserve"> </w:t>
            </w:r>
            <w:r>
              <w:rPr>
                <w:spacing w:val="6"/>
                <w:sz w:val="20"/>
                <w:szCs w:val="20"/>
              </w:rPr>
              <w:t>遵守操作规程、建议操作人员佩戴自吸过滤式防毒面具（半面罩</w:t>
            </w:r>
            <w:r>
              <w:rPr>
                <w:spacing w:val="-4"/>
                <w:sz w:val="20"/>
                <w:szCs w:val="20"/>
              </w:rPr>
              <w:t>），</w:t>
            </w:r>
            <w:r>
              <w:rPr>
                <w:spacing w:val="6"/>
                <w:sz w:val="20"/>
                <w:szCs w:val="20"/>
              </w:rPr>
              <w:t>穿防静电工</w:t>
            </w:r>
            <w:r>
              <w:rPr>
                <w:sz w:val="20"/>
                <w:szCs w:val="20"/>
              </w:rPr>
              <w:t xml:space="preserve"> </w:t>
            </w:r>
            <w:r>
              <w:rPr>
                <w:spacing w:val="5"/>
                <w:sz w:val="20"/>
                <w:szCs w:val="20"/>
              </w:rPr>
              <w:t>作服。远离火种、热源，工作场所严禁吸烟，使用防爆型的通风系统和设备。防</w:t>
            </w:r>
            <w:r>
              <w:rPr>
                <w:spacing w:val="13"/>
                <w:sz w:val="20"/>
                <w:szCs w:val="20"/>
              </w:rPr>
              <w:t xml:space="preserve"> </w:t>
            </w:r>
            <w:r>
              <w:rPr>
                <w:spacing w:val="5"/>
                <w:sz w:val="20"/>
                <w:szCs w:val="20"/>
              </w:rPr>
              <w:t>止气体泄漏到工作场所空气中。避免与氧化剂、碱类接触。在传送过程中，钢瓶</w:t>
            </w:r>
            <w:r>
              <w:rPr>
                <w:spacing w:val="13"/>
                <w:sz w:val="20"/>
                <w:szCs w:val="20"/>
              </w:rPr>
              <w:t xml:space="preserve"> </w:t>
            </w:r>
            <w:r>
              <w:rPr>
                <w:spacing w:val="1"/>
                <w:sz w:val="20"/>
                <w:szCs w:val="20"/>
              </w:rPr>
              <w:t>和容器必须接地和跨接，防止产生静电。搬运时轻装轻卸，防止钢瓶及附件破损，</w:t>
            </w:r>
            <w:r>
              <w:rPr>
                <w:spacing w:val="8"/>
                <w:sz w:val="20"/>
                <w:szCs w:val="20"/>
              </w:rPr>
              <w:t xml:space="preserve"> </w:t>
            </w:r>
            <w:r>
              <w:rPr>
                <w:spacing w:val="7"/>
                <w:sz w:val="20"/>
                <w:szCs w:val="20"/>
              </w:rPr>
              <w:t>配备相应品种和数量的消防器材及泄漏应急处理设备。</w:t>
            </w:r>
          </w:p>
        </w:tc>
      </w:tr>
      <w:tr w14:paraId="5FD934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92" w:hRule="atLeast"/>
        </w:trPr>
        <w:tc>
          <w:tcPr>
            <w:tcW w:w="1816" w:type="dxa"/>
            <w:tcBorders>
              <w:left w:val="nil"/>
            </w:tcBorders>
            <w:vAlign w:val="top"/>
          </w:tcPr>
          <w:p w14:paraId="63CC0BD2">
            <w:pPr>
              <w:spacing w:line="314" w:lineRule="auto"/>
              <w:rPr>
                <w:rFonts w:ascii="Arial"/>
                <w:sz w:val="21"/>
              </w:rPr>
            </w:pPr>
          </w:p>
          <w:p w14:paraId="5F8F81FD">
            <w:pPr>
              <w:spacing w:line="314" w:lineRule="auto"/>
              <w:rPr>
                <w:rFonts w:ascii="Arial"/>
                <w:sz w:val="21"/>
              </w:rPr>
            </w:pPr>
          </w:p>
          <w:p w14:paraId="747E5B0D">
            <w:pPr>
              <w:pStyle w:val="6"/>
              <w:spacing w:before="65" w:line="228" w:lineRule="auto"/>
              <w:ind w:left="179"/>
              <w:rPr>
                <w:sz w:val="20"/>
                <w:szCs w:val="20"/>
              </w:rPr>
            </w:pPr>
            <w:r>
              <w:rPr>
                <w:spacing w:val="7"/>
                <w:sz w:val="20"/>
                <w:szCs w:val="20"/>
              </w:rPr>
              <w:t>储存注意事项：</w:t>
            </w:r>
          </w:p>
        </w:tc>
        <w:tc>
          <w:tcPr>
            <w:tcW w:w="7255" w:type="dxa"/>
            <w:gridSpan w:val="3"/>
            <w:tcBorders>
              <w:right w:val="nil"/>
            </w:tcBorders>
            <w:vAlign w:val="top"/>
          </w:tcPr>
          <w:p w14:paraId="3BB311F0">
            <w:pPr>
              <w:pStyle w:val="6"/>
              <w:spacing w:before="59" w:line="281" w:lineRule="auto"/>
              <w:ind w:left="7"/>
              <w:jc w:val="both"/>
              <w:rPr>
                <w:sz w:val="20"/>
                <w:szCs w:val="20"/>
              </w:rPr>
            </w:pPr>
            <w:r>
              <w:rPr>
                <w:spacing w:val="1"/>
                <w:sz w:val="20"/>
                <w:szCs w:val="20"/>
              </w:rPr>
              <w:t>严禁将易产生火星的工具带入气柜区，并严禁火种；管道走向要远离热源及电缆，</w:t>
            </w:r>
            <w:r>
              <w:rPr>
                <w:spacing w:val="6"/>
                <w:sz w:val="20"/>
                <w:szCs w:val="20"/>
              </w:rPr>
              <w:t xml:space="preserve"> </w:t>
            </w:r>
            <w:r>
              <w:rPr>
                <w:spacing w:val="7"/>
                <w:sz w:val="20"/>
                <w:szCs w:val="20"/>
              </w:rPr>
              <w:t>阀门密封；严格人员、车辆出入制度，严格安全操作规程；气瓶应储存于阴</w:t>
            </w:r>
            <w:r>
              <w:rPr>
                <w:spacing w:val="6"/>
                <w:sz w:val="20"/>
                <w:szCs w:val="20"/>
              </w:rPr>
              <w:t>凉、</w:t>
            </w:r>
            <w:r>
              <w:rPr>
                <w:sz w:val="20"/>
                <w:szCs w:val="20"/>
              </w:rPr>
              <w:t xml:space="preserve"> </w:t>
            </w:r>
            <w:r>
              <w:rPr>
                <w:spacing w:val="7"/>
                <w:sz w:val="20"/>
                <w:szCs w:val="20"/>
              </w:rPr>
              <w:t>通风的仓间内，最高仓温不宜超过</w:t>
            </w:r>
            <w:r>
              <w:rPr>
                <w:rFonts w:ascii="Times New Roman" w:hAnsi="Times New Roman" w:eastAsia="Times New Roman" w:cs="Times New Roman"/>
                <w:spacing w:val="7"/>
                <w:sz w:val="20"/>
                <w:szCs w:val="20"/>
              </w:rPr>
              <w:t>30℃</w:t>
            </w:r>
            <w:r>
              <w:rPr>
                <w:spacing w:val="7"/>
                <w:sz w:val="20"/>
                <w:szCs w:val="20"/>
              </w:rPr>
              <w:t>;</w:t>
            </w:r>
            <w:r>
              <w:rPr>
                <w:spacing w:val="75"/>
                <w:sz w:val="20"/>
                <w:szCs w:val="20"/>
              </w:rPr>
              <w:t xml:space="preserve"> </w:t>
            </w:r>
            <w:r>
              <w:rPr>
                <w:spacing w:val="7"/>
                <w:sz w:val="20"/>
                <w:szCs w:val="20"/>
              </w:rPr>
              <w:t>远离火种、热源，防止阳光直射；验</w:t>
            </w:r>
            <w:r>
              <w:rPr>
                <w:sz w:val="20"/>
                <w:szCs w:val="20"/>
              </w:rPr>
              <w:t xml:space="preserve">  </w:t>
            </w:r>
            <w:r>
              <w:rPr>
                <w:spacing w:val="7"/>
                <w:sz w:val="20"/>
                <w:szCs w:val="20"/>
              </w:rPr>
              <w:t>收时核对品名，检查钢瓶质量和验瓶日期；先进仓的先发用；搬运时轻装轻</w:t>
            </w:r>
            <w:r>
              <w:rPr>
                <w:spacing w:val="6"/>
                <w:sz w:val="20"/>
                <w:szCs w:val="20"/>
              </w:rPr>
              <w:t>卸，</w:t>
            </w:r>
            <w:r>
              <w:rPr>
                <w:sz w:val="20"/>
                <w:szCs w:val="20"/>
              </w:rPr>
              <w:t xml:space="preserve"> </w:t>
            </w:r>
            <w:r>
              <w:rPr>
                <w:spacing w:val="8"/>
                <w:sz w:val="20"/>
                <w:szCs w:val="20"/>
              </w:rPr>
              <w:t>防止钢瓶及附件损坏。运输时配齐必要的堵漏和个人</w:t>
            </w:r>
            <w:r>
              <w:rPr>
                <w:spacing w:val="7"/>
                <w:sz w:val="20"/>
                <w:szCs w:val="20"/>
              </w:rPr>
              <w:t>防护设施</w:t>
            </w:r>
          </w:p>
        </w:tc>
      </w:tr>
      <w:tr w14:paraId="04F223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452E9347">
            <w:pPr>
              <w:pStyle w:val="6"/>
              <w:spacing w:before="63" w:line="226" w:lineRule="auto"/>
              <w:ind w:left="494"/>
              <w:rPr>
                <w:sz w:val="20"/>
                <w:szCs w:val="20"/>
              </w:rPr>
            </w:pPr>
            <w:r>
              <w:rPr>
                <w:spacing w:val="7"/>
                <w:sz w:val="20"/>
                <w:szCs w:val="20"/>
              </w:rPr>
              <w:t>第八部分</w:t>
            </w:r>
          </w:p>
        </w:tc>
        <w:tc>
          <w:tcPr>
            <w:tcW w:w="7255" w:type="dxa"/>
            <w:gridSpan w:val="3"/>
            <w:tcBorders>
              <w:right w:val="nil"/>
            </w:tcBorders>
            <w:vAlign w:val="top"/>
          </w:tcPr>
          <w:p w14:paraId="7BCB8BD7">
            <w:pPr>
              <w:pStyle w:val="6"/>
              <w:spacing w:before="63" w:line="226" w:lineRule="auto"/>
              <w:ind w:left="2687"/>
              <w:rPr>
                <w:sz w:val="20"/>
                <w:szCs w:val="20"/>
              </w:rPr>
            </w:pPr>
            <w:r>
              <w:rPr>
                <w:spacing w:val="9"/>
                <w:sz w:val="20"/>
                <w:szCs w:val="20"/>
              </w:rPr>
              <w:t>接触控制和个体防护</w:t>
            </w:r>
          </w:p>
        </w:tc>
      </w:tr>
      <w:tr w14:paraId="056632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51E23DF5">
            <w:pPr>
              <w:pStyle w:val="6"/>
              <w:spacing w:before="63" w:line="226" w:lineRule="auto"/>
              <w:ind w:left="353"/>
              <w:rPr>
                <w:sz w:val="20"/>
                <w:szCs w:val="20"/>
              </w:rPr>
            </w:pPr>
            <w:r>
              <w:rPr>
                <w:spacing w:val="1"/>
                <w:sz w:val="20"/>
                <w:szCs w:val="20"/>
              </w:rPr>
              <w:t>中国</w:t>
            </w:r>
            <w:r>
              <w:rPr>
                <w:spacing w:val="-40"/>
                <w:sz w:val="20"/>
                <w:szCs w:val="20"/>
              </w:rPr>
              <w:t xml:space="preserve"> </w:t>
            </w:r>
            <w:r>
              <w:rPr>
                <w:rFonts w:ascii="Times New Roman" w:hAnsi="Times New Roman" w:eastAsia="Times New Roman" w:cs="Times New Roman"/>
                <w:sz w:val="20"/>
                <w:szCs w:val="20"/>
              </w:rPr>
              <w:t>MAC</w:t>
            </w:r>
            <w:r>
              <w:rPr>
                <w:spacing w:val="1"/>
                <w:sz w:val="20"/>
                <w:szCs w:val="20"/>
              </w:rPr>
              <w:t>：</w:t>
            </w:r>
          </w:p>
        </w:tc>
        <w:tc>
          <w:tcPr>
            <w:tcW w:w="7255" w:type="dxa"/>
            <w:gridSpan w:val="3"/>
            <w:tcBorders>
              <w:right w:val="nil"/>
            </w:tcBorders>
            <w:vAlign w:val="top"/>
          </w:tcPr>
          <w:p w14:paraId="14B3DE75">
            <w:pPr>
              <w:pStyle w:val="6"/>
              <w:spacing w:before="63" w:line="221" w:lineRule="auto"/>
              <w:ind w:left="613"/>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20[</w:t>
            </w:r>
            <w:r>
              <w:rPr>
                <w:spacing w:val="6"/>
                <w:sz w:val="20"/>
                <w:szCs w:val="20"/>
              </w:rPr>
              <w:t>高原海拔</w:t>
            </w:r>
            <w:r>
              <w:rPr>
                <w:spacing w:val="-41"/>
                <w:sz w:val="20"/>
                <w:szCs w:val="20"/>
              </w:rPr>
              <w:t xml:space="preserve"> </w:t>
            </w:r>
            <w:r>
              <w:rPr>
                <w:rFonts w:ascii="Times New Roman" w:hAnsi="Times New Roman" w:eastAsia="Times New Roman" w:cs="Times New Roman"/>
                <w:spacing w:val="6"/>
                <w:sz w:val="20"/>
                <w:szCs w:val="20"/>
              </w:rPr>
              <w:t>2000m</w:t>
            </w:r>
            <w:r>
              <w:rPr>
                <w:spacing w:val="6"/>
                <w:sz w:val="20"/>
                <w:szCs w:val="20"/>
              </w:rPr>
              <w:t>～</w:t>
            </w:r>
            <w:r>
              <w:rPr>
                <w:rFonts w:ascii="Times New Roman" w:hAnsi="Times New Roman" w:eastAsia="Times New Roman" w:cs="Times New Roman"/>
                <w:spacing w:val="6"/>
                <w:sz w:val="20"/>
                <w:szCs w:val="20"/>
              </w:rPr>
              <w:t xml:space="preserve">3000m] </w:t>
            </w:r>
            <w:r>
              <w:rPr>
                <w:rFonts w:ascii="Times New Roman" w:hAnsi="Times New Roman" w:eastAsia="Times New Roman" w:cs="Times New Roman"/>
                <w:sz w:val="20"/>
                <w:szCs w:val="20"/>
              </w:rPr>
              <w:t>mg</w:t>
            </w:r>
            <w:r>
              <w:rPr>
                <w:rFonts w:ascii="Times New Roman" w:hAnsi="Times New Roman" w:eastAsia="Times New Roman" w:cs="Times New Roman"/>
                <w:spacing w:val="6"/>
                <w:sz w:val="20"/>
                <w:szCs w:val="20"/>
              </w:rPr>
              <w:t>/m</w:t>
            </w:r>
            <w:r>
              <w:rPr>
                <w:rFonts w:ascii="Times New Roman" w:hAnsi="Times New Roman" w:eastAsia="Times New Roman" w:cs="Times New Roman"/>
                <w:spacing w:val="6"/>
                <w:position w:val="6"/>
                <w:sz w:val="13"/>
                <w:szCs w:val="13"/>
              </w:rPr>
              <w:t>3</w:t>
            </w:r>
            <w:r>
              <w:rPr>
                <w:rFonts w:ascii="Times New Roman" w:hAnsi="Times New Roman" w:eastAsia="Times New Roman" w:cs="Times New Roman"/>
                <w:spacing w:val="-8"/>
                <w:position w:val="6"/>
                <w:sz w:val="13"/>
                <w:szCs w:val="13"/>
              </w:rPr>
              <w:t xml:space="preserve"> </w:t>
            </w:r>
            <w:r>
              <w:rPr>
                <w:spacing w:val="6"/>
                <w:sz w:val="20"/>
                <w:szCs w:val="20"/>
              </w:rPr>
              <w:t>，</w:t>
            </w:r>
            <w:r>
              <w:rPr>
                <w:rFonts w:ascii="Times New Roman" w:hAnsi="Times New Roman" w:eastAsia="Times New Roman" w:cs="Times New Roman"/>
                <w:spacing w:val="6"/>
                <w:sz w:val="20"/>
                <w:szCs w:val="20"/>
              </w:rPr>
              <w:t>15[</w:t>
            </w:r>
            <w:r>
              <w:rPr>
                <w:spacing w:val="6"/>
                <w:sz w:val="20"/>
                <w:szCs w:val="20"/>
              </w:rPr>
              <w:t>高原海拔＞</w:t>
            </w:r>
            <w:r>
              <w:rPr>
                <w:rFonts w:ascii="Times New Roman" w:hAnsi="Times New Roman" w:eastAsia="Times New Roman" w:cs="Times New Roman"/>
                <w:spacing w:val="6"/>
                <w:sz w:val="20"/>
                <w:szCs w:val="20"/>
              </w:rPr>
              <w:t>3000m</w:t>
            </w:r>
            <w:r>
              <w:rPr>
                <w:rFonts w:ascii="Times New Roman" w:hAnsi="Times New Roman" w:eastAsia="Times New Roman" w:cs="Times New Roman"/>
                <w:spacing w:val="5"/>
                <w:sz w:val="20"/>
                <w:szCs w:val="20"/>
              </w:rPr>
              <w:t xml:space="preserve">] </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/m</w:t>
            </w:r>
            <w:r>
              <w:rPr>
                <w:rFonts w:ascii="Times New Roman" w:hAnsi="Times New Roman" w:eastAsia="Times New Roman" w:cs="Times New Roman"/>
                <w:spacing w:val="5"/>
                <w:position w:val="6"/>
                <w:sz w:val="13"/>
                <w:szCs w:val="13"/>
              </w:rPr>
              <w:t>3</w:t>
            </w:r>
          </w:p>
        </w:tc>
      </w:tr>
      <w:tr w14:paraId="2CBB31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376C75C4">
            <w:pPr>
              <w:pStyle w:val="6"/>
              <w:spacing w:before="64" w:line="225" w:lineRule="auto"/>
              <w:ind w:left="415"/>
              <w:rPr>
                <w:sz w:val="20"/>
                <w:szCs w:val="20"/>
              </w:rPr>
            </w:pPr>
            <w:r>
              <w:rPr>
                <w:rFonts w:ascii="Times New Roman" w:hAnsi="Times New Roman" w:eastAsia="Times New Roman" w:cs="Times New Roman"/>
                <w:sz w:val="20"/>
                <w:szCs w:val="20"/>
              </w:rPr>
              <w:t>PC</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TWA</w:t>
            </w:r>
            <w:r>
              <w:rPr>
                <w:spacing w:val="7"/>
                <w:sz w:val="20"/>
                <w:szCs w:val="20"/>
              </w:rPr>
              <w:t>：</w:t>
            </w:r>
          </w:p>
        </w:tc>
        <w:tc>
          <w:tcPr>
            <w:tcW w:w="7255" w:type="dxa"/>
            <w:gridSpan w:val="3"/>
            <w:tcBorders>
              <w:right w:val="nil"/>
            </w:tcBorders>
            <w:vAlign w:val="top"/>
          </w:tcPr>
          <w:p w14:paraId="2EAFD16C">
            <w:pPr>
              <w:pStyle w:val="6"/>
              <w:spacing w:before="64" w:line="221" w:lineRule="auto"/>
              <w:ind w:left="2836"/>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20[</w:t>
            </w:r>
            <w:r>
              <w:rPr>
                <w:spacing w:val="6"/>
                <w:sz w:val="20"/>
                <w:szCs w:val="20"/>
              </w:rPr>
              <w:t>非高原</w:t>
            </w:r>
            <w:r>
              <w:rPr>
                <w:rFonts w:ascii="Times New Roman" w:hAnsi="Times New Roman" w:eastAsia="Times New Roman" w:cs="Times New Roman"/>
                <w:spacing w:val="6"/>
                <w:sz w:val="20"/>
                <w:szCs w:val="20"/>
              </w:rPr>
              <w:t xml:space="preserve">] </w:t>
            </w:r>
            <w:r>
              <w:rPr>
                <w:rFonts w:ascii="Times New Roman" w:hAnsi="Times New Roman" w:eastAsia="Times New Roman" w:cs="Times New Roman"/>
                <w:sz w:val="20"/>
                <w:szCs w:val="20"/>
              </w:rPr>
              <w:t>mg</w:t>
            </w:r>
            <w:r>
              <w:rPr>
                <w:rFonts w:ascii="Times New Roman" w:hAnsi="Times New Roman" w:eastAsia="Times New Roman" w:cs="Times New Roman"/>
                <w:spacing w:val="6"/>
                <w:sz w:val="20"/>
                <w:szCs w:val="20"/>
              </w:rPr>
              <w:t>/m</w:t>
            </w:r>
            <w:r>
              <w:rPr>
                <w:rFonts w:ascii="Times New Roman" w:hAnsi="Times New Roman" w:eastAsia="Times New Roman" w:cs="Times New Roman"/>
                <w:spacing w:val="6"/>
                <w:position w:val="6"/>
                <w:sz w:val="13"/>
                <w:szCs w:val="13"/>
              </w:rPr>
              <w:t>3</w:t>
            </w:r>
          </w:p>
        </w:tc>
      </w:tr>
      <w:tr w14:paraId="64BD5C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48C0E9BE">
            <w:pPr>
              <w:pStyle w:val="6"/>
              <w:spacing w:before="65" w:line="224" w:lineRule="auto"/>
              <w:ind w:left="391"/>
              <w:rPr>
                <w:sz w:val="20"/>
                <w:szCs w:val="20"/>
              </w:rPr>
            </w:pPr>
            <w:r>
              <w:rPr>
                <w:rFonts w:ascii="Times New Roman" w:hAnsi="Times New Roman" w:eastAsia="Times New Roman" w:cs="Times New Roman"/>
                <w:sz w:val="20"/>
                <w:szCs w:val="20"/>
              </w:rPr>
              <w:t>PC</w:t>
            </w:r>
            <w:r>
              <w:rPr>
                <w:rFonts w:ascii="Times New Roman" w:hAnsi="Times New Roman" w:eastAsia="Times New Roman" w:cs="Times New Roman"/>
                <w:spacing w:val="16"/>
                <w:sz w:val="20"/>
                <w:szCs w:val="20"/>
              </w:rPr>
              <w:t>-</w:t>
            </w:r>
            <w:r>
              <w:rPr>
                <w:rFonts w:ascii="Times New Roman" w:hAnsi="Times New Roman" w:eastAsia="Times New Roman" w:cs="Times New Roman"/>
                <w:sz w:val="20"/>
                <w:szCs w:val="20"/>
              </w:rPr>
              <w:t>STEL</w:t>
            </w:r>
            <w:r>
              <w:rPr>
                <w:spacing w:val="16"/>
                <w:sz w:val="20"/>
                <w:szCs w:val="20"/>
              </w:rPr>
              <w:t>：</w:t>
            </w:r>
          </w:p>
        </w:tc>
        <w:tc>
          <w:tcPr>
            <w:tcW w:w="7255" w:type="dxa"/>
            <w:gridSpan w:val="3"/>
            <w:tcBorders>
              <w:right w:val="nil"/>
            </w:tcBorders>
            <w:vAlign w:val="top"/>
          </w:tcPr>
          <w:p w14:paraId="7994F443">
            <w:pPr>
              <w:pStyle w:val="6"/>
              <w:spacing w:before="65" w:line="221" w:lineRule="auto"/>
              <w:ind w:left="2840"/>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30[</w:t>
            </w:r>
            <w:r>
              <w:rPr>
                <w:spacing w:val="6"/>
                <w:sz w:val="20"/>
                <w:szCs w:val="20"/>
              </w:rPr>
              <w:t>非高原</w:t>
            </w:r>
            <w:r>
              <w:rPr>
                <w:rFonts w:ascii="Times New Roman" w:hAnsi="Times New Roman" w:eastAsia="Times New Roman" w:cs="Times New Roman"/>
                <w:spacing w:val="6"/>
                <w:sz w:val="20"/>
                <w:szCs w:val="20"/>
              </w:rPr>
              <w:t xml:space="preserve">] </w:t>
            </w:r>
            <w:r>
              <w:rPr>
                <w:rFonts w:ascii="Times New Roman" w:hAnsi="Times New Roman" w:eastAsia="Times New Roman" w:cs="Times New Roman"/>
                <w:sz w:val="20"/>
                <w:szCs w:val="20"/>
              </w:rPr>
              <w:t>mg</w:t>
            </w:r>
            <w:r>
              <w:rPr>
                <w:rFonts w:ascii="Times New Roman" w:hAnsi="Times New Roman" w:eastAsia="Times New Roman" w:cs="Times New Roman"/>
                <w:spacing w:val="6"/>
                <w:sz w:val="20"/>
                <w:szCs w:val="20"/>
              </w:rPr>
              <w:t>/m</w:t>
            </w:r>
            <w:r>
              <w:rPr>
                <w:rFonts w:ascii="Times New Roman" w:hAnsi="Times New Roman" w:eastAsia="Times New Roman" w:cs="Times New Roman"/>
                <w:spacing w:val="6"/>
                <w:position w:val="6"/>
                <w:sz w:val="13"/>
                <w:szCs w:val="13"/>
              </w:rPr>
              <w:t>3</w:t>
            </w:r>
          </w:p>
        </w:tc>
      </w:tr>
      <w:tr w14:paraId="4B4D2C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40B2C71F">
            <w:pPr>
              <w:pStyle w:val="6"/>
              <w:spacing w:before="66" w:line="223" w:lineRule="auto"/>
              <w:ind w:left="360"/>
              <w:rPr>
                <w:sz w:val="20"/>
                <w:szCs w:val="20"/>
              </w:rPr>
            </w:pPr>
            <w:r>
              <w:rPr>
                <w:rFonts w:ascii="Times New Roman" w:hAnsi="Times New Roman" w:eastAsia="Times New Roman" w:cs="Times New Roman"/>
                <w:spacing w:val="-3"/>
                <w:sz w:val="20"/>
                <w:szCs w:val="20"/>
              </w:rPr>
              <w:t>TLV-TWA</w:t>
            </w:r>
            <w:r>
              <w:rPr>
                <w:spacing w:val="-3"/>
                <w:sz w:val="20"/>
                <w:szCs w:val="20"/>
              </w:rPr>
              <w:t>：</w:t>
            </w:r>
          </w:p>
        </w:tc>
        <w:tc>
          <w:tcPr>
            <w:tcW w:w="7255" w:type="dxa"/>
            <w:gridSpan w:val="3"/>
            <w:tcBorders>
              <w:right w:val="nil"/>
            </w:tcBorders>
            <w:vAlign w:val="top"/>
          </w:tcPr>
          <w:p w14:paraId="28588121">
            <w:pPr>
              <w:spacing w:before="102" w:line="197" w:lineRule="auto"/>
              <w:ind w:left="3337"/>
              <w:rPr>
                <w:rFonts w:ascii="Times New Roman" w:hAnsi="Times New Roman" w:eastAsia="Times New Roman" w:cs="Times New Roman"/>
                <w:sz w:val="20"/>
                <w:szCs w:val="20"/>
              </w:rPr>
            </w:pPr>
            <w:r>
              <w:rPr>
                <w:rFonts w:ascii="Times New Roman" w:hAnsi="Times New Roman" w:eastAsia="Times New Roman" w:cs="Times New Roman"/>
                <w:spacing w:val="11"/>
                <w:sz w:val="20"/>
                <w:szCs w:val="20"/>
              </w:rPr>
              <w:t>25</w:t>
            </w:r>
            <w:r>
              <w:rPr>
                <w:rFonts w:ascii="Times New Roman" w:hAnsi="Times New Roman" w:eastAsia="Times New Roman" w:cs="Times New Roman"/>
                <w:sz w:val="20"/>
                <w:szCs w:val="20"/>
              </w:rPr>
              <w:t>ppm</w:t>
            </w:r>
          </w:p>
        </w:tc>
      </w:tr>
      <w:tr w14:paraId="731698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5B3AB471">
            <w:pPr>
              <w:pStyle w:val="6"/>
              <w:spacing w:before="67" w:line="222" w:lineRule="auto"/>
              <w:ind w:left="391"/>
              <w:rPr>
                <w:sz w:val="20"/>
                <w:szCs w:val="20"/>
              </w:rPr>
            </w:pPr>
            <w:r>
              <w:rPr>
                <w:spacing w:val="5"/>
                <w:sz w:val="20"/>
                <w:szCs w:val="20"/>
              </w:rPr>
              <w:t>监测方法：</w:t>
            </w:r>
          </w:p>
        </w:tc>
        <w:tc>
          <w:tcPr>
            <w:tcW w:w="7255" w:type="dxa"/>
            <w:gridSpan w:val="3"/>
            <w:tcBorders>
              <w:right w:val="nil"/>
            </w:tcBorders>
            <w:vAlign w:val="top"/>
          </w:tcPr>
          <w:p w14:paraId="4AAC7E3E">
            <w:pPr>
              <w:pStyle w:val="6"/>
              <w:spacing w:before="67" w:line="222" w:lineRule="auto"/>
              <w:ind w:left="1185"/>
              <w:rPr>
                <w:sz w:val="20"/>
                <w:szCs w:val="20"/>
              </w:rPr>
            </w:pPr>
            <w:r>
              <w:rPr>
                <w:spacing w:val="8"/>
                <w:sz w:val="20"/>
                <w:szCs w:val="20"/>
              </w:rPr>
              <w:t>直接进样</w:t>
            </w:r>
            <w:r>
              <w:rPr>
                <w:rFonts w:ascii="Times New Roman" w:hAnsi="Times New Roman" w:eastAsia="Times New Roman" w:cs="Times New Roman"/>
                <w:spacing w:val="8"/>
                <w:sz w:val="20"/>
                <w:szCs w:val="20"/>
              </w:rPr>
              <w:t>-</w:t>
            </w:r>
            <w:r>
              <w:rPr>
                <w:spacing w:val="8"/>
                <w:sz w:val="20"/>
                <w:szCs w:val="20"/>
              </w:rPr>
              <w:t>气象色谱法：不分光红外线气体分析仪法。</w:t>
            </w:r>
          </w:p>
        </w:tc>
      </w:tr>
      <w:tr w14:paraId="30BFEA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1A715BE8">
            <w:pPr>
              <w:pStyle w:val="6"/>
              <w:spacing w:before="68" w:line="221" w:lineRule="auto"/>
              <w:ind w:left="393"/>
              <w:rPr>
                <w:sz w:val="20"/>
                <w:szCs w:val="20"/>
              </w:rPr>
            </w:pPr>
            <w:r>
              <w:rPr>
                <w:spacing w:val="5"/>
                <w:sz w:val="20"/>
                <w:szCs w:val="20"/>
              </w:rPr>
              <w:t>工程控制：</w:t>
            </w:r>
          </w:p>
        </w:tc>
        <w:tc>
          <w:tcPr>
            <w:tcW w:w="7255" w:type="dxa"/>
            <w:gridSpan w:val="3"/>
            <w:tcBorders>
              <w:right w:val="nil"/>
            </w:tcBorders>
            <w:vAlign w:val="top"/>
          </w:tcPr>
          <w:p w14:paraId="01FABD03">
            <w:pPr>
              <w:pStyle w:val="6"/>
              <w:spacing w:before="68" w:line="221" w:lineRule="auto"/>
              <w:ind w:left="380"/>
              <w:rPr>
                <w:sz w:val="20"/>
                <w:szCs w:val="20"/>
              </w:rPr>
            </w:pPr>
            <w:r>
              <w:rPr>
                <w:spacing w:val="9"/>
                <w:sz w:val="20"/>
                <w:szCs w:val="20"/>
              </w:rPr>
              <w:t>严加密闭，提供充分的局部排风和全面通风。生产生活用气必须分路。</w:t>
            </w:r>
          </w:p>
        </w:tc>
      </w:tr>
      <w:tr w14:paraId="114E85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7" w:hRule="atLeast"/>
        </w:trPr>
        <w:tc>
          <w:tcPr>
            <w:tcW w:w="1816" w:type="dxa"/>
            <w:tcBorders>
              <w:left w:val="nil"/>
            </w:tcBorders>
            <w:vAlign w:val="top"/>
          </w:tcPr>
          <w:p w14:paraId="709A1780">
            <w:pPr>
              <w:pStyle w:val="6"/>
              <w:spacing w:before="228" w:line="228" w:lineRule="auto"/>
              <w:ind w:left="191"/>
              <w:rPr>
                <w:sz w:val="20"/>
                <w:szCs w:val="20"/>
              </w:rPr>
            </w:pPr>
            <w:r>
              <w:rPr>
                <w:spacing w:val="5"/>
                <w:sz w:val="20"/>
                <w:szCs w:val="20"/>
              </w:rPr>
              <w:t>呼吸系统防护：</w:t>
            </w:r>
          </w:p>
        </w:tc>
        <w:tc>
          <w:tcPr>
            <w:tcW w:w="7255" w:type="dxa"/>
            <w:gridSpan w:val="3"/>
            <w:tcBorders>
              <w:right w:val="nil"/>
            </w:tcBorders>
            <w:vAlign w:val="top"/>
          </w:tcPr>
          <w:p w14:paraId="0E723A11">
            <w:pPr>
              <w:pStyle w:val="6"/>
              <w:spacing w:before="70" w:line="257" w:lineRule="auto"/>
              <w:ind w:left="10" w:firstLine="3"/>
              <w:rPr>
                <w:sz w:val="20"/>
                <w:szCs w:val="20"/>
              </w:rPr>
            </w:pPr>
            <w:r>
              <w:rPr>
                <w:spacing w:val="6"/>
                <w:sz w:val="20"/>
                <w:szCs w:val="20"/>
              </w:rPr>
              <w:t>空气中浓度超标时，佩戴过滤式防毒面具（半面罩</w:t>
            </w:r>
            <w:r>
              <w:rPr>
                <w:spacing w:val="19"/>
                <w:sz w:val="20"/>
                <w:szCs w:val="20"/>
              </w:rPr>
              <w:t>），</w:t>
            </w:r>
            <w:r>
              <w:rPr>
                <w:spacing w:val="6"/>
                <w:sz w:val="20"/>
                <w:szCs w:val="20"/>
              </w:rPr>
              <w:t>紧急事态抢救或撤离时，</w:t>
            </w:r>
            <w:r>
              <w:rPr>
                <w:spacing w:val="1"/>
                <w:sz w:val="20"/>
                <w:szCs w:val="20"/>
              </w:rPr>
              <w:t xml:space="preserve"> </w:t>
            </w:r>
            <w:r>
              <w:rPr>
                <w:spacing w:val="7"/>
                <w:sz w:val="20"/>
                <w:szCs w:val="20"/>
              </w:rPr>
              <w:t>建议佩戴空气呼吸器或一氧化碳过滤式自救器。</w:t>
            </w:r>
          </w:p>
        </w:tc>
      </w:tr>
      <w:tr w14:paraId="182AAF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1FC2B299">
            <w:pPr>
              <w:pStyle w:val="6"/>
              <w:spacing w:before="70" w:line="219" w:lineRule="auto"/>
              <w:ind w:left="404"/>
              <w:rPr>
                <w:sz w:val="20"/>
                <w:szCs w:val="20"/>
              </w:rPr>
            </w:pPr>
            <w:r>
              <w:rPr>
                <w:spacing w:val="3"/>
                <w:sz w:val="20"/>
                <w:szCs w:val="20"/>
              </w:rPr>
              <w:t>眼睛防护：</w:t>
            </w:r>
          </w:p>
        </w:tc>
        <w:tc>
          <w:tcPr>
            <w:tcW w:w="7255" w:type="dxa"/>
            <w:gridSpan w:val="3"/>
            <w:tcBorders>
              <w:right w:val="nil"/>
            </w:tcBorders>
            <w:vAlign w:val="top"/>
          </w:tcPr>
          <w:p w14:paraId="2B92C945">
            <w:pPr>
              <w:pStyle w:val="6"/>
              <w:spacing w:before="70" w:line="219" w:lineRule="auto"/>
              <w:ind w:left="2588"/>
              <w:rPr>
                <w:sz w:val="20"/>
                <w:szCs w:val="20"/>
              </w:rPr>
            </w:pPr>
            <w:r>
              <w:rPr>
                <w:spacing w:val="7"/>
                <w:sz w:val="20"/>
                <w:szCs w:val="20"/>
              </w:rPr>
              <w:t>一般不需要特殊防护。</w:t>
            </w:r>
          </w:p>
        </w:tc>
      </w:tr>
      <w:tr w14:paraId="759279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26A5781F">
            <w:pPr>
              <w:pStyle w:val="6"/>
              <w:spacing w:before="71" w:line="218" w:lineRule="auto"/>
              <w:ind w:left="396"/>
              <w:rPr>
                <w:sz w:val="20"/>
                <w:szCs w:val="20"/>
              </w:rPr>
            </w:pPr>
            <w:r>
              <w:rPr>
                <w:spacing w:val="4"/>
                <w:sz w:val="20"/>
                <w:szCs w:val="20"/>
              </w:rPr>
              <w:t>身体防护：</w:t>
            </w:r>
          </w:p>
        </w:tc>
        <w:tc>
          <w:tcPr>
            <w:tcW w:w="7255" w:type="dxa"/>
            <w:gridSpan w:val="3"/>
            <w:tcBorders>
              <w:right w:val="nil"/>
            </w:tcBorders>
            <w:vAlign w:val="top"/>
          </w:tcPr>
          <w:p w14:paraId="2E229717">
            <w:pPr>
              <w:pStyle w:val="6"/>
              <w:spacing w:before="71" w:line="218" w:lineRule="auto"/>
              <w:ind w:left="2910"/>
              <w:rPr>
                <w:sz w:val="20"/>
                <w:szCs w:val="20"/>
              </w:rPr>
            </w:pPr>
            <w:r>
              <w:rPr>
                <w:spacing w:val="5"/>
                <w:sz w:val="20"/>
                <w:szCs w:val="20"/>
              </w:rPr>
              <w:t>穿静电工作服。</w:t>
            </w:r>
          </w:p>
        </w:tc>
      </w:tr>
      <w:tr w14:paraId="30B996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576CC2A5">
            <w:pPr>
              <w:pStyle w:val="6"/>
              <w:spacing w:before="72" w:line="217" w:lineRule="auto"/>
              <w:ind w:left="494"/>
              <w:rPr>
                <w:sz w:val="20"/>
                <w:szCs w:val="20"/>
              </w:rPr>
            </w:pPr>
            <w:r>
              <w:rPr>
                <w:spacing w:val="5"/>
                <w:sz w:val="20"/>
                <w:szCs w:val="20"/>
              </w:rPr>
              <w:t>手防护：</w:t>
            </w:r>
          </w:p>
        </w:tc>
        <w:tc>
          <w:tcPr>
            <w:tcW w:w="7255" w:type="dxa"/>
            <w:gridSpan w:val="3"/>
            <w:tcBorders>
              <w:right w:val="nil"/>
            </w:tcBorders>
            <w:vAlign w:val="top"/>
          </w:tcPr>
          <w:p w14:paraId="701AEF88">
            <w:pPr>
              <w:pStyle w:val="6"/>
              <w:spacing w:before="72" w:line="217" w:lineRule="auto"/>
              <w:ind w:left="2589"/>
              <w:rPr>
                <w:sz w:val="20"/>
                <w:szCs w:val="20"/>
              </w:rPr>
            </w:pPr>
            <w:r>
              <w:rPr>
                <w:spacing w:val="7"/>
                <w:sz w:val="20"/>
                <w:szCs w:val="20"/>
              </w:rPr>
              <w:t>戴一般作业防护手套。</w:t>
            </w:r>
          </w:p>
        </w:tc>
      </w:tr>
      <w:tr w14:paraId="6EBBB6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7" w:hRule="atLeast"/>
        </w:trPr>
        <w:tc>
          <w:tcPr>
            <w:tcW w:w="1816" w:type="dxa"/>
            <w:tcBorders>
              <w:left w:val="nil"/>
            </w:tcBorders>
            <w:vAlign w:val="top"/>
          </w:tcPr>
          <w:p w14:paraId="18BE8336">
            <w:pPr>
              <w:pStyle w:val="6"/>
              <w:spacing w:before="232" w:line="228" w:lineRule="auto"/>
              <w:ind w:left="391"/>
              <w:rPr>
                <w:sz w:val="20"/>
                <w:szCs w:val="20"/>
              </w:rPr>
            </w:pPr>
            <w:r>
              <w:rPr>
                <w:spacing w:val="5"/>
                <w:sz w:val="20"/>
                <w:szCs w:val="20"/>
              </w:rPr>
              <w:t>其他防护：</w:t>
            </w:r>
          </w:p>
        </w:tc>
        <w:tc>
          <w:tcPr>
            <w:tcW w:w="7255" w:type="dxa"/>
            <w:gridSpan w:val="3"/>
            <w:tcBorders>
              <w:right w:val="nil"/>
            </w:tcBorders>
            <w:vAlign w:val="top"/>
          </w:tcPr>
          <w:p w14:paraId="118C4408">
            <w:pPr>
              <w:pStyle w:val="6"/>
              <w:spacing w:before="74" w:line="255" w:lineRule="auto"/>
              <w:ind w:left="10" w:right="2"/>
              <w:rPr>
                <w:sz w:val="20"/>
                <w:szCs w:val="20"/>
              </w:rPr>
            </w:pPr>
            <w:r>
              <w:rPr>
                <w:spacing w:val="7"/>
                <w:sz w:val="20"/>
                <w:szCs w:val="20"/>
              </w:rPr>
              <w:t>工作场所严禁吸烟。实行就业前和定期的体检。避免高浓度吸入</w:t>
            </w:r>
            <w:r>
              <w:rPr>
                <w:spacing w:val="6"/>
                <w:sz w:val="20"/>
                <w:szCs w:val="20"/>
              </w:rPr>
              <w:t>。进入罐、限制</w:t>
            </w:r>
            <w:r>
              <w:rPr>
                <w:sz w:val="20"/>
                <w:szCs w:val="20"/>
              </w:rPr>
              <w:t xml:space="preserve"> </w:t>
            </w:r>
            <w:r>
              <w:rPr>
                <w:spacing w:val="8"/>
                <w:sz w:val="20"/>
                <w:szCs w:val="20"/>
              </w:rPr>
              <w:t>性空间或其他高浓度区作业，须有人监护。</w:t>
            </w:r>
          </w:p>
        </w:tc>
      </w:tr>
      <w:tr w14:paraId="461966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0696787C">
            <w:pPr>
              <w:pStyle w:val="6"/>
              <w:spacing w:before="74" w:line="216" w:lineRule="auto"/>
              <w:ind w:left="494"/>
              <w:rPr>
                <w:sz w:val="20"/>
                <w:szCs w:val="20"/>
              </w:rPr>
            </w:pPr>
            <w:r>
              <w:rPr>
                <w:spacing w:val="7"/>
                <w:sz w:val="20"/>
                <w:szCs w:val="20"/>
              </w:rPr>
              <w:t>第九部分</w:t>
            </w:r>
          </w:p>
        </w:tc>
        <w:tc>
          <w:tcPr>
            <w:tcW w:w="7255" w:type="dxa"/>
            <w:gridSpan w:val="3"/>
            <w:tcBorders>
              <w:right w:val="nil"/>
            </w:tcBorders>
            <w:vAlign w:val="top"/>
          </w:tcPr>
          <w:p w14:paraId="60F7BDAB">
            <w:pPr>
              <w:pStyle w:val="6"/>
              <w:spacing w:before="74" w:line="216" w:lineRule="auto"/>
              <w:ind w:left="3216"/>
              <w:rPr>
                <w:sz w:val="20"/>
                <w:szCs w:val="20"/>
              </w:rPr>
            </w:pPr>
            <w:r>
              <w:rPr>
                <w:spacing w:val="6"/>
                <w:sz w:val="20"/>
                <w:szCs w:val="20"/>
              </w:rPr>
              <w:t>理化特性</w:t>
            </w:r>
          </w:p>
        </w:tc>
      </w:tr>
      <w:tr w14:paraId="2334DA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7" w:hRule="atLeast"/>
        </w:trPr>
        <w:tc>
          <w:tcPr>
            <w:tcW w:w="1816" w:type="dxa"/>
            <w:tcBorders>
              <w:left w:val="nil"/>
            </w:tcBorders>
            <w:vAlign w:val="top"/>
          </w:tcPr>
          <w:p w14:paraId="36EEA5E8">
            <w:pPr>
              <w:pStyle w:val="6"/>
              <w:spacing w:before="233" w:line="228" w:lineRule="auto"/>
              <w:ind w:left="289"/>
              <w:rPr>
                <w:sz w:val="20"/>
                <w:szCs w:val="20"/>
              </w:rPr>
            </w:pPr>
            <w:r>
              <w:rPr>
                <w:spacing w:val="6"/>
                <w:sz w:val="20"/>
                <w:szCs w:val="20"/>
              </w:rPr>
              <w:t>外观与性状：</w:t>
            </w:r>
          </w:p>
        </w:tc>
        <w:tc>
          <w:tcPr>
            <w:tcW w:w="7255" w:type="dxa"/>
            <w:gridSpan w:val="3"/>
            <w:tcBorders>
              <w:right w:val="nil"/>
            </w:tcBorders>
            <w:vAlign w:val="top"/>
          </w:tcPr>
          <w:p w14:paraId="6903C7E1">
            <w:pPr>
              <w:pStyle w:val="6"/>
              <w:spacing w:before="74" w:line="255" w:lineRule="auto"/>
              <w:ind w:left="9"/>
              <w:rPr>
                <w:sz w:val="20"/>
                <w:szCs w:val="20"/>
              </w:rPr>
            </w:pPr>
            <w:r>
              <w:rPr>
                <w:spacing w:val="7"/>
                <w:sz w:val="20"/>
                <w:szCs w:val="20"/>
              </w:rPr>
              <w:t>无色有臭味的气体；主要成分有：烷烃、烯烃、芳烃、氢、一氧化碳等</w:t>
            </w:r>
            <w:r>
              <w:rPr>
                <w:spacing w:val="6"/>
                <w:sz w:val="20"/>
                <w:szCs w:val="20"/>
              </w:rPr>
              <w:t>。燃烧时</w:t>
            </w:r>
            <w:r>
              <w:rPr>
                <w:sz w:val="20"/>
                <w:szCs w:val="20"/>
              </w:rPr>
              <w:t xml:space="preserve"> </w:t>
            </w:r>
            <w:r>
              <w:rPr>
                <w:spacing w:val="5"/>
                <w:sz w:val="20"/>
                <w:szCs w:val="20"/>
              </w:rPr>
              <w:t>火焰温度约</w:t>
            </w:r>
            <w:r>
              <w:rPr>
                <w:spacing w:val="-30"/>
                <w:sz w:val="20"/>
                <w:szCs w:val="20"/>
              </w:rPr>
              <w:t xml:space="preserve"> </w:t>
            </w:r>
            <w:r>
              <w:rPr>
                <w:rFonts w:ascii="Times New Roman" w:hAnsi="Times New Roman" w:eastAsia="Times New Roman" w:cs="Times New Roman"/>
                <w:spacing w:val="5"/>
                <w:sz w:val="20"/>
                <w:szCs w:val="20"/>
              </w:rPr>
              <w:t>900</w:t>
            </w:r>
            <w:r>
              <w:rPr>
                <w:spacing w:val="5"/>
                <w:sz w:val="20"/>
                <w:szCs w:val="20"/>
              </w:rPr>
              <w:t>～</w:t>
            </w:r>
            <w:r>
              <w:rPr>
                <w:rFonts w:ascii="Times New Roman" w:hAnsi="Times New Roman" w:eastAsia="Times New Roman" w:cs="Times New Roman"/>
                <w:spacing w:val="5"/>
                <w:sz w:val="20"/>
                <w:szCs w:val="20"/>
              </w:rPr>
              <w:t>2000℃</w:t>
            </w:r>
            <w:r>
              <w:rPr>
                <w:spacing w:val="5"/>
                <w:sz w:val="20"/>
                <w:szCs w:val="20"/>
              </w:rPr>
              <w:t>。</w:t>
            </w:r>
          </w:p>
        </w:tc>
      </w:tr>
      <w:tr w14:paraId="33F60A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4B1E4C0A">
            <w:pPr>
              <w:pStyle w:val="6"/>
              <w:spacing w:before="76" w:line="215" w:lineRule="auto"/>
              <w:ind w:left="423"/>
              <w:rPr>
                <w:sz w:val="20"/>
                <w:szCs w:val="20"/>
              </w:rPr>
            </w:pPr>
            <w:r>
              <w:rPr>
                <w:spacing w:val="4"/>
                <w:sz w:val="20"/>
                <w:szCs w:val="20"/>
              </w:rPr>
              <w:t>熔点</w:t>
            </w:r>
            <w:r>
              <w:rPr>
                <w:rFonts w:ascii="Times New Roman" w:hAnsi="Times New Roman" w:eastAsia="Times New Roman" w:cs="Times New Roman"/>
                <w:spacing w:val="4"/>
                <w:sz w:val="20"/>
                <w:szCs w:val="20"/>
              </w:rPr>
              <w:t>(℃)</w:t>
            </w:r>
            <w:r>
              <w:rPr>
                <w:spacing w:val="4"/>
                <w:sz w:val="20"/>
                <w:szCs w:val="20"/>
              </w:rPr>
              <w:t>：</w:t>
            </w:r>
          </w:p>
        </w:tc>
        <w:tc>
          <w:tcPr>
            <w:tcW w:w="1661" w:type="dxa"/>
            <w:vAlign w:val="top"/>
          </w:tcPr>
          <w:p w14:paraId="1FB6B8C0">
            <w:pPr>
              <w:spacing w:before="112" w:line="195" w:lineRule="auto"/>
              <w:ind w:left="64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-205</w:t>
            </w:r>
          </w:p>
        </w:tc>
        <w:tc>
          <w:tcPr>
            <w:tcW w:w="2571" w:type="dxa"/>
            <w:vAlign w:val="top"/>
          </w:tcPr>
          <w:p w14:paraId="40707CDD">
            <w:pPr>
              <w:pStyle w:val="6"/>
              <w:spacing w:before="38" w:line="270" w:lineRule="exact"/>
              <w:ind w:left="480"/>
              <w:rPr>
                <w:sz w:val="20"/>
                <w:szCs w:val="20"/>
              </w:rPr>
            </w:pPr>
            <w:r>
              <w:rPr>
                <w:spacing w:val="5"/>
                <w:position w:val="2"/>
                <w:sz w:val="20"/>
                <w:szCs w:val="20"/>
              </w:rPr>
              <w:t>相对密度</w:t>
            </w:r>
            <w:r>
              <w:rPr>
                <w:rFonts w:ascii="Times New Roman" w:hAnsi="Times New Roman" w:eastAsia="Times New Roman" w:cs="Times New Roman"/>
                <w:spacing w:val="5"/>
                <w:position w:val="2"/>
                <w:sz w:val="20"/>
                <w:szCs w:val="20"/>
              </w:rPr>
              <w:t>(</w:t>
            </w:r>
            <w:r>
              <w:rPr>
                <w:spacing w:val="5"/>
                <w:position w:val="2"/>
                <w:sz w:val="20"/>
                <w:szCs w:val="20"/>
              </w:rPr>
              <w:t>水</w:t>
            </w:r>
            <w:r>
              <w:rPr>
                <w:rFonts w:ascii="Times New Roman" w:hAnsi="Times New Roman" w:eastAsia="Times New Roman" w:cs="Times New Roman"/>
                <w:spacing w:val="5"/>
                <w:position w:val="2"/>
                <w:sz w:val="20"/>
                <w:szCs w:val="20"/>
              </w:rPr>
              <w:t>=1)</w:t>
            </w:r>
            <w:r>
              <w:rPr>
                <w:spacing w:val="5"/>
                <w:position w:val="2"/>
                <w:sz w:val="20"/>
                <w:szCs w:val="20"/>
              </w:rPr>
              <w:t>：</w:t>
            </w:r>
          </w:p>
        </w:tc>
        <w:tc>
          <w:tcPr>
            <w:tcW w:w="3023" w:type="dxa"/>
            <w:tcBorders>
              <w:right w:val="nil"/>
            </w:tcBorders>
            <w:vAlign w:val="top"/>
          </w:tcPr>
          <w:p w14:paraId="73AE224E">
            <w:pPr>
              <w:spacing w:before="112" w:line="195" w:lineRule="auto"/>
              <w:ind w:left="13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0.79</w:t>
            </w:r>
          </w:p>
        </w:tc>
      </w:tr>
      <w:tr w14:paraId="7ED9C2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191E15A7">
            <w:pPr>
              <w:pStyle w:val="6"/>
              <w:spacing w:before="76" w:line="214" w:lineRule="auto"/>
              <w:ind w:left="423"/>
              <w:rPr>
                <w:sz w:val="20"/>
                <w:szCs w:val="20"/>
              </w:rPr>
            </w:pPr>
            <w:r>
              <w:rPr>
                <w:spacing w:val="4"/>
                <w:sz w:val="20"/>
                <w:szCs w:val="20"/>
              </w:rPr>
              <w:t>沸点</w:t>
            </w:r>
            <w:r>
              <w:rPr>
                <w:rFonts w:ascii="Times New Roman" w:hAnsi="Times New Roman" w:eastAsia="Times New Roman" w:cs="Times New Roman"/>
                <w:spacing w:val="4"/>
                <w:sz w:val="20"/>
                <w:szCs w:val="20"/>
              </w:rPr>
              <w:t>(℃)</w:t>
            </w:r>
            <w:r>
              <w:rPr>
                <w:spacing w:val="4"/>
                <w:sz w:val="20"/>
                <w:szCs w:val="20"/>
              </w:rPr>
              <w:t>：</w:t>
            </w:r>
          </w:p>
        </w:tc>
        <w:tc>
          <w:tcPr>
            <w:tcW w:w="1661" w:type="dxa"/>
            <w:vAlign w:val="top"/>
          </w:tcPr>
          <w:p w14:paraId="4CD58665">
            <w:pPr>
              <w:spacing w:before="112" w:line="195" w:lineRule="auto"/>
              <w:ind w:left="56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-191.5</w:t>
            </w:r>
          </w:p>
        </w:tc>
        <w:tc>
          <w:tcPr>
            <w:tcW w:w="2571" w:type="dxa"/>
            <w:vAlign w:val="top"/>
          </w:tcPr>
          <w:p w14:paraId="7722DF3C">
            <w:pPr>
              <w:pStyle w:val="6"/>
              <w:spacing w:before="38" w:line="269" w:lineRule="exact"/>
              <w:ind w:left="166"/>
              <w:rPr>
                <w:sz w:val="20"/>
                <w:szCs w:val="20"/>
              </w:rPr>
            </w:pPr>
            <w:r>
              <w:rPr>
                <w:spacing w:val="6"/>
                <w:position w:val="2"/>
                <w:sz w:val="20"/>
                <w:szCs w:val="20"/>
              </w:rPr>
              <w:t>相对蒸气密度</w:t>
            </w:r>
            <w:r>
              <w:rPr>
                <w:rFonts w:ascii="Times New Roman" w:hAnsi="Times New Roman" w:eastAsia="Times New Roman" w:cs="Times New Roman"/>
                <w:spacing w:val="6"/>
                <w:position w:val="2"/>
                <w:sz w:val="20"/>
                <w:szCs w:val="20"/>
              </w:rPr>
              <w:t>(</w:t>
            </w:r>
            <w:r>
              <w:rPr>
                <w:spacing w:val="6"/>
                <w:position w:val="2"/>
                <w:sz w:val="20"/>
                <w:szCs w:val="20"/>
              </w:rPr>
              <w:t>空气</w:t>
            </w:r>
            <w:r>
              <w:rPr>
                <w:rFonts w:ascii="Times New Roman" w:hAnsi="Times New Roman" w:eastAsia="Times New Roman" w:cs="Times New Roman"/>
                <w:spacing w:val="6"/>
                <w:position w:val="2"/>
                <w:sz w:val="20"/>
                <w:szCs w:val="20"/>
              </w:rPr>
              <w:t>=1)</w:t>
            </w:r>
            <w:r>
              <w:rPr>
                <w:spacing w:val="6"/>
                <w:position w:val="2"/>
                <w:sz w:val="20"/>
                <w:szCs w:val="20"/>
              </w:rPr>
              <w:t>：</w:t>
            </w:r>
          </w:p>
        </w:tc>
        <w:tc>
          <w:tcPr>
            <w:tcW w:w="3023" w:type="dxa"/>
            <w:tcBorders>
              <w:right w:val="nil"/>
            </w:tcBorders>
            <w:vAlign w:val="top"/>
          </w:tcPr>
          <w:p w14:paraId="058185C3">
            <w:pPr>
              <w:spacing w:before="112" w:line="195" w:lineRule="auto"/>
              <w:ind w:left="13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0.97</w:t>
            </w:r>
          </w:p>
        </w:tc>
      </w:tr>
      <w:tr w14:paraId="0124B3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3F5128E1">
            <w:pPr>
              <w:pStyle w:val="6"/>
              <w:spacing w:before="77" w:line="214" w:lineRule="auto"/>
              <w:ind w:left="57"/>
              <w:rPr>
                <w:sz w:val="20"/>
                <w:szCs w:val="20"/>
              </w:rPr>
            </w:pPr>
            <w:r>
              <w:rPr>
                <w:spacing w:val="7"/>
                <w:sz w:val="20"/>
                <w:szCs w:val="20"/>
              </w:rPr>
              <w:t>相对蒸气压</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kPa</w:t>
            </w:r>
            <w:r>
              <w:rPr>
                <w:rFonts w:ascii="Times New Roman" w:hAnsi="Times New Roman" w:eastAsia="Times New Roman" w:cs="Times New Roman"/>
                <w:spacing w:val="7"/>
                <w:sz w:val="20"/>
                <w:szCs w:val="20"/>
              </w:rPr>
              <w:t>)</w:t>
            </w:r>
            <w:r>
              <w:rPr>
                <w:spacing w:val="7"/>
                <w:sz w:val="20"/>
                <w:szCs w:val="20"/>
              </w:rPr>
              <w:t>：</w:t>
            </w:r>
          </w:p>
        </w:tc>
        <w:tc>
          <w:tcPr>
            <w:tcW w:w="1661" w:type="dxa"/>
            <w:vAlign w:val="top"/>
          </w:tcPr>
          <w:p w14:paraId="3A0C2CD9">
            <w:pPr>
              <w:rPr>
                <w:rFonts w:ascii="Arial"/>
                <w:sz w:val="21"/>
              </w:rPr>
            </w:pPr>
          </w:p>
        </w:tc>
        <w:tc>
          <w:tcPr>
            <w:tcW w:w="2571" w:type="dxa"/>
            <w:vAlign w:val="top"/>
          </w:tcPr>
          <w:p w14:paraId="29C3C1DE">
            <w:pPr>
              <w:pStyle w:val="6"/>
              <w:spacing w:before="77" w:line="214" w:lineRule="auto"/>
              <w:ind w:left="517"/>
              <w:rPr>
                <w:sz w:val="20"/>
                <w:szCs w:val="20"/>
              </w:rPr>
            </w:pPr>
            <w:r>
              <w:rPr>
                <w:spacing w:val="7"/>
                <w:sz w:val="20"/>
                <w:szCs w:val="20"/>
              </w:rPr>
              <w:t>燃烧热</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kJ</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mol</w:t>
            </w:r>
            <w:r>
              <w:rPr>
                <w:rFonts w:ascii="Times New Roman" w:hAnsi="Times New Roman" w:eastAsia="Times New Roman" w:cs="Times New Roman"/>
                <w:spacing w:val="7"/>
                <w:sz w:val="20"/>
                <w:szCs w:val="20"/>
              </w:rPr>
              <w:t>)</w:t>
            </w:r>
            <w:r>
              <w:rPr>
                <w:spacing w:val="7"/>
                <w:sz w:val="20"/>
                <w:szCs w:val="20"/>
              </w:rPr>
              <w:t>：</w:t>
            </w:r>
          </w:p>
        </w:tc>
        <w:tc>
          <w:tcPr>
            <w:tcW w:w="3023" w:type="dxa"/>
            <w:tcBorders>
              <w:right w:val="nil"/>
            </w:tcBorders>
            <w:vAlign w:val="top"/>
          </w:tcPr>
          <w:p w14:paraId="11E9CB98">
            <w:pPr>
              <w:pStyle w:val="6"/>
              <w:spacing w:before="77" w:line="214" w:lineRule="auto"/>
              <w:ind w:left="9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12560</w:t>
            </w:r>
            <w:r>
              <w:rPr>
                <w:spacing w:val="3"/>
                <w:sz w:val="20"/>
                <w:szCs w:val="20"/>
              </w:rPr>
              <w:t>～</w:t>
            </w:r>
            <w:r>
              <w:rPr>
                <w:rFonts w:ascii="Times New Roman" w:hAnsi="Times New Roman" w:eastAsia="Times New Roman" w:cs="Times New Roman"/>
                <w:spacing w:val="3"/>
                <w:sz w:val="20"/>
                <w:szCs w:val="20"/>
              </w:rPr>
              <w:t>25120</w:t>
            </w:r>
          </w:p>
        </w:tc>
      </w:tr>
      <w:tr w14:paraId="7F9212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1C4948D9">
            <w:pPr>
              <w:pStyle w:val="6"/>
              <w:spacing w:before="77" w:line="214" w:lineRule="auto"/>
              <w:ind w:left="222"/>
              <w:rPr>
                <w:sz w:val="20"/>
                <w:szCs w:val="20"/>
              </w:rPr>
            </w:pPr>
            <w:r>
              <w:rPr>
                <w:spacing w:val="4"/>
                <w:sz w:val="20"/>
                <w:szCs w:val="20"/>
              </w:rPr>
              <w:t>临界温度</w:t>
            </w:r>
            <w:r>
              <w:rPr>
                <w:rFonts w:ascii="Times New Roman" w:hAnsi="Times New Roman" w:eastAsia="Times New Roman" w:cs="Times New Roman"/>
                <w:spacing w:val="4"/>
                <w:sz w:val="20"/>
                <w:szCs w:val="20"/>
              </w:rPr>
              <w:t>(℃)</w:t>
            </w:r>
            <w:r>
              <w:rPr>
                <w:spacing w:val="4"/>
                <w:sz w:val="20"/>
                <w:szCs w:val="20"/>
              </w:rPr>
              <w:t>：</w:t>
            </w:r>
          </w:p>
        </w:tc>
        <w:tc>
          <w:tcPr>
            <w:tcW w:w="1661" w:type="dxa"/>
            <w:vAlign w:val="top"/>
          </w:tcPr>
          <w:p w14:paraId="2C281177">
            <w:pPr>
              <w:spacing w:before="113" w:line="195" w:lineRule="auto"/>
              <w:ind w:left="56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-140.2</w:t>
            </w:r>
          </w:p>
        </w:tc>
        <w:tc>
          <w:tcPr>
            <w:tcW w:w="2571" w:type="dxa"/>
            <w:vAlign w:val="top"/>
          </w:tcPr>
          <w:p w14:paraId="6AE7BF8C">
            <w:pPr>
              <w:pStyle w:val="6"/>
              <w:spacing w:before="77" w:line="214" w:lineRule="auto"/>
              <w:ind w:left="511"/>
              <w:rPr>
                <w:sz w:val="20"/>
                <w:szCs w:val="20"/>
              </w:rPr>
            </w:pPr>
            <w:r>
              <w:rPr>
                <w:spacing w:val="6"/>
                <w:sz w:val="20"/>
                <w:szCs w:val="20"/>
              </w:rPr>
              <w:t>临界压力</w:t>
            </w:r>
            <w:r>
              <w:rPr>
                <w:rFonts w:ascii="Times New Roman" w:hAnsi="Times New Roman" w:eastAsia="Times New Roman" w:cs="Times New Roman"/>
                <w:spacing w:val="6"/>
                <w:sz w:val="20"/>
                <w:szCs w:val="20"/>
              </w:rPr>
              <w:t>(</w:t>
            </w:r>
            <w:r>
              <w:rPr>
                <w:rFonts w:ascii="Times New Roman" w:hAnsi="Times New Roman" w:eastAsia="Times New Roman" w:cs="Times New Roman"/>
                <w:sz w:val="20"/>
                <w:szCs w:val="20"/>
              </w:rPr>
              <w:t>MPa</w:t>
            </w:r>
            <w:r>
              <w:rPr>
                <w:rFonts w:ascii="Times New Roman" w:hAnsi="Times New Roman" w:eastAsia="Times New Roman" w:cs="Times New Roman"/>
                <w:spacing w:val="6"/>
                <w:sz w:val="20"/>
                <w:szCs w:val="20"/>
              </w:rPr>
              <w:t>)</w:t>
            </w:r>
            <w:r>
              <w:rPr>
                <w:spacing w:val="6"/>
                <w:sz w:val="20"/>
                <w:szCs w:val="20"/>
              </w:rPr>
              <w:t>：</w:t>
            </w:r>
          </w:p>
        </w:tc>
        <w:tc>
          <w:tcPr>
            <w:tcW w:w="3023" w:type="dxa"/>
            <w:tcBorders>
              <w:right w:val="nil"/>
            </w:tcBorders>
            <w:vAlign w:val="top"/>
          </w:tcPr>
          <w:p w14:paraId="2B7EBAEB">
            <w:pPr>
              <w:pStyle w:val="6"/>
              <w:spacing w:before="77" w:line="214" w:lineRule="auto"/>
              <w:ind w:left="335"/>
              <w:rPr>
                <w:rFonts w:ascii="Times New Roman" w:hAnsi="Times New Roman" w:eastAsia="Times New Roman" w:cs="Times New Roman"/>
                <w:sz w:val="13"/>
                <w:szCs w:val="13"/>
              </w:rPr>
            </w:pPr>
            <w:r>
              <w:rPr>
                <w:spacing w:val="7"/>
                <w:sz w:val="20"/>
                <w:szCs w:val="20"/>
              </w:rPr>
              <w:t>最大爆炸压力：</w:t>
            </w:r>
            <w:r>
              <w:rPr>
                <w:rFonts w:ascii="Times New Roman" w:hAnsi="Times New Roman" w:eastAsia="Times New Roman" w:cs="Times New Roman"/>
                <w:spacing w:val="7"/>
                <w:sz w:val="20"/>
                <w:szCs w:val="20"/>
              </w:rPr>
              <w:t>77.9N/</w:t>
            </w:r>
            <w:r>
              <w:rPr>
                <w:rFonts w:ascii="Times New Roman" w:hAnsi="Times New Roman" w:eastAsia="Times New Roman" w:cs="Times New Roman"/>
                <w:sz w:val="20"/>
                <w:szCs w:val="20"/>
              </w:rPr>
              <w:t>cm</w:t>
            </w:r>
            <w:r>
              <w:rPr>
                <w:rFonts w:ascii="Times New Roman" w:hAnsi="Times New Roman" w:eastAsia="Times New Roman" w:cs="Times New Roman"/>
                <w:spacing w:val="7"/>
                <w:position w:val="6"/>
                <w:sz w:val="13"/>
                <w:szCs w:val="13"/>
              </w:rPr>
              <w:t>2</w:t>
            </w:r>
          </w:p>
        </w:tc>
      </w:tr>
      <w:tr w14:paraId="3DA64B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48AD8A2B">
            <w:pPr>
              <w:pStyle w:val="6"/>
              <w:spacing w:before="77" w:line="214" w:lineRule="auto"/>
              <w:ind w:left="301"/>
              <w:rPr>
                <w:sz w:val="20"/>
                <w:szCs w:val="20"/>
              </w:rPr>
            </w:pPr>
            <w:r>
              <w:rPr>
                <w:spacing w:val="-3"/>
                <w:sz w:val="20"/>
                <w:szCs w:val="20"/>
              </w:rPr>
              <w:t>闪点</w:t>
            </w:r>
            <w:r>
              <w:rPr>
                <w:spacing w:val="20"/>
                <w:sz w:val="20"/>
                <w:szCs w:val="20"/>
              </w:rPr>
              <w:t xml:space="preserve"> </w:t>
            </w:r>
            <w:r>
              <w:rPr>
                <w:spacing w:val="-3"/>
                <w:sz w:val="20"/>
                <w:szCs w:val="20"/>
              </w:rPr>
              <w:t>(</w:t>
            </w:r>
            <w:r>
              <w:rPr>
                <w:rFonts w:ascii="Times New Roman" w:hAnsi="Times New Roman" w:eastAsia="Times New Roman" w:cs="Times New Roman"/>
                <w:spacing w:val="-3"/>
                <w:sz w:val="20"/>
                <w:szCs w:val="20"/>
              </w:rPr>
              <w:t>℃</w:t>
            </w:r>
            <w:r>
              <w:rPr>
                <w:spacing w:val="-3"/>
                <w:sz w:val="20"/>
                <w:szCs w:val="20"/>
              </w:rPr>
              <w:t>)</w:t>
            </w:r>
            <w:r>
              <w:rPr>
                <w:spacing w:val="44"/>
                <w:sz w:val="20"/>
                <w:szCs w:val="20"/>
              </w:rPr>
              <w:t xml:space="preserve"> </w:t>
            </w:r>
            <w:r>
              <w:rPr>
                <w:spacing w:val="-3"/>
                <w:sz w:val="20"/>
                <w:szCs w:val="20"/>
              </w:rPr>
              <w:t>:</w:t>
            </w:r>
          </w:p>
        </w:tc>
        <w:tc>
          <w:tcPr>
            <w:tcW w:w="1661" w:type="dxa"/>
            <w:vAlign w:val="top"/>
          </w:tcPr>
          <w:p w14:paraId="5011FFA7">
            <w:pPr>
              <w:pStyle w:val="6"/>
              <w:spacing w:before="77" w:line="214" w:lineRule="auto"/>
              <w:ind w:left="606"/>
              <w:rPr>
                <w:rFonts w:ascii="Times New Roman" w:hAnsi="Times New Roman" w:eastAsia="Times New Roman" w:cs="Times New Roman"/>
                <w:sz w:val="20"/>
                <w:szCs w:val="20"/>
              </w:rPr>
            </w:pPr>
            <w:r>
              <w:rPr>
                <w:spacing w:val="-1"/>
                <w:sz w:val="20"/>
                <w:szCs w:val="20"/>
              </w:rPr>
              <w:t>＜</w:t>
            </w:r>
            <w:r>
              <w:rPr>
                <w:rFonts w:ascii="Times New Roman" w:hAnsi="Times New Roman" w:eastAsia="Times New Roman" w:cs="Times New Roman"/>
                <w:spacing w:val="-1"/>
                <w:sz w:val="20"/>
                <w:szCs w:val="20"/>
              </w:rPr>
              <w:t>-50</w:t>
            </w:r>
          </w:p>
        </w:tc>
        <w:tc>
          <w:tcPr>
            <w:tcW w:w="2571" w:type="dxa"/>
            <w:vAlign w:val="top"/>
          </w:tcPr>
          <w:p w14:paraId="61C59514">
            <w:pPr>
              <w:pStyle w:val="6"/>
              <w:spacing w:before="77" w:line="214" w:lineRule="auto"/>
              <w:ind w:left="288"/>
              <w:rPr>
                <w:sz w:val="20"/>
                <w:szCs w:val="20"/>
              </w:rPr>
            </w:pPr>
            <w:r>
              <w:rPr>
                <w:spacing w:val="7"/>
                <w:sz w:val="20"/>
                <w:szCs w:val="20"/>
              </w:rPr>
              <w:t>爆炸上限</w:t>
            </w:r>
            <w:r>
              <w:rPr>
                <w:rFonts w:ascii="Times New Roman" w:hAnsi="Times New Roman" w:eastAsia="Times New Roman" w:cs="Times New Roman"/>
                <w:spacing w:val="7"/>
                <w:sz w:val="20"/>
                <w:szCs w:val="20"/>
              </w:rPr>
              <w:t>%</w:t>
            </w:r>
            <w:r>
              <w:rPr>
                <w:spacing w:val="7"/>
                <w:sz w:val="20"/>
                <w:szCs w:val="20"/>
              </w:rPr>
              <w:t>（</w:t>
            </w:r>
            <w:r>
              <w:rPr>
                <w:rFonts w:ascii="Times New Roman" w:hAnsi="Times New Roman" w:eastAsia="Times New Roman" w:cs="Times New Roman"/>
                <w:spacing w:val="7"/>
                <w:sz w:val="20"/>
                <w:szCs w:val="20"/>
              </w:rPr>
              <w:t>V/V</w:t>
            </w:r>
            <w:r>
              <w:rPr>
                <w:sz w:val="20"/>
                <w:szCs w:val="20"/>
              </w:rPr>
              <w:t>）：</w:t>
            </w:r>
          </w:p>
        </w:tc>
        <w:tc>
          <w:tcPr>
            <w:tcW w:w="3023" w:type="dxa"/>
            <w:tcBorders>
              <w:right w:val="nil"/>
            </w:tcBorders>
            <w:vAlign w:val="top"/>
          </w:tcPr>
          <w:p w14:paraId="1073A852">
            <w:pPr>
              <w:spacing w:before="113" w:line="195" w:lineRule="auto"/>
              <w:ind w:left="13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74.2</w:t>
            </w:r>
          </w:p>
        </w:tc>
      </w:tr>
      <w:tr w14:paraId="2F68EE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66B5D237">
            <w:pPr>
              <w:pStyle w:val="6"/>
              <w:spacing w:before="77" w:line="214" w:lineRule="auto"/>
              <w:ind w:left="87"/>
              <w:rPr>
                <w:sz w:val="20"/>
                <w:szCs w:val="20"/>
              </w:rPr>
            </w:pPr>
            <w:r>
              <w:rPr>
                <w:sz w:val="20"/>
                <w:szCs w:val="20"/>
              </w:rPr>
              <w:t>引燃温度</w:t>
            </w:r>
            <w:r>
              <w:rPr>
                <w:spacing w:val="26"/>
                <w:sz w:val="20"/>
                <w:szCs w:val="20"/>
              </w:rPr>
              <w:t xml:space="preserve"> </w:t>
            </w:r>
            <w:r>
              <w:rPr>
                <w:sz w:val="20"/>
                <w:szCs w:val="20"/>
              </w:rPr>
              <w:t>(</w:t>
            </w:r>
            <w:r>
              <w:rPr>
                <w:rFonts w:ascii="Times New Roman" w:hAnsi="Times New Roman" w:eastAsia="Times New Roman" w:cs="Times New Roman"/>
                <w:sz w:val="20"/>
                <w:szCs w:val="20"/>
              </w:rPr>
              <w:t>℃</w:t>
            </w:r>
            <w:r>
              <w:rPr>
                <w:sz w:val="20"/>
                <w:szCs w:val="20"/>
              </w:rPr>
              <w:t>)</w:t>
            </w:r>
            <w:r>
              <w:rPr>
                <w:spacing w:val="44"/>
                <w:sz w:val="20"/>
                <w:szCs w:val="20"/>
              </w:rPr>
              <w:t xml:space="preserve"> </w:t>
            </w:r>
            <w:r>
              <w:rPr>
                <w:sz w:val="20"/>
                <w:szCs w:val="20"/>
              </w:rPr>
              <w:t>:</w:t>
            </w:r>
          </w:p>
        </w:tc>
        <w:tc>
          <w:tcPr>
            <w:tcW w:w="1661" w:type="dxa"/>
            <w:vAlign w:val="top"/>
          </w:tcPr>
          <w:p w14:paraId="7695796A">
            <w:pPr>
              <w:spacing w:before="113" w:line="195" w:lineRule="auto"/>
              <w:ind w:left="49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648.9℃</w:t>
            </w:r>
          </w:p>
        </w:tc>
        <w:tc>
          <w:tcPr>
            <w:tcW w:w="2571" w:type="dxa"/>
            <w:vAlign w:val="top"/>
          </w:tcPr>
          <w:p w14:paraId="794A5EAD">
            <w:pPr>
              <w:pStyle w:val="6"/>
              <w:spacing w:before="77" w:line="214" w:lineRule="auto"/>
              <w:ind w:left="288"/>
              <w:rPr>
                <w:sz w:val="20"/>
                <w:szCs w:val="20"/>
              </w:rPr>
            </w:pPr>
            <w:r>
              <w:rPr>
                <w:spacing w:val="7"/>
                <w:sz w:val="20"/>
                <w:szCs w:val="20"/>
              </w:rPr>
              <w:t>爆炸下限</w:t>
            </w:r>
            <w:r>
              <w:rPr>
                <w:rFonts w:ascii="Times New Roman" w:hAnsi="Times New Roman" w:eastAsia="Times New Roman" w:cs="Times New Roman"/>
                <w:spacing w:val="7"/>
                <w:sz w:val="20"/>
                <w:szCs w:val="20"/>
              </w:rPr>
              <w:t>%</w:t>
            </w:r>
            <w:r>
              <w:rPr>
                <w:spacing w:val="7"/>
                <w:sz w:val="20"/>
                <w:szCs w:val="20"/>
              </w:rPr>
              <w:t>（</w:t>
            </w:r>
            <w:r>
              <w:rPr>
                <w:rFonts w:ascii="Times New Roman" w:hAnsi="Times New Roman" w:eastAsia="Times New Roman" w:cs="Times New Roman"/>
                <w:spacing w:val="7"/>
                <w:sz w:val="20"/>
                <w:szCs w:val="20"/>
              </w:rPr>
              <w:t>V/V</w:t>
            </w:r>
            <w:r>
              <w:rPr>
                <w:sz w:val="20"/>
                <w:szCs w:val="20"/>
              </w:rPr>
              <w:t>）：</w:t>
            </w:r>
          </w:p>
        </w:tc>
        <w:tc>
          <w:tcPr>
            <w:tcW w:w="3023" w:type="dxa"/>
            <w:tcBorders>
              <w:right w:val="nil"/>
            </w:tcBorders>
            <w:vAlign w:val="top"/>
          </w:tcPr>
          <w:p w14:paraId="41F01E52">
            <w:pPr>
              <w:spacing w:before="113" w:line="195" w:lineRule="auto"/>
              <w:ind w:left="13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12.5</w:t>
            </w:r>
          </w:p>
        </w:tc>
      </w:tr>
      <w:tr w14:paraId="1BD6E5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4CBEF372">
            <w:pPr>
              <w:pStyle w:val="6"/>
              <w:spacing w:before="77" w:line="213" w:lineRule="auto"/>
              <w:ind w:left="496"/>
              <w:rPr>
                <w:sz w:val="20"/>
                <w:szCs w:val="20"/>
              </w:rPr>
            </w:pPr>
            <w:r>
              <w:rPr>
                <w:spacing w:val="4"/>
                <w:sz w:val="20"/>
                <w:szCs w:val="20"/>
              </w:rPr>
              <w:t>溶解性：</w:t>
            </w:r>
          </w:p>
        </w:tc>
        <w:tc>
          <w:tcPr>
            <w:tcW w:w="7255" w:type="dxa"/>
            <w:gridSpan w:val="3"/>
            <w:tcBorders>
              <w:right w:val="nil"/>
            </w:tcBorders>
            <w:vAlign w:val="top"/>
          </w:tcPr>
          <w:p w14:paraId="71B1B0A7">
            <w:pPr>
              <w:pStyle w:val="6"/>
              <w:spacing w:before="77" w:line="213" w:lineRule="auto"/>
              <w:ind w:left="1534"/>
              <w:rPr>
                <w:sz w:val="20"/>
                <w:szCs w:val="20"/>
              </w:rPr>
            </w:pPr>
            <w:r>
              <w:rPr>
                <w:spacing w:val="9"/>
                <w:sz w:val="20"/>
                <w:szCs w:val="20"/>
              </w:rPr>
              <w:t>微溶于水，溶于乙醇、苯，等多数有机溶剂。</w:t>
            </w:r>
          </w:p>
        </w:tc>
      </w:tr>
      <w:tr w14:paraId="4F64D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816" w:type="dxa"/>
            <w:tcBorders>
              <w:left w:val="nil"/>
              <w:bottom w:val="single" w:color="000000" w:sz="10" w:space="0"/>
            </w:tcBorders>
            <w:vAlign w:val="top"/>
          </w:tcPr>
          <w:p w14:paraId="35328553">
            <w:pPr>
              <w:pStyle w:val="6"/>
              <w:spacing w:before="78" w:line="229" w:lineRule="auto"/>
              <w:ind w:left="392"/>
              <w:rPr>
                <w:sz w:val="20"/>
                <w:szCs w:val="20"/>
              </w:rPr>
            </w:pPr>
            <w:r>
              <w:rPr>
                <w:spacing w:val="5"/>
                <w:sz w:val="20"/>
                <w:szCs w:val="20"/>
              </w:rPr>
              <w:t>主要用途：</w:t>
            </w:r>
          </w:p>
        </w:tc>
        <w:tc>
          <w:tcPr>
            <w:tcW w:w="7255" w:type="dxa"/>
            <w:gridSpan w:val="3"/>
            <w:tcBorders>
              <w:bottom w:val="single" w:color="000000" w:sz="10" w:space="0"/>
              <w:right w:val="nil"/>
            </w:tcBorders>
            <w:vAlign w:val="top"/>
          </w:tcPr>
          <w:p w14:paraId="72DBDA64">
            <w:pPr>
              <w:pStyle w:val="6"/>
              <w:spacing w:before="78" w:line="227" w:lineRule="auto"/>
              <w:ind w:left="590"/>
              <w:rPr>
                <w:sz w:val="20"/>
                <w:szCs w:val="20"/>
              </w:rPr>
            </w:pPr>
            <w:r>
              <w:rPr>
                <w:spacing w:val="9"/>
                <w:sz w:val="20"/>
                <w:szCs w:val="20"/>
              </w:rPr>
              <w:t>用于化学合成，如合成甲醇、光气等，及用作精炼金属的还原剂。</w:t>
            </w:r>
          </w:p>
        </w:tc>
      </w:tr>
    </w:tbl>
    <w:p w14:paraId="203DAB46">
      <w:pPr>
        <w:pStyle w:val="2"/>
      </w:pPr>
    </w:p>
    <w:p w14:paraId="40A56D3A">
      <w:pPr>
        <w:sectPr>
          <w:footerReference r:id="rId380" w:type="default"/>
          <w:pgSz w:w="11906" w:h="16839"/>
          <w:pgMar w:top="1191" w:right="1416" w:bottom="1221" w:left="1417" w:header="882" w:footer="1059" w:gutter="0"/>
          <w:cols w:space="720" w:num="1"/>
        </w:sectPr>
      </w:pPr>
    </w:p>
    <w:p w14:paraId="5F42C9AC">
      <w:pPr>
        <w:spacing w:line="28" w:lineRule="exact"/>
      </w:pPr>
      <w:r>
        <w:pict>
          <v:shape id="_x0000_s1866" o:spid="_x0000_s1866" style="height:1.45pt;width:453.65pt;" fillcolor="#000000" filled="t" stroked="f" coordsize="9072,29" path="m0,0l9072,0,9072,28,0,28,0,0xe">
            <v:path/>
            <v:fill on="t" focussize="0,0"/>
            <v:stroke on="f"/>
            <v:imagedata o:title=""/>
            <o:lock v:ext="edit"/>
            <w10:wrap type="none"/>
            <w10:anchorlock/>
          </v:shape>
        </w:pict>
      </w:r>
    </w:p>
    <w:p w14:paraId="1C868969">
      <w:pPr>
        <w:spacing w:line="196"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16"/>
        <w:gridCol w:w="7256"/>
      </w:tblGrid>
      <w:tr w14:paraId="2C4348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1816" w:type="dxa"/>
            <w:tcBorders>
              <w:top w:val="single" w:color="000000" w:sz="10" w:space="0"/>
              <w:left w:val="nil"/>
            </w:tcBorders>
            <w:vAlign w:val="top"/>
          </w:tcPr>
          <w:p w14:paraId="6D68A31F">
            <w:pPr>
              <w:pStyle w:val="6"/>
              <w:spacing w:before="59" w:line="228" w:lineRule="auto"/>
              <w:ind w:left="494"/>
              <w:rPr>
                <w:sz w:val="20"/>
                <w:szCs w:val="20"/>
              </w:rPr>
            </w:pPr>
            <w:r>
              <w:rPr>
                <w:spacing w:val="7"/>
                <w:sz w:val="20"/>
                <w:szCs w:val="20"/>
              </w:rPr>
              <w:t>第十部分</w:t>
            </w:r>
          </w:p>
        </w:tc>
        <w:tc>
          <w:tcPr>
            <w:tcW w:w="7256" w:type="dxa"/>
            <w:tcBorders>
              <w:top w:val="single" w:color="000000" w:sz="10" w:space="0"/>
              <w:right w:val="nil"/>
            </w:tcBorders>
            <w:vAlign w:val="top"/>
          </w:tcPr>
          <w:p w14:paraId="2E36FE3E">
            <w:pPr>
              <w:pStyle w:val="6"/>
              <w:spacing w:before="59" w:line="228" w:lineRule="auto"/>
              <w:ind w:left="2900"/>
              <w:rPr>
                <w:sz w:val="20"/>
                <w:szCs w:val="20"/>
              </w:rPr>
            </w:pPr>
            <w:r>
              <w:rPr>
                <w:spacing w:val="8"/>
                <w:sz w:val="20"/>
                <w:szCs w:val="20"/>
              </w:rPr>
              <w:t>稳定性和反应性</w:t>
            </w:r>
          </w:p>
        </w:tc>
      </w:tr>
      <w:tr w14:paraId="0D80BD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3AB4D8DF">
            <w:pPr>
              <w:pStyle w:val="6"/>
              <w:spacing w:before="52" w:line="228" w:lineRule="auto"/>
              <w:ind w:left="495"/>
              <w:rPr>
                <w:sz w:val="20"/>
                <w:szCs w:val="20"/>
              </w:rPr>
            </w:pPr>
            <w:r>
              <w:rPr>
                <w:spacing w:val="4"/>
                <w:sz w:val="20"/>
                <w:szCs w:val="20"/>
              </w:rPr>
              <w:t>稳定性：</w:t>
            </w:r>
          </w:p>
        </w:tc>
        <w:tc>
          <w:tcPr>
            <w:tcW w:w="7256" w:type="dxa"/>
            <w:tcBorders>
              <w:right w:val="nil"/>
            </w:tcBorders>
            <w:vAlign w:val="top"/>
          </w:tcPr>
          <w:p w14:paraId="4B547712">
            <w:pPr>
              <w:pStyle w:val="6"/>
              <w:spacing w:before="52" w:line="226" w:lineRule="auto"/>
              <w:ind w:left="2707"/>
              <w:rPr>
                <w:rFonts w:ascii="Times New Roman" w:hAnsi="Times New Roman" w:eastAsia="Times New Roman" w:cs="Times New Roman"/>
                <w:sz w:val="20"/>
                <w:szCs w:val="20"/>
              </w:rPr>
            </w:pPr>
            <w:r>
              <w:rPr>
                <w:spacing w:val="7"/>
                <w:sz w:val="20"/>
                <w:szCs w:val="20"/>
              </w:rPr>
              <w:t>最易传爆浓度：</w:t>
            </w:r>
            <w:r>
              <w:rPr>
                <w:rFonts w:ascii="Times New Roman" w:hAnsi="Times New Roman" w:eastAsia="Times New Roman" w:cs="Times New Roman"/>
                <w:spacing w:val="7"/>
                <w:sz w:val="20"/>
                <w:szCs w:val="20"/>
              </w:rPr>
              <w:t>18%</w:t>
            </w:r>
          </w:p>
        </w:tc>
      </w:tr>
      <w:tr w14:paraId="5EF07A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049C6D8E">
            <w:pPr>
              <w:pStyle w:val="6"/>
              <w:spacing w:before="53" w:line="228" w:lineRule="auto"/>
              <w:ind w:left="494"/>
              <w:rPr>
                <w:sz w:val="20"/>
                <w:szCs w:val="20"/>
              </w:rPr>
            </w:pPr>
            <w:r>
              <w:rPr>
                <w:spacing w:val="5"/>
                <w:sz w:val="20"/>
                <w:szCs w:val="20"/>
              </w:rPr>
              <w:t>禁配物：</w:t>
            </w:r>
          </w:p>
        </w:tc>
        <w:tc>
          <w:tcPr>
            <w:tcW w:w="7256" w:type="dxa"/>
            <w:tcBorders>
              <w:right w:val="nil"/>
            </w:tcBorders>
            <w:vAlign w:val="top"/>
          </w:tcPr>
          <w:p w14:paraId="5FBA7AAA">
            <w:pPr>
              <w:pStyle w:val="6"/>
              <w:spacing w:before="53" w:line="227" w:lineRule="auto"/>
              <w:ind w:left="3219"/>
              <w:rPr>
                <w:sz w:val="20"/>
                <w:szCs w:val="20"/>
              </w:rPr>
            </w:pPr>
            <w:r>
              <w:rPr>
                <w:spacing w:val="6"/>
                <w:sz w:val="20"/>
                <w:szCs w:val="20"/>
              </w:rPr>
              <w:t>强氧化剂</w:t>
            </w:r>
          </w:p>
        </w:tc>
      </w:tr>
      <w:tr w14:paraId="202E85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788C1E06">
            <w:pPr>
              <w:pStyle w:val="6"/>
              <w:spacing w:before="54" w:line="228" w:lineRule="auto"/>
              <w:ind w:left="72"/>
              <w:rPr>
                <w:sz w:val="20"/>
                <w:szCs w:val="20"/>
              </w:rPr>
            </w:pPr>
            <w:r>
              <w:rPr>
                <w:spacing w:val="7"/>
                <w:sz w:val="20"/>
                <w:szCs w:val="20"/>
              </w:rPr>
              <w:t>避免接触的条件：</w:t>
            </w:r>
          </w:p>
        </w:tc>
        <w:tc>
          <w:tcPr>
            <w:tcW w:w="7256" w:type="dxa"/>
            <w:tcBorders>
              <w:right w:val="nil"/>
            </w:tcBorders>
            <w:vAlign w:val="top"/>
          </w:tcPr>
          <w:p w14:paraId="00FE8D62">
            <w:pPr>
              <w:rPr>
                <w:rFonts w:ascii="Arial"/>
                <w:sz w:val="21"/>
              </w:rPr>
            </w:pPr>
          </w:p>
        </w:tc>
      </w:tr>
      <w:tr w14:paraId="65F940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56EF14B8">
            <w:pPr>
              <w:pStyle w:val="6"/>
              <w:spacing w:before="55" w:line="228" w:lineRule="auto"/>
              <w:ind w:left="399"/>
              <w:rPr>
                <w:sz w:val="20"/>
                <w:szCs w:val="20"/>
              </w:rPr>
            </w:pPr>
            <w:r>
              <w:rPr>
                <w:spacing w:val="4"/>
                <w:sz w:val="20"/>
                <w:szCs w:val="20"/>
              </w:rPr>
              <w:t>聚合危害：</w:t>
            </w:r>
          </w:p>
        </w:tc>
        <w:tc>
          <w:tcPr>
            <w:tcW w:w="7256" w:type="dxa"/>
            <w:tcBorders>
              <w:right w:val="nil"/>
            </w:tcBorders>
            <w:vAlign w:val="top"/>
          </w:tcPr>
          <w:p w14:paraId="2732A78F">
            <w:pPr>
              <w:pStyle w:val="6"/>
              <w:spacing w:before="55" w:line="228" w:lineRule="auto"/>
              <w:ind w:left="3323"/>
              <w:rPr>
                <w:sz w:val="20"/>
                <w:szCs w:val="20"/>
              </w:rPr>
            </w:pPr>
            <w:r>
              <w:rPr>
                <w:spacing w:val="5"/>
                <w:sz w:val="20"/>
                <w:szCs w:val="20"/>
              </w:rPr>
              <w:t>不聚合</w:t>
            </w:r>
          </w:p>
        </w:tc>
      </w:tr>
      <w:tr w14:paraId="2412D0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483219A4">
            <w:pPr>
              <w:pStyle w:val="6"/>
              <w:spacing w:before="56" w:line="228" w:lineRule="auto"/>
              <w:ind w:left="393"/>
              <w:rPr>
                <w:sz w:val="20"/>
                <w:szCs w:val="20"/>
              </w:rPr>
            </w:pPr>
            <w:r>
              <w:rPr>
                <w:spacing w:val="5"/>
                <w:sz w:val="20"/>
                <w:szCs w:val="20"/>
              </w:rPr>
              <w:t>分解产物：</w:t>
            </w:r>
          </w:p>
        </w:tc>
        <w:tc>
          <w:tcPr>
            <w:tcW w:w="7256" w:type="dxa"/>
            <w:tcBorders>
              <w:right w:val="nil"/>
            </w:tcBorders>
            <w:vAlign w:val="top"/>
          </w:tcPr>
          <w:p w14:paraId="60F12C8B">
            <w:pPr>
              <w:rPr>
                <w:rFonts w:ascii="Arial"/>
                <w:sz w:val="21"/>
              </w:rPr>
            </w:pPr>
          </w:p>
        </w:tc>
      </w:tr>
      <w:tr w14:paraId="5F02B2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119DB02F">
            <w:pPr>
              <w:pStyle w:val="6"/>
              <w:spacing w:before="57" w:line="228" w:lineRule="auto"/>
              <w:ind w:left="391"/>
              <w:rPr>
                <w:sz w:val="20"/>
                <w:szCs w:val="20"/>
              </w:rPr>
            </w:pPr>
            <w:r>
              <w:rPr>
                <w:spacing w:val="8"/>
                <w:sz w:val="20"/>
                <w:szCs w:val="20"/>
              </w:rPr>
              <w:t>第十一部分</w:t>
            </w:r>
          </w:p>
        </w:tc>
        <w:tc>
          <w:tcPr>
            <w:tcW w:w="7256" w:type="dxa"/>
            <w:tcBorders>
              <w:right w:val="nil"/>
            </w:tcBorders>
            <w:vAlign w:val="top"/>
          </w:tcPr>
          <w:p w14:paraId="433C82FF">
            <w:pPr>
              <w:pStyle w:val="6"/>
              <w:spacing w:before="57" w:line="228" w:lineRule="auto"/>
              <w:ind w:left="3110"/>
              <w:rPr>
                <w:sz w:val="20"/>
                <w:szCs w:val="20"/>
              </w:rPr>
            </w:pPr>
            <w:r>
              <w:rPr>
                <w:spacing w:val="7"/>
                <w:sz w:val="20"/>
                <w:szCs w:val="20"/>
              </w:rPr>
              <w:t>毒理学资料</w:t>
            </w:r>
          </w:p>
        </w:tc>
      </w:tr>
      <w:tr w14:paraId="5E797D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4" w:hRule="atLeast"/>
        </w:trPr>
        <w:tc>
          <w:tcPr>
            <w:tcW w:w="1816" w:type="dxa"/>
            <w:tcBorders>
              <w:left w:val="nil"/>
            </w:tcBorders>
            <w:vAlign w:val="top"/>
          </w:tcPr>
          <w:p w14:paraId="2C12E5B8">
            <w:pPr>
              <w:spacing w:line="467" w:lineRule="auto"/>
              <w:rPr>
                <w:rFonts w:ascii="Arial"/>
                <w:sz w:val="21"/>
              </w:rPr>
            </w:pPr>
          </w:p>
          <w:p w14:paraId="368C123F">
            <w:pPr>
              <w:pStyle w:val="6"/>
              <w:spacing w:before="65" w:line="228" w:lineRule="auto"/>
              <w:ind w:left="397"/>
              <w:rPr>
                <w:sz w:val="20"/>
                <w:szCs w:val="20"/>
              </w:rPr>
            </w:pPr>
            <w:r>
              <w:rPr>
                <w:spacing w:val="4"/>
                <w:sz w:val="20"/>
                <w:szCs w:val="20"/>
              </w:rPr>
              <w:t>急性毒性：</w:t>
            </w:r>
          </w:p>
        </w:tc>
        <w:tc>
          <w:tcPr>
            <w:tcW w:w="7256" w:type="dxa"/>
            <w:tcBorders>
              <w:right w:val="nil"/>
            </w:tcBorders>
            <w:vAlign w:val="top"/>
          </w:tcPr>
          <w:p w14:paraId="4ABB90C8">
            <w:pPr>
              <w:pStyle w:val="6"/>
              <w:spacing w:before="58" w:line="228" w:lineRule="auto"/>
              <w:ind w:left="3"/>
              <w:rPr>
                <w:sz w:val="20"/>
                <w:szCs w:val="20"/>
              </w:rPr>
            </w:pPr>
            <w:r>
              <w:rPr>
                <w:rFonts w:ascii="Times New Roman" w:hAnsi="Times New Roman" w:eastAsia="Times New Roman" w:cs="Times New Roman"/>
                <w:sz w:val="20"/>
                <w:szCs w:val="20"/>
              </w:rPr>
              <w:t>LD</w:t>
            </w:r>
            <w:r>
              <w:rPr>
                <w:rFonts w:ascii="Times New Roman" w:hAnsi="Times New Roman" w:eastAsia="Times New Roman" w:cs="Times New Roman"/>
                <w:spacing w:val="8"/>
                <w:position w:val="-1"/>
                <w:sz w:val="13"/>
                <w:szCs w:val="13"/>
              </w:rPr>
              <w:t>50</w:t>
            </w:r>
            <w:r>
              <w:rPr>
                <w:spacing w:val="8"/>
                <w:sz w:val="20"/>
                <w:szCs w:val="20"/>
              </w:rPr>
              <w:t>：剧毒</w:t>
            </w:r>
          </w:p>
          <w:p w14:paraId="529D6C71">
            <w:pPr>
              <w:pStyle w:val="6"/>
              <w:spacing w:before="71" w:line="273" w:lineRule="auto"/>
              <w:ind w:left="3"/>
              <w:rPr>
                <w:sz w:val="20"/>
                <w:szCs w:val="20"/>
              </w:rPr>
            </w:pPr>
            <w:r>
              <w:rPr>
                <w:rFonts w:ascii="Times New Roman" w:hAnsi="Times New Roman" w:eastAsia="Times New Roman" w:cs="Times New Roman"/>
                <w:sz w:val="20"/>
                <w:szCs w:val="20"/>
              </w:rPr>
              <w:t>LC</w:t>
            </w:r>
            <w:r>
              <w:rPr>
                <w:rFonts w:ascii="Times New Roman" w:hAnsi="Times New Roman" w:eastAsia="Times New Roman" w:cs="Times New Roman"/>
                <w:spacing w:val="4"/>
                <w:position w:val="-1"/>
                <w:sz w:val="13"/>
                <w:szCs w:val="13"/>
              </w:rPr>
              <w:t>50</w:t>
            </w:r>
            <w:r>
              <w:rPr>
                <w:spacing w:val="4"/>
                <w:sz w:val="20"/>
                <w:szCs w:val="20"/>
              </w:rPr>
              <w:t>：大鼠吸入</w:t>
            </w:r>
            <w:r>
              <w:rPr>
                <w:spacing w:val="-40"/>
                <w:sz w:val="20"/>
                <w:szCs w:val="20"/>
              </w:rPr>
              <w:t xml:space="preserve"> </w:t>
            </w:r>
            <w:r>
              <w:rPr>
                <w:rFonts w:ascii="Times New Roman" w:hAnsi="Times New Roman" w:eastAsia="Times New Roman" w:cs="Times New Roman"/>
                <w:sz w:val="20"/>
                <w:szCs w:val="20"/>
              </w:rPr>
              <w:t>LC</w:t>
            </w:r>
            <w:r>
              <w:rPr>
                <w:rFonts w:ascii="Times New Roman" w:hAnsi="Times New Roman" w:eastAsia="Times New Roman" w:cs="Times New Roman"/>
                <w:spacing w:val="4"/>
                <w:position w:val="-1"/>
                <w:sz w:val="13"/>
                <w:szCs w:val="13"/>
              </w:rPr>
              <w:t>50</w:t>
            </w:r>
            <w:r>
              <w:rPr>
                <w:spacing w:val="4"/>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4"/>
                <w:sz w:val="20"/>
                <w:szCs w:val="20"/>
              </w:rPr>
              <w:t>/m</w:t>
            </w:r>
            <w:r>
              <w:rPr>
                <w:rFonts w:ascii="Times New Roman" w:hAnsi="Times New Roman" w:eastAsia="Times New Roman" w:cs="Times New Roman"/>
                <w:spacing w:val="4"/>
                <w:position w:val="6"/>
                <w:sz w:val="13"/>
                <w:szCs w:val="13"/>
              </w:rPr>
              <w:t xml:space="preserve">3 </w:t>
            </w:r>
            <w:r>
              <w:rPr>
                <w:spacing w:val="-17"/>
                <w:sz w:val="20"/>
                <w:szCs w:val="20"/>
              </w:rPr>
              <w:t>）：</w:t>
            </w:r>
            <w:r>
              <w:rPr>
                <w:rFonts w:ascii="Times New Roman" w:hAnsi="Times New Roman" w:eastAsia="Times New Roman" w:cs="Times New Roman"/>
                <w:spacing w:val="4"/>
                <w:sz w:val="20"/>
                <w:szCs w:val="20"/>
              </w:rPr>
              <w:t>1807</w:t>
            </w:r>
            <w:r>
              <w:rPr>
                <w:rFonts w:ascii="Times New Roman" w:hAnsi="Times New Roman" w:eastAsia="Times New Roman" w:cs="Times New Roman"/>
                <w:sz w:val="20"/>
                <w:szCs w:val="20"/>
              </w:rPr>
              <w:t>ppm</w:t>
            </w:r>
            <w:r>
              <w:rPr>
                <w:rFonts w:ascii="Times New Roman" w:hAnsi="Times New Roman" w:eastAsia="Times New Roman" w:cs="Times New Roman"/>
                <w:spacing w:val="-24"/>
                <w:sz w:val="20"/>
                <w:szCs w:val="20"/>
              </w:rPr>
              <w:t xml:space="preserve"> </w:t>
            </w:r>
            <w:r>
              <w:rPr>
                <w:spacing w:val="4"/>
                <w:sz w:val="20"/>
                <w:szCs w:val="20"/>
              </w:rPr>
              <w:t>，</w:t>
            </w:r>
            <w:r>
              <w:rPr>
                <w:rFonts w:ascii="Times New Roman" w:hAnsi="Times New Roman" w:eastAsia="Times New Roman" w:cs="Times New Roman"/>
                <w:spacing w:val="4"/>
                <w:sz w:val="20"/>
                <w:szCs w:val="20"/>
              </w:rPr>
              <w:t>4</w:t>
            </w:r>
            <w:r>
              <w:rPr>
                <w:rFonts w:ascii="Times New Roman" w:hAnsi="Times New Roman" w:eastAsia="Times New Roman" w:cs="Times New Roman"/>
                <w:spacing w:val="14"/>
                <w:w w:val="101"/>
                <w:sz w:val="20"/>
                <w:szCs w:val="20"/>
              </w:rPr>
              <w:t xml:space="preserve"> </w:t>
            </w:r>
            <w:r>
              <w:rPr>
                <w:spacing w:val="4"/>
                <w:sz w:val="20"/>
                <w:szCs w:val="20"/>
              </w:rPr>
              <w:t>小时；人吸入</w:t>
            </w:r>
            <w:r>
              <w:rPr>
                <w:spacing w:val="-44"/>
                <w:sz w:val="20"/>
                <w:szCs w:val="20"/>
              </w:rPr>
              <w:t xml:space="preserve"> </w:t>
            </w:r>
            <w:r>
              <w:rPr>
                <w:rFonts w:ascii="Times New Roman" w:hAnsi="Times New Roman" w:eastAsia="Times New Roman" w:cs="Times New Roman"/>
                <w:sz w:val="20"/>
                <w:szCs w:val="20"/>
              </w:rPr>
              <w:t>LCLO</w:t>
            </w:r>
            <w:r>
              <w:rPr>
                <w:rFonts w:ascii="Times New Roman" w:hAnsi="Times New Roman" w:eastAsia="Times New Roman" w:cs="Times New Roman"/>
                <w:spacing w:val="4"/>
                <w:sz w:val="20"/>
                <w:szCs w:val="20"/>
              </w:rPr>
              <w:t xml:space="preserve">  </w:t>
            </w:r>
            <w:r>
              <w:rPr>
                <w:spacing w:val="4"/>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4"/>
                <w:sz w:val="20"/>
                <w:szCs w:val="20"/>
              </w:rPr>
              <w:t>/m</w:t>
            </w:r>
            <w:r>
              <w:rPr>
                <w:rFonts w:ascii="Times New Roman" w:hAnsi="Times New Roman" w:eastAsia="Times New Roman" w:cs="Times New Roman"/>
                <w:spacing w:val="4"/>
                <w:position w:val="6"/>
                <w:sz w:val="13"/>
                <w:szCs w:val="13"/>
              </w:rPr>
              <w:t xml:space="preserve">3 </w:t>
            </w:r>
            <w:r>
              <w:rPr>
                <w:spacing w:val="-17"/>
                <w:sz w:val="20"/>
                <w:szCs w:val="20"/>
              </w:rPr>
              <w:t>）：</w:t>
            </w:r>
            <w:r>
              <w:rPr>
                <w:sz w:val="20"/>
                <w:szCs w:val="20"/>
              </w:rPr>
              <w:t xml:space="preserve"> </w:t>
            </w:r>
            <w:r>
              <w:rPr>
                <w:rFonts w:ascii="Times New Roman" w:hAnsi="Times New Roman" w:eastAsia="Times New Roman" w:cs="Times New Roman"/>
                <w:spacing w:val="6"/>
                <w:sz w:val="20"/>
                <w:szCs w:val="20"/>
              </w:rPr>
              <w:t>4000</w:t>
            </w:r>
            <w:r>
              <w:rPr>
                <w:rFonts w:ascii="Times New Roman" w:hAnsi="Times New Roman" w:eastAsia="Times New Roman" w:cs="Times New Roman"/>
                <w:sz w:val="20"/>
                <w:szCs w:val="20"/>
              </w:rPr>
              <w:t>ppm</w:t>
            </w:r>
            <w:r>
              <w:rPr>
                <w:rFonts w:ascii="Times New Roman" w:hAnsi="Times New Roman" w:eastAsia="Times New Roman" w:cs="Times New Roman"/>
                <w:spacing w:val="6"/>
                <w:sz w:val="20"/>
                <w:szCs w:val="20"/>
              </w:rPr>
              <w:t>/30</w:t>
            </w:r>
            <w:r>
              <w:rPr>
                <w:rFonts w:ascii="Times New Roman" w:hAnsi="Times New Roman" w:eastAsia="Times New Roman" w:cs="Times New Roman"/>
                <w:sz w:val="20"/>
                <w:szCs w:val="20"/>
              </w:rPr>
              <w:t>min</w:t>
            </w:r>
            <w:r>
              <w:rPr>
                <w:spacing w:val="6"/>
                <w:sz w:val="20"/>
                <w:szCs w:val="20"/>
              </w:rPr>
              <w:t>；人吸入</w:t>
            </w:r>
            <w:r>
              <w:rPr>
                <w:spacing w:val="-36"/>
                <w:sz w:val="20"/>
                <w:szCs w:val="20"/>
              </w:rPr>
              <w:t xml:space="preserve"> </w:t>
            </w:r>
            <w:r>
              <w:rPr>
                <w:rFonts w:ascii="Times New Roman" w:hAnsi="Times New Roman" w:eastAsia="Times New Roman" w:cs="Times New Roman"/>
                <w:sz w:val="20"/>
                <w:szCs w:val="20"/>
              </w:rPr>
              <w:t>TCLO</w:t>
            </w:r>
            <w:r>
              <w:rPr>
                <w:spacing w:val="6"/>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6"/>
                <w:sz w:val="20"/>
                <w:szCs w:val="20"/>
              </w:rPr>
              <w:t>/m</w:t>
            </w:r>
            <w:r>
              <w:rPr>
                <w:rFonts w:ascii="Times New Roman" w:hAnsi="Times New Roman" w:eastAsia="Times New Roman" w:cs="Times New Roman"/>
                <w:spacing w:val="6"/>
                <w:position w:val="6"/>
                <w:sz w:val="13"/>
                <w:szCs w:val="13"/>
              </w:rPr>
              <w:t xml:space="preserve">3 </w:t>
            </w:r>
            <w:r>
              <w:rPr>
                <w:spacing w:val="15"/>
                <w:sz w:val="20"/>
                <w:szCs w:val="20"/>
              </w:rPr>
              <w:t>）：</w:t>
            </w:r>
            <w:r>
              <w:rPr>
                <w:rFonts w:ascii="Times New Roman" w:hAnsi="Times New Roman" w:eastAsia="Times New Roman" w:cs="Times New Roman"/>
                <w:spacing w:val="6"/>
                <w:sz w:val="20"/>
                <w:szCs w:val="20"/>
              </w:rPr>
              <w:t>150</w:t>
            </w:r>
            <w:r>
              <w:rPr>
                <w:rFonts w:ascii="Times New Roman" w:hAnsi="Times New Roman" w:eastAsia="Times New Roman" w:cs="Times New Roman"/>
                <w:sz w:val="20"/>
                <w:szCs w:val="20"/>
              </w:rPr>
              <w:t>ppm</w:t>
            </w:r>
            <w:r>
              <w:rPr>
                <w:rFonts w:ascii="Times New Roman" w:hAnsi="Times New Roman" w:eastAsia="Times New Roman" w:cs="Times New Roman"/>
                <w:spacing w:val="6"/>
                <w:sz w:val="20"/>
                <w:szCs w:val="20"/>
              </w:rPr>
              <w:t>/24h</w:t>
            </w:r>
            <w:r>
              <w:rPr>
                <w:rFonts w:ascii="Times New Roman" w:hAnsi="Times New Roman" w:eastAsia="Times New Roman" w:cs="Times New Roman"/>
                <w:spacing w:val="-19"/>
                <w:sz w:val="20"/>
                <w:szCs w:val="20"/>
              </w:rPr>
              <w:t xml:space="preserve"> </w:t>
            </w:r>
            <w:r>
              <w:rPr>
                <w:spacing w:val="6"/>
                <w:sz w:val="20"/>
                <w:szCs w:val="20"/>
              </w:rPr>
              <w:t>，</w:t>
            </w:r>
            <w:r>
              <w:rPr>
                <w:rFonts w:ascii="Times New Roman" w:hAnsi="Times New Roman" w:eastAsia="Times New Roman" w:cs="Times New Roman"/>
                <w:spacing w:val="6"/>
                <w:sz w:val="20"/>
                <w:szCs w:val="20"/>
              </w:rPr>
              <w:t>650</w:t>
            </w:r>
            <w:r>
              <w:rPr>
                <w:rFonts w:ascii="Times New Roman" w:hAnsi="Times New Roman" w:eastAsia="Times New Roman" w:cs="Times New Roman"/>
                <w:sz w:val="20"/>
                <w:szCs w:val="20"/>
              </w:rPr>
              <w:t>ppm</w:t>
            </w:r>
            <w:r>
              <w:rPr>
                <w:rFonts w:ascii="Times New Roman" w:hAnsi="Times New Roman" w:eastAsia="Times New Roman" w:cs="Times New Roman"/>
                <w:spacing w:val="6"/>
                <w:sz w:val="20"/>
                <w:szCs w:val="20"/>
              </w:rPr>
              <w:t>/45</w:t>
            </w:r>
            <w:r>
              <w:rPr>
                <w:rFonts w:ascii="Times New Roman" w:hAnsi="Times New Roman" w:eastAsia="Times New Roman" w:cs="Times New Roman"/>
                <w:sz w:val="20"/>
                <w:szCs w:val="20"/>
              </w:rPr>
              <w:t>min</w:t>
            </w:r>
            <w:r>
              <w:rPr>
                <w:rFonts w:ascii="Times New Roman" w:hAnsi="Times New Roman" w:eastAsia="Times New Roman" w:cs="Times New Roman"/>
                <w:spacing w:val="-19"/>
                <w:sz w:val="20"/>
                <w:szCs w:val="20"/>
              </w:rPr>
              <w:t xml:space="preserve"> </w:t>
            </w:r>
            <w:r>
              <w:rPr>
                <w:spacing w:val="6"/>
                <w:sz w:val="20"/>
                <w:szCs w:val="20"/>
              </w:rPr>
              <w:t>，中枢</w:t>
            </w:r>
            <w:r>
              <w:rPr>
                <w:sz w:val="20"/>
                <w:szCs w:val="20"/>
              </w:rPr>
              <w:t xml:space="preserve"> </w:t>
            </w:r>
            <w:r>
              <w:rPr>
                <w:spacing w:val="6"/>
                <w:sz w:val="20"/>
                <w:szCs w:val="20"/>
              </w:rPr>
              <w:t>神经系统效应。</w:t>
            </w:r>
          </w:p>
        </w:tc>
      </w:tr>
      <w:tr w14:paraId="44E6DE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5" w:hRule="atLeast"/>
        </w:trPr>
        <w:tc>
          <w:tcPr>
            <w:tcW w:w="1816" w:type="dxa"/>
            <w:tcBorders>
              <w:left w:val="nil"/>
            </w:tcBorders>
            <w:vAlign w:val="top"/>
          </w:tcPr>
          <w:p w14:paraId="7DE48C1C">
            <w:pPr>
              <w:spacing w:line="312" w:lineRule="auto"/>
              <w:rPr>
                <w:rFonts w:ascii="Arial"/>
                <w:sz w:val="21"/>
              </w:rPr>
            </w:pPr>
          </w:p>
          <w:p w14:paraId="3ECD38FE">
            <w:pPr>
              <w:pStyle w:val="6"/>
              <w:spacing w:before="65" w:line="228" w:lineRule="auto"/>
              <w:jc w:val="right"/>
              <w:rPr>
                <w:sz w:val="20"/>
                <w:szCs w:val="20"/>
              </w:rPr>
            </w:pPr>
            <w:r>
              <w:rPr>
                <w:sz w:val="20"/>
                <w:szCs w:val="20"/>
              </w:rPr>
              <w:t>亚急性和慢性毒性：</w:t>
            </w:r>
          </w:p>
        </w:tc>
        <w:tc>
          <w:tcPr>
            <w:tcW w:w="7256" w:type="dxa"/>
            <w:tcBorders>
              <w:right w:val="nil"/>
            </w:tcBorders>
            <w:vAlign w:val="top"/>
          </w:tcPr>
          <w:p w14:paraId="70DAF5E5">
            <w:pPr>
              <w:pStyle w:val="6"/>
              <w:spacing w:before="61" w:line="272" w:lineRule="auto"/>
              <w:ind w:left="7" w:firstLine="3"/>
              <w:jc w:val="both"/>
              <w:rPr>
                <w:sz w:val="20"/>
                <w:szCs w:val="20"/>
              </w:rPr>
            </w:pPr>
            <w:r>
              <w:rPr>
                <w:spacing w:val="5"/>
                <w:sz w:val="20"/>
                <w:szCs w:val="20"/>
              </w:rPr>
              <w:t>大鼠吸入</w:t>
            </w:r>
            <w:r>
              <w:rPr>
                <w:spacing w:val="-19"/>
                <w:sz w:val="20"/>
                <w:szCs w:val="20"/>
              </w:rPr>
              <w:t xml:space="preserve"> </w:t>
            </w:r>
            <w:r>
              <w:rPr>
                <w:rFonts w:ascii="Times New Roman" w:hAnsi="Times New Roman" w:eastAsia="Times New Roman" w:cs="Times New Roman"/>
                <w:spacing w:val="5"/>
                <w:sz w:val="20"/>
                <w:szCs w:val="20"/>
              </w:rPr>
              <w:t>0.047</w:t>
            </w:r>
            <w:r>
              <w:rPr>
                <w:spacing w:val="5"/>
                <w:sz w:val="20"/>
                <w:szCs w:val="20"/>
              </w:rPr>
              <w:t>～</w:t>
            </w:r>
            <w:r>
              <w:rPr>
                <w:rFonts w:ascii="Times New Roman" w:hAnsi="Times New Roman" w:eastAsia="Times New Roman" w:cs="Times New Roman"/>
                <w:spacing w:val="5"/>
                <w:sz w:val="20"/>
                <w:szCs w:val="20"/>
              </w:rPr>
              <w:t>0.053</w:t>
            </w:r>
            <w:r>
              <w:rPr>
                <w:rFonts w:ascii="Times New Roman" w:hAnsi="Times New Roman" w:eastAsia="Times New Roman" w:cs="Times New Roman"/>
                <w:sz w:val="20"/>
                <w:szCs w:val="20"/>
              </w:rPr>
              <w:t>mg</w:t>
            </w:r>
            <w:r>
              <w:rPr>
                <w:rFonts w:ascii="Times New Roman" w:hAnsi="Times New Roman" w:eastAsia="Times New Roman" w:cs="Times New Roman"/>
                <w:spacing w:val="5"/>
                <w:sz w:val="20"/>
                <w:szCs w:val="20"/>
              </w:rPr>
              <w:t>/L</w:t>
            </w:r>
            <w:r>
              <w:rPr>
                <w:rFonts w:ascii="Times New Roman" w:hAnsi="Times New Roman" w:eastAsia="Times New Roman" w:cs="Times New Roman"/>
                <w:spacing w:val="-23"/>
                <w:sz w:val="20"/>
                <w:szCs w:val="20"/>
              </w:rPr>
              <w:t xml:space="preserve"> </w:t>
            </w:r>
            <w:r>
              <w:rPr>
                <w:spacing w:val="5"/>
                <w:sz w:val="20"/>
                <w:szCs w:val="20"/>
              </w:rPr>
              <w:t>，</w:t>
            </w:r>
            <w:r>
              <w:rPr>
                <w:rFonts w:ascii="Times New Roman" w:hAnsi="Times New Roman" w:eastAsia="Times New Roman" w:cs="Times New Roman"/>
                <w:spacing w:val="5"/>
                <w:sz w:val="20"/>
                <w:szCs w:val="20"/>
              </w:rPr>
              <w:t>4</w:t>
            </w:r>
            <w:r>
              <w:rPr>
                <w:spacing w:val="5"/>
                <w:sz w:val="20"/>
                <w:szCs w:val="20"/>
              </w:rPr>
              <w:t>～</w:t>
            </w:r>
            <w:r>
              <w:rPr>
                <w:rFonts w:ascii="Times New Roman" w:hAnsi="Times New Roman" w:eastAsia="Times New Roman" w:cs="Times New Roman"/>
                <w:spacing w:val="5"/>
                <w:sz w:val="20"/>
                <w:szCs w:val="20"/>
              </w:rPr>
              <w:t>8</w:t>
            </w:r>
            <w:r>
              <w:rPr>
                <w:rFonts w:ascii="Times New Roman" w:hAnsi="Times New Roman" w:eastAsia="Times New Roman" w:cs="Times New Roman"/>
                <w:spacing w:val="18"/>
                <w:sz w:val="20"/>
                <w:szCs w:val="20"/>
              </w:rPr>
              <w:t xml:space="preserve"> </w:t>
            </w:r>
            <w:r>
              <w:rPr>
                <w:spacing w:val="5"/>
                <w:sz w:val="20"/>
                <w:szCs w:val="20"/>
              </w:rPr>
              <w:t>小时</w:t>
            </w:r>
            <w:r>
              <w:rPr>
                <w:rFonts w:ascii="Times New Roman" w:hAnsi="Times New Roman" w:eastAsia="Times New Roman" w:cs="Times New Roman"/>
                <w:spacing w:val="5"/>
                <w:sz w:val="20"/>
                <w:szCs w:val="20"/>
              </w:rPr>
              <w:t>/</w:t>
            </w:r>
            <w:r>
              <w:rPr>
                <w:spacing w:val="5"/>
                <w:sz w:val="20"/>
                <w:szCs w:val="20"/>
              </w:rPr>
              <w:t>天，</w:t>
            </w:r>
            <w:r>
              <w:rPr>
                <w:rFonts w:ascii="Times New Roman" w:hAnsi="Times New Roman" w:eastAsia="Times New Roman" w:cs="Times New Roman"/>
                <w:spacing w:val="5"/>
                <w:sz w:val="20"/>
                <w:szCs w:val="20"/>
              </w:rPr>
              <w:t>30</w:t>
            </w:r>
            <w:r>
              <w:rPr>
                <w:rFonts w:ascii="Times New Roman" w:hAnsi="Times New Roman" w:eastAsia="Times New Roman" w:cs="Times New Roman"/>
                <w:spacing w:val="16"/>
                <w:sz w:val="20"/>
                <w:szCs w:val="20"/>
              </w:rPr>
              <w:t xml:space="preserve"> </w:t>
            </w:r>
            <w:r>
              <w:rPr>
                <w:spacing w:val="5"/>
                <w:sz w:val="20"/>
                <w:szCs w:val="20"/>
              </w:rPr>
              <w:t>天，出现生长缓慢，血红蛋白及</w:t>
            </w:r>
            <w:r>
              <w:rPr>
                <w:sz w:val="20"/>
                <w:szCs w:val="20"/>
              </w:rPr>
              <w:t xml:space="preserve"> </w:t>
            </w:r>
            <w:r>
              <w:rPr>
                <w:spacing w:val="7"/>
                <w:sz w:val="20"/>
                <w:szCs w:val="20"/>
              </w:rPr>
              <w:t>红细胞数增高，肝脏的琥珀酸脱氢酶及细胞色素氧化酶的活性受到破坏。猴吸入</w:t>
            </w:r>
            <w:r>
              <w:rPr>
                <w:sz w:val="20"/>
                <w:szCs w:val="20"/>
              </w:rPr>
              <w:t xml:space="preserve"> </w:t>
            </w:r>
            <w:r>
              <w:rPr>
                <w:rFonts w:ascii="Times New Roman" w:hAnsi="Times New Roman" w:eastAsia="Times New Roman" w:cs="Times New Roman"/>
                <w:spacing w:val="3"/>
                <w:sz w:val="20"/>
                <w:szCs w:val="20"/>
              </w:rPr>
              <w:t>0.</w:t>
            </w:r>
            <w:r>
              <w:rPr>
                <w:rFonts w:ascii="Times New Roman" w:hAnsi="Times New Roman" w:eastAsia="Times New Roman" w:cs="Times New Roman"/>
                <w:spacing w:val="-9"/>
                <w:sz w:val="20"/>
                <w:szCs w:val="20"/>
              </w:rPr>
              <w:t xml:space="preserve"> </w:t>
            </w:r>
            <w:r>
              <w:rPr>
                <w:rFonts w:ascii="Times New Roman" w:hAnsi="Times New Roman" w:eastAsia="Times New Roman" w:cs="Times New Roman"/>
                <w:spacing w:val="3"/>
                <w:sz w:val="20"/>
                <w:szCs w:val="20"/>
              </w:rPr>
              <w:t>11</w:t>
            </w:r>
            <w:r>
              <w:rPr>
                <w:rFonts w:ascii="Times New Roman" w:hAnsi="Times New Roman" w:eastAsia="Times New Roman" w:cs="Times New Roman"/>
                <w:sz w:val="20"/>
                <w:szCs w:val="20"/>
              </w:rPr>
              <w:t>mg</w:t>
            </w:r>
            <w:r>
              <w:rPr>
                <w:rFonts w:ascii="Times New Roman" w:hAnsi="Times New Roman" w:eastAsia="Times New Roman" w:cs="Times New Roman"/>
                <w:spacing w:val="3"/>
                <w:sz w:val="20"/>
                <w:szCs w:val="20"/>
              </w:rPr>
              <w:t>/L</w:t>
            </w:r>
            <w:r>
              <w:rPr>
                <w:rFonts w:ascii="Times New Roman" w:hAnsi="Times New Roman" w:eastAsia="Times New Roman" w:cs="Times New Roman"/>
                <w:spacing w:val="-23"/>
                <w:sz w:val="20"/>
                <w:szCs w:val="20"/>
              </w:rPr>
              <w:t xml:space="preserve"> </w:t>
            </w:r>
            <w:r>
              <w:rPr>
                <w:spacing w:val="3"/>
                <w:sz w:val="20"/>
                <w:szCs w:val="20"/>
              </w:rPr>
              <w:t>，经</w:t>
            </w:r>
            <w:r>
              <w:rPr>
                <w:spacing w:val="-36"/>
                <w:sz w:val="20"/>
                <w:szCs w:val="20"/>
              </w:rPr>
              <w:t xml:space="preserve"> </w:t>
            </w:r>
            <w:r>
              <w:rPr>
                <w:rFonts w:ascii="Times New Roman" w:hAnsi="Times New Roman" w:eastAsia="Times New Roman" w:cs="Times New Roman"/>
                <w:spacing w:val="3"/>
                <w:sz w:val="20"/>
                <w:szCs w:val="20"/>
              </w:rPr>
              <w:t>3</w:t>
            </w:r>
            <w:r>
              <w:rPr>
                <w:spacing w:val="3"/>
                <w:sz w:val="20"/>
                <w:szCs w:val="20"/>
              </w:rPr>
              <w:t>～</w:t>
            </w:r>
            <w:r>
              <w:rPr>
                <w:rFonts w:ascii="Times New Roman" w:hAnsi="Times New Roman" w:eastAsia="Times New Roman" w:cs="Times New Roman"/>
                <w:spacing w:val="3"/>
                <w:sz w:val="20"/>
                <w:szCs w:val="20"/>
              </w:rPr>
              <w:t xml:space="preserve">6 </w:t>
            </w:r>
            <w:r>
              <w:rPr>
                <w:spacing w:val="3"/>
                <w:sz w:val="20"/>
                <w:szCs w:val="20"/>
              </w:rPr>
              <w:t>个月引起心肌损伤。</w:t>
            </w:r>
          </w:p>
        </w:tc>
      </w:tr>
      <w:tr w14:paraId="04F126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7CD377BC">
            <w:pPr>
              <w:pStyle w:val="6"/>
              <w:spacing w:before="63" w:line="226" w:lineRule="auto"/>
              <w:ind w:left="494"/>
              <w:rPr>
                <w:sz w:val="20"/>
                <w:szCs w:val="20"/>
              </w:rPr>
            </w:pPr>
            <w:r>
              <w:rPr>
                <w:spacing w:val="7"/>
                <w:sz w:val="20"/>
                <w:szCs w:val="20"/>
              </w:rPr>
              <w:t>致突变性</w:t>
            </w:r>
          </w:p>
        </w:tc>
        <w:tc>
          <w:tcPr>
            <w:tcW w:w="7256" w:type="dxa"/>
            <w:tcBorders>
              <w:right w:val="nil"/>
            </w:tcBorders>
            <w:vAlign w:val="top"/>
          </w:tcPr>
          <w:p w14:paraId="1EDBDA3C">
            <w:pPr>
              <w:pStyle w:val="6"/>
              <w:spacing w:before="63" w:line="221" w:lineRule="auto"/>
              <w:ind w:left="1421"/>
              <w:rPr>
                <w:sz w:val="20"/>
                <w:szCs w:val="20"/>
              </w:rPr>
            </w:pPr>
            <w:r>
              <w:rPr>
                <w:spacing w:val="6"/>
                <w:sz w:val="20"/>
                <w:szCs w:val="20"/>
              </w:rPr>
              <w:t>微核试验：小鼠吸入</w:t>
            </w:r>
            <w:r>
              <w:rPr>
                <w:spacing w:val="-20"/>
                <w:sz w:val="20"/>
                <w:szCs w:val="20"/>
              </w:rPr>
              <w:t xml:space="preserve"> </w:t>
            </w:r>
            <w:r>
              <w:rPr>
                <w:rFonts w:ascii="Times New Roman" w:hAnsi="Times New Roman" w:eastAsia="Times New Roman" w:cs="Times New Roman"/>
                <w:spacing w:val="6"/>
                <w:sz w:val="20"/>
                <w:szCs w:val="20"/>
              </w:rPr>
              <w:t>1500</w:t>
            </w:r>
            <w:r>
              <w:rPr>
                <w:rFonts w:ascii="Times New Roman" w:hAnsi="Times New Roman" w:eastAsia="Times New Roman" w:cs="Times New Roman"/>
                <w:sz w:val="20"/>
                <w:szCs w:val="20"/>
              </w:rPr>
              <w:t>ppm</w:t>
            </w:r>
            <w:r>
              <w:rPr>
                <w:rFonts w:ascii="Times New Roman" w:hAnsi="Times New Roman" w:eastAsia="Times New Roman" w:cs="Times New Roman"/>
                <w:spacing w:val="6"/>
                <w:sz w:val="20"/>
                <w:szCs w:val="20"/>
              </w:rPr>
              <w:t>/10m</w:t>
            </w:r>
            <w:r>
              <w:rPr>
                <w:rFonts w:ascii="Times New Roman" w:hAnsi="Times New Roman" w:eastAsia="Times New Roman" w:cs="Times New Roman"/>
                <w:spacing w:val="-21"/>
                <w:sz w:val="20"/>
                <w:szCs w:val="20"/>
              </w:rPr>
              <w:t xml:space="preserve"> </w:t>
            </w:r>
            <w:r>
              <w:rPr>
                <w:spacing w:val="6"/>
                <w:sz w:val="20"/>
                <w:szCs w:val="20"/>
              </w:rPr>
              <w:t>。姐妹染色体</w:t>
            </w:r>
          </w:p>
        </w:tc>
      </w:tr>
      <w:tr w14:paraId="54391C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92" w:hRule="atLeast"/>
        </w:trPr>
        <w:tc>
          <w:tcPr>
            <w:tcW w:w="1816" w:type="dxa"/>
            <w:tcBorders>
              <w:left w:val="nil"/>
            </w:tcBorders>
            <w:vAlign w:val="top"/>
          </w:tcPr>
          <w:p w14:paraId="4C5E8475">
            <w:pPr>
              <w:spacing w:line="315" w:lineRule="auto"/>
              <w:rPr>
                <w:rFonts w:ascii="Arial"/>
                <w:sz w:val="21"/>
              </w:rPr>
            </w:pPr>
          </w:p>
          <w:p w14:paraId="50276C58">
            <w:pPr>
              <w:spacing w:line="316" w:lineRule="auto"/>
              <w:rPr>
                <w:rFonts w:ascii="Arial"/>
                <w:sz w:val="21"/>
              </w:rPr>
            </w:pPr>
          </w:p>
          <w:p w14:paraId="2542D973">
            <w:pPr>
              <w:pStyle w:val="6"/>
              <w:spacing w:before="65" w:line="228" w:lineRule="auto"/>
              <w:ind w:left="494"/>
              <w:rPr>
                <w:sz w:val="20"/>
                <w:szCs w:val="20"/>
              </w:rPr>
            </w:pPr>
            <w:r>
              <w:rPr>
                <w:spacing w:val="5"/>
                <w:sz w:val="20"/>
                <w:szCs w:val="20"/>
              </w:rPr>
              <w:t>致畸性：</w:t>
            </w:r>
          </w:p>
        </w:tc>
        <w:tc>
          <w:tcPr>
            <w:tcW w:w="7256" w:type="dxa"/>
            <w:tcBorders>
              <w:right w:val="nil"/>
            </w:tcBorders>
            <w:vAlign w:val="top"/>
          </w:tcPr>
          <w:p w14:paraId="5C09D9CD">
            <w:pPr>
              <w:pStyle w:val="6"/>
              <w:spacing w:before="65" w:line="280" w:lineRule="auto"/>
              <w:ind w:left="4" w:firstLine="6"/>
              <w:rPr>
                <w:sz w:val="20"/>
                <w:szCs w:val="20"/>
              </w:rPr>
            </w:pPr>
            <w:r>
              <w:rPr>
                <w:spacing w:val="10"/>
                <w:sz w:val="20"/>
                <w:szCs w:val="20"/>
              </w:rPr>
              <w:t>大鼠、豚鼠、小鼠孕后不同时间吸入最低中毒剂量（</w:t>
            </w:r>
            <w:r>
              <w:rPr>
                <w:rFonts w:ascii="Times New Roman" w:hAnsi="Times New Roman" w:eastAsia="Times New Roman" w:cs="Times New Roman"/>
                <w:sz w:val="20"/>
                <w:szCs w:val="20"/>
              </w:rPr>
              <w:t>TCLO</w:t>
            </w:r>
            <w:r>
              <w:rPr>
                <w:spacing w:val="10"/>
                <w:sz w:val="20"/>
                <w:szCs w:val="20"/>
              </w:rPr>
              <w:t>）不同浓度</w:t>
            </w:r>
            <w:r>
              <w:rPr>
                <w:spacing w:val="9"/>
                <w:sz w:val="20"/>
                <w:szCs w:val="20"/>
              </w:rPr>
              <w:t>，致中枢</w:t>
            </w:r>
            <w:r>
              <w:rPr>
                <w:sz w:val="20"/>
                <w:szCs w:val="20"/>
              </w:rPr>
              <w:t xml:space="preserve"> </w:t>
            </w:r>
            <w:r>
              <w:rPr>
                <w:spacing w:val="4"/>
                <w:sz w:val="20"/>
                <w:szCs w:val="20"/>
              </w:rPr>
              <w:t>神经系统发育畸形。大鼠孕后</w:t>
            </w:r>
            <w:r>
              <w:rPr>
                <w:spacing w:val="-21"/>
                <w:sz w:val="20"/>
                <w:szCs w:val="20"/>
              </w:rPr>
              <w:t xml:space="preserve"> </w:t>
            </w:r>
            <w:r>
              <w:rPr>
                <w:rFonts w:ascii="Times New Roman" w:hAnsi="Times New Roman" w:eastAsia="Times New Roman" w:cs="Times New Roman"/>
                <w:spacing w:val="4"/>
                <w:sz w:val="20"/>
                <w:szCs w:val="20"/>
              </w:rPr>
              <w:t>1</w:t>
            </w:r>
            <w:r>
              <w:rPr>
                <w:spacing w:val="4"/>
                <w:sz w:val="20"/>
                <w:szCs w:val="20"/>
              </w:rPr>
              <w:t>～</w:t>
            </w:r>
            <w:r>
              <w:rPr>
                <w:rFonts w:ascii="Times New Roman" w:hAnsi="Times New Roman" w:eastAsia="Times New Roman" w:cs="Times New Roman"/>
                <w:spacing w:val="4"/>
                <w:sz w:val="20"/>
                <w:szCs w:val="20"/>
              </w:rPr>
              <w:t>22</w:t>
            </w:r>
            <w:r>
              <w:rPr>
                <w:rFonts w:ascii="Times New Roman" w:hAnsi="Times New Roman" w:eastAsia="Times New Roman" w:cs="Times New Roman"/>
                <w:spacing w:val="17"/>
                <w:sz w:val="20"/>
                <w:szCs w:val="20"/>
              </w:rPr>
              <w:t xml:space="preserve"> </w:t>
            </w:r>
            <w:r>
              <w:rPr>
                <w:spacing w:val="4"/>
                <w:sz w:val="20"/>
                <w:szCs w:val="20"/>
              </w:rPr>
              <w:t>天吸入</w:t>
            </w:r>
            <w:r>
              <w:rPr>
                <w:spacing w:val="-23"/>
                <w:sz w:val="20"/>
                <w:szCs w:val="20"/>
              </w:rPr>
              <w:t xml:space="preserve"> </w:t>
            </w:r>
            <w:r>
              <w:rPr>
                <w:rFonts w:ascii="Times New Roman" w:hAnsi="Times New Roman" w:eastAsia="Times New Roman" w:cs="Times New Roman"/>
                <w:spacing w:val="4"/>
                <w:sz w:val="20"/>
                <w:szCs w:val="20"/>
              </w:rPr>
              <w:t>150</w:t>
            </w:r>
            <w:r>
              <w:rPr>
                <w:rFonts w:ascii="Times New Roman" w:hAnsi="Times New Roman" w:eastAsia="Times New Roman" w:cs="Times New Roman"/>
                <w:sz w:val="20"/>
                <w:szCs w:val="20"/>
              </w:rPr>
              <w:t>ppm</w:t>
            </w:r>
            <w:r>
              <w:rPr>
                <w:rFonts w:ascii="Times New Roman" w:hAnsi="Times New Roman" w:eastAsia="Times New Roman" w:cs="Times New Roman"/>
                <w:spacing w:val="4"/>
                <w:sz w:val="20"/>
                <w:szCs w:val="20"/>
              </w:rPr>
              <w:t>/24</w:t>
            </w:r>
            <w:r>
              <w:rPr>
                <w:rFonts w:ascii="Times New Roman" w:hAnsi="Times New Roman" w:eastAsia="Times New Roman" w:cs="Times New Roman"/>
                <w:spacing w:val="3"/>
                <w:sz w:val="20"/>
                <w:szCs w:val="20"/>
              </w:rPr>
              <w:t>H</w:t>
            </w:r>
            <w:r>
              <w:rPr>
                <w:rFonts w:ascii="Times New Roman" w:hAnsi="Times New Roman" w:eastAsia="Times New Roman" w:cs="Times New Roman"/>
                <w:spacing w:val="-27"/>
                <w:sz w:val="20"/>
                <w:szCs w:val="20"/>
              </w:rPr>
              <w:t xml:space="preserve"> </w:t>
            </w:r>
            <w:r>
              <w:rPr>
                <w:spacing w:val="3"/>
                <w:sz w:val="20"/>
                <w:szCs w:val="20"/>
              </w:rPr>
              <w:t>、</w:t>
            </w:r>
            <w:r>
              <w:rPr>
                <w:rFonts w:ascii="Times New Roman" w:hAnsi="Times New Roman" w:eastAsia="Times New Roman" w:cs="Times New Roman"/>
                <w:spacing w:val="3"/>
                <w:sz w:val="20"/>
                <w:szCs w:val="20"/>
              </w:rPr>
              <w:t>103</w:t>
            </w:r>
            <w:r>
              <w:rPr>
                <w:rFonts w:ascii="Times New Roman" w:hAnsi="Times New Roman" w:eastAsia="Times New Roman" w:cs="Times New Roman"/>
                <w:sz w:val="20"/>
                <w:szCs w:val="20"/>
              </w:rPr>
              <w:t>mg</w:t>
            </w:r>
            <w:r>
              <w:rPr>
                <w:rFonts w:ascii="Times New Roman" w:hAnsi="Times New Roman" w:eastAsia="Times New Roman" w:cs="Times New Roman"/>
                <w:spacing w:val="3"/>
                <w:sz w:val="20"/>
                <w:szCs w:val="20"/>
              </w:rPr>
              <w:t>/m</w:t>
            </w:r>
            <w:r>
              <w:rPr>
                <w:rFonts w:ascii="Times New Roman" w:hAnsi="Times New Roman" w:eastAsia="Times New Roman" w:cs="Times New Roman"/>
                <w:spacing w:val="3"/>
                <w:position w:val="6"/>
                <w:sz w:val="13"/>
                <w:szCs w:val="13"/>
              </w:rPr>
              <w:t xml:space="preserve">3  </w:t>
            </w:r>
            <w:r>
              <w:rPr>
                <w:spacing w:val="3"/>
                <w:sz w:val="20"/>
                <w:szCs w:val="20"/>
              </w:rPr>
              <w:t>以及小鼠孕</w:t>
            </w:r>
            <w:r>
              <w:rPr>
                <w:sz w:val="20"/>
                <w:szCs w:val="20"/>
              </w:rPr>
              <w:t xml:space="preserve"> </w:t>
            </w:r>
            <w:r>
              <w:rPr>
                <w:spacing w:val="7"/>
                <w:sz w:val="20"/>
                <w:szCs w:val="20"/>
              </w:rPr>
              <w:t>后</w:t>
            </w:r>
            <w:r>
              <w:rPr>
                <w:spacing w:val="-12"/>
                <w:sz w:val="20"/>
                <w:szCs w:val="20"/>
              </w:rPr>
              <w:t xml:space="preserve"> </w:t>
            </w:r>
            <w:r>
              <w:rPr>
                <w:rFonts w:ascii="Times New Roman" w:hAnsi="Times New Roman" w:eastAsia="Times New Roman" w:cs="Times New Roman"/>
                <w:spacing w:val="7"/>
                <w:sz w:val="20"/>
                <w:szCs w:val="20"/>
              </w:rPr>
              <w:t>1</w:t>
            </w:r>
            <w:r>
              <w:rPr>
                <w:spacing w:val="7"/>
                <w:sz w:val="20"/>
                <w:szCs w:val="20"/>
              </w:rPr>
              <w:t>～</w:t>
            </w:r>
            <w:r>
              <w:rPr>
                <w:rFonts w:ascii="Times New Roman" w:hAnsi="Times New Roman" w:eastAsia="Times New Roman" w:cs="Times New Roman"/>
                <w:spacing w:val="7"/>
                <w:sz w:val="20"/>
                <w:szCs w:val="20"/>
              </w:rPr>
              <w:t>21</w:t>
            </w:r>
            <w:r>
              <w:rPr>
                <w:rFonts w:ascii="Times New Roman" w:hAnsi="Times New Roman" w:eastAsia="Times New Roman" w:cs="Times New Roman"/>
                <w:spacing w:val="17"/>
                <w:sz w:val="20"/>
                <w:szCs w:val="20"/>
              </w:rPr>
              <w:t xml:space="preserve"> </w:t>
            </w:r>
            <w:r>
              <w:rPr>
                <w:spacing w:val="7"/>
                <w:sz w:val="20"/>
                <w:szCs w:val="20"/>
              </w:rPr>
              <w:t>天吸入</w:t>
            </w:r>
            <w:r>
              <w:rPr>
                <w:spacing w:val="-23"/>
                <w:sz w:val="20"/>
                <w:szCs w:val="20"/>
              </w:rPr>
              <w:t xml:space="preserve"> </w:t>
            </w:r>
            <w:r>
              <w:rPr>
                <w:rFonts w:ascii="Times New Roman" w:hAnsi="Times New Roman" w:eastAsia="Times New Roman" w:cs="Times New Roman"/>
                <w:spacing w:val="7"/>
                <w:sz w:val="20"/>
                <w:szCs w:val="20"/>
              </w:rPr>
              <w:t>103</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/m</w:t>
            </w:r>
            <w:r>
              <w:rPr>
                <w:rFonts w:ascii="Times New Roman" w:hAnsi="Times New Roman" w:eastAsia="Times New Roman" w:cs="Times New Roman"/>
                <w:spacing w:val="7"/>
                <w:position w:val="6"/>
                <w:sz w:val="13"/>
                <w:szCs w:val="13"/>
              </w:rPr>
              <w:t>3</w:t>
            </w:r>
            <w:r>
              <w:rPr>
                <w:rFonts w:ascii="Times New Roman" w:hAnsi="Times New Roman" w:eastAsia="Times New Roman" w:cs="Times New Roman"/>
                <w:spacing w:val="-6"/>
                <w:position w:val="6"/>
                <w:sz w:val="13"/>
                <w:szCs w:val="13"/>
              </w:rPr>
              <w:t xml:space="preserve"> </w:t>
            </w:r>
            <w:r>
              <w:rPr>
                <w:spacing w:val="7"/>
                <w:sz w:val="20"/>
                <w:szCs w:val="20"/>
              </w:rPr>
              <w:t>，致心血管系统发育畸形、豚鼠孕后</w:t>
            </w:r>
            <w:r>
              <w:rPr>
                <w:rFonts w:ascii="Times New Roman" w:hAnsi="Times New Roman" w:eastAsia="Times New Roman" w:cs="Times New Roman"/>
                <w:spacing w:val="7"/>
                <w:sz w:val="20"/>
                <w:szCs w:val="20"/>
              </w:rPr>
              <w:t>23</w:t>
            </w:r>
            <w:r>
              <w:rPr>
                <w:spacing w:val="7"/>
                <w:sz w:val="20"/>
                <w:szCs w:val="20"/>
              </w:rPr>
              <w:t>～</w:t>
            </w:r>
            <w:r>
              <w:rPr>
                <w:rFonts w:ascii="Times New Roman" w:hAnsi="Times New Roman" w:eastAsia="Times New Roman" w:cs="Times New Roman"/>
                <w:spacing w:val="7"/>
                <w:sz w:val="20"/>
                <w:szCs w:val="20"/>
              </w:rPr>
              <w:t xml:space="preserve">61 </w:t>
            </w:r>
            <w:r>
              <w:rPr>
                <w:spacing w:val="7"/>
                <w:sz w:val="20"/>
                <w:szCs w:val="20"/>
              </w:rPr>
              <w:t>天吸入</w:t>
            </w:r>
            <w:r>
              <w:rPr>
                <w:sz w:val="20"/>
                <w:szCs w:val="20"/>
              </w:rPr>
              <w:t xml:space="preserve">  </w:t>
            </w:r>
            <w:r>
              <w:rPr>
                <w:rFonts w:ascii="Times New Roman" w:hAnsi="Times New Roman" w:eastAsia="Times New Roman" w:cs="Times New Roman"/>
                <w:spacing w:val="5"/>
                <w:sz w:val="20"/>
                <w:szCs w:val="20"/>
              </w:rPr>
              <w:t>200</w:t>
            </w:r>
            <w:r>
              <w:rPr>
                <w:rFonts w:ascii="Times New Roman" w:hAnsi="Times New Roman" w:eastAsia="Times New Roman" w:cs="Times New Roman"/>
                <w:sz w:val="20"/>
                <w:szCs w:val="20"/>
              </w:rPr>
              <w:t>ppm</w:t>
            </w:r>
            <w:r>
              <w:rPr>
                <w:rFonts w:ascii="Times New Roman" w:hAnsi="Times New Roman" w:eastAsia="Times New Roman" w:cs="Times New Roman"/>
                <w:spacing w:val="5"/>
                <w:sz w:val="20"/>
                <w:szCs w:val="20"/>
              </w:rPr>
              <w:t>/10h</w:t>
            </w:r>
            <w:r>
              <w:rPr>
                <w:rFonts w:ascii="Times New Roman" w:hAnsi="Times New Roman" w:eastAsia="Times New Roman" w:cs="Times New Roman"/>
                <w:spacing w:val="-24"/>
                <w:sz w:val="20"/>
                <w:szCs w:val="20"/>
              </w:rPr>
              <w:t xml:space="preserve"> </w:t>
            </w:r>
            <w:r>
              <w:rPr>
                <w:spacing w:val="5"/>
                <w:sz w:val="20"/>
                <w:szCs w:val="20"/>
              </w:rPr>
              <w:t>，致肝胆管系统发育畸形，大鼠孕后</w:t>
            </w:r>
            <w:r>
              <w:rPr>
                <w:spacing w:val="-40"/>
                <w:sz w:val="20"/>
                <w:szCs w:val="20"/>
              </w:rPr>
              <w:t xml:space="preserve"> </w:t>
            </w:r>
            <w:r>
              <w:rPr>
                <w:rFonts w:ascii="Times New Roman" w:hAnsi="Times New Roman" w:eastAsia="Times New Roman" w:cs="Times New Roman"/>
                <w:spacing w:val="5"/>
                <w:sz w:val="20"/>
                <w:szCs w:val="20"/>
              </w:rPr>
              <w:t>0</w:t>
            </w:r>
            <w:r>
              <w:rPr>
                <w:spacing w:val="5"/>
                <w:sz w:val="20"/>
                <w:szCs w:val="20"/>
              </w:rPr>
              <w:t>～</w:t>
            </w:r>
            <w:r>
              <w:rPr>
                <w:rFonts w:ascii="Times New Roman" w:hAnsi="Times New Roman" w:eastAsia="Times New Roman" w:cs="Times New Roman"/>
                <w:spacing w:val="5"/>
                <w:sz w:val="20"/>
                <w:szCs w:val="20"/>
              </w:rPr>
              <w:t xml:space="preserve">20 </w:t>
            </w:r>
            <w:r>
              <w:rPr>
                <w:spacing w:val="5"/>
                <w:sz w:val="20"/>
                <w:szCs w:val="20"/>
              </w:rPr>
              <w:t>天吸入</w:t>
            </w:r>
            <w:r>
              <w:rPr>
                <w:spacing w:val="-40"/>
                <w:sz w:val="20"/>
                <w:szCs w:val="20"/>
              </w:rPr>
              <w:t xml:space="preserve"> </w:t>
            </w:r>
            <w:r>
              <w:rPr>
                <w:rFonts w:ascii="Times New Roman" w:hAnsi="Times New Roman" w:eastAsia="Times New Roman" w:cs="Times New Roman"/>
                <w:spacing w:val="5"/>
                <w:sz w:val="20"/>
                <w:szCs w:val="20"/>
              </w:rPr>
              <w:t>75</w:t>
            </w:r>
            <w:r>
              <w:rPr>
                <w:rFonts w:ascii="Times New Roman" w:hAnsi="Times New Roman" w:eastAsia="Times New Roman" w:cs="Times New Roman"/>
                <w:sz w:val="20"/>
                <w:szCs w:val="20"/>
              </w:rPr>
              <w:t>ppm</w:t>
            </w:r>
            <w:r>
              <w:rPr>
                <w:rFonts w:ascii="Times New Roman" w:hAnsi="Times New Roman" w:eastAsia="Times New Roman" w:cs="Times New Roman"/>
                <w:spacing w:val="5"/>
                <w:sz w:val="20"/>
                <w:szCs w:val="20"/>
              </w:rPr>
              <w:t>/24h</w:t>
            </w:r>
            <w:r>
              <w:rPr>
                <w:rFonts w:ascii="Times New Roman" w:hAnsi="Times New Roman" w:eastAsia="Times New Roman" w:cs="Times New Roman"/>
                <w:spacing w:val="-24"/>
                <w:sz w:val="20"/>
                <w:szCs w:val="20"/>
              </w:rPr>
              <w:t xml:space="preserve"> </w:t>
            </w:r>
            <w:r>
              <w:rPr>
                <w:spacing w:val="5"/>
                <w:sz w:val="20"/>
                <w:szCs w:val="20"/>
              </w:rPr>
              <w:t>，致免</w:t>
            </w:r>
            <w:r>
              <w:rPr>
                <w:sz w:val="20"/>
                <w:szCs w:val="20"/>
              </w:rPr>
              <w:t xml:space="preserve"> </w:t>
            </w:r>
            <w:r>
              <w:rPr>
                <w:spacing w:val="9"/>
                <w:sz w:val="20"/>
                <w:szCs w:val="20"/>
              </w:rPr>
              <w:t>疫系统和网状内皮组织系统发育畸形。</w:t>
            </w:r>
          </w:p>
        </w:tc>
      </w:tr>
      <w:tr w14:paraId="2F9ABA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60AB600D">
            <w:pPr>
              <w:pStyle w:val="6"/>
              <w:spacing w:before="65" w:line="224" w:lineRule="auto"/>
              <w:ind w:left="391"/>
              <w:rPr>
                <w:sz w:val="20"/>
                <w:szCs w:val="20"/>
              </w:rPr>
            </w:pPr>
            <w:r>
              <w:rPr>
                <w:spacing w:val="8"/>
                <w:sz w:val="20"/>
                <w:szCs w:val="20"/>
              </w:rPr>
              <w:t>第十二部分</w:t>
            </w:r>
          </w:p>
        </w:tc>
        <w:tc>
          <w:tcPr>
            <w:tcW w:w="7256" w:type="dxa"/>
            <w:tcBorders>
              <w:right w:val="nil"/>
            </w:tcBorders>
            <w:vAlign w:val="top"/>
          </w:tcPr>
          <w:p w14:paraId="10A264AD">
            <w:pPr>
              <w:pStyle w:val="6"/>
              <w:spacing w:before="65" w:line="224" w:lineRule="auto"/>
              <w:ind w:left="3110"/>
              <w:rPr>
                <w:sz w:val="20"/>
                <w:szCs w:val="20"/>
              </w:rPr>
            </w:pPr>
            <w:r>
              <w:rPr>
                <w:spacing w:val="7"/>
                <w:sz w:val="20"/>
                <w:szCs w:val="20"/>
              </w:rPr>
              <w:t>生态学资料</w:t>
            </w:r>
          </w:p>
        </w:tc>
      </w:tr>
      <w:tr w14:paraId="024C41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66ACBEF0">
            <w:pPr>
              <w:pStyle w:val="6"/>
              <w:spacing w:before="66" w:line="223" w:lineRule="auto"/>
              <w:ind w:left="181"/>
              <w:rPr>
                <w:sz w:val="20"/>
                <w:szCs w:val="20"/>
              </w:rPr>
            </w:pPr>
            <w:r>
              <w:rPr>
                <w:spacing w:val="6"/>
                <w:sz w:val="20"/>
                <w:szCs w:val="20"/>
              </w:rPr>
              <w:t>生态毒理毒性：</w:t>
            </w:r>
          </w:p>
        </w:tc>
        <w:tc>
          <w:tcPr>
            <w:tcW w:w="7256" w:type="dxa"/>
            <w:tcBorders>
              <w:right w:val="nil"/>
            </w:tcBorders>
            <w:vAlign w:val="top"/>
          </w:tcPr>
          <w:p w14:paraId="5463F5E4">
            <w:pPr>
              <w:rPr>
                <w:rFonts w:ascii="Arial"/>
                <w:sz w:val="21"/>
              </w:rPr>
            </w:pPr>
          </w:p>
        </w:tc>
      </w:tr>
      <w:tr w14:paraId="52D99C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18544925">
            <w:pPr>
              <w:pStyle w:val="6"/>
              <w:spacing w:before="67" w:line="222" w:lineRule="auto"/>
              <w:ind w:left="287"/>
              <w:rPr>
                <w:sz w:val="20"/>
                <w:szCs w:val="20"/>
              </w:rPr>
            </w:pPr>
            <w:r>
              <w:rPr>
                <w:spacing w:val="6"/>
                <w:sz w:val="20"/>
                <w:szCs w:val="20"/>
              </w:rPr>
              <w:t>生物降解性：</w:t>
            </w:r>
          </w:p>
        </w:tc>
        <w:tc>
          <w:tcPr>
            <w:tcW w:w="7256" w:type="dxa"/>
            <w:tcBorders>
              <w:right w:val="nil"/>
            </w:tcBorders>
            <w:vAlign w:val="top"/>
          </w:tcPr>
          <w:p w14:paraId="0239CAD4">
            <w:pPr>
              <w:rPr>
                <w:rFonts w:ascii="Arial"/>
                <w:sz w:val="21"/>
              </w:rPr>
            </w:pPr>
          </w:p>
        </w:tc>
      </w:tr>
      <w:tr w14:paraId="2A727B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2FF9B8E7">
            <w:pPr>
              <w:pStyle w:val="6"/>
              <w:spacing w:before="68" w:line="221" w:lineRule="auto"/>
              <w:ind w:left="183"/>
              <w:rPr>
                <w:sz w:val="20"/>
                <w:szCs w:val="20"/>
              </w:rPr>
            </w:pPr>
            <w:r>
              <w:rPr>
                <w:spacing w:val="6"/>
                <w:sz w:val="20"/>
                <w:szCs w:val="20"/>
              </w:rPr>
              <w:t>非生物降解性：</w:t>
            </w:r>
          </w:p>
        </w:tc>
        <w:tc>
          <w:tcPr>
            <w:tcW w:w="7256" w:type="dxa"/>
            <w:tcBorders>
              <w:right w:val="nil"/>
            </w:tcBorders>
            <w:vAlign w:val="top"/>
          </w:tcPr>
          <w:p w14:paraId="6B640A47">
            <w:pPr>
              <w:rPr>
                <w:rFonts w:ascii="Arial"/>
                <w:sz w:val="21"/>
              </w:rPr>
            </w:pPr>
          </w:p>
        </w:tc>
      </w:tr>
      <w:tr w14:paraId="6C9F23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7" w:hRule="atLeast"/>
        </w:trPr>
        <w:tc>
          <w:tcPr>
            <w:tcW w:w="1816" w:type="dxa"/>
            <w:tcBorders>
              <w:left w:val="nil"/>
            </w:tcBorders>
            <w:vAlign w:val="top"/>
          </w:tcPr>
          <w:p w14:paraId="65F88615">
            <w:pPr>
              <w:pStyle w:val="6"/>
              <w:spacing w:before="70" w:line="257" w:lineRule="auto"/>
              <w:ind w:left="608" w:right="69" w:hanging="532"/>
              <w:rPr>
                <w:sz w:val="20"/>
                <w:szCs w:val="20"/>
              </w:rPr>
            </w:pPr>
            <w:r>
              <w:rPr>
                <w:spacing w:val="8"/>
                <w:sz w:val="20"/>
                <w:szCs w:val="20"/>
              </w:rPr>
              <w:t>生物富集或生物积</w:t>
            </w:r>
            <w:r>
              <w:rPr>
                <w:spacing w:val="2"/>
                <w:sz w:val="20"/>
                <w:szCs w:val="20"/>
              </w:rPr>
              <w:t xml:space="preserve"> </w:t>
            </w:r>
            <w:r>
              <w:rPr>
                <w:sz w:val="20"/>
                <w:szCs w:val="20"/>
              </w:rPr>
              <w:t>累性：</w:t>
            </w:r>
          </w:p>
        </w:tc>
        <w:tc>
          <w:tcPr>
            <w:tcW w:w="7256" w:type="dxa"/>
            <w:tcBorders>
              <w:right w:val="nil"/>
            </w:tcBorders>
            <w:vAlign w:val="top"/>
          </w:tcPr>
          <w:p w14:paraId="64CF4B06">
            <w:pPr>
              <w:rPr>
                <w:rFonts w:ascii="Arial"/>
                <w:sz w:val="21"/>
              </w:rPr>
            </w:pPr>
          </w:p>
        </w:tc>
      </w:tr>
      <w:tr w14:paraId="497ED9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080621B9">
            <w:pPr>
              <w:pStyle w:val="6"/>
              <w:spacing w:before="70" w:line="219" w:lineRule="auto"/>
              <w:ind w:left="180"/>
              <w:rPr>
                <w:sz w:val="20"/>
                <w:szCs w:val="20"/>
              </w:rPr>
            </w:pPr>
            <w:r>
              <w:rPr>
                <w:spacing w:val="6"/>
                <w:sz w:val="20"/>
                <w:szCs w:val="20"/>
              </w:rPr>
              <w:t>其它有害作用：</w:t>
            </w:r>
          </w:p>
        </w:tc>
        <w:tc>
          <w:tcPr>
            <w:tcW w:w="7256" w:type="dxa"/>
            <w:tcBorders>
              <w:right w:val="nil"/>
            </w:tcBorders>
            <w:vAlign w:val="top"/>
          </w:tcPr>
          <w:p w14:paraId="4D6AFF97">
            <w:pPr>
              <w:pStyle w:val="6"/>
              <w:spacing w:before="70" w:line="219" w:lineRule="auto"/>
              <w:ind w:left="171"/>
              <w:rPr>
                <w:sz w:val="20"/>
                <w:szCs w:val="20"/>
              </w:rPr>
            </w:pPr>
            <w:r>
              <w:rPr>
                <w:spacing w:val="9"/>
                <w:sz w:val="20"/>
                <w:szCs w:val="20"/>
              </w:rPr>
              <w:t>该物质对环境有危害，应特别注意对地表水、土壤、大气和饮用水的污染。</w:t>
            </w:r>
          </w:p>
        </w:tc>
      </w:tr>
      <w:tr w14:paraId="7AE233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2297AE76">
            <w:pPr>
              <w:pStyle w:val="6"/>
              <w:spacing w:before="71" w:line="219" w:lineRule="auto"/>
              <w:ind w:left="391"/>
              <w:rPr>
                <w:sz w:val="20"/>
                <w:szCs w:val="20"/>
              </w:rPr>
            </w:pPr>
            <w:r>
              <w:rPr>
                <w:spacing w:val="8"/>
                <w:sz w:val="20"/>
                <w:szCs w:val="20"/>
              </w:rPr>
              <w:t>第十三部分</w:t>
            </w:r>
          </w:p>
        </w:tc>
        <w:tc>
          <w:tcPr>
            <w:tcW w:w="7256" w:type="dxa"/>
            <w:tcBorders>
              <w:right w:val="nil"/>
            </w:tcBorders>
            <w:vAlign w:val="top"/>
          </w:tcPr>
          <w:p w14:paraId="09675E38">
            <w:pPr>
              <w:pStyle w:val="6"/>
              <w:spacing w:before="71" w:line="219" w:lineRule="auto"/>
              <w:ind w:left="3213"/>
              <w:rPr>
                <w:sz w:val="20"/>
                <w:szCs w:val="20"/>
              </w:rPr>
            </w:pPr>
            <w:r>
              <w:rPr>
                <w:spacing w:val="7"/>
                <w:sz w:val="20"/>
                <w:szCs w:val="20"/>
              </w:rPr>
              <w:t>废弃处置</w:t>
            </w:r>
          </w:p>
        </w:tc>
      </w:tr>
      <w:tr w14:paraId="2850A3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48418558">
            <w:pPr>
              <w:pStyle w:val="6"/>
              <w:spacing w:before="71" w:line="219" w:lineRule="auto"/>
              <w:ind w:left="284"/>
              <w:rPr>
                <w:sz w:val="20"/>
                <w:szCs w:val="20"/>
              </w:rPr>
            </w:pPr>
            <w:r>
              <w:rPr>
                <w:spacing w:val="6"/>
                <w:sz w:val="20"/>
                <w:szCs w:val="20"/>
              </w:rPr>
              <w:t>废弃物性质：</w:t>
            </w:r>
          </w:p>
        </w:tc>
        <w:tc>
          <w:tcPr>
            <w:tcW w:w="7256" w:type="dxa"/>
            <w:tcBorders>
              <w:right w:val="nil"/>
            </w:tcBorders>
            <w:vAlign w:val="top"/>
          </w:tcPr>
          <w:p w14:paraId="336B12E0">
            <w:pPr>
              <w:pStyle w:val="6"/>
              <w:spacing w:before="71" w:line="219" w:lineRule="auto"/>
              <w:ind w:left="3111"/>
              <w:rPr>
                <w:sz w:val="20"/>
                <w:szCs w:val="20"/>
              </w:rPr>
            </w:pPr>
            <w:r>
              <w:rPr>
                <w:spacing w:val="5"/>
                <w:sz w:val="20"/>
                <w:szCs w:val="20"/>
              </w:rPr>
              <w:t>危险废物。</w:t>
            </w:r>
          </w:p>
        </w:tc>
      </w:tr>
      <w:tr w14:paraId="59BAD7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6DEC0EC5">
            <w:pPr>
              <w:pStyle w:val="6"/>
              <w:spacing w:before="71" w:line="219" w:lineRule="auto"/>
              <w:ind w:left="179"/>
              <w:rPr>
                <w:sz w:val="20"/>
                <w:szCs w:val="20"/>
              </w:rPr>
            </w:pPr>
            <w:r>
              <w:rPr>
                <w:spacing w:val="7"/>
                <w:sz w:val="20"/>
                <w:szCs w:val="20"/>
              </w:rPr>
              <w:t>废弃处置方法：</w:t>
            </w:r>
          </w:p>
        </w:tc>
        <w:tc>
          <w:tcPr>
            <w:tcW w:w="7256" w:type="dxa"/>
            <w:tcBorders>
              <w:right w:val="nil"/>
            </w:tcBorders>
            <w:vAlign w:val="top"/>
          </w:tcPr>
          <w:p w14:paraId="6723E439">
            <w:pPr>
              <w:pStyle w:val="6"/>
              <w:spacing w:before="71" w:line="219" w:lineRule="auto"/>
              <w:ind w:left="2901"/>
              <w:rPr>
                <w:sz w:val="20"/>
                <w:szCs w:val="20"/>
              </w:rPr>
            </w:pPr>
            <w:r>
              <w:rPr>
                <w:spacing w:val="6"/>
                <w:sz w:val="20"/>
                <w:szCs w:val="20"/>
              </w:rPr>
              <w:t>用焚烧法处置。</w:t>
            </w:r>
          </w:p>
        </w:tc>
      </w:tr>
      <w:tr w14:paraId="48279F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77D8A1F8">
            <w:pPr>
              <w:pStyle w:val="6"/>
              <w:spacing w:before="71" w:line="219" w:lineRule="auto"/>
              <w:ind w:left="179"/>
              <w:rPr>
                <w:sz w:val="20"/>
                <w:szCs w:val="20"/>
              </w:rPr>
            </w:pPr>
            <w:r>
              <w:rPr>
                <w:spacing w:val="7"/>
                <w:sz w:val="20"/>
                <w:szCs w:val="20"/>
              </w:rPr>
              <w:t>废弃注意事项：</w:t>
            </w:r>
          </w:p>
        </w:tc>
        <w:tc>
          <w:tcPr>
            <w:tcW w:w="7256" w:type="dxa"/>
            <w:tcBorders>
              <w:right w:val="nil"/>
            </w:tcBorders>
            <w:vAlign w:val="top"/>
          </w:tcPr>
          <w:p w14:paraId="12D24891">
            <w:pPr>
              <w:pStyle w:val="6"/>
              <w:spacing w:before="71" w:line="219" w:lineRule="auto"/>
              <w:ind w:left="1958"/>
              <w:rPr>
                <w:sz w:val="20"/>
                <w:szCs w:val="20"/>
              </w:rPr>
            </w:pPr>
            <w:r>
              <w:rPr>
                <w:spacing w:val="8"/>
                <w:sz w:val="20"/>
                <w:szCs w:val="20"/>
              </w:rPr>
              <w:t>处置前应参阅国家和地方有关法规。</w:t>
            </w:r>
          </w:p>
        </w:tc>
      </w:tr>
      <w:tr w14:paraId="2647D5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7A4683FC">
            <w:pPr>
              <w:pStyle w:val="6"/>
              <w:spacing w:before="71" w:line="218" w:lineRule="auto"/>
              <w:ind w:left="391"/>
              <w:rPr>
                <w:sz w:val="20"/>
                <w:szCs w:val="20"/>
              </w:rPr>
            </w:pPr>
            <w:r>
              <w:rPr>
                <w:spacing w:val="8"/>
                <w:sz w:val="20"/>
                <w:szCs w:val="20"/>
              </w:rPr>
              <w:t>第十四部分</w:t>
            </w:r>
          </w:p>
        </w:tc>
        <w:tc>
          <w:tcPr>
            <w:tcW w:w="7256" w:type="dxa"/>
            <w:tcBorders>
              <w:right w:val="nil"/>
            </w:tcBorders>
            <w:vAlign w:val="top"/>
          </w:tcPr>
          <w:p w14:paraId="28A4CD2D">
            <w:pPr>
              <w:pStyle w:val="6"/>
              <w:spacing w:before="71" w:line="218" w:lineRule="auto"/>
              <w:ind w:left="3214"/>
              <w:rPr>
                <w:sz w:val="20"/>
                <w:szCs w:val="20"/>
              </w:rPr>
            </w:pPr>
            <w:r>
              <w:rPr>
                <w:spacing w:val="7"/>
                <w:sz w:val="20"/>
                <w:szCs w:val="20"/>
              </w:rPr>
              <w:t>运输信息</w:t>
            </w:r>
          </w:p>
        </w:tc>
      </w:tr>
      <w:tr w14:paraId="146128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65A05035">
            <w:pPr>
              <w:pStyle w:val="6"/>
              <w:spacing w:before="72" w:line="218" w:lineRule="auto"/>
              <w:ind w:left="182"/>
              <w:rPr>
                <w:sz w:val="20"/>
                <w:szCs w:val="20"/>
              </w:rPr>
            </w:pPr>
            <w:r>
              <w:rPr>
                <w:spacing w:val="6"/>
                <w:sz w:val="20"/>
                <w:szCs w:val="20"/>
              </w:rPr>
              <w:t>危险货物编号：</w:t>
            </w:r>
          </w:p>
        </w:tc>
        <w:tc>
          <w:tcPr>
            <w:tcW w:w="7256" w:type="dxa"/>
            <w:tcBorders>
              <w:right w:val="nil"/>
            </w:tcBorders>
            <w:vAlign w:val="top"/>
          </w:tcPr>
          <w:p w14:paraId="588D8804">
            <w:pPr>
              <w:spacing w:before="108" w:line="195" w:lineRule="auto"/>
              <w:ind w:left="336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23030</w:t>
            </w:r>
          </w:p>
        </w:tc>
      </w:tr>
      <w:tr w14:paraId="241B8A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6C334A24">
            <w:pPr>
              <w:pStyle w:val="6"/>
              <w:spacing w:before="72" w:line="218" w:lineRule="auto"/>
              <w:ind w:left="415"/>
              <w:rPr>
                <w:sz w:val="20"/>
                <w:szCs w:val="20"/>
              </w:rPr>
            </w:pPr>
            <w:r>
              <w:rPr>
                <w:rFonts w:ascii="Times New Roman" w:hAnsi="Times New Roman" w:eastAsia="Times New Roman" w:cs="Times New Roman"/>
                <w:sz w:val="20"/>
                <w:szCs w:val="20"/>
              </w:rPr>
              <w:t>UN</w:t>
            </w:r>
            <w:r>
              <w:rPr>
                <w:rFonts w:ascii="Times New Roman" w:hAnsi="Times New Roman" w:eastAsia="Times New Roman" w:cs="Times New Roman"/>
                <w:spacing w:val="14"/>
                <w:sz w:val="20"/>
                <w:szCs w:val="20"/>
              </w:rPr>
              <w:t xml:space="preserve"> </w:t>
            </w:r>
            <w:r>
              <w:rPr>
                <w:spacing w:val="6"/>
                <w:sz w:val="20"/>
                <w:szCs w:val="20"/>
              </w:rPr>
              <w:t>编号：</w:t>
            </w:r>
          </w:p>
        </w:tc>
        <w:tc>
          <w:tcPr>
            <w:tcW w:w="7256" w:type="dxa"/>
            <w:tcBorders>
              <w:right w:val="nil"/>
            </w:tcBorders>
            <w:vAlign w:val="top"/>
          </w:tcPr>
          <w:p w14:paraId="3BE25464">
            <w:pPr>
              <w:spacing w:before="108" w:line="195" w:lineRule="auto"/>
              <w:ind w:left="34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1023</w:t>
            </w:r>
          </w:p>
        </w:tc>
      </w:tr>
      <w:tr w14:paraId="4ABE28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45F08237">
            <w:pPr>
              <w:pStyle w:val="6"/>
              <w:spacing w:before="72" w:line="218" w:lineRule="auto"/>
              <w:ind w:left="391"/>
              <w:rPr>
                <w:sz w:val="20"/>
                <w:szCs w:val="20"/>
              </w:rPr>
            </w:pPr>
            <w:r>
              <w:rPr>
                <w:spacing w:val="5"/>
                <w:sz w:val="20"/>
                <w:szCs w:val="20"/>
              </w:rPr>
              <w:t>包装标志：</w:t>
            </w:r>
          </w:p>
        </w:tc>
        <w:tc>
          <w:tcPr>
            <w:tcW w:w="7256" w:type="dxa"/>
            <w:tcBorders>
              <w:right w:val="nil"/>
            </w:tcBorders>
            <w:vAlign w:val="top"/>
          </w:tcPr>
          <w:p w14:paraId="007B431B">
            <w:pPr>
              <w:pStyle w:val="6"/>
              <w:spacing w:before="72" w:line="218" w:lineRule="auto"/>
              <w:ind w:left="2689"/>
              <w:rPr>
                <w:sz w:val="20"/>
                <w:szCs w:val="20"/>
              </w:rPr>
            </w:pPr>
            <w:r>
              <w:rPr>
                <w:spacing w:val="8"/>
                <w:sz w:val="20"/>
                <w:szCs w:val="20"/>
              </w:rPr>
              <w:t>有毒气体；易燃气体</w:t>
            </w:r>
          </w:p>
        </w:tc>
      </w:tr>
      <w:tr w14:paraId="706FF1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816" w:type="dxa"/>
            <w:tcBorders>
              <w:left w:val="nil"/>
            </w:tcBorders>
            <w:vAlign w:val="top"/>
          </w:tcPr>
          <w:p w14:paraId="5F02696F">
            <w:pPr>
              <w:pStyle w:val="6"/>
              <w:spacing w:before="72" w:line="218" w:lineRule="auto"/>
              <w:ind w:left="391"/>
              <w:rPr>
                <w:sz w:val="20"/>
                <w:szCs w:val="20"/>
              </w:rPr>
            </w:pPr>
            <w:r>
              <w:rPr>
                <w:spacing w:val="5"/>
                <w:sz w:val="20"/>
                <w:szCs w:val="20"/>
              </w:rPr>
              <w:t>包装类别：</w:t>
            </w:r>
          </w:p>
        </w:tc>
        <w:tc>
          <w:tcPr>
            <w:tcW w:w="7256" w:type="dxa"/>
            <w:tcBorders>
              <w:right w:val="nil"/>
            </w:tcBorders>
            <w:vAlign w:val="top"/>
          </w:tcPr>
          <w:p w14:paraId="7A7BEF12">
            <w:pPr>
              <w:pStyle w:val="6"/>
              <w:spacing w:before="72" w:line="218" w:lineRule="auto"/>
              <w:ind w:left="3458"/>
              <w:rPr>
                <w:sz w:val="20"/>
                <w:szCs w:val="20"/>
              </w:rPr>
            </w:pPr>
            <w:r>
              <w:rPr>
                <w:rFonts w:ascii="Times New Roman" w:hAnsi="Times New Roman" w:eastAsia="Times New Roman" w:cs="Times New Roman"/>
                <w:spacing w:val="4"/>
                <w:sz w:val="20"/>
                <w:szCs w:val="20"/>
              </w:rPr>
              <w:t>Ⅱ</w:t>
            </w:r>
            <w:r>
              <w:rPr>
                <w:spacing w:val="4"/>
                <w:sz w:val="20"/>
                <w:szCs w:val="20"/>
              </w:rPr>
              <w:t>类</w:t>
            </w:r>
          </w:p>
        </w:tc>
      </w:tr>
      <w:tr w14:paraId="21FB32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1816" w:type="dxa"/>
            <w:tcBorders>
              <w:left w:val="nil"/>
            </w:tcBorders>
            <w:vAlign w:val="top"/>
          </w:tcPr>
          <w:p w14:paraId="7BD178CC">
            <w:pPr>
              <w:pStyle w:val="6"/>
              <w:spacing w:before="72" w:line="217" w:lineRule="auto"/>
              <w:ind w:left="391"/>
              <w:rPr>
                <w:sz w:val="20"/>
                <w:szCs w:val="20"/>
              </w:rPr>
            </w:pPr>
            <w:r>
              <w:rPr>
                <w:spacing w:val="5"/>
                <w:sz w:val="20"/>
                <w:szCs w:val="20"/>
              </w:rPr>
              <w:t>包装方法：</w:t>
            </w:r>
          </w:p>
        </w:tc>
        <w:tc>
          <w:tcPr>
            <w:tcW w:w="7256" w:type="dxa"/>
            <w:tcBorders>
              <w:right w:val="nil"/>
            </w:tcBorders>
            <w:vAlign w:val="top"/>
          </w:tcPr>
          <w:p w14:paraId="3135E027">
            <w:pPr>
              <w:pStyle w:val="6"/>
              <w:spacing w:before="72" w:line="217" w:lineRule="auto"/>
              <w:ind w:left="3212"/>
              <w:rPr>
                <w:sz w:val="20"/>
                <w:szCs w:val="20"/>
              </w:rPr>
            </w:pPr>
            <w:r>
              <w:rPr>
                <w:spacing w:val="7"/>
                <w:sz w:val="20"/>
                <w:szCs w:val="20"/>
              </w:rPr>
              <w:t>钢瓶包装</w:t>
            </w:r>
          </w:p>
        </w:tc>
      </w:tr>
      <w:tr w14:paraId="0368E0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35" w:hRule="atLeast"/>
        </w:trPr>
        <w:tc>
          <w:tcPr>
            <w:tcW w:w="1816" w:type="dxa"/>
            <w:tcBorders>
              <w:left w:val="nil"/>
              <w:bottom w:val="single" w:color="000000" w:sz="10" w:space="0"/>
            </w:tcBorders>
            <w:vAlign w:val="top"/>
          </w:tcPr>
          <w:p w14:paraId="760746E5">
            <w:pPr>
              <w:spacing w:line="266" w:lineRule="auto"/>
              <w:rPr>
                <w:rFonts w:ascii="Arial"/>
                <w:sz w:val="21"/>
              </w:rPr>
            </w:pPr>
          </w:p>
          <w:p w14:paraId="35C8322C">
            <w:pPr>
              <w:spacing w:line="267" w:lineRule="auto"/>
              <w:rPr>
                <w:rFonts w:ascii="Arial"/>
                <w:sz w:val="21"/>
              </w:rPr>
            </w:pPr>
          </w:p>
          <w:p w14:paraId="1CB621AB">
            <w:pPr>
              <w:spacing w:line="267" w:lineRule="auto"/>
              <w:rPr>
                <w:rFonts w:ascii="Arial"/>
                <w:sz w:val="21"/>
              </w:rPr>
            </w:pPr>
          </w:p>
          <w:p w14:paraId="6A2E08F4">
            <w:pPr>
              <w:pStyle w:val="6"/>
              <w:spacing w:before="65" w:line="228" w:lineRule="auto"/>
              <w:ind w:left="179"/>
              <w:rPr>
                <w:sz w:val="20"/>
                <w:szCs w:val="20"/>
              </w:rPr>
            </w:pPr>
            <w:r>
              <w:rPr>
                <w:spacing w:val="7"/>
                <w:sz w:val="20"/>
                <w:szCs w:val="20"/>
              </w:rPr>
              <w:t>运输注意事项：</w:t>
            </w:r>
          </w:p>
        </w:tc>
        <w:tc>
          <w:tcPr>
            <w:tcW w:w="7256" w:type="dxa"/>
            <w:tcBorders>
              <w:bottom w:val="single" w:color="000000" w:sz="10" w:space="0"/>
              <w:right w:val="nil"/>
            </w:tcBorders>
            <w:vAlign w:val="top"/>
          </w:tcPr>
          <w:p w14:paraId="667CD092">
            <w:pPr>
              <w:pStyle w:val="6"/>
              <w:spacing w:before="72" w:line="285" w:lineRule="auto"/>
              <w:ind w:left="6"/>
              <w:jc w:val="both"/>
              <w:rPr>
                <w:sz w:val="20"/>
                <w:szCs w:val="20"/>
              </w:rPr>
            </w:pPr>
            <w:r>
              <w:rPr>
                <w:spacing w:val="5"/>
                <w:sz w:val="20"/>
                <w:szCs w:val="20"/>
              </w:rPr>
              <w:t>采用钢瓶运输时必须戴好钢瓶上的安全帽。钢瓶一般平放，并应将瓶口朝同一方</w:t>
            </w:r>
            <w:r>
              <w:rPr>
                <w:spacing w:val="9"/>
                <w:sz w:val="20"/>
                <w:szCs w:val="20"/>
              </w:rPr>
              <w:t xml:space="preserve"> </w:t>
            </w:r>
            <w:r>
              <w:rPr>
                <w:spacing w:val="7"/>
                <w:sz w:val="20"/>
                <w:szCs w:val="20"/>
              </w:rPr>
              <w:t>向，不可交叉；高度不得超过车辆的防护栏板，并用三角木垫卡牢，防止滚动。</w:t>
            </w:r>
            <w:r>
              <w:rPr>
                <w:spacing w:val="1"/>
                <w:sz w:val="20"/>
                <w:szCs w:val="20"/>
              </w:rPr>
              <w:t xml:space="preserve"> </w:t>
            </w:r>
            <w:r>
              <w:rPr>
                <w:spacing w:val="5"/>
                <w:sz w:val="20"/>
                <w:szCs w:val="20"/>
              </w:rPr>
              <w:t>运输时，运输车辆应配备相应品种和数量的消防器材。装运该物品的车辆排气管</w:t>
            </w:r>
            <w:r>
              <w:rPr>
                <w:spacing w:val="10"/>
                <w:sz w:val="20"/>
                <w:szCs w:val="20"/>
              </w:rPr>
              <w:t xml:space="preserve"> </w:t>
            </w:r>
            <w:r>
              <w:rPr>
                <w:spacing w:val="7"/>
                <w:sz w:val="20"/>
                <w:szCs w:val="20"/>
              </w:rPr>
              <w:t>必须配备阻装置，禁止使用易产生火花的机械设备和工具装卸。严禁与氧化剂、</w:t>
            </w:r>
            <w:r>
              <w:rPr>
                <w:spacing w:val="1"/>
                <w:sz w:val="20"/>
                <w:szCs w:val="20"/>
              </w:rPr>
              <w:t xml:space="preserve"> </w:t>
            </w:r>
            <w:r>
              <w:rPr>
                <w:spacing w:val="5"/>
                <w:sz w:val="20"/>
                <w:szCs w:val="20"/>
              </w:rPr>
              <w:t>碱类、食用化学品等混装混运。夏季应早晚运输，防止日光暴晒。中途停留时应</w:t>
            </w:r>
            <w:r>
              <w:rPr>
                <w:spacing w:val="8"/>
                <w:sz w:val="20"/>
                <w:szCs w:val="20"/>
              </w:rPr>
              <w:t xml:space="preserve"> </w:t>
            </w:r>
            <w:r>
              <w:rPr>
                <w:spacing w:val="5"/>
                <w:sz w:val="20"/>
                <w:szCs w:val="20"/>
              </w:rPr>
              <w:t>远离火种、热源。公路运输是要按规定路线行驶，禁止在居民区和人口稠密区停</w:t>
            </w:r>
          </w:p>
        </w:tc>
      </w:tr>
    </w:tbl>
    <w:p w14:paraId="07CA98CF">
      <w:pPr>
        <w:pStyle w:val="2"/>
      </w:pPr>
    </w:p>
    <w:p w14:paraId="1D78B656">
      <w:pPr>
        <w:sectPr>
          <w:footerReference r:id="rId381" w:type="default"/>
          <w:pgSz w:w="11906" w:h="16839"/>
          <w:pgMar w:top="1191" w:right="1416" w:bottom="1221" w:left="1417" w:header="882" w:footer="1059" w:gutter="0"/>
          <w:cols w:space="720" w:num="1"/>
        </w:sectPr>
      </w:pPr>
    </w:p>
    <w:p w14:paraId="2F819728">
      <w:pPr>
        <w:spacing w:line="28" w:lineRule="exact"/>
        <w:ind w:firstLine="17"/>
      </w:pPr>
      <w:r>
        <w:pict>
          <v:shape id="_x0000_s1870" o:spid="_x0000_s1870" style="height:1.45pt;width:453.65pt;" fillcolor="#000000" filled="t" stroked="f" coordsize="9072,29" path="m0,0l9072,0,9072,28,0,28,0,0xe">
            <v:path/>
            <v:fill on="t" focussize="0,0"/>
            <v:stroke on="f"/>
            <v:imagedata o:title=""/>
            <o:lock v:ext="edit"/>
            <w10:wrap type="none"/>
            <w10:anchorlock/>
          </v:shape>
        </w:pict>
      </w:r>
    </w:p>
    <w:p w14:paraId="1275DFCD">
      <w:pPr>
        <w:spacing w:line="196" w:lineRule="exact"/>
      </w:pPr>
    </w:p>
    <w:tbl>
      <w:tblPr>
        <w:tblStyle w:val="5"/>
        <w:tblW w:w="9072" w:type="dxa"/>
        <w:tblInd w:w="1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16"/>
        <w:gridCol w:w="7256"/>
      </w:tblGrid>
      <w:tr w14:paraId="1F6ADD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8" w:hRule="atLeast"/>
        </w:trPr>
        <w:tc>
          <w:tcPr>
            <w:tcW w:w="1816" w:type="dxa"/>
            <w:tcBorders>
              <w:top w:val="single" w:color="000000" w:sz="10" w:space="0"/>
              <w:left w:val="nil"/>
            </w:tcBorders>
            <w:vAlign w:val="top"/>
          </w:tcPr>
          <w:p w14:paraId="101FE287">
            <w:pPr>
              <w:rPr>
                <w:rFonts w:ascii="Arial"/>
                <w:sz w:val="21"/>
              </w:rPr>
            </w:pPr>
          </w:p>
        </w:tc>
        <w:tc>
          <w:tcPr>
            <w:tcW w:w="7256" w:type="dxa"/>
            <w:tcBorders>
              <w:top w:val="single" w:color="000000" w:sz="10" w:space="0"/>
              <w:right w:val="nil"/>
            </w:tcBorders>
            <w:vAlign w:val="top"/>
          </w:tcPr>
          <w:p w14:paraId="061BFEBB">
            <w:pPr>
              <w:pStyle w:val="6"/>
              <w:spacing w:before="35" w:line="228" w:lineRule="auto"/>
              <w:ind w:left="23"/>
              <w:rPr>
                <w:sz w:val="20"/>
                <w:szCs w:val="20"/>
              </w:rPr>
            </w:pPr>
            <w:r>
              <w:rPr>
                <w:spacing w:val="7"/>
                <w:sz w:val="20"/>
                <w:szCs w:val="20"/>
              </w:rPr>
              <w:t>留。铁路运输时禁止溜放。</w:t>
            </w:r>
          </w:p>
        </w:tc>
      </w:tr>
      <w:tr w14:paraId="79B179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1816" w:type="dxa"/>
            <w:tcBorders>
              <w:left w:val="nil"/>
            </w:tcBorders>
            <w:vAlign w:val="top"/>
          </w:tcPr>
          <w:p w14:paraId="69B9D2D0">
            <w:pPr>
              <w:pStyle w:val="6"/>
              <w:spacing w:before="56" w:line="228" w:lineRule="auto"/>
              <w:ind w:left="391"/>
              <w:rPr>
                <w:sz w:val="20"/>
                <w:szCs w:val="20"/>
              </w:rPr>
            </w:pPr>
            <w:r>
              <w:rPr>
                <w:spacing w:val="8"/>
                <w:sz w:val="20"/>
                <w:szCs w:val="20"/>
              </w:rPr>
              <w:t>第十五部分</w:t>
            </w:r>
          </w:p>
        </w:tc>
        <w:tc>
          <w:tcPr>
            <w:tcW w:w="7256" w:type="dxa"/>
            <w:tcBorders>
              <w:right w:val="nil"/>
            </w:tcBorders>
            <w:vAlign w:val="top"/>
          </w:tcPr>
          <w:p w14:paraId="4CA8FAFF">
            <w:pPr>
              <w:pStyle w:val="6"/>
              <w:spacing w:before="56" w:line="228" w:lineRule="auto"/>
              <w:ind w:left="3215"/>
              <w:rPr>
                <w:sz w:val="20"/>
                <w:szCs w:val="20"/>
              </w:rPr>
            </w:pPr>
            <w:r>
              <w:rPr>
                <w:spacing w:val="7"/>
                <w:sz w:val="20"/>
                <w:szCs w:val="20"/>
              </w:rPr>
              <w:t>法规信息</w:t>
            </w:r>
          </w:p>
        </w:tc>
      </w:tr>
      <w:tr w14:paraId="59824F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3" w:hRule="atLeast"/>
        </w:trPr>
        <w:tc>
          <w:tcPr>
            <w:tcW w:w="1816" w:type="dxa"/>
            <w:tcBorders>
              <w:left w:val="nil"/>
              <w:bottom w:val="single" w:color="000000" w:sz="10" w:space="0"/>
            </w:tcBorders>
            <w:vAlign w:val="top"/>
          </w:tcPr>
          <w:p w14:paraId="33D56598">
            <w:pPr>
              <w:spacing w:line="313" w:lineRule="auto"/>
              <w:rPr>
                <w:rFonts w:ascii="Arial"/>
                <w:sz w:val="21"/>
              </w:rPr>
            </w:pPr>
          </w:p>
          <w:p w14:paraId="6938BB7B">
            <w:pPr>
              <w:spacing w:line="314" w:lineRule="auto"/>
              <w:rPr>
                <w:rFonts w:ascii="Arial"/>
                <w:sz w:val="21"/>
              </w:rPr>
            </w:pPr>
          </w:p>
          <w:p w14:paraId="59AF9137">
            <w:pPr>
              <w:pStyle w:val="6"/>
              <w:spacing w:before="65" w:line="228" w:lineRule="auto"/>
              <w:ind w:left="391"/>
              <w:rPr>
                <w:sz w:val="20"/>
                <w:szCs w:val="20"/>
              </w:rPr>
            </w:pPr>
            <w:r>
              <w:rPr>
                <w:spacing w:val="5"/>
                <w:sz w:val="20"/>
                <w:szCs w:val="20"/>
              </w:rPr>
              <w:t>法规信息：</w:t>
            </w:r>
          </w:p>
        </w:tc>
        <w:tc>
          <w:tcPr>
            <w:tcW w:w="7256" w:type="dxa"/>
            <w:tcBorders>
              <w:bottom w:val="single" w:color="000000" w:sz="10" w:space="0"/>
              <w:right w:val="nil"/>
            </w:tcBorders>
            <w:vAlign w:val="top"/>
          </w:tcPr>
          <w:p w14:paraId="20553955">
            <w:pPr>
              <w:pStyle w:val="6"/>
              <w:spacing w:before="60" w:line="283" w:lineRule="auto"/>
              <w:ind w:left="6" w:firstLine="1"/>
              <w:jc w:val="both"/>
              <w:rPr>
                <w:sz w:val="20"/>
                <w:szCs w:val="20"/>
              </w:rPr>
            </w:pPr>
            <w:r>
              <w:rPr>
                <w:spacing w:val="9"/>
                <w:sz w:val="20"/>
                <w:szCs w:val="20"/>
              </w:rPr>
              <w:t xml:space="preserve">化学危险物品安全管理条例 </w:t>
            </w:r>
            <w:r>
              <w:rPr>
                <w:rFonts w:ascii="Times New Roman" w:hAnsi="Times New Roman" w:eastAsia="Times New Roman" w:cs="Times New Roman"/>
                <w:spacing w:val="9"/>
                <w:sz w:val="20"/>
                <w:szCs w:val="20"/>
              </w:rPr>
              <w:t>(</w:t>
            </w:r>
            <w:r>
              <w:rPr>
                <w:spacing w:val="9"/>
                <w:sz w:val="20"/>
                <w:szCs w:val="20"/>
              </w:rPr>
              <w:t>国务院令</w:t>
            </w:r>
            <w:r>
              <w:rPr>
                <w:spacing w:val="-21"/>
                <w:sz w:val="20"/>
                <w:szCs w:val="20"/>
              </w:rPr>
              <w:t xml:space="preserve"> </w:t>
            </w:r>
            <w:r>
              <w:rPr>
                <w:rFonts w:ascii="Times New Roman" w:hAnsi="Times New Roman" w:eastAsia="Times New Roman" w:cs="Times New Roman"/>
                <w:spacing w:val="9"/>
                <w:sz w:val="20"/>
                <w:szCs w:val="20"/>
              </w:rPr>
              <w:t>591</w:t>
            </w:r>
            <w:r>
              <w:rPr>
                <w:rFonts w:ascii="Times New Roman" w:hAnsi="Times New Roman" w:eastAsia="Times New Roman" w:cs="Times New Roman"/>
                <w:spacing w:val="17"/>
                <w:sz w:val="20"/>
                <w:szCs w:val="20"/>
              </w:rPr>
              <w:t xml:space="preserve"> </w:t>
            </w:r>
            <w:r>
              <w:rPr>
                <w:spacing w:val="9"/>
                <w:sz w:val="20"/>
                <w:szCs w:val="20"/>
              </w:rPr>
              <w:t>号</w:t>
            </w:r>
            <w:r>
              <w:rPr>
                <w:rFonts w:ascii="Times New Roman" w:hAnsi="Times New Roman" w:eastAsia="Times New Roman" w:cs="Times New Roman"/>
                <w:spacing w:val="9"/>
                <w:sz w:val="20"/>
                <w:szCs w:val="20"/>
              </w:rPr>
              <w:t>)</w:t>
            </w:r>
            <w:r>
              <w:rPr>
                <w:rFonts w:ascii="Times New Roman" w:hAnsi="Times New Roman" w:eastAsia="Times New Roman" w:cs="Times New Roman"/>
                <w:spacing w:val="-22"/>
                <w:sz w:val="20"/>
                <w:szCs w:val="20"/>
              </w:rPr>
              <w:t xml:space="preserve"> </w:t>
            </w:r>
            <w:r>
              <w:rPr>
                <w:spacing w:val="9"/>
                <w:sz w:val="20"/>
                <w:szCs w:val="20"/>
              </w:rPr>
              <w:t>，化学危险物品安全管理条例实</w:t>
            </w:r>
            <w:r>
              <w:rPr>
                <w:sz w:val="20"/>
                <w:szCs w:val="20"/>
              </w:rPr>
              <w:t xml:space="preserve"> </w:t>
            </w:r>
            <w:r>
              <w:rPr>
                <w:spacing w:val="5"/>
                <w:sz w:val="20"/>
                <w:szCs w:val="20"/>
              </w:rPr>
              <w:t xml:space="preserve">施细则 </w:t>
            </w:r>
            <w:r>
              <w:rPr>
                <w:rFonts w:ascii="Times New Roman" w:hAnsi="Times New Roman" w:eastAsia="Times New Roman" w:cs="Times New Roman"/>
                <w:spacing w:val="5"/>
                <w:sz w:val="20"/>
                <w:szCs w:val="20"/>
              </w:rPr>
              <w:t>(</w:t>
            </w:r>
            <w:r>
              <w:rPr>
                <w:spacing w:val="5"/>
                <w:sz w:val="20"/>
                <w:szCs w:val="20"/>
              </w:rPr>
              <w:t>化劳发</w:t>
            </w:r>
            <w:r>
              <w:rPr>
                <w:rFonts w:ascii="Times New Roman" w:hAnsi="Times New Roman" w:eastAsia="Times New Roman" w:cs="Times New Roman"/>
                <w:spacing w:val="5"/>
                <w:sz w:val="20"/>
                <w:szCs w:val="20"/>
              </w:rPr>
              <w:t xml:space="preserve">[1992] 677 </w:t>
            </w:r>
            <w:r>
              <w:rPr>
                <w:spacing w:val="5"/>
                <w:sz w:val="20"/>
                <w:szCs w:val="20"/>
              </w:rPr>
              <w:t>号</w:t>
            </w:r>
            <w:r>
              <w:rPr>
                <w:rFonts w:ascii="Times New Roman" w:hAnsi="Times New Roman" w:eastAsia="Times New Roman" w:cs="Times New Roman"/>
                <w:spacing w:val="5"/>
                <w:sz w:val="20"/>
                <w:szCs w:val="20"/>
              </w:rPr>
              <w:t>)</w:t>
            </w:r>
            <w:r>
              <w:rPr>
                <w:spacing w:val="5"/>
                <w:sz w:val="20"/>
                <w:szCs w:val="20"/>
              </w:rPr>
              <w:t>，工作场所安全使</w:t>
            </w:r>
            <w:r>
              <w:rPr>
                <w:spacing w:val="4"/>
                <w:sz w:val="20"/>
                <w:szCs w:val="20"/>
              </w:rPr>
              <w:t xml:space="preserve">用化学品规定 </w:t>
            </w:r>
            <w:r>
              <w:rPr>
                <w:rFonts w:ascii="Times New Roman" w:hAnsi="Times New Roman" w:eastAsia="Times New Roman" w:cs="Times New Roman"/>
                <w:spacing w:val="4"/>
                <w:sz w:val="20"/>
                <w:szCs w:val="20"/>
              </w:rPr>
              <w:t>([1996]</w:t>
            </w:r>
            <w:r>
              <w:rPr>
                <w:spacing w:val="4"/>
                <w:sz w:val="20"/>
                <w:szCs w:val="20"/>
              </w:rPr>
              <w:t>劳部发</w:t>
            </w:r>
            <w:r>
              <w:rPr>
                <w:spacing w:val="-46"/>
                <w:sz w:val="20"/>
                <w:szCs w:val="20"/>
              </w:rPr>
              <w:t xml:space="preserve"> </w:t>
            </w:r>
            <w:r>
              <w:rPr>
                <w:rFonts w:ascii="Times New Roman" w:hAnsi="Times New Roman" w:eastAsia="Times New Roman" w:cs="Times New Roman"/>
                <w:spacing w:val="4"/>
                <w:sz w:val="20"/>
                <w:szCs w:val="20"/>
              </w:rPr>
              <w:t>423</w:t>
            </w:r>
            <w:r>
              <w:rPr>
                <w:rFonts w:ascii="Times New Roman" w:hAnsi="Times New Roman" w:eastAsia="Times New Roman" w:cs="Times New Roman"/>
                <w:sz w:val="20"/>
                <w:szCs w:val="20"/>
              </w:rPr>
              <w:t xml:space="preserve"> </w:t>
            </w:r>
            <w:r>
              <w:rPr>
                <w:spacing w:val="11"/>
                <w:sz w:val="20"/>
                <w:szCs w:val="20"/>
              </w:rPr>
              <w:t>号</w:t>
            </w:r>
            <w:r>
              <w:rPr>
                <w:rFonts w:ascii="Times New Roman" w:hAnsi="Times New Roman" w:eastAsia="Times New Roman" w:cs="Times New Roman"/>
                <w:spacing w:val="11"/>
                <w:sz w:val="20"/>
                <w:szCs w:val="20"/>
              </w:rPr>
              <w:t>)</w:t>
            </w:r>
            <w:r>
              <w:rPr>
                <w:spacing w:val="11"/>
                <w:sz w:val="20"/>
                <w:szCs w:val="20"/>
              </w:rPr>
              <w:t>等法规，针对化学危险品的安全使用、生产、储存、</w:t>
            </w:r>
            <w:r>
              <w:rPr>
                <w:spacing w:val="10"/>
                <w:sz w:val="20"/>
                <w:szCs w:val="20"/>
              </w:rPr>
              <w:t>运输、装卸等方面均作</w:t>
            </w:r>
            <w:r>
              <w:rPr>
                <w:sz w:val="20"/>
                <w:szCs w:val="20"/>
              </w:rPr>
              <w:t xml:space="preserve"> </w:t>
            </w:r>
            <w:r>
              <w:rPr>
                <w:spacing w:val="5"/>
                <w:sz w:val="20"/>
                <w:szCs w:val="20"/>
              </w:rPr>
              <w:t>了相应规定；常用危险货物品名表（</w:t>
            </w: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12268-2005</w:t>
            </w:r>
            <w:r>
              <w:rPr>
                <w:spacing w:val="5"/>
                <w:sz w:val="20"/>
                <w:szCs w:val="20"/>
              </w:rPr>
              <w:t>）将该物质划为第</w:t>
            </w:r>
            <w:r>
              <w:rPr>
                <w:spacing w:val="-31"/>
                <w:sz w:val="20"/>
                <w:szCs w:val="20"/>
              </w:rPr>
              <w:t xml:space="preserve"> </w:t>
            </w:r>
            <w:r>
              <w:rPr>
                <w:rFonts w:ascii="Times New Roman" w:hAnsi="Times New Roman" w:eastAsia="Times New Roman" w:cs="Times New Roman"/>
                <w:spacing w:val="5"/>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5"/>
                <w:sz w:val="20"/>
                <w:szCs w:val="20"/>
              </w:rPr>
              <w:t xml:space="preserve">1 </w:t>
            </w:r>
            <w:r>
              <w:rPr>
                <w:spacing w:val="5"/>
                <w:sz w:val="20"/>
                <w:szCs w:val="20"/>
              </w:rPr>
              <w:t>类易燃</w:t>
            </w:r>
            <w:r>
              <w:rPr>
                <w:sz w:val="20"/>
                <w:szCs w:val="20"/>
              </w:rPr>
              <w:t xml:space="preserve"> </w:t>
            </w:r>
            <w:r>
              <w:rPr>
                <w:spacing w:val="3"/>
                <w:sz w:val="20"/>
                <w:szCs w:val="20"/>
              </w:rPr>
              <w:t>气体。</w:t>
            </w:r>
          </w:p>
        </w:tc>
      </w:tr>
    </w:tbl>
    <w:p w14:paraId="4D81EB55">
      <w:pPr>
        <w:spacing w:before="179" w:line="220" w:lineRule="auto"/>
        <w:ind w:left="25"/>
        <w:outlineLvl w:val="2"/>
        <w:rPr>
          <w:rFonts w:ascii="宋体" w:hAnsi="宋体" w:eastAsia="宋体" w:cs="宋体"/>
          <w:sz w:val="28"/>
          <w:szCs w:val="28"/>
        </w:rPr>
      </w:pPr>
      <w:bookmarkStart w:id="394" w:name="bookmark256"/>
      <w:bookmarkEnd w:id="394"/>
      <w:r>
        <w:rPr>
          <w:rFonts w:ascii="Times New Roman" w:hAnsi="Times New Roman" w:eastAsia="Times New Roman" w:cs="Times New Roman"/>
          <w:b/>
          <w:bCs/>
          <w:spacing w:val="-2"/>
          <w:sz w:val="28"/>
          <w:szCs w:val="28"/>
        </w:rPr>
        <w:t xml:space="preserve">5.1.2 </w:t>
      </w:r>
      <w:r>
        <w:rPr>
          <w:rFonts w:ascii="宋体" w:hAnsi="宋体" w:eastAsia="宋体" w:cs="宋体"/>
          <w:b/>
          <w:bCs/>
          <w:spacing w:val="-2"/>
          <w:sz w:val="28"/>
          <w:szCs w:val="28"/>
        </w:rPr>
        <w:t>环境敏感目标调查</w:t>
      </w:r>
    </w:p>
    <w:p w14:paraId="7C0B8837">
      <w:pPr>
        <w:spacing w:before="245" w:line="354" w:lineRule="auto"/>
        <w:ind w:left="26" w:right="18" w:firstLine="479"/>
        <w:rPr>
          <w:rFonts w:ascii="宋体" w:hAnsi="宋体" w:eastAsia="宋体" w:cs="宋体"/>
          <w:sz w:val="24"/>
          <w:szCs w:val="24"/>
        </w:rPr>
      </w:pPr>
      <w:r>
        <w:rPr>
          <w:rFonts w:ascii="宋体" w:hAnsi="宋体" w:eastAsia="宋体" w:cs="宋体"/>
          <w:spacing w:val="-2"/>
          <w:sz w:val="24"/>
          <w:szCs w:val="24"/>
        </w:rPr>
        <w:t>根据现场调查并结合项目特征，确定了建设项目的主要环境敏感目标，项目环境敏</w:t>
      </w:r>
      <w:r>
        <w:rPr>
          <w:rFonts w:ascii="宋体" w:hAnsi="宋体" w:eastAsia="宋体" w:cs="宋体"/>
          <w:spacing w:val="13"/>
          <w:sz w:val="24"/>
          <w:szCs w:val="24"/>
        </w:rPr>
        <w:t xml:space="preserve"> </w:t>
      </w:r>
      <w:r>
        <w:rPr>
          <w:rFonts w:ascii="宋体" w:hAnsi="宋体" w:eastAsia="宋体" w:cs="宋体"/>
          <w:spacing w:val="-3"/>
          <w:sz w:val="24"/>
          <w:szCs w:val="24"/>
        </w:rPr>
        <w:t>感目标分布见图</w:t>
      </w:r>
      <w:r>
        <w:rPr>
          <w:rFonts w:ascii="宋体" w:hAnsi="宋体" w:eastAsia="宋体" w:cs="宋体"/>
          <w:spacing w:val="-27"/>
          <w:sz w:val="24"/>
          <w:szCs w:val="24"/>
        </w:rPr>
        <w:t xml:space="preserve"> </w:t>
      </w:r>
      <w:r>
        <w:rPr>
          <w:rFonts w:ascii="Times New Roman" w:hAnsi="Times New Roman" w:eastAsia="Times New Roman" w:cs="Times New Roman"/>
          <w:spacing w:val="-3"/>
          <w:sz w:val="24"/>
          <w:szCs w:val="24"/>
        </w:rPr>
        <w:t>1.7-1</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，环境敏感目标特征见表</w:t>
      </w:r>
      <w:r>
        <w:rPr>
          <w:rFonts w:ascii="宋体" w:hAnsi="宋体" w:eastAsia="宋体" w:cs="宋体"/>
          <w:spacing w:val="-48"/>
          <w:sz w:val="24"/>
          <w:szCs w:val="24"/>
        </w:rPr>
        <w:t xml:space="preserve"> </w:t>
      </w:r>
      <w:r>
        <w:rPr>
          <w:rFonts w:ascii="Times New Roman" w:hAnsi="Times New Roman" w:eastAsia="Times New Roman" w:cs="Times New Roman"/>
          <w:spacing w:val="-3"/>
          <w:sz w:val="24"/>
          <w:szCs w:val="24"/>
        </w:rPr>
        <w:t>5.1-3</w:t>
      </w:r>
      <w:r>
        <w:rPr>
          <w:rFonts w:ascii="宋体" w:hAnsi="宋体" w:eastAsia="宋体" w:cs="宋体"/>
          <w:spacing w:val="-3"/>
          <w:sz w:val="24"/>
          <w:szCs w:val="24"/>
        </w:rPr>
        <w:t>。</w:t>
      </w:r>
    </w:p>
    <w:p w14:paraId="0E70FA71">
      <w:pPr>
        <w:spacing w:before="52" w:line="228" w:lineRule="auto"/>
        <w:ind w:left="2840"/>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41"/>
          <w:sz w:val="20"/>
          <w:szCs w:val="20"/>
        </w:rPr>
        <w:t xml:space="preserve"> </w:t>
      </w:r>
      <w:r>
        <w:rPr>
          <w:rFonts w:ascii="Times New Roman" w:hAnsi="Times New Roman" w:eastAsia="Times New Roman" w:cs="Times New Roman"/>
          <w:b/>
          <w:bCs/>
          <w:spacing w:val="5"/>
          <w:sz w:val="20"/>
          <w:szCs w:val="20"/>
        </w:rPr>
        <w:t xml:space="preserve">5.1-3        </w:t>
      </w:r>
      <w:r>
        <w:rPr>
          <w:rFonts w:ascii="宋体" w:hAnsi="宋体" w:eastAsia="宋体" w:cs="宋体"/>
          <w:b/>
          <w:bCs/>
          <w:spacing w:val="5"/>
          <w:sz w:val="20"/>
          <w:szCs w:val="20"/>
        </w:rPr>
        <w:t>建设项目环境敏感特征表</w:t>
      </w:r>
    </w:p>
    <w:p w14:paraId="3E6D01D7">
      <w:pPr>
        <w:spacing w:line="97" w:lineRule="exact"/>
      </w:pPr>
    </w:p>
    <w:tbl>
      <w:tblPr>
        <w:tblStyle w:val="5"/>
        <w:tblW w:w="910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3"/>
        <w:gridCol w:w="672"/>
        <w:gridCol w:w="2528"/>
        <w:gridCol w:w="1304"/>
        <w:gridCol w:w="1069"/>
        <w:gridCol w:w="1246"/>
        <w:gridCol w:w="1723"/>
      </w:tblGrid>
      <w:tr w14:paraId="484AB6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 w:hRule="atLeast"/>
        </w:trPr>
        <w:tc>
          <w:tcPr>
            <w:tcW w:w="563" w:type="dxa"/>
            <w:tcBorders>
              <w:top w:val="single" w:color="000000" w:sz="10" w:space="0"/>
              <w:left w:val="nil"/>
            </w:tcBorders>
            <w:vAlign w:val="top"/>
          </w:tcPr>
          <w:p w14:paraId="0D26EB9A">
            <w:pPr>
              <w:pStyle w:val="6"/>
              <w:spacing w:before="34" w:line="217" w:lineRule="auto"/>
              <w:ind w:left="76"/>
              <w:rPr>
                <w:sz w:val="20"/>
                <w:szCs w:val="20"/>
              </w:rPr>
            </w:pPr>
            <w:r>
              <w:rPr>
                <w:spacing w:val="4"/>
                <w:sz w:val="20"/>
                <w:szCs w:val="20"/>
              </w:rPr>
              <w:t>类别</w:t>
            </w:r>
          </w:p>
        </w:tc>
        <w:tc>
          <w:tcPr>
            <w:tcW w:w="8542" w:type="dxa"/>
            <w:gridSpan w:val="6"/>
            <w:tcBorders>
              <w:top w:val="single" w:color="000000" w:sz="10" w:space="0"/>
              <w:right w:val="nil"/>
            </w:tcBorders>
            <w:vAlign w:val="top"/>
          </w:tcPr>
          <w:p w14:paraId="6D546006">
            <w:pPr>
              <w:pStyle w:val="6"/>
              <w:spacing w:before="34" w:line="217" w:lineRule="auto"/>
              <w:ind w:left="3649"/>
              <w:rPr>
                <w:sz w:val="20"/>
                <w:szCs w:val="20"/>
              </w:rPr>
            </w:pPr>
            <w:r>
              <w:rPr>
                <w:spacing w:val="8"/>
                <w:sz w:val="20"/>
                <w:szCs w:val="20"/>
              </w:rPr>
              <w:t>环境敏感特征</w:t>
            </w:r>
          </w:p>
        </w:tc>
      </w:tr>
      <w:tr w14:paraId="3C1044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63" w:type="dxa"/>
            <w:vMerge w:val="restart"/>
            <w:tcBorders>
              <w:left w:val="nil"/>
              <w:bottom w:val="nil"/>
            </w:tcBorders>
            <w:vAlign w:val="top"/>
          </w:tcPr>
          <w:p w14:paraId="50E78D6C">
            <w:pPr>
              <w:spacing w:line="275" w:lineRule="auto"/>
              <w:rPr>
                <w:rFonts w:ascii="Arial"/>
                <w:sz w:val="21"/>
              </w:rPr>
            </w:pPr>
          </w:p>
          <w:p w14:paraId="2527E518">
            <w:pPr>
              <w:spacing w:line="275" w:lineRule="auto"/>
              <w:rPr>
                <w:rFonts w:ascii="Arial"/>
                <w:sz w:val="21"/>
              </w:rPr>
            </w:pPr>
          </w:p>
          <w:p w14:paraId="3F070A6F">
            <w:pPr>
              <w:spacing w:line="276" w:lineRule="auto"/>
              <w:rPr>
                <w:rFonts w:ascii="Arial"/>
                <w:sz w:val="21"/>
              </w:rPr>
            </w:pPr>
          </w:p>
          <w:p w14:paraId="132362C2">
            <w:pPr>
              <w:spacing w:line="276" w:lineRule="auto"/>
              <w:rPr>
                <w:rFonts w:ascii="Arial"/>
                <w:sz w:val="21"/>
              </w:rPr>
            </w:pPr>
          </w:p>
          <w:p w14:paraId="0531443D">
            <w:pPr>
              <w:spacing w:line="276" w:lineRule="auto"/>
              <w:rPr>
                <w:rFonts w:ascii="Arial"/>
                <w:sz w:val="21"/>
              </w:rPr>
            </w:pPr>
          </w:p>
          <w:p w14:paraId="0DAEB943">
            <w:pPr>
              <w:spacing w:line="276" w:lineRule="auto"/>
              <w:rPr>
                <w:rFonts w:ascii="Arial"/>
                <w:sz w:val="21"/>
              </w:rPr>
            </w:pPr>
          </w:p>
          <w:p w14:paraId="203CD25B">
            <w:pPr>
              <w:pStyle w:val="6"/>
              <w:spacing w:before="65" w:line="241" w:lineRule="auto"/>
              <w:ind w:left="82" w:right="73" w:hanging="6"/>
              <w:rPr>
                <w:sz w:val="20"/>
                <w:szCs w:val="20"/>
              </w:rPr>
            </w:pPr>
            <w:r>
              <w:rPr>
                <w:spacing w:val="4"/>
                <w:sz w:val="20"/>
                <w:szCs w:val="20"/>
              </w:rPr>
              <w:t>环境</w:t>
            </w:r>
            <w:r>
              <w:rPr>
                <w:sz w:val="20"/>
                <w:szCs w:val="20"/>
              </w:rPr>
              <w:t xml:space="preserve"> </w:t>
            </w:r>
            <w:r>
              <w:rPr>
                <w:spacing w:val="1"/>
                <w:sz w:val="20"/>
                <w:szCs w:val="20"/>
              </w:rPr>
              <w:t>空气</w:t>
            </w:r>
          </w:p>
        </w:tc>
        <w:tc>
          <w:tcPr>
            <w:tcW w:w="672" w:type="dxa"/>
            <w:vAlign w:val="top"/>
          </w:tcPr>
          <w:p w14:paraId="156B2705">
            <w:pPr>
              <w:pStyle w:val="6"/>
              <w:spacing w:before="33" w:line="215" w:lineRule="auto"/>
              <w:ind w:left="129"/>
              <w:rPr>
                <w:sz w:val="20"/>
                <w:szCs w:val="20"/>
              </w:rPr>
            </w:pPr>
            <w:r>
              <w:rPr>
                <w:spacing w:val="5"/>
                <w:sz w:val="20"/>
                <w:szCs w:val="20"/>
              </w:rPr>
              <w:t>序号</w:t>
            </w:r>
          </w:p>
        </w:tc>
        <w:tc>
          <w:tcPr>
            <w:tcW w:w="2528" w:type="dxa"/>
            <w:vAlign w:val="top"/>
          </w:tcPr>
          <w:p w14:paraId="57E8CDC3">
            <w:pPr>
              <w:pStyle w:val="6"/>
              <w:spacing w:before="33" w:line="215" w:lineRule="auto"/>
              <w:ind w:left="640"/>
              <w:rPr>
                <w:sz w:val="20"/>
                <w:szCs w:val="20"/>
              </w:rPr>
            </w:pPr>
            <w:r>
              <w:rPr>
                <w:spacing w:val="8"/>
                <w:sz w:val="20"/>
                <w:szCs w:val="20"/>
              </w:rPr>
              <w:t>敏感目标名称</w:t>
            </w:r>
          </w:p>
        </w:tc>
        <w:tc>
          <w:tcPr>
            <w:tcW w:w="1304" w:type="dxa"/>
            <w:vAlign w:val="top"/>
          </w:tcPr>
          <w:p w14:paraId="57CC1F45">
            <w:pPr>
              <w:pStyle w:val="6"/>
              <w:spacing w:before="33" w:line="215" w:lineRule="auto"/>
              <w:ind w:left="237"/>
              <w:rPr>
                <w:sz w:val="20"/>
                <w:szCs w:val="20"/>
              </w:rPr>
            </w:pPr>
            <w:r>
              <w:rPr>
                <w:spacing w:val="7"/>
                <w:sz w:val="20"/>
                <w:szCs w:val="20"/>
              </w:rPr>
              <w:t>相对方位</w:t>
            </w:r>
          </w:p>
        </w:tc>
        <w:tc>
          <w:tcPr>
            <w:tcW w:w="1069" w:type="dxa"/>
            <w:vAlign w:val="top"/>
          </w:tcPr>
          <w:p w14:paraId="7AB69831">
            <w:pPr>
              <w:pStyle w:val="6"/>
              <w:spacing w:before="33" w:line="215" w:lineRule="auto"/>
              <w:jc w:val="right"/>
              <w:rPr>
                <w:sz w:val="20"/>
                <w:szCs w:val="20"/>
              </w:rPr>
            </w:pPr>
            <w:r>
              <w:rPr>
                <w:spacing w:val="-1"/>
                <w:sz w:val="20"/>
                <w:szCs w:val="20"/>
              </w:rPr>
              <w:t>距离（</w:t>
            </w:r>
            <w:r>
              <w:rPr>
                <w:rFonts w:ascii="Times New Roman" w:hAnsi="Times New Roman" w:eastAsia="Times New Roman" w:cs="Times New Roman"/>
                <w:spacing w:val="-1"/>
                <w:sz w:val="20"/>
                <w:szCs w:val="20"/>
              </w:rPr>
              <w:t>km</w:t>
            </w:r>
            <w:r>
              <w:rPr>
                <w:spacing w:val="-1"/>
                <w:sz w:val="20"/>
                <w:szCs w:val="20"/>
              </w:rPr>
              <w:t>）</w:t>
            </w:r>
          </w:p>
        </w:tc>
        <w:tc>
          <w:tcPr>
            <w:tcW w:w="1246" w:type="dxa"/>
            <w:vAlign w:val="top"/>
          </w:tcPr>
          <w:p w14:paraId="47A82687">
            <w:pPr>
              <w:pStyle w:val="6"/>
              <w:spacing w:before="33" w:line="215" w:lineRule="auto"/>
              <w:ind w:left="420"/>
              <w:rPr>
                <w:sz w:val="20"/>
                <w:szCs w:val="20"/>
              </w:rPr>
            </w:pPr>
            <w:r>
              <w:rPr>
                <w:spacing w:val="3"/>
                <w:sz w:val="20"/>
                <w:szCs w:val="20"/>
              </w:rPr>
              <w:t>属性</w:t>
            </w:r>
          </w:p>
        </w:tc>
        <w:tc>
          <w:tcPr>
            <w:tcW w:w="1723" w:type="dxa"/>
            <w:tcBorders>
              <w:right w:val="nil"/>
            </w:tcBorders>
            <w:vAlign w:val="top"/>
          </w:tcPr>
          <w:p w14:paraId="6491FDED">
            <w:pPr>
              <w:pStyle w:val="6"/>
              <w:spacing w:before="33" w:line="215" w:lineRule="auto"/>
              <w:ind w:left="556"/>
              <w:rPr>
                <w:sz w:val="20"/>
                <w:szCs w:val="20"/>
              </w:rPr>
            </w:pPr>
            <w:r>
              <w:rPr>
                <w:spacing w:val="6"/>
                <w:sz w:val="20"/>
                <w:szCs w:val="20"/>
              </w:rPr>
              <w:t>人口数</w:t>
            </w:r>
          </w:p>
        </w:tc>
      </w:tr>
      <w:tr w14:paraId="3D0F15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63" w:type="dxa"/>
            <w:vMerge w:val="continue"/>
            <w:tcBorders>
              <w:top w:val="nil"/>
              <w:left w:val="nil"/>
              <w:bottom w:val="nil"/>
            </w:tcBorders>
            <w:vAlign w:val="top"/>
          </w:tcPr>
          <w:p w14:paraId="3F722945">
            <w:pPr>
              <w:rPr>
                <w:rFonts w:ascii="Arial"/>
                <w:sz w:val="21"/>
              </w:rPr>
            </w:pPr>
          </w:p>
        </w:tc>
        <w:tc>
          <w:tcPr>
            <w:tcW w:w="672" w:type="dxa"/>
            <w:vAlign w:val="top"/>
          </w:tcPr>
          <w:p w14:paraId="42968D30">
            <w:pPr>
              <w:spacing w:before="71" w:line="195" w:lineRule="auto"/>
              <w:ind w:left="305"/>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528" w:type="dxa"/>
            <w:vAlign w:val="top"/>
          </w:tcPr>
          <w:p w14:paraId="03D42B73">
            <w:pPr>
              <w:pStyle w:val="6"/>
              <w:spacing w:before="35" w:line="214" w:lineRule="auto"/>
              <w:ind w:left="794"/>
              <w:rPr>
                <w:rFonts w:ascii="Times New Roman" w:hAnsi="Times New Roman" w:eastAsia="Times New Roman" w:cs="Times New Roman"/>
                <w:sz w:val="20"/>
                <w:szCs w:val="20"/>
              </w:rPr>
            </w:pPr>
            <w:r>
              <w:rPr>
                <w:spacing w:val="7"/>
                <w:sz w:val="20"/>
                <w:szCs w:val="20"/>
              </w:rPr>
              <w:t>散户居民</w:t>
            </w:r>
            <w:r>
              <w:rPr>
                <w:rFonts w:ascii="Times New Roman" w:hAnsi="Times New Roman" w:eastAsia="Times New Roman" w:cs="Times New Roman"/>
                <w:spacing w:val="7"/>
                <w:sz w:val="20"/>
                <w:szCs w:val="20"/>
              </w:rPr>
              <w:t>1</w:t>
            </w:r>
          </w:p>
        </w:tc>
        <w:tc>
          <w:tcPr>
            <w:tcW w:w="1304" w:type="dxa"/>
            <w:vAlign w:val="top"/>
          </w:tcPr>
          <w:p w14:paraId="729101EB">
            <w:pPr>
              <w:pStyle w:val="6"/>
              <w:spacing w:before="35" w:line="214" w:lineRule="auto"/>
              <w:ind w:left="449"/>
              <w:rPr>
                <w:sz w:val="20"/>
                <w:szCs w:val="20"/>
              </w:rPr>
            </w:pPr>
            <w:r>
              <w:rPr>
                <w:spacing w:val="3"/>
                <w:sz w:val="20"/>
                <w:szCs w:val="20"/>
              </w:rPr>
              <w:t>南侧</w:t>
            </w:r>
          </w:p>
        </w:tc>
        <w:tc>
          <w:tcPr>
            <w:tcW w:w="1069" w:type="dxa"/>
            <w:vAlign w:val="top"/>
          </w:tcPr>
          <w:p w14:paraId="44DEC082">
            <w:pPr>
              <w:spacing w:before="70" w:line="195" w:lineRule="auto"/>
              <w:ind w:left="35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0.74</w:t>
            </w:r>
          </w:p>
        </w:tc>
        <w:tc>
          <w:tcPr>
            <w:tcW w:w="1246" w:type="dxa"/>
            <w:vAlign w:val="top"/>
          </w:tcPr>
          <w:p w14:paraId="6E90D2C7">
            <w:pPr>
              <w:pStyle w:val="6"/>
              <w:spacing w:before="35" w:line="214" w:lineRule="auto"/>
              <w:ind w:left="419"/>
              <w:rPr>
                <w:sz w:val="20"/>
                <w:szCs w:val="20"/>
              </w:rPr>
            </w:pPr>
            <w:r>
              <w:rPr>
                <w:spacing w:val="4"/>
                <w:sz w:val="20"/>
                <w:szCs w:val="20"/>
              </w:rPr>
              <w:t>村民</w:t>
            </w:r>
          </w:p>
        </w:tc>
        <w:tc>
          <w:tcPr>
            <w:tcW w:w="1723" w:type="dxa"/>
            <w:tcBorders>
              <w:right w:val="nil"/>
            </w:tcBorders>
            <w:vAlign w:val="top"/>
          </w:tcPr>
          <w:p w14:paraId="5A735930">
            <w:pPr>
              <w:pStyle w:val="6"/>
              <w:spacing w:before="35" w:line="214" w:lineRule="auto"/>
              <w:ind w:left="41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2"/>
                <w:w w:val="101"/>
                <w:sz w:val="20"/>
                <w:szCs w:val="20"/>
              </w:rPr>
              <w:t xml:space="preserve"> </w:t>
            </w:r>
            <w:r>
              <w:rPr>
                <w:spacing w:val="-6"/>
                <w:sz w:val="20"/>
                <w:szCs w:val="20"/>
              </w:rPr>
              <w:t>户</w:t>
            </w:r>
            <w:r>
              <w:rPr>
                <w:spacing w:val="-75"/>
                <w:sz w:val="20"/>
                <w:szCs w:val="20"/>
              </w:rPr>
              <w:t xml:space="preserve"> </w:t>
            </w:r>
            <w:r>
              <w:rPr>
                <w:spacing w:val="-6"/>
                <w:sz w:val="20"/>
                <w:szCs w:val="20"/>
              </w:rPr>
              <w:t>，</w:t>
            </w:r>
            <w:r>
              <w:rPr>
                <w:rFonts w:ascii="Times New Roman" w:hAnsi="Times New Roman" w:eastAsia="Times New Roman" w:cs="Times New Roman"/>
                <w:spacing w:val="-6"/>
                <w:sz w:val="20"/>
                <w:szCs w:val="20"/>
              </w:rPr>
              <w:t>3</w:t>
            </w:r>
            <w:r>
              <w:rPr>
                <w:rFonts w:ascii="Times New Roman" w:hAnsi="Times New Roman" w:eastAsia="Times New Roman" w:cs="Times New Roman"/>
                <w:spacing w:val="13"/>
                <w:w w:val="101"/>
                <w:sz w:val="20"/>
                <w:szCs w:val="20"/>
              </w:rPr>
              <w:t xml:space="preserve"> </w:t>
            </w:r>
            <w:r>
              <w:rPr>
                <w:spacing w:val="-6"/>
                <w:sz w:val="20"/>
                <w:szCs w:val="20"/>
              </w:rPr>
              <w:t>人</w:t>
            </w:r>
          </w:p>
        </w:tc>
      </w:tr>
      <w:tr w14:paraId="582D0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63" w:type="dxa"/>
            <w:vMerge w:val="continue"/>
            <w:tcBorders>
              <w:top w:val="nil"/>
              <w:left w:val="nil"/>
              <w:bottom w:val="nil"/>
            </w:tcBorders>
            <w:vAlign w:val="top"/>
          </w:tcPr>
          <w:p w14:paraId="494778D0">
            <w:pPr>
              <w:rPr>
                <w:rFonts w:ascii="Arial"/>
                <w:sz w:val="21"/>
              </w:rPr>
            </w:pPr>
          </w:p>
        </w:tc>
        <w:tc>
          <w:tcPr>
            <w:tcW w:w="672" w:type="dxa"/>
            <w:vAlign w:val="top"/>
          </w:tcPr>
          <w:p w14:paraId="48779CE0">
            <w:pPr>
              <w:spacing w:before="69" w:line="195" w:lineRule="auto"/>
              <w:ind w:left="285"/>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528" w:type="dxa"/>
            <w:vAlign w:val="top"/>
          </w:tcPr>
          <w:p w14:paraId="528BED7B">
            <w:pPr>
              <w:pStyle w:val="6"/>
              <w:spacing w:before="34" w:line="214" w:lineRule="auto"/>
              <w:ind w:left="794"/>
              <w:rPr>
                <w:rFonts w:ascii="Times New Roman" w:hAnsi="Times New Roman" w:eastAsia="Times New Roman" w:cs="Times New Roman"/>
                <w:sz w:val="20"/>
                <w:szCs w:val="20"/>
              </w:rPr>
            </w:pPr>
            <w:r>
              <w:rPr>
                <w:spacing w:val="7"/>
                <w:sz w:val="20"/>
                <w:szCs w:val="20"/>
              </w:rPr>
              <w:t>散户居民</w:t>
            </w:r>
            <w:r>
              <w:rPr>
                <w:rFonts w:ascii="Times New Roman" w:hAnsi="Times New Roman" w:eastAsia="Times New Roman" w:cs="Times New Roman"/>
                <w:spacing w:val="7"/>
                <w:sz w:val="20"/>
                <w:szCs w:val="20"/>
              </w:rPr>
              <w:t>2</w:t>
            </w:r>
          </w:p>
        </w:tc>
        <w:tc>
          <w:tcPr>
            <w:tcW w:w="1304" w:type="dxa"/>
            <w:vAlign w:val="top"/>
          </w:tcPr>
          <w:p w14:paraId="0C83A677">
            <w:pPr>
              <w:pStyle w:val="6"/>
              <w:spacing w:before="34" w:line="214" w:lineRule="auto"/>
              <w:ind w:left="449"/>
              <w:rPr>
                <w:sz w:val="20"/>
                <w:szCs w:val="20"/>
              </w:rPr>
            </w:pPr>
            <w:r>
              <w:rPr>
                <w:spacing w:val="3"/>
                <w:sz w:val="20"/>
                <w:szCs w:val="20"/>
              </w:rPr>
              <w:t>南侧</w:t>
            </w:r>
          </w:p>
        </w:tc>
        <w:tc>
          <w:tcPr>
            <w:tcW w:w="1069" w:type="dxa"/>
            <w:vAlign w:val="top"/>
          </w:tcPr>
          <w:p w14:paraId="4BE4936C">
            <w:pPr>
              <w:spacing w:before="69" w:line="195" w:lineRule="auto"/>
              <w:ind w:left="35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0.89</w:t>
            </w:r>
          </w:p>
        </w:tc>
        <w:tc>
          <w:tcPr>
            <w:tcW w:w="1246" w:type="dxa"/>
            <w:vAlign w:val="top"/>
          </w:tcPr>
          <w:p w14:paraId="7F3B6A42">
            <w:pPr>
              <w:pStyle w:val="6"/>
              <w:spacing w:before="34" w:line="214" w:lineRule="auto"/>
              <w:ind w:left="419"/>
              <w:rPr>
                <w:sz w:val="20"/>
                <w:szCs w:val="20"/>
              </w:rPr>
            </w:pPr>
            <w:r>
              <w:rPr>
                <w:spacing w:val="4"/>
                <w:sz w:val="20"/>
                <w:szCs w:val="20"/>
              </w:rPr>
              <w:t>村民</w:t>
            </w:r>
          </w:p>
        </w:tc>
        <w:tc>
          <w:tcPr>
            <w:tcW w:w="1723" w:type="dxa"/>
            <w:tcBorders>
              <w:right w:val="nil"/>
            </w:tcBorders>
            <w:vAlign w:val="top"/>
          </w:tcPr>
          <w:p w14:paraId="01A09AB4">
            <w:pPr>
              <w:pStyle w:val="6"/>
              <w:spacing w:before="34" w:line="214" w:lineRule="auto"/>
              <w:ind w:left="41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2"/>
                <w:w w:val="101"/>
                <w:sz w:val="20"/>
                <w:szCs w:val="20"/>
              </w:rPr>
              <w:t xml:space="preserve"> </w:t>
            </w:r>
            <w:r>
              <w:rPr>
                <w:spacing w:val="-6"/>
                <w:sz w:val="20"/>
                <w:szCs w:val="20"/>
              </w:rPr>
              <w:t>户</w:t>
            </w:r>
            <w:r>
              <w:rPr>
                <w:spacing w:val="-75"/>
                <w:sz w:val="20"/>
                <w:szCs w:val="20"/>
              </w:rPr>
              <w:t xml:space="preserve"> </w:t>
            </w:r>
            <w:r>
              <w:rPr>
                <w:spacing w:val="-6"/>
                <w:sz w:val="20"/>
                <w:szCs w:val="20"/>
              </w:rPr>
              <w:t>，</w:t>
            </w:r>
            <w:r>
              <w:rPr>
                <w:rFonts w:ascii="Times New Roman" w:hAnsi="Times New Roman" w:eastAsia="Times New Roman" w:cs="Times New Roman"/>
                <w:spacing w:val="-6"/>
                <w:sz w:val="20"/>
                <w:szCs w:val="20"/>
              </w:rPr>
              <w:t>3</w:t>
            </w:r>
            <w:r>
              <w:rPr>
                <w:rFonts w:ascii="Times New Roman" w:hAnsi="Times New Roman" w:eastAsia="Times New Roman" w:cs="Times New Roman"/>
                <w:spacing w:val="13"/>
                <w:w w:val="101"/>
                <w:sz w:val="20"/>
                <w:szCs w:val="20"/>
              </w:rPr>
              <w:t xml:space="preserve"> </w:t>
            </w:r>
            <w:r>
              <w:rPr>
                <w:spacing w:val="-6"/>
                <w:sz w:val="20"/>
                <w:szCs w:val="20"/>
              </w:rPr>
              <w:t>人</w:t>
            </w:r>
          </w:p>
        </w:tc>
      </w:tr>
      <w:tr w14:paraId="0B4D28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63" w:type="dxa"/>
            <w:vMerge w:val="continue"/>
            <w:tcBorders>
              <w:top w:val="nil"/>
              <w:left w:val="nil"/>
              <w:bottom w:val="nil"/>
            </w:tcBorders>
            <w:vAlign w:val="top"/>
          </w:tcPr>
          <w:p w14:paraId="5ECF0473">
            <w:pPr>
              <w:rPr>
                <w:rFonts w:ascii="Arial"/>
                <w:sz w:val="21"/>
              </w:rPr>
            </w:pPr>
          </w:p>
        </w:tc>
        <w:tc>
          <w:tcPr>
            <w:tcW w:w="672" w:type="dxa"/>
            <w:vAlign w:val="top"/>
          </w:tcPr>
          <w:p w14:paraId="66631CF9">
            <w:pPr>
              <w:spacing w:before="71" w:line="195" w:lineRule="auto"/>
              <w:ind w:left="289"/>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528" w:type="dxa"/>
            <w:vAlign w:val="top"/>
          </w:tcPr>
          <w:p w14:paraId="575CA3C4">
            <w:pPr>
              <w:pStyle w:val="6"/>
              <w:spacing w:before="36" w:line="212" w:lineRule="auto"/>
              <w:ind w:left="794"/>
              <w:rPr>
                <w:rFonts w:ascii="Times New Roman" w:hAnsi="Times New Roman" w:eastAsia="Times New Roman" w:cs="Times New Roman"/>
                <w:sz w:val="20"/>
                <w:szCs w:val="20"/>
              </w:rPr>
            </w:pPr>
            <w:r>
              <w:rPr>
                <w:spacing w:val="7"/>
                <w:sz w:val="20"/>
                <w:szCs w:val="20"/>
              </w:rPr>
              <w:t>散户居民</w:t>
            </w:r>
            <w:r>
              <w:rPr>
                <w:rFonts w:ascii="Times New Roman" w:hAnsi="Times New Roman" w:eastAsia="Times New Roman" w:cs="Times New Roman"/>
                <w:spacing w:val="7"/>
                <w:sz w:val="20"/>
                <w:szCs w:val="20"/>
              </w:rPr>
              <w:t>3</w:t>
            </w:r>
          </w:p>
        </w:tc>
        <w:tc>
          <w:tcPr>
            <w:tcW w:w="1304" w:type="dxa"/>
            <w:vAlign w:val="top"/>
          </w:tcPr>
          <w:p w14:paraId="347C1B8B">
            <w:pPr>
              <w:pStyle w:val="6"/>
              <w:spacing w:before="36" w:line="212" w:lineRule="auto"/>
              <w:ind w:left="449"/>
              <w:rPr>
                <w:sz w:val="20"/>
                <w:szCs w:val="20"/>
              </w:rPr>
            </w:pPr>
            <w:r>
              <w:rPr>
                <w:spacing w:val="3"/>
                <w:sz w:val="20"/>
                <w:szCs w:val="20"/>
              </w:rPr>
              <w:t>南侧</w:t>
            </w:r>
          </w:p>
        </w:tc>
        <w:tc>
          <w:tcPr>
            <w:tcW w:w="1069" w:type="dxa"/>
            <w:vAlign w:val="top"/>
          </w:tcPr>
          <w:p w14:paraId="26C6799C">
            <w:pPr>
              <w:spacing w:before="71" w:line="195" w:lineRule="auto"/>
              <w:ind w:left="35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0.94</w:t>
            </w:r>
          </w:p>
        </w:tc>
        <w:tc>
          <w:tcPr>
            <w:tcW w:w="1246" w:type="dxa"/>
            <w:vAlign w:val="top"/>
          </w:tcPr>
          <w:p w14:paraId="104D593E">
            <w:pPr>
              <w:pStyle w:val="6"/>
              <w:spacing w:before="36" w:line="212" w:lineRule="auto"/>
              <w:ind w:left="419"/>
              <w:rPr>
                <w:sz w:val="20"/>
                <w:szCs w:val="20"/>
              </w:rPr>
            </w:pPr>
            <w:r>
              <w:rPr>
                <w:spacing w:val="4"/>
                <w:sz w:val="20"/>
                <w:szCs w:val="20"/>
              </w:rPr>
              <w:t>村民</w:t>
            </w:r>
          </w:p>
        </w:tc>
        <w:tc>
          <w:tcPr>
            <w:tcW w:w="1723" w:type="dxa"/>
            <w:tcBorders>
              <w:right w:val="nil"/>
            </w:tcBorders>
            <w:vAlign w:val="top"/>
          </w:tcPr>
          <w:p w14:paraId="1E9F35C3">
            <w:pPr>
              <w:pStyle w:val="6"/>
              <w:spacing w:before="36" w:line="212" w:lineRule="auto"/>
              <w:ind w:left="412"/>
              <w:rPr>
                <w:sz w:val="20"/>
                <w:szCs w:val="20"/>
              </w:rPr>
            </w:pPr>
            <w:r>
              <w:rPr>
                <w:rFonts w:ascii="Times New Roman" w:hAnsi="Times New Roman" w:eastAsia="Times New Roman" w:cs="Times New Roman"/>
                <w:spacing w:val="-6"/>
                <w:sz w:val="20"/>
                <w:szCs w:val="20"/>
              </w:rPr>
              <w:t>1</w:t>
            </w:r>
            <w:r>
              <w:rPr>
                <w:rFonts w:ascii="Times New Roman" w:hAnsi="Times New Roman" w:eastAsia="Times New Roman" w:cs="Times New Roman"/>
                <w:spacing w:val="12"/>
                <w:w w:val="101"/>
                <w:sz w:val="20"/>
                <w:szCs w:val="20"/>
              </w:rPr>
              <w:t xml:space="preserve"> </w:t>
            </w:r>
            <w:r>
              <w:rPr>
                <w:spacing w:val="-6"/>
                <w:sz w:val="20"/>
                <w:szCs w:val="20"/>
              </w:rPr>
              <w:t>户</w:t>
            </w:r>
            <w:r>
              <w:rPr>
                <w:spacing w:val="-75"/>
                <w:sz w:val="20"/>
                <w:szCs w:val="20"/>
              </w:rPr>
              <w:t xml:space="preserve"> </w:t>
            </w:r>
            <w:r>
              <w:rPr>
                <w:spacing w:val="-6"/>
                <w:sz w:val="20"/>
                <w:szCs w:val="20"/>
              </w:rPr>
              <w:t>，</w:t>
            </w:r>
            <w:r>
              <w:rPr>
                <w:rFonts w:ascii="Times New Roman" w:hAnsi="Times New Roman" w:eastAsia="Times New Roman" w:cs="Times New Roman"/>
                <w:spacing w:val="-6"/>
                <w:sz w:val="20"/>
                <w:szCs w:val="20"/>
              </w:rPr>
              <w:t>4</w:t>
            </w:r>
            <w:r>
              <w:rPr>
                <w:rFonts w:ascii="Times New Roman" w:hAnsi="Times New Roman" w:eastAsia="Times New Roman" w:cs="Times New Roman"/>
                <w:spacing w:val="13"/>
                <w:w w:val="101"/>
                <w:sz w:val="20"/>
                <w:szCs w:val="20"/>
              </w:rPr>
              <w:t xml:space="preserve"> </w:t>
            </w:r>
            <w:r>
              <w:rPr>
                <w:spacing w:val="-6"/>
                <w:sz w:val="20"/>
                <w:szCs w:val="20"/>
              </w:rPr>
              <w:t>人</w:t>
            </w:r>
          </w:p>
        </w:tc>
      </w:tr>
      <w:tr w14:paraId="7E34CE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63" w:type="dxa"/>
            <w:vMerge w:val="continue"/>
            <w:tcBorders>
              <w:top w:val="nil"/>
              <w:left w:val="nil"/>
              <w:bottom w:val="nil"/>
            </w:tcBorders>
            <w:vAlign w:val="top"/>
          </w:tcPr>
          <w:p w14:paraId="6E6B0A47">
            <w:pPr>
              <w:rPr>
                <w:rFonts w:ascii="Arial"/>
                <w:sz w:val="21"/>
              </w:rPr>
            </w:pPr>
          </w:p>
        </w:tc>
        <w:tc>
          <w:tcPr>
            <w:tcW w:w="672" w:type="dxa"/>
            <w:vAlign w:val="top"/>
          </w:tcPr>
          <w:p w14:paraId="55E1060C">
            <w:pPr>
              <w:spacing w:before="74" w:line="195" w:lineRule="auto"/>
              <w:ind w:left="28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528" w:type="dxa"/>
            <w:vAlign w:val="top"/>
          </w:tcPr>
          <w:p w14:paraId="48D40616">
            <w:pPr>
              <w:pStyle w:val="6"/>
              <w:spacing w:before="38" w:line="211" w:lineRule="auto"/>
              <w:ind w:left="745"/>
              <w:rPr>
                <w:sz w:val="20"/>
                <w:szCs w:val="20"/>
              </w:rPr>
            </w:pPr>
            <w:r>
              <w:rPr>
                <w:spacing w:val="7"/>
                <w:sz w:val="20"/>
                <w:szCs w:val="20"/>
              </w:rPr>
              <w:t>敖包恩浑迪</w:t>
            </w:r>
          </w:p>
        </w:tc>
        <w:tc>
          <w:tcPr>
            <w:tcW w:w="1304" w:type="dxa"/>
            <w:vAlign w:val="top"/>
          </w:tcPr>
          <w:p w14:paraId="0229C482">
            <w:pPr>
              <w:pStyle w:val="6"/>
              <w:spacing w:before="38" w:line="211" w:lineRule="auto"/>
              <w:ind w:left="451"/>
              <w:rPr>
                <w:sz w:val="20"/>
                <w:szCs w:val="20"/>
              </w:rPr>
            </w:pPr>
            <w:r>
              <w:rPr>
                <w:spacing w:val="2"/>
                <w:sz w:val="20"/>
                <w:szCs w:val="20"/>
              </w:rPr>
              <w:t>西侧</w:t>
            </w:r>
          </w:p>
        </w:tc>
        <w:tc>
          <w:tcPr>
            <w:tcW w:w="1069" w:type="dxa"/>
            <w:vAlign w:val="top"/>
          </w:tcPr>
          <w:p w14:paraId="2EC415C9">
            <w:pPr>
              <w:spacing w:before="74"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3.6</w:t>
            </w:r>
          </w:p>
        </w:tc>
        <w:tc>
          <w:tcPr>
            <w:tcW w:w="1246" w:type="dxa"/>
            <w:vAlign w:val="top"/>
          </w:tcPr>
          <w:p w14:paraId="38C4ACEB">
            <w:pPr>
              <w:pStyle w:val="6"/>
              <w:spacing w:before="38" w:line="211" w:lineRule="auto"/>
              <w:ind w:left="419"/>
              <w:rPr>
                <w:sz w:val="20"/>
                <w:szCs w:val="20"/>
              </w:rPr>
            </w:pPr>
            <w:r>
              <w:rPr>
                <w:spacing w:val="4"/>
                <w:sz w:val="20"/>
                <w:szCs w:val="20"/>
              </w:rPr>
              <w:t>村民</w:t>
            </w:r>
          </w:p>
        </w:tc>
        <w:tc>
          <w:tcPr>
            <w:tcW w:w="1723" w:type="dxa"/>
            <w:tcBorders>
              <w:right w:val="nil"/>
            </w:tcBorders>
            <w:vAlign w:val="top"/>
          </w:tcPr>
          <w:p w14:paraId="43D9503A">
            <w:pPr>
              <w:pStyle w:val="6"/>
              <w:spacing w:before="38" w:line="211" w:lineRule="auto"/>
              <w:ind w:left="309"/>
              <w:rPr>
                <w:sz w:val="20"/>
                <w:szCs w:val="20"/>
              </w:rPr>
            </w:pPr>
            <w:r>
              <w:rPr>
                <w:rFonts w:ascii="Times New Roman" w:hAnsi="Times New Roman" w:eastAsia="Times New Roman" w:cs="Times New Roman"/>
                <w:sz w:val="20"/>
                <w:szCs w:val="20"/>
              </w:rPr>
              <w:t>10</w:t>
            </w:r>
            <w:r>
              <w:rPr>
                <w:rFonts w:ascii="Times New Roman" w:hAnsi="Times New Roman" w:eastAsia="Times New Roman" w:cs="Times New Roman"/>
                <w:spacing w:val="16"/>
                <w:sz w:val="20"/>
                <w:szCs w:val="20"/>
              </w:rPr>
              <w:t xml:space="preserve"> </w:t>
            </w:r>
            <w:r>
              <w:rPr>
                <w:sz w:val="20"/>
                <w:szCs w:val="20"/>
              </w:rPr>
              <w:t>户，</w:t>
            </w:r>
            <w:r>
              <w:rPr>
                <w:rFonts w:ascii="Times New Roman" w:hAnsi="Times New Roman" w:eastAsia="Times New Roman" w:cs="Times New Roman"/>
                <w:sz w:val="20"/>
                <w:szCs w:val="20"/>
              </w:rPr>
              <w:t>34</w:t>
            </w:r>
            <w:r>
              <w:rPr>
                <w:rFonts w:ascii="Times New Roman" w:hAnsi="Times New Roman" w:eastAsia="Times New Roman" w:cs="Times New Roman"/>
                <w:spacing w:val="11"/>
                <w:sz w:val="20"/>
                <w:szCs w:val="20"/>
              </w:rPr>
              <w:t xml:space="preserve"> </w:t>
            </w:r>
            <w:r>
              <w:rPr>
                <w:sz w:val="20"/>
                <w:szCs w:val="20"/>
              </w:rPr>
              <w:t>人</w:t>
            </w:r>
          </w:p>
        </w:tc>
      </w:tr>
      <w:tr w14:paraId="655070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63" w:type="dxa"/>
            <w:vMerge w:val="continue"/>
            <w:tcBorders>
              <w:top w:val="nil"/>
              <w:left w:val="nil"/>
              <w:bottom w:val="nil"/>
            </w:tcBorders>
            <w:vAlign w:val="top"/>
          </w:tcPr>
          <w:p w14:paraId="48C9217B">
            <w:pPr>
              <w:rPr>
                <w:rFonts w:ascii="Arial"/>
                <w:sz w:val="21"/>
              </w:rPr>
            </w:pPr>
          </w:p>
        </w:tc>
        <w:tc>
          <w:tcPr>
            <w:tcW w:w="672" w:type="dxa"/>
            <w:vAlign w:val="top"/>
          </w:tcPr>
          <w:p w14:paraId="6B9A2007">
            <w:pPr>
              <w:spacing w:before="75" w:line="192" w:lineRule="auto"/>
              <w:ind w:left="290"/>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528" w:type="dxa"/>
            <w:vAlign w:val="top"/>
          </w:tcPr>
          <w:p w14:paraId="7C8D5101">
            <w:pPr>
              <w:pStyle w:val="6"/>
              <w:spacing w:before="37" w:line="211" w:lineRule="auto"/>
              <w:ind w:left="851"/>
              <w:rPr>
                <w:sz w:val="20"/>
                <w:szCs w:val="20"/>
              </w:rPr>
            </w:pPr>
            <w:r>
              <w:rPr>
                <w:spacing w:val="7"/>
                <w:sz w:val="20"/>
                <w:szCs w:val="20"/>
              </w:rPr>
              <w:t>朱日和镇</w:t>
            </w:r>
          </w:p>
        </w:tc>
        <w:tc>
          <w:tcPr>
            <w:tcW w:w="1304" w:type="dxa"/>
            <w:vAlign w:val="top"/>
          </w:tcPr>
          <w:p w14:paraId="1303D060">
            <w:pPr>
              <w:pStyle w:val="6"/>
              <w:spacing w:before="37" w:line="211" w:lineRule="auto"/>
              <w:ind w:left="449"/>
              <w:rPr>
                <w:sz w:val="20"/>
                <w:szCs w:val="20"/>
              </w:rPr>
            </w:pPr>
            <w:r>
              <w:rPr>
                <w:spacing w:val="3"/>
                <w:sz w:val="20"/>
                <w:szCs w:val="20"/>
              </w:rPr>
              <w:t>南侧</w:t>
            </w:r>
          </w:p>
        </w:tc>
        <w:tc>
          <w:tcPr>
            <w:tcW w:w="1069" w:type="dxa"/>
            <w:vAlign w:val="top"/>
          </w:tcPr>
          <w:p w14:paraId="2E87DF07">
            <w:pPr>
              <w:spacing w:before="72" w:line="195" w:lineRule="auto"/>
              <w:ind w:left="37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1.85</w:t>
            </w:r>
          </w:p>
        </w:tc>
        <w:tc>
          <w:tcPr>
            <w:tcW w:w="1246" w:type="dxa"/>
            <w:vAlign w:val="top"/>
          </w:tcPr>
          <w:p w14:paraId="51DB09DF">
            <w:pPr>
              <w:pStyle w:val="6"/>
              <w:spacing w:before="37" w:line="211" w:lineRule="auto"/>
              <w:ind w:left="419"/>
              <w:rPr>
                <w:sz w:val="20"/>
                <w:szCs w:val="20"/>
              </w:rPr>
            </w:pPr>
            <w:r>
              <w:rPr>
                <w:spacing w:val="4"/>
                <w:sz w:val="20"/>
                <w:szCs w:val="20"/>
              </w:rPr>
              <w:t>村民</w:t>
            </w:r>
          </w:p>
        </w:tc>
        <w:tc>
          <w:tcPr>
            <w:tcW w:w="1723" w:type="dxa"/>
            <w:tcBorders>
              <w:right w:val="nil"/>
            </w:tcBorders>
            <w:vAlign w:val="top"/>
          </w:tcPr>
          <w:p w14:paraId="2357CBA5">
            <w:pPr>
              <w:pStyle w:val="6"/>
              <w:spacing w:before="37" w:line="211" w:lineRule="auto"/>
              <w:ind w:left="29"/>
              <w:rPr>
                <w:sz w:val="20"/>
                <w:szCs w:val="20"/>
              </w:rPr>
            </w:pPr>
            <w:r>
              <w:rPr>
                <w:rFonts w:ascii="Times New Roman" w:hAnsi="Times New Roman" w:eastAsia="Times New Roman" w:cs="Times New Roman"/>
                <w:spacing w:val="4"/>
                <w:sz w:val="20"/>
                <w:szCs w:val="20"/>
              </w:rPr>
              <w:t xml:space="preserve">3387 </w:t>
            </w:r>
            <w:r>
              <w:rPr>
                <w:spacing w:val="4"/>
                <w:sz w:val="20"/>
                <w:szCs w:val="20"/>
              </w:rPr>
              <w:t>户，</w:t>
            </w:r>
            <w:r>
              <w:rPr>
                <w:rFonts w:ascii="Times New Roman" w:hAnsi="Times New Roman" w:eastAsia="Times New Roman" w:cs="Times New Roman"/>
                <w:spacing w:val="4"/>
                <w:sz w:val="20"/>
                <w:szCs w:val="20"/>
              </w:rPr>
              <w:t>10162</w:t>
            </w:r>
            <w:r>
              <w:rPr>
                <w:rFonts w:ascii="Times New Roman" w:hAnsi="Times New Roman" w:eastAsia="Times New Roman" w:cs="Times New Roman"/>
                <w:spacing w:val="19"/>
                <w:sz w:val="20"/>
                <w:szCs w:val="20"/>
              </w:rPr>
              <w:t xml:space="preserve"> </w:t>
            </w:r>
            <w:r>
              <w:rPr>
                <w:spacing w:val="4"/>
                <w:sz w:val="20"/>
                <w:szCs w:val="20"/>
              </w:rPr>
              <w:t>人</w:t>
            </w:r>
          </w:p>
        </w:tc>
      </w:tr>
      <w:tr w14:paraId="4978D2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63" w:type="dxa"/>
            <w:vMerge w:val="continue"/>
            <w:tcBorders>
              <w:top w:val="nil"/>
              <w:left w:val="nil"/>
              <w:bottom w:val="nil"/>
            </w:tcBorders>
            <w:vAlign w:val="top"/>
          </w:tcPr>
          <w:p w14:paraId="55E2EBB8">
            <w:pPr>
              <w:rPr>
                <w:rFonts w:ascii="Arial"/>
                <w:sz w:val="21"/>
              </w:rPr>
            </w:pPr>
          </w:p>
        </w:tc>
        <w:tc>
          <w:tcPr>
            <w:tcW w:w="672" w:type="dxa"/>
            <w:vAlign w:val="top"/>
          </w:tcPr>
          <w:p w14:paraId="5DA3021D">
            <w:pPr>
              <w:spacing w:before="75" w:line="195" w:lineRule="auto"/>
              <w:ind w:left="289"/>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528" w:type="dxa"/>
            <w:vAlign w:val="top"/>
          </w:tcPr>
          <w:p w14:paraId="077AACE1">
            <w:pPr>
              <w:pStyle w:val="6"/>
              <w:spacing w:before="39" w:line="209" w:lineRule="auto"/>
              <w:ind w:left="861"/>
              <w:rPr>
                <w:sz w:val="20"/>
                <w:szCs w:val="20"/>
              </w:rPr>
            </w:pPr>
            <w:r>
              <w:rPr>
                <w:spacing w:val="4"/>
                <w:sz w:val="20"/>
                <w:szCs w:val="20"/>
              </w:rPr>
              <w:t>哈日淖尔</w:t>
            </w:r>
          </w:p>
        </w:tc>
        <w:tc>
          <w:tcPr>
            <w:tcW w:w="1304" w:type="dxa"/>
            <w:vAlign w:val="top"/>
          </w:tcPr>
          <w:p w14:paraId="5D92286D">
            <w:pPr>
              <w:pStyle w:val="6"/>
              <w:spacing w:before="39" w:line="209" w:lineRule="auto"/>
              <w:ind w:left="348"/>
              <w:rPr>
                <w:sz w:val="20"/>
                <w:szCs w:val="20"/>
              </w:rPr>
            </w:pPr>
            <w:r>
              <w:rPr>
                <w:spacing w:val="5"/>
                <w:sz w:val="20"/>
                <w:szCs w:val="20"/>
              </w:rPr>
              <w:t>西南侧</w:t>
            </w:r>
          </w:p>
        </w:tc>
        <w:tc>
          <w:tcPr>
            <w:tcW w:w="1069" w:type="dxa"/>
            <w:vAlign w:val="top"/>
          </w:tcPr>
          <w:p w14:paraId="1704EE0A">
            <w:pPr>
              <w:spacing w:before="75"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1"/>
                <w:sz w:val="20"/>
                <w:szCs w:val="20"/>
              </w:rPr>
              <w:t>1</w:t>
            </w:r>
          </w:p>
        </w:tc>
        <w:tc>
          <w:tcPr>
            <w:tcW w:w="1246" w:type="dxa"/>
            <w:vAlign w:val="top"/>
          </w:tcPr>
          <w:p w14:paraId="4181A09F">
            <w:pPr>
              <w:pStyle w:val="6"/>
              <w:spacing w:before="39" w:line="209" w:lineRule="auto"/>
              <w:ind w:left="419"/>
              <w:rPr>
                <w:sz w:val="20"/>
                <w:szCs w:val="20"/>
              </w:rPr>
            </w:pPr>
            <w:r>
              <w:rPr>
                <w:spacing w:val="4"/>
                <w:sz w:val="20"/>
                <w:szCs w:val="20"/>
              </w:rPr>
              <w:t>村民</w:t>
            </w:r>
          </w:p>
        </w:tc>
        <w:tc>
          <w:tcPr>
            <w:tcW w:w="1723" w:type="dxa"/>
            <w:tcBorders>
              <w:right w:val="nil"/>
            </w:tcBorders>
            <w:vAlign w:val="top"/>
          </w:tcPr>
          <w:p w14:paraId="576C89EE">
            <w:pPr>
              <w:pStyle w:val="6"/>
              <w:spacing w:before="39" w:line="209" w:lineRule="auto"/>
              <w:ind w:left="396"/>
              <w:rPr>
                <w:sz w:val="20"/>
                <w:szCs w:val="20"/>
              </w:rPr>
            </w:pPr>
            <w:r>
              <w:rPr>
                <w:rFonts w:ascii="Times New Roman" w:hAnsi="Times New Roman" w:eastAsia="Times New Roman" w:cs="Times New Roman"/>
                <w:spacing w:val="-3"/>
                <w:sz w:val="20"/>
                <w:szCs w:val="20"/>
              </w:rPr>
              <w:t>3</w:t>
            </w:r>
            <w:r>
              <w:rPr>
                <w:rFonts w:ascii="Times New Roman" w:hAnsi="Times New Roman" w:eastAsia="Times New Roman" w:cs="Times New Roman"/>
                <w:spacing w:val="13"/>
                <w:sz w:val="20"/>
                <w:szCs w:val="20"/>
              </w:rPr>
              <w:t xml:space="preserve"> </w:t>
            </w:r>
            <w:r>
              <w:rPr>
                <w:spacing w:val="-3"/>
                <w:sz w:val="20"/>
                <w:szCs w:val="20"/>
              </w:rPr>
              <w:t>户</w:t>
            </w:r>
            <w:r>
              <w:rPr>
                <w:spacing w:val="-75"/>
                <w:sz w:val="20"/>
                <w:szCs w:val="20"/>
              </w:rPr>
              <w:t xml:space="preserve"> </w:t>
            </w:r>
            <w:r>
              <w:rPr>
                <w:spacing w:val="-3"/>
                <w:sz w:val="20"/>
                <w:szCs w:val="20"/>
              </w:rPr>
              <w:t>，</w:t>
            </w:r>
            <w:r>
              <w:rPr>
                <w:rFonts w:ascii="Times New Roman" w:hAnsi="Times New Roman" w:eastAsia="Times New Roman" w:cs="Times New Roman"/>
                <w:spacing w:val="-3"/>
                <w:sz w:val="20"/>
                <w:szCs w:val="20"/>
              </w:rPr>
              <w:t>7</w:t>
            </w:r>
            <w:r>
              <w:rPr>
                <w:rFonts w:ascii="Times New Roman" w:hAnsi="Times New Roman" w:eastAsia="Times New Roman" w:cs="Times New Roman"/>
                <w:spacing w:val="14"/>
                <w:sz w:val="20"/>
                <w:szCs w:val="20"/>
              </w:rPr>
              <w:t xml:space="preserve"> </w:t>
            </w:r>
            <w:r>
              <w:rPr>
                <w:spacing w:val="-3"/>
                <w:sz w:val="20"/>
                <w:szCs w:val="20"/>
              </w:rPr>
              <w:t>人</w:t>
            </w:r>
          </w:p>
        </w:tc>
      </w:tr>
      <w:tr w14:paraId="2724D5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63" w:type="dxa"/>
            <w:vMerge w:val="continue"/>
            <w:tcBorders>
              <w:top w:val="nil"/>
              <w:left w:val="nil"/>
              <w:bottom w:val="nil"/>
            </w:tcBorders>
            <w:vAlign w:val="top"/>
          </w:tcPr>
          <w:p w14:paraId="37825E71">
            <w:pPr>
              <w:rPr>
                <w:rFonts w:ascii="Arial"/>
                <w:sz w:val="21"/>
              </w:rPr>
            </w:pPr>
          </w:p>
        </w:tc>
        <w:tc>
          <w:tcPr>
            <w:tcW w:w="672" w:type="dxa"/>
            <w:vAlign w:val="top"/>
          </w:tcPr>
          <w:p w14:paraId="2C27FE38">
            <w:pPr>
              <w:spacing w:before="80" w:line="192" w:lineRule="auto"/>
              <w:ind w:left="288"/>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528" w:type="dxa"/>
            <w:vAlign w:val="top"/>
          </w:tcPr>
          <w:p w14:paraId="75496833">
            <w:pPr>
              <w:pStyle w:val="6"/>
              <w:spacing w:before="41" w:line="208" w:lineRule="auto"/>
              <w:ind w:left="964"/>
              <w:rPr>
                <w:sz w:val="20"/>
                <w:szCs w:val="20"/>
              </w:rPr>
            </w:pPr>
            <w:r>
              <w:rPr>
                <w:spacing w:val="3"/>
                <w:sz w:val="20"/>
                <w:szCs w:val="20"/>
              </w:rPr>
              <w:t>哈夏图</w:t>
            </w:r>
          </w:p>
        </w:tc>
        <w:tc>
          <w:tcPr>
            <w:tcW w:w="1304" w:type="dxa"/>
            <w:vAlign w:val="top"/>
          </w:tcPr>
          <w:p w14:paraId="313FC71C">
            <w:pPr>
              <w:pStyle w:val="6"/>
              <w:spacing w:before="41" w:line="208" w:lineRule="auto"/>
              <w:ind w:left="350"/>
              <w:rPr>
                <w:sz w:val="20"/>
                <w:szCs w:val="20"/>
              </w:rPr>
            </w:pPr>
            <w:r>
              <w:rPr>
                <w:spacing w:val="4"/>
                <w:sz w:val="20"/>
                <w:szCs w:val="20"/>
              </w:rPr>
              <w:t>东北侧</w:t>
            </w:r>
          </w:p>
        </w:tc>
        <w:tc>
          <w:tcPr>
            <w:tcW w:w="1069" w:type="dxa"/>
            <w:vAlign w:val="top"/>
          </w:tcPr>
          <w:p w14:paraId="0CD17440">
            <w:pPr>
              <w:spacing w:before="80" w:line="192" w:lineRule="auto"/>
              <w:ind w:left="409"/>
              <w:rPr>
                <w:rFonts w:ascii="Times New Roman" w:hAnsi="Times New Roman" w:eastAsia="Times New Roman" w:cs="Times New Roman"/>
                <w:sz w:val="20"/>
                <w:szCs w:val="20"/>
              </w:rPr>
            </w:pPr>
            <w:r>
              <w:rPr>
                <w:rFonts w:ascii="Times New Roman" w:hAnsi="Times New Roman" w:eastAsia="Times New Roman" w:cs="Times New Roman"/>
                <w:sz w:val="20"/>
                <w:szCs w:val="20"/>
              </w:rPr>
              <w:t>5.5</w:t>
            </w:r>
          </w:p>
        </w:tc>
        <w:tc>
          <w:tcPr>
            <w:tcW w:w="1246" w:type="dxa"/>
            <w:vAlign w:val="top"/>
          </w:tcPr>
          <w:p w14:paraId="573FFD8E">
            <w:pPr>
              <w:pStyle w:val="6"/>
              <w:spacing w:before="41" w:line="208" w:lineRule="auto"/>
              <w:ind w:left="419"/>
              <w:rPr>
                <w:sz w:val="20"/>
                <w:szCs w:val="20"/>
              </w:rPr>
            </w:pPr>
            <w:r>
              <w:rPr>
                <w:spacing w:val="4"/>
                <w:sz w:val="20"/>
                <w:szCs w:val="20"/>
              </w:rPr>
              <w:t>村民</w:t>
            </w:r>
          </w:p>
        </w:tc>
        <w:tc>
          <w:tcPr>
            <w:tcW w:w="1723" w:type="dxa"/>
            <w:tcBorders>
              <w:right w:val="nil"/>
            </w:tcBorders>
            <w:vAlign w:val="top"/>
          </w:tcPr>
          <w:p w14:paraId="52B2C089">
            <w:pPr>
              <w:pStyle w:val="6"/>
              <w:spacing w:before="41" w:line="208" w:lineRule="auto"/>
              <w:ind w:left="392"/>
              <w:rPr>
                <w:sz w:val="20"/>
                <w:szCs w:val="20"/>
              </w:rPr>
            </w:pPr>
            <w:r>
              <w:rPr>
                <w:rFonts w:ascii="Times New Roman" w:hAnsi="Times New Roman" w:eastAsia="Times New Roman" w:cs="Times New Roman"/>
                <w:spacing w:val="-2"/>
                <w:sz w:val="20"/>
                <w:szCs w:val="20"/>
              </w:rPr>
              <w:t>2</w:t>
            </w:r>
            <w:r>
              <w:rPr>
                <w:rFonts w:ascii="Times New Roman" w:hAnsi="Times New Roman" w:eastAsia="Times New Roman" w:cs="Times New Roman"/>
                <w:spacing w:val="12"/>
                <w:w w:val="101"/>
                <w:sz w:val="20"/>
                <w:szCs w:val="20"/>
              </w:rPr>
              <w:t xml:space="preserve"> </w:t>
            </w:r>
            <w:r>
              <w:rPr>
                <w:spacing w:val="-2"/>
                <w:sz w:val="20"/>
                <w:szCs w:val="20"/>
              </w:rPr>
              <w:t>户</w:t>
            </w:r>
            <w:r>
              <w:rPr>
                <w:spacing w:val="-75"/>
                <w:sz w:val="20"/>
                <w:szCs w:val="20"/>
              </w:rPr>
              <w:t xml:space="preserve"> </w:t>
            </w:r>
            <w:r>
              <w:rPr>
                <w:spacing w:val="-2"/>
                <w:sz w:val="20"/>
                <w:szCs w:val="20"/>
              </w:rPr>
              <w:t>，</w:t>
            </w:r>
            <w:r>
              <w:rPr>
                <w:rFonts w:ascii="Times New Roman" w:hAnsi="Times New Roman" w:eastAsia="Times New Roman" w:cs="Times New Roman"/>
                <w:spacing w:val="-2"/>
                <w:sz w:val="20"/>
                <w:szCs w:val="20"/>
              </w:rPr>
              <w:t>5</w:t>
            </w:r>
            <w:r>
              <w:rPr>
                <w:rFonts w:ascii="Times New Roman" w:hAnsi="Times New Roman" w:eastAsia="Times New Roman" w:cs="Times New Roman"/>
                <w:spacing w:val="13"/>
                <w:w w:val="101"/>
                <w:sz w:val="20"/>
                <w:szCs w:val="20"/>
              </w:rPr>
              <w:t xml:space="preserve"> </w:t>
            </w:r>
            <w:r>
              <w:rPr>
                <w:spacing w:val="-2"/>
                <w:sz w:val="20"/>
                <w:szCs w:val="20"/>
              </w:rPr>
              <w:t>人</w:t>
            </w:r>
          </w:p>
        </w:tc>
      </w:tr>
      <w:tr w14:paraId="2D1F35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63" w:type="dxa"/>
            <w:vMerge w:val="continue"/>
            <w:tcBorders>
              <w:top w:val="nil"/>
              <w:left w:val="nil"/>
              <w:bottom w:val="nil"/>
            </w:tcBorders>
            <w:vAlign w:val="top"/>
          </w:tcPr>
          <w:p w14:paraId="7E8E1286">
            <w:pPr>
              <w:rPr>
                <w:rFonts w:ascii="Arial"/>
                <w:sz w:val="21"/>
              </w:rPr>
            </w:pPr>
          </w:p>
        </w:tc>
        <w:tc>
          <w:tcPr>
            <w:tcW w:w="672" w:type="dxa"/>
            <w:vAlign w:val="top"/>
          </w:tcPr>
          <w:p w14:paraId="41FFEB80">
            <w:pPr>
              <w:spacing w:before="76" w:line="195" w:lineRule="auto"/>
              <w:ind w:left="293"/>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528" w:type="dxa"/>
            <w:vAlign w:val="top"/>
          </w:tcPr>
          <w:p w14:paraId="0769CDA1">
            <w:pPr>
              <w:pStyle w:val="6"/>
              <w:spacing w:before="40" w:line="208" w:lineRule="auto"/>
              <w:ind w:left="639"/>
              <w:rPr>
                <w:sz w:val="20"/>
                <w:szCs w:val="20"/>
              </w:rPr>
            </w:pPr>
            <w:r>
              <w:rPr>
                <w:spacing w:val="8"/>
                <w:sz w:val="20"/>
                <w:szCs w:val="20"/>
              </w:rPr>
              <w:t>那日音胡都嘎</w:t>
            </w:r>
          </w:p>
        </w:tc>
        <w:tc>
          <w:tcPr>
            <w:tcW w:w="1304" w:type="dxa"/>
            <w:vAlign w:val="top"/>
          </w:tcPr>
          <w:p w14:paraId="214A7B59">
            <w:pPr>
              <w:pStyle w:val="6"/>
              <w:spacing w:before="40" w:line="208" w:lineRule="auto"/>
              <w:ind w:left="350"/>
              <w:rPr>
                <w:sz w:val="20"/>
                <w:szCs w:val="20"/>
              </w:rPr>
            </w:pPr>
            <w:r>
              <w:rPr>
                <w:spacing w:val="4"/>
                <w:sz w:val="20"/>
                <w:szCs w:val="20"/>
              </w:rPr>
              <w:t>东北侧</w:t>
            </w:r>
          </w:p>
        </w:tc>
        <w:tc>
          <w:tcPr>
            <w:tcW w:w="1069" w:type="dxa"/>
            <w:vAlign w:val="top"/>
          </w:tcPr>
          <w:p w14:paraId="6FE4D5B4">
            <w:pPr>
              <w:spacing w:before="76"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3.4</w:t>
            </w:r>
          </w:p>
        </w:tc>
        <w:tc>
          <w:tcPr>
            <w:tcW w:w="1246" w:type="dxa"/>
            <w:vAlign w:val="top"/>
          </w:tcPr>
          <w:p w14:paraId="4DDE6E88">
            <w:pPr>
              <w:pStyle w:val="6"/>
              <w:spacing w:before="40" w:line="208" w:lineRule="auto"/>
              <w:ind w:left="419"/>
              <w:rPr>
                <w:sz w:val="20"/>
                <w:szCs w:val="20"/>
              </w:rPr>
            </w:pPr>
            <w:r>
              <w:rPr>
                <w:spacing w:val="4"/>
                <w:sz w:val="20"/>
                <w:szCs w:val="20"/>
              </w:rPr>
              <w:t>村民</w:t>
            </w:r>
          </w:p>
        </w:tc>
        <w:tc>
          <w:tcPr>
            <w:tcW w:w="1723" w:type="dxa"/>
            <w:tcBorders>
              <w:right w:val="nil"/>
            </w:tcBorders>
            <w:vAlign w:val="top"/>
          </w:tcPr>
          <w:p w14:paraId="3AC7F704">
            <w:pPr>
              <w:pStyle w:val="6"/>
              <w:spacing w:before="40" w:line="208" w:lineRule="auto"/>
              <w:ind w:left="338"/>
              <w:rPr>
                <w:sz w:val="20"/>
                <w:szCs w:val="20"/>
              </w:rPr>
            </w:pPr>
            <w:r>
              <w:rPr>
                <w:rFonts w:ascii="Times New Roman" w:hAnsi="Times New Roman" w:eastAsia="Times New Roman" w:cs="Times New Roman"/>
                <w:spacing w:val="3"/>
                <w:sz w:val="20"/>
                <w:szCs w:val="20"/>
              </w:rPr>
              <w:t>4</w:t>
            </w:r>
            <w:r>
              <w:rPr>
                <w:rFonts w:ascii="Times New Roman" w:hAnsi="Times New Roman" w:eastAsia="Times New Roman" w:cs="Times New Roman"/>
                <w:spacing w:val="16"/>
                <w:sz w:val="20"/>
                <w:szCs w:val="20"/>
              </w:rPr>
              <w:t xml:space="preserve"> </w:t>
            </w:r>
            <w:r>
              <w:rPr>
                <w:spacing w:val="3"/>
                <w:sz w:val="20"/>
                <w:szCs w:val="20"/>
              </w:rPr>
              <w:t>户，</w:t>
            </w:r>
            <w:r>
              <w:rPr>
                <w:rFonts w:ascii="Times New Roman" w:hAnsi="Times New Roman" w:eastAsia="Times New Roman" w:cs="Times New Roman"/>
                <w:spacing w:val="3"/>
                <w:sz w:val="20"/>
                <w:szCs w:val="20"/>
              </w:rPr>
              <w:t>13</w:t>
            </w:r>
            <w:r>
              <w:rPr>
                <w:rFonts w:ascii="Times New Roman" w:hAnsi="Times New Roman" w:eastAsia="Times New Roman" w:cs="Times New Roman"/>
                <w:spacing w:val="11"/>
                <w:sz w:val="20"/>
                <w:szCs w:val="20"/>
              </w:rPr>
              <w:t xml:space="preserve"> </w:t>
            </w:r>
            <w:r>
              <w:rPr>
                <w:spacing w:val="3"/>
                <w:sz w:val="20"/>
                <w:szCs w:val="20"/>
              </w:rPr>
              <w:t>人</w:t>
            </w:r>
          </w:p>
        </w:tc>
      </w:tr>
      <w:tr w14:paraId="6832C8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63" w:type="dxa"/>
            <w:vMerge w:val="continue"/>
            <w:tcBorders>
              <w:top w:val="nil"/>
              <w:left w:val="nil"/>
              <w:bottom w:val="nil"/>
            </w:tcBorders>
            <w:vAlign w:val="top"/>
          </w:tcPr>
          <w:p w14:paraId="1C921331">
            <w:pPr>
              <w:rPr>
                <w:rFonts w:ascii="Arial"/>
                <w:sz w:val="21"/>
              </w:rPr>
            </w:pPr>
          </w:p>
        </w:tc>
        <w:tc>
          <w:tcPr>
            <w:tcW w:w="672" w:type="dxa"/>
            <w:vAlign w:val="top"/>
          </w:tcPr>
          <w:p w14:paraId="7DB24388">
            <w:pPr>
              <w:spacing w:before="78" w:line="195" w:lineRule="auto"/>
              <w:ind w:left="289"/>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2528" w:type="dxa"/>
            <w:vAlign w:val="top"/>
          </w:tcPr>
          <w:p w14:paraId="006F2DC8">
            <w:pPr>
              <w:pStyle w:val="6"/>
              <w:spacing w:before="42" w:line="206" w:lineRule="auto"/>
              <w:ind w:left="745"/>
              <w:rPr>
                <w:sz w:val="20"/>
                <w:szCs w:val="20"/>
              </w:rPr>
            </w:pPr>
            <w:r>
              <w:rPr>
                <w:spacing w:val="8"/>
                <w:sz w:val="20"/>
                <w:szCs w:val="20"/>
              </w:rPr>
              <w:t>那日音乌苏</w:t>
            </w:r>
          </w:p>
        </w:tc>
        <w:tc>
          <w:tcPr>
            <w:tcW w:w="1304" w:type="dxa"/>
            <w:vAlign w:val="top"/>
          </w:tcPr>
          <w:p w14:paraId="7AFC601E">
            <w:pPr>
              <w:pStyle w:val="6"/>
              <w:spacing w:before="42" w:line="206" w:lineRule="auto"/>
              <w:ind w:left="453"/>
              <w:rPr>
                <w:sz w:val="20"/>
                <w:szCs w:val="20"/>
              </w:rPr>
            </w:pPr>
            <w:r>
              <w:rPr>
                <w:spacing w:val="1"/>
                <w:sz w:val="20"/>
                <w:szCs w:val="20"/>
              </w:rPr>
              <w:t>东侧</w:t>
            </w:r>
          </w:p>
        </w:tc>
        <w:tc>
          <w:tcPr>
            <w:tcW w:w="1069" w:type="dxa"/>
            <w:vAlign w:val="top"/>
          </w:tcPr>
          <w:p w14:paraId="2FF96B4C">
            <w:pPr>
              <w:spacing w:before="78" w:line="195" w:lineRule="auto"/>
              <w:ind w:left="40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2.6</w:t>
            </w:r>
          </w:p>
        </w:tc>
        <w:tc>
          <w:tcPr>
            <w:tcW w:w="1246" w:type="dxa"/>
            <w:vAlign w:val="top"/>
          </w:tcPr>
          <w:p w14:paraId="116DAB8B">
            <w:pPr>
              <w:pStyle w:val="6"/>
              <w:spacing w:before="42" w:line="206" w:lineRule="auto"/>
              <w:ind w:left="419"/>
              <w:rPr>
                <w:sz w:val="20"/>
                <w:szCs w:val="20"/>
              </w:rPr>
            </w:pPr>
            <w:r>
              <w:rPr>
                <w:spacing w:val="4"/>
                <w:sz w:val="20"/>
                <w:szCs w:val="20"/>
              </w:rPr>
              <w:t>村民</w:t>
            </w:r>
          </w:p>
        </w:tc>
        <w:tc>
          <w:tcPr>
            <w:tcW w:w="1723" w:type="dxa"/>
            <w:tcBorders>
              <w:right w:val="nil"/>
            </w:tcBorders>
            <w:vAlign w:val="top"/>
          </w:tcPr>
          <w:p w14:paraId="6F2D944C">
            <w:pPr>
              <w:pStyle w:val="6"/>
              <w:spacing w:before="42" w:line="206" w:lineRule="auto"/>
              <w:ind w:left="396"/>
              <w:rPr>
                <w:sz w:val="20"/>
                <w:szCs w:val="20"/>
              </w:rPr>
            </w:pPr>
            <w:r>
              <w:rPr>
                <w:rFonts w:ascii="Times New Roman" w:hAnsi="Times New Roman" w:eastAsia="Times New Roman" w:cs="Times New Roman"/>
                <w:spacing w:val="-3"/>
                <w:sz w:val="20"/>
                <w:szCs w:val="20"/>
              </w:rPr>
              <w:t>3</w:t>
            </w:r>
            <w:r>
              <w:rPr>
                <w:rFonts w:ascii="Times New Roman" w:hAnsi="Times New Roman" w:eastAsia="Times New Roman" w:cs="Times New Roman"/>
                <w:spacing w:val="13"/>
                <w:sz w:val="20"/>
                <w:szCs w:val="20"/>
              </w:rPr>
              <w:t xml:space="preserve"> </w:t>
            </w:r>
            <w:r>
              <w:rPr>
                <w:spacing w:val="-3"/>
                <w:sz w:val="20"/>
                <w:szCs w:val="20"/>
              </w:rPr>
              <w:t>户</w:t>
            </w:r>
            <w:r>
              <w:rPr>
                <w:spacing w:val="-75"/>
                <w:sz w:val="20"/>
                <w:szCs w:val="20"/>
              </w:rPr>
              <w:t xml:space="preserve"> </w:t>
            </w:r>
            <w:r>
              <w:rPr>
                <w:spacing w:val="-3"/>
                <w:sz w:val="20"/>
                <w:szCs w:val="20"/>
              </w:rPr>
              <w:t>，</w:t>
            </w:r>
            <w:r>
              <w:rPr>
                <w:rFonts w:ascii="Times New Roman" w:hAnsi="Times New Roman" w:eastAsia="Times New Roman" w:cs="Times New Roman"/>
                <w:spacing w:val="-3"/>
                <w:sz w:val="20"/>
                <w:szCs w:val="20"/>
              </w:rPr>
              <w:t>7</w:t>
            </w:r>
            <w:r>
              <w:rPr>
                <w:rFonts w:ascii="Times New Roman" w:hAnsi="Times New Roman" w:eastAsia="Times New Roman" w:cs="Times New Roman"/>
                <w:spacing w:val="14"/>
                <w:sz w:val="20"/>
                <w:szCs w:val="20"/>
              </w:rPr>
              <w:t xml:space="preserve"> </w:t>
            </w:r>
            <w:r>
              <w:rPr>
                <w:spacing w:val="-3"/>
                <w:sz w:val="20"/>
                <w:szCs w:val="20"/>
              </w:rPr>
              <w:t>人</w:t>
            </w:r>
          </w:p>
        </w:tc>
      </w:tr>
      <w:tr w14:paraId="6D1DBB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63" w:type="dxa"/>
            <w:vMerge w:val="continue"/>
            <w:tcBorders>
              <w:top w:val="nil"/>
              <w:left w:val="nil"/>
              <w:bottom w:val="nil"/>
            </w:tcBorders>
            <w:vAlign w:val="top"/>
          </w:tcPr>
          <w:p w14:paraId="557201DB">
            <w:pPr>
              <w:rPr>
                <w:rFonts w:ascii="Arial"/>
                <w:sz w:val="21"/>
              </w:rPr>
            </w:pPr>
          </w:p>
        </w:tc>
        <w:tc>
          <w:tcPr>
            <w:tcW w:w="672" w:type="dxa"/>
            <w:vAlign w:val="top"/>
          </w:tcPr>
          <w:p w14:paraId="74BA328D">
            <w:pPr>
              <w:spacing w:before="78"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2528" w:type="dxa"/>
            <w:vAlign w:val="top"/>
          </w:tcPr>
          <w:p w14:paraId="14ADAF6E">
            <w:pPr>
              <w:pStyle w:val="6"/>
              <w:spacing w:before="42" w:line="207" w:lineRule="auto"/>
              <w:ind w:left="745"/>
              <w:rPr>
                <w:sz w:val="20"/>
                <w:szCs w:val="20"/>
              </w:rPr>
            </w:pPr>
            <w:r>
              <w:rPr>
                <w:spacing w:val="7"/>
                <w:sz w:val="20"/>
                <w:szCs w:val="20"/>
              </w:rPr>
              <w:t>敖包恩浑迪</w:t>
            </w:r>
          </w:p>
        </w:tc>
        <w:tc>
          <w:tcPr>
            <w:tcW w:w="1304" w:type="dxa"/>
            <w:vAlign w:val="top"/>
          </w:tcPr>
          <w:p w14:paraId="58F8CB24">
            <w:pPr>
              <w:pStyle w:val="6"/>
              <w:spacing w:before="42" w:line="207" w:lineRule="auto"/>
              <w:ind w:left="451"/>
              <w:rPr>
                <w:sz w:val="20"/>
                <w:szCs w:val="20"/>
              </w:rPr>
            </w:pPr>
            <w:r>
              <w:rPr>
                <w:spacing w:val="2"/>
                <w:sz w:val="20"/>
                <w:szCs w:val="20"/>
              </w:rPr>
              <w:t>西侧</w:t>
            </w:r>
          </w:p>
        </w:tc>
        <w:tc>
          <w:tcPr>
            <w:tcW w:w="1069" w:type="dxa"/>
            <w:vAlign w:val="top"/>
          </w:tcPr>
          <w:p w14:paraId="48D2D1D7">
            <w:pPr>
              <w:spacing w:before="78"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3.6</w:t>
            </w:r>
          </w:p>
        </w:tc>
        <w:tc>
          <w:tcPr>
            <w:tcW w:w="1246" w:type="dxa"/>
            <w:vAlign w:val="top"/>
          </w:tcPr>
          <w:p w14:paraId="149D4360">
            <w:pPr>
              <w:pStyle w:val="6"/>
              <w:spacing w:before="42" w:line="207" w:lineRule="auto"/>
              <w:ind w:left="419"/>
              <w:rPr>
                <w:sz w:val="20"/>
                <w:szCs w:val="20"/>
              </w:rPr>
            </w:pPr>
            <w:r>
              <w:rPr>
                <w:spacing w:val="4"/>
                <w:sz w:val="20"/>
                <w:szCs w:val="20"/>
              </w:rPr>
              <w:t>村民</w:t>
            </w:r>
          </w:p>
        </w:tc>
        <w:tc>
          <w:tcPr>
            <w:tcW w:w="1723" w:type="dxa"/>
            <w:tcBorders>
              <w:right w:val="nil"/>
            </w:tcBorders>
            <w:vAlign w:val="top"/>
          </w:tcPr>
          <w:p w14:paraId="54D4A119">
            <w:pPr>
              <w:pStyle w:val="6"/>
              <w:spacing w:before="42" w:line="207" w:lineRule="auto"/>
              <w:ind w:left="309"/>
              <w:rPr>
                <w:sz w:val="20"/>
                <w:szCs w:val="20"/>
              </w:rPr>
            </w:pPr>
            <w:r>
              <w:rPr>
                <w:rFonts w:ascii="Times New Roman" w:hAnsi="Times New Roman" w:eastAsia="Times New Roman" w:cs="Times New Roman"/>
                <w:sz w:val="20"/>
                <w:szCs w:val="20"/>
              </w:rPr>
              <w:t>10</w:t>
            </w:r>
            <w:r>
              <w:rPr>
                <w:rFonts w:ascii="Times New Roman" w:hAnsi="Times New Roman" w:eastAsia="Times New Roman" w:cs="Times New Roman"/>
                <w:spacing w:val="16"/>
                <w:sz w:val="20"/>
                <w:szCs w:val="20"/>
              </w:rPr>
              <w:t xml:space="preserve"> </w:t>
            </w:r>
            <w:r>
              <w:rPr>
                <w:sz w:val="20"/>
                <w:szCs w:val="20"/>
              </w:rPr>
              <w:t>户，</w:t>
            </w:r>
            <w:r>
              <w:rPr>
                <w:rFonts w:ascii="Times New Roman" w:hAnsi="Times New Roman" w:eastAsia="Times New Roman" w:cs="Times New Roman"/>
                <w:sz w:val="20"/>
                <w:szCs w:val="20"/>
              </w:rPr>
              <w:t>34</w:t>
            </w:r>
            <w:r>
              <w:rPr>
                <w:rFonts w:ascii="Times New Roman" w:hAnsi="Times New Roman" w:eastAsia="Times New Roman" w:cs="Times New Roman"/>
                <w:spacing w:val="11"/>
                <w:sz w:val="20"/>
                <w:szCs w:val="20"/>
              </w:rPr>
              <w:t xml:space="preserve"> </w:t>
            </w:r>
            <w:r>
              <w:rPr>
                <w:sz w:val="20"/>
                <w:szCs w:val="20"/>
              </w:rPr>
              <w:t>人</w:t>
            </w:r>
          </w:p>
        </w:tc>
      </w:tr>
      <w:tr w14:paraId="415E1B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63" w:type="dxa"/>
            <w:vMerge w:val="continue"/>
            <w:tcBorders>
              <w:top w:val="nil"/>
              <w:left w:val="nil"/>
              <w:bottom w:val="nil"/>
            </w:tcBorders>
            <w:vAlign w:val="top"/>
          </w:tcPr>
          <w:p w14:paraId="01F3B29A">
            <w:pPr>
              <w:rPr>
                <w:rFonts w:ascii="Arial"/>
                <w:sz w:val="21"/>
              </w:rPr>
            </w:pPr>
          </w:p>
        </w:tc>
        <w:tc>
          <w:tcPr>
            <w:tcW w:w="6819" w:type="dxa"/>
            <w:gridSpan w:val="5"/>
            <w:vAlign w:val="top"/>
          </w:tcPr>
          <w:p w14:paraId="09A4BBC7">
            <w:pPr>
              <w:pStyle w:val="6"/>
              <w:spacing w:before="43" w:line="205" w:lineRule="auto"/>
              <w:ind w:left="1865"/>
              <w:rPr>
                <w:sz w:val="20"/>
                <w:szCs w:val="20"/>
              </w:rPr>
            </w:pPr>
            <w:r>
              <w:rPr>
                <w:spacing w:val="6"/>
                <w:sz w:val="20"/>
                <w:szCs w:val="20"/>
              </w:rPr>
              <w:t>厂址周边</w:t>
            </w:r>
            <w:r>
              <w:rPr>
                <w:spacing w:val="-30"/>
                <w:sz w:val="20"/>
                <w:szCs w:val="20"/>
              </w:rPr>
              <w:t xml:space="preserve"> </w:t>
            </w:r>
            <w:r>
              <w:rPr>
                <w:rFonts w:ascii="Times New Roman" w:hAnsi="Times New Roman" w:eastAsia="Times New Roman" w:cs="Times New Roman"/>
                <w:spacing w:val="6"/>
                <w:sz w:val="20"/>
                <w:szCs w:val="20"/>
              </w:rPr>
              <w:t>500m</w:t>
            </w:r>
            <w:r>
              <w:rPr>
                <w:rFonts w:ascii="Times New Roman" w:hAnsi="Times New Roman" w:eastAsia="Times New Roman" w:cs="Times New Roman"/>
                <w:spacing w:val="17"/>
                <w:w w:val="101"/>
                <w:sz w:val="20"/>
                <w:szCs w:val="20"/>
              </w:rPr>
              <w:t xml:space="preserve"> </w:t>
            </w:r>
            <w:r>
              <w:rPr>
                <w:spacing w:val="6"/>
                <w:sz w:val="20"/>
                <w:szCs w:val="20"/>
              </w:rPr>
              <w:t>范围内人口数小计</w:t>
            </w:r>
          </w:p>
        </w:tc>
        <w:tc>
          <w:tcPr>
            <w:tcW w:w="1723" w:type="dxa"/>
            <w:tcBorders>
              <w:right w:val="nil"/>
            </w:tcBorders>
            <w:vAlign w:val="top"/>
          </w:tcPr>
          <w:p w14:paraId="28D43D34">
            <w:pPr>
              <w:pStyle w:val="6"/>
              <w:spacing w:before="43" w:line="205" w:lineRule="auto"/>
              <w:ind w:left="683"/>
              <w:rPr>
                <w:sz w:val="20"/>
                <w:szCs w:val="20"/>
              </w:rPr>
            </w:pPr>
            <w:r>
              <w:rPr>
                <w:rFonts w:ascii="Times New Roman" w:hAnsi="Times New Roman" w:eastAsia="Times New Roman" w:cs="Times New Roman"/>
                <w:spacing w:val="-2"/>
                <w:sz w:val="20"/>
                <w:szCs w:val="20"/>
              </w:rPr>
              <w:t>0</w:t>
            </w:r>
            <w:r>
              <w:rPr>
                <w:rFonts w:ascii="Times New Roman" w:hAnsi="Times New Roman" w:eastAsia="Times New Roman" w:cs="Times New Roman"/>
                <w:spacing w:val="13"/>
                <w:w w:val="101"/>
                <w:sz w:val="20"/>
                <w:szCs w:val="20"/>
              </w:rPr>
              <w:t xml:space="preserve"> </w:t>
            </w:r>
            <w:r>
              <w:rPr>
                <w:spacing w:val="-2"/>
                <w:sz w:val="20"/>
                <w:szCs w:val="20"/>
              </w:rPr>
              <w:t>人</w:t>
            </w:r>
          </w:p>
        </w:tc>
      </w:tr>
      <w:tr w14:paraId="7DD349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63" w:type="dxa"/>
            <w:vMerge w:val="continue"/>
            <w:tcBorders>
              <w:top w:val="nil"/>
              <w:left w:val="nil"/>
              <w:bottom w:val="nil"/>
            </w:tcBorders>
            <w:vAlign w:val="top"/>
          </w:tcPr>
          <w:p w14:paraId="381328B9">
            <w:pPr>
              <w:rPr>
                <w:rFonts w:ascii="Arial"/>
                <w:sz w:val="21"/>
              </w:rPr>
            </w:pPr>
          </w:p>
        </w:tc>
        <w:tc>
          <w:tcPr>
            <w:tcW w:w="6819" w:type="dxa"/>
            <w:gridSpan w:val="5"/>
            <w:vAlign w:val="top"/>
          </w:tcPr>
          <w:p w14:paraId="2B29AF40">
            <w:pPr>
              <w:pStyle w:val="6"/>
              <w:spacing w:before="42" w:line="206" w:lineRule="auto"/>
              <w:ind w:left="1918"/>
              <w:rPr>
                <w:sz w:val="20"/>
                <w:szCs w:val="20"/>
              </w:rPr>
            </w:pPr>
            <w:r>
              <w:rPr>
                <w:spacing w:val="7"/>
                <w:sz w:val="20"/>
                <w:szCs w:val="20"/>
              </w:rPr>
              <w:t>厂址周边</w:t>
            </w:r>
            <w:r>
              <w:rPr>
                <w:spacing w:val="-33"/>
                <w:sz w:val="20"/>
                <w:szCs w:val="20"/>
              </w:rPr>
              <w:t xml:space="preserve"> </w:t>
            </w:r>
            <w:r>
              <w:rPr>
                <w:rFonts w:ascii="Times New Roman" w:hAnsi="Times New Roman" w:eastAsia="Times New Roman" w:cs="Times New Roman"/>
                <w:spacing w:val="7"/>
                <w:sz w:val="20"/>
                <w:szCs w:val="20"/>
              </w:rPr>
              <w:t>5</w:t>
            </w:r>
            <w:r>
              <w:rPr>
                <w:rFonts w:ascii="Times New Roman" w:hAnsi="Times New Roman" w:eastAsia="Times New Roman" w:cs="Times New Roman"/>
                <w:sz w:val="20"/>
                <w:szCs w:val="20"/>
              </w:rPr>
              <w:t>km</w:t>
            </w:r>
            <w:r>
              <w:rPr>
                <w:rFonts w:ascii="Times New Roman" w:hAnsi="Times New Roman" w:eastAsia="Times New Roman" w:cs="Times New Roman"/>
                <w:spacing w:val="20"/>
                <w:sz w:val="20"/>
                <w:szCs w:val="20"/>
              </w:rPr>
              <w:t xml:space="preserve"> </w:t>
            </w:r>
            <w:r>
              <w:rPr>
                <w:spacing w:val="7"/>
                <w:sz w:val="20"/>
                <w:szCs w:val="20"/>
              </w:rPr>
              <w:t>范围内人口数小计</w:t>
            </w:r>
          </w:p>
        </w:tc>
        <w:tc>
          <w:tcPr>
            <w:tcW w:w="1723" w:type="dxa"/>
            <w:tcBorders>
              <w:right w:val="nil"/>
            </w:tcBorders>
            <w:vAlign w:val="top"/>
          </w:tcPr>
          <w:p w14:paraId="36548AF6">
            <w:pPr>
              <w:pStyle w:val="6"/>
              <w:spacing w:before="42" w:line="206" w:lineRule="auto"/>
              <w:ind w:left="491"/>
              <w:rPr>
                <w:sz w:val="20"/>
                <w:szCs w:val="20"/>
              </w:rPr>
            </w:pPr>
            <w:r>
              <w:rPr>
                <w:rFonts w:ascii="Times New Roman" w:hAnsi="Times New Roman" w:eastAsia="Times New Roman" w:cs="Times New Roman"/>
                <w:sz w:val="20"/>
                <w:szCs w:val="20"/>
              </w:rPr>
              <w:t>10272</w:t>
            </w:r>
            <w:r>
              <w:rPr>
                <w:rFonts w:ascii="Times New Roman" w:hAnsi="Times New Roman" w:eastAsia="Times New Roman" w:cs="Times New Roman"/>
                <w:spacing w:val="11"/>
                <w:sz w:val="20"/>
                <w:szCs w:val="20"/>
              </w:rPr>
              <w:t xml:space="preserve"> </w:t>
            </w:r>
            <w:r>
              <w:rPr>
                <w:sz w:val="20"/>
                <w:szCs w:val="20"/>
              </w:rPr>
              <w:t>人</w:t>
            </w:r>
          </w:p>
        </w:tc>
      </w:tr>
      <w:tr w14:paraId="14EB3F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63" w:type="dxa"/>
            <w:vMerge w:val="continue"/>
            <w:tcBorders>
              <w:top w:val="nil"/>
              <w:left w:val="nil"/>
            </w:tcBorders>
            <w:vAlign w:val="top"/>
          </w:tcPr>
          <w:p w14:paraId="62973B12">
            <w:pPr>
              <w:rPr>
                <w:rFonts w:ascii="Arial"/>
                <w:sz w:val="21"/>
              </w:rPr>
            </w:pPr>
          </w:p>
        </w:tc>
        <w:tc>
          <w:tcPr>
            <w:tcW w:w="6819" w:type="dxa"/>
            <w:gridSpan w:val="5"/>
            <w:vAlign w:val="top"/>
          </w:tcPr>
          <w:p w14:paraId="7AD674CD">
            <w:pPr>
              <w:pStyle w:val="6"/>
              <w:spacing w:before="46" w:line="204" w:lineRule="auto"/>
              <w:ind w:left="2355"/>
              <w:rPr>
                <w:sz w:val="20"/>
                <w:szCs w:val="20"/>
              </w:rPr>
            </w:pPr>
            <w:r>
              <w:rPr>
                <w:spacing w:val="7"/>
                <w:sz w:val="20"/>
                <w:szCs w:val="20"/>
              </w:rPr>
              <w:t>大气环境敏感程度</w:t>
            </w:r>
            <w:r>
              <w:rPr>
                <w:spacing w:val="-40"/>
                <w:sz w:val="20"/>
                <w:szCs w:val="20"/>
              </w:rPr>
              <w:t xml:space="preserve"> </w:t>
            </w:r>
            <w:r>
              <w:rPr>
                <w:rFonts w:ascii="Times New Roman" w:hAnsi="Times New Roman" w:eastAsia="Times New Roman" w:cs="Times New Roman"/>
                <w:spacing w:val="7"/>
                <w:sz w:val="20"/>
                <w:szCs w:val="20"/>
              </w:rPr>
              <w:t xml:space="preserve">E </w:t>
            </w:r>
            <w:r>
              <w:rPr>
                <w:spacing w:val="7"/>
                <w:sz w:val="20"/>
                <w:szCs w:val="20"/>
              </w:rPr>
              <w:t>值</w:t>
            </w:r>
          </w:p>
        </w:tc>
        <w:tc>
          <w:tcPr>
            <w:tcW w:w="1723" w:type="dxa"/>
            <w:tcBorders>
              <w:right w:val="nil"/>
            </w:tcBorders>
            <w:vAlign w:val="top"/>
          </w:tcPr>
          <w:p w14:paraId="4A1801BD">
            <w:pPr>
              <w:spacing w:before="82" w:line="193" w:lineRule="auto"/>
              <w:ind w:left="7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E3</w:t>
            </w:r>
          </w:p>
        </w:tc>
      </w:tr>
      <w:tr w14:paraId="3E31B3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563" w:type="dxa"/>
            <w:vMerge w:val="restart"/>
            <w:tcBorders>
              <w:left w:val="nil"/>
              <w:bottom w:val="nil"/>
            </w:tcBorders>
            <w:vAlign w:val="top"/>
          </w:tcPr>
          <w:p w14:paraId="1E97E601">
            <w:pPr>
              <w:spacing w:line="261" w:lineRule="auto"/>
              <w:rPr>
                <w:rFonts w:ascii="Arial"/>
                <w:sz w:val="21"/>
              </w:rPr>
            </w:pPr>
          </w:p>
          <w:p w14:paraId="58D7BD56">
            <w:pPr>
              <w:pStyle w:val="6"/>
              <w:spacing w:before="65"/>
              <w:ind w:left="184" w:right="73" w:hanging="108"/>
              <w:rPr>
                <w:sz w:val="20"/>
                <w:szCs w:val="20"/>
              </w:rPr>
            </w:pPr>
            <w:r>
              <w:rPr>
                <w:spacing w:val="4"/>
                <w:sz w:val="20"/>
                <w:szCs w:val="20"/>
              </w:rPr>
              <w:t>地表</w:t>
            </w:r>
            <w:r>
              <w:rPr>
                <w:sz w:val="20"/>
                <w:szCs w:val="20"/>
              </w:rPr>
              <w:t xml:space="preserve"> 水</w:t>
            </w:r>
          </w:p>
        </w:tc>
        <w:tc>
          <w:tcPr>
            <w:tcW w:w="672" w:type="dxa"/>
            <w:vAlign w:val="top"/>
          </w:tcPr>
          <w:p w14:paraId="0F3A80EB">
            <w:pPr>
              <w:pStyle w:val="6"/>
              <w:spacing w:before="181" w:line="229" w:lineRule="auto"/>
              <w:ind w:left="129"/>
              <w:rPr>
                <w:sz w:val="20"/>
                <w:szCs w:val="20"/>
              </w:rPr>
            </w:pPr>
            <w:r>
              <w:rPr>
                <w:spacing w:val="5"/>
                <w:sz w:val="20"/>
                <w:szCs w:val="20"/>
              </w:rPr>
              <w:t>序号</w:t>
            </w:r>
          </w:p>
        </w:tc>
        <w:tc>
          <w:tcPr>
            <w:tcW w:w="2528" w:type="dxa"/>
            <w:vAlign w:val="top"/>
          </w:tcPr>
          <w:p w14:paraId="06ED9D86">
            <w:pPr>
              <w:pStyle w:val="6"/>
              <w:spacing w:before="180" w:line="228" w:lineRule="auto"/>
              <w:ind w:left="854"/>
              <w:rPr>
                <w:sz w:val="20"/>
                <w:szCs w:val="20"/>
              </w:rPr>
            </w:pPr>
            <w:r>
              <w:rPr>
                <w:spacing w:val="6"/>
                <w:sz w:val="20"/>
                <w:szCs w:val="20"/>
              </w:rPr>
              <w:t>受纳水体</w:t>
            </w:r>
          </w:p>
        </w:tc>
        <w:tc>
          <w:tcPr>
            <w:tcW w:w="1304" w:type="dxa"/>
            <w:vAlign w:val="top"/>
          </w:tcPr>
          <w:p w14:paraId="66314D83">
            <w:pPr>
              <w:pStyle w:val="6"/>
              <w:spacing w:before="47" w:line="226" w:lineRule="auto"/>
              <w:ind w:left="554" w:right="22" w:hanging="529"/>
              <w:rPr>
                <w:sz w:val="20"/>
                <w:szCs w:val="20"/>
              </w:rPr>
            </w:pPr>
            <w:r>
              <w:rPr>
                <w:spacing w:val="8"/>
                <w:sz w:val="20"/>
                <w:szCs w:val="20"/>
              </w:rPr>
              <w:t>距项目边界距</w:t>
            </w:r>
            <w:r>
              <w:rPr>
                <w:spacing w:val="1"/>
                <w:sz w:val="20"/>
                <w:szCs w:val="20"/>
              </w:rPr>
              <w:t xml:space="preserve"> </w:t>
            </w:r>
            <w:r>
              <w:rPr>
                <w:sz w:val="20"/>
                <w:szCs w:val="20"/>
              </w:rPr>
              <w:t>离</w:t>
            </w:r>
          </w:p>
        </w:tc>
        <w:tc>
          <w:tcPr>
            <w:tcW w:w="2315" w:type="dxa"/>
            <w:gridSpan w:val="2"/>
            <w:vAlign w:val="top"/>
          </w:tcPr>
          <w:p w14:paraId="32C1036C">
            <w:pPr>
              <w:pStyle w:val="6"/>
              <w:spacing w:before="180" w:line="228" w:lineRule="auto"/>
              <w:ind w:left="217"/>
              <w:rPr>
                <w:sz w:val="20"/>
                <w:szCs w:val="20"/>
              </w:rPr>
            </w:pPr>
            <w:r>
              <w:rPr>
                <w:spacing w:val="8"/>
                <w:sz w:val="20"/>
                <w:szCs w:val="20"/>
              </w:rPr>
              <w:t>排放点水域环境功能</w:t>
            </w:r>
          </w:p>
        </w:tc>
        <w:tc>
          <w:tcPr>
            <w:tcW w:w="1723" w:type="dxa"/>
            <w:tcBorders>
              <w:right w:val="nil"/>
            </w:tcBorders>
            <w:vAlign w:val="top"/>
          </w:tcPr>
          <w:p w14:paraId="307EE953">
            <w:pPr>
              <w:pStyle w:val="6"/>
              <w:spacing w:before="180" w:line="228" w:lineRule="auto"/>
              <w:ind w:left="157"/>
              <w:rPr>
                <w:sz w:val="20"/>
                <w:szCs w:val="20"/>
              </w:rPr>
            </w:pPr>
            <w:r>
              <w:rPr>
                <w:rFonts w:ascii="Times New Roman" w:hAnsi="Times New Roman" w:eastAsia="Times New Roman" w:cs="Times New Roman"/>
                <w:spacing w:val="3"/>
                <w:sz w:val="20"/>
                <w:szCs w:val="20"/>
              </w:rPr>
              <w:t>24h</w:t>
            </w:r>
            <w:r>
              <w:rPr>
                <w:rFonts w:ascii="Times New Roman" w:hAnsi="Times New Roman" w:eastAsia="Times New Roman" w:cs="Times New Roman"/>
                <w:spacing w:val="36"/>
                <w:w w:val="101"/>
                <w:sz w:val="20"/>
                <w:szCs w:val="20"/>
              </w:rPr>
              <w:t xml:space="preserve"> </w:t>
            </w:r>
            <w:r>
              <w:rPr>
                <w:spacing w:val="3"/>
                <w:sz w:val="20"/>
                <w:szCs w:val="20"/>
              </w:rPr>
              <w:t>内流经范围</w:t>
            </w:r>
          </w:p>
        </w:tc>
      </w:tr>
      <w:tr w14:paraId="0692A8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63" w:type="dxa"/>
            <w:vMerge w:val="continue"/>
            <w:tcBorders>
              <w:top w:val="nil"/>
              <w:left w:val="nil"/>
              <w:bottom w:val="nil"/>
            </w:tcBorders>
            <w:vAlign w:val="top"/>
          </w:tcPr>
          <w:p w14:paraId="4696E730">
            <w:pPr>
              <w:rPr>
                <w:rFonts w:ascii="Arial"/>
                <w:sz w:val="21"/>
              </w:rPr>
            </w:pPr>
          </w:p>
        </w:tc>
        <w:tc>
          <w:tcPr>
            <w:tcW w:w="8542" w:type="dxa"/>
            <w:gridSpan w:val="6"/>
            <w:tcBorders>
              <w:right w:val="nil"/>
            </w:tcBorders>
            <w:vAlign w:val="top"/>
          </w:tcPr>
          <w:p w14:paraId="1710D625">
            <w:pPr>
              <w:pStyle w:val="6"/>
              <w:spacing w:before="49" w:line="201" w:lineRule="auto"/>
              <w:ind w:left="3023"/>
              <w:rPr>
                <w:sz w:val="20"/>
                <w:szCs w:val="20"/>
              </w:rPr>
            </w:pPr>
            <w:r>
              <w:rPr>
                <w:spacing w:val="8"/>
                <w:sz w:val="20"/>
                <w:szCs w:val="20"/>
              </w:rPr>
              <w:t>项目评价区域没有地表水体</w:t>
            </w:r>
          </w:p>
        </w:tc>
      </w:tr>
      <w:tr w14:paraId="4BFC2B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63" w:type="dxa"/>
            <w:vMerge w:val="continue"/>
            <w:tcBorders>
              <w:top w:val="nil"/>
              <w:left w:val="nil"/>
            </w:tcBorders>
            <w:vAlign w:val="top"/>
          </w:tcPr>
          <w:p w14:paraId="3D7FE1B6">
            <w:pPr>
              <w:rPr>
                <w:rFonts w:ascii="Arial"/>
                <w:sz w:val="21"/>
              </w:rPr>
            </w:pPr>
          </w:p>
        </w:tc>
        <w:tc>
          <w:tcPr>
            <w:tcW w:w="6819" w:type="dxa"/>
            <w:gridSpan w:val="5"/>
            <w:vAlign w:val="top"/>
          </w:tcPr>
          <w:p w14:paraId="057C5E83">
            <w:pPr>
              <w:pStyle w:val="6"/>
              <w:spacing w:before="50" w:line="199" w:lineRule="auto"/>
              <w:ind w:left="2247"/>
              <w:rPr>
                <w:sz w:val="20"/>
                <w:szCs w:val="20"/>
              </w:rPr>
            </w:pPr>
            <w:r>
              <w:rPr>
                <w:spacing w:val="7"/>
                <w:sz w:val="20"/>
                <w:szCs w:val="20"/>
              </w:rPr>
              <w:t>地表水环境敏感程度</w:t>
            </w:r>
            <w:r>
              <w:rPr>
                <w:spacing w:val="-33"/>
                <w:sz w:val="20"/>
                <w:szCs w:val="20"/>
              </w:rPr>
              <w:t xml:space="preserve"> </w:t>
            </w:r>
            <w:r>
              <w:rPr>
                <w:rFonts w:ascii="Times New Roman" w:hAnsi="Times New Roman" w:eastAsia="Times New Roman" w:cs="Times New Roman"/>
                <w:spacing w:val="7"/>
                <w:sz w:val="20"/>
                <w:szCs w:val="20"/>
              </w:rPr>
              <w:t xml:space="preserve">E </w:t>
            </w:r>
            <w:r>
              <w:rPr>
                <w:spacing w:val="7"/>
                <w:sz w:val="20"/>
                <w:szCs w:val="20"/>
              </w:rPr>
              <w:t>值</w:t>
            </w:r>
          </w:p>
        </w:tc>
        <w:tc>
          <w:tcPr>
            <w:tcW w:w="1723" w:type="dxa"/>
            <w:tcBorders>
              <w:right w:val="nil"/>
            </w:tcBorders>
            <w:vAlign w:val="top"/>
          </w:tcPr>
          <w:p w14:paraId="00AB927A">
            <w:pPr>
              <w:spacing w:before="86" w:line="187" w:lineRule="auto"/>
              <w:ind w:left="7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E3</w:t>
            </w:r>
          </w:p>
        </w:tc>
      </w:tr>
      <w:tr w14:paraId="02C088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563" w:type="dxa"/>
            <w:vMerge w:val="restart"/>
            <w:tcBorders>
              <w:left w:val="nil"/>
              <w:bottom w:val="nil"/>
            </w:tcBorders>
            <w:vAlign w:val="top"/>
          </w:tcPr>
          <w:p w14:paraId="07475ACD">
            <w:pPr>
              <w:spacing w:line="266" w:lineRule="auto"/>
              <w:rPr>
                <w:rFonts w:ascii="Arial"/>
                <w:sz w:val="21"/>
              </w:rPr>
            </w:pPr>
          </w:p>
          <w:p w14:paraId="057BD557">
            <w:pPr>
              <w:pStyle w:val="6"/>
              <w:spacing w:before="65" w:line="239" w:lineRule="auto"/>
              <w:ind w:left="184" w:right="73" w:hanging="108"/>
              <w:rPr>
                <w:sz w:val="20"/>
                <w:szCs w:val="20"/>
              </w:rPr>
            </w:pPr>
            <w:r>
              <w:rPr>
                <w:spacing w:val="4"/>
                <w:sz w:val="20"/>
                <w:szCs w:val="20"/>
              </w:rPr>
              <w:t>地下</w:t>
            </w:r>
            <w:r>
              <w:rPr>
                <w:sz w:val="20"/>
                <w:szCs w:val="20"/>
              </w:rPr>
              <w:t xml:space="preserve"> 水</w:t>
            </w:r>
          </w:p>
        </w:tc>
        <w:tc>
          <w:tcPr>
            <w:tcW w:w="672" w:type="dxa"/>
            <w:vAlign w:val="top"/>
          </w:tcPr>
          <w:p w14:paraId="0E9DECEA">
            <w:pPr>
              <w:pStyle w:val="6"/>
              <w:spacing w:before="186" w:line="229" w:lineRule="auto"/>
              <w:ind w:left="129"/>
              <w:rPr>
                <w:sz w:val="20"/>
                <w:szCs w:val="20"/>
              </w:rPr>
            </w:pPr>
            <w:r>
              <w:rPr>
                <w:spacing w:val="5"/>
                <w:sz w:val="20"/>
                <w:szCs w:val="20"/>
              </w:rPr>
              <w:t>序号</w:t>
            </w:r>
          </w:p>
        </w:tc>
        <w:tc>
          <w:tcPr>
            <w:tcW w:w="2528" w:type="dxa"/>
            <w:vAlign w:val="top"/>
          </w:tcPr>
          <w:p w14:paraId="5E97DAEF">
            <w:pPr>
              <w:pStyle w:val="6"/>
              <w:spacing w:before="186" w:line="228" w:lineRule="auto"/>
              <w:ind w:left="533"/>
              <w:rPr>
                <w:sz w:val="20"/>
                <w:szCs w:val="20"/>
              </w:rPr>
            </w:pPr>
            <w:r>
              <w:rPr>
                <w:spacing w:val="8"/>
                <w:sz w:val="20"/>
                <w:szCs w:val="20"/>
              </w:rPr>
              <w:t>环境敏感区名称</w:t>
            </w:r>
          </w:p>
        </w:tc>
        <w:tc>
          <w:tcPr>
            <w:tcW w:w="1304" w:type="dxa"/>
            <w:vAlign w:val="top"/>
          </w:tcPr>
          <w:p w14:paraId="789FFBFC">
            <w:pPr>
              <w:pStyle w:val="6"/>
              <w:spacing w:before="186" w:line="228" w:lineRule="auto"/>
              <w:ind w:left="26"/>
              <w:rPr>
                <w:sz w:val="20"/>
                <w:szCs w:val="20"/>
              </w:rPr>
            </w:pPr>
            <w:r>
              <w:rPr>
                <w:spacing w:val="8"/>
                <w:sz w:val="20"/>
                <w:szCs w:val="20"/>
              </w:rPr>
              <w:t>环境敏感特征</w:t>
            </w:r>
          </w:p>
        </w:tc>
        <w:tc>
          <w:tcPr>
            <w:tcW w:w="1069" w:type="dxa"/>
            <w:vAlign w:val="top"/>
          </w:tcPr>
          <w:p w14:paraId="3CB53D06">
            <w:pPr>
              <w:pStyle w:val="6"/>
              <w:spacing w:before="186" w:line="228" w:lineRule="auto"/>
              <w:ind w:left="121"/>
              <w:rPr>
                <w:sz w:val="20"/>
                <w:szCs w:val="20"/>
              </w:rPr>
            </w:pPr>
            <w:r>
              <w:rPr>
                <w:spacing w:val="6"/>
                <w:sz w:val="20"/>
                <w:szCs w:val="20"/>
              </w:rPr>
              <w:t>水质目标</w:t>
            </w:r>
          </w:p>
        </w:tc>
        <w:tc>
          <w:tcPr>
            <w:tcW w:w="1246" w:type="dxa"/>
            <w:vAlign w:val="top"/>
          </w:tcPr>
          <w:p w14:paraId="402ABEE3">
            <w:pPr>
              <w:pStyle w:val="6"/>
              <w:spacing w:before="51" w:line="224" w:lineRule="auto"/>
              <w:ind w:left="420" w:right="96" w:hanging="316"/>
              <w:rPr>
                <w:sz w:val="20"/>
                <w:szCs w:val="20"/>
              </w:rPr>
            </w:pPr>
            <w:r>
              <w:rPr>
                <w:spacing w:val="8"/>
                <w:sz w:val="20"/>
                <w:szCs w:val="20"/>
              </w:rPr>
              <w:t>包气带防污</w:t>
            </w:r>
            <w:r>
              <w:rPr>
                <w:sz w:val="20"/>
                <w:szCs w:val="20"/>
              </w:rPr>
              <w:t xml:space="preserve"> </w:t>
            </w:r>
            <w:r>
              <w:rPr>
                <w:spacing w:val="3"/>
                <w:sz w:val="20"/>
                <w:szCs w:val="20"/>
              </w:rPr>
              <w:t>性能</w:t>
            </w:r>
          </w:p>
        </w:tc>
        <w:tc>
          <w:tcPr>
            <w:tcW w:w="1723" w:type="dxa"/>
            <w:tcBorders>
              <w:right w:val="nil"/>
            </w:tcBorders>
            <w:vAlign w:val="top"/>
          </w:tcPr>
          <w:p w14:paraId="2B953047">
            <w:pPr>
              <w:pStyle w:val="6"/>
              <w:spacing w:before="187" w:line="228" w:lineRule="auto"/>
              <w:ind w:left="28"/>
              <w:rPr>
                <w:rFonts w:ascii="Times New Roman" w:hAnsi="Times New Roman" w:eastAsia="Times New Roman" w:cs="Times New Roman"/>
                <w:sz w:val="20"/>
                <w:szCs w:val="20"/>
              </w:rPr>
            </w:pPr>
            <w:r>
              <w:rPr>
                <w:spacing w:val="7"/>
                <w:sz w:val="20"/>
                <w:szCs w:val="20"/>
              </w:rPr>
              <w:t>与下游厂界距离</w:t>
            </w:r>
            <w:r>
              <w:rPr>
                <w:rFonts w:ascii="Times New Roman" w:hAnsi="Times New Roman" w:eastAsia="Times New Roman" w:cs="Times New Roman"/>
                <w:spacing w:val="7"/>
                <w:sz w:val="20"/>
                <w:szCs w:val="20"/>
              </w:rPr>
              <w:t>/m</w:t>
            </w:r>
          </w:p>
        </w:tc>
      </w:tr>
      <w:tr w14:paraId="7666CB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563" w:type="dxa"/>
            <w:vMerge w:val="continue"/>
            <w:tcBorders>
              <w:top w:val="nil"/>
              <w:left w:val="nil"/>
              <w:bottom w:val="nil"/>
            </w:tcBorders>
            <w:vAlign w:val="top"/>
          </w:tcPr>
          <w:p w14:paraId="6CFC39DD">
            <w:pPr>
              <w:rPr>
                <w:rFonts w:ascii="Arial"/>
                <w:sz w:val="21"/>
              </w:rPr>
            </w:pPr>
          </w:p>
        </w:tc>
        <w:tc>
          <w:tcPr>
            <w:tcW w:w="8542" w:type="dxa"/>
            <w:gridSpan w:val="6"/>
            <w:tcBorders>
              <w:right w:val="nil"/>
            </w:tcBorders>
            <w:vAlign w:val="top"/>
          </w:tcPr>
          <w:p w14:paraId="160574E4">
            <w:pPr>
              <w:pStyle w:val="6"/>
              <w:spacing w:before="52" w:line="197" w:lineRule="auto"/>
              <w:ind w:left="2388"/>
              <w:rPr>
                <w:sz w:val="20"/>
                <w:szCs w:val="20"/>
              </w:rPr>
            </w:pPr>
            <w:r>
              <w:rPr>
                <w:spacing w:val="9"/>
                <w:sz w:val="20"/>
                <w:szCs w:val="20"/>
              </w:rPr>
              <w:t>评价范围内无集中式、分散式饮用水源地</w:t>
            </w:r>
          </w:p>
        </w:tc>
      </w:tr>
      <w:tr w14:paraId="69535D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9" w:hRule="atLeast"/>
        </w:trPr>
        <w:tc>
          <w:tcPr>
            <w:tcW w:w="563" w:type="dxa"/>
            <w:vMerge w:val="continue"/>
            <w:tcBorders>
              <w:top w:val="nil"/>
              <w:left w:val="nil"/>
              <w:bottom w:val="single" w:color="000000" w:sz="10" w:space="0"/>
            </w:tcBorders>
            <w:vAlign w:val="top"/>
          </w:tcPr>
          <w:p w14:paraId="5CD4D637">
            <w:pPr>
              <w:rPr>
                <w:rFonts w:ascii="Arial"/>
                <w:sz w:val="21"/>
              </w:rPr>
            </w:pPr>
          </w:p>
        </w:tc>
        <w:tc>
          <w:tcPr>
            <w:tcW w:w="6819" w:type="dxa"/>
            <w:gridSpan w:val="5"/>
            <w:tcBorders>
              <w:bottom w:val="single" w:color="000000" w:sz="10" w:space="0"/>
            </w:tcBorders>
            <w:vAlign w:val="top"/>
          </w:tcPr>
          <w:p w14:paraId="7CD892D0">
            <w:pPr>
              <w:pStyle w:val="6"/>
              <w:spacing w:before="54" w:line="216" w:lineRule="auto"/>
              <w:ind w:left="2247"/>
              <w:rPr>
                <w:sz w:val="20"/>
                <w:szCs w:val="20"/>
              </w:rPr>
            </w:pPr>
            <w:r>
              <w:rPr>
                <w:spacing w:val="7"/>
                <w:sz w:val="20"/>
                <w:szCs w:val="20"/>
              </w:rPr>
              <w:t>地下水环境敏感程度</w:t>
            </w:r>
            <w:r>
              <w:rPr>
                <w:spacing w:val="-33"/>
                <w:sz w:val="20"/>
                <w:szCs w:val="20"/>
              </w:rPr>
              <w:t xml:space="preserve"> </w:t>
            </w:r>
            <w:r>
              <w:rPr>
                <w:rFonts w:ascii="Times New Roman" w:hAnsi="Times New Roman" w:eastAsia="Times New Roman" w:cs="Times New Roman"/>
                <w:spacing w:val="7"/>
                <w:sz w:val="20"/>
                <w:szCs w:val="20"/>
              </w:rPr>
              <w:t xml:space="preserve">E </w:t>
            </w:r>
            <w:r>
              <w:rPr>
                <w:spacing w:val="7"/>
                <w:sz w:val="20"/>
                <w:szCs w:val="20"/>
              </w:rPr>
              <w:t>值</w:t>
            </w:r>
          </w:p>
        </w:tc>
        <w:tc>
          <w:tcPr>
            <w:tcW w:w="1723" w:type="dxa"/>
            <w:tcBorders>
              <w:bottom w:val="single" w:color="000000" w:sz="10" w:space="0"/>
              <w:right w:val="nil"/>
            </w:tcBorders>
            <w:vAlign w:val="top"/>
          </w:tcPr>
          <w:p w14:paraId="0F3C990B">
            <w:pPr>
              <w:spacing w:before="90" w:line="195" w:lineRule="auto"/>
              <w:ind w:left="7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E2</w:t>
            </w:r>
          </w:p>
        </w:tc>
      </w:tr>
    </w:tbl>
    <w:p w14:paraId="421A44EA">
      <w:pPr>
        <w:spacing w:before="290" w:line="221" w:lineRule="auto"/>
        <w:ind w:left="30"/>
        <w:outlineLvl w:val="1"/>
        <w:rPr>
          <w:rFonts w:ascii="黑体" w:hAnsi="黑体" w:eastAsia="黑体" w:cs="黑体"/>
          <w:sz w:val="30"/>
          <w:szCs w:val="30"/>
        </w:rPr>
      </w:pPr>
      <w:bookmarkStart w:id="395" w:name="bookmark258"/>
      <w:bookmarkEnd w:id="395"/>
      <w:r>
        <w:rPr>
          <w:rFonts w:ascii="Times New Roman" w:hAnsi="Times New Roman" w:eastAsia="Times New Roman" w:cs="Times New Roman"/>
          <w:spacing w:val="-1"/>
          <w:sz w:val="30"/>
          <w:szCs w:val="30"/>
        </w:rPr>
        <w:t xml:space="preserve">5.2 </w:t>
      </w:r>
      <w:r>
        <w:rPr>
          <w:rFonts w:ascii="黑体" w:hAnsi="黑体" w:eastAsia="黑体" w:cs="黑体"/>
          <w:spacing w:val="-1"/>
          <w:sz w:val="30"/>
          <w:szCs w:val="30"/>
        </w:rPr>
        <w:t>环境风险潜势判定及评价等级</w:t>
      </w:r>
    </w:p>
    <w:p w14:paraId="0C902F86">
      <w:pPr>
        <w:pStyle w:val="2"/>
        <w:spacing w:line="315" w:lineRule="auto"/>
      </w:pPr>
    </w:p>
    <w:p w14:paraId="35704866">
      <w:pPr>
        <w:spacing w:before="91" w:line="220" w:lineRule="auto"/>
        <w:ind w:left="25"/>
        <w:outlineLvl w:val="2"/>
        <w:rPr>
          <w:rFonts w:ascii="宋体" w:hAnsi="宋体" w:eastAsia="宋体" w:cs="宋体"/>
          <w:sz w:val="28"/>
          <w:szCs w:val="28"/>
        </w:rPr>
      </w:pPr>
      <w:bookmarkStart w:id="396" w:name="bookmark260"/>
      <w:bookmarkEnd w:id="396"/>
      <w:r>
        <w:rPr>
          <w:rFonts w:ascii="Times New Roman" w:hAnsi="Times New Roman" w:eastAsia="Times New Roman" w:cs="Times New Roman"/>
          <w:b/>
          <w:bCs/>
          <w:spacing w:val="-2"/>
          <w:sz w:val="28"/>
          <w:szCs w:val="28"/>
        </w:rPr>
        <w:t xml:space="preserve">5.2.1 </w:t>
      </w:r>
      <w:r>
        <w:rPr>
          <w:rFonts w:ascii="宋体" w:hAnsi="宋体" w:eastAsia="宋体" w:cs="宋体"/>
          <w:b/>
          <w:bCs/>
          <w:spacing w:val="-2"/>
          <w:sz w:val="28"/>
          <w:szCs w:val="28"/>
        </w:rPr>
        <w:t>环境风险潜势判定</w:t>
      </w:r>
    </w:p>
    <w:p w14:paraId="4B140D4C">
      <w:pPr>
        <w:spacing w:before="126" w:line="340" w:lineRule="auto"/>
        <w:ind w:left="24" w:right="18" w:firstLine="482"/>
        <w:rPr>
          <w:rFonts w:ascii="宋体" w:hAnsi="宋体" w:eastAsia="宋体" w:cs="宋体"/>
          <w:sz w:val="24"/>
          <w:szCs w:val="24"/>
        </w:rPr>
      </w:pPr>
      <w:r>
        <w:rPr>
          <w:rFonts w:ascii="宋体" w:hAnsi="宋体" w:eastAsia="宋体" w:cs="宋体"/>
          <w:sz w:val="24"/>
          <w:szCs w:val="24"/>
        </w:rPr>
        <w:t>按照《建设项目环境风险评价技术导则》</w:t>
      </w:r>
      <w:r>
        <w:fldChar w:fldCharType="begin"/>
      </w:r>
      <w:r>
        <w:instrText xml:space="preserve"> HYPERLINK "http://www.baidu.com/link?url=kGwLGJqjJ4zBBpC8yDF8xDhitT_bK9c8ZyoEbodONtmaME2wTnshrscjRWz8zmG_2UvVP-4idZZi1EkqQf_Q0mHdHTUYkZBTlRCnkSE6beK9" </w:instrText>
      </w:r>
      <w:r>
        <w:fldChar w:fldCharType="separate"/>
      </w:r>
      <w:r>
        <w:rPr>
          <w:rFonts w:ascii="宋体" w:hAnsi="宋体" w:eastAsia="宋体" w:cs="宋体"/>
          <w:sz w:val="24"/>
          <w:szCs w:val="24"/>
        </w:rPr>
        <w:t>（</w:t>
      </w:r>
      <w:r>
        <w:rPr>
          <w:rFonts w:ascii="Times New Roman" w:hAnsi="Times New Roman" w:eastAsia="Times New Roman" w:cs="Times New Roman"/>
          <w:sz w:val="24"/>
          <w:szCs w:val="24"/>
        </w:rPr>
        <w:t>HJ</w:t>
      </w:r>
      <w:r>
        <w:rPr>
          <w:rFonts w:ascii="Times New Roman" w:hAnsi="Times New Roman" w:eastAsia="Times New Roman" w:cs="Times New Roman"/>
          <w:spacing w:val="29"/>
          <w:sz w:val="24"/>
          <w:szCs w:val="24"/>
        </w:rPr>
        <w:t xml:space="preserve"> </w:t>
      </w:r>
      <w:r>
        <w:rPr>
          <w:rFonts w:ascii="Times New Roman" w:hAnsi="Times New Roman" w:eastAsia="Times New Roman" w:cs="Times New Roman"/>
          <w:sz w:val="24"/>
          <w:szCs w:val="24"/>
        </w:rPr>
        <w:t>169-</w:t>
      </w:r>
      <w:r>
        <w:rPr>
          <w:rFonts w:ascii="Times New Roman" w:hAnsi="Times New Roman" w:eastAsia="Times New Roman" w:cs="Times New Roman"/>
          <w:spacing w:val="-1"/>
          <w:sz w:val="24"/>
          <w:szCs w:val="24"/>
        </w:rPr>
        <w:t>2018</w:t>
      </w:r>
      <w:r>
        <w:rPr>
          <w:rFonts w:ascii="宋体" w:hAnsi="宋体" w:eastAsia="宋体" w:cs="宋体"/>
          <w:spacing w:val="-1"/>
          <w:sz w:val="24"/>
          <w:szCs w:val="24"/>
        </w:rPr>
        <w:t>）</w:t>
      </w:r>
      <w:r>
        <w:rPr>
          <w:rFonts w:ascii="宋体" w:hAnsi="宋体" w:eastAsia="宋体" w:cs="宋体"/>
          <w:spacing w:val="-1"/>
          <w:sz w:val="24"/>
          <w:szCs w:val="24"/>
        </w:rPr>
        <w:fldChar w:fldCharType="end"/>
      </w:r>
      <w:r>
        <w:rPr>
          <w:rFonts w:ascii="宋体" w:hAnsi="宋体" w:eastAsia="宋体" w:cs="宋体"/>
          <w:spacing w:val="-1"/>
          <w:sz w:val="20"/>
          <w:szCs w:val="20"/>
        </w:rPr>
        <w:t>规定，</w:t>
      </w:r>
      <w:r>
        <w:rPr>
          <w:rFonts w:ascii="宋体" w:hAnsi="宋体" w:eastAsia="宋体" w:cs="宋体"/>
          <w:spacing w:val="-1"/>
          <w:sz w:val="24"/>
          <w:szCs w:val="24"/>
        </w:rPr>
        <w:t>建设项目环境风险</w:t>
      </w:r>
      <w:r>
        <w:rPr>
          <w:rFonts w:ascii="宋体" w:hAnsi="宋体" w:eastAsia="宋体" w:cs="宋体"/>
          <w:sz w:val="24"/>
          <w:szCs w:val="24"/>
        </w:rPr>
        <w:t xml:space="preserve"> </w:t>
      </w:r>
      <w:r>
        <w:rPr>
          <w:rFonts w:ascii="宋体" w:hAnsi="宋体" w:eastAsia="宋体" w:cs="宋体"/>
          <w:spacing w:val="-5"/>
          <w:sz w:val="24"/>
          <w:szCs w:val="24"/>
        </w:rPr>
        <w:t>潜势划分为</w:t>
      </w:r>
      <w:r>
        <w:rPr>
          <w:rFonts w:ascii="宋体" w:hAnsi="宋体" w:eastAsia="宋体" w:cs="宋体"/>
          <w:spacing w:val="-43"/>
          <w:sz w:val="24"/>
          <w:szCs w:val="24"/>
        </w:rPr>
        <w:t xml:space="preserve"> </w:t>
      </w:r>
      <w:r>
        <w:rPr>
          <w:rFonts w:ascii="Times New Roman" w:hAnsi="Times New Roman" w:eastAsia="Times New Roman" w:cs="Times New Roman"/>
          <w:spacing w:val="-5"/>
          <w:sz w:val="24"/>
          <w:szCs w:val="24"/>
        </w:rPr>
        <w:t>I</w:t>
      </w:r>
      <w:r>
        <w:rPr>
          <w:rFonts w:ascii="Times New Roman" w:hAnsi="Times New Roman" w:eastAsia="Times New Roman" w:cs="Times New Roman"/>
          <w:spacing w:val="-35"/>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II</w:t>
      </w:r>
      <w:r>
        <w:rPr>
          <w:rFonts w:ascii="Times New Roman" w:hAnsi="Times New Roman" w:eastAsia="Times New Roman" w:cs="Times New Roman"/>
          <w:spacing w:val="-29"/>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III</w:t>
      </w:r>
      <w:r>
        <w:rPr>
          <w:rFonts w:ascii="Times New Roman" w:hAnsi="Times New Roman" w:eastAsia="Times New Roman" w:cs="Times New Roman"/>
          <w:spacing w:val="-30"/>
          <w:sz w:val="24"/>
          <w:szCs w:val="24"/>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IV/IV</w:t>
      </w:r>
      <w:r>
        <w:rPr>
          <w:rFonts w:ascii="Times New Roman" w:hAnsi="Times New Roman" w:eastAsia="Times New Roman" w:cs="Times New Roman"/>
          <w:spacing w:val="-5"/>
          <w:position w:val="7"/>
          <w:sz w:val="15"/>
          <w:szCs w:val="15"/>
        </w:rPr>
        <w:t>+</w:t>
      </w:r>
      <w:r>
        <w:rPr>
          <w:rFonts w:ascii="宋体" w:hAnsi="宋体" w:eastAsia="宋体" w:cs="宋体"/>
          <w:spacing w:val="-5"/>
          <w:sz w:val="24"/>
          <w:szCs w:val="24"/>
        </w:rPr>
        <w:t>级。</w:t>
      </w:r>
    </w:p>
    <w:p w14:paraId="787F1376">
      <w:pPr>
        <w:spacing w:before="192" w:line="219" w:lineRule="auto"/>
        <w:ind w:right="18"/>
        <w:jc w:val="right"/>
        <w:rPr>
          <w:rFonts w:ascii="宋体" w:hAnsi="宋体" w:eastAsia="宋体" w:cs="宋体"/>
          <w:sz w:val="24"/>
          <w:szCs w:val="24"/>
        </w:rPr>
      </w:pPr>
      <w:r>
        <w:rPr>
          <w:rFonts w:ascii="宋体" w:hAnsi="宋体" w:eastAsia="宋体" w:cs="宋体"/>
          <w:spacing w:val="-2"/>
          <w:sz w:val="24"/>
          <w:szCs w:val="24"/>
        </w:rPr>
        <w:t>根据建设项目涉及的物质和工艺系统的危险性及其所在地的环境敏感程度，结合事</w:t>
      </w:r>
    </w:p>
    <w:p w14:paraId="2E3E6B48">
      <w:pPr>
        <w:spacing w:line="219" w:lineRule="auto"/>
        <w:rPr>
          <w:rFonts w:ascii="宋体" w:hAnsi="宋体" w:eastAsia="宋体" w:cs="宋体"/>
          <w:sz w:val="24"/>
          <w:szCs w:val="24"/>
        </w:rPr>
        <w:sectPr>
          <w:headerReference r:id="rId382" w:type="default"/>
          <w:footerReference r:id="rId383" w:type="default"/>
          <w:pgSz w:w="11906" w:h="16839"/>
          <w:pgMar w:top="1191" w:right="1400" w:bottom="1221" w:left="1400" w:header="882" w:footer="1059" w:gutter="0"/>
          <w:cols w:space="720" w:num="1"/>
        </w:sectPr>
      </w:pPr>
    </w:p>
    <w:p w14:paraId="6C98B9C7">
      <w:pPr>
        <w:spacing w:line="28" w:lineRule="exact"/>
      </w:pPr>
      <w:r>
        <w:pict>
          <v:shape id="_x0000_s1874" o:spid="_x0000_s1874" style="height:1.45pt;width:453.65pt;" fillcolor="#000000" filled="t" stroked="f" coordsize="9072,29" path="m0,0l9072,0,9072,28,0,28,0,0xe">
            <v:path/>
            <v:fill on="t" focussize="0,0"/>
            <v:stroke on="f"/>
            <v:imagedata o:title=""/>
            <o:lock v:ext="edit"/>
            <w10:wrap type="none"/>
            <w10:anchorlock/>
          </v:shape>
        </w:pict>
      </w:r>
    </w:p>
    <w:p w14:paraId="3F3FFA1A">
      <w:pPr>
        <w:spacing w:before="316" w:line="354" w:lineRule="auto"/>
        <w:ind w:left="13" w:right="58" w:hanging="1"/>
        <w:rPr>
          <w:rFonts w:ascii="宋体" w:hAnsi="宋体" w:eastAsia="宋体" w:cs="宋体"/>
          <w:sz w:val="24"/>
          <w:szCs w:val="24"/>
        </w:rPr>
      </w:pPr>
      <w:r>
        <w:rPr>
          <w:rFonts w:ascii="宋体" w:hAnsi="宋体" w:eastAsia="宋体" w:cs="宋体"/>
          <w:spacing w:val="1"/>
          <w:sz w:val="24"/>
          <w:szCs w:val="24"/>
        </w:rPr>
        <w:t>故情形下环境影响途径，对建设项目潜在环境危害程</w:t>
      </w:r>
      <w:r>
        <w:rPr>
          <w:rFonts w:ascii="宋体" w:hAnsi="宋体" w:eastAsia="宋体" w:cs="宋体"/>
          <w:sz w:val="24"/>
          <w:szCs w:val="24"/>
        </w:rPr>
        <w:t>度进行概化分析，按照表</w:t>
      </w:r>
      <w:r>
        <w:rPr>
          <w:rFonts w:ascii="宋体" w:hAnsi="宋体" w:eastAsia="宋体" w:cs="宋体"/>
          <w:spacing w:val="-46"/>
          <w:sz w:val="24"/>
          <w:szCs w:val="24"/>
        </w:rPr>
        <w:t xml:space="preserve"> </w:t>
      </w:r>
      <w:r>
        <w:rPr>
          <w:rFonts w:ascii="Times New Roman" w:hAnsi="Times New Roman" w:eastAsia="Times New Roman" w:cs="Times New Roman"/>
          <w:sz w:val="24"/>
          <w:szCs w:val="24"/>
        </w:rPr>
        <w:t xml:space="preserve">5.2-1 </w:t>
      </w:r>
      <w:r>
        <w:rPr>
          <w:rFonts w:ascii="宋体" w:hAnsi="宋体" w:eastAsia="宋体" w:cs="宋体"/>
          <w:sz w:val="24"/>
          <w:szCs w:val="24"/>
        </w:rPr>
        <w:t xml:space="preserve">确 </w:t>
      </w:r>
      <w:r>
        <w:rPr>
          <w:rFonts w:ascii="宋体" w:hAnsi="宋体" w:eastAsia="宋体" w:cs="宋体"/>
          <w:spacing w:val="-2"/>
          <w:sz w:val="24"/>
          <w:szCs w:val="24"/>
        </w:rPr>
        <w:t>定环境风险潜势。</w:t>
      </w:r>
    </w:p>
    <w:p w14:paraId="175CDDF6">
      <w:pPr>
        <w:spacing w:before="51" w:line="228" w:lineRule="auto"/>
        <w:ind w:left="2927"/>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5"/>
          <w:sz w:val="20"/>
          <w:szCs w:val="20"/>
        </w:rPr>
        <w:t xml:space="preserve"> </w:t>
      </w:r>
      <w:r>
        <w:rPr>
          <w:rFonts w:ascii="Times New Roman" w:hAnsi="Times New Roman" w:eastAsia="Times New Roman" w:cs="Times New Roman"/>
          <w:b/>
          <w:bCs/>
          <w:spacing w:val="5"/>
          <w:sz w:val="20"/>
          <w:szCs w:val="20"/>
        </w:rPr>
        <w:t xml:space="preserve">5.2-1        </w:t>
      </w:r>
      <w:r>
        <w:rPr>
          <w:rFonts w:ascii="宋体" w:hAnsi="宋体" w:eastAsia="宋体" w:cs="宋体"/>
          <w:b/>
          <w:bCs/>
          <w:spacing w:val="5"/>
          <w:sz w:val="20"/>
          <w:szCs w:val="20"/>
        </w:rPr>
        <w:t>建设项目环境风险潜势划分</w:t>
      </w:r>
    </w:p>
    <w:p w14:paraId="40A03D03">
      <w:pPr>
        <w:spacing w:line="96" w:lineRule="exact"/>
      </w:pPr>
    </w:p>
    <w:tbl>
      <w:tblPr>
        <w:tblStyle w:val="5"/>
        <w:tblW w:w="907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82"/>
        <w:gridCol w:w="1442"/>
        <w:gridCol w:w="1812"/>
        <w:gridCol w:w="1814"/>
        <w:gridCol w:w="1820"/>
      </w:tblGrid>
      <w:tr w14:paraId="5B56E2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 w:hRule="atLeast"/>
        </w:trPr>
        <w:tc>
          <w:tcPr>
            <w:tcW w:w="2182" w:type="dxa"/>
            <w:vMerge w:val="restart"/>
            <w:tcBorders>
              <w:top w:val="single" w:color="000000" w:sz="10" w:space="0"/>
              <w:left w:val="nil"/>
              <w:bottom w:val="nil"/>
            </w:tcBorders>
            <w:vAlign w:val="top"/>
          </w:tcPr>
          <w:p w14:paraId="247551F7">
            <w:pPr>
              <w:pStyle w:val="6"/>
              <w:spacing w:before="175" w:line="228" w:lineRule="auto"/>
              <w:ind w:left="368"/>
              <w:rPr>
                <w:rFonts w:ascii="Times New Roman" w:hAnsi="Times New Roman" w:eastAsia="Times New Roman" w:cs="Times New Roman"/>
                <w:sz w:val="20"/>
                <w:szCs w:val="20"/>
              </w:rPr>
            </w:pPr>
            <w:r>
              <w:rPr>
                <w:b/>
                <w:bCs/>
                <w:spacing w:val="6"/>
                <w:sz w:val="20"/>
                <w:szCs w:val="20"/>
              </w:rPr>
              <w:t>环境敏感程度</w:t>
            </w:r>
            <w:r>
              <w:rPr>
                <w:spacing w:val="-41"/>
                <w:sz w:val="20"/>
                <w:szCs w:val="20"/>
              </w:rPr>
              <w:t xml:space="preserve"> </w:t>
            </w:r>
            <w:r>
              <w:rPr>
                <w:rFonts w:ascii="Times New Roman" w:hAnsi="Times New Roman" w:eastAsia="Times New Roman" w:cs="Times New Roman"/>
                <w:b/>
                <w:bCs/>
                <w:spacing w:val="6"/>
                <w:sz w:val="20"/>
                <w:szCs w:val="20"/>
              </w:rPr>
              <w:t>E</w:t>
            </w:r>
          </w:p>
        </w:tc>
        <w:tc>
          <w:tcPr>
            <w:tcW w:w="6888" w:type="dxa"/>
            <w:gridSpan w:val="4"/>
            <w:tcBorders>
              <w:top w:val="single" w:color="000000" w:sz="10" w:space="0"/>
              <w:right w:val="nil"/>
            </w:tcBorders>
            <w:vAlign w:val="top"/>
          </w:tcPr>
          <w:p w14:paraId="6030B626">
            <w:pPr>
              <w:pStyle w:val="6"/>
              <w:spacing w:before="34" w:line="217" w:lineRule="auto"/>
              <w:ind w:left="2098"/>
              <w:rPr>
                <w:rFonts w:ascii="Times New Roman" w:hAnsi="Times New Roman" w:eastAsia="Times New Roman" w:cs="Times New Roman"/>
                <w:sz w:val="20"/>
                <w:szCs w:val="20"/>
              </w:rPr>
            </w:pPr>
            <w:r>
              <w:rPr>
                <w:b/>
                <w:bCs/>
                <w:spacing w:val="7"/>
                <w:sz w:val="20"/>
                <w:szCs w:val="20"/>
              </w:rPr>
              <w:t>危险物质及工艺系统危险性</w:t>
            </w:r>
            <w:r>
              <w:rPr>
                <w:spacing w:val="-40"/>
                <w:sz w:val="20"/>
                <w:szCs w:val="20"/>
              </w:rPr>
              <w:t xml:space="preserve"> </w:t>
            </w:r>
            <w:r>
              <w:rPr>
                <w:rFonts w:ascii="Times New Roman" w:hAnsi="Times New Roman" w:eastAsia="Times New Roman" w:cs="Times New Roman"/>
                <w:b/>
                <w:bCs/>
                <w:spacing w:val="7"/>
                <w:sz w:val="20"/>
                <w:szCs w:val="20"/>
              </w:rPr>
              <w:t>P</w:t>
            </w:r>
          </w:p>
        </w:tc>
      </w:tr>
      <w:tr w14:paraId="7EC05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2182" w:type="dxa"/>
            <w:vMerge w:val="continue"/>
            <w:tcBorders>
              <w:top w:val="nil"/>
              <w:left w:val="nil"/>
            </w:tcBorders>
            <w:vAlign w:val="top"/>
          </w:tcPr>
          <w:p w14:paraId="5CC7B5DF">
            <w:pPr>
              <w:rPr>
                <w:rFonts w:ascii="Arial"/>
                <w:sz w:val="21"/>
              </w:rPr>
            </w:pPr>
          </w:p>
        </w:tc>
        <w:tc>
          <w:tcPr>
            <w:tcW w:w="1442" w:type="dxa"/>
            <w:vAlign w:val="top"/>
          </w:tcPr>
          <w:p w14:paraId="58998FAE">
            <w:pPr>
              <w:pStyle w:val="6"/>
              <w:spacing w:before="33" w:line="215" w:lineRule="auto"/>
              <w:ind w:left="164"/>
              <w:rPr>
                <w:rFonts w:ascii="Times New Roman" w:hAnsi="Times New Roman" w:eastAsia="Times New Roman" w:cs="Times New Roman"/>
                <w:sz w:val="20"/>
                <w:szCs w:val="20"/>
              </w:rPr>
            </w:pPr>
            <w:r>
              <w:rPr>
                <w:b/>
                <w:bCs/>
                <w:spacing w:val="4"/>
                <w:sz w:val="20"/>
                <w:szCs w:val="20"/>
              </w:rPr>
              <w:t>极度危害</w:t>
            </w:r>
            <w:r>
              <w:rPr>
                <w:spacing w:val="-40"/>
                <w:sz w:val="20"/>
                <w:szCs w:val="20"/>
              </w:rPr>
              <w:t xml:space="preserve"> </w:t>
            </w:r>
            <w:r>
              <w:rPr>
                <w:rFonts w:ascii="Times New Roman" w:hAnsi="Times New Roman" w:eastAsia="Times New Roman" w:cs="Times New Roman"/>
                <w:b/>
                <w:bCs/>
                <w:spacing w:val="4"/>
                <w:sz w:val="20"/>
                <w:szCs w:val="20"/>
              </w:rPr>
              <w:t>P1</w:t>
            </w:r>
          </w:p>
        </w:tc>
        <w:tc>
          <w:tcPr>
            <w:tcW w:w="1812" w:type="dxa"/>
            <w:vAlign w:val="top"/>
          </w:tcPr>
          <w:p w14:paraId="64369572">
            <w:pPr>
              <w:pStyle w:val="6"/>
              <w:spacing w:before="33" w:line="215" w:lineRule="auto"/>
              <w:ind w:left="352"/>
              <w:rPr>
                <w:rFonts w:ascii="Times New Roman" w:hAnsi="Times New Roman" w:eastAsia="Times New Roman" w:cs="Times New Roman"/>
                <w:sz w:val="20"/>
                <w:szCs w:val="20"/>
              </w:rPr>
            </w:pPr>
            <w:r>
              <w:rPr>
                <w:b/>
                <w:bCs/>
                <w:spacing w:val="4"/>
                <w:sz w:val="20"/>
                <w:szCs w:val="20"/>
              </w:rPr>
              <w:t>高度危害</w:t>
            </w:r>
            <w:r>
              <w:rPr>
                <w:spacing w:val="-43"/>
                <w:sz w:val="20"/>
                <w:szCs w:val="20"/>
              </w:rPr>
              <w:t xml:space="preserve"> </w:t>
            </w:r>
            <w:r>
              <w:rPr>
                <w:rFonts w:ascii="Times New Roman" w:hAnsi="Times New Roman" w:eastAsia="Times New Roman" w:cs="Times New Roman"/>
                <w:b/>
                <w:bCs/>
                <w:spacing w:val="4"/>
                <w:sz w:val="20"/>
                <w:szCs w:val="20"/>
              </w:rPr>
              <w:t>P2</w:t>
            </w:r>
          </w:p>
        </w:tc>
        <w:tc>
          <w:tcPr>
            <w:tcW w:w="1814" w:type="dxa"/>
            <w:vAlign w:val="top"/>
          </w:tcPr>
          <w:p w14:paraId="30747101">
            <w:pPr>
              <w:pStyle w:val="6"/>
              <w:spacing w:before="33" w:line="215" w:lineRule="auto"/>
              <w:ind w:left="366"/>
              <w:rPr>
                <w:rFonts w:ascii="Times New Roman" w:hAnsi="Times New Roman" w:eastAsia="Times New Roman" w:cs="Times New Roman"/>
                <w:sz w:val="20"/>
                <w:szCs w:val="20"/>
              </w:rPr>
            </w:pPr>
            <w:r>
              <w:rPr>
                <w:b/>
                <w:bCs/>
                <w:spacing w:val="1"/>
                <w:sz w:val="20"/>
                <w:szCs w:val="20"/>
              </w:rPr>
              <w:t>中度危害</w:t>
            </w:r>
            <w:r>
              <w:rPr>
                <w:spacing w:val="-39"/>
                <w:sz w:val="20"/>
                <w:szCs w:val="20"/>
              </w:rPr>
              <w:t xml:space="preserve"> </w:t>
            </w:r>
            <w:r>
              <w:rPr>
                <w:rFonts w:ascii="Times New Roman" w:hAnsi="Times New Roman" w:eastAsia="Times New Roman" w:cs="Times New Roman"/>
                <w:b/>
                <w:bCs/>
                <w:spacing w:val="1"/>
                <w:sz w:val="20"/>
                <w:szCs w:val="20"/>
              </w:rPr>
              <w:t>P3</w:t>
            </w:r>
          </w:p>
        </w:tc>
        <w:tc>
          <w:tcPr>
            <w:tcW w:w="1820" w:type="dxa"/>
            <w:tcBorders>
              <w:right w:val="nil"/>
            </w:tcBorders>
            <w:vAlign w:val="top"/>
          </w:tcPr>
          <w:p w14:paraId="3DF06F17">
            <w:pPr>
              <w:pStyle w:val="6"/>
              <w:spacing w:before="33" w:line="215" w:lineRule="auto"/>
              <w:ind w:left="353"/>
              <w:rPr>
                <w:rFonts w:ascii="Times New Roman" w:hAnsi="Times New Roman" w:eastAsia="Times New Roman" w:cs="Times New Roman"/>
                <w:sz w:val="20"/>
                <w:szCs w:val="20"/>
              </w:rPr>
            </w:pPr>
            <w:r>
              <w:rPr>
                <w:b/>
                <w:bCs/>
                <w:spacing w:val="5"/>
                <w:sz w:val="20"/>
                <w:szCs w:val="20"/>
              </w:rPr>
              <w:t>低度危害</w:t>
            </w:r>
            <w:r>
              <w:rPr>
                <w:spacing w:val="-42"/>
                <w:sz w:val="20"/>
                <w:szCs w:val="20"/>
              </w:rPr>
              <w:t xml:space="preserve"> </w:t>
            </w:r>
            <w:r>
              <w:rPr>
                <w:rFonts w:ascii="Times New Roman" w:hAnsi="Times New Roman" w:eastAsia="Times New Roman" w:cs="Times New Roman"/>
                <w:b/>
                <w:bCs/>
                <w:spacing w:val="5"/>
                <w:sz w:val="20"/>
                <w:szCs w:val="20"/>
              </w:rPr>
              <w:t>P4</w:t>
            </w:r>
          </w:p>
        </w:tc>
      </w:tr>
      <w:tr w14:paraId="0A3D05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2182" w:type="dxa"/>
            <w:tcBorders>
              <w:left w:val="nil"/>
            </w:tcBorders>
            <w:vAlign w:val="top"/>
          </w:tcPr>
          <w:p w14:paraId="406F03AB">
            <w:pPr>
              <w:pStyle w:val="6"/>
              <w:spacing w:before="35" w:line="214" w:lineRule="auto"/>
              <w:ind w:left="217"/>
              <w:rPr>
                <w:rFonts w:ascii="Times New Roman" w:hAnsi="Times New Roman" w:eastAsia="Times New Roman" w:cs="Times New Roman"/>
                <w:sz w:val="20"/>
                <w:szCs w:val="20"/>
              </w:rPr>
            </w:pPr>
            <w:r>
              <w:rPr>
                <w:spacing w:val="7"/>
                <w:sz w:val="20"/>
                <w:szCs w:val="20"/>
              </w:rPr>
              <w:t>环境高度敏感区</w:t>
            </w:r>
            <w:r>
              <w:rPr>
                <w:spacing w:val="-42"/>
                <w:sz w:val="20"/>
                <w:szCs w:val="20"/>
              </w:rPr>
              <w:t xml:space="preserve"> </w:t>
            </w:r>
            <w:r>
              <w:rPr>
                <w:rFonts w:ascii="Times New Roman" w:hAnsi="Times New Roman" w:eastAsia="Times New Roman" w:cs="Times New Roman"/>
                <w:spacing w:val="7"/>
                <w:sz w:val="20"/>
                <w:szCs w:val="20"/>
              </w:rPr>
              <w:t>E1</w:t>
            </w:r>
          </w:p>
        </w:tc>
        <w:tc>
          <w:tcPr>
            <w:tcW w:w="1442" w:type="dxa"/>
            <w:vAlign w:val="top"/>
          </w:tcPr>
          <w:p w14:paraId="3FC2163E">
            <w:pPr>
              <w:spacing w:before="62" w:line="204" w:lineRule="auto"/>
              <w:ind w:left="573"/>
              <w:rPr>
                <w:rFonts w:ascii="Times New Roman" w:hAnsi="Times New Roman" w:eastAsia="Times New Roman" w:cs="Times New Roman"/>
                <w:sz w:val="13"/>
                <w:szCs w:val="13"/>
              </w:rPr>
            </w:pPr>
            <w:r>
              <w:rPr>
                <w:rFonts w:ascii="Times New Roman" w:hAnsi="Times New Roman" w:eastAsia="Times New Roman" w:cs="Times New Roman"/>
                <w:sz w:val="20"/>
                <w:szCs w:val="20"/>
              </w:rPr>
              <w:t>IV</w:t>
            </w:r>
            <w:r>
              <w:rPr>
                <w:rFonts w:ascii="Times New Roman" w:hAnsi="Times New Roman" w:eastAsia="Times New Roman" w:cs="Times New Roman"/>
                <w:spacing w:val="8"/>
                <w:position w:val="6"/>
                <w:sz w:val="13"/>
                <w:szCs w:val="13"/>
              </w:rPr>
              <w:t>+</w:t>
            </w:r>
          </w:p>
        </w:tc>
        <w:tc>
          <w:tcPr>
            <w:tcW w:w="1812" w:type="dxa"/>
            <w:vAlign w:val="top"/>
          </w:tcPr>
          <w:p w14:paraId="12203F0C">
            <w:pPr>
              <w:spacing w:before="73" w:line="192" w:lineRule="auto"/>
              <w:ind w:left="79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IV</w:t>
            </w:r>
          </w:p>
        </w:tc>
        <w:tc>
          <w:tcPr>
            <w:tcW w:w="1814" w:type="dxa"/>
            <w:vAlign w:val="top"/>
          </w:tcPr>
          <w:p w14:paraId="4EE21634">
            <w:pPr>
              <w:spacing w:before="73" w:line="192" w:lineRule="auto"/>
              <w:ind w:left="80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III</w:t>
            </w:r>
          </w:p>
        </w:tc>
        <w:tc>
          <w:tcPr>
            <w:tcW w:w="1820" w:type="dxa"/>
            <w:tcBorders>
              <w:right w:val="nil"/>
            </w:tcBorders>
            <w:vAlign w:val="top"/>
          </w:tcPr>
          <w:p w14:paraId="0358FA08">
            <w:pPr>
              <w:spacing w:before="73" w:line="192" w:lineRule="auto"/>
              <w:ind w:left="80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III</w:t>
            </w:r>
          </w:p>
        </w:tc>
      </w:tr>
      <w:tr w14:paraId="69F501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2182" w:type="dxa"/>
            <w:tcBorders>
              <w:left w:val="nil"/>
            </w:tcBorders>
            <w:vAlign w:val="top"/>
          </w:tcPr>
          <w:p w14:paraId="2D6EA3C2">
            <w:pPr>
              <w:pStyle w:val="6"/>
              <w:spacing w:before="34" w:line="214" w:lineRule="auto"/>
              <w:ind w:left="217"/>
              <w:rPr>
                <w:rFonts w:ascii="Times New Roman" w:hAnsi="Times New Roman" w:eastAsia="Times New Roman" w:cs="Times New Roman"/>
                <w:sz w:val="20"/>
                <w:szCs w:val="20"/>
              </w:rPr>
            </w:pPr>
            <w:r>
              <w:rPr>
                <w:spacing w:val="7"/>
                <w:sz w:val="20"/>
                <w:szCs w:val="20"/>
              </w:rPr>
              <w:t>环境中度敏感区</w:t>
            </w:r>
            <w:r>
              <w:rPr>
                <w:spacing w:val="-42"/>
                <w:sz w:val="20"/>
                <w:szCs w:val="20"/>
              </w:rPr>
              <w:t xml:space="preserve"> </w:t>
            </w:r>
            <w:r>
              <w:rPr>
                <w:rFonts w:ascii="Times New Roman" w:hAnsi="Times New Roman" w:eastAsia="Times New Roman" w:cs="Times New Roman"/>
                <w:spacing w:val="7"/>
                <w:sz w:val="20"/>
                <w:szCs w:val="20"/>
              </w:rPr>
              <w:t>E2</w:t>
            </w:r>
          </w:p>
        </w:tc>
        <w:tc>
          <w:tcPr>
            <w:tcW w:w="1442" w:type="dxa"/>
            <w:vAlign w:val="top"/>
          </w:tcPr>
          <w:p w14:paraId="09CB899F">
            <w:pPr>
              <w:spacing w:before="72" w:line="192" w:lineRule="auto"/>
              <w:ind w:left="61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IV</w:t>
            </w:r>
          </w:p>
        </w:tc>
        <w:tc>
          <w:tcPr>
            <w:tcW w:w="1812" w:type="dxa"/>
            <w:vAlign w:val="top"/>
          </w:tcPr>
          <w:p w14:paraId="32440867">
            <w:pPr>
              <w:spacing w:before="72" w:line="192" w:lineRule="auto"/>
              <w:ind w:left="804"/>
              <w:rPr>
                <w:rFonts w:ascii="Times New Roman" w:hAnsi="Times New Roman" w:eastAsia="Times New Roman" w:cs="Times New Roman"/>
                <w:sz w:val="20"/>
                <w:szCs w:val="20"/>
              </w:rPr>
            </w:pPr>
            <w:r>
              <w:rPr>
                <w:rFonts w:ascii="Times New Roman" w:hAnsi="Times New Roman" w:eastAsia="Times New Roman" w:cs="Times New Roman"/>
                <w:sz w:val="20"/>
                <w:szCs w:val="20"/>
              </w:rPr>
              <w:t>III</w:t>
            </w:r>
          </w:p>
        </w:tc>
        <w:tc>
          <w:tcPr>
            <w:tcW w:w="1814" w:type="dxa"/>
            <w:vAlign w:val="top"/>
          </w:tcPr>
          <w:p w14:paraId="1774FB1B">
            <w:pPr>
              <w:spacing w:before="72" w:line="192" w:lineRule="auto"/>
              <w:ind w:left="80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III</w:t>
            </w:r>
          </w:p>
        </w:tc>
        <w:tc>
          <w:tcPr>
            <w:tcW w:w="1820" w:type="dxa"/>
            <w:tcBorders>
              <w:right w:val="nil"/>
            </w:tcBorders>
            <w:vAlign w:val="top"/>
          </w:tcPr>
          <w:p w14:paraId="03BBF184">
            <w:pPr>
              <w:spacing w:before="72" w:line="192" w:lineRule="auto"/>
              <w:ind w:left="843"/>
              <w:rPr>
                <w:rFonts w:ascii="Times New Roman" w:hAnsi="Times New Roman" w:eastAsia="Times New Roman" w:cs="Times New Roman"/>
                <w:sz w:val="20"/>
                <w:szCs w:val="20"/>
              </w:rPr>
            </w:pPr>
            <w:r>
              <w:rPr>
                <w:rFonts w:ascii="Times New Roman" w:hAnsi="Times New Roman" w:eastAsia="Times New Roman" w:cs="Times New Roman"/>
                <w:sz w:val="20"/>
                <w:szCs w:val="20"/>
              </w:rPr>
              <w:t>II</w:t>
            </w:r>
          </w:p>
        </w:tc>
      </w:tr>
      <w:tr w14:paraId="20CCEC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trPr>
        <w:tc>
          <w:tcPr>
            <w:tcW w:w="2182" w:type="dxa"/>
            <w:tcBorders>
              <w:left w:val="nil"/>
            </w:tcBorders>
            <w:vAlign w:val="top"/>
          </w:tcPr>
          <w:p w14:paraId="240E342F">
            <w:pPr>
              <w:pStyle w:val="6"/>
              <w:spacing w:before="35" w:line="217" w:lineRule="auto"/>
              <w:ind w:left="217"/>
              <w:rPr>
                <w:rFonts w:ascii="Times New Roman" w:hAnsi="Times New Roman" w:eastAsia="Times New Roman" w:cs="Times New Roman"/>
                <w:sz w:val="20"/>
                <w:szCs w:val="20"/>
              </w:rPr>
            </w:pPr>
            <w:r>
              <w:rPr>
                <w:spacing w:val="7"/>
                <w:sz w:val="20"/>
                <w:szCs w:val="20"/>
              </w:rPr>
              <w:t>环境低度敏感区</w:t>
            </w:r>
            <w:r>
              <w:rPr>
                <w:spacing w:val="-42"/>
                <w:sz w:val="20"/>
                <w:szCs w:val="20"/>
              </w:rPr>
              <w:t xml:space="preserve"> </w:t>
            </w:r>
            <w:r>
              <w:rPr>
                <w:rFonts w:ascii="Times New Roman" w:hAnsi="Times New Roman" w:eastAsia="Times New Roman" w:cs="Times New Roman"/>
                <w:spacing w:val="7"/>
                <w:sz w:val="20"/>
                <w:szCs w:val="20"/>
              </w:rPr>
              <w:t>E3</w:t>
            </w:r>
          </w:p>
        </w:tc>
        <w:tc>
          <w:tcPr>
            <w:tcW w:w="1442" w:type="dxa"/>
            <w:vAlign w:val="top"/>
          </w:tcPr>
          <w:p w14:paraId="7B57C971">
            <w:pPr>
              <w:spacing w:before="74" w:line="192" w:lineRule="auto"/>
              <w:ind w:left="619"/>
              <w:rPr>
                <w:rFonts w:ascii="Times New Roman" w:hAnsi="Times New Roman" w:eastAsia="Times New Roman" w:cs="Times New Roman"/>
                <w:sz w:val="20"/>
                <w:szCs w:val="20"/>
              </w:rPr>
            </w:pPr>
            <w:r>
              <w:rPr>
                <w:rFonts w:ascii="Times New Roman" w:hAnsi="Times New Roman" w:eastAsia="Times New Roman" w:cs="Times New Roman"/>
                <w:sz w:val="20"/>
                <w:szCs w:val="20"/>
              </w:rPr>
              <w:t>III</w:t>
            </w:r>
          </w:p>
        </w:tc>
        <w:tc>
          <w:tcPr>
            <w:tcW w:w="1812" w:type="dxa"/>
            <w:vAlign w:val="top"/>
          </w:tcPr>
          <w:p w14:paraId="636A1C7A">
            <w:pPr>
              <w:spacing w:before="74" w:line="192" w:lineRule="auto"/>
              <w:ind w:left="804"/>
              <w:rPr>
                <w:rFonts w:ascii="Times New Roman" w:hAnsi="Times New Roman" w:eastAsia="Times New Roman" w:cs="Times New Roman"/>
                <w:sz w:val="20"/>
                <w:szCs w:val="20"/>
              </w:rPr>
            </w:pPr>
            <w:r>
              <w:rPr>
                <w:rFonts w:ascii="Times New Roman" w:hAnsi="Times New Roman" w:eastAsia="Times New Roman" w:cs="Times New Roman"/>
                <w:sz w:val="20"/>
                <w:szCs w:val="20"/>
              </w:rPr>
              <w:t>III</w:t>
            </w:r>
          </w:p>
        </w:tc>
        <w:tc>
          <w:tcPr>
            <w:tcW w:w="1814" w:type="dxa"/>
            <w:vAlign w:val="top"/>
          </w:tcPr>
          <w:p w14:paraId="33879E51">
            <w:pPr>
              <w:spacing w:before="74" w:line="192" w:lineRule="auto"/>
              <w:ind w:left="84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II</w:t>
            </w:r>
          </w:p>
        </w:tc>
        <w:tc>
          <w:tcPr>
            <w:tcW w:w="1820" w:type="dxa"/>
            <w:tcBorders>
              <w:right w:val="nil"/>
            </w:tcBorders>
            <w:vAlign w:val="top"/>
          </w:tcPr>
          <w:p w14:paraId="2D323F56">
            <w:pPr>
              <w:spacing w:before="74" w:line="192" w:lineRule="auto"/>
              <w:ind w:left="879"/>
              <w:rPr>
                <w:rFonts w:ascii="Times New Roman" w:hAnsi="Times New Roman" w:eastAsia="Times New Roman" w:cs="Times New Roman"/>
                <w:sz w:val="20"/>
                <w:szCs w:val="20"/>
              </w:rPr>
            </w:pPr>
            <w:r>
              <w:rPr>
                <w:rFonts w:ascii="Times New Roman" w:hAnsi="Times New Roman" w:eastAsia="Times New Roman" w:cs="Times New Roman"/>
                <w:sz w:val="20"/>
                <w:szCs w:val="20"/>
              </w:rPr>
              <w:t>I</w:t>
            </w:r>
          </w:p>
        </w:tc>
      </w:tr>
    </w:tbl>
    <w:p w14:paraId="3C45C95B">
      <w:pPr>
        <w:spacing w:before="33" w:line="222" w:lineRule="auto"/>
        <w:ind w:left="9"/>
        <w:rPr>
          <w:rFonts w:ascii="宋体" w:hAnsi="宋体" w:eastAsia="宋体" w:cs="宋体"/>
          <w:sz w:val="20"/>
          <w:szCs w:val="20"/>
        </w:rPr>
      </w:pPr>
      <w:r>
        <w:rPr>
          <w:rFonts w:ascii="宋体" w:hAnsi="宋体" w:eastAsia="宋体" w:cs="宋体"/>
          <w:spacing w:val="9"/>
          <w:sz w:val="20"/>
          <w:szCs w:val="20"/>
        </w:rPr>
        <w:t>注：</w:t>
      </w:r>
      <w:r>
        <w:rPr>
          <w:rFonts w:ascii="Times New Roman" w:hAnsi="Times New Roman" w:eastAsia="Times New Roman" w:cs="Times New Roman"/>
          <w:sz w:val="20"/>
          <w:szCs w:val="20"/>
        </w:rPr>
        <w:t>IV</w:t>
      </w:r>
      <w:r>
        <w:rPr>
          <w:rFonts w:ascii="Times New Roman" w:hAnsi="Times New Roman" w:eastAsia="Times New Roman" w:cs="Times New Roman"/>
          <w:spacing w:val="9"/>
          <w:position w:val="6"/>
          <w:sz w:val="13"/>
          <w:szCs w:val="13"/>
        </w:rPr>
        <w:t>+</w:t>
      </w:r>
      <w:r>
        <w:rPr>
          <w:rFonts w:ascii="宋体" w:hAnsi="宋体" w:eastAsia="宋体" w:cs="宋体"/>
          <w:spacing w:val="9"/>
          <w:sz w:val="20"/>
          <w:szCs w:val="20"/>
        </w:rPr>
        <w:t>为极高环境风险</w:t>
      </w:r>
    </w:p>
    <w:p w14:paraId="5ABE8F83">
      <w:pPr>
        <w:spacing w:line="29" w:lineRule="exact"/>
      </w:pPr>
      <w:r>
        <w:pict>
          <v:shape id="_x0000_s1876" o:spid="_x0000_s1876" style="height:1.45pt;width:453.55pt;" filled="f" stroked="t" coordsize="9070,29" path="m0,14l9070,14e">
            <v:fill on="f" focussize="0,0"/>
            <v:stroke weight="1.44pt" color="#000000" miterlimit="2" joinstyle="bevel"/>
            <v:imagedata o:title=""/>
            <o:lock v:ext="edit"/>
            <w10:wrap type="none"/>
            <w10:anchorlock/>
          </v:shape>
        </w:pict>
      </w:r>
    </w:p>
    <w:p w14:paraId="2DC2B19D">
      <w:pPr>
        <w:spacing w:before="119" w:line="220" w:lineRule="auto"/>
        <w:ind w:left="499"/>
        <w:rPr>
          <w:rFonts w:ascii="宋体" w:hAnsi="宋体" w:eastAsia="宋体" w:cs="宋体"/>
          <w:sz w:val="24"/>
          <w:szCs w:val="24"/>
        </w:rPr>
      </w:pPr>
      <w:r>
        <w:rPr>
          <w:rFonts w:ascii="宋体" w:hAnsi="宋体" w:eastAsia="宋体" w:cs="宋体"/>
          <w:spacing w:val="-6"/>
          <w:sz w:val="24"/>
          <w:szCs w:val="24"/>
        </w:rPr>
        <w:t>（</w:t>
      </w:r>
      <w:r>
        <w:rPr>
          <w:rFonts w:ascii="Times New Roman" w:hAnsi="Times New Roman" w:eastAsia="Times New Roman" w:cs="Times New Roman"/>
          <w:spacing w:val="-6"/>
          <w:sz w:val="24"/>
          <w:szCs w:val="24"/>
        </w:rPr>
        <w:t>1</w:t>
      </w:r>
      <w:r>
        <w:rPr>
          <w:rFonts w:ascii="宋体" w:hAnsi="宋体" w:eastAsia="宋体" w:cs="宋体"/>
          <w:spacing w:val="-6"/>
          <w:sz w:val="24"/>
          <w:szCs w:val="24"/>
        </w:rPr>
        <w:t>）</w:t>
      </w:r>
      <w:r>
        <w:rPr>
          <w:rFonts w:ascii="Times New Roman" w:hAnsi="Times New Roman" w:eastAsia="Times New Roman" w:cs="Times New Roman"/>
          <w:spacing w:val="-6"/>
          <w:sz w:val="24"/>
          <w:szCs w:val="24"/>
        </w:rPr>
        <w:t>P</w:t>
      </w:r>
      <w:r>
        <w:rPr>
          <w:rFonts w:ascii="Times New Roman" w:hAnsi="Times New Roman" w:eastAsia="Times New Roman" w:cs="Times New Roman"/>
          <w:spacing w:val="33"/>
          <w:sz w:val="24"/>
          <w:szCs w:val="24"/>
        </w:rPr>
        <w:t xml:space="preserve"> </w:t>
      </w:r>
      <w:r>
        <w:rPr>
          <w:rFonts w:ascii="宋体" w:hAnsi="宋体" w:eastAsia="宋体" w:cs="宋体"/>
          <w:spacing w:val="-6"/>
          <w:sz w:val="24"/>
          <w:szCs w:val="24"/>
        </w:rPr>
        <w:t>的分级确定</w:t>
      </w:r>
    </w:p>
    <w:p w14:paraId="5F728754">
      <w:pPr>
        <w:spacing w:before="194" w:line="212" w:lineRule="auto"/>
        <w:ind w:left="487"/>
        <w:rPr>
          <w:rFonts w:ascii="宋体" w:hAnsi="宋体" w:eastAsia="宋体" w:cs="宋体"/>
          <w:sz w:val="24"/>
          <w:szCs w:val="24"/>
        </w:rPr>
      </w:pPr>
      <w:r>
        <w:rPr>
          <w:rFonts w:ascii="宋体" w:hAnsi="宋体" w:eastAsia="宋体" w:cs="宋体"/>
          <w:spacing w:val="-1"/>
          <w:sz w:val="24"/>
          <w:szCs w:val="24"/>
        </w:rPr>
        <w:t>①危险物质数量与临界量比值（</w:t>
      </w:r>
      <w:r>
        <w:rPr>
          <w:rFonts w:ascii="Times New Roman" w:hAnsi="Times New Roman" w:eastAsia="Times New Roman" w:cs="Times New Roman"/>
          <w:spacing w:val="-1"/>
          <w:sz w:val="24"/>
          <w:szCs w:val="24"/>
        </w:rPr>
        <w:t>Q</w:t>
      </w:r>
      <w:r>
        <w:rPr>
          <w:rFonts w:ascii="宋体" w:hAnsi="宋体" w:eastAsia="宋体" w:cs="宋体"/>
          <w:spacing w:val="-1"/>
          <w:sz w:val="24"/>
          <w:szCs w:val="24"/>
        </w:rPr>
        <w:t>）计算</w:t>
      </w:r>
    </w:p>
    <w:p w14:paraId="79F6D4D4">
      <w:pPr>
        <w:spacing w:before="203" w:line="354" w:lineRule="auto"/>
        <w:ind w:left="9" w:right="58" w:firstLine="479"/>
        <w:jc w:val="both"/>
        <w:rPr>
          <w:rFonts w:ascii="宋体" w:hAnsi="宋体" w:eastAsia="宋体" w:cs="宋体"/>
          <w:sz w:val="24"/>
          <w:szCs w:val="24"/>
        </w:rPr>
      </w:pPr>
      <w:r>
        <w:rPr>
          <w:rFonts w:ascii="宋体" w:hAnsi="宋体" w:eastAsia="宋体" w:cs="宋体"/>
          <w:sz w:val="24"/>
          <w:szCs w:val="24"/>
        </w:rPr>
        <w:t>根据《建设项目环境风险评价技术导则》（</w:t>
      </w:r>
      <w:r>
        <w:rPr>
          <w:rFonts w:ascii="Times New Roman" w:hAnsi="Times New Roman" w:eastAsia="Times New Roman" w:cs="Times New Roman"/>
          <w:sz w:val="24"/>
          <w:szCs w:val="24"/>
        </w:rPr>
        <w:t>HJ169-2018</w:t>
      </w:r>
      <w:r>
        <w:rPr>
          <w:rFonts w:ascii="宋体" w:hAnsi="宋体" w:eastAsia="宋体" w:cs="宋体"/>
          <w:sz w:val="24"/>
          <w:szCs w:val="24"/>
        </w:rPr>
        <w:t>）表</w:t>
      </w:r>
      <w:r>
        <w:rPr>
          <w:rFonts w:ascii="宋体" w:hAnsi="宋体" w:eastAsia="宋体" w:cs="宋体"/>
          <w:spacing w:val="-43"/>
          <w:sz w:val="24"/>
          <w:szCs w:val="24"/>
        </w:rPr>
        <w:t xml:space="preserve"> </w:t>
      </w:r>
      <w:r>
        <w:rPr>
          <w:rFonts w:ascii="Times New Roman" w:hAnsi="Times New Roman" w:eastAsia="Times New Roman" w:cs="Times New Roman"/>
          <w:sz w:val="24"/>
          <w:szCs w:val="24"/>
        </w:rPr>
        <w:t>B.1</w:t>
      </w:r>
      <w:r>
        <w:rPr>
          <w:rFonts w:ascii="Times New Roman" w:hAnsi="Times New Roman" w:eastAsia="Times New Roman" w:cs="Times New Roman"/>
          <w:spacing w:val="-29"/>
          <w:sz w:val="24"/>
          <w:szCs w:val="24"/>
        </w:rPr>
        <w:t xml:space="preserve"> </w:t>
      </w:r>
      <w:r>
        <w:rPr>
          <w:rFonts w:ascii="宋体" w:hAnsi="宋体" w:eastAsia="宋体" w:cs="宋体"/>
          <w:sz w:val="24"/>
          <w:szCs w:val="24"/>
        </w:rPr>
        <w:t>、表</w:t>
      </w:r>
      <w:r>
        <w:rPr>
          <w:rFonts w:ascii="宋体" w:hAnsi="宋体" w:eastAsia="宋体" w:cs="宋体"/>
          <w:spacing w:val="-54"/>
          <w:sz w:val="24"/>
          <w:szCs w:val="24"/>
        </w:rPr>
        <w:t xml:space="preserve"> </w:t>
      </w:r>
      <w:r>
        <w:rPr>
          <w:rFonts w:ascii="Times New Roman" w:hAnsi="Times New Roman" w:eastAsia="Times New Roman" w:cs="Times New Roman"/>
          <w:sz w:val="24"/>
          <w:szCs w:val="24"/>
        </w:rPr>
        <w:t xml:space="preserve">B.2 </w:t>
      </w:r>
      <w:r>
        <w:rPr>
          <w:rFonts w:ascii="宋体" w:hAnsi="宋体" w:eastAsia="宋体" w:cs="宋体"/>
          <w:sz w:val="24"/>
          <w:szCs w:val="24"/>
        </w:rPr>
        <w:t xml:space="preserve">和《危险 </w:t>
      </w:r>
      <w:r>
        <w:rPr>
          <w:rFonts w:ascii="宋体" w:hAnsi="宋体" w:eastAsia="宋体" w:cs="宋体"/>
          <w:spacing w:val="-5"/>
          <w:sz w:val="24"/>
          <w:szCs w:val="24"/>
        </w:rPr>
        <w:t>化学品重大危险源辨识》（</w:t>
      </w:r>
      <w:r>
        <w:rPr>
          <w:rFonts w:ascii="Times New Roman" w:hAnsi="Times New Roman" w:eastAsia="Times New Roman" w:cs="Times New Roman"/>
          <w:spacing w:val="-5"/>
          <w:sz w:val="24"/>
          <w:szCs w:val="24"/>
        </w:rPr>
        <w:t>GB18218-2018</w:t>
      </w:r>
      <w:r>
        <w:rPr>
          <w:rFonts w:ascii="宋体" w:hAnsi="宋体" w:eastAsia="宋体" w:cs="宋体"/>
          <w:spacing w:val="-5"/>
          <w:sz w:val="24"/>
          <w:szCs w:val="24"/>
        </w:rPr>
        <w:t>）表</w:t>
      </w:r>
      <w:r>
        <w:rPr>
          <w:rFonts w:ascii="宋体" w:hAnsi="宋体" w:eastAsia="宋体" w:cs="宋体"/>
          <w:spacing w:val="-30"/>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32"/>
          <w:sz w:val="24"/>
          <w:szCs w:val="24"/>
        </w:rPr>
        <w:t xml:space="preserve"> </w:t>
      </w:r>
      <w:r>
        <w:rPr>
          <w:rFonts w:ascii="宋体" w:hAnsi="宋体" w:eastAsia="宋体" w:cs="宋体"/>
          <w:spacing w:val="-5"/>
          <w:sz w:val="24"/>
          <w:szCs w:val="24"/>
        </w:rPr>
        <w:t>中规定的临界量来</w:t>
      </w:r>
      <w:r>
        <w:rPr>
          <w:rFonts w:ascii="宋体" w:hAnsi="宋体" w:eastAsia="宋体" w:cs="宋体"/>
          <w:spacing w:val="-56"/>
          <w:sz w:val="24"/>
          <w:szCs w:val="24"/>
        </w:rPr>
        <w:t xml:space="preserve"> </w:t>
      </w:r>
      <w:r>
        <w:rPr>
          <w:rFonts w:ascii="Times New Roman" w:hAnsi="Times New Roman" w:eastAsia="Times New Roman" w:cs="Times New Roman"/>
          <w:spacing w:val="-5"/>
          <w:sz w:val="24"/>
          <w:szCs w:val="24"/>
        </w:rPr>
        <w:t>P</w:t>
      </w:r>
      <w:r>
        <w:rPr>
          <w:rFonts w:ascii="Times New Roman" w:hAnsi="Times New Roman" w:eastAsia="Times New Roman" w:cs="Times New Roman"/>
          <w:spacing w:val="27"/>
          <w:w w:val="101"/>
          <w:sz w:val="24"/>
          <w:szCs w:val="24"/>
        </w:rPr>
        <w:t xml:space="preserve"> </w:t>
      </w:r>
      <w:r>
        <w:rPr>
          <w:rFonts w:ascii="宋体" w:hAnsi="宋体" w:eastAsia="宋体" w:cs="宋体"/>
          <w:spacing w:val="-5"/>
          <w:sz w:val="24"/>
          <w:szCs w:val="24"/>
        </w:rPr>
        <w:t>的分级确定。按下</w:t>
      </w:r>
      <w:r>
        <w:rPr>
          <w:rFonts w:ascii="宋体" w:hAnsi="宋体" w:eastAsia="宋体" w:cs="宋体"/>
          <w:sz w:val="24"/>
          <w:szCs w:val="24"/>
        </w:rPr>
        <w:t xml:space="preserve"> </w:t>
      </w:r>
      <w:r>
        <w:rPr>
          <w:rFonts w:ascii="宋体" w:hAnsi="宋体" w:eastAsia="宋体" w:cs="宋体"/>
          <w:spacing w:val="-1"/>
          <w:sz w:val="24"/>
          <w:szCs w:val="24"/>
        </w:rPr>
        <w:t>式计算物质总量与其临界量比值（</w:t>
      </w:r>
      <w:r>
        <w:rPr>
          <w:rFonts w:ascii="Times New Roman" w:hAnsi="Times New Roman" w:eastAsia="Times New Roman" w:cs="Times New Roman"/>
          <w:spacing w:val="-1"/>
          <w:sz w:val="24"/>
          <w:szCs w:val="24"/>
        </w:rPr>
        <w:t>Q</w:t>
      </w:r>
      <w:r>
        <w:rPr>
          <w:rFonts w:ascii="宋体" w:hAnsi="宋体" w:eastAsia="宋体" w:cs="宋体"/>
          <w:spacing w:val="-1"/>
          <w:sz w:val="24"/>
          <w:szCs w:val="24"/>
        </w:rPr>
        <w:t>）。</w:t>
      </w:r>
    </w:p>
    <w:p w14:paraId="2AEB2630">
      <w:pPr>
        <w:spacing w:line="828" w:lineRule="exact"/>
        <w:ind w:firstLine="3097"/>
      </w:pPr>
      <w:r>
        <w:rPr>
          <w:position w:val="-16"/>
        </w:rPr>
        <w:drawing>
          <wp:inline distT="0" distB="0" distL="0" distR="0">
            <wp:extent cx="1826895" cy="525145"/>
            <wp:effectExtent l="0" t="0" r="0" b="0"/>
            <wp:docPr id="204" name="IM 204"/>
            <wp:cNvGraphicFramePr/>
            <a:graphic xmlns:a="http://schemas.openxmlformats.org/drawingml/2006/main">
              <a:graphicData uri="http://schemas.openxmlformats.org/drawingml/2006/picture">
                <pic:pic xmlns:pic="http://schemas.openxmlformats.org/drawingml/2006/picture">
                  <pic:nvPicPr>
                    <pic:cNvPr id="204" name="IM 204"/>
                    <pic:cNvPicPr/>
                  </pic:nvPicPr>
                  <pic:blipFill>
                    <a:blip r:embed="rId674"/>
                    <a:stretch>
                      <a:fillRect/>
                    </a:stretch>
                  </pic:blipFill>
                  <pic:spPr>
                    <a:xfrm>
                      <a:off x="0" y="0"/>
                      <a:ext cx="1827276" cy="525779"/>
                    </a:xfrm>
                    <a:prstGeom prst="rect">
                      <a:avLst/>
                    </a:prstGeom>
                  </pic:spPr>
                </pic:pic>
              </a:graphicData>
            </a:graphic>
          </wp:inline>
        </w:drawing>
      </w:r>
    </w:p>
    <w:p w14:paraId="2D1CCDC8">
      <w:pPr>
        <w:spacing w:before="183" w:line="212" w:lineRule="auto"/>
        <w:ind w:left="493"/>
        <w:rPr>
          <w:rFonts w:ascii="宋体" w:hAnsi="宋体" w:eastAsia="宋体" w:cs="宋体"/>
          <w:sz w:val="24"/>
          <w:szCs w:val="24"/>
        </w:rPr>
      </w:pPr>
      <w:r>
        <w:rPr>
          <w:rFonts w:ascii="宋体" w:hAnsi="宋体" w:eastAsia="宋体" w:cs="宋体"/>
          <w:spacing w:val="-2"/>
          <w:sz w:val="24"/>
          <w:szCs w:val="24"/>
        </w:rPr>
        <w:t>式中：</w:t>
      </w:r>
      <w:r>
        <w:rPr>
          <w:rFonts w:ascii="Times New Roman" w:hAnsi="Times New Roman" w:eastAsia="Times New Roman" w:cs="Times New Roman"/>
          <w:spacing w:val="-2"/>
          <w:sz w:val="24"/>
          <w:szCs w:val="24"/>
        </w:rPr>
        <w:t>q</w:t>
      </w:r>
      <w:r>
        <w:rPr>
          <w:rFonts w:ascii="Times New Roman" w:hAnsi="Times New Roman" w:eastAsia="Times New Roman" w:cs="Times New Roman"/>
          <w:spacing w:val="-2"/>
          <w:position w:val="-1"/>
          <w:sz w:val="15"/>
          <w:szCs w:val="15"/>
        </w:rPr>
        <w:t>1</w:t>
      </w:r>
      <w:r>
        <w:rPr>
          <w:rFonts w:ascii="Times New Roman" w:hAnsi="Times New Roman" w:eastAsia="Times New Roman" w:cs="Times New Roman"/>
          <w:spacing w:val="-12"/>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q</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1"/>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q</w:t>
      </w:r>
      <w:r>
        <w:rPr>
          <w:rFonts w:ascii="Times New Roman" w:hAnsi="Times New Roman" w:eastAsia="Times New Roman" w:cs="Times New Roman"/>
          <w:spacing w:val="-2"/>
          <w:sz w:val="15"/>
          <w:szCs w:val="15"/>
        </w:rPr>
        <w:t>n</w:t>
      </w:r>
      <w:r>
        <w:rPr>
          <w:rFonts w:ascii="Times New Roman" w:hAnsi="Times New Roman" w:eastAsia="Times New Roman" w:cs="Times New Roman"/>
          <w:spacing w:val="-2"/>
          <w:sz w:val="24"/>
          <w:szCs w:val="24"/>
        </w:rPr>
        <w:t>——</w:t>
      </w:r>
      <w:r>
        <w:rPr>
          <w:rFonts w:ascii="宋体" w:hAnsi="宋体" w:eastAsia="宋体" w:cs="宋体"/>
          <w:spacing w:val="-2"/>
          <w:sz w:val="24"/>
          <w:szCs w:val="24"/>
        </w:rPr>
        <w:t>每种危险物质的最大存在总量，</w:t>
      </w:r>
      <w:r>
        <w:rPr>
          <w:rFonts w:ascii="Times New Roman" w:hAnsi="Times New Roman" w:eastAsia="Times New Roman" w:cs="Times New Roman"/>
          <w:spacing w:val="-3"/>
          <w:sz w:val="24"/>
          <w:szCs w:val="24"/>
        </w:rPr>
        <w:t>t</w:t>
      </w:r>
      <w:r>
        <w:rPr>
          <w:rFonts w:ascii="宋体" w:hAnsi="宋体" w:eastAsia="宋体" w:cs="宋体"/>
          <w:spacing w:val="-3"/>
          <w:sz w:val="24"/>
          <w:szCs w:val="24"/>
        </w:rPr>
        <w:t>；</w:t>
      </w:r>
    </w:p>
    <w:p w14:paraId="7B243B5A">
      <w:pPr>
        <w:spacing w:before="201" w:line="346" w:lineRule="auto"/>
        <w:ind w:left="1223" w:right="3309" w:hanging="16"/>
        <w:rPr>
          <w:rFonts w:ascii="宋体" w:hAnsi="宋体" w:eastAsia="宋体" w:cs="宋体"/>
          <w:sz w:val="24"/>
          <w:szCs w:val="24"/>
        </w:rPr>
      </w:pPr>
      <w:r>
        <w:rPr>
          <w:rFonts w:ascii="Times New Roman" w:hAnsi="Times New Roman" w:eastAsia="Times New Roman" w:cs="Times New Roman"/>
          <w:spacing w:val="-4"/>
          <w:sz w:val="24"/>
          <w:szCs w:val="24"/>
        </w:rPr>
        <w:t>Q</w:t>
      </w:r>
      <w:r>
        <w:rPr>
          <w:rFonts w:ascii="Times New Roman" w:hAnsi="Times New Roman" w:eastAsia="Times New Roman" w:cs="Times New Roman"/>
          <w:spacing w:val="-4"/>
          <w:position w:val="-1"/>
          <w:sz w:val="15"/>
          <w:szCs w:val="15"/>
        </w:rPr>
        <w:t>1</w:t>
      </w:r>
      <w:r>
        <w:rPr>
          <w:rFonts w:ascii="Times New Roman" w:hAnsi="Times New Roman" w:eastAsia="Times New Roman" w:cs="Times New Roman"/>
          <w:spacing w:val="-11"/>
          <w:position w:val="-1"/>
          <w:sz w:val="15"/>
          <w:szCs w:val="15"/>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Q</w:t>
      </w:r>
      <w:r>
        <w:rPr>
          <w:rFonts w:ascii="Times New Roman" w:hAnsi="Times New Roman" w:eastAsia="Times New Roman" w:cs="Times New Roman"/>
          <w:spacing w:val="-4"/>
          <w:position w:val="-1"/>
          <w:sz w:val="15"/>
          <w:szCs w:val="15"/>
        </w:rPr>
        <w:t>2</w:t>
      </w:r>
      <w:r>
        <w:rPr>
          <w:rFonts w:ascii="Times New Roman" w:hAnsi="Times New Roman" w:eastAsia="Times New Roman" w:cs="Times New Roman"/>
          <w:spacing w:val="-13"/>
          <w:position w:val="-1"/>
          <w:sz w:val="15"/>
          <w:szCs w:val="15"/>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Q</w:t>
      </w:r>
      <w:r>
        <w:rPr>
          <w:rFonts w:ascii="Times New Roman" w:hAnsi="Times New Roman" w:eastAsia="Times New Roman" w:cs="Times New Roman"/>
          <w:spacing w:val="-4"/>
          <w:sz w:val="15"/>
          <w:szCs w:val="15"/>
        </w:rPr>
        <w:t>n</w:t>
      </w:r>
      <w:r>
        <w:rPr>
          <w:rFonts w:ascii="Times New Roman" w:hAnsi="Times New Roman" w:eastAsia="Times New Roman" w:cs="Times New Roman"/>
          <w:spacing w:val="-4"/>
          <w:sz w:val="24"/>
          <w:szCs w:val="24"/>
        </w:rPr>
        <w:t>——</w:t>
      </w:r>
      <w:r>
        <w:rPr>
          <w:rFonts w:ascii="宋体" w:hAnsi="宋体" w:eastAsia="宋体" w:cs="宋体"/>
          <w:spacing w:val="-4"/>
          <w:sz w:val="24"/>
          <w:szCs w:val="24"/>
        </w:rPr>
        <w:t>每种危险物质的临界量，</w:t>
      </w:r>
      <w:r>
        <w:rPr>
          <w:rFonts w:ascii="Times New Roman" w:hAnsi="Times New Roman" w:eastAsia="Times New Roman" w:cs="Times New Roman"/>
          <w:spacing w:val="-4"/>
          <w:sz w:val="24"/>
          <w:szCs w:val="24"/>
        </w:rPr>
        <w:t>t</w:t>
      </w:r>
      <w:r>
        <w:rPr>
          <w:rFonts w:ascii="宋体" w:hAnsi="宋体" w:eastAsia="宋体" w:cs="宋体"/>
          <w:spacing w:val="-4"/>
          <w:sz w:val="24"/>
          <w:szCs w:val="24"/>
        </w:rPr>
        <w:t>。</w:t>
      </w:r>
      <w:r>
        <w:rPr>
          <w:rFonts w:ascii="宋体" w:hAnsi="宋体" w:eastAsia="宋体" w:cs="宋体"/>
          <w:sz w:val="24"/>
          <w:szCs w:val="24"/>
        </w:rPr>
        <w:t xml:space="preserve"> </w:t>
      </w:r>
      <w:r>
        <w:rPr>
          <w:rFonts w:ascii="宋体" w:hAnsi="宋体" w:eastAsia="宋体" w:cs="宋体"/>
          <w:spacing w:val="-4"/>
          <w:sz w:val="24"/>
          <w:szCs w:val="24"/>
        </w:rPr>
        <w:t>当</w:t>
      </w:r>
      <w:r>
        <w:rPr>
          <w:rFonts w:ascii="宋体" w:hAnsi="宋体" w:eastAsia="宋体" w:cs="宋体"/>
          <w:spacing w:val="-41"/>
          <w:sz w:val="24"/>
          <w:szCs w:val="24"/>
        </w:rPr>
        <w:t xml:space="preserve"> </w:t>
      </w:r>
      <w:r>
        <w:rPr>
          <w:rFonts w:ascii="Times New Roman" w:hAnsi="Times New Roman" w:eastAsia="Times New Roman" w:cs="Times New Roman"/>
          <w:spacing w:val="-4"/>
          <w:sz w:val="24"/>
          <w:szCs w:val="24"/>
        </w:rPr>
        <w:t>Q</w:t>
      </w:r>
      <w:r>
        <w:rPr>
          <w:rFonts w:ascii="宋体" w:hAnsi="宋体" w:eastAsia="宋体" w:cs="宋体"/>
          <w:spacing w:val="-4"/>
          <w:sz w:val="24"/>
          <w:szCs w:val="24"/>
        </w:rPr>
        <w:t>＜</w:t>
      </w:r>
      <w:r>
        <w:rPr>
          <w:rFonts w:ascii="Times New Roman" w:hAnsi="Times New Roman" w:eastAsia="Times New Roman" w:cs="Times New Roman"/>
          <w:spacing w:val="-4"/>
          <w:sz w:val="24"/>
          <w:szCs w:val="24"/>
        </w:rPr>
        <w:t>1</w:t>
      </w:r>
      <w:r>
        <w:rPr>
          <w:rFonts w:ascii="Times New Roman" w:hAnsi="Times New Roman" w:eastAsia="Times New Roman" w:cs="Times New Roman"/>
          <w:spacing w:val="20"/>
          <w:w w:val="101"/>
          <w:sz w:val="24"/>
          <w:szCs w:val="24"/>
        </w:rPr>
        <w:t xml:space="preserve"> </w:t>
      </w:r>
      <w:r>
        <w:rPr>
          <w:rFonts w:ascii="宋体" w:hAnsi="宋体" w:eastAsia="宋体" w:cs="宋体"/>
          <w:spacing w:val="-4"/>
          <w:sz w:val="24"/>
          <w:szCs w:val="24"/>
        </w:rPr>
        <w:t>时，该项目环境风险潜势为</w:t>
      </w:r>
      <w:r>
        <w:rPr>
          <w:rFonts w:ascii="宋体" w:hAnsi="宋体" w:eastAsia="宋体" w:cs="宋体"/>
          <w:spacing w:val="-54"/>
          <w:sz w:val="24"/>
          <w:szCs w:val="24"/>
        </w:rPr>
        <w:t xml:space="preserve"> </w:t>
      </w:r>
      <w:r>
        <w:rPr>
          <w:rFonts w:ascii="Times New Roman" w:hAnsi="Times New Roman" w:eastAsia="Times New Roman" w:cs="Times New Roman"/>
          <w:spacing w:val="-4"/>
          <w:sz w:val="24"/>
          <w:szCs w:val="24"/>
        </w:rPr>
        <w:t>I</w:t>
      </w:r>
      <w:r>
        <w:rPr>
          <w:rFonts w:ascii="宋体" w:hAnsi="宋体" w:eastAsia="宋体" w:cs="宋体"/>
          <w:spacing w:val="-4"/>
          <w:sz w:val="24"/>
          <w:szCs w:val="24"/>
        </w:rPr>
        <w:t>。</w:t>
      </w:r>
    </w:p>
    <w:p w14:paraId="00644B9F">
      <w:pPr>
        <w:spacing w:before="59" w:line="212" w:lineRule="auto"/>
        <w:ind w:left="1223"/>
        <w:rPr>
          <w:rFonts w:ascii="宋体" w:hAnsi="宋体" w:eastAsia="宋体" w:cs="宋体"/>
          <w:sz w:val="24"/>
          <w:szCs w:val="24"/>
        </w:rPr>
      </w:pPr>
      <w:r>
        <w:rPr>
          <w:rFonts w:ascii="宋体" w:hAnsi="宋体" w:eastAsia="宋体" w:cs="宋体"/>
          <w:spacing w:val="-3"/>
          <w:sz w:val="24"/>
          <w:szCs w:val="24"/>
        </w:rPr>
        <w:t>当</w:t>
      </w:r>
      <w:r>
        <w:rPr>
          <w:rFonts w:ascii="宋体" w:hAnsi="宋体" w:eastAsia="宋体" w:cs="宋体"/>
          <w:spacing w:val="-44"/>
          <w:sz w:val="24"/>
          <w:szCs w:val="24"/>
        </w:rPr>
        <w:t xml:space="preserve"> </w:t>
      </w:r>
      <w:r>
        <w:rPr>
          <w:rFonts w:ascii="Times New Roman" w:hAnsi="Times New Roman" w:eastAsia="Times New Roman" w:cs="Times New Roman"/>
          <w:spacing w:val="-3"/>
          <w:sz w:val="24"/>
          <w:szCs w:val="24"/>
        </w:rPr>
        <w:t>Q≥1</w:t>
      </w:r>
      <w:r>
        <w:rPr>
          <w:rFonts w:ascii="Times New Roman" w:hAnsi="Times New Roman" w:eastAsia="Times New Roman" w:cs="Times New Roman"/>
          <w:spacing w:val="21"/>
          <w:sz w:val="24"/>
          <w:szCs w:val="24"/>
        </w:rPr>
        <w:t xml:space="preserve"> </w:t>
      </w:r>
      <w:r>
        <w:rPr>
          <w:rFonts w:ascii="宋体" w:hAnsi="宋体" w:eastAsia="宋体" w:cs="宋体"/>
          <w:spacing w:val="-3"/>
          <w:sz w:val="24"/>
          <w:szCs w:val="24"/>
        </w:rPr>
        <w:t>时，将</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 xml:space="preserve">Q </w:t>
      </w:r>
      <w:r>
        <w:rPr>
          <w:rFonts w:ascii="宋体" w:hAnsi="宋体" w:eastAsia="宋体" w:cs="宋体"/>
          <w:spacing w:val="-3"/>
          <w:sz w:val="24"/>
          <w:szCs w:val="24"/>
        </w:rPr>
        <w:t>值划分为：</w:t>
      </w:r>
      <w:r>
        <w:rPr>
          <w:rFonts w:ascii="Times New Roman" w:hAnsi="Times New Roman" w:eastAsia="Times New Roman" w:cs="Times New Roman"/>
          <w:spacing w:val="-3"/>
          <w:sz w:val="24"/>
          <w:szCs w:val="24"/>
        </w:rPr>
        <w:t>a.</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1≤Q</w:t>
      </w:r>
      <w:r>
        <w:rPr>
          <w:rFonts w:ascii="宋体" w:hAnsi="宋体" w:eastAsia="宋体" w:cs="宋体"/>
          <w:spacing w:val="-3"/>
          <w:sz w:val="24"/>
          <w:szCs w:val="24"/>
        </w:rPr>
        <w:t>＜</w:t>
      </w:r>
      <w:r>
        <w:rPr>
          <w:rFonts w:ascii="Times New Roman" w:hAnsi="Times New Roman" w:eastAsia="Times New Roman" w:cs="Times New Roman"/>
          <w:spacing w:val="-3"/>
          <w:sz w:val="24"/>
          <w:szCs w:val="24"/>
        </w:rPr>
        <w:t>10</w:t>
      </w:r>
      <w:r>
        <w:rPr>
          <w:rFonts w:ascii="宋体" w:hAnsi="宋体" w:eastAsia="宋体" w:cs="宋体"/>
          <w:spacing w:val="-3"/>
          <w:sz w:val="24"/>
          <w:szCs w:val="24"/>
        </w:rPr>
        <w:t>；</w:t>
      </w:r>
      <w:r>
        <w:rPr>
          <w:rFonts w:ascii="Times New Roman" w:hAnsi="Times New Roman" w:eastAsia="Times New Roman" w:cs="Times New Roman"/>
          <w:spacing w:val="-3"/>
          <w:sz w:val="24"/>
          <w:szCs w:val="24"/>
        </w:rPr>
        <w:t>b.</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10≤Q</w:t>
      </w:r>
      <w:r>
        <w:rPr>
          <w:rFonts w:ascii="宋体" w:hAnsi="宋体" w:eastAsia="宋体" w:cs="宋体"/>
          <w:spacing w:val="-3"/>
          <w:sz w:val="24"/>
          <w:szCs w:val="24"/>
        </w:rPr>
        <w:t>＜</w:t>
      </w:r>
      <w:r>
        <w:rPr>
          <w:rFonts w:ascii="Times New Roman" w:hAnsi="Times New Roman" w:eastAsia="Times New Roman" w:cs="Times New Roman"/>
          <w:spacing w:val="-3"/>
          <w:sz w:val="24"/>
          <w:szCs w:val="24"/>
        </w:rPr>
        <w:t>100</w:t>
      </w:r>
      <w:r>
        <w:rPr>
          <w:rFonts w:ascii="宋体" w:hAnsi="宋体" w:eastAsia="宋体" w:cs="宋体"/>
          <w:spacing w:val="-3"/>
          <w:sz w:val="24"/>
          <w:szCs w:val="24"/>
        </w:rPr>
        <w:t>；</w:t>
      </w:r>
      <w:r>
        <w:rPr>
          <w:rFonts w:ascii="Times New Roman" w:hAnsi="Times New Roman" w:eastAsia="Times New Roman" w:cs="Times New Roman"/>
          <w:spacing w:val="-3"/>
          <w:sz w:val="24"/>
          <w:szCs w:val="24"/>
        </w:rPr>
        <w:t>c.Q≥100</w:t>
      </w:r>
      <w:r>
        <w:rPr>
          <w:rFonts w:ascii="宋体" w:hAnsi="宋体" w:eastAsia="宋体" w:cs="宋体"/>
          <w:spacing w:val="-3"/>
          <w:sz w:val="24"/>
          <w:szCs w:val="24"/>
        </w:rPr>
        <w:t>。</w:t>
      </w:r>
    </w:p>
    <w:p w14:paraId="4BE53C25">
      <w:pPr>
        <w:spacing w:before="116" w:line="221" w:lineRule="auto"/>
        <w:ind w:left="3109"/>
        <w:rPr>
          <w:rFonts w:ascii="宋体" w:hAnsi="宋体" w:eastAsia="宋体" w:cs="宋体"/>
          <w:sz w:val="20"/>
          <w:szCs w:val="20"/>
        </w:rPr>
      </w:pPr>
      <w:r>
        <w:rPr>
          <w:rFonts w:ascii="宋体" w:hAnsi="宋体" w:eastAsia="宋体" w:cs="宋体"/>
          <w:b/>
          <w:bCs/>
          <w:spacing w:val="3"/>
          <w:sz w:val="20"/>
          <w:szCs w:val="20"/>
        </w:rPr>
        <w:t>表</w:t>
      </w:r>
      <w:r>
        <w:rPr>
          <w:rFonts w:ascii="宋体" w:hAnsi="宋体" w:eastAsia="宋体" w:cs="宋体"/>
          <w:spacing w:val="-23"/>
          <w:sz w:val="20"/>
          <w:szCs w:val="20"/>
        </w:rPr>
        <w:t xml:space="preserve"> </w:t>
      </w:r>
      <w:r>
        <w:rPr>
          <w:rFonts w:ascii="Times New Roman" w:hAnsi="Times New Roman" w:eastAsia="Times New Roman" w:cs="Times New Roman"/>
          <w:b/>
          <w:bCs/>
          <w:spacing w:val="3"/>
          <w:sz w:val="20"/>
          <w:szCs w:val="20"/>
        </w:rPr>
        <w:t xml:space="preserve">6.2-2        </w:t>
      </w:r>
      <w:r>
        <w:rPr>
          <w:rFonts w:ascii="宋体" w:hAnsi="宋体" w:eastAsia="宋体" w:cs="宋体"/>
          <w:b/>
          <w:bCs/>
          <w:spacing w:val="3"/>
          <w:sz w:val="20"/>
          <w:szCs w:val="20"/>
        </w:rPr>
        <w:t>本项目</w:t>
      </w:r>
      <w:r>
        <w:rPr>
          <w:rFonts w:ascii="宋体" w:hAnsi="宋体" w:eastAsia="宋体" w:cs="宋体"/>
          <w:spacing w:val="-39"/>
          <w:sz w:val="20"/>
          <w:szCs w:val="20"/>
        </w:rPr>
        <w:t xml:space="preserve"> </w:t>
      </w:r>
      <w:r>
        <w:rPr>
          <w:rFonts w:ascii="Times New Roman" w:hAnsi="Times New Roman" w:eastAsia="Times New Roman" w:cs="Times New Roman"/>
          <w:b/>
          <w:bCs/>
          <w:spacing w:val="3"/>
          <w:sz w:val="20"/>
          <w:szCs w:val="20"/>
        </w:rPr>
        <w:t>Q</w:t>
      </w:r>
      <w:r>
        <w:rPr>
          <w:rFonts w:ascii="Times New Roman" w:hAnsi="Times New Roman" w:eastAsia="Times New Roman" w:cs="Times New Roman"/>
          <w:b/>
          <w:bCs/>
          <w:spacing w:val="12"/>
          <w:sz w:val="20"/>
          <w:szCs w:val="20"/>
        </w:rPr>
        <w:t xml:space="preserve"> </w:t>
      </w:r>
      <w:r>
        <w:rPr>
          <w:rFonts w:ascii="宋体" w:hAnsi="宋体" w:eastAsia="宋体" w:cs="宋体"/>
          <w:b/>
          <w:bCs/>
          <w:spacing w:val="3"/>
          <w:sz w:val="20"/>
          <w:szCs w:val="20"/>
        </w:rPr>
        <w:t>值确定表</w:t>
      </w:r>
    </w:p>
    <w:p w14:paraId="2E76F3E6">
      <w:pPr>
        <w:spacing w:line="138" w:lineRule="exact"/>
      </w:pPr>
    </w:p>
    <w:tbl>
      <w:tblPr>
        <w:tblStyle w:val="5"/>
        <w:tblW w:w="9067"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42"/>
        <w:gridCol w:w="2038"/>
        <w:gridCol w:w="907"/>
        <w:gridCol w:w="1413"/>
        <w:gridCol w:w="1052"/>
        <w:gridCol w:w="1065"/>
        <w:gridCol w:w="950"/>
      </w:tblGrid>
      <w:tr w14:paraId="47AFA8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642" w:type="dxa"/>
            <w:tcBorders>
              <w:top w:val="single" w:color="000000" w:sz="10" w:space="0"/>
              <w:left w:val="nil"/>
            </w:tcBorders>
            <w:vAlign w:val="top"/>
          </w:tcPr>
          <w:p w14:paraId="39A47716">
            <w:pPr>
              <w:pStyle w:val="6"/>
              <w:spacing w:before="33" w:line="216" w:lineRule="auto"/>
              <w:ind w:left="405"/>
              <w:rPr>
                <w:sz w:val="20"/>
                <w:szCs w:val="20"/>
              </w:rPr>
            </w:pPr>
            <w:r>
              <w:rPr>
                <w:spacing w:val="7"/>
                <w:sz w:val="20"/>
                <w:szCs w:val="20"/>
              </w:rPr>
              <w:t>物料名称</w:t>
            </w:r>
          </w:p>
        </w:tc>
        <w:tc>
          <w:tcPr>
            <w:tcW w:w="2038" w:type="dxa"/>
            <w:tcBorders>
              <w:top w:val="single" w:color="000000" w:sz="10" w:space="0"/>
            </w:tcBorders>
            <w:vAlign w:val="top"/>
          </w:tcPr>
          <w:p w14:paraId="7879390F">
            <w:pPr>
              <w:pStyle w:val="6"/>
              <w:spacing w:before="33" w:line="216" w:lineRule="auto"/>
              <w:ind w:left="814"/>
              <w:rPr>
                <w:sz w:val="20"/>
                <w:szCs w:val="20"/>
              </w:rPr>
            </w:pPr>
            <w:r>
              <w:rPr>
                <w:spacing w:val="4"/>
                <w:sz w:val="20"/>
                <w:szCs w:val="20"/>
              </w:rPr>
              <w:t>规格</w:t>
            </w:r>
          </w:p>
        </w:tc>
        <w:tc>
          <w:tcPr>
            <w:tcW w:w="907" w:type="dxa"/>
            <w:tcBorders>
              <w:top w:val="single" w:color="000000" w:sz="10" w:space="0"/>
            </w:tcBorders>
            <w:vAlign w:val="top"/>
          </w:tcPr>
          <w:p w14:paraId="4F7A32AA">
            <w:pPr>
              <w:pStyle w:val="6"/>
              <w:spacing w:before="33" w:line="216" w:lineRule="auto"/>
              <w:ind w:left="250"/>
              <w:rPr>
                <w:sz w:val="20"/>
                <w:szCs w:val="20"/>
              </w:rPr>
            </w:pPr>
            <w:r>
              <w:rPr>
                <w:spacing w:val="3"/>
                <w:sz w:val="20"/>
                <w:szCs w:val="20"/>
              </w:rPr>
              <w:t>单位</w:t>
            </w:r>
          </w:p>
        </w:tc>
        <w:tc>
          <w:tcPr>
            <w:tcW w:w="1413" w:type="dxa"/>
            <w:tcBorders>
              <w:top w:val="single" w:color="000000" w:sz="10" w:space="0"/>
            </w:tcBorders>
            <w:vAlign w:val="top"/>
          </w:tcPr>
          <w:p w14:paraId="65B4ECBE">
            <w:pPr>
              <w:pStyle w:val="6"/>
              <w:spacing w:before="33" w:line="216" w:lineRule="auto"/>
              <w:ind w:left="398"/>
              <w:rPr>
                <w:sz w:val="20"/>
                <w:szCs w:val="20"/>
              </w:rPr>
            </w:pPr>
            <w:r>
              <w:rPr>
                <w:spacing w:val="6"/>
                <w:sz w:val="20"/>
                <w:szCs w:val="20"/>
              </w:rPr>
              <w:t>贮存量</w:t>
            </w:r>
          </w:p>
        </w:tc>
        <w:tc>
          <w:tcPr>
            <w:tcW w:w="1052" w:type="dxa"/>
            <w:tcBorders>
              <w:top w:val="single" w:color="000000" w:sz="10" w:space="0"/>
            </w:tcBorders>
            <w:vAlign w:val="top"/>
          </w:tcPr>
          <w:p w14:paraId="50C66FA2">
            <w:pPr>
              <w:pStyle w:val="6"/>
              <w:spacing w:before="33" w:line="216" w:lineRule="auto"/>
              <w:ind w:left="212"/>
              <w:rPr>
                <w:sz w:val="20"/>
                <w:szCs w:val="20"/>
              </w:rPr>
            </w:pPr>
            <w:r>
              <w:rPr>
                <w:spacing w:val="7"/>
                <w:sz w:val="20"/>
                <w:szCs w:val="20"/>
              </w:rPr>
              <w:t>在线量</w:t>
            </w:r>
          </w:p>
        </w:tc>
        <w:tc>
          <w:tcPr>
            <w:tcW w:w="1065" w:type="dxa"/>
            <w:tcBorders>
              <w:top w:val="single" w:color="000000" w:sz="10" w:space="0"/>
            </w:tcBorders>
            <w:vAlign w:val="top"/>
          </w:tcPr>
          <w:p w14:paraId="4E670177">
            <w:pPr>
              <w:pStyle w:val="6"/>
              <w:spacing w:before="33" w:line="216" w:lineRule="auto"/>
              <w:ind w:left="234"/>
              <w:rPr>
                <w:sz w:val="20"/>
                <w:szCs w:val="20"/>
              </w:rPr>
            </w:pPr>
            <w:r>
              <w:rPr>
                <w:spacing w:val="3"/>
                <w:sz w:val="20"/>
                <w:szCs w:val="20"/>
              </w:rPr>
              <w:t>临界量</w:t>
            </w:r>
          </w:p>
        </w:tc>
        <w:tc>
          <w:tcPr>
            <w:tcW w:w="950" w:type="dxa"/>
            <w:tcBorders>
              <w:top w:val="single" w:color="000000" w:sz="10" w:space="0"/>
              <w:right w:val="nil"/>
            </w:tcBorders>
            <w:vAlign w:val="top"/>
          </w:tcPr>
          <w:p w14:paraId="78EDEA59">
            <w:pPr>
              <w:pStyle w:val="6"/>
              <w:spacing w:before="33" w:line="216" w:lineRule="auto"/>
              <w:ind w:left="275"/>
              <w:rPr>
                <w:sz w:val="20"/>
                <w:szCs w:val="20"/>
              </w:rPr>
            </w:pPr>
            <w:r>
              <w:rPr>
                <w:rFonts w:ascii="Times New Roman" w:hAnsi="Times New Roman" w:eastAsia="Times New Roman" w:cs="Times New Roman"/>
                <w:spacing w:val="-1"/>
                <w:sz w:val="20"/>
                <w:szCs w:val="20"/>
              </w:rPr>
              <w:t>Q</w:t>
            </w:r>
            <w:r>
              <w:rPr>
                <w:rFonts w:ascii="Times New Roman" w:hAnsi="Times New Roman" w:eastAsia="Times New Roman" w:cs="Times New Roman"/>
                <w:spacing w:val="12"/>
                <w:sz w:val="20"/>
                <w:szCs w:val="20"/>
              </w:rPr>
              <w:t xml:space="preserve"> </w:t>
            </w:r>
            <w:r>
              <w:rPr>
                <w:spacing w:val="-1"/>
                <w:sz w:val="20"/>
                <w:szCs w:val="20"/>
              </w:rPr>
              <w:t>值</w:t>
            </w:r>
          </w:p>
        </w:tc>
      </w:tr>
      <w:tr w14:paraId="178C61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642" w:type="dxa"/>
            <w:tcBorders>
              <w:left w:val="nil"/>
            </w:tcBorders>
            <w:vAlign w:val="top"/>
          </w:tcPr>
          <w:p w14:paraId="04C37F46">
            <w:pPr>
              <w:pStyle w:val="6"/>
              <w:spacing w:before="32" w:line="217" w:lineRule="auto"/>
              <w:ind w:left="299"/>
              <w:rPr>
                <w:sz w:val="20"/>
                <w:szCs w:val="20"/>
              </w:rPr>
            </w:pPr>
            <w:r>
              <w:rPr>
                <w:spacing w:val="8"/>
                <w:sz w:val="20"/>
                <w:szCs w:val="20"/>
              </w:rPr>
              <w:t>矿热炉煤气</w:t>
            </w:r>
          </w:p>
        </w:tc>
        <w:tc>
          <w:tcPr>
            <w:tcW w:w="2038" w:type="dxa"/>
            <w:vAlign w:val="top"/>
          </w:tcPr>
          <w:p w14:paraId="393F1692">
            <w:pPr>
              <w:pStyle w:val="6"/>
              <w:spacing w:before="32" w:line="217" w:lineRule="auto"/>
              <w:ind w:left="124"/>
              <w:rPr>
                <w:rFonts w:ascii="Times New Roman" w:hAnsi="Times New Roman" w:eastAsia="Times New Roman" w:cs="Times New Roman"/>
                <w:sz w:val="20"/>
                <w:szCs w:val="20"/>
              </w:rPr>
            </w:pPr>
            <w:r>
              <w:rPr>
                <w:rFonts w:ascii="Times New Roman" w:hAnsi="Times New Roman" w:eastAsia="Times New Roman" w:cs="Times New Roman"/>
                <w:sz w:val="20"/>
                <w:szCs w:val="20"/>
              </w:rPr>
              <w:t>CO</w:t>
            </w:r>
            <w:r>
              <w:rPr>
                <w:rFonts w:ascii="Times New Roman" w:hAnsi="Times New Roman" w:eastAsia="Times New Roman" w:cs="Times New Roman"/>
                <w:spacing w:val="6"/>
                <w:sz w:val="20"/>
                <w:szCs w:val="20"/>
              </w:rPr>
              <w:t xml:space="preserve"> </w:t>
            </w:r>
            <w:r>
              <w:rPr>
                <w:spacing w:val="6"/>
                <w:sz w:val="20"/>
                <w:szCs w:val="20"/>
              </w:rPr>
              <w:t>含量</w:t>
            </w:r>
            <w:r>
              <w:rPr>
                <w:spacing w:val="-34"/>
                <w:sz w:val="20"/>
                <w:szCs w:val="20"/>
              </w:rPr>
              <w:t xml:space="preserve"> </w:t>
            </w:r>
            <w:r>
              <w:rPr>
                <w:rFonts w:ascii="Times New Roman" w:hAnsi="Times New Roman" w:eastAsia="Times New Roman" w:cs="Times New Roman"/>
                <w:spacing w:val="6"/>
                <w:sz w:val="20"/>
                <w:szCs w:val="20"/>
              </w:rPr>
              <w:t>65%</w:t>
            </w:r>
            <w:r>
              <w:rPr>
                <w:spacing w:val="6"/>
                <w:sz w:val="20"/>
                <w:szCs w:val="20"/>
              </w:rPr>
              <w:t>～</w:t>
            </w:r>
            <w:r>
              <w:rPr>
                <w:rFonts w:ascii="Times New Roman" w:hAnsi="Times New Roman" w:eastAsia="Times New Roman" w:cs="Times New Roman"/>
                <w:spacing w:val="6"/>
                <w:sz w:val="20"/>
                <w:szCs w:val="20"/>
              </w:rPr>
              <w:t>75%</w:t>
            </w:r>
          </w:p>
        </w:tc>
        <w:tc>
          <w:tcPr>
            <w:tcW w:w="907" w:type="dxa"/>
            <w:vAlign w:val="top"/>
          </w:tcPr>
          <w:p w14:paraId="02608200">
            <w:pPr>
              <w:spacing w:before="65" w:line="198" w:lineRule="auto"/>
              <w:ind w:left="34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t/a</w:t>
            </w:r>
          </w:p>
        </w:tc>
        <w:tc>
          <w:tcPr>
            <w:tcW w:w="1413" w:type="dxa"/>
            <w:vAlign w:val="top"/>
          </w:tcPr>
          <w:p w14:paraId="63A7337F">
            <w:pPr>
              <w:spacing w:before="69" w:line="194" w:lineRule="auto"/>
              <w:ind w:left="6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1052" w:type="dxa"/>
            <w:vAlign w:val="top"/>
          </w:tcPr>
          <w:p w14:paraId="0C635E6D">
            <w:pPr>
              <w:spacing w:before="69" w:line="194" w:lineRule="auto"/>
              <w:ind w:left="41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1.8</w:t>
            </w:r>
          </w:p>
        </w:tc>
        <w:tc>
          <w:tcPr>
            <w:tcW w:w="1065" w:type="dxa"/>
            <w:vAlign w:val="top"/>
          </w:tcPr>
          <w:p w14:paraId="32FBC1B4">
            <w:pPr>
              <w:spacing w:before="72" w:line="191"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7.5</w:t>
            </w:r>
          </w:p>
        </w:tc>
        <w:tc>
          <w:tcPr>
            <w:tcW w:w="950" w:type="dxa"/>
            <w:tcBorders>
              <w:right w:val="nil"/>
            </w:tcBorders>
            <w:vAlign w:val="top"/>
          </w:tcPr>
          <w:p w14:paraId="7B376111">
            <w:pPr>
              <w:spacing w:before="69" w:line="194" w:lineRule="auto"/>
              <w:ind w:left="3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3.44</w:t>
            </w:r>
          </w:p>
        </w:tc>
      </w:tr>
    </w:tbl>
    <w:p w14:paraId="129FEF82">
      <w:pPr>
        <w:spacing w:line="277" w:lineRule="exact"/>
        <w:ind w:left="3286"/>
        <w:rPr>
          <w:rFonts w:ascii="Times New Roman" w:hAnsi="Times New Roman" w:eastAsia="Times New Roman" w:cs="Times New Roman"/>
          <w:sz w:val="20"/>
          <w:szCs w:val="20"/>
        </w:rPr>
      </w:pPr>
      <w:r>
        <w:rPr>
          <w:rFonts w:ascii="宋体" w:hAnsi="宋体" w:eastAsia="宋体" w:cs="宋体"/>
          <w:spacing w:val="3"/>
          <w:position w:val="2"/>
          <w:sz w:val="20"/>
          <w:szCs w:val="20"/>
        </w:rPr>
        <w:t>项目</w:t>
      </w:r>
      <w:r>
        <w:rPr>
          <w:rFonts w:ascii="宋体" w:hAnsi="宋体" w:eastAsia="宋体" w:cs="宋体"/>
          <w:spacing w:val="-24"/>
          <w:position w:val="2"/>
          <w:sz w:val="20"/>
          <w:szCs w:val="20"/>
        </w:rPr>
        <w:t xml:space="preserve"> </w:t>
      </w:r>
      <w:r>
        <w:rPr>
          <w:rFonts w:ascii="Times New Roman" w:hAnsi="Times New Roman" w:eastAsia="Times New Roman" w:cs="Times New Roman"/>
          <w:spacing w:val="3"/>
          <w:position w:val="2"/>
          <w:sz w:val="20"/>
          <w:szCs w:val="20"/>
        </w:rPr>
        <w:t xml:space="preserve">Q </w:t>
      </w:r>
      <w:r>
        <w:rPr>
          <w:rFonts w:ascii="宋体" w:hAnsi="宋体" w:eastAsia="宋体" w:cs="宋体"/>
          <w:spacing w:val="3"/>
          <w:position w:val="2"/>
          <w:sz w:val="20"/>
          <w:szCs w:val="20"/>
        </w:rPr>
        <w:t>值</w:t>
      </w:r>
      <w:r>
        <w:rPr>
          <w:rFonts w:ascii="Times New Roman" w:hAnsi="Times New Roman" w:eastAsia="Times New Roman" w:cs="Times New Roman"/>
          <w:spacing w:val="3"/>
          <w:position w:val="2"/>
          <w:sz w:val="20"/>
          <w:szCs w:val="20"/>
        </w:rPr>
        <w:t>∑=3.44</w:t>
      </w:r>
      <w:r>
        <w:rPr>
          <w:rFonts w:ascii="Times New Roman" w:hAnsi="Times New Roman" w:eastAsia="Times New Roman" w:cs="Times New Roman"/>
          <w:spacing w:val="-23"/>
          <w:position w:val="2"/>
          <w:sz w:val="20"/>
          <w:szCs w:val="20"/>
        </w:rPr>
        <w:t xml:space="preserve"> </w:t>
      </w:r>
      <w:r>
        <w:rPr>
          <w:rFonts w:ascii="宋体" w:hAnsi="宋体" w:eastAsia="宋体" w:cs="宋体"/>
          <w:spacing w:val="3"/>
          <w:position w:val="2"/>
          <w:sz w:val="20"/>
          <w:szCs w:val="20"/>
        </w:rPr>
        <w:t>，</w:t>
      </w:r>
      <w:r>
        <w:rPr>
          <w:rFonts w:ascii="Times New Roman" w:hAnsi="Times New Roman" w:eastAsia="Times New Roman" w:cs="Times New Roman"/>
          <w:spacing w:val="3"/>
          <w:position w:val="2"/>
          <w:sz w:val="20"/>
          <w:szCs w:val="20"/>
        </w:rPr>
        <w:t>1≤Q</w:t>
      </w:r>
      <w:r>
        <w:rPr>
          <w:rFonts w:ascii="宋体" w:hAnsi="宋体" w:eastAsia="宋体" w:cs="宋体"/>
          <w:spacing w:val="3"/>
          <w:position w:val="2"/>
          <w:sz w:val="20"/>
          <w:szCs w:val="20"/>
        </w:rPr>
        <w:t>＜</w:t>
      </w:r>
      <w:r>
        <w:rPr>
          <w:rFonts w:ascii="Times New Roman" w:hAnsi="Times New Roman" w:eastAsia="Times New Roman" w:cs="Times New Roman"/>
          <w:spacing w:val="3"/>
          <w:position w:val="2"/>
          <w:sz w:val="20"/>
          <w:szCs w:val="20"/>
        </w:rPr>
        <w:t>10</w:t>
      </w:r>
    </w:p>
    <w:p w14:paraId="146BDC4B">
      <w:pPr>
        <w:spacing w:line="28" w:lineRule="exact"/>
        <w:ind w:firstLine="1"/>
      </w:pPr>
      <w:r>
        <w:pict>
          <v:shape id="_x0000_s1878" o:spid="_x0000_s1878" style="height:1.45pt;width:453.4pt;" filled="f" stroked="t" coordsize="9067,29" path="m0,14l9067,14e">
            <v:fill on="f" focussize="0,0"/>
            <v:stroke weight="1.44pt" color="#000000" miterlimit="2" joinstyle="bevel"/>
            <v:imagedata o:title=""/>
            <o:lock v:ext="edit"/>
            <w10:wrap type="none"/>
            <w10:anchorlock/>
          </v:shape>
        </w:pict>
      </w:r>
    </w:p>
    <w:p w14:paraId="5AF383C9">
      <w:pPr>
        <w:spacing w:before="119" w:line="217" w:lineRule="auto"/>
        <w:ind w:left="486"/>
        <w:rPr>
          <w:rFonts w:ascii="宋体" w:hAnsi="宋体" w:eastAsia="宋体" w:cs="宋体"/>
          <w:sz w:val="24"/>
          <w:szCs w:val="24"/>
        </w:rPr>
      </w:pPr>
      <w:r>
        <w:rPr>
          <w:rFonts w:ascii="宋体" w:hAnsi="宋体" w:eastAsia="宋体" w:cs="宋体"/>
          <w:spacing w:val="-1"/>
          <w:sz w:val="24"/>
          <w:szCs w:val="24"/>
        </w:rPr>
        <w:t>②行业及生产工艺评估（</w:t>
      </w:r>
      <w:r>
        <w:rPr>
          <w:rFonts w:ascii="Times New Roman" w:hAnsi="Times New Roman" w:eastAsia="Times New Roman" w:cs="Times New Roman"/>
          <w:spacing w:val="-1"/>
          <w:sz w:val="24"/>
          <w:szCs w:val="24"/>
        </w:rPr>
        <w:t>M</w:t>
      </w:r>
      <w:r>
        <w:rPr>
          <w:rFonts w:ascii="宋体" w:hAnsi="宋体" w:eastAsia="宋体" w:cs="宋体"/>
          <w:spacing w:val="-1"/>
          <w:sz w:val="24"/>
          <w:szCs w:val="24"/>
        </w:rPr>
        <w:t>）</w:t>
      </w:r>
    </w:p>
    <w:p w14:paraId="1B5776E6">
      <w:pPr>
        <w:spacing w:before="197" w:line="218" w:lineRule="auto"/>
        <w:ind w:left="491"/>
        <w:rPr>
          <w:rFonts w:ascii="宋体" w:hAnsi="宋体" w:eastAsia="宋体" w:cs="宋体"/>
          <w:sz w:val="24"/>
          <w:szCs w:val="24"/>
        </w:rPr>
      </w:pPr>
      <w:r>
        <w:rPr>
          <w:rFonts w:ascii="宋体" w:hAnsi="宋体" w:eastAsia="宋体" w:cs="宋体"/>
          <w:spacing w:val="1"/>
          <w:sz w:val="24"/>
          <w:szCs w:val="24"/>
        </w:rPr>
        <w:t>分析项目所属行业及生产工艺特点，按照表</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 xml:space="preserve">6.2-2 </w:t>
      </w:r>
      <w:r>
        <w:rPr>
          <w:rFonts w:ascii="宋体" w:hAnsi="宋体" w:eastAsia="宋体" w:cs="宋体"/>
          <w:spacing w:val="1"/>
          <w:sz w:val="24"/>
          <w:szCs w:val="24"/>
        </w:rPr>
        <w:t>评估生产工</w:t>
      </w:r>
      <w:r>
        <w:rPr>
          <w:rFonts w:ascii="宋体" w:hAnsi="宋体" w:eastAsia="宋体" w:cs="宋体"/>
          <w:sz w:val="24"/>
          <w:szCs w:val="24"/>
        </w:rPr>
        <w:t>艺情况。其中具有多</w:t>
      </w:r>
    </w:p>
    <w:p w14:paraId="6E95687A">
      <w:pPr>
        <w:spacing w:before="195" w:line="361" w:lineRule="auto"/>
        <w:ind w:left="7" w:firstLine="2"/>
        <w:rPr>
          <w:rFonts w:ascii="宋体" w:hAnsi="宋体" w:eastAsia="宋体" w:cs="宋体"/>
          <w:sz w:val="24"/>
          <w:szCs w:val="24"/>
        </w:rPr>
      </w:pPr>
      <w:r>
        <w:rPr>
          <w:rFonts w:ascii="宋体" w:hAnsi="宋体" w:eastAsia="宋体" w:cs="宋体"/>
          <w:spacing w:val="-9"/>
          <w:sz w:val="24"/>
          <w:szCs w:val="24"/>
        </w:rPr>
        <w:t>套工艺单元的项目，对每套生产工艺分别评分并求和。将</w:t>
      </w:r>
      <w:r>
        <w:rPr>
          <w:rFonts w:ascii="宋体" w:hAnsi="宋体" w:eastAsia="宋体" w:cs="宋体"/>
          <w:spacing w:val="-44"/>
          <w:sz w:val="24"/>
          <w:szCs w:val="24"/>
        </w:rPr>
        <w:t xml:space="preserve"> </w:t>
      </w:r>
      <w:r>
        <w:rPr>
          <w:rFonts w:ascii="Times New Roman" w:hAnsi="Times New Roman" w:eastAsia="Times New Roman" w:cs="Times New Roman"/>
          <w:spacing w:val="-9"/>
          <w:sz w:val="24"/>
          <w:szCs w:val="24"/>
        </w:rPr>
        <w:t xml:space="preserve">M </w:t>
      </w:r>
      <w:r>
        <w:rPr>
          <w:rFonts w:ascii="宋体" w:hAnsi="宋体" w:eastAsia="宋体" w:cs="宋体"/>
          <w:spacing w:val="-9"/>
          <w:sz w:val="24"/>
          <w:szCs w:val="24"/>
        </w:rPr>
        <w:t>划分为</w:t>
      </w:r>
      <w:r>
        <w:rPr>
          <w:rFonts w:ascii="宋体" w:hAnsi="宋体" w:eastAsia="宋体" w:cs="宋体"/>
          <w:spacing w:val="-51"/>
          <w:sz w:val="24"/>
          <w:szCs w:val="24"/>
        </w:rPr>
        <w:t xml:space="preserve"> </w:t>
      </w:r>
      <w:r>
        <w:rPr>
          <w:rFonts w:ascii="Times New Roman" w:hAnsi="Times New Roman" w:eastAsia="Times New Roman" w:cs="Times New Roman"/>
          <w:spacing w:val="-9"/>
          <w:sz w:val="24"/>
          <w:szCs w:val="24"/>
        </w:rPr>
        <w:t>a.M&gt;20</w:t>
      </w:r>
      <w:r>
        <w:rPr>
          <w:rFonts w:ascii="宋体" w:hAnsi="宋体" w:eastAsia="宋体" w:cs="宋体"/>
          <w:spacing w:val="-9"/>
          <w:sz w:val="24"/>
          <w:szCs w:val="24"/>
        </w:rPr>
        <w:t>；</w:t>
      </w:r>
      <w:r>
        <w:rPr>
          <w:rFonts w:ascii="Times New Roman" w:hAnsi="Times New Roman" w:eastAsia="Times New Roman" w:cs="Times New Roman"/>
          <w:spacing w:val="-9"/>
          <w:sz w:val="24"/>
          <w:szCs w:val="24"/>
        </w:rPr>
        <w:t>b.</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9"/>
          <w:sz w:val="24"/>
          <w:szCs w:val="24"/>
        </w:rPr>
        <w:t>10&lt;M≤20</w:t>
      </w:r>
      <w:r>
        <w:rPr>
          <w:rFonts w:ascii="宋体" w:hAnsi="宋体" w:eastAsia="宋体" w:cs="宋体"/>
          <w:spacing w:val="-9"/>
          <w:sz w:val="24"/>
          <w:szCs w:val="24"/>
        </w:rPr>
        <w:t>；</w:t>
      </w:r>
      <w:r>
        <w:rPr>
          <w:rFonts w:ascii="宋体" w:hAnsi="宋体" w:eastAsia="宋体" w:cs="宋体"/>
          <w:sz w:val="24"/>
          <w:szCs w:val="24"/>
        </w:rPr>
        <w:t xml:space="preserve"> </w:t>
      </w:r>
      <w:r>
        <w:rPr>
          <w:rFonts w:ascii="Times New Roman" w:hAnsi="Times New Roman" w:eastAsia="Times New Roman" w:cs="Times New Roman"/>
          <w:spacing w:val="-2"/>
          <w:sz w:val="24"/>
          <w:szCs w:val="24"/>
        </w:rPr>
        <w:t>c.5&lt;M≤10</w:t>
      </w:r>
      <w:r>
        <w:rPr>
          <w:rFonts w:ascii="宋体" w:hAnsi="宋体" w:eastAsia="宋体" w:cs="宋体"/>
          <w:spacing w:val="-2"/>
          <w:sz w:val="24"/>
          <w:szCs w:val="24"/>
        </w:rPr>
        <w:t>；</w:t>
      </w:r>
      <w:r>
        <w:rPr>
          <w:rFonts w:ascii="Times New Roman" w:hAnsi="Times New Roman" w:eastAsia="Times New Roman" w:cs="Times New Roman"/>
          <w:spacing w:val="-2"/>
          <w:sz w:val="24"/>
          <w:szCs w:val="24"/>
        </w:rPr>
        <w:t>d.M=5</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，分别以</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M1</w:t>
      </w:r>
      <w:r>
        <w:rPr>
          <w:rFonts w:ascii="Times New Roman" w:hAnsi="Times New Roman" w:eastAsia="Times New Roman" w:cs="Times New Roman"/>
          <w:spacing w:val="-34"/>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M2</w:t>
      </w:r>
      <w:r>
        <w:rPr>
          <w:rFonts w:ascii="Times New Roman" w:hAnsi="Times New Roman" w:eastAsia="Times New Roman" w:cs="Times New Roman"/>
          <w:spacing w:val="-34"/>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M3 </w:t>
      </w:r>
      <w:r>
        <w:rPr>
          <w:rFonts w:ascii="宋体" w:hAnsi="宋体" w:eastAsia="宋体" w:cs="宋体"/>
          <w:spacing w:val="-2"/>
          <w:sz w:val="24"/>
          <w:szCs w:val="24"/>
        </w:rPr>
        <w:t>和</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 xml:space="preserve">M4 </w:t>
      </w:r>
      <w:r>
        <w:rPr>
          <w:rFonts w:ascii="宋体" w:hAnsi="宋体" w:eastAsia="宋体" w:cs="宋体"/>
          <w:spacing w:val="-2"/>
          <w:sz w:val="24"/>
          <w:szCs w:val="24"/>
        </w:rPr>
        <w:t>表示，</w:t>
      </w:r>
      <w:r>
        <w:rPr>
          <w:rFonts w:ascii="宋体" w:hAnsi="宋体" w:eastAsia="宋体" w:cs="宋体"/>
          <w:spacing w:val="-3"/>
          <w:sz w:val="24"/>
          <w:szCs w:val="24"/>
        </w:rPr>
        <w:t>具体如下表</w:t>
      </w:r>
      <w:r>
        <w:rPr>
          <w:rFonts w:ascii="宋体" w:hAnsi="宋体" w:eastAsia="宋体" w:cs="宋体"/>
          <w:spacing w:val="-48"/>
          <w:sz w:val="24"/>
          <w:szCs w:val="24"/>
        </w:rPr>
        <w:t xml:space="preserve"> </w:t>
      </w:r>
      <w:r>
        <w:rPr>
          <w:rFonts w:ascii="Times New Roman" w:hAnsi="Times New Roman" w:eastAsia="Times New Roman" w:cs="Times New Roman"/>
          <w:spacing w:val="-3"/>
          <w:sz w:val="24"/>
          <w:szCs w:val="24"/>
        </w:rPr>
        <w:t xml:space="preserve">5.2-2 </w:t>
      </w:r>
      <w:r>
        <w:rPr>
          <w:rFonts w:ascii="宋体" w:hAnsi="宋体" w:eastAsia="宋体" w:cs="宋体"/>
          <w:spacing w:val="-3"/>
          <w:sz w:val="24"/>
          <w:szCs w:val="24"/>
        </w:rPr>
        <w:t>所示。</w:t>
      </w:r>
    </w:p>
    <w:p w14:paraId="3941DF77">
      <w:pPr>
        <w:spacing w:before="33" w:line="226" w:lineRule="auto"/>
        <w:ind w:left="2718"/>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5.2-2        </w:t>
      </w:r>
      <w:r>
        <w:rPr>
          <w:rFonts w:ascii="宋体" w:hAnsi="宋体" w:eastAsia="宋体" w:cs="宋体"/>
          <w:b/>
          <w:bCs/>
          <w:spacing w:val="5"/>
          <w:sz w:val="20"/>
          <w:szCs w:val="20"/>
        </w:rPr>
        <w:t>行业和生产工艺评估一览表</w:t>
      </w:r>
    </w:p>
    <w:p w14:paraId="5CE8B4CE">
      <w:pPr>
        <w:spacing w:line="100"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85"/>
        <w:gridCol w:w="5597"/>
        <w:gridCol w:w="1490"/>
      </w:tblGrid>
      <w:tr w14:paraId="6AA4A6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1985" w:type="dxa"/>
            <w:tcBorders>
              <w:top w:val="single" w:color="000000" w:sz="10" w:space="0"/>
              <w:left w:val="nil"/>
            </w:tcBorders>
            <w:vAlign w:val="top"/>
          </w:tcPr>
          <w:p w14:paraId="73D786AB">
            <w:pPr>
              <w:pStyle w:val="6"/>
              <w:spacing w:before="60" w:line="228" w:lineRule="auto"/>
              <w:ind w:left="790"/>
              <w:rPr>
                <w:sz w:val="20"/>
                <w:szCs w:val="20"/>
              </w:rPr>
            </w:pPr>
            <w:r>
              <w:rPr>
                <w:b/>
                <w:bCs/>
                <w:spacing w:val="2"/>
                <w:sz w:val="20"/>
                <w:szCs w:val="20"/>
              </w:rPr>
              <w:t>行业</w:t>
            </w:r>
          </w:p>
        </w:tc>
        <w:tc>
          <w:tcPr>
            <w:tcW w:w="5597" w:type="dxa"/>
            <w:tcBorders>
              <w:top w:val="single" w:color="000000" w:sz="10" w:space="0"/>
            </w:tcBorders>
            <w:vAlign w:val="top"/>
          </w:tcPr>
          <w:p w14:paraId="6B71E752">
            <w:pPr>
              <w:pStyle w:val="6"/>
              <w:spacing w:before="60" w:line="226" w:lineRule="auto"/>
              <w:ind w:left="2381"/>
              <w:rPr>
                <w:sz w:val="20"/>
                <w:szCs w:val="20"/>
              </w:rPr>
            </w:pPr>
            <w:r>
              <w:rPr>
                <w:b/>
                <w:bCs/>
                <w:spacing w:val="6"/>
                <w:sz w:val="20"/>
                <w:szCs w:val="20"/>
              </w:rPr>
              <w:t>评估依据</w:t>
            </w:r>
          </w:p>
        </w:tc>
        <w:tc>
          <w:tcPr>
            <w:tcW w:w="1490" w:type="dxa"/>
            <w:tcBorders>
              <w:top w:val="single" w:color="000000" w:sz="10" w:space="0"/>
              <w:right w:val="nil"/>
            </w:tcBorders>
            <w:vAlign w:val="top"/>
          </w:tcPr>
          <w:p w14:paraId="3CF2E7E7">
            <w:pPr>
              <w:pStyle w:val="6"/>
              <w:spacing w:before="59" w:line="228" w:lineRule="auto"/>
              <w:ind w:left="544"/>
              <w:rPr>
                <w:sz w:val="20"/>
                <w:szCs w:val="20"/>
              </w:rPr>
            </w:pPr>
            <w:r>
              <w:rPr>
                <w:b/>
                <w:bCs/>
                <w:spacing w:val="2"/>
                <w:sz w:val="20"/>
                <w:szCs w:val="20"/>
              </w:rPr>
              <w:t>分值</w:t>
            </w:r>
          </w:p>
        </w:tc>
      </w:tr>
      <w:tr w14:paraId="796933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3" w:hRule="atLeast"/>
        </w:trPr>
        <w:tc>
          <w:tcPr>
            <w:tcW w:w="1985" w:type="dxa"/>
            <w:tcBorders>
              <w:left w:val="nil"/>
              <w:bottom w:val="single" w:color="000000" w:sz="10" w:space="0"/>
            </w:tcBorders>
            <w:vAlign w:val="top"/>
          </w:tcPr>
          <w:p w14:paraId="37824304">
            <w:pPr>
              <w:pStyle w:val="6"/>
              <w:spacing w:before="219" w:line="280" w:lineRule="auto"/>
              <w:ind w:left="53" w:right="48"/>
              <w:rPr>
                <w:sz w:val="20"/>
                <w:szCs w:val="20"/>
              </w:rPr>
            </w:pPr>
            <w:r>
              <w:rPr>
                <w:spacing w:val="8"/>
                <w:sz w:val="20"/>
                <w:szCs w:val="20"/>
              </w:rPr>
              <w:t>石化、化工、医药、</w:t>
            </w:r>
            <w:r>
              <w:rPr>
                <w:spacing w:val="6"/>
                <w:sz w:val="20"/>
                <w:szCs w:val="20"/>
              </w:rPr>
              <w:t xml:space="preserve"> </w:t>
            </w:r>
            <w:r>
              <w:rPr>
                <w:spacing w:val="8"/>
                <w:sz w:val="20"/>
                <w:szCs w:val="20"/>
              </w:rPr>
              <w:t>轻工、化纤、有色冶</w:t>
            </w:r>
          </w:p>
          <w:p w14:paraId="79ACB30D">
            <w:pPr>
              <w:pStyle w:val="6"/>
              <w:spacing w:before="31" w:line="228" w:lineRule="auto"/>
              <w:ind w:left="788"/>
              <w:rPr>
                <w:sz w:val="20"/>
                <w:szCs w:val="20"/>
              </w:rPr>
            </w:pPr>
            <w:r>
              <w:rPr>
                <w:spacing w:val="3"/>
                <w:sz w:val="20"/>
                <w:szCs w:val="20"/>
              </w:rPr>
              <w:t>炼等</w:t>
            </w:r>
          </w:p>
        </w:tc>
        <w:tc>
          <w:tcPr>
            <w:tcW w:w="5597" w:type="dxa"/>
            <w:tcBorders>
              <w:bottom w:val="single" w:color="000000" w:sz="10" w:space="0"/>
            </w:tcBorders>
            <w:vAlign w:val="top"/>
          </w:tcPr>
          <w:p w14:paraId="3A7DBA6F">
            <w:pPr>
              <w:pStyle w:val="6"/>
              <w:spacing w:before="59" w:line="280" w:lineRule="auto"/>
              <w:ind w:left="12"/>
              <w:jc w:val="both"/>
              <w:rPr>
                <w:sz w:val="20"/>
                <w:szCs w:val="20"/>
              </w:rPr>
            </w:pPr>
            <w:r>
              <w:rPr>
                <w:spacing w:val="4"/>
                <w:sz w:val="20"/>
                <w:szCs w:val="20"/>
              </w:rPr>
              <w:t>涉及光气及光气化工艺、电解工艺（氯碱）、氯化工艺</w:t>
            </w:r>
            <w:r>
              <w:rPr>
                <w:spacing w:val="3"/>
                <w:sz w:val="20"/>
                <w:szCs w:val="20"/>
              </w:rPr>
              <w:t>、硝化</w:t>
            </w:r>
            <w:r>
              <w:rPr>
                <w:sz w:val="20"/>
                <w:szCs w:val="20"/>
              </w:rPr>
              <w:t xml:space="preserve"> </w:t>
            </w:r>
            <w:r>
              <w:rPr>
                <w:spacing w:val="-1"/>
                <w:sz w:val="20"/>
                <w:szCs w:val="20"/>
              </w:rPr>
              <w:t>工艺、合成氨工艺、裂解（裂化）工艺、氟化工艺、加氢工艺、</w:t>
            </w:r>
            <w:r>
              <w:rPr>
                <w:spacing w:val="6"/>
                <w:sz w:val="20"/>
                <w:szCs w:val="20"/>
              </w:rPr>
              <w:t xml:space="preserve"> </w:t>
            </w:r>
            <w:r>
              <w:rPr>
                <w:spacing w:val="-1"/>
                <w:sz w:val="20"/>
                <w:szCs w:val="20"/>
              </w:rPr>
              <w:t>重氮化工艺、氧化工艺、过氧化工艺、胺基化工艺、磺化工艺、</w:t>
            </w:r>
            <w:r>
              <w:rPr>
                <w:spacing w:val="6"/>
                <w:sz w:val="20"/>
                <w:szCs w:val="20"/>
              </w:rPr>
              <w:t xml:space="preserve"> </w:t>
            </w:r>
            <w:r>
              <w:rPr>
                <w:spacing w:val="4"/>
                <w:sz w:val="20"/>
                <w:szCs w:val="20"/>
              </w:rPr>
              <w:t>聚合工艺、烷基化工艺、新型煤化工工艺、电石生产工艺、偶</w:t>
            </w:r>
          </w:p>
        </w:tc>
        <w:tc>
          <w:tcPr>
            <w:tcW w:w="1490" w:type="dxa"/>
            <w:tcBorders>
              <w:bottom w:val="single" w:color="000000" w:sz="10" w:space="0"/>
              <w:right w:val="nil"/>
            </w:tcBorders>
            <w:vAlign w:val="top"/>
          </w:tcPr>
          <w:p w14:paraId="11D1BEC9">
            <w:pPr>
              <w:spacing w:line="470" w:lineRule="auto"/>
              <w:rPr>
                <w:rFonts w:ascii="Arial"/>
                <w:sz w:val="21"/>
              </w:rPr>
            </w:pPr>
          </w:p>
          <w:p w14:paraId="4626706D">
            <w:pPr>
              <w:pStyle w:val="6"/>
              <w:spacing w:before="65" w:line="228" w:lineRule="auto"/>
              <w:ind w:left="529"/>
              <w:rPr>
                <w:sz w:val="20"/>
                <w:szCs w:val="20"/>
              </w:rPr>
            </w:pPr>
            <w:r>
              <w:rPr>
                <w:rFonts w:ascii="Times New Roman" w:hAnsi="Times New Roman" w:eastAsia="Times New Roman" w:cs="Times New Roman"/>
                <w:spacing w:val="-1"/>
                <w:sz w:val="20"/>
                <w:szCs w:val="20"/>
              </w:rPr>
              <w:t>10/</w:t>
            </w:r>
            <w:r>
              <w:rPr>
                <w:spacing w:val="-1"/>
                <w:sz w:val="20"/>
                <w:szCs w:val="20"/>
              </w:rPr>
              <w:t>套</w:t>
            </w:r>
          </w:p>
        </w:tc>
      </w:tr>
    </w:tbl>
    <w:p w14:paraId="667B1A31">
      <w:pPr>
        <w:pStyle w:val="2"/>
      </w:pPr>
    </w:p>
    <w:p w14:paraId="69F91F6C">
      <w:pPr>
        <w:sectPr>
          <w:headerReference r:id="rId384" w:type="default"/>
          <w:footerReference r:id="rId385" w:type="default"/>
          <w:pgSz w:w="11906" w:h="16839"/>
          <w:pgMar w:top="1191" w:right="1359" w:bottom="1221" w:left="1417" w:header="882" w:footer="1059" w:gutter="0"/>
          <w:cols w:space="720" w:num="1"/>
        </w:sectPr>
      </w:pPr>
    </w:p>
    <w:p w14:paraId="06CE004C">
      <w:pPr>
        <w:spacing w:line="28" w:lineRule="exact"/>
        <w:ind w:firstLine="1"/>
      </w:pPr>
      <w:r>
        <w:pict>
          <v:shape id="_x0000_s1882" o:spid="_x0000_s1882" style="height:1.45pt;width:453.65pt;" fillcolor="#000000" filled="t" stroked="f" coordsize="9072,29" path="m0,0l9072,0,9072,28,0,28,0,0xe">
            <v:path/>
            <v:fill on="t" focussize="0,0"/>
            <v:stroke on="f"/>
            <v:imagedata o:title=""/>
            <o:lock v:ext="edit"/>
            <w10:wrap type="none"/>
            <w10:anchorlock/>
          </v:shape>
        </w:pict>
      </w:r>
    </w:p>
    <w:p w14:paraId="2026AF2E">
      <w:pPr>
        <w:spacing w:line="196" w:lineRule="exact"/>
      </w:pPr>
    </w:p>
    <w:tbl>
      <w:tblPr>
        <w:tblStyle w:val="5"/>
        <w:tblW w:w="9072"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85"/>
        <w:gridCol w:w="5597"/>
        <w:gridCol w:w="1490"/>
      </w:tblGrid>
      <w:tr w14:paraId="2BEAB9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1985" w:type="dxa"/>
            <w:tcBorders>
              <w:top w:val="single" w:color="000000" w:sz="10" w:space="0"/>
              <w:left w:val="nil"/>
            </w:tcBorders>
            <w:vAlign w:val="top"/>
          </w:tcPr>
          <w:p w14:paraId="3899863E">
            <w:pPr>
              <w:pStyle w:val="6"/>
              <w:spacing w:before="59" w:line="228" w:lineRule="auto"/>
              <w:ind w:left="790"/>
              <w:rPr>
                <w:sz w:val="20"/>
                <w:szCs w:val="20"/>
              </w:rPr>
            </w:pPr>
            <w:r>
              <w:rPr>
                <w:b/>
                <w:bCs/>
                <w:spacing w:val="2"/>
                <w:sz w:val="20"/>
                <w:szCs w:val="20"/>
              </w:rPr>
              <w:t>行业</w:t>
            </w:r>
          </w:p>
        </w:tc>
        <w:tc>
          <w:tcPr>
            <w:tcW w:w="5597" w:type="dxa"/>
            <w:tcBorders>
              <w:top w:val="single" w:color="000000" w:sz="10" w:space="0"/>
            </w:tcBorders>
            <w:vAlign w:val="top"/>
          </w:tcPr>
          <w:p w14:paraId="51209C36">
            <w:pPr>
              <w:pStyle w:val="6"/>
              <w:spacing w:before="59" w:line="226" w:lineRule="auto"/>
              <w:ind w:left="2381"/>
              <w:rPr>
                <w:sz w:val="20"/>
                <w:szCs w:val="20"/>
              </w:rPr>
            </w:pPr>
            <w:r>
              <w:rPr>
                <w:b/>
                <w:bCs/>
                <w:spacing w:val="6"/>
                <w:sz w:val="20"/>
                <w:szCs w:val="20"/>
              </w:rPr>
              <w:t>评估依据</w:t>
            </w:r>
          </w:p>
        </w:tc>
        <w:tc>
          <w:tcPr>
            <w:tcW w:w="1490" w:type="dxa"/>
            <w:tcBorders>
              <w:top w:val="single" w:color="000000" w:sz="10" w:space="0"/>
              <w:right w:val="nil"/>
            </w:tcBorders>
            <w:vAlign w:val="top"/>
          </w:tcPr>
          <w:p w14:paraId="3D45C215">
            <w:pPr>
              <w:pStyle w:val="6"/>
              <w:spacing w:before="59" w:line="228" w:lineRule="auto"/>
              <w:ind w:left="544"/>
              <w:rPr>
                <w:sz w:val="20"/>
                <w:szCs w:val="20"/>
              </w:rPr>
            </w:pPr>
            <w:r>
              <w:rPr>
                <w:b/>
                <w:bCs/>
                <w:spacing w:val="2"/>
                <w:sz w:val="20"/>
                <w:szCs w:val="20"/>
              </w:rPr>
              <w:t>分值</w:t>
            </w:r>
          </w:p>
        </w:tc>
      </w:tr>
      <w:tr w14:paraId="1E54DB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1985" w:type="dxa"/>
            <w:vMerge w:val="restart"/>
            <w:tcBorders>
              <w:left w:val="nil"/>
              <w:bottom w:val="nil"/>
            </w:tcBorders>
            <w:vAlign w:val="top"/>
          </w:tcPr>
          <w:p w14:paraId="3E5F27B9">
            <w:pPr>
              <w:rPr>
                <w:rFonts w:ascii="Arial"/>
                <w:sz w:val="21"/>
              </w:rPr>
            </w:pPr>
          </w:p>
        </w:tc>
        <w:tc>
          <w:tcPr>
            <w:tcW w:w="5597" w:type="dxa"/>
            <w:vAlign w:val="top"/>
          </w:tcPr>
          <w:p w14:paraId="120623EF">
            <w:pPr>
              <w:pStyle w:val="6"/>
              <w:spacing w:before="55" w:line="227" w:lineRule="auto"/>
              <w:ind w:left="9"/>
              <w:rPr>
                <w:sz w:val="20"/>
                <w:szCs w:val="20"/>
              </w:rPr>
            </w:pPr>
            <w:r>
              <w:rPr>
                <w:spacing w:val="7"/>
                <w:sz w:val="20"/>
                <w:szCs w:val="20"/>
              </w:rPr>
              <w:t>氮化工艺</w:t>
            </w:r>
          </w:p>
        </w:tc>
        <w:tc>
          <w:tcPr>
            <w:tcW w:w="1490" w:type="dxa"/>
            <w:tcBorders>
              <w:right w:val="nil"/>
            </w:tcBorders>
            <w:vAlign w:val="top"/>
          </w:tcPr>
          <w:p w14:paraId="786BE5F2">
            <w:pPr>
              <w:rPr>
                <w:rFonts w:ascii="Arial"/>
                <w:sz w:val="21"/>
              </w:rPr>
            </w:pPr>
          </w:p>
        </w:tc>
      </w:tr>
      <w:tr w14:paraId="13471B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1985" w:type="dxa"/>
            <w:vMerge w:val="continue"/>
            <w:tcBorders>
              <w:top w:val="nil"/>
              <w:left w:val="nil"/>
              <w:bottom w:val="nil"/>
            </w:tcBorders>
            <w:vAlign w:val="top"/>
          </w:tcPr>
          <w:p w14:paraId="6A89282A">
            <w:pPr>
              <w:rPr>
                <w:rFonts w:ascii="Arial"/>
                <w:sz w:val="21"/>
              </w:rPr>
            </w:pPr>
          </w:p>
        </w:tc>
        <w:tc>
          <w:tcPr>
            <w:tcW w:w="5597" w:type="dxa"/>
            <w:vAlign w:val="top"/>
          </w:tcPr>
          <w:p w14:paraId="334A7B93">
            <w:pPr>
              <w:pStyle w:val="6"/>
              <w:spacing w:before="55" w:line="227" w:lineRule="auto"/>
              <w:ind w:left="13"/>
              <w:rPr>
                <w:sz w:val="20"/>
                <w:szCs w:val="20"/>
              </w:rPr>
            </w:pPr>
            <w:r>
              <w:rPr>
                <w:spacing w:val="8"/>
                <w:sz w:val="20"/>
                <w:szCs w:val="20"/>
              </w:rPr>
              <w:t>无机酸制酸工艺、焦化工艺</w:t>
            </w:r>
          </w:p>
        </w:tc>
        <w:tc>
          <w:tcPr>
            <w:tcW w:w="1490" w:type="dxa"/>
            <w:tcBorders>
              <w:right w:val="nil"/>
            </w:tcBorders>
            <w:vAlign w:val="top"/>
          </w:tcPr>
          <w:p w14:paraId="11E085F0">
            <w:pPr>
              <w:pStyle w:val="6"/>
              <w:spacing w:before="56" w:line="228" w:lineRule="auto"/>
              <w:ind w:left="567"/>
              <w:rPr>
                <w:sz w:val="20"/>
                <w:szCs w:val="20"/>
              </w:rPr>
            </w:pPr>
            <w:r>
              <w:rPr>
                <w:rFonts w:ascii="Times New Roman" w:hAnsi="Times New Roman" w:eastAsia="Times New Roman" w:cs="Times New Roman"/>
                <w:spacing w:val="2"/>
                <w:sz w:val="20"/>
                <w:szCs w:val="20"/>
              </w:rPr>
              <w:t>5/</w:t>
            </w:r>
            <w:r>
              <w:rPr>
                <w:spacing w:val="2"/>
                <w:sz w:val="20"/>
                <w:szCs w:val="20"/>
              </w:rPr>
              <w:t>套</w:t>
            </w:r>
          </w:p>
        </w:tc>
      </w:tr>
      <w:tr w14:paraId="4BBE00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1985" w:type="dxa"/>
            <w:vMerge w:val="continue"/>
            <w:tcBorders>
              <w:top w:val="nil"/>
              <w:left w:val="nil"/>
            </w:tcBorders>
            <w:vAlign w:val="top"/>
          </w:tcPr>
          <w:p w14:paraId="0AEA61B9">
            <w:pPr>
              <w:rPr>
                <w:rFonts w:ascii="Arial"/>
                <w:sz w:val="21"/>
              </w:rPr>
            </w:pPr>
          </w:p>
        </w:tc>
        <w:tc>
          <w:tcPr>
            <w:tcW w:w="5597" w:type="dxa"/>
            <w:vAlign w:val="top"/>
          </w:tcPr>
          <w:p w14:paraId="6E186F6B">
            <w:pPr>
              <w:pStyle w:val="6"/>
              <w:spacing w:before="57" w:line="265" w:lineRule="auto"/>
              <w:ind w:left="10" w:right="3" w:firstLine="1"/>
              <w:rPr>
                <w:sz w:val="20"/>
                <w:szCs w:val="20"/>
              </w:rPr>
            </w:pPr>
            <w:r>
              <w:rPr>
                <w:spacing w:val="7"/>
                <w:sz w:val="20"/>
                <w:szCs w:val="20"/>
              </w:rPr>
              <w:t>其他高温或高压，且涉及危险物质的工艺过程</w:t>
            </w:r>
            <w:r>
              <w:rPr>
                <w:spacing w:val="-27"/>
                <w:sz w:val="20"/>
                <w:szCs w:val="20"/>
              </w:rPr>
              <w:t xml:space="preserve"> </w:t>
            </w:r>
            <w:r>
              <w:rPr>
                <w:rFonts w:ascii="Times New Roman" w:hAnsi="Times New Roman" w:eastAsia="Times New Roman" w:cs="Times New Roman"/>
                <w:spacing w:val="7"/>
                <w:sz w:val="20"/>
                <w:szCs w:val="20"/>
              </w:rPr>
              <w:t>a</w:t>
            </w:r>
            <w:r>
              <w:rPr>
                <w:rFonts w:ascii="Times New Roman" w:hAnsi="Times New Roman" w:eastAsia="Times New Roman" w:cs="Times New Roman"/>
                <w:spacing w:val="-26"/>
                <w:sz w:val="20"/>
                <w:szCs w:val="20"/>
              </w:rPr>
              <w:t xml:space="preserve"> </w:t>
            </w:r>
            <w:r>
              <w:rPr>
                <w:spacing w:val="7"/>
                <w:sz w:val="20"/>
                <w:szCs w:val="20"/>
              </w:rPr>
              <w:t>、危险物质贮</w:t>
            </w:r>
            <w:r>
              <w:rPr>
                <w:sz w:val="20"/>
                <w:szCs w:val="20"/>
              </w:rPr>
              <w:t xml:space="preserve"> </w:t>
            </w:r>
            <w:r>
              <w:rPr>
                <w:spacing w:val="7"/>
                <w:sz w:val="20"/>
                <w:szCs w:val="20"/>
              </w:rPr>
              <w:t>存罐区</w:t>
            </w:r>
          </w:p>
        </w:tc>
        <w:tc>
          <w:tcPr>
            <w:tcW w:w="1490" w:type="dxa"/>
            <w:tcBorders>
              <w:right w:val="nil"/>
            </w:tcBorders>
            <w:vAlign w:val="top"/>
          </w:tcPr>
          <w:p w14:paraId="4A805957">
            <w:pPr>
              <w:pStyle w:val="6"/>
              <w:spacing w:before="214" w:line="228" w:lineRule="auto"/>
              <w:ind w:left="147"/>
              <w:rPr>
                <w:sz w:val="20"/>
                <w:szCs w:val="20"/>
              </w:rPr>
            </w:pPr>
            <w:r>
              <w:rPr>
                <w:rFonts w:ascii="Times New Roman" w:hAnsi="Times New Roman" w:eastAsia="Times New Roman" w:cs="Times New Roman"/>
                <w:spacing w:val="5"/>
                <w:sz w:val="20"/>
                <w:szCs w:val="20"/>
              </w:rPr>
              <w:t>5/</w:t>
            </w:r>
            <w:r>
              <w:rPr>
                <w:spacing w:val="5"/>
                <w:sz w:val="20"/>
                <w:szCs w:val="20"/>
              </w:rPr>
              <w:t>套（罐区）</w:t>
            </w:r>
          </w:p>
        </w:tc>
      </w:tr>
      <w:tr w14:paraId="1D4D30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1985" w:type="dxa"/>
            <w:tcBorders>
              <w:left w:val="nil"/>
            </w:tcBorders>
            <w:vAlign w:val="top"/>
          </w:tcPr>
          <w:p w14:paraId="4C17968C">
            <w:pPr>
              <w:pStyle w:val="6"/>
              <w:spacing w:before="57" w:line="228" w:lineRule="auto"/>
              <w:ind w:left="134"/>
              <w:rPr>
                <w:sz w:val="20"/>
                <w:szCs w:val="20"/>
              </w:rPr>
            </w:pPr>
            <w:r>
              <w:rPr>
                <w:spacing w:val="7"/>
                <w:sz w:val="20"/>
                <w:szCs w:val="20"/>
              </w:rPr>
              <w:t>管道、港口</w:t>
            </w:r>
            <w:r>
              <w:rPr>
                <w:rFonts w:ascii="Times New Roman" w:hAnsi="Times New Roman" w:eastAsia="Times New Roman" w:cs="Times New Roman"/>
                <w:spacing w:val="7"/>
                <w:sz w:val="20"/>
                <w:szCs w:val="20"/>
              </w:rPr>
              <w:t>/</w:t>
            </w:r>
            <w:r>
              <w:rPr>
                <w:spacing w:val="7"/>
                <w:sz w:val="20"/>
                <w:szCs w:val="20"/>
              </w:rPr>
              <w:t>码头等</w:t>
            </w:r>
          </w:p>
        </w:tc>
        <w:tc>
          <w:tcPr>
            <w:tcW w:w="5597" w:type="dxa"/>
            <w:vAlign w:val="top"/>
          </w:tcPr>
          <w:p w14:paraId="3B16C53D">
            <w:pPr>
              <w:pStyle w:val="6"/>
              <w:spacing w:before="57" w:line="228" w:lineRule="auto"/>
              <w:ind w:left="13"/>
              <w:rPr>
                <w:sz w:val="20"/>
                <w:szCs w:val="20"/>
              </w:rPr>
            </w:pPr>
            <w:r>
              <w:rPr>
                <w:spacing w:val="8"/>
                <w:sz w:val="20"/>
                <w:szCs w:val="20"/>
              </w:rPr>
              <w:t>涉及危险物质管道运输项目、港口</w:t>
            </w:r>
            <w:r>
              <w:rPr>
                <w:rFonts w:ascii="Times New Roman" w:hAnsi="Times New Roman" w:eastAsia="Times New Roman" w:cs="Times New Roman"/>
                <w:spacing w:val="8"/>
                <w:sz w:val="20"/>
                <w:szCs w:val="20"/>
              </w:rPr>
              <w:t>/</w:t>
            </w:r>
            <w:r>
              <w:rPr>
                <w:spacing w:val="8"/>
                <w:sz w:val="20"/>
                <w:szCs w:val="20"/>
              </w:rPr>
              <w:t>码头等</w:t>
            </w:r>
          </w:p>
        </w:tc>
        <w:tc>
          <w:tcPr>
            <w:tcW w:w="1490" w:type="dxa"/>
            <w:tcBorders>
              <w:right w:val="nil"/>
            </w:tcBorders>
            <w:vAlign w:val="top"/>
          </w:tcPr>
          <w:p w14:paraId="2B5FD8AC">
            <w:pPr>
              <w:spacing w:before="93" w:line="195" w:lineRule="auto"/>
              <w:ind w:left="66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r>
      <w:tr w14:paraId="193B03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1" w:hRule="atLeast"/>
        </w:trPr>
        <w:tc>
          <w:tcPr>
            <w:tcW w:w="1985" w:type="dxa"/>
            <w:tcBorders>
              <w:left w:val="nil"/>
            </w:tcBorders>
            <w:vAlign w:val="top"/>
          </w:tcPr>
          <w:p w14:paraId="60A4B818">
            <w:pPr>
              <w:spacing w:line="310" w:lineRule="auto"/>
              <w:rPr>
                <w:rFonts w:ascii="Arial"/>
                <w:sz w:val="21"/>
              </w:rPr>
            </w:pPr>
          </w:p>
          <w:p w14:paraId="247302B9">
            <w:pPr>
              <w:pStyle w:val="6"/>
              <w:spacing w:before="65" w:line="228" w:lineRule="auto"/>
              <w:ind w:left="473"/>
              <w:rPr>
                <w:sz w:val="20"/>
                <w:szCs w:val="20"/>
              </w:rPr>
            </w:pPr>
            <w:r>
              <w:rPr>
                <w:spacing w:val="7"/>
                <w:sz w:val="20"/>
                <w:szCs w:val="20"/>
              </w:rPr>
              <w:t>石油天然气</w:t>
            </w:r>
          </w:p>
        </w:tc>
        <w:tc>
          <w:tcPr>
            <w:tcW w:w="5597" w:type="dxa"/>
            <w:vAlign w:val="top"/>
          </w:tcPr>
          <w:p w14:paraId="213D853A">
            <w:pPr>
              <w:pStyle w:val="6"/>
              <w:spacing w:before="57" w:line="275" w:lineRule="auto"/>
              <w:ind w:left="12" w:right="5"/>
              <w:jc w:val="both"/>
              <w:rPr>
                <w:sz w:val="20"/>
                <w:szCs w:val="20"/>
              </w:rPr>
            </w:pPr>
            <w:r>
              <w:rPr>
                <w:spacing w:val="7"/>
                <w:sz w:val="20"/>
                <w:szCs w:val="20"/>
              </w:rPr>
              <w:t>石油、天然气、页岩气开采（含净化</w:t>
            </w:r>
            <w:r>
              <w:rPr>
                <w:sz w:val="20"/>
                <w:szCs w:val="20"/>
              </w:rPr>
              <w:t>），</w:t>
            </w:r>
            <w:r>
              <w:rPr>
                <w:spacing w:val="7"/>
                <w:sz w:val="20"/>
                <w:szCs w:val="20"/>
              </w:rPr>
              <w:t>气库（不含加</w:t>
            </w:r>
            <w:r>
              <w:rPr>
                <w:spacing w:val="6"/>
                <w:sz w:val="20"/>
                <w:szCs w:val="20"/>
              </w:rPr>
              <w:t>气站的</w:t>
            </w:r>
            <w:r>
              <w:rPr>
                <w:sz w:val="20"/>
                <w:szCs w:val="20"/>
              </w:rPr>
              <w:t xml:space="preserve"> </w:t>
            </w:r>
            <w:r>
              <w:rPr>
                <w:spacing w:val="8"/>
                <w:sz w:val="20"/>
                <w:szCs w:val="20"/>
              </w:rPr>
              <w:t>气库</w:t>
            </w:r>
            <w:r>
              <w:rPr>
                <w:spacing w:val="10"/>
                <w:sz w:val="20"/>
                <w:szCs w:val="20"/>
              </w:rPr>
              <w:t>），</w:t>
            </w:r>
            <w:r>
              <w:rPr>
                <w:spacing w:val="8"/>
                <w:sz w:val="20"/>
                <w:szCs w:val="20"/>
              </w:rPr>
              <w:t>油库（不含加气站的油库）、油气管线</w:t>
            </w:r>
            <w:r>
              <w:rPr>
                <w:spacing w:val="-44"/>
                <w:sz w:val="20"/>
                <w:szCs w:val="20"/>
              </w:rPr>
              <w:t xml:space="preserve"> </w:t>
            </w:r>
            <w:r>
              <w:rPr>
                <w:rFonts w:ascii="Times New Roman" w:hAnsi="Times New Roman" w:eastAsia="Times New Roman" w:cs="Times New Roman"/>
                <w:spacing w:val="8"/>
                <w:sz w:val="20"/>
                <w:szCs w:val="20"/>
              </w:rPr>
              <w:t>b</w:t>
            </w:r>
            <w:r>
              <w:rPr>
                <w:spacing w:val="8"/>
                <w:sz w:val="20"/>
                <w:szCs w:val="20"/>
              </w:rPr>
              <w:t>（</w:t>
            </w:r>
            <w:r>
              <w:rPr>
                <w:spacing w:val="7"/>
                <w:sz w:val="20"/>
                <w:szCs w:val="20"/>
              </w:rPr>
              <w:t>不含城镇</w:t>
            </w:r>
            <w:r>
              <w:rPr>
                <w:sz w:val="20"/>
                <w:szCs w:val="20"/>
              </w:rPr>
              <w:t xml:space="preserve"> </w:t>
            </w:r>
            <w:r>
              <w:rPr>
                <w:spacing w:val="5"/>
                <w:sz w:val="20"/>
                <w:szCs w:val="20"/>
              </w:rPr>
              <w:t>燃气管线）</w:t>
            </w:r>
          </w:p>
        </w:tc>
        <w:tc>
          <w:tcPr>
            <w:tcW w:w="1490" w:type="dxa"/>
            <w:tcBorders>
              <w:right w:val="nil"/>
            </w:tcBorders>
            <w:vAlign w:val="top"/>
          </w:tcPr>
          <w:p w14:paraId="481E8D74">
            <w:pPr>
              <w:spacing w:line="353" w:lineRule="auto"/>
              <w:rPr>
                <w:rFonts w:ascii="Arial"/>
                <w:sz w:val="21"/>
              </w:rPr>
            </w:pPr>
          </w:p>
          <w:p w14:paraId="023FA28E">
            <w:pPr>
              <w:spacing w:before="57" w:line="195" w:lineRule="auto"/>
              <w:ind w:left="66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r>
      <w:tr w14:paraId="155B9C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1985" w:type="dxa"/>
            <w:tcBorders>
              <w:left w:val="nil"/>
            </w:tcBorders>
            <w:vAlign w:val="top"/>
          </w:tcPr>
          <w:p w14:paraId="02FAA998">
            <w:pPr>
              <w:pStyle w:val="6"/>
              <w:spacing w:before="59" w:line="228" w:lineRule="auto"/>
              <w:ind w:left="787"/>
              <w:rPr>
                <w:sz w:val="20"/>
                <w:szCs w:val="20"/>
              </w:rPr>
            </w:pPr>
            <w:r>
              <w:rPr>
                <w:spacing w:val="4"/>
                <w:sz w:val="20"/>
                <w:szCs w:val="20"/>
              </w:rPr>
              <w:t>其他</w:t>
            </w:r>
          </w:p>
        </w:tc>
        <w:tc>
          <w:tcPr>
            <w:tcW w:w="5597" w:type="dxa"/>
            <w:vAlign w:val="top"/>
          </w:tcPr>
          <w:p w14:paraId="6E791149">
            <w:pPr>
              <w:pStyle w:val="6"/>
              <w:spacing w:before="58" w:line="228" w:lineRule="auto"/>
              <w:ind w:left="13"/>
              <w:rPr>
                <w:sz w:val="20"/>
                <w:szCs w:val="20"/>
              </w:rPr>
            </w:pPr>
            <w:r>
              <w:rPr>
                <w:spacing w:val="9"/>
                <w:sz w:val="20"/>
                <w:szCs w:val="20"/>
              </w:rPr>
              <w:t>涉及危险物质使用、贮存的项目</w:t>
            </w:r>
          </w:p>
        </w:tc>
        <w:tc>
          <w:tcPr>
            <w:tcW w:w="1490" w:type="dxa"/>
            <w:tcBorders>
              <w:right w:val="nil"/>
            </w:tcBorders>
            <w:vAlign w:val="top"/>
          </w:tcPr>
          <w:p w14:paraId="6391D40E">
            <w:pPr>
              <w:spacing w:before="97" w:line="192" w:lineRule="auto"/>
              <w:ind w:left="702"/>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r>
    </w:tbl>
    <w:p w14:paraId="09427554">
      <w:pPr>
        <w:spacing w:before="53" w:line="270" w:lineRule="auto"/>
        <w:ind w:right="2521" w:firstLine="7"/>
        <w:rPr>
          <w:rFonts w:ascii="宋体" w:hAnsi="宋体" w:eastAsia="宋体" w:cs="宋体"/>
          <w:sz w:val="20"/>
          <w:szCs w:val="20"/>
        </w:rPr>
      </w:pPr>
      <w:r>
        <w:rPr>
          <w:rFonts w:ascii="Times New Roman" w:hAnsi="Times New Roman" w:eastAsia="Times New Roman" w:cs="Times New Roman"/>
          <w:spacing w:val="4"/>
          <w:sz w:val="20"/>
          <w:szCs w:val="20"/>
        </w:rPr>
        <w:t>a</w:t>
      </w:r>
      <w:r>
        <w:rPr>
          <w:rFonts w:ascii="Times New Roman" w:hAnsi="Times New Roman" w:eastAsia="Times New Roman" w:cs="Times New Roman"/>
          <w:spacing w:val="19"/>
          <w:w w:val="101"/>
          <w:sz w:val="20"/>
          <w:szCs w:val="20"/>
        </w:rPr>
        <w:t xml:space="preserve"> </w:t>
      </w:r>
      <w:r>
        <w:rPr>
          <w:rFonts w:ascii="宋体" w:hAnsi="宋体" w:eastAsia="宋体" w:cs="宋体"/>
          <w:spacing w:val="4"/>
          <w:sz w:val="20"/>
          <w:szCs w:val="20"/>
        </w:rPr>
        <w:t>高温指工艺温度</w:t>
      </w:r>
      <w:r>
        <w:rPr>
          <w:rFonts w:ascii="Times New Roman" w:hAnsi="Times New Roman" w:eastAsia="Times New Roman" w:cs="Times New Roman"/>
          <w:spacing w:val="4"/>
          <w:sz w:val="20"/>
          <w:szCs w:val="20"/>
        </w:rPr>
        <w:t>≥300℃</w:t>
      </w:r>
      <w:r>
        <w:rPr>
          <w:rFonts w:ascii="Times New Roman" w:hAnsi="Times New Roman" w:eastAsia="Times New Roman" w:cs="Times New Roman"/>
          <w:spacing w:val="-23"/>
          <w:sz w:val="20"/>
          <w:szCs w:val="20"/>
        </w:rPr>
        <w:t xml:space="preserve"> </w:t>
      </w:r>
      <w:r>
        <w:rPr>
          <w:rFonts w:ascii="宋体" w:hAnsi="宋体" w:eastAsia="宋体" w:cs="宋体"/>
          <w:spacing w:val="4"/>
          <w:sz w:val="20"/>
          <w:szCs w:val="20"/>
        </w:rPr>
        <w:t>,</w:t>
      </w:r>
      <w:r>
        <w:rPr>
          <w:rFonts w:ascii="宋体" w:hAnsi="宋体" w:eastAsia="宋体" w:cs="宋体"/>
          <w:spacing w:val="65"/>
          <w:sz w:val="20"/>
          <w:szCs w:val="20"/>
        </w:rPr>
        <w:t xml:space="preserve"> </w:t>
      </w:r>
      <w:r>
        <w:rPr>
          <w:rFonts w:ascii="宋体" w:hAnsi="宋体" w:eastAsia="宋体" w:cs="宋体"/>
          <w:spacing w:val="4"/>
          <w:sz w:val="20"/>
          <w:szCs w:val="20"/>
        </w:rPr>
        <w:t>高压指压力容器的设计压力（</w:t>
      </w:r>
      <w:r>
        <w:rPr>
          <w:rFonts w:ascii="Times New Roman" w:hAnsi="Times New Roman" w:eastAsia="Times New Roman" w:cs="Times New Roman"/>
          <w:spacing w:val="4"/>
          <w:sz w:val="20"/>
          <w:szCs w:val="20"/>
        </w:rPr>
        <w:t>p</w:t>
      </w:r>
      <w:r>
        <w:rPr>
          <w:rFonts w:ascii="宋体" w:hAnsi="宋体" w:eastAsia="宋体" w:cs="宋体"/>
          <w:spacing w:val="4"/>
          <w:sz w:val="20"/>
          <w:szCs w:val="20"/>
        </w:rPr>
        <w:t>）</w:t>
      </w:r>
      <w:r>
        <w:rPr>
          <w:rFonts w:ascii="Times New Roman" w:hAnsi="Times New Roman" w:eastAsia="Times New Roman" w:cs="Times New Roman"/>
          <w:spacing w:val="4"/>
          <w:sz w:val="20"/>
          <w:szCs w:val="20"/>
        </w:rPr>
        <w:t>≥10.0</w:t>
      </w:r>
      <w:r>
        <w:rPr>
          <w:rFonts w:ascii="Times New Roman" w:hAnsi="Times New Roman" w:eastAsia="Times New Roman" w:cs="Times New Roman"/>
          <w:sz w:val="20"/>
          <w:szCs w:val="20"/>
        </w:rPr>
        <w:t>MPa</w:t>
      </w:r>
      <w:r>
        <w:rPr>
          <w:rFonts w:ascii="宋体" w:hAnsi="宋体" w:eastAsia="宋体" w:cs="宋体"/>
          <w:spacing w:val="4"/>
          <w:sz w:val="20"/>
          <w:szCs w:val="20"/>
        </w:rPr>
        <w:t>；</w:t>
      </w:r>
      <w:r>
        <w:rPr>
          <w:rFonts w:ascii="宋体" w:hAnsi="宋体" w:eastAsia="宋体" w:cs="宋体"/>
          <w:sz w:val="20"/>
          <w:szCs w:val="20"/>
        </w:rPr>
        <w:t xml:space="preserve"> </w:t>
      </w:r>
      <w:r>
        <w:rPr>
          <w:rFonts w:ascii="Times New Roman" w:hAnsi="Times New Roman" w:eastAsia="Times New Roman" w:cs="Times New Roman"/>
          <w:spacing w:val="9"/>
          <w:sz w:val="20"/>
          <w:szCs w:val="20"/>
        </w:rPr>
        <w:t xml:space="preserve">b </w:t>
      </w:r>
      <w:r>
        <w:rPr>
          <w:rFonts w:ascii="宋体" w:hAnsi="宋体" w:eastAsia="宋体" w:cs="宋体"/>
          <w:spacing w:val="9"/>
          <w:sz w:val="20"/>
          <w:szCs w:val="20"/>
        </w:rPr>
        <w:t>长输管道运输项目应按站场、管线分段进行评价。</w:t>
      </w:r>
    </w:p>
    <w:p w14:paraId="4CE827D0">
      <w:pPr>
        <w:spacing w:line="28" w:lineRule="exact"/>
        <w:ind w:firstLine="1"/>
      </w:pPr>
      <w:r>
        <w:pict>
          <v:shape id="_x0000_s1884" o:spid="_x0000_s1884" style="height:1.45pt;width:453.65pt;" filled="f" stroked="t" coordsize="9072,29" path="m0,14l9072,14e">
            <v:fill on="f" focussize="0,0"/>
            <v:stroke weight="1.44pt" color="#000000" miterlimit="2" joinstyle="bevel"/>
            <v:imagedata o:title=""/>
            <o:lock v:ext="edit"/>
            <w10:wrap type="none"/>
            <w10:anchorlock/>
          </v:shape>
        </w:pict>
      </w:r>
    </w:p>
    <w:p w14:paraId="66AD4184">
      <w:pPr>
        <w:spacing w:before="32" w:line="227" w:lineRule="auto"/>
        <w:ind w:left="3093"/>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20"/>
          <w:sz w:val="20"/>
          <w:szCs w:val="20"/>
        </w:rPr>
        <w:t xml:space="preserve"> </w:t>
      </w:r>
      <w:r>
        <w:rPr>
          <w:rFonts w:ascii="Times New Roman" w:hAnsi="Times New Roman" w:eastAsia="Times New Roman" w:cs="Times New Roman"/>
          <w:b/>
          <w:bCs/>
          <w:spacing w:val="6"/>
          <w:sz w:val="20"/>
          <w:szCs w:val="20"/>
        </w:rPr>
        <w:t xml:space="preserve">5.2-3        </w:t>
      </w:r>
      <w:r>
        <w:rPr>
          <w:rFonts w:ascii="宋体" w:hAnsi="宋体" w:eastAsia="宋体" w:cs="宋体"/>
          <w:b/>
          <w:bCs/>
          <w:spacing w:val="6"/>
          <w:sz w:val="20"/>
          <w:szCs w:val="20"/>
        </w:rPr>
        <w:t>本项目</w:t>
      </w:r>
      <w:r>
        <w:rPr>
          <w:rFonts w:ascii="Times New Roman" w:hAnsi="Times New Roman" w:eastAsia="Times New Roman" w:cs="Times New Roman"/>
          <w:b/>
          <w:bCs/>
          <w:spacing w:val="6"/>
          <w:sz w:val="20"/>
          <w:szCs w:val="20"/>
        </w:rPr>
        <w:t xml:space="preserve">M </w:t>
      </w:r>
      <w:r>
        <w:rPr>
          <w:rFonts w:ascii="宋体" w:hAnsi="宋体" w:eastAsia="宋体" w:cs="宋体"/>
          <w:b/>
          <w:bCs/>
          <w:spacing w:val="6"/>
          <w:sz w:val="20"/>
          <w:szCs w:val="20"/>
        </w:rPr>
        <w:t>值确定表</w:t>
      </w:r>
    </w:p>
    <w:p w14:paraId="00050935">
      <w:pPr>
        <w:spacing w:line="132" w:lineRule="exact"/>
      </w:pPr>
    </w:p>
    <w:tbl>
      <w:tblPr>
        <w:tblStyle w:val="5"/>
        <w:tblW w:w="9066"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6"/>
        <w:gridCol w:w="2592"/>
        <w:gridCol w:w="2729"/>
        <w:gridCol w:w="1605"/>
        <w:gridCol w:w="1384"/>
      </w:tblGrid>
      <w:tr w14:paraId="64C2A0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79" w:hRule="atLeast"/>
        </w:trPr>
        <w:tc>
          <w:tcPr>
            <w:tcW w:w="756" w:type="dxa"/>
            <w:tcBorders>
              <w:top w:val="single" w:color="000000" w:sz="10" w:space="0"/>
              <w:left w:val="nil"/>
            </w:tcBorders>
            <w:vAlign w:val="top"/>
          </w:tcPr>
          <w:p w14:paraId="7F48E48A">
            <w:pPr>
              <w:pStyle w:val="6"/>
              <w:spacing w:before="36" w:line="215" w:lineRule="auto"/>
              <w:ind w:left="171"/>
              <w:rPr>
                <w:sz w:val="20"/>
                <w:szCs w:val="20"/>
              </w:rPr>
            </w:pPr>
            <w:r>
              <w:rPr>
                <w:spacing w:val="5"/>
                <w:sz w:val="20"/>
                <w:szCs w:val="20"/>
              </w:rPr>
              <w:t>序号</w:t>
            </w:r>
          </w:p>
        </w:tc>
        <w:tc>
          <w:tcPr>
            <w:tcW w:w="2592" w:type="dxa"/>
            <w:tcBorders>
              <w:top w:val="single" w:color="000000" w:sz="10" w:space="0"/>
            </w:tcBorders>
            <w:vAlign w:val="top"/>
          </w:tcPr>
          <w:p w14:paraId="4CD7A519">
            <w:pPr>
              <w:pStyle w:val="6"/>
              <w:spacing w:before="36" w:line="215" w:lineRule="auto"/>
              <w:ind w:left="674"/>
              <w:rPr>
                <w:sz w:val="20"/>
                <w:szCs w:val="20"/>
              </w:rPr>
            </w:pPr>
            <w:r>
              <w:rPr>
                <w:spacing w:val="7"/>
                <w:sz w:val="20"/>
                <w:szCs w:val="20"/>
              </w:rPr>
              <w:t>工艺单元名称</w:t>
            </w:r>
          </w:p>
        </w:tc>
        <w:tc>
          <w:tcPr>
            <w:tcW w:w="2729" w:type="dxa"/>
            <w:tcBorders>
              <w:top w:val="single" w:color="000000" w:sz="10" w:space="0"/>
            </w:tcBorders>
            <w:vAlign w:val="top"/>
          </w:tcPr>
          <w:p w14:paraId="0390638D">
            <w:pPr>
              <w:pStyle w:val="6"/>
              <w:spacing w:before="36" w:line="215" w:lineRule="auto"/>
              <w:ind w:left="951"/>
              <w:rPr>
                <w:sz w:val="20"/>
                <w:szCs w:val="20"/>
              </w:rPr>
            </w:pPr>
            <w:r>
              <w:rPr>
                <w:spacing w:val="6"/>
                <w:sz w:val="20"/>
                <w:szCs w:val="20"/>
              </w:rPr>
              <w:t>生产工艺</w:t>
            </w:r>
          </w:p>
        </w:tc>
        <w:tc>
          <w:tcPr>
            <w:tcW w:w="1605" w:type="dxa"/>
            <w:tcBorders>
              <w:top w:val="single" w:color="000000" w:sz="10" w:space="0"/>
            </w:tcBorders>
            <w:vAlign w:val="top"/>
          </w:tcPr>
          <w:p w14:paraId="4F0C7DB5">
            <w:pPr>
              <w:pStyle w:val="6"/>
              <w:spacing w:before="36" w:line="215" w:lineRule="auto"/>
              <w:ind w:left="466"/>
              <w:rPr>
                <w:sz w:val="20"/>
                <w:szCs w:val="20"/>
              </w:rPr>
            </w:pPr>
            <w:r>
              <w:rPr>
                <w:spacing w:val="5"/>
                <w:sz w:val="20"/>
                <w:szCs w:val="20"/>
              </w:rPr>
              <w:t>数量</w:t>
            </w:r>
            <w:r>
              <w:rPr>
                <w:rFonts w:ascii="Times New Roman" w:hAnsi="Times New Roman" w:eastAsia="Times New Roman" w:cs="Times New Roman"/>
                <w:spacing w:val="5"/>
                <w:sz w:val="20"/>
                <w:szCs w:val="20"/>
              </w:rPr>
              <w:t>/</w:t>
            </w:r>
            <w:r>
              <w:rPr>
                <w:spacing w:val="5"/>
                <w:sz w:val="20"/>
                <w:szCs w:val="20"/>
              </w:rPr>
              <w:t>套</w:t>
            </w:r>
          </w:p>
        </w:tc>
        <w:tc>
          <w:tcPr>
            <w:tcW w:w="1384" w:type="dxa"/>
            <w:tcBorders>
              <w:top w:val="single" w:color="000000" w:sz="10" w:space="0"/>
              <w:right w:val="nil"/>
            </w:tcBorders>
            <w:vAlign w:val="top"/>
          </w:tcPr>
          <w:p w14:paraId="2AEA930B">
            <w:pPr>
              <w:pStyle w:val="6"/>
              <w:spacing w:before="36" w:line="215" w:lineRule="auto"/>
              <w:ind w:left="367"/>
              <w:rPr>
                <w:sz w:val="20"/>
                <w:szCs w:val="20"/>
              </w:rPr>
            </w:pPr>
            <w:r>
              <w:rPr>
                <w:rFonts w:ascii="Times New Roman" w:hAnsi="Times New Roman" w:eastAsia="Times New Roman" w:cs="Times New Roman"/>
                <w:spacing w:val="3"/>
                <w:sz w:val="20"/>
                <w:szCs w:val="20"/>
              </w:rPr>
              <w:t>M</w:t>
            </w:r>
            <w:r>
              <w:rPr>
                <w:rFonts w:ascii="Times New Roman" w:hAnsi="Times New Roman" w:eastAsia="Times New Roman" w:cs="Times New Roman"/>
                <w:spacing w:val="13"/>
                <w:w w:val="101"/>
                <w:sz w:val="20"/>
                <w:szCs w:val="20"/>
              </w:rPr>
              <w:t xml:space="preserve"> </w:t>
            </w:r>
            <w:r>
              <w:rPr>
                <w:spacing w:val="3"/>
                <w:sz w:val="20"/>
                <w:szCs w:val="20"/>
              </w:rPr>
              <w:t>分值</w:t>
            </w:r>
          </w:p>
        </w:tc>
      </w:tr>
      <w:tr w14:paraId="1BB2C7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756" w:type="dxa"/>
            <w:tcBorders>
              <w:left w:val="nil"/>
            </w:tcBorders>
            <w:vAlign w:val="top"/>
          </w:tcPr>
          <w:p w14:paraId="1AC42680">
            <w:pPr>
              <w:spacing w:before="68" w:line="194" w:lineRule="auto"/>
              <w:ind w:left="347"/>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592" w:type="dxa"/>
            <w:vAlign w:val="top"/>
          </w:tcPr>
          <w:p w14:paraId="7AD1DF9A">
            <w:pPr>
              <w:pStyle w:val="6"/>
              <w:spacing w:before="32" w:line="215" w:lineRule="auto"/>
              <w:ind w:left="985"/>
              <w:rPr>
                <w:sz w:val="20"/>
                <w:szCs w:val="20"/>
              </w:rPr>
            </w:pPr>
            <w:r>
              <w:rPr>
                <w:spacing w:val="7"/>
                <w:sz w:val="20"/>
                <w:szCs w:val="20"/>
              </w:rPr>
              <w:t>矿热炉</w:t>
            </w:r>
          </w:p>
        </w:tc>
        <w:tc>
          <w:tcPr>
            <w:tcW w:w="2729" w:type="dxa"/>
            <w:vAlign w:val="top"/>
          </w:tcPr>
          <w:p w14:paraId="6D085522">
            <w:pPr>
              <w:pStyle w:val="6"/>
              <w:spacing w:before="32" w:line="215" w:lineRule="auto"/>
              <w:ind w:left="843"/>
              <w:rPr>
                <w:sz w:val="20"/>
                <w:szCs w:val="20"/>
              </w:rPr>
            </w:pPr>
            <w:r>
              <w:rPr>
                <w:spacing w:val="8"/>
                <w:sz w:val="20"/>
                <w:szCs w:val="20"/>
              </w:rPr>
              <w:t>铁合金冶炼</w:t>
            </w:r>
          </w:p>
        </w:tc>
        <w:tc>
          <w:tcPr>
            <w:tcW w:w="1605" w:type="dxa"/>
            <w:vAlign w:val="top"/>
          </w:tcPr>
          <w:p w14:paraId="49615C46">
            <w:pPr>
              <w:spacing w:before="68" w:line="194" w:lineRule="auto"/>
              <w:ind w:left="756"/>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384" w:type="dxa"/>
            <w:tcBorders>
              <w:right w:val="nil"/>
            </w:tcBorders>
            <w:vAlign w:val="top"/>
          </w:tcPr>
          <w:p w14:paraId="56FC774F">
            <w:pPr>
              <w:spacing w:before="71" w:line="191" w:lineRule="auto"/>
              <w:ind w:left="650"/>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r>
      <w:tr w14:paraId="68D542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756" w:type="dxa"/>
            <w:tcBorders>
              <w:left w:val="nil"/>
            </w:tcBorders>
            <w:vAlign w:val="top"/>
          </w:tcPr>
          <w:p w14:paraId="1F3F0FF5">
            <w:pPr>
              <w:spacing w:before="71" w:line="194"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592" w:type="dxa"/>
            <w:vAlign w:val="top"/>
          </w:tcPr>
          <w:p w14:paraId="633F797B">
            <w:pPr>
              <w:pStyle w:val="6"/>
              <w:spacing w:before="34" w:line="214" w:lineRule="auto"/>
              <w:ind w:left="987"/>
              <w:rPr>
                <w:sz w:val="20"/>
                <w:szCs w:val="20"/>
              </w:rPr>
            </w:pPr>
            <w:r>
              <w:rPr>
                <w:spacing w:val="6"/>
                <w:sz w:val="20"/>
                <w:szCs w:val="20"/>
              </w:rPr>
              <w:t>煤气柜</w:t>
            </w:r>
          </w:p>
        </w:tc>
        <w:tc>
          <w:tcPr>
            <w:tcW w:w="2729" w:type="dxa"/>
            <w:vAlign w:val="top"/>
          </w:tcPr>
          <w:p w14:paraId="4C7CD856">
            <w:pPr>
              <w:pStyle w:val="6"/>
              <w:spacing w:before="34" w:line="214" w:lineRule="auto"/>
              <w:ind w:left="975"/>
              <w:rPr>
                <w:sz w:val="20"/>
                <w:szCs w:val="20"/>
              </w:rPr>
            </w:pPr>
            <w:r>
              <w:rPr>
                <w:spacing w:val="1"/>
                <w:sz w:val="20"/>
                <w:szCs w:val="20"/>
              </w:rPr>
              <w:t>内燃发电</w:t>
            </w:r>
          </w:p>
        </w:tc>
        <w:tc>
          <w:tcPr>
            <w:tcW w:w="1605" w:type="dxa"/>
            <w:vAlign w:val="top"/>
          </w:tcPr>
          <w:p w14:paraId="5A39678B">
            <w:pPr>
              <w:spacing w:before="71" w:line="194" w:lineRule="auto"/>
              <w:ind w:left="771"/>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384" w:type="dxa"/>
            <w:tcBorders>
              <w:right w:val="nil"/>
            </w:tcBorders>
            <w:vAlign w:val="top"/>
          </w:tcPr>
          <w:p w14:paraId="59524D19">
            <w:pPr>
              <w:spacing w:before="73" w:line="191" w:lineRule="auto"/>
              <w:ind w:left="650"/>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r>
      <w:tr w14:paraId="49C14E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 w:hRule="atLeast"/>
        </w:trPr>
        <w:tc>
          <w:tcPr>
            <w:tcW w:w="756" w:type="dxa"/>
            <w:tcBorders>
              <w:left w:val="nil"/>
            </w:tcBorders>
            <w:vAlign w:val="top"/>
          </w:tcPr>
          <w:p w14:paraId="3017B3C7">
            <w:pPr>
              <w:spacing w:before="69" w:line="194" w:lineRule="auto"/>
              <w:ind w:left="331"/>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592" w:type="dxa"/>
            <w:vAlign w:val="top"/>
          </w:tcPr>
          <w:p w14:paraId="7FDE1E2E">
            <w:pPr>
              <w:pStyle w:val="6"/>
              <w:spacing w:before="33" w:line="218" w:lineRule="auto"/>
              <w:ind w:left="672"/>
              <w:rPr>
                <w:sz w:val="20"/>
                <w:szCs w:val="20"/>
              </w:rPr>
            </w:pPr>
            <w:r>
              <w:rPr>
                <w:spacing w:val="8"/>
                <w:sz w:val="20"/>
                <w:szCs w:val="20"/>
              </w:rPr>
              <w:t>燃气发电工艺</w:t>
            </w:r>
          </w:p>
        </w:tc>
        <w:tc>
          <w:tcPr>
            <w:tcW w:w="2729" w:type="dxa"/>
            <w:vAlign w:val="top"/>
          </w:tcPr>
          <w:p w14:paraId="7C4B2990">
            <w:pPr>
              <w:pStyle w:val="6"/>
              <w:spacing w:before="33" w:line="218" w:lineRule="auto"/>
              <w:ind w:left="951"/>
              <w:rPr>
                <w:sz w:val="20"/>
                <w:szCs w:val="20"/>
              </w:rPr>
            </w:pPr>
            <w:r>
              <w:rPr>
                <w:spacing w:val="7"/>
                <w:sz w:val="20"/>
                <w:szCs w:val="20"/>
              </w:rPr>
              <w:t>燃气发电</w:t>
            </w:r>
          </w:p>
        </w:tc>
        <w:tc>
          <w:tcPr>
            <w:tcW w:w="1605" w:type="dxa"/>
            <w:vAlign w:val="top"/>
          </w:tcPr>
          <w:p w14:paraId="20837AB3">
            <w:pPr>
              <w:spacing w:before="69" w:line="194" w:lineRule="auto"/>
              <w:ind w:left="771"/>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384" w:type="dxa"/>
            <w:tcBorders>
              <w:right w:val="nil"/>
            </w:tcBorders>
            <w:vAlign w:val="top"/>
          </w:tcPr>
          <w:p w14:paraId="563148C4">
            <w:pPr>
              <w:spacing w:before="72" w:line="191" w:lineRule="auto"/>
              <w:ind w:left="650"/>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r>
    </w:tbl>
    <w:p w14:paraId="2FA76D81">
      <w:pPr>
        <w:spacing w:line="277" w:lineRule="exact"/>
        <w:ind w:left="3858"/>
        <w:rPr>
          <w:rFonts w:ascii="Times New Roman" w:hAnsi="Times New Roman" w:eastAsia="Times New Roman" w:cs="Times New Roman"/>
          <w:sz w:val="20"/>
          <w:szCs w:val="20"/>
        </w:rPr>
      </w:pPr>
      <w:r>
        <w:rPr>
          <w:rFonts w:ascii="宋体" w:hAnsi="宋体" w:eastAsia="宋体" w:cs="宋体"/>
          <w:spacing w:val="11"/>
          <w:position w:val="1"/>
          <w:sz w:val="20"/>
          <w:szCs w:val="20"/>
        </w:rPr>
        <w:t>项目</w:t>
      </w:r>
      <w:r>
        <w:rPr>
          <w:rFonts w:ascii="Times New Roman" w:hAnsi="Times New Roman" w:eastAsia="Times New Roman" w:cs="Times New Roman"/>
          <w:spacing w:val="11"/>
          <w:position w:val="1"/>
          <w:sz w:val="20"/>
          <w:szCs w:val="20"/>
        </w:rPr>
        <w:t xml:space="preserve">M </w:t>
      </w:r>
      <w:r>
        <w:rPr>
          <w:rFonts w:ascii="宋体" w:hAnsi="宋体" w:eastAsia="宋体" w:cs="宋体"/>
          <w:spacing w:val="11"/>
          <w:position w:val="1"/>
          <w:sz w:val="20"/>
          <w:szCs w:val="20"/>
        </w:rPr>
        <w:t>值</w:t>
      </w:r>
      <w:r>
        <w:rPr>
          <w:rFonts w:ascii="Times New Roman" w:hAnsi="Times New Roman" w:eastAsia="Times New Roman" w:cs="Times New Roman"/>
          <w:spacing w:val="11"/>
          <w:position w:val="1"/>
          <w:sz w:val="20"/>
          <w:szCs w:val="20"/>
        </w:rPr>
        <w:t>Σ=40</w:t>
      </w:r>
    </w:p>
    <w:p w14:paraId="4B036EB6">
      <w:pPr>
        <w:spacing w:line="28" w:lineRule="exact"/>
        <w:ind w:firstLine="1"/>
      </w:pPr>
      <w:r>
        <w:pict>
          <v:shape id="_x0000_s1886" o:spid="_x0000_s1886" style="height:1.45pt;width:453.4pt;" filled="f" stroked="t" coordsize="9067,29" path="m0,14l9067,14e">
            <v:fill on="f" focussize="0,0"/>
            <v:stroke weight="1.44pt" color="#000000" miterlimit="2" joinstyle="bevel"/>
            <v:imagedata o:title=""/>
            <o:lock v:ext="edit"/>
            <w10:wrap type="none"/>
            <w10:anchorlock/>
          </v:shape>
        </w:pict>
      </w:r>
    </w:p>
    <w:p w14:paraId="76F29F48">
      <w:pPr>
        <w:spacing w:before="120" w:line="218" w:lineRule="auto"/>
        <w:ind w:left="518"/>
        <w:rPr>
          <w:rFonts w:ascii="宋体" w:hAnsi="宋体" w:eastAsia="宋体" w:cs="宋体"/>
          <w:sz w:val="24"/>
          <w:szCs w:val="24"/>
        </w:rPr>
      </w:pPr>
      <w:r>
        <w:rPr>
          <w:rFonts w:ascii="宋体" w:hAnsi="宋体" w:eastAsia="宋体" w:cs="宋体"/>
          <w:spacing w:val="-2"/>
          <w:sz w:val="24"/>
          <w:szCs w:val="24"/>
        </w:rPr>
        <w:t>由表</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 xml:space="preserve">5.2-3 </w:t>
      </w:r>
      <w:r>
        <w:rPr>
          <w:rFonts w:ascii="宋体" w:hAnsi="宋体" w:eastAsia="宋体" w:cs="宋体"/>
          <w:spacing w:val="-2"/>
          <w:sz w:val="24"/>
          <w:szCs w:val="24"/>
        </w:rPr>
        <w:t>可知，本项目行业及生产工艺评估为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M</w:t>
      </w:r>
      <w:r>
        <w:rPr>
          <w:rFonts w:ascii="Times New Roman" w:hAnsi="Times New Roman" w:eastAsia="Times New Roman" w:cs="Times New Roman"/>
          <w:spacing w:val="-3"/>
          <w:sz w:val="24"/>
          <w:szCs w:val="24"/>
        </w:rPr>
        <w:t>1</w:t>
      </w:r>
      <w:r>
        <w:rPr>
          <w:rFonts w:ascii="宋体" w:hAnsi="宋体" w:eastAsia="宋体" w:cs="宋体"/>
          <w:spacing w:val="-3"/>
          <w:sz w:val="24"/>
          <w:szCs w:val="24"/>
        </w:rPr>
        <w:t>。</w:t>
      </w:r>
    </w:p>
    <w:p w14:paraId="05301150">
      <w:pPr>
        <w:spacing w:before="195" w:line="217" w:lineRule="auto"/>
        <w:ind w:left="487"/>
        <w:rPr>
          <w:rFonts w:ascii="宋体" w:hAnsi="宋体" w:eastAsia="宋体" w:cs="宋体"/>
          <w:sz w:val="24"/>
          <w:szCs w:val="24"/>
        </w:rPr>
      </w:pPr>
      <w:r>
        <w:rPr>
          <w:rFonts w:ascii="宋体" w:hAnsi="宋体" w:eastAsia="宋体" w:cs="宋体"/>
          <w:spacing w:val="-1"/>
          <w:sz w:val="24"/>
          <w:szCs w:val="24"/>
        </w:rPr>
        <w:t>③危险物质及工艺系统危险性（</w:t>
      </w:r>
      <w:r>
        <w:rPr>
          <w:rFonts w:ascii="Times New Roman" w:hAnsi="Times New Roman" w:eastAsia="Times New Roman" w:cs="Times New Roman"/>
          <w:spacing w:val="-1"/>
          <w:sz w:val="24"/>
          <w:szCs w:val="24"/>
        </w:rPr>
        <w:t>P</w:t>
      </w:r>
      <w:r>
        <w:rPr>
          <w:rFonts w:ascii="宋体" w:hAnsi="宋体" w:eastAsia="宋体" w:cs="宋体"/>
          <w:spacing w:val="-1"/>
          <w:sz w:val="24"/>
          <w:szCs w:val="24"/>
        </w:rPr>
        <w:t>）分级</w:t>
      </w:r>
    </w:p>
    <w:p w14:paraId="0E8AD82D">
      <w:pPr>
        <w:spacing w:before="197" w:line="347" w:lineRule="auto"/>
        <w:ind w:left="9" w:firstLine="480"/>
        <w:rPr>
          <w:rFonts w:ascii="宋体" w:hAnsi="宋体" w:eastAsia="宋体" w:cs="宋体"/>
          <w:sz w:val="24"/>
          <w:szCs w:val="24"/>
        </w:rPr>
      </w:pPr>
      <w:r>
        <w:rPr>
          <w:rFonts w:ascii="宋体" w:hAnsi="宋体" w:eastAsia="宋体" w:cs="宋体"/>
          <w:spacing w:val="4"/>
          <w:sz w:val="24"/>
          <w:szCs w:val="24"/>
        </w:rPr>
        <w:t>根据危险物质数量与临界量比值（</w:t>
      </w:r>
      <w:r>
        <w:rPr>
          <w:rFonts w:ascii="Times New Roman" w:hAnsi="Times New Roman" w:eastAsia="Times New Roman" w:cs="Times New Roman"/>
          <w:spacing w:val="4"/>
          <w:sz w:val="24"/>
          <w:szCs w:val="24"/>
        </w:rPr>
        <w:t>Q</w:t>
      </w:r>
      <w:r>
        <w:rPr>
          <w:rFonts w:ascii="宋体" w:hAnsi="宋体" w:eastAsia="宋体" w:cs="宋体"/>
          <w:spacing w:val="4"/>
          <w:sz w:val="24"/>
          <w:szCs w:val="24"/>
        </w:rPr>
        <w:t>）和行业及生产工艺（</w:t>
      </w:r>
      <w:r>
        <w:rPr>
          <w:rFonts w:ascii="Times New Roman" w:hAnsi="Times New Roman" w:eastAsia="Times New Roman" w:cs="Times New Roman"/>
          <w:spacing w:val="4"/>
          <w:sz w:val="24"/>
          <w:szCs w:val="24"/>
        </w:rPr>
        <w:t>M</w:t>
      </w:r>
      <w:r>
        <w:rPr>
          <w:rFonts w:ascii="宋体" w:hAnsi="宋体" w:eastAsia="宋体" w:cs="宋体"/>
          <w:spacing w:val="16"/>
          <w:sz w:val="24"/>
          <w:szCs w:val="24"/>
        </w:rPr>
        <w:t>），</w:t>
      </w:r>
      <w:r>
        <w:rPr>
          <w:rFonts w:ascii="宋体" w:hAnsi="宋体" w:eastAsia="宋体" w:cs="宋体"/>
          <w:spacing w:val="4"/>
          <w:sz w:val="24"/>
          <w:szCs w:val="24"/>
        </w:rPr>
        <w:t>按照下表</w:t>
      </w:r>
      <w:r>
        <w:rPr>
          <w:rFonts w:ascii="宋体" w:hAnsi="宋体" w:eastAsia="宋体" w:cs="宋体"/>
          <w:spacing w:val="-42"/>
          <w:sz w:val="24"/>
          <w:szCs w:val="24"/>
        </w:rPr>
        <w:t xml:space="preserve"> </w:t>
      </w:r>
      <w:r>
        <w:rPr>
          <w:rFonts w:ascii="Times New Roman" w:hAnsi="Times New Roman" w:eastAsia="Times New Roman" w:cs="Times New Roman"/>
          <w:spacing w:val="4"/>
          <w:sz w:val="24"/>
          <w:szCs w:val="24"/>
        </w:rPr>
        <w:t>6.2-3</w:t>
      </w:r>
      <w:r>
        <w:rPr>
          <w:rFonts w:ascii="Times New Roman" w:hAnsi="Times New Roman" w:eastAsia="Times New Roman" w:cs="Times New Roman"/>
          <w:sz w:val="24"/>
          <w:szCs w:val="24"/>
        </w:rPr>
        <w:t xml:space="preserve"> </w:t>
      </w:r>
      <w:r>
        <w:rPr>
          <w:rFonts w:ascii="宋体" w:hAnsi="宋体" w:eastAsia="宋体" w:cs="宋体"/>
          <w:spacing w:val="-2"/>
          <w:sz w:val="24"/>
          <w:szCs w:val="24"/>
        </w:rPr>
        <w:t>确定危险物质及工艺系统危险性等级（</w:t>
      </w:r>
      <w:r>
        <w:rPr>
          <w:rFonts w:ascii="Times New Roman" w:hAnsi="Times New Roman" w:eastAsia="Times New Roman" w:cs="Times New Roman"/>
          <w:spacing w:val="-2"/>
          <w:sz w:val="24"/>
          <w:szCs w:val="24"/>
        </w:rPr>
        <w:t>P</w:t>
      </w:r>
      <w:r>
        <w:rPr>
          <w:rFonts w:ascii="宋体" w:hAnsi="宋体" w:eastAsia="宋体" w:cs="宋体"/>
          <w:spacing w:val="15"/>
          <w:sz w:val="24"/>
          <w:szCs w:val="24"/>
        </w:rPr>
        <w:t>），</w:t>
      </w:r>
      <w:r>
        <w:rPr>
          <w:rFonts w:ascii="宋体" w:hAnsi="宋体" w:eastAsia="宋体" w:cs="宋体"/>
          <w:spacing w:val="-2"/>
          <w:sz w:val="24"/>
          <w:szCs w:val="24"/>
        </w:rPr>
        <w:t>分别以</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P1</w:t>
      </w:r>
      <w:r>
        <w:rPr>
          <w:rFonts w:ascii="宋体" w:hAnsi="宋体" w:eastAsia="宋体" w:cs="宋体"/>
          <w:spacing w:val="-2"/>
          <w:sz w:val="24"/>
          <w:szCs w:val="24"/>
        </w:rPr>
        <w:t>、</w:t>
      </w:r>
      <w:r>
        <w:rPr>
          <w:rFonts w:ascii="Times New Roman" w:hAnsi="Times New Roman" w:eastAsia="Times New Roman" w:cs="Times New Roman"/>
          <w:spacing w:val="-2"/>
          <w:sz w:val="24"/>
          <w:szCs w:val="24"/>
        </w:rPr>
        <w:t>P2</w:t>
      </w:r>
      <w:r>
        <w:rPr>
          <w:rFonts w:ascii="Times New Roman" w:hAnsi="Times New Roman" w:eastAsia="Times New Roman" w:cs="Times New Roman"/>
          <w:spacing w:val="-34"/>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P3</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P4 </w:t>
      </w:r>
      <w:r>
        <w:rPr>
          <w:rFonts w:ascii="宋体" w:hAnsi="宋体" w:eastAsia="宋体" w:cs="宋体"/>
          <w:spacing w:val="-2"/>
          <w:sz w:val="24"/>
          <w:szCs w:val="24"/>
        </w:rPr>
        <w:t>所示。</w:t>
      </w:r>
    </w:p>
    <w:p w14:paraId="72A8CDFC">
      <w:pPr>
        <w:spacing w:before="71" w:line="228" w:lineRule="auto"/>
        <w:ind w:left="1915"/>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8"/>
          <w:sz w:val="20"/>
          <w:szCs w:val="20"/>
        </w:rPr>
        <w:t xml:space="preserve"> </w:t>
      </w:r>
      <w:r>
        <w:rPr>
          <w:rFonts w:ascii="Times New Roman" w:hAnsi="Times New Roman" w:eastAsia="Times New Roman" w:cs="Times New Roman"/>
          <w:b/>
          <w:bCs/>
          <w:spacing w:val="6"/>
          <w:sz w:val="20"/>
          <w:szCs w:val="20"/>
        </w:rPr>
        <w:t xml:space="preserve">5.2-4        </w:t>
      </w:r>
      <w:r>
        <w:rPr>
          <w:rFonts w:ascii="宋体" w:hAnsi="宋体" w:eastAsia="宋体" w:cs="宋体"/>
          <w:b/>
          <w:bCs/>
          <w:spacing w:val="6"/>
          <w:sz w:val="20"/>
          <w:szCs w:val="20"/>
        </w:rPr>
        <w:t>危险物质及工艺系统危险性（</w:t>
      </w:r>
      <w:r>
        <w:rPr>
          <w:rFonts w:ascii="Times New Roman" w:hAnsi="Times New Roman" w:eastAsia="Times New Roman" w:cs="Times New Roman"/>
          <w:b/>
          <w:bCs/>
          <w:spacing w:val="6"/>
          <w:sz w:val="20"/>
          <w:szCs w:val="20"/>
        </w:rPr>
        <w:t>P</w:t>
      </w:r>
      <w:r>
        <w:rPr>
          <w:rFonts w:ascii="宋体" w:hAnsi="宋体" w:eastAsia="宋体" w:cs="宋体"/>
          <w:b/>
          <w:bCs/>
          <w:spacing w:val="6"/>
          <w:sz w:val="20"/>
          <w:szCs w:val="20"/>
        </w:rPr>
        <w:t>）分</w:t>
      </w:r>
      <w:r>
        <w:rPr>
          <w:rFonts w:ascii="宋体" w:hAnsi="宋体" w:eastAsia="宋体" w:cs="宋体"/>
          <w:b/>
          <w:bCs/>
          <w:spacing w:val="5"/>
          <w:sz w:val="20"/>
          <w:szCs w:val="20"/>
        </w:rPr>
        <w:t>级一览表</w:t>
      </w:r>
    </w:p>
    <w:p w14:paraId="608FBAC5">
      <w:pPr>
        <w:spacing w:line="96" w:lineRule="exact"/>
      </w:pPr>
    </w:p>
    <w:tbl>
      <w:tblPr>
        <w:tblStyle w:val="5"/>
        <w:tblW w:w="9071"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173"/>
        <w:gridCol w:w="1516"/>
        <w:gridCol w:w="1517"/>
        <w:gridCol w:w="1519"/>
        <w:gridCol w:w="1346"/>
      </w:tblGrid>
      <w:tr w14:paraId="27E8AB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3173" w:type="dxa"/>
            <w:vMerge w:val="restart"/>
            <w:tcBorders>
              <w:top w:val="single" w:color="000000" w:sz="10" w:space="0"/>
              <w:left w:val="nil"/>
              <w:bottom w:val="nil"/>
            </w:tcBorders>
            <w:vAlign w:val="top"/>
          </w:tcPr>
          <w:p w14:paraId="0FEEC232">
            <w:pPr>
              <w:pStyle w:val="6"/>
              <w:spacing w:before="221" w:line="221" w:lineRule="auto"/>
              <w:ind w:left="36"/>
              <w:rPr>
                <w:sz w:val="20"/>
                <w:szCs w:val="20"/>
              </w:rPr>
            </w:pPr>
            <w:r>
              <w:rPr>
                <w:b/>
                <w:bCs/>
                <w:spacing w:val="7"/>
                <w:sz w:val="20"/>
                <w:szCs w:val="20"/>
              </w:rPr>
              <w:t>危险物质数量与临界量比值（</w:t>
            </w:r>
            <w:r>
              <w:rPr>
                <w:rFonts w:ascii="Times New Roman" w:hAnsi="Times New Roman" w:eastAsia="Times New Roman" w:cs="Times New Roman"/>
                <w:b/>
                <w:bCs/>
                <w:spacing w:val="7"/>
                <w:sz w:val="20"/>
                <w:szCs w:val="20"/>
              </w:rPr>
              <w:t>Q</w:t>
            </w:r>
            <w:r>
              <w:rPr>
                <w:b/>
                <w:bCs/>
                <w:spacing w:val="7"/>
                <w:sz w:val="20"/>
                <w:szCs w:val="20"/>
              </w:rPr>
              <w:t>）</w:t>
            </w:r>
          </w:p>
        </w:tc>
        <w:tc>
          <w:tcPr>
            <w:tcW w:w="5898" w:type="dxa"/>
            <w:gridSpan w:val="4"/>
            <w:tcBorders>
              <w:top w:val="single" w:color="000000" w:sz="10" w:space="0"/>
              <w:right w:val="nil"/>
            </w:tcBorders>
            <w:vAlign w:val="top"/>
          </w:tcPr>
          <w:p w14:paraId="580B4FD3">
            <w:pPr>
              <w:pStyle w:val="6"/>
              <w:spacing w:before="58" w:line="228" w:lineRule="auto"/>
              <w:ind w:left="1913"/>
              <w:rPr>
                <w:sz w:val="20"/>
                <w:szCs w:val="20"/>
              </w:rPr>
            </w:pPr>
            <w:r>
              <w:rPr>
                <w:b/>
                <w:bCs/>
                <w:spacing w:val="6"/>
                <w:sz w:val="20"/>
                <w:szCs w:val="20"/>
              </w:rPr>
              <w:t>行业及生产工艺（</w:t>
            </w:r>
            <w:r>
              <w:rPr>
                <w:rFonts w:ascii="Times New Roman" w:hAnsi="Times New Roman" w:eastAsia="Times New Roman" w:cs="Times New Roman"/>
                <w:b/>
                <w:bCs/>
                <w:spacing w:val="6"/>
                <w:sz w:val="20"/>
                <w:szCs w:val="20"/>
              </w:rPr>
              <w:t>M</w:t>
            </w:r>
            <w:r>
              <w:rPr>
                <w:b/>
                <w:bCs/>
                <w:spacing w:val="6"/>
                <w:sz w:val="20"/>
                <w:szCs w:val="20"/>
              </w:rPr>
              <w:t>）</w:t>
            </w:r>
          </w:p>
        </w:tc>
      </w:tr>
      <w:tr w14:paraId="7877AE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3173" w:type="dxa"/>
            <w:vMerge w:val="continue"/>
            <w:tcBorders>
              <w:top w:val="nil"/>
              <w:left w:val="nil"/>
            </w:tcBorders>
            <w:vAlign w:val="top"/>
          </w:tcPr>
          <w:p w14:paraId="3F287793">
            <w:pPr>
              <w:rPr>
                <w:rFonts w:ascii="Arial"/>
                <w:sz w:val="21"/>
              </w:rPr>
            </w:pPr>
          </w:p>
        </w:tc>
        <w:tc>
          <w:tcPr>
            <w:tcW w:w="1516" w:type="dxa"/>
            <w:vAlign w:val="top"/>
          </w:tcPr>
          <w:p w14:paraId="6CB29DE0">
            <w:pPr>
              <w:spacing w:before="95" w:line="195" w:lineRule="auto"/>
              <w:ind w:left="607"/>
              <w:rPr>
                <w:rFonts w:ascii="Times New Roman" w:hAnsi="Times New Roman" w:eastAsia="Times New Roman" w:cs="Times New Roman"/>
                <w:sz w:val="20"/>
                <w:szCs w:val="20"/>
              </w:rPr>
            </w:pPr>
            <w:r>
              <w:rPr>
                <w:rFonts w:ascii="Times New Roman" w:hAnsi="Times New Roman" w:eastAsia="Times New Roman" w:cs="Times New Roman"/>
                <w:b/>
                <w:bCs/>
                <w:spacing w:val="4"/>
                <w:sz w:val="20"/>
                <w:szCs w:val="20"/>
              </w:rPr>
              <w:t>M1</w:t>
            </w:r>
          </w:p>
        </w:tc>
        <w:tc>
          <w:tcPr>
            <w:tcW w:w="1517" w:type="dxa"/>
            <w:vAlign w:val="top"/>
          </w:tcPr>
          <w:p w14:paraId="65D59920">
            <w:pPr>
              <w:spacing w:before="95" w:line="195" w:lineRule="auto"/>
              <w:ind w:left="608"/>
              <w:rPr>
                <w:rFonts w:ascii="Times New Roman" w:hAnsi="Times New Roman" w:eastAsia="Times New Roman" w:cs="Times New Roman"/>
                <w:sz w:val="20"/>
                <w:szCs w:val="20"/>
              </w:rPr>
            </w:pPr>
            <w:r>
              <w:rPr>
                <w:rFonts w:ascii="Times New Roman" w:hAnsi="Times New Roman" w:eastAsia="Times New Roman" w:cs="Times New Roman"/>
                <w:b/>
                <w:bCs/>
                <w:spacing w:val="4"/>
                <w:sz w:val="20"/>
                <w:szCs w:val="20"/>
              </w:rPr>
              <w:t>M2</w:t>
            </w:r>
          </w:p>
        </w:tc>
        <w:tc>
          <w:tcPr>
            <w:tcW w:w="1519" w:type="dxa"/>
            <w:vAlign w:val="top"/>
          </w:tcPr>
          <w:p w14:paraId="73B251A7">
            <w:pPr>
              <w:spacing w:before="95" w:line="195" w:lineRule="auto"/>
              <w:ind w:left="610"/>
              <w:rPr>
                <w:rFonts w:ascii="Times New Roman" w:hAnsi="Times New Roman" w:eastAsia="Times New Roman" w:cs="Times New Roman"/>
                <w:sz w:val="20"/>
                <w:szCs w:val="20"/>
              </w:rPr>
            </w:pPr>
            <w:r>
              <w:rPr>
                <w:rFonts w:ascii="Times New Roman" w:hAnsi="Times New Roman" w:eastAsia="Times New Roman" w:cs="Times New Roman"/>
                <w:b/>
                <w:bCs/>
                <w:spacing w:val="4"/>
                <w:sz w:val="20"/>
                <w:szCs w:val="20"/>
              </w:rPr>
              <w:t>M3</w:t>
            </w:r>
          </w:p>
        </w:tc>
        <w:tc>
          <w:tcPr>
            <w:tcW w:w="1346" w:type="dxa"/>
            <w:tcBorders>
              <w:right w:val="nil"/>
            </w:tcBorders>
            <w:vAlign w:val="top"/>
          </w:tcPr>
          <w:p w14:paraId="488B7F64">
            <w:pPr>
              <w:spacing w:before="95" w:line="195" w:lineRule="auto"/>
              <w:ind w:left="526"/>
              <w:rPr>
                <w:rFonts w:ascii="Times New Roman" w:hAnsi="Times New Roman" w:eastAsia="Times New Roman" w:cs="Times New Roman"/>
                <w:sz w:val="20"/>
                <w:szCs w:val="20"/>
              </w:rPr>
            </w:pPr>
            <w:r>
              <w:rPr>
                <w:rFonts w:ascii="Times New Roman" w:hAnsi="Times New Roman" w:eastAsia="Times New Roman" w:cs="Times New Roman"/>
                <w:b/>
                <w:bCs/>
                <w:spacing w:val="4"/>
                <w:sz w:val="20"/>
                <w:szCs w:val="20"/>
              </w:rPr>
              <w:t>M4</w:t>
            </w:r>
          </w:p>
        </w:tc>
      </w:tr>
      <w:tr w14:paraId="6606C9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3173" w:type="dxa"/>
            <w:tcBorders>
              <w:left w:val="nil"/>
            </w:tcBorders>
            <w:vAlign w:val="top"/>
          </w:tcPr>
          <w:p w14:paraId="4EF321E9">
            <w:pPr>
              <w:spacing w:before="99" w:line="197" w:lineRule="auto"/>
              <w:ind w:left="129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Q≥100</w:t>
            </w:r>
          </w:p>
        </w:tc>
        <w:tc>
          <w:tcPr>
            <w:tcW w:w="1516" w:type="dxa"/>
            <w:vAlign w:val="top"/>
          </w:tcPr>
          <w:p w14:paraId="569D7518">
            <w:pPr>
              <w:spacing w:before="100" w:line="195" w:lineRule="auto"/>
              <w:ind w:left="6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P1</w:t>
            </w:r>
          </w:p>
        </w:tc>
        <w:tc>
          <w:tcPr>
            <w:tcW w:w="1517" w:type="dxa"/>
            <w:vAlign w:val="top"/>
          </w:tcPr>
          <w:p w14:paraId="0E718F87">
            <w:pPr>
              <w:spacing w:before="100" w:line="195" w:lineRule="auto"/>
              <w:ind w:left="6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P1</w:t>
            </w:r>
          </w:p>
        </w:tc>
        <w:tc>
          <w:tcPr>
            <w:tcW w:w="1519" w:type="dxa"/>
            <w:vAlign w:val="top"/>
          </w:tcPr>
          <w:p w14:paraId="4CC1090C">
            <w:pPr>
              <w:spacing w:before="100" w:line="195" w:lineRule="auto"/>
              <w:ind w:left="6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P2</w:t>
            </w:r>
          </w:p>
        </w:tc>
        <w:tc>
          <w:tcPr>
            <w:tcW w:w="1346" w:type="dxa"/>
            <w:tcBorders>
              <w:right w:val="nil"/>
            </w:tcBorders>
            <w:vAlign w:val="top"/>
          </w:tcPr>
          <w:p w14:paraId="08F36D98">
            <w:pPr>
              <w:spacing w:before="99" w:line="195" w:lineRule="auto"/>
              <w:ind w:left="56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P3</w:t>
            </w:r>
          </w:p>
        </w:tc>
      </w:tr>
      <w:tr w14:paraId="0E0B0A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3173" w:type="dxa"/>
            <w:tcBorders>
              <w:left w:val="nil"/>
            </w:tcBorders>
            <w:vAlign w:val="top"/>
          </w:tcPr>
          <w:p w14:paraId="44736D03">
            <w:pPr>
              <w:spacing w:before="104" w:line="197" w:lineRule="auto"/>
              <w:ind w:left="115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10≤Q&lt;100</w:t>
            </w:r>
          </w:p>
        </w:tc>
        <w:tc>
          <w:tcPr>
            <w:tcW w:w="1516" w:type="dxa"/>
            <w:vAlign w:val="top"/>
          </w:tcPr>
          <w:p w14:paraId="65A44D97">
            <w:pPr>
              <w:spacing w:before="104" w:line="195" w:lineRule="auto"/>
              <w:ind w:left="6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P1</w:t>
            </w:r>
          </w:p>
        </w:tc>
        <w:tc>
          <w:tcPr>
            <w:tcW w:w="1517" w:type="dxa"/>
            <w:vAlign w:val="top"/>
          </w:tcPr>
          <w:p w14:paraId="77FA5B20">
            <w:pPr>
              <w:spacing w:before="104" w:line="195" w:lineRule="auto"/>
              <w:ind w:left="6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P2</w:t>
            </w:r>
          </w:p>
        </w:tc>
        <w:tc>
          <w:tcPr>
            <w:tcW w:w="1519" w:type="dxa"/>
            <w:vAlign w:val="top"/>
          </w:tcPr>
          <w:p w14:paraId="247FDE91">
            <w:pPr>
              <w:spacing w:before="104" w:line="195" w:lineRule="auto"/>
              <w:ind w:left="6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P3</w:t>
            </w:r>
          </w:p>
        </w:tc>
        <w:tc>
          <w:tcPr>
            <w:tcW w:w="1346" w:type="dxa"/>
            <w:tcBorders>
              <w:right w:val="nil"/>
            </w:tcBorders>
            <w:vAlign w:val="top"/>
          </w:tcPr>
          <w:p w14:paraId="1A119745">
            <w:pPr>
              <w:spacing w:before="104" w:line="195" w:lineRule="auto"/>
              <w:ind w:left="56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P4</w:t>
            </w:r>
          </w:p>
        </w:tc>
      </w:tr>
      <w:tr w14:paraId="644017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3173" w:type="dxa"/>
            <w:tcBorders>
              <w:left w:val="nil"/>
              <w:bottom w:val="single" w:color="000000" w:sz="10" w:space="0"/>
            </w:tcBorders>
            <w:vAlign w:val="top"/>
          </w:tcPr>
          <w:p w14:paraId="19F51790">
            <w:pPr>
              <w:spacing w:before="109" w:line="197" w:lineRule="auto"/>
              <w:ind w:left="1259"/>
              <w:rPr>
                <w:rFonts w:ascii="Times New Roman" w:hAnsi="Times New Roman" w:eastAsia="Times New Roman" w:cs="Times New Roman"/>
                <w:sz w:val="20"/>
                <w:szCs w:val="20"/>
              </w:rPr>
            </w:pPr>
            <w:r>
              <w:rPr>
                <w:rFonts w:ascii="Times New Roman" w:hAnsi="Times New Roman" w:eastAsia="Times New Roman" w:cs="Times New Roman"/>
                <w:sz w:val="20"/>
                <w:szCs w:val="20"/>
              </w:rPr>
              <w:t>1≤Q&lt;10</w:t>
            </w:r>
          </w:p>
        </w:tc>
        <w:tc>
          <w:tcPr>
            <w:tcW w:w="1516" w:type="dxa"/>
            <w:tcBorders>
              <w:bottom w:val="single" w:color="000000" w:sz="10" w:space="0"/>
            </w:tcBorders>
            <w:vAlign w:val="top"/>
          </w:tcPr>
          <w:p w14:paraId="6530FE79">
            <w:pPr>
              <w:spacing w:before="109" w:line="195" w:lineRule="auto"/>
              <w:ind w:left="64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P2</w:t>
            </w:r>
          </w:p>
        </w:tc>
        <w:tc>
          <w:tcPr>
            <w:tcW w:w="1517" w:type="dxa"/>
            <w:tcBorders>
              <w:bottom w:val="single" w:color="000000" w:sz="10" w:space="0"/>
            </w:tcBorders>
            <w:vAlign w:val="top"/>
          </w:tcPr>
          <w:p w14:paraId="5E7AE7CC">
            <w:pPr>
              <w:spacing w:before="109" w:line="195" w:lineRule="auto"/>
              <w:ind w:left="6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P3</w:t>
            </w:r>
          </w:p>
        </w:tc>
        <w:tc>
          <w:tcPr>
            <w:tcW w:w="1519" w:type="dxa"/>
            <w:tcBorders>
              <w:bottom w:val="single" w:color="000000" w:sz="10" w:space="0"/>
            </w:tcBorders>
            <w:vAlign w:val="top"/>
          </w:tcPr>
          <w:p w14:paraId="3BFADEF9">
            <w:pPr>
              <w:spacing w:before="109" w:line="195" w:lineRule="auto"/>
              <w:ind w:left="65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P4</w:t>
            </w:r>
          </w:p>
        </w:tc>
        <w:tc>
          <w:tcPr>
            <w:tcW w:w="1346" w:type="dxa"/>
            <w:tcBorders>
              <w:bottom w:val="single" w:color="000000" w:sz="10" w:space="0"/>
              <w:right w:val="nil"/>
            </w:tcBorders>
            <w:vAlign w:val="top"/>
          </w:tcPr>
          <w:p w14:paraId="66BD7AD0">
            <w:pPr>
              <w:spacing w:before="109" w:line="195" w:lineRule="auto"/>
              <w:ind w:left="56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P4</w:t>
            </w:r>
          </w:p>
        </w:tc>
      </w:tr>
    </w:tbl>
    <w:p w14:paraId="1D52FCA0">
      <w:pPr>
        <w:spacing w:before="119" w:line="347" w:lineRule="auto"/>
        <w:ind w:left="11" w:right="34" w:firstLine="478"/>
        <w:rPr>
          <w:rFonts w:ascii="宋体" w:hAnsi="宋体" w:eastAsia="宋体" w:cs="宋体"/>
          <w:sz w:val="24"/>
          <w:szCs w:val="24"/>
        </w:rPr>
      </w:pPr>
      <w:r>
        <w:rPr>
          <w:rFonts w:ascii="宋体" w:hAnsi="宋体" w:eastAsia="宋体" w:cs="宋体"/>
          <w:spacing w:val="-3"/>
          <w:sz w:val="24"/>
          <w:szCs w:val="24"/>
        </w:rPr>
        <w:t>本项目危险物质数量与临界量比值</w:t>
      </w:r>
      <w:r>
        <w:rPr>
          <w:rFonts w:ascii="宋体" w:hAnsi="宋体" w:eastAsia="宋体" w:cs="宋体"/>
          <w:spacing w:val="-20"/>
          <w:sz w:val="24"/>
          <w:szCs w:val="24"/>
        </w:rPr>
        <w:t xml:space="preserve"> </w:t>
      </w:r>
      <w:r>
        <w:rPr>
          <w:rFonts w:ascii="Times New Roman" w:hAnsi="Times New Roman" w:eastAsia="Times New Roman" w:cs="Times New Roman"/>
          <w:spacing w:val="-3"/>
          <w:sz w:val="24"/>
          <w:szCs w:val="24"/>
        </w:rPr>
        <w:t>1≤Q</w:t>
      </w:r>
      <w:r>
        <w:rPr>
          <w:rFonts w:ascii="宋体" w:hAnsi="宋体" w:eastAsia="宋体" w:cs="宋体"/>
          <w:spacing w:val="-3"/>
          <w:sz w:val="24"/>
          <w:szCs w:val="24"/>
        </w:rPr>
        <w:t>＜</w:t>
      </w:r>
      <w:r>
        <w:rPr>
          <w:rFonts w:ascii="Times New Roman" w:hAnsi="Times New Roman" w:eastAsia="Times New Roman" w:cs="Times New Roman"/>
          <w:spacing w:val="-3"/>
          <w:sz w:val="24"/>
          <w:szCs w:val="24"/>
        </w:rPr>
        <w:t>10</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，行业及生产工艺评估为</w:t>
      </w:r>
      <w:r>
        <w:rPr>
          <w:rFonts w:ascii="宋体" w:hAnsi="宋体" w:eastAsia="宋体" w:cs="宋体"/>
          <w:spacing w:val="-56"/>
          <w:sz w:val="24"/>
          <w:szCs w:val="24"/>
        </w:rPr>
        <w:t xml:space="preserve"> </w:t>
      </w:r>
      <w:r>
        <w:rPr>
          <w:rFonts w:ascii="Times New Roman" w:hAnsi="Times New Roman" w:eastAsia="Times New Roman" w:cs="Times New Roman"/>
          <w:spacing w:val="-3"/>
          <w:sz w:val="24"/>
          <w:szCs w:val="24"/>
        </w:rPr>
        <w:t>M1</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，根据表</w:t>
      </w:r>
      <w:r>
        <w:rPr>
          <w:rFonts w:ascii="宋体" w:hAnsi="宋体" w:eastAsia="宋体" w:cs="宋体"/>
          <w:sz w:val="24"/>
          <w:szCs w:val="24"/>
        </w:rPr>
        <w:t xml:space="preserve"> </w:t>
      </w:r>
      <w:r>
        <w:rPr>
          <w:rFonts w:ascii="Times New Roman" w:hAnsi="Times New Roman" w:eastAsia="Times New Roman" w:cs="Times New Roman"/>
          <w:spacing w:val="-2"/>
          <w:sz w:val="24"/>
          <w:szCs w:val="24"/>
        </w:rPr>
        <w:t>5.2-4</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，本项目危险物质及工艺系统危险性为</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P2</w:t>
      </w:r>
      <w:r>
        <w:rPr>
          <w:rFonts w:ascii="宋体" w:hAnsi="宋体" w:eastAsia="宋体" w:cs="宋体"/>
          <w:spacing w:val="-2"/>
          <w:sz w:val="24"/>
          <w:szCs w:val="24"/>
        </w:rPr>
        <w:t>。</w:t>
      </w:r>
    </w:p>
    <w:p w14:paraId="5CFBAB9E">
      <w:pPr>
        <w:spacing w:before="57" w:line="220" w:lineRule="auto"/>
        <w:ind w:left="501"/>
        <w:rPr>
          <w:rFonts w:ascii="宋体" w:hAnsi="宋体" w:eastAsia="宋体" w:cs="宋体"/>
          <w:sz w:val="24"/>
          <w:szCs w:val="24"/>
        </w:rPr>
      </w:pPr>
      <w:r>
        <w:rPr>
          <w:rFonts w:ascii="宋体" w:hAnsi="宋体" w:eastAsia="宋体" w:cs="宋体"/>
          <w:spacing w:val="-6"/>
          <w:sz w:val="24"/>
          <w:szCs w:val="24"/>
        </w:rPr>
        <w:t>（</w:t>
      </w:r>
      <w:r>
        <w:rPr>
          <w:rFonts w:ascii="Times New Roman" w:hAnsi="Times New Roman" w:eastAsia="Times New Roman" w:cs="Times New Roman"/>
          <w:spacing w:val="-6"/>
          <w:sz w:val="24"/>
          <w:szCs w:val="24"/>
        </w:rPr>
        <w:t>2</w:t>
      </w:r>
      <w:r>
        <w:rPr>
          <w:rFonts w:ascii="宋体" w:hAnsi="宋体" w:eastAsia="宋体" w:cs="宋体"/>
          <w:spacing w:val="-6"/>
          <w:sz w:val="24"/>
          <w:szCs w:val="24"/>
        </w:rPr>
        <w:t>）</w:t>
      </w:r>
      <w:r>
        <w:rPr>
          <w:rFonts w:ascii="Times New Roman" w:hAnsi="Times New Roman" w:eastAsia="Times New Roman" w:cs="Times New Roman"/>
          <w:spacing w:val="-6"/>
          <w:sz w:val="24"/>
          <w:szCs w:val="24"/>
        </w:rPr>
        <w:t>E</w:t>
      </w:r>
      <w:r>
        <w:rPr>
          <w:rFonts w:ascii="Times New Roman" w:hAnsi="Times New Roman" w:eastAsia="Times New Roman" w:cs="Times New Roman"/>
          <w:spacing w:val="31"/>
          <w:w w:val="101"/>
          <w:sz w:val="24"/>
          <w:szCs w:val="24"/>
        </w:rPr>
        <w:t xml:space="preserve"> </w:t>
      </w:r>
      <w:r>
        <w:rPr>
          <w:rFonts w:ascii="宋体" w:hAnsi="宋体" w:eastAsia="宋体" w:cs="宋体"/>
          <w:spacing w:val="-6"/>
          <w:sz w:val="24"/>
          <w:szCs w:val="24"/>
        </w:rPr>
        <w:t>的分级确定</w:t>
      </w:r>
    </w:p>
    <w:p w14:paraId="211C041D">
      <w:pPr>
        <w:spacing w:before="192" w:line="219" w:lineRule="auto"/>
        <w:ind w:left="492"/>
        <w:rPr>
          <w:rFonts w:ascii="宋体" w:hAnsi="宋体" w:eastAsia="宋体" w:cs="宋体"/>
          <w:sz w:val="24"/>
          <w:szCs w:val="24"/>
        </w:rPr>
      </w:pPr>
      <w:r>
        <w:rPr>
          <w:rFonts w:ascii="宋体" w:hAnsi="宋体" w:eastAsia="宋体" w:cs="宋体"/>
          <w:spacing w:val="-1"/>
          <w:sz w:val="24"/>
          <w:szCs w:val="24"/>
        </w:rPr>
        <w:t>大气环境敏感程度（</w:t>
      </w:r>
      <w:r>
        <w:rPr>
          <w:rFonts w:ascii="Times New Roman" w:hAnsi="Times New Roman" w:eastAsia="Times New Roman" w:cs="Times New Roman"/>
          <w:spacing w:val="-1"/>
          <w:sz w:val="24"/>
          <w:szCs w:val="24"/>
        </w:rPr>
        <w:t>E</w:t>
      </w:r>
      <w:r>
        <w:rPr>
          <w:rFonts w:ascii="宋体" w:hAnsi="宋体" w:eastAsia="宋体" w:cs="宋体"/>
          <w:spacing w:val="-1"/>
          <w:sz w:val="24"/>
          <w:szCs w:val="24"/>
        </w:rPr>
        <w:t>）分级详见表</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5.2-</w:t>
      </w:r>
      <w:r>
        <w:rPr>
          <w:rFonts w:ascii="Times New Roman" w:hAnsi="Times New Roman" w:eastAsia="Times New Roman" w:cs="Times New Roman"/>
          <w:spacing w:val="-2"/>
          <w:sz w:val="24"/>
          <w:szCs w:val="24"/>
        </w:rPr>
        <w:t>5</w:t>
      </w:r>
      <w:r>
        <w:rPr>
          <w:rFonts w:ascii="宋体" w:hAnsi="宋体" w:eastAsia="宋体" w:cs="宋体"/>
          <w:spacing w:val="-2"/>
          <w:sz w:val="24"/>
          <w:szCs w:val="24"/>
        </w:rPr>
        <w:t>。</w:t>
      </w:r>
    </w:p>
    <w:p w14:paraId="6A6C3369">
      <w:pPr>
        <w:spacing w:line="219" w:lineRule="auto"/>
        <w:rPr>
          <w:rFonts w:ascii="宋体" w:hAnsi="宋体" w:eastAsia="宋体" w:cs="宋体"/>
          <w:sz w:val="24"/>
          <w:szCs w:val="24"/>
        </w:rPr>
        <w:sectPr>
          <w:headerReference r:id="rId386" w:type="default"/>
          <w:footerReference r:id="rId387" w:type="default"/>
          <w:pgSz w:w="11906" w:h="16839"/>
          <w:pgMar w:top="1191" w:right="1416" w:bottom="1221" w:left="1415" w:header="882" w:footer="1058" w:gutter="0"/>
          <w:cols w:space="720" w:num="1"/>
        </w:sectPr>
      </w:pPr>
    </w:p>
    <w:p w14:paraId="3139C187">
      <w:pPr>
        <w:spacing w:line="28" w:lineRule="exact"/>
        <w:ind w:firstLine="54"/>
      </w:pPr>
      <w:r>
        <w:pict>
          <v:shape id="_x0000_s1890" o:spid="_x0000_s1890" style="height:1.45pt;width:453.65pt;" fillcolor="#000000" filled="t" stroked="f" coordsize="9072,29" path="m0,0l9072,0,9072,28,0,28,0,0xe">
            <v:path/>
            <v:fill on="t" focussize="0,0"/>
            <v:stroke on="f"/>
            <v:imagedata o:title=""/>
            <o:lock v:ext="edit"/>
            <w10:wrap type="none"/>
            <w10:anchorlock/>
          </v:shape>
        </w:pict>
      </w:r>
    </w:p>
    <w:p w14:paraId="0DB730EA">
      <w:pPr>
        <w:pStyle w:val="2"/>
        <w:spacing w:line="264" w:lineRule="auto"/>
      </w:pPr>
    </w:p>
    <w:p w14:paraId="144738DD">
      <w:pPr>
        <w:spacing w:before="65" w:line="228" w:lineRule="auto"/>
        <w:ind w:left="2981"/>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5.2-5        </w:t>
      </w:r>
      <w:r>
        <w:rPr>
          <w:rFonts w:ascii="宋体" w:hAnsi="宋体" w:eastAsia="宋体" w:cs="宋体"/>
          <w:b/>
          <w:bCs/>
          <w:spacing w:val="5"/>
          <w:sz w:val="20"/>
          <w:szCs w:val="20"/>
        </w:rPr>
        <w:t>大气环境敏感程</w:t>
      </w:r>
      <w:r>
        <w:rPr>
          <w:rFonts w:ascii="宋体" w:hAnsi="宋体" w:eastAsia="宋体" w:cs="宋体"/>
          <w:b/>
          <w:bCs/>
          <w:spacing w:val="4"/>
          <w:sz w:val="20"/>
          <w:szCs w:val="20"/>
        </w:rPr>
        <w:t>度分级</w:t>
      </w:r>
    </w:p>
    <w:p w14:paraId="09623035">
      <w:pPr>
        <w:spacing w:line="97" w:lineRule="exact"/>
      </w:pPr>
    </w:p>
    <w:tbl>
      <w:tblPr>
        <w:tblStyle w:val="5"/>
        <w:tblW w:w="9072" w:type="dxa"/>
        <w:tblInd w:w="5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10"/>
        <w:gridCol w:w="8462"/>
      </w:tblGrid>
      <w:tr w14:paraId="666C23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trPr>
        <w:tc>
          <w:tcPr>
            <w:tcW w:w="610" w:type="dxa"/>
            <w:tcBorders>
              <w:top w:val="single" w:color="000000" w:sz="10" w:space="0"/>
              <w:left w:val="nil"/>
            </w:tcBorders>
            <w:vAlign w:val="top"/>
          </w:tcPr>
          <w:p w14:paraId="17741A17">
            <w:pPr>
              <w:pStyle w:val="6"/>
              <w:spacing w:before="36" w:line="215" w:lineRule="auto"/>
              <w:ind w:left="100"/>
              <w:rPr>
                <w:sz w:val="20"/>
                <w:szCs w:val="20"/>
              </w:rPr>
            </w:pPr>
            <w:r>
              <w:rPr>
                <w:b/>
                <w:bCs/>
                <w:spacing w:val="2"/>
                <w:sz w:val="20"/>
                <w:szCs w:val="20"/>
              </w:rPr>
              <w:t>分级</w:t>
            </w:r>
          </w:p>
        </w:tc>
        <w:tc>
          <w:tcPr>
            <w:tcW w:w="8462" w:type="dxa"/>
            <w:tcBorders>
              <w:top w:val="single" w:color="000000" w:sz="10" w:space="0"/>
              <w:right w:val="nil"/>
            </w:tcBorders>
            <w:vAlign w:val="top"/>
          </w:tcPr>
          <w:p w14:paraId="255ED2D3">
            <w:pPr>
              <w:pStyle w:val="6"/>
              <w:spacing w:before="36" w:line="215" w:lineRule="auto"/>
              <w:ind w:left="3503"/>
              <w:rPr>
                <w:sz w:val="20"/>
                <w:szCs w:val="20"/>
              </w:rPr>
            </w:pPr>
            <w:r>
              <w:rPr>
                <w:b/>
                <w:bCs/>
                <w:spacing w:val="6"/>
                <w:sz w:val="20"/>
                <w:szCs w:val="20"/>
              </w:rPr>
              <w:t>大气环境敏感性</w:t>
            </w:r>
          </w:p>
        </w:tc>
      </w:tr>
      <w:tr w14:paraId="79D47B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4" w:hRule="atLeast"/>
        </w:trPr>
        <w:tc>
          <w:tcPr>
            <w:tcW w:w="610" w:type="dxa"/>
            <w:tcBorders>
              <w:left w:val="nil"/>
            </w:tcBorders>
            <w:vAlign w:val="top"/>
          </w:tcPr>
          <w:p w14:paraId="59B7114A">
            <w:pPr>
              <w:spacing w:line="277" w:lineRule="auto"/>
              <w:rPr>
                <w:rFonts w:ascii="Arial"/>
                <w:sz w:val="21"/>
              </w:rPr>
            </w:pPr>
          </w:p>
          <w:p w14:paraId="30471BDD">
            <w:pPr>
              <w:spacing w:before="57" w:line="199" w:lineRule="auto"/>
              <w:ind w:left="21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El</w:t>
            </w:r>
          </w:p>
        </w:tc>
        <w:tc>
          <w:tcPr>
            <w:tcW w:w="8462" w:type="dxa"/>
            <w:tcBorders>
              <w:right w:val="nil"/>
            </w:tcBorders>
            <w:vAlign w:val="top"/>
          </w:tcPr>
          <w:p w14:paraId="23350D3D">
            <w:pPr>
              <w:pStyle w:val="6"/>
              <w:spacing w:before="33" w:line="237" w:lineRule="auto"/>
              <w:ind w:left="13" w:hanging="1"/>
              <w:jc w:val="both"/>
              <w:rPr>
                <w:sz w:val="20"/>
                <w:szCs w:val="20"/>
              </w:rPr>
            </w:pPr>
            <w:r>
              <w:rPr>
                <w:spacing w:val="3"/>
                <w:sz w:val="20"/>
                <w:szCs w:val="20"/>
              </w:rPr>
              <w:t>周边</w:t>
            </w:r>
            <w:r>
              <w:rPr>
                <w:spacing w:val="-28"/>
                <w:sz w:val="20"/>
                <w:szCs w:val="20"/>
              </w:rPr>
              <w:t xml:space="preserve"> </w:t>
            </w:r>
            <w:r>
              <w:rPr>
                <w:rFonts w:ascii="Times New Roman" w:hAnsi="Times New Roman" w:eastAsia="Times New Roman" w:cs="Times New Roman"/>
                <w:spacing w:val="3"/>
                <w:sz w:val="20"/>
                <w:szCs w:val="20"/>
              </w:rPr>
              <w:t>5</w:t>
            </w:r>
            <w:r>
              <w:rPr>
                <w:rFonts w:ascii="Times New Roman" w:hAnsi="Times New Roman" w:eastAsia="Times New Roman" w:cs="Times New Roman"/>
                <w:sz w:val="20"/>
                <w:szCs w:val="20"/>
              </w:rPr>
              <w:t>km</w:t>
            </w:r>
            <w:r>
              <w:rPr>
                <w:rFonts w:ascii="Times New Roman" w:hAnsi="Times New Roman" w:eastAsia="Times New Roman" w:cs="Times New Roman"/>
                <w:spacing w:val="19"/>
                <w:w w:val="101"/>
                <w:sz w:val="20"/>
                <w:szCs w:val="20"/>
              </w:rPr>
              <w:t xml:space="preserve"> </w:t>
            </w:r>
            <w:r>
              <w:rPr>
                <w:spacing w:val="3"/>
                <w:sz w:val="20"/>
                <w:szCs w:val="20"/>
              </w:rPr>
              <w:t>范围内居住区、医疗卫生、文化教育、科研、行政办公等机构人口总数大于</w:t>
            </w:r>
            <w:r>
              <w:rPr>
                <w:spacing w:val="-38"/>
                <w:sz w:val="20"/>
                <w:szCs w:val="20"/>
              </w:rPr>
              <w:t xml:space="preserve"> </w:t>
            </w:r>
            <w:r>
              <w:rPr>
                <w:rFonts w:ascii="Times New Roman" w:hAnsi="Times New Roman" w:eastAsia="Times New Roman" w:cs="Times New Roman"/>
                <w:spacing w:val="3"/>
                <w:sz w:val="20"/>
                <w:szCs w:val="20"/>
              </w:rPr>
              <w:t>5</w:t>
            </w:r>
            <w:r>
              <w:rPr>
                <w:rFonts w:ascii="Times New Roman" w:hAnsi="Times New Roman" w:eastAsia="Times New Roman" w:cs="Times New Roman"/>
                <w:spacing w:val="17"/>
                <w:sz w:val="20"/>
                <w:szCs w:val="20"/>
              </w:rPr>
              <w:t xml:space="preserve"> </w:t>
            </w:r>
            <w:r>
              <w:rPr>
                <w:spacing w:val="3"/>
                <w:sz w:val="20"/>
                <w:szCs w:val="20"/>
              </w:rPr>
              <w:t>万人，</w:t>
            </w:r>
            <w:r>
              <w:rPr>
                <w:sz w:val="20"/>
                <w:szCs w:val="20"/>
              </w:rPr>
              <w:t xml:space="preserve"> </w:t>
            </w:r>
            <w:r>
              <w:rPr>
                <w:spacing w:val="6"/>
                <w:sz w:val="20"/>
                <w:szCs w:val="20"/>
              </w:rPr>
              <w:t>或其他需要特殊保护区域；或周边</w:t>
            </w:r>
            <w:r>
              <w:rPr>
                <w:spacing w:val="-36"/>
                <w:sz w:val="20"/>
                <w:szCs w:val="20"/>
              </w:rPr>
              <w:t xml:space="preserve"> </w:t>
            </w:r>
            <w:r>
              <w:rPr>
                <w:rFonts w:ascii="Times New Roman" w:hAnsi="Times New Roman" w:eastAsia="Times New Roman" w:cs="Times New Roman"/>
                <w:spacing w:val="6"/>
                <w:sz w:val="20"/>
                <w:szCs w:val="20"/>
              </w:rPr>
              <w:t>500m</w:t>
            </w:r>
            <w:r>
              <w:rPr>
                <w:rFonts w:ascii="Times New Roman" w:hAnsi="Times New Roman" w:eastAsia="Times New Roman" w:cs="Times New Roman"/>
                <w:spacing w:val="27"/>
                <w:w w:val="101"/>
                <w:sz w:val="20"/>
                <w:szCs w:val="20"/>
              </w:rPr>
              <w:t xml:space="preserve"> </w:t>
            </w:r>
            <w:r>
              <w:rPr>
                <w:spacing w:val="6"/>
                <w:sz w:val="20"/>
                <w:szCs w:val="20"/>
              </w:rPr>
              <w:t>围内人口总数大于</w:t>
            </w:r>
            <w:r>
              <w:rPr>
                <w:spacing w:val="-21"/>
                <w:sz w:val="20"/>
                <w:szCs w:val="20"/>
              </w:rPr>
              <w:t xml:space="preserve"> </w:t>
            </w:r>
            <w:r>
              <w:rPr>
                <w:rFonts w:ascii="Times New Roman" w:hAnsi="Times New Roman" w:eastAsia="Times New Roman" w:cs="Times New Roman"/>
                <w:spacing w:val="6"/>
                <w:sz w:val="20"/>
                <w:szCs w:val="20"/>
              </w:rPr>
              <w:t xml:space="preserve">1000 </w:t>
            </w:r>
            <w:r>
              <w:rPr>
                <w:spacing w:val="6"/>
                <w:sz w:val="20"/>
                <w:szCs w:val="20"/>
              </w:rPr>
              <w:t>人；油气、化学品输送管线</w:t>
            </w:r>
            <w:r>
              <w:rPr>
                <w:sz w:val="20"/>
                <w:szCs w:val="20"/>
              </w:rPr>
              <w:t xml:space="preserve"> </w:t>
            </w:r>
            <w:r>
              <w:rPr>
                <w:spacing w:val="6"/>
                <w:sz w:val="20"/>
                <w:szCs w:val="20"/>
              </w:rPr>
              <w:t>管段周边</w:t>
            </w:r>
            <w:r>
              <w:rPr>
                <w:spacing w:val="-40"/>
                <w:sz w:val="20"/>
                <w:szCs w:val="20"/>
              </w:rPr>
              <w:t xml:space="preserve"> </w:t>
            </w:r>
            <w:r>
              <w:rPr>
                <w:rFonts w:ascii="Times New Roman" w:hAnsi="Times New Roman" w:eastAsia="Times New Roman" w:cs="Times New Roman"/>
                <w:spacing w:val="6"/>
                <w:sz w:val="20"/>
                <w:szCs w:val="20"/>
              </w:rPr>
              <w:t>200m</w:t>
            </w:r>
            <w:r>
              <w:rPr>
                <w:rFonts w:ascii="Times New Roman" w:hAnsi="Times New Roman" w:eastAsia="Times New Roman" w:cs="Times New Roman"/>
                <w:spacing w:val="16"/>
                <w:w w:val="101"/>
                <w:sz w:val="20"/>
                <w:szCs w:val="20"/>
              </w:rPr>
              <w:t xml:space="preserve"> </w:t>
            </w:r>
            <w:r>
              <w:rPr>
                <w:spacing w:val="6"/>
                <w:sz w:val="20"/>
                <w:szCs w:val="20"/>
              </w:rPr>
              <w:t>范围内，每千米管段人口数大于</w:t>
            </w:r>
            <w:r>
              <w:rPr>
                <w:spacing w:val="-43"/>
                <w:sz w:val="20"/>
                <w:szCs w:val="20"/>
              </w:rPr>
              <w:t xml:space="preserve"> </w:t>
            </w:r>
            <w:r>
              <w:rPr>
                <w:rFonts w:ascii="Times New Roman" w:hAnsi="Times New Roman" w:eastAsia="Times New Roman" w:cs="Times New Roman"/>
                <w:spacing w:val="6"/>
                <w:sz w:val="20"/>
                <w:szCs w:val="20"/>
              </w:rPr>
              <w:t xml:space="preserve">200 </w:t>
            </w:r>
            <w:r>
              <w:rPr>
                <w:spacing w:val="6"/>
                <w:sz w:val="20"/>
                <w:szCs w:val="20"/>
              </w:rPr>
              <w:t>人</w:t>
            </w:r>
          </w:p>
        </w:tc>
      </w:tr>
      <w:tr w14:paraId="3F110D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5" w:hRule="atLeast"/>
        </w:trPr>
        <w:tc>
          <w:tcPr>
            <w:tcW w:w="610" w:type="dxa"/>
            <w:tcBorders>
              <w:left w:val="nil"/>
            </w:tcBorders>
            <w:vAlign w:val="top"/>
          </w:tcPr>
          <w:p w14:paraId="0A03845C">
            <w:pPr>
              <w:spacing w:line="290" w:lineRule="auto"/>
              <w:rPr>
                <w:rFonts w:ascii="Arial"/>
                <w:sz w:val="21"/>
              </w:rPr>
            </w:pPr>
          </w:p>
          <w:p w14:paraId="0DFD770E">
            <w:pPr>
              <w:spacing w:before="57" w:line="195" w:lineRule="auto"/>
              <w:ind w:left="1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E2</w:t>
            </w:r>
          </w:p>
        </w:tc>
        <w:tc>
          <w:tcPr>
            <w:tcW w:w="8462" w:type="dxa"/>
            <w:tcBorders>
              <w:right w:val="nil"/>
            </w:tcBorders>
            <w:vAlign w:val="top"/>
          </w:tcPr>
          <w:p w14:paraId="421D5E50">
            <w:pPr>
              <w:pStyle w:val="6"/>
              <w:spacing w:before="41" w:line="235" w:lineRule="auto"/>
              <w:ind w:left="13" w:hanging="1"/>
              <w:jc w:val="both"/>
              <w:rPr>
                <w:sz w:val="20"/>
                <w:szCs w:val="20"/>
              </w:rPr>
            </w:pPr>
            <w:r>
              <w:rPr>
                <w:spacing w:val="3"/>
                <w:sz w:val="20"/>
                <w:szCs w:val="20"/>
              </w:rPr>
              <w:t>周边</w:t>
            </w:r>
            <w:r>
              <w:rPr>
                <w:spacing w:val="-38"/>
                <w:sz w:val="20"/>
                <w:szCs w:val="20"/>
              </w:rPr>
              <w:t xml:space="preserve"> </w:t>
            </w:r>
            <w:r>
              <w:rPr>
                <w:rFonts w:ascii="Times New Roman" w:hAnsi="Times New Roman" w:eastAsia="Times New Roman" w:cs="Times New Roman"/>
                <w:spacing w:val="3"/>
                <w:sz w:val="20"/>
                <w:szCs w:val="20"/>
              </w:rPr>
              <w:t>5</w:t>
            </w:r>
            <w:r>
              <w:rPr>
                <w:rFonts w:ascii="Times New Roman" w:hAnsi="Times New Roman" w:eastAsia="Times New Roman" w:cs="Times New Roman"/>
                <w:sz w:val="20"/>
                <w:szCs w:val="20"/>
              </w:rPr>
              <w:t>km</w:t>
            </w:r>
            <w:r>
              <w:rPr>
                <w:rFonts w:ascii="Times New Roman" w:hAnsi="Times New Roman" w:eastAsia="Times New Roman" w:cs="Times New Roman"/>
                <w:spacing w:val="19"/>
                <w:sz w:val="20"/>
                <w:szCs w:val="20"/>
              </w:rPr>
              <w:t xml:space="preserve"> </w:t>
            </w:r>
            <w:r>
              <w:rPr>
                <w:spacing w:val="3"/>
                <w:sz w:val="20"/>
                <w:szCs w:val="20"/>
              </w:rPr>
              <w:t>范围内居住区、医疗卫生、文化教的、科研、行政办公等机构人口总数大于</w:t>
            </w:r>
            <w:r>
              <w:rPr>
                <w:spacing w:val="-24"/>
                <w:sz w:val="20"/>
                <w:szCs w:val="20"/>
              </w:rPr>
              <w:t xml:space="preserve"> </w:t>
            </w:r>
            <w:r>
              <w:rPr>
                <w:rFonts w:ascii="Times New Roman" w:hAnsi="Times New Roman" w:eastAsia="Times New Roman" w:cs="Times New Roman"/>
                <w:spacing w:val="2"/>
                <w:sz w:val="20"/>
                <w:szCs w:val="20"/>
              </w:rPr>
              <w:t>1</w:t>
            </w:r>
            <w:r>
              <w:rPr>
                <w:rFonts w:ascii="Times New Roman" w:hAnsi="Times New Roman" w:eastAsia="Times New Roman" w:cs="Times New Roman"/>
                <w:spacing w:val="17"/>
                <w:w w:val="101"/>
                <w:sz w:val="20"/>
                <w:szCs w:val="20"/>
              </w:rPr>
              <w:t xml:space="preserve"> </w:t>
            </w:r>
            <w:r>
              <w:rPr>
                <w:spacing w:val="2"/>
                <w:sz w:val="20"/>
                <w:szCs w:val="20"/>
              </w:rPr>
              <w:t>万人，</w:t>
            </w:r>
            <w:r>
              <w:rPr>
                <w:sz w:val="20"/>
                <w:szCs w:val="20"/>
              </w:rPr>
              <w:t xml:space="preserve"> </w:t>
            </w:r>
            <w:r>
              <w:rPr>
                <w:spacing w:val="5"/>
                <w:sz w:val="20"/>
                <w:szCs w:val="20"/>
              </w:rPr>
              <w:t>小于</w:t>
            </w:r>
            <w:r>
              <w:rPr>
                <w:spacing w:val="-26"/>
                <w:sz w:val="20"/>
                <w:szCs w:val="20"/>
              </w:rPr>
              <w:t xml:space="preserve"> </w:t>
            </w:r>
            <w:r>
              <w:rPr>
                <w:rFonts w:ascii="Times New Roman" w:hAnsi="Times New Roman" w:eastAsia="Times New Roman" w:cs="Times New Roman"/>
                <w:spacing w:val="5"/>
                <w:sz w:val="20"/>
                <w:szCs w:val="20"/>
              </w:rPr>
              <w:t>5</w:t>
            </w:r>
            <w:r>
              <w:rPr>
                <w:rFonts w:ascii="Times New Roman" w:hAnsi="Times New Roman" w:eastAsia="Times New Roman" w:cs="Times New Roman"/>
                <w:spacing w:val="17"/>
                <w:w w:val="101"/>
                <w:sz w:val="20"/>
                <w:szCs w:val="20"/>
              </w:rPr>
              <w:t xml:space="preserve"> </w:t>
            </w:r>
            <w:r>
              <w:rPr>
                <w:spacing w:val="5"/>
                <w:sz w:val="20"/>
                <w:szCs w:val="20"/>
              </w:rPr>
              <w:t>万人，或周边</w:t>
            </w:r>
            <w:r>
              <w:rPr>
                <w:spacing w:val="-36"/>
                <w:sz w:val="20"/>
                <w:szCs w:val="20"/>
              </w:rPr>
              <w:t xml:space="preserve"> </w:t>
            </w:r>
            <w:r>
              <w:rPr>
                <w:rFonts w:ascii="Times New Roman" w:hAnsi="Times New Roman" w:eastAsia="Times New Roman" w:cs="Times New Roman"/>
                <w:spacing w:val="5"/>
                <w:sz w:val="20"/>
                <w:szCs w:val="20"/>
              </w:rPr>
              <w:t xml:space="preserve">500m </w:t>
            </w:r>
            <w:r>
              <w:rPr>
                <w:spacing w:val="5"/>
                <w:sz w:val="20"/>
                <w:szCs w:val="20"/>
              </w:rPr>
              <w:t>范围内人口总数大于</w:t>
            </w:r>
            <w:r>
              <w:rPr>
                <w:spacing w:val="-38"/>
                <w:sz w:val="20"/>
                <w:szCs w:val="20"/>
              </w:rPr>
              <w:t xml:space="preserve"> </w:t>
            </w:r>
            <w:r>
              <w:rPr>
                <w:rFonts w:ascii="Times New Roman" w:hAnsi="Times New Roman" w:eastAsia="Times New Roman" w:cs="Times New Roman"/>
                <w:spacing w:val="5"/>
                <w:sz w:val="20"/>
                <w:szCs w:val="20"/>
              </w:rPr>
              <w:t xml:space="preserve">500 </w:t>
            </w:r>
            <w:r>
              <w:rPr>
                <w:spacing w:val="5"/>
                <w:sz w:val="20"/>
                <w:szCs w:val="20"/>
              </w:rPr>
              <w:t>人，小于</w:t>
            </w:r>
            <w:r>
              <w:rPr>
                <w:spacing w:val="-21"/>
                <w:sz w:val="20"/>
                <w:szCs w:val="20"/>
              </w:rPr>
              <w:t xml:space="preserve"> </w:t>
            </w:r>
            <w:r>
              <w:rPr>
                <w:rFonts w:ascii="Times New Roman" w:hAnsi="Times New Roman" w:eastAsia="Times New Roman" w:cs="Times New Roman"/>
                <w:spacing w:val="5"/>
                <w:sz w:val="20"/>
                <w:szCs w:val="20"/>
              </w:rPr>
              <w:t xml:space="preserve">1000 </w:t>
            </w:r>
            <w:r>
              <w:rPr>
                <w:spacing w:val="5"/>
                <w:sz w:val="20"/>
                <w:szCs w:val="20"/>
              </w:rPr>
              <w:t>人；油气、化学品输送管</w:t>
            </w:r>
            <w:r>
              <w:rPr>
                <w:sz w:val="20"/>
                <w:szCs w:val="20"/>
              </w:rPr>
              <w:t xml:space="preserve"> </w:t>
            </w:r>
            <w:r>
              <w:rPr>
                <w:spacing w:val="6"/>
                <w:sz w:val="20"/>
                <w:szCs w:val="20"/>
              </w:rPr>
              <w:t>线管段周边</w:t>
            </w:r>
            <w:r>
              <w:rPr>
                <w:spacing w:val="-43"/>
                <w:sz w:val="20"/>
                <w:szCs w:val="20"/>
              </w:rPr>
              <w:t xml:space="preserve"> </w:t>
            </w:r>
            <w:r>
              <w:rPr>
                <w:rFonts w:ascii="Times New Roman" w:hAnsi="Times New Roman" w:eastAsia="Times New Roman" w:cs="Times New Roman"/>
                <w:spacing w:val="6"/>
                <w:sz w:val="20"/>
                <w:szCs w:val="20"/>
              </w:rPr>
              <w:t xml:space="preserve">200m </w:t>
            </w:r>
            <w:r>
              <w:rPr>
                <w:spacing w:val="6"/>
                <w:sz w:val="20"/>
                <w:szCs w:val="20"/>
              </w:rPr>
              <w:t>范围内，每千米管段人口数大于</w:t>
            </w:r>
            <w:r>
              <w:rPr>
                <w:spacing w:val="-21"/>
                <w:sz w:val="20"/>
                <w:szCs w:val="20"/>
              </w:rPr>
              <w:t xml:space="preserve"> </w:t>
            </w:r>
            <w:r>
              <w:rPr>
                <w:rFonts w:ascii="Times New Roman" w:hAnsi="Times New Roman" w:eastAsia="Times New Roman" w:cs="Times New Roman"/>
                <w:spacing w:val="6"/>
                <w:sz w:val="20"/>
                <w:szCs w:val="20"/>
              </w:rPr>
              <w:t>1</w:t>
            </w:r>
            <w:r>
              <w:rPr>
                <w:rFonts w:ascii="Times New Roman" w:hAnsi="Times New Roman" w:eastAsia="Times New Roman" w:cs="Times New Roman"/>
                <w:spacing w:val="5"/>
                <w:sz w:val="20"/>
                <w:szCs w:val="20"/>
              </w:rPr>
              <w:t xml:space="preserve">00 </w:t>
            </w:r>
            <w:r>
              <w:rPr>
                <w:spacing w:val="5"/>
                <w:sz w:val="20"/>
                <w:szCs w:val="20"/>
              </w:rPr>
              <w:t>人，小于</w:t>
            </w:r>
            <w:r>
              <w:rPr>
                <w:spacing w:val="-41"/>
                <w:sz w:val="20"/>
                <w:szCs w:val="20"/>
              </w:rPr>
              <w:t xml:space="preserve"> </w:t>
            </w:r>
            <w:r>
              <w:rPr>
                <w:rFonts w:ascii="Times New Roman" w:hAnsi="Times New Roman" w:eastAsia="Times New Roman" w:cs="Times New Roman"/>
                <w:spacing w:val="5"/>
                <w:sz w:val="20"/>
                <w:szCs w:val="20"/>
              </w:rPr>
              <w:t xml:space="preserve">200 </w:t>
            </w:r>
            <w:r>
              <w:rPr>
                <w:spacing w:val="5"/>
                <w:sz w:val="20"/>
                <w:szCs w:val="20"/>
              </w:rPr>
              <w:t>人</w:t>
            </w:r>
          </w:p>
        </w:tc>
      </w:tr>
      <w:tr w14:paraId="504507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610" w:type="dxa"/>
            <w:tcBorders>
              <w:left w:val="nil"/>
              <w:bottom w:val="single" w:color="000000" w:sz="10" w:space="0"/>
            </w:tcBorders>
            <w:vAlign w:val="top"/>
          </w:tcPr>
          <w:p w14:paraId="3245AB30">
            <w:pPr>
              <w:spacing w:line="298" w:lineRule="auto"/>
              <w:rPr>
                <w:rFonts w:ascii="Arial"/>
                <w:sz w:val="21"/>
              </w:rPr>
            </w:pPr>
          </w:p>
          <w:p w14:paraId="381FF428">
            <w:pPr>
              <w:spacing w:before="57" w:line="195" w:lineRule="auto"/>
              <w:ind w:left="19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E3</w:t>
            </w:r>
          </w:p>
        </w:tc>
        <w:tc>
          <w:tcPr>
            <w:tcW w:w="8462" w:type="dxa"/>
            <w:tcBorders>
              <w:bottom w:val="single" w:color="000000" w:sz="10" w:space="0"/>
              <w:right w:val="nil"/>
            </w:tcBorders>
            <w:vAlign w:val="top"/>
          </w:tcPr>
          <w:p w14:paraId="60B7249A">
            <w:pPr>
              <w:pStyle w:val="6"/>
              <w:spacing w:before="48"/>
              <w:ind w:left="10"/>
              <w:jc w:val="both"/>
              <w:rPr>
                <w:sz w:val="20"/>
                <w:szCs w:val="20"/>
              </w:rPr>
            </w:pPr>
            <w:r>
              <w:rPr>
                <w:spacing w:val="8"/>
                <w:sz w:val="20"/>
                <w:szCs w:val="20"/>
              </w:rPr>
              <w:t>边</w:t>
            </w:r>
            <w:r>
              <w:rPr>
                <w:spacing w:val="-25"/>
                <w:sz w:val="20"/>
                <w:szCs w:val="20"/>
              </w:rPr>
              <w:t xml:space="preserve"> </w:t>
            </w:r>
            <w:r>
              <w:rPr>
                <w:rFonts w:ascii="Times New Roman" w:hAnsi="Times New Roman" w:eastAsia="Times New Roman" w:cs="Times New Roman"/>
                <w:spacing w:val="8"/>
                <w:sz w:val="20"/>
                <w:szCs w:val="20"/>
              </w:rPr>
              <w:t>5</w:t>
            </w:r>
            <w:r>
              <w:rPr>
                <w:rFonts w:ascii="Times New Roman" w:hAnsi="Times New Roman" w:eastAsia="Times New Roman" w:cs="Times New Roman"/>
                <w:sz w:val="20"/>
                <w:szCs w:val="20"/>
              </w:rPr>
              <w:t>km</w:t>
            </w:r>
            <w:r>
              <w:rPr>
                <w:rFonts w:ascii="Times New Roman" w:hAnsi="Times New Roman" w:eastAsia="Times New Roman" w:cs="Times New Roman"/>
                <w:spacing w:val="16"/>
                <w:w w:val="101"/>
                <w:sz w:val="20"/>
                <w:szCs w:val="20"/>
              </w:rPr>
              <w:t xml:space="preserve"> </w:t>
            </w:r>
            <w:r>
              <w:rPr>
                <w:spacing w:val="8"/>
                <w:sz w:val="20"/>
                <w:szCs w:val="20"/>
              </w:rPr>
              <w:t>范围内居住区、区疗卫生、文化教自、科研、行政小等机构人口总数小于</w:t>
            </w:r>
            <w:r>
              <w:rPr>
                <w:spacing w:val="-21"/>
                <w:sz w:val="20"/>
                <w:szCs w:val="20"/>
              </w:rPr>
              <w:t xml:space="preserve"> </w:t>
            </w:r>
            <w:r>
              <w:rPr>
                <w:rFonts w:ascii="Times New Roman" w:hAnsi="Times New Roman" w:eastAsia="Times New Roman" w:cs="Times New Roman"/>
                <w:spacing w:val="8"/>
                <w:sz w:val="20"/>
                <w:szCs w:val="20"/>
              </w:rPr>
              <w:t xml:space="preserve">1 </w:t>
            </w:r>
            <w:r>
              <w:rPr>
                <w:spacing w:val="8"/>
                <w:sz w:val="20"/>
                <w:szCs w:val="20"/>
              </w:rPr>
              <w:t>万人：或</w:t>
            </w:r>
            <w:r>
              <w:rPr>
                <w:sz w:val="20"/>
                <w:szCs w:val="20"/>
              </w:rPr>
              <w:t xml:space="preserve"> </w:t>
            </w:r>
            <w:r>
              <w:rPr>
                <w:spacing w:val="6"/>
                <w:sz w:val="20"/>
                <w:szCs w:val="20"/>
              </w:rPr>
              <w:t>周边</w:t>
            </w:r>
            <w:r>
              <w:rPr>
                <w:spacing w:val="-30"/>
                <w:sz w:val="20"/>
                <w:szCs w:val="20"/>
              </w:rPr>
              <w:t xml:space="preserve"> </w:t>
            </w:r>
            <w:r>
              <w:rPr>
                <w:rFonts w:ascii="Times New Roman" w:hAnsi="Times New Roman" w:eastAsia="Times New Roman" w:cs="Times New Roman"/>
                <w:spacing w:val="6"/>
                <w:sz w:val="20"/>
                <w:szCs w:val="20"/>
              </w:rPr>
              <w:t>500m</w:t>
            </w:r>
            <w:r>
              <w:rPr>
                <w:rFonts w:ascii="Times New Roman" w:hAnsi="Times New Roman" w:eastAsia="Times New Roman" w:cs="Times New Roman"/>
                <w:spacing w:val="16"/>
                <w:w w:val="101"/>
                <w:sz w:val="20"/>
                <w:szCs w:val="20"/>
              </w:rPr>
              <w:t xml:space="preserve"> </w:t>
            </w:r>
            <w:r>
              <w:rPr>
                <w:spacing w:val="6"/>
                <w:sz w:val="20"/>
                <w:szCs w:val="20"/>
              </w:rPr>
              <w:t>范围内人口总数小于</w:t>
            </w:r>
            <w:r>
              <w:rPr>
                <w:spacing w:val="-37"/>
                <w:sz w:val="20"/>
                <w:szCs w:val="20"/>
              </w:rPr>
              <w:t xml:space="preserve"> </w:t>
            </w:r>
            <w:r>
              <w:rPr>
                <w:rFonts w:ascii="Times New Roman" w:hAnsi="Times New Roman" w:eastAsia="Times New Roman" w:cs="Times New Roman"/>
                <w:spacing w:val="6"/>
                <w:sz w:val="20"/>
                <w:szCs w:val="20"/>
              </w:rPr>
              <w:t xml:space="preserve">500 </w:t>
            </w:r>
            <w:r>
              <w:rPr>
                <w:spacing w:val="6"/>
                <w:sz w:val="20"/>
                <w:szCs w:val="20"/>
              </w:rPr>
              <w:t>人，油气、化学品输送管线管段周边</w:t>
            </w:r>
            <w:r>
              <w:rPr>
                <w:spacing w:val="-43"/>
                <w:sz w:val="20"/>
                <w:szCs w:val="20"/>
              </w:rPr>
              <w:t xml:space="preserve"> </w:t>
            </w:r>
            <w:r>
              <w:rPr>
                <w:rFonts w:ascii="Times New Roman" w:hAnsi="Times New Roman" w:eastAsia="Times New Roman" w:cs="Times New Roman"/>
                <w:spacing w:val="6"/>
                <w:sz w:val="20"/>
                <w:szCs w:val="20"/>
              </w:rPr>
              <w:t xml:space="preserve">200m </w:t>
            </w:r>
            <w:r>
              <w:rPr>
                <w:spacing w:val="6"/>
                <w:sz w:val="20"/>
                <w:szCs w:val="20"/>
              </w:rPr>
              <w:t>范围内，每千</w:t>
            </w:r>
            <w:r>
              <w:rPr>
                <w:sz w:val="20"/>
                <w:szCs w:val="20"/>
              </w:rPr>
              <w:t xml:space="preserve"> </w:t>
            </w:r>
            <w:r>
              <w:rPr>
                <w:spacing w:val="5"/>
                <w:sz w:val="20"/>
                <w:szCs w:val="20"/>
              </w:rPr>
              <w:t>米管段人口数小于</w:t>
            </w:r>
            <w:r>
              <w:rPr>
                <w:spacing w:val="-15"/>
                <w:sz w:val="20"/>
                <w:szCs w:val="20"/>
              </w:rPr>
              <w:t xml:space="preserve"> </w:t>
            </w:r>
            <w:r>
              <w:rPr>
                <w:rFonts w:ascii="Times New Roman" w:hAnsi="Times New Roman" w:eastAsia="Times New Roman" w:cs="Times New Roman"/>
                <w:spacing w:val="5"/>
                <w:sz w:val="20"/>
                <w:szCs w:val="20"/>
              </w:rPr>
              <w:t xml:space="preserve">100 </w:t>
            </w:r>
            <w:r>
              <w:rPr>
                <w:spacing w:val="5"/>
                <w:sz w:val="20"/>
                <w:szCs w:val="20"/>
              </w:rPr>
              <w:t>人</w:t>
            </w:r>
          </w:p>
        </w:tc>
      </w:tr>
    </w:tbl>
    <w:p w14:paraId="161F5E8B">
      <w:pPr>
        <w:spacing w:before="119" w:line="356" w:lineRule="auto"/>
        <w:ind w:left="66" w:right="55" w:firstLine="480"/>
        <w:rPr>
          <w:rFonts w:ascii="宋体" w:hAnsi="宋体" w:eastAsia="宋体" w:cs="宋体"/>
          <w:sz w:val="24"/>
          <w:szCs w:val="24"/>
        </w:rPr>
      </w:pPr>
      <w:r>
        <w:rPr>
          <w:rFonts w:ascii="宋体" w:hAnsi="宋体" w:eastAsia="宋体" w:cs="宋体"/>
          <w:spacing w:val="-4"/>
          <w:sz w:val="24"/>
          <w:szCs w:val="24"/>
        </w:rPr>
        <w:t>项目边</w:t>
      </w:r>
      <w:r>
        <w:rPr>
          <w:rFonts w:ascii="宋体" w:hAnsi="宋体" w:eastAsia="宋体" w:cs="宋体"/>
          <w:spacing w:val="-48"/>
          <w:sz w:val="24"/>
          <w:szCs w:val="24"/>
        </w:rPr>
        <w:t xml:space="preserve"> </w:t>
      </w:r>
      <w:r>
        <w:rPr>
          <w:rFonts w:ascii="Times New Roman" w:hAnsi="Times New Roman" w:eastAsia="Times New Roman" w:cs="Times New Roman"/>
          <w:spacing w:val="-4"/>
          <w:sz w:val="24"/>
          <w:szCs w:val="24"/>
        </w:rPr>
        <w:t>5km</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范围内居住区、区疗卫生、文化教自、科研、行政</w:t>
      </w:r>
      <w:r>
        <w:rPr>
          <w:rFonts w:ascii="宋体" w:hAnsi="宋体" w:eastAsia="宋体" w:cs="宋体"/>
          <w:spacing w:val="-5"/>
          <w:sz w:val="24"/>
          <w:szCs w:val="24"/>
        </w:rPr>
        <w:t>小等机构人口总数大</w:t>
      </w:r>
      <w:r>
        <w:rPr>
          <w:rFonts w:ascii="宋体" w:hAnsi="宋体" w:eastAsia="宋体" w:cs="宋体"/>
          <w:sz w:val="24"/>
          <w:szCs w:val="24"/>
        </w:rPr>
        <w:t xml:space="preserve"> </w:t>
      </w:r>
      <w:r>
        <w:rPr>
          <w:rFonts w:ascii="宋体" w:hAnsi="宋体" w:eastAsia="宋体" w:cs="宋体"/>
          <w:spacing w:val="-3"/>
          <w:sz w:val="24"/>
          <w:szCs w:val="24"/>
        </w:rPr>
        <w:t>于</w:t>
      </w:r>
      <w:r>
        <w:rPr>
          <w:rFonts w:ascii="宋体" w:hAnsi="宋体" w:eastAsia="宋体" w:cs="宋体"/>
          <w:spacing w:val="-31"/>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万人，周边</w:t>
      </w:r>
      <w:r>
        <w:rPr>
          <w:rFonts w:ascii="宋体" w:hAnsi="宋体" w:eastAsia="宋体" w:cs="宋体"/>
          <w:spacing w:val="-49"/>
          <w:sz w:val="24"/>
          <w:szCs w:val="24"/>
        </w:rPr>
        <w:t xml:space="preserve"> </w:t>
      </w:r>
      <w:r>
        <w:rPr>
          <w:rFonts w:ascii="Times New Roman" w:hAnsi="Times New Roman" w:eastAsia="Times New Roman" w:cs="Times New Roman"/>
          <w:spacing w:val="-3"/>
          <w:sz w:val="24"/>
          <w:szCs w:val="24"/>
        </w:rPr>
        <w:t>500m</w:t>
      </w:r>
      <w:r>
        <w:rPr>
          <w:rFonts w:ascii="Times New Roman" w:hAnsi="Times New Roman" w:eastAsia="Times New Roman" w:cs="Times New Roman"/>
          <w:spacing w:val="16"/>
          <w:sz w:val="24"/>
          <w:szCs w:val="24"/>
        </w:rPr>
        <w:t xml:space="preserve"> </w:t>
      </w:r>
      <w:r>
        <w:rPr>
          <w:rFonts w:ascii="宋体" w:hAnsi="宋体" w:eastAsia="宋体" w:cs="宋体"/>
          <w:spacing w:val="-3"/>
          <w:sz w:val="24"/>
          <w:szCs w:val="24"/>
        </w:rPr>
        <w:t>范围内人口总数小于</w:t>
      </w:r>
      <w:r>
        <w:rPr>
          <w:rFonts w:ascii="宋体" w:hAnsi="宋体" w:eastAsia="宋体" w:cs="宋体"/>
          <w:spacing w:val="-48"/>
          <w:sz w:val="24"/>
          <w:szCs w:val="24"/>
        </w:rPr>
        <w:t xml:space="preserve"> </w:t>
      </w:r>
      <w:r>
        <w:rPr>
          <w:rFonts w:ascii="Times New Roman" w:hAnsi="Times New Roman" w:eastAsia="Times New Roman" w:cs="Times New Roman"/>
          <w:spacing w:val="-3"/>
          <w:sz w:val="24"/>
          <w:szCs w:val="24"/>
        </w:rPr>
        <w:t xml:space="preserve">500 </w:t>
      </w:r>
      <w:r>
        <w:rPr>
          <w:rFonts w:ascii="宋体" w:hAnsi="宋体" w:eastAsia="宋体" w:cs="宋体"/>
          <w:spacing w:val="-3"/>
          <w:sz w:val="24"/>
          <w:szCs w:val="24"/>
        </w:rPr>
        <w:t>人，敏感程度为</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E3</w:t>
      </w:r>
      <w:r>
        <w:rPr>
          <w:rFonts w:ascii="宋体" w:hAnsi="宋体" w:eastAsia="宋体" w:cs="宋体"/>
          <w:spacing w:val="-3"/>
          <w:sz w:val="24"/>
          <w:szCs w:val="24"/>
        </w:rPr>
        <w:t>。</w:t>
      </w:r>
    </w:p>
    <w:p w14:paraId="67DF8CDB">
      <w:pPr>
        <w:spacing w:before="31" w:line="219" w:lineRule="auto"/>
        <w:ind w:left="543"/>
        <w:rPr>
          <w:rFonts w:ascii="宋体" w:hAnsi="宋体" w:eastAsia="宋体" w:cs="宋体"/>
          <w:sz w:val="24"/>
          <w:szCs w:val="24"/>
        </w:rPr>
      </w:pPr>
      <w:r>
        <w:rPr>
          <w:rFonts w:ascii="宋体" w:hAnsi="宋体" w:eastAsia="宋体" w:cs="宋体"/>
          <w:sz w:val="24"/>
          <w:szCs w:val="24"/>
        </w:rPr>
        <w:t>本项目周边无地表水体，不进行地表水环境的</w:t>
      </w:r>
      <w:r>
        <w:rPr>
          <w:rFonts w:ascii="宋体" w:hAnsi="宋体" w:eastAsia="宋体" w:cs="宋体"/>
          <w:spacing w:val="-1"/>
          <w:sz w:val="24"/>
          <w:szCs w:val="24"/>
        </w:rPr>
        <w:t>敏感程度（</w:t>
      </w:r>
      <w:r>
        <w:rPr>
          <w:rFonts w:ascii="Times New Roman" w:hAnsi="Times New Roman" w:eastAsia="Times New Roman" w:cs="Times New Roman"/>
          <w:spacing w:val="-1"/>
          <w:sz w:val="24"/>
          <w:szCs w:val="24"/>
        </w:rPr>
        <w:t>E</w:t>
      </w:r>
      <w:r>
        <w:rPr>
          <w:rFonts w:ascii="宋体" w:hAnsi="宋体" w:eastAsia="宋体" w:cs="宋体"/>
          <w:spacing w:val="-1"/>
          <w:sz w:val="24"/>
          <w:szCs w:val="24"/>
        </w:rPr>
        <w:t>）分级判定。</w:t>
      </w:r>
    </w:p>
    <w:p w14:paraId="37DE9938">
      <w:pPr>
        <w:spacing w:before="193" w:line="356" w:lineRule="auto"/>
        <w:ind w:left="63" w:right="55" w:firstLine="479"/>
        <w:rPr>
          <w:rFonts w:ascii="宋体" w:hAnsi="宋体" w:eastAsia="宋体" w:cs="宋体"/>
          <w:sz w:val="24"/>
          <w:szCs w:val="24"/>
        </w:rPr>
      </w:pPr>
      <w:r>
        <w:rPr>
          <w:rFonts w:ascii="宋体" w:hAnsi="宋体" w:eastAsia="宋体" w:cs="宋体"/>
          <w:spacing w:val="1"/>
          <w:sz w:val="24"/>
          <w:szCs w:val="24"/>
        </w:rPr>
        <w:t>地下水环境敏感程度（</w:t>
      </w:r>
      <w:r>
        <w:rPr>
          <w:rFonts w:ascii="Times New Roman" w:hAnsi="Times New Roman" w:eastAsia="Times New Roman" w:cs="Times New Roman"/>
          <w:spacing w:val="1"/>
          <w:sz w:val="24"/>
          <w:szCs w:val="24"/>
        </w:rPr>
        <w:t>E</w:t>
      </w:r>
      <w:r>
        <w:rPr>
          <w:rFonts w:ascii="宋体" w:hAnsi="宋体" w:eastAsia="宋体" w:cs="宋体"/>
          <w:spacing w:val="1"/>
          <w:sz w:val="24"/>
          <w:szCs w:val="24"/>
        </w:rPr>
        <w:t>）分级依据地下水功能敏感性和包气带防污性能判定</w:t>
      </w:r>
      <w:r>
        <w:rPr>
          <w:rFonts w:ascii="宋体" w:hAnsi="宋体" w:eastAsia="宋体" w:cs="宋体"/>
          <w:sz w:val="24"/>
          <w:szCs w:val="24"/>
        </w:rPr>
        <w:t xml:space="preserve">，敏 </w:t>
      </w:r>
      <w:r>
        <w:rPr>
          <w:rFonts w:ascii="宋体" w:hAnsi="宋体" w:eastAsia="宋体" w:cs="宋体"/>
          <w:spacing w:val="-2"/>
          <w:sz w:val="24"/>
          <w:szCs w:val="24"/>
        </w:rPr>
        <w:t>感程度分级依据详见表</w:t>
      </w:r>
      <w:r>
        <w:rPr>
          <w:rFonts w:ascii="宋体" w:hAnsi="宋体" w:eastAsia="宋体" w:cs="宋体"/>
          <w:spacing w:val="-41"/>
          <w:sz w:val="24"/>
          <w:szCs w:val="24"/>
        </w:rPr>
        <w:t xml:space="preserve"> </w:t>
      </w:r>
      <w:r>
        <w:rPr>
          <w:rFonts w:ascii="Times New Roman" w:hAnsi="Times New Roman" w:eastAsia="Times New Roman" w:cs="Times New Roman"/>
          <w:spacing w:val="-2"/>
          <w:sz w:val="24"/>
          <w:szCs w:val="24"/>
        </w:rPr>
        <w:t>5.2-6</w:t>
      </w:r>
      <w:r>
        <w:rPr>
          <w:rFonts w:ascii="宋体" w:hAnsi="宋体" w:eastAsia="宋体" w:cs="宋体"/>
          <w:spacing w:val="-2"/>
          <w:sz w:val="24"/>
          <w:szCs w:val="24"/>
        </w:rPr>
        <w:t>。</w:t>
      </w:r>
    </w:p>
    <w:p w14:paraId="50D15BC4">
      <w:pPr>
        <w:spacing w:before="47" w:line="228" w:lineRule="auto"/>
        <w:ind w:left="2597"/>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0"/>
          <w:sz w:val="20"/>
          <w:szCs w:val="20"/>
        </w:rPr>
        <w:t xml:space="preserve"> </w:t>
      </w:r>
      <w:r>
        <w:rPr>
          <w:rFonts w:ascii="Times New Roman" w:hAnsi="Times New Roman" w:eastAsia="Times New Roman" w:cs="Times New Roman"/>
          <w:b/>
          <w:bCs/>
          <w:spacing w:val="5"/>
          <w:sz w:val="20"/>
          <w:szCs w:val="20"/>
        </w:rPr>
        <w:t xml:space="preserve">5.2-6        </w:t>
      </w:r>
      <w:r>
        <w:rPr>
          <w:rFonts w:ascii="宋体" w:hAnsi="宋体" w:eastAsia="宋体" w:cs="宋体"/>
          <w:b/>
          <w:bCs/>
          <w:spacing w:val="5"/>
          <w:sz w:val="20"/>
          <w:szCs w:val="20"/>
        </w:rPr>
        <w:t>地下水环境敏感程度（</w:t>
      </w:r>
      <w:r>
        <w:rPr>
          <w:rFonts w:ascii="Times New Roman" w:hAnsi="Times New Roman" w:eastAsia="Times New Roman" w:cs="Times New Roman"/>
          <w:b/>
          <w:bCs/>
          <w:spacing w:val="5"/>
          <w:sz w:val="20"/>
          <w:szCs w:val="20"/>
        </w:rPr>
        <w:t>E</w:t>
      </w:r>
      <w:r>
        <w:rPr>
          <w:rFonts w:ascii="宋体" w:hAnsi="宋体" w:eastAsia="宋体" w:cs="宋体"/>
          <w:b/>
          <w:bCs/>
          <w:spacing w:val="5"/>
          <w:sz w:val="20"/>
          <w:szCs w:val="20"/>
        </w:rPr>
        <w:t>）分级</w:t>
      </w:r>
    </w:p>
    <w:p w14:paraId="5E144866">
      <w:pPr>
        <w:spacing w:line="98" w:lineRule="exact"/>
      </w:pPr>
    </w:p>
    <w:tbl>
      <w:tblPr>
        <w:tblStyle w:val="5"/>
        <w:tblW w:w="917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061"/>
        <w:gridCol w:w="2642"/>
        <w:gridCol w:w="1847"/>
        <w:gridCol w:w="1629"/>
      </w:tblGrid>
      <w:tr w14:paraId="4701CD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3061" w:type="dxa"/>
            <w:vMerge w:val="restart"/>
            <w:tcBorders>
              <w:top w:val="single" w:color="000000" w:sz="10" w:space="0"/>
              <w:left w:val="nil"/>
              <w:bottom w:val="nil"/>
            </w:tcBorders>
            <w:vAlign w:val="top"/>
          </w:tcPr>
          <w:p w14:paraId="58EB926A">
            <w:pPr>
              <w:pStyle w:val="6"/>
              <w:spacing w:before="222" w:line="228" w:lineRule="auto"/>
              <w:ind w:left="797"/>
              <w:rPr>
                <w:sz w:val="20"/>
                <w:szCs w:val="20"/>
              </w:rPr>
            </w:pPr>
            <w:r>
              <w:rPr>
                <w:b/>
                <w:bCs/>
                <w:spacing w:val="7"/>
                <w:sz w:val="20"/>
                <w:szCs w:val="20"/>
              </w:rPr>
              <w:t>包气带防污性能</w:t>
            </w:r>
          </w:p>
        </w:tc>
        <w:tc>
          <w:tcPr>
            <w:tcW w:w="6118" w:type="dxa"/>
            <w:gridSpan w:val="3"/>
            <w:tcBorders>
              <w:top w:val="single" w:color="000000" w:sz="10" w:space="0"/>
              <w:right w:val="nil"/>
            </w:tcBorders>
            <w:vAlign w:val="top"/>
          </w:tcPr>
          <w:p w14:paraId="46830591">
            <w:pPr>
              <w:pStyle w:val="6"/>
              <w:spacing w:before="56" w:line="228" w:lineRule="auto"/>
              <w:ind w:left="2222"/>
              <w:rPr>
                <w:sz w:val="20"/>
                <w:szCs w:val="20"/>
              </w:rPr>
            </w:pPr>
            <w:r>
              <w:rPr>
                <w:b/>
                <w:bCs/>
                <w:spacing w:val="7"/>
                <w:sz w:val="20"/>
                <w:szCs w:val="20"/>
              </w:rPr>
              <w:t>地下水功能敏感性</w:t>
            </w:r>
          </w:p>
        </w:tc>
      </w:tr>
      <w:tr w14:paraId="17D7CD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3061" w:type="dxa"/>
            <w:vMerge w:val="continue"/>
            <w:tcBorders>
              <w:top w:val="nil"/>
              <w:left w:val="nil"/>
            </w:tcBorders>
            <w:vAlign w:val="top"/>
          </w:tcPr>
          <w:p w14:paraId="2E0A5AE9">
            <w:pPr>
              <w:rPr>
                <w:rFonts w:ascii="Arial"/>
                <w:sz w:val="21"/>
              </w:rPr>
            </w:pPr>
          </w:p>
        </w:tc>
        <w:tc>
          <w:tcPr>
            <w:tcW w:w="2642" w:type="dxa"/>
            <w:vAlign w:val="top"/>
          </w:tcPr>
          <w:p w14:paraId="314ED71E">
            <w:pPr>
              <w:spacing w:before="96" w:line="195" w:lineRule="auto"/>
              <w:ind w:left="119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G1</w:t>
            </w:r>
          </w:p>
        </w:tc>
        <w:tc>
          <w:tcPr>
            <w:tcW w:w="1847" w:type="dxa"/>
            <w:vAlign w:val="top"/>
          </w:tcPr>
          <w:p w14:paraId="7DC17A66">
            <w:pPr>
              <w:spacing w:before="96" w:line="195" w:lineRule="auto"/>
              <w:ind w:left="79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G2</w:t>
            </w:r>
          </w:p>
        </w:tc>
        <w:tc>
          <w:tcPr>
            <w:tcW w:w="1629" w:type="dxa"/>
            <w:tcBorders>
              <w:right w:val="nil"/>
            </w:tcBorders>
            <w:vAlign w:val="top"/>
          </w:tcPr>
          <w:p w14:paraId="5EDD4AB8">
            <w:pPr>
              <w:spacing w:before="96" w:line="195" w:lineRule="auto"/>
              <w:ind w:left="69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G3</w:t>
            </w:r>
          </w:p>
        </w:tc>
      </w:tr>
      <w:tr w14:paraId="40FE35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3061" w:type="dxa"/>
            <w:tcBorders>
              <w:left w:val="nil"/>
            </w:tcBorders>
            <w:vAlign w:val="top"/>
          </w:tcPr>
          <w:p w14:paraId="2961EC70">
            <w:pPr>
              <w:spacing w:before="101" w:line="195" w:lineRule="auto"/>
              <w:ind w:left="140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D1</w:t>
            </w:r>
          </w:p>
        </w:tc>
        <w:tc>
          <w:tcPr>
            <w:tcW w:w="2642" w:type="dxa"/>
            <w:vAlign w:val="top"/>
          </w:tcPr>
          <w:p w14:paraId="43AABB07">
            <w:pPr>
              <w:spacing w:before="101" w:line="195" w:lineRule="auto"/>
              <w:ind w:left="12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E1</w:t>
            </w:r>
          </w:p>
        </w:tc>
        <w:tc>
          <w:tcPr>
            <w:tcW w:w="1847" w:type="dxa"/>
            <w:vAlign w:val="top"/>
          </w:tcPr>
          <w:p w14:paraId="3046F554">
            <w:pPr>
              <w:spacing w:before="101" w:line="195" w:lineRule="auto"/>
              <w:ind w:left="80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E1</w:t>
            </w:r>
          </w:p>
        </w:tc>
        <w:tc>
          <w:tcPr>
            <w:tcW w:w="1629" w:type="dxa"/>
            <w:tcBorders>
              <w:right w:val="nil"/>
            </w:tcBorders>
            <w:vAlign w:val="top"/>
          </w:tcPr>
          <w:p w14:paraId="736F47B9">
            <w:pPr>
              <w:spacing w:before="101" w:line="195" w:lineRule="auto"/>
              <w:ind w:left="70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E2</w:t>
            </w:r>
          </w:p>
        </w:tc>
      </w:tr>
      <w:tr w14:paraId="25AAE2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3061" w:type="dxa"/>
            <w:tcBorders>
              <w:left w:val="nil"/>
            </w:tcBorders>
            <w:vAlign w:val="top"/>
          </w:tcPr>
          <w:p w14:paraId="4538DE5A">
            <w:pPr>
              <w:spacing w:before="106" w:line="195" w:lineRule="auto"/>
              <w:ind w:left="140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D2</w:t>
            </w:r>
          </w:p>
        </w:tc>
        <w:tc>
          <w:tcPr>
            <w:tcW w:w="2642" w:type="dxa"/>
            <w:vAlign w:val="top"/>
          </w:tcPr>
          <w:p w14:paraId="725BD76B">
            <w:pPr>
              <w:spacing w:before="106" w:line="195" w:lineRule="auto"/>
              <w:ind w:left="12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E1</w:t>
            </w:r>
          </w:p>
        </w:tc>
        <w:tc>
          <w:tcPr>
            <w:tcW w:w="1847" w:type="dxa"/>
            <w:vAlign w:val="top"/>
          </w:tcPr>
          <w:p w14:paraId="5ECD66BA">
            <w:pPr>
              <w:spacing w:before="106" w:line="195" w:lineRule="auto"/>
              <w:ind w:left="80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E2</w:t>
            </w:r>
          </w:p>
        </w:tc>
        <w:tc>
          <w:tcPr>
            <w:tcW w:w="1629" w:type="dxa"/>
            <w:tcBorders>
              <w:right w:val="nil"/>
            </w:tcBorders>
            <w:vAlign w:val="top"/>
          </w:tcPr>
          <w:p w14:paraId="189C05CC">
            <w:pPr>
              <w:spacing w:before="105" w:line="195" w:lineRule="auto"/>
              <w:ind w:left="70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E3</w:t>
            </w:r>
          </w:p>
        </w:tc>
      </w:tr>
      <w:tr w14:paraId="46A899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3061" w:type="dxa"/>
            <w:tcBorders>
              <w:left w:val="nil"/>
              <w:bottom w:val="single" w:color="000000" w:sz="10" w:space="0"/>
            </w:tcBorders>
            <w:vAlign w:val="top"/>
          </w:tcPr>
          <w:p w14:paraId="31D900EA">
            <w:pPr>
              <w:spacing w:before="110" w:line="195" w:lineRule="auto"/>
              <w:ind w:left="140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D3</w:t>
            </w:r>
          </w:p>
        </w:tc>
        <w:tc>
          <w:tcPr>
            <w:tcW w:w="2642" w:type="dxa"/>
            <w:tcBorders>
              <w:bottom w:val="single" w:color="000000" w:sz="10" w:space="0"/>
            </w:tcBorders>
            <w:vAlign w:val="top"/>
          </w:tcPr>
          <w:p w14:paraId="24B62BBF">
            <w:pPr>
              <w:spacing w:before="110" w:line="195" w:lineRule="auto"/>
              <w:ind w:left="120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E2</w:t>
            </w:r>
          </w:p>
        </w:tc>
        <w:tc>
          <w:tcPr>
            <w:tcW w:w="1847" w:type="dxa"/>
            <w:tcBorders>
              <w:bottom w:val="single" w:color="000000" w:sz="10" w:space="0"/>
            </w:tcBorders>
            <w:vAlign w:val="top"/>
          </w:tcPr>
          <w:p w14:paraId="57C3D26B">
            <w:pPr>
              <w:spacing w:before="110" w:line="195" w:lineRule="auto"/>
              <w:ind w:left="80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E3</w:t>
            </w:r>
          </w:p>
        </w:tc>
        <w:tc>
          <w:tcPr>
            <w:tcW w:w="1629" w:type="dxa"/>
            <w:tcBorders>
              <w:bottom w:val="single" w:color="000000" w:sz="10" w:space="0"/>
              <w:right w:val="nil"/>
            </w:tcBorders>
            <w:vAlign w:val="top"/>
          </w:tcPr>
          <w:p w14:paraId="7E82BE8F">
            <w:pPr>
              <w:spacing w:before="110" w:line="195" w:lineRule="auto"/>
              <w:ind w:left="70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E3</w:t>
            </w:r>
          </w:p>
        </w:tc>
      </w:tr>
    </w:tbl>
    <w:p w14:paraId="61D031C9">
      <w:pPr>
        <w:spacing w:before="122" w:line="219" w:lineRule="auto"/>
        <w:ind w:left="542"/>
        <w:rPr>
          <w:rFonts w:ascii="宋体" w:hAnsi="宋体" w:eastAsia="宋体" w:cs="宋体"/>
          <w:sz w:val="24"/>
          <w:szCs w:val="24"/>
        </w:rPr>
      </w:pPr>
      <w:r>
        <w:rPr>
          <w:rFonts w:ascii="宋体" w:hAnsi="宋体" w:eastAsia="宋体" w:cs="宋体"/>
          <w:spacing w:val="-1"/>
          <w:sz w:val="24"/>
          <w:szCs w:val="24"/>
        </w:rPr>
        <w:t>地下水功能敏感性分区和包气带防污性能分级详见表</w:t>
      </w:r>
      <w:r>
        <w:rPr>
          <w:rFonts w:ascii="宋体" w:hAnsi="宋体" w:eastAsia="宋体" w:cs="宋体"/>
          <w:spacing w:val="-41"/>
          <w:sz w:val="24"/>
          <w:szCs w:val="24"/>
        </w:rPr>
        <w:t xml:space="preserve"> </w:t>
      </w:r>
      <w:r>
        <w:rPr>
          <w:rFonts w:ascii="Times New Roman" w:hAnsi="Times New Roman" w:eastAsia="Times New Roman" w:cs="Times New Roman"/>
          <w:spacing w:val="-1"/>
          <w:sz w:val="24"/>
          <w:szCs w:val="24"/>
        </w:rPr>
        <w:t>5.2-7~8</w:t>
      </w:r>
      <w:r>
        <w:rPr>
          <w:rFonts w:ascii="宋体" w:hAnsi="宋体" w:eastAsia="宋体" w:cs="宋体"/>
          <w:spacing w:val="-1"/>
          <w:sz w:val="24"/>
          <w:szCs w:val="24"/>
        </w:rPr>
        <w:t>。</w:t>
      </w:r>
    </w:p>
    <w:p w14:paraId="5DBBFBD0">
      <w:pPr>
        <w:spacing w:before="207" w:line="228" w:lineRule="auto"/>
        <w:ind w:left="2981"/>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5.2-7        </w:t>
      </w:r>
      <w:r>
        <w:rPr>
          <w:rFonts w:ascii="宋体" w:hAnsi="宋体" w:eastAsia="宋体" w:cs="宋体"/>
          <w:b/>
          <w:bCs/>
          <w:spacing w:val="5"/>
          <w:sz w:val="20"/>
          <w:szCs w:val="20"/>
        </w:rPr>
        <w:t>地下水功能敏感</w:t>
      </w:r>
      <w:r>
        <w:rPr>
          <w:rFonts w:ascii="宋体" w:hAnsi="宋体" w:eastAsia="宋体" w:cs="宋体"/>
          <w:b/>
          <w:bCs/>
          <w:spacing w:val="4"/>
          <w:sz w:val="20"/>
          <w:szCs w:val="20"/>
        </w:rPr>
        <w:t>性分区</w:t>
      </w:r>
    </w:p>
    <w:p w14:paraId="1A213D1A">
      <w:pPr>
        <w:spacing w:line="98" w:lineRule="exact"/>
      </w:pPr>
    </w:p>
    <w:tbl>
      <w:tblPr>
        <w:tblStyle w:val="5"/>
        <w:tblW w:w="8957" w:type="dxa"/>
        <w:tblInd w:w="11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66"/>
        <w:gridCol w:w="7991"/>
      </w:tblGrid>
      <w:tr w14:paraId="45518C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966" w:type="dxa"/>
            <w:tcBorders>
              <w:top w:val="single" w:color="000000" w:sz="10" w:space="0"/>
              <w:left w:val="nil"/>
            </w:tcBorders>
            <w:vAlign w:val="top"/>
          </w:tcPr>
          <w:p w14:paraId="10229F88">
            <w:pPr>
              <w:pStyle w:val="6"/>
              <w:spacing w:before="56" w:line="228" w:lineRule="auto"/>
              <w:ind w:left="171"/>
              <w:rPr>
                <w:sz w:val="20"/>
                <w:szCs w:val="20"/>
              </w:rPr>
            </w:pPr>
            <w:r>
              <w:rPr>
                <w:b/>
                <w:bCs/>
                <w:spacing w:val="5"/>
                <w:sz w:val="20"/>
                <w:szCs w:val="20"/>
              </w:rPr>
              <w:t>敏感性</w:t>
            </w:r>
          </w:p>
        </w:tc>
        <w:tc>
          <w:tcPr>
            <w:tcW w:w="7991" w:type="dxa"/>
            <w:tcBorders>
              <w:top w:val="single" w:color="000000" w:sz="10" w:space="0"/>
              <w:right w:val="nil"/>
            </w:tcBorders>
            <w:vAlign w:val="top"/>
          </w:tcPr>
          <w:p w14:paraId="2960BBF8">
            <w:pPr>
              <w:pStyle w:val="6"/>
              <w:spacing w:before="56" w:line="228" w:lineRule="auto"/>
              <w:ind w:left="3054"/>
              <w:rPr>
                <w:sz w:val="20"/>
                <w:szCs w:val="20"/>
              </w:rPr>
            </w:pPr>
            <w:r>
              <w:rPr>
                <w:b/>
                <w:bCs/>
                <w:spacing w:val="7"/>
                <w:sz w:val="20"/>
                <w:szCs w:val="20"/>
              </w:rPr>
              <w:t>地下水环境敏感特征</w:t>
            </w:r>
          </w:p>
        </w:tc>
      </w:tr>
      <w:tr w14:paraId="6164D7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0" w:hRule="atLeast"/>
        </w:trPr>
        <w:tc>
          <w:tcPr>
            <w:tcW w:w="966" w:type="dxa"/>
            <w:tcBorders>
              <w:left w:val="nil"/>
            </w:tcBorders>
            <w:vAlign w:val="top"/>
          </w:tcPr>
          <w:p w14:paraId="30E4C6A6">
            <w:pPr>
              <w:spacing w:line="304" w:lineRule="auto"/>
              <w:rPr>
                <w:rFonts w:ascii="Arial"/>
                <w:sz w:val="21"/>
              </w:rPr>
            </w:pPr>
          </w:p>
          <w:p w14:paraId="78D03ED3">
            <w:pPr>
              <w:pStyle w:val="6"/>
              <w:spacing w:before="65" w:line="228" w:lineRule="auto"/>
              <w:ind w:left="123"/>
              <w:rPr>
                <w:rFonts w:ascii="Times New Roman" w:hAnsi="Times New Roman" w:eastAsia="Times New Roman" w:cs="Times New Roman"/>
                <w:sz w:val="20"/>
                <w:szCs w:val="20"/>
              </w:rPr>
            </w:pPr>
            <w:r>
              <w:rPr>
                <w:spacing w:val="3"/>
                <w:sz w:val="20"/>
                <w:szCs w:val="20"/>
              </w:rPr>
              <w:t>敏感</w:t>
            </w:r>
            <w:r>
              <w:rPr>
                <w:spacing w:val="-38"/>
                <w:sz w:val="20"/>
                <w:szCs w:val="20"/>
              </w:rPr>
              <w:t xml:space="preserve"> </w:t>
            </w:r>
            <w:r>
              <w:rPr>
                <w:rFonts w:ascii="Times New Roman" w:hAnsi="Times New Roman" w:eastAsia="Times New Roman" w:cs="Times New Roman"/>
                <w:spacing w:val="3"/>
                <w:sz w:val="20"/>
                <w:szCs w:val="20"/>
              </w:rPr>
              <w:t>G1</w:t>
            </w:r>
          </w:p>
        </w:tc>
        <w:tc>
          <w:tcPr>
            <w:tcW w:w="7991" w:type="dxa"/>
            <w:tcBorders>
              <w:right w:val="nil"/>
            </w:tcBorders>
            <w:vAlign w:val="top"/>
          </w:tcPr>
          <w:p w14:paraId="47BEC320">
            <w:pPr>
              <w:pStyle w:val="6"/>
              <w:spacing w:before="56" w:line="275" w:lineRule="auto"/>
              <w:ind w:left="15" w:hanging="4"/>
              <w:jc w:val="both"/>
              <w:rPr>
                <w:sz w:val="20"/>
                <w:szCs w:val="20"/>
              </w:rPr>
            </w:pPr>
            <w:r>
              <w:rPr>
                <w:spacing w:val="5"/>
                <w:sz w:val="20"/>
                <w:szCs w:val="20"/>
              </w:rPr>
              <w:t>集中式饮用水源地（包括已建、备用、应急水</w:t>
            </w:r>
            <w:r>
              <w:rPr>
                <w:spacing w:val="4"/>
                <w:sz w:val="20"/>
                <w:szCs w:val="20"/>
              </w:rPr>
              <w:t>源，在建和规划的饮用水水源）准保护区；</w:t>
            </w:r>
            <w:r>
              <w:rPr>
                <w:sz w:val="20"/>
                <w:szCs w:val="20"/>
              </w:rPr>
              <w:t xml:space="preserve"> </w:t>
            </w:r>
            <w:r>
              <w:rPr>
                <w:spacing w:val="8"/>
                <w:sz w:val="20"/>
                <w:szCs w:val="20"/>
              </w:rPr>
              <w:t>除集中式饮用水水源以外的国家或地方政府设定的与地下水环境相关的其他保护区。如</w:t>
            </w:r>
            <w:r>
              <w:rPr>
                <w:spacing w:val="15"/>
                <w:sz w:val="20"/>
                <w:szCs w:val="20"/>
              </w:rPr>
              <w:t xml:space="preserve"> </w:t>
            </w:r>
            <w:r>
              <w:rPr>
                <w:spacing w:val="7"/>
                <w:sz w:val="20"/>
                <w:szCs w:val="20"/>
              </w:rPr>
              <w:t>热水、矿泉水、温泉等特殊地下水资源保护区。</w:t>
            </w:r>
          </w:p>
        </w:tc>
      </w:tr>
      <w:tr w14:paraId="55913A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9" w:hRule="atLeast"/>
        </w:trPr>
        <w:tc>
          <w:tcPr>
            <w:tcW w:w="966" w:type="dxa"/>
            <w:tcBorders>
              <w:left w:val="nil"/>
            </w:tcBorders>
            <w:vAlign w:val="top"/>
          </w:tcPr>
          <w:p w14:paraId="5CBA33D1">
            <w:pPr>
              <w:spacing w:line="466" w:lineRule="auto"/>
              <w:rPr>
                <w:rFonts w:ascii="Arial"/>
                <w:sz w:val="21"/>
              </w:rPr>
            </w:pPr>
          </w:p>
          <w:p w14:paraId="32DE5747">
            <w:pPr>
              <w:pStyle w:val="6"/>
              <w:spacing w:before="66" w:line="228" w:lineRule="auto"/>
              <w:ind w:left="123"/>
              <w:rPr>
                <w:rFonts w:ascii="Times New Roman" w:hAnsi="Times New Roman" w:eastAsia="Times New Roman" w:cs="Times New Roman"/>
                <w:sz w:val="20"/>
                <w:szCs w:val="20"/>
              </w:rPr>
            </w:pPr>
            <w:r>
              <w:rPr>
                <w:spacing w:val="3"/>
                <w:sz w:val="20"/>
                <w:szCs w:val="20"/>
              </w:rPr>
              <w:t>敏感</w:t>
            </w:r>
            <w:r>
              <w:rPr>
                <w:spacing w:val="-38"/>
                <w:sz w:val="20"/>
                <w:szCs w:val="20"/>
              </w:rPr>
              <w:t xml:space="preserve"> </w:t>
            </w:r>
            <w:r>
              <w:rPr>
                <w:rFonts w:ascii="Times New Roman" w:hAnsi="Times New Roman" w:eastAsia="Times New Roman" w:cs="Times New Roman"/>
                <w:spacing w:val="3"/>
                <w:sz w:val="20"/>
                <w:szCs w:val="20"/>
              </w:rPr>
              <w:t>G2</w:t>
            </w:r>
          </w:p>
        </w:tc>
        <w:tc>
          <w:tcPr>
            <w:tcW w:w="7991" w:type="dxa"/>
            <w:tcBorders>
              <w:right w:val="nil"/>
            </w:tcBorders>
            <w:vAlign w:val="top"/>
          </w:tcPr>
          <w:p w14:paraId="7D34E7EC">
            <w:pPr>
              <w:pStyle w:val="6"/>
              <w:spacing w:before="55" w:line="280" w:lineRule="auto"/>
              <w:ind w:left="13" w:hanging="2"/>
              <w:jc w:val="both"/>
              <w:rPr>
                <w:sz w:val="20"/>
                <w:szCs w:val="20"/>
              </w:rPr>
            </w:pPr>
            <w:r>
              <w:rPr>
                <w:spacing w:val="9"/>
                <w:sz w:val="20"/>
                <w:szCs w:val="20"/>
              </w:rPr>
              <w:t>集中式饮用水源地（包括已建、备用、应急水</w:t>
            </w:r>
            <w:r>
              <w:rPr>
                <w:spacing w:val="8"/>
                <w:sz w:val="20"/>
                <w:szCs w:val="20"/>
              </w:rPr>
              <w:t>源，在建和规划的饮用水水源）准保护区</w:t>
            </w:r>
            <w:r>
              <w:rPr>
                <w:sz w:val="20"/>
                <w:szCs w:val="20"/>
              </w:rPr>
              <w:t xml:space="preserve"> </w:t>
            </w:r>
            <w:r>
              <w:rPr>
                <w:spacing w:val="4"/>
                <w:sz w:val="20"/>
                <w:szCs w:val="20"/>
              </w:rPr>
              <w:t>以外的补给径流区；未划定准保护区的集中式饮用水水源，其保护区以外的不给径流区；</w:t>
            </w:r>
            <w:r>
              <w:rPr>
                <w:spacing w:val="17"/>
                <w:sz w:val="20"/>
                <w:szCs w:val="20"/>
              </w:rPr>
              <w:t xml:space="preserve"> </w:t>
            </w:r>
            <w:r>
              <w:rPr>
                <w:spacing w:val="8"/>
                <w:sz w:val="20"/>
                <w:szCs w:val="20"/>
              </w:rPr>
              <w:t>分散式饮用水水源地；特殊地下水资源（如热水、矿泉水、温泉等）保护区以外的分布</w:t>
            </w:r>
            <w:r>
              <w:rPr>
                <w:spacing w:val="17"/>
                <w:sz w:val="20"/>
                <w:szCs w:val="20"/>
              </w:rPr>
              <w:t xml:space="preserve"> </w:t>
            </w:r>
            <w:r>
              <w:rPr>
                <w:spacing w:val="7"/>
                <w:sz w:val="20"/>
                <w:szCs w:val="20"/>
              </w:rPr>
              <w:t>区等其他未列入上述敏感分级的环境敏感区</w:t>
            </w:r>
            <w:r>
              <w:rPr>
                <w:spacing w:val="-41"/>
                <w:sz w:val="20"/>
                <w:szCs w:val="20"/>
              </w:rPr>
              <w:t xml:space="preserve"> </w:t>
            </w:r>
            <w:r>
              <w:rPr>
                <w:rFonts w:ascii="Times New Roman" w:hAnsi="Times New Roman" w:eastAsia="Times New Roman" w:cs="Times New Roman"/>
                <w:spacing w:val="7"/>
                <w:position w:val="6"/>
                <w:sz w:val="13"/>
                <w:szCs w:val="13"/>
              </w:rPr>
              <w:t>a</w:t>
            </w:r>
            <w:r>
              <w:rPr>
                <w:spacing w:val="7"/>
                <w:sz w:val="20"/>
                <w:szCs w:val="20"/>
              </w:rPr>
              <w:t>。</w:t>
            </w:r>
          </w:p>
        </w:tc>
      </w:tr>
      <w:tr w14:paraId="44BEBA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966" w:type="dxa"/>
            <w:tcBorders>
              <w:left w:val="nil"/>
            </w:tcBorders>
            <w:vAlign w:val="top"/>
          </w:tcPr>
          <w:p w14:paraId="724152C3">
            <w:pPr>
              <w:pStyle w:val="6"/>
              <w:spacing w:before="57" w:line="228" w:lineRule="auto"/>
              <w:ind w:left="123"/>
              <w:rPr>
                <w:rFonts w:ascii="Times New Roman" w:hAnsi="Times New Roman" w:eastAsia="Times New Roman" w:cs="Times New Roman"/>
                <w:sz w:val="20"/>
                <w:szCs w:val="20"/>
              </w:rPr>
            </w:pPr>
            <w:r>
              <w:rPr>
                <w:spacing w:val="3"/>
                <w:sz w:val="20"/>
                <w:szCs w:val="20"/>
              </w:rPr>
              <w:t>敏感</w:t>
            </w:r>
            <w:r>
              <w:rPr>
                <w:spacing w:val="-38"/>
                <w:sz w:val="20"/>
                <w:szCs w:val="20"/>
              </w:rPr>
              <w:t xml:space="preserve"> </w:t>
            </w:r>
            <w:r>
              <w:rPr>
                <w:rFonts w:ascii="Times New Roman" w:hAnsi="Times New Roman" w:eastAsia="Times New Roman" w:cs="Times New Roman"/>
                <w:spacing w:val="3"/>
                <w:sz w:val="20"/>
                <w:szCs w:val="20"/>
              </w:rPr>
              <w:t>G3</w:t>
            </w:r>
          </w:p>
        </w:tc>
        <w:tc>
          <w:tcPr>
            <w:tcW w:w="7991" w:type="dxa"/>
            <w:tcBorders>
              <w:right w:val="nil"/>
            </w:tcBorders>
            <w:vAlign w:val="top"/>
          </w:tcPr>
          <w:p w14:paraId="45D9E8C4">
            <w:pPr>
              <w:pStyle w:val="6"/>
              <w:spacing w:before="58" w:line="228" w:lineRule="auto"/>
              <w:ind w:left="12"/>
              <w:rPr>
                <w:sz w:val="20"/>
                <w:szCs w:val="20"/>
              </w:rPr>
            </w:pPr>
            <w:r>
              <w:rPr>
                <w:spacing w:val="9"/>
                <w:sz w:val="20"/>
                <w:szCs w:val="20"/>
              </w:rPr>
              <w:t>上述地区以外的其他地区</w:t>
            </w:r>
          </w:p>
        </w:tc>
      </w:tr>
    </w:tbl>
    <w:p w14:paraId="4EABE937">
      <w:pPr>
        <w:spacing w:before="53" w:line="226" w:lineRule="auto"/>
        <w:ind w:left="115"/>
        <w:rPr>
          <w:rFonts w:ascii="宋体" w:hAnsi="宋体" w:eastAsia="宋体" w:cs="宋体"/>
          <w:sz w:val="20"/>
          <w:szCs w:val="20"/>
        </w:rPr>
      </w:pPr>
      <w:r>
        <w:rPr>
          <w:rFonts w:ascii="Times New Roman" w:hAnsi="Times New Roman" w:eastAsia="Times New Roman" w:cs="Times New Roman"/>
          <w:spacing w:val="9"/>
          <w:sz w:val="13"/>
          <w:szCs w:val="13"/>
        </w:rPr>
        <w:t>a</w:t>
      </w:r>
      <w:r>
        <w:rPr>
          <w:rFonts w:ascii="Times New Roman" w:hAnsi="Times New Roman" w:eastAsia="Times New Roman" w:cs="Times New Roman"/>
          <w:spacing w:val="9"/>
          <w:sz w:val="20"/>
          <w:szCs w:val="20"/>
        </w:rPr>
        <w:t>“</w:t>
      </w:r>
      <w:r>
        <w:rPr>
          <w:rFonts w:ascii="宋体" w:hAnsi="宋体" w:eastAsia="宋体" w:cs="宋体"/>
          <w:spacing w:val="9"/>
          <w:sz w:val="20"/>
          <w:szCs w:val="20"/>
        </w:rPr>
        <w:t>环境敏感区</w:t>
      </w:r>
      <w:r>
        <w:rPr>
          <w:rFonts w:ascii="Times New Roman" w:hAnsi="Times New Roman" w:eastAsia="Times New Roman" w:cs="Times New Roman"/>
          <w:spacing w:val="9"/>
          <w:sz w:val="20"/>
          <w:szCs w:val="20"/>
        </w:rPr>
        <w:t>”</w:t>
      </w:r>
      <w:r>
        <w:rPr>
          <w:rFonts w:ascii="宋体" w:hAnsi="宋体" w:eastAsia="宋体" w:cs="宋体"/>
          <w:spacing w:val="9"/>
          <w:sz w:val="20"/>
          <w:szCs w:val="20"/>
        </w:rPr>
        <w:t>是指《建设项目环境影响评价分类管理名录》中所界定涉及地下水环境敏感区</w:t>
      </w:r>
    </w:p>
    <w:p w14:paraId="08DA75BF">
      <w:pPr>
        <w:spacing w:before="21" w:line="29" w:lineRule="exact"/>
        <w:ind w:firstLine="110"/>
      </w:pPr>
      <w:r>
        <w:pict>
          <v:shape id="_x0000_s1892" o:spid="_x0000_s1892" style="height:1.45pt;width:447.9pt;" filled="f" stroked="t" coordsize="8957,29" path="m0,14l8957,14e">
            <v:fill on="f" focussize="0,0"/>
            <v:stroke weight="1.44pt" color="#000000" miterlimit="2" joinstyle="bevel"/>
            <v:imagedata o:title=""/>
            <o:lock v:ext="edit"/>
            <w10:wrap type="none"/>
            <w10:anchorlock/>
          </v:shape>
        </w:pict>
      </w:r>
    </w:p>
    <w:p w14:paraId="2AD1337D">
      <w:pPr>
        <w:spacing w:before="120" w:line="360" w:lineRule="auto"/>
        <w:ind w:left="62" w:right="55" w:firstLine="480"/>
        <w:jc w:val="both"/>
        <w:rPr>
          <w:rFonts w:ascii="宋体" w:hAnsi="宋体" w:eastAsia="宋体" w:cs="宋体"/>
          <w:sz w:val="24"/>
          <w:szCs w:val="24"/>
        </w:rPr>
      </w:pPr>
      <w:r>
        <w:rPr>
          <w:rFonts w:ascii="宋体" w:hAnsi="宋体" w:eastAsia="宋体" w:cs="宋体"/>
          <w:spacing w:val="5"/>
          <w:sz w:val="24"/>
          <w:szCs w:val="24"/>
        </w:rPr>
        <w:t xml:space="preserve">本项目周边村庄皆利用自家水井开采地下水作为生活饮用水水源或者是配置村庄 </w:t>
      </w:r>
      <w:r>
        <w:rPr>
          <w:rFonts w:ascii="宋体" w:hAnsi="宋体" w:eastAsia="宋体" w:cs="宋体"/>
          <w:spacing w:val="-2"/>
          <w:sz w:val="24"/>
          <w:szCs w:val="24"/>
        </w:rPr>
        <w:t>集中供水水源井，属联村联片分散式饮用水水源地及单井分散式饮用水井，敏感性分区</w:t>
      </w:r>
      <w:r>
        <w:rPr>
          <w:rFonts w:ascii="宋体" w:hAnsi="宋体" w:eastAsia="宋体" w:cs="宋体"/>
          <w:spacing w:val="17"/>
          <w:sz w:val="24"/>
          <w:szCs w:val="24"/>
        </w:rPr>
        <w:t xml:space="preserve"> </w:t>
      </w:r>
      <w:r>
        <w:rPr>
          <w:rFonts w:ascii="宋体" w:hAnsi="宋体" w:eastAsia="宋体" w:cs="宋体"/>
          <w:spacing w:val="-5"/>
          <w:sz w:val="24"/>
          <w:szCs w:val="24"/>
        </w:rPr>
        <w:t>为</w:t>
      </w:r>
      <w:r>
        <w:rPr>
          <w:rFonts w:ascii="宋体" w:hAnsi="宋体" w:eastAsia="宋体" w:cs="宋体"/>
          <w:spacing w:val="-51"/>
          <w:sz w:val="24"/>
          <w:szCs w:val="24"/>
        </w:rPr>
        <w:t xml:space="preserve"> </w:t>
      </w:r>
      <w:r>
        <w:rPr>
          <w:rFonts w:ascii="Times New Roman" w:hAnsi="Times New Roman" w:eastAsia="Times New Roman" w:cs="Times New Roman"/>
          <w:spacing w:val="-5"/>
          <w:sz w:val="24"/>
          <w:szCs w:val="24"/>
        </w:rPr>
        <w:t>G2</w:t>
      </w:r>
      <w:r>
        <w:rPr>
          <w:rFonts w:ascii="宋体" w:hAnsi="宋体" w:eastAsia="宋体" w:cs="宋体"/>
          <w:spacing w:val="-5"/>
          <w:sz w:val="24"/>
          <w:szCs w:val="24"/>
        </w:rPr>
        <w:t>。</w:t>
      </w:r>
    </w:p>
    <w:p w14:paraId="0AC8FC5C">
      <w:pPr>
        <w:spacing w:line="360" w:lineRule="auto"/>
        <w:rPr>
          <w:rFonts w:ascii="宋体" w:hAnsi="宋体" w:eastAsia="宋体" w:cs="宋体"/>
          <w:sz w:val="24"/>
          <w:szCs w:val="24"/>
        </w:rPr>
        <w:sectPr>
          <w:headerReference r:id="rId388" w:type="default"/>
          <w:footerReference r:id="rId389" w:type="default"/>
          <w:pgSz w:w="11906" w:h="16839"/>
          <w:pgMar w:top="1191" w:right="1363" w:bottom="1221" w:left="1363" w:header="882" w:footer="1058" w:gutter="0"/>
          <w:cols w:space="720" w:num="1"/>
        </w:sectPr>
      </w:pPr>
    </w:p>
    <w:p w14:paraId="3AD25B5C">
      <w:pPr>
        <w:spacing w:line="28" w:lineRule="exact"/>
      </w:pPr>
      <w:r>
        <w:pict>
          <v:shape id="_x0000_s1894" o:spid="_x0000_s1894" style="height:1.45pt;width:453.65pt;" fillcolor="#000000" filled="t" stroked="f" coordsize="9072,29" path="m0,0l9072,0,9072,28,0,28,0,0xe">
            <v:path/>
            <v:fill on="t" focussize="0,0"/>
            <v:stroke on="f"/>
            <v:imagedata o:title=""/>
            <o:lock v:ext="edit"/>
            <w10:wrap type="none"/>
            <w10:anchorlock/>
          </v:shape>
        </w:pict>
      </w:r>
    </w:p>
    <w:p w14:paraId="6D67B65D">
      <w:pPr>
        <w:pStyle w:val="2"/>
        <w:spacing w:line="264" w:lineRule="auto"/>
      </w:pPr>
    </w:p>
    <w:p w14:paraId="3A11F1F2">
      <w:pPr>
        <w:spacing w:before="65" w:line="228" w:lineRule="auto"/>
        <w:ind w:left="3035"/>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4"/>
          <w:sz w:val="20"/>
          <w:szCs w:val="20"/>
        </w:rPr>
        <w:t xml:space="preserve"> </w:t>
      </w:r>
      <w:r>
        <w:rPr>
          <w:rFonts w:ascii="Times New Roman" w:hAnsi="Times New Roman" w:eastAsia="Times New Roman" w:cs="Times New Roman"/>
          <w:b/>
          <w:bCs/>
          <w:spacing w:val="4"/>
          <w:sz w:val="20"/>
          <w:szCs w:val="20"/>
        </w:rPr>
        <w:t xml:space="preserve">5.2-8        </w:t>
      </w:r>
      <w:r>
        <w:rPr>
          <w:rFonts w:ascii="宋体" w:hAnsi="宋体" w:eastAsia="宋体" w:cs="宋体"/>
          <w:b/>
          <w:bCs/>
          <w:spacing w:val="4"/>
          <w:sz w:val="20"/>
          <w:szCs w:val="20"/>
        </w:rPr>
        <w:t>包气带防污性能分级</w:t>
      </w:r>
    </w:p>
    <w:p w14:paraId="62FEC279">
      <w:pPr>
        <w:spacing w:line="97" w:lineRule="exact"/>
      </w:pPr>
    </w:p>
    <w:tbl>
      <w:tblPr>
        <w:tblStyle w:val="5"/>
        <w:tblW w:w="8957" w:type="dxa"/>
        <w:tblInd w:w="56"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04"/>
        <w:gridCol w:w="7653"/>
      </w:tblGrid>
      <w:tr w14:paraId="106BD4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1304" w:type="dxa"/>
            <w:tcBorders>
              <w:top w:val="single" w:color="000000" w:sz="10" w:space="0"/>
              <w:left w:val="nil"/>
            </w:tcBorders>
            <w:vAlign w:val="top"/>
          </w:tcPr>
          <w:p w14:paraId="51C7C510">
            <w:pPr>
              <w:pStyle w:val="6"/>
              <w:spacing w:before="58" w:line="228" w:lineRule="auto"/>
              <w:ind w:left="449"/>
              <w:rPr>
                <w:sz w:val="20"/>
                <w:szCs w:val="20"/>
              </w:rPr>
            </w:pPr>
            <w:r>
              <w:rPr>
                <w:b/>
                <w:bCs/>
                <w:spacing w:val="2"/>
                <w:sz w:val="20"/>
                <w:szCs w:val="20"/>
              </w:rPr>
              <w:t>分级</w:t>
            </w:r>
          </w:p>
        </w:tc>
        <w:tc>
          <w:tcPr>
            <w:tcW w:w="7653" w:type="dxa"/>
            <w:tcBorders>
              <w:top w:val="single" w:color="000000" w:sz="10" w:space="0"/>
              <w:right w:val="nil"/>
            </w:tcBorders>
            <w:vAlign w:val="top"/>
          </w:tcPr>
          <w:p w14:paraId="5C68ACA4">
            <w:pPr>
              <w:pStyle w:val="6"/>
              <w:spacing w:before="57" w:line="228" w:lineRule="auto"/>
              <w:ind w:left="2781"/>
              <w:rPr>
                <w:sz w:val="20"/>
                <w:szCs w:val="20"/>
              </w:rPr>
            </w:pPr>
            <w:r>
              <w:rPr>
                <w:b/>
                <w:bCs/>
                <w:spacing w:val="7"/>
                <w:sz w:val="20"/>
                <w:szCs w:val="20"/>
              </w:rPr>
              <w:t>包气带岩土的渗透性能</w:t>
            </w:r>
          </w:p>
        </w:tc>
      </w:tr>
      <w:tr w14:paraId="5735BB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1304" w:type="dxa"/>
            <w:tcBorders>
              <w:left w:val="nil"/>
            </w:tcBorders>
            <w:vAlign w:val="top"/>
          </w:tcPr>
          <w:p w14:paraId="2DA11C04">
            <w:pPr>
              <w:spacing w:before="90" w:line="195" w:lineRule="auto"/>
              <w:ind w:left="52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D3</w:t>
            </w:r>
          </w:p>
        </w:tc>
        <w:tc>
          <w:tcPr>
            <w:tcW w:w="7653" w:type="dxa"/>
            <w:tcBorders>
              <w:right w:val="nil"/>
            </w:tcBorders>
            <w:vAlign w:val="top"/>
          </w:tcPr>
          <w:p w14:paraId="757C4270">
            <w:pPr>
              <w:pStyle w:val="6"/>
              <w:spacing w:before="54" w:line="227" w:lineRule="auto"/>
              <w:ind w:left="1679"/>
              <w:rPr>
                <w:sz w:val="20"/>
                <w:szCs w:val="20"/>
              </w:rPr>
            </w:pPr>
            <w:r>
              <w:rPr>
                <w:rFonts w:ascii="Times New Roman" w:hAnsi="Times New Roman" w:eastAsia="Times New Roman" w:cs="Times New Roman"/>
                <w:sz w:val="20"/>
                <w:szCs w:val="20"/>
              </w:rPr>
              <w:t>Mb</w:t>
            </w:r>
            <w:r>
              <w:rPr>
                <w:rFonts w:ascii="Times New Roman" w:hAnsi="Times New Roman" w:eastAsia="Times New Roman" w:cs="Times New Roman"/>
                <w:spacing w:val="5"/>
                <w:sz w:val="20"/>
                <w:szCs w:val="20"/>
              </w:rPr>
              <w:t>≥1.0m</w:t>
            </w:r>
            <w:r>
              <w:rPr>
                <w:rFonts w:ascii="Times New Roman" w:hAnsi="Times New Roman" w:eastAsia="Times New Roman" w:cs="Times New Roman"/>
                <w:spacing w:val="-13"/>
                <w:sz w:val="20"/>
                <w:szCs w:val="20"/>
              </w:rPr>
              <w:t xml:space="preserve"> </w:t>
            </w:r>
            <w:r>
              <w:rPr>
                <w:spacing w:val="5"/>
                <w:sz w:val="20"/>
                <w:szCs w:val="20"/>
              </w:rPr>
              <w:t>，</w:t>
            </w:r>
            <w:r>
              <w:rPr>
                <w:rFonts w:ascii="Times New Roman" w:hAnsi="Times New Roman" w:eastAsia="Times New Roman" w:cs="Times New Roman"/>
                <w:spacing w:val="5"/>
                <w:sz w:val="20"/>
                <w:szCs w:val="20"/>
              </w:rPr>
              <w:t>K≤1.0×10</w:t>
            </w:r>
            <w:r>
              <w:rPr>
                <w:rFonts w:ascii="Times New Roman" w:hAnsi="Times New Roman" w:eastAsia="Times New Roman" w:cs="Times New Roman"/>
                <w:spacing w:val="5"/>
                <w:position w:val="6"/>
                <w:sz w:val="13"/>
                <w:szCs w:val="13"/>
              </w:rPr>
              <w:t>-6</w:t>
            </w:r>
            <w:r>
              <w:rPr>
                <w:rFonts w:ascii="Times New Roman" w:hAnsi="Times New Roman" w:eastAsia="Times New Roman" w:cs="Times New Roman"/>
                <w:sz w:val="20"/>
                <w:szCs w:val="20"/>
              </w:rPr>
              <w:t>cm</w:t>
            </w:r>
            <w:r>
              <w:rPr>
                <w:rFonts w:ascii="Times New Roman" w:hAnsi="Times New Roman" w:eastAsia="Times New Roman" w:cs="Times New Roman"/>
                <w:spacing w:val="5"/>
                <w:sz w:val="20"/>
                <w:szCs w:val="20"/>
              </w:rPr>
              <w:t>/s</w:t>
            </w:r>
            <w:r>
              <w:rPr>
                <w:rFonts w:ascii="Times New Roman" w:hAnsi="Times New Roman" w:eastAsia="Times New Roman" w:cs="Times New Roman"/>
                <w:spacing w:val="-25"/>
                <w:sz w:val="20"/>
                <w:szCs w:val="20"/>
              </w:rPr>
              <w:t xml:space="preserve"> </w:t>
            </w:r>
            <w:r>
              <w:rPr>
                <w:spacing w:val="5"/>
                <w:sz w:val="20"/>
                <w:szCs w:val="20"/>
              </w:rPr>
              <w:t>，且分布连续、稳定</w:t>
            </w:r>
          </w:p>
        </w:tc>
      </w:tr>
      <w:tr w14:paraId="484892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1" w:hRule="atLeast"/>
        </w:trPr>
        <w:tc>
          <w:tcPr>
            <w:tcW w:w="1304" w:type="dxa"/>
            <w:tcBorders>
              <w:left w:val="nil"/>
            </w:tcBorders>
            <w:vAlign w:val="top"/>
          </w:tcPr>
          <w:p w14:paraId="66548797">
            <w:pPr>
              <w:spacing w:before="252" w:line="195" w:lineRule="auto"/>
              <w:ind w:left="52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D2</w:t>
            </w:r>
          </w:p>
        </w:tc>
        <w:tc>
          <w:tcPr>
            <w:tcW w:w="7653" w:type="dxa"/>
            <w:tcBorders>
              <w:right w:val="nil"/>
            </w:tcBorders>
            <w:vAlign w:val="top"/>
          </w:tcPr>
          <w:p w14:paraId="241B19A4">
            <w:pPr>
              <w:pStyle w:val="6"/>
              <w:spacing w:before="55" w:line="227" w:lineRule="auto"/>
              <w:ind w:left="1367"/>
              <w:rPr>
                <w:sz w:val="20"/>
                <w:szCs w:val="20"/>
              </w:rPr>
            </w:pPr>
            <w:r>
              <w:rPr>
                <w:rFonts w:ascii="Times New Roman" w:hAnsi="Times New Roman" w:eastAsia="Times New Roman" w:cs="Times New Roman"/>
                <w:spacing w:val="5"/>
                <w:sz w:val="20"/>
                <w:szCs w:val="20"/>
              </w:rPr>
              <w:t>0.5m≤</w:t>
            </w:r>
            <w:r>
              <w:rPr>
                <w:rFonts w:ascii="Times New Roman" w:hAnsi="Times New Roman" w:eastAsia="Times New Roman" w:cs="Times New Roman"/>
                <w:sz w:val="20"/>
                <w:szCs w:val="20"/>
              </w:rPr>
              <w:t>Mb</w:t>
            </w:r>
            <w:r>
              <w:rPr>
                <w:spacing w:val="5"/>
                <w:sz w:val="20"/>
                <w:szCs w:val="20"/>
              </w:rPr>
              <w:t>＜</w:t>
            </w:r>
            <w:r>
              <w:rPr>
                <w:rFonts w:ascii="Times New Roman" w:hAnsi="Times New Roman" w:eastAsia="Times New Roman" w:cs="Times New Roman"/>
                <w:spacing w:val="5"/>
                <w:sz w:val="20"/>
                <w:szCs w:val="20"/>
              </w:rPr>
              <w:t>1.0m</w:t>
            </w:r>
            <w:r>
              <w:rPr>
                <w:rFonts w:ascii="Times New Roman" w:hAnsi="Times New Roman" w:eastAsia="Times New Roman" w:cs="Times New Roman"/>
                <w:spacing w:val="-14"/>
                <w:sz w:val="20"/>
                <w:szCs w:val="20"/>
              </w:rPr>
              <w:t xml:space="preserve"> </w:t>
            </w:r>
            <w:r>
              <w:rPr>
                <w:spacing w:val="5"/>
                <w:sz w:val="20"/>
                <w:szCs w:val="20"/>
              </w:rPr>
              <w:t>，</w:t>
            </w:r>
            <w:r>
              <w:rPr>
                <w:rFonts w:ascii="Times New Roman" w:hAnsi="Times New Roman" w:eastAsia="Times New Roman" w:cs="Times New Roman"/>
                <w:spacing w:val="5"/>
                <w:sz w:val="20"/>
                <w:szCs w:val="20"/>
              </w:rPr>
              <w:t>K≤1.0×10</w:t>
            </w:r>
            <w:r>
              <w:rPr>
                <w:rFonts w:ascii="Times New Roman" w:hAnsi="Times New Roman" w:eastAsia="Times New Roman" w:cs="Times New Roman"/>
                <w:spacing w:val="5"/>
                <w:position w:val="6"/>
                <w:sz w:val="13"/>
                <w:szCs w:val="13"/>
              </w:rPr>
              <w:t>-6</w:t>
            </w:r>
            <w:r>
              <w:rPr>
                <w:rFonts w:ascii="Times New Roman" w:hAnsi="Times New Roman" w:eastAsia="Times New Roman" w:cs="Times New Roman"/>
                <w:sz w:val="20"/>
                <w:szCs w:val="20"/>
              </w:rPr>
              <w:t>cm</w:t>
            </w:r>
            <w:r>
              <w:rPr>
                <w:rFonts w:ascii="Times New Roman" w:hAnsi="Times New Roman" w:eastAsia="Times New Roman" w:cs="Times New Roman"/>
                <w:spacing w:val="5"/>
                <w:sz w:val="20"/>
                <w:szCs w:val="20"/>
              </w:rPr>
              <w:t>/s</w:t>
            </w:r>
            <w:r>
              <w:rPr>
                <w:rFonts w:ascii="Times New Roman" w:hAnsi="Times New Roman" w:eastAsia="Times New Roman" w:cs="Times New Roman"/>
                <w:spacing w:val="-22"/>
                <w:sz w:val="20"/>
                <w:szCs w:val="20"/>
              </w:rPr>
              <w:t xml:space="preserve"> </w:t>
            </w:r>
            <w:r>
              <w:rPr>
                <w:spacing w:val="5"/>
                <w:sz w:val="20"/>
                <w:szCs w:val="20"/>
              </w:rPr>
              <w:t>，且分布连续、稳定</w:t>
            </w:r>
          </w:p>
          <w:p w14:paraId="1EE9582F">
            <w:pPr>
              <w:pStyle w:val="6"/>
              <w:spacing w:before="73" w:line="227" w:lineRule="auto"/>
              <w:ind w:left="1024"/>
              <w:rPr>
                <w:sz w:val="20"/>
                <w:szCs w:val="20"/>
              </w:rPr>
            </w:pPr>
            <w:r>
              <w:rPr>
                <w:rFonts w:ascii="Times New Roman" w:hAnsi="Times New Roman" w:eastAsia="Times New Roman" w:cs="Times New Roman"/>
                <w:sz w:val="20"/>
                <w:szCs w:val="20"/>
              </w:rPr>
              <w:t>Mb</w:t>
            </w:r>
            <w:r>
              <w:rPr>
                <w:rFonts w:ascii="Times New Roman" w:hAnsi="Times New Roman" w:eastAsia="Times New Roman" w:cs="Times New Roman"/>
                <w:spacing w:val="5"/>
                <w:sz w:val="20"/>
                <w:szCs w:val="20"/>
              </w:rPr>
              <w:t>≥1.0m</w:t>
            </w:r>
            <w:r>
              <w:rPr>
                <w:rFonts w:ascii="Times New Roman" w:hAnsi="Times New Roman" w:eastAsia="Times New Roman" w:cs="Times New Roman"/>
                <w:spacing w:val="-7"/>
                <w:sz w:val="20"/>
                <w:szCs w:val="20"/>
              </w:rPr>
              <w:t xml:space="preserve"> </w:t>
            </w:r>
            <w:r>
              <w:rPr>
                <w:spacing w:val="5"/>
                <w:sz w:val="20"/>
                <w:szCs w:val="20"/>
              </w:rPr>
              <w:t>，</w:t>
            </w:r>
            <w:r>
              <w:rPr>
                <w:rFonts w:ascii="Times New Roman" w:hAnsi="Times New Roman" w:eastAsia="Times New Roman" w:cs="Times New Roman"/>
                <w:spacing w:val="5"/>
                <w:sz w:val="20"/>
                <w:szCs w:val="20"/>
              </w:rPr>
              <w:t>1.0×10</w:t>
            </w:r>
            <w:r>
              <w:rPr>
                <w:rFonts w:ascii="Times New Roman" w:hAnsi="Times New Roman" w:eastAsia="Times New Roman" w:cs="Times New Roman"/>
                <w:spacing w:val="5"/>
                <w:position w:val="6"/>
                <w:sz w:val="13"/>
                <w:szCs w:val="13"/>
              </w:rPr>
              <w:t>-6</w:t>
            </w:r>
            <w:r>
              <w:rPr>
                <w:rFonts w:ascii="Times New Roman" w:hAnsi="Times New Roman" w:eastAsia="Times New Roman" w:cs="Times New Roman"/>
                <w:sz w:val="20"/>
                <w:szCs w:val="20"/>
              </w:rPr>
              <w:t>cm</w:t>
            </w:r>
            <w:r>
              <w:rPr>
                <w:rFonts w:ascii="Times New Roman" w:hAnsi="Times New Roman" w:eastAsia="Times New Roman" w:cs="Times New Roman"/>
                <w:spacing w:val="5"/>
                <w:sz w:val="20"/>
                <w:szCs w:val="20"/>
              </w:rPr>
              <w:t>/s</w:t>
            </w:r>
            <w:r>
              <w:rPr>
                <w:spacing w:val="5"/>
                <w:sz w:val="20"/>
                <w:szCs w:val="20"/>
              </w:rPr>
              <w:t>＜</w:t>
            </w:r>
            <w:r>
              <w:rPr>
                <w:rFonts w:ascii="Times New Roman" w:hAnsi="Times New Roman" w:eastAsia="Times New Roman" w:cs="Times New Roman"/>
                <w:spacing w:val="5"/>
                <w:sz w:val="20"/>
                <w:szCs w:val="20"/>
              </w:rPr>
              <w:t>K≤1.0×10</w:t>
            </w:r>
            <w:r>
              <w:rPr>
                <w:rFonts w:ascii="Times New Roman" w:hAnsi="Times New Roman" w:eastAsia="Times New Roman" w:cs="Times New Roman"/>
                <w:spacing w:val="5"/>
                <w:position w:val="6"/>
                <w:sz w:val="13"/>
                <w:szCs w:val="13"/>
              </w:rPr>
              <w:t>-4</w:t>
            </w:r>
            <w:r>
              <w:rPr>
                <w:rFonts w:ascii="Times New Roman" w:hAnsi="Times New Roman" w:eastAsia="Times New Roman" w:cs="Times New Roman"/>
                <w:sz w:val="20"/>
                <w:szCs w:val="20"/>
              </w:rPr>
              <w:t>cm</w:t>
            </w:r>
            <w:r>
              <w:rPr>
                <w:rFonts w:ascii="Times New Roman" w:hAnsi="Times New Roman" w:eastAsia="Times New Roman" w:cs="Times New Roman"/>
                <w:spacing w:val="5"/>
                <w:sz w:val="20"/>
                <w:szCs w:val="20"/>
              </w:rPr>
              <w:t>/s</w:t>
            </w:r>
            <w:r>
              <w:rPr>
                <w:rFonts w:ascii="Times New Roman" w:hAnsi="Times New Roman" w:eastAsia="Times New Roman" w:cs="Times New Roman"/>
                <w:spacing w:val="-22"/>
                <w:sz w:val="20"/>
                <w:szCs w:val="20"/>
              </w:rPr>
              <w:t xml:space="preserve"> </w:t>
            </w:r>
            <w:r>
              <w:rPr>
                <w:spacing w:val="5"/>
                <w:sz w:val="20"/>
                <w:szCs w:val="20"/>
              </w:rPr>
              <w:t>，且分布连续、稳定</w:t>
            </w:r>
          </w:p>
        </w:tc>
      </w:tr>
      <w:tr w14:paraId="743F1C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1304" w:type="dxa"/>
            <w:tcBorders>
              <w:left w:val="nil"/>
            </w:tcBorders>
            <w:vAlign w:val="top"/>
          </w:tcPr>
          <w:p w14:paraId="29E8365E">
            <w:pPr>
              <w:spacing w:before="93" w:line="195" w:lineRule="auto"/>
              <w:ind w:left="52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D1</w:t>
            </w:r>
          </w:p>
        </w:tc>
        <w:tc>
          <w:tcPr>
            <w:tcW w:w="7653" w:type="dxa"/>
            <w:tcBorders>
              <w:right w:val="nil"/>
            </w:tcBorders>
            <w:vAlign w:val="top"/>
          </w:tcPr>
          <w:p w14:paraId="6CED0178">
            <w:pPr>
              <w:pStyle w:val="6"/>
              <w:spacing w:before="57" w:line="228" w:lineRule="auto"/>
              <w:ind w:left="2027"/>
              <w:rPr>
                <w:sz w:val="20"/>
                <w:szCs w:val="20"/>
              </w:rPr>
            </w:pPr>
            <w:r>
              <w:rPr>
                <w:spacing w:val="7"/>
                <w:sz w:val="20"/>
                <w:szCs w:val="20"/>
              </w:rPr>
              <w:t>岩（土）层不满足上述</w:t>
            </w:r>
            <w:r>
              <w:rPr>
                <w:rFonts w:ascii="Times New Roman" w:hAnsi="Times New Roman" w:eastAsia="Times New Roman" w:cs="Times New Roman"/>
                <w:spacing w:val="7"/>
                <w:sz w:val="20"/>
                <w:szCs w:val="20"/>
              </w:rPr>
              <w:t>“D2”</w:t>
            </w:r>
            <w:r>
              <w:rPr>
                <w:spacing w:val="7"/>
                <w:sz w:val="20"/>
                <w:szCs w:val="20"/>
              </w:rPr>
              <w:t>和</w:t>
            </w:r>
            <w:r>
              <w:rPr>
                <w:rFonts w:ascii="Times New Roman" w:hAnsi="Times New Roman" w:eastAsia="Times New Roman" w:cs="Times New Roman"/>
                <w:spacing w:val="7"/>
                <w:sz w:val="20"/>
                <w:szCs w:val="20"/>
              </w:rPr>
              <w:t>“D3”</w:t>
            </w:r>
            <w:r>
              <w:rPr>
                <w:spacing w:val="7"/>
                <w:sz w:val="20"/>
                <w:szCs w:val="20"/>
              </w:rPr>
              <w:t>条件</w:t>
            </w:r>
          </w:p>
        </w:tc>
      </w:tr>
    </w:tbl>
    <w:p w14:paraId="2D625744">
      <w:pPr>
        <w:spacing w:before="52" w:line="228" w:lineRule="auto"/>
        <w:ind w:left="60"/>
        <w:rPr>
          <w:rFonts w:ascii="宋体" w:hAnsi="宋体" w:eastAsia="宋体" w:cs="宋体"/>
          <w:sz w:val="20"/>
          <w:szCs w:val="20"/>
        </w:rPr>
      </w:pPr>
      <w:r>
        <w:rPr>
          <w:rFonts w:ascii="Times New Roman" w:hAnsi="Times New Roman" w:eastAsia="Times New Roman" w:cs="Times New Roman"/>
          <w:sz w:val="20"/>
          <w:szCs w:val="20"/>
        </w:rPr>
        <w:t>Mb</w:t>
      </w:r>
      <w:r>
        <w:rPr>
          <w:rFonts w:ascii="宋体" w:hAnsi="宋体" w:eastAsia="宋体" w:cs="宋体"/>
          <w:spacing w:val="9"/>
          <w:sz w:val="20"/>
          <w:szCs w:val="20"/>
        </w:rPr>
        <w:t>：岩土层单层厚度。</w:t>
      </w:r>
      <w:r>
        <w:rPr>
          <w:rFonts w:ascii="Times New Roman" w:hAnsi="Times New Roman" w:eastAsia="Times New Roman" w:cs="Times New Roman"/>
          <w:spacing w:val="9"/>
          <w:sz w:val="20"/>
          <w:szCs w:val="20"/>
        </w:rPr>
        <w:t>K</w:t>
      </w:r>
      <w:r>
        <w:rPr>
          <w:rFonts w:ascii="宋体" w:hAnsi="宋体" w:eastAsia="宋体" w:cs="宋体"/>
          <w:spacing w:val="9"/>
          <w:sz w:val="20"/>
          <w:szCs w:val="20"/>
        </w:rPr>
        <w:t>：渗透系数。</w:t>
      </w:r>
    </w:p>
    <w:p w14:paraId="6D77D9E9">
      <w:pPr>
        <w:spacing w:before="19" w:line="29" w:lineRule="exact"/>
        <w:ind w:firstLine="56"/>
      </w:pPr>
      <w:r>
        <w:pict>
          <v:shape id="_x0000_s1896" o:spid="_x0000_s1896" style="height:1.45pt;width:447.9pt;" filled="f" stroked="t" coordsize="8957,29" path="m0,14l8957,14e">
            <v:fill on="f" focussize="0,0"/>
            <v:stroke weight="1.44pt" color="#000000" miterlimit="2" joinstyle="bevel"/>
            <v:imagedata o:title=""/>
            <o:lock v:ext="edit"/>
            <w10:wrap type="none"/>
            <w10:anchorlock/>
          </v:shape>
        </w:pict>
      </w:r>
    </w:p>
    <w:p w14:paraId="7F189058">
      <w:pPr>
        <w:spacing w:before="120" w:line="356" w:lineRule="auto"/>
        <w:ind w:left="11" w:right="1" w:firstLine="478"/>
        <w:rPr>
          <w:rFonts w:ascii="宋体" w:hAnsi="宋体" w:eastAsia="宋体" w:cs="宋体"/>
          <w:sz w:val="24"/>
          <w:szCs w:val="24"/>
        </w:rPr>
      </w:pPr>
      <w:r>
        <w:rPr>
          <w:rFonts w:ascii="宋体" w:hAnsi="宋体" w:eastAsia="宋体" w:cs="宋体"/>
          <w:spacing w:val="-3"/>
          <w:sz w:val="24"/>
          <w:szCs w:val="24"/>
        </w:rPr>
        <w:t>本项目所处区域岩土层单层厚度大于</w:t>
      </w:r>
      <w:r>
        <w:rPr>
          <w:rFonts w:ascii="宋体" w:hAnsi="宋体" w:eastAsia="宋体" w:cs="宋体"/>
          <w:spacing w:val="-15"/>
          <w:sz w:val="24"/>
          <w:szCs w:val="24"/>
        </w:rPr>
        <w:t xml:space="preserve"> </w:t>
      </w:r>
      <w:r>
        <w:rPr>
          <w:rFonts w:ascii="Times New Roman" w:hAnsi="Times New Roman" w:eastAsia="Times New Roman" w:cs="Times New Roman"/>
          <w:spacing w:val="-3"/>
          <w:sz w:val="24"/>
          <w:szCs w:val="24"/>
        </w:rPr>
        <w:t>1.0m</w:t>
      </w:r>
      <w:r>
        <w:rPr>
          <w:rFonts w:ascii="Times New Roman" w:hAnsi="Times New Roman" w:eastAsia="Times New Roman" w:cs="Times New Roman"/>
          <w:spacing w:val="-30"/>
          <w:sz w:val="24"/>
          <w:szCs w:val="24"/>
        </w:rPr>
        <w:t xml:space="preserve"> </w:t>
      </w:r>
      <w:r>
        <w:rPr>
          <w:rFonts w:ascii="宋体" w:hAnsi="宋体" w:eastAsia="宋体" w:cs="宋体"/>
          <w:spacing w:val="-3"/>
          <w:sz w:val="24"/>
          <w:szCs w:val="24"/>
        </w:rPr>
        <w:t>，渗透系数大于</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1.0×10</w:t>
      </w:r>
      <w:r>
        <w:rPr>
          <w:rFonts w:ascii="Times New Roman" w:hAnsi="Times New Roman" w:eastAsia="Times New Roman" w:cs="Times New Roman"/>
          <w:spacing w:val="-3"/>
          <w:position w:val="8"/>
          <w:sz w:val="15"/>
          <w:szCs w:val="15"/>
        </w:rPr>
        <w:t>-4</w:t>
      </w:r>
      <w:r>
        <w:rPr>
          <w:rFonts w:ascii="Times New Roman" w:hAnsi="Times New Roman" w:eastAsia="Times New Roman" w:cs="Times New Roman"/>
          <w:spacing w:val="-3"/>
          <w:sz w:val="24"/>
          <w:szCs w:val="24"/>
        </w:rPr>
        <w:t>cm/s</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，且分布连</w:t>
      </w:r>
      <w:r>
        <w:rPr>
          <w:rFonts w:ascii="宋体" w:hAnsi="宋体" w:eastAsia="宋体" w:cs="宋体"/>
          <w:sz w:val="24"/>
          <w:szCs w:val="24"/>
        </w:rPr>
        <w:t xml:space="preserve"> </w:t>
      </w:r>
      <w:r>
        <w:rPr>
          <w:rFonts w:ascii="宋体" w:hAnsi="宋体" w:eastAsia="宋体" w:cs="宋体"/>
          <w:spacing w:val="-2"/>
          <w:sz w:val="24"/>
          <w:szCs w:val="24"/>
        </w:rPr>
        <w:t>续、稳定，防污性能分级为</w:t>
      </w:r>
      <w:r>
        <w:rPr>
          <w:rFonts w:ascii="宋体" w:hAnsi="宋体" w:eastAsia="宋体" w:cs="宋体"/>
          <w:spacing w:val="-44"/>
          <w:sz w:val="24"/>
          <w:szCs w:val="24"/>
        </w:rPr>
        <w:t xml:space="preserve"> </w:t>
      </w:r>
      <w:r>
        <w:rPr>
          <w:rFonts w:ascii="Times New Roman" w:hAnsi="Times New Roman" w:eastAsia="Times New Roman" w:cs="Times New Roman"/>
          <w:spacing w:val="-2"/>
          <w:sz w:val="24"/>
          <w:szCs w:val="24"/>
        </w:rPr>
        <w:t>D1</w:t>
      </w:r>
      <w:r>
        <w:rPr>
          <w:rFonts w:ascii="宋体" w:hAnsi="宋体" w:eastAsia="宋体" w:cs="宋体"/>
          <w:spacing w:val="-2"/>
          <w:sz w:val="24"/>
          <w:szCs w:val="24"/>
        </w:rPr>
        <w:t>。</w:t>
      </w:r>
    </w:p>
    <w:p w14:paraId="2F7A430A">
      <w:pPr>
        <w:spacing w:before="32" w:line="354" w:lineRule="auto"/>
        <w:ind w:left="9" w:firstLine="480"/>
        <w:rPr>
          <w:rFonts w:ascii="宋体" w:hAnsi="宋体" w:eastAsia="宋体" w:cs="宋体"/>
          <w:sz w:val="24"/>
          <w:szCs w:val="24"/>
        </w:rPr>
      </w:pPr>
      <w:r>
        <w:rPr>
          <w:rFonts w:ascii="宋体" w:hAnsi="宋体" w:eastAsia="宋体" w:cs="宋体"/>
          <w:spacing w:val="3"/>
          <w:sz w:val="24"/>
          <w:szCs w:val="24"/>
        </w:rPr>
        <w:t>上述，项目区域地下水功能敏感性分区为</w:t>
      </w:r>
      <w:r>
        <w:rPr>
          <w:rFonts w:ascii="宋体" w:hAnsi="宋体" w:eastAsia="宋体" w:cs="宋体"/>
          <w:spacing w:val="-44"/>
          <w:sz w:val="24"/>
          <w:szCs w:val="24"/>
        </w:rPr>
        <w:t xml:space="preserve"> </w:t>
      </w:r>
      <w:r>
        <w:rPr>
          <w:rFonts w:ascii="Times New Roman" w:hAnsi="Times New Roman" w:eastAsia="Times New Roman" w:cs="Times New Roman"/>
          <w:spacing w:val="3"/>
          <w:sz w:val="24"/>
          <w:szCs w:val="24"/>
        </w:rPr>
        <w:t>G2</w:t>
      </w:r>
      <w:r>
        <w:rPr>
          <w:rFonts w:ascii="Times New Roman" w:hAnsi="Times New Roman" w:eastAsia="Times New Roman" w:cs="Times New Roman"/>
          <w:spacing w:val="-24"/>
          <w:sz w:val="24"/>
          <w:szCs w:val="24"/>
        </w:rPr>
        <w:t xml:space="preserve"> </w:t>
      </w:r>
      <w:r>
        <w:rPr>
          <w:rFonts w:ascii="宋体" w:hAnsi="宋体" w:eastAsia="宋体" w:cs="宋体"/>
          <w:spacing w:val="3"/>
          <w:sz w:val="24"/>
          <w:szCs w:val="24"/>
        </w:rPr>
        <w:t>，包气带防污</w:t>
      </w:r>
      <w:r>
        <w:rPr>
          <w:rFonts w:ascii="宋体" w:hAnsi="宋体" w:eastAsia="宋体" w:cs="宋体"/>
          <w:spacing w:val="2"/>
          <w:sz w:val="24"/>
          <w:szCs w:val="24"/>
        </w:rPr>
        <w:t>性能分级</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D1</w:t>
      </w:r>
      <w:r>
        <w:rPr>
          <w:rFonts w:ascii="Times New Roman" w:hAnsi="Times New Roman" w:eastAsia="Times New Roman" w:cs="Times New Roman"/>
          <w:spacing w:val="-26"/>
          <w:sz w:val="24"/>
          <w:szCs w:val="24"/>
        </w:rPr>
        <w:t xml:space="preserve"> </w:t>
      </w:r>
      <w:r>
        <w:rPr>
          <w:rFonts w:ascii="宋体" w:hAnsi="宋体" w:eastAsia="宋体" w:cs="宋体"/>
          <w:spacing w:val="2"/>
          <w:sz w:val="24"/>
          <w:szCs w:val="24"/>
        </w:rPr>
        <w:t>，根据表</w:t>
      </w:r>
      <w:r>
        <w:rPr>
          <w:rFonts w:ascii="宋体" w:hAnsi="宋体" w:eastAsia="宋体" w:cs="宋体"/>
          <w:sz w:val="24"/>
          <w:szCs w:val="24"/>
        </w:rPr>
        <w:t xml:space="preserve"> </w:t>
      </w:r>
      <w:r>
        <w:rPr>
          <w:rFonts w:ascii="Times New Roman" w:hAnsi="Times New Roman" w:eastAsia="Times New Roman" w:cs="Times New Roman"/>
          <w:spacing w:val="-2"/>
          <w:sz w:val="24"/>
          <w:szCs w:val="24"/>
        </w:rPr>
        <w:t>6.2-5</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，地下水环境敏感程度分级为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E</w:t>
      </w:r>
      <w:r>
        <w:rPr>
          <w:rFonts w:ascii="Times New Roman" w:hAnsi="Times New Roman" w:eastAsia="Times New Roman" w:cs="Times New Roman"/>
          <w:spacing w:val="-3"/>
          <w:sz w:val="24"/>
          <w:szCs w:val="24"/>
        </w:rPr>
        <w:t>1</w:t>
      </w:r>
      <w:r>
        <w:rPr>
          <w:rFonts w:ascii="宋体" w:hAnsi="宋体" w:eastAsia="宋体" w:cs="宋体"/>
          <w:spacing w:val="-3"/>
          <w:sz w:val="24"/>
          <w:szCs w:val="24"/>
        </w:rPr>
        <w:t>。</w:t>
      </w:r>
    </w:p>
    <w:p w14:paraId="0210E682">
      <w:pPr>
        <w:spacing w:before="37" w:line="359" w:lineRule="auto"/>
        <w:ind w:left="11" w:firstLine="480"/>
        <w:jc w:val="both"/>
        <w:rPr>
          <w:rFonts w:ascii="宋体" w:hAnsi="宋体" w:eastAsia="宋体" w:cs="宋体"/>
          <w:sz w:val="24"/>
          <w:szCs w:val="24"/>
        </w:rPr>
      </w:pPr>
      <w:r>
        <w:rPr>
          <w:rFonts w:ascii="宋体" w:hAnsi="宋体" w:eastAsia="宋体" w:cs="宋体"/>
          <w:spacing w:val="-1"/>
          <w:sz w:val="24"/>
          <w:szCs w:val="24"/>
        </w:rPr>
        <w:t>综上所述，本项目危险物质及工艺系统危险性为</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P2</w:t>
      </w:r>
      <w:r>
        <w:rPr>
          <w:rFonts w:ascii="Times New Roman" w:hAnsi="Times New Roman" w:eastAsia="Times New Roman" w:cs="Times New Roman"/>
          <w:spacing w:val="-28"/>
          <w:sz w:val="24"/>
          <w:szCs w:val="24"/>
        </w:rPr>
        <w:t xml:space="preserve"> </w:t>
      </w:r>
      <w:r>
        <w:rPr>
          <w:rFonts w:ascii="宋体" w:hAnsi="宋体" w:eastAsia="宋体" w:cs="宋体"/>
          <w:spacing w:val="-1"/>
          <w:sz w:val="24"/>
          <w:szCs w:val="24"/>
        </w:rPr>
        <w:t>，大</w:t>
      </w:r>
      <w:r>
        <w:rPr>
          <w:rFonts w:ascii="宋体" w:hAnsi="宋体" w:eastAsia="宋体" w:cs="宋体"/>
          <w:spacing w:val="-2"/>
          <w:sz w:val="24"/>
          <w:szCs w:val="24"/>
        </w:rPr>
        <w:t>气环境敏感程度为</w:t>
      </w:r>
      <w:r>
        <w:rPr>
          <w:rFonts w:ascii="宋体" w:hAnsi="宋体" w:eastAsia="宋体" w:cs="宋体"/>
          <w:spacing w:val="-57"/>
          <w:sz w:val="24"/>
          <w:szCs w:val="24"/>
        </w:rPr>
        <w:t xml:space="preserve"> </w:t>
      </w:r>
      <w:r>
        <w:rPr>
          <w:rFonts w:ascii="Times New Roman" w:hAnsi="Times New Roman" w:eastAsia="Times New Roman" w:cs="Times New Roman"/>
          <w:spacing w:val="-2"/>
          <w:sz w:val="24"/>
          <w:szCs w:val="24"/>
        </w:rPr>
        <w:t>E3</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、地</w:t>
      </w:r>
      <w:r>
        <w:rPr>
          <w:rFonts w:ascii="宋体" w:hAnsi="宋体" w:eastAsia="宋体" w:cs="宋体"/>
          <w:sz w:val="24"/>
          <w:szCs w:val="24"/>
        </w:rPr>
        <w:t xml:space="preserve"> </w:t>
      </w:r>
      <w:r>
        <w:rPr>
          <w:rFonts w:ascii="宋体" w:hAnsi="宋体" w:eastAsia="宋体" w:cs="宋体"/>
          <w:spacing w:val="-3"/>
          <w:sz w:val="24"/>
          <w:szCs w:val="24"/>
        </w:rPr>
        <w:t>下水环境敏感程度为</w:t>
      </w:r>
      <w:r>
        <w:rPr>
          <w:rFonts w:ascii="宋体" w:hAnsi="宋体" w:eastAsia="宋体" w:cs="宋体"/>
          <w:spacing w:val="-45"/>
          <w:sz w:val="24"/>
          <w:szCs w:val="24"/>
        </w:rPr>
        <w:t xml:space="preserve"> </w:t>
      </w:r>
      <w:r>
        <w:rPr>
          <w:rFonts w:ascii="Times New Roman" w:hAnsi="Times New Roman" w:eastAsia="Times New Roman" w:cs="Times New Roman"/>
          <w:spacing w:val="-3"/>
          <w:sz w:val="24"/>
          <w:szCs w:val="24"/>
        </w:rPr>
        <w:t>E1</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，根据表</w:t>
      </w:r>
      <w:r>
        <w:rPr>
          <w:rFonts w:ascii="宋体" w:hAnsi="宋体" w:eastAsia="宋体" w:cs="宋体"/>
          <w:spacing w:val="-49"/>
          <w:sz w:val="24"/>
          <w:szCs w:val="24"/>
        </w:rPr>
        <w:t xml:space="preserve"> </w:t>
      </w:r>
      <w:r>
        <w:rPr>
          <w:rFonts w:ascii="Times New Roman" w:hAnsi="Times New Roman" w:eastAsia="Times New Roman" w:cs="Times New Roman"/>
          <w:spacing w:val="-3"/>
          <w:sz w:val="24"/>
          <w:szCs w:val="24"/>
        </w:rPr>
        <w:t>5.2-1</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，大气环境风险潜势为</w:t>
      </w:r>
      <w:r>
        <w:rPr>
          <w:rFonts w:ascii="宋体" w:hAnsi="宋体" w:eastAsia="宋体" w:cs="宋体"/>
          <w:spacing w:val="-55"/>
          <w:sz w:val="24"/>
          <w:szCs w:val="24"/>
        </w:rPr>
        <w:t xml:space="preserve"> </w:t>
      </w:r>
      <w:r>
        <w:rPr>
          <w:rFonts w:ascii="Times New Roman" w:hAnsi="Times New Roman" w:eastAsia="Times New Roman" w:cs="Times New Roman"/>
          <w:spacing w:val="-3"/>
          <w:sz w:val="20"/>
          <w:szCs w:val="20"/>
        </w:rPr>
        <w:t>III</w:t>
      </w:r>
      <w:r>
        <w:rPr>
          <w:rFonts w:ascii="Times New Roman" w:hAnsi="Times New Roman" w:eastAsia="Times New Roman" w:cs="Times New Roman"/>
          <w:spacing w:val="-18"/>
          <w:sz w:val="20"/>
          <w:szCs w:val="20"/>
        </w:rPr>
        <w:t xml:space="preserve"> </w:t>
      </w:r>
      <w:r>
        <w:rPr>
          <w:rFonts w:ascii="宋体" w:hAnsi="宋体" w:eastAsia="宋体" w:cs="宋体"/>
          <w:spacing w:val="-3"/>
          <w:sz w:val="24"/>
          <w:szCs w:val="24"/>
        </w:rPr>
        <w:t>，地下水环境风险潜势</w:t>
      </w:r>
      <w:r>
        <w:rPr>
          <w:rFonts w:ascii="宋体" w:hAnsi="宋体" w:eastAsia="宋体" w:cs="宋体"/>
          <w:sz w:val="24"/>
          <w:szCs w:val="24"/>
        </w:rPr>
        <w:t xml:space="preserve"> </w:t>
      </w:r>
      <w:r>
        <w:rPr>
          <w:rFonts w:ascii="宋体" w:hAnsi="宋体" w:eastAsia="宋体" w:cs="宋体"/>
          <w:spacing w:val="-3"/>
          <w:sz w:val="24"/>
          <w:szCs w:val="24"/>
        </w:rPr>
        <w:t>为</w:t>
      </w:r>
      <w:r>
        <w:rPr>
          <w:rFonts w:ascii="宋体" w:hAnsi="宋体" w:eastAsia="宋体" w:cs="宋体"/>
          <w:spacing w:val="-52"/>
          <w:sz w:val="24"/>
          <w:szCs w:val="24"/>
        </w:rPr>
        <w:t xml:space="preserve"> </w:t>
      </w:r>
      <w:r>
        <w:rPr>
          <w:rFonts w:ascii="Times New Roman" w:hAnsi="Times New Roman" w:eastAsia="Times New Roman" w:cs="Times New Roman"/>
          <w:spacing w:val="-3"/>
          <w:sz w:val="20"/>
          <w:szCs w:val="20"/>
        </w:rPr>
        <w:t>IV</w:t>
      </w:r>
      <w:r>
        <w:rPr>
          <w:rFonts w:ascii="宋体" w:hAnsi="宋体" w:eastAsia="宋体" w:cs="宋体"/>
          <w:spacing w:val="-3"/>
          <w:sz w:val="24"/>
          <w:szCs w:val="24"/>
        </w:rPr>
        <w:t>。</w:t>
      </w:r>
    </w:p>
    <w:p w14:paraId="6489D97D">
      <w:pPr>
        <w:spacing w:before="93" w:line="219" w:lineRule="auto"/>
        <w:ind w:left="8"/>
        <w:outlineLvl w:val="2"/>
        <w:rPr>
          <w:rFonts w:ascii="宋体" w:hAnsi="宋体" w:eastAsia="宋体" w:cs="宋体"/>
          <w:sz w:val="28"/>
          <w:szCs w:val="28"/>
        </w:rPr>
      </w:pPr>
      <w:bookmarkStart w:id="397" w:name="bookmark262"/>
      <w:bookmarkEnd w:id="397"/>
      <w:r>
        <w:rPr>
          <w:rFonts w:ascii="Times New Roman" w:hAnsi="Times New Roman" w:eastAsia="Times New Roman" w:cs="Times New Roman"/>
          <w:b/>
          <w:bCs/>
          <w:spacing w:val="-2"/>
          <w:sz w:val="28"/>
          <w:szCs w:val="28"/>
        </w:rPr>
        <w:t xml:space="preserve">5.2.2 </w:t>
      </w:r>
      <w:r>
        <w:rPr>
          <w:rFonts w:ascii="宋体" w:hAnsi="宋体" w:eastAsia="宋体" w:cs="宋体"/>
          <w:b/>
          <w:bCs/>
          <w:spacing w:val="-2"/>
          <w:sz w:val="28"/>
          <w:szCs w:val="28"/>
        </w:rPr>
        <w:t>环境风险评价等级</w:t>
      </w:r>
    </w:p>
    <w:p w14:paraId="51CAE9DF">
      <w:pPr>
        <w:spacing w:before="127" w:line="340" w:lineRule="auto"/>
        <w:ind w:left="28" w:right="1" w:firstLine="466"/>
        <w:rPr>
          <w:rFonts w:ascii="宋体" w:hAnsi="宋体" w:eastAsia="宋体" w:cs="宋体"/>
          <w:sz w:val="24"/>
          <w:szCs w:val="24"/>
        </w:rPr>
      </w:pPr>
      <w:r>
        <w:rPr>
          <w:rFonts w:ascii="宋体" w:hAnsi="宋体" w:eastAsia="宋体" w:cs="宋体"/>
          <w:spacing w:val="-1"/>
          <w:sz w:val="24"/>
          <w:szCs w:val="24"/>
        </w:rPr>
        <w:t>《建设项目环境风险评价技术导则》</w:t>
      </w:r>
      <w:r>
        <w:fldChar w:fldCharType="begin"/>
      </w:r>
      <w:r>
        <w:instrText xml:space="preserve"> HYPERLINK "http://www.baidu.com/link?url=kGwLGJqjJ4zBBpC8yDF8xDhitT_bK9c8ZyoEbodONtmaME2wTnshrscjRWz8zmG_2UvVP-4idZZi1EkqQf_Q0mHdHTUYkZBTlRCnkSE6beK9" </w:instrText>
      </w:r>
      <w:r>
        <w:fldChar w:fldCharType="separate"/>
      </w:r>
      <w:r>
        <w:rPr>
          <w:rFonts w:ascii="Times New Roman" w:hAnsi="Times New Roman" w:eastAsia="Times New Roman" w:cs="Times New Roman"/>
          <w:spacing w:val="-1"/>
          <w:sz w:val="24"/>
          <w:szCs w:val="24"/>
        </w:rPr>
        <w:t>(HJ</w:t>
      </w:r>
      <w:r>
        <w:rPr>
          <w:rFonts w:ascii="Times New Roman" w:hAnsi="Times New Roman" w:eastAsia="Times New Roman" w:cs="Times New Roman"/>
          <w:spacing w:val="31"/>
          <w:sz w:val="24"/>
          <w:szCs w:val="24"/>
        </w:rPr>
        <w:t xml:space="preserve"> </w:t>
      </w:r>
      <w:r>
        <w:rPr>
          <w:rFonts w:ascii="Times New Roman" w:hAnsi="Times New Roman" w:eastAsia="Times New Roman" w:cs="Times New Roman"/>
          <w:spacing w:val="-1"/>
          <w:sz w:val="24"/>
          <w:szCs w:val="24"/>
        </w:rPr>
        <w:t>169</w:t>
      </w:r>
      <w:r>
        <w:rPr>
          <w:rFonts w:ascii="Times New Roman" w:hAnsi="Times New Roman" w:eastAsia="Times New Roman" w:cs="Times New Roman"/>
          <w:spacing w:val="-2"/>
          <w:sz w:val="24"/>
          <w:szCs w:val="24"/>
        </w:rPr>
        <w:t>-2018)</w:t>
      </w:r>
      <w:r>
        <w:rPr>
          <w:rFonts w:ascii="Times New Roman" w:hAnsi="Times New Roman" w:eastAsia="Times New Roman" w:cs="Times New Roman"/>
          <w:spacing w:val="-2"/>
          <w:sz w:val="24"/>
          <w:szCs w:val="24"/>
        </w:rPr>
        <w:fldChar w:fldCharType="end"/>
      </w:r>
      <w:r>
        <w:rPr>
          <w:rFonts w:ascii="宋体" w:hAnsi="宋体" w:eastAsia="宋体" w:cs="宋体"/>
          <w:spacing w:val="-2"/>
          <w:sz w:val="24"/>
          <w:szCs w:val="24"/>
        </w:rPr>
        <w:t>中规定的环境风险评价工作级别</w:t>
      </w:r>
      <w:r>
        <w:rPr>
          <w:rFonts w:ascii="宋体" w:hAnsi="宋体" w:eastAsia="宋体" w:cs="宋体"/>
          <w:sz w:val="24"/>
          <w:szCs w:val="24"/>
        </w:rPr>
        <w:t xml:space="preserve"> </w:t>
      </w:r>
      <w:r>
        <w:rPr>
          <w:rFonts w:ascii="宋体" w:hAnsi="宋体" w:eastAsia="宋体" w:cs="宋体"/>
          <w:spacing w:val="-4"/>
          <w:sz w:val="24"/>
          <w:szCs w:val="24"/>
        </w:rPr>
        <w:t>的划分见表</w:t>
      </w:r>
      <w:r>
        <w:rPr>
          <w:rFonts w:ascii="宋体" w:hAnsi="宋体" w:eastAsia="宋体" w:cs="宋体"/>
          <w:spacing w:val="-47"/>
          <w:sz w:val="24"/>
          <w:szCs w:val="24"/>
        </w:rPr>
        <w:t xml:space="preserve"> </w:t>
      </w:r>
      <w:r>
        <w:rPr>
          <w:rFonts w:ascii="Times New Roman" w:hAnsi="Times New Roman" w:eastAsia="Times New Roman" w:cs="Times New Roman"/>
          <w:spacing w:val="-4"/>
          <w:sz w:val="24"/>
          <w:szCs w:val="24"/>
        </w:rPr>
        <w:t>5.2-9</w:t>
      </w:r>
      <w:r>
        <w:rPr>
          <w:rFonts w:ascii="宋体" w:hAnsi="宋体" w:eastAsia="宋体" w:cs="宋体"/>
          <w:spacing w:val="-4"/>
          <w:sz w:val="24"/>
          <w:szCs w:val="24"/>
        </w:rPr>
        <w:t>。</w:t>
      </w:r>
    </w:p>
    <w:p w14:paraId="7A22D7E7">
      <w:pPr>
        <w:spacing w:before="210" w:line="226" w:lineRule="auto"/>
        <w:ind w:left="2612"/>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3"/>
          <w:sz w:val="20"/>
          <w:szCs w:val="20"/>
        </w:rPr>
        <w:t xml:space="preserve"> </w:t>
      </w:r>
      <w:r>
        <w:rPr>
          <w:rFonts w:ascii="Times New Roman" w:hAnsi="Times New Roman" w:eastAsia="Times New Roman" w:cs="Times New Roman"/>
          <w:b/>
          <w:bCs/>
          <w:spacing w:val="5"/>
          <w:sz w:val="20"/>
          <w:szCs w:val="20"/>
        </w:rPr>
        <w:t xml:space="preserve">5.2-9        </w:t>
      </w:r>
      <w:r>
        <w:rPr>
          <w:rFonts w:ascii="宋体" w:hAnsi="宋体" w:eastAsia="宋体" w:cs="宋体"/>
          <w:b/>
          <w:bCs/>
          <w:spacing w:val="5"/>
          <w:sz w:val="20"/>
          <w:szCs w:val="20"/>
        </w:rPr>
        <w:t>环境风险评价工作等级划分表</w:t>
      </w:r>
    </w:p>
    <w:p w14:paraId="2BFCF30A">
      <w:pPr>
        <w:spacing w:line="98" w:lineRule="exact"/>
      </w:pPr>
    </w:p>
    <w:tbl>
      <w:tblPr>
        <w:tblStyle w:val="5"/>
        <w:tblW w:w="906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10"/>
        <w:gridCol w:w="1661"/>
        <w:gridCol w:w="1964"/>
        <w:gridCol w:w="2267"/>
        <w:gridCol w:w="1665"/>
      </w:tblGrid>
      <w:tr w14:paraId="1A947E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1510" w:type="dxa"/>
            <w:tcBorders>
              <w:top w:val="single" w:color="000000" w:sz="10" w:space="0"/>
              <w:left w:val="nil"/>
            </w:tcBorders>
            <w:vAlign w:val="top"/>
          </w:tcPr>
          <w:p w14:paraId="0DC3E1EC">
            <w:pPr>
              <w:pStyle w:val="6"/>
              <w:spacing w:before="58" w:line="228" w:lineRule="auto"/>
              <w:ind w:left="129"/>
              <w:rPr>
                <w:sz w:val="20"/>
                <w:szCs w:val="20"/>
              </w:rPr>
            </w:pPr>
            <w:r>
              <w:rPr>
                <w:spacing w:val="8"/>
                <w:sz w:val="20"/>
                <w:szCs w:val="20"/>
              </w:rPr>
              <w:t>环境风险潜势</w:t>
            </w:r>
          </w:p>
        </w:tc>
        <w:tc>
          <w:tcPr>
            <w:tcW w:w="1661" w:type="dxa"/>
            <w:tcBorders>
              <w:top w:val="single" w:color="000000" w:sz="10" w:space="0"/>
            </w:tcBorders>
            <w:vAlign w:val="top"/>
          </w:tcPr>
          <w:p w14:paraId="469B639C">
            <w:pPr>
              <w:pStyle w:val="6"/>
              <w:spacing w:before="86" w:line="194" w:lineRule="auto"/>
              <w:ind w:left="469"/>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Ⅳ</w:t>
            </w:r>
            <w:r>
              <w:rPr>
                <w:rFonts w:ascii="Times New Roman" w:hAnsi="Times New Roman" w:eastAsia="Times New Roman" w:cs="Times New Roman"/>
                <w:spacing w:val="-27"/>
                <w:sz w:val="20"/>
                <w:szCs w:val="20"/>
              </w:rPr>
              <w:t xml:space="preserve"> </w:t>
            </w:r>
            <w:r>
              <w:rPr>
                <w:spacing w:val="1"/>
                <w:sz w:val="20"/>
                <w:szCs w:val="20"/>
              </w:rPr>
              <w:t>、</w:t>
            </w:r>
            <w:r>
              <w:rPr>
                <w:rFonts w:ascii="Times New Roman" w:hAnsi="Times New Roman" w:eastAsia="Times New Roman" w:cs="Times New Roman"/>
                <w:spacing w:val="1"/>
                <w:sz w:val="20"/>
                <w:szCs w:val="20"/>
              </w:rPr>
              <w:t>Ⅳ</w:t>
            </w:r>
            <w:r>
              <w:rPr>
                <w:rFonts w:ascii="Times New Roman" w:hAnsi="Times New Roman" w:eastAsia="Times New Roman" w:cs="Times New Roman"/>
                <w:spacing w:val="1"/>
                <w:position w:val="6"/>
                <w:sz w:val="13"/>
                <w:szCs w:val="13"/>
              </w:rPr>
              <w:t>+</w:t>
            </w:r>
          </w:p>
        </w:tc>
        <w:tc>
          <w:tcPr>
            <w:tcW w:w="1964" w:type="dxa"/>
            <w:tcBorders>
              <w:top w:val="single" w:color="000000" w:sz="10" w:space="0"/>
            </w:tcBorders>
            <w:vAlign w:val="top"/>
          </w:tcPr>
          <w:p w14:paraId="06F320C6">
            <w:pPr>
              <w:spacing w:before="97" w:line="192" w:lineRule="auto"/>
              <w:ind w:left="8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Ⅲ</w:t>
            </w:r>
          </w:p>
        </w:tc>
        <w:tc>
          <w:tcPr>
            <w:tcW w:w="2267" w:type="dxa"/>
            <w:tcBorders>
              <w:top w:val="single" w:color="000000" w:sz="10" w:space="0"/>
            </w:tcBorders>
            <w:vAlign w:val="top"/>
          </w:tcPr>
          <w:p w14:paraId="2F78301B">
            <w:pPr>
              <w:spacing w:before="97" w:line="192" w:lineRule="auto"/>
              <w:ind w:left="1068"/>
              <w:rPr>
                <w:rFonts w:ascii="Times New Roman" w:hAnsi="Times New Roman" w:eastAsia="Times New Roman" w:cs="Times New Roman"/>
                <w:sz w:val="20"/>
                <w:szCs w:val="20"/>
              </w:rPr>
            </w:pPr>
            <w:r>
              <w:rPr>
                <w:rFonts w:ascii="Times New Roman" w:hAnsi="Times New Roman" w:eastAsia="Times New Roman" w:cs="Times New Roman"/>
                <w:sz w:val="20"/>
                <w:szCs w:val="20"/>
              </w:rPr>
              <w:t>Ⅱ</w:t>
            </w:r>
          </w:p>
        </w:tc>
        <w:tc>
          <w:tcPr>
            <w:tcW w:w="1665" w:type="dxa"/>
            <w:tcBorders>
              <w:top w:val="single" w:color="000000" w:sz="10" w:space="0"/>
              <w:right w:val="nil"/>
            </w:tcBorders>
            <w:vAlign w:val="top"/>
          </w:tcPr>
          <w:p w14:paraId="5D3FC542">
            <w:pPr>
              <w:spacing w:before="97" w:line="192" w:lineRule="auto"/>
              <w:ind w:left="802"/>
              <w:rPr>
                <w:rFonts w:ascii="Times New Roman" w:hAnsi="Times New Roman" w:eastAsia="Times New Roman" w:cs="Times New Roman"/>
                <w:sz w:val="20"/>
                <w:szCs w:val="20"/>
              </w:rPr>
            </w:pPr>
            <w:r>
              <w:rPr>
                <w:rFonts w:ascii="Times New Roman" w:hAnsi="Times New Roman" w:eastAsia="Times New Roman" w:cs="Times New Roman"/>
                <w:sz w:val="20"/>
                <w:szCs w:val="20"/>
              </w:rPr>
              <w:t>Ⅰ</w:t>
            </w:r>
          </w:p>
        </w:tc>
      </w:tr>
      <w:tr w14:paraId="67B698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1510" w:type="dxa"/>
            <w:tcBorders>
              <w:left w:val="nil"/>
            </w:tcBorders>
            <w:vAlign w:val="top"/>
          </w:tcPr>
          <w:p w14:paraId="5425B1D2">
            <w:pPr>
              <w:pStyle w:val="6"/>
              <w:spacing w:before="56" w:line="226" w:lineRule="auto"/>
              <w:ind w:left="128"/>
              <w:rPr>
                <w:sz w:val="20"/>
                <w:szCs w:val="20"/>
              </w:rPr>
            </w:pPr>
            <w:r>
              <w:rPr>
                <w:spacing w:val="8"/>
                <w:sz w:val="20"/>
                <w:szCs w:val="20"/>
              </w:rPr>
              <w:t>评价工作等级</w:t>
            </w:r>
          </w:p>
        </w:tc>
        <w:tc>
          <w:tcPr>
            <w:tcW w:w="1661" w:type="dxa"/>
            <w:vAlign w:val="top"/>
          </w:tcPr>
          <w:p w14:paraId="6973EDFC">
            <w:pPr>
              <w:pStyle w:val="6"/>
              <w:spacing w:before="134" w:line="156" w:lineRule="exact"/>
              <w:ind w:left="734"/>
              <w:rPr>
                <w:sz w:val="20"/>
                <w:szCs w:val="20"/>
              </w:rPr>
            </w:pPr>
            <w:r>
              <w:rPr>
                <w:position w:val="-4"/>
                <w:sz w:val="20"/>
                <w:szCs w:val="20"/>
              </w:rPr>
              <w:t>一</w:t>
            </w:r>
          </w:p>
        </w:tc>
        <w:tc>
          <w:tcPr>
            <w:tcW w:w="1964" w:type="dxa"/>
            <w:vAlign w:val="top"/>
          </w:tcPr>
          <w:p w14:paraId="7833AF55">
            <w:pPr>
              <w:pStyle w:val="6"/>
              <w:spacing w:before="95" w:line="183" w:lineRule="auto"/>
              <w:ind w:left="885"/>
              <w:rPr>
                <w:sz w:val="20"/>
                <w:szCs w:val="20"/>
              </w:rPr>
            </w:pPr>
            <w:r>
              <w:rPr>
                <w:sz w:val="20"/>
                <w:szCs w:val="20"/>
              </w:rPr>
              <w:t>二</w:t>
            </w:r>
          </w:p>
        </w:tc>
        <w:tc>
          <w:tcPr>
            <w:tcW w:w="2267" w:type="dxa"/>
            <w:vAlign w:val="top"/>
          </w:tcPr>
          <w:p w14:paraId="6BA77391">
            <w:pPr>
              <w:pStyle w:val="6"/>
              <w:spacing w:before="55"/>
              <w:ind w:left="1032"/>
              <w:rPr>
                <w:sz w:val="20"/>
                <w:szCs w:val="20"/>
              </w:rPr>
            </w:pPr>
            <w:r>
              <w:rPr>
                <w:sz w:val="20"/>
                <w:szCs w:val="20"/>
              </w:rPr>
              <w:t>三</w:t>
            </w:r>
          </w:p>
        </w:tc>
        <w:tc>
          <w:tcPr>
            <w:tcW w:w="1665" w:type="dxa"/>
            <w:tcBorders>
              <w:right w:val="nil"/>
            </w:tcBorders>
            <w:vAlign w:val="top"/>
          </w:tcPr>
          <w:p w14:paraId="657E1975">
            <w:pPr>
              <w:pStyle w:val="6"/>
              <w:spacing w:before="56" w:line="227" w:lineRule="auto"/>
              <w:ind w:left="368"/>
              <w:rPr>
                <w:rFonts w:ascii="Times New Roman" w:hAnsi="Times New Roman" w:eastAsia="Times New Roman" w:cs="Times New Roman"/>
                <w:sz w:val="13"/>
                <w:szCs w:val="13"/>
              </w:rPr>
            </w:pPr>
            <w:r>
              <w:rPr>
                <w:spacing w:val="5"/>
                <w:sz w:val="20"/>
                <w:szCs w:val="20"/>
              </w:rPr>
              <w:t>简单分析</w:t>
            </w:r>
            <w:r>
              <w:rPr>
                <w:spacing w:val="-43"/>
                <w:sz w:val="20"/>
                <w:szCs w:val="20"/>
              </w:rPr>
              <w:t xml:space="preserve"> </w:t>
            </w:r>
            <w:r>
              <w:rPr>
                <w:rFonts w:ascii="Times New Roman" w:hAnsi="Times New Roman" w:eastAsia="Times New Roman" w:cs="Times New Roman"/>
                <w:spacing w:val="5"/>
                <w:position w:val="6"/>
                <w:sz w:val="13"/>
                <w:szCs w:val="13"/>
              </w:rPr>
              <w:t>a</w:t>
            </w:r>
          </w:p>
        </w:tc>
      </w:tr>
    </w:tbl>
    <w:p w14:paraId="147E3428">
      <w:pPr>
        <w:spacing w:before="54" w:line="270" w:lineRule="auto"/>
        <w:ind w:left="6" w:right="5"/>
        <w:rPr>
          <w:rFonts w:ascii="宋体" w:hAnsi="宋体" w:eastAsia="宋体" w:cs="宋体"/>
          <w:sz w:val="20"/>
          <w:szCs w:val="20"/>
        </w:rPr>
      </w:pPr>
      <w:r>
        <w:rPr>
          <w:rFonts w:ascii="Times New Roman" w:hAnsi="Times New Roman" w:eastAsia="Times New Roman" w:cs="Times New Roman"/>
          <w:spacing w:val="12"/>
          <w:sz w:val="20"/>
          <w:szCs w:val="20"/>
        </w:rPr>
        <w:t>a</w:t>
      </w:r>
      <w:r>
        <w:rPr>
          <w:rFonts w:ascii="Times New Roman" w:hAnsi="Times New Roman" w:eastAsia="Times New Roman" w:cs="Times New Roman"/>
          <w:spacing w:val="17"/>
          <w:w w:val="101"/>
          <w:sz w:val="20"/>
          <w:szCs w:val="20"/>
        </w:rPr>
        <w:t xml:space="preserve"> </w:t>
      </w:r>
      <w:r>
        <w:rPr>
          <w:rFonts w:ascii="宋体" w:hAnsi="宋体" w:eastAsia="宋体" w:cs="宋体"/>
          <w:spacing w:val="12"/>
          <w:sz w:val="20"/>
          <w:szCs w:val="20"/>
        </w:rPr>
        <w:t>是相对于详细评价工作内容而言，在描述危险物质、环境影响途</w:t>
      </w:r>
      <w:r>
        <w:rPr>
          <w:rFonts w:ascii="宋体" w:hAnsi="宋体" w:eastAsia="宋体" w:cs="宋体"/>
          <w:spacing w:val="11"/>
          <w:sz w:val="20"/>
          <w:szCs w:val="20"/>
        </w:rPr>
        <w:t>径、环境危害后果、风险防范措</w:t>
      </w:r>
      <w:r>
        <w:rPr>
          <w:rFonts w:ascii="宋体" w:hAnsi="宋体" w:eastAsia="宋体" w:cs="宋体"/>
          <w:sz w:val="20"/>
          <w:szCs w:val="20"/>
        </w:rPr>
        <w:t xml:space="preserve"> </w:t>
      </w:r>
      <w:r>
        <w:rPr>
          <w:rFonts w:ascii="宋体" w:hAnsi="宋体" w:eastAsia="宋体" w:cs="宋体"/>
          <w:spacing w:val="8"/>
          <w:sz w:val="20"/>
          <w:szCs w:val="20"/>
        </w:rPr>
        <w:t>施等方面给出定性说明。</w:t>
      </w:r>
    </w:p>
    <w:p w14:paraId="00F3F16C">
      <w:pPr>
        <w:spacing w:line="29" w:lineRule="exact"/>
      </w:pPr>
      <w:r>
        <w:pict>
          <v:shape id="_x0000_s1898" o:spid="_x0000_s1898" style="height:1.45pt;width:453.4pt;" filled="f" stroked="t" coordsize="9067,29" path="m0,14l9067,14e">
            <v:fill on="f" focussize="0,0"/>
            <v:stroke weight="1.44pt" color="#000000" miterlimit="2" joinstyle="bevel"/>
            <v:imagedata o:title=""/>
            <o:lock v:ext="edit"/>
            <w10:wrap type="none"/>
            <w10:anchorlock/>
          </v:shape>
        </w:pict>
      </w:r>
    </w:p>
    <w:p w14:paraId="4736F2A6">
      <w:pPr>
        <w:spacing w:before="119" w:line="359" w:lineRule="auto"/>
        <w:ind w:left="11" w:right="1" w:firstLine="478"/>
        <w:jc w:val="both"/>
        <w:rPr>
          <w:rFonts w:ascii="宋体" w:hAnsi="宋体" w:eastAsia="宋体" w:cs="宋体"/>
          <w:sz w:val="24"/>
          <w:szCs w:val="24"/>
        </w:rPr>
      </w:pPr>
      <w:r>
        <w:rPr>
          <w:rFonts w:ascii="宋体" w:hAnsi="宋体" w:eastAsia="宋体" w:cs="宋体"/>
          <w:spacing w:val="-4"/>
          <w:sz w:val="24"/>
          <w:szCs w:val="24"/>
        </w:rPr>
        <w:t>本项目大气环境风险潜势为</w:t>
      </w:r>
      <w:r>
        <w:rPr>
          <w:rFonts w:ascii="宋体" w:hAnsi="宋体" w:eastAsia="宋体" w:cs="宋体"/>
          <w:spacing w:val="-46"/>
          <w:sz w:val="24"/>
          <w:szCs w:val="24"/>
        </w:rPr>
        <w:t xml:space="preserve"> </w:t>
      </w:r>
      <w:r>
        <w:rPr>
          <w:rFonts w:ascii="Times New Roman" w:hAnsi="Times New Roman" w:eastAsia="Times New Roman" w:cs="Times New Roman"/>
          <w:spacing w:val="-4"/>
          <w:sz w:val="24"/>
          <w:szCs w:val="24"/>
        </w:rPr>
        <w:t>III</w:t>
      </w:r>
      <w:r>
        <w:rPr>
          <w:rFonts w:ascii="Times New Roman" w:hAnsi="Times New Roman" w:eastAsia="Times New Roman" w:cs="Times New Roman"/>
          <w:spacing w:val="-26"/>
          <w:sz w:val="24"/>
          <w:szCs w:val="24"/>
        </w:rPr>
        <w:t xml:space="preserve"> </w:t>
      </w:r>
      <w:r>
        <w:rPr>
          <w:rFonts w:ascii="宋体" w:hAnsi="宋体" w:eastAsia="宋体" w:cs="宋体"/>
          <w:spacing w:val="-4"/>
          <w:sz w:val="24"/>
          <w:szCs w:val="24"/>
        </w:rPr>
        <w:t>，地下水环境风险潜势为</w:t>
      </w:r>
      <w:r>
        <w:rPr>
          <w:rFonts w:ascii="宋体" w:hAnsi="宋体" w:eastAsia="宋体" w:cs="宋体"/>
          <w:spacing w:val="-54"/>
          <w:sz w:val="24"/>
          <w:szCs w:val="24"/>
        </w:rPr>
        <w:t xml:space="preserve"> </w:t>
      </w:r>
      <w:r>
        <w:rPr>
          <w:rFonts w:ascii="Times New Roman" w:hAnsi="Times New Roman" w:eastAsia="Times New Roman" w:cs="Times New Roman"/>
          <w:spacing w:val="-4"/>
          <w:sz w:val="24"/>
          <w:szCs w:val="24"/>
        </w:rPr>
        <w:t>IV</w:t>
      </w:r>
      <w:r>
        <w:rPr>
          <w:rFonts w:ascii="Times New Roman" w:hAnsi="Times New Roman" w:eastAsia="Times New Roman" w:cs="Times New Roman"/>
          <w:spacing w:val="-23"/>
          <w:sz w:val="24"/>
          <w:szCs w:val="24"/>
        </w:rPr>
        <w:t xml:space="preserve"> </w:t>
      </w:r>
      <w:r>
        <w:rPr>
          <w:rFonts w:ascii="宋体" w:hAnsi="宋体" w:eastAsia="宋体" w:cs="宋体"/>
          <w:spacing w:val="-4"/>
          <w:sz w:val="24"/>
          <w:szCs w:val="24"/>
        </w:rPr>
        <w:t>。根据表</w:t>
      </w:r>
      <w:r>
        <w:rPr>
          <w:rFonts w:ascii="宋体" w:hAnsi="宋体" w:eastAsia="宋体" w:cs="宋体"/>
          <w:spacing w:val="-49"/>
          <w:sz w:val="24"/>
          <w:szCs w:val="24"/>
        </w:rPr>
        <w:t xml:space="preserve"> </w:t>
      </w:r>
      <w:r>
        <w:rPr>
          <w:rFonts w:ascii="Times New Roman" w:hAnsi="Times New Roman" w:eastAsia="Times New Roman" w:cs="Times New Roman"/>
          <w:spacing w:val="-4"/>
          <w:sz w:val="24"/>
          <w:szCs w:val="24"/>
        </w:rPr>
        <w:t>5.2-9</w:t>
      </w:r>
      <w:r>
        <w:rPr>
          <w:rFonts w:ascii="Times New Roman" w:hAnsi="Times New Roman" w:eastAsia="Times New Roman" w:cs="Times New Roman"/>
          <w:spacing w:val="-31"/>
          <w:sz w:val="24"/>
          <w:szCs w:val="24"/>
        </w:rPr>
        <w:t xml:space="preserve"> </w:t>
      </w:r>
      <w:r>
        <w:rPr>
          <w:rFonts w:ascii="宋体" w:hAnsi="宋体" w:eastAsia="宋体" w:cs="宋体"/>
          <w:spacing w:val="-4"/>
          <w:sz w:val="24"/>
          <w:szCs w:val="24"/>
        </w:rPr>
        <w:t>，本项目</w:t>
      </w:r>
      <w:r>
        <w:rPr>
          <w:rFonts w:ascii="宋体" w:hAnsi="宋体" w:eastAsia="宋体" w:cs="宋体"/>
          <w:sz w:val="24"/>
          <w:szCs w:val="24"/>
        </w:rPr>
        <w:t xml:space="preserve"> </w:t>
      </w:r>
      <w:r>
        <w:rPr>
          <w:rFonts w:ascii="宋体" w:hAnsi="宋体" w:eastAsia="宋体" w:cs="宋体"/>
          <w:spacing w:val="-2"/>
          <w:sz w:val="24"/>
          <w:szCs w:val="24"/>
        </w:rPr>
        <w:t>大气环境风险评价等级为二级、地下水环境风险评价等级为一级，大气环境风险评价范</w:t>
      </w:r>
      <w:r>
        <w:rPr>
          <w:rFonts w:ascii="宋体" w:hAnsi="宋体" w:eastAsia="宋体" w:cs="宋体"/>
          <w:spacing w:val="14"/>
          <w:sz w:val="24"/>
          <w:szCs w:val="24"/>
        </w:rPr>
        <w:t xml:space="preserve"> </w:t>
      </w:r>
      <w:r>
        <w:rPr>
          <w:rFonts w:ascii="宋体" w:hAnsi="宋体" w:eastAsia="宋体" w:cs="宋体"/>
          <w:spacing w:val="-4"/>
          <w:sz w:val="24"/>
          <w:szCs w:val="24"/>
        </w:rPr>
        <w:t>围为自厂界外延</w:t>
      </w:r>
      <w:r>
        <w:rPr>
          <w:rFonts w:ascii="宋体" w:hAnsi="宋体" w:eastAsia="宋体" w:cs="宋体"/>
          <w:spacing w:val="-48"/>
          <w:sz w:val="24"/>
          <w:szCs w:val="24"/>
        </w:rPr>
        <w:t xml:space="preserve"> </w:t>
      </w:r>
      <w:r>
        <w:rPr>
          <w:rFonts w:ascii="Times New Roman" w:hAnsi="Times New Roman" w:eastAsia="Times New Roman" w:cs="Times New Roman"/>
          <w:spacing w:val="-4"/>
          <w:sz w:val="24"/>
          <w:szCs w:val="24"/>
        </w:rPr>
        <w:t>5Km</w:t>
      </w:r>
      <w:r>
        <w:rPr>
          <w:rFonts w:ascii="Times New Roman" w:hAnsi="Times New Roman" w:eastAsia="Times New Roman" w:cs="Times New Roman"/>
          <w:spacing w:val="30"/>
          <w:w w:val="101"/>
          <w:sz w:val="24"/>
          <w:szCs w:val="24"/>
        </w:rPr>
        <w:t xml:space="preserve"> </w:t>
      </w:r>
      <w:r>
        <w:rPr>
          <w:rFonts w:ascii="宋体" w:hAnsi="宋体" w:eastAsia="宋体" w:cs="宋体"/>
          <w:spacing w:val="-4"/>
          <w:sz w:val="24"/>
          <w:szCs w:val="24"/>
        </w:rPr>
        <w:t>的区域。</w:t>
      </w:r>
    </w:p>
    <w:p w14:paraId="6E92EA6C">
      <w:pPr>
        <w:spacing w:before="205" w:line="222" w:lineRule="auto"/>
        <w:ind w:left="13"/>
        <w:outlineLvl w:val="1"/>
        <w:rPr>
          <w:rFonts w:ascii="黑体" w:hAnsi="黑体" w:eastAsia="黑体" w:cs="黑体"/>
          <w:sz w:val="30"/>
          <w:szCs w:val="30"/>
        </w:rPr>
      </w:pPr>
      <w:r>
        <w:rPr>
          <w:rFonts w:ascii="Times New Roman" w:hAnsi="Times New Roman" w:eastAsia="Times New Roman" w:cs="Times New Roman"/>
          <w:spacing w:val="-2"/>
          <w:sz w:val="30"/>
          <w:szCs w:val="30"/>
        </w:rPr>
        <w:t xml:space="preserve">5.3 </w:t>
      </w:r>
      <w:r>
        <w:rPr>
          <w:rFonts w:ascii="黑体" w:hAnsi="黑体" w:eastAsia="黑体" w:cs="黑体"/>
          <w:spacing w:val="-2"/>
          <w:sz w:val="30"/>
          <w:szCs w:val="30"/>
        </w:rPr>
        <w:t>风险识别</w:t>
      </w:r>
    </w:p>
    <w:p w14:paraId="141C3AD6">
      <w:pPr>
        <w:pStyle w:val="2"/>
        <w:spacing w:line="354" w:lineRule="auto"/>
      </w:pPr>
    </w:p>
    <w:p w14:paraId="6C701E4C">
      <w:pPr>
        <w:spacing w:before="92" w:line="221" w:lineRule="auto"/>
        <w:ind w:left="8"/>
        <w:outlineLvl w:val="2"/>
        <w:rPr>
          <w:rFonts w:ascii="宋体" w:hAnsi="宋体" w:eastAsia="宋体" w:cs="宋体"/>
          <w:sz w:val="28"/>
          <w:szCs w:val="28"/>
        </w:rPr>
      </w:pPr>
      <w:bookmarkStart w:id="398" w:name="bookmark264"/>
      <w:bookmarkEnd w:id="398"/>
      <w:bookmarkStart w:id="399" w:name="bookmark266"/>
      <w:bookmarkEnd w:id="399"/>
      <w:r>
        <w:rPr>
          <w:rFonts w:ascii="Times New Roman" w:hAnsi="Times New Roman" w:eastAsia="Times New Roman" w:cs="Times New Roman"/>
          <w:b/>
          <w:bCs/>
          <w:spacing w:val="-2"/>
          <w:sz w:val="28"/>
          <w:szCs w:val="28"/>
        </w:rPr>
        <w:t xml:space="preserve">5.3.1 </w:t>
      </w:r>
      <w:r>
        <w:rPr>
          <w:rFonts w:ascii="宋体" w:hAnsi="宋体" w:eastAsia="宋体" w:cs="宋体"/>
          <w:b/>
          <w:bCs/>
          <w:spacing w:val="-2"/>
          <w:sz w:val="28"/>
          <w:szCs w:val="28"/>
        </w:rPr>
        <w:t>物质危险性识别</w:t>
      </w:r>
    </w:p>
    <w:p w14:paraId="035398EC">
      <w:pPr>
        <w:pStyle w:val="2"/>
        <w:spacing w:line="323" w:lineRule="auto"/>
      </w:pPr>
    </w:p>
    <w:p w14:paraId="56EC5B6E">
      <w:pPr>
        <w:spacing w:before="78" w:line="219" w:lineRule="auto"/>
        <w:ind w:left="489"/>
        <w:rPr>
          <w:rFonts w:ascii="宋体" w:hAnsi="宋体" w:eastAsia="宋体" w:cs="宋体"/>
          <w:sz w:val="24"/>
          <w:szCs w:val="24"/>
        </w:rPr>
      </w:pPr>
      <w:r>
        <w:rPr>
          <w:rFonts w:ascii="宋体" w:hAnsi="宋体" w:eastAsia="宋体" w:cs="宋体"/>
          <w:spacing w:val="-1"/>
          <w:sz w:val="24"/>
          <w:szCs w:val="24"/>
        </w:rPr>
        <w:t>本项目涉及到的危险物质主要为矿热炉煤气，危险性详见表</w:t>
      </w:r>
      <w:r>
        <w:rPr>
          <w:rFonts w:ascii="宋体" w:hAnsi="宋体" w:eastAsia="宋体" w:cs="宋体"/>
          <w:spacing w:val="-41"/>
          <w:sz w:val="24"/>
          <w:szCs w:val="24"/>
        </w:rPr>
        <w:t xml:space="preserve"> </w:t>
      </w:r>
      <w:r>
        <w:rPr>
          <w:rFonts w:ascii="Times New Roman" w:hAnsi="Times New Roman" w:eastAsia="Times New Roman" w:cs="Times New Roman"/>
          <w:spacing w:val="-1"/>
          <w:sz w:val="24"/>
          <w:szCs w:val="24"/>
        </w:rPr>
        <w:t>5.3-1</w:t>
      </w:r>
      <w:r>
        <w:rPr>
          <w:rFonts w:ascii="宋体" w:hAnsi="宋体" w:eastAsia="宋体" w:cs="宋体"/>
          <w:spacing w:val="-1"/>
          <w:sz w:val="24"/>
          <w:szCs w:val="24"/>
        </w:rPr>
        <w:t>。</w:t>
      </w:r>
    </w:p>
    <w:p w14:paraId="43953853">
      <w:pPr>
        <w:spacing w:line="219" w:lineRule="auto"/>
        <w:rPr>
          <w:rFonts w:ascii="宋体" w:hAnsi="宋体" w:eastAsia="宋体" w:cs="宋体"/>
          <w:sz w:val="24"/>
          <w:szCs w:val="24"/>
        </w:rPr>
        <w:sectPr>
          <w:headerReference r:id="rId390" w:type="default"/>
          <w:footerReference r:id="rId391" w:type="default"/>
          <w:pgSz w:w="11906" w:h="16839"/>
          <w:pgMar w:top="1191" w:right="1416" w:bottom="1221" w:left="1417" w:header="882" w:footer="1059" w:gutter="0"/>
          <w:cols w:space="720" w:num="1"/>
        </w:sectPr>
      </w:pPr>
    </w:p>
    <w:p w14:paraId="0364E248">
      <w:pPr>
        <w:spacing w:line="28" w:lineRule="exact"/>
      </w:pPr>
      <w:r>
        <w:pict>
          <v:shape id="_x0000_s1900" o:spid="_x0000_s1900" style="height:1.45pt;width:453.65pt;" fillcolor="#000000" filled="t" stroked="f" coordsize="9072,29" path="m0,0l9072,0,9072,28,0,28,0,0xe">
            <v:path/>
            <v:fill on="t" focussize="0,0"/>
            <v:stroke on="f"/>
            <v:imagedata o:title=""/>
            <o:lock v:ext="edit"/>
            <w10:wrap type="none"/>
            <w10:anchorlock/>
          </v:shape>
        </w:pict>
      </w:r>
    </w:p>
    <w:p w14:paraId="2EAA8945">
      <w:pPr>
        <w:pStyle w:val="2"/>
        <w:spacing w:line="265" w:lineRule="auto"/>
      </w:pPr>
    </w:p>
    <w:p w14:paraId="308EA6BA">
      <w:pPr>
        <w:spacing w:before="65" w:line="228" w:lineRule="auto"/>
        <w:ind w:left="2612"/>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3"/>
          <w:sz w:val="20"/>
          <w:szCs w:val="20"/>
        </w:rPr>
        <w:t xml:space="preserve"> </w:t>
      </w:r>
      <w:r>
        <w:rPr>
          <w:rFonts w:ascii="Times New Roman" w:hAnsi="Times New Roman" w:eastAsia="Times New Roman" w:cs="Times New Roman"/>
          <w:b/>
          <w:bCs/>
          <w:spacing w:val="5"/>
          <w:sz w:val="20"/>
          <w:szCs w:val="20"/>
        </w:rPr>
        <w:t xml:space="preserve">5.3-1        </w:t>
      </w:r>
      <w:r>
        <w:rPr>
          <w:rFonts w:ascii="宋体" w:hAnsi="宋体" w:eastAsia="宋体" w:cs="宋体"/>
          <w:b/>
          <w:bCs/>
          <w:spacing w:val="5"/>
          <w:sz w:val="20"/>
          <w:szCs w:val="20"/>
        </w:rPr>
        <w:t>危险化学品危险性识别结果表</w:t>
      </w:r>
    </w:p>
    <w:p w14:paraId="3B4B60FC">
      <w:pPr>
        <w:spacing w:line="96" w:lineRule="exact"/>
      </w:pPr>
    </w:p>
    <w:tbl>
      <w:tblPr>
        <w:tblStyle w:val="5"/>
        <w:tblW w:w="9066" w:type="dxa"/>
        <w:tblInd w:w="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08"/>
        <w:gridCol w:w="6650"/>
        <w:gridCol w:w="1208"/>
      </w:tblGrid>
      <w:tr w14:paraId="15C65C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1208" w:type="dxa"/>
            <w:tcBorders>
              <w:top w:val="single" w:color="000000" w:sz="10" w:space="0"/>
              <w:left w:val="nil"/>
            </w:tcBorders>
            <w:vAlign w:val="top"/>
          </w:tcPr>
          <w:p w14:paraId="3FBF2A3F">
            <w:pPr>
              <w:pStyle w:val="6"/>
              <w:spacing w:before="58" w:line="229" w:lineRule="auto"/>
              <w:ind w:left="82"/>
              <w:rPr>
                <w:sz w:val="20"/>
                <w:szCs w:val="20"/>
              </w:rPr>
            </w:pPr>
            <w:r>
              <w:rPr>
                <w:b/>
                <w:bCs/>
                <w:spacing w:val="6"/>
                <w:sz w:val="20"/>
                <w:szCs w:val="20"/>
              </w:rPr>
              <w:t>化学品名称</w:t>
            </w:r>
          </w:p>
        </w:tc>
        <w:tc>
          <w:tcPr>
            <w:tcW w:w="6650" w:type="dxa"/>
            <w:tcBorders>
              <w:top w:val="single" w:color="000000" w:sz="10" w:space="0"/>
            </w:tcBorders>
            <w:vAlign w:val="top"/>
          </w:tcPr>
          <w:p w14:paraId="4BAD6355">
            <w:pPr>
              <w:pStyle w:val="6"/>
              <w:spacing w:before="57" w:line="227" w:lineRule="auto"/>
              <w:ind w:left="2802"/>
              <w:rPr>
                <w:sz w:val="20"/>
                <w:szCs w:val="20"/>
              </w:rPr>
            </w:pPr>
            <w:r>
              <w:rPr>
                <w:b/>
                <w:bCs/>
                <w:spacing w:val="6"/>
                <w:sz w:val="20"/>
                <w:szCs w:val="20"/>
              </w:rPr>
              <w:t>危险性介绍</w:t>
            </w:r>
          </w:p>
        </w:tc>
        <w:tc>
          <w:tcPr>
            <w:tcW w:w="1208" w:type="dxa"/>
            <w:tcBorders>
              <w:top w:val="single" w:color="000000" w:sz="10" w:space="0"/>
              <w:right w:val="nil"/>
            </w:tcBorders>
            <w:vAlign w:val="top"/>
          </w:tcPr>
          <w:p w14:paraId="52BDA64F">
            <w:pPr>
              <w:pStyle w:val="6"/>
              <w:spacing w:before="57" w:line="228" w:lineRule="auto"/>
              <w:ind w:left="86"/>
              <w:rPr>
                <w:sz w:val="20"/>
                <w:szCs w:val="20"/>
              </w:rPr>
            </w:pPr>
            <w:r>
              <w:rPr>
                <w:b/>
                <w:bCs/>
                <w:spacing w:val="6"/>
                <w:sz w:val="20"/>
                <w:szCs w:val="20"/>
              </w:rPr>
              <w:t>危险性类别</w:t>
            </w:r>
          </w:p>
        </w:tc>
      </w:tr>
      <w:tr w14:paraId="442D2A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5" w:hRule="atLeast"/>
        </w:trPr>
        <w:tc>
          <w:tcPr>
            <w:tcW w:w="1208" w:type="dxa"/>
            <w:vMerge w:val="restart"/>
            <w:tcBorders>
              <w:left w:val="nil"/>
              <w:bottom w:val="nil"/>
            </w:tcBorders>
            <w:vAlign w:val="top"/>
          </w:tcPr>
          <w:p w14:paraId="66673F38">
            <w:pPr>
              <w:spacing w:line="265" w:lineRule="auto"/>
              <w:rPr>
                <w:rFonts w:ascii="Arial"/>
                <w:sz w:val="21"/>
              </w:rPr>
            </w:pPr>
          </w:p>
          <w:p w14:paraId="16AA2D53">
            <w:pPr>
              <w:spacing w:line="265" w:lineRule="auto"/>
              <w:rPr>
                <w:rFonts w:ascii="Arial"/>
                <w:sz w:val="21"/>
              </w:rPr>
            </w:pPr>
          </w:p>
          <w:p w14:paraId="1E04ADDE">
            <w:pPr>
              <w:spacing w:line="265" w:lineRule="auto"/>
              <w:rPr>
                <w:rFonts w:ascii="Arial"/>
                <w:sz w:val="21"/>
              </w:rPr>
            </w:pPr>
          </w:p>
          <w:p w14:paraId="00EBD4BA">
            <w:pPr>
              <w:spacing w:line="265" w:lineRule="auto"/>
              <w:rPr>
                <w:rFonts w:ascii="Arial"/>
                <w:sz w:val="21"/>
              </w:rPr>
            </w:pPr>
          </w:p>
          <w:p w14:paraId="0177C048">
            <w:pPr>
              <w:spacing w:line="265" w:lineRule="auto"/>
              <w:rPr>
                <w:rFonts w:ascii="Arial"/>
                <w:sz w:val="21"/>
              </w:rPr>
            </w:pPr>
          </w:p>
          <w:p w14:paraId="0329A77B">
            <w:pPr>
              <w:spacing w:line="266" w:lineRule="auto"/>
              <w:rPr>
                <w:rFonts w:ascii="Arial"/>
                <w:sz w:val="21"/>
              </w:rPr>
            </w:pPr>
          </w:p>
          <w:p w14:paraId="5A0600F3">
            <w:pPr>
              <w:spacing w:line="266" w:lineRule="auto"/>
              <w:rPr>
                <w:rFonts w:ascii="Arial"/>
                <w:sz w:val="21"/>
              </w:rPr>
            </w:pPr>
          </w:p>
          <w:p w14:paraId="0D9649DC">
            <w:pPr>
              <w:spacing w:line="266" w:lineRule="auto"/>
              <w:rPr>
                <w:rFonts w:ascii="Arial"/>
                <w:sz w:val="21"/>
              </w:rPr>
            </w:pPr>
          </w:p>
          <w:p w14:paraId="4E31E2C1">
            <w:pPr>
              <w:spacing w:line="266" w:lineRule="auto"/>
              <w:rPr>
                <w:rFonts w:ascii="Arial"/>
                <w:sz w:val="21"/>
              </w:rPr>
            </w:pPr>
          </w:p>
          <w:p w14:paraId="1BC27B35">
            <w:pPr>
              <w:pStyle w:val="6"/>
              <w:spacing w:before="65" w:line="228" w:lineRule="auto"/>
              <w:ind w:left="41"/>
              <w:rPr>
                <w:sz w:val="20"/>
                <w:szCs w:val="20"/>
              </w:rPr>
            </w:pPr>
            <w:r>
              <w:rPr>
                <w:spacing w:val="8"/>
                <w:sz w:val="20"/>
                <w:szCs w:val="20"/>
              </w:rPr>
              <w:t>煤气（</w:t>
            </w:r>
            <w:r>
              <w:rPr>
                <w:rFonts w:ascii="Times New Roman" w:hAnsi="Times New Roman" w:eastAsia="Times New Roman" w:cs="Times New Roman"/>
                <w:sz w:val="20"/>
                <w:szCs w:val="20"/>
              </w:rPr>
              <w:t>CO</w:t>
            </w:r>
            <w:r>
              <w:rPr>
                <w:spacing w:val="8"/>
                <w:sz w:val="20"/>
                <w:szCs w:val="20"/>
              </w:rPr>
              <w:t>）</w:t>
            </w:r>
          </w:p>
        </w:tc>
        <w:tc>
          <w:tcPr>
            <w:tcW w:w="6650" w:type="dxa"/>
            <w:vAlign w:val="top"/>
          </w:tcPr>
          <w:p w14:paraId="257637D6">
            <w:pPr>
              <w:pStyle w:val="6"/>
              <w:spacing w:before="51" w:line="228" w:lineRule="auto"/>
              <w:ind w:left="4"/>
              <w:rPr>
                <w:sz w:val="20"/>
                <w:szCs w:val="20"/>
              </w:rPr>
            </w:pPr>
            <w:r>
              <w:rPr>
                <w:rFonts w:ascii="Times New Roman" w:hAnsi="Times New Roman" w:eastAsia="Times New Roman" w:cs="Times New Roman"/>
                <w:sz w:val="20"/>
                <w:szCs w:val="20"/>
              </w:rPr>
              <w:t>LD</w:t>
            </w:r>
            <w:r>
              <w:rPr>
                <w:rFonts w:ascii="Times New Roman" w:hAnsi="Times New Roman" w:eastAsia="Times New Roman" w:cs="Times New Roman"/>
                <w:spacing w:val="8"/>
                <w:position w:val="-1"/>
                <w:sz w:val="13"/>
                <w:szCs w:val="13"/>
              </w:rPr>
              <w:t>50</w:t>
            </w:r>
            <w:r>
              <w:rPr>
                <w:spacing w:val="8"/>
                <w:sz w:val="20"/>
                <w:szCs w:val="20"/>
              </w:rPr>
              <w:t>：剧毒</w:t>
            </w:r>
          </w:p>
          <w:p w14:paraId="772CCF87">
            <w:pPr>
              <w:pStyle w:val="6"/>
              <w:spacing w:before="72" w:line="275" w:lineRule="auto"/>
              <w:ind w:left="4"/>
              <w:rPr>
                <w:sz w:val="20"/>
                <w:szCs w:val="20"/>
              </w:rPr>
            </w:pPr>
            <w:r>
              <w:rPr>
                <w:rFonts w:ascii="Times New Roman" w:hAnsi="Times New Roman" w:eastAsia="Times New Roman" w:cs="Times New Roman"/>
                <w:spacing w:val="-3"/>
                <w:sz w:val="20"/>
                <w:szCs w:val="20"/>
              </w:rPr>
              <w:t>LC</w:t>
            </w:r>
            <w:r>
              <w:rPr>
                <w:rFonts w:ascii="Times New Roman" w:hAnsi="Times New Roman" w:eastAsia="Times New Roman" w:cs="Times New Roman"/>
                <w:spacing w:val="-3"/>
                <w:position w:val="-1"/>
                <w:sz w:val="13"/>
                <w:szCs w:val="13"/>
              </w:rPr>
              <w:t>50</w:t>
            </w:r>
            <w:r>
              <w:rPr>
                <w:spacing w:val="-3"/>
                <w:sz w:val="20"/>
                <w:szCs w:val="20"/>
              </w:rPr>
              <w:t>：大鼠吸入</w:t>
            </w:r>
            <w:r>
              <w:rPr>
                <w:spacing w:val="-40"/>
                <w:sz w:val="20"/>
                <w:szCs w:val="20"/>
              </w:rPr>
              <w:t xml:space="preserve"> </w:t>
            </w:r>
            <w:r>
              <w:rPr>
                <w:rFonts w:ascii="Times New Roman" w:hAnsi="Times New Roman" w:eastAsia="Times New Roman" w:cs="Times New Roman"/>
                <w:spacing w:val="-3"/>
                <w:sz w:val="20"/>
                <w:szCs w:val="20"/>
              </w:rPr>
              <w:t>LC</w:t>
            </w:r>
            <w:r>
              <w:rPr>
                <w:rFonts w:ascii="Times New Roman" w:hAnsi="Times New Roman" w:eastAsia="Times New Roman" w:cs="Times New Roman"/>
                <w:spacing w:val="-3"/>
                <w:position w:val="-1"/>
                <w:sz w:val="13"/>
                <w:szCs w:val="13"/>
              </w:rPr>
              <w:t>50</w:t>
            </w:r>
            <w:r>
              <w:rPr>
                <w:spacing w:val="-3"/>
                <w:sz w:val="20"/>
                <w:szCs w:val="20"/>
              </w:rPr>
              <w:t>（</w:t>
            </w:r>
            <w:r>
              <w:rPr>
                <w:rFonts w:ascii="Times New Roman" w:hAnsi="Times New Roman" w:eastAsia="Times New Roman" w:cs="Times New Roman"/>
                <w:spacing w:val="-3"/>
                <w:sz w:val="20"/>
                <w:szCs w:val="20"/>
              </w:rPr>
              <w:t>mg/m</w:t>
            </w:r>
            <w:r>
              <w:rPr>
                <w:rFonts w:ascii="Times New Roman" w:hAnsi="Times New Roman" w:eastAsia="Times New Roman" w:cs="Times New Roman"/>
                <w:spacing w:val="-3"/>
                <w:position w:val="6"/>
                <w:sz w:val="13"/>
                <w:szCs w:val="13"/>
              </w:rPr>
              <w:t>3</w:t>
            </w:r>
            <w:r>
              <w:rPr>
                <w:spacing w:val="-50"/>
                <w:w w:val="92"/>
                <w:sz w:val="20"/>
                <w:szCs w:val="20"/>
              </w:rPr>
              <w:t>）：</w:t>
            </w:r>
            <w:r>
              <w:rPr>
                <w:rFonts w:ascii="Times New Roman" w:hAnsi="Times New Roman" w:eastAsia="Times New Roman" w:cs="Times New Roman"/>
                <w:spacing w:val="-3"/>
                <w:sz w:val="20"/>
                <w:szCs w:val="20"/>
              </w:rPr>
              <w:t>1807ppm</w:t>
            </w:r>
            <w:r>
              <w:rPr>
                <w:spacing w:val="-3"/>
                <w:sz w:val="20"/>
                <w:szCs w:val="20"/>
              </w:rPr>
              <w:t>，</w:t>
            </w:r>
            <w:r>
              <w:rPr>
                <w:rFonts w:ascii="Times New Roman" w:hAnsi="Times New Roman" w:eastAsia="Times New Roman" w:cs="Times New Roman"/>
                <w:spacing w:val="-3"/>
                <w:sz w:val="20"/>
                <w:szCs w:val="20"/>
              </w:rPr>
              <w:t>4</w:t>
            </w:r>
            <w:r>
              <w:rPr>
                <w:rFonts w:ascii="Times New Roman" w:hAnsi="Times New Roman" w:eastAsia="Times New Roman" w:cs="Times New Roman"/>
                <w:spacing w:val="18"/>
                <w:sz w:val="20"/>
                <w:szCs w:val="20"/>
              </w:rPr>
              <w:t xml:space="preserve"> </w:t>
            </w:r>
            <w:r>
              <w:rPr>
                <w:spacing w:val="-3"/>
                <w:sz w:val="20"/>
                <w:szCs w:val="20"/>
              </w:rPr>
              <w:t>小时；人吸入</w:t>
            </w:r>
            <w:r>
              <w:rPr>
                <w:spacing w:val="-42"/>
                <w:sz w:val="20"/>
                <w:szCs w:val="20"/>
              </w:rPr>
              <w:t xml:space="preserve"> </w:t>
            </w:r>
            <w:r>
              <w:rPr>
                <w:rFonts w:ascii="Times New Roman" w:hAnsi="Times New Roman" w:eastAsia="Times New Roman" w:cs="Times New Roman"/>
                <w:spacing w:val="-3"/>
                <w:sz w:val="20"/>
                <w:szCs w:val="20"/>
              </w:rPr>
              <w:t>LCLO</w:t>
            </w:r>
            <w:r>
              <w:rPr>
                <w:rFonts w:ascii="Times New Roman" w:hAnsi="Times New Roman" w:eastAsia="Times New Roman" w:cs="Times New Roman"/>
                <w:spacing w:val="-17"/>
                <w:sz w:val="20"/>
                <w:szCs w:val="20"/>
              </w:rPr>
              <w:t xml:space="preserve"> </w:t>
            </w:r>
            <w:r>
              <w:rPr>
                <w:spacing w:val="-3"/>
                <w:sz w:val="20"/>
                <w:szCs w:val="20"/>
              </w:rPr>
              <w:t>（</w:t>
            </w:r>
            <w:r>
              <w:rPr>
                <w:rFonts w:ascii="Times New Roman" w:hAnsi="Times New Roman" w:eastAsia="Times New Roman" w:cs="Times New Roman"/>
                <w:spacing w:val="-3"/>
                <w:sz w:val="20"/>
                <w:szCs w:val="20"/>
              </w:rPr>
              <w:t>mg/</w:t>
            </w:r>
            <w:r>
              <w:rPr>
                <w:rFonts w:ascii="Times New Roman" w:hAnsi="Times New Roman" w:eastAsia="Times New Roman" w:cs="Times New Roman"/>
                <w:spacing w:val="-4"/>
                <w:sz w:val="20"/>
                <w:szCs w:val="20"/>
              </w:rPr>
              <w:t>m</w:t>
            </w:r>
            <w:r>
              <w:rPr>
                <w:rFonts w:ascii="Times New Roman" w:hAnsi="Times New Roman" w:eastAsia="Times New Roman" w:cs="Times New Roman"/>
                <w:spacing w:val="-4"/>
                <w:position w:val="6"/>
                <w:sz w:val="13"/>
                <w:szCs w:val="13"/>
              </w:rPr>
              <w:t>3</w:t>
            </w:r>
            <w:r>
              <w:rPr>
                <w:spacing w:val="-50"/>
                <w:w w:val="92"/>
                <w:sz w:val="20"/>
                <w:szCs w:val="20"/>
              </w:rPr>
              <w:t>）：</w:t>
            </w:r>
            <w:r>
              <w:rPr>
                <w:sz w:val="20"/>
                <w:szCs w:val="20"/>
              </w:rPr>
              <w:t xml:space="preserve"> </w:t>
            </w:r>
            <w:r>
              <w:rPr>
                <w:rFonts w:ascii="Times New Roman" w:hAnsi="Times New Roman" w:eastAsia="Times New Roman" w:cs="Times New Roman"/>
                <w:spacing w:val="4"/>
                <w:sz w:val="20"/>
                <w:szCs w:val="20"/>
              </w:rPr>
              <w:t>4000</w:t>
            </w:r>
            <w:r>
              <w:rPr>
                <w:rFonts w:ascii="Times New Roman" w:hAnsi="Times New Roman" w:eastAsia="Times New Roman" w:cs="Times New Roman"/>
                <w:sz w:val="20"/>
                <w:szCs w:val="20"/>
              </w:rPr>
              <w:t>ppm</w:t>
            </w:r>
            <w:r>
              <w:rPr>
                <w:rFonts w:ascii="Times New Roman" w:hAnsi="Times New Roman" w:eastAsia="Times New Roman" w:cs="Times New Roman"/>
                <w:spacing w:val="4"/>
                <w:sz w:val="20"/>
                <w:szCs w:val="20"/>
              </w:rPr>
              <w:t>/30</w:t>
            </w:r>
            <w:r>
              <w:rPr>
                <w:rFonts w:ascii="Times New Roman" w:hAnsi="Times New Roman" w:eastAsia="Times New Roman" w:cs="Times New Roman"/>
                <w:sz w:val="20"/>
                <w:szCs w:val="20"/>
              </w:rPr>
              <w:t>min</w:t>
            </w:r>
            <w:r>
              <w:rPr>
                <w:spacing w:val="4"/>
                <w:sz w:val="20"/>
                <w:szCs w:val="20"/>
              </w:rPr>
              <w:t>；人吸入</w:t>
            </w:r>
            <w:r>
              <w:rPr>
                <w:spacing w:val="-42"/>
                <w:sz w:val="20"/>
                <w:szCs w:val="20"/>
              </w:rPr>
              <w:t xml:space="preserve"> </w:t>
            </w:r>
            <w:r>
              <w:rPr>
                <w:rFonts w:ascii="Times New Roman" w:hAnsi="Times New Roman" w:eastAsia="Times New Roman" w:cs="Times New Roman"/>
                <w:sz w:val="20"/>
                <w:szCs w:val="20"/>
              </w:rPr>
              <w:t>TCLO</w:t>
            </w:r>
            <w:r>
              <w:rPr>
                <w:spacing w:val="4"/>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4"/>
                <w:sz w:val="20"/>
                <w:szCs w:val="20"/>
              </w:rPr>
              <w:t>/m</w:t>
            </w:r>
            <w:r>
              <w:rPr>
                <w:rFonts w:ascii="Times New Roman" w:hAnsi="Times New Roman" w:eastAsia="Times New Roman" w:cs="Times New Roman"/>
                <w:spacing w:val="4"/>
                <w:position w:val="6"/>
                <w:sz w:val="13"/>
                <w:szCs w:val="13"/>
              </w:rPr>
              <w:t xml:space="preserve">3 </w:t>
            </w:r>
            <w:r>
              <w:rPr>
                <w:spacing w:val="-4"/>
                <w:sz w:val="20"/>
                <w:szCs w:val="20"/>
              </w:rPr>
              <w:t>）：</w:t>
            </w:r>
            <w:r>
              <w:rPr>
                <w:rFonts w:ascii="Times New Roman" w:hAnsi="Times New Roman" w:eastAsia="Times New Roman" w:cs="Times New Roman"/>
                <w:spacing w:val="4"/>
                <w:sz w:val="20"/>
                <w:szCs w:val="20"/>
              </w:rPr>
              <w:t>150</w:t>
            </w:r>
            <w:r>
              <w:rPr>
                <w:rFonts w:ascii="Times New Roman" w:hAnsi="Times New Roman" w:eastAsia="Times New Roman" w:cs="Times New Roman"/>
                <w:sz w:val="20"/>
                <w:szCs w:val="20"/>
              </w:rPr>
              <w:t>ppm</w:t>
            </w:r>
            <w:r>
              <w:rPr>
                <w:rFonts w:ascii="Times New Roman" w:hAnsi="Times New Roman" w:eastAsia="Times New Roman" w:cs="Times New Roman"/>
                <w:spacing w:val="4"/>
                <w:sz w:val="20"/>
                <w:szCs w:val="20"/>
              </w:rPr>
              <w:t>/24h</w:t>
            </w:r>
            <w:r>
              <w:rPr>
                <w:rFonts w:ascii="Times New Roman" w:hAnsi="Times New Roman" w:eastAsia="Times New Roman" w:cs="Times New Roman"/>
                <w:spacing w:val="-24"/>
                <w:sz w:val="20"/>
                <w:szCs w:val="20"/>
              </w:rPr>
              <w:t xml:space="preserve"> </w:t>
            </w:r>
            <w:r>
              <w:rPr>
                <w:spacing w:val="3"/>
                <w:sz w:val="20"/>
                <w:szCs w:val="20"/>
              </w:rPr>
              <w:t>，</w:t>
            </w:r>
            <w:r>
              <w:rPr>
                <w:rFonts w:ascii="Times New Roman" w:hAnsi="Times New Roman" w:eastAsia="Times New Roman" w:cs="Times New Roman"/>
                <w:spacing w:val="3"/>
                <w:sz w:val="20"/>
                <w:szCs w:val="20"/>
              </w:rPr>
              <w:t>650</w:t>
            </w:r>
            <w:r>
              <w:rPr>
                <w:rFonts w:ascii="Times New Roman" w:hAnsi="Times New Roman" w:eastAsia="Times New Roman" w:cs="Times New Roman"/>
                <w:sz w:val="20"/>
                <w:szCs w:val="20"/>
              </w:rPr>
              <w:t>ppm</w:t>
            </w:r>
            <w:r>
              <w:rPr>
                <w:rFonts w:ascii="Times New Roman" w:hAnsi="Times New Roman" w:eastAsia="Times New Roman" w:cs="Times New Roman"/>
                <w:spacing w:val="3"/>
                <w:sz w:val="20"/>
                <w:szCs w:val="20"/>
              </w:rPr>
              <w:t>/45</w:t>
            </w:r>
            <w:r>
              <w:rPr>
                <w:rFonts w:ascii="Times New Roman" w:hAnsi="Times New Roman" w:eastAsia="Times New Roman" w:cs="Times New Roman"/>
                <w:sz w:val="20"/>
                <w:szCs w:val="20"/>
              </w:rPr>
              <w:t>min</w:t>
            </w:r>
            <w:r>
              <w:rPr>
                <w:spacing w:val="3"/>
                <w:sz w:val="20"/>
                <w:szCs w:val="20"/>
              </w:rPr>
              <w:t>，</w:t>
            </w:r>
            <w:r>
              <w:rPr>
                <w:sz w:val="20"/>
                <w:szCs w:val="20"/>
              </w:rPr>
              <w:t xml:space="preserve"> </w:t>
            </w:r>
            <w:r>
              <w:rPr>
                <w:spacing w:val="6"/>
                <w:sz w:val="20"/>
                <w:szCs w:val="20"/>
              </w:rPr>
              <w:t>中枢神经系统效应。</w:t>
            </w:r>
          </w:p>
        </w:tc>
        <w:tc>
          <w:tcPr>
            <w:tcW w:w="1208" w:type="dxa"/>
            <w:vMerge w:val="restart"/>
            <w:tcBorders>
              <w:bottom w:val="nil"/>
              <w:right w:val="nil"/>
            </w:tcBorders>
            <w:vAlign w:val="top"/>
          </w:tcPr>
          <w:p w14:paraId="147D7B7A">
            <w:pPr>
              <w:spacing w:line="248" w:lineRule="auto"/>
              <w:rPr>
                <w:rFonts w:ascii="Arial"/>
                <w:sz w:val="21"/>
              </w:rPr>
            </w:pPr>
          </w:p>
          <w:p w14:paraId="4ADBD2F6">
            <w:pPr>
              <w:spacing w:line="248" w:lineRule="auto"/>
              <w:rPr>
                <w:rFonts w:ascii="Arial"/>
                <w:sz w:val="21"/>
              </w:rPr>
            </w:pPr>
          </w:p>
          <w:p w14:paraId="721ADA5E">
            <w:pPr>
              <w:spacing w:line="248" w:lineRule="auto"/>
              <w:rPr>
                <w:rFonts w:ascii="Arial"/>
                <w:sz w:val="21"/>
              </w:rPr>
            </w:pPr>
          </w:p>
          <w:p w14:paraId="2EC82D6A">
            <w:pPr>
              <w:spacing w:line="248" w:lineRule="auto"/>
              <w:rPr>
                <w:rFonts w:ascii="Arial"/>
                <w:sz w:val="21"/>
              </w:rPr>
            </w:pPr>
          </w:p>
          <w:p w14:paraId="01661954">
            <w:pPr>
              <w:spacing w:line="248" w:lineRule="auto"/>
              <w:rPr>
                <w:rFonts w:ascii="Arial"/>
                <w:sz w:val="21"/>
              </w:rPr>
            </w:pPr>
          </w:p>
          <w:p w14:paraId="509DB7FB">
            <w:pPr>
              <w:spacing w:line="248" w:lineRule="auto"/>
              <w:rPr>
                <w:rFonts w:ascii="Arial"/>
                <w:sz w:val="21"/>
              </w:rPr>
            </w:pPr>
          </w:p>
          <w:p w14:paraId="06A56A0C">
            <w:pPr>
              <w:spacing w:line="249" w:lineRule="auto"/>
              <w:rPr>
                <w:rFonts w:ascii="Arial"/>
                <w:sz w:val="21"/>
              </w:rPr>
            </w:pPr>
          </w:p>
          <w:p w14:paraId="4FDF882B">
            <w:pPr>
              <w:pStyle w:val="6"/>
              <w:spacing w:before="65" w:line="280" w:lineRule="auto"/>
              <w:ind w:left="13" w:hanging="2"/>
              <w:rPr>
                <w:sz w:val="20"/>
                <w:szCs w:val="20"/>
              </w:rPr>
            </w:pPr>
            <w:r>
              <w:rPr>
                <w:spacing w:val="-1"/>
                <w:sz w:val="20"/>
                <w:szCs w:val="20"/>
              </w:rPr>
              <w:t>第</w:t>
            </w:r>
            <w:r>
              <w:rPr>
                <w:spacing w:val="-40"/>
                <w:sz w:val="20"/>
                <w:szCs w:val="20"/>
              </w:rPr>
              <w:t xml:space="preserve"> </w:t>
            </w:r>
            <w:r>
              <w:rPr>
                <w:rFonts w:ascii="Times New Roman" w:hAnsi="Times New Roman" w:eastAsia="Times New Roman" w:cs="Times New Roman"/>
                <w:spacing w:val="-1"/>
                <w:sz w:val="20"/>
                <w:szCs w:val="20"/>
              </w:rPr>
              <w:t xml:space="preserve">2.3 </w:t>
            </w:r>
            <w:r>
              <w:rPr>
                <w:spacing w:val="-1"/>
                <w:sz w:val="20"/>
                <w:szCs w:val="20"/>
              </w:rPr>
              <w:t>类，毒</w:t>
            </w:r>
            <w:r>
              <w:rPr>
                <w:sz w:val="20"/>
                <w:szCs w:val="20"/>
              </w:rPr>
              <w:t xml:space="preserve"> </w:t>
            </w:r>
            <w:r>
              <w:rPr>
                <w:spacing w:val="-2"/>
                <w:sz w:val="20"/>
                <w:szCs w:val="20"/>
              </w:rPr>
              <w:t>性气体（次）</w:t>
            </w:r>
          </w:p>
        </w:tc>
      </w:tr>
      <w:tr w14:paraId="12A69B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3" w:hRule="atLeast"/>
        </w:trPr>
        <w:tc>
          <w:tcPr>
            <w:tcW w:w="1208" w:type="dxa"/>
            <w:vMerge w:val="continue"/>
            <w:tcBorders>
              <w:top w:val="nil"/>
              <w:left w:val="nil"/>
              <w:bottom w:val="nil"/>
            </w:tcBorders>
            <w:vAlign w:val="top"/>
          </w:tcPr>
          <w:p w14:paraId="45C26E37">
            <w:pPr>
              <w:rPr>
                <w:rFonts w:ascii="Arial"/>
                <w:sz w:val="21"/>
              </w:rPr>
            </w:pPr>
          </w:p>
        </w:tc>
        <w:tc>
          <w:tcPr>
            <w:tcW w:w="6650" w:type="dxa"/>
            <w:vAlign w:val="top"/>
          </w:tcPr>
          <w:p w14:paraId="1ED1D64A">
            <w:pPr>
              <w:pStyle w:val="6"/>
              <w:spacing w:before="61" w:line="290" w:lineRule="auto"/>
              <w:ind w:left="8" w:firstLine="3"/>
              <w:rPr>
                <w:sz w:val="20"/>
                <w:szCs w:val="20"/>
              </w:rPr>
            </w:pPr>
            <w:r>
              <w:rPr>
                <w:spacing w:val="8"/>
                <w:sz w:val="20"/>
                <w:szCs w:val="20"/>
              </w:rPr>
              <w:t>一氧化碳在血中与血红蛋白结合而造成组织缺氧。 急性中毒：轻</w:t>
            </w:r>
            <w:r>
              <w:rPr>
                <w:spacing w:val="7"/>
                <w:sz w:val="20"/>
                <w:szCs w:val="20"/>
              </w:rPr>
              <w:t>度中毒</w:t>
            </w:r>
            <w:r>
              <w:rPr>
                <w:sz w:val="20"/>
                <w:szCs w:val="20"/>
              </w:rPr>
              <w:t xml:space="preserve"> </w:t>
            </w:r>
            <w:r>
              <w:rPr>
                <w:spacing w:val="5"/>
                <w:sz w:val="20"/>
                <w:szCs w:val="20"/>
              </w:rPr>
              <w:t>者出现头痛、头晕、耳鸣、心悸、恶心、呕吐、无力，血液碳氧血红蛋白</w:t>
            </w:r>
            <w:r>
              <w:rPr>
                <w:spacing w:val="18"/>
                <w:sz w:val="20"/>
                <w:szCs w:val="20"/>
              </w:rPr>
              <w:t xml:space="preserve"> </w:t>
            </w:r>
            <w:r>
              <w:rPr>
                <w:spacing w:val="4"/>
                <w:sz w:val="20"/>
                <w:szCs w:val="20"/>
              </w:rPr>
              <w:t>浓度可高于</w:t>
            </w:r>
            <w:r>
              <w:rPr>
                <w:spacing w:val="-21"/>
                <w:sz w:val="20"/>
                <w:szCs w:val="20"/>
              </w:rPr>
              <w:t xml:space="preserve"> </w:t>
            </w:r>
            <w:r>
              <w:rPr>
                <w:rFonts w:ascii="Times New Roman" w:hAnsi="Times New Roman" w:eastAsia="Times New Roman" w:cs="Times New Roman"/>
                <w:spacing w:val="4"/>
                <w:sz w:val="20"/>
                <w:szCs w:val="20"/>
              </w:rPr>
              <w:t>10%</w:t>
            </w:r>
            <w:r>
              <w:rPr>
                <w:spacing w:val="4"/>
                <w:sz w:val="20"/>
                <w:szCs w:val="20"/>
              </w:rPr>
              <w:t>；中度中毒者除上述症状外，还有皮肤粘膜呈樱红色、脉</w:t>
            </w:r>
            <w:r>
              <w:rPr>
                <w:sz w:val="20"/>
                <w:szCs w:val="20"/>
              </w:rPr>
              <w:t xml:space="preserve"> 快、烦躁、步态不稳、浅至中度昏迷，血液碳氧血红蛋白浓度可高于</w:t>
            </w:r>
            <w:r>
              <w:rPr>
                <w:spacing w:val="-37"/>
                <w:sz w:val="20"/>
                <w:szCs w:val="20"/>
              </w:rPr>
              <w:t xml:space="preserve"> </w:t>
            </w:r>
            <w:r>
              <w:rPr>
                <w:rFonts w:ascii="Times New Roman" w:hAnsi="Times New Roman" w:eastAsia="Times New Roman" w:cs="Times New Roman"/>
                <w:sz w:val="20"/>
                <w:szCs w:val="20"/>
              </w:rPr>
              <w:t>30%</w:t>
            </w:r>
            <w:r>
              <w:rPr>
                <w:sz w:val="20"/>
                <w:szCs w:val="20"/>
              </w:rPr>
              <w:t xml:space="preserve">； </w:t>
            </w:r>
            <w:r>
              <w:rPr>
                <w:spacing w:val="5"/>
                <w:sz w:val="20"/>
                <w:szCs w:val="20"/>
              </w:rPr>
              <w:t>重度患者深度昏迷、瞳孔缩小、肌张力增强、频繁抽搐、大小便失禁、休</w:t>
            </w:r>
            <w:r>
              <w:rPr>
                <w:spacing w:val="18"/>
                <w:sz w:val="20"/>
                <w:szCs w:val="20"/>
              </w:rPr>
              <w:t xml:space="preserve"> </w:t>
            </w:r>
            <w:r>
              <w:rPr>
                <w:spacing w:val="4"/>
                <w:sz w:val="20"/>
                <w:szCs w:val="20"/>
              </w:rPr>
              <w:t>克、肺水肿、严重心肌损害等，血液碳氧血红蛋白可高于</w:t>
            </w:r>
            <w:r>
              <w:rPr>
                <w:spacing w:val="-21"/>
                <w:sz w:val="20"/>
                <w:szCs w:val="20"/>
              </w:rPr>
              <w:t xml:space="preserve"> </w:t>
            </w:r>
            <w:r>
              <w:rPr>
                <w:rFonts w:ascii="Times New Roman" w:hAnsi="Times New Roman" w:eastAsia="Times New Roman" w:cs="Times New Roman"/>
                <w:spacing w:val="4"/>
                <w:sz w:val="20"/>
                <w:szCs w:val="20"/>
              </w:rPr>
              <w:t>50%</w:t>
            </w:r>
            <w:r>
              <w:rPr>
                <w:spacing w:val="4"/>
                <w:sz w:val="20"/>
                <w:szCs w:val="20"/>
              </w:rPr>
              <w:t>。部分患者</w:t>
            </w:r>
            <w:r>
              <w:rPr>
                <w:sz w:val="20"/>
                <w:szCs w:val="20"/>
              </w:rPr>
              <w:t xml:space="preserve"> </w:t>
            </w:r>
            <w:r>
              <w:rPr>
                <w:spacing w:val="7"/>
                <w:sz w:val="20"/>
                <w:szCs w:val="20"/>
              </w:rPr>
              <w:t xml:space="preserve">昏迷苏醒后，约经 </w:t>
            </w:r>
            <w:r>
              <w:rPr>
                <w:rFonts w:ascii="Times New Roman" w:hAnsi="Times New Roman" w:eastAsia="Times New Roman" w:cs="Times New Roman"/>
                <w:spacing w:val="7"/>
                <w:sz w:val="20"/>
                <w:szCs w:val="20"/>
              </w:rPr>
              <w:t>2</w:t>
            </w:r>
            <w:r>
              <w:rPr>
                <w:spacing w:val="7"/>
                <w:sz w:val="20"/>
                <w:szCs w:val="20"/>
              </w:rPr>
              <w:t>～</w:t>
            </w:r>
            <w:r>
              <w:rPr>
                <w:rFonts w:ascii="Times New Roman" w:hAnsi="Times New Roman" w:eastAsia="Times New Roman" w:cs="Times New Roman"/>
                <w:spacing w:val="7"/>
                <w:sz w:val="20"/>
                <w:szCs w:val="20"/>
              </w:rPr>
              <w:t>60</w:t>
            </w:r>
            <w:r>
              <w:rPr>
                <w:rFonts w:ascii="Times New Roman" w:hAnsi="Times New Roman" w:eastAsia="Times New Roman" w:cs="Times New Roman"/>
                <w:spacing w:val="15"/>
                <w:w w:val="101"/>
                <w:sz w:val="20"/>
                <w:szCs w:val="20"/>
              </w:rPr>
              <w:t xml:space="preserve"> </w:t>
            </w:r>
            <w:r>
              <w:rPr>
                <w:spacing w:val="7"/>
                <w:sz w:val="20"/>
                <w:szCs w:val="20"/>
              </w:rPr>
              <w:t>天的症状缓解期后，又可能出现迟发性脑病，</w:t>
            </w:r>
          </w:p>
          <w:p w14:paraId="2A1F93CB">
            <w:pPr>
              <w:pStyle w:val="6"/>
              <w:spacing w:before="31" w:line="259" w:lineRule="auto"/>
              <w:ind w:left="11" w:right="24" w:firstLine="21"/>
              <w:rPr>
                <w:sz w:val="20"/>
                <w:szCs w:val="20"/>
              </w:rPr>
            </w:pPr>
            <w:r>
              <w:rPr>
                <w:spacing w:val="9"/>
                <w:sz w:val="20"/>
                <w:szCs w:val="20"/>
              </w:rPr>
              <w:t>以意识精神障碍、锥体系或锥体外系损害为主。 慢性影</w:t>
            </w:r>
            <w:r>
              <w:rPr>
                <w:spacing w:val="8"/>
                <w:sz w:val="20"/>
                <w:szCs w:val="20"/>
              </w:rPr>
              <w:t>响：能否造成慢</w:t>
            </w:r>
            <w:r>
              <w:rPr>
                <w:sz w:val="20"/>
                <w:szCs w:val="20"/>
              </w:rPr>
              <w:t xml:space="preserve"> </w:t>
            </w:r>
            <w:r>
              <w:rPr>
                <w:spacing w:val="8"/>
                <w:sz w:val="20"/>
                <w:szCs w:val="20"/>
              </w:rPr>
              <w:t>性中毒及对心血管影响无定论。</w:t>
            </w:r>
          </w:p>
        </w:tc>
        <w:tc>
          <w:tcPr>
            <w:tcW w:w="1208" w:type="dxa"/>
            <w:vMerge w:val="continue"/>
            <w:tcBorders>
              <w:top w:val="nil"/>
              <w:right w:val="nil"/>
            </w:tcBorders>
            <w:vAlign w:val="top"/>
          </w:tcPr>
          <w:p w14:paraId="695DD79A">
            <w:pPr>
              <w:rPr>
                <w:rFonts w:ascii="Arial"/>
                <w:sz w:val="21"/>
              </w:rPr>
            </w:pPr>
          </w:p>
        </w:tc>
      </w:tr>
      <w:tr w14:paraId="63E23C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2" w:hRule="atLeast"/>
        </w:trPr>
        <w:tc>
          <w:tcPr>
            <w:tcW w:w="1208" w:type="dxa"/>
            <w:vMerge w:val="continue"/>
            <w:tcBorders>
              <w:top w:val="nil"/>
              <w:left w:val="nil"/>
              <w:bottom w:val="nil"/>
            </w:tcBorders>
            <w:vAlign w:val="top"/>
          </w:tcPr>
          <w:p w14:paraId="4FE47599">
            <w:pPr>
              <w:rPr>
                <w:rFonts w:ascii="Arial"/>
                <w:sz w:val="21"/>
              </w:rPr>
            </w:pPr>
          </w:p>
        </w:tc>
        <w:tc>
          <w:tcPr>
            <w:tcW w:w="6650" w:type="dxa"/>
            <w:vAlign w:val="top"/>
          </w:tcPr>
          <w:p w14:paraId="21D8CD99">
            <w:pPr>
              <w:pStyle w:val="6"/>
              <w:spacing w:before="72" w:line="221" w:lineRule="auto"/>
              <w:ind w:left="27"/>
              <w:rPr>
                <w:rFonts w:ascii="Times New Roman" w:hAnsi="Times New Roman" w:eastAsia="Times New Roman" w:cs="Times New Roman"/>
                <w:sz w:val="20"/>
                <w:szCs w:val="20"/>
              </w:rPr>
            </w:pPr>
            <w:r>
              <w:rPr>
                <w:spacing w:val="1"/>
                <w:sz w:val="20"/>
                <w:szCs w:val="20"/>
              </w:rPr>
              <w:t>闪点：小于</w:t>
            </w:r>
            <w:r>
              <w:rPr>
                <w:rFonts w:ascii="Times New Roman" w:hAnsi="Times New Roman" w:eastAsia="Times New Roman" w:cs="Times New Roman"/>
                <w:spacing w:val="1"/>
                <w:sz w:val="20"/>
                <w:szCs w:val="20"/>
              </w:rPr>
              <w:t>-50℃</w:t>
            </w:r>
            <w:r>
              <w:rPr>
                <w:rFonts w:ascii="Times New Roman" w:hAnsi="Times New Roman" w:eastAsia="Times New Roman" w:cs="Times New Roman"/>
                <w:spacing w:val="-9"/>
                <w:sz w:val="20"/>
                <w:szCs w:val="20"/>
              </w:rPr>
              <w:t xml:space="preserve"> </w:t>
            </w:r>
            <w:r>
              <w:rPr>
                <w:spacing w:val="1"/>
                <w:sz w:val="20"/>
                <w:szCs w:val="20"/>
              </w:rPr>
              <w:t>,</w:t>
            </w:r>
            <w:r>
              <w:rPr>
                <w:spacing w:val="60"/>
                <w:sz w:val="20"/>
                <w:szCs w:val="20"/>
              </w:rPr>
              <w:t xml:space="preserve"> </w:t>
            </w:r>
            <w:r>
              <w:rPr>
                <w:spacing w:val="1"/>
                <w:sz w:val="20"/>
                <w:szCs w:val="20"/>
              </w:rPr>
              <w:t>沸点：</w:t>
            </w:r>
            <w:r>
              <w:rPr>
                <w:rFonts w:ascii="Times New Roman" w:hAnsi="Times New Roman" w:eastAsia="Times New Roman" w:cs="Times New Roman"/>
                <w:spacing w:val="1"/>
                <w:sz w:val="20"/>
                <w:szCs w:val="20"/>
              </w:rPr>
              <w:t>-191.4℃</w:t>
            </w:r>
          </w:p>
        </w:tc>
        <w:tc>
          <w:tcPr>
            <w:tcW w:w="1208" w:type="dxa"/>
            <w:vMerge w:val="restart"/>
            <w:tcBorders>
              <w:bottom w:val="nil"/>
              <w:right w:val="nil"/>
            </w:tcBorders>
            <w:vAlign w:val="top"/>
          </w:tcPr>
          <w:p w14:paraId="21171E14">
            <w:pPr>
              <w:pStyle w:val="6"/>
              <w:spacing w:before="237" w:line="281" w:lineRule="auto"/>
              <w:ind w:left="11"/>
              <w:rPr>
                <w:sz w:val="20"/>
                <w:szCs w:val="20"/>
              </w:rPr>
            </w:pPr>
            <w:r>
              <w:rPr>
                <w:spacing w:val="-4"/>
                <w:sz w:val="20"/>
                <w:szCs w:val="20"/>
              </w:rPr>
              <w:t>第</w:t>
            </w:r>
            <w:r>
              <w:rPr>
                <w:spacing w:val="-40"/>
                <w:sz w:val="20"/>
                <w:szCs w:val="20"/>
              </w:rPr>
              <w:t xml:space="preserve"> </w:t>
            </w:r>
            <w:r>
              <w:rPr>
                <w:rFonts w:ascii="Times New Roman" w:hAnsi="Times New Roman" w:eastAsia="Times New Roman" w:cs="Times New Roman"/>
                <w:spacing w:val="-4"/>
                <w:sz w:val="20"/>
                <w:szCs w:val="20"/>
              </w:rPr>
              <w:t>2.</w:t>
            </w:r>
            <w:r>
              <w:rPr>
                <w:rFonts w:ascii="Times New Roman" w:hAnsi="Times New Roman" w:eastAsia="Times New Roman" w:cs="Times New Roman"/>
                <w:spacing w:val="-26"/>
                <w:sz w:val="20"/>
                <w:szCs w:val="20"/>
              </w:rPr>
              <w:t xml:space="preserve"> </w:t>
            </w:r>
            <w:r>
              <w:rPr>
                <w:rFonts w:ascii="Times New Roman" w:hAnsi="Times New Roman" w:eastAsia="Times New Roman" w:cs="Times New Roman"/>
                <w:spacing w:val="-4"/>
                <w:sz w:val="20"/>
                <w:szCs w:val="20"/>
              </w:rPr>
              <w:t xml:space="preserve">1 </w:t>
            </w:r>
            <w:r>
              <w:rPr>
                <w:spacing w:val="-4"/>
                <w:sz w:val="20"/>
                <w:szCs w:val="20"/>
              </w:rPr>
              <w:t>类，易</w:t>
            </w:r>
            <w:r>
              <w:rPr>
                <w:sz w:val="20"/>
                <w:szCs w:val="20"/>
              </w:rPr>
              <w:t xml:space="preserve"> </w:t>
            </w:r>
            <w:r>
              <w:rPr>
                <w:spacing w:val="-2"/>
                <w:sz w:val="20"/>
                <w:szCs w:val="20"/>
              </w:rPr>
              <w:t>燃气体（主）</w:t>
            </w:r>
          </w:p>
        </w:tc>
      </w:tr>
      <w:tr w14:paraId="7DD189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1" w:hRule="atLeast"/>
        </w:trPr>
        <w:tc>
          <w:tcPr>
            <w:tcW w:w="1208" w:type="dxa"/>
            <w:vMerge w:val="continue"/>
            <w:tcBorders>
              <w:top w:val="nil"/>
              <w:left w:val="nil"/>
              <w:bottom w:val="single" w:color="000000" w:sz="10" w:space="0"/>
            </w:tcBorders>
            <w:vAlign w:val="top"/>
          </w:tcPr>
          <w:p w14:paraId="5E98452D">
            <w:pPr>
              <w:rPr>
                <w:rFonts w:ascii="Arial"/>
                <w:sz w:val="21"/>
              </w:rPr>
            </w:pPr>
          </w:p>
        </w:tc>
        <w:tc>
          <w:tcPr>
            <w:tcW w:w="6650" w:type="dxa"/>
            <w:tcBorders>
              <w:bottom w:val="single" w:color="000000" w:sz="10" w:space="0"/>
            </w:tcBorders>
            <w:vAlign w:val="top"/>
          </w:tcPr>
          <w:p w14:paraId="4E4FC22A">
            <w:pPr>
              <w:pStyle w:val="6"/>
              <w:spacing w:before="74" w:line="266" w:lineRule="auto"/>
              <w:ind w:left="24" w:right="3" w:hanging="12"/>
              <w:rPr>
                <w:sz w:val="20"/>
                <w:szCs w:val="20"/>
              </w:rPr>
            </w:pPr>
            <w:r>
              <w:rPr>
                <w:spacing w:val="7"/>
                <w:sz w:val="20"/>
                <w:szCs w:val="20"/>
              </w:rPr>
              <w:t>是一种易燃易爆气体。与空气混合能形成爆炸性混合物，遇明火、高热能</w:t>
            </w:r>
            <w:r>
              <w:rPr>
                <w:sz w:val="20"/>
                <w:szCs w:val="20"/>
              </w:rPr>
              <w:t xml:space="preserve"> </w:t>
            </w:r>
            <w:r>
              <w:rPr>
                <w:spacing w:val="4"/>
                <w:sz w:val="20"/>
                <w:szCs w:val="20"/>
              </w:rPr>
              <w:t>引起燃烧爆炸。</w:t>
            </w:r>
          </w:p>
        </w:tc>
        <w:tc>
          <w:tcPr>
            <w:tcW w:w="1208" w:type="dxa"/>
            <w:vMerge w:val="continue"/>
            <w:tcBorders>
              <w:top w:val="nil"/>
              <w:bottom w:val="single" w:color="000000" w:sz="10" w:space="0"/>
              <w:right w:val="nil"/>
            </w:tcBorders>
            <w:vAlign w:val="top"/>
          </w:tcPr>
          <w:p w14:paraId="2611B287">
            <w:pPr>
              <w:rPr>
                <w:rFonts w:ascii="Arial"/>
                <w:sz w:val="21"/>
              </w:rPr>
            </w:pPr>
          </w:p>
        </w:tc>
      </w:tr>
    </w:tbl>
    <w:p w14:paraId="082F21BC">
      <w:pPr>
        <w:spacing w:before="179" w:line="220" w:lineRule="auto"/>
        <w:ind w:left="8"/>
        <w:outlineLvl w:val="2"/>
        <w:rPr>
          <w:rFonts w:ascii="宋体" w:hAnsi="宋体" w:eastAsia="宋体" w:cs="宋体"/>
          <w:sz w:val="28"/>
          <w:szCs w:val="28"/>
        </w:rPr>
      </w:pPr>
      <w:bookmarkStart w:id="400" w:name="bookmark268"/>
      <w:bookmarkEnd w:id="400"/>
      <w:r>
        <w:rPr>
          <w:rFonts w:ascii="Times New Roman" w:hAnsi="Times New Roman" w:eastAsia="Times New Roman" w:cs="Times New Roman"/>
          <w:b/>
          <w:bCs/>
          <w:spacing w:val="-2"/>
          <w:sz w:val="28"/>
          <w:szCs w:val="28"/>
        </w:rPr>
        <w:t xml:space="preserve">5.3.2 </w:t>
      </w:r>
      <w:r>
        <w:rPr>
          <w:rFonts w:ascii="宋体" w:hAnsi="宋体" w:eastAsia="宋体" w:cs="宋体"/>
          <w:b/>
          <w:bCs/>
          <w:spacing w:val="-2"/>
          <w:sz w:val="28"/>
          <w:szCs w:val="28"/>
        </w:rPr>
        <w:t>生产过程潜在风险识别</w:t>
      </w:r>
    </w:p>
    <w:p w14:paraId="0540DBA5">
      <w:pPr>
        <w:spacing w:before="243" w:line="219" w:lineRule="auto"/>
        <w:ind w:left="488"/>
        <w:rPr>
          <w:rFonts w:ascii="宋体" w:hAnsi="宋体" w:eastAsia="宋体" w:cs="宋体"/>
          <w:sz w:val="24"/>
          <w:szCs w:val="24"/>
        </w:rPr>
      </w:pPr>
      <w:r>
        <w:rPr>
          <w:rFonts w:ascii="宋体" w:hAnsi="宋体" w:eastAsia="宋体" w:cs="宋体"/>
          <w:spacing w:val="-1"/>
          <w:sz w:val="24"/>
          <w:szCs w:val="24"/>
        </w:rPr>
        <w:t>根据本项目工程特点，对生产过程可能发生的危险因素分析见表</w:t>
      </w:r>
      <w:r>
        <w:rPr>
          <w:rFonts w:ascii="宋体" w:hAnsi="宋体" w:eastAsia="宋体" w:cs="宋体"/>
          <w:spacing w:val="-38"/>
          <w:sz w:val="24"/>
          <w:szCs w:val="24"/>
        </w:rPr>
        <w:t xml:space="preserve"> </w:t>
      </w:r>
      <w:r>
        <w:rPr>
          <w:rFonts w:ascii="Times New Roman" w:hAnsi="Times New Roman" w:eastAsia="Times New Roman" w:cs="Times New Roman"/>
          <w:spacing w:val="-1"/>
          <w:sz w:val="24"/>
          <w:szCs w:val="24"/>
        </w:rPr>
        <w:t>5.3-2</w:t>
      </w:r>
      <w:r>
        <w:rPr>
          <w:rFonts w:ascii="宋体" w:hAnsi="宋体" w:eastAsia="宋体" w:cs="宋体"/>
          <w:spacing w:val="-1"/>
          <w:sz w:val="24"/>
          <w:szCs w:val="24"/>
        </w:rPr>
        <w:t>。</w:t>
      </w:r>
    </w:p>
    <w:p w14:paraId="0D8561A7">
      <w:pPr>
        <w:spacing w:before="210" w:line="228" w:lineRule="auto"/>
        <w:ind w:left="2718"/>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5.3-2        </w:t>
      </w:r>
      <w:r>
        <w:rPr>
          <w:rFonts w:ascii="宋体" w:hAnsi="宋体" w:eastAsia="宋体" w:cs="宋体"/>
          <w:b/>
          <w:bCs/>
          <w:spacing w:val="5"/>
          <w:sz w:val="20"/>
          <w:szCs w:val="20"/>
        </w:rPr>
        <w:t>生产过程主要风险因素分析</w:t>
      </w:r>
    </w:p>
    <w:p w14:paraId="4F751665">
      <w:pPr>
        <w:spacing w:line="98" w:lineRule="exact"/>
      </w:pPr>
    </w:p>
    <w:tbl>
      <w:tblPr>
        <w:tblStyle w:val="5"/>
        <w:tblW w:w="9067"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01"/>
        <w:gridCol w:w="1495"/>
        <w:gridCol w:w="6471"/>
      </w:tblGrid>
      <w:tr w14:paraId="79C3DB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01" w:type="dxa"/>
            <w:tcBorders>
              <w:top w:val="single" w:color="000000" w:sz="10" w:space="0"/>
              <w:left w:val="nil"/>
            </w:tcBorders>
            <w:vAlign w:val="top"/>
          </w:tcPr>
          <w:p w14:paraId="50A5A86C">
            <w:pPr>
              <w:pStyle w:val="6"/>
              <w:spacing w:before="58" w:line="228" w:lineRule="auto"/>
              <w:ind w:left="134"/>
              <w:rPr>
                <w:sz w:val="20"/>
                <w:szCs w:val="20"/>
              </w:rPr>
            </w:pPr>
            <w:r>
              <w:rPr>
                <w:b/>
                <w:bCs/>
                <w:spacing w:val="6"/>
                <w:sz w:val="20"/>
                <w:szCs w:val="20"/>
              </w:rPr>
              <w:t>事故环节</w:t>
            </w:r>
          </w:p>
        </w:tc>
        <w:tc>
          <w:tcPr>
            <w:tcW w:w="1495" w:type="dxa"/>
            <w:tcBorders>
              <w:top w:val="single" w:color="000000" w:sz="10" w:space="0"/>
            </w:tcBorders>
            <w:vAlign w:val="top"/>
          </w:tcPr>
          <w:p w14:paraId="481368C6">
            <w:pPr>
              <w:pStyle w:val="6"/>
              <w:spacing w:before="57" w:line="228" w:lineRule="auto"/>
              <w:ind w:left="540"/>
              <w:rPr>
                <w:sz w:val="20"/>
                <w:szCs w:val="20"/>
              </w:rPr>
            </w:pPr>
            <w:r>
              <w:rPr>
                <w:b/>
                <w:bCs/>
                <w:spacing w:val="3"/>
                <w:sz w:val="20"/>
                <w:szCs w:val="20"/>
              </w:rPr>
              <w:t>类型</w:t>
            </w:r>
          </w:p>
        </w:tc>
        <w:tc>
          <w:tcPr>
            <w:tcW w:w="6471" w:type="dxa"/>
            <w:tcBorders>
              <w:top w:val="single" w:color="000000" w:sz="10" w:space="0"/>
              <w:right w:val="nil"/>
            </w:tcBorders>
            <w:vAlign w:val="top"/>
          </w:tcPr>
          <w:p w14:paraId="7F2802D5">
            <w:pPr>
              <w:pStyle w:val="6"/>
              <w:spacing w:before="58" w:line="228" w:lineRule="auto"/>
              <w:ind w:left="2823"/>
              <w:rPr>
                <w:sz w:val="20"/>
                <w:szCs w:val="20"/>
              </w:rPr>
            </w:pPr>
            <w:r>
              <w:rPr>
                <w:b/>
                <w:bCs/>
                <w:spacing w:val="6"/>
                <w:sz w:val="20"/>
                <w:szCs w:val="20"/>
              </w:rPr>
              <w:t>事故原因</w:t>
            </w:r>
          </w:p>
        </w:tc>
      </w:tr>
      <w:tr w14:paraId="7BCAB8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101" w:type="dxa"/>
            <w:vMerge w:val="restart"/>
            <w:tcBorders>
              <w:left w:val="nil"/>
              <w:bottom w:val="nil"/>
            </w:tcBorders>
            <w:vAlign w:val="top"/>
          </w:tcPr>
          <w:p w14:paraId="3CB6244B">
            <w:pPr>
              <w:spacing w:line="333" w:lineRule="auto"/>
              <w:rPr>
                <w:rFonts w:ascii="Arial"/>
                <w:sz w:val="21"/>
              </w:rPr>
            </w:pPr>
          </w:p>
          <w:p w14:paraId="4ED348E0">
            <w:pPr>
              <w:pStyle w:val="6"/>
              <w:spacing w:before="65" w:line="228" w:lineRule="auto"/>
              <w:ind w:left="345"/>
              <w:rPr>
                <w:sz w:val="20"/>
                <w:szCs w:val="20"/>
              </w:rPr>
            </w:pPr>
            <w:r>
              <w:rPr>
                <w:spacing w:val="5"/>
                <w:sz w:val="20"/>
                <w:szCs w:val="20"/>
              </w:rPr>
              <w:t>储存</w:t>
            </w:r>
          </w:p>
        </w:tc>
        <w:tc>
          <w:tcPr>
            <w:tcW w:w="1495" w:type="dxa"/>
            <w:vAlign w:val="top"/>
          </w:tcPr>
          <w:p w14:paraId="2EECE72D">
            <w:pPr>
              <w:pStyle w:val="6"/>
              <w:spacing w:before="62" w:line="229" w:lineRule="auto"/>
              <w:ind w:left="546"/>
              <w:rPr>
                <w:sz w:val="20"/>
                <w:szCs w:val="20"/>
              </w:rPr>
            </w:pPr>
            <w:r>
              <w:rPr>
                <w:spacing w:val="3"/>
                <w:sz w:val="20"/>
                <w:szCs w:val="20"/>
              </w:rPr>
              <w:t>泄漏</w:t>
            </w:r>
          </w:p>
        </w:tc>
        <w:tc>
          <w:tcPr>
            <w:tcW w:w="6471" w:type="dxa"/>
            <w:tcBorders>
              <w:right w:val="nil"/>
            </w:tcBorders>
            <w:vAlign w:val="top"/>
          </w:tcPr>
          <w:p w14:paraId="2DDDDEB2">
            <w:pPr>
              <w:pStyle w:val="6"/>
              <w:spacing w:before="61" w:line="227" w:lineRule="auto"/>
              <w:ind w:left="637"/>
              <w:rPr>
                <w:sz w:val="20"/>
                <w:szCs w:val="20"/>
              </w:rPr>
            </w:pPr>
            <w:r>
              <w:rPr>
                <w:spacing w:val="9"/>
                <w:sz w:val="20"/>
                <w:szCs w:val="20"/>
              </w:rPr>
              <w:t>阀门破损、设备损坏，违章操作，安全阀及控</w:t>
            </w:r>
            <w:r>
              <w:rPr>
                <w:spacing w:val="8"/>
                <w:sz w:val="20"/>
                <w:szCs w:val="20"/>
              </w:rPr>
              <w:t>制系统失灵</w:t>
            </w:r>
          </w:p>
        </w:tc>
      </w:tr>
      <w:tr w14:paraId="4F5FD5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101" w:type="dxa"/>
            <w:vMerge w:val="continue"/>
            <w:tcBorders>
              <w:top w:val="nil"/>
              <w:left w:val="nil"/>
              <w:bottom w:val="nil"/>
            </w:tcBorders>
            <w:vAlign w:val="top"/>
          </w:tcPr>
          <w:p w14:paraId="513CB10F">
            <w:pPr>
              <w:rPr>
                <w:rFonts w:ascii="Arial"/>
                <w:sz w:val="21"/>
              </w:rPr>
            </w:pPr>
          </w:p>
        </w:tc>
        <w:tc>
          <w:tcPr>
            <w:tcW w:w="1495" w:type="dxa"/>
            <w:vAlign w:val="top"/>
          </w:tcPr>
          <w:p w14:paraId="71DD886D">
            <w:pPr>
              <w:pStyle w:val="6"/>
              <w:spacing w:before="63" w:line="228" w:lineRule="auto"/>
              <w:ind w:left="562"/>
              <w:rPr>
                <w:sz w:val="20"/>
                <w:szCs w:val="20"/>
              </w:rPr>
            </w:pPr>
            <w:r>
              <w:rPr>
                <w:spacing w:val="-5"/>
                <w:sz w:val="20"/>
                <w:szCs w:val="20"/>
              </w:rPr>
              <w:t>中毒</w:t>
            </w:r>
          </w:p>
        </w:tc>
        <w:tc>
          <w:tcPr>
            <w:tcW w:w="6471" w:type="dxa"/>
            <w:tcBorders>
              <w:right w:val="nil"/>
            </w:tcBorders>
            <w:vAlign w:val="top"/>
          </w:tcPr>
          <w:p w14:paraId="2E84ED6B">
            <w:pPr>
              <w:pStyle w:val="6"/>
              <w:spacing w:before="63" w:line="228" w:lineRule="auto"/>
              <w:ind w:left="1672"/>
              <w:rPr>
                <w:sz w:val="20"/>
                <w:szCs w:val="20"/>
              </w:rPr>
            </w:pPr>
            <w:r>
              <w:rPr>
                <w:spacing w:val="9"/>
                <w:sz w:val="20"/>
                <w:szCs w:val="20"/>
              </w:rPr>
              <w:t>泄漏导致储存场所有害物浓度超标</w:t>
            </w:r>
          </w:p>
        </w:tc>
      </w:tr>
      <w:tr w14:paraId="713CEE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101" w:type="dxa"/>
            <w:vMerge w:val="continue"/>
            <w:tcBorders>
              <w:top w:val="nil"/>
              <w:left w:val="nil"/>
            </w:tcBorders>
            <w:vAlign w:val="top"/>
          </w:tcPr>
          <w:p w14:paraId="1BE54E73">
            <w:pPr>
              <w:rPr>
                <w:rFonts w:ascii="Arial"/>
                <w:sz w:val="21"/>
              </w:rPr>
            </w:pPr>
          </w:p>
        </w:tc>
        <w:tc>
          <w:tcPr>
            <w:tcW w:w="1495" w:type="dxa"/>
            <w:vAlign w:val="top"/>
          </w:tcPr>
          <w:p w14:paraId="76B94F6A">
            <w:pPr>
              <w:pStyle w:val="6"/>
              <w:spacing w:before="67" w:line="226" w:lineRule="auto"/>
              <w:ind w:left="228"/>
              <w:rPr>
                <w:sz w:val="20"/>
                <w:szCs w:val="20"/>
              </w:rPr>
            </w:pPr>
            <w:r>
              <w:rPr>
                <w:spacing w:val="7"/>
                <w:sz w:val="20"/>
                <w:szCs w:val="20"/>
              </w:rPr>
              <w:t>火灾、爆炸</w:t>
            </w:r>
          </w:p>
        </w:tc>
        <w:tc>
          <w:tcPr>
            <w:tcW w:w="6471" w:type="dxa"/>
            <w:tcBorders>
              <w:right w:val="nil"/>
            </w:tcBorders>
            <w:vAlign w:val="top"/>
          </w:tcPr>
          <w:p w14:paraId="3A46DE1E">
            <w:pPr>
              <w:pStyle w:val="6"/>
              <w:spacing w:before="66" w:line="228" w:lineRule="auto"/>
              <w:ind w:left="1668"/>
              <w:rPr>
                <w:sz w:val="20"/>
                <w:szCs w:val="20"/>
              </w:rPr>
            </w:pPr>
            <w:r>
              <w:rPr>
                <w:spacing w:val="9"/>
                <w:sz w:val="20"/>
                <w:szCs w:val="20"/>
              </w:rPr>
              <w:t>储罐、气柜遇泄漏、雷击、明火等</w:t>
            </w:r>
          </w:p>
        </w:tc>
      </w:tr>
      <w:tr w14:paraId="470F0F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101" w:type="dxa"/>
            <w:vMerge w:val="restart"/>
            <w:tcBorders>
              <w:left w:val="nil"/>
              <w:bottom w:val="nil"/>
            </w:tcBorders>
            <w:vAlign w:val="top"/>
          </w:tcPr>
          <w:p w14:paraId="5488AE58">
            <w:pPr>
              <w:spacing w:line="255" w:lineRule="auto"/>
              <w:rPr>
                <w:rFonts w:ascii="Arial"/>
                <w:sz w:val="21"/>
              </w:rPr>
            </w:pPr>
          </w:p>
          <w:p w14:paraId="11870764">
            <w:pPr>
              <w:spacing w:line="256" w:lineRule="auto"/>
              <w:rPr>
                <w:rFonts w:ascii="Arial"/>
                <w:sz w:val="21"/>
              </w:rPr>
            </w:pPr>
          </w:p>
          <w:p w14:paraId="32FD31CD">
            <w:pPr>
              <w:pStyle w:val="6"/>
              <w:spacing w:before="65" w:line="228" w:lineRule="auto"/>
              <w:ind w:left="347"/>
              <w:rPr>
                <w:sz w:val="20"/>
                <w:szCs w:val="20"/>
              </w:rPr>
            </w:pPr>
            <w:r>
              <w:rPr>
                <w:spacing w:val="3"/>
                <w:sz w:val="20"/>
                <w:szCs w:val="20"/>
              </w:rPr>
              <w:t>生产</w:t>
            </w:r>
          </w:p>
        </w:tc>
        <w:tc>
          <w:tcPr>
            <w:tcW w:w="1495" w:type="dxa"/>
            <w:vAlign w:val="top"/>
          </w:tcPr>
          <w:p w14:paraId="43050DEE">
            <w:pPr>
              <w:pStyle w:val="6"/>
              <w:spacing w:before="71" w:line="229" w:lineRule="auto"/>
              <w:ind w:left="546"/>
              <w:rPr>
                <w:sz w:val="20"/>
                <w:szCs w:val="20"/>
              </w:rPr>
            </w:pPr>
            <w:r>
              <w:rPr>
                <w:spacing w:val="3"/>
                <w:sz w:val="20"/>
                <w:szCs w:val="20"/>
              </w:rPr>
              <w:t>泄漏</w:t>
            </w:r>
          </w:p>
        </w:tc>
        <w:tc>
          <w:tcPr>
            <w:tcW w:w="6471" w:type="dxa"/>
            <w:tcBorders>
              <w:right w:val="nil"/>
            </w:tcBorders>
            <w:vAlign w:val="top"/>
          </w:tcPr>
          <w:p w14:paraId="09646A14">
            <w:pPr>
              <w:pStyle w:val="6"/>
              <w:spacing w:before="70" w:line="228" w:lineRule="auto"/>
              <w:ind w:left="2408"/>
              <w:rPr>
                <w:sz w:val="20"/>
                <w:szCs w:val="20"/>
              </w:rPr>
            </w:pPr>
            <w:r>
              <w:rPr>
                <w:spacing w:val="8"/>
                <w:sz w:val="20"/>
                <w:szCs w:val="20"/>
              </w:rPr>
              <w:t>管线、阀门损坏等</w:t>
            </w:r>
          </w:p>
        </w:tc>
      </w:tr>
      <w:tr w14:paraId="742C0A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101" w:type="dxa"/>
            <w:vMerge w:val="continue"/>
            <w:tcBorders>
              <w:top w:val="nil"/>
              <w:left w:val="nil"/>
              <w:bottom w:val="nil"/>
            </w:tcBorders>
            <w:vAlign w:val="top"/>
          </w:tcPr>
          <w:p w14:paraId="0A7604A5">
            <w:pPr>
              <w:rPr>
                <w:rFonts w:ascii="Arial"/>
                <w:sz w:val="21"/>
              </w:rPr>
            </w:pPr>
          </w:p>
        </w:tc>
        <w:tc>
          <w:tcPr>
            <w:tcW w:w="1495" w:type="dxa"/>
            <w:vAlign w:val="top"/>
          </w:tcPr>
          <w:p w14:paraId="531A448A">
            <w:pPr>
              <w:pStyle w:val="6"/>
              <w:spacing w:before="72" w:line="228" w:lineRule="auto"/>
              <w:ind w:left="562"/>
              <w:rPr>
                <w:sz w:val="20"/>
                <w:szCs w:val="20"/>
              </w:rPr>
            </w:pPr>
            <w:r>
              <w:rPr>
                <w:spacing w:val="-5"/>
                <w:sz w:val="20"/>
                <w:szCs w:val="20"/>
              </w:rPr>
              <w:t>中毒</w:t>
            </w:r>
          </w:p>
        </w:tc>
        <w:tc>
          <w:tcPr>
            <w:tcW w:w="6471" w:type="dxa"/>
            <w:tcBorders>
              <w:right w:val="nil"/>
            </w:tcBorders>
            <w:vAlign w:val="top"/>
          </w:tcPr>
          <w:p w14:paraId="1E0FC5ED">
            <w:pPr>
              <w:pStyle w:val="6"/>
              <w:spacing w:before="72" w:line="228" w:lineRule="auto"/>
              <w:ind w:left="629"/>
              <w:rPr>
                <w:sz w:val="20"/>
                <w:szCs w:val="20"/>
              </w:rPr>
            </w:pPr>
            <w:r>
              <w:rPr>
                <w:spacing w:val="12"/>
                <w:sz w:val="20"/>
                <w:szCs w:val="20"/>
              </w:rPr>
              <w:t>物料泄漏导致车间或局部地区</w:t>
            </w:r>
            <w:r>
              <w:rPr>
                <w:rFonts w:ascii="Times New Roman" w:hAnsi="Times New Roman" w:eastAsia="Times New Roman" w:cs="Times New Roman"/>
                <w:sz w:val="20"/>
                <w:szCs w:val="20"/>
              </w:rPr>
              <w:t>CO</w:t>
            </w:r>
            <w:r>
              <w:rPr>
                <w:rFonts w:ascii="Times New Roman" w:hAnsi="Times New Roman" w:eastAsia="Times New Roman" w:cs="Times New Roman"/>
                <w:spacing w:val="12"/>
                <w:sz w:val="20"/>
                <w:szCs w:val="20"/>
              </w:rPr>
              <w:t xml:space="preserve"> </w:t>
            </w:r>
            <w:r>
              <w:rPr>
                <w:spacing w:val="12"/>
                <w:sz w:val="20"/>
                <w:szCs w:val="20"/>
              </w:rPr>
              <w:t>浓度超标造成人员中毒</w:t>
            </w:r>
          </w:p>
        </w:tc>
      </w:tr>
      <w:tr w14:paraId="727968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1101" w:type="dxa"/>
            <w:vMerge w:val="continue"/>
            <w:tcBorders>
              <w:top w:val="nil"/>
              <w:left w:val="nil"/>
              <w:bottom w:val="nil"/>
            </w:tcBorders>
            <w:vAlign w:val="top"/>
          </w:tcPr>
          <w:p w14:paraId="0DA39E35">
            <w:pPr>
              <w:rPr>
                <w:rFonts w:ascii="Arial"/>
                <w:sz w:val="21"/>
              </w:rPr>
            </w:pPr>
          </w:p>
        </w:tc>
        <w:tc>
          <w:tcPr>
            <w:tcW w:w="1495" w:type="dxa"/>
            <w:vAlign w:val="top"/>
          </w:tcPr>
          <w:p w14:paraId="0F6F9AE1">
            <w:pPr>
              <w:pStyle w:val="6"/>
              <w:spacing w:before="76" w:line="227" w:lineRule="auto"/>
              <w:ind w:left="547"/>
              <w:rPr>
                <w:sz w:val="20"/>
                <w:szCs w:val="20"/>
              </w:rPr>
            </w:pPr>
            <w:r>
              <w:rPr>
                <w:spacing w:val="2"/>
                <w:sz w:val="20"/>
                <w:szCs w:val="20"/>
              </w:rPr>
              <w:t>烫伤</w:t>
            </w:r>
          </w:p>
        </w:tc>
        <w:tc>
          <w:tcPr>
            <w:tcW w:w="6471" w:type="dxa"/>
            <w:tcBorders>
              <w:right w:val="nil"/>
            </w:tcBorders>
            <w:vAlign w:val="top"/>
          </w:tcPr>
          <w:p w14:paraId="7712A0DC">
            <w:pPr>
              <w:pStyle w:val="6"/>
              <w:spacing w:before="76" w:line="227" w:lineRule="auto"/>
              <w:ind w:left="1775"/>
              <w:rPr>
                <w:sz w:val="20"/>
                <w:szCs w:val="20"/>
              </w:rPr>
            </w:pPr>
            <w:r>
              <w:rPr>
                <w:spacing w:val="9"/>
                <w:sz w:val="20"/>
                <w:szCs w:val="20"/>
              </w:rPr>
              <w:t>保温失效、冷却系统工作异常等</w:t>
            </w:r>
          </w:p>
        </w:tc>
      </w:tr>
      <w:tr w14:paraId="3E00A9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1101" w:type="dxa"/>
            <w:vMerge w:val="continue"/>
            <w:tcBorders>
              <w:top w:val="nil"/>
              <w:left w:val="nil"/>
            </w:tcBorders>
            <w:vAlign w:val="top"/>
          </w:tcPr>
          <w:p w14:paraId="493585B2">
            <w:pPr>
              <w:rPr>
                <w:rFonts w:ascii="Arial"/>
                <w:sz w:val="21"/>
              </w:rPr>
            </w:pPr>
          </w:p>
        </w:tc>
        <w:tc>
          <w:tcPr>
            <w:tcW w:w="1495" w:type="dxa"/>
            <w:vAlign w:val="top"/>
          </w:tcPr>
          <w:p w14:paraId="16F0A095">
            <w:pPr>
              <w:pStyle w:val="6"/>
              <w:spacing w:before="80" w:line="224" w:lineRule="auto"/>
              <w:ind w:left="228"/>
              <w:rPr>
                <w:sz w:val="20"/>
                <w:szCs w:val="20"/>
              </w:rPr>
            </w:pPr>
            <w:r>
              <w:rPr>
                <w:spacing w:val="7"/>
                <w:sz w:val="20"/>
                <w:szCs w:val="20"/>
              </w:rPr>
              <w:t>火灾、爆炸</w:t>
            </w:r>
          </w:p>
        </w:tc>
        <w:tc>
          <w:tcPr>
            <w:tcW w:w="6471" w:type="dxa"/>
            <w:tcBorders>
              <w:right w:val="nil"/>
            </w:tcBorders>
            <w:vAlign w:val="top"/>
          </w:tcPr>
          <w:p w14:paraId="0AAEFCC0">
            <w:pPr>
              <w:pStyle w:val="6"/>
              <w:spacing w:before="80" w:line="224" w:lineRule="auto"/>
              <w:ind w:left="1566"/>
              <w:rPr>
                <w:sz w:val="20"/>
                <w:szCs w:val="20"/>
              </w:rPr>
            </w:pPr>
            <w:r>
              <w:rPr>
                <w:spacing w:val="9"/>
                <w:sz w:val="20"/>
                <w:szCs w:val="20"/>
              </w:rPr>
              <w:t>设备损坏泄漏、遇明火，物料高温等</w:t>
            </w:r>
          </w:p>
        </w:tc>
      </w:tr>
      <w:tr w14:paraId="685CAF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 w:hRule="atLeast"/>
        </w:trPr>
        <w:tc>
          <w:tcPr>
            <w:tcW w:w="1101" w:type="dxa"/>
            <w:tcBorders>
              <w:left w:val="nil"/>
              <w:bottom w:val="single" w:color="000000" w:sz="10" w:space="0"/>
            </w:tcBorders>
            <w:vAlign w:val="top"/>
          </w:tcPr>
          <w:p w14:paraId="36E99BBC">
            <w:pPr>
              <w:pStyle w:val="6"/>
              <w:spacing w:before="80" w:line="228" w:lineRule="auto"/>
              <w:ind w:left="345"/>
              <w:rPr>
                <w:sz w:val="20"/>
                <w:szCs w:val="20"/>
              </w:rPr>
            </w:pPr>
            <w:r>
              <w:rPr>
                <w:spacing w:val="4"/>
                <w:sz w:val="20"/>
                <w:szCs w:val="20"/>
              </w:rPr>
              <w:t>运输</w:t>
            </w:r>
          </w:p>
        </w:tc>
        <w:tc>
          <w:tcPr>
            <w:tcW w:w="1495" w:type="dxa"/>
            <w:tcBorders>
              <w:bottom w:val="single" w:color="000000" w:sz="10" w:space="0"/>
            </w:tcBorders>
            <w:vAlign w:val="top"/>
          </w:tcPr>
          <w:p w14:paraId="1ACD72DD">
            <w:pPr>
              <w:pStyle w:val="6"/>
              <w:spacing w:before="80" w:line="229" w:lineRule="auto"/>
              <w:ind w:left="546"/>
              <w:rPr>
                <w:sz w:val="20"/>
                <w:szCs w:val="20"/>
              </w:rPr>
            </w:pPr>
            <w:r>
              <w:rPr>
                <w:spacing w:val="3"/>
                <w:sz w:val="20"/>
                <w:szCs w:val="20"/>
              </w:rPr>
              <w:t>泄漏</w:t>
            </w:r>
          </w:p>
        </w:tc>
        <w:tc>
          <w:tcPr>
            <w:tcW w:w="6471" w:type="dxa"/>
            <w:tcBorders>
              <w:bottom w:val="single" w:color="000000" w:sz="10" w:space="0"/>
              <w:right w:val="nil"/>
            </w:tcBorders>
            <w:vAlign w:val="top"/>
          </w:tcPr>
          <w:p w14:paraId="10E21880">
            <w:pPr>
              <w:pStyle w:val="6"/>
              <w:spacing w:before="80" w:line="228" w:lineRule="auto"/>
              <w:ind w:left="2199"/>
              <w:rPr>
                <w:sz w:val="20"/>
                <w:szCs w:val="20"/>
              </w:rPr>
            </w:pPr>
            <w:r>
              <w:rPr>
                <w:spacing w:val="8"/>
                <w:sz w:val="20"/>
                <w:szCs w:val="20"/>
              </w:rPr>
              <w:t>管线破损、操作不当等</w:t>
            </w:r>
          </w:p>
        </w:tc>
      </w:tr>
    </w:tbl>
    <w:p w14:paraId="50B4E4CA">
      <w:pPr>
        <w:spacing w:before="121" w:line="219" w:lineRule="auto"/>
        <w:ind w:left="7"/>
        <w:outlineLvl w:val="3"/>
        <w:rPr>
          <w:rFonts w:ascii="宋体" w:hAnsi="宋体" w:eastAsia="宋体" w:cs="宋体"/>
          <w:sz w:val="24"/>
          <w:szCs w:val="24"/>
        </w:rPr>
      </w:pPr>
      <w:r>
        <w:fldChar w:fldCharType="begin"/>
      </w:r>
      <w:r>
        <w:instrText xml:space="preserve"> HYPERLINK "5.3.2.1" </w:instrText>
      </w:r>
      <w:r>
        <w:fldChar w:fldCharType="separate"/>
      </w:r>
      <w:r>
        <w:rPr>
          <w:rFonts w:ascii="Times New Roman" w:hAnsi="Times New Roman" w:eastAsia="Times New Roman" w:cs="Times New Roman"/>
          <w:b/>
          <w:bCs/>
          <w:spacing w:val="-2"/>
          <w:sz w:val="24"/>
          <w:szCs w:val="24"/>
        </w:rPr>
        <w:t>5.3.2.1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物料储存过程风险识别</w:t>
      </w:r>
    </w:p>
    <w:p w14:paraId="0EBCA2C5">
      <w:pPr>
        <w:spacing w:before="193" w:line="219" w:lineRule="auto"/>
        <w:ind w:left="492"/>
        <w:rPr>
          <w:rFonts w:ascii="宋体" w:hAnsi="宋体" w:eastAsia="宋体" w:cs="宋体"/>
          <w:sz w:val="24"/>
          <w:szCs w:val="24"/>
        </w:rPr>
      </w:pPr>
      <w:r>
        <w:rPr>
          <w:rFonts w:ascii="宋体" w:hAnsi="宋体" w:eastAsia="宋体" w:cs="宋体"/>
          <w:spacing w:val="-1"/>
          <w:sz w:val="24"/>
          <w:szCs w:val="24"/>
        </w:rPr>
        <w:t>项目涉及到的危险物质最大储存量、储存过程潜在风险见表</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5.3-3</w:t>
      </w:r>
      <w:r>
        <w:rPr>
          <w:rFonts w:ascii="宋体" w:hAnsi="宋体" w:eastAsia="宋体" w:cs="宋体"/>
          <w:spacing w:val="-1"/>
          <w:sz w:val="24"/>
          <w:szCs w:val="24"/>
        </w:rPr>
        <w:t>。</w:t>
      </w:r>
    </w:p>
    <w:p w14:paraId="48DAE7AB">
      <w:pPr>
        <w:spacing w:before="207" w:line="228" w:lineRule="auto"/>
        <w:ind w:left="2927"/>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5.3-3        </w:t>
      </w:r>
      <w:r>
        <w:rPr>
          <w:rFonts w:ascii="宋体" w:hAnsi="宋体" w:eastAsia="宋体" w:cs="宋体"/>
          <w:b/>
          <w:bCs/>
          <w:spacing w:val="5"/>
          <w:sz w:val="20"/>
          <w:szCs w:val="20"/>
        </w:rPr>
        <w:t>物料储存过程风</w:t>
      </w:r>
      <w:r>
        <w:rPr>
          <w:rFonts w:ascii="宋体" w:hAnsi="宋体" w:eastAsia="宋体" w:cs="宋体"/>
          <w:b/>
          <w:bCs/>
          <w:spacing w:val="4"/>
          <w:sz w:val="20"/>
          <w:szCs w:val="20"/>
        </w:rPr>
        <w:t>险识别</w:t>
      </w:r>
    </w:p>
    <w:p w14:paraId="48B0999B">
      <w:pPr>
        <w:spacing w:line="99"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1"/>
        <w:gridCol w:w="1507"/>
        <w:gridCol w:w="2139"/>
        <w:gridCol w:w="2990"/>
        <w:gridCol w:w="1835"/>
      </w:tblGrid>
      <w:tr w14:paraId="687084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601" w:type="dxa"/>
            <w:tcBorders>
              <w:top w:val="single" w:color="000000" w:sz="10" w:space="0"/>
              <w:left w:val="nil"/>
            </w:tcBorders>
            <w:vAlign w:val="top"/>
          </w:tcPr>
          <w:p w14:paraId="1FDD6CBC">
            <w:pPr>
              <w:pStyle w:val="6"/>
              <w:spacing w:before="59" w:line="229" w:lineRule="auto"/>
              <w:ind w:left="95"/>
              <w:rPr>
                <w:sz w:val="20"/>
                <w:szCs w:val="20"/>
              </w:rPr>
            </w:pPr>
            <w:r>
              <w:rPr>
                <w:b/>
                <w:bCs/>
                <w:spacing w:val="4"/>
                <w:sz w:val="20"/>
                <w:szCs w:val="20"/>
              </w:rPr>
              <w:t>序号</w:t>
            </w:r>
          </w:p>
        </w:tc>
        <w:tc>
          <w:tcPr>
            <w:tcW w:w="1507" w:type="dxa"/>
            <w:tcBorders>
              <w:top w:val="single" w:color="000000" w:sz="10" w:space="0"/>
            </w:tcBorders>
            <w:vAlign w:val="top"/>
          </w:tcPr>
          <w:p w14:paraId="77CD8397">
            <w:pPr>
              <w:pStyle w:val="6"/>
              <w:spacing w:before="59" w:line="228" w:lineRule="auto"/>
              <w:ind w:left="337"/>
              <w:rPr>
                <w:sz w:val="20"/>
                <w:szCs w:val="20"/>
              </w:rPr>
            </w:pPr>
            <w:r>
              <w:rPr>
                <w:b/>
                <w:bCs/>
                <w:spacing w:val="6"/>
                <w:sz w:val="20"/>
                <w:szCs w:val="20"/>
              </w:rPr>
              <w:t>物料名称</w:t>
            </w:r>
          </w:p>
        </w:tc>
        <w:tc>
          <w:tcPr>
            <w:tcW w:w="2139" w:type="dxa"/>
            <w:tcBorders>
              <w:top w:val="single" w:color="000000" w:sz="10" w:space="0"/>
            </w:tcBorders>
            <w:vAlign w:val="top"/>
          </w:tcPr>
          <w:p w14:paraId="1D23EEDE">
            <w:pPr>
              <w:pStyle w:val="6"/>
              <w:spacing w:before="58" w:line="228" w:lineRule="auto"/>
              <w:ind w:left="551"/>
              <w:rPr>
                <w:sz w:val="20"/>
                <w:szCs w:val="20"/>
              </w:rPr>
            </w:pPr>
            <w:r>
              <w:rPr>
                <w:b/>
                <w:bCs/>
                <w:spacing w:val="6"/>
                <w:sz w:val="20"/>
                <w:szCs w:val="20"/>
              </w:rPr>
              <w:t>最大储存量</w:t>
            </w:r>
          </w:p>
        </w:tc>
        <w:tc>
          <w:tcPr>
            <w:tcW w:w="2990" w:type="dxa"/>
            <w:tcBorders>
              <w:top w:val="single" w:color="000000" w:sz="10" w:space="0"/>
            </w:tcBorders>
            <w:vAlign w:val="top"/>
          </w:tcPr>
          <w:p w14:paraId="2ACE7D84">
            <w:pPr>
              <w:pStyle w:val="6"/>
              <w:spacing w:before="58" w:line="228" w:lineRule="auto"/>
              <w:ind w:left="1077"/>
              <w:rPr>
                <w:sz w:val="20"/>
                <w:szCs w:val="20"/>
              </w:rPr>
            </w:pPr>
            <w:r>
              <w:rPr>
                <w:b/>
                <w:bCs/>
                <w:spacing w:val="6"/>
                <w:sz w:val="20"/>
                <w:szCs w:val="20"/>
              </w:rPr>
              <w:t>储存条件</w:t>
            </w:r>
          </w:p>
        </w:tc>
        <w:tc>
          <w:tcPr>
            <w:tcW w:w="1835" w:type="dxa"/>
            <w:tcBorders>
              <w:top w:val="single" w:color="000000" w:sz="10" w:space="0"/>
              <w:right w:val="nil"/>
            </w:tcBorders>
            <w:vAlign w:val="top"/>
          </w:tcPr>
          <w:p w14:paraId="65503FFC">
            <w:pPr>
              <w:pStyle w:val="6"/>
              <w:spacing w:before="59" w:line="228" w:lineRule="auto"/>
              <w:ind w:left="504"/>
              <w:rPr>
                <w:sz w:val="20"/>
                <w:szCs w:val="20"/>
              </w:rPr>
            </w:pPr>
            <w:r>
              <w:rPr>
                <w:b/>
                <w:bCs/>
                <w:spacing w:val="6"/>
                <w:sz w:val="20"/>
                <w:szCs w:val="20"/>
              </w:rPr>
              <w:t>主要风险</w:t>
            </w:r>
          </w:p>
        </w:tc>
      </w:tr>
      <w:tr w14:paraId="680707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01" w:type="dxa"/>
            <w:tcBorders>
              <w:left w:val="nil"/>
            </w:tcBorders>
            <w:vAlign w:val="top"/>
          </w:tcPr>
          <w:p w14:paraId="52B6ED6B">
            <w:pPr>
              <w:spacing w:before="98" w:line="195" w:lineRule="auto"/>
              <w:ind w:left="268"/>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507" w:type="dxa"/>
            <w:vAlign w:val="top"/>
          </w:tcPr>
          <w:p w14:paraId="2AF13351">
            <w:pPr>
              <w:pStyle w:val="6"/>
              <w:spacing w:before="63" w:line="224" w:lineRule="auto"/>
              <w:ind w:left="152"/>
              <w:rPr>
                <w:sz w:val="20"/>
                <w:szCs w:val="20"/>
              </w:rPr>
            </w:pPr>
            <w:r>
              <w:rPr>
                <w:spacing w:val="4"/>
                <w:sz w:val="20"/>
                <w:szCs w:val="20"/>
              </w:rPr>
              <w:t>电炉回收煤气</w:t>
            </w:r>
          </w:p>
        </w:tc>
        <w:tc>
          <w:tcPr>
            <w:tcW w:w="2139" w:type="dxa"/>
            <w:vAlign w:val="top"/>
          </w:tcPr>
          <w:p w14:paraId="22D697D2">
            <w:pPr>
              <w:pStyle w:val="6"/>
              <w:spacing w:before="63" w:line="224" w:lineRule="auto"/>
              <w:ind w:left="348"/>
              <w:rPr>
                <w:sz w:val="20"/>
                <w:szCs w:val="20"/>
              </w:rPr>
            </w:pPr>
            <w:r>
              <w:rPr>
                <w:rFonts w:ascii="Times New Roman" w:hAnsi="Times New Roman" w:eastAsia="Times New Roman" w:cs="Times New Roman"/>
                <w:spacing w:val="4"/>
                <w:sz w:val="20"/>
                <w:szCs w:val="20"/>
              </w:rPr>
              <w:t>24t</w:t>
            </w:r>
            <w:r>
              <w:rPr>
                <w:spacing w:val="4"/>
                <w:sz w:val="20"/>
                <w:szCs w:val="20"/>
              </w:rPr>
              <w:t>（</w:t>
            </w:r>
            <w:r>
              <w:rPr>
                <w:rFonts w:ascii="Times New Roman" w:hAnsi="Times New Roman" w:eastAsia="Times New Roman" w:cs="Times New Roman"/>
                <w:spacing w:val="4"/>
                <w:sz w:val="20"/>
                <w:szCs w:val="20"/>
              </w:rPr>
              <w:t>30000m</w:t>
            </w:r>
            <w:r>
              <w:rPr>
                <w:rFonts w:ascii="Times New Roman" w:hAnsi="Times New Roman" w:eastAsia="Times New Roman" w:cs="Times New Roman"/>
                <w:spacing w:val="4"/>
                <w:position w:val="6"/>
                <w:sz w:val="13"/>
                <w:szCs w:val="13"/>
              </w:rPr>
              <w:t>3</w:t>
            </w:r>
            <w:r>
              <w:rPr>
                <w:spacing w:val="4"/>
                <w:sz w:val="20"/>
                <w:szCs w:val="20"/>
              </w:rPr>
              <w:t>）</w:t>
            </w:r>
          </w:p>
        </w:tc>
        <w:tc>
          <w:tcPr>
            <w:tcW w:w="2990" w:type="dxa"/>
            <w:vAlign w:val="top"/>
          </w:tcPr>
          <w:p w14:paraId="05AB2A43">
            <w:pPr>
              <w:pStyle w:val="6"/>
              <w:spacing w:before="63" w:line="224" w:lineRule="auto"/>
              <w:ind w:left="134"/>
              <w:rPr>
                <w:sz w:val="20"/>
                <w:szCs w:val="20"/>
              </w:rPr>
            </w:pPr>
            <w:r>
              <w:rPr>
                <w:spacing w:val="9"/>
                <w:sz w:val="20"/>
                <w:szCs w:val="20"/>
              </w:rPr>
              <w:t>橡胶帘干式煤气柜，压力容器</w:t>
            </w:r>
          </w:p>
        </w:tc>
        <w:tc>
          <w:tcPr>
            <w:tcW w:w="1835" w:type="dxa"/>
            <w:tcBorders>
              <w:right w:val="nil"/>
            </w:tcBorders>
            <w:vAlign w:val="top"/>
          </w:tcPr>
          <w:p w14:paraId="29E1AAD3">
            <w:pPr>
              <w:pStyle w:val="6"/>
              <w:spacing w:before="63" w:line="224" w:lineRule="auto"/>
              <w:ind w:left="86"/>
              <w:rPr>
                <w:sz w:val="20"/>
                <w:szCs w:val="20"/>
              </w:rPr>
            </w:pPr>
            <w:r>
              <w:rPr>
                <w:spacing w:val="8"/>
                <w:sz w:val="20"/>
                <w:szCs w:val="20"/>
              </w:rPr>
              <w:t>火灾、泄漏、爆炸</w:t>
            </w:r>
          </w:p>
        </w:tc>
      </w:tr>
      <w:tr w14:paraId="739C15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601" w:type="dxa"/>
            <w:tcBorders>
              <w:left w:val="nil"/>
              <w:bottom w:val="single" w:color="000000" w:sz="10" w:space="0"/>
            </w:tcBorders>
            <w:vAlign w:val="top"/>
          </w:tcPr>
          <w:p w14:paraId="0BAB902B">
            <w:pPr>
              <w:spacing w:before="106" w:line="195" w:lineRule="auto"/>
              <w:ind w:left="248"/>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507" w:type="dxa"/>
            <w:tcBorders>
              <w:bottom w:val="single" w:color="000000" w:sz="10" w:space="0"/>
            </w:tcBorders>
            <w:vAlign w:val="top"/>
          </w:tcPr>
          <w:p w14:paraId="3F0A6D39">
            <w:pPr>
              <w:pStyle w:val="6"/>
              <w:spacing w:before="71" w:line="228" w:lineRule="auto"/>
              <w:ind w:left="234"/>
              <w:rPr>
                <w:sz w:val="20"/>
                <w:szCs w:val="20"/>
              </w:rPr>
            </w:pPr>
            <w:r>
              <w:rPr>
                <w:spacing w:val="7"/>
                <w:sz w:val="20"/>
                <w:szCs w:val="20"/>
              </w:rPr>
              <w:t>煤气在线量</w:t>
            </w:r>
          </w:p>
        </w:tc>
        <w:tc>
          <w:tcPr>
            <w:tcW w:w="2139" w:type="dxa"/>
            <w:tcBorders>
              <w:bottom w:val="single" w:color="000000" w:sz="10" w:space="0"/>
            </w:tcBorders>
            <w:vAlign w:val="top"/>
          </w:tcPr>
          <w:p w14:paraId="52323CC9">
            <w:pPr>
              <w:spacing w:before="106" w:line="195" w:lineRule="auto"/>
              <w:ind w:left="92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1.8t</w:t>
            </w:r>
          </w:p>
        </w:tc>
        <w:tc>
          <w:tcPr>
            <w:tcW w:w="2990" w:type="dxa"/>
            <w:tcBorders>
              <w:bottom w:val="single" w:color="000000" w:sz="10" w:space="0"/>
            </w:tcBorders>
            <w:vAlign w:val="top"/>
          </w:tcPr>
          <w:p w14:paraId="00FC4BF0">
            <w:pPr>
              <w:pStyle w:val="6"/>
              <w:spacing w:before="70" w:line="228" w:lineRule="auto"/>
              <w:ind w:left="771"/>
              <w:rPr>
                <w:sz w:val="20"/>
                <w:szCs w:val="20"/>
              </w:rPr>
            </w:pPr>
            <w:r>
              <w:rPr>
                <w:spacing w:val="7"/>
                <w:sz w:val="20"/>
                <w:szCs w:val="20"/>
              </w:rPr>
              <w:t>管道、生产设备</w:t>
            </w:r>
          </w:p>
        </w:tc>
        <w:tc>
          <w:tcPr>
            <w:tcW w:w="1835" w:type="dxa"/>
            <w:tcBorders>
              <w:bottom w:val="single" w:color="000000" w:sz="10" w:space="0"/>
              <w:right w:val="nil"/>
            </w:tcBorders>
            <w:vAlign w:val="top"/>
          </w:tcPr>
          <w:p w14:paraId="36F799D8">
            <w:pPr>
              <w:pStyle w:val="6"/>
              <w:spacing w:before="70" w:line="226" w:lineRule="auto"/>
              <w:ind w:left="86"/>
              <w:rPr>
                <w:sz w:val="20"/>
                <w:szCs w:val="20"/>
              </w:rPr>
            </w:pPr>
            <w:r>
              <w:rPr>
                <w:spacing w:val="8"/>
                <w:sz w:val="20"/>
                <w:szCs w:val="20"/>
              </w:rPr>
              <w:t>火灾、泄漏、爆炸</w:t>
            </w:r>
          </w:p>
        </w:tc>
      </w:tr>
    </w:tbl>
    <w:p w14:paraId="4C43E8ED">
      <w:pPr>
        <w:pStyle w:val="2"/>
      </w:pPr>
    </w:p>
    <w:p w14:paraId="69E303A0">
      <w:pPr>
        <w:sectPr>
          <w:footerReference r:id="rId392" w:type="default"/>
          <w:pgSz w:w="11906" w:h="16839"/>
          <w:pgMar w:top="1191" w:right="1416" w:bottom="1221" w:left="1417" w:header="882" w:footer="1058" w:gutter="0"/>
          <w:cols w:space="720" w:num="1"/>
        </w:sectPr>
      </w:pPr>
    </w:p>
    <w:p w14:paraId="3A54DCF4">
      <w:pPr>
        <w:spacing w:line="28" w:lineRule="exact"/>
      </w:pPr>
      <w:r>
        <w:pict>
          <v:shape id="_x0000_s1902" o:spid="_x0000_s1902" style="height:1.45pt;width:453.65pt;" fillcolor="#000000" filled="t" stroked="f" coordsize="9072,29" path="m0,0l9072,0,9072,28,0,28,0,0xe">
            <v:path/>
            <v:fill on="t" focussize="0,0"/>
            <v:stroke on="f"/>
            <v:imagedata o:title=""/>
            <o:lock v:ext="edit"/>
            <w10:wrap type="none"/>
            <w10:anchorlock/>
          </v:shape>
        </w:pict>
      </w:r>
    </w:p>
    <w:p w14:paraId="7C769039">
      <w:pPr>
        <w:spacing w:before="317" w:line="219" w:lineRule="auto"/>
        <w:ind w:left="7"/>
        <w:outlineLvl w:val="3"/>
        <w:rPr>
          <w:rFonts w:ascii="宋体" w:hAnsi="宋体" w:eastAsia="宋体" w:cs="宋体"/>
          <w:sz w:val="24"/>
          <w:szCs w:val="24"/>
        </w:rPr>
      </w:pPr>
      <w:r>
        <w:fldChar w:fldCharType="begin"/>
      </w:r>
      <w:r>
        <w:instrText xml:space="preserve"> HYPERLINK "5.3.2.2" </w:instrText>
      </w:r>
      <w:r>
        <w:fldChar w:fldCharType="separate"/>
      </w:r>
      <w:r>
        <w:rPr>
          <w:rFonts w:ascii="Times New Roman" w:hAnsi="Times New Roman" w:eastAsia="Times New Roman" w:cs="Times New Roman"/>
          <w:b/>
          <w:bCs/>
          <w:spacing w:val="-2"/>
          <w:sz w:val="24"/>
          <w:szCs w:val="24"/>
        </w:rPr>
        <w:t>5.3.2.2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生产过程风险识别</w:t>
      </w:r>
    </w:p>
    <w:p w14:paraId="7025869A">
      <w:pPr>
        <w:spacing w:before="191" w:line="361" w:lineRule="auto"/>
        <w:ind w:left="8" w:right="80" w:firstLine="480"/>
        <w:jc w:val="both"/>
        <w:rPr>
          <w:rFonts w:ascii="宋体" w:hAnsi="宋体" w:eastAsia="宋体" w:cs="宋体"/>
          <w:sz w:val="24"/>
          <w:szCs w:val="24"/>
        </w:rPr>
      </w:pPr>
      <w:r>
        <w:rPr>
          <w:rFonts w:ascii="宋体" w:hAnsi="宋体" w:eastAsia="宋体" w:cs="宋体"/>
          <w:spacing w:val="-2"/>
          <w:sz w:val="24"/>
          <w:szCs w:val="24"/>
        </w:rPr>
        <w:t>本工程生产过程中涉及有毒、易燃、易爆等危险因素。各个工段发生事故的主要原</w:t>
      </w:r>
      <w:r>
        <w:rPr>
          <w:rFonts w:ascii="宋体" w:hAnsi="宋体" w:eastAsia="宋体" w:cs="宋体"/>
          <w:spacing w:val="12"/>
          <w:sz w:val="24"/>
          <w:szCs w:val="24"/>
        </w:rPr>
        <w:t xml:space="preserve"> </w:t>
      </w:r>
      <w:r>
        <w:rPr>
          <w:rFonts w:ascii="宋体" w:hAnsi="宋体" w:eastAsia="宋体" w:cs="宋体"/>
          <w:spacing w:val="-2"/>
          <w:sz w:val="24"/>
          <w:szCs w:val="24"/>
        </w:rPr>
        <w:t>因可能为：①生产装置温度超过物质闪点或与生产装置挥发出的物质蒸汽与空气混合达</w:t>
      </w:r>
      <w:r>
        <w:rPr>
          <w:rFonts w:ascii="宋体" w:hAnsi="宋体" w:eastAsia="宋体" w:cs="宋体"/>
          <w:spacing w:val="17"/>
          <w:sz w:val="24"/>
          <w:szCs w:val="24"/>
        </w:rPr>
        <w:t xml:space="preserve"> </w:t>
      </w:r>
      <w:r>
        <w:rPr>
          <w:rFonts w:ascii="宋体" w:hAnsi="宋体" w:eastAsia="宋体" w:cs="宋体"/>
          <w:spacing w:val="-2"/>
          <w:sz w:val="24"/>
          <w:szCs w:val="24"/>
        </w:rPr>
        <w:t>到爆炸极限。②生产设备密封点、阀门等损坏、管道破裂、操作失误、自然灾害等造成</w:t>
      </w:r>
      <w:r>
        <w:rPr>
          <w:rFonts w:ascii="宋体" w:hAnsi="宋体" w:eastAsia="宋体" w:cs="宋体"/>
          <w:spacing w:val="17"/>
          <w:sz w:val="24"/>
          <w:szCs w:val="24"/>
        </w:rPr>
        <w:t xml:space="preserve"> </w:t>
      </w:r>
      <w:r>
        <w:rPr>
          <w:rFonts w:ascii="宋体" w:hAnsi="宋体" w:eastAsia="宋体" w:cs="宋体"/>
          <w:spacing w:val="-1"/>
          <w:sz w:val="24"/>
          <w:szCs w:val="24"/>
        </w:rPr>
        <w:t>物质泄漏，遇明火引发火灾。③有毒物质泄露引发人员中毒。</w:t>
      </w:r>
    </w:p>
    <w:p w14:paraId="552BC69E">
      <w:pPr>
        <w:spacing w:before="37" w:line="219" w:lineRule="auto"/>
        <w:ind w:left="7"/>
        <w:outlineLvl w:val="3"/>
        <w:rPr>
          <w:rFonts w:ascii="宋体" w:hAnsi="宋体" w:eastAsia="宋体" w:cs="宋体"/>
          <w:sz w:val="24"/>
          <w:szCs w:val="24"/>
        </w:rPr>
      </w:pPr>
      <w:r>
        <w:fldChar w:fldCharType="begin"/>
      </w:r>
      <w:r>
        <w:instrText xml:space="preserve"> HYPERLINK "5.3.2.3" </w:instrText>
      </w:r>
      <w:r>
        <w:fldChar w:fldCharType="separate"/>
      </w:r>
      <w:r>
        <w:rPr>
          <w:rFonts w:ascii="Times New Roman" w:hAnsi="Times New Roman" w:eastAsia="Times New Roman" w:cs="Times New Roman"/>
          <w:b/>
          <w:bCs/>
          <w:spacing w:val="-2"/>
          <w:sz w:val="24"/>
          <w:szCs w:val="24"/>
        </w:rPr>
        <w:t>5.3.2.3</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运输过程风险识别</w:t>
      </w:r>
    </w:p>
    <w:p w14:paraId="767BB1B3">
      <w:pPr>
        <w:spacing w:before="195" w:line="354" w:lineRule="auto"/>
        <w:ind w:left="8" w:right="80" w:firstLine="480"/>
        <w:rPr>
          <w:rFonts w:ascii="宋体" w:hAnsi="宋体" w:eastAsia="宋体" w:cs="宋体"/>
          <w:sz w:val="24"/>
          <w:szCs w:val="24"/>
        </w:rPr>
      </w:pPr>
      <w:r>
        <w:rPr>
          <w:rFonts w:ascii="宋体" w:hAnsi="宋体" w:eastAsia="宋体" w:cs="宋体"/>
          <w:spacing w:val="-2"/>
          <w:sz w:val="24"/>
          <w:szCs w:val="24"/>
        </w:rPr>
        <w:t>本项目外部运输过程中不涉及危险物质，煤气在厂区内通过管道运输，若发生阀门</w:t>
      </w:r>
      <w:r>
        <w:rPr>
          <w:rFonts w:ascii="宋体" w:hAnsi="宋体" w:eastAsia="宋体" w:cs="宋体"/>
          <w:spacing w:val="12"/>
          <w:sz w:val="24"/>
          <w:szCs w:val="24"/>
        </w:rPr>
        <w:t xml:space="preserve"> </w:t>
      </w:r>
      <w:r>
        <w:rPr>
          <w:rFonts w:ascii="宋体" w:hAnsi="宋体" w:eastAsia="宋体" w:cs="宋体"/>
          <w:spacing w:val="-1"/>
          <w:sz w:val="24"/>
          <w:szCs w:val="24"/>
        </w:rPr>
        <w:t>损坏等，可引起煤气泄漏，扩散后对环境和周边人群造成影响。</w:t>
      </w:r>
    </w:p>
    <w:p w14:paraId="7A48D178">
      <w:pPr>
        <w:spacing w:before="95" w:line="220" w:lineRule="auto"/>
        <w:ind w:left="8"/>
        <w:outlineLvl w:val="2"/>
        <w:rPr>
          <w:rFonts w:ascii="宋体" w:hAnsi="宋体" w:eastAsia="宋体" w:cs="宋体"/>
          <w:sz w:val="28"/>
          <w:szCs w:val="28"/>
        </w:rPr>
      </w:pPr>
      <w:bookmarkStart w:id="401" w:name="bookmark270"/>
      <w:bookmarkEnd w:id="401"/>
      <w:r>
        <w:rPr>
          <w:rFonts w:ascii="Times New Roman" w:hAnsi="Times New Roman" w:eastAsia="Times New Roman" w:cs="Times New Roman"/>
          <w:b/>
          <w:bCs/>
          <w:spacing w:val="-6"/>
          <w:sz w:val="28"/>
          <w:szCs w:val="28"/>
        </w:rPr>
        <w:t>5.3.3</w:t>
      </w:r>
      <w:r>
        <w:rPr>
          <w:rFonts w:ascii="Times New Roman" w:hAnsi="Times New Roman" w:eastAsia="Times New Roman" w:cs="Times New Roman"/>
          <w:b/>
          <w:bCs/>
          <w:spacing w:val="50"/>
          <w:sz w:val="28"/>
          <w:szCs w:val="28"/>
        </w:rPr>
        <w:t xml:space="preserve"> </w:t>
      </w:r>
      <w:r>
        <w:rPr>
          <w:rFonts w:ascii="宋体" w:hAnsi="宋体" w:eastAsia="宋体" w:cs="宋体"/>
          <w:b/>
          <w:bCs/>
          <w:spacing w:val="-6"/>
          <w:sz w:val="28"/>
          <w:szCs w:val="28"/>
        </w:rPr>
        <w:t>向环境转移途径</w:t>
      </w:r>
    </w:p>
    <w:p w14:paraId="197DDBA9">
      <w:pPr>
        <w:spacing w:before="248" w:line="361" w:lineRule="auto"/>
        <w:ind w:left="9" w:right="80" w:firstLine="486"/>
        <w:rPr>
          <w:rFonts w:ascii="宋体" w:hAnsi="宋体" w:eastAsia="宋体" w:cs="宋体"/>
          <w:sz w:val="24"/>
          <w:szCs w:val="24"/>
        </w:rPr>
      </w:pPr>
      <w:r>
        <w:rPr>
          <w:rFonts w:ascii="宋体" w:hAnsi="宋体" w:eastAsia="宋体" w:cs="宋体"/>
          <w:spacing w:val="-2"/>
          <w:sz w:val="24"/>
          <w:szCs w:val="24"/>
        </w:rPr>
        <w:t>空气、水体和土壤等环境要素是危险性物质向环境转移最基本的途径，同时这三种</w:t>
      </w:r>
      <w:r>
        <w:rPr>
          <w:rFonts w:ascii="宋体" w:hAnsi="宋体" w:eastAsia="宋体" w:cs="宋体"/>
          <w:spacing w:val="6"/>
          <w:sz w:val="24"/>
          <w:szCs w:val="24"/>
        </w:rPr>
        <w:t xml:space="preserve"> </w:t>
      </w:r>
      <w:r>
        <w:rPr>
          <w:rFonts w:ascii="宋体" w:hAnsi="宋体" w:eastAsia="宋体" w:cs="宋体"/>
          <w:spacing w:val="-2"/>
          <w:sz w:val="24"/>
          <w:szCs w:val="24"/>
        </w:rPr>
        <w:t>要素之间又随时发生着物质和能量的传递，污染物进入环境后，随着空气和水体环境发</w:t>
      </w:r>
      <w:r>
        <w:rPr>
          <w:rFonts w:ascii="宋体" w:hAnsi="宋体" w:eastAsia="宋体" w:cs="宋体"/>
          <w:spacing w:val="16"/>
          <w:sz w:val="24"/>
          <w:szCs w:val="24"/>
        </w:rPr>
        <w:t xml:space="preserve"> </w:t>
      </w:r>
      <w:r>
        <w:rPr>
          <w:rFonts w:ascii="宋体" w:hAnsi="宋体" w:eastAsia="宋体" w:cs="宋体"/>
          <w:spacing w:val="-2"/>
          <w:sz w:val="24"/>
          <w:szCs w:val="24"/>
        </w:rPr>
        <w:t>生推流迁移、分散稀释和降解转化运动。建设项目主要危险物质为煤气，若发生泄漏，</w:t>
      </w:r>
      <w:r>
        <w:rPr>
          <w:rFonts w:ascii="宋体" w:hAnsi="宋体" w:eastAsia="宋体" w:cs="宋体"/>
          <w:spacing w:val="16"/>
          <w:sz w:val="24"/>
          <w:szCs w:val="24"/>
        </w:rPr>
        <w:t xml:space="preserve"> </w:t>
      </w:r>
      <w:r>
        <w:rPr>
          <w:rFonts w:ascii="宋体" w:hAnsi="宋体" w:eastAsia="宋体" w:cs="宋体"/>
          <w:spacing w:val="-1"/>
          <w:sz w:val="24"/>
          <w:szCs w:val="24"/>
        </w:rPr>
        <w:t>直接通过空气、水体和土壤进行扩散。</w:t>
      </w:r>
    </w:p>
    <w:p w14:paraId="36213FEC">
      <w:pPr>
        <w:spacing w:before="142" w:line="222" w:lineRule="auto"/>
        <w:ind w:left="13"/>
        <w:outlineLvl w:val="1"/>
        <w:rPr>
          <w:rFonts w:ascii="黑体" w:hAnsi="黑体" w:eastAsia="黑体" w:cs="黑体"/>
          <w:sz w:val="30"/>
          <w:szCs w:val="30"/>
        </w:rPr>
      </w:pPr>
      <w:r>
        <w:rPr>
          <w:rFonts w:ascii="Times New Roman" w:hAnsi="Times New Roman" w:eastAsia="Times New Roman" w:cs="Times New Roman"/>
          <w:spacing w:val="-2"/>
          <w:sz w:val="30"/>
          <w:szCs w:val="30"/>
        </w:rPr>
        <w:t xml:space="preserve">5.4 </w:t>
      </w:r>
      <w:r>
        <w:rPr>
          <w:rFonts w:ascii="黑体" w:hAnsi="黑体" w:eastAsia="黑体" w:cs="黑体"/>
          <w:spacing w:val="-2"/>
          <w:sz w:val="30"/>
          <w:szCs w:val="30"/>
        </w:rPr>
        <w:t>风险事故影响分析</w:t>
      </w:r>
    </w:p>
    <w:p w14:paraId="7E8ED7B6">
      <w:pPr>
        <w:pStyle w:val="2"/>
        <w:spacing w:line="254" w:lineRule="auto"/>
      </w:pPr>
    </w:p>
    <w:p w14:paraId="2E2DB899">
      <w:pPr>
        <w:spacing w:before="91" w:line="221" w:lineRule="auto"/>
        <w:ind w:left="8"/>
        <w:outlineLvl w:val="2"/>
        <w:rPr>
          <w:rFonts w:ascii="宋体" w:hAnsi="宋体" w:eastAsia="宋体" w:cs="宋体"/>
          <w:sz w:val="28"/>
          <w:szCs w:val="28"/>
        </w:rPr>
      </w:pPr>
      <w:bookmarkStart w:id="402" w:name="bookmark274"/>
      <w:bookmarkEnd w:id="402"/>
      <w:bookmarkStart w:id="403" w:name="bookmark272"/>
      <w:bookmarkEnd w:id="403"/>
      <w:r>
        <w:rPr>
          <w:rFonts w:ascii="Times New Roman" w:hAnsi="Times New Roman" w:eastAsia="Times New Roman" w:cs="Times New Roman"/>
          <w:b/>
          <w:bCs/>
          <w:spacing w:val="-2"/>
          <w:sz w:val="28"/>
          <w:szCs w:val="28"/>
        </w:rPr>
        <w:t xml:space="preserve">5.4.1 </w:t>
      </w:r>
      <w:r>
        <w:rPr>
          <w:rFonts w:ascii="宋体" w:hAnsi="宋体" w:eastAsia="宋体" w:cs="宋体"/>
          <w:b/>
          <w:bCs/>
          <w:spacing w:val="-2"/>
          <w:sz w:val="28"/>
          <w:szCs w:val="28"/>
        </w:rPr>
        <w:t>风险事故情形设定原则</w:t>
      </w:r>
    </w:p>
    <w:p w14:paraId="675EC219">
      <w:pPr>
        <w:spacing w:before="246" w:line="354" w:lineRule="auto"/>
        <w:ind w:left="34" w:right="30" w:firstLine="449"/>
        <w:rPr>
          <w:rFonts w:ascii="宋体" w:hAnsi="宋体" w:eastAsia="宋体" w:cs="宋体"/>
          <w:sz w:val="24"/>
          <w:szCs w:val="24"/>
        </w:rPr>
      </w:pPr>
      <w:r>
        <w:rPr>
          <w:rFonts w:ascii="Times New Roman" w:hAnsi="Times New Roman" w:eastAsia="Times New Roman" w:cs="Times New Roman"/>
          <w:spacing w:val="-4"/>
          <w:sz w:val="24"/>
          <w:szCs w:val="24"/>
        </w:rPr>
        <w:t xml:space="preserve">2013 </w:t>
      </w:r>
      <w:r>
        <w:rPr>
          <w:rFonts w:ascii="宋体" w:hAnsi="宋体" w:eastAsia="宋体" w:cs="宋体"/>
          <w:spacing w:val="-4"/>
          <w:sz w:val="24"/>
          <w:szCs w:val="24"/>
        </w:rPr>
        <w:t>年</w:t>
      </w:r>
      <w:r>
        <w:rPr>
          <w:rFonts w:ascii="宋体" w:hAnsi="宋体" w:eastAsia="宋体" w:cs="宋体"/>
          <w:spacing w:val="-51"/>
          <w:sz w:val="24"/>
          <w:szCs w:val="24"/>
        </w:rPr>
        <w:t xml:space="preserve"> </w:t>
      </w:r>
      <w:r>
        <w:rPr>
          <w:rFonts w:ascii="Times New Roman" w:hAnsi="Times New Roman" w:eastAsia="Times New Roman" w:cs="Times New Roman"/>
          <w:spacing w:val="-4"/>
          <w:sz w:val="24"/>
          <w:szCs w:val="24"/>
        </w:rPr>
        <w:t>01</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17  </w:t>
      </w:r>
      <w:r>
        <w:rPr>
          <w:rFonts w:ascii="宋体" w:hAnsi="宋体" w:eastAsia="宋体" w:cs="宋体"/>
          <w:spacing w:val="-4"/>
          <w:sz w:val="24"/>
          <w:szCs w:val="24"/>
        </w:rPr>
        <w:t>日，成都市青白江攀成钢建设公司炼铁车间发</w:t>
      </w:r>
      <w:r>
        <w:rPr>
          <w:rFonts w:ascii="宋体" w:hAnsi="宋体" w:eastAsia="宋体" w:cs="宋体"/>
          <w:spacing w:val="-5"/>
          <w:sz w:val="24"/>
          <w:szCs w:val="24"/>
        </w:rPr>
        <w:t>生的煤气中毒事故，</w:t>
      </w:r>
      <w:r>
        <w:rPr>
          <w:rFonts w:ascii="宋体" w:hAnsi="宋体" w:eastAsia="宋体" w:cs="宋体"/>
          <w:sz w:val="24"/>
          <w:szCs w:val="24"/>
        </w:rPr>
        <w:t xml:space="preserve"> </w:t>
      </w:r>
      <w:r>
        <w:rPr>
          <w:rFonts w:ascii="宋体" w:hAnsi="宋体" w:eastAsia="宋体" w:cs="宋体"/>
          <w:spacing w:val="-3"/>
          <w:sz w:val="24"/>
          <w:szCs w:val="24"/>
        </w:rPr>
        <w:t>已造成</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 xml:space="preserve">4 </w:t>
      </w:r>
      <w:r>
        <w:rPr>
          <w:rFonts w:ascii="宋体" w:hAnsi="宋体" w:eastAsia="宋体" w:cs="宋体"/>
          <w:spacing w:val="-3"/>
          <w:sz w:val="24"/>
          <w:szCs w:val="24"/>
        </w:rPr>
        <w:t>人死亡，</w:t>
      </w:r>
      <w:r>
        <w:rPr>
          <w:rFonts w:ascii="Times New Roman" w:hAnsi="Times New Roman" w:eastAsia="Times New Roman" w:cs="Times New Roman"/>
          <w:spacing w:val="-3"/>
          <w:sz w:val="24"/>
          <w:szCs w:val="24"/>
        </w:rPr>
        <w:t xml:space="preserve">2 </w:t>
      </w:r>
      <w:r>
        <w:rPr>
          <w:rFonts w:ascii="宋体" w:hAnsi="宋体" w:eastAsia="宋体" w:cs="宋体"/>
          <w:spacing w:val="-3"/>
          <w:sz w:val="24"/>
          <w:szCs w:val="24"/>
        </w:rPr>
        <w:t>人受伤。</w:t>
      </w:r>
    </w:p>
    <w:p w14:paraId="74496769">
      <w:pPr>
        <w:spacing w:before="37" w:line="354" w:lineRule="auto"/>
        <w:ind w:left="7" w:right="92" w:firstLine="476"/>
        <w:rPr>
          <w:rFonts w:ascii="宋体" w:hAnsi="宋体" w:eastAsia="宋体" w:cs="宋体"/>
          <w:sz w:val="24"/>
          <w:szCs w:val="24"/>
        </w:rPr>
      </w:pPr>
      <w:r>
        <w:rPr>
          <w:rFonts w:ascii="Times New Roman" w:hAnsi="Times New Roman" w:eastAsia="Times New Roman" w:cs="Times New Roman"/>
          <w:spacing w:val="-3"/>
          <w:sz w:val="24"/>
          <w:szCs w:val="24"/>
        </w:rPr>
        <w:t xml:space="preserve">2014 </w:t>
      </w:r>
      <w:r>
        <w:rPr>
          <w:rFonts w:ascii="宋体" w:hAnsi="宋体" w:eastAsia="宋体" w:cs="宋体"/>
          <w:spacing w:val="-3"/>
          <w:sz w:val="24"/>
          <w:szCs w:val="24"/>
        </w:rPr>
        <w:t>年</w:t>
      </w:r>
      <w:r>
        <w:rPr>
          <w:rFonts w:ascii="宋体" w:hAnsi="宋体" w:eastAsia="宋体" w:cs="宋体"/>
          <w:spacing w:val="-47"/>
          <w:sz w:val="24"/>
          <w:szCs w:val="24"/>
        </w:rPr>
        <w:t xml:space="preserve"> </w:t>
      </w:r>
      <w:r>
        <w:rPr>
          <w:rFonts w:ascii="Times New Roman" w:hAnsi="Times New Roman" w:eastAsia="Times New Roman" w:cs="Times New Roman"/>
          <w:spacing w:val="-3"/>
          <w:sz w:val="24"/>
          <w:szCs w:val="24"/>
        </w:rPr>
        <w:t>5</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月</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 xml:space="preserve">26  </w:t>
      </w:r>
      <w:r>
        <w:rPr>
          <w:rFonts w:ascii="宋体" w:hAnsi="宋体" w:eastAsia="宋体" w:cs="宋体"/>
          <w:spacing w:val="-3"/>
          <w:sz w:val="24"/>
          <w:szCs w:val="24"/>
        </w:rPr>
        <w:t>日</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23</w:t>
      </w:r>
      <w:r>
        <w:rPr>
          <w:rFonts w:ascii="Times New Roman" w:hAnsi="Times New Roman" w:eastAsia="Times New Roman" w:cs="Times New Roman"/>
          <w:spacing w:val="21"/>
          <w:sz w:val="24"/>
          <w:szCs w:val="24"/>
        </w:rPr>
        <w:t xml:space="preserve"> </w:t>
      </w:r>
      <w:r>
        <w:rPr>
          <w:rFonts w:ascii="宋体" w:hAnsi="宋体" w:eastAsia="宋体" w:cs="宋体"/>
          <w:spacing w:val="-3"/>
          <w:sz w:val="24"/>
          <w:szCs w:val="24"/>
        </w:rPr>
        <w:t>时</w:t>
      </w:r>
      <w:r>
        <w:rPr>
          <w:rFonts w:ascii="宋体" w:hAnsi="宋体" w:eastAsia="宋体" w:cs="宋体"/>
          <w:spacing w:val="-57"/>
          <w:sz w:val="24"/>
          <w:szCs w:val="24"/>
        </w:rPr>
        <w:t xml:space="preserve"> </w:t>
      </w:r>
      <w:r>
        <w:rPr>
          <w:rFonts w:ascii="Times New Roman" w:hAnsi="Times New Roman" w:eastAsia="Times New Roman" w:cs="Times New Roman"/>
          <w:spacing w:val="-3"/>
          <w:sz w:val="24"/>
          <w:szCs w:val="24"/>
        </w:rPr>
        <w:t xml:space="preserve">40 </w:t>
      </w:r>
      <w:r>
        <w:rPr>
          <w:rFonts w:ascii="宋体" w:hAnsi="宋体" w:eastAsia="宋体" w:cs="宋体"/>
          <w:spacing w:val="-3"/>
          <w:sz w:val="24"/>
          <w:szCs w:val="24"/>
        </w:rPr>
        <w:t>分，山东潍焦集团有限公司发生一氧化碳中毒事故，共</w:t>
      </w:r>
      <w:r>
        <w:rPr>
          <w:rFonts w:ascii="宋体" w:hAnsi="宋体" w:eastAsia="宋体" w:cs="宋体"/>
          <w:sz w:val="24"/>
          <w:szCs w:val="24"/>
        </w:rPr>
        <w:t xml:space="preserve"> </w:t>
      </w:r>
      <w:r>
        <w:rPr>
          <w:rFonts w:ascii="宋体" w:hAnsi="宋体" w:eastAsia="宋体" w:cs="宋体"/>
          <w:spacing w:val="1"/>
          <w:sz w:val="24"/>
          <w:szCs w:val="24"/>
        </w:rPr>
        <w:t>造成</w:t>
      </w:r>
      <w:r>
        <w:rPr>
          <w:rFonts w:ascii="宋体" w:hAnsi="宋体" w:eastAsia="宋体" w:cs="宋体"/>
          <w:spacing w:val="-34"/>
          <w:sz w:val="24"/>
          <w:szCs w:val="24"/>
        </w:rPr>
        <w:t xml:space="preserve"> </w:t>
      </w:r>
      <w:r>
        <w:rPr>
          <w:rFonts w:ascii="Times New Roman" w:hAnsi="Times New Roman" w:eastAsia="Times New Roman" w:cs="Times New Roman"/>
          <w:spacing w:val="1"/>
          <w:sz w:val="24"/>
          <w:szCs w:val="24"/>
        </w:rPr>
        <w:t xml:space="preserve">8 </w:t>
      </w:r>
      <w:r>
        <w:rPr>
          <w:rFonts w:ascii="宋体" w:hAnsi="宋体" w:eastAsia="宋体" w:cs="宋体"/>
          <w:spacing w:val="1"/>
          <w:sz w:val="24"/>
          <w:szCs w:val="24"/>
        </w:rPr>
        <w:t>人受伤，其中</w:t>
      </w:r>
      <w:r>
        <w:rPr>
          <w:rFonts w:ascii="Times New Roman" w:hAnsi="Times New Roman" w:eastAsia="Times New Roman" w:cs="Times New Roman"/>
          <w:spacing w:val="1"/>
          <w:sz w:val="24"/>
          <w:szCs w:val="24"/>
        </w:rPr>
        <w:t xml:space="preserve">2 </w:t>
      </w:r>
      <w:r>
        <w:rPr>
          <w:rFonts w:ascii="宋体" w:hAnsi="宋体" w:eastAsia="宋体" w:cs="宋体"/>
          <w:spacing w:val="1"/>
          <w:sz w:val="24"/>
          <w:szCs w:val="24"/>
        </w:rPr>
        <w:t>人送医院经抢救无效死亡。</w:t>
      </w:r>
    </w:p>
    <w:p w14:paraId="0E26D9C2">
      <w:pPr>
        <w:spacing w:before="36" w:line="365" w:lineRule="auto"/>
        <w:ind w:left="7" w:firstLine="476"/>
        <w:rPr>
          <w:rFonts w:ascii="宋体" w:hAnsi="宋体" w:eastAsia="宋体" w:cs="宋体"/>
          <w:sz w:val="24"/>
          <w:szCs w:val="24"/>
        </w:rPr>
      </w:pPr>
      <w:r>
        <w:rPr>
          <w:rFonts w:ascii="Times New Roman" w:hAnsi="Times New Roman" w:eastAsia="Times New Roman" w:cs="Times New Roman"/>
          <w:spacing w:val="-4"/>
          <w:sz w:val="24"/>
          <w:szCs w:val="24"/>
        </w:rPr>
        <w:t xml:space="preserve">2006 </w:t>
      </w:r>
      <w:r>
        <w:rPr>
          <w:rFonts w:ascii="宋体" w:hAnsi="宋体" w:eastAsia="宋体" w:cs="宋体"/>
          <w:spacing w:val="-4"/>
          <w:sz w:val="24"/>
          <w:szCs w:val="24"/>
        </w:rPr>
        <w:t>年</w:t>
      </w:r>
      <w:r>
        <w:rPr>
          <w:rFonts w:ascii="宋体" w:hAnsi="宋体" w:eastAsia="宋体" w:cs="宋体"/>
          <w:spacing w:val="-19"/>
          <w:sz w:val="24"/>
          <w:szCs w:val="24"/>
        </w:rPr>
        <w:t xml:space="preserve"> </w:t>
      </w:r>
      <w:r>
        <w:rPr>
          <w:rFonts w:ascii="Times New Roman" w:hAnsi="Times New Roman" w:eastAsia="Times New Roman" w:cs="Times New Roman"/>
          <w:spacing w:val="-4"/>
          <w:sz w:val="24"/>
          <w:szCs w:val="24"/>
        </w:rPr>
        <w:t>10</w:t>
      </w:r>
      <w:r>
        <w:rPr>
          <w:rFonts w:ascii="Times New Roman" w:hAnsi="Times New Roman" w:eastAsia="Times New Roman" w:cs="Times New Roman"/>
          <w:spacing w:val="18"/>
          <w:sz w:val="24"/>
          <w:szCs w:val="24"/>
        </w:rPr>
        <w:t xml:space="preserve"> </w:t>
      </w:r>
      <w:r>
        <w:rPr>
          <w:rFonts w:ascii="宋体" w:hAnsi="宋体" w:eastAsia="宋体" w:cs="宋体"/>
          <w:spacing w:val="-4"/>
          <w:sz w:val="24"/>
          <w:szCs w:val="24"/>
        </w:rPr>
        <w:t>月</w:t>
      </w:r>
      <w:r>
        <w:rPr>
          <w:rFonts w:ascii="宋体" w:hAnsi="宋体" w:eastAsia="宋体" w:cs="宋体"/>
          <w:spacing w:val="-48"/>
          <w:sz w:val="24"/>
          <w:szCs w:val="24"/>
        </w:rPr>
        <w:t xml:space="preserve"> </w:t>
      </w:r>
      <w:r>
        <w:rPr>
          <w:rFonts w:ascii="Times New Roman" w:hAnsi="Times New Roman" w:eastAsia="Times New Roman" w:cs="Times New Roman"/>
          <w:spacing w:val="-4"/>
          <w:sz w:val="24"/>
          <w:szCs w:val="24"/>
        </w:rPr>
        <w:t xml:space="preserve">30  </w:t>
      </w:r>
      <w:r>
        <w:rPr>
          <w:rFonts w:ascii="宋体" w:hAnsi="宋体" w:eastAsia="宋体" w:cs="宋体"/>
          <w:spacing w:val="-4"/>
          <w:sz w:val="24"/>
          <w:szCs w:val="24"/>
        </w:rPr>
        <w:t>日</w:t>
      </w:r>
      <w:r>
        <w:rPr>
          <w:rFonts w:ascii="宋体" w:hAnsi="宋体" w:eastAsia="宋体" w:cs="宋体"/>
          <w:spacing w:val="-52"/>
          <w:sz w:val="24"/>
          <w:szCs w:val="24"/>
        </w:rPr>
        <w:t xml:space="preserve"> </w:t>
      </w:r>
      <w:r>
        <w:rPr>
          <w:rFonts w:ascii="Times New Roman" w:hAnsi="Times New Roman" w:eastAsia="Times New Roman" w:cs="Times New Roman"/>
          <w:spacing w:val="-4"/>
          <w:sz w:val="24"/>
          <w:szCs w:val="24"/>
        </w:rPr>
        <w:t>20</w:t>
      </w:r>
      <w:r>
        <w:rPr>
          <w:rFonts w:ascii="Times New Roman" w:hAnsi="Times New Roman" w:eastAsia="Times New Roman" w:cs="Times New Roman"/>
          <w:spacing w:val="23"/>
          <w:sz w:val="24"/>
          <w:szCs w:val="24"/>
        </w:rPr>
        <w:t xml:space="preserve"> </w:t>
      </w:r>
      <w:r>
        <w:rPr>
          <w:rFonts w:ascii="宋体" w:hAnsi="宋体" w:eastAsia="宋体" w:cs="宋体"/>
          <w:spacing w:val="-4"/>
          <w:sz w:val="24"/>
          <w:szCs w:val="24"/>
        </w:rPr>
        <w:t>时</w:t>
      </w:r>
      <w:r>
        <w:rPr>
          <w:rFonts w:ascii="宋体" w:hAnsi="宋体" w:eastAsia="宋体" w:cs="宋体"/>
          <w:spacing w:val="-30"/>
          <w:sz w:val="24"/>
          <w:szCs w:val="24"/>
        </w:rPr>
        <w:t xml:space="preserve"> </w:t>
      </w:r>
      <w:r>
        <w:rPr>
          <w:rFonts w:ascii="Times New Roman" w:hAnsi="Times New Roman" w:eastAsia="Times New Roman" w:cs="Times New Roman"/>
          <w:spacing w:val="-4"/>
          <w:sz w:val="24"/>
          <w:szCs w:val="24"/>
        </w:rPr>
        <w:t>15</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分，重庆钢铁集团公司下属的重钢股份公司热能厂</w:t>
      </w:r>
      <w:r>
        <w:rPr>
          <w:rFonts w:ascii="宋体" w:hAnsi="宋体" w:eastAsia="宋体" w:cs="宋体"/>
          <w:spacing w:val="-30"/>
          <w:sz w:val="24"/>
          <w:szCs w:val="24"/>
        </w:rPr>
        <w:t xml:space="preserve"> </w:t>
      </w:r>
      <w:r>
        <w:rPr>
          <w:rFonts w:ascii="Times New Roman" w:hAnsi="Times New Roman" w:eastAsia="Times New Roman" w:cs="Times New Roman"/>
          <w:spacing w:val="-4"/>
          <w:sz w:val="24"/>
          <w:szCs w:val="24"/>
        </w:rPr>
        <w:t>10</w:t>
      </w:r>
      <w:r>
        <w:rPr>
          <w:rFonts w:ascii="Times New Roman" w:hAnsi="Times New Roman" w:eastAsia="Times New Roman" w:cs="Times New Roman"/>
          <w:sz w:val="24"/>
          <w:szCs w:val="24"/>
        </w:rPr>
        <w:t xml:space="preserve">  </w:t>
      </w:r>
      <w:r>
        <w:rPr>
          <w:rFonts w:ascii="宋体" w:hAnsi="宋体" w:eastAsia="宋体" w:cs="宋体"/>
          <w:spacing w:val="-3"/>
          <w:sz w:val="24"/>
          <w:szCs w:val="24"/>
        </w:rPr>
        <w:t>万立方米高炉煤气柜发生煤气泄漏事故。泄漏时间</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 xml:space="preserve">75 </w:t>
      </w:r>
      <w:r>
        <w:rPr>
          <w:rFonts w:ascii="宋体" w:hAnsi="宋体" w:eastAsia="宋体" w:cs="宋体"/>
          <w:spacing w:val="-3"/>
          <w:sz w:val="24"/>
          <w:szCs w:val="24"/>
        </w:rPr>
        <w:t>分钟，泄漏量约为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1098</w:t>
      </w:r>
      <w:r>
        <w:rPr>
          <w:rFonts w:ascii="Times New Roman" w:hAnsi="Times New Roman" w:eastAsia="Times New Roman" w:cs="Times New Roman"/>
          <w:spacing w:val="-4"/>
          <w:sz w:val="24"/>
          <w:szCs w:val="24"/>
        </w:rPr>
        <w:t xml:space="preserve">0 </w:t>
      </w:r>
      <w:r>
        <w:rPr>
          <w:rFonts w:ascii="宋体" w:hAnsi="宋体" w:eastAsia="宋体" w:cs="宋体"/>
          <w:spacing w:val="-4"/>
          <w:sz w:val="24"/>
          <w:szCs w:val="24"/>
        </w:rPr>
        <w:t>立方米。</w:t>
      </w:r>
      <w:r>
        <w:rPr>
          <w:rFonts w:ascii="宋体" w:hAnsi="宋体" w:eastAsia="宋体" w:cs="宋体"/>
          <w:sz w:val="24"/>
          <w:szCs w:val="24"/>
        </w:rPr>
        <w:t xml:space="preserve"> </w:t>
      </w:r>
      <w:r>
        <w:rPr>
          <w:rFonts w:ascii="宋体" w:hAnsi="宋体" w:eastAsia="宋体" w:cs="宋体"/>
          <w:spacing w:val="1"/>
          <w:sz w:val="24"/>
          <w:szCs w:val="24"/>
        </w:rPr>
        <w:t>事故导致</w:t>
      </w:r>
      <w:r>
        <w:rPr>
          <w:rFonts w:ascii="宋体" w:hAnsi="宋体" w:eastAsia="宋体" w:cs="宋体"/>
          <w:spacing w:val="-39"/>
          <w:sz w:val="24"/>
          <w:szCs w:val="24"/>
        </w:rPr>
        <w:t xml:space="preserve"> </w:t>
      </w:r>
      <w:r>
        <w:rPr>
          <w:rFonts w:ascii="Times New Roman" w:hAnsi="Times New Roman" w:eastAsia="Times New Roman" w:cs="Times New Roman"/>
          <w:spacing w:val="1"/>
          <w:sz w:val="24"/>
          <w:szCs w:val="24"/>
        </w:rPr>
        <w:t xml:space="preserve">7  </w:t>
      </w:r>
      <w:r>
        <w:rPr>
          <w:rFonts w:ascii="宋体" w:hAnsi="宋体" w:eastAsia="宋体" w:cs="宋体"/>
          <w:spacing w:val="1"/>
          <w:sz w:val="24"/>
          <w:szCs w:val="24"/>
        </w:rPr>
        <w:t>轻微煤气中毒，</w:t>
      </w:r>
      <w:r>
        <w:rPr>
          <w:rFonts w:ascii="Times New Roman" w:hAnsi="Times New Roman" w:eastAsia="Times New Roman" w:cs="Times New Roman"/>
          <w:spacing w:val="1"/>
          <w:sz w:val="24"/>
          <w:szCs w:val="24"/>
        </w:rPr>
        <w:t xml:space="preserve">16 </w:t>
      </w:r>
      <w:r>
        <w:rPr>
          <w:rFonts w:ascii="宋体" w:hAnsi="宋体" w:eastAsia="宋体" w:cs="宋体"/>
          <w:spacing w:val="1"/>
          <w:sz w:val="24"/>
          <w:szCs w:val="24"/>
        </w:rPr>
        <w:t>人有煤气吸入反应，有序疏散周边居民和企业内部人员</w:t>
      </w:r>
      <w:r>
        <w:rPr>
          <w:rFonts w:ascii="宋体" w:hAnsi="宋体" w:eastAsia="宋体" w:cs="宋体"/>
          <w:sz w:val="24"/>
          <w:szCs w:val="24"/>
        </w:rPr>
        <w:t xml:space="preserve"> </w:t>
      </w:r>
      <w:r>
        <w:rPr>
          <w:rFonts w:ascii="Times New Roman" w:hAnsi="Times New Roman" w:eastAsia="Times New Roman" w:cs="Times New Roman"/>
          <w:spacing w:val="1"/>
          <w:sz w:val="24"/>
          <w:szCs w:val="24"/>
        </w:rPr>
        <w:t xml:space="preserve">900 </w:t>
      </w:r>
      <w:r>
        <w:rPr>
          <w:rFonts w:ascii="宋体" w:hAnsi="宋体" w:eastAsia="宋体" w:cs="宋体"/>
          <w:spacing w:val="1"/>
          <w:sz w:val="24"/>
          <w:szCs w:val="24"/>
        </w:rPr>
        <w:t>余人（已返回）。事故原因：一是煤气泄漏事故报警时，当班</w:t>
      </w:r>
      <w:r>
        <w:rPr>
          <w:rFonts w:ascii="宋体" w:hAnsi="宋体" w:eastAsia="宋体" w:cs="宋体"/>
          <w:sz w:val="24"/>
          <w:szCs w:val="24"/>
        </w:rPr>
        <w:t xml:space="preserve">操作人员处置不当， </w:t>
      </w:r>
      <w:r>
        <w:rPr>
          <w:rFonts w:ascii="宋体" w:hAnsi="宋体" w:eastAsia="宋体" w:cs="宋体"/>
          <w:spacing w:val="-2"/>
          <w:sz w:val="24"/>
          <w:szCs w:val="24"/>
        </w:rPr>
        <w:t>生产运行中安全管理不到位，应急操作不及时，致使事故处置滞后，造成煤气泄漏长达</w:t>
      </w:r>
      <w:r>
        <w:rPr>
          <w:rFonts w:ascii="宋体" w:hAnsi="宋体" w:eastAsia="宋体" w:cs="宋体"/>
          <w:spacing w:val="18"/>
          <w:sz w:val="24"/>
          <w:szCs w:val="24"/>
        </w:rPr>
        <w:t xml:space="preserve"> </w:t>
      </w:r>
      <w:r>
        <w:rPr>
          <w:rFonts w:ascii="Times New Roman" w:hAnsi="Times New Roman" w:eastAsia="Times New Roman" w:cs="Times New Roman"/>
          <w:spacing w:val="-3"/>
          <w:sz w:val="24"/>
          <w:szCs w:val="24"/>
        </w:rPr>
        <w:t xml:space="preserve">75 </w:t>
      </w:r>
      <w:r>
        <w:rPr>
          <w:rFonts w:ascii="宋体" w:hAnsi="宋体" w:eastAsia="宋体" w:cs="宋体"/>
          <w:spacing w:val="-3"/>
          <w:sz w:val="24"/>
          <w:szCs w:val="24"/>
        </w:rPr>
        <w:t>分钟。二是电子公司维护管理制度不完善，存在漏洞，维护工作、安全生产管理、设</w:t>
      </w:r>
      <w:r>
        <w:rPr>
          <w:rFonts w:ascii="宋体" w:hAnsi="宋体" w:eastAsia="宋体" w:cs="宋体"/>
          <w:spacing w:val="2"/>
          <w:sz w:val="24"/>
          <w:szCs w:val="24"/>
        </w:rPr>
        <w:t xml:space="preserve"> </w:t>
      </w:r>
      <w:r>
        <w:rPr>
          <w:rFonts w:ascii="宋体" w:hAnsi="宋体" w:eastAsia="宋体" w:cs="宋体"/>
          <w:spacing w:val="-2"/>
          <w:sz w:val="24"/>
          <w:szCs w:val="24"/>
        </w:rPr>
        <w:t>备维护点检管理不到位。三是热能厂操作人员对紧急煤气放散快开阀上下限设定值参数</w:t>
      </w:r>
      <w:r>
        <w:rPr>
          <w:rFonts w:ascii="宋体" w:hAnsi="宋体" w:eastAsia="宋体" w:cs="宋体"/>
          <w:spacing w:val="18"/>
          <w:sz w:val="24"/>
          <w:szCs w:val="24"/>
        </w:rPr>
        <w:t xml:space="preserve"> </w:t>
      </w:r>
      <w:r>
        <w:rPr>
          <w:rFonts w:ascii="宋体" w:hAnsi="宋体" w:eastAsia="宋体" w:cs="宋体"/>
          <w:spacing w:val="1"/>
          <w:sz w:val="24"/>
          <w:szCs w:val="24"/>
        </w:rPr>
        <w:t>未纳入生产点检制度进行检查、记录，导致</w:t>
      </w:r>
      <w:r>
        <w:rPr>
          <w:rFonts w:ascii="宋体" w:hAnsi="宋体" w:eastAsia="宋体" w:cs="宋体"/>
          <w:sz w:val="24"/>
          <w:szCs w:val="24"/>
        </w:rPr>
        <w:t>紧急气动快开阀关闭参数被变动后未发现， 安全生产管理制度不完善，安全检查工作不到位。四是重钢</w:t>
      </w:r>
      <w:r>
        <w:rPr>
          <w:rFonts w:ascii="宋体" w:hAnsi="宋体" w:eastAsia="宋体" w:cs="宋体"/>
          <w:spacing w:val="-16"/>
          <w:sz w:val="24"/>
          <w:szCs w:val="24"/>
        </w:rPr>
        <w:t xml:space="preserve"> </w:t>
      </w:r>
      <w:r>
        <w:rPr>
          <w:rFonts w:ascii="Times New Roman" w:hAnsi="Times New Roman" w:eastAsia="Times New Roman" w:cs="Times New Roman"/>
          <w:sz w:val="24"/>
          <w:szCs w:val="24"/>
        </w:rPr>
        <w:t>10</w:t>
      </w:r>
      <w:r>
        <w:rPr>
          <w:rFonts w:ascii="Times New Roman" w:hAnsi="Times New Roman" w:eastAsia="Times New Roman" w:cs="Times New Roman"/>
          <w:spacing w:val="18"/>
          <w:sz w:val="24"/>
          <w:szCs w:val="24"/>
        </w:rPr>
        <w:t xml:space="preserve"> </w:t>
      </w:r>
      <w:r>
        <w:rPr>
          <w:rFonts w:ascii="宋体" w:hAnsi="宋体" w:eastAsia="宋体" w:cs="宋体"/>
          <w:sz w:val="24"/>
          <w:szCs w:val="24"/>
        </w:rPr>
        <w:t>万立方米高炉煤气柜放</w:t>
      </w:r>
    </w:p>
    <w:p w14:paraId="3E362654">
      <w:pPr>
        <w:spacing w:line="365" w:lineRule="auto"/>
        <w:rPr>
          <w:rFonts w:ascii="宋体" w:hAnsi="宋体" w:eastAsia="宋体" w:cs="宋体"/>
          <w:sz w:val="24"/>
          <w:szCs w:val="24"/>
        </w:rPr>
        <w:sectPr>
          <w:headerReference r:id="rId393" w:type="default"/>
          <w:footerReference r:id="rId394" w:type="default"/>
          <w:pgSz w:w="11906" w:h="16839"/>
          <w:pgMar w:top="1191" w:right="1337" w:bottom="1221" w:left="1417" w:header="882" w:footer="1059" w:gutter="0"/>
          <w:cols w:space="720" w:num="1"/>
        </w:sectPr>
      </w:pPr>
    </w:p>
    <w:p w14:paraId="2628836D">
      <w:pPr>
        <w:spacing w:line="28" w:lineRule="exact"/>
      </w:pPr>
      <w:r>
        <w:pict>
          <v:shape id="_x0000_s1904" o:spid="_x0000_s1904" style="height:1.45pt;width:453.65pt;" fillcolor="#000000" filled="t" stroked="f" coordsize="9072,29" path="m0,0l9072,0,9072,28,0,28,0,0xe">
            <v:path/>
            <v:fill on="t" focussize="0,0"/>
            <v:stroke on="f"/>
            <v:imagedata o:title=""/>
            <o:lock v:ext="edit"/>
            <w10:wrap type="none"/>
            <w10:anchorlock/>
          </v:shape>
        </w:pict>
      </w:r>
    </w:p>
    <w:p w14:paraId="0D0360B2">
      <w:pPr>
        <w:spacing w:before="318" w:line="359" w:lineRule="auto"/>
        <w:ind w:left="7" w:right="61"/>
        <w:rPr>
          <w:rFonts w:ascii="宋体" w:hAnsi="宋体" w:eastAsia="宋体" w:cs="宋体"/>
          <w:sz w:val="24"/>
          <w:szCs w:val="24"/>
        </w:rPr>
      </w:pPr>
      <w:r>
        <w:rPr>
          <w:rFonts w:ascii="宋体" w:hAnsi="宋体" w:eastAsia="宋体" w:cs="宋体"/>
          <w:sz w:val="24"/>
          <w:szCs w:val="24"/>
        </w:rPr>
        <w:t>散系统属</w:t>
      </w:r>
      <w:r>
        <w:rPr>
          <w:rFonts w:ascii="Times New Roman" w:hAnsi="Times New Roman" w:eastAsia="Times New Roman" w:cs="Times New Roman"/>
          <w:sz w:val="24"/>
          <w:szCs w:val="24"/>
        </w:rPr>
        <w:t xml:space="preserve">20 </w:t>
      </w:r>
      <w:r>
        <w:rPr>
          <w:rFonts w:ascii="宋体" w:hAnsi="宋体" w:eastAsia="宋体" w:cs="宋体"/>
          <w:sz w:val="24"/>
          <w:szCs w:val="24"/>
        </w:rPr>
        <w:t>世纪</w:t>
      </w:r>
      <w:r>
        <w:rPr>
          <w:rFonts w:ascii="宋体" w:hAnsi="宋体" w:eastAsia="宋体" w:cs="宋体"/>
          <w:spacing w:val="-45"/>
          <w:sz w:val="24"/>
          <w:szCs w:val="24"/>
        </w:rPr>
        <w:t xml:space="preserve"> </w:t>
      </w:r>
      <w:r>
        <w:rPr>
          <w:rFonts w:ascii="Times New Roman" w:hAnsi="Times New Roman" w:eastAsia="Times New Roman" w:cs="Times New Roman"/>
          <w:sz w:val="24"/>
          <w:szCs w:val="24"/>
        </w:rPr>
        <w:t xml:space="preserve">80 </w:t>
      </w:r>
      <w:r>
        <w:rPr>
          <w:rFonts w:ascii="宋体" w:hAnsi="宋体" w:eastAsia="宋体" w:cs="宋体"/>
          <w:sz w:val="24"/>
          <w:szCs w:val="24"/>
        </w:rPr>
        <w:t>年代设计，不符合国家现行管理要求</w:t>
      </w:r>
      <w:r>
        <w:rPr>
          <w:rFonts w:ascii="宋体" w:hAnsi="宋体" w:eastAsia="宋体" w:cs="宋体"/>
          <w:spacing w:val="-1"/>
          <w:sz w:val="24"/>
          <w:szCs w:val="24"/>
        </w:rPr>
        <w:t>，直接将煤气排放进入大气，</w:t>
      </w:r>
      <w:r>
        <w:rPr>
          <w:rFonts w:ascii="宋体" w:hAnsi="宋体" w:eastAsia="宋体" w:cs="宋体"/>
          <w:sz w:val="24"/>
          <w:szCs w:val="24"/>
        </w:rPr>
        <w:t xml:space="preserve"> 存在缺陷。五是重钢集团公司对</w:t>
      </w:r>
      <w:r>
        <w:rPr>
          <w:rFonts w:ascii="宋体" w:hAnsi="宋体" w:eastAsia="宋体" w:cs="宋体"/>
          <w:spacing w:val="-16"/>
          <w:sz w:val="24"/>
          <w:szCs w:val="24"/>
        </w:rPr>
        <w:t xml:space="preserve"> </w:t>
      </w:r>
      <w:r>
        <w:rPr>
          <w:rFonts w:ascii="Times New Roman" w:hAnsi="Times New Roman" w:eastAsia="Times New Roman" w:cs="Times New Roman"/>
          <w:sz w:val="24"/>
          <w:szCs w:val="24"/>
        </w:rPr>
        <w:t>10</w:t>
      </w:r>
      <w:r>
        <w:rPr>
          <w:rFonts w:ascii="Times New Roman" w:hAnsi="Times New Roman" w:eastAsia="Times New Roman" w:cs="Times New Roman"/>
          <w:spacing w:val="18"/>
          <w:sz w:val="24"/>
          <w:szCs w:val="24"/>
        </w:rPr>
        <w:t xml:space="preserve"> </w:t>
      </w:r>
      <w:r>
        <w:rPr>
          <w:rFonts w:ascii="宋体" w:hAnsi="宋体" w:eastAsia="宋体" w:cs="宋体"/>
          <w:sz w:val="24"/>
          <w:szCs w:val="24"/>
        </w:rPr>
        <w:t xml:space="preserve">万立方米高炉煤气柜安全系统存在的隐患失察，安 </w:t>
      </w:r>
      <w:r>
        <w:rPr>
          <w:rFonts w:ascii="宋体" w:hAnsi="宋体" w:eastAsia="宋体" w:cs="宋体"/>
          <w:spacing w:val="-1"/>
          <w:sz w:val="24"/>
          <w:szCs w:val="24"/>
        </w:rPr>
        <w:t>全管理方面存在疏漏。</w:t>
      </w:r>
    </w:p>
    <w:p w14:paraId="41936873">
      <w:pPr>
        <w:spacing w:before="33" w:line="354" w:lineRule="auto"/>
        <w:ind w:left="10" w:right="61" w:firstLine="473"/>
        <w:rPr>
          <w:rFonts w:ascii="宋体" w:hAnsi="宋体" w:eastAsia="宋体" w:cs="宋体"/>
          <w:sz w:val="24"/>
          <w:szCs w:val="24"/>
        </w:rPr>
      </w:pPr>
      <w:r>
        <w:rPr>
          <w:rFonts w:ascii="Times New Roman" w:hAnsi="Times New Roman" w:eastAsia="Times New Roman" w:cs="Times New Roman"/>
          <w:spacing w:val="-4"/>
          <w:sz w:val="24"/>
          <w:szCs w:val="24"/>
        </w:rPr>
        <w:t xml:space="preserve">2007 </w:t>
      </w:r>
      <w:r>
        <w:rPr>
          <w:rFonts w:ascii="宋体" w:hAnsi="宋体" w:eastAsia="宋体" w:cs="宋体"/>
          <w:spacing w:val="-4"/>
          <w:sz w:val="24"/>
          <w:szCs w:val="24"/>
        </w:rPr>
        <w:t>年</w:t>
      </w:r>
      <w:r>
        <w:rPr>
          <w:rFonts w:ascii="宋体" w:hAnsi="宋体" w:eastAsia="宋体" w:cs="宋体"/>
          <w:spacing w:val="-23"/>
          <w:sz w:val="24"/>
          <w:szCs w:val="24"/>
        </w:rPr>
        <w:t xml:space="preserve"> </w:t>
      </w:r>
      <w:r>
        <w:rPr>
          <w:rFonts w:ascii="Times New Roman" w:hAnsi="Times New Roman" w:eastAsia="Times New Roman" w:cs="Times New Roman"/>
          <w:spacing w:val="-4"/>
          <w:sz w:val="24"/>
          <w:szCs w:val="24"/>
        </w:rPr>
        <w:t>1</w:t>
      </w:r>
      <w:r>
        <w:rPr>
          <w:rFonts w:ascii="Times New Roman" w:hAnsi="Times New Roman" w:eastAsia="Times New Roman" w:cs="Times New Roman"/>
          <w:spacing w:val="17"/>
          <w:w w:val="101"/>
          <w:sz w:val="24"/>
          <w:szCs w:val="24"/>
        </w:rPr>
        <w:t xml:space="preserve"> </w:t>
      </w:r>
      <w:r>
        <w:rPr>
          <w:rFonts w:ascii="宋体" w:hAnsi="宋体" w:eastAsia="宋体" w:cs="宋体"/>
          <w:spacing w:val="-4"/>
          <w:sz w:val="24"/>
          <w:szCs w:val="24"/>
        </w:rPr>
        <w:t>月</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13  </w:t>
      </w:r>
      <w:r>
        <w:rPr>
          <w:rFonts w:ascii="宋体" w:hAnsi="宋体" w:eastAsia="宋体" w:cs="宋体"/>
          <w:spacing w:val="-4"/>
          <w:sz w:val="24"/>
          <w:szCs w:val="24"/>
        </w:rPr>
        <w:t>日下午近</w:t>
      </w:r>
      <w:r>
        <w:rPr>
          <w:rFonts w:ascii="宋体" w:hAnsi="宋体" w:eastAsia="宋体" w:cs="宋体"/>
          <w:spacing w:val="-54"/>
          <w:sz w:val="24"/>
          <w:szCs w:val="24"/>
        </w:rPr>
        <w:t xml:space="preserve"> </w:t>
      </w:r>
      <w:r>
        <w:rPr>
          <w:rFonts w:ascii="Times New Roman" w:hAnsi="Times New Roman" w:eastAsia="Times New Roman" w:cs="Times New Roman"/>
          <w:spacing w:val="-4"/>
          <w:sz w:val="24"/>
          <w:szCs w:val="24"/>
        </w:rPr>
        <w:t>4</w:t>
      </w:r>
      <w:r>
        <w:rPr>
          <w:rFonts w:ascii="Times New Roman" w:hAnsi="Times New Roman" w:eastAsia="Times New Roman" w:cs="Times New Roman"/>
          <w:spacing w:val="21"/>
          <w:sz w:val="24"/>
          <w:szCs w:val="24"/>
        </w:rPr>
        <w:t xml:space="preserve"> </w:t>
      </w:r>
      <w:r>
        <w:rPr>
          <w:rFonts w:ascii="宋体" w:hAnsi="宋体" w:eastAsia="宋体" w:cs="宋体"/>
          <w:spacing w:val="-4"/>
          <w:sz w:val="24"/>
          <w:szCs w:val="24"/>
        </w:rPr>
        <w:t>时，淮北临涣煤焦化基地发生煤气爆炸，据了解，爆炸</w:t>
      </w:r>
      <w:r>
        <w:rPr>
          <w:rFonts w:ascii="宋体" w:hAnsi="宋体" w:eastAsia="宋体" w:cs="宋体"/>
          <w:sz w:val="24"/>
          <w:szCs w:val="24"/>
        </w:rPr>
        <w:t xml:space="preserve"> </w:t>
      </w:r>
      <w:r>
        <w:rPr>
          <w:rFonts w:ascii="宋体" w:hAnsi="宋体" w:eastAsia="宋体" w:cs="宋体"/>
          <w:spacing w:val="-8"/>
          <w:sz w:val="24"/>
          <w:szCs w:val="24"/>
        </w:rPr>
        <w:t>至少导致</w:t>
      </w:r>
      <w:r>
        <w:rPr>
          <w:rFonts w:ascii="宋体" w:hAnsi="宋体" w:eastAsia="宋体" w:cs="宋体"/>
          <w:spacing w:val="-30"/>
          <w:sz w:val="24"/>
          <w:szCs w:val="24"/>
        </w:rPr>
        <w:t xml:space="preserve"> </w:t>
      </w:r>
      <w:r>
        <w:rPr>
          <w:rFonts w:ascii="Times New Roman" w:hAnsi="Times New Roman" w:eastAsia="Times New Roman" w:cs="Times New Roman"/>
          <w:spacing w:val="-8"/>
          <w:sz w:val="24"/>
          <w:szCs w:val="24"/>
        </w:rPr>
        <w:t xml:space="preserve">1 </w:t>
      </w:r>
      <w:r>
        <w:rPr>
          <w:rFonts w:ascii="宋体" w:hAnsi="宋体" w:eastAsia="宋体" w:cs="宋体"/>
          <w:spacing w:val="-8"/>
          <w:sz w:val="24"/>
          <w:szCs w:val="24"/>
        </w:rPr>
        <w:t>死</w:t>
      </w:r>
      <w:r>
        <w:rPr>
          <w:rFonts w:ascii="宋体" w:hAnsi="宋体" w:eastAsia="宋体" w:cs="宋体"/>
          <w:spacing w:val="-32"/>
          <w:sz w:val="24"/>
          <w:szCs w:val="24"/>
        </w:rPr>
        <w:t xml:space="preserve"> </w:t>
      </w:r>
      <w:r>
        <w:rPr>
          <w:rFonts w:ascii="Times New Roman" w:hAnsi="Times New Roman" w:eastAsia="Times New Roman" w:cs="Times New Roman"/>
          <w:spacing w:val="-8"/>
          <w:sz w:val="24"/>
          <w:szCs w:val="24"/>
        </w:rPr>
        <w:t>1</w:t>
      </w:r>
      <w:r>
        <w:rPr>
          <w:rFonts w:ascii="Times New Roman" w:hAnsi="Times New Roman" w:eastAsia="Times New Roman" w:cs="Times New Roman"/>
          <w:spacing w:val="9"/>
          <w:sz w:val="24"/>
          <w:szCs w:val="24"/>
        </w:rPr>
        <w:t xml:space="preserve"> </w:t>
      </w:r>
      <w:r>
        <w:rPr>
          <w:rFonts w:ascii="宋体" w:hAnsi="宋体" w:eastAsia="宋体" w:cs="宋体"/>
          <w:spacing w:val="-8"/>
          <w:sz w:val="24"/>
          <w:szCs w:val="24"/>
        </w:rPr>
        <w:t>伤。</w:t>
      </w:r>
    </w:p>
    <w:p w14:paraId="6ECE1208">
      <w:pPr>
        <w:spacing w:before="33" w:line="362" w:lineRule="auto"/>
        <w:ind w:left="9" w:right="61" w:firstLine="479"/>
        <w:jc w:val="both"/>
        <w:rPr>
          <w:rFonts w:ascii="宋体" w:hAnsi="宋体" w:eastAsia="宋体" w:cs="宋体"/>
          <w:sz w:val="24"/>
          <w:szCs w:val="24"/>
        </w:rPr>
      </w:pPr>
      <w:r>
        <w:rPr>
          <w:rFonts w:ascii="宋体" w:hAnsi="宋体" w:eastAsia="宋体" w:cs="宋体"/>
          <w:spacing w:val="-2"/>
          <w:sz w:val="24"/>
          <w:szCs w:val="24"/>
        </w:rPr>
        <w:t>根据我国化工企业发生的较大及其以上级别事故，将已搜集事故进行分类。《企业</w:t>
      </w:r>
      <w:r>
        <w:rPr>
          <w:rFonts w:ascii="宋体" w:hAnsi="宋体" w:eastAsia="宋体" w:cs="宋体"/>
          <w:spacing w:val="13"/>
          <w:sz w:val="24"/>
          <w:szCs w:val="24"/>
        </w:rPr>
        <w:t xml:space="preserve"> </w:t>
      </w:r>
      <w:r>
        <w:rPr>
          <w:rFonts w:ascii="宋体" w:hAnsi="宋体" w:eastAsia="宋体" w:cs="宋体"/>
          <w:spacing w:val="-3"/>
          <w:sz w:val="24"/>
          <w:szCs w:val="24"/>
        </w:rPr>
        <w:t>工伤亡事故分类》（</w:t>
      </w:r>
      <w:r>
        <w:rPr>
          <w:rFonts w:ascii="Times New Roman" w:hAnsi="Times New Roman" w:eastAsia="Times New Roman" w:cs="Times New Roman"/>
          <w:spacing w:val="-3"/>
          <w:sz w:val="24"/>
          <w:szCs w:val="24"/>
        </w:rPr>
        <w:t>GB6441-86</w:t>
      </w:r>
      <w:r>
        <w:rPr>
          <w:rFonts w:ascii="宋体" w:hAnsi="宋体" w:eastAsia="宋体" w:cs="宋体"/>
          <w:spacing w:val="-3"/>
          <w:sz w:val="24"/>
          <w:szCs w:val="24"/>
        </w:rPr>
        <w:t>）将工况商贸中可能发生的事故划分成</w:t>
      </w:r>
      <w:r>
        <w:rPr>
          <w:rFonts w:ascii="宋体" w:hAnsi="宋体" w:eastAsia="宋体" w:cs="宋体"/>
          <w:spacing w:val="-41"/>
          <w:sz w:val="24"/>
          <w:szCs w:val="24"/>
        </w:rPr>
        <w:t xml:space="preserve"> </w:t>
      </w:r>
      <w:r>
        <w:rPr>
          <w:rFonts w:ascii="Times New Roman" w:hAnsi="Times New Roman" w:eastAsia="Times New Roman" w:cs="Times New Roman"/>
          <w:spacing w:val="-3"/>
          <w:sz w:val="24"/>
          <w:szCs w:val="24"/>
        </w:rPr>
        <w:t xml:space="preserve">20 </w:t>
      </w:r>
      <w:r>
        <w:rPr>
          <w:rFonts w:ascii="宋体" w:hAnsi="宋体" w:eastAsia="宋体" w:cs="宋体"/>
          <w:spacing w:val="-3"/>
          <w:sz w:val="24"/>
          <w:szCs w:val="24"/>
        </w:rPr>
        <w:t>类，但就化工</w:t>
      </w:r>
      <w:r>
        <w:rPr>
          <w:rFonts w:ascii="宋体" w:hAnsi="宋体" w:eastAsia="宋体" w:cs="宋体"/>
          <w:sz w:val="24"/>
          <w:szCs w:val="24"/>
        </w:rPr>
        <w:t xml:space="preserve"> 行业，共中</w:t>
      </w:r>
      <w:r>
        <w:rPr>
          <w:rFonts w:ascii="Times New Roman" w:hAnsi="Times New Roman" w:eastAsia="Times New Roman" w:cs="Times New Roman"/>
          <w:sz w:val="24"/>
          <w:szCs w:val="24"/>
        </w:rPr>
        <w:t xml:space="preserve">9 </w:t>
      </w:r>
      <w:r>
        <w:rPr>
          <w:rFonts w:ascii="宋体" w:hAnsi="宋体" w:eastAsia="宋体" w:cs="宋体"/>
          <w:sz w:val="24"/>
          <w:szCs w:val="24"/>
        </w:rPr>
        <w:t xml:space="preserve">种常见类型，其他类型基本没有发生的条条或极少发生，所以在统计中着 </w:t>
      </w:r>
      <w:r>
        <w:rPr>
          <w:rFonts w:ascii="宋体" w:hAnsi="宋体" w:eastAsia="宋体" w:cs="宋体"/>
          <w:spacing w:val="-1"/>
          <w:sz w:val="24"/>
          <w:szCs w:val="24"/>
        </w:rPr>
        <w:t>重依照这</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 xml:space="preserve">9 </w:t>
      </w:r>
      <w:r>
        <w:rPr>
          <w:rFonts w:ascii="宋体" w:hAnsi="宋体" w:eastAsia="宋体" w:cs="宋体"/>
          <w:spacing w:val="-1"/>
          <w:sz w:val="24"/>
          <w:szCs w:val="24"/>
        </w:rPr>
        <w:t>种类别将已收集到的事故案例进行分类，详见表</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5.4-1</w:t>
      </w:r>
      <w:r>
        <w:rPr>
          <w:rFonts w:ascii="宋体" w:hAnsi="宋体" w:eastAsia="宋体" w:cs="宋体"/>
          <w:spacing w:val="-1"/>
          <w:sz w:val="24"/>
          <w:szCs w:val="24"/>
        </w:rPr>
        <w:t>。</w:t>
      </w:r>
    </w:p>
    <w:p w14:paraId="23B7FE8B">
      <w:pPr>
        <w:spacing w:before="48" w:line="228" w:lineRule="auto"/>
        <w:ind w:left="3349"/>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4"/>
          <w:sz w:val="20"/>
          <w:szCs w:val="20"/>
        </w:rPr>
        <w:t xml:space="preserve">5.4-1        </w:t>
      </w:r>
      <w:r>
        <w:rPr>
          <w:rFonts w:ascii="宋体" w:hAnsi="宋体" w:eastAsia="宋体" w:cs="宋体"/>
          <w:b/>
          <w:bCs/>
          <w:spacing w:val="4"/>
          <w:sz w:val="20"/>
          <w:szCs w:val="20"/>
        </w:rPr>
        <w:t>事故分类情况</w:t>
      </w:r>
    </w:p>
    <w:p w14:paraId="0D79D6D2">
      <w:pPr>
        <w:spacing w:line="98" w:lineRule="exact"/>
      </w:pPr>
    </w:p>
    <w:tbl>
      <w:tblPr>
        <w:tblStyle w:val="5"/>
        <w:tblW w:w="907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637"/>
        <w:gridCol w:w="4433"/>
      </w:tblGrid>
      <w:tr w14:paraId="440812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4637" w:type="dxa"/>
            <w:tcBorders>
              <w:top w:val="single" w:color="000000" w:sz="10" w:space="0"/>
              <w:left w:val="nil"/>
            </w:tcBorders>
            <w:vAlign w:val="top"/>
          </w:tcPr>
          <w:p w14:paraId="2DCF9FA1">
            <w:pPr>
              <w:pStyle w:val="6"/>
              <w:spacing w:before="59" w:line="228" w:lineRule="auto"/>
              <w:ind w:left="1904"/>
              <w:rPr>
                <w:sz w:val="20"/>
                <w:szCs w:val="20"/>
              </w:rPr>
            </w:pPr>
            <w:r>
              <w:rPr>
                <w:spacing w:val="7"/>
                <w:sz w:val="20"/>
                <w:szCs w:val="20"/>
              </w:rPr>
              <w:t>事故类型</w:t>
            </w:r>
          </w:p>
        </w:tc>
        <w:tc>
          <w:tcPr>
            <w:tcW w:w="4433" w:type="dxa"/>
            <w:tcBorders>
              <w:top w:val="single" w:color="000000" w:sz="10" w:space="0"/>
              <w:right w:val="nil"/>
            </w:tcBorders>
            <w:vAlign w:val="top"/>
          </w:tcPr>
          <w:p w14:paraId="19901790">
            <w:pPr>
              <w:pStyle w:val="6"/>
              <w:spacing w:before="59" w:line="228" w:lineRule="auto"/>
              <w:ind w:left="1618"/>
              <w:rPr>
                <w:sz w:val="20"/>
                <w:szCs w:val="20"/>
              </w:rPr>
            </w:pPr>
            <w:r>
              <w:rPr>
                <w:spacing w:val="5"/>
                <w:sz w:val="20"/>
                <w:szCs w:val="20"/>
              </w:rPr>
              <w:t>百分数（</w:t>
            </w:r>
            <w:r>
              <w:rPr>
                <w:rFonts w:ascii="Times New Roman" w:hAnsi="Times New Roman" w:eastAsia="Times New Roman" w:cs="Times New Roman"/>
                <w:spacing w:val="5"/>
                <w:sz w:val="20"/>
                <w:szCs w:val="20"/>
              </w:rPr>
              <w:t>%</w:t>
            </w:r>
            <w:r>
              <w:rPr>
                <w:spacing w:val="5"/>
                <w:sz w:val="20"/>
                <w:szCs w:val="20"/>
              </w:rPr>
              <w:t>）</w:t>
            </w:r>
          </w:p>
        </w:tc>
      </w:tr>
      <w:tr w14:paraId="10CA1E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 w:hRule="atLeast"/>
        </w:trPr>
        <w:tc>
          <w:tcPr>
            <w:tcW w:w="4637" w:type="dxa"/>
            <w:tcBorders>
              <w:left w:val="nil"/>
            </w:tcBorders>
            <w:vAlign w:val="top"/>
          </w:tcPr>
          <w:p w14:paraId="7C002BEF">
            <w:pPr>
              <w:pStyle w:val="6"/>
              <w:spacing w:before="34" w:line="212" w:lineRule="auto"/>
              <w:ind w:left="1905"/>
              <w:rPr>
                <w:sz w:val="20"/>
                <w:szCs w:val="20"/>
              </w:rPr>
            </w:pPr>
            <w:r>
              <w:rPr>
                <w:spacing w:val="7"/>
                <w:sz w:val="20"/>
                <w:szCs w:val="20"/>
              </w:rPr>
              <w:t>其他爆炸</w:t>
            </w:r>
          </w:p>
        </w:tc>
        <w:tc>
          <w:tcPr>
            <w:tcW w:w="4433" w:type="dxa"/>
            <w:tcBorders>
              <w:right w:val="nil"/>
            </w:tcBorders>
            <w:vAlign w:val="top"/>
          </w:tcPr>
          <w:p w14:paraId="1255AA96">
            <w:pPr>
              <w:spacing w:before="70" w:line="195" w:lineRule="auto"/>
              <w:ind w:left="19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34.42</w:t>
            </w:r>
          </w:p>
        </w:tc>
      </w:tr>
      <w:tr w14:paraId="75ED0F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4637" w:type="dxa"/>
            <w:tcBorders>
              <w:left w:val="nil"/>
            </w:tcBorders>
            <w:vAlign w:val="top"/>
          </w:tcPr>
          <w:p w14:paraId="5823F6B2">
            <w:pPr>
              <w:pStyle w:val="6"/>
              <w:spacing w:before="38" w:line="209" w:lineRule="auto"/>
              <w:ind w:left="1818"/>
              <w:rPr>
                <w:sz w:val="20"/>
                <w:szCs w:val="20"/>
              </w:rPr>
            </w:pPr>
            <w:r>
              <w:rPr>
                <w:spacing w:val="4"/>
                <w:sz w:val="20"/>
                <w:szCs w:val="20"/>
              </w:rPr>
              <w:t>中毒与窒息</w:t>
            </w:r>
          </w:p>
        </w:tc>
        <w:tc>
          <w:tcPr>
            <w:tcW w:w="4433" w:type="dxa"/>
            <w:tcBorders>
              <w:right w:val="nil"/>
            </w:tcBorders>
            <w:vAlign w:val="top"/>
          </w:tcPr>
          <w:p w14:paraId="7E98F16F">
            <w:pPr>
              <w:spacing w:before="74" w:line="195" w:lineRule="auto"/>
              <w:ind w:left="19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22.69</w:t>
            </w:r>
          </w:p>
        </w:tc>
      </w:tr>
      <w:tr w14:paraId="57D365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4637" w:type="dxa"/>
            <w:tcBorders>
              <w:left w:val="nil"/>
            </w:tcBorders>
            <w:vAlign w:val="top"/>
          </w:tcPr>
          <w:p w14:paraId="241DFB48">
            <w:pPr>
              <w:pStyle w:val="6"/>
              <w:spacing w:before="39" w:line="208" w:lineRule="auto"/>
              <w:ind w:left="1905"/>
              <w:rPr>
                <w:sz w:val="20"/>
                <w:szCs w:val="20"/>
              </w:rPr>
            </w:pPr>
            <w:r>
              <w:rPr>
                <w:spacing w:val="7"/>
                <w:sz w:val="20"/>
                <w:szCs w:val="20"/>
              </w:rPr>
              <w:t>燃气爆炸</w:t>
            </w:r>
          </w:p>
        </w:tc>
        <w:tc>
          <w:tcPr>
            <w:tcW w:w="4433" w:type="dxa"/>
            <w:tcBorders>
              <w:right w:val="nil"/>
            </w:tcBorders>
            <w:vAlign w:val="top"/>
          </w:tcPr>
          <w:p w14:paraId="0E050221">
            <w:pPr>
              <w:spacing w:before="75" w:line="195" w:lineRule="auto"/>
              <w:ind w:left="198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21.01</w:t>
            </w:r>
          </w:p>
        </w:tc>
      </w:tr>
      <w:tr w14:paraId="1E0FC0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4637" w:type="dxa"/>
            <w:tcBorders>
              <w:left w:val="nil"/>
            </w:tcBorders>
            <w:vAlign w:val="top"/>
          </w:tcPr>
          <w:p w14:paraId="5A067654">
            <w:pPr>
              <w:pStyle w:val="6"/>
              <w:spacing w:before="42" w:line="205" w:lineRule="auto"/>
              <w:ind w:left="2115"/>
              <w:rPr>
                <w:sz w:val="20"/>
                <w:szCs w:val="20"/>
              </w:rPr>
            </w:pPr>
            <w:r>
              <w:rPr>
                <w:spacing w:val="3"/>
                <w:sz w:val="20"/>
                <w:szCs w:val="20"/>
              </w:rPr>
              <w:t>火灾</w:t>
            </w:r>
          </w:p>
        </w:tc>
        <w:tc>
          <w:tcPr>
            <w:tcW w:w="4433" w:type="dxa"/>
            <w:tcBorders>
              <w:right w:val="nil"/>
            </w:tcBorders>
            <w:vAlign w:val="top"/>
          </w:tcPr>
          <w:p w14:paraId="4C0B8D64">
            <w:pPr>
              <w:spacing w:before="79" w:line="194" w:lineRule="auto"/>
              <w:ind w:left="2096"/>
              <w:rPr>
                <w:rFonts w:ascii="Times New Roman" w:hAnsi="Times New Roman" w:eastAsia="Times New Roman" w:cs="Times New Roman"/>
                <w:sz w:val="20"/>
                <w:szCs w:val="20"/>
              </w:rPr>
            </w:pPr>
            <w:r>
              <w:rPr>
                <w:rFonts w:ascii="Times New Roman" w:hAnsi="Times New Roman" w:eastAsia="Times New Roman" w:cs="Times New Roman"/>
                <w:sz w:val="20"/>
                <w:szCs w:val="20"/>
              </w:rPr>
              <w:t>8.4</w:t>
            </w:r>
          </w:p>
        </w:tc>
      </w:tr>
      <w:tr w14:paraId="7956EB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4637" w:type="dxa"/>
            <w:tcBorders>
              <w:left w:val="nil"/>
            </w:tcBorders>
            <w:vAlign w:val="top"/>
          </w:tcPr>
          <w:p w14:paraId="6472C6C4">
            <w:pPr>
              <w:pStyle w:val="6"/>
              <w:spacing w:before="42" w:line="205" w:lineRule="auto"/>
              <w:ind w:left="1910"/>
              <w:rPr>
                <w:sz w:val="20"/>
                <w:szCs w:val="20"/>
              </w:rPr>
            </w:pPr>
            <w:r>
              <w:rPr>
                <w:spacing w:val="5"/>
                <w:sz w:val="20"/>
                <w:szCs w:val="20"/>
              </w:rPr>
              <w:t>高处坠落</w:t>
            </w:r>
          </w:p>
        </w:tc>
        <w:tc>
          <w:tcPr>
            <w:tcW w:w="4433" w:type="dxa"/>
            <w:tcBorders>
              <w:right w:val="nil"/>
            </w:tcBorders>
            <w:vAlign w:val="top"/>
          </w:tcPr>
          <w:p w14:paraId="30BDB183">
            <w:pPr>
              <w:spacing w:before="79" w:line="194" w:lineRule="auto"/>
              <w:ind w:left="204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5.04</w:t>
            </w:r>
          </w:p>
        </w:tc>
      </w:tr>
      <w:tr w14:paraId="138105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4637" w:type="dxa"/>
            <w:tcBorders>
              <w:left w:val="nil"/>
            </w:tcBorders>
            <w:vAlign w:val="top"/>
          </w:tcPr>
          <w:p w14:paraId="17FCF173">
            <w:pPr>
              <w:pStyle w:val="6"/>
              <w:spacing w:before="46" w:line="202" w:lineRule="auto"/>
              <w:ind w:left="2114"/>
              <w:rPr>
                <w:sz w:val="20"/>
                <w:szCs w:val="20"/>
              </w:rPr>
            </w:pPr>
            <w:r>
              <w:rPr>
                <w:spacing w:val="4"/>
                <w:sz w:val="20"/>
                <w:szCs w:val="20"/>
              </w:rPr>
              <w:t>塌陷</w:t>
            </w:r>
          </w:p>
        </w:tc>
        <w:tc>
          <w:tcPr>
            <w:tcW w:w="4433" w:type="dxa"/>
            <w:tcBorders>
              <w:right w:val="nil"/>
            </w:tcBorders>
            <w:vAlign w:val="top"/>
          </w:tcPr>
          <w:p w14:paraId="3D0E957F">
            <w:pPr>
              <w:spacing w:before="82" w:line="190" w:lineRule="auto"/>
              <w:ind w:left="20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4.20</w:t>
            </w:r>
          </w:p>
        </w:tc>
      </w:tr>
      <w:tr w14:paraId="7FAA9E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4637" w:type="dxa"/>
            <w:tcBorders>
              <w:left w:val="nil"/>
            </w:tcBorders>
            <w:vAlign w:val="top"/>
          </w:tcPr>
          <w:p w14:paraId="1EDA1744">
            <w:pPr>
              <w:pStyle w:val="6"/>
              <w:spacing w:before="49" w:line="199" w:lineRule="auto"/>
              <w:ind w:left="2117"/>
              <w:rPr>
                <w:sz w:val="20"/>
                <w:szCs w:val="20"/>
              </w:rPr>
            </w:pPr>
            <w:r>
              <w:rPr>
                <w:spacing w:val="2"/>
                <w:sz w:val="20"/>
                <w:szCs w:val="20"/>
              </w:rPr>
              <w:t>灼伤</w:t>
            </w:r>
          </w:p>
        </w:tc>
        <w:tc>
          <w:tcPr>
            <w:tcW w:w="4433" w:type="dxa"/>
            <w:tcBorders>
              <w:right w:val="nil"/>
            </w:tcBorders>
            <w:vAlign w:val="top"/>
          </w:tcPr>
          <w:p w14:paraId="4EDE0B34">
            <w:pPr>
              <w:spacing w:before="85" w:line="187" w:lineRule="auto"/>
              <w:ind w:left="203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2.52</w:t>
            </w:r>
          </w:p>
        </w:tc>
      </w:tr>
      <w:tr w14:paraId="0BE7F4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4637" w:type="dxa"/>
            <w:tcBorders>
              <w:left w:val="nil"/>
            </w:tcBorders>
            <w:vAlign w:val="top"/>
          </w:tcPr>
          <w:p w14:paraId="5744F8F1">
            <w:pPr>
              <w:pStyle w:val="6"/>
              <w:spacing w:before="50" w:line="198" w:lineRule="auto"/>
              <w:ind w:left="1906"/>
              <w:rPr>
                <w:sz w:val="20"/>
                <w:szCs w:val="20"/>
              </w:rPr>
            </w:pPr>
            <w:r>
              <w:rPr>
                <w:spacing w:val="6"/>
                <w:sz w:val="20"/>
                <w:szCs w:val="20"/>
              </w:rPr>
              <w:t>火药爆炸</w:t>
            </w:r>
          </w:p>
        </w:tc>
        <w:tc>
          <w:tcPr>
            <w:tcW w:w="4433" w:type="dxa"/>
            <w:tcBorders>
              <w:right w:val="nil"/>
            </w:tcBorders>
            <w:vAlign w:val="top"/>
          </w:tcPr>
          <w:p w14:paraId="7D14F2DB">
            <w:pPr>
              <w:spacing w:before="86" w:line="186" w:lineRule="auto"/>
              <w:ind w:left="20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0.84</w:t>
            </w:r>
          </w:p>
        </w:tc>
      </w:tr>
      <w:tr w14:paraId="6070CF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8" w:hRule="atLeast"/>
        </w:trPr>
        <w:tc>
          <w:tcPr>
            <w:tcW w:w="4637" w:type="dxa"/>
            <w:tcBorders>
              <w:left w:val="nil"/>
              <w:bottom w:val="single" w:color="000000" w:sz="10" w:space="0"/>
            </w:tcBorders>
            <w:vAlign w:val="top"/>
          </w:tcPr>
          <w:p w14:paraId="3A2F6FD3">
            <w:pPr>
              <w:pStyle w:val="6"/>
              <w:spacing w:before="53" w:line="216" w:lineRule="auto"/>
              <w:ind w:left="2113"/>
              <w:rPr>
                <w:sz w:val="20"/>
                <w:szCs w:val="20"/>
              </w:rPr>
            </w:pPr>
            <w:r>
              <w:rPr>
                <w:spacing w:val="4"/>
                <w:sz w:val="20"/>
                <w:szCs w:val="20"/>
              </w:rPr>
              <w:t>触电</w:t>
            </w:r>
          </w:p>
        </w:tc>
        <w:tc>
          <w:tcPr>
            <w:tcW w:w="4433" w:type="dxa"/>
            <w:tcBorders>
              <w:bottom w:val="single" w:color="000000" w:sz="10" w:space="0"/>
              <w:right w:val="nil"/>
            </w:tcBorders>
            <w:vAlign w:val="top"/>
          </w:tcPr>
          <w:p w14:paraId="5D5BF4EC">
            <w:pPr>
              <w:spacing w:before="89" w:line="195" w:lineRule="auto"/>
              <w:ind w:left="20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0.84</w:t>
            </w:r>
          </w:p>
        </w:tc>
      </w:tr>
    </w:tbl>
    <w:p w14:paraId="530AE8E1">
      <w:pPr>
        <w:spacing w:before="122" w:line="353" w:lineRule="auto"/>
        <w:ind w:left="10" w:right="59" w:firstLine="480"/>
        <w:rPr>
          <w:rFonts w:ascii="宋体" w:hAnsi="宋体" w:eastAsia="宋体" w:cs="宋体"/>
          <w:sz w:val="24"/>
          <w:szCs w:val="24"/>
        </w:rPr>
      </w:pPr>
      <w:r>
        <w:rPr>
          <w:rFonts w:ascii="宋体" w:hAnsi="宋体" w:eastAsia="宋体" w:cs="宋体"/>
          <w:sz w:val="24"/>
          <w:szCs w:val="24"/>
        </w:rPr>
        <w:t>从统计可以看出，</w:t>
      </w:r>
      <w:r>
        <w:rPr>
          <w:rFonts w:ascii="Times New Roman" w:hAnsi="Times New Roman" w:eastAsia="Times New Roman" w:cs="Times New Roman"/>
          <w:sz w:val="24"/>
          <w:szCs w:val="24"/>
        </w:rPr>
        <w:t xml:space="preserve">8 </w:t>
      </w:r>
      <w:r>
        <w:rPr>
          <w:rFonts w:ascii="宋体" w:hAnsi="宋体" w:eastAsia="宋体" w:cs="宋体"/>
          <w:sz w:val="24"/>
          <w:szCs w:val="24"/>
        </w:rPr>
        <w:t>年间我国化工企业发生较大及其以上级别事故次数较多的类型</w:t>
      </w:r>
      <w:r>
        <w:rPr>
          <w:rFonts w:ascii="宋体" w:hAnsi="宋体" w:eastAsia="宋体" w:cs="宋体"/>
          <w:spacing w:val="1"/>
          <w:sz w:val="24"/>
          <w:szCs w:val="24"/>
        </w:rPr>
        <w:t xml:space="preserve"> </w:t>
      </w:r>
      <w:r>
        <w:rPr>
          <w:rFonts w:ascii="宋体" w:hAnsi="宋体" w:eastAsia="宋体" w:cs="宋体"/>
          <w:spacing w:val="-1"/>
          <w:sz w:val="24"/>
          <w:szCs w:val="24"/>
        </w:rPr>
        <w:t>依次是：其他爆炸、中毒与窒息、燃气爆炸、火灾和高处坠落。</w:t>
      </w:r>
    </w:p>
    <w:p w14:paraId="01ACED35">
      <w:pPr>
        <w:spacing w:before="39" w:line="334" w:lineRule="auto"/>
        <w:ind w:left="12" w:firstLine="476"/>
        <w:rPr>
          <w:rFonts w:ascii="宋体" w:hAnsi="宋体" w:eastAsia="宋体" w:cs="宋体"/>
          <w:sz w:val="24"/>
          <w:szCs w:val="24"/>
        </w:rPr>
      </w:pPr>
      <w:r>
        <w:rPr>
          <w:rFonts w:ascii="宋体" w:hAnsi="宋体" w:eastAsia="宋体" w:cs="宋体"/>
          <w:spacing w:val="-6"/>
          <w:sz w:val="24"/>
          <w:szCs w:val="24"/>
        </w:rPr>
        <w:t>针对化工行业企业生产特点，将化工企业生产划分</w:t>
      </w:r>
      <w:r>
        <w:rPr>
          <w:rFonts w:ascii="宋体" w:hAnsi="宋体" w:eastAsia="宋体" w:cs="宋体"/>
          <w:spacing w:val="-7"/>
          <w:sz w:val="24"/>
          <w:szCs w:val="24"/>
        </w:rPr>
        <w:t>为若干个环节，对事故进行分类，</w:t>
      </w:r>
      <w:r>
        <w:rPr>
          <w:rFonts w:ascii="宋体" w:hAnsi="宋体" w:eastAsia="宋体" w:cs="宋体"/>
          <w:sz w:val="24"/>
          <w:szCs w:val="24"/>
        </w:rPr>
        <w:t xml:space="preserve"> </w:t>
      </w:r>
      <w:r>
        <w:rPr>
          <w:rFonts w:ascii="宋体" w:hAnsi="宋体" w:eastAsia="宋体" w:cs="宋体"/>
          <w:spacing w:val="-3"/>
          <w:sz w:val="24"/>
          <w:szCs w:val="24"/>
        </w:rPr>
        <w:t>见下表</w:t>
      </w:r>
      <w:r>
        <w:rPr>
          <w:rFonts w:ascii="宋体" w:hAnsi="宋体" w:eastAsia="宋体" w:cs="宋体"/>
          <w:spacing w:val="-39"/>
          <w:sz w:val="24"/>
          <w:szCs w:val="24"/>
        </w:rPr>
        <w:t xml:space="preserve"> </w:t>
      </w:r>
      <w:r>
        <w:rPr>
          <w:rFonts w:ascii="Times New Roman" w:hAnsi="Times New Roman" w:eastAsia="Times New Roman" w:cs="Times New Roman"/>
          <w:spacing w:val="-3"/>
          <w:sz w:val="24"/>
          <w:szCs w:val="24"/>
        </w:rPr>
        <w:t xml:space="preserve">5.4-2 </w:t>
      </w:r>
      <w:r>
        <w:rPr>
          <w:rFonts w:ascii="宋体" w:hAnsi="宋体" w:eastAsia="宋体" w:cs="宋体"/>
          <w:spacing w:val="-3"/>
          <w:sz w:val="24"/>
          <w:szCs w:val="24"/>
        </w:rPr>
        <w:t>所示。</w:t>
      </w:r>
    </w:p>
    <w:p w14:paraId="51D4AE41">
      <w:pPr>
        <w:spacing w:line="228" w:lineRule="auto"/>
        <w:ind w:left="2718"/>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5.4-2        </w:t>
      </w:r>
      <w:r>
        <w:rPr>
          <w:rFonts w:ascii="宋体" w:hAnsi="宋体" w:eastAsia="宋体" w:cs="宋体"/>
          <w:b/>
          <w:bCs/>
          <w:spacing w:val="5"/>
          <w:sz w:val="20"/>
          <w:szCs w:val="20"/>
        </w:rPr>
        <w:t>易发生事故装置统计一览表</w:t>
      </w:r>
    </w:p>
    <w:p w14:paraId="470C21AC">
      <w:pPr>
        <w:spacing w:line="130" w:lineRule="exact"/>
      </w:pPr>
    </w:p>
    <w:tbl>
      <w:tblPr>
        <w:tblStyle w:val="5"/>
        <w:tblW w:w="9067"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19"/>
        <w:gridCol w:w="3755"/>
        <w:gridCol w:w="3193"/>
      </w:tblGrid>
      <w:tr w14:paraId="26C9B1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2119" w:type="dxa"/>
            <w:tcBorders>
              <w:top w:val="single" w:color="000000" w:sz="10" w:space="0"/>
              <w:left w:val="nil"/>
            </w:tcBorders>
            <w:vAlign w:val="top"/>
          </w:tcPr>
          <w:p w14:paraId="54158032">
            <w:pPr>
              <w:pStyle w:val="6"/>
              <w:spacing w:before="58" w:line="228" w:lineRule="auto"/>
              <w:ind w:left="647"/>
              <w:rPr>
                <w:sz w:val="20"/>
                <w:szCs w:val="20"/>
              </w:rPr>
            </w:pPr>
            <w:r>
              <w:rPr>
                <w:spacing w:val="6"/>
                <w:sz w:val="20"/>
                <w:szCs w:val="20"/>
              </w:rPr>
              <w:t>生产环节</w:t>
            </w:r>
          </w:p>
        </w:tc>
        <w:tc>
          <w:tcPr>
            <w:tcW w:w="3755" w:type="dxa"/>
            <w:tcBorders>
              <w:top w:val="single" w:color="000000" w:sz="10" w:space="0"/>
            </w:tcBorders>
            <w:vAlign w:val="top"/>
          </w:tcPr>
          <w:p w14:paraId="46B2E4D7">
            <w:pPr>
              <w:pStyle w:val="6"/>
              <w:spacing w:before="58" w:line="228" w:lineRule="auto"/>
              <w:ind w:left="1062"/>
              <w:rPr>
                <w:sz w:val="20"/>
                <w:szCs w:val="20"/>
              </w:rPr>
            </w:pPr>
            <w:r>
              <w:rPr>
                <w:spacing w:val="7"/>
                <w:sz w:val="20"/>
                <w:szCs w:val="20"/>
              </w:rPr>
              <w:t>按事故数量（</w:t>
            </w:r>
            <w:r>
              <w:rPr>
                <w:rFonts w:ascii="Times New Roman" w:hAnsi="Times New Roman" w:eastAsia="Times New Roman" w:cs="Times New Roman"/>
                <w:spacing w:val="7"/>
                <w:sz w:val="20"/>
                <w:szCs w:val="20"/>
              </w:rPr>
              <w:t>%</w:t>
            </w:r>
            <w:r>
              <w:rPr>
                <w:spacing w:val="7"/>
                <w:sz w:val="20"/>
                <w:szCs w:val="20"/>
              </w:rPr>
              <w:t>）</w:t>
            </w:r>
          </w:p>
        </w:tc>
        <w:tc>
          <w:tcPr>
            <w:tcW w:w="3193" w:type="dxa"/>
            <w:tcBorders>
              <w:top w:val="single" w:color="000000" w:sz="10" w:space="0"/>
              <w:right w:val="nil"/>
            </w:tcBorders>
            <w:vAlign w:val="top"/>
          </w:tcPr>
          <w:p w14:paraId="23E8A763">
            <w:pPr>
              <w:pStyle w:val="6"/>
              <w:spacing w:before="58" w:line="228" w:lineRule="auto"/>
              <w:ind w:left="783"/>
              <w:rPr>
                <w:sz w:val="20"/>
                <w:szCs w:val="20"/>
              </w:rPr>
            </w:pPr>
            <w:r>
              <w:rPr>
                <w:spacing w:val="7"/>
                <w:sz w:val="20"/>
                <w:szCs w:val="20"/>
              </w:rPr>
              <w:t>按死亡人数（</w:t>
            </w:r>
            <w:r>
              <w:rPr>
                <w:rFonts w:ascii="Times New Roman" w:hAnsi="Times New Roman" w:eastAsia="Times New Roman" w:cs="Times New Roman"/>
                <w:spacing w:val="7"/>
                <w:sz w:val="20"/>
                <w:szCs w:val="20"/>
              </w:rPr>
              <w:t>%</w:t>
            </w:r>
            <w:r>
              <w:rPr>
                <w:spacing w:val="7"/>
                <w:sz w:val="20"/>
                <w:szCs w:val="20"/>
              </w:rPr>
              <w:t>）</w:t>
            </w:r>
          </w:p>
        </w:tc>
      </w:tr>
      <w:tr w14:paraId="528364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119" w:type="dxa"/>
            <w:tcBorders>
              <w:left w:val="nil"/>
            </w:tcBorders>
            <w:vAlign w:val="top"/>
          </w:tcPr>
          <w:p w14:paraId="61F8B257">
            <w:pPr>
              <w:pStyle w:val="6"/>
              <w:spacing w:before="33" w:line="214" w:lineRule="auto"/>
              <w:ind w:left="857"/>
              <w:rPr>
                <w:sz w:val="20"/>
                <w:szCs w:val="20"/>
              </w:rPr>
            </w:pPr>
            <w:r>
              <w:rPr>
                <w:spacing w:val="3"/>
                <w:sz w:val="20"/>
                <w:szCs w:val="20"/>
              </w:rPr>
              <w:t>工艺</w:t>
            </w:r>
          </w:p>
        </w:tc>
        <w:tc>
          <w:tcPr>
            <w:tcW w:w="3755" w:type="dxa"/>
            <w:vAlign w:val="top"/>
          </w:tcPr>
          <w:p w14:paraId="2B179955">
            <w:pPr>
              <w:spacing w:before="69" w:line="195" w:lineRule="auto"/>
              <w:ind w:left="16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34.45</w:t>
            </w:r>
          </w:p>
        </w:tc>
        <w:tc>
          <w:tcPr>
            <w:tcW w:w="3193" w:type="dxa"/>
            <w:tcBorders>
              <w:right w:val="nil"/>
            </w:tcBorders>
            <w:vAlign w:val="top"/>
          </w:tcPr>
          <w:p w14:paraId="7592A07C">
            <w:pPr>
              <w:spacing w:before="69" w:line="195" w:lineRule="auto"/>
              <w:ind w:left="13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35.69</w:t>
            </w:r>
          </w:p>
        </w:tc>
      </w:tr>
      <w:tr w14:paraId="6E21A1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 w:hRule="atLeast"/>
        </w:trPr>
        <w:tc>
          <w:tcPr>
            <w:tcW w:w="2119" w:type="dxa"/>
            <w:tcBorders>
              <w:left w:val="nil"/>
            </w:tcBorders>
            <w:vAlign w:val="top"/>
          </w:tcPr>
          <w:p w14:paraId="33CF0D10">
            <w:pPr>
              <w:pStyle w:val="6"/>
              <w:spacing w:before="36" w:line="210" w:lineRule="auto"/>
              <w:ind w:left="645"/>
              <w:rPr>
                <w:sz w:val="20"/>
                <w:szCs w:val="20"/>
              </w:rPr>
            </w:pPr>
            <w:r>
              <w:rPr>
                <w:spacing w:val="7"/>
                <w:sz w:val="20"/>
                <w:szCs w:val="20"/>
              </w:rPr>
              <w:t>施工作业</w:t>
            </w:r>
          </w:p>
        </w:tc>
        <w:tc>
          <w:tcPr>
            <w:tcW w:w="3755" w:type="dxa"/>
            <w:vAlign w:val="top"/>
          </w:tcPr>
          <w:p w14:paraId="3755594B">
            <w:pPr>
              <w:spacing w:before="72" w:line="195" w:lineRule="auto"/>
              <w:ind w:left="16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18.49</w:t>
            </w:r>
          </w:p>
        </w:tc>
        <w:tc>
          <w:tcPr>
            <w:tcW w:w="3193" w:type="dxa"/>
            <w:tcBorders>
              <w:right w:val="nil"/>
            </w:tcBorders>
            <w:vAlign w:val="top"/>
          </w:tcPr>
          <w:p w14:paraId="3F48C5D5">
            <w:pPr>
              <w:spacing w:before="72" w:line="195" w:lineRule="auto"/>
              <w:ind w:left="13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17.25</w:t>
            </w:r>
          </w:p>
        </w:tc>
      </w:tr>
      <w:tr w14:paraId="516215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119" w:type="dxa"/>
            <w:tcBorders>
              <w:left w:val="nil"/>
            </w:tcBorders>
            <w:vAlign w:val="top"/>
          </w:tcPr>
          <w:p w14:paraId="48D16C4A">
            <w:pPr>
              <w:pStyle w:val="6"/>
              <w:spacing w:before="38" w:line="209" w:lineRule="auto"/>
              <w:ind w:left="854"/>
              <w:rPr>
                <w:sz w:val="20"/>
                <w:szCs w:val="20"/>
              </w:rPr>
            </w:pPr>
            <w:r>
              <w:rPr>
                <w:spacing w:val="4"/>
                <w:sz w:val="20"/>
                <w:szCs w:val="20"/>
              </w:rPr>
              <w:t>检修</w:t>
            </w:r>
          </w:p>
        </w:tc>
        <w:tc>
          <w:tcPr>
            <w:tcW w:w="3755" w:type="dxa"/>
            <w:vAlign w:val="top"/>
          </w:tcPr>
          <w:p w14:paraId="62C9B78C">
            <w:pPr>
              <w:spacing w:before="74" w:line="195" w:lineRule="auto"/>
              <w:ind w:left="16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12.61</w:t>
            </w:r>
          </w:p>
        </w:tc>
        <w:tc>
          <w:tcPr>
            <w:tcW w:w="3193" w:type="dxa"/>
            <w:tcBorders>
              <w:right w:val="nil"/>
            </w:tcBorders>
            <w:vAlign w:val="top"/>
          </w:tcPr>
          <w:p w14:paraId="71E6AC23">
            <w:pPr>
              <w:spacing w:before="74" w:line="195" w:lineRule="auto"/>
              <w:ind w:left="13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10.59</w:t>
            </w:r>
          </w:p>
        </w:tc>
      </w:tr>
      <w:tr w14:paraId="0DDD79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 w:hRule="atLeast"/>
        </w:trPr>
        <w:tc>
          <w:tcPr>
            <w:tcW w:w="2119" w:type="dxa"/>
            <w:tcBorders>
              <w:left w:val="nil"/>
            </w:tcBorders>
            <w:vAlign w:val="top"/>
          </w:tcPr>
          <w:p w14:paraId="0010760B">
            <w:pPr>
              <w:pStyle w:val="6"/>
              <w:spacing w:before="41" w:line="205" w:lineRule="auto"/>
              <w:ind w:left="853"/>
              <w:rPr>
                <w:sz w:val="20"/>
                <w:szCs w:val="20"/>
              </w:rPr>
            </w:pPr>
            <w:r>
              <w:rPr>
                <w:spacing w:val="5"/>
                <w:sz w:val="20"/>
                <w:szCs w:val="20"/>
              </w:rPr>
              <w:t>储存</w:t>
            </w:r>
          </w:p>
        </w:tc>
        <w:tc>
          <w:tcPr>
            <w:tcW w:w="3755" w:type="dxa"/>
            <w:vAlign w:val="top"/>
          </w:tcPr>
          <w:p w14:paraId="47D2F6B3">
            <w:pPr>
              <w:spacing w:before="78" w:line="194" w:lineRule="auto"/>
              <w:ind w:left="1757"/>
              <w:rPr>
                <w:rFonts w:ascii="Times New Roman" w:hAnsi="Times New Roman" w:eastAsia="Times New Roman" w:cs="Times New Roman"/>
                <w:sz w:val="20"/>
                <w:szCs w:val="20"/>
              </w:rPr>
            </w:pPr>
            <w:r>
              <w:rPr>
                <w:rFonts w:ascii="Times New Roman" w:hAnsi="Times New Roman" w:eastAsia="Times New Roman" w:cs="Times New Roman"/>
                <w:sz w:val="20"/>
                <w:szCs w:val="20"/>
              </w:rPr>
              <w:t>8.4</w:t>
            </w:r>
          </w:p>
        </w:tc>
        <w:tc>
          <w:tcPr>
            <w:tcW w:w="3193" w:type="dxa"/>
            <w:tcBorders>
              <w:right w:val="nil"/>
            </w:tcBorders>
            <w:vAlign w:val="top"/>
          </w:tcPr>
          <w:p w14:paraId="7264B9C5">
            <w:pPr>
              <w:spacing w:before="78" w:line="194" w:lineRule="auto"/>
              <w:ind w:left="142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8.63</w:t>
            </w:r>
          </w:p>
        </w:tc>
      </w:tr>
      <w:tr w14:paraId="69AFE8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119" w:type="dxa"/>
            <w:tcBorders>
              <w:left w:val="nil"/>
            </w:tcBorders>
            <w:vAlign w:val="top"/>
          </w:tcPr>
          <w:p w14:paraId="4AB3479D">
            <w:pPr>
              <w:pStyle w:val="6"/>
              <w:spacing w:before="42" w:line="205" w:lineRule="auto"/>
              <w:ind w:left="854"/>
              <w:rPr>
                <w:sz w:val="20"/>
                <w:szCs w:val="20"/>
              </w:rPr>
            </w:pPr>
            <w:r>
              <w:rPr>
                <w:spacing w:val="4"/>
                <w:sz w:val="20"/>
                <w:szCs w:val="20"/>
              </w:rPr>
              <w:t>清理</w:t>
            </w:r>
          </w:p>
        </w:tc>
        <w:tc>
          <w:tcPr>
            <w:tcW w:w="3755" w:type="dxa"/>
            <w:vAlign w:val="top"/>
          </w:tcPr>
          <w:p w14:paraId="1DCB0359">
            <w:pPr>
              <w:spacing w:before="79" w:line="194" w:lineRule="auto"/>
              <w:ind w:left="169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7.56</w:t>
            </w:r>
          </w:p>
        </w:tc>
        <w:tc>
          <w:tcPr>
            <w:tcW w:w="3193" w:type="dxa"/>
            <w:tcBorders>
              <w:right w:val="nil"/>
            </w:tcBorders>
            <w:vAlign w:val="top"/>
          </w:tcPr>
          <w:p w14:paraId="59EA0235">
            <w:pPr>
              <w:spacing w:before="79" w:line="194" w:lineRule="auto"/>
              <w:ind w:left="142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5.49</w:t>
            </w:r>
          </w:p>
        </w:tc>
      </w:tr>
      <w:tr w14:paraId="64D149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119" w:type="dxa"/>
            <w:tcBorders>
              <w:left w:val="nil"/>
            </w:tcBorders>
            <w:vAlign w:val="top"/>
          </w:tcPr>
          <w:p w14:paraId="208E2B36">
            <w:pPr>
              <w:pStyle w:val="6"/>
              <w:spacing w:before="46" w:line="202" w:lineRule="auto"/>
              <w:ind w:left="856"/>
              <w:rPr>
                <w:sz w:val="20"/>
                <w:szCs w:val="20"/>
              </w:rPr>
            </w:pPr>
            <w:r>
              <w:rPr>
                <w:spacing w:val="3"/>
                <w:sz w:val="20"/>
                <w:szCs w:val="20"/>
              </w:rPr>
              <w:t>调试</w:t>
            </w:r>
          </w:p>
        </w:tc>
        <w:tc>
          <w:tcPr>
            <w:tcW w:w="3755" w:type="dxa"/>
            <w:vAlign w:val="top"/>
          </w:tcPr>
          <w:p w14:paraId="2706F4DA">
            <w:pPr>
              <w:spacing w:before="82" w:line="190" w:lineRule="auto"/>
              <w:ind w:left="174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4.2</w:t>
            </w:r>
          </w:p>
        </w:tc>
        <w:tc>
          <w:tcPr>
            <w:tcW w:w="3193" w:type="dxa"/>
            <w:tcBorders>
              <w:right w:val="nil"/>
            </w:tcBorders>
            <w:vAlign w:val="top"/>
          </w:tcPr>
          <w:p w14:paraId="024CB830">
            <w:pPr>
              <w:spacing w:before="82" w:line="190" w:lineRule="auto"/>
              <w:ind w:left="147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5.</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w:t>
            </w:r>
          </w:p>
        </w:tc>
      </w:tr>
      <w:tr w14:paraId="113DE4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119" w:type="dxa"/>
            <w:tcBorders>
              <w:left w:val="nil"/>
            </w:tcBorders>
            <w:vAlign w:val="top"/>
          </w:tcPr>
          <w:p w14:paraId="56D3B0D7">
            <w:pPr>
              <w:pStyle w:val="6"/>
              <w:spacing w:before="49" w:line="199" w:lineRule="auto"/>
              <w:ind w:left="645"/>
              <w:rPr>
                <w:sz w:val="20"/>
                <w:szCs w:val="20"/>
              </w:rPr>
            </w:pPr>
            <w:r>
              <w:rPr>
                <w:spacing w:val="7"/>
                <w:sz w:val="20"/>
                <w:szCs w:val="20"/>
              </w:rPr>
              <w:t>运输装卸</w:t>
            </w:r>
          </w:p>
        </w:tc>
        <w:tc>
          <w:tcPr>
            <w:tcW w:w="3755" w:type="dxa"/>
            <w:vAlign w:val="top"/>
          </w:tcPr>
          <w:p w14:paraId="281F3883">
            <w:pPr>
              <w:spacing w:before="85" w:line="187" w:lineRule="auto"/>
              <w:ind w:left="17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1.68</w:t>
            </w:r>
          </w:p>
        </w:tc>
        <w:tc>
          <w:tcPr>
            <w:tcW w:w="3193" w:type="dxa"/>
            <w:tcBorders>
              <w:right w:val="nil"/>
            </w:tcBorders>
            <w:vAlign w:val="top"/>
          </w:tcPr>
          <w:p w14:paraId="29283184">
            <w:pPr>
              <w:spacing w:before="85" w:line="187" w:lineRule="auto"/>
              <w:ind w:left="1436"/>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1.57</w:t>
            </w:r>
          </w:p>
        </w:tc>
      </w:tr>
      <w:tr w14:paraId="786385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 w:hRule="atLeast"/>
        </w:trPr>
        <w:tc>
          <w:tcPr>
            <w:tcW w:w="2119" w:type="dxa"/>
            <w:tcBorders>
              <w:left w:val="nil"/>
            </w:tcBorders>
            <w:vAlign w:val="top"/>
          </w:tcPr>
          <w:p w14:paraId="08923A46">
            <w:pPr>
              <w:pStyle w:val="6"/>
              <w:spacing w:before="52" w:line="196" w:lineRule="auto"/>
              <w:ind w:left="646"/>
              <w:rPr>
                <w:sz w:val="20"/>
                <w:szCs w:val="20"/>
              </w:rPr>
            </w:pPr>
            <w:r>
              <w:rPr>
                <w:spacing w:val="7"/>
                <w:sz w:val="20"/>
                <w:szCs w:val="20"/>
              </w:rPr>
              <w:t>气体充装</w:t>
            </w:r>
          </w:p>
        </w:tc>
        <w:tc>
          <w:tcPr>
            <w:tcW w:w="3755" w:type="dxa"/>
            <w:vAlign w:val="top"/>
          </w:tcPr>
          <w:p w14:paraId="0CAF3568">
            <w:pPr>
              <w:spacing w:before="88" w:line="184" w:lineRule="auto"/>
              <w:ind w:left="171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1.68</w:t>
            </w:r>
          </w:p>
        </w:tc>
        <w:tc>
          <w:tcPr>
            <w:tcW w:w="3193" w:type="dxa"/>
            <w:tcBorders>
              <w:right w:val="nil"/>
            </w:tcBorders>
            <w:vAlign w:val="top"/>
          </w:tcPr>
          <w:p w14:paraId="11C37B26">
            <w:pPr>
              <w:spacing w:before="88" w:line="184" w:lineRule="auto"/>
              <w:ind w:left="142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3.</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4"/>
                <w:sz w:val="20"/>
                <w:szCs w:val="20"/>
              </w:rPr>
              <w:t>14</w:t>
            </w:r>
          </w:p>
        </w:tc>
      </w:tr>
      <w:tr w14:paraId="3AF280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9" w:hRule="atLeast"/>
        </w:trPr>
        <w:tc>
          <w:tcPr>
            <w:tcW w:w="2119" w:type="dxa"/>
            <w:tcBorders>
              <w:left w:val="nil"/>
              <w:bottom w:val="single" w:color="000000" w:sz="10" w:space="0"/>
            </w:tcBorders>
            <w:vAlign w:val="top"/>
          </w:tcPr>
          <w:p w14:paraId="40DDEE3D">
            <w:pPr>
              <w:pStyle w:val="6"/>
              <w:spacing w:before="53" w:line="217" w:lineRule="auto"/>
              <w:ind w:left="858"/>
              <w:rPr>
                <w:sz w:val="20"/>
                <w:szCs w:val="20"/>
              </w:rPr>
            </w:pPr>
            <w:r>
              <w:rPr>
                <w:spacing w:val="3"/>
                <w:sz w:val="20"/>
                <w:szCs w:val="20"/>
              </w:rPr>
              <w:t>未知</w:t>
            </w:r>
          </w:p>
        </w:tc>
        <w:tc>
          <w:tcPr>
            <w:tcW w:w="3755" w:type="dxa"/>
            <w:tcBorders>
              <w:bottom w:val="single" w:color="000000" w:sz="10" w:space="0"/>
            </w:tcBorders>
            <w:vAlign w:val="top"/>
          </w:tcPr>
          <w:p w14:paraId="449A42F2">
            <w:pPr>
              <w:spacing w:before="89" w:line="195" w:lineRule="auto"/>
              <w:ind w:left="166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10.92</w:t>
            </w:r>
          </w:p>
        </w:tc>
        <w:tc>
          <w:tcPr>
            <w:tcW w:w="3193" w:type="dxa"/>
            <w:tcBorders>
              <w:bottom w:val="single" w:color="000000" w:sz="10" w:space="0"/>
              <w:right w:val="nil"/>
            </w:tcBorders>
            <w:vAlign w:val="top"/>
          </w:tcPr>
          <w:p w14:paraId="3DB926B0">
            <w:pPr>
              <w:spacing w:before="89" w:line="195" w:lineRule="auto"/>
              <w:ind w:left="13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12.55</w:t>
            </w:r>
          </w:p>
        </w:tc>
      </w:tr>
    </w:tbl>
    <w:p w14:paraId="3689C5FB">
      <w:pPr>
        <w:spacing w:before="119" w:line="356" w:lineRule="auto"/>
        <w:ind w:left="47" w:right="61" w:firstLine="446"/>
        <w:rPr>
          <w:rFonts w:ascii="宋体" w:hAnsi="宋体" w:eastAsia="宋体" w:cs="宋体"/>
          <w:sz w:val="24"/>
          <w:szCs w:val="24"/>
        </w:rPr>
      </w:pPr>
      <w:r>
        <w:rPr>
          <w:rFonts w:ascii="宋体" w:hAnsi="宋体" w:eastAsia="宋体" w:cs="宋体"/>
          <w:spacing w:val="-2"/>
          <w:sz w:val="24"/>
          <w:szCs w:val="24"/>
        </w:rPr>
        <w:t>统计分析显示，在生产环节中，生产工艺中发生事故的概率较高，并且死亡人数约</w:t>
      </w:r>
      <w:r>
        <w:rPr>
          <w:rFonts w:ascii="宋体" w:hAnsi="宋体" w:eastAsia="宋体" w:cs="宋体"/>
          <w:spacing w:val="7"/>
          <w:sz w:val="24"/>
          <w:szCs w:val="24"/>
        </w:rPr>
        <w:t xml:space="preserve"> </w:t>
      </w:r>
      <w:r>
        <w:rPr>
          <w:rFonts w:ascii="宋体" w:hAnsi="宋体" w:eastAsia="宋体" w:cs="宋体"/>
          <w:spacing w:val="-4"/>
          <w:sz w:val="24"/>
          <w:szCs w:val="24"/>
        </w:rPr>
        <w:t>占生产环节死亡总人数的</w:t>
      </w:r>
      <w:r>
        <w:rPr>
          <w:rFonts w:ascii="宋体" w:hAnsi="宋体" w:eastAsia="宋体" w:cs="宋体"/>
          <w:spacing w:val="-50"/>
          <w:sz w:val="24"/>
          <w:szCs w:val="24"/>
        </w:rPr>
        <w:t xml:space="preserve"> </w:t>
      </w:r>
      <w:r>
        <w:rPr>
          <w:rFonts w:ascii="Times New Roman" w:hAnsi="Times New Roman" w:eastAsia="Times New Roman" w:cs="Times New Roman"/>
          <w:spacing w:val="-4"/>
          <w:sz w:val="24"/>
          <w:szCs w:val="24"/>
        </w:rPr>
        <w:t>36%</w:t>
      </w:r>
      <w:r>
        <w:rPr>
          <w:rFonts w:ascii="宋体" w:hAnsi="宋体" w:eastAsia="宋体" w:cs="宋体"/>
          <w:spacing w:val="-4"/>
          <w:sz w:val="24"/>
          <w:szCs w:val="24"/>
        </w:rPr>
        <w:t>。</w:t>
      </w:r>
    </w:p>
    <w:p w14:paraId="09CB8938">
      <w:pPr>
        <w:spacing w:line="356" w:lineRule="auto"/>
        <w:rPr>
          <w:rFonts w:ascii="宋体" w:hAnsi="宋体" w:eastAsia="宋体" w:cs="宋体"/>
          <w:sz w:val="24"/>
          <w:szCs w:val="24"/>
        </w:rPr>
        <w:sectPr>
          <w:headerReference r:id="rId395" w:type="default"/>
          <w:footerReference r:id="rId396" w:type="default"/>
          <w:pgSz w:w="11906" w:h="16839"/>
          <w:pgMar w:top="1191" w:right="1356" w:bottom="1221" w:left="1417" w:header="882" w:footer="1059" w:gutter="0"/>
          <w:cols w:space="720" w:num="1"/>
        </w:sectPr>
      </w:pPr>
    </w:p>
    <w:p w14:paraId="02E7B9EC">
      <w:pPr>
        <w:spacing w:line="28" w:lineRule="exact"/>
      </w:pPr>
      <w:r>
        <w:pict>
          <v:shape id="_x0000_s1906" o:spid="_x0000_s1906" style="height:1.45pt;width:453.65pt;" fillcolor="#000000" filled="t" stroked="f" coordsize="9072,29" path="m0,0l9072,0,9072,28,0,28,0,0xe">
            <v:path/>
            <v:fill on="t" focussize="0,0"/>
            <v:stroke on="f"/>
            <v:imagedata o:title=""/>
            <o:lock v:ext="edit"/>
            <w10:wrap type="none"/>
            <w10:anchorlock/>
          </v:shape>
        </w:pict>
      </w:r>
    </w:p>
    <w:p w14:paraId="6E3EF514">
      <w:pPr>
        <w:spacing w:before="316" w:line="360" w:lineRule="auto"/>
        <w:ind w:left="8" w:right="61" w:firstLine="480"/>
        <w:rPr>
          <w:rFonts w:ascii="宋体" w:hAnsi="宋体" w:eastAsia="宋体" w:cs="宋体"/>
          <w:sz w:val="24"/>
          <w:szCs w:val="24"/>
        </w:rPr>
      </w:pPr>
      <w:r>
        <w:rPr>
          <w:rFonts w:ascii="宋体" w:hAnsi="宋体" w:eastAsia="宋体" w:cs="宋体"/>
          <w:spacing w:val="-2"/>
          <w:sz w:val="24"/>
          <w:szCs w:val="24"/>
        </w:rPr>
        <w:t>根据上述分析，生产工艺中发生事故的概率较高，事故中其他爆炸发生概率较高，</w:t>
      </w:r>
      <w:r>
        <w:rPr>
          <w:rFonts w:ascii="宋体" w:hAnsi="宋体" w:eastAsia="宋体" w:cs="宋体"/>
          <w:spacing w:val="13"/>
          <w:sz w:val="24"/>
          <w:szCs w:val="24"/>
        </w:rPr>
        <w:t xml:space="preserve"> </w:t>
      </w:r>
      <w:r>
        <w:rPr>
          <w:rFonts w:ascii="宋体" w:hAnsi="宋体" w:eastAsia="宋体" w:cs="宋体"/>
          <w:spacing w:val="2"/>
          <w:sz w:val="24"/>
          <w:szCs w:val="24"/>
        </w:rPr>
        <w:t>根据本项目涉及的环境风险物质，设定的风险事故情形为有毒易燃气体煤气（</w:t>
      </w:r>
      <w:r>
        <w:rPr>
          <w:rFonts w:ascii="Times New Roman" w:hAnsi="Times New Roman" w:eastAsia="Times New Roman" w:cs="Times New Roman"/>
          <w:sz w:val="24"/>
          <w:szCs w:val="24"/>
        </w:rPr>
        <w:t>CO</w:t>
      </w:r>
      <w:r>
        <w:rPr>
          <w:rFonts w:ascii="宋体" w:hAnsi="宋体" w:eastAsia="宋体" w:cs="宋体"/>
          <w:spacing w:val="2"/>
          <w:sz w:val="24"/>
          <w:szCs w:val="24"/>
        </w:rPr>
        <w:t>）泄</w:t>
      </w:r>
      <w:r>
        <w:rPr>
          <w:rFonts w:ascii="宋体" w:hAnsi="宋体" w:eastAsia="宋体" w:cs="宋体"/>
          <w:spacing w:val="16"/>
          <w:sz w:val="24"/>
          <w:szCs w:val="24"/>
        </w:rPr>
        <w:t xml:space="preserve"> </w:t>
      </w:r>
      <w:r>
        <w:rPr>
          <w:rFonts w:ascii="宋体" w:hAnsi="宋体" w:eastAsia="宋体" w:cs="宋体"/>
          <w:spacing w:val="-5"/>
          <w:sz w:val="24"/>
          <w:szCs w:val="24"/>
        </w:rPr>
        <w:t>漏。</w:t>
      </w:r>
    </w:p>
    <w:p w14:paraId="58F004B7">
      <w:pPr>
        <w:spacing w:before="33" w:line="364" w:lineRule="auto"/>
        <w:ind w:left="7" w:firstLine="480"/>
        <w:jc w:val="both"/>
        <w:rPr>
          <w:rFonts w:ascii="宋体" w:hAnsi="宋体" w:eastAsia="宋体" w:cs="宋体"/>
          <w:sz w:val="24"/>
          <w:szCs w:val="24"/>
        </w:rPr>
      </w:pPr>
      <w:r>
        <w:rPr>
          <w:rFonts w:ascii="宋体" w:hAnsi="宋体" w:eastAsia="宋体" w:cs="宋体"/>
          <w:spacing w:val="-3"/>
          <w:sz w:val="24"/>
          <w:szCs w:val="24"/>
        </w:rPr>
        <w:t>根据《建设项目环境风险评价技术导则》（</w:t>
      </w:r>
      <w:r>
        <w:rPr>
          <w:rFonts w:ascii="Times New Roman" w:hAnsi="Times New Roman" w:eastAsia="Times New Roman" w:cs="Times New Roman"/>
          <w:spacing w:val="-3"/>
          <w:sz w:val="24"/>
          <w:szCs w:val="24"/>
        </w:rPr>
        <w:t>HJ</w:t>
      </w:r>
      <w:r>
        <w:rPr>
          <w:rFonts w:ascii="Times New Roman" w:hAnsi="Times New Roman" w:eastAsia="Times New Roman" w:cs="Times New Roman"/>
          <w:spacing w:val="30"/>
          <w:w w:val="101"/>
          <w:sz w:val="24"/>
          <w:szCs w:val="24"/>
        </w:rPr>
        <w:t xml:space="preserve"> </w:t>
      </w:r>
      <w:r>
        <w:rPr>
          <w:rFonts w:ascii="Times New Roman" w:hAnsi="Times New Roman" w:eastAsia="Times New Roman" w:cs="Times New Roman"/>
          <w:spacing w:val="-3"/>
          <w:sz w:val="24"/>
          <w:szCs w:val="24"/>
        </w:rPr>
        <w:t>169-2018</w:t>
      </w:r>
      <w:r>
        <w:rPr>
          <w:rFonts w:ascii="宋体" w:hAnsi="宋体" w:eastAsia="宋体" w:cs="宋体"/>
          <w:spacing w:val="-9"/>
          <w:sz w:val="24"/>
          <w:szCs w:val="24"/>
        </w:rPr>
        <w:t>），</w:t>
      </w:r>
      <w:r>
        <w:rPr>
          <w:rFonts w:ascii="宋体" w:hAnsi="宋体" w:eastAsia="宋体" w:cs="宋体"/>
          <w:spacing w:val="-3"/>
          <w:sz w:val="24"/>
          <w:szCs w:val="24"/>
        </w:rPr>
        <w:t>一般而言，发生率小于</w:t>
      </w:r>
      <w:r>
        <w:rPr>
          <w:rFonts w:ascii="宋体" w:hAnsi="宋体" w:eastAsia="宋体" w:cs="宋体"/>
          <w:sz w:val="24"/>
          <w:szCs w:val="24"/>
        </w:rPr>
        <w:t xml:space="preserve"> </w:t>
      </w:r>
      <w:r>
        <w:rPr>
          <w:rFonts w:ascii="Times New Roman" w:hAnsi="Times New Roman" w:eastAsia="Times New Roman" w:cs="Times New Roman"/>
          <w:sz w:val="24"/>
          <w:szCs w:val="24"/>
        </w:rPr>
        <w:t>10</w:t>
      </w:r>
      <w:r>
        <w:rPr>
          <w:rFonts w:ascii="Times New Roman" w:hAnsi="Times New Roman" w:eastAsia="Times New Roman" w:cs="Times New Roman"/>
          <w:position w:val="7"/>
          <w:sz w:val="15"/>
          <w:szCs w:val="15"/>
        </w:rPr>
        <w:t>-6</w:t>
      </w:r>
      <w:r>
        <w:rPr>
          <w:rFonts w:ascii="Times New Roman" w:hAnsi="Times New Roman" w:eastAsia="Times New Roman" w:cs="Times New Roman"/>
          <w:sz w:val="24"/>
          <w:szCs w:val="24"/>
        </w:rPr>
        <w:t>/</w:t>
      </w:r>
      <w:r>
        <w:rPr>
          <w:rFonts w:ascii="宋体" w:hAnsi="宋体" w:eastAsia="宋体" w:cs="宋体"/>
          <w:sz w:val="24"/>
          <w:szCs w:val="24"/>
        </w:rPr>
        <w:t>年的事件是极小概率事件，可作为代表性事故情形中最大可</w:t>
      </w:r>
      <w:r>
        <w:rPr>
          <w:rFonts w:ascii="宋体" w:hAnsi="宋体" w:eastAsia="宋体" w:cs="宋体"/>
          <w:spacing w:val="-1"/>
          <w:sz w:val="24"/>
          <w:szCs w:val="24"/>
        </w:rPr>
        <w:t>信事故设定的参考。参</w:t>
      </w:r>
      <w:r>
        <w:rPr>
          <w:rFonts w:ascii="宋体" w:hAnsi="宋体" w:eastAsia="宋体" w:cs="宋体"/>
          <w:sz w:val="24"/>
          <w:szCs w:val="24"/>
        </w:rPr>
        <w:t xml:space="preserve"> </w:t>
      </w:r>
      <w:r>
        <w:rPr>
          <w:rFonts w:ascii="宋体" w:hAnsi="宋体" w:eastAsia="宋体" w:cs="宋体"/>
          <w:spacing w:val="-5"/>
          <w:sz w:val="24"/>
          <w:szCs w:val="24"/>
        </w:rPr>
        <w:t>考该导则附录</w:t>
      </w:r>
      <w:r>
        <w:rPr>
          <w:rFonts w:ascii="宋体" w:hAnsi="宋体" w:eastAsia="宋体" w:cs="宋体"/>
          <w:spacing w:val="-55"/>
          <w:sz w:val="24"/>
          <w:szCs w:val="24"/>
        </w:rPr>
        <w:t xml:space="preserve"> </w:t>
      </w:r>
      <w:r>
        <w:rPr>
          <w:rFonts w:ascii="Times New Roman" w:hAnsi="Times New Roman" w:eastAsia="Times New Roman" w:cs="Times New Roman"/>
          <w:spacing w:val="-5"/>
          <w:sz w:val="24"/>
          <w:szCs w:val="24"/>
        </w:rPr>
        <w:t>E</w:t>
      </w:r>
      <w:r>
        <w:rPr>
          <w:rFonts w:ascii="宋体" w:hAnsi="宋体" w:eastAsia="宋体" w:cs="宋体"/>
          <w:spacing w:val="-5"/>
          <w:sz w:val="24"/>
          <w:szCs w:val="24"/>
        </w:rPr>
        <w:t>，压力储罐（参考应器</w:t>
      </w:r>
      <w:r>
        <w:rPr>
          <w:rFonts w:ascii="Times New Roman" w:hAnsi="Times New Roman" w:eastAsia="Times New Roman" w:cs="Times New Roman"/>
          <w:spacing w:val="-5"/>
          <w:sz w:val="24"/>
          <w:szCs w:val="24"/>
        </w:rPr>
        <w:t>/</w:t>
      </w:r>
      <w:r>
        <w:rPr>
          <w:rFonts w:ascii="宋体" w:hAnsi="宋体" w:eastAsia="宋体" w:cs="宋体"/>
          <w:spacing w:val="-5"/>
          <w:sz w:val="24"/>
          <w:szCs w:val="24"/>
        </w:rPr>
        <w:t>工艺储罐</w:t>
      </w:r>
      <w:r>
        <w:rPr>
          <w:rFonts w:ascii="Times New Roman" w:hAnsi="Times New Roman" w:eastAsia="Times New Roman" w:cs="Times New Roman"/>
          <w:spacing w:val="-5"/>
          <w:sz w:val="24"/>
          <w:szCs w:val="24"/>
        </w:rPr>
        <w:t>/</w:t>
      </w:r>
      <w:r>
        <w:rPr>
          <w:rFonts w:ascii="宋体" w:hAnsi="宋体" w:eastAsia="宋体" w:cs="宋体"/>
          <w:spacing w:val="-5"/>
          <w:sz w:val="24"/>
          <w:szCs w:val="24"/>
        </w:rPr>
        <w:t>气体储罐</w:t>
      </w:r>
      <w:r>
        <w:rPr>
          <w:rFonts w:ascii="Times New Roman" w:hAnsi="Times New Roman" w:eastAsia="Times New Roman" w:cs="Times New Roman"/>
          <w:spacing w:val="-5"/>
          <w:sz w:val="24"/>
          <w:szCs w:val="24"/>
        </w:rPr>
        <w:t>/</w:t>
      </w:r>
      <w:r>
        <w:rPr>
          <w:rFonts w:ascii="宋体" w:hAnsi="宋体" w:eastAsia="宋体" w:cs="宋体"/>
          <w:spacing w:val="-5"/>
          <w:sz w:val="24"/>
          <w:szCs w:val="24"/>
        </w:rPr>
        <w:t>塔器）发生泄漏孔径为</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10</w:t>
      </w:r>
      <w:r>
        <w:rPr>
          <w:rFonts w:ascii="Times New Roman" w:hAnsi="Times New Roman" w:eastAsia="Times New Roman" w:cs="Times New Roman"/>
          <w:spacing w:val="-6"/>
          <w:sz w:val="24"/>
          <w:szCs w:val="24"/>
        </w:rPr>
        <w:t>mm</w:t>
      </w:r>
      <w:r>
        <w:rPr>
          <w:rFonts w:ascii="Times New Roman" w:hAnsi="Times New Roman" w:eastAsia="Times New Roman" w:cs="Times New Roman"/>
          <w:sz w:val="24"/>
          <w:szCs w:val="24"/>
        </w:rPr>
        <w:t xml:space="preserve">  </w:t>
      </w:r>
      <w:r>
        <w:rPr>
          <w:rFonts w:ascii="宋体" w:hAnsi="宋体" w:eastAsia="宋体" w:cs="宋体"/>
          <w:spacing w:val="-1"/>
          <w:sz w:val="24"/>
          <w:szCs w:val="24"/>
        </w:rPr>
        <w:t>孔径泄漏频率为</w:t>
      </w:r>
      <w:r>
        <w:rPr>
          <w:rFonts w:ascii="宋体" w:hAnsi="宋体" w:eastAsia="宋体" w:cs="宋体"/>
          <w:spacing w:val="-29"/>
          <w:sz w:val="24"/>
          <w:szCs w:val="24"/>
        </w:rPr>
        <w:t xml:space="preserve"> </w:t>
      </w:r>
      <w:r>
        <w:rPr>
          <w:rFonts w:ascii="Times New Roman" w:hAnsi="Times New Roman" w:eastAsia="Times New Roman" w:cs="Times New Roman"/>
          <w:spacing w:val="-1"/>
          <w:sz w:val="24"/>
          <w:szCs w:val="24"/>
        </w:rPr>
        <w:t>1.00×10</w:t>
      </w:r>
      <w:r>
        <w:rPr>
          <w:rFonts w:ascii="Times New Roman" w:hAnsi="Times New Roman" w:eastAsia="Times New Roman" w:cs="Times New Roman"/>
          <w:spacing w:val="-1"/>
          <w:position w:val="8"/>
          <w:sz w:val="15"/>
          <w:szCs w:val="15"/>
        </w:rPr>
        <w:t>-4</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27"/>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10min</w:t>
      </w:r>
      <w:r>
        <w:rPr>
          <w:rFonts w:ascii="Times New Roman" w:hAnsi="Times New Roman" w:eastAsia="Times New Roman" w:cs="Times New Roman"/>
          <w:spacing w:val="41"/>
          <w:sz w:val="24"/>
          <w:szCs w:val="24"/>
        </w:rPr>
        <w:t xml:space="preserve"> </w:t>
      </w:r>
      <w:r>
        <w:rPr>
          <w:rFonts w:ascii="宋体" w:hAnsi="宋体" w:eastAsia="宋体" w:cs="宋体"/>
          <w:spacing w:val="-1"/>
          <w:sz w:val="24"/>
          <w:szCs w:val="24"/>
        </w:rPr>
        <w:t>内储罐泄漏完频率为</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5</w:t>
      </w:r>
      <w:r>
        <w:rPr>
          <w:rFonts w:ascii="Times New Roman" w:hAnsi="Times New Roman" w:eastAsia="Times New Roman" w:cs="Times New Roman"/>
          <w:spacing w:val="-2"/>
          <w:sz w:val="24"/>
          <w:szCs w:val="24"/>
        </w:rPr>
        <w:t>.00×10</w:t>
      </w:r>
      <w:r>
        <w:rPr>
          <w:rFonts w:ascii="Times New Roman" w:hAnsi="Times New Roman" w:eastAsia="Times New Roman" w:cs="Times New Roman"/>
          <w:spacing w:val="-2"/>
          <w:position w:val="8"/>
          <w:sz w:val="15"/>
          <w:szCs w:val="15"/>
        </w:rPr>
        <w:t>-6</w:t>
      </w:r>
      <w:r>
        <w:rPr>
          <w:rFonts w:ascii="Times New Roman" w:hAnsi="Times New Roman" w:eastAsia="Times New Roman" w:cs="Times New Roman"/>
          <w:spacing w:val="-2"/>
          <w:sz w:val="24"/>
          <w:szCs w:val="24"/>
        </w:rPr>
        <w:t>/a</w:t>
      </w:r>
      <w:r>
        <w:rPr>
          <w:rFonts w:ascii="Times New Roman" w:hAnsi="Times New Roman" w:eastAsia="Times New Roman" w:cs="Times New Roman"/>
          <w:spacing w:val="-27"/>
          <w:sz w:val="24"/>
          <w:szCs w:val="24"/>
        </w:rPr>
        <w:t xml:space="preserve"> </w:t>
      </w:r>
      <w:r>
        <w:rPr>
          <w:rFonts w:ascii="宋体" w:hAnsi="宋体" w:eastAsia="宋体" w:cs="宋体"/>
          <w:spacing w:val="-2"/>
          <w:sz w:val="24"/>
          <w:szCs w:val="24"/>
        </w:rPr>
        <w:t>，储罐全破裂泄露</w:t>
      </w:r>
      <w:r>
        <w:rPr>
          <w:rFonts w:ascii="宋体" w:hAnsi="宋体" w:eastAsia="宋体" w:cs="宋体"/>
          <w:sz w:val="24"/>
          <w:szCs w:val="24"/>
        </w:rPr>
        <w:t xml:space="preserve"> </w:t>
      </w:r>
      <w:r>
        <w:rPr>
          <w:rFonts w:ascii="宋体" w:hAnsi="宋体" w:eastAsia="宋体" w:cs="宋体"/>
          <w:spacing w:val="-4"/>
          <w:sz w:val="24"/>
          <w:szCs w:val="24"/>
        </w:rPr>
        <w:t>频率为</w:t>
      </w:r>
      <w:r>
        <w:rPr>
          <w:rFonts w:ascii="宋体" w:hAnsi="宋体" w:eastAsia="宋体" w:cs="宋体"/>
          <w:spacing w:val="-49"/>
          <w:sz w:val="24"/>
          <w:szCs w:val="24"/>
        </w:rPr>
        <w:t xml:space="preserve"> </w:t>
      </w:r>
      <w:r>
        <w:rPr>
          <w:rFonts w:ascii="Times New Roman" w:hAnsi="Times New Roman" w:eastAsia="Times New Roman" w:cs="Times New Roman"/>
          <w:spacing w:val="-4"/>
          <w:sz w:val="24"/>
          <w:szCs w:val="24"/>
        </w:rPr>
        <w:t>5.00×10</w:t>
      </w:r>
      <w:r>
        <w:rPr>
          <w:rFonts w:ascii="Times New Roman" w:hAnsi="Times New Roman" w:eastAsia="Times New Roman" w:cs="Times New Roman"/>
          <w:spacing w:val="-4"/>
          <w:position w:val="8"/>
          <w:sz w:val="15"/>
          <w:szCs w:val="15"/>
        </w:rPr>
        <w:t>-6</w:t>
      </w:r>
      <w:r>
        <w:rPr>
          <w:rFonts w:ascii="Times New Roman" w:hAnsi="Times New Roman" w:eastAsia="Times New Roman" w:cs="Times New Roman"/>
          <w:spacing w:val="-4"/>
          <w:sz w:val="24"/>
          <w:szCs w:val="24"/>
        </w:rPr>
        <w:t>/a</w:t>
      </w:r>
      <w:r>
        <w:rPr>
          <w:rFonts w:ascii="宋体" w:hAnsi="宋体" w:eastAsia="宋体" w:cs="宋体"/>
          <w:spacing w:val="-4"/>
          <w:sz w:val="24"/>
          <w:szCs w:val="24"/>
        </w:rPr>
        <w:t>。常压单包容储罐发生泄漏孔径为</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 xml:space="preserve">10mm </w:t>
      </w:r>
      <w:r>
        <w:rPr>
          <w:rFonts w:ascii="宋体" w:hAnsi="宋体" w:eastAsia="宋体" w:cs="宋体"/>
          <w:spacing w:val="-4"/>
          <w:sz w:val="24"/>
          <w:szCs w:val="24"/>
        </w:rPr>
        <w:t>孔径泄漏频率为</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1.00×10</w:t>
      </w:r>
      <w:r>
        <w:rPr>
          <w:rFonts w:ascii="Times New Roman" w:hAnsi="Times New Roman" w:eastAsia="Times New Roman" w:cs="Times New Roman"/>
          <w:spacing w:val="-5"/>
          <w:position w:val="8"/>
          <w:sz w:val="15"/>
          <w:szCs w:val="15"/>
        </w:rPr>
        <w:t>-4</w:t>
      </w:r>
      <w:r>
        <w:rPr>
          <w:rFonts w:ascii="Times New Roman" w:hAnsi="Times New Roman" w:eastAsia="Times New Roman" w:cs="Times New Roman"/>
          <w:spacing w:val="-5"/>
          <w:sz w:val="24"/>
          <w:szCs w:val="24"/>
        </w:rPr>
        <w:t>/a</w:t>
      </w:r>
      <w:r>
        <w:rPr>
          <w:rFonts w:ascii="宋体" w:hAnsi="宋体" w:eastAsia="宋体" w:cs="宋体"/>
          <w:spacing w:val="-5"/>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10min</w:t>
      </w:r>
      <w:r>
        <w:rPr>
          <w:rFonts w:ascii="Times New Roman" w:hAnsi="Times New Roman" w:eastAsia="Times New Roman" w:cs="Times New Roman"/>
          <w:spacing w:val="41"/>
          <w:sz w:val="24"/>
          <w:szCs w:val="24"/>
        </w:rPr>
        <w:t xml:space="preserve"> </w:t>
      </w:r>
      <w:r>
        <w:rPr>
          <w:rFonts w:ascii="宋体" w:hAnsi="宋体" w:eastAsia="宋体" w:cs="宋体"/>
          <w:spacing w:val="-1"/>
          <w:sz w:val="24"/>
          <w:szCs w:val="24"/>
        </w:rPr>
        <w:t>内储罐泄漏完频率为</w:t>
      </w:r>
      <w:r>
        <w:rPr>
          <w:rFonts w:ascii="宋体" w:hAnsi="宋体" w:eastAsia="宋体" w:cs="宋体"/>
          <w:spacing w:val="-44"/>
          <w:sz w:val="24"/>
          <w:szCs w:val="24"/>
        </w:rPr>
        <w:t xml:space="preserve"> </w:t>
      </w:r>
      <w:r>
        <w:rPr>
          <w:rFonts w:ascii="Times New Roman" w:hAnsi="Times New Roman" w:eastAsia="Times New Roman" w:cs="Times New Roman"/>
          <w:spacing w:val="-1"/>
          <w:sz w:val="24"/>
          <w:szCs w:val="24"/>
        </w:rPr>
        <w:t>5.00×10</w:t>
      </w:r>
      <w:r>
        <w:rPr>
          <w:rFonts w:ascii="Times New Roman" w:hAnsi="Times New Roman" w:eastAsia="Times New Roman" w:cs="Times New Roman"/>
          <w:spacing w:val="-1"/>
          <w:position w:val="7"/>
          <w:sz w:val="15"/>
          <w:szCs w:val="15"/>
        </w:rPr>
        <w:t>-6</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，储罐全破裂泄漏频率为</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5.00×10</w:t>
      </w:r>
      <w:r>
        <w:rPr>
          <w:rFonts w:ascii="Times New Roman" w:hAnsi="Times New Roman" w:eastAsia="Times New Roman" w:cs="Times New Roman"/>
          <w:spacing w:val="-1"/>
          <w:position w:val="7"/>
          <w:sz w:val="15"/>
          <w:szCs w:val="15"/>
        </w:rPr>
        <w:t>-6</w:t>
      </w:r>
      <w:r>
        <w:rPr>
          <w:rFonts w:ascii="Times New Roman" w:hAnsi="Times New Roman" w:eastAsia="Times New Roman" w:cs="Times New Roman"/>
          <w:spacing w:val="-1"/>
          <w:sz w:val="24"/>
          <w:szCs w:val="24"/>
        </w:rPr>
        <w:t>/a</w:t>
      </w:r>
      <w:r>
        <w:rPr>
          <w:rFonts w:ascii="Times New Roman" w:hAnsi="Times New Roman" w:eastAsia="Times New Roman" w:cs="Times New Roman"/>
          <w:spacing w:val="-25"/>
          <w:sz w:val="24"/>
          <w:szCs w:val="24"/>
        </w:rPr>
        <w:t xml:space="preserve"> </w:t>
      </w:r>
      <w:r>
        <w:rPr>
          <w:rFonts w:ascii="宋体" w:hAnsi="宋体" w:eastAsia="宋体" w:cs="宋体"/>
          <w:spacing w:val="-1"/>
          <w:sz w:val="24"/>
          <w:szCs w:val="24"/>
        </w:rPr>
        <w:t>。泄</w:t>
      </w:r>
      <w:r>
        <w:rPr>
          <w:rFonts w:ascii="宋体" w:hAnsi="宋体" w:eastAsia="宋体" w:cs="宋体"/>
          <w:spacing w:val="-2"/>
          <w:sz w:val="24"/>
          <w:szCs w:val="24"/>
        </w:rPr>
        <w:t>漏频率</w:t>
      </w:r>
      <w:r>
        <w:rPr>
          <w:rFonts w:ascii="宋体" w:hAnsi="宋体" w:eastAsia="宋体" w:cs="宋体"/>
          <w:sz w:val="24"/>
          <w:szCs w:val="24"/>
        </w:rPr>
        <w:t xml:space="preserve"> </w:t>
      </w:r>
      <w:r>
        <w:rPr>
          <w:rFonts w:ascii="宋体" w:hAnsi="宋体" w:eastAsia="宋体" w:cs="宋体"/>
          <w:spacing w:val="-1"/>
          <w:sz w:val="24"/>
          <w:szCs w:val="24"/>
        </w:rPr>
        <w:t>越大，则该风险事故发生概率越大。</w:t>
      </w:r>
    </w:p>
    <w:p w14:paraId="3F92D687">
      <w:pPr>
        <w:spacing w:before="36" w:line="354" w:lineRule="auto"/>
        <w:ind w:left="12" w:firstLine="477"/>
        <w:rPr>
          <w:rFonts w:ascii="宋体" w:hAnsi="宋体" w:eastAsia="宋体" w:cs="宋体"/>
          <w:sz w:val="24"/>
          <w:szCs w:val="24"/>
        </w:rPr>
      </w:pPr>
      <w:r>
        <w:rPr>
          <w:rFonts w:ascii="宋体" w:hAnsi="宋体" w:eastAsia="宋体" w:cs="宋体"/>
          <w:spacing w:val="-6"/>
          <w:sz w:val="24"/>
          <w:szCs w:val="24"/>
        </w:rPr>
        <w:t>本项目设定最大可信事故情形如下：煤气柜连接管线发生泄漏，泄漏孔径为</w:t>
      </w:r>
      <w:r>
        <w:rPr>
          <w:rFonts w:ascii="宋体" w:hAnsi="宋体" w:eastAsia="宋体" w:cs="宋体"/>
          <w:spacing w:val="-24"/>
          <w:sz w:val="24"/>
          <w:szCs w:val="24"/>
        </w:rPr>
        <w:t xml:space="preserve"> </w:t>
      </w:r>
      <w:r>
        <w:rPr>
          <w:rFonts w:ascii="Times New Roman" w:hAnsi="Times New Roman" w:eastAsia="Times New Roman" w:cs="Times New Roman"/>
          <w:spacing w:val="-6"/>
          <w:sz w:val="24"/>
          <w:szCs w:val="24"/>
        </w:rPr>
        <w:t>10mm</w:t>
      </w:r>
      <w:r>
        <w:rPr>
          <w:rFonts w:ascii="宋体" w:hAnsi="宋体" w:eastAsia="宋体" w:cs="宋体"/>
          <w:spacing w:val="-6"/>
          <w:sz w:val="24"/>
          <w:szCs w:val="24"/>
        </w:rPr>
        <w:t>，</w:t>
      </w:r>
      <w:r>
        <w:rPr>
          <w:rFonts w:ascii="宋体" w:hAnsi="宋体" w:eastAsia="宋体" w:cs="宋体"/>
          <w:sz w:val="24"/>
          <w:szCs w:val="24"/>
        </w:rPr>
        <w:t xml:space="preserve"> </w:t>
      </w:r>
      <w:r>
        <w:rPr>
          <w:rFonts w:ascii="宋体" w:hAnsi="宋体" w:eastAsia="宋体" w:cs="宋体"/>
          <w:spacing w:val="-2"/>
          <w:sz w:val="24"/>
          <w:szCs w:val="24"/>
        </w:rPr>
        <w:t>泄漏煤气在大气中扩散。</w:t>
      </w:r>
    </w:p>
    <w:p w14:paraId="5A5B0F95">
      <w:pPr>
        <w:spacing w:before="92" w:line="221" w:lineRule="auto"/>
        <w:ind w:left="8"/>
        <w:outlineLvl w:val="2"/>
        <w:rPr>
          <w:rFonts w:ascii="宋体" w:hAnsi="宋体" w:eastAsia="宋体" w:cs="宋体"/>
          <w:sz w:val="28"/>
          <w:szCs w:val="28"/>
        </w:rPr>
      </w:pPr>
      <w:bookmarkStart w:id="404" w:name="bookmark276"/>
      <w:bookmarkEnd w:id="404"/>
      <w:r>
        <w:rPr>
          <w:rFonts w:ascii="Times New Roman" w:hAnsi="Times New Roman" w:eastAsia="Times New Roman" w:cs="Times New Roman"/>
          <w:b/>
          <w:bCs/>
          <w:spacing w:val="-2"/>
          <w:sz w:val="28"/>
          <w:szCs w:val="28"/>
        </w:rPr>
        <w:t xml:space="preserve">5.4.2 </w:t>
      </w:r>
      <w:r>
        <w:rPr>
          <w:rFonts w:ascii="宋体" w:hAnsi="宋体" w:eastAsia="宋体" w:cs="宋体"/>
          <w:b/>
          <w:bCs/>
          <w:spacing w:val="-2"/>
          <w:sz w:val="28"/>
          <w:szCs w:val="28"/>
        </w:rPr>
        <w:t>风险事故情形设定</w:t>
      </w:r>
    </w:p>
    <w:p w14:paraId="279DDE6A">
      <w:pPr>
        <w:spacing w:before="247" w:line="359" w:lineRule="auto"/>
        <w:ind w:left="8" w:right="61" w:firstLine="480"/>
        <w:jc w:val="both"/>
        <w:rPr>
          <w:rFonts w:ascii="宋体" w:hAnsi="宋体" w:eastAsia="宋体" w:cs="宋体"/>
          <w:sz w:val="24"/>
          <w:szCs w:val="24"/>
        </w:rPr>
      </w:pPr>
      <w:r>
        <w:rPr>
          <w:rFonts w:ascii="宋体" w:hAnsi="宋体" w:eastAsia="宋体" w:cs="宋体"/>
          <w:spacing w:val="3"/>
          <w:sz w:val="24"/>
          <w:szCs w:val="24"/>
        </w:rPr>
        <w:t>本项目环境风险物质煤气（</w:t>
      </w:r>
      <w:r>
        <w:rPr>
          <w:rFonts w:ascii="Times New Roman" w:hAnsi="Times New Roman" w:eastAsia="Times New Roman" w:cs="Times New Roman"/>
          <w:sz w:val="24"/>
          <w:szCs w:val="24"/>
        </w:rPr>
        <w:t>CO</w:t>
      </w:r>
      <w:r>
        <w:rPr>
          <w:rFonts w:ascii="宋体" w:hAnsi="宋体" w:eastAsia="宋体" w:cs="宋体"/>
          <w:spacing w:val="3"/>
          <w:sz w:val="24"/>
          <w:szCs w:val="24"/>
        </w:rPr>
        <w:t>）泄漏后，主要</w:t>
      </w:r>
      <w:r>
        <w:rPr>
          <w:rFonts w:ascii="宋体" w:hAnsi="宋体" w:eastAsia="宋体" w:cs="宋体"/>
          <w:spacing w:val="2"/>
          <w:sz w:val="24"/>
          <w:szCs w:val="24"/>
        </w:rPr>
        <w:t>通过大气进行扩散，本次评价大气</w:t>
      </w:r>
      <w:r>
        <w:rPr>
          <w:rFonts w:ascii="宋体" w:hAnsi="宋体" w:eastAsia="宋体" w:cs="宋体"/>
          <w:sz w:val="24"/>
          <w:szCs w:val="24"/>
        </w:rPr>
        <w:t xml:space="preserve"> </w:t>
      </w:r>
      <w:r>
        <w:rPr>
          <w:rFonts w:ascii="宋体" w:hAnsi="宋体" w:eastAsia="宋体" w:cs="宋体"/>
          <w:spacing w:val="2"/>
          <w:sz w:val="24"/>
          <w:szCs w:val="24"/>
        </w:rPr>
        <w:t>环境风险预测煤气（</w:t>
      </w:r>
      <w:r>
        <w:rPr>
          <w:rFonts w:ascii="Times New Roman" w:hAnsi="Times New Roman" w:eastAsia="Times New Roman" w:cs="Times New Roman"/>
          <w:sz w:val="24"/>
          <w:szCs w:val="24"/>
        </w:rPr>
        <w:t>CO</w:t>
      </w:r>
      <w:r>
        <w:rPr>
          <w:rFonts w:ascii="宋体" w:hAnsi="宋体" w:eastAsia="宋体" w:cs="宋体"/>
          <w:spacing w:val="2"/>
          <w:sz w:val="24"/>
          <w:szCs w:val="24"/>
        </w:rPr>
        <w:t>）泄漏后的环境影响；地下水环境风险预测煤气冷凝废水隔油</w:t>
      </w:r>
      <w:r>
        <w:rPr>
          <w:rFonts w:ascii="宋体" w:hAnsi="宋体" w:eastAsia="宋体" w:cs="宋体"/>
          <w:spacing w:val="16"/>
          <w:sz w:val="24"/>
          <w:szCs w:val="24"/>
        </w:rPr>
        <w:t xml:space="preserve"> </w:t>
      </w:r>
      <w:r>
        <w:rPr>
          <w:rFonts w:ascii="宋体" w:hAnsi="宋体" w:eastAsia="宋体" w:cs="宋体"/>
          <w:spacing w:val="-1"/>
          <w:sz w:val="24"/>
          <w:szCs w:val="24"/>
        </w:rPr>
        <w:t>池泄露对地下水环境的影响。</w:t>
      </w:r>
    </w:p>
    <w:p w14:paraId="47D734C1">
      <w:pPr>
        <w:spacing w:before="82" w:line="221" w:lineRule="auto"/>
        <w:ind w:left="13"/>
        <w:outlineLvl w:val="1"/>
        <w:rPr>
          <w:rFonts w:ascii="黑体" w:hAnsi="黑体" w:eastAsia="黑体" w:cs="黑体"/>
          <w:sz w:val="30"/>
          <w:szCs w:val="30"/>
        </w:rPr>
      </w:pPr>
      <w:r>
        <w:rPr>
          <w:rFonts w:ascii="Times New Roman" w:hAnsi="Times New Roman" w:eastAsia="Times New Roman" w:cs="Times New Roman"/>
          <w:spacing w:val="-2"/>
          <w:sz w:val="30"/>
          <w:szCs w:val="30"/>
        </w:rPr>
        <w:t xml:space="preserve">5.5 </w:t>
      </w:r>
      <w:r>
        <w:rPr>
          <w:rFonts w:ascii="黑体" w:hAnsi="黑体" w:eastAsia="黑体" w:cs="黑体"/>
          <w:spacing w:val="-2"/>
          <w:sz w:val="30"/>
          <w:szCs w:val="30"/>
        </w:rPr>
        <w:t>源项分析</w:t>
      </w:r>
    </w:p>
    <w:p w14:paraId="18F1CBF7">
      <w:pPr>
        <w:spacing w:before="288" w:line="221" w:lineRule="auto"/>
        <w:ind w:left="8"/>
        <w:outlineLvl w:val="2"/>
        <w:rPr>
          <w:rFonts w:ascii="宋体" w:hAnsi="宋体" w:eastAsia="宋体" w:cs="宋体"/>
          <w:sz w:val="28"/>
          <w:szCs w:val="28"/>
        </w:rPr>
      </w:pPr>
      <w:bookmarkStart w:id="405" w:name="bookmark278"/>
      <w:bookmarkEnd w:id="405"/>
      <w:bookmarkStart w:id="406" w:name="bookmark280"/>
      <w:bookmarkEnd w:id="406"/>
      <w:r>
        <w:rPr>
          <w:rFonts w:ascii="Times New Roman" w:hAnsi="Times New Roman" w:eastAsia="Times New Roman" w:cs="Times New Roman"/>
          <w:b/>
          <w:bCs/>
          <w:spacing w:val="-2"/>
          <w:sz w:val="28"/>
          <w:szCs w:val="28"/>
        </w:rPr>
        <w:t xml:space="preserve">5.5.1 </w:t>
      </w:r>
      <w:r>
        <w:rPr>
          <w:rFonts w:ascii="宋体" w:hAnsi="宋体" w:eastAsia="宋体" w:cs="宋体"/>
          <w:b/>
          <w:bCs/>
          <w:spacing w:val="-2"/>
          <w:sz w:val="28"/>
          <w:szCs w:val="28"/>
        </w:rPr>
        <w:t>煤气泄漏源项分析</w:t>
      </w:r>
    </w:p>
    <w:p w14:paraId="28E79790">
      <w:pPr>
        <w:spacing w:before="246"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）事故发生泄漏的环境状况及时间</w:t>
      </w:r>
    </w:p>
    <w:p w14:paraId="2957E227">
      <w:pPr>
        <w:spacing w:before="192" w:line="354" w:lineRule="auto"/>
        <w:ind w:left="9" w:firstLine="480"/>
        <w:rPr>
          <w:rFonts w:ascii="宋体" w:hAnsi="宋体" w:eastAsia="宋体" w:cs="宋体"/>
          <w:sz w:val="24"/>
          <w:szCs w:val="24"/>
        </w:rPr>
      </w:pPr>
      <w:r>
        <w:rPr>
          <w:rFonts w:ascii="宋体" w:hAnsi="宋体" w:eastAsia="宋体" w:cs="宋体"/>
          <w:spacing w:val="-6"/>
          <w:sz w:val="24"/>
          <w:szCs w:val="24"/>
        </w:rPr>
        <w:t>本项目煤气管道管道安排专人定期巡检，在日常</w:t>
      </w:r>
      <w:r>
        <w:rPr>
          <w:rFonts w:ascii="宋体" w:hAnsi="宋体" w:eastAsia="宋体" w:cs="宋体"/>
          <w:spacing w:val="-7"/>
          <w:sz w:val="24"/>
          <w:szCs w:val="24"/>
        </w:rPr>
        <w:t>维护妥善，设备工作正常的情况下，</w:t>
      </w:r>
      <w:r>
        <w:rPr>
          <w:rFonts w:ascii="宋体" w:hAnsi="宋体" w:eastAsia="宋体" w:cs="宋体"/>
          <w:sz w:val="24"/>
          <w:szCs w:val="24"/>
        </w:rPr>
        <w:t xml:space="preserve"> </w:t>
      </w:r>
      <w:r>
        <w:rPr>
          <w:rFonts w:ascii="宋体" w:hAnsi="宋体" w:eastAsia="宋体" w:cs="宋体"/>
          <w:spacing w:val="-1"/>
          <w:sz w:val="24"/>
          <w:szCs w:val="24"/>
        </w:rPr>
        <w:t>煤气的泄漏也可以较快的发现并采取相应措施，考虑事故泄漏时间为</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15m</w:t>
      </w:r>
      <w:r>
        <w:rPr>
          <w:rFonts w:ascii="Times New Roman" w:hAnsi="Times New Roman" w:eastAsia="Times New Roman" w:cs="Times New Roman"/>
          <w:spacing w:val="-2"/>
          <w:sz w:val="24"/>
          <w:szCs w:val="24"/>
        </w:rPr>
        <w:t>in</w:t>
      </w:r>
      <w:r>
        <w:rPr>
          <w:rFonts w:ascii="宋体" w:hAnsi="宋体" w:eastAsia="宋体" w:cs="宋体"/>
          <w:spacing w:val="-2"/>
          <w:sz w:val="24"/>
          <w:szCs w:val="24"/>
        </w:rPr>
        <w:t>。</w:t>
      </w:r>
    </w:p>
    <w:p w14:paraId="65CBB8A6">
      <w:pPr>
        <w:spacing w:before="38"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）泄出物质状态，向环境转移方式、途径</w:t>
      </w:r>
    </w:p>
    <w:p w14:paraId="42BD4FB1">
      <w:pPr>
        <w:spacing w:before="193" w:line="219" w:lineRule="auto"/>
        <w:ind w:left="489"/>
        <w:rPr>
          <w:rFonts w:ascii="宋体" w:hAnsi="宋体" w:eastAsia="宋体" w:cs="宋体"/>
          <w:sz w:val="24"/>
          <w:szCs w:val="24"/>
        </w:rPr>
      </w:pPr>
      <w:r>
        <w:rPr>
          <w:rFonts w:ascii="宋体" w:hAnsi="宋体" w:eastAsia="宋体" w:cs="宋体"/>
          <w:spacing w:val="-1"/>
          <w:sz w:val="24"/>
          <w:szCs w:val="24"/>
        </w:rPr>
        <w:t>煤气气态储存，泄漏后直接以气态形式进入大气环境中。</w:t>
      </w:r>
    </w:p>
    <w:p w14:paraId="0343941A">
      <w:pPr>
        <w:spacing w:before="19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）物质泄漏量计算</w:t>
      </w:r>
    </w:p>
    <w:p w14:paraId="1D6F0DBB">
      <w:pPr>
        <w:spacing w:before="195" w:line="361" w:lineRule="auto"/>
        <w:ind w:left="8" w:firstLine="480"/>
        <w:rPr>
          <w:rFonts w:ascii="宋体" w:hAnsi="宋体" w:eastAsia="宋体" w:cs="宋体"/>
          <w:sz w:val="24"/>
          <w:szCs w:val="24"/>
        </w:rPr>
      </w:pPr>
      <w:r>
        <w:rPr>
          <w:rFonts w:ascii="宋体" w:hAnsi="宋体" w:eastAsia="宋体" w:cs="宋体"/>
          <w:spacing w:val="-2"/>
          <w:sz w:val="24"/>
          <w:szCs w:val="24"/>
        </w:rPr>
        <w:t>本次评价以煤气管道和煤气柜之间的连接处（接头）发生断裂，导致煤气发生泄漏</w:t>
      </w:r>
      <w:r>
        <w:rPr>
          <w:rFonts w:ascii="宋体" w:hAnsi="宋体" w:eastAsia="宋体" w:cs="宋体"/>
          <w:spacing w:val="12"/>
          <w:sz w:val="24"/>
          <w:szCs w:val="24"/>
        </w:rPr>
        <w:t xml:space="preserve"> </w:t>
      </w:r>
      <w:r>
        <w:rPr>
          <w:rFonts w:ascii="宋体" w:hAnsi="宋体" w:eastAsia="宋体" w:cs="宋体"/>
          <w:spacing w:val="2"/>
          <w:sz w:val="24"/>
          <w:szCs w:val="24"/>
        </w:rPr>
        <w:t>事故，设定为本次评价的环境风险事故情形。连接管道管径为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200</w:t>
      </w:r>
      <w:r>
        <w:rPr>
          <w:rFonts w:ascii="Times New Roman" w:hAnsi="Times New Roman" w:eastAsia="Times New Roman" w:cs="Times New Roman"/>
          <w:sz w:val="24"/>
          <w:szCs w:val="24"/>
        </w:rPr>
        <w:t>mm</w:t>
      </w:r>
      <w:r>
        <w:rPr>
          <w:rFonts w:ascii="Times New Roman" w:hAnsi="Times New Roman" w:eastAsia="Times New Roman" w:cs="Times New Roman"/>
          <w:spacing w:val="-28"/>
          <w:sz w:val="24"/>
          <w:szCs w:val="24"/>
        </w:rPr>
        <w:t xml:space="preserve"> </w:t>
      </w:r>
      <w:r>
        <w:rPr>
          <w:rFonts w:ascii="宋体" w:hAnsi="宋体" w:eastAsia="宋体" w:cs="宋体"/>
          <w:spacing w:val="2"/>
          <w:sz w:val="24"/>
          <w:szCs w:val="24"/>
        </w:rPr>
        <w:t>，</w:t>
      </w:r>
      <w:r>
        <w:rPr>
          <w:rFonts w:ascii="宋体" w:hAnsi="宋体" w:eastAsia="宋体" w:cs="宋体"/>
          <w:spacing w:val="1"/>
          <w:sz w:val="24"/>
          <w:szCs w:val="24"/>
        </w:rPr>
        <w:t>设定泄漏孔径</w:t>
      </w:r>
      <w:r>
        <w:rPr>
          <w:rFonts w:ascii="宋体" w:hAnsi="宋体" w:eastAsia="宋体" w:cs="宋体"/>
          <w:sz w:val="24"/>
          <w:szCs w:val="24"/>
        </w:rPr>
        <w:t xml:space="preserve"> </w:t>
      </w:r>
      <w:r>
        <w:rPr>
          <w:rFonts w:ascii="宋体" w:hAnsi="宋体" w:eastAsia="宋体" w:cs="宋体"/>
          <w:spacing w:val="-1"/>
          <w:sz w:val="24"/>
          <w:szCs w:val="24"/>
        </w:rPr>
        <w:t>为管径的</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25%</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，则泄漏面积为</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0.0019625m</w:t>
      </w:r>
      <w:r>
        <w:rPr>
          <w:rFonts w:ascii="Times New Roman" w:hAnsi="Times New Roman" w:eastAsia="Times New Roman" w:cs="Times New Roman"/>
          <w:spacing w:val="-1"/>
          <w:position w:val="8"/>
          <w:sz w:val="15"/>
          <w:szCs w:val="15"/>
        </w:rPr>
        <w:t xml:space="preserve">2 </w:t>
      </w:r>
      <w:r>
        <w:rPr>
          <w:rFonts w:ascii="宋体" w:hAnsi="宋体" w:eastAsia="宋体" w:cs="宋体"/>
          <w:spacing w:val="-1"/>
          <w:sz w:val="24"/>
          <w:szCs w:val="24"/>
        </w:rPr>
        <w:t>。煤气发</w:t>
      </w:r>
      <w:r>
        <w:rPr>
          <w:rFonts w:ascii="宋体" w:hAnsi="宋体" w:eastAsia="宋体" w:cs="宋体"/>
          <w:spacing w:val="-2"/>
          <w:sz w:val="24"/>
          <w:szCs w:val="24"/>
        </w:rPr>
        <w:t>生泄漏后，监控系统中的嗅敏仪检</w:t>
      </w:r>
      <w:r>
        <w:rPr>
          <w:rFonts w:ascii="宋体" w:hAnsi="宋体" w:eastAsia="宋体" w:cs="宋体"/>
          <w:sz w:val="24"/>
          <w:szCs w:val="24"/>
        </w:rPr>
        <w:t xml:space="preserve"> </w:t>
      </w:r>
      <w:r>
        <w:rPr>
          <w:rFonts w:ascii="宋体" w:hAnsi="宋体" w:eastAsia="宋体" w:cs="宋体"/>
          <w:spacing w:val="-4"/>
          <w:sz w:val="24"/>
          <w:szCs w:val="24"/>
        </w:rPr>
        <w:t>测到罐区范围内</w:t>
      </w:r>
      <w:r>
        <w:rPr>
          <w:rFonts w:ascii="Times New Roman" w:hAnsi="Times New Roman" w:eastAsia="Times New Roman" w:cs="Times New Roman"/>
          <w:spacing w:val="-4"/>
          <w:sz w:val="24"/>
          <w:szCs w:val="24"/>
        </w:rPr>
        <w:t xml:space="preserve">CO </w:t>
      </w:r>
      <w:r>
        <w:rPr>
          <w:rFonts w:ascii="宋体" w:hAnsi="宋体" w:eastAsia="宋体" w:cs="宋体"/>
          <w:spacing w:val="-4"/>
          <w:sz w:val="24"/>
          <w:szCs w:val="24"/>
        </w:rPr>
        <w:t>超标，确定事故发生并启动事故报警，控制人员启动事故应急系统，</w:t>
      </w:r>
    </w:p>
    <w:p w14:paraId="03ECB40C">
      <w:pPr>
        <w:spacing w:line="361" w:lineRule="auto"/>
        <w:rPr>
          <w:rFonts w:ascii="宋体" w:hAnsi="宋体" w:eastAsia="宋体" w:cs="宋体"/>
          <w:sz w:val="24"/>
          <w:szCs w:val="24"/>
        </w:rPr>
        <w:sectPr>
          <w:footerReference r:id="rId397" w:type="default"/>
          <w:pgSz w:w="11906" w:h="16839"/>
          <w:pgMar w:top="1191" w:right="1356" w:bottom="1221" w:left="1417" w:header="882" w:footer="1059" w:gutter="0"/>
          <w:cols w:space="720" w:num="1"/>
        </w:sectPr>
      </w:pPr>
    </w:p>
    <w:p w14:paraId="65932952">
      <w:pPr>
        <w:spacing w:line="28" w:lineRule="exact"/>
      </w:pPr>
      <w:r>
        <w:pict>
          <v:shape id="_x0000_s1908" o:spid="_x0000_s1908" style="height:1.45pt;width:453.65pt;" fillcolor="#000000" filled="t" stroked="f" coordsize="9072,29" path="m0,0l9072,0,9072,28,0,28,0,0xe">
            <v:path/>
            <v:fill on="t" focussize="0,0"/>
            <v:stroke on="f"/>
            <v:imagedata o:title=""/>
            <o:lock v:ext="edit"/>
            <w10:wrap type="none"/>
            <w10:anchorlock/>
          </v:shape>
        </w:pict>
      </w:r>
    </w:p>
    <w:p w14:paraId="2EA8008C">
      <w:pPr>
        <w:spacing w:before="316" w:line="219" w:lineRule="auto"/>
        <w:ind w:left="11"/>
        <w:rPr>
          <w:rFonts w:ascii="宋体" w:hAnsi="宋体" w:eastAsia="宋体" w:cs="宋体"/>
          <w:sz w:val="24"/>
          <w:szCs w:val="24"/>
        </w:rPr>
      </w:pPr>
      <w:r>
        <w:rPr>
          <w:rFonts w:ascii="宋体" w:hAnsi="宋体" w:eastAsia="宋体" w:cs="宋体"/>
          <w:spacing w:val="-1"/>
          <w:sz w:val="24"/>
          <w:szCs w:val="24"/>
        </w:rPr>
        <w:t>工作人员迅速采取行动，带压堵漏，泄漏事故在</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w:t>
      </w:r>
      <w:r>
        <w:rPr>
          <w:rFonts w:ascii="Times New Roman" w:hAnsi="Times New Roman" w:eastAsia="Times New Roman" w:cs="Times New Roman"/>
          <w:spacing w:val="-2"/>
          <w:sz w:val="24"/>
          <w:szCs w:val="24"/>
        </w:rPr>
        <w:t xml:space="preserve">5 </w:t>
      </w:r>
      <w:r>
        <w:rPr>
          <w:rFonts w:ascii="宋体" w:hAnsi="宋体" w:eastAsia="宋体" w:cs="宋体"/>
          <w:spacing w:val="-2"/>
          <w:sz w:val="24"/>
          <w:szCs w:val="24"/>
        </w:rPr>
        <w:t>分钟内得到控制。</w:t>
      </w:r>
    </w:p>
    <w:p w14:paraId="3D837181">
      <w:pPr>
        <w:spacing w:before="192" w:line="361" w:lineRule="auto"/>
        <w:ind w:left="12" w:right="1" w:firstLine="477"/>
        <w:jc w:val="both"/>
        <w:rPr>
          <w:rFonts w:ascii="宋体" w:hAnsi="宋体" w:eastAsia="宋体" w:cs="宋体"/>
          <w:sz w:val="24"/>
          <w:szCs w:val="24"/>
        </w:rPr>
      </w:pPr>
      <w:r>
        <w:rPr>
          <w:rFonts w:ascii="宋体" w:hAnsi="宋体" w:eastAsia="宋体" w:cs="宋体"/>
          <w:spacing w:val="-2"/>
          <w:sz w:val="24"/>
          <w:szCs w:val="24"/>
        </w:rPr>
        <w:t>气体从裂口泄漏，通常以射流的方式发生，泄漏速率与其流动状态有关。因此首先</w:t>
      </w:r>
      <w:r>
        <w:rPr>
          <w:rFonts w:ascii="宋体" w:hAnsi="宋体" w:eastAsia="宋体" w:cs="宋体"/>
          <w:spacing w:val="12"/>
          <w:sz w:val="24"/>
          <w:szCs w:val="24"/>
        </w:rPr>
        <w:t xml:space="preserve"> </w:t>
      </w:r>
      <w:r>
        <w:rPr>
          <w:rFonts w:ascii="宋体" w:hAnsi="宋体" w:eastAsia="宋体" w:cs="宋体"/>
          <w:spacing w:val="-2"/>
          <w:sz w:val="24"/>
          <w:szCs w:val="24"/>
        </w:rPr>
        <w:t>需要判断泄漏时气体流动属于音速流动还是亚音速流动，即是临界流（最大出口速度等</w:t>
      </w:r>
      <w:r>
        <w:rPr>
          <w:rFonts w:ascii="宋体" w:hAnsi="宋体" w:eastAsia="宋体" w:cs="宋体"/>
          <w:spacing w:val="13"/>
          <w:sz w:val="24"/>
          <w:szCs w:val="24"/>
        </w:rPr>
        <w:t xml:space="preserve"> </w:t>
      </w:r>
      <w:r>
        <w:rPr>
          <w:rFonts w:ascii="宋体" w:hAnsi="宋体" w:eastAsia="宋体" w:cs="宋体"/>
          <w:spacing w:val="-2"/>
          <w:sz w:val="24"/>
          <w:szCs w:val="24"/>
        </w:rPr>
        <w:t>于声速）还是亚临界流。其判断准则是当公式①成立时，为音速流动（临界流</w:t>
      </w:r>
      <w:r>
        <w:rPr>
          <w:rFonts w:ascii="宋体" w:hAnsi="宋体" w:eastAsia="宋体" w:cs="宋体"/>
          <w:spacing w:val="4"/>
          <w:sz w:val="24"/>
          <w:szCs w:val="24"/>
        </w:rPr>
        <w:t>）；</w:t>
      </w:r>
      <w:r>
        <w:rPr>
          <w:rFonts w:ascii="宋体" w:hAnsi="宋体" w:eastAsia="宋体" w:cs="宋体"/>
          <w:spacing w:val="-2"/>
          <w:sz w:val="24"/>
          <w:szCs w:val="24"/>
        </w:rPr>
        <w:t>当公</w:t>
      </w:r>
      <w:r>
        <w:rPr>
          <w:rFonts w:ascii="宋体" w:hAnsi="宋体" w:eastAsia="宋体" w:cs="宋体"/>
          <w:spacing w:val="1"/>
          <w:sz w:val="24"/>
          <w:szCs w:val="24"/>
        </w:rPr>
        <w:t xml:space="preserve"> </w:t>
      </w:r>
      <w:r>
        <w:rPr>
          <w:rFonts w:ascii="宋体" w:hAnsi="宋体" w:eastAsia="宋体" w:cs="宋体"/>
          <w:spacing w:val="-1"/>
          <w:sz w:val="24"/>
          <w:szCs w:val="24"/>
        </w:rPr>
        <w:t>式②成立时，为亚音速流动（次临界流）。</w:t>
      </w:r>
    </w:p>
    <w:p w14:paraId="07B52582">
      <w:pPr>
        <w:spacing w:line="119" w:lineRule="exact"/>
      </w:pPr>
    </w:p>
    <w:p w14:paraId="7F328A34">
      <w:pPr>
        <w:spacing w:line="119" w:lineRule="exact"/>
        <w:sectPr>
          <w:headerReference r:id="rId398" w:type="default"/>
          <w:footerReference r:id="rId399" w:type="default"/>
          <w:pgSz w:w="11906" w:h="16839"/>
          <w:pgMar w:top="1191" w:right="1416" w:bottom="1221" w:left="1417" w:header="882" w:footer="1059" w:gutter="0"/>
          <w:cols w:equalWidth="0" w:num="1">
            <w:col w:w="9073"/>
          </w:cols>
        </w:sectPr>
      </w:pPr>
    </w:p>
    <w:p w14:paraId="539761B0">
      <w:pPr>
        <w:spacing w:line="503" w:lineRule="exact"/>
        <w:ind w:firstLine="3591"/>
      </w:pPr>
      <w:r>
        <w:rPr>
          <w:position w:val="-10"/>
        </w:rPr>
        <w:drawing>
          <wp:inline distT="0" distB="0" distL="0" distR="0">
            <wp:extent cx="906780" cy="318770"/>
            <wp:effectExtent l="0" t="0" r="0" b="0"/>
            <wp:docPr id="206" name="IM 206"/>
            <wp:cNvGraphicFramePr/>
            <a:graphic xmlns:a="http://schemas.openxmlformats.org/drawingml/2006/main">
              <a:graphicData uri="http://schemas.openxmlformats.org/drawingml/2006/picture">
                <pic:pic xmlns:pic="http://schemas.openxmlformats.org/drawingml/2006/picture">
                  <pic:nvPicPr>
                    <pic:cNvPr id="206" name="IM 206"/>
                    <pic:cNvPicPr/>
                  </pic:nvPicPr>
                  <pic:blipFill>
                    <a:blip r:embed="rId675"/>
                    <a:stretch>
                      <a:fillRect/>
                    </a:stretch>
                  </pic:blipFill>
                  <pic:spPr>
                    <a:xfrm>
                      <a:off x="0" y="0"/>
                      <a:ext cx="906780" cy="319392"/>
                    </a:xfrm>
                    <a:prstGeom prst="rect">
                      <a:avLst/>
                    </a:prstGeom>
                  </pic:spPr>
                </pic:pic>
              </a:graphicData>
            </a:graphic>
          </wp:inline>
        </w:drawing>
      </w:r>
    </w:p>
    <w:p w14:paraId="5D8C217E">
      <w:pPr>
        <w:pStyle w:val="2"/>
        <w:spacing w:line="451" w:lineRule="auto"/>
      </w:pPr>
    </w:p>
    <w:p w14:paraId="6DAD55F8">
      <w:pPr>
        <w:spacing w:before="1" w:line="503" w:lineRule="exact"/>
        <w:ind w:firstLine="3622"/>
      </w:pPr>
      <w:r>
        <w:rPr>
          <w:position w:val="-10"/>
        </w:rPr>
        <w:drawing>
          <wp:inline distT="0" distB="0" distL="0" distR="0">
            <wp:extent cx="906145" cy="318770"/>
            <wp:effectExtent l="0" t="0" r="0" b="0"/>
            <wp:docPr id="208" name="IM 208"/>
            <wp:cNvGraphicFramePr/>
            <a:graphic xmlns:a="http://schemas.openxmlformats.org/drawingml/2006/main">
              <a:graphicData uri="http://schemas.openxmlformats.org/drawingml/2006/picture">
                <pic:pic xmlns:pic="http://schemas.openxmlformats.org/drawingml/2006/picture">
                  <pic:nvPicPr>
                    <pic:cNvPr id="208" name="IM 208"/>
                    <pic:cNvPicPr/>
                  </pic:nvPicPr>
                  <pic:blipFill>
                    <a:blip r:embed="rId676"/>
                    <a:stretch>
                      <a:fillRect/>
                    </a:stretch>
                  </pic:blipFill>
                  <pic:spPr>
                    <a:xfrm>
                      <a:off x="0" y="0"/>
                      <a:ext cx="906779" cy="319392"/>
                    </a:xfrm>
                    <a:prstGeom prst="rect">
                      <a:avLst/>
                    </a:prstGeom>
                  </pic:spPr>
                </pic:pic>
              </a:graphicData>
            </a:graphic>
          </wp:inline>
        </w:drawing>
      </w:r>
    </w:p>
    <w:p w14:paraId="63C37BED">
      <w:pPr>
        <w:pStyle w:val="2"/>
        <w:spacing w:line="291" w:lineRule="auto"/>
      </w:pPr>
    </w:p>
    <w:p w14:paraId="4DB0D3FB">
      <w:pPr>
        <w:pStyle w:val="2"/>
        <w:spacing w:before="78" w:line="167" w:lineRule="auto"/>
        <w:ind w:left="493"/>
        <w:rPr>
          <w:rFonts w:ascii="宋体" w:hAnsi="宋体" w:eastAsia="宋体" w:cs="宋体"/>
          <w:sz w:val="24"/>
          <w:szCs w:val="24"/>
        </w:rPr>
      </w:pPr>
      <w:r>
        <w:rPr>
          <w:rFonts w:ascii="宋体" w:hAnsi="宋体" w:eastAsia="宋体" w:cs="宋体"/>
          <w:spacing w:val="-3"/>
          <w:sz w:val="24"/>
          <w:szCs w:val="24"/>
        </w:rPr>
        <w:t>式中：</w:t>
      </w:r>
      <w:r>
        <w:rPr>
          <w:color w:val="1D161D"/>
          <w:spacing w:val="-3"/>
          <w:position w:val="4"/>
          <w:sz w:val="24"/>
          <w:szCs w:val="24"/>
        </w:rPr>
        <w:t>P</w:t>
      </w:r>
      <w:r>
        <w:rPr>
          <w:rFonts w:ascii="Times New Roman" w:hAnsi="Times New Roman" w:eastAsia="Times New Roman" w:cs="Times New Roman"/>
          <w:spacing w:val="-3"/>
          <w:sz w:val="24"/>
          <w:szCs w:val="24"/>
        </w:rPr>
        <w:t>—</w:t>
      </w:r>
      <w:r>
        <w:rPr>
          <w:rFonts w:ascii="宋体" w:hAnsi="宋体" w:eastAsia="宋体" w:cs="宋体"/>
          <w:spacing w:val="-3"/>
          <w:sz w:val="24"/>
          <w:szCs w:val="24"/>
        </w:rPr>
        <w:t xml:space="preserve">容器内介质压力， </w:t>
      </w:r>
      <w:r>
        <w:rPr>
          <w:rFonts w:ascii="Times New Roman" w:hAnsi="Times New Roman" w:eastAsia="Times New Roman" w:cs="Times New Roman"/>
          <w:spacing w:val="-3"/>
          <w:sz w:val="24"/>
          <w:szCs w:val="24"/>
        </w:rPr>
        <w:t>Pa</w:t>
      </w:r>
      <w:r>
        <w:rPr>
          <w:rFonts w:ascii="宋体" w:hAnsi="宋体" w:eastAsia="宋体" w:cs="宋体"/>
          <w:spacing w:val="-3"/>
          <w:sz w:val="24"/>
          <w:szCs w:val="24"/>
        </w:rPr>
        <w:t>；</w:t>
      </w:r>
    </w:p>
    <w:p w14:paraId="01DE8CC9">
      <w:pPr>
        <w:pStyle w:val="2"/>
        <w:spacing w:line="14" w:lineRule="auto"/>
        <w:rPr>
          <w:sz w:val="2"/>
        </w:rPr>
      </w:pPr>
      <w:r>
        <w:rPr>
          <w:sz w:val="2"/>
          <w:szCs w:val="2"/>
        </w:rPr>
        <w:br w:type="column"/>
      </w:r>
    </w:p>
    <w:p w14:paraId="39968EDF">
      <w:pPr>
        <w:pStyle w:val="2"/>
        <w:spacing w:line="275" w:lineRule="auto"/>
      </w:pPr>
    </w:p>
    <w:p w14:paraId="2F048FDC">
      <w:pPr>
        <w:spacing w:before="78" w:line="217" w:lineRule="auto"/>
        <w:rPr>
          <w:rFonts w:ascii="宋体" w:hAnsi="宋体" w:eastAsia="宋体" w:cs="宋体"/>
          <w:sz w:val="24"/>
          <w:szCs w:val="24"/>
        </w:rPr>
      </w:pPr>
      <w:r>
        <w:rPr>
          <w:rFonts w:ascii="宋体" w:hAnsi="宋体" w:eastAsia="宋体" w:cs="宋体"/>
          <w:sz w:val="24"/>
          <w:szCs w:val="24"/>
        </w:rPr>
        <w:t>①</w:t>
      </w:r>
    </w:p>
    <w:p w14:paraId="02368852">
      <w:pPr>
        <w:pStyle w:val="2"/>
        <w:spacing w:line="295" w:lineRule="auto"/>
      </w:pPr>
    </w:p>
    <w:p w14:paraId="52D5185A">
      <w:pPr>
        <w:pStyle w:val="2"/>
        <w:spacing w:line="296" w:lineRule="auto"/>
      </w:pPr>
    </w:p>
    <w:p w14:paraId="682C3E78">
      <w:pPr>
        <w:spacing w:before="78" w:line="217" w:lineRule="auto"/>
        <w:ind w:left="71"/>
        <w:rPr>
          <w:rFonts w:ascii="宋体" w:hAnsi="宋体" w:eastAsia="宋体" w:cs="宋体"/>
          <w:sz w:val="24"/>
          <w:szCs w:val="24"/>
        </w:rPr>
      </w:pPr>
      <w:r>
        <w:rPr>
          <w:rFonts w:ascii="宋体" w:hAnsi="宋体" w:eastAsia="宋体" w:cs="宋体"/>
          <w:sz w:val="24"/>
          <w:szCs w:val="24"/>
        </w:rPr>
        <w:t>②</w:t>
      </w:r>
    </w:p>
    <w:p w14:paraId="03A93C22">
      <w:pPr>
        <w:spacing w:line="217" w:lineRule="auto"/>
        <w:rPr>
          <w:rFonts w:ascii="宋体" w:hAnsi="宋体" w:eastAsia="宋体" w:cs="宋体"/>
          <w:sz w:val="24"/>
          <w:szCs w:val="24"/>
        </w:rPr>
        <w:sectPr>
          <w:type w:val="continuous"/>
          <w:pgSz w:w="11906" w:h="16839"/>
          <w:pgMar w:top="1191" w:right="1416" w:bottom="1221" w:left="1417" w:header="882" w:footer="1059" w:gutter="0"/>
          <w:cols w:equalWidth="0" w:num="2">
            <w:col w:w="7048" w:space="100"/>
            <w:col w:w="1925"/>
          </w:cols>
        </w:sectPr>
      </w:pPr>
    </w:p>
    <w:p w14:paraId="0CAB8905">
      <w:pPr>
        <w:pStyle w:val="2"/>
        <w:spacing w:before="220" w:line="331" w:lineRule="exact"/>
        <w:ind w:left="1198"/>
        <w:rPr>
          <w:rFonts w:ascii="宋体" w:hAnsi="宋体" w:eastAsia="宋体" w:cs="宋体"/>
          <w:sz w:val="24"/>
          <w:szCs w:val="24"/>
        </w:rPr>
      </w:pPr>
      <w:r>
        <w:rPr>
          <w:color w:val="02050A"/>
          <w:spacing w:val="-7"/>
          <w:position w:val="1"/>
          <w:sz w:val="24"/>
          <w:szCs w:val="24"/>
        </w:rPr>
        <w:t>Po</w:t>
      </w:r>
      <w:r>
        <w:rPr>
          <w:rFonts w:ascii="Times New Roman" w:hAnsi="Times New Roman" w:eastAsia="Times New Roman" w:cs="Times New Roman"/>
          <w:spacing w:val="-7"/>
          <w:position w:val="1"/>
          <w:sz w:val="24"/>
          <w:szCs w:val="24"/>
        </w:rPr>
        <w:t>—</w:t>
      </w:r>
      <w:r>
        <w:rPr>
          <w:rFonts w:ascii="宋体" w:hAnsi="宋体" w:eastAsia="宋体" w:cs="宋体"/>
          <w:spacing w:val="-7"/>
          <w:position w:val="1"/>
          <w:sz w:val="24"/>
          <w:szCs w:val="24"/>
        </w:rPr>
        <w:t>环境压力，</w:t>
      </w:r>
      <w:r>
        <w:rPr>
          <w:rFonts w:ascii="Times New Roman" w:hAnsi="Times New Roman" w:eastAsia="Times New Roman" w:cs="Times New Roman"/>
          <w:spacing w:val="-7"/>
          <w:position w:val="1"/>
          <w:sz w:val="24"/>
          <w:szCs w:val="24"/>
        </w:rPr>
        <w:t>Pa</w:t>
      </w:r>
      <w:r>
        <w:rPr>
          <w:rFonts w:ascii="宋体" w:hAnsi="宋体" w:eastAsia="宋体" w:cs="宋体"/>
          <w:spacing w:val="-7"/>
          <w:position w:val="1"/>
          <w:sz w:val="24"/>
          <w:szCs w:val="24"/>
        </w:rPr>
        <w:t>；</w:t>
      </w:r>
    </w:p>
    <w:p w14:paraId="230F75F6">
      <w:pPr>
        <w:pStyle w:val="2"/>
        <w:spacing w:before="167" w:line="341" w:lineRule="auto"/>
        <w:ind w:left="9" w:right="511" w:firstLine="1191"/>
        <w:rPr>
          <w:rFonts w:ascii="宋体" w:hAnsi="宋体" w:eastAsia="宋体" w:cs="宋体"/>
          <w:sz w:val="24"/>
          <w:szCs w:val="24"/>
        </w:rPr>
      </w:pPr>
      <w:r>
        <w:rPr>
          <w:rFonts w:ascii="Times New Roman" w:hAnsi="Times New Roman" w:eastAsia="Times New Roman" w:cs="Times New Roman"/>
          <w:spacing w:val="-3"/>
          <w:sz w:val="24"/>
          <w:szCs w:val="24"/>
        </w:rPr>
        <w:t>k—</w:t>
      </w:r>
      <w:r>
        <w:rPr>
          <w:rFonts w:ascii="宋体" w:hAnsi="宋体" w:eastAsia="宋体" w:cs="宋体"/>
          <w:spacing w:val="-3"/>
          <w:sz w:val="24"/>
          <w:szCs w:val="24"/>
        </w:rPr>
        <w:t>气体的绝热指数（热容比</w:t>
      </w:r>
      <w:r>
        <w:rPr>
          <w:rFonts w:ascii="宋体" w:hAnsi="宋体" w:eastAsia="宋体" w:cs="宋体"/>
          <w:spacing w:val="13"/>
          <w:sz w:val="24"/>
          <w:szCs w:val="24"/>
        </w:rPr>
        <w:t>），</w:t>
      </w:r>
      <w:r>
        <w:rPr>
          <w:rFonts w:ascii="宋体" w:hAnsi="宋体" w:eastAsia="宋体" w:cs="宋体"/>
          <w:spacing w:val="-3"/>
          <w:sz w:val="24"/>
          <w:szCs w:val="24"/>
        </w:rPr>
        <w:t>即定亚热容</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Cp</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与定容热</w:t>
      </w:r>
      <w:r>
        <w:rPr>
          <w:rFonts w:ascii="宋体" w:hAnsi="宋体" w:eastAsia="宋体" w:cs="宋体"/>
          <w:spacing w:val="-4"/>
          <w:sz w:val="24"/>
          <w:szCs w:val="24"/>
        </w:rPr>
        <w:t>容</w:t>
      </w:r>
      <w:r>
        <w:rPr>
          <w:rFonts w:ascii="宋体" w:hAnsi="宋体" w:eastAsia="宋体" w:cs="宋体"/>
          <w:spacing w:val="-52"/>
          <w:sz w:val="24"/>
          <w:szCs w:val="24"/>
        </w:rPr>
        <w:t xml:space="preserve"> </w:t>
      </w:r>
      <w:r>
        <w:rPr>
          <w:rFonts w:ascii="Times New Roman" w:hAnsi="Times New Roman" w:eastAsia="Times New Roman" w:cs="Times New Roman"/>
          <w:spacing w:val="-4"/>
          <w:sz w:val="24"/>
          <w:szCs w:val="24"/>
        </w:rPr>
        <w:t xml:space="preserve">Cv </w:t>
      </w:r>
      <w:r>
        <w:rPr>
          <w:rFonts w:ascii="宋体" w:hAnsi="宋体" w:eastAsia="宋体" w:cs="宋体"/>
          <w:spacing w:val="-4"/>
          <w:sz w:val="24"/>
          <w:szCs w:val="24"/>
        </w:rPr>
        <w:t>之比。</w:t>
      </w:r>
      <w:r>
        <w:rPr>
          <w:rFonts w:ascii="宋体" w:hAnsi="宋体" w:eastAsia="宋体" w:cs="宋体"/>
          <w:sz w:val="24"/>
          <w:szCs w:val="24"/>
        </w:rPr>
        <w:t xml:space="preserve"> </w:t>
      </w:r>
      <w:r>
        <w:rPr>
          <w:rFonts w:ascii="宋体" w:hAnsi="宋体" w:eastAsia="宋体" w:cs="宋体"/>
          <w:spacing w:val="-2"/>
          <w:sz w:val="24"/>
          <w:szCs w:val="24"/>
        </w:rPr>
        <w:t>气体泄漏速度</w:t>
      </w:r>
      <w:r>
        <w:rPr>
          <w:color w:val="0D0C09"/>
          <w:spacing w:val="-2"/>
          <w:sz w:val="20"/>
          <w:szCs w:val="20"/>
        </w:rPr>
        <w:t>QC</w:t>
      </w:r>
      <w:r>
        <w:rPr>
          <w:rFonts w:ascii="宋体" w:hAnsi="宋体" w:eastAsia="宋体" w:cs="宋体"/>
          <w:spacing w:val="-2"/>
          <w:sz w:val="24"/>
          <w:szCs w:val="24"/>
        </w:rPr>
        <w:t>按下式计算：</w:t>
      </w:r>
    </w:p>
    <w:p w14:paraId="60BB5474">
      <w:pPr>
        <w:spacing w:line="854" w:lineRule="exact"/>
        <w:ind w:firstLine="3013"/>
      </w:pPr>
      <w:r>
        <w:rPr>
          <w:position w:val="-17"/>
        </w:rPr>
        <w:drawing>
          <wp:inline distT="0" distB="0" distL="0" distR="0">
            <wp:extent cx="1933575" cy="542290"/>
            <wp:effectExtent l="0" t="0" r="0" b="0"/>
            <wp:docPr id="210" name="IM 210"/>
            <wp:cNvGraphicFramePr/>
            <a:graphic xmlns:a="http://schemas.openxmlformats.org/drawingml/2006/main">
              <a:graphicData uri="http://schemas.openxmlformats.org/drawingml/2006/picture">
                <pic:pic xmlns:pic="http://schemas.openxmlformats.org/drawingml/2006/picture">
                  <pic:nvPicPr>
                    <pic:cNvPr id="210" name="IM 210"/>
                    <pic:cNvPicPr/>
                  </pic:nvPicPr>
                  <pic:blipFill>
                    <a:blip r:embed="rId677"/>
                    <a:stretch>
                      <a:fillRect/>
                    </a:stretch>
                  </pic:blipFill>
                  <pic:spPr>
                    <a:xfrm>
                      <a:off x="0" y="0"/>
                      <a:ext cx="1933955" cy="542544"/>
                    </a:xfrm>
                    <a:prstGeom prst="rect">
                      <a:avLst/>
                    </a:prstGeom>
                  </pic:spPr>
                </pic:pic>
              </a:graphicData>
            </a:graphic>
          </wp:inline>
        </w:drawing>
      </w:r>
    </w:p>
    <w:p w14:paraId="06A978FE">
      <w:pPr>
        <w:pStyle w:val="2"/>
        <w:spacing w:before="153" w:line="234" w:lineRule="auto"/>
        <w:ind w:left="493"/>
        <w:rPr>
          <w:rFonts w:ascii="宋体" w:hAnsi="宋体" w:eastAsia="宋体" w:cs="宋体"/>
          <w:sz w:val="24"/>
          <w:szCs w:val="24"/>
        </w:rPr>
      </w:pPr>
      <w:r>
        <w:rPr>
          <w:rFonts w:ascii="宋体" w:hAnsi="宋体" w:eastAsia="宋体" w:cs="宋体"/>
          <w:spacing w:val="-1"/>
          <w:sz w:val="24"/>
          <w:szCs w:val="24"/>
        </w:rPr>
        <w:t>式中：</w:t>
      </w:r>
      <w:r>
        <w:rPr>
          <w:color w:val="0D0C09"/>
          <w:spacing w:val="-1"/>
          <w:position w:val="-1"/>
          <w:sz w:val="19"/>
          <w:szCs w:val="19"/>
        </w:rPr>
        <w:t>QC</w:t>
      </w:r>
      <w:r>
        <w:rPr>
          <w:rFonts w:ascii="Times New Roman" w:hAnsi="Times New Roman" w:eastAsia="Times New Roman" w:cs="Times New Roman"/>
          <w:spacing w:val="-1"/>
          <w:sz w:val="24"/>
          <w:szCs w:val="24"/>
        </w:rPr>
        <w:t>—</w:t>
      </w:r>
      <w:r>
        <w:rPr>
          <w:rFonts w:ascii="宋体" w:hAnsi="宋体" w:eastAsia="宋体" w:cs="宋体"/>
          <w:spacing w:val="-1"/>
          <w:sz w:val="24"/>
          <w:szCs w:val="24"/>
        </w:rPr>
        <w:t>气体泄漏速度，</w:t>
      </w:r>
      <w:r>
        <w:rPr>
          <w:rFonts w:ascii="Times New Roman" w:hAnsi="Times New Roman" w:eastAsia="Times New Roman" w:cs="Times New Roman"/>
          <w:spacing w:val="-1"/>
          <w:sz w:val="24"/>
          <w:szCs w:val="24"/>
        </w:rPr>
        <w:t>kg/s</w:t>
      </w:r>
      <w:r>
        <w:rPr>
          <w:rFonts w:ascii="宋体" w:hAnsi="宋体" w:eastAsia="宋体" w:cs="宋体"/>
          <w:spacing w:val="-1"/>
          <w:sz w:val="24"/>
          <w:szCs w:val="24"/>
        </w:rPr>
        <w:t>；</w:t>
      </w:r>
    </w:p>
    <w:p w14:paraId="7E69C98A">
      <w:pPr>
        <w:spacing w:before="195" w:line="219" w:lineRule="auto"/>
        <w:ind w:left="1203"/>
        <w:rPr>
          <w:rFonts w:ascii="宋体" w:hAnsi="宋体" w:eastAsia="宋体" w:cs="宋体"/>
          <w:sz w:val="24"/>
          <w:szCs w:val="24"/>
        </w:rPr>
      </w:pPr>
      <w:r>
        <w:rPr>
          <w:rFonts w:ascii="Times New Roman" w:hAnsi="Times New Roman" w:eastAsia="Times New Roman" w:cs="Times New Roman"/>
          <w:spacing w:val="-1"/>
          <w:sz w:val="24"/>
          <w:szCs w:val="24"/>
        </w:rPr>
        <w:t>P—</w:t>
      </w:r>
      <w:r>
        <w:rPr>
          <w:rFonts w:ascii="宋体" w:hAnsi="宋体" w:eastAsia="宋体" w:cs="宋体"/>
          <w:spacing w:val="-1"/>
          <w:sz w:val="24"/>
          <w:szCs w:val="24"/>
        </w:rPr>
        <w:t>容器压力，</w:t>
      </w:r>
      <w:r>
        <w:rPr>
          <w:rFonts w:ascii="Times New Roman" w:hAnsi="Times New Roman" w:eastAsia="Times New Roman" w:cs="Times New Roman"/>
          <w:spacing w:val="-1"/>
          <w:sz w:val="24"/>
          <w:szCs w:val="24"/>
        </w:rPr>
        <w:t>Pa</w:t>
      </w:r>
      <w:r>
        <w:rPr>
          <w:rFonts w:ascii="宋体" w:hAnsi="宋体" w:eastAsia="宋体" w:cs="宋体"/>
          <w:spacing w:val="-1"/>
          <w:sz w:val="24"/>
          <w:szCs w:val="24"/>
        </w:rPr>
        <w:t>；</w:t>
      </w:r>
    </w:p>
    <w:p w14:paraId="523CA960">
      <w:pPr>
        <w:pStyle w:val="2"/>
        <w:spacing w:before="173" w:line="344" w:lineRule="auto"/>
        <w:ind w:left="19" w:right="1" w:firstLine="1179"/>
        <w:rPr>
          <w:rFonts w:ascii="宋体" w:hAnsi="宋体" w:eastAsia="宋体" w:cs="宋体"/>
          <w:sz w:val="24"/>
          <w:szCs w:val="24"/>
        </w:rPr>
      </w:pPr>
      <w:r>
        <w:rPr>
          <w:spacing w:val="-3"/>
          <w:sz w:val="24"/>
          <w:szCs w:val="24"/>
        </w:rPr>
        <w:t>ca</w:t>
      </w:r>
      <w:r>
        <w:rPr>
          <w:rFonts w:ascii="Times New Roman" w:hAnsi="Times New Roman" w:eastAsia="Times New Roman" w:cs="Times New Roman"/>
          <w:spacing w:val="-3"/>
          <w:sz w:val="24"/>
          <w:szCs w:val="24"/>
        </w:rPr>
        <w:t>—</w:t>
      </w:r>
      <w:r>
        <w:rPr>
          <w:rFonts w:ascii="宋体" w:hAnsi="宋体" w:eastAsia="宋体" w:cs="宋体"/>
          <w:spacing w:val="-3"/>
          <w:sz w:val="24"/>
          <w:szCs w:val="24"/>
        </w:rPr>
        <w:t>气体泄漏系数；当裂口形状为圆形时取</w:t>
      </w:r>
      <w:r>
        <w:rPr>
          <w:rFonts w:ascii="宋体" w:hAnsi="宋体" w:eastAsia="宋体" w:cs="宋体"/>
          <w:spacing w:val="-18"/>
          <w:sz w:val="24"/>
          <w:szCs w:val="24"/>
        </w:rPr>
        <w:t xml:space="preserve"> </w:t>
      </w:r>
      <w:r>
        <w:rPr>
          <w:rFonts w:ascii="Times New Roman" w:hAnsi="Times New Roman" w:eastAsia="Times New Roman" w:cs="Times New Roman"/>
          <w:spacing w:val="-3"/>
          <w:sz w:val="24"/>
          <w:szCs w:val="24"/>
        </w:rPr>
        <w:t>1.00</w:t>
      </w:r>
      <w:r>
        <w:rPr>
          <w:rFonts w:ascii="宋体" w:hAnsi="宋体" w:eastAsia="宋体" w:cs="宋体"/>
          <w:spacing w:val="-3"/>
          <w:sz w:val="24"/>
          <w:szCs w:val="24"/>
        </w:rPr>
        <w:t>，三角形时取</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0.95</w:t>
      </w:r>
      <w:r>
        <w:rPr>
          <w:rFonts w:ascii="宋体" w:hAnsi="宋体" w:eastAsia="宋体" w:cs="宋体"/>
          <w:spacing w:val="-3"/>
          <w:sz w:val="24"/>
          <w:szCs w:val="24"/>
        </w:rPr>
        <w:t>，长方形</w:t>
      </w:r>
      <w:r>
        <w:rPr>
          <w:rFonts w:ascii="宋体" w:hAnsi="宋体" w:eastAsia="宋体" w:cs="宋体"/>
          <w:sz w:val="24"/>
          <w:szCs w:val="24"/>
        </w:rPr>
        <w:t xml:space="preserve"> </w:t>
      </w:r>
      <w:r>
        <w:rPr>
          <w:rFonts w:ascii="宋体" w:hAnsi="宋体" w:eastAsia="宋体" w:cs="宋体"/>
          <w:spacing w:val="-5"/>
          <w:sz w:val="24"/>
          <w:szCs w:val="24"/>
        </w:rPr>
        <w:t>时取</w:t>
      </w:r>
      <w:r>
        <w:rPr>
          <w:rFonts w:ascii="宋体" w:hAnsi="宋体" w:eastAsia="宋体" w:cs="宋体"/>
          <w:spacing w:val="-47"/>
          <w:sz w:val="24"/>
          <w:szCs w:val="24"/>
        </w:rPr>
        <w:t xml:space="preserve"> </w:t>
      </w:r>
      <w:r>
        <w:rPr>
          <w:rFonts w:ascii="Times New Roman" w:hAnsi="Times New Roman" w:eastAsia="Times New Roman" w:cs="Times New Roman"/>
          <w:spacing w:val="-5"/>
          <w:sz w:val="24"/>
          <w:szCs w:val="24"/>
        </w:rPr>
        <w:t>0.90</w:t>
      </w:r>
      <w:r>
        <w:rPr>
          <w:rFonts w:ascii="宋体" w:hAnsi="宋体" w:eastAsia="宋体" w:cs="宋体"/>
          <w:spacing w:val="-5"/>
          <w:sz w:val="24"/>
          <w:szCs w:val="24"/>
        </w:rPr>
        <w:t>；</w:t>
      </w:r>
    </w:p>
    <w:p w14:paraId="1ECA5FEA">
      <w:pPr>
        <w:spacing w:before="83" w:line="220" w:lineRule="auto"/>
        <w:ind w:left="1200"/>
        <w:rPr>
          <w:rFonts w:ascii="宋体" w:hAnsi="宋体" w:eastAsia="宋体" w:cs="宋体"/>
          <w:sz w:val="24"/>
          <w:szCs w:val="24"/>
        </w:rPr>
      </w:pPr>
      <w:r>
        <w:rPr>
          <w:rFonts w:ascii="Times New Roman" w:hAnsi="Times New Roman" w:eastAsia="Times New Roman" w:cs="Times New Roman"/>
          <w:sz w:val="24"/>
          <w:szCs w:val="24"/>
        </w:rPr>
        <w:t>A—</w:t>
      </w:r>
      <w:r>
        <w:rPr>
          <w:rFonts w:ascii="宋体" w:hAnsi="宋体" w:eastAsia="宋体" w:cs="宋体"/>
          <w:sz w:val="24"/>
          <w:szCs w:val="24"/>
        </w:rPr>
        <w:t>裂口面积，</w:t>
      </w:r>
      <w:r>
        <w:rPr>
          <w:rFonts w:ascii="Times New Roman" w:hAnsi="Times New Roman" w:eastAsia="Times New Roman" w:cs="Times New Roman"/>
          <w:sz w:val="24"/>
          <w:szCs w:val="24"/>
        </w:rPr>
        <w:t>m</w:t>
      </w:r>
      <w:r>
        <w:rPr>
          <w:rFonts w:ascii="Times New Roman" w:hAnsi="Times New Roman" w:eastAsia="Times New Roman" w:cs="Times New Roman"/>
          <w:position w:val="7"/>
          <w:sz w:val="15"/>
          <w:szCs w:val="15"/>
        </w:rPr>
        <w:t>2</w:t>
      </w:r>
      <w:r>
        <w:rPr>
          <w:rFonts w:ascii="宋体" w:hAnsi="宋体" w:eastAsia="宋体" w:cs="宋体"/>
          <w:sz w:val="24"/>
          <w:szCs w:val="24"/>
        </w:rPr>
        <w:t>；</w:t>
      </w:r>
    </w:p>
    <w:p w14:paraId="5D4089A7">
      <w:pPr>
        <w:spacing w:before="191" w:line="212" w:lineRule="auto"/>
        <w:ind w:left="1203"/>
        <w:rPr>
          <w:rFonts w:ascii="宋体" w:hAnsi="宋体" w:eastAsia="宋体" w:cs="宋体"/>
          <w:sz w:val="24"/>
          <w:szCs w:val="24"/>
        </w:rPr>
      </w:pPr>
      <w:r>
        <w:rPr>
          <w:rFonts w:ascii="Times New Roman" w:hAnsi="Times New Roman" w:eastAsia="Times New Roman" w:cs="Times New Roman"/>
          <w:spacing w:val="-1"/>
          <w:sz w:val="24"/>
          <w:szCs w:val="24"/>
        </w:rPr>
        <w:t>M—</w:t>
      </w:r>
      <w:r>
        <w:rPr>
          <w:rFonts w:ascii="宋体" w:hAnsi="宋体" w:eastAsia="宋体" w:cs="宋体"/>
          <w:spacing w:val="-1"/>
          <w:sz w:val="24"/>
          <w:szCs w:val="24"/>
        </w:rPr>
        <w:t>分子量，</w:t>
      </w:r>
      <w:r>
        <w:rPr>
          <w:rFonts w:ascii="Times New Roman" w:hAnsi="Times New Roman" w:eastAsia="Times New Roman" w:cs="Times New Roman"/>
          <w:spacing w:val="-1"/>
          <w:sz w:val="24"/>
          <w:szCs w:val="24"/>
        </w:rPr>
        <w:t>kg/mol</w:t>
      </w:r>
      <w:r>
        <w:rPr>
          <w:rFonts w:ascii="宋体" w:hAnsi="宋体" w:eastAsia="宋体" w:cs="宋体"/>
          <w:spacing w:val="-1"/>
          <w:sz w:val="24"/>
          <w:szCs w:val="24"/>
        </w:rPr>
        <w:t>；</w:t>
      </w:r>
    </w:p>
    <w:p w14:paraId="55E2FA97">
      <w:pPr>
        <w:spacing w:before="203" w:line="219" w:lineRule="auto"/>
        <w:ind w:left="1203"/>
        <w:rPr>
          <w:rFonts w:ascii="宋体" w:hAnsi="宋体" w:eastAsia="宋体" w:cs="宋体"/>
          <w:sz w:val="24"/>
          <w:szCs w:val="24"/>
        </w:rPr>
      </w:pPr>
      <w:r>
        <w:rPr>
          <w:rFonts w:ascii="Times New Roman" w:hAnsi="Times New Roman" w:eastAsia="Times New Roman" w:cs="Times New Roman"/>
          <w:spacing w:val="-1"/>
          <w:sz w:val="24"/>
          <w:szCs w:val="24"/>
        </w:rPr>
        <w:t>R—</w:t>
      </w:r>
      <w:r>
        <w:rPr>
          <w:rFonts w:ascii="宋体" w:hAnsi="宋体" w:eastAsia="宋体" w:cs="宋体"/>
          <w:spacing w:val="-1"/>
          <w:sz w:val="24"/>
          <w:szCs w:val="24"/>
        </w:rPr>
        <w:t>普适气体常数，</w:t>
      </w:r>
      <w:r>
        <w:rPr>
          <w:rFonts w:ascii="Times New Roman" w:hAnsi="Times New Roman" w:eastAsia="Times New Roman" w:cs="Times New Roman"/>
          <w:spacing w:val="-1"/>
          <w:sz w:val="24"/>
          <w:szCs w:val="24"/>
        </w:rPr>
        <w:t>8.31J/</w:t>
      </w:r>
      <w:r>
        <w:rPr>
          <w:rFonts w:ascii="宋体" w:hAnsi="宋体" w:eastAsia="宋体" w:cs="宋体"/>
          <w:spacing w:val="-1"/>
          <w:sz w:val="24"/>
          <w:szCs w:val="24"/>
        </w:rPr>
        <w:t>（</w:t>
      </w:r>
      <w:r>
        <w:rPr>
          <w:rFonts w:ascii="Times New Roman" w:hAnsi="Times New Roman" w:eastAsia="Times New Roman" w:cs="Times New Roman"/>
          <w:spacing w:val="-1"/>
          <w:sz w:val="24"/>
          <w:szCs w:val="24"/>
        </w:rPr>
        <w:t>mol·k</w:t>
      </w:r>
      <w:r>
        <w:rPr>
          <w:rFonts w:ascii="宋体" w:hAnsi="宋体" w:eastAsia="宋体" w:cs="宋体"/>
          <w:spacing w:val="-1"/>
          <w:sz w:val="24"/>
          <w:szCs w:val="24"/>
        </w:rPr>
        <w:t>）</w:t>
      </w:r>
    </w:p>
    <w:p w14:paraId="0543AB85">
      <w:pPr>
        <w:pStyle w:val="2"/>
        <w:spacing w:before="174" w:line="332" w:lineRule="exact"/>
        <w:ind w:left="1198"/>
        <w:rPr>
          <w:rFonts w:ascii="宋体" w:hAnsi="宋体" w:eastAsia="宋体" w:cs="宋体"/>
          <w:sz w:val="24"/>
          <w:szCs w:val="24"/>
        </w:rPr>
      </w:pPr>
      <w:r>
        <w:rPr>
          <w:spacing w:val="-2"/>
          <w:position w:val="1"/>
          <w:sz w:val="19"/>
          <w:szCs w:val="19"/>
        </w:rPr>
        <w:t>TC</w:t>
      </w:r>
      <w:r>
        <w:rPr>
          <w:rFonts w:ascii="Times New Roman" w:hAnsi="Times New Roman" w:eastAsia="Times New Roman" w:cs="Times New Roman"/>
          <w:spacing w:val="-2"/>
          <w:position w:val="1"/>
          <w:sz w:val="24"/>
          <w:szCs w:val="24"/>
        </w:rPr>
        <w:t>—</w:t>
      </w:r>
      <w:r>
        <w:rPr>
          <w:rFonts w:ascii="宋体" w:hAnsi="宋体" w:eastAsia="宋体" w:cs="宋体"/>
          <w:spacing w:val="-2"/>
          <w:position w:val="1"/>
          <w:sz w:val="24"/>
          <w:szCs w:val="24"/>
        </w:rPr>
        <w:t>气体温度，</w:t>
      </w:r>
      <w:r>
        <w:rPr>
          <w:rFonts w:ascii="Times New Roman" w:hAnsi="Times New Roman" w:eastAsia="Times New Roman" w:cs="Times New Roman"/>
          <w:spacing w:val="-2"/>
          <w:position w:val="1"/>
          <w:sz w:val="24"/>
          <w:szCs w:val="24"/>
        </w:rPr>
        <w:t>K</w:t>
      </w:r>
      <w:r>
        <w:rPr>
          <w:rFonts w:ascii="宋体" w:hAnsi="宋体" w:eastAsia="宋体" w:cs="宋体"/>
          <w:spacing w:val="-2"/>
          <w:position w:val="1"/>
          <w:sz w:val="24"/>
          <w:szCs w:val="24"/>
        </w:rPr>
        <w:t>；</w:t>
      </w:r>
    </w:p>
    <w:p w14:paraId="38811C7B">
      <w:pPr>
        <w:spacing w:before="123" w:line="323" w:lineRule="exact"/>
        <w:ind w:left="1201"/>
        <w:rPr>
          <w:rFonts w:ascii="宋体" w:hAnsi="宋体" w:eastAsia="宋体" w:cs="宋体"/>
          <w:sz w:val="24"/>
          <w:szCs w:val="24"/>
        </w:rPr>
      </w:pPr>
      <w:r>
        <w:rPr>
          <w:rFonts w:ascii="Times New Roman" w:hAnsi="Times New Roman" w:eastAsia="Times New Roman" w:cs="Times New Roman"/>
          <w:spacing w:val="-2"/>
          <w:position w:val="1"/>
          <w:sz w:val="24"/>
          <w:szCs w:val="24"/>
        </w:rPr>
        <w:t>Y—</w:t>
      </w:r>
      <w:r>
        <w:rPr>
          <w:rFonts w:ascii="宋体" w:hAnsi="宋体" w:eastAsia="宋体" w:cs="宋体"/>
          <w:spacing w:val="-2"/>
          <w:position w:val="1"/>
          <w:sz w:val="24"/>
          <w:szCs w:val="24"/>
        </w:rPr>
        <w:t>流出系数，对于临界流</w:t>
      </w:r>
      <w:r>
        <w:rPr>
          <w:rFonts w:ascii="宋体" w:hAnsi="宋体" w:eastAsia="宋体" w:cs="宋体"/>
          <w:spacing w:val="-58"/>
          <w:position w:val="1"/>
          <w:sz w:val="24"/>
          <w:szCs w:val="24"/>
        </w:rPr>
        <w:t xml:space="preserve"> </w:t>
      </w:r>
      <w:r>
        <w:rPr>
          <w:rFonts w:ascii="Times New Roman" w:hAnsi="Times New Roman" w:eastAsia="Times New Roman" w:cs="Times New Roman"/>
          <w:spacing w:val="-2"/>
          <w:position w:val="1"/>
          <w:sz w:val="24"/>
          <w:szCs w:val="24"/>
        </w:rPr>
        <w:t>Y=</w:t>
      </w:r>
      <w:r>
        <w:rPr>
          <w:rFonts w:ascii="Times New Roman" w:hAnsi="Times New Roman" w:eastAsia="Times New Roman" w:cs="Times New Roman"/>
          <w:spacing w:val="-33"/>
          <w:position w:val="1"/>
          <w:sz w:val="24"/>
          <w:szCs w:val="24"/>
        </w:rPr>
        <w:t xml:space="preserve"> </w:t>
      </w:r>
      <w:r>
        <w:rPr>
          <w:rFonts w:ascii="Times New Roman" w:hAnsi="Times New Roman" w:eastAsia="Times New Roman" w:cs="Times New Roman"/>
          <w:spacing w:val="-2"/>
          <w:position w:val="1"/>
          <w:sz w:val="24"/>
          <w:szCs w:val="24"/>
        </w:rPr>
        <w:t>1</w:t>
      </w:r>
      <w:r>
        <w:rPr>
          <w:rFonts w:ascii="Times New Roman" w:hAnsi="Times New Roman" w:eastAsia="Times New Roman" w:cs="Times New Roman"/>
          <w:spacing w:val="-28"/>
          <w:position w:val="1"/>
          <w:sz w:val="24"/>
          <w:szCs w:val="24"/>
        </w:rPr>
        <w:t xml:space="preserve"> </w:t>
      </w:r>
      <w:r>
        <w:rPr>
          <w:rFonts w:ascii="宋体" w:hAnsi="宋体" w:eastAsia="宋体" w:cs="宋体"/>
          <w:spacing w:val="-2"/>
          <w:position w:val="1"/>
          <w:sz w:val="24"/>
          <w:szCs w:val="24"/>
        </w:rPr>
        <w:t>，对于次临</w:t>
      </w:r>
      <w:r>
        <w:rPr>
          <w:rFonts w:ascii="宋体" w:hAnsi="宋体" w:eastAsia="宋体" w:cs="宋体"/>
          <w:spacing w:val="-3"/>
          <w:position w:val="1"/>
          <w:sz w:val="24"/>
          <w:szCs w:val="24"/>
        </w:rPr>
        <w:t>界流按下式计算：</w:t>
      </w:r>
    </w:p>
    <w:p w14:paraId="12F5951A">
      <w:pPr>
        <w:spacing w:before="159" w:line="838" w:lineRule="exact"/>
        <w:ind w:firstLine="1556"/>
      </w:pPr>
      <w:r>
        <w:rPr>
          <w:position w:val="-16"/>
        </w:rPr>
        <w:drawing>
          <wp:inline distT="0" distB="0" distL="0" distR="0">
            <wp:extent cx="3782060" cy="531495"/>
            <wp:effectExtent l="0" t="0" r="0" b="0"/>
            <wp:docPr id="212" name="IM 212"/>
            <wp:cNvGraphicFramePr/>
            <a:graphic xmlns:a="http://schemas.openxmlformats.org/drawingml/2006/main">
              <a:graphicData uri="http://schemas.openxmlformats.org/drawingml/2006/picture">
                <pic:pic xmlns:pic="http://schemas.openxmlformats.org/drawingml/2006/picture">
                  <pic:nvPicPr>
                    <pic:cNvPr id="212" name="IM 212"/>
                    <pic:cNvPicPr/>
                  </pic:nvPicPr>
                  <pic:blipFill>
                    <a:blip r:embed="rId678"/>
                    <a:stretch>
                      <a:fillRect/>
                    </a:stretch>
                  </pic:blipFill>
                  <pic:spPr>
                    <a:xfrm>
                      <a:off x="0" y="0"/>
                      <a:ext cx="3782568" cy="532066"/>
                    </a:xfrm>
                    <a:prstGeom prst="rect">
                      <a:avLst/>
                    </a:prstGeom>
                  </pic:spPr>
                </pic:pic>
              </a:graphicData>
            </a:graphic>
          </wp:inline>
        </w:drawing>
      </w:r>
    </w:p>
    <w:p w14:paraId="1CD1EEE9">
      <w:pPr>
        <w:spacing w:before="161" w:line="354" w:lineRule="auto"/>
        <w:ind w:left="10" w:right="1" w:firstLine="479"/>
        <w:rPr>
          <w:rFonts w:ascii="宋体" w:hAnsi="宋体" w:eastAsia="宋体" w:cs="宋体"/>
          <w:sz w:val="24"/>
          <w:szCs w:val="24"/>
        </w:rPr>
      </w:pPr>
      <w:r>
        <w:rPr>
          <w:rFonts w:ascii="宋体" w:hAnsi="宋体" w:eastAsia="宋体" w:cs="宋体"/>
          <w:spacing w:val="-3"/>
          <w:sz w:val="24"/>
          <w:szCs w:val="24"/>
        </w:rPr>
        <w:t>煤气泄漏量参照《建设项目环境风险评价技术导则》（</w:t>
      </w:r>
      <w:r>
        <w:rPr>
          <w:rFonts w:ascii="Times New Roman" w:hAnsi="Times New Roman" w:eastAsia="Times New Roman" w:cs="Times New Roman"/>
          <w:spacing w:val="-3"/>
          <w:sz w:val="24"/>
          <w:szCs w:val="24"/>
        </w:rPr>
        <w:t>HJ</w:t>
      </w:r>
      <w:r>
        <w:rPr>
          <w:rFonts w:ascii="Times New Roman" w:hAnsi="Times New Roman" w:eastAsia="Times New Roman" w:cs="Times New Roman"/>
          <w:spacing w:val="29"/>
          <w:sz w:val="24"/>
          <w:szCs w:val="24"/>
        </w:rPr>
        <w:t xml:space="preserve"> </w:t>
      </w:r>
      <w:r>
        <w:rPr>
          <w:rFonts w:ascii="Times New Roman" w:hAnsi="Times New Roman" w:eastAsia="Times New Roman" w:cs="Times New Roman"/>
          <w:spacing w:val="-3"/>
          <w:sz w:val="24"/>
          <w:szCs w:val="24"/>
        </w:rPr>
        <w:t>169</w:t>
      </w:r>
      <w:r>
        <w:rPr>
          <w:rFonts w:ascii="Times New Roman" w:hAnsi="Times New Roman" w:eastAsia="Times New Roman" w:cs="Times New Roman"/>
          <w:spacing w:val="-4"/>
          <w:sz w:val="24"/>
          <w:szCs w:val="24"/>
        </w:rPr>
        <w:t>-2018</w:t>
      </w:r>
      <w:r>
        <w:rPr>
          <w:rFonts w:ascii="宋体" w:hAnsi="宋体" w:eastAsia="宋体" w:cs="宋体"/>
          <w:spacing w:val="-4"/>
          <w:sz w:val="24"/>
          <w:szCs w:val="24"/>
        </w:rPr>
        <w:t>）中气体泄漏速</w:t>
      </w:r>
      <w:r>
        <w:rPr>
          <w:rFonts w:ascii="宋体" w:hAnsi="宋体" w:eastAsia="宋体" w:cs="宋体"/>
          <w:sz w:val="24"/>
          <w:szCs w:val="24"/>
        </w:rPr>
        <w:t xml:space="preserve"> </w:t>
      </w:r>
      <w:r>
        <w:rPr>
          <w:rFonts w:ascii="宋体" w:hAnsi="宋体" w:eastAsia="宋体" w:cs="宋体"/>
          <w:spacing w:val="-2"/>
          <w:sz w:val="24"/>
          <w:szCs w:val="24"/>
        </w:rPr>
        <w:t>率公式计算。</w:t>
      </w:r>
    </w:p>
    <w:p w14:paraId="4E6EEEFB">
      <w:pPr>
        <w:spacing w:before="35" w:line="184" w:lineRule="auto"/>
        <w:ind w:left="489"/>
        <w:rPr>
          <w:rFonts w:ascii="宋体" w:hAnsi="宋体" w:eastAsia="宋体" w:cs="宋体"/>
          <w:sz w:val="24"/>
          <w:szCs w:val="24"/>
        </w:rPr>
      </w:pPr>
      <w:r>
        <w:rPr>
          <w:rFonts w:ascii="宋体" w:hAnsi="宋体" w:eastAsia="宋体" w:cs="宋体"/>
          <w:spacing w:val="-1"/>
          <w:sz w:val="24"/>
          <w:szCs w:val="24"/>
        </w:rPr>
        <w:t>本项目煤气泄漏源强参数和预测源强计算结果详见表</w:t>
      </w:r>
      <w:r>
        <w:rPr>
          <w:rFonts w:ascii="Times New Roman" w:hAnsi="Times New Roman" w:eastAsia="Times New Roman" w:cs="Times New Roman"/>
          <w:spacing w:val="-1"/>
          <w:sz w:val="24"/>
          <w:szCs w:val="24"/>
        </w:rPr>
        <w:t>5.5-1</w:t>
      </w:r>
      <w:r>
        <w:rPr>
          <w:rFonts w:ascii="宋体" w:hAnsi="宋体" w:eastAsia="宋体" w:cs="宋体"/>
          <w:spacing w:val="-1"/>
          <w:sz w:val="24"/>
          <w:szCs w:val="24"/>
        </w:rPr>
        <w:t>。</w:t>
      </w:r>
    </w:p>
    <w:p w14:paraId="724E2347">
      <w:pPr>
        <w:spacing w:line="184" w:lineRule="auto"/>
        <w:rPr>
          <w:rFonts w:ascii="宋体" w:hAnsi="宋体" w:eastAsia="宋体" w:cs="宋体"/>
          <w:sz w:val="24"/>
          <w:szCs w:val="24"/>
        </w:rPr>
        <w:sectPr>
          <w:type w:val="continuous"/>
          <w:pgSz w:w="11906" w:h="16839"/>
          <w:pgMar w:top="1191" w:right="1416" w:bottom="1221" w:left="1417" w:header="882" w:footer="1059" w:gutter="0"/>
          <w:cols w:equalWidth="0" w:num="1">
            <w:col w:w="9073"/>
          </w:cols>
        </w:sectPr>
      </w:pPr>
    </w:p>
    <w:p w14:paraId="684416E6">
      <w:pPr>
        <w:spacing w:line="28" w:lineRule="exact"/>
      </w:pPr>
      <w:r>
        <w:pict>
          <v:shape id="_x0000_s1910" o:spid="_x0000_s1910" style="height:1.45pt;width:453.65pt;" fillcolor="#000000" filled="t" stroked="f" coordsize="9072,29" path="m0,0l9072,0,9072,28,0,28,0,0xe">
            <v:path/>
            <v:fill on="t" focussize="0,0"/>
            <v:stroke on="f"/>
            <v:imagedata o:title=""/>
            <o:lock v:ext="edit"/>
            <w10:wrap type="none"/>
            <w10:anchorlock/>
          </v:shape>
        </w:pict>
      </w:r>
    </w:p>
    <w:p w14:paraId="38C93C66">
      <w:pPr>
        <w:pStyle w:val="2"/>
        <w:spacing w:line="264" w:lineRule="auto"/>
      </w:pPr>
    </w:p>
    <w:p w14:paraId="282A1288">
      <w:pPr>
        <w:spacing w:before="65" w:line="228" w:lineRule="auto"/>
        <w:ind w:left="2084"/>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8"/>
          <w:sz w:val="20"/>
          <w:szCs w:val="20"/>
        </w:rPr>
        <w:t xml:space="preserve"> </w:t>
      </w:r>
      <w:r>
        <w:rPr>
          <w:rFonts w:ascii="Times New Roman" w:hAnsi="Times New Roman" w:eastAsia="Times New Roman" w:cs="Times New Roman"/>
          <w:b/>
          <w:bCs/>
          <w:spacing w:val="6"/>
          <w:sz w:val="20"/>
          <w:szCs w:val="20"/>
        </w:rPr>
        <w:t xml:space="preserve">5.5-1        </w:t>
      </w:r>
      <w:r>
        <w:rPr>
          <w:rFonts w:ascii="宋体" w:hAnsi="宋体" w:eastAsia="宋体" w:cs="宋体"/>
          <w:b/>
          <w:bCs/>
          <w:spacing w:val="6"/>
          <w:sz w:val="20"/>
          <w:szCs w:val="20"/>
        </w:rPr>
        <w:t>煤气泄漏源强参数和预测</w:t>
      </w:r>
      <w:r>
        <w:rPr>
          <w:rFonts w:ascii="宋体" w:hAnsi="宋体" w:eastAsia="宋体" w:cs="宋体"/>
          <w:b/>
          <w:bCs/>
          <w:spacing w:val="5"/>
          <w:sz w:val="20"/>
          <w:szCs w:val="20"/>
        </w:rPr>
        <w:t>源强计算结果表</w:t>
      </w:r>
    </w:p>
    <w:p w14:paraId="6DEFAD36">
      <w:pPr>
        <w:spacing w:line="97"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84"/>
        <w:gridCol w:w="4059"/>
        <w:gridCol w:w="3529"/>
      </w:tblGrid>
      <w:tr w14:paraId="1BD13D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1484" w:type="dxa"/>
            <w:tcBorders>
              <w:top w:val="single" w:color="000000" w:sz="10" w:space="0"/>
              <w:left w:val="nil"/>
            </w:tcBorders>
            <w:vAlign w:val="top"/>
          </w:tcPr>
          <w:p w14:paraId="424D3F79">
            <w:pPr>
              <w:pStyle w:val="6"/>
              <w:spacing w:before="58" w:line="229" w:lineRule="auto"/>
              <w:ind w:left="536"/>
              <w:rPr>
                <w:sz w:val="20"/>
                <w:szCs w:val="20"/>
              </w:rPr>
            </w:pPr>
            <w:r>
              <w:rPr>
                <w:b/>
                <w:bCs/>
                <w:spacing w:val="4"/>
                <w:sz w:val="20"/>
                <w:szCs w:val="20"/>
              </w:rPr>
              <w:t>序号</w:t>
            </w:r>
          </w:p>
        </w:tc>
        <w:tc>
          <w:tcPr>
            <w:tcW w:w="4059" w:type="dxa"/>
            <w:tcBorders>
              <w:top w:val="single" w:color="000000" w:sz="10" w:space="0"/>
            </w:tcBorders>
            <w:vAlign w:val="top"/>
          </w:tcPr>
          <w:p w14:paraId="0068ACC5">
            <w:pPr>
              <w:pStyle w:val="6"/>
              <w:spacing w:before="57" w:line="228" w:lineRule="auto"/>
              <w:ind w:left="1613"/>
              <w:rPr>
                <w:sz w:val="20"/>
                <w:szCs w:val="20"/>
              </w:rPr>
            </w:pPr>
            <w:r>
              <w:rPr>
                <w:b/>
                <w:bCs/>
                <w:spacing w:val="6"/>
                <w:sz w:val="20"/>
                <w:szCs w:val="20"/>
              </w:rPr>
              <w:t>源强参数</w:t>
            </w:r>
          </w:p>
        </w:tc>
        <w:tc>
          <w:tcPr>
            <w:tcW w:w="3529" w:type="dxa"/>
            <w:tcBorders>
              <w:top w:val="single" w:color="000000" w:sz="10" w:space="0"/>
              <w:right w:val="nil"/>
            </w:tcBorders>
            <w:vAlign w:val="top"/>
          </w:tcPr>
          <w:p w14:paraId="72A3B400">
            <w:pPr>
              <w:pStyle w:val="6"/>
              <w:spacing w:before="58" w:line="228" w:lineRule="auto"/>
              <w:ind w:left="1192"/>
              <w:rPr>
                <w:sz w:val="20"/>
                <w:szCs w:val="20"/>
              </w:rPr>
            </w:pPr>
            <w:r>
              <w:rPr>
                <w:b/>
                <w:bCs/>
                <w:spacing w:val="6"/>
                <w:sz w:val="20"/>
                <w:szCs w:val="20"/>
              </w:rPr>
              <w:t>煤气（</w:t>
            </w:r>
            <w:r>
              <w:rPr>
                <w:rFonts w:ascii="Times New Roman" w:hAnsi="Times New Roman" w:eastAsia="Times New Roman" w:cs="Times New Roman"/>
                <w:b/>
                <w:bCs/>
                <w:sz w:val="20"/>
                <w:szCs w:val="20"/>
              </w:rPr>
              <w:t>CO</w:t>
            </w:r>
            <w:r>
              <w:rPr>
                <w:b/>
                <w:bCs/>
                <w:spacing w:val="6"/>
                <w:sz w:val="20"/>
                <w:szCs w:val="20"/>
              </w:rPr>
              <w:t>）</w:t>
            </w:r>
          </w:p>
        </w:tc>
      </w:tr>
      <w:tr w14:paraId="4D31A7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484" w:type="dxa"/>
            <w:tcBorders>
              <w:left w:val="nil"/>
            </w:tcBorders>
            <w:vAlign w:val="top"/>
          </w:tcPr>
          <w:p w14:paraId="51701F55">
            <w:pPr>
              <w:spacing w:before="89" w:line="195" w:lineRule="auto"/>
              <w:ind w:left="712"/>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4059" w:type="dxa"/>
            <w:vAlign w:val="top"/>
          </w:tcPr>
          <w:p w14:paraId="4FAB7419">
            <w:pPr>
              <w:pStyle w:val="6"/>
              <w:spacing w:before="53" w:line="221" w:lineRule="auto"/>
              <w:ind w:left="1321"/>
              <w:rPr>
                <w:rFonts w:ascii="Times New Roman" w:hAnsi="Times New Roman" w:eastAsia="Times New Roman" w:cs="Times New Roman"/>
                <w:sz w:val="20"/>
                <w:szCs w:val="20"/>
              </w:rPr>
            </w:pPr>
            <w:r>
              <w:rPr>
                <w:spacing w:val="6"/>
                <w:sz w:val="20"/>
                <w:szCs w:val="20"/>
              </w:rPr>
              <w:t>环境压力</w:t>
            </w:r>
            <w:r>
              <w:rPr>
                <w:spacing w:val="-42"/>
                <w:sz w:val="20"/>
                <w:szCs w:val="20"/>
              </w:rPr>
              <w:t xml:space="preserve"> </w:t>
            </w:r>
            <w:r>
              <w:rPr>
                <w:rFonts w:ascii="Times New Roman" w:hAnsi="Times New Roman" w:eastAsia="Times New Roman" w:cs="Times New Roman"/>
                <w:spacing w:val="6"/>
                <w:sz w:val="20"/>
                <w:szCs w:val="20"/>
              </w:rPr>
              <w:t>P</w:t>
            </w:r>
            <w:r>
              <w:rPr>
                <w:rFonts w:ascii="Times New Roman" w:hAnsi="Times New Roman" w:eastAsia="Times New Roman" w:cs="Times New Roman"/>
                <w:spacing w:val="6"/>
                <w:position w:val="-1"/>
                <w:sz w:val="13"/>
                <w:szCs w:val="13"/>
              </w:rPr>
              <w:t>0</w:t>
            </w:r>
            <w:r>
              <w:rPr>
                <w:rFonts w:ascii="Times New Roman" w:hAnsi="Times New Roman" w:eastAsia="Times New Roman" w:cs="Times New Roman"/>
                <w:spacing w:val="6"/>
                <w:sz w:val="20"/>
                <w:szCs w:val="20"/>
              </w:rPr>
              <w:t>(</w:t>
            </w:r>
            <w:r>
              <w:rPr>
                <w:rFonts w:ascii="Times New Roman" w:hAnsi="Times New Roman" w:eastAsia="Times New Roman" w:cs="Times New Roman"/>
                <w:sz w:val="20"/>
                <w:szCs w:val="20"/>
              </w:rPr>
              <w:t>Pa</w:t>
            </w:r>
            <w:r>
              <w:rPr>
                <w:rFonts w:ascii="Times New Roman" w:hAnsi="Times New Roman" w:eastAsia="Times New Roman" w:cs="Times New Roman"/>
                <w:spacing w:val="6"/>
                <w:sz w:val="20"/>
                <w:szCs w:val="20"/>
              </w:rPr>
              <w:t>)</w:t>
            </w:r>
          </w:p>
        </w:tc>
        <w:tc>
          <w:tcPr>
            <w:tcW w:w="3529" w:type="dxa"/>
            <w:tcBorders>
              <w:right w:val="nil"/>
            </w:tcBorders>
            <w:vAlign w:val="top"/>
          </w:tcPr>
          <w:p w14:paraId="4785B31D">
            <w:pPr>
              <w:spacing w:before="88" w:line="195" w:lineRule="auto"/>
              <w:ind w:left="151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86837</w:t>
            </w:r>
          </w:p>
        </w:tc>
      </w:tr>
      <w:tr w14:paraId="6687C2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484" w:type="dxa"/>
            <w:tcBorders>
              <w:left w:val="nil"/>
            </w:tcBorders>
            <w:vAlign w:val="top"/>
          </w:tcPr>
          <w:p w14:paraId="529073D9">
            <w:pPr>
              <w:spacing w:before="92" w:line="195" w:lineRule="auto"/>
              <w:ind w:left="692"/>
              <w:outlineLvl w:val="2"/>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4059" w:type="dxa"/>
            <w:vAlign w:val="top"/>
          </w:tcPr>
          <w:p w14:paraId="0FE1D49B">
            <w:pPr>
              <w:pStyle w:val="6"/>
              <w:spacing w:before="56" w:line="221" w:lineRule="auto"/>
              <w:ind w:left="1045"/>
              <w:rPr>
                <w:rFonts w:ascii="Times New Roman" w:hAnsi="Times New Roman" w:eastAsia="Times New Roman" w:cs="Times New Roman"/>
                <w:sz w:val="20"/>
                <w:szCs w:val="20"/>
              </w:rPr>
            </w:pPr>
            <w:r>
              <w:rPr>
                <w:spacing w:val="7"/>
                <w:sz w:val="20"/>
                <w:szCs w:val="20"/>
              </w:rPr>
              <w:t>管道内介质压力</w:t>
            </w:r>
            <w:r>
              <w:rPr>
                <w:spacing w:val="-42"/>
                <w:sz w:val="20"/>
                <w:szCs w:val="20"/>
              </w:rPr>
              <w:t xml:space="preserve"> </w:t>
            </w:r>
            <w:r>
              <w:rPr>
                <w:rFonts w:ascii="Times New Roman" w:hAnsi="Times New Roman" w:eastAsia="Times New Roman" w:cs="Times New Roman"/>
                <w:spacing w:val="7"/>
                <w:sz w:val="20"/>
                <w:szCs w:val="20"/>
              </w:rPr>
              <w:t>P(</w:t>
            </w:r>
            <w:r>
              <w:rPr>
                <w:rFonts w:ascii="Times New Roman" w:hAnsi="Times New Roman" w:eastAsia="Times New Roman" w:cs="Times New Roman"/>
                <w:sz w:val="20"/>
                <w:szCs w:val="20"/>
              </w:rPr>
              <w:t>Pa</w:t>
            </w:r>
            <w:r>
              <w:rPr>
                <w:rFonts w:ascii="Times New Roman" w:hAnsi="Times New Roman" w:eastAsia="Times New Roman" w:cs="Times New Roman"/>
                <w:spacing w:val="7"/>
                <w:sz w:val="20"/>
                <w:szCs w:val="20"/>
              </w:rPr>
              <w:t>)</w:t>
            </w:r>
          </w:p>
        </w:tc>
        <w:tc>
          <w:tcPr>
            <w:tcW w:w="3529" w:type="dxa"/>
            <w:tcBorders>
              <w:right w:val="nil"/>
            </w:tcBorders>
            <w:vAlign w:val="top"/>
          </w:tcPr>
          <w:p w14:paraId="2F1175F5">
            <w:pPr>
              <w:spacing w:before="91" w:line="195" w:lineRule="auto"/>
              <w:ind w:left="151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88030</w:t>
            </w:r>
          </w:p>
        </w:tc>
      </w:tr>
      <w:tr w14:paraId="5BC992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484" w:type="dxa"/>
            <w:tcBorders>
              <w:left w:val="nil"/>
            </w:tcBorders>
            <w:vAlign w:val="top"/>
          </w:tcPr>
          <w:p w14:paraId="137B789E">
            <w:pPr>
              <w:spacing w:before="94" w:line="195" w:lineRule="auto"/>
              <w:ind w:left="696"/>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4059" w:type="dxa"/>
            <w:vAlign w:val="top"/>
          </w:tcPr>
          <w:p w14:paraId="4754AE1B">
            <w:pPr>
              <w:pStyle w:val="6"/>
              <w:spacing w:before="59" w:line="221" w:lineRule="auto"/>
              <w:ind w:left="1437"/>
              <w:rPr>
                <w:rFonts w:ascii="Times New Roman" w:hAnsi="Times New Roman" w:eastAsia="Times New Roman" w:cs="Times New Roman"/>
                <w:sz w:val="20"/>
                <w:szCs w:val="20"/>
              </w:rPr>
            </w:pPr>
            <w:r>
              <w:rPr>
                <w:spacing w:val="6"/>
                <w:sz w:val="20"/>
                <w:szCs w:val="20"/>
              </w:rPr>
              <w:t>气体温度</w:t>
            </w:r>
            <w:r>
              <w:rPr>
                <w:rFonts w:ascii="Times New Roman" w:hAnsi="Times New Roman" w:eastAsia="Times New Roman" w:cs="Times New Roman"/>
                <w:spacing w:val="6"/>
                <w:sz w:val="20"/>
                <w:szCs w:val="20"/>
              </w:rPr>
              <w:t>(℃)</w:t>
            </w:r>
          </w:p>
        </w:tc>
        <w:tc>
          <w:tcPr>
            <w:tcW w:w="3529" w:type="dxa"/>
            <w:tcBorders>
              <w:right w:val="nil"/>
            </w:tcBorders>
            <w:vAlign w:val="top"/>
          </w:tcPr>
          <w:p w14:paraId="19D46C1E">
            <w:pPr>
              <w:spacing w:before="94" w:line="195" w:lineRule="auto"/>
              <w:ind w:left="166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r>
      <w:tr w14:paraId="5C025A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484" w:type="dxa"/>
            <w:tcBorders>
              <w:left w:val="nil"/>
            </w:tcBorders>
            <w:vAlign w:val="top"/>
          </w:tcPr>
          <w:p w14:paraId="78E1297F">
            <w:pPr>
              <w:spacing w:before="98" w:line="195" w:lineRule="auto"/>
              <w:ind w:left="69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4059" w:type="dxa"/>
            <w:vAlign w:val="top"/>
          </w:tcPr>
          <w:p w14:paraId="0AEEAEF2">
            <w:pPr>
              <w:pStyle w:val="6"/>
              <w:spacing w:before="62" w:line="221" w:lineRule="auto"/>
              <w:ind w:left="1003"/>
              <w:rPr>
                <w:sz w:val="20"/>
                <w:szCs w:val="20"/>
              </w:rPr>
            </w:pPr>
            <w:r>
              <w:rPr>
                <w:spacing w:val="9"/>
                <w:sz w:val="20"/>
                <w:szCs w:val="20"/>
              </w:rPr>
              <w:t>气体分子量（</w:t>
            </w:r>
            <w:r>
              <w:rPr>
                <w:rFonts w:ascii="Times New Roman" w:hAnsi="Times New Roman" w:eastAsia="Times New Roman" w:cs="Times New Roman"/>
                <w:sz w:val="20"/>
                <w:szCs w:val="20"/>
              </w:rPr>
              <w:t>kg</w:t>
            </w:r>
            <w:r>
              <w:rPr>
                <w:rFonts w:ascii="Times New Roman" w:hAnsi="Times New Roman" w:eastAsia="Times New Roman" w:cs="Times New Roman"/>
                <w:spacing w:val="9"/>
                <w:sz w:val="20"/>
                <w:szCs w:val="20"/>
              </w:rPr>
              <w:t>/</w:t>
            </w:r>
            <w:r>
              <w:rPr>
                <w:rFonts w:ascii="Times New Roman" w:hAnsi="Times New Roman" w:eastAsia="Times New Roman" w:cs="Times New Roman"/>
                <w:sz w:val="20"/>
                <w:szCs w:val="20"/>
              </w:rPr>
              <w:t>mol</w:t>
            </w:r>
            <w:r>
              <w:rPr>
                <w:spacing w:val="9"/>
                <w:sz w:val="20"/>
                <w:szCs w:val="20"/>
              </w:rPr>
              <w:t>）</w:t>
            </w:r>
          </w:p>
        </w:tc>
        <w:tc>
          <w:tcPr>
            <w:tcW w:w="3529" w:type="dxa"/>
            <w:tcBorders>
              <w:right w:val="nil"/>
            </w:tcBorders>
            <w:vAlign w:val="top"/>
          </w:tcPr>
          <w:p w14:paraId="0F6F7DA4">
            <w:pPr>
              <w:spacing w:before="97" w:line="195" w:lineRule="auto"/>
              <w:ind w:left="15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0.028</w:t>
            </w:r>
          </w:p>
        </w:tc>
      </w:tr>
      <w:tr w14:paraId="2B02F8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484" w:type="dxa"/>
            <w:tcBorders>
              <w:left w:val="nil"/>
            </w:tcBorders>
            <w:vAlign w:val="top"/>
          </w:tcPr>
          <w:p w14:paraId="7829134A">
            <w:pPr>
              <w:spacing w:before="103" w:line="192" w:lineRule="auto"/>
              <w:ind w:left="697"/>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4059" w:type="dxa"/>
            <w:vAlign w:val="top"/>
          </w:tcPr>
          <w:p w14:paraId="2592B70C">
            <w:pPr>
              <w:pStyle w:val="6"/>
              <w:spacing w:before="65" w:line="222" w:lineRule="auto"/>
              <w:ind w:left="1615"/>
              <w:rPr>
                <w:sz w:val="20"/>
                <w:szCs w:val="20"/>
              </w:rPr>
            </w:pPr>
            <w:r>
              <w:rPr>
                <w:spacing w:val="6"/>
                <w:sz w:val="20"/>
                <w:szCs w:val="20"/>
              </w:rPr>
              <w:t>绝热指数</w:t>
            </w:r>
          </w:p>
        </w:tc>
        <w:tc>
          <w:tcPr>
            <w:tcW w:w="3529" w:type="dxa"/>
            <w:tcBorders>
              <w:right w:val="nil"/>
            </w:tcBorders>
            <w:vAlign w:val="top"/>
          </w:tcPr>
          <w:p w14:paraId="1F8E547C">
            <w:pPr>
              <w:spacing w:before="100" w:line="195" w:lineRule="auto"/>
              <w:ind w:left="165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1.4</w:t>
            </w:r>
          </w:p>
        </w:tc>
      </w:tr>
      <w:tr w14:paraId="040A78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484" w:type="dxa"/>
            <w:tcBorders>
              <w:left w:val="nil"/>
            </w:tcBorders>
            <w:vAlign w:val="top"/>
          </w:tcPr>
          <w:p w14:paraId="60AC1CC7">
            <w:pPr>
              <w:spacing w:before="103" w:line="195" w:lineRule="auto"/>
              <w:ind w:left="696"/>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4059" w:type="dxa"/>
            <w:vAlign w:val="top"/>
          </w:tcPr>
          <w:p w14:paraId="79288DD5">
            <w:pPr>
              <w:pStyle w:val="6"/>
              <w:spacing w:before="67" w:line="220" w:lineRule="auto"/>
              <w:ind w:left="1429"/>
              <w:rPr>
                <w:rFonts w:ascii="Times New Roman" w:hAnsi="Times New Roman" w:eastAsia="Times New Roman" w:cs="Times New Roman"/>
                <w:sz w:val="20"/>
                <w:szCs w:val="20"/>
              </w:rPr>
            </w:pPr>
            <w:r>
              <w:rPr>
                <w:spacing w:val="5"/>
                <w:sz w:val="20"/>
                <w:szCs w:val="20"/>
              </w:rPr>
              <w:t>裂口面积</w:t>
            </w:r>
            <w:r>
              <w:rPr>
                <w:rFonts w:ascii="Times New Roman" w:hAnsi="Times New Roman" w:eastAsia="Times New Roman" w:cs="Times New Roman"/>
                <w:spacing w:val="5"/>
                <w:sz w:val="20"/>
                <w:szCs w:val="20"/>
              </w:rPr>
              <w:t>(m</w:t>
            </w:r>
            <w:r>
              <w:rPr>
                <w:rFonts w:ascii="Times New Roman" w:hAnsi="Times New Roman" w:eastAsia="Times New Roman" w:cs="Times New Roman"/>
                <w:spacing w:val="5"/>
                <w:position w:val="6"/>
                <w:sz w:val="13"/>
                <w:szCs w:val="13"/>
              </w:rPr>
              <w:t>2</w:t>
            </w:r>
            <w:r>
              <w:rPr>
                <w:rFonts w:ascii="Times New Roman" w:hAnsi="Times New Roman" w:eastAsia="Times New Roman" w:cs="Times New Roman"/>
                <w:spacing w:val="5"/>
                <w:sz w:val="20"/>
                <w:szCs w:val="20"/>
              </w:rPr>
              <w:t>)</w:t>
            </w:r>
          </w:p>
        </w:tc>
        <w:tc>
          <w:tcPr>
            <w:tcW w:w="3529" w:type="dxa"/>
            <w:tcBorders>
              <w:right w:val="nil"/>
            </w:tcBorders>
            <w:vAlign w:val="top"/>
          </w:tcPr>
          <w:p w14:paraId="4A8A8E97">
            <w:pPr>
              <w:spacing w:before="103" w:line="195" w:lineRule="auto"/>
              <w:ind w:left="132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0.0019625</w:t>
            </w:r>
          </w:p>
        </w:tc>
      </w:tr>
      <w:tr w14:paraId="5D9EE4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484" w:type="dxa"/>
            <w:tcBorders>
              <w:left w:val="nil"/>
            </w:tcBorders>
            <w:vAlign w:val="top"/>
          </w:tcPr>
          <w:p w14:paraId="4F59578A">
            <w:pPr>
              <w:spacing w:before="109" w:line="192" w:lineRule="auto"/>
              <w:ind w:left="695"/>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4059" w:type="dxa"/>
            <w:vAlign w:val="top"/>
          </w:tcPr>
          <w:p w14:paraId="161D9BDD">
            <w:pPr>
              <w:pStyle w:val="6"/>
              <w:spacing w:before="70" w:line="217" w:lineRule="auto"/>
              <w:ind w:left="1406"/>
              <w:rPr>
                <w:sz w:val="20"/>
                <w:szCs w:val="20"/>
              </w:rPr>
            </w:pPr>
            <w:r>
              <w:rPr>
                <w:spacing w:val="8"/>
                <w:sz w:val="20"/>
                <w:szCs w:val="20"/>
              </w:rPr>
              <w:t>气体泄漏系数</w:t>
            </w:r>
          </w:p>
        </w:tc>
        <w:tc>
          <w:tcPr>
            <w:tcW w:w="3529" w:type="dxa"/>
            <w:tcBorders>
              <w:right w:val="nil"/>
            </w:tcBorders>
            <w:vAlign w:val="top"/>
          </w:tcPr>
          <w:p w14:paraId="361109DE">
            <w:pPr>
              <w:spacing w:before="106" w:line="195" w:lineRule="auto"/>
              <w:ind w:left="165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r>
      <w:tr w14:paraId="5E3A1E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1484" w:type="dxa"/>
            <w:tcBorders>
              <w:left w:val="nil"/>
              <w:bottom w:val="single" w:color="000000" w:sz="10" w:space="0"/>
            </w:tcBorders>
            <w:vAlign w:val="top"/>
          </w:tcPr>
          <w:p w14:paraId="73DB62AB">
            <w:pPr>
              <w:spacing w:before="109" w:line="195" w:lineRule="auto"/>
              <w:ind w:left="700"/>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4059" w:type="dxa"/>
            <w:tcBorders>
              <w:bottom w:val="single" w:color="000000" w:sz="10" w:space="0"/>
            </w:tcBorders>
            <w:vAlign w:val="top"/>
          </w:tcPr>
          <w:p w14:paraId="7C0D3A64">
            <w:pPr>
              <w:pStyle w:val="6"/>
              <w:spacing w:before="74" w:line="221" w:lineRule="auto"/>
              <w:ind w:left="1010"/>
              <w:rPr>
                <w:rFonts w:ascii="Times New Roman" w:hAnsi="Times New Roman" w:eastAsia="Times New Roman" w:cs="Times New Roman"/>
                <w:sz w:val="20"/>
                <w:szCs w:val="20"/>
              </w:rPr>
            </w:pPr>
            <w:r>
              <w:rPr>
                <w:spacing w:val="7"/>
                <w:sz w:val="20"/>
                <w:szCs w:val="20"/>
              </w:rPr>
              <w:t>气体泄漏速率</w:t>
            </w:r>
            <w:r>
              <w:rPr>
                <w:spacing w:val="-38"/>
                <w:sz w:val="20"/>
                <w:szCs w:val="20"/>
              </w:rPr>
              <w:t xml:space="preserve"> </w:t>
            </w:r>
            <w:r>
              <w:rPr>
                <w:rFonts w:ascii="Times New Roman" w:hAnsi="Times New Roman" w:eastAsia="Times New Roman" w:cs="Times New Roman"/>
                <w:sz w:val="20"/>
                <w:szCs w:val="20"/>
              </w:rPr>
              <w:t>Q</w:t>
            </w:r>
            <w:r>
              <w:rPr>
                <w:rFonts w:ascii="Times New Roman" w:hAnsi="Times New Roman" w:eastAsia="Times New Roman" w:cs="Times New Roman"/>
                <w:position w:val="-1"/>
                <w:sz w:val="13"/>
                <w:szCs w:val="13"/>
              </w:rPr>
              <w:t>G</w:t>
            </w:r>
            <w:r>
              <w:rPr>
                <w:rFonts w:ascii="Times New Roman" w:hAnsi="Times New Roman" w:eastAsia="Times New Roman" w:cs="Times New Roman"/>
                <w:spacing w:val="7"/>
                <w:sz w:val="20"/>
                <w:szCs w:val="20"/>
              </w:rPr>
              <w:t>(</w:t>
            </w:r>
            <w:r>
              <w:rPr>
                <w:rFonts w:ascii="Times New Roman" w:hAnsi="Times New Roman" w:eastAsia="Times New Roman" w:cs="Times New Roman"/>
                <w:sz w:val="20"/>
                <w:szCs w:val="20"/>
              </w:rPr>
              <w:t>kg</w:t>
            </w:r>
            <w:r>
              <w:rPr>
                <w:rFonts w:ascii="Times New Roman" w:hAnsi="Times New Roman" w:eastAsia="Times New Roman" w:cs="Times New Roman"/>
                <w:spacing w:val="7"/>
                <w:sz w:val="20"/>
                <w:szCs w:val="20"/>
              </w:rPr>
              <w:t>/s)</w:t>
            </w:r>
          </w:p>
        </w:tc>
        <w:tc>
          <w:tcPr>
            <w:tcW w:w="3529" w:type="dxa"/>
            <w:tcBorders>
              <w:bottom w:val="single" w:color="000000" w:sz="10" w:space="0"/>
              <w:right w:val="nil"/>
            </w:tcBorders>
            <w:vAlign w:val="top"/>
          </w:tcPr>
          <w:p w14:paraId="24FEDDEB">
            <w:pPr>
              <w:spacing w:before="109" w:line="195" w:lineRule="auto"/>
              <w:ind w:left="1533"/>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0.371</w:t>
            </w:r>
          </w:p>
        </w:tc>
      </w:tr>
    </w:tbl>
    <w:p w14:paraId="2B0B3C10">
      <w:pPr>
        <w:spacing w:before="177" w:line="222" w:lineRule="auto"/>
        <w:ind w:left="8"/>
        <w:outlineLvl w:val="2"/>
        <w:rPr>
          <w:rFonts w:ascii="黑体" w:hAnsi="黑体" w:eastAsia="黑体" w:cs="黑体"/>
          <w:sz w:val="28"/>
          <w:szCs w:val="28"/>
        </w:rPr>
      </w:pPr>
      <w:bookmarkStart w:id="407" w:name="bookmark282"/>
      <w:bookmarkEnd w:id="407"/>
      <w:r>
        <w:rPr>
          <w:rFonts w:ascii="Times New Roman" w:hAnsi="Times New Roman" w:eastAsia="Times New Roman" w:cs="Times New Roman"/>
          <w:b/>
          <w:bCs/>
          <w:spacing w:val="-1"/>
          <w:sz w:val="28"/>
          <w:szCs w:val="28"/>
        </w:rPr>
        <w:t xml:space="preserve">5.5.2 </w:t>
      </w:r>
      <w:r>
        <w:rPr>
          <w:rFonts w:ascii="黑体" w:hAnsi="黑体" w:eastAsia="黑体" w:cs="黑体"/>
          <w:spacing w:val="-1"/>
          <w:sz w:val="28"/>
          <w:szCs w:val="28"/>
        </w:rPr>
        <w:t>煤气冷凝废水隔油池泄漏源项分析</w:t>
      </w:r>
    </w:p>
    <w:p w14:paraId="1B5E7883">
      <w:pPr>
        <w:spacing w:before="244"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）地下水污染风险识别及预测情景设定</w:t>
      </w:r>
    </w:p>
    <w:p w14:paraId="18038A11">
      <w:pPr>
        <w:spacing w:before="195" w:line="359" w:lineRule="auto"/>
        <w:ind w:left="8" w:right="61" w:firstLine="480"/>
        <w:jc w:val="both"/>
        <w:rPr>
          <w:rFonts w:ascii="宋体" w:hAnsi="宋体" w:eastAsia="宋体" w:cs="宋体"/>
          <w:sz w:val="24"/>
          <w:szCs w:val="24"/>
        </w:rPr>
      </w:pPr>
      <w:r>
        <w:rPr>
          <w:rFonts w:ascii="宋体" w:hAnsi="宋体" w:eastAsia="宋体" w:cs="宋体"/>
          <w:spacing w:val="-2"/>
          <w:sz w:val="24"/>
          <w:szCs w:val="24"/>
        </w:rPr>
        <w:t>本次评价假设事故情况为厂区内煤气冷凝废水隔油池底部防渗层破裂，因不易被发</w:t>
      </w:r>
      <w:r>
        <w:rPr>
          <w:rFonts w:ascii="宋体" w:hAnsi="宋体" w:eastAsia="宋体" w:cs="宋体"/>
          <w:spacing w:val="12"/>
          <w:sz w:val="24"/>
          <w:szCs w:val="24"/>
        </w:rPr>
        <w:t xml:space="preserve"> </w:t>
      </w:r>
      <w:r>
        <w:rPr>
          <w:rFonts w:ascii="宋体" w:hAnsi="宋体" w:eastAsia="宋体" w:cs="宋体"/>
          <w:spacing w:val="-2"/>
          <w:sz w:val="24"/>
          <w:szCs w:val="24"/>
        </w:rPr>
        <w:t>现，废水持续泄漏导致地下水污染，预测泄漏的煤气冷凝废水指定位置不同时间的浓度</w:t>
      </w:r>
      <w:r>
        <w:rPr>
          <w:rFonts w:ascii="宋体" w:hAnsi="宋体" w:eastAsia="宋体" w:cs="宋体"/>
          <w:spacing w:val="17"/>
          <w:sz w:val="24"/>
          <w:szCs w:val="24"/>
        </w:rPr>
        <w:t xml:space="preserve"> </w:t>
      </w:r>
      <w:r>
        <w:rPr>
          <w:rFonts w:ascii="宋体" w:hAnsi="宋体" w:eastAsia="宋体" w:cs="宋体"/>
          <w:spacing w:val="-2"/>
          <w:sz w:val="24"/>
          <w:szCs w:val="24"/>
        </w:rPr>
        <w:t>变化情况，预测因子为</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COD</w:t>
      </w:r>
      <w:r>
        <w:rPr>
          <w:rFonts w:ascii="Times New Roman" w:hAnsi="Times New Roman" w:eastAsia="Times New Roman" w:cs="Times New Roman"/>
          <w:spacing w:val="-2"/>
          <w:position w:val="-1"/>
          <w:sz w:val="15"/>
          <w:szCs w:val="15"/>
        </w:rPr>
        <w:t>cr</w:t>
      </w:r>
      <w:r>
        <w:rPr>
          <w:rFonts w:ascii="Times New Roman" w:hAnsi="Times New Roman" w:eastAsia="Times New Roman" w:cs="Times New Roman"/>
          <w:spacing w:val="-12"/>
          <w:position w:val="-1"/>
          <w:sz w:val="15"/>
          <w:szCs w:val="15"/>
        </w:rPr>
        <w:t xml:space="preserve"> </w:t>
      </w:r>
      <w:r>
        <w:rPr>
          <w:rFonts w:ascii="宋体" w:hAnsi="宋体" w:eastAsia="宋体" w:cs="宋体"/>
          <w:spacing w:val="-2"/>
          <w:sz w:val="24"/>
          <w:szCs w:val="24"/>
        </w:rPr>
        <w:t>、石油类。</w:t>
      </w:r>
    </w:p>
    <w:p w14:paraId="3E27CCCD">
      <w:pPr>
        <w:spacing w:before="33" w:line="356" w:lineRule="auto"/>
        <w:ind w:left="12" w:right="61" w:firstLine="476"/>
        <w:rPr>
          <w:rFonts w:ascii="宋体" w:hAnsi="宋体" w:eastAsia="宋体" w:cs="宋体"/>
          <w:sz w:val="24"/>
          <w:szCs w:val="24"/>
        </w:rPr>
      </w:pPr>
      <w:r>
        <w:rPr>
          <w:rFonts w:ascii="宋体" w:hAnsi="宋体" w:eastAsia="宋体" w:cs="宋体"/>
          <w:spacing w:val="-1"/>
          <w:sz w:val="24"/>
          <w:szCs w:val="24"/>
        </w:rPr>
        <w:t>根据区域地下水流方向（自西南向东北</w:t>
      </w:r>
      <w:r>
        <w:rPr>
          <w:rFonts w:ascii="宋体" w:hAnsi="宋体" w:eastAsia="宋体" w:cs="宋体"/>
          <w:spacing w:val="-12"/>
          <w:sz w:val="24"/>
          <w:szCs w:val="24"/>
        </w:rPr>
        <w:t>），</w:t>
      </w:r>
      <w:r>
        <w:rPr>
          <w:rFonts w:ascii="宋体" w:hAnsi="宋体" w:eastAsia="宋体" w:cs="宋体"/>
          <w:spacing w:val="-1"/>
          <w:sz w:val="24"/>
          <w:szCs w:val="24"/>
        </w:rPr>
        <w:t>本次评价预测在隔油池内煤气冷凝</w:t>
      </w:r>
      <w:r>
        <w:rPr>
          <w:rFonts w:ascii="宋体" w:hAnsi="宋体" w:eastAsia="宋体" w:cs="宋体"/>
          <w:spacing w:val="-2"/>
          <w:sz w:val="24"/>
          <w:szCs w:val="24"/>
        </w:rPr>
        <w:t>废水</w:t>
      </w:r>
      <w:r>
        <w:rPr>
          <w:rFonts w:ascii="宋体" w:hAnsi="宋体" w:eastAsia="宋体" w:cs="宋体"/>
          <w:spacing w:val="1"/>
          <w:sz w:val="24"/>
          <w:szCs w:val="24"/>
        </w:rPr>
        <w:t xml:space="preserve"> </w:t>
      </w:r>
      <w:r>
        <w:rPr>
          <w:rFonts w:ascii="宋体" w:hAnsi="宋体" w:eastAsia="宋体" w:cs="宋体"/>
          <w:spacing w:val="-1"/>
          <w:sz w:val="24"/>
          <w:szCs w:val="24"/>
        </w:rPr>
        <w:t>不断泄漏情况下固定位置地下水中</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COD</w:t>
      </w:r>
      <w:r>
        <w:rPr>
          <w:rFonts w:ascii="Times New Roman" w:hAnsi="Times New Roman" w:eastAsia="Times New Roman" w:cs="Times New Roman"/>
          <w:spacing w:val="-1"/>
          <w:position w:val="-1"/>
          <w:sz w:val="15"/>
          <w:szCs w:val="15"/>
        </w:rPr>
        <w:t>cr</w:t>
      </w:r>
      <w:r>
        <w:rPr>
          <w:rFonts w:ascii="Times New Roman" w:hAnsi="Times New Roman" w:eastAsia="Times New Roman" w:cs="Times New Roman"/>
          <w:spacing w:val="-12"/>
          <w:position w:val="-1"/>
          <w:sz w:val="15"/>
          <w:szCs w:val="15"/>
        </w:rPr>
        <w:t xml:space="preserve"> </w:t>
      </w:r>
      <w:r>
        <w:rPr>
          <w:rFonts w:ascii="宋体" w:hAnsi="宋体" w:eastAsia="宋体" w:cs="宋体"/>
          <w:spacing w:val="-1"/>
          <w:sz w:val="24"/>
          <w:szCs w:val="24"/>
        </w:rPr>
        <w:t>、石油类浓度不同</w:t>
      </w:r>
      <w:r>
        <w:rPr>
          <w:rFonts w:ascii="宋体" w:hAnsi="宋体" w:eastAsia="宋体" w:cs="宋体"/>
          <w:spacing w:val="-2"/>
          <w:sz w:val="24"/>
          <w:szCs w:val="24"/>
        </w:rPr>
        <w:t>时间的变化情况。</w:t>
      </w:r>
    </w:p>
    <w:p w14:paraId="00694FE1">
      <w:pPr>
        <w:spacing w:before="32"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）预测源强确定</w:t>
      </w:r>
    </w:p>
    <w:p w14:paraId="447A9F7B">
      <w:pPr>
        <w:spacing w:before="194" w:line="355" w:lineRule="auto"/>
        <w:ind w:left="13" w:firstLine="476"/>
        <w:rPr>
          <w:rFonts w:ascii="宋体" w:hAnsi="宋体" w:eastAsia="宋体" w:cs="宋体"/>
          <w:sz w:val="24"/>
          <w:szCs w:val="24"/>
        </w:rPr>
      </w:pPr>
      <w:r>
        <w:rPr>
          <w:rFonts w:ascii="宋体" w:hAnsi="宋体" w:eastAsia="宋体" w:cs="宋体"/>
          <w:spacing w:val="-1"/>
          <w:sz w:val="24"/>
          <w:szCs w:val="24"/>
        </w:rPr>
        <w:t>煤气冷凝废水中预测污染物浓度为</w:t>
      </w:r>
      <w:r>
        <w:rPr>
          <w:rFonts w:ascii="宋体" w:hAnsi="宋体" w:eastAsia="宋体" w:cs="宋体"/>
          <w:spacing w:val="-41"/>
          <w:sz w:val="24"/>
          <w:szCs w:val="24"/>
        </w:rPr>
        <w:t xml:space="preserve"> </w:t>
      </w:r>
      <w:r>
        <w:rPr>
          <w:rFonts w:ascii="Times New Roman" w:hAnsi="Times New Roman" w:eastAsia="Times New Roman" w:cs="Times New Roman"/>
          <w:spacing w:val="-1"/>
          <w:sz w:val="24"/>
          <w:szCs w:val="24"/>
        </w:rPr>
        <w:t>COD</w:t>
      </w:r>
      <w:r>
        <w:rPr>
          <w:rFonts w:ascii="Times New Roman" w:hAnsi="Times New Roman" w:eastAsia="Times New Roman" w:cs="Times New Roman"/>
          <w:spacing w:val="-1"/>
          <w:position w:val="-1"/>
          <w:sz w:val="15"/>
          <w:szCs w:val="15"/>
        </w:rPr>
        <w:t>cr</w:t>
      </w:r>
      <w:r>
        <w:rPr>
          <w:rFonts w:ascii="Times New Roman" w:hAnsi="Times New Roman" w:eastAsia="Times New Roman" w:cs="Times New Roman"/>
          <w:spacing w:val="-12"/>
          <w:position w:val="-1"/>
          <w:sz w:val="15"/>
          <w:szCs w:val="15"/>
        </w:rPr>
        <w:t xml:space="preserve"> </w:t>
      </w:r>
      <w:r>
        <w:rPr>
          <w:rFonts w:ascii="Times New Roman" w:hAnsi="Times New Roman" w:eastAsia="Times New Roman" w:cs="Times New Roman"/>
          <w:spacing w:val="-1"/>
          <w:sz w:val="24"/>
          <w:szCs w:val="24"/>
        </w:rPr>
        <w:t>180mg/L</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、石油类</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260mg/L</w:t>
      </w:r>
      <w:r>
        <w:rPr>
          <w:rFonts w:ascii="Times New Roman" w:hAnsi="Times New Roman" w:eastAsia="Times New Roman" w:cs="Times New Roman"/>
          <w:spacing w:val="-23"/>
          <w:sz w:val="24"/>
          <w:szCs w:val="24"/>
        </w:rPr>
        <w:t xml:space="preserve"> </w:t>
      </w:r>
      <w:r>
        <w:rPr>
          <w:rFonts w:ascii="宋体" w:hAnsi="宋体" w:eastAsia="宋体" w:cs="宋体"/>
          <w:spacing w:val="-1"/>
          <w:sz w:val="24"/>
          <w:szCs w:val="24"/>
        </w:rPr>
        <w:t>。假设在非正</w:t>
      </w:r>
      <w:r>
        <w:rPr>
          <w:rFonts w:ascii="宋体" w:hAnsi="宋体" w:eastAsia="宋体" w:cs="宋体"/>
          <w:sz w:val="24"/>
          <w:szCs w:val="24"/>
        </w:rPr>
        <w:t xml:space="preserve"> </w:t>
      </w:r>
      <w:r>
        <w:rPr>
          <w:rFonts w:ascii="宋体" w:hAnsi="宋体" w:eastAsia="宋体" w:cs="宋体"/>
          <w:spacing w:val="-7"/>
          <w:sz w:val="24"/>
          <w:szCs w:val="24"/>
        </w:rPr>
        <w:t>常状况下，隔油池池底发生破损，煤气冷凝废水泄漏量按照隔油池有</w:t>
      </w:r>
      <w:r>
        <w:rPr>
          <w:rFonts w:ascii="宋体" w:hAnsi="宋体" w:eastAsia="宋体" w:cs="宋体"/>
          <w:spacing w:val="-8"/>
          <w:sz w:val="24"/>
          <w:szCs w:val="24"/>
        </w:rPr>
        <w:t>效容积的</w:t>
      </w:r>
      <w:r>
        <w:rPr>
          <w:rFonts w:ascii="宋体" w:hAnsi="宋体" w:eastAsia="宋体" w:cs="宋体"/>
          <w:spacing w:val="-32"/>
          <w:sz w:val="24"/>
          <w:szCs w:val="24"/>
        </w:rPr>
        <w:t xml:space="preserve"> </w:t>
      </w:r>
      <w:r>
        <w:rPr>
          <w:rFonts w:ascii="Times New Roman" w:hAnsi="Times New Roman" w:eastAsia="Times New Roman" w:cs="Times New Roman"/>
          <w:spacing w:val="-8"/>
          <w:sz w:val="24"/>
          <w:szCs w:val="24"/>
        </w:rPr>
        <w:t>10%</w:t>
      </w:r>
      <w:r>
        <w:rPr>
          <w:rFonts w:ascii="宋体" w:hAnsi="宋体" w:eastAsia="宋体" w:cs="宋体"/>
          <w:spacing w:val="-8"/>
          <w:sz w:val="24"/>
          <w:szCs w:val="24"/>
        </w:rPr>
        <w:t>考虑，</w:t>
      </w:r>
      <w:r>
        <w:rPr>
          <w:rFonts w:ascii="宋体" w:hAnsi="宋体" w:eastAsia="宋体" w:cs="宋体"/>
          <w:sz w:val="24"/>
          <w:szCs w:val="24"/>
        </w:rPr>
        <w:t xml:space="preserve"> </w:t>
      </w:r>
      <w:r>
        <w:rPr>
          <w:rFonts w:ascii="宋体" w:hAnsi="宋体" w:eastAsia="宋体" w:cs="宋体"/>
          <w:spacing w:val="-2"/>
          <w:sz w:val="24"/>
          <w:szCs w:val="24"/>
        </w:rPr>
        <w:t>则污染物泄漏量为</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COD</w:t>
      </w:r>
      <w:r>
        <w:rPr>
          <w:rFonts w:ascii="Times New Roman" w:hAnsi="Times New Roman" w:eastAsia="Times New Roman" w:cs="Times New Roman"/>
          <w:spacing w:val="-2"/>
          <w:position w:val="-1"/>
          <w:sz w:val="15"/>
          <w:szCs w:val="15"/>
        </w:rPr>
        <w:t>cr</w:t>
      </w:r>
      <w:r>
        <w:rPr>
          <w:rFonts w:ascii="Times New Roman" w:hAnsi="Times New Roman" w:eastAsia="Times New Roman" w:cs="Times New Roman"/>
          <w:spacing w:val="-2"/>
          <w:sz w:val="24"/>
          <w:szCs w:val="24"/>
        </w:rPr>
        <w:t>43.2g/d</w:t>
      </w:r>
      <w:r>
        <w:rPr>
          <w:rFonts w:ascii="Times New Roman" w:hAnsi="Times New Roman" w:eastAsia="Times New Roman" w:cs="Times New Roman"/>
          <w:spacing w:val="-35"/>
          <w:sz w:val="24"/>
          <w:szCs w:val="24"/>
        </w:rPr>
        <w:t xml:space="preserve"> </w:t>
      </w:r>
      <w:r>
        <w:rPr>
          <w:rFonts w:ascii="宋体" w:hAnsi="宋体" w:eastAsia="宋体" w:cs="宋体"/>
          <w:spacing w:val="-2"/>
          <w:sz w:val="24"/>
          <w:szCs w:val="24"/>
        </w:rPr>
        <w:t>、石油类</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62.4g/d</w:t>
      </w:r>
      <w:r>
        <w:rPr>
          <w:rFonts w:ascii="宋体" w:hAnsi="宋体" w:eastAsia="宋体" w:cs="宋体"/>
          <w:spacing w:val="-2"/>
          <w:sz w:val="24"/>
          <w:szCs w:val="24"/>
        </w:rPr>
        <w:t>。</w:t>
      </w:r>
    </w:p>
    <w:p w14:paraId="35B4219A">
      <w:pPr>
        <w:spacing w:before="51" w:line="361" w:lineRule="auto"/>
        <w:ind w:left="10" w:right="61" w:firstLine="507"/>
        <w:rPr>
          <w:rFonts w:ascii="宋体" w:hAnsi="宋体" w:eastAsia="宋体" w:cs="宋体"/>
          <w:sz w:val="24"/>
          <w:szCs w:val="24"/>
        </w:rPr>
      </w:pPr>
      <w:r>
        <w:rPr>
          <w:rFonts w:ascii="宋体" w:hAnsi="宋体" w:eastAsia="宋体" w:cs="宋体"/>
          <w:spacing w:val="-3"/>
          <w:sz w:val="24"/>
          <w:szCs w:val="24"/>
        </w:rPr>
        <w:t>由于地下水相关标准中没有</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COD</w:t>
      </w:r>
      <w:r>
        <w:rPr>
          <w:rFonts w:ascii="Times New Roman" w:hAnsi="Times New Roman" w:eastAsia="Times New Roman" w:cs="Times New Roman"/>
          <w:spacing w:val="-3"/>
          <w:position w:val="-1"/>
          <w:sz w:val="15"/>
          <w:szCs w:val="15"/>
        </w:rPr>
        <w:t>cr</w:t>
      </w:r>
      <w:r>
        <w:rPr>
          <w:rFonts w:ascii="Times New Roman" w:hAnsi="Times New Roman" w:eastAsia="Times New Roman" w:cs="Times New Roman"/>
          <w:spacing w:val="27"/>
          <w:w w:val="102"/>
          <w:position w:val="-1"/>
          <w:sz w:val="15"/>
          <w:szCs w:val="15"/>
        </w:rPr>
        <w:t xml:space="preserve"> </w:t>
      </w:r>
      <w:r>
        <w:rPr>
          <w:rFonts w:ascii="宋体" w:hAnsi="宋体" w:eastAsia="宋体" w:cs="宋体"/>
          <w:spacing w:val="-3"/>
          <w:sz w:val="24"/>
          <w:szCs w:val="24"/>
        </w:rPr>
        <w:t>的标准值，因此本次评</w:t>
      </w:r>
      <w:r>
        <w:rPr>
          <w:rFonts w:ascii="宋体" w:hAnsi="宋体" w:eastAsia="宋体" w:cs="宋体"/>
          <w:spacing w:val="-4"/>
          <w:sz w:val="24"/>
          <w:szCs w:val="24"/>
        </w:rPr>
        <w:t>价选取耗氧量（即高锰酸</w:t>
      </w:r>
      <w:r>
        <w:rPr>
          <w:rFonts w:ascii="宋体" w:hAnsi="宋体" w:eastAsia="宋体" w:cs="宋体"/>
          <w:sz w:val="24"/>
          <w:szCs w:val="24"/>
        </w:rPr>
        <w:t xml:space="preserve"> </w:t>
      </w:r>
      <w:r>
        <w:rPr>
          <w:rFonts w:ascii="宋体" w:hAnsi="宋体" w:eastAsia="宋体" w:cs="宋体"/>
          <w:spacing w:val="-2"/>
          <w:sz w:val="24"/>
          <w:szCs w:val="24"/>
        </w:rPr>
        <w:t>盐指数）替代</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COD</w:t>
      </w:r>
      <w:r>
        <w:rPr>
          <w:rFonts w:ascii="Times New Roman" w:hAnsi="Times New Roman" w:eastAsia="Times New Roman" w:cs="Times New Roman"/>
          <w:spacing w:val="-2"/>
          <w:position w:val="-1"/>
          <w:sz w:val="15"/>
          <w:szCs w:val="15"/>
        </w:rPr>
        <w:t xml:space="preserve">cr </w:t>
      </w:r>
      <w:r>
        <w:rPr>
          <w:rFonts w:ascii="宋体" w:hAnsi="宋体" w:eastAsia="宋体" w:cs="宋体"/>
          <w:spacing w:val="-2"/>
          <w:sz w:val="24"/>
          <w:szCs w:val="24"/>
        </w:rPr>
        <w:t>作为评价因子，为使污染因子</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COD</w:t>
      </w:r>
      <w:r>
        <w:rPr>
          <w:rFonts w:ascii="Times New Roman" w:hAnsi="Times New Roman" w:eastAsia="Times New Roman" w:cs="Times New Roman"/>
          <w:spacing w:val="-2"/>
          <w:position w:val="-1"/>
          <w:sz w:val="15"/>
          <w:szCs w:val="15"/>
        </w:rPr>
        <w:t>cr</w:t>
      </w:r>
      <w:r>
        <w:rPr>
          <w:rFonts w:ascii="Times New Roman" w:hAnsi="Times New Roman" w:eastAsia="Times New Roman" w:cs="Times New Roman"/>
          <w:spacing w:val="13"/>
          <w:position w:val="-1"/>
          <w:sz w:val="15"/>
          <w:szCs w:val="15"/>
        </w:rPr>
        <w:t xml:space="preserve"> </w:t>
      </w:r>
      <w:r>
        <w:rPr>
          <w:rFonts w:ascii="宋体" w:hAnsi="宋体" w:eastAsia="宋体" w:cs="宋体"/>
          <w:spacing w:val="-2"/>
          <w:sz w:val="24"/>
          <w:szCs w:val="24"/>
        </w:rPr>
        <w:t>与评价因子耗氧</w:t>
      </w:r>
      <w:r>
        <w:rPr>
          <w:rFonts w:ascii="宋体" w:hAnsi="宋体" w:eastAsia="宋体" w:cs="宋体"/>
          <w:spacing w:val="-3"/>
          <w:sz w:val="24"/>
          <w:szCs w:val="24"/>
        </w:rPr>
        <w:t>量在数值关系</w:t>
      </w:r>
      <w:r>
        <w:rPr>
          <w:rFonts w:ascii="宋体" w:hAnsi="宋体" w:eastAsia="宋体" w:cs="宋体"/>
          <w:sz w:val="24"/>
          <w:szCs w:val="24"/>
        </w:rPr>
        <w:t xml:space="preserve"> </w:t>
      </w:r>
      <w:r>
        <w:rPr>
          <w:rFonts w:ascii="宋体" w:hAnsi="宋体" w:eastAsia="宋体" w:cs="宋体"/>
          <w:spacing w:val="-2"/>
          <w:sz w:val="24"/>
          <w:szCs w:val="24"/>
        </w:rPr>
        <w:t>上对应统一，在模型计算过程中，本次评价参照《地表水高锰酸盐指数与化学需氧量相</w:t>
      </w:r>
      <w:r>
        <w:rPr>
          <w:rFonts w:ascii="宋体" w:hAnsi="宋体" w:eastAsia="宋体" w:cs="宋体"/>
          <w:spacing w:val="15"/>
          <w:sz w:val="24"/>
          <w:szCs w:val="24"/>
        </w:rPr>
        <w:t xml:space="preserve"> </w:t>
      </w:r>
      <w:r>
        <w:rPr>
          <w:rFonts w:ascii="宋体" w:hAnsi="宋体" w:eastAsia="宋体" w:cs="宋体"/>
          <w:spacing w:val="-1"/>
          <w:sz w:val="24"/>
          <w:szCs w:val="24"/>
        </w:rPr>
        <w:t>关关系研究》一文得出的耗氧量（即高锰酸盐指数）与</w:t>
      </w:r>
      <w:r>
        <w:rPr>
          <w:rFonts w:ascii="宋体" w:hAnsi="宋体" w:eastAsia="宋体" w:cs="宋体"/>
          <w:spacing w:val="-44"/>
          <w:sz w:val="24"/>
          <w:szCs w:val="24"/>
        </w:rPr>
        <w:t xml:space="preserve"> </w:t>
      </w:r>
      <w:r>
        <w:rPr>
          <w:rFonts w:ascii="Times New Roman" w:hAnsi="Times New Roman" w:eastAsia="Times New Roman" w:cs="Times New Roman"/>
          <w:spacing w:val="-1"/>
          <w:sz w:val="24"/>
          <w:szCs w:val="24"/>
        </w:rPr>
        <w:t>COD</w:t>
      </w:r>
      <w:r>
        <w:rPr>
          <w:rFonts w:ascii="Times New Roman" w:hAnsi="Times New Roman" w:eastAsia="Times New Roman" w:cs="Times New Roman"/>
          <w:spacing w:val="-1"/>
          <w:position w:val="-1"/>
          <w:sz w:val="15"/>
          <w:szCs w:val="15"/>
        </w:rPr>
        <w:t>cr</w:t>
      </w:r>
      <w:r>
        <w:rPr>
          <w:rFonts w:ascii="宋体" w:hAnsi="宋体" w:eastAsia="宋体" w:cs="宋体"/>
          <w:spacing w:val="-1"/>
          <w:sz w:val="24"/>
          <w:szCs w:val="24"/>
        </w:rPr>
        <w:t>（即化学需氧量）线性回</w:t>
      </w:r>
      <w:r>
        <w:rPr>
          <w:rFonts w:ascii="宋体" w:hAnsi="宋体" w:eastAsia="宋体" w:cs="宋体"/>
          <w:sz w:val="24"/>
          <w:szCs w:val="24"/>
        </w:rPr>
        <w:t xml:space="preserve"> </w:t>
      </w:r>
      <w:r>
        <w:rPr>
          <w:rFonts w:ascii="宋体" w:hAnsi="宋体" w:eastAsia="宋体" w:cs="宋体"/>
          <w:spacing w:val="-1"/>
          <w:sz w:val="24"/>
          <w:szCs w:val="24"/>
        </w:rPr>
        <w:t>归方程：</w:t>
      </w:r>
      <w:r>
        <w:rPr>
          <w:rFonts w:ascii="Times New Roman" w:hAnsi="Times New Roman" w:eastAsia="Times New Roman" w:cs="Times New Roman"/>
          <w:spacing w:val="-1"/>
          <w:sz w:val="24"/>
          <w:szCs w:val="24"/>
        </w:rPr>
        <w:t>Y=4.02X+15.8</w:t>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Y </w:t>
      </w:r>
      <w:r>
        <w:rPr>
          <w:rFonts w:ascii="宋体" w:hAnsi="宋体" w:eastAsia="宋体" w:cs="宋体"/>
          <w:spacing w:val="-1"/>
          <w:sz w:val="24"/>
          <w:szCs w:val="24"/>
        </w:rPr>
        <w:t>为</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COD</w:t>
      </w:r>
      <w:r>
        <w:rPr>
          <w:rFonts w:ascii="Times New Roman" w:hAnsi="Times New Roman" w:eastAsia="Times New Roman" w:cs="Times New Roman"/>
          <w:spacing w:val="-1"/>
          <w:position w:val="-1"/>
          <w:sz w:val="15"/>
          <w:szCs w:val="15"/>
        </w:rPr>
        <w:t>cr</w:t>
      </w:r>
      <w:r>
        <w:rPr>
          <w:rFonts w:ascii="Times New Roman" w:hAnsi="Times New Roman" w:eastAsia="Times New Roman" w:cs="Times New Roman"/>
          <w:spacing w:val="-11"/>
          <w:position w:val="-1"/>
          <w:sz w:val="15"/>
          <w:szCs w:val="15"/>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X </w:t>
      </w:r>
      <w:r>
        <w:rPr>
          <w:rFonts w:ascii="宋体" w:hAnsi="宋体" w:eastAsia="宋体" w:cs="宋体"/>
          <w:spacing w:val="-1"/>
          <w:sz w:val="24"/>
          <w:szCs w:val="24"/>
        </w:rPr>
        <w:t>为耗氧量）进行换算，则污染物泄漏量中</w:t>
      </w:r>
    </w:p>
    <w:p w14:paraId="6587075E">
      <w:pPr>
        <w:spacing w:line="323" w:lineRule="exact"/>
        <w:ind w:left="7"/>
        <w:rPr>
          <w:rFonts w:ascii="宋体" w:hAnsi="宋体" w:eastAsia="宋体" w:cs="宋体"/>
          <w:sz w:val="24"/>
          <w:szCs w:val="24"/>
        </w:rPr>
      </w:pPr>
      <w:r>
        <w:rPr>
          <w:rFonts w:ascii="Times New Roman" w:hAnsi="Times New Roman" w:eastAsia="Times New Roman" w:cs="Times New Roman"/>
          <w:spacing w:val="-3"/>
          <w:position w:val="4"/>
          <w:sz w:val="24"/>
          <w:szCs w:val="24"/>
        </w:rPr>
        <w:t>COD</w:t>
      </w:r>
      <w:r>
        <w:rPr>
          <w:rFonts w:ascii="Times New Roman" w:hAnsi="Times New Roman" w:eastAsia="Times New Roman" w:cs="Times New Roman"/>
          <w:spacing w:val="-3"/>
          <w:position w:val="3"/>
          <w:sz w:val="15"/>
          <w:szCs w:val="15"/>
        </w:rPr>
        <w:t>mn</w:t>
      </w:r>
      <w:r>
        <w:rPr>
          <w:rFonts w:ascii="Times New Roman" w:hAnsi="Times New Roman" w:eastAsia="Times New Roman" w:cs="Times New Roman"/>
          <w:spacing w:val="-3"/>
          <w:position w:val="4"/>
          <w:sz w:val="24"/>
          <w:szCs w:val="24"/>
        </w:rPr>
        <w:t>=</w:t>
      </w:r>
      <w:r>
        <w:rPr>
          <w:rFonts w:ascii="Times New Roman" w:hAnsi="Times New Roman" w:eastAsia="Times New Roman" w:cs="Times New Roman"/>
          <w:spacing w:val="-28"/>
          <w:position w:val="4"/>
          <w:sz w:val="24"/>
          <w:szCs w:val="24"/>
        </w:rPr>
        <w:t xml:space="preserve"> </w:t>
      </w:r>
      <w:r>
        <w:rPr>
          <w:rFonts w:ascii="Times New Roman" w:hAnsi="Times New Roman" w:eastAsia="Times New Roman" w:cs="Times New Roman"/>
          <w:spacing w:val="-3"/>
          <w:position w:val="4"/>
          <w:sz w:val="24"/>
          <w:szCs w:val="24"/>
        </w:rPr>
        <w:t>11.59g/d</w:t>
      </w:r>
      <w:r>
        <w:rPr>
          <w:rFonts w:ascii="宋体" w:hAnsi="宋体" w:eastAsia="宋体" w:cs="宋体"/>
          <w:spacing w:val="-3"/>
          <w:position w:val="4"/>
          <w:sz w:val="24"/>
          <w:szCs w:val="24"/>
        </w:rPr>
        <w:t>。</w:t>
      </w:r>
    </w:p>
    <w:p w14:paraId="4CC43430">
      <w:pPr>
        <w:pStyle w:val="2"/>
        <w:spacing w:line="269" w:lineRule="auto"/>
      </w:pPr>
    </w:p>
    <w:p w14:paraId="133A7BAF">
      <w:pPr>
        <w:spacing w:before="99" w:line="222" w:lineRule="auto"/>
        <w:ind w:left="13"/>
        <w:outlineLvl w:val="1"/>
        <w:rPr>
          <w:rFonts w:ascii="黑体" w:hAnsi="黑体" w:eastAsia="黑体" w:cs="黑体"/>
          <w:sz w:val="30"/>
          <w:szCs w:val="30"/>
        </w:rPr>
      </w:pPr>
      <w:r>
        <w:rPr>
          <w:rFonts w:ascii="Times New Roman" w:hAnsi="Times New Roman" w:eastAsia="Times New Roman" w:cs="Times New Roman"/>
          <w:spacing w:val="-2"/>
          <w:sz w:val="30"/>
          <w:szCs w:val="30"/>
        </w:rPr>
        <w:t xml:space="preserve">5.6 </w:t>
      </w:r>
      <w:r>
        <w:rPr>
          <w:rFonts w:ascii="黑体" w:hAnsi="黑体" w:eastAsia="黑体" w:cs="黑体"/>
          <w:spacing w:val="-2"/>
          <w:sz w:val="30"/>
          <w:szCs w:val="30"/>
        </w:rPr>
        <w:t>环境风险预测与评价</w:t>
      </w:r>
    </w:p>
    <w:p w14:paraId="5A3B3E16">
      <w:pPr>
        <w:spacing w:before="286" w:line="219" w:lineRule="auto"/>
        <w:ind w:left="8"/>
        <w:outlineLvl w:val="2"/>
        <w:rPr>
          <w:rFonts w:ascii="宋体" w:hAnsi="宋体" w:eastAsia="宋体" w:cs="宋体"/>
          <w:sz w:val="28"/>
          <w:szCs w:val="28"/>
        </w:rPr>
      </w:pPr>
      <w:bookmarkStart w:id="408" w:name="bookmark284"/>
      <w:bookmarkEnd w:id="408"/>
      <w:bookmarkStart w:id="409" w:name="bookmark286"/>
      <w:bookmarkEnd w:id="409"/>
      <w:r>
        <w:rPr>
          <w:rFonts w:ascii="Times New Roman" w:hAnsi="Times New Roman" w:eastAsia="Times New Roman" w:cs="Times New Roman"/>
          <w:b/>
          <w:bCs/>
          <w:spacing w:val="-2"/>
          <w:sz w:val="28"/>
          <w:szCs w:val="28"/>
        </w:rPr>
        <w:t xml:space="preserve">5.6.1 </w:t>
      </w:r>
      <w:r>
        <w:rPr>
          <w:rFonts w:ascii="宋体" w:hAnsi="宋体" w:eastAsia="宋体" w:cs="宋体"/>
          <w:b/>
          <w:bCs/>
          <w:spacing w:val="-2"/>
          <w:sz w:val="28"/>
          <w:szCs w:val="28"/>
        </w:rPr>
        <w:t>大气环境风险情形预测与评价</w:t>
      </w:r>
    </w:p>
    <w:p w14:paraId="28E6CC88">
      <w:pPr>
        <w:spacing w:before="247"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）预测模型</w:t>
      </w:r>
    </w:p>
    <w:p w14:paraId="17F18423">
      <w:pPr>
        <w:spacing w:line="219" w:lineRule="auto"/>
        <w:rPr>
          <w:rFonts w:ascii="宋体" w:hAnsi="宋体" w:eastAsia="宋体" w:cs="宋体"/>
          <w:sz w:val="24"/>
          <w:szCs w:val="24"/>
        </w:rPr>
        <w:sectPr>
          <w:headerReference r:id="rId400" w:type="default"/>
          <w:footerReference r:id="rId401" w:type="default"/>
          <w:pgSz w:w="11906" w:h="16839"/>
          <w:pgMar w:top="1191" w:right="1356" w:bottom="1221" w:left="1417" w:header="882" w:footer="1059" w:gutter="0"/>
          <w:cols w:space="720" w:num="1"/>
        </w:sectPr>
      </w:pPr>
    </w:p>
    <w:p w14:paraId="7E316B70">
      <w:pPr>
        <w:spacing w:line="28" w:lineRule="exact"/>
      </w:pPr>
      <w:r>
        <w:pict>
          <v:shape id="_x0000_s1912" o:spid="_x0000_s1912" style="height:1.45pt;width:453.65pt;" fillcolor="#000000" filled="t" stroked="f" coordsize="9072,29" path="m0,0l9072,0,9072,28,0,28,0,0xe">
            <v:path/>
            <v:fill on="t" focussize="0,0"/>
            <v:stroke on="f"/>
            <v:imagedata o:title=""/>
            <o:lock v:ext="edit"/>
            <w10:wrap type="none"/>
            <w10:anchorlock/>
          </v:shape>
        </w:pict>
      </w:r>
    </w:p>
    <w:p w14:paraId="1A9D41B6">
      <w:pPr>
        <w:spacing w:before="316" w:line="218" w:lineRule="auto"/>
        <w:ind w:left="488"/>
        <w:rPr>
          <w:rFonts w:ascii="宋体" w:hAnsi="宋体" w:eastAsia="宋体" w:cs="宋体"/>
          <w:sz w:val="24"/>
          <w:szCs w:val="24"/>
        </w:rPr>
      </w:pPr>
      <w:r>
        <w:rPr>
          <w:rFonts w:ascii="宋体" w:hAnsi="宋体" w:eastAsia="宋体" w:cs="宋体"/>
          <w:spacing w:val="-2"/>
          <w:sz w:val="24"/>
          <w:szCs w:val="24"/>
        </w:rPr>
        <w:t>根据《建设项目环境风险评价技术导则》（</w:t>
      </w:r>
      <w:r>
        <w:rPr>
          <w:rFonts w:ascii="Times New Roman" w:hAnsi="Times New Roman" w:eastAsia="Times New Roman" w:cs="Times New Roman"/>
          <w:spacing w:val="-2"/>
          <w:sz w:val="24"/>
          <w:szCs w:val="24"/>
        </w:rPr>
        <w:t>HJ169-2018</w:t>
      </w:r>
      <w:r>
        <w:rPr>
          <w:rFonts w:ascii="宋体" w:hAnsi="宋体" w:eastAsia="宋体" w:cs="宋体"/>
          <w:spacing w:val="-2"/>
          <w:sz w:val="24"/>
          <w:szCs w:val="24"/>
        </w:rPr>
        <w:t>）附录</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G</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，项目中物质泄漏</w:t>
      </w:r>
    </w:p>
    <w:p w14:paraId="00909997">
      <w:pPr>
        <w:spacing w:before="193" w:line="219" w:lineRule="auto"/>
        <w:ind w:left="7"/>
        <w:rPr>
          <w:rFonts w:ascii="宋体" w:hAnsi="宋体" w:eastAsia="宋体" w:cs="宋体"/>
          <w:sz w:val="24"/>
          <w:szCs w:val="24"/>
        </w:rPr>
      </w:pPr>
      <w:r>
        <w:rPr>
          <w:rFonts w:ascii="宋体" w:hAnsi="宋体" w:eastAsia="宋体" w:cs="宋体"/>
          <w:spacing w:val="-2"/>
          <w:sz w:val="24"/>
          <w:szCs w:val="24"/>
        </w:rPr>
        <w:t>采用模型信息如下表</w:t>
      </w:r>
      <w:r>
        <w:rPr>
          <w:rFonts w:ascii="宋体" w:hAnsi="宋体" w:eastAsia="宋体" w:cs="宋体"/>
          <w:spacing w:val="-35"/>
          <w:sz w:val="24"/>
          <w:szCs w:val="24"/>
        </w:rPr>
        <w:t xml:space="preserve"> </w:t>
      </w:r>
      <w:r>
        <w:rPr>
          <w:rFonts w:ascii="Times New Roman" w:hAnsi="Times New Roman" w:eastAsia="Times New Roman" w:cs="Times New Roman"/>
          <w:spacing w:val="-2"/>
          <w:sz w:val="24"/>
          <w:szCs w:val="24"/>
        </w:rPr>
        <w:t xml:space="preserve">5.6-1 </w:t>
      </w:r>
      <w:r>
        <w:rPr>
          <w:rFonts w:ascii="宋体" w:hAnsi="宋体" w:eastAsia="宋体" w:cs="宋体"/>
          <w:spacing w:val="-2"/>
          <w:sz w:val="24"/>
          <w:szCs w:val="24"/>
        </w:rPr>
        <w:t>所示。</w:t>
      </w:r>
    </w:p>
    <w:p w14:paraId="4865DA2C">
      <w:pPr>
        <w:spacing w:before="210" w:line="228" w:lineRule="auto"/>
        <w:ind w:left="2823"/>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41"/>
          <w:sz w:val="20"/>
          <w:szCs w:val="20"/>
        </w:rPr>
        <w:t xml:space="preserve"> </w:t>
      </w:r>
      <w:r>
        <w:rPr>
          <w:rFonts w:ascii="Times New Roman" w:hAnsi="Times New Roman" w:eastAsia="Times New Roman" w:cs="Times New Roman"/>
          <w:b/>
          <w:bCs/>
          <w:spacing w:val="5"/>
          <w:sz w:val="20"/>
          <w:szCs w:val="20"/>
        </w:rPr>
        <w:t xml:space="preserve">5.6-1        </w:t>
      </w:r>
      <w:r>
        <w:rPr>
          <w:rFonts w:ascii="宋体" w:hAnsi="宋体" w:eastAsia="宋体" w:cs="宋体"/>
          <w:b/>
          <w:bCs/>
          <w:spacing w:val="5"/>
          <w:sz w:val="20"/>
          <w:szCs w:val="20"/>
        </w:rPr>
        <w:t>物质泄漏模型信息一览表</w:t>
      </w:r>
    </w:p>
    <w:p w14:paraId="4279FE80">
      <w:pPr>
        <w:spacing w:line="97"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68"/>
        <w:gridCol w:w="2268"/>
        <w:gridCol w:w="2268"/>
        <w:gridCol w:w="2268"/>
      </w:tblGrid>
      <w:tr w14:paraId="179770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2268" w:type="dxa"/>
            <w:tcBorders>
              <w:top w:val="single" w:color="000000" w:sz="10" w:space="0"/>
              <w:left w:val="nil"/>
            </w:tcBorders>
            <w:vAlign w:val="top"/>
          </w:tcPr>
          <w:p w14:paraId="1F8BDFE9">
            <w:pPr>
              <w:pStyle w:val="6"/>
              <w:spacing w:before="58" w:line="228" w:lineRule="auto"/>
              <w:ind w:left="720"/>
              <w:rPr>
                <w:sz w:val="20"/>
                <w:szCs w:val="20"/>
              </w:rPr>
            </w:pPr>
            <w:r>
              <w:rPr>
                <w:b/>
                <w:bCs/>
                <w:spacing w:val="5"/>
                <w:sz w:val="20"/>
                <w:szCs w:val="20"/>
              </w:rPr>
              <w:t>泄漏物质</w:t>
            </w:r>
          </w:p>
        </w:tc>
        <w:tc>
          <w:tcPr>
            <w:tcW w:w="2268" w:type="dxa"/>
            <w:tcBorders>
              <w:top w:val="single" w:color="000000" w:sz="10" w:space="0"/>
            </w:tcBorders>
            <w:vAlign w:val="top"/>
          </w:tcPr>
          <w:p w14:paraId="63416DE3">
            <w:pPr>
              <w:pStyle w:val="6"/>
              <w:spacing w:before="58" w:line="228" w:lineRule="auto"/>
              <w:ind w:left="614"/>
              <w:rPr>
                <w:sz w:val="20"/>
                <w:szCs w:val="20"/>
              </w:rPr>
            </w:pPr>
            <w:r>
              <w:rPr>
                <w:b/>
                <w:bCs/>
                <w:spacing w:val="6"/>
                <w:sz w:val="20"/>
                <w:szCs w:val="20"/>
              </w:rPr>
              <w:t>理查德森数</w:t>
            </w:r>
          </w:p>
        </w:tc>
        <w:tc>
          <w:tcPr>
            <w:tcW w:w="2268" w:type="dxa"/>
            <w:tcBorders>
              <w:top w:val="single" w:color="000000" w:sz="10" w:space="0"/>
            </w:tcBorders>
            <w:vAlign w:val="top"/>
          </w:tcPr>
          <w:p w14:paraId="33E34335">
            <w:pPr>
              <w:pStyle w:val="6"/>
              <w:spacing w:before="58" w:line="228" w:lineRule="auto"/>
              <w:ind w:left="718"/>
              <w:rPr>
                <w:sz w:val="20"/>
                <w:szCs w:val="20"/>
              </w:rPr>
            </w:pPr>
            <w:r>
              <w:rPr>
                <w:b/>
                <w:bCs/>
                <w:spacing w:val="6"/>
                <w:sz w:val="20"/>
                <w:szCs w:val="20"/>
              </w:rPr>
              <w:t>气体类型</w:t>
            </w:r>
          </w:p>
        </w:tc>
        <w:tc>
          <w:tcPr>
            <w:tcW w:w="2268" w:type="dxa"/>
            <w:tcBorders>
              <w:top w:val="single" w:color="000000" w:sz="10" w:space="0"/>
              <w:right w:val="nil"/>
            </w:tcBorders>
            <w:vAlign w:val="top"/>
          </w:tcPr>
          <w:p w14:paraId="2DE650A9">
            <w:pPr>
              <w:pStyle w:val="6"/>
              <w:spacing w:before="58" w:line="227" w:lineRule="auto"/>
              <w:ind w:left="718"/>
              <w:rPr>
                <w:sz w:val="20"/>
                <w:szCs w:val="20"/>
              </w:rPr>
            </w:pPr>
            <w:r>
              <w:rPr>
                <w:b/>
                <w:bCs/>
                <w:spacing w:val="6"/>
                <w:sz w:val="20"/>
                <w:szCs w:val="20"/>
              </w:rPr>
              <w:t>采用模型</w:t>
            </w:r>
          </w:p>
        </w:tc>
      </w:tr>
      <w:tr w14:paraId="513663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2268" w:type="dxa"/>
            <w:tcBorders>
              <w:left w:val="nil"/>
              <w:bottom w:val="single" w:color="000000" w:sz="10" w:space="0"/>
            </w:tcBorders>
            <w:vAlign w:val="top"/>
          </w:tcPr>
          <w:p w14:paraId="564D669D">
            <w:pPr>
              <w:pStyle w:val="6"/>
              <w:spacing w:before="66" w:line="228" w:lineRule="auto"/>
              <w:ind w:left="574"/>
              <w:rPr>
                <w:sz w:val="20"/>
                <w:szCs w:val="20"/>
              </w:rPr>
            </w:pPr>
            <w:r>
              <w:rPr>
                <w:spacing w:val="8"/>
                <w:sz w:val="20"/>
                <w:szCs w:val="20"/>
              </w:rPr>
              <w:t>煤气（</w:t>
            </w:r>
            <w:r>
              <w:rPr>
                <w:rFonts w:ascii="Times New Roman" w:hAnsi="Times New Roman" w:eastAsia="Times New Roman" w:cs="Times New Roman"/>
                <w:sz w:val="20"/>
                <w:szCs w:val="20"/>
              </w:rPr>
              <w:t>CO</w:t>
            </w:r>
            <w:r>
              <w:rPr>
                <w:spacing w:val="8"/>
                <w:sz w:val="20"/>
                <w:szCs w:val="20"/>
              </w:rPr>
              <w:t>）</w:t>
            </w:r>
          </w:p>
        </w:tc>
        <w:tc>
          <w:tcPr>
            <w:tcW w:w="2268" w:type="dxa"/>
            <w:tcBorders>
              <w:bottom w:val="single" w:color="000000" w:sz="10" w:space="0"/>
            </w:tcBorders>
            <w:vAlign w:val="top"/>
          </w:tcPr>
          <w:p w14:paraId="5DC94046">
            <w:pPr>
              <w:pStyle w:val="6"/>
              <w:spacing w:before="66" w:line="239" w:lineRule="auto"/>
              <w:ind w:left="1053"/>
              <w:rPr>
                <w:sz w:val="20"/>
                <w:szCs w:val="20"/>
              </w:rPr>
            </w:pPr>
            <w:r>
              <w:rPr>
                <w:spacing w:val="24"/>
                <w:w w:val="131"/>
                <w:sz w:val="20"/>
                <w:szCs w:val="20"/>
              </w:rPr>
              <w:t>-</w:t>
            </w:r>
          </w:p>
        </w:tc>
        <w:tc>
          <w:tcPr>
            <w:tcW w:w="2268" w:type="dxa"/>
            <w:tcBorders>
              <w:bottom w:val="single" w:color="000000" w:sz="10" w:space="0"/>
            </w:tcBorders>
            <w:vAlign w:val="top"/>
          </w:tcPr>
          <w:p w14:paraId="7508FE33">
            <w:pPr>
              <w:pStyle w:val="6"/>
              <w:spacing w:before="66" w:line="228" w:lineRule="auto"/>
              <w:ind w:left="720"/>
              <w:rPr>
                <w:sz w:val="20"/>
                <w:szCs w:val="20"/>
              </w:rPr>
            </w:pPr>
            <w:r>
              <w:rPr>
                <w:spacing w:val="7"/>
                <w:sz w:val="20"/>
                <w:szCs w:val="20"/>
              </w:rPr>
              <w:t>轻质气体</w:t>
            </w:r>
          </w:p>
        </w:tc>
        <w:tc>
          <w:tcPr>
            <w:tcW w:w="2268" w:type="dxa"/>
            <w:tcBorders>
              <w:bottom w:val="single" w:color="000000" w:sz="10" w:space="0"/>
              <w:right w:val="nil"/>
            </w:tcBorders>
            <w:vAlign w:val="top"/>
          </w:tcPr>
          <w:p w14:paraId="4D27B915">
            <w:pPr>
              <w:pStyle w:val="6"/>
              <w:spacing w:before="66" w:line="228" w:lineRule="auto"/>
              <w:ind w:left="550"/>
              <w:rPr>
                <w:sz w:val="20"/>
                <w:szCs w:val="20"/>
              </w:rPr>
            </w:pPr>
            <w:r>
              <w:rPr>
                <w:rFonts w:ascii="Times New Roman" w:hAnsi="Times New Roman" w:eastAsia="Times New Roman" w:cs="Times New Roman"/>
                <w:sz w:val="20"/>
                <w:szCs w:val="20"/>
              </w:rPr>
              <w:t>AFTOX</w:t>
            </w:r>
            <w:r>
              <w:rPr>
                <w:rFonts w:ascii="Times New Roman" w:hAnsi="Times New Roman" w:eastAsia="Times New Roman" w:cs="Times New Roman"/>
                <w:spacing w:val="16"/>
                <w:sz w:val="20"/>
                <w:szCs w:val="20"/>
              </w:rPr>
              <w:t xml:space="preserve"> </w:t>
            </w:r>
            <w:r>
              <w:rPr>
                <w:spacing w:val="16"/>
                <w:sz w:val="20"/>
                <w:szCs w:val="20"/>
              </w:rPr>
              <w:t>模型</w:t>
            </w:r>
          </w:p>
        </w:tc>
      </w:tr>
    </w:tbl>
    <w:p w14:paraId="032F740C">
      <w:pPr>
        <w:spacing w:before="121"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）预测气象条件及预测时段</w:t>
      </w:r>
    </w:p>
    <w:p w14:paraId="2BBF3224">
      <w:pPr>
        <w:spacing w:before="190" w:line="362" w:lineRule="auto"/>
        <w:ind w:left="6" w:firstLine="481"/>
        <w:rPr>
          <w:rFonts w:ascii="宋体" w:hAnsi="宋体" w:eastAsia="宋体" w:cs="宋体"/>
          <w:sz w:val="24"/>
          <w:szCs w:val="24"/>
        </w:rPr>
      </w:pPr>
      <w:r>
        <w:rPr>
          <w:rFonts w:ascii="宋体" w:hAnsi="宋体" w:eastAsia="宋体" w:cs="宋体"/>
          <w:spacing w:val="-1"/>
          <w:sz w:val="24"/>
          <w:szCs w:val="24"/>
        </w:rPr>
        <w:t>根据《建设项目环境风险评价技术导则》（</w:t>
      </w:r>
      <w:r>
        <w:rPr>
          <w:rFonts w:ascii="Times New Roman" w:hAnsi="Times New Roman" w:eastAsia="Times New Roman" w:cs="Times New Roman"/>
          <w:spacing w:val="-1"/>
          <w:sz w:val="24"/>
          <w:szCs w:val="24"/>
        </w:rPr>
        <w:t>HJ169-2018</w:t>
      </w:r>
      <w:r>
        <w:rPr>
          <w:rFonts w:ascii="宋体" w:hAnsi="宋体" w:eastAsia="宋体" w:cs="宋体"/>
          <w:spacing w:val="-2"/>
          <w:sz w:val="24"/>
          <w:szCs w:val="24"/>
        </w:rPr>
        <w:t>），</w:t>
      </w:r>
      <w:r>
        <w:rPr>
          <w:rFonts w:ascii="宋体" w:hAnsi="宋体" w:eastAsia="宋体" w:cs="宋体"/>
          <w:spacing w:val="-1"/>
          <w:sz w:val="24"/>
          <w:szCs w:val="24"/>
        </w:rPr>
        <w:t>大气风险二级</w:t>
      </w:r>
      <w:r>
        <w:rPr>
          <w:rFonts w:ascii="宋体" w:hAnsi="宋体" w:eastAsia="宋体" w:cs="宋体"/>
          <w:spacing w:val="-2"/>
          <w:sz w:val="24"/>
          <w:szCs w:val="24"/>
        </w:rPr>
        <w:t>评价需选</w:t>
      </w:r>
      <w:r>
        <w:rPr>
          <w:rFonts w:ascii="宋体" w:hAnsi="宋体" w:eastAsia="宋体" w:cs="宋体"/>
          <w:spacing w:val="1"/>
          <w:sz w:val="24"/>
          <w:szCs w:val="24"/>
        </w:rPr>
        <w:t xml:space="preserve"> </w:t>
      </w:r>
      <w:r>
        <w:rPr>
          <w:rFonts w:ascii="宋体" w:hAnsi="宋体" w:eastAsia="宋体" w:cs="宋体"/>
          <w:spacing w:val="-1"/>
          <w:sz w:val="24"/>
          <w:szCs w:val="24"/>
        </w:rPr>
        <w:t>取最不利气象条件及事故发生地的最常见气</w:t>
      </w:r>
      <w:r>
        <w:rPr>
          <w:rFonts w:ascii="宋体" w:hAnsi="宋体" w:eastAsia="宋体" w:cs="宋体"/>
          <w:spacing w:val="-2"/>
          <w:sz w:val="24"/>
          <w:szCs w:val="24"/>
        </w:rPr>
        <w:t>象条件分别进行后果预测。最不利气象条件</w:t>
      </w:r>
      <w:r>
        <w:rPr>
          <w:rFonts w:ascii="宋体" w:hAnsi="宋体" w:eastAsia="宋体" w:cs="宋体"/>
          <w:sz w:val="24"/>
          <w:szCs w:val="24"/>
        </w:rPr>
        <w:t xml:space="preserve"> </w:t>
      </w:r>
      <w:r>
        <w:rPr>
          <w:rFonts w:ascii="宋体" w:hAnsi="宋体" w:eastAsia="宋体" w:cs="宋体"/>
          <w:spacing w:val="-7"/>
          <w:sz w:val="24"/>
          <w:szCs w:val="24"/>
        </w:rPr>
        <w:t>进行后果预测，最不利气象条件选取</w:t>
      </w:r>
      <w:r>
        <w:rPr>
          <w:rFonts w:ascii="宋体" w:hAnsi="宋体" w:eastAsia="宋体" w:cs="宋体"/>
          <w:spacing w:val="-56"/>
          <w:sz w:val="24"/>
          <w:szCs w:val="24"/>
        </w:rPr>
        <w:t xml:space="preserve"> </w:t>
      </w:r>
      <w:r>
        <w:rPr>
          <w:rFonts w:ascii="Times New Roman" w:hAnsi="Times New Roman" w:eastAsia="Times New Roman" w:cs="Times New Roman"/>
          <w:spacing w:val="-7"/>
          <w:sz w:val="24"/>
          <w:szCs w:val="24"/>
        </w:rPr>
        <w:t xml:space="preserve">F </w:t>
      </w:r>
      <w:r>
        <w:rPr>
          <w:rFonts w:ascii="宋体" w:hAnsi="宋体" w:eastAsia="宋体" w:cs="宋体"/>
          <w:spacing w:val="-7"/>
          <w:sz w:val="24"/>
          <w:szCs w:val="24"/>
        </w:rPr>
        <w:t>稳定度，</w:t>
      </w:r>
      <w:r>
        <w:rPr>
          <w:rFonts w:ascii="Times New Roman" w:hAnsi="Times New Roman" w:eastAsia="Times New Roman" w:cs="Times New Roman"/>
          <w:spacing w:val="-7"/>
          <w:sz w:val="24"/>
          <w:szCs w:val="24"/>
        </w:rPr>
        <w:t>1.5</w:t>
      </w:r>
      <w:r>
        <w:rPr>
          <w:rFonts w:ascii="Times New Roman" w:hAnsi="Times New Roman" w:eastAsia="Times New Roman" w:cs="Times New Roman"/>
          <w:spacing w:val="-8"/>
          <w:sz w:val="24"/>
          <w:szCs w:val="24"/>
        </w:rPr>
        <w:t xml:space="preserve">m/s </w:t>
      </w:r>
      <w:r>
        <w:rPr>
          <w:rFonts w:ascii="宋体" w:hAnsi="宋体" w:eastAsia="宋体" w:cs="宋体"/>
          <w:spacing w:val="-8"/>
          <w:sz w:val="24"/>
          <w:szCs w:val="24"/>
        </w:rPr>
        <w:t>风速，温度</w:t>
      </w:r>
      <w:r>
        <w:rPr>
          <w:rFonts w:ascii="宋体" w:hAnsi="宋体" w:eastAsia="宋体" w:cs="宋体"/>
          <w:spacing w:val="-55"/>
          <w:sz w:val="24"/>
          <w:szCs w:val="24"/>
        </w:rPr>
        <w:t xml:space="preserve"> </w:t>
      </w:r>
      <w:r>
        <w:rPr>
          <w:rFonts w:ascii="Times New Roman" w:hAnsi="Times New Roman" w:eastAsia="Times New Roman" w:cs="Times New Roman"/>
          <w:spacing w:val="-8"/>
          <w:sz w:val="24"/>
          <w:szCs w:val="24"/>
        </w:rPr>
        <w:t>25℃</w:t>
      </w:r>
      <w:r>
        <w:rPr>
          <w:rFonts w:ascii="Times New Roman" w:hAnsi="Times New Roman" w:eastAsia="Times New Roman" w:cs="Times New Roman"/>
          <w:spacing w:val="-32"/>
          <w:sz w:val="24"/>
          <w:szCs w:val="24"/>
        </w:rPr>
        <w:t xml:space="preserve"> </w:t>
      </w:r>
      <w:r>
        <w:rPr>
          <w:rFonts w:ascii="宋体" w:hAnsi="宋体" w:eastAsia="宋体" w:cs="宋体"/>
          <w:spacing w:val="-8"/>
          <w:sz w:val="24"/>
          <w:szCs w:val="24"/>
        </w:rPr>
        <w:t>, 相对湿度</w:t>
      </w:r>
      <w:r>
        <w:rPr>
          <w:rFonts w:ascii="宋体" w:hAnsi="宋体" w:eastAsia="宋体" w:cs="宋体"/>
          <w:spacing w:val="-49"/>
          <w:sz w:val="24"/>
          <w:szCs w:val="24"/>
        </w:rPr>
        <w:t xml:space="preserve"> </w:t>
      </w:r>
      <w:r>
        <w:rPr>
          <w:rFonts w:ascii="Times New Roman" w:hAnsi="Times New Roman" w:eastAsia="Times New Roman" w:cs="Times New Roman"/>
          <w:spacing w:val="-8"/>
          <w:sz w:val="24"/>
          <w:szCs w:val="24"/>
        </w:rPr>
        <w:t>50%</w:t>
      </w:r>
      <w:r>
        <w:rPr>
          <w:rFonts w:ascii="宋体" w:hAnsi="宋体" w:eastAsia="宋体" w:cs="宋体"/>
          <w:spacing w:val="-8"/>
          <w:sz w:val="24"/>
          <w:szCs w:val="24"/>
        </w:rPr>
        <w:t>。</w:t>
      </w:r>
      <w:r>
        <w:rPr>
          <w:rFonts w:ascii="宋体" w:hAnsi="宋体" w:eastAsia="宋体" w:cs="宋体"/>
          <w:sz w:val="24"/>
          <w:szCs w:val="24"/>
        </w:rPr>
        <w:t xml:space="preserve"> </w:t>
      </w:r>
      <w:r>
        <w:rPr>
          <w:rFonts w:ascii="宋体" w:hAnsi="宋体" w:eastAsia="宋体" w:cs="宋体"/>
          <w:spacing w:val="-2"/>
          <w:sz w:val="24"/>
          <w:szCs w:val="24"/>
        </w:rPr>
        <w:t>预测时段为泄漏事故开始后的</w:t>
      </w:r>
      <w:r>
        <w:rPr>
          <w:rFonts w:ascii="宋体" w:hAnsi="宋体" w:eastAsia="宋体" w:cs="宋体"/>
          <w:spacing w:val="-30"/>
          <w:sz w:val="24"/>
          <w:szCs w:val="24"/>
        </w:rPr>
        <w:t xml:space="preserve"> </w:t>
      </w:r>
      <w:r>
        <w:rPr>
          <w:rFonts w:ascii="Times New Roman" w:hAnsi="Times New Roman" w:eastAsia="Times New Roman" w:cs="Times New Roman"/>
          <w:spacing w:val="-2"/>
          <w:sz w:val="24"/>
          <w:szCs w:val="24"/>
        </w:rPr>
        <w:t>15min</w:t>
      </w:r>
      <w:r>
        <w:rPr>
          <w:rFonts w:ascii="宋体" w:hAnsi="宋体" w:eastAsia="宋体" w:cs="宋体"/>
          <w:spacing w:val="-2"/>
          <w:sz w:val="24"/>
          <w:szCs w:val="24"/>
        </w:rPr>
        <w:t>。</w:t>
      </w:r>
    </w:p>
    <w:p w14:paraId="4A777440">
      <w:pPr>
        <w:spacing w:before="35" w:line="218"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）评价标准</w:t>
      </w:r>
    </w:p>
    <w:p w14:paraId="14EDDC39">
      <w:pPr>
        <w:spacing w:before="194" w:line="356" w:lineRule="auto"/>
        <w:ind w:left="10" w:right="80" w:firstLine="478"/>
        <w:rPr>
          <w:rFonts w:ascii="宋体" w:hAnsi="宋体" w:eastAsia="宋体" w:cs="宋体"/>
          <w:sz w:val="24"/>
          <w:szCs w:val="24"/>
        </w:rPr>
      </w:pPr>
      <w:r>
        <w:rPr>
          <w:rFonts w:ascii="宋体" w:hAnsi="宋体" w:eastAsia="宋体" w:cs="宋体"/>
          <w:sz w:val="24"/>
          <w:szCs w:val="24"/>
        </w:rPr>
        <w:t>根据《建设项目环境风险评价技术导则》（</w:t>
      </w:r>
      <w:r>
        <w:rPr>
          <w:rFonts w:ascii="Times New Roman" w:hAnsi="Times New Roman" w:eastAsia="Times New Roman" w:cs="Times New Roman"/>
          <w:sz w:val="24"/>
          <w:szCs w:val="24"/>
        </w:rPr>
        <w:t>HJ169</w:t>
      </w:r>
      <w:r>
        <w:rPr>
          <w:rFonts w:ascii="宋体" w:hAnsi="宋体" w:eastAsia="宋体" w:cs="宋体"/>
          <w:sz w:val="24"/>
          <w:szCs w:val="24"/>
        </w:rPr>
        <w:t>－</w:t>
      </w:r>
      <w:r>
        <w:rPr>
          <w:rFonts w:ascii="Times New Roman" w:hAnsi="Times New Roman" w:eastAsia="Times New Roman" w:cs="Times New Roman"/>
          <w:sz w:val="24"/>
          <w:szCs w:val="24"/>
        </w:rPr>
        <w:t>2018</w:t>
      </w:r>
      <w:r>
        <w:rPr>
          <w:rFonts w:ascii="宋体" w:hAnsi="宋体" w:eastAsia="宋体" w:cs="宋体"/>
          <w:sz w:val="24"/>
          <w:szCs w:val="24"/>
        </w:rPr>
        <w:t>）附录</w:t>
      </w:r>
      <w:r>
        <w:rPr>
          <w:rFonts w:ascii="宋体" w:hAnsi="宋体" w:eastAsia="宋体" w:cs="宋体"/>
          <w:spacing w:val="-50"/>
          <w:sz w:val="24"/>
          <w:szCs w:val="24"/>
        </w:rPr>
        <w:t xml:space="preserve"> </w:t>
      </w:r>
      <w:r>
        <w:rPr>
          <w:rFonts w:ascii="Times New Roman" w:hAnsi="Times New Roman" w:eastAsia="Times New Roman" w:cs="Times New Roman"/>
          <w:sz w:val="24"/>
          <w:szCs w:val="24"/>
        </w:rPr>
        <w:t>H</w:t>
      </w:r>
      <w:r>
        <w:rPr>
          <w:rFonts w:ascii="Times New Roman" w:hAnsi="Times New Roman" w:eastAsia="Times New Roman" w:cs="Times New Roman"/>
          <w:spacing w:val="-29"/>
          <w:sz w:val="24"/>
          <w:szCs w:val="24"/>
        </w:rPr>
        <w:t xml:space="preserve"> </w:t>
      </w:r>
      <w:r>
        <w:rPr>
          <w:rFonts w:ascii="宋体" w:hAnsi="宋体" w:eastAsia="宋体" w:cs="宋体"/>
          <w:sz w:val="24"/>
          <w:szCs w:val="24"/>
        </w:rPr>
        <w:t xml:space="preserve">，一氧化碳大气 </w:t>
      </w:r>
      <w:r>
        <w:rPr>
          <w:rFonts w:ascii="宋体" w:hAnsi="宋体" w:eastAsia="宋体" w:cs="宋体"/>
          <w:spacing w:val="-2"/>
          <w:sz w:val="24"/>
          <w:szCs w:val="24"/>
        </w:rPr>
        <w:t>毒性终点浓度值如下表</w:t>
      </w:r>
      <w:r>
        <w:rPr>
          <w:rFonts w:ascii="宋体" w:hAnsi="宋体" w:eastAsia="宋体" w:cs="宋体"/>
          <w:spacing w:val="-36"/>
          <w:sz w:val="24"/>
          <w:szCs w:val="24"/>
        </w:rPr>
        <w:t xml:space="preserve"> </w:t>
      </w:r>
      <w:r>
        <w:rPr>
          <w:rFonts w:ascii="Times New Roman" w:hAnsi="Times New Roman" w:eastAsia="Times New Roman" w:cs="Times New Roman"/>
          <w:spacing w:val="-2"/>
          <w:sz w:val="24"/>
          <w:szCs w:val="24"/>
        </w:rPr>
        <w:t xml:space="preserve">5.6-2 </w:t>
      </w:r>
      <w:r>
        <w:rPr>
          <w:rFonts w:ascii="宋体" w:hAnsi="宋体" w:eastAsia="宋体" w:cs="宋体"/>
          <w:spacing w:val="-2"/>
          <w:sz w:val="24"/>
          <w:szCs w:val="24"/>
        </w:rPr>
        <w:t>所示。</w:t>
      </w:r>
    </w:p>
    <w:p w14:paraId="6C3904BA">
      <w:pPr>
        <w:spacing w:before="47" w:line="227" w:lineRule="auto"/>
        <w:ind w:left="2295"/>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8"/>
          <w:sz w:val="20"/>
          <w:szCs w:val="20"/>
        </w:rPr>
        <w:t xml:space="preserve"> </w:t>
      </w:r>
      <w:r>
        <w:rPr>
          <w:rFonts w:ascii="Times New Roman" w:hAnsi="Times New Roman" w:eastAsia="Times New Roman" w:cs="Times New Roman"/>
          <w:b/>
          <w:bCs/>
          <w:spacing w:val="6"/>
          <w:sz w:val="20"/>
          <w:szCs w:val="20"/>
        </w:rPr>
        <w:t xml:space="preserve">5.6-2        </w:t>
      </w:r>
      <w:r>
        <w:rPr>
          <w:rFonts w:ascii="宋体" w:hAnsi="宋体" w:eastAsia="宋体" w:cs="宋体"/>
          <w:b/>
          <w:bCs/>
          <w:spacing w:val="6"/>
          <w:sz w:val="20"/>
          <w:szCs w:val="20"/>
        </w:rPr>
        <w:t>一氧化碳大气</w:t>
      </w:r>
      <w:r>
        <w:rPr>
          <w:rFonts w:ascii="宋体" w:hAnsi="宋体" w:eastAsia="宋体" w:cs="宋体"/>
          <w:b/>
          <w:bCs/>
          <w:spacing w:val="5"/>
          <w:sz w:val="20"/>
          <w:szCs w:val="20"/>
        </w:rPr>
        <w:t>毒性终点浓度值一览表</w:t>
      </w:r>
    </w:p>
    <w:p w14:paraId="0E43AFDC">
      <w:pPr>
        <w:spacing w:line="98"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688"/>
        <w:gridCol w:w="4384"/>
      </w:tblGrid>
      <w:tr w14:paraId="231DCD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4688" w:type="dxa"/>
            <w:tcBorders>
              <w:top w:val="single" w:color="000000" w:sz="10" w:space="0"/>
              <w:left w:val="nil"/>
            </w:tcBorders>
            <w:vAlign w:val="top"/>
          </w:tcPr>
          <w:p w14:paraId="0C9A96D3">
            <w:pPr>
              <w:pStyle w:val="6"/>
              <w:spacing w:before="58" w:line="228" w:lineRule="auto"/>
              <w:ind w:left="2141"/>
              <w:rPr>
                <w:sz w:val="20"/>
                <w:szCs w:val="20"/>
              </w:rPr>
            </w:pPr>
            <w:r>
              <w:rPr>
                <w:b/>
                <w:bCs/>
                <w:spacing w:val="2"/>
                <w:sz w:val="20"/>
                <w:szCs w:val="20"/>
              </w:rPr>
              <w:t>项目</w:t>
            </w:r>
          </w:p>
        </w:tc>
        <w:tc>
          <w:tcPr>
            <w:tcW w:w="4384" w:type="dxa"/>
            <w:tcBorders>
              <w:top w:val="single" w:color="000000" w:sz="10" w:space="0"/>
              <w:right w:val="nil"/>
            </w:tcBorders>
            <w:vAlign w:val="top"/>
          </w:tcPr>
          <w:p w14:paraId="42EFE9FD">
            <w:pPr>
              <w:pStyle w:val="6"/>
              <w:spacing w:before="58" w:line="228" w:lineRule="auto"/>
              <w:ind w:left="1622"/>
              <w:rPr>
                <w:sz w:val="20"/>
                <w:szCs w:val="20"/>
              </w:rPr>
            </w:pPr>
            <w:r>
              <w:rPr>
                <w:b/>
                <w:bCs/>
                <w:spacing w:val="6"/>
                <w:sz w:val="20"/>
                <w:szCs w:val="20"/>
              </w:rPr>
              <w:t>煤气（</w:t>
            </w:r>
            <w:r>
              <w:rPr>
                <w:rFonts w:ascii="Times New Roman" w:hAnsi="Times New Roman" w:eastAsia="Times New Roman" w:cs="Times New Roman"/>
                <w:b/>
                <w:bCs/>
                <w:sz w:val="20"/>
                <w:szCs w:val="20"/>
              </w:rPr>
              <w:t>CO</w:t>
            </w:r>
            <w:r>
              <w:rPr>
                <w:b/>
                <w:bCs/>
                <w:spacing w:val="6"/>
                <w:sz w:val="20"/>
                <w:szCs w:val="20"/>
              </w:rPr>
              <w:t>）</w:t>
            </w:r>
          </w:p>
        </w:tc>
      </w:tr>
      <w:tr w14:paraId="6300AC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4688" w:type="dxa"/>
            <w:tcBorders>
              <w:left w:val="nil"/>
            </w:tcBorders>
            <w:vAlign w:val="top"/>
          </w:tcPr>
          <w:p w14:paraId="4A491D82">
            <w:pPr>
              <w:pStyle w:val="6"/>
              <w:spacing w:before="64" w:line="221" w:lineRule="auto"/>
              <w:ind w:left="1144"/>
              <w:rPr>
                <w:sz w:val="20"/>
                <w:szCs w:val="20"/>
              </w:rPr>
            </w:pPr>
            <w:r>
              <w:rPr>
                <w:spacing w:val="7"/>
                <w:sz w:val="20"/>
                <w:szCs w:val="20"/>
              </w:rPr>
              <w:t>毒性终点浓度</w:t>
            </w:r>
            <w:r>
              <w:rPr>
                <w:rFonts w:ascii="Times New Roman" w:hAnsi="Times New Roman" w:eastAsia="Times New Roman" w:cs="Times New Roman"/>
                <w:spacing w:val="7"/>
                <w:sz w:val="20"/>
                <w:szCs w:val="20"/>
              </w:rPr>
              <w:t>-1</w:t>
            </w:r>
            <w:r>
              <w:rPr>
                <w:spacing w:val="7"/>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/m</w:t>
            </w:r>
            <w:r>
              <w:rPr>
                <w:rFonts w:ascii="Times New Roman" w:hAnsi="Times New Roman" w:eastAsia="Times New Roman" w:cs="Times New Roman"/>
                <w:spacing w:val="7"/>
                <w:position w:val="6"/>
                <w:sz w:val="13"/>
                <w:szCs w:val="13"/>
              </w:rPr>
              <w:t>3</w:t>
            </w:r>
            <w:r>
              <w:rPr>
                <w:spacing w:val="7"/>
                <w:sz w:val="20"/>
                <w:szCs w:val="20"/>
              </w:rPr>
              <w:t>）</w:t>
            </w:r>
          </w:p>
        </w:tc>
        <w:tc>
          <w:tcPr>
            <w:tcW w:w="4384" w:type="dxa"/>
            <w:tcBorders>
              <w:right w:val="nil"/>
            </w:tcBorders>
            <w:vAlign w:val="top"/>
          </w:tcPr>
          <w:p w14:paraId="0629939D">
            <w:pPr>
              <w:spacing w:before="100" w:line="195" w:lineRule="auto"/>
              <w:ind w:left="204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380</w:t>
            </w:r>
          </w:p>
        </w:tc>
      </w:tr>
      <w:tr w14:paraId="4C7710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4688" w:type="dxa"/>
            <w:tcBorders>
              <w:left w:val="nil"/>
              <w:bottom w:val="single" w:color="000000" w:sz="10" w:space="0"/>
            </w:tcBorders>
            <w:vAlign w:val="top"/>
          </w:tcPr>
          <w:p w14:paraId="46B9394B">
            <w:pPr>
              <w:pStyle w:val="6"/>
              <w:spacing w:before="72" w:line="221" w:lineRule="auto"/>
              <w:ind w:left="1144"/>
              <w:rPr>
                <w:sz w:val="20"/>
                <w:szCs w:val="20"/>
              </w:rPr>
            </w:pPr>
            <w:r>
              <w:rPr>
                <w:spacing w:val="7"/>
                <w:sz w:val="20"/>
                <w:szCs w:val="20"/>
              </w:rPr>
              <w:t>毒性终点浓度</w:t>
            </w:r>
            <w:r>
              <w:rPr>
                <w:rFonts w:ascii="Times New Roman" w:hAnsi="Times New Roman" w:eastAsia="Times New Roman" w:cs="Times New Roman"/>
                <w:spacing w:val="7"/>
                <w:sz w:val="20"/>
                <w:szCs w:val="20"/>
              </w:rPr>
              <w:t>-2</w:t>
            </w:r>
            <w:r>
              <w:rPr>
                <w:spacing w:val="7"/>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/m</w:t>
            </w:r>
            <w:r>
              <w:rPr>
                <w:rFonts w:ascii="Times New Roman" w:hAnsi="Times New Roman" w:eastAsia="Times New Roman" w:cs="Times New Roman"/>
                <w:spacing w:val="7"/>
                <w:position w:val="6"/>
                <w:sz w:val="13"/>
                <w:szCs w:val="13"/>
              </w:rPr>
              <w:t>3</w:t>
            </w:r>
            <w:r>
              <w:rPr>
                <w:spacing w:val="7"/>
                <w:sz w:val="20"/>
                <w:szCs w:val="20"/>
              </w:rPr>
              <w:t>）</w:t>
            </w:r>
          </w:p>
        </w:tc>
        <w:tc>
          <w:tcPr>
            <w:tcW w:w="4384" w:type="dxa"/>
            <w:tcBorders>
              <w:bottom w:val="single" w:color="000000" w:sz="10" w:space="0"/>
              <w:right w:val="nil"/>
            </w:tcBorders>
            <w:vAlign w:val="top"/>
          </w:tcPr>
          <w:p w14:paraId="2209D00D">
            <w:pPr>
              <w:spacing w:before="108" w:line="195" w:lineRule="auto"/>
              <w:ind w:left="2094"/>
              <w:rPr>
                <w:rFonts w:ascii="Times New Roman" w:hAnsi="Times New Roman" w:eastAsia="Times New Roman" w:cs="Times New Roman"/>
                <w:sz w:val="20"/>
                <w:szCs w:val="20"/>
              </w:rPr>
            </w:pPr>
            <w:r>
              <w:rPr>
                <w:rFonts w:ascii="Times New Roman" w:hAnsi="Times New Roman" w:eastAsia="Times New Roman" w:cs="Times New Roman"/>
                <w:sz w:val="20"/>
                <w:szCs w:val="20"/>
              </w:rPr>
              <w:t>95</w:t>
            </w:r>
          </w:p>
        </w:tc>
      </w:tr>
    </w:tbl>
    <w:p w14:paraId="16AD68C9">
      <w:pPr>
        <w:spacing w:before="120" w:line="218"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）评价范围</w:t>
      </w:r>
    </w:p>
    <w:p w14:paraId="7F9CC551">
      <w:pPr>
        <w:spacing w:before="195" w:line="359" w:lineRule="auto"/>
        <w:ind w:left="13" w:right="80" w:firstLine="475"/>
        <w:rPr>
          <w:rFonts w:ascii="宋体" w:hAnsi="宋体" w:eastAsia="宋体" w:cs="宋体"/>
          <w:sz w:val="24"/>
          <w:szCs w:val="24"/>
        </w:rPr>
      </w:pPr>
      <w:r>
        <w:rPr>
          <w:rFonts w:ascii="宋体" w:hAnsi="宋体" w:eastAsia="宋体" w:cs="宋体"/>
          <w:spacing w:val="-1"/>
          <w:sz w:val="24"/>
          <w:szCs w:val="24"/>
        </w:rPr>
        <w:t>根据《建设项目环境风险评价技术导则》（</w:t>
      </w:r>
      <w:r>
        <w:rPr>
          <w:rFonts w:ascii="Times New Roman" w:hAnsi="Times New Roman" w:eastAsia="Times New Roman" w:cs="Times New Roman"/>
          <w:spacing w:val="-1"/>
          <w:sz w:val="24"/>
          <w:szCs w:val="24"/>
        </w:rPr>
        <w:t>HJ169-2018</w:t>
      </w:r>
      <w:r>
        <w:rPr>
          <w:rFonts w:ascii="宋体" w:hAnsi="宋体" w:eastAsia="宋体" w:cs="宋体"/>
          <w:spacing w:val="-2"/>
          <w:sz w:val="24"/>
          <w:szCs w:val="24"/>
        </w:rPr>
        <w:t>），</w:t>
      </w:r>
      <w:r>
        <w:rPr>
          <w:rFonts w:ascii="宋体" w:hAnsi="宋体" w:eastAsia="宋体" w:cs="宋体"/>
          <w:spacing w:val="-1"/>
          <w:sz w:val="24"/>
          <w:szCs w:val="24"/>
        </w:rPr>
        <w:t>预测范围选取厂</w:t>
      </w:r>
      <w:r>
        <w:rPr>
          <w:rFonts w:ascii="宋体" w:hAnsi="宋体" w:eastAsia="宋体" w:cs="宋体"/>
          <w:spacing w:val="-2"/>
          <w:sz w:val="24"/>
          <w:szCs w:val="24"/>
        </w:rPr>
        <w:t>区边界</w:t>
      </w:r>
      <w:r>
        <w:rPr>
          <w:rFonts w:ascii="宋体" w:hAnsi="宋体" w:eastAsia="宋体" w:cs="宋体"/>
          <w:sz w:val="24"/>
          <w:szCs w:val="24"/>
        </w:rPr>
        <w:t xml:space="preserve"> </w:t>
      </w:r>
      <w:r>
        <w:rPr>
          <w:rFonts w:ascii="宋体" w:hAnsi="宋体" w:eastAsia="宋体" w:cs="宋体"/>
          <w:spacing w:val="-2"/>
          <w:sz w:val="24"/>
          <w:szCs w:val="24"/>
        </w:rPr>
        <w:t>外扩</w:t>
      </w:r>
      <w:r>
        <w:rPr>
          <w:rFonts w:ascii="宋体" w:hAnsi="宋体" w:eastAsia="宋体" w:cs="宋体"/>
          <w:spacing w:val="-35"/>
          <w:sz w:val="24"/>
          <w:szCs w:val="24"/>
        </w:rPr>
        <w:t xml:space="preserve"> </w:t>
      </w:r>
      <w:r>
        <w:rPr>
          <w:rFonts w:ascii="Times New Roman" w:hAnsi="Times New Roman" w:eastAsia="Times New Roman" w:cs="Times New Roman"/>
          <w:spacing w:val="-2"/>
          <w:sz w:val="24"/>
          <w:szCs w:val="24"/>
        </w:rPr>
        <w:t>5000m</w:t>
      </w:r>
      <w:r>
        <w:rPr>
          <w:rFonts w:ascii="Times New Roman" w:hAnsi="Times New Roman" w:eastAsia="Times New Roman" w:cs="Times New Roman"/>
          <w:spacing w:val="30"/>
          <w:w w:val="101"/>
          <w:sz w:val="24"/>
          <w:szCs w:val="24"/>
        </w:rPr>
        <w:t xml:space="preserve"> </w:t>
      </w:r>
      <w:r>
        <w:rPr>
          <w:rFonts w:ascii="宋体" w:hAnsi="宋体" w:eastAsia="宋体" w:cs="宋体"/>
          <w:spacing w:val="-2"/>
          <w:sz w:val="24"/>
          <w:szCs w:val="24"/>
        </w:rPr>
        <w:t>的矩形范围，以环境敏感目标为特殊计算点；在距离风险源下风向</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5000m</w:t>
      </w:r>
      <w:r>
        <w:rPr>
          <w:rFonts w:ascii="Times New Roman" w:hAnsi="Times New Roman" w:eastAsia="Times New Roman" w:cs="Times New Roman"/>
          <w:sz w:val="24"/>
          <w:szCs w:val="24"/>
        </w:rPr>
        <w:t xml:space="preserve">   </w:t>
      </w:r>
      <w:r>
        <w:rPr>
          <w:rFonts w:ascii="宋体" w:hAnsi="宋体" w:eastAsia="宋体" w:cs="宋体"/>
          <w:spacing w:val="-2"/>
          <w:sz w:val="24"/>
          <w:szCs w:val="24"/>
        </w:rPr>
        <w:t>范围内，每隔</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 xml:space="preserve">100m </w:t>
      </w:r>
      <w:r>
        <w:rPr>
          <w:rFonts w:ascii="宋体" w:hAnsi="宋体" w:eastAsia="宋体" w:cs="宋体"/>
          <w:spacing w:val="-2"/>
          <w:sz w:val="24"/>
          <w:szCs w:val="24"/>
        </w:rPr>
        <w:t>设置一个一般计算点。</w:t>
      </w:r>
    </w:p>
    <w:p w14:paraId="687157E1">
      <w:pPr>
        <w:spacing w:before="37"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）大气预测结果</w:t>
      </w:r>
    </w:p>
    <w:p w14:paraId="1D310711">
      <w:pPr>
        <w:spacing w:before="191" w:line="356" w:lineRule="auto"/>
        <w:ind w:left="8" w:right="80" w:firstLine="480"/>
        <w:rPr>
          <w:rFonts w:ascii="宋体" w:hAnsi="宋体" w:eastAsia="宋体" w:cs="宋体"/>
          <w:sz w:val="24"/>
          <w:szCs w:val="24"/>
        </w:rPr>
      </w:pPr>
      <w:r>
        <w:rPr>
          <w:rFonts w:ascii="宋体" w:hAnsi="宋体" w:eastAsia="宋体" w:cs="宋体"/>
          <w:spacing w:val="-1"/>
          <w:sz w:val="24"/>
          <w:szCs w:val="24"/>
        </w:rPr>
        <w:t>根据《建设项目环境风险评价技术导则》（</w:t>
      </w:r>
      <w:r>
        <w:rPr>
          <w:rFonts w:ascii="Times New Roman" w:hAnsi="Times New Roman" w:eastAsia="Times New Roman" w:cs="Times New Roman"/>
          <w:spacing w:val="-1"/>
          <w:sz w:val="24"/>
          <w:szCs w:val="24"/>
        </w:rPr>
        <w:t>HJ169-2018</w:t>
      </w:r>
      <w:r>
        <w:rPr>
          <w:rFonts w:ascii="宋体" w:hAnsi="宋体" w:eastAsia="宋体" w:cs="宋体"/>
          <w:spacing w:val="-3"/>
          <w:sz w:val="24"/>
          <w:szCs w:val="24"/>
        </w:rPr>
        <w:t>），</w:t>
      </w:r>
      <w:r>
        <w:rPr>
          <w:rFonts w:ascii="宋体" w:hAnsi="宋体" w:eastAsia="宋体" w:cs="宋体"/>
          <w:spacing w:val="-1"/>
          <w:sz w:val="24"/>
          <w:szCs w:val="24"/>
        </w:rPr>
        <w:t>选取最不利气象条件及</w:t>
      </w:r>
      <w:r>
        <w:rPr>
          <w:rFonts w:ascii="宋体" w:hAnsi="宋体" w:eastAsia="宋体" w:cs="宋体"/>
          <w:sz w:val="24"/>
          <w:szCs w:val="24"/>
        </w:rPr>
        <w:t xml:space="preserve"> </w:t>
      </w:r>
      <w:r>
        <w:rPr>
          <w:rFonts w:ascii="宋体" w:hAnsi="宋体" w:eastAsia="宋体" w:cs="宋体"/>
          <w:spacing w:val="-1"/>
          <w:sz w:val="24"/>
          <w:szCs w:val="24"/>
        </w:rPr>
        <w:t>事故发生地的最常见气象条件分别进行后果预测。</w:t>
      </w:r>
    </w:p>
    <w:p w14:paraId="614AB8CB">
      <w:pPr>
        <w:spacing w:before="32" w:line="217" w:lineRule="auto"/>
        <w:ind w:left="487"/>
        <w:rPr>
          <w:rFonts w:ascii="宋体" w:hAnsi="宋体" w:eastAsia="宋体" w:cs="宋体"/>
          <w:sz w:val="24"/>
          <w:szCs w:val="24"/>
        </w:rPr>
      </w:pPr>
      <w:r>
        <w:rPr>
          <w:rFonts w:ascii="宋体" w:hAnsi="宋体" w:eastAsia="宋体" w:cs="宋体"/>
          <w:spacing w:val="-1"/>
          <w:sz w:val="24"/>
          <w:szCs w:val="24"/>
        </w:rPr>
        <w:t>①下风向有毒有害物质最大浓度及影响范围</w:t>
      </w:r>
    </w:p>
    <w:p w14:paraId="7125FB16">
      <w:pPr>
        <w:spacing w:before="197" w:line="357" w:lineRule="auto"/>
        <w:ind w:left="9" w:right="80" w:firstLine="480"/>
        <w:rPr>
          <w:rFonts w:ascii="宋体" w:hAnsi="宋体" w:eastAsia="宋体" w:cs="宋体"/>
          <w:sz w:val="24"/>
          <w:szCs w:val="24"/>
        </w:rPr>
      </w:pPr>
      <w:r>
        <w:rPr>
          <w:rFonts w:ascii="宋体" w:hAnsi="宋体" w:eastAsia="宋体" w:cs="宋体"/>
          <w:spacing w:val="-2"/>
          <w:sz w:val="24"/>
          <w:szCs w:val="24"/>
        </w:rPr>
        <w:t>煤气（</w:t>
      </w:r>
      <w:r>
        <w:rPr>
          <w:rFonts w:ascii="Times New Roman" w:hAnsi="Times New Roman" w:eastAsia="Times New Roman" w:cs="Times New Roman"/>
          <w:spacing w:val="-2"/>
          <w:sz w:val="24"/>
          <w:szCs w:val="24"/>
        </w:rPr>
        <w:t>CO</w:t>
      </w:r>
      <w:r>
        <w:rPr>
          <w:rFonts w:ascii="宋体" w:hAnsi="宋体" w:eastAsia="宋体" w:cs="宋体"/>
          <w:spacing w:val="-2"/>
          <w:sz w:val="24"/>
          <w:szCs w:val="24"/>
        </w:rPr>
        <w:t>）在最不利气象条件下（风速</w:t>
      </w:r>
      <w:r>
        <w:rPr>
          <w:rFonts w:ascii="宋体" w:hAnsi="宋体" w:eastAsia="宋体" w:cs="宋体"/>
          <w:spacing w:val="-23"/>
          <w:sz w:val="24"/>
          <w:szCs w:val="24"/>
        </w:rPr>
        <w:t xml:space="preserve"> </w:t>
      </w:r>
      <w:r>
        <w:rPr>
          <w:rFonts w:ascii="Times New Roman" w:hAnsi="Times New Roman" w:eastAsia="Times New Roman" w:cs="Times New Roman"/>
          <w:spacing w:val="-2"/>
          <w:sz w:val="24"/>
          <w:szCs w:val="24"/>
        </w:rPr>
        <w:t>1.5m/s</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，稳定度</w:t>
      </w:r>
      <w:r>
        <w:rPr>
          <w:rFonts w:ascii="Times New Roman" w:hAnsi="Times New Roman" w:eastAsia="Times New Roman" w:cs="Times New Roman"/>
          <w:spacing w:val="-2"/>
          <w:sz w:val="24"/>
          <w:szCs w:val="24"/>
        </w:rPr>
        <w:t>F</w:t>
      </w:r>
      <w:r>
        <w:rPr>
          <w:rFonts w:ascii="宋体" w:hAnsi="宋体" w:eastAsia="宋体" w:cs="宋体"/>
          <w:spacing w:val="-2"/>
          <w:sz w:val="24"/>
          <w:szCs w:val="24"/>
        </w:rPr>
        <w:t>）扩散过程中，在</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 xml:space="preserve">CO </w:t>
      </w:r>
      <w:r>
        <w:rPr>
          <w:rFonts w:ascii="宋体" w:hAnsi="宋体" w:eastAsia="宋体" w:cs="宋体"/>
          <w:spacing w:val="-2"/>
          <w:sz w:val="24"/>
          <w:szCs w:val="24"/>
        </w:rPr>
        <w:t>大</w:t>
      </w:r>
      <w:r>
        <w:rPr>
          <w:rFonts w:ascii="宋体" w:hAnsi="宋体" w:eastAsia="宋体" w:cs="宋体"/>
          <w:sz w:val="24"/>
          <w:szCs w:val="24"/>
        </w:rPr>
        <w:t xml:space="preserve"> </w:t>
      </w:r>
      <w:r>
        <w:rPr>
          <w:rFonts w:ascii="宋体" w:hAnsi="宋体" w:eastAsia="宋体" w:cs="宋体"/>
          <w:spacing w:val="-2"/>
          <w:sz w:val="24"/>
          <w:szCs w:val="24"/>
        </w:rPr>
        <w:t>气毒性终点浓度</w:t>
      </w:r>
      <w:r>
        <w:rPr>
          <w:rFonts w:ascii="Times New Roman" w:hAnsi="Times New Roman" w:eastAsia="Times New Roman" w:cs="Times New Roman"/>
          <w:spacing w:val="-2"/>
          <w:sz w:val="24"/>
          <w:szCs w:val="24"/>
        </w:rPr>
        <w:t>-2</w:t>
      </w:r>
      <w:r>
        <w:rPr>
          <w:rFonts w:ascii="宋体" w:hAnsi="宋体" w:eastAsia="宋体" w:cs="宋体"/>
          <w:spacing w:val="-2"/>
          <w:sz w:val="24"/>
          <w:szCs w:val="24"/>
        </w:rPr>
        <w:t>（</w:t>
      </w:r>
      <w:r>
        <w:rPr>
          <w:rFonts w:ascii="Times New Roman" w:hAnsi="Times New Roman" w:eastAsia="Times New Roman" w:cs="Times New Roman"/>
          <w:spacing w:val="-2"/>
          <w:sz w:val="24"/>
          <w:szCs w:val="24"/>
        </w:rPr>
        <w:t>95mg/m</w:t>
      </w:r>
      <w:r>
        <w:rPr>
          <w:rFonts w:ascii="Times New Roman" w:hAnsi="Times New Roman" w:eastAsia="Times New Roman" w:cs="Times New Roman"/>
          <w:spacing w:val="-2"/>
          <w:position w:val="8"/>
          <w:sz w:val="15"/>
          <w:szCs w:val="15"/>
        </w:rPr>
        <w:t xml:space="preserve">3 </w:t>
      </w:r>
      <w:r>
        <w:rPr>
          <w:rFonts w:ascii="宋体" w:hAnsi="宋体" w:eastAsia="宋体" w:cs="宋体"/>
          <w:spacing w:val="-2"/>
          <w:sz w:val="24"/>
          <w:szCs w:val="24"/>
        </w:rPr>
        <w:t>）下最远</w:t>
      </w:r>
      <w:r>
        <w:rPr>
          <w:rFonts w:ascii="宋体" w:hAnsi="宋体" w:eastAsia="宋体" w:cs="宋体"/>
          <w:spacing w:val="-3"/>
          <w:sz w:val="24"/>
          <w:szCs w:val="24"/>
        </w:rPr>
        <w:t>影响距离为</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270m</w:t>
      </w:r>
      <w:r>
        <w:rPr>
          <w:rFonts w:ascii="Times New Roman" w:hAnsi="Times New Roman" w:eastAsia="Times New Roman" w:cs="Times New Roman"/>
          <w:spacing w:val="-30"/>
          <w:sz w:val="24"/>
          <w:szCs w:val="24"/>
        </w:rPr>
        <w:t xml:space="preserve"> </w:t>
      </w:r>
      <w:r>
        <w:rPr>
          <w:rFonts w:ascii="宋体" w:hAnsi="宋体" w:eastAsia="宋体" w:cs="宋体"/>
          <w:spacing w:val="-3"/>
          <w:sz w:val="24"/>
          <w:szCs w:val="24"/>
        </w:rPr>
        <w:t>，在厂区范围外；在</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 xml:space="preserve">CO </w:t>
      </w:r>
      <w:r>
        <w:rPr>
          <w:rFonts w:ascii="宋体" w:hAnsi="宋体" w:eastAsia="宋体" w:cs="宋体"/>
          <w:spacing w:val="-3"/>
          <w:sz w:val="24"/>
          <w:szCs w:val="24"/>
        </w:rPr>
        <w:t>大气毒</w:t>
      </w:r>
      <w:r>
        <w:rPr>
          <w:rFonts w:ascii="宋体" w:hAnsi="宋体" w:eastAsia="宋体" w:cs="宋体"/>
          <w:sz w:val="24"/>
          <w:szCs w:val="24"/>
        </w:rPr>
        <w:t xml:space="preserve"> 性终点浓度</w:t>
      </w:r>
      <w:r>
        <w:rPr>
          <w:rFonts w:ascii="Times New Roman" w:hAnsi="Times New Roman" w:eastAsia="Times New Roman" w:cs="Times New Roman"/>
          <w:sz w:val="24"/>
          <w:szCs w:val="24"/>
        </w:rPr>
        <w:t>-1</w:t>
      </w:r>
      <w:r>
        <w:rPr>
          <w:rFonts w:ascii="宋体" w:hAnsi="宋体" w:eastAsia="宋体" w:cs="宋体"/>
          <w:sz w:val="24"/>
          <w:szCs w:val="24"/>
        </w:rPr>
        <w:t>（</w:t>
      </w:r>
      <w:r>
        <w:rPr>
          <w:rFonts w:ascii="Times New Roman" w:hAnsi="Times New Roman" w:eastAsia="Times New Roman" w:cs="Times New Roman"/>
          <w:sz w:val="24"/>
          <w:szCs w:val="24"/>
        </w:rPr>
        <w:t>380mg/m</w:t>
      </w:r>
      <w:r>
        <w:rPr>
          <w:rFonts w:ascii="Times New Roman" w:hAnsi="Times New Roman" w:eastAsia="Times New Roman" w:cs="Times New Roman"/>
          <w:position w:val="8"/>
          <w:sz w:val="15"/>
          <w:szCs w:val="15"/>
        </w:rPr>
        <w:t xml:space="preserve">3 </w:t>
      </w:r>
      <w:r>
        <w:rPr>
          <w:rFonts w:ascii="宋体" w:hAnsi="宋体" w:eastAsia="宋体" w:cs="宋体"/>
          <w:sz w:val="24"/>
          <w:szCs w:val="24"/>
        </w:rPr>
        <w:t>）下最大影响半径为</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290m</w:t>
      </w:r>
      <w:r>
        <w:rPr>
          <w:rFonts w:ascii="Times New Roman" w:hAnsi="Times New Roman" w:eastAsia="Times New Roman" w:cs="Times New Roman"/>
          <w:spacing w:val="-28"/>
          <w:sz w:val="24"/>
          <w:szCs w:val="24"/>
        </w:rPr>
        <w:t xml:space="preserve"> </w:t>
      </w:r>
      <w:r>
        <w:rPr>
          <w:rFonts w:ascii="宋体" w:hAnsi="宋体" w:eastAsia="宋体" w:cs="宋体"/>
          <w:spacing w:val="-1"/>
          <w:sz w:val="24"/>
          <w:szCs w:val="24"/>
        </w:rPr>
        <w:t>，在厂区范围外。最不利气象条件</w:t>
      </w:r>
      <w:r>
        <w:rPr>
          <w:rFonts w:ascii="宋体" w:hAnsi="宋体" w:eastAsia="宋体" w:cs="宋体"/>
          <w:sz w:val="24"/>
          <w:szCs w:val="24"/>
        </w:rPr>
        <w:t xml:space="preserve"> </w:t>
      </w:r>
      <w:r>
        <w:rPr>
          <w:rFonts w:ascii="宋体" w:hAnsi="宋体" w:eastAsia="宋体" w:cs="宋体"/>
          <w:spacing w:val="-2"/>
          <w:sz w:val="24"/>
          <w:szCs w:val="24"/>
        </w:rPr>
        <w:t>下煤气（</w:t>
      </w:r>
      <w:r>
        <w:rPr>
          <w:rFonts w:ascii="Times New Roman" w:hAnsi="Times New Roman" w:eastAsia="Times New Roman" w:cs="Times New Roman"/>
          <w:spacing w:val="-2"/>
          <w:sz w:val="24"/>
          <w:szCs w:val="24"/>
        </w:rPr>
        <w:t>CO</w:t>
      </w:r>
      <w:r>
        <w:rPr>
          <w:rFonts w:ascii="宋体" w:hAnsi="宋体" w:eastAsia="宋体" w:cs="宋体"/>
          <w:spacing w:val="-2"/>
          <w:sz w:val="24"/>
          <w:szCs w:val="24"/>
        </w:rPr>
        <w:t>）最大影响区域见图</w:t>
      </w:r>
      <w:r>
        <w:rPr>
          <w:rFonts w:ascii="宋体" w:hAnsi="宋体" w:eastAsia="宋体" w:cs="宋体"/>
          <w:spacing w:val="-30"/>
          <w:sz w:val="24"/>
          <w:szCs w:val="24"/>
        </w:rPr>
        <w:t xml:space="preserve"> </w:t>
      </w:r>
      <w:r>
        <w:rPr>
          <w:rFonts w:ascii="Times New Roman" w:hAnsi="Times New Roman" w:eastAsia="Times New Roman" w:cs="Times New Roman"/>
          <w:spacing w:val="-2"/>
          <w:sz w:val="24"/>
          <w:szCs w:val="24"/>
        </w:rPr>
        <w:t>5.6-1</w:t>
      </w:r>
      <w:r>
        <w:rPr>
          <w:rFonts w:ascii="宋体" w:hAnsi="宋体" w:eastAsia="宋体" w:cs="宋体"/>
          <w:spacing w:val="-2"/>
          <w:sz w:val="24"/>
          <w:szCs w:val="24"/>
        </w:rPr>
        <w:t>。</w:t>
      </w:r>
    </w:p>
    <w:p w14:paraId="26A16321">
      <w:pPr>
        <w:spacing w:line="357" w:lineRule="auto"/>
        <w:rPr>
          <w:rFonts w:ascii="宋体" w:hAnsi="宋体" w:eastAsia="宋体" w:cs="宋体"/>
          <w:sz w:val="24"/>
          <w:szCs w:val="24"/>
        </w:rPr>
        <w:sectPr>
          <w:headerReference r:id="rId402" w:type="default"/>
          <w:footerReference r:id="rId403" w:type="default"/>
          <w:pgSz w:w="11906" w:h="16839"/>
          <w:pgMar w:top="1191" w:right="1337" w:bottom="1221" w:left="1417" w:header="882" w:footer="1059" w:gutter="0"/>
          <w:cols w:space="720" w:num="1"/>
        </w:sectPr>
      </w:pPr>
    </w:p>
    <w:p w14:paraId="1F652C2C">
      <w:pPr>
        <w:spacing w:line="28" w:lineRule="exact"/>
        <w:ind w:firstLine="1"/>
      </w:pPr>
      <w:r>
        <w:pict>
          <v:shape id="_x0000_s1916" o:spid="_x0000_s1916" style="height:1.45pt;width:453.65pt;" fillcolor="#000000" filled="t" stroked="f" coordsize="9072,29" path="m0,0l9072,0,9072,28,0,28,0,0xe">
            <v:path/>
            <v:fill on="t" focussize="0,0"/>
            <v:stroke on="f"/>
            <v:imagedata o:title=""/>
            <o:lock v:ext="edit"/>
            <w10:wrap type="none"/>
            <w10:anchorlock/>
          </v:shape>
        </w:pict>
      </w:r>
    </w:p>
    <w:p w14:paraId="2D737BBC">
      <w:pPr>
        <w:pStyle w:val="2"/>
        <w:spacing w:line="264" w:lineRule="auto"/>
      </w:pPr>
    </w:p>
    <w:p w14:paraId="24475920">
      <w:pPr>
        <w:spacing w:before="65" w:line="228" w:lineRule="auto"/>
        <w:ind w:left="2824"/>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41"/>
          <w:sz w:val="20"/>
          <w:szCs w:val="20"/>
        </w:rPr>
        <w:t xml:space="preserve"> </w:t>
      </w:r>
      <w:r>
        <w:rPr>
          <w:rFonts w:ascii="Times New Roman" w:hAnsi="Times New Roman" w:eastAsia="Times New Roman" w:cs="Times New Roman"/>
          <w:b/>
          <w:bCs/>
          <w:spacing w:val="5"/>
          <w:sz w:val="20"/>
          <w:szCs w:val="20"/>
        </w:rPr>
        <w:t xml:space="preserve">5.6-3        </w:t>
      </w:r>
      <w:r>
        <w:rPr>
          <w:rFonts w:ascii="宋体" w:hAnsi="宋体" w:eastAsia="宋体" w:cs="宋体"/>
          <w:b/>
          <w:bCs/>
          <w:spacing w:val="5"/>
          <w:sz w:val="20"/>
          <w:szCs w:val="20"/>
        </w:rPr>
        <w:t>各阈值的廓线对应的位置</w:t>
      </w:r>
    </w:p>
    <w:p w14:paraId="0659AC07">
      <w:pPr>
        <w:spacing w:line="97" w:lineRule="exact"/>
      </w:pPr>
    </w:p>
    <w:tbl>
      <w:tblPr>
        <w:tblStyle w:val="5"/>
        <w:tblW w:w="9071"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53"/>
        <w:gridCol w:w="1673"/>
        <w:gridCol w:w="1664"/>
        <w:gridCol w:w="1662"/>
        <w:gridCol w:w="2419"/>
      </w:tblGrid>
      <w:tr w14:paraId="33FCD2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 w:hRule="atLeast"/>
        </w:trPr>
        <w:tc>
          <w:tcPr>
            <w:tcW w:w="1653" w:type="dxa"/>
            <w:tcBorders>
              <w:top w:val="single" w:color="000000" w:sz="10" w:space="0"/>
              <w:left w:val="nil"/>
            </w:tcBorders>
            <w:vAlign w:val="top"/>
          </w:tcPr>
          <w:p w14:paraId="1E7A4EAE">
            <w:pPr>
              <w:pStyle w:val="6"/>
              <w:spacing w:before="36" w:line="210" w:lineRule="auto"/>
              <w:ind w:left="225"/>
              <w:rPr>
                <w:rFonts w:ascii="Times New Roman" w:hAnsi="Times New Roman" w:eastAsia="Times New Roman" w:cs="Times New Roman"/>
                <w:sz w:val="20"/>
                <w:szCs w:val="20"/>
              </w:rPr>
            </w:pPr>
            <w:r>
              <w:rPr>
                <w:b/>
                <w:bCs/>
                <w:spacing w:val="2"/>
                <w:sz w:val="20"/>
                <w:szCs w:val="20"/>
              </w:rPr>
              <w:t>阈值</w:t>
            </w:r>
            <w:r>
              <w:rPr>
                <w:spacing w:val="14"/>
                <w:sz w:val="20"/>
                <w:szCs w:val="20"/>
              </w:rPr>
              <w:t xml:space="preserve"> </w:t>
            </w:r>
            <w:r>
              <w:rPr>
                <w:rFonts w:ascii="Times New Roman" w:hAnsi="Times New Roman" w:eastAsia="Times New Roman" w:cs="Times New Roman"/>
                <w:b/>
                <w:bCs/>
                <w:spacing w:val="2"/>
                <w:sz w:val="20"/>
                <w:szCs w:val="20"/>
              </w:rPr>
              <w:t>(</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2"/>
                <w:sz w:val="20"/>
                <w:szCs w:val="20"/>
              </w:rPr>
              <w:t>/m</w:t>
            </w:r>
            <w:r>
              <w:rPr>
                <w:rFonts w:ascii="Times New Roman" w:hAnsi="Times New Roman" w:eastAsia="Times New Roman" w:cs="Times New Roman"/>
                <w:b/>
                <w:bCs/>
                <w:spacing w:val="2"/>
                <w:position w:val="6"/>
                <w:sz w:val="13"/>
                <w:szCs w:val="13"/>
              </w:rPr>
              <w:t>3</w:t>
            </w:r>
            <w:r>
              <w:rPr>
                <w:rFonts w:ascii="Times New Roman" w:hAnsi="Times New Roman" w:eastAsia="Times New Roman" w:cs="Times New Roman"/>
                <w:b/>
                <w:bCs/>
                <w:spacing w:val="2"/>
                <w:sz w:val="20"/>
                <w:szCs w:val="20"/>
              </w:rPr>
              <w:t>)</w:t>
            </w:r>
          </w:p>
        </w:tc>
        <w:tc>
          <w:tcPr>
            <w:tcW w:w="1673" w:type="dxa"/>
            <w:tcBorders>
              <w:top w:val="single" w:color="000000" w:sz="10" w:space="0"/>
            </w:tcBorders>
            <w:vAlign w:val="top"/>
          </w:tcPr>
          <w:p w14:paraId="6945EC63">
            <w:pPr>
              <w:pStyle w:val="6"/>
              <w:spacing w:before="36" w:line="210" w:lineRule="auto"/>
              <w:ind w:left="365"/>
              <w:rPr>
                <w:rFonts w:ascii="Times New Roman" w:hAnsi="Times New Roman" w:eastAsia="Times New Roman" w:cs="Times New Roman"/>
                <w:sz w:val="20"/>
                <w:szCs w:val="20"/>
              </w:rPr>
            </w:pPr>
            <w:r>
              <w:rPr>
                <w:rFonts w:ascii="Times New Roman" w:hAnsi="Times New Roman" w:eastAsia="Times New Roman" w:cs="Times New Roman"/>
                <w:b/>
                <w:bCs/>
                <w:spacing w:val="4"/>
                <w:sz w:val="20"/>
                <w:szCs w:val="20"/>
              </w:rPr>
              <w:t>X</w:t>
            </w:r>
            <w:r>
              <w:rPr>
                <w:rFonts w:ascii="Times New Roman" w:hAnsi="Times New Roman" w:eastAsia="Times New Roman" w:cs="Times New Roman"/>
                <w:b/>
                <w:bCs/>
                <w:spacing w:val="13"/>
                <w:sz w:val="20"/>
                <w:szCs w:val="20"/>
              </w:rPr>
              <w:t xml:space="preserve"> </w:t>
            </w:r>
            <w:r>
              <w:rPr>
                <w:b/>
                <w:bCs/>
                <w:spacing w:val="4"/>
                <w:sz w:val="20"/>
                <w:szCs w:val="20"/>
              </w:rPr>
              <w:t>起点</w:t>
            </w:r>
            <w:r>
              <w:rPr>
                <w:rFonts w:ascii="Times New Roman" w:hAnsi="Times New Roman" w:eastAsia="Times New Roman" w:cs="Times New Roman"/>
                <w:b/>
                <w:bCs/>
                <w:spacing w:val="4"/>
                <w:sz w:val="20"/>
                <w:szCs w:val="20"/>
              </w:rPr>
              <w:t>(m)</w:t>
            </w:r>
          </w:p>
        </w:tc>
        <w:tc>
          <w:tcPr>
            <w:tcW w:w="1664" w:type="dxa"/>
            <w:tcBorders>
              <w:top w:val="single" w:color="000000" w:sz="10" w:space="0"/>
            </w:tcBorders>
            <w:vAlign w:val="top"/>
          </w:tcPr>
          <w:p w14:paraId="279EEB46">
            <w:pPr>
              <w:pStyle w:val="6"/>
              <w:spacing w:before="36" w:line="210" w:lineRule="auto"/>
              <w:ind w:left="360"/>
              <w:rPr>
                <w:rFonts w:ascii="Times New Roman" w:hAnsi="Times New Roman" w:eastAsia="Times New Roman" w:cs="Times New Roman"/>
                <w:sz w:val="20"/>
                <w:szCs w:val="20"/>
              </w:rPr>
            </w:pPr>
            <w:r>
              <w:rPr>
                <w:rFonts w:ascii="Times New Roman" w:hAnsi="Times New Roman" w:eastAsia="Times New Roman" w:cs="Times New Roman"/>
                <w:b/>
                <w:bCs/>
                <w:spacing w:val="3"/>
                <w:sz w:val="20"/>
                <w:szCs w:val="20"/>
              </w:rPr>
              <w:t>X</w:t>
            </w:r>
            <w:r>
              <w:rPr>
                <w:rFonts w:ascii="Times New Roman" w:hAnsi="Times New Roman" w:eastAsia="Times New Roman" w:cs="Times New Roman"/>
                <w:b/>
                <w:bCs/>
                <w:spacing w:val="19"/>
                <w:sz w:val="20"/>
                <w:szCs w:val="20"/>
              </w:rPr>
              <w:t xml:space="preserve"> </w:t>
            </w:r>
            <w:r>
              <w:rPr>
                <w:b/>
                <w:bCs/>
                <w:spacing w:val="3"/>
                <w:sz w:val="20"/>
                <w:szCs w:val="20"/>
              </w:rPr>
              <w:t>终点</w:t>
            </w:r>
            <w:r>
              <w:rPr>
                <w:rFonts w:ascii="Times New Roman" w:hAnsi="Times New Roman" w:eastAsia="Times New Roman" w:cs="Times New Roman"/>
                <w:b/>
                <w:bCs/>
                <w:spacing w:val="3"/>
                <w:sz w:val="20"/>
                <w:szCs w:val="20"/>
              </w:rPr>
              <w:t>(m)</w:t>
            </w:r>
          </w:p>
        </w:tc>
        <w:tc>
          <w:tcPr>
            <w:tcW w:w="1662" w:type="dxa"/>
            <w:tcBorders>
              <w:top w:val="single" w:color="000000" w:sz="10" w:space="0"/>
            </w:tcBorders>
            <w:vAlign w:val="top"/>
          </w:tcPr>
          <w:p w14:paraId="724DAC33">
            <w:pPr>
              <w:pStyle w:val="6"/>
              <w:spacing w:before="36" w:line="210" w:lineRule="auto"/>
              <w:ind w:left="261"/>
              <w:rPr>
                <w:rFonts w:ascii="Times New Roman" w:hAnsi="Times New Roman" w:eastAsia="Times New Roman" w:cs="Times New Roman"/>
                <w:sz w:val="20"/>
                <w:szCs w:val="20"/>
              </w:rPr>
            </w:pPr>
            <w:r>
              <w:rPr>
                <w:b/>
                <w:bCs/>
                <w:spacing w:val="5"/>
                <w:sz w:val="20"/>
                <w:szCs w:val="20"/>
              </w:rPr>
              <w:t>最大半宽</w:t>
            </w:r>
            <w:r>
              <w:rPr>
                <w:rFonts w:ascii="Times New Roman" w:hAnsi="Times New Roman" w:eastAsia="Times New Roman" w:cs="Times New Roman"/>
                <w:b/>
                <w:bCs/>
                <w:spacing w:val="5"/>
                <w:sz w:val="20"/>
                <w:szCs w:val="20"/>
              </w:rPr>
              <w:t>(m)</w:t>
            </w:r>
          </w:p>
        </w:tc>
        <w:tc>
          <w:tcPr>
            <w:tcW w:w="2419" w:type="dxa"/>
            <w:tcBorders>
              <w:top w:val="single" w:color="000000" w:sz="10" w:space="0"/>
              <w:right w:val="nil"/>
            </w:tcBorders>
            <w:vAlign w:val="top"/>
          </w:tcPr>
          <w:p w14:paraId="4B4B807C">
            <w:pPr>
              <w:pStyle w:val="6"/>
              <w:spacing w:before="36" w:line="210" w:lineRule="auto"/>
              <w:ind w:left="329"/>
              <w:rPr>
                <w:rFonts w:ascii="Times New Roman" w:hAnsi="Times New Roman" w:eastAsia="Times New Roman" w:cs="Times New Roman"/>
                <w:sz w:val="20"/>
                <w:szCs w:val="20"/>
              </w:rPr>
            </w:pPr>
            <w:r>
              <w:rPr>
                <w:b/>
                <w:bCs/>
                <w:spacing w:val="5"/>
                <w:sz w:val="20"/>
                <w:szCs w:val="20"/>
              </w:rPr>
              <w:t>最大半宽对应</w:t>
            </w:r>
            <w:r>
              <w:rPr>
                <w:spacing w:val="-38"/>
                <w:sz w:val="20"/>
                <w:szCs w:val="20"/>
              </w:rPr>
              <w:t xml:space="preserve"> </w:t>
            </w:r>
            <w:r>
              <w:rPr>
                <w:rFonts w:ascii="Times New Roman" w:hAnsi="Times New Roman" w:eastAsia="Times New Roman" w:cs="Times New Roman"/>
                <w:b/>
                <w:bCs/>
                <w:spacing w:val="5"/>
                <w:sz w:val="20"/>
                <w:szCs w:val="20"/>
              </w:rPr>
              <w:t>X(m)</w:t>
            </w:r>
          </w:p>
        </w:tc>
      </w:tr>
      <w:tr w14:paraId="4CCFF0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1653" w:type="dxa"/>
            <w:tcBorders>
              <w:left w:val="nil"/>
            </w:tcBorders>
            <w:vAlign w:val="top"/>
          </w:tcPr>
          <w:p w14:paraId="142B9D0D">
            <w:pPr>
              <w:spacing w:before="98" w:line="195" w:lineRule="auto"/>
              <w:ind w:left="4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9.50E+01</w:t>
            </w:r>
          </w:p>
        </w:tc>
        <w:tc>
          <w:tcPr>
            <w:tcW w:w="1673" w:type="dxa"/>
            <w:vAlign w:val="top"/>
          </w:tcPr>
          <w:p w14:paraId="1275042E">
            <w:pPr>
              <w:spacing w:before="98" w:line="195" w:lineRule="auto"/>
              <w:ind w:left="75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664" w:type="dxa"/>
            <w:vAlign w:val="top"/>
          </w:tcPr>
          <w:p w14:paraId="298A27B2">
            <w:pPr>
              <w:spacing w:before="98" w:line="195" w:lineRule="auto"/>
              <w:ind w:left="6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1662" w:type="dxa"/>
            <w:vAlign w:val="top"/>
          </w:tcPr>
          <w:p w14:paraId="21F332AC">
            <w:pPr>
              <w:spacing w:before="98" w:line="195" w:lineRule="auto"/>
              <w:ind w:left="72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2419" w:type="dxa"/>
            <w:tcBorders>
              <w:right w:val="nil"/>
            </w:tcBorders>
            <w:vAlign w:val="top"/>
          </w:tcPr>
          <w:p w14:paraId="528D5587">
            <w:pPr>
              <w:spacing w:before="98" w:line="195" w:lineRule="auto"/>
              <w:ind w:left="10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270</w:t>
            </w:r>
          </w:p>
        </w:tc>
      </w:tr>
      <w:tr w14:paraId="13AADB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1653" w:type="dxa"/>
            <w:tcBorders>
              <w:left w:val="nil"/>
              <w:bottom w:val="single" w:color="000000" w:sz="10" w:space="0"/>
            </w:tcBorders>
            <w:vAlign w:val="top"/>
          </w:tcPr>
          <w:p w14:paraId="77F9A076">
            <w:pPr>
              <w:spacing w:before="106" w:line="195" w:lineRule="auto"/>
              <w:ind w:left="4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3.80E+02</w:t>
            </w:r>
          </w:p>
        </w:tc>
        <w:tc>
          <w:tcPr>
            <w:tcW w:w="1673" w:type="dxa"/>
            <w:tcBorders>
              <w:bottom w:val="single" w:color="000000" w:sz="10" w:space="0"/>
            </w:tcBorders>
            <w:vAlign w:val="top"/>
          </w:tcPr>
          <w:p w14:paraId="4C249A04">
            <w:pPr>
              <w:spacing w:before="106" w:line="195" w:lineRule="auto"/>
              <w:ind w:left="753"/>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664" w:type="dxa"/>
            <w:tcBorders>
              <w:bottom w:val="single" w:color="000000" w:sz="10" w:space="0"/>
            </w:tcBorders>
            <w:vAlign w:val="top"/>
          </w:tcPr>
          <w:p w14:paraId="2517E1EC">
            <w:pPr>
              <w:spacing w:before="106" w:line="195" w:lineRule="auto"/>
              <w:ind w:left="6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1662" w:type="dxa"/>
            <w:tcBorders>
              <w:bottom w:val="single" w:color="000000" w:sz="10" w:space="0"/>
            </w:tcBorders>
            <w:vAlign w:val="top"/>
          </w:tcPr>
          <w:p w14:paraId="391094AC">
            <w:pPr>
              <w:spacing w:before="106" w:line="195" w:lineRule="auto"/>
              <w:ind w:left="74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16</w:t>
            </w:r>
          </w:p>
        </w:tc>
        <w:tc>
          <w:tcPr>
            <w:tcW w:w="2419" w:type="dxa"/>
            <w:tcBorders>
              <w:bottom w:val="single" w:color="000000" w:sz="10" w:space="0"/>
              <w:right w:val="nil"/>
            </w:tcBorders>
            <w:vAlign w:val="top"/>
          </w:tcPr>
          <w:p w14:paraId="06C7463E">
            <w:pPr>
              <w:spacing w:before="106" w:line="195" w:lineRule="auto"/>
              <w:ind w:left="10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290</w:t>
            </w:r>
          </w:p>
        </w:tc>
      </w:tr>
    </w:tbl>
    <w:p w14:paraId="69BC1AC3">
      <w:pPr>
        <w:spacing w:before="105" w:line="5532" w:lineRule="exact"/>
      </w:pPr>
      <w:r>
        <w:rPr>
          <w:position w:val="-110"/>
        </w:rPr>
        <w:drawing>
          <wp:inline distT="0" distB="0" distL="0" distR="0">
            <wp:extent cx="5755640" cy="3512185"/>
            <wp:effectExtent l="0" t="0" r="0" b="0"/>
            <wp:docPr id="214" name="IM 214"/>
            <wp:cNvGraphicFramePr/>
            <a:graphic xmlns:a="http://schemas.openxmlformats.org/drawingml/2006/main">
              <a:graphicData uri="http://schemas.openxmlformats.org/drawingml/2006/picture">
                <pic:pic xmlns:pic="http://schemas.openxmlformats.org/drawingml/2006/picture">
                  <pic:nvPicPr>
                    <pic:cNvPr id="214" name="IM 214"/>
                    <pic:cNvPicPr/>
                  </pic:nvPicPr>
                  <pic:blipFill>
                    <a:blip r:embed="rId679"/>
                    <a:stretch>
                      <a:fillRect/>
                    </a:stretch>
                  </pic:blipFill>
                  <pic:spPr>
                    <a:xfrm>
                      <a:off x="0" y="0"/>
                      <a:ext cx="5756148" cy="3512819"/>
                    </a:xfrm>
                    <a:prstGeom prst="rect">
                      <a:avLst/>
                    </a:prstGeom>
                  </pic:spPr>
                </pic:pic>
              </a:graphicData>
            </a:graphic>
          </wp:inline>
        </w:drawing>
      </w:r>
    </w:p>
    <w:p w14:paraId="694D1C83">
      <w:pPr>
        <w:spacing w:before="238" w:line="228" w:lineRule="auto"/>
        <w:ind w:left="1845"/>
        <w:rPr>
          <w:rFonts w:ascii="宋体" w:hAnsi="宋体" w:eastAsia="宋体" w:cs="宋体"/>
          <w:sz w:val="20"/>
          <w:szCs w:val="20"/>
        </w:rPr>
      </w:pPr>
      <w:r>
        <w:rPr>
          <w:rFonts w:ascii="宋体" w:hAnsi="宋体" w:eastAsia="宋体" w:cs="宋体"/>
          <w:b/>
          <w:bCs/>
          <w:spacing w:val="6"/>
          <w:sz w:val="20"/>
          <w:szCs w:val="20"/>
        </w:rPr>
        <w:t>图</w:t>
      </w:r>
      <w:r>
        <w:rPr>
          <w:rFonts w:ascii="宋体" w:hAnsi="宋体" w:eastAsia="宋体" w:cs="宋体"/>
          <w:spacing w:val="-40"/>
          <w:sz w:val="20"/>
          <w:szCs w:val="20"/>
        </w:rPr>
        <w:t xml:space="preserve"> </w:t>
      </w:r>
      <w:r>
        <w:rPr>
          <w:rFonts w:ascii="Times New Roman" w:hAnsi="Times New Roman" w:eastAsia="Times New Roman" w:cs="Times New Roman"/>
          <w:b/>
          <w:bCs/>
          <w:spacing w:val="6"/>
          <w:sz w:val="20"/>
          <w:szCs w:val="20"/>
        </w:rPr>
        <w:t xml:space="preserve">5.6-1        </w:t>
      </w:r>
      <w:r>
        <w:rPr>
          <w:rFonts w:ascii="宋体" w:hAnsi="宋体" w:eastAsia="宋体" w:cs="宋体"/>
          <w:b/>
          <w:bCs/>
          <w:spacing w:val="6"/>
          <w:sz w:val="20"/>
          <w:szCs w:val="20"/>
        </w:rPr>
        <w:t>最不利气象条件下煤气（</w:t>
      </w:r>
      <w:r>
        <w:rPr>
          <w:rFonts w:ascii="Times New Roman" w:hAnsi="Times New Roman" w:eastAsia="Times New Roman" w:cs="Times New Roman"/>
          <w:b/>
          <w:bCs/>
          <w:sz w:val="20"/>
          <w:szCs w:val="20"/>
        </w:rPr>
        <w:t>CO</w:t>
      </w:r>
      <w:r>
        <w:rPr>
          <w:rFonts w:ascii="宋体" w:hAnsi="宋体" w:eastAsia="宋体" w:cs="宋体"/>
          <w:b/>
          <w:bCs/>
          <w:spacing w:val="5"/>
          <w:sz w:val="20"/>
          <w:szCs w:val="20"/>
        </w:rPr>
        <w:t>）最大影响区域图</w:t>
      </w:r>
    </w:p>
    <w:p w14:paraId="00344559">
      <w:pPr>
        <w:spacing w:before="219" w:line="219" w:lineRule="auto"/>
        <w:ind w:left="489"/>
        <w:rPr>
          <w:rFonts w:ascii="宋体" w:hAnsi="宋体" w:eastAsia="宋体" w:cs="宋体"/>
          <w:sz w:val="24"/>
          <w:szCs w:val="24"/>
        </w:rPr>
      </w:pPr>
      <w:r>
        <w:pict>
          <v:shape id="_x0000_s1918" o:spid="_x0000_s1918" style="position:absolute;left:0pt;margin-left:36.95pt;margin-top:111.95pt;height:74.55pt;width:12.55pt;z-index:252054528;mso-width-relative:page;mso-height-relative:page;" filled="f" stroked="t" coordsize="251,1491" path="m5,5l244,1484e">
            <v:fill on="f" focussize="0,0"/>
            <v:stroke weight="0.6pt" color="#000000" miterlimit="2" endcap="round"/>
            <v:imagedata o:title=""/>
            <o:lock v:ext="edit"/>
          </v:shape>
        </w:pict>
      </w:r>
      <w:r>
        <w:rPr>
          <w:rFonts w:ascii="宋体" w:hAnsi="宋体" w:eastAsia="宋体" w:cs="宋体"/>
          <w:spacing w:val="-1"/>
          <w:sz w:val="24"/>
          <w:szCs w:val="24"/>
        </w:rPr>
        <w:t>轴线各点下风向不同距离处有毒有害物质的最大浓度及出现时刻详见图</w:t>
      </w:r>
      <w:r>
        <w:rPr>
          <w:rFonts w:ascii="宋体" w:hAnsi="宋体" w:eastAsia="宋体" w:cs="宋体"/>
          <w:spacing w:val="-35"/>
          <w:sz w:val="24"/>
          <w:szCs w:val="24"/>
        </w:rPr>
        <w:t xml:space="preserve"> </w:t>
      </w:r>
      <w:r>
        <w:rPr>
          <w:rFonts w:ascii="Times New Roman" w:hAnsi="Times New Roman" w:eastAsia="Times New Roman" w:cs="Times New Roman"/>
          <w:spacing w:val="-1"/>
          <w:sz w:val="24"/>
          <w:szCs w:val="24"/>
        </w:rPr>
        <w:t>5.6-2</w:t>
      </w:r>
      <w:r>
        <w:rPr>
          <w:rFonts w:ascii="宋体" w:hAnsi="宋体" w:eastAsia="宋体" w:cs="宋体"/>
          <w:spacing w:val="-1"/>
          <w:sz w:val="24"/>
          <w:szCs w:val="24"/>
        </w:rPr>
        <w:t>。</w:t>
      </w:r>
    </w:p>
    <w:p w14:paraId="43267E79">
      <w:pPr>
        <w:spacing w:line="193" w:lineRule="exact"/>
      </w:pPr>
    </w:p>
    <w:tbl>
      <w:tblPr>
        <w:tblStyle w:val="5"/>
        <w:tblW w:w="9016"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94"/>
        <w:gridCol w:w="127"/>
        <w:gridCol w:w="2662"/>
        <w:gridCol w:w="3217"/>
        <w:gridCol w:w="1392"/>
        <w:gridCol w:w="927"/>
        <w:gridCol w:w="197"/>
      </w:tblGrid>
      <w:tr w14:paraId="10EDEC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9016" w:type="dxa"/>
            <w:gridSpan w:val="7"/>
            <w:textDirection w:val="btLr"/>
            <w:vAlign w:val="top"/>
          </w:tcPr>
          <w:p w14:paraId="68217B73">
            <w:pPr>
              <w:pStyle w:val="6"/>
              <w:spacing w:before="63" w:line="228" w:lineRule="auto"/>
              <w:ind w:left="6"/>
              <w:rPr>
                <w:sz w:val="15"/>
                <w:szCs w:val="15"/>
              </w:rPr>
            </w:pPr>
            <w:r>
              <w:rPr>
                <w:sz w:val="15"/>
                <w:szCs w:val="15"/>
              </w:rPr>
              <w:t>)</w:t>
            </w:r>
          </w:p>
        </w:tc>
      </w:tr>
      <w:tr w14:paraId="2B08BF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1" w:hRule="atLeast"/>
        </w:trPr>
        <w:tc>
          <w:tcPr>
            <w:tcW w:w="494" w:type="dxa"/>
            <w:vMerge w:val="restart"/>
            <w:tcBorders>
              <w:top w:val="nil"/>
              <w:bottom w:val="nil"/>
            </w:tcBorders>
            <w:textDirection w:val="btLr"/>
            <w:vAlign w:val="top"/>
          </w:tcPr>
          <w:p w14:paraId="69DC64DB">
            <w:pPr>
              <w:pStyle w:val="6"/>
              <w:spacing w:before="63" w:line="220" w:lineRule="auto"/>
              <w:jc w:val="right"/>
              <w:rPr>
                <w:sz w:val="15"/>
                <w:szCs w:val="15"/>
              </w:rPr>
            </w:pPr>
            <w:r>
              <w:rPr>
                <w:spacing w:val="2"/>
                <w:sz w:val="15"/>
                <w:szCs w:val="15"/>
              </w:rPr>
              <w:t>浓度</w:t>
            </w:r>
            <w:r>
              <w:rPr>
                <w:spacing w:val="43"/>
                <w:w w:val="101"/>
                <w:sz w:val="15"/>
                <w:szCs w:val="15"/>
              </w:rPr>
              <w:t xml:space="preserve"> </w:t>
            </w:r>
            <w:r>
              <w:rPr>
                <w:spacing w:val="2"/>
                <w:sz w:val="15"/>
                <w:szCs w:val="15"/>
              </w:rPr>
              <w:t>(</w:t>
            </w:r>
            <w:r>
              <w:rPr>
                <w:sz w:val="15"/>
                <w:szCs w:val="15"/>
              </w:rPr>
              <w:t>mg</w:t>
            </w:r>
            <w:r>
              <w:rPr>
                <w:spacing w:val="2"/>
                <w:sz w:val="15"/>
                <w:szCs w:val="15"/>
              </w:rPr>
              <w:t>/m3</w:t>
            </w:r>
          </w:p>
          <w:p w14:paraId="57641C0C">
            <w:pPr>
              <w:pStyle w:val="6"/>
              <w:spacing w:before="10" w:line="141" w:lineRule="exact"/>
              <w:rPr>
                <w:sz w:val="19"/>
                <w:szCs w:val="19"/>
              </w:rPr>
            </w:pPr>
            <w:r>
              <mc:AlternateContent>
                <mc:Choice Requires="wps">
                  <w:drawing>
                    <wp:anchor distT="0" distB="0" distL="0" distR="0" simplePos="0" relativeHeight="252052480" behindDoc="1" locked="0" layoutInCell="1" allowOverlap="1">
                      <wp:simplePos x="0" y="0"/>
                      <wp:positionH relativeFrom="column">
                        <wp:posOffset>8890</wp:posOffset>
                      </wp:positionH>
                      <wp:positionV relativeFrom="paragraph">
                        <wp:posOffset>-86360</wp:posOffset>
                      </wp:positionV>
                      <wp:extent cx="81280" cy="181610"/>
                      <wp:effectExtent l="0" t="0" r="0" b="0"/>
                      <wp:wrapNone/>
                      <wp:docPr id="216" name="TextBox 216"/>
                      <wp:cNvGraphicFramePr/>
                      <a:graphic xmlns:a="http://schemas.openxmlformats.org/drawingml/2006/main">
                        <a:graphicData uri="http://schemas.microsoft.com/office/word/2010/wordprocessingShape">
                          <wps:wsp>
                            <wps:cNvSpPr txBox="1"/>
                            <wps:spPr>
                              <a:xfrm rot="16200000">
                                <a:off x="9032" y="-86682"/>
                                <a:ext cx="81280" cy="181610"/>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47B51FDB">
                                  <w:pPr>
                                    <w:spacing w:before="76" w:line="184" w:lineRule="auto"/>
                                    <w:ind w:left="20"/>
                                    <w:rPr>
                                      <w:rFonts w:ascii="宋体" w:hAnsi="宋体" w:eastAsia="宋体" w:cs="宋体"/>
                                      <w:sz w:val="19"/>
                                      <w:szCs w:val="19"/>
                                    </w:rPr>
                                  </w:pPr>
                                  <w:r>
                                    <w:rPr>
                                      <w:rFonts w:ascii="宋体" w:hAnsi="宋体" w:eastAsia="宋体" w:cs="宋体"/>
                                      <w:b/>
                                      <w:bCs/>
                                      <w:color w:val="FF0000"/>
                                      <w:spacing w:val="-2"/>
                                      <w:sz w:val="19"/>
                                      <w:szCs w:val="19"/>
                                    </w:rPr>
                                    <w:t>8</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216" o:spid="_x0000_s1026" o:spt="202" type="#_x0000_t202" style="position:absolute;left:0pt;margin-left:0.7pt;margin-top:-6.8pt;height:14.3pt;width:6.4pt;rotation:-5898240f;z-index:-251264000;mso-width-relative:page;mso-height-relative:page;" filled="f" stroked="f" coordsize="21600,21600" o:gfxdata="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RxXX1NUAAAAHAQAADwAAAAAAAAAB&#10;ACAAAAAiAAAAZHJzL2Rvd25yZXYueG1sUEsBAhQAFAAAAAgAh07iQC7OtRpMAgAAoAQAAA4AAAAA&#10;AAAAAQAgAAAAJAEAAGRycy9lMm9Eb2MueG1sUEsFBgAAAAAGAAYAWQEAAOIFAAAAAA==&#10;">
                      <v:fill on="f" focussize="0,0"/>
                      <v:stroke on="f" weight="0pt" miterlimit="0" joinstyle="miter"/>
                      <v:imagedata o:title=""/>
                      <o:lock v:ext="edit" aspectratio="f"/>
                      <v:textbox inset="0mm,0mm,0mm,0mm">
                        <w:txbxContent>
                          <w:p w14:paraId="47B51FDB">
                            <w:pPr>
                              <w:spacing w:before="76" w:line="184" w:lineRule="auto"/>
                              <w:ind w:left="20"/>
                              <w:rPr>
                                <w:rFonts w:ascii="宋体" w:hAnsi="宋体" w:eastAsia="宋体" w:cs="宋体"/>
                                <w:sz w:val="19"/>
                                <w:szCs w:val="19"/>
                              </w:rPr>
                            </w:pPr>
                            <w:r>
                              <w:rPr>
                                <w:rFonts w:ascii="宋体" w:hAnsi="宋体" w:eastAsia="宋体" w:cs="宋体"/>
                                <w:b/>
                                <w:bCs/>
                                <w:color w:val="FF0000"/>
                                <w:spacing w:val="-2"/>
                                <w:sz w:val="19"/>
                                <w:szCs w:val="19"/>
                              </w:rPr>
                              <w:t>8</w:t>
                            </w:r>
                          </w:p>
                        </w:txbxContent>
                      </v:textbox>
                    </v:shape>
                  </w:pict>
                </mc:Fallback>
              </mc:AlternateContent>
            </w:r>
            <w:r>
              <w:rPr>
                <w:b/>
                <w:bCs/>
                <w:color w:val="FFFF00"/>
                <w:spacing w:val="-5"/>
                <w:position w:val="-2"/>
                <w:sz w:val="19"/>
                <w:szCs w:val="19"/>
              </w:rPr>
              <w:t>5</w:t>
            </w:r>
            <w:r>
              <w:rPr>
                <w:b/>
                <w:bCs/>
                <w:color w:val="FF0000"/>
                <w:spacing w:val="-5"/>
                <w:position w:val="-2"/>
                <w:sz w:val="19"/>
                <w:szCs w:val="19"/>
              </w:rPr>
              <w:t>0</w:t>
            </w:r>
            <w:r>
              <w:rPr>
                <w:color w:val="FF0000"/>
                <w:spacing w:val="8"/>
                <w:position w:val="-2"/>
                <w:sz w:val="19"/>
                <w:szCs w:val="19"/>
              </w:rPr>
              <w:t xml:space="preserve">      </w:t>
            </w:r>
            <w:r>
              <w:rPr>
                <w:spacing w:val="-5"/>
                <w:position w:val="-2"/>
                <w:sz w:val="19"/>
                <w:szCs w:val="19"/>
              </w:rPr>
              <w:t>50000</w:t>
            </w:r>
            <w:r>
              <w:rPr>
                <w:spacing w:val="5"/>
                <w:position w:val="-2"/>
                <w:sz w:val="19"/>
                <w:szCs w:val="19"/>
              </w:rPr>
              <w:t xml:space="preserve">     </w:t>
            </w:r>
            <w:r>
              <w:rPr>
                <w:spacing w:val="-5"/>
                <w:position w:val="-2"/>
                <w:sz w:val="19"/>
                <w:szCs w:val="19"/>
              </w:rPr>
              <w:t>100000     1</w:t>
            </w:r>
            <w:r>
              <w:rPr>
                <w:spacing w:val="-6"/>
                <w:position w:val="-2"/>
                <w:sz w:val="19"/>
                <w:szCs w:val="19"/>
              </w:rPr>
              <w:t>50000</w:t>
            </w:r>
          </w:p>
          <w:p w14:paraId="0A3A1A55">
            <w:pPr>
              <w:tabs>
                <w:tab w:val="left" w:pos="990"/>
              </w:tabs>
              <w:spacing w:line="101" w:lineRule="exact"/>
              <w:ind w:left="983"/>
            </w:pPr>
            <w:r>
              <w:rPr>
                <w:rFonts w:ascii="Arial" w:hAnsi="Arial" w:eastAsia="Arial" w:cs="Arial"/>
                <w:position w:val="-1"/>
                <w:sz w:val="21"/>
                <w:szCs w:val="21"/>
              </w:rPr>
              <w:tab/>
            </w:r>
            <w:r>
              <w:rPr>
                <w:position w:val="-1"/>
              </w:rPr>
              <w:drawing>
                <wp:inline distT="0" distB="0" distL="0" distR="0">
                  <wp:extent cx="1275080" cy="59055"/>
                  <wp:effectExtent l="0" t="0" r="0" b="0"/>
                  <wp:docPr id="218" name="IM 218"/>
                  <wp:cNvGraphicFramePr/>
                  <a:graphic xmlns:a="http://schemas.openxmlformats.org/drawingml/2006/main">
                    <a:graphicData uri="http://schemas.openxmlformats.org/drawingml/2006/picture">
                      <pic:pic xmlns:pic="http://schemas.openxmlformats.org/drawingml/2006/picture">
                        <pic:nvPicPr>
                          <pic:cNvPr id="218" name="IM 218"/>
                          <pic:cNvPicPr/>
                        </pic:nvPicPr>
                        <pic:blipFill>
                          <a:blip r:embed="rId680"/>
                          <a:stretch>
                            <a:fillRect/>
                          </a:stretch>
                        </pic:blipFill>
                        <pic:spPr>
                          <a:xfrm>
                            <a:off x="0" y="0"/>
                            <a:ext cx="1275410" cy="59374"/>
                          </a:xfrm>
                          <a:prstGeom prst="rect">
                            <a:avLst/>
                          </a:prstGeom>
                        </pic:spPr>
                      </pic:pic>
                    </a:graphicData>
                  </a:graphic>
                </wp:inline>
              </w:drawing>
            </w:r>
          </w:p>
        </w:tc>
        <w:tc>
          <w:tcPr>
            <w:tcW w:w="8325" w:type="dxa"/>
            <w:gridSpan w:val="5"/>
            <w:tcBorders>
              <w:top w:val="single" w:color="969696" w:sz="4" w:space="0"/>
              <w:left w:val="single" w:color="969696" w:sz="4" w:space="0"/>
              <w:bottom w:val="single" w:color="646464" w:sz="4" w:space="0"/>
              <w:right w:val="single" w:color="969696" w:sz="4" w:space="0"/>
            </w:tcBorders>
            <w:shd w:val="clear" w:color="auto" w:fill="C8C8C8"/>
            <w:vAlign w:val="top"/>
          </w:tcPr>
          <w:p w14:paraId="209BD9BE">
            <w:pPr>
              <w:rPr>
                <w:rFonts w:ascii="Arial"/>
                <w:sz w:val="21"/>
              </w:rPr>
            </w:pPr>
          </w:p>
        </w:tc>
        <w:tc>
          <w:tcPr>
            <w:tcW w:w="197" w:type="dxa"/>
            <w:vMerge w:val="restart"/>
            <w:tcBorders>
              <w:top w:val="nil"/>
              <w:left w:val="single" w:color="969696" w:sz="4" w:space="0"/>
              <w:bottom w:val="nil"/>
            </w:tcBorders>
            <w:vAlign w:val="top"/>
          </w:tcPr>
          <w:p w14:paraId="221027C0">
            <w:pPr>
              <w:rPr>
                <w:rFonts w:ascii="Arial"/>
                <w:sz w:val="21"/>
              </w:rPr>
            </w:pPr>
          </w:p>
        </w:tc>
      </w:tr>
      <w:tr w14:paraId="7FD6F2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2" w:hRule="atLeast"/>
        </w:trPr>
        <w:tc>
          <w:tcPr>
            <w:tcW w:w="494" w:type="dxa"/>
            <w:vMerge w:val="continue"/>
            <w:tcBorders>
              <w:top w:val="nil"/>
              <w:bottom w:val="nil"/>
            </w:tcBorders>
            <w:textDirection w:val="btLr"/>
            <w:vAlign w:val="top"/>
          </w:tcPr>
          <w:p w14:paraId="76FFAF62">
            <w:pPr>
              <w:rPr>
                <w:rFonts w:ascii="Arial"/>
                <w:sz w:val="21"/>
              </w:rPr>
            </w:pPr>
          </w:p>
        </w:tc>
        <w:tc>
          <w:tcPr>
            <w:tcW w:w="8325" w:type="dxa"/>
            <w:gridSpan w:val="5"/>
            <w:tcBorders>
              <w:top w:val="single" w:color="646464" w:sz="4" w:space="0"/>
              <w:left w:val="single" w:color="646464" w:sz="4" w:space="0"/>
              <w:bottom w:val="single" w:color="646464" w:sz="4" w:space="0"/>
              <w:right w:val="single" w:color="969696" w:sz="4" w:space="0"/>
            </w:tcBorders>
            <w:shd w:val="clear" w:color="auto" w:fill="C8C8C8"/>
            <w:vAlign w:val="top"/>
          </w:tcPr>
          <w:p w14:paraId="26CAA218">
            <w:pPr>
              <w:rPr>
                <w:rFonts w:ascii="Arial"/>
                <w:sz w:val="21"/>
              </w:rPr>
            </w:pPr>
            <w:r>
              <w:pict>
                <v:rect id="_x0000_s1922" o:spid="_x0000_s1922" o:spt="1" style="position:absolute;left:0pt;margin-left:9.65pt;margin-top:33.05pt;height:4.2pt;width:4.2pt;mso-position-horizontal-relative:page;mso-position-vertical-relative:page;z-index:252056576;mso-width-relative:page;mso-height-relative:page;" fillcolor="#000000" filled="t" stroked="f" coordsize="21600,21600">
                  <v:path/>
                  <v:fill on="t" focussize="0,0"/>
                  <v:stroke on="f"/>
                  <v:imagedata o:title=""/>
                  <o:lock v:ext="edit"/>
                </v:rect>
              </w:pict>
            </w:r>
          </w:p>
        </w:tc>
        <w:tc>
          <w:tcPr>
            <w:tcW w:w="197" w:type="dxa"/>
            <w:vMerge w:val="continue"/>
            <w:tcBorders>
              <w:top w:val="nil"/>
              <w:left w:val="single" w:color="969696" w:sz="4" w:space="0"/>
              <w:bottom w:val="nil"/>
            </w:tcBorders>
            <w:vAlign w:val="top"/>
          </w:tcPr>
          <w:p w14:paraId="42FEA565">
            <w:pPr>
              <w:rPr>
                <w:rFonts w:ascii="Arial"/>
                <w:sz w:val="21"/>
              </w:rPr>
            </w:pPr>
          </w:p>
        </w:tc>
      </w:tr>
      <w:tr w14:paraId="0E43B3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2" w:hRule="atLeast"/>
        </w:trPr>
        <w:tc>
          <w:tcPr>
            <w:tcW w:w="494" w:type="dxa"/>
            <w:vMerge w:val="continue"/>
            <w:tcBorders>
              <w:top w:val="nil"/>
              <w:bottom w:val="nil"/>
            </w:tcBorders>
            <w:textDirection w:val="btLr"/>
            <w:vAlign w:val="top"/>
          </w:tcPr>
          <w:p w14:paraId="01EA6173">
            <w:pPr>
              <w:rPr>
                <w:rFonts w:ascii="Arial"/>
                <w:sz w:val="21"/>
              </w:rPr>
            </w:pPr>
          </w:p>
        </w:tc>
        <w:tc>
          <w:tcPr>
            <w:tcW w:w="8325" w:type="dxa"/>
            <w:gridSpan w:val="5"/>
            <w:tcBorders>
              <w:top w:val="single" w:color="646464" w:sz="4" w:space="0"/>
              <w:left w:val="single" w:color="646464" w:sz="4" w:space="0"/>
              <w:bottom w:val="single" w:color="646464" w:sz="4" w:space="0"/>
              <w:right w:val="single" w:color="969696" w:sz="4" w:space="0"/>
            </w:tcBorders>
            <w:shd w:val="clear" w:color="auto" w:fill="C8C8C8"/>
            <w:vAlign w:val="top"/>
          </w:tcPr>
          <w:p w14:paraId="6D7D49C2">
            <w:pPr>
              <w:rPr>
                <w:rFonts w:ascii="Arial"/>
                <w:sz w:val="21"/>
              </w:rPr>
            </w:pPr>
          </w:p>
        </w:tc>
        <w:tc>
          <w:tcPr>
            <w:tcW w:w="197" w:type="dxa"/>
            <w:vMerge w:val="continue"/>
            <w:tcBorders>
              <w:top w:val="nil"/>
              <w:left w:val="single" w:color="969696" w:sz="4" w:space="0"/>
              <w:bottom w:val="nil"/>
            </w:tcBorders>
            <w:vAlign w:val="top"/>
          </w:tcPr>
          <w:p w14:paraId="7558F1A4">
            <w:pPr>
              <w:rPr>
                <w:rFonts w:ascii="Arial"/>
                <w:sz w:val="21"/>
              </w:rPr>
            </w:pPr>
          </w:p>
        </w:tc>
      </w:tr>
      <w:tr w14:paraId="4FD679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1" w:hRule="atLeast"/>
        </w:trPr>
        <w:tc>
          <w:tcPr>
            <w:tcW w:w="494" w:type="dxa"/>
            <w:vMerge w:val="continue"/>
            <w:tcBorders>
              <w:top w:val="nil"/>
              <w:bottom w:val="nil"/>
            </w:tcBorders>
            <w:textDirection w:val="btLr"/>
            <w:vAlign w:val="top"/>
          </w:tcPr>
          <w:p w14:paraId="0C8E25DB">
            <w:pPr>
              <w:rPr>
                <w:rFonts w:ascii="Arial"/>
                <w:sz w:val="21"/>
              </w:rPr>
            </w:pPr>
          </w:p>
        </w:tc>
        <w:tc>
          <w:tcPr>
            <w:tcW w:w="8325" w:type="dxa"/>
            <w:gridSpan w:val="5"/>
            <w:tcBorders>
              <w:top w:val="single" w:color="646464" w:sz="4" w:space="0"/>
              <w:right w:val="single" w:color="969696" w:sz="4" w:space="0"/>
            </w:tcBorders>
            <w:shd w:val="clear" w:color="auto" w:fill="C8C8C8"/>
            <w:vAlign w:val="top"/>
          </w:tcPr>
          <w:p w14:paraId="2CE452C2">
            <w:pPr>
              <w:rPr>
                <w:rFonts w:ascii="Arial"/>
                <w:sz w:val="21"/>
              </w:rPr>
            </w:pPr>
            <w:r>
              <w:pict>
                <v:group id="_x0000_s1924" o:spid="_x0000_s1924" o:spt="203" style="position:absolute;left:0pt;margin-left:21.6pt;margin-top:6.8pt;height:44.15pt;width:337.45pt;mso-position-horizontal-relative:page;mso-position-vertical-relative:page;z-index:252055552;mso-width-relative:page;mso-height-relative:page;" coordsize="6749,883">
                  <o:lock v:ext="edit"/>
                  <v:shape id="_x0000_s1926" o:spid="_x0000_s1926" style="position:absolute;left:35;top:35;height:810;width:6677;" filled="f" stroked="t" coordsize="6677,810" path="m5,5l244,387,482,554,721,626,959,673,1198,697,1436,721,1675,733,1913,745,2152,757,2390,757,2629,769,2867,769,3106,781,3344,781,3583,781,3809,793,4048,793,4286,793,4525,793,4763,805,5001,805,5240,805,5478,805,5717,805,5955,805,6194,805,6432,805,6671,805e">
                    <v:fill on="f" focussize="0,0"/>
                    <v:stroke weight="0.6pt" color="#000000" miterlimit="2" endcap="round"/>
                    <v:imagedata o:title=""/>
                    <o:lock v:ext="edit"/>
                  </v:shape>
                  <v:shape id="_x0000_s1928" o:spid="_x0000_s1928" style="position:absolute;left:0;top:0;height:883;width:6749;" fillcolor="#000000" filled="t" stroked="t" coordsize="6749,883" path="m5,5l77,5,77,77,5,77,5,5xem244,387l315,387,315,459,244,459,244,387xem482,554l554,554,554,626,482,626,482,554xem721,626l792,626,792,697,721,697,721,626xem959,673l1031,673,1031,745,959,745,959,673xem1198,697l1269,697,1269,769,1198,769,1198,697xem1436,721l1508,721,1508,793,1436,793,1436,721xem1675,733l1746,733,1746,805,1675,805,1675,733xem1913,745l1985,745,1985,816,1913,816,1913,745xem2152,757l2223,757,2223,828,2152,828,2152,757xem2390,757l2462,757,2462,828,2390,828,2390,757xem2629,769l2700,769,2700,840,2629,840,2629,769xem2867,769l2939,769,2939,840,2867,840,2867,769xem3106,781l3177,781,3177,852,3106,852,3106,781xem3344,781l3416,781,3416,852,3344,852,3344,781xem3583,781l3654,781,3654,852,3583,852,3583,781xem3809,793l3881,793,3881,864,3809,864,3809,793xem4048,793l4119,793,4119,864,4048,864,4048,793xem4286,793l4358,793,4358,864,4286,864,4286,793xem4524,793l4596,793,4596,864,4524,864,4524,793xem4763,805l4835,805,4835,876,4763,876,4763,805xem5001,805l5073,805,5073,876,5001,876,5001,805xem5240,805l5311,805,5311,876,5240,876,5240,805xem5478,805l5550,805,5550,876,5478,876,5478,805xem5717,805l5788,805,5788,876,5717,876,5717,805xem5955,805l6027,805,6027,876,5955,876,5955,805xem6194,805l6265,805,6265,876,6194,876,6194,805xem6432,805l6504,805,6504,876,6432,876,6432,805xem6671,805l6742,805,6742,876,6671,876,6671,805xe">
                    <v:fill on="t" focussize="0,0"/>
                    <v:stroke weight="0.6pt" color="#000000" miterlimit="2" endcap="round"/>
                    <v:imagedata o:title=""/>
                    <o:lock v:ext="edit"/>
                  </v:shape>
                </v:group>
              </w:pict>
            </w:r>
          </w:p>
        </w:tc>
        <w:tc>
          <w:tcPr>
            <w:tcW w:w="197" w:type="dxa"/>
            <w:vMerge w:val="continue"/>
            <w:tcBorders>
              <w:top w:val="nil"/>
              <w:left w:val="single" w:color="969696" w:sz="4" w:space="0"/>
              <w:bottom w:val="nil"/>
            </w:tcBorders>
            <w:vAlign w:val="top"/>
          </w:tcPr>
          <w:p w14:paraId="5E568861">
            <w:pPr>
              <w:rPr>
                <w:rFonts w:ascii="Arial"/>
                <w:sz w:val="21"/>
              </w:rPr>
            </w:pPr>
          </w:p>
        </w:tc>
      </w:tr>
      <w:tr w14:paraId="232B23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4" w:hRule="atLeast"/>
        </w:trPr>
        <w:tc>
          <w:tcPr>
            <w:tcW w:w="621" w:type="dxa"/>
            <w:gridSpan w:val="2"/>
            <w:tcBorders>
              <w:right w:val="nil"/>
            </w:tcBorders>
            <w:vAlign w:val="top"/>
          </w:tcPr>
          <w:p w14:paraId="3E2E7C6D">
            <w:pPr>
              <w:spacing w:before="147" w:line="197" w:lineRule="auto"/>
              <w:ind w:left="445"/>
              <w:rPr>
                <w:rFonts w:ascii="Arial" w:hAnsi="Arial" w:eastAsia="Arial" w:cs="Arial"/>
                <w:sz w:val="19"/>
                <w:szCs w:val="19"/>
              </w:rPr>
            </w:pPr>
            <w:r>
              <mc:AlternateContent>
                <mc:Choice Requires="wps">
                  <w:drawing>
                    <wp:anchor distT="0" distB="0" distL="0" distR="0" simplePos="0" relativeHeight="252053504" behindDoc="0" locked="0" layoutInCell="1" allowOverlap="1">
                      <wp:simplePos x="0" y="0"/>
                      <wp:positionH relativeFrom="rightMargin">
                        <wp:posOffset>-248285</wp:posOffset>
                      </wp:positionH>
                      <wp:positionV relativeFrom="topMargin">
                        <wp:posOffset>-40640</wp:posOffset>
                      </wp:positionV>
                      <wp:extent cx="109220" cy="181610"/>
                      <wp:effectExtent l="0" t="0" r="0" b="0"/>
                      <wp:wrapNone/>
                      <wp:docPr id="220" name="TextBox 220"/>
                      <wp:cNvGraphicFramePr/>
                      <a:graphic xmlns:a="http://schemas.openxmlformats.org/drawingml/2006/main">
                        <a:graphicData uri="http://schemas.microsoft.com/office/word/2010/wordprocessingShape">
                          <wps:wsp>
                            <wps:cNvSpPr txBox="1"/>
                            <wps:spPr>
                              <a:xfrm rot="16200000">
                                <a:off x="-248916" y="-41023"/>
                                <a:ext cx="109220" cy="181610"/>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1A12EB81">
                                  <w:pPr>
                                    <w:pStyle w:val="6"/>
                                    <w:spacing w:before="76" w:line="184" w:lineRule="auto"/>
                                    <w:jc w:val="right"/>
                                    <w:rPr>
                                      <w:sz w:val="19"/>
                                      <w:szCs w:val="19"/>
                                    </w:rPr>
                                  </w:pPr>
                                  <w:r>
                                    <w:rPr>
                                      <w:b/>
                                      <w:bCs/>
                                      <w:color w:val="FF0000"/>
                                      <w:spacing w:val="-19"/>
                                      <w:w w:val="83"/>
                                      <w:sz w:val="19"/>
                                      <w:szCs w:val="19"/>
                                    </w:rPr>
                                    <w:t>3</w:t>
                                  </w:r>
                                  <w:r>
                                    <w:rPr>
                                      <w:b/>
                                      <w:bCs/>
                                      <w:color w:val="FFFF00"/>
                                      <w:spacing w:val="-11"/>
                                      <w:w w:val="83"/>
                                      <w:sz w:val="19"/>
                                      <w:szCs w:val="19"/>
                                    </w:rPr>
                                    <w:t>9</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220" o:spid="_x0000_s1026" o:spt="202" type="#_x0000_t202" style="position:absolute;left:0pt;margin-left:11.5pt;margin-top:-2.7pt;height:14.3pt;width:8.6pt;mso-position-horizontal-relative:page;mso-position-vertical-relative:page;rotation:-5898240f;z-index:252053504;mso-width-relative:page;mso-height-relative:page;" filled="f" stroked="f" coordsize="21600,21600" o:gfxdata="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NJgpO/YAAAACQEAAA8AAAAA&#10;AAAAAQAgAAAAIgAAAGRycy9kb3ducmV2LnhtbFBLAQIUABQAAAAIAIdO4kAeTwFmTQIAAKQEAAAO&#10;AAAAAAAAAAEAIAAAACcBAABkcnMvZTJvRG9jLnhtbFBLBQYAAAAABgAGAFkBAADmBQAAAAA=&#10;">
                      <v:fill on="f" focussize="0,0"/>
                      <v:stroke on="f" weight="0pt" miterlimit="0" joinstyle="miter"/>
                      <v:imagedata o:title=""/>
                      <o:lock v:ext="edit" aspectratio="f"/>
                      <v:textbox inset="0mm,0mm,0mm,0mm">
                        <w:txbxContent>
                          <w:p w14:paraId="1A12EB81">
                            <w:pPr>
                              <w:pStyle w:val="6"/>
                              <w:spacing w:before="76" w:line="184" w:lineRule="auto"/>
                              <w:jc w:val="right"/>
                              <w:rPr>
                                <w:sz w:val="19"/>
                                <w:szCs w:val="19"/>
                              </w:rPr>
                            </w:pPr>
                            <w:r>
                              <w:rPr>
                                <w:b/>
                                <w:bCs/>
                                <w:color w:val="FF0000"/>
                                <w:spacing w:val="-19"/>
                                <w:w w:val="83"/>
                                <w:sz w:val="19"/>
                                <w:szCs w:val="19"/>
                              </w:rPr>
                              <w:t>3</w:t>
                            </w:r>
                            <w:r>
                              <w:rPr>
                                <w:b/>
                                <w:bCs/>
                                <w:color w:val="FFFF00"/>
                                <w:spacing w:val="-11"/>
                                <w:w w:val="83"/>
                                <w:sz w:val="19"/>
                                <w:szCs w:val="19"/>
                              </w:rPr>
                              <w:t>9</w:t>
                            </w:r>
                          </w:p>
                        </w:txbxContent>
                      </v:textbox>
                    </v:shape>
                  </w:pict>
                </mc:Fallback>
              </mc:AlternateContent>
            </w:r>
            <w:r>
              <w:rPr>
                <w:rFonts w:ascii="Arial" w:hAnsi="Arial" w:eastAsia="Arial" w:cs="Arial"/>
                <w:sz w:val="19"/>
                <w:szCs w:val="19"/>
              </w:rPr>
              <w:t>0</w:t>
            </w:r>
          </w:p>
        </w:tc>
        <w:tc>
          <w:tcPr>
            <w:tcW w:w="2662" w:type="dxa"/>
            <w:tcBorders>
              <w:left w:val="nil"/>
              <w:right w:val="nil"/>
            </w:tcBorders>
            <w:vAlign w:val="top"/>
          </w:tcPr>
          <w:p w14:paraId="288BB7B5">
            <w:pPr>
              <w:spacing w:line="101" w:lineRule="exact"/>
              <w:ind w:left="2247"/>
            </w:pPr>
            <w:r>
              <w:rPr>
                <w:position w:val="-2"/>
              </w:rPr>
              <w:drawing>
                <wp:inline distT="0" distB="0" distL="0" distR="0">
                  <wp:extent cx="6985" cy="64135"/>
                  <wp:effectExtent l="0" t="0" r="0" b="0"/>
                  <wp:docPr id="222" name="IM 222"/>
                  <wp:cNvGraphicFramePr/>
                  <a:graphic xmlns:a="http://schemas.openxmlformats.org/drawingml/2006/main">
                    <a:graphicData uri="http://schemas.openxmlformats.org/drawingml/2006/picture">
                      <pic:pic xmlns:pic="http://schemas.openxmlformats.org/drawingml/2006/picture">
                        <pic:nvPicPr>
                          <pic:cNvPr id="222" name="IM 222"/>
                          <pic:cNvPicPr/>
                        </pic:nvPicPr>
                        <pic:blipFill>
                          <a:blip r:embed="rId681"/>
                          <a:stretch>
                            <a:fillRect/>
                          </a:stretch>
                        </pic:blipFill>
                        <pic:spPr>
                          <a:xfrm>
                            <a:off x="0" y="0"/>
                            <a:ext cx="7569" cy="64567"/>
                          </a:xfrm>
                          <a:prstGeom prst="rect">
                            <a:avLst/>
                          </a:prstGeom>
                        </pic:spPr>
                      </pic:pic>
                    </a:graphicData>
                  </a:graphic>
                </wp:inline>
              </w:drawing>
            </w:r>
          </w:p>
          <w:p w14:paraId="7D62D488">
            <w:pPr>
              <w:spacing w:before="45" w:line="197" w:lineRule="auto"/>
              <w:ind w:left="2131"/>
              <w:rPr>
                <w:rFonts w:ascii="Arial" w:hAnsi="Arial" w:eastAsia="Arial" w:cs="Arial"/>
                <w:sz w:val="19"/>
                <w:szCs w:val="19"/>
              </w:rPr>
            </w:pPr>
            <w:r>
              <w:rPr>
                <w:rFonts w:ascii="Arial" w:hAnsi="Arial" w:eastAsia="Arial" w:cs="Arial"/>
                <w:spacing w:val="-6"/>
                <w:sz w:val="19"/>
                <w:szCs w:val="19"/>
              </w:rPr>
              <w:t>100</w:t>
            </w:r>
          </w:p>
        </w:tc>
        <w:tc>
          <w:tcPr>
            <w:tcW w:w="3217" w:type="dxa"/>
            <w:tcBorders>
              <w:left w:val="nil"/>
              <w:right w:val="nil"/>
            </w:tcBorders>
            <w:vAlign w:val="top"/>
          </w:tcPr>
          <w:p w14:paraId="641A87E3">
            <w:pPr>
              <w:spacing w:line="101" w:lineRule="exact"/>
              <w:ind w:left="1958"/>
            </w:pPr>
            <w:r>
              <w:rPr>
                <w:position w:val="-2"/>
              </w:rPr>
              <w:drawing>
                <wp:inline distT="0" distB="0" distL="0" distR="0">
                  <wp:extent cx="6985" cy="64135"/>
                  <wp:effectExtent l="0" t="0" r="0" b="0"/>
                  <wp:docPr id="224" name="IM 224"/>
                  <wp:cNvGraphicFramePr/>
                  <a:graphic xmlns:a="http://schemas.openxmlformats.org/drawingml/2006/main">
                    <a:graphicData uri="http://schemas.openxmlformats.org/drawingml/2006/picture">
                      <pic:pic xmlns:pic="http://schemas.openxmlformats.org/drawingml/2006/picture">
                        <pic:nvPicPr>
                          <pic:cNvPr id="224" name="IM 224"/>
                          <pic:cNvPicPr/>
                        </pic:nvPicPr>
                        <pic:blipFill>
                          <a:blip r:embed="rId682"/>
                          <a:stretch>
                            <a:fillRect/>
                          </a:stretch>
                        </pic:blipFill>
                        <pic:spPr>
                          <a:xfrm>
                            <a:off x="0" y="0"/>
                            <a:ext cx="7569" cy="64567"/>
                          </a:xfrm>
                          <a:prstGeom prst="rect">
                            <a:avLst/>
                          </a:prstGeom>
                        </pic:spPr>
                      </pic:pic>
                    </a:graphicData>
                  </a:graphic>
                </wp:inline>
              </w:drawing>
            </w:r>
          </w:p>
          <w:p w14:paraId="3883EB7C">
            <w:pPr>
              <w:spacing w:before="45" w:line="197" w:lineRule="auto"/>
              <w:ind w:left="1826"/>
              <w:rPr>
                <w:rFonts w:ascii="Arial" w:hAnsi="Arial" w:eastAsia="Arial" w:cs="Arial"/>
                <w:sz w:val="19"/>
                <w:szCs w:val="19"/>
              </w:rPr>
            </w:pPr>
            <w:r>
              <w:rPr>
                <w:rFonts w:ascii="Arial" w:hAnsi="Arial" w:eastAsia="Arial" w:cs="Arial"/>
                <w:spacing w:val="-1"/>
                <w:sz w:val="19"/>
                <w:szCs w:val="19"/>
              </w:rPr>
              <w:t>200</w:t>
            </w:r>
          </w:p>
          <w:p w14:paraId="1DE98840">
            <w:pPr>
              <w:pStyle w:val="6"/>
              <w:spacing w:before="128" w:line="216" w:lineRule="auto"/>
              <w:ind w:left="230"/>
              <w:rPr>
                <w:sz w:val="17"/>
                <w:szCs w:val="17"/>
              </w:rPr>
            </w:pPr>
            <w:r>
              <w:rPr>
                <w:b/>
                <w:bCs/>
                <w:spacing w:val="17"/>
                <w:sz w:val="17"/>
                <w:szCs w:val="17"/>
              </w:rPr>
              <w:t>轴线最大浓度-距离曲线</w:t>
            </w:r>
          </w:p>
        </w:tc>
        <w:tc>
          <w:tcPr>
            <w:tcW w:w="1392" w:type="dxa"/>
            <w:tcBorders>
              <w:left w:val="nil"/>
              <w:right w:val="nil"/>
            </w:tcBorders>
            <w:vAlign w:val="top"/>
          </w:tcPr>
          <w:p w14:paraId="67257237">
            <w:pPr>
              <w:spacing w:line="101" w:lineRule="exact"/>
              <w:ind w:left="1126"/>
            </w:pPr>
            <w:r>
              <w:rPr>
                <w:position w:val="-2"/>
              </w:rPr>
              <w:drawing>
                <wp:inline distT="0" distB="0" distL="0" distR="0">
                  <wp:extent cx="6985" cy="64135"/>
                  <wp:effectExtent l="0" t="0" r="0" b="0"/>
                  <wp:docPr id="226" name="IM 226"/>
                  <wp:cNvGraphicFramePr/>
                  <a:graphic xmlns:a="http://schemas.openxmlformats.org/drawingml/2006/main">
                    <a:graphicData uri="http://schemas.openxmlformats.org/drawingml/2006/picture">
                      <pic:pic xmlns:pic="http://schemas.openxmlformats.org/drawingml/2006/picture">
                        <pic:nvPicPr>
                          <pic:cNvPr id="226" name="IM 226"/>
                          <pic:cNvPicPr/>
                        </pic:nvPicPr>
                        <pic:blipFill>
                          <a:blip r:embed="rId683"/>
                          <a:stretch>
                            <a:fillRect/>
                          </a:stretch>
                        </pic:blipFill>
                        <pic:spPr>
                          <a:xfrm>
                            <a:off x="0" y="0"/>
                            <a:ext cx="7569" cy="64567"/>
                          </a:xfrm>
                          <a:prstGeom prst="rect">
                            <a:avLst/>
                          </a:prstGeom>
                        </pic:spPr>
                      </pic:pic>
                    </a:graphicData>
                  </a:graphic>
                </wp:inline>
              </w:drawing>
            </w:r>
          </w:p>
          <w:p w14:paraId="7F45782D">
            <w:pPr>
              <w:spacing w:before="45" w:line="197" w:lineRule="auto"/>
              <w:ind w:left="996"/>
              <w:rPr>
                <w:rFonts w:ascii="Arial" w:hAnsi="Arial" w:eastAsia="Arial" w:cs="Arial"/>
                <w:sz w:val="19"/>
                <w:szCs w:val="19"/>
              </w:rPr>
            </w:pPr>
            <w:r>
              <w:rPr>
                <w:rFonts w:ascii="Arial" w:hAnsi="Arial" w:eastAsia="Arial" w:cs="Arial"/>
                <w:spacing w:val="-2"/>
                <w:sz w:val="19"/>
                <w:szCs w:val="19"/>
              </w:rPr>
              <w:t>300</w:t>
            </w:r>
          </w:p>
        </w:tc>
        <w:tc>
          <w:tcPr>
            <w:tcW w:w="1124" w:type="dxa"/>
            <w:gridSpan w:val="2"/>
            <w:tcBorders>
              <w:left w:val="nil"/>
            </w:tcBorders>
            <w:vAlign w:val="top"/>
          </w:tcPr>
          <w:p w14:paraId="1E94D9B1">
            <w:pPr>
              <w:spacing w:line="246" w:lineRule="auto"/>
              <w:rPr>
                <w:rFonts w:ascii="Arial"/>
                <w:sz w:val="21"/>
              </w:rPr>
            </w:pPr>
          </w:p>
          <w:p w14:paraId="08B0A0E7">
            <w:pPr>
              <w:pStyle w:val="6"/>
              <w:spacing w:before="49" w:line="226" w:lineRule="auto"/>
              <w:ind w:left="91"/>
              <w:rPr>
                <w:sz w:val="15"/>
                <w:szCs w:val="15"/>
              </w:rPr>
            </w:pPr>
            <w:r>
              <w:rPr>
                <w:spacing w:val="4"/>
                <w:sz w:val="15"/>
                <w:szCs w:val="15"/>
              </w:rPr>
              <w:t>距离(m)</w:t>
            </w:r>
          </w:p>
        </w:tc>
      </w:tr>
    </w:tbl>
    <w:p w14:paraId="3E593726">
      <w:pPr>
        <w:spacing w:before="278" w:line="227" w:lineRule="auto"/>
        <w:ind w:left="2529"/>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20"/>
          <w:sz w:val="20"/>
          <w:szCs w:val="20"/>
        </w:rPr>
        <w:t xml:space="preserve"> </w:t>
      </w:r>
      <w:r>
        <w:rPr>
          <w:rFonts w:ascii="Times New Roman" w:hAnsi="Times New Roman" w:eastAsia="Times New Roman" w:cs="Times New Roman"/>
          <w:b/>
          <w:bCs/>
          <w:spacing w:val="4"/>
          <w:sz w:val="20"/>
          <w:szCs w:val="20"/>
        </w:rPr>
        <w:t xml:space="preserve">5.6-2        </w:t>
      </w:r>
      <w:r>
        <w:rPr>
          <w:rFonts w:ascii="宋体" w:hAnsi="宋体" w:eastAsia="宋体" w:cs="宋体"/>
          <w:b/>
          <w:bCs/>
          <w:spacing w:val="4"/>
          <w:sz w:val="20"/>
          <w:szCs w:val="20"/>
        </w:rPr>
        <w:t>轴线各点的最大浓度及出现时刻</w:t>
      </w:r>
    </w:p>
    <w:p w14:paraId="4D5C8E74">
      <w:pPr>
        <w:spacing w:before="219" w:line="217" w:lineRule="auto"/>
        <w:ind w:left="487"/>
        <w:rPr>
          <w:rFonts w:ascii="宋体" w:hAnsi="宋体" w:eastAsia="宋体" w:cs="宋体"/>
          <w:sz w:val="24"/>
          <w:szCs w:val="24"/>
        </w:rPr>
      </w:pPr>
      <w:r>
        <w:rPr>
          <w:rFonts w:ascii="宋体" w:hAnsi="宋体" w:eastAsia="宋体" w:cs="宋体"/>
          <w:spacing w:val="-1"/>
          <w:sz w:val="24"/>
          <w:szCs w:val="24"/>
        </w:rPr>
        <w:t>②关心点有毒有害物质浓度随时间变化情况</w:t>
      </w:r>
    </w:p>
    <w:p w14:paraId="4223670B">
      <w:pPr>
        <w:spacing w:line="217" w:lineRule="auto"/>
        <w:rPr>
          <w:rFonts w:ascii="宋体" w:hAnsi="宋体" w:eastAsia="宋体" w:cs="宋体"/>
          <w:sz w:val="24"/>
          <w:szCs w:val="24"/>
        </w:rPr>
        <w:sectPr>
          <w:headerReference r:id="rId404" w:type="default"/>
          <w:footerReference r:id="rId405" w:type="default"/>
          <w:pgSz w:w="11906" w:h="16839"/>
          <w:pgMar w:top="1191" w:right="1416" w:bottom="1221" w:left="1416" w:header="882" w:footer="1058" w:gutter="0"/>
          <w:cols w:space="720" w:num="1"/>
        </w:sectPr>
      </w:pPr>
    </w:p>
    <w:p w14:paraId="793C4037">
      <w:pPr>
        <w:spacing w:line="28" w:lineRule="exact"/>
        <w:ind w:firstLine="108"/>
      </w:pPr>
      <w:r>
        <w:pict>
          <v:shape id="_x0000_s1932" o:spid="_x0000_s1932" style="height:1.45pt;width:453.65pt;" fillcolor="#000000" filled="t" stroked="f" coordsize="9072,29" path="m0,0l9072,0,9072,28,0,28,0,0xe">
            <v:path/>
            <v:fill on="t" focussize="0,0"/>
            <v:stroke on="f"/>
            <v:imagedata o:title=""/>
            <o:lock v:ext="edit"/>
            <w10:wrap type="none"/>
            <w10:anchorlock/>
          </v:shape>
        </w:pict>
      </w:r>
    </w:p>
    <w:p w14:paraId="5D5D02B5">
      <w:pPr>
        <w:spacing w:before="317" w:line="219" w:lineRule="auto"/>
        <w:ind w:left="599"/>
        <w:rPr>
          <w:rFonts w:ascii="宋体" w:hAnsi="宋体" w:eastAsia="宋体" w:cs="宋体"/>
          <w:sz w:val="24"/>
          <w:szCs w:val="24"/>
        </w:rPr>
      </w:pPr>
      <w:r>
        <w:rPr>
          <w:rFonts w:ascii="宋体" w:hAnsi="宋体" w:eastAsia="宋体" w:cs="宋体"/>
          <w:spacing w:val="-1"/>
          <w:sz w:val="24"/>
          <w:szCs w:val="24"/>
        </w:rPr>
        <w:t>最不利气象条件下下风向敏感点</w:t>
      </w:r>
      <w:r>
        <w:rPr>
          <w:rFonts w:ascii="Times New Roman" w:hAnsi="Times New Roman" w:eastAsia="Times New Roman" w:cs="Times New Roman"/>
          <w:spacing w:val="-1"/>
          <w:sz w:val="24"/>
          <w:szCs w:val="24"/>
        </w:rPr>
        <w:t>CO</w:t>
      </w:r>
      <w:r>
        <w:rPr>
          <w:rFonts w:ascii="宋体" w:hAnsi="宋体" w:eastAsia="宋体" w:cs="宋体"/>
          <w:spacing w:val="-1"/>
          <w:sz w:val="24"/>
          <w:szCs w:val="24"/>
        </w:rPr>
        <w:t>浓度随时间变化见表</w:t>
      </w:r>
      <w:r>
        <w:rPr>
          <w:rFonts w:ascii="Times New Roman" w:hAnsi="Times New Roman" w:eastAsia="Times New Roman" w:cs="Times New Roman"/>
          <w:spacing w:val="-1"/>
          <w:sz w:val="24"/>
          <w:szCs w:val="24"/>
        </w:rPr>
        <w:t>5.6-4</w:t>
      </w:r>
      <w:r>
        <w:rPr>
          <w:rFonts w:ascii="宋体" w:hAnsi="宋体" w:eastAsia="宋体" w:cs="宋体"/>
          <w:spacing w:val="-1"/>
          <w:sz w:val="24"/>
          <w:szCs w:val="24"/>
        </w:rPr>
        <w:t>。</w:t>
      </w:r>
    </w:p>
    <w:p w14:paraId="64BC73D4">
      <w:pPr>
        <w:spacing w:before="207" w:line="221" w:lineRule="auto"/>
        <w:ind w:left="1271"/>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9"/>
          <w:sz w:val="20"/>
          <w:szCs w:val="20"/>
        </w:rPr>
        <w:t xml:space="preserve"> </w:t>
      </w:r>
      <w:r>
        <w:rPr>
          <w:rFonts w:ascii="Times New Roman" w:hAnsi="Times New Roman" w:eastAsia="Times New Roman" w:cs="Times New Roman"/>
          <w:b/>
          <w:bCs/>
          <w:spacing w:val="5"/>
          <w:sz w:val="20"/>
          <w:szCs w:val="20"/>
        </w:rPr>
        <w:t xml:space="preserve">5.6-4        </w:t>
      </w:r>
      <w:r>
        <w:rPr>
          <w:rFonts w:ascii="宋体" w:hAnsi="宋体" w:eastAsia="宋体" w:cs="宋体"/>
          <w:b/>
          <w:bCs/>
          <w:spacing w:val="5"/>
          <w:sz w:val="20"/>
          <w:szCs w:val="20"/>
        </w:rPr>
        <w:t>最不利气象条件下一氧化碳浓度随时间变化一览表（</w:t>
      </w:r>
      <w:r>
        <w:rPr>
          <w:rFonts w:ascii="宋体" w:hAnsi="宋体" w:eastAsia="宋体" w:cs="宋体"/>
          <w:spacing w:val="-59"/>
          <w:sz w:val="20"/>
          <w:szCs w:val="20"/>
        </w:rPr>
        <w:t xml:space="preserve"> </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5"/>
          <w:sz w:val="20"/>
          <w:szCs w:val="20"/>
        </w:rPr>
        <w:t>/m</w:t>
      </w:r>
      <w:r>
        <w:rPr>
          <w:rFonts w:ascii="Times New Roman" w:hAnsi="Times New Roman" w:eastAsia="Times New Roman" w:cs="Times New Roman"/>
          <w:b/>
          <w:bCs/>
          <w:spacing w:val="5"/>
          <w:position w:val="6"/>
          <w:sz w:val="13"/>
          <w:szCs w:val="13"/>
        </w:rPr>
        <w:t>3</w:t>
      </w:r>
      <w:r>
        <w:rPr>
          <w:rFonts w:ascii="宋体" w:hAnsi="宋体" w:eastAsia="宋体" w:cs="宋体"/>
          <w:b/>
          <w:bCs/>
          <w:spacing w:val="5"/>
          <w:sz w:val="20"/>
          <w:szCs w:val="20"/>
        </w:rPr>
        <w:t>）</w:t>
      </w:r>
    </w:p>
    <w:p w14:paraId="10910492">
      <w:pPr>
        <w:spacing w:line="105" w:lineRule="exact"/>
      </w:pPr>
    </w:p>
    <w:tbl>
      <w:tblPr>
        <w:tblStyle w:val="5"/>
        <w:tblW w:w="928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15"/>
        <w:gridCol w:w="1226"/>
        <w:gridCol w:w="463"/>
        <w:gridCol w:w="523"/>
        <w:gridCol w:w="523"/>
        <w:gridCol w:w="523"/>
        <w:gridCol w:w="523"/>
        <w:gridCol w:w="523"/>
        <w:gridCol w:w="523"/>
        <w:gridCol w:w="523"/>
        <w:gridCol w:w="522"/>
        <w:gridCol w:w="666"/>
        <w:gridCol w:w="667"/>
        <w:gridCol w:w="667"/>
      </w:tblGrid>
      <w:tr w14:paraId="559FB8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1415" w:type="dxa"/>
            <w:tcBorders>
              <w:top w:val="single" w:color="000000" w:sz="10" w:space="0"/>
              <w:left w:val="nil"/>
            </w:tcBorders>
            <w:vAlign w:val="top"/>
          </w:tcPr>
          <w:p w14:paraId="2145D16D">
            <w:pPr>
              <w:pStyle w:val="6"/>
              <w:spacing w:before="234" w:line="221" w:lineRule="auto"/>
              <w:ind w:left="536"/>
              <w:rPr>
                <w:sz w:val="18"/>
                <w:szCs w:val="18"/>
              </w:rPr>
            </w:pPr>
            <w:r>
              <w:rPr>
                <w:spacing w:val="-5"/>
                <w:sz w:val="18"/>
                <w:szCs w:val="18"/>
              </w:rPr>
              <w:t>名称</w:t>
            </w:r>
          </w:p>
        </w:tc>
        <w:tc>
          <w:tcPr>
            <w:tcW w:w="1226" w:type="dxa"/>
            <w:tcBorders>
              <w:top w:val="single" w:color="000000" w:sz="10" w:space="0"/>
            </w:tcBorders>
            <w:vAlign w:val="top"/>
          </w:tcPr>
          <w:p w14:paraId="7B4BDE2D">
            <w:pPr>
              <w:pStyle w:val="6"/>
              <w:spacing w:before="76" w:line="286" w:lineRule="auto"/>
              <w:ind w:left="341" w:right="143" w:hanging="191"/>
              <w:rPr>
                <w:rFonts w:ascii="Times New Roman" w:hAnsi="Times New Roman" w:eastAsia="Times New Roman" w:cs="Times New Roman"/>
                <w:sz w:val="18"/>
                <w:szCs w:val="18"/>
              </w:rPr>
            </w:pPr>
            <w:r>
              <w:rPr>
                <w:spacing w:val="-2"/>
                <w:sz w:val="18"/>
                <w:szCs w:val="18"/>
              </w:rPr>
              <w:t>最大浓度</w:t>
            </w:r>
            <w:r>
              <w:rPr>
                <w:rFonts w:ascii="Times New Roman" w:hAnsi="Times New Roman" w:eastAsia="Times New Roman" w:cs="Times New Roman"/>
                <w:spacing w:val="-2"/>
                <w:sz w:val="18"/>
                <w:szCs w:val="18"/>
              </w:rPr>
              <w:t>|</w:t>
            </w:r>
            <w:r>
              <w:rPr>
                <w:spacing w:val="-2"/>
                <w:sz w:val="18"/>
                <w:szCs w:val="18"/>
              </w:rPr>
              <w:t>时</w:t>
            </w:r>
            <w:r>
              <w:rPr>
                <w:spacing w:val="1"/>
                <w:sz w:val="18"/>
                <w:szCs w:val="18"/>
              </w:rPr>
              <w:t xml:space="preserve"> </w:t>
            </w:r>
            <w:r>
              <w:rPr>
                <w:spacing w:val="-4"/>
                <w:sz w:val="18"/>
                <w:szCs w:val="18"/>
              </w:rPr>
              <w:t>间</w:t>
            </w:r>
            <w:r>
              <w:rPr>
                <w:rFonts w:ascii="Times New Roman" w:hAnsi="Times New Roman" w:eastAsia="Times New Roman" w:cs="Times New Roman"/>
                <w:spacing w:val="-4"/>
                <w:sz w:val="18"/>
                <w:szCs w:val="18"/>
              </w:rPr>
              <w:t>(min)</w:t>
            </w:r>
          </w:p>
        </w:tc>
        <w:tc>
          <w:tcPr>
            <w:tcW w:w="463" w:type="dxa"/>
            <w:tcBorders>
              <w:top w:val="single" w:color="000000" w:sz="10" w:space="0"/>
            </w:tcBorders>
            <w:vAlign w:val="top"/>
          </w:tcPr>
          <w:p w14:paraId="03194212">
            <w:pPr>
              <w:spacing w:before="109" w:line="304" w:lineRule="auto"/>
              <w:ind w:left="163" w:right="113" w:hanging="4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5m</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3"/>
                <w:sz w:val="18"/>
                <w:szCs w:val="18"/>
              </w:rPr>
              <w:t>in</w:t>
            </w:r>
          </w:p>
        </w:tc>
        <w:tc>
          <w:tcPr>
            <w:tcW w:w="523" w:type="dxa"/>
            <w:tcBorders>
              <w:top w:val="single" w:color="000000" w:sz="10" w:space="0"/>
            </w:tcBorders>
            <w:vAlign w:val="top"/>
          </w:tcPr>
          <w:p w14:paraId="76C6053D">
            <w:pPr>
              <w:spacing w:before="106" w:line="306" w:lineRule="auto"/>
              <w:ind w:left="119" w:right="120" w:firstLine="70"/>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10</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1"/>
                <w:sz w:val="18"/>
                <w:szCs w:val="18"/>
              </w:rPr>
              <w:t>min</w:t>
            </w:r>
          </w:p>
        </w:tc>
        <w:tc>
          <w:tcPr>
            <w:tcW w:w="523" w:type="dxa"/>
            <w:tcBorders>
              <w:top w:val="single" w:color="000000" w:sz="10" w:space="0"/>
            </w:tcBorders>
            <w:vAlign w:val="top"/>
          </w:tcPr>
          <w:p w14:paraId="576CFAB2">
            <w:pPr>
              <w:spacing w:before="106" w:line="306" w:lineRule="auto"/>
              <w:ind w:left="119" w:right="120" w:firstLine="70"/>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15</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1"/>
                <w:sz w:val="18"/>
                <w:szCs w:val="18"/>
              </w:rPr>
              <w:t>min</w:t>
            </w:r>
          </w:p>
        </w:tc>
        <w:tc>
          <w:tcPr>
            <w:tcW w:w="523" w:type="dxa"/>
            <w:tcBorders>
              <w:top w:val="single" w:color="000000" w:sz="10" w:space="0"/>
            </w:tcBorders>
            <w:vAlign w:val="top"/>
          </w:tcPr>
          <w:p w14:paraId="1ECEE0FD">
            <w:pPr>
              <w:spacing w:before="106" w:line="306" w:lineRule="auto"/>
              <w:ind w:left="119" w:right="119" w:firstLine="5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20</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1"/>
                <w:sz w:val="18"/>
                <w:szCs w:val="18"/>
              </w:rPr>
              <w:t>min</w:t>
            </w:r>
          </w:p>
        </w:tc>
        <w:tc>
          <w:tcPr>
            <w:tcW w:w="523" w:type="dxa"/>
            <w:tcBorders>
              <w:top w:val="single" w:color="000000" w:sz="10" w:space="0"/>
            </w:tcBorders>
            <w:vAlign w:val="top"/>
          </w:tcPr>
          <w:p w14:paraId="7A5782DC">
            <w:pPr>
              <w:spacing w:before="106" w:line="306" w:lineRule="auto"/>
              <w:ind w:left="120" w:right="119" w:firstLine="5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25</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1"/>
                <w:sz w:val="18"/>
                <w:szCs w:val="18"/>
              </w:rPr>
              <w:t>min</w:t>
            </w:r>
          </w:p>
        </w:tc>
        <w:tc>
          <w:tcPr>
            <w:tcW w:w="523" w:type="dxa"/>
            <w:tcBorders>
              <w:top w:val="single" w:color="000000" w:sz="10" w:space="0"/>
            </w:tcBorders>
            <w:vAlign w:val="top"/>
          </w:tcPr>
          <w:p w14:paraId="19B2CBB9">
            <w:pPr>
              <w:spacing w:before="106" w:line="306" w:lineRule="auto"/>
              <w:ind w:left="120" w:right="119" w:firstLine="5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30</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1"/>
                <w:sz w:val="18"/>
                <w:szCs w:val="18"/>
              </w:rPr>
              <w:t>min</w:t>
            </w:r>
          </w:p>
        </w:tc>
        <w:tc>
          <w:tcPr>
            <w:tcW w:w="523" w:type="dxa"/>
            <w:tcBorders>
              <w:top w:val="single" w:color="000000" w:sz="10" w:space="0"/>
            </w:tcBorders>
            <w:vAlign w:val="top"/>
          </w:tcPr>
          <w:p w14:paraId="1F09FCC8">
            <w:pPr>
              <w:spacing w:before="106" w:line="306" w:lineRule="auto"/>
              <w:ind w:left="120" w:right="119" w:firstLine="5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35</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1"/>
                <w:sz w:val="18"/>
                <w:szCs w:val="18"/>
              </w:rPr>
              <w:t>min</w:t>
            </w:r>
          </w:p>
        </w:tc>
        <w:tc>
          <w:tcPr>
            <w:tcW w:w="523" w:type="dxa"/>
            <w:tcBorders>
              <w:top w:val="single" w:color="000000" w:sz="10" w:space="0"/>
            </w:tcBorders>
            <w:vAlign w:val="top"/>
          </w:tcPr>
          <w:p w14:paraId="7A3C156D">
            <w:pPr>
              <w:spacing w:before="106" w:line="306" w:lineRule="auto"/>
              <w:ind w:left="120" w:right="119" w:firstLine="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40</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1"/>
                <w:sz w:val="18"/>
                <w:szCs w:val="18"/>
              </w:rPr>
              <w:t>min</w:t>
            </w:r>
          </w:p>
        </w:tc>
        <w:tc>
          <w:tcPr>
            <w:tcW w:w="522" w:type="dxa"/>
            <w:tcBorders>
              <w:top w:val="single" w:color="000000" w:sz="10" w:space="0"/>
            </w:tcBorders>
            <w:vAlign w:val="top"/>
          </w:tcPr>
          <w:p w14:paraId="6E859E9C">
            <w:pPr>
              <w:spacing w:before="106" w:line="306" w:lineRule="auto"/>
              <w:ind w:left="120" w:right="120" w:firstLine="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45</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2"/>
                <w:sz w:val="18"/>
                <w:szCs w:val="18"/>
              </w:rPr>
              <w:t>min</w:t>
            </w:r>
          </w:p>
        </w:tc>
        <w:tc>
          <w:tcPr>
            <w:tcW w:w="666" w:type="dxa"/>
            <w:tcBorders>
              <w:top w:val="single" w:color="000000" w:sz="10" w:space="0"/>
            </w:tcBorders>
            <w:vAlign w:val="top"/>
          </w:tcPr>
          <w:p w14:paraId="26A7AC3F">
            <w:pPr>
              <w:spacing w:before="106" w:line="306" w:lineRule="auto"/>
              <w:ind w:left="191" w:right="191" w:firstLine="5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50</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1"/>
                <w:sz w:val="18"/>
                <w:szCs w:val="18"/>
              </w:rPr>
              <w:t>min</w:t>
            </w:r>
          </w:p>
        </w:tc>
        <w:tc>
          <w:tcPr>
            <w:tcW w:w="667" w:type="dxa"/>
            <w:tcBorders>
              <w:top w:val="single" w:color="000000" w:sz="10" w:space="0"/>
            </w:tcBorders>
            <w:vAlign w:val="top"/>
          </w:tcPr>
          <w:p w14:paraId="5E2E0561">
            <w:pPr>
              <w:spacing w:before="109" w:line="304" w:lineRule="auto"/>
              <w:ind w:left="192" w:right="190" w:firstLine="5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55</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1"/>
                <w:sz w:val="18"/>
                <w:szCs w:val="18"/>
              </w:rPr>
              <w:t>min</w:t>
            </w:r>
          </w:p>
        </w:tc>
        <w:tc>
          <w:tcPr>
            <w:tcW w:w="667" w:type="dxa"/>
            <w:tcBorders>
              <w:top w:val="single" w:color="000000" w:sz="10" w:space="0"/>
              <w:right w:val="nil"/>
            </w:tcBorders>
            <w:vAlign w:val="top"/>
          </w:tcPr>
          <w:p w14:paraId="561C5013">
            <w:pPr>
              <w:spacing w:before="106" w:line="306" w:lineRule="auto"/>
              <w:ind w:left="193" w:right="193" w:firstLine="5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60</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1"/>
                <w:sz w:val="18"/>
                <w:szCs w:val="18"/>
              </w:rPr>
              <w:t>min</w:t>
            </w:r>
          </w:p>
        </w:tc>
      </w:tr>
      <w:tr w14:paraId="5F27E4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415" w:type="dxa"/>
            <w:tcBorders>
              <w:left w:val="nil"/>
            </w:tcBorders>
            <w:vAlign w:val="top"/>
          </w:tcPr>
          <w:p w14:paraId="4D20C100">
            <w:pPr>
              <w:pStyle w:val="6"/>
              <w:spacing w:before="74" w:line="219" w:lineRule="auto"/>
              <w:ind w:left="355"/>
              <w:rPr>
                <w:sz w:val="18"/>
                <w:szCs w:val="18"/>
              </w:rPr>
            </w:pPr>
            <w:r>
              <w:rPr>
                <w:spacing w:val="-3"/>
                <w:sz w:val="18"/>
                <w:szCs w:val="18"/>
              </w:rPr>
              <w:t>温都尔庙</w:t>
            </w:r>
          </w:p>
        </w:tc>
        <w:tc>
          <w:tcPr>
            <w:tcW w:w="1226" w:type="dxa"/>
            <w:vAlign w:val="top"/>
          </w:tcPr>
          <w:p w14:paraId="36A7AA58">
            <w:pPr>
              <w:spacing w:before="102" w:line="192" w:lineRule="auto"/>
              <w:ind w:left="4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0.0|5</w:t>
            </w:r>
          </w:p>
        </w:tc>
        <w:tc>
          <w:tcPr>
            <w:tcW w:w="463" w:type="dxa"/>
            <w:vAlign w:val="top"/>
          </w:tcPr>
          <w:p w14:paraId="7E7BECCC">
            <w:pPr>
              <w:spacing w:before="105" w:line="188" w:lineRule="auto"/>
              <w:ind w:left="18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5914B213">
            <w:pPr>
              <w:spacing w:before="105"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715E05DD">
            <w:pPr>
              <w:spacing w:before="105"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03EEB7F5">
            <w:pPr>
              <w:spacing w:before="105"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0FE5F1A7">
            <w:pPr>
              <w:spacing w:before="105"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33A952E1">
            <w:pPr>
              <w:spacing w:before="105"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491681E6">
            <w:pPr>
              <w:spacing w:before="105"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75650966">
            <w:pPr>
              <w:spacing w:before="105"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2" w:type="dxa"/>
            <w:vAlign w:val="top"/>
          </w:tcPr>
          <w:p w14:paraId="48A84540">
            <w:pPr>
              <w:spacing w:before="105"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6" w:type="dxa"/>
            <w:vAlign w:val="top"/>
          </w:tcPr>
          <w:p w14:paraId="012B4362">
            <w:pPr>
              <w:spacing w:before="105" w:line="188" w:lineRule="auto"/>
              <w:ind w:left="2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vAlign w:val="top"/>
          </w:tcPr>
          <w:p w14:paraId="390ABF37">
            <w:pPr>
              <w:spacing w:before="105" w:line="188" w:lineRule="auto"/>
              <w:ind w:left="293"/>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tcBorders>
              <w:right w:val="nil"/>
            </w:tcBorders>
            <w:vAlign w:val="top"/>
          </w:tcPr>
          <w:p w14:paraId="327BBD19">
            <w:pPr>
              <w:spacing w:before="105" w:line="188" w:lineRule="auto"/>
              <w:ind w:left="291"/>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7D2AA5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415" w:type="dxa"/>
            <w:tcBorders>
              <w:left w:val="nil"/>
            </w:tcBorders>
            <w:vAlign w:val="top"/>
          </w:tcPr>
          <w:p w14:paraId="0CF1174C">
            <w:pPr>
              <w:pStyle w:val="6"/>
              <w:spacing w:before="76" w:line="220" w:lineRule="auto"/>
              <w:ind w:left="193"/>
              <w:rPr>
                <w:sz w:val="18"/>
                <w:szCs w:val="18"/>
              </w:rPr>
            </w:pPr>
            <w:r>
              <w:rPr>
                <w:spacing w:val="-5"/>
                <w:sz w:val="18"/>
                <w:szCs w:val="18"/>
              </w:rPr>
              <w:t>巴润阿木斯尔</w:t>
            </w:r>
          </w:p>
        </w:tc>
        <w:tc>
          <w:tcPr>
            <w:tcW w:w="1226" w:type="dxa"/>
            <w:vAlign w:val="top"/>
          </w:tcPr>
          <w:p w14:paraId="1F6D0624">
            <w:pPr>
              <w:spacing w:before="104" w:line="192" w:lineRule="auto"/>
              <w:ind w:left="4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0.0|5</w:t>
            </w:r>
          </w:p>
        </w:tc>
        <w:tc>
          <w:tcPr>
            <w:tcW w:w="463" w:type="dxa"/>
            <w:vAlign w:val="top"/>
          </w:tcPr>
          <w:p w14:paraId="3FB26C4F">
            <w:pPr>
              <w:spacing w:before="107" w:line="188" w:lineRule="auto"/>
              <w:ind w:left="18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72092753">
            <w:pPr>
              <w:spacing w:before="107"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1627B20F">
            <w:pPr>
              <w:spacing w:before="107"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62807056">
            <w:pPr>
              <w:spacing w:before="107"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64799BC8">
            <w:pPr>
              <w:spacing w:before="107"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0E2D92E8">
            <w:pPr>
              <w:spacing w:before="107"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3EF1249D">
            <w:pPr>
              <w:spacing w:before="107"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157DF843">
            <w:pPr>
              <w:spacing w:before="107"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2" w:type="dxa"/>
            <w:vAlign w:val="top"/>
          </w:tcPr>
          <w:p w14:paraId="1DD448CF">
            <w:pPr>
              <w:spacing w:before="107"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6" w:type="dxa"/>
            <w:vAlign w:val="top"/>
          </w:tcPr>
          <w:p w14:paraId="16B935A8">
            <w:pPr>
              <w:spacing w:before="107" w:line="188" w:lineRule="auto"/>
              <w:ind w:left="2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vAlign w:val="top"/>
          </w:tcPr>
          <w:p w14:paraId="31F28367">
            <w:pPr>
              <w:spacing w:before="107" w:line="188" w:lineRule="auto"/>
              <w:ind w:left="293"/>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tcBorders>
              <w:right w:val="nil"/>
            </w:tcBorders>
            <w:vAlign w:val="top"/>
          </w:tcPr>
          <w:p w14:paraId="712F4A4D">
            <w:pPr>
              <w:spacing w:before="107" w:line="188" w:lineRule="auto"/>
              <w:ind w:left="291"/>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63F6F9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415" w:type="dxa"/>
            <w:tcBorders>
              <w:left w:val="nil"/>
            </w:tcBorders>
            <w:vAlign w:val="top"/>
          </w:tcPr>
          <w:p w14:paraId="242B8345">
            <w:pPr>
              <w:pStyle w:val="6"/>
              <w:spacing w:before="78" w:line="220" w:lineRule="auto"/>
              <w:ind w:left="264"/>
              <w:rPr>
                <w:sz w:val="18"/>
                <w:szCs w:val="18"/>
              </w:rPr>
            </w:pPr>
            <w:r>
              <w:rPr>
                <w:spacing w:val="-2"/>
                <w:sz w:val="18"/>
                <w:szCs w:val="18"/>
              </w:rPr>
              <w:t>准阿木斯尔</w:t>
            </w:r>
          </w:p>
        </w:tc>
        <w:tc>
          <w:tcPr>
            <w:tcW w:w="1226" w:type="dxa"/>
            <w:vAlign w:val="top"/>
          </w:tcPr>
          <w:p w14:paraId="4EA1A5A0">
            <w:pPr>
              <w:spacing w:before="105" w:line="192" w:lineRule="auto"/>
              <w:ind w:left="4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0.0|5</w:t>
            </w:r>
          </w:p>
        </w:tc>
        <w:tc>
          <w:tcPr>
            <w:tcW w:w="463" w:type="dxa"/>
            <w:vAlign w:val="top"/>
          </w:tcPr>
          <w:p w14:paraId="4E5AEF47">
            <w:pPr>
              <w:spacing w:before="109" w:line="188" w:lineRule="auto"/>
              <w:ind w:left="18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696A26C0">
            <w:pPr>
              <w:spacing w:before="109"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1DE4C569">
            <w:pPr>
              <w:spacing w:before="109"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44F1E950">
            <w:pPr>
              <w:spacing w:before="109"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02BB173C">
            <w:pPr>
              <w:spacing w:before="109"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3E73A1F9">
            <w:pPr>
              <w:spacing w:before="109"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676E6510">
            <w:pPr>
              <w:spacing w:before="109"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54EBEDBC">
            <w:pPr>
              <w:spacing w:before="109"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2" w:type="dxa"/>
            <w:vAlign w:val="top"/>
          </w:tcPr>
          <w:p w14:paraId="094275A7">
            <w:pPr>
              <w:spacing w:before="109"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6" w:type="dxa"/>
            <w:vAlign w:val="top"/>
          </w:tcPr>
          <w:p w14:paraId="5193E298">
            <w:pPr>
              <w:spacing w:before="109" w:line="188" w:lineRule="auto"/>
              <w:ind w:left="2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vAlign w:val="top"/>
          </w:tcPr>
          <w:p w14:paraId="007FBCC9">
            <w:pPr>
              <w:spacing w:before="109" w:line="188" w:lineRule="auto"/>
              <w:ind w:left="293"/>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tcBorders>
              <w:right w:val="nil"/>
            </w:tcBorders>
            <w:vAlign w:val="top"/>
          </w:tcPr>
          <w:p w14:paraId="75DEF8B8">
            <w:pPr>
              <w:spacing w:before="109" w:line="188" w:lineRule="auto"/>
              <w:ind w:left="291"/>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3BF22F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415" w:type="dxa"/>
            <w:tcBorders>
              <w:left w:val="nil"/>
            </w:tcBorders>
            <w:vAlign w:val="top"/>
          </w:tcPr>
          <w:p w14:paraId="6D73259A">
            <w:pPr>
              <w:pStyle w:val="6"/>
              <w:spacing w:before="80" w:line="219" w:lineRule="auto"/>
              <w:ind w:left="263"/>
              <w:rPr>
                <w:sz w:val="18"/>
                <w:szCs w:val="18"/>
              </w:rPr>
            </w:pPr>
            <w:r>
              <w:rPr>
                <w:spacing w:val="-2"/>
                <w:sz w:val="18"/>
                <w:szCs w:val="18"/>
              </w:rPr>
              <w:t>敖包恩浑迪</w:t>
            </w:r>
          </w:p>
        </w:tc>
        <w:tc>
          <w:tcPr>
            <w:tcW w:w="1226" w:type="dxa"/>
            <w:vAlign w:val="top"/>
          </w:tcPr>
          <w:p w14:paraId="3BC971D7">
            <w:pPr>
              <w:spacing w:before="107" w:line="192" w:lineRule="auto"/>
              <w:ind w:left="4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0.0|5</w:t>
            </w:r>
          </w:p>
        </w:tc>
        <w:tc>
          <w:tcPr>
            <w:tcW w:w="463" w:type="dxa"/>
            <w:vAlign w:val="top"/>
          </w:tcPr>
          <w:p w14:paraId="390E2F8D">
            <w:pPr>
              <w:spacing w:before="111" w:line="188" w:lineRule="auto"/>
              <w:ind w:left="18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46F51A70">
            <w:pPr>
              <w:spacing w:before="111"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52D2E8BA">
            <w:pPr>
              <w:spacing w:before="111"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7F77D8AC">
            <w:pPr>
              <w:spacing w:before="111"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3332973F">
            <w:pPr>
              <w:spacing w:before="111"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17EA1AB1">
            <w:pPr>
              <w:spacing w:before="111"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459246CD">
            <w:pPr>
              <w:spacing w:before="111"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374ACCC8">
            <w:pPr>
              <w:spacing w:before="111"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2" w:type="dxa"/>
            <w:vAlign w:val="top"/>
          </w:tcPr>
          <w:p w14:paraId="68D2C22E">
            <w:pPr>
              <w:spacing w:before="111"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6" w:type="dxa"/>
            <w:vAlign w:val="top"/>
          </w:tcPr>
          <w:p w14:paraId="2BB5A134">
            <w:pPr>
              <w:spacing w:before="111" w:line="188" w:lineRule="auto"/>
              <w:ind w:left="2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vAlign w:val="top"/>
          </w:tcPr>
          <w:p w14:paraId="04EAB753">
            <w:pPr>
              <w:spacing w:before="111" w:line="188" w:lineRule="auto"/>
              <w:ind w:left="293"/>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tcBorders>
              <w:right w:val="nil"/>
            </w:tcBorders>
            <w:vAlign w:val="top"/>
          </w:tcPr>
          <w:p w14:paraId="0F5F0F9D">
            <w:pPr>
              <w:spacing w:before="111" w:line="188" w:lineRule="auto"/>
              <w:ind w:left="291"/>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6BDCAA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415" w:type="dxa"/>
            <w:tcBorders>
              <w:left w:val="nil"/>
            </w:tcBorders>
            <w:vAlign w:val="top"/>
          </w:tcPr>
          <w:p w14:paraId="18F96E92">
            <w:pPr>
              <w:pStyle w:val="6"/>
              <w:spacing w:before="81" w:line="219" w:lineRule="auto"/>
              <w:ind w:left="443"/>
              <w:rPr>
                <w:sz w:val="18"/>
                <w:szCs w:val="18"/>
              </w:rPr>
            </w:pPr>
            <w:r>
              <w:rPr>
                <w:spacing w:val="-3"/>
                <w:sz w:val="18"/>
                <w:szCs w:val="18"/>
              </w:rPr>
              <w:t>朱日和</w:t>
            </w:r>
          </w:p>
        </w:tc>
        <w:tc>
          <w:tcPr>
            <w:tcW w:w="1226" w:type="dxa"/>
            <w:vAlign w:val="top"/>
          </w:tcPr>
          <w:p w14:paraId="182B5289">
            <w:pPr>
              <w:spacing w:before="109" w:line="192" w:lineRule="auto"/>
              <w:ind w:left="4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0.0|5</w:t>
            </w:r>
          </w:p>
        </w:tc>
        <w:tc>
          <w:tcPr>
            <w:tcW w:w="463" w:type="dxa"/>
            <w:vAlign w:val="top"/>
          </w:tcPr>
          <w:p w14:paraId="246E3F52">
            <w:pPr>
              <w:spacing w:before="112" w:line="188" w:lineRule="auto"/>
              <w:ind w:left="18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16127191">
            <w:pPr>
              <w:spacing w:before="112"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3B2B57F1">
            <w:pPr>
              <w:spacing w:before="112"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27F147D9">
            <w:pPr>
              <w:spacing w:before="112"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1948B7B3">
            <w:pPr>
              <w:spacing w:before="112"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301CAC5D">
            <w:pPr>
              <w:spacing w:before="112"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28814566">
            <w:pPr>
              <w:spacing w:before="112"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507F8922">
            <w:pPr>
              <w:spacing w:before="112"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2" w:type="dxa"/>
            <w:vAlign w:val="top"/>
          </w:tcPr>
          <w:p w14:paraId="63A5623F">
            <w:pPr>
              <w:spacing w:before="112"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6" w:type="dxa"/>
            <w:vAlign w:val="top"/>
          </w:tcPr>
          <w:p w14:paraId="0DBC7BBD">
            <w:pPr>
              <w:spacing w:before="112" w:line="188" w:lineRule="auto"/>
              <w:ind w:left="2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vAlign w:val="top"/>
          </w:tcPr>
          <w:p w14:paraId="2774A5E3">
            <w:pPr>
              <w:spacing w:before="112" w:line="188" w:lineRule="auto"/>
              <w:ind w:left="293"/>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tcBorders>
              <w:right w:val="nil"/>
            </w:tcBorders>
            <w:vAlign w:val="top"/>
          </w:tcPr>
          <w:p w14:paraId="011AB0F1">
            <w:pPr>
              <w:spacing w:before="112" w:line="188" w:lineRule="auto"/>
              <w:ind w:left="291"/>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08CD9B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415" w:type="dxa"/>
            <w:tcBorders>
              <w:left w:val="nil"/>
            </w:tcBorders>
            <w:vAlign w:val="top"/>
          </w:tcPr>
          <w:p w14:paraId="681EE4F8">
            <w:pPr>
              <w:pStyle w:val="6"/>
              <w:spacing w:before="83" w:line="220" w:lineRule="auto"/>
              <w:ind w:left="262"/>
              <w:rPr>
                <w:sz w:val="18"/>
                <w:szCs w:val="18"/>
              </w:rPr>
            </w:pPr>
            <w:r>
              <w:rPr>
                <w:spacing w:val="-2"/>
                <w:sz w:val="18"/>
                <w:szCs w:val="18"/>
              </w:rPr>
              <w:t>那日因乌苏</w:t>
            </w:r>
          </w:p>
        </w:tc>
        <w:tc>
          <w:tcPr>
            <w:tcW w:w="1226" w:type="dxa"/>
            <w:vAlign w:val="top"/>
          </w:tcPr>
          <w:p w14:paraId="0F3C8E83">
            <w:pPr>
              <w:spacing w:before="111" w:line="192" w:lineRule="auto"/>
              <w:ind w:left="4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0.0|5</w:t>
            </w:r>
          </w:p>
        </w:tc>
        <w:tc>
          <w:tcPr>
            <w:tcW w:w="463" w:type="dxa"/>
            <w:vAlign w:val="top"/>
          </w:tcPr>
          <w:p w14:paraId="1EE42C2B">
            <w:pPr>
              <w:spacing w:before="114" w:line="188" w:lineRule="auto"/>
              <w:ind w:left="18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069AD481">
            <w:pPr>
              <w:spacing w:before="114"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25406517">
            <w:pPr>
              <w:spacing w:before="114"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522F4174">
            <w:pPr>
              <w:spacing w:before="114"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3A4965AB">
            <w:pPr>
              <w:spacing w:before="114"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73F94FAF">
            <w:pPr>
              <w:spacing w:before="114"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0345F471">
            <w:pPr>
              <w:spacing w:before="114"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53CF9007">
            <w:pPr>
              <w:spacing w:before="114"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2" w:type="dxa"/>
            <w:vAlign w:val="top"/>
          </w:tcPr>
          <w:p w14:paraId="3F57B414">
            <w:pPr>
              <w:spacing w:before="114"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6" w:type="dxa"/>
            <w:vAlign w:val="top"/>
          </w:tcPr>
          <w:p w14:paraId="2550A6B9">
            <w:pPr>
              <w:spacing w:before="114" w:line="188" w:lineRule="auto"/>
              <w:ind w:left="2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vAlign w:val="top"/>
          </w:tcPr>
          <w:p w14:paraId="041B4E98">
            <w:pPr>
              <w:spacing w:before="114" w:line="188" w:lineRule="auto"/>
              <w:ind w:left="293"/>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tcBorders>
              <w:right w:val="nil"/>
            </w:tcBorders>
            <w:vAlign w:val="top"/>
          </w:tcPr>
          <w:p w14:paraId="6BC9DB76">
            <w:pPr>
              <w:spacing w:before="114" w:line="188" w:lineRule="auto"/>
              <w:ind w:left="291"/>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29926B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1415" w:type="dxa"/>
            <w:tcBorders>
              <w:left w:val="nil"/>
            </w:tcBorders>
            <w:vAlign w:val="top"/>
          </w:tcPr>
          <w:p w14:paraId="59B6F79B">
            <w:pPr>
              <w:pStyle w:val="6"/>
              <w:spacing w:before="84" w:line="279" w:lineRule="auto"/>
              <w:ind w:left="373" w:right="165" w:hanging="199"/>
              <w:rPr>
                <w:sz w:val="18"/>
                <w:szCs w:val="18"/>
              </w:rPr>
            </w:pPr>
            <w:r>
              <w:rPr>
                <w:spacing w:val="-2"/>
                <w:sz w:val="18"/>
                <w:szCs w:val="18"/>
              </w:rPr>
              <w:t>那仁宝拉格因</w:t>
            </w:r>
            <w:r>
              <w:rPr>
                <w:spacing w:val="3"/>
                <w:sz w:val="18"/>
                <w:szCs w:val="18"/>
              </w:rPr>
              <w:t xml:space="preserve"> </w:t>
            </w:r>
            <w:r>
              <w:rPr>
                <w:spacing w:val="-7"/>
                <w:sz w:val="18"/>
                <w:szCs w:val="18"/>
              </w:rPr>
              <w:t>巴润希热</w:t>
            </w:r>
          </w:p>
        </w:tc>
        <w:tc>
          <w:tcPr>
            <w:tcW w:w="1226" w:type="dxa"/>
            <w:vAlign w:val="top"/>
          </w:tcPr>
          <w:p w14:paraId="42FC6453">
            <w:pPr>
              <w:spacing w:before="271" w:line="192" w:lineRule="auto"/>
              <w:ind w:left="4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0.0|5</w:t>
            </w:r>
          </w:p>
        </w:tc>
        <w:tc>
          <w:tcPr>
            <w:tcW w:w="463" w:type="dxa"/>
            <w:vAlign w:val="top"/>
          </w:tcPr>
          <w:p w14:paraId="5E2DFC82">
            <w:pPr>
              <w:spacing w:before="274" w:line="188" w:lineRule="auto"/>
              <w:ind w:left="18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70185CA4">
            <w:pPr>
              <w:spacing w:before="274"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41C04252">
            <w:pPr>
              <w:spacing w:before="274"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2563CB5A">
            <w:pPr>
              <w:spacing w:before="274"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2DBEB972">
            <w:pPr>
              <w:spacing w:before="274"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57D83E80">
            <w:pPr>
              <w:spacing w:before="274"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4B6D3402">
            <w:pPr>
              <w:spacing w:before="274"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10372BE0">
            <w:pPr>
              <w:spacing w:before="274"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2" w:type="dxa"/>
            <w:vAlign w:val="top"/>
          </w:tcPr>
          <w:p w14:paraId="78273614">
            <w:pPr>
              <w:spacing w:before="274"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6" w:type="dxa"/>
            <w:vAlign w:val="top"/>
          </w:tcPr>
          <w:p w14:paraId="4F0C8C37">
            <w:pPr>
              <w:spacing w:before="274" w:line="188" w:lineRule="auto"/>
              <w:ind w:left="2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vAlign w:val="top"/>
          </w:tcPr>
          <w:p w14:paraId="49DE4B73">
            <w:pPr>
              <w:spacing w:before="274" w:line="188" w:lineRule="auto"/>
              <w:ind w:left="293"/>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tcBorders>
              <w:right w:val="nil"/>
            </w:tcBorders>
            <w:vAlign w:val="top"/>
          </w:tcPr>
          <w:p w14:paraId="6E03CDA8">
            <w:pPr>
              <w:spacing w:before="274" w:line="188" w:lineRule="auto"/>
              <w:ind w:left="291"/>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0A89E2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415" w:type="dxa"/>
            <w:tcBorders>
              <w:left w:val="nil"/>
            </w:tcBorders>
            <w:vAlign w:val="top"/>
          </w:tcPr>
          <w:p w14:paraId="100B5317">
            <w:pPr>
              <w:pStyle w:val="6"/>
              <w:spacing w:before="89" w:line="219" w:lineRule="auto"/>
              <w:ind w:left="174"/>
              <w:rPr>
                <w:sz w:val="18"/>
                <w:szCs w:val="18"/>
              </w:rPr>
            </w:pPr>
            <w:r>
              <w:rPr>
                <w:spacing w:val="-2"/>
                <w:sz w:val="18"/>
                <w:szCs w:val="18"/>
              </w:rPr>
              <w:t>那日因呼都嘎</w:t>
            </w:r>
          </w:p>
        </w:tc>
        <w:tc>
          <w:tcPr>
            <w:tcW w:w="1226" w:type="dxa"/>
            <w:vAlign w:val="top"/>
          </w:tcPr>
          <w:p w14:paraId="075C3D04">
            <w:pPr>
              <w:spacing w:before="117" w:line="192" w:lineRule="auto"/>
              <w:ind w:left="44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0.0|5</w:t>
            </w:r>
          </w:p>
        </w:tc>
        <w:tc>
          <w:tcPr>
            <w:tcW w:w="463" w:type="dxa"/>
            <w:vAlign w:val="top"/>
          </w:tcPr>
          <w:p w14:paraId="592AE161">
            <w:pPr>
              <w:spacing w:before="120" w:line="188" w:lineRule="auto"/>
              <w:ind w:left="18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4AD5908F">
            <w:pPr>
              <w:spacing w:before="120"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19AF1E3C">
            <w:pPr>
              <w:spacing w:before="120"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103F99C4">
            <w:pPr>
              <w:spacing w:before="120"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1BC8114A">
            <w:pPr>
              <w:spacing w:before="120"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4AE50D11">
            <w:pPr>
              <w:spacing w:before="120"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10247997">
            <w:pPr>
              <w:spacing w:before="120"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vAlign w:val="top"/>
          </w:tcPr>
          <w:p w14:paraId="5DCE63D6">
            <w:pPr>
              <w:spacing w:before="120"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2" w:type="dxa"/>
            <w:vAlign w:val="top"/>
          </w:tcPr>
          <w:p w14:paraId="49CC8A1B">
            <w:pPr>
              <w:spacing w:before="120"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6" w:type="dxa"/>
            <w:vAlign w:val="top"/>
          </w:tcPr>
          <w:p w14:paraId="10DE6C8B">
            <w:pPr>
              <w:spacing w:before="120" w:line="188" w:lineRule="auto"/>
              <w:ind w:left="2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vAlign w:val="top"/>
          </w:tcPr>
          <w:p w14:paraId="3EA7D12F">
            <w:pPr>
              <w:spacing w:before="120" w:line="188" w:lineRule="auto"/>
              <w:ind w:left="293"/>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7" w:type="dxa"/>
            <w:tcBorders>
              <w:right w:val="nil"/>
            </w:tcBorders>
            <w:vAlign w:val="top"/>
          </w:tcPr>
          <w:p w14:paraId="036C5169">
            <w:pPr>
              <w:spacing w:before="120" w:line="188" w:lineRule="auto"/>
              <w:ind w:left="291"/>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0A400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3" w:hRule="atLeast"/>
        </w:trPr>
        <w:tc>
          <w:tcPr>
            <w:tcW w:w="1415" w:type="dxa"/>
            <w:tcBorders>
              <w:left w:val="nil"/>
              <w:bottom w:val="single" w:color="000000" w:sz="10" w:space="0"/>
            </w:tcBorders>
            <w:vAlign w:val="top"/>
          </w:tcPr>
          <w:p w14:paraId="3785A32E">
            <w:pPr>
              <w:pStyle w:val="6"/>
              <w:spacing w:before="251" w:line="221" w:lineRule="auto"/>
              <w:ind w:left="451"/>
              <w:rPr>
                <w:sz w:val="18"/>
                <w:szCs w:val="18"/>
              </w:rPr>
            </w:pPr>
            <w:r>
              <w:rPr>
                <w:spacing w:val="-6"/>
                <w:sz w:val="18"/>
                <w:szCs w:val="18"/>
              </w:rPr>
              <w:t>哈夏图</w:t>
            </w:r>
          </w:p>
        </w:tc>
        <w:tc>
          <w:tcPr>
            <w:tcW w:w="1226" w:type="dxa"/>
            <w:tcBorders>
              <w:bottom w:val="single" w:color="000000" w:sz="10" w:space="0"/>
            </w:tcBorders>
            <w:vAlign w:val="top"/>
          </w:tcPr>
          <w:p w14:paraId="3319D663">
            <w:pPr>
              <w:spacing w:before="277" w:line="192" w:lineRule="auto"/>
              <w:ind w:left="16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4.897649|60</w:t>
            </w:r>
          </w:p>
        </w:tc>
        <w:tc>
          <w:tcPr>
            <w:tcW w:w="463" w:type="dxa"/>
            <w:tcBorders>
              <w:bottom w:val="single" w:color="000000" w:sz="10" w:space="0"/>
            </w:tcBorders>
            <w:vAlign w:val="top"/>
          </w:tcPr>
          <w:p w14:paraId="6607AF09">
            <w:pPr>
              <w:spacing w:before="280" w:line="188" w:lineRule="auto"/>
              <w:ind w:left="18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tcBorders>
              <w:bottom w:val="single" w:color="000000" w:sz="10" w:space="0"/>
            </w:tcBorders>
            <w:vAlign w:val="top"/>
          </w:tcPr>
          <w:p w14:paraId="367FD5D1">
            <w:pPr>
              <w:spacing w:before="280"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tcBorders>
              <w:bottom w:val="single" w:color="000000" w:sz="10" w:space="0"/>
            </w:tcBorders>
            <w:vAlign w:val="top"/>
          </w:tcPr>
          <w:p w14:paraId="3DE75CBD">
            <w:pPr>
              <w:spacing w:before="280"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tcBorders>
              <w:bottom w:val="single" w:color="000000" w:sz="10" w:space="0"/>
            </w:tcBorders>
            <w:vAlign w:val="top"/>
          </w:tcPr>
          <w:p w14:paraId="07C78F53">
            <w:pPr>
              <w:spacing w:before="280" w:line="188" w:lineRule="auto"/>
              <w:ind w:left="22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tcBorders>
              <w:bottom w:val="single" w:color="000000" w:sz="10" w:space="0"/>
            </w:tcBorders>
            <w:vAlign w:val="top"/>
          </w:tcPr>
          <w:p w14:paraId="6CE29930">
            <w:pPr>
              <w:spacing w:before="280"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tcBorders>
              <w:bottom w:val="single" w:color="000000" w:sz="10" w:space="0"/>
            </w:tcBorders>
            <w:vAlign w:val="top"/>
          </w:tcPr>
          <w:p w14:paraId="66AFFD4B">
            <w:pPr>
              <w:spacing w:before="280" w:line="188" w:lineRule="auto"/>
              <w:ind w:left="218"/>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tcBorders>
              <w:bottom w:val="single" w:color="000000" w:sz="10" w:space="0"/>
            </w:tcBorders>
            <w:vAlign w:val="top"/>
          </w:tcPr>
          <w:p w14:paraId="59A63E04">
            <w:pPr>
              <w:spacing w:before="280"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3" w:type="dxa"/>
            <w:tcBorders>
              <w:bottom w:val="single" w:color="000000" w:sz="10" w:space="0"/>
            </w:tcBorders>
            <w:vAlign w:val="top"/>
          </w:tcPr>
          <w:p w14:paraId="2FFC16AA">
            <w:pPr>
              <w:spacing w:before="280"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522" w:type="dxa"/>
            <w:tcBorders>
              <w:bottom w:val="single" w:color="000000" w:sz="10" w:space="0"/>
            </w:tcBorders>
            <w:vAlign w:val="top"/>
          </w:tcPr>
          <w:p w14:paraId="08C1FAC2">
            <w:pPr>
              <w:spacing w:before="280" w:line="188" w:lineRule="auto"/>
              <w:ind w:left="219"/>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666" w:type="dxa"/>
            <w:tcBorders>
              <w:bottom w:val="single" w:color="000000" w:sz="10" w:space="0"/>
            </w:tcBorders>
            <w:vAlign w:val="top"/>
          </w:tcPr>
          <w:p w14:paraId="7167DC16">
            <w:pPr>
              <w:spacing w:before="121" w:line="308" w:lineRule="auto"/>
              <w:ind w:left="203" w:right="126" w:hanging="6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0.000</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2"/>
                <w:sz w:val="18"/>
                <w:szCs w:val="18"/>
              </w:rPr>
              <w:t>073</w:t>
            </w:r>
          </w:p>
        </w:tc>
        <w:tc>
          <w:tcPr>
            <w:tcW w:w="667" w:type="dxa"/>
            <w:tcBorders>
              <w:bottom w:val="single" w:color="000000" w:sz="10" w:space="0"/>
            </w:tcBorders>
            <w:vAlign w:val="top"/>
          </w:tcPr>
          <w:p w14:paraId="5AB2F854">
            <w:pPr>
              <w:spacing w:before="121" w:line="308" w:lineRule="auto"/>
              <w:ind w:left="216" w:right="126" w:hanging="8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0.823</w:t>
            </w:r>
            <w:r>
              <w:rPr>
                <w:rFonts w:ascii="Times New Roman" w:hAnsi="Times New Roman" w:eastAsia="Times New Roman" w:cs="Times New Roman"/>
                <w:sz w:val="18"/>
                <w:szCs w:val="18"/>
              </w:rPr>
              <w:t xml:space="preserve"> </w:t>
            </w:r>
            <w:r>
              <w:rPr>
                <w:rFonts w:ascii="Times New Roman" w:hAnsi="Times New Roman" w:eastAsia="Times New Roman" w:cs="Times New Roman"/>
                <w:spacing w:val="-7"/>
                <w:sz w:val="18"/>
                <w:szCs w:val="18"/>
              </w:rPr>
              <w:t>104</w:t>
            </w:r>
          </w:p>
        </w:tc>
        <w:tc>
          <w:tcPr>
            <w:tcW w:w="667" w:type="dxa"/>
            <w:tcBorders>
              <w:bottom w:val="single" w:color="000000" w:sz="10" w:space="0"/>
              <w:right w:val="nil"/>
            </w:tcBorders>
            <w:vAlign w:val="top"/>
          </w:tcPr>
          <w:p w14:paraId="17AAB869">
            <w:pPr>
              <w:spacing w:before="121" w:line="308" w:lineRule="auto"/>
              <w:ind w:left="204" w:right="128" w:hanging="7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4.897</w:t>
            </w:r>
            <w:r>
              <w:rPr>
                <w:rFonts w:ascii="Times New Roman" w:hAnsi="Times New Roman" w:eastAsia="Times New Roman" w:cs="Times New Roman"/>
                <w:spacing w:val="2"/>
                <w:sz w:val="18"/>
                <w:szCs w:val="18"/>
              </w:rPr>
              <w:t xml:space="preserve"> </w:t>
            </w:r>
            <w:r>
              <w:rPr>
                <w:rFonts w:ascii="Times New Roman" w:hAnsi="Times New Roman" w:eastAsia="Times New Roman" w:cs="Times New Roman"/>
                <w:spacing w:val="-3"/>
                <w:sz w:val="18"/>
                <w:szCs w:val="18"/>
              </w:rPr>
              <w:t>649</w:t>
            </w:r>
          </w:p>
        </w:tc>
      </w:tr>
    </w:tbl>
    <w:p w14:paraId="4FDD09B7">
      <w:pPr>
        <w:spacing w:before="120" w:line="219" w:lineRule="auto"/>
        <w:ind w:left="596"/>
        <w:rPr>
          <w:rFonts w:ascii="宋体" w:hAnsi="宋体" w:eastAsia="宋体" w:cs="宋体"/>
          <w:sz w:val="24"/>
          <w:szCs w:val="24"/>
        </w:rPr>
      </w:pPr>
      <w:r>
        <w:rPr>
          <w:rFonts w:ascii="宋体" w:hAnsi="宋体" w:eastAsia="宋体" w:cs="宋体"/>
          <w:spacing w:val="-1"/>
          <w:sz w:val="24"/>
          <w:szCs w:val="24"/>
        </w:rPr>
        <w:t>格点预测期间最大浓度分布见图</w:t>
      </w:r>
      <w:r>
        <w:rPr>
          <w:rFonts w:ascii="Times New Roman" w:hAnsi="Times New Roman" w:eastAsia="Times New Roman" w:cs="Times New Roman"/>
          <w:spacing w:val="-1"/>
          <w:sz w:val="24"/>
          <w:szCs w:val="24"/>
        </w:rPr>
        <w:t>5.6-3</w:t>
      </w:r>
      <w:r>
        <w:rPr>
          <w:rFonts w:ascii="宋体" w:hAnsi="宋体" w:eastAsia="宋体" w:cs="宋体"/>
          <w:spacing w:val="-1"/>
          <w:sz w:val="24"/>
          <w:szCs w:val="24"/>
        </w:rPr>
        <w:t>。</w:t>
      </w:r>
    </w:p>
    <w:p w14:paraId="3C85A4B2">
      <w:pPr>
        <w:spacing w:before="223" w:line="6081" w:lineRule="exact"/>
        <w:ind w:firstLine="111"/>
      </w:pPr>
      <w:r>
        <w:rPr>
          <w:position w:val="-121"/>
        </w:rPr>
        <w:drawing>
          <wp:inline distT="0" distB="0" distL="0" distR="0">
            <wp:extent cx="5754370" cy="3861435"/>
            <wp:effectExtent l="0" t="0" r="0" b="0"/>
            <wp:docPr id="228" name="IM 228"/>
            <wp:cNvGraphicFramePr/>
            <a:graphic xmlns:a="http://schemas.openxmlformats.org/drawingml/2006/main">
              <a:graphicData uri="http://schemas.openxmlformats.org/drawingml/2006/picture">
                <pic:pic xmlns:pic="http://schemas.openxmlformats.org/drawingml/2006/picture">
                  <pic:nvPicPr>
                    <pic:cNvPr id="228" name="IM 228"/>
                    <pic:cNvPicPr/>
                  </pic:nvPicPr>
                  <pic:blipFill>
                    <a:blip r:embed="rId684"/>
                    <a:stretch>
                      <a:fillRect/>
                    </a:stretch>
                  </pic:blipFill>
                  <pic:spPr>
                    <a:xfrm>
                      <a:off x="0" y="0"/>
                      <a:ext cx="5754623" cy="3861815"/>
                    </a:xfrm>
                    <a:prstGeom prst="rect">
                      <a:avLst/>
                    </a:prstGeom>
                  </pic:spPr>
                </pic:pic>
              </a:graphicData>
            </a:graphic>
          </wp:inline>
        </w:drawing>
      </w:r>
    </w:p>
    <w:p w14:paraId="0993CB23">
      <w:pPr>
        <w:spacing w:before="282" w:line="227" w:lineRule="auto"/>
        <w:ind w:left="2636"/>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20"/>
          <w:sz w:val="20"/>
          <w:szCs w:val="20"/>
        </w:rPr>
        <w:t xml:space="preserve"> </w:t>
      </w:r>
      <w:r>
        <w:rPr>
          <w:rFonts w:ascii="Times New Roman" w:hAnsi="Times New Roman" w:eastAsia="Times New Roman" w:cs="Times New Roman"/>
          <w:b/>
          <w:bCs/>
          <w:spacing w:val="4"/>
          <w:sz w:val="20"/>
          <w:szCs w:val="20"/>
        </w:rPr>
        <w:t xml:space="preserve">5.6-3        </w:t>
      </w:r>
      <w:r>
        <w:rPr>
          <w:rFonts w:ascii="宋体" w:hAnsi="宋体" w:eastAsia="宋体" w:cs="宋体"/>
          <w:b/>
          <w:bCs/>
          <w:spacing w:val="4"/>
          <w:sz w:val="20"/>
          <w:szCs w:val="20"/>
        </w:rPr>
        <w:t>网格点预测期间最大浓度分布图</w:t>
      </w:r>
    </w:p>
    <w:p w14:paraId="10DEE279">
      <w:pPr>
        <w:spacing w:before="278" w:line="220" w:lineRule="auto"/>
        <w:ind w:left="116"/>
        <w:outlineLvl w:val="2"/>
        <w:rPr>
          <w:rFonts w:ascii="宋体" w:hAnsi="宋体" w:eastAsia="宋体" w:cs="宋体"/>
          <w:sz w:val="28"/>
          <w:szCs w:val="28"/>
        </w:rPr>
      </w:pPr>
      <w:bookmarkStart w:id="410" w:name="bookmark288"/>
      <w:bookmarkEnd w:id="410"/>
      <w:r>
        <w:rPr>
          <w:rFonts w:ascii="Times New Roman" w:hAnsi="Times New Roman" w:eastAsia="Times New Roman" w:cs="Times New Roman"/>
          <w:b/>
          <w:bCs/>
          <w:spacing w:val="-2"/>
          <w:sz w:val="28"/>
          <w:szCs w:val="28"/>
        </w:rPr>
        <w:t xml:space="preserve">5.6.2 </w:t>
      </w:r>
      <w:r>
        <w:rPr>
          <w:rFonts w:ascii="宋体" w:hAnsi="宋体" w:eastAsia="宋体" w:cs="宋体"/>
          <w:b/>
          <w:bCs/>
          <w:spacing w:val="-2"/>
          <w:sz w:val="28"/>
          <w:szCs w:val="28"/>
        </w:rPr>
        <w:t>地表水环境风险影响分析</w:t>
      </w:r>
    </w:p>
    <w:p w14:paraId="1AE3F028">
      <w:pPr>
        <w:spacing w:before="246" w:line="219" w:lineRule="auto"/>
        <w:ind w:left="597"/>
        <w:rPr>
          <w:rFonts w:ascii="宋体" w:hAnsi="宋体" w:eastAsia="宋体" w:cs="宋体"/>
          <w:sz w:val="24"/>
          <w:szCs w:val="24"/>
        </w:rPr>
      </w:pPr>
      <w:r>
        <w:rPr>
          <w:rFonts w:ascii="宋体" w:hAnsi="宋体" w:eastAsia="宋体" w:cs="宋体"/>
          <w:spacing w:val="-2"/>
          <w:sz w:val="24"/>
          <w:szCs w:val="24"/>
        </w:rPr>
        <w:t>本项目事故状态下产生的废水经应急事故水池收集后，经沉淀后作为厂区冲渣池补</w:t>
      </w:r>
    </w:p>
    <w:p w14:paraId="7E231248">
      <w:pPr>
        <w:spacing w:line="219" w:lineRule="auto"/>
        <w:rPr>
          <w:rFonts w:ascii="宋体" w:hAnsi="宋体" w:eastAsia="宋体" w:cs="宋体"/>
          <w:sz w:val="24"/>
          <w:szCs w:val="24"/>
        </w:rPr>
        <w:sectPr>
          <w:headerReference r:id="rId406" w:type="default"/>
          <w:footerReference r:id="rId407" w:type="default"/>
          <w:pgSz w:w="11906" w:h="16839"/>
          <w:pgMar w:top="1191" w:right="1309" w:bottom="1221" w:left="1309" w:header="882" w:footer="1058" w:gutter="0"/>
          <w:cols w:space="720" w:num="1"/>
        </w:sectPr>
      </w:pPr>
    </w:p>
    <w:p w14:paraId="22084DEE">
      <w:pPr>
        <w:spacing w:line="28" w:lineRule="exact"/>
      </w:pPr>
      <w:r>
        <w:pict>
          <v:shape id="_x0000_s1934" o:spid="_x0000_s1934" style="height:1.45pt;width:453.65pt;" fillcolor="#000000" filled="t" stroked="f" coordsize="9072,29" path="m0,0l9072,0,9072,28,0,28,0,0xe">
            <v:path/>
            <v:fill on="t" focussize="0,0"/>
            <v:stroke on="f"/>
            <v:imagedata o:title=""/>
            <o:lock v:ext="edit"/>
            <w10:wrap type="none"/>
            <w10:anchorlock/>
          </v:shape>
        </w:pict>
      </w:r>
    </w:p>
    <w:p w14:paraId="5092A846">
      <w:pPr>
        <w:spacing w:before="316" w:line="218" w:lineRule="auto"/>
        <w:ind w:left="11"/>
        <w:rPr>
          <w:rFonts w:ascii="宋体" w:hAnsi="宋体" w:eastAsia="宋体" w:cs="宋体"/>
          <w:sz w:val="24"/>
          <w:szCs w:val="24"/>
        </w:rPr>
      </w:pPr>
      <w:r>
        <w:rPr>
          <w:rFonts w:ascii="宋体" w:hAnsi="宋体" w:eastAsia="宋体" w:cs="宋体"/>
          <w:spacing w:val="-1"/>
          <w:sz w:val="24"/>
          <w:szCs w:val="24"/>
        </w:rPr>
        <w:t>水，不直接向外环境排放废水，因此不再对地表水环境进行预测与评价。</w:t>
      </w:r>
    </w:p>
    <w:p w14:paraId="5CE6D9D0">
      <w:pPr>
        <w:spacing w:before="252" w:line="219" w:lineRule="auto"/>
        <w:ind w:left="8"/>
        <w:outlineLvl w:val="2"/>
        <w:rPr>
          <w:rFonts w:ascii="宋体" w:hAnsi="宋体" w:eastAsia="宋体" w:cs="宋体"/>
          <w:sz w:val="28"/>
          <w:szCs w:val="28"/>
        </w:rPr>
      </w:pPr>
      <w:bookmarkStart w:id="411" w:name="bookmark290"/>
      <w:bookmarkEnd w:id="411"/>
      <w:r>
        <w:rPr>
          <w:rFonts w:ascii="Times New Roman" w:hAnsi="Times New Roman" w:eastAsia="Times New Roman" w:cs="Times New Roman"/>
          <w:b/>
          <w:bCs/>
          <w:spacing w:val="-2"/>
          <w:sz w:val="28"/>
          <w:szCs w:val="28"/>
        </w:rPr>
        <w:t xml:space="preserve">5.6.3 </w:t>
      </w:r>
      <w:r>
        <w:rPr>
          <w:rFonts w:ascii="宋体" w:hAnsi="宋体" w:eastAsia="宋体" w:cs="宋体"/>
          <w:b/>
          <w:bCs/>
          <w:spacing w:val="-2"/>
          <w:sz w:val="28"/>
          <w:szCs w:val="28"/>
        </w:rPr>
        <w:t>地下水环境风险影响预测与评价</w:t>
      </w:r>
    </w:p>
    <w:p w14:paraId="7F785664">
      <w:pPr>
        <w:spacing w:before="248"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）地下水环境风险预测模型概化</w:t>
      </w:r>
    </w:p>
    <w:p w14:paraId="7E04C393">
      <w:pPr>
        <w:spacing w:before="192" w:line="355" w:lineRule="auto"/>
        <w:ind w:left="8" w:right="1" w:firstLine="482"/>
        <w:rPr>
          <w:rFonts w:ascii="宋体" w:hAnsi="宋体" w:eastAsia="宋体" w:cs="宋体"/>
          <w:sz w:val="24"/>
          <w:szCs w:val="24"/>
        </w:rPr>
      </w:pPr>
      <w:r>
        <w:rPr>
          <w:rFonts w:ascii="宋体" w:hAnsi="宋体" w:eastAsia="宋体" w:cs="宋体"/>
          <w:spacing w:val="-2"/>
          <w:sz w:val="24"/>
          <w:szCs w:val="24"/>
        </w:rPr>
        <w:t>水中污染物进入含水层运移可概化为两个相互衔接的过程：①由地表垂直向下穿透</w:t>
      </w:r>
      <w:r>
        <w:rPr>
          <w:rFonts w:ascii="宋体" w:hAnsi="宋体" w:eastAsia="宋体" w:cs="宋体"/>
          <w:spacing w:val="10"/>
          <w:sz w:val="24"/>
          <w:szCs w:val="24"/>
        </w:rPr>
        <w:t xml:space="preserve"> </w:t>
      </w:r>
      <w:r>
        <w:rPr>
          <w:rFonts w:ascii="宋体" w:hAnsi="宋体" w:eastAsia="宋体" w:cs="宋体"/>
          <w:sz w:val="24"/>
          <w:szCs w:val="24"/>
        </w:rPr>
        <w:t>包气带进入含水层的过程；②污染物进入含水</w:t>
      </w:r>
      <w:r>
        <w:rPr>
          <w:rFonts w:ascii="宋体" w:hAnsi="宋体" w:eastAsia="宋体" w:cs="宋体"/>
          <w:spacing w:val="-1"/>
          <w:sz w:val="24"/>
          <w:szCs w:val="24"/>
        </w:rPr>
        <w:t>层后，随地下流行迁移。</w:t>
      </w:r>
    </w:p>
    <w:p w14:paraId="4B5977DA">
      <w:pPr>
        <w:spacing w:before="32" w:line="364" w:lineRule="auto"/>
        <w:ind w:left="7" w:right="1" w:firstLine="480"/>
        <w:rPr>
          <w:rFonts w:ascii="宋体" w:hAnsi="宋体" w:eastAsia="宋体" w:cs="宋体"/>
          <w:sz w:val="24"/>
          <w:szCs w:val="24"/>
        </w:rPr>
      </w:pPr>
      <w:r>
        <w:rPr>
          <w:rFonts w:ascii="宋体" w:hAnsi="宋体" w:eastAsia="宋体" w:cs="宋体"/>
          <w:spacing w:val="-2"/>
          <w:sz w:val="24"/>
          <w:szCs w:val="24"/>
        </w:rPr>
        <w:t>在发生污染事故时，为了考虑最不利的情况和使预测模型简化，在本次预测中忽略</w:t>
      </w:r>
      <w:r>
        <w:rPr>
          <w:rFonts w:ascii="宋体" w:hAnsi="宋体" w:eastAsia="宋体" w:cs="宋体"/>
          <w:spacing w:val="14"/>
          <w:sz w:val="24"/>
          <w:szCs w:val="24"/>
        </w:rPr>
        <w:t xml:space="preserve"> </w:t>
      </w:r>
      <w:r>
        <w:rPr>
          <w:rFonts w:ascii="宋体" w:hAnsi="宋体" w:eastAsia="宋体" w:cs="宋体"/>
          <w:spacing w:val="-2"/>
          <w:sz w:val="24"/>
          <w:szCs w:val="24"/>
        </w:rPr>
        <w:t>了包气带的防污作用，概化为污染物直接进入含水层，然后污染物在含水层中随着水流</w:t>
      </w:r>
      <w:r>
        <w:rPr>
          <w:rFonts w:ascii="宋体" w:hAnsi="宋体" w:eastAsia="宋体" w:cs="宋体"/>
          <w:spacing w:val="18"/>
          <w:sz w:val="24"/>
          <w:szCs w:val="24"/>
        </w:rPr>
        <w:t xml:space="preserve"> </w:t>
      </w:r>
      <w:r>
        <w:rPr>
          <w:rFonts w:ascii="宋体" w:hAnsi="宋体" w:eastAsia="宋体" w:cs="宋体"/>
          <w:spacing w:val="-2"/>
          <w:sz w:val="24"/>
          <w:szCs w:val="24"/>
        </w:rPr>
        <w:t>迁移和扩散。污染物在含水层中向东部下游迁移规律具有二维水动力扩散的特征，根据</w:t>
      </w:r>
      <w:r>
        <w:rPr>
          <w:rFonts w:ascii="宋体" w:hAnsi="宋体" w:eastAsia="宋体" w:cs="宋体"/>
          <w:spacing w:val="18"/>
          <w:sz w:val="24"/>
          <w:szCs w:val="24"/>
        </w:rPr>
        <w:t xml:space="preserve"> </w:t>
      </w:r>
      <w:r>
        <w:rPr>
          <w:rFonts w:ascii="宋体" w:hAnsi="宋体" w:eastAsia="宋体" w:cs="宋体"/>
          <w:spacing w:val="2"/>
          <w:sz w:val="24"/>
          <w:szCs w:val="24"/>
        </w:rPr>
        <w:t>《环境影响评价技术导则 地下水环境》（</w:t>
      </w:r>
      <w:r>
        <w:rPr>
          <w:rFonts w:ascii="Times New Roman" w:hAnsi="Times New Roman" w:eastAsia="Times New Roman" w:cs="Times New Roman"/>
          <w:sz w:val="24"/>
          <w:szCs w:val="24"/>
        </w:rPr>
        <w:t>HJ</w:t>
      </w:r>
      <w:r>
        <w:rPr>
          <w:rFonts w:ascii="Times New Roman" w:hAnsi="Times New Roman" w:eastAsia="Times New Roman" w:cs="Times New Roman"/>
          <w:spacing w:val="2"/>
          <w:sz w:val="24"/>
          <w:szCs w:val="24"/>
        </w:rPr>
        <w:t>610-2016</w:t>
      </w:r>
      <w:r>
        <w:rPr>
          <w:rFonts w:ascii="宋体" w:hAnsi="宋体" w:eastAsia="宋体" w:cs="宋体"/>
          <w:spacing w:val="2"/>
          <w:sz w:val="24"/>
          <w:szCs w:val="24"/>
        </w:rPr>
        <w:t>）中关于预测方</w:t>
      </w:r>
      <w:r>
        <w:rPr>
          <w:rFonts w:ascii="宋体" w:hAnsi="宋体" w:eastAsia="宋体" w:cs="宋体"/>
          <w:spacing w:val="1"/>
          <w:sz w:val="24"/>
          <w:szCs w:val="24"/>
        </w:rPr>
        <w:t>法和预测模型选</w:t>
      </w:r>
      <w:r>
        <w:rPr>
          <w:rFonts w:ascii="宋体" w:hAnsi="宋体" w:eastAsia="宋体" w:cs="宋体"/>
          <w:sz w:val="24"/>
          <w:szCs w:val="24"/>
        </w:rPr>
        <w:t xml:space="preserve"> </w:t>
      </w:r>
      <w:r>
        <w:rPr>
          <w:rFonts w:ascii="宋体" w:hAnsi="宋体" w:eastAsia="宋体" w:cs="宋体"/>
          <w:spacing w:val="-2"/>
          <w:sz w:val="24"/>
          <w:szCs w:val="24"/>
        </w:rPr>
        <w:t>择的要求，本次将污染物在地下水中扩散问题概化为一维稳定流动、二维水动力弥散问</w:t>
      </w:r>
      <w:r>
        <w:rPr>
          <w:rFonts w:ascii="宋体" w:hAnsi="宋体" w:eastAsia="宋体" w:cs="宋体"/>
          <w:spacing w:val="18"/>
          <w:sz w:val="24"/>
          <w:szCs w:val="24"/>
        </w:rPr>
        <w:t xml:space="preserve"> </w:t>
      </w:r>
      <w:r>
        <w:rPr>
          <w:rFonts w:ascii="宋体" w:hAnsi="宋体" w:eastAsia="宋体" w:cs="宋体"/>
          <w:spacing w:val="-1"/>
          <w:sz w:val="24"/>
          <w:szCs w:val="24"/>
        </w:rPr>
        <w:t>题，采用解析法进行预测。</w:t>
      </w:r>
    </w:p>
    <w:p w14:paraId="3F35715F">
      <w:pPr>
        <w:spacing w:before="33" w:line="363" w:lineRule="auto"/>
        <w:ind w:left="10" w:firstLine="480"/>
        <w:jc w:val="both"/>
        <w:rPr>
          <w:rFonts w:ascii="宋体" w:hAnsi="宋体" w:eastAsia="宋体" w:cs="宋体"/>
          <w:sz w:val="24"/>
          <w:szCs w:val="24"/>
        </w:rPr>
      </w:pPr>
      <w:r>
        <w:rPr>
          <w:rFonts w:ascii="宋体" w:hAnsi="宋体" w:eastAsia="宋体" w:cs="宋体"/>
          <w:spacing w:val="-2"/>
          <w:sz w:val="24"/>
          <w:szCs w:val="24"/>
        </w:rPr>
        <w:t>污染物在地下水系统中的迁移转化过程十分复杂，本次地下水污染预测过程未考虑</w:t>
      </w:r>
      <w:r>
        <w:rPr>
          <w:rFonts w:ascii="宋体" w:hAnsi="宋体" w:eastAsia="宋体" w:cs="宋体"/>
          <w:spacing w:val="11"/>
          <w:sz w:val="24"/>
          <w:szCs w:val="24"/>
        </w:rPr>
        <w:t xml:space="preserve"> </w:t>
      </w:r>
      <w:r>
        <w:rPr>
          <w:rFonts w:ascii="宋体" w:hAnsi="宋体" w:eastAsia="宋体" w:cs="宋体"/>
          <w:spacing w:val="-2"/>
          <w:sz w:val="24"/>
          <w:szCs w:val="24"/>
        </w:rPr>
        <w:t>污染物在含水层中的吸附、挥发、生物化学反应，模型中各项参数予以保守性考虑。由</w:t>
      </w:r>
      <w:r>
        <w:rPr>
          <w:rFonts w:ascii="宋体" w:hAnsi="宋体" w:eastAsia="宋体" w:cs="宋体"/>
          <w:spacing w:val="15"/>
          <w:sz w:val="24"/>
          <w:szCs w:val="24"/>
        </w:rPr>
        <w:t xml:space="preserve"> </w:t>
      </w:r>
      <w:r>
        <w:rPr>
          <w:rFonts w:ascii="宋体" w:hAnsi="宋体" w:eastAsia="宋体" w:cs="宋体"/>
          <w:spacing w:val="-2"/>
          <w:sz w:val="24"/>
          <w:szCs w:val="24"/>
        </w:rPr>
        <w:t>于污染物预测主要针对事故工况下污染物运移情况，因此模型预测时将不考虑包气带对</w:t>
      </w:r>
      <w:r>
        <w:rPr>
          <w:rFonts w:ascii="宋体" w:hAnsi="宋体" w:eastAsia="宋体" w:cs="宋体"/>
          <w:spacing w:val="15"/>
          <w:sz w:val="24"/>
          <w:szCs w:val="24"/>
        </w:rPr>
        <w:t xml:space="preserve"> </w:t>
      </w:r>
      <w:r>
        <w:rPr>
          <w:rFonts w:ascii="宋体" w:hAnsi="宋体" w:eastAsia="宋体" w:cs="宋体"/>
          <w:spacing w:val="-2"/>
          <w:sz w:val="24"/>
          <w:szCs w:val="24"/>
        </w:rPr>
        <w:t>污染物的截留作用，假设污染物可以直接通过包气带进入地下水体，最大限度地考虑污</w:t>
      </w:r>
      <w:r>
        <w:rPr>
          <w:rFonts w:ascii="宋体" w:hAnsi="宋体" w:eastAsia="宋体" w:cs="宋体"/>
          <w:spacing w:val="15"/>
          <w:sz w:val="24"/>
          <w:szCs w:val="24"/>
        </w:rPr>
        <w:t xml:space="preserve"> </w:t>
      </w:r>
      <w:r>
        <w:rPr>
          <w:rFonts w:ascii="宋体" w:hAnsi="宋体" w:eastAsia="宋体" w:cs="宋体"/>
          <w:spacing w:val="-1"/>
          <w:sz w:val="24"/>
          <w:szCs w:val="24"/>
        </w:rPr>
        <w:t>染物对研究区水体的影响。</w:t>
      </w:r>
    </w:p>
    <w:p w14:paraId="4612A779">
      <w:pPr>
        <w:spacing w:before="34" w:line="218" w:lineRule="auto"/>
        <w:ind w:left="489"/>
        <w:rPr>
          <w:rFonts w:ascii="宋体" w:hAnsi="宋体" w:eastAsia="宋体" w:cs="宋体"/>
          <w:sz w:val="24"/>
          <w:szCs w:val="24"/>
        </w:rPr>
      </w:pPr>
      <w:r>
        <w:rPr>
          <w:rFonts w:ascii="宋体" w:hAnsi="宋体" w:eastAsia="宋体" w:cs="宋体"/>
          <w:spacing w:val="-1"/>
          <w:sz w:val="24"/>
          <w:szCs w:val="24"/>
        </w:rPr>
        <w:t>本项目预测评价这样考虑和假设的原因如下：</w:t>
      </w:r>
    </w:p>
    <w:p w14:paraId="0864C8F4">
      <w:pPr>
        <w:spacing w:before="198" w:line="293" w:lineRule="auto"/>
        <w:ind w:left="7" w:firstLine="480"/>
        <w:rPr>
          <w:rFonts w:ascii="宋体" w:hAnsi="宋体" w:eastAsia="宋体" w:cs="宋体"/>
          <w:sz w:val="24"/>
          <w:szCs w:val="24"/>
        </w:rPr>
      </w:pPr>
      <w:r>
        <w:rPr>
          <w:rFonts w:ascii="宋体" w:hAnsi="宋体" w:eastAsia="宋体" w:cs="宋体"/>
          <w:spacing w:val="-2"/>
          <w:sz w:val="24"/>
          <w:szCs w:val="24"/>
        </w:rPr>
        <w:t>①假设污染质在运移中不与含水层介质发生反应，即只考虑运移过程中的对流、弥</w:t>
      </w:r>
      <w:r>
        <w:rPr>
          <w:rFonts w:ascii="宋体" w:hAnsi="宋体" w:eastAsia="宋体" w:cs="宋体"/>
          <w:spacing w:val="14"/>
          <w:sz w:val="24"/>
          <w:szCs w:val="24"/>
        </w:rPr>
        <w:t xml:space="preserve"> </w:t>
      </w:r>
      <w:r>
        <w:rPr>
          <w:rFonts w:ascii="宋体" w:hAnsi="宋体" w:eastAsia="宋体" w:cs="宋体"/>
          <w:spacing w:val="-3"/>
          <w:sz w:val="24"/>
          <w:szCs w:val="24"/>
        </w:rPr>
        <w:t>散作用。</w:t>
      </w:r>
    </w:p>
    <w:p w14:paraId="3E8B079B">
      <w:pPr>
        <w:spacing w:before="191" w:line="319" w:lineRule="auto"/>
        <w:ind w:left="7" w:right="1" w:firstLine="479"/>
        <w:rPr>
          <w:rFonts w:ascii="宋体" w:hAnsi="宋体" w:eastAsia="宋体" w:cs="宋体"/>
          <w:sz w:val="24"/>
          <w:szCs w:val="24"/>
        </w:rPr>
      </w:pPr>
      <w:r>
        <w:rPr>
          <w:rFonts w:ascii="宋体" w:hAnsi="宋体" w:eastAsia="宋体" w:cs="宋体"/>
          <w:spacing w:val="-2"/>
          <w:sz w:val="24"/>
          <w:szCs w:val="24"/>
        </w:rPr>
        <w:t>②有机污染物在地下水中的运移非常复杂，影响因素除对流、弥散作用以外，还存</w:t>
      </w:r>
      <w:r>
        <w:rPr>
          <w:rFonts w:ascii="宋体" w:hAnsi="宋体" w:eastAsia="宋体" w:cs="宋体"/>
          <w:spacing w:val="15"/>
          <w:sz w:val="24"/>
          <w:szCs w:val="24"/>
        </w:rPr>
        <w:t xml:space="preserve"> </w:t>
      </w:r>
      <w:r>
        <w:rPr>
          <w:rFonts w:ascii="宋体" w:hAnsi="宋体" w:eastAsia="宋体" w:cs="宋体"/>
          <w:spacing w:val="-2"/>
          <w:sz w:val="24"/>
          <w:szCs w:val="24"/>
        </w:rPr>
        <w:t>在物理、化学、微生物等作用，这些作用常常会使污染浓度衰减。目前国际上对这些作</w:t>
      </w:r>
      <w:r>
        <w:rPr>
          <w:rFonts w:ascii="宋体" w:hAnsi="宋体" w:eastAsia="宋体" w:cs="宋体"/>
          <w:spacing w:val="18"/>
          <w:sz w:val="24"/>
          <w:szCs w:val="24"/>
        </w:rPr>
        <w:t xml:space="preserve"> </w:t>
      </w:r>
      <w:r>
        <w:rPr>
          <w:rFonts w:ascii="宋体" w:hAnsi="宋体" w:eastAsia="宋体" w:cs="宋体"/>
          <w:spacing w:val="-1"/>
          <w:sz w:val="24"/>
          <w:szCs w:val="24"/>
        </w:rPr>
        <w:t>用参数的准确获取还存在着困难。</w:t>
      </w:r>
    </w:p>
    <w:p w14:paraId="0D98061B">
      <w:pPr>
        <w:spacing w:before="193" w:line="359" w:lineRule="auto"/>
        <w:ind w:left="9" w:right="1" w:firstLine="480"/>
        <w:jc w:val="both"/>
        <w:rPr>
          <w:rFonts w:ascii="宋体" w:hAnsi="宋体" w:eastAsia="宋体" w:cs="宋体"/>
          <w:sz w:val="24"/>
          <w:szCs w:val="24"/>
        </w:rPr>
      </w:pPr>
      <w:r>
        <w:rPr>
          <w:rFonts w:ascii="宋体" w:hAnsi="宋体" w:eastAsia="宋体" w:cs="宋体"/>
          <w:spacing w:val="-2"/>
          <w:sz w:val="24"/>
          <w:szCs w:val="24"/>
        </w:rPr>
        <w:t>本项目地下水环境风险预测设定厂区内煤气冷凝废水隔油池底部防渗层破裂，发生</w:t>
      </w:r>
      <w:r>
        <w:rPr>
          <w:rFonts w:ascii="宋体" w:hAnsi="宋体" w:eastAsia="宋体" w:cs="宋体"/>
          <w:spacing w:val="12"/>
          <w:sz w:val="24"/>
          <w:szCs w:val="24"/>
        </w:rPr>
        <w:t xml:space="preserve"> </w:t>
      </w:r>
      <w:r>
        <w:rPr>
          <w:rFonts w:ascii="宋体" w:hAnsi="宋体" w:eastAsia="宋体" w:cs="宋体"/>
          <w:spacing w:val="4"/>
          <w:sz w:val="24"/>
          <w:szCs w:val="24"/>
        </w:rPr>
        <w:t>煤气冷凝废水泄漏，采用《环境影响评价技术导则 地下水环境》（</w:t>
      </w:r>
      <w:r>
        <w:rPr>
          <w:rFonts w:ascii="Times New Roman" w:hAnsi="Times New Roman" w:eastAsia="Times New Roman" w:cs="Times New Roman"/>
          <w:sz w:val="24"/>
          <w:szCs w:val="24"/>
        </w:rPr>
        <w:t>HJ</w:t>
      </w:r>
      <w:r>
        <w:rPr>
          <w:rFonts w:ascii="Times New Roman" w:hAnsi="Times New Roman" w:eastAsia="Times New Roman" w:cs="Times New Roman"/>
          <w:spacing w:val="4"/>
          <w:sz w:val="24"/>
          <w:szCs w:val="24"/>
        </w:rPr>
        <w:t>610</w:t>
      </w:r>
      <w:r>
        <w:rPr>
          <w:rFonts w:ascii="Times New Roman" w:hAnsi="Times New Roman" w:eastAsia="Times New Roman" w:cs="Times New Roman"/>
          <w:spacing w:val="3"/>
          <w:sz w:val="24"/>
          <w:szCs w:val="24"/>
        </w:rPr>
        <w:t>2016</w:t>
      </w:r>
      <w:r>
        <w:rPr>
          <w:rFonts w:ascii="宋体" w:hAnsi="宋体" w:eastAsia="宋体" w:cs="宋体"/>
          <w:spacing w:val="3"/>
          <w:sz w:val="24"/>
          <w:szCs w:val="24"/>
        </w:rPr>
        <w:t>）推荐</w:t>
      </w:r>
      <w:r>
        <w:rPr>
          <w:rFonts w:ascii="宋体" w:hAnsi="宋体" w:eastAsia="宋体" w:cs="宋体"/>
          <w:sz w:val="24"/>
          <w:szCs w:val="24"/>
        </w:rPr>
        <w:t xml:space="preserve"> </w:t>
      </w:r>
      <w:r>
        <w:rPr>
          <w:rFonts w:ascii="宋体" w:hAnsi="宋体" w:eastAsia="宋体" w:cs="宋体"/>
          <w:spacing w:val="-1"/>
          <w:sz w:val="24"/>
          <w:szCs w:val="24"/>
        </w:rPr>
        <w:t>的连续注入示踪剂</w:t>
      </w:r>
      <w:r>
        <w:rPr>
          <w:rFonts w:ascii="Times New Roman" w:hAnsi="Times New Roman" w:eastAsia="Times New Roman" w:cs="Times New Roman"/>
          <w:spacing w:val="-1"/>
          <w:sz w:val="24"/>
          <w:szCs w:val="24"/>
        </w:rPr>
        <w:t>-</w:t>
      </w:r>
      <w:r>
        <w:rPr>
          <w:rFonts w:ascii="宋体" w:hAnsi="宋体" w:eastAsia="宋体" w:cs="宋体"/>
          <w:spacing w:val="-1"/>
          <w:sz w:val="24"/>
          <w:szCs w:val="24"/>
        </w:rPr>
        <w:t>平面连续点源解析模型进行预测。</w:t>
      </w:r>
    </w:p>
    <w:p w14:paraId="52A85A49">
      <w:pPr>
        <w:spacing w:before="36" w:line="219" w:lineRule="auto"/>
        <w:ind w:left="489"/>
        <w:rPr>
          <w:rFonts w:ascii="宋体" w:hAnsi="宋体" w:eastAsia="宋体" w:cs="宋体"/>
          <w:sz w:val="24"/>
          <w:szCs w:val="24"/>
        </w:rPr>
      </w:pPr>
      <w:r>
        <w:rPr>
          <w:rFonts w:ascii="宋体" w:hAnsi="宋体" w:eastAsia="宋体" w:cs="宋体"/>
          <w:spacing w:val="-1"/>
          <w:sz w:val="24"/>
          <w:szCs w:val="24"/>
        </w:rPr>
        <w:t>连续注入示踪剂</w:t>
      </w:r>
      <w:r>
        <w:rPr>
          <w:rFonts w:ascii="Times New Roman" w:hAnsi="Times New Roman" w:eastAsia="Times New Roman" w:cs="Times New Roman"/>
          <w:spacing w:val="-1"/>
          <w:sz w:val="24"/>
          <w:szCs w:val="24"/>
        </w:rPr>
        <w:t>-</w:t>
      </w:r>
      <w:r>
        <w:rPr>
          <w:rFonts w:ascii="宋体" w:hAnsi="宋体" w:eastAsia="宋体" w:cs="宋体"/>
          <w:spacing w:val="-1"/>
          <w:sz w:val="24"/>
          <w:szCs w:val="24"/>
        </w:rPr>
        <w:t>平面连续点源解析模型如下所示：</w:t>
      </w:r>
    </w:p>
    <w:p w14:paraId="12274729">
      <w:pPr>
        <w:spacing w:line="219" w:lineRule="auto"/>
        <w:rPr>
          <w:rFonts w:ascii="宋体" w:hAnsi="宋体" w:eastAsia="宋体" w:cs="宋体"/>
          <w:sz w:val="24"/>
          <w:szCs w:val="24"/>
        </w:rPr>
        <w:sectPr>
          <w:headerReference r:id="rId408" w:type="default"/>
          <w:footerReference r:id="rId409" w:type="default"/>
          <w:pgSz w:w="11906" w:h="16839"/>
          <w:pgMar w:top="1191" w:right="1416" w:bottom="1221" w:left="1417" w:header="882" w:footer="1059" w:gutter="0"/>
          <w:cols w:space="720" w:num="1"/>
        </w:sectPr>
      </w:pPr>
    </w:p>
    <w:p w14:paraId="158F51BB">
      <w:pPr>
        <w:spacing w:line="28" w:lineRule="exact"/>
      </w:pPr>
      <w:r>
        <w:pict>
          <v:shape id="_x0000_s1936" o:spid="_x0000_s1936" style="height:1.45pt;width:453.65pt;" fillcolor="#000000" filled="t" stroked="f" coordsize="9072,29" path="m0,0l9072,0,9072,28,0,28,0,0xe">
            <v:path/>
            <v:fill on="t" focussize="0,0"/>
            <v:stroke on="f"/>
            <v:imagedata o:title=""/>
            <o:lock v:ext="edit"/>
            <w10:wrap type="none"/>
            <w10:anchorlock/>
          </v:shape>
        </w:pict>
      </w:r>
    </w:p>
    <w:p w14:paraId="1DE25BC8">
      <w:pPr>
        <w:spacing w:before="195" w:line="1677" w:lineRule="exact"/>
        <w:ind w:firstLine="1880"/>
      </w:pPr>
      <w:r>
        <w:rPr>
          <w:position w:val="-33"/>
        </w:rPr>
        <w:drawing>
          <wp:inline distT="0" distB="0" distL="0" distR="0">
            <wp:extent cx="3372485" cy="1064895"/>
            <wp:effectExtent l="0" t="0" r="0" b="0"/>
            <wp:docPr id="230" name="IM 230"/>
            <wp:cNvGraphicFramePr/>
            <a:graphic xmlns:a="http://schemas.openxmlformats.org/drawingml/2006/main">
              <a:graphicData uri="http://schemas.openxmlformats.org/drawingml/2006/picture">
                <pic:pic xmlns:pic="http://schemas.openxmlformats.org/drawingml/2006/picture">
                  <pic:nvPicPr>
                    <pic:cNvPr id="230" name="IM 230"/>
                    <pic:cNvPicPr/>
                  </pic:nvPicPr>
                  <pic:blipFill>
                    <a:blip r:embed="rId685"/>
                    <a:stretch>
                      <a:fillRect/>
                    </a:stretch>
                  </pic:blipFill>
                  <pic:spPr>
                    <a:xfrm>
                      <a:off x="0" y="0"/>
                      <a:ext cx="3372611" cy="1065276"/>
                    </a:xfrm>
                    <a:prstGeom prst="rect">
                      <a:avLst/>
                    </a:prstGeom>
                  </pic:spPr>
                </pic:pic>
              </a:graphicData>
            </a:graphic>
          </wp:inline>
        </w:drawing>
      </w:r>
    </w:p>
    <w:p w14:paraId="1CEA50B1">
      <w:pPr>
        <w:spacing w:before="258" w:line="345" w:lineRule="auto"/>
        <w:ind w:left="1201" w:right="4814" w:hanging="708"/>
        <w:rPr>
          <w:rFonts w:ascii="宋体" w:hAnsi="宋体" w:eastAsia="宋体" w:cs="宋体"/>
          <w:sz w:val="24"/>
          <w:szCs w:val="24"/>
        </w:rPr>
      </w:pPr>
      <w:r>
        <w:rPr>
          <w:rFonts w:ascii="宋体" w:hAnsi="宋体" w:eastAsia="宋体" w:cs="宋体"/>
          <w:spacing w:val="-7"/>
          <w:sz w:val="24"/>
          <w:szCs w:val="24"/>
        </w:rPr>
        <w:t>式中：</w:t>
      </w:r>
      <w:r>
        <w:rPr>
          <w:rFonts w:ascii="Times New Roman" w:hAnsi="Times New Roman" w:eastAsia="Times New Roman" w:cs="Times New Roman"/>
          <w:spacing w:val="-7"/>
          <w:sz w:val="24"/>
          <w:szCs w:val="24"/>
        </w:rPr>
        <w:t>x</w:t>
      </w:r>
      <w:r>
        <w:rPr>
          <w:rFonts w:ascii="Times New Roman" w:hAnsi="Times New Roman" w:eastAsia="Times New Roman" w:cs="Times New Roman"/>
          <w:spacing w:val="-18"/>
          <w:sz w:val="24"/>
          <w:szCs w:val="24"/>
        </w:rPr>
        <w:t xml:space="preserve"> </w:t>
      </w:r>
      <w:r>
        <w:rPr>
          <w:rFonts w:ascii="宋体" w:hAnsi="宋体" w:eastAsia="宋体" w:cs="宋体"/>
          <w:spacing w:val="-7"/>
          <w:sz w:val="24"/>
          <w:szCs w:val="24"/>
        </w:rPr>
        <w:t>，</w:t>
      </w:r>
      <w:r>
        <w:rPr>
          <w:rFonts w:ascii="Times New Roman" w:hAnsi="Times New Roman" w:eastAsia="Times New Roman" w:cs="Times New Roman"/>
          <w:spacing w:val="-7"/>
          <w:sz w:val="24"/>
          <w:szCs w:val="24"/>
        </w:rPr>
        <w:t>y—</w:t>
      </w:r>
      <w:r>
        <w:rPr>
          <w:rFonts w:ascii="宋体" w:hAnsi="宋体" w:eastAsia="宋体" w:cs="宋体"/>
          <w:spacing w:val="-7"/>
          <w:sz w:val="24"/>
          <w:szCs w:val="24"/>
        </w:rPr>
        <w:t>计算点处的位置坐标；</w:t>
      </w:r>
      <w:r>
        <w:rPr>
          <w:rFonts w:ascii="宋体" w:hAnsi="宋体" w:eastAsia="宋体" w:cs="宋体"/>
          <w:sz w:val="24"/>
          <w:szCs w:val="24"/>
        </w:rPr>
        <w:t xml:space="preserve"> </w:t>
      </w:r>
      <w:r>
        <w:rPr>
          <w:rFonts w:ascii="Times New Roman" w:hAnsi="Times New Roman" w:eastAsia="Times New Roman" w:cs="Times New Roman"/>
          <w:spacing w:val="-1"/>
          <w:sz w:val="24"/>
          <w:szCs w:val="24"/>
        </w:rPr>
        <w:t>t—</w:t>
      </w:r>
      <w:r>
        <w:rPr>
          <w:rFonts w:ascii="宋体" w:hAnsi="宋体" w:eastAsia="宋体" w:cs="宋体"/>
          <w:spacing w:val="-1"/>
          <w:sz w:val="24"/>
          <w:szCs w:val="24"/>
        </w:rPr>
        <w:t>时间，</w:t>
      </w:r>
      <w:r>
        <w:rPr>
          <w:rFonts w:ascii="Times New Roman" w:hAnsi="Times New Roman" w:eastAsia="Times New Roman" w:cs="Times New Roman"/>
          <w:spacing w:val="-1"/>
          <w:sz w:val="24"/>
          <w:szCs w:val="24"/>
        </w:rPr>
        <w:t>d</w:t>
      </w:r>
      <w:r>
        <w:rPr>
          <w:rFonts w:ascii="宋体" w:hAnsi="宋体" w:eastAsia="宋体" w:cs="宋体"/>
          <w:spacing w:val="-1"/>
          <w:sz w:val="24"/>
          <w:szCs w:val="24"/>
        </w:rPr>
        <w:t>；</w:t>
      </w:r>
    </w:p>
    <w:p w14:paraId="4129DCCB">
      <w:pPr>
        <w:spacing w:before="59" w:line="344" w:lineRule="auto"/>
        <w:ind w:left="1203" w:right="2807" w:firstLine="4"/>
        <w:rPr>
          <w:rFonts w:ascii="宋体" w:hAnsi="宋体" w:eastAsia="宋体" w:cs="宋体"/>
          <w:sz w:val="24"/>
          <w:szCs w:val="24"/>
        </w:rPr>
      </w:pPr>
      <w:r>
        <w:rPr>
          <w:rFonts w:ascii="Times New Roman" w:hAnsi="Times New Roman" w:eastAsia="Times New Roman" w:cs="Times New Roman"/>
          <w:spacing w:val="-8"/>
          <w:sz w:val="24"/>
          <w:szCs w:val="24"/>
        </w:rPr>
        <w:t>C</w:t>
      </w:r>
      <w:r>
        <w:rPr>
          <w:rFonts w:ascii="宋体" w:hAnsi="宋体" w:eastAsia="宋体" w:cs="宋体"/>
          <w:spacing w:val="-8"/>
          <w:sz w:val="24"/>
          <w:szCs w:val="24"/>
        </w:rPr>
        <w:t>（</w:t>
      </w:r>
      <w:r>
        <w:rPr>
          <w:rFonts w:ascii="Times New Roman" w:hAnsi="Times New Roman" w:eastAsia="Times New Roman" w:cs="Times New Roman"/>
          <w:spacing w:val="-8"/>
          <w:sz w:val="24"/>
          <w:szCs w:val="24"/>
        </w:rPr>
        <w:t>x</w:t>
      </w:r>
      <w:r>
        <w:rPr>
          <w:rFonts w:ascii="Times New Roman" w:hAnsi="Times New Roman" w:eastAsia="Times New Roman" w:cs="Times New Roman"/>
          <w:spacing w:val="-17"/>
          <w:sz w:val="24"/>
          <w:szCs w:val="24"/>
        </w:rPr>
        <w:t xml:space="preserve"> </w:t>
      </w:r>
      <w:r>
        <w:rPr>
          <w:rFonts w:ascii="宋体" w:hAnsi="宋体" w:eastAsia="宋体" w:cs="宋体"/>
          <w:spacing w:val="-8"/>
          <w:sz w:val="24"/>
          <w:szCs w:val="24"/>
        </w:rPr>
        <w:t>，</w:t>
      </w:r>
      <w:r>
        <w:rPr>
          <w:rFonts w:ascii="Times New Roman" w:hAnsi="Times New Roman" w:eastAsia="Times New Roman" w:cs="Times New Roman"/>
          <w:spacing w:val="-8"/>
          <w:sz w:val="24"/>
          <w:szCs w:val="24"/>
        </w:rPr>
        <w:t>y</w:t>
      </w:r>
      <w:r>
        <w:rPr>
          <w:rFonts w:ascii="Times New Roman" w:hAnsi="Times New Roman" w:eastAsia="Times New Roman" w:cs="Times New Roman"/>
          <w:spacing w:val="-31"/>
          <w:sz w:val="24"/>
          <w:szCs w:val="24"/>
        </w:rPr>
        <w:t xml:space="preserve"> </w:t>
      </w:r>
      <w:r>
        <w:rPr>
          <w:rFonts w:ascii="宋体" w:hAnsi="宋体" w:eastAsia="宋体" w:cs="宋体"/>
          <w:spacing w:val="-8"/>
          <w:sz w:val="24"/>
          <w:szCs w:val="24"/>
        </w:rPr>
        <w:t>，</w:t>
      </w:r>
      <w:r>
        <w:rPr>
          <w:rFonts w:ascii="Times New Roman" w:hAnsi="Times New Roman" w:eastAsia="Times New Roman" w:cs="Times New Roman"/>
          <w:spacing w:val="-8"/>
          <w:sz w:val="24"/>
          <w:szCs w:val="24"/>
        </w:rPr>
        <w:t>t</w:t>
      </w:r>
      <w:r>
        <w:rPr>
          <w:rFonts w:ascii="宋体" w:hAnsi="宋体" w:eastAsia="宋体" w:cs="宋体"/>
          <w:spacing w:val="-8"/>
          <w:sz w:val="24"/>
          <w:szCs w:val="24"/>
        </w:rPr>
        <w:t>）</w:t>
      </w:r>
      <w:r>
        <w:rPr>
          <w:rFonts w:ascii="Times New Roman" w:hAnsi="Times New Roman" w:eastAsia="Times New Roman" w:cs="Times New Roman"/>
          <w:spacing w:val="-8"/>
          <w:sz w:val="24"/>
          <w:szCs w:val="24"/>
        </w:rPr>
        <w:t>—t</w:t>
      </w:r>
      <w:r>
        <w:rPr>
          <w:rFonts w:ascii="Times New Roman" w:hAnsi="Times New Roman" w:eastAsia="Times New Roman" w:cs="Times New Roman"/>
          <w:spacing w:val="18"/>
          <w:sz w:val="24"/>
          <w:szCs w:val="24"/>
        </w:rPr>
        <w:t xml:space="preserve"> </w:t>
      </w:r>
      <w:r>
        <w:rPr>
          <w:rFonts w:ascii="宋体" w:hAnsi="宋体" w:eastAsia="宋体" w:cs="宋体"/>
          <w:spacing w:val="-8"/>
          <w:sz w:val="24"/>
          <w:szCs w:val="24"/>
        </w:rPr>
        <w:t>时刻</w:t>
      </w:r>
      <w:r>
        <w:rPr>
          <w:rFonts w:ascii="宋体" w:hAnsi="宋体" w:eastAsia="宋体" w:cs="宋体"/>
          <w:spacing w:val="-57"/>
          <w:sz w:val="24"/>
          <w:szCs w:val="24"/>
        </w:rPr>
        <w:t xml:space="preserve"> </w:t>
      </w:r>
      <w:r>
        <w:rPr>
          <w:rFonts w:ascii="Times New Roman" w:hAnsi="Times New Roman" w:eastAsia="Times New Roman" w:cs="Times New Roman"/>
          <w:spacing w:val="-8"/>
          <w:sz w:val="24"/>
          <w:szCs w:val="24"/>
        </w:rPr>
        <w:t>x</w:t>
      </w:r>
      <w:r>
        <w:rPr>
          <w:rFonts w:ascii="Times New Roman" w:hAnsi="Times New Roman" w:eastAsia="Times New Roman" w:cs="Times New Roman"/>
          <w:spacing w:val="-31"/>
          <w:sz w:val="24"/>
          <w:szCs w:val="24"/>
        </w:rPr>
        <w:t xml:space="preserve"> </w:t>
      </w:r>
      <w:r>
        <w:rPr>
          <w:rFonts w:ascii="宋体" w:hAnsi="宋体" w:eastAsia="宋体" w:cs="宋体"/>
          <w:spacing w:val="-8"/>
          <w:sz w:val="24"/>
          <w:szCs w:val="24"/>
        </w:rPr>
        <w:t>，</w:t>
      </w:r>
      <w:r>
        <w:rPr>
          <w:rFonts w:ascii="Times New Roman" w:hAnsi="Times New Roman" w:eastAsia="Times New Roman" w:cs="Times New Roman"/>
          <w:spacing w:val="-8"/>
          <w:sz w:val="24"/>
          <w:szCs w:val="24"/>
        </w:rPr>
        <w:t>y</w:t>
      </w:r>
      <w:r>
        <w:rPr>
          <w:rFonts w:ascii="Times New Roman" w:hAnsi="Times New Roman" w:eastAsia="Times New Roman" w:cs="Times New Roman"/>
          <w:spacing w:val="14"/>
          <w:sz w:val="24"/>
          <w:szCs w:val="24"/>
        </w:rPr>
        <w:t xml:space="preserve"> </w:t>
      </w:r>
      <w:r>
        <w:rPr>
          <w:rFonts w:ascii="宋体" w:hAnsi="宋体" w:eastAsia="宋体" w:cs="宋体"/>
          <w:spacing w:val="-8"/>
          <w:sz w:val="24"/>
          <w:szCs w:val="24"/>
        </w:rPr>
        <w:t>处示踪剂浓度，</w:t>
      </w:r>
      <w:r>
        <w:rPr>
          <w:rFonts w:ascii="Times New Roman" w:hAnsi="Times New Roman" w:eastAsia="Times New Roman" w:cs="Times New Roman"/>
          <w:spacing w:val="-8"/>
          <w:sz w:val="24"/>
          <w:szCs w:val="24"/>
        </w:rPr>
        <w:t>g/L</w:t>
      </w:r>
      <w:r>
        <w:rPr>
          <w:rFonts w:ascii="宋体" w:hAnsi="宋体" w:eastAsia="宋体" w:cs="宋体"/>
          <w:spacing w:val="-8"/>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M—</w:t>
      </w:r>
      <w:r>
        <w:rPr>
          <w:rFonts w:ascii="宋体" w:hAnsi="宋体" w:eastAsia="宋体" w:cs="宋体"/>
          <w:spacing w:val="-1"/>
          <w:sz w:val="24"/>
          <w:szCs w:val="24"/>
        </w:rPr>
        <w:t>含水层厚度，</w:t>
      </w:r>
      <w:r>
        <w:rPr>
          <w:rFonts w:ascii="Times New Roman" w:hAnsi="Times New Roman" w:eastAsia="Times New Roman" w:cs="Times New Roman"/>
          <w:spacing w:val="-1"/>
          <w:sz w:val="24"/>
          <w:szCs w:val="24"/>
        </w:rPr>
        <w:t>m</w:t>
      </w:r>
      <w:r>
        <w:rPr>
          <w:rFonts w:ascii="宋体" w:hAnsi="宋体" w:eastAsia="宋体" w:cs="宋体"/>
          <w:spacing w:val="-1"/>
          <w:sz w:val="24"/>
          <w:szCs w:val="24"/>
        </w:rPr>
        <w:t>；</w:t>
      </w:r>
    </w:p>
    <w:p w14:paraId="281D9FD4">
      <w:pPr>
        <w:spacing w:before="64" w:line="344" w:lineRule="auto"/>
        <w:ind w:left="1199" w:right="3916" w:firstLine="1"/>
        <w:rPr>
          <w:rFonts w:ascii="宋体" w:hAnsi="宋体" w:eastAsia="宋体" w:cs="宋体"/>
          <w:sz w:val="24"/>
          <w:szCs w:val="24"/>
        </w:rPr>
      </w:pPr>
      <w:r>
        <w:rPr>
          <w:rFonts w:ascii="Times New Roman" w:hAnsi="Times New Roman" w:eastAsia="Times New Roman" w:cs="Times New Roman"/>
          <w:spacing w:val="-4"/>
          <w:sz w:val="24"/>
          <w:szCs w:val="24"/>
        </w:rPr>
        <w:t>m</w:t>
      </w:r>
      <w:r>
        <w:rPr>
          <w:rFonts w:ascii="Times New Roman" w:hAnsi="Times New Roman" w:eastAsia="Times New Roman" w:cs="Times New Roman"/>
          <w:spacing w:val="-4"/>
          <w:position w:val="-1"/>
          <w:sz w:val="15"/>
          <w:szCs w:val="15"/>
        </w:rPr>
        <w:t>t</w:t>
      </w:r>
      <w:r>
        <w:rPr>
          <w:rFonts w:ascii="Times New Roman" w:hAnsi="Times New Roman" w:eastAsia="Times New Roman" w:cs="Times New Roman"/>
          <w:spacing w:val="-4"/>
          <w:sz w:val="24"/>
          <w:szCs w:val="24"/>
        </w:rPr>
        <w:t>—</w:t>
      </w:r>
      <w:r>
        <w:rPr>
          <w:rFonts w:ascii="宋体" w:hAnsi="宋体" w:eastAsia="宋体" w:cs="宋体"/>
          <w:spacing w:val="-4"/>
          <w:sz w:val="24"/>
          <w:szCs w:val="24"/>
        </w:rPr>
        <w:t>单位时间注入示踪剂质量，</w:t>
      </w:r>
      <w:r>
        <w:rPr>
          <w:rFonts w:ascii="Times New Roman" w:hAnsi="Times New Roman" w:eastAsia="Times New Roman" w:cs="Times New Roman"/>
          <w:spacing w:val="-4"/>
          <w:sz w:val="24"/>
          <w:szCs w:val="24"/>
        </w:rPr>
        <w:t>kg/d</w:t>
      </w:r>
      <w:r>
        <w:rPr>
          <w:rFonts w:ascii="宋体" w:hAnsi="宋体" w:eastAsia="宋体" w:cs="宋体"/>
          <w:spacing w:val="-4"/>
          <w:sz w:val="24"/>
          <w:szCs w:val="24"/>
        </w:rPr>
        <w:t>；</w:t>
      </w:r>
      <w:r>
        <w:rPr>
          <w:rFonts w:ascii="宋体" w:hAnsi="宋体" w:eastAsia="宋体" w:cs="宋体"/>
          <w:spacing w:val="18"/>
          <w:sz w:val="24"/>
          <w:szCs w:val="24"/>
        </w:rPr>
        <w:t xml:space="preserve"> </w:t>
      </w:r>
      <w:r>
        <w:rPr>
          <w:rFonts w:ascii="Times New Roman" w:hAnsi="Times New Roman" w:eastAsia="Times New Roman" w:cs="Times New Roman"/>
          <w:sz w:val="24"/>
          <w:szCs w:val="24"/>
        </w:rPr>
        <w:t>u—</w:t>
      </w:r>
      <w:r>
        <w:rPr>
          <w:rFonts w:ascii="宋体" w:hAnsi="宋体" w:eastAsia="宋体" w:cs="宋体"/>
          <w:sz w:val="24"/>
          <w:szCs w:val="24"/>
        </w:rPr>
        <w:t>水流速度，</w:t>
      </w:r>
      <w:r>
        <w:rPr>
          <w:rFonts w:ascii="Times New Roman" w:hAnsi="Times New Roman" w:eastAsia="Times New Roman" w:cs="Times New Roman"/>
          <w:sz w:val="24"/>
          <w:szCs w:val="24"/>
        </w:rPr>
        <w:t>m/d</w:t>
      </w:r>
      <w:r>
        <w:rPr>
          <w:rFonts w:ascii="宋体" w:hAnsi="宋体" w:eastAsia="宋体" w:cs="宋体"/>
          <w:sz w:val="24"/>
          <w:szCs w:val="24"/>
        </w:rPr>
        <w:t>；</w:t>
      </w:r>
    </w:p>
    <w:p w14:paraId="24F8F011">
      <w:pPr>
        <w:spacing w:before="61" w:line="362" w:lineRule="auto"/>
        <w:ind w:left="1200" w:right="5054"/>
        <w:jc w:val="both"/>
        <w:rPr>
          <w:rFonts w:ascii="宋体" w:hAnsi="宋体" w:eastAsia="宋体" w:cs="宋体"/>
          <w:sz w:val="24"/>
          <w:szCs w:val="24"/>
        </w:rPr>
      </w:pPr>
      <w:r>
        <w:rPr>
          <w:rFonts w:ascii="Times New Roman" w:hAnsi="Times New Roman" w:eastAsia="Times New Roman" w:cs="Times New Roman"/>
          <w:spacing w:val="-1"/>
          <w:sz w:val="24"/>
          <w:szCs w:val="24"/>
        </w:rPr>
        <w:t>n</w:t>
      </w:r>
      <w:r>
        <w:rPr>
          <w:rFonts w:ascii="Times New Roman" w:hAnsi="Times New Roman" w:eastAsia="Times New Roman" w:cs="Times New Roman"/>
          <w:spacing w:val="-1"/>
          <w:position w:val="-1"/>
          <w:sz w:val="15"/>
          <w:szCs w:val="15"/>
        </w:rPr>
        <w:t>e</w:t>
      </w:r>
      <w:r>
        <w:rPr>
          <w:rFonts w:ascii="Times New Roman" w:hAnsi="Times New Roman" w:eastAsia="Times New Roman" w:cs="Times New Roman"/>
          <w:spacing w:val="-1"/>
          <w:sz w:val="24"/>
          <w:szCs w:val="24"/>
        </w:rPr>
        <w:t>—</w:t>
      </w:r>
      <w:r>
        <w:rPr>
          <w:rFonts w:ascii="宋体" w:hAnsi="宋体" w:eastAsia="宋体" w:cs="宋体"/>
          <w:spacing w:val="-1"/>
          <w:sz w:val="24"/>
          <w:szCs w:val="24"/>
        </w:rPr>
        <w:t>有效孔隙度，无量纲；</w:t>
      </w:r>
      <w:r>
        <w:rPr>
          <w:rFonts w:ascii="宋体" w:hAnsi="宋体" w:eastAsia="宋体" w:cs="宋体"/>
          <w:spacing w:val="2"/>
          <w:sz w:val="24"/>
          <w:szCs w:val="24"/>
        </w:rPr>
        <w:t xml:space="preserve"> </w:t>
      </w:r>
      <w:r>
        <w:rPr>
          <w:rFonts w:ascii="Times New Roman" w:hAnsi="Times New Roman" w:eastAsia="Times New Roman" w:cs="Times New Roman"/>
          <w:spacing w:val="-4"/>
          <w:sz w:val="24"/>
          <w:szCs w:val="24"/>
        </w:rPr>
        <w:t>D</w:t>
      </w:r>
      <w:r>
        <w:rPr>
          <w:rFonts w:ascii="Times New Roman" w:hAnsi="Times New Roman" w:eastAsia="Times New Roman" w:cs="Times New Roman"/>
          <w:spacing w:val="-4"/>
          <w:position w:val="-1"/>
          <w:sz w:val="15"/>
          <w:szCs w:val="15"/>
        </w:rPr>
        <w:t>L</w:t>
      </w:r>
      <w:r>
        <w:rPr>
          <w:rFonts w:ascii="Times New Roman" w:hAnsi="Times New Roman" w:eastAsia="Times New Roman" w:cs="Times New Roman"/>
          <w:spacing w:val="-4"/>
          <w:sz w:val="24"/>
          <w:szCs w:val="24"/>
        </w:rPr>
        <w:t>—</w:t>
      </w:r>
      <w:r>
        <w:rPr>
          <w:rFonts w:ascii="宋体" w:hAnsi="宋体" w:eastAsia="宋体" w:cs="宋体"/>
          <w:spacing w:val="-4"/>
          <w:sz w:val="24"/>
          <w:szCs w:val="24"/>
        </w:rPr>
        <w:t>纵向弥散系数，</w:t>
      </w:r>
      <w:r>
        <w:rPr>
          <w:rFonts w:ascii="Times New Roman" w:hAnsi="Times New Roman" w:eastAsia="Times New Roman" w:cs="Times New Roman"/>
          <w:spacing w:val="-4"/>
          <w:sz w:val="24"/>
          <w:szCs w:val="24"/>
        </w:rPr>
        <w:t>m</w:t>
      </w:r>
      <w:r>
        <w:rPr>
          <w:rFonts w:ascii="Times New Roman" w:hAnsi="Times New Roman" w:eastAsia="Times New Roman" w:cs="Times New Roman"/>
          <w:spacing w:val="-4"/>
          <w:position w:val="7"/>
          <w:sz w:val="15"/>
          <w:szCs w:val="15"/>
        </w:rPr>
        <w:t>2</w:t>
      </w:r>
      <w:r>
        <w:rPr>
          <w:rFonts w:ascii="Times New Roman" w:hAnsi="Times New Roman" w:eastAsia="Times New Roman" w:cs="Times New Roman"/>
          <w:spacing w:val="-4"/>
          <w:sz w:val="24"/>
          <w:szCs w:val="24"/>
        </w:rPr>
        <w:t>/d</w:t>
      </w:r>
      <w:r>
        <w:rPr>
          <w:rFonts w:ascii="宋体" w:hAnsi="宋体" w:eastAsia="宋体" w:cs="宋体"/>
          <w:spacing w:val="-4"/>
          <w:sz w:val="24"/>
          <w:szCs w:val="24"/>
        </w:rPr>
        <w:t>；</w:t>
      </w:r>
      <w:r>
        <w:rPr>
          <w:rFonts w:ascii="宋体" w:hAnsi="宋体" w:eastAsia="宋体" w:cs="宋体"/>
          <w:spacing w:val="3"/>
          <w:sz w:val="24"/>
          <w:szCs w:val="24"/>
        </w:rPr>
        <w:t xml:space="preserve"> </w:t>
      </w:r>
      <w:r>
        <w:rPr>
          <w:rFonts w:ascii="Times New Roman" w:hAnsi="Times New Roman" w:eastAsia="Times New Roman" w:cs="Times New Roman"/>
          <w:spacing w:val="-4"/>
          <w:sz w:val="24"/>
          <w:szCs w:val="24"/>
        </w:rPr>
        <w:t>D</w:t>
      </w:r>
      <w:r>
        <w:rPr>
          <w:rFonts w:ascii="Times New Roman" w:hAnsi="Times New Roman" w:eastAsia="Times New Roman" w:cs="Times New Roman"/>
          <w:spacing w:val="-4"/>
          <w:position w:val="-1"/>
          <w:sz w:val="15"/>
          <w:szCs w:val="15"/>
        </w:rPr>
        <w:t>T</w:t>
      </w:r>
      <w:r>
        <w:rPr>
          <w:rFonts w:ascii="Times New Roman" w:hAnsi="Times New Roman" w:eastAsia="Times New Roman" w:cs="Times New Roman"/>
          <w:spacing w:val="-4"/>
          <w:sz w:val="24"/>
          <w:szCs w:val="24"/>
        </w:rPr>
        <w:t>—</w:t>
      </w:r>
      <w:r>
        <w:rPr>
          <w:rFonts w:ascii="宋体" w:hAnsi="宋体" w:eastAsia="宋体" w:cs="宋体"/>
          <w:spacing w:val="-4"/>
          <w:sz w:val="24"/>
          <w:szCs w:val="24"/>
        </w:rPr>
        <w:t>横向弥散系数，</w:t>
      </w:r>
      <w:r>
        <w:rPr>
          <w:rFonts w:ascii="Times New Roman" w:hAnsi="Times New Roman" w:eastAsia="Times New Roman" w:cs="Times New Roman"/>
          <w:spacing w:val="-4"/>
          <w:sz w:val="24"/>
          <w:szCs w:val="24"/>
        </w:rPr>
        <w:t>m</w:t>
      </w:r>
      <w:r>
        <w:rPr>
          <w:rFonts w:ascii="Times New Roman" w:hAnsi="Times New Roman" w:eastAsia="Times New Roman" w:cs="Times New Roman"/>
          <w:spacing w:val="-4"/>
          <w:position w:val="8"/>
          <w:sz w:val="15"/>
          <w:szCs w:val="15"/>
        </w:rPr>
        <w:t>2</w:t>
      </w:r>
      <w:r>
        <w:rPr>
          <w:rFonts w:ascii="Times New Roman" w:hAnsi="Times New Roman" w:eastAsia="Times New Roman" w:cs="Times New Roman"/>
          <w:spacing w:val="-4"/>
          <w:sz w:val="24"/>
          <w:szCs w:val="24"/>
        </w:rPr>
        <w:t>/d</w:t>
      </w:r>
      <w:r>
        <w:rPr>
          <w:rFonts w:ascii="宋体" w:hAnsi="宋体" w:eastAsia="宋体" w:cs="宋体"/>
          <w:spacing w:val="-4"/>
          <w:sz w:val="24"/>
          <w:szCs w:val="24"/>
        </w:rPr>
        <w:t>；</w:t>
      </w:r>
      <w:r>
        <w:rPr>
          <w:rFonts w:ascii="宋体" w:hAnsi="宋体" w:eastAsia="宋体" w:cs="宋体"/>
          <w:spacing w:val="3"/>
          <w:sz w:val="24"/>
          <w:szCs w:val="24"/>
        </w:rPr>
        <w:t xml:space="preserve"> </w:t>
      </w:r>
      <w:r>
        <w:rPr>
          <w:rFonts w:ascii="Times New Roman" w:hAnsi="Times New Roman" w:eastAsia="Times New Roman" w:cs="Times New Roman"/>
          <w:spacing w:val="-1"/>
          <w:sz w:val="24"/>
          <w:szCs w:val="24"/>
        </w:rPr>
        <w:t>π—</w:t>
      </w:r>
      <w:r>
        <w:rPr>
          <w:rFonts w:ascii="宋体" w:hAnsi="宋体" w:eastAsia="宋体" w:cs="宋体"/>
          <w:spacing w:val="-1"/>
          <w:sz w:val="24"/>
          <w:szCs w:val="24"/>
        </w:rPr>
        <w:t>圆周率；</w:t>
      </w:r>
    </w:p>
    <w:p w14:paraId="68ECA8EB">
      <w:pPr>
        <w:spacing w:before="33" w:line="210" w:lineRule="auto"/>
        <w:ind w:left="1203"/>
        <w:rPr>
          <w:rFonts w:ascii="宋体" w:hAnsi="宋体" w:eastAsia="宋体" w:cs="宋体"/>
          <w:sz w:val="24"/>
          <w:szCs w:val="24"/>
        </w:rPr>
      </w:pPr>
      <w:r>
        <w:rPr>
          <w:rFonts w:ascii="Times New Roman" w:hAnsi="Times New Roman" w:eastAsia="Times New Roman" w:cs="Times New Roman"/>
          <w:spacing w:val="-1"/>
          <w:sz w:val="24"/>
          <w:szCs w:val="24"/>
        </w:rPr>
        <w:t>K</w:t>
      </w:r>
      <w:r>
        <w:rPr>
          <w:rFonts w:ascii="Times New Roman" w:hAnsi="Times New Roman" w:eastAsia="Times New Roman" w:cs="Times New Roman"/>
          <w:spacing w:val="-1"/>
          <w:position w:val="-1"/>
          <w:sz w:val="15"/>
          <w:szCs w:val="15"/>
        </w:rPr>
        <w:t>0</w:t>
      </w:r>
      <w:r>
        <w:rPr>
          <w:rFonts w:ascii="Times New Roman" w:hAnsi="Times New Roman" w:eastAsia="Times New Roman" w:cs="Times New Roman"/>
          <w:spacing w:val="13"/>
          <w:w w:val="101"/>
          <w:position w:val="-1"/>
          <w:sz w:val="15"/>
          <w:szCs w:val="15"/>
        </w:rPr>
        <w:t xml:space="preserve">   </w:t>
      </w:r>
      <w:r>
        <w:rPr>
          <w:rFonts w:ascii="宋体" w:hAnsi="宋体" w:eastAsia="宋体" w:cs="宋体"/>
          <w:spacing w:val="6"/>
          <w:sz w:val="24"/>
          <w:szCs w:val="24"/>
        </w:rPr>
        <w:t>(</w:t>
      </w:r>
      <w:r>
        <w:rPr>
          <w:rFonts w:ascii="Times New Roman" w:hAnsi="Times New Roman" w:eastAsia="Times New Roman" w:cs="Times New Roman"/>
          <w:spacing w:val="6"/>
          <w:sz w:val="24"/>
          <w:szCs w:val="24"/>
        </w:rPr>
        <w:t>β</w:t>
      </w:r>
      <w:r>
        <w:rPr>
          <w:rFonts w:ascii="宋体" w:hAnsi="宋体" w:eastAsia="宋体" w:cs="宋体"/>
          <w:spacing w:val="6"/>
          <w:sz w:val="24"/>
          <w:szCs w:val="24"/>
        </w:rPr>
        <w:t xml:space="preserve">) </w:t>
      </w:r>
      <w:r>
        <w:rPr>
          <w:rFonts w:ascii="Times New Roman" w:hAnsi="Times New Roman" w:eastAsia="Times New Roman" w:cs="Times New Roman"/>
          <w:spacing w:val="6"/>
          <w:sz w:val="24"/>
          <w:szCs w:val="24"/>
        </w:rPr>
        <w:t>ℴ</w:t>
      </w:r>
      <w:r>
        <w:rPr>
          <w:rFonts w:ascii="宋体" w:hAnsi="宋体" w:eastAsia="宋体" w:cs="宋体"/>
          <w:spacing w:val="6"/>
          <w:sz w:val="24"/>
          <w:szCs w:val="24"/>
        </w:rPr>
        <w:t>第二类零阶修正贝塞尔函数；</w:t>
      </w:r>
    </w:p>
    <w:p w14:paraId="34AFA357">
      <w:pPr>
        <w:spacing w:before="204" w:line="212" w:lineRule="auto"/>
        <w:ind w:left="1202"/>
        <w:rPr>
          <w:rFonts w:ascii="宋体" w:hAnsi="宋体" w:eastAsia="宋体" w:cs="宋体"/>
          <w:sz w:val="24"/>
          <w:szCs w:val="24"/>
        </w:rPr>
      </w:pPr>
      <w:r>
        <w:rPr>
          <w:rFonts w:ascii="Times New Roman" w:hAnsi="Times New Roman" w:eastAsia="Times New Roman" w:cs="Times New Roman"/>
          <w:spacing w:val="5"/>
          <w:sz w:val="24"/>
          <w:szCs w:val="24"/>
        </w:rPr>
        <w:t>W</w:t>
      </w:r>
      <w:r>
        <w:rPr>
          <w:rFonts w:ascii="宋体" w:hAnsi="宋体" w:eastAsia="宋体" w:cs="宋体"/>
          <w:spacing w:val="5"/>
          <w:sz w:val="24"/>
          <w:szCs w:val="24"/>
        </w:rPr>
        <w:t>（</w:t>
      </w:r>
      <w:r>
        <w:rPr>
          <w:rFonts w:ascii="Times New Roman" w:hAnsi="Times New Roman" w:eastAsia="Times New Roman" w:cs="Times New Roman"/>
          <w:spacing w:val="5"/>
          <w:sz w:val="24"/>
          <w:szCs w:val="24"/>
        </w:rPr>
        <w:t>u</w:t>
      </w:r>
      <w:r>
        <w:rPr>
          <w:rFonts w:ascii="Times New Roman" w:hAnsi="Times New Roman" w:eastAsia="Times New Roman" w:cs="Times New Roman"/>
          <w:spacing w:val="5"/>
          <w:position w:val="7"/>
          <w:sz w:val="15"/>
          <w:szCs w:val="15"/>
        </w:rPr>
        <w:t>2</w:t>
      </w:r>
      <w:r>
        <w:rPr>
          <w:rFonts w:ascii="Times New Roman" w:hAnsi="Times New Roman" w:eastAsia="Times New Roman" w:cs="Times New Roman"/>
          <w:spacing w:val="5"/>
          <w:sz w:val="24"/>
          <w:szCs w:val="24"/>
        </w:rPr>
        <w:t>t/4</w:t>
      </w:r>
      <w:r>
        <w:rPr>
          <w:rFonts w:ascii="Times New Roman" w:hAnsi="Times New Roman" w:eastAsia="Times New Roman" w:cs="Times New Roman"/>
          <w:sz w:val="24"/>
          <w:szCs w:val="24"/>
        </w:rPr>
        <w:t>D</w:t>
      </w:r>
      <w:r>
        <w:rPr>
          <w:rFonts w:ascii="Times New Roman" w:hAnsi="Times New Roman" w:eastAsia="Times New Roman" w:cs="Times New Roman"/>
          <w:position w:val="-1"/>
          <w:sz w:val="15"/>
          <w:szCs w:val="15"/>
        </w:rPr>
        <w:t>L</w:t>
      </w:r>
      <w:r>
        <w:rPr>
          <w:rFonts w:ascii="Times New Roman" w:hAnsi="Times New Roman" w:eastAsia="Times New Roman" w:cs="Times New Roman"/>
          <w:spacing w:val="-8"/>
          <w:position w:val="-1"/>
          <w:sz w:val="15"/>
          <w:szCs w:val="15"/>
        </w:rPr>
        <w:t xml:space="preserve"> </w:t>
      </w:r>
      <w:r>
        <w:rPr>
          <w:rFonts w:ascii="宋体" w:hAnsi="宋体" w:eastAsia="宋体" w:cs="宋体"/>
          <w:spacing w:val="5"/>
          <w:sz w:val="24"/>
          <w:szCs w:val="24"/>
        </w:rPr>
        <w:t>，</w:t>
      </w:r>
      <w:r>
        <w:rPr>
          <w:rFonts w:ascii="Times New Roman" w:hAnsi="Times New Roman" w:eastAsia="Times New Roman" w:cs="Times New Roman"/>
          <w:spacing w:val="5"/>
          <w:sz w:val="24"/>
          <w:szCs w:val="24"/>
        </w:rPr>
        <w:t>β</w:t>
      </w:r>
      <w:r>
        <w:rPr>
          <w:rFonts w:ascii="宋体" w:hAnsi="宋体" w:eastAsia="宋体" w:cs="宋体"/>
          <w:spacing w:val="5"/>
          <w:sz w:val="24"/>
          <w:szCs w:val="24"/>
        </w:rPr>
        <w:t xml:space="preserve">) </w:t>
      </w:r>
      <w:r>
        <w:rPr>
          <w:rFonts w:ascii="Times New Roman" w:hAnsi="Times New Roman" w:eastAsia="Times New Roman" w:cs="Times New Roman"/>
          <w:spacing w:val="5"/>
          <w:sz w:val="24"/>
          <w:szCs w:val="24"/>
        </w:rPr>
        <w:t>ℴ</w:t>
      </w:r>
      <w:r>
        <w:rPr>
          <w:rFonts w:ascii="宋体" w:hAnsi="宋体" w:eastAsia="宋体" w:cs="宋体"/>
          <w:spacing w:val="5"/>
          <w:sz w:val="24"/>
          <w:szCs w:val="24"/>
        </w:rPr>
        <w:t>第一类越流系统井函数。</w:t>
      </w:r>
    </w:p>
    <w:p w14:paraId="3C8D483A">
      <w:pPr>
        <w:spacing w:before="205"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）地下水污染预测情形设定</w:t>
      </w:r>
    </w:p>
    <w:p w14:paraId="2D60C773">
      <w:pPr>
        <w:spacing w:before="193" w:line="217" w:lineRule="auto"/>
        <w:ind w:left="487"/>
        <w:rPr>
          <w:rFonts w:ascii="宋体" w:hAnsi="宋体" w:eastAsia="宋体" w:cs="宋体"/>
          <w:sz w:val="24"/>
          <w:szCs w:val="24"/>
        </w:rPr>
      </w:pPr>
      <w:r>
        <w:rPr>
          <w:rFonts w:ascii="宋体" w:hAnsi="宋体" w:eastAsia="宋体" w:cs="宋体"/>
          <w:spacing w:val="-1"/>
          <w:sz w:val="24"/>
          <w:szCs w:val="24"/>
        </w:rPr>
        <w:t>①地下水污染风险识别及预测情景设定</w:t>
      </w:r>
    </w:p>
    <w:p w14:paraId="333CF580">
      <w:pPr>
        <w:spacing w:before="195" w:line="356" w:lineRule="auto"/>
        <w:ind w:left="12" w:right="1" w:firstLine="476"/>
        <w:rPr>
          <w:rFonts w:ascii="宋体" w:hAnsi="宋体" w:eastAsia="宋体" w:cs="宋体"/>
          <w:sz w:val="24"/>
          <w:szCs w:val="24"/>
        </w:rPr>
      </w:pPr>
      <w:r>
        <w:rPr>
          <w:rFonts w:ascii="宋体" w:hAnsi="宋体" w:eastAsia="宋体" w:cs="宋体"/>
          <w:spacing w:val="-1"/>
          <w:sz w:val="24"/>
          <w:szCs w:val="24"/>
        </w:rPr>
        <w:t>根据区域地下水流方向（自西南向东北</w:t>
      </w:r>
      <w:r>
        <w:rPr>
          <w:rFonts w:ascii="宋体" w:hAnsi="宋体" w:eastAsia="宋体" w:cs="宋体"/>
          <w:spacing w:val="-12"/>
          <w:sz w:val="24"/>
          <w:szCs w:val="24"/>
        </w:rPr>
        <w:t>），</w:t>
      </w:r>
      <w:r>
        <w:rPr>
          <w:rFonts w:ascii="宋体" w:hAnsi="宋体" w:eastAsia="宋体" w:cs="宋体"/>
          <w:spacing w:val="-1"/>
          <w:sz w:val="24"/>
          <w:szCs w:val="24"/>
        </w:rPr>
        <w:t>本次评价预测在隔油池内煤气冷凝</w:t>
      </w:r>
      <w:r>
        <w:rPr>
          <w:rFonts w:ascii="宋体" w:hAnsi="宋体" w:eastAsia="宋体" w:cs="宋体"/>
          <w:spacing w:val="-2"/>
          <w:sz w:val="24"/>
          <w:szCs w:val="24"/>
        </w:rPr>
        <w:t>废水</w:t>
      </w:r>
      <w:r>
        <w:rPr>
          <w:rFonts w:ascii="宋体" w:hAnsi="宋体" w:eastAsia="宋体" w:cs="宋体"/>
          <w:spacing w:val="1"/>
          <w:sz w:val="24"/>
          <w:szCs w:val="24"/>
        </w:rPr>
        <w:t xml:space="preserve"> </w:t>
      </w:r>
      <w:r>
        <w:rPr>
          <w:rFonts w:ascii="宋体" w:hAnsi="宋体" w:eastAsia="宋体" w:cs="宋体"/>
          <w:spacing w:val="-1"/>
          <w:sz w:val="24"/>
          <w:szCs w:val="24"/>
        </w:rPr>
        <w:t>不断泄漏情况下项目厂区北侧边界地下水中</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COD</w:t>
      </w:r>
      <w:r>
        <w:rPr>
          <w:rFonts w:ascii="Times New Roman" w:hAnsi="Times New Roman" w:eastAsia="Times New Roman" w:cs="Times New Roman"/>
          <w:spacing w:val="-1"/>
          <w:position w:val="-1"/>
          <w:sz w:val="15"/>
          <w:szCs w:val="15"/>
        </w:rPr>
        <w:t>cr</w:t>
      </w:r>
      <w:r>
        <w:rPr>
          <w:rFonts w:ascii="Times New Roman" w:hAnsi="Times New Roman" w:eastAsia="Times New Roman" w:cs="Times New Roman"/>
          <w:spacing w:val="-12"/>
          <w:position w:val="-1"/>
          <w:sz w:val="15"/>
          <w:szCs w:val="15"/>
        </w:rPr>
        <w:t xml:space="preserve"> </w:t>
      </w:r>
      <w:r>
        <w:rPr>
          <w:rFonts w:ascii="宋体" w:hAnsi="宋体" w:eastAsia="宋体" w:cs="宋体"/>
          <w:spacing w:val="-1"/>
          <w:sz w:val="24"/>
          <w:szCs w:val="24"/>
        </w:rPr>
        <w:t>、石油类浓度随时间的</w:t>
      </w:r>
      <w:r>
        <w:rPr>
          <w:rFonts w:ascii="宋体" w:hAnsi="宋体" w:eastAsia="宋体" w:cs="宋体"/>
          <w:spacing w:val="-2"/>
          <w:sz w:val="24"/>
          <w:szCs w:val="24"/>
        </w:rPr>
        <w:t>变化情况。</w:t>
      </w:r>
    </w:p>
    <w:p w14:paraId="16A337A9">
      <w:pPr>
        <w:spacing w:before="32" w:line="217" w:lineRule="auto"/>
        <w:ind w:left="486"/>
        <w:rPr>
          <w:rFonts w:ascii="宋体" w:hAnsi="宋体" w:eastAsia="宋体" w:cs="宋体"/>
          <w:sz w:val="24"/>
          <w:szCs w:val="24"/>
        </w:rPr>
      </w:pPr>
      <w:r>
        <w:rPr>
          <w:rFonts w:ascii="宋体" w:hAnsi="宋体" w:eastAsia="宋体" w:cs="宋体"/>
          <w:spacing w:val="-2"/>
          <w:sz w:val="24"/>
          <w:szCs w:val="24"/>
        </w:rPr>
        <w:t>②预测源强确定</w:t>
      </w:r>
    </w:p>
    <w:p w14:paraId="4B7D69D1">
      <w:pPr>
        <w:spacing w:before="199" w:line="352" w:lineRule="auto"/>
        <w:ind w:left="9" w:right="59" w:firstLine="479"/>
        <w:rPr>
          <w:rFonts w:ascii="宋体" w:hAnsi="宋体" w:eastAsia="宋体" w:cs="宋体"/>
          <w:sz w:val="24"/>
          <w:szCs w:val="24"/>
        </w:rPr>
      </w:pPr>
      <w:r>
        <w:rPr>
          <w:rFonts w:ascii="宋体" w:hAnsi="宋体" w:eastAsia="宋体" w:cs="宋体"/>
          <w:sz w:val="24"/>
          <w:szCs w:val="24"/>
        </w:rPr>
        <w:t>根据</w:t>
      </w:r>
      <w:r>
        <w:rPr>
          <w:rFonts w:ascii="宋体" w:hAnsi="宋体" w:eastAsia="宋体" w:cs="宋体"/>
          <w:spacing w:val="-46"/>
          <w:sz w:val="24"/>
          <w:szCs w:val="24"/>
        </w:rPr>
        <w:t xml:space="preserve"> </w:t>
      </w:r>
      <w:r>
        <w:rPr>
          <w:rFonts w:ascii="Times New Roman" w:hAnsi="Times New Roman" w:eastAsia="Times New Roman" w:cs="Times New Roman"/>
          <w:sz w:val="24"/>
          <w:szCs w:val="24"/>
        </w:rPr>
        <w:t xml:space="preserve">5.5.2 </w:t>
      </w:r>
      <w:r>
        <w:rPr>
          <w:rFonts w:ascii="宋体" w:hAnsi="宋体" w:eastAsia="宋体" w:cs="宋体"/>
          <w:sz w:val="24"/>
          <w:szCs w:val="24"/>
        </w:rPr>
        <w:t>节分析可知，假定非正常工况下，煤气冷凝</w:t>
      </w:r>
      <w:r>
        <w:rPr>
          <w:rFonts w:ascii="宋体" w:hAnsi="宋体" w:eastAsia="宋体" w:cs="宋体"/>
          <w:spacing w:val="-1"/>
          <w:sz w:val="24"/>
          <w:szCs w:val="24"/>
        </w:rPr>
        <w:t>废水隔油池内防渗层破裂，</w:t>
      </w:r>
      <w:r>
        <w:rPr>
          <w:rFonts w:ascii="宋体" w:hAnsi="宋体" w:eastAsia="宋体" w:cs="宋体"/>
          <w:sz w:val="24"/>
          <w:szCs w:val="24"/>
        </w:rPr>
        <w:t xml:space="preserve"> </w:t>
      </w:r>
      <w:r>
        <w:rPr>
          <w:rFonts w:ascii="宋体" w:hAnsi="宋体" w:eastAsia="宋体" w:cs="宋体"/>
          <w:spacing w:val="-1"/>
          <w:sz w:val="24"/>
          <w:szCs w:val="24"/>
        </w:rPr>
        <w:t>煤气冷凝废水发生泄漏，污染物泄漏量为</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COD</w:t>
      </w:r>
      <w:r>
        <w:rPr>
          <w:rFonts w:ascii="Times New Roman" w:hAnsi="Times New Roman" w:eastAsia="Times New Roman" w:cs="Times New Roman"/>
          <w:spacing w:val="-1"/>
          <w:position w:val="-1"/>
          <w:sz w:val="15"/>
          <w:szCs w:val="15"/>
        </w:rPr>
        <w:t>Mn</w:t>
      </w:r>
      <w:r>
        <w:rPr>
          <w:rFonts w:ascii="宋体" w:hAnsi="宋体" w:eastAsia="宋体" w:cs="宋体"/>
          <w:spacing w:val="-1"/>
          <w:sz w:val="24"/>
          <w:szCs w:val="24"/>
        </w:rPr>
        <w:t>：</w:t>
      </w:r>
      <w:r>
        <w:rPr>
          <w:rFonts w:ascii="Times New Roman" w:hAnsi="Times New Roman" w:eastAsia="Times New Roman" w:cs="Times New Roman"/>
          <w:spacing w:val="-1"/>
          <w:sz w:val="24"/>
          <w:szCs w:val="24"/>
        </w:rPr>
        <w:t>11.59g/d</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、石油类：</w:t>
      </w:r>
      <w:r>
        <w:rPr>
          <w:rFonts w:ascii="Times New Roman" w:hAnsi="Times New Roman" w:eastAsia="Times New Roman" w:cs="Times New Roman"/>
          <w:spacing w:val="-1"/>
          <w:sz w:val="24"/>
          <w:szCs w:val="24"/>
        </w:rPr>
        <w:t>6</w:t>
      </w:r>
      <w:r>
        <w:rPr>
          <w:rFonts w:ascii="Times New Roman" w:hAnsi="Times New Roman" w:eastAsia="Times New Roman" w:cs="Times New Roman"/>
          <w:spacing w:val="-2"/>
          <w:sz w:val="24"/>
          <w:szCs w:val="24"/>
        </w:rPr>
        <w:t>2.4g/d</w:t>
      </w:r>
      <w:r>
        <w:rPr>
          <w:rFonts w:ascii="宋体" w:hAnsi="宋体" w:eastAsia="宋体" w:cs="宋体"/>
          <w:spacing w:val="-2"/>
          <w:sz w:val="24"/>
          <w:szCs w:val="24"/>
        </w:rPr>
        <w:t>。</w:t>
      </w:r>
    </w:p>
    <w:p w14:paraId="118516DC">
      <w:pPr>
        <w:spacing w:before="39" w:line="217" w:lineRule="auto"/>
        <w:ind w:left="486"/>
        <w:rPr>
          <w:rFonts w:ascii="宋体" w:hAnsi="宋体" w:eastAsia="宋体" w:cs="宋体"/>
          <w:sz w:val="24"/>
          <w:szCs w:val="24"/>
        </w:rPr>
      </w:pPr>
      <w:r>
        <w:rPr>
          <w:rFonts w:ascii="宋体" w:hAnsi="宋体" w:eastAsia="宋体" w:cs="宋体"/>
          <w:spacing w:val="-2"/>
          <w:sz w:val="24"/>
          <w:szCs w:val="24"/>
        </w:rPr>
        <w:t>③预测执行标准</w:t>
      </w:r>
    </w:p>
    <w:p w14:paraId="35C4C29F">
      <w:pPr>
        <w:spacing w:before="198" w:line="360" w:lineRule="auto"/>
        <w:ind w:left="7" w:firstLine="481"/>
        <w:rPr>
          <w:rFonts w:ascii="宋体" w:hAnsi="宋体" w:eastAsia="宋体" w:cs="宋体"/>
          <w:sz w:val="24"/>
          <w:szCs w:val="24"/>
        </w:rPr>
      </w:pPr>
      <w:r>
        <w:rPr>
          <w:rFonts w:ascii="宋体" w:hAnsi="宋体" w:eastAsia="宋体" w:cs="宋体"/>
          <w:spacing w:val="-2"/>
          <w:sz w:val="24"/>
          <w:szCs w:val="24"/>
        </w:rPr>
        <w:t>本次模拟预测标准限值执行《地下水质量标准》（</w:t>
      </w:r>
      <w:r>
        <w:rPr>
          <w:rFonts w:ascii="Times New Roman" w:hAnsi="Times New Roman" w:eastAsia="Times New Roman" w:cs="Times New Roman"/>
          <w:spacing w:val="-2"/>
          <w:sz w:val="24"/>
          <w:szCs w:val="24"/>
        </w:rPr>
        <w:t>GB/T14848-2017</w:t>
      </w:r>
      <w:r>
        <w:rPr>
          <w:rFonts w:ascii="宋体" w:hAnsi="宋体" w:eastAsia="宋体" w:cs="宋体"/>
          <w:spacing w:val="-2"/>
          <w:sz w:val="24"/>
          <w:szCs w:val="24"/>
        </w:rPr>
        <w:t>）</w:t>
      </w:r>
      <w:r>
        <w:rPr>
          <w:rFonts w:ascii="Times New Roman" w:hAnsi="Times New Roman" w:eastAsia="Times New Roman" w:cs="Times New Roman"/>
          <w:spacing w:val="-2"/>
          <w:sz w:val="24"/>
          <w:szCs w:val="24"/>
        </w:rPr>
        <w:t>Ⅲ</w:t>
      </w:r>
      <w:r>
        <w:rPr>
          <w:rFonts w:ascii="宋体" w:hAnsi="宋体" w:eastAsia="宋体" w:cs="宋体"/>
          <w:spacing w:val="-2"/>
          <w:sz w:val="24"/>
          <w:szCs w:val="24"/>
        </w:rPr>
        <w:t>类水质标准</w:t>
      </w:r>
      <w:r>
        <w:rPr>
          <w:rFonts w:ascii="宋体" w:hAnsi="宋体" w:eastAsia="宋体" w:cs="宋体"/>
          <w:spacing w:val="9"/>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COD</w:t>
      </w:r>
      <w:r>
        <w:rPr>
          <w:rFonts w:ascii="Times New Roman" w:hAnsi="Times New Roman" w:eastAsia="Times New Roman" w:cs="Times New Roman"/>
          <w:spacing w:val="-1"/>
          <w:position w:val="-1"/>
          <w:sz w:val="15"/>
          <w:szCs w:val="15"/>
        </w:rPr>
        <w:t>Mn</w:t>
      </w:r>
      <w:r>
        <w:rPr>
          <w:rFonts w:ascii="宋体" w:hAnsi="宋体" w:eastAsia="宋体" w:cs="宋体"/>
          <w:spacing w:val="-1"/>
          <w:sz w:val="24"/>
          <w:szCs w:val="24"/>
        </w:rPr>
        <w:t>：</w:t>
      </w:r>
      <w:r>
        <w:rPr>
          <w:rFonts w:ascii="Times New Roman" w:hAnsi="Times New Roman" w:eastAsia="Times New Roman" w:cs="Times New Roman"/>
          <w:spacing w:val="-1"/>
          <w:sz w:val="24"/>
          <w:szCs w:val="24"/>
        </w:rPr>
        <w:t>3.0mg/L</w:t>
      </w:r>
      <w:r>
        <w:rPr>
          <w:rFonts w:ascii="宋体" w:hAnsi="宋体" w:eastAsia="宋体" w:cs="宋体"/>
          <w:spacing w:val="-1"/>
          <w:sz w:val="24"/>
          <w:szCs w:val="24"/>
        </w:rPr>
        <w:t>），石油类执行《地表水质量标准》（</w:t>
      </w:r>
      <w:r>
        <w:rPr>
          <w:rFonts w:ascii="Times New Roman" w:hAnsi="Times New Roman" w:eastAsia="Times New Roman" w:cs="Times New Roman"/>
          <w:spacing w:val="-1"/>
          <w:sz w:val="24"/>
          <w:szCs w:val="24"/>
        </w:rPr>
        <w:t>GB/T3838-2002</w:t>
      </w:r>
      <w:r>
        <w:rPr>
          <w:rFonts w:ascii="宋体" w:hAnsi="宋体" w:eastAsia="宋体" w:cs="宋体"/>
          <w:spacing w:val="-1"/>
          <w:sz w:val="24"/>
          <w:szCs w:val="24"/>
        </w:rPr>
        <w:t>）中的</w:t>
      </w:r>
      <w:r>
        <w:rPr>
          <w:rFonts w:ascii="Times New Roman" w:hAnsi="Times New Roman" w:eastAsia="Times New Roman" w:cs="Times New Roman"/>
          <w:spacing w:val="-1"/>
          <w:sz w:val="24"/>
          <w:szCs w:val="24"/>
        </w:rPr>
        <w:t>Ⅲ</w:t>
      </w:r>
      <w:r>
        <w:rPr>
          <w:rFonts w:ascii="宋体" w:hAnsi="宋体" w:eastAsia="宋体" w:cs="宋体"/>
          <w:spacing w:val="-1"/>
          <w:sz w:val="24"/>
          <w:szCs w:val="24"/>
        </w:rPr>
        <w:t>类标</w:t>
      </w:r>
      <w:r>
        <w:rPr>
          <w:rFonts w:ascii="宋体" w:hAnsi="宋体" w:eastAsia="宋体" w:cs="宋体"/>
          <w:sz w:val="24"/>
          <w:szCs w:val="24"/>
        </w:rPr>
        <w:t xml:space="preserve"> 准值（石油类：</w:t>
      </w:r>
      <w:r>
        <w:rPr>
          <w:rFonts w:ascii="Times New Roman" w:hAnsi="Times New Roman" w:eastAsia="Times New Roman" w:cs="Times New Roman"/>
          <w:sz w:val="24"/>
          <w:szCs w:val="24"/>
        </w:rPr>
        <w:t>0.05mg/L</w:t>
      </w:r>
      <w:r>
        <w:rPr>
          <w:rFonts w:ascii="宋体" w:hAnsi="宋体" w:eastAsia="宋体" w:cs="宋体"/>
          <w:sz w:val="24"/>
          <w:szCs w:val="24"/>
        </w:rPr>
        <w:t>）。参照《环境</w:t>
      </w:r>
      <w:r>
        <w:rPr>
          <w:rFonts w:ascii="宋体" w:hAnsi="宋体" w:eastAsia="宋体" w:cs="宋体"/>
          <w:spacing w:val="-1"/>
          <w:sz w:val="24"/>
          <w:szCs w:val="24"/>
        </w:rPr>
        <w:t>影响评价技术导则》（</w:t>
      </w:r>
      <w:r>
        <w:rPr>
          <w:rFonts w:ascii="Times New Roman" w:hAnsi="Times New Roman" w:eastAsia="Times New Roman" w:cs="Times New Roman"/>
          <w:spacing w:val="-1"/>
          <w:sz w:val="24"/>
          <w:szCs w:val="24"/>
        </w:rPr>
        <w:t>HJ610-2016</w:t>
      </w:r>
      <w:r>
        <w:rPr>
          <w:rFonts w:ascii="宋体" w:hAnsi="宋体" w:eastAsia="宋体" w:cs="宋体"/>
          <w:spacing w:val="-1"/>
          <w:sz w:val="24"/>
          <w:szCs w:val="24"/>
        </w:rPr>
        <w:t>）要求，地</w:t>
      </w:r>
      <w:r>
        <w:rPr>
          <w:rFonts w:ascii="宋体" w:hAnsi="宋体" w:eastAsia="宋体" w:cs="宋体"/>
          <w:sz w:val="24"/>
          <w:szCs w:val="24"/>
        </w:rPr>
        <w:t xml:space="preserve"> </w:t>
      </w:r>
      <w:r>
        <w:rPr>
          <w:rFonts w:ascii="宋体" w:hAnsi="宋体" w:eastAsia="宋体" w:cs="宋体"/>
          <w:spacing w:val="19"/>
          <w:sz w:val="24"/>
          <w:szCs w:val="24"/>
        </w:rPr>
        <w:t>下水环境影</w:t>
      </w:r>
      <w:r>
        <w:rPr>
          <w:rFonts w:ascii="宋体" w:hAnsi="宋体" w:eastAsia="宋体" w:cs="宋体"/>
          <w:spacing w:val="-65"/>
          <w:sz w:val="24"/>
          <w:szCs w:val="24"/>
        </w:rPr>
        <w:t xml:space="preserve"> </w:t>
      </w:r>
      <w:r>
        <w:rPr>
          <w:rFonts w:ascii="宋体" w:hAnsi="宋体" w:eastAsia="宋体" w:cs="宋体"/>
          <w:spacing w:val="19"/>
          <w:sz w:val="24"/>
          <w:szCs w:val="24"/>
        </w:rPr>
        <w:t>响预测应包括环境质量现状值</w:t>
      </w:r>
      <w:r>
        <w:rPr>
          <w:rFonts w:ascii="宋体" w:hAnsi="宋体" w:eastAsia="宋体" w:cs="宋体"/>
          <w:spacing w:val="-61"/>
          <w:sz w:val="24"/>
          <w:szCs w:val="24"/>
        </w:rPr>
        <w:t xml:space="preserve"> </w:t>
      </w:r>
      <w:r>
        <w:rPr>
          <w:rFonts w:ascii="宋体" w:hAnsi="宋体" w:eastAsia="宋体" w:cs="宋体"/>
          <w:spacing w:val="19"/>
          <w:sz w:val="24"/>
          <w:szCs w:val="24"/>
        </w:rPr>
        <w:t>。根据现状监测</w:t>
      </w:r>
      <w:r>
        <w:rPr>
          <w:rFonts w:ascii="宋体" w:hAnsi="宋体" w:eastAsia="宋体" w:cs="宋体"/>
          <w:spacing w:val="-62"/>
          <w:sz w:val="24"/>
          <w:szCs w:val="24"/>
        </w:rPr>
        <w:t xml:space="preserve"> </w:t>
      </w:r>
      <w:r>
        <w:rPr>
          <w:rFonts w:ascii="宋体" w:hAnsi="宋体" w:eastAsia="宋体" w:cs="宋体"/>
          <w:spacing w:val="19"/>
          <w:sz w:val="24"/>
          <w:szCs w:val="24"/>
        </w:rPr>
        <w:t>，项</w:t>
      </w:r>
      <w:r>
        <w:rPr>
          <w:rFonts w:ascii="宋体" w:hAnsi="宋体" w:eastAsia="宋体" w:cs="宋体"/>
          <w:spacing w:val="-36"/>
          <w:sz w:val="24"/>
          <w:szCs w:val="24"/>
        </w:rPr>
        <w:t xml:space="preserve"> </w:t>
      </w:r>
      <w:r>
        <w:rPr>
          <w:rFonts w:ascii="宋体" w:hAnsi="宋体" w:eastAsia="宋体" w:cs="宋体"/>
          <w:spacing w:val="19"/>
          <w:sz w:val="24"/>
          <w:szCs w:val="24"/>
        </w:rPr>
        <w:t>目设定标准值为</w:t>
      </w:r>
      <w:r>
        <w:rPr>
          <w:rFonts w:ascii="宋体" w:hAnsi="宋体" w:eastAsia="宋体" w:cs="宋体"/>
          <w:sz w:val="24"/>
          <w:szCs w:val="24"/>
        </w:rPr>
        <w:t xml:space="preserve"> </w:t>
      </w:r>
      <w:r>
        <w:rPr>
          <w:rFonts w:ascii="Times New Roman" w:hAnsi="Times New Roman" w:eastAsia="Times New Roman" w:cs="Times New Roman"/>
          <w:spacing w:val="-1"/>
          <w:sz w:val="24"/>
          <w:szCs w:val="24"/>
        </w:rPr>
        <w:t>COD</w:t>
      </w:r>
      <w:r>
        <w:rPr>
          <w:rFonts w:ascii="Times New Roman" w:hAnsi="Times New Roman" w:eastAsia="Times New Roman" w:cs="Times New Roman"/>
          <w:spacing w:val="-1"/>
          <w:position w:val="-1"/>
          <w:sz w:val="15"/>
          <w:szCs w:val="15"/>
        </w:rPr>
        <w:t>Mn</w:t>
      </w:r>
      <w:r>
        <w:rPr>
          <w:rFonts w:ascii="Times New Roman" w:hAnsi="Times New Roman" w:eastAsia="Times New Roman" w:cs="Times New Roman"/>
          <w:spacing w:val="-1"/>
          <w:sz w:val="24"/>
          <w:szCs w:val="24"/>
        </w:rPr>
        <w:t>1.41mg/L</w:t>
      </w:r>
      <w:r>
        <w:rPr>
          <w:rFonts w:ascii="Times New Roman" w:hAnsi="Times New Roman" w:eastAsia="Times New Roman" w:cs="Times New Roman"/>
          <w:spacing w:val="-9"/>
          <w:sz w:val="24"/>
          <w:szCs w:val="24"/>
        </w:rPr>
        <w:t xml:space="preserve"> </w:t>
      </w:r>
      <w:r>
        <w:rPr>
          <w:rFonts w:ascii="宋体" w:hAnsi="宋体" w:eastAsia="宋体" w:cs="宋体"/>
          <w:spacing w:val="-1"/>
          <w:sz w:val="24"/>
          <w:szCs w:val="24"/>
        </w:rPr>
        <w:t>、石油类</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0.05mg/L</w:t>
      </w:r>
      <w:r>
        <w:rPr>
          <w:rFonts w:ascii="宋体" w:hAnsi="宋体" w:eastAsia="宋体" w:cs="宋体"/>
          <w:spacing w:val="-1"/>
          <w:sz w:val="24"/>
          <w:szCs w:val="24"/>
        </w:rPr>
        <w:t>（</w:t>
      </w:r>
      <w:r>
        <w:rPr>
          <w:rFonts w:ascii="Times New Roman" w:hAnsi="Times New Roman" w:eastAsia="Times New Roman" w:cs="Times New Roman"/>
          <w:spacing w:val="-1"/>
          <w:sz w:val="24"/>
          <w:szCs w:val="24"/>
        </w:rPr>
        <w:t>COD</w:t>
      </w:r>
      <w:r>
        <w:rPr>
          <w:rFonts w:ascii="Times New Roman" w:hAnsi="Times New Roman" w:eastAsia="Times New Roman" w:cs="Times New Roman"/>
          <w:spacing w:val="-1"/>
          <w:position w:val="-1"/>
          <w:sz w:val="15"/>
          <w:szCs w:val="15"/>
        </w:rPr>
        <w:t>Mn</w:t>
      </w:r>
      <w:r>
        <w:rPr>
          <w:rFonts w:ascii="Times New Roman" w:hAnsi="Times New Roman" w:eastAsia="Times New Roman" w:cs="Times New Roman"/>
          <w:spacing w:val="14"/>
          <w:position w:val="-1"/>
          <w:sz w:val="15"/>
          <w:szCs w:val="15"/>
        </w:rPr>
        <w:t xml:space="preserve"> </w:t>
      </w:r>
      <w:r>
        <w:rPr>
          <w:rFonts w:ascii="宋体" w:hAnsi="宋体" w:eastAsia="宋体" w:cs="宋体"/>
          <w:spacing w:val="-1"/>
          <w:sz w:val="24"/>
          <w:szCs w:val="24"/>
        </w:rPr>
        <w:t>检测值为</w:t>
      </w:r>
      <w:r>
        <w:rPr>
          <w:rFonts w:ascii="宋体" w:hAnsi="宋体" w:eastAsia="宋体" w:cs="宋体"/>
          <w:spacing w:val="-28"/>
          <w:sz w:val="24"/>
          <w:szCs w:val="24"/>
        </w:rPr>
        <w:t xml:space="preserve"> </w:t>
      </w:r>
      <w:r>
        <w:rPr>
          <w:rFonts w:ascii="Times New Roman" w:hAnsi="Times New Roman" w:eastAsia="Times New Roman" w:cs="Times New Roman"/>
          <w:spacing w:val="-1"/>
          <w:sz w:val="24"/>
          <w:szCs w:val="24"/>
        </w:rPr>
        <w:t>1.59mg/L</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、石油类低于检出限，</w:t>
      </w:r>
    </w:p>
    <w:p w14:paraId="5303ED56">
      <w:pPr>
        <w:spacing w:line="360" w:lineRule="auto"/>
        <w:rPr>
          <w:rFonts w:ascii="宋体" w:hAnsi="宋体" w:eastAsia="宋体" w:cs="宋体"/>
          <w:sz w:val="24"/>
          <w:szCs w:val="24"/>
        </w:rPr>
        <w:sectPr>
          <w:footerReference r:id="rId410" w:type="default"/>
          <w:pgSz w:w="11906" w:h="16839"/>
          <w:pgMar w:top="1191" w:right="1416" w:bottom="1221" w:left="1417" w:header="882" w:footer="1058" w:gutter="0"/>
          <w:cols w:space="720" w:num="1"/>
        </w:sectPr>
      </w:pPr>
    </w:p>
    <w:p w14:paraId="764C03F0">
      <w:pPr>
        <w:spacing w:line="28" w:lineRule="exact"/>
      </w:pPr>
      <w:r>
        <w:pict>
          <v:shape id="_x0000_s1938" o:spid="_x0000_s1938" style="height:1.45pt;width:453.65pt;" fillcolor="#000000" filled="t" stroked="f" coordsize="9072,29" path="m0,0l9072,0,9072,28,0,28,0,0xe">
            <v:path/>
            <v:fill on="t" focussize="0,0"/>
            <v:stroke on="f"/>
            <v:imagedata o:title=""/>
            <o:lock v:ext="edit"/>
            <w10:wrap type="none"/>
            <w10:anchorlock/>
          </v:shape>
        </w:pict>
      </w:r>
    </w:p>
    <w:p w14:paraId="5BB8C0B4">
      <w:pPr>
        <w:spacing w:before="317" w:line="219" w:lineRule="auto"/>
        <w:ind w:left="10"/>
        <w:rPr>
          <w:rFonts w:ascii="宋体" w:hAnsi="宋体" w:eastAsia="宋体" w:cs="宋体"/>
          <w:sz w:val="24"/>
          <w:szCs w:val="24"/>
        </w:rPr>
      </w:pPr>
      <w:r>
        <w:rPr>
          <w:rFonts w:ascii="宋体" w:hAnsi="宋体" w:eastAsia="宋体" w:cs="宋体"/>
          <w:spacing w:val="-2"/>
          <w:sz w:val="24"/>
          <w:szCs w:val="24"/>
        </w:rPr>
        <w:t>参照</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 xml:space="preserve">J4 </w:t>
      </w:r>
      <w:r>
        <w:rPr>
          <w:rFonts w:ascii="宋体" w:hAnsi="宋体" w:eastAsia="宋体" w:cs="宋体"/>
          <w:spacing w:val="-2"/>
          <w:sz w:val="24"/>
          <w:szCs w:val="24"/>
        </w:rPr>
        <w:t>监测点数据）。</w:t>
      </w:r>
    </w:p>
    <w:p w14:paraId="10467CEE">
      <w:pPr>
        <w:spacing w:before="192" w:line="219" w:lineRule="auto"/>
        <w:ind w:left="491"/>
        <w:rPr>
          <w:rFonts w:ascii="宋体" w:hAnsi="宋体" w:eastAsia="宋体" w:cs="宋体"/>
          <w:sz w:val="24"/>
          <w:szCs w:val="24"/>
        </w:rPr>
      </w:pPr>
      <w:r>
        <w:rPr>
          <w:rFonts w:ascii="宋体" w:hAnsi="宋体" w:eastAsia="宋体" w:cs="宋体"/>
          <w:spacing w:val="-2"/>
          <w:sz w:val="24"/>
          <w:szCs w:val="24"/>
        </w:rPr>
        <w:t>厂区北侧边界距离（沿地下水流方向）煤气冷凝废水隔油池</w:t>
      </w:r>
      <w:r>
        <w:rPr>
          <w:rFonts w:ascii="宋体" w:hAnsi="宋体" w:eastAsia="宋体" w:cs="宋体"/>
          <w:spacing w:val="-24"/>
          <w:sz w:val="24"/>
          <w:szCs w:val="24"/>
        </w:rPr>
        <w:t xml:space="preserve"> </w:t>
      </w:r>
      <w:r>
        <w:rPr>
          <w:rFonts w:ascii="Times New Roman" w:hAnsi="Times New Roman" w:eastAsia="Times New Roman" w:cs="Times New Roman"/>
          <w:spacing w:val="-2"/>
          <w:sz w:val="24"/>
          <w:szCs w:val="24"/>
        </w:rPr>
        <w:t>110m</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处。</w:t>
      </w:r>
    </w:p>
    <w:p w14:paraId="3E5FC411">
      <w:pPr>
        <w:spacing w:before="195" w:line="217" w:lineRule="auto"/>
        <w:ind w:left="486"/>
        <w:rPr>
          <w:rFonts w:ascii="宋体" w:hAnsi="宋体" w:eastAsia="宋体" w:cs="宋体"/>
          <w:sz w:val="24"/>
          <w:szCs w:val="24"/>
        </w:rPr>
      </w:pPr>
      <w:r>
        <w:rPr>
          <w:rFonts w:ascii="宋体" w:hAnsi="宋体" w:eastAsia="宋体" w:cs="宋体"/>
          <w:spacing w:val="-1"/>
          <w:sz w:val="24"/>
          <w:szCs w:val="24"/>
        </w:rPr>
        <w:t>④预测水文地质参数</w:t>
      </w:r>
    </w:p>
    <w:p w14:paraId="262CCA2F">
      <w:pPr>
        <w:spacing w:before="194" w:line="219" w:lineRule="auto"/>
        <w:ind w:left="489"/>
        <w:rPr>
          <w:rFonts w:ascii="宋体" w:hAnsi="宋体" w:eastAsia="宋体" w:cs="宋体"/>
          <w:sz w:val="24"/>
          <w:szCs w:val="24"/>
        </w:rPr>
      </w:pPr>
      <w:r>
        <w:rPr>
          <w:rFonts w:ascii="宋体" w:hAnsi="宋体" w:eastAsia="宋体" w:cs="宋体"/>
          <w:spacing w:val="-2"/>
          <w:sz w:val="24"/>
          <w:szCs w:val="24"/>
        </w:rPr>
        <w:t>本项目预测所需水文地质参数见表</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5.6-5</w:t>
      </w:r>
      <w:r>
        <w:rPr>
          <w:rFonts w:ascii="宋体" w:hAnsi="宋体" w:eastAsia="宋体" w:cs="宋体"/>
          <w:spacing w:val="-2"/>
          <w:sz w:val="24"/>
          <w:szCs w:val="24"/>
        </w:rPr>
        <w:t>。</w:t>
      </w:r>
    </w:p>
    <w:p w14:paraId="0191CDAE">
      <w:pPr>
        <w:spacing w:before="105" w:line="228" w:lineRule="auto"/>
        <w:ind w:left="2612"/>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3"/>
          <w:sz w:val="20"/>
          <w:szCs w:val="20"/>
        </w:rPr>
        <w:t xml:space="preserve"> </w:t>
      </w:r>
      <w:r>
        <w:rPr>
          <w:rFonts w:ascii="Times New Roman" w:hAnsi="Times New Roman" w:eastAsia="Times New Roman" w:cs="Times New Roman"/>
          <w:b/>
          <w:bCs/>
          <w:spacing w:val="5"/>
          <w:sz w:val="20"/>
          <w:szCs w:val="20"/>
        </w:rPr>
        <w:t xml:space="preserve">5.6-5        </w:t>
      </w:r>
      <w:r>
        <w:rPr>
          <w:rFonts w:ascii="宋体" w:hAnsi="宋体" w:eastAsia="宋体" w:cs="宋体"/>
          <w:b/>
          <w:bCs/>
          <w:spacing w:val="5"/>
          <w:sz w:val="20"/>
          <w:szCs w:val="20"/>
        </w:rPr>
        <w:t>预测所需水文地质参数一览表</w:t>
      </w:r>
    </w:p>
    <w:p w14:paraId="5C793318">
      <w:pPr>
        <w:spacing w:line="132" w:lineRule="exact"/>
      </w:pPr>
    </w:p>
    <w:tbl>
      <w:tblPr>
        <w:tblStyle w:val="5"/>
        <w:tblW w:w="9066"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43"/>
        <w:gridCol w:w="1359"/>
        <w:gridCol w:w="1265"/>
        <w:gridCol w:w="1216"/>
        <w:gridCol w:w="1152"/>
        <w:gridCol w:w="1488"/>
        <w:gridCol w:w="1443"/>
      </w:tblGrid>
      <w:tr w14:paraId="72095C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54" w:hRule="atLeast"/>
        </w:trPr>
        <w:tc>
          <w:tcPr>
            <w:tcW w:w="1143" w:type="dxa"/>
            <w:tcBorders>
              <w:top w:val="single" w:color="000000" w:sz="10" w:space="0"/>
              <w:left w:val="nil"/>
            </w:tcBorders>
            <w:vAlign w:val="top"/>
          </w:tcPr>
          <w:p w14:paraId="10D72812">
            <w:pPr>
              <w:pStyle w:val="6"/>
              <w:spacing w:before="36" w:line="192" w:lineRule="auto"/>
              <w:ind w:left="157"/>
              <w:rPr>
                <w:sz w:val="20"/>
                <w:szCs w:val="20"/>
              </w:rPr>
            </w:pPr>
            <w:r>
              <w:rPr>
                <w:spacing w:val="7"/>
                <w:sz w:val="20"/>
                <w:szCs w:val="20"/>
              </w:rPr>
              <w:t>渗透系数</w:t>
            </w:r>
          </w:p>
        </w:tc>
        <w:tc>
          <w:tcPr>
            <w:tcW w:w="1359" w:type="dxa"/>
            <w:tcBorders>
              <w:top w:val="single" w:color="000000" w:sz="10" w:space="0"/>
            </w:tcBorders>
            <w:vAlign w:val="top"/>
          </w:tcPr>
          <w:p w14:paraId="4115B38D">
            <w:pPr>
              <w:pStyle w:val="6"/>
              <w:spacing w:before="36" w:line="192" w:lineRule="auto"/>
              <w:ind w:left="160"/>
              <w:rPr>
                <w:sz w:val="20"/>
                <w:szCs w:val="20"/>
              </w:rPr>
            </w:pPr>
            <w:r>
              <w:rPr>
                <w:spacing w:val="8"/>
                <w:sz w:val="20"/>
                <w:szCs w:val="20"/>
              </w:rPr>
              <w:t>含水层厚度</w:t>
            </w:r>
          </w:p>
        </w:tc>
        <w:tc>
          <w:tcPr>
            <w:tcW w:w="1265" w:type="dxa"/>
            <w:tcBorders>
              <w:top w:val="single" w:color="000000" w:sz="10" w:space="0"/>
            </w:tcBorders>
            <w:vAlign w:val="top"/>
          </w:tcPr>
          <w:p w14:paraId="48C3440B">
            <w:pPr>
              <w:pStyle w:val="6"/>
              <w:spacing w:before="36" w:line="192" w:lineRule="auto"/>
              <w:ind w:left="112"/>
              <w:rPr>
                <w:sz w:val="20"/>
                <w:szCs w:val="20"/>
              </w:rPr>
            </w:pPr>
            <w:r>
              <w:rPr>
                <w:spacing w:val="7"/>
                <w:sz w:val="20"/>
                <w:szCs w:val="20"/>
              </w:rPr>
              <w:t>有效孔隙度</w:t>
            </w:r>
          </w:p>
        </w:tc>
        <w:tc>
          <w:tcPr>
            <w:tcW w:w="1216" w:type="dxa"/>
            <w:tcBorders>
              <w:top w:val="single" w:color="000000" w:sz="10" w:space="0"/>
            </w:tcBorders>
            <w:vAlign w:val="top"/>
          </w:tcPr>
          <w:p w14:paraId="66C9BFC3">
            <w:pPr>
              <w:pStyle w:val="6"/>
              <w:spacing w:before="36" w:line="192" w:lineRule="auto"/>
              <w:ind w:left="195"/>
              <w:rPr>
                <w:sz w:val="20"/>
                <w:szCs w:val="20"/>
              </w:rPr>
            </w:pPr>
            <w:r>
              <w:rPr>
                <w:spacing w:val="6"/>
                <w:sz w:val="20"/>
                <w:szCs w:val="20"/>
              </w:rPr>
              <w:t>水力梯度</w:t>
            </w:r>
          </w:p>
        </w:tc>
        <w:tc>
          <w:tcPr>
            <w:tcW w:w="1152" w:type="dxa"/>
            <w:tcBorders>
              <w:top w:val="single" w:color="000000" w:sz="10" w:space="0"/>
            </w:tcBorders>
            <w:vAlign w:val="top"/>
          </w:tcPr>
          <w:p w14:paraId="57E9599C">
            <w:pPr>
              <w:pStyle w:val="6"/>
              <w:spacing w:before="36" w:line="192" w:lineRule="auto"/>
              <w:ind w:left="162"/>
              <w:rPr>
                <w:sz w:val="20"/>
                <w:szCs w:val="20"/>
              </w:rPr>
            </w:pPr>
            <w:r>
              <w:rPr>
                <w:spacing w:val="6"/>
                <w:sz w:val="20"/>
                <w:szCs w:val="20"/>
              </w:rPr>
              <w:t>水流速度</w:t>
            </w:r>
          </w:p>
        </w:tc>
        <w:tc>
          <w:tcPr>
            <w:tcW w:w="1488" w:type="dxa"/>
            <w:tcBorders>
              <w:top w:val="single" w:color="000000" w:sz="10" w:space="0"/>
            </w:tcBorders>
            <w:vAlign w:val="top"/>
          </w:tcPr>
          <w:p w14:paraId="2CD90B43">
            <w:pPr>
              <w:pStyle w:val="6"/>
              <w:spacing w:before="36" w:line="192" w:lineRule="auto"/>
              <w:ind w:left="122"/>
              <w:rPr>
                <w:sz w:val="20"/>
                <w:szCs w:val="20"/>
              </w:rPr>
            </w:pPr>
            <w:r>
              <w:rPr>
                <w:spacing w:val="7"/>
                <w:sz w:val="20"/>
                <w:szCs w:val="20"/>
              </w:rPr>
              <w:t>纵向弥散系数</w:t>
            </w:r>
          </w:p>
        </w:tc>
        <w:tc>
          <w:tcPr>
            <w:tcW w:w="1443" w:type="dxa"/>
            <w:tcBorders>
              <w:top w:val="single" w:color="000000" w:sz="10" w:space="0"/>
              <w:right w:val="nil"/>
            </w:tcBorders>
            <w:vAlign w:val="top"/>
          </w:tcPr>
          <w:p w14:paraId="1717191C">
            <w:pPr>
              <w:pStyle w:val="6"/>
              <w:spacing w:before="36" w:line="192" w:lineRule="auto"/>
              <w:ind w:left="99"/>
              <w:rPr>
                <w:sz w:val="20"/>
                <w:szCs w:val="20"/>
              </w:rPr>
            </w:pPr>
            <w:r>
              <w:rPr>
                <w:spacing w:val="8"/>
                <w:sz w:val="20"/>
                <w:szCs w:val="20"/>
              </w:rPr>
              <w:t>横向弥散系数</w:t>
            </w:r>
          </w:p>
        </w:tc>
      </w:tr>
      <w:tr w14:paraId="7B2AC8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1143" w:type="dxa"/>
            <w:tcBorders>
              <w:left w:val="nil"/>
            </w:tcBorders>
            <w:vAlign w:val="top"/>
          </w:tcPr>
          <w:p w14:paraId="2D45FBF2">
            <w:pPr>
              <w:pStyle w:val="6"/>
              <w:spacing w:before="37" w:line="205" w:lineRule="auto"/>
              <w:ind w:left="122"/>
              <w:rPr>
                <w:sz w:val="20"/>
                <w:szCs w:val="20"/>
              </w:rPr>
            </w:pPr>
            <w:r>
              <w:rPr>
                <w:rFonts w:ascii="Times New Roman" w:hAnsi="Times New Roman" w:eastAsia="Times New Roman" w:cs="Times New Roman"/>
                <w:spacing w:val="4"/>
                <w:sz w:val="20"/>
                <w:szCs w:val="20"/>
              </w:rPr>
              <w:t>K</w:t>
            </w:r>
            <w:r>
              <w:rPr>
                <w:spacing w:val="4"/>
                <w:sz w:val="20"/>
                <w:szCs w:val="20"/>
              </w:rPr>
              <w:t>（</w:t>
            </w:r>
            <w:r>
              <w:rPr>
                <w:rFonts w:ascii="Times New Roman" w:hAnsi="Times New Roman" w:eastAsia="Times New Roman" w:cs="Times New Roman"/>
                <w:spacing w:val="4"/>
                <w:sz w:val="20"/>
                <w:szCs w:val="20"/>
              </w:rPr>
              <w:t>m/d</w:t>
            </w:r>
            <w:r>
              <w:rPr>
                <w:spacing w:val="4"/>
                <w:sz w:val="20"/>
                <w:szCs w:val="20"/>
              </w:rPr>
              <w:t>）</w:t>
            </w:r>
          </w:p>
        </w:tc>
        <w:tc>
          <w:tcPr>
            <w:tcW w:w="1359" w:type="dxa"/>
            <w:vAlign w:val="top"/>
          </w:tcPr>
          <w:p w14:paraId="38610861">
            <w:pPr>
              <w:pStyle w:val="6"/>
              <w:spacing w:before="37" w:line="205" w:lineRule="auto"/>
              <w:ind w:left="295"/>
              <w:rPr>
                <w:sz w:val="20"/>
                <w:szCs w:val="20"/>
              </w:rPr>
            </w:pPr>
            <w:r>
              <w:rPr>
                <w:rFonts w:ascii="Times New Roman" w:hAnsi="Times New Roman" w:eastAsia="Times New Roman" w:cs="Times New Roman"/>
                <w:spacing w:val="5"/>
                <w:sz w:val="20"/>
                <w:szCs w:val="20"/>
              </w:rPr>
              <w:t>M</w:t>
            </w:r>
            <w:r>
              <w:rPr>
                <w:spacing w:val="5"/>
                <w:sz w:val="20"/>
                <w:szCs w:val="20"/>
              </w:rPr>
              <w:t>（</w:t>
            </w:r>
            <w:r>
              <w:rPr>
                <w:rFonts w:ascii="Times New Roman" w:hAnsi="Times New Roman" w:eastAsia="Times New Roman" w:cs="Times New Roman"/>
                <w:spacing w:val="5"/>
                <w:sz w:val="20"/>
                <w:szCs w:val="20"/>
              </w:rPr>
              <w:t>m</w:t>
            </w:r>
            <w:r>
              <w:rPr>
                <w:spacing w:val="5"/>
                <w:sz w:val="20"/>
                <w:szCs w:val="20"/>
              </w:rPr>
              <w:t>）</w:t>
            </w:r>
          </w:p>
        </w:tc>
        <w:tc>
          <w:tcPr>
            <w:tcW w:w="1265" w:type="dxa"/>
            <w:vAlign w:val="top"/>
          </w:tcPr>
          <w:p w14:paraId="76D175D8">
            <w:pPr>
              <w:spacing w:before="119" w:line="141" w:lineRule="exact"/>
              <w:ind w:left="532"/>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ne</w:t>
            </w:r>
          </w:p>
        </w:tc>
        <w:tc>
          <w:tcPr>
            <w:tcW w:w="1216" w:type="dxa"/>
            <w:vAlign w:val="top"/>
          </w:tcPr>
          <w:p w14:paraId="73901DE7">
            <w:pPr>
              <w:pStyle w:val="6"/>
              <w:spacing w:before="37" w:line="205" w:lineRule="auto"/>
              <w:ind w:left="259"/>
              <w:rPr>
                <w:sz w:val="20"/>
                <w:szCs w:val="20"/>
              </w:rPr>
            </w:pPr>
            <w:r>
              <w:rPr>
                <w:rFonts w:ascii="Times New Roman" w:hAnsi="Times New Roman" w:eastAsia="Times New Roman" w:cs="Times New Roman"/>
                <w:spacing w:val="12"/>
                <w:sz w:val="20"/>
                <w:szCs w:val="20"/>
              </w:rPr>
              <w:t>I</w:t>
            </w:r>
            <w:r>
              <w:rPr>
                <w:rFonts w:ascii="Times New Roman" w:hAnsi="Times New Roman" w:eastAsia="Times New Roman" w:cs="Times New Roman"/>
                <w:spacing w:val="9"/>
                <w:sz w:val="20"/>
                <w:szCs w:val="20"/>
              </w:rPr>
              <w:t xml:space="preserve">  </w:t>
            </w:r>
            <w:r>
              <w:rPr>
                <w:spacing w:val="12"/>
                <w:sz w:val="20"/>
                <w:szCs w:val="20"/>
              </w:rPr>
              <w:t>(</w:t>
            </w:r>
            <w:r>
              <w:rPr>
                <w:rFonts w:ascii="Times New Roman" w:hAnsi="Times New Roman" w:eastAsia="Times New Roman" w:cs="Times New Roman"/>
                <w:spacing w:val="12"/>
                <w:sz w:val="20"/>
                <w:szCs w:val="20"/>
              </w:rPr>
              <w:t>⅐</w:t>
            </w:r>
            <w:r>
              <w:rPr>
                <w:spacing w:val="12"/>
                <w:sz w:val="20"/>
                <w:szCs w:val="20"/>
              </w:rPr>
              <w:t>)</w:t>
            </w:r>
          </w:p>
        </w:tc>
        <w:tc>
          <w:tcPr>
            <w:tcW w:w="1152" w:type="dxa"/>
            <w:vAlign w:val="top"/>
          </w:tcPr>
          <w:p w14:paraId="5A4A165F">
            <w:pPr>
              <w:pStyle w:val="6"/>
              <w:spacing w:before="37" w:line="205" w:lineRule="auto"/>
              <w:ind w:left="147"/>
              <w:rPr>
                <w:sz w:val="20"/>
                <w:szCs w:val="20"/>
              </w:rPr>
            </w:pPr>
            <w:r>
              <w:rPr>
                <w:rFonts w:ascii="Times New Roman" w:hAnsi="Times New Roman" w:eastAsia="Times New Roman" w:cs="Times New Roman"/>
                <w:spacing w:val="4"/>
                <w:sz w:val="20"/>
                <w:szCs w:val="20"/>
              </w:rPr>
              <w:t>u</w:t>
            </w:r>
            <w:r>
              <w:rPr>
                <w:spacing w:val="4"/>
                <w:sz w:val="20"/>
                <w:szCs w:val="20"/>
              </w:rPr>
              <w:t>（</w:t>
            </w:r>
            <w:r>
              <w:rPr>
                <w:rFonts w:ascii="Times New Roman" w:hAnsi="Times New Roman" w:eastAsia="Times New Roman" w:cs="Times New Roman"/>
                <w:spacing w:val="4"/>
                <w:sz w:val="20"/>
                <w:szCs w:val="20"/>
              </w:rPr>
              <w:t>m/d</w:t>
            </w:r>
            <w:r>
              <w:rPr>
                <w:spacing w:val="4"/>
                <w:sz w:val="20"/>
                <w:szCs w:val="20"/>
              </w:rPr>
              <w:t>）</w:t>
            </w:r>
          </w:p>
        </w:tc>
        <w:tc>
          <w:tcPr>
            <w:tcW w:w="1488" w:type="dxa"/>
            <w:vAlign w:val="top"/>
          </w:tcPr>
          <w:p w14:paraId="793BADE1">
            <w:pPr>
              <w:pStyle w:val="6"/>
              <w:spacing w:before="37" w:line="205" w:lineRule="auto"/>
              <w:ind w:left="196"/>
              <w:rPr>
                <w:sz w:val="20"/>
                <w:szCs w:val="20"/>
              </w:rPr>
            </w:pPr>
            <w:r>
              <w:rPr>
                <w:rFonts w:ascii="Times New Roman" w:hAnsi="Times New Roman" w:eastAsia="Times New Roman" w:cs="Times New Roman"/>
                <w:sz w:val="20"/>
                <w:szCs w:val="20"/>
              </w:rPr>
              <w:t>DL</w:t>
            </w:r>
            <w:r>
              <w:rPr>
                <w:spacing w:val="6"/>
                <w:sz w:val="20"/>
                <w:szCs w:val="20"/>
              </w:rPr>
              <w:t>（</w:t>
            </w:r>
            <w:r>
              <w:rPr>
                <w:rFonts w:ascii="Times New Roman" w:hAnsi="Times New Roman" w:eastAsia="Times New Roman" w:cs="Times New Roman"/>
                <w:spacing w:val="6"/>
                <w:sz w:val="20"/>
                <w:szCs w:val="20"/>
              </w:rPr>
              <w:t>m</w:t>
            </w:r>
            <w:r>
              <w:rPr>
                <w:rFonts w:ascii="Times New Roman" w:hAnsi="Times New Roman" w:eastAsia="Times New Roman" w:cs="Times New Roman"/>
                <w:spacing w:val="6"/>
                <w:position w:val="6"/>
                <w:sz w:val="13"/>
                <w:szCs w:val="13"/>
              </w:rPr>
              <w:t>2</w:t>
            </w:r>
            <w:r>
              <w:rPr>
                <w:rFonts w:ascii="Times New Roman" w:hAnsi="Times New Roman" w:eastAsia="Times New Roman" w:cs="Times New Roman"/>
                <w:spacing w:val="6"/>
                <w:sz w:val="20"/>
                <w:szCs w:val="20"/>
              </w:rPr>
              <w:t>/d</w:t>
            </w:r>
            <w:r>
              <w:rPr>
                <w:spacing w:val="6"/>
                <w:sz w:val="20"/>
                <w:szCs w:val="20"/>
              </w:rPr>
              <w:t>）</w:t>
            </w:r>
          </w:p>
        </w:tc>
        <w:tc>
          <w:tcPr>
            <w:tcW w:w="1443" w:type="dxa"/>
            <w:tcBorders>
              <w:right w:val="nil"/>
            </w:tcBorders>
            <w:vAlign w:val="top"/>
          </w:tcPr>
          <w:p w14:paraId="265AC0E7">
            <w:pPr>
              <w:pStyle w:val="6"/>
              <w:spacing w:before="37" w:line="205" w:lineRule="auto"/>
              <w:ind w:left="177"/>
              <w:rPr>
                <w:sz w:val="20"/>
                <w:szCs w:val="20"/>
              </w:rPr>
            </w:pPr>
            <w:r>
              <w:rPr>
                <w:rFonts w:ascii="Times New Roman" w:hAnsi="Times New Roman" w:eastAsia="Times New Roman" w:cs="Times New Roman"/>
                <w:sz w:val="20"/>
                <w:szCs w:val="20"/>
              </w:rPr>
              <w:t>DT</w:t>
            </w:r>
            <w:r>
              <w:rPr>
                <w:spacing w:val="6"/>
                <w:sz w:val="20"/>
                <w:szCs w:val="20"/>
              </w:rPr>
              <w:t>（</w:t>
            </w:r>
            <w:r>
              <w:rPr>
                <w:rFonts w:ascii="Times New Roman" w:hAnsi="Times New Roman" w:eastAsia="Times New Roman" w:cs="Times New Roman"/>
                <w:spacing w:val="6"/>
                <w:sz w:val="20"/>
                <w:szCs w:val="20"/>
              </w:rPr>
              <w:t>m</w:t>
            </w:r>
            <w:r>
              <w:rPr>
                <w:rFonts w:ascii="Times New Roman" w:hAnsi="Times New Roman" w:eastAsia="Times New Roman" w:cs="Times New Roman"/>
                <w:spacing w:val="6"/>
                <w:position w:val="6"/>
                <w:sz w:val="13"/>
                <w:szCs w:val="13"/>
              </w:rPr>
              <w:t>2</w:t>
            </w:r>
            <w:r>
              <w:rPr>
                <w:rFonts w:ascii="Times New Roman" w:hAnsi="Times New Roman" w:eastAsia="Times New Roman" w:cs="Times New Roman"/>
                <w:spacing w:val="6"/>
                <w:sz w:val="20"/>
                <w:szCs w:val="20"/>
              </w:rPr>
              <w:t>/d</w:t>
            </w:r>
            <w:r>
              <w:rPr>
                <w:spacing w:val="6"/>
                <w:sz w:val="20"/>
                <w:szCs w:val="20"/>
              </w:rPr>
              <w:t>）</w:t>
            </w:r>
          </w:p>
        </w:tc>
      </w:tr>
      <w:tr w14:paraId="211C79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3" w:hRule="atLeast"/>
        </w:trPr>
        <w:tc>
          <w:tcPr>
            <w:tcW w:w="1143" w:type="dxa"/>
            <w:tcBorders>
              <w:left w:val="nil"/>
              <w:bottom w:val="single" w:color="000000" w:sz="10" w:space="0"/>
            </w:tcBorders>
            <w:vAlign w:val="top"/>
          </w:tcPr>
          <w:p w14:paraId="6C140D9B">
            <w:pPr>
              <w:spacing w:before="82" w:line="195" w:lineRule="auto"/>
              <w:ind w:left="4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1.15</w:t>
            </w:r>
          </w:p>
        </w:tc>
        <w:tc>
          <w:tcPr>
            <w:tcW w:w="1359" w:type="dxa"/>
            <w:tcBorders>
              <w:bottom w:val="single" w:color="000000" w:sz="10" w:space="0"/>
            </w:tcBorders>
            <w:vAlign w:val="top"/>
          </w:tcPr>
          <w:p w14:paraId="533E4061">
            <w:pPr>
              <w:spacing w:before="82" w:line="195" w:lineRule="auto"/>
              <w:ind w:left="49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4.71</w:t>
            </w:r>
          </w:p>
        </w:tc>
        <w:tc>
          <w:tcPr>
            <w:tcW w:w="1265" w:type="dxa"/>
            <w:tcBorders>
              <w:bottom w:val="single" w:color="000000" w:sz="10" w:space="0"/>
            </w:tcBorders>
            <w:vAlign w:val="top"/>
          </w:tcPr>
          <w:p w14:paraId="36112D72">
            <w:pPr>
              <w:spacing w:before="82" w:line="195" w:lineRule="auto"/>
              <w:ind w:left="45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0.10</w:t>
            </w:r>
          </w:p>
        </w:tc>
        <w:tc>
          <w:tcPr>
            <w:tcW w:w="1216" w:type="dxa"/>
            <w:tcBorders>
              <w:bottom w:val="single" w:color="000000" w:sz="10" w:space="0"/>
            </w:tcBorders>
            <w:vAlign w:val="top"/>
          </w:tcPr>
          <w:p w14:paraId="6C7BB038">
            <w:pPr>
              <w:spacing w:before="82" w:line="195" w:lineRule="auto"/>
              <w:ind w:left="44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1.08</w:t>
            </w:r>
          </w:p>
        </w:tc>
        <w:tc>
          <w:tcPr>
            <w:tcW w:w="1152" w:type="dxa"/>
            <w:tcBorders>
              <w:bottom w:val="single" w:color="000000" w:sz="10" w:space="0"/>
            </w:tcBorders>
            <w:vAlign w:val="top"/>
          </w:tcPr>
          <w:p w14:paraId="515919C1">
            <w:pPr>
              <w:spacing w:before="82" w:line="195" w:lineRule="auto"/>
              <w:ind w:left="29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1242</w:t>
            </w:r>
          </w:p>
        </w:tc>
        <w:tc>
          <w:tcPr>
            <w:tcW w:w="1488" w:type="dxa"/>
            <w:tcBorders>
              <w:bottom w:val="single" w:color="000000" w:sz="10" w:space="0"/>
            </w:tcBorders>
            <w:vAlign w:val="top"/>
          </w:tcPr>
          <w:p w14:paraId="459D0530">
            <w:pPr>
              <w:spacing w:before="82" w:line="195" w:lineRule="auto"/>
              <w:ind w:left="52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1.242</w:t>
            </w:r>
          </w:p>
        </w:tc>
        <w:tc>
          <w:tcPr>
            <w:tcW w:w="1443" w:type="dxa"/>
            <w:tcBorders>
              <w:bottom w:val="single" w:color="000000" w:sz="10" w:space="0"/>
              <w:right w:val="nil"/>
            </w:tcBorders>
            <w:vAlign w:val="top"/>
          </w:tcPr>
          <w:p w14:paraId="23516210">
            <w:pPr>
              <w:spacing w:before="82" w:line="195" w:lineRule="auto"/>
              <w:ind w:left="44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1"/>
                <w:sz w:val="20"/>
                <w:szCs w:val="20"/>
              </w:rPr>
              <w:t>1242</w:t>
            </w:r>
          </w:p>
        </w:tc>
      </w:tr>
    </w:tbl>
    <w:p w14:paraId="3528DAEC">
      <w:pPr>
        <w:spacing w:before="120" w:line="218"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）预测结果分析与评价</w:t>
      </w:r>
    </w:p>
    <w:p w14:paraId="0C1B7D06">
      <w:pPr>
        <w:spacing w:before="195" w:line="354" w:lineRule="auto"/>
        <w:ind w:left="7" w:right="1" w:firstLine="484"/>
        <w:rPr>
          <w:rFonts w:ascii="宋体" w:hAnsi="宋体" w:eastAsia="宋体" w:cs="宋体"/>
          <w:sz w:val="24"/>
          <w:szCs w:val="24"/>
        </w:rPr>
      </w:pPr>
      <w:r>
        <w:rPr>
          <w:rFonts w:ascii="宋体" w:hAnsi="宋体" w:eastAsia="宋体" w:cs="宋体"/>
          <w:spacing w:val="-3"/>
          <w:sz w:val="24"/>
          <w:szCs w:val="24"/>
        </w:rPr>
        <w:t>本项目厂区北侧边界（沿地下水流方向）处地下水环境中污染物</w:t>
      </w:r>
      <w:r>
        <w:rPr>
          <w:rFonts w:ascii="宋体" w:hAnsi="宋体" w:eastAsia="宋体" w:cs="宋体"/>
          <w:spacing w:val="-47"/>
          <w:sz w:val="24"/>
          <w:szCs w:val="24"/>
        </w:rPr>
        <w:t xml:space="preserve"> </w:t>
      </w:r>
      <w:r>
        <w:rPr>
          <w:rFonts w:ascii="Times New Roman" w:hAnsi="Times New Roman" w:eastAsia="Times New Roman" w:cs="Times New Roman"/>
          <w:spacing w:val="-3"/>
          <w:sz w:val="24"/>
          <w:szCs w:val="24"/>
        </w:rPr>
        <w:t>COD</w:t>
      </w:r>
      <w:r>
        <w:rPr>
          <w:rFonts w:ascii="Times New Roman" w:hAnsi="Times New Roman" w:eastAsia="Times New Roman" w:cs="Times New Roman"/>
          <w:spacing w:val="-3"/>
          <w:position w:val="-1"/>
          <w:sz w:val="15"/>
          <w:szCs w:val="15"/>
        </w:rPr>
        <w:t>mn</w:t>
      </w:r>
      <w:r>
        <w:rPr>
          <w:rFonts w:ascii="宋体" w:hAnsi="宋体" w:eastAsia="宋体" w:cs="宋体"/>
          <w:spacing w:val="-3"/>
          <w:sz w:val="24"/>
          <w:szCs w:val="24"/>
        </w:rPr>
        <w:t>、石油类浓</w:t>
      </w:r>
      <w:r>
        <w:rPr>
          <w:rFonts w:ascii="宋体" w:hAnsi="宋体" w:eastAsia="宋体" w:cs="宋体"/>
          <w:sz w:val="24"/>
          <w:szCs w:val="24"/>
        </w:rPr>
        <w:t xml:space="preserve"> </w:t>
      </w:r>
      <w:r>
        <w:rPr>
          <w:rFonts w:ascii="宋体" w:hAnsi="宋体" w:eastAsia="宋体" w:cs="宋体"/>
          <w:spacing w:val="-2"/>
          <w:sz w:val="24"/>
          <w:szCs w:val="24"/>
        </w:rPr>
        <w:t>度变化预测结果见表</w:t>
      </w:r>
      <w:r>
        <w:rPr>
          <w:rFonts w:ascii="宋体" w:hAnsi="宋体" w:eastAsia="宋体" w:cs="宋体"/>
          <w:spacing w:val="-41"/>
          <w:sz w:val="24"/>
          <w:szCs w:val="24"/>
        </w:rPr>
        <w:t xml:space="preserve"> </w:t>
      </w:r>
      <w:r>
        <w:rPr>
          <w:rFonts w:ascii="Times New Roman" w:hAnsi="Times New Roman" w:eastAsia="Times New Roman" w:cs="Times New Roman"/>
          <w:spacing w:val="-2"/>
          <w:sz w:val="24"/>
          <w:szCs w:val="24"/>
        </w:rPr>
        <w:t>5.6-6</w:t>
      </w:r>
      <w:r>
        <w:rPr>
          <w:rFonts w:ascii="宋体" w:hAnsi="宋体" w:eastAsia="宋体" w:cs="宋体"/>
          <w:spacing w:val="-2"/>
          <w:sz w:val="24"/>
          <w:szCs w:val="24"/>
        </w:rPr>
        <w:t>。</w:t>
      </w:r>
    </w:p>
    <w:p w14:paraId="21411444">
      <w:pPr>
        <w:spacing w:before="51" w:line="228" w:lineRule="auto"/>
        <w:ind w:left="450"/>
        <w:rPr>
          <w:rFonts w:ascii="宋体" w:hAnsi="宋体" w:eastAsia="宋体" w:cs="宋体"/>
          <w:sz w:val="20"/>
          <w:szCs w:val="20"/>
        </w:rPr>
      </w:pPr>
      <w:r>
        <w:rPr>
          <w:rFonts w:ascii="宋体" w:hAnsi="宋体" w:eastAsia="宋体" w:cs="宋体"/>
          <w:b/>
          <w:bCs/>
          <w:spacing w:val="7"/>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7"/>
          <w:sz w:val="20"/>
          <w:szCs w:val="20"/>
        </w:rPr>
        <w:t xml:space="preserve">5.6-6      </w:t>
      </w:r>
      <w:r>
        <w:rPr>
          <w:rFonts w:ascii="宋体" w:hAnsi="宋体" w:eastAsia="宋体" w:cs="宋体"/>
          <w:b/>
          <w:bCs/>
          <w:spacing w:val="7"/>
          <w:sz w:val="20"/>
          <w:szCs w:val="20"/>
        </w:rPr>
        <w:t>厂区北侧边界（沿地下水流方向）处地下水环境中污染物浓度变化预测结</w:t>
      </w:r>
      <w:r>
        <w:rPr>
          <w:rFonts w:ascii="宋体" w:hAnsi="宋体" w:eastAsia="宋体" w:cs="宋体"/>
          <w:b/>
          <w:bCs/>
          <w:spacing w:val="6"/>
          <w:sz w:val="20"/>
          <w:szCs w:val="20"/>
        </w:rPr>
        <w:t>果表</w:t>
      </w:r>
    </w:p>
    <w:p w14:paraId="29C8E768">
      <w:pPr>
        <w:spacing w:line="98" w:lineRule="exact"/>
      </w:pPr>
    </w:p>
    <w:tbl>
      <w:tblPr>
        <w:tblStyle w:val="5"/>
        <w:tblW w:w="9067" w:type="dxa"/>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80"/>
        <w:gridCol w:w="1369"/>
        <w:gridCol w:w="3701"/>
        <w:gridCol w:w="3017"/>
      </w:tblGrid>
      <w:tr w14:paraId="46E930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 w:hRule="atLeast"/>
        </w:trPr>
        <w:tc>
          <w:tcPr>
            <w:tcW w:w="980" w:type="dxa"/>
            <w:tcBorders>
              <w:top w:val="single" w:color="000000" w:sz="10" w:space="0"/>
              <w:left w:val="nil"/>
            </w:tcBorders>
            <w:vAlign w:val="top"/>
          </w:tcPr>
          <w:p w14:paraId="73476D85">
            <w:pPr>
              <w:pStyle w:val="6"/>
              <w:spacing w:before="36" w:line="197" w:lineRule="auto"/>
              <w:ind w:left="285"/>
              <w:rPr>
                <w:sz w:val="20"/>
                <w:szCs w:val="20"/>
              </w:rPr>
            </w:pPr>
            <w:r>
              <w:rPr>
                <w:spacing w:val="5"/>
                <w:sz w:val="20"/>
                <w:szCs w:val="20"/>
              </w:rPr>
              <w:t>序号</w:t>
            </w:r>
          </w:p>
        </w:tc>
        <w:tc>
          <w:tcPr>
            <w:tcW w:w="1369" w:type="dxa"/>
            <w:tcBorders>
              <w:top w:val="single" w:color="000000" w:sz="10" w:space="0"/>
            </w:tcBorders>
            <w:vAlign w:val="top"/>
          </w:tcPr>
          <w:p w14:paraId="65AAA093">
            <w:pPr>
              <w:pStyle w:val="6"/>
              <w:spacing w:before="36" w:line="197" w:lineRule="auto"/>
              <w:ind w:left="391"/>
              <w:rPr>
                <w:sz w:val="20"/>
                <w:szCs w:val="20"/>
              </w:rPr>
            </w:pPr>
            <w:r>
              <w:rPr>
                <w:rFonts w:ascii="Times New Roman" w:hAnsi="Times New Roman" w:eastAsia="Times New Roman" w:cs="Times New Roman"/>
                <w:spacing w:val="4"/>
                <w:sz w:val="20"/>
                <w:szCs w:val="20"/>
              </w:rPr>
              <w:t>t</w:t>
            </w:r>
            <w:r>
              <w:rPr>
                <w:spacing w:val="4"/>
                <w:sz w:val="20"/>
                <w:szCs w:val="20"/>
              </w:rPr>
              <w:t>（</w:t>
            </w:r>
            <w:r>
              <w:rPr>
                <w:rFonts w:ascii="Times New Roman" w:hAnsi="Times New Roman" w:eastAsia="Times New Roman" w:cs="Times New Roman"/>
                <w:spacing w:val="4"/>
                <w:sz w:val="20"/>
                <w:szCs w:val="20"/>
              </w:rPr>
              <w:t>d</w:t>
            </w:r>
            <w:r>
              <w:rPr>
                <w:spacing w:val="4"/>
                <w:sz w:val="20"/>
                <w:szCs w:val="20"/>
              </w:rPr>
              <w:t>）</w:t>
            </w:r>
          </w:p>
        </w:tc>
        <w:tc>
          <w:tcPr>
            <w:tcW w:w="3701" w:type="dxa"/>
            <w:tcBorders>
              <w:top w:val="single" w:color="000000" w:sz="10" w:space="0"/>
            </w:tcBorders>
            <w:vAlign w:val="top"/>
          </w:tcPr>
          <w:p w14:paraId="106B54D0">
            <w:pPr>
              <w:pStyle w:val="6"/>
              <w:spacing w:before="36" w:line="197" w:lineRule="auto"/>
              <w:ind w:left="1109"/>
              <w:rPr>
                <w:sz w:val="20"/>
                <w:szCs w:val="20"/>
              </w:rPr>
            </w:pPr>
            <w:r>
              <w:rPr>
                <w:rFonts w:ascii="Times New Roman" w:hAnsi="Times New Roman" w:eastAsia="Times New Roman" w:cs="Times New Roman"/>
                <w:sz w:val="20"/>
                <w:szCs w:val="20"/>
              </w:rPr>
              <w:t>COD</w:t>
            </w:r>
            <w:r>
              <w:rPr>
                <w:rFonts w:ascii="Times New Roman" w:hAnsi="Times New Roman" w:eastAsia="Times New Roman" w:cs="Times New Roman"/>
                <w:position w:val="-1"/>
                <w:sz w:val="13"/>
                <w:szCs w:val="13"/>
              </w:rPr>
              <w:t>mn</w:t>
            </w:r>
            <w:r>
              <w:rPr>
                <w:spacing w:val="13"/>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13"/>
                <w:sz w:val="20"/>
                <w:szCs w:val="20"/>
              </w:rPr>
              <w:t>/L</w:t>
            </w:r>
            <w:r>
              <w:rPr>
                <w:spacing w:val="13"/>
                <w:sz w:val="20"/>
                <w:szCs w:val="20"/>
              </w:rPr>
              <w:t>）</w:t>
            </w:r>
          </w:p>
        </w:tc>
        <w:tc>
          <w:tcPr>
            <w:tcW w:w="3017" w:type="dxa"/>
            <w:tcBorders>
              <w:top w:val="single" w:color="000000" w:sz="10" w:space="0"/>
              <w:right w:val="nil"/>
            </w:tcBorders>
            <w:vAlign w:val="top"/>
          </w:tcPr>
          <w:p w14:paraId="4511416E">
            <w:pPr>
              <w:pStyle w:val="6"/>
              <w:spacing w:before="36" w:line="197" w:lineRule="auto"/>
              <w:ind w:left="764"/>
              <w:rPr>
                <w:sz w:val="20"/>
                <w:szCs w:val="20"/>
              </w:rPr>
            </w:pPr>
            <w:r>
              <w:rPr>
                <w:spacing w:val="7"/>
                <w:sz w:val="20"/>
                <w:szCs w:val="20"/>
              </w:rPr>
              <w:t>石油类（</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/L</w:t>
            </w:r>
            <w:r>
              <w:rPr>
                <w:spacing w:val="7"/>
                <w:sz w:val="20"/>
                <w:szCs w:val="20"/>
              </w:rPr>
              <w:t>）</w:t>
            </w:r>
          </w:p>
        </w:tc>
      </w:tr>
      <w:tr w14:paraId="0C5041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5A1E9317">
            <w:pPr>
              <w:spacing w:before="49" w:line="195" w:lineRule="auto"/>
              <w:ind w:left="460"/>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369" w:type="dxa"/>
            <w:vAlign w:val="top"/>
          </w:tcPr>
          <w:p w14:paraId="1767D318">
            <w:pPr>
              <w:spacing w:before="49" w:line="195" w:lineRule="auto"/>
              <w:ind w:left="5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3701" w:type="dxa"/>
            <w:vAlign w:val="top"/>
          </w:tcPr>
          <w:p w14:paraId="4C27D17E">
            <w:pPr>
              <w:spacing w:before="49" w:line="195" w:lineRule="auto"/>
              <w:ind w:left="144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0.00E+00</w:t>
            </w:r>
          </w:p>
        </w:tc>
        <w:tc>
          <w:tcPr>
            <w:tcW w:w="3017" w:type="dxa"/>
            <w:tcBorders>
              <w:right w:val="nil"/>
            </w:tcBorders>
            <w:vAlign w:val="top"/>
          </w:tcPr>
          <w:p w14:paraId="1E9F3244">
            <w:pPr>
              <w:spacing w:before="49" w:line="195" w:lineRule="auto"/>
              <w:ind w:left="11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0.00E+00</w:t>
            </w:r>
          </w:p>
        </w:tc>
      </w:tr>
      <w:tr w14:paraId="6EA594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671FD321">
            <w:pPr>
              <w:spacing w:before="50" w:line="195" w:lineRule="auto"/>
              <w:ind w:left="440"/>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369" w:type="dxa"/>
            <w:vAlign w:val="top"/>
          </w:tcPr>
          <w:p w14:paraId="4518A4C9">
            <w:pPr>
              <w:spacing w:before="50" w:line="195" w:lineRule="auto"/>
              <w:ind w:left="527"/>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400</w:t>
            </w:r>
          </w:p>
        </w:tc>
        <w:tc>
          <w:tcPr>
            <w:tcW w:w="3701" w:type="dxa"/>
            <w:vAlign w:val="top"/>
          </w:tcPr>
          <w:p w14:paraId="0401FE8A">
            <w:pPr>
              <w:spacing w:before="50" w:line="195" w:lineRule="auto"/>
              <w:ind w:left="144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0.00E+00</w:t>
            </w:r>
          </w:p>
        </w:tc>
        <w:tc>
          <w:tcPr>
            <w:tcW w:w="3017" w:type="dxa"/>
            <w:tcBorders>
              <w:right w:val="nil"/>
            </w:tcBorders>
            <w:vAlign w:val="top"/>
          </w:tcPr>
          <w:p w14:paraId="2BDB7015">
            <w:pPr>
              <w:spacing w:before="50" w:line="195" w:lineRule="auto"/>
              <w:ind w:left="11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0.00E+00</w:t>
            </w:r>
          </w:p>
        </w:tc>
      </w:tr>
      <w:tr w14:paraId="7F3DE2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57DD4E55">
            <w:pPr>
              <w:spacing w:before="51" w:line="195" w:lineRule="auto"/>
              <w:ind w:left="444"/>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369" w:type="dxa"/>
            <w:vAlign w:val="top"/>
          </w:tcPr>
          <w:p w14:paraId="7E3E6682">
            <w:pPr>
              <w:spacing w:before="51" w:line="195" w:lineRule="auto"/>
              <w:ind w:left="53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600</w:t>
            </w:r>
          </w:p>
        </w:tc>
        <w:tc>
          <w:tcPr>
            <w:tcW w:w="3701" w:type="dxa"/>
            <w:vAlign w:val="top"/>
          </w:tcPr>
          <w:p w14:paraId="1C862883">
            <w:pPr>
              <w:spacing w:before="51" w:line="195" w:lineRule="auto"/>
              <w:ind w:left="147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6.59E-13</w:t>
            </w:r>
          </w:p>
        </w:tc>
        <w:tc>
          <w:tcPr>
            <w:tcW w:w="3017" w:type="dxa"/>
            <w:tcBorders>
              <w:right w:val="nil"/>
            </w:tcBorders>
            <w:vAlign w:val="top"/>
          </w:tcPr>
          <w:p w14:paraId="1765B47B">
            <w:pPr>
              <w:spacing w:before="51" w:line="195" w:lineRule="auto"/>
              <w:ind w:left="112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2.46E-12</w:t>
            </w:r>
          </w:p>
        </w:tc>
      </w:tr>
      <w:tr w14:paraId="1AB082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0119DD54">
            <w:pPr>
              <w:spacing w:before="53" w:line="195"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369" w:type="dxa"/>
            <w:vAlign w:val="top"/>
          </w:tcPr>
          <w:p w14:paraId="3C3BBC0C">
            <w:pPr>
              <w:spacing w:before="53" w:line="195" w:lineRule="auto"/>
              <w:ind w:left="536"/>
              <w:rPr>
                <w:rFonts w:ascii="Times New Roman" w:hAnsi="Times New Roman" w:eastAsia="Times New Roman" w:cs="Times New Roman"/>
                <w:sz w:val="20"/>
                <w:szCs w:val="20"/>
              </w:rPr>
            </w:pPr>
            <w:r>
              <w:rPr>
                <w:rFonts w:ascii="Times New Roman" w:hAnsi="Times New Roman" w:eastAsia="Times New Roman" w:cs="Times New Roman"/>
                <w:sz w:val="20"/>
                <w:szCs w:val="20"/>
              </w:rPr>
              <w:t>800</w:t>
            </w:r>
          </w:p>
        </w:tc>
        <w:tc>
          <w:tcPr>
            <w:tcW w:w="3701" w:type="dxa"/>
            <w:vAlign w:val="top"/>
          </w:tcPr>
          <w:p w14:paraId="06830223">
            <w:pPr>
              <w:spacing w:before="53" w:line="195" w:lineRule="auto"/>
              <w:ind w:left="14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1.55E-08</w:t>
            </w:r>
          </w:p>
        </w:tc>
        <w:tc>
          <w:tcPr>
            <w:tcW w:w="3017" w:type="dxa"/>
            <w:tcBorders>
              <w:right w:val="nil"/>
            </w:tcBorders>
            <w:vAlign w:val="top"/>
          </w:tcPr>
          <w:p w14:paraId="4976E4AF">
            <w:pPr>
              <w:spacing w:before="53" w:line="195" w:lineRule="auto"/>
              <w:ind w:left="113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5.79E-08</w:t>
            </w:r>
          </w:p>
        </w:tc>
      </w:tr>
      <w:tr w14:paraId="42335C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5BA26969">
            <w:pPr>
              <w:spacing w:before="57" w:line="192" w:lineRule="auto"/>
              <w:ind w:left="446"/>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1369" w:type="dxa"/>
            <w:vAlign w:val="top"/>
          </w:tcPr>
          <w:p w14:paraId="36C9B282">
            <w:pPr>
              <w:spacing w:before="54"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1000</w:t>
            </w:r>
          </w:p>
        </w:tc>
        <w:tc>
          <w:tcPr>
            <w:tcW w:w="3701" w:type="dxa"/>
            <w:vAlign w:val="top"/>
          </w:tcPr>
          <w:p w14:paraId="715230A7">
            <w:pPr>
              <w:spacing w:before="54" w:line="195" w:lineRule="auto"/>
              <w:ind w:left="14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5.67E-06</w:t>
            </w:r>
          </w:p>
        </w:tc>
        <w:tc>
          <w:tcPr>
            <w:tcW w:w="3017" w:type="dxa"/>
            <w:tcBorders>
              <w:right w:val="nil"/>
            </w:tcBorders>
            <w:vAlign w:val="top"/>
          </w:tcPr>
          <w:p w14:paraId="15438782">
            <w:pPr>
              <w:spacing w:before="54" w:line="195" w:lineRule="auto"/>
              <w:ind w:left="1124"/>
              <w:rPr>
                <w:rFonts w:ascii="Times New Roman" w:hAnsi="Times New Roman" w:eastAsia="Times New Roman" w:cs="Times New Roman"/>
                <w:sz w:val="20"/>
                <w:szCs w:val="20"/>
              </w:rPr>
            </w:pPr>
            <w:r>
              <w:rPr>
                <w:rFonts w:ascii="Times New Roman" w:hAnsi="Times New Roman" w:eastAsia="Times New Roman" w:cs="Times New Roman"/>
                <w:sz w:val="20"/>
                <w:szCs w:val="20"/>
              </w:rPr>
              <w:t>2.</w:t>
            </w:r>
            <w:r>
              <w:rPr>
                <w:rFonts w:ascii="Times New Roman" w:hAnsi="Times New Roman" w:eastAsia="Times New Roman" w:cs="Times New Roman"/>
                <w:spacing w:val="-21"/>
                <w:sz w:val="20"/>
                <w:szCs w:val="20"/>
              </w:rPr>
              <w:t xml:space="preserve"> </w:t>
            </w:r>
            <w:r>
              <w:rPr>
                <w:rFonts w:ascii="Times New Roman" w:hAnsi="Times New Roman" w:eastAsia="Times New Roman" w:cs="Times New Roman"/>
                <w:sz w:val="20"/>
                <w:szCs w:val="20"/>
              </w:rPr>
              <w:t>11E-05</w:t>
            </w:r>
          </w:p>
        </w:tc>
      </w:tr>
      <w:tr w14:paraId="3D533A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18DF92BE">
            <w:pPr>
              <w:spacing w:before="53" w:line="195" w:lineRule="auto"/>
              <w:ind w:left="445"/>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369" w:type="dxa"/>
            <w:vAlign w:val="top"/>
          </w:tcPr>
          <w:p w14:paraId="21BAA1DD">
            <w:pPr>
              <w:spacing w:before="53"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1200</w:t>
            </w:r>
          </w:p>
        </w:tc>
        <w:tc>
          <w:tcPr>
            <w:tcW w:w="3701" w:type="dxa"/>
            <w:vAlign w:val="top"/>
          </w:tcPr>
          <w:p w14:paraId="7BF73BED">
            <w:pPr>
              <w:spacing w:before="53" w:line="195" w:lineRule="auto"/>
              <w:ind w:left="146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2.48E-04</w:t>
            </w:r>
          </w:p>
        </w:tc>
        <w:tc>
          <w:tcPr>
            <w:tcW w:w="3017" w:type="dxa"/>
            <w:tcBorders>
              <w:right w:val="nil"/>
            </w:tcBorders>
            <w:vAlign w:val="top"/>
          </w:tcPr>
          <w:p w14:paraId="7A2B008C">
            <w:pPr>
              <w:spacing w:before="53" w:line="195" w:lineRule="auto"/>
              <w:ind w:left="11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9.26E-04</w:t>
            </w:r>
          </w:p>
        </w:tc>
      </w:tr>
      <w:tr w14:paraId="38055B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620087FB">
            <w:pPr>
              <w:spacing w:before="57" w:line="192" w:lineRule="auto"/>
              <w:ind w:left="443"/>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1369" w:type="dxa"/>
            <w:vAlign w:val="top"/>
          </w:tcPr>
          <w:p w14:paraId="7CE803EF">
            <w:pPr>
              <w:spacing w:before="54"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1400</w:t>
            </w:r>
          </w:p>
        </w:tc>
        <w:tc>
          <w:tcPr>
            <w:tcW w:w="3701" w:type="dxa"/>
            <w:vAlign w:val="top"/>
          </w:tcPr>
          <w:p w14:paraId="2A962ED5">
            <w:pPr>
              <w:spacing w:before="54" w:line="195" w:lineRule="auto"/>
              <w:ind w:left="147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3.25E-03</w:t>
            </w:r>
          </w:p>
        </w:tc>
        <w:tc>
          <w:tcPr>
            <w:tcW w:w="3017" w:type="dxa"/>
            <w:tcBorders>
              <w:right w:val="nil"/>
            </w:tcBorders>
            <w:vAlign w:val="top"/>
          </w:tcPr>
          <w:p w14:paraId="08FE0478">
            <w:pPr>
              <w:spacing w:before="54" w:line="195" w:lineRule="auto"/>
              <w:ind w:left="114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1.21E-02</w:t>
            </w:r>
          </w:p>
        </w:tc>
      </w:tr>
      <w:tr w14:paraId="1A47BD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5F6834F4">
            <w:pPr>
              <w:spacing w:before="55" w:line="195" w:lineRule="auto"/>
              <w:ind w:left="448"/>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1369" w:type="dxa"/>
            <w:vAlign w:val="top"/>
          </w:tcPr>
          <w:p w14:paraId="32A27D00">
            <w:pPr>
              <w:spacing w:before="55"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1600</w:t>
            </w:r>
          </w:p>
        </w:tc>
        <w:tc>
          <w:tcPr>
            <w:tcW w:w="3701" w:type="dxa"/>
            <w:vAlign w:val="top"/>
          </w:tcPr>
          <w:p w14:paraId="610EF0F9">
            <w:pPr>
              <w:spacing w:before="55" w:line="195" w:lineRule="auto"/>
              <w:ind w:left="14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1.99E-02</w:t>
            </w:r>
          </w:p>
        </w:tc>
        <w:tc>
          <w:tcPr>
            <w:tcW w:w="3017" w:type="dxa"/>
            <w:tcBorders>
              <w:right w:val="nil"/>
            </w:tcBorders>
            <w:vAlign w:val="top"/>
          </w:tcPr>
          <w:p w14:paraId="306C8866">
            <w:pPr>
              <w:spacing w:before="55" w:line="195" w:lineRule="auto"/>
              <w:ind w:left="11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7.43E-02</w:t>
            </w:r>
          </w:p>
        </w:tc>
      </w:tr>
      <w:tr w14:paraId="430881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49BE18EB">
            <w:pPr>
              <w:spacing w:before="56" w:line="195" w:lineRule="auto"/>
              <w:ind w:left="444"/>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1369" w:type="dxa"/>
            <w:vAlign w:val="top"/>
          </w:tcPr>
          <w:p w14:paraId="50BE4A38">
            <w:pPr>
              <w:spacing w:before="56"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1800</w:t>
            </w:r>
          </w:p>
        </w:tc>
        <w:tc>
          <w:tcPr>
            <w:tcW w:w="3701" w:type="dxa"/>
            <w:vAlign w:val="top"/>
          </w:tcPr>
          <w:p w14:paraId="18AD6E63">
            <w:pPr>
              <w:spacing w:before="56" w:line="195" w:lineRule="auto"/>
              <w:ind w:left="146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7.43E-02</w:t>
            </w:r>
          </w:p>
        </w:tc>
        <w:tc>
          <w:tcPr>
            <w:tcW w:w="3017" w:type="dxa"/>
            <w:tcBorders>
              <w:right w:val="nil"/>
            </w:tcBorders>
            <w:vAlign w:val="top"/>
          </w:tcPr>
          <w:p w14:paraId="25A6D18C">
            <w:pPr>
              <w:spacing w:before="56" w:line="195" w:lineRule="auto"/>
              <w:ind w:left="112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2.77E-01</w:t>
            </w:r>
          </w:p>
        </w:tc>
      </w:tr>
      <w:tr w14:paraId="04C55A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77AABE7E">
            <w:pPr>
              <w:spacing w:before="57"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369" w:type="dxa"/>
            <w:vAlign w:val="top"/>
          </w:tcPr>
          <w:p w14:paraId="0622F254">
            <w:pPr>
              <w:spacing w:before="57" w:line="195" w:lineRule="auto"/>
              <w:ind w:left="47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2000</w:t>
            </w:r>
          </w:p>
        </w:tc>
        <w:tc>
          <w:tcPr>
            <w:tcW w:w="3701" w:type="dxa"/>
            <w:vAlign w:val="top"/>
          </w:tcPr>
          <w:p w14:paraId="2D10B474">
            <w:pPr>
              <w:spacing w:before="57" w:line="195" w:lineRule="auto"/>
              <w:ind w:left="148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1.96E-01</w:t>
            </w:r>
          </w:p>
        </w:tc>
        <w:tc>
          <w:tcPr>
            <w:tcW w:w="3017" w:type="dxa"/>
            <w:tcBorders>
              <w:right w:val="nil"/>
            </w:tcBorders>
            <w:vAlign w:val="top"/>
          </w:tcPr>
          <w:p w14:paraId="4B578C9A">
            <w:pPr>
              <w:spacing w:before="57" w:line="195" w:lineRule="auto"/>
              <w:ind w:left="112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7.29E-01</w:t>
            </w:r>
          </w:p>
        </w:tc>
      </w:tr>
      <w:tr w14:paraId="504575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682300FA">
            <w:pPr>
              <w:spacing w:before="59"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11</w:t>
            </w:r>
          </w:p>
        </w:tc>
        <w:tc>
          <w:tcPr>
            <w:tcW w:w="1369" w:type="dxa"/>
            <w:vAlign w:val="top"/>
          </w:tcPr>
          <w:p w14:paraId="508EC24E">
            <w:pPr>
              <w:spacing w:before="59" w:line="195" w:lineRule="auto"/>
              <w:ind w:left="47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2200</w:t>
            </w:r>
          </w:p>
        </w:tc>
        <w:tc>
          <w:tcPr>
            <w:tcW w:w="3701" w:type="dxa"/>
            <w:vAlign w:val="top"/>
          </w:tcPr>
          <w:p w14:paraId="027FAA21">
            <w:pPr>
              <w:spacing w:before="59" w:line="195" w:lineRule="auto"/>
              <w:ind w:left="146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4.02E-01</w:t>
            </w:r>
          </w:p>
        </w:tc>
        <w:tc>
          <w:tcPr>
            <w:tcW w:w="3017" w:type="dxa"/>
            <w:tcBorders>
              <w:right w:val="nil"/>
            </w:tcBorders>
            <w:vAlign w:val="top"/>
          </w:tcPr>
          <w:p w14:paraId="53EF4BD0">
            <w:pPr>
              <w:spacing w:before="59" w:line="195" w:lineRule="auto"/>
              <w:ind w:left="11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1.50E+00</w:t>
            </w:r>
          </w:p>
        </w:tc>
      </w:tr>
      <w:tr w14:paraId="6781F9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46B46DA6">
            <w:pPr>
              <w:spacing w:before="60"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tc>
        <w:tc>
          <w:tcPr>
            <w:tcW w:w="1369" w:type="dxa"/>
            <w:vAlign w:val="top"/>
          </w:tcPr>
          <w:p w14:paraId="03857317">
            <w:pPr>
              <w:spacing w:before="60" w:line="195" w:lineRule="auto"/>
              <w:ind w:left="47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2400</w:t>
            </w:r>
          </w:p>
        </w:tc>
        <w:tc>
          <w:tcPr>
            <w:tcW w:w="3701" w:type="dxa"/>
            <w:vAlign w:val="top"/>
          </w:tcPr>
          <w:p w14:paraId="52C750EC">
            <w:pPr>
              <w:spacing w:before="60" w:line="195" w:lineRule="auto"/>
              <w:ind w:left="147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6.88E-01</w:t>
            </w:r>
          </w:p>
        </w:tc>
        <w:tc>
          <w:tcPr>
            <w:tcW w:w="3017" w:type="dxa"/>
            <w:tcBorders>
              <w:right w:val="nil"/>
            </w:tcBorders>
            <w:vAlign w:val="top"/>
          </w:tcPr>
          <w:p w14:paraId="2F3FB97A">
            <w:pPr>
              <w:spacing w:before="60" w:line="195" w:lineRule="auto"/>
              <w:ind w:left="110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2.56E+00</w:t>
            </w:r>
          </w:p>
        </w:tc>
      </w:tr>
      <w:tr w14:paraId="25D9A9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29C02124">
            <w:pPr>
              <w:spacing w:before="61"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13</w:t>
            </w:r>
          </w:p>
        </w:tc>
        <w:tc>
          <w:tcPr>
            <w:tcW w:w="1369" w:type="dxa"/>
            <w:vAlign w:val="top"/>
          </w:tcPr>
          <w:p w14:paraId="105C0AE9">
            <w:pPr>
              <w:spacing w:before="61" w:line="195" w:lineRule="auto"/>
              <w:ind w:left="47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2600</w:t>
            </w:r>
          </w:p>
        </w:tc>
        <w:tc>
          <w:tcPr>
            <w:tcW w:w="3701" w:type="dxa"/>
            <w:vAlign w:val="top"/>
          </w:tcPr>
          <w:p w14:paraId="0062876A">
            <w:pPr>
              <w:spacing w:before="61" w:line="195" w:lineRule="auto"/>
              <w:ind w:left="146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1.03E+00</w:t>
            </w:r>
          </w:p>
        </w:tc>
        <w:tc>
          <w:tcPr>
            <w:tcW w:w="3017" w:type="dxa"/>
            <w:tcBorders>
              <w:right w:val="nil"/>
            </w:tcBorders>
            <w:vAlign w:val="top"/>
          </w:tcPr>
          <w:p w14:paraId="64BBDFAB">
            <w:pPr>
              <w:spacing w:before="61" w:line="195" w:lineRule="auto"/>
              <w:ind w:left="110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3.83E+00</w:t>
            </w:r>
          </w:p>
        </w:tc>
      </w:tr>
      <w:tr w14:paraId="1B1A4B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35F1A63E">
            <w:pPr>
              <w:spacing w:before="62"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14</w:t>
            </w:r>
          </w:p>
        </w:tc>
        <w:tc>
          <w:tcPr>
            <w:tcW w:w="1369" w:type="dxa"/>
            <w:vAlign w:val="top"/>
          </w:tcPr>
          <w:p w14:paraId="09115FB4">
            <w:pPr>
              <w:spacing w:before="62" w:line="195" w:lineRule="auto"/>
              <w:ind w:left="475"/>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2800</w:t>
            </w:r>
          </w:p>
        </w:tc>
        <w:tc>
          <w:tcPr>
            <w:tcW w:w="3701" w:type="dxa"/>
            <w:vAlign w:val="top"/>
          </w:tcPr>
          <w:p w14:paraId="34D2F2B4">
            <w:pPr>
              <w:spacing w:before="62" w:line="195" w:lineRule="auto"/>
              <w:ind w:left="146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1.38E+00</w:t>
            </w:r>
          </w:p>
        </w:tc>
        <w:tc>
          <w:tcPr>
            <w:tcW w:w="3017" w:type="dxa"/>
            <w:tcBorders>
              <w:right w:val="nil"/>
            </w:tcBorders>
            <w:vAlign w:val="top"/>
          </w:tcPr>
          <w:p w14:paraId="77B30D28">
            <w:pPr>
              <w:spacing w:before="62" w:line="195" w:lineRule="auto"/>
              <w:ind w:left="1106"/>
              <w:rPr>
                <w:rFonts w:ascii="Times New Roman" w:hAnsi="Times New Roman" w:eastAsia="Times New Roman" w:cs="Times New Roman"/>
                <w:sz w:val="20"/>
                <w:szCs w:val="20"/>
              </w:rPr>
            </w:pPr>
            <w:r>
              <w:rPr>
                <w:rFonts w:ascii="Times New Roman" w:hAnsi="Times New Roman" w:eastAsia="Times New Roman" w:cs="Times New Roman"/>
                <w:sz w:val="20"/>
                <w:szCs w:val="20"/>
              </w:rPr>
              <w:t>5.</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z w:val="20"/>
                <w:szCs w:val="20"/>
              </w:rPr>
              <w:t>16E+00</w:t>
            </w:r>
          </w:p>
        </w:tc>
      </w:tr>
      <w:tr w14:paraId="43E6A9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28BAE2C6">
            <w:pPr>
              <w:spacing w:before="63"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1369" w:type="dxa"/>
            <w:vAlign w:val="top"/>
          </w:tcPr>
          <w:p w14:paraId="05FBF999">
            <w:pPr>
              <w:spacing w:before="63" w:line="195" w:lineRule="auto"/>
              <w:ind w:left="4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3000</w:t>
            </w:r>
          </w:p>
        </w:tc>
        <w:tc>
          <w:tcPr>
            <w:tcW w:w="3701" w:type="dxa"/>
            <w:vAlign w:val="top"/>
          </w:tcPr>
          <w:p w14:paraId="6C03F359">
            <w:pPr>
              <w:spacing w:before="63" w:line="195" w:lineRule="auto"/>
              <w:ind w:left="146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1.72E+00</w:t>
            </w:r>
          </w:p>
        </w:tc>
        <w:tc>
          <w:tcPr>
            <w:tcW w:w="3017" w:type="dxa"/>
            <w:tcBorders>
              <w:right w:val="nil"/>
            </w:tcBorders>
            <w:vAlign w:val="top"/>
          </w:tcPr>
          <w:p w14:paraId="40656FB6">
            <w:pPr>
              <w:spacing w:before="63" w:line="195" w:lineRule="auto"/>
              <w:ind w:left="110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6.43E+00</w:t>
            </w:r>
          </w:p>
        </w:tc>
      </w:tr>
      <w:tr w14:paraId="6BFCBE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4071329C">
            <w:pPr>
              <w:spacing w:before="65"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16</w:t>
            </w:r>
          </w:p>
        </w:tc>
        <w:tc>
          <w:tcPr>
            <w:tcW w:w="1369" w:type="dxa"/>
            <w:vAlign w:val="top"/>
          </w:tcPr>
          <w:p w14:paraId="37B5C6B8">
            <w:pPr>
              <w:spacing w:before="65" w:line="195" w:lineRule="auto"/>
              <w:ind w:left="4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3200</w:t>
            </w:r>
          </w:p>
        </w:tc>
        <w:tc>
          <w:tcPr>
            <w:tcW w:w="3701" w:type="dxa"/>
            <w:vAlign w:val="top"/>
          </w:tcPr>
          <w:p w14:paraId="1044334E">
            <w:pPr>
              <w:spacing w:before="65" w:line="195" w:lineRule="auto"/>
              <w:ind w:left="14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2.03E+00</w:t>
            </w:r>
          </w:p>
        </w:tc>
        <w:tc>
          <w:tcPr>
            <w:tcW w:w="3017" w:type="dxa"/>
            <w:tcBorders>
              <w:right w:val="nil"/>
            </w:tcBorders>
            <w:vAlign w:val="top"/>
          </w:tcPr>
          <w:p w14:paraId="66B6591D">
            <w:pPr>
              <w:spacing w:before="65" w:line="195" w:lineRule="auto"/>
              <w:ind w:left="11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7.55E+00</w:t>
            </w:r>
          </w:p>
        </w:tc>
      </w:tr>
      <w:tr w14:paraId="293CD2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27D89B35">
            <w:pPr>
              <w:spacing w:before="66"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17</w:t>
            </w:r>
          </w:p>
        </w:tc>
        <w:tc>
          <w:tcPr>
            <w:tcW w:w="1369" w:type="dxa"/>
            <w:vAlign w:val="top"/>
          </w:tcPr>
          <w:p w14:paraId="2259F441">
            <w:pPr>
              <w:spacing w:before="66" w:line="195" w:lineRule="auto"/>
              <w:ind w:left="4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3400</w:t>
            </w:r>
          </w:p>
        </w:tc>
        <w:tc>
          <w:tcPr>
            <w:tcW w:w="3701" w:type="dxa"/>
            <w:vAlign w:val="top"/>
          </w:tcPr>
          <w:p w14:paraId="59571F5F">
            <w:pPr>
              <w:spacing w:before="66" w:line="195" w:lineRule="auto"/>
              <w:ind w:left="14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2.28E+00</w:t>
            </w:r>
          </w:p>
        </w:tc>
        <w:tc>
          <w:tcPr>
            <w:tcW w:w="3017" w:type="dxa"/>
            <w:tcBorders>
              <w:right w:val="nil"/>
            </w:tcBorders>
            <w:vAlign w:val="top"/>
          </w:tcPr>
          <w:p w14:paraId="3D6795C2">
            <w:pPr>
              <w:spacing w:before="66" w:line="195" w:lineRule="auto"/>
              <w:ind w:left="11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8.48E+00</w:t>
            </w:r>
          </w:p>
        </w:tc>
      </w:tr>
      <w:tr w14:paraId="32302E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74A9228A">
            <w:pPr>
              <w:spacing w:before="65"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18</w:t>
            </w:r>
          </w:p>
        </w:tc>
        <w:tc>
          <w:tcPr>
            <w:tcW w:w="1369" w:type="dxa"/>
            <w:vAlign w:val="top"/>
          </w:tcPr>
          <w:p w14:paraId="6176A522">
            <w:pPr>
              <w:spacing w:before="65" w:line="195" w:lineRule="auto"/>
              <w:ind w:left="4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3600</w:t>
            </w:r>
          </w:p>
        </w:tc>
        <w:tc>
          <w:tcPr>
            <w:tcW w:w="3701" w:type="dxa"/>
            <w:vAlign w:val="top"/>
          </w:tcPr>
          <w:p w14:paraId="356F7DAE">
            <w:pPr>
              <w:spacing w:before="65" w:line="195" w:lineRule="auto"/>
              <w:ind w:left="14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2.47E+00</w:t>
            </w:r>
          </w:p>
        </w:tc>
        <w:tc>
          <w:tcPr>
            <w:tcW w:w="3017" w:type="dxa"/>
            <w:tcBorders>
              <w:right w:val="nil"/>
            </w:tcBorders>
            <w:vAlign w:val="top"/>
          </w:tcPr>
          <w:p w14:paraId="6322DA04">
            <w:pPr>
              <w:spacing w:before="65" w:line="195" w:lineRule="auto"/>
              <w:ind w:left="11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9.22E+00</w:t>
            </w:r>
          </w:p>
        </w:tc>
      </w:tr>
      <w:tr w14:paraId="207AF7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410EE630">
            <w:pPr>
              <w:spacing w:before="66" w:line="195" w:lineRule="auto"/>
              <w:ind w:left="40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19</w:t>
            </w:r>
          </w:p>
        </w:tc>
        <w:tc>
          <w:tcPr>
            <w:tcW w:w="1369" w:type="dxa"/>
            <w:vAlign w:val="top"/>
          </w:tcPr>
          <w:p w14:paraId="78170B95">
            <w:pPr>
              <w:spacing w:before="66" w:line="195" w:lineRule="auto"/>
              <w:ind w:left="47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3800</w:t>
            </w:r>
          </w:p>
        </w:tc>
        <w:tc>
          <w:tcPr>
            <w:tcW w:w="3701" w:type="dxa"/>
            <w:vAlign w:val="top"/>
          </w:tcPr>
          <w:p w14:paraId="3FD57FBB">
            <w:pPr>
              <w:spacing w:before="66" w:line="195" w:lineRule="auto"/>
              <w:ind w:left="14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2.62E+00</w:t>
            </w:r>
          </w:p>
        </w:tc>
        <w:tc>
          <w:tcPr>
            <w:tcW w:w="3017" w:type="dxa"/>
            <w:tcBorders>
              <w:right w:val="nil"/>
            </w:tcBorders>
            <w:vAlign w:val="top"/>
          </w:tcPr>
          <w:p w14:paraId="6E28C240">
            <w:pPr>
              <w:spacing w:before="66" w:line="195" w:lineRule="auto"/>
              <w:ind w:left="11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9.77E+00</w:t>
            </w:r>
          </w:p>
        </w:tc>
      </w:tr>
      <w:tr w14:paraId="4F1891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3AA40F68">
            <w:pPr>
              <w:spacing w:before="67" w:line="195" w:lineRule="auto"/>
              <w:ind w:left="3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1369" w:type="dxa"/>
            <w:vAlign w:val="top"/>
          </w:tcPr>
          <w:p w14:paraId="0A24085C">
            <w:pPr>
              <w:spacing w:before="67" w:line="195" w:lineRule="auto"/>
              <w:ind w:left="47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4000</w:t>
            </w:r>
          </w:p>
        </w:tc>
        <w:tc>
          <w:tcPr>
            <w:tcW w:w="3701" w:type="dxa"/>
            <w:vAlign w:val="top"/>
          </w:tcPr>
          <w:p w14:paraId="2C21D6D4">
            <w:pPr>
              <w:spacing w:before="67" w:line="195" w:lineRule="auto"/>
              <w:ind w:left="14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2.73E+00</w:t>
            </w:r>
          </w:p>
        </w:tc>
        <w:tc>
          <w:tcPr>
            <w:tcW w:w="3017" w:type="dxa"/>
            <w:tcBorders>
              <w:right w:val="nil"/>
            </w:tcBorders>
            <w:vAlign w:val="top"/>
          </w:tcPr>
          <w:p w14:paraId="06546C64">
            <w:pPr>
              <w:spacing w:before="67" w:line="195" w:lineRule="auto"/>
              <w:ind w:left="11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1.02E+01</w:t>
            </w:r>
          </w:p>
        </w:tc>
      </w:tr>
      <w:tr w14:paraId="17E456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086BD6E3">
            <w:pPr>
              <w:spacing w:before="68" w:line="195" w:lineRule="auto"/>
              <w:ind w:left="3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21</w:t>
            </w:r>
          </w:p>
        </w:tc>
        <w:tc>
          <w:tcPr>
            <w:tcW w:w="1369" w:type="dxa"/>
            <w:vAlign w:val="top"/>
          </w:tcPr>
          <w:p w14:paraId="5FA446B7">
            <w:pPr>
              <w:spacing w:before="68" w:line="195" w:lineRule="auto"/>
              <w:ind w:left="47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4200</w:t>
            </w:r>
          </w:p>
        </w:tc>
        <w:tc>
          <w:tcPr>
            <w:tcW w:w="3701" w:type="dxa"/>
            <w:vAlign w:val="top"/>
          </w:tcPr>
          <w:p w14:paraId="590A82C9">
            <w:pPr>
              <w:spacing w:before="68" w:line="195" w:lineRule="auto"/>
              <w:ind w:left="14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2.81E+00</w:t>
            </w:r>
          </w:p>
        </w:tc>
        <w:tc>
          <w:tcPr>
            <w:tcW w:w="3017" w:type="dxa"/>
            <w:tcBorders>
              <w:right w:val="nil"/>
            </w:tcBorders>
            <w:vAlign w:val="top"/>
          </w:tcPr>
          <w:p w14:paraId="4893FCA6">
            <w:pPr>
              <w:spacing w:before="68" w:line="195" w:lineRule="auto"/>
              <w:ind w:left="11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1.05E+01</w:t>
            </w:r>
          </w:p>
        </w:tc>
      </w:tr>
      <w:tr w14:paraId="04A6E6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59655EA4">
            <w:pPr>
              <w:spacing w:before="70" w:line="195" w:lineRule="auto"/>
              <w:ind w:left="3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1369" w:type="dxa"/>
            <w:vAlign w:val="top"/>
          </w:tcPr>
          <w:p w14:paraId="0982D2B7">
            <w:pPr>
              <w:spacing w:before="69" w:line="195" w:lineRule="auto"/>
              <w:ind w:left="47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4400</w:t>
            </w:r>
          </w:p>
        </w:tc>
        <w:tc>
          <w:tcPr>
            <w:tcW w:w="3701" w:type="dxa"/>
            <w:vAlign w:val="top"/>
          </w:tcPr>
          <w:p w14:paraId="084DA273">
            <w:pPr>
              <w:spacing w:before="69" w:line="195" w:lineRule="auto"/>
              <w:ind w:left="14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2.86E+00</w:t>
            </w:r>
          </w:p>
        </w:tc>
        <w:tc>
          <w:tcPr>
            <w:tcW w:w="3017" w:type="dxa"/>
            <w:tcBorders>
              <w:right w:val="nil"/>
            </w:tcBorders>
            <w:vAlign w:val="top"/>
          </w:tcPr>
          <w:p w14:paraId="37F5A109">
            <w:pPr>
              <w:spacing w:before="69" w:line="195" w:lineRule="auto"/>
              <w:ind w:left="11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1.07E+01</w:t>
            </w:r>
          </w:p>
        </w:tc>
      </w:tr>
      <w:tr w14:paraId="0EE192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084EE5E8">
            <w:pPr>
              <w:spacing w:before="71" w:line="195" w:lineRule="auto"/>
              <w:ind w:left="3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23</w:t>
            </w:r>
          </w:p>
        </w:tc>
        <w:tc>
          <w:tcPr>
            <w:tcW w:w="1369" w:type="dxa"/>
            <w:vAlign w:val="top"/>
          </w:tcPr>
          <w:p w14:paraId="6308CA20">
            <w:pPr>
              <w:spacing w:before="71" w:line="195" w:lineRule="auto"/>
              <w:ind w:left="47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4600</w:t>
            </w:r>
          </w:p>
        </w:tc>
        <w:tc>
          <w:tcPr>
            <w:tcW w:w="3701" w:type="dxa"/>
            <w:vAlign w:val="top"/>
          </w:tcPr>
          <w:p w14:paraId="001B0C03">
            <w:pPr>
              <w:spacing w:before="71" w:line="195" w:lineRule="auto"/>
              <w:ind w:left="14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2.89E+00</w:t>
            </w:r>
          </w:p>
        </w:tc>
        <w:tc>
          <w:tcPr>
            <w:tcW w:w="3017" w:type="dxa"/>
            <w:tcBorders>
              <w:right w:val="nil"/>
            </w:tcBorders>
            <w:vAlign w:val="top"/>
          </w:tcPr>
          <w:p w14:paraId="7FB4455E">
            <w:pPr>
              <w:spacing w:before="71" w:line="195" w:lineRule="auto"/>
              <w:ind w:left="11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1.08E+01</w:t>
            </w:r>
          </w:p>
        </w:tc>
      </w:tr>
      <w:tr w14:paraId="28C72F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980" w:type="dxa"/>
            <w:tcBorders>
              <w:left w:val="nil"/>
            </w:tcBorders>
            <w:vAlign w:val="top"/>
          </w:tcPr>
          <w:p w14:paraId="06F32393">
            <w:pPr>
              <w:spacing w:before="72" w:line="195" w:lineRule="auto"/>
              <w:ind w:left="3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24</w:t>
            </w:r>
          </w:p>
        </w:tc>
        <w:tc>
          <w:tcPr>
            <w:tcW w:w="1369" w:type="dxa"/>
            <w:vAlign w:val="top"/>
          </w:tcPr>
          <w:p w14:paraId="52084AD6">
            <w:pPr>
              <w:spacing w:before="72" w:line="195" w:lineRule="auto"/>
              <w:ind w:left="474"/>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4800</w:t>
            </w:r>
          </w:p>
        </w:tc>
        <w:tc>
          <w:tcPr>
            <w:tcW w:w="3701" w:type="dxa"/>
            <w:vAlign w:val="top"/>
          </w:tcPr>
          <w:p w14:paraId="4C533B19">
            <w:pPr>
              <w:spacing w:before="72" w:line="195" w:lineRule="auto"/>
              <w:ind w:left="14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2.92E+00</w:t>
            </w:r>
          </w:p>
        </w:tc>
        <w:tc>
          <w:tcPr>
            <w:tcW w:w="3017" w:type="dxa"/>
            <w:tcBorders>
              <w:right w:val="nil"/>
            </w:tcBorders>
            <w:vAlign w:val="top"/>
          </w:tcPr>
          <w:p w14:paraId="09C824A8">
            <w:pPr>
              <w:spacing w:before="72" w:line="195" w:lineRule="auto"/>
              <w:ind w:left="11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1.09E+01</w:t>
            </w:r>
          </w:p>
        </w:tc>
      </w:tr>
      <w:tr w14:paraId="50AD73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 w:hRule="atLeast"/>
        </w:trPr>
        <w:tc>
          <w:tcPr>
            <w:tcW w:w="980" w:type="dxa"/>
            <w:tcBorders>
              <w:left w:val="nil"/>
              <w:bottom w:val="single" w:color="000000" w:sz="10" w:space="0"/>
            </w:tcBorders>
            <w:vAlign w:val="top"/>
          </w:tcPr>
          <w:p w14:paraId="1C3D7B62">
            <w:pPr>
              <w:spacing w:before="73" w:line="195" w:lineRule="auto"/>
              <w:ind w:left="387"/>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1369" w:type="dxa"/>
            <w:tcBorders>
              <w:bottom w:val="single" w:color="000000" w:sz="10" w:space="0"/>
            </w:tcBorders>
            <w:vAlign w:val="top"/>
          </w:tcPr>
          <w:p w14:paraId="240BFF58">
            <w:pPr>
              <w:spacing w:before="73" w:line="195" w:lineRule="auto"/>
              <w:ind w:left="48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5000</w:t>
            </w:r>
          </w:p>
        </w:tc>
        <w:tc>
          <w:tcPr>
            <w:tcW w:w="3701" w:type="dxa"/>
            <w:tcBorders>
              <w:bottom w:val="single" w:color="000000" w:sz="10" w:space="0"/>
            </w:tcBorders>
            <w:vAlign w:val="top"/>
          </w:tcPr>
          <w:p w14:paraId="2E673299">
            <w:pPr>
              <w:spacing w:before="73" w:line="195" w:lineRule="auto"/>
              <w:ind w:left="1441"/>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2.93E+00</w:t>
            </w:r>
          </w:p>
        </w:tc>
        <w:tc>
          <w:tcPr>
            <w:tcW w:w="3017" w:type="dxa"/>
            <w:tcBorders>
              <w:bottom w:val="single" w:color="000000" w:sz="10" w:space="0"/>
              <w:right w:val="nil"/>
            </w:tcBorders>
            <w:vAlign w:val="top"/>
          </w:tcPr>
          <w:p w14:paraId="1F0C6A96">
            <w:pPr>
              <w:spacing w:before="73" w:line="195" w:lineRule="auto"/>
              <w:ind w:left="112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1.09E+01</w:t>
            </w:r>
          </w:p>
        </w:tc>
      </w:tr>
    </w:tbl>
    <w:p w14:paraId="6F295B7E">
      <w:pPr>
        <w:spacing w:before="121" w:line="359" w:lineRule="auto"/>
        <w:ind w:left="12" w:right="1" w:firstLine="476"/>
        <w:jc w:val="both"/>
        <w:rPr>
          <w:rFonts w:ascii="宋体" w:hAnsi="宋体" w:eastAsia="宋体" w:cs="宋体"/>
          <w:sz w:val="24"/>
          <w:szCs w:val="24"/>
        </w:rPr>
      </w:pPr>
      <w:r>
        <w:rPr>
          <w:rFonts w:ascii="宋体" w:hAnsi="宋体" w:eastAsia="宋体" w:cs="宋体"/>
          <w:spacing w:val="-2"/>
          <w:sz w:val="24"/>
          <w:szCs w:val="24"/>
        </w:rPr>
        <w:t>根据以上预测分析可知，煤气冷凝废水隔油池发生连续泄漏的情况下，本项目厂区</w:t>
      </w:r>
      <w:r>
        <w:rPr>
          <w:rFonts w:ascii="宋体" w:hAnsi="宋体" w:eastAsia="宋体" w:cs="宋体"/>
          <w:spacing w:val="13"/>
          <w:sz w:val="24"/>
          <w:szCs w:val="24"/>
        </w:rPr>
        <w:t xml:space="preserve"> </w:t>
      </w:r>
      <w:r>
        <w:rPr>
          <w:rFonts w:ascii="宋体" w:hAnsi="宋体" w:eastAsia="宋体" w:cs="宋体"/>
          <w:spacing w:val="-4"/>
          <w:sz w:val="24"/>
          <w:szCs w:val="24"/>
        </w:rPr>
        <w:t>北侧边界（沿地下水流方向，煤气冷凝废水隔油池</w:t>
      </w:r>
      <w:r>
        <w:rPr>
          <w:rFonts w:ascii="宋体" w:hAnsi="宋体" w:eastAsia="宋体" w:cs="宋体"/>
          <w:spacing w:val="-18"/>
          <w:sz w:val="24"/>
          <w:szCs w:val="24"/>
        </w:rPr>
        <w:t xml:space="preserve"> </w:t>
      </w:r>
      <w:r>
        <w:rPr>
          <w:rFonts w:ascii="Times New Roman" w:hAnsi="Times New Roman" w:eastAsia="Times New Roman" w:cs="Times New Roman"/>
          <w:spacing w:val="-4"/>
          <w:sz w:val="24"/>
          <w:szCs w:val="24"/>
        </w:rPr>
        <w:t>110m</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处）地下水环境中</w:t>
      </w:r>
      <w:r>
        <w:rPr>
          <w:rFonts w:ascii="宋体" w:hAnsi="宋体" w:eastAsia="宋体" w:cs="宋体"/>
          <w:spacing w:val="-52"/>
          <w:sz w:val="24"/>
          <w:szCs w:val="24"/>
        </w:rPr>
        <w:t xml:space="preserve"> </w:t>
      </w:r>
      <w:r>
        <w:rPr>
          <w:rFonts w:ascii="Times New Roman" w:hAnsi="Times New Roman" w:eastAsia="Times New Roman" w:cs="Times New Roman"/>
          <w:spacing w:val="-4"/>
          <w:sz w:val="24"/>
          <w:szCs w:val="24"/>
        </w:rPr>
        <w:t>COD</w:t>
      </w:r>
      <w:r>
        <w:rPr>
          <w:rFonts w:ascii="Times New Roman" w:hAnsi="Times New Roman" w:eastAsia="Times New Roman" w:cs="Times New Roman"/>
          <w:spacing w:val="-4"/>
          <w:position w:val="-1"/>
          <w:sz w:val="15"/>
          <w:szCs w:val="15"/>
        </w:rPr>
        <w:t>mn</w:t>
      </w:r>
      <w:r>
        <w:rPr>
          <w:rFonts w:ascii="Times New Roman" w:hAnsi="Times New Roman" w:eastAsia="Times New Roman" w:cs="Times New Roman"/>
          <w:spacing w:val="14"/>
          <w:position w:val="-1"/>
          <w:sz w:val="15"/>
          <w:szCs w:val="15"/>
        </w:rPr>
        <w:t xml:space="preserve"> </w:t>
      </w:r>
      <w:r>
        <w:rPr>
          <w:rFonts w:ascii="宋体" w:hAnsi="宋体" w:eastAsia="宋体" w:cs="宋体"/>
          <w:spacing w:val="-4"/>
          <w:sz w:val="24"/>
          <w:szCs w:val="24"/>
        </w:rPr>
        <w:t>预测</w:t>
      </w:r>
      <w:r>
        <w:rPr>
          <w:rFonts w:ascii="宋体" w:hAnsi="宋体" w:eastAsia="宋体" w:cs="宋体"/>
          <w:sz w:val="24"/>
          <w:szCs w:val="24"/>
        </w:rPr>
        <w:t xml:space="preserve"> 时间段内</w:t>
      </w:r>
      <w:r>
        <w:rPr>
          <w:rFonts w:ascii="Times New Roman" w:hAnsi="Times New Roman" w:eastAsia="Times New Roman" w:cs="Times New Roman"/>
          <w:sz w:val="24"/>
          <w:szCs w:val="24"/>
        </w:rPr>
        <w:t xml:space="preserve">2816 </w:t>
      </w:r>
      <w:r>
        <w:rPr>
          <w:rFonts w:ascii="宋体" w:hAnsi="宋体" w:eastAsia="宋体" w:cs="宋体"/>
          <w:sz w:val="24"/>
          <w:szCs w:val="24"/>
        </w:rPr>
        <w:t>天超标，石油类预测时间段内</w:t>
      </w:r>
      <w:r>
        <w:rPr>
          <w:rFonts w:ascii="宋体" w:hAnsi="宋体" w:eastAsia="宋体" w:cs="宋体"/>
          <w:spacing w:val="-15"/>
          <w:sz w:val="24"/>
          <w:szCs w:val="24"/>
        </w:rPr>
        <w:t xml:space="preserve"> </w:t>
      </w:r>
      <w:r>
        <w:rPr>
          <w:rFonts w:ascii="Times New Roman" w:hAnsi="Times New Roman" w:eastAsia="Times New Roman" w:cs="Times New Roman"/>
          <w:sz w:val="24"/>
          <w:szCs w:val="24"/>
        </w:rPr>
        <w:t xml:space="preserve">1551 </w:t>
      </w:r>
      <w:r>
        <w:rPr>
          <w:rFonts w:ascii="宋体" w:hAnsi="宋体" w:eastAsia="宋体" w:cs="宋体"/>
          <w:sz w:val="24"/>
          <w:szCs w:val="24"/>
        </w:rPr>
        <w:t>天超标。</w:t>
      </w:r>
    </w:p>
    <w:p w14:paraId="4982E6F5">
      <w:pPr>
        <w:spacing w:line="359" w:lineRule="auto"/>
        <w:rPr>
          <w:rFonts w:ascii="宋体" w:hAnsi="宋体" w:eastAsia="宋体" w:cs="宋体"/>
          <w:sz w:val="24"/>
          <w:szCs w:val="24"/>
        </w:rPr>
        <w:sectPr>
          <w:footerReference r:id="rId411" w:type="default"/>
          <w:pgSz w:w="11906" w:h="16839"/>
          <w:pgMar w:top="1191" w:right="1416" w:bottom="1221" w:left="1417" w:header="882" w:footer="1059" w:gutter="0"/>
          <w:cols w:space="720" w:num="1"/>
        </w:sectPr>
      </w:pPr>
    </w:p>
    <w:p w14:paraId="57119C10">
      <w:pPr>
        <w:spacing w:line="28" w:lineRule="exact"/>
      </w:pPr>
      <w:r>
        <w:pict>
          <v:shape id="_x0000_s1940" o:spid="_x0000_s1940" style="height:1.45pt;width:453.65pt;" fillcolor="#000000" filled="t" stroked="f" coordsize="9072,29" path="m0,0l9072,0,9072,28,0,28,0,0xe">
            <v:path/>
            <v:fill on="t" focussize="0,0"/>
            <v:stroke on="f"/>
            <v:imagedata o:title=""/>
            <o:lock v:ext="edit"/>
            <w10:wrap type="none"/>
            <w10:anchorlock/>
          </v:shape>
        </w:pict>
      </w:r>
    </w:p>
    <w:p w14:paraId="2B81D075">
      <w:pPr>
        <w:spacing w:before="317" w:line="354" w:lineRule="auto"/>
        <w:ind w:left="13" w:right="61" w:firstLine="476"/>
        <w:rPr>
          <w:rFonts w:ascii="宋体" w:hAnsi="宋体" w:eastAsia="宋体" w:cs="宋体"/>
          <w:sz w:val="24"/>
          <w:szCs w:val="24"/>
        </w:rPr>
      </w:pPr>
      <w:r>
        <w:rPr>
          <w:rFonts w:ascii="宋体" w:hAnsi="宋体" w:eastAsia="宋体" w:cs="宋体"/>
          <w:spacing w:val="-2"/>
          <w:sz w:val="24"/>
          <w:szCs w:val="24"/>
        </w:rPr>
        <w:t>煤气冷凝废水经隔油池处理后，作为制作矿热炉开堵眼机堵塞泥用水，无废水直接</w:t>
      </w:r>
      <w:r>
        <w:rPr>
          <w:rFonts w:ascii="宋体" w:hAnsi="宋体" w:eastAsia="宋体" w:cs="宋体"/>
          <w:spacing w:val="12"/>
          <w:sz w:val="24"/>
          <w:szCs w:val="24"/>
        </w:rPr>
        <w:t xml:space="preserve"> </w:t>
      </w:r>
      <w:r>
        <w:rPr>
          <w:rFonts w:ascii="宋体" w:hAnsi="宋体" w:eastAsia="宋体" w:cs="宋体"/>
          <w:spacing w:val="-5"/>
          <w:sz w:val="24"/>
          <w:szCs w:val="24"/>
        </w:rPr>
        <w:t>外排。</w:t>
      </w:r>
    </w:p>
    <w:p w14:paraId="55068660">
      <w:pPr>
        <w:spacing w:before="34" w:line="359" w:lineRule="auto"/>
        <w:ind w:left="19" w:right="61" w:firstLine="473"/>
        <w:jc w:val="both"/>
        <w:rPr>
          <w:rFonts w:ascii="宋体" w:hAnsi="宋体" w:eastAsia="宋体" w:cs="宋体"/>
          <w:sz w:val="24"/>
          <w:szCs w:val="24"/>
        </w:rPr>
      </w:pPr>
      <w:r>
        <w:rPr>
          <w:rFonts w:ascii="宋体" w:hAnsi="宋体" w:eastAsia="宋体" w:cs="宋体"/>
          <w:spacing w:val="2"/>
          <w:sz w:val="24"/>
          <w:szCs w:val="24"/>
        </w:rPr>
        <w:t>正常工况下，企业按照《环境影响评价技术导则 地下水环境》（</w:t>
      </w:r>
      <w:r>
        <w:rPr>
          <w:rFonts w:ascii="Times New Roman" w:hAnsi="Times New Roman" w:eastAsia="Times New Roman" w:cs="Times New Roman"/>
          <w:sz w:val="24"/>
          <w:szCs w:val="24"/>
        </w:rPr>
        <w:t>HJ</w:t>
      </w:r>
      <w:r>
        <w:rPr>
          <w:rFonts w:ascii="Times New Roman" w:hAnsi="Times New Roman" w:eastAsia="Times New Roman" w:cs="Times New Roman"/>
          <w:spacing w:val="2"/>
          <w:sz w:val="24"/>
          <w:szCs w:val="24"/>
        </w:rPr>
        <w:t>61</w:t>
      </w:r>
      <w:r>
        <w:rPr>
          <w:rFonts w:ascii="Times New Roman" w:hAnsi="Times New Roman" w:eastAsia="Times New Roman" w:cs="Times New Roman"/>
          <w:spacing w:val="1"/>
          <w:sz w:val="24"/>
          <w:szCs w:val="24"/>
        </w:rPr>
        <w:t>0-2016</w:t>
      </w:r>
      <w:r>
        <w:rPr>
          <w:rFonts w:ascii="宋体" w:hAnsi="宋体" w:eastAsia="宋体" w:cs="宋体"/>
          <w:spacing w:val="1"/>
          <w:sz w:val="24"/>
          <w:szCs w:val="24"/>
        </w:rPr>
        <w:t>）中</w:t>
      </w:r>
      <w:r>
        <w:rPr>
          <w:rFonts w:ascii="宋体" w:hAnsi="宋体" w:eastAsia="宋体" w:cs="宋体"/>
          <w:sz w:val="24"/>
          <w:szCs w:val="24"/>
        </w:rPr>
        <w:t xml:space="preserve"> </w:t>
      </w:r>
      <w:r>
        <w:rPr>
          <w:rFonts w:ascii="宋体" w:hAnsi="宋体" w:eastAsia="宋体" w:cs="宋体"/>
          <w:spacing w:val="-2"/>
          <w:sz w:val="24"/>
          <w:szCs w:val="24"/>
        </w:rPr>
        <w:t>的相关要求做好厂区防渗，并且定期检查，防渗层发生破损及时修补，发现跑冒滴漏及</w:t>
      </w:r>
      <w:r>
        <w:rPr>
          <w:rFonts w:ascii="宋体" w:hAnsi="宋体" w:eastAsia="宋体" w:cs="宋体"/>
          <w:spacing w:val="6"/>
          <w:sz w:val="24"/>
          <w:szCs w:val="24"/>
        </w:rPr>
        <w:t xml:space="preserve"> </w:t>
      </w:r>
      <w:r>
        <w:rPr>
          <w:rFonts w:ascii="宋体" w:hAnsi="宋体" w:eastAsia="宋体" w:cs="宋体"/>
          <w:spacing w:val="-1"/>
          <w:sz w:val="24"/>
          <w:szCs w:val="24"/>
        </w:rPr>
        <w:t>时清理，定期监测，可有效避免项目对地下水环境产生污染。</w:t>
      </w:r>
    </w:p>
    <w:p w14:paraId="13CFC1AA">
      <w:pPr>
        <w:spacing w:before="34" w:line="362" w:lineRule="auto"/>
        <w:ind w:left="8" w:right="61" w:firstLine="483"/>
        <w:jc w:val="both"/>
        <w:rPr>
          <w:rFonts w:ascii="宋体" w:hAnsi="宋体" w:eastAsia="宋体" w:cs="宋体"/>
          <w:sz w:val="24"/>
          <w:szCs w:val="24"/>
        </w:rPr>
      </w:pPr>
      <w:r>
        <w:rPr>
          <w:rFonts w:ascii="宋体" w:hAnsi="宋体" w:eastAsia="宋体" w:cs="宋体"/>
          <w:spacing w:val="-2"/>
          <w:sz w:val="24"/>
          <w:szCs w:val="24"/>
        </w:rPr>
        <w:t>非正常工况下，污水处理设施池体等防渗层发生破损而造成泄漏，工作人员发现泄</w:t>
      </w:r>
      <w:r>
        <w:rPr>
          <w:rFonts w:ascii="宋体" w:hAnsi="宋体" w:eastAsia="宋体" w:cs="宋体"/>
          <w:spacing w:val="9"/>
          <w:sz w:val="24"/>
          <w:szCs w:val="24"/>
        </w:rPr>
        <w:t xml:space="preserve"> </w:t>
      </w:r>
      <w:r>
        <w:rPr>
          <w:rFonts w:ascii="宋体" w:hAnsi="宋体" w:eastAsia="宋体" w:cs="宋体"/>
          <w:spacing w:val="-2"/>
          <w:sz w:val="24"/>
          <w:szCs w:val="24"/>
        </w:rPr>
        <w:t>漏需要一定时间，根据模型分析，非正常工况下污染物的持续泄漏将会对下游地下水局</w:t>
      </w:r>
      <w:r>
        <w:rPr>
          <w:rFonts w:ascii="宋体" w:hAnsi="宋体" w:eastAsia="宋体" w:cs="宋体"/>
          <w:spacing w:val="17"/>
          <w:sz w:val="24"/>
          <w:szCs w:val="24"/>
        </w:rPr>
        <w:t xml:space="preserve"> </w:t>
      </w:r>
      <w:r>
        <w:rPr>
          <w:rFonts w:ascii="宋体" w:hAnsi="宋体" w:eastAsia="宋体" w:cs="宋体"/>
          <w:spacing w:val="-2"/>
          <w:sz w:val="24"/>
          <w:szCs w:val="24"/>
        </w:rPr>
        <w:t>部产生较大的影响，因此项目管理方应加强废水构筑物防渗层的检查与维护，尽量缩短</w:t>
      </w:r>
      <w:r>
        <w:rPr>
          <w:rFonts w:ascii="宋体" w:hAnsi="宋体" w:eastAsia="宋体" w:cs="宋体"/>
          <w:spacing w:val="17"/>
          <w:sz w:val="24"/>
          <w:szCs w:val="24"/>
        </w:rPr>
        <w:t xml:space="preserve"> </w:t>
      </w:r>
      <w:r>
        <w:rPr>
          <w:rFonts w:ascii="宋体" w:hAnsi="宋体" w:eastAsia="宋体" w:cs="宋体"/>
          <w:spacing w:val="-1"/>
          <w:sz w:val="24"/>
          <w:szCs w:val="24"/>
        </w:rPr>
        <w:t>非正常工况污染周期，以减小对下游水质的影响。</w:t>
      </w:r>
    </w:p>
    <w:p w14:paraId="75B64E1F">
      <w:pPr>
        <w:spacing w:before="91" w:line="221" w:lineRule="auto"/>
        <w:ind w:left="8"/>
        <w:outlineLvl w:val="2"/>
        <w:rPr>
          <w:rFonts w:ascii="宋体" w:hAnsi="宋体" w:eastAsia="宋体" w:cs="宋体"/>
          <w:sz w:val="28"/>
          <w:szCs w:val="28"/>
        </w:rPr>
      </w:pPr>
      <w:bookmarkStart w:id="412" w:name="bookmark292"/>
      <w:bookmarkEnd w:id="412"/>
      <w:r>
        <w:rPr>
          <w:rFonts w:ascii="Times New Roman" w:hAnsi="Times New Roman" w:eastAsia="Times New Roman" w:cs="Times New Roman"/>
          <w:b/>
          <w:bCs/>
          <w:spacing w:val="-2"/>
          <w:sz w:val="28"/>
          <w:szCs w:val="28"/>
        </w:rPr>
        <w:t xml:space="preserve">5.6.4 </w:t>
      </w:r>
      <w:r>
        <w:rPr>
          <w:rFonts w:ascii="宋体" w:hAnsi="宋体" w:eastAsia="宋体" w:cs="宋体"/>
          <w:b/>
          <w:bCs/>
          <w:spacing w:val="-2"/>
          <w:sz w:val="28"/>
          <w:szCs w:val="28"/>
        </w:rPr>
        <w:t>土壤环境风险影响分析</w:t>
      </w:r>
    </w:p>
    <w:p w14:paraId="1485969F">
      <w:pPr>
        <w:spacing w:before="242" w:line="363" w:lineRule="auto"/>
        <w:ind w:left="6" w:right="61" w:firstLine="482"/>
        <w:jc w:val="both"/>
        <w:rPr>
          <w:rFonts w:ascii="宋体" w:hAnsi="宋体" w:eastAsia="宋体" w:cs="宋体"/>
          <w:sz w:val="24"/>
          <w:szCs w:val="24"/>
        </w:rPr>
      </w:pPr>
      <w:r>
        <w:rPr>
          <w:rFonts w:ascii="宋体" w:hAnsi="宋体" w:eastAsia="宋体" w:cs="宋体"/>
          <w:spacing w:val="-2"/>
          <w:sz w:val="24"/>
          <w:szCs w:val="24"/>
        </w:rPr>
        <w:t>本项目可能发生的土壤环境风险主要来自烧结料棚、烧结车间、锰硅料棚、锰硅电</w:t>
      </w:r>
      <w:r>
        <w:rPr>
          <w:rFonts w:ascii="宋体" w:hAnsi="宋体" w:eastAsia="宋体" w:cs="宋体"/>
          <w:spacing w:val="12"/>
          <w:sz w:val="24"/>
          <w:szCs w:val="24"/>
        </w:rPr>
        <w:t xml:space="preserve"> </w:t>
      </w:r>
      <w:r>
        <w:rPr>
          <w:rFonts w:ascii="宋体" w:hAnsi="宋体" w:eastAsia="宋体" w:cs="宋体"/>
          <w:spacing w:val="-1"/>
          <w:sz w:val="24"/>
          <w:szCs w:val="24"/>
        </w:rPr>
        <w:t>炉车间、球团料棚、球团车间、铬铁料棚、</w:t>
      </w:r>
      <w:r>
        <w:rPr>
          <w:rFonts w:ascii="宋体" w:hAnsi="宋体" w:eastAsia="宋体" w:cs="宋体"/>
          <w:spacing w:val="-2"/>
          <w:sz w:val="24"/>
          <w:szCs w:val="24"/>
        </w:rPr>
        <w:t>铬铁电炉车间、贮渣池、危废暂存库及物料</w:t>
      </w:r>
      <w:r>
        <w:rPr>
          <w:rFonts w:ascii="宋体" w:hAnsi="宋体" w:eastAsia="宋体" w:cs="宋体"/>
          <w:sz w:val="24"/>
          <w:szCs w:val="24"/>
        </w:rPr>
        <w:t xml:space="preserve"> </w:t>
      </w:r>
      <w:r>
        <w:rPr>
          <w:rFonts w:ascii="宋体" w:hAnsi="宋体" w:eastAsia="宋体" w:cs="宋体"/>
          <w:spacing w:val="-1"/>
          <w:sz w:val="24"/>
          <w:szCs w:val="24"/>
        </w:rPr>
        <w:t>输送廊道发生破损，导致含有锰及其化合物</w:t>
      </w:r>
      <w:r>
        <w:rPr>
          <w:rFonts w:ascii="宋体" w:hAnsi="宋体" w:eastAsia="宋体" w:cs="宋体"/>
          <w:spacing w:val="-2"/>
          <w:sz w:val="24"/>
          <w:szCs w:val="24"/>
        </w:rPr>
        <w:t>或铬及其化合物的物料泄漏，未被及时收集</w:t>
      </w:r>
      <w:r>
        <w:rPr>
          <w:rFonts w:ascii="宋体" w:hAnsi="宋体" w:eastAsia="宋体" w:cs="宋体"/>
          <w:sz w:val="24"/>
          <w:szCs w:val="24"/>
        </w:rPr>
        <w:t xml:space="preserve"> </w:t>
      </w:r>
      <w:r>
        <w:rPr>
          <w:rFonts w:ascii="宋体" w:hAnsi="宋体" w:eastAsia="宋体" w:cs="宋体"/>
          <w:spacing w:val="-1"/>
          <w:sz w:val="24"/>
          <w:szCs w:val="24"/>
        </w:rPr>
        <w:t>进入土壤环境，对其造成污染，影响土壤中</w:t>
      </w:r>
      <w:r>
        <w:rPr>
          <w:rFonts w:ascii="宋体" w:hAnsi="宋体" w:eastAsia="宋体" w:cs="宋体"/>
          <w:spacing w:val="-2"/>
          <w:sz w:val="24"/>
          <w:szCs w:val="24"/>
        </w:rPr>
        <w:t>的微生物生存，造成土壤的盐碱化，破坏土</w:t>
      </w:r>
      <w:r>
        <w:rPr>
          <w:rFonts w:ascii="宋体" w:hAnsi="宋体" w:eastAsia="宋体" w:cs="宋体"/>
          <w:sz w:val="24"/>
          <w:szCs w:val="24"/>
        </w:rPr>
        <w:t xml:space="preserve"> </w:t>
      </w:r>
      <w:r>
        <w:rPr>
          <w:rFonts w:ascii="宋体" w:hAnsi="宋体" w:eastAsia="宋体" w:cs="宋体"/>
          <w:spacing w:val="-1"/>
          <w:sz w:val="24"/>
          <w:szCs w:val="24"/>
        </w:rPr>
        <w:t>壤的结构，对土壤环境造成局部斑块状的影响。</w:t>
      </w:r>
    </w:p>
    <w:p w14:paraId="36CF040C">
      <w:pPr>
        <w:spacing w:before="38" w:line="359" w:lineRule="auto"/>
        <w:ind w:left="8" w:right="61" w:firstLine="480"/>
        <w:jc w:val="both"/>
        <w:rPr>
          <w:rFonts w:ascii="宋体" w:hAnsi="宋体" w:eastAsia="宋体" w:cs="宋体"/>
          <w:sz w:val="24"/>
          <w:szCs w:val="24"/>
        </w:rPr>
      </w:pPr>
      <w:r>
        <w:rPr>
          <w:rFonts w:ascii="宋体" w:hAnsi="宋体" w:eastAsia="宋体" w:cs="宋体"/>
          <w:spacing w:val="-2"/>
          <w:sz w:val="24"/>
          <w:szCs w:val="24"/>
        </w:rPr>
        <w:t>本项目通过对烧结料棚、烧结车间、锰硅料棚、锰硅电炉车间等设截渗裙脚，防止</w:t>
      </w:r>
      <w:r>
        <w:rPr>
          <w:rFonts w:ascii="宋体" w:hAnsi="宋体" w:eastAsia="宋体" w:cs="宋体"/>
          <w:spacing w:val="12"/>
          <w:sz w:val="24"/>
          <w:szCs w:val="24"/>
        </w:rPr>
        <w:t xml:space="preserve"> </w:t>
      </w:r>
      <w:r>
        <w:rPr>
          <w:rFonts w:ascii="宋体" w:hAnsi="宋体" w:eastAsia="宋体" w:cs="宋体"/>
          <w:spacing w:val="-2"/>
          <w:sz w:val="24"/>
          <w:szCs w:val="24"/>
        </w:rPr>
        <w:t>泄漏物料及雨水等进入库内，同时设置泄露液收集系统；对烧结料棚、烧结车间、锰硅</w:t>
      </w:r>
      <w:r>
        <w:rPr>
          <w:rFonts w:ascii="宋体" w:hAnsi="宋体" w:eastAsia="宋体" w:cs="宋体"/>
          <w:spacing w:val="17"/>
          <w:sz w:val="24"/>
          <w:szCs w:val="24"/>
        </w:rPr>
        <w:t xml:space="preserve"> </w:t>
      </w:r>
      <w:r>
        <w:rPr>
          <w:rFonts w:ascii="宋体" w:hAnsi="宋体" w:eastAsia="宋体" w:cs="宋体"/>
          <w:spacing w:val="-1"/>
          <w:sz w:val="24"/>
          <w:szCs w:val="24"/>
        </w:rPr>
        <w:t>料棚、锰硅电炉车间进行全封闭设置。</w:t>
      </w:r>
    </w:p>
    <w:p w14:paraId="09F87980">
      <w:pPr>
        <w:spacing w:before="34" w:line="354" w:lineRule="auto"/>
        <w:ind w:left="9" w:firstLine="479"/>
        <w:rPr>
          <w:rFonts w:ascii="宋体" w:hAnsi="宋体" w:eastAsia="宋体" w:cs="宋体"/>
          <w:sz w:val="24"/>
          <w:szCs w:val="24"/>
        </w:rPr>
      </w:pPr>
      <w:r>
        <w:rPr>
          <w:rFonts w:ascii="宋体" w:hAnsi="宋体" w:eastAsia="宋体" w:cs="宋体"/>
          <w:spacing w:val="-6"/>
          <w:sz w:val="24"/>
          <w:szCs w:val="24"/>
        </w:rPr>
        <w:t>通过以上措施，本项目从源头、污染途径控制土壤</w:t>
      </w:r>
      <w:r>
        <w:rPr>
          <w:rFonts w:ascii="宋体" w:hAnsi="宋体" w:eastAsia="宋体" w:cs="宋体"/>
          <w:spacing w:val="-7"/>
          <w:sz w:val="24"/>
          <w:szCs w:val="24"/>
        </w:rPr>
        <w:t>环境风险影响，并配置监控系统，</w:t>
      </w:r>
      <w:r>
        <w:rPr>
          <w:rFonts w:ascii="宋体" w:hAnsi="宋体" w:eastAsia="宋体" w:cs="宋体"/>
          <w:sz w:val="24"/>
          <w:szCs w:val="24"/>
        </w:rPr>
        <w:t xml:space="preserve"> </w:t>
      </w:r>
      <w:r>
        <w:rPr>
          <w:rFonts w:ascii="宋体" w:hAnsi="宋体" w:eastAsia="宋体" w:cs="宋体"/>
          <w:spacing w:val="-1"/>
          <w:sz w:val="24"/>
          <w:szCs w:val="24"/>
        </w:rPr>
        <w:t>便于及时发现和清理影响，将风险控制在厂区范围内，风险可控。</w:t>
      </w:r>
    </w:p>
    <w:p w14:paraId="75A8A42E">
      <w:pPr>
        <w:spacing w:before="94" w:line="219" w:lineRule="auto"/>
        <w:ind w:left="8"/>
        <w:outlineLvl w:val="2"/>
        <w:rPr>
          <w:rFonts w:ascii="宋体" w:hAnsi="宋体" w:eastAsia="宋体" w:cs="宋体"/>
          <w:sz w:val="28"/>
          <w:szCs w:val="28"/>
        </w:rPr>
      </w:pPr>
      <w:bookmarkStart w:id="413" w:name="bookmark294"/>
      <w:bookmarkEnd w:id="413"/>
      <w:r>
        <w:rPr>
          <w:rFonts w:ascii="Times New Roman" w:hAnsi="Times New Roman" w:eastAsia="Times New Roman" w:cs="Times New Roman"/>
          <w:b/>
          <w:bCs/>
          <w:spacing w:val="-2"/>
          <w:sz w:val="28"/>
          <w:szCs w:val="28"/>
        </w:rPr>
        <w:t xml:space="preserve">5.6.5 </w:t>
      </w:r>
      <w:r>
        <w:rPr>
          <w:rFonts w:ascii="宋体" w:hAnsi="宋体" w:eastAsia="宋体" w:cs="宋体"/>
          <w:b/>
          <w:bCs/>
          <w:spacing w:val="-2"/>
          <w:sz w:val="28"/>
          <w:szCs w:val="28"/>
        </w:rPr>
        <w:t>环境风险评价</w:t>
      </w:r>
    </w:p>
    <w:p w14:paraId="048748E3">
      <w:pPr>
        <w:spacing w:before="246" w:line="356" w:lineRule="auto"/>
        <w:ind w:left="11" w:right="59" w:firstLine="478"/>
        <w:rPr>
          <w:rFonts w:ascii="宋体" w:hAnsi="宋体" w:eastAsia="宋体" w:cs="宋体"/>
          <w:sz w:val="24"/>
          <w:szCs w:val="24"/>
        </w:rPr>
      </w:pPr>
      <w:r>
        <w:rPr>
          <w:rFonts w:ascii="宋体" w:hAnsi="宋体" w:eastAsia="宋体" w:cs="宋体"/>
          <w:sz w:val="24"/>
          <w:szCs w:val="24"/>
        </w:rPr>
        <w:t>本次评价预测分析可知，</w:t>
      </w:r>
      <w:r>
        <w:rPr>
          <w:rFonts w:ascii="Times New Roman" w:hAnsi="Times New Roman" w:eastAsia="Times New Roman" w:cs="Times New Roman"/>
          <w:sz w:val="24"/>
          <w:szCs w:val="24"/>
        </w:rPr>
        <w:t xml:space="preserve">CO </w:t>
      </w:r>
      <w:r>
        <w:rPr>
          <w:rFonts w:ascii="宋体" w:hAnsi="宋体" w:eastAsia="宋体" w:cs="宋体"/>
          <w:sz w:val="24"/>
          <w:szCs w:val="24"/>
        </w:rPr>
        <w:t>泄漏风险事故发生后，大气毒性终点浓度</w:t>
      </w:r>
      <w:r>
        <w:rPr>
          <w:rFonts w:ascii="Times New Roman" w:hAnsi="Times New Roman" w:eastAsia="Times New Roman" w:cs="Times New Roman"/>
          <w:sz w:val="24"/>
          <w:szCs w:val="24"/>
        </w:rPr>
        <w:t xml:space="preserve">-1 </w:t>
      </w:r>
      <w:r>
        <w:rPr>
          <w:rFonts w:ascii="宋体" w:hAnsi="宋体" w:eastAsia="宋体" w:cs="宋体"/>
          <w:sz w:val="24"/>
          <w:szCs w:val="24"/>
        </w:rPr>
        <w:t>最大距离</w:t>
      </w:r>
      <w:r>
        <w:rPr>
          <w:rFonts w:ascii="宋体" w:hAnsi="宋体" w:eastAsia="宋体" w:cs="宋体"/>
          <w:spacing w:val="9"/>
          <w:sz w:val="24"/>
          <w:szCs w:val="24"/>
        </w:rPr>
        <w:t xml:space="preserve"> </w:t>
      </w:r>
      <w:r>
        <w:rPr>
          <w:rFonts w:ascii="宋体" w:hAnsi="宋体" w:eastAsia="宋体" w:cs="宋体"/>
          <w:spacing w:val="-2"/>
          <w:sz w:val="24"/>
          <w:szCs w:val="24"/>
        </w:rPr>
        <w:t>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290m</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，大气毒性终点浓度</w:t>
      </w:r>
      <w:r>
        <w:rPr>
          <w:rFonts w:ascii="Times New Roman" w:hAnsi="Times New Roman" w:eastAsia="Times New Roman" w:cs="Times New Roman"/>
          <w:spacing w:val="-2"/>
          <w:sz w:val="24"/>
          <w:szCs w:val="24"/>
        </w:rPr>
        <w:t xml:space="preserve">-2 </w:t>
      </w:r>
      <w:r>
        <w:rPr>
          <w:rFonts w:ascii="宋体" w:hAnsi="宋体" w:eastAsia="宋体" w:cs="宋体"/>
          <w:spacing w:val="-2"/>
          <w:sz w:val="24"/>
          <w:szCs w:val="24"/>
        </w:rPr>
        <w:t>最大距离为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270m</w:t>
      </w:r>
      <w:r>
        <w:rPr>
          <w:rFonts w:ascii="宋体" w:hAnsi="宋体" w:eastAsia="宋体" w:cs="宋体"/>
          <w:spacing w:val="-2"/>
          <w:sz w:val="24"/>
          <w:szCs w:val="24"/>
        </w:rPr>
        <w:t>。</w:t>
      </w:r>
    </w:p>
    <w:p w14:paraId="5C430194">
      <w:pPr>
        <w:spacing w:before="34" w:line="359" w:lineRule="auto"/>
        <w:ind w:left="12" w:right="61" w:firstLine="476"/>
        <w:rPr>
          <w:rFonts w:ascii="宋体" w:hAnsi="宋体" w:eastAsia="宋体" w:cs="宋体"/>
          <w:sz w:val="24"/>
          <w:szCs w:val="24"/>
        </w:rPr>
      </w:pPr>
      <w:r>
        <w:rPr>
          <w:rFonts w:ascii="宋体" w:hAnsi="宋体" w:eastAsia="宋体" w:cs="宋体"/>
          <w:spacing w:val="-2"/>
          <w:sz w:val="24"/>
          <w:szCs w:val="24"/>
        </w:rPr>
        <w:t>根据以上预测分析可知，煤气冷凝废水隔油池发生连续泄漏的情况下，本项目厂区</w:t>
      </w:r>
      <w:r>
        <w:rPr>
          <w:rFonts w:ascii="宋体" w:hAnsi="宋体" w:eastAsia="宋体" w:cs="宋体"/>
          <w:spacing w:val="13"/>
          <w:sz w:val="24"/>
          <w:szCs w:val="24"/>
        </w:rPr>
        <w:t xml:space="preserve"> </w:t>
      </w:r>
      <w:r>
        <w:rPr>
          <w:rFonts w:ascii="宋体" w:hAnsi="宋体" w:eastAsia="宋体" w:cs="宋体"/>
          <w:spacing w:val="-3"/>
          <w:sz w:val="24"/>
          <w:szCs w:val="24"/>
        </w:rPr>
        <w:t>北侧边界（沿地下水流方向，煤气冷凝废水隔油池</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370m</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处）地下水环</w:t>
      </w:r>
      <w:r>
        <w:rPr>
          <w:rFonts w:ascii="宋体" w:hAnsi="宋体" w:eastAsia="宋体" w:cs="宋体"/>
          <w:spacing w:val="-4"/>
          <w:sz w:val="24"/>
          <w:szCs w:val="24"/>
        </w:rPr>
        <w:t>境中</w:t>
      </w:r>
      <w:r>
        <w:rPr>
          <w:rFonts w:ascii="宋体" w:hAnsi="宋体" w:eastAsia="宋体" w:cs="宋体"/>
          <w:spacing w:val="-52"/>
          <w:sz w:val="24"/>
          <w:szCs w:val="24"/>
        </w:rPr>
        <w:t xml:space="preserve"> </w:t>
      </w:r>
      <w:r>
        <w:rPr>
          <w:rFonts w:ascii="Times New Roman" w:hAnsi="Times New Roman" w:eastAsia="Times New Roman" w:cs="Times New Roman"/>
          <w:spacing w:val="-4"/>
          <w:sz w:val="24"/>
          <w:szCs w:val="24"/>
        </w:rPr>
        <w:t>COD</w:t>
      </w:r>
      <w:r>
        <w:rPr>
          <w:rFonts w:ascii="Times New Roman" w:hAnsi="Times New Roman" w:eastAsia="Times New Roman" w:cs="Times New Roman"/>
          <w:spacing w:val="-4"/>
          <w:position w:val="-1"/>
          <w:sz w:val="15"/>
          <w:szCs w:val="15"/>
        </w:rPr>
        <w:t>mn</w:t>
      </w:r>
      <w:r>
        <w:rPr>
          <w:rFonts w:ascii="Times New Roman" w:hAnsi="Times New Roman" w:eastAsia="Times New Roman" w:cs="Times New Roman"/>
          <w:spacing w:val="14"/>
          <w:position w:val="-1"/>
          <w:sz w:val="15"/>
          <w:szCs w:val="15"/>
        </w:rPr>
        <w:t xml:space="preserve"> </w:t>
      </w:r>
      <w:r>
        <w:rPr>
          <w:rFonts w:ascii="宋体" w:hAnsi="宋体" w:eastAsia="宋体" w:cs="宋体"/>
          <w:spacing w:val="-4"/>
          <w:sz w:val="24"/>
          <w:szCs w:val="24"/>
        </w:rPr>
        <w:t>预测</w:t>
      </w:r>
      <w:r>
        <w:rPr>
          <w:rFonts w:ascii="宋体" w:hAnsi="宋体" w:eastAsia="宋体" w:cs="宋体"/>
          <w:sz w:val="24"/>
          <w:szCs w:val="24"/>
        </w:rPr>
        <w:t xml:space="preserve"> 时间段内</w:t>
      </w:r>
      <w:r>
        <w:rPr>
          <w:rFonts w:ascii="Times New Roman" w:hAnsi="Times New Roman" w:eastAsia="Times New Roman" w:cs="Times New Roman"/>
          <w:sz w:val="24"/>
          <w:szCs w:val="24"/>
        </w:rPr>
        <w:t xml:space="preserve">2816 </w:t>
      </w:r>
      <w:r>
        <w:rPr>
          <w:rFonts w:ascii="宋体" w:hAnsi="宋体" w:eastAsia="宋体" w:cs="宋体"/>
          <w:sz w:val="24"/>
          <w:szCs w:val="24"/>
        </w:rPr>
        <w:t>天超标，石油类预测时间段内</w:t>
      </w:r>
      <w:r>
        <w:rPr>
          <w:rFonts w:ascii="宋体" w:hAnsi="宋体" w:eastAsia="宋体" w:cs="宋体"/>
          <w:spacing w:val="-15"/>
          <w:sz w:val="24"/>
          <w:szCs w:val="24"/>
        </w:rPr>
        <w:t xml:space="preserve"> </w:t>
      </w:r>
      <w:r>
        <w:rPr>
          <w:rFonts w:ascii="Times New Roman" w:hAnsi="Times New Roman" w:eastAsia="Times New Roman" w:cs="Times New Roman"/>
          <w:sz w:val="24"/>
          <w:szCs w:val="24"/>
        </w:rPr>
        <w:t xml:space="preserve">1551 </w:t>
      </w:r>
      <w:r>
        <w:rPr>
          <w:rFonts w:ascii="宋体" w:hAnsi="宋体" w:eastAsia="宋体" w:cs="宋体"/>
          <w:sz w:val="24"/>
          <w:szCs w:val="24"/>
        </w:rPr>
        <w:t>天超标。</w:t>
      </w:r>
    </w:p>
    <w:p w14:paraId="6998F71F">
      <w:pPr>
        <w:spacing w:before="33" w:line="356" w:lineRule="auto"/>
        <w:ind w:left="11" w:right="61" w:firstLine="495"/>
        <w:rPr>
          <w:rFonts w:ascii="宋体" w:hAnsi="宋体" w:eastAsia="宋体" w:cs="宋体"/>
          <w:sz w:val="24"/>
          <w:szCs w:val="24"/>
        </w:rPr>
      </w:pPr>
      <w:r>
        <w:rPr>
          <w:rFonts w:ascii="宋体" w:hAnsi="宋体" w:eastAsia="宋体" w:cs="宋体"/>
          <w:spacing w:val="-2"/>
          <w:sz w:val="24"/>
          <w:szCs w:val="24"/>
        </w:rPr>
        <w:t>因此在公司采取了完善、可靠的环境风险防范措施和应急预案后，本</w:t>
      </w:r>
      <w:r>
        <w:rPr>
          <w:rFonts w:ascii="宋体" w:hAnsi="宋体" w:eastAsia="宋体" w:cs="宋体"/>
          <w:spacing w:val="-3"/>
          <w:sz w:val="24"/>
          <w:szCs w:val="24"/>
        </w:rPr>
        <w:t>项目环境风险</w:t>
      </w:r>
      <w:r>
        <w:rPr>
          <w:rFonts w:ascii="宋体" w:hAnsi="宋体" w:eastAsia="宋体" w:cs="宋体"/>
          <w:sz w:val="24"/>
          <w:szCs w:val="24"/>
        </w:rPr>
        <w:t xml:space="preserve"> </w:t>
      </w:r>
      <w:r>
        <w:rPr>
          <w:rFonts w:ascii="宋体" w:hAnsi="宋体" w:eastAsia="宋体" w:cs="宋体"/>
          <w:spacing w:val="-1"/>
          <w:sz w:val="24"/>
          <w:szCs w:val="24"/>
        </w:rPr>
        <w:t>水平在行业风险水平的可接受水平范围内。</w:t>
      </w:r>
    </w:p>
    <w:p w14:paraId="070B091D">
      <w:pPr>
        <w:spacing w:line="356" w:lineRule="auto"/>
        <w:rPr>
          <w:rFonts w:ascii="宋体" w:hAnsi="宋体" w:eastAsia="宋体" w:cs="宋体"/>
          <w:sz w:val="24"/>
          <w:szCs w:val="24"/>
        </w:rPr>
        <w:sectPr>
          <w:headerReference r:id="rId412" w:type="default"/>
          <w:footerReference r:id="rId413" w:type="default"/>
          <w:pgSz w:w="11906" w:h="16839"/>
          <w:pgMar w:top="1191" w:right="1356" w:bottom="1221" w:left="1417" w:header="882" w:footer="1059" w:gutter="0"/>
          <w:cols w:space="720" w:num="1"/>
        </w:sectPr>
      </w:pPr>
    </w:p>
    <w:p w14:paraId="23ED7902">
      <w:pPr>
        <w:spacing w:line="28" w:lineRule="exact"/>
      </w:pPr>
      <w:r>
        <w:pict>
          <v:shape id="_x0000_s1942" o:spid="_x0000_s1942" style="height:1.45pt;width:453.65pt;" fillcolor="#000000" filled="t" stroked="f" coordsize="9072,29" path="m0,0l9072,0,9072,28,0,28,0,0xe">
            <v:path/>
            <v:fill on="t" focussize="0,0"/>
            <v:stroke on="f"/>
            <v:imagedata o:title=""/>
            <o:lock v:ext="edit"/>
            <w10:wrap type="none"/>
            <w10:anchorlock/>
          </v:shape>
        </w:pict>
      </w:r>
    </w:p>
    <w:p w14:paraId="7700C23E">
      <w:pPr>
        <w:spacing w:before="316" w:line="219" w:lineRule="auto"/>
        <w:ind w:left="492"/>
        <w:rPr>
          <w:rFonts w:ascii="宋体" w:hAnsi="宋体" w:eastAsia="宋体" w:cs="宋体"/>
          <w:sz w:val="24"/>
          <w:szCs w:val="24"/>
        </w:rPr>
      </w:pPr>
      <w:r>
        <w:rPr>
          <w:rFonts w:ascii="宋体" w:hAnsi="宋体" w:eastAsia="宋体" w:cs="宋体"/>
          <w:spacing w:val="-1"/>
          <w:sz w:val="24"/>
          <w:szCs w:val="24"/>
        </w:rPr>
        <w:t>泄漏事故源项及事故后果基本信息见表</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5.</w:t>
      </w:r>
      <w:r>
        <w:rPr>
          <w:rFonts w:ascii="Times New Roman" w:hAnsi="Times New Roman" w:eastAsia="Times New Roman" w:cs="Times New Roman"/>
          <w:spacing w:val="-2"/>
          <w:sz w:val="24"/>
          <w:szCs w:val="24"/>
        </w:rPr>
        <w:t>6-7</w:t>
      </w:r>
      <w:r>
        <w:rPr>
          <w:rFonts w:ascii="宋体" w:hAnsi="宋体" w:eastAsia="宋体" w:cs="宋体"/>
          <w:spacing w:val="-2"/>
          <w:sz w:val="24"/>
          <w:szCs w:val="24"/>
        </w:rPr>
        <w:t>。</w:t>
      </w:r>
    </w:p>
    <w:p w14:paraId="5646104F">
      <w:pPr>
        <w:spacing w:before="207" w:line="227" w:lineRule="auto"/>
        <w:ind w:left="2295"/>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8"/>
          <w:sz w:val="20"/>
          <w:szCs w:val="20"/>
        </w:rPr>
        <w:t xml:space="preserve"> </w:t>
      </w:r>
      <w:r>
        <w:rPr>
          <w:rFonts w:ascii="Times New Roman" w:hAnsi="Times New Roman" w:eastAsia="Times New Roman" w:cs="Times New Roman"/>
          <w:b/>
          <w:bCs/>
          <w:spacing w:val="6"/>
          <w:sz w:val="20"/>
          <w:szCs w:val="20"/>
        </w:rPr>
        <w:t xml:space="preserve">5.6-7        </w:t>
      </w:r>
      <w:r>
        <w:rPr>
          <w:rFonts w:ascii="宋体" w:hAnsi="宋体" w:eastAsia="宋体" w:cs="宋体"/>
          <w:b/>
          <w:bCs/>
          <w:spacing w:val="6"/>
          <w:sz w:val="20"/>
          <w:szCs w:val="20"/>
        </w:rPr>
        <w:t>泄漏事故源项</w:t>
      </w:r>
      <w:r>
        <w:rPr>
          <w:rFonts w:ascii="宋体" w:hAnsi="宋体" w:eastAsia="宋体" w:cs="宋体"/>
          <w:b/>
          <w:bCs/>
          <w:spacing w:val="5"/>
          <w:sz w:val="20"/>
          <w:szCs w:val="20"/>
        </w:rPr>
        <w:t>及事故后果基本信息表</w:t>
      </w:r>
    </w:p>
    <w:p w14:paraId="09E49937">
      <w:pPr>
        <w:spacing w:before="98" w:line="29" w:lineRule="exact"/>
      </w:pPr>
      <w:r>
        <w:pict>
          <v:shape id="_x0000_s1944" o:spid="_x0000_s1944" style="height:1.45pt;width:453.55pt;" filled="f" stroked="t" coordsize="9070,29" path="m0,14l9070,14e">
            <v:fill on="f" focussize="0,0"/>
            <v:stroke weight="1.44pt" color="#000000" miterlimit="2" joinstyle="bevel"/>
            <v:imagedata o:title=""/>
            <o:lock v:ext="edit"/>
            <w10:wrap type="none"/>
            <w10:anchorlock/>
          </v:shape>
        </w:pict>
      </w:r>
    </w:p>
    <w:p w14:paraId="59934763">
      <w:pPr>
        <w:spacing w:before="33" w:line="222" w:lineRule="auto"/>
        <w:ind w:left="3703"/>
        <w:rPr>
          <w:rFonts w:ascii="宋体" w:hAnsi="宋体" w:eastAsia="宋体" w:cs="宋体"/>
          <w:sz w:val="20"/>
          <w:szCs w:val="20"/>
        </w:rPr>
      </w:pPr>
      <w:r>
        <w:rPr>
          <w:rFonts w:ascii="宋体" w:hAnsi="宋体" w:eastAsia="宋体" w:cs="宋体"/>
          <w:spacing w:val="8"/>
          <w:sz w:val="20"/>
          <w:szCs w:val="20"/>
        </w:rPr>
        <w:t>风险事故情形分析</w:t>
      </w:r>
    </w:p>
    <w:tbl>
      <w:tblPr>
        <w:tblStyle w:val="5"/>
        <w:tblW w:w="907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44"/>
        <w:gridCol w:w="1038"/>
        <w:gridCol w:w="1341"/>
        <w:gridCol w:w="1190"/>
        <w:gridCol w:w="1411"/>
        <w:gridCol w:w="2646"/>
      </w:tblGrid>
      <w:tr w14:paraId="54B0E4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1444" w:type="dxa"/>
            <w:tcBorders>
              <w:left w:val="nil"/>
            </w:tcBorders>
            <w:vAlign w:val="top"/>
          </w:tcPr>
          <w:p w14:paraId="21435934">
            <w:pPr>
              <w:pStyle w:val="6"/>
              <w:spacing w:before="37" w:line="234" w:lineRule="auto"/>
              <w:ind w:left="205" w:right="94" w:hanging="109"/>
              <w:rPr>
                <w:sz w:val="20"/>
                <w:szCs w:val="20"/>
              </w:rPr>
            </w:pPr>
            <w:r>
              <w:rPr>
                <w:spacing w:val="8"/>
                <w:sz w:val="20"/>
                <w:szCs w:val="20"/>
              </w:rPr>
              <w:t>代表性风险事</w:t>
            </w:r>
            <w:r>
              <w:rPr>
                <w:spacing w:val="1"/>
                <w:sz w:val="20"/>
                <w:szCs w:val="20"/>
              </w:rPr>
              <w:t xml:space="preserve"> </w:t>
            </w:r>
            <w:r>
              <w:rPr>
                <w:spacing w:val="7"/>
                <w:sz w:val="20"/>
                <w:szCs w:val="20"/>
              </w:rPr>
              <w:t>故情形描述</w:t>
            </w:r>
          </w:p>
        </w:tc>
        <w:tc>
          <w:tcPr>
            <w:tcW w:w="7626" w:type="dxa"/>
            <w:gridSpan w:val="5"/>
            <w:tcBorders>
              <w:right w:val="nil"/>
            </w:tcBorders>
            <w:vAlign w:val="top"/>
          </w:tcPr>
          <w:p w14:paraId="2AFC5DE9">
            <w:pPr>
              <w:pStyle w:val="6"/>
              <w:spacing w:before="171" w:line="228" w:lineRule="auto"/>
              <w:ind w:left="1721"/>
              <w:rPr>
                <w:sz w:val="20"/>
                <w:szCs w:val="20"/>
              </w:rPr>
            </w:pPr>
            <w:r>
              <w:rPr>
                <w:spacing w:val="9"/>
                <w:sz w:val="20"/>
                <w:szCs w:val="20"/>
              </w:rPr>
              <w:t>煤气柜连接管线发生泄漏，煤气在大气中扩散</w:t>
            </w:r>
          </w:p>
        </w:tc>
      </w:tr>
      <w:tr w14:paraId="6EF5E9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44" w:type="dxa"/>
            <w:tcBorders>
              <w:left w:val="nil"/>
            </w:tcBorders>
            <w:vAlign w:val="top"/>
          </w:tcPr>
          <w:p w14:paraId="4A55EB7F">
            <w:pPr>
              <w:pStyle w:val="6"/>
              <w:spacing w:before="33" w:line="215" w:lineRule="auto"/>
              <w:ind w:left="97"/>
              <w:rPr>
                <w:sz w:val="20"/>
                <w:szCs w:val="20"/>
              </w:rPr>
            </w:pPr>
            <w:r>
              <w:rPr>
                <w:spacing w:val="8"/>
                <w:sz w:val="20"/>
                <w:szCs w:val="20"/>
              </w:rPr>
              <w:t>环境风险类型</w:t>
            </w:r>
          </w:p>
        </w:tc>
        <w:tc>
          <w:tcPr>
            <w:tcW w:w="7626" w:type="dxa"/>
            <w:gridSpan w:val="5"/>
            <w:tcBorders>
              <w:right w:val="nil"/>
            </w:tcBorders>
            <w:vAlign w:val="top"/>
          </w:tcPr>
          <w:p w14:paraId="78B25EE4">
            <w:pPr>
              <w:pStyle w:val="6"/>
              <w:spacing w:before="33" w:line="215" w:lineRule="auto"/>
              <w:ind w:left="3614"/>
              <w:rPr>
                <w:sz w:val="20"/>
                <w:szCs w:val="20"/>
              </w:rPr>
            </w:pPr>
            <w:r>
              <w:rPr>
                <w:spacing w:val="3"/>
                <w:sz w:val="20"/>
                <w:szCs w:val="20"/>
              </w:rPr>
              <w:t>泄漏</w:t>
            </w:r>
          </w:p>
        </w:tc>
      </w:tr>
      <w:tr w14:paraId="04C476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44" w:type="dxa"/>
            <w:tcBorders>
              <w:left w:val="nil"/>
            </w:tcBorders>
            <w:vAlign w:val="top"/>
          </w:tcPr>
          <w:p w14:paraId="3AFBE569">
            <w:pPr>
              <w:pStyle w:val="6"/>
              <w:spacing w:before="32" w:line="216" w:lineRule="auto"/>
              <w:ind w:left="100"/>
              <w:rPr>
                <w:sz w:val="20"/>
                <w:szCs w:val="20"/>
              </w:rPr>
            </w:pPr>
            <w:r>
              <w:rPr>
                <w:spacing w:val="7"/>
                <w:sz w:val="20"/>
                <w:szCs w:val="20"/>
              </w:rPr>
              <w:t>泄漏设备类型</w:t>
            </w:r>
          </w:p>
        </w:tc>
        <w:tc>
          <w:tcPr>
            <w:tcW w:w="1038" w:type="dxa"/>
            <w:vAlign w:val="top"/>
          </w:tcPr>
          <w:p w14:paraId="7716447F">
            <w:pPr>
              <w:pStyle w:val="6"/>
              <w:spacing w:before="32" w:line="216" w:lineRule="auto"/>
              <w:ind w:left="209"/>
              <w:rPr>
                <w:sz w:val="20"/>
                <w:szCs w:val="20"/>
              </w:rPr>
            </w:pPr>
            <w:r>
              <w:rPr>
                <w:spacing w:val="6"/>
                <w:sz w:val="20"/>
                <w:szCs w:val="20"/>
              </w:rPr>
              <w:t>煤气柜</w:t>
            </w:r>
          </w:p>
        </w:tc>
        <w:tc>
          <w:tcPr>
            <w:tcW w:w="1341" w:type="dxa"/>
            <w:vAlign w:val="top"/>
          </w:tcPr>
          <w:p w14:paraId="534445DD">
            <w:pPr>
              <w:pStyle w:val="6"/>
              <w:spacing w:before="32" w:line="216" w:lineRule="auto"/>
              <w:ind w:left="148"/>
              <w:rPr>
                <w:rFonts w:ascii="Times New Roman" w:hAnsi="Times New Roman" w:eastAsia="Times New Roman" w:cs="Times New Roman"/>
                <w:sz w:val="20"/>
                <w:szCs w:val="20"/>
              </w:rPr>
            </w:pPr>
            <w:r>
              <w:rPr>
                <w:spacing w:val="8"/>
                <w:sz w:val="20"/>
                <w:szCs w:val="20"/>
              </w:rPr>
              <w:t>操作温度</w:t>
            </w:r>
            <w:r>
              <w:rPr>
                <w:rFonts w:ascii="Times New Roman" w:hAnsi="Times New Roman" w:eastAsia="Times New Roman" w:cs="Times New Roman"/>
                <w:spacing w:val="8"/>
                <w:sz w:val="20"/>
                <w:szCs w:val="20"/>
              </w:rPr>
              <w:t>℃</w:t>
            </w:r>
          </w:p>
        </w:tc>
        <w:tc>
          <w:tcPr>
            <w:tcW w:w="1190" w:type="dxa"/>
            <w:vAlign w:val="top"/>
          </w:tcPr>
          <w:p w14:paraId="53017D61">
            <w:pPr>
              <w:spacing w:before="68" w:line="195" w:lineRule="auto"/>
              <w:ind w:left="495"/>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70</w:t>
            </w:r>
          </w:p>
        </w:tc>
        <w:tc>
          <w:tcPr>
            <w:tcW w:w="1411" w:type="dxa"/>
            <w:vAlign w:val="top"/>
          </w:tcPr>
          <w:p w14:paraId="6B07946E">
            <w:pPr>
              <w:pStyle w:val="6"/>
              <w:spacing w:before="32" w:line="216" w:lineRule="auto"/>
              <w:ind w:left="65"/>
              <w:rPr>
                <w:rFonts w:ascii="Times New Roman" w:hAnsi="Times New Roman" w:eastAsia="Times New Roman" w:cs="Times New Roman"/>
                <w:sz w:val="20"/>
                <w:szCs w:val="20"/>
              </w:rPr>
            </w:pPr>
            <w:r>
              <w:rPr>
                <w:spacing w:val="11"/>
                <w:sz w:val="20"/>
                <w:szCs w:val="20"/>
              </w:rPr>
              <w:t>操作压力</w:t>
            </w:r>
            <w:r>
              <w:rPr>
                <w:spacing w:val="-42"/>
                <w:sz w:val="20"/>
                <w:szCs w:val="20"/>
              </w:rPr>
              <w:t xml:space="preserve"> </w:t>
            </w:r>
            <w:r>
              <w:rPr>
                <w:rFonts w:ascii="Times New Roman" w:hAnsi="Times New Roman" w:eastAsia="Times New Roman" w:cs="Times New Roman"/>
                <w:sz w:val="20"/>
                <w:szCs w:val="20"/>
              </w:rPr>
              <w:t>MPa</w:t>
            </w:r>
          </w:p>
        </w:tc>
        <w:tc>
          <w:tcPr>
            <w:tcW w:w="2646" w:type="dxa"/>
            <w:tcBorders>
              <w:right w:val="nil"/>
            </w:tcBorders>
            <w:vAlign w:val="top"/>
          </w:tcPr>
          <w:p w14:paraId="6813EA7E">
            <w:pPr>
              <w:spacing w:before="68" w:line="195" w:lineRule="auto"/>
              <w:ind w:left="119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0.4</w:t>
            </w:r>
          </w:p>
        </w:tc>
      </w:tr>
      <w:tr w14:paraId="02A60C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44" w:type="dxa"/>
            <w:tcBorders>
              <w:left w:val="nil"/>
            </w:tcBorders>
            <w:vAlign w:val="top"/>
          </w:tcPr>
          <w:p w14:paraId="4BBDDBFE">
            <w:pPr>
              <w:pStyle w:val="6"/>
              <w:spacing w:before="34" w:line="214" w:lineRule="auto"/>
              <w:ind w:left="100"/>
              <w:rPr>
                <w:sz w:val="20"/>
                <w:szCs w:val="20"/>
              </w:rPr>
            </w:pPr>
            <w:r>
              <w:rPr>
                <w:spacing w:val="7"/>
                <w:sz w:val="20"/>
                <w:szCs w:val="20"/>
              </w:rPr>
              <w:t>泄漏危险物质</w:t>
            </w:r>
          </w:p>
        </w:tc>
        <w:tc>
          <w:tcPr>
            <w:tcW w:w="1038" w:type="dxa"/>
            <w:vAlign w:val="top"/>
          </w:tcPr>
          <w:p w14:paraId="2EAC33D5">
            <w:pPr>
              <w:pStyle w:val="6"/>
              <w:spacing w:before="34" w:line="214" w:lineRule="auto"/>
              <w:jc w:val="right"/>
              <w:rPr>
                <w:sz w:val="20"/>
                <w:szCs w:val="20"/>
              </w:rPr>
            </w:pPr>
            <w:r>
              <w:rPr>
                <w:spacing w:val="-10"/>
                <w:sz w:val="20"/>
                <w:szCs w:val="20"/>
              </w:rPr>
              <w:t>煤气（</w:t>
            </w:r>
            <w:r>
              <w:rPr>
                <w:rFonts w:ascii="Times New Roman" w:hAnsi="Times New Roman" w:eastAsia="Times New Roman" w:cs="Times New Roman"/>
                <w:spacing w:val="-10"/>
                <w:sz w:val="20"/>
                <w:szCs w:val="20"/>
              </w:rPr>
              <w:t>CO</w:t>
            </w:r>
            <w:r>
              <w:rPr>
                <w:spacing w:val="-10"/>
                <w:sz w:val="20"/>
                <w:szCs w:val="20"/>
              </w:rPr>
              <w:t>）</w:t>
            </w:r>
          </w:p>
        </w:tc>
        <w:tc>
          <w:tcPr>
            <w:tcW w:w="1341" w:type="dxa"/>
            <w:vAlign w:val="top"/>
          </w:tcPr>
          <w:p w14:paraId="628E312A">
            <w:pPr>
              <w:pStyle w:val="6"/>
              <w:spacing w:before="34" w:line="214" w:lineRule="auto"/>
              <w:ind w:left="96"/>
              <w:rPr>
                <w:rFonts w:ascii="Times New Roman" w:hAnsi="Times New Roman" w:eastAsia="Times New Roman" w:cs="Times New Roman"/>
                <w:sz w:val="20"/>
                <w:szCs w:val="20"/>
              </w:rPr>
            </w:pPr>
            <w:r>
              <w:rPr>
                <w:spacing w:val="6"/>
                <w:sz w:val="20"/>
                <w:szCs w:val="20"/>
              </w:rPr>
              <w:t>最大存在量</w:t>
            </w:r>
            <w:r>
              <w:rPr>
                <w:spacing w:val="-41"/>
                <w:sz w:val="20"/>
                <w:szCs w:val="20"/>
              </w:rPr>
              <w:t xml:space="preserve"> </w:t>
            </w:r>
            <w:r>
              <w:rPr>
                <w:rFonts w:ascii="Times New Roman" w:hAnsi="Times New Roman" w:eastAsia="Times New Roman" w:cs="Times New Roman"/>
                <w:spacing w:val="6"/>
                <w:sz w:val="20"/>
                <w:szCs w:val="20"/>
              </w:rPr>
              <w:t>t</w:t>
            </w:r>
          </w:p>
        </w:tc>
        <w:tc>
          <w:tcPr>
            <w:tcW w:w="1190" w:type="dxa"/>
            <w:vAlign w:val="top"/>
          </w:tcPr>
          <w:p w14:paraId="28FAEB2F">
            <w:pPr>
              <w:spacing w:before="69" w:line="195" w:lineRule="auto"/>
              <w:ind w:left="36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25.80</w:t>
            </w:r>
          </w:p>
        </w:tc>
        <w:tc>
          <w:tcPr>
            <w:tcW w:w="1411" w:type="dxa"/>
            <w:vAlign w:val="top"/>
          </w:tcPr>
          <w:p w14:paraId="54DCF49B">
            <w:pPr>
              <w:pStyle w:val="6"/>
              <w:spacing w:before="34" w:line="214" w:lineRule="auto"/>
              <w:ind w:left="105"/>
              <w:rPr>
                <w:rFonts w:ascii="Times New Roman" w:hAnsi="Times New Roman" w:eastAsia="Times New Roman" w:cs="Times New Roman"/>
                <w:sz w:val="20"/>
                <w:szCs w:val="20"/>
              </w:rPr>
            </w:pPr>
            <w:r>
              <w:rPr>
                <w:spacing w:val="9"/>
                <w:sz w:val="20"/>
                <w:szCs w:val="20"/>
              </w:rPr>
              <w:t>泄漏孔径</w:t>
            </w:r>
            <w:r>
              <w:rPr>
                <w:spacing w:val="-44"/>
                <w:sz w:val="20"/>
                <w:szCs w:val="20"/>
              </w:rPr>
              <w:t xml:space="preserve"> </w:t>
            </w:r>
            <w:r>
              <w:rPr>
                <w:rFonts w:ascii="Times New Roman" w:hAnsi="Times New Roman" w:eastAsia="Times New Roman" w:cs="Times New Roman"/>
                <w:sz w:val="20"/>
                <w:szCs w:val="20"/>
              </w:rPr>
              <w:t>mm</w:t>
            </w:r>
          </w:p>
        </w:tc>
        <w:tc>
          <w:tcPr>
            <w:tcW w:w="2646" w:type="dxa"/>
            <w:tcBorders>
              <w:right w:val="nil"/>
            </w:tcBorders>
            <w:vAlign w:val="top"/>
          </w:tcPr>
          <w:p w14:paraId="1D520CDB">
            <w:pPr>
              <w:spacing w:before="69" w:line="195" w:lineRule="auto"/>
              <w:ind w:left="1227"/>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r>
      <w:tr w14:paraId="3123CC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44" w:type="dxa"/>
            <w:tcBorders>
              <w:left w:val="nil"/>
            </w:tcBorders>
            <w:vAlign w:val="top"/>
          </w:tcPr>
          <w:p w14:paraId="0C1F3C96">
            <w:pPr>
              <w:pStyle w:val="6"/>
              <w:spacing w:before="36" w:line="212" w:lineRule="auto"/>
              <w:ind w:left="110"/>
              <w:rPr>
                <w:rFonts w:ascii="Times New Roman" w:hAnsi="Times New Roman" w:eastAsia="Times New Roman" w:cs="Times New Roman"/>
                <w:sz w:val="20"/>
                <w:szCs w:val="20"/>
              </w:rPr>
            </w:pPr>
            <w:r>
              <w:rPr>
                <w:spacing w:val="6"/>
                <w:sz w:val="20"/>
                <w:szCs w:val="20"/>
              </w:rPr>
              <w:t>泄漏速率</w:t>
            </w:r>
            <w:r>
              <w:rPr>
                <w:spacing w:val="-44"/>
                <w:sz w:val="20"/>
                <w:szCs w:val="20"/>
              </w:rPr>
              <w:t xml:space="preserve"> </w:t>
            </w:r>
            <w:r>
              <w:rPr>
                <w:rFonts w:ascii="Times New Roman" w:hAnsi="Times New Roman" w:eastAsia="Times New Roman" w:cs="Times New Roman"/>
                <w:sz w:val="20"/>
                <w:szCs w:val="20"/>
              </w:rPr>
              <w:t>kg</w:t>
            </w:r>
            <w:r>
              <w:rPr>
                <w:rFonts w:ascii="Times New Roman" w:hAnsi="Times New Roman" w:eastAsia="Times New Roman" w:cs="Times New Roman"/>
                <w:spacing w:val="6"/>
                <w:sz w:val="20"/>
                <w:szCs w:val="20"/>
              </w:rPr>
              <w:t>/s</w:t>
            </w:r>
          </w:p>
        </w:tc>
        <w:tc>
          <w:tcPr>
            <w:tcW w:w="1038" w:type="dxa"/>
            <w:vAlign w:val="top"/>
          </w:tcPr>
          <w:p w14:paraId="66BFDD0A">
            <w:pPr>
              <w:spacing w:before="71" w:line="195" w:lineRule="auto"/>
              <w:ind w:left="28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0.371</w:t>
            </w:r>
          </w:p>
        </w:tc>
        <w:tc>
          <w:tcPr>
            <w:tcW w:w="1341" w:type="dxa"/>
            <w:vAlign w:val="top"/>
          </w:tcPr>
          <w:p w14:paraId="4D226CE5">
            <w:pPr>
              <w:pStyle w:val="6"/>
              <w:spacing w:before="36" w:line="212" w:lineRule="auto"/>
              <w:ind w:left="68"/>
              <w:rPr>
                <w:rFonts w:ascii="Times New Roman" w:hAnsi="Times New Roman" w:eastAsia="Times New Roman" w:cs="Times New Roman"/>
                <w:sz w:val="20"/>
                <w:szCs w:val="20"/>
              </w:rPr>
            </w:pPr>
            <w:r>
              <w:rPr>
                <w:spacing w:val="9"/>
                <w:sz w:val="20"/>
                <w:szCs w:val="20"/>
              </w:rPr>
              <w:t>泄漏时间</w:t>
            </w:r>
            <w:r>
              <w:rPr>
                <w:spacing w:val="-42"/>
                <w:sz w:val="20"/>
                <w:szCs w:val="20"/>
              </w:rPr>
              <w:t xml:space="preserve"> </w:t>
            </w:r>
            <w:r>
              <w:rPr>
                <w:rFonts w:ascii="Times New Roman" w:hAnsi="Times New Roman" w:eastAsia="Times New Roman" w:cs="Times New Roman"/>
                <w:sz w:val="20"/>
                <w:szCs w:val="20"/>
              </w:rPr>
              <w:t>min</w:t>
            </w:r>
          </w:p>
        </w:tc>
        <w:tc>
          <w:tcPr>
            <w:tcW w:w="1190" w:type="dxa"/>
            <w:vAlign w:val="top"/>
          </w:tcPr>
          <w:p w14:paraId="37339246">
            <w:pPr>
              <w:spacing w:before="71" w:line="195" w:lineRule="auto"/>
              <w:ind w:left="51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1411" w:type="dxa"/>
            <w:vAlign w:val="top"/>
          </w:tcPr>
          <w:p w14:paraId="1D4D4015">
            <w:pPr>
              <w:pStyle w:val="6"/>
              <w:spacing w:before="36" w:line="212" w:lineRule="auto"/>
              <w:ind w:left="266"/>
              <w:rPr>
                <w:rFonts w:ascii="Times New Roman" w:hAnsi="Times New Roman" w:eastAsia="Times New Roman" w:cs="Times New Roman"/>
                <w:sz w:val="20"/>
                <w:szCs w:val="20"/>
              </w:rPr>
            </w:pPr>
            <w:r>
              <w:rPr>
                <w:spacing w:val="7"/>
                <w:sz w:val="20"/>
                <w:szCs w:val="20"/>
              </w:rPr>
              <w:t>泄漏量</w:t>
            </w:r>
            <w:r>
              <w:rPr>
                <w:spacing w:val="-42"/>
                <w:sz w:val="20"/>
                <w:szCs w:val="20"/>
              </w:rPr>
              <w:t xml:space="preserve"> </w:t>
            </w:r>
            <w:r>
              <w:rPr>
                <w:rFonts w:ascii="Times New Roman" w:hAnsi="Times New Roman" w:eastAsia="Times New Roman" w:cs="Times New Roman"/>
                <w:sz w:val="20"/>
                <w:szCs w:val="20"/>
              </w:rPr>
              <w:t>kg</w:t>
            </w:r>
          </w:p>
        </w:tc>
        <w:tc>
          <w:tcPr>
            <w:tcW w:w="2646" w:type="dxa"/>
            <w:tcBorders>
              <w:right w:val="nil"/>
            </w:tcBorders>
            <w:vAlign w:val="top"/>
          </w:tcPr>
          <w:p w14:paraId="024180F4">
            <w:pPr>
              <w:spacing w:before="71" w:line="195" w:lineRule="auto"/>
              <w:ind w:left="104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333.90</w:t>
            </w:r>
          </w:p>
        </w:tc>
      </w:tr>
      <w:tr w14:paraId="34CCBB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1444" w:type="dxa"/>
            <w:tcBorders>
              <w:left w:val="nil"/>
            </w:tcBorders>
            <w:vAlign w:val="top"/>
          </w:tcPr>
          <w:p w14:paraId="1561F823">
            <w:pPr>
              <w:pStyle w:val="6"/>
              <w:spacing w:before="172" w:line="228" w:lineRule="auto"/>
              <w:ind w:left="201"/>
              <w:rPr>
                <w:rFonts w:ascii="Times New Roman" w:hAnsi="Times New Roman" w:eastAsia="Times New Roman" w:cs="Times New Roman"/>
                <w:sz w:val="20"/>
                <w:szCs w:val="20"/>
              </w:rPr>
            </w:pPr>
            <w:r>
              <w:rPr>
                <w:spacing w:val="6"/>
                <w:sz w:val="20"/>
                <w:szCs w:val="20"/>
              </w:rPr>
              <w:t>泄漏高度</w:t>
            </w:r>
            <w:r>
              <w:rPr>
                <w:spacing w:val="-43"/>
                <w:sz w:val="20"/>
                <w:szCs w:val="20"/>
              </w:rPr>
              <w:t xml:space="preserve"> </w:t>
            </w:r>
            <w:r>
              <w:rPr>
                <w:rFonts w:ascii="Times New Roman" w:hAnsi="Times New Roman" w:eastAsia="Times New Roman" w:cs="Times New Roman"/>
                <w:spacing w:val="6"/>
                <w:sz w:val="20"/>
                <w:szCs w:val="20"/>
              </w:rPr>
              <w:t>m</w:t>
            </w:r>
          </w:p>
        </w:tc>
        <w:tc>
          <w:tcPr>
            <w:tcW w:w="1038" w:type="dxa"/>
            <w:vAlign w:val="top"/>
          </w:tcPr>
          <w:p w14:paraId="3049E74E">
            <w:pPr>
              <w:spacing w:before="208" w:line="195" w:lineRule="auto"/>
              <w:ind w:left="468"/>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341" w:type="dxa"/>
            <w:vAlign w:val="top"/>
          </w:tcPr>
          <w:p w14:paraId="2230AE4A">
            <w:pPr>
              <w:pStyle w:val="6"/>
              <w:spacing w:before="34" w:line="235" w:lineRule="auto"/>
              <w:ind w:left="439" w:right="39" w:hanging="390"/>
              <w:rPr>
                <w:rFonts w:ascii="Times New Roman" w:hAnsi="Times New Roman" w:eastAsia="Times New Roman" w:cs="Times New Roman"/>
                <w:sz w:val="20"/>
                <w:szCs w:val="20"/>
              </w:rPr>
            </w:pPr>
            <w:r>
              <w:rPr>
                <w:spacing w:val="7"/>
                <w:sz w:val="20"/>
                <w:szCs w:val="20"/>
              </w:rPr>
              <w:t>泄漏液体蒸发</w:t>
            </w:r>
            <w:r>
              <w:rPr>
                <w:spacing w:val="3"/>
                <w:sz w:val="20"/>
                <w:szCs w:val="20"/>
              </w:rPr>
              <w:t xml:space="preserve"> </w:t>
            </w:r>
            <w:r>
              <w:rPr>
                <w:spacing w:val="6"/>
                <w:sz w:val="20"/>
                <w:szCs w:val="20"/>
              </w:rPr>
              <w:t>量</w:t>
            </w:r>
            <w:r>
              <w:rPr>
                <w:spacing w:val="-46"/>
                <w:sz w:val="20"/>
                <w:szCs w:val="20"/>
              </w:rPr>
              <w:t xml:space="preserve"> </w:t>
            </w:r>
            <w:r>
              <w:rPr>
                <w:rFonts w:ascii="Times New Roman" w:hAnsi="Times New Roman" w:eastAsia="Times New Roman" w:cs="Times New Roman"/>
                <w:sz w:val="20"/>
                <w:szCs w:val="20"/>
              </w:rPr>
              <w:t>kg</w:t>
            </w:r>
          </w:p>
        </w:tc>
        <w:tc>
          <w:tcPr>
            <w:tcW w:w="1190" w:type="dxa"/>
            <w:vAlign w:val="top"/>
          </w:tcPr>
          <w:p w14:paraId="33775728">
            <w:pPr>
              <w:spacing w:before="204" w:line="199" w:lineRule="auto"/>
              <w:ind w:left="56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411" w:type="dxa"/>
            <w:vAlign w:val="top"/>
          </w:tcPr>
          <w:p w14:paraId="5446D472">
            <w:pPr>
              <w:pStyle w:val="6"/>
              <w:spacing w:before="172" w:line="228" w:lineRule="auto"/>
              <w:ind w:left="293"/>
              <w:rPr>
                <w:sz w:val="20"/>
                <w:szCs w:val="20"/>
              </w:rPr>
            </w:pPr>
            <w:r>
              <w:rPr>
                <w:spacing w:val="6"/>
                <w:sz w:val="20"/>
                <w:szCs w:val="20"/>
              </w:rPr>
              <w:t>泄漏频率</w:t>
            </w:r>
          </w:p>
        </w:tc>
        <w:tc>
          <w:tcPr>
            <w:tcW w:w="2646" w:type="dxa"/>
            <w:tcBorders>
              <w:right w:val="nil"/>
            </w:tcBorders>
            <w:vAlign w:val="top"/>
          </w:tcPr>
          <w:p w14:paraId="5028A066">
            <w:pPr>
              <w:spacing w:before="188" w:line="216" w:lineRule="auto"/>
              <w:ind w:left="94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1.0×10</w:t>
            </w:r>
            <w:r>
              <w:rPr>
                <w:rFonts w:ascii="Times New Roman" w:hAnsi="Times New Roman" w:eastAsia="Times New Roman" w:cs="Times New Roman"/>
                <w:spacing w:val="1"/>
                <w:position w:val="6"/>
                <w:sz w:val="13"/>
                <w:szCs w:val="13"/>
              </w:rPr>
              <w:t>-4</w:t>
            </w:r>
            <w:r>
              <w:rPr>
                <w:rFonts w:ascii="Times New Roman" w:hAnsi="Times New Roman" w:eastAsia="Times New Roman" w:cs="Times New Roman"/>
                <w:spacing w:val="1"/>
                <w:sz w:val="20"/>
                <w:szCs w:val="20"/>
              </w:rPr>
              <w:t>a</w:t>
            </w:r>
          </w:p>
        </w:tc>
      </w:tr>
    </w:tbl>
    <w:p w14:paraId="7E113602">
      <w:pPr>
        <w:spacing w:before="33" w:line="221" w:lineRule="auto"/>
        <w:ind w:left="3914"/>
        <w:rPr>
          <w:rFonts w:ascii="宋体" w:hAnsi="宋体" w:eastAsia="宋体" w:cs="宋体"/>
          <w:sz w:val="20"/>
          <w:szCs w:val="20"/>
        </w:rPr>
      </w:pPr>
      <w:r>
        <w:rPr>
          <w:rFonts w:ascii="宋体" w:hAnsi="宋体" w:eastAsia="宋体" w:cs="宋体"/>
          <w:spacing w:val="8"/>
          <w:sz w:val="20"/>
          <w:szCs w:val="20"/>
        </w:rPr>
        <w:t>事故后果预测</w:t>
      </w:r>
    </w:p>
    <w:tbl>
      <w:tblPr>
        <w:tblStyle w:val="5"/>
        <w:tblW w:w="906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44"/>
        <w:gridCol w:w="1038"/>
        <w:gridCol w:w="1340"/>
        <w:gridCol w:w="1190"/>
        <w:gridCol w:w="1411"/>
        <w:gridCol w:w="1402"/>
        <w:gridCol w:w="1244"/>
      </w:tblGrid>
      <w:tr w14:paraId="1DA49B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trPr>
        <w:tc>
          <w:tcPr>
            <w:tcW w:w="1444" w:type="dxa"/>
            <w:vMerge w:val="restart"/>
            <w:tcBorders>
              <w:left w:val="nil"/>
              <w:bottom w:val="nil"/>
            </w:tcBorders>
            <w:vAlign w:val="top"/>
          </w:tcPr>
          <w:p w14:paraId="141E2877">
            <w:pPr>
              <w:spacing w:line="264" w:lineRule="auto"/>
              <w:rPr>
                <w:rFonts w:ascii="Arial"/>
                <w:sz w:val="21"/>
              </w:rPr>
            </w:pPr>
          </w:p>
          <w:p w14:paraId="5F71C403">
            <w:pPr>
              <w:spacing w:line="265" w:lineRule="auto"/>
              <w:rPr>
                <w:rFonts w:ascii="Arial"/>
                <w:sz w:val="21"/>
              </w:rPr>
            </w:pPr>
          </w:p>
          <w:p w14:paraId="3A3546ED">
            <w:pPr>
              <w:spacing w:line="265" w:lineRule="auto"/>
              <w:rPr>
                <w:rFonts w:ascii="Arial"/>
                <w:sz w:val="21"/>
              </w:rPr>
            </w:pPr>
          </w:p>
          <w:p w14:paraId="573088FF">
            <w:pPr>
              <w:spacing w:line="265" w:lineRule="auto"/>
              <w:rPr>
                <w:rFonts w:ascii="Arial"/>
                <w:sz w:val="21"/>
              </w:rPr>
            </w:pPr>
          </w:p>
          <w:p w14:paraId="2CA68ABF">
            <w:pPr>
              <w:spacing w:line="265" w:lineRule="auto"/>
              <w:rPr>
                <w:rFonts w:ascii="Arial"/>
                <w:sz w:val="21"/>
              </w:rPr>
            </w:pPr>
          </w:p>
          <w:p w14:paraId="7E10E05C">
            <w:pPr>
              <w:pStyle w:val="6"/>
              <w:spacing w:before="65" w:line="228" w:lineRule="auto"/>
              <w:ind w:left="519"/>
              <w:rPr>
                <w:sz w:val="20"/>
                <w:szCs w:val="20"/>
              </w:rPr>
            </w:pPr>
            <w:r>
              <w:rPr>
                <w:spacing w:val="3"/>
                <w:sz w:val="20"/>
                <w:szCs w:val="20"/>
              </w:rPr>
              <w:t>大气</w:t>
            </w:r>
          </w:p>
        </w:tc>
        <w:tc>
          <w:tcPr>
            <w:tcW w:w="1038" w:type="dxa"/>
            <w:vAlign w:val="top"/>
          </w:tcPr>
          <w:p w14:paraId="347D7DEB">
            <w:pPr>
              <w:pStyle w:val="6"/>
              <w:spacing w:before="35" w:line="217" w:lineRule="auto"/>
              <w:ind w:left="107"/>
              <w:outlineLvl w:val="2"/>
              <w:rPr>
                <w:sz w:val="20"/>
                <w:szCs w:val="20"/>
              </w:rPr>
            </w:pPr>
            <w:r>
              <w:rPr>
                <w:spacing w:val="6"/>
                <w:sz w:val="20"/>
                <w:szCs w:val="20"/>
              </w:rPr>
              <w:t>危险物质</w:t>
            </w:r>
          </w:p>
        </w:tc>
        <w:tc>
          <w:tcPr>
            <w:tcW w:w="6587" w:type="dxa"/>
            <w:gridSpan w:val="5"/>
            <w:tcBorders>
              <w:right w:val="nil"/>
            </w:tcBorders>
            <w:vAlign w:val="top"/>
          </w:tcPr>
          <w:p w14:paraId="42E4B6DE">
            <w:pPr>
              <w:pStyle w:val="6"/>
              <w:spacing w:before="35" w:line="217" w:lineRule="auto"/>
              <w:ind w:left="2674"/>
              <w:rPr>
                <w:sz w:val="20"/>
                <w:szCs w:val="20"/>
              </w:rPr>
            </w:pPr>
            <w:r>
              <w:rPr>
                <w:spacing w:val="7"/>
                <w:sz w:val="20"/>
                <w:szCs w:val="20"/>
              </w:rPr>
              <w:t>大气环境影响</w:t>
            </w:r>
          </w:p>
        </w:tc>
      </w:tr>
      <w:tr w14:paraId="2F061B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1444" w:type="dxa"/>
            <w:vMerge w:val="continue"/>
            <w:tcBorders>
              <w:top w:val="nil"/>
              <w:left w:val="nil"/>
              <w:bottom w:val="nil"/>
            </w:tcBorders>
            <w:vAlign w:val="top"/>
          </w:tcPr>
          <w:p w14:paraId="70186A5B">
            <w:pPr>
              <w:rPr>
                <w:rFonts w:ascii="Arial"/>
                <w:sz w:val="21"/>
              </w:rPr>
            </w:pPr>
          </w:p>
        </w:tc>
        <w:tc>
          <w:tcPr>
            <w:tcW w:w="1038" w:type="dxa"/>
            <w:vMerge w:val="restart"/>
            <w:tcBorders>
              <w:bottom w:val="nil"/>
            </w:tcBorders>
            <w:vAlign w:val="top"/>
          </w:tcPr>
          <w:p w14:paraId="53E8DBF3">
            <w:pPr>
              <w:spacing w:line="294" w:lineRule="auto"/>
              <w:rPr>
                <w:rFonts w:ascii="Arial"/>
                <w:sz w:val="21"/>
              </w:rPr>
            </w:pPr>
          </w:p>
          <w:p w14:paraId="54E5EEDE">
            <w:pPr>
              <w:spacing w:line="294" w:lineRule="auto"/>
              <w:rPr>
                <w:rFonts w:ascii="Arial"/>
                <w:sz w:val="21"/>
              </w:rPr>
            </w:pPr>
          </w:p>
          <w:p w14:paraId="2FC61914">
            <w:pPr>
              <w:spacing w:line="295" w:lineRule="auto"/>
              <w:rPr>
                <w:rFonts w:ascii="Arial"/>
                <w:sz w:val="21"/>
              </w:rPr>
            </w:pPr>
          </w:p>
          <w:p w14:paraId="6651AD44">
            <w:pPr>
              <w:spacing w:line="295" w:lineRule="auto"/>
              <w:rPr>
                <w:rFonts w:ascii="Arial"/>
                <w:sz w:val="21"/>
              </w:rPr>
            </w:pPr>
          </w:p>
          <w:p w14:paraId="01A9522A">
            <w:pPr>
              <w:pStyle w:val="6"/>
              <w:spacing w:before="65" w:line="228" w:lineRule="auto"/>
              <w:jc w:val="right"/>
              <w:rPr>
                <w:sz w:val="20"/>
                <w:szCs w:val="20"/>
              </w:rPr>
            </w:pPr>
            <w:r>
              <w:rPr>
                <w:spacing w:val="-10"/>
                <w:sz w:val="20"/>
                <w:szCs w:val="20"/>
              </w:rPr>
              <w:t>煤气（</w:t>
            </w:r>
            <w:r>
              <w:rPr>
                <w:rFonts w:ascii="Times New Roman" w:hAnsi="Times New Roman" w:eastAsia="Times New Roman" w:cs="Times New Roman"/>
                <w:spacing w:val="-10"/>
                <w:sz w:val="20"/>
                <w:szCs w:val="20"/>
              </w:rPr>
              <w:t>CO</w:t>
            </w:r>
            <w:r>
              <w:rPr>
                <w:spacing w:val="-10"/>
                <w:sz w:val="20"/>
                <w:szCs w:val="20"/>
              </w:rPr>
              <w:t>）</w:t>
            </w:r>
          </w:p>
        </w:tc>
        <w:tc>
          <w:tcPr>
            <w:tcW w:w="1340" w:type="dxa"/>
            <w:vAlign w:val="top"/>
          </w:tcPr>
          <w:p w14:paraId="058A4941">
            <w:pPr>
              <w:pStyle w:val="6"/>
              <w:spacing w:before="168" w:line="228" w:lineRule="auto"/>
              <w:ind w:left="468"/>
              <w:rPr>
                <w:sz w:val="20"/>
                <w:szCs w:val="20"/>
              </w:rPr>
            </w:pPr>
            <w:r>
              <w:rPr>
                <w:spacing w:val="3"/>
                <w:sz w:val="20"/>
                <w:szCs w:val="20"/>
              </w:rPr>
              <w:t>指标</w:t>
            </w:r>
          </w:p>
        </w:tc>
        <w:tc>
          <w:tcPr>
            <w:tcW w:w="1190" w:type="dxa"/>
            <w:vAlign w:val="top"/>
          </w:tcPr>
          <w:p w14:paraId="22A39397">
            <w:pPr>
              <w:pStyle w:val="6"/>
              <w:spacing w:before="34" w:line="232" w:lineRule="auto"/>
              <w:ind w:left="122" w:right="121" w:firstLine="162"/>
              <w:rPr>
                <w:sz w:val="20"/>
                <w:szCs w:val="20"/>
              </w:rPr>
            </w:pPr>
            <w:r>
              <w:rPr>
                <w:spacing w:val="6"/>
                <w:sz w:val="20"/>
                <w:szCs w:val="20"/>
              </w:rPr>
              <w:t>浓度值</w:t>
            </w:r>
            <w:r>
              <w:rPr>
                <w:sz w:val="20"/>
                <w:szCs w:val="20"/>
              </w:rPr>
              <w:t xml:space="preserve">  </w:t>
            </w:r>
            <w:r>
              <w:rPr>
                <w:spacing w:val="1"/>
                <w:sz w:val="20"/>
                <w:szCs w:val="20"/>
              </w:rPr>
              <w:t>（</w:t>
            </w:r>
            <w:r>
              <w:rPr>
                <w:rFonts w:ascii="Times New Roman" w:hAnsi="Times New Roman" w:eastAsia="Times New Roman" w:cs="Times New Roman"/>
                <w:sz w:val="20"/>
                <w:szCs w:val="20"/>
              </w:rPr>
              <w:t>mg</w:t>
            </w:r>
            <w:r>
              <w:rPr>
                <w:rFonts w:ascii="Times New Roman" w:hAnsi="Times New Roman" w:eastAsia="Times New Roman" w:cs="Times New Roman"/>
                <w:spacing w:val="1"/>
                <w:sz w:val="20"/>
                <w:szCs w:val="20"/>
              </w:rPr>
              <w:t>/m</w:t>
            </w:r>
            <w:r>
              <w:rPr>
                <w:rFonts w:ascii="Times New Roman" w:hAnsi="Times New Roman" w:eastAsia="Times New Roman" w:cs="Times New Roman"/>
                <w:spacing w:val="1"/>
                <w:position w:val="6"/>
                <w:sz w:val="13"/>
                <w:szCs w:val="13"/>
              </w:rPr>
              <w:t>3</w:t>
            </w:r>
            <w:r>
              <w:rPr>
                <w:spacing w:val="1"/>
                <w:sz w:val="20"/>
                <w:szCs w:val="20"/>
              </w:rPr>
              <w:t>）</w:t>
            </w:r>
          </w:p>
        </w:tc>
        <w:tc>
          <w:tcPr>
            <w:tcW w:w="1411" w:type="dxa"/>
            <w:vAlign w:val="top"/>
          </w:tcPr>
          <w:p w14:paraId="32B8B270">
            <w:pPr>
              <w:pStyle w:val="6"/>
              <w:spacing w:before="47" w:line="228" w:lineRule="auto"/>
              <w:ind w:left="84"/>
              <w:rPr>
                <w:sz w:val="20"/>
                <w:szCs w:val="20"/>
              </w:rPr>
            </w:pPr>
            <w:r>
              <w:rPr>
                <w:spacing w:val="7"/>
                <w:sz w:val="20"/>
                <w:szCs w:val="20"/>
              </w:rPr>
              <w:t>最远影响距离</w:t>
            </w:r>
          </w:p>
          <w:p w14:paraId="462D1D48">
            <w:pPr>
              <w:spacing w:before="92" w:line="140" w:lineRule="exact"/>
              <w:ind w:left="625"/>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m</w:t>
            </w:r>
          </w:p>
        </w:tc>
        <w:tc>
          <w:tcPr>
            <w:tcW w:w="2646" w:type="dxa"/>
            <w:gridSpan w:val="2"/>
            <w:tcBorders>
              <w:right w:val="nil"/>
            </w:tcBorders>
            <w:vAlign w:val="top"/>
          </w:tcPr>
          <w:p w14:paraId="7B6234AD">
            <w:pPr>
              <w:pStyle w:val="6"/>
              <w:spacing w:before="168" w:line="228" w:lineRule="auto"/>
              <w:ind w:left="728"/>
              <w:rPr>
                <w:rFonts w:ascii="Times New Roman" w:hAnsi="Times New Roman" w:eastAsia="Times New Roman" w:cs="Times New Roman"/>
                <w:sz w:val="20"/>
                <w:szCs w:val="20"/>
              </w:rPr>
            </w:pPr>
            <w:r>
              <w:rPr>
                <w:spacing w:val="9"/>
                <w:sz w:val="20"/>
                <w:szCs w:val="20"/>
              </w:rPr>
              <w:t>到达时间</w:t>
            </w:r>
            <w:r>
              <w:rPr>
                <w:spacing w:val="-46"/>
                <w:sz w:val="20"/>
                <w:szCs w:val="20"/>
              </w:rPr>
              <w:t xml:space="preserve"> </w:t>
            </w:r>
            <w:r>
              <w:rPr>
                <w:rFonts w:ascii="Times New Roman" w:hAnsi="Times New Roman" w:eastAsia="Times New Roman" w:cs="Times New Roman"/>
                <w:sz w:val="20"/>
                <w:szCs w:val="20"/>
              </w:rPr>
              <w:t>min</w:t>
            </w:r>
          </w:p>
        </w:tc>
      </w:tr>
      <w:tr w14:paraId="355555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8" w:hRule="atLeast"/>
        </w:trPr>
        <w:tc>
          <w:tcPr>
            <w:tcW w:w="1444" w:type="dxa"/>
            <w:vMerge w:val="continue"/>
            <w:tcBorders>
              <w:top w:val="nil"/>
              <w:left w:val="nil"/>
              <w:bottom w:val="nil"/>
            </w:tcBorders>
            <w:vAlign w:val="top"/>
          </w:tcPr>
          <w:p w14:paraId="6156A2DE">
            <w:pPr>
              <w:rPr>
                <w:rFonts w:ascii="Arial"/>
                <w:sz w:val="21"/>
              </w:rPr>
            </w:pPr>
          </w:p>
        </w:tc>
        <w:tc>
          <w:tcPr>
            <w:tcW w:w="1038" w:type="dxa"/>
            <w:vMerge w:val="continue"/>
            <w:tcBorders>
              <w:top w:val="nil"/>
              <w:bottom w:val="nil"/>
            </w:tcBorders>
            <w:vAlign w:val="top"/>
          </w:tcPr>
          <w:p w14:paraId="4AEB3B8B">
            <w:pPr>
              <w:rPr>
                <w:rFonts w:ascii="Arial"/>
                <w:sz w:val="21"/>
              </w:rPr>
            </w:pPr>
          </w:p>
        </w:tc>
        <w:tc>
          <w:tcPr>
            <w:tcW w:w="1340" w:type="dxa"/>
            <w:vAlign w:val="top"/>
          </w:tcPr>
          <w:p w14:paraId="5FA7F46B">
            <w:pPr>
              <w:pStyle w:val="6"/>
              <w:spacing w:before="35" w:line="232" w:lineRule="auto"/>
              <w:ind w:left="376" w:right="38" w:hanging="328"/>
              <w:rPr>
                <w:rFonts w:ascii="Times New Roman" w:hAnsi="Times New Roman" w:eastAsia="Times New Roman" w:cs="Times New Roman"/>
                <w:sz w:val="20"/>
                <w:szCs w:val="20"/>
              </w:rPr>
            </w:pPr>
            <w:r>
              <w:rPr>
                <w:spacing w:val="7"/>
                <w:sz w:val="20"/>
                <w:szCs w:val="20"/>
              </w:rPr>
              <w:t>大气毒性终点</w:t>
            </w:r>
            <w:r>
              <w:rPr>
                <w:spacing w:val="4"/>
                <w:sz w:val="20"/>
                <w:szCs w:val="20"/>
              </w:rPr>
              <w:t xml:space="preserve"> 浓度</w:t>
            </w:r>
            <w:r>
              <w:rPr>
                <w:rFonts w:ascii="Times New Roman" w:hAnsi="Times New Roman" w:eastAsia="Times New Roman" w:cs="Times New Roman"/>
                <w:spacing w:val="4"/>
                <w:sz w:val="20"/>
                <w:szCs w:val="20"/>
              </w:rPr>
              <w:t>-1</w:t>
            </w:r>
          </w:p>
        </w:tc>
        <w:tc>
          <w:tcPr>
            <w:tcW w:w="1190" w:type="dxa"/>
            <w:vAlign w:val="top"/>
          </w:tcPr>
          <w:p w14:paraId="70D56B18">
            <w:pPr>
              <w:spacing w:before="206" w:line="195" w:lineRule="auto"/>
              <w:ind w:left="44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380</w:t>
            </w:r>
          </w:p>
        </w:tc>
        <w:tc>
          <w:tcPr>
            <w:tcW w:w="1411" w:type="dxa"/>
            <w:vAlign w:val="top"/>
          </w:tcPr>
          <w:p w14:paraId="1DA24A8C">
            <w:pPr>
              <w:spacing w:before="206" w:line="195" w:lineRule="auto"/>
              <w:ind w:left="55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290</w:t>
            </w:r>
          </w:p>
        </w:tc>
        <w:tc>
          <w:tcPr>
            <w:tcW w:w="2646" w:type="dxa"/>
            <w:gridSpan w:val="2"/>
            <w:tcBorders>
              <w:right w:val="nil"/>
            </w:tcBorders>
            <w:vAlign w:val="top"/>
          </w:tcPr>
          <w:p w14:paraId="23A066B4">
            <w:pPr>
              <w:spacing w:before="202" w:line="199" w:lineRule="auto"/>
              <w:ind w:left="1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3064A7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8" w:hRule="atLeast"/>
        </w:trPr>
        <w:tc>
          <w:tcPr>
            <w:tcW w:w="1444" w:type="dxa"/>
            <w:vMerge w:val="continue"/>
            <w:tcBorders>
              <w:top w:val="nil"/>
              <w:left w:val="nil"/>
              <w:bottom w:val="nil"/>
            </w:tcBorders>
            <w:vAlign w:val="top"/>
          </w:tcPr>
          <w:p w14:paraId="13EE44AC">
            <w:pPr>
              <w:rPr>
                <w:rFonts w:ascii="Arial"/>
                <w:sz w:val="21"/>
              </w:rPr>
            </w:pPr>
          </w:p>
        </w:tc>
        <w:tc>
          <w:tcPr>
            <w:tcW w:w="1038" w:type="dxa"/>
            <w:vMerge w:val="continue"/>
            <w:tcBorders>
              <w:top w:val="nil"/>
              <w:bottom w:val="nil"/>
            </w:tcBorders>
            <w:vAlign w:val="top"/>
          </w:tcPr>
          <w:p w14:paraId="0AD4E8A2">
            <w:pPr>
              <w:rPr>
                <w:rFonts w:ascii="Arial"/>
                <w:sz w:val="21"/>
              </w:rPr>
            </w:pPr>
          </w:p>
        </w:tc>
        <w:tc>
          <w:tcPr>
            <w:tcW w:w="1340" w:type="dxa"/>
            <w:vAlign w:val="top"/>
          </w:tcPr>
          <w:p w14:paraId="6B4289CF">
            <w:pPr>
              <w:pStyle w:val="6"/>
              <w:spacing w:before="37" w:line="231" w:lineRule="auto"/>
              <w:ind w:left="376" w:right="38" w:hanging="328"/>
              <w:rPr>
                <w:rFonts w:ascii="Times New Roman" w:hAnsi="Times New Roman" w:eastAsia="Times New Roman" w:cs="Times New Roman"/>
                <w:sz w:val="20"/>
                <w:szCs w:val="20"/>
              </w:rPr>
            </w:pPr>
            <w:r>
              <w:rPr>
                <w:spacing w:val="7"/>
                <w:sz w:val="20"/>
                <w:szCs w:val="20"/>
              </w:rPr>
              <w:t>大气毒性终点</w:t>
            </w:r>
            <w:r>
              <w:rPr>
                <w:spacing w:val="4"/>
                <w:sz w:val="20"/>
                <w:szCs w:val="20"/>
              </w:rPr>
              <w:t xml:space="preserve"> 浓度</w:t>
            </w:r>
            <w:r>
              <w:rPr>
                <w:rFonts w:ascii="Times New Roman" w:hAnsi="Times New Roman" w:eastAsia="Times New Roman" w:cs="Times New Roman"/>
                <w:spacing w:val="4"/>
                <w:sz w:val="20"/>
                <w:szCs w:val="20"/>
              </w:rPr>
              <w:t>-2</w:t>
            </w:r>
          </w:p>
        </w:tc>
        <w:tc>
          <w:tcPr>
            <w:tcW w:w="1190" w:type="dxa"/>
            <w:vAlign w:val="top"/>
          </w:tcPr>
          <w:p w14:paraId="5848F488">
            <w:pPr>
              <w:spacing w:before="209" w:line="195" w:lineRule="auto"/>
              <w:ind w:left="497"/>
              <w:rPr>
                <w:rFonts w:ascii="Times New Roman" w:hAnsi="Times New Roman" w:eastAsia="Times New Roman" w:cs="Times New Roman"/>
                <w:sz w:val="20"/>
                <w:szCs w:val="20"/>
              </w:rPr>
            </w:pPr>
            <w:r>
              <w:rPr>
                <w:rFonts w:ascii="Times New Roman" w:hAnsi="Times New Roman" w:eastAsia="Times New Roman" w:cs="Times New Roman"/>
                <w:sz w:val="20"/>
                <w:szCs w:val="20"/>
              </w:rPr>
              <w:t>95</w:t>
            </w:r>
          </w:p>
        </w:tc>
        <w:tc>
          <w:tcPr>
            <w:tcW w:w="1411" w:type="dxa"/>
            <w:vAlign w:val="top"/>
          </w:tcPr>
          <w:p w14:paraId="07A7099C">
            <w:pPr>
              <w:spacing w:before="209" w:line="195" w:lineRule="auto"/>
              <w:ind w:left="55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270</w:t>
            </w:r>
          </w:p>
        </w:tc>
        <w:tc>
          <w:tcPr>
            <w:tcW w:w="2646" w:type="dxa"/>
            <w:gridSpan w:val="2"/>
            <w:tcBorders>
              <w:right w:val="nil"/>
            </w:tcBorders>
            <w:vAlign w:val="top"/>
          </w:tcPr>
          <w:p w14:paraId="4E1CBCD9">
            <w:pPr>
              <w:spacing w:before="206" w:line="199" w:lineRule="auto"/>
              <w:ind w:left="129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5FDCC5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7" w:hRule="atLeast"/>
        </w:trPr>
        <w:tc>
          <w:tcPr>
            <w:tcW w:w="1444" w:type="dxa"/>
            <w:vMerge w:val="continue"/>
            <w:tcBorders>
              <w:top w:val="nil"/>
              <w:left w:val="nil"/>
              <w:bottom w:val="nil"/>
            </w:tcBorders>
            <w:vAlign w:val="top"/>
          </w:tcPr>
          <w:p w14:paraId="140D0379">
            <w:pPr>
              <w:rPr>
                <w:rFonts w:ascii="Arial"/>
                <w:sz w:val="21"/>
              </w:rPr>
            </w:pPr>
          </w:p>
        </w:tc>
        <w:tc>
          <w:tcPr>
            <w:tcW w:w="1038" w:type="dxa"/>
            <w:vMerge w:val="continue"/>
            <w:tcBorders>
              <w:top w:val="nil"/>
              <w:bottom w:val="nil"/>
            </w:tcBorders>
            <w:vAlign w:val="top"/>
          </w:tcPr>
          <w:p w14:paraId="03600449">
            <w:pPr>
              <w:rPr>
                <w:rFonts w:ascii="Arial"/>
                <w:sz w:val="21"/>
              </w:rPr>
            </w:pPr>
          </w:p>
        </w:tc>
        <w:tc>
          <w:tcPr>
            <w:tcW w:w="1340" w:type="dxa"/>
            <w:vAlign w:val="top"/>
          </w:tcPr>
          <w:p w14:paraId="1D746B27">
            <w:pPr>
              <w:pStyle w:val="6"/>
              <w:spacing w:before="158" w:line="228" w:lineRule="auto"/>
              <w:ind w:left="256"/>
              <w:rPr>
                <w:sz w:val="20"/>
                <w:szCs w:val="20"/>
              </w:rPr>
            </w:pPr>
            <w:r>
              <w:rPr>
                <w:spacing w:val="7"/>
                <w:sz w:val="20"/>
                <w:szCs w:val="20"/>
              </w:rPr>
              <w:t>敏感目标</w:t>
            </w:r>
          </w:p>
        </w:tc>
        <w:tc>
          <w:tcPr>
            <w:tcW w:w="1190" w:type="dxa"/>
            <w:vAlign w:val="top"/>
          </w:tcPr>
          <w:p w14:paraId="39E6794E">
            <w:pPr>
              <w:pStyle w:val="6"/>
              <w:spacing w:before="39" w:line="229" w:lineRule="auto"/>
              <w:ind w:left="429" w:right="172" w:hanging="248"/>
              <w:rPr>
                <w:rFonts w:ascii="Times New Roman" w:hAnsi="Times New Roman" w:eastAsia="Times New Roman" w:cs="Times New Roman"/>
                <w:sz w:val="20"/>
                <w:szCs w:val="20"/>
              </w:rPr>
            </w:pPr>
            <w:r>
              <w:rPr>
                <w:spacing w:val="7"/>
                <w:sz w:val="20"/>
                <w:szCs w:val="20"/>
              </w:rPr>
              <w:t>超标时间</w:t>
            </w:r>
            <w:r>
              <w:rPr>
                <w:spacing w:val="1"/>
                <w:sz w:val="20"/>
                <w:szCs w:val="20"/>
              </w:rPr>
              <w:t xml:space="preserve"> </w:t>
            </w:r>
            <w:r>
              <w:rPr>
                <w:rFonts w:ascii="Times New Roman" w:hAnsi="Times New Roman" w:eastAsia="Times New Roman" w:cs="Times New Roman"/>
                <w:spacing w:val="4"/>
                <w:sz w:val="20"/>
                <w:szCs w:val="20"/>
              </w:rPr>
              <w:t>min</w:t>
            </w:r>
          </w:p>
        </w:tc>
        <w:tc>
          <w:tcPr>
            <w:tcW w:w="1411" w:type="dxa"/>
            <w:vAlign w:val="top"/>
          </w:tcPr>
          <w:p w14:paraId="006748FE">
            <w:pPr>
              <w:pStyle w:val="6"/>
              <w:spacing w:before="39" w:line="229" w:lineRule="auto"/>
              <w:ind w:left="540" w:right="74" w:hanging="459"/>
              <w:rPr>
                <w:rFonts w:ascii="Times New Roman" w:hAnsi="Times New Roman" w:eastAsia="Times New Roman" w:cs="Times New Roman"/>
                <w:sz w:val="20"/>
                <w:szCs w:val="20"/>
              </w:rPr>
            </w:pPr>
            <w:r>
              <w:rPr>
                <w:spacing w:val="8"/>
                <w:sz w:val="20"/>
                <w:szCs w:val="20"/>
              </w:rPr>
              <w:t>超标持续时间</w:t>
            </w:r>
            <w:r>
              <w:rPr>
                <w:spacing w:val="1"/>
                <w:sz w:val="20"/>
                <w:szCs w:val="20"/>
              </w:rPr>
              <w:t xml:space="preserve"> </w:t>
            </w:r>
            <w:r>
              <w:rPr>
                <w:rFonts w:ascii="Times New Roman" w:hAnsi="Times New Roman" w:eastAsia="Times New Roman" w:cs="Times New Roman"/>
                <w:spacing w:val="4"/>
                <w:sz w:val="20"/>
                <w:szCs w:val="20"/>
              </w:rPr>
              <w:t>min</w:t>
            </w:r>
          </w:p>
        </w:tc>
        <w:tc>
          <w:tcPr>
            <w:tcW w:w="2646" w:type="dxa"/>
            <w:gridSpan w:val="2"/>
            <w:tcBorders>
              <w:right w:val="nil"/>
            </w:tcBorders>
            <w:vAlign w:val="top"/>
          </w:tcPr>
          <w:p w14:paraId="6E30A076">
            <w:pPr>
              <w:pStyle w:val="6"/>
              <w:spacing w:before="158" w:line="221" w:lineRule="auto"/>
              <w:ind w:left="425"/>
              <w:rPr>
                <w:sz w:val="20"/>
                <w:szCs w:val="20"/>
              </w:rPr>
            </w:pPr>
            <w:r>
              <w:rPr>
                <w:spacing w:val="7"/>
                <w:sz w:val="20"/>
                <w:szCs w:val="20"/>
              </w:rPr>
              <w:t>最大浓度（</w:t>
            </w:r>
            <w:r>
              <w:rPr>
                <w:rFonts w:ascii="Times New Roman" w:hAnsi="Times New Roman" w:eastAsia="Times New Roman" w:cs="Times New Roman"/>
                <w:sz w:val="20"/>
                <w:szCs w:val="20"/>
              </w:rPr>
              <w:t>mg</w:t>
            </w:r>
            <w:r>
              <w:rPr>
                <w:rFonts w:ascii="Times New Roman" w:hAnsi="Times New Roman" w:eastAsia="Times New Roman" w:cs="Times New Roman"/>
                <w:spacing w:val="7"/>
                <w:sz w:val="20"/>
                <w:szCs w:val="20"/>
              </w:rPr>
              <w:t>/m</w:t>
            </w:r>
            <w:r>
              <w:rPr>
                <w:rFonts w:ascii="Times New Roman" w:hAnsi="Times New Roman" w:eastAsia="Times New Roman" w:cs="Times New Roman"/>
                <w:spacing w:val="7"/>
                <w:position w:val="6"/>
                <w:sz w:val="13"/>
                <w:szCs w:val="13"/>
              </w:rPr>
              <w:t>3</w:t>
            </w:r>
            <w:r>
              <w:rPr>
                <w:spacing w:val="7"/>
                <w:sz w:val="20"/>
                <w:szCs w:val="20"/>
              </w:rPr>
              <w:t>）</w:t>
            </w:r>
          </w:p>
        </w:tc>
      </w:tr>
      <w:tr w14:paraId="1F765C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44" w:type="dxa"/>
            <w:vMerge w:val="continue"/>
            <w:tcBorders>
              <w:top w:val="nil"/>
              <w:left w:val="nil"/>
              <w:bottom w:val="nil"/>
            </w:tcBorders>
            <w:vAlign w:val="top"/>
          </w:tcPr>
          <w:p w14:paraId="711CECB9">
            <w:pPr>
              <w:rPr>
                <w:rFonts w:ascii="Arial"/>
                <w:sz w:val="21"/>
              </w:rPr>
            </w:pPr>
          </w:p>
        </w:tc>
        <w:tc>
          <w:tcPr>
            <w:tcW w:w="1038" w:type="dxa"/>
            <w:vMerge w:val="continue"/>
            <w:tcBorders>
              <w:top w:val="nil"/>
              <w:bottom w:val="nil"/>
            </w:tcBorders>
            <w:vAlign w:val="top"/>
          </w:tcPr>
          <w:p w14:paraId="0DBEED1F">
            <w:pPr>
              <w:rPr>
                <w:rFonts w:ascii="Arial"/>
                <w:sz w:val="21"/>
              </w:rPr>
            </w:pPr>
          </w:p>
        </w:tc>
        <w:tc>
          <w:tcPr>
            <w:tcW w:w="1340" w:type="dxa"/>
            <w:vAlign w:val="top"/>
          </w:tcPr>
          <w:p w14:paraId="551B5D1B">
            <w:pPr>
              <w:pStyle w:val="6"/>
              <w:spacing w:before="39" w:line="209" w:lineRule="auto"/>
              <w:ind w:left="371"/>
              <w:rPr>
                <w:sz w:val="20"/>
                <w:szCs w:val="20"/>
              </w:rPr>
            </w:pPr>
            <w:r>
              <w:rPr>
                <w:spacing w:val="3"/>
                <w:sz w:val="20"/>
                <w:szCs w:val="20"/>
              </w:rPr>
              <w:t>哈夏图</w:t>
            </w:r>
          </w:p>
        </w:tc>
        <w:tc>
          <w:tcPr>
            <w:tcW w:w="1190" w:type="dxa"/>
            <w:vAlign w:val="top"/>
          </w:tcPr>
          <w:p w14:paraId="778A05E4">
            <w:pPr>
              <w:spacing w:before="71" w:line="199" w:lineRule="auto"/>
              <w:ind w:left="56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411" w:type="dxa"/>
            <w:vAlign w:val="top"/>
          </w:tcPr>
          <w:p w14:paraId="3DF5754D">
            <w:pPr>
              <w:spacing w:before="71" w:line="199" w:lineRule="auto"/>
              <w:ind w:left="6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646" w:type="dxa"/>
            <w:gridSpan w:val="2"/>
            <w:tcBorders>
              <w:right w:val="nil"/>
            </w:tcBorders>
            <w:vAlign w:val="top"/>
          </w:tcPr>
          <w:p w14:paraId="55439987">
            <w:pPr>
              <w:spacing w:before="75" w:line="195" w:lineRule="auto"/>
              <w:ind w:left="109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4.898</w:t>
            </w:r>
          </w:p>
        </w:tc>
      </w:tr>
      <w:tr w14:paraId="6F090E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5" w:hRule="atLeast"/>
        </w:trPr>
        <w:tc>
          <w:tcPr>
            <w:tcW w:w="1444" w:type="dxa"/>
            <w:vMerge w:val="continue"/>
            <w:tcBorders>
              <w:top w:val="nil"/>
              <w:left w:val="nil"/>
            </w:tcBorders>
            <w:vAlign w:val="top"/>
          </w:tcPr>
          <w:p w14:paraId="675F775F">
            <w:pPr>
              <w:rPr>
                <w:rFonts w:ascii="Arial"/>
                <w:sz w:val="21"/>
              </w:rPr>
            </w:pPr>
          </w:p>
        </w:tc>
        <w:tc>
          <w:tcPr>
            <w:tcW w:w="1038" w:type="dxa"/>
            <w:vMerge w:val="continue"/>
            <w:tcBorders>
              <w:top w:val="nil"/>
            </w:tcBorders>
            <w:vAlign w:val="top"/>
          </w:tcPr>
          <w:p w14:paraId="5BD9590F">
            <w:pPr>
              <w:rPr>
                <w:rFonts w:ascii="Arial"/>
                <w:sz w:val="21"/>
              </w:rPr>
            </w:pPr>
          </w:p>
        </w:tc>
        <w:tc>
          <w:tcPr>
            <w:tcW w:w="1340" w:type="dxa"/>
            <w:vAlign w:val="top"/>
          </w:tcPr>
          <w:p w14:paraId="3D9CCA87">
            <w:pPr>
              <w:spacing w:line="235" w:lineRule="exact"/>
              <w:rPr>
                <w:rFonts w:ascii="Arial"/>
                <w:sz w:val="20"/>
              </w:rPr>
            </w:pPr>
          </w:p>
        </w:tc>
        <w:tc>
          <w:tcPr>
            <w:tcW w:w="1190" w:type="dxa"/>
            <w:vAlign w:val="top"/>
          </w:tcPr>
          <w:p w14:paraId="0040675F">
            <w:pPr>
              <w:spacing w:line="235" w:lineRule="exact"/>
              <w:rPr>
                <w:rFonts w:ascii="Arial"/>
                <w:sz w:val="20"/>
              </w:rPr>
            </w:pPr>
          </w:p>
        </w:tc>
        <w:tc>
          <w:tcPr>
            <w:tcW w:w="1411" w:type="dxa"/>
            <w:vAlign w:val="top"/>
          </w:tcPr>
          <w:p w14:paraId="62E3B1CA">
            <w:pPr>
              <w:spacing w:line="235" w:lineRule="exact"/>
              <w:rPr>
                <w:rFonts w:ascii="Arial"/>
                <w:sz w:val="20"/>
              </w:rPr>
            </w:pPr>
          </w:p>
        </w:tc>
        <w:tc>
          <w:tcPr>
            <w:tcW w:w="2646" w:type="dxa"/>
            <w:gridSpan w:val="2"/>
            <w:tcBorders>
              <w:right w:val="nil"/>
            </w:tcBorders>
            <w:vAlign w:val="top"/>
          </w:tcPr>
          <w:p w14:paraId="660D8B39">
            <w:pPr>
              <w:spacing w:line="235" w:lineRule="exact"/>
              <w:rPr>
                <w:rFonts w:ascii="Arial"/>
                <w:sz w:val="20"/>
              </w:rPr>
            </w:pPr>
          </w:p>
        </w:tc>
      </w:tr>
      <w:tr w14:paraId="35E146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444" w:type="dxa"/>
            <w:vMerge w:val="restart"/>
            <w:tcBorders>
              <w:left w:val="nil"/>
              <w:bottom w:val="nil"/>
            </w:tcBorders>
            <w:vAlign w:val="top"/>
          </w:tcPr>
          <w:p w14:paraId="51DFD807">
            <w:pPr>
              <w:spacing w:line="320" w:lineRule="auto"/>
              <w:rPr>
                <w:rFonts w:ascii="Arial"/>
                <w:sz w:val="21"/>
              </w:rPr>
            </w:pPr>
          </w:p>
          <w:p w14:paraId="676865A6">
            <w:pPr>
              <w:spacing w:line="321" w:lineRule="auto"/>
              <w:rPr>
                <w:rFonts w:ascii="Arial"/>
                <w:sz w:val="21"/>
              </w:rPr>
            </w:pPr>
          </w:p>
          <w:p w14:paraId="0A0615C6">
            <w:pPr>
              <w:pStyle w:val="6"/>
              <w:spacing w:before="65" w:line="228" w:lineRule="auto"/>
              <w:ind w:left="411"/>
              <w:rPr>
                <w:sz w:val="20"/>
                <w:szCs w:val="20"/>
              </w:rPr>
            </w:pPr>
            <w:r>
              <w:rPr>
                <w:spacing w:val="6"/>
                <w:sz w:val="20"/>
                <w:szCs w:val="20"/>
              </w:rPr>
              <w:t>地表水</w:t>
            </w:r>
          </w:p>
        </w:tc>
        <w:tc>
          <w:tcPr>
            <w:tcW w:w="1038" w:type="dxa"/>
            <w:vAlign w:val="top"/>
          </w:tcPr>
          <w:p w14:paraId="27BEB3C6">
            <w:pPr>
              <w:pStyle w:val="6"/>
              <w:spacing w:before="43" w:line="206" w:lineRule="auto"/>
              <w:ind w:left="107"/>
              <w:rPr>
                <w:sz w:val="20"/>
                <w:szCs w:val="20"/>
              </w:rPr>
            </w:pPr>
            <w:r>
              <w:rPr>
                <w:spacing w:val="6"/>
                <w:sz w:val="20"/>
                <w:szCs w:val="20"/>
              </w:rPr>
              <w:t>危险物质</w:t>
            </w:r>
          </w:p>
        </w:tc>
        <w:tc>
          <w:tcPr>
            <w:tcW w:w="6587" w:type="dxa"/>
            <w:gridSpan w:val="5"/>
            <w:tcBorders>
              <w:right w:val="nil"/>
            </w:tcBorders>
            <w:vAlign w:val="top"/>
          </w:tcPr>
          <w:p w14:paraId="4D7DBD1B">
            <w:pPr>
              <w:pStyle w:val="6"/>
              <w:spacing w:before="43" w:line="206" w:lineRule="auto"/>
              <w:ind w:left="2566"/>
              <w:rPr>
                <w:sz w:val="20"/>
                <w:szCs w:val="20"/>
              </w:rPr>
            </w:pPr>
            <w:r>
              <w:rPr>
                <w:spacing w:val="8"/>
                <w:sz w:val="20"/>
                <w:szCs w:val="20"/>
              </w:rPr>
              <w:t>地表水环境影响</w:t>
            </w:r>
          </w:p>
        </w:tc>
      </w:tr>
      <w:tr w14:paraId="02F97E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44" w:type="dxa"/>
            <w:vMerge w:val="continue"/>
            <w:tcBorders>
              <w:top w:val="nil"/>
              <w:left w:val="nil"/>
              <w:bottom w:val="nil"/>
            </w:tcBorders>
            <w:vAlign w:val="top"/>
          </w:tcPr>
          <w:p w14:paraId="368E9D29">
            <w:pPr>
              <w:rPr>
                <w:rFonts w:ascii="Arial"/>
                <w:sz w:val="21"/>
              </w:rPr>
            </w:pPr>
          </w:p>
        </w:tc>
        <w:tc>
          <w:tcPr>
            <w:tcW w:w="1038" w:type="dxa"/>
            <w:vMerge w:val="restart"/>
            <w:tcBorders>
              <w:bottom w:val="nil"/>
            </w:tcBorders>
            <w:vAlign w:val="top"/>
          </w:tcPr>
          <w:p w14:paraId="0348F741">
            <w:pPr>
              <w:spacing w:line="271" w:lineRule="auto"/>
              <w:rPr>
                <w:rFonts w:ascii="Arial"/>
                <w:sz w:val="21"/>
              </w:rPr>
            </w:pPr>
          </w:p>
          <w:p w14:paraId="728AC0B8">
            <w:pPr>
              <w:spacing w:line="271" w:lineRule="auto"/>
              <w:rPr>
                <w:rFonts w:ascii="Arial"/>
                <w:sz w:val="21"/>
              </w:rPr>
            </w:pPr>
          </w:p>
          <w:p w14:paraId="00EFD801">
            <w:pPr>
              <w:spacing w:before="57" w:line="199" w:lineRule="auto"/>
              <w:ind w:left="48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340" w:type="dxa"/>
            <w:vAlign w:val="top"/>
          </w:tcPr>
          <w:p w14:paraId="22B09671">
            <w:pPr>
              <w:pStyle w:val="6"/>
              <w:spacing w:before="42" w:line="206" w:lineRule="auto"/>
              <w:ind w:left="53"/>
              <w:rPr>
                <w:sz w:val="20"/>
                <w:szCs w:val="20"/>
              </w:rPr>
            </w:pPr>
            <w:r>
              <w:rPr>
                <w:spacing w:val="7"/>
                <w:sz w:val="20"/>
                <w:szCs w:val="20"/>
              </w:rPr>
              <w:t>收纳水体名称</w:t>
            </w:r>
          </w:p>
        </w:tc>
        <w:tc>
          <w:tcPr>
            <w:tcW w:w="2601" w:type="dxa"/>
            <w:gridSpan w:val="2"/>
            <w:vAlign w:val="top"/>
          </w:tcPr>
          <w:p w14:paraId="3DBE2365">
            <w:pPr>
              <w:pStyle w:val="6"/>
              <w:spacing w:before="42" w:line="206" w:lineRule="auto"/>
              <w:ind w:left="571"/>
              <w:rPr>
                <w:rFonts w:ascii="Times New Roman" w:hAnsi="Times New Roman" w:eastAsia="Times New Roman" w:cs="Times New Roman"/>
                <w:sz w:val="20"/>
                <w:szCs w:val="20"/>
              </w:rPr>
            </w:pPr>
            <w:r>
              <w:rPr>
                <w:spacing w:val="7"/>
                <w:sz w:val="20"/>
                <w:szCs w:val="20"/>
              </w:rPr>
              <w:t>最远超标距离</w:t>
            </w:r>
            <w:r>
              <w:rPr>
                <w:spacing w:val="-42"/>
                <w:sz w:val="20"/>
                <w:szCs w:val="20"/>
              </w:rPr>
              <w:t xml:space="preserve"> </w:t>
            </w:r>
            <w:r>
              <w:rPr>
                <w:rFonts w:ascii="Times New Roman" w:hAnsi="Times New Roman" w:eastAsia="Times New Roman" w:cs="Times New Roman"/>
                <w:spacing w:val="7"/>
                <w:sz w:val="20"/>
                <w:szCs w:val="20"/>
              </w:rPr>
              <w:t>m</w:t>
            </w:r>
          </w:p>
        </w:tc>
        <w:tc>
          <w:tcPr>
            <w:tcW w:w="2646" w:type="dxa"/>
            <w:gridSpan w:val="2"/>
            <w:tcBorders>
              <w:right w:val="nil"/>
            </w:tcBorders>
            <w:vAlign w:val="top"/>
          </w:tcPr>
          <w:p w14:paraId="4C13A216">
            <w:pPr>
              <w:pStyle w:val="6"/>
              <w:spacing w:before="42" w:line="206" w:lineRule="auto"/>
              <w:ind w:left="204"/>
              <w:rPr>
                <w:rFonts w:ascii="Times New Roman" w:hAnsi="Times New Roman" w:eastAsia="Times New Roman" w:cs="Times New Roman"/>
                <w:sz w:val="20"/>
                <w:szCs w:val="20"/>
              </w:rPr>
            </w:pPr>
            <w:r>
              <w:rPr>
                <w:spacing w:val="8"/>
                <w:sz w:val="20"/>
                <w:szCs w:val="20"/>
              </w:rPr>
              <w:t>最远超标距离达到时间</w:t>
            </w:r>
            <w:r>
              <w:rPr>
                <w:spacing w:val="-43"/>
                <w:sz w:val="20"/>
                <w:szCs w:val="20"/>
              </w:rPr>
              <w:t xml:space="preserve"> </w:t>
            </w:r>
            <w:r>
              <w:rPr>
                <w:rFonts w:ascii="Times New Roman" w:hAnsi="Times New Roman" w:eastAsia="Times New Roman" w:cs="Times New Roman"/>
                <w:spacing w:val="8"/>
                <w:sz w:val="20"/>
                <w:szCs w:val="20"/>
              </w:rPr>
              <w:t>h</w:t>
            </w:r>
          </w:p>
        </w:tc>
      </w:tr>
      <w:tr w14:paraId="22978E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6" w:hRule="atLeast"/>
        </w:trPr>
        <w:tc>
          <w:tcPr>
            <w:tcW w:w="1444" w:type="dxa"/>
            <w:vMerge w:val="continue"/>
            <w:tcBorders>
              <w:top w:val="nil"/>
              <w:left w:val="nil"/>
              <w:bottom w:val="nil"/>
            </w:tcBorders>
            <w:vAlign w:val="top"/>
          </w:tcPr>
          <w:p w14:paraId="2531C33E">
            <w:pPr>
              <w:rPr>
                <w:rFonts w:ascii="Arial"/>
                <w:sz w:val="21"/>
              </w:rPr>
            </w:pPr>
          </w:p>
        </w:tc>
        <w:tc>
          <w:tcPr>
            <w:tcW w:w="1038" w:type="dxa"/>
            <w:vMerge w:val="continue"/>
            <w:tcBorders>
              <w:top w:val="nil"/>
              <w:bottom w:val="nil"/>
            </w:tcBorders>
            <w:vAlign w:val="top"/>
          </w:tcPr>
          <w:p w14:paraId="573F9DD0">
            <w:pPr>
              <w:rPr>
                <w:rFonts w:ascii="Arial"/>
                <w:sz w:val="21"/>
              </w:rPr>
            </w:pPr>
          </w:p>
        </w:tc>
        <w:tc>
          <w:tcPr>
            <w:tcW w:w="1340" w:type="dxa"/>
            <w:vAlign w:val="top"/>
          </w:tcPr>
          <w:p w14:paraId="796FFE8C">
            <w:pPr>
              <w:spacing w:before="63" w:line="180" w:lineRule="auto"/>
              <w:ind w:left="6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190" w:type="dxa"/>
            <w:vAlign w:val="top"/>
          </w:tcPr>
          <w:p w14:paraId="333077AD">
            <w:pPr>
              <w:spacing w:before="63" w:line="180" w:lineRule="auto"/>
              <w:ind w:left="56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411" w:type="dxa"/>
            <w:vAlign w:val="top"/>
          </w:tcPr>
          <w:p w14:paraId="01CC43C5">
            <w:pPr>
              <w:spacing w:before="63" w:line="180" w:lineRule="auto"/>
              <w:ind w:left="6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402" w:type="dxa"/>
            <w:vAlign w:val="top"/>
          </w:tcPr>
          <w:p w14:paraId="71923FF2">
            <w:pPr>
              <w:spacing w:before="63" w:line="180" w:lineRule="auto"/>
              <w:ind w:left="6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244" w:type="dxa"/>
            <w:tcBorders>
              <w:right w:val="nil"/>
            </w:tcBorders>
            <w:vAlign w:val="top"/>
          </w:tcPr>
          <w:p w14:paraId="6E8C813E">
            <w:pPr>
              <w:spacing w:before="63" w:line="180" w:lineRule="auto"/>
              <w:ind w:left="5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69CAB1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1444" w:type="dxa"/>
            <w:vMerge w:val="continue"/>
            <w:tcBorders>
              <w:top w:val="nil"/>
              <w:left w:val="nil"/>
              <w:bottom w:val="nil"/>
            </w:tcBorders>
            <w:vAlign w:val="top"/>
          </w:tcPr>
          <w:p w14:paraId="7CD08871">
            <w:pPr>
              <w:rPr>
                <w:rFonts w:ascii="Arial"/>
                <w:sz w:val="21"/>
              </w:rPr>
            </w:pPr>
          </w:p>
        </w:tc>
        <w:tc>
          <w:tcPr>
            <w:tcW w:w="1038" w:type="dxa"/>
            <w:vMerge w:val="continue"/>
            <w:tcBorders>
              <w:top w:val="nil"/>
              <w:bottom w:val="nil"/>
            </w:tcBorders>
            <w:vAlign w:val="top"/>
          </w:tcPr>
          <w:p w14:paraId="6BF9757A">
            <w:pPr>
              <w:rPr>
                <w:rFonts w:ascii="Arial"/>
                <w:sz w:val="21"/>
              </w:rPr>
            </w:pPr>
          </w:p>
        </w:tc>
        <w:tc>
          <w:tcPr>
            <w:tcW w:w="1340" w:type="dxa"/>
            <w:vAlign w:val="top"/>
          </w:tcPr>
          <w:p w14:paraId="5B72214F">
            <w:pPr>
              <w:pStyle w:val="6"/>
              <w:spacing w:before="180" w:line="228" w:lineRule="auto"/>
              <w:ind w:left="256"/>
              <w:rPr>
                <w:sz w:val="20"/>
                <w:szCs w:val="20"/>
              </w:rPr>
            </w:pPr>
            <w:r>
              <w:rPr>
                <w:spacing w:val="7"/>
                <w:sz w:val="20"/>
                <w:szCs w:val="20"/>
              </w:rPr>
              <w:t>敏感目标</w:t>
            </w:r>
          </w:p>
        </w:tc>
        <w:tc>
          <w:tcPr>
            <w:tcW w:w="1190" w:type="dxa"/>
            <w:vAlign w:val="top"/>
          </w:tcPr>
          <w:p w14:paraId="6AA83981">
            <w:pPr>
              <w:pStyle w:val="6"/>
              <w:spacing w:before="180" w:line="228" w:lineRule="auto"/>
              <w:ind w:left="102"/>
              <w:rPr>
                <w:rFonts w:ascii="Times New Roman" w:hAnsi="Times New Roman" w:eastAsia="Times New Roman" w:cs="Times New Roman"/>
                <w:sz w:val="20"/>
                <w:szCs w:val="20"/>
              </w:rPr>
            </w:pPr>
            <w:r>
              <w:rPr>
                <w:spacing w:val="6"/>
                <w:sz w:val="20"/>
                <w:szCs w:val="20"/>
              </w:rPr>
              <w:t>达到时间</w:t>
            </w:r>
            <w:r>
              <w:rPr>
                <w:spacing w:val="-44"/>
                <w:sz w:val="20"/>
                <w:szCs w:val="20"/>
              </w:rPr>
              <w:t xml:space="preserve"> </w:t>
            </w:r>
            <w:r>
              <w:rPr>
                <w:rFonts w:ascii="Times New Roman" w:hAnsi="Times New Roman" w:eastAsia="Times New Roman" w:cs="Times New Roman"/>
                <w:spacing w:val="6"/>
                <w:sz w:val="20"/>
                <w:szCs w:val="20"/>
              </w:rPr>
              <w:t>h</w:t>
            </w:r>
          </w:p>
        </w:tc>
        <w:tc>
          <w:tcPr>
            <w:tcW w:w="1411" w:type="dxa"/>
            <w:vAlign w:val="top"/>
          </w:tcPr>
          <w:p w14:paraId="5FE392A6">
            <w:pPr>
              <w:pStyle w:val="6"/>
              <w:spacing w:before="180" w:line="228" w:lineRule="auto"/>
              <w:ind w:left="210"/>
              <w:rPr>
                <w:rFonts w:ascii="Times New Roman" w:hAnsi="Times New Roman" w:eastAsia="Times New Roman" w:cs="Times New Roman"/>
                <w:sz w:val="20"/>
                <w:szCs w:val="20"/>
              </w:rPr>
            </w:pPr>
            <w:r>
              <w:rPr>
                <w:spacing w:val="6"/>
                <w:sz w:val="20"/>
                <w:szCs w:val="20"/>
              </w:rPr>
              <w:t>超标时间</w:t>
            </w:r>
            <w:r>
              <w:rPr>
                <w:spacing w:val="-42"/>
                <w:sz w:val="20"/>
                <w:szCs w:val="20"/>
              </w:rPr>
              <w:t xml:space="preserve"> </w:t>
            </w:r>
            <w:r>
              <w:rPr>
                <w:rFonts w:ascii="Times New Roman" w:hAnsi="Times New Roman" w:eastAsia="Times New Roman" w:cs="Times New Roman"/>
                <w:spacing w:val="6"/>
                <w:sz w:val="20"/>
                <w:szCs w:val="20"/>
              </w:rPr>
              <w:t>h</w:t>
            </w:r>
          </w:p>
        </w:tc>
        <w:tc>
          <w:tcPr>
            <w:tcW w:w="1402" w:type="dxa"/>
            <w:vAlign w:val="top"/>
          </w:tcPr>
          <w:p w14:paraId="0121B52C">
            <w:pPr>
              <w:pStyle w:val="6"/>
              <w:spacing w:before="180" w:line="228" w:lineRule="auto"/>
              <w:ind w:right="1"/>
              <w:jc w:val="right"/>
              <w:rPr>
                <w:rFonts w:ascii="Times New Roman" w:hAnsi="Times New Roman" w:eastAsia="Times New Roman" w:cs="Times New Roman"/>
                <w:sz w:val="20"/>
                <w:szCs w:val="20"/>
              </w:rPr>
            </w:pPr>
            <w:r>
              <w:rPr>
                <w:spacing w:val="11"/>
                <w:sz w:val="20"/>
                <w:szCs w:val="20"/>
              </w:rPr>
              <w:t>超标持续时间</w:t>
            </w:r>
            <w:r>
              <w:rPr>
                <w:rFonts w:ascii="Times New Roman" w:hAnsi="Times New Roman" w:eastAsia="Times New Roman" w:cs="Times New Roman"/>
                <w:spacing w:val="11"/>
                <w:sz w:val="20"/>
                <w:szCs w:val="20"/>
              </w:rPr>
              <w:t>h</w:t>
            </w:r>
          </w:p>
        </w:tc>
        <w:tc>
          <w:tcPr>
            <w:tcW w:w="1244" w:type="dxa"/>
            <w:tcBorders>
              <w:right w:val="nil"/>
            </w:tcBorders>
            <w:vAlign w:val="top"/>
          </w:tcPr>
          <w:p w14:paraId="25708AA8">
            <w:pPr>
              <w:pStyle w:val="6"/>
              <w:spacing w:before="45" w:line="227" w:lineRule="auto"/>
              <w:ind w:left="204" w:right="200" w:firstLine="9"/>
              <w:rPr>
                <w:sz w:val="20"/>
                <w:szCs w:val="20"/>
              </w:rPr>
            </w:pPr>
            <w:r>
              <w:rPr>
                <w:spacing w:val="6"/>
                <w:sz w:val="20"/>
                <w:szCs w:val="20"/>
              </w:rPr>
              <w:t>最大浓度</w:t>
            </w:r>
            <w:r>
              <w:rPr>
                <w:spacing w:val="2"/>
                <w:sz w:val="20"/>
                <w:szCs w:val="20"/>
              </w:rPr>
              <w:t xml:space="preserve"> </w:t>
            </w:r>
            <w:r>
              <w:rPr>
                <w:sz w:val="20"/>
                <w:szCs w:val="20"/>
              </w:rPr>
              <w:t>（</w:t>
            </w:r>
            <w:r>
              <w:rPr>
                <w:rFonts w:ascii="Times New Roman" w:hAnsi="Times New Roman" w:eastAsia="Times New Roman" w:cs="Times New Roman"/>
                <w:sz w:val="20"/>
                <w:szCs w:val="20"/>
              </w:rPr>
              <w:t>mg/L</w:t>
            </w:r>
            <w:r>
              <w:rPr>
                <w:sz w:val="20"/>
                <w:szCs w:val="20"/>
              </w:rPr>
              <w:t>）</w:t>
            </w:r>
          </w:p>
        </w:tc>
      </w:tr>
      <w:tr w14:paraId="2BB066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6" w:hRule="atLeast"/>
        </w:trPr>
        <w:tc>
          <w:tcPr>
            <w:tcW w:w="1444" w:type="dxa"/>
            <w:vMerge w:val="continue"/>
            <w:tcBorders>
              <w:top w:val="nil"/>
              <w:left w:val="nil"/>
            </w:tcBorders>
            <w:vAlign w:val="top"/>
          </w:tcPr>
          <w:p w14:paraId="5CE1C333">
            <w:pPr>
              <w:rPr>
                <w:rFonts w:ascii="Arial"/>
                <w:sz w:val="21"/>
              </w:rPr>
            </w:pPr>
          </w:p>
        </w:tc>
        <w:tc>
          <w:tcPr>
            <w:tcW w:w="1038" w:type="dxa"/>
            <w:vMerge w:val="continue"/>
            <w:tcBorders>
              <w:top w:val="nil"/>
            </w:tcBorders>
            <w:vAlign w:val="top"/>
          </w:tcPr>
          <w:p w14:paraId="24E0DCB8">
            <w:pPr>
              <w:rPr>
                <w:rFonts w:ascii="Arial"/>
                <w:sz w:val="21"/>
              </w:rPr>
            </w:pPr>
          </w:p>
        </w:tc>
        <w:tc>
          <w:tcPr>
            <w:tcW w:w="1340" w:type="dxa"/>
            <w:vAlign w:val="top"/>
          </w:tcPr>
          <w:p w14:paraId="1EAA06FA">
            <w:pPr>
              <w:spacing w:before="66" w:line="177" w:lineRule="auto"/>
              <w:ind w:left="6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190" w:type="dxa"/>
            <w:vAlign w:val="top"/>
          </w:tcPr>
          <w:p w14:paraId="672C6C1C">
            <w:pPr>
              <w:spacing w:before="66" w:line="177" w:lineRule="auto"/>
              <w:ind w:left="56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411" w:type="dxa"/>
            <w:vAlign w:val="top"/>
          </w:tcPr>
          <w:p w14:paraId="3883F7E8">
            <w:pPr>
              <w:spacing w:before="66" w:line="177" w:lineRule="auto"/>
              <w:ind w:left="6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402" w:type="dxa"/>
            <w:vAlign w:val="top"/>
          </w:tcPr>
          <w:p w14:paraId="541B2971">
            <w:pPr>
              <w:spacing w:before="66" w:line="177" w:lineRule="auto"/>
              <w:ind w:left="6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244" w:type="dxa"/>
            <w:tcBorders>
              <w:right w:val="nil"/>
            </w:tcBorders>
            <w:vAlign w:val="top"/>
          </w:tcPr>
          <w:p w14:paraId="7558E0B8">
            <w:pPr>
              <w:spacing w:before="66" w:line="177" w:lineRule="auto"/>
              <w:ind w:left="5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5FB96E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44" w:type="dxa"/>
            <w:vMerge w:val="restart"/>
            <w:tcBorders>
              <w:left w:val="nil"/>
              <w:bottom w:val="nil"/>
            </w:tcBorders>
            <w:vAlign w:val="top"/>
          </w:tcPr>
          <w:p w14:paraId="5A5EACAD">
            <w:pPr>
              <w:spacing w:line="266" w:lineRule="auto"/>
              <w:rPr>
                <w:rFonts w:ascii="Arial"/>
                <w:sz w:val="21"/>
              </w:rPr>
            </w:pPr>
          </w:p>
          <w:p w14:paraId="79AF8176">
            <w:pPr>
              <w:spacing w:line="266" w:lineRule="auto"/>
              <w:rPr>
                <w:rFonts w:ascii="Arial"/>
                <w:sz w:val="21"/>
              </w:rPr>
            </w:pPr>
          </w:p>
          <w:p w14:paraId="5DFC26A9">
            <w:pPr>
              <w:spacing w:line="267" w:lineRule="auto"/>
              <w:rPr>
                <w:rFonts w:ascii="Arial"/>
                <w:sz w:val="21"/>
              </w:rPr>
            </w:pPr>
          </w:p>
          <w:p w14:paraId="13C77831">
            <w:pPr>
              <w:pStyle w:val="6"/>
              <w:spacing w:before="65" w:line="228" w:lineRule="auto"/>
              <w:ind w:left="411"/>
              <w:rPr>
                <w:sz w:val="20"/>
                <w:szCs w:val="20"/>
              </w:rPr>
            </w:pPr>
            <w:r>
              <w:rPr>
                <w:spacing w:val="6"/>
                <w:sz w:val="20"/>
                <w:szCs w:val="20"/>
              </w:rPr>
              <w:t>地下水</w:t>
            </w:r>
          </w:p>
        </w:tc>
        <w:tc>
          <w:tcPr>
            <w:tcW w:w="1038" w:type="dxa"/>
            <w:vAlign w:val="top"/>
          </w:tcPr>
          <w:p w14:paraId="414BDC04">
            <w:pPr>
              <w:pStyle w:val="6"/>
              <w:spacing w:before="49" w:line="200" w:lineRule="auto"/>
              <w:ind w:left="107"/>
              <w:rPr>
                <w:sz w:val="20"/>
                <w:szCs w:val="20"/>
              </w:rPr>
            </w:pPr>
            <w:r>
              <w:rPr>
                <w:spacing w:val="6"/>
                <w:sz w:val="20"/>
                <w:szCs w:val="20"/>
              </w:rPr>
              <w:t>危险物质</w:t>
            </w:r>
          </w:p>
        </w:tc>
        <w:tc>
          <w:tcPr>
            <w:tcW w:w="6587" w:type="dxa"/>
            <w:gridSpan w:val="5"/>
            <w:tcBorders>
              <w:right w:val="nil"/>
            </w:tcBorders>
            <w:vAlign w:val="top"/>
          </w:tcPr>
          <w:p w14:paraId="6502EECC">
            <w:pPr>
              <w:pStyle w:val="6"/>
              <w:spacing w:before="49" w:line="200" w:lineRule="auto"/>
              <w:ind w:left="2566"/>
              <w:rPr>
                <w:sz w:val="20"/>
                <w:szCs w:val="20"/>
              </w:rPr>
            </w:pPr>
            <w:r>
              <w:rPr>
                <w:spacing w:val="8"/>
                <w:sz w:val="20"/>
                <w:szCs w:val="20"/>
              </w:rPr>
              <w:t>地下水环境影响</w:t>
            </w:r>
          </w:p>
        </w:tc>
      </w:tr>
      <w:tr w14:paraId="7707FF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8" w:hRule="atLeast"/>
        </w:trPr>
        <w:tc>
          <w:tcPr>
            <w:tcW w:w="1444" w:type="dxa"/>
            <w:vMerge w:val="continue"/>
            <w:tcBorders>
              <w:top w:val="nil"/>
              <w:left w:val="nil"/>
              <w:bottom w:val="nil"/>
            </w:tcBorders>
            <w:vAlign w:val="top"/>
          </w:tcPr>
          <w:p w14:paraId="2A717DC0">
            <w:pPr>
              <w:rPr>
                <w:rFonts w:ascii="Arial"/>
                <w:sz w:val="21"/>
              </w:rPr>
            </w:pPr>
          </w:p>
        </w:tc>
        <w:tc>
          <w:tcPr>
            <w:tcW w:w="1038" w:type="dxa"/>
            <w:vMerge w:val="restart"/>
            <w:tcBorders>
              <w:bottom w:val="nil"/>
            </w:tcBorders>
            <w:vAlign w:val="top"/>
          </w:tcPr>
          <w:p w14:paraId="6AA1C0DE">
            <w:pPr>
              <w:spacing w:line="284" w:lineRule="auto"/>
              <w:rPr>
                <w:rFonts w:ascii="Arial"/>
                <w:sz w:val="21"/>
              </w:rPr>
            </w:pPr>
          </w:p>
          <w:p w14:paraId="2AA3EC42">
            <w:pPr>
              <w:spacing w:line="284" w:lineRule="auto"/>
              <w:rPr>
                <w:rFonts w:ascii="Arial"/>
                <w:sz w:val="21"/>
              </w:rPr>
            </w:pPr>
          </w:p>
          <w:p w14:paraId="67817B5D">
            <w:pPr>
              <w:pStyle w:val="6"/>
              <w:spacing w:before="58" w:line="229" w:lineRule="auto"/>
              <w:ind w:left="209" w:right="203" w:firstLine="5"/>
              <w:rPr>
                <w:sz w:val="20"/>
                <w:szCs w:val="20"/>
              </w:rPr>
            </w:pPr>
            <w:r>
              <w:rPr>
                <w:rFonts w:ascii="Times New Roman" w:hAnsi="Times New Roman" w:eastAsia="Times New Roman" w:cs="Times New Roman"/>
                <w:spacing w:val="3"/>
                <w:sz w:val="20"/>
                <w:szCs w:val="20"/>
              </w:rPr>
              <w:t>COD</w:t>
            </w:r>
            <w:r>
              <w:rPr>
                <w:rFonts w:ascii="Times New Roman" w:hAnsi="Times New Roman" w:eastAsia="Times New Roman" w:cs="Times New Roman"/>
                <w:spacing w:val="3"/>
                <w:position w:val="-1"/>
                <w:sz w:val="13"/>
                <w:szCs w:val="13"/>
              </w:rPr>
              <w:t xml:space="preserve">mn </w:t>
            </w:r>
            <w:r>
              <w:rPr>
                <w:spacing w:val="6"/>
                <w:sz w:val="20"/>
                <w:szCs w:val="20"/>
              </w:rPr>
              <w:t>石油类</w:t>
            </w:r>
          </w:p>
        </w:tc>
        <w:tc>
          <w:tcPr>
            <w:tcW w:w="1340" w:type="dxa"/>
            <w:vAlign w:val="top"/>
          </w:tcPr>
          <w:p w14:paraId="60A7AF32">
            <w:pPr>
              <w:pStyle w:val="6"/>
              <w:spacing w:before="186" w:line="228" w:lineRule="auto"/>
              <w:ind w:left="257"/>
              <w:rPr>
                <w:sz w:val="20"/>
                <w:szCs w:val="20"/>
              </w:rPr>
            </w:pPr>
            <w:r>
              <w:rPr>
                <w:spacing w:val="6"/>
                <w:sz w:val="20"/>
                <w:szCs w:val="20"/>
              </w:rPr>
              <w:t>厂区边界</w:t>
            </w:r>
          </w:p>
        </w:tc>
        <w:tc>
          <w:tcPr>
            <w:tcW w:w="1190" w:type="dxa"/>
            <w:vAlign w:val="top"/>
          </w:tcPr>
          <w:p w14:paraId="50DDCBDF">
            <w:pPr>
              <w:pStyle w:val="6"/>
              <w:spacing w:before="186" w:line="228" w:lineRule="auto"/>
              <w:ind w:left="108"/>
              <w:rPr>
                <w:rFonts w:ascii="Times New Roman" w:hAnsi="Times New Roman" w:eastAsia="Times New Roman" w:cs="Times New Roman"/>
                <w:sz w:val="20"/>
                <w:szCs w:val="20"/>
              </w:rPr>
            </w:pPr>
            <w:r>
              <w:rPr>
                <w:spacing w:val="4"/>
                <w:sz w:val="20"/>
                <w:szCs w:val="20"/>
              </w:rPr>
              <w:t>到达时间</w:t>
            </w:r>
            <w:r>
              <w:rPr>
                <w:spacing w:val="-38"/>
                <w:sz w:val="20"/>
                <w:szCs w:val="20"/>
              </w:rPr>
              <w:t xml:space="preserve"> </w:t>
            </w:r>
            <w:r>
              <w:rPr>
                <w:rFonts w:ascii="Times New Roman" w:hAnsi="Times New Roman" w:eastAsia="Times New Roman" w:cs="Times New Roman"/>
                <w:spacing w:val="4"/>
                <w:sz w:val="20"/>
                <w:szCs w:val="20"/>
              </w:rPr>
              <w:t>d</w:t>
            </w:r>
          </w:p>
        </w:tc>
        <w:tc>
          <w:tcPr>
            <w:tcW w:w="1411" w:type="dxa"/>
            <w:vAlign w:val="top"/>
          </w:tcPr>
          <w:p w14:paraId="6E16A6F9">
            <w:pPr>
              <w:pStyle w:val="6"/>
              <w:spacing w:before="186" w:line="228" w:lineRule="auto"/>
              <w:ind w:left="210"/>
              <w:rPr>
                <w:rFonts w:ascii="Times New Roman" w:hAnsi="Times New Roman" w:eastAsia="Times New Roman" w:cs="Times New Roman"/>
                <w:sz w:val="20"/>
                <w:szCs w:val="20"/>
              </w:rPr>
            </w:pPr>
            <w:r>
              <w:rPr>
                <w:spacing w:val="6"/>
                <w:sz w:val="20"/>
                <w:szCs w:val="20"/>
              </w:rPr>
              <w:t>超标时间</w:t>
            </w:r>
            <w:r>
              <w:rPr>
                <w:spacing w:val="-39"/>
                <w:sz w:val="20"/>
                <w:szCs w:val="20"/>
              </w:rPr>
              <w:t xml:space="preserve"> </w:t>
            </w:r>
            <w:r>
              <w:rPr>
                <w:rFonts w:ascii="Times New Roman" w:hAnsi="Times New Roman" w:eastAsia="Times New Roman" w:cs="Times New Roman"/>
                <w:spacing w:val="6"/>
                <w:sz w:val="20"/>
                <w:szCs w:val="20"/>
              </w:rPr>
              <w:t>d</w:t>
            </w:r>
          </w:p>
        </w:tc>
        <w:tc>
          <w:tcPr>
            <w:tcW w:w="1402" w:type="dxa"/>
            <w:vAlign w:val="top"/>
          </w:tcPr>
          <w:p w14:paraId="50C7A275">
            <w:pPr>
              <w:pStyle w:val="6"/>
              <w:spacing w:before="185" w:line="228" w:lineRule="auto"/>
              <w:jc w:val="right"/>
              <w:rPr>
                <w:rFonts w:ascii="Times New Roman" w:hAnsi="Times New Roman" w:eastAsia="Times New Roman" w:cs="Times New Roman"/>
                <w:sz w:val="20"/>
                <w:szCs w:val="20"/>
              </w:rPr>
            </w:pPr>
            <w:r>
              <w:rPr>
                <w:spacing w:val="12"/>
                <w:sz w:val="20"/>
                <w:szCs w:val="20"/>
              </w:rPr>
              <w:t>超标持续时间</w:t>
            </w:r>
            <w:r>
              <w:rPr>
                <w:rFonts w:ascii="Times New Roman" w:hAnsi="Times New Roman" w:eastAsia="Times New Roman" w:cs="Times New Roman"/>
                <w:spacing w:val="12"/>
                <w:sz w:val="20"/>
                <w:szCs w:val="20"/>
              </w:rPr>
              <w:t>d</w:t>
            </w:r>
          </w:p>
        </w:tc>
        <w:tc>
          <w:tcPr>
            <w:tcW w:w="1244" w:type="dxa"/>
            <w:tcBorders>
              <w:right w:val="nil"/>
            </w:tcBorders>
            <w:vAlign w:val="top"/>
          </w:tcPr>
          <w:p w14:paraId="6492206B">
            <w:pPr>
              <w:pStyle w:val="6"/>
              <w:spacing w:before="48" w:line="226" w:lineRule="auto"/>
              <w:ind w:left="204" w:right="200" w:firstLine="9"/>
              <w:rPr>
                <w:sz w:val="20"/>
                <w:szCs w:val="20"/>
              </w:rPr>
            </w:pPr>
            <w:r>
              <w:rPr>
                <w:spacing w:val="6"/>
                <w:sz w:val="20"/>
                <w:szCs w:val="20"/>
              </w:rPr>
              <w:t>最大浓度</w:t>
            </w:r>
            <w:r>
              <w:rPr>
                <w:spacing w:val="2"/>
                <w:sz w:val="20"/>
                <w:szCs w:val="20"/>
              </w:rPr>
              <w:t xml:space="preserve"> </w:t>
            </w:r>
            <w:r>
              <w:rPr>
                <w:sz w:val="20"/>
                <w:szCs w:val="20"/>
              </w:rPr>
              <w:t>（</w:t>
            </w:r>
            <w:r>
              <w:rPr>
                <w:rFonts w:ascii="Times New Roman" w:hAnsi="Times New Roman" w:eastAsia="Times New Roman" w:cs="Times New Roman"/>
                <w:sz w:val="20"/>
                <w:szCs w:val="20"/>
              </w:rPr>
              <w:t>mg/L</w:t>
            </w:r>
            <w:r>
              <w:rPr>
                <w:sz w:val="20"/>
                <w:szCs w:val="20"/>
              </w:rPr>
              <w:t>）</w:t>
            </w:r>
          </w:p>
        </w:tc>
      </w:tr>
      <w:tr w14:paraId="76B218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444" w:type="dxa"/>
            <w:vMerge w:val="continue"/>
            <w:tcBorders>
              <w:top w:val="nil"/>
              <w:left w:val="nil"/>
              <w:bottom w:val="nil"/>
            </w:tcBorders>
            <w:vAlign w:val="top"/>
          </w:tcPr>
          <w:p w14:paraId="0152F92B">
            <w:pPr>
              <w:rPr>
                <w:rFonts w:ascii="Arial"/>
                <w:sz w:val="21"/>
              </w:rPr>
            </w:pPr>
          </w:p>
        </w:tc>
        <w:tc>
          <w:tcPr>
            <w:tcW w:w="1038" w:type="dxa"/>
            <w:vMerge w:val="continue"/>
            <w:tcBorders>
              <w:top w:val="nil"/>
              <w:bottom w:val="nil"/>
            </w:tcBorders>
            <w:vAlign w:val="top"/>
          </w:tcPr>
          <w:p w14:paraId="1F5BEA6E">
            <w:pPr>
              <w:rPr>
                <w:rFonts w:ascii="Arial"/>
                <w:sz w:val="21"/>
              </w:rPr>
            </w:pPr>
          </w:p>
        </w:tc>
        <w:tc>
          <w:tcPr>
            <w:tcW w:w="1340" w:type="dxa"/>
            <w:vAlign w:val="top"/>
          </w:tcPr>
          <w:p w14:paraId="7A9704D1">
            <w:pPr>
              <w:pStyle w:val="6"/>
              <w:spacing w:before="50" w:line="199" w:lineRule="auto"/>
              <w:ind w:left="258"/>
              <w:rPr>
                <w:sz w:val="20"/>
                <w:szCs w:val="20"/>
              </w:rPr>
            </w:pPr>
            <w:r>
              <w:rPr>
                <w:spacing w:val="7"/>
                <w:sz w:val="20"/>
                <w:szCs w:val="20"/>
              </w:rPr>
              <w:t>北侧边界</w:t>
            </w:r>
          </w:p>
        </w:tc>
        <w:tc>
          <w:tcPr>
            <w:tcW w:w="1190" w:type="dxa"/>
            <w:vAlign w:val="top"/>
          </w:tcPr>
          <w:p w14:paraId="6294E2BD">
            <w:pPr>
              <w:spacing w:before="86" w:line="187" w:lineRule="auto"/>
              <w:ind w:left="43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493</w:t>
            </w:r>
          </w:p>
        </w:tc>
        <w:tc>
          <w:tcPr>
            <w:tcW w:w="1411" w:type="dxa"/>
            <w:vAlign w:val="top"/>
          </w:tcPr>
          <w:p w14:paraId="5EE5D876">
            <w:pPr>
              <w:spacing w:before="86" w:line="187" w:lineRule="auto"/>
              <w:ind w:left="52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1511</w:t>
            </w:r>
          </w:p>
        </w:tc>
        <w:tc>
          <w:tcPr>
            <w:tcW w:w="1402" w:type="dxa"/>
            <w:vAlign w:val="top"/>
          </w:tcPr>
          <w:p w14:paraId="31897864">
            <w:pPr>
              <w:spacing w:before="82" w:line="191" w:lineRule="auto"/>
              <w:ind w:left="6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244" w:type="dxa"/>
            <w:tcBorders>
              <w:right w:val="nil"/>
            </w:tcBorders>
            <w:vAlign w:val="top"/>
          </w:tcPr>
          <w:p w14:paraId="7C72501D">
            <w:pPr>
              <w:spacing w:before="82" w:line="191" w:lineRule="auto"/>
              <w:ind w:left="5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r w14:paraId="2CC0EF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1444" w:type="dxa"/>
            <w:vMerge w:val="continue"/>
            <w:tcBorders>
              <w:top w:val="nil"/>
              <w:left w:val="nil"/>
              <w:bottom w:val="nil"/>
            </w:tcBorders>
            <w:vAlign w:val="top"/>
          </w:tcPr>
          <w:p w14:paraId="7D915D06">
            <w:pPr>
              <w:rPr>
                <w:rFonts w:ascii="Arial"/>
                <w:sz w:val="21"/>
              </w:rPr>
            </w:pPr>
          </w:p>
        </w:tc>
        <w:tc>
          <w:tcPr>
            <w:tcW w:w="1038" w:type="dxa"/>
            <w:vMerge w:val="continue"/>
            <w:tcBorders>
              <w:top w:val="nil"/>
              <w:bottom w:val="nil"/>
            </w:tcBorders>
            <w:vAlign w:val="top"/>
          </w:tcPr>
          <w:p w14:paraId="1BECAFD8">
            <w:pPr>
              <w:rPr>
                <w:rFonts w:ascii="Arial"/>
                <w:sz w:val="21"/>
              </w:rPr>
            </w:pPr>
          </w:p>
        </w:tc>
        <w:tc>
          <w:tcPr>
            <w:tcW w:w="1340" w:type="dxa"/>
            <w:vAlign w:val="top"/>
          </w:tcPr>
          <w:p w14:paraId="0A57A2CB">
            <w:pPr>
              <w:pStyle w:val="6"/>
              <w:spacing w:before="186" w:line="228" w:lineRule="auto"/>
              <w:ind w:left="256"/>
              <w:rPr>
                <w:sz w:val="20"/>
                <w:szCs w:val="20"/>
              </w:rPr>
            </w:pPr>
            <w:r>
              <w:rPr>
                <w:spacing w:val="7"/>
                <w:sz w:val="20"/>
                <w:szCs w:val="20"/>
              </w:rPr>
              <w:t>敏感目标</w:t>
            </w:r>
          </w:p>
        </w:tc>
        <w:tc>
          <w:tcPr>
            <w:tcW w:w="1190" w:type="dxa"/>
            <w:vAlign w:val="top"/>
          </w:tcPr>
          <w:p w14:paraId="4FE5619B">
            <w:pPr>
              <w:pStyle w:val="6"/>
              <w:spacing w:before="187" w:line="228" w:lineRule="auto"/>
              <w:ind w:left="108"/>
              <w:rPr>
                <w:rFonts w:ascii="Times New Roman" w:hAnsi="Times New Roman" w:eastAsia="Times New Roman" w:cs="Times New Roman"/>
                <w:sz w:val="20"/>
                <w:szCs w:val="20"/>
              </w:rPr>
            </w:pPr>
            <w:r>
              <w:rPr>
                <w:spacing w:val="4"/>
                <w:sz w:val="20"/>
                <w:szCs w:val="20"/>
              </w:rPr>
              <w:t>到达时间</w:t>
            </w:r>
            <w:r>
              <w:rPr>
                <w:spacing w:val="-38"/>
                <w:sz w:val="20"/>
                <w:szCs w:val="20"/>
              </w:rPr>
              <w:t xml:space="preserve"> </w:t>
            </w:r>
            <w:r>
              <w:rPr>
                <w:rFonts w:ascii="Times New Roman" w:hAnsi="Times New Roman" w:eastAsia="Times New Roman" w:cs="Times New Roman"/>
                <w:spacing w:val="4"/>
                <w:sz w:val="20"/>
                <w:szCs w:val="20"/>
              </w:rPr>
              <w:t>d</w:t>
            </w:r>
          </w:p>
        </w:tc>
        <w:tc>
          <w:tcPr>
            <w:tcW w:w="1411" w:type="dxa"/>
            <w:vAlign w:val="top"/>
          </w:tcPr>
          <w:p w14:paraId="1FAB5D94">
            <w:pPr>
              <w:pStyle w:val="6"/>
              <w:spacing w:before="187" w:line="228" w:lineRule="auto"/>
              <w:ind w:left="210"/>
              <w:rPr>
                <w:rFonts w:ascii="Times New Roman" w:hAnsi="Times New Roman" w:eastAsia="Times New Roman" w:cs="Times New Roman"/>
                <w:sz w:val="20"/>
                <w:szCs w:val="20"/>
              </w:rPr>
            </w:pPr>
            <w:r>
              <w:rPr>
                <w:spacing w:val="6"/>
                <w:sz w:val="20"/>
                <w:szCs w:val="20"/>
              </w:rPr>
              <w:t>超标时间</w:t>
            </w:r>
            <w:r>
              <w:rPr>
                <w:spacing w:val="-39"/>
                <w:sz w:val="20"/>
                <w:szCs w:val="20"/>
              </w:rPr>
              <w:t xml:space="preserve"> </w:t>
            </w:r>
            <w:r>
              <w:rPr>
                <w:rFonts w:ascii="Times New Roman" w:hAnsi="Times New Roman" w:eastAsia="Times New Roman" w:cs="Times New Roman"/>
                <w:spacing w:val="6"/>
                <w:sz w:val="20"/>
                <w:szCs w:val="20"/>
              </w:rPr>
              <w:t>d</w:t>
            </w:r>
          </w:p>
        </w:tc>
        <w:tc>
          <w:tcPr>
            <w:tcW w:w="1402" w:type="dxa"/>
            <w:vAlign w:val="top"/>
          </w:tcPr>
          <w:p w14:paraId="444B24C6">
            <w:pPr>
              <w:pStyle w:val="6"/>
              <w:spacing w:before="186" w:line="228" w:lineRule="auto"/>
              <w:jc w:val="right"/>
              <w:rPr>
                <w:rFonts w:ascii="Times New Roman" w:hAnsi="Times New Roman" w:eastAsia="Times New Roman" w:cs="Times New Roman"/>
                <w:sz w:val="20"/>
                <w:szCs w:val="20"/>
              </w:rPr>
            </w:pPr>
            <w:r>
              <w:rPr>
                <w:spacing w:val="12"/>
                <w:sz w:val="20"/>
                <w:szCs w:val="20"/>
              </w:rPr>
              <w:t>超标持续时间</w:t>
            </w:r>
            <w:r>
              <w:rPr>
                <w:rFonts w:ascii="Times New Roman" w:hAnsi="Times New Roman" w:eastAsia="Times New Roman" w:cs="Times New Roman"/>
                <w:spacing w:val="12"/>
                <w:sz w:val="20"/>
                <w:szCs w:val="20"/>
              </w:rPr>
              <w:t>d</w:t>
            </w:r>
          </w:p>
        </w:tc>
        <w:tc>
          <w:tcPr>
            <w:tcW w:w="1244" w:type="dxa"/>
            <w:tcBorders>
              <w:right w:val="nil"/>
            </w:tcBorders>
            <w:vAlign w:val="top"/>
          </w:tcPr>
          <w:p w14:paraId="00B9CC21">
            <w:pPr>
              <w:pStyle w:val="6"/>
              <w:spacing w:before="53" w:line="223" w:lineRule="auto"/>
              <w:ind w:left="204" w:right="200" w:firstLine="9"/>
              <w:rPr>
                <w:sz w:val="20"/>
                <w:szCs w:val="20"/>
              </w:rPr>
            </w:pPr>
            <w:r>
              <w:rPr>
                <w:spacing w:val="6"/>
                <w:sz w:val="20"/>
                <w:szCs w:val="20"/>
              </w:rPr>
              <w:t>最大浓度</w:t>
            </w:r>
            <w:r>
              <w:rPr>
                <w:spacing w:val="2"/>
                <w:sz w:val="20"/>
                <w:szCs w:val="20"/>
              </w:rPr>
              <w:t xml:space="preserve"> </w:t>
            </w:r>
            <w:r>
              <w:rPr>
                <w:sz w:val="20"/>
                <w:szCs w:val="20"/>
              </w:rPr>
              <w:t>（</w:t>
            </w:r>
            <w:r>
              <w:rPr>
                <w:rFonts w:ascii="Times New Roman" w:hAnsi="Times New Roman" w:eastAsia="Times New Roman" w:cs="Times New Roman"/>
                <w:sz w:val="20"/>
                <w:szCs w:val="20"/>
              </w:rPr>
              <w:t>mg/L</w:t>
            </w:r>
            <w:r>
              <w:rPr>
                <w:sz w:val="20"/>
                <w:szCs w:val="20"/>
              </w:rPr>
              <w:t>）</w:t>
            </w:r>
          </w:p>
        </w:tc>
      </w:tr>
      <w:tr w14:paraId="20AE4B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 w:hRule="atLeast"/>
        </w:trPr>
        <w:tc>
          <w:tcPr>
            <w:tcW w:w="1444" w:type="dxa"/>
            <w:vMerge w:val="continue"/>
            <w:tcBorders>
              <w:top w:val="nil"/>
              <w:left w:val="nil"/>
              <w:bottom w:val="single" w:color="000000" w:sz="10" w:space="0"/>
            </w:tcBorders>
            <w:vAlign w:val="top"/>
          </w:tcPr>
          <w:p w14:paraId="16AC1381">
            <w:pPr>
              <w:rPr>
                <w:rFonts w:ascii="Arial"/>
                <w:sz w:val="21"/>
              </w:rPr>
            </w:pPr>
          </w:p>
        </w:tc>
        <w:tc>
          <w:tcPr>
            <w:tcW w:w="1038" w:type="dxa"/>
            <w:vMerge w:val="continue"/>
            <w:tcBorders>
              <w:top w:val="nil"/>
              <w:bottom w:val="single" w:color="000000" w:sz="10" w:space="0"/>
            </w:tcBorders>
            <w:vAlign w:val="top"/>
          </w:tcPr>
          <w:p w14:paraId="48680053">
            <w:pPr>
              <w:rPr>
                <w:rFonts w:ascii="Arial"/>
                <w:sz w:val="21"/>
              </w:rPr>
            </w:pPr>
          </w:p>
        </w:tc>
        <w:tc>
          <w:tcPr>
            <w:tcW w:w="1340" w:type="dxa"/>
            <w:tcBorders>
              <w:bottom w:val="single" w:color="000000" w:sz="10" w:space="0"/>
            </w:tcBorders>
            <w:vAlign w:val="top"/>
          </w:tcPr>
          <w:p w14:paraId="3DC026D9">
            <w:pPr>
              <w:spacing w:before="73" w:line="194" w:lineRule="auto"/>
              <w:ind w:left="63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190" w:type="dxa"/>
            <w:tcBorders>
              <w:bottom w:val="single" w:color="000000" w:sz="10" w:space="0"/>
            </w:tcBorders>
            <w:vAlign w:val="top"/>
          </w:tcPr>
          <w:p w14:paraId="274C5AE8">
            <w:pPr>
              <w:spacing w:before="73" w:line="194" w:lineRule="auto"/>
              <w:ind w:left="56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411" w:type="dxa"/>
            <w:tcBorders>
              <w:bottom w:val="single" w:color="000000" w:sz="10" w:space="0"/>
            </w:tcBorders>
            <w:vAlign w:val="top"/>
          </w:tcPr>
          <w:p w14:paraId="46506CA5">
            <w:pPr>
              <w:spacing w:before="73" w:line="194" w:lineRule="auto"/>
              <w:ind w:left="67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402" w:type="dxa"/>
            <w:tcBorders>
              <w:bottom w:val="single" w:color="000000" w:sz="10" w:space="0"/>
            </w:tcBorders>
            <w:vAlign w:val="top"/>
          </w:tcPr>
          <w:p w14:paraId="41951CEE">
            <w:pPr>
              <w:spacing w:before="73" w:line="194" w:lineRule="auto"/>
              <w:ind w:left="6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244" w:type="dxa"/>
            <w:tcBorders>
              <w:bottom w:val="single" w:color="000000" w:sz="10" w:space="0"/>
              <w:right w:val="nil"/>
            </w:tcBorders>
            <w:vAlign w:val="top"/>
          </w:tcPr>
          <w:p w14:paraId="10A56BC4">
            <w:pPr>
              <w:spacing w:before="73" w:line="194" w:lineRule="auto"/>
              <w:ind w:left="594"/>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bl>
    <w:p w14:paraId="6A4706AA">
      <w:pPr>
        <w:spacing w:before="289" w:line="221" w:lineRule="auto"/>
        <w:ind w:left="13"/>
        <w:outlineLvl w:val="1"/>
        <w:rPr>
          <w:rFonts w:ascii="黑体" w:hAnsi="黑体" w:eastAsia="黑体" w:cs="黑体"/>
          <w:sz w:val="30"/>
          <w:szCs w:val="30"/>
        </w:rPr>
      </w:pPr>
      <w:bookmarkStart w:id="414" w:name="bookmark296"/>
      <w:bookmarkEnd w:id="414"/>
      <w:r>
        <w:rPr>
          <w:rFonts w:ascii="Times New Roman" w:hAnsi="Times New Roman" w:eastAsia="Times New Roman" w:cs="Times New Roman"/>
          <w:spacing w:val="-1"/>
          <w:sz w:val="30"/>
          <w:szCs w:val="30"/>
        </w:rPr>
        <w:t xml:space="preserve">5.7 </w:t>
      </w:r>
      <w:r>
        <w:rPr>
          <w:rFonts w:ascii="黑体" w:hAnsi="黑体" w:eastAsia="黑体" w:cs="黑体"/>
          <w:spacing w:val="-1"/>
          <w:sz w:val="30"/>
          <w:szCs w:val="30"/>
        </w:rPr>
        <w:t>环境风险防范措施及应急要求</w:t>
      </w:r>
    </w:p>
    <w:p w14:paraId="77D6AB71">
      <w:pPr>
        <w:spacing w:before="232" w:line="361" w:lineRule="auto"/>
        <w:ind w:left="8" w:right="1" w:firstLine="483"/>
        <w:jc w:val="both"/>
        <w:rPr>
          <w:rFonts w:ascii="宋体" w:hAnsi="宋体" w:eastAsia="宋体" w:cs="宋体"/>
          <w:sz w:val="24"/>
          <w:szCs w:val="24"/>
        </w:rPr>
      </w:pPr>
      <w:r>
        <w:rPr>
          <w:rFonts w:ascii="宋体" w:hAnsi="宋体" w:eastAsia="宋体" w:cs="宋体"/>
          <w:spacing w:val="-2"/>
          <w:sz w:val="24"/>
          <w:szCs w:val="24"/>
        </w:rPr>
        <w:t>项目建成后企业必须组建安全环保管理机构，配备管理人员，通过技能培训，承担</w:t>
      </w:r>
      <w:r>
        <w:rPr>
          <w:rFonts w:ascii="宋体" w:hAnsi="宋体" w:eastAsia="宋体" w:cs="宋体"/>
          <w:spacing w:val="9"/>
          <w:sz w:val="24"/>
          <w:szCs w:val="24"/>
        </w:rPr>
        <w:t xml:space="preserve"> </w:t>
      </w:r>
      <w:r>
        <w:rPr>
          <w:rFonts w:ascii="宋体" w:hAnsi="宋体" w:eastAsia="宋体" w:cs="宋体"/>
          <w:spacing w:val="-2"/>
          <w:sz w:val="24"/>
          <w:szCs w:val="24"/>
        </w:rPr>
        <w:t>企业的环保安全工作。结合企业运行情况，制定严格的生产操作规则、部分安全生产管</w:t>
      </w:r>
      <w:r>
        <w:rPr>
          <w:rFonts w:ascii="宋体" w:hAnsi="宋体" w:eastAsia="宋体" w:cs="宋体"/>
          <w:spacing w:val="17"/>
          <w:sz w:val="24"/>
          <w:szCs w:val="24"/>
        </w:rPr>
        <w:t xml:space="preserve"> </w:t>
      </w:r>
      <w:r>
        <w:rPr>
          <w:rFonts w:ascii="宋体" w:hAnsi="宋体" w:eastAsia="宋体" w:cs="宋体"/>
          <w:spacing w:val="-2"/>
          <w:sz w:val="24"/>
          <w:szCs w:val="24"/>
        </w:rPr>
        <w:t>理制度和事故应急计划，开展厂区安全评价工作，完善事故应急处理手段和设施，同时</w:t>
      </w:r>
      <w:r>
        <w:rPr>
          <w:rFonts w:ascii="宋体" w:hAnsi="宋体" w:eastAsia="宋体" w:cs="宋体"/>
          <w:spacing w:val="17"/>
          <w:sz w:val="24"/>
          <w:szCs w:val="24"/>
        </w:rPr>
        <w:t xml:space="preserve"> </w:t>
      </w:r>
      <w:r>
        <w:rPr>
          <w:rFonts w:ascii="宋体" w:hAnsi="宋体" w:eastAsia="宋体" w:cs="宋体"/>
          <w:spacing w:val="-1"/>
          <w:sz w:val="24"/>
          <w:szCs w:val="24"/>
        </w:rPr>
        <w:t>加强安全教育，以提高职工的安全意识和安全防范能力。</w:t>
      </w:r>
    </w:p>
    <w:p w14:paraId="5AB18C81">
      <w:pPr>
        <w:spacing w:line="361" w:lineRule="auto"/>
        <w:rPr>
          <w:rFonts w:ascii="宋体" w:hAnsi="宋体" w:eastAsia="宋体" w:cs="宋体"/>
          <w:sz w:val="24"/>
          <w:szCs w:val="24"/>
        </w:rPr>
        <w:sectPr>
          <w:headerReference r:id="rId414" w:type="default"/>
          <w:footerReference r:id="rId415" w:type="default"/>
          <w:pgSz w:w="11906" w:h="16839"/>
          <w:pgMar w:top="1191" w:right="1416" w:bottom="1221" w:left="1417" w:header="882" w:footer="1059" w:gutter="0"/>
          <w:cols w:space="720" w:num="1"/>
        </w:sectPr>
      </w:pPr>
    </w:p>
    <w:p w14:paraId="742F8A82">
      <w:pPr>
        <w:spacing w:line="28" w:lineRule="exact"/>
        <w:ind w:firstLine="44"/>
      </w:pPr>
      <w:r>
        <w:pict>
          <v:shape id="_x0000_s1948" o:spid="_x0000_s1948" style="height:1.45pt;width:453.65pt;" fillcolor="#000000" filled="t" stroked="f" coordsize="9072,29" path="m0,0l9072,0,9072,28,0,28,0,0xe">
            <v:path/>
            <v:fill on="t" focussize="0,0"/>
            <v:stroke on="f"/>
            <v:imagedata o:title=""/>
            <o:lock v:ext="edit"/>
            <w10:wrap type="none"/>
            <w10:anchorlock/>
          </v:shape>
        </w:pict>
      </w:r>
    </w:p>
    <w:p w14:paraId="45985BB8">
      <w:pPr>
        <w:pStyle w:val="2"/>
        <w:spacing w:line="282" w:lineRule="auto"/>
      </w:pPr>
    </w:p>
    <w:p w14:paraId="48F53091">
      <w:pPr>
        <w:spacing w:before="91" w:line="220" w:lineRule="auto"/>
        <w:ind w:left="52"/>
        <w:outlineLvl w:val="2"/>
        <w:rPr>
          <w:rFonts w:ascii="宋体" w:hAnsi="宋体" w:eastAsia="宋体" w:cs="宋体"/>
          <w:sz w:val="28"/>
          <w:szCs w:val="28"/>
        </w:rPr>
      </w:pPr>
      <w:bookmarkStart w:id="415" w:name="bookmark298"/>
      <w:bookmarkEnd w:id="415"/>
      <w:r>
        <w:rPr>
          <w:rFonts w:ascii="Times New Roman" w:hAnsi="Times New Roman" w:eastAsia="Times New Roman" w:cs="Times New Roman"/>
          <w:b/>
          <w:bCs/>
          <w:spacing w:val="-2"/>
          <w:sz w:val="28"/>
          <w:szCs w:val="28"/>
        </w:rPr>
        <w:t xml:space="preserve">5.7.1 </w:t>
      </w:r>
      <w:r>
        <w:rPr>
          <w:rFonts w:ascii="宋体" w:hAnsi="宋体" w:eastAsia="宋体" w:cs="宋体"/>
          <w:b/>
          <w:bCs/>
          <w:spacing w:val="-2"/>
          <w:sz w:val="28"/>
          <w:szCs w:val="28"/>
        </w:rPr>
        <w:t>风险管理</w:t>
      </w:r>
    </w:p>
    <w:p w14:paraId="250CF373">
      <w:pPr>
        <w:spacing w:before="246" w:line="356" w:lineRule="auto"/>
        <w:ind w:right="18" w:firstLine="532"/>
        <w:jc w:val="both"/>
        <w:rPr>
          <w:rFonts w:ascii="宋体" w:hAnsi="宋体" w:eastAsia="宋体" w:cs="宋体"/>
          <w:sz w:val="24"/>
          <w:szCs w:val="24"/>
        </w:rPr>
      </w:pPr>
      <w:r>
        <w:rPr>
          <w:rFonts w:ascii="宋体" w:hAnsi="宋体" w:eastAsia="宋体" w:cs="宋体"/>
          <w:spacing w:val="-7"/>
          <w:sz w:val="24"/>
          <w:szCs w:val="24"/>
        </w:rPr>
        <w:t>根据《关于进一步加强环境影响评价管理防范环境风险的通知》（</w:t>
      </w:r>
      <w:r>
        <w:rPr>
          <w:rFonts w:ascii="宋体" w:hAnsi="宋体" w:eastAsia="宋体" w:cs="宋体"/>
          <w:spacing w:val="-8"/>
          <w:sz w:val="24"/>
          <w:szCs w:val="24"/>
        </w:rPr>
        <w:t>环发</w:t>
      </w:r>
      <w:r>
        <w:rPr>
          <w:rFonts w:ascii="Times New Roman" w:hAnsi="Times New Roman" w:eastAsia="Times New Roman" w:cs="Times New Roman"/>
          <w:spacing w:val="-8"/>
          <w:sz w:val="24"/>
          <w:szCs w:val="24"/>
        </w:rPr>
        <w:t>[2012]77</w:t>
      </w:r>
      <w:r>
        <w:rPr>
          <w:rFonts w:ascii="Times New Roman" w:hAnsi="Times New Roman" w:eastAsia="Times New Roman" w:cs="Times New Roman"/>
          <w:spacing w:val="17"/>
          <w:sz w:val="24"/>
          <w:szCs w:val="24"/>
        </w:rPr>
        <w:t xml:space="preserve"> </w:t>
      </w:r>
      <w:r>
        <w:rPr>
          <w:rFonts w:ascii="宋体" w:hAnsi="宋体" w:eastAsia="宋体" w:cs="宋体"/>
          <w:spacing w:val="-8"/>
          <w:sz w:val="24"/>
          <w:szCs w:val="24"/>
        </w:rPr>
        <w:t>号</w:t>
      </w:r>
      <w:r>
        <w:rPr>
          <w:rFonts w:ascii="宋体" w:hAnsi="宋体" w:eastAsia="宋体" w:cs="宋体"/>
          <w:spacing w:val="-53"/>
          <w:w w:val="84"/>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w:t>
      </w:r>
      <w:r>
        <w:rPr>
          <w:rFonts w:ascii="宋体" w:hAnsi="宋体" w:eastAsia="宋体" w:cs="宋体"/>
          <w:spacing w:val="1"/>
          <w:sz w:val="24"/>
          <w:szCs w:val="24"/>
        </w:rPr>
        <w:t>建设单位及其所属企业是环境风险防范的责任</w:t>
      </w:r>
      <w:r>
        <w:rPr>
          <w:rFonts w:ascii="宋体" w:hAnsi="宋体" w:eastAsia="宋体" w:cs="宋体"/>
          <w:sz w:val="24"/>
          <w:szCs w:val="24"/>
        </w:rPr>
        <w:t>主体</w:t>
      </w:r>
      <w:r>
        <w:rPr>
          <w:rFonts w:ascii="Times New Roman" w:hAnsi="Times New Roman" w:eastAsia="Times New Roman" w:cs="Times New Roman"/>
          <w:sz w:val="24"/>
          <w:szCs w:val="24"/>
        </w:rPr>
        <w:t>”</w:t>
      </w:r>
      <w:r>
        <w:rPr>
          <w:rFonts w:ascii="宋体" w:hAnsi="宋体" w:eastAsia="宋体" w:cs="宋体"/>
          <w:sz w:val="24"/>
          <w:szCs w:val="24"/>
        </w:rPr>
        <w:t xml:space="preserve">，企业应严格按照该文中的规定执 </w:t>
      </w:r>
      <w:r>
        <w:rPr>
          <w:rFonts w:ascii="宋体" w:hAnsi="宋体" w:eastAsia="宋体" w:cs="宋体"/>
          <w:spacing w:val="1"/>
          <w:sz w:val="24"/>
          <w:szCs w:val="24"/>
        </w:rPr>
        <w:t>行，同时</w:t>
      </w:r>
      <w:r>
        <w:rPr>
          <w:rFonts w:ascii="Times New Roman" w:hAnsi="Times New Roman" w:eastAsia="Times New Roman" w:cs="Times New Roman"/>
          <w:spacing w:val="1"/>
          <w:sz w:val="24"/>
          <w:szCs w:val="24"/>
        </w:rPr>
        <w:t>“</w:t>
      </w:r>
      <w:r>
        <w:rPr>
          <w:rFonts w:ascii="宋体" w:hAnsi="宋体" w:eastAsia="宋体" w:cs="宋体"/>
          <w:spacing w:val="1"/>
          <w:sz w:val="24"/>
          <w:szCs w:val="24"/>
        </w:rPr>
        <w:t>应建立有效的环境风险防范与应急管理体系并不断完善</w:t>
      </w:r>
      <w:r>
        <w:rPr>
          <w:rFonts w:ascii="Times New Roman" w:hAnsi="Times New Roman" w:eastAsia="Times New Roman" w:cs="Times New Roman"/>
          <w:spacing w:val="1"/>
          <w:sz w:val="24"/>
          <w:szCs w:val="24"/>
        </w:rPr>
        <w:t>”</w:t>
      </w:r>
      <w:r>
        <w:rPr>
          <w:rFonts w:ascii="宋体" w:hAnsi="宋体" w:eastAsia="宋体" w:cs="宋体"/>
          <w:spacing w:val="1"/>
          <w:sz w:val="24"/>
          <w:szCs w:val="24"/>
        </w:rPr>
        <w:t>。</w:t>
      </w:r>
    </w:p>
    <w:p w14:paraId="17C49A6E">
      <w:pPr>
        <w:spacing w:before="47" w:line="354" w:lineRule="auto"/>
        <w:ind w:left="52" w:right="18" w:firstLine="481"/>
        <w:rPr>
          <w:rFonts w:ascii="宋体" w:hAnsi="宋体" w:eastAsia="宋体" w:cs="宋体"/>
          <w:sz w:val="24"/>
          <w:szCs w:val="24"/>
        </w:rPr>
      </w:pPr>
      <w:r>
        <w:rPr>
          <w:rFonts w:ascii="宋体" w:hAnsi="宋体" w:eastAsia="宋体" w:cs="宋体"/>
          <w:spacing w:val="-6"/>
          <w:sz w:val="24"/>
          <w:szCs w:val="24"/>
        </w:rPr>
        <w:t>经过对类似事故原因的统计，人为因素往往是</w:t>
      </w:r>
      <w:r>
        <w:rPr>
          <w:rFonts w:ascii="宋体" w:hAnsi="宋体" w:eastAsia="宋体" w:cs="宋体"/>
          <w:spacing w:val="-7"/>
          <w:sz w:val="24"/>
          <w:szCs w:val="24"/>
        </w:rPr>
        <w:t>事故发生的主要原因，因此严格管理，</w:t>
      </w:r>
      <w:r>
        <w:rPr>
          <w:rFonts w:ascii="宋体" w:hAnsi="宋体" w:eastAsia="宋体" w:cs="宋体"/>
          <w:sz w:val="24"/>
          <w:szCs w:val="24"/>
        </w:rPr>
        <w:t xml:space="preserve"> </w:t>
      </w:r>
      <w:r>
        <w:rPr>
          <w:rFonts w:ascii="宋体" w:hAnsi="宋体" w:eastAsia="宋体" w:cs="宋体"/>
          <w:spacing w:val="-1"/>
          <w:sz w:val="24"/>
          <w:szCs w:val="24"/>
        </w:rPr>
        <w:t>做好职工的环保意识培养是预防事故发生的重要环节。</w:t>
      </w:r>
    </w:p>
    <w:p w14:paraId="61523AEA">
      <w:pPr>
        <w:spacing w:before="34" w:line="219" w:lineRule="auto"/>
        <w:ind w:left="543"/>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）加强环保意识教育以提高工作职工的责任心和工作主动性。</w:t>
      </w:r>
    </w:p>
    <w:p w14:paraId="716D0568">
      <w:pPr>
        <w:spacing w:before="196" w:line="293" w:lineRule="auto"/>
        <w:ind w:left="51" w:right="80"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）操作人员需定期进行岗位系统培训，孰悉工作岗位责任、规程，加强岗位责</w:t>
      </w:r>
      <w:r>
        <w:rPr>
          <w:rFonts w:ascii="宋体" w:hAnsi="宋体" w:eastAsia="宋体" w:cs="宋体"/>
          <w:spacing w:val="13"/>
          <w:sz w:val="24"/>
          <w:szCs w:val="24"/>
        </w:rPr>
        <w:t xml:space="preserve"> </w:t>
      </w:r>
      <w:r>
        <w:rPr>
          <w:rFonts w:ascii="宋体" w:hAnsi="宋体" w:eastAsia="宋体" w:cs="宋体"/>
          <w:spacing w:val="-3"/>
          <w:sz w:val="24"/>
          <w:szCs w:val="24"/>
        </w:rPr>
        <w:t>任制。</w:t>
      </w:r>
    </w:p>
    <w:p w14:paraId="7C334B48">
      <w:pPr>
        <w:spacing w:before="194" w:line="219" w:lineRule="auto"/>
        <w:ind w:left="543"/>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）厂区采用双回路电源供电，以保证供电的连续性。</w:t>
      </w:r>
    </w:p>
    <w:p w14:paraId="0B267F0E">
      <w:pPr>
        <w:spacing w:before="194" w:line="219" w:lineRule="auto"/>
        <w:ind w:left="543"/>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）严格遵守开、停车及操作规程，适当对职工进行技术培训。</w:t>
      </w:r>
    </w:p>
    <w:p w14:paraId="76085E8E">
      <w:pPr>
        <w:spacing w:before="192" w:line="219" w:lineRule="auto"/>
        <w:ind w:left="543"/>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）对事故易发部位、易泄露地点，除本岗工人及时检查外，应设安全员巡检。</w:t>
      </w:r>
    </w:p>
    <w:p w14:paraId="5BE04BD2">
      <w:pPr>
        <w:spacing w:before="197" w:line="293" w:lineRule="auto"/>
        <w:ind w:left="54" w:right="80" w:firstLine="48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6</w:t>
      </w:r>
      <w:r>
        <w:rPr>
          <w:rFonts w:ascii="宋体" w:hAnsi="宋体" w:eastAsia="宋体" w:cs="宋体"/>
          <w:spacing w:val="1"/>
          <w:sz w:val="24"/>
          <w:szCs w:val="24"/>
        </w:rPr>
        <w:t>）严禁明火，必要时应按规章申办点火许可证，并应有严格安全措施，经检查</w:t>
      </w:r>
      <w:r>
        <w:rPr>
          <w:rFonts w:ascii="宋体" w:hAnsi="宋体" w:eastAsia="宋体" w:cs="宋体"/>
          <w:spacing w:val="13"/>
          <w:sz w:val="24"/>
          <w:szCs w:val="24"/>
        </w:rPr>
        <w:t xml:space="preserve"> </w:t>
      </w:r>
      <w:r>
        <w:rPr>
          <w:rFonts w:ascii="宋体" w:hAnsi="宋体" w:eastAsia="宋体" w:cs="宋体"/>
          <w:spacing w:val="-2"/>
          <w:sz w:val="24"/>
          <w:szCs w:val="24"/>
        </w:rPr>
        <w:t>可行后方可点火。</w:t>
      </w:r>
    </w:p>
    <w:p w14:paraId="7572DC40">
      <w:pPr>
        <w:spacing w:before="192" w:line="294" w:lineRule="auto"/>
        <w:ind w:left="79" w:right="80" w:firstLine="464"/>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7</w:t>
      </w:r>
      <w:r>
        <w:rPr>
          <w:rFonts w:ascii="宋体" w:hAnsi="宋体" w:eastAsia="宋体" w:cs="宋体"/>
          <w:spacing w:val="1"/>
          <w:sz w:val="24"/>
          <w:szCs w:val="24"/>
        </w:rPr>
        <w:t>）施工、设备、材料应按规章进行认真的检查、验收。设计、工艺、管理三部</w:t>
      </w:r>
      <w:r>
        <w:rPr>
          <w:rFonts w:ascii="宋体" w:hAnsi="宋体" w:eastAsia="宋体" w:cs="宋体"/>
          <w:spacing w:val="13"/>
          <w:sz w:val="24"/>
          <w:szCs w:val="24"/>
        </w:rPr>
        <w:t xml:space="preserve"> </w:t>
      </w:r>
      <w:r>
        <w:rPr>
          <w:rFonts w:ascii="宋体" w:hAnsi="宋体" w:eastAsia="宋体" w:cs="宋体"/>
          <w:spacing w:val="-1"/>
          <w:sz w:val="24"/>
          <w:szCs w:val="24"/>
        </w:rPr>
        <w:t>门通力合作，严防不合格设备、材料蒙混过关，杜</w:t>
      </w:r>
      <w:r>
        <w:rPr>
          <w:rFonts w:ascii="宋体" w:hAnsi="宋体" w:eastAsia="宋体" w:cs="宋体"/>
          <w:spacing w:val="-2"/>
          <w:sz w:val="24"/>
          <w:szCs w:val="24"/>
        </w:rPr>
        <w:t>绝偷工减料现象。</w:t>
      </w:r>
    </w:p>
    <w:p w14:paraId="364D44AA">
      <w:pPr>
        <w:spacing w:before="252" w:line="219" w:lineRule="auto"/>
        <w:ind w:left="52"/>
        <w:outlineLvl w:val="2"/>
        <w:rPr>
          <w:rFonts w:ascii="宋体" w:hAnsi="宋体" w:eastAsia="宋体" w:cs="宋体"/>
          <w:sz w:val="28"/>
          <w:szCs w:val="28"/>
        </w:rPr>
      </w:pPr>
      <w:bookmarkStart w:id="416" w:name="bookmark300"/>
      <w:bookmarkEnd w:id="416"/>
      <w:r>
        <w:rPr>
          <w:rFonts w:ascii="Times New Roman" w:hAnsi="Times New Roman" w:eastAsia="Times New Roman" w:cs="Times New Roman"/>
          <w:b/>
          <w:bCs/>
          <w:spacing w:val="-3"/>
          <w:sz w:val="28"/>
          <w:szCs w:val="28"/>
        </w:rPr>
        <w:t>5.7.2</w:t>
      </w:r>
      <w:r>
        <w:rPr>
          <w:rFonts w:ascii="Times New Roman" w:hAnsi="Times New Roman" w:eastAsia="Times New Roman" w:cs="Times New Roman"/>
          <w:b/>
          <w:bCs/>
          <w:spacing w:val="19"/>
          <w:sz w:val="28"/>
          <w:szCs w:val="28"/>
        </w:rPr>
        <w:t xml:space="preserve"> </w:t>
      </w:r>
      <w:r>
        <w:rPr>
          <w:rFonts w:ascii="宋体" w:hAnsi="宋体" w:eastAsia="宋体" w:cs="宋体"/>
          <w:b/>
          <w:bCs/>
          <w:spacing w:val="-3"/>
          <w:sz w:val="28"/>
          <w:szCs w:val="28"/>
        </w:rPr>
        <w:t>总图布置和建筑安全防范措施</w:t>
      </w:r>
    </w:p>
    <w:p w14:paraId="0BF12106">
      <w:pPr>
        <w:spacing w:before="247" w:line="219" w:lineRule="auto"/>
        <w:ind w:left="543"/>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）总图布置和建筑安全防范措施</w:t>
      </w:r>
    </w:p>
    <w:p w14:paraId="4E8330A6">
      <w:pPr>
        <w:spacing w:before="191" w:line="365" w:lineRule="auto"/>
        <w:ind w:left="50" w:firstLine="482"/>
        <w:jc w:val="both"/>
        <w:rPr>
          <w:rFonts w:ascii="宋体" w:hAnsi="宋体" w:eastAsia="宋体" w:cs="宋体"/>
          <w:sz w:val="24"/>
          <w:szCs w:val="24"/>
        </w:rPr>
      </w:pPr>
      <w:r>
        <w:rPr>
          <w:rFonts w:ascii="宋体" w:hAnsi="宋体" w:eastAsia="宋体" w:cs="宋体"/>
          <w:spacing w:val="-2"/>
          <w:sz w:val="24"/>
          <w:szCs w:val="24"/>
        </w:rPr>
        <w:t>本项目厂区内建构筑物主要包括生活办公区、生产区和辅助生产区，各装置平面布</w:t>
      </w:r>
      <w:r>
        <w:rPr>
          <w:rFonts w:ascii="宋体" w:hAnsi="宋体" w:eastAsia="宋体" w:cs="宋体"/>
          <w:spacing w:val="12"/>
          <w:sz w:val="24"/>
          <w:szCs w:val="24"/>
        </w:rPr>
        <w:t xml:space="preserve"> </w:t>
      </w:r>
      <w:r>
        <w:rPr>
          <w:rFonts w:ascii="宋体" w:hAnsi="宋体" w:eastAsia="宋体" w:cs="宋体"/>
          <w:spacing w:val="-1"/>
          <w:sz w:val="24"/>
          <w:szCs w:val="24"/>
        </w:rPr>
        <w:t>置在满足有关防火、防爆及安全卫生标准和</w:t>
      </w:r>
      <w:r>
        <w:rPr>
          <w:rFonts w:ascii="宋体" w:hAnsi="宋体" w:eastAsia="宋体" w:cs="宋体"/>
          <w:spacing w:val="-2"/>
          <w:sz w:val="24"/>
          <w:szCs w:val="24"/>
        </w:rPr>
        <w:t>规范要求的前提下，尽可能集中化布置，并</w:t>
      </w:r>
      <w:r>
        <w:rPr>
          <w:rFonts w:ascii="宋体" w:hAnsi="宋体" w:eastAsia="宋体" w:cs="宋体"/>
          <w:sz w:val="24"/>
          <w:szCs w:val="24"/>
        </w:rPr>
        <w:t xml:space="preserve"> </w:t>
      </w:r>
      <w:r>
        <w:rPr>
          <w:rFonts w:ascii="宋体" w:hAnsi="宋体" w:eastAsia="宋体" w:cs="宋体"/>
          <w:spacing w:val="-1"/>
          <w:sz w:val="24"/>
          <w:szCs w:val="24"/>
        </w:rPr>
        <w:t>考虑同类设施相对集中。其中，生产和存储</w:t>
      </w:r>
      <w:r>
        <w:rPr>
          <w:rFonts w:ascii="宋体" w:hAnsi="宋体" w:eastAsia="宋体" w:cs="宋体"/>
          <w:spacing w:val="-2"/>
          <w:sz w:val="24"/>
          <w:szCs w:val="24"/>
        </w:rPr>
        <w:t>设施设置远离办公楼等人员集中场所；煤气</w:t>
      </w:r>
      <w:r>
        <w:rPr>
          <w:rFonts w:ascii="宋体" w:hAnsi="宋体" w:eastAsia="宋体" w:cs="宋体"/>
          <w:sz w:val="24"/>
          <w:szCs w:val="24"/>
        </w:rPr>
        <w:t xml:space="preserve"> </w:t>
      </w:r>
      <w:r>
        <w:rPr>
          <w:rFonts w:ascii="宋体" w:hAnsi="宋体" w:eastAsia="宋体" w:cs="宋体"/>
          <w:spacing w:val="-6"/>
          <w:sz w:val="24"/>
          <w:szCs w:val="24"/>
        </w:rPr>
        <w:t>柜、火炬和各生产设施等间距符合有关防火和消防要求；合理划分管理区、工艺生产区、</w:t>
      </w:r>
      <w:r>
        <w:rPr>
          <w:rFonts w:ascii="宋体" w:hAnsi="宋体" w:eastAsia="宋体" w:cs="宋体"/>
          <w:spacing w:val="17"/>
          <w:sz w:val="24"/>
          <w:szCs w:val="24"/>
        </w:rPr>
        <w:t xml:space="preserve"> </w:t>
      </w:r>
      <w:r>
        <w:rPr>
          <w:rFonts w:ascii="宋体" w:hAnsi="宋体" w:eastAsia="宋体" w:cs="宋体"/>
          <w:spacing w:val="-1"/>
          <w:sz w:val="24"/>
          <w:szCs w:val="24"/>
        </w:rPr>
        <w:t>储运设施区，各区按其危害程度采取相应的</w:t>
      </w:r>
      <w:r>
        <w:rPr>
          <w:rFonts w:ascii="宋体" w:hAnsi="宋体" w:eastAsia="宋体" w:cs="宋体"/>
          <w:spacing w:val="-2"/>
          <w:sz w:val="24"/>
          <w:szCs w:val="24"/>
        </w:rPr>
        <w:t>安全防范措施进行管理；根据车间生产过程</w:t>
      </w:r>
      <w:r>
        <w:rPr>
          <w:rFonts w:ascii="宋体" w:hAnsi="宋体" w:eastAsia="宋体" w:cs="宋体"/>
          <w:sz w:val="24"/>
          <w:szCs w:val="24"/>
        </w:rPr>
        <w:t xml:space="preserve"> </w:t>
      </w:r>
      <w:r>
        <w:rPr>
          <w:rFonts w:ascii="宋体" w:hAnsi="宋体" w:eastAsia="宋体" w:cs="宋体"/>
          <w:spacing w:val="-1"/>
          <w:sz w:val="24"/>
          <w:szCs w:val="24"/>
        </w:rPr>
        <w:t>中火灾、爆炸危险等级及毒物危害程度分级</w:t>
      </w:r>
      <w:r>
        <w:rPr>
          <w:rFonts w:ascii="宋体" w:hAnsi="宋体" w:eastAsia="宋体" w:cs="宋体"/>
          <w:spacing w:val="-2"/>
          <w:sz w:val="24"/>
          <w:szCs w:val="24"/>
        </w:rPr>
        <w:t>进行分类、分区布置。除此之外，厂区结合</w:t>
      </w:r>
      <w:r>
        <w:rPr>
          <w:rFonts w:ascii="宋体" w:hAnsi="宋体" w:eastAsia="宋体" w:cs="宋体"/>
          <w:sz w:val="24"/>
          <w:szCs w:val="24"/>
        </w:rPr>
        <w:t xml:space="preserve"> </w:t>
      </w:r>
      <w:r>
        <w:rPr>
          <w:rFonts w:ascii="宋体" w:hAnsi="宋体" w:eastAsia="宋体" w:cs="宋体"/>
          <w:spacing w:val="-1"/>
          <w:sz w:val="24"/>
          <w:szCs w:val="24"/>
        </w:rPr>
        <w:t>交通、消防的需要，装置区周围设置消防通</w:t>
      </w:r>
      <w:r>
        <w:rPr>
          <w:rFonts w:ascii="宋体" w:hAnsi="宋体" w:eastAsia="宋体" w:cs="宋体"/>
          <w:spacing w:val="-2"/>
          <w:sz w:val="24"/>
          <w:szCs w:val="24"/>
        </w:rPr>
        <w:t>道，以满足工艺流程、厂内外运输、检修及</w:t>
      </w:r>
      <w:r>
        <w:rPr>
          <w:rFonts w:ascii="宋体" w:hAnsi="宋体" w:eastAsia="宋体" w:cs="宋体"/>
          <w:sz w:val="24"/>
          <w:szCs w:val="24"/>
        </w:rPr>
        <w:t xml:space="preserve"> </w:t>
      </w:r>
      <w:r>
        <w:rPr>
          <w:rFonts w:ascii="宋体" w:hAnsi="宋体" w:eastAsia="宋体" w:cs="宋体"/>
          <w:spacing w:val="-1"/>
          <w:sz w:val="24"/>
          <w:szCs w:val="24"/>
        </w:rPr>
        <w:t>生产管理的要求。厂区内地势平坦、道路畅通、布局合理。</w:t>
      </w:r>
    </w:p>
    <w:p w14:paraId="5452469F">
      <w:pPr>
        <w:spacing w:before="35" w:line="220" w:lineRule="auto"/>
        <w:ind w:left="543"/>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）建筑安全防范措施</w:t>
      </w:r>
    </w:p>
    <w:p w14:paraId="25FFF183">
      <w:pPr>
        <w:spacing w:before="194" w:line="219" w:lineRule="auto"/>
        <w:ind w:left="534"/>
        <w:rPr>
          <w:rFonts w:ascii="宋体" w:hAnsi="宋体" w:eastAsia="宋体" w:cs="宋体"/>
          <w:sz w:val="24"/>
          <w:szCs w:val="24"/>
        </w:rPr>
      </w:pPr>
      <w:r>
        <w:rPr>
          <w:rFonts w:ascii="宋体" w:hAnsi="宋体" w:eastAsia="宋体" w:cs="宋体"/>
          <w:spacing w:val="-2"/>
          <w:sz w:val="24"/>
          <w:szCs w:val="24"/>
        </w:rPr>
        <w:t>生产车间耐火等级为二级，所有建构筑物抗震设防为丙类，设防烈度为</w:t>
      </w:r>
      <w:r>
        <w:rPr>
          <w:rFonts w:ascii="宋体" w:hAnsi="宋体" w:eastAsia="宋体" w:cs="宋体"/>
          <w:spacing w:val="-47"/>
          <w:sz w:val="24"/>
          <w:szCs w:val="24"/>
        </w:rPr>
        <w:t xml:space="preserve"> </w:t>
      </w:r>
      <w:r>
        <w:rPr>
          <w:rFonts w:ascii="Times New Roman" w:hAnsi="Times New Roman" w:eastAsia="Times New Roman" w:cs="Times New Roman"/>
          <w:spacing w:val="-2"/>
          <w:sz w:val="24"/>
          <w:szCs w:val="24"/>
        </w:rPr>
        <w:t xml:space="preserve">6 </w:t>
      </w:r>
      <w:r>
        <w:rPr>
          <w:rFonts w:ascii="宋体" w:hAnsi="宋体" w:eastAsia="宋体" w:cs="宋体"/>
          <w:spacing w:val="-2"/>
          <w:sz w:val="24"/>
          <w:szCs w:val="24"/>
        </w:rPr>
        <w:t>度，结构</w:t>
      </w:r>
    </w:p>
    <w:p w14:paraId="13E4DD56">
      <w:pPr>
        <w:spacing w:line="219" w:lineRule="auto"/>
        <w:rPr>
          <w:rFonts w:ascii="宋体" w:hAnsi="宋体" w:eastAsia="宋体" w:cs="宋体"/>
          <w:sz w:val="24"/>
          <w:szCs w:val="24"/>
        </w:rPr>
        <w:sectPr>
          <w:headerReference r:id="rId416" w:type="default"/>
          <w:footerReference r:id="rId417" w:type="default"/>
          <w:pgSz w:w="11906" w:h="16839"/>
          <w:pgMar w:top="1191" w:right="1337" w:bottom="1221" w:left="1372" w:header="882" w:footer="1059" w:gutter="0"/>
          <w:cols w:space="720" w:num="1"/>
        </w:sectPr>
      </w:pPr>
    </w:p>
    <w:p w14:paraId="2637DA11">
      <w:pPr>
        <w:spacing w:line="28" w:lineRule="exact"/>
      </w:pPr>
      <w:r>
        <w:pict>
          <v:shape id="_x0000_s1952" o:spid="_x0000_s1952" style="height:1.45pt;width:453.65pt;" fillcolor="#000000" filled="t" stroked="f" coordsize="9072,29" path="m0,0l9072,0,9072,28,0,28,0,0xe">
            <v:path/>
            <v:fill on="t" focussize="0,0"/>
            <v:stroke on="f"/>
            <v:imagedata o:title=""/>
            <o:lock v:ext="edit"/>
            <w10:wrap type="none"/>
            <w10:anchorlock/>
          </v:shape>
        </w:pict>
      </w:r>
    </w:p>
    <w:p w14:paraId="7A95D656">
      <w:pPr>
        <w:spacing w:before="318" w:line="359" w:lineRule="auto"/>
        <w:ind w:left="9" w:right="6" w:firstLine="3"/>
        <w:jc w:val="both"/>
        <w:rPr>
          <w:rFonts w:ascii="宋体" w:hAnsi="宋体" w:eastAsia="宋体" w:cs="宋体"/>
          <w:sz w:val="24"/>
          <w:szCs w:val="24"/>
        </w:rPr>
      </w:pPr>
      <w:r>
        <w:rPr>
          <w:rFonts w:ascii="宋体" w:hAnsi="宋体" w:eastAsia="宋体" w:cs="宋体"/>
          <w:spacing w:val="-2"/>
          <w:sz w:val="24"/>
          <w:szCs w:val="24"/>
        </w:rPr>
        <w:t>安全等级为二级。在电炉车间内、煤气净化装置区、煤气柜、球团系统、烧结系统、煤</w:t>
      </w:r>
      <w:r>
        <w:rPr>
          <w:rFonts w:ascii="宋体" w:hAnsi="宋体" w:eastAsia="宋体" w:cs="宋体"/>
          <w:spacing w:val="12"/>
          <w:sz w:val="24"/>
          <w:szCs w:val="24"/>
        </w:rPr>
        <w:t xml:space="preserve"> </w:t>
      </w:r>
      <w:r>
        <w:rPr>
          <w:rFonts w:ascii="宋体" w:hAnsi="宋体" w:eastAsia="宋体" w:cs="宋体"/>
          <w:spacing w:val="4"/>
          <w:sz w:val="24"/>
          <w:szCs w:val="24"/>
        </w:rPr>
        <w:t>气输送路线区以及煤气发电生产设备都安装</w:t>
      </w:r>
      <w:r>
        <w:rPr>
          <w:rFonts w:ascii="宋体" w:hAnsi="宋体" w:eastAsia="宋体" w:cs="宋体"/>
          <w:spacing w:val="-46"/>
          <w:sz w:val="24"/>
          <w:szCs w:val="24"/>
        </w:rPr>
        <w:t xml:space="preserve"> </w:t>
      </w:r>
      <w:r>
        <w:rPr>
          <w:rFonts w:ascii="Times New Roman" w:hAnsi="Times New Roman" w:eastAsia="Times New Roman" w:cs="Times New Roman"/>
          <w:sz w:val="24"/>
          <w:szCs w:val="24"/>
        </w:rPr>
        <w:t>CO</w:t>
      </w:r>
      <w:r>
        <w:rPr>
          <w:rFonts w:ascii="Times New Roman" w:hAnsi="Times New Roman" w:eastAsia="Times New Roman" w:cs="Times New Roman"/>
          <w:spacing w:val="4"/>
          <w:sz w:val="24"/>
          <w:szCs w:val="24"/>
        </w:rPr>
        <w:t xml:space="preserve"> </w:t>
      </w:r>
      <w:r>
        <w:rPr>
          <w:rFonts w:ascii="宋体" w:hAnsi="宋体" w:eastAsia="宋体" w:cs="宋体"/>
          <w:spacing w:val="4"/>
          <w:sz w:val="24"/>
          <w:szCs w:val="24"/>
        </w:rPr>
        <w:t>监测报警探测器，并将信号送至</w:t>
      </w:r>
      <w:r>
        <w:rPr>
          <w:rFonts w:ascii="宋体" w:hAnsi="宋体" w:eastAsia="宋体" w:cs="宋体"/>
          <w:spacing w:val="-49"/>
          <w:sz w:val="24"/>
          <w:szCs w:val="24"/>
        </w:rPr>
        <w:t xml:space="preserve"> </w:t>
      </w:r>
      <w:r>
        <w:rPr>
          <w:rFonts w:ascii="Times New Roman" w:hAnsi="Times New Roman" w:eastAsia="Times New Roman" w:cs="Times New Roman"/>
          <w:sz w:val="24"/>
          <w:szCs w:val="24"/>
        </w:rPr>
        <w:t xml:space="preserve">DCS </w:t>
      </w:r>
      <w:r>
        <w:rPr>
          <w:rFonts w:ascii="宋体" w:hAnsi="宋体" w:eastAsia="宋体" w:cs="宋体"/>
          <w:spacing w:val="-1"/>
          <w:sz w:val="24"/>
          <w:szCs w:val="24"/>
        </w:rPr>
        <w:t>系统显示及报警，以保证生产及人身安全。</w:t>
      </w:r>
    </w:p>
    <w:p w14:paraId="014F67BF">
      <w:pPr>
        <w:spacing w:before="33"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）地面硬化及事故废水收集措施</w:t>
      </w:r>
    </w:p>
    <w:p w14:paraId="3C615B1C">
      <w:pPr>
        <w:spacing w:before="193" w:line="359" w:lineRule="auto"/>
        <w:ind w:left="7" w:firstLine="483"/>
        <w:jc w:val="both"/>
        <w:rPr>
          <w:rFonts w:ascii="宋体" w:hAnsi="宋体" w:eastAsia="宋体" w:cs="宋体"/>
          <w:sz w:val="24"/>
          <w:szCs w:val="24"/>
        </w:rPr>
      </w:pPr>
      <w:r>
        <w:rPr>
          <w:rFonts w:ascii="宋体" w:hAnsi="宋体" w:eastAsia="宋体" w:cs="宋体"/>
          <w:spacing w:val="-2"/>
          <w:sz w:val="24"/>
          <w:szCs w:val="24"/>
        </w:rPr>
        <w:t>水淬池、应急事故水池、生产装置区等均应为硬化地面，并采取相应的防渗措施。</w:t>
      </w:r>
      <w:r>
        <w:rPr>
          <w:rFonts w:ascii="宋体" w:hAnsi="宋体" w:eastAsia="宋体" w:cs="宋体"/>
          <w:spacing w:val="18"/>
          <w:sz w:val="24"/>
          <w:szCs w:val="24"/>
        </w:rPr>
        <w:t xml:space="preserve"> </w:t>
      </w:r>
      <w:r>
        <w:rPr>
          <w:rFonts w:ascii="宋体" w:hAnsi="宋体" w:eastAsia="宋体" w:cs="宋体"/>
          <w:spacing w:val="-2"/>
          <w:sz w:val="24"/>
          <w:szCs w:val="24"/>
        </w:rPr>
        <w:t>在四周设废水收集沟，收集沟与项目事故水池相连。确保发生事故时，灭火时产生的废</w:t>
      </w:r>
      <w:r>
        <w:rPr>
          <w:rFonts w:ascii="宋体" w:hAnsi="宋体" w:eastAsia="宋体" w:cs="宋体"/>
          <w:spacing w:val="18"/>
          <w:sz w:val="24"/>
          <w:szCs w:val="24"/>
        </w:rPr>
        <w:t xml:space="preserve"> </w:t>
      </w:r>
      <w:r>
        <w:rPr>
          <w:rFonts w:ascii="宋体" w:hAnsi="宋体" w:eastAsia="宋体" w:cs="宋体"/>
          <w:sz w:val="24"/>
          <w:szCs w:val="24"/>
        </w:rPr>
        <w:t>水可完全被收集处理，不会通过渗透和地表径流</w:t>
      </w:r>
      <w:r>
        <w:rPr>
          <w:rFonts w:ascii="宋体" w:hAnsi="宋体" w:eastAsia="宋体" w:cs="宋体"/>
          <w:spacing w:val="-1"/>
          <w:sz w:val="24"/>
          <w:szCs w:val="24"/>
        </w:rPr>
        <w:t>污染地下水和地表水。</w:t>
      </w:r>
    </w:p>
    <w:p w14:paraId="229E8774">
      <w:pPr>
        <w:spacing w:before="92" w:line="221" w:lineRule="auto"/>
        <w:ind w:left="8"/>
        <w:outlineLvl w:val="2"/>
        <w:rPr>
          <w:rFonts w:ascii="宋体" w:hAnsi="宋体" w:eastAsia="宋体" w:cs="宋体"/>
          <w:sz w:val="28"/>
          <w:szCs w:val="28"/>
        </w:rPr>
      </w:pPr>
      <w:bookmarkStart w:id="417" w:name="bookmark302"/>
      <w:bookmarkEnd w:id="417"/>
      <w:r>
        <w:rPr>
          <w:rFonts w:ascii="Times New Roman" w:hAnsi="Times New Roman" w:eastAsia="Times New Roman" w:cs="Times New Roman"/>
          <w:b/>
          <w:bCs/>
          <w:spacing w:val="-2"/>
          <w:sz w:val="28"/>
          <w:szCs w:val="28"/>
        </w:rPr>
        <w:t xml:space="preserve">5.7.3 </w:t>
      </w:r>
      <w:r>
        <w:rPr>
          <w:rFonts w:ascii="宋体" w:hAnsi="宋体" w:eastAsia="宋体" w:cs="宋体"/>
          <w:b/>
          <w:bCs/>
          <w:spacing w:val="-2"/>
          <w:sz w:val="28"/>
          <w:szCs w:val="28"/>
        </w:rPr>
        <w:t>装置设备和工艺安全</w:t>
      </w:r>
    </w:p>
    <w:p w14:paraId="36F4A123">
      <w:pPr>
        <w:spacing w:before="244" w:line="347" w:lineRule="auto"/>
        <w:ind w:left="7" w:right="8"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）工艺流程设计，应尽量减少工艺流程中危险废物和危险物料的存量；建立完</w:t>
      </w:r>
      <w:r>
        <w:rPr>
          <w:rFonts w:ascii="宋体" w:hAnsi="宋体" w:eastAsia="宋体" w:cs="宋体"/>
          <w:spacing w:val="13"/>
          <w:sz w:val="24"/>
          <w:szCs w:val="24"/>
        </w:rPr>
        <w:t xml:space="preserve"> </w:t>
      </w:r>
      <w:r>
        <w:rPr>
          <w:rFonts w:ascii="宋体" w:hAnsi="宋体" w:eastAsia="宋体" w:cs="宋体"/>
          <w:spacing w:val="-2"/>
          <w:sz w:val="24"/>
          <w:szCs w:val="24"/>
        </w:rPr>
        <w:t>整的工艺规程和操作法，工艺规程中除了考虑正常开停车、正常操作外，还应考虑异常</w:t>
      </w:r>
      <w:r>
        <w:rPr>
          <w:rFonts w:ascii="宋体" w:hAnsi="宋体" w:eastAsia="宋体" w:cs="宋体"/>
          <w:spacing w:val="18"/>
          <w:sz w:val="24"/>
          <w:szCs w:val="24"/>
        </w:rPr>
        <w:t xml:space="preserve"> </w:t>
      </w:r>
      <w:r>
        <w:rPr>
          <w:rFonts w:ascii="宋体" w:hAnsi="宋体" w:eastAsia="宋体" w:cs="宋体"/>
          <w:spacing w:val="-2"/>
          <w:sz w:val="24"/>
          <w:szCs w:val="24"/>
        </w:rPr>
        <w:t>操作处理及紧急事故处理的安全措施和设施；严格控制各单元反应的操作温度，操作压</w:t>
      </w:r>
      <w:r>
        <w:rPr>
          <w:rFonts w:ascii="宋体" w:hAnsi="宋体" w:eastAsia="宋体" w:cs="宋体"/>
          <w:spacing w:val="18"/>
          <w:sz w:val="24"/>
          <w:szCs w:val="24"/>
        </w:rPr>
        <w:t xml:space="preserve"> </w:t>
      </w:r>
      <w:r>
        <w:rPr>
          <w:rFonts w:ascii="宋体" w:hAnsi="宋体" w:eastAsia="宋体" w:cs="宋体"/>
          <w:spacing w:val="-2"/>
          <w:sz w:val="24"/>
          <w:szCs w:val="24"/>
        </w:rPr>
        <w:t>力和加料速度等工艺指标，要尽可能采取具体的防范措施，防止工艺指标的失控；对主</w:t>
      </w:r>
      <w:r>
        <w:rPr>
          <w:rFonts w:ascii="宋体" w:hAnsi="宋体" w:eastAsia="宋体" w:cs="宋体"/>
          <w:spacing w:val="18"/>
          <w:sz w:val="24"/>
          <w:szCs w:val="24"/>
        </w:rPr>
        <w:t xml:space="preserve"> </w:t>
      </w:r>
      <w:r>
        <w:rPr>
          <w:rFonts w:ascii="宋体" w:hAnsi="宋体" w:eastAsia="宋体" w:cs="宋体"/>
          <w:spacing w:val="-2"/>
          <w:sz w:val="24"/>
          <w:szCs w:val="24"/>
        </w:rPr>
        <w:t>要危险操作过程采取温度、压力等在线检测，确保整个过程符合工艺安全要求；所有设</w:t>
      </w:r>
      <w:r>
        <w:rPr>
          <w:rFonts w:ascii="宋体" w:hAnsi="宋体" w:eastAsia="宋体" w:cs="宋体"/>
          <w:spacing w:val="18"/>
          <w:sz w:val="24"/>
          <w:szCs w:val="24"/>
        </w:rPr>
        <w:t xml:space="preserve"> </w:t>
      </w:r>
      <w:r>
        <w:rPr>
          <w:rFonts w:ascii="宋体" w:hAnsi="宋体" w:eastAsia="宋体" w:cs="宋体"/>
          <w:spacing w:val="-2"/>
          <w:sz w:val="24"/>
          <w:szCs w:val="24"/>
        </w:rPr>
        <w:t>备、管道的法兰必须有消除静电的跨接措施。设备和管线必须防静电接地，电阻值应符</w:t>
      </w:r>
      <w:r>
        <w:rPr>
          <w:rFonts w:ascii="宋体" w:hAnsi="宋体" w:eastAsia="宋体" w:cs="宋体"/>
          <w:spacing w:val="18"/>
          <w:sz w:val="24"/>
          <w:szCs w:val="24"/>
        </w:rPr>
        <w:t xml:space="preserve"> </w:t>
      </w:r>
      <w:r>
        <w:rPr>
          <w:rFonts w:ascii="宋体" w:hAnsi="宋体" w:eastAsia="宋体" w:cs="宋体"/>
          <w:spacing w:val="-2"/>
          <w:sz w:val="24"/>
          <w:szCs w:val="24"/>
        </w:rPr>
        <w:t>合规定的要求。</w:t>
      </w:r>
    </w:p>
    <w:p w14:paraId="4124BA40">
      <w:pPr>
        <w:spacing w:before="195" w:line="293" w:lineRule="auto"/>
        <w:ind w:left="12" w:right="8" w:firstLine="487"/>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）所有管道系统均必须按有关标准进行良好设计、制作及安装，必须由当地有</w:t>
      </w:r>
      <w:r>
        <w:rPr>
          <w:rFonts w:ascii="宋体" w:hAnsi="宋体" w:eastAsia="宋体" w:cs="宋体"/>
          <w:spacing w:val="13"/>
          <w:sz w:val="24"/>
          <w:szCs w:val="24"/>
        </w:rPr>
        <w:t xml:space="preserve"> </w:t>
      </w:r>
      <w:r>
        <w:rPr>
          <w:rFonts w:ascii="宋体" w:hAnsi="宋体" w:eastAsia="宋体" w:cs="宋体"/>
          <w:sz w:val="24"/>
          <w:szCs w:val="24"/>
        </w:rPr>
        <w:t>关质检部门进行验收并通过后方能投入使用</w:t>
      </w:r>
      <w:r>
        <w:rPr>
          <w:rFonts w:ascii="宋体" w:hAnsi="宋体" w:eastAsia="宋体" w:cs="宋体"/>
          <w:spacing w:val="-1"/>
          <w:sz w:val="24"/>
          <w:szCs w:val="24"/>
        </w:rPr>
        <w:t>。物料输送管线要定期试压检漏。</w:t>
      </w:r>
    </w:p>
    <w:p w14:paraId="4876B637">
      <w:pPr>
        <w:spacing w:before="194" w:line="331" w:lineRule="auto"/>
        <w:ind w:left="8"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）压力容器、压力管道等特种设备，应按《压力容器设计规范》的规定，由有</w:t>
      </w:r>
      <w:r>
        <w:rPr>
          <w:rFonts w:ascii="宋体" w:hAnsi="宋体" w:eastAsia="宋体" w:cs="宋体"/>
          <w:spacing w:val="14"/>
          <w:sz w:val="24"/>
          <w:szCs w:val="24"/>
        </w:rPr>
        <w:t xml:space="preserve"> </w:t>
      </w:r>
      <w:r>
        <w:rPr>
          <w:rFonts w:ascii="宋体" w:hAnsi="宋体" w:eastAsia="宋体" w:cs="宋体"/>
          <w:spacing w:val="-2"/>
          <w:sz w:val="24"/>
          <w:szCs w:val="24"/>
        </w:rPr>
        <w:t>相应资质的单位设计、制造、安装；高温和低温设备及管道外部均需包绝缘材料；输送</w:t>
      </w:r>
      <w:r>
        <w:rPr>
          <w:rFonts w:ascii="宋体" w:hAnsi="宋体" w:eastAsia="宋体" w:cs="宋体"/>
          <w:spacing w:val="17"/>
          <w:sz w:val="24"/>
          <w:szCs w:val="24"/>
        </w:rPr>
        <w:t xml:space="preserve"> </w:t>
      </w:r>
      <w:r>
        <w:rPr>
          <w:rFonts w:ascii="宋体" w:hAnsi="宋体" w:eastAsia="宋体" w:cs="宋体"/>
          <w:spacing w:val="-1"/>
          <w:sz w:val="24"/>
          <w:szCs w:val="24"/>
        </w:rPr>
        <w:t>的设备和管道应设计用非燃材料保温；高温设备和管道应</w:t>
      </w:r>
      <w:r>
        <w:rPr>
          <w:rFonts w:ascii="宋体" w:hAnsi="宋体" w:eastAsia="宋体" w:cs="宋体"/>
          <w:spacing w:val="-2"/>
          <w:sz w:val="24"/>
          <w:szCs w:val="24"/>
        </w:rPr>
        <w:t>设立隔离栏，并有警示标志。</w:t>
      </w:r>
      <w:r>
        <w:rPr>
          <w:rFonts w:ascii="宋体" w:hAnsi="宋体" w:eastAsia="宋体" w:cs="宋体"/>
          <w:sz w:val="24"/>
          <w:szCs w:val="24"/>
        </w:rPr>
        <w:t xml:space="preserve"> 建设项目的压力容器必须建立其技术档案及其相关的安全操</w:t>
      </w:r>
      <w:r>
        <w:rPr>
          <w:rFonts w:ascii="宋体" w:hAnsi="宋体" w:eastAsia="宋体" w:cs="宋体"/>
          <w:spacing w:val="-1"/>
          <w:sz w:val="24"/>
          <w:szCs w:val="24"/>
        </w:rPr>
        <w:t>作规程和安全管理制度。</w:t>
      </w:r>
    </w:p>
    <w:p w14:paraId="45B3BAF3">
      <w:pPr>
        <w:spacing w:before="193" w:line="293" w:lineRule="auto"/>
        <w:ind w:left="23" w:right="66" w:firstLine="476"/>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4</w:t>
      </w:r>
      <w:r>
        <w:rPr>
          <w:rFonts w:ascii="宋体" w:hAnsi="宋体" w:eastAsia="宋体" w:cs="宋体"/>
          <w:sz w:val="24"/>
          <w:szCs w:val="24"/>
        </w:rPr>
        <w:t>）排气筒专设避雷针，高出厂房的金属设备及管道均考虑</w:t>
      </w:r>
      <w:r>
        <w:rPr>
          <w:rFonts w:ascii="宋体" w:hAnsi="宋体" w:eastAsia="宋体" w:cs="宋体"/>
          <w:spacing w:val="-1"/>
          <w:sz w:val="24"/>
          <w:szCs w:val="24"/>
        </w:rPr>
        <w:t>防雷接地以防雷击，</w:t>
      </w:r>
      <w:r>
        <w:rPr>
          <w:rFonts w:ascii="宋体" w:hAnsi="宋体" w:eastAsia="宋体" w:cs="宋体"/>
          <w:sz w:val="24"/>
          <w:szCs w:val="24"/>
        </w:rPr>
        <w:t xml:space="preserve"> </w:t>
      </w:r>
      <w:r>
        <w:rPr>
          <w:rFonts w:ascii="宋体" w:hAnsi="宋体" w:eastAsia="宋体" w:cs="宋体"/>
          <w:spacing w:val="-1"/>
          <w:sz w:val="24"/>
          <w:szCs w:val="24"/>
        </w:rPr>
        <w:t>防雷击措施应符合《建筑物防雷设计规范》（</w:t>
      </w:r>
      <w:r>
        <w:rPr>
          <w:rFonts w:ascii="Times New Roman" w:hAnsi="Times New Roman" w:eastAsia="Times New Roman" w:cs="Times New Roman"/>
          <w:spacing w:val="-1"/>
          <w:sz w:val="24"/>
          <w:szCs w:val="24"/>
        </w:rPr>
        <w:t>GB50057-2010</w:t>
      </w:r>
      <w:r>
        <w:rPr>
          <w:rFonts w:ascii="宋体" w:hAnsi="宋体" w:eastAsia="宋体" w:cs="宋体"/>
          <w:spacing w:val="-1"/>
          <w:sz w:val="24"/>
          <w:szCs w:val="24"/>
        </w:rPr>
        <w:t>）的规定。</w:t>
      </w:r>
    </w:p>
    <w:p w14:paraId="414C621A">
      <w:pPr>
        <w:spacing w:before="196" w:line="338" w:lineRule="auto"/>
        <w:ind w:left="8" w:right="8"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）生产装置的供电、供水、供风等公用设施必须满足正常生产和事故状态下的</w:t>
      </w:r>
      <w:r>
        <w:rPr>
          <w:rFonts w:ascii="宋体" w:hAnsi="宋体" w:eastAsia="宋体" w:cs="宋体"/>
          <w:spacing w:val="13"/>
          <w:sz w:val="24"/>
          <w:szCs w:val="24"/>
        </w:rPr>
        <w:t xml:space="preserve"> </w:t>
      </w:r>
      <w:r>
        <w:rPr>
          <w:rFonts w:ascii="宋体" w:hAnsi="宋体" w:eastAsia="宋体" w:cs="宋体"/>
          <w:spacing w:val="-3"/>
          <w:sz w:val="24"/>
          <w:szCs w:val="24"/>
        </w:rPr>
        <w:t>要求，并符合有关防爆法规、标准的规定；保</w:t>
      </w:r>
      <w:r>
        <w:rPr>
          <w:rFonts w:ascii="宋体" w:hAnsi="宋体" w:eastAsia="宋体" w:cs="宋体"/>
          <w:spacing w:val="-4"/>
          <w:sz w:val="24"/>
          <w:szCs w:val="24"/>
        </w:rPr>
        <w:t>温夹套管及表面温度超过</w:t>
      </w:r>
      <w:r>
        <w:rPr>
          <w:rFonts w:ascii="宋体" w:hAnsi="宋体" w:eastAsia="宋体" w:cs="宋体"/>
          <w:spacing w:val="-49"/>
          <w:sz w:val="24"/>
          <w:szCs w:val="24"/>
        </w:rPr>
        <w:t xml:space="preserve"> </w:t>
      </w:r>
      <w:r>
        <w:rPr>
          <w:rFonts w:ascii="Times New Roman" w:hAnsi="Times New Roman" w:eastAsia="Times New Roman" w:cs="Times New Roman"/>
          <w:spacing w:val="-4"/>
          <w:sz w:val="24"/>
          <w:szCs w:val="24"/>
        </w:rPr>
        <w:t>50℃</w:t>
      </w:r>
      <w:r>
        <w:rPr>
          <w:rFonts w:ascii="宋体" w:hAnsi="宋体" w:eastAsia="宋体" w:cs="宋体"/>
          <w:spacing w:val="-4"/>
          <w:sz w:val="24"/>
          <w:szCs w:val="24"/>
        </w:rPr>
        <w:t>的设备。均</w:t>
      </w:r>
      <w:r>
        <w:rPr>
          <w:rFonts w:ascii="宋体" w:hAnsi="宋体" w:eastAsia="宋体" w:cs="宋体"/>
          <w:sz w:val="24"/>
          <w:szCs w:val="24"/>
        </w:rPr>
        <w:t xml:space="preserve"> </w:t>
      </w:r>
      <w:r>
        <w:rPr>
          <w:rFonts w:ascii="宋体" w:hAnsi="宋体" w:eastAsia="宋体" w:cs="宋体"/>
          <w:spacing w:val="-2"/>
          <w:sz w:val="24"/>
          <w:szCs w:val="24"/>
        </w:rPr>
        <w:t>需采用保温绝热措施，并加强管理，因为检修等原因损坏的，必须及时恢复。施工时严</w:t>
      </w:r>
      <w:r>
        <w:rPr>
          <w:rFonts w:ascii="宋体" w:hAnsi="宋体" w:eastAsia="宋体" w:cs="宋体"/>
          <w:spacing w:val="17"/>
          <w:sz w:val="24"/>
          <w:szCs w:val="24"/>
        </w:rPr>
        <w:t xml:space="preserve"> </w:t>
      </w:r>
      <w:r>
        <w:rPr>
          <w:rFonts w:ascii="宋体" w:hAnsi="宋体" w:eastAsia="宋体" w:cs="宋体"/>
          <w:spacing w:val="-2"/>
          <w:sz w:val="24"/>
          <w:szCs w:val="24"/>
        </w:rPr>
        <w:t>格执行《工业管道工程施工及验收规范》，防止因施工导致车间管道、阀门破裂而产生</w:t>
      </w:r>
      <w:r>
        <w:rPr>
          <w:rFonts w:ascii="宋体" w:hAnsi="宋体" w:eastAsia="宋体" w:cs="宋体"/>
          <w:spacing w:val="17"/>
          <w:sz w:val="24"/>
          <w:szCs w:val="24"/>
        </w:rPr>
        <w:t xml:space="preserve"> </w:t>
      </w:r>
      <w:r>
        <w:rPr>
          <w:rFonts w:ascii="宋体" w:hAnsi="宋体" w:eastAsia="宋体" w:cs="宋体"/>
          <w:spacing w:val="-2"/>
          <w:sz w:val="24"/>
          <w:szCs w:val="24"/>
        </w:rPr>
        <w:t>泄露事件。</w:t>
      </w:r>
    </w:p>
    <w:p w14:paraId="2EE11992">
      <w:pPr>
        <w:spacing w:before="195" w:line="219" w:lineRule="auto"/>
        <w:ind w:right="8"/>
        <w:jc w:val="right"/>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6</w:t>
      </w:r>
      <w:r>
        <w:rPr>
          <w:rFonts w:ascii="宋体" w:hAnsi="宋体" w:eastAsia="宋体" w:cs="宋体"/>
          <w:spacing w:val="1"/>
          <w:sz w:val="24"/>
          <w:szCs w:val="24"/>
        </w:rPr>
        <w:t>）进入厂区人员应穿戴好个人安全防护用品。同时工作服要达到</w:t>
      </w:r>
      <w:r>
        <w:rPr>
          <w:rFonts w:ascii="Times New Roman" w:hAnsi="Times New Roman" w:eastAsia="Times New Roman" w:cs="Times New Roman"/>
          <w:spacing w:val="1"/>
          <w:sz w:val="24"/>
          <w:szCs w:val="24"/>
        </w:rPr>
        <w:t>“</w:t>
      </w:r>
      <w:r>
        <w:rPr>
          <w:rFonts w:ascii="宋体" w:hAnsi="宋体" w:eastAsia="宋体" w:cs="宋体"/>
          <w:spacing w:val="1"/>
          <w:sz w:val="24"/>
          <w:szCs w:val="24"/>
        </w:rPr>
        <w:t>三紧</w:t>
      </w:r>
      <w:r>
        <w:rPr>
          <w:rFonts w:ascii="Times New Roman" w:hAnsi="Times New Roman" w:eastAsia="Times New Roman" w:cs="Times New Roman"/>
          <w:spacing w:val="1"/>
          <w:sz w:val="24"/>
          <w:szCs w:val="24"/>
        </w:rPr>
        <w:t>”</w:t>
      </w:r>
      <w:r>
        <w:rPr>
          <w:rFonts w:ascii="Times New Roman" w:hAnsi="Times New Roman" w:eastAsia="Times New Roman" w:cs="Times New Roman"/>
          <w:spacing w:val="-20"/>
          <w:sz w:val="24"/>
          <w:szCs w:val="24"/>
        </w:rPr>
        <w:t xml:space="preserve"> </w:t>
      </w:r>
      <w:r>
        <w:rPr>
          <w:rFonts w:ascii="宋体" w:hAnsi="宋体" w:eastAsia="宋体" w:cs="宋体"/>
          <w:spacing w:val="1"/>
          <w:sz w:val="24"/>
          <w:szCs w:val="24"/>
        </w:rPr>
        <w:t>，女职</w:t>
      </w:r>
    </w:p>
    <w:p w14:paraId="268D0373">
      <w:pPr>
        <w:spacing w:line="219" w:lineRule="auto"/>
        <w:rPr>
          <w:rFonts w:ascii="宋体" w:hAnsi="宋体" w:eastAsia="宋体" w:cs="宋体"/>
          <w:sz w:val="24"/>
          <w:szCs w:val="24"/>
        </w:rPr>
        <w:sectPr>
          <w:headerReference r:id="rId418" w:type="default"/>
          <w:footerReference r:id="rId419" w:type="default"/>
          <w:pgSz w:w="11906" w:h="16839"/>
          <w:pgMar w:top="1191" w:right="1409" w:bottom="1221" w:left="1417" w:header="882" w:footer="1059" w:gutter="0"/>
          <w:cols w:space="720" w:num="1"/>
        </w:sectPr>
      </w:pPr>
    </w:p>
    <w:p w14:paraId="11B02797">
      <w:pPr>
        <w:spacing w:line="28" w:lineRule="exact"/>
      </w:pPr>
      <w:r>
        <w:pict>
          <v:shape id="_x0000_s1954" o:spid="_x0000_s1954" style="height:1.45pt;width:453.65pt;" fillcolor="#000000" filled="t" stroked="f" coordsize="9072,29" path="m0,0l9072,0,9072,28,0,28,0,0xe">
            <v:path/>
            <v:fill on="t" focussize="0,0"/>
            <v:stroke on="f"/>
            <v:imagedata o:title=""/>
            <o:lock v:ext="edit"/>
            <w10:wrap type="none"/>
            <w10:anchorlock/>
          </v:shape>
        </w:pict>
      </w:r>
    </w:p>
    <w:p w14:paraId="62F89215">
      <w:pPr>
        <w:spacing w:before="318" w:line="361" w:lineRule="auto"/>
        <w:ind w:left="11" w:right="80"/>
        <w:jc w:val="both"/>
        <w:rPr>
          <w:rFonts w:ascii="宋体" w:hAnsi="宋体" w:eastAsia="宋体" w:cs="宋体"/>
          <w:sz w:val="24"/>
          <w:szCs w:val="24"/>
        </w:rPr>
      </w:pPr>
      <w:r>
        <w:rPr>
          <w:rFonts w:ascii="宋体" w:hAnsi="宋体" w:eastAsia="宋体" w:cs="宋体"/>
          <w:spacing w:val="-2"/>
          <w:sz w:val="24"/>
          <w:szCs w:val="24"/>
        </w:rPr>
        <w:t>工的长发要束在安全帽内，以防意外事故的发生。生产时，必须为高温岗位提供相应的</w:t>
      </w:r>
      <w:r>
        <w:rPr>
          <w:rFonts w:ascii="宋体" w:hAnsi="宋体" w:eastAsia="宋体" w:cs="宋体"/>
          <w:spacing w:val="14"/>
          <w:sz w:val="24"/>
          <w:szCs w:val="24"/>
        </w:rPr>
        <w:t xml:space="preserve"> </w:t>
      </w:r>
      <w:r>
        <w:rPr>
          <w:rFonts w:ascii="宋体" w:hAnsi="宋体" w:eastAsia="宋体" w:cs="宋体"/>
          <w:spacing w:val="-2"/>
          <w:sz w:val="24"/>
          <w:szCs w:val="24"/>
        </w:rPr>
        <w:t>劳动防护用品，并建立职工健康档案，定期对职工进行体检。操作电气设备的电工必须</w:t>
      </w:r>
      <w:r>
        <w:rPr>
          <w:rFonts w:ascii="宋体" w:hAnsi="宋体" w:eastAsia="宋体" w:cs="宋体"/>
          <w:spacing w:val="13"/>
          <w:sz w:val="24"/>
          <w:szCs w:val="24"/>
        </w:rPr>
        <w:t xml:space="preserve"> </w:t>
      </w:r>
      <w:r>
        <w:rPr>
          <w:rFonts w:ascii="宋体" w:hAnsi="宋体" w:eastAsia="宋体" w:cs="宋体"/>
          <w:spacing w:val="-2"/>
          <w:sz w:val="24"/>
          <w:szCs w:val="24"/>
        </w:rPr>
        <w:t>穿绝缘鞋、戴绝缘手套，并有监护人。对于高温高热岗位，应划出警示区域或设置防屏</w:t>
      </w:r>
      <w:r>
        <w:rPr>
          <w:rFonts w:ascii="宋体" w:hAnsi="宋体" w:eastAsia="宋体" w:cs="宋体"/>
          <w:spacing w:val="13"/>
          <w:sz w:val="24"/>
          <w:szCs w:val="24"/>
        </w:rPr>
        <w:t xml:space="preserve"> </w:t>
      </w:r>
      <w:r>
        <w:rPr>
          <w:rFonts w:ascii="宋体" w:hAnsi="宋体" w:eastAsia="宋体" w:cs="宋体"/>
          <w:spacing w:val="-1"/>
          <w:sz w:val="24"/>
          <w:szCs w:val="24"/>
        </w:rPr>
        <w:t>蔽设施，防止人员受到热物料高温烫伤。</w:t>
      </w:r>
    </w:p>
    <w:p w14:paraId="634295EC">
      <w:pPr>
        <w:spacing w:before="92" w:line="220" w:lineRule="auto"/>
        <w:ind w:left="8"/>
        <w:outlineLvl w:val="2"/>
        <w:rPr>
          <w:rFonts w:ascii="宋体" w:hAnsi="宋体" w:eastAsia="宋体" w:cs="宋体"/>
          <w:sz w:val="28"/>
          <w:szCs w:val="28"/>
        </w:rPr>
      </w:pPr>
      <w:bookmarkStart w:id="418" w:name="bookmark304"/>
      <w:bookmarkEnd w:id="418"/>
      <w:r>
        <w:rPr>
          <w:rFonts w:ascii="Times New Roman" w:hAnsi="Times New Roman" w:eastAsia="Times New Roman" w:cs="Times New Roman"/>
          <w:b/>
          <w:bCs/>
          <w:spacing w:val="-2"/>
          <w:sz w:val="28"/>
          <w:szCs w:val="28"/>
        </w:rPr>
        <w:t xml:space="preserve">5.7.4 </w:t>
      </w:r>
      <w:r>
        <w:rPr>
          <w:rFonts w:ascii="宋体" w:hAnsi="宋体" w:eastAsia="宋体" w:cs="宋体"/>
          <w:b/>
          <w:bCs/>
          <w:spacing w:val="-2"/>
          <w:sz w:val="28"/>
          <w:szCs w:val="28"/>
        </w:rPr>
        <w:t>危险物质储运操作风险防范措施</w:t>
      </w:r>
    </w:p>
    <w:p w14:paraId="50DF60DB">
      <w:pPr>
        <w:spacing w:before="243" w:line="364" w:lineRule="auto"/>
        <w:ind w:left="9" w:right="18" w:firstLine="481"/>
        <w:jc w:val="both"/>
        <w:rPr>
          <w:rFonts w:ascii="宋体" w:hAnsi="宋体" w:eastAsia="宋体" w:cs="宋体"/>
          <w:sz w:val="24"/>
          <w:szCs w:val="24"/>
        </w:rPr>
      </w:pPr>
      <w:r>
        <w:rPr>
          <w:rFonts w:ascii="宋体" w:hAnsi="宋体" w:eastAsia="宋体" w:cs="宋体"/>
          <w:spacing w:val="-2"/>
          <w:sz w:val="24"/>
          <w:szCs w:val="24"/>
        </w:rPr>
        <w:t>危险化学品必须根据各自的性质制定合理的操作规范、工作程序，并将操作规程张</w:t>
      </w:r>
      <w:r>
        <w:rPr>
          <w:rFonts w:ascii="宋体" w:hAnsi="宋体" w:eastAsia="宋体" w:cs="宋体"/>
          <w:spacing w:val="10"/>
          <w:sz w:val="24"/>
          <w:szCs w:val="24"/>
        </w:rPr>
        <w:t xml:space="preserve"> </w:t>
      </w:r>
      <w:r>
        <w:rPr>
          <w:rFonts w:ascii="宋体" w:hAnsi="宋体" w:eastAsia="宋体" w:cs="宋体"/>
          <w:spacing w:val="-6"/>
          <w:sz w:val="24"/>
          <w:szCs w:val="24"/>
        </w:rPr>
        <w:t>贴在对应工段的显眼位置，以便随时可查看。根据各自的性质必须配备合理的防</w:t>
      </w:r>
      <w:r>
        <w:rPr>
          <w:rFonts w:ascii="宋体" w:hAnsi="宋体" w:eastAsia="宋体" w:cs="宋体"/>
          <w:spacing w:val="-7"/>
          <w:sz w:val="24"/>
          <w:szCs w:val="24"/>
        </w:rPr>
        <w:t>护措施，</w:t>
      </w:r>
      <w:r>
        <w:rPr>
          <w:rFonts w:ascii="宋体" w:hAnsi="宋体" w:eastAsia="宋体" w:cs="宋体"/>
          <w:sz w:val="24"/>
          <w:szCs w:val="24"/>
        </w:rPr>
        <w:t xml:space="preserve"> </w:t>
      </w:r>
      <w:r>
        <w:rPr>
          <w:rFonts w:ascii="宋体" w:hAnsi="宋体" w:eastAsia="宋体" w:cs="宋体"/>
          <w:spacing w:val="-2"/>
          <w:sz w:val="24"/>
          <w:szCs w:val="24"/>
        </w:rPr>
        <w:t>并对操作工人进行严格的培训，严格要求各操作工人佩戴防护措施，熟练掌握操作技巧</w:t>
      </w:r>
      <w:r>
        <w:rPr>
          <w:rFonts w:ascii="宋体" w:hAnsi="宋体" w:eastAsia="宋体" w:cs="宋体"/>
          <w:spacing w:val="16"/>
          <w:sz w:val="24"/>
          <w:szCs w:val="24"/>
        </w:rPr>
        <w:t xml:space="preserve"> </w:t>
      </w:r>
      <w:r>
        <w:rPr>
          <w:rFonts w:ascii="宋体" w:hAnsi="宋体" w:eastAsia="宋体" w:cs="宋体"/>
          <w:spacing w:val="-2"/>
          <w:sz w:val="24"/>
          <w:szCs w:val="24"/>
        </w:rPr>
        <w:t>和工艺，减少因人为失误造成的风险事故。根据各工段、各物质性质的不同，确定在各</w:t>
      </w:r>
      <w:r>
        <w:rPr>
          <w:rFonts w:ascii="宋体" w:hAnsi="宋体" w:eastAsia="宋体" w:cs="宋体"/>
          <w:spacing w:val="16"/>
          <w:sz w:val="24"/>
          <w:szCs w:val="24"/>
        </w:rPr>
        <w:t xml:space="preserve"> </w:t>
      </w:r>
      <w:r>
        <w:rPr>
          <w:rFonts w:ascii="宋体" w:hAnsi="宋体" w:eastAsia="宋体" w:cs="宋体"/>
          <w:spacing w:val="-2"/>
          <w:sz w:val="24"/>
          <w:szCs w:val="24"/>
        </w:rPr>
        <w:t>工段配备、放置合理的风险处理物资，风险处理物资必须在车间显眼处，并标示，以便</w:t>
      </w:r>
      <w:r>
        <w:rPr>
          <w:rFonts w:ascii="宋体" w:hAnsi="宋体" w:eastAsia="宋体" w:cs="宋体"/>
          <w:spacing w:val="16"/>
          <w:sz w:val="24"/>
          <w:szCs w:val="24"/>
        </w:rPr>
        <w:t xml:space="preserve"> </w:t>
      </w:r>
      <w:r>
        <w:rPr>
          <w:rFonts w:ascii="宋体" w:hAnsi="宋体" w:eastAsia="宋体" w:cs="宋体"/>
          <w:spacing w:val="-2"/>
          <w:sz w:val="24"/>
          <w:szCs w:val="24"/>
        </w:rPr>
        <w:t>随时可以启用。</w:t>
      </w:r>
    </w:p>
    <w:p w14:paraId="0E20E75D">
      <w:pPr>
        <w:spacing w:before="31" w:line="364" w:lineRule="auto"/>
        <w:ind w:left="7" w:right="18" w:firstLine="480"/>
        <w:rPr>
          <w:rFonts w:ascii="宋体" w:hAnsi="宋体" w:eastAsia="宋体" w:cs="宋体"/>
          <w:sz w:val="24"/>
          <w:szCs w:val="24"/>
        </w:rPr>
      </w:pPr>
      <w:r>
        <w:rPr>
          <w:rFonts w:ascii="宋体" w:hAnsi="宋体" w:eastAsia="宋体" w:cs="宋体"/>
          <w:sz w:val="24"/>
          <w:szCs w:val="24"/>
        </w:rPr>
        <w:t>在煤气鼓风机空气总管末端安装放散管及爆破膜，在煤气低压总管上设有爆破膜，</w:t>
      </w:r>
      <w:r>
        <w:rPr>
          <w:rFonts w:ascii="宋体" w:hAnsi="宋体" w:eastAsia="宋体" w:cs="宋体"/>
          <w:spacing w:val="4"/>
          <w:sz w:val="24"/>
          <w:szCs w:val="24"/>
        </w:rPr>
        <w:t xml:space="preserve"> </w:t>
      </w:r>
      <w:r>
        <w:rPr>
          <w:rFonts w:ascii="宋体" w:hAnsi="宋体" w:eastAsia="宋体" w:cs="宋体"/>
          <w:spacing w:val="-2"/>
          <w:sz w:val="24"/>
          <w:szCs w:val="24"/>
        </w:rPr>
        <w:t>在万一遇到爆炸事故时起泄压作用，以保护设备及管道系统；在煤气出口管道上安装钟</w:t>
      </w:r>
      <w:r>
        <w:rPr>
          <w:rFonts w:ascii="宋体" w:hAnsi="宋体" w:eastAsia="宋体" w:cs="宋体"/>
          <w:spacing w:val="18"/>
          <w:sz w:val="24"/>
          <w:szCs w:val="24"/>
        </w:rPr>
        <w:t xml:space="preserve"> </w:t>
      </w:r>
      <w:r>
        <w:rPr>
          <w:rFonts w:ascii="宋体" w:hAnsi="宋体" w:eastAsia="宋体" w:cs="宋体"/>
          <w:spacing w:val="-6"/>
          <w:sz w:val="24"/>
          <w:szCs w:val="24"/>
        </w:rPr>
        <w:t>罩阀，当煤气压力超过规定值时，钟罩阀打开放散；为使工艺参数在即将超过某一极</w:t>
      </w:r>
      <w:r>
        <w:rPr>
          <w:rFonts w:ascii="宋体" w:hAnsi="宋体" w:eastAsia="宋体" w:cs="宋体"/>
          <w:spacing w:val="-7"/>
          <w:sz w:val="24"/>
          <w:szCs w:val="24"/>
        </w:rPr>
        <w:t>限，</w:t>
      </w:r>
      <w:r>
        <w:rPr>
          <w:rFonts w:ascii="宋体" w:hAnsi="宋体" w:eastAsia="宋体" w:cs="宋体"/>
          <w:sz w:val="24"/>
          <w:szCs w:val="24"/>
        </w:rPr>
        <w:t xml:space="preserve"> </w:t>
      </w:r>
      <w:r>
        <w:rPr>
          <w:rFonts w:ascii="宋体" w:hAnsi="宋体" w:eastAsia="宋体" w:cs="宋体"/>
          <w:spacing w:val="-2"/>
          <w:sz w:val="24"/>
          <w:szCs w:val="24"/>
        </w:rPr>
        <w:t>或生产过程中将处于某一危险状态前，内自动将有关生产过程和设备置于安全的临时状</w:t>
      </w:r>
      <w:r>
        <w:rPr>
          <w:rFonts w:ascii="宋体" w:hAnsi="宋体" w:eastAsia="宋体" w:cs="宋体"/>
          <w:spacing w:val="18"/>
          <w:sz w:val="24"/>
          <w:szCs w:val="24"/>
        </w:rPr>
        <w:t xml:space="preserve"> </w:t>
      </w:r>
      <w:r>
        <w:rPr>
          <w:rFonts w:ascii="宋体" w:hAnsi="宋体" w:eastAsia="宋体" w:cs="宋体"/>
          <w:spacing w:val="-2"/>
          <w:sz w:val="24"/>
          <w:szCs w:val="24"/>
        </w:rPr>
        <w:t>态，以防酿成设备损坏、人员伤亡等重大事故，电器控制系统采用安全连锁装置。由连</w:t>
      </w:r>
      <w:r>
        <w:rPr>
          <w:rFonts w:ascii="宋体" w:hAnsi="宋体" w:eastAsia="宋体" w:cs="宋体"/>
          <w:spacing w:val="18"/>
          <w:sz w:val="24"/>
          <w:szCs w:val="24"/>
        </w:rPr>
        <w:t xml:space="preserve"> </w:t>
      </w:r>
      <w:r>
        <w:rPr>
          <w:rFonts w:ascii="宋体" w:hAnsi="宋体" w:eastAsia="宋体" w:cs="宋体"/>
          <w:spacing w:val="-1"/>
          <w:sz w:val="24"/>
          <w:szCs w:val="24"/>
        </w:rPr>
        <w:t>锁保护（启动连锁、停车连锁、行动连锁）、信号报警组成。</w:t>
      </w:r>
    </w:p>
    <w:p w14:paraId="7F5DF333">
      <w:pPr>
        <w:spacing w:before="94" w:line="220" w:lineRule="auto"/>
        <w:ind w:left="8"/>
        <w:outlineLvl w:val="2"/>
        <w:rPr>
          <w:rFonts w:ascii="宋体" w:hAnsi="宋体" w:eastAsia="宋体" w:cs="宋体"/>
          <w:sz w:val="28"/>
          <w:szCs w:val="28"/>
        </w:rPr>
      </w:pPr>
      <w:bookmarkStart w:id="419" w:name="bookmark306"/>
      <w:bookmarkEnd w:id="419"/>
      <w:r>
        <w:rPr>
          <w:rFonts w:ascii="Times New Roman" w:hAnsi="Times New Roman" w:eastAsia="Times New Roman" w:cs="Times New Roman"/>
          <w:b/>
          <w:bCs/>
          <w:spacing w:val="-2"/>
          <w:sz w:val="28"/>
          <w:szCs w:val="28"/>
        </w:rPr>
        <w:t xml:space="preserve">5.7.5 </w:t>
      </w:r>
      <w:r>
        <w:rPr>
          <w:rFonts w:ascii="宋体" w:hAnsi="宋体" w:eastAsia="宋体" w:cs="宋体"/>
          <w:b/>
          <w:bCs/>
          <w:spacing w:val="-2"/>
          <w:sz w:val="28"/>
          <w:szCs w:val="28"/>
        </w:rPr>
        <w:t>消防及火灾报警系统</w:t>
      </w:r>
    </w:p>
    <w:p w14:paraId="2D14152A">
      <w:pPr>
        <w:spacing w:before="243" w:line="356" w:lineRule="auto"/>
        <w:ind w:left="12" w:firstLine="569"/>
        <w:rPr>
          <w:rFonts w:ascii="宋体" w:hAnsi="宋体" w:eastAsia="宋体" w:cs="宋体"/>
          <w:sz w:val="24"/>
          <w:szCs w:val="24"/>
        </w:rPr>
      </w:pPr>
      <w:r>
        <w:rPr>
          <w:rFonts w:ascii="宋体" w:hAnsi="宋体" w:eastAsia="宋体" w:cs="宋体"/>
          <w:spacing w:val="-4"/>
          <w:sz w:val="24"/>
          <w:szCs w:val="24"/>
        </w:rPr>
        <w:t>（</w:t>
      </w:r>
      <w:r>
        <w:rPr>
          <w:rFonts w:ascii="宋体" w:hAnsi="宋体" w:eastAsia="宋体" w:cs="宋体"/>
          <w:spacing w:val="-53"/>
          <w:sz w:val="24"/>
          <w:szCs w:val="24"/>
        </w:rPr>
        <w:t xml:space="preserve"> </w:t>
      </w:r>
      <w:r>
        <w:rPr>
          <w:rFonts w:ascii="Times New Roman" w:hAnsi="Times New Roman" w:eastAsia="Times New Roman" w:cs="Times New Roman"/>
          <w:spacing w:val="-4"/>
          <w:sz w:val="24"/>
          <w:szCs w:val="24"/>
        </w:rPr>
        <w:t xml:space="preserve">1 </w:t>
      </w:r>
      <w:r>
        <w:rPr>
          <w:rFonts w:ascii="宋体" w:hAnsi="宋体" w:eastAsia="宋体" w:cs="宋体"/>
          <w:spacing w:val="-4"/>
          <w:sz w:val="24"/>
          <w:szCs w:val="24"/>
        </w:rPr>
        <w:t>）根据火灾危险性等级和防火、防爆要求，建筑物的</w:t>
      </w:r>
      <w:r>
        <w:rPr>
          <w:rFonts w:ascii="宋体" w:hAnsi="宋体" w:eastAsia="宋体" w:cs="宋体"/>
          <w:spacing w:val="-5"/>
          <w:sz w:val="24"/>
          <w:szCs w:val="24"/>
        </w:rPr>
        <w:t>防火等级均应采用国家现</w:t>
      </w:r>
      <w:r>
        <w:rPr>
          <w:rFonts w:ascii="宋体" w:hAnsi="宋体" w:eastAsia="宋体" w:cs="宋体"/>
          <w:sz w:val="24"/>
          <w:szCs w:val="24"/>
        </w:rPr>
        <w:t xml:space="preserve"> </w:t>
      </w:r>
      <w:r>
        <w:rPr>
          <w:rFonts w:ascii="宋体" w:hAnsi="宋体" w:eastAsia="宋体" w:cs="宋体"/>
          <w:spacing w:val="-6"/>
          <w:sz w:val="24"/>
          <w:szCs w:val="24"/>
        </w:rPr>
        <w:t>行规范要求按一、二级耐火等级设计，满足建筑防火要求。凡禁火区均设置明显标志牌。</w:t>
      </w:r>
    </w:p>
    <w:p w14:paraId="326B590D">
      <w:pPr>
        <w:spacing w:before="33" w:line="307" w:lineRule="auto"/>
        <w:ind w:left="10" w:right="80"/>
        <w:jc w:val="both"/>
        <w:rPr>
          <w:rFonts w:ascii="宋体" w:hAnsi="宋体" w:eastAsia="宋体" w:cs="宋体"/>
          <w:sz w:val="24"/>
          <w:szCs w:val="24"/>
        </w:rPr>
      </w:pPr>
      <w:r>
        <w:rPr>
          <w:rFonts w:ascii="宋体" w:hAnsi="宋体" w:eastAsia="宋体" w:cs="宋体"/>
          <w:spacing w:val="-2"/>
          <w:sz w:val="24"/>
          <w:szCs w:val="24"/>
        </w:rPr>
        <w:t>各种易燃易爆物料均储存在阴凉、通风处，远离火源；安放易发生爆炸设备的房间，不</w:t>
      </w:r>
      <w:r>
        <w:rPr>
          <w:rFonts w:ascii="宋体" w:hAnsi="宋体" w:eastAsia="宋体" w:cs="宋体"/>
          <w:spacing w:val="14"/>
          <w:sz w:val="24"/>
          <w:szCs w:val="24"/>
        </w:rPr>
        <w:t xml:space="preserve"> </w:t>
      </w:r>
      <w:r>
        <w:rPr>
          <w:rFonts w:ascii="宋体" w:hAnsi="宋体" w:eastAsia="宋体" w:cs="宋体"/>
          <w:spacing w:val="-2"/>
          <w:sz w:val="24"/>
          <w:szCs w:val="24"/>
        </w:rPr>
        <w:t>允许任何人员随便入内，操作全部在控制室进行。安全出口及安全疏散距离应符合《</w:t>
      </w:r>
      <w:r>
        <w:fldChar w:fldCharType="begin"/>
      </w:r>
      <w:r>
        <w:instrText xml:space="preserve"> HYPERLINK "https://baike.baidu.com/item/%E5%BB%BA%E7%AD%91%E9%98%B2%E7%81%AB%E9%80%9A%E7%94%A8%E8%A7%84%E8%8C%83/62602720?fromModule=lemma_inlink" </w:instrText>
      </w:r>
      <w:r>
        <w:fldChar w:fldCharType="separate"/>
      </w:r>
      <w:r>
        <w:rPr>
          <w:rFonts w:ascii="宋体" w:hAnsi="宋体" w:eastAsia="宋体" w:cs="宋体"/>
          <w:spacing w:val="-2"/>
          <w:sz w:val="24"/>
          <w:szCs w:val="24"/>
        </w:rPr>
        <w:t>建</w:t>
      </w:r>
      <w:r>
        <w:rPr>
          <w:rFonts w:ascii="宋体" w:hAnsi="宋体" w:eastAsia="宋体" w:cs="宋体"/>
          <w:spacing w:val="-2"/>
          <w:sz w:val="24"/>
          <w:szCs w:val="24"/>
        </w:rPr>
        <w:fldChar w:fldCharType="end"/>
      </w:r>
      <w:r>
        <w:rPr>
          <w:rFonts w:ascii="宋体" w:hAnsi="宋体" w:eastAsia="宋体" w:cs="宋体"/>
          <w:spacing w:val="15"/>
          <w:sz w:val="24"/>
          <w:szCs w:val="24"/>
        </w:rPr>
        <w:t xml:space="preserve"> </w:t>
      </w:r>
      <w:r>
        <w:fldChar w:fldCharType="begin"/>
      </w:r>
      <w:r>
        <w:instrText xml:space="preserve"> HYPERLINK "https://baike.baidu.com/item/%E5%BB%BA%E7%AD%91%E9%98%B2%E7%81%AB%E9%80%9A%E7%94%A8%E8%A7%84%E8%8C%83/62602720?fromModule=lemma_inlink" </w:instrText>
      </w:r>
      <w:r>
        <w:fldChar w:fldCharType="separate"/>
      </w:r>
      <w:r>
        <w:rPr>
          <w:rFonts w:ascii="宋体" w:hAnsi="宋体" w:eastAsia="宋体" w:cs="宋体"/>
          <w:spacing w:val="-1"/>
          <w:sz w:val="24"/>
          <w:szCs w:val="24"/>
        </w:rPr>
        <w:t>筑防火通用规范</w:t>
      </w:r>
      <w:r>
        <w:rPr>
          <w:rFonts w:ascii="宋体" w:hAnsi="宋体" w:eastAsia="宋体" w:cs="宋体"/>
          <w:spacing w:val="-1"/>
          <w:sz w:val="24"/>
          <w:szCs w:val="24"/>
        </w:rPr>
        <w:fldChar w:fldCharType="end"/>
      </w:r>
      <w:r>
        <w:rPr>
          <w:rFonts w:ascii="宋体" w:hAnsi="宋体" w:eastAsia="宋体" w:cs="宋体"/>
          <w:spacing w:val="-1"/>
          <w:sz w:val="24"/>
          <w:szCs w:val="24"/>
        </w:rPr>
        <w:t>》（</w:t>
      </w:r>
      <w:r>
        <w:rPr>
          <w:rFonts w:ascii="Times New Roman" w:hAnsi="Times New Roman" w:eastAsia="Times New Roman" w:cs="Times New Roman"/>
          <w:spacing w:val="-1"/>
          <w:sz w:val="24"/>
          <w:szCs w:val="24"/>
        </w:rPr>
        <w:t>GB 55037-2022</w:t>
      </w:r>
      <w:r>
        <w:rPr>
          <w:rFonts w:ascii="宋体" w:hAnsi="宋体" w:eastAsia="宋体" w:cs="宋体"/>
          <w:spacing w:val="-1"/>
          <w:sz w:val="24"/>
          <w:szCs w:val="24"/>
        </w:rPr>
        <w:t>）的要求。</w:t>
      </w:r>
    </w:p>
    <w:p w14:paraId="51DC31FA">
      <w:pPr>
        <w:spacing w:before="118" w:line="374" w:lineRule="auto"/>
        <w:ind w:left="8" w:right="79" w:firstLine="491"/>
        <w:jc w:val="both"/>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）本项目应根据《</w:t>
      </w:r>
      <w:r>
        <w:fldChar w:fldCharType="begin"/>
      </w:r>
      <w:r>
        <w:instrText xml:space="preserve"> HYPERLINK "https://baike.baidu.com/item/%E5%BB%BA%E7%AD%91%E9%98%B2%E7%81%AB%E9%80%9A%E7%94%A8%E8%A7%84%E8%8C%83/62602720?fromModule=lemma_inlink" </w:instrText>
      </w:r>
      <w:r>
        <w:fldChar w:fldCharType="separate"/>
      </w:r>
      <w:r>
        <w:rPr>
          <w:rFonts w:ascii="宋体" w:hAnsi="宋体" w:eastAsia="宋体" w:cs="宋体"/>
          <w:spacing w:val="-1"/>
          <w:sz w:val="24"/>
          <w:szCs w:val="24"/>
        </w:rPr>
        <w:t>建筑防火通用规范</w:t>
      </w:r>
      <w:r>
        <w:rPr>
          <w:rFonts w:ascii="宋体" w:hAnsi="宋体" w:eastAsia="宋体" w:cs="宋体"/>
          <w:spacing w:val="-1"/>
          <w:sz w:val="24"/>
          <w:szCs w:val="24"/>
        </w:rPr>
        <w:fldChar w:fldCharType="end"/>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GB </w:t>
      </w:r>
      <w:r>
        <w:rPr>
          <w:rFonts w:ascii="Times New Roman" w:hAnsi="Times New Roman" w:eastAsia="Times New Roman" w:cs="Times New Roman"/>
          <w:spacing w:val="-2"/>
          <w:sz w:val="24"/>
          <w:szCs w:val="24"/>
        </w:rPr>
        <w:t>55037-2022</w:t>
      </w:r>
      <w:r>
        <w:rPr>
          <w:rFonts w:ascii="宋体" w:hAnsi="宋体" w:eastAsia="宋体" w:cs="宋体"/>
          <w:spacing w:val="-2"/>
          <w:sz w:val="24"/>
          <w:szCs w:val="24"/>
        </w:rPr>
        <w:t>）的要求设置消防栓、</w:t>
      </w:r>
      <w:r>
        <w:rPr>
          <w:rFonts w:ascii="宋体" w:hAnsi="宋体" w:eastAsia="宋体" w:cs="宋体"/>
          <w:sz w:val="24"/>
          <w:szCs w:val="24"/>
        </w:rPr>
        <w:t xml:space="preserve"> </w:t>
      </w:r>
      <w:r>
        <w:rPr>
          <w:rFonts w:ascii="宋体" w:hAnsi="宋体" w:eastAsia="宋体" w:cs="宋体"/>
          <w:spacing w:val="-2"/>
          <w:sz w:val="24"/>
          <w:szCs w:val="24"/>
        </w:rPr>
        <w:t>消防水池、灭火器等设施；消防水是独立的稳高压消防水管网，消防水管道沿装置及辅</w:t>
      </w:r>
      <w:r>
        <w:rPr>
          <w:rFonts w:ascii="宋体" w:hAnsi="宋体" w:eastAsia="宋体" w:cs="宋体"/>
          <w:spacing w:val="17"/>
          <w:sz w:val="24"/>
          <w:szCs w:val="24"/>
        </w:rPr>
        <w:t xml:space="preserve"> </w:t>
      </w:r>
      <w:r>
        <w:rPr>
          <w:rFonts w:ascii="宋体" w:hAnsi="宋体" w:eastAsia="宋体" w:cs="宋体"/>
          <w:spacing w:val="12"/>
          <w:sz w:val="24"/>
          <w:szCs w:val="24"/>
        </w:rPr>
        <w:t>助生产设施周围布置，在管道上按照规范要求配置消火栓</w:t>
      </w:r>
      <w:r>
        <w:rPr>
          <w:rFonts w:ascii="宋体" w:hAnsi="宋体" w:eastAsia="宋体" w:cs="宋体"/>
          <w:spacing w:val="11"/>
          <w:sz w:val="24"/>
          <w:szCs w:val="24"/>
        </w:rPr>
        <w:t>。灭火器应尽量采用泡沫</w:t>
      </w:r>
      <w:r>
        <w:rPr>
          <w:rFonts w:ascii="宋体" w:hAnsi="宋体" w:eastAsia="宋体" w:cs="宋体"/>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AFFF</w:t>
      </w:r>
      <w:r>
        <w:rPr>
          <w:rFonts w:ascii="宋体" w:hAnsi="宋体" w:eastAsia="宋体" w:cs="宋体"/>
          <w:spacing w:val="-1"/>
          <w:sz w:val="24"/>
          <w:szCs w:val="24"/>
        </w:rPr>
        <w:t>（</w:t>
      </w:r>
      <w:r>
        <w:rPr>
          <w:rFonts w:ascii="Times New Roman" w:hAnsi="Times New Roman" w:eastAsia="Times New Roman" w:cs="Times New Roman"/>
          <w:spacing w:val="-1"/>
          <w:sz w:val="24"/>
          <w:szCs w:val="24"/>
        </w:rPr>
        <w:t>R</w:t>
      </w:r>
      <w:r>
        <w:rPr>
          <w:rFonts w:ascii="宋体" w:hAnsi="宋体" w:eastAsia="宋体" w:cs="宋体"/>
          <w:spacing w:val="-1"/>
          <w:sz w:val="24"/>
          <w:szCs w:val="24"/>
        </w:rPr>
        <w:t>）型）灭火系统或干粉灭火系统。</w:t>
      </w:r>
    </w:p>
    <w:p w14:paraId="4BDD858F">
      <w:pPr>
        <w:spacing w:before="90" w:line="219" w:lineRule="auto"/>
        <w:jc w:val="right"/>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）火灾报警系统：全厂采用电话报警，报警至消防局。根据需要设置报警装置。</w:t>
      </w:r>
    </w:p>
    <w:p w14:paraId="753F40CB">
      <w:pPr>
        <w:spacing w:line="219" w:lineRule="auto"/>
        <w:rPr>
          <w:rFonts w:ascii="宋体" w:hAnsi="宋体" w:eastAsia="宋体" w:cs="宋体"/>
          <w:sz w:val="24"/>
          <w:szCs w:val="24"/>
        </w:rPr>
        <w:sectPr>
          <w:headerReference r:id="rId420" w:type="default"/>
          <w:footerReference r:id="rId421" w:type="default"/>
          <w:pgSz w:w="11906" w:h="16839"/>
          <w:pgMar w:top="1191" w:right="1337" w:bottom="1221" w:left="1417" w:header="882" w:footer="1059" w:gutter="0"/>
          <w:cols w:space="720" w:num="1"/>
        </w:sectPr>
      </w:pPr>
    </w:p>
    <w:p w14:paraId="7BCD76A9">
      <w:pPr>
        <w:spacing w:line="28" w:lineRule="exact"/>
      </w:pPr>
      <w:r>
        <w:pict>
          <v:shape id="_x0000_s1956" o:spid="_x0000_s1956" style="height:1.45pt;width:453.65pt;" fillcolor="#000000" filled="t" stroked="f" coordsize="9072,29" path="m0,0l9072,0,9072,28,0,28,0,0xe">
            <v:path/>
            <v:fill on="t" focussize="0,0"/>
            <v:stroke on="f"/>
            <v:imagedata o:title=""/>
            <o:lock v:ext="edit"/>
            <w10:wrap type="none"/>
            <w10:anchorlock/>
          </v:shape>
        </w:pict>
      </w:r>
    </w:p>
    <w:p w14:paraId="70BE3430">
      <w:pPr>
        <w:spacing w:before="317" w:line="219" w:lineRule="auto"/>
        <w:ind w:left="10"/>
        <w:rPr>
          <w:rFonts w:ascii="宋体" w:hAnsi="宋体" w:eastAsia="宋体" w:cs="宋体"/>
          <w:sz w:val="24"/>
          <w:szCs w:val="24"/>
        </w:rPr>
      </w:pPr>
      <w:r>
        <w:rPr>
          <w:rFonts w:ascii="宋体" w:hAnsi="宋体" w:eastAsia="宋体" w:cs="宋体"/>
          <w:spacing w:val="-1"/>
          <w:sz w:val="24"/>
          <w:szCs w:val="24"/>
        </w:rPr>
        <w:t>火灾报警信号报至中心控制室，再由中心控制室报至消防局。</w:t>
      </w:r>
    </w:p>
    <w:p w14:paraId="0230F7C5">
      <w:pPr>
        <w:spacing w:before="251" w:line="219" w:lineRule="auto"/>
        <w:ind w:left="8"/>
        <w:outlineLvl w:val="2"/>
        <w:rPr>
          <w:rFonts w:ascii="宋体" w:hAnsi="宋体" w:eastAsia="宋体" w:cs="宋体"/>
          <w:sz w:val="28"/>
          <w:szCs w:val="28"/>
        </w:rPr>
      </w:pPr>
      <w:bookmarkStart w:id="420" w:name="bookmark308"/>
      <w:bookmarkEnd w:id="420"/>
      <w:r>
        <w:rPr>
          <w:rFonts w:ascii="Times New Roman" w:hAnsi="Times New Roman" w:eastAsia="Times New Roman" w:cs="Times New Roman"/>
          <w:b/>
          <w:bCs/>
          <w:spacing w:val="-2"/>
          <w:sz w:val="28"/>
          <w:szCs w:val="28"/>
        </w:rPr>
        <w:t xml:space="preserve">5.7.6  </w:t>
      </w:r>
      <w:r>
        <w:rPr>
          <w:rFonts w:ascii="宋体" w:hAnsi="宋体" w:eastAsia="宋体" w:cs="宋体"/>
          <w:b/>
          <w:bCs/>
          <w:spacing w:val="-2"/>
          <w:sz w:val="28"/>
          <w:szCs w:val="28"/>
        </w:rPr>
        <w:t>一氧化碳泄露应急处置措施</w:t>
      </w:r>
    </w:p>
    <w:p w14:paraId="33B1283D">
      <w:pPr>
        <w:spacing w:before="247" w:line="219" w:lineRule="auto"/>
        <w:ind w:left="499"/>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1</w:t>
      </w:r>
      <w:r>
        <w:rPr>
          <w:rFonts w:ascii="宋体" w:hAnsi="宋体" w:eastAsia="宋体" w:cs="宋体"/>
          <w:spacing w:val="-5"/>
          <w:sz w:val="24"/>
          <w:szCs w:val="24"/>
        </w:rPr>
        <w:t>）急救</w:t>
      </w:r>
    </w:p>
    <w:p w14:paraId="6FC01487">
      <w:pPr>
        <w:spacing w:before="198" w:line="365" w:lineRule="auto"/>
        <w:ind w:left="3" w:right="18" w:firstLine="485"/>
        <w:rPr>
          <w:rFonts w:ascii="宋体" w:hAnsi="宋体" w:eastAsia="宋体" w:cs="宋体"/>
          <w:sz w:val="24"/>
          <w:szCs w:val="24"/>
        </w:rPr>
      </w:pPr>
      <w:r>
        <w:rPr>
          <w:rFonts w:ascii="宋体" w:hAnsi="宋体" w:eastAsia="宋体" w:cs="宋体"/>
          <w:spacing w:val="-2"/>
          <w:sz w:val="24"/>
          <w:szCs w:val="24"/>
        </w:rPr>
        <w:t>迅速将患者移离中毒现场至通风处，松开衣领，注意保暖，密切观察意识状态。血</w:t>
      </w:r>
      <w:r>
        <w:rPr>
          <w:rFonts w:ascii="宋体" w:hAnsi="宋体" w:eastAsia="宋体" w:cs="宋体"/>
          <w:spacing w:val="13"/>
          <w:sz w:val="24"/>
          <w:szCs w:val="24"/>
        </w:rPr>
        <w:t xml:space="preserve"> </w:t>
      </w:r>
      <w:r>
        <w:rPr>
          <w:rFonts w:ascii="Times New Roman" w:hAnsi="Times New Roman" w:eastAsia="Times New Roman" w:cs="Times New Roman"/>
          <w:spacing w:val="-1"/>
          <w:sz w:val="24"/>
          <w:szCs w:val="24"/>
        </w:rPr>
        <w:t>HbCO</w:t>
      </w:r>
      <w:r>
        <w:rPr>
          <w:rFonts w:ascii="Times New Roman" w:hAnsi="Times New Roman" w:eastAsia="Times New Roman" w:cs="Times New Roman"/>
          <w:spacing w:val="17"/>
          <w:sz w:val="24"/>
          <w:szCs w:val="24"/>
        </w:rPr>
        <w:t xml:space="preserve"> </w:t>
      </w:r>
      <w:r>
        <w:rPr>
          <w:rFonts w:ascii="宋体" w:hAnsi="宋体" w:eastAsia="宋体" w:cs="宋体"/>
          <w:spacing w:val="-1"/>
          <w:sz w:val="24"/>
          <w:szCs w:val="24"/>
        </w:rPr>
        <w:t>系</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中毒唯一特异的化验指标，但只有及时测定才对诊断</w:t>
      </w:r>
      <w:r>
        <w:rPr>
          <w:rFonts w:ascii="宋体" w:hAnsi="宋体" w:eastAsia="宋体" w:cs="宋体"/>
          <w:spacing w:val="-2"/>
          <w:sz w:val="24"/>
          <w:szCs w:val="24"/>
        </w:rPr>
        <w:t>更有参考意义。脱离</w:t>
      </w:r>
      <w:r>
        <w:rPr>
          <w:rFonts w:ascii="宋体" w:hAnsi="宋体" w:eastAsia="宋体" w:cs="宋体"/>
          <w:sz w:val="24"/>
          <w:szCs w:val="24"/>
        </w:rPr>
        <w:t xml:space="preserve"> </w:t>
      </w:r>
      <w:r>
        <w:rPr>
          <w:rFonts w:ascii="宋体" w:hAnsi="宋体" w:eastAsia="宋体" w:cs="宋体"/>
          <w:spacing w:val="-5"/>
          <w:sz w:val="24"/>
          <w:szCs w:val="24"/>
        </w:rPr>
        <w:t>中毒环境</w:t>
      </w:r>
      <w:r>
        <w:rPr>
          <w:rFonts w:ascii="宋体" w:hAnsi="宋体" w:eastAsia="宋体" w:cs="宋体"/>
          <w:spacing w:val="-31"/>
          <w:sz w:val="24"/>
          <w:szCs w:val="24"/>
        </w:rPr>
        <w:t xml:space="preserve"> </w:t>
      </w:r>
      <w:r>
        <w:rPr>
          <w:rFonts w:ascii="Times New Roman" w:hAnsi="Times New Roman" w:eastAsia="Times New Roman" w:cs="Times New Roman"/>
          <w:spacing w:val="-5"/>
          <w:sz w:val="24"/>
          <w:szCs w:val="24"/>
        </w:rPr>
        <w:t>8</w:t>
      </w:r>
      <w:r>
        <w:rPr>
          <w:rFonts w:ascii="Times New Roman" w:hAnsi="Times New Roman" w:eastAsia="Times New Roman" w:cs="Times New Roman"/>
          <w:spacing w:val="16"/>
          <w:sz w:val="24"/>
          <w:szCs w:val="24"/>
        </w:rPr>
        <w:t xml:space="preserve"> </w:t>
      </w:r>
      <w:r>
        <w:rPr>
          <w:rFonts w:ascii="宋体" w:hAnsi="宋体" w:eastAsia="宋体" w:cs="宋体"/>
          <w:spacing w:val="-5"/>
          <w:sz w:val="24"/>
          <w:szCs w:val="24"/>
        </w:rPr>
        <w:t>小时以上患者，血中</w:t>
      </w:r>
      <w:r>
        <w:rPr>
          <w:rFonts w:ascii="宋体" w:hAnsi="宋体" w:eastAsia="宋体" w:cs="宋体"/>
          <w:spacing w:val="-56"/>
          <w:sz w:val="24"/>
          <w:szCs w:val="24"/>
        </w:rPr>
        <w:t xml:space="preserve"> </w:t>
      </w:r>
      <w:r>
        <w:rPr>
          <w:rFonts w:ascii="Times New Roman" w:hAnsi="Times New Roman" w:eastAsia="Times New Roman" w:cs="Times New Roman"/>
          <w:spacing w:val="-5"/>
          <w:sz w:val="24"/>
          <w:szCs w:val="24"/>
        </w:rPr>
        <w:t>HbCO</w:t>
      </w:r>
      <w:r>
        <w:rPr>
          <w:rFonts w:ascii="Times New Roman" w:hAnsi="Times New Roman" w:eastAsia="Times New Roman" w:cs="Times New Roman"/>
          <w:spacing w:val="23"/>
          <w:sz w:val="24"/>
          <w:szCs w:val="24"/>
        </w:rPr>
        <w:t xml:space="preserve"> </w:t>
      </w:r>
      <w:r>
        <w:rPr>
          <w:rFonts w:ascii="宋体" w:hAnsi="宋体" w:eastAsia="宋体" w:cs="宋体"/>
          <w:spacing w:val="-5"/>
          <w:sz w:val="24"/>
          <w:szCs w:val="24"/>
        </w:rPr>
        <w:t>多在</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10%</w:t>
      </w:r>
      <w:r>
        <w:rPr>
          <w:rFonts w:ascii="宋体" w:hAnsi="宋体" w:eastAsia="宋体" w:cs="宋体"/>
          <w:spacing w:val="-5"/>
          <w:sz w:val="24"/>
          <w:szCs w:val="24"/>
        </w:rPr>
        <w:t>以下。双波长分光光度法有较高的灵敏</w:t>
      </w:r>
      <w:r>
        <w:rPr>
          <w:rFonts w:ascii="宋体" w:hAnsi="宋体" w:eastAsia="宋体" w:cs="宋体"/>
          <w:sz w:val="24"/>
          <w:szCs w:val="24"/>
        </w:rPr>
        <w:t xml:space="preserve"> </w:t>
      </w:r>
      <w:r>
        <w:rPr>
          <w:rFonts w:ascii="宋体" w:hAnsi="宋体" w:eastAsia="宋体" w:cs="宋体"/>
          <w:spacing w:val="-2"/>
          <w:sz w:val="24"/>
          <w:szCs w:val="24"/>
        </w:rPr>
        <w:t>度及准确度，快速简便。及时有效给氧是急性</w:t>
      </w:r>
      <w:r>
        <w:rPr>
          <w:rFonts w:ascii="宋体" w:hAnsi="宋体" w:eastAsia="宋体" w:cs="宋体"/>
          <w:spacing w:val="-42"/>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中毒最重要的治疗原则。应用高压氧</w:t>
      </w:r>
      <w:r>
        <w:rPr>
          <w:rFonts w:ascii="宋体" w:hAnsi="宋体" w:eastAsia="宋体" w:cs="宋体"/>
          <w:sz w:val="24"/>
          <w:szCs w:val="24"/>
        </w:rPr>
        <w:t xml:space="preserve"> </w:t>
      </w:r>
      <w:r>
        <w:rPr>
          <w:rFonts w:ascii="宋体" w:hAnsi="宋体" w:eastAsia="宋体" w:cs="宋体"/>
          <w:spacing w:val="-3"/>
          <w:sz w:val="24"/>
          <w:szCs w:val="24"/>
        </w:rPr>
        <w:t>疗法</w:t>
      </w:r>
      <w:r>
        <w:rPr>
          <w:rFonts w:ascii="Times New Roman" w:hAnsi="Times New Roman" w:eastAsia="Times New Roman" w:cs="Times New Roman"/>
          <w:spacing w:val="-3"/>
          <w:sz w:val="24"/>
          <w:szCs w:val="24"/>
        </w:rPr>
        <w:t>,</w:t>
      </w:r>
      <w:r>
        <w:rPr>
          <w:rFonts w:ascii="宋体" w:hAnsi="宋体" w:eastAsia="宋体" w:cs="宋体"/>
          <w:spacing w:val="-3"/>
          <w:sz w:val="24"/>
          <w:szCs w:val="24"/>
        </w:rPr>
        <w:t>可加速患者血中</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HbCO</w:t>
      </w:r>
      <w:r>
        <w:rPr>
          <w:rFonts w:ascii="Times New Roman" w:hAnsi="Times New Roman" w:eastAsia="Times New Roman" w:cs="Times New Roman"/>
          <w:spacing w:val="29"/>
          <w:sz w:val="24"/>
          <w:szCs w:val="24"/>
        </w:rPr>
        <w:t xml:space="preserve"> </w:t>
      </w:r>
      <w:r>
        <w:rPr>
          <w:rFonts w:ascii="宋体" w:hAnsi="宋体" w:eastAsia="宋体" w:cs="宋体"/>
          <w:spacing w:val="-3"/>
          <w:sz w:val="24"/>
          <w:szCs w:val="24"/>
        </w:rPr>
        <w:t>的清除，迅速纠正组织缺氧。方法是用</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 xml:space="preserve">2~2.5 </w:t>
      </w:r>
      <w:r>
        <w:rPr>
          <w:rFonts w:ascii="宋体" w:hAnsi="宋体" w:eastAsia="宋体" w:cs="宋体"/>
          <w:spacing w:val="-3"/>
          <w:sz w:val="24"/>
          <w:szCs w:val="24"/>
        </w:rPr>
        <w:t>个大气压活瓣</w:t>
      </w:r>
      <w:r>
        <w:rPr>
          <w:rFonts w:ascii="宋体" w:hAnsi="宋体" w:eastAsia="宋体" w:cs="宋体"/>
          <w:sz w:val="24"/>
          <w:szCs w:val="24"/>
        </w:rPr>
        <w:t xml:space="preserve"> </w:t>
      </w:r>
      <w:r>
        <w:rPr>
          <w:rFonts w:ascii="宋体" w:hAnsi="宋体" w:eastAsia="宋体" w:cs="宋体"/>
          <w:spacing w:val="-2"/>
          <w:sz w:val="24"/>
          <w:szCs w:val="24"/>
        </w:rPr>
        <w:t>式面罩吸入纯氧</w:t>
      </w:r>
      <w:r>
        <w:rPr>
          <w:rFonts w:ascii="宋体" w:hAnsi="宋体" w:eastAsia="宋体" w:cs="宋体"/>
          <w:spacing w:val="-47"/>
          <w:sz w:val="24"/>
          <w:szCs w:val="24"/>
        </w:rPr>
        <w:t xml:space="preserve"> </w:t>
      </w:r>
      <w:r>
        <w:rPr>
          <w:rFonts w:ascii="Times New Roman" w:hAnsi="Times New Roman" w:eastAsia="Times New Roman" w:cs="Times New Roman"/>
          <w:spacing w:val="-2"/>
          <w:sz w:val="24"/>
          <w:szCs w:val="24"/>
        </w:rPr>
        <w:t xml:space="preserve">60 </w:t>
      </w:r>
      <w:r>
        <w:rPr>
          <w:rFonts w:ascii="宋体" w:hAnsi="宋体" w:eastAsia="宋体" w:cs="宋体"/>
          <w:spacing w:val="-2"/>
          <w:sz w:val="24"/>
          <w:szCs w:val="24"/>
        </w:rPr>
        <w:t>分钟，每日</w:t>
      </w:r>
      <w:r>
        <w:rPr>
          <w:rFonts w:ascii="宋体" w:hAnsi="宋体" w:eastAsia="宋体" w:cs="宋体"/>
          <w:spacing w:val="-30"/>
          <w:sz w:val="24"/>
          <w:szCs w:val="24"/>
        </w:rPr>
        <w:t xml:space="preserve"> </w:t>
      </w:r>
      <w:r>
        <w:rPr>
          <w:rFonts w:ascii="Times New Roman" w:hAnsi="Times New Roman" w:eastAsia="Times New Roman" w:cs="Times New Roman"/>
          <w:spacing w:val="-2"/>
          <w:sz w:val="24"/>
          <w:szCs w:val="24"/>
        </w:rPr>
        <w:t>1</w:t>
      </w:r>
      <w:r>
        <w:rPr>
          <w:rFonts w:ascii="Times New Roman" w:hAnsi="Times New Roman" w:eastAsia="Times New Roman" w:cs="Times New Roman"/>
          <w:spacing w:val="19"/>
          <w:sz w:val="24"/>
          <w:szCs w:val="24"/>
        </w:rPr>
        <w:t xml:space="preserve"> </w:t>
      </w:r>
      <w:r>
        <w:rPr>
          <w:rFonts w:ascii="宋体" w:hAnsi="宋体" w:eastAsia="宋体" w:cs="宋体"/>
          <w:spacing w:val="-2"/>
          <w:sz w:val="24"/>
          <w:szCs w:val="24"/>
        </w:rPr>
        <w:t>次，轻度中毒一般</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5~7</w:t>
      </w:r>
      <w:r>
        <w:rPr>
          <w:rFonts w:ascii="Times New Roman" w:hAnsi="Times New Roman" w:eastAsia="Times New Roman" w:cs="Times New Roman"/>
          <w:spacing w:val="18"/>
          <w:w w:val="101"/>
          <w:sz w:val="24"/>
          <w:szCs w:val="24"/>
        </w:rPr>
        <w:t xml:space="preserve"> </w:t>
      </w:r>
      <w:r>
        <w:rPr>
          <w:rFonts w:ascii="宋体" w:hAnsi="宋体" w:eastAsia="宋体" w:cs="宋体"/>
          <w:spacing w:val="-2"/>
          <w:sz w:val="24"/>
          <w:szCs w:val="24"/>
        </w:rPr>
        <w:t>次，中度中毒</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10</w:t>
      </w:r>
      <w:r>
        <w:rPr>
          <w:rFonts w:ascii="Times New Roman" w:hAnsi="Times New Roman" w:eastAsia="Times New Roman" w:cs="Times New Roman"/>
          <w:spacing w:val="-3"/>
          <w:sz w:val="24"/>
          <w:szCs w:val="24"/>
        </w:rPr>
        <w:t>~20</w:t>
      </w:r>
      <w:r>
        <w:rPr>
          <w:rFonts w:ascii="Times New Roman" w:hAnsi="Times New Roman" w:eastAsia="Times New Roman" w:cs="Times New Roman"/>
          <w:spacing w:val="18"/>
          <w:sz w:val="24"/>
          <w:szCs w:val="24"/>
        </w:rPr>
        <w:t xml:space="preserve"> </w:t>
      </w:r>
      <w:r>
        <w:rPr>
          <w:rFonts w:ascii="宋体" w:hAnsi="宋体" w:eastAsia="宋体" w:cs="宋体"/>
          <w:spacing w:val="-3"/>
          <w:sz w:val="24"/>
          <w:szCs w:val="24"/>
        </w:rPr>
        <w:t>次，重度</w:t>
      </w:r>
      <w:r>
        <w:rPr>
          <w:rFonts w:ascii="宋体" w:hAnsi="宋体" w:eastAsia="宋体" w:cs="宋体"/>
          <w:sz w:val="24"/>
          <w:szCs w:val="24"/>
        </w:rPr>
        <w:t xml:space="preserve"> </w:t>
      </w:r>
      <w:r>
        <w:rPr>
          <w:rFonts w:ascii="宋体" w:hAnsi="宋体" w:eastAsia="宋体" w:cs="宋体"/>
          <w:spacing w:val="-6"/>
          <w:sz w:val="24"/>
          <w:szCs w:val="24"/>
        </w:rPr>
        <w:t>中毒</w:t>
      </w:r>
      <w:r>
        <w:rPr>
          <w:rFonts w:ascii="宋体" w:hAnsi="宋体" w:eastAsia="宋体" w:cs="宋体"/>
          <w:spacing w:val="-55"/>
          <w:sz w:val="24"/>
          <w:szCs w:val="24"/>
        </w:rPr>
        <w:t xml:space="preserve"> </w:t>
      </w:r>
      <w:r>
        <w:rPr>
          <w:rFonts w:ascii="Times New Roman" w:hAnsi="Times New Roman" w:eastAsia="Times New Roman" w:cs="Times New Roman"/>
          <w:spacing w:val="-6"/>
          <w:sz w:val="24"/>
          <w:szCs w:val="24"/>
        </w:rPr>
        <w:t>20~30</w:t>
      </w:r>
      <w:r>
        <w:rPr>
          <w:rFonts w:ascii="Times New Roman" w:hAnsi="Times New Roman" w:eastAsia="Times New Roman" w:cs="Times New Roman"/>
          <w:spacing w:val="16"/>
          <w:sz w:val="24"/>
          <w:szCs w:val="24"/>
        </w:rPr>
        <w:t xml:space="preserve"> </w:t>
      </w:r>
      <w:r>
        <w:rPr>
          <w:rFonts w:ascii="宋体" w:hAnsi="宋体" w:eastAsia="宋体" w:cs="宋体"/>
          <w:spacing w:val="-6"/>
          <w:sz w:val="24"/>
          <w:szCs w:val="24"/>
        </w:rPr>
        <w:t>次。对症及支持疗法：根据病情采用解</w:t>
      </w:r>
      <w:r>
        <w:rPr>
          <w:rFonts w:ascii="宋体" w:hAnsi="宋体" w:eastAsia="宋体" w:cs="宋体"/>
          <w:spacing w:val="-7"/>
          <w:sz w:val="24"/>
          <w:szCs w:val="24"/>
        </w:rPr>
        <w:t>除脑水肿、改善脑血循环的治疗药物，</w:t>
      </w:r>
      <w:r>
        <w:rPr>
          <w:rFonts w:ascii="宋体" w:hAnsi="宋体" w:eastAsia="宋体" w:cs="宋体"/>
          <w:sz w:val="24"/>
          <w:szCs w:val="24"/>
        </w:rPr>
        <w:t xml:space="preserve"> </w:t>
      </w:r>
      <w:r>
        <w:rPr>
          <w:rFonts w:ascii="宋体" w:hAnsi="宋体" w:eastAsia="宋体" w:cs="宋体"/>
          <w:spacing w:val="-1"/>
          <w:sz w:val="24"/>
          <w:szCs w:val="24"/>
        </w:rPr>
        <w:t>维持呼吸循环功能及镇痉等。对迟发脑病患者，治</w:t>
      </w:r>
      <w:r>
        <w:rPr>
          <w:rFonts w:ascii="宋体" w:hAnsi="宋体" w:eastAsia="宋体" w:cs="宋体"/>
          <w:spacing w:val="-2"/>
          <w:sz w:val="24"/>
          <w:szCs w:val="24"/>
        </w:rPr>
        <w:t>疗方法包括高压氧、糖皮质激素、血</w:t>
      </w:r>
      <w:r>
        <w:rPr>
          <w:rFonts w:ascii="宋体" w:hAnsi="宋体" w:eastAsia="宋体" w:cs="宋体"/>
          <w:sz w:val="24"/>
          <w:szCs w:val="24"/>
        </w:rPr>
        <w:t xml:space="preserve"> 管扩张剂、神经细胞营养药及抗</w:t>
      </w:r>
      <w:r>
        <w:rPr>
          <w:rFonts w:hint="eastAsia" w:ascii="宋体" w:hAnsi="宋体" w:eastAsia="宋体" w:cs="宋体"/>
          <w:sz w:val="24"/>
          <w:szCs w:val="24"/>
        </w:rPr>
        <w:t>帕金森病</w:t>
      </w:r>
      <w:r>
        <w:rPr>
          <w:rFonts w:ascii="宋体" w:hAnsi="宋体" w:eastAsia="宋体" w:cs="宋体"/>
          <w:sz w:val="24"/>
          <w:szCs w:val="24"/>
        </w:rPr>
        <w:t>药物等。对中、重度中毒患者昏迷清醒后，</w:t>
      </w:r>
      <w:r>
        <w:rPr>
          <w:rFonts w:ascii="宋体" w:hAnsi="宋体" w:eastAsia="宋体" w:cs="宋体"/>
          <w:spacing w:val="8"/>
          <w:sz w:val="24"/>
          <w:szCs w:val="24"/>
        </w:rPr>
        <w:t xml:space="preserve"> </w:t>
      </w:r>
      <w:r>
        <w:rPr>
          <w:rFonts w:ascii="宋体" w:hAnsi="宋体" w:eastAsia="宋体" w:cs="宋体"/>
          <w:spacing w:val="-1"/>
          <w:sz w:val="24"/>
          <w:szCs w:val="24"/>
        </w:rPr>
        <w:t>应卧床休息两周，在观察两个月期间，暂时脱离</w:t>
      </w:r>
      <w:r>
        <w:rPr>
          <w:rFonts w:ascii="宋体" w:hAnsi="宋体" w:eastAsia="宋体" w:cs="宋体"/>
          <w:spacing w:val="-38"/>
          <w:sz w:val="24"/>
          <w:szCs w:val="24"/>
        </w:rPr>
        <w:t xml:space="preserve"> </w:t>
      </w:r>
      <w:r>
        <w:rPr>
          <w:rFonts w:ascii="Times New Roman" w:hAnsi="Times New Roman" w:eastAsia="Times New Roman" w:cs="Times New Roman"/>
          <w:spacing w:val="-1"/>
          <w:sz w:val="24"/>
          <w:szCs w:val="24"/>
        </w:rPr>
        <w:t xml:space="preserve">CO </w:t>
      </w:r>
      <w:r>
        <w:rPr>
          <w:rFonts w:ascii="宋体" w:hAnsi="宋体" w:eastAsia="宋体" w:cs="宋体"/>
          <w:spacing w:val="-1"/>
          <w:sz w:val="24"/>
          <w:szCs w:val="24"/>
        </w:rPr>
        <w:t>作业。</w:t>
      </w:r>
    </w:p>
    <w:p w14:paraId="0BC2F57A">
      <w:pPr>
        <w:spacing w:before="35" w:line="220" w:lineRule="auto"/>
        <w:ind w:left="499"/>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2</w:t>
      </w:r>
      <w:r>
        <w:rPr>
          <w:rFonts w:ascii="宋体" w:hAnsi="宋体" w:eastAsia="宋体" w:cs="宋体"/>
          <w:spacing w:val="-5"/>
          <w:sz w:val="24"/>
          <w:szCs w:val="24"/>
        </w:rPr>
        <w:t>）防护</w:t>
      </w:r>
    </w:p>
    <w:p w14:paraId="0979BFF0">
      <w:pPr>
        <w:spacing w:before="192" w:line="344" w:lineRule="auto"/>
        <w:ind w:left="11" w:right="80" w:firstLine="479"/>
        <w:rPr>
          <w:rFonts w:ascii="宋体" w:hAnsi="宋体" w:eastAsia="宋体" w:cs="宋体"/>
          <w:sz w:val="24"/>
          <w:szCs w:val="24"/>
        </w:rPr>
      </w:pPr>
      <w:r>
        <w:rPr>
          <w:rFonts w:ascii="宋体" w:hAnsi="宋体" w:eastAsia="宋体" w:cs="宋体"/>
          <w:spacing w:val="-2"/>
          <w:sz w:val="24"/>
          <w:szCs w:val="24"/>
        </w:rPr>
        <w:t>车间空气</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9"/>
          <w:sz w:val="24"/>
          <w:szCs w:val="24"/>
        </w:rPr>
        <w:t xml:space="preserve"> </w:t>
      </w:r>
      <w:r>
        <w:rPr>
          <w:rFonts w:ascii="宋体" w:hAnsi="宋体" w:eastAsia="宋体" w:cs="宋体"/>
          <w:spacing w:val="-2"/>
          <w:sz w:val="24"/>
          <w:szCs w:val="24"/>
        </w:rPr>
        <w:t>的最高允许浓度为</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30mg/m</w:t>
      </w:r>
      <w:r>
        <w:rPr>
          <w:rFonts w:ascii="Times New Roman" w:hAnsi="Times New Roman" w:eastAsia="Times New Roman" w:cs="Times New Roman"/>
          <w:spacing w:val="-2"/>
          <w:position w:val="7"/>
          <w:sz w:val="15"/>
          <w:szCs w:val="15"/>
        </w:rPr>
        <w:t>3</w:t>
      </w:r>
      <w:r>
        <w:rPr>
          <w:rFonts w:ascii="Times New Roman" w:hAnsi="Times New Roman" w:eastAsia="Times New Roman" w:cs="Times New Roman"/>
          <w:spacing w:val="-8"/>
          <w:position w:val="7"/>
          <w:sz w:val="15"/>
          <w:szCs w:val="15"/>
        </w:rPr>
        <w:t xml:space="preserve"> </w:t>
      </w:r>
      <w:r>
        <w:rPr>
          <w:rFonts w:ascii="宋体" w:hAnsi="宋体" w:eastAsia="宋体" w:cs="宋体"/>
          <w:spacing w:val="-2"/>
          <w:sz w:val="24"/>
          <w:szCs w:val="24"/>
        </w:rPr>
        <w:t>，超标时必须带防毒</w:t>
      </w:r>
      <w:r>
        <w:rPr>
          <w:rFonts w:ascii="宋体" w:hAnsi="宋体" w:eastAsia="宋体" w:cs="宋体"/>
          <w:spacing w:val="-3"/>
          <w:sz w:val="24"/>
          <w:szCs w:val="24"/>
        </w:rPr>
        <w:t>面具，紧急事态抢救</w:t>
      </w:r>
      <w:r>
        <w:rPr>
          <w:rFonts w:ascii="宋体" w:hAnsi="宋体" w:eastAsia="宋体" w:cs="宋体"/>
          <w:sz w:val="24"/>
          <w:szCs w:val="24"/>
        </w:rPr>
        <w:t xml:space="preserve"> </w:t>
      </w:r>
      <w:r>
        <w:rPr>
          <w:rFonts w:ascii="宋体" w:hAnsi="宋体" w:eastAsia="宋体" w:cs="宋体"/>
          <w:spacing w:val="-1"/>
          <w:sz w:val="24"/>
          <w:szCs w:val="24"/>
        </w:rPr>
        <w:t>或逃生时建议佩戴正压自给式呼吸器。</w:t>
      </w:r>
    </w:p>
    <w:p w14:paraId="7A6D907F">
      <w:pPr>
        <w:spacing w:before="61" w:line="356" w:lineRule="auto"/>
        <w:ind w:left="8" w:right="80" w:firstLine="493"/>
        <w:rPr>
          <w:rFonts w:ascii="宋体" w:hAnsi="宋体" w:eastAsia="宋体" w:cs="宋体"/>
          <w:sz w:val="24"/>
          <w:szCs w:val="24"/>
        </w:rPr>
      </w:pPr>
      <w:r>
        <w:rPr>
          <w:rFonts w:ascii="宋体" w:hAnsi="宋体" w:eastAsia="宋体" w:cs="宋体"/>
          <w:spacing w:val="-2"/>
          <w:sz w:val="24"/>
          <w:szCs w:val="24"/>
        </w:rPr>
        <w:t>呼吸系统防护：空气中浓度超标时，佩带自吸过渡式防毒面具（半面罩）。紧急事</w:t>
      </w:r>
      <w:r>
        <w:rPr>
          <w:rFonts w:ascii="宋体" w:hAnsi="宋体" w:eastAsia="宋体" w:cs="宋体"/>
          <w:sz w:val="24"/>
          <w:szCs w:val="24"/>
        </w:rPr>
        <w:t xml:space="preserve"> </w:t>
      </w:r>
      <w:r>
        <w:rPr>
          <w:rFonts w:ascii="宋体" w:hAnsi="宋体" w:eastAsia="宋体" w:cs="宋体"/>
          <w:spacing w:val="-1"/>
          <w:sz w:val="24"/>
          <w:szCs w:val="24"/>
        </w:rPr>
        <w:t>态抢救或撤离时，建议佩带空气呼吸器、一氧化碳过滤式自救器。</w:t>
      </w:r>
    </w:p>
    <w:p w14:paraId="44F10B41">
      <w:pPr>
        <w:spacing w:before="33" w:line="354" w:lineRule="auto"/>
        <w:ind w:left="23" w:right="80" w:firstLine="480"/>
        <w:rPr>
          <w:rFonts w:ascii="宋体" w:hAnsi="宋体" w:eastAsia="宋体" w:cs="宋体"/>
          <w:sz w:val="24"/>
          <w:szCs w:val="24"/>
        </w:rPr>
      </w:pPr>
      <w:r>
        <w:rPr>
          <w:rFonts w:ascii="宋体" w:hAnsi="宋体" w:eastAsia="宋体" w:cs="宋体"/>
          <w:spacing w:val="-2"/>
          <w:sz w:val="24"/>
          <w:szCs w:val="24"/>
        </w:rPr>
        <w:t>眼睛防护：一般不需要特别防护，高浓度接触时可戴安全防护眼睛。身体防护</w:t>
      </w:r>
      <w:r>
        <w:rPr>
          <w:rFonts w:ascii="宋体" w:hAnsi="宋体" w:eastAsia="宋体" w:cs="宋体"/>
          <w:spacing w:val="-3"/>
          <w:sz w:val="24"/>
          <w:szCs w:val="24"/>
        </w:rPr>
        <w:t>：穿</w:t>
      </w:r>
      <w:r>
        <w:rPr>
          <w:rFonts w:ascii="宋体" w:hAnsi="宋体" w:eastAsia="宋体" w:cs="宋体"/>
          <w:sz w:val="24"/>
          <w:szCs w:val="24"/>
        </w:rPr>
        <w:t xml:space="preserve"> </w:t>
      </w:r>
      <w:r>
        <w:rPr>
          <w:rFonts w:ascii="宋体" w:hAnsi="宋体" w:eastAsia="宋体" w:cs="宋体"/>
          <w:spacing w:val="-2"/>
          <w:sz w:val="24"/>
          <w:szCs w:val="24"/>
        </w:rPr>
        <w:t>防静电工作服。手防护：戴一般作业防护手套。</w:t>
      </w:r>
    </w:p>
    <w:p w14:paraId="1023672B">
      <w:pPr>
        <w:spacing w:before="38" w:line="354" w:lineRule="auto"/>
        <w:ind w:left="25" w:right="72" w:firstLine="464"/>
        <w:rPr>
          <w:rFonts w:ascii="宋体" w:hAnsi="宋体" w:eastAsia="宋体" w:cs="宋体"/>
          <w:sz w:val="24"/>
          <w:szCs w:val="24"/>
        </w:rPr>
      </w:pPr>
      <w:r>
        <w:rPr>
          <w:rFonts w:ascii="宋体" w:hAnsi="宋体" w:eastAsia="宋体" w:cs="宋体"/>
          <w:spacing w:val="-1"/>
          <w:sz w:val="24"/>
          <w:szCs w:val="24"/>
        </w:rPr>
        <w:t>其它：工作现场严禁吸烟。实行就业前和定期</w:t>
      </w:r>
      <w:r>
        <w:rPr>
          <w:rFonts w:ascii="宋体" w:hAnsi="宋体" w:eastAsia="宋体" w:cs="宋体"/>
          <w:spacing w:val="-2"/>
          <w:sz w:val="24"/>
          <w:szCs w:val="24"/>
        </w:rPr>
        <w:t>的体验。避免高浓度吸入。进入罐、</w:t>
      </w:r>
      <w:r>
        <w:rPr>
          <w:rFonts w:ascii="宋体" w:hAnsi="宋体" w:eastAsia="宋体" w:cs="宋体"/>
          <w:sz w:val="24"/>
          <w:szCs w:val="24"/>
        </w:rPr>
        <w:t xml:space="preserve"> </w:t>
      </w:r>
      <w:r>
        <w:rPr>
          <w:rFonts w:ascii="宋体" w:hAnsi="宋体" w:eastAsia="宋体" w:cs="宋体"/>
          <w:spacing w:val="-2"/>
          <w:sz w:val="24"/>
          <w:szCs w:val="24"/>
        </w:rPr>
        <w:t>限制性空间或其它高浓度区作业，须有人监护。</w:t>
      </w:r>
    </w:p>
    <w:p w14:paraId="0375D267">
      <w:pPr>
        <w:spacing w:before="34" w:line="221"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）泄漏处置</w:t>
      </w:r>
    </w:p>
    <w:p w14:paraId="37ACB1F8">
      <w:pPr>
        <w:spacing w:before="191" w:line="363" w:lineRule="auto"/>
        <w:ind w:left="7" w:firstLine="480"/>
        <w:rPr>
          <w:rFonts w:ascii="宋体" w:hAnsi="宋体" w:eastAsia="宋体" w:cs="宋体"/>
          <w:sz w:val="24"/>
          <w:szCs w:val="24"/>
        </w:rPr>
      </w:pPr>
      <w:r>
        <w:rPr>
          <w:rFonts w:ascii="宋体" w:hAnsi="宋体" w:eastAsia="宋体" w:cs="宋体"/>
          <w:spacing w:val="-2"/>
          <w:sz w:val="24"/>
          <w:szCs w:val="24"/>
        </w:rPr>
        <w:t>迅速撤离泄漏污染区人员至上风处，并隔离直至气体散尽。切断火源，建议应急处</w:t>
      </w:r>
      <w:r>
        <w:rPr>
          <w:rFonts w:ascii="宋体" w:hAnsi="宋体" w:eastAsia="宋体" w:cs="宋体"/>
          <w:spacing w:val="13"/>
          <w:sz w:val="24"/>
          <w:szCs w:val="24"/>
        </w:rPr>
        <w:t xml:space="preserve"> </w:t>
      </w:r>
      <w:r>
        <w:rPr>
          <w:rFonts w:ascii="宋体" w:hAnsi="宋体" w:eastAsia="宋体" w:cs="宋体"/>
          <w:spacing w:val="-6"/>
          <w:sz w:val="24"/>
          <w:szCs w:val="24"/>
        </w:rPr>
        <w:t>理人员在正压式呼吸器，着隔绝式防毒面具，并戴防护眼罩。切断气源。喷雾状水稀释、</w:t>
      </w:r>
      <w:r>
        <w:rPr>
          <w:rFonts w:ascii="宋体" w:hAnsi="宋体" w:eastAsia="宋体" w:cs="宋体"/>
          <w:spacing w:val="16"/>
          <w:sz w:val="24"/>
          <w:szCs w:val="24"/>
        </w:rPr>
        <w:t xml:space="preserve"> </w:t>
      </w:r>
      <w:r>
        <w:rPr>
          <w:rFonts w:ascii="宋体" w:hAnsi="宋体" w:eastAsia="宋体" w:cs="宋体"/>
          <w:spacing w:val="-2"/>
          <w:sz w:val="24"/>
          <w:szCs w:val="24"/>
        </w:rPr>
        <w:t>溶解，抽排（室内）或强力通风（室外）。如有可能，将漏出气用排风机送至空旷地方</w:t>
      </w:r>
      <w:r>
        <w:rPr>
          <w:rFonts w:ascii="宋体" w:hAnsi="宋体" w:eastAsia="宋体" w:cs="宋体"/>
          <w:spacing w:val="18"/>
          <w:sz w:val="24"/>
          <w:szCs w:val="24"/>
        </w:rPr>
        <w:t xml:space="preserve"> </w:t>
      </w:r>
      <w:r>
        <w:rPr>
          <w:rFonts w:ascii="宋体" w:hAnsi="宋体" w:eastAsia="宋体" w:cs="宋体"/>
          <w:spacing w:val="-2"/>
          <w:sz w:val="24"/>
          <w:szCs w:val="24"/>
        </w:rPr>
        <w:t>或装适当喷头烧掉，也可以用管路导至炉中凹地焚之。漏气容器要妥善处理，修复、检</w:t>
      </w:r>
      <w:r>
        <w:rPr>
          <w:rFonts w:ascii="宋体" w:hAnsi="宋体" w:eastAsia="宋体" w:cs="宋体"/>
          <w:spacing w:val="18"/>
          <w:sz w:val="24"/>
          <w:szCs w:val="24"/>
        </w:rPr>
        <w:t xml:space="preserve"> </w:t>
      </w:r>
      <w:r>
        <w:rPr>
          <w:rFonts w:ascii="宋体" w:hAnsi="宋体" w:eastAsia="宋体" w:cs="宋体"/>
          <w:spacing w:val="-2"/>
          <w:sz w:val="24"/>
          <w:szCs w:val="24"/>
        </w:rPr>
        <w:t>验后再用。</w:t>
      </w:r>
    </w:p>
    <w:p w14:paraId="57D98DE4">
      <w:pPr>
        <w:spacing w:line="363" w:lineRule="auto"/>
        <w:rPr>
          <w:rFonts w:ascii="宋体" w:hAnsi="宋体" w:eastAsia="宋体" w:cs="宋体"/>
          <w:sz w:val="24"/>
          <w:szCs w:val="24"/>
        </w:rPr>
        <w:sectPr>
          <w:footerReference r:id="rId422" w:type="default"/>
          <w:pgSz w:w="11906" w:h="16839"/>
          <w:pgMar w:top="1191" w:right="1337" w:bottom="1221" w:left="1417" w:header="882" w:footer="1059" w:gutter="0"/>
          <w:cols w:space="720" w:num="1"/>
        </w:sectPr>
      </w:pPr>
    </w:p>
    <w:p w14:paraId="0BBE960B">
      <w:pPr>
        <w:spacing w:line="28" w:lineRule="exact"/>
      </w:pPr>
      <w:r>
        <w:pict>
          <v:shape id="_x0000_s1958" o:spid="_x0000_s1958" style="height:1.45pt;width:453.65pt;" fillcolor="#000000" filled="t" stroked="f" coordsize="9072,29" path="m0,0l9072,0,9072,28,0,28,0,0xe">
            <v:path/>
            <v:fill on="t" focussize="0,0"/>
            <v:stroke on="f"/>
            <v:imagedata o:title=""/>
            <o:lock v:ext="edit"/>
            <w10:wrap type="none"/>
            <w10:anchorlock/>
          </v:shape>
        </w:pict>
      </w:r>
    </w:p>
    <w:p w14:paraId="3B617321">
      <w:pPr>
        <w:pStyle w:val="2"/>
        <w:spacing w:line="281" w:lineRule="auto"/>
      </w:pPr>
    </w:p>
    <w:p w14:paraId="0F416C9E">
      <w:pPr>
        <w:spacing w:before="91" w:line="221" w:lineRule="auto"/>
        <w:ind w:left="8"/>
        <w:outlineLvl w:val="2"/>
        <w:rPr>
          <w:rFonts w:ascii="宋体" w:hAnsi="宋体" w:eastAsia="宋体" w:cs="宋体"/>
          <w:sz w:val="28"/>
          <w:szCs w:val="28"/>
        </w:rPr>
      </w:pPr>
      <w:bookmarkStart w:id="421" w:name="bookmark310"/>
      <w:bookmarkEnd w:id="421"/>
      <w:r>
        <w:rPr>
          <w:rFonts w:ascii="Times New Roman" w:hAnsi="Times New Roman" w:eastAsia="Times New Roman" w:cs="Times New Roman"/>
          <w:b/>
          <w:bCs/>
          <w:spacing w:val="-2"/>
          <w:sz w:val="28"/>
          <w:szCs w:val="28"/>
        </w:rPr>
        <w:t xml:space="preserve">5.7.7 </w:t>
      </w:r>
      <w:r>
        <w:rPr>
          <w:rFonts w:ascii="宋体" w:hAnsi="宋体" w:eastAsia="宋体" w:cs="宋体"/>
          <w:b/>
          <w:bCs/>
          <w:spacing w:val="-2"/>
          <w:sz w:val="28"/>
          <w:szCs w:val="28"/>
        </w:rPr>
        <w:t>其他措施</w:t>
      </w:r>
    </w:p>
    <w:p w14:paraId="48FAA2A4">
      <w:pPr>
        <w:spacing w:before="244" w:line="331" w:lineRule="auto"/>
        <w:ind w:left="8" w:right="79" w:firstLine="49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）对生产中可能泄漏煤气的设备和工作区域设有安全警示标志，配备便携式</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CO</w:t>
      </w:r>
      <w:r>
        <w:rPr>
          <w:rFonts w:ascii="Times New Roman" w:hAnsi="Times New Roman" w:eastAsia="Times New Roman" w:cs="Times New Roman"/>
          <w:sz w:val="24"/>
          <w:szCs w:val="24"/>
        </w:rPr>
        <w:t xml:space="preserve"> </w:t>
      </w:r>
      <w:r>
        <w:rPr>
          <w:rFonts w:ascii="宋体" w:hAnsi="宋体" w:eastAsia="宋体" w:cs="宋体"/>
          <w:spacing w:val="-1"/>
          <w:sz w:val="24"/>
          <w:szCs w:val="24"/>
        </w:rPr>
        <w:t>检测仪，安装</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 xml:space="preserve">CO </w:t>
      </w:r>
      <w:r>
        <w:rPr>
          <w:rFonts w:ascii="宋体" w:hAnsi="宋体" w:eastAsia="宋体" w:cs="宋体"/>
          <w:spacing w:val="-1"/>
          <w:sz w:val="24"/>
          <w:szCs w:val="24"/>
        </w:rPr>
        <w:t>报警装置，制订和实施严格规范的设备维修制度，提高设备、各</w:t>
      </w:r>
      <w:r>
        <w:rPr>
          <w:rFonts w:ascii="宋体" w:hAnsi="宋体" w:eastAsia="宋体" w:cs="宋体"/>
          <w:spacing w:val="-2"/>
          <w:sz w:val="24"/>
          <w:szCs w:val="24"/>
        </w:rPr>
        <w:t>种泵</w:t>
      </w:r>
      <w:r>
        <w:rPr>
          <w:rFonts w:ascii="宋体" w:hAnsi="宋体" w:eastAsia="宋体" w:cs="宋体"/>
          <w:sz w:val="24"/>
          <w:szCs w:val="24"/>
        </w:rPr>
        <w:t xml:space="preserve"> </w:t>
      </w:r>
      <w:r>
        <w:rPr>
          <w:rFonts w:ascii="宋体" w:hAnsi="宋体" w:eastAsia="宋体" w:cs="宋体"/>
          <w:spacing w:val="-2"/>
          <w:sz w:val="24"/>
          <w:szCs w:val="24"/>
        </w:rPr>
        <w:t>类、风机及其阀门、法兰等的密封性能，降低设备、管线的泄漏，一经发现泄漏应立即</w:t>
      </w:r>
      <w:r>
        <w:rPr>
          <w:rFonts w:ascii="宋体" w:hAnsi="宋体" w:eastAsia="宋体" w:cs="宋体"/>
          <w:spacing w:val="17"/>
          <w:sz w:val="24"/>
          <w:szCs w:val="24"/>
        </w:rPr>
        <w:t xml:space="preserve"> </w:t>
      </w:r>
      <w:r>
        <w:rPr>
          <w:rFonts w:ascii="宋体" w:hAnsi="宋体" w:eastAsia="宋体" w:cs="宋体"/>
          <w:spacing w:val="-2"/>
          <w:sz w:val="24"/>
          <w:szCs w:val="24"/>
        </w:rPr>
        <w:t>检修，不得延误。</w:t>
      </w:r>
    </w:p>
    <w:p w14:paraId="1458CB4F">
      <w:pPr>
        <w:spacing w:before="193" w:line="319" w:lineRule="auto"/>
        <w:ind w:left="9" w:right="80"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）煤气设施停气检修时必须切断煤气来源并将内部煤气吹净。进入煤气设备内</w:t>
      </w:r>
      <w:r>
        <w:rPr>
          <w:rFonts w:ascii="宋体" w:hAnsi="宋体" w:eastAsia="宋体" w:cs="宋体"/>
          <w:spacing w:val="13"/>
          <w:sz w:val="24"/>
          <w:szCs w:val="24"/>
        </w:rPr>
        <w:t xml:space="preserve"> </w:t>
      </w:r>
      <w:r>
        <w:rPr>
          <w:rFonts w:ascii="宋体" w:hAnsi="宋体" w:eastAsia="宋体" w:cs="宋体"/>
          <w:spacing w:val="-1"/>
          <w:sz w:val="24"/>
          <w:szCs w:val="24"/>
        </w:rPr>
        <w:t>部或可能存在煤气的部位，应进行</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 xml:space="preserve">CO </w:t>
      </w:r>
      <w:r>
        <w:rPr>
          <w:rFonts w:ascii="宋体" w:hAnsi="宋体" w:eastAsia="宋体" w:cs="宋体"/>
          <w:spacing w:val="-1"/>
          <w:sz w:val="24"/>
          <w:szCs w:val="24"/>
        </w:rPr>
        <w:t>含量分析，并经安全管理人员开具安全作</w:t>
      </w:r>
      <w:r>
        <w:rPr>
          <w:rFonts w:ascii="宋体" w:hAnsi="宋体" w:eastAsia="宋体" w:cs="宋体"/>
          <w:spacing w:val="-2"/>
          <w:sz w:val="24"/>
          <w:szCs w:val="24"/>
        </w:rPr>
        <w:t>业证后</w:t>
      </w:r>
      <w:r>
        <w:rPr>
          <w:rFonts w:ascii="宋体" w:hAnsi="宋体" w:eastAsia="宋体" w:cs="宋体"/>
          <w:sz w:val="24"/>
          <w:szCs w:val="24"/>
        </w:rPr>
        <w:t xml:space="preserve"> </w:t>
      </w:r>
      <w:r>
        <w:rPr>
          <w:rFonts w:ascii="宋体" w:hAnsi="宋体" w:eastAsia="宋体" w:cs="宋体"/>
          <w:spacing w:val="-3"/>
          <w:sz w:val="24"/>
          <w:szCs w:val="24"/>
        </w:rPr>
        <w:t>方可进入。</w:t>
      </w:r>
    </w:p>
    <w:p w14:paraId="5702D639">
      <w:pPr>
        <w:spacing w:before="191" w:line="318" w:lineRule="auto"/>
        <w:ind w:left="8"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）加强火源管理，生产区和仓库区严禁烟火，对设备需进行维修焊接，应经安</w:t>
      </w:r>
      <w:r>
        <w:rPr>
          <w:rFonts w:ascii="宋体" w:hAnsi="宋体" w:eastAsia="宋体" w:cs="宋体"/>
          <w:spacing w:val="13"/>
          <w:sz w:val="24"/>
          <w:szCs w:val="24"/>
        </w:rPr>
        <w:t xml:space="preserve"> </w:t>
      </w:r>
      <w:r>
        <w:rPr>
          <w:rFonts w:ascii="宋体" w:hAnsi="宋体" w:eastAsia="宋体" w:cs="宋体"/>
          <w:spacing w:val="-6"/>
          <w:sz w:val="24"/>
          <w:szCs w:val="24"/>
        </w:rPr>
        <w:t>全部门确认、准许，并有记录。机动车在厂内行驶，须安装阻火器，必要设备安装防火、</w:t>
      </w:r>
      <w:r>
        <w:rPr>
          <w:rFonts w:ascii="宋体" w:hAnsi="宋体" w:eastAsia="宋体" w:cs="宋体"/>
          <w:spacing w:val="15"/>
          <w:sz w:val="24"/>
          <w:szCs w:val="24"/>
        </w:rPr>
        <w:t xml:space="preserve"> </w:t>
      </w:r>
      <w:r>
        <w:rPr>
          <w:rFonts w:ascii="宋体" w:hAnsi="宋体" w:eastAsia="宋体" w:cs="宋体"/>
          <w:spacing w:val="-2"/>
          <w:sz w:val="24"/>
          <w:szCs w:val="24"/>
        </w:rPr>
        <w:t>防爆装置。</w:t>
      </w:r>
    </w:p>
    <w:p w14:paraId="2C7ED580">
      <w:pPr>
        <w:spacing w:before="193" w:line="294" w:lineRule="auto"/>
        <w:ind w:left="11" w:right="138" w:firstLine="488"/>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4</w:t>
      </w:r>
      <w:r>
        <w:rPr>
          <w:rFonts w:ascii="宋体" w:hAnsi="宋体" w:eastAsia="宋体" w:cs="宋体"/>
          <w:sz w:val="24"/>
          <w:szCs w:val="24"/>
        </w:rPr>
        <w:t>）加强管理，制定严格操作规程和环境管理的规章制度。</w:t>
      </w:r>
      <w:r>
        <w:rPr>
          <w:rFonts w:ascii="宋体" w:hAnsi="宋体" w:eastAsia="宋体" w:cs="宋体"/>
          <w:spacing w:val="-1"/>
          <w:sz w:val="24"/>
          <w:szCs w:val="24"/>
        </w:rPr>
        <w:t>建立公司环境部门，</w:t>
      </w:r>
      <w:r>
        <w:rPr>
          <w:rFonts w:ascii="宋体" w:hAnsi="宋体" w:eastAsia="宋体" w:cs="宋体"/>
          <w:sz w:val="24"/>
          <w:szCs w:val="24"/>
        </w:rPr>
        <w:t xml:space="preserve"> </w:t>
      </w:r>
      <w:r>
        <w:rPr>
          <w:rFonts w:ascii="宋体" w:hAnsi="宋体" w:eastAsia="宋体" w:cs="宋体"/>
          <w:spacing w:val="-1"/>
          <w:sz w:val="24"/>
          <w:szCs w:val="24"/>
        </w:rPr>
        <w:t>分管负责风险防范，配合地方政府制定完整的火灾爆炸事故应急措施。</w:t>
      </w:r>
    </w:p>
    <w:p w14:paraId="43926183">
      <w:pPr>
        <w:spacing w:before="193" w:line="319" w:lineRule="auto"/>
        <w:ind w:left="7" w:right="80"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）在煤气柜、煤气净化设施等周边带电操作时，要注意用电安全，电插座、电</w:t>
      </w:r>
      <w:r>
        <w:rPr>
          <w:rFonts w:ascii="宋体" w:hAnsi="宋体" w:eastAsia="宋体" w:cs="宋体"/>
          <w:spacing w:val="13"/>
          <w:sz w:val="24"/>
          <w:szCs w:val="24"/>
        </w:rPr>
        <w:t xml:space="preserve"> </w:t>
      </w:r>
      <w:r>
        <w:rPr>
          <w:rFonts w:ascii="宋体" w:hAnsi="宋体" w:eastAsia="宋体" w:cs="宋体"/>
          <w:spacing w:val="-2"/>
          <w:sz w:val="24"/>
          <w:szCs w:val="24"/>
        </w:rPr>
        <w:t>源线的长度、走向、操作地点的设置等情况必须按照厂区内安全技术人员的要求设置，</w:t>
      </w:r>
      <w:r>
        <w:rPr>
          <w:rFonts w:ascii="宋体" w:hAnsi="宋体" w:eastAsia="宋体" w:cs="宋体"/>
          <w:spacing w:val="18"/>
          <w:sz w:val="24"/>
          <w:szCs w:val="24"/>
        </w:rPr>
        <w:t xml:space="preserve"> </w:t>
      </w:r>
      <w:r>
        <w:rPr>
          <w:rFonts w:ascii="宋体" w:hAnsi="宋体" w:eastAsia="宋体" w:cs="宋体"/>
          <w:spacing w:val="-1"/>
          <w:sz w:val="24"/>
          <w:szCs w:val="24"/>
        </w:rPr>
        <w:t>符合相关的规范要求，不得随意设置。</w:t>
      </w:r>
    </w:p>
    <w:p w14:paraId="180B9D64">
      <w:pPr>
        <w:spacing w:before="192" w:line="294" w:lineRule="auto"/>
        <w:ind w:left="14" w:right="80" w:firstLine="485"/>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6</w:t>
      </w:r>
      <w:r>
        <w:rPr>
          <w:rFonts w:ascii="宋体" w:hAnsi="宋体" w:eastAsia="宋体" w:cs="宋体"/>
          <w:spacing w:val="1"/>
          <w:sz w:val="24"/>
          <w:szCs w:val="24"/>
        </w:rPr>
        <w:t>）配合各级消防部门的检查，加强消防设施的维护，并做好消防演练工作，加</w:t>
      </w:r>
      <w:r>
        <w:rPr>
          <w:rFonts w:ascii="宋体" w:hAnsi="宋体" w:eastAsia="宋体" w:cs="宋体"/>
          <w:spacing w:val="13"/>
          <w:sz w:val="24"/>
          <w:szCs w:val="24"/>
        </w:rPr>
        <w:t xml:space="preserve"> </w:t>
      </w:r>
      <w:r>
        <w:rPr>
          <w:rFonts w:ascii="宋体" w:hAnsi="宋体" w:eastAsia="宋体" w:cs="宋体"/>
          <w:spacing w:val="-1"/>
          <w:sz w:val="24"/>
          <w:szCs w:val="24"/>
        </w:rPr>
        <w:t>强宣传，公司员工上岗前必须进行严格的消防知识学习。</w:t>
      </w:r>
    </w:p>
    <w:p w14:paraId="56B68442">
      <w:pPr>
        <w:pStyle w:val="2"/>
        <w:spacing w:line="263" w:lineRule="auto"/>
      </w:pPr>
    </w:p>
    <w:p w14:paraId="1D481B1D">
      <w:pPr>
        <w:spacing w:before="98" w:line="221" w:lineRule="auto"/>
        <w:ind w:left="13"/>
        <w:outlineLvl w:val="1"/>
        <w:rPr>
          <w:rFonts w:ascii="黑体" w:hAnsi="黑体" w:eastAsia="黑体" w:cs="黑体"/>
          <w:sz w:val="30"/>
          <w:szCs w:val="30"/>
        </w:rPr>
      </w:pPr>
      <w:bookmarkStart w:id="422" w:name="bookmark312"/>
      <w:bookmarkEnd w:id="422"/>
      <w:r>
        <w:rPr>
          <w:rFonts w:ascii="Times New Roman" w:hAnsi="Times New Roman" w:eastAsia="Times New Roman" w:cs="Times New Roman"/>
          <w:spacing w:val="-1"/>
          <w:sz w:val="30"/>
          <w:szCs w:val="30"/>
        </w:rPr>
        <w:t xml:space="preserve">5.8 </w:t>
      </w:r>
      <w:r>
        <w:rPr>
          <w:rFonts w:ascii="黑体" w:hAnsi="黑体" w:eastAsia="黑体" w:cs="黑体"/>
          <w:spacing w:val="-1"/>
          <w:sz w:val="30"/>
          <w:szCs w:val="30"/>
        </w:rPr>
        <w:t>突发环境事件应急预案</w:t>
      </w:r>
    </w:p>
    <w:p w14:paraId="4371206B">
      <w:pPr>
        <w:pStyle w:val="2"/>
        <w:spacing w:line="268" w:lineRule="auto"/>
      </w:pPr>
    </w:p>
    <w:p w14:paraId="76138402">
      <w:pPr>
        <w:spacing w:before="79" w:line="360" w:lineRule="auto"/>
        <w:ind w:left="8" w:right="80" w:firstLine="482"/>
        <w:jc w:val="both"/>
        <w:rPr>
          <w:rFonts w:ascii="宋体" w:hAnsi="宋体" w:eastAsia="宋体" w:cs="宋体"/>
          <w:sz w:val="24"/>
          <w:szCs w:val="24"/>
        </w:rPr>
      </w:pPr>
      <w:r>
        <w:rPr>
          <w:rFonts w:ascii="宋体" w:hAnsi="宋体" w:eastAsia="宋体" w:cs="宋体"/>
          <w:spacing w:val="-2"/>
          <w:sz w:val="24"/>
          <w:szCs w:val="24"/>
        </w:rPr>
        <w:t>建设单位应编制突发环境事件应急预案，同时按照《企业事业单位突发环境事件应</w:t>
      </w:r>
      <w:r>
        <w:rPr>
          <w:rFonts w:ascii="宋体" w:hAnsi="宋体" w:eastAsia="宋体" w:cs="宋体"/>
          <w:spacing w:val="10"/>
          <w:sz w:val="24"/>
          <w:szCs w:val="24"/>
        </w:rPr>
        <w:t xml:space="preserve"> </w:t>
      </w:r>
      <w:r>
        <w:rPr>
          <w:rFonts w:ascii="宋体" w:hAnsi="宋体" w:eastAsia="宋体" w:cs="宋体"/>
          <w:spacing w:val="-2"/>
          <w:sz w:val="24"/>
          <w:szCs w:val="24"/>
        </w:rPr>
        <w:t>急预案评审工作指南（试行）》要求自行组织评审，根据《企业事业单位突发环境事件</w:t>
      </w:r>
      <w:r>
        <w:rPr>
          <w:rFonts w:ascii="宋体" w:hAnsi="宋体" w:eastAsia="宋体" w:cs="宋体"/>
          <w:spacing w:val="17"/>
          <w:sz w:val="24"/>
          <w:szCs w:val="24"/>
        </w:rPr>
        <w:t xml:space="preserve"> </w:t>
      </w:r>
      <w:r>
        <w:rPr>
          <w:rFonts w:ascii="宋体" w:hAnsi="宋体" w:eastAsia="宋体" w:cs="宋体"/>
          <w:spacing w:val="2"/>
          <w:sz w:val="24"/>
          <w:szCs w:val="24"/>
        </w:rPr>
        <w:t>应急预案备案管理办法（试行）》（环发</w:t>
      </w:r>
      <w:r>
        <w:rPr>
          <w:rFonts w:ascii="Times New Roman" w:hAnsi="Times New Roman" w:eastAsia="Times New Roman" w:cs="Times New Roman"/>
          <w:spacing w:val="2"/>
          <w:sz w:val="24"/>
          <w:szCs w:val="24"/>
        </w:rPr>
        <w:t>[2015</w:t>
      </w:r>
      <w:r>
        <w:rPr>
          <w:rFonts w:ascii="Times New Roman" w:hAnsi="Times New Roman" w:eastAsia="Times New Roman" w:cs="Times New Roman"/>
          <w:spacing w:val="1"/>
          <w:sz w:val="24"/>
          <w:szCs w:val="24"/>
        </w:rPr>
        <w:t>]4</w:t>
      </w:r>
      <w:r>
        <w:rPr>
          <w:rFonts w:ascii="Times New Roman" w:hAnsi="Times New Roman" w:eastAsia="Times New Roman" w:cs="Times New Roman"/>
          <w:spacing w:val="17"/>
          <w:w w:val="101"/>
          <w:sz w:val="24"/>
          <w:szCs w:val="24"/>
        </w:rPr>
        <w:t xml:space="preserve"> </w:t>
      </w:r>
      <w:r>
        <w:rPr>
          <w:rFonts w:ascii="宋体" w:hAnsi="宋体" w:eastAsia="宋体" w:cs="宋体"/>
          <w:spacing w:val="1"/>
          <w:sz w:val="24"/>
          <w:szCs w:val="24"/>
        </w:rPr>
        <w:t>号）向主管生态环境部门备案，应急</w:t>
      </w:r>
      <w:r>
        <w:rPr>
          <w:rFonts w:ascii="宋体" w:hAnsi="宋体" w:eastAsia="宋体" w:cs="宋体"/>
          <w:sz w:val="24"/>
          <w:szCs w:val="24"/>
        </w:rPr>
        <w:t xml:space="preserve"> </w:t>
      </w:r>
      <w:r>
        <w:rPr>
          <w:rFonts w:ascii="宋体" w:hAnsi="宋体" w:eastAsia="宋体" w:cs="宋体"/>
          <w:spacing w:val="-1"/>
          <w:sz w:val="24"/>
          <w:szCs w:val="24"/>
        </w:rPr>
        <w:t>预案应包含以下内容：</w:t>
      </w:r>
    </w:p>
    <w:p w14:paraId="3436A5D0">
      <w:pPr>
        <w:spacing w:line="360" w:lineRule="auto"/>
        <w:rPr>
          <w:rFonts w:ascii="宋体" w:hAnsi="宋体" w:eastAsia="宋体" w:cs="宋体"/>
          <w:sz w:val="24"/>
          <w:szCs w:val="24"/>
        </w:rPr>
        <w:sectPr>
          <w:footerReference r:id="rId423" w:type="default"/>
          <w:pgSz w:w="11906" w:h="16839"/>
          <w:pgMar w:top="1191" w:right="1337" w:bottom="1221" w:left="1417" w:header="882" w:footer="1059" w:gutter="0"/>
          <w:cols w:space="720" w:num="1"/>
        </w:sectPr>
      </w:pPr>
    </w:p>
    <w:p w14:paraId="5D7E6E91">
      <w:pPr>
        <w:spacing w:line="28" w:lineRule="exact"/>
      </w:pPr>
      <w:r>
        <w:pict>
          <v:shape id="_x0000_s1960" o:spid="_x0000_s1960" style="height:1.45pt;width:453.65pt;" fillcolor="#000000" filled="t" stroked="f" coordsize="9072,29" path="m0,0l9072,0,9072,28,0,28,0,0xe">
            <v:path/>
            <v:fill on="t" focussize="0,0"/>
            <v:stroke on="f"/>
            <v:imagedata o:title=""/>
            <o:lock v:ext="edit"/>
            <w10:wrap type="none"/>
            <w10:anchorlock/>
          </v:shape>
        </w:pict>
      </w:r>
    </w:p>
    <w:p w14:paraId="09E892AE">
      <w:pPr>
        <w:pStyle w:val="2"/>
        <w:spacing w:line="264" w:lineRule="auto"/>
      </w:pPr>
    </w:p>
    <w:p w14:paraId="111DB24A">
      <w:pPr>
        <w:spacing w:before="65" w:line="228" w:lineRule="auto"/>
        <w:ind w:left="3138"/>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7"/>
          <w:sz w:val="20"/>
          <w:szCs w:val="20"/>
        </w:rPr>
        <w:t xml:space="preserve"> </w:t>
      </w:r>
      <w:r>
        <w:rPr>
          <w:rFonts w:ascii="Times New Roman" w:hAnsi="Times New Roman" w:eastAsia="Times New Roman" w:cs="Times New Roman"/>
          <w:b/>
          <w:bCs/>
          <w:spacing w:val="4"/>
          <w:sz w:val="20"/>
          <w:szCs w:val="20"/>
        </w:rPr>
        <w:t xml:space="preserve">5.8-1        </w:t>
      </w:r>
      <w:r>
        <w:rPr>
          <w:rFonts w:ascii="宋体" w:hAnsi="宋体" w:eastAsia="宋体" w:cs="宋体"/>
          <w:b/>
          <w:bCs/>
          <w:spacing w:val="4"/>
          <w:sz w:val="20"/>
          <w:szCs w:val="20"/>
        </w:rPr>
        <w:t>应急预案主要内容</w:t>
      </w:r>
    </w:p>
    <w:p w14:paraId="0678EAD6">
      <w:pPr>
        <w:spacing w:line="97" w:lineRule="exact"/>
      </w:pPr>
    </w:p>
    <w:tbl>
      <w:tblPr>
        <w:tblStyle w:val="5"/>
        <w:tblW w:w="907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5"/>
        <w:gridCol w:w="2722"/>
        <w:gridCol w:w="5594"/>
      </w:tblGrid>
      <w:tr w14:paraId="1B368D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755" w:type="dxa"/>
            <w:tcBorders>
              <w:top w:val="single" w:color="000000" w:sz="10" w:space="0"/>
              <w:left w:val="nil"/>
            </w:tcBorders>
            <w:vAlign w:val="top"/>
          </w:tcPr>
          <w:p w14:paraId="67FB0C77">
            <w:pPr>
              <w:pStyle w:val="6"/>
              <w:spacing w:before="58" w:line="229" w:lineRule="auto"/>
              <w:ind w:left="171"/>
              <w:rPr>
                <w:sz w:val="20"/>
                <w:szCs w:val="20"/>
              </w:rPr>
            </w:pPr>
            <w:r>
              <w:rPr>
                <w:b/>
                <w:bCs/>
                <w:spacing w:val="4"/>
                <w:sz w:val="20"/>
                <w:szCs w:val="20"/>
              </w:rPr>
              <w:t>序号</w:t>
            </w:r>
          </w:p>
        </w:tc>
        <w:tc>
          <w:tcPr>
            <w:tcW w:w="2722" w:type="dxa"/>
            <w:tcBorders>
              <w:top w:val="single" w:color="000000" w:sz="10" w:space="0"/>
            </w:tcBorders>
            <w:vAlign w:val="top"/>
          </w:tcPr>
          <w:p w14:paraId="32EC1AEE">
            <w:pPr>
              <w:pStyle w:val="6"/>
              <w:spacing w:before="58" w:line="228" w:lineRule="auto"/>
              <w:ind w:left="1160"/>
              <w:rPr>
                <w:sz w:val="20"/>
                <w:szCs w:val="20"/>
              </w:rPr>
            </w:pPr>
            <w:r>
              <w:rPr>
                <w:b/>
                <w:bCs/>
                <w:spacing w:val="2"/>
                <w:sz w:val="20"/>
                <w:szCs w:val="20"/>
              </w:rPr>
              <w:t>项目</w:t>
            </w:r>
          </w:p>
        </w:tc>
        <w:tc>
          <w:tcPr>
            <w:tcW w:w="5594" w:type="dxa"/>
            <w:tcBorders>
              <w:top w:val="single" w:color="000000" w:sz="10" w:space="0"/>
              <w:right w:val="nil"/>
            </w:tcBorders>
            <w:vAlign w:val="top"/>
          </w:tcPr>
          <w:p w14:paraId="3EDE9486">
            <w:pPr>
              <w:pStyle w:val="6"/>
              <w:spacing w:before="57" w:line="228" w:lineRule="auto"/>
              <w:ind w:left="2303"/>
              <w:rPr>
                <w:sz w:val="20"/>
                <w:szCs w:val="20"/>
              </w:rPr>
            </w:pPr>
            <w:r>
              <w:rPr>
                <w:b/>
                <w:bCs/>
                <w:spacing w:val="1"/>
                <w:sz w:val="20"/>
                <w:szCs w:val="20"/>
              </w:rPr>
              <w:t>内容及要求</w:t>
            </w:r>
          </w:p>
        </w:tc>
      </w:tr>
      <w:tr w14:paraId="31ABBF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55" w:type="dxa"/>
            <w:tcBorders>
              <w:left w:val="nil"/>
            </w:tcBorders>
            <w:vAlign w:val="top"/>
          </w:tcPr>
          <w:p w14:paraId="5D2872EB">
            <w:pPr>
              <w:spacing w:before="90" w:line="195" w:lineRule="auto"/>
              <w:ind w:left="347"/>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722" w:type="dxa"/>
            <w:vAlign w:val="top"/>
          </w:tcPr>
          <w:p w14:paraId="203262C9">
            <w:pPr>
              <w:pStyle w:val="6"/>
              <w:spacing w:before="54" w:line="229" w:lineRule="auto"/>
              <w:ind w:left="843"/>
              <w:rPr>
                <w:sz w:val="20"/>
                <w:szCs w:val="20"/>
              </w:rPr>
            </w:pPr>
            <w:r>
              <w:rPr>
                <w:spacing w:val="8"/>
                <w:sz w:val="20"/>
                <w:szCs w:val="20"/>
              </w:rPr>
              <w:t>应急计划区</w:t>
            </w:r>
          </w:p>
        </w:tc>
        <w:tc>
          <w:tcPr>
            <w:tcW w:w="5594" w:type="dxa"/>
            <w:tcBorders>
              <w:right w:val="nil"/>
            </w:tcBorders>
            <w:vAlign w:val="top"/>
          </w:tcPr>
          <w:p w14:paraId="0EEFC866">
            <w:pPr>
              <w:pStyle w:val="6"/>
              <w:spacing w:before="55" w:line="228" w:lineRule="auto"/>
              <w:ind w:left="814"/>
              <w:rPr>
                <w:sz w:val="20"/>
                <w:szCs w:val="20"/>
              </w:rPr>
            </w:pPr>
            <w:r>
              <w:rPr>
                <w:spacing w:val="9"/>
                <w:sz w:val="20"/>
                <w:szCs w:val="20"/>
              </w:rPr>
              <w:t>危险目标：装置区、煤气柜、环境保护目标</w:t>
            </w:r>
          </w:p>
        </w:tc>
      </w:tr>
      <w:tr w14:paraId="19A558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55" w:type="dxa"/>
            <w:tcBorders>
              <w:left w:val="nil"/>
            </w:tcBorders>
            <w:vAlign w:val="top"/>
          </w:tcPr>
          <w:p w14:paraId="16160672">
            <w:pPr>
              <w:spacing w:before="92" w:line="195" w:lineRule="auto"/>
              <w:ind w:left="327"/>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2722" w:type="dxa"/>
            <w:vAlign w:val="top"/>
          </w:tcPr>
          <w:p w14:paraId="05659534">
            <w:pPr>
              <w:pStyle w:val="6"/>
              <w:spacing w:before="56" w:line="227" w:lineRule="auto"/>
              <w:ind w:left="423"/>
              <w:rPr>
                <w:sz w:val="20"/>
                <w:szCs w:val="20"/>
              </w:rPr>
            </w:pPr>
            <w:r>
              <w:rPr>
                <w:spacing w:val="8"/>
                <w:sz w:val="20"/>
                <w:szCs w:val="20"/>
              </w:rPr>
              <w:t>应急组织机构、人员</w:t>
            </w:r>
          </w:p>
        </w:tc>
        <w:tc>
          <w:tcPr>
            <w:tcW w:w="5594" w:type="dxa"/>
            <w:tcBorders>
              <w:right w:val="nil"/>
            </w:tcBorders>
            <w:vAlign w:val="top"/>
          </w:tcPr>
          <w:p w14:paraId="09599068">
            <w:pPr>
              <w:pStyle w:val="6"/>
              <w:spacing w:before="56" w:line="227" w:lineRule="auto"/>
              <w:ind w:left="1337"/>
              <w:rPr>
                <w:sz w:val="20"/>
                <w:szCs w:val="20"/>
              </w:rPr>
            </w:pPr>
            <w:r>
              <w:rPr>
                <w:spacing w:val="9"/>
                <w:sz w:val="20"/>
                <w:szCs w:val="20"/>
              </w:rPr>
              <w:t>工厂、地区应急组织机构、人员</w:t>
            </w:r>
          </w:p>
        </w:tc>
      </w:tr>
      <w:tr w14:paraId="599A6D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55" w:type="dxa"/>
            <w:tcBorders>
              <w:left w:val="nil"/>
            </w:tcBorders>
            <w:vAlign w:val="top"/>
          </w:tcPr>
          <w:p w14:paraId="0B806251">
            <w:pPr>
              <w:spacing w:before="93" w:line="195" w:lineRule="auto"/>
              <w:ind w:left="331"/>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2722" w:type="dxa"/>
            <w:vAlign w:val="top"/>
          </w:tcPr>
          <w:p w14:paraId="5BB20ECA">
            <w:pPr>
              <w:pStyle w:val="6"/>
              <w:spacing w:before="57" w:line="228" w:lineRule="auto"/>
              <w:ind w:left="528"/>
              <w:rPr>
                <w:sz w:val="20"/>
                <w:szCs w:val="20"/>
              </w:rPr>
            </w:pPr>
            <w:r>
              <w:rPr>
                <w:spacing w:val="8"/>
                <w:sz w:val="20"/>
                <w:szCs w:val="20"/>
              </w:rPr>
              <w:t>预案分级响应条件</w:t>
            </w:r>
          </w:p>
        </w:tc>
        <w:tc>
          <w:tcPr>
            <w:tcW w:w="5594" w:type="dxa"/>
            <w:tcBorders>
              <w:right w:val="nil"/>
            </w:tcBorders>
            <w:vAlign w:val="top"/>
          </w:tcPr>
          <w:p w14:paraId="69B6EDB8">
            <w:pPr>
              <w:pStyle w:val="6"/>
              <w:spacing w:before="57" w:line="228" w:lineRule="auto"/>
              <w:ind w:left="1335"/>
              <w:rPr>
                <w:sz w:val="20"/>
                <w:szCs w:val="20"/>
              </w:rPr>
            </w:pPr>
            <w:r>
              <w:rPr>
                <w:spacing w:val="9"/>
                <w:sz w:val="20"/>
                <w:szCs w:val="20"/>
              </w:rPr>
              <w:t>规定预案的级别及分级响应程序</w:t>
            </w:r>
          </w:p>
        </w:tc>
      </w:tr>
      <w:tr w14:paraId="4322B0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55" w:type="dxa"/>
            <w:tcBorders>
              <w:left w:val="nil"/>
            </w:tcBorders>
            <w:vAlign w:val="top"/>
          </w:tcPr>
          <w:p w14:paraId="6C98D139">
            <w:pPr>
              <w:spacing w:before="95" w:line="195" w:lineRule="auto"/>
              <w:ind w:left="32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2722" w:type="dxa"/>
            <w:vAlign w:val="top"/>
          </w:tcPr>
          <w:p w14:paraId="75E53B15">
            <w:pPr>
              <w:pStyle w:val="6"/>
              <w:spacing w:before="58" w:line="228" w:lineRule="auto"/>
              <w:ind w:left="737"/>
              <w:rPr>
                <w:sz w:val="20"/>
                <w:szCs w:val="20"/>
              </w:rPr>
            </w:pPr>
            <w:r>
              <w:rPr>
                <w:spacing w:val="8"/>
                <w:sz w:val="20"/>
                <w:szCs w:val="20"/>
              </w:rPr>
              <w:t>应急救援保障</w:t>
            </w:r>
          </w:p>
        </w:tc>
        <w:tc>
          <w:tcPr>
            <w:tcW w:w="5594" w:type="dxa"/>
            <w:tcBorders>
              <w:right w:val="nil"/>
            </w:tcBorders>
            <w:vAlign w:val="top"/>
          </w:tcPr>
          <w:p w14:paraId="279D009E">
            <w:pPr>
              <w:pStyle w:val="6"/>
              <w:spacing w:before="59" w:line="227" w:lineRule="auto"/>
              <w:ind w:left="1651"/>
              <w:rPr>
                <w:sz w:val="20"/>
                <w:szCs w:val="20"/>
              </w:rPr>
            </w:pPr>
            <w:r>
              <w:rPr>
                <w:spacing w:val="9"/>
                <w:sz w:val="20"/>
                <w:szCs w:val="20"/>
              </w:rPr>
              <w:t>应急设施、设备与器材等</w:t>
            </w:r>
          </w:p>
        </w:tc>
      </w:tr>
      <w:tr w14:paraId="7A87FE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55" w:type="dxa"/>
            <w:tcBorders>
              <w:left w:val="nil"/>
            </w:tcBorders>
            <w:vAlign w:val="top"/>
          </w:tcPr>
          <w:p w14:paraId="795F7A16">
            <w:pPr>
              <w:spacing w:before="101" w:line="192" w:lineRule="auto"/>
              <w:ind w:left="333"/>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722" w:type="dxa"/>
            <w:vAlign w:val="top"/>
          </w:tcPr>
          <w:p w14:paraId="0478197B">
            <w:pPr>
              <w:pStyle w:val="6"/>
              <w:spacing w:before="62" w:line="228" w:lineRule="auto"/>
              <w:ind w:left="421"/>
              <w:rPr>
                <w:sz w:val="20"/>
                <w:szCs w:val="20"/>
              </w:rPr>
            </w:pPr>
            <w:r>
              <w:rPr>
                <w:spacing w:val="9"/>
                <w:sz w:val="20"/>
                <w:szCs w:val="20"/>
              </w:rPr>
              <w:t>报警、通讯联络方式</w:t>
            </w:r>
          </w:p>
        </w:tc>
        <w:tc>
          <w:tcPr>
            <w:tcW w:w="5594" w:type="dxa"/>
            <w:tcBorders>
              <w:right w:val="nil"/>
            </w:tcBorders>
            <w:vAlign w:val="top"/>
          </w:tcPr>
          <w:p w14:paraId="681073A0">
            <w:pPr>
              <w:pStyle w:val="6"/>
              <w:spacing w:before="62" w:line="228" w:lineRule="auto"/>
              <w:ind w:right="2"/>
              <w:jc w:val="right"/>
              <w:rPr>
                <w:sz w:val="20"/>
                <w:szCs w:val="20"/>
              </w:rPr>
            </w:pPr>
            <w:r>
              <w:rPr>
                <w:spacing w:val="6"/>
                <w:sz w:val="20"/>
                <w:szCs w:val="20"/>
              </w:rPr>
              <w:t>规定应急状态下的报警通讯方式、通知方式和交通保障、管制</w:t>
            </w:r>
          </w:p>
        </w:tc>
      </w:tr>
      <w:tr w14:paraId="5BD72D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0" w:hRule="atLeast"/>
        </w:trPr>
        <w:tc>
          <w:tcPr>
            <w:tcW w:w="755" w:type="dxa"/>
            <w:tcBorders>
              <w:left w:val="nil"/>
            </w:tcBorders>
            <w:vAlign w:val="top"/>
          </w:tcPr>
          <w:p w14:paraId="4468127D">
            <w:pPr>
              <w:spacing w:before="258" w:line="195" w:lineRule="auto"/>
              <w:ind w:left="331"/>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2722" w:type="dxa"/>
            <w:vAlign w:val="top"/>
          </w:tcPr>
          <w:p w14:paraId="79FFA88D">
            <w:pPr>
              <w:pStyle w:val="6"/>
              <w:spacing w:before="63" w:line="228" w:lineRule="auto"/>
              <w:ind w:left="10"/>
              <w:rPr>
                <w:sz w:val="20"/>
                <w:szCs w:val="20"/>
              </w:rPr>
            </w:pPr>
            <w:r>
              <w:rPr>
                <w:spacing w:val="8"/>
                <w:sz w:val="20"/>
                <w:szCs w:val="20"/>
              </w:rPr>
              <w:t>应急环境监测、抢险、救援及</w:t>
            </w:r>
          </w:p>
          <w:p w14:paraId="561AF602">
            <w:pPr>
              <w:pStyle w:val="6"/>
              <w:spacing w:before="72" w:line="228" w:lineRule="auto"/>
              <w:ind w:left="945"/>
              <w:outlineLvl w:val="2"/>
              <w:rPr>
                <w:sz w:val="20"/>
                <w:szCs w:val="20"/>
              </w:rPr>
            </w:pPr>
            <w:r>
              <w:rPr>
                <w:spacing w:val="7"/>
                <w:sz w:val="20"/>
                <w:szCs w:val="20"/>
              </w:rPr>
              <w:t>控制措施</w:t>
            </w:r>
          </w:p>
        </w:tc>
        <w:tc>
          <w:tcPr>
            <w:tcW w:w="5594" w:type="dxa"/>
            <w:tcBorders>
              <w:right w:val="nil"/>
            </w:tcBorders>
            <w:vAlign w:val="top"/>
          </w:tcPr>
          <w:p w14:paraId="6F9ED593">
            <w:pPr>
              <w:pStyle w:val="6"/>
              <w:spacing w:before="64" w:line="261" w:lineRule="auto"/>
              <w:ind w:left="815" w:right="2" w:hanging="778"/>
              <w:rPr>
                <w:sz w:val="20"/>
                <w:szCs w:val="20"/>
              </w:rPr>
            </w:pPr>
            <w:r>
              <w:rPr>
                <w:spacing w:val="5"/>
                <w:sz w:val="20"/>
                <w:szCs w:val="20"/>
              </w:rPr>
              <w:t>由专业队伍负责对事故现场进行侦察监测，对事故性质、参数</w:t>
            </w:r>
            <w:r>
              <w:rPr>
                <w:spacing w:val="15"/>
                <w:sz w:val="20"/>
                <w:szCs w:val="20"/>
              </w:rPr>
              <w:t xml:space="preserve"> </w:t>
            </w:r>
            <w:r>
              <w:rPr>
                <w:spacing w:val="9"/>
                <w:sz w:val="20"/>
                <w:szCs w:val="20"/>
              </w:rPr>
              <w:t>与后果进行评估，为指挥部门提供决策依据</w:t>
            </w:r>
          </w:p>
        </w:tc>
      </w:tr>
      <w:tr w14:paraId="051A9E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0" w:hRule="atLeast"/>
        </w:trPr>
        <w:tc>
          <w:tcPr>
            <w:tcW w:w="755" w:type="dxa"/>
            <w:tcBorders>
              <w:left w:val="nil"/>
            </w:tcBorders>
            <w:vAlign w:val="top"/>
          </w:tcPr>
          <w:p w14:paraId="5827D53E">
            <w:pPr>
              <w:spacing w:before="264" w:line="192" w:lineRule="auto"/>
              <w:ind w:left="330"/>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2722" w:type="dxa"/>
            <w:vAlign w:val="top"/>
          </w:tcPr>
          <w:p w14:paraId="75B526DD">
            <w:pPr>
              <w:pStyle w:val="6"/>
              <w:spacing w:before="66" w:line="260" w:lineRule="auto"/>
              <w:ind w:left="737" w:right="2" w:hanging="727"/>
              <w:rPr>
                <w:sz w:val="20"/>
                <w:szCs w:val="20"/>
              </w:rPr>
            </w:pPr>
            <w:r>
              <w:rPr>
                <w:spacing w:val="8"/>
                <w:sz w:val="20"/>
                <w:szCs w:val="20"/>
              </w:rPr>
              <w:t>应急检测、防护措施、清除泄</w:t>
            </w:r>
            <w:r>
              <w:rPr>
                <w:sz w:val="20"/>
                <w:szCs w:val="20"/>
              </w:rPr>
              <w:t xml:space="preserve"> </w:t>
            </w:r>
            <w:r>
              <w:rPr>
                <w:spacing w:val="8"/>
                <w:sz w:val="20"/>
                <w:szCs w:val="20"/>
              </w:rPr>
              <w:t>漏措施和器材</w:t>
            </w:r>
          </w:p>
        </w:tc>
        <w:tc>
          <w:tcPr>
            <w:tcW w:w="5594" w:type="dxa"/>
            <w:tcBorders>
              <w:right w:val="nil"/>
            </w:tcBorders>
            <w:vAlign w:val="top"/>
          </w:tcPr>
          <w:p w14:paraId="33DD3FF1">
            <w:pPr>
              <w:pStyle w:val="6"/>
              <w:spacing w:before="66" w:line="260" w:lineRule="auto"/>
              <w:ind w:left="2385" w:right="2" w:hanging="2373"/>
              <w:rPr>
                <w:sz w:val="20"/>
                <w:szCs w:val="20"/>
              </w:rPr>
            </w:pPr>
            <w:r>
              <w:rPr>
                <w:spacing w:val="6"/>
                <w:sz w:val="20"/>
                <w:szCs w:val="20"/>
              </w:rPr>
              <w:t>事故现场、邻近区域、控制防火区域，控制和清除污染措施及</w:t>
            </w:r>
            <w:r>
              <w:rPr>
                <w:spacing w:val="13"/>
                <w:sz w:val="20"/>
                <w:szCs w:val="20"/>
              </w:rPr>
              <w:t xml:space="preserve"> </w:t>
            </w:r>
            <w:r>
              <w:rPr>
                <w:spacing w:val="7"/>
                <w:sz w:val="20"/>
                <w:szCs w:val="20"/>
              </w:rPr>
              <w:t>相应设备</w:t>
            </w:r>
          </w:p>
        </w:tc>
      </w:tr>
      <w:tr w14:paraId="6927F9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8" w:hRule="atLeast"/>
        </w:trPr>
        <w:tc>
          <w:tcPr>
            <w:tcW w:w="755" w:type="dxa"/>
            <w:tcBorders>
              <w:left w:val="nil"/>
            </w:tcBorders>
            <w:vAlign w:val="top"/>
          </w:tcPr>
          <w:p w14:paraId="3BE3DFA3">
            <w:pPr>
              <w:spacing w:line="365" w:lineRule="auto"/>
              <w:rPr>
                <w:rFonts w:ascii="Arial"/>
                <w:sz w:val="21"/>
              </w:rPr>
            </w:pPr>
          </w:p>
          <w:p w14:paraId="39F30382">
            <w:pPr>
              <w:spacing w:before="58" w:line="195" w:lineRule="auto"/>
              <w:ind w:left="335"/>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2722" w:type="dxa"/>
            <w:vAlign w:val="top"/>
          </w:tcPr>
          <w:p w14:paraId="7F4C1FC9">
            <w:pPr>
              <w:pStyle w:val="6"/>
              <w:spacing w:before="229" w:line="280" w:lineRule="auto"/>
              <w:ind w:left="317" w:right="2" w:hanging="305"/>
              <w:rPr>
                <w:sz w:val="20"/>
                <w:szCs w:val="20"/>
              </w:rPr>
            </w:pPr>
            <w:r>
              <w:rPr>
                <w:spacing w:val="7"/>
                <w:sz w:val="20"/>
                <w:szCs w:val="20"/>
              </w:rPr>
              <w:t>人员紧急撤离、疏散，应急计</w:t>
            </w:r>
            <w:r>
              <w:rPr>
                <w:spacing w:val="10"/>
                <w:sz w:val="20"/>
                <w:szCs w:val="20"/>
              </w:rPr>
              <w:t xml:space="preserve"> </w:t>
            </w:r>
            <w:r>
              <w:rPr>
                <w:spacing w:val="8"/>
                <w:sz w:val="20"/>
                <w:szCs w:val="20"/>
              </w:rPr>
              <w:t>量控制、撤离组织计划</w:t>
            </w:r>
          </w:p>
        </w:tc>
        <w:tc>
          <w:tcPr>
            <w:tcW w:w="5594" w:type="dxa"/>
            <w:tcBorders>
              <w:right w:val="nil"/>
            </w:tcBorders>
            <w:vAlign w:val="top"/>
          </w:tcPr>
          <w:p w14:paraId="4D80D40B">
            <w:pPr>
              <w:pStyle w:val="6"/>
              <w:spacing w:before="69" w:line="228" w:lineRule="auto"/>
              <w:ind w:left="12"/>
              <w:rPr>
                <w:sz w:val="20"/>
                <w:szCs w:val="20"/>
              </w:rPr>
            </w:pPr>
            <w:r>
              <w:rPr>
                <w:spacing w:val="6"/>
                <w:sz w:val="20"/>
                <w:szCs w:val="20"/>
              </w:rPr>
              <w:t>事故现场、工厂邻近区、受事故影响的区域人员及公共对毒物</w:t>
            </w:r>
          </w:p>
          <w:p w14:paraId="79CE40F5">
            <w:pPr>
              <w:pStyle w:val="6"/>
              <w:spacing w:before="72" w:line="227" w:lineRule="auto"/>
              <w:ind w:left="12"/>
              <w:rPr>
                <w:sz w:val="20"/>
                <w:szCs w:val="20"/>
              </w:rPr>
            </w:pPr>
            <w:r>
              <w:rPr>
                <w:spacing w:val="6"/>
                <w:sz w:val="20"/>
                <w:szCs w:val="20"/>
              </w:rPr>
              <w:t>应急剂量控制规定，撤离组织计划及救护，医疗救护与公众健</w:t>
            </w:r>
          </w:p>
          <w:p w14:paraId="53595B24">
            <w:pPr>
              <w:pStyle w:val="6"/>
              <w:spacing w:before="71" w:line="223" w:lineRule="auto"/>
              <w:ind w:left="2699"/>
              <w:rPr>
                <w:sz w:val="20"/>
                <w:szCs w:val="20"/>
              </w:rPr>
            </w:pPr>
            <w:r>
              <w:rPr>
                <w:spacing w:val="1"/>
                <w:sz w:val="20"/>
                <w:szCs w:val="20"/>
              </w:rPr>
              <w:t>康</w:t>
            </w:r>
          </w:p>
        </w:tc>
      </w:tr>
      <w:tr w14:paraId="13B65C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0" w:hRule="atLeast"/>
        </w:trPr>
        <w:tc>
          <w:tcPr>
            <w:tcW w:w="755" w:type="dxa"/>
            <w:tcBorders>
              <w:left w:val="nil"/>
            </w:tcBorders>
            <w:vAlign w:val="top"/>
          </w:tcPr>
          <w:p w14:paraId="11EFA730">
            <w:pPr>
              <w:spacing w:before="268" w:line="195" w:lineRule="auto"/>
              <w:ind w:left="331"/>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2722" w:type="dxa"/>
            <w:vAlign w:val="top"/>
          </w:tcPr>
          <w:p w14:paraId="7461A3E6">
            <w:pPr>
              <w:pStyle w:val="6"/>
              <w:spacing w:before="75" w:line="256" w:lineRule="auto"/>
              <w:ind w:left="1057" w:right="100" w:hanging="951"/>
              <w:rPr>
                <w:sz w:val="20"/>
                <w:szCs w:val="20"/>
              </w:rPr>
            </w:pPr>
            <w:r>
              <w:rPr>
                <w:spacing w:val="9"/>
                <w:sz w:val="20"/>
                <w:szCs w:val="20"/>
              </w:rPr>
              <w:t>事故应急救援关闭程序与恢</w:t>
            </w:r>
            <w:r>
              <w:rPr>
                <w:sz w:val="20"/>
                <w:szCs w:val="20"/>
              </w:rPr>
              <w:t xml:space="preserve"> </w:t>
            </w:r>
            <w:r>
              <w:rPr>
                <w:spacing w:val="5"/>
                <w:sz w:val="20"/>
                <w:szCs w:val="20"/>
              </w:rPr>
              <w:t>复措施</w:t>
            </w:r>
          </w:p>
        </w:tc>
        <w:tc>
          <w:tcPr>
            <w:tcW w:w="5594" w:type="dxa"/>
            <w:tcBorders>
              <w:right w:val="nil"/>
            </w:tcBorders>
            <w:vAlign w:val="top"/>
          </w:tcPr>
          <w:p w14:paraId="3C3E12A3">
            <w:pPr>
              <w:pStyle w:val="6"/>
              <w:spacing w:before="75" w:line="256" w:lineRule="auto"/>
              <w:ind w:left="1246" w:right="2" w:hanging="1233"/>
              <w:rPr>
                <w:sz w:val="20"/>
                <w:szCs w:val="20"/>
              </w:rPr>
            </w:pPr>
            <w:r>
              <w:rPr>
                <w:spacing w:val="6"/>
                <w:sz w:val="20"/>
                <w:szCs w:val="20"/>
              </w:rPr>
              <w:t>规定应急状态终止程序；事故现场善后处理，恢复措施；邻近</w:t>
            </w:r>
            <w:r>
              <w:rPr>
                <w:spacing w:val="13"/>
                <w:sz w:val="20"/>
                <w:szCs w:val="20"/>
              </w:rPr>
              <w:t xml:space="preserve"> </w:t>
            </w:r>
            <w:r>
              <w:rPr>
                <w:spacing w:val="8"/>
                <w:sz w:val="20"/>
                <w:szCs w:val="20"/>
              </w:rPr>
              <w:t>区域解除事故警戒及善后恢复措施</w:t>
            </w:r>
          </w:p>
        </w:tc>
      </w:tr>
      <w:tr w14:paraId="58E36D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55" w:type="dxa"/>
            <w:tcBorders>
              <w:left w:val="nil"/>
            </w:tcBorders>
            <w:vAlign w:val="top"/>
          </w:tcPr>
          <w:p w14:paraId="2685A648">
            <w:pPr>
              <w:spacing w:before="113" w:line="195" w:lineRule="auto"/>
              <w:ind w:left="294"/>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2722" w:type="dxa"/>
            <w:vAlign w:val="top"/>
          </w:tcPr>
          <w:p w14:paraId="7898ED99">
            <w:pPr>
              <w:pStyle w:val="6"/>
              <w:spacing w:before="77" w:line="217" w:lineRule="auto"/>
              <w:ind w:left="737"/>
              <w:rPr>
                <w:sz w:val="20"/>
                <w:szCs w:val="20"/>
              </w:rPr>
            </w:pPr>
            <w:r>
              <w:rPr>
                <w:spacing w:val="8"/>
                <w:sz w:val="20"/>
                <w:szCs w:val="20"/>
              </w:rPr>
              <w:t>应急培训计划</w:t>
            </w:r>
          </w:p>
        </w:tc>
        <w:tc>
          <w:tcPr>
            <w:tcW w:w="5594" w:type="dxa"/>
            <w:tcBorders>
              <w:right w:val="nil"/>
            </w:tcBorders>
            <w:vAlign w:val="top"/>
          </w:tcPr>
          <w:p w14:paraId="77EC7A8F">
            <w:pPr>
              <w:pStyle w:val="6"/>
              <w:spacing w:before="77" w:line="217" w:lineRule="auto"/>
              <w:ind w:left="811"/>
              <w:rPr>
                <w:sz w:val="20"/>
                <w:szCs w:val="20"/>
              </w:rPr>
            </w:pPr>
            <w:r>
              <w:rPr>
                <w:spacing w:val="9"/>
                <w:sz w:val="20"/>
                <w:szCs w:val="20"/>
              </w:rPr>
              <w:t>应急计划制定后，平时安排人员培训与演练</w:t>
            </w:r>
          </w:p>
        </w:tc>
      </w:tr>
      <w:tr w14:paraId="366666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755" w:type="dxa"/>
            <w:tcBorders>
              <w:left w:val="nil"/>
              <w:bottom w:val="single" w:color="000000" w:sz="10" w:space="0"/>
            </w:tcBorders>
            <w:vAlign w:val="top"/>
          </w:tcPr>
          <w:p w14:paraId="5F5C7C42">
            <w:pPr>
              <w:spacing w:before="114"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10"/>
                <w:sz w:val="20"/>
                <w:szCs w:val="20"/>
              </w:rPr>
              <w:t>11</w:t>
            </w:r>
          </w:p>
        </w:tc>
        <w:tc>
          <w:tcPr>
            <w:tcW w:w="2722" w:type="dxa"/>
            <w:tcBorders>
              <w:bottom w:val="single" w:color="000000" w:sz="10" w:space="0"/>
            </w:tcBorders>
            <w:vAlign w:val="top"/>
          </w:tcPr>
          <w:p w14:paraId="0505BEB5">
            <w:pPr>
              <w:pStyle w:val="6"/>
              <w:spacing w:before="77" w:line="228" w:lineRule="auto"/>
              <w:ind w:left="638"/>
              <w:rPr>
                <w:sz w:val="20"/>
                <w:szCs w:val="20"/>
              </w:rPr>
            </w:pPr>
            <w:r>
              <w:rPr>
                <w:spacing w:val="7"/>
                <w:sz w:val="20"/>
                <w:szCs w:val="20"/>
              </w:rPr>
              <w:t>公众教育和信息</w:t>
            </w:r>
          </w:p>
        </w:tc>
        <w:tc>
          <w:tcPr>
            <w:tcW w:w="5594" w:type="dxa"/>
            <w:tcBorders>
              <w:bottom w:val="single" w:color="000000" w:sz="10" w:space="0"/>
              <w:right w:val="nil"/>
            </w:tcBorders>
            <w:vAlign w:val="top"/>
          </w:tcPr>
          <w:p w14:paraId="062DB9AB">
            <w:pPr>
              <w:pStyle w:val="6"/>
              <w:spacing w:before="78" w:line="227" w:lineRule="auto"/>
              <w:ind w:left="390"/>
              <w:rPr>
                <w:sz w:val="20"/>
                <w:szCs w:val="20"/>
              </w:rPr>
            </w:pPr>
            <w:r>
              <w:rPr>
                <w:spacing w:val="9"/>
                <w:sz w:val="20"/>
                <w:szCs w:val="20"/>
              </w:rPr>
              <w:t>对工厂邻近地区开展公众教育、培训和发布有关信息</w:t>
            </w:r>
          </w:p>
        </w:tc>
      </w:tr>
    </w:tbl>
    <w:p w14:paraId="625D2C2B">
      <w:pPr>
        <w:spacing w:before="180" w:line="219" w:lineRule="auto"/>
        <w:ind w:left="8"/>
        <w:outlineLvl w:val="2"/>
        <w:rPr>
          <w:rFonts w:ascii="宋体" w:hAnsi="宋体" w:eastAsia="宋体" w:cs="宋体"/>
          <w:sz w:val="28"/>
          <w:szCs w:val="28"/>
        </w:rPr>
      </w:pPr>
      <w:bookmarkStart w:id="423" w:name="bookmark314"/>
      <w:bookmarkEnd w:id="423"/>
      <w:r>
        <w:rPr>
          <w:rFonts w:ascii="Times New Roman" w:hAnsi="Times New Roman" w:eastAsia="Times New Roman" w:cs="Times New Roman"/>
          <w:b/>
          <w:bCs/>
          <w:spacing w:val="-2"/>
          <w:sz w:val="28"/>
          <w:szCs w:val="28"/>
        </w:rPr>
        <w:t xml:space="preserve">5.8.1 </w:t>
      </w:r>
      <w:r>
        <w:rPr>
          <w:rFonts w:ascii="宋体" w:hAnsi="宋体" w:eastAsia="宋体" w:cs="宋体"/>
          <w:b/>
          <w:bCs/>
          <w:spacing w:val="-2"/>
          <w:sz w:val="28"/>
          <w:szCs w:val="28"/>
        </w:rPr>
        <w:t>应急组织机构和人员</w:t>
      </w:r>
    </w:p>
    <w:p w14:paraId="3F7B30B1">
      <w:pPr>
        <w:spacing w:before="243" w:line="356" w:lineRule="auto"/>
        <w:ind w:left="15" w:right="1" w:firstLine="476"/>
        <w:rPr>
          <w:rFonts w:ascii="宋体" w:hAnsi="宋体" w:eastAsia="宋体" w:cs="宋体"/>
          <w:sz w:val="24"/>
          <w:szCs w:val="24"/>
        </w:rPr>
      </w:pPr>
      <w:r>
        <w:rPr>
          <w:rFonts w:ascii="宋体" w:hAnsi="宋体" w:eastAsia="宋体" w:cs="宋体"/>
          <w:spacing w:val="5"/>
          <w:sz w:val="24"/>
          <w:szCs w:val="24"/>
        </w:rPr>
        <w:t>项目建成后企业必须组建</w:t>
      </w:r>
      <w:r>
        <w:rPr>
          <w:rFonts w:ascii="Times New Roman" w:hAnsi="Times New Roman" w:eastAsia="Times New Roman" w:cs="Times New Roman"/>
          <w:spacing w:val="5"/>
          <w:sz w:val="24"/>
          <w:szCs w:val="24"/>
        </w:rPr>
        <w:t>“</w:t>
      </w:r>
      <w:r>
        <w:rPr>
          <w:rFonts w:ascii="宋体" w:hAnsi="宋体" w:eastAsia="宋体" w:cs="宋体"/>
          <w:spacing w:val="5"/>
          <w:sz w:val="24"/>
          <w:szCs w:val="24"/>
        </w:rPr>
        <w:t>事故应急救援队伍</w:t>
      </w:r>
      <w:r>
        <w:rPr>
          <w:rFonts w:ascii="Times New Roman" w:hAnsi="Times New Roman" w:eastAsia="Times New Roman" w:cs="Times New Roman"/>
          <w:spacing w:val="5"/>
          <w:sz w:val="24"/>
          <w:szCs w:val="24"/>
        </w:rPr>
        <w:t>”</w:t>
      </w:r>
      <w:r>
        <w:rPr>
          <w:rFonts w:ascii="Times New Roman" w:hAnsi="Times New Roman" w:eastAsia="Times New Roman" w:cs="Times New Roman"/>
          <w:spacing w:val="-25"/>
          <w:sz w:val="24"/>
          <w:szCs w:val="24"/>
        </w:rPr>
        <w:t xml:space="preserve"> </w:t>
      </w:r>
      <w:r>
        <w:rPr>
          <w:rFonts w:ascii="宋体" w:hAnsi="宋体" w:eastAsia="宋体" w:cs="宋体"/>
          <w:spacing w:val="5"/>
          <w:sz w:val="24"/>
          <w:szCs w:val="24"/>
        </w:rPr>
        <w:t>，在企业</w:t>
      </w:r>
      <w:r>
        <w:rPr>
          <w:rFonts w:ascii="宋体" w:hAnsi="宋体" w:eastAsia="宋体" w:cs="宋体"/>
          <w:spacing w:val="4"/>
          <w:sz w:val="24"/>
          <w:szCs w:val="24"/>
        </w:rPr>
        <w:t>应急指挥小组的统一领导</w:t>
      </w:r>
      <w:r>
        <w:rPr>
          <w:rFonts w:ascii="宋体" w:hAnsi="宋体" w:eastAsia="宋体" w:cs="宋体"/>
          <w:sz w:val="24"/>
          <w:szCs w:val="24"/>
        </w:rPr>
        <w:t xml:space="preserve"> </w:t>
      </w:r>
      <w:r>
        <w:rPr>
          <w:rFonts w:ascii="宋体" w:hAnsi="宋体" w:eastAsia="宋体" w:cs="宋体"/>
          <w:spacing w:val="-1"/>
          <w:sz w:val="24"/>
          <w:szCs w:val="24"/>
        </w:rPr>
        <w:t>下，编为综合协调组、抢险救灾组、后勤物资保障组及医疗救助组四个小组。</w:t>
      </w:r>
    </w:p>
    <w:p w14:paraId="115EF9B4">
      <w:pPr>
        <w:spacing w:before="33" w:line="219" w:lineRule="auto"/>
        <w:ind w:left="492"/>
        <w:rPr>
          <w:rFonts w:ascii="宋体" w:hAnsi="宋体" w:eastAsia="宋体" w:cs="宋体"/>
          <w:sz w:val="24"/>
          <w:szCs w:val="24"/>
        </w:rPr>
      </w:pPr>
      <w:r>
        <w:rPr>
          <w:rFonts w:ascii="宋体" w:hAnsi="宋体" w:eastAsia="宋体" w:cs="宋体"/>
          <w:spacing w:val="-1"/>
          <w:sz w:val="24"/>
          <w:szCs w:val="24"/>
        </w:rPr>
        <w:t>企业依据事故危害的级别设置二级应急救援领导小组。</w:t>
      </w:r>
    </w:p>
    <w:p w14:paraId="3A09255A">
      <w:pPr>
        <w:spacing w:before="196" w:line="219" w:lineRule="auto"/>
        <w:ind w:left="492"/>
        <w:rPr>
          <w:rFonts w:ascii="宋体" w:hAnsi="宋体" w:eastAsia="宋体" w:cs="宋体"/>
          <w:sz w:val="24"/>
          <w:szCs w:val="24"/>
        </w:rPr>
      </w:pPr>
      <w:r>
        <w:rPr>
          <w:rFonts w:ascii="宋体" w:hAnsi="宋体" w:eastAsia="宋体" w:cs="宋体"/>
          <w:spacing w:val="-1"/>
          <w:sz w:val="24"/>
          <w:szCs w:val="24"/>
        </w:rPr>
        <w:t>企业应急救援领导小组负责对单位内的</w:t>
      </w:r>
      <w:r>
        <w:rPr>
          <w:rFonts w:ascii="Times New Roman" w:hAnsi="Times New Roman" w:eastAsia="Times New Roman" w:cs="Times New Roman"/>
          <w:spacing w:val="-1"/>
          <w:sz w:val="24"/>
          <w:szCs w:val="24"/>
        </w:rPr>
        <w:t>Ⅰ</w:t>
      </w:r>
      <w:r>
        <w:rPr>
          <w:rFonts w:ascii="宋体" w:hAnsi="宋体" w:eastAsia="宋体" w:cs="宋体"/>
          <w:spacing w:val="-1"/>
          <w:sz w:val="24"/>
          <w:szCs w:val="24"/>
        </w:rPr>
        <w:t>类、</w:t>
      </w:r>
      <w:r>
        <w:rPr>
          <w:rFonts w:ascii="Times New Roman" w:hAnsi="Times New Roman" w:eastAsia="Times New Roman" w:cs="Times New Roman"/>
          <w:spacing w:val="-1"/>
          <w:sz w:val="24"/>
          <w:szCs w:val="24"/>
        </w:rPr>
        <w:t>Ⅰ</w:t>
      </w:r>
      <w:r>
        <w:rPr>
          <w:rFonts w:ascii="宋体" w:hAnsi="宋体" w:eastAsia="宋体" w:cs="宋体"/>
          <w:spacing w:val="-1"/>
          <w:sz w:val="24"/>
          <w:szCs w:val="24"/>
        </w:rPr>
        <w:t>级事故实施应急救援。</w:t>
      </w:r>
    </w:p>
    <w:p w14:paraId="7EC823D2">
      <w:pPr>
        <w:spacing w:before="193" w:line="219" w:lineRule="auto"/>
        <w:ind w:left="491"/>
        <w:rPr>
          <w:rFonts w:ascii="宋体" w:hAnsi="宋体" w:eastAsia="宋体" w:cs="宋体"/>
          <w:sz w:val="24"/>
          <w:szCs w:val="24"/>
        </w:rPr>
      </w:pPr>
      <w:r>
        <w:rPr>
          <w:rFonts w:ascii="宋体" w:hAnsi="宋体" w:eastAsia="宋体" w:cs="宋体"/>
          <w:sz w:val="24"/>
          <w:szCs w:val="24"/>
        </w:rPr>
        <w:t>部门应急救援领导小组负责对部门所发生的</w:t>
      </w:r>
      <w:r>
        <w:rPr>
          <w:rFonts w:ascii="Times New Roman" w:hAnsi="Times New Roman" w:eastAsia="Times New Roman" w:cs="Times New Roman"/>
          <w:sz w:val="24"/>
          <w:szCs w:val="24"/>
        </w:rPr>
        <w:t>Ⅱ</w:t>
      </w:r>
      <w:r>
        <w:rPr>
          <w:rFonts w:ascii="宋体" w:hAnsi="宋体" w:eastAsia="宋体" w:cs="宋体"/>
          <w:sz w:val="24"/>
          <w:szCs w:val="24"/>
        </w:rPr>
        <w:t>类、</w:t>
      </w:r>
      <w:r>
        <w:rPr>
          <w:rFonts w:ascii="Times New Roman" w:hAnsi="Times New Roman" w:eastAsia="Times New Roman" w:cs="Times New Roman"/>
          <w:sz w:val="24"/>
          <w:szCs w:val="24"/>
        </w:rPr>
        <w:t>Ⅱ</w:t>
      </w:r>
      <w:r>
        <w:rPr>
          <w:rFonts w:ascii="宋体" w:hAnsi="宋体" w:eastAsia="宋体" w:cs="宋体"/>
          <w:sz w:val="24"/>
          <w:szCs w:val="24"/>
        </w:rPr>
        <w:t>级</w:t>
      </w:r>
      <w:r>
        <w:rPr>
          <w:rFonts w:ascii="宋体" w:hAnsi="宋体" w:eastAsia="宋体" w:cs="宋体"/>
          <w:spacing w:val="-1"/>
          <w:sz w:val="24"/>
          <w:szCs w:val="24"/>
        </w:rPr>
        <w:t>的事故实施应急救援工作。</w:t>
      </w:r>
    </w:p>
    <w:p w14:paraId="6ED64E57">
      <w:pPr>
        <w:spacing w:before="251" w:line="220" w:lineRule="auto"/>
        <w:ind w:left="8"/>
        <w:outlineLvl w:val="2"/>
        <w:rPr>
          <w:rFonts w:ascii="宋体" w:hAnsi="宋体" w:eastAsia="宋体" w:cs="宋体"/>
          <w:sz w:val="28"/>
          <w:szCs w:val="28"/>
        </w:rPr>
      </w:pPr>
      <w:bookmarkStart w:id="424" w:name="bookmark316"/>
      <w:bookmarkEnd w:id="424"/>
      <w:r>
        <w:rPr>
          <w:rFonts w:ascii="Times New Roman" w:hAnsi="Times New Roman" w:eastAsia="Times New Roman" w:cs="Times New Roman"/>
          <w:b/>
          <w:bCs/>
          <w:spacing w:val="-2"/>
          <w:sz w:val="28"/>
          <w:szCs w:val="28"/>
        </w:rPr>
        <w:t xml:space="preserve">5.8.2 </w:t>
      </w:r>
      <w:r>
        <w:rPr>
          <w:rFonts w:ascii="宋体" w:hAnsi="宋体" w:eastAsia="宋体" w:cs="宋体"/>
          <w:b/>
          <w:bCs/>
          <w:spacing w:val="-2"/>
          <w:sz w:val="28"/>
          <w:szCs w:val="28"/>
        </w:rPr>
        <w:t>预案分级响应条件</w:t>
      </w:r>
    </w:p>
    <w:p w14:paraId="0F73FCF2">
      <w:pPr>
        <w:spacing w:before="247" w:line="219" w:lineRule="auto"/>
        <w:ind w:left="488"/>
        <w:rPr>
          <w:rFonts w:ascii="宋体" w:hAnsi="宋体" w:eastAsia="宋体" w:cs="宋体"/>
          <w:sz w:val="24"/>
          <w:szCs w:val="24"/>
        </w:rPr>
      </w:pPr>
      <w:r>
        <w:rPr>
          <w:rFonts w:ascii="宋体" w:hAnsi="宋体" w:eastAsia="宋体" w:cs="宋体"/>
          <w:spacing w:val="-1"/>
          <w:sz w:val="24"/>
          <w:szCs w:val="24"/>
        </w:rPr>
        <w:t>根据所发事故的大小，确定相应的预案级别及分级响应程序。</w:t>
      </w:r>
    </w:p>
    <w:p w14:paraId="066E5458">
      <w:pPr>
        <w:spacing w:before="192" w:line="220"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）一般污染事故应急响应程序</w:t>
      </w:r>
    </w:p>
    <w:p w14:paraId="1C04699D">
      <w:pPr>
        <w:spacing w:before="193" w:line="293" w:lineRule="auto"/>
        <w:ind w:left="10" w:right="59" w:firstLine="477"/>
        <w:rPr>
          <w:rFonts w:ascii="宋体" w:hAnsi="宋体" w:eastAsia="宋体" w:cs="宋体"/>
          <w:sz w:val="24"/>
          <w:szCs w:val="24"/>
        </w:rPr>
      </w:pPr>
      <w:r>
        <w:rPr>
          <w:rFonts w:ascii="宋体" w:hAnsi="宋体" w:eastAsia="宋体" w:cs="宋体"/>
          <w:spacing w:val="-1"/>
          <w:sz w:val="24"/>
          <w:szCs w:val="24"/>
        </w:rPr>
        <w:t>①应急指挥小组接到事故报警后，立即通知各应急小组</w:t>
      </w:r>
      <w:r>
        <w:rPr>
          <w:rFonts w:ascii="宋体" w:hAnsi="宋体" w:eastAsia="宋体" w:cs="宋体"/>
          <w:spacing w:val="-19"/>
          <w:sz w:val="24"/>
          <w:szCs w:val="24"/>
        </w:rPr>
        <w:t xml:space="preserve"> </w:t>
      </w:r>
      <w:r>
        <w:rPr>
          <w:rFonts w:ascii="Times New Roman" w:hAnsi="Times New Roman" w:eastAsia="Times New Roman" w:cs="Times New Roman"/>
          <w:spacing w:val="-1"/>
          <w:sz w:val="24"/>
          <w:szCs w:val="24"/>
        </w:rPr>
        <w:t xml:space="preserve">15 </w:t>
      </w:r>
      <w:r>
        <w:rPr>
          <w:rFonts w:ascii="宋体" w:hAnsi="宋体" w:eastAsia="宋体" w:cs="宋体"/>
          <w:spacing w:val="-1"/>
          <w:sz w:val="24"/>
          <w:szCs w:val="24"/>
        </w:rPr>
        <w:t>分钟内到达各自岗位，</w:t>
      </w:r>
      <w:r>
        <w:rPr>
          <w:rFonts w:ascii="宋体" w:hAnsi="宋体" w:eastAsia="宋体" w:cs="宋体"/>
          <w:sz w:val="24"/>
          <w:szCs w:val="24"/>
        </w:rPr>
        <w:t xml:space="preserve"> </w:t>
      </w:r>
      <w:r>
        <w:rPr>
          <w:rFonts w:ascii="宋体" w:hAnsi="宋体" w:eastAsia="宋体" w:cs="宋体"/>
          <w:spacing w:val="-1"/>
          <w:sz w:val="24"/>
          <w:szCs w:val="24"/>
        </w:rPr>
        <w:t>完成人员、车辆及装备调度；同时，应向事故应急处理指挥部报告。</w:t>
      </w:r>
    </w:p>
    <w:p w14:paraId="4CC8A25B">
      <w:pPr>
        <w:spacing w:before="196" w:line="331" w:lineRule="auto"/>
        <w:ind w:left="8" w:right="1" w:firstLine="478"/>
        <w:rPr>
          <w:rFonts w:ascii="宋体" w:hAnsi="宋体" w:eastAsia="宋体" w:cs="宋体"/>
          <w:sz w:val="24"/>
          <w:szCs w:val="24"/>
        </w:rPr>
      </w:pPr>
      <w:r>
        <w:rPr>
          <w:rFonts w:ascii="宋体" w:hAnsi="宋体" w:eastAsia="宋体" w:cs="宋体"/>
          <w:spacing w:val="1"/>
          <w:sz w:val="24"/>
          <w:szCs w:val="24"/>
        </w:rPr>
        <w:t>②综合协调小组在</w:t>
      </w:r>
      <w:r>
        <w:rPr>
          <w:rFonts w:ascii="宋体" w:hAnsi="宋体" w:eastAsia="宋体" w:cs="宋体"/>
          <w:spacing w:val="-29"/>
          <w:sz w:val="24"/>
          <w:szCs w:val="24"/>
        </w:rPr>
        <w:t xml:space="preserve"> </w:t>
      </w:r>
      <w:r>
        <w:rPr>
          <w:rFonts w:ascii="Times New Roman" w:hAnsi="Times New Roman" w:eastAsia="Times New Roman" w:cs="Times New Roman"/>
          <w:spacing w:val="1"/>
          <w:sz w:val="24"/>
          <w:szCs w:val="24"/>
        </w:rPr>
        <w:t xml:space="preserve">15 </w:t>
      </w:r>
      <w:r>
        <w:rPr>
          <w:rFonts w:ascii="宋体" w:hAnsi="宋体" w:eastAsia="宋体" w:cs="宋体"/>
          <w:spacing w:val="1"/>
          <w:sz w:val="24"/>
          <w:szCs w:val="24"/>
        </w:rPr>
        <w:t>分钟之内到达事故现场，进行调查取证，保护现</w:t>
      </w:r>
      <w:r>
        <w:rPr>
          <w:rFonts w:ascii="宋体" w:hAnsi="宋体" w:eastAsia="宋体" w:cs="宋体"/>
          <w:sz w:val="24"/>
          <w:szCs w:val="24"/>
        </w:rPr>
        <w:t xml:space="preserve">场，查找污 </w:t>
      </w:r>
      <w:r>
        <w:rPr>
          <w:rFonts w:ascii="宋体" w:hAnsi="宋体" w:eastAsia="宋体" w:cs="宋体"/>
          <w:spacing w:val="-2"/>
          <w:sz w:val="24"/>
          <w:szCs w:val="24"/>
        </w:rPr>
        <w:t>染源，并对事故类型、发生时间、地点、污染源、主要污染物质、影响的范围和程度等</w:t>
      </w:r>
      <w:r>
        <w:rPr>
          <w:rFonts w:ascii="宋体" w:hAnsi="宋体" w:eastAsia="宋体" w:cs="宋体"/>
          <w:spacing w:val="17"/>
          <w:sz w:val="24"/>
          <w:szCs w:val="24"/>
        </w:rPr>
        <w:t xml:space="preserve"> </w:t>
      </w:r>
      <w:r>
        <w:rPr>
          <w:rFonts w:ascii="宋体" w:hAnsi="宋体" w:eastAsia="宋体" w:cs="宋体"/>
          <w:spacing w:val="-2"/>
          <w:sz w:val="24"/>
          <w:szCs w:val="24"/>
        </w:rPr>
        <w:t>基本情况进行初步调查分析，形成初步意见，及时反馈上级应急指挥小组。由应急指挥</w:t>
      </w:r>
      <w:r>
        <w:rPr>
          <w:rFonts w:ascii="宋体" w:hAnsi="宋体" w:eastAsia="宋体" w:cs="宋体"/>
          <w:spacing w:val="17"/>
          <w:sz w:val="24"/>
          <w:szCs w:val="24"/>
        </w:rPr>
        <w:t xml:space="preserve"> </w:t>
      </w:r>
      <w:r>
        <w:rPr>
          <w:rFonts w:ascii="宋体" w:hAnsi="宋体" w:eastAsia="宋体" w:cs="宋体"/>
          <w:sz w:val="24"/>
          <w:szCs w:val="24"/>
        </w:rPr>
        <w:t>小组根据事故情况启动相应的应急预案，领</w:t>
      </w:r>
      <w:r>
        <w:rPr>
          <w:rFonts w:ascii="宋体" w:hAnsi="宋体" w:eastAsia="宋体" w:cs="宋体"/>
          <w:spacing w:val="-1"/>
          <w:sz w:val="24"/>
          <w:szCs w:val="24"/>
        </w:rPr>
        <w:t>导各应急小组展开工作。</w:t>
      </w:r>
    </w:p>
    <w:p w14:paraId="1554889E">
      <w:pPr>
        <w:spacing w:before="193" w:line="217" w:lineRule="auto"/>
        <w:ind w:right="1"/>
        <w:jc w:val="right"/>
        <w:rPr>
          <w:rFonts w:ascii="宋体" w:hAnsi="宋体" w:eastAsia="宋体" w:cs="宋体"/>
          <w:sz w:val="24"/>
          <w:szCs w:val="24"/>
        </w:rPr>
      </w:pPr>
      <w:r>
        <w:rPr>
          <w:rFonts w:ascii="宋体" w:hAnsi="宋体" w:eastAsia="宋体" w:cs="宋体"/>
          <w:spacing w:val="-2"/>
          <w:sz w:val="24"/>
          <w:szCs w:val="24"/>
        </w:rPr>
        <w:t>③在污染事故现场处置妥当后，经应急指挥小组研究确定后，向当地政府机关和事</w:t>
      </w:r>
    </w:p>
    <w:p w14:paraId="6D297AD8">
      <w:pPr>
        <w:spacing w:line="217" w:lineRule="auto"/>
        <w:rPr>
          <w:rFonts w:ascii="宋体" w:hAnsi="宋体" w:eastAsia="宋体" w:cs="宋体"/>
          <w:sz w:val="24"/>
          <w:szCs w:val="24"/>
        </w:rPr>
        <w:sectPr>
          <w:headerReference r:id="rId424" w:type="default"/>
          <w:footerReference r:id="rId425" w:type="default"/>
          <w:pgSz w:w="11906" w:h="16839"/>
          <w:pgMar w:top="1191" w:right="1416" w:bottom="1221" w:left="1417" w:header="882" w:footer="1059" w:gutter="0"/>
          <w:cols w:space="720" w:num="1"/>
        </w:sectPr>
      </w:pPr>
    </w:p>
    <w:p w14:paraId="118FB884">
      <w:pPr>
        <w:spacing w:line="28" w:lineRule="exact"/>
      </w:pPr>
      <w:r>
        <w:pict>
          <v:shape id="_x0000_s1962" o:spid="_x0000_s1962" style="height:1.45pt;width:453.65pt;" fillcolor="#000000" filled="t" stroked="f" coordsize="9072,29" path="m0,0l9072,0,9072,28,0,28,0,0xe">
            <v:path/>
            <v:fill on="t" focussize="0,0"/>
            <v:stroke on="f"/>
            <v:imagedata o:title=""/>
            <o:lock v:ext="edit"/>
            <w10:wrap type="none"/>
            <w10:anchorlock/>
          </v:shape>
        </w:pict>
      </w:r>
    </w:p>
    <w:p w14:paraId="28424B31">
      <w:pPr>
        <w:spacing w:before="316" w:line="218" w:lineRule="auto"/>
        <w:ind w:left="12"/>
        <w:rPr>
          <w:rFonts w:ascii="宋体" w:hAnsi="宋体" w:eastAsia="宋体" w:cs="宋体"/>
          <w:sz w:val="24"/>
          <w:szCs w:val="24"/>
        </w:rPr>
      </w:pPr>
      <w:r>
        <w:rPr>
          <w:rFonts w:ascii="宋体" w:hAnsi="宋体" w:eastAsia="宋体" w:cs="宋体"/>
          <w:spacing w:val="-1"/>
          <w:sz w:val="24"/>
          <w:szCs w:val="24"/>
        </w:rPr>
        <w:t>故应急处理指挥部报告处理结果。现场应急工作结束。</w:t>
      </w:r>
    </w:p>
    <w:p w14:paraId="10B111D3">
      <w:pPr>
        <w:spacing w:before="194" w:line="220"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）较大或严重污染事故应急响应程序</w:t>
      </w:r>
    </w:p>
    <w:p w14:paraId="1F9AC9B4">
      <w:pPr>
        <w:spacing w:before="192" w:line="293" w:lineRule="auto"/>
        <w:ind w:left="10" w:right="120" w:firstLine="477"/>
        <w:rPr>
          <w:rFonts w:ascii="宋体" w:hAnsi="宋体" w:eastAsia="宋体" w:cs="宋体"/>
          <w:sz w:val="24"/>
          <w:szCs w:val="24"/>
        </w:rPr>
      </w:pPr>
      <w:r>
        <w:rPr>
          <w:rFonts w:ascii="宋体" w:hAnsi="宋体" w:eastAsia="宋体" w:cs="宋体"/>
          <w:spacing w:val="-1"/>
          <w:sz w:val="24"/>
          <w:szCs w:val="24"/>
        </w:rPr>
        <w:t>①应急指挥小组接到事故报警后，立即通知各应急小组</w:t>
      </w:r>
      <w:r>
        <w:rPr>
          <w:rFonts w:ascii="宋体" w:hAnsi="宋体" w:eastAsia="宋体" w:cs="宋体"/>
          <w:spacing w:val="-19"/>
          <w:sz w:val="24"/>
          <w:szCs w:val="24"/>
        </w:rPr>
        <w:t xml:space="preserve"> </w:t>
      </w:r>
      <w:r>
        <w:rPr>
          <w:rFonts w:ascii="Times New Roman" w:hAnsi="Times New Roman" w:eastAsia="Times New Roman" w:cs="Times New Roman"/>
          <w:spacing w:val="-1"/>
          <w:sz w:val="24"/>
          <w:szCs w:val="24"/>
        </w:rPr>
        <w:t xml:space="preserve">15 </w:t>
      </w:r>
      <w:r>
        <w:rPr>
          <w:rFonts w:ascii="宋体" w:hAnsi="宋体" w:eastAsia="宋体" w:cs="宋体"/>
          <w:spacing w:val="-1"/>
          <w:sz w:val="24"/>
          <w:szCs w:val="24"/>
        </w:rPr>
        <w:t>分钟内到达各自岗位，</w:t>
      </w:r>
      <w:r>
        <w:rPr>
          <w:rFonts w:ascii="宋体" w:hAnsi="宋体" w:eastAsia="宋体" w:cs="宋体"/>
          <w:sz w:val="24"/>
          <w:szCs w:val="24"/>
        </w:rPr>
        <w:t xml:space="preserve"> </w:t>
      </w:r>
      <w:r>
        <w:rPr>
          <w:rFonts w:ascii="宋体" w:hAnsi="宋体" w:eastAsia="宋体" w:cs="宋体"/>
          <w:spacing w:val="-1"/>
          <w:sz w:val="24"/>
          <w:szCs w:val="24"/>
        </w:rPr>
        <w:t>完成人员、车辆及装备调度；同时向事故应急处理指挥部报告。</w:t>
      </w:r>
    </w:p>
    <w:p w14:paraId="0D2AED8D">
      <w:pPr>
        <w:spacing w:before="196" w:line="318" w:lineRule="auto"/>
        <w:ind w:left="8" w:right="61" w:firstLine="478"/>
        <w:rPr>
          <w:rFonts w:ascii="宋体" w:hAnsi="宋体" w:eastAsia="宋体" w:cs="宋体"/>
          <w:sz w:val="24"/>
          <w:szCs w:val="24"/>
        </w:rPr>
      </w:pPr>
      <w:r>
        <w:rPr>
          <w:rFonts w:ascii="宋体" w:hAnsi="宋体" w:eastAsia="宋体" w:cs="宋体"/>
          <w:spacing w:val="1"/>
          <w:sz w:val="24"/>
          <w:szCs w:val="24"/>
        </w:rPr>
        <w:t>②综合协调小组在</w:t>
      </w:r>
      <w:r>
        <w:rPr>
          <w:rFonts w:ascii="宋体" w:hAnsi="宋体" w:eastAsia="宋体" w:cs="宋体"/>
          <w:spacing w:val="-29"/>
          <w:sz w:val="24"/>
          <w:szCs w:val="24"/>
        </w:rPr>
        <w:t xml:space="preserve"> </w:t>
      </w:r>
      <w:r>
        <w:rPr>
          <w:rFonts w:ascii="Times New Roman" w:hAnsi="Times New Roman" w:eastAsia="Times New Roman" w:cs="Times New Roman"/>
          <w:spacing w:val="1"/>
          <w:sz w:val="24"/>
          <w:szCs w:val="24"/>
        </w:rPr>
        <w:t xml:space="preserve">15 </w:t>
      </w:r>
      <w:r>
        <w:rPr>
          <w:rFonts w:ascii="宋体" w:hAnsi="宋体" w:eastAsia="宋体" w:cs="宋体"/>
          <w:spacing w:val="1"/>
          <w:sz w:val="24"/>
          <w:szCs w:val="24"/>
        </w:rPr>
        <w:t>分钟之内到达事故现场，进行调查取证，保护现</w:t>
      </w:r>
      <w:r>
        <w:rPr>
          <w:rFonts w:ascii="宋体" w:hAnsi="宋体" w:eastAsia="宋体" w:cs="宋体"/>
          <w:sz w:val="24"/>
          <w:szCs w:val="24"/>
        </w:rPr>
        <w:t xml:space="preserve">场，查找污 </w:t>
      </w:r>
      <w:r>
        <w:rPr>
          <w:rFonts w:ascii="宋体" w:hAnsi="宋体" w:eastAsia="宋体" w:cs="宋体"/>
          <w:spacing w:val="-2"/>
          <w:sz w:val="24"/>
          <w:szCs w:val="24"/>
        </w:rPr>
        <w:t>染源，并对事故类型、发生时间、地点、污染源、主要污染物质、影响的范围和程度等</w:t>
      </w:r>
      <w:r>
        <w:rPr>
          <w:rFonts w:ascii="宋体" w:hAnsi="宋体" w:eastAsia="宋体" w:cs="宋体"/>
          <w:spacing w:val="17"/>
          <w:sz w:val="24"/>
          <w:szCs w:val="24"/>
        </w:rPr>
        <w:t xml:space="preserve"> </w:t>
      </w:r>
      <w:r>
        <w:rPr>
          <w:rFonts w:ascii="宋体" w:hAnsi="宋体" w:eastAsia="宋体" w:cs="宋体"/>
          <w:sz w:val="24"/>
          <w:szCs w:val="24"/>
        </w:rPr>
        <w:t>基本情况进行初步调查分析，形成初步意见，</w:t>
      </w:r>
      <w:r>
        <w:rPr>
          <w:rFonts w:ascii="宋体" w:hAnsi="宋体" w:eastAsia="宋体" w:cs="宋体"/>
          <w:spacing w:val="-1"/>
          <w:sz w:val="24"/>
          <w:szCs w:val="24"/>
        </w:rPr>
        <w:t>及时反馈应急指挥小组。</w:t>
      </w:r>
    </w:p>
    <w:p w14:paraId="47380E80">
      <w:pPr>
        <w:spacing w:before="195" w:line="331" w:lineRule="auto"/>
        <w:ind w:left="10" w:right="61" w:firstLine="476"/>
        <w:rPr>
          <w:rFonts w:ascii="宋体" w:hAnsi="宋体" w:eastAsia="宋体" w:cs="宋体"/>
          <w:sz w:val="24"/>
          <w:szCs w:val="24"/>
        </w:rPr>
      </w:pPr>
      <w:r>
        <w:rPr>
          <w:rFonts w:ascii="宋体" w:hAnsi="宋体" w:eastAsia="宋体" w:cs="宋体"/>
          <w:spacing w:val="-2"/>
          <w:sz w:val="24"/>
          <w:szCs w:val="24"/>
        </w:rPr>
        <w:t>③由应急指挥小组根据事故情况启动相应的应急预案，领导各应急小组展开工作，</w:t>
      </w:r>
      <w:r>
        <w:rPr>
          <w:rFonts w:ascii="宋体" w:hAnsi="宋体" w:eastAsia="宋体" w:cs="宋体"/>
          <w:spacing w:val="15"/>
          <w:sz w:val="24"/>
          <w:szCs w:val="24"/>
        </w:rPr>
        <w:t xml:space="preserve"> </w:t>
      </w:r>
      <w:r>
        <w:rPr>
          <w:rFonts w:ascii="宋体" w:hAnsi="宋体" w:eastAsia="宋体" w:cs="宋体"/>
          <w:spacing w:val="-2"/>
          <w:sz w:val="24"/>
          <w:szCs w:val="24"/>
        </w:rPr>
        <w:t>同时向当地政府机关请求支援；由应急处理指挥部进行紧急动员，适时启动区域的环境</w:t>
      </w:r>
      <w:r>
        <w:rPr>
          <w:rFonts w:ascii="宋体" w:hAnsi="宋体" w:eastAsia="宋体" w:cs="宋体"/>
          <w:spacing w:val="15"/>
          <w:sz w:val="24"/>
          <w:szCs w:val="24"/>
        </w:rPr>
        <w:t xml:space="preserve"> </w:t>
      </w:r>
      <w:r>
        <w:rPr>
          <w:rFonts w:ascii="宋体" w:hAnsi="宋体" w:eastAsia="宋体" w:cs="宋体"/>
          <w:spacing w:val="-2"/>
          <w:sz w:val="24"/>
          <w:szCs w:val="24"/>
        </w:rPr>
        <w:t>污染事故应急预案，迅速调集救援力量，指挥各成员单位、相关职能部门，根据应急预</w:t>
      </w:r>
      <w:r>
        <w:rPr>
          <w:rFonts w:ascii="宋体" w:hAnsi="宋体" w:eastAsia="宋体" w:cs="宋体"/>
          <w:spacing w:val="15"/>
          <w:sz w:val="24"/>
          <w:szCs w:val="24"/>
        </w:rPr>
        <w:t xml:space="preserve"> </w:t>
      </w:r>
      <w:r>
        <w:rPr>
          <w:rFonts w:ascii="宋体" w:hAnsi="宋体" w:eastAsia="宋体" w:cs="宋体"/>
          <w:spacing w:val="-1"/>
          <w:sz w:val="24"/>
          <w:szCs w:val="24"/>
        </w:rPr>
        <w:t>案组成各个应急行动小组。</w:t>
      </w:r>
    </w:p>
    <w:p w14:paraId="594E7CC3">
      <w:pPr>
        <w:spacing w:before="193" w:line="338" w:lineRule="auto"/>
        <w:ind w:left="8" w:right="61" w:firstLine="478"/>
        <w:rPr>
          <w:rFonts w:ascii="宋体" w:hAnsi="宋体" w:eastAsia="宋体" w:cs="宋体"/>
          <w:sz w:val="24"/>
          <w:szCs w:val="24"/>
        </w:rPr>
      </w:pPr>
      <w:r>
        <w:rPr>
          <w:rFonts w:ascii="宋体" w:hAnsi="宋体" w:eastAsia="宋体" w:cs="宋体"/>
          <w:spacing w:val="-2"/>
          <w:sz w:val="24"/>
          <w:szCs w:val="24"/>
        </w:rPr>
        <w:t>④区域的各应急行动小组迅速到达事故现场，成立现场应急处理指挥部，厂内应急</w:t>
      </w:r>
      <w:r>
        <w:rPr>
          <w:rFonts w:ascii="宋体" w:hAnsi="宋体" w:eastAsia="宋体" w:cs="宋体"/>
          <w:spacing w:val="15"/>
          <w:sz w:val="24"/>
          <w:szCs w:val="24"/>
        </w:rPr>
        <w:t xml:space="preserve"> </w:t>
      </w:r>
      <w:r>
        <w:rPr>
          <w:rFonts w:ascii="宋体" w:hAnsi="宋体" w:eastAsia="宋体" w:cs="宋体"/>
          <w:spacing w:val="-2"/>
          <w:sz w:val="24"/>
          <w:szCs w:val="24"/>
        </w:rPr>
        <w:t>指挥小组移交事故现场指挥权，制定现场救援具体方案；各应急行动小组在现场指挥部</w:t>
      </w:r>
      <w:r>
        <w:rPr>
          <w:rFonts w:ascii="宋体" w:hAnsi="宋体" w:eastAsia="宋体" w:cs="宋体"/>
          <w:spacing w:val="17"/>
          <w:sz w:val="24"/>
          <w:szCs w:val="24"/>
        </w:rPr>
        <w:t xml:space="preserve"> </w:t>
      </w:r>
      <w:r>
        <w:rPr>
          <w:rFonts w:ascii="宋体" w:hAnsi="宋体" w:eastAsia="宋体" w:cs="宋体"/>
          <w:spacing w:val="-2"/>
          <w:sz w:val="24"/>
          <w:szCs w:val="24"/>
        </w:rPr>
        <w:t>的领导下，按照应急预案中各自的职责和现场救援具体方案开展抢险救援工作；厂内的</w:t>
      </w:r>
      <w:r>
        <w:rPr>
          <w:rFonts w:ascii="宋体" w:hAnsi="宋体" w:eastAsia="宋体" w:cs="宋体"/>
          <w:spacing w:val="17"/>
          <w:sz w:val="24"/>
          <w:szCs w:val="24"/>
        </w:rPr>
        <w:t xml:space="preserve"> </w:t>
      </w:r>
      <w:r>
        <w:rPr>
          <w:rFonts w:ascii="宋体" w:hAnsi="宋体" w:eastAsia="宋体" w:cs="宋体"/>
          <w:spacing w:val="-2"/>
          <w:sz w:val="24"/>
          <w:szCs w:val="24"/>
        </w:rPr>
        <w:t>应急小组应听从现场指挥部的领导。现场指挥部同时将有关进展情况向应急处理指挥部</w:t>
      </w:r>
      <w:r>
        <w:rPr>
          <w:rFonts w:ascii="宋体" w:hAnsi="宋体" w:eastAsia="宋体" w:cs="宋体"/>
          <w:spacing w:val="17"/>
          <w:sz w:val="24"/>
          <w:szCs w:val="24"/>
        </w:rPr>
        <w:t xml:space="preserve"> </w:t>
      </w:r>
      <w:r>
        <w:rPr>
          <w:rFonts w:ascii="宋体" w:hAnsi="宋体" w:eastAsia="宋体" w:cs="宋体"/>
          <w:spacing w:val="-4"/>
          <w:sz w:val="24"/>
          <w:szCs w:val="24"/>
        </w:rPr>
        <w:t>汇报。</w:t>
      </w:r>
    </w:p>
    <w:p w14:paraId="08ABF8C6">
      <w:pPr>
        <w:spacing w:before="195" w:line="319" w:lineRule="auto"/>
        <w:ind w:left="10" w:right="61" w:firstLine="476"/>
        <w:rPr>
          <w:rFonts w:ascii="宋体" w:hAnsi="宋体" w:eastAsia="宋体" w:cs="宋体"/>
          <w:sz w:val="24"/>
          <w:szCs w:val="24"/>
        </w:rPr>
      </w:pPr>
      <w:r>
        <w:rPr>
          <w:rFonts w:ascii="宋体" w:hAnsi="宋体" w:eastAsia="宋体" w:cs="宋体"/>
          <w:spacing w:val="-2"/>
          <w:sz w:val="24"/>
          <w:szCs w:val="24"/>
        </w:rPr>
        <w:t>⑤污染事故基本控制稳定后，现场应急指挥部将根据专家意见，迅速调集后援力量</w:t>
      </w:r>
      <w:r>
        <w:rPr>
          <w:rFonts w:ascii="宋体" w:hAnsi="宋体" w:eastAsia="宋体" w:cs="宋体"/>
          <w:spacing w:val="15"/>
          <w:sz w:val="24"/>
          <w:szCs w:val="24"/>
        </w:rPr>
        <w:t xml:space="preserve"> </w:t>
      </w:r>
      <w:r>
        <w:rPr>
          <w:rFonts w:ascii="宋体" w:hAnsi="宋体" w:eastAsia="宋体" w:cs="宋体"/>
          <w:spacing w:val="-2"/>
          <w:sz w:val="24"/>
          <w:szCs w:val="24"/>
        </w:rPr>
        <w:t>展开事故处置工作。现场应急处理结束。以上各步程序按照现场实际情况可交叉进行或</w:t>
      </w:r>
      <w:r>
        <w:rPr>
          <w:rFonts w:ascii="宋体" w:hAnsi="宋体" w:eastAsia="宋体" w:cs="宋体"/>
          <w:spacing w:val="15"/>
          <w:sz w:val="24"/>
          <w:szCs w:val="24"/>
        </w:rPr>
        <w:t xml:space="preserve"> </w:t>
      </w:r>
      <w:r>
        <w:rPr>
          <w:rFonts w:ascii="宋体" w:hAnsi="宋体" w:eastAsia="宋体" w:cs="宋体"/>
          <w:spacing w:val="-3"/>
          <w:sz w:val="24"/>
          <w:szCs w:val="24"/>
        </w:rPr>
        <w:t>同时进行。</w:t>
      </w:r>
    </w:p>
    <w:p w14:paraId="4F1A4C9B">
      <w:pPr>
        <w:spacing w:before="193" w:line="358" w:lineRule="auto"/>
        <w:ind w:left="10" w:firstLine="493"/>
        <w:jc w:val="both"/>
        <w:rPr>
          <w:rFonts w:ascii="宋体" w:hAnsi="宋体" w:eastAsia="宋体" w:cs="宋体"/>
          <w:sz w:val="24"/>
          <w:szCs w:val="24"/>
        </w:rPr>
      </w:pPr>
      <w:r>
        <w:rPr>
          <w:rFonts w:ascii="宋体" w:hAnsi="宋体" w:eastAsia="宋体" w:cs="宋体"/>
          <w:spacing w:val="-7"/>
          <w:sz w:val="24"/>
          <w:szCs w:val="24"/>
        </w:rPr>
        <w:t>当污染事故有进一步扩大、发展趋势，或因事故衍生问题造成重大社会不稳定事态，</w:t>
      </w:r>
      <w:r>
        <w:rPr>
          <w:rFonts w:ascii="宋体" w:hAnsi="宋体" w:eastAsia="宋体" w:cs="宋体"/>
          <w:spacing w:val="6"/>
          <w:sz w:val="24"/>
          <w:szCs w:val="24"/>
        </w:rPr>
        <w:t xml:space="preserve"> </w:t>
      </w:r>
      <w:r>
        <w:rPr>
          <w:rFonts w:ascii="宋体" w:hAnsi="宋体" w:eastAsia="宋体" w:cs="宋体"/>
          <w:spacing w:val="-2"/>
          <w:sz w:val="24"/>
          <w:szCs w:val="24"/>
        </w:rPr>
        <w:t>现场应急指挥部将根据事态发展，及时调整应急响应级别，并发布预警信息，同时可向</w:t>
      </w:r>
      <w:r>
        <w:rPr>
          <w:rFonts w:ascii="宋体" w:hAnsi="宋体" w:eastAsia="宋体" w:cs="宋体"/>
          <w:spacing w:val="15"/>
          <w:sz w:val="24"/>
          <w:szCs w:val="24"/>
        </w:rPr>
        <w:t xml:space="preserve"> </w:t>
      </w:r>
      <w:r>
        <w:rPr>
          <w:rFonts w:ascii="宋体" w:hAnsi="宋体" w:eastAsia="宋体" w:cs="宋体"/>
          <w:spacing w:val="-1"/>
          <w:sz w:val="24"/>
          <w:szCs w:val="24"/>
        </w:rPr>
        <w:t>上级应急处理指挥部和政府环境污染事故应急处理指挥部求援。</w:t>
      </w:r>
    </w:p>
    <w:p w14:paraId="3A0472CF">
      <w:pPr>
        <w:spacing w:before="96" w:line="220" w:lineRule="auto"/>
        <w:ind w:left="8"/>
        <w:outlineLvl w:val="2"/>
        <w:rPr>
          <w:rFonts w:ascii="宋体" w:hAnsi="宋体" w:eastAsia="宋体" w:cs="宋体"/>
          <w:sz w:val="28"/>
          <w:szCs w:val="28"/>
        </w:rPr>
      </w:pPr>
      <w:bookmarkStart w:id="425" w:name="bookmark318"/>
      <w:bookmarkEnd w:id="425"/>
      <w:r>
        <w:rPr>
          <w:rFonts w:ascii="Times New Roman" w:hAnsi="Times New Roman" w:eastAsia="Times New Roman" w:cs="Times New Roman"/>
          <w:b/>
          <w:bCs/>
          <w:spacing w:val="-2"/>
          <w:sz w:val="28"/>
          <w:szCs w:val="28"/>
        </w:rPr>
        <w:t xml:space="preserve">5.8.3 </w:t>
      </w:r>
      <w:r>
        <w:rPr>
          <w:rFonts w:ascii="宋体" w:hAnsi="宋体" w:eastAsia="宋体" w:cs="宋体"/>
          <w:b/>
          <w:bCs/>
          <w:spacing w:val="-2"/>
          <w:sz w:val="28"/>
          <w:szCs w:val="28"/>
        </w:rPr>
        <w:t>应急救援保障</w:t>
      </w:r>
    </w:p>
    <w:p w14:paraId="7E326FC7">
      <w:pPr>
        <w:spacing w:before="247"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）内部保障</w:t>
      </w:r>
    </w:p>
    <w:p w14:paraId="3FFB38F3">
      <w:pPr>
        <w:spacing w:before="193" w:line="219" w:lineRule="auto"/>
        <w:ind w:left="489"/>
        <w:rPr>
          <w:rFonts w:ascii="宋体" w:hAnsi="宋体" w:eastAsia="宋体" w:cs="宋体"/>
          <w:sz w:val="24"/>
          <w:szCs w:val="24"/>
        </w:rPr>
      </w:pPr>
      <w:r>
        <w:rPr>
          <w:rFonts w:ascii="宋体" w:hAnsi="宋体" w:eastAsia="宋体" w:cs="宋体"/>
          <w:sz w:val="24"/>
          <w:szCs w:val="24"/>
        </w:rPr>
        <w:t>整个厂区的公用工程、行政管理及生产设施</w:t>
      </w:r>
      <w:r>
        <w:rPr>
          <w:rFonts w:ascii="宋体" w:hAnsi="宋体" w:eastAsia="宋体" w:cs="宋体"/>
          <w:spacing w:val="-1"/>
          <w:sz w:val="24"/>
          <w:szCs w:val="24"/>
        </w:rPr>
        <w:t>人员全部由公司统一配置。</w:t>
      </w:r>
    </w:p>
    <w:p w14:paraId="0AF96160">
      <w:pPr>
        <w:spacing w:before="195" w:line="318" w:lineRule="auto"/>
        <w:ind w:left="10" w:right="61" w:firstLine="477"/>
        <w:rPr>
          <w:rFonts w:ascii="宋体" w:hAnsi="宋体" w:eastAsia="宋体" w:cs="宋体"/>
          <w:sz w:val="24"/>
          <w:szCs w:val="24"/>
        </w:rPr>
      </w:pPr>
      <w:r>
        <w:rPr>
          <w:rFonts w:ascii="宋体" w:hAnsi="宋体" w:eastAsia="宋体" w:cs="宋体"/>
          <w:spacing w:val="-2"/>
          <w:sz w:val="24"/>
          <w:szCs w:val="24"/>
        </w:rPr>
        <w:t>①救援队伍：公司各职能部门和全体员工都负有事故应急救援责任，公司事故应急</w:t>
      </w:r>
      <w:r>
        <w:rPr>
          <w:rFonts w:ascii="宋体" w:hAnsi="宋体" w:eastAsia="宋体" w:cs="宋体"/>
          <w:spacing w:val="14"/>
          <w:sz w:val="24"/>
          <w:szCs w:val="24"/>
        </w:rPr>
        <w:t xml:space="preserve"> </w:t>
      </w:r>
      <w:r>
        <w:rPr>
          <w:rFonts w:ascii="宋体" w:hAnsi="宋体" w:eastAsia="宋体" w:cs="宋体"/>
          <w:spacing w:val="-2"/>
          <w:sz w:val="24"/>
          <w:szCs w:val="24"/>
        </w:rPr>
        <w:t>救援领导小组及义务消防人员是公司事故应急救援的骨干力量，其任务是担负公司各危</w:t>
      </w:r>
      <w:r>
        <w:rPr>
          <w:rFonts w:ascii="宋体" w:hAnsi="宋体" w:eastAsia="宋体" w:cs="宋体"/>
          <w:spacing w:val="15"/>
          <w:sz w:val="24"/>
          <w:szCs w:val="24"/>
        </w:rPr>
        <w:t xml:space="preserve"> </w:t>
      </w:r>
      <w:r>
        <w:rPr>
          <w:rFonts w:ascii="宋体" w:hAnsi="宋体" w:eastAsia="宋体" w:cs="宋体"/>
          <w:spacing w:val="-1"/>
          <w:sz w:val="24"/>
          <w:szCs w:val="24"/>
        </w:rPr>
        <w:t>险化学品事故救援及处置。</w:t>
      </w:r>
    </w:p>
    <w:p w14:paraId="46369945">
      <w:pPr>
        <w:spacing w:before="195" w:line="217" w:lineRule="auto"/>
        <w:ind w:left="486"/>
        <w:rPr>
          <w:rFonts w:ascii="宋体" w:hAnsi="宋体" w:eastAsia="宋体" w:cs="宋体"/>
          <w:sz w:val="24"/>
          <w:szCs w:val="24"/>
        </w:rPr>
      </w:pPr>
      <w:r>
        <w:rPr>
          <w:rFonts w:ascii="宋体" w:hAnsi="宋体" w:eastAsia="宋体" w:cs="宋体"/>
          <w:spacing w:val="-2"/>
          <w:sz w:val="24"/>
          <w:szCs w:val="24"/>
        </w:rPr>
        <w:t>②消防设施：根据行业及设计规范要求，厂区内设置独立的消防给水和消防基础设</w:t>
      </w:r>
    </w:p>
    <w:p w14:paraId="5E1A1DB6">
      <w:pPr>
        <w:spacing w:line="217" w:lineRule="auto"/>
        <w:rPr>
          <w:rFonts w:ascii="宋体" w:hAnsi="宋体" w:eastAsia="宋体" w:cs="宋体"/>
          <w:sz w:val="24"/>
          <w:szCs w:val="24"/>
        </w:rPr>
        <w:sectPr>
          <w:headerReference r:id="rId426" w:type="default"/>
          <w:footerReference r:id="rId427" w:type="default"/>
          <w:pgSz w:w="11906" w:h="16839"/>
          <w:pgMar w:top="1191" w:right="1356" w:bottom="1221" w:left="1417" w:header="882" w:footer="1059" w:gutter="0"/>
          <w:cols w:space="720" w:num="1"/>
        </w:sectPr>
      </w:pPr>
    </w:p>
    <w:p w14:paraId="34F347A2">
      <w:pPr>
        <w:spacing w:line="28" w:lineRule="exact"/>
      </w:pPr>
      <w:r>
        <w:pict>
          <v:shape id="_x0000_s1964" o:spid="_x0000_s1964" style="height:1.45pt;width:453.65pt;" fillcolor="#000000" filled="t" stroked="f" coordsize="9072,29" path="m0,0l9072,0,9072,28,0,28,0,0xe">
            <v:path/>
            <v:fill on="t" focussize="0,0"/>
            <v:stroke on="f"/>
            <v:imagedata o:title=""/>
            <o:lock v:ext="edit"/>
            <w10:wrap type="none"/>
            <w10:anchorlock/>
          </v:shape>
        </w:pict>
      </w:r>
    </w:p>
    <w:p w14:paraId="67B04FA0">
      <w:pPr>
        <w:spacing w:before="316" w:line="222" w:lineRule="auto"/>
        <w:ind w:left="7"/>
        <w:rPr>
          <w:rFonts w:ascii="宋体" w:hAnsi="宋体" w:eastAsia="宋体" w:cs="宋体"/>
          <w:sz w:val="24"/>
          <w:szCs w:val="24"/>
        </w:rPr>
      </w:pPr>
      <w:r>
        <w:rPr>
          <w:rFonts w:ascii="宋体" w:hAnsi="宋体" w:eastAsia="宋体" w:cs="宋体"/>
          <w:spacing w:val="-5"/>
          <w:sz w:val="24"/>
          <w:szCs w:val="24"/>
        </w:rPr>
        <w:t>施。</w:t>
      </w:r>
    </w:p>
    <w:p w14:paraId="2DFDF377">
      <w:pPr>
        <w:spacing w:before="187" w:line="319" w:lineRule="auto"/>
        <w:ind w:left="9" w:right="61" w:firstLine="477"/>
        <w:rPr>
          <w:rFonts w:ascii="宋体" w:hAnsi="宋体" w:eastAsia="宋体" w:cs="宋体"/>
          <w:sz w:val="24"/>
          <w:szCs w:val="24"/>
        </w:rPr>
      </w:pPr>
      <w:r>
        <w:rPr>
          <w:rFonts w:ascii="宋体" w:hAnsi="宋体" w:eastAsia="宋体" w:cs="宋体"/>
          <w:spacing w:val="-2"/>
          <w:sz w:val="24"/>
          <w:szCs w:val="24"/>
        </w:rPr>
        <w:t>③应急通信：整个厂区的电信电缆线路包括扩音对讲电话线路、火灾自动报警系统</w:t>
      </w:r>
      <w:r>
        <w:rPr>
          <w:rFonts w:ascii="宋体" w:hAnsi="宋体" w:eastAsia="宋体" w:cs="宋体"/>
          <w:spacing w:val="15"/>
          <w:sz w:val="24"/>
          <w:szCs w:val="24"/>
        </w:rPr>
        <w:t xml:space="preserve"> </w:t>
      </w:r>
      <w:r>
        <w:rPr>
          <w:rFonts w:ascii="宋体" w:hAnsi="宋体" w:eastAsia="宋体" w:cs="宋体"/>
          <w:spacing w:val="-3"/>
          <w:sz w:val="24"/>
          <w:szCs w:val="24"/>
        </w:rPr>
        <w:t>线路</w:t>
      </w:r>
      <w:r>
        <w:rPr>
          <w:rFonts w:ascii="Times New Roman" w:hAnsi="Times New Roman" w:eastAsia="Times New Roman" w:cs="Times New Roman"/>
          <w:spacing w:val="-3"/>
          <w:sz w:val="24"/>
          <w:szCs w:val="24"/>
        </w:rPr>
        <w:t>,</w:t>
      </w:r>
      <w:r>
        <w:rPr>
          <w:rFonts w:ascii="宋体" w:hAnsi="宋体" w:eastAsia="宋体" w:cs="宋体"/>
          <w:spacing w:val="-3"/>
          <w:sz w:val="24"/>
          <w:szCs w:val="24"/>
        </w:rPr>
        <w:t>各系统的电缆均各自独立，自成系统。整个厂区的报警系统采用消防报警系</w:t>
      </w:r>
      <w:r>
        <w:rPr>
          <w:rFonts w:ascii="宋体" w:hAnsi="宋体" w:eastAsia="宋体" w:cs="宋体"/>
          <w:spacing w:val="-4"/>
          <w:sz w:val="24"/>
          <w:szCs w:val="24"/>
        </w:rPr>
        <w:t>统、可</w:t>
      </w:r>
      <w:r>
        <w:rPr>
          <w:rFonts w:ascii="宋体" w:hAnsi="宋体" w:eastAsia="宋体" w:cs="宋体"/>
          <w:sz w:val="24"/>
          <w:szCs w:val="24"/>
        </w:rPr>
        <w:t xml:space="preserve"> </w:t>
      </w:r>
      <w:r>
        <w:rPr>
          <w:rFonts w:ascii="宋体" w:hAnsi="宋体" w:eastAsia="宋体" w:cs="宋体"/>
          <w:spacing w:val="-1"/>
          <w:sz w:val="24"/>
          <w:szCs w:val="24"/>
        </w:rPr>
        <w:t>燃气体报警仪、手动报警和电话报警系统相结合方式。</w:t>
      </w:r>
    </w:p>
    <w:p w14:paraId="14DE55FA">
      <w:pPr>
        <w:spacing w:before="192" w:line="217" w:lineRule="auto"/>
        <w:ind w:left="486"/>
        <w:rPr>
          <w:rFonts w:ascii="宋体" w:hAnsi="宋体" w:eastAsia="宋体" w:cs="宋体"/>
          <w:sz w:val="24"/>
          <w:szCs w:val="24"/>
        </w:rPr>
      </w:pPr>
      <w:r>
        <w:rPr>
          <w:rFonts w:ascii="宋体" w:hAnsi="宋体" w:eastAsia="宋体" w:cs="宋体"/>
          <w:spacing w:val="-1"/>
          <w:sz w:val="24"/>
          <w:szCs w:val="24"/>
        </w:rPr>
        <w:t>④道路交通：厂区道路交通方便。</w:t>
      </w:r>
    </w:p>
    <w:p w14:paraId="236E4555">
      <w:pPr>
        <w:spacing w:before="194" w:line="294" w:lineRule="auto"/>
        <w:ind w:left="23" w:right="61" w:firstLine="462"/>
        <w:rPr>
          <w:rFonts w:ascii="宋体" w:hAnsi="宋体" w:eastAsia="宋体" w:cs="宋体"/>
          <w:sz w:val="24"/>
          <w:szCs w:val="24"/>
        </w:rPr>
      </w:pPr>
      <w:r>
        <w:rPr>
          <w:rFonts w:ascii="宋体" w:hAnsi="宋体" w:eastAsia="宋体" w:cs="宋体"/>
          <w:spacing w:val="-2"/>
          <w:sz w:val="24"/>
          <w:szCs w:val="24"/>
        </w:rPr>
        <w:t>⑤照明：整个厂区的照明依照《建筑照明设计标准》（</w:t>
      </w:r>
      <w:r>
        <w:rPr>
          <w:rFonts w:ascii="Times New Roman" w:hAnsi="Times New Roman" w:eastAsia="Times New Roman" w:cs="Times New Roman"/>
          <w:spacing w:val="-2"/>
          <w:sz w:val="24"/>
          <w:szCs w:val="24"/>
        </w:rPr>
        <w:t>GB/T50034-2024</w:t>
      </w:r>
      <w:r>
        <w:rPr>
          <w:rFonts w:ascii="宋体" w:hAnsi="宋体" w:eastAsia="宋体" w:cs="宋体"/>
          <w:spacing w:val="-2"/>
          <w:sz w:val="24"/>
          <w:szCs w:val="24"/>
        </w:rPr>
        <w:t>）设计。在</w:t>
      </w:r>
      <w:r>
        <w:rPr>
          <w:rFonts w:ascii="宋体" w:hAnsi="宋体" w:eastAsia="宋体" w:cs="宋体"/>
          <w:spacing w:val="2"/>
          <w:sz w:val="24"/>
          <w:szCs w:val="24"/>
        </w:rPr>
        <w:t xml:space="preserve"> </w:t>
      </w:r>
      <w:r>
        <w:rPr>
          <w:rFonts w:ascii="宋体" w:hAnsi="宋体" w:eastAsia="宋体" w:cs="宋体"/>
          <w:spacing w:val="-1"/>
          <w:sz w:val="24"/>
          <w:szCs w:val="24"/>
        </w:rPr>
        <w:t>防爆区内选用隔爆型照明灯，正常环境采用普</w:t>
      </w:r>
      <w:r>
        <w:rPr>
          <w:rFonts w:ascii="宋体" w:hAnsi="宋体" w:eastAsia="宋体" w:cs="宋体"/>
          <w:spacing w:val="-2"/>
          <w:sz w:val="24"/>
          <w:szCs w:val="24"/>
        </w:rPr>
        <w:t>通灯。</w:t>
      </w:r>
    </w:p>
    <w:p w14:paraId="7D9B904B">
      <w:pPr>
        <w:spacing w:before="195" w:line="294" w:lineRule="auto"/>
        <w:ind w:left="7" w:firstLine="479"/>
        <w:rPr>
          <w:rFonts w:ascii="宋体" w:hAnsi="宋体" w:eastAsia="宋体" w:cs="宋体"/>
          <w:sz w:val="24"/>
          <w:szCs w:val="24"/>
        </w:rPr>
      </w:pPr>
      <w:r>
        <w:rPr>
          <w:rFonts w:ascii="宋体" w:hAnsi="宋体" w:eastAsia="宋体" w:cs="宋体"/>
          <w:spacing w:val="-6"/>
          <w:sz w:val="24"/>
          <w:szCs w:val="24"/>
        </w:rPr>
        <w:t>⑥救援设备、物质及药品：厂区内配备所需的个体防护</w:t>
      </w:r>
      <w:r>
        <w:rPr>
          <w:rFonts w:ascii="宋体" w:hAnsi="宋体" w:eastAsia="宋体" w:cs="宋体"/>
          <w:spacing w:val="-7"/>
          <w:sz w:val="24"/>
          <w:szCs w:val="24"/>
        </w:rPr>
        <w:t>设备，便于紧急情况下使用，</w:t>
      </w:r>
      <w:r>
        <w:rPr>
          <w:rFonts w:ascii="宋体" w:hAnsi="宋体" w:eastAsia="宋体" w:cs="宋体"/>
          <w:sz w:val="24"/>
          <w:szCs w:val="24"/>
        </w:rPr>
        <w:t xml:space="preserve"> </w:t>
      </w:r>
      <w:r>
        <w:rPr>
          <w:rFonts w:ascii="宋体" w:hAnsi="宋体" w:eastAsia="宋体" w:cs="宋体"/>
          <w:spacing w:val="-1"/>
          <w:sz w:val="24"/>
          <w:szCs w:val="24"/>
        </w:rPr>
        <w:t>在易发生事故的必要位置设置必要的防护面罩等。</w:t>
      </w:r>
    </w:p>
    <w:p w14:paraId="14571F12">
      <w:pPr>
        <w:spacing w:before="194" w:line="294" w:lineRule="auto"/>
        <w:ind w:left="11" w:right="61" w:firstLine="475"/>
        <w:rPr>
          <w:rFonts w:ascii="宋体" w:hAnsi="宋体" w:eastAsia="宋体" w:cs="宋体"/>
          <w:sz w:val="24"/>
          <w:szCs w:val="24"/>
        </w:rPr>
      </w:pPr>
      <w:r>
        <w:rPr>
          <w:rFonts w:ascii="宋体" w:hAnsi="宋体" w:eastAsia="宋体" w:cs="宋体"/>
          <w:spacing w:val="-2"/>
          <w:sz w:val="24"/>
          <w:szCs w:val="24"/>
        </w:rPr>
        <w:t>⑦保障制度：整个厂区建立应急救援设备、物资维护和检修制度，由专人负责设备</w:t>
      </w:r>
      <w:r>
        <w:rPr>
          <w:rFonts w:ascii="宋体" w:hAnsi="宋体" w:eastAsia="宋体" w:cs="宋体"/>
          <w:spacing w:val="15"/>
          <w:sz w:val="24"/>
          <w:szCs w:val="24"/>
        </w:rPr>
        <w:t xml:space="preserve"> </w:t>
      </w:r>
      <w:r>
        <w:rPr>
          <w:rFonts w:ascii="宋体" w:hAnsi="宋体" w:eastAsia="宋体" w:cs="宋体"/>
          <w:spacing w:val="-1"/>
          <w:sz w:val="24"/>
          <w:szCs w:val="24"/>
        </w:rPr>
        <w:t>或物质的维护、定期检查与更新。</w:t>
      </w:r>
    </w:p>
    <w:p w14:paraId="7F117359">
      <w:pPr>
        <w:spacing w:before="193"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）外部保障</w:t>
      </w:r>
    </w:p>
    <w:p w14:paraId="68FE7EA4">
      <w:pPr>
        <w:spacing w:before="191" w:line="294" w:lineRule="auto"/>
        <w:ind w:left="10" w:right="61" w:firstLine="477"/>
        <w:rPr>
          <w:rFonts w:ascii="宋体" w:hAnsi="宋体" w:eastAsia="宋体" w:cs="宋体"/>
          <w:sz w:val="24"/>
          <w:szCs w:val="24"/>
        </w:rPr>
      </w:pPr>
      <w:r>
        <w:rPr>
          <w:rFonts w:ascii="宋体" w:hAnsi="宋体" w:eastAsia="宋体" w:cs="宋体"/>
          <w:spacing w:val="-2"/>
          <w:sz w:val="24"/>
          <w:szCs w:val="24"/>
        </w:rPr>
        <w:t>①单位互助体系：建设单位和周边企业应建立良好的应急互助关系，在重大事故发</w:t>
      </w:r>
      <w:r>
        <w:rPr>
          <w:rFonts w:ascii="宋体" w:hAnsi="宋体" w:eastAsia="宋体" w:cs="宋体"/>
          <w:spacing w:val="14"/>
          <w:sz w:val="24"/>
          <w:szCs w:val="24"/>
        </w:rPr>
        <w:t xml:space="preserve"> </w:t>
      </w:r>
      <w:r>
        <w:rPr>
          <w:rFonts w:ascii="宋体" w:hAnsi="宋体" w:eastAsia="宋体" w:cs="宋体"/>
          <w:spacing w:val="-2"/>
          <w:sz w:val="24"/>
          <w:szCs w:val="24"/>
        </w:rPr>
        <w:t>生后，能够相互支援。</w:t>
      </w:r>
    </w:p>
    <w:p w14:paraId="08173F67">
      <w:pPr>
        <w:spacing w:before="195" w:line="293" w:lineRule="auto"/>
        <w:ind w:left="7" w:right="61" w:firstLine="479"/>
        <w:rPr>
          <w:rFonts w:ascii="宋体" w:hAnsi="宋体" w:eastAsia="宋体" w:cs="宋体"/>
          <w:sz w:val="24"/>
          <w:szCs w:val="24"/>
        </w:rPr>
      </w:pPr>
      <w:r>
        <w:rPr>
          <w:rFonts w:ascii="宋体" w:hAnsi="宋体" w:eastAsia="宋体" w:cs="宋体"/>
          <w:spacing w:val="-2"/>
          <w:sz w:val="24"/>
          <w:szCs w:val="24"/>
        </w:rPr>
        <w:t>②公共援助力量：厂区还可以联系当地公共消防队、医院、公安、交通、安监局以</w:t>
      </w:r>
      <w:r>
        <w:rPr>
          <w:rFonts w:ascii="宋体" w:hAnsi="宋体" w:eastAsia="宋体" w:cs="宋体"/>
          <w:spacing w:val="15"/>
          <w:sz w:val="24"/>
          <w:szCs w:val="24"/>
        </w:rPr>
        <w:t xml:space="preserve"> </w:t>
      </w:r>
      <w:r>
        <w:rPr>
          <w:rFonts w:ascii="宋体" w:hAnsi="宋体" w:eastAsia="宋体" w:cs="宋体"/>
          <w:spacing w:val="-1"/>
          <w:sz w:val="24"/>
          <w:szCs w:val="24"/>
        </w:rPr>
        <w:t>及各相关职能部门，请求救援力量、设备的支持。</w:t>
      </w:r>
    </w:p>
    <w:p w14:paraId="12BC8A10">
      <w:pPr>
        <w:spacing w:before="253" w:line="220" w:lineRule="auto"/>
        <w:ind w:left="8"/>
        <w:outlineLvl w:val="2"/>
        <w:rPr>
          <w:rFonts w:ascii="宋体" w:hAnsi="宋体" w:eastAsia="宋体" w:cs="宋体"/>
          <w:sz w:val="28"/>
          <w:szCs w:val="28"/>
        </w:rPr>
      </w:pPr>
      <w:bookmarkStart w:id="426" w:name="bookmark320"/>
      <w:bookmarkEnd w:id="426"/>
      <w:r>
        <w:rPr>
          <w:rFonts w:ascii="Times New Roman" w:hAnsi="Times New Roman" w:eastAsia="Times New Roman" w:cs="Times New Roman"/>
          <w:b/>
          <w:bCs/>
          <w:spacing w:val="-3"/>
          <w:sz w:val="28"/>
          <w:szCs w:val="28"/>
        </w:rPr>
        <w:t>5.8.4</w:t>
      </w:r>
      <w:r>
        <w:rPr>
          <w:rFonts w:ascii="Times New Roman" w:hAnsi="Times New Roman" w:eastAsia="Times New Roman" w:cs="Times New Roman"/>
          <w:b/>
          <w:bCs/>
          <w:spacing w:val="24"/>
          <w:sz w:val="28"/>
          <w:szCs w:val="28"/>
        </w:rPr>
        <w:t xml:space="preserve"> </w:t>
      </w:r>
      <w:r>
        <w:rPr>
          <w:rFonts w:ascii="宋体" w:hAnsi="宋体" w:eastAsia="宋体" w:cs="宋体"/>
          <w:b/>
          <w:bCs/>
          <w:spacing w:val="-3"/>
          <w:sz w:val="28"/>
          <w:szCs w:val="28"/>
        </w:rPr>
        <w:t>突发事故的信息报送程序与联络方式</w:t>
      </w:r>
    </w:p>
    <w:p w14:paraId="01DACAEE">
      <w:pPr>
        <w:spacing w:before="247" w:line="218"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）突发事故的报告时限和程序</w:t>
      </w:r>
    </w:p>
    <w:p w14:paraId="1A5B3527">
      <w:pPr>
        <w:spacing w:before="191" w:line="363" w:lineRule="auto"/>
        <w:ind w:left="7" w:right="61" w:firstLine="480"/>
        <w:rPr>
          <w:rFonts w:ascii="宋体" w:hAnsi="宋体" w:eastAsia="宋体" w:cs="宋体"/>
          <w:sz w:val="24"/>
          <w:szCs w:val="24"/>
        </w:rPr>
      </w:pPr>
      <w:r>
        <w:rPr>
          <w:rFonts w:ascii="宋体" w:hAnsi="宋体" w:eastAsia="宋体" w:cs="宋体"/>
          <w:spacing w:val="-2"/>
          <w:sz w:val="24"/>
          <w:szCs w:val="24"/>
        </w:rPr>
        <w:t>在生产过程中，发生危险品泄漏事故，岗位操作人员立即向班长和值班长及公司值</w:t>
      </w:r>
      <w:r>
        <w:rPr>
          <w:rFonts w:ascii="宋体" w:hAnsi="宋体" w:eastAsia="宋体" w:cs="宋体"/>
          <w:spacing w:val="14"/>
          <w:sz w:val="24"/>
          <w:szCs w:val="24"/>
        </w:rPr>
        <w:t xml:space="preserve"> </w:t>
      </w:r>
      <w:r>
        <w:rPr>
          <w:rFonts w:ascii="宋体" w:hAnsi="宋体" w:eastAsia="宋体" w:cs="宋体"/>
          <w:spacing w:val="-2"/>
          <w:sz w:val="24"/>
          <w:szCs w:val="24"/>
        </w:rPr>
        <w:t>班人员汇报并采取相应措施予以处理。当处理无效，危害有扩大趋势时，应立即向公司</w:t>
      </w:r>
      <w:r>
        <w:rPr>
          <w:rFonts w:ascii="宋体" w:hAnsi="宋体" w:eastAsia="宋体" w:cs="宋体"/>
          <w:spacing w:val="18"/>
          <w:sz w:val="24"/>
          <w:szCs w:val="24"/>
        </w:rPr>
        <w:t xml:space="preserve"> </w:t>
      </w:r>
      <w:r>
        <w:rPr>
          <w:rFonts w:ascii="宋体" w:hAnsi="宋体" w:eastAsia="宋体" w:cs="宋体"/>
          <w:spacing w:val="3"/>
          <w:sz w:val="24"/>
          <w:szCs w:val="24"/>
        </w:rPr>
        <w:t>安全人员报警。当发生</w:t>
      </w:r>
      <w:r>
        <w:rPr>
          <w:rFonts w:ascii="Times New Roman" w:hAnsi="Times New Roman" w:eastAsia="Times New Roman" w:cs="Times New Roman"/>
          <w:spacing w:val="3"/>
          <w:sz w:val="24"/>
          <w:szCs w:val="24"/>
        </w:rPr>
        <w:t>Ⅰ</w:t>
      </w:r>
      <w:r>
        <w:rPr>
          <w:rFonts w:ascii="宋体" w:hAnsi="宋体" w:eastAsia="宋体" w:cs="宋体"/>
          <w:spacing w:val="3"/>
          <w:sz w:val="24"/>
          <w:szCs w:val="24"/>
        </w:rPr>
        <w:t>级事故，岗位操作人员应立即向公</w:t>
      </w:r>
      <w:r>
        <w:rPr>
          <w:rFonts w:ascii="宋体" w:hAnsi="宋体" w:eastAsia="宋体" w:cs="宋体"/>
          <w:spacing w:val="2"/>
          <w:sz w:val="24"/>
          <w:szCs w:val="24"/>
        </w:rPr>
        <w:t>司安全人员报警，公司安全</w:t>
      </w:r>
      <w:r>
        <w:rPr>
          <w:rFonts w:ascii="宋体" w:hAnsi="宋体" w:eastAsia="宋体" w:cs="宋体"/>
          <w:sz w:val="24"/>
          <w:szCs w:val="24"/>
        </w:rPr>
        <w:t xml:space="preserve"> </w:t>
      </w:r>
      <w:r>
        <w:rPr>
          <w:rFonts w:ascii="宋体" w:hAnsi="宋体" w:eastAsia="宋体" w:cs="宋体"/>
          <w:spacing w:val="-2"/>
          <w:sz w:val="24"/>
          <w:szCs w:val="24"/>
        </w:rPr>
        <w:t>人员接到报警后，下达按应急救援预案处置的指令，立即通知公司应急救援领导小组成</w:t>
      </w:r>
      <w:r>
        <w:rPr>
          <w:rFonts w:ascii="宋体" w:hAnsi="宋体" w:eastAsia="宋体" w:cs="宋体"/>
          <w:spacing w:val="18"/>
          <w:sz w:val="24"/>
          <w:szCs w:val="24"/>
        </w:rPr>
        <w:t xml:space="preserve"> </w:t>
      </w:r>
      <w:r>
        <w:rPr>
          <w:rFonts w:ascii="宋体" w:hAnsi="宋体" w:eastAsia="宋体" w:cs="宋体"/>
          <w:sz w:val="24"/>
          <w:szCs w:val="24"/>
        </w:rPr>
        <w:t>员到场成立应急救援指挥部，各专业组按各</w:t>
      </w:r>
      <w:r>
        <w:rPr>
          <w:rFonts w:ascii="宋体" w:hAnsi="宋体" w:eastAsia="宋体" w:cs="宋体"/>
          <w:spacing w:val="-1"/>
          <w:sz w:val="24"/>
          <w:szCs w:val="24"/>
        </w:rPr>
        <w:t>自职责开展救援工作。</w:t>
      </w:r>
    </w:p>
    <w:p w14:paraId="0DC0D13B">
      <w:pPr>
        <w:spacing w:before="37" w:line="353" w:lineRule="auto"/>
        <w:ind w:left="6" w:right="61" w:firstLine="497"/>
        <w:rPr>
          <w:rFonts w:ascii="宋体" w:hAnsi="宋体" w:eastAsia="宋体" w:cs="宋体"/>
          <w:sz w:val="24"/>
          <w:szCs w:val="24"/>
        </w:rPr>
      </w:pPr>
      <w:r>
        <w:rPr>
          <w:rFonts w:ascii="宋体" w:hAnsi="宋体" w:eastAsia="宋体" w:cs="宋体"/>
          <w:spacing w:val="-2"/>
          <w:sz w:val="24"/>
          <w:szCs w:val="24"/>
        </w:rPr>
        <w:t>当发生重大事故，指挥部成员应向安检、公安、环保、消防、卫生等上级领导</w:t>
      </w:r>
      <w:r>
        <w:rPr>
          <w:rFonts w:ascii="宋体" w:hAnsi="宋体" w:eastAsia="宋体" w:cs="宋体"/>
          <w:spacing w:val="-3"/>
          <w:sz w:val="24"/>
          <w:szCs w:val="24"/>
        </w:rPr>
        <w:t>机关</w:t>
      </w:r>
      <w:r>
        <w:rPr>
          <w:rFonts w:ascii="宋体" w:hAnsi="宋体" w:eastAsia="宋体" w:cs="宋体"/>
          <w:sz w:val="24"/>
          <w:szCs w:val="24"/>
        </w:rPr>
        <w:t xml:space="preserve"> </w:t>
      </w:r>
      <w:r>
        <w:rPr>
          <w:rFonts w:ascii="宋体" w:hAnsi="宋体" w:eastAsia="宋体" w:cs="宋体"/>
          <w:spacing w:val="-2"/>
          <w:sz w:val="24"/>
          <w:szCs w:val="24"/>
        </w:rPr>
        <w:t>报告事故情况。</w:t>
      </w:r>
    </w:p>
    <w:p w14:paraId="59284C1E">
      <w:pPr>
        <w:spacing w:before="39" w:line="218"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）突发事故的报告方式与内容</w:t>
      </w:r>
    </w:p>
    <w:p w14:paraId="6AB4ED8C">
      <w:pPr>
        <w:spacing w:before="194" w:line="218" w:lineRule="auto"/>
        <w:ind w:left="496"/>
        <w:rPr>
          <w:rFonts w:ascii="宋体" w:hAnsi="宋体" w:eastAsia="宋体" w:cs="宋体"/>
          <w:sz w:val="24"/>
          <w:szCs w:val="24"/>
        </w:rPr>
      </w:pPr>
      <w:r>
        <w:rPr>
          <w:rFonts w:ascii="宋体" w:hAnsi="宋体" w:eastAsia="宋体" w:cs="宋体"/>
          <w:spacing w:val="-1"/>
          <w:sz w:val="24"/>
          <w:szCs w:val="24"/>
        </w:rPr>
        <w:t>突发事故的报告分为初报、续报和处理结果报告三类：</w:t>
      </w:r>
    </w:p>
    <w:p w14:paraId="1F1A2730">
      <w:pPr>
        <w:spacing w:before="194" w:line="356" w:lineRule="auto"/>
        <w:ind w:left="8" w:right="73" w:firstLine="479"/>
        <w:rPr>
          <w:rFonts w:ascii="宋体" w:hAnsi="宋体" w:eastAsia="宋体" w:cs="宋体"/>
          <w:sz w:val="24"/>
          <w:szCs w:val="24"/>
        </w:rPr>
      </w:pPr>
      <w:r>
        <w:rPr>
          <w:rFonts w:ascii="宋体" w:hAnsi="宋体" w:eastAsia="宋体" w:cs="宋体"/>
          <w:spacing w:val="-3"/>
          <w:sz w:val="24"/>
          <w:szCs w:val="24"/>
        </w:rPr>
        <w:t>①初报从发现事件后起</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16"/>
          <w:sz w:val="24"/>
          <w:szCs w:val="24"/>
        </w:rPr>
        <w:t xml:space="preserve"> </w:t>
      </w:r>
      <w:r>
        <w:rPr>
          <w:rFonts w:ascii="宋体" w:hAnsi="宋体" w:eastAsia="宋体" w:cs="宋体"/>
          <w:spacing w:val="-3"/>
          <w:sz w:val="24"/>
          <w:szCs w:val="24"/>
        </w:rPr>
        <w:t>小时内上报。初报可用电话或直接报告，主</w:t>
      </w:r>
      <w:r>
        <w:rPr>
          <w:rFonts w:ascii="宋体" w:hAnsi="宋体" w:eastAsia="宋体" w:cs="宋体"/>
          <w:spacing w:val="-4"/>
          <w:sz w:val="24"/>
          <w:szCs w:val="24"/>
        </w:rPr>
        <w:t>要内容包括：</w:t>
      </w:r>
      <w:r>
        <w:rPr>
          <w:rFonts w:ascii="宋体" w:hAnsi="宋体" w:eastAsia="宋体" w:cs="宋体"/>
          <w:sz w:val="24"/>
          <w:szCs w:val="24"/>
        </w:rPr>
        <w:t xml:space="preserve"> 环境事件的类型、发生时间、地点、污染源、主要污染物质</w:t>
      </w:r>
      <w:r>
        <w:rPr>
          <w:rFonts w:ascii="宋体" w:hAnsi="宋体" w:eastAsia="宋体" w:cs="宋体"/>
          <w:spacing w:val="-1"/>
          <w:sz w:val="24"/>
          <w:szCs w:val="24"/>
        </w:rPr>
        <w:t>、人员受害等初步情况。</w:t>
      </w:r>
    </w:p>
    <w:p w14:paraId="26A8ECC5">
      <w:pPr>
        <w:spacing w:line="356" w:lineRule="auto"/>
        <w:rPr>
          <w:rFonts w:ascii="宋体" w:hAnsi="宋体" w:eastAsia="宋体" w:cs="宋体"/>
          <w:sz w:val="24"/>
          <w:szCs w:val="24"/>
        </w:rPr>
        <w:sectPr>
          <w:footerReference r:id="rId428" w:type="default"/>
          <w:pgSz w:w="11906" w:h="16839"/>
          <w:pgMar w:top="1191" w:right="1356" w:bottom="1221" w:left="1417" w:header="882" w:footer="1059" w:gutter="0"/>
          <w:cols w:space="720" w:num="1"/>
        </w:sectPr>
      </w:pPr>
    </w:p>
    <w:p w14:paraId="64C0F77C">
      <w:pPr>
        <w:spacing w:line="28" w:lineRule="exact"/>
      </w:pPr>
      <w:r>
        <w:pict>
          <v:shape id="_x0000_s1966" o:spid="_x0000_s1966" style="height:1.45pt;width:453.65pt;" fillcolor="#000000" filled="t" stroked="f" coordsize="9072,29" path="m0,0l9072,0,9072,28,0,28,0,0xe">
            <v:path/>
            <v:fill on="t" focussize="0,0"/>
            <v:stroke on="f"/>
            <v:imagedata o:title=""/>
            <o:lock v:ext="edit"/>
            <w10:wrap type="none"/>
            <w10:anchorlock/>
          </v:shape>
        </w:pict>
      </w:r>
    </w:p>
    <w:p w14:paraId="1B23CA2E">
      <w:pPr>
        <w:spacing w:before="318" w:line="318" w:lineRule="auto"/>
        <w:ind w:left="6" w:right="61" w:firstLine="480"/>
        <w:rPr>
          <w:rFonts w:ascii="宋体" w:hAnsi="宋体" w:eastAsia="宋体" w:cs="宋体"/>
          <w:sz w:val="24"/>
          <w:szCs w:val="24"/>
        </w:rPr>
      </w:pPr>
      <w:r>
        <w:rPr>
          <w:rFonts w:ascii="宋体" w:hAnsi="宋体" w:eastAsia="宋体" w:cs="宋体"/>
          <w:spacing w:val="-2"/>
          <w:sz w:val="24"/>
          <w:szCs w:val="24"/>
        </w:rPr>
        <w:t>②续报在查清有关基本情况后随时上报。续报可通过电话、网络或书面报告，在初</w:t>
      </w:r>
      <w:r>
        <w:rPr>
          <w:rFonts w:ascii="宋体" w:hAnsi="宋体" w:eastAsia="宋体" w:cs="宋体"/>
          <w:spacing w:val="15"/>
          <w:sz w:val="24"/>
          <w:szCs w:val="24"/>
        </w:rPr>
        <w:t xml:space="preserve"> </w:t>
      </w:r>
      <w:r>
        <w:rPr>
          <w:rFonts w:ascii="宋体" w:hAnsi="宋体" w:eastAsia="宋体" w:cs="宋体"/>
          <w:spacing w:val="-1"/>
          <w:sz w:val="24"/>
          <w:szCs w:val="24"/>
        </w:rPr>
        <w:t>报的基础上报告有关确切数据，事件发生的</w:t>
      </w:r>
      <w:r>
        <w:rPr>
          <w:rFonts w:ascii="宋体" w:hAnsi="宋体" w:eastAsia="宋体" w:cs="宋体"/>
          <w:spacing w:val="-2"/>
          <w:sz w:val="24"/>
          <w:szCs w:val="24"/>
        </w:rPr>
        <w:t>原因、过程、进展情况及采取的应急措施等</w:t>
      </w:r>
      <w:r>
        <w:rPr>
          <w:rFonts w:ascii="宋体" w:hAnsi="宋体" w:eastAsia="宋体" w:cs="宋体"/>
          <w:sz w:val="24"/>
          <w:szCs w:val="24"/>
        </w:rPr>
        <w:t xml:space="preserve"> </w:t>
      </w:r>
      <w:r>
        <w:rPr>
          <w:rFonts w:ascii="宋体" w:hAnsi="宋体" w:eastAsia="宋体" w:cs="宋体"/>
          <w:spacing w:val="-2"/>
          <w:sz w:val="24"/>
          <w:szCs w:val="24"/>
        </w:rPr>
        <w:t>基本情况。</w:t>
      </w:r>
    </w:p>
    <w:p w14:paraId="0534B2FC">
      <w:pPr>
        <w:spacing w:before="192" w:line="331" w:lineRule="auto"/>
        <w:ind w:left="11" w:right="61" w:firstLine="475"/>
        <w:rPr>
          <w:rFonts w:ascii="宋体" w:hAnsi="宋体" w:eastAsia="宋体" w:cs="宋体"/>
          <w:sz w:val="24"/>
          <w:szCs w:val="24"/>
        </w:rPr>
      </w:pPr>
      <w:r>
        <w:rPr>
          <w:rFonts w:ascii="宋体" w:hAnsi="宋体" w:eastAsia="宋体" w:cs="宋体"/>
          <w:spacing w:val="-2"/>
          <w:sz w:val="24"/>
          <w:szCs w:val="24"/>
        </w:rPr>
        <w:t>③处理结果报告在事件处理完毕后立即上报。处理结果报告采用书面报告，处理结</w:t>
      </w:r>
      <w:r>
        <w:rPr>
          <w:rFonts w:ascii="宋体" w:hAnsi="宋体" w:eastAsia="宋体" w:cs="宋体"/>
          <w:spacing w:val="15"/>
          <w:sz w:val="24"/>
          <w:szCs w:val="24"/>
        </w:rPr>
        <w:t xml:space="preserve"> </w:t>
      </w:r>
      <w:r>
        <w:rPr>
          <w:rFonts w:ascii="宋体" w:hAnsi="宋体" w:eastAsia="宋体" w:cs="宋体"/>
          <w:spacing w:val="-2"/>
          <w:sz w:val="24"/>
          <w:szCs w:val="24"/>
        </w:rPr>
        <w:t>果报告在初报和续报的基础上，报告处理事件的措施、过程和结果，事件潜在或间接的</w:t>
      </w:r>
      <w:r>
        <w:rPr>
          <w:rFonts w:ascii="宋体" w:hAnsi="宋体" w:eastAsia="宋体" w:cs="宋体"/>
          <w:spacing w:val="14"/>
          <w:sz w:val="24"/>
          <w:szCs w:val="24"/>
        </w:rPr>
        <w:t xml:space="preserve"> </w:t>
      </w:r>
      <w:r>
        <w:rPr>
          <w:rFonts w:ascii="宋体" w:hAnsi="宋体" w:eastAsia="宋体" w:cs="宋体"/>
          <w:spacing w:val="-2"/>
          <w:sz w:val="24"/>
          <w:szCs w:val="24"/>
        </w:rPr>
        <w:t>危害、社会影响、处理后的遗留问题，参加处理工作的有关部门和工作内容，出具有关</w:t>
      </w:r>
      <w:r>
        <w:rPr>
          <w:rFonts w:ascii="宋体" w:hAnsi="宋体" w:eastAsia="宋体" w:cs="宋体"/>
          <w:spacing w:val="14"/>
          <w:sz w:val="24"/>
          <w:szCs w:val="24"/>
        </w:rPr>
        <w:t xml:space="preserve"> </w:t>
      </w:r>
      <w:r>
        <w:rPr>
          <w:rFonts w:ascii="宋体" w:hAnsi="宋体" w:eastAsia="宋体" w:cs="宋体"/>
          <w:spacing w:val="-1"/>
          <w:sz w:val="24"/>
          <w:szCs w:val="24"/>
        </w:rPr>
        <w:t>危害与损失的证明文件等详细情况。</w:t>
      </w:r>
    </w:p>
    <w:p w14:paraId="7D7AF62C">
      <w:pPr>
        <w:spacing w:before="192" w:line="356" w:lineRule="auto"/>
        <w:ind w:left="15" w:right="61" w:firstLine="470"/>
        <w:rPr>
          <w:rFonts w:ascii="宋体" w:hAnsi="宋体" w:eastAsia="宋体" w:cs="宋体"/>
          <w:sz w:val="24"/>
          <w:szCs w:val="24"/>
        </w:rPr>
      </w:pPr>
      <w:r>
        <w:rPr>
          <w:rFonts w:ascii="宋体" w:hAnsi="宋体" w:eastAsia="宋体" w:cs="宋体"/>
          <w:spacing w:val="-2"/>
          <w:sz w:val="24"/>
          <w:szCs w:val="24"/>
        </w:rPr>
        <w:t>报告应采用适当方式，避免在当地群众中造成不利影响。各部门之间的信息交换按</w:t>
      </w:r>
      <w:r>
        <w:rPr>
          <w:rFonts w:ascii="宋体" w:hAnsi="宋体" w:eastAsia="宋体" w:cs="宋体"/>
          <w:spacing w:val="15"/>
          <w:sz w:val="24"/>
          <w:szCs w:val="24"/>
        </w:rPr>
        <w:t xml:space="preserve"> </w:t>
      </w:r>
      <w:r>
        <w:rPr>
          <w:rFonts w:ascii="宋体" w:hAnsi="宋体" w:eastAsia="宋体" w:cs="宋体"/>
          <w:spacing w:val="-2"/>
          <w:sz w:val="24"/>
          <w:szCs w:val="24"/>
        </w:rPr>
        <w:t>照相关规定程序执行。</w:t>
      </w:r>
    </w:p>
    <w:p w14:paraId="141AFD89">
      <w:pPr>
        <w:spacing w:before="32"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）特殊情况的信息处理</w:t>
      </w:r>
    </w:p>
    <w:p w14:paraId="6073423F">
      <w:pPr>
        <w:spacing w:before="194" w:line="359" w:lineRule="auto"/>
        <w:ind w:left="9" w:right="61" w:firstLine="482"/>
        <w:rPr>
          <w:rFonts w:ascii="宋体" w:hAnsi="宋体" w:eastAsia="宋体" w:cs="宋体"/>
          <w:sz w:val="24"/>
          <w:szCs w:val="24"/>
        </w:rPr>
      </w:pPr>
      <w:r>
        <w:rPr>
          <w:rFonts w:ascii="宋体" w:hAnsi="宋体" w:eastAsia="宋体" w:cs="宋体"/>
          <w:spacing w:val="-2"/>
          <w:sz w:val="24"/>
          <w:szCs w:val="24"/>
        </w:rPr>
        <w:t>如果环境污染事故的影响范围涉及到区域外时，必须立即形成信息报告连同预警信</w:t>
      </w:r>
      <w:r>
        <w:rPr>
          <w:rFonts w:ascii="宋体" w:hAnsi="宋体" w:eastAsia="宋体" w:cs="宋体"/>
          <w:spacing w:val="9"/>
          <w:sz w:val="24"/>
          <w:szCs w:val="24"/>
        </w:rPr>
        <w:t xml:space="preserve"> </w:t>
      </w:r>
      <w:r>
        <w:rPr>
          <w:rFonts w:ascii="宋体" w:hAnsi="宋体" w:eastAsia="宋体" w:cs="宋体"/>
          <w:spacing w:val="-2"/>
          <w:sz w:val="24"/>
          <w:szCs w:val="24"/>
        </w:rPr>
        <w:t>息报当地政府。如果污染事故涉及到外事工作，指挥部将迅速通报当地政府，按照政府</w:t>
      </w:r>
      <w:r>
        <w:rPr>
          <w:rFonts w:ascii="宋体" w:hAnsi="宋体" w:eastAsia="宋体" w:cs="宋体"/>
          <w:spacing w:val="16"/>
          <w:sz w:val="24"/>
          <w:szCs w:val="24"/>
        </w:rPr>
        <w:t xml:space="preserve"> </w:t>
      </w:r>
      <w:r>
        <w:rPr>
          <w:rFonts w:ascii="宋体" w:hAnsi="宋体" w:eastAsia="宋体" w:cs="宋体"/>
          <w:spacing w:val="-2"/>
          <w:sz w:val="24"/>
          <w:szCs w:val="24"/>
        </w:rPr>
        <w:t>有关规定处理。</w:t>
      </w:r>
    </w:p>
    <w:p w14:paraId="4E6673BA">
      <w:pPr>
        <w:spacing w:before="94" w:line="220" w:lineRule="auto"/>
        <w:ind w:left="8"/>
        <w:outlineLvl w:val="2"/>
        <w:rPr>
          <w:rFonts w:ascii="宋体" w:hAnsi="宋体" w:eastAsia="宋体" w:cs="宋体"/>
          <w:sz w:val="28"/>
          <w:szCs w:val="28"/>
        </w:rPr>
      </w:pPr>
      <w:bookmarkStart w:id="427" w:name="bookmark322"/>
      <w:bookmarkEnd w:id="427"/>
      <w:r>
        <w:rPr>
          <w:rFonts w:ascii="Times New Roman" w:hAnsi="Times New Roman" w:eastAsia="Times New Roman" w:cs="Times New Roman"/>
          <w:b/>
          <w:bCs/>
          <w:spacing w:val="-2"/>
          <w:sz w:val="28"/>
          <w:szCs w:val="28"/>
        </w:rPr>
        <w:t xml:space="preserve">5.8.5 </w:t>
      </w:r>
      <w:r>
        <w:rPr>
          <w:rFonts w:ascii="宋体" w:hAnsi="宋体" w:eastAsia="宋体" w:cs="宋体"/>
          <w:b/>
          <w:bCs/>
          <w:spacing w:val="-2"/>
          <w:sz w:val="28"/>
          <w:szCs w:val="28"/>
        </w:rPr>
        <w:t>应急抢险、救援及控制措施</w:t>
      </w:r>
    </w:p>
    <w:p w14:paraId="7285EF10">
      <w:pPr>
        <w:spacing w:before="244" w:line="356" w:lineRule="auto"/>
        <w:ind w:left="8" w:right="61" w:firstLine="483"/>
        <w:rPr>
          <w:rFonts w:ascii="宋体" w:hAnsi="宋体" w:eastAsia="宋体" w:cs="宋体"/>
          <w:sz w:val="24"/>
          <w:szCs w:val="24"/>
        </w:rPr>
      </w:pPr>
      <w:r>
        <w:rPr>
          <w:rFonts w:ascii="宋体" w:hAnsi="宋体" w:eastAsia="宋体" w:cs="宋体"/>
          <w:spacing w:val="-2"/>
          <w:sz w:val="24"/>
          <w:szCs w:val="24"/>
        </w:rPr>
        <w:t>发生煤气重大泄漏事故后，企业必须拉响警报器，在第一时间通知工园区应急处理</w:t>
      </w:r>
      <w:r>
        <w:rPr>
          <w:rFonts w:ascii="宋体" w:hAnsi="宋体" w:eastAsia="宋体" w:cs="宋体"/>
          <w:spacing w:val="9"/>
          <w:sz w:val="24"/>
          <w:szCs w:val="24"/>
        </w:rPr>
        <w:t xml:space="preserve"> </w:t>
      </w:r>
      <w:r>
        <w:rPr>
          <w:rFonts w:ascii="宋体" w:hAnsi="宋体" w:eastAsia="宋体" w:cs="宋体"/>
          <w:spacing w:val="-1"/>
          <w:sz w:val="24"/>
          <w:szCs w:val="24"/>
        </w:rPr>
        <w:t>领导小组，并尽其所能地做好泄漏源处置和抢险救灾工作。</w:t>
      </w:r>
    </w:p>
    <w:p w14:paraId="78902E89">
      <w:pPr>
        <w:spacing w:before="33"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）抢险、救援方式</w:t>
      </w:r>
    </w:p>
    <w:p w14:paraId="24B48832">
      <w:pPr>
        <w:spacing w:before="194" w:line="294" w:lineRule="auto"/>
        <w:ind w:left="35" w:firstLine="451"/>
        <w:rPr>
          <w:rFonts w:ascii="宋体" w:hAnsi="宋体" w:eastAsia="宋体" w:cs="宋体"/>
          <w:sz w:val="24"/>
          <w:szCs w:val="24"/>
        </w:rPr>
      </w:pPr>
      <w:r>
        <w:rPr>
          <w:rFonts w:ascii="宋体" w:hAnsi="宋体" w:eastAsia="宋体" w:cs="宋体"/>
          <w:spacing w:val="-6"/>
          <w:sz w:val="24"/>
          <w:szCs w:val="24"/>
        </w:rPr>
        <w:t>①抢险组到达现场后，根据指挥部下达的抢修指令，</w:t>
      </w:r>
      <w:r>
        <w:rPr>
          <w:rFonts w:ascii="宋体" w:hAnsi="宋体" w:eastAsia="宋体" w:cs="宋体"/>
          <w:spacing w:val="-7"/>
          <w:sz w:val="24"/>
          <w:szCs w:val="24"/>
        </w:rPr>
        <w:t>迅速进行抢修设备，控制事故，</w:t>
      </w:r>
      <w:r>
        <w:rPr>
          <w:rFonts w:ascii="宋体" w:hAnsi="宋体" w:eastAsia="宋体" w:cs="宋体"/>
          <w:sz w:val="24"/>
          <w:szCs w:val="24"/>
        </w:rPr>
        <w:t xml:space="preserve"> </w:t>
      </w:r>
      <w:r>
        <w:rPr>
          <w:rFonts w:ascii="宋体" w:hAnsi="宋体" w:eastAsia="宋体" w:cs="宋体"/>
          <w:spacing w:val="-6"/>
          <w:sz w:val="24"/>
          <w:szCs w:val="24"/>
        </w:rPr>
        <w:t>以防事故扩大。</w:t>
      </w:r>
    </w:p>
    <w:p w14:paraId="4C201F6A">
      <w:pPr>
        <w:spacing w:before="190" w:line="319" w:lineRule="auto"/>
        <w:ind w:left="19" w:right="61" w:firstLine="466"/>
        <w:rPr>
          <w:rFonts w:ascii="宋体" w:hAnsi="宋体" w:eastAsia="宋体" w:cs="宋体"/>
          <w:sz w:val="24"/>
          <w:szCs w:val="24"/>
        </w:rPr>
      </w:pPr>
      <w:r>
        <w:rPr>
          <w:rFonts w:ascii="宋体" w:hAnsi="宋体" w:eastAsia="宋体" w:cs="宋体"/>
          <w:spacing w:val="-2"/>
          <w:sz w:val="24"/>
          <w:szCs w:val="24"/>
        </w:rPr>
        <w:t>②救护组到达现场后，与消防队配合，立即救护伤员和中毒人员，对中毒人员根据</w:t>
      </w:r>
      <w:r>
        <w:rPr>
          <w:rFonts w:ascii="宋体" w:hAnsi="宋体" w:eastAsia="宋体" w:cs="宋体"/>
          <w:spacing w:val="15"/>
          <w:sz w:val="24"/>
          <w:szCs w:val="24"/>
        </w:rPr>
        <w:t xml:space="preserve"> </w:t>
      </w:r>
      <w:r>
        <w:rPr>
          <w:rFonts w:ascii="宋体" w:hAnsi="宋体" w:eastAsia="宋体" w:cs="宋体"/>
          <w:spacing w:val="-2"/>
          <w:sz w:val="24"/>
          <w:szCs w:val="24"/>
        </w:rPr>
        <w:t>中毒症状及时采取相应的应急措施，对伤员进行医疗处置或输氧急救，重伤员及时转送</w:t>
      </w:r>
      <w:r>
        <w:rPr>
          <w:rFonts w:ascii="宋体" w:hAnsi="宋体" w:eastAsia="宋体" w:cs="宋体"/>
          <w:spacing w:val="6"/>
          <w:sz w:val="24"/>
          <w:szCs w:val="24"/>
        </w:rPr>
        <w:t xml:space="preserve"> </w:t>
      </w:r>
      <w:r>
        <w:rPr>
          <w:rFonts w:ascii="宋体" w:hAnsi="宋体" w:eastAsia="宋体" w:cs="宋体"/>
          <w:spacing w:val="-5"/>
          <w:sz w:val="24"/>
          <w:szCs w:val="24"/>
        </w:rPr>
        <w:t>医院抢救。</w:t>
      </w:r>
    </w:p>
    <w:p w14:paraId="13EC9B69">
      <w:pPr>
        <w:spacing w:before="193" w:line="294" w:lineRule="auto"/>
        <w:ind w:left="11" w:right="61" w:firstLine="475"/>
        <w:rPr>
          <w:rFonts w:ascii="宋体" w:hAnsi="宋体" w:eastAsia="宋体" w:cs="宋体"/>
          <w:sz w:val="24"/>
          <w:szCs w:val="24"/>
        </w:rPr>
      </w:pPr>
      <w:r>
        <w:rPr>
          <w:rFonts w:ascii="宋体" w:hAnsi="宋体" w:eastAsia="宋体" w:cs="宋体"/>
          <w:spacing w:val="-2"/>
          <w:sz w:val="24"/>
          <w:szCs w:val="24"/>
        </w:rPr>
        <w:t>③警卫组到达现场后，迅速组织救护伤员撤离，组织纠察，在事故现场周围设岗划</w:t>
      </w:r>
      <w:r>
        <w:rPr>
          <w:rFonts w:ascii="宋体" w:hAnsi="宋体" w:eastAsia="宋体" w:cs="宋体"/>
          <w:spacing w:val="15"/>
          <w:sz w:val="24"/>
          <w:szCs w:val="24"/>
        </w:rPr>
        <w:t xml:space="preserve"> </w:t>
      </w:r>
      <w:r>
        <w:rPr>
          <w:rFonts w:ascii="宋体" w:hAnsi="宋体" w:eastAsia="宋体" w:cs="宋体"/>
          <w:spacing w:val="-1"/>
          <w:sz w:val="24"/>
          <w:szCs w:val="24"/>
        </w:rPr>
        <w:t>分禁区或加强警戒和巡逻检查，严禁无关人员进入禁区。</w:t>
      </w:r>
    </w:p>
    <w:p w14:paraId="1C028600">
      <w:pPr>
        <w:spacing w:before="193" w:line="318" w:lineRule="auto"/>
        <w:ind w:left="6" w:right="61" w:firstLine="480"/>
        <w:rPr>
          <w:rFonts w:ascii="宋体" w:hAnsi="宋体" w:eastAsia="宋体" w:cs="宋体"/>
          <w:sz w:val="24"/>
          <w:szCs w:val="24"/>
        </w:rPr>
      </w:pPr>
      <w:r>
        <w:rPr>
          <w:rFonts w:ascii="宋体" w:hAnsi="宋体" w:eastAsia="宋体" w:cs="宋体"/>
          <w:spacing w:val="-2"/>
          <w:sz w:val="24"/>
          <w:szCs w:val="24"/>
        </w:rPr>
        <w:t>④消防组接警后，迅速赶往事故现场，根据当时风向，消防车停留在上风方向，或</w:t>
      </w:r>
      <w:r>
        <w:rPr>
          <w:rFonts w:ascii="宋体" w:hAnsi="宋体" w:eastAsia="宋体" w:cs="宋体"/>
          <w:spacing w:val="15"/>
          <w:sz w:val="24"/>
          <w:szCs w:val="24"/>
        </w:rPr>
        <w:t xml:space="preserve"> </w:t>
      </w:r>
      <w:r>
        <w:rPr>
          <w:rFonts w:ascii="宋体" w:hAnsi="宋体" w:eastAsia="宋体" w:cs="宋体"/>
          <w:spacing w:val="-1"/>
          <w:sz w:val="24"/>
          <w:szCs w:val="24"/>
        </w:rPr>
        <w:t>停留在禁区外，消防人员佩戴好防护器具，</w:t>
      </w:r>
      <w:r>
        <w:rPr>
          <w:rFonts w:ascii="宋体" w:hAnsi="宋体" w:eastAsia="宋体" w:cs="宋体"/>
          <w:spacing w:val="-2"/>
          <w:sz w:val="24"/>
          <w:szCs w:val="24"/>
        </w:rPr>
        <w:t>进入禁区，查明有无中毒人员，以最快速度</w:t>
      </w:r>
      <w:r>
        <w:rPr>
          <w:rFonts w:ascii="宋体" w:hAnsi="宋体" w:eastAsia="宋体" w:cs="宋体"/>
          <w:sz w:val="24"/>
          <w:szCs w:val="24"/>
        </w:rPr>
        <w:t xml:space="preserve"> 将中毒人员脱离现场，协助发生事故部门切断事故源和切除</w:t>
      </w:r>
      <w:r>
        <w:rPr>
          <w:rFonts w:ascii="宋体" w:hAnsi="宋体" w:eastAsia="宋体" w:cs="宋体"/>
          <w:spacing w:val="-1"/>
          <w:sz w:val="24"/>
          <w:szCs w:val="24"/>
        </w:rPr>
        <w:t>现场的易燃易爆品。</w:t>
      </w:r>
    </w:p>
    <w:p w14:paraId="0D9570F7">
      <w:pPr>
        <w:spacing w:before="195" w:line="217" w:lineRule="auto"/>
        <w:ind w:left="486"/>
        <w:rPr>
          <w:rFonts w:ascii="宋体" w:hAnsi="宋体" w:eastAsia="宋体" w:cs="宋体"/>
          <w:sz w:val="24"/>
          <w:szCs w:val="24"/>
        </w:rPr>
      </w:pPr>
      <w:r>
        <w:rPr>
          <w:rFonts w:ascii="宋体" w:hAnsi="宋体" w:eastAsia="宋体" w:cs="宋体"/>
          <w:sz w:val="24"/>
          <w:szCs w:val="24"/>
        </w:rPr>
        <w:t>⑤事故组到达现场后，佩戴好防护器具，迅速将有关物</w:t>
      </w:r>
      <w:r>
        <w:rPr>
          <w:rFonts w:ascii="宋体" w:hAnsi="宋体" w:eastAsia="宋体" w:cs="宋体"/>
          <w:spacing w:val="-1"/>
          <w:sz w:val="24"/>
          <w:szCs w:val="24"/>
        </w:rPr>
        <w:t>品搬运出危险区域。</w:t>
      </w:r>
    </w:p>
    <w:p w14:paraId="1E36462C">
      <w:pPr>
        <w:spacing w:before="198" w:line="217" w:lineRule="auto"/>
        <w:ind w:left="486"/>
        <w:rPr>
          <w:rFonts w:ascii="宋体" w:hAnsi="宋体" w:eastAsia="宋体" w:cs="宋体"/>
          <w:sz w:val="24"/>
          <w:szCs w:val="24"/>
        </w:rPr>
      </w:pPr>
      <w:r>
        <w:rPr>
          <w:rFonts w:ascii="宋体" w:hAnsi="宋体" w:eastAsia="宋体" w:cs="宋体"/>
          <w:spacing w:val="-2"/>
          <w:sz w:val="24"/>
          <w:szCs w:val="24"/>
        </w:rPr>
        <w:t>⑥现场实时监测、人员抢救、事故泄漏抢险的任务结束后，各专业组现场负责人向</w:t>
      </w:r>
    </w:p>
    <w:p w14:paraId="3F02B2DB">
      <w:pPr>
        <w:spacing w:line="217" w:lineRule="auto"/>
        <w:rPr>
          <w:rFonts w:ascii="宋体" w:hAnsi="宋体" w:eastAsia="宋体" w:cs="宋体"/>
          <w:sz w:val="24"/>
          <w:szCs w:val="24"/>
        </w:rPr>
        <w:sectPr>
          <w:footerReference r:id="rId429" w:type="default"/>
          <w:pgSz w:w="11906" w:h="16839"/>
          <w:pgMar w:top="1191" w:right="1356" w:bottom="1221" w:left="1417" w:header="882" w:footer="1059" w:gutter="0"/>
          <w:cols w:space="720" w:num="1"/>
        </w:sectPr>
      </w:pPr>
    </w:p>
    <w:p w14:paraId="40A98EEE">
      <w:pPr>
        <w:spacing w:line="28" w:lineRule="exact"/>
      </w:pPr>
      <w:r>
        <w:pict>
          <v:shape id="_x0000_s1968" o:spid="_x0000_s1968" style="height:1.45pt;width:453.65pt;" fillcolor="#000000" filled="t" stroked="f" coordsize="9072,29" path="m0,0l9072,0,9072,28,0,28,0,0xe">
            <v:path/>
            <v:fill on="t" focussize="0,0"/>
            <v:stroke on="f"/>
            <v:imagedata o:title=""/>
            <o:lock v:ext="edit"/>
            <w10:wrap type="none"/>
            <w10:anchorlock/>
          </v:shape>
        </w:pict>
      </w:r>
    </w:p>
    <w:p w14:paraId="7977BC82">
      <w:pPr>
        <w:spacing w:before="316" w:line="218" w:lineRule="auto"/>
        <w:ind w:left="11"/>
        <w:rPr>
          <w:rFonts w:ascii="宋体" w:hAnsi="宋体" w:eastAsia="宋体" w:cs="宋体"/>
          <w:sz w:val="24"/>
          <w:szCs w:val="24"/>
        </w:rPr>
      </w:pPr>
      <w:r>
        <w:rPr>
          <w:rFonts w:ascii="宋体" w:hAnsi="宋体" w:eastAsia="宋体" w:cs="宋体"/>
          <w:sz w:val="24"/>
          <w:szCs w:val="24"/>
        </w:rPr>
        <w:t>指挥部报告后，经同意方可撤离。撤离现场时，专业</w:t>
      </w:r>
      <w:r>
        <w:rPr>
          <w:rFonts w:ascii="宋体" w:hAnsi="宋体" w:eastAsia="宋体" w:cs="宋体"/>
          <w:spacing w:val="-1"/>
          <w:sz w:val="24"/>
          <w:szCs w:val="24"/>
        </w:rPr>
        <w:t>组负责人应核对本组撤离人数。</w:t>
      </w:r>
    </w:p>
    <w:p w14:paraId="74CB4CA6">
      <w:pPr>
        <w:spacing w:before="194" w:line="221"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）泄漏源处置</w:t>
      </w:r>
    </w:p>
    <w:p w14:paraId="77BB9BC4">
      <w:pPr>
        <w:spacing w:before="193" w:line="217" w:lineRule="auto"/>
        <w:ind w:left="487"/>
        <w:rPr>
          <w:rFonts w:ascii="宋体" w:hAnsi="宋体" w:eastAsia="宋体" w:cs="宋体"/>
          <w:sz w:val="24"/>
          <w:szCs w:val="24"/>
        </w:rPr>
      </w:pPr>
      <w:r>
        <w:rPr>
          <w:rFonts w:ascii="宋体" w:hAnsi="宋体" w:eastAsia="宋体" w:cs="宋体"/>
          <w:spacing w:val="-1"/>
          <w:sz w:val="24"/>
          <w:szCs w:val="24"/>
        </w:rPr>
        <w:t>①关阀断料，切断事故源</w:t>
      </w:r>
    </w:p>
    <w:p w14:paraId="33642A36">
      <w:pPr>
        <w:spacing w:before="192" w:line="362" w:lineRule="auto"/>
        <w:ind w:left="12" w:right="1" w:firstLine="478"/>
        <w:rPr>
          <w:rFonts w:ascii="宋体" w:hAnsi="宋体" w:eastAsia="宋体" w:cs="宋体"/>
          <w:sz w:val="24"/>
          <w:szCs w:val="24"/>
        </w:rPr>
      </w:pPr>
      <w:r>
        <w:rPr>
          <w:rFonts w:ascii="宋体" w:hAnsi="宋体" w:eastAsia="宋体" w:cs="宋体"/>
          <w:spacing w:val="-2"/>
          <w:sz w:val="24"/>
          <w:szCs w:val="24"/>
        </w:rPr>
        <w:t>生产装置发生泄漏时，主要由事故单位负责处置，消防部门负责协助和掩护。当事</w:t>
      </w:r>
      <w:r>
        <w:rPr>
          <w:rFonts w:ascii="宋体" w:hAnsi="宋体" w:eastAsia="宋体" w:cs="宋体"/>
          <w:spacing w:val="11"/>
          <w:sz w:val="24"/>
          <w:szCs w:val="24"/>
        </w:rPr>
        <w:t xml:space="preserve"> </w:t>
      </w:r>
      <w:r>
        <w:rPr>
          <w:rFonts w:ascii="宋体" w:hAnsi="宋体" w:eastAsia="宋体" w:cs="宋体"/>
          <w:spacing w:val="-2"/>
          <w:sz w:val="24"/>
          <w:szCs w:val="24"/>
        </w:rPr>
        <w:t>故单位没有能力进行有效处置时，消防队员要在单位技术人员的配合指导下快速实施断</w:t>
      </w:r>
      <w:r>
        <w:rPr>
          <w:rFonts w:ascii="宋体" w:hAnsi="宋体" w:eastAsia="宋体" w:cs="宋体"/>
          <w:spacing w:val="13"/>
          <w:sz w:val="24"/>
          <w:szCs w:val="24"/>
        </w:rPr>
        <w:t xml:space="preserve"> </w:t>
      </w:r>
      <w:r>
        <w:rPr>
          <w:rFonts w:ascii="宋体" w:hAnsi="宋体" w:eastAsia="宋体" w:cs="宋体"/>
          <w:spacing w:val="-2"/>
          <w:sz w:val="24"/>
          <w:szCs w:val="24"/>
        </w:rPr>
        <w:t>电、断水、断气、断料等措施，切断事故源。采取措施的全过程都要在开花或喷雾水流</w:t>
      </w:r>
      <w:r>
        <w:rPr>
          <w:rFonts w:ascii="宋体" w:hAnsi="宋体" w:eastAsia="宋体" w:cs="宋体"/>
          <w:spacing w:val="13"/>
          <w:sz w:val="24"/>
          <w:szCs w:val="24"/>
        </w:rPr>
        <w:t xml:space="preserve"> </w:t>
      </w:r>
      <w:r>
        <w:rPr>
          <w:rFonts w:ascii="宋体" w:hAnsi="宋体" w:eastAsia="宋体" w:cs="宋体"/>
          <w:spacing w:val="-2"/>
          <w:sz w:val="24"/>
          <w:szCs w:val="24"/>
        </w:rPr>
        <w:t>的掩护下进行。</w:t>
      </w:r>
    </w:p>
    <w:p w14:paraId="3B331AFF">
      <w:pPr>
        <w:spacing w:before="33" w:line="217" w:lineRule="auto"/>
        <w:ind w:left="486"/>
        <w:rPr>
          <w:rFonts w:ascii="宋体" w:hAnsi="宋体" w:eastAsia="宋体" w:cs="宋体"/>
          <w:sz w:val="24"/>
          <w:szCs w:val="24"/>
        </w:rPr>
      </w:pPr>
      <w:r>
        <w:rPr>
          <w:rFonts w:ascii="宋体" w:hAnsi="宋体" w:eastAsia="宋体" w:cs="宋体"/>
          <w:spacing w:val="-2"/>
          <w:sz w:val="24"/>
          <w:szCs w:val="24"/>
        </w:rPr>
        <w:t>②器具堵漏</w:t>
      </w:r>
    </w:p>
    <w:p w14:paraId="257099AD">
      <w:pPr>
        <w:spacing w:before="195" w:line="362" w:lineRule="auto"/>
        <w:ind w:left="8" w:right="1" w:firstLine="486"/>
        <w:rPr>
          <w:rFonts w:ascii="宋体" w:hAnsi="宋体" w:eastAsia="宋体" w:cs="宋体"/>
          <w:sz w:val="24"/>
          <w:szCs w:val="24"/>
        </w:rPr>
      </w:pPr>
      <w:r>
        <w:rPr>
          <w:rFonts w:ascii="宋体" w:hAnsi="宋体" w:eastAsia="宋体" w:cs="宋体"/>
          <w:spacing w:val="-2"/>
          <w:sz w:val="24"/>
          <w:szCs w:val="24"/>
        </w:rPr>
        <w:t>带压管道泄漏，选用捆绑式充气堵漏带、磁压式器具或金属外壳内衬橡胶垫等专用</w:t>
      </w:r>
      <w:r>
        <w:rPr>
          <w:rFonts w:ascii="宋体" w:hAnsi="宋体" w:eastAsia="宋体" w:cs="宋体"/>
          <w:spacing w:val="7"/>
          <w:sz w:val="24"/>
          <w:szCs w:val="24"/>
        </w:rPr>
        <w:t xml:space="preserve"> </w:t>
      </w:r>
      <w:r>
        <w:rPr>
          <w:rFonts w:ascii="宋体" w:hAnsi="宋体" w:eastAsia="宋体" w:cs="宋体"/>
          <w:spacing w:val="-2"/>
          <w:sz w:val="24"/>
          <w:szCs w:val="24"/>
        </w:rPr>
        <w:t>器具实施内外堵漏；阀门法兰盘或法兰垫片损坏泄漏，按阀门、法兰不同的型号选用相</w:t>
      </w:r>
      <w:r>
        <w:rPr>
          <w:rFonts w:ascii="宋体" w:hAnsi="宋体" w:eastAsia="宋体" w:cs="宋体"/>
          <w:spacing w:val="17"/>
          <w:sz w:val="24"/>
          <w:szCs w:val="24"/>
        </w:rPr>
        <w:t xml:space="preserve"> </w:t>
      </w:r>
      <w:r>
        <w:rPr>
          <w:rFonts w:ascii="宋体" w:hAnsi="宋体" w:eastAsia="宋体" w:cs="宋体"/>
          <w:spacing w:val="-2"/>
          <w:sz w:val="24"/>
          <w:szCs w:val="24"/>
        </w:rPr>
        <w:t>应的法兰夹具、金属套管、堵漏枪等方法进行堵漏，也可直接使用专门的阀门、法兰工</w:t>
      </w:r>
      <w:r>
        <w:rPr>
          <w:rFonts w:ascii="宋体" w:hAnsi="宋体" w:eastAsia="宋体" w:cs="宋体"/>
          <w:spacing w:val="17"/>
          <w:sz w:val="24"/>
          <w:szCs w:val="24"/>
        </w:rPr>
        <w:t xml:space="preserve"> </w:t>
      </w:r>
      <w:r>
        <w:rPr>
          <w:rFonts w:ascii="宋体" w:hAnsi="宋体" w:eastAsia="宋体" w:cs="宋体"/>
          <w:spacing w:val="-2"/>
          <w:sz w:val="24"/>
          <w:szCs w:val="24"/>
        </w:rPr>
        <w:t>具组实施堵漏。</w:t>
      </w:r>
    </w:p>
    <w:p w14:paraId="39400617">
      <w:pPr>
        <w:spacing w:before="33"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）处置注意事项</w:t>
      </w:r>
    </w:p>
    <w:p w14:paraId="7E088C18">
      <w:pPr>
        <w:spacing w:before="192" w:line="331" w:lineRule="auto"/>
        <w:ind w:left="10" w:right="1" w:firstLine="477"/>
        <w:rPr>
          <w:rFonts w:ascii="宋体" w:hAnsi="宋体" w:eastAsia="宋体" w:cs="宋体"/>
          <w:sz w:val="24"/>
          <w:szCs w:val="24"/>
        </w:rPr>
      </w:pPr>
      <w:r>
        <w:rPr>
          <w:rFonts w:ascii="宋体" w:hAnsi="宋体" w:eastAsia="宋体" w:cs="宋体"/>
          <w:spacing w:val="-1"/>
          <w:sz w:val="24"/>
          <w:szCs w:val="24"/>
        </w:rPr>
        <w:t>①利用有毒气体检测仪查明情况。如：测定</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 xml:space="preserve">CO </w:t>
      </w:r>
      <w:r>
        <w:rPr>
          <w:rFonts w:ascii="宋体" w:hAnsi="宋体" w:eastAsia="宋体" w:cs="宋体"/>
          <w:spacing w:val="-1"/>
          <w:sz w:val="24"/>
          <w:szCs w:val="24"/>
        </w:rPr>
        <w:t>浓度是否达到预案爆炸极限</w:t>
      </w:r>
      <w:r>
        <w:rPr>
          <w:rFonts w:ascii="宋体" w:hAnsi="宋体" w:eastAsia="宋体" w:cs="宋体"/>
          <w:spacing w:val="-2"/>
          <w:sz w:val="24"/>
          <w:szCs w:val="24"/>
        </w:rPr>
        <w:t>，是否</w:t>
      </w:r>
      <w:r>
        <w:rPr>
          <w:rFonts w:ascii="宋体" w:hAnsi="宋体" w:eastAsia="宋体" w:cs="宋体"/>
          <w:sz w:val="24"/>
          <w:szCs w:val="24"/>
        </w:rPr>
        <w:t xml:space="preserve"> </w:t>
      </w:r>
      <w:r>
        <w:rPr>
          <w:rFonts w:ascii="宋体" w:hAnsi="宋体" w:eastAsia="宋体" w:cs="宋体"/>
          <w:spacing w:val="-2"/>
          <w:sz w:val="24"/>
          <w:szCs w:val="24"/>
        </w:rPr>
        <w:t>构成人员伤亡危险，煤气泄漏量，泄漏部位，已经泄漏的数量，扩散的范围等。检测要</w:t>
      </w:r>
      <w:r>
        <w:rPr>
          <w:rFonts w:ascii="宋体" w:hAnsi="宋体" w:eastAsia="宋体" w:cs="宋体"/>
          <w:spacing w:val="15"/>
          <w:sz w:val="24"/>
          <w:szCs w:val="24"/>
        </w:rPr>
        <w:t xml:space="preserve"> </w:t>
      </w:r>
      <w:r>
        <w:rPr>
          <w:rFonts w:ascii="宋体" w:hAnsi="宋体" w:eastAsia="宋体" w:cs="宋体"/>
          <w:spacing w:val="-2"/>
          <w:sz w:val="24"/>
          <w:szCs w:val="24"/>
        </w:rPr>
        <w:t>贯穿于整个救援处置过程的始终，并将不同时期检测的详细情况认真做好记录，以便为</w:t>
      </w:r>
      <w:r>
        <w:rPr>
          <w:rFonts w:ascii="宋体" w:hAnsi="宋体" w:eastAsia="宋体" w:cs="宋体"/>
          <w:spacing w:val="15"/>
          <w:sz w:val="24"/>
          <w:szCs w:val="24"/>
        </w:rPr>
        <w:t xml:space="preserve"> </w:t>
      </w:r>
      <w:r>
        <w:rPr>
          <w:rFonts w:ascii="宋体" w:hAnsi="宋体" w:eastAsia="宋体" w:cs="宋体"/>
          <w:spacing w:val="-1"/>
          <w:sz w:val="24"/>
          <w:szCs w:val="24"/>
        </w:rPr>
        <w:t>现场指挥部决策提供客观依据。</w:t>
      </w:r>
    </w:p>
    <w:p w14:paraId="7F97CBA5">
      <w:pPr>
        <w:spacing w:before="196" w:line="343" w:lineRule="auto"/>
        <w:ind w:left="6" w:firstLine="480"/>
        <w:rPr>
          <w:rFonts w:ascii="宋体" w:hAnsi="宋体" w:eastAsia="宋体" w:cs="宋体"/>
          <w:sz w:val="24"/>
          <w:szCs w:val="24"/>
        </w:rPr>
      </w:pPr>
      <w:r>
        <w:rPr>
          <w:rFonts w:ascii="宋体" w:hAnsi="宋体" w:eastAsia="宋体" w:cs="宋体"/>
          <w:spacing w:val="-2"/>
          <w:sz w:val="24"/>
          <w:szCs w:val="24"/>
        </w:rPr>
        <w:t>②泄漏处置过程中，一定要加强个人防护，空气呼吸器、防毒衣、防化服、防化手</w:t>
      </w:r>
      <w:r>
        <w:rPr>
          <w:rFonts w:ascii="宋体" w:hAnsi="宋体" w:eastAsia="宋体" w:cs="宋体"/>
          <w:spacing w:val="15"/>
          <w:sz w:val="24"/>
          <w:szCs w:val="24"/>
        </w:rPr>
        <w:t xml:space="preserve"> </w:t>
      </w:r>
      <w:r>
        <w:rPr>
          <w:rFonts w:ascii="宋体" w:hAnsi="宋体" w:eastAsia="宋体" w:cs="宋体"/>
          <w:spacing w:val="-1"/>
          <w:sz w:val="24"/>
          <w:szCs w:val="24"/>
        </w:rPr>
        <w:t>套等必须佩戴齐全，佩戴空气呼吸器和防化</w:t>
      </w:r>
      <w:r>
        <w:rPr>
          <w:rFonts w:ascii="宋体" w:hAnsi="宋体" w:eastAsia="宋体" w:cs="宋体"/>
          <w:spacing w:val="-2"/>
          <w:sz w:val="24"/>
          <w:szCs w:val="24"/>
        </w:rPr>
        <w:t>服时要选择上风方向，空气新鲜且为无泄漏</w:t>
      </w:r>
      <w:r>
        <w:rPr>
          <w:rFonts w:ascii="宋体" w:hAnsi="宋体" w:eastAsia="宋体" w:cs="宋体"/>
          <w:sz w:val="24"/>
          <w:szCs w:val="24"/>
        </w:rPr>
        <w:t xml:space="preserve"> </w:t>
      </w:r>
      <w:r>
        <w:rPr>
          <w:rFonts w:ascii="宋体" w:hAnsi="宋体" w:eastAsia="宋体" w:cs="宋体"/>
          <w:spacing w:val="-1"/>
          <w:sz w:val="24"/>
          <w:szCs w:val="24"/>
        </w:rPr>
        <w:t>源污染地带，穿戴好再进入，结束时还要按</w:t>
      </w:r>
      <w:r>
        <w:rPr>
          <w:rFonts w:ascii="宋体" w:hAnsi="宋体" w:eastAsia="宋体" w:cs="宋体"/>
          <w:spacing w:val="-2"/>
          <w:sz w:val="24"/>
          <w:szCs w:val="24"/>
        </w:rPr>
        <w:t>照穿戴要求脱下，确保自身安全。实施堵漏</w:t>
      </w:r>
      <w:r>
        <w:rPr>
          <w:rFonts w:ascii="宋体" w:hAnsi="宋体" w:eastAsia="宋体" w:cs="宋体"/>
          <w:sz w:val="24"/>
          <w:szCs w:val="24"/>
        </w:rPr>
        <w:t xml:space="preserve"> </w:t>
      </w:r>
      <w:r>
        <w:rPr>
          <w:rFonts w:ascii="宋体" w:hAnsi="宋体" w:eastAsia="宋体" w:cs="宋体"/>
          <w:spacing w:val="-1"/>
          <w:sz w:val="24"/>
          <w:szCs w:val="24"/>
        </w:rPr>
        <w:t>作业时必须要有水枪作掩护，携带的通信、</w:t>
      </w:r>
      <w:r>
        <w:rPr>
          <w:rFonts w:ascii="宋体" w:hAnsi="宋体" w:eastAsia="宋体" w:cs="宋体"/>
          <w:spacing w:val="-2"/>
          <w:sz w:val="24"/>
          <w:szCs w:val="24"/>
        </w:rPr>
        <w:t>照明必须防爆；严禁穿带钉鞋进入现场，处</w:t>
      </w:r>
      <w:r>
        <w:rPr>
          <w:rFonts w:ascii="宋体" w:hAnsi="宋体" w:eastAsia="宋体" w:cs="宋体"/>
          <w:sz w:val="24"/>
          <w:szCs w:val="24"/>
        </w:rPr>
        <w:t xml:space="preserve"> </w:t>
      </w:r>
      <w:r>
        <w:rPr>
          <w:rFonts w:ascii="宋体" w:hAnsi="宋体" w:eastAsia="宋体" w:cs="宋体"/>
          <w:spacing w:val="-1"/>
          <w:sz w:val="24"/>
          <w:szCs w:val="24"/>
        </w:rPr>
        <w:t>置时要使用无火花工具并防止静电产生。指</w:t>
      </w:r>
      <w:r>
        <w:rPr>
          <w:rFonts w:ascii="宋体" w:hAnsi="宋体" w:eastAsia="宋体" w:cs="宋体"/>
          <w:spacing w:val="-2"/>
          <w:sz w:val="24"/>
          <w:szCs w:val="24"/>
        </w:rPr>
        <w:t>挥部、抢险车辆要设置或停放在事故点上风</w:t>
      </w:r>
      <w:r>
        <w:rPr>
          <w:rFonts w:ascii="宋体" w:hAnsi="宋体" w:eastAsia="宋体" w:cs="宋体"/>
          <w:sz w:val="24"/>
          <w:szCs w:val="24"/>
        </w:rPr>
        <w:t xml:space="preserve"> </w:t>
      </w:r>
      <w:r>
        <w:rPr>
          <w:rFonts w:ascii="宋体" w:hAnsi="宋体" w:eastAsia="宋体" w:cs="宋体"/>
          <w:spacing w:val="-2"/>
          <w:sz w:val="24"/>
          <w:szCs w:val="24"/>
        </w:rPr>
        <w:t>或侧风方向，安全距离不应小于</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100m</w:t>
      </w:r>
      <w:r>
        <w:rPr>
          <w:rFonts w:ascii="宋体" w:hAnsi="宋体" w:eastAsia="宋体" w:cs="宋体"/>
          <w:spacing w:val="-2"/>
          <w:sz w:val="24"/>
          <w:szCs w:val="24"/>
        </w:rPr>
        <w:t>。</w:t>
      </w:r>
    </w:p>
    <w:p w14:paraId="66742967">
      <w:pPr>
        <w:spacing w:before="195" w:line="343" w:lineRule="auto"/>
        <w:ind w:left="6" w:right="1" w:firstLine="480"/>
        <w:rPr>
          <w:rFonts w:ascii="宋体" w:hAnsi="宋体" w:eastAsia="宋体" w:cs="宋体"/>
          <w:sz w:val="24"/>
          <w:szCs w:val="24"/>
        </w:rPr>
      </w:pPr>
      <w:r>
        <w:rPr>
          <w:rFonts w:ascii="宋体" w:hAnsi="宋体" w:eastAsia="宋体" w:cs="宋体"/>
          <w:spacing w:val="-2"/>
          <w:sz w:val="24"/>
          <w:szCs w:val="24"/>
        </w:rPr>
        <w:t>③发挥社会联动机制，如需要疏散人数多污染面积大时，必须要动用公安、武警等</w:t>
      </w:r>
      <w:r>
        <w:rPr>
          <w:rFonts w:ascii="宋体" w:hAnsi="宋体" w:eastAsia="宋体" w:cs="宋体"/>
          <w:spacing w:val="15"/>
          <w:sz w:val="24"/>
          <w:szCs w:val="24"/>
        </w:rPr>
        <w:t xml:space="preserve"> </w:t>
      </w:r>
      <w:r>
        <w:rPr>
          <w:rFonts w:ascii="宋体" w:hAnsi="宋体" w:eastAsia="宋体" w:cs="宋体"/>
          <w:spacing w:val="-1"/>
          <w:sz w:val="24"/>
          <w:szCs w:val="24"/>
        </w:rPr>
        <w:t>其他社会力量共同参与。根据事故现场情况</w:t>
      </w:r>
      <w:r>
        <w:rPr>
          <w:rFonts w:ascii="宋体" w:hAnsi="宋体" w:eastAsia="宋体" w:cs="宋体"/>
          <w:spacing w:val="-2"/>
          <w:sz w:val="24"/>
          <w:szCs w:val="24"/>
        </w:rPr>
        <w:t>划定警戒区。分为：重危区、轻危区和警戒</w:t>
      </w:r>
      <w:r>
        <w:rPr>
          <w:rFonts w:ascii="宋体" w:hAnsi="宋体" w:eastAsia="宋体" w:cs="宋体"/>
          <w:sz w:val="24"/>
          <w:szCs w:val="24"/>
        </w:rPr>
        <w:t xml:space="preserve"> </w:t>
      </w:r>
      <w:r>
        <w:rPr>
          <w:rFonts w:ascii="宋体" w:hAnsi="宋体" w:eastAsia="宋体" w:cs="宋体"/>
          <w:spacing w:val="-2"/>
          <w:sz w:val="24"/>
          <w:szCs w:val="24"/>
        </w:rPr>
        <w:t>区。一般情况下以泄漏源</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50m</w:t>
      </w:r>
      <w:r>
        <w:rPr>
          <w:rFonts w:ascii="宋体" w:hAnsi="宋体" w:eastAsia="宋体" w:cs="宋体"/>
          <w:spacing w:val="-2"/>
          <w:sz w:val="24"/>
          <w:szCs w:val="24"/>
        </w:rPr>
        <w:t>确定为重危区，此区域内只能有佩戴个人防护装备齐全的</w:t>
      </w:r>
      <w:r>
        <w:rPr>
          <w:rFonts w:ascii="宋体" w:hAnsi="宋体" w:eastAsia="宋体" w:cs="宋体"/>
          <w:sz w:val="24"/>
          <w:szCs w:val="24"/>
        </w:rPr>
        <w:t xml:space="preserve"> </w:t>
      </w:r>
      <w:r>
        <w:rPr>
          <w:rFonts w:ascii="宋体" w:hAnsi="宋体" w:eastAsia="宋体" w:cs="宋体"/>
          <w:spacing w:val="-1"/>
          <w:sz w:val="24"/>
          <w:szCs w:val="24"/>
        </w:rPr>
        <w:t>消防人员进入，对进入重危区人员要做好详</w:t>
      </w:r>
      <w:r>
        <w:rPr>
          <w:rFonts w:ascii="宋体" w:hAnsi="宋体" w:eastAsia="宋体" w:cs="宋体"/>
          <w:spacing w:val="-2"/>
          <w:sz w:val="24"/>
          <w:szCs w:val="24"/>
        </w:rPr>
        <w:t>细登记。主要任务是实施控制、堵漏等特殊</w:t>
      </w:r>
      <w:r>
        <w:rPr>
          <w:rFonts w:ascii="宋体" w:hAnsi="宋体" w:eastAsia="宋体" w:cs="宋体"/>
          <w:sz w:val="24"/>
          <w:szCs w:val="24"/>
        </w:rPr>
        <w:t xml:space="preserve"> </w:t>
      </w:r>
      <w:r>
        <w:rPr>
          <w:rFonts w:ascii="宋体" w:hAnsi="宋体" w:eastAsia="宋体" w:cs="宋体"/>
          <w:spacing w:val="-1"/>
          <w:sz w:val="24"/>
          <w:szCs w:val="24"/>
        </w:rPr>
        <w:t>作业；泄漏源</w:t>
      </w:r>
      <w:r>
        <w:rPr>
          <w:rFonts w:ascii="宋体" w:hAnsi="宋体" w:eastAsia="宋体" w:cs="宋体"/>
          <w:spacing w:val="-24"/>
          <w:sz w:val="24"/>
          <w:szCs w:val="24"/>
        </w:rPr>
        <w:t xml:space="preserve"> </w:t>
      </w:r>
      <w:r>
        <w:rPr>
          <w:rFonts w:ascii="Times New Roman" w:hAnsi="Times New Roman" w:eastAsia="Times New Roman" w:cs="Times New Roman"/>
          <w:spacing w:val="-1"/>
          <w:sz w:val="24"/>
          <w:szCs w:val="24"/>
        </w:rPr>
        <w:t xml:space="preserve">100m </w:t>
      </w:r>
      <w:r>
        <w:rPr>
          <w:rFonts w:ascii="宋体" w:hAnsi="宋体" w:eastAsia="宋体" w:cs="宋体"/>
          <w:spacing w:val="-1"/>
          <w:sz w:val="24"/>
          <w:szCs w:val="24"/>
        </w:rPr>
        <w:t>为轻危区，进入人员也要佩戴空气呼吸器和穿着防化服，做好场内</w:t>
      </w:r>
      <w:r>
        <w:rPr>
          <w:rFonts w:ascii="宋体" w:hAnsi="宋体" w:eastAsia="宋体" w:cs="宋体"/>
          <w:sz w:val="24"/>
          <w:szCs w:val="24"/>
        </w:rPr>
        <w:t xml:space="preserve"> 进出人员登记，主要任务是对受污染的空气环境稀释消毒；泄漏源</w:t>
      </w:r>
      <w:r>
        <w:rPr>
          <w:rFonts w:ascii="宋体" w:hAnsi="宋体" w:eastAsia="宋体" w:cs="宋体"/>
          <w:spacing w:val="-55"/>
          <w:sz w:val="24"/>
          <w:szCs w:val="24"/>
        </w:rPr>
        <w:t xml:space="preserve"> </w:t>
      </w:r>
      <w:r>
        <w:rPr>
          <w:rFonts w:ascii="Times New Roman" w:hAnsi="Times New Roman" w:eastAsia="Times New Roman" w:cs="Times New Roman"/>
          <w:sz w:val="24"/>
          <w:szCs w:val="24"/>
        </w:rPr>
        <w:t>20</w:t>
      </w:r>
      <w:r>
        <w:rPr>
          <w:rFonts w:ascii="Times New Roman" w:hAnsi="Times New Roman" w:eastAsia="Times New Roman" w:cs="Times New Roman"/>
          <w:spacing w:val="-1"/>
          <w:sz w:val="24"/>
          <w:szCs w:val="24"/>
        </w:rPr>
        <w:t xml:space="preserve">0m </w:t>
      </w:r>
      <w:r>
        <w:rPr>
          <w:rFonts w:ascii="宋体" w:hAnsi="宋体" w:eastAsia="宋体" w:cs="宋体"/>
          <w:spacing w:val="-1"/>
          <w:sz w:val="24"/>
          <w:szCs w:val="24"/>
        </w:rPr>
        <w:t>为警戒区，警</w:t>
      </w:r>
    </w:p>
    <w:p w14:paraId="57C9103C">
      <w:pPr>
        <w:spacing w:line="343" w:lineRule="auto"/>
        <w:rPr>
          <w:rFonts w:ascii="宋体" w:hAnsi="宋体" w:eastAsia="宋体" w:cs="宋体"/>
          <w:sz w:val="24"/>
          <w:szCs w:val="24"/>
        </w:rPr>
        <w:sectPr>
          <w:headerReference r:id="rId430" w:type="default"/>
          <w:footerReference r:id="rId431" w:type="default"/>
          <w:pgSz w:w="11906" w:h="16839"/>
          <w:pgMar w:top="1191" w:right="1416" w:bottom="1221" w:left="1417" w:header="882" w:footer="1059" w:gutter="0"/>
          <w:cols w:space="720" w:num="1"/>
        </w:sectPr>
      </w:pPr>
    </w:p>
    <w:p w14:paraId="60F43E34">
      <w:pPr>
        <w:spacing w:line="28" w:lineRule="exact"/>
      </w:pPr>
      <w:r>
        <w:pict>
          <v:shape id="_x0000_s1970" o:spid="_x0000_s1970" style="height:1.45pt;width:453.65pt;" fillcolor="#000000" filled="t" stroked="f" coordsize="9072,29" path="m0,0l9072,0,9072,28,0,28,0,0xe">
            <v:path/>
            <v:fill on="t" focussize="0,0"/>
            <v:stroke on="f"/>
            <v:imagedata o:title=""/>
            <o:lock v:ext="edit"/>
            <w10:wrap type="none"/>
            <w10:anchorlock/>
          </v:shape>
        </w:pict>
      </w:r>
    </w:p>
    <w:p w14:paraId="23A22F06">
      <w:pPr>
        <w:spacing w:before="319" w:line="363" w:lineRule="auto"/>
        <w:ind w:left="10" w:right="80" w:firstLine="2"/>
        <w:jc w:val="both"/>
        <w:rPr>
          <w:rFonts w:ascii="宋体" w:hAnsi="宋体" w:eastAsia="宋体" w:cs="宋体"/>
          <w:sz w:val="24"/>
          <w:szCs w:val="24"/>
        </w:rPr>
      </w:pPr>
      <w:r>
        <w:rPr>
          <w:rFonts w:ascii="宋体" w:hAnsi="宋体" w:eastAsia="宋体" w:cs="宋体"/>
          <w:spacing w:val="5"/>
          <w:sz w:val="24"/>
          <w:szCs w:val="24"/>
        </w:rPr>
        <w:t>戒人员最好也要配置空气呼吸器或滤毒罐，条件实在不允许的情</w:t>
      </w:r>
      <w:r>
        <w:rPr>
          <w:rFonts w:ascii="宋体" w:hAnsi="宋体" w:eastAsia="宋体" w:cs="宋体"/>
          <w:spacing w:val="4"/>
          <w:sz w:val="24"/>
          <w:szCs w:val="24"/>
        </w:rPr>
        <w:t>况下也要佩戴用水或</w:t>
      </w:r>
      <w:r>
        <w:rPr>
          <w:rFonts w:ascii="宋体" w:hAnsi="宋体" w:eastAsia="宋体" w:cs="宋体"/>
          <w:sz w:val="24"/>
          <w:szCs w:val="24"/>
        </w:rPr>
        <w:t xml:space="preserve"> </w:t>
      </w:r>
      <w:r>
        <w:rPr>
          <w:rFonts w:ascii="Times New Roman" w:hAnsi="Times New Roman" w:eastAsia="Times New Roman" w:cs="Times New Roman"/>
          <w:spacing w:val="-1"/>
          <w:sz w:val="24"/>
          <w:szCs w:val="24"/>
        </w:rPr>
        <w:t>10%</w:t>
      </w:r>
      <w:r>
        <w:rPr>
          <w:rFonts w:ascii="宋体" w:hAnsi="宋体" w:eastAsia="宋体" w:cs="宋体"/>
          <w:spacing w:val="-1"/>
          <w:sz w:val="24"/>
          <w:szCs w:val="24"/>
        </w:rPr>
        <w:t>苏打水浸渍的口罩、毛巾等加以防护。主要任务是控制车辆和无关人员进出，消除</w:t>
      </w:r>
      <w:r>
        <w:rPr>
          <w:rFonts w:ascii="宋体" w:hAnsi="宋体" w:eastAsia="宋体" w:cs="宋体"/>
          <w:spacing w:val="18"/>
          <w:sz w:val="24"/>
          <w:szCs w:val="24"/>
        </w:rPr>
        <w:t xml:space="preserve"> </w:t>
      </w:r>
      <w:r>
        <w:rPr>
          <w:rFonts w:ascii="宋体" w:hAnsi="宋体" w:eastAsia="宋体" w:cs="宋体"/>
          <w:spacing w:val="-2"/>
          <w:sz w:val="24"/>
          <w:szCs w:val="24"/>
        </w:rPr>
        <w:t>火种。划定警戒区时还要考虑当天风力气象及泄漏量问题。下风向或泄漏量比较大时警</w:t>
      </w:r>
      <w:r>
        <w:rPr>
          <w:rFonts w:ascii="宋体" w:hAnsi="宋体" w:eastAsia="宋体" w:cs="宋体"/>
          <w:spacing w:val="15"/>
          <w:sz w:val="24"/>
          <w:szCs w:val="24"/>
        </w:rPr>
        <w:t xml:space="preserve"> </w:t>
      </w:r>
      <w:r>
        <w:rPr>
          <w:rFonts w:ascii="宋体" w:hAnsi="宋体" w:eastAsia="宋体" w:cs="宋体"/>
          <w:spacing w:val="-2"/>
          <w:sz w:val="24"/>
          <w:szCs w:val="24"/>
        </w:rPr>
        <w:t>戒区还要相对扩大。警戒线可用白灰沿警戒边界打上白线或设置警戒带作明显标识，在</w:t>
      </w:r>
      <w:r>
        <w:rPr>
          <w:rFonts w:ascii="宋体" w:hAnsi="宋体" w:eastAsia="宋体" w:cs="宋体"/>
          <w:spacing w:val="15"/>
          <w:sz w:val="24"/>
          <w:szCs w:val="24"/>
        </w:rPr>
        <w:t xml:space="preserve"> </w:t>
      </w:r>
      <w:r>
        <w:rPr>
          <w:rFonts w:ascii="宋体" w:hAnsi="宋体" w:eastAsia="宋体" w:cs="宋体"/>
          <w:spacing w:val="-2"/>
          <w:sz w:val="24"/>
          <w:szCs w:val="24"/>
        </w:rPr>
        <w:t>警戒边缘要实施不间断的检测，以确保警戒范围设置的有效性。处置工作结束后，经反</w:t>
      </w:r>
      <w:r>
        <w:rPr>
          <w:rFonts w:ascii="宋体" w:hAnsi="宋体" w:eastAsia="宋体" w:cs="宋体"/>
          <w:spacing w:val="15"/>
          <w:sz w:val="24"/>
          <w:szCs w:val="24"/>
        </w:rPr>
        <w:t xml:space="preserve"> </w:t>
      </w:r>
      <w:r>
        <w:rPr>
          <w:rFonts w:ascii="宋体" w:hAnsi="宋体" w:eastAsia="宋体" w:cs="宋体"/>
          <w:spacing w:val="-1"/>
          <w:sz w:val="24"/>
          <w:szCs w:val="24"/>
        </w:rPr>
        <w:t>复检测确认有毒气体全部散尽后，警戒人员方可撤离岗位。</w:t>
      </w:r>
    </w:p>
    <w:p w14:paraId="0F6E4503">
      <w:pPr>
        <w:spacing w:before="36" w:line="363" w:lineRule="auto"/>
        <w:ind w:left="7" w:right="80" w:firstLine="479"/>
        <w:rPr>
          <w:rFonts w:ascii="宋体" w:hAnsi="宋体" w:eastAsia="宋体" w:cs="宋体"/>
          <w:sz w:val="24"/>
          <w:szCs w:val="24"/>
        </w:rPr>
      </w:pPr>
      <w:r>
        <w:rPr>
          <w:rFonts w:ascii="宋体" w:hAnsi="宋体" w:eastAsia="宋体" w:cs="宋体"/>
          <w:spacing w:val="-2"/>
          <w:sz w:val="24"/>
          <w:szCs w:val="24"/>
        </w:rPr>
        <w:t>④发生火灾、泄漏时，先堵漏再灭火，用大量水流冷却泄漏设备及相邻有关设施，</w:t>
      </w:r>
      <w:r>
        <w:rPr>
          <w:rFonts w:ascii="宋体" w:hAnsi="宋体" w:eastAsia="宋体" w:cs="宋体"/>
          <w:spacing w:val="15"/>
          <w:sz w:val="24"/>
          <w:szCs w:val="24"/>
        </w:rPr>
        <w:t xml:space="preserve"> </w:t>
      </w:r>
      <w:r>
        <w:rPr>
          <w:rFonts w:ascii="宋体" w:hAnsi="宋体" w:eastAsia="宋体" w:cs="宋体"/>
          <w:spacing w:val="-2"/>
          <w:sz w:val="24"/>
          <w:szCs w:val="24"/>
        </w:rPr>
        <w:t>条件准备充分时再进行灭火；扑救过程中，应注意避免因发泄漏物质的扩散引起新的着</w:t>
      </w:r>
      <w:r>
        <w:rPr>
          <w:rFonts w:ascii="宋体" w:hAnsi="宋体" w:eastAsia="宋体" w:cs="宋体"/>
          <w:spacing w:val="18"/>
          <w:sz w:val="24"/>
          <w:szCs w:val="24"/>
        </w:rPr>
        <w:t xml:space="preserve"> </w:t>
      </w:r>
      <w:r>
        <w:rPr>
          <w:rFonts w:ascii="宋体" w:hAnsi="宋体" w:eastAsia="宋体" w:cs="宋体"/>
          <w:spacing w:val="-2"/>
          <w:sz w:val="24"/>
          <w:szCs w:val="24"/>
        </w:rPr>
        <w:t>火点，若出现容器通风孔声音变大、容器壁颤抖、火焰变亮耀眼等危险征兆，人员立即</w:t>
      </w:r>
      <w:r>
        <w:rPr>
          <w:rFonts w:ascii="宋体" w:hAnsi="宋体" w:eastAsia="宋体" w:cs="宋体"/>
          <w:spacing w:val="18"/>
          <w:sz w:val="24"/>
          <w:szCs w:val="24"/>
        </w:rPr>
        <w:t xml:space="preserve"> </w:t>
      </w:r>
      <w:r>
        <w:rPr>
          <w:rFonts w:ascii="宋体" w:hAnsi="宋体" w:eastAsia="宋体" w:cs="宋体"/>
          <w:spacing w:val="-2"/>
          <w:sz w:val="24"/>
          <w:szCs w:val="24"/>
        </w:rPr>
        <w:t>撤退。必要情况下要在专业技术人员配合指导下实施，不能自行冒险作业，否则可能造</w:t>
      </w:r>
      <w:r>
        <w:rPr>
          <w:rFonts w:ascii="宋体" w:hAnsi="宋体" w:eastAsia="宋体" w:cs="宋体"/>
          <w:spacing w:val="18"/>
          <w:sz w:val="24"/>
          <w:szCs w:val="24"/>
        </w:rPr>
        <w:t xml:space="preserve"> </w:t>
      </w:r>
      <w:r>
        <w:rPr>
          <w:rFonts w:ascii="宋体" w:hAnsi="宋体" w:eastAsia="宋体" w:cs="宋体"/>
          <w:spacing w:val="-1"/>
          <w:sz w:val="24"/>
          <w:szCs w:val="24"/>
        </w:rPr>
        <w:t>成不应有的负面作用。</w:t>
      </w:r>
    </w:p>
    <w:p w14:paraId="549544AA">
      <w:pPr>
        <w:spacing w:before="92" w:line="219" w:lineRule="auto"/>
        <w:ind w:left="8"/>
        <w:outlineLvl w:val="2"/>
        <w:rPr>
          <w:rFonts w:ascii="宋体" w:hAnsi="宋体" w:eastAsia="宋体" w:cs="宋体"/>
          <w:sz w:val="28"/>
          <w:szCs w:val="28"/>
        </w:rPr>
      </w:pPr>
      <w:bookmarkStart w:id="428" w:name="bookmark324"/>
      <w:bookmarkEnd w:id="428"/>
      <w:r>
        <w:rPr>
          <w:rFonts w:ascii="Times New Roman" w:hAnsi="Times New Roman" w:eastAsia="Times New Roman" w:cs="Times New Roman"/>
          <w:b/>
          <w:bCs/>
          <w:spacing w:val="-2"/>
          <w:sz w:val="28"/>
          <w:szCs w:val="28"/>
        </w:rPr>
        <w:t xml:space="preserve">5.8.6 </w:t>
      </w:r>
      <w:r>
        <w:rPr>
          <w:rFonts w:ascii="宋体" w:hAnsi="宋体" w:eastAsia="宋体" w:cs="宋体"/>
          <w:b/>
          <w:bCs/>
          <w:spacing w:val="-2"/>
          <w:sz w:val="28"/>
          <w:szCs w:val="28"/>
        </w:rPr>
        <w:t>应急检测、防护措施、清除泄漏措施和器材</w:t>
      </w:r>
    </w:p>
    <w:p w14:paraId="31162317">
      <w:pPr>
        <w:spacing w:before="247" w:line="354" w:lineRule="auto"/>
        <w:ind w:left="7" w:right="80" w:firstLine="490"/>
        <w:rPr>
          <w:rFonts w:ascii="宋体" w:hAnsi="宋体" w:eastAsia="宋体" w:cs="宋体"/>
          <w:sz w:val="24"/>
          <w:szCs w:val="24"/>
        </w:rPr>
      </w:pPr>
      <w:r>
        <w:rPr>
          <w:rFonts w:ascii="宋体" w:hAnsi="宋体" w:eastAsia="宋体" w:cs="宋体"/>
          <w:spacing w:val="-2"/>
          <w:sz w:val="24"/>
          <w:szCs w:val="24"/>
        </w:rPr>
        <w:t>能源隔断：车间的物料和能源供应应该在单独楼层布置图上标出危险区，必须包括</w:t>
      </w:r>
      <w:r>
        <w:rPr>
          <w:rFonts w:ascii="宋体" w:hAnsi="宋体" w:eastAsia="宋体" w:cs="宋体"/>
          <w:spacing w:val="4"/>
          <w:sz w:val="24"/>
          <w:szCs w:val="24"/>
        </w:rPr>
        <w:t xml:space="preserve"> </w:t>
      </w:r>
      <w:r>
        <w:rPr>
          <w:rFonts w:ascii="宋体" w:hAnsi="宋体" w:eastAsia="宋体" w:cs="宋体"/>
          <w:spacing w:val="-1"/>
          <w:sz w:val="24"/>
          <w:szCs w:val="24"/>
        </w:rPr>
        <w:t>遥控操作关闭阀门和手动关闭阀门。</w:t>
      </w:r>
    </w:p>
    <w:p w14:paraId="60CD1204">
      <w:pPr>
        <w:spacing w:before="34" w:line="356" w:lineRule="auto"/>
        <w:ind w:left="10" w:right="72" w:firstLine="478"/>
        <w:rPr>
          <w:rFonts w:ascii="宋体" w:hAnsi="宋体" w:eastAsia="宋体" w:cs="宋体"/>
          <w:sz w:val="24"/>
          <w:szCs w:val="24"/>
        </w:rPr>
      </w:pPr>
      <w:r>
        <w:rPr>
          <w:rFonts w:ascii="宋体" w:hAnsi="宋体" w:eastAsia="宋体" w:cs="宋体"/>
          <w:spacing w:val="-2"/>
          <w:sz w:val="24"/>
          <w:szCs w:val="24"/>
        </w:rPr>
        <w:t>物料隔断：管路必须在工艺流程图上标识，该工艺流程图在生产办公室及门卫处备</w:t>
      </w:r>
      <w:r>
        <w:rPr>
          <w:rFonts w:ascii="宋体" w:hAnsi="宋体" w:eastAsia="宋体" w:cs="宋体"/>
          <w:spacing w:val="13"/>
          <w:sz w:val="24"/>
          <w:szCs w:val="24"/>
        </w:rPr>
        <w:t xml:space="preserve"> </w:t>
      </w:r>
      <w:r>
        <w:rPr>
          <w:rFonts w:ascii="宋体" w:hAnsi="宋体" w:eastAsia="宋体" w:cs="宋体"/>
          <w:spacing w:val="-1"/>
          <w:sz w:val="24"/>
          <w:szCs w:val="24"/>
        </w:rPr>
        <w:t>用，万一发生紧急情况需要进行物料管路隔断时，应</w:t>
      </w:r>
      <w:r>
        <w:rPr>
          <w:rFonts w:ascii="宋体" w:hAnsi="宋体" w:eastAsia="宋体" w:cs="宋体"/>
          <w:spacing w:val="-2"/>
          <w:sz w:val="24"/>
          <w:szCs w:val="24"/>
        </w:rPr>
        <w:t>急人员可以在上述地点得到图纸。</w:t>
      </w:r>
    </w:p>
    <w:p w14:paraId="73D5D3C1">
      <w:pPr>
        <w:spacing w:before="34" w:line="361" w:lineRule="auto"/>
        <w:ind w:left="11" w:firstLine="479"/>
        <w:rPr>
          <w:rFonts w:ascii="宋体" w:hAnsi="宋体" w:eastAsia="宋体" w:cs="宋体"/>
          <w:sz w:val="24"/>
          <w:szCs w:val="24"/>
        </w:rPr>
      </w:pPr>
      <w:r>
        <w:rPr>
          <w:rFonts w:ascii="宋体" w:hAnsi="宋体" w:eastAsia="宋体" w:cs="宋体"/>
          <w:spacing w:val="-6"/>
          <w:sz w:val="24"/>
          <w:szCs w:val="24"/>
        </w:rPr>
        <w:t>污水隔断：雨水管道出口及污水接管口均设置控制阀门，发生事故时及时关闭阀门。</w:t>
      </w:r>
      <w:r>
        <w:rPr>
          <w:rFonts w:ascii="宋体" w:hAnsi="宋体" w:eastAsia="宋体" w:cs="宋体"/>
          <w:spacing w:val="1"/>
          <w:sz w:val="24"/>
          <w:szCs w:val="24"/>
        </w:rPr>
        <w:t xml:space="preserve"> </w:t>
      </w:r>
      <w:r>
        <w:rPr>
          <w:rFonts w:ascii="宋体" w:hAnsi="宋体" w:eastAsia="宋体" w:cs="宋体"/>
          <w:spacing w:val="-2"/>
          <w:sz w:val="24"/>
          <w:szCs w:val="24"/>
        </w:rPr>
        <w:t>消防用水等污水部分直接通过煤气柜、装置区等的地漏进入污水处置系统，部分进入雨</w:t>
      </w:r>
      <w:r>
        <w:rPr>
          <w:rFonts w:ascii="宋体" w:hAnsi="宋体" w:eastAsia="宋体" w:cs="宋体"/>
          <w:spacing w:val="14"/>
          <w:sz w:val="24"/>
          <w:szCs w:val="24"/>
        </w:rPr>
        <w:t xml:space="preserve"> </w:t>
      </w:r>
      <w:r>
        <w:rPr>
          <w:rFonts w:ascii="宋体" w:hAnsi="宋体" w:eastAsia="宋体" w:cs="宋体"/>
          <w:spacing w:val="-2"/>
          <w:sz w:val="24"/>
          <w:szCs w:val="24"/>
        </w:rPr>
        <w:t>水管道被控制阀拦截，通过转换阀送回事故水池，沉淀处理后回用，不可直接进入环境</w:t>
      </w:r>
      <w:r>
        <w:rPr>
          <w:rFonts w:ascii="宋体" w:hAnsi="宋体" w:eastAsia="宋体" w:cs="宋体"/>
          <w:spacing w:val="14"/>
          <w:sz w:val="24"/>
          <w:szCs w:val="24"/>
        </w:rPr>
        <w:t xml:space="preserve"> </w:t>
      </w:r>
      <w:r>
        <w:rPr>
          <w:rFonts w:ascii="宋体" w:hAnsi="宋体" w:eastAsia="宋体" w:cs="宋体"/>
          <w:spacing w:val="-5"/>
          <w:sz w:val="24"/>
          <w:szCs w:val="24"/>
        </w:rPr>
        <w:t>水体。</w:t>
      </w:r>
    </w:p>
    <w:p w14:paraId="418DEC2C">
      <w:pPr>
        <w:spacing w:before="95" w:line="219" w:lineRule="auto"/>
        <w:ind w:left="8"/>
        <w:outlineLvl w:val="2"/>
        <w:rPr>
          <w:rFonts w:ascii="宋体" w:hAnsi="宋体" w:eastAsia="宋体" w:cs="宋体"/>
          <w:sz w:val="28"/>
          <w:szCs w:val="28"/>
        </w:rPr>
      </w:pPr>
      <w:bookmarkStart w:id="429" w:name="bookmark326"/>
      <w:bookmarkEnd w:id="429"/>
      <w:r>
        <w:rPr>
          <w:rFonts w:ascii="Times New Roman" w:hAnsi="Times New Roman" w:eastAsia="Times New Roman" w:cs="Times New Roman"/>
          <w:b/>
          <w:bCs/>
          <w:spacing w:val="-2"/>
          <w:sz w:val="28"/>
          <w:szCs w:val="28"/>
        </w:rPr>
        <w:t xml:space="preserve">5.8.7 </w:t>
      </w:r>
      <w:r>
        <w:rPr>
          <w:rFonts w:ascii="宋体" w:hAnsi="宋体" w:eastAsia="宋体" w:cs="宋体"/>
          <w:b/>
          <w:bCs/>
          <w:spacing w:val="-2"/>
          <w:sz w:val="28"/>
          <w:szCs w:val="28"/>
        </w:rPr>
        <w:t>人员紧急撤离、疏散，应急剂量控制、撤离组织计划</w:t>
      </w:r>
    </w:p>
    <w:p w14:paraId="1E13634A">
      <w:pPr>
        <w:spacing w:before="245" w:line="356" w:lineRule="auto"/>
        <w:ind w:left="8" w:right="80" w:firstLine="483"/>
        <w:rPr>
          <w:rFonts w:ascii="宋体" w:hAnsi="宋体" w:eastAsia="宋体" w:cs="宋体"/>
          <w:sz w:val="24"/>
          <w:szCs w:val="24"/>
        </w:rPr>
      </w:pPr>
      <w:r>
        <w:rPr>
          <w:rFonts w:ascii="宋体" w:hAnsi="宋体" w:eastAsia="宋体" w:cs="宋体"/>
          <w:spacing w:val="-2"/>
          <w:sz w:val="24"/>
          <w:szCs w:val="24"/>
        </w:rPr>
        <w:t>发生泄漏或火灾爆炸后，应根据现场事故情况，建立警戒区域，并迅速将警戒区内</w:t>
      </w:r>
      <w:r>
        <w:rPr>
          <w:rFonts w:ascii="宋体" w:hAnsi="宋体" w:eastAsia="宋体" w:cs="宋体"/>
          <w:spacing w:val="9"/>
          <w:sz w:val="24"/>
          <w:szCs w:val="24"/>
        </w:rPr>
        <w:t xml:space="preserve"> </w:t>
      </w:r>
      <w:r>
        <w:rPr>
          <w:rFonts w:ascii="宋体" w:hAnsi="宋体" w:eastAsia="宋体" w:cs="宋体"/>
          <w:spacing w:val="-1"/>
          <w:sz w:val="24"/>
          <w:szCs w:val="24"/>
        </w:rPr>
        <w:t>事故处理无关人员疏散至安全地点。</w:t>
      </w:r>
    </w:p>
    <w:p w14:paraId="21741ABC">
      <w:pPr>
        <w:spacing w:before="34" w:line="361" w:lineRule="auto"/>
        <w:ind w:left="9" w:right="80" w:firstLine="478"/>
        <w:jc w:val="both"/>
        <w:rPr>
          <w:rFonts w:ascii="宋体" w:hAnsi="宋体" w:eastAsia="宋体" w:cs="宋体"/>
          <w:sz w:val="24"/>
          <w:szCs w:val="24"/>
        </w:rPr>
      </w:pPr>
      <w:r>
        <w:rPr>
          <w:rFonts w:ascii="宋体" w:hAnsi="宋体" w:eastAsia="宋体" w:cs="宋体"/>
          <w:spacing w:val="-2"/>
          <w:sz w:val="24"/>
          <w:szCs w:val="24"/>
        </w:rPr>
        <w:t>划定警戒区范围时，应当结合实际事故情形，依据物质的易燃易爆及有毒特性、可</w:t>
      </w:r>
      <w:r>
        <w:rPr>
          <w:rFonts w:ascii="宋体" w:hAnsi="宋体" w:eastAsia="宋体" w:cs="宋体"/>
          <w:spacing w:val="14"/>
          <w:sz w:val="24"/>
          <w:szCs w:val="24"/>
        </w:rPr>
        <w:t xml:space="preserve"> </w:t>
      </w:r>
      <w:r>
        <w:rPr>
          <w:rFonts w:ascii="宋体" w:hAnsi="宋体" w:eastAsia="宋体" w:cs="宋体"/>
          <w:spacing w:val="-2"/>
          <w:sz w:val="24"/>
          <w:szCs w:val="24"/>
        </w:rPr>
        <w:t>能的泄漏量、当时的风速、风向、周边地形；若发生火灾事故，同时还要考虑可能的火</w:t>
      </w:r>
      <w:r>
        <w:rPr>
          <w:rFonts w:ascii="宋体" w:hAnsi="宋体" w:eastAsia="宋体" w:cs="宋体"/>
          <w:spacing w:val="16"/>
          <w:sz w:val="24"/>
          <w:szCs w:val="24"/>
        </w:rPr>
        <w:t xml:space="preserve"> </w:t>
      </w:r>
      <w:r>
        <w:rPr>
          <w:rFonts w:ascii="宋体" w:hAnsi="宋体" w:eastAsia="宋体" w:cs="宋体"/>
          <w:spacing w:val="-2"/>
          <w:sz w:val="24"/>
          <w:szCs w:val="24"/>
        </w:rPr>
        <w:t>焰辐射热及生成烟的波及范围。具体的隔离距离和疏散距离可根据上述情形的不同，从</w:t>
      </w:r>
      <w:r>
        <w:rPr>
          <w:rFonts w:ascii="宋体" w:hAnsi="宋体" w:eastAsia="宋体" w:cs="宋体"/>
          <w:spacing w:val="16"/>
          <w:sz w:val="24"/>
          <w:szCs w:val="24"/>
        </w:rPr>
        <w:t xml:space="preserve"> </w:t>
      </w:r>
      <w:r>
        <w:rPr>
          <w:rFonts w:ascii="宋体" w:hAnsi="宋体" w:eastAsia="宋体" w:cs="宋体"/>
          <w:spacing w:val="-1"/>
          <w:sz w:val="24"/>
          <w:szCs w:val="24"/>
        </w:rPr>
        <w:t>《危险化学品应急处置速查手册》中选取相应的警戒距离参考值。</w:t>
      </w:r>
    </w:p>
    <w:p w14:paraId="26F33572">
      <w:pPr>
        <w:spacing w:before="36" w:line="219" w:lineRule="auto"/>
        <w:ind w:left="492"/>
        <w:rPr>
          <w:rFonts w:ascii="宋体" w:hAnsi="宋体" w:eastAsia="宋体" w:cs="宋体"/>
          <w:sz w:val="24"/>
          <w:szCs w:val="24"/>
        </w:rPr>
      </w:pPr>
      <w:r>
        <w:rPr>
          <w:rFonts w:ascii="宋体" w:hAnsi="宋体" w:eastAsia="宋体" w:cs="宋体"/>
          <w:spacing w:val="-1"/>
          <w:sz w:val="24"/>
          <w:szCs w:val="24"/>
        </w:rPr>
        <w:t>警戒范围确定后，同时应注意做到以下几点：</w:t>
      </w:r>
    </w:p>
    <w:p w14:paraId="5EDFB7B4">
      <w:pPr>
        <w:spacing w:line="219" w:lineRule="auto"/>
        <w:rPr>
          <w:rFonts w:ascii="宋体" w:hAnsi="宋体" w:eastAsia="宋体" w:cs="宋体"/>
          <w:sz w:val="24"/>
          <w:szCs w:val="24"/>
        </w:rPr>
        <w:sectPr>
          <w:headerReference r:id="rId432" w:type="default"/>
          <w:footerReference r:id="rId433" w:type="default"/>
          <w:pgSz w:w="11906" w:h="16839"/>
          <w:pgMar w:top="1191" w:right="1337" w:bottom="1221" w:left="1417" w:header="882" w:footer="1059" w:gutter="0"/>
          <w:cols w:space="720" w:num="1"/>
        </w:sectPr>
      </w:pPr>
    </w:p>
    <w:p w14:paraId="5EC75815">
      <w:pPr>
        <w:spacing w:line="28" w:lineRule="exact"/>
      </w:pPr>
      <w:r>
        <w:pict>
          <v:shape id="_x0000_s1972" o:spid="_x0000_s1972" style="height:1.45pt;width:453.65pt;" fillcolor="#000000" filled="t" stroked="f" coordsize="9072,29" path="m0,0l9072,0,9072,28,0,28,0,0xe">
            <v:path/>
            <v:fill on="t" focussize="0,0"/>
            <v:stroke on="f"/>
            <v:imagedata o:title=""/>
            <o:lock v:ext="edit"/>
            <w10:wrap type="none"/>
            <w10:anchorlock/>
          </v:shape>
        </w:pict>
      </w:r>
    </w:p>
    <w:p w14:paraId="1245F722">
      <w:pPr>
        <w:spacing w:before="316" w:line="217" w:lineRule="auto"/>
        <w:ind w:left="487"/>
        <w:rPr>
          <w:rFonts w:ascii="宋体" w:hAnsi="宋体" w:eastAsia="宋体" w:cs="宋体"/>
          <w:sz w:val="24"/>
          <w:szCs w:val="24"/>
        </w:rPr>
      </w:pPr>
      <w:r>
        <w:rPr>
          <w:rFonts w:ascii="宋体" w:hAnsi="宋体" w:eastAsia="宋体" w:cs="宋体"/>
          <w:spacing w:val="-1"/>
          <w:sz w:val="24"/>
          <w:szCs w:val="24"/>
        </w:rPr>
        <w:t>①应在通往事故现场的主要干道上实行交通管制；</w:t>
      </w:r>
    </w:p>
    <w:p w14:paraId="7755CDFE">
      <w:pPr>
        <w:spacing w:before="195" w:line="217" w:lineRule="auto"/>
        <w:ind w:left="486"/>
        <w:rPr>
          <w:rFonts w:ascii="宋体" w:hAnsi="宋体" w:eastAsia="宋体" w:cs="宋体"/>
          <w:sz w:val="24"/>
          <w:szCs w:val="24"/>
        </w:rPr>
      </w:pPr>
      <w:r>
        <w:rPr>
          <w:rFonts w:ascii="宋体" w:hAnsi="宋体" w:eastAsia="宋体" w:cs="宋体"/>
          <w:spacing w:val="-1"/>
          <w:sz w:val="24"/>
          <w:szCs w:val="24"/>
        </w:rPr>
        <w:t>②警戒区域的边界应设警示标志并有专人警戒；</w:t>
      </w:r>
    </w:p>
    <w:p w14:paraId="7E7BC562">
      <w:pPr>
        <w:spacing w:before="198" w:line="217" w:lineRule="auto"/>
        <w:ind w:left="486"/>
        <w:rPr>
          <w:rFonts w:ascii="宋体" w:hAnsi="宋体" w:eastAsia="宋体" w:cs="宋体"/>
          <w:sz w:val="24"/>
          <w:szCs w:val="24"/>
        </w:rPr>
      </w:pPr>
      <w:r>
        <w:rPr>
          <w:rFonts w:ascii="宋体" w:hAnsi="宋体" w:eastAsia="宋体" w:cs="宋体"/>
          <w:sz w:val="24"/>
          <w:szCs w:val="24"/>
        </w:rPr>
        <w:t>③迅速将警戒区内与事故应急处理无关的人员撤离，以减少</w:t>
      </w:r>
      <w:r>
        <w:rPr>
          <w:rFonts w:ascii="宋体" w:hAnsi="宋体" w:eastAsia="宋体" w:cs="宋体"/>
          <w:spacing w:val="-1"/>
          <w:sz w:val="24"/>
          <w:szCs w:val="24"/>
        </w:rPr>
        <w:t>不必要的人员伤亡；</w:t>
      </w:r>
    </w:p>
    <w:p w14:paraId="53E1232F">
      <w:pPr>
        <w:spacing w:before="195" w:line="217" w:lineRule="auto"/>
        <w:ind w:left="486"/>
        <w:rPr>
          <w:rFonts w:ascii="宋体" w:hAnsi="宋体" w:eastAsia="宋体" w:cs="宋体"/>
          <w:sz w:val="24"/>
          <w:szCs w:val="24"/>
        </w:rPr>
      </w:pPr>
      <w:r>
        <w:rPr>
          <w:rFonts w:ascii="宋体" w:hAnsi="宋体" w:eastAsia="宋体" w:cs="宋体"/>
          <w:spacing w:val="-1"/>
          <w:sz w:val="24"/>
          <w:szCs w:val="24"/>
        </w:rPr>
        <w:t>④除应急处理人员外，其它无关人员禁止进入警戒区；</w:t>
      </w:r>
    </w:p>
    <w:p w14:paraId="1C77DFF5">
      <w:pPr>
        <w:spacing w:before="196" w:line="217" w:lineRule="auto"/>
        <w:ind w:left="486"/>
        <w:rPr>
          <w:rFonts w:ascii="宋体" w:hAnsi="宋体" w:eastAsia="宋体" w:cs="宋体"/>
          <w:sz w:val="24"/>
          <w:szCs w:val="24"/>
        </w:rPr>
      </w:pPr>
      <w:r>
        <w:rPr>
          <w:rFonts w:ascii="宋体" w:hAnsi="宋体" w:eastAsia="宋体" w:cs="宋体"/>
          <w:spacing w:val="-1"/>
          <w:sz w:val="24"/>
          <w:szCs w:val="24"/>
        </w:rPr>
        <w:t>⑤警戒区域内应严禁火种，包括手机、打火机、火柴等。</w:t>
      </w:r>
    </w:p>
    <w:p w14:paraId="1AA08BBD">
      <w:pPr>
        <w:spacing w:before="195" w:line="356" w:lineRule="auto"/>
        <w:ind w:left="7" w:firstLine="480"/>
        <w:rPr>
          <w:rFonts w:ascii="宋体" w:hAnsi="宋体" w:eastAsia="宋体" w:cs="宋体"/>
          <w:sz w:val="24"/>
          <w:szCs w:val="24"/>
        </w:rPr>
      </w:pPr>
      <w:r>
        <w:rPr>
          <w:rFonts w:ascii="宋体" w:hAnsi="宋体" w:eastAsia="宋体" w:cs="宋体"/>
          <w:spacing w:val="-6"/>
          <w:sz w:val="24"/>
          <w:szCs w:val="24"/>
        </w:rPr>
        <w:t>场内设有风向标，当出现污染物气体泄漏时，组织人员沿主导风向的垂直方向疏散。</w:t>
      </w:r>
      <w:r>
        <w:rPr>
          <w:rFonts w:ascii="宋体" w:hAnsi="宋体" w:eastAsia="宋体" w:cs="宋体"/>
          <w:spacing w:val="4"/>
          <w:sz w:val="24"/>
          <w:szCs w:val="24"/>
        </w:rPr>
        <w:t xml:space="preserve"> </w:t>
      </w:r>
      <w:r>
        <w:rPr>
          <w:rFonts w:ascii="宋体" w:hAnsi="宋体" w:eastAsia="宋体" w:cs="宋体"/>
          <w:spacing w:val="-1"/>
          <w:sz w:val="24"/>
          <w:szCs w:val="24"/>
        </w:rPr>
        <w:t>在人员撤离与疏散过程中，应当坚持以下原则：</w:t>
      </w:r>
    </w:p>
    <w:p w14:paraId="080C9797">
      <w:pPr>
        <w:spacing w:before="32" w:line="217" w:lineRule="auto"/>
        <w:ind w:left="487"/>
        <w:rPr>
          <w:rFonts w:ascii="宋体" w:hAnsi="宋体" w:eastAsia="宋体" w:cs="宋体"/>
          <w:sz w:val="24"/>
          <w:szCs w:val="24"/>
        </w:rPr>
      </w:pPr>
      <w:r>
        <w:rPr>
          <w:rFonts w:ascii="宋体" w:hAnsi="宋体" w:eastAsia="宋体" w:cs="宋体"/>
          <w:spacing w:val="-1"/>
          <w:sz w:val="24"/>
          <w:szCs w:val="24"/>
        </w:rPr>
        <w:t>①人员应向上风、侧风方向转移；</w:t>
      </w:r>
    </w:p>
    <w:p w14:paraId="622A0B03">
      <w:pPr>
        <w:spacing w:before="199" w:line="293" w:lineRule="auto"/>
        <w:ind w:left="11" w:right="90" w:firstLine="475"/>
        <w:rPr>
          <w:rFonts w:ascii="宋体" w:hAnsi="宋体" w:eastAsia="宋体" w:cs="宋体"/>
          <w:sz w:val="24"/>
          <w:szCs w:val="24"/>
        </w:rPr>
      </w:pPr>
      <w:r>
        <w:rPr>
          <w:rFonts w:ascii="宋体" w:hAnsi="宋体" w:eastAsia="宋体" w:cs="宋体"/>
          <w:spacing w:val="-2"/>
          <w:sz w:val="24"/>
          <w:szCs w:val="24"/>
        </w:rPr>
        <w:t>②指定专人，引导和护送疏散人员到安全区，并在疏散或撤离的路线上设立哨位，</w:t>
      </w:r>
      <w:r>
        <w:rPr>
          <w:rFonts w:ascii="宋体" w:hAnsi="宋体" w:eastAsia="宋体" w:cs="宋体"/>
          <w:spacing w:val="5"/>
          <w:sz w:val="24"/>
          <w:szCs w:val="24"/>
        </w:rPr>
        <w:t xml:space="preserve"> </w:t>
      </w:r>
      <w:r>
        <w:rPr>
          <w:rFonts w:ascii="宋体" w:hAnsi="宋体" w:eastAsia="宋体" w:cs="宋体"/>
          <w:spacing w:val="-3"/>
          <w:sz w:val="24"/>
          <w:szCs w:val="24"/>
        </w:rPr>
        <w:t>指明方向；</w:t>
      </w:r>
    </w:p>
    <w:p w14:paraId="488098B4">
      <w:pPr>
        <w:spacing w:before="195" w:line="217" w:lineRule="auto"/>
        <w:ind w:left="486"/>
        <w:rPr>
          <w:rFonts w:ascii="宋体" w:hAnsi="宋体" w:eastAsia="宋体" w:cs="宋体"/>
          <w:sz w:val="24"/>
          <w:szCs w:val="24"/>
        </w:rPr>
      </w:pPr>
      <w:r>
        <w:rPr>
          <w:rFonts w:ascii="宋体" w:hAnsi="宋体" w:eastAsia="宋体" w:cs="宋体"/>
          <w:spacing w:val="-1"/>
          <w:sz w:val="24"/>
          <w:szCs w:val="24"/>
        </w:rPr>
        <w:t>③人员不要在低洼处滞留；</w:t>
      </w:r>
    </w:p>
    <w:p w14:paraId="723CFACC">
      <w:pPr>
        <w:spacing w:before="195" w:line="217" w:lineRule="auto"/>
        <w:ind w:left="486"/>
        <w:rPr>
          <w:rFonts w:ascii="宋体" w:hAnsi="宋体" w:eastAsia="宋体" w:cs="宋体"/>
          <w:sz w:val="24"/>
          <w:szCs w:val="24"/>
        </w:rPr>
      </w:pPr>
      <w:r>
        <w:rPr>
          <w:rFonts w:ascii="宋体" w:hAnsi="宋体" w:eastAsia="宋体" w:cs="宋体"/>
          <w:spacing w:val="-1"/>
          <w:sz w:val="24"/>
          <w:szCs w:val="24"/>
        </w:rPr>
        <w:t>④人员疏散完毕，要检查是否有人留在警戒区内；</w:t>
      </w:r>
    </w:p>
    <w:p w14:paraId="53A190DF">
      <w:pPr>
        <w:spacing w:before="196" w:line="293" w:lineRule="auto"/>
        <w:ind w:left="491" w:right="552" w:hanging="5"/>
        <w:rPr>
          <w:rFonts w:ascii="宋体" w:hAnsi="宋体" w:eastAsia="宋体" w:cs="宋体"/>
          <w:sz w:val="24"/>
          <w:szCs w:val="24"/>
        </w:rPr>
      </w:pPr>
      <w:r>
        <w:rPr>
          <w:rFonts w:ascii="宋体" w:hAnsi="宋体" w:eastAsia="宋体" w:cs="宋体"/>
          <w:spacing w:val="-1"/>
          <w:sz w:val="24"/>
          <w:szCs w:val="24"/>
        </w:rPr>
        <w:t>⑤为使疏散工作顺利进行，应至少有两个畅</w:t>
      </w:r>
      <w:r>
        <w:rPr>
          <w:rFonts w:ascii="宋体" w:hAnsi="宋体" w:eastAsia="宋体" w:cs="宋体"/>
          <w:spacing w:val="-2"/>
          <w:sz w:val="24"/>
          <w:szCs w:val="24"/>
        </w:rPr>
        <w:t>通无阻的紧急出口，设明显标志。</w:t>
      </w:r>
      <w:r>
        <w:rPr>
          <w:rFonts w:ascii="宋体" w:hAnsi="宋体" w:eastAsia="宋体" w:cs="宋体"/>
          <w:sz w:val="24"/>
          <w:szCs w:val="24"/>
        </w:rPr>
        <w:t xml:space="preserve"> </w:t>
      </w:r>
      <w:r>
        <w:rPr>
          <w:rFonts w:ascii="宋体" w:hAnsi="宋体" w:eastAsia="宋体" w:cs="宋体"/>
          <w:spacing w:val="-1"/>
          <w:sz w:val="24"/>
          <w:szCs w:val="24"/>
        </w:rPr>
        <w:t>一旦发生人员伤亡，则按照紧急救护程序处理。</w:t>
      </w:r>
    </w:p>
    <w:p w14:paraId="59BF9B94">
      <w:pPr>
        <w:spacing w:before="254" w:line="220" w:lineRule="auto"/>
        <w:ind w:left="8"/>
        <w:outlineLvl w:val="2"/>
        <w:rPr>
          <w:rFonts w:ascii="宋体" w:hAnsi="宋体" w:eastAsia="宋体" w:cs="宋体"/>
          <w:sz w:val="28"/>
          <w:szCs w:val="28"/>
        </w:rPr>
      </w:pPr>
      <w:bookmarkStart w:id="430" w:name="bookmark328"/>
      <w:bookmarkEnd w:id="430"/>
      <w:r>
        <w:rPr>
          <w:rFonts w:ascii="Times New Roman" w:hAnsi="Times New Roman" w:eastAsia="Times New Roman" w:cs="Times New Roman"/>
          <w:b/>
          <w:bCs/>
          <w:spacing w:val="-2"/>
          <w:sz w:val="28"/>
          <w:szCs w:val="28"/>
        </w:rPr>
        <w:t xml:space="preserve">5.8.8 </w:t>
      </w:r>
      <w:r>
        <w:rPr>
          <w:rFonts w:ascii="宋体" w:hAnsi="宋体" w:eastAsia="宋体" w:cs="宋体"/>
          <w:b/>
          <w:bCs/>
          <w:spacing w:val="-2"/>
          <w:sz w:val="28"/>
          <w:szCs w:val="28"/>
        </w:rPr>
        <w:t>事故应急救援关闭程序与恢复措施</w:t>
      </w:r>
    </w:p>
    <w:p w14:paraId="300DBF9F">
      <w:pPr>
        <w:spacing w:before="248" w:line="359" w:lineRule="auto"/>
        <w:ind w:left="9" w:firstLine="494"/>
        <w:jc w:val="both"/>
        <w:rPr>
          <w:rFonts w:ascii="宋体" w:hAnsi="宋体" w:eastAsia="宋体" w:cs="宋体"/>
          <w:sz w:val="24"/>
          <w:szCs w:val="24"/>
        </w:rPr>
      </w:pPr>
      <w:r>
        <w:rPr>
          <w:rFonts w:ascii="宋体" w:hAnsi="宋体" w:eastAsia="宋体" w:cs="宋体"/>
          <w:spacing w:val="-2"/>
          <w:sz w:val="24"/>
          <w:szCs w:val="24"/>
        </w:rPr>
        <w:t>当事故污染源已得到有效控制，事故现场处置已完成，现场监测符合要求，中</w:t>
      </w:r>
      <w:r>
        <w:rPr>
          <w:rFonts w:ascii="宋体" w:hAnsi="宋体" w:eastAsia="宋体" w:cs="宋体"/>
          <w:spacing w:val="-3"/>
          <w:sz w:val="24"/>
          <w:szCs w:val="24"/>
        </w:rPr>
        <w:t>毒人</w:t>
      </w:r>
      <w:r>
        <w:rPr>
          <w:rFonts w:ascii="宋体" w:hAnsi="宋体" w:eastAsia="宋体" w:cs="宋体"/>
          <w:sz w:val="24"/>
          <w:szCs w:val="24"/>
        </w:rPr>
        <w:t xml:space="preserve"> </w:t>
      </w:r>
      <w:r>
        <w:rPr>
          <w:rFonts w:ascii="宋体" w:hAnsi="宋体" w:eastAsia="宋体" w:cs="宋体"/>
          <w:spacing w:val="-2"/>
          <w:sz w:val="24"/>
          <w:szCs w:val="24"/>
        </w:rPr>
        <w:t>员已得到救治，危险化学品泄漏区基本恢复正常秩序，由指挥中心宣布公司危险化学品</w:t>
      </w:r>
      <w:r>
        <w:rPr>
          <w:rFonts w:ascii="宋体" w:hAnsi="宋体" w:eastAsia="宋体" w:cs="宋体"/>
          <w:spacing w:val="16"/>
          <w:sz w:val="24"/>
          <w:szCs w:val="24"/>
        </w:rPr>
        <w:t xml:space="preserve"> </w:t>
      </w:r>
      <w:r>
        <w:rPr>
          <w:rFonts w:ascii="宋体" w:hAnsi="宋体" w:eastAsia="宋体" w:cs="宋体"/>
          <w:spacing w:val="-6"/>
          <w:sz w:val="24"/>
          <w:szCs w:val="24"/>
        </w:rPr>
        <w:t>重大泄漏事故应急工作结束，并进行事故现场的善后处理，对厂区进行恢复、重建工作。</w:t>
      </w:r>
    </w:p>
    <w:p w14:paraId="458E95CE">
      <w:pPr>
        <w:spacing w:before="91" w:line="221" w:lineRule="auto"/>
        <w:ind w:left="8"/>
        <w:outlineLvl w:val="2"/>
        <w:rPr>
          <w:rFonts w:ascii="宋体" w:hAnsi="宋体" w:eastAsia="宋体" w:cs="宋体"/>
          <w:sz w:val="28"/>
          <w:szCs w:val="28"/>
        </w:rPr>
      </w:pPr>
      <w:bookmarkStart w:id="431" w:name="bookmark330"/>
      <w:bookmarkEnd w:id="431"/>
      <w:r>
        <w:rPr>
          <w:rFonts w:ascii="Times New Roman" w:hAnsi="Times New Roman" w:eastAsia="Times New Roman" w:cs="Times New Roman"/>
          <w:b/>
          <w:bCs/>
          <w:spacing w:val="-2"/>
          <w:sz w:val="28"/>
          <w:szCs w:val="28"/>
        </w:rPr>
        <w:t xml:space="preserve">5.8.9 </w:t>
      </w:r>
      <w:r>
        <w:rPr>
          <w:rFonts w:ascii="宋体" w:hAnsi="宋体" w:eastAsia="宋体" w:cs="宋体"/>
          <w:b/>
          <w:bCs/>
          <w:spacing w:val="-2"/>
          <w:sz w:val="28"/>
          <w:szCs w:val="28"/>
        </w:rPr>
        <w:t>应急培训计划</w:t>
      </w:r>
    </w:p>
    <w:p w14:paraId="44C1E4CB">
      <w:pPr>
        <w:spacing w:before="246" w:line="354" w:lineRule="auto"/>
        <w:ind w:left="8" w:right="80" w:firstLine="480"/>
        <w:rPr>
          <w:rFonts w:ascii="宋体" w:hAnsi="宋体" w:eastAsia="宋体" w:cs="宋体"/>
          <w:sz w:val="24"/>
          <w:szCs w:val="24"/>
        </w:rPr>
      </w:pPr>
      <w:r>
        <w:rPr>
          <w:rFonts w:ascii="宋体" w:hAnsi="宋体" w:eastAsia="宋体" w:cs="宋体"/>
          <w:spacing w:val="-2"/>
          <w:sz w:val="24"/>
          <w:szCs w:val="24"/>
        </w:rPr>
        <w:t>本项目应根据规定对公司职工和管理人员进行应急培训计划，确保应急风险措施的</w:t>
      </w:r>
      <w:r>
        <w:rPr>
          <w:rFonts w:ascii="宋体" w:hAnsi="宋体" w:eastAsia="宋体" w:cs="宋体"/>
          <w:spacing w:val="12"/>
          <w:sz w:val="24"/>
          <w:szCs w:val="24"/>
        </w:rPr>
        <w:t xml:space="preserve"> </w:t>
      </w:r>
      <w:r>
        <w:rPr>
          <w:rFonts w:ascii="宋体" w:hAnsi="宋体" w:eastAsia="宋体" w:cs="宋体"/>
          <w:spacing w:val="-4"/>
          <w:sz w:val="24"/>
          <w:szCs w:val="24"/>
        </w:rPr>
        <w:t>执行。</w:t>
      </w:r>
    </w:p>
    <w:p w14:paraId="2FAED565">
      <w:pPr>
        <w:spacing w:before="95" w:line="220" w:lineRule="auto"/>
        <w:ind w:left="8"/>
        <w:outlineLvl w:val="2"/>
        <w:rPr>
          <w:rFonts w:ascii="宋体" w:hAnsi="宋体" w:eastAsia="宋体" w:cs="宋体"/>
          <w:sz w:val="28"/>
          <w:szCs w:val="28"/>
        </w:rPr>
      </w:pPr>
      <w:bookmarkStart w:id="432" w:name="bookmark332"/>
      <w:bookmarkEnd w:id="432"/>
      <w:r>
        <w:rPr>
          <w:rFonts w:ascii="Times New Roman" w:hAnsi="Times New Roman" w:eastAsia="Times New Roman" w:cs="Times New Roman"/>
          <w:b/>
          <w:bCs/>
          <w:spacing w:val="-4"/>
          <w:sz w:val="28"/>
          <w:szCs w:val="28"/>
        </w:rPr>
        <w:t>5.8.10</w:t>
      </w:r>
      <w:r>
        <w:rPr>
          <w:rFonts w:ascii="Times New Roman" w:hAnsi="Times New Roman" w:eastAsia="Times New Roman" w:cs="Times New Roman"/>
          <w:b/>
          <w:bCs/>
          <w:spacing w:val="29"/>
          <w:sz w:val="28"/>
          <w:szCs w:val="28"/>
        </w:rPr>
        <w:t xml:space="preserve"> </w:t>
      </w:r>
      <w:r>
        <w:rPr>
          <w:rFonts w:ascii="宋体" w:hAnsi="宋体" w:eastAsia="宋体" w:cs="宋体"/>
          <w:b/>
          <w:bCs/>
          <w:spacing w:val="-4"/>
          <w:sz w:val="28"/>
          <w:szCs w:val="28"/>
        </w:rPr>
        <w:t>公众教育和信息</w:t>
      </w:r>
    </w:p>
    <w:p w14:paraId="12F06BA3">
      <w:pPr>
        <w:spacing w:before="243" w:line="356" w:lineRule="auto"/>
        <w:ind w:left="8" w:right="80" w:firstLine="482"/>
        <w:rPr>
          <w:rFonts w:ascii="宋体" w:hAnsi="宋体" w:eastAsia="宋体" w:cs="宋体"/>
          <w:sz w:val="24"/>
          <w:szCs w:val="24"/>
        </w:rPr>
      </w:pPr>
      <w:r>
        <w:rPr>
          <w:rFonts w:ascii="宋体" w:hAnsi="宋体" w:eastAsia="宋体" w:cs="宋体"/>
          <w:spacing w:val="-2"/>
          <w:sz w:val="24"/>
          <w:szCs w:val="24"/>
        </w:rPr>
        <w:t>建设单位将负责对厂区邻近地区开展公众教育、培训和发布本企业有关安全生产的</w:t>
      </w:r>
      <w:r>
        <w:rPr>
          <w:rFonts w:ascii="宋体" w:hAnsi="宋体" w:eastAsia="宋体" w:cs="宋体"/>
          <w:spacing w:val="10"/>
          <w:sz w:val="24"/>
          <w:szCs w:val="24"/>
        </w:rPr>
        <w:t xml:space="preserve"> </w:t>
      </w:r>
      <w:r>
        <w:rPr>
          <w:rFonts w:ascii="宋体" w:hAnsi="宋体" w:eastAsia="宋体" w:cs="宋体"/>
          <w:sz w:val="24"/>
          <w:szCs w:val="24"/>
        </w:rPr>
        <w:t>基本信息，加强与周边公众的交流，如发生事故，可以</w:t>
      </w:r>
      <w:r>
        <w:rPr>
          <w:rFonts w:ascii="宋体" w:hAnsi="宋体" w:eastAsia="宋体" w:cs="宋体"/>
          <w:spacing w:val="-1"/>
          <w:sz w:val="24"/>
          <w:szCs w:val="24"/>
        </w:rPr>
        <w:t>更好的疏散、防护污染。</w:t>
      </w:r>
    </w:p>
    <w:p w14:paraId="40B37A63">
      <w:pPr>
        <w:spacing w:before="92" w:line="219" w:lineRule="auto"/>
        <w:ind w:left="8"/>
        <w:outlineLvl w:val="2"/>
        <w:rPr>
          <w:rFonts w:ascii="宋体" w:hAnsi="宋体" w:eastAsia="宋体" w:cs="宋体"/>
          <w:sz w:val="28"/>
          <w:szCs w:val="28"/>
        </w:rPr>
      </w:pPr>
      <w:bookmarkStart w:id="433" w:name="bookmark334"/>
      <w:bookmarkEnd w:id="433"/>
      <w:r>
        <w:rPr>
          <w:rFonts w:ascii="Times New Roman" w:hAnsi="Times New Roman" w:eastAsia="Times New Roman" w:cs="Times New Roman"/>
          <w:b/>
          <w:bCs/>
          <w:spacing w:val="-2"/>
          <w:sz w:val="28"/>
          <w:szCs w:val="28"/>
        </w:rPr>
        <w:t xml:space="preserve">5.8.11 </w:t>
      </w:r>
      <w:r>
        <w:rPr>
          <w:rFonts w:ascii="宋体" w:hAnsi="宋体" w:eastAsia="宋体" w:cs="宋体"/>
          <w:b/>
          <w:bCs/>
          <w:spacing w:val="-2"/>
          <w:sz w:val="28"/>
          <w:szCs w:val="28"/>
        </w:rPr>
        <w:t>与工业园区及社会区域风险防范措施公共安</w:t>
      </w:r>
      <w:r>
        <w:rPr>
          <w:rFonts w:ascii="宋体" w:hAnsi="宋体" w:eastAsia="宋体" w:cs="宋体"/>
          <w:b/>
          <w:bCs/>
          <w:spacing w:val="-3"/>
          <w:sz w:val="28"/>
          <w:szCs w:val="28"/>
        </w:rPr>
        <w:t>全应急预案衔接</w:t>
      </w:r>
    </w:p>
    <w:p w14:paraId="57DCE052">
      <w:pPr>
        <w:spacing w:before="247" w:line="220"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）风险应急预案的衔接</w:t>
      </w:r>
    </w:p>
    <w:p w14:paraId="339547CC">
      <w:pPr>
        <w:spacing w:before="192" w:line="217" w:lineRule="auto"/>
        <w:ind w:left="487"/>
        <w:rPr>
          <w:rFonts w:ascii="宋体" w:hAnsi="宋体" w:eastAsia="宋体" w:cs="宋体"/>
          <w:sz w:val="24"/>
          <w:szCs w:val="24"/>
        </w:rPr>
      </w:pPr>
      <w:r>
        <w:rPr>
          <w:rFonts w:ascii="宋体" w:hAnsi="宋体" w:eastAsia="宋体" w:cs="宋体"/>
          <w:spacing w:val="-1"/>
          <w:sz w:val="24"/>
          <w:szCs w:val="24"/>
        </w:rPr>
        <w:t>①应急组织机构、人员的衔接</w:t>
      </w:r>
    </w:p>
    <w:p w14:paraId="37EAE841">
      <w:pPr>
        <w:spacing w:line="217" w:lineRule="auto"/>
        <w:rPr>
          <w:rFonts w:ascii="宋体" w:hAnsi="宋体" w:eastAsia="宋体" w:cs="宋体"/>
          <w:sz w:val="24"/>
          <w:szCs w:val="24"/>
        </w:rPr>
        <w:sectPr>
          <w:footerReference r:id="rId434" w:type="default"/>
          <w:pgSz w:w="11906" w:h="16839"/>
          <w:pgMar w:top="1191" w:right="1337" w:bottom="1221" w:left="1417" w:header="882" w:footer="1059" w:gutter="0"/>
          <w:cols w:space="720" w:num="1"/>
        </w:sectPr>
      </w:pPr>
    </w:p>
    <w:p w14:paraId="37560234">
      <w:pPr>
        <w:spacing w:line="28" w:lineRule="exact"/>
      </w:pPr>
      <w:r>
        <w:pict>
          <v:shape id="_x0000_s1974" o:spid="_x0000_s1974" style="height:1.45pt;width:453.65pt;" fillcolor="#000000" filled="t" stroked="f" coordsize="9072,29" path="m0,0l9072,0,9072,28,0,28,0,0xe">
            <v:path/>
            <v:fill on="t" focussize="0,0"/>
            <v:stroke on="f"/>
            <v:imagedata o:title=""/>
            <o:lock v:ext="edit"/>
            <w10:wrap type="none"/>
            <w10:anchorlock/>
          </v:shape>
        </w:pict>
      </w:r>
    </w:p>
    <w:p w14:paraId="11ECE70A">
      <w:pPr>
        <w:spacing w:before="316" w:line="361" w:lineRule="auto"/>
        <w:ind w:left="6" w:right="61" w:firstLine="497"/>
        <w:rPr>
          <w:rFonts w:ascii="宋体" w:hAnsi="宋体" w:eastAsia="宋体" w:cs="宋体"/>
          <w:sz w:val="24"/>
          <w:szCs w:val="24"/>
        </w:rPr>
      </w:pPr>
      <w:r>
        <w:rPr>
          <w:rFonts w:ascii="宋体" w:hAnsi="宋体" w:eastAsia="宋体" w:cs="宋体"/>
          <w:spacing w:val="-2"/>
          <w:sz w:val="24"/>
          <w:szCs w:val="24"/>
        </w:rPr>
        <w:t>当发生风险事故时，项目综合协调小组应及时承担起与当地区域或各职能管理</w:t>
      </w:r>
      <w:r>
        <w:rPr>
          <w:rFonts w:ascii="宋体" w:hAnsi="宋体" w:eastAsia="宋体" w:cs="宋体"/>
          <w:spacing w:val="-3"/>
          <w:sz w:val="24"/>
          <w:szCs w:val="24"/>
        </w:rPr>
        <w:t>部门</w:t>
      </w:r>
      <w:r>
        <w:rPr>
          <w:rFonts w:ascii="宋体" w:hAnsi="宋体" w:eastAsia="宋体" w:cs="宋体"/>
          <w:sz w:val="24"/>
          <w:szCs w:val="24"/>
        </w:rPr>
        <w:t xml:space="preserve"> </w:t>
      </w:r>
      <w:r>
        <w:rPr>
          <w:rFonts w:ascii="宋体" w:hAnsi="宋体" w:eastAsia="宋体" w:cs="宋体"/>
          <w:spacing w:val="-1"/>
          <w:sz w:val="24"/>
          <w:szCs w:val="24"/>
        </w:rPr>
        <w:t>的应急指挥机构的联系工作，及时将事故发</w:t>
      </w:r>
      <w:r>
        <w:rPr>
          <w:rFonts w:ascii="宋体" w:hAnsi="宋体" w:eastAsia="宋体" w:cs="宋体"/>
          <w:spacing w:val="-2"/>
          <w:sz w:val="24"/>
          <w:szCs w:val="24"/>
        </w:rPr>
        <w:t>生情况及最新进展向有关部门汇报，并将上</w:t>
      </w:r>
      <w:r>
        <w:rPr>
          <w:rFonts w:ascii="宋体" w:hAnsi="宋体" w:eastAsia="宋体" w:cs="宋体"/>
          <w:sz w:val="24"/>
          <w:szCs w:val="24"/>
        </w:rPr>
        <w:t xml:space="preserve"> </w:t>
      </w:r>
      <w:r>
        <w:rPr>
          <w:rFonts w:ascii="宋体" w:hAnsi="宋体" w:eastAsia="宋体" w:cs="宋体"/>
          <w:spacing w:val="-1"/>
          <w:sz w:val="24"/>
          <w:szCs w:val="24"/>
        </w:rPr>
        <w:t>级指挥机构的命令及时向本变更项目应急指</w:t>
      </w:r>
      <w:r>
        <w:rPr>
          <w:rFonts w:ascii="宋体" w:hAnsi="宋体" w:eastAsia="宋体" w:cs="宋体"/>
          <w:spacing w:val="-2"/>
          <w:sz w:val="24"/>
          <w:szCs w:val="24"/>
        </w:rPr>
        <w:t>挥小组汇报；编制环境污染事故报告，并将</w:t>
      </w:r>
      <w:r>
        <w:rPr>
          <w:rFonts w:ascii="宋体" w:hAnsi="宋体" w:eastAsia="宋体" w:cs="宋体"/>
          <w:sz w:val="24"/>
          <w:szCs w:val="24"/>
        </w:rPr>
        <w:t xml:space="preserve"> </w:t>
      </w:r>
      <w:r>
        <w:rPr>
          <w:rFonts w:ascii="宋体" w:hAnsi="宋体" w:eastAsia="宋体" w:cs="宋体"/>
          <w:spacing w:val="-1"/>
          <w:sz w:val="24"/>
          <w:szCs w:val="24"/>
        </w:rPr>
        <w:t>报告向上级部门汇报。</w:t>
      </w:r>
    </w:p>
    <w:p w14:paraId="5C902E15">
      <w:pPr>
        <w:spacing w:before="35" w:line="217" w:lineRule="auto"/>
        <w:ind w:left="486"/>
        <w:rPr>
          <w:rFonts w:ascii="宋体" w:hAnsi="宋体" w:eastAsia="宋体" w:cs="宋体"/>
          <w:sz w:val="24"/>
          <w:szCs w:val="24"/>
        </w:rPr>
      </w:pPr>
      <w:r>
        <w:rPr>
          <w:rFonts w:ascii="宋体" w:hAnsi="宋体" w:eastAsia="宋体" w:cs="宋体"/>
          <w:spacing w:val="-1"/>
          <w:sz w:val="24"/>
          <w:szCs w:val="24"/>
        </w:rPr>
        <w:t>②预案分级响应的衔接</w:t>
      </w:r>
    </w:p>
    <w:p w14:paraId="5D33D652">
      <w:pPr>
        <w:spacing w:before="196" w:line="355" w:lineRule="auto"/>
        <w:ind w:left="10" w:right="61" w:firstLine="481"/>
        <w:rPr>
          <w:rFonts w:ascii="宋体" w:hAnsi="宋体" w:eastAsia="宋体" w:cs="宋体"/>
          <w:sz w:val="24"/>
          <w:szCs w:val="24"/>
        </w:rPr>
      </w:pPr>
      <w:r>
        <w:rPr>
          <w:rFonts w:ascii="宋体" w:hAnsi="宋体" w:eastAsia="宋体" w:cs="宋体"/>
          <w:spacing w:val="-2"/>
          <w:sz w:val="24"/>
          <w:szCs w:val="24"/>
        </w:rPr>
        <w:t>一般污染事故：在污染事故现场处置妥当后，经应急指挥小组研究确定后，向当地</w:t>
      </w:r>
      <w:r>
        <w:rPr>
          <w:rFonts w:ascii="宋体" w:hAnsi="宋体" w:eastAsia="宋体" w:cs="宋体"/>
          <w:spacing w:val="9"/>
          <w:sz w:val="24"/>
          <w:szCs w:val="24"/>
        </w:rPr>
        <w:t xml:space="preserve"> </w:t>
      </w:r>
      <w:r>
        <w:rPr>
          <w:rFonts w:ascii="宋体" w:hAnsi="宋体" w:eastAsia="宋体" w:cs="宋体"/>
          <w:spacing w:val="-1"/>
          <w:sz w:val="24"/>
          <w:szCs w:val="24"/>
        </w:rPr>
        <w:t>生态环境部门和工业园区事故应急处理指挥部报告处理结果。</w:t>
      </w:r>
    </w:p>
    <w:p w14:paraId="6F1C440D">
      <w:pPr>
        <w:spacing w:before="28" w:line="366" w:lineRule="auto"/>
        <w:ind w:left="7" w:firstLine="480"/>
        <w:rPr>
          <w:rFonts w:ascii="宋体" w:hAnsi="宋体" w:eastAsia="宋体" w:cs="宋体"/>
          <w:sz w:val="24"/>
          <w:szCs w:val="24"/>
        </w:rPr>
      </w:pPr>
      <w:r>
        <w:rPr>
          <w:rFonts w:ascii="宋体" w:hAnsi="宋体" w:eastAsia="宋体" w:cs="宋体"/>
          <w:spacing w:val="-2"/>
          <w:sz w:val="24"/>
          <w:szCs w:val="24"/>
        </w:rPr>
        <w:t>较大或严重污染事故：应急指挥小组在接到事故报警后，及时向工园区应急处理指</w:t>
      </w:r>
      <w:r>
        <w:rPr>
          <w:rFonts w:ascii="宋体" w:hAnsi="宋体" w:eastAsia="宋体" w:cs="宋体"/>
          <w:spacing w:val="13"/>
          <w:sz w:val="24"/>
          <w:szCs w:val="24"/>
        </w:rPr>
        <w:t xml:space="preserve"> </w:t>
      </w:r>
      <w:r>
        <w:rPr>
          <w:rFonts w:ascii="宋体" w:hAnsi="宋体" w:eastAsia="宋体" w:cs="宋体"/>
          <w:spacing w:val="-2"/>
          <w:sz w:val="24"/>
          <w:szCs w:val="24"/>
        </w:rPr>
        <w:t>挥部、朱日和镇应急处理指挥部报告，并请求支援；工园区应急处理指挥部进行紧急动</w:t>
      </w:r>
      <w:r>
        <w:rPr>
          <w:rFonts w:ascii="宋体" w:hAnsi="宋体" w:eastAsia="宋体" w:cs="宋体"/>
          <w:spacing w:val="18"/>
          <w:sz w:val="24"/>
          <w:szCs w:val="24"/>
        </w:rPr>
        <w:t xml:space="preserve"> </w:t>
      </w:r>
      <w:r>
        <w:rPr>
          <w:rFonts w:ascii="宋体" w:hAnsi="宋体" w:eastAsia="宋体" w:cs="宋体"/>
          <w:spacing w:val="-2"/>
          <w:sz w:val="24"/>
          <w:szCs w:val="24"/>
        </w:rPr>
        <w:t>员，适时启动区域的环境污染事故应急预案迅速调集救援力量，指挥各工业园区成员单</w:t>
      </w:r>
      <w:r>
        <w:rPr>
          <w:rFonts w:ascii="宋体" w:hAnsi="宋体" w:eastAsia="宋体" w:cs="宋体"/>
          <w:spacing w:val="18"/>
          <w:sz w:val="24"/>
          <w:szCs w:val="24"/>
        </w:rPr>
        <w:t xml:space="preserve"> </w:t>
      </w:r>
      <w:r>
        <w:rPr>
          <w:rFonts w:ascii="宋体" w:hAnsi="宋体" w:eastAsia="宋体" w:cs="宋体"/>
          <w:spacing w:val="-2"/>
          <w:sz w:val="24"/>
          <w:szCs w:val="24"/>
        </w:rPr>
        <w:t>位、相关职能部门，根据应急预案组成各个应急行动小组，按照各自的职责和现场救援</w:t>
      </w:r>
      <w:r>
        <w:rPr>
          <w:rFonts w:ascii="宋体" w:hAnsi="宋体" w:eastAsia="宋体" w:cs="宋体"/>
          <w:spacing w:val="18"/>
          <w:sz w:val="24"/>
          <w:szCs w:val="24"/>
        </w:rPr>
        <w:t xml:space="preserve"> </w:t>
      </w:r>
      <w:r>
        <w:rPr>
          <w:rFonts w:ascii="宋体" w:hAnsi="宋体" w:eastAsia="宋体" w:cs="宋体"/>
          <w:spacing w:val="-2"/>
          <w:sz w:val="24"/>
          <w:szCs w:val="24"/>
        </w:rPr>
        <w:t>具体方案开展抢险救援工作，厂内应急小组听从工业园区现场指挥部的领导。现场指挥</w:t>
      </w:r>
      <w:r>
        <w:rPr>
          <w:rFonts w:ascii="宋体" w:hAnsi="宋体" w:eastAsia="宋体" w:cs="宋体"/>
          <w:spacing w:val="18"/>
          <w:sz w:val="24"/>
          <w:szCs w:val="24"/>
        </w:rPr>
        <w:t xml:space="preserve"> </w:t>
      </w:r>
      <w:r>
        <w:rPr>
          <w:rFonts w:ascii="宋体" w:hAnsi="宋体" w:eastAsia="宋体" w:cs="宋体"/>
          <w:spacing w:val="-2"/>
          <w:sz w:val="24"/>
          <w:szCs w:val="24"/>
        </w:rPr>
        <w:t>部同时将有关进展情况向朱日和镇应急处理指挥部汇报；污染事故基本控制稳定后，现</w:t>
      </w:r>
      <w:r>
        <w:rPr>
          <w:rFonts w:ascii="宋体" w:hAnsi="宋体" w:eastAsia="宋体" w:cs="宋体"/>
          <w:spacing w:val="18"/>
          <w:sz w:val="24"/>
          <w:szCs w:val="24"/>
        </w:rPr>
        <w:t xml:space="preserve"> </w:t>
      </w:r>
      <w:r>
        <w:rPr>
          <w:rFonts w:ascii="宋体" w:hAnsi="宋体" w:eastAsia="宋体" w:cs="宋体"/>
          <w:spacing w:val="-2"/>
          <w:sz w:val="24"/>
          <w:szCs w:val="24"/>
        </w:rPr>
        <w:t>场应急指挥部将根据专家意见，迅速调集后援力量展开事故处置工作。现场应急处理结</w:t>
      </w:r>
      <w:r>
        <w:rPr>
          <w:rFonts w:ascii="宋体" w:hAnsi="宋体" w:eastAsia="宋体" w:cs="宋体"/>
          <w:spacing w:val="18"/>
          <w:sz w:val="24"/>
          <w:szCs w:val="24"/>
        </w:rPr>
        <w:t xml:space="preserve"> </w:t>
      </w:r>
      <w:r>
        <w:rPr>
          <w:rFonts w:ascii="宋体" w:hAnsi="宋体" w:eastAsia="宋体" w:cs="宋体"/>
          <w:spacing w:val="-6"/>
          <w:sz w:val="24"/>
          <w:szCs w:val="24"/>
        </w:rPr>
        <w:t>束。当污染事故有进一步扩大、发展趋势，或因事故衍生问题造成重大社会不稳定事</w:t>
      </w:r>
      <w:r>
        <w:rPr>
          <w:rFonts w:ascii="宋体" w:hAnsi="宋体" w:eastAsia="宋体" w:cs="宋体"/>
          <w:spacing w:val="-7"/>
          <w:sz w:val="24"/>
          <w:szCs w:val="24"/>
        </w:rPr>
        <w:t>态，</w:t>
      </w:r>
      <w:r>
        <w:rPr>
          <w:rFonts w:ascii="宋体" w:hAnsi="宋体" w:eastAsia="宋体" w:cs="宋体"/>
          <w:sz w:val="24"/>
          <w:szCs w:val="24"/>
        </w:rPr>
        <w:t xml:space="preserve"> </w:t>
      </w:r>
      <w:r>
        <w:rPr>
          <w:rFonts w:ascii="宋体" w:hAnsi="宋体" w:eastAsia="宋体" w:cs="宋体"/>
          <w:spacing w:val="-2"/>
          <w:sz w:val="24"/>
          <w:szCs w:val="24"/>
        </w:rPr>
        <w:t>现场应急指挥部将根据事态发展，及时调整应急响应级别，发布预警信息，同时向朱日</w:t>
      </w:r>
      <w:r>
        <w:rPr>
          <w:rFonts w:ascii="宋体" w:hAnsi="宋体" w:eastAsia="宋体" w:cs="宋体"/>
          <w:spacing w:val="18"/>
          <w:sz w:val="24"/>
          <w:szCs w:val="24"/>
        </w:rPr>
        <w:t xml:space="preserve"> </w:t>
      </w:r>
      <w:r>
        <w:rPr>
          <w:rFonts w:ascii="宋体" w:hAnsi="宋体" w:eastAsia="宋体" w:cs="宋体"/>
          <w:sz w:val="24"/>
          <w:szCs w:val="24"/>
        </w:rPr>
        <w:t>和镇应急处理指挥部和苏尼特右旗环境污染事故应急</w:t>
      </w:r>
      <w:r>
        <w:rPr>
          <w:rFonts w:ascii="宋体" w:hAnsi="宋体" w:eastAsia="宋体" w:cs="宋体"/>
          <w:spacing w:val="-1"/>
          <w:sz w:val="24"/>
          <w:szCs w:val="24"/>
        </w:rPr>
        <w:t>处理指挥部请求援助。</w:t>
      </w:r>
    </w:p>
    <w:p w14:paraId="0D9CEEC9">
      <w:pPr>
        <w:spacing w:before="33" w:line="217" w:lineRule="auto"/>
        <w:ind w:left="486"/>
        <w:rPr>
          <w:rFonts w:ascii="宋体" w:hAnsi="宋体" w:eastAsia="宋体" w:cs="宋体"/>
          <w:sz w:val="24"/>
          <w:szCs w:val="24"/>
        </w:rPr>
      </w:pPr>
      <w:r>
        <w:rPr>
          <w:rFonts w:ascii="宋体" w:hAnsi="宋体" w:eastAsia="宋体" w:cs="宋体"/>
          <w:spacing w:val="-1"/>
          <w:sz w:val="24"/>
          <w:szCs w:val="24"/>
        </w:rPr>
        <w:t>③应急救援保障的衔接</w:t>
      </w:r>
    </w:p>
    <w:p w14:paraId="3833582F">
      <w:pPr>
        <w:spacing w:before="199" w:line="354" w:lineRule="auto"/>
        <w:ind w:left="8" w:firstLine="481"/>
        <w:rPr>
          <w:rFonts w:ascii="宋体" w:hAnsi="宋体" w:eastAsia="宋体" w:cs="宋体"/>
          <w:sz w:val="24"/>
          <w:szCs w:val="24"/>
        </w:rPr>
      </w:pPr>
      <w:r>
        <w:rPr>
          <w:rFonts w:ascii="宋体" w:hAnsi="宋体" w:eastAsia="宋体" w:cs="宋体"/>
          <w:spacing w:val="-6"/>
          <w:sz w:val="24"/>
          <w:szCs w:val="24"/>
        </w:rPr>
        <w:t>单位互助体系：建设单位和周边企业建立良好</w:t>
      </w:r>
      <w:r>
        <w:rPr>
          <w:rFonts w:ascii="宋体" w:hAnsi="宋体" w:eastAsia="宋体" w:cs="宋体"/>
          <w:spacing w:val="-7"/>
          <w:sz w:val="24"/>
          <w:szCs w:val="24"/>
        </w:rPr>
        <w:t>的应急互助关系，在重大事故发生后，</w:t>
      </w:r>
      <w:r>
        <w:rPr>
          <w:rFonts w:ascii="宋体" w:hAnsi="宋体" w:eastAsia="宋体" w:cs="宋体"/>
          <w:sz w:val="24"/>
          <w:szCs w:val="24"/>
        </w:rPr>
        <w:t xml:space="preserve"> </w:t>
      </w:r>
      <w:r>
        <w:rPr>
          <w:rFonts w:ascii="宋体" w:hAnsi="宋体" w:eastAsia="宋体" w:cs="宋体"/>
          <w:spacing w:val="-2"/>
          <w:sz w:val="24"/>
          <w:szCs w:val="24"/>
        </w:rPr>
        <w:t>相互支援。</w:t>
      </w:r>
    </w:p>
    <w:p w14:paraId="73EADE1B">
      <w:pPr>
        <w:spacing w:before="34" w:line="354" w:lineRule="auto"/>
        <w:ind w:left="35" w:right="61" w:firstLine="460"/>
        <w:rPr>
          <w:rFonts w:ascii="宋体" w:hAnsi="宋体" w:eastAsia="宋体" w:cs="宋体"/>
          <w:sz w:val="24"/>
          <w:szCs w:val="24"/>
        </w:rPr>
      </w:pPr>
      <w:r>
        <w:rPr>
          <w:rFonts w:ascii="宋体" w:hAnsi="宋体" w:eastAsia="宋体" w:cs="宋体"/>
          <w:spacing w:val="-2"/>
          <w:sz w:val="24"/>
          <w:szCs w:val="24"/>
        </w:rPr>
        <w:t>公共援助力量：厂区还可以联系朱日和镇公共消防队、医院、公安、交通、安监局</w:t>
      </w:r>
      <w:r>
        <w:rPr>
          <w:rFonts w:ascii="宋体" w:hAnsi="宋体" w:eastAsia="宋体" w:cs="宋体"/>
          <w:spacing w:val="6"/>
          <w:sz w:val="24"/>
          <w:szCs w:val="24"/>
        </w:rPr>
        <w:t xml:space="preserve"> </w:t>
      </w:r>
      <w:r>
        <w:rPr>
          <w:rFonts w:ascii="宋体" w:hAnsi="宋体" w:eastAsia="宋体" w:cs="宋体"/>
          <w:spacing w:val="-2"/>
          <w:sz w:val="24"/>
          <w:szCs w:val="24"/>
        </w:rPr>
        <w:t>以及各相关职能部门，请求救援力量、设备的支持。</w:t>
      </w:r>
    </w:p>
    <w:p w14:paraId="5C72DFD7">
      <w:pPr>
        <w:spacing w:before="37" w:line="354" w:lineRule="auto"/>
        <w:ind w:left="8" w:right="61" w:firstLine="480"/>
        <w:rPr>
          <w:rFonts w:ascii="宋体" w:hAnsi="宋体" w:eastAsia="宋体" w:cs="宋体"/>
          <w:sz w:val="24"/>
          <w:szCs w:val="24"/>
        </w:rPr>
      </w:pPr>
      <w:r>
        <w:rPr>
          <w:rFonts w:ascii="宋体" w:hAnsi="宋体" w:eastAsia="宋体" w:cs="宋体"/>
          <w:spacing w:val="-2"/>
          <w:sz w:val="24"/>
          <w:szCs w:val="24"/>
        </w:rPr>
        <w:t>专家援助：本项目建立风险事故救援安全专家库，在紧急情况下，可以联系获取救</w:t>
      </w:r>
      <w:r>
        <w:rPr>
          <w:rFonts w:ascii="宋体" w:hAnsi="宋体" w:eastAsia="宋体" w:cs="宋体"/>
          <w:spacing w:val="12"/>
          <w:sz w:val="24"/>
          <w:szCs w:val="24"/>
        </w:rPr>
        <w:t xml:space="preserve"> </w:t>
      </w:r>
      <w:r>
        <w:rPr>
          <w:rFonts w:ascii="宋体" w:hAnsi="宋体" w:eastAsia="宋体" w:cs="宋体"/>
          <w:spacing w:val="-3"/>
          <w:sz w:val="24"/>
          <w:szCs w:val="24"/>
        </w:rPr>
        <w:t>援支持。</w:t>
      </w:r>
    </w:p>
    <w:p w14:paraId="38F38866">
      <w:pPr>
        <w:spacing w:before="38" w:line="217" w:lineRule="auto"/>
        <w:ind w:left="486"/>
        <w:rPr>
          <w:rFonts w:ascii="宋体" w:hAnsi="宋体" w:eastAsia="宋体" w:cs="宋体"/>
          <w:sz w:val="24"/>
          <w:szCs w:val="24"/>
        </w:rPr>
      </w:pPr>
      <w:r>
        <w:rPr>
          <w:rFonts w:ascii="宋体" w:hAnsi="宋体" w:eastAsia="宋体" w:cs="宋体"/>
          <w:spacing w:val="-1"/>
          <w:sz w:val="24"/>
          <w:szCs w:val="24"/>
        </w:rPr>
        <w:t>④应急培训计划的衔接</w:t>
      </w:r>
    </w:p>
    <w:p w14:paraId="26B85FA5">
      <w:pPr>
        <w:spacing w:before="195" w:line="356" w:lineRule="auto"/>
        <w:ind w:left="12" w:right="61" w:firstLine="479"/>
        <w:rPr>
          <w:rFonts w:ascii="宋体" w:hAnsi="宋体" w:eastAsia="宋体" w:cs="宋体"/>
          <w:sz w:val="24"/>
          <w:szCs w:val="24"/>
        </w:rPr>
      </w:pPr>
      <w:r>
        <w:rPr>
          <w:rFonts w:ascii="宋体" w:hAnsi="宋体" w:eastAsia="宋体" w:cs="宋体"/>
          <w:spacing w:val="-2"/>
          <w:sz w:val="24"/>
          <w:szCs w:val="24"/>
        </w:rPr>
        <w:t>建设单位在开展应急培训计划的同时，还应积极配合园区开展的应急培训计划，在</w:t>
      </w:r>
      <w:r>
        <w:rPr>
          <w:rFonts w:ascii="宋体" w:hAnsi="宋体" w:eastAsia="宋体" w:cs="宋体"/>
          <w:spacing w:val="10"/>
          <w:sz w:val="24"/>
          <w:szCs w:val="24"/>
        </w:rPr>
        <w:t xml:space="preserve"> </w:t>
      </w:r>
      <w:r>
        <w:rPr>
          <w:rFonts w:ascii="宋体" w:hAnsi="宋体" w:eastAsia="宋体" w:cs="宋体"/>
          <w:spacing w:val="-1"/>
          <w:sz w:val="24"/>
          <w:szCs w:val="24"/>
        </w:rPr>
        <w:t>发生风险事故时，及时与园区应急组织取得联系。</w:t>
      </w:r>
    </w:p>
    <w:p w14:paraId="4B4D9F68">
      <w:pPr>
        <w:spacing w:before="32" w:line="217" w:lineRule="auto"/>
        <w:ind w:left="486"/>
        <w:rPr>
          <w:rFonts w:ascii="宋体" w:hAnsi="宋体" w:eastAsia="宋体" w:cs="宋体"/>
          <w:sz w:val="24"/>
          <w:szCs w:val="24"/>
        </w:rPr>
      </w:pPr>
      <w:r>
        <w:rPr>
          <w:rFonts w:ascii="宋体" w:hAnsi="宋体" w:eastAsia="宋体" w:cs="宋体"/>
          <w:spacing w:val="-1"/>
          <w:sz w:val="24"/>
          <w:szCs w:val="24"/>
        </w:rPr>
        <w:t>⑤公众教育的衔接</w:t>
      </w:r>
    </w:p>
    <w:p w14:paraId="60D1726D">
      <w:pPr>
        <w:spacing w:line="217" w:lineRule="auto"/>
        <w:rPr>
          <w:rFonts w:ascii="宋体" w:hAnsi="宋体" w:eastAsia="宋体" w:cs="宋体"/>
          <w:sz w:val="24"/>
          <w:szCs w:val="24"/>
        </w:rPr>
        <w:sectPr>
          <w:headerReference r:id="rId435" w:type="default"/>
          <w:footerReference r:id="rId436" w:type="default"/>
          <w:pgSz w:w="11906" w:h="16839"/>
          <w:pgMar w:top="1191" w:right="1356" w:bottom="1221" w:left="1417" w:header="882" w:footer="1059" w:gutter="0"/>
          <w:cols w:space="720" w:num="1"/>
        </w:sectPr>
      </w:pPr>
    </w:p>
    <w:p w14:paraId="0E4393A5">
      <w:pPr>
        <w:spacing w:line="28" w:lineRule="exact"/>
      </w:pPr>
      <w:r>
        <w:pict>
          <v:shape id="_x0000_s1978" o:spid="_x0000_s1978" style="height:1.45pt;width:453.65pt;" fillcolor="#000000" filled="t" stroked="f" coordsize="9072,29" path="m0,0l9072,0,9072,28,0,28,0,0xe">
            <v:path/>
            <v:fill on="t" focussize="0,0"/>
            <v:stroke on="f"/>
            <v:imagedata o:title=""/>
            <o:lock v:ext="edit"/>
            <w10:wrap type="none"/>
            <w10:anchorlock/>
          </v:shape>
        </w:pict>
      </w:r>
    </w:p>
    <w:p w14:paraId="61050453">
      <w:pPr>
        <w:spacing w:before="316" w:line="354" w:lineRule="auto"/>
        <w:ind w:left="8" w:right="68" w:firstLine="482"/>
        <w:rPr>
          <w:rFonts w:ascii="宋体" w:hAnsi="宋体" w:eastAsia="宋体" w:cs="宋体"/>
          <w:sz w:val="24"/>
          <w:szCs w:val="24"/>
        </w:rPr>
      </w:pPr>
      <w:r>
        <w:rPr>
          <w:rFonts w:ascii="宋体" w:hAnsi="宋体" w:eastAsia="宋体" w:cs="宋体"/>
          <w:spacing w:val="-2"/>
          <w:sz w:val="24"/>
          <w:szCs w:val="24"/>
        </w:rPr>
        <w:t>建设单位对厂内和附近地区公众开展教育、培训时，应加强与周边公众和工业园区</w:t>
      </w:r>
      <w:r>
        <w:rPr>
          <w:rFonts w:ascii="宋体" w:hAnsi="宋体" w:eastAsia="宋体" w:cs="宋体"/>
          <w:spacing w:val="10"/>
          <w:sz w:val="24"/>
          <w:szCs w:val="24"/>
        </w:rPr>
        <w:t xml:space="preserve"> </w:t>
      </w:r>
      <w:r>
        <w:rPr>
          <w:rFonts w:ascii="宋体" w:hAnsi="宋体" w:eastAsia="宋体" w:cs="宋体"/>
          <w:spacing w:val="-1"/>
          <w:sz w:val="24"/>
          <w:szCs w:val="24"/>
        </w:rPr>
        <w:t>相关单位的交流，如发生事故，可更好的疏散、防护污染。</w:t>
      </w:r>
    </w:p>
    <w:p w14:paraId="0413AFFE">
      <w:pPr>
        <w:spacing w:before="37" w:line="220"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）风险防范措施的衔接</w:t>
      </w:r>
    </w:p>
    <w:p w14:paraId="469787CC">
      <w:pPr>
        <w:spacing w:before="191" w:line="217" w:lineRule="auto"/>
        <w:ind w:left="487"/>
        <w:rPr>
          <w:rFonts w:ascii="宋体" w:hAnsi="宋体" w:eastAsia="宋体" w:cs="宋体"/>
          <w:sz w:val="24"/>
          <w:szCs w:val="24"/>
        </w:rPr>
      </w:pPr>
      <w:r>
        <w:rPr>
          <w:rFonts w:ascii="宋体" w:hAnsi="宋体" w:eastAsia="宋体" w:cs="宋体"/>
          <w:spacing w:val="-2"/>
          <w:sz w:val="24"/>
          <w:szCs w:val="24"/>
        </w:rPr>
        <w:t>①通讯系统的衔接</w:t>
      </w:r>
    </w:p>
    <w:p w14:paraId="1E79391E">
      <w:pPr>
        <w:spacing w:before="196" w:line="354" w:lineRule="auto"/>
        <w:ind w:left="11" w:right="68" w:firstLine="478"/>
        <w:rPr>
          <w:rFonts w:ascii="宋体" w:hAnsi="宋体" w:eastAsia="宋体" w:cs="宋体"/>
          <w:sz w:val="24"/>
          <w:szCs w:val="24"/>
        </w:rPr>
      </w:pPr>
      <w:r>
        <w:rPr>
          <w:rFonts w:ascii="宋体" w:hAnsi="宋体" w:eastAsia="宋体" w:cs="宋体"/>
          <w:spacing w:val="-2"/>
          <w:sz w:val="24"/>
          <w:szCs w:val="24"/>
        </w:rPr>
        <w:t>本项目厂区内应设置工园区风险应急小组的联系方式，如发生风险事故可立即通知</w:t>
      </w:r>
      <w:r>
        <w:rPr>
          <w:rFonts w:ascii="宋体" w:hAnsi="宋体" w:eastAsia="宋体" w:cs="宋体"/>
          <w:spacing w:val="12"/>
          <w:sz w:val="24"/>
          <w:szCs w:val="24"/>
        </w:rPr>
        <w:t xml:space="preserve"> </w:t>
      </w:r>
      <w:r>
        <w:rPr>
          <w:rFonts w:ascii="宋体" w:hAnsi="宋体" w:eastAsia="宋体" w:cs="宋体"/>
          <w:spacing w:val="-1"/>
          <w:sz w:val="24"/>
          <w:szCs w:val="24"/>
        </w:rPr>
        <w:t>工业园区风险应急小组，在风险应急小组的帮助下尽快的处置风险事故。</w:t>
      </w:r>
    </w:p>
    <w:p w14:paraId="3EC91245">
      <w:pPr>
        <w:spacing w:before="37" w:line="217" w:lineRule="auto"/>
        <w:ind w:left="486"/>
        <w:rPr>
          <w:rFonts w:ascii="宋体" w:hAnsi="宋体" w:eastAsia="宋体" w:cs="宋体"/>
          <w:sz w:val="24"/>
          <w:szCs w:val="24"/>
        </w:rPr>
      </w:pPr>
      <w:r>
        <w:rPr>
          <w:rFonts w:ascii="宋体" w:hAnsi="宋体" w:eastAsia="宋体" w:cs="宋体"/>
          <w:spacing w:val="-1"/>
          <w:sz w:val="24"/>
          <w:szCs w:val="24"/>
        </w:rPr>
        <w:t>②消防及火灾报警系统的衔接</w:t>
      </w:r>
    </w:p>
    <w:p w14:paraId="607C105B">
      <w:pPr>
        <w:spacing w:before="195" w:line="356" w:lineRule="auto"/>
        <w:ind w:left="6" w:right="68" w:firstLine="484"/>
        <w:rPr>
          <w:rFonts w:ascii="宋体" w:hAnsi="宋体" w:eastAsia="宋体" w:cs="宋体"/>
          <w:sz w:val="24"/>
          <w:szCs w:val="24"/>
        </w:rPr>
      </w:pPr>
      <w:r>
        <w:rPr>
          <w:rFonts w:ascii="宋体" w:hAnsi="宋体" w:eastAsia="宋体" w:cs="宋体"/>
          <w:spacing w:val="-2"/>
          <w:sz w:val="24"/>
          <w:szCs w:val="24"/>
        </w:rPr>
        <w:t>厂内消防站、消防车辆与园区消防站配套建设；厂内采用电话报警，火灾报警信号</w:t>
      </w:r>
      <w:r>
        <w:rPr>
          <w:rFonts w:ascii="宋体" w:hAnsi="宋体" w:eastAsia="宋体" w:cs="宋体"/>
          <w:spacing w:val="10"/>
          <w:sz w:val="24"/>
          <w:szCs w:val="24"/>
        </w:rPr>
        <w:t xml:space="preserve"> </w:t>
      </w:r>
      <w:r>
        <w:rPr>
          <w:rFonts w:ascii="宋体" w:hAnsi="宋体" w:eastAsia="宋体" w:cs="宋体"/>
          <w:spacing w:val="-1"/>
          <w:sz w:val="24"/>
          <w:szCs w:val="24"/>
        </w:rPr>
        <w:t>报送至厂内消防站，必要时报送至园区消防站。</w:t>
      </w:r>
    </w:p>
    <w:p w14:paraId="2C45FDA8">
      <w:pPr>
        <w:spacing w:before="200" w:line="222" w:lineRule="auto"/>
        <w:ind w:left="13"/>
        <w:outlineLvl w:val="1"/>
        <w:rPr>
          <w:rFonts w:ascii="黑体" w:hAnsi="黑体" w:eastAsia="黑体" w:cs="黑体"/>
          <w:sz w:val="30"/>
          <w:szCs w:val="30"/>
        </w:rPr>
      </w:pPr>
      <w:bookmarkStart w:id="434" w:name="bookmark336"/>
      <w:bookmarkEnd w:id="434"/>
      <w:r>
        <w:rPr>
          <w:rFonts w:ascii="Times New Roman" w:hAnsi="Times New Roman" w:eastAsia="Times New Roman" w:cs="Times New Roman"/>
          <w:spacing w:val="-2"/>
          <w:sz w:val="30"/>
          <w:szCs w:val="30"/>
        </w:rPr>
        <w:t xml:space="preserve">5.9 </w:t>
      </w:r>
      <w:r>
        <w:rPr>
          <w:rFonts w:ascii="黑体" w:hAnsi="黑体" w:eastAsia="黑体" w:cs="黑体"/>
          <w:spacing w:val="-2"/>
          <w:sz w:val="30"/>
          <w:szCs w:val="30"/>
        </w:rPr>
        <w:t>环境风险分析结论</w:t>
      </w:r>
    </w:p>
    <w:p w14:paraId="4F372827">
      <w:pPr>
        <w:pStyle w:val="2"/>
        <w:spacing w:line="269" w:lineRule="auto"/>
      </w:pPr>
    </w:p>
    <w:p w14:paraId="7DA4E350">
      <w:pPr>
        <w:spacing w:before="79" w:line="354" w:lineRule="auto"/>
        <w:ind w:left="4" w:firstLine="488"/>
        <w:rPr>
          <w:rFonts w:ascii="宋体" w:hAnsi="宋体" w:eastAsia="宋体" w:cs="宋体"/>
          <w:sz w:val="24"/>
          <w:szCs w:val="24"/>
        </w:rPr>
      </w:pPr>
      <w:r>
        <w:rPr>
          <w:rFonts w:ascii="宋体" w:hAnsi="宋体" w:eastAsia="宋体" w:cs="宋体"/>
          <w:spacing w:val="2"/>
          <w:sz w:val="24"/>
          <w:szCs w:val="24"/>
        </w:rPr>
        <w:t>项目生产过程中涉及到的危险物质主要为矿热炉煤气（</w:t>
      </w:r>
      <w:r>
        <w:rPr>
          <w:rFonts w:ascii="Times New Roman" w:hAnsi="Times New Roman" w:eastAsia="Times New Roman" w:cs="Times New Roman"/>
          <w:sz w:val="24"/>
          <w:szCs w:val="24"/>
        </w:rPr>
        <w:t>CO</w:t>
      </w:r>
      <w:r>
        <w:rPr>
          <w:rFonts w:ascii="宋体" w:hAnsi="宋体" w:eastAsia="宋体" w:cs="宋体"/>
          <w:spacing w:val="10"/>
          <w:sz w:val="24"/>
          <w:szCs w:val="24"/>
        </w:rPr>
        <w:t>），</w:t>
      </w:r>
      <w:r>
        <w:rPr>
          <w:rFonts w:ascii="宋体" w:hAnsi="宋体" w:eastAsia="宋体" w:cs="宋体"/>
          <w:spacing w:val="2"/>
          <w:sz w:val="24"/>
          <w:szCs w:val="24"/>
        </w:rPr>
        <w:t>其危险类型为：第</w:t>
      </w:r>
      <w:r>
        <w:rPr>
          <w:rFonts w:ascii="宋体" w:hAnsi="宋体" w:eastAsia="宋体" w:cs="宋体"/>
          <w:sz w:val="24"/>
          <w:szCs w:val="24"/>
        </w:rPr>
        <w:t xml:space="preserve"> </w:t>
      </w:r>
      <w:r>
        <w:rPr>
          <w:rFonts w:ascii="Times New Roman" w:hAnsi="Times New Roman" w:eastAsia="Times New Roman" w:cs="Times New Roman"/>
          <w:spacing w:val="-2"/>
          <w:sz w:val="24"/>
          <w:szCs w:val="24"/>
        </w:rPr>
        <w:t xml:space="preserve">2.1 </w:t>
      </w:r>
      <w:r>
        <w:rPr>
          <w:rFonts w:ascii="宋体" w:hAnsi="宋体" w:eastAsia="宋体" w:cs="宋体"/>
          <w:spacing w:val="-2"/>
          <w:sz w:val="24"/>
          <w:szCs w:val="24"/>
        </w:rPr>
        <w:t>类，易燃气体（主</w:t>
      </w:r>
      <w:r>
        <w:rPr>
          <w:rFonts w:ascii="宋体" w:hAnsi="宋体" w:eastAsia="宋体" w:cs="宋体"/>
          <w:spacing w:val="6"/>
          <w:sz w:val="24"/>
          <w:szCs w:val="24"/>
        </w:rPr>
        <w:t>）；</w:t>
      </w:r>
      <w:r>
        <w:rPr>
          <w:rFonts w:ascii="宋体" w:hAnsi="宋体" w:eastAsia="宋体" w:cs="宋体"/>
          <w:spacing w:val="-2"/>
          <w:sz w:val="24"/>
          <w:szCs w:val="24"/>
        </w:rPr>
        <w:t>第</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 xml:space="preserve">2.3 </w:t>
      </w:r>
      <w:r>
        <w:rPr>
          <w:rFonts w:ascii="宋体" w:hAnsi="宋体" w:eastAsia="宋体" w:cs="宋体"/>
          <w:spacing w:val="-2"/>
          <w:sz w:val="24"/>
          <w:szCs w:val="24"/>
        </w:rPr>
        <w:t>类，毒性气体（次</w:t>
      </w:r>
      <w:r>
        <w:rPr>
          <w:rFonts w:ascii="宋体" w:hAnsi="宋体" w:eastAsia="宋体" w:cs="宋体"/>
          <w:spacing w:val="6"/>
          <w:sz w:val="24"/>
          <w:szCs w:val="24"/>
        </w:rPr>
        <w:t>），</w:t>
      </w:r>
      <w:r>
        <w:rPr>
          <w:rFonts w:ascii="宋体" w:hAnsi="宋体" w:eastAsia="宋体" w:cs="宋体"/>
          <w:spacing w:val="-2"/>
          <w:sz w:val="24"/>
          <w:szCs w:val="24"/>
        </w:rPr>
        <w:t>发生泄漏后通过大气环境扩散。</w:t>
      </w:r>
    </w:p>
    <w:p w14:paraId="3A46F3CF">
      <w:pPr>
        <w:spacing w:before="35" w:line="359" w:lineRule="auto"/>
        <w:ind w:left="7" w:right="6" w:firstLine="484"/>
        <w:rPr>
          <w:rFonts w:ascii="宋体" w:hAnsi="宋体" w:eastAsia="宋体" w:cs="宋体"/>
          <w:sz w:val="24"/>
          <w:szCs w:val="24"/>
        </w:rPr>
      </w:pPr>
      <w:r>
        <w:rPr>
          <w:rFonts w:ascii="宋体" w:hAnsi="宋体" w:eastAsia="宋体" w:cs="宋体"/>
          <w:sz w:val="24"/>
          <w:szCs w:val="24"/>
        </w:rPr>
        <w:t xml:space="preserve">设定煤气柜和煤气管道之间的连接处发生断裂导致煤气泄漏事故为风险事故情形， </w:t>
      </w:r>
      <w:r>
        <w:rPr>
          <w:rFonts w:ascii="宋体" w:hAnsi="宋体" w:eastAsia="宋体" w:cs="宋体"/>
          <w:spacing w:val="-7"/>
          <w:sz w:val="24"/>
          <w:szCs w:val="24"/>
        </w:rPr>
        <w:t>经预测可知，在最不利气象条件下，达到</w:t>
      </w:r>
      <w:r>
        <w:rPr>
          <w:rFonts w:ascii="宋体" w:hAnsi="宋体" w:eastAsia="宋体" w:cs="宋体"/>
          <w:spacing w:val="-48"/>
          <w:sz w:val="24"/>
          <w:szCs w:val="24"/>
        </w:rPr>
        <w:t xml:space="preserve"> </w:t>
      </w:r>
      <w:r>
        <w:rPr>
          <w:rFonts w:ascii="Times New Roman" w:hAnsi="Times New Roman" w:eastAsia="Times New Roman" w:cs="Times New Roman"/>
          <w:spacing w:val="-7"/>
          <w:sz w:val="24"/>
          <w:szCs w:val="24"/>
        </w:rPr>
        <w:t xml:space="preserve">CO </w:t>
      </w:r>
      <w:r>
        <w:rPr>
          <w:rFonts w:ascii="宋体" w:hAnsi="宋体" w:eastAsia="宋体" w:cs="宋体"/>
          <w:spacing w:val="-7"/>
          <w:sz w:val="24"/>
          <w:szCs w:val="24"/>
        </w:rPr>
        <w:t>大气毒性终点浓度</w:t>
      </w:r>
      <w:r>
        <w:rPr>
          <w:rFonts w:ascii="Times New Roman" w:hAnsi="Times New Roman" w:eastAsia="Times New Roman" w:cs="Times New Roman"/>
          <w:spacing w:val="-7"/>
          <w:sz w:val="24"/>
          <w:szCs w:val="24"/>
        </w:rPr>
        <w:t>-1</w:t>
      </w:r>
      <w:r>
        <w:rPr>
          <w:rFonts w:ascii="宋体" w:hAnsi="宋体" w:eastAsia="宋体" w:cs="宋体"/>
          <w:spacing w:val="-7"/>
          <w:sz w:val="24"/>
          <w:szCs w:val="24"/>
        </w:rPr>
        <w:t>最大影响半径为</w:t>
      </w:r>
      <w:r>
        <w:rPr>
          <w:rFonts w:ascii="宋体" w:hAnsi="宋体" w:eastAsia="宋体" w:cs="宋体"/>
          <w:spacing w:val="-67"/>
          <w:sz w:val="24"/>
          <w:szCs w:val="24"/>
        </w:rPr>
        <w:t xml:space="preserve"> </w:t>
      </w:r>
      <w:r>
        <w:rPr>
          <w:rFonts w:ascii="Times New Roman" w:hAnsi="Times New Roman" w:eastAsia="Times New Roman" w:cs="Times New Roman"/>
          <w:spacing w:val="-7"/>
          <w:sz w:val="24"/>
          <w:szCs w:val="24"/>
        </w:rPr>
        <w:t>290m</w:t>
      </w:r>
      <w:r>
        <w:rPr>
          <w:rFonts w:ascii="宋体" w:hAnsi="宋体" w:eastAsia="宋体" w:cs="宋体"/>
          <w:spacing w:val="-7"/>
          <w:sz w:val="24"/>
          <w:szCs w:val="24"/>
        </w:rPr>
        <w:t>，</w:t>
      </w:r>
      <w:r>
        <w:rPr>
          <w:rFonts w:ascii="宋体" w:hAnsi="宋体" w:eastAsia="宋体" w:cs="宋体"/>
          <w:sz w:val="24"/>
          <w:szCs w:val="24"/>
        </w:rPr>
        <w:t xml:space="preserve"> </w:t>
      </w:r>
      <w:r>
        <w:rPr>
          <w:rFonts w:ascii="宋体" w:hAnsi="宋体" w:eastAsia="宋体" w:cs="宋体"/>
          <w:spacing w:val="-1"/>
          <w:sz w:val="24"/>
          <w:szCs w:val="24"/>
        </w:rPr>
        <w:t>达到</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 xml:space="preserve">CO </w:t>
      </w:r>
      <w:r>
        <w:rPr>
          <w:rFonts w:ascii="宋体" w:hAnsi="宋体" w:eastAsia="宋体" w:cs="宋体"/>
          <w:spacing w:val="-1"/>
          <w:sz w:val="24"/>
          <w:szCs w:val="24"/>
        </w:rPr>
        <w:t>大气毒性终点浓度</w:t>
      </w:r>
      <w:r>
        <w:rPr>
          <w:rFonts w:ascii="Times New Roman" w:hAnsi="Times New Roman" w:eastAsia="Times New Roman" w:cs="Times New Roman"/>
          <w:spacing w:val="-1"/>
          <w:sz w:val="24"/>
          <w:szCs w:val="24"/>
        </w:rPr>
        <w:t xml:space="preserve">-2 </w:t>
      </w:r>
      <w:r>
        <w:rPr>
          <w:rFonts w:ascii="宋体" w:hAnsi="宋体" w:eastAsia="宋体" w:cs="宋体"/>
          <w:spacing w:val="-1"/>
          <w:sz w:val="24"/>
          <w:szCs w:val="24"/>
        </w:rPr>
        <w:t>最远影响距离为</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270m</w:t>
      </w:r>
      <w:r>
        <w:rPr>
          <w:rFonts w:ascii="宋体" w:hAnsi="宋体" w:eastAsia="宋体" w:cs="宋体"/>
          <w:spacing w:val="-1"/>
          <w:sz w:val="24"/>
          <w:szCs w:val="24"/>
        </w:rPr>
        <w:t>。</w:t>
      </w:r>
    </w:p>
    <w:p w14:paraId="478B9787">
      <w:pPr>
        <w:spacing w:before="36" w:line="364" w:lineRule="auto"/>
        <w:ind w:left="8" w:right="68" w:firstLine="479"/>
        <w:rPr>
          <w:rFonts w:ascii="宋体" w:hAnsi="宋体" w:eastAsia="宋体" w:cs="宋体"/>
          <w:sz w:val="24"/>
          <w:szCs w:val="24"/>
        </w:rPr>
      </w:pPr>
      <w:r>
        <w:rPr>
          <w:rFonts w:ascii="宋体" w:hAnsi="宋体" w:eastAsia="宋体" w:cs="宋体"/>
          <w:spacing w:val="-2"/>
          <w:sz w:val="24"/>
          <w:szCs w:val="24"/>
        </w:rPr>
        <w:t>在项目运营过程中，建设单位必须严格执行国家和地方的相应法律法规和的采取的</w:t>
      </w:r>
      <w:r>
        <w:rPr>
          <w:rFonts w:ascii="宋体" w:hAnsi="宋体" w:eastAsia="宋体" w:cs="宋体"/>
          <w:spacing w:val="14"/>
          <w:sz w:val="24"/>
          <w:szCs w:val="24"/>
        </w:rPr>
        <w:t xml:space="preserve"> </w:t>
      </w:r>
      <w:r>
        <w:rPr>
          <w:rFonts w:ascii="宋体" w:hAnsi="宋体" w:eastAsia="宋体" w:cs="宋体"/>
          <w:spacing w:val="-2"/>
          <w:sz w:val="24"/>
          <w:szCs w:val="24"/>
        </w:rPr>
        <w:t>风险防范措施，减小事故发生的概率；一旦发生事故，必须严格按照风险防范措施和应</w:t>
      </w:r>
      <w:r>
        <w:rPr>
          <w:rFonts w:ascii="宋体" w:hAnsi="宋体" w:eastAsia="宋体" w:cs="宋体"/>
          <w:spacing w:val="17"/>
          <w:sz w:val="24"/>
          <w:szCs w:val="24"/>
        </w:rPr>
        <w:t xml:space="preserve"> </w:t>
      </w:r>
      <w:r>
        <w:rPr>
          <w:rFonts w:ascii="宋体" w:hAnsi="宋体" w:eastAsia="宋体" w:cs="宋体"/>
          <w:spacing w:val="-2"/>
          <w:sz w:val="24"/>
          <w:szCs w:val="24"/>
        </w:rPr>
        <w:t>急预案的要求及时做出应对措施，将事故对周围环境和人群的影响降到最低。建设单位</w:t>
      </w:r>
      <w:r>
        <w:rPr>
          <w:rFonts w:ascii="宋体" w:hAnsi="宋体" w:eastAsia="宋体" w:cs="宋体"/>
          <w:spacing w:val="17"/>
          <w:sz w:val="24"/>
          <w:szCs w:val="24"/>
        </w:rPr>
        <w:t xml:space="preserve"> </w:t>
      </w:r>
      <w:r>
        <w:rPr>
          <w:rFonts w:ascii="宋体" w:hAnsi="宋体" w:eastAsia="宋体" w:cs="宋体"/>
          <w:spacing w:val="-2"/>
          <w:sz w:val="24"/>
          <w:szCs w:val="24"/>
        </w:rPr>
        <w:t>应充分利用区域安全、环境保护等资源，根据项目建设和运行过程中的变化，不断完善</w:t>
      </w:r>
      <w:r>
        <w:rPr>
          <w:rFonts w:ascii="宋体" w:hAnsi="宋体" w:eastAsia="宋体" w:cs="宋体"/>
          <w:spacing w:val="17"/>
          <w:sz w:val="24"/>
          <w:szCs w:val="24"/>
        </w:rPr>
        <w:t xml:space="preserve"> </w:t>
      </w:r>
      <w:r>
        <w:rPr>
          <w:rFonts w:ascii="宋体" w:hAnsi="宋体" w:eastAsia="宋体" w:cs="宋体"/>
          <w:spacing w:val="-2"/>
          <w:sz w:val="24"/>
          <w:szCs w:val="24"/>
        </w:rPr>
        <w:t>风险防范措施、应急预案和应急救援体系，确保其具有针对性和可操作性，以应对可能</w:t>
      </w:r>
      <w:r>
        <w:rPr>
          <w:rFonts w:ascii="宋体" w:hAnsi="宋体" w:eastAsia="宋体" w:cs="宋体"/>
          <w:spacing w:val="17"/>
          <w:sz w:val="24"/>
          <w:szCs w:val="24"/>
        </w:rPr>
        <w:t xml:space="preserve"> </w:t>
      </w:r>
      <w:r>
        <w:rPr>
          <w:rFonts w:ascii="宋体" w:hAnsi="宋体" w:eastAsia="宋体" w:cs="宋体"/>
          <w:spacing w:val="-2"/>
          <w:sz w:val="24"/>
          <w:szCs w:val="24"/>
        </w:rPr>
        <w:t>出现的环境风险。</w:t>
      </w:r>
    </w:p>
    <w:p w14:paraId="7E1BD11C">
      <w:pPr>
        <w:spacing w:before="33" w:line="359" w:lineRule="auto"/>
        <w:ind w:left="10" w:right="68" w:firstLine="479"/>
        <w:jc w:val="both"/>
        <w:rPr>
          <w:rFonts w:ascii="宋体" w:hAnsi="宋体" w:eastAsia="宋体" w:cs="宋体"/>
          <w:sz w:val="24"/>
          <w:szCs w:val="24"/>
        </w:rPr>
      </w:pPr>
      <w:r>
        <w:rPr>
          <w:rFonts w:ascii="宋体" w:hAnsi="宋体" w:eastAsia="宋体" w:cs="宋体"/>
          <w:spacing w:val="-2"/>
          <w:sz w:val="24"/>
          <w:szCs w:val="24"/>
        </w:rPr>
        <w:t>本项目在实施以上的风险减缓措施和应急预案后，企业的应急处理事故能力对突发</w:t>
      </w:r>
      <w:r>
        <w:rPr>
          <w:rFonts w:ascii="宋体" w:hAnsi="宋体" w:eastAsia="宋体" w:cs="宋体"/>
          <w:spacing w:val="12"/>
          <w:sz w:val="24"/>
          <w:szCs w:val="24"/>
        </w:rPr>
        <w:t xml:space="preserve"> </w:t>
      </w:r>
      <w:r>
        <w:rPr>
          <w:rFonts w:ascii="宋体" w:hAnsi="宋体" w:eastAsia="宋体" w:cs="宋体"/>
          <w:spacing w:val="-2"/>
          <w:sz w:val="24"/>
          <w:szCs w:val="24"/>
        </w:rPr>
        <w:t>性事故是可以控制的，在严格执行本报告提出的防治措施的前提下，本项目的事故所造</w:t>
      </w:r>
      <w:r>
        <w:rPr>
          <w:rFonts w:ascii="宋体" w:hAnsi="宋体" w:eastAsia="宋体" w:cs="宋体"/>
          <w:spacing w:val="15"/>
          <w:sz w:val="24"/>
          <w:szCs w:val="24"/>
        </w:rPr>
        <w:t xml:space="preserve"> </w:t>
      </w:r>
      <w:r>
        <w:rPr>
          <w:rFonts w:ascii="宋体" w:hAnsi="宋体" w:eastAsia="宋体" w:cs="宋体"/>
          <w:spacing w:val="-1"/>
          <w:sz w:val="24"/>
          <w:szCs w:val="24"/>
        </w:rPr>
        <w:t>成的风险是可接受的，本项目的环境风险是可以接受的。</w:t>
      </w:r>
    </w:p>
    <w:p w14:paraId="48B7FA0B">
      <w:pPr>
        <w:spacing w:before="34" w:line="219" w:lineRule="auto"/>
        <w:ind w:left="489"/>
        <w:rPr>
          <w:rFonts w:ascii="宋体" w:hAnsi="宋体" w:eastAsia="宋体" w:cs="宋体"/>
          <w:sz w:val="24"/>
          <w:szCs w:val="24"/>
        </w:rPr>
      </w:pPr>
      <w:r>
        <w:rPr>
          <w:rFonts w:ascii="宋体" w:hAnsi="宋体" w:eastAsia="宋体" w:cs="宋体"/>
          <w:spacing w:val="-2"/>
          <w:sz w:val="24"/>
          <w:szCs w:val="24"/>
        </w:rPr>
        <w:t>本项目环境风险影响自查表详见表</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5.9-1</w:t>
      </w:r>
      <w:r>
        <w:rPr>
          <w:rFonts w:ascii="宋体" w:hAnsi="宋体" w:eastAsia="宋体" w:cs="宋体"/>
          <w:spacing w:val="-2"/>
          <w:sz w:val="24"/>
          <w:szCs w:val="24"/>
        </w:rPr>
        <w:t>。</w:t>
      </w:r>
    </w:p>
    <w:p w14:paraId="0C83FD73">
      <w:pPr>
        <w:spacing w:line="219" w:lineRule="auto"/>
        <w:rPr>
          <w:rFonts w:ascii="宋体" w:hAnsi="宋体" w:eastAsia="宋体" w:cs="宋体"/>
          <w:sz w:val="24"/>
          <w:szCs w:val="24"/>
        </w:rPr>
        <w:sectPr>
          <w:headerReference r:id="rId437" w:type="default"/>
          <w:footerReference r:id="rId438" w:type="default"/>
          <w:pgSz w:w="11906" w:h="16839"/>
          <w:pgMar w:top="1191" w:right="1349" w:bottom="1221" w:left="1417" w:header="882" w:footer="1058" w:gutter="0"/>
          <w:cols w:space="720" w:num="1"/>
        </w:sectPr>
      </w:pPr>
    </w:p>
    <w:p w14:paraId="015E513C">
      <w:pPr>
        <w:spacing w:line="28" w:lineRule="exact"/>
      </w:pPr>
      <w:r>
        <w:pict>
          <v:shape id="_x0000_s1990" o:spid="_x0000_s1990" style="height:1.45pt;width:453.65pt;" fillcolor="#000000" filled="t" stroked="f" coordsize="9072,29" path="m0,0l9072,0,9072,28,0,28,0,0xe">
            <v:path/>
            <v:fill on="t" focussize="0,0"/>
            <v:stroke on="f"/>
            <v:imagedata o:title=""/>
            <o:lock v:ext="edit"/>
            <w10:wrap type="none"/>
            <w10:anchorlock/>
          </v:shape>
        </w:pict>
      </w:r>
    </w:p>
    <w:p w14:paraId="57F9EBBE">
      <w:pPr>
        <w:pStyle w:val="2"/>
        <w:spacing w:line="269" w:lineRule="auto"/>
      </w:pPr>
    </w:p>
    <w:p w14:paraId="22847439">
      <w:pPr>
        <w:spacing w:before="65" w:line="228" w:lineRule="auto"/>
        <w:ind w:left="3035"/>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4"/>
          <w:sz w:val="20"/>
          <w:szCs w:val="20"/>
        </w:rPr>
        <w:t xml:space="preserve"> </w:t>
      </w:r>
      <w:r>
        <w:rPr>
          <w:rFonts w:ascii="Times New Roman" w:hAnsi="Times New Roman" w:eastAsia="Times New Roman" w:cs="Times New Roman"/>
          <w:b/>
          <w:bCs/>
          <w:spacing w:val="4"/>
          <w:sz w:val="20"/>
          <w:szCs w:val="20"/>
        </w:rPr>
        <w:t xml:space="preserve">5.9-1        </w:t>
      </w:r>
      <w:r>
        <w:rPr>
          <w:rFonts w:ascii="宋体" w:hAnsi="宋体" w:eastAsia="宋体" w:cs="宋体"/>
          <w:b/>
          <w:bCs/>
          <w:spacing w:val="4"/>
          <w:sz w:val="20"/>
          <w:szCs w:val="20"/>
        </w:rPr>
        <w:t>环境风险影响自查表</w:t>
      </w:r>
    </w:p>
    <w:p w14:paraId="37D6BF87">
      <w:pPr>
        <w:spacing w:before="97" w:line="228" w:lineRule="auto"/>
        <w:ind w:left="4928"/>
        <w:rPr>
          <w:rFonts w:ascii="宋体" w:hAnsi="宋体" w:eastAsia="宋体" w:cs="宋体"/>
          <w:sz w:val="20"/>
          <w:szCs w:val="20"/>
        </w:rPr>
      </w:pPr>
      <w:r>
        <w:pict>
          <v:shape id="_x0000_s1992" o:spid="_x0000_s1992" o:spt="202" type="#_x0000_t202" style="position:absolute;left:0pt;margin-left:18.55pt;margin-top:3.85pt;height:14.35pt;width:43.4pt;z-index:252070912;mso-width-relative:page;mso-height-relative:page;" filled="f" stroked="f" coordsize="21600,21600">
            <v:path/>
            <v:fill on="f" focussize="0,0"/>
            <v:stroke on="f"/>
            <v:imagedata o:title=""/>
            <o:lock v:ext="edit" aspectratio="f"/>
            <v:textbox inset="0mm,0mm,0mm,0mm">
              <w:txbxContent>
                <w:p w14:paraId="6D500520">
                  <w:pPr>
                    <w:spacing w:before="19" w:line="228" w:lineRule="auto"/>
                    <w:ind w:left="20"/>
                    <w:rPr>
                      <w:rFonts w:ascii="宋体" w:hAnsi="宋体" w:eastAsia="宋体" w:cs="宋体"/>
                      <w:sz w:val="20"/>
                      <w:szCs w:val="20"/>
                    </w:rPr>
                  </w:pPr>
                  <w:r>
                    <w:rPr>
                      <w:rFonts w:ascii="宋体" w:hAnsi="宋体" w:eastAsia="宋体" w:cs="宋体"/>
                      <w:spacing w:val="6"/>
                      <w:sz w:val="20"/>
                      <w:szCs w:val="20"/>
                    </w:rPr>
                    <w:t>工作内容</w:t>
                  </w:r>
                </w:p>
              </w:txbxContent>
            </v:textbox>
          </v:shape>
        </w:pict>
      </w:r>
      <w:r>
        <w:rPr>
          <w:rFonts w:ascii="宋体" w:hAnsi="宋体" w:eastAsia="宋体" w:cs="宋体"/>
          <w:spacing w:val="6"/>
          <w:sz w:val="20"/>
          <w:szCs w:val="20"/>
        </w:rPr>
        <w:t>完成情况</w:t>
      </w:r>
    </w:p>
    <w:p w14:paraId="46A0334D">
      <w:pPr>
        <w:spacing w:before="77" w:line="171" w:lineRule="auto"/>
        <w:ind w:left="2988"/>
        <w:rPr>
          <w:rFonts w:ascii="宋体" w:hAnsi="宋体" w:eastAsia="宋体" w:cs="宋体"/>
          <w:sz w:val="20"/>
          <w:szCs w:val="20"/>
        </w:rPr>
      </w:pPr>
      <w:r>
        <w:pict>
          <v:shape id="_x0000_s1994" o:spid="_x0000_s1994" o:spt="202" type="#_x0000_t202" style="position:absolute;left:0pt;margin-left:83.55pt;margin-top:2.8pt;height:54.85pt;width:49.45pt;z-index:252063744;mso-width-relative:page;mso-height-relative:page;" filled="f" stroked="f" coordsize="21600,21600">
            <v:path/>
            <v:fill on="f" focussize="0,0"/>
            <v:stroke on="f"/>
            <v:imagedata o:title=""/>
            <o:lock v:ext="edit" aspectratio="f"/>
            <v:textbox inset="0mm,0mm,0mm,0mm">
              <w:txbxContent>
                <w:p w14:paraId="2BB7807D">
                  <w:pPr>
                    <w:spacing w:before="19" w:line="230" w:lineRule="auto"/>
                    <w:ind w:left="289"/>
                    <w:rPr>
                      <w:rFonts w:ascii="宋体" w:hAnsi="宋体" w:eastAsia="宋体" w:cs="宋体"/>
                      <w:sz w:val="20"/>
                      <w:szCs w:val="20"/>
                    </w:rPr>
                  </w:pPr>
                  <w:r>
                    <w:rPr>
                      <w:rFonts w:ascii="宋体" w:hAnsi="宋体" w:eastAsia="宋体" w:cs="宋体"/>
                      <w:spacing w:val="3"/>
                      <w:sz w:val="20"/>
                      <w:szCs w:val="20"/>
                    </w:rPr>
                    <w:t>名称</w:t>
                  </w:r>
                </w:p>
                <w:p w14:paraId="6C542B3C">
                  <w:pPr>
                    <w:spacing w:before="74" w:line="228" w:lineRule="auto"/>
                    <w:ind w:left="20"/>
                    <w:rPr>
                      <w:rFonts w:ascii="Times New Roman" w:hAnsi="Times New Roman" w:eastAsia="Times New Roman" w:cs="Times New Roman"/>
                      <w:sz w:val="20"/>
                      <w:szCs w:val="20"/>
                    </w:rPr>
                  </w:pPr>
                  <w:r>
                    <w:rPr>
                      <w:rFonts w:ascii="宋体" w:hAnsi="宋体" w:eastAsia="宋体" w:cs="宋体"/>
                      <w:spacing w:val="6"/>
                      <w:sz w:val="20"/>
                      <w:szCs w:val="20"/>
                    </w:rPr>
                    <w:t>存在总量</w:t>
                  </w:r>
                  <w:r>
                    <w:rPr>
                      <w:rFonts w:ascii="Times New Roman" w:hAnsi="Times New Roman" w:eastAsia="Times New Roman" w:cs="Times New Roman"/>
                      <w:spacing w:val="6"/>
                      <w:sz w:val="20"/>
                      <w:szCs w:val="20"/>
                    </w:rPr>
                    <w:t>/t</w:t>
                  </w:r>
                </w:p>
                <w:p w14:paraId="45B74E56">
                  <w:pPr>
                    <w:spacing w:before="238" w:line="228" w:lineRule="auto"/>
                    <w:ind w:left="289"/>
                    <w:rPr>
                      <w:rFonts w:ascii="宋体" w:hAnsi="宋体" w:eastAsia="宋体" w:cs="宋体"/>
                      <w:sz w:val="20"/>
                      <w:szCs w:val="20"/>
                    </w:rPr>
                  </w:pPr>
                  <w:r>
                    <w:rPr>
                      <w:rFonts w:ascii="宋体" w:hAnsi="宋体" w:eastAsia="宋体" w:cs="宋体"/>
                      <w:spacing w:val="3"/>
                      <w:sz w:val="20"/>
                      <w:szCs w:val="20"/>
                    </w:rPr>
                    <w:t>大气</w:t>
                  </w:r>
                </w:p>
              </w:txbxContent>
            </v:textbox>
          </v:shape>
        </w:pict>
      </w:r>
      <w:r>
        <w:rPr>
          <w:rFonts w:ascii="宋体" w:hAnsi="宋体" w:eastAsia="宋体" w:cs="宋体"/>
          <w:spacing w:val="4"/>
          <w:sz w:val="20"/>
          <w:szCs w:val="20"/>
        </w:rPr>
        <w:t>煤气</w:t>
      </w:r>
    </w:p>
    <w:p w14:paraId="0C6B109D">
      <w:pPr>
        <w:spacing w:line="166" w:lineRule="auto"/>
        <w:ind w:left="693"/>
        <w:rPr>
          <w:rFonts w:ascii="宋体" w:hAnsi="宋体" w:eastAsia="宋体" w:cs="宋体"/>
          <w:sz w:val="20"/>
          <w:szCs w:val="20"/>
        </w:rPr>
      </w:pPr>
      <w:r>
        <w:rPr>
          <w:rFonts w:ascii="宋体" w:hAnsi="宋体" w:eastAsia="宋体" w:cs="宋体"/>
          <w:spacing w:val="6"/>
          <w:sz w:val="20"/>
          <w:szCs w:val="20"/>
        </w:rPr>
        <w:t>危险物质</w:t>
      </w:r>
    </w:p>
    <w:p w14:paraId="438A41F9">
      <w:pPr>
        <w:spacing w:before="1" w:line="189" w:lineRule="auto"/>
        <w:ind w:left="301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25.8</w:t>
      </w:r>
    </w:p>
    <w:p w14:paraId="1AB7EB15">
      <w:pPr>
        <w:spacing w:before="102" w:line="284" w:lineRule="auto"/>
        <w:ind w:left="2728" w:right="365" w:firstLine="153"/>
        <w:rPr>
          <w:rFonts w:ascii="宋体" w:hAnsi="宋体" w:eastAsia="宋体" w:cs="宋体"/>
          <w:sz w:val="20"/>
          <w:szCs w:val="20"/>
        </w:rPr>
      </w:pPr>
      <w:r>
        <w:pict>
          <v:shape id="_x0000_s1996" o:spid="_x0000_s1996" o:spt="202" type="#_x0000_t202" style="position:absolute;left:0pt;margin-left:3.8pt;margin-top:20.3pt;height:46.6pt;width:73.2pt;z-index:252060672;mso-width-relative:page;mso-height-relative:page;" filled="f" stroked="f" coordsize="21600,21600">
            <v:path/>
            <v:fill on="f" focussize="0,0"/>
            <v:stroke on="f"/>
            <v:imagedata o:title=""/>
            <o:lock v:ext="edit" aspectratio="f"/>
            <v:textbox inset="0mm,0mm,0mm,0mm">
              <w:txbxContent>
                <w:p w14:paraId="5B1A7D32">
                  <w:pPr>
                    <w:spacing w:before="20" w:line="228" w:lineRule="auto"/>
                    <w:ind w:left="20"/>
                    <w:rPr>
                      <w:rFonts w:ascii="宋体" w:hAnsi="宋体" w:eastAsia="宋体" w:cs="宋体"/>
                      <w:sz w:val="20"/>
                      <w:szCs w:val="20"/>
                    </w:rPr>
                  </w:pPr>
                  <w:r>
                    <w:rPr>
                      <w:rFonts w:ascii="宋体" w:hAnsi="宋体" w:eastAsia="宋体" w:cs="宋体"/>
                      <w:spacing w:val="4"/>
                      <w:sz w:val="20"/>
                      <w:szCs w:val="20"/>
                    </w:rPr>
                    <w:t>风险</w:t>
                  </w:r>
                </w:p>
                <w:p w14:paraId="397E09B5">
                  <w:pPr>
                    <w:spacing w:before="72" w:line="273" w:lineRule="auto"/>
                    <w:ind w:left="930" w:right="20" w:hanging="910"/>
                    <w:rPr>
                      <w:rFonts w:ascii="宋体" w:hAnsi="宋体" w:eastAsia="宋体" w:cs="宋体"/>
                      <w:sz w:val="20"/>
                      <w:szCs w:val="20"/>
                    </w:rPr>
                  </w:pPr>
                  <w:r>
                    <w:rPr>
                      <w:rFonts w:ascii="宋体" w:hAnsi="宋体" w:eastAsia="宋体" w:cs="宋体"/>
                      <w:spacing w:val="6"/>
                      <w:sz w:val="20"/>
                      <w:szCs w:val="20"/>
                    </w:rPr>
                    <w:t>调查</w:t>
                  </w:r>
                  <w:r>
                    <w:rPr>
                      <w:rFonts w:ascii="宋体" w:hAnsi="宋体" w:eastAsia="宋体" w:cs="宋体"/>
                      <w:spacing w:val="86"/>
                      <w:sz w:val="20"/>
                      <w:szCs w:val="20"/>
                    </w:rPr>
                    <w:t xml:space="preserve"> </w:t>
                  </w:r>
                  <w:r>
                    <w:rPr>
                      <w:rFonts w:ascii="宋体" w:hAnsi="宋体" w:eastAsia="宋体" w:cs="宋体"/>
                      <w:spacing w:val="6"/>
                      <w:sz w:val="20"/>
                      <w:szCs w:val="20"/>
                    </w:rPr>
                    <w:t>环境敏感</w:t>
                  </w:r>
                  <w:r>
                    <w:rPr>
                      <w:rFonts w:ascii="宋体" w:hAnsi="宋体" w:eastAsia="宋体" w:cs="宋体"/>
                      <w:sz w:val="20"/>
                      <w:szCs w:val="20"/>
                    </w:rPr>
                    <w:t xml:space="preserve"> 性</w:t>
                  </w:r>
                </w:p>
              </w:txbxContent>
            </v:textbox>
          </v:shape>
        </w:pict>
      </w:r>
      <w:r>
        <w:rPr>
          <w:rFonts w:ascii="Times New Roman" w:hAnsi="Times New Roman" w:eastAsia="Times New Roman" w:cs="Times New Roman"/>
          <w:spacing w:val="5"/>
          <w:sz w:val="20"/>
          <w:szCs w:val="20"/>
        </w:rPr>
        <w:t>500m</w:t>
      </w:r>
      <w:r>
        <w:rPr>
          <w:rFonts w:ascii="Times New Roman" w:hAnsi="Times New Roman" w:eastAsia="Times New Roman" w:cs="Times New Roman"/>
          <w:spacing w:val="18"/>
          <w:sz w:val="20"/>
          <w:szCs w:val="20"/>
        </w:rPr>
        <w:t xml:space="preserve"> </w:t>
      </w:r>
      <w:r>
        <w:rPr>
          <w:rFonts w:ascii="宋体" w:hAnsi="宋体" w:eastAsia="宋体" w:cs="宋体"/>
          <w:spacing w:val="5"/>
          <w:sz w:val="20"/>
          <w:szCs w:val="20"/>
        </w:rPr>
        <w:t>范围内人口数 小于</w:t>
      </w:r>
      <w:r>
        <w:rPr>
          <w:rFonts w:ascii="宋体" w:hAnsi="宋体" w:eastAsia="宋体" w:cs="宋体"/>
          <w:spacing w:val="-35"/>
          <w:sz w:val="20"/>
          <w:szCs w:val="20"/>
        </w:rPr>
        <w:t xml:space="preserve"> </w:t>
      </w:r>
      <w:r>
        <w:rPr>
          <w:rFonts w:ascii="Times New Roman" w:hAnsi="Times New Roman" w:eastAsia="Times New Roman" w:cs="Times New Roman"/>
          <w:spacing w:val="5"/>
          <w:sz w:val="20"/>
          <w:szCs w:val="20"/>
        </w:rPr>
        <w:t xml:space="preserve">500 </w:t>
      </w:r>
      <w:r>
        <w:rPr>
          <w:rFonts w:ascii="宋体" w:hAnsi="宋体" w:eastAsia="宋体" w:cs="宋体"/>
          <w:spacing w:val="5"/>
          <w:sz w:val="20"/>
          <w:szCs w:val="20"/>
        </w:rPr>
        <w:t>人</w:t>
      </w:r>
      <w:r>
        <w:rPr>
          <w:rFonts w:ascii="宋体" w:hAnsi="宋体" w:eastAsia="宋体" w:cs="宋体"/>
          <w:spacing w:val="68"/>
          <w:sz w:val="20"/>
          <w:szCs w:val="20"/>
        </w:rPr>
        <w:t xml:space="preserve"> </w:t>
      </w:r>
      <w:r>
        <w:rPr>
          <w:rFonts w:ascii="Times New Roman" w:hAnsi="Times New Roman" w:eastAsia="Times New Roman" w:cs="Times New Roman"/>
          <w:spacing w:val="5"/>
          <w:sz w:val="20"/>
          <w:szCs w:val="20"/>
        </w:rPr>
        <w:t>5</w:t>
      </w:r>
      <w:r>
        <w:rPr>
          <w:rFonts w:ascii="Times New Roman" w:hAnsi="Times New Roman" w:eastAsia="Times New Roman" w:cs="Times New Roman"/>
          <w:sz w:val="20"/>
          <w:szCs w:val="20"/>
        </w:rPr>
        <w:t>km</w:t>
      </w:r>
      <w:r>
        <w:rPr>
          <w:rFonts w:ascii="Times New Roman" w:hAnsi="Times New Roman" w:eastAsia="Times New Roman" w:cs="Times New Roman"/>
          <w:spacing w:val="17"/>
          <w:sz w:val="20"/>
          <w:szCs w:val="20"/>
        </w:rPr>
        <w:t xml:space="preserve"> </w:t>
      </w:r>
      <w:r>
        <w:rPr>
          <w:rFonts w:ascii="宋体" w:hAnsi="宋体" w:eastAsia="宋体" w:cs="宋体"/>
          <w:spacing w:val="5"/>
          <w:sz w:val="20"/>
          <w:szCs w:val="20"/>
        </w:rPr>
        <w:t>范围内人口数小于</w:t>
      </w:r>
      <w:r>
        <w:rPr>
          <w:rFonts w:ascii="宋体" w:hAnsi="宋体" w:eastAsia="宋体" w:cs="宋体"/>
          <w:spacing w:val="-21"/>
          <w:sz w:val="20"/>
          <w:szCs w:val="20"/>
        </w:rPr>
        <w:t xml:space="preserve"> </w:t>
      </w:r>
      <w:r>
        <w:rPr>
          <w:rFonts w:ascii="Times New Roman" w:hAnsi="Times New Roman" w:eastAsia="Times New Roman" w:cs="Times New Roman"/>
          <w:spacing w:val="5"/>
          <w:sz w:val="20"/>
          <w:szCs w:val="20"/>
        </w:rPr>
        <w:t>1</w:t>
      </w:r>
      <w:r>
        <w:rPr>
          <w:rFonts w:ascii="Times New Roman" w:hAnsi="Times New Roman" w:eastAsia="Times New Roman" w:cs="Times New Roman"/>
          <w:spacing w:val="15"/>
          <w:sz w:val="20"/>
          <w:szCs w:val="20"/>
        </w:rPr>
        <w:t xml:space="preserve"> </w:t>
      </w:r>
      <w:r>
        <w:rPr>
          <w:rFonts w:ascii="宋体" w:hAnsi="宋体" w:eastAsia="宋体" w:cs="宋体"/>
          <w:spacing w:val="5"/>
          <w:sz w:val="20"/>
          <w:szCs w:val="20"/>
        </w:rPr>
        <w:t>万人</w:t>
      </w:r>
      <w:r>
        <w:rPr>
          <w:rFonts w:ascii="宋体" w:hAnsi="宋体" w:eastAsia="宋体" w:cs="宋体"/>
          <w:sz w:val="20"/>
          <w:szCs w:val="20"/>
        </w:rPr>
        <w:t xml:space="preserve"> </w:t>
      </w:r>
      <w:r>
        <w:rPr>
          <w:rFonts w:ascii="宋体" w:hAnsi="宋体" w:eastAsia="宋体" w:cs="宋体"/>
          <w:spacing w:val="6"/>
          <w:sz w:val="20"/>
          <w:szCs w:val="20"/>
        </w:rPr>
        <w:t>每公里管段周边</w:t>
      </w:r>
      <w:r>
        <w:rPr>
          <w:rFonts w:ascii="宋体" w:hAnsi="宋体" w:eastAsia="宋体" w:cs="宋体"/>
          <w:spacing w:val="-29"/>
          <w:sz w:val="20"/>
          <w:szCs w:val="20"/>
        </w:rPr>
        <w:t xml:space="preserve"> </w:t>
      </w:r>
      <w:r>
        <w:rPr>
          <w:rFonts w:ascii="Times New Roman" w:hAnsi="Times New Roman" w:eastAsia="Times New Roman" w:cs="Times New Roman"/>
          <w:spacing w:val="6"/>
          <w:sz w:val="20"/>
          <w:szCs w:val="20"/>
        </w:rPr>
        <w:t>200m</w:t>
      </w:r>
      <w:r>
        <w:rPr>
          <w:rFonts w:ascii="Times New Roman" w:hAnsi="Times New Roman" w:eastAsia="Times New Roman" w:cs="Times New Roman"/>
          <w:spacing w:val="16"/>
          <w:w w:val="101"/>
          <w:sz w:val="20"/>
          <w:szCs w:val="20"/>
        </w:rPr>
        <w:t xml:space="preserve"> </w:t>
      </w:r>
      <w:r>
        <w:rPr>
          <w:rFonts w:ascii="宋体" w:hAnsi="宋体" w:eastAsia="宋体" w:cs="宋体"/>
          <w:spacing w:val="6"/>
          <w:sz w:val="20"/>
          <w:szCs w:val="20"/>
        </w:rPr>
        <w:t>范围内人口数（最大）              人</w:t>
      </w:r>
    </w:p>
    <w:p w14:paraId="32C75AB5">
      <w:pPr>
        <w:spacing w:before="31" w:line="171" w:lineRule="auto"/>
        <w:ind w:left="2939"/>
        <w:rPr>
          <w:rFonts w:ascii="Times New Roman" w:hAnsi="Times New Roman" w:eastAsia="Times New Roman" w:cs="Times New Roman"/>
          <w:sz w:val="20"/>
          <w:szCs w:val="20"/>
        </w:rPr>
      </w:pPr>
      <w:r>
        <w:rPr>
          <w:rFonts w:ascii="宋体" w:hAnsi="宋体" w:eastAsia="宋体" w:cs="宋体"/>
          <w:spacing w:val="3"/>
          <w:sz w:val="20"/>
          <w:szCs w:val="20"/>
        </w:rPr>
        <w:t>地表水功能敏感性</w:t>
      </w:r>
      <w:r>
        <w:rPr>
          <w:rFonts w:ascii="宋体" w:hAnsi="宋体" w:eastAsia="宋体" w:cs="宋体"/>
          <w:spacing w:val="13"/>
          <w:sz w:val="20"/>
          <w:szCs w:val="20"/>
        </w:rPr>
        <w:t xml:space="preserve">      </w:t>
      </w:r>
      <w:r>
        <w:rPr>
          <w:rFonts w:ascii="Times New Roman" w:hAnsi="Times New Roman" w:eastAsia="Times New Roman" w:cs="Times New Roman"/>
          <w:spacing w:val="3"/>
          <w:sz w:val="20"/>
          <w:szCs w:val="20"/>
        </w:rPr>
        <w:t>F1</w:t>
      </w:r>
      <w:r>
        <w:rPr>
          <w:rFonts w:ascii="Times New Roman" w:hAnsi="Times New Roman" w:eastAsia="Times New Roman" w:cs="Times New Roman"/>
          <w:spacing w:val="20"/>
          <w:w w:val="101"/>
          <w:sz w:val="20"/>
          <w:szCs w:val="20"/>
        </w:rPr>
        <w:t xml:space="preserve"> </w:t>
      </w:r>
      <w:r>
        <w:rPr>
          <w:rFonts w:ascii="Times New Roman" w:hAnsi="Times New Roman" w:eastAsia="Times New Roman" w:cs="Times New Roman"/>
          <w:spacing w:val="3"/>
          <w:sz w:val="20"/>
          <w:szCs w:val="20"/>
        </w:rPr>
        <w:t xml:space="preserve">□                 </w:t>
      </w:r>
      <w:r>
        <w:rPr>
          <w:rFonts w:ascii="Times New Roman" w:hAnsi="Times New Roman" w:eastAsia="Times New Roman" w:cs="Times New Roman"/>
          <w:spacing w:val="2"/>
          <w:sz w:val="20"/>
          <w:szCs w:val="20"/>
        </w:rPr>
        <w:t xml:space="preserve">    F2</w:t>
      </w:r>
      <w:r>
        <w:rPr>
          <w:rFonts w:ascii="Times New Roman" w:hAnsi="Times New Roman" w:eastAsia="Times New Roman" w:cs="Times New Roman"/>
          <w:spacing w:val="21"/>
          <w:w w:val="101"/>
          <w:sz w:val="20"/>
          <w:szCs w:val="20"/>
        </w:rPr>
        <w:t xml:space="preserve"> </w:t>
      </w:r>
      <w:r>
        <w:rPr>
          <w:rFonts w:ascii="Times New Roman" w:hAnsi="Times New Roman" w:eastAsia="Times New Roman" w:cs="Times New Roman"/>
          <w:spacing w:val="2"/>
          <w:sz w:val="20"/>
          <w:szCs w:val="20"/>
        </w:rPr>
        <w:t>□</w:t>
      </w:r>
      <w:r>
        <w:rPr>
          <w:rFonts w:ascii="Times New Roman" w:hAnsi="Times New Roman" w:eastAsia="Times New Roman" w:cs="Times New Roman"/>
          <w:sz w:val="20"/>
          <w:szCs w:val="20"/>
        </w:rPr>
        <w:t xml:space="preserve">                     </w:t>
      </w:r>
      <w:r>
        <w:rPr>
          <w:rFonts w:ascii="Times New Roman" w:hAnsi="Times New Roman" w:eastAsia="Times New Roman" w:cs="Times New Roman"/>
          <w:spacing w:val="2"/>
          <w:sz w:val="20"/>
          <w:szCs w:val="20"/>
        </w:rPr>
        <w:t>F3</w:t>
      </w:r>
      <w:r>
        <w:rPr>
          <w:rFonts w:ascii="Times New Roman" w:hAnsi="Times New Roman" w:eastAsia="Times New Roman" w:cs="Times New Roman"/>
          <w:spacing w:val="31"/>
          <w:w w:val="101"/>
          <w:sz w:val="20"/>
          <w:szCs w:val="20"/>
        </w:rPr>
        <w:t xml:space="preserve"> </w:t>
      </w:r>
      <w:r>
        <w:rPr>
          <w:rFonts w:ascii="Times New Roman" w:hAnsi="Times New Roman" w:eastAsia="Times New Roman" w:cs="Times New Roman"/>
          <w:spacing w:val="2"/>
          <w:sz w:val="20"/>
          <w:szCs w:val="20"/>
        </w:rPr>
        <w:t>□</w:t>
      </w:r>
    </w:p>
    <w:p w14:paraId="0BC5BC22">
      <w:pPr>
        <w:spacing w:line="162" w:lineRule="exact"/>
        <w:ind w:left="1855"/>
        <w:rPr>
          <w:rFonts w:ascii="宋体" w:hAnsi="宋体" w:eastAsia="宋体" w:cs="宋体"/>
          <w:sz w:val="20"/>
          <w:szCs w:val="20"/>
        </w:rPr>
      </w:pPr>
      <w:r>
        <w:rPr>
          <w:rFonts w:ascii="宋体" w:hAnsi="宋体" w:eastAsia="宋体" w:cs="宋体"/>
          <w:spacing w:val="6"/>
          <w:position w:val="-3"/>
          <w:sz w:val="20"/>
          <w:szCs w:val="20"/>
        </w:rPr>
        <w:t>地表水</w:t>
      </w:r>
    </w:p>
    <w:p w14:paraId="43653AEA">
      <w:pPr>
        <w:spacing w:before="1" w:line="206" w:lineRule="auto"/>
        <w:ind w:left="2939"/>
        <w:rPr>
          <w:rFonts w:ascii="Times New Roman" w:hAnsi="Times New Roman" w:eastAsia="Times New Roman" w:cs="Times New Roman"/>
          <w:sz w:val="20"/>
          <w:szCs w:val="20"/>
        </w:rPr>
      </w:pPr>
      <w:r>
        <w:rPr>
          <w:rFonts w:ascii="宋体" w:hAnsi="宋体" w:eastAsia="宋体" w:cs="宋体"/>
          <w:spacing w:val="2"/>
          <w:sz w:val="20"/>
          <w:szCs w:val="20"/>
        </w:rPr>
        <w:t>环境敏感目标分级</w:t>
      </w:r>
      <w:r>
        <w:rPr>
          <w:rFonts w:ascii="宋体" w:hAnsi="宋体" w:eastAsia="宋体" w:cs="宋体"/>
          <w:spacing w:val="14"/>
          <w:sz w:val="20"/>
          <w:szCs w:val="20"/>
        </w:rPr>
        <w:t xml:space="preserve">      </w:t>
      </w:r>
      <w:r>
        <w:rPr>
          <w:rFonts w:ascii="Times New Roman" w:hAnsi="Times New Roman" w:eastAsia="Times New Roman" w:cs="Times New Roman"/>
          <w:spacing w:val="2"/>
          <w:sz w:val="20"/>
          <w:szCs w:val="20"/>
        </w:rPr>
        <w:t>S1</w:t>
      </w:r>
      <w:r>
        <w:rPr>
          <w:rFonts w:ascii="Times New Roman" w:hAnsi="Times New Roman" w:eastAsia="Times New Roman" w:cs="Times New Roman"/>
          <w:spacing w:val="24"/>
          <w:w w:val="101"/>
          <w:sz w:val="20"/>
          <w:szCs w:val="20"/>
        </w:rPr>
        <w:t xml:space="preserve"> </w:t>
      </w:r>
      <w:r>
        <w:rPr>
          <w:rFonts w:ascii="Times New Roman" w:hAnsi="Times New Roman" w:eastAsia="Times New Roman" w:cs="Times New Roman"/>
          <w:spacing w:val="2"/>
          <w:sz w:val="20"/>
          <w:szCs w:val="20"/>
        </w:rPr>
        <w:t>□                     S2</w:t>
      </w:r>
      <w:r>
        <w:rPr>
          <w:rFonts w:ascii="Times New Roman" w:hAnsi="Times New Roman" w:eastAsia="Times New Roman" w:cs="Times New Roman"/>
          <w:spacing w:val="28"/>
          <w:sz w:val="20"/>
          <w:szCs w:val="20"/>
        </w:rPr>
        <w:t xml:space="preserve"> </w:t>
      </w:r>
      <w:r>
        <w:rPr>
          <w:rFonts w:ascii="Times New Roman" w:hAnsi="Times New Roman" w:eastAsia="Times New Roman" w:cs="Times New Roman"/>
          <w:spacing w:val="2"/>
          <w:sz w:val="20"/>
          <w:szCs w:val="20"/>
        </w:rPr>
        <w:t xml:space="preserve">□      </w:t>
      </w:r>
      <w:r>
        <w:rPr>
          <w:rFonts w:ascii="Times New Roman" w:hAnsi="Times New Roman" w:eastAsia="Times New Roman" w:cs="Times New Roman"/>
          <w:spacing w:val="1"/>
          <w:sz w:val="20"/>
          <w:szCs w:val="20"/>
        </w:rPr>
        <w:t xml:space="preserve">               S3</w:t>
      </w:r>
      <w:r>
        <w:rPr>
          <w:rFonts w:ascii="Times New Roman" w:hAnsi="Times New Roman" w:eastAsia="Times New Roman" w:cs="Times New Roman"/>
          <w:spacing w:val="19"/>
          <w:sz w:val="20"/>
          <w:szCs w:val="20"/>
        </w:rPr>
        <w:t xml:space="preserve"> </w:t>
      </w:r>
      <w:r>
        <w:rPr>
          <w:rFonts w:ascii="Times New Roman" w:hAnsi="Times New Roman" w:eastAsia="Times New Roman" w:cs="Times New Roman"/>
          <w:spacing w:val="1"/>
          <w:sz w:val="20"/>
          <w:szCs w:val="20"/>
        </w:rPr>
        <w:t>□</w:t>
      </w:r>
    </w:p>
    <w:p w14:paraId="722076E4">
      <w:pPr>
        <w:spacing w:before="77" w:line="185" w:lineRule="exact"/>
        <w:ind w:left="2939"/>
        <w:rPr>
          <w:rFonts w:ascii="Times New Roman" w:hAnsi="Times New Roman" w:eastAsia="Times New Roman" w:cs="Times New Roman"/>
          <w:sz w:val="20"/>
          <w:szCs w:val="20"/>
        </w:rPr>
      </w:pPr>
      <w:r>
        <w:rPr>
          <w:rFonts w:ascii="宋体" w:hAnsi="宋体" w:eastAsia="宋体" w:cs="宋体"/>
          <w:spacing w:val="2"/>
          <w:position w:val="-2"/>
          <w:sz w:val="20"/>
          <w:szCs w:val="20"/>
        </w:rPr>
        <w:t>地下水功能敏感性</w:t>
      </w:r>
      <w:r>
        <w:rPr>
          <w:rFonts w:ascii="宋体" w:hAnsi="宋体" w:eastAsia="宋体" w:cs="宋体"/>
          <w:spacing w:val="11"/>
          <w:position w:val="-2"/>
          <w:sz w:val="20"/>
          <w:szCs w:val="20"/>
        </w:rPr>
        <w:t xml:space="preserve">      </w:t>
      </w:r>
      <w:r>
        <w:rPr>
          <w:rFonts w:ascii="Times New Roman" w:hAnsi="Times New Roman" w:eastAsia="Times New Roman" w:cs="Times New Roman"/>
          <w:spacing w:val="2"/>
          <w:position w:val="-2"/>
          <w:sz w:val="20"/>
          <w:szCs w:val="20"/>
        </w:rPr>
        <w:t>G1</w:t>
      </w:r>
      <w:r>
        <w:rPr>
          <w:rFonts w:ascii="Times New Roman" w:hAnsi="Times New Roman" w:eastAsia="Times New Roman" w:cs="Times New Roman"/>
          <w:spacing w:val="20"/>
          <w:w w:val="101"/>
          <w:position w:val="-2"/>
          <w:sz w:val="20"/>
          <w:szCs w:val="20"/>
        </w:rPr>
        <w:t xml:space="preserve"> </w:t>
      </w:r>
      <w:r>
        <w:rPr>
          <w:rFonts w:ascii="Times New Roman" w:hAnsi="Times New Roman" w:eastAsia="Times New Roman" w:cs="Times New Roman"/>
          <w:spacing w:val="2"/>
          <w:position w:val="-2"/>
          <w:sz w:val="20"/>
          <w:szCs w:val="20"/>
        </w:rPr>
        <w:t xml:space="preserve">□                   </w:t>
      </w:r>
      <w:r>
        <w:rPr>
          <w:rFonts w:ascii="Times New Roman" w:hAnsi="Times New Roman" w:eastAsia="Times New Roman" w:cs="Times New Roman"/>
          <w:spacing w:val="1"/>
          <w:position w:val="-2"/>
          <w:sz w:val="20"/>
          <w:szCs w:val="20"/>
        </w:rPr>
        <w:t xml:space="preserve"> G2</w:t>
      </w:r>
      <w:r>
        <w:rPr>
          <w:rFonts w:ascii="Times New Roman" w:hAnsi="Times New Roman" w:eastAsia="Times New Roman" w:cs="Times New Roman"/>
          <w:spacing w:val="21"/>
          <w:w w:val="101"/>
          <w:position w:val="-2"/>
          <w:sz w:val="20"/>
          <w:szCs w:val="20"/>
        </w:rPr>
        <w:t xml:space="preserve"> </w:t>
      </w:r>
      <w:r>
        <w:rPr>
          <w:rFonts w:ascii="微软雅黑" w:hAnsi="微软雅黑" w:eastAsia="微软雅黑" w:cs="微软雅黑"/>
          <w:spacing w:val="1"/>
          <w:position w:val="-2"/>
          <w:sz w:val="20"/>
          <w:szCs w:val="20"/>
        </w:rPr>
        <w:t>口</w:t>
      </w:r>
      <w:r>
        <w:rPr>
          <w:rFonts w:ascii="微软雅黑" w:hAnsi="微软雅黑" w:eastAsia="微软雅黑" w:cs="微软雅黑"/>
          <w:spacing w:val="3"/>
          <w:position w:val="-2"/>
          <w:sz w:val="20"/>
          <w:szCs w:val="20"/>
        </w:rPr>
        <w:t xml:space="preserve">                </w:t>
      </w:r>
      <w:r>
        <w:rPr>
          <w:rFonts w:ascii="Times New Roman" w:hAnsi="Times New Roman" w:eastAsia="Times New Roman" w:cs="Times New Roman"/>
          <w:spacing w:val="1"/>
          <w:position w:val="-2"/>
          <w:sz w:val="20"/>
          <w:szCs w:val="20"/>
        </w:rPr>
        <w:t>G3</w:t>
      </w:r>
      <w:r>
        <w:rPr>
          <w:rFonts w:ascii="Times New Roman" w:hAnsi="Times New Roman" w:eastAsia="Times New Roman" w:cs="Times New Roman"/>
          <w:spacing w:val="23"/>
          <w:w w:val="101"/>
          <w:position w:val="-2"/>
          <w:sz w:val="20"/>
          <w:szCs w:val="20"/>
        </w:rPr>
        <w:t xml:space="preserve"> </w:t>
      </w:r>
      <w:r>
        <w:rPr>
          <w:rFonts w:ascii="Times New Roman" w:hAnsi="Times New Roman" w:eastAsia="Times New Roman" w:cs="Times New Roman"/>
          <w:spacing w:val="1"/>
          <w:position w:val="-2"/>
          <w:sz w:val="20"/>
          <w:szCs w:val="20"/>
        </w:rPr>
        <w:t>□</w:t>
      </w:r>
    </w:p>
    <w:p w14:paraId="7264929C">
      <w:pPr>
        <w:spacing w:line="162" w:lineRule="exact"/>
        <w:ind w:left="1855"/>
        <w:rPr>
          <w:rFonts w:ascii="宋体" w:hAnsi="宋体" w:eastAsia="宋体" w:cs="宋体"/>
          <w:sz w:val="20"/>
          <w:szCs w:val="20"/>
        </w:rPr>
      </w:pPr>
      <w:r>
        <w:rPr>
          <w:rFonts w:ascii="宋体" w:hAnsi="宋体" w:eastAsia="宋体" w:cs="宋体"/>
          <w:spacing w:val="6"/>
          <w:position w:val="-1"/>
          <w:sz w:val="20"/>
          <w:szCs w:val="20"/>
        </w:rPr>
        <w:t>地下水</w:t>
      </w:r>
    </w:p>
    <w:p w14:paraId="2D225ABD">
      <w:pPr>
        <w:spacing w:line="180" w:lineRule="auto"/>
        <w:ind w:left="3043"/>
        <w:rPr>
          <w:rFonts w:ascii="Times New Roman" w:hAnsi="Times New Roman" w:eastAsia="Times New Roman" w:cs="Times New Roman"/>
          <w:sz w:val="20"/>
          <w:szCs w:val="20"/>
        </w:rPr>
      </w:pPr>
      <w:r>
        <w:rPr>
          <w:rFonts w:ascii="宋体" w:hAnsi="宋体" w:eastAsia="宋体" w:cs="宋体"/>
          <w:spacing w:val="2"/>
          <w:sz w:val="20"/>
          <w:szCs w:val="20"/>
        </w:rPr>
        <w:t>包气带防污性能</w:t>
      </w:r>
      <w:r>
        <w:rPr>
          <w:rFonts w:ascii="宋体" w:hAnsi="宋体" w:eastAsia="宋体" w:cs="宋体"/>
          <w:spacing w:val="9"/>
          <w:sz w:val="20"/>
          <w:szCs w:val="20"/>
        </w:rPr>
        <w:t xml:space="preserve">       </w:t>
      </w:r>
      <w:r>
        <w:rPr>
          <w:rFonts w:ascii="Times New Roman" w:hAnsi="Times New Roman" w:eastAsia="Times New Roman" w:cs="Times New Roman"/>
          <w:spacing w:val="2"/>
          <w:sz w:val="20"/>
          <w:szCs w:val="20"/>
        </w:rPr>
        <w:t>D1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2"/>
          <w:sz w:val="20"/>
          <w:szCs w:val="20"/>
        </w:rPr>
        <w:t xml:space="preserve">□                    </w:t>
      </w:r>
      <w:r>
        <w:rPr>
          <w:rFonts w:ascii="Times New Roman" w:hAnsi="Times New Roman" w:eastAsia="Times New Roman" w:cs="Times New Roman"/>
          <w:spacing w:val="1"/>
          <w:sz w:val="20"/>
          <w:szCs w:val="20"/>
        </w:rPr>
        <w:t>D2</w:t>
      </w:r>
      <w:r>
        <w:rPr>
          <w:rFonts w:ascii="Times New Roman" w:hAnsi="Times New Roman" w:eastAsia="Times New Roman" w:cs="Times New Roman"/>
          <w:spacing w:val="21"/>
          <w:w w:val="101"/>
          <w:sz w:val="20"/>
          <w:szCs w:val="20"/>
        </w:rPr>
        <w:t xml:space="preserve"> </w:t>
      </w:r>
      <w:r>
        <w:rPr>
          <w:rFonts w:ascii="微软雅黑" w:hAnsi="微软雅黑" w:eastAsia="微软雅黑" w:cs="微软雅黑"/>
          <w:spacing w:val="1"/>
          <w:sz w:val="20"/>
          <w:szCs w:val="20"/>
        </w:rPr>
        <w:t>口</w:t>
      </w:r>
      <w:r>
        <w:rPr>
          <w:rFonts w:ascii="微软雅黑" w:hAnsi="微软雅黑" w:eastAsia="微软雅黑" w:cs="微软雅黑"/>
          <w:spacing w:val="3"/>
          <w:sz w:val="20"/>
          <w:szCs w:val="20"/>
        </w:rPr>
        <w:t xml:space="preserve">                </w:t>
      </w:r>
      <w:r>
        <w:rPr>
          <w:rFonts w:ascii="Times New Roman" w:hAnsi="Times New Roman" w:eastAsia="Times New Roman" w:cs="Times New Roman"/>
          <w:spacing w:val="1"/>
          <w:sz w:val="20"/>
          <w:szCs w:val="20"/>
        </w:rPr>
        <w:t>D3</w:t>
      </w:r>
      <w:r>
        <w:rPr>
          <w:rFonts w:ascii="Times New Roman" w:hAnsi="Times New Roman" w:eastAsia="Times New Roman" w:cs="Times New Roman"/>
          <w:spacing w:val="20"/>
          <w:sz w:val="20"/>
          <w:szCs w:val="20"/>
        </w:rPr>
        <w:t xml:space="preserve"> </w:t>
      </w:r>
      <w:r>
        <w:rPr>
          <w:rFonts w:ascii="Times New Roman" w:hAnsi="Times New Roman" w:eastAsia="Times New Roman" w:cs="Times New Roman"/>
          <w:spacing w:val="1"/>
          <w:sz w:val="20"/>
          <w:szCs w:val="20"/>
        </w:rPr>
        <w:t>□</w:t>
      </w:r>
    </w:p>
    <w:p w14:paraId="5E9D8B41">
      <w:pPr>
        <w:spacing w:before="45" w:line="191" w:lineRule="auto"/>
        <w:ind w:left="3419"/>
        <w:rPr>
          <w:rFonts w:ascii="微软雅黑" w:hAnsi="微软雅黑" w:eastAsia="微软雅黑" w:cs="微软雅黑"/>
          <w:sz w:val="20"/>
          <w:szCs w:val="20"/>
        </w:rPr>
      </w:pPr>
      <w:r>
        <w:pict>
          <v:shape id="_x0000_s1998" o:spid="_x0000_s1998" o:spt="202" type="#_x0000_t202" style="position:absolute;left:0pt;margin-left:91.75pt;margin-top:1.2pt;height:95.35pt;width:33.05pt;z-index:252061696;mso-width-relative:page;mso-height-relative:page;" filled="f" stroked="f" coordsize="21600,21600">
            <v:path/>
            <v:fill on="f" focussize="0,0"/>
            <v:stroke on="f"/>
            <v:imagedata o:title=""/>
            <o:lock v:ext="edit" aspectratio="f"/>
            <v:textbox inset="0mm,0mm,0mm,0mm">
              <w:txbxContent>
                <w:p w14:paraId="5AF4863D">
                  <w:pPr>
                    <w:spacing w:before="18" w:line="291" w:lineRule="auto"/>
                    <w:ind w:left="104" w:right="111" w:firstLine="22"/>
                    <w:jc w:val="both"/>
                    <w:rPr>
                      <w:rFonts w:ascii="宋体" w:hAnsi="宋体" w:eastAsia="宋体" w:cs="宋体"/>
                      <w:sz w:val="20"/>
                      <w:szCs w:val="20"/>
                    </w:rPr>
                  </w:pPr>
                  <w:r>
                    <w:rPr>
                      <w:rFonts w:ascii="Times New Roman" w:hAnsi="Times New Roman" w:eastAsia="Times New Roman" w:cs="Times New Roman"/>
                      <w:spacing w:val="-1"/>
                      <w:sz w:val="20"/>
                      <w:szCs w:val="20"/>
                    </w:rPr>
                    <w:t>Q</w:t>
                  </w:r>
                  <w:r>
                    <w:rPr>
                      <w:rFonts w:ascii="Times New Roman" w:hAnsi="Times New Roman" w:eastAsia="Times New Roman" w:cs="Times New Roman"/>
                      <w:spacing w:val="12"/>
                      <w:sz w:val="20"/>
                      <w:szCs w:val="20"/>
                    </w:rPr>
                    <w:t xml:space="preserve"> </w:t>
                  </w:r>
                  <w:r>
                    <w:rPr>
                      <w:rFonts w:ascii="宋体" w:hAnsi="宋体" w:eastAsia="宋体" w:cs="宋体"/>
                      <w:spacing w:val="-1"/>
                      <w:sz w:val="20"/>
                      <w:szCs w:val="20"/>
                    </w:rPr>
                    <w:t>值</w:t>
                  </w:r>
                  <w:r>
                    <w:rPr>
                      <w:rFonts w:ascii="宋体" w:hAnsi="宋体" w:eastAsia="宋体" w:cs="宋体"/>
                      <w:sz w:val="20"/>
                      <w:szCs w:val="20"/>
                    </w:rPr>
                    <w:t xml:space="preserve"> </w:t>
                  </w:r>
                  <w:r>
                    <w:rPr>
                      <w:rFonts w:ascii="Times New Roman" w:hAnsi="Times New Roman" w:eastAsia="Times New Roman" w:cs="Times New Roman"/>
                      <w:spacing w:val="2"/>
                      <w:sz w:val="20"/>
                      <w:szCs w:val="20"/>
                    </w:rPr>
                    <w:t>M</w:t>
                  </w:r>
                  <w:r>
                    <w:rPr>
                      <w:rFonts w:ascii="Times New Roman" w:hAnsi="Times New Roman" w:eastAsia="Times New Roman" w:cs="Times New Roman"/>
                      <w:spacing w:val="12"/>
                      <w:w w:val="101"/>
                      <w:sz w:val="20"/>
                      <w:szCs w:val="20"/>
                    </w:rPr>
                    <w:t xml:space="preserve"> </w:t>
                  </w:r>
                  <w:r>
                    <w:rPr>
                      <w:rFonts w:ascii="宋体" w:hAnsi="宋体" w:eastAsia="宋体" w:cs="宋体"/>
                      <w:spacing w:val="2"/>
                      <w:sz w:val="20"/>
                      <w:szCs w:val="20"/>
                    </w:rPr>
                    <w:t>值</w:t>
                  </w:r>
                  <w:r>
                    <w:rPr>
                      <w:rFonts w:ascii="宋体" w:hAnsi="宋体" w:eastAsia="宋体" w:cs="宋体"/>
                      <w:sz w:val="20"/>
                      <w:szCs w:val="20"/>
                    </w:rPr>
                    <w:t xml:space="preserve"> </w:t>
                  </w:r>
                  <w:r>
                    <w:rPr>
                      <w:rFonts w:ascii="Times New Roman" w:hAnsi="Times New Roman" w:eastAsia="Times New Roman" w:cs="Times New Roman"/>
                      <w:spacing w:val="19"/>
                      <w:sz w:val="20"/>
                      <w:szCs w:val="20"/>
                    </w:rPr>
                    <w:t>P</w:t>
                  </w:r>
                  <w:r>
                    <w:rPr>
                      <w:rFonts w:ascii="Times New Roman" w:hAnsi="Times New Roman" w:eastAsia="Times New Roman" w:cs="Times New Roman"/>
                      <w:spacing w:val="9"/>
                      <w:sz w:val="20"/>
                      <w:szCs w:val="20"/>
                    </w:rPr>
                    <w:t xml:space="preserve"> </w:t>
                  </w:r>
                  <w:r>
                    <w:rPr>
                      <w:rFonts w:ascii="宋体" w:hAnsi="宋体" w:eastAsia="宋体" w:cs="宋体"/>
                      <w:spacing w:val="19"/>
                      <w:sz w:val="20"/>
                      <w:szCs w:val="20"/>
                    </w:rPr>
                    <w:t>值</w:t>
                  </w:r>
                  <w:r>
                    <w:rPr>
                      <w:rFonts w:ascii="宋体" w:hAnsi="宋体" w:eastAsia="宋体" w:cs="宋体"/>
                      <w:sz w:val="20"/>
                      <w:szCs w:val="20"/>
                    </w:rPr>
                    <w:t xml:space="preserve"> </w:t>
                  </w:r>
                  <w:r>
                    <w:rPr>
                      <w:rFonts w:ascii="宋体" w:hAnsi="宋体" w:eastAsia="宋体" w:cs="宋体"/>
                      <w:spacing w:val="14"/>
                      <w:sz w:val="20"/>
                      <w:szCs w:val="20"/>
                    </w:rPr>
                    <w:t>大气</w:t>
                  </w:r>
                </w:p>
                <w:p w14:paraId="7E11624E">
                  <w:pPr>
                    <w:spacing w:before="35" w:line="273" w:lineRule="auto"/>
                    <w:ind w:left="20" w:right="20"/>
                    <w:rPr>
                      <w:rFonts w:ascii="宋体" w:hAnsi="宋体" w:eastAsia="宋体" w:cs="宋体"/>
                      <w:sz w:val="20"/>
                      <w:szCs w:val="20"/>
                    </w:rPr>
                  </w:pPr>
                  <w:r>
                    <w:rPr>
                      <w:rFonts w:ascii="宋体" w:hAnsi="宋体" w:eastAsia="宋体" w:cs="宋体"/>
                      <w:spacing w:val="6"/>
                      <w:sz w:val="20"/>
                      <w:szCs w:val="20"/>
                    </w:rPr>
                    <w:t>地表水</w:t>
                  </w:r>
                  <w:r>
                    <w:rPr>
                      <w:rFonts w:ascii="宋体" w:hAnsi="宋体" w:eastAsia="宋体" w:cs="宋体"/>
                      <w:spacing w:val="1"/>
                      <w:sz w:val="20"/>
                      <w:szCs w:val="20"/>
                    </w:rPr>
                    <w:t xml:space="preserve"> </w:t>
                  </w:r>
                  <w:r>
                    <w:rPr>
                      <w:rFonts w:ascii="宋体" w:hAnsi="宋体" w:eastAsia="宋体" w:cs="宋体"/>
                      <w:spacing w:val="6"/>
                      <w:sz w:val="20"/>
                      <w:szCs w:val="20"/>
                    </w:rPr>
                    <w:t>地下水</w:t>
                  </w:r>
                </w:p>
              </w:txbxContent>
            </v:textbox>
          </v:shape>
        </w:pict>
      </w:r>
      <w:r>
        <w:rPr>
          <w:rFonts w:ascii="Times New Roman" w:hAnsi="Times New Roman" w:eastAsia="Times New Roman" w:cs="Times New Roman"/>
          <w:spacing w:val="3"/>
          <w:sz w:val="20"/>
          <w:szCs w:val="20"/>
        </w:rPr>
        <w:t>Q</w:t>
      </w:r>
      <w:r>
        <w:rPr>
          <w:rFonts w:ascii="宋体" w:hAnsi="宋体" w:eastAsia="宋体" w:cs="宋体"/>
          <w:spacing w:val="3"/>
          <w:sz w:val="20"/>
          <w:szCs w:val="20"/>
        </w:rPr>
        <w:t>＜</w:t>
      </w:r>
      <w:r>
        <w:rPr>
          <w:rFonts w:ascii="Times New Roman" w:hAnsi="Times New Roman" w:eastAsia="Times New Roman" w:cs="Times New Roman"/>
          <w:spacing w:val="3"/>
          <w:sz w:val="20"/>
          <w:szCs w:val="20"/>
        </w:rPr>
        <w:t>1</w:t>
      </w:r>
      <w:r>
        <w:rPr>
          <w:rFonts w:ascii="Times New Roman" w:hAnsi="Times New Roman" w:eastAsia="Times New Roman" w:cs="Times New Roman"/>
          <w:spacing w:val="34"/>
          <w:w w:val="101"/>
          <w:sz w:val="20"/>
          <w:szCs w:val="20"/>
        </w:rPr>
        <w:t xml:space="preserve"> </w:t>
      </w:r>
      <w:r>
        <w:rPr>
          <w:rFonts w:ascii="微软雅黑" w:hAnsi="微软雅黑" w:eastAsia="微软雅黑" w:cs="微软雅黑"/>
          <w:spacing w:val="3"/>
          <w:sz w:val="20"/>
          <w:szCs w:val="20"/>
        </w:rPr>
        <w:t xml:space="preserve">□              </w:t>
      </w:r>
      <w:r>
        <w:rPr>
          <w:rFonts w:ascii="Times New Roman" w:hAnsi="Times New Roman" w:eastAsia="Times New Roman" w:cs="Times New Roman"/>
          <w:spacing w:val="3"/>
          <w:sz w:val="20"/>
          <w:szCs w:val="20"/>
        </w:rPr>
        <w:t>1≤Q</w:t>
      </w:r>
      <w:r>
        <w:rPr>
          <w:rFonts w:ascii="宋体" w:hAnsi="宋体" w:eastAsia="宋体" w:cs="宋体"/>
          <w:spacing w:val="3"/>
          <w:sz w:val="20"/>
          <w:szCs w:val="20"/>
        </w:rPr>
        <w:t>＜</w:t>
      </w:r>
      <w:r>
        <w:rPr>
          <w:rFonts w:ascii="Times New Roman" w:hAnsi="Times New Roman" w:eastAsia="Times New Roman" w:cs="Times New Roman"/>
          <w:spacing w:val="3"/>
          <w:sz w:val="20"/>
          <w:szCs w:val="20"/>
        </w:rPr>
        <w:t>10</w:t>
      </w:r>
      <w:r>
        <w:rPr>
          <w:rFonts w:ascii="Times New Roman" w:hAnsi="Times New Roman" w:eastAsia="Times New Roman" w:cs="Times New Roman"/>
          <w:spacing w:val="21"/>
          <w:w w:val="101"/>
          <w:sz w:val="20"/>
          <w:szCs w:val="20"/>
        </w:rPr>
        <w:t xml:space="preserve"> </w:t>
      </w:r>
      <w:r>
        <w:rPr>
          <w:rFonts w:ascii="微软雅黑" w:hAnsi="微软雅黑" w:eastAsia="微软雅黑" w:cs="微软雅黑"/>
          <w:spacing w:val="3"/>
          <w:sz w:val="20"/>
          <w:szCs w:val="20"/>
        </w:rPr>
        <w:t xml:space="preserve">口      </w:t>
      </w:r>
      <w:r>
        <w:rPr>
          <w:rFonts w:ascii="Times New Roman" w:hAnsi="Times New Roman" w:eastAsia="Times New Roman" w:cs="Times New Roman"/>
          <w:spacing w:val="3"/>
          <w:sz w:val="20"/>
          <w:szCs w:val="20"/>
        </w:rPr>
        <w:t>10≤Q</w:t>
      </w:r>
      <w:r>
        <w:rPr>
          <w:rFonts w:ascii="宋体" w:hAnsi="宋体" w:eastAsia="宋体" w:cs="宋体"/>
          <w:spacing w:val="3"/>
          <w:sz w:val="20"/>
          <w:szCs w:val="20"/>
        </w:rPr>
        <w:t>＜</w:t>
      </w:r>
      <w:r>
        <w:rPr>
          <w:rFonts w:ascii="Times New Roman" w:hAnsi="Times New Roman" w:eastAsia="Times New Roman" w:cs="Times New Roman"/>
          <w:spacing w:val="3"/>
          <w:sz w:val="20"/>
          <w:szCs w:val="20"/>
        </w:rPr>
        <w:t>100</w:t>
      </w:r>
      <w:r>
        <w:rPr>
          <w:rFonts w:ascii="Times New Roman" w:hAnsi="Times New Roman" w:eastAsia="Times New Roman" w:cs="Times New Roman"/>
          <w:spacing w:val="21"/>
          <w:w w:val="101"/>
          <w:sz w:val="20"/>
          <w:szCs w:val="20"/>
        </w:rPr>
        <w:t xml:space="preserve"> </w:t>
      </w:r>
      <w:r>
        <w:rPr>
          <w:rFonts w:ascii="微软雅黑" w:hAnsi="微软雅黑" w:eastAsia="微软雅黑" w:cs="微软雅黑"/>
          <w:spacing w:val="3"/>
          <w:sz w:val="20"/>
          <w:szCs w:val="20"/>
        </w:rPr>
        <w:t xml:space="preserve">口       </w:t>
      </w:r>
      <w:r>
        <w:rPr>
          <w:rFonts w:ascii="Times New Roman" w:hAnsi="Times New Roman" w:eastAsia="Times New Roman" w:cs="Times New Roman"/>
          <w:spacing w:val="3"/>
          <w:sz w:val="20"/>
          <w:szCs w:val="20"/>
        </w:rPr>
        <w:t>Q≥100</w:t>
      </w:r>
      <w:r>
        <w:rPr>
          <w:rFonts w:ascii="Times New Roman" w:hAnsi="Times New Roman" w:eastAsia="Times New Roman" w:cs="Times New Roman"/>
          <w:spacing w:val="21"/>
          <w:w w:val="101"/>
          <w:sz w:val="20"/>
          <w:szCs w:val="20"/>
        </w:rPr>
        <w:t xml:space="preserve"> </w:t>
      </w:r>
      <w:r>
        <w:rPr>
          <w:rFonts w:ascii="微软雅黑" w:hAnsi="微软雅黑" w:eastAsia="微软雅黑" w:cs="微软雅黑"/>
          <w:spacing w:val="3"/>
          <w:sz w:val="20"/>
          <w:szCs w:val="20"/>
        </w:rPr>
        <w:t>□</w:t>
      </w:r>
    </w:p>
    <w:p w14:paraId="342FF2DB">
      <w:pPr>
        <w:spacing w:before="50" w:line="206" w:lineRule="auto"/>
        <w:ind w:left="3504"/>
        <w:rPr>
          <w:rFonts w:ascii="微软雅黑" w:hAnsi="微软雅黑" w:eastAsia="微软雅黑" w:cs="微软雅黑"/>
          <w:sz w:val="20"/>
          <w:szCs w:val="20"/>
        </w:rPr>
      </w:pPr>
      <w:r>
        <w:pict>
          <v:shape id="_x0000_s2000" o:spid="_x0000_s2000" o:spt="202" type="#_x0000_t202" style="position:absolute;left:0pt;margin-left:2.7pt;margin-top:-6.55pt;height:119.5pt;width:75.05pt;z-index:252057600;mso-width-relative:page;mso-height-relative:page;" filled="f" stroked="f" coordsize="21600,21600">
            <v:path/>
            <v:fill on="f" focussize="0,0"/>
            <v:stroke on="f"/>
            <v:imagedata o:title=""/>
            <o:lock v:ext="edit" aspectratio="f"/>
            <v:textbox inset="0mm,0mm,0mm,0mm">
              <w:txbxContent>
                <w:p w14:paraId="2DB2C21C">
                  <w:pPr>
                    <w:spacing w:before="20" w:line="280" w:lineRule="auto"/>
                    <w:ind w:left="442" w:right="20" w:hanging="422"/>
                    <w:rPr>
                      <w:rFonts w:ascii="宋体" w:hAnsi="宋体" w:eastAsia="宋体" w:cs="宋体"/>
                      <w:sz w:val="20"/>
                      <w:szCs w:val="20"/>
                    </w:rPr>
                  </w:pPr>
                  <w:r>
                    <w:rPr>
                      <w:rFonts w:ascii="宋体" w:hAnsi="宋体" w:eastAsia="宋体" w:cs="宋体"/>
                      <w:spacing w:val="8"/>
                      <w:sz w:val="20"/>
                      <w:szCs w:val="20"/>
                    </w:rPr>
                    <w:t>物质及工艺系统</w:t>
                  </w:r>
                  <w:r>
                    <w:rPr>
                      <w:rFonts w:ascii="宋体" w:hAnsi="宋体" w:eastAsia="宋体" w:cs="宋体"/>
                      <w:spacing w:val="3"/>
                      <w:sz w:val="20"/>
                      <w:szCs w:val="20"/>
                    </w:rPr>
                    <w:t xml:space="preserve"> </w:t>
                  </w:r>
                  <w:r>
                    <w:rPr>
                      <w:rFonts w:ascii="宋体" w:hAnsi="宋体" w:eastAsia="宋体" w:cs="宋体"/>
                      <w:spacing w:val="6"/>
                      <w:sz w:val="20"/>
                      <w:szCs w:val="20"/>
                    </w:rPr>
                    <w:t>危险性</w:t>
                  </w:r>
                </w:p>
                <w:p w14:paraId="4CB9FF97">
                  <w:pPr>
                    <w:pStyle w:val="2"/>
                    <w:spacing w:line="457" w:lineRule="auto"/>
                  </w:pPr>
                </w:p>
                <w:p w14:paraId="2BF5A077">
                  <w:pPr>
                    <w:spacing w:before="65" w:line="228" w:lineRule="auto"/>
                    <w:ind w:left="125"/>
                    <w:rPr>
                      <w:rFonts w:ascii="宋体" w:hAnsi="宋体" w:eastAsia="宋体" w:cs="宋体"/>
                      <w:sz w:val="20"/>
                      <w:szCs w:val="20"/>
                    </w:rPr>
                  </w:pPr>
                  <w:r>
                    <w:rPr>
                      <w:rFonts w:ascii="宋体" w:hAnsi="宋体" w:eastAsia="宋体" w:cs="宋体"/>
                      <w:spacing w:val="8"/>
                      <w:sz w:val="20"/>
                      <w:szCs w:val="20"/>
                    </w:rPr>
                    <w:t>环境敏感程度</w:t>
                  </w:r>
                </w:p>
                <w:p w14:paraId="6B2FE197">
                  <w:pPr>
                    <w:pStyle w:val="2"/>
                    <w:spacing w:line="334" w:lineRule="auto"/>
                  </w:pPr>
                </w:p>
                <w:p w14:paraId="22886284">
                  <w:pPr>
                    <w:spacing w:before="65" w:line="272" w:lineRule="auto"/>
                    <w:ind w:left="332" w:right="125" w:hanging="207"/>
                    <w:rPr>
                      <w:rFonts w:ascii="宋体" w:hAnsi="宋体" w:eastAsia="宋体" w:cs="宋体"/>
                      <w:sz w:val="20"/>
                      <w:szCs w:val="20"/>
                    </w:rPr>
                  </w:pPr>
                  <w:r>
                    <w:rPr>
                      <w:rFonts w:ascii="宋体" w:hAnsi="宋体" w:eastAsia="宋体" w:cs="宋体"/>
                      <w:spacing w:val="8"/>
                      <w:sz w:val="20"/>
                      <w:szCs w:val="20"/>
                    </w:rPr>
                    <w:t>环境风险潜势</w:t>
                  </w:r>
                  <w:r>
                    <w:rPr>
                      <w:rFonts w:ascii="宋体" w:hAnsi="宋体" w:eastAsia="宋体" w:cs="宋体"/>
                      <w:sz w:val="20"/>
                      <w:szCs w:val="20"/>
                    </w:rPr>
                    <w:t xml:space="preserve"> </w:t>
                  </w:r>
                  <w:r>
                    <w:rPr>
                      <w:rFonts w:ascii="宋体" w:hAnsi="宋体" w:eastAsia="宋体" w:cs="宋体"/>
                      <w:spacing w:val="7"/>
                      <w:sz w:val="20"/>
                      <w:szCs w:val="20"/>
                    </w:rPr>
                    <w:t>评价等级</w:t>
                  </w:r>
                </w:p>
              </w:txbxContent>
            </v:textbox>
          </v:shape>
        </w:pict>
      </w:r>
      <w:r>
        <w:rPr>
          <w:rFonts w:ascii="Times New Roman" w:hAnsi="Times New Roman" w:eastAsia="Times New Roman" w:cs="Times New Roman"/>
          <w:spacing w:val="6"/>
          <w:sz w:val="20"/>
          <w:szCs w:val="20"/>
        </w:rPr>
        <w:t>M1</w:t>
      </w:r>
      <w:r>
        <w:rPr>
          <w:rFonts w:ascii="Times New Roman" w:hAnsi="Times New Roman" w:eastAsia="Times New Roman" w:cs="Times New Roman"/>
          <w:spacing w:val="22"/>
          <w:sz w:val="20"/>
          <w:szCs w:val="20"/>
        </w:rPr>
        <w:t xml:space="preserve"> </w:t>
      </w:r>
      <w:r>
        <w:rPr>
          <w:rFonts w:ascii="微软雅黑" w:hAnsi="微软雅黑" w:eastAsia="微软雅黑" w:cs="微软雅黑"/>
          <w:spacing w:val="6"/>
          <w:sz w:val="20"/>
          <w:szCs w:val="20"/>
        </w:rPr>
        <w:t>口</w:t>
      </w:r>
      <w:r>
        <w:rPr>
          <w:rFonts w:ascii="微软雅黑" w:hAnsi="微软雅黑" w:eastAsia="微软雅黑" w:cs="微软雅黑"/>
          <w:sz w:val="20"/>
          <w:szCs w:val="20"/>
        </w:rPr>
        <w:t xml:space="preserve">                    </w:t>
      </w:r>
      <w:r>
        <w:rPr>
          <w:rFonts w:ascii="Times New Roman" w:hAnsi="Times New Roman" w:eastAsia="Times New Roman" w:cs="Times New Roman"/>
          <w:spacing w:val="6"/>
          <w:sz w:val="20"/>
          <w:szCs w:val="20"/>
        </w:rPr>
        <w:t>M2</w:t>
      </w:r>
      <w:r>
        <w:rPr>
          <w:rFonts w:ascii="Times New Roman" w:hAnsi="Times New Roman" w:eastAsia="Times New Roman" w:cs="Times New Roman"/>
          <w:spacing w:val="30"/>
          <w:w w:val="101"/>
          <w:sz w:val="20"/>
          <w:szCs w:val="20"/>
        </w:rPr>
        <w:t xml:space="preserve"> </w:t>
      </w:r>
      <w:r>
        <w:rPr>
          <w:rFonts w:ascii="微软雅黑" w:hAnsi="微软雅黑" w:eastAsia="微软雅黑" w:cs="微软雅黑"/>
          <w:spacing w:val="6"/>
          <w:sz w:val="20"/>
          <w:szCs w:val="20"/>
        </w:rPr>
        <w:t xml:space="preserve">□               </w:t>
      </w:r>
      <w:r>
        <w:rPr>
          <w:rFonts w:ascii="Times New Roman" w:hAnsi="Times New Roman" w:eastAsia="Times New Roman" w:cs="Times New Roman"/>
          <w:spacing w:val="6"/>
          <w:sz w:val="20"/>
          <w:szCs w:val="20"/>
        </w:rPr>
        <w:t>M3</w:t>
      </w:r>
      <w:r>
        <w:rPr>
          <w:rFonts w:ascii="Times New Roman" w:hAnsi="Times New Roman" w:eastAsia="Times New Roman" w:cs="Times New Roman"/>
          <w:spacing w:val="24"/>
          <w:sz w:val="20"/>
          <w:szCs w:val="20"/>
        </w:rPr>
        <w:t xml:space="preserve"> </w:t>
      </w:r>
      <w:r>
        <w:rPr>
          <w:rFonts w:ascii="微软雅黑" w:hAnsi="微软雅黑" w:eastAsia="微软雅黑" w:cs="微软雅黑"/>
          <w:spacing w:val="5"/>
          <w:sz w:val="20"/>
          <w:szCs w:val="20"/>
        </w:rPr>
        <w:t xml:space="preserve">□               </w:t>
      </w:r>
      <w:r>
        <w:rPr>
          <w:rFonts w:ascii="Times New Roman" w:hAnsi="Times New Roman" w:eastAsia="Times New Roman" w:cs="Times New Roman"/>
          <w:spacing w:val="5"/>
          <w:sz w:val="20"/>
          <w:szCs w:val="20"/>
        </w:rPr>
        <w:t>M4</w:t>
      </w:r>
      <w:r>
        <w:rPr>
          <w:rFonts w:ascii="Times New Roman" w:hAnsi="Times New Roman" w:eastAsia="Times New Roman" w:cs="Times New Roman"/>
          <w:spacing w:val="21"/>
          <w:w w:val="101"/>
          <w:sz w:val="20"/>
          <w:szCs w:val="20"/>
        </w:rPr>
        <w:t xml:space="preserve"> </w:t>
      </w:r>
      <w:r>
        <w:rPr>
          <w:rFonts w:ascii="微软雅黑" w:hAnsi="微软雅黑" w:eastAsia="微软雅黑" w:cs="微软雅黑"/>
          <w:spacing w:val="5"/>
          <w:sz w:val="20"/>
          <w:szCs w:val="20"/>
        </w:rPr>
        <w:t>□</w:t>
      </w:r>
    </w:p>
    <w:p w14:paraId="2B2D9260">
      <w:pPr>
        <w:spacing w:before="30" w:line="206" w:lineRule="auto"/>
        <w:ind w:left="3540"/>
        <w:rPr>
          <w:rFonts w:ascii="微软雅黑" w:hAnsi="微软雅黑" w:eastAsia="微软雅黑" w:cs="微软雅黑"/>
          <w:sz w:val="20"/>
          <w:szCs w:val="20"/>
        </w:rPr>
      </w:pPr>
      <w:r>
        <w:rPr>
          <w:rFonts w:ascii="Times New Roman" w:hAnsi="Times New Roman" w:eastAsia="Times New Roman" w:cs="Times New Roman"/>
          <w:spacing w:val="6"/>
          <w:sz w:val="20"/>
          <w:szCs w:val="20"/>
        </w:rPr>
        <w:t>P1</w:t>
      </w:r>
      <w:r>
        <w:rPr>
          <w:rFonts w:ascii="Times New Roman" w:hAnsi="Times New Roman" w:eastAsia="Times New Roman" w:cs="Times New Roman"/>
          <w:spacing w:val="22"/>
          <w:sz w:val="20"/>
          <w:szCs w:val="20"/>
        </w:rPr>
        <w:t xml:space="preserve"> </w:t>
      </w:r>
      <w:r>
        <w:rPr>
          <w:rFonts w:ascii="微软雅黑" w:hAnsi="微软雅黑" w:eastAsia="微软雅黑" w:cs="微软雅黑"/>
          <w:spacing w:val="6"/>
          <w:sz w:val="20"/>
          <w:szCs w:val="20"/>
        </w:rPr>
        <w:t>□</w:t>
      </w:r>
      <w:r>
        <w:rPr>
          <w:rFonts w:ascii="微软雅黑" w:hAnsi="微软雅黑" w:eastAsia="微软雅黑" w:cs="微软雅黑"/>
          <w:sz w:val="20"/>
          <w:szCs w:val="20"/>
        </w:rPr>
        <w:t xml:space="preserve">                     </w:t>
      </w:r>
      <w:r>
        <w:rPr>
          <w:rFonts w:ascii="Times New Roman" w:hAnsi="Times New Roman" w:eastAsia="Times New Roman" w:cs="Times New Roman"/>
          <w:spacing w:val="6"/>
          <w:sz w:val="20"/>
          <w:szCs w:val="20"/>
        </w:rPr>
        <w:t>P2</w:t>
      </w:r>
      <w:r>
        <w:rPr>
          <w:rFonts w:ascii="Times New Roman" w:hAnsi="Times New Roman" w:eastAsia="Times New Roman" w:cs="Times New Roman"/>
          <w:spacing w:val="38"/>
          <w:sz w:val="20"/>
          <w:szCs w:val="20"/>
        </w:rPr>
        <w:t xml:space="preserve"> </w:t>
      </w:r>
      <w:r>
        <w:rPr>
          <w:rFonts w:ascii="微软雅黑" w:hAnsi="微软雅黑" w:eastAsia="微软雅黑" w:cs="微软雅黑"/>
          <w:spacing w:val="6"/>
          <w:sz w:val="20"/>
          <w:szCs w:val="20"/>
        </w:rPr>
        <w:t xml:space="preserve">口                </w:t>
      </w:r>
      <w:r>
        <w:rPr>
          <w:rFonts w:ascii="Times New Roman" w:hAnsi="Times New Roman" w:eastAsia="Times New Roman" w:cs="Times New Roman"/>
          <w:spacing w:val="6"/>
          <w:sz w:val="20"/>
          <w:szCs w:val="20"/>
        </w:rPr>
        <w:t>P3</w:t>
      </w:r>
      <w:r>
        <w:rPr>
          <w:rFonts w:ascii="Times New Roman" w:hAnsi="Times New Roman" w:eastAsia="Times New Roman" w:cs="Times New Roman"/>
          <w:spacing w:val="21"/>
          <w:w w:val="101"/>
          <w:sz w:val="20"/>
          <w:szCs w:val="20"/>
        </w:rPr>
        <w:t xml:space="preserve"> </w:t>
      </w:r>
      <w:r>
        <w:rPr>
          <w:rFonts w:ascii="微软雅黑" w:hAnsi="微软雅黑" w:eastAsia="微软雅黑" w:cs="微软雅黑"/>
          <w:spacing w:val="6"/>
          <w:sz w:val="20"/>
          <w:szCs w:val="20"/>
        </w:rPr>
        <w:t xml:space="preserve">□  </w:t>
      </w:r>
      <w:r>
        <w:rPr>
          <w:rFonts w:ascii="微软雅黑" w:hAnsi="微软雅黑" w:eastAsia="微软雅黑" w:cs="微软雅黑"/>
          <w:spacing w:val="5"/>
          <w:sz w:val="20"/>
          <w:szCs w:val="20"/>
        </w:rPr>
        <w:t xml:space="preserve">              </w:t>
      </w:r>
      <w:r>
        <w:rPr>
          <w:rFonts w:ascii="Times New Roman" w:hAnsi="Times New Roman" w:eastAsia="Times New Roman" w:cs="Times New Roman"/>
          <w:spacing w:val="5"/>
          <w:sz w:val="20"/>
          <w:szCs w:val="20"/>
        </w:rPr>
        <w:t>P4</w:t>
      </w:r>
      <w:r>
        <w:rPr>
          <w:rFonts w:ascii="Times New Roman" w:hAnsi="Times New Roman" w:eastAsia="Times New Roman" w:cs="Times New Roman"/>
          <w:spacing w:val="21"/>
          <w:w w:val="101"/>
          <w:sz w:val="20"/>
          <w:szCs w:val="20"/>
        </w:rPr>
        <w:t xml:space="preserve"> </w:t>
      </w:r>
      <w:r>
        <w:rPr>
          <w:rFonts w:ascii="微软雅黑" w:hAnsi="微软雅黑" w:eastAsia="微软雅黑" w:cs="微软雅黑"/>
          <w:spacing w:val="5"/>
          <w:sz w:val="20"/>
          <w:szCs w:val="20"/>
        </w:rPr>
        <w:t>□</w:t>
      </w:r>
    </w:p>
    <w:p w14:paraId="66AF5D16">
      <w:pPr>
        <w:spacing w:before="29" w:line="206" w:lineRule="auto"/>
        <w:ind w:left="3533"/>
        <w:rPr>
          <w:rFonts w:ascii="微软雅黑" w:hAnsi="微软雅黑" w:eastAsia="微软雅黑" w:cs="微软雅黑"/>
          <w:sz w:val="20"/>
          <w:szCs w:val="20"/>
        </w:rPr>
      </w:pPr>
      <w:r>
        <w:rPr>
          <w:rFonts w:ascii="Times New Roman" w:hAnsi="Times New Roman" w:eastAsia="Times New Roman" w:cs="Times New Roman"/>
          <w:spacing w:val="10"/>
          <w:sz w:val="20"/>
          <w:szCs w:val="20"/>
        </w:rPr>
        <w:t>E1</w:t>
      </w:r>
      <w:r>
        <w:rPr>
          <w:rFonts w:ascii="Times New Roman" w:hAnsi="Times New Roman" w:eastAsia="Times New Roman" w:cs="Times New Roman"/>
          <w:spacing w:val="22"/>
          <w:sz w:val="20"/>
          <w:szCs w:val="20"/>
        </w:rPr>
        <w:t xml:space="preserve"> </w:t>
      </w:r>
      <w:r>
        <w:rPr>
          <w:rFonts w:ascii="微软雅黑" w:hAnsi="微软雅黑" w:eastAsia="微软雅黑" w:cs="微软雅黑"/>
          <w:spacing w:val="10"/>
          <w:sz w:val="20"/>
          <w:szCs w:val="20"/>
        </w:rPr>
        <w:t>□</w:t>
      </w:r>
      <w:r>
        <w:rPr>
          <w:rFonts w:ascii="微软雅黑" w:hAnsi="微软雅黑" w:eastAsia="微软雅黑" w:cs="微软雅黑"/>
          <w:spacing w:val="1"/>
          <w:sz w:val="20"/>
          <w:szCs w:val="20"/>
        </w:rPr>
        <w:t xml:space="preserve">                           </w:t>
      </w:r>
      <w:r>
        <w:rPr>
          <w:rFonts w:ascii="Times New Roman" w:hAnsi="Times New Roman" w:eastAsia="Times New Roman" w:cs="Times New Roman"/>
          <w:spacing w:val="10"/>
          <w:sz w:val="20"/>
          <w:szCs w:val="20"/>
        </w:rPr>
        <w:t>E2</w:t>
      </w:r>
      <w:r>
        <w:rPr>
          <w:rFonts w:ascii="Times New Roman" w:hAnsi="Times New Roman" w:eastAsia="Times New Roman" w:cs="Times New Roman"/>
          <w:spacing w:val="39"/>
          <w:sz w:val="20"/>
          <w:szCs w:val="20"/>
        </w:rPr>
        <w:t xml:space="preserve"> </w:t>
      </w:r>
      <w:r>
        <w:rPr>
          <w:rFonts w:ascii="微软雅黑" w:hAnsi="微软雅黑" w:eastAsia="微软雅黑" w:cs="微软雅黑"/>
          <w:spacing w:val="10"/>
          <w:sz w:val="20"/>
          <w:szCs w:val="20"/>
        </w:rPr>
        <w:t>□</w:t>
      </w:r>
      <w:r>
        <w:rPr>
          <w:rFonts w:ascii="微软雅黑" w:hAnsi="微软雅黑" w:eastAsia="微软雅黑" w:cs="微软雅黑"/>
          <w:sz w:val="20"/>
          <w:szCs w:val="20"/>
        </w:rPr>
        <w:t xml:space="preserve">                            </w:t>
      </w:r>
      <w:r>
        <w:rPr>
          <w:rFonts w:ascii="Times New Roman" w:hAnsi="Times New Roman" w:eastAsia="Times New Roman" w:cs="Times New Roman"/>
          <w:spacing w:val="10"/>
          <w:sz w:val="20"/>
          <w:szCs w:val="20"/>
        </w:rPr>
        <w:t>E3</w:t>
      </w:r>
      <w:r>
        <w:rPr>
          <w:rFonts w:ascii="Times New Roman" w:hAnsi="Times New Roman" w:eastAsia="Times New Roman" w:cs="Times New Roman"/>
          <w:spacing w:val="25"/>
          <w:w w:val="101"/>
          <w:sz w:val="20"/>
          <w:szCs w:val="20"/>
        </w:rPr>
        <w:t xml:space="preserve"> </w:t>
      </w:r>
      <w:r>
        <w:rPr>
          <w:rFonts w:ascii="微软雅黑" w:hAnsi="微软雅黑" w:eastAsia="微软雅黑" w:cs="微软雅黑"/>
          <w:spacing w:val="10"/>
          <w:sz w:val="20"/>
          <w:szCs w:val="20"/>
        </w:rPr>
        <w:t>口</w:t>
      </w:r>
    </w:p>
    <w:p w14:paraId="65EAE325">
      <w:pPr>
        <w:spacing w:before="30" w:line="217" w:lineRule="auto"/>
        <w:ind w:left="3533"/>
        <w:rPr>
          <w:rFonts w:ascii="微软雅黑" w:hAnsi="微软雅黑" w:eastAsia="微软雅黑" w:cs="微软雅黑"/>
          <w:sz w:val="20"/>
          <w:szCs w:val="20"/>
        </w:rPr>
      </w:pPr>
      <w:r>
        <w:rPr>
          <w:rFonts w:ascii="Times New Roman" w:hAnsi="Times New Roman" w:eastAsia="Times New Roman" w:cs="Times New Roman"/>
          <w:spacing w:val="9"/>
          <w:sz w:val="20"/>
          <w:szCs w:val="20"/>
        </w:rPr>
        <w:t>E1</w:t>
      </w:r>
      <w:r>
        <w:rPr>
          <w:rFonts w:ascii="Times New Roman" w:hAnsi="Times New Roman" w:eastAsia="Times New Roman" w:cs="Times New Roman"/>
          <w:spacing w:val="26"/>
          <w:sz w:val="20"/>
          <w:szCs w:val="20"/>
        </w:rPr>
        <w:t xml:space="preserve"> </w:t>
      </w:r>
      <w:r>
        <w:rPr>
          <w:rFonts w:ascii="微软雅黑" w:hAnsi="微软雅黑" w:eastAsia="微软雅黑" w:cs="微软雅黑"/>
          <w:spacing w:val="9"/>
          <w:sz w:val="20"/>
          <w:szCs w:val="20"/>
        </w:rPr>
        <w:t>□</w:t>
      </w:r>
      <w:r>
        <w:rPr>
          <w:rFonts w:ascii="微软雅黑" w:hAnsi="微软雅黑" w:eastAsia="微软雅黑" w:cs="微软雅黑"/>
          <w:spacing w:val="1"/>
          <w:sz w:val="20"/>
          <w:szCs w:val="20"/>
        </w:rPr>
        <w:t xml:space="preserve">                           </w:t>
      </w:r>
      <w:r>
        <w:rPr>
          <w:rFonts w:ascii="Times New Roman" w:hAnsi="Times New Roman" w:eastAsia="Times New Roman" w:cs="Times New Roman"/>
          <w:spacing w:val="9"/>
          <w:sz w:val="20"/>
          <w:szCs w:val="20"/>
        </w:rPr>
        <w:t>E2</w:t>
      </w:r>
      <w:r>
        <w:rPr>
          <w:rFonts w:ascii="Times New Roman" w:hAnsi="Times New Roman" w:eastAsia="Times New Roman" w:cs="Times New Roman"/>
          <w:spacing w:val="39"/>
          <w:sz w:val="20"/>
          <w:szCs w:val="20"/>
        </w:rPr>
        <w:t xml:space="preserve"> </w:t>
      </w:r>
      <w:r>
        <w:rPr>
          <w:rFonts w:ascii="微软雅黑" w:hAnsi="微软雅黑" w:eastAsia="微软雅黑" w:cs="微软雅黑"/>
          <w:spacing w:val="9"/>
          <w:sz w:val="20"/>
          <w:szCs w:val="20"/>
        </w:rPr>
        <w:t xml:space="preserve">□                         </w:t>
      </w:r>
      <w:r>
        <w:rPr>
          <w:rFonts w:ascii="Times New Roman" w:hAnsi="Times New Roman" w:eastAsia="Times New Roman" w:cs="Times New Roman"/>
          <w:spacing w:val="9"/>
          <w:sz w:val="20"/>
          <w:szCs w:val="20"/>
        </w:rPr>
        <w:t>E3</w:t>
      </w:r>
      <w:r>
        <w:rPr>
          <w:rFonts w:ascii="Times New Roman" w:hAnsi="Times New Roman" w:eastAsia="Times New Roman" w:cs="Times New Roman"/>
          <w:spacing w:val="21"/>
          <w:w w:val="101"/>
          <w:sz w:val="20"/>
          <w:szCs w:val="20"/>
        </w:rPr>
        <w:t xml:space="preserve"> </w:t>
      </w:r>
      <w:r>
        <w:rPr>
          <w:rFonts w:ascii="微软雅黑" w:hAnsi="微软雅黑" w:eastAsia="微软雅黑" w:cs="微软雅黑"/>
          <w:spacing w:val="9"/>
          <w:sz w:val="20"/>
          <w:szCs w:val="20"/>
        </w:rPr>
        <w:t>□</w:t>
      </w:r>
    </w:p>
    <w:p w14:paraId="22E269F7">
      <w:pPr>
        <w:spacing w:before="13" w:line="206" w:lineRule="auto"/>
        <w:ind w:left="3533"/>
        <w:rPr>
          <w:rFonts w:ascii="微软雅黑" w:hAnsi="微软雅黑" w:eastAsia="微软雅黑" w:cs="微软雅黑"/>
          <w:sz w:val="20"/>
          <w:szCs w:val="20"/>
        </w:rPr>
      </w:pPr>
      <w:r>
        <w:rPr>
          <w:rFonts w:ascii="Times New Roman" w:hAnsi="Times New Roman" w:eastAsia="Times New Roman" w:cs="Times New Roman"/>
          <w:spacing w:val="5"/>
          <w:sz w:val="20"/>
          <w:szCs w:val="20"/>
        </w:rPr>
        <w:t>E1</w:t>
      </w:r>
      <w:r>
        <w:rPr>
          <w:rFonts w:ascii="Times New Roman" w:hAnsi="Times New Roman" w:eastAsia="Times New Roman" w:cs="Times New Roman"/>
          <w:spacing w:val="22"/>
          <w:sz w:val="20"/>
          <w:szCs w:val="20"/>
        </w:rPr>
        <w:t xml:space="preserve"> </w:t>
      </w:r>
      <w:r>
        <w:rPr>
          <w:rFonts w:ascii="微软雅黑" w:hAnsi="微软雅黑" w:eastAsia="微软雅黑" w:cs="微软雅黑"/>
          <w:spacing w:val="5"/>
          <w:sz w:val="20"/>
          <w:szCs w:val="20"/>
        </w:rPr>
        <w:t xml:space="preserve">□                   </w:t>
      </w:r>
      <w:r>
        <w:rPr>
          <w:rFonts w:ascii="微软雅黑" w:hAnsi="微软雅黑" w:eastAsia="微软雅黑" w:cs="微软雅黑"/>
          <w:spacing w:val="4"/>
          <w:sz w:val="20"/>
          <w:szCs w:val="20"/>
        </w:rPr>
        <w:t xml:space="preserve">       </w:t>
      </w:r>
      <w:r>
        <w:rPr>
          <w:rFonts w:ascii="Times New Roman" w:hAnsi="Times New Roman" w:eastAsia="Times New Roman" w:cs="Times New Roman"/>
          <w:spacing w:val="4"/>
          <w:sz w:val="20"/>
          <w:szCs w:val="20"/>
        </w:rPr>
        <w:t>E2</w:t>
      </w:r>
      <w:r>
        <w:rPr>
          <w:rFonts w:ascii="Times New Roman" w:hAnsi="Times New Roman" w:eastAsia="Times New Roman" w:cs="Times New Roman"/>
          <w:spacing w:val="21"/>
          <w:w w:val="101"/>
          <w:sz w:val="20"/>
          <w:szCs w:val="20"/>
        </w:rPr>
        <w:t xml:space="preserve"> </w:t>
      </w:r>
      <w:r>
        <w:rPr>
          <w:rFonts w:ascii="微软雅黑" w:hAnsi="微软雅黑" w:eastAsia="微软雅黑" w:cs="微软雅黑"/>
          <w:spacing w:val="4"/>
          <w:sz w:val="20"/>
          <w:szCs w:val="20"/>
        </w:rPr>
        <w:t>口</w:t>
      </w:r>
      <w:r>
        <w:rPr>
          <w:rFonts w:ascii="微软雅黑" w:hAnsi="微软雅黑" w:eastAsia="微软雅黑" w:cs="微软雅黑"/>
          <w:sz w:val="20"/>
          <w:szCs w:val="20"/>
        </w:rPr>
        <w:t xml:space="preserve">                            </w:t>
      </w:r>
      <w:r>
        <w:rPr>
          <w:rFonts w:ascii="Times New Roman" w:hAnsi="Times New Roman" w:eastAsia="Times New Roman" w:cs="Times New Roman"/>
          <w:spacing w:val="4"/>
          <w:sz w:val="20"/>
          <w:szCs w:val="20"/>
        </w:rPr>
        <w:t>E3</w:t>
      </w:r>
      <w:r>
        <w:rPr>
          <w:rFonts w:ascii="Times New Roman" w:hAnsi="Times New Roman" w:eastAsia="Times New Roman" w:cs="Times New Roman"/>
          <w:spacing w:val="26"/>
          <w:sz w:val="20"/>
          <w:szCs w:val="20"/>
        </w:rPr>
        <w:t xml:space="preserve"> </w:t>
      </w:r>
      <w:r>
        <w:rPr>
          <w:rFonts w:ascii="微软雅黑" w:hAnsi="微软雅黑" w:eastAsia="微软雅黑" w:cs="微软雅黑"/>
          <w:spacing w:val="4"/>
          <w:sz w:val="20"/>
          <w:szCs w:val="20"/>
        </w:rPr>
        <w:t>□</w:t>
      </w:r>
    </w:p>
    <w:p w14:paraId="2E553C01">
      <w:pPr>
        <w:spacing w:before="30" w:line="206" w:lineRule="auto"/>
        <w:ind w:left="3760"/>
        <w:rPr>
          <w:rFonts w:ascii="微软雅黑" w:hAnsi="微软雅黑" w:eastAsia="微软雅黑" w:cs="微软雅黑"/>
          <w:sz w:val="20"/>
          <w:szCs w:val="20"/>
        </w:rPr>
      </w:pPr>
      <w:r>
        <w:pict>
          <v:shape id="_x0000_s2002" o:spid="_x0000_s2002" o:spt="202" type="#_x0000_t202" style="position:absolute;left:0pt;margin-left:107.8pt;margin-top:2.35pt;height:28.7pt;width:27.95pt;z-index:252068864;mso-width-relative:page;mso-height-relative:page;" filled="f" stroked="f" coordsize="21600,21600">
            <v:path/>
            <v:fill on="f" focussize="0,0"/>
            <v:stroke on="f"/>
            <v:imagedata o:title=""/>
            <o:lock v:ext="edit" aspectratio="f"/>
            <v:textbox inset="0mm,0mm,0mm,0mm">
              <w:txbxContent>
                <w:p w14:paraId="1D9FB745">
                  <w:pPr>
                    <w:spacing w:before="19" w:line="192" w:lineRule="auto"/>
                    <w:ind w:left="2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Ⅳ+</w:t>
                  </w:r>
                  <w:r>
                    <w:rPr>
                      <w:rFonts w:ascii="Times New Roman" w:hAnsi="Times New Roman" w:eastAsia="Times New Roman" w:cs="Times New Roman"/>
                      <w:spacing w:val="17"/>
                      <w:w w:val="101"/>
                      <w:sz w:val="20"/>
                      <w:szCs w:val="20"/>
                    </w:rPr>
                    <w:t xml:space="preserve"> </w:t>
                  </w:r>
                  <w:r>
                    <w:rPr>
                      <w:rFonts w:ascii="Times New Roman" w:hAnsi="Times New Roman" w:eastAsia="Times New Roman" w:cs="Times New Roman"/>
                      <w:spacing w:val="3"/>
                      <w:sz w:val="20"/>
                      <w:szCs w:val="20"/>
                    </w:rPr>
                    <w:t>□</w:t>
                  </w:r>
                </w:p>
                <w:p w14:paraId="1C9A6588">
                  <w:pPr>
                    <w:spacing w:before="101" w:line="230" w:lineRule="auto"/>
                    <w:ind w:right="20"/>
                    <w:jc w:val="right"/>
                    <w:rPr>
                      <w:rFonts w:ascii="宋体" w:hAnsi="宋体" w:eastAsia="宋体" w:cs="宋体"/>
                      <w:sz w:val="20"/>
                      <w:szCs w:val="20"/>
                    </w:rPr>
                  </w:pPr>
                  <w:r>
                    <w:rPr>
                      <w:rFonts w:ascii="宋体" w:hAnsi="宋体" w:eastAsia="宋体" w:cs="宋体"/>
                      <w:spacing w:val="3"/>
                      <w:sz w:val="20"/>
                      <w:szCs w:val="20"/>
                    </w:rPr>
                    <w:t>一级</w:t>
                  </w:r>
                </w:p>
              </w:txbxContent>
            </v:textbox>
          </v:shape>
        </w:pict>
      </w:r>
      <w:r>
        <w:rPr>
          <w:rFonts w:ascii="Times New Roman" w:hAnsi="Times New Roman" w:eastAsia="Times New Roman" w:cs="Times New Roman"/>
          <w:spacing w:val="8"/>
          <w:sz w:val="20"/>
          <w:szCs w:val="20"/>
        </w:rPr>
        <w:t>Ⅳ</w:t>
      </w:r>
      <w:r>
        <w:rPr>
          <w:rFonts w:ascii="Times New Roman" w:hAnsi="Times New Roman" w:eastAsia="Times New Roman" w:cs="Times New Roman"/>
          <w:spacing w:val="19"/>
          <w:sz w:val="20"/>
          <w:szCs w:val="20"/>
        </w:rPr>
        <w:t xml:space="preserve"> </w:t>
      </w:r>
      <w:r>
        <w:rPr>
          <w:rFonts w:ascii="微软雅黑" w:hAnsi="微软雅黑" w:eastAsia="微软雅黑" w:cs="微软雅黑"/>
          <w:spacing w:val="8"/>
          <w:sz w:val="20"/>
          <w:szCs w:val="20"/>
        </w:rPr>
        <w:t xml:space="preserve">口                </w:t>
      </w:r>
      <w:r>
        <w:rPr>
          <w:rFonts w:ascii="Times New Roman" w:hAnsi="Times New Roman" w:eastAsia="Times New Roman" w:cs="Times New Roman"/>
          <w:spacing w:val="8"/>
          <w:sz w:val="20"/>
          <w:szCs w:val="20"/>
        </w:rPr>
        <w:t>Ⅲ</w:t>
      </w:r>
      <w:r>
        <w:rPr>
          <w:rFonts w:ascii="微软雅黑" w:hAnsi="微软雅黑" w:eastAsia="微软雅黑" w:cs="微软雅黑"/>
          <w:spacing w:val="8"/>
          <w:sz w:val="20"/>
          <w:szCs w:val="20"/>
        </w:rPr>
        <w:t>□</w:t>
      </w:r>
      <w:r>
        <w:rPr>
          <w:rFonts w:ascii="微软雅黑" w:hAnsi="微软雅黑" w:eastAsia="微软雅黑" w:cs="微软雅黑"/>
          <w:sz w:val="20"/>
          <w:szCs w:val="20"/>
        </w:rPr>
        <w:t xml:space="preserve">                  </w:t>
      </w:r>
      <w:r>
        <w:rPr>
          <w:rFonts w:ascii="Times New Roman" w:hAnsi="Times New Roman" w:eastAsia="Times New Roman" w:cs="Times New Roman"/>
          <w:spacing w:val="7"/>
          <w:sz w:val="20"/>
          <w:szCs w:val="20"/>
        </w:rPr>
        <w:t>Ⅱ</w:t>
      </w:r>
      <w:r>
        <w:rPr>
          <w:rFonts w:ascii="Times New Roman" w:hAnsi="Times New Roman" w:eastAsia="Times New Roman" w:cs="Times New Roman"/>
          <w:spacing w:val="31"/>
          <w:sz w:val="20"/>
          <w:szCs w:val="20"/>
        </w:rPr>
        <w:t xml:space="preserve"> </w:t>
      </w:r>
      <w:r>
        <w:rPr>
          <w:rFonts w:ascii="微软雅黑" w:hAnsi="微软雅黑" w:eastAsia="微软雅黑" w:cs="微软雅黑"/>
          <w:spacing w:val="7"/>
          <w:sz w:val="20"/>
          <w:szCs w:val="20"/>
        </w:rPr>
        <w:t xml:space="preserve">□                 </w:t>
      </w:r>
      <w:r>
        <w:rPr>
          <w:rFonts w:ascii="Times New Roman" w:hAnsi="Times New Roman" w:eastAsia="Times New Roman" w:cs="Times New Roman"/>
          <w:spacing w:val="7"/>
          <w:sz w:val="20"/>
          <w:szCs w:val="20"/>
        </w:rPr>
        <w:t>Ⅰ</w:t>
      </w:r>
      <w:r>
        <w:rPr>
          <w:rFonts w:ascii="Times New Roman" w:hAnsi="Times New Roman" w:eastAsia="Times New Roman" w:cs="Times New Roman"/>
          <w:spacing w:val="20"/>
          <w:w w:val="101"/>
          <w:sz w:val="20"/>
          <w:szCs w:val="20"/>
        </w:rPr>
        <w:t xml:space="preserve"> </w:t>
      </w:r>
      <w:r>
        <w:rPr>
          <w:rFonts w:ascii="微软雅黑" w:hAnsi="微软雅黑" w:eastAsia="微软雅黑" w:cs="微软雅黑"/>
          <w:spacing w:val="7"/>
          <w:sz w:val="20"/>
          <w:szCs w:val="20"/>
        </w:rPr>
        <w:t>□</w:t>
      </w:r>
    </w:p>
    <w:p w14:paraId="24D959A8">
      <w:pPr>
        <w:spacing w:before="29" w:line="204" w:lineRule="auto"/>
        <w:ind w:left="2817"/>
        <w:rPr>
          <w:rFonts w:ascii="微软雅黑" w:hAnsi="微软雅黑" w:eastAsia="微软雅黑" w:cs="微软雅黑"/>
          <w:sz w:val="20"/>
          <w:szCs w:val="20"/>
        </w:rPr>
      </w:pPr>
      <w:r>
        <w:rPr>
          <w:rFonts w:ascii="微软雅黑" w:hAnsi="微软雅黑" w:eastAsia="微软雅黑" w:cs="微软雅黑"/>
          <w:spacing w:val="6"/>
          <w:sz w:val="20"/>
          <w:szCs w:val="20"/>
        </w:rPr>
        <w:t xml:space="preserve">口                   </w:t>
      </w:r>
      <w:r>
        <w:rPr>
          <w:rFonts w:ascii="宋体" w:hAnsi="宋体" w:eastAsia="宋体" w:cs="宋体"/>
          <w:spacing w:val="6"/>
          <w:sz w:val="20"/>
          <w:szCs w:val="20"/>
        </w:rPr>
        <w:t>二级</w:t>
      </w:r>
      <w:r>
        <w:rPr>
          <w:rFonts w:ascii="宋体" w:hAnsi="宋体" w:eastAsia="宋体" w:cs="宋体"/>
          <w:spacing w:val="25"/>
          <w:sz w:val="20"/>
          <w:szCs w:val="20"/>
        </w:rPr>
        <w:t xml:space="preserve"> </w:t>
      </w:r>
      <w:r>
        <w:rPr>
          <w:rFonts w:ascii="微软雅黑" w:hAnsi="微软雅黑" w:eastAsia="微软雅黑" w:cs="微软雅黑"/>
          <w:spacing w:val="6"/>
          <w:sz w:val="20"/>
          <w:szCs w:val="20"/>
        </w:rPr>
        <w:t>□</w:t>
      </w:r>
      <w:r>
        <w:rPr>
          <w:rFonts w:ascii="微软雅黑" w:hAnsi="微软雅黑" w:eastAsia="微软雅黑" w:cs="微软雅黑"/>
          <w:spacing w:val="1"/>
          <w:sz w:val="20"/>
          <w:szCs w:val="20"/>
        </w:rPr>
        <w:t xml:space="preserve">                  </w:t>
      </w:r>
      <w:r>
        <w:rPr>
          <w:rFonts w:ascii="宋体" w:hAnsi="宋体" w:eastAsia="宋体" w:cs="宋体"/>
          <w:spacing w:val="6"/>
          <w:sz w:val="20"/>
          <w:szCs w:val="20"/>
        </w:rPr>
        <w:t>三级</w:t>
      </w:r>
      <w:r>
        <w:rPr>
          <w:rFonts w:ascii="宋体" w:hAnsi="宋体" w:eastAsia="宋体" w:cs="宋体"/>
          <w:spacing w:val="29"/>
          <w:sz w:val="20"/>
          <w:szCs w:val="20"/>
        </w:rPr>
        <w:t xml:space="preserve"> </w:t>
      </w:r>
      <w:r>
        <w:rPr>
          <w:rFonts w:ascii="微软雅黑" w:hAnsi="微软雅黑" w:eastAsia="微软雅黑" w:cs="微软雅黑"/>
          <w:spacing w:val="6"/>
          <w:sz w:val="20"/>
          <w:szCs w:val="20"/>
        </w:rPr>
        <w:t xml:space="preserve">□    </w:t>
      </w:r>
      <w:r>
        <w:rPr>
          <w:rFonts w:ascii="微软雅黑" w:hAnsi="微软雅黑" w:eastAsia="微软雅黑" w:cs="微软雅黑"/>
          <w:spacing w:val="5"/>
          <w:sz w:val="20"/>
          <w:szCs w:val="20"/>
        </w:rPr>
        <w:t xml:space="preserve">           </w:t>
      </w:r>
      <w:r>
        <w:rPr>
          <w:rFonts w:ascii="宋体" w:hAnsi="宋体" w:eastAsia="宋体" w:cs="宋体"/>
          <w:spacing w:val="5"/>
          <w:sz w:val="20"/>
          <w:szCs w:val="20"/>
        </w:rPr>
        <w:t xml:space="preserve">简单分析 </w:t>
      </w:r>
      <w:r>
        <w:rPr>
          <w:rFonts w:ascii="微软雅黑" w:hAnsi="微软雅黑" w:eastAsia="微软雅黑" w:cs="微软雅黑"/>
          <w:spacing w:val="5"/>
          <w:sz w:val="20"/>
          <w:szCs w:val="20"/>
        </w:rPr>
        <w:t>□</w:t>
      </w:r>
    </w:p>
    <w:p w14:paraId="14AE52FE">
      <w:pPr>
        <w:spacing w:before="31" w:line="227" w:lineRule="auto"/>
        <w:ind w:left="3132" w:right="5029" w:hanging="213"/>
        <w:rPr>
          <w:rFonts w:ascii="微软雅黑" w:hAnsi="微软雅黑" w:eastAsia="微软雅黑" w:cs="微软雅黑"/>
          <w:sz w:val="20"/>
          <w:szCs w:val="20"/>
        </w:rPr>
      </w:pPr>
      <w:r>
        <w:pict>
          <v:shape id="_x0000_s2004" o:spid="_x0000_s2004" o:spt="202" type="#_x0000_t202" style="position:absolute;left:0pt;margin-left:29.95pt;margin-top:0.55pt;height:46.75pt;width:64.5pt;z-index:252062720;mso-width-relative:page;mso-height-relative:page;" filled="f" stroked="f" coordsize="21600,21600">
            <v:path/>
            <v:fill on="f" focussize="0,0"/>
            <v:stroke on="f"/>
            <v:imagedata o:title=""/>
            <o:lock v:ext="edit" aspectratio="f"/>
            <v:textbox inset="0mm,0mm,0mm,0mm">
              <w:txbxContent>
                <w:p w14:paraId="267E4880">
                  <w:pPr>
                    <w:spacing w:before="20" w:line="228" w:lineRule="auto"/>
                    <w:ind w:left="125"/>
                    <w:rPr>
                      <w:rFonts w:ascii="宋体" w:hAnsi="宋体" w:eastAsia="宋体" w:cs="宋体"/>
                      <w:sz w:val="20"/>
                      <w:szCs w:val="20"/>
                    </w:rPr>
                  </w:pPr>
                  <w:r>
                    <w:rPr>
                      <w:rFonts w:ascii="宋体" w:hAnsi="宋体" w:eastAsia="宋体" w:cs="宋体"/>
                      <w:spacing w:val="8"/>
                      <w:sz w:val="20"/>
                      <w:szCs w:val="20"/>
                    </w:rPr>
                    <w:t>物质危险性</w:t>
                  </w:r>
                </w:p>
                <w:p w14:paraId="15B14ADE">
                  <w:pPr>
                    <w:spacing w:before="76" w:line="228" w:lineRule="auto"/>
                    <w:ind w:left="20"/>
                    <w:rPr>
                      <w:rFonts w:ascii="宋体" w:hAnsi="宋体" w:eastAsia="宋体" w:cs="宋体"/>
                      <w:sz w:val="20"/>
                      <w:szCs w:val="20"/>
                    </w:rPr>
                  </w:pPr>
                  <w:r>
                    <w:rPr>
                      <w:rFonts w:ascii="宋体" w:hAnsi="宋体" w:eastAsia="宋体" w:cs="宋体"/>
                      <w:spacing w:val="8"/>
                      <w:sz w:val="20"/>
                      <w:szCs w:val="20"/>
                    </w:rPr>
                    <w:t>环境风险类型</w:t>
                  </w:r>
                </w:p>
                <w:p w14:paraId="4595CBF3">
                  <w:pPr>
                    <w:spacing w:before="76" w:line="228" w:lineRule="auto"/>
                    <w:ind w:left="231"/>
                    <w:rPr>
                      <w:rFonts w:ascii="宋体" w:hAnsi="宋体" w:eastAsia="宋体" w:cs="宋体"/>
                      <w:sz w:val="20"/>
                      <w:szCs w:val="20"/>
                    </w:rPr>
                  </w:pPr>
                  <w:r>
                    <w:rPr>
                      <w:rFonts w:ascii="宋体" w:hAnsi="宋体" w:eastAsia="宋体" w:cs="宋体"/>
                      <w:spacing w:val="7"/>
                      <w:sz w:val="20"/>
                      <w:szCs w:val="20"/>
                    </w:rPr>
                    <w:t>影响途径</w:t>
                  </w:r>
                </w:p>
              </w:txbxContent>
            </v:textbox>
          </v:shape>
        </w:pict>
      </w:r>
      <w:r>
        <w:pict>
          <v:shape id="_x0000_s2006" o:spid="_x0000_s2006" o:spt="202" type="#_x0000_t202" style="position:absolute;left:0pt;margin-left:260.4pt;margin-top:0.55pt;height:32.15pt;width:186.9pt;z-index:252058624;mso-width-relative:page;mso-height-relative:page;" filled="f" stroked="f" coordsize="21600,21600">
            <v:path/>
            <v:fill on="f" focussize="0,0"/>
            <v:stroke on="f"/>
            <v:imagedata o:title=""/>
            <o:lock v:ext="edit" aspectratio="f"/>
            <v:textbox inset="0mm,0mm,0mm,0mm">
              <w:txbxContent>
                <w:p w14:paraId="4BB14CFB">
                  <w:pPr>
                    <w:spacing w:before="20" w:line="195" w:lineRule="auto"/>
                    <w:ind w:left="1320"/>
                    <w:rPr>
                      <w:rFonts w:ascii="微软雅黑" w:hAnsi="微软雅黑" w:eastAsia="微软雅黑" w:cs="微软雅黑"/>
                      <w:sz w:val="20"/>
                      <w:szCs w:val="20"/>
                    </w:rPr>
                  </w:pPr>
                  <w:r>
                    <w:rPr>
                      <w:rFonts w:ascii="宋体" w:hAnsi="宋体" w:eastAsia="宋体" w:cs="宋体"/>
                      <w:spacing w:val="3"/>
                      <w:sz w:val="20"/>
                      <w:szCs w:val="20"/>
                    </w:rPr>
                    <w:t>易燃易爆</w:t>
                  </w:r>
                  <w:r>
                    <w:rPr>
                      <w:rFonts w:ascii="宋体" w:hAnsi="宋体" w:eastAsia="宋体" w:cs="宋体"/>
                      <w:spacing w:val="22"/>
                      <w:sz w:val="20"/>
                      <w:szCs w:val="20"/>
                    </w:rPr>
                    <w:t xml:space="preserve"> </w:t>
                  </w:r>
                  <w:r>
                    <w:rPr>
                      <w:rFonts w:ascii="微软雅黑" w:hAnsi="微软雅黑" w:eastAsia="微软雅黑" w:cs="微软雅黑"/>
                      <w:spacing w:val="3"/>
                      <w:sz w:val="20"/>
                      <w:szCs w:val="20"/>
                    </w:rPr>
                    <w:t>口</w:t>
                  </w:r>
                </w:p>
                <w:p w14:paraId="281B8DBE">
                  <w:pPr>
                    <w:spacing w:before="45" w:line="195" w:lineRule="auto"/>
                    <w:jc w:val="right"/>
                    <w:rPr>
                      <w:rFonts w:ascii="微软雅黑" w:hAnsi="微软雅黑" w:eastAsia="微软雅黑" w:cs="微软雅黑"/>
                      <w:sz w:val="20"/>
                      <w:szCs w:val="20"/>
                    </w:rPr>
                  </w:pPr>
                  <w:r>
                    <w:rPr>
                      <w:rFonts w:ascii="宋体" w:hAnsi="宋体" w:eastAsia="宋体" w:cs="宋体"/>
                      <w:spacing w:val="7"/>
                      <w:sz w:val="20"/>
                      <w:szCs w:val="20"/>
                    </w:rPr>
                    <w:t>火灾、爆炸引发伴生</w:t>
                  </w:r>
                  <w:r>
                    <w:rPr>
                      <w:rFonts w:ascii="Times New Roman" w:hAnsi="Times New Roman" w:eastAsia="Times New Roman" w:cs="Times New Roman"/>
                      <w:spacing w:val="7"/>
                      <w:sz w:val="20"/>
                      <w:szCs w:val="20"/>
                    </w:rPr>
                    <w:t>/</w:t>
                  </w:r>
                  <w:r>
                    <w:rPr>
                      <w:rFonts w:ascii="宋体" w:hAnsi="宋体" w:eastAsia="宋体" w:cs="宋体"/>
                      <w:spacing w:val="7"/>
                      <w:sz w:val="20"/>
                      <w:szCs w:val="20"/>
                    </w:rPr>
                    <w:t xml:space="preserve">次生污染物排放 </w:t>
                  </w:r>
                  <w:r>
                    <w:rPr>
                      <w:rFonts w:ascii="微软雅黑" w:hAnsi="微软雅黑" w:eastAsia="微软雅黑" w:cs="微软雅黑"/>
                      <w:spacing w:val="7"/>
                      <w:sz w:val="20"/>
                      <w:szCs w:val="20"/>
                    </w:rPr>
                    <w:t>口</w:t>
                  </w:r>
                </w:p>
              </w:txbxContent>
            </v:textbox>
          </v:shape>
        </w:pict>
      </w:r>
      <w:r>
        <w:pict>
          <v:shape id="_x0000_s2008" o:spid="_x0000_s2008" o:spt="202" type="#_x0000_t202" style="position:absolute;left:0pt;margin-left:3.8pt;margin-top:8.7pt;height:30.35pt;width:22.45pt;z-index:252069888;mso-width-relative:page;mso-height-relative:page;" filled="f" stroked="f" coordsize="21600,21600">
            <v:path/>
            <v:fill on="f" focussize="0,0"/>
            <v:stroke on="f"/>
            <v:imagedata o:title=""/>
            <o:lock v:ext="edit" aspectratio="f"/>
            <v:textbox inset="0mm,0mm,0mm,0mm">
              <w:txbxContent>
                <w:p w14:paraId="3D1BA998">
                  <w:pPr>
                    <w:spacing w:before="19" w:line="271" w:lineRule="auto"/>
                    <w:ind w:left="20" w:right="20"/>
                    <w:rPr>
                      <w:rFonts w:ascii="宋体" w:hAnsi="宋体" w:eastAsia="宋体" w:cs="宋体"/>
                      <w:sz w:val="20"/>
                      <w:szCs w:val="20"/>
                    </w:rPr>
                  </w:pPr>
                  <w:r>
                    <w:rPr>
                      <w:rFonts w:ascii="宋体" w:hAnsi="宋体" w:eastAsia="宋体" w:cs="宋体"/>
                      <w:spacing w:val="4"/>
                      <w:sz w:val="20"/>
                      <w:szCs w:val="20"/>
                    </w:rPr>
                    <w:t>风险</w:t>
                  </w:r>
                  <w:r>
                    <w:rPr>
                      <w:rFonts w:ascii="宋体" w:hAnsi="宋体" w:eastAsia="宋体" w:cs="宋体"/>
                      <w:sz w:val="20"/>
                      <w:szCs w:val="20"/>
                    </w:rPr>
                    <w:t xml:space="preserve"> </w:t>
                  </w:r>
                  <w:r>
                    <w:rPr>
                      <w:rFonts w:ascii="宋体" w:hAnsi="宋体" w:eastAsia="宋体" w:cs="宋体"/>
                      <w:spacing w:val="3"/>
                      <w:sz w:val="20"/>
                      <w:szCs w:val="20"/>
                    </w:rPr>
                    <w:t>识别</w:t>
                  </w:r>
                </w:p>
              </w:txbxContent>
            </v:textbox>
          </v:shape>
        </w:pict>
      </w:r>
      <w:r>
        <w:rPr>
          <w:rFonts w:ascii="宋体" w:hAnsi="宋体" w:eastAsia="宋体" w:cs="宋体"/>
          <w:spacing w:val="-1"/>
          <w:sz w:val="20"/>
          <w:szCs w:val="20"/>
        </w:rPr>
        <w:t>有毒有害</w:t>
      </w:r>
      <w:r>
        <w:rPr>
          <w:rFonts w:ascii="宋体" w:hAnsi="宋体" w:eastAsia="宋体" w:cs="宋体"/>
          <w:spacing w:val="26"/>
          <w:sz w:val="20"/>
          <w:szCs w:val="20"/>
        </w:rPr>
        <w:t xml:space="preserve"> </w:t>
      </w:r>
      <w:r>
        <w:rPr>
          <w:rFonts w:ascii="微软雅黑" w:hAnsi="微软雅黑" w:eastAsia="微软雅黑" w:cs="微软雅黑"/>
          <w:spacing w:val="-1"/>
          <w:sz w:val="20"/>
          <w:szCs w:val="20"/>
        </w:rPr>
        <w:t>口</w:t>
      </w:r>
      <w:r>
        <w:rPr>
          <w:rFonts w:ascii="微软雅黑" w:hAnsi="微软雅黑" w:eastAsia="微软雅黑" w:cs="微软雅黑"/>
          <w:sz w:val="20"/>
          <w:szCs w:val="20"/>
        </w:rPr>
        <w:t xml:space="preserve"> </w:t>
      </w:r>
      <w:r>
        <w:rPr>
          <w:rFonts w:ascii="宋体" w:hAnsi="宋体" w:eastAsia="宋体" w:cs="宋体"/>
          <w:spacing w:val="2"/>
          <w:sz w:val="20"/>
          <w:szCs w:val="20"/>
        </w:rPr>
        <w:t>泄漏</w:t>
      </w:r>
      <w:r>
        <w:rPr>
          <w:rFonts w:ascii="宋体" w:hAnsi="宋体" w:eastAsia="宋体" w:cs="宋体"/>
          <w:spacing w:val="25"/>
          <w:sz w:val="20"/>
          <w:szCs w:val="20"/>
        </w:rPr>
        <w:t xml:space="preserve"> </w:t>
      </w:r>
      <w:r>
        <w:rPr>
          <w:rFonts w:ascii="微软雅黑" w:hAnsi="微软雅黑" w:eastAsia="微软雅黑" w:cs="微软雅黑"/>
          <w:spacing w:val="2"/>
          <w:sz w:val="20"/>
          <w:szCs w:val="20"/>
        </w:rPr>
        <w:t>口</w:t>
      </w:r>
    </w:p>
    <w:p w14:paraId="2BADB843">
      <w:pPr>
        <w:spacing w:before="1" w:line="204" w:lineRule="auto"/>
        <w:ind w:left="5023"/>
        <w:rPr>
          <w:rFonts w:ascii="微软雅黑" w:hAnsi="微软雅黑" w:eastAsia="微软雅黑" w:cs="微软雅黑"/>
          <w:sz w:val="20"/>
          <w:szCs w:val="20"/>
        </w:rPr>
      </w:pPr>
      <w:r>
        <w:pict>
          <v:shape id="_x0000_s2010" o:spid="_x0000_s2010" o:spt="202" type="#_x0000_t202" style="position:absolute;left:0pt;margin-left:100.2pt;margin-top:-0.95pt;height:71.05pt;width:72.75pt;z-index:252059648;mso-width-relative:page;mso-height-relative:page;" filled="f" stroked="f" coordsize="21600,21600">
            <v:path/>
            <v:fill on="f" focussize="0,0"/>
            <v:stroke on="f"/>
            <v:imagedata o:title=""/>
            <o:lock v:ext="edit" aspectratio="f"/>
            <v:textbox inset="0mm,0mm,0mm,0mm">
              <w:txbxContent>
                <w:p w14:paraId="37D6E406">
                  <w:pPr>
                    <w:spacing w:before="18" w:line="246" w:lineRule="auto"/>
                    <w:ind w:left="20" w:right="20" w:firstLine="713"/>
                    <w:rPr>
                      <w:rFonts w:ascii="宋体" w:hAnsi="宋体" w:eastAsia="宋体" w:cs="宋体"/>
                      <w:sz w:val="20"/>
                      <w:szCs w:val="20"/>
                    </w:rPr>
                  </w:pPr>
                  <w:r>
                    <w:rPr>
                      <w:rFonts w:ascii="宋体" w:hAnsi="宋体" w:eastAsia="宋体" w:cs="宋体"/>
                      <w:spacing w:val="-9"/>
                      <w:sz w:val="20"/>
                      <w:szCs w:val="20"/>
                    </w:rPr>
                    <w:t>大气</w:t>
                  </w:r>
                  <w:r>
                    <w:rPr>
                      <w:rFonts w:ascii="宋体" w:hAnsi="宋体" w:eastAsia="宋体" w:cs="宋体"/>
                      <w:spacing w:val="27"/>
                      <w:sz w:val="20"/>
                      <w:szCs w:val="20"/>
                    </w:rPr>
                    <w:t xml:space="preserve"> </w:t>
                  </w:r>
                  <w:r>
                    <w:rPr>
                      <w:rFonts w:ascii="微软雅黑" w:hAnsi="微软雅黑" w:eastAsia="微软雅黑" w:cs="微软雅黑"/>
                      <w:spacing w:val="-9"/>
                      <w:sz w:val="20"/>
                      <w:szCs w:val="20"/>
                    </w:rPr>
                    <w:t>口</w:t>
                  </w:r>
                  <w:r>
                    <w:rPr>
                      <w:rFonts w:ascii="微软雅黑" w:hAnsi="微软雅黑" w:eastAsia="微软雅黑" w:cs="微软雅黑"/>
                      <w:sz w:val="20"/>
                      <w:szCs w:val="20"/>
                    </w:rPr>
                    <w:t xml:space="preserve"> </w:t>
                  </w:r>
                  <w:r>
                    <w:rPr>
                      <w:rFonts w:ascii="宋体" w:hAnsi="宋体" w:eastAsia="宋体" w:cs="宋体"/>
                      <w:spacing w:val="8"/>
                      <w:sz w:val="20"/>
                      <w:szCs w:val="20"/>
                    </w:rPr>
                    <w:t>源强设定方法</w:t>
                  </w:r>
                </w:p>
                <w:p w14:paraId="1AFD4D81">
                  <w:pPr>
                    <w:spacing w:before="31" w:line="347" w:lineRule="auto"/>
                    <w:ind w:left="233" w:right="393"/>
                    <w:rPr>
                      <w:rFonts w:ascii="宋体" w:hAnsi="宋体" w:eastAsia="宋体" w:cs="宋体"/>
                      <w:sz w:val="20"/>
                      <w:szCs w:val="20"/>
                    </w:rPr>
                  </w:pPr>
                  <w:r>
                    <w:rPr>
                      <w:rFonts w:ascii="宋体" w:hAnsi="宋体" w:eastAsia="宋体" w:cs="宋体"/>
                      <w:spacing w:val="6"/>
                      <w:sz w:val="20"/>
                      <w:szCs w:val="20"/>
                    </w:rPr>
                    <w:t>预测模型</w:t>
                  </w:r>
                  <w:r>
                    <w:rPr>
                      <w:rFonts w:ascii="宋体" w:hAnsi="宋体" w:eastAsia="宋体" w:cs="宋体"/>
                      <w:spacing w:val="2"/>
                      <w:sz w:val="20"/>
                      <w:szCs w:val="20"/>
                    </w:rPr>
                    <w:t xml:space="preserve"> </w:t>
                  </w:r>
                  <w:r>
                    <w:rPr>
                      <w:rFonts w:ascii="宋体" w:hAnsi="宋体" w:eastAsia="宋体" w:cs="宋体"/>
                      <w:spacing w:val="6"/>
                      <w:sz w:val="20"/>
                      <w:szCs w:val="20"/>
                    </w:rPr>
                    <w:t>预测结果</w:t>
                  </w:r>
                </w:p>
              </w:txbxContent>
            </v:textbox>
          </v:shape>
        </w:pict>
      </w:r>
      <w:r>
        <w:rPr>
          <w:rFonts w:ascii="宋体" w:hAnsi="宋体" w:eastAsia="宋体" w:cs="宋体"/>
          <w:spacing w:val="9"/>
          <w:sz w:val="20"/>
          <w:szCs w:val="20"/>
        </w:rPr>
        <w:t>地表水</w:t>
      </w:r>
      <w:r>
        <w:rPr>
          <w:rFonts w:ascii="宋体" w:hAnsi="宋体" w:eastAsia="宋体" w:cs="宋体"/>
          <w:spacing w:val="32"/>
          <w:sz w:val="20"/>
          <w:szCs w:val="20"/>
        </w:rPr>
        <w:t xml:space="preserve"> </w:t>
      </w:r>
      <w:r>
        <w:rPr>
          <w:rFonts w:ascii="微软雅黑" w:hAnsi="微软雅黑" w:eastAsia="微软雅黑" w:cs="微软雅黑"/>
          <w:spacing w:val="9"/>
          <w:sz w:val="20"/>
          <w:szCs w:val="20"/>
        </w:rPr>
        <w:t>□</w:t>
      </w:r>
      <w:r>
        <w:rPr>
          <w:rFonts w:ascii="微软雅黑" w:hAnsi="微软雅黑" w:eastAsia="微软雅黑" w:cs="微软雅黑"/>
          <w:sz w:val="20"/>
          <w:szCs w:val="20"/>
        </w:rPr>
        <w:t xml:space="preserve">                         </w:t>
      </w:r>
      <w:r>
        <w:rPr>
          <w:rFonts w:ascii="宋体" w:hAnsi="宋体" w:eastAsia="宋体" w:cs="宋体"/>
          <w:spacing w:val="9"/>
          <w:sz w:val="20"/>
          <w:szCs w:val="20"/>
        </w:rPr>
        <w:t>地下水</w:t>
      </w:r>
      <w:r>
        <w:rPr>
          <w:rFonts w:ascii="宋体" w:hAnsi="宋体" w:eastAsia="宋体" w:cs="宋体"/>
          <w:spacing w:val="26"/>
          <w:sz w:val="20"/>
          <w:szCs w:val="20"/>
        </w:rPr>
        <w:t xml:space="preserve"> </w:t>
      </w:r>
      <w:r>
        <w:rPr>
          <w:rFonts w:ascii="微软雅黑" w:hAnsi="微软雅黑" w:eastAsia="微软雅黑" w:cs="微软雅黑"/>
          <w:spacing w:val="9"/>
          <w:sz w:val="20"/>
          <w:szCs w:val="20"/>
        </w:rPr>
        <w:t>口</w:t>
      </w:r>
    </w:p>
    <w:p w14:paraId="258D9C30">
      <w:pPr>
        <w:spacing w:before="31" w:line="204" w:lineRule="auto"/>
        <w:ind w:left="4135"/>
        <w:rPr>
          <w:rFonts w:ascii="微软雅黑" w:hAnsi="微软雅黑" w:eastAsia="微软雅黑" w:cs="微软雅黑"/>
          <w:sz w:val="20"/>
          <w:szCs w:val="20"/>
        </w:rPr>
      </w:pPr>
      <w:r>
        <w:pict>
          <v:shape id="_x0000_s2012" o:spid="_x0000_s2012" o:spt="202" type="#_x0000_t202" style="position:absolute;left:0pt;margin-left:7.95pt;margin-top:0.5pt;height:14.4pt;width:64.5pt;z-index:252067840;mso-width-relative:page;mso-height-relative:page;" filled="f" stroked="f" coordsize="21600,21600">
            <v:path/>
            <v:fill on="f" focussize="0,0"/>
            <v:stroke on="f"/>
            <v:imagedata o:title=""/>
            <o:lock v:ext="edit" aspectratio="f"/>
            <v:textbox inset="0mm,0mm,0mm,0mm">
              <w:txbxContent>
                <w:p w14:paraId="41815754">
                  <w:pPr>
                    <w:spacing w:before="20" w:line="228" w:lineRule="auto"/>
                    <w:ind w:left="20"/>
                    <w:rPr>
                      <w:rFonts w:ascii="宋体" w:hAnsi="宋体" w:eastAsia="宋体" w:cs="宋体"/>
                      <w:sz w:val="20"/>
                      <w:szCs w:val="20"/>
                    </w:rPr>
                  </w:pPr>
                  <w:r>
                    <w:rPr>
                      <w:rFonts w:ascii="宋体" w:hAnsi="宋体" w:eastAsia="宋体" w:cs="宋体"/>
                      <w:spacing w:val="8"/>
                      <w:sz w:val="20"/>
                      <w:szCs w:val="20"/>
                    </w:rPr>
                    <w:t>事故情形分析</w:t>
                  </w:r>
                </w:p>
              </w:txbxContent>
            </v:textbox>
          </v:shape>
        </w:pict>
      </w:r>
      <w:r>
        <w:rPr>
          <w:rFonts w:ascii="宋体" w:hAnsi="宋体" w:eastAsia="宋体" w:cs="宋体"/>
          <w:spacing w:val="7"/>
          <w:sz w:val="20"/>
          <w:szCs w:val="20"/>
        </w:rPr>
        <w:t xml:space="preserve">计算法 </w:t>
      </w:r>
      <w:r>
        <w:rPr>
          <w:rFonts w:ascii="微软雅黑" w:hAnsi="微软雅黑" w:eastAsia="微软雅黑" w:cs="微软雅黑"/>
          <w:spacing w:val="7"/>
          <w:sz w:val="20"/>
          <w:szCs w:val="20"/>
        </w:rPr>
        <w:t xml:space="preserve">口           </w:t>
      </w:r>
      <w:r>
        <w:rPr>
          <w:rFonts w:ascii="宋体" w:hAnsi="宋体" w:eastAsia="宋体" w:cs="宋体"/>
          <w:spacing w:val="7"/>
          <w:sz w:val="20"/>
          <w:szCs w:val="20"/>
        </w:rPr>
        <w:t xml:space="preserve">经验估算法 </w:t>
      </w:r>
      <w:r>
        <w:rPr>
          <w:rFonts w:ascii="微软雅黑" w:hAnsi="微软雅黑" w:eastAsia="微软雅黑" w:cs="微软雅黑"/>
          <w:spacing w:val="7"/>
          <w:sz w:val="20"/>
          <w:szCs w:val="20"/>
        </w:rPr>
        <w:t xml:space="preserve">□       </w:t>
      </w:r>
      <w:r>
        <w:rPr>
          <w:rFonts w:ascii="宋体" w:hAnsi="宋体" w:eastAsia="宋体" w:cs="宋体"/>
          <w:spacing w:val="7"/>
          <w:sz w:val="20"/>
          <w:szCs w:val="20"/>
        </w:rPr>
        <w:t>其他估算法</w:t>
      </w:r>
      <w:r>
        <w:rPr>
          <w:rFonts w:ascii="宋体" w:hAnsi="宋体" w:eastAsia="宋体" w:cs="宋体"/>
          <w:spacing w:val="27"/>
          <w:sz w:val="20"/>
          <w:szCs w:val="20"/>
        </w:rPr>
        <w:t xml:space="preserve"> </w:t>
      </w:r>
      <w:r>
        <w:rPr>
          <w:rFonts w:ascii="微软雅黑" w:hAnsi="微软雅黑" w:eastAsia="微软雅黑" w:cs="微软雅黑"/>
          <w:spacing w:val="7"/>
          <w:sz w:val="20"/>
          <w:szCs w:val="20"/>
        </w:rPr>
        <w:t>□</w:t>
      </w:r>
    </w:p>
    <w:p w14:paraId="5BC3B17E">
      <w:pPr>
        <w:spacing w:before="33" w:line="259" w:lineRule="auto"/>
        <w:ind w:left="4290" w:right="589" w:hanging="78"/>
        <w:jc w:val="both"/>
        <w:rPr>
          <w:rFonts w:ascii="Times New Roman" w:hAnsi="Times New Roman" w:eastAsia="Times New Roman" w:cs="Times New Roman"/>
          <w:sz w:val="20"/>
          <w:szCs w:val="20"/>
        </w:rPr>
      </w:pPr>
      <w:r>
        <w:pict>
          <v:shape id="_x0000_s2014" o:spid="_x0000_s2014" o:spt="202" type="#_x0000_t202" style="position:absolute;left:0pt;margin-left:38.7pt;margin-top:16.85pt;height:71pt;width:33.05pt;z-index:252064768;mso-width-relative:page;mso-height-relative:page;" filled="f" stroked="f" coordsize="21600,21600">
            <v:path/>
            <v:fill on="f" focussize="0,0"/>
            <v:stroke on="f"/>
            <v:imagedata o:title=""/>
            <o:lock v:ext="edit" aspectratio="f"/>
            <v:textbox inset="0mm,0mm,0mm,0mm">
              <w:txbxContent>
                <w:p w14:paraId="7D8C250F">
                  <w:pPr>
                    <w:spacing w:before="20" w:line="228" w:lineRule="auto"/>
                    <w:ind w:left="128"/>
                    <w:rPr>
                      <w:rFonts w:ascii="宋体" w:hAnsi="宋体" w:eastAsia="宋体" w:cs="宋体"/>
                      <w:sz w:val="20"/>
                      <w:szCs w:val="20"/>
                    </w:rPr>
                  </w:pPr>
                  <w:r>
                    <w:rPr>
                      <w:rFonts w:ascii="宋体" w:hAnsi="宋体" w:eastAsia="宋体" w:cs="宋体"/>
                      <w:spacing w:val="3"/>
                      <w:sz w:val="20"/>
                      <w:szCs w:val="20"/>
                    </w:rPr>
                    <w:t>大气</w:t>
                  </w:r>
                </w:p>
                <w:p w14:paraId="4ED3F308">
                  <w:pPr>
                    <w:pStyle w:val="2"/>
                    <w:spacing w:line="333" w:lineRule="auto"/>
                  </w:pPr>
                </w:p>
                <w:p w14:paraId="4903DF45">
                  <w:pPr>
                    <w:spacing w:before="65" w:line="347" w:lineRule="auto"/>
                    <w:ind w:left="20" w:right="20"/>
                    <w:rPr>
                      <w:rFonts w:ascii="宋体" w:hAnsi="宋体" w:eastAsia="宋体" w:cs="宋体"/>
                      <w:sz w:val="20"/>
                      <w:szCs w:val="20"/>
                    </w:rPr>
                  </w:pPr>
                  <w:r>
                    <w:rPr>
                      <w:rFonts w:ascii="宋体" w:hAnsi="宋体" w:eastAsia="宋体" w:cs="宋体"/>
                      <w:spacing w:val="6"/>
                      <w:sz w:val="20"/>
                      <w:szCs w:val="20"/>
                    </w:rPr>
                    <w:t>地表水</w:t>
                  </w:r>
                  <w:r>
                    <w:rPr>
                      <w:rFonts w:ascii="宋体" w:hAnsi="宋体" w:eastAsia="宋体" w:cs="宋体"/>
                      <w:spacing w:val="1"/>
                      <w:sz w:val="20"/>
                      <w:szCs w:val="20"/>
                    </w:rPr>
                    <w:t xml:space="preserve"> </w:t>
                  </w:r>
                  <w:r>
                    <w:rPr>
                      <w:rFonts w:ascii="宋体" w:hAnsi="宋体" w:eastAsia="宋体" w:cs="宋体"/>
                      <w:spacing w:val="6"/>
                      <w:sz w:val="20"/>
                      <w:szCs w:val="20"/>
                    </w:rPr>
                    <w:t>地下水</w:t>
                  </w:r>
                </w:p>
              </w:txbxContent>
            </v:textbox>
          </v:shape>
        </w:pict>
      </w:r>
      <w:r>
        <w:pict>
          <v:shape id="_x0000_s2016" o:spid="_x0000_s2016" o:spt="202" type="#_x0000_t202" style="position:absolute;left:0pt;margin-left:3.8pt;margin-top:17.2pt;height:62.05pt;width:22.45pt;z-index:252066816;mso-width-relative:page;mso-height-relative:page;" filled="f" stroked="f" coordsize="21600,21600">
            <v:path/>
            <v:fill on="f" focussize="0,0"/>
            <v:stroke on="f"/>
            <v:imagedata o:title=""/>
            <o:lock v:ext="edit" aspectratio="f"/>
            <v:textbox inset="0mm,0mm,0mm,0mm">
              <w:txbxContent>
                <w:p w14:paraId="0CB3530D">
                  <w:pPr>
                    <w:spacing w:before="20" w:line="228" w:lineRule="auto"/>
                    <w:ind w:left="20"/>
                    <w:rPr>
                      <w:rFonts w:ascii="宋体" w:hAnsi="宋体" w:eastAsia="宋体" w:cs="宋体"/>
                      <w:sz w:val="20"/>
                      <w:szCs w:val="20"/>
                    </w:rPr>
                  </w:pPr>
                  <w:r>
                    <w:rPr>
                      <w:rFonts w:ascii="宋体" w:hAnsi="宋体" w:eastAsia="宋体" w:cs="宋体"/>
                      <w:spacing w:val="4"/>
                      <w:sz w:val="20"/>
                      <w:szCs w:val="20"/>
                    </w:rPr>
                    <w:t>风险</w:t>
                  </w:r>
                </w:p>
                <w:p w14:paraId="538D2D19">
                  <w:pPr>
                    <w:spacing w:before="69" w:line="228" w:lineRule="auto"/>
                    <w:ind w:left="20"/>
                    <w:rPr>
                      <w:rFonts w:ascii="宋体" w:hAnsi="宋体" w:eastAsia="宋体" w:cs="宋体"/>
                      <w:sz w:val="20"/>
                      <w:szCs w:val="20"/>
                    </w:rPr>
                  </w:pPr>
                  <w:r>
                    <w:rPr>
                      <w:rFonts w:ascii="宋体" w:hAnsi="宋体" w:eastAsia="宋体" w:cs="宋体"/>
                      <w:spacing w:val="3"/>
                      <w:sz w:val="20"/>
                      <w:szCs w:val="20"/>
                    </w:rPr>
                    <w:t>预测</w:t>
                  </w:r>
                </w:p>
                <w:p w14:paraId="5C70400A">
                  <w:pPr>
                    <w:spacing w:before="72" w:line="228" w:lineRule="auto"/>
                    <w:ind w:left="23"/>
                    <w:rPr>
                      <w:rFonts w:ascii="宋体" w:hAnsi="宋体" w:eastAsia="宋体" w:cs="宋体"/>
                      <w:sz w:val="20"/>
                      <w:szCs w:val="20"/>
                    </w:rPr>
                  </w:pPr>
                  <w:r>
                    <w:rPr>
                      <w:rFonts w:ascii="宋体" w:hAnsi="宋体" w:eastAsia="宋体" w:cs="宋体"/>
                      <w:spacing w:val="2"/>
                      <w:sz w:val="20"/>
                      <w:szCs w:val="20"/>
                    </w:rPr>
                    <w:t>与评</w:t>
                  </w:r>
                </w:p>
                <w:p w14:paraId="3BCB488C">
                  <w:pPr>
                    <w:spacing w:before="72" w:line="226" w:lineRule="auto"/>
                    <w:ind w:left="125"/>
                    <w:rPr>
                      <w:rFonts w:ascii="宋体" w:hAnsi="宋体" w:eastAsia="宋体" w:cs="宋体"/>
                      <w:sz w:val="20"/>
                      <w:szCs w:val="20"/>
                    </w:rPr>
                  </w:pPr>
                  <w:r>
                    <w:rPr>
                      <w:rFonts w:ascii="宋体" w:hAnsi="宋体" w:eastAsia="宋体" w:cs="宋体"/>
                      <w:sz w:val="20"/>
                      <w:szCs w:val="20"/>
                    </w:rPr>
                    <w:t>价</w:t>
                  </w:r>
                </w:p>
              </w:txbxContent>
            </v:textbox>
          </v:shape>
        </w:pict>
      </w:r>
      <w:r>
        <w:rPr>
          <w:rFonts w:ascii="Times New Roman" w:hAnsi="Times New Roman" w:eastAsia="Times New Roman" w:cs="Times New Roman"/>
          <w:sz w:val="20"/>
          <w:szCs w:val="20"/>
        </w:rPr>
        <w:t>SLAB</w:t>
      </w:r>
      <w:r>
        <w:rPr>
          <w:rFonts w:ascii="Times New Roman" w:hAnsi="Times New Roman" w:eastAsia="Times New Roman" w:cs="Times New Roman"/>
          <w:spacing w:val="21"/>
          <w:sz w:val="20"/>
          <w:szCs w:val="20"/>
        </w:rPr>
        <w:t xml:space="preserve"> </w:t>
      </w:r>
      <w:r>
        <w:rPr>
          <w:rFonts w:ascii="微软雅黑" w:hAnsi="微软雅黑" w:eastAsia="微软雅黑" w:cs="微软雅黑"/>
          <w:spacing w:val="22"/>
          <w:sz w:val="20"/>
          <w:szCs w:val="20"/>
        </w:rPr>
        <w:t>□</w:t>
      </w:r>
      <w:r>
        <w:rPr>
          <w:rFonts w:ascii="微软雅黑" w:hAnsi="微软雅黑" w:eastAsia="微软雅黑" w:cs="微软雅黑"/>
          <w:spacing w:val="3"/>
          <w:sz w:val="20"/>
          <w:szCs w:val="20"/>
        </w:rPr>
        <w:t xml:space="preserve">               </w:t>
      </w:r>
      <w:r>
        <w:rPr>
          <w:rFonts w:ascii="Times New Roman" w:hAnsi="Times New Roman" w:eastAsia="Times New Roman" w:cs="Times New Roman"/>
          <w:sz w:val="20"/>
          <w:szCs w:val="20"/>
        </w:rPr>
        <w:t>AFTOX</w:t>
      </w:r>
      <w:r>
        <w:rPr>
          <w:rFonts w:ascii="Times New Roman" w:hAnsi="Times New Roman" w:eastAsia="Times New Roman" w:cs="Times New Roman"/>
          <w:spacing w:val="24"/>
          <w:sz w:val="20"/>
          <w:szCs w:val="20"/>
        </w:rPr>
        <w:t xml:space="preserve"> </w:t>
      </w:r>
      <w:r>
        <w:rPr>
          <w:rFonts w:ascii="微软雅黑" w:hAnsi="微软雅黑" w:eastAsia="微软雅黑" w:cs="微软雅黑"/>
          <w:spacing w:val="22"/>
          <w:sz w:val="20"/>
          <w:szCs w:val="20"/>
        </w:rPr>
        <w:t>口</w:t>
      </w:r>
      <w:r>
        <w:rPr>
          <w:rFonts w:ascii="微软雅黑" w:hAnsi="微软雅黑" w:eastAsia="微软雅黑" w:cs="微软雅黑"/>
          <w:spacing w:val="1"/>
          <w:sz w:val="20"/>
          <w:szCs w:val="20"/>
        </w:rPr>
        <w:t xml:space="preserve">                 </w:t>
      </w:r>
      <w:r>
        <w:rPr>
          <w:rFonts w:ascii="宋体" w:hAnsi="宋体" w:eastAsia="宋体" w:cs="宋体"/>
          <w:spacing w:val="22"/>
          <w:sz w:val="20"/>
          <w:szCs w:val="20"/>
        </w:rPr>
        <w:t>其他</w:t>
      </w:r>
      <w:r>
        <w:rPr>
          <w:rFonts w:ascii="微软雅黑" w:hAnsi="微软雅黑" w:eastAsia="微软雅黑" w:cs="微软雅黑"/>
          <w:spacing w:val="22"/>
          <w:sz w:val="20"/>
          <w:szCs w:val="20"/>
        </w:rPr>
        <w:t>□</w:t>
      </w:r>
      <w:r>
        <w:rPr>
          <w:rFonts w:ascii="微软雅黑" w:hAnsi="微软雅黑" w:eastAsia="微软雅黑" w:cs="微软雅黑"/>
          <w:spacing w:val="12"/>
          <w:sz w:val="20"/>
          <w:szCs w:val="20"/>
        </w:rPr>
        <w:t xml:space="preserve"> </w:t>
      </w:r>
      <w:r>
        <w:rPr>
          <w:rFonts w:ascii="Times New Roman" w:hAnsi="Times New Roman" w:eastAsia="Times New Roman" w:cs="Times New Roman"/>
          <w:sz w:val="20"/>
          <w:szCs w:val="20"/>
        </w:rPr>
        <w:t>CO</w:t>
      </w:r>
      <w:r>
        <w:rPr>
          <w:rFonts w:ascii="Times New Roman" w:hAnsi="Times New Roman" w:eastAsia="Times New Roman" w:cs="Times New Roman"/>
          <w:spacing w:val="7"/>
          <w:sz w:val="20"/>
          <w:szCs w:val="20"/>
        </w:rPr>
        <w:t xml:space="preserve"> </w:t>
      </w:r>
      <w:r>
        <w:rPr>
          <w:rFonts w:ascii="宋体" w:hAnsi="宋体" w:eastAsia="宋体" w:cs="宋体"/>
          <w:spacing w:val="7"/>
          <w:sz w:val="20"/>
          <w:szCs w:val="20"/>
        </w:rPr>
        <w:t>大气毒性重点浓度</w:t>
      </w:r>
      <w:r>
        <w:rPr>
          <w:rFonts w:ascii="Times New Roman" w:hAnsi="Times New Roman" w:eastAsia="Times New Roman" w:cs="Times New Roman"/>
          <w:spacing w:val="7"/>
          <w:sz w:val="20"/>
          <w:szCs w:val="20"/>
        </w:rPr>
        <w:t xml:space="preserve">-1    </w:t>
      </w:r>
      <w:r>
        <w:rPr>
          <w:rFonts w:ascii="宋体" w:hAnsi="宋体" w:eastAsia="宋体" w:cs="宋体"/>
          <w:spacing w:val="7"/>
          <w:sz w:val="20"/>
          <w:szCs w:val="20"/>
        </w:rPr>
        <w:t>最大影响范围</w:t>
      </w:r>
      <w:r>
        <w:rPr>
          <w:rFonts w:ascii="宋体" w:hAnsi="宋体" w:eastAsia="宋体" w:cs="宋体"/>
          <w:spacing w:val="-35"/>
          <w:sz w:val="20"/>
          <w:szCs w:val="20"/>
        </w:rPr>
        <w:t xml:space="preserve"> </w:t>
      </w:r>
      <w:r>
        <w:rPr>
          <w:rFonts w:ascii="Times New Roman" w:hAnsi="Times New Roman" w:eastAsia="Times New Roman" w:cs="Times New Roman"/>
          <w:spacing w:val="7"/>
          <w:sz w:val="20"/>
          <w:szCs w:val="20"/>
        </w:rPr>
        <w:t>290m</w:t>
      </w:r>
      <w:r>
        <w:rPr>
          <w:rFonts w:ascii="Times New Roman" w:hAnsi="Times New Roman" w:eastAsia="Times New Roman" w:cs="Times New Roman"/>
          <w:sz w:val="20"/>
          <w:szCs w:val="20"/>
        </w:rPr>
        <w:t xml:space="preserve"> CO</w:t>
      </w:r>
      <w:r>
        <w:rPr>
          <w:rFonts w:ascii="Times New Roman" w:hAnsi="Times New Roman" w:eastAsia="Times New Roman" w:cs="Times New Roman"/>
          <w:spacing w:val="7"/>
          <w:sz w:val="20"/>
          <w:szCs w:val="20"/>
        </w:rPr>
        <w:t xml:space="preserve"> </w:t>
      </w:r>
      <w:r>
        <w:rPr>
          <w:rFonts w:ascii="宋体" w:hAnsi="宋体" w:eastAsia="宋体" w:cs="宋体"/>
          <w:spacing w:val="7"/>
          <w:sz w:val="20"/>
          <w:szCs w:val="20"/>
        </w:rPr>
        <w:t>大气毒性重点浓度</w:t>
      </w:r>
      <w:r>
        <w:rPr>
          <w:rFonts w:ascii="Times New Roman" w:hAnsi="Times New Roman" w:eastAsia="Times New Roman" w:cs="Times New Roman"/>
          <w:spacing w:val="7"/>
          <w:sz w:val="20"/>
          <w:szCs w:val="20"/>
        </w:rPr>
        <w:t xml:space="preserve">-2    </w:t>
      </w:r>
      <w:r>
        <w:rPr>
          <w:rFonts w:ascii="宋体" w:hAnsi="宋体" w:eastAsia="宋体" w:cs="宋体"/>
          <w:spacing w:val="7"/>
          <w:sz w:val="20"/>
          <w:szCs w:val="20"/>
        </w:rPr>
        <w:t>最大影响范围</w:t>
      </w:r>
      <w:r>
        <w:rPr>
          <w:rFonts w:ascii="宋体" w:hAnsi="宋体" w:eastAsia="宋体" w:cs="宋体"/>
          <w:spacing w:val="-35"/>
          <w:sz w:val="20"/>
          <w:szCs w:val="20"/>
        </w:rPr>
        <w:t xml:space="preserve"> </w:t>
      </w:r>
      <w:r>
        <w:rPr>
          <w:rFonts w:ascii="Times New Roman" w:hAnsi="Times New Roman" w:eastAsia="Times New Roman" w:cs="Times New Roman"/>
          <w:spacing w:val="7"/>
          <w:sz w:val="20"/>
          <w:szCs w:val="20"/>
        </w:rPr>
        <w:t>270m</w:t>
      </w:r>
    </w:p>
    <w:p w14:paraId="65DC1D57">
      <w:pPr>
        <w:spacing w:before="40" w:line="228" w:lineRule="auto"/>
        <w:ind w:left="3249"/>
        <w:rPr>
          <w:rFonts w:ascii="Times New Roman" w:hAnsi="Times New Roman" w:eastAsia="Times New Roman" w:cs="Times New Roman"/>
          <w:sz w:val="20"/>
          <w:szCs w:val="20"/>
        </w:rPr>
      </w:pPr>
      <w:r>
        <w:rPr>
          <w:rFonts w:ascii="宋体" w:hAnsi="宋体" w:eastAsia="宋体" w:cs="宋体"/>
          <w:spacing w:val="6"/>
          <w:sz w:val="20"/>
          <w:szCs w:val="20"/>
        </w:rPr>
        <w:t>最近环境敏感目标</w:t>
      </w:r>
      <w:r>
        <w:rPr>
          <w:rFonts w:ascii="宋体" w:hAnsi="宋体" w:eastAsia="宋体" w:cs="宋体"/>
          <w:spacing w:val="10"/>
          <w:sz w:val="20"/>
          <w:szCs w:val="20"/>
        </w:rPr>
        <w:t xml:space="preserve">      </w:t>
      </w:r>
      <w:r>
        <w:rPr>
          <w:rFonts w:ascii="宋体" w:hAnsi="宋体" w:eastAsia="宋体" w:cs="宋体"/>
          <w:spacing w:val="6"/>
          <w:sz w:val="20"/>
          <w:szCs w:val="20"/>
        </w:rPr>
        <w:t xml:space="preserve">，到达时间       </w:t>
      </w:r>
      <w:r>
        <w:rPr>
          <w:rFonts w:ascii="Times New Roman" w:hAnsi="Times New Roman" w:eastAsia="Times New Roman" w:cs="Times New Roman"/>
          <w:spacing w:val="6"/>
          <w:sz w:val="20"/>
          <w:szCs w:val="20"/>
        </w:rPr>
        <w:t>h</w:t>
      </w:r>
    </w:p>
    <w:p w14:paraId="2210F89D">
      <w:pPr>
        <w:spacing w:before="78" w:line="228" w:lineRule="auto"/>
        <w:ind w:left="3882"/>
        <w:rPr>
          <w:rFonts w:ascii="Times New Roman" w:hAnsi="Times New Roman" w:eastAsia="Times New Roman" w:cs="Times New Roman"/>
          <w:sz w:val="20"/>
          <w:szCs w:val="20"/>
        </w:rPr>
      </w:pPr>
      <w:r>
        <w:rPr>
          <w:rFonts w:ascii="宋体" w:hAnsi="宋体" w:eastAsia="宋体" w:cs="宋体"/>
          <w:spacing w:val="7"/>
          <w:sz w:val="20"/>
          <w:szCs w:val="20"/>
        </w:rPr>
        <w:t xml:space="preserve">下游厂区边界到达时间       </w:t>
      </w:r>
      <w:r>
        <w:rPr>
          <w:rFonts w:ascii="Times New Roman" w:hAnsi="Times New Roman" w:eastAsia="Times New Roman" w:cs="Times New Roman"/>
          <w:spacing w:val="7"/>
          <w:sz w:val="20"/>
          <w:szCs w:val="20"/>
        </w:rPr>
        <w:t>d</w:t>
      </w:r>
    </w:p>
    <w:p w14:paraId="4C0F7E73">
      <w:pPr>
        <w:spacing w:before="76" w:line="228" w:lineRule="auto"/>
        <w:ind w:left="3249"/>
        <w:rPr>
          <w:rFonts w:ascii="Times New Roman" w:hAnsi="Times New Roman" w:eastAsia="Times New Roman" w:cs="Times New Roman"/>
          <w:sz w:val="20"/>
          <w:szCs w:val="20"/>
        </w:rPr>
      </w:pPr>
      <w:r>
        <w:rPr>
          <w:rFonts w:ascii="宋体" w:hAnsi="宋体" w:eastAsia="宋体" w:cs="宋体"/>
          <w:spacing w:val="6"/>
          <w:sz w:val="20"/>
          <w:szCs w:val="20"/>
        </w:rPr>
        <w:t>最近环境敏感目标</w:t>
      </w:r>
      <w:r>
        <w:rPr>
          <w:rFonts w:ascii="宋体" w:hAnsi="宋体" w:eastAsia="宋体" w:cs="宋体"/>
          <w:spacing w:val="10"/>
          <w:sz w:val="20"/>
          <w:szCs w:val="20"/>
        </w:rPr>
        <w:t xml:space="preserve">      </w:t>
      </w:r>
      <w:r>
        <w:rPr>
          <w:rFonts w:ascii="宋体" w:hAnsi="宋体" w:eastAsia="宋体" w:cs="宋体"/>
          <w:spacing w:val="6"/>
          <w:sz w:val="20"/>
          <w:szCs w:val="20"/>
        </w:rPr>
        <w:t xml:space="preserve">，到达时间       </w:t>
      </w:r>
      <w:r>
        <w:rPr>
          <w:rFonts w:ascii="Times New Roman" w:hAnsi="Times New Roman" w:eastAsia="Times New Roman" w:cs="Times New Roman"/>
          <w:spacing w:val="6"/>
          <w:sz w:val="20"/>
          <w:szCs w:val="20"/>
        </w:rPr>
        <w:t>d</w:t>
      </w:r>
    </w:p>
    <w:p w14:paraId="275E381C">
      <w:pPr>
        <w:spacing w:before="76" w:line="287" w:lineRule="auto"/>
        <w:ind w:left="1614"/>
        <w:jc w:val="both"/>
        <w:rPr>
          <w:rFonts w:ascii="宋体" w:hAnsi="宋体" w:eastAsia="宋体" w:cs="宋体"/>
          <w:sz w:val="20"/>
          <w:szCs w:val="20"/>
        </w:rPr>
      </w:pPr>
      <w:r>
        <w:pict>
          <v:shape id="_x0000_s2018" o:spid="_x0000_s2018" o:spt="202" type="#_x0000_t202" style="position:absolute;left:0pt;margin-left:8pt;margin-top:18.75pt;height:30.25pt;width:64.45pt;z-index:252065792;mso-width-relative:page;mso-height-relative:page;" filled="f" stroked="f" coordsize="21600,21600">
            <v:path/>
            <v:fill on="f" focussize="0,0"/>
            <v:stroke on="f"/>
            <v:imagedata o:title=""/>
            <o:lock v:ext="edit" aspectratio="f"/>
            <v:textbox inset="0mm,0mm,0mm,0mm">
              <w:txbxContent>
                <w:p w14:paraId="3CFE9F31">
                  <w:pPr>
                    <w:spacing w:before="19" w:line="270" w:lineRule="auto"/>
                    <w:ind w:left="439" w:right="20" w:hanging="419"/>
                    <w:rPr>
                      <w:rFonts w:ascii="宋体" w:hAnsi="宋体" w:eastAsia="宋体" w:cs="宋体"/>
                      <w:sz w:val="20"/>
                      <w:szCs w:val="20"/>
                    </w:rPr>
                  </w:pPr>
                  <w:r>
                    <w:rPr>
                      <w:rFonts w:ascii="宋体" w:hAnsi="宋体" w:eastAsia="宋体" w:cs="宋体"/>
                      <w:spacing w:val="8"/>
                      <w:sz w:val="20"/>
                      <w:szCs w:val="20"/>
                    </w:rPr>
                    <w:t>重点风险防范</w:t>
                  </w:r>
                  <w:r>
                    <w:rPr>
                      <w:rFonts w:ascii="宋体" w:hAnsi="宋体" w:eastAsia="宋体" w:cs="宋体"/>
                      <w:sz w:val="20"/>
                      <w:szCs w:val="20"/>
                    </w:rPr>
                    <w:t xml:space="preserve"> </w:t>
                  </w:r>
                  <w:r>
                    <w:rPr>
                      <w:rFonts w:ascii="宋体" w:hAnsi="宋体" w:eastAsia="宋体" w:cs="宋体"/>
                      <w:spacing w:val="4"/>
                      <w:sz w:val="20"/>
                      <w:szCs w:val="20"/>
                    </w:rPr>
                    <w:t>措施</w:t>
                  </w:r>
                </w:p>
              </w:txbxContent>
            </v:textbox>
          </v:shape>
        </w:pict>
      </w:r>
      <w:r>
        <w:rPr>
          <w:rFonts w:ascii="宋体" w:hAnsi="宋体" w:eastAsia="宋体" w:cs="宋体"/>
          <w:spacing w:val="7"/>
          <w:sz w:val="20"/>
          <w:szCs w:val="20"/>
        </w:rPr>
        <w:t>在设计阶段从总图布置、建筑安全防范、设备和工艺、消防及火灾报警配置上考虑</w:t>
      </w:r>
      <w:r>
        <w:rPr>
          <w:rFonts w:ascii="宋体" w:hAnsi="宋体" w:eastAsia="宋体" w:cs="宋体"/>
          <w:spacing w:val="1"/>
          <w:sz w:val="20"/>
          <w:szCs w:val="20"/>
        </w:rPr>
        <w:t xml:space="preserve"> </w:t>
      </w:r>
      <w:r>
        <w:rPr>
          <w:rFonts w:ascii="宋体" w:hAnsi="宋体" w:eastAsia="宋体" w:cs="宋体"/>
          <w:spacing w:val="8"/>
          <w:sz w:val="20"/>
          <w:szCs w:val="20"/>
        </w:rPr>
        <w:t>环境风险防范，厂区配置有</w:t>
      </w:r>
      <w:r>
        <w:rPr>
          <w:rFonts w:ascii="宋体" w:hAnsi="宋体" w:eastAsia="宋体" w:cs="宋体"/>
          <w:spacing w:val="-26"/>
          <w:sz w:val="20"/>
          <w:szCs w:val="20"/>
        </w:rPr>
        <w:t xml:space="preserve"> </w:t>
      </w:r>
      <w:r>
        <w:rPr>
          <w:rFonts w:ascii="Times New Roman" w:hAnsi="Times New Roman" w:eastAsia="Times New Roman" w:cs="Times New Roman"/>
          <w:spacing w:val="8"/>
          <w:sz w:val="20"/>
          <w:szCs w:val="20"/>
        </w:rPr>
        <w:t xml:space="preserve">1 </w:t>
      </w:r>
      <w:r>
        <w:rPr>
          <w:rFonts w:ascii="宋体" w:hAnsi="宋体" w:eastAsia="宋体" w:cs="宋体"/>
          <w:spacing w:val="8"/>
          <w:sz w:val="20"/>
          <w:szCs w:val="20"/>
        </w:rPr>
        <w:t>座</w:t>
      </w:r>
      <w:r>
        <w:rPr>
          <w:rFonts w:ascii="宋体" w:hAnsi="宋体" w:eastAsia="宋体" w:cs="宋体"/>
          <w:spacing w:val="-36"/>
          <w:sz w:val="20"/>
          <w:szCs w:val="20"/>
        </w:rPr>
        <w:t xml:space="preserve"> </w:t>
      </w:r>
      <w:r>
        <w:rPr>
          <w:rFonts w:ascii="Times New Roman" w:hAnsi="Times New Roman" w:eastAsia="Times New Roman" w:cs="Times New Roman"/>
          <w:spacing w:val="8"/>
          <w:sz w:val="20"/>
          <w:szCs w:val="20"/>
        </w:rPr>
        <w:t>3200m</w:t>
      </w:r>
      <w:r>
        <w:rPr>
          <w:rFonts w:ascii="Times New Roman" w:hAnsi="Times New Roman" w:eastAsia="Times New Roman" w:cs="Times New Roman"/>
          <w:spacing w:val="8"/>
          <w:position w:val="6"/>
          <w:sz w:val="13"/>
          <w:szCs w:val="13"/>
        </w:rPr>
        <w:t xml:space="preserve">3 </w:t>
      </w:r>
      <w:r>
        <w:rPr>
          <w:rFonts w:ascii="宋体" w:hAnsi="宋体" w:eastAsia="宋体" w:cs="宋体"/>
          <w:spacing w:val="8"/>
          <w:sz w:val="20"/>
          <w:szCs w:val="20"/>
        </w:rPr>
        <w:t>应急事故水池，配置</w:t>
      </w:r>
      <w:r>
        <w:rPr>
          <w:rFonts w:ascii="宋体" w:hAnsi="宋体" w:eastAsia="宋体" w:cs="宋体"/>
          <w:spacing w:val="7"/>
          <w:sz w:val="20"/>
          <w:szCs w:val="20"/>
        </w:rPr>
        <w:t>了煤气泄漏监测和报</w:t>
      </w:r>
      <w:r>
        <w:rPr>
          <w:rFonts w:ascii="宋体" w:hAnsi="宋体" w:eastAsia="宋体" w:cs="宋体"/>
          <w:sz w:val="20"/>
          <w:szCs w:val="20"/>
        </w:rPr>
        <w:t xml:space="preserve"> </w:t>
      </w:r>
      <w:r>
        <w:rPr>
          <w:rFonts w:ascii="宋体" w:hAnsi="宋体" w:eastAsia="宋体" w:cs="宋体"/>
          <w:spacing w:val="7"/>
          <w:sz w:val="20"/>
          <w:szCs w:val="20"/>
        </w:rPr>
        <w:t>警装置，设计中考虑到了</w:t>
      </w:r>
      <w:r>
        <w:rPr>
          <w:rFonts w:hint="eastAsia" w:ascii="宋体" w:hAnsi="宋体" w:eastAsia="宋体" w:cs="宋体"/>
          <w:spacing w:val="7"/>
          <w:sz w:val="20"/>
          <w:szCs w:val="20"/>
        </w:rPr>
        <w:t>应急物资</w:t>
      </w:r>
      <w:r>
        <w:rPr>
          <w:rFonts w:ascii="宋体" w:hAnsi="宋体" w:eastAsia="宋体" w:cs="宋体"/>
          <w:spacing w:val="7"/>
          <w:sz w:val="20"/>
          <w:szCs w:val="20"/>
        </w:rPr>
        <w:t>的储备，同时建设单位在下一步的工作中制定环</w:t>
      </w:r>
      <w:r>
        <w:rPr>
          <w:rFonts w:ascii="宋体" w:hAnsi="宋体" w:eastAsia="宋体" w:cs="宋体"/>
          <w:spacing w:val="2"/>
          <w:sz w:val="20"/>
          <w:szCs w:val="20"/>
        </w:rPr>
        <w:t xml:space="preserve"> </w:t>
      </w:r>
      <w:r>
        <w:rPr>
          <w:rFonts w:ascii="宋体" w:hAnsi="宋体" w:eastAsia="宋体" w:cs="宋体"/>
          <w:spacing w:val="7"/>
          <w:sz w:val="20"/>
          <w:szCs w:val="20"/>
        </w:rPr>
        <w:t>境风险应急预案。</w:t>
      </w:r>
    </w:p>
    <w:p w14:paraId="21353769">
      <w:pPr>
        <w:spacing w:before="36" w:line="285" w:lineRule="auto"/>
        <w:ind w:left="1611" w:right="1" w:firstLine="7"/>
        <w:jc w:val="both"/>
        <w:rPr>
          <w:rFonts w:ascii="宋体" w:hAnsi="宋体" w:eastAsia="宋体" w:cs="宋体"/>
          <w:sz w:val="20"/>
          <w:szCs w:val="20"/>
        </w:rPr>
      </w:pPr>
      <w:r>
        <w:rPr>
          <w:rFonts w:ascii="宋体" w:hAnsi="宋体" w:eastAsia="宋体" w:cs="宋体"/>
          <w:spacing w:val="10"/>
          <w:sz w:val="20"/>
          <w:szCs w:val="20"/>
        </w:rPr>
        <w:t>项目生产过程中涉及到的危险物质主要为矿热</w:t>
      </w:r>
      <w:r>
        <w:rPr>
          <w:rFonts w:ascii="宋体" w:hAnsi="宋体" w:eastAsia="宋体" w:cs="宋体"/>
          <w:spacing w:val="9"/>
          <w:sz w:val="20"/>
          <w:szCs w:val="20"/>
        </w:rPr>
        <w:t>炉煤气（</w:t>
      </w:r>
      <w:r>
        <w:rPr>
          <w:rFonts w:ascii="Times New Roman" w:hAnsi="Times New Roman" w:eastAsia="Times New Roman" w:cs="Times New Roman"/>
          <w:sz w:val="20"/>
          <w:szCs w:val="20"/>
        </w:rPr>
        <w:t>CO</w:t>
      </w:r>
      <w:r>
        <w:rPr>
          <w:rFonts w:ascii="宋体" w:hAnsi="宋体" w:eastAsia="宋体" w:cs="宋体"/>
          <w:spacing w:val="14"/>
          <w:sz w:val="20"/>
          <w:szCs w:val="20"/>
        </w:rPr>
        <w:t>），</w:t>
      </w:r>
      <w:r>
        <w:rPr>
          <w:rFonts w:ascii="宋体" w:hAnsi="宋体" w:eastAsia="宋体" w:cs="宋体"/>
          <w:spacing w:val="9"/>
          <w:sz w:val="20"/>
          <w:szCs w:val="20"/>
        </w:rPr>
        <w:t>其危险类型为：第</w:t>
      </w:r>
      <w:r>
        <w:rPr>
          <w:rFonts w:ascii="宋体" w:hAnsi="宋体" w:eastAsia="宋体" w:cs="宋体"/>
          <w:spacing w:val="1"/>
          <w:sz w:val="20"/>
          <w:szCs w:val="20"/>
        </w:rPr>
        <w:t xml:space="preserve"> </w:t>
      </w:r>
      <w:r>
        <w:rPr>
          <w:rFonts w:ascii="Times New Roman" w:hAnsi="Times New Roman" w:eastAsia="Times New Roman" w:cs="Times New Roman"/>
          <w:spacing w:val="8"/>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8"/>
          <w:sz w:val="20"/>
          <w:szCs w:val="20"/>
        </w:rPr>
        <w:t xml:space="preserve">1 </w:t>
      </w:r>
      <w:r>
        <w:rPr>
          <w:rFonts w:ascii="宋体" w:hAnsi="宋体" w:eastAsia="宋体" w:cs="宋体"/>
          <w:spacing w:val="8"/>
          <w:sz w:val="20"/>
          <w:szCs w:val="20"/>
        </w:rPr>
        <w:t>类，易燃气体（主</w:t>
      </w:r>
      <w:r>
        <w:rPr>
          <w:rFonts w:ascii="宋体" w:hAnsi="宋体" w:eastAsia="宋体" w:cs="宋体"/>
          <w:sz w:val="20"/>
          <w:szCs w:val="20"/>
        </w:rPr>
        <w:t>）</w:t>
      </w:r>
      <w:r>
        <w:rPr>
          <w:rFonts w:ascii="宋体" w:hAnsi="宋体" w:eastAsia="宋体" w:cs="宋体"/>
          <w:spacing w:val="-58"/>
          <w:sz w:val="20"/>
          <w:szCs w:val="20"/>
        </w:rPr>
        <w:t xml:space="preserve"> </w:t>
      </w:r>
      <w:r>
        <w:rPr>
          <w:rFonts w:ascii="宋体" w:hAnsi="宋体" w:eastAsia="宋体" w:cs="宋体"/>
          <w:sz w:val="20"/>
          <w:szCs w:val="20"/>
        </w:rPr>
        <w:t>；</w:t>
      </w:r>
      <w:r>
        <w:rPr>
          <w:rFonts w:ascii="宋体" w:hAnsi="宋体" w:eastAsia="宋体" w:cs="宋体"/>
          <w:spacing w:val="8"/>
          <w:sz w:val="20"/>
          <w:szCs w:val="20"/>
        </w:rPr>
        <w:t>第</w:t>
      </w:r>
      <w:r>
        <w:rPr>
          <w:rFonts w:ascii="宋体" w:hAnsi="宋体" w:eastAsia="宋体" w:cs="宋体"/>
          <w:spacing w:val="-38"/>
          <w:sz w:val="20"/>
          <w:szCs w:val="20"/>
        </w:rPr>
        <w:t xml:space="preserve"> </w:t>
      </w:r>
      <w:r>
        <w:rPr>
          <w:rFonts w:ascii="Times New Roman" w:hAnsi="Times New Roman" w:eastAsia="Times New Roman" w:cs="Times New Roman"/>
          <w:spacing w:val="8"/>
          <w:sz w:val="20"/>
          <w:szCs w:val="20"/>
        </w:rPr>
        <w:t xml:space="preserve">2.3 </w:t>
      </w:r>
      <w:r>
        <w:rPr>
          <w:rFonts w:ascii="宋体" w:hAnsi="宋体" w:eastAsia="宋体" w:cs="宋体"/>
          <w:spacing w:val="8"/>
          <w:sz w:val="20"/>
          <w:szCs w:val="20"/>
        </w:rPr>
        <w:t>类，毒性气体（次</w:t>
      </w:r>
      <w:r>
        <w:rPr>
          <w:rFonts w:ascii="宋体" w:hAnsi="宋体" w:eastAsia="宋体" w:cs="宋体"/>
          <w:sz w:val="20"/>
          <w:szCs w:val="20"/>
        </w:rPr>
        <w:t>）</w:t>
      </w:r>
      <w:r>
        <w:rPr>
          <w:rFonts w:ascii="宋体" w:hAnsi="宋体" w:eastAsia="宋体" w:cs="宋体"/>
          <w:spacing w:val="-59"/>
          <w:sz w:val="20"/>
          <w:szCs w:val="20"/>
        </w:rPr>
        <w:t xml:space="preserve"> </w:t>
      </w:r>
      <w:r>
        <w:rPr>
          <w:rFonts w:ascii="宋体" w:hAnsi="宋体" w:eastAsia="宋体" w:cs="宋体"/>
          <w:sz w:val="20"/>
          <w:szCs w:val="20"/>
        </w:rPr>
        <w:t>，</w:t>
      </w:r>
      <w:r>
        <w:rPr>
          <w:rFonts w:ascii="宋体" w:hAnsi="宋体" w:eastAsia="宋体" w:cs="宋体"/>
          <w:spacing w:val="8"/>
          <w:sz w:val="20"/>
          <w:szCs w:val="20"/>
        </w:rPr>
        <w:t>发生泄漏后通过大气环境</w:t>
      </w:r>
      <w:r>
        <w:rPr>
          <w:rFonts w:ascii="宋体" w:hAnsi="宋体" w:eastAsia="宋体" w:cs="宋体"/>
          <w:sz w:val="20"/>
          <w:szCs w:val="20"/>
        </w:rPr>
        <w:t xml:space="preserve"> </w:t>
      </w:r>
      <w:r>
        <w:rPr>
          <w:rFonts w:ascii="宋体" w:hAnsi="宋体" w:eastAsia="宋体" w:cs="宋体"/>
          <w:spacing w:val="4"/>
          <w:sz w:val="20"/>
          <w:szCs w:val="20"/>
        </w:rPr>
        <w:t>扩散。</w:t>
      </w:r>
    </w:p>
    <w:p w14:paraId="18A4FD16">
      <w:pPr>
        <w:spacing w:before="32" w:line="280" w:lineRule="auto"/>
        <w:ind w:left="1615" w:firstLine="422"/>
        <w:rPr>
          <w:rFonts w:ascii="宋体" w:hAnsi="宋体" w:eastAsia="宋体" w:cs="宋体"/>
          <w:sz w:val="20"/>
          <w:szCs w:val="20"/>
        </w:rPr>
      </w:pPr>
      <w:r>
        <w:rPr>
          <w:rFonts w:ascii="宋体" w:hAnsi="宋体" w:eastAsia="宋体" w:cs="宋体"/>
          <w:spacing w:val="13"/>
          <w:sz w:val="20"/>
          <w:szCs w:val="20"/>
        </w:rPr>
        <w:t>设定煤气柜和煤气管道之间的连接处发生断裂导致煤气泄漏事故为风险事故</w:t>
      </w:r>
      <w:r>
        <w:rPr>
          <w:rFonts w:ascii="宋体" w:hAnsi="宋体" w:eastAsia="宋体" w:cs="宋体"/>
          <w:spacing w:val="2"/>
          <w:sz w:val="20"/>
          <w:szCs w:val="20"/>
        </w:rPr>
        <w:t xml:space="preserve"> </w:t>
      </w:r>
      <w:r>
        <w:rPr>
          <w:rFonts w:ascii="宋体" w:hAnsi="宋体" w:eastAsia="宋体" w:cs="宋体"/>
          <w:spacing w:val="8"/>
          <w:sz w:val="20"/>
          <w:szCs w:val="20"/>
        </w:rPr>
        <w:t>情形，经预测可知，在最不利气象条件下，达到</w:t>
      </w:r>
      <w:r>
        <w:rPr>
          <w:rFonts w:ascii="Times New Roman" w:hAnsi="Times New Roman" w:eastAsia="Times New Roman" w:cs="Times New Roman"/>
          <w:sz w:val="20"/>
          <w:szCs w:val="20"/>
        </w:rPr>
        <w:t>CO</w:t>
      </w:r>
      <w:r>
        <w:rPr>
          <w:rFonts w:ascii="Times New Roman" w:hAnsi="Times New Roman" w:eastAsia="Times New Roman" w:cs="Times New Roman"/>
          <w:spacing w:val="8"/>
          <w:sz w:val="20"/>
          <w:szCs w:val="20"/>
        </w:rPr>
        <w:t xml:space="preserve"> </w:t>
      </w:r>
      <w:r>
        <w:rPr>
          <w:rFonts w:ascii="宋体" w:hAnsi="宋体" w:eastAsia="宋体" w:cs="宋体"/>
          <w:spacing w:val="8"/>
          <w:sz w:val="20"/>
          <w:szCs w:val="20"/>
        </w:rPr>
        <w:t>大气毒性终点浓度</w:t>
      </w:r>
      <w:r>
        <w:rPr>
          <w:rFonts w:ascii="Times New Roman" w:hAnsi="Times New Roman" w:eastAsia="Times New Roman" w:cs="Times New Roman"/>
          <w:spacing w:val="8"/>
          <w:sz w:val="20"/>
          <w:szCs w:val="20"/>
        </w:rPr>
        <w:t xml:space="preserve">-1 </w:t>
      </w:r>
      <w:r>
        <w:rPr>
          <w:rFonts w:ascii="宋体" w:hAnsi="宋体" w:eastAsia="宋体" w:cs="宋体"/>
          <w:spacing w:val="8"/>
          <w:sz w:val="20"/>
          <w:szCs w:val="20"/>
        </w:rPr>
        <w:t>最大影响</w:t>
      </w:r>
    </w:p>
    <w:p w14:paraId="64E309F9">
      <w:pPr>
        <w:spacing w:before="32" w:line="226" w:lineRule="auto"/>
        <w:ind w:left="73"/>
        <w:rPr>
          <w:rFonts w:ascii="宋体" w:hAnsi="宋体" w:eastAsia="宋体" w:cs="宋体"/>
          <w:sz w:val="20"/>
          <w:szCs w:val="20"/>
        </w:rPr>
      </w:pPr>
      <w:r>
        <w:rPr>
          <w:rFonts w:ascii="宋体" w:hAnsi="宋体" w:eastAsia="宋体" w:cs="宋体"/>
          <w:spacing w:val="7"/>
          <w:sz w:val="20"/>
          <w:szCs w:val="20"/>
        </w:rPr>
        <w:t>评价结论与建议</w:t>
      </w:r>
      <w:r>
        <w:rPr>
          <w:rFonts w:ascii="宋体" w:hAnsi="宋体" w:eastAsia="宋体" w:cs="宋体"/>
          <w:spacing w:val="-17"/>
          <w:sz w:val="20"/>
          <w:szCs w:val="20"/>
        </w:rPr>
        <w:t xml:space="preserve"> </w:t>
      </w:r>
      <w:r>
        <w:rPr>
          <w:rFonts w:ascii="宋体" w:hAnsi="宋体" w:eastAsia="宋体" w:cs="宋体"/>
          <w:spacing w:val="7"/>
          <w:sz w:val="20"/>
          <w:szCs w:val="20"/>
        </w:rPr>
        <w:t>半径为</w:t>
      </w:r>
      <w:r>
        <w:rPr>
          <w:rFonts w:ascii="宋体" w:hAnsi="宋体" w:eastAsia="宋体" w:cs="宋体"/>
          <w:spacing w:val="-43"/>
          <w:sz w:val="20"/>
          <w:szCs w:val="20"/>
        </w:rPr>
        <w:t xml:space="preserve"> </w:t>
      </w:r>
      <w:r>
        <w:rPr>
          <w:rFonts w:ascii="Times New Roman" w:hAnsi="Times New Roman" w:eastAsia="Times New Roman" w:cs="Times New Roman"/>
          <w:spacing w:val="7"/>
          <w:sz w:val="20"/>
          <w:szCs w:val="20"/>
        </w:rPr>
        <w:t>290m</w:t>
      </w:r>
      <w:r>
        <w:rPr>
          <w:rFonts w:ascii="Times New Roman" w:hAnsi="Times New Roman" w:eastAsia="Times New Roman" w:cs="Times New Roman"/>
          <w:spacing w:val="-24"/>
          <w:sz w:val="20"/>
          <w:szCs w:val="20"/>
        </w:rPr>
        <w:t xml:space="preserve"> </w:t>
      </w:r>
      <w:r>
        <w:rPr>
          <w:rFonts w:ascii="宋体" w:hAnsi="宋体" w:eastAsia="宋体" w:cs="宋体"/>
          <w:spacing w:val="7"/>
          <w:sz w:val="20"/>
          <w:szCs w:val="20"/>
        </w:rPr>
        <w:t>，达到</w:t>
      </w:r>
      <w:r>
        <w:rPr>
          <w:rFonts w:ascii="宋体" w:hAnsi="宋体" w:eastAsia="宋体" w:cs="宋体"/>
          <w:spacing w:val="-40"/>
          <w:sz w:val="20"/>
          <w:szCs w:val="20"/>
        </w:rPr>
        <w:t xml:space="preserve"> </w:t>
      </w:r>
      <w:r>
        <w:rPr>
          <w:rFonts w:ascii="Times New Roman" w:hAnsi="Times New Roman" w:eastAsia="Times New Roman" w:cs="Times New Roman"/>
          <w:sz w:val="20"/>
          <w:szCs w:val="20"/>
        </w:rPr>
        <w:t>CO</w:t>
      </w:r>
      <w:r>
        <w:rPr>
          <w:rFonts w:ascii="Times New Roman" w:hAnsi="Times New Roman" w:eastAsia="Times New Roman" w:cs="Times New Roman"/>
          <w:spacing w:val="17"/>
          <w:sz w:val="20"/>
          <w:szCs w:val="20"/>
        </w:rPr>
        <w:t xml:space="preserve"> </w:t>
      </w:r>
      <w:r>
        <w:rPr>
          <w:rFonts w:ascii="宋体" w:hAnsi="宋体" w:eastAsia="宋体" w:cs="宋体"/>
          <w:spacing w:val="7"/>
          <w:sz w:val="20"/>
          <w:szCs w:val="20"/>
        </w:rPr>
        <w:t>大气毒性</w:t>
      </w:r>
      <w:r>
        <w:rPr>
          <w:rFonts w:ascii="宋体" w:hAnsi="宋体" w:eastAsia="宋体" w:cs="宋体"/>
          <w:spacing w:val="6"/>
          <w:sz w:val="20"/>
          <w:szCs w:val="20"/>
        </w:rPr>
        <w:t>终点浓度</w:t>
      </w:r>
      <w:r>
        <w:rPr>
          <w:rFonts w:ascii="Times New Roman" w:hAnsi="Times New Roman" w:eastAsia="Times New Roman" w:cs="Times New Roman"/>
          <w:spacing w:val="6"/>
          <w:sz w:val="20"/>
          <w:szCs w:val="20"/>
        </w:rPr>
        <w:t>-2</w:t>
      </w:r>
      <w:r>
        <w:rPr>
          <w:rFonts w:ascii="Times New Roman" w:hAnsi="Times New Roman" w:eastAsia="Times New Roman" w:cs="Times New Roman"/>
          <w:spacing w:val="17"/>
          <w:sz w:val="20"/>
          <w:szCs w:val="20"/>
        </w:rPr>
        <w:t xml:space="preserve"> </w:t>
      </w:r>
      <w:r>
        <w:rPr>
          <w:rFonts w:ascii="宋体" w:hAnsi="宋体" w:eastAsia="宋体" w:cs="宋体"/>
          <w:spacing w:val="6"/>
          <w:sz w:val="20"/>
          <w:szCs w:val="20"/>
        </w:rPr>
        <w:t>最远影响距离为</w:t>
      </w:r>
      <w:r>
        <w:rPr>
          <w:rFonts w:ascii="宋体" w:hAnsi="宋体" w:eastAsia="宋体" w:cs="宋体"/>
          <w:spacing w:val="-43"/>
          <w:sz w:val="20"/>
          <w:szCs w:val="20"/>
        </w:rPr>
        <w:t xml:space="preserve"> </w:t>
      </w:r>
      <w:r>
        <w:rPr>
          <w:rFonts w:ascii="Times New Roman" w:hAnsi="Times New Roman" w:eastAsia="Times New Roman" w:cs="Times New Roman"/>
          <w:spacing w:val="6"/>
          <w:sz w:val="20"/>
          <w:szCs w:val="20"/>
        </w:rPr>
        <w:t>270m</w:t>
      </w:r>
      <w:r>
        <w:rPr>
          <w:rFonts w:ascii="宋体" w:hAnsi="宋体" w:eastAsia="宋体" w:cs="宋体"/>
          <w:spacing w:val="6"/>
          <w:sz w:val="20"/>
          <w:szCs w:val="20"/>
        </w:rPr>
        <w:t>。</w:t>
      </w:r>
    </w:p>
    <w:p w14:paraId="5A8F1EA6">
      <w:pPr>
        <w:spacing w:before="73" w:line="289" w:lineRule="auto"/>
        <w:ind w:left="1614" w:firstLine="420"/>
        <w:jc w:val="both"/>
        <w:rPr>
          <w:rFonts w:ascii="宋体" w:hAnsi="宋体" w:eastAsia="宋体" w:cs="宋体"/>
          <w:sz w:val="20"/>
          <w:szCs w:val="20"/>
        </w:rPr>
      </w:pPr>
      <w:r>
        <w:rPr>
          <w:rFonts w:ascii="宋体" w:hAnsi="宋体" w:eastAsia="宋体" w:cs="宋体"/>
          <w:spacing w:val="7"/>
          <w:sz w:val="20"/>
          <w:szCs w:val="20"/>
        </w:rPr>
        <w:t>在项目运营过程中，建设单位必须严格执行国家和地方的相应法律法规</w:t>
      </w:r>
      <w:r>
        <w:rPr>
          <w:rFonts w:ascii="宋体" w:hAnsi="宋体" w:eastAsia="宋体" w:cs="宋体"/>
          <w:spacing w:val="6"/>
          <w:sz w:val="20"/>
          <w:szCs w:val="20"/>
        </w:rPr>
        <w:t>和的采</w:t>
      </w:r>
      <w:r>
        <w:rPr>
          <w:rFonts w:ascii="宋体" w:hAnsi="宋体" w:eastAsia="宋体" w:cs="宋体"/>
          <w:sz w:val="20"/>
          <w:szCs w:val="20"/>
        </w:rPr>
        <w:t xml:space="preserve"> </w:t>
      </w:r>
      <w:r>
        <w:rPr>
          <w:rFonts w:ascii="宋体" w:hAnsi="宋体" w:eastAsia="宋体" w:cs="宋体"/>
          <w:spacing w:val="7"/>
          <w:sz w:val="20"/>
          <w:szCs w:val="20"/>
        </w:rPr>
        <w:t>取的风险防范措施，减小事故发生的概率；一旦发生事故，必须严格按照风险防范</w:t>
      </w:r>
      <w:r>
        <w:rPr>
          <w:rFonts w:ascii="宋体" w:hAnsi="宋体" w:eastAsia="宋体" w:cs="宋体"/>
          <w:spacing w:val="1"/>
          <w:sz w:val="20"/>
          <w:szCs w:val="20"/>
        </w:rPr>
        <w:t xml:space="preserve"> </w:t>
      </w:r>
      <w:r>
        <w:rPr>
          <w:rFonts w:ascii="宋体" w:hAnsi="宋体" w:eastAsia="宋体" w:cs="宋体"/>
          <w:spacing w:val="7"/>
          <w:sz w:val="20"/>
          <w:szCs w:val="20"/>
        </w:rPr>
        <w:t>措施和应急预案的要求及时做出应对措施，将事故对周围环境和人群的影响降到最</w:t>
      </w:r>
      <w:r>
        <w:rPr>
          <w:rFonts w:ascii="宋体" w:hAnsi="宋体" w:eastAsia="宋体" w:cs="宋体"/>
          <w:spacing w:val="3"/>
          <w:sz w:val="20"/>
          <w:szCs w:val="20"/>
        </w:rPr>
        <w:t xml:space="preserve"> </w:t>
      </w:r>
      <w:r>
        <w:rPr>
          <w:rFonts w:ascii="宋体" w:hAnsi="宋体" w:eastAsia="宋体" w:cs="宋体"/>
          <w:spacing w:val="7"/>
          <w:sz w:val="20"/>
          <w:szCs w:val="20"/>
        </w:rPr>
        <w:t>低。建设单位应充分利用区域安全、环境保护等资源，根据项目建设和运行过程中</w:t>
      </w:r>
      <w:r>
        <w:rPr>
          <w:rFonts w:ascii="宋体" w:hAnsi="宋体" w:eastAsia="宋体" w:cs="宋体"/>
          <w:spacing w:val="1"/>
          <w:sz w:val="20"/>
          <w:szCs w:val="20"/>
        </w:rPr>
        <w:t xml:space="preserve"> </w:t>
      </w:r>
      <w:r>
        <w:rPr>
          <w:rFonts w:ascii="宋体" w:hAnsi="宋体" w:eastAsia="宋体" w:cs="宋体"/>
          <w:spacing w:val="7"/>
          <w:sz w:val="20"/>
          <w:szCs w:val="20"/>
        </w:rPr>
        <w:t>的变化，不断完善风险防范措施、应急预案和应急救援体系，确保其具有针对性和</w:t>
      </w:r>
    </w:p>
    <w:p w14:paraId="2C37E0CE">
      <w:pPr>
        <w:spacing w:line="289" w:lineRule="auto"/>
        <w:rPr>
          <w:rFonts w:ascii="宋体" w:hAnsi="宋体" w:eastAsia="宋体" w:cs="宋体"/>
          <w:sz w:val="20"/>
          <w:szCs w:val="20"/>
        </w:rPr>
        <w:sectPr>
          <w:headerReference r:id="rId439" w:type="default"/>
          <w:footerReference r:id="rId440" w:type="default"/>
          <w:pgSz w:w="11906" w:h="16839"/>
          <w:pgMar w:top="1191" w:right="1416" w:bottom="1221" w:left="1417" w:header="882" w:footer="1058" w:gutter="0"/>
          <w:cols w:space="720" w:num="1"/>
        </w:sectPr>
      </w:pPr>
    </w:p>
    <w:p w14:paraId="735E061D">
      <w:pPr>
        <w:spacing w:line="28" w:lineRule="exact"/>
      </w:pPr>
      <w:r>
        <w:pict>
          <v:shape id="_x0000_s2020" o:spid="_x0000_s2020" style="height:1.45pt;width:453.65pt;" fillcolor="#000000" filled="t" stroked="f" coordsize="9072,29" path="m0,0l9072,0,9072,28,0,28,0,0xe">
            <v:path/>
            <v:fill on="t" focussize="0,0"/>
            <v:stroke on="f"/>
            <v:imagedata o:title=""/>
            <o:lock v:ext="edit"/>
            <w10:wrap type="none"/>
            <w10:anchorlock/>
          </v:shape>
        </w:pict>
      </w:r>
    </w:p>
    <w:p w14:paraId="061FBE38">
      <w:pPr>
        <w:spacing w:line="196" w:lineRule="exact"/>
      </w:pPr>
    </w:p>
    <w:tbl>
      <w:tblPr>
        <w:tblStyle w:val="5"/>
        <w:tblW w:w="9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04"/>
        <w:gridCol w:w="7468"/>
      </w:tblGrid>
      <w:tr w14:paraId="065B84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38" w:hRule="atLeast"/>
        </w:trPr>
        <w:tc>
          <w:tcPr>
            <w:tcW w:w="1604" w:type="dxa"/>
            <w:tcBorders>
              <w:top w:val="single" w:color="000000" w:sz="10" w:space="0"/>
              <w:left w:val="nil"/>
            </w:tcBorders>
            <w:vAlign w:val="top"/>
          </w:tcPr>
          <w:p w14:paraId="1A973942">
            <w:pPr>
              <w:rPr>
                <w:rFonts w:ascii="Arial"/>
                <w:sz w:val="21"/>
              </w:rPr>
            </w:pPr>
          </w:p>
        </w:tc>
        <w:tc>
          <w:tcPr>
            <w:tcW w:w="7468" w:type="dxa"/>
            <w:tcBorders>
              <w:top w:val="single" w:color="000000" w:sz="10" w:space="0"/>
              <w:right w:val="nil"/>
            </w:tcBorders>
            <w:vAlign w:val="top"/>
          </w:tcPr>
          <w:p w14:paraId="1C542195">
            <w:pPr>
              <w:pStyle w:val="6"/>
              <w:spacing w:before="35" w:line="228" w:lineRule="auto"/>
              <w:ind w:left="10"/>
              <w:outlineLvl w:val="2"/>
              <w:rPr>
                <w:sz w:val="20"/>
                <w:szCs w:val="20"/>
              </w:rPr>
            </w:pPr>
            <w:r>
              <w:rPr>
                <w:spacing w:val="8"/>
                <w:sz w:val="20"/>
                <w:szCs w:val="20"/>
              </w:rPr>
              <w:t>可操作性，以应对可能出现的环境风险。</w:t>
            </w:r>
          </w:p>
          <w:p w14:paraId="27764E3D">
            <w:pPr>
              <w:pStyle w:val="6"/>
              <w:spacing w:before="71" w:line="269" w:lineRule="auto"/>
              <w:ind w:left="8" w:right="3" w:firstLine="420"/>
              <w:jc w:val="both"/>
              <w:rPr>
                <w:sz w:val="20"/>
                <w:szCs w:val="20"/>
              </w:rPr>
            </w:pPr>
            <w:r>
              <w:rPr>
                <w:spacing w:val="7"/>
                <w:sz w:val="20"/>
                <w:szCs w:val="20"/>
              </w:rPr>
              <w:t>本项目在实施以上的风险减缓措施和应急预案后，企业的应急</w:t>
            </w:r>
            <w:r>
              <w:rPr>
                <w:spacing w:val="6"/>
                <w:sz w:val="20"/>
                <w:szCs w:val="20"/>
              </w:rPr>
              <w:t>处理事故能力对</w:t>
            </w:r>
            <w:r>
              <w:rPr>
                <w:sz w:val="20"/>
                <w:szCs w:val="20"/>
              </w:rPr>
              <w:t xml:space="preserve"> </w:t>
            </w:r>
            <w:r>
              <w:rPr>
                <w:spacing w:val="7"/>
                <w:sz w:val="20"/>
                <w:szCs w:val="20"/>
              </w:rPr>
              <w:t>突发性事故是可以控制的，在严格执行本报告提出的防治措施的前提下，本项目的</w:t>
            </w:r>
            <w:r>
              <w:rPr>
                <w:sz w:val="20"/>
                <w:szCs w:val="20"/>
              </w:rPr>
              <w:t xml:space="preserve"> </w:t>
            </w:r>
            <w:r>
              <w:rPr>
                <w:spacing w:val="9"/>
                <w:sz w:val="20"/>
                <w:szCs w:val="20"/>
              </w:rPr>
              <w:t>事故所造成的风险是可接受的，本项目的环境风险是可以接受的。</w:t>
            </w:r>
          </w:p>
        </w:tc>
      </w:tr>
      <w:tr w14:paraId="519943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9072" w:type="dxa"/>
            <w:gridSpan w:val="2"/>
            <w:tcBorders>
              <w:left w:val="nil"/>
              <w:bottom w:val="single" w:color="000000" w:sz="10" w:space="0"/>
              <w:right w:val="nil"/>
            </w:tcBorders>
            <w:vAlign w:val="top"/>
          </w:tcPr>
          <w:p w14:paraId="1C2EA2BA">
            <w:pPr>
              <w:pStyle w:val="6"/>
              <w:spacing w:before="72" w:line="228" w:lineRule="auto"/>
              <w:ind w:left="7"/>
              <w:rPr>
                <w:sz w:val="20"/>
                <w:szCs w:val="20"/>
              </w:rPr>
            </w:pPr>
            <w:r>
              <w:rPr>
                <w:spacing w:val="4"/>
                <w:sz w:val="20"/>
                <w:szCs w:val="20"/>
              </w:rPr>
              <w:t>注：</w:t>
            </w:r>
            <w:r>
              <w:rPr>
                <w:rFonts w:ascii="Times New Roman" w:hAnsi="Times New Roman" w:eastAsia="Times New Roman" w:cs="Times New Roman"/>
                <w:spacing w:val="4"/>
                <w:sz w:val="20"/>
                <w:szCs w:val="20"/>
              </w:rPr>
              <w:t>ℼ</w:t>
            </w:r>
            <w:r>
              <w:rPr>
                <w:rFonts w:ascii="Times New Roman" w:hAnsi="Times New Roman" w:eastAsia="Times New Roman" w:cs="Times New Roman"/>
                <w:spacing w:val="-26"/>
                <w:sz w:val="20"/>
                <w:szCs w:val="20"/>
              </w:rPr>
              <w:t xml:space="preserve"> </w:t>
            </w:r>
            <w:r>
              <w:rPr>
                <w:rFonts w:ascii="Times New Roman" w:hAnsi="Times New Roman" w:eastAsia="Times New Roman" w:cs="Times New Roman"/>
                <w:spacing w:val="4"/>
                <w:sz w:val="20"/>
                <w:szCs w:val="20"/>
              </w:rPr>
              <w:t>□”</w:t>
            </w:r>
            <w:r>
              <w:rPr>
                <w:spacing w:val="4"/>
                <w:sz w:val="20"/>
                <w:szCs w:val="20"/>
              </w:rPr>
              <w:t>为勾选项；</w:t>
            </w:r>
            <w:r>
              <w:rPr>
                <w:rFonts w:ascii="Times New Roman" w:hAnsi="Times New Roman" w:eastAsia="Times New Roman" w:cs="Times New Roman"/>
                <w:spacing w:val="4"/>
                <w:sz w:val="20"/>
                <w:szCs w:val="20"/>
              </w:rPr>
              <w:t>“</w:t>
            </w:r>
            <w:r>
              <w:rPr>
                <w:rFonts w:ascii="Times New Roman" w:hAnsi="Times New Roman" w:eastAsia="Times New Roman" w:cs="Times New Roman"/>
                <w:spacing w:val="-50"/>
                <w:sz w:val="20"/>
                <w:szCs w:val="20"/>
              </w:rPr>
              <w:t xml:space="preserve"> </w:t>
            </w:r>
            <w:r>
              <w:rPr>
                <w:rFonts w:ascii="Times New Roman" w:hAnsi="Times New Roman" w:eastAsia="Times New Roman" w:cs="Times New Roman"/>
                <w:spacing w:val="4"/>
                <w:sz w:val="20"/>
                <w:szCs w:val="20"/>
                <w:u w:val="single" w:color="auto"/>
              </w:rPr>
              <w:t xml:space="preserve">    </w:t>
            </w:r>
            <w:r>
              <w:rPr>
                <w:rFonts w:ascii="Times New Roman" w:hAnsi="Times New Roman" w:eastAsia="Times New Roman" w:cs="Times New Roman"/>
                <w:spacing w:val="4"/>
                <w:sz w:val="20"/>
                <w:szCs w:val="20"/>
              </w:rPr>
              <w:t xml:space="preserve">  ”</w:t>
            </w:r>
            <w:r>
              <w:rPr>
                <w:spacing w:val="4"/>
                <w:sz w:val="20"/>
                <w:szCs w:val="20"/>
              </w:rPr>
              <w:t>为填写项。</w:t>
            </w:r>
          </w:p>
        </w:tc>
      </w:tr>
    </w:tbl>
    <w:p w14:paraId="16D67498">
      <w:pPr>
        <w:pStyle w:val="2"/>
      </w:pPr>
    </w:p>
    <w:p w14:paraId="08BEC56A">
      <w:pPr>
        <w:sectPr>
          <w:headerReference r:id="rId441" w:type="default"/>
          <w:footerReference r:id="rId442" w:type="default"/>
          <w:pgSz w:w="11906" w:h="16839"/>
          <w:pgMar w:top="1191" w:right="1416" w:bottom="1221" w:left="1417" w:header="882" w:footer="1059" w:gutter="0"/>
          <w:cols w:space="720" w:num="1"/>
        </w:sectPr>
      </w:pPr>
    </w:p>
    <w:p w14:paraId="3293534E">
      <w:pPr>
        <w:spacing w:line="28" w:lineRule="exact"/>
      </w:pPr>
      <w:r>
        <w:pict>
          <v:shape id="_x0000_s2024" o:spid="_x0000_s2024" style="height:1.45pt;width:453.65pt;" fillcolor="#000000" filled="t" stroked="f" coordsize="9072,29" path="m0,0l9072,0,9072,28,0,28,0,0xe">
            <v:path/>
            <v:fill on="t" focussize="0,0"/>
            <v:stroke on="f"/>
            <v:imagedata o:title=""/>
            <o:lock v:ext="edit"/>
            <w10:wrap type="none"/>
            <w10:anchorlock/>
          </v:shape>
        </w:pict>
      </w:r>
    </w:p>
    <w:p w14:paraId="3CEE4AA9">
      <w:pPr>
        <w:spacing w:before="344" w:line="227" w:lineRule="auto"/>
        <w:ind w:left="1479"/>
        <w:outlineLvl w:val="0"/>
        <w:rPr>
          <w:rFonts w:ascii="黑体" w:hAnsi="黑体" w:eastAsia="黑体" w:cs="黑体"/>
          <w:sz w:val="35"/>
          <w:szCs w:val="35"/>
        </w:rPr>
      </w:pPr>
      <w:bookmarkStart w:id="435" w:name="bookmark340"/>
      <w:bookmarkEnd w:id="435"/>
      <w:bookmarkStart w:id="436" w:name="bookmark338"/>
      <w:bookmarkEnd w:id="436"/>
      <w:bookmarkStart w:id="437" w:name="bookmark342"/>
      <w:bookmarkEnd w:id="437"/>
      <w:r>
        <w:rPr>
          <w:rFonts w:ascii="黑体" w:hAnsi="黑体" w:eastAsia="黑体" w:cs="黑体"/>
          <w:b/>
          <w:bCs/>
          <w:spacing w:val="5"/>
          <w:sz w:val="35"/>
          <w:szCs w:val="35"/>
        </w:rPr>
        <w:t>第</w:t>
      </w:r>
      <w:r>
        <w:rPr>
          <w:rFonts w:ascii="黑体" w:hAnsi="黑体" w:eastAsia="黑体" w:cs="黑体"/>
          <w:spacing w:val="-64"/>
          <w:sz w:val="35"/>
          <w:szCs w:val="35"/>
        </w:rPr>
        <w:t xml:space="preserve"> </w:t>
      </w:r>
      <w:r>
        <w:rPr>
          <w:rFonts w:ascii="Times New Roman" w:hAnsi="Times New Roman" w:eastAsia="Times New Roman" w:cs="Times New Roman"/>
          <w:b/>
          <w:bCs/>
          <w:spacing w:val="5"/>
          <w:sz w:val="35"/>
          <w:szCs w:val="35"/>
        </w:rPr>
        <w:t xml:space="preserve">6 </w:t>
      </w:r>
      <w:r>
        <w:rPr>
          <w:rFonts w:ascii="黑体" w:hAnsi="黑体" w:eastAsia="黑体" w:cs="黑体"/>
          <w:b/>
          <w:bCs/>
          <w:spacing w:val="5"/>
          <w:sz w:val="35"/>
          <w:szCs w:val="35"/>
        </w:rPr>
        <w:t>章</w:t>
      </w:r>
      <w:r>
        <w:rPr>
          <w:rFonts w:ascii="黑体" w:hAnsi="黑体" w:eastAsia="黑体" w:cs="黑体"/>
          <w:spacing w:val="5"/>
          <w:sz w:val="35"/>
          <w:szCs w:val="35"/>
        </w:rPr>
        <w:t xml:space="preserve">  </w:t>
      </w:r>
      <w:r>
        <w:rPr>
          <w:rFonts w:ascii="黑体" w:hAnsi="黑体" w:eastAsia="黑体" w:cs="黑体"/>
          <w:b/>
          <w:bCs/>
          <w:spacing w:val="5"/>
          <w:sz w:val="35"/>
          <w:szCs w:val="35"/>
        </w:rPr>
        <w:t>环境保护措施及其可行性论证</w:t>
      </w:r>
    </w:p>
    <w:p w14:paraId="5FC6E9D1">
      <w:pPr>
        <w:pStyle w:val="2"/>
        <w:spacing w:line="466" w:lineRule="auto"/>
      </w:pPr>
    </w:p>
    <w:p w14:paraId="2C4E6371">
      <w:pPr>
        <w:spacing w:before="100" w:line="227" w:lineRule="auto"/>
        <w:ind w:left="12"/>
        <w:outlineLvl w:val="1"/>
        <w:rPr>
          <w:rFonts w:ascii="黑体" w:hAnsi="黑体" w:eastAsia="黑体" w:cs="黑体"/>
          <w:sz w:val="31"/>
          <w:szCs w:val="31"/>
        </w:rPr>
      </w:pPr>
      <w:r>
        <w:rPr>
          <w:rFonts w:ascii="Times New Roman" w:hAnsi="Times New Roman" w:eastAsia="Times New Roman" w:cs="Times New Roman"/>
          <w:spacing w:val="8"/>
          <w:sz w:val="31"/>
          <w:szCs w:val="31"/>
        </w:rPr>
        <w:t xml:space="preserve">6.1 </w:t>
      </w:r>
      <w:r>
        <w:rPr>
          <w:rFonts w:ascii="黑体" w:hAnsi="黑体" w:eastAsia="黑体" w:cs="黑体"/>
          <w:spacing w:val="8"/>
          <w:sz w:val="31"/>
          <w:szCs w:val="31"/>
        </w:rPr>
        <w:t>废气治理措施的经济技术的可行性分析</w:t>
      </w:r>
    </w:p>
    <w:p w14:paraId="2F67C410">
      <w:pPr>
        <w:spacing w:before="287" w:line="219" w:lineRule="auto"/>
        <w:ind w:left="9"/>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6.1.1 </w:t>
      </w:r>
      <w:r>
        <w:rPr>
          <w:rFonts w:ascii="宋体" w:hAnsi="宋体" w:eastAsia="宋体" w:cs="宋体"/>
          <w:b/>
          <w:bCs/>
          <w:spacing w:val="-2"/>
          <w:sz w:val="28"/>
          <w:szCs w:val="28"/>
        </w:rPr>
        <w:t>全封闭电炉煤气干法净化措施</w:t>
      </w:r>
    </w:p>
    <w:p w14:paraId="08D04C89">
      <w:pPr>
        <w:spacing w:before="258" w:line="367" w:lineRule="auto"/>
        <w:ind w:left="10" w:right="99" w:firstLine="479"/>
        <w:jc w:val="both"/>
        <w:rPr>
          <w:rFonts w:ascii="宋体" w:hAnsi="宋体" w:eastAsia="宋体" w:cs="宋体"/>
          <w:sz w:val="24"/>
          <w:szCs w:val="24"/>
        </w:rPr>
      </w:pPr>
      <w:r>
        <w:rPr>
          <w:rFonts w:ascii="宋体" w:hAnsi="宋体" w:eastAsia="宋体" w:cs="宋体"/>
          <w:spacing w:val="-3"/>
          <w:sz w:val="24"/>
          <w:szCs w:val="24"/>
        </w:rPr>
        <w:t>本项目新建设</w:t>
      </w:r>
      <w:r>
        <w:rPr>
          <w:rFonts w:ascii="宋体" w:hAnsi="宋体" w:eastAsia="宋体" w:cs="宋体"/>
          <w:spacing w:val="-40"/>
          <w:sz w:val="24"/>
          <w:szCs w:val="24"/>
        </w:rPr>
        <w:t xml:space="preserve"> </w:t>
      </w:r>
      <w:r>
        <w:rPr>
          <w:rFonts w:ascii="Times New Roman" w:hAnsi="Times New Roman" w:eastAsia="Times New Roman" w:cs="Times New Roman"/>
          <w:spacing w:val="-3"/>
          <w:sz w:val="24"/>
          <w:szCs w:val="24"/>
        </w:rPr>
        <w:t>6</w:t>
      </w:r>
      <w:r>
        <w:rPr>
          <w:rFonts w:ascii="Times New Roman" w:hAnsi="Times New Roman" w:eastAsia="Times New Roman" w:cs="Times New Roman"/>
          <w:spacing w:val="28"/>
          <w:w w:val="101"/>
          <w:sz w:val="24"/>
          <w:szCs w:val="24"/>
        </w:rPr>
        <w:t xml:space="preserve"> </w:t>
      </w:r>
      <w:r>
        <w:rPr>
          <w:rFonts w:ascii="宋体" w:hAnsi="宋体" w:eastAsia="宋体" w:cs="宋体"/>
          <w:spacing w:val="-3"/>
          <w:sz w:val="24"/>
          <w:szCs w:val="24"/>
        </w:rPr>
        <w:t>台全密闭锰硅合金电炉，运行后产生电炉粗煤气，每台配置一套电</w:t>
      </w:r>
      <w:r>
        <w:rPr>
          <w:rFonts w:ascii="宋体" w:hAnsi="宋体" w:eastAsia="宋体" w:cs="宋体"/>
          <w:sz w:val="24"/>
          <w:szCs w:val="24"/>
        </w:rPr>
        <w:t xml:space="preserve"> 炉煤气干法净化设施，采用水冷烟道</w:t>
      </w:r>
      <w:r>
        <w:rPr>
          <w:rFonts w:ascii="Times New Roman" w:hAnsi="Times New Roman" w:eastAsia="Times New Roman" w:cs="Times New Roman"/>
          <w:sz w:val="24"/>
          <w:szCs w:val="24"/>
        </w:rPr>
        <w:t>+</w:t>
      </w:r>
      <w:r>
        <w:rPr>
          <w:rFonts w:ascii="宋体" w:hAnsi="宋体" w:eastAsia="宋体" w:cs="宋体"/>
          <w:sz w:val="24"/>
          <w:szCs w:val="24"/>
        </w:rPr>
        <w:t>惯性沉降罐</w:t>
      </w:r>
      <w:r>
        <w:rPr>
          <w:rFonts w:ascii="Times New Roman" w:hAnsi="Times New Roman" w:eastAsia="Times New Roman" w:cs="Times New Roman"/>
          <w:sz w:val="24"/>
          <w:szCs w:val="24"/>
        </w:rPr>
        <w:t>+</w:t>
      </w:r>
      <w:r>
        <w:rPr>
          <w:rFonts w:ascii="宋体" w:hAnsi="宋体" w:eastAsia="宋体" w:cs="宋体"/>
          <w:sz w:val="24"/>
          <w:szCs w:val="24"/>
        </w:rPr>
        <w:t>二级风力列管冷却器</w:t>
      </w:r>
      <w:r>
        <w:rPr>
          <w:rFonts w:ascii="Times New Roman" w:hAnsi="Times New Roman" w:eastAsia="Times New Roman" w:cs="Times New Roman"/>
          <w:sz w:val="24"/>
          <w:szCs w:val="24"/>
        </w:rPr>
        <w:t>+</w:t>
      </w:r>
      <w:r>
        <w:rPr>
          <w:rFonts w:ascii="宋体" w:hAnsi="宋体" w:eastAsia="宋体" w:cs="宋体"/>
          <w:sz w:val="24"/>
          <w:szCs w:val="24"/>
        </w:rPr>
        <w:t>耐高温布袋除</w:t>
      </w:r>
      <w:r>
        <w:rPr>
          <w:rFonts w:ascii="宋体" w:hAnsi="宋体" w:eastAsia="宋体" w:cs="宋体"/>
          <w:spacing w:val="13"/>
          <w:sz w:val="24"/>
          <w:szCs w:val="24"/>
        </w:rPr>
        <w:t xml:space="preserve"> </w:t>
      </w:r>
      <w:r>
        <w:rPr>
          <w:rFonts w:ascii="宋体" w:hAnsi="宋体" w:eastAsia="宋体" w:cs="宋体"/>
          <w:spacing w:val="-1"/>
          <w:sz w:val="24"/>
          <w:szCs w:val="24"/>
        </w:rPr>
        <w:t>尘器干法净化工艺，净化后综合利用。</w:t>
      </w:r>
    </w:p>
    <w:p w14:paraId="783F4EAE">
      <w:pPr>
        <w:spacing w:before="38" w:line="369" w:lineRule="auto"/>
        <w:ind w:left="6" w:right="37" w:firstLine="510"/>
        <w:jc w:val="both"/>
        <w:rPr>
          <w:rFonts w:ascii="宋体" w:hAnsi="宋体" w:eastAsia="宋体" w:cs="宋体"/>
          <w:sz w:val="24"/>
          <w:szCs w:val="24"/>
        </w:rPr>
      </w:pPr>
      <w:r>
        <w:rPr>
          <w:rFonts w:ascii="宋体" w:hAnsi="宋体" w:eastAsia="宋体" w:cs="宋体"/>
          <w:spacing w:val="4"/>
          <w:sz w:val="24"/>
          <w:szCs w:val="24"/>
        </w:rPr>
        <w:t>电炉冶炼所产生的高温含尘粗煤气先经过一段水冷烟道进入惯性沉降罐对较大颗</w:t>
      </w:r>
      <w:r>
        <w:rPr>
          <w:rFonts w:ascii="宋体" w:hAnsi="宋体" w:eastAsia="宋体" w:cs="宋体"/>
          <w:spacing w:val="13"/>
          <w:sz w:val="24"/>
          <w:szCs w:val="24"/>
        </w:rPr>
        <w:t xml:space="preserve"> </w:t>
      </w:r>
      <w:r>
        <w:rPr>
          <w:rFonts w:ascii="宋体" w:hAnsi="宋体" w:eastAsia="宋体" w:cs="宋体"/>
          <w:spacing w:val="-6"/>
          <w:sz w:val="24"/>
          <w:szCs w:val="24"/>
        </w:rPr>
        <w:t>粒粉尘进行粗除尘，然后经二级风力列管冷却器进行冷却，同时进一步对粉尘进行除尘，</w:t>
      </w:r>
      <w:r>
        <w:rPr>
          <w:rFonts w:ascii="宋体" w:hAnsi="宋体" w:eastAsia="宋体" w:cs="宋体"/>
          <w:sz w:val="24"/>
          <w:szCs w:val="24"/>
        </w:rPr>
        <w:t xml:space="preserve"> </w:t>
      </w:r>
      <w:r>
        <w:rPr>
          <w:rFonts w:ascii="宋体" w:hAnsi="宋体" w:eastAsia="宋体" w:cs="宋体"/>
          <w:spacing w:val="-1"/>
          <w:sz w:val="24"/>
          <w:szCs w:val="24"/>
        </w:rPr>
        <w:t>进一步将大颗粒粉尘除去，以防在管道或设</w:t>
      </w:r>
      <w:r>
        <w:rPr>
          <w:rFonts w:ascii="宋体" w:hAnsi="宋体" w:eastAsia="宋体" w:cs="宋体"/>
          <w:spacing w:val="-2"/>
          <w:sz w:val="24"/>
          <w:szCs w:val="24"/>
        </w:rPr>
        <w:t>备中沉降堵塞系统。风力列管冷却器使煤气</w:t>
      </w:r>
      <w:r>
        <w:rPr>
          <w:rFonts w:ascii="宋体" w:hAnsi="宋体" w:eastAsia="宋体" w:cs="宋体"/>
          <w:sz w:val="24"/>
          <w:szCs w:val="24"/>
        </w:rPr>
        <w:t xml:space="preserve"> </w:t>
      </w:r>
      <w:r>
        <w:rPr>
          <w:rFonts w:ascii="宋体" w:hAnsi="宋体" w:eastAsia="宋体" w:cs="宋体"/>
          <w:spacing w:val="3"/>
          <w:sz w:val="24"/>
          <w:szCs w:val="24"/>
        </w:rPr>
        <w:t>温度降至</w:t>
      </w:r>
      <w:r>
        <w:rPr>
          <w:rFonts w:ascii="宋体" w:hAnsi="宋体" w:eastAsia="宋体" w:cs="宋体"/>
          <w:spacing w:val="-31"/>
          <w:sz w:val="24"/>
          <w:szCs w:val="24"/>
        </w:rPr>
        <w:t xml:space="preserve"> </w:t>
      </w:r>
      <w:r>
        <w:rPr>
          <w:rFonts w:ascii="Times New Roman" w:hAnsi="Times New Roman" w:eastAsia="Times New Roman" w:cs="Times New Roman"/>
          <w:spacing w:val="3"/>
          <w:sz w:val="24"/>
          <w:szCs w:val="24"/>
        </w:rPr>
        <w:t>180℃</w:t>
      </w:r>
      <w:r>
        <w:rPr>
          <w:rFonts w:ascii="宋体" w:hAnsi="宋体" w:eastAsia="宋体" w:cs="宋体"/>
          <w:spacing w:val="3"/>
          <w:sz w:val="24"/>
          <w:szCs w:val="24"/>
        </w:rPr>
        <w:t>~</w:t>
      </w:r>
      <w:r>
        <w:rPr>
          <w:rFonts w:ascii="Times New Roman" w:hAnsi="Times New Roman" w:eastAsia="Times New Roman" w:cs="Times New Roman"/>
          <w:spacing w:val="3"/>
          <w:sz w:val="24"/>
          <w:szCs w:val="24"/>
        </w:rPr>
        <w:t>250℃</w:t>
      </w:r>
      <w:r>
        <w:rPr>
          <w:rFonts w:ascii="宋体" w:hAnsi="宋体" w:eastAsia="宋体" w:cs="宋体"/>
          <w:spacing w:val="3"/>
          <w:sz w:val="24"/>
          <w:szCs w:val="24"/>
        </w:rPr>
        <w:t>之间，然后进入耐</w:t>
      </w:r>
      <w:r>
        <w:rPr>
          <w:rFonts w:ascii="宋体" w:hAnsi="宋体" w:eastAsia="宋体" w:cs="宋体"/>
          <w:spacing w:val="2"/>
          <w:sz w:val="24"/>
          <w:szCs w:val="24"/>
        </w:rPr>
        <w:t>高温布袋除尘器除尘。</w:t>
      </w:r>
    </w:p>
    <w:p w14:paraId="4BF6860A">
      <w:pPr>
        <w:spacing w:before="37" w:line="369" w:lineRule="auto"/>
        <w:ind w:left="8" w:right="18" w:firstLine="494"/>
        <w:jc w:val="both"/>
        <w:rPr>
          <w:rFonts w:ascii="宋体" w:hAnsi="宋体" w:eastAsia="宋体" w:cs="宋体"/>
          <w:sz w:val="24"/>
          <w:szCs w:val="24"/>
        </w:rPr>
      </w:pPr>
      <w:r>
        <w:rPr>
          <w:rFonts w:ascii="宋体" w:hAnsi="宋体" w:eastAsia="宋体" w:cs="宋体"/>
          <w:spacing w:val="-2"/>
          <w:sz w:val="24"/>
          <w:szCs w:val="24"/>
        </w:rPr>
        <w:t>除尘后的煤气汇入煤气主管道中，在煤气柜进口前设置两组煤气风冷器（二级）和</w:t>
      </w:r>
      <w:r>
        <w:rPr>
          <w:rFonts w:ascii="宋体" w:hAnsi="宋体" w:eastAsia="宋体" w:cs="宋体"/>
          <w:sz w:val="24"/>
          <w:szCs w:val="24"/>
        </w:rPr>
        <w:t xml:space="preserve"> </w:t>
      </w:r>
      <w:r>
        <w:rPr>
          <w:rFonts w:ascii="宋体" w:hAnsi="宋体" w:eastAsia="宋体" w:cs="宋体"/>
          <w:spacing w:val="-3"/>
          <w:sz w:val="24"/>
          <w:szCs w:val="24"/>
        </w:rPr>
        <w:t>电捕焦油器，进一步降低煤气温度 (</w:t>
      </w:r>
      <w:r>
        <w:rPr>
          <w:rFonts w:ascii="Times New Roman" w:hAnsi="Times New Roman" w:eastAsia="Times New Roman" w:cs="Times New Roman"/>
          <w:spacing w:val="-3"/>
          <w:sz w:val="24"/>
          <w:szCs w:val="24"/>
        </w:rPr>
        <w:t>≤40℃</w:t>
      </w:r>
      <w:r>
        <w:rPr>
          <w:rFonts w:ascii="宋体" w:hAnsi="宋体" w:eastAsia="宋体" w:cs="宋体"/>
          <w:spacing w:val="-3"/>
          <w:sz w:val="24"/>
          <w:szCs w:val="24"/>
        </w:rPr>
        <w:t>) 和脱除煤气中的水分、焦油、灰尘等杂质。</w:t>
      </w:r>
      <w:r>
        <w:rPr>
          <w:rFonts w:ascii="宋体" w:hAnsi="宋体" w:eastAsia="宋体" w:cs="宋体"/>
          <w:spacing w:val="10"/>
          <w:sz w:val="24"/>
          <w:szCs w:val="24"/>
        </w:rPr>
        <w:t xml:space="preserve"> </w:t>
      </w:r>
      <w:r>
        <w:rPr>
          <w:rFonts w:ascii="宋体" w:hAnsi="宋体" w:eastAsia="宋体" w:cs="宋体"/>
          <w:spacing w:val="-2"/>
          <w:sz w:val="24"/>
          <w:szCs w:val="24"/>
        </w:rPr>
        <w:t>洁净煤气通过煤气柜进行稳压、缓存，再由气柜出口设置的加压机升压至</w:t>
      </w:r>
      <w:r>
        <w:rPr>
          <w:rFonts w:ascii="宋体" w:hAnsi="宋体" w:eastAsia="宋体" w:cs="宋体"/>
          <w:spacing w:val="-17"/>
          <w:sz w:val="24"/>
          <w:szCs w:val="24"/>
        </w:rPr>
        <w:t xml:space="preserve"> </w:t>
      </w:r>
      <w:r>
        <w:rPr>
          <w:rFonts w:ascii="Times New Roman" w:hAnsi="Times New Roman" w:eastAsia="Times New Roman" w:cs="Times New Roman"/>
          <w:spacing w:val="-2"/>
          <w:sz w:val="24"/>
          <w:szCs w:val="24"/>
        </w:rPr>
        <w:t>10±2kPa</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，再</w:t>
      </w:r>
      <w:r>
        <w:rPr>
          <w:rFonts w:ascii="宋体" w:hAnsi="宋体" w:eastAsia="宋体" w:cs="宋体"/>
          <w:sz w:val="24"/>
          <w:szCs w:val="24"/>
        </w:rPr>
        <w:t xml:space="preserve"> </w:t>
      </w:r>
      <w:r>
        <w:rPr>
          <w:rFonts w:ascii="宋体" w:hAnsi="宋体" w:eastAsia="宋体" w:cs="宋体"/>
          <w:spacing w:val="-1"/>
          <w:sz w:val="24"/>
          <w:szCs w:val="24"/>
        </w:rPr>
        <w:t>通过精过滤器进一步过滤（过滤焦油、灰尘）后送往用气环节。</w:t>
      </w:r>
    </w:p>
    <w:p w14:paraId="5CCCCB4B">
      <w:pPr>
        <w:spacing w:before="37" w:line="369" w:lineRule="auto"/>
        <w:ind w:left="7" w:right="18" w:firstLine="481"/>
        <w:jc w:val="both"/>
        <w:rPr>
          <w:rFonts w:ascii="宋体" w:hAnsi="宋体" w:eastAsia="宋体" w:cs="宋体"/>
          <w:sz w:val="24"/>
          <w:szCs w:val="24"/>
        </w:rPr>
      </w:pPr>
      <w:r>
        <w:rPr>
          <w:rFonts w:ascii="宋体" w:hAnsi="宋体" w:eastAsia="宋体" w:cs="宋体"/>
          <w:spacing w:val="-4"/>
          <w:sz w:val="24"/>
          <w:szCs w:val="24"/>
        </w:rPr>
        <w:t>整个净化系统采用计算机自动控制，通过风机来调整炉内压力，通过在线</w:t>
      </w:r>
      <w:r>
        <w:rPr>
          <w:rFonts w:ascii="宋体" w:hAnsi="宋体" w:eastAsia="宋体" w:cs="宋体"/>
          <w:spacing w:val="-49"/>
          <w:sz w:val="24"/>
          <w:szCs w:val="24"/>
        </w:rPr>
        <w:t xml:space="preserve"> </w:t>
      </w:r>
      <w:r>
        <w:rPr>
          <w:rFonts w:ascii="Times New Roman" w:hAnsi="Times New Roman" w:eastAsia="Times New Roman" w:cs="Times New Roman"/>
          <w:spacing w:val="-4"/>
          <w:sz w:val="24"/>
          <w:szCs w:val="24"/>
        </w:rPr>
        <w:t>CO</w:t>
      </w:r>
      <w:r>
        <w:rPr>
          <w:rFonts w:ascii="宋体" w:hAnsi="宋体" w:eastAsia="宋体" w:cs="宋体"/>
          <w:spacing w:val="-4"/>
          <w:sz w:val="24"/>
          <w:szCs w:val="24"/>
        </w:rPr>
        <w:t>、</w:t>
      </w:r>
      <w:r>
        <w:rPr>
          <w:rFonts w:ascii="Times New Roman" w:hAnsi="Times New Roman" w:eastAsia="Times New Roman" w:cs="Times New Roman"/>
          <w:spacing w:val="-4"/>
          <w:sz w:val="24"/>
          <w:szCs w:val="24"/>
        </w:rPr>
        <w:t>H</w:t>
      </w:r>
      <w:r>
        <w:rPr>
          <w:rFonts w:ascii="Times New Roman" w:hAnsi="Times New Roman" w:eastAsia="Times New Roman" w:cs="Times New Roman"/>
          <w:spacing w:val="-4"/>
          <w:position w:val="-1"/>
          <w:sz w:val="15"/>
          <w:szCs w:val="15"/>
        </w:rPr>
        <w:t>2</w:t>
      </w:r>
      <w:r>
        <w:rPr>
          <w:rFonts w:ascii="宋体" w:hAnsi="宋体" w:eastAsia="宋体" w:cs="宋体"/>
          <w:spacing w:val="-4"/>
          <w:sz w:val="24"/>
          <w:szCs w:val="24"/>
        </w:rPr>
        <w:t>、</w:t>
      </w:r>
      <w:r>
        <w:rPr>
          <w:rFonts w:ascii="宋体" w:hAnsi="宋体" w:eastAsia="宋体" w:cs="宋体"/>
          <w:sz w:val="24"/>
          <w:szCs w:val="24"/>
        </w:rPr>
        <w:t xml:space="preserve"> </w:t>
      </w:r>
      <w:r>
        <w:rPr>
          <w:rFonts w:ascii="Times New Roman" w:hAnsi="Times New Roman" w:eastAsia="Times New Roman" w:cs="Times New Roman"/>
          <w:spacing w:val="-3"/>
          <w:sz w:val="24"/>
          <w:szCs w:val="24"/>
        </w:rPr>
        <w:t>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14"/>
          <w:position w:val="-1"/>
          <w:sz w:val="15"/>
          <w:szCs w:val="15"/>
        </w:rPr>
        <w:t xml:space="preserve"> </w:t>
      </w:r>
      <w:r>
        <w:rPr>
          <w:rFonts w:ascii="宋体" w:hAnsi="宋体" w:eastAsia="宋体" w:cs="宋体"/>
          <w:spacing w:val="-3"/>
          <w:sz w:val="24"/>
          <w:szCs w:val="24"/>
        </w:rPr>
        <w:t>分析仪监测煤气净化系统运行，当煤气中氧、氢含量超标等危及设备、人身安全的信</w:t>
      </w:r>
      <w:r>
        <w:rPr>
          <w:rFonts w:ascii="宋体" w:hAnsi="宋体" w:eastAsia="宋体" w:cs="宋体"/>
          <w:sz w:val="24"/>
          <w:szCs w:val="24"/>
        </w:rPr>
        <w:t xml:space="preserve"> </w:t>
      </w:r>
      <w:r>
        <w:rPr>
          <w:rFonts w:ascii="宋体" w:hAnsi="宋体" w:eastAsia="宋体" w:cs="宋体"/>
          <w:spacing w:val="-6"/>
          <w:sz w:val="24"/>
          <w:szCs w:val="24"/>
        </w:rPr>
        <w:t>号，计算机系统发出声光报警信号同时切断煤气净化系统，使煤气从放散烟囱点火放散，</w:t>
      </w:r>
      <w:r>
        <w:rPr>
          <w:rFonts w:ascii="宋体" w:hAnsi="宋体" w:eastAsia="宋体" w:cs="宋体"/>
          <w:spacing w:val="16"/>
          <w:sz w:val="24"/>
          <w:szCs w:val="24"/>
        </w:rPr>
        <w:t xml:space="preserve"> </w:t>
      </w:r>
      <w:r>
        <w:rPr>
          <w:rFonts w:ascii="宋体" w:hAnsi="宋体" w:eastAsia="宋体" w:cs="宋体"/>
          <w:sz w:val="24"/>
          <w:szCs w:val="24"/>
        </w:rPr>
        <w:t>以确保系统安全。通过时间控制或压力检测进行布袋除尘器</w:t>
      </w:r>
      <w:r>
        <w:rPr>
          <w:rFonts w:ascii="宋体" w:hAnsi="宋体" w:eastAsia="宋体" w:cs="宋体"/>
          <w:spacing w:val="-1"/>
          <w:sz w:val="24"/>
          <w:szCs w:val="24"/>
        </w:rPr>
        <w:t>清灰，由</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 xml:space="preserve">PLC </w:t>
      </w:r>
      <w:r>
        <w:rPr>
          <w:rFonts w:ascii="宋体" w:hAnsi="宋体" w:eastAsia="宋体" w:cs="宋体"/>
          <w:spacing w:val="-1"/>
          <w:sz w:val="24"/>
          <w:szCs w:val="24"/>
        </w:rPr>
        <w:t>程序实现。</w:t>
      </w:r>
    </w:p>
    <w:p w14:paraId="0D6F2C82">
      <w:pPr>
        <w:spacing w:before="37" w:line="363" w:lineRule="auto"/>
        <w:ind w:left="10" w:right="99" w:firstLine="481"/>
        <w:rPr>
          <w:rFonts w:ascii="宋体" w:hAnsi="宋体" w:eastAsia="宋体" w:cs="宋体"/>
          <w:sz w:val="24"/>
          <w:szCs w:val="24"/>
        </w:rPr>
      </w:pPr>
      <w:r>
        <w:rPr>
          <w:rFonts w:ascii="宋体" w:hAnsi="宋体" w:eastAsia="宋体" w:cs="宋体"/>
          <w:spacing w:val="-2"/>
          <w:sz w:val="24"/>
          <w:szCs w:val="24"/>
        </w:rPr>
        <w:t>该种煤气净化工艺在自治区铁合金企业中广泛应用，技术成熟可靠，在获得经济效</w:t>
      </w:r>
      <w:r>
        <w:rPr>
          <w:rFonts w:ascii="宋体" w:hAnsi="宋体" w:eastAsia="宋体" w:cs="宋体"/>
          <w:spacing w:val="9"/>
          <w:sz w:val="24"/>
          <w:szCs w:val="24"/>
        </w:rPr>
        <w:t xml:space="preserve"> </w:t>
      </w:r>
      <w:r>
        <w:rPr>
          <w:rFonts w:ascii="宋体" w:hAnsi="宋体" w:eastAsia="宋体" w:cs="宋体"/>
          <w:spacing w:val="-1"/>
          <w:sz w:val="24"/>
          <w:szCs w:val="24"/>
        </w:rPr>
        <w:t>益的同时，降低了能耗，减少了碳排放，措施可行。</w:t>
      </w:r>
    </w:p>
    <w:p w14:paraId="02293AC8">
      <w:pPr>
        <w:spacing w:before="93" w:line="219" w:lineRule="auto"/>
        <w:ind w:left="9"/>
        <w:outlineLvl w:val="2"/>
        <w:rPr>
          <w:rFonts w:ascii="宋体" w:hAnsi="宋体" w:eastAsia="宋体" w:cs="宋体"/>
          <w:sz w:val="28"/>
          <w:szCs w:val="28"/>
        </w:rPr>
      </w:pPr>
      <w:bookmarkStart w:id="438" w:name="bookmark344"/>
      <w:bookmarkEnd w:id="438"/>
      <w:r>
        <w:rPr>
          <w:rFonts w:ascii="Times New Roman" w:hAnsi="Times New Roman" w:eastAsia="Times New Roman" w:cs="Times New Roman"/>
          <w:b/>
          <w:bCs/>
          <w:spacing w:val="-2"/>
          <w:sz w:val="28"/>
          <w:szCs w:val="28"/>
        </w:rPr>
        <w:t xml:space="preserve">6.1.2 </w:t>
      </w:r>
      <w:r>
        <w:rPr>
          <w:rFonts w:ascii="宋体" w:hAnsi="宋体" w:eastAsia="宋体" w:cs="宋体"/>
          <w:b/>
          <w:bCs/>
          <w:spacing w:val="-2"/>
          <w:sz w:val="28"/>
          <w:szCs w:val="28"/>
        </w:rPr>
        <w:t>配料、加料、出铁出渣及浇铸、焦炭干燥、锰矿石干燥等含尘废气防</w:t>
      </w:r>
    </w:p>
    <w:p w14:paraId="1BA32FD4">
      <w:pPr>
        <w:spacing w:before="320" w:line="221" w:lineRule="auto"/>
        <w:ind w:left="16"/>
        <w:outlineLvl w:val="2"/>
        <w:rPr>
          <w:rFonts w:ascii="宋体" w:hAnsi="宋体" w:eastAsia="宋体" w:cs="宋体"/>
          <w:sz w:val="28"/>
          <w:szCs w:val="28"/>
        </w:rPr>
      </w:pPr>
      <w:r>
        <w:rPr>
          <w:rFonts w:ascii="宋体" w:hAnsi="宋体" w:eastAsia="宋体" w:cs="宋体"/>
          <w:b/>
          <w:bCs/>
          <w:spacing w:val="-8"/>
          <w:sz w:val="28"/>
          <w:szCs w:val="28"/>
        </w:rPr>
        <w:t>治措施</w:t>
      </w:r>
    </w:p>
    <w:p w14:paraId="46E3DF31">
      <w:pPr>
        <w:spacing w:before="259" w:line="369" w:lineRule="auto"/>
        <w:ind w:left="7" w:firstLine="480"/>
        <w:rPr>
          <w:rFonts w:ascii="宋体" w:hAnsi="宋体" w:eastAsia="宋体" w:cs="宋体"/>
          <w:sz w:val="24"/>
          <w:szCs w:val="24"/>
        </w:rPr>
      </w:pPr>
      <w:r>
        <w:rPr>
          <w:rFonts w:ascii="宋体" w:hAnsi="宋体" w:eastAsia="宋体" w:cs="宋体"/>
          <w:spacing w:val="-2"/>
          <w:sz w:val="24"/>
          <w:szCs w:val="24"/>
        </w:rPr>
        <w:t>锰硅合金生产破碎、烧结配料、烧结机出料、电炉炉顶加料、出铁出渣及浇铸等过</w:t>
      </w:r>
      <w:r>
        <w:rPr>
          <w:rFonts w:ascii="宋体" w:hAnsi="宋体" w:eastAsia="宋体" w:cs="宋体"/>
          <w:spacing w:val="13"/>
          <w:sz w:val="24"/>
          <w:szCs w:val="24"/>
        </w:rPr>
        <w:t xml:space="preserve"> </w:t>
      </w:r>
      <w:r>
        <w:rPr>
          <w:rFonts w:ascii="宋体" w:hAnsi="宋体" w:eastAsia="宋体" w:cs="宋体"/>
          <w:spacing w:val="-2"/>
          <w:sz w:val="24"/>
          <w:szCs w:val="24"/>
        </w:rPr>
        <w:t>程含尘废气主要污染物为烟粉尘、锰及其化合物，原料大棚主要污染物为粉尘，上述产</w:t>
      </w:r>
      <w:r>
        <w:rPr>
          <w:rFonts w:ascii="宋体" w:hAnsi="宋体" w:eastAsia="宋体" w:cs="宋体"/>
          <w:spacing w:val="18"/>
          <w:sz w:val="24"/>
          <w:szCs w:val="24"/>
        </w:rPr>
        <w:t xml:space="preserve"> </w:t>
      </w:r>
      <w:r>
        <w:rPr>
          <w:rFonts w:ascii="宋体" w:hAnsi="宋体" w:eastAsia="宋体" w:cs="宋体"/>
          <w:spacing w:val="3"/>
          <w:sz w:val="24"/>
          <w:szCs w:val="24"/>
        </w:rPr>
        <w:t>尘环节均配置布袋除尘器（或旋风</w:t>
      </w:r>
      <w:r>
        <w:rPr>
          <w:rFonts w:ascii="Times New Roman" w:hAnsi="Times New Roman" w:eastAsia="Times New Roman" w:cs="Times New Roman"/>
          <w:spacing w:val="3"/>
          <w:sz w:val="24"/>
          <w:szCs w:val="24"/>
        </w:rPr>
        <w:t>+</w:t>
      </w:r>
      <w:r>
        <w:rPr>
          <w:rFonts w:ascii="宋体" w:hAnsi="宋体" w:eastAsia="宋体" w:cs="宋体"/>
          <w:spacing w:val="3"/>
          <w:sz w:val="24"/>
          <w:szCs w:val="24"/>
        </w:rPr>
        <w:t>布袋除尘器</w:t>
      </w:r>
      <w:r>
        <w:rPr>
          <w:rFonts w:ascii="宋体" w:hAnsi="宋体" w:eastAsia="宋体" w:cs="宋体"/>
          <w:spacing w:val="2"/>
          <w:sz w:val="24"/>
          <w:szCs w:val="24"/>
        </w:rPr>
        <w:t>）进行处理，除尘效率在</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99.5%</w:t>
      </w:r>
      <w:r>
        <w:rPr>
          <w:rFonts w:ascii="宋体" w:hAnsi="宋体" w:eastAsia="宋体" w:cs="宋体"/>
          <w:spacing w:val="2"/>
          <w:sz w:val="24"/>
          <w:szCs w:val="24"/>
        </w:rPr>
        <w:t>以上，</w:t>
      </w:r>
      <w:r>
        <w:rPr>
          <w:rFonts w:ascii="宋体" w:hAnsi="宋体" w:eastAsia="宋体" w:cs="宋体"/>
          <w:sz w:val="24"/>
          <w:szCs w:val="24"/>
        </w:rPr>
        <w:t xml:space="preserve"> </w:t>
      </w:r>
      <w:r>
        <w:rPr>
          <w:rFonts w:ascii="宋体" w:hAnsi="宋体" w:eastAsia="宋体" w:cs="宋体"/>
          <w:spacing w:val="-11"/>
          <w:sz w:val="24"/>
          <w:szCs w:val="24"/>
        </w:rPr>
        <w:t>经处理后颗粒物、锰及其化合物浓度满足《铁合金工业污染物排放标准》（</w:t>
      </w:r>
      <w:r>
        <w:rPr>
          <w:rFonts w:ascii="Times New Roman" w:hAnsi="Times New Roman" w:eastAsia="Times New Roman" w:cs="Times New Roman"/>
          <w:spacing w:val="-11"/>
          <w:sz w:val="24"/>
          <w:szCs w:val="24"/>
        </w:rPr>
        <w:t>GB28666-2012</w:t>
      </w:r>
      <w:r>
        <w:rPr>
          <w:rFonts w:ascii="宋体" w:hAnsi="宋体" w:eastAsia="宋体" w:cs="宋体"/>
          <w:spacing w:val="-11"/>
          <w:sz w:val="24"/>
          <w:szCs w:val="24"/>
        </w:rPr>
        <w:t>）</w:t>
      </w:r>
    </w:p>
    <w:p w14:paraId="256D2C94">
      <w:pPr>
        <w:spacing w:line="369" w:lineRule="auto"/>
        <w:rPr>
          <w:rFonts w:ascii="宋体" w:hAnsi="宋体" w:eastAsia="宋体" w:cs="宋体"/>
          <w:sz w:val="24"/>
          <w:szCs w:val="24"/>
        </w:rPr>
        <w:sectPr>
          <w:headerReference r:id="rId443" w:type="default"/>
          <w:footerReference r:id="rId444" w:type="default"/>
          <w:pgSz w:w="11906" w:h="16839"/>
          <w:pgMar w:top="1190" w:right="1318" w:bottom="1221" w:left="1417" w:header="882" w:footer="1058" w:gutter="0"/>
          <w:cols w:space="720" w:num="1"/>
        </w:sectPr>
      </w:pPr>
    </w:p>
    <w:p w14:paraId="7F7BBB5E">
      <w:pPr>
        <w:spacing w:line="28" w:lineRule="exact"/>
      </w:pPr>
      <w:r>
        <w:pict>
          <v:shape id="_x0000_s2026" o:spid="_x0000_s2026" style="height:1.45pt;width:453.65pt;" fillcolor="#000000" filled="t" stroked="f" coordsize="9072,29" path="m0,0l9072,0,9072,28,0,28,0,0xe">
            <v:path/>
            <v:fill on="t" focussize="0,0"/>
            <v:stroke on="f"/>
            <v:imagedata o:title=""/>
            <o:lock v:ext="edit"/>
            <w10:wrap type="none"/>
            <w10:anchorlock/>
          </v:shape>
        </w:pict>
      </w:r>
    </w:p>
    <w:p w14:paraId="31018444">
      <w:pPr>
        <w:pStyle w:val="2"/>
        <w:spacing w:line="243" w:lineRule="auto"/>
      </w:pPr>
    </w:p>
    <w:p w14:paraId="0FB8F599">
      <w:pPr>
        <w:spacing w:before="78" w:line="219" w:lineRule="auto"/>
        <w:ind w:left="7"/>
        <w:rPr>
          <w:rFonts w:ascii="宋体" w:hAnsi="宋体" w:eastAsia="宋体" w:cs="宋体"/>
          <w:sz w:val="24"/>
          <w:szCs w:val="24"/>
        </w:rPr>
      </w:pPr>
      <w:r>
        <w:rPr>
          <w:rFonts w:ascii="宋体" w:hAnsi="宋体" w:eastAsia="宋体" w:cs="宋体"/>
          <w:spacing w:val="-2"/>
          <w:sz w:val="24"/>
          <w:szCs w:val="24"/>
        </w:rPr>
        <w:t>表</w:t>
      </w:r>
      <w:r>
        <w:rPr>
          <w:rFonts w:ascii="宋体" w:hAnsi="宋体" w:eastAsia="宋体" w:cs="宋体"/>
          <w:spacing w:val="-40"/>
          <w:sz w:val="24"/>
          <w:szCs w:val="24"/>
        </w:rPr>
        <w:t xml:space="preserve"> </w:t>
      </w:r>
      <w:r>
        <w:rPr>
          <w:rFonts w:ascii="Times New Roman" w:hAnsi="Times New Roman" w:eastAsia="Times New Roman" w:cs="Times New Roman"/>
          <w:spacing w:val="-2"/>
          <w:sz w:val="24"/>
          <w:szCs w:val="24"/>
        </w:rPr>
        <w:t xml:space="preserve">6 </w:t>
      </w:r>
      <w:r>
        <w:rPr>
          <w:rFonts w:ascii="宋体" w:hAnsi="宋体" w:eastAsia="宋体" w:cs="宋体"/>
          <w:spacing w:val="-2"/>
          <w:sz w:val="24"/>
          <w:szCs w:val="24"/>
        </w:rPr>
        <w:t>大气污染物特别排放限值。</w:t>
      </w:r>
    </w:p>
    <w:p w14:paraId="16AB61E7">
      <w:pPr>
        <w:spacing w:before="204"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）旋风除尘器</w:t>
      </w:r>
    </w:p>
    <w:p w14:paraId="089EEFC7">
      <w:pPr>
        <w:spacing w:before="201" w:line="370" w:lineRule="auto"/>
        <w:ind w:left="8" w:right="77" w:firstLine="481"/>
        <w:jc w:val="both"/>
        <w:rPr>
          <w:rFonts w:ascii="宋体" w:hAnsi="宋体" w:eastAsia="宋体" w:cs="宋体"/>
          <w:sz w:val="24"/>
          <w:szCs w:val="24"/>
        </w:rPr>
      </w:pPr>
      <w:r>
        <w:rPr>
          <w:rFonts w:ascii="宋体" w:hAnsi="宋体" w:eastAsia="宋体" w:cs="宋体"/>
          <w:spacing w:val="-2"/>
          <w:sz w:val="24"/>
          <w:szCs w:val="24"/>
        </w:rPr>
        <w:t>旋风除尘器是由进气管、排气管、圆筒体、圆锥体和灰斗组成，除尘机理是使含尘</w:t>
      </w:r>
      <w:r>
        <w:rPr>
          <w:rFonts w:ascii="宋体" w:hAnsi="宋体" w:eastAsia="宋体" w:cs="宋体"/>
          <w:spacing w:val="11"/>
          <w:sz w:val="24"/>
          <w:szCs w:val="24"/>
        </w:rPr>
        <w:t xml:space="preserve"> </w:t>
      </w:r>
      <w:r>
        <w:rPr>
          <w:rFonts w:ascii="宋体" w:hAnsi="宋体" w:eastAsia="宋体" w:cs="宋体"/>
          <w:spacing w:val="-2"/>
          <w:sz w:val="24"/>
          <w:szCs w:val="24"/>
        </w:rPr>
        <w:t>气流作旋转运动，借助于离心力将尘粒从气流中分离并捕集于器壁，再借助重力作用使</w:t>
      </w:r>
      <w:r>
        <w:rPr>
          <w:rFonts w:ascii="宋体" w:hAnsi="宋体" w:eastAsia="宋体" w:cs="宋体"/>
          <w:spacing w:val="17"/>
          <w:sz w:val="24"/>
          <w:szCs w:val="24"/>
        </w:rPr>
        <w:t xml:space="preserve"> </w:t>
      </w:r>
      <w:r>
        <w:rPr>
          <w:rFonts w:ascii="宋体" w:hAnsi="宋体" w:eastAsia="宋体" w:cs="宋体"/>
          <w:spacing w:val="1"/>
          <w:sz w:val="24"/>
          <w:szCs w:val="24"/>
        </w:rPr>
        <w:t>尘粒落入灰斗，可用于高温、高含尘量的废气，除</w:t>
      </w:r>
      <w:r>
        <w:rPr>
          <w:rFonts w:ascii="宋体" w:hAnsi="宋体" w:eastAsia="宋体" w:cs="宋体"/>
          <w:sz w:val="24"/>
          <w:szCs w:val="24"/>
        </w:rPr>
        <w:t>尘效率在</w:t>
      </w:r>
      <w:r>
        <w:rPr>
          <w:rFonts w:ascii="宋体" w:hAnsi="宋体" w:eastAsia="宋体" w:cs="宋体"/>
          <w:spacing w:val="-48"/>
          <w:sz w:val="24"/>
          <w:szCs w:val="24"/>
        </w:rPr>
        <w:t xml:space="preserve"> </w:t>
      </w:r>
      <w:r>
        <w:rPr>
          <w:rFonts w:ascii="Times New Roman" w:hAnsi="Times New Roman" w:eastAsia="Times New Roman" w:cs="Times New Roman"/>
          <w:sz w:val="24"/>
          <w:szCs w:val="24"/>
        </w:rPr>
        <w:t>70~85%</w:t>
      </w:r>
      <w:r>
        <w:rPr>
          <w:rFonts w:ascii="宋体" w:hAnsi="宋体" w:eastAsia="宋体" w:cs="宋体"/>
          <w:sz w:val="24"/>
          <w:szCs w:val="24"/>
        </w:rPr>
        <w:t>之间。旋风除尘器 适合去除粒径较大的颗粒物，同时可以给废气进行降温</w:t>
      </w:r>
      <w:r>
        <w:rPr>
          <w:rFonts w:ascii="宋体" w:hAnsi="宋体" w:eastAsia="宋体" w:cs="宋体"/>
          <w:spacing w:val="-1"/>
          <w:sz w:val="24"/>
          <w:szCs w:val="24"/>
        </w:rPr>
        <w:t>，适宜作为预除尘设施。</w:t>
      </w:r>
    </w:p>
    <w:p w14:paraId="2BE87474">
      <w:pPr>
        <w:spacing w:before="33"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）袋式除尘器</w:t>
      </w:r>
    </w:p>
    <w:p w14:paraId="1D044B70">
      <w:pPr>
        <w:spacing w:before="214" w:line="374" w:lineRule="auto"/>
        <w:ind w:left="8" w:firstLine="480"/>
        <w:jc w:val="both"/>
        <w:rPr>
          <w:rFonts w:ascii="宋体" w:hAnsi="宋体" w:eastAsia="宋体" w:cs="宋体"/>
          <w:sz w:val="24"/>
          <w:szCs w:val="24"/>
        </w:rPr>
      </w:pPr>
      <w:r>
        <w:rPr>
          <w:rFonts w:ascii="宋体" w:hAnsi="宋体" w:eastAsia="宋体" w:cs="宋体"/>
          <w:spacing w:val="-6"/>
          <w:sz w:val="24"/>
          <w:szCs w:val="24"/>
        </w:rPr>
        <w:t>袋式除尘器主要由底部钢结构、灰斗、上箱体、箱体、进出风口、滤袋、清灰装置、</w:t>
      </w:r>
      <w:r>
        <w:rPr>
          <w:rFonts w:ascii="宋体" w:hAnsi="宋体" w:eastAsia="宋体" w:cs="宋体"/>
          <w:spacing w:val="3"/>
          <w:sz w:val="24"/>
          <w:szCs w:val="24"/>
        </w:rPr>
        <w:t xml:space="preserve"> </w:t>
      </w:r>
      <w:r>
        <w:rPr>
          <w:rFonts w:ascii="宋体" w:hAnsi="宋体" w:eastAsia="宋体" w:cs="宋体"/>
          <w:spacing w:val="-2"/>
          <w:sz w:val="24"/>
          <w:szCs w:val="24"/>
        </w:rPr>
        <w:t>电气控制等几部分组成。含尘气体由进风口进入，经过灰斗时，气体中部分大颗粒粉尘</w:t>
      </w:r>
      <w:r>
        <w:rPr>
          <w:rFonts w:ascii="宋体" w:hAnsi="宋体" w:eastAsia="宋体" w:cs="宋体"/>
          <w:spacing w:val="17"/>
          <w:sz w:val="24"/>
          <w:szCs w:val="24"/>
        </w:rPr>
        <w:t xml:space="preserve"> </w:t>
      </w:r>
      <w:r>
        <w:rPr>
          <w:rFonts w:ascii="宋体" w:hAnsi="宋体" w:eastAsia="宋体" w:cs="宋体"/>
          <w:spacing w:val="-2"/>
          <w:sz w:val="24"/>
          <w:szCs w:val="24"/>
        </w:rPr>
        <w:t>受惯性力和重力作用被分离出来，直接落入灰斗底部。含尘气体通过灰斗后进入中箱体</w:t>
      </w:r>
      <w:r>
        <w:rPr>
          <w:rFonts w:ascii="宋体" w:hAnsi="宋体" w:eastAsia="宋体" w:cs="宋体"/>
          <w:spacing w:val="17"/>
          <w:sz w:val="24"/>
          <w:szCs w:val="24"/>
        </w:rPr>
        <w:t xml:space="preserve"> </w:t>
      </w:r>
      <w:r>
        <w:rPr>
          <w:rFonts w:ascii="宋体" w:hAnsi="宋体" w:eastAsia="宋体" w:cs="宋体"/>
          <w:spacing w:val="-2"/>
          <w:sz w:val="24"/>
          <w:szCs w:val="24"/>
        </w:rPr>
        <w:t>的滤袋过滤区，气体穿过滤袋，粉尘被阻留在滤袋外表面，净化后的气体经滤袋口进入</w:t>
      </w:r>
      <w:r>
        <w:rPr>
          <w:rFonts w:ascii="宋体" w:hAnsi="宋体" w:eastAsia="宋体" w:cs="宋体"/>
          <w:spacing w:val="17"/>
          <w:sz w:val="24"/>
          <w:szCs w:val="24"/>
        </w:rPr>
        <w:t xml:space="preserve"> </w:t>
      </w:r>
      <w:r>
        <w:rPr>
          <w:rFonts w:ascii="宋体" w:hAnsi="宋体" w:eastAsia="宋体" w:cs="宋体"/>
          <w:spacing w:val="-2"/>
          <w:sz w:val="24"/>
          <w:szCs w:val="24"/>
        </w:rPr>
        <w:t>上箱体后，再由出风口排出。随着过滤时间的延长，滤袋上的粉尘层不断积厚，除尘设</w:t>
      </w:r>
      <w:r>
        <w:rPr>
          <w:rFonts w:ascii="宋体" w:hAnsi="宋体" w:eastAsia="宋体" w:cs="宋体"/>
          <w:spacing w:val="17"/>
          <w:sz w:val="24"/>
          <w:szCs w:val="24"/>
        </w:rPr>
        <w:t xml:space="preserve"> </w:t>
      </w:r>
      <w:r>
        <w:rPr>
          <w:rFonts w:ascii="宋体" w:hAnsi="宋体" w:eastAsia="宋体" w:cs="宋体"/>
          <w:spacing w:val="-2"/>
          <w:sz w:val="24"/>
          <w:szCs w:val="24"/>
        </w:rPr>
        <w:t>备的阻力不断上升，当设备阻力上升到设定值时，清灰装置开始进行清灰。首先，一个</w:t>
      </w:r>
      <w:r>
        <w:rPr>
          <w:rFonts w:ascii="宋体" w:hAnsi="宋体" w:eastAsia="宋体" w:cs="宋体"/>
          <w:spacing w:val="17"/>
          <w:sz w:val="24"/>
          <w:szCs w:val="24"/>
        </w:rPr>
        <w:t xml:space="preserve"> </w:t>
      </w:r>
      <w:r>
        <w:rPr>
          <w:rFonts w:ascii="宋体" w:hAnsi="宋体" w:eastAsia="宋体" w:cs="宋体"/>
          <w:spacing w:val="-2"/>
          <w:sz w:val="24"/>
          <w:szCs w:val="24"/>
        </w:rPr>
        <w:t>分室提升阀关闭，将过滤气流截断，然后电磁脉冲阀开启，压缩空气以极短促的时间在</w:t>
      </w:r>
      <w:r>
        <w:rPr>
          <w:rFonts w:ascii="宋体" w:hAnsi="宋体" w:eastAsia="宋体" w:cs="宋体"/>
          <w:spacing w:val="17"/>
          <w:sz w:val="24"/>
          <w:szCs w:val="24"/>
        </w:rPr>
        <w:t xml:space="preserve"> </w:t>
      </w:r>
      <w:r>
        <w:rPr>
          <w:rFonts w:ascii="宋体" w:hAnsi="宋体" w:eastAsia="宋体" w:cs="宋体"/>
          <w:spacing w:val="-6"/>
          <w:sz w:val="24"/>
          <w:szCs w:val="24"/>
        </w:rPr>
        <w:t>上箱体内迅速膨胀，涌入滤袋，使滤袋膨胀变形产生振动，并在逆向气流冲刷的作用下，</w:t>
      </w:r>
      <w:r>
        <w:rPr>
          <w:rFonts w:ascii="宋体" w:hAnsi="宋体" w:eastAsia="宋体" w:cs="宋体"/>
          <w:spacing w:val="15"/>
          <w:sz w:val="24"/>
          <w:szCs w:val="24"/>
        </w:rPr>
        <w:t xml:space="preserve"> </w:t>
      </w:r>
      <w:r>
        <w:rPr>
          <w:rFonts w:ascii="宋体" w:hAnsi="宋体" w:eastAsia="宋体" w:cs="宋体"/>
          <w:spacing w:val="-2"/>
          <w:sz w:val="24"/>
          <w:szCs w:val="24"/>
        </w:rPr>
        <w:t>附着在滤袋外表面上的粉尘被剥离落入灰斗中。清灰完毕后，电磁脉冲阀关闭，提升阀</w:t>
      </w:r>
      <w:r>
        <w:rPr>
          <w:rFonts w:ascii="宋体" w:hAnsi="宋体" w:eastAsia="宋体" w:cs="宋体"/>
          <w:spacing w:val="17"/>
          <w:sz w:val="24"/>
          <w:szCs w:val="24"/>
        </w:rPr>
        <w:t xml:space="preserve"> </w:t>
      </w:r>
      <w:r>
        <w:rPr>
          <w:rFonts w:ascii="宋体" w:hAnsi="宋体" w:eastAsia="宋体" w:cs="宋体"/>
          <w:spacing w:val="-2"/>
          <w:sz w:val="24"/>
          <w:szCs w:val="24"/>
        </w:rPr>
        <w:t>打开，该室又恢复过滤状态。清灰各室依次进行，从第一室清灰开始至下一次清灰开始</w:t>
      </w:r>
      <w:r>
        <w:rPr>
          <w:rFonts w:ascii="宋体" w:hAnsi="宋体" w:eastAsia="宋体" w:cs="宋体"/>
          <w:spacing w:val="17"/>
          <w:sz w:val="24"/>
          <w:szCs w:val="24"/>
        </w:rPr>
        <w:t xml:space="preserve"> </w:t>
      </w:r>
      <w:r>
        <w:rPr>
          <w:rFonts w:ascii="宋体" w:hAnsi="宋体" w:eastAsia="宋体" w:cs="宋体"/>
          <w:spacing w:val="-2"/>
          <w:sz w:val="24"/>
          <w:szCs w:val="24"/>
        </w:rPr>
        <w:t>为一个清灰周期。经过过滤和清灰工作被截留下来的粉尘落入灰斗，再由灰斗口的卸灰</w:t>
      </w:r>
      <w:r>
        <w:rPr>
          <w:rFonts w:ascii="宋体" w:hAnsi="宋体" w:eastAsia="宋体" w:cs="宋体"/>
          <w:spacing w:val="17"/>
          <w:sz w:val="24"/>
          <w:szCs w:val="24"/>
        </w:rPr>
        <w:t xml:space="preserve"> </w:t>
      </w:r>
      <w:r>
        <w:rPr>
          <w:rFonts w:ascii="宋体" w:hAnsi="宋体" w:eastAsia="宋体" w:cs="宋体"/>
          <w:spacing w:val="-2"/>
          <w:sz w:val="24"/>
          <w:szCs w:val="24"/>
        </w:rPr>
        <w:t>装置集中排出。袋式除尘器具有以下特点：适应高浓度除尘；采用离线清灰技术进行分</w:t>
      </w:r>
      <w:r>
        <w:rPr>
          <w:rFonts w:ascii="宋体" w:hAnsi="宋体" w:eastAsia="宋体" w:cs="宋体"/>
          <w:spacing w:val="17"/>
          <w:sz w:val="24"/>
          <w:szCs w:val="24"/>
        </w:rPr>
        <w:t xml:space="preserve"> </w:t>
      </w:r>
      <w:r>
        <w:rPr>
          <w:rFonts w:ascii="宋体" w:hAnsi="宋体" w:eastAsia="宋体" w:cs="宋体"/>
          <w:spacing w:val="-1"/>
          <w:sz w:val="24"/>
          <w:szCs w:val="24"/>
        </w:rPr>
        <w:t>室反吹脉冲清灰，既避免了在线式清灰产生的粉尘二次飞扬</w:t>
      </w:r>
      <w:r>
        <w:rPr>
          <w:rFonts w:ascii="Times New Roman" w:hAnsi="Times New Roman" w:eastAsia="Times New Roman" w:cs="Times New Roman"/>
          <w:spacing w:val="-1"/>
          <w:sz w:val="24"/>
          <w:szCs w:val="24"/>
        </w:rPr>
        <w:t>“</w:t>
      </w:r>
      <w:r>
        <w:rPr>
          <w:rFonts w:ascii="宋体" w:hAnsi="宋体" w:eastAsia="宋体" w:cs="宋体"/>
          <w:spacing w:val="-1"/>
          <w:sz w:val="24"/>
          <w:szCs w:val="24"/>
        </w:rPr>
        <w:t>再吸附</w:t>
      </w:r>
      <w:r>
        <w:rPr>
          <w:rFonts w:ascii="Times New Roman" w:hAnsi="Times New Roman" w:eastAsia="Times New Roman" w:cs="Times New Roman"/>
          <w:spacing w:val="-1"/>
          <w:sz w:val="24"/>
          <w:szCs w:val="24"/>
        </w:rPr>
        <w:t>”</w:t>
      </w:r>
      <w:r>
        <w:rPr>
          <w:rFonts w:ascii="宋体" w:hAnsi="宋体" w:eastAsia="宋体" w:cs="宋体"/>
          <w:spacing w:val="-1"/>
          <w:sz w:val="24"/>
          <w:szCs w:val="24"/>
        </w:rPr>
        <w:t>现象，又不影响设</w:t>
      </w:r>
      <w:r>
        <w:rPr>
          <w:rFonts w:ascii="宋体" w:hAnsi="宋体" w:eastAsia="宋体" w:cs="宋体"/>
          <w:spacing w:val="7"/>
          <w:sz w:val="24"/>
          <w:szCs w:val="24"/>
        </w:rPr>
        <w:t xml:space="preserve"> </w:t>
      </w:r>
      <w:r>
        <w:rPr>
          <w:rFonts w:ascii="宋体" w:hAnsi="宋体" w:eastAsia="宋体" w:cs="宋体"/>
          <w:spacing w:val="-6"/>
          <w:sz w:val="24"/>
          <w:szCs w:val="24"/>
        </w:rPr>
        <w:t>备运行工况的正常连续运行，提高了清灰效果，延长了滤袋使用寿命；采用气箱式结构，</w:t>
      </w:r>
      <w:r>
        <w:rPr>
          <w:rFonts w:ascii="宋体" w:hAnsi="宋体" w:eastAsia="宋体" w:cs="宋体"/>
          <w:spacing w:val="15"/>
          <w:sz w:val="24"/>
          <w:szCs w:val="24"/>
        </w:rPr>
        <w:t xml:space="preserve"> </w:t>
      </w:r>
      <w:r>
        <w:rPr>
          <w:rFonts w:ascii="宋体" w:hAnsi="宋体" w:eastAsia="宋体" w:cs="宋体"/>
          <w:spacing w:val="-2"/>
          <w:sz w:val="24"/>
          <w:szCs w:val="24"/>
        </w:rPr>
        <w:t>从而降低了设备的局部阻损，并免除了安装滤袋不方便等问题。袋式除尘器对于工业中</w:t>
      </w:r>
      <w:r>
        <w:rPr>
          <w:rFonts w:ascii="宋体" w:hAnsi="宋体" w:eastAsia="宋体" w:cs="宋体"/>
          <w:spacing w:val="17"/>
          <w:sz w:val="24"/>
          <w:szCs w:val="24"/>
        </w:rPr>
        <w:t xml:space="preserve"> </w:t>
      </w:r>
      <w:r>
        <w:rPr>
          <w:rFonts w:ascii="宋体" w:hAnsi="宋体" w:eastAsia="宋体" w:cs="宋体"/>
          <w:spacing w:val="-1"/>
          <w:sz w:val="24"/>
          <w:szCs w:val="24"/>
        </w:rPr>
        <w:t>的所有粉尘其除尘效率均可达到</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99.5%</w:t>
      </w:r>
      <w:r>
        <w:rPr>
          <w:rFonts w:ascii="宋体" w:hAnsi="宋体" w:eastAsia="宋体" w:cs="宋体"/>
          <w:spacing w:val="-1"/>
          <w:sz w:val="24"/>
          <w:szCs w:val="24"/>
        </w:rPr>
        <w:t>以上。</w:t>
      </w:r>
    </w:p>
    <w:p w14:paraId="1E9569A3">
      <w:pPr>
        <w:spacing w:before="34" w:line="368" w:lineRule="auto"/>
        <w:ind w:left="7" w:right="80" w:firstLine="480"/>
        <w:jc w:val="both"/>
        <w:rPr>
          <w:rFonts w:ascii="宋体" w:hAnsi="宋体" w:eastAsia="宋体" w:cs="宋体"/>
          <w:sz w:val="24"/>
          <w:szCs w:val="24"/>
        </w:rPr>
      </w:pPr>
      <w:r>
        <w:rPr>
          <w:rFonts w:ascii="宋体" w:hAnsi="宋体" w:eastAsia="宋体" w:cs="宋体"/>
          <w:spacing w:val="-2"/>
          <w:sz w:val="24"/>
          <w:szCs w:val="24"/>
        </w:rPr>
        <w:t>布袋除尘可以根据颗粒物性质、浓度的不同，采用不同的滤料，例如对于超细粒径</w:t>
      </w:r>
      <w:r>
        <w:rPr>
          <w:rFonts w:ascii="宋体" w:hAnsi="宋体" w:eastAsia="宋体" w:cs="宋体"/>
          <w:spacing w:val="13"/>
          <w:sz w:val="24"/>
          <w:szCs w:val="24"/>
        </w:rPr>
        <w:t xml:space="preserve"> </w:t>
      </w:r>
      <w:r>
        <w:rPr>
          <w:rFonts w:ascii="宋体" w:hAnsi="宋体" w:eastAsia="宋体" w:cs="宋体"/>
          <w:spacing w:val="-2"/>
          <w:sz w:val="24"/>
          <w:szCs w:val="24"/>
        </w:rPr>
        <w:t>粉尘和粘度比较大的粉尘的含尘废气，采用覆膜滤料或在滤袋的表面预覆保护性粉层的</w:t>
      </w:r>
      <w:r>
        <w:rPr>
          <w:rFonts w:ascii="宋体" w:hAnsi="宋体" w:eastAsia="宋体" w:cs="宋体"/>
          <w:spacing w:val="18"/>
          <w:sz w:val="24"/>
          <w:szCs w:val="24"/>
        </w:rPr>
        <w:t xml:space="preserve"> </w:t>
      </w:r>
      <w:r>
        <w:rPr>
          <w:rFonts w:ascii="宋体" w:hAnsi="宋体" w:eastAsia="宋体" w:cs="宋体"/>
          <w:spacing w:val="-1"/>
          <w:sz w:val="24"/>
          <w:szCs w:val="24"/>
        </w:rPr>
        <w:t>滤袋，提高粉尘处理效率和避免糊袋。</w:t>
      </w:r>
    </w:p>
    <w:p w14:paraId="0999B5AD">
      <w:pPr>
        <w:spacing w:before="32" w:line="363" w:lineRule="auto"/>
        <w:ind w:left="8" w:firstLine="480"/>
        <w:rPr>
          <w:rFonts w:ascii="宋体" w:hAnsi="宋体" w:eastAsia="宋体" w:cs="宋体"/>
          <w:sz w:val="24"/>
          <w:szCs w:val="24"/>
        </w:rPr>
      </w:pPr>
      <w:r>
        <w:rPr>
          <w:rFonts w:ascii="宋体" w:hAnsi="宋体" w:eastAsia="宋体" w:cs="宋体"/>
          <w:sz w:val="24"/>
          <w:szCs w:val="24"/>
        </w:rPr>
        <w:t>本项目各产尘源初始浓度较大，布袋除尘器除尘效率在</w:t>
      </w:r>
      <w:r>
        <w:rPr>
          <w:rFonts w:ascii="宋体" w:hAnsi="宋体" w:eastAsia="宋体" w:cs="宋体"/>
          <w:spacing w:val="-34"/>
          <w:sz w:val="24"/>
          <w:szCs w:val="24"/>
        </w:rPr>
        <w:t xml:space="preserve"> </w:t>
      </w:r>
      <w:r>
        <w:rPr>
          <w:rFonts w:ascii="Times New Roman" w:hAnsi="Times New Roman" w:eastAsia="Times New Roman" w:cs="Times New Roman"/>
          <w:sz w:val="24"/>
          <w:szCs w:val="24"/>
        </w:rPr>
        <w:t>99%</w:t>
      </w:r>
      <w:r>
        <w:rPr>
          <w:rFonts w:ascii="宋体" w:hAnsi="宋体" w:eastAsia="宋体" w:cs="宋体"/>
          <w:sz w:val="24"/>
          <w:szCs w:val="24"/>
        </w:rPr>
        <w:t>以上是可行的，旋风</w:t>
      </w:r>
      <w:r>
        <w:rPr>
          <w:rFonts w:ascii="Times New Roman" w:hAnsi="Times New Roman" w:eastAsia="Times New Roman" w:cs="Times New Roman"/>
          <w:sz w:val="24"/>
          <w:szCs w:val="24"/>
        </w:rPr>
        <w:t xml:space="preserve">+  </w:t>
      </w:r>
      <w:r>
        <w:rPr>
          <w:rFonts w:ascii="宋体" w:hAnsi="宋体" w:eastAsia="宋体" w:cs="宋体"/>
          <w:spacing w:val="-4"/>
          <w:sz w:val="24"/>
          <w:szCs w:val="24"/>
        </w:rPr>
        <w:t>布袋除尘器处理效率在</w:t>
      </w:r>
      <w:r>
        <w:rPr>
          <w:rFonts w:ascii="宋体" w:hAnsi="宋体" w:eastAsia="宋体" w:cs="宋体"/>
          <w:spacing w:val="-58"/>
          <w:sz w:val="24"/>
          <w:szCs w:val="24"/>
        </w:rPr>
        <w:t xml:space="preserve"> </w:t>
      </w:r>
      <w:r>
        <w:rPr>
          <w:rFonts w:ascii="Times New Roman" w:hAnsi="Times New Roman" w:eastAsia="Times New Roman" w:cs="Times New Roman"/>
          <w:spacing w:val="-4"/>
          <w:sz w:val="24"/>
          <w:szCs w:val="24"/>
        </w:rPr>
        <w:t>99.5%</w:t>
      </w:r>
      <w:r>
        <w:rPr>
          <w:rFonts w:ascii="宋体" w:hAnsi="宋体" w:eastAsia="宋体" w:cs="宋体"/>
          <w:spacing w:val="-4"/>
          <w:sz w:val="24"/>
          <w:szCs w:val="24"/>
        </w:rPr>
        <w:t>以上是可行的，选用</w:t>
      </w:r>
      <w:r>
        <w:rPr>
          <w:rFonts w:ascii="宋体" w:hAnsi="宋体" w:eastAsia="宋体" w:cs="宋体"/>
          <w:spacing w:val="-5"/>
          <w:sz w:val="24"/>
          <w:szCs w:val="24"/>
        </w:rPr>
        <w:t>布袋除尘则适应项目的粉尘污染特点。</w:t>
      </w:r>
    </w:p>
    <w:p w14:paraId="6EF8CA38">
      <w:pPr>
        <w:spacing w:line="363" w:lineRule="auto"/>
        <w:rPr>
          <w:rFonts w:ascii="宋体" w:hAnsi="宋体" w:eastAsia="宋体" w:cs="宋体"/>
          <w:sz w:val="24"/>
          <w:szCs w:val="24"/>
        </w:rPr>
        <w:sectPr>
          <w:headerReference r:id="rId445" w:type="default"/>
          <w:footerReference r:id="rId446" w:type="default"/>
          <w:pgSz w:w="11906" w:h="16839"/>
          <w:pgMar w:top="1190" w:right="1337" w:bottom="1221" w:left="1417" w:header="882" w:footer="1059" w:gutter="0"/>
          <w:cols w:space="720" w:num="1"/>
        </w:sectPr>
      </w:pPr>
    </w:p>
    <w:p w14:paraId="28620909">
      <w:pPr>
        <w:spacing w:line="28" w:lineRule="exact"/>
      </w:pPr>
      <w:r>
        <w:pict>
          <v:shape id="_x0000_s2028" o:spid="_x0000_s2028" style="height:1.45pt;width:453.65pt;" fillcolor="#000000" filled="t" stroked="f" coordsize="9072,29" path="m0,0l9072,0,9072,28,0,28,0,0xe">
            <v:path/>
            <v:fill on="t" focussize="0,0"/>
            <v:stroke on="f"/>
            <v:imagedata o:title=""/>
            <o:lock v:ext="edit"/>
            <w10:wrap type="none"/>
            <w10:anchorlock/>
          </v:shape>
        </w:pict>
      </w:r>
    </w:p>
    <w:p w14:paraId="619B3C70">
      <w:pPr>
        <w:pStyle w:val="2"/>
        <w:spacing w:line="243" w:lineRule="auto"/>
      </w:pPr>
    </w:p>
    <w:p w14:paraId="4667F29B">
      <w:pPr>
        <w:spacing w:before="78" w:line="363" w:lineRule="auto"/>
        <w:ind w:left="9" w:right="61" w:firstLine="1"/>
        <w:rPr>
          <w:rFonts w:ascii="宋体" w:hAnsi="宋体" w:eastAsia="宋体" w:cs="宋体"/>
          <w:sz w:val="24"/>
          <w:szCs w:val="24"/>
        </w:rPr>
      </w:pPr>
      <w:r>
        <w:rPr>
          <w:rFonts w:ascii="宋体" w:hAnsi="宋体" w:eastAsia="宋体" w:cs="宋体"/>
          <w:spacing w:val="-2"/>
          <w:sz w:val="24"/>
          <w:szCs w:val="24"/>
        </w:rPr>
        <w:t>为了更好的控制粉尘的排放情况，建议建设单位在除尘器上安装自动控制监测系统，以</w:t>
      </w:r>
      <w:r>
        <w:rPr>
          <w:rFonts w:ascii="宋体" w:hAnsi="宋体" w:eastAsia="宋体" w:cs="宋体"/>
          <w:spacing w:val="14"/>
          <w:sz w:val="24"/>
          <w:szCs w:val="24"/>
        </w:rPr>
        <w:t xml:space="preserve"> </w:t>
      </w:r>
      <w:r>
        <w:rPr>
          <w:rFonts w:ascii="宋体" w:hAnsi="宋体" w:eastAsia="宋体" w:cs="宋体"/>
          <w:sz w:val="24"/>
          <w:szCs w:val="24"/>
        </w:rPr>
        <w:t>便及时观察到除尘器的工作状况，防止破袋、停电等</w:t>
      </w:r>
      <w:r>
        <w:rPr>
          <w:rFonts w:ascii="宋体" w:hAnsi="宋体" w:eastAsia="宋体" w:cs="宋体"/>
          <w:spacing w:val="-1"/>
          <w:sz w:val="24"/>
          <w:szCs w:val="24"/>
        </w:rPr>
        <w:t>非正常工况粉尘超标排放。</w:t>
      </w:r>
    </w:p>
    <w:p w14:paraId="62A670B5">
      <w:pPr>
        <w:spacing w:before="93" w:line="219" w:lineRule="auto"/>
        <w:ind w:left="9"/>
        <w:outlineLvl w:val="2"/>
        <w:rPr>
          <w:rFonts w:ascii="宋体" w:hAnsi="宋体" w:eastAsia="宋体" w:cs="宋体"/>
          <w:sz w:val="28"/>
          <w:szCs w:val="28"/>
        </w:rPr>
      </w:pPr>
      <w:bookmarkStart w:id="439" w:name="bookmark346"/>
      <w:bookmarkEnd w:id="439"/>
      <w:r>
        <w:rPr>
          <w:rFonts w:ascii="Times New Roman" w:hAnsi="Times New Roman" w:eastAsia="Times New Roman" w:cs="Times New Roman"/>
          <w:b/>
          <w:bCs/>
          <w:spacing w:val="-2"/>
          <w:sz w:val="28"/>
          <w:szCs w:val="28"/>
        </w:rPr>
        <w:t xml:space="preserve">6.1.3 </w:t>
      </w:r>
      <w:r>
        <w:rPr>
          <w:rFonts w:ascii="宋体" w:hAnsi="宋体" w:eastAsia="宋体" w:cs="宋体"/>
          <w:b/>
          <w:bCs/>
          <w:spacing w:val="-2"/>
          <w:sz w:val="28"/>
          <w:szCs w:val="28"/>
        </w:rPr>
        <w:t>烧结机机头废气防治措施</w:t>
      </w:r>
    </w:p>
    <w:p w14:paraId="0CBF1107">
      <w:pPr>
        <w:spacing w:before="255" w:line="373" w:lineRule="auto"/>
        <w:ind w:left="3" w:firstLine="485"/>
        <w:jc w:val="both"/>
        <w:rPr>
          <w:rFonts w:ascii="宋体" w:hAnsi="宋体" w:eastAsia="宋体" w:cs="宋体"/>
          <w:sz w:val="24"/>
          <w:szCs w:val="24"/>
        </w:rPr>
      </w:pPr>
      <w:r>
        <w:rPr>
          <w:rFonts w:ascii="宋体" w:hAnsi="宋体" w:eastAsia="宋体" w:cs="宋体"/>
          <w:spacing w:val="-2"/>
          <w:sz w:val="24"/>
          <w:szCs w:val="24"/>
        </w:rPr>
        <w:t>本项目烧结车间烧结配料站粉尘、混料制粒粉尘、烧结机尾粉尘、烧结矿破碎筛分</w:t>
      </w:r>
      <w:r>
        <w:rPr>
          <w:rFonts w:ascii="宋体" w:hAnsi="宋体" w:eastAsia="宋体" w:cs="宋体"/>
          <w:spacing w:val="12"/>
          <w:sz w:val="24"/>
          <w:szCs w:val="24"/>
        </w:rPr>
        <w:t xml:space="preserve"> </w:t>
      </w:r>
      <w:r>
        <w:rPr>
          <w:rFonts w:ascii="宋体" w:hAnsi="宋体" w:eastAsia="宋体" w:cs="宋体"/>
          <w:spacing w:val="5"/>
          <w:sz w:val="24"/>
          <w:szCs w:val="24"/>
        </w:rPr>
        <w:t>粉尘中污染物主要为颗粒物和锰及其化合物，均配置布袋除尘器进行处理，除尘效率</w:t>
      </w:r>
      <w:r>
        <w:rPr>
          <w:rFonts w:ascii="宋体" w:hAnsi="宋体" w:eastAsia="宋体" w:cs="宋体"/>
          <w:spacing w:val="1"/>
          <w:sz w:val="24"/>
          <w:szCs w:val="24"/>
        </w:rPr>
        <w:t xml:space="preserve"> </w:t>
      </w:r>
      <w:r>
        <w:rPr>
          <w:rFonts w:ascii="Times New Roman" w:hAnsi="Times New Roman" w:eastAsia="Times New Roman" w:cs="Times New Roman"/>
          <w:spacing w:val="-3"/>
          <w:sz w:val="24"/>
          <w:szCs w:val="24"/>
        </w:rPr>
        <w:t>99.5%</w:t>
      </w:r>
      <w:r>
        <w:rPr>
          <w:rFonts w:ascii="宋体" w:hAnsi="宋体" w:eastAsia="宋体" w:cs="宋体"/>
          <w:spacing w:val="-3"/>
          <w:sz w:val="24"/>
          <w:szCs w:val="24"/>
        </w:rPr>
        <w:t>；烧结机头废气主要污染物为颗粒物、</w:t>
      </w:r>
      <w:r>
        <w:rPr>
          <w:rFonts w:ascii="Times New Roman" w:hAnsi="Times New Roman" w:eastAsia="Times New Roman" w:cs="Times New Roman"/>
          <w:spacing w:val="-3"/>
          <w:sz w:val="24"/>
          <w:szCs w:val="24"/>
        </w:rPr>
        <w:t>SO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4"/>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NO</w:t>
      </w:r>
      <w:r>
        <w:rPr>
          <w:rFonts w:ascii="Times New Roman" w:hAnsi="Times New Roman" w:eastAsia="Times New Roman" w:cs="Times New Roman"/>
          <w:spacing w:val="-3"/>
          <w:position w:val="-1"/>
          <w:sz w:val="15"/>
          <w:szCs w:val="15"/>
        </w:rPr>
        <w:t>x</w:t>
      </w:r>
      <w:r>
        <w:rPr>
          <w:rFonts w:ascii="Times New Roman" w:hAnsi="Times New Roman" w:eastAsia="Times New Roman" w:cs="Times New Roman"/>
          <w:spacing w:val="-12"/>
          <w:position w:val="-1"/>
          <w:sz w:val="15"/>
          <w:szCs w:val="15"/>
        </w:rPr>
        <w:t xml:space="preserve"> </w:t>
      </w:r>
      <w:r>
        <w:rPr>
          <w:rFonts w:ascii="宋体" w:hAnsi="宋体" w:eastAsia="宋体" w:cs="宋体"/>
          <w:spacing w:val="-3"/>
          <w:sz w:val="24"/>
          <w:szCs w:val="24"/>
        </w:rPr>
        <w:t>、锰及其化合物，采用</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套旋风</w:t>
      </w:r>
      <w:r>
        <w:rPr>
          <w:rFonts w:ascii="宋体" w:hAnsi="宋体" w:eastAsia="宋体" w:cs="宋体"/>
          <w:sz w:val="24"/>
          <w:szCs w:val="24"/>
        </w:rPr>
        <w:t xml:space="preserve"> </w:t>
      </w:r>
      <w:r>
        <w:rPr>
          <w:rFonts w:ascii="Times New Roman" w:hAnsi="Times New Roman" w:eastAsia="Times New Roman" w:cs="Times New Roman"/>
          <w:spacing w:val="-7"/>
          <w:sz w:val="24"/>
          <w:szCs w:val="24"/>
        </w:rPr>
        <w:t>+</w:t>
      </w:r>
      <w:r>
        <w:rPr>
          <w:rFonts w:ascii="宋体" w:hAnsi="宋体" w:eastAsia="宋体" w:cs="宋体"/>
          <w:spacing w:val="-7"/>
          <w:sz w:val="24"/>
          <w:szCs w:val="24"/>
        </w:rPr>
        <w:t>耐高温布袋除尘器</w:t>
      </w:r>
      <w:r>
        <w:rPr>
          <w:rFonts w:ascii="Times New Roman" w:hAnsi="Times New Roman" w:eastAsia="Times New Roman" w:cs="Times New Roman"/>
          <w:spacing w:val="-7"/>
          <w:sz w:val="24"/>
          <w:szCs w:val="24"/>
        </w:rPr>
        <w:t>+</w:t>
      </w:r>
      <w:r>
        <w:rPr>
          <w:rFonts w:ascii="宋体" w:hAnsi="宋体" w:eastAsia="宋体" w:cs="宋体"/>
          <w:spacing w:val="-7"/>
          <w:sz w:val="24"/>
          <w:szCs w:val="24"/>
        </w:rPr>
        <w:t>石灰石</w:t>
      </w:r>
      <w:r>
        <w:rPr>
          <w:rFonts w:ascii="Times New Roman" w:hAnsi="Times New Roman" w:eastAsia="Times New Roman" w:cs="Times New Roman"/>
          <w:spacing w:val="-7"/>
          <w:sz w:val="24"/>
          <w:szCs w:val="24"/>
        </w:rPr>
        <w:t>-</w:t>
      </w:r>
      <w:r>
        <w:rPr>
          <w:rFonts w:ascii="宋体" w:hAnsi="宋体" w:eastAsia="宋体" w:cs="宋体"/>
          <w:spacing w:val="-7"/>
          <w:sz w:val="24"/>
          <w:szCs w:val="24"/>
        </w:rPr>
        <w:t>石膏法脱硫装置处理，</w:t>
      </w:r>
      <w:r>
        <w:rPr>
          <w:rFonts w:ascii="宋体" w:hAnsi="宋体" w:eastAsia="宋体" w:cs="宋体"/>
          <w:spacing w:val="-8"/>
          <w:sz w:val="24"/>
          <w:szCs w:val="24"/>
        </w:rPr>
        <w:t>综合除尘效率</w:t>
      </w:r>
      <w:r>
        <w:rPr>
          <w:rFonts w:ascii="宋体" w:hAnsi="宋体" w:eastAsia="宋体" w:cs="宋体"/>
          <w:spacing w:val="-60"/>
          <w:sz w:val="24"/>
          <w:szCs w:val="24"/>
        </w:rPr>
        <w:t xml:space="preserve"> </w:t>
      </w:r>
      <w:r>
        <w:rPr>
          <w:rFonts w:ascii="Times New Roman" w:hAnsi="Times New Roman" w:eastAsia="Times New Roman" w:cs="Times New Roman"/>
          <w:spacing w:val="-8"/>
          <w:sz w:val="24"/>
          <w:szCs w:val="24"/>
        </w:rPr>
        <w:t>99.5%</w:t>
      </w:r>
      <w:r>
        <w:rPr>
          <w:rFonts w:ascii="宋体" w:hAnsi="宋体" w:eastAsia="宋体" w:cs="宋体"/>
          <w:spacing w:val="-8"/>
          <w:sz w:val="24"/>
          <w:szCs w:val="24"/>
        </w:rPr>
        <w:t>，脱硫效率</w:t>
      </w:r>
      <w:r>
        <w:rPr>
          <w:rFonts w:ascii="宋体" w:hAnsi="宋体" w:eastAsia="宋体" w:cs="宋体"/>
          <w:spacing w:val="-55"/>
          <w:sz w:val="24"/>
          <w:szCs w:val="24"/>
        </w:rPr>
        <w:t xml:space="preserve"> </w:t>
      </w:r>
      <w:r>
        <w:rPr>
          <w:rFonts w:ascii="Times New Roman" w:hAnsi="Times New Roman" w:eastAsia="Times New Roman" w:cs="Times New Roman"/>
          <w:spacing w:val="-8"/>
          <w:sz w:val="24"/>
          <w:szCs w:val="24"/>
        </w:rPr>
        <w:t>88%</w:t>
      </w:r>
      <w:r>
        <w:rPr>
          <w:rFonts w:ascii="宋体" w:hAnsi="宋体" w:eastAsia="宋体" w:cs="宋体"/>
          <w:spacing w:val="-8"/>
          <w:sz w:val="24"/>
          <w:szCs w:val="24"/>
        </w:rPr>
        <w:t>，</w:t>
      </w:r>
      <w:r>
        <w:rPr>
          <w:rFonts w:ascii="宋体" w:hAnsi="宋体" w:eastAsia="宋体" w:cs="宋体"/>
          <w:sz w:val="24"/>
          <w:szCs w:val="24"/>
        </w:rPr>
        <w:t xml:space="preserve"> </w:t>
      </w:r>
      <w:r>
        <w:rPr>
          <w:rFonts w:ascii="宋体" w:hAnsi="宋体" w:eastAsia="宋体" w:cs="宋体"/>
          <w:spacing w:val="-4"/>
          <w:sz w:val="24"/>
          <w:szCs w:val="24"/>
        </w:rPr>
        <w:t>上述废气分别经各自配套的废气处理设施处理后，汇集经</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 xml:space="preserve">1 </w:t>
      </w:r>
      <w:r>
        <w:rPr>
          <w:rFonts w:ascii="宋体" w:hAnsi="宋体" w:eastAsia="宋体" w:cs="宋体"/>
          <w:spacing w:val="-5"/>
          <w:sz w:val="24"/>
          <w:szCs w:val="24"/>
        </w:rPr>
        <w:t>根</w:t>
      </w:r>
      <w:r>
        <w:rPr>
          <w:rFonts w:ascii="宋体" w:hAnsi="宋体" w:eastAsia="宋体" w:cs="宋体"/>
          <w:spacing w:val="-50"/>
          <w:sz w:val="24"/>
          <w:szCs w:val="24"/>
        </w:rPr>
        <w:t xml:space="preserve"> </w:t>
      </w:r>
      <w:r>
        <w:rPr>
          <w:rFonts w:ascii="Times New Roman" w:hAnsi="Times New Roman" w:eastAsia="Times New Roman" w:cs="Times New Roman"/>
          <w:spacing w:val="-5"/>
          <w:sz w:val="24"/>
          <w:szCs w:val="24"/>
        </w:rPr>
        <w:t>30m</w:t>
      </w:r>
      <w:r>
        <w:rPr>
          <w:rFonts w:ascii="Times New Roman" w:hAnsi="Times New Roman" w:eastAsia="Times New Roman" w:cs="Times New Roman"/>
          <w:spacing w:val="16"/>
          <w:w w:val="101"/>
          <w:sz w:val="24"/>
          <w:szCs w:val="24"/>
        </w:rPr>
        <w:t xml:space="preserve"> </w:t>
      </w:r>
      <w:r>
        <w:rPr>
          <w:rFonts w:ascii="宋体" w:hAnsi="宋体" w:eastAsia="宋体" w:cs="宋体"/>
          <w:spacing w:val="-5"/>
          <w:sz w:val="24"/>
          <w:szCs w:val="24"/>
        </w:rPr>
        <w:t>高排气筒（烧结车间</w:t>
      </w:r>
      <w:r>
        <w:rPr>
          <w:rFonts w:ascii="宋体" w:hAnsi="宋体" w:eastAsia="宋体" w:cs="宋体"/>
          <w:sz w:val="24"/>
          <w:szCs w:val="24"/>
        </w:rPr>
        <w:t xml:space="preserve"> </w:t>
      </w:r>
      <w:r>
        <w:rPr>
          <w:rFonts w:ascii="宋体" w:hAnsi="宋体" w:eastAsia="宋体" w:cs="宋体"/>
          <w:spacing w:val="1"/>
          <w:sz w:val="24"/>
          <w:szCs w:val="24"/>
        </w:rPr>
        <w:t>排气筒</w:t>
      </w:r>
      <w:r>
        <w:rPr>
          <w:rFonts w:ascii="Times New Roman" w:hAnsi="Times New Roman" w:eastAsia="Times New Roman" w:cs="Times New Roman"/>
          <w:sz w:val="24"/>
          <w:szCs w:val="24"/>
        </w:rPr>
        <w:t>DA</w:t>
      </w:r>
      <w:r>
        <w:rPr>
          <w:rFonts w:ascii="Times New Roman" w:hAnsi="Times New Roman" w:eastAsia="Times New Roman" w:cs="Times New Roman"/>
          <w:spacing w:val="1"/>
          <w:sz w:val="24"/>
          <w:szCs w:val="24"/>
        </w:rPr>
        <w:t>004</w:t>
      </w:r>
      <w:r>
        <w:rPr>
          <w:rFonts w:ascii="宋体" w:hAnsi="宋体" w:eastAsia="宋体" w:cs="宋体"/>
          <w:spacing w:val="1"/>
          <w:sz w:val="24"/>
          <w:szCs w:val="24"/>
        </w:rPr>
        <w:t>）排放，排放废气中的颗粒物、</w:t>
      </w:r>
      <w:r>
        <w:rPr>
          <w:rFonts w:ascii="Times New Roman" w:hAnsi="Times New Roman" w:eastAsia="Times New Roman" w:cs="Times New Roman"/>
          <w:sz w:val="24"/>
          <w:szCs w:val="24"/>
        </w:rPr>
        <w:t>SO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5"/>
          <w:position w:val="-1"/>
          <w:sz w:val="15"/>
          <w:szCs w:val="15"/>
        </w:rPr>
        <w:t xml:space="preserve"> </w:t>
      </w:r>
      <w:r>
        <w:rPr>
          <w:rFonts w:ascii="宋体" w:hAnsi="宋体" w:eastAsia="宋体" w:cs="宋体"/>
          <w:spacing w:val="1"/>
          <w:sz w:val="24"/>
          <w:szCs w:val="24"/>
        </w:rPr>
        <w:t>、</w:t>
      </w:r>
      <w:r>
        <w:rPr>
          <w:rFonts w:ascii="Times New Roman" w:hAnsi="Times New Roman" w:eastAsia="Times New Roman" w:cs="Times New Roman"/>
          <w:sz w:val="24"/>
          <w:szCs w:val="24"/>
        </w:rPr>
        <w:t>NO</w:t>
      </w:r>
      <w:r>
        <w:rPr>
          <w:rFonts w:ascii="Times New Roman" w:hAnsi="Times New Roman" w:eastAsia="Times New Roman" w:cs="Times New Roman"/>
          <w:position w:val="-1"/>
          <w:sz w:val="15"/>
          <w:szCs w:val="15"/>
        </w:rPr>
        <w:t>x</w:t>
      </w:r>
      <w:r>
        <w:rPr>
          <w:rFonts w:ascii="Times New Roman" w:hAnsi="Times New Roman" w:eastAsia="Times New Roman" w:cs="Times New Roman"/>
          <w:spacing w:val="1"/>
          <w:position w:val="-1"/>
          <w:sz w:val="15"/>
          <w:szCs w:val="15"/>
        </w:rPr>
        <w:t xml:space="preserve"> </w:t>
      </w:r>
      <w:r>
        <w:rPr>
          <w:rFonts w:ascii="宋体" w:hAnsi="宋体" w:eastAsia="宋体" w:cs="宋体"/>
          <w:spacing w:val="1"/>
          <w:sz w:val="24"/>
          <w:szCs w:val="24"/>
        </w:rPr>
        <w:t>排放浓度满足《钢铁烧结、球</w:t>
      </w:r>
      <w:r>
        <w:rPr>
          <w:rFonts w:ascii="宋体" w:hAnsi="宋体" w:eastAsia="宋体" w:cs="宋体"/>
          <w:sz w:val="24"/>
          <w:szCs w:val="24"/>
        </w:rPr>
        <w:t xml:space="preserve"> 团工业大气污染物排放标准》（</w:t>
      </w:r>
      <w:r>
        <w:rPr>
          <w:rFonts w:ascii="Times New Roman" w:hAnsi="Times New Roman" w:eastAsia="Times New Roman" w:cs="Times New Roman"/>
          <w:sz w:val="24"/>
          <w:szCs w:val="24"/>
        </w:rPr>
        <w:t>GB28662-2012</w:t>
      </w:r>
      <w:r>
        <w:rPr>
          <w:rFonts w:ascii="宋体" w:hAnsi="宋体" w:eastAsia="宋体" w:cs="宋体"/>
          <w:sz w:val="24"/>
          <w:szCs w:val="24"/>
        </w:rPr>
        <w:t>）表</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 xml:space="preserve">3 </w:t>
      </w:r>
      <w:r>
        <w:rPr>
          <w:rFonts w:ascii="宋体" w:hAnsi="宋体" w:eastAsia="宋体" w:cs="宋体"/>
          <w:spacing w:val="-1"/>
          <w:sz w:val="24"/>
          <w:szCs w:val="24"/>
        </w:rPr>
        <w:t>大气污染物特别排放浓度限值。</w:t>
      </w:r>
    </w:p>
    <w:p w14:paraId="0339BA5B">
      <w:pPr>
        <w:spacing w:before="32"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）旋风除尘器</w:t>
      </w:r>
    </w:p>
    <w:p w14:paraId="6B6703E4">
      <w:pPr>
        <w:spacing w:before="200" w:line="373" w:lineRule="auto"/>
        <w:ind w:left="6" w:right="61" w:firstLine="483"/>
        <w:jc w:val="both"/>
        <w:rPr>
          <w:rFonts w:ascii="宋体" w:hAnsi="宋体" w:eastAsia="宋体" w:cs="宋体"/>
          <w:sz w:val="24"/>
          <w:szCs w:val="24"/>
        </w:rPr>
      </w:pPr>
      <w:r>
        <w:rPr>
          <w:rFonts w:ascii="宋体" w:hAnsi="宋体" w:eastAsia="宋体" w:cs="宋体"/>
          <w:spacing w:val="-2"/>
          <w:sz w:val="24"/>
          <w:szCs w:val="24"/>
        </w:rPr>
        <w:t>旋风除尘器是除尘装置的一类。除尘机理是使含尘气流作旋转运动，借助于离心力</w:t>
      </w:r>
      <w:r>
        <w:rPr>
          <w:rFonts w:ascii="宋体" w:hAnsi="宋体" w:eastAsia="宋体" w:cs="宋体"/>
          <w:spacing w:val="11"/>
          <w:sz w:val="24"/>
          <w:szCs w:val="24"/>
        </w:rPr>
        <w:t xml:space="preserve"> </w:t>
      </w:r>
      <w:r>
        <w:rPr>
          <w:rFonts w:ascii="宋体" w:hAnsi="宋体" w:eastAsia="宋体" w:cs="宋体"/>
          <w:spacing w:val="-1"/>
          <w:sz w:val="24"/>
          <w:szCs w:val="24"/>
        </w:rPr>
        <w:t>将尘粒从气流中分离并捕集于器壁，再借助</w:t>
      </w:r>
      <w:r>
        <w:rPr>
          <w:rFonts w:ascii="宋体" w:hAnsi="宋体" w:eastAsia="宋体" w:cs="宋体"/>
          <w:spacing w:val="-2"/>
          <w:sz w:val="24"/>
          <w:szCs w:val="24"/>
        </w:rPr>
        <w:t>重力作用使尘粒落入灰斗。广泛用于从气流</w:t>
      </w:r>
      <w:r>
        <w:rPr>
          <w:rFonts w:ascii="宋体" w:hAnsi="宋体" w:eastAsia="宋体" w:cs="宋体"/>
          <w:sz w:val="24"/>
          <w:szCs w:val="24"/>
        </w:rPr>
        <w:t xml:space="preserve"> </w:t>
      </w:r>
      <w:r>
        <w:rPr>
          <w:rFonts w:ascii="宋体" w:hAnsi="宋体" w:eastAsia="宋体" w:cs="宋体"/>
          <w:spacing w:val="-1"/>
          <w:sz w:val="24"/>
          <w:szCs w:val="24"/>
        </w:rPr>
        <w:t>中分离固体和液体粒子，或从液体中分离固</w:t>
      </w:r>
      <w:r>
        <w:rPr>
          <w:rFonts w:ascii="宋体" w:hAnsi="宋体" w:eastAsia="宋体" w:cs="宋体"/>
          <w:spacing w:val="-2"/>
          <w:sz w:val="24"/>
          <w:szCs w:val="24"/>
        </w:rPr>
        <w:t>体粒子。在普通操作条件下，作用于粒子上</w:t>
      </w:r>
      <w:r>
        <w:rPr>
          <w:rFonts w:ascii="宋体" w:hAnsi="宋体" w:eastAsia="宋体" w:cs="宋体"/>
          <w:sz w:val="24"/>
          <w:szCs w:val="24"/>
        </w:rPr>
        <w:t xml:space="preserve"> </w:t>
      </w:r>
      <w:r>
        <w:rPr>
          <w:rFonts w:ascii="宋体" w:hAnsi="宋体" w:eastAsia="宋体" w:cs="宋体"/>
          <w:spacing w:val="1"/>
          <w:sz w:val="24"/>
          <w:szCs w:val="24"/>
        </w:rPr>
        <w:t>的离心力是重力的</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 xml:space="preserve">5~2500 </w:t>
      </w:r>
      <w:r>
        <w:rPr>
          <w:rFonts w:ascii="宋体" w:hAnsi="宋体" w:eastAsia="宋体" w:cs="宋体"/>
          <w:spacing w:val="1"/>
          <w:sz w:val="24"/>
          <w:szCs w:val="24"/>
        </w:rPr>
        <w:t>倍，所以旋风除尘器的效率显著高于重力沉降室。除尘</w:t>
      </w:r>
      <w:r>
        <w:rPr>
          <w:rFonts w:ascii="宋体" w:hAnsi="宋体" w:eastAsia="宋体" w:cs="宋体"/>
          <w:sz w:val="24"/>
          <w:szCs w:val="24"/>
        </w:rPr>
        <w:t xml:space="preserve">效率 </w:t>
      </w:r>
      <w:r>
        <w:rPr>
          <w:rFonts w:ascii="宋体" w:hAnsi="宋体" w:eastAsia="宋体" w:cs="宋体"/>
          <w:spacing w:val="-2"/>
          <w:sz w:val="24"/>
          <w:szCs w:val="24"/>
        </w:rPr>
        <w:t>为</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90%</w:t>
      </w:r>
      <w:r>
        <w:rPr>
          <w:rFonts w:ascii="宋体" w:hAnsi="宋体" w:eastAsia="宋体" w:cs="宋体"/>
          <w:spacing w:val="-2"/>
          <w:sz w:val="24"/>
          <w:szCs w:val="24"/>
        </w:rPr>
        <w:t>以上。在机械式除尘器中，旋风式除尘器是效率最高的一种。</w:t>
      </w:r>
      <w:r>
        <w:rPr>
          <w:rFonts w:ascii="宋体" w:hAnsi="宋体" w:eastAsia="宋体" w:cs="宋体"/>
          <w:spacing w:val="-3"/>
          <w:sz w:val="24"/>
          <w:szCs w:val="24"/>
        </w:rPr>
        <w:t>旋风除尘器是由进</w:t>
      </w:r>
      <w:r>
        <w:rPr>
          <w:rFonts w:ascii="宋体" w:hAnsi="宋体" w:eastAsia="宋体" w:cs="宋体"/>
          <w:sz w:val="24"/>
          <w:szCs w:val="24"/>
        </w:rPr>
        <w:t xml:space="preserve"> </w:t>
      </w:r>
      <w:r>
        <w:rPr>
          <w:rFonts w:ascii="宋体" w:hAnsi="宋体" w:eastAsia="宋体" w:cs="宋体"/>
          <w:spacing w:val="2"/>
          <w:sz w:val="24"/>
          <w:szCs w:val="24"/>
        </w:rPr>
        <w:t>气管、排气管、圆筒体、圆锥体和灰斗组成，除尘</w:t>
      </w:r>
      <w:r>
        <w:rPr>
          <w:rFonts w:ascii="宋体" w:hAnsi="宋体" w:eastAsia="宋体" w:cs="宋体"/>
          <w:spacing w:val="1"/>
          <w:sz w:val="24"/>
          <w:szCs w:val="24"/>
        </w:rPr>
        <w:t>效率在</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70%~85%</w:t>
      </w:r>
      <w:r>
        <w:rPr>
          <w:rFonts w:ascii="宋体" w:hAnsi="宋体" w:eastAsia="宋体" w:cs="宋体"/>
          <w:spacing w:val="1"/>
          <w:sz w:val="24"/>
          <w:szCs w:val="24"/>
        </w:rPr>
        <w:t>之间。旋风除尘器</w:t>
      </w:r>
      <w:r>
        <w:rPr>
          <w:rFonts w:ascii="宋体" w:hAnsi="宋体" w:eastAsia="宋体" w:cs="宋体"/>
          <w:sz w:val="24"/>
          <w:szCs w:val="24"/>
        </w:rPr>
        <w:t xml:space="preserve"> 适合去除粒径较大的颗粒物，同时可以给废气进行降温，适</w:t>
      </w:r>
      <w:r>
        <w:rPr>
          <w:rFonts w:ascii="宋体" w:hAnsi="宋体" w:eastAsia="宋体" w:cs="宋体"/>
          <w:spacing w:val="-1"/>
          <w:sz w:val="24"/>
          <w:szCs w:val="24"/>
        </w:rPr>
        <w:t>宜作为预除尘设施。</w:t>
      </w:r>
    </w:p>
    <w:p w14:paraId="534883B7">
      <w:pPr>
        <w:spacing w:before="32"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）布袋除尘器</w:t>
      </w:r>
    </w:p>
    <w:p w14:paraId="393A9B15">
      <w:pPr>
        <w:spacing w:before="205" w:line="368" w:lineRule="auto"/>
        <w:ind w:left="9" w:right="61" w:firstLine="493"/>
        <w:rPr>
          <w:rFonts w:ascii="宋体" w:hAnsi="宋体" w:eastAsia="宋体" w:cs="宋体"/>
          <w:sz w:val="24"/>
          <w:szCs w:val="24"/>
        </w:rPr>
      </w:pPr>
      <w:r>
        <w:rPr>
          <w:rFonts w:ascii="宋体" w:hAnsi="宋体" w:eastAsia="宋体" w:cs="宋体"/>
          <w:spacing w:val="-1"/>
          <w:sz w:val="24"/>
          <w:szCs w:val="24"/>
        </w:rPr>
        <w:t>除尘采用布袋除尘器进行处理，处理效率可以达到</w:t>
      </w:r>
      <w:r>
        <w:rPr>
          <w:rFonts w:ascii="Times New Roman" w:hAnsi="Times New Roman" w:eastAsia="Times New Roman" w:cs="Times New Roman"/>
          <w:spacing w:val="-1"/>
          <w:sz w:val="24"/>
          <w:szCs w:val="24"/>
        </w:rPr>
        <w:t>99%</w:t>
      </w:r>
      <w:r>
        <w:rPr>
          <w:rFonts w:ascii="宋体" w:hAnsi="宋体" w:eastAsia="宋体" w:cs="宋体"/>
          <w:spacing w:val="-1"/>
          <w:sz w:val="24"/>
          <w:szCs w:val="24"/>
        </w:rPr>
        <w:t>以上；烧结机头废气采用旋</w:t>
      </w:r>
      <w:r>
        <w:rPr>
          <w:rFonts w:ascii="宋体" w:hAnsi="宋体" w:eastAsia="宋体" w:cs="宋体"/>
          <w:spacing w:val="4"/>
          <w:sz w:val="24"/>
          <w:szCs w:val="24"/>
        </w:rPr>
        <w:t xml:space="preserve"> </w:t>
      </w:r>
      <w:r>
        <w:rPr>
          <w:rFonts w:ascii="宋体" w:hAnsi="宋体" w:eastAsia="宋体" w:cs="宋体"/>
          <w:spacing w:val="-1"/>
          <w:sz w:val="24"/>
          <w:szCs w:val="24"/>
        </w:rPr>
        <w:t>风除尘器</w:t>
      </w:r>
      <w:r>
        <w:rPr>
          <w:rFonts w:ascii="Times New Roman" w:hAnsi="Times New Roman" w:eastAsia="Times New Roman" w:cs="Times New Roman"/>
          <w:spacing w:val="-1"/>
          <w:sz w:val="24"/>
          <w:szCs w:val="24"/>
        </w:rPr>
        <w:t>+</w:t>
      </w:r>
      <w:r>
        <w:rPr>
          <w:rFonts w:ascii="宋体" w:hAnsi="宋体" w:eastAsia="宋体" w:cs="宋体"/>
          <w:spacing w:val="-1"/>
          <w:sz w:val="24"/>
          <w:szCs w:val="24"/>
        </w:rPr>
        <w:t>布袋除尘器处理，同时石灰石</w:t>
      </w:r>
      <w:r>
        <w:rPr>
          <w:rFonts w:ascii="Times New Roman" w:hAnsi="Times New Roman" w:eastAsia="Times New Roman" w:cs="Times New Roman"/>
          <w:spacing w:val="-1"/>
          <w:sz w:val="24"/>
          <w:szCs w:val="24"/>
        </w:rPr>
        <w:t>-</w:t>
      </w:r>
      <w:r>
        <w:rPr>
          <w:rFonts w:ascii="宋体" w:hAnsi="宋体" w:eastAsia="宋体" w:cs="宋体"/>
          <w:spacing w:val="-1"/>
          <w:sz w:val="24"/>
          <w:szCs w:val="24"/>
        </w:rPr>
        <w:t>石膏湿法脱硫具有协同除尘作用，综合除尘效</w:t>
      </w:r>
      <w:r>
        <w:rPr>
          <w:rFonts w:ascii="宋体" w:hAnsi="宋体" w:eastAsia="宋体" w:cs="宋体"/>
          <w:spacing w:val="4"/>
          <w:sz w:val="24"/>
          <w:szCs w:val="24"/>
        </w:rPr>
        <w:t xml:space="preserve"> </w:t>
      </w:r>
      <w:r>
        <w:rPr>
          <w:rFonts w:ascii="宋体" w:hAnsi="宋体" w:eastAsia="宋体" w:cs="宋体"/>
          <w:spacing w:val="-2"/>
          <w:sz w:val="24"/>
          <w:szCs w:val="24"/>
        </w:rPr>
        <w:t>率可以达到</w:t>
      </w:r>
      <w:r>
        <w:rPr>
          <w:rFonts w:ascii="宋体" w:hAnsi="宋体" w:eastAsia="宋体" w:cs="宋体"/>
          <w:spacing w:val="-47"/>
          <w:sz w:val="24"/>
          <w:szCs w:val="24"/>
        </w:rPr>
        <w:t xml:space="preserve"> </w:t>
      </w:r>
      <w:r>
        <w:rPr>
          <w:rFonts w:ascii="Times New Roman" w:hAnsi="Times New Roman" w:eastAsia="Times New Roman" w:cs="Times New Roman"/>
          <w:spacing w:val="-2"/>
          <w:sz w:val="24"/>
          <w:szCs w:val="24"/>
        </w:rPr>
        <w:t>99.5%</w:t>
      </w:r>
      <w:r>
        <w:rPr>
          <w:rFonts w:ascii="宋体" w:hAnsi="宋体" w:eastAsia="宋体" w:cs="宋体"/>
          <w:spacing w:val="-2"/>
          <w:sz w:val="24"/>
          <w:szCs w:val="24"/>
        </w:rPr>
        <w:t>以上。</w:t>
      </w:r>
    </w:p>
    <w:p w14:paraId="479C1ACF">
      <w:pPr>
        <w:spacing w:before="32" w:line="221" w:lineRule="auto"/>
        <w:ind w:left="499"/>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3</w:t>
      </w:r>
      <w:r>
        <w:rPr>
          <w:rFonts w:ascii="宋体" w:hAnsi="宋体" w:eastAsia="宋体" w:cs="宋体"/>
          <w:spacing w:val="-5"/>
          <w:sz w:val="24"/>
          <w:szCs w:val="24"/>
        </w:rPr>
        <w:t>）脱硫</w:t>
      </w:r>
    </w:p>
    <w:p w14:paraId="53684266">
      <w:pPr>
        <w:spacing w:before="201" w:line="363" w:lineRule="auto"/>
        <w:ind w:left="8" w:right="61" w:firstLine="480"/>
        <w:rPr>
          <w:rFonts w:ascii="宋体" w:hAnsi="宋体" w:eastAsia="宋体" w:cs="宋体"/>
          <w:sz w:val="24"/>
          <w:szCs w:val="24"/>
        </w:rPr>
      </w:pPr>
      <w:r>
        <w:rPr>
          <w:rFonts w:ascii="宋体" w:hAnsi="宋体" w:eastAsia="宋体" w:cs="宋体"/>
          <w:spacing w:val="-3"/>
          <w:sz w:val="24"/>
          <w:szCs w:val="24"/>
        </w:rPr>
        <w:t>石灰</w:t>
      </w:r>
      <w:r>
        <w:rPr>
          <w:rFonts w:ascii="Times New Roman" w:hAnsi="Times New Roman" w:eastAsia="Times New Roman" w:cs="Times New Roman"/>
          <w:spacing w:val="-3"/>
          <w:sz w:val="24"/>
          <w:szCs w:val="24"/>
        </w:rPr>
        <w:t>-</w:t>
      </w:r>
      <w:r>
        <w:rPr>
          <w:rFonts w:ascii="宋体" w:hAnsi="宋体" w:eastAsia="宋体" w:cs="宋体"/>
          <w:spacing w:val="-3"/>
          <w:sz w:val="24"/>
          <w:szCs w:val="24"/>
        </w:rPr>
        <w:t>石膏法是采用石灰或乳浊液作为吸收剂脱除废气中的</w:t>
      </w:r>
      <w:r>
        <w:rPr>
          <w:rFonts w:ascii="宋体" w:hAnsi="宋体" w:eastAsia="宋体" w:cs="宋体"/>
          <w:spacing w:val="-45"/>
          <w:sz w:val="24"/>
          <w:szCs w:val="24"/>
        </w:rPr>
        <w:t xml:space="preserve"> </w:t>
      </w:r>
      <w:r>
        <w:rPr>
          <w:rFonts w:ascii="Times New Roman" w:hAnsi="Times New Roman" w:eastAsia="Times New Roman" w:cs="Times New Roman"/>
          <w:spacing w:val="-3"/>
          <w:sz w:val="24"/>
          <w:szCs w:val="24"/>
        </w:rPr>
        <w:t>SO</w:t>
      </w:r>
      <w:r>
        <w:rPr>
          <w:rFonts w:ascii="Times New Roman" w:hAnsi="Times New Roman" w:eastAsia="Times New Roman" w:cs="Times New Roman"/>
          <w:spacing w:val="-3"/>
          <w:position w:val="-1"/>
          <w:sz w:val="15"/>
          <w:szCs w:val="15"/>
        </w:rPr>
        <w:t>2</w:t>
      </w:r>
      <w:r>
        <w:rPr>
          <w:rFonts w:ascii="宋体" w:hAnsi="宋体" w:eastAsia="宋体" w:cs="宋体"/>
          <w:spacing w:val="-3"/>
          <w:sz w:val="24"/>
          <w:szCs w:val="24"/>
        </w:rPr>
        <w:t>，石灰来源广</w:t>
      </w:r>
      <w:r>
        <w:rPr>
          <w:rFonts w:ascii="宋体" w:hAnsi="宋体" w:eastAsia="宋体" w:cs="宋体"/>
          <w:spacing w:val="-4"/>
          <w:sz w:val="24"/>
          <w:szCs w:val="24"/>
        </w:rPr>
        <w:t>泛，原</w:t>
      </w:r>
      <w:r>
        <w:rPr>
          <w:rFonts w:ascii="宋体" w:hAnsi="宋体" w:eastAsia="宋体" w:cs="宋体"/>
          <w:sz w:val="24"/>
          <w:szCs w:val="24"/>
        </w:rPr>
        <w:t xml:space="preserve"> 料易得，且价格低廉，因此石灰</w:t>
      </w:r>
      <w:r>
        <w:rPr>
          <w:rFonts w:ascii="Times New Roman" w:hAnsi="Times New Roman" w:eastAsia="Times New Roman" w:cs="Times New Roman"/>
          <w:sz w:val="24"/>
          <w:szCs w:val="24"/>
        </w:rPr>
        <w:t>-</w:t>
      </w:r>
      <w:r>
        <w:rPr>
          <w:rFonts w:ascii="宋体" w:hAnsi="宋体" w:eastAsia="宋体" w:cs="宋体"/>
          <w:sz w:val="24"/>
          <w:szCs w:val="24"/>
        </w:rPr>
        <w:t>石膏法仍然是国</w:t>
      </w:r>
      <w:r>
        <w:rPr>
          <w:rFonts w:ascii="宋体" w:hAnsi="宋体" w:eastAsia="宋体" w:cs="宋体"/>
          <w:spacing w:val="-1"/>
          <w:sz w:val="24"/>
          <w:szCs w:val="24"/>
        </w:rPr>
        <w:t>内外广泛使用的脱硫方法。</w:t>
      </w:r>
    </w:p>
    <w:p w14:paraId="4575A6D7">
      <w:pPr>
        <w:spacing w:before="37" w:line="361" w:lineRule="auto"/>
        <w:ind w:left="6" w:right="59" w:firstLine="482"/>
        <w:rPr>
          <w:rFonts w:ascii="宋体" w:hAnsi="宋体" w:eastAsia="宋体" w:cs="宋体"/>
          <w:sz w:val="24"/>
          <w:szCs w:val="24"/>
        </w:rPr>
      </w:pPr>
      <w:r>
        <w:rPr>
          <w:rFonts w:ascii="宋体" w:hAnsi="宋体" w:eastAsia="宋体" w:cs="宋体"/>
          <w:spacing w:val="2"/>
          <w:sz w:val="24"/>
          <w:szCs w:val="24"/>
        </w:rPr>
        <w:t>石灰</w:t>
      </w:r>
      <w:r>
        <w:rPr>
          <w:rFonts w:ascii="Times New Roman" w:hAnsi="Times New Roman" w:eastAsia="Times New Roman" w:cs="Times New Roman"/>
          <w:spacing w:val="2"/>
          <w:sz w:val="24"/>
          <w:szCs w:val="24"/>
        </w:rPr>
        <w:t>-</w:t>
      </w:r>
      <w:r>
        <w:rPr>
          <w:rFonts w:ascii="宋体" w:hAnsi="宋体" w:eastAsia="宋体" w:cs="宋体"/>
          <w:spacing w:val="2"/>
          <w:sz w:val="24"/>
          <w:szCs w:val="24"/>
        </w:rPr>
        <w:t>石膏法的基本原理是首先用石灰浆液吸收烟气中的</w:t>
      </w:r>
      <w:r>
        <w:rPr>
          <w:rFonts w:ascii="宋体" w:hAnsi="宋体" w:eastAsia="宋体" w:cs="宋体"/>
          <w:spacing w:val="-39"/>
          <w:sz w:val="24"/>
          <w:szCs w:val="24"/>
        </w:rPr>
        <w:t xml:space="preserve"> </w:t>
      </w:r>
      <w:r>
        <w:rPr>
          <w:rFonts w:ascii="Times New Roman" w:hAnsi="Times New Roman" w:eastAsia="Times New Roman" w:cs="Times New Roman"/>
          <w:sz w:val="24"/>
          <w:szCs w:val="24"/>
        </w:rPr>
        <w:t>SO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5"/>
          <w:w w:val="102"/>
          <w:position w:val="-1"/>
          <w:sz w:val="15"/>
          <w:szCs w:val="15"/>
        </w:rPr>
        <w:t xml:space="preserve"> </w:t>
      </w:r>
      <w:r>
        <w:rPr>
          <w:rFonts w:ascii="宋体" w:hAnsi="宋体" w:eastAsia="宋体" w:cs="宋体"/>
          <w:spacing w:val="2"/>
          <w:sz w:val="24"/>
          <w:szCs w:val="24"/>
        </w:rPr>
        <w:t>生成亚硫酸钙</w:t>
      </w:r>
      <w:r>
        <w:rPr>
          <w:rFonts w:ascii="宋体" w:hAnsi="宋体" w:eastAsia="宋体" w:cs="宋体"/>
          <w:spacing w:val="1"/>
          <w:sz w:val="24"/>
          <w:szCs w:val="24"/>
        </w:rPr>
        <w:t>，然后</w:t>
      </w:r>
      <w:r>
        <w:rPr>
          <w:rFonts w:ascii="宋体" w:hAnsi="宋体" w:eastAsia="宋体" w:cs="宋体"/>
          <w:sz w:val="24"/>
          <w:szCs w:val="24"/>
        </w:rPr>
        <w:t xml:space="preserve"> </w:t>
      </w:r>
      <w:r>
        <w:rPr>
          <w:rFonts w:ascii="宋体" w:hAnsi="宋体" w:eastAsia="宋体" w:cs="宋体"/>
          <w:spacing w:val="-1"/>
          <w:sz w:val="24"/>
          <w:szCs w:val="24"/>
        </w:rPr>
        <w:t>将亚硫酸钙氧化成硫酸钙（石膏）。主要反应如下：</w:t>
      </w:r>
    </w:p>
    <w:p w14:paraId="7F9EF68D">
      <w:pPr>
        <w:spacing w:before="75" w:line="192" w:lineRule="auto"/>
        <w:ind w:left="487"/>
        <w:rPr>
          <w:rFonts w:ascii="Times New Roman" w:hAnsi="Times New Roman" w:eastAsia="Times New Roman" w:cs="Times New Roman"/>
          <w:sz w:val="15"/>
          <w:szCs w:val="15"/>
        </w:rPr>
      </w:pPr>
      <w:r>
        <w:rPr>
          <w:rFonts w:ascii="Times New Roman" w:hAnsi="Times New Roman" w:eastAsia="Times New Roman" w:cs="Times New Roman"/>
          <w:spacing w:val="-1"/>
          <w:sz w:val="24"/>
          <w:szCs w:val="24"/>
        </w:rPr>
        <w:t>CaO+H</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O→Ca(OH)</w:t>
      </w:r>
      <w:r>
        <w:rPr>
          <w:rFonts w:ascii="Times New Roman" w:hAnsi="Times New Roman" w:eastAsia="Times New Roman" w:cs="Times New Roman"/>
          <w:spacing w:val="-1"/>
          <w:position w:val="-1"/>
          <w:sz w:val="15"/>
          <w:szCs w:val="15"/>
        </w:rPr>
        <w:t>2</w:t>
      </w:r>
    </w:p>
    <w:p w14:paraId="67841CB2">
      <w:pPr>
        <w:spacing w:line="192" w:lineRule="auto"/>
        <w:rPr>
          <w:rFonts w:ascii="Times New Roman" w:hAnsi="Times New Roman" w:eastAsia="Times New Roman" w:cs="Times New Roman"/>
          <w:sz w:val="15"/>
          <w:szCs w:val="15"/>
        </w:rPr>
        <w:sectPr>
          <w:headerReference r:id="rId447" w:type="default"/>
          <w:footerReference r:id="rId448" w:type="default"/>
          <w:pgSz w:w="11906" w:h="16839"/>
          <w:pgMar w:top="1190" w:right="1356" w:bottom="1221" w:left="1417" w:header="882" w:footer="1059" w:gutter="0"/>
          <w:cols w:space="720" w:num="1"/>
        </w:sectPr>
      </w:pPr>
    </w:p>
    <w:p w14:paraId="7A37C972">
      <w:pPr>
        <w:spacing w:line="28" w:lineRule="exact"/>
      </w:pPr>
      <w:r>
        <w:pict>
          <v:shape id="_x0000_s2032" o:spid="_x0000_s2032" style="height:1.45pt;width:453.65pt;" fillcolor="#000000" filled="t" stroked="f" coordsize="9072,29" path="m0,0l9072,0,9072,28,0,28,0,0xe">
            <v:path/>
            <v:fill on="t" focussize="0,0"/>
            <v:stroke on="f"/>
            <v:imagedata o:title=""/>
            <o:lock v:ext="edit"/>
            <w10:wrap type="none"/>
            <w10:anchorlock/>
          </v:shape>
        </w:pict>
      </w:r>
    </w:p>
    <w:p w14:paraId="4AFF48EE">
      <w:pPr>
        <w:pStyle w:val="2"/>
        <w:spacing w:line="285" w:lineRule="auto"/>
      </w:pPr>
    </w:p>
    <w:p w14:paraId="02FA6E69">
      <w:pPr>
        <w:spacing w:before="69" w:line="389" w:lineRule="auto"/>
        <w:ind w:left="487" w:right="6381"/>
        <w:rPr>
          <w:rFonts w:ascii="Times New Roman" w:hAnsi="Times New Roman" w:eastAsia="Times New Roman" w:cs="Times New Roman"/>
          <w:sz w:val="15"/>
          <w:szCs w:val="15"/>
        </w:rPr>
      </w:pPr>
      <w:r>
        <w:rPr>
          <w:rFonts w:ascii="Times New Roman" w:hAnsi="Times New Roman" w:eastAsia="Times New Roman" w:cs="Times New Roman"/>
          <w:spacing w:val="-1"/>
          <w:sz w:val="24"/>
          <w:szCs w:val="24"/>
        </w:rPr>
        <w:t>Ca(OH)</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+SO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→CaSO</w:t>
      </w:r>
      <w:r>
        <w:rPr>
          <w:rFonts w:ascii="Times New Roman" w:hAnsi="Times New Roman" w:eastAsia="Times New Roman" w:cs="Times New Roman"/>
          <w:spacing w:val="-1"/>
          <w:position w:val="-1"/>
          <w:sz w:val="15"/>
          <w:szCs w:val="15"/>
        </w:rPr>
        <w:t>3</w:t>
      </w:r>
      <w:r>
        <w:rPr>
          <w:rFonts w:ascii="Times New Roman" w:hAnsi="Times New Roman" w:eastAsia="Times New Roman" w:cs="Times New Roman"/>
          <w:spacing w:val="15"/>
          <w:w w:val="101"/>
          <w:position w:val="-1"/>
          <w:sz w:val="15"/>
          <w:szCs w:val="15"/>
        </w:rPr>
        <w:t xml:space="preserve"> </w:t>
      </w:r>
      <w:r>
        <w:rPr>
          <w:rFonts w:ascii="Times New Roman" w:hAnsi="Times New Roman" w:eastAsia="Times New Roman" w:cs="Times New Roman"/>
          <w:spacing w:val="-1"/>
          <w:sz w:val="24"/>
          <w:szCs w:val="24"/>
        </w:rPr>
        <w:t>CaSO</w:t>
      </w:r>
      <w:r>
        <w:rPr>
          <w:rFonts w:ascii="Times New Roman" w:hAnsi="Times New Roman" w:eastAsia="Times New Roman" w:cs="Times New Roman"/>
          <w:spacing w:val="-1"/>
          <w:position w:val="-1"/>
          <w:sz w:val="15"/>
          <w:szCs w:val="15"/>
        </w:rPr>
        <w:t>3</w:t>
      </w:r>
      <w:r>
        <w:rPr>
          <w:rFonts w:ascii="Times New Roman" w:hAnsi="Times New Roman" w:eastAsia="Times New Roman" w:cs="Times New Roman"/>
          <w:spacing w:val="-1"/>
          <w:sz w:val="24"/>
          <w:szCs w:val="24"/>
        </w:rPr>
        <w:t>+O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→CaSO</w:t>
      </w:r>
      <w:r>
        <w:rPr>
          <w:rFonts w:ascii="Times New Roman" w:hAnsi="Times New Roman" w:eastAsia="Times New Roman" w:cs="Times New Roman"/>
          <w:spacing w:val="-1"/>
          <w:position w:val="-1"/>
          <w:sz w:val="15"/>
          <w:szCs w:val="15"/>
        </w:rPr>
        <w:t>4</w:t>
      </w:r>
    </w:p>
    <w:p w14:paraId="6D29E176">
      <w:pPr>
        <w:spacing w:before="49" w:line="363" w:lineRule="auto"/>
        <w:ind w:left="11" w:right="51" w:firstLine="478"/>
        <w:rPr>
          <w:rFonts w:ascii="宋体" w:hAnsi="宋体" w:eastAsia="宋体" w:cs="宋体"/>
          <w:sz w:val="24"/>
          <w:szCs w:val="24"/>
        </w:rPr>
      </w:pPr>
      <w:r>
        <w:rPr>
          <w:rFonts w:ascii="宋体" w:hAnsi="宋体" w:eastAsia="宋体" w:cs="宋体"/>
          <w:spacing w:val="2"/>
          <w:sz w:val="24"/>
          <w:szCs w:val="24"/>
        </w:rPr>
        <w:t>石灰石</w:t>
      </w:r>
      <w:r>
        <w:rPr>
          <w:rFonts w:ascii="Times New Roman" w:hAnsi="Times New Roman" w:eastAsia="Times New Roman" w:cs="Times New Roman"/>
          <w:spacing w:val="2"/>
          <w:sz w:val="24"/>
          <w:szCs w:val="24"/>
        </w:rPr>
        <w:t>-</w:t>
      </w:r>
      <w:r>
        <w:rPr>
          <w:rFonts w:ascii="宋体" w:hAnsi="宋体" w:eastAsia="宋体" w:cs="宋体"/>
          <w:spacing w:val="2"/>
          <w:sz w:val="24"/>
          <w:szCs w:val="24"/>
        </w:rPr>
        <w:t>石膏法脱硫装置主要由</w:t>
      </w:r>
      <w:r>
        <w:rPr>
          <w:rFonts w:ascii="宋体" w:hAnsi="宋体" w:eastAsia="宋体" w:cs="宋体"/>
          <w:spacing w:val="-42"/>
          <w:sz w:val="24"/>
          <w:szCs w:val="24"/>
        </w:rPr>
        <w:t xml:space="preserve"> </w:t>
      </w:r>
      <w:r>
        <w:rPr>
          <w:rFonts w:ascii="Times New Roman" w:hAnsi="Times New Roman" w:eastAsia="Times New Roman" w:cs="Times New Roman"/>
          <w:sz w:val="24"/>
          <w:szCs w:val="24"/>
        </w:rPr>
        <w:t>SO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3"/>
          <w:position w:val="-1"/>
          <w:sz w:val="15"/>
          <w:szCs w:val="15"/>
        </w:rPr>
        <w:t xml:space="preserve"> </w:t>
      </w:r>
      <w:r>
        <w:rPr>
          <w:rFonts w:ascii="宋体" w:hAnsi="宋体" w:eastAsia="宋体" w:cs="宋体"/>
          <w:spacing w:val="2"/>
          <w:sz w:val="24"/>
          <w:szCs w:val="24"/>
        </w:rPr>
        <w:t>吸收系统、制浆系统、</w:t>
      </w:r>
      <w:r>
        <w:rPr>
          <w:rFonts w:ascii="宋体" w:hAnsi="宋体" w:eastAsia="宋体" w:cs="宋体"/>
          <w:spacing w:val="1"/>
          <w:sz w:val="24"/>
          <w:szCs w:val="24"/>
        </w:rPr>
        <w:t>石膏脱水系统、脱硫废</w:t>
      </w:r>
      <w:r>
        <w:rPr>
          <w:rFonts w:ascii="宋体" w:hAnsi="宋体" w:eastAsia="宋体" w:cs="宋体"/>
          <w:sz w:val="24"/>
          <w:szCs w:val="24"/>
        </w:rPr>
        <w:t xml:space="preserve"> </w:t>
      </w:r>
      <w:r>
        <w:rPr>
          <w:rFonts w:ascii="宋体" w:hAnsi="宋体" w:eastAsia="宋体" w:cs="宋体"/>
          <w:spacing w:val="-2"/>
          <w:sz w:val="24"/>
          <w:szCs w:val="24"/>
        </w:rPr>
        <w:t>水处理系统等组成。</w:t>
      </w:r>
    </w:p>
    <w:p w14:paraId="0C13DD82">
      <w:pPr>
        <w:spacing w:before="33" w:line="367" w:lineRule="auto"/>
        <w:ind w:left="8" w:right="51" w:firstLine="484"/>
        <w:rPr>
          <w:rFonts w:ascii="宋体" w:hAnsi="宋体" w:eastAsia="宋体" w:cs="宋体"/>
          <w:sz w:val="24"/>
          <w:szCs w:val="24"/>
        </w:rPr>
      </w:pPr>
      <w:r>
        <w:rPr>
          <w:rFonts w:ascii="宋体" w:hAnsi="宋体" w:eastAsia="宋体" w:cs="宋体"/>
          <w:spacing w:val="-2"/>
          <w:sz w:val="24"/>
          <w:szCs w:val="24"/>
        </w:rPr>
        <w:t>外购粒度合格的石灰石成品粉由密封罐装车运至厂内，直接用罐车自带空压机输送</w:t>
      </w:r>
      <w:r>
        <w:rPr>
          <w:rFonts w:ascii="宋体" w:hAnsi="宋体" w:eastAsia="宋体" w:cs="宋体"/>
          <w:spacing w:val="8"/>
          <w:sz w:val="24"/>
          <w:szCs w:val="24"/>
        </w:rPr>
        <w:t xml:space="preserve"> </w:t>
      </w:r>
      <w:r>
        <w:rPr>
          <w:rFonts w:ascii="宋体" w:hAnsi="宋体" w:eastAsia="宋体" w:cs="宋体"/>
          <w:spacing w:val="-2"/>
          <w:sz w:val="24"/>
          <w:szCs w:val="24"/>
        </w:rPr>
        <w:t>至石灰石粉仓内储存，再由旋转给料阀送到石灰石浆液箱内加水或者滤液经搅拌后制成</w:t>
      </w:r>
      <w:r>
        <w:rPr>
          <w:rFonts w:ascii="宋体" w:hAnsi="宋体" w:eastAsia="宋体" w:cs="宋体"/>
          <w:spacing w:val="17"/>
          <w:sz w:val="24"/>
          <w:szCs w:val="24"/>
        </w:rPr>
        <w:t xml:space="preserve"> </w:t>
      </w:r>
      <w:r>
        <w:rPr>
          <w:rFonts w:ascii="宋体" w:hAnsi="宋体" w:eastAsia="宋体" w:cs="宋体"/>
          <w:spacing w:val="-1"/>
          <w:sz w:val="24"/>
          <w:szCs w:val="24"/>
        </w:rPr>
        <w:t>浆液，然后经石灰石浆液泵送至吸收塔浆池。</w:t>
      </w:r>
    </w:p>
    <w:p w14:paraId="0D1A22D5">
      <w:pPr>
        <w:spacing w:before="42" w:line="373" w:lineRule="auto"/>
        <w:ind w:left="8" w:firstLine="480"/>
        <w:rPr>
          <w:rFonts w:ascii="宋体" w:hAnsi="宋体" w:eastAsia="宋体" w:cs="宋体"/>
          <w:sz w:val="24"/>
          <w:szCs w:val="24"/>
        </w:rPr>
      </w:pPr>
      <w:r>
        <w:rPr>
          <w:rFonts w:ascii="宋体" w:hAnsi="宋体" w:eastAsia="宋体" w:cs="宋体"/>
          <w:spacing w:val="-2"/>
          <w:sz w:val="24"/>
          <w:szCs w:val="24"/>
        </w:rPr>
        <w:t>本项目脱硫采用的是逆流喷淋吸收塔，烟气由吸收塔进气口进入，在上升过程中与</w:t>
      </w:r>
      <w:r>
        <w:rPr>
          <w:rFonts w:ascii="宋体" w:hAnsi="宋体" w:eastAsia="宋体" w:cs="宋体"/>
          <w:spacing w:val="12"/>
          <w:sz w:val="24"/>
          <w:szCs w:val="24"/>
        </w:rPr>
        <w:t xml:space="preserve"> </w:t>
      </w:r>
      <w:r>
        <w:rPr>
          <w:rFonts w:ascii="宋体" w:hAnsi="宋体" w:eastAsia="宋体" w:cs="宋体"/>
          <w:spacing w:val="-2"/>
          <w:sz w:val="24"/>
          <w:szCs w:val="24"/>
        </w:rPr>
        <w:t>雾状的喷淋下来的浆液逆流接触，浆液中的碳酸钙与烟气中的二氧化硫有效接触，发生</w:t>
      </w:r>
      <w:r>
        <w:rPr>
          <w:rFonts w:ascii="宋体" w:hAnsi="宋体" w:eastAsia="宋体" w:cs="宋体"/>
          <w:spacing w:val="17"/>
          <w:sz w:val="24"/>
          <w:szCs w:val="24"/>
        </w:rPr>
        <w:t xml:space="preserve"> </w:t>
      </w:r>
      <w:r>
        <w:rPr>
          <w:rFonts w:ascii="宋体" w:hAnsi="宋体" w:eastAsia="宋体" w:cs="宋体"/>
          <w:spacing w:val="4"/>
          <w:sz w:val="24"/>
          <w:szCs w:val="24"/>
        </w:rPr>
        <w:t>化学反应去除大量的</w:t>
      </w:r>
      <w:r>
        <w:rPr>
          <w:rFonts w:ascii="宋体" w:hAnsi="宋体" w:eastAsia="宋体" w:cs="宋体"/>
          <w:spacing w:val="-25"/>
          <w:sz w:val="24"/>
          <w:szCs w:val="24"/>
        </w:rPr>
        <w:t xml:space="preserve"> </w:t>
      </w:r>
      <w:r>
        <w:rPr>
          <w:rFonts w:ascii="Times New Roman" w:hAnsi="Times New Roman" w:eastAsia="Times New Roman" w:cs="Times New Roman"/>
          <w:sz w:val="24"/>
          <w:szCs w:val="24"/>
        </w:rPr>
        <w:t>SO</w:t>
      </w:r>
      <w:r>
        <w:rPr>
          <w:rFonts w:ascii="Times New Roman" w:hAnsi="Times New Roman" w:eastAsia="Times New Roman" w:cs="Times New Roman"/>
          <w:spacing w:val="4"/>
          <w:position w:val="-1"/>
          <w:sz w:val="15"/>
          <w:szCs w:val="15"/>
        </w:rPr>
        <w:t xml:space="preserve">2 </w:t>
      </w:r>
      <w:r>
        <w:rPr>
          <w:rFonts w:ascii="宋体" w:hAnsi="宋体" w:eastAsia="宋体" w:cs="宋体"/>
          <w:spacing w:val="4"/>
          <w:sz w:val="24"/>
          <w:szCs w:val="24"/>
        </w:rPr>
        <w:t>，在塔内脱硫处理后的烟气经</w:t>
      </w:r>
      <w:r>
        <w:rPr>
          <w:rFonts w:ascii="宋体" w:hAnsi="宋体" w:eastAsia="宋体" w:cs="宋体"/>
          <w:spacing w:val="3"/>
          <w:sz w:val="24"/>
          <w:szCs w:val="24"/>
        </w:rPr>
        <w:t>排气筒达标排放；脱硫反应生</w:t>
      </w:r>
      <w:r>
        <w:rPr>
          <w:rFonts w:ascii="宋体" w:hAnsi="宋体" w:eastAsia="宋体" w:cs="宋体"/>
          <w:sz w:val="24"/>
          <w:szCs w:val="24"/>
        </w:rPr>
        <w:t xml:space="preserve"> </w:t>
      </w:r>
      <w:r>
        <w:rPr>
          <w:rFonts w:ascii="宋体" w:hAnsi="宋体" w:eastAsia="宋体" w:cs="宋体"/>
          <w:spacing w:val="11"/>
          <w:sz w:val="24"/>
          <w:szCs w:val="24"/>
        </w:rPr>
        <w:t>成的脱硫产物在吸收塔浆池中被通入的氧化空气强制反应，生成硫酸钙并在浆池结 晶生成二水石膏。吸收塔的石膏浆液由石膏排出泵输送至石膏旋流浓缩器，经旋流</w:t>
      </w:r>
      <w:r>
        <w:rPr>
          <w:rFonts w:ascii="宋体" w:hAnsi="宋体" w:eastAsia="宋体" w:cs="宋体"/>
          <w:spacing w:val="13"/>
          <w:sz w:val="24"/>
          <w:szCs w:val="24"/>
        </w:rPr>
        <w:t xml:space="preserve"> </w:t>
      </w:r>
      <w:r>
        <w:rPr>
          <w:rFonts w:ascii="宋体" w:hAnsi="宋体" w:eastAsia="宋体" w:cs="宋体"/>
          <w:spacing w:val="11"/>
          <w:sz w:val="24"/>
          <w:szCs w:val="24"/>
        </w:rPr>
        <w:t>浓缩器浓缩后的石膏浆液（浓度</w:t>
      </w:r>
      <w:r>
        <w:rPr>
          <w:rFonts w:ascii="宋体" w:hAnsi="宋体" w:eastAsia="宋体" w:cs="宋体"/>
          <w:spacing w:val="-39"/>
          <w:sz w:val="24"/>
          <w:szCs w:val="24"/>
        </w:rPr>
        <w:t xml:space="preserve"> </w:t>
      </w:r>
      <w:r>
        <w:rPr>
          <w:rFonts w:ascii="Times New Roman" w:hAnsi="Times New Roman" w:eastAsia="Times New Roman" w:cs="Times New Roman"/>
          <w:spacing w:val="11"/>
          <w:sz w:val="24"/>
          <w:szCs w:val="24"/>
        </w:rPr>
        <w:t>40%</w:t>
      </w:r>
      <w:r>
        <w:rPr>
          <w:rFonts w:ascii="宋体" w:hAnsi="宋体" w:eastAsia="宋体" w:cs="宋体"/>
          <w:spacing w:val="11"/>
          <w:sz w:val="24"/>
          <w:szCs w:val="24"/>
        </w:rPr>
        <w:t>～</w:t>
      </w:r>
      <w:r>
        <w:rPr>
          <w:rFonts w:ascii="Times New Roman" w:hAnsi="Times New Roman" w:eastAsia="Times New Roman" w:cs="Times New Roman"/>
          <w:spacing w:val="11"/>
          <w:sz w:val="24"/>
          <w:szCs w:val="24"/>
        </w:rPr>
        <w:t>50%</w:t>
      </w:r>
      <w:r>
        <w:rPr>
          <w:rFonts w:ascii="宋体" w:hAnsi="宋体" w:eastAsia="宋体" w:cs="宋体"/>
          <w:spacing w:val="11"/>
          <w:sz w:val="24"/>
          <w:szCs w:val="24"/>
        </w:rPr>
        <w:t>）底流液经</w:t>
      </w:r>
      <w:r>
        <w:rPr>
          <w:rFonts w:ascii="宋体" w:hAnsi="宋体" w:eastAsia="宋体" w:cs="宋体"/>
          <w:spacing w:val="10"/>
          <w:sz w:val="24"/>
          <w:szCs w:val="24"/>
        </w:rPr>
        <w:t>真空皮带脱水机给料箱进入</w:t>
      </w:r>
      <w:r>
        <w:rPr>
          <w:rFonts w:ascii="宋体" w:hAnsi="宋体" w:eastAsia="宋体" w:cs="宋体"/>
          <w:sz w:val="24"/>
          <w:szCs w:val="24"/>
        </w:rPr>
        <w:t xml:space="preserve"> </w:t>
      </w:r>
      <w:r>
        <w:rPr>
          <w:rFonts w:ascii="宋体" w:hAnsi="宋体" w:eastAsia="宋体" w:cs="宋体"/>
          <w:spacing w:val="4"/>
          <w:sz w:val="24"/>
          <w:szCs w:val="24"/>
        </w:rPr>
        <w:t xml:space="preserve">真空皮带脱水机进行脱水，脱水后的石膏（含水量小于 </w:t>
      </w:r>
      <w:r>
        <w:rPr>
          <w:rFonts w:ascii="Times New Roman" w:hAnsi="Times New Roman" w:eastAsia="Times New Roman" w:cs="Times New Roman"/>
          <w:spacing w:val="4"/>
          <w:sz w:val="24"/>
          <w:szCs w:val="24"/>
        </w:rPr>
        <w:t>10%</w:t>
      </w:r>
      <w:r>
        <w:rPr>
          <w:rFonts w:ascii="宋体" w:hAnsi="宋体" w:eastAsia="宋体" w:cs="宋体"/>
          <w:spacing w:val="4"/>
          <w:sz w:val="24"/>
          <w:szCs w:val="24"/>
        </w:rPr>
        <w:t>）由汽车外运综合</w:t>
      </w:r>
      <w:r>
        <w:rPr>
          <w:rFonts w:ascii="宋体" w:hAnsi="宋体" w:eastAsia="宋体" w:cs="宋体"/>
          <w:spacing w:val="3"/>
          <w:sz w:val="24"/>
          <w:szCs w:val="24"/>
        </w:rPr>
        <w:t>利用；</w:t>
      </w:r>
      <w:r>
        <w:rPr>
          <w:rFonts w:ascii="宋体" w:hAnsi="宋体" w:eastAsia="宋体" w:cs="宋体"/>
          <w:sz w:val="24"/>
          <w:szCs w:val="24"/>
        </w:rPr>
        <w:t xml:space="preserve"> </w:t>
      </w:r>
      <w:r>
        <w:rPr>
          <w:rFonts w:ascii="宋体" w:hAnsi="宋体" w:eastAsia="宋体" w:cs="宋体"/>
          <w:spacing w:val="11"/>
          <w:sz w:val="24"/>
          <w:szCs w:val="24"/>
        </w:rPr>
        <w:t>真空皮带脱水机的滤出液部分返回石灰石制浆系统供制浆用；石膏旋流浓缩器分离</w:t>
      </w:r>
      <w:r>
        <w:rPr>
          <w:rFonts w:ascii="宋体" w:hAnsi="宋体" w:eastAsia="宋体" w:cs="宋体"/>
          <w:spacing w:val="13"/>
          <w:sz w:val="24"/>
          <w:szCs w:val="24"/>
        </w:rPr>
        <w:t xml:space="preserve"> </w:t>
      </w:r>
      <w:r>
        <w:rPr>
          <w:rFonts w:ascii="宋体" w:hAnsi="宋体" w:eastAsia="宋体" w:cs="宋体"/>
          <w:spacing w:val="11"/>
          <w:sz w:val="24"/>
          <w:szCs w:val="24"/>
        </w:rPr>
        <w:t xml:space="preserve">出来的溢流液进入滤液池，一部分返回吸收塔脱硫区浆池，另一部分进入废水旋流 </w:t>
      </w:r>
      <w:r>
        <w:rPr>
          <w:rFonts w:ascii="宋体" w:hAnsi="宋体" w:eastAsia="宋体" w:cs="宋体"/>
          <w:spacing w:val="12"/>
          <w:sz w:val="24"/>
          <w:szCs w:val="24"/>
        </w:rPr>
        <w:t>器进一步浓缩后排放至脱硫废水处理系统。</w:t>
      </w:r>
    </w:p>
    <w:p w14:paraId="226496EC">
      <w:pPr>
        <w:spacing w:before="34" w:line="367" w:lineRule="auto"/>
        <w:ind w:left="11" w:right="63" w:firstLine="506"/>
        <w:rPr>
          <w:rFonts w:ascii="宋体" w:hAnsi="宋体" w:eastAsia="宋体" w:cs="宋体"/>
          <w:sz w:val="24"/>
          <w:szCs w:val="24"/>
        </w:rPr>
      </w:pPr>
      <w:r>
        <w:rPr>
          <w:rFonts w:ascii="宋体" w:hAnsi="宋体" w:eastAsia="宋体" w:cs="宋体"/>
          <w:spacing w:val="9"/>
          <w:sz w:val="24"/>
          <w:szCs w:val="24"/>
        </w:rPr>
        <w:t>石灰石</w:t>
      </w:r>
      <w:r>
        <w:rPr>
          <w:rFonts w:ascii="Times New Roman" w:hAnsi="Times New Roman" w:eastAsia="Times New Roman" w:cs="Times New Roman"/>
          <w:spacing w:val="9"/>
          <w:sz w:val="24"/>
          <w:szCs w:val="24"/>
        </w:rPr>
        <w:t>-</w:t>
      </w:r>
      <w:r>
        <w:rPr>
          <w:rFonts w:ascii="宋体" w:hAnsi="宋体" w:eastAsia="宋体" w:cs="宋体"/>
          <w:spacing w:val="9"/>
          <w:sz w:val="24"/>
          <w:szCs w:val="24"/>
        </w:rPr>
        <w:t>石膏湿法脱硫工艺具有脱硫效率高（</w:t>
      </w:r>
      <w:r>
        <w:rPr>
          <w:rFonts w:ascii="Times New Roman" w:hAnsi="Times New Roman" w:eastAsia="Times New Roman" w:cs="Times New Roman"/>
          <w:spacing w:val="9"/>
          <w:sz w:val="24"/>
          <w:szCs w:val="24"/>
        </w:rPr>
        <w:t>90%</w:t>
      </w:r>
      <w:r>
        <w:rPr>
          <w:rFonts w:ascii="宋体" w:hAnsi="宋体" w:eastAsia="宋体" w:cs="宋体"/>
          <w:spacing w:val="9"/>
          <w:sz w:val="24"/>
          <w:szCs w:val="24"/>
        </w:rPr>
        <w:t>以上）、吸收剂利用率高、设</w:t>
      </w:r>
      <w:r>
        <w:rPr>
          <w:rFonts w:ascii="宋体" w:hAnsi="宋体" w:eastAsia="宋体" w:cs="宋体"/>
          <w:spacing w:val="16"/>
          <w:sz w:val="24"/>
          <w:szCs w:val="24"/>
        </w:rPr>
        <w:t xml:space="preserve"> </w:t>
      </w:r>
      <w:r>
        <w:rPr>
          <w:rFonts w:ascii="宋体" w:hAnsi="宋体" w:eastAsia="宋体" w:cs="宋体"/>
          <w:spacing w:val="2"/>
          <w:sz w:val="24"/>
          <w:szCs w:val="24"/>
        </w:rPr>
        <w:t>备运转率高、工作的可靠性高、脱硫剂</w:t>
      </w:r>
      <w:r>
        <w:rPr>
          <w:rFonts w:ascii="Times New Roman" w:hAnsi="Times New Roman" w:eastAsia="Times New Roman" w:cs="Times New Roman"/>
          <w:spacing w:val="2"/>
          <w:sz w:val="24"/>
          <w:szCs w:val="24"/>
        </w:rPr>
        <w:t>-</w:t>
      </w:r>
      <w:r>
        <w:rPr>
          <w:rFonts w:ascii="宋体" w:hAnsi="宋体" w:eastAsia="宋体" w:cs="宋体"/>
          <w:spacing w:val="2"/>
          <w:sz w:val="24"/>
          <w:szCs w:val="24"/>
        </w:rPr>
        <w:t>石灰石来源丰富且廉价的特点，是目前最成熟</w:t>
      </w:r>
      <w:r>
        <w:rPr>
          <w:rFonts w:ascii="宋体" w:hAnsi="宋体" w:eastAsia="宋体" w:cs="宋体"/>
          <w:spacing w:val="8"/>
          <w:sz w:val="24"/>
          <w:szCs w:val="24"/>
        </w:rPr>
        <w:t xml:space="preserve"> </w:t>
      </w:r>
      <w:r>
        <w:rPr>
          <w:rFonts w:ascii="宋体" w:hAnsi="宋体" w:eastAsia="宋体" w:cs="宋体"/>
          <w:spacing w:val="7"/>
          <w:sz w:val="24"/>
          <w:szCs w:val="24"/>
        </w:rPr>
        <w:t>的烟气脱硫工艺。因此，本项目石灰石</w:t>
      </w:r>
      <w:r>
        <w:rPr>
          <w:rFonts w:ascii="Times New Roman" w:hAnsi="Times New Roman" w:eastAsia="Times New Roman" w:cs="Times New Roman"/>
          <w:spacing w:val="7"/>
          <w:sz w:val="24"/>
          <w:szCs w:val="24"/>
        </w:rPr>
        <w:t>-</w:t>
      </w:r>
      <w:r>
        <w:rPr>
          <w:rFonts w:ascii="宋体" w:hAnsi="宋体" w:eastAsia="宋体" w:cs="宋体"/>
          <w:spacing w:val="7"/>
          <w:sz w:val="24"/>
          <w:szCs w:val="24"/>
        </w:rPr>
        <w:t>石膏湿法脱硫效率取</w:t>
      </w:r>
      <w:r>
        <w:rPr>
          <w:rFonts w:ascii="宋体" w:hAnsi="宋体" w:eastAsia="宋体" w:cs="宋体"/>
          <w:spacing w:val="-32"/>
          <w:sz w:val="24"/>
          <w:szCs w:val="24"/>
        </w:rPr>
        <w:t xml:space="preserve"> </w:t>
      </w:r>
      <w:r>
        <w:rPr>
          <w:rFonts w:ascii="Times New Roman" w:hAnsi="Times New Roman" w:eastAsia="Times New Roman" w:cs="Times New Roman"/>
          <w:spacing w:val="7"/>
          <w:sz w:val="24"/>
          <w:szCs w:val="24"/>
        </w:rPr>
        <w:t>90%</w:t>
      </w:r>
      <w:r>
        <w:rPr>
          <w:rFonts w:ascii="宋体" w:hAnsi="宋体" w:eastAsia="宋体" w:cs="宋体"/>
          <w:spacing w:val="7"/>
          <w:sz w:val="24"/>
          <w:szCs w:val="24"/>
        </w:rPr>
        <w:t>是可行的。</w:t>
      </w:r>
    </w:p>
    <w:p w14:paraId="4BD0B4E8">
      <w:pPr>
        <w:spacing w:before="39" w:line="369" w:lineRule="auto"/>
        <w:ind w:left="7" w:right="51" w:firstLine="482"/>
        <w:rPr>
          <w:rFonts w:ascii="宋体" w:hAnsi="宋体" w:eastAsia="宋体" w:cs="宋体"/>
          <w:sz w:val="24"/>
          <w:szCs w:val="24"/>
        </w:rPr>
      </w:pPr>
      <w:r>
        <w:rPr>
          <w:rFonts w:ascii="宋体" w:hAnsi="宋体" w:eastAsia="宋体" w:cs="宋体"/>
          <w:spacing w:val="-3"/>
          <w:sz w:val="24"/>
          <w:szCs w:val="24"/>
        </w:rPr>
        <w:t>按照《钢铁烧结、球团工业大气污染物排放标准》（</w:t>
      </w:r>
      <w:r>
        <w:rPr>
          <w:rFonts w:ascii="Times New Roman" w:hAnsi="Times New Roman" w:eastAsia="Times New Roman" w:cs="Times New Roman"/>
          <w:spacing w:val="-3"/>
          <w:sz w:val="24"/>
          <w:szCs w:val="24"/>
        </w:rPr>
        <w:t>GB28662-2012</w:t>
      </w:r>
      <w:r>
        <w:rPr>
          <w:rFonts w:ascii="宋体" w:hAnsi="宋体" w:eastAsia="宋体" w:cs="宋体"/>
          <w:spacing w:val="-3"/>
          <w:sz w:val="24"/>
          <w:szCs w:val="24"/>
        </w:rPr>
        <w:t>）及《铁合金工</w:t>
      </w:r>
      <w:r>
        <w:rPr>
          <w:rFonts w:ascii="宋体" w:hAnsi="宋体" w:eastAsia="宋体" w:cs="宋体"/>
          <w:spacing w:val="12"/>
          <w:sz w:val="24"/>
          <w:szCs w:val="24"/>
        </w:rPr>
        <w:t xml:space="preserve"> </w:t>
      </w:r>
      <w:r>
        <w:rPr>
          <w:rFonts w:ascii="宋体" w:hAnsi="宋体" w:eastAsia="宋体" w:cs="宋体"/>
          <w:sz w:val="24"/>
          <w:szCs w:val="24"/>
        </w:rPr>
        <w:t>业污染物排放标准》（</w:t>
      </w:r>
      <w:r>
        <w:rPr>
          <w:rFonts w:ascii="Times New Roman" w:hAnsi="Times New Roman" w:eastAsia="Times New Roman" w:cs="Times New Roman"/>
          <w:sz w:val="24"/>
          <w:szCs w:val="24"/>
        </w:rPr>
        <w:t>GB28666-2012</w:t>
      </w:r>
      <w:r>
        <w:rPr>
          <w:rFonts w:ascii="宋体" w:hAnsi="宋体" w:eastAsia="宋体" w:cs="宋体"/>
          <w:sz w:val="24"/>
          <w:szCs w:val="24"/>
        </w:rPr>
        <w:t>）规定排气筒周围半径</w:t>
      </w:r>
      <w:r>
        <w:rPr>
          <w:rFonts w:ascii="宋体" w:hAnsi="宋体" w:eastAsia="宋体" w:cs="宋体"/>
          <w:spacing w:val="-55"/>
          <w:sz w:val="24"/>
          <w:szCs w:val="24"/>
        </w:rPr>
        <w:t xml:space="preserve"> </w:t>
      </w:r>
      <w:r>
        <w:rPr>
          <w:rFonts w:ascii="Times New Roman" w:hAnsi="Times New Roman" w:eastAsia="Times New Roman" w:cs="Times New Roman"/>
          <w:sz w:val="24"/>
          <w:szCs w:val="24"/>
        </w:rPr>
        <w:t>200m</w:t>
      </w:r>
      <w:r>
        <w:rPr>
          <w:rFonts w:ascii="宋体" w:hAnsi="宋体" w:eastAsia="宋体" w:cs="宋体"/>
          <w:sz w:val="24"/>
          <w:szCs w:val="24"/>
        </w:rPr>
        <w:t>距离内有建筑</w:t>
      </w:r>
      <w:r>
        <w:rPr>
          <w:rFonts w:ascii="宋体" w:hAnsi="宋体" w:eastAsia="宋体" w:cs="宋体"/>
          <w:spacing w:val="-1"/>
          <w:sz w:val="24"/>
          <w:szCs w:val="24"/>
        </w:rPr>
        <w:t>物时，</w:t>
      </w:r>
      <w:r>
        <w:rPr>
          <w:rFonts w:ascii="宋体" w:hAnsi="宋体" w:eastAsia="宋体" w:cs="宋体"/>
          <w:sz w:val="24"/>
          <w:szCs w:val="24"/>
        </w:rPr>
        <w:t xml:space="preserve"> </w:t>
      </w:r>
      <w:r>
        <w:rPr>
          <w:rFonts w:ascii="宋体" w:hAnsi="宋体" w:eastAsia="宋体" w:cs="宋体"/>
          <w:spacing w:val="-3"/>
          <w:sz w:val="24"/>
          <w:szCs w:val="24"/>
        </w:rPr>
        <w:t>其烟囱应高出最高建筑物</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3m</w:t>
      </w:r>
      <w:r>
        <w:rPr>
          <w:rFonts w:ascii="Times New Roman" w:hAnsi="Times New Roman" w:eastAsia="Times New Roman" w:cs="Times New Roman"/>
          <w:spacing w:val="37"/>
          <w:w w:val="101"/>
          <w:sz w:val="24"/>
          <w:szCs w:val="24"/>
        </w:rPr>
        <w:t xml:space="preserve"> </w:t>
      </w:r>
      <w:r>
        <w:rPr>
          <w:rFonts w:ascii="宋体" w:hAnsi="宋体" w:eastAsia="宋体" w:cs="宋体"/>
          <w:spacing w:val="-3"/>
          <w:sz w:val="24"/>
          <w:szCs w:val="24"/>
        </w:rPr>
        <w:t>以上，本项目</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座烧结机头废气排气筒高度为</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30</w:t>
      </w:r>
      <w:r>
        <w:rPr>
          <w:rFonts w:ascii="Times New Roman" w:hAnsi="Times New Roman" w:eastAsia="Times New Roman" w:cs="Times New Roman"/>
          <w:spacing w:val="-4"/>
          <w:sz w:val="24"/>
          <w:szCs w:val="24"/>
        </w:rPr>
        <w:t>m</w:t>
      </w:r>
      <w:r>
        <w:rPr>
          <w:rFonts w:ascii="Times New Roman" w:hAnsi="Times New Roman" w:eastAsia="Times New Roman" w:cs="Times New Roman"/>
          <w:spacing w:val="-33"/>
          <w:sz w:val="24"/>
          <w:szCs w:val="24"/>
        </w:rPr>
        <w:t xml:space="preserve"> </w:t>
      </w:r>
      <w:r>
        <w:rPr>
          <w:rFonts w:ascii="宋体" w:hAnsi="宋体" w:eastAsia="宋体" w:cs="宋体"/>
          <w:spacing w:val="-4"/>
          <w:sz w:val="24"/>
          <w:szCs w:val="24"/>
        </w:rPr>
        <w:t>，高于</w:t>
      </w:r>
      <w:r>
        <w:rPr>
          <w:rFonts w:ascii="宋体" w:hAnsi="宋体" w:eastAsia="宋体" w:cs="宋体"/>
          <w:sz w:val="24"/>
          <w:szCs w:val="24"/>
        </w:rPr>
        <w:t xml:space="preserve"> </w:t>
      </w:r>
      <w:r>
        <w:rPr>
          <w:rFonts w:ascii="宋体" w:hAnsi="宋体" w:eastAsia="宋体" w:cs="宋体"/>
          <w:spacing w:val="-3"/>
          <w:sz w:val="24"/>
          <w:szCs w:val="24"/>
        </w:rPr>
        <w:t>周围半径</w:t>
      </w:r>
      <w:r>
        <w:rPr>
          <w:rFonts w:ascii="宋体" w:hAnsi="宋体" w:eastAsia="宋体" w:cs="宋体"/>
          <w:spacing w:val="-45"/>
          <w:sz w:val="24"/>
          <w:szCs w:val="24"/>
        </w:rPr>
        <w:t xml:space="preserve"> </w:t>
      </w:r>
      <w:r>
        <w:rPr>
          <w:rFonts w:ascii="Times New Roman" w:hAnsi="Times New Roman" w:eastAsia="Times New Roman" w:cs="Times New Roman"/>
          <w:spacing w:val="-3"/>
          <w:sz w:val="24"/>
          <w:szCs w:val="24"/>
        </w:rPr>
        <w:t>200m</w:t>
      </w:r>
      <w:r>
        <w:rPr>
          <w:rFonts w:ascii="Times New Roman" w:hAnsi="Times New Roman" w:eastAsia="Times New Roman" w:cs="Times New Roman"/>
          <w:spacing w:val="16"/>
          <w:sz w:val="24"/>
          <w:szCs w:val="24"/>
        </w:rPr>
        <w:t xml:space="preserve"> </w:t>
      </w:r>
      <w:r>
        <w:rPr>
          <w:rFonts w:ascii="宋体" w:hAnsi="宋体" w:eastAsia="宋体" w:cs="宋体"/>
          <w:spacing w:val="-3"/>
          <w:sz w:val="24"/>
          <w:szCs w:val="24"/>
        </w:rPr>
        <w:t>范围内最高建筑物</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3m</w:t>
      </w:r>
      <w:r>
        <w:rPr>
          <w:rFonts w:ascii="Times New Roman" w:hAnsi="Times New Roman" w:eastAsia="Times New Roman" w:cs="Times New Roman"/>
          <w:spacing w:val="37"/>
          <w:w w:val="101"/>
          <w:sz w:val="24"/>
          <w:szCs w:val="24"/>
        </w:rPr>
        <w:t xml:space="preserve"> </w:t>
      </w:r>
      <w:r>
        <w:rPr>
          <w:rFonts w:ascii="宋体" w:hAnsi="宋体" w:eastAsia="宋体" w:cs="宋体"/>
          <w:spacing w:val="-3"/>
          <w:sz w:val="24"/>
          <w:szCs w:val="24"/>
        </w:rPr>
        <w:t>以上，符合该规定要求。</w:t>
      </w:r>
    </w:p>
    <w:p w14:paraId="3FF15ECA">
      <w:pPr>
        <w:spacing w:before="96" w:line="220" w:lineRule="auto"/>
        <w:ind w:left="9"/>
        <w:outlineLvl w:val="2"/>
        <w:rPr>
          <w:rFonts w:ascii="宋体" w:hAnsi="宋体" w:eastAsia="宋体" w:cs="宋体"/>
          <w:sz w:val="28"/>
          <w:szCs w:val="28"/>
        </w:rPr>
      </w:pPr>
      <w:bookmarkStart w:id="440" w:name="bookmark348"/>
      <w:bookmarkEnd w:id="440"/>
      <w:r>
        <w:rPr>
          <w:rFonts w:ascii="Times New Roman" w:hAnsi="Times New Roman" w:eastAsia="Times New Roman" w:cs="Times New Roman"/>
          <w:b/>
          <w:bCs/>
          <w:spacing w:val="-2"/>
          <w:sz w:val="28"/>
          <w:szCs w:val="28"/>
        </w:rPr>
        <w:t xml:space="preserve">6.1.4 </w:t>
      </w:r>
      <w:r>
        <w:rPr>
          <w:rFonts w:ascii="宋体" w:hAnsi="宋体" w:eastAsia="宋体" w:cs="宋体"/>
          <w:b/>
          <w:bCs/>
          <w:spacing w:val="-2"/>
          <w:sz w:val="28"/>
          <w:szCs w:val="28"/>
        </w:rPr>
        <w:t>餐厅油烟防治措施</w:t>
      </w:r>
    </w:p>
    <w:p w14:paraId="20BEC67E">
      <w:pPr>
        <w:spacing w:before="258" w:line="367" w:lineRule="auto"/>
        <w:ind w:left="9" w:right="51" w:firstLine="480"/>
        <w:rPr>
          <w:rFonts w:ascii="宋体" w:hAnsi="宋体" w:eastAsia="宋体" w:cs="宋体"/>
          <w:sz w:val="24"/>
          <w:szCs w:val="24"/>
        </w:rPr>
      </w:pPr>
      <w:r>
        <w:rPr>
          <w:rFonts w:ascii="宋体" w:hAnsi="宋体" w:eastAsia="宋体" w:cs="宋体"/>
          <w:spacing w:val="-2"/>
          <w:sz w:val="24"/>
          <w:szCs w:val="24"/>
        </w:rPr>
        <w:t>本项目厂区内餐厅油烟经油烟净化后通过餐厅专用井道至屋顶排放。厂区餐厅设有</w:t>
      </w:r>
      <w:r>
        <w:rPr>
          <w:rFonts w:ascii="宋体" w:hAnsi="宋体" w:eastAsia="宋体" w:cs="宋体"/>
          <w:spacing w:val="12"/>
          <w:sz w:val="24"/>
          <w:szCs w:val="24"/>
        </w:rPr>
        <w:t xml:space="preserve"> </w:t>
      </w:r>
      <w:r>
        <w:rPr>
          <w:rFonts w:ascii="Times New Roman" w:hAnsi="Times New Roman" w:eastAsia="Times New Roman" w:cs="Times New Roman"/>
          <w:spacing w:val="22"/>
          <w:sz w:val="24"/>
          <w:szCs w:val="24"/>
        </w:rPr>
        <w:t>6</w:t>
      </w:r>
      <w:r>
        <w:rPr>
          <w:rFonts w:ascii="宋体" w:hAnsi="宋体" w:eastAsia="宋体" w:cs="宋体"/>
          <w:spacing w:val="22"/>
          <w:sz w:val="24"/>
          <w:szCs w:val="24"/>
        </w:rPr>
        <w:t>个基准灶头</w:t>
      </w:r>
      <w:r>
        <w:rPr>
          <w:rFonts w:ascii="宋体" w:hAnsi="宋体" w:eastAsia="宋体" w:cs="宋体"/>
          <w:spacing w:val="-57"/>
          <w:sz w:val="24"/>
          <w:szCs w:val="24"/>
        </w:rPr>
        <w:t xml:space="preserve"> </w:t>
      </w:r>
      <w:r>
        <w:rPr>
          <w:rFonts w:ascii="宋体" w:hAnsi="宋体" w:eastAsia="宋体" w:cs="宋体"/>
          <w:spacing w:val="22"/>
          <w:sz w:val="24"/>
          <w:szCs w:val="24"/>
        </w:rPr>
        <w:t>，属于大型饮食业单位</w:t>
      </w:r>
      <w:r>
        <w:rPr>
          <w:rFonts w:ascii="宋体" w:hAnsi="宋体" w:eastAsia="宋体" w:cs="宋体"/>
          <w:spacing w:val="-60"/>
          <w:sz w:val="24"/>
          <w:szCs w:val="24"/>
        </w:rPr>
        <w:t xml:space="preserve"> </w:t>
      </w:r>
      <w:r>
        <w:rPr>
          <w:rFonts w:ascii="宋体" w:hAnsi="宋体" w:eastAsia="宋体" w:cs="宋体"/>
          <w:spacing w:val="22"/>
          <w:sz w:val="24"/>
          <w:szCs w:val="24"/>
        </w:rPr>
        <w:t>，根据《</w:t>
      </w:r>
      <w:r>
        <w:rPr>
          <w:rFonts w:ascii="宋体" w:hAnsi="宋体" w:eastAsia="宋体" w:cs="宋体"/>
          <w:spacing w:val="-56"/>
          <w:sz w:val="24"/>
          <w:szCs w:val="24"/>
        </w:rPr>
        <w:t xml:space="preserve"> </w:t>
      </w:r>
      <w:r>
        <w:rPr>
          <w:rFonts w:ascii="宋体" w:hAnsi="宋体" w:eastAsia="宋体" w:cs="宋体"/>
          <w:spacing w:val="22"/>
          <w:sz w:val="24"/>
          <w:szCs w:val="24"/>
        </w:rPr>
        <w:t>饮食业油烟排放标准（试行）</w:t>
      </w:r>
      <w:r>
        <w:rPr>
          <w:rFonts w:ascii="宋体" w:hAnsi="宋体" w:eastAsia="宋体" w:cs="宋体"/>
          <w:spacing w:val="-35"/>
          <w:sz w:val="24"/>
          <w:szCs w:val="24"/>
        </w:rPr>
        <w:t xml:space="preserve"> </w:t>
      </w:r>
      <w:r>
        <w:rPr>
          <w:rFonts w:ascii="宋体" w:hAnsi="宋体" w:eastAsia="宋体" w:cs="宋体"/>
          <w:spacing w:val="22"/>
          <w:sz w:val="24"/>
          <w:szCs w:val="24"/>
        </w:rPr>
        <w:t>》</w:t>
      </w:r>
      <w:r>
        <w:rPr>
          <w:rFonts w:ascii="宋体" w:hAnsi="宋体" w:eastAsia="宋体" w:cs="宋体"/>
          <w:sz w:val="24"/>
          <w:szCs w:val="24"/>
        </w:rPr>
        <w:t xml:space="preserve"> （</w:t>
      </w:r>
      <w:r>
        <w:rPr>
          <w:rFonts w:ascii="Times New Roman" w:hAnsi="Times New Roman" w:eastAsia="Times New Roman" w:cs="Times New Roman"/>
          <w:sz w:val="24"/>
          <w:szCs w:val="24"/>
        </w:rPr>
        <w:t>GB18483-2001</w:t>
      </w:r>
      <w:r>
        <w:rPr>
          <w:rFonts w:ascii="宋体" w:hAnsi="宋体" w:eastAsia="宋体" w:cs="宋体"/>
          <w:spacing w:val="9"/>
          <w:sz w:val="24"/>
          <w:szCs w:val="24"/>
        </w:rPr>
        <w:t>），</w:t>
      </w:r>
      <w:r>
        <w:rPr>
          <w:rFonts w:ascii="宋体" w:hAnsi="宋体" w:eastAsia="宋体" w:cs="宋体"/>
          <w:sz w:val="24"/>
          <w:szCs w:val="24"/>
        </w:rPr>
        <w:t>油烟净化器净化效率要求</w:t>
      </w:r>
      <w:r>
        <w:rPr>
          <w:rFonts w:ascii="Times New Roman" w:hAnsi="Times New Roman" w:eastAsia="Times New Roman" w:cs="Times New Roman"/>
          <w:sz w:val="24"/>
          <w:szCs w:val="24"/>
        </w:rPr>
        <w:t>≥8</w:t>
      </w:r>
      <w:r>
        <w:rPr>
          <w:rFonts w:ascii="Times New Roman" w:hAnsi="Times New Roman" w:eastAsia="Times New Roman" w:cs="Times New Roman"/>
          <w:spacing w:val="-1"/>
          <w:sz w:val="24"/>
          <w:szCs w:val="24"/>
        </w:rPr>
        <w:t>5%</w:t>
      </w:r>
      <w:r>
        <w:rPr>
          <w:rFonts w:ascii="Times New Roman" w:hAnsi="Times New Roman" w:eastAsia="Times New Roman" w:cs="Times New Roman"/>
          <w:spacing w:val="-26"/>
          <w:sz w:val="24"/>
          <w:szCs w:val="24"/>
        </w:rPr>
        <w:t xml:space="preserve"> </w:t>
      </w:r>
      <w:r>
        <w:rPr>
          <w:rFonts w:ascii="宋体" w:hAnsi="宋体" w:eastAsia="宋体" w:cs="宋体"/>
          <w:spacing w:val="-1"/>
          <w:sz w:val="24"/>
          <w:szCs w:val="24"/>
        </w:rPr>
        <w:t>。餐厅油烟排放满足《饮食业油烟</w:t>
      </w:r>
    </w:p>
    <w:p w14:paraId="10524E3A">
      <w:pPr>
        <w:spacing w:line="367" w:lineRule="auto"/>
        <w:rPr>
          <w:rFonts w:ascii="宋体" w:hAnsi="宋体" w:eastAsia="宋体" w:cs="宋体"/>
          <w:sz w:val="24"/>
          <w:szCs w:val="24"/>
        </w:rPr>
        <w:sectPr>
          <w:headerReference r:id="rId449" w:type="default"/>
          <w:footerReference r:id="rId450" w:type="default"/>
          <w:pgSz w:w="11906" w:h="16839"/>
          <w:pgMar w:top="1190" w:right="1366" w:bottom="1221" w:left="1417" w:header="882" w:footer="1059" w:gutter="0"/>
          <w:cols w:space="720" w:num="1"/>
        </w:sectPr>
      </w:pPr>
    </w:p>
    <w:p w14:paraId="024BCC0A">
      <w:pPr>
        <w:spacing w:line="28" w:lineRule="exact"/>
      </w:pPr>
      <w:r>
        <w:pict>
          <v:shape id="_x0000_s2034" o:spid="_x0000_s2034" style="height:1.45pt;width:453.65pt;" fillcolor="#000000" filled="t" stroked="f" coordsize="9072,29" path="m0,0l9072,0,9072,28,0,28,0,0xe">
            <v:path/>
            <v:fill on="t" focussize="0,0"/>
            <v:stroke on="f"/>
            <v:imagedata o:title=""/>
            <o:lock v:ext="edit"/>
            <w10:wrap type="none"/>
            <w10:anchorlock/>
          </v:shape>
        </w:pict>
      </w:r>
    </w:p>
    <w:p w14:paraId="644DFB45">
      <w:pPr>
        <w:pStyle w:val="2"/>
        <w:spacing w:line="243" w:lineRule="auto"/>
      </w:pPr>
    </w:p>
    <w:p w14:paraId="70665F7D">
      <w:pPr>
        <w:spacing w:before="78" w:line="219" w:lineRule="auto"/>
        <w:ind w:left="8"/>
        <w:rPr>
          <w:rFonts w:ascii="宋体" w:hAnsi="宋体" w:eastAsia="宋体" w:cs="宋体"/>
          <w:sz w:val="24"/>
          <w:szCs w:val="24"/>
        </w:rPr>
      </w:pPr>
      <w:r>
        <w:rPr>
          <w:rFonts w:ascii="宋体" w:hAnsi="宋体" w:eastAsia="宋体" w:cs="宋体"/>
          <w:spacing w:val="-1"/>
          <w:sz w:val="24"/>
          <w:szCs w:val="24"/>
        </w:rPr>
        <w:t>排放标准（试行）》（</w:t>
      </w:r>
      <w:r>
        <w:rPr>
          <w:rFonts w:ascii="Times New Roman" w:hAnsi="Times New Roman" w:eastAsia="Times New Roman" w:cs="Times New Roman"/>
          <w:spacing w:val="-1"/>
          <w:sz w:val="24"/>
          <w:szCs w:val="24"/>
        </w:rPr>
        <w:t>GB</w:t>
      </w:r>
      <w:r>
        <w:rPr>
          <w:rFonts w:ascii="Times New Roman" w:hAnsi="Times New Roman" w:eastAsia="Times New Roman" w:cs="Times New Roman"/>
          <w:spacing w:val="29"/>
          <w:sz w:val="24"/>
          <w:szCs w:val="24"/>
        </w:rPr>
        <w:t xml:space="preserve"> </w:t>
      </w:r>
      <w:r>
        <w:rPr>
          <w:rFonts w:ascii="Times New Roman" w:hAnsi="Times New Roman" w:eastAsia="Times New Roman" w:cs="Times New Roman"/>
          <w:spacing w:val="-1"/>
          <w:sz w:val="24"/>
          <w:szCs w:val="24"/>
        </w:rPr>
        <w:t>18483-2001</w:t>
      </w:r>
      <w:r>
        <w:rPr>
          <w:rFonts w:ascii="宋体" w:hAnsi="宋体" w:eastAsia="宋体" w:cs="宋体"/>
          <w:spacing w:val="-1"/>
          <w:sz w:val="24"/>
          <w:szCs w:val="24"/>
        </w:rPr>
        <w:t>）排放限</w:t>
      </w:r>
      <w:r>
        <w:rPr>
          <w:rFonts w:ascii="宋体" w:hAnsi="宋体" w:eastAsia="宋体" w:cs="宋体"/>
          <w:spacing w:val="-2"/>
          <w:sz w:val="24"/>
          <w:szCs w:val="24"/>
        </w:rPr>
        <w:t>值，措施可行。</w:t>
      </w:r>
    </w:p>
    <w:p w14:paraId="08D59ECF">
      <w:pPr>
        <w:spacing w:before="324" w:line="221" w:lineRule="auto"/>
        <w:ind w:left="9"/>
        <w:outlineLvl w:val="2"/>
        <w:rPr>
          <w:rFonts w:ascii="宋体" w:hAnsi="宋体" w:eastAsia="宋体" w:cs="宋体"/>
          <w:sz w:val="28"/>
          <w:szCs w:val="28"/>
        </w:rPr>
      </w:pPr>
      <w:bookmarkStart w:id="441" w:name="bookmark350"/>
      <w:bookmarkEnd w:id="441"/>
      <w:r>
        <w:rPr>
          <w:rFonts w:ascii="Times New Roman" w:hAnsi="Times New Roman" w:eastAsia="Times New Roman" w:cs="Times New Roman"/>
          <w:b/>
          <w:bCs/>
          <w:spacing w:val="-2"/>
          <w:sz w:val="28"/>
          <w:szCs w:val="28"/>
        </w:rPr>
        <w:t xml:space="preserve">6.1.5 </w:t>
      </w:r>
      <w:r>
        <w:rPr>
          <w:rFonts w:ascii="宋体" w:hAnsi="宋体" w:eastAsia="宋体" w:cs="宋体"/>
          <w:b/>
          <w:bCs/>
          <w:spacing w:val="-2"/>
          <w:sz w:val="28"/>
          <w:szCs w:val="28"/>
        </w:rPr>
        <w:t>燃气发电锅炉烟气防治措施</w:t>
      </w:r>
    </w:p>
    <w:p w14:paraId="7DBC5386">
      <w:pPr>
        <w:spacing w:before="224" w:line="345" w:lineRule="auto"/>
        <w:ind w:left="7" w:right="57" w:firstLine="481"/>
        <w:rPr>
          <w:rFonts w:ascii="宋体" w:hAnsi="宋体" w:eastAsia="宋体" w:cs="宋体"/>
          <w:sz w:val="24"/>
          <w:szCs w:val="24"/>
        </w:rPr>
      </w:pPr>
      <w:r>
        <w:rPr>
          <w:rFonts w:ascii="宋体" w:hAnsi="宋体" w:eastAsia="宋体" w:cs="宋体"/>
          <w:spacing w:val="-3"/>
          <w:sz w:val="24"/>
          <w:szCs w:val="24"/>
        </w:rPr>
        <w:t>本项目发电机组锅炉烟气主要污染物为颗粒物、</w:t>
      </w:r>
      <w:r>
        <w:rPr>
          <w:rFonts w:ascii="Times New Roman" w:hAnsi="Times New Roman" w:eastAsia="Times New Roman" w:cs="Times New Roman"/>
          <w:spacing w:val="-3"/>
          <w:sz w:val="24"/>
          <w:szCs w:val="24"/>
        </w:rPr>
        <w:t>SO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4"/>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NO</w:t>
      </w:r>
      <w:r>
        <w:rPr>
          <w:rFonts w:ascii="Times New Roman" w:hAnsi="Times New Roman" w:eastAsia="Times New Roman" w:cs="Times New Roman"/>
          <w:spacing w:val="-3"/>
          <w:position w:val="-1"/>
          <w:sz w:val="15"/>
          <w:szCs w:val="15"/>
        </w:rPr>
        <w:t>x</w:t>
      </w:r>
      <w:r>
        <w:rPr>
          <w:rFonts w:ascii="Times New Roman" w:hAnsi="Times New Roman" w:eastAsia="Times New Roman" w:cs="Times New Roman"/>
          <w:spacing w:val="-13"/>
          <w:position w:val="-1"/>
          <w:sz w:val="15"/>
          <w:szCs w:val="15"/>
        </w:rPr>
        <w:t xml:space="preserve"> </w:t>
      </w:r>
      <w:r>
        <w:rPr>
          <w:rFonts w:ascii="宋体" w:hAnsi="宋体" w:eastAsia="宋体" w:cs="宋体"/>
          <w:spacing w:val="-3"/>
          <w:sz w:val="24"/>
          <w:szCs w:val="24"/>
        </w:rPr>
        <w:t>、锰及其化合物、</w:t>
      </w:r>
      <w:r>
        <w:rPr>
          <w:rFonts w:ascii="Times New Roman" w:hAnsi="Times New Roman" w:eastAsia="Times New Roman" w:cs="Times New Roman"/>
          <w:spacing w:val="-3"/>
          <w:sz w:val="24"/>
          <w:szCs w:val="24"/>
        </w:rPr>
        <w:t>NH</w:t>
      </w:r>
      <w:r>
        <w:rPr>
          <w:rFonts w:ascii="Times New Roman" w:hAnsi="Times New Roman" w:eastAsia="Times New Roman" w:cs="Times New Roman"/>
          <w:spacing w:val="-3"/>
          <w:position w:val="-1"/>
          <w:sz w:val="15"/>
          <w:szCs w:val="15"/>
        </w:rPr>
        <w:t>3</w:t>
      </w:r>
      <w:r>
        <w:rPr>
          <w:rFonts w:ascii="宋体" w:hAnsi="宋体" w:eastAsia="宋体" w:cs="宋体"/>
          <w:spacing w:val="-3"/>
          <w:sz w:val="24"/>
          <w:szCs w:val="24"/>
        </w:rPr>
        <w:t>，</w:t>
      </w:r>
      <w:r>
        <w:rPr>
          <w:rFonts w:ascii="宋体" w:hAnsi="宋体" w:eastAsia="宋体" w:cs="宋体"/>
          <w:sz w:val="24"/>
          <w:szCs w:val="24"/>
        </w:rPr>
        <w:t xml:space="preserve"> </w:t>
      </w:r>
      <w:r>
        <w:rPr>
          <w:rFonts w:ascii="宋体" w:hAnsi="宋体" w:eastAsia="宋体" w:cs="宋体"/>
          <w:spacing w:val="-2"/>
          <w:sz w:val="24"/>
          <w:szCs w:val="24"/>
        </w:rPr>
        <w:t>采用</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2"/>
          <w:sz w:val="24"/>
          <w:szCs w:val="24"/>
        </w:rPr>
        <w:t>套</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 xml:space="preserve">SCR </w:t>
      </w:r>
      <w:r>
        <w:rPr>
          <w:rFonts w:ascii="宋体" w:hAnsi="宋体" w:eastAsia="宋体" w:cs="宋体"/>
          <w:spacing w:val="-2"/>
          <w:sz w:val="24"/>
          <w:szCs w:val="24"/>
        </w:rPr>
        <w:t>脱硝对应内燃发电机组，脱</w:t>
      </w:r>
      <w:r>
        <w:rPr>
          <w:rFonts w:ascii="宋体" w:hAnsi="宋体" w:eastAsia="宋体" w:cs="宋体"/>
          <w:spacing w:val="-3"/>
          <w:sz w:val="24"/>
          <w:szCs w:val="24"/>
        </w:rPr>
        <w:t>硝效率</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65%</w:t>
      </w:r>
      <w:r>
        <w:rPr>
          <w:rFonts w:ascii="宋体" w:hAnsi="宋体" w:eastAsia="宋体" w:cs="宋体"/>
          <w:spacing w:val="-3"/>
          <w:sz w:val="24"/>
          <w:szCs w:val="24"/>
        </w:rPr>
        <w:t>。</w:t>
      </w:r>
    </w:p>
    <w:p w14:paraId="4A6BA219">
      <w:pPr>
        <w:spacing w:before="44" w:line="356" w:lineRule="auto"/>
        <w:ind w:left="8" w:right="80" w:firstLine="525"/>
        <w:rPr>
          <w:rFonts w:ascii="宋体" w:hAnsi="宋体" w:eastAsia="宋体" w:cs="宋体"/>
          <w:sz w:val="24"/>
          <w:szCs w:val="24"/>
        </w:rPr>
      </w:pPr>
      <w:r>
        <w:rPr>
          <w:rFonts w:ascii="宋体" w:hAnsi="宋体" w:eastAsia="宋体" w:cs="宋体"/>
          <w:spacing w:val="-2"/>
          <w:sz w:val="24"/>
          <w:szCs w:val="24"/>
        </w:rPr>
        <w:t>目前较常采用的烟气脱硝工艺有选择性催化还原法（</w:t>
      </w:r>
      <w:r>
        <w:rPr>
          <w:rFonts w:ascii="Times New Roman" w:hAnsi="Times New Roman" w:eastAsia="Times New Roman" w:cs="Times New Roman"/>
          <w:spacing w:val="-2"/>
          <w:sz w:val="24"/>
          <w:szCs w:val="24"/>
        </w:rPr>
        <w:t>SCR</w:t>
      </w:r>
      <w:r>
        <w:rPr>
          <w:rFonts w:ascii="宋体" w:hAnsi="宋体" w:eastAsia="宋体" w:cs="宋体"/>
          <w:spacing w:val="-2"/>
          <w:sz w:val="24"/>
          <w:szCs w:val="24"/>
        </w:rPr>
        <w:t>）和选择性非催</w:t>
      </w:r>
      <w:r>
        <w:rPr>
          <w:rFonts w:ascii="宋体" w:hAnsi="宋体" w:eastAsia="宋体" w:cs="宋体"/>
          <w:spacing w:val="-3"/>
          <w:sz w:val="24"/>
          <w:szCs w:val="24"/>
        </w:rPr>
        <w:t>化还原法</w:t>
      </w:r>
      <w:r>
        <w:rPr>
          <w:rFonts w:ascii="宋体" w:hAnsi="宋体" w:eastAsia="宋体" w:cs="宋体"/>
          <w:sz w:val="24"/>
          <w:szCs w:val="24"/>
        </w:rPr>
        <w:t xml:space="preserve"> （</w:t>
      </w:r>
      <w:r>
        <w:rPr>
          <w:rFonts w:ascii="Times New Roman" w:hAnsi="Times New Roman" w:eastAsia="Times New Roman" w:cs="Times New Roman"/>
          <w:sz w:val="24"/>
          <w:szCs w:val="24"/>
        </w:rPr>
        <w:t>SNCR</w:t>
      </w:r>
      <w:r>
        <w:rPr>
          <w:rFonts w:ascii="宋体" w:hAnsi="宋体" w:eastAsia="宋体" w:cs="宋体"/>
          <w:sz w:val="24"/>
          <w:szCs w:val="24"/>
        </w:rPr>
        <w:t>）两种工艺。</w:t>
      </w:r>
      <w:r>
        <w:rPr>
          <w:rFonts w:ascii="Times New Roman" w:hAnsi="Times New Roman" w:eastAsia="Times New Roman" w:cs="Times New Roman"/>
          <w:sz w:val="24"/>
          <w:szCs w:val="24"/>
        </w:rPr>
        <w:t xml:space="preserve">SCR </w:t>
      </w:r>
      <w:r>
        <w:rPr>
          <w:rFonts w:ascii="宋体" w:hAnsi="宋体" w:eastAsia="宋体" w:cs="宋体"/>
          <w:sz w:val="24"/>
          <w:szCs w:val="24"/>
        </w:rPr>
        <w:t>是利用还原剂在催化剂作用下有选择地与烟气中的氮氧化物</w:t>
      </w:r>
      <w:r>
        <w:rPr>
          <w:rFonts w:ascii="宋体" w:hAnsi="宋体" w:eastAsia="宋体" w:cs="宋体"/>
          <w:spacing w:val="1"/>
          <w:sz w:val="24"/>
          <w:szCs w:val="24"/>
        </w:rPr>
        <w:t xml:space="preserve"> </w:t>
      </w:r>
      <w:r>
        <w:rPr>
          <w:rFonts w:ascii="宋体" w:hAnsi="宋体" w:eastAsia="宋体" w:cs="宋体"/>
          <w:spacing w:val="-2"/>
          <w:sz w:val="24"/>
          <w:szCs w:val="24"/>
        </w:rPr>
        <w:t>发生化学反应，生成氮气和水的方法，脱硝效率高，工艺设备紧凑、运行可靠，还原后</w:t>
      </w:r>
      <w:r>
        <w:rPr>
          <w:rFonts w:ascii="宋体" w:hAnsi="宋体" w:eastAsia="宋体" w:cs="宋体"/>
          <w:spacing w:val="17"/>
          <w:sz w:val="24"/>
          <w:szCs w:val="24"/>
        </w:rPr>
        <w:t xml:space="preserve"> </w:t>
      </w:r>
      <w:r>
        <w:rPr>
          <w:rFonts w:ascii="宋体" w:hAnsi="宋体" w:eastAsia="宋体" w:cs="宋体"/>
          <w:spacing w:val="-1"/>
          <w:sz w:val="24"/>
          <w:szCs w:val="24"/>
        </w:rPr>
        <w:t>生成的氮气放空，无二次污染，采用催化剂时其反应温度可控制在</w:t>
      </w:r>
      <w:r>
        <w:rPr>
          <w:rFonts w:ascii="宋体" w:hAnsi="宋体" w:eastAsia="宋体" w:cs="宋体"/>
          <w:spacing w:val="-33"/>
          <w:sz w:val="24"/>
          <w:szCs w:val="24"/>
        </w:rPr>
        <w:t xml:space="preserve"> </w:t>
      </w:r>
      <w:r>
        <w:rPr>
          <w:rFonts w:ascii="Times New Roman" w:hAnsi="Times New Roman" w:eastAsia="Times New Roman" w:cs="Times New Roman"/>
          <w:spacing w:val="-1"/>
          <w:sz w:val="24"/>
          <w:szCs w:val="24"/>
        </w:rPr>
        <w:t>300~400℃</w:t>
      </w:r>
      <w:r>
        <w:rPr>
          <w:rFonts w:ascii="宋体" w:hAnsi="宋体" w:eastAsia="宋体" w:cs="宋体"/>
          <w:spacing w:val="-1"/>
          <w:sz w:val="24"/>
          <w:szCs w:val="24"/>
        </w:rPr>
        <w:t>下进行。</w:t>
      </w:r>
      <w:r>
        <w:rPr>
          <w:rFonts w:ascii="宋体" w:hAnsi="宋体" w:eastAsia="宋体" w:cs="宋体"/>
          <w:sz w:val="24"/>
          <w:szCs w:val="24"/>
        </w:rPr>
        <w:t xml:space="preserve"> </w:t>
      </w:r>
      <w:r>
        <w:rPr>
          <w:rFonts w:ascii="Times New Roman" w:hAnsi="Times New Roman" w:eastAsia="Times New Roman" w:cs="Times New Roman"/>
          <w:spacing w:val="-1"/>
          <w:sz w:val="24"/>
          <w:szCs w:val="24"/>
        </w:rPr>
        <w:t xml:space="preserve">SNCR </w:t>
      </w:r>
      <w:r>
        <w:rPr>
          <w:rFonts w:ascii="宋体" w:hAnsi="宋体" w:eastAsia="宋体" w:cs="宋体"/>
          <w:spacing w:val="-1"/>
          <w:sz w:val="24"/>
          <w:szCs w:val="24"/>
        </w:rPr>
        <w:t>是利用还原剂在不需要催化剂的情况下有选择地与烟气中的氮氧化物发生化学反</w:t>
      </w:r>
      <w:r>
        <w:rPr>
          <w:rFonts w:ascii="宋体" w:hAnsi="宋体" w:eastAsia="宋体" w:cs="宋体"/>
          <w:spacing w:val="14"/>
          <w:sz w:val="24"/>
          <w:szCs w:val="24"/>
        </w:rPr>
        <w:t xml:space="preserve"> </w:t>
      </w:r>
      <w:r>
        <w:rPr>
          <w:rFonts w:ascii="宋体" w:hAnsi="宋体" w:eastAsia="宋体" w:cs="宋体"/>
          <w:sz w:val="24"/>
          <w:szCs w:val="24"/>
        </w:rPr>
        <w:t>应，生成氮气和水的方法，脱硝效率约</w:t>
      </w:r>
      <w:r>
        <w:rPr>
          <w:rFonts w:ascii="Times New Roman" w:hAnsi="Times New Roman" w:eastAsia="Times New Roman" w:cs="Times New Roman"/>
          <w:sz w:val="24"/>
          <w:szCs w:val="24"/>
        </w:rPr>
        <w:t>35%</w:t>
      </w:r>
      <w:r>
        <w:rPr>
          <w:rFonts w:ascii="宋体" w:hAnsi="宋体" w:eastAsia="宋体" w:cs="宋体"/>
          <w:sz w:val="24"/>
          <w:szCs w:val="24"/>
        </w:rPr>
        <w:t>～</w:t>
      </w:r>
      <w:r>
        <w:rPr>
          <w:rFonts w:ascii="Times New Roman" w:hAnsi="Times New Roman" w:eastAsia="Times New Roman" w:cs="Times New Roman"/>
          <w:sz w:val="24"/>
          <w:szCs w:val="24"/>
        </w:rPr>
        <w:t>45%</w:t>
      </w:r>
      <w:r>
        <w:rPr>
          <w:rFonts w:ascii="Times New Roman" w:hAnsi="Times New Roman" w:eastAsia="Times New Roman" w:cs="Times New Roman"/>
          <w:spacing w:val="-32"/>
          <w:sz w:val="24"/>
          <w:szCs w:val="24"/>
        </w:rPr>
        <w:t xml:space="preserve"> </w:t>
      </w:r>
      <w:r>
        <w:rPr>
          <w:rFonts w:ascii="宋体" w:hAnsi="宋体" w:eastAsia="宋体" w:cs="宋体"/>
          <w:sz w:val="24"/>
          <w:szCs w:val="24"/>
        </w:rPr>
        <w:t>，该方法主要使用含</w:t>
      </w:r>
      <w:r>
        <w:rPr>
          <w:rFonts w:ascii="宋体" w:hAnsi="宋体" w:eastAsia="宋体" w:cs="宋体"/>
          <w:spacing w:val="-1"/>
          <w:sz w:val="24"/>
          <w:szCs w:val="24"/>
        </w:rPr>
        <w:t>氮的药剂在温度</w:t>
      </w:r>
      <w:r>
        <w:rPr>
          <w:rFonts w:ascii="宋体" w:hAnsi="宋体" w:eastAsia="宋体" w:cs="宋体"/>
          <w:sz w:val="24"/>
          <w:szCs w:val="24"/>
        </w:rPr>
        <w:t xml:space="preserve"> </w:t>
      </w:r>
      <w:r>
        <w:rPr>
          <w:rFonts w:ascii="宋体" w:hAnsi="宋体" w:eastAsia="宋体" w:cs="宋体"/>
          <w:spacing w:val="7"/>
          <w:sz w:val="24"/>
          <w:szCs w:val="24"/>
        </w:rPr>
        <w:t>区域</w:t>
      </w:r>
      <w:r>
        <w:rPr>
          <w:rFonts w:ascii="宋体" w:hAnsi="宋体" w:eastAsia="宋体" w:cs="宋体"/>
          <w:spacing w:val="-28"/>
          <w:sz w:val="24"/>
          <w:szCs w:val="24"/>
        </w:rPr>
        <w:t xml:space="preserve"> </w:t>
      </w:r>
      <w:r>
        <w:rPr>
          <w:rFonts w:ascii="Times New Roman" w:hAnsi="Times New Roman" w:eastAsia="Times New Roman" w:cs="Times New Roman"/>
          <w:spacing w:val="7"/>
          <w:sz w:val="24"/>
          <w:szCs w:val="24"/>
        </w:rPr>
        <w:t>870℃~</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7"/>
          <w:sz w:val="24"/>
          <w:szCs w:val="24"/>
        </w:rPr>
        <w:t>1200℃</w:t>
      </w:r>
      <w:r>
        <w:rPr>
          <w:rFonts w:ascii="宋体" w:hAnsi="宋体" w:eastAsia="宋体" w:cs="宋体"/>
          <w:spacing w:val="7"/>
          <w:sz w:val="24"/>
          <w:szCs w:val="24"/>
        </w:rPr>
        <w:t>喷入含氮氧化物的燃烧室中，发生还原反应生成氮气和水，采用</w:t>
      </w:r>
      <w:r>
        <w:rPr>
          <w:rFonts w:ascii="宋体" w:hAnsi="宋体" w:eastAsia="宋体" w:cs="宋体"/>
          <w:sz w:val="24"/>
          <w:szCs w:val="24"/>
        </w:rPr>
        <w:t xml:space="preserve"> </w:t>
      </w:r>
      <w:r>
        <w:rPr>
          <w:rFonts w:ascii="Times New Roman" w:hAnsi="Times New Roman" w:eastAsia="Times New Roman" w:cs="Times New Roman"/>
          <w:sz w:val="24"/>
          <w:szCs w:val="24"/>
        </w:rPr>
        <w:t xml:space="preserve">SNCR </w:t>
      </w:r>
      <w:r>
        <w:rPr>
          <w:rFonts w:ascii="宋体" w:hAnsi="宋体" w:eastAsia="宋体" w:cs="宋体"/>
          <w:sz w:val="24"/>
          <w:szCs w:val="24"/>
        </w:rPr>
        <w:t>技术，必须达到温度区域在</w:t>
      </w:r>
      <w:r>
        <w:rPr>
          <w:rFonts w:ascii="宋体" w:hAnsi="宋体" w:eastAsia="宋体" w:cs="宋体"/>
          <w:spacing w:val="-32"/>
          <w:sz w:val="24"/>
          <w:szCs w:val="24"/>
        </w:rPr>
        <w:t xml:space="preserve"> </w:t>
      </w:r>
      <w:r>
        <w:rPr>
          <w:rFonts w:ascii="Times New Roman" w:hAnsi="Times New Roman" w:eastAsia="Times New Roman" w:cs="Times New Roman"/>
          <w:sz w:val="24"/>
          <w:szCs w:val="24"/>
        </w:rPr>
        <w:t>800℃</w:t>
      </w:r>
      <w:r>
        <w:rPr>
          <w:rFonts w:ascii="宋体" w:hAnsi="宋体" w:eastAsia="宋体" w:cs="宋体"/>
          <w:sz w:val="24"/>
          <w:szCs w:val="24"/>
        </w:rPr>
        <w:t xml:space="preserve">以上，才能保证脱硝效率。由于本工程采用煤 </w:t>
      </w:r>
      <w:r>
        <w:rPr>
          <w:rFonts w:ascii="宋体" w:hAnsi="宋体" w:eastAsia="宋体" w:cs="宋体"/>
          <w:spacing w:val="2"/>
          <w:sz w:val="24"/>
          <w:szCs w:val="24"/>
        </w:rPr>
        <w:t>气内燃发电机组，排烟温度约</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480℃</w:t>
      </w:r>
      <w:r>
        <w:rPr>
          <w:rFonts w:ascii="Times New Roman" w:hAnsi="Times New Roman" w:eastAsia="Times New Roman" w:cs="Times New Roman"/>
          <w:spacing w:val="-24"/>
          <w:sz w:val="24"/>
          <w:szCs w:val="24"/>
        </w:rPr>
        <w:t xml:space="preserve"> </w:t>
      </w:r>
      <w:r>
        <w:rPr>
          <w:rFonts w:ascii="宋体" w:hAnsi="宋体" w:eastAsia="宋体" w:cs="宋体"/>
          <w:spacing w:val="2"/>
          <w:sz w:val="24"/>
          <w:szCs w:val="24"/>
        </w:rPr>
        <w:t>,</w:t>
      </w:r>
      <w:r>
        <w:rPr>
          <w:rFonts w:ascii="宋体" w:hAnsi="宋体" w:eastAsia="宋体" w:cs="宋体"/>
          <w:spacing w:val="71"/>
          <w:sz w:val="24"/>
          <w:szCs w:val="24"/>
        </w:rPr>
        <w:t xml:space="preserve"> </w:t>
      </w:r>
      <w:r>
        <w:rPr>
          <w:rFonts w:ascii="宋体" w:hAnsi="宋体" w:eastAsia="宋体" w:cs="宋体"/>
          <w:spacing w:val="2"/>
          <w:sz w:val="24"/>
          <w:szCs w:val="24"/>
        </w:rPr>
        <w:t>燃料采用电炉煤气，根据内发改环资</w:t>
      </w:r>
      <w:r>
        <w:rPr>
          <w:rFonts w:ascii="Times New Roman" w:hAnsi="Times New Roman" w:eastAsia="Times New Roman" w:cs="Times New Roman"/>
          <w:spacing w:val="2"/>
          <w:sz w:val="24"/>
          <w:szCs w:val="24"/>
        </w:rPr>
        <w:t>[</w:t>
      </w:r>
      <w:r>
        <w:rPr>
          <w:rFonts w:ascii="Times New Roman" w:hAnsi="Times New Roman" w:eastAsia="Times New Roman" w:cs="Times New Roman"/>
          <w:spacing w:val="1"/>
          <w:sz w:val="24"/>
          <w:szCs w:val="24"/>
        </w:rPr>
        <w:t>2021]262</w:t>
      </w:r>
      <w:r>
        <w:rPr>
          <w:rFonts w:ascii="Times New Roman" w:hAnsi="Times New Roman" w:eastAsia="Times New Roman" w:cs="Times New Roman"/>
          <w:sz w:val="24"/>
          <w:szCs w:val="24"/>
        </w:rPr>
        <w:t xml:space="preserve"> </w:t>
      </w:r>
      <w:r>
        <w:rPr>
          <w:rFonts w:ascii="宋体" w:hAnsi="宋体" w:eastAsia="宋体" w:cs="宋体"/>
          <w:spacing w:val="-1"/>
          <w:sz w:val="24"/>
          <w:szCs w:val="24"/>
        </w:rPr>
        <w:t>号文件</w:t>
      </w:r>
      <w:r>
        <w:rPr>
          <w:rFonts w:ascii="Times New Roman" w:hAnsi="Times New Roman" w:eastAsia="Times New Roman" w:cs="Times New Roman"/>
          <w:spacing w:val="-1"/>
          <w:sz w:val="24"/>
          <w:szCs w:val="24"/>
        </w:rPr>
        <w:t>“</w:t>
      </w:r>
      <w:r>
        <w:rPr>
          <w:rFonts w:ascii="宋体" w:hAnsi="宋体" w:eastAsia="宋体" w:cs="宋体"/>
          <w:spacing w:val="-1"/>
          <w:sz w:val="24"/>
          <w:szCs w:val="24"/>
        </w:rPr>
        <w:t>两高</w:t>
      </w:r>
      <w:r>
        <w:rPr>
          <w:rFonts w:ascii="Times New Roman" w:hAnsi="Times New Roman" w:eastAsia="Times New Roman" w:cs="Times New Roman"/>
          <w:spacing w:val="-1"/>
          <w:sz w:val="24"/>
          <w:szCs w:val="24"/>
        </w:rPr>
        <w:t>”</w:t>
      </w:r>
      <w:r>
        <w:rPr>
          <w:rFonts w:ascii="宋体" w:hAnsi="宋体" w:eastAsia="宋体" w:cs="宋体"/>
          <w:spacing w:val="-1"/>
          <w:sz w:val="24"/>
          <w:szCs w:val="24"/>
        </w:rPr>
        <w:t>项目要符合相关法定规划要求执行超低排放，要求烟气脱硝效率要求达到</w:t>
      </w:r>
      <w:r>
        <w:rPr>
          <w:rFonts w:ascii="宋体" w:hAnsi="宋体" w:eastAsia="宋体" w:cs="宋体"/>
          <w:spacing w:val="7"/>
          <w:sz w:val="24"/>
          <w:szCs w:val="24"/>
        </w:rPr>
        <w:t xml:space="preserve"> </w:t>
      </w:r>
      <w:r>
        <w:rPr>
          <w:rFonts w:ascii="Times New Roman" w:hAnsi="Times New Roman" w:eastAsia="Times New Roman" w:cs="Times New Roman"/>
          <w:spacing w:val="-1"/>
          <w:sz w:val="24"/>
          <w:szCs w:val="24"/>
        </w:rPr>
        <w:t>65%</w:t>
      </w:r>
      <w:r>
        <w:rPr>
          <w:rFonts w:ascii="宋体" w:hAnsi="宋体" w:eastAsia="宋体" w:cs="宋体"/>
          <w:spacing w:val="-1"/>
          <w:sz w:val="24"/>
          <w:szCs w:val="24"/>
        </w:rPr>
        <w:t>以上，而鉴于上述情况，本工程采用</w:t>
      </w:r>
      <w:r>
        <w:rPr>
          <w:rFonts w:ascii="宋体" w:hAnsi="宋体" w:eastAsia="宋体" w:cs="宋体"/>
          <w:spacing w:val="-44"/>
          <w:sz w:val="24"/>
          <w:szCs w:val="24"/>
        </w:rPr>
        <w:t xml:space="preserve"> </w:t>
      </w:r>
      <w:r>
        <w:rPr>
          <w:rFonts w:ascii="Times New Roman" w:hAnsi="Times New Roman" w:eastAsia="Times New Roman" w:cs="Times New Roman"/>
          <w:spacing w:val="-1"/>
          <w:sz w:val="24"/>
          <w:szCs w:val="24"/>
        </w:rPr>
        <w:t xml:space="preserve">SCR </w:t>
      </w:r>
      <w:r>
        <w:rPr>
          <w:rFonts w:ascii="宋体" w:hAnsi="宋体" w:eastAsia="宋体" w:cs="宋体"/>
          <w:spacing w:val="-1"/>
          <w:sz w:val="24"/>
          <w:szCs w:val="24"/>
        </w:rPr>
        <w:t>脱硝工艺。</w:t>
      </w:r>
    </w:p>
    <w:p w14:paraId="0711883B">
      <w:pPr>
        <w:spacing w:before="38" w:line="353" w:lineRule="auto"/>
        <w:ind w:left="8" w:firstLine="480"/>
        <w:rPr>
          <w:rFonts w:ascii="宋体" w:hAnsi="宋体" w:eastAsia="宋体" w:cs="宋体"/>
          <w:sz w:val="24"/>
          <w:szCs w:val="24"/>
        </w:rPr>
      </w:pPr>
      <w:r>
        <w:rPr>
          <w:rFonts w:ascii="宋体" w:hAnsi="宋体" w:eastAsia="宋体" w:cs="宋体"/>
          <w:sz w:val="24"/>
          <w:szCs w:val="24"/>
        </w:rPr>
        <w:t>本项目燃气发电锅炉烟气经</w:t>
      </w:r>
      <w:r>
        <w:rPr>
          <w:rFonts w:ascii="宋体" w:hAnsi="宋体" w:eastAsia="宋体" w:cs="宋体"/>
          <w:spacing w:val="-43"/>
          <w:sz w:val="24"/>
          <w:szCs w:val="24"/>
        </w:rPr>
        <w:t xml:space="preserve"> </w:t>
      </w:r>
      <w:r>
        <w:rPr>
          <w:rFonts w:ascii="Times New Roman" w:hAnsi="Times New Roman" w:eastAsia="Times New Roman" w:cs="Times New Roman"/>
          <w:sz w:val="24"/>
          <w:szCs w:val="24"/>
        </w:rPr>
        <w:t xml:space="preserve">SCR </w:t>
      </w:r>
      <w:r>
        <w:rPr>
          <w:rFonts w:ascii="宋体" w:hAnsi="宋体" w:eastAsia="宋体" w:cs="宋体"/>
          <w:sz w:val="24"/>
          <w:szCs w:val="24"/>
        </w:rPr>
        <w:t>脱硝装置处理后通过一根</w:t>
      </w:r>
      <w:r>
        <w:rPr>
          <w:rFonts w:ascii="宋体" w:hAnsi="宋体" w:eastAsia="宋体" w:cs="宋体"/>
          <w:spacing w:val="-56"/>
          <w:sz w:val="24"/>
          <w:szCs w:val="24"/>
        </w:rPr>
        <w:t xml:space="preserve"> </w:t>
      </w:r>
      <w:r>
        <w:rPr>
          <w:rFonts w:ascii="Times New Roman" w:hAnsi="Times New Roman" w:eastAsia="Times New Roman" w:cs="Times New Roman"/>
          <w:sz w:val="24"/>
          <w:szCs w:val="24"/>
        </w:rPr>
        <w:t>45m</w:t>
      </w:r>
      <w:r>
        <w:rPr>
          <w:rFonts w:ascii="Times New Roman" w:hAnsi="Times New Roman" w:eastAsia="Times New Roman" w:cs="Times New Roman"/>
          <w:spacing w:val="17"/>
          <w:sz w:val="24"/>
          <w:szCs w:val="24"/>
        </w:rPr>
        <w:t xml:space="preserve"> </w:t>
      </w:r>
      <w:r>
        <w:rPr>
          <w:rFonts w:ascii="宋体" w:hAnsi="宋体" w:eastAsia="宋体" w:cs="宋体"/>
          <w:sz w:val="24"/>
          <w:szCs w:val="24"/>
        </w:rPr>
        <w:t>高烟囱</w:t>
      </w:r>
      <w:r>
        <w:rPr>
          <w:rFonts w:ascii="宋体" w:hAnsi="宋体" w:eastAsia="宋体" w:cs="宋体"/>
          <w:spacing w:val="-1"/>
          <w:sz w:val="24"/>
          <w:szCs w:val="24"/>
        </w:rPr>
        <w:t>（</w:t>
      </w:r>
      <w:r>
        <w:rPr>
          <w:rFonts w:ascii="Times New Roman" w:hAnsi="Times New Roman" w:eastAsia="Times New Roman" w:cs="Times New Roman"/>
          <w:spacing w:val="-1"/>
          <w:sz w:val="24"/>
          <w:szCs w:val="24"/>
        </w:rPr>
        <w:t>DA014</w:t>
      </w:r>
      <w:r>
        <w:rPr>
          <w:rFonts w:ascii="宋体" w:hAnsi="宋体" w:eastAsia="宋体" w:cs="宋体"/>
          <w:spacing w:val="-1"/>
          <w:sz w:val="24"/>
          <w:szCs w:val="24"/>
        </w:rPr>
        <w:t>）</w:t>
      </w:r>
      <w:r>
        <w:rPr>
          <w:rFonts w:ascii="宋体" w:hAnsi="宋体" w:eastAsia="宋体" w:cs="宋体"/>
          <w:sz w:val="24"/>
          <w:szCs w:val="24"/>
        </w:rPr>
        <w:t xml:space="preserve"> </w:t>
      </w:r>
      <w:r>
        <w:rPr>
          <w:rFonts w:ascii="宋体" w:hAnsi="宋体" w:eastAsia="宋体" w:cs="宋体"/>
          <w:spacing w:val="10"/>
          <w:sz w:val="24"/>
          <w:szCs w:val="24"/>
        </w:rPr>
        <w:t>排放，排放废气中的颗粒物、</w:t>
      </w:r>
      <w:r>
        <w:rPr>
          <w:rFonts w:ascii="Times New Roman" w:hAnsi="Times New Roman" w:eastAsia="Times New Roman" w:cs="Times New Roman"/>
          <w:sz w:val="24"/>
          <w:szCs w:val="24"/>
        </w:rPr>
        <w:t>SO</w:t>
      </w:r>
      <w:r>
        <w:rPr>
          <w:rFonts w:ascii="Times New Roman" w:hAnsi="Times New Roman" w:eastAsia="Times New Roman" w:cs="Times New Roman"/>
          <w:spacing w:val="10"/>
          <w:position w:val="-1"/>
          <w:sz w:val="15"/>
          <w:szCs w:val="15"/>
        </w:rPr>
        <w:t>2</w:t>
      </w:r>
      <w:r>
        <w:rPr>
          <w:rFonts w:ascii="Times New Roman" w:hAnsi="Times New Roman" w:eastAsia="Times New Roman" w:cs="Times New Roman"/>
          <w:spacing w:val="36"/>
          <w:w w:val="101"/>
          <w:position w:val="-1"/>
          <w:sz w:val="15"/>
          <w:szCs w:val="15"/>
        </w:rPr>
        <w:t xml:space="preserve"> </w:t>
      </w:r>
      <w:r>
        <w:rPr>
          <w:rFonts w:ascii="宋体" w:hAnsi="宋体" w:eastAsia="宋体" w:cs="宋体"/>
          <w:spacing w:val="10"/>
          <w:sz w:val="24"/>
          <w:szCs w:val="24"/>
        </w:rPr>
        <w:t>和</w:t>
      </w:r>
      <w:r>
        <w:rPr>
          <w:rFonts w:ascii="宋体" w:hAnsi="宋体" w:eastAsia="宋体" w:cs="宋体"/>
          <w:spacing w:val="-49"/>
          <w:sz w:val="24"/>
          <w:szCs w:val="24"/>
        </w:rPr>
        <w:t xml:space="preserve"> </w:t>
      </w:r>
      <w:r>
        <w:rPr>
          <w:rFonts w:ascii="Times New Roman" w:hAnsi="Times New Roman" w:eastAsia="Times New Roman" w:cs="Times New Roman"/>
          <w:sz w:val="24"/>
          <w:szCs w:val="24"/>
        </w:rPr>
        <w:t>NO</w:t>
      </w:r>
      <w:r>
        <w:rPr>
          <w:rFonts w:ascii="Times New Roman" w:hAnsi="Times New Roman" w:eastAsia="Times New Roman" w:cs="Times New Roman"/>
          <w:position w:val="-1"/>
          <w:sz w:val="15"/>
          <w:szCs w:val="15"/>
        </w:rPr>
        <w:t>X</w:t>
      </w:r>
      <w:r>
        <w:rPr>
          <w:rFonts w:ascii="Times New Roman" w:hAnsi="Times New Roman" w:eastAsia="Times New Roman" w:cs="Times New Roman"/>
          <w:spacing w:val="23"/>
          <w:position w:val="-1"/>
          <w:sz w:val="15"/>
          <w:szCs w:val="15"/>
        </w:rPr>
        <w:t xml:space="preserve"> </w:t>
      </w:r>
      <w:r>
        <w:rPr>
          <w:rFonts w:ascii="宋体" w:hAnsi="宋体" w:eastAsia="宋体" w:cs="宋体"/>
          <w:spacing w:val="10"/>
          <w:sz w:val="24"/>
          <w:szCs w:val="24"/>
        </w:rPr>
        <w:t>排放满足《火电厂大气污染物排放标准》</w:t>
      </w:r>
      <w:r>
        <w:rPr>
          <w:rFonts w:ascii="宋体" w:hAnsi="宋体" w:eastAsia="宋体" w:cs="宋体"/>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GB13223-2011</w:t>
      </w:r>
      <w:r>
        <w:rPr>
          <w:rFonts w:ascii="宋体" w:hAnsi="宋体" w:eastAsia="宋体" w:cs="宋体"/>
          <w:spacing w:val="-1"/>
          <w:sz w:val="24"/>
          <w:szCs w:val="24"/>
        </w:rPr>
        <w:t>）表</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 xml:space="preserve">2 </w:t>
      </w:r>
      <w:r>
        <w:rPr>
          <w:rFonts w:ascii="宋体" w:hAnsi="宋体" w:eastAsia="宋体" w:cs="宋体"/>
          <w:spacing w:val="-1"/>
          <w:sz w:val="24"/>
          <w:szCs w:val="24"/>
        </w:rPr>
        <w:t>大气污染物特别排放限</w:t>
      </w:r>
      <w:r>
        <w:rPr>
          <w:rFonts w:ascii="宋体" w:hAnsi="宋体" w:eastAsia="宋体" w:cs="宋体"/>
          <w:spacing w:val="-2"/>
          <w:sz w:val="24"/>
          <w:szCs w:val="24"/>
        </w:rPr>
        <w:t>值（以气体为燃料的锅炉</w:t>
      </w:r>
      <w:r>
        <w:rPr>
          <w:rFonts w:ascii="宋体" w:hAnsi="宋体" w:eastAsia="宋体" w:cs="宋体"/>
          <w:spacing w:val="-23"/>
          <w:sz w:val="24"/>
          <w:szCs w:val="24"/>
        </w:rPr>
        <w:t>），</w:t>
      </w:r>
      <w:r>
        <w:rPr>
          <w:rFonts w:ascii="Times New Roman" w:hAnsi="Times New Roman" w:eastAsia="Times New Roman" w:cs="Times New Roman"/>
          <w:spacing w:val="-2"/>
          <w:sz w:val="24"/>
          <w:szCs w:val="24"/>
        </w:rPr>
        <w:t>NH</w:t>
      </w:r>
      <w:r>
        <w:rPr>
          <w:rFonts w:ascii="Times New Roman" w:hAnsi="Times New Roman" w:eastAsia="Times New Roman" w:cs="Times New Roman"/>
          <w:spacing w:val="-2"/>
          <w:position w:val="-1"/>
          <w:sz w:val="15"/>
          <w:szCs w:val="15"/>
        </w:rPr>
        <w:t>3</w:t>
      </w:r>
      <w:r>
        <w:rPr>
          <w:rFonts w:ascii="Times New Roman" w:hAnsi="Times New Roman" w:eastAsia="Times New Roman" w:cs="Times New Roman"/>
          <w:spacing w:val="11"/>
          <w:position w:val="-1"/>
          <w:sz w:val="15"/>
          <w:szCs w:val="15"/>
        </w:rPr>
        <w:t xml:space="preserve"> </w:t>
      </w:r>
      <w:r>
        <w:rPr>
          <w:rFonts w:ascii="宋体" w:hAnsi="宋体" w:eastAsia="宋体" w:cs="宋体"/>
          <w:spacing w:val="-2"/>
          <w:sz w:val="24"/>
          <w:szCs w:val="24"/>
        </w:rPr>
        <w:t>逃逸满</w:t>
      </w:r>
      <w:r>
        <w:rPr>
          <w:rFonts w:ascii="宋体" w:hAnsi="宋体" w:eastAsia="宋体" w:cs="宋体"/>
          <w:sz w:val="24"/>
          <w:szCs w:val="24"/>
        </w:rPr>
        <w:t xml:space="preserve"> </w:t>
      </w:r>
      <w:r>
        <w:rPr>
          <w:rFonts w:ascii="宋体" w:hAnsi="宋体" w:eastAsia="宋体" w:cs="宋体"/>
          <w:spacing w:val="-2"/>
          <w:sz w:val="24"/>
          <w:szCs w:val="24"/>
        </w:rPr>
        <w:t>足《火电厂烟气脱硝工程技术规范 选择性催化还原法》（</w:t>
      </w:r>
      <w:r>
        <w:rPr>
          <w:rFonts w:ascii="Times New Roman" w:hAnsi="Times New Roman" w:eastAsia="Times New Roman" w:cs="Times New Roman"/>
          <w:spacing w:val="-2"/>
          <w:sz w:val="24"/>
          <w:szCs w:val="24"/>
        </w:rPr>
        <w:t>HJ562-2010</w:t>
      </w:r>
      <w:r>
        <w:rPr>
          <w:rFonts w:ascii="宋体" w:hAnsi="宋体" w:eastAsia="宋体" w:cs="宋体"/>
          <w:spacing w:val="-2"/>
          <w:sz w:val="24"/>
          <w:szCs w:val="24"/>
        </w:rPr>
        <w:t>）中的控制要求。</w:t>
      </w:r>
    </w:p>
    <w:p w14:paraId="78EDF9A7">
      <w:pPr>
        <w:spacing w:before="32" w:line="356" w:lineRule="auto"/>
        <w:ind w:left="8" w:right="18" w:firstLine="480"/>
        <w:rPr>
          <w:rFonts w:ascii="宋体" w:hAnsi="宋体" w:eastAsia="宋体" w:cs="宋体"/>
          <w:sz w:val="24"/>
          <w:szCs w:val="24"/>
        </w:rPr>
      </w:pPr>
      <w:r>
        <w:rPr>
          <w:rFonts w:ascii="宋体" w:hAnsi="宋体" w:eastAsia="宋体" w:cs="宋体"/>
          <w:spacing w:val="-2"/>
          <w:sz w:val="24"/>
          <w:szCs w:val="24"/>
        </w:rPr>
        <w:t>本项目采用尿素为还原剂，工作时在电控单元的控制下，尿素泵将尿素溶液从尿素</w:t>
      </w:r>
      <w:r>
        <w:rPr>
          <w:rFonts w:ascii="宋体" w:hAnsi="宋体" w:eastAsia="宋体" w:cs="宋体"/>
          <w:spacing w:val="12"/>
          <w:sz w:val="24"/>
          <w:szCs w:val="24"/>
        </w:rPr>
        <w:t xml:space="preserve"> </w:t>
      </w:r>
      <w:r>
        <w:rPr>
          <w:rFonts w:ascii="宋体" w:hAnsi="宋体" w:eastAsia="宋体" w:cs="宋体"/>
          <w:spacing w:val="-6"/>
          <w:sz w:val="24"/>
          <w:szCs w:val="24"/>
        </w:rPr>
        <w:t>罐中抽出，加压后送到计量喷射单元，压缩空气经控制单元调压后也送到计量喷射</w:t>
      </w:r>
      <w:r>
        <w:rPr>
          <w:rFonts w:ascii="宋体" w:hAnsi="宋体" w:eastAsia="宋体" w:cs="宋体"/>
          <w:spacing w:val="-7"/>
          <w:sz w:val="24"/>
          <w:szCs w:val="24"/>
        </w:rPr>
        <w:t>单元，</w:t>
      </w:r>
      <w:r>
        <w:rPr>
          <w:rFonts w:ascii="宋体" w:hAnsi="宋体" w:eastAsia="宋体" w:cs="宋体"/>
          <w:sz w:val="24"/>
          <w:szCs w:val="24"/>
        </w:rPr>
        <w:t xml:space="preserve"> </w:t>
      </w:r>
      <w:r>
        <w:rPr>
          <w:rFonts w:ascii="宋体" w:hAnsi="宋体" w:eastAsia="宋体" w:cs="宋体"/>
          <w:spacing w:val="-2"/>
          <w:sz w:val="24"/>
          <w:szCs w:val="24"/>
        </w:rPr>
        <w:t>定量喷射阀打开后，尿素在压缩空气的引射作用下射出，和压缩空气混合后经喷嘴喷入</w:t>
      </w:r>
      <w:r>
        <w:rPr>
          <w:rFonts w:ascii="宋体" w:hAnsi="宋体" w:eastAsia="宋体" w:cs="宋体"/>
          <w:spacing w:val="17"/>
          <w:sz w:val="24"/>
          <w:szCs w:val="24"/>
        </w:rPr>
        <w:t xml:space="preserve"> </w:t>
      </w:r>
      <w:r>
        <w:rPr>
          <w:rFonts w:ascii="宋体" w:hAnsi="宋体" w:eastAsia="宋体" w:cs="宋体"/>
          <w:spacing w:val="-2"/>
          <w:sz w:val="24"/>
          <w:szCs w:val="24"/>
        </w:rPr>
        <w:t>排气管。电控单元根据废气流量、催化器的温度和氮氧化物含量精确计算出所需的尿素</w:t>
      </w:r>
      <w:r>
        <w:rPr>
          <w:rFonts w:ascii="宋体" w:hAnsi="宋体" w:eastAsia="宋体" w:cs="宋体"/>
          <w:spacing w:val="17"/>
          <w:sz w:val="24"/>
          <w:szCs w:val="24"/>
        </w:rPr>
        <w:t xml:space="preserve"> </w:t>
      </w:r>
      <w:r>
        <w:rPr>
          <w:rFonts w:ascii="宋体" w:hAnsi="宋体" w:eastAsia="宋体" w:cs="宋体"/>
          <w:spacing w:val="-2"/>
          <w:sz w:val="24"/>
          <w:szCs w:val="24"/>
        </w:rPr>
        <w:t>喷射量，发出相应的脉宽调制信号给定量喷射阀，喷射阀根据信号对尿素进行计量，从</w:t>
      </w:r>
      <w:r>
        <w:rPr>
          <w:rFonts w:ascii="宋体" w:hAnsi="宋体" w:eastAsia="宋体" w:cs="宋体"/>
          <w:spacing w:val="17"/>
          <w:sz w:val="24"/>
          <w:szCs w:val="24"/>
        </w:rPr>
        <w:t xml:space="preserve"> </w:t>
      </w:r>
      <w:r>
        <w:rPr>
          <w:rFonts w:ascii="宋体" w:hAnsi="宋体" w:eastAsia="宋体" w:cs="宋体"/>
          <w:sz w:val="24"/>
          <w:szCs w:val="24"/>
        </w:rPr>
        <w:t>而保证时刻精确的尿素喷射到排气管。尿素在排气管混合区遇高温分解成氨气（</w:t>
      </w:r>
      <w:r>
        <w:rPr>
          <w:rFonts w:ascii="Times New Roman" w:hAnsi="Times New Roman" w:eastAsia="Times New Roman" w:cs="Times New Roman"/>
          <w:sz w:val="24"/>
          <w:szCs w:val="24"/>
        </w:rPr>
        <w:t>NH</w:t>
      </w:r>
      <w:r>
        <w:rPr>
          <w:rFonts w:ascii="Times New Roman" w:hAnsi="Times New Roman" w:eastAsia="Times New Roman" w:cs="Times New Roman"/>
          <w:spacing w:val="-1"/>
          <w:position w:val="-1"/>
          <w:sz w:val="15"/>
          <w:szCs w:val="15"/>
        </w:rPr>
        <w:t xml:space="preserve">3 </w:t>
      </w:r>
      <w:r>
        <w:rPr>
          <w:rFonts w:ascii="宋体" w:hAnsi="宋体" w:eastAsia="宋体" w:cs="宋体"/>
          <w:spacing w:val="-1"/>
          <w:sz w:val="24"/>
          <w:szCs w:val="24"/>
        </w:rPr>
        <w:t>）</w:t>
      </w:r>
      <w:r>
        <w:rPr>
          <w:rFonts w:ascii="宋体" w:hAnsi="宋体" w:eastAsia="宋体" w:cs="宋体"/>
          <w:sz w:val="24"/>
          <w:szCs w:val="24"/>
        </w:rPr>
        <w:t xml:space="preserve"> </w:t>
      </w:r>
      <w:r>
        <w:rPr>
          <w:rFonts w:ascii="宋体" w:hAnsi="宋体" w:eastAsia="宋体" w:cs="宋体"/>
          <w:spacing w:val="-2"/>
          <w:sz w:val="24"/>
          <w:szCs w:val="24"/>
        </w:rPr>
        <w:t>和水（</w:t>
      </w:r>
      <w:r>
        <w:rPr>
          <w:rFonts w:ascii="Times New Roman" w:hAnsi="Times New Roman" w:eastAsia="Times New Roman" w:cs="Times New Roman"/>
          <w:spacing w:val="-2"/>
          <w:sz w:val="24"/>
          <w:szCs w:val="24"/>
        </w:rPr>
        <w:t>H</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
          <w:sz w:val="24"/>
          <w:szCs w:val="24"/>
        </w:rPr>
        <w:t>O</w:t>
      </w:r>
      <w:r>
        <w:rPr>
          <w:rFonts w:ascii="宋体" w:hAnsi="宋体" w:eastAsia="宋体" w:cs="宋体"/>
          <w:spacing w:val="-8"/>
          <w:sz w:val="24"/>
          <w:szCs w:val="24"/>
        </w:rPr>
        <w:t>），</w:t>
      </w:r>
      <w:r>
        <w:rPr>
          <w:rFonts w:ascii="宋体" w:hAnsi="宋体" w:eastAsia="宋体" w:cs="宋体"/>
          <w:spacing w:val="-2"/>
          <w:sz w:val="24"/>
          <w:szCs w:val="24"/>
        </w:rPr>
        <w:t>与排气充分混合后进入催化器，在催化反应区</w:t>
      </w:r>
      <w:r>
        <w:rPr>
          <w:rFonts w:ascii="宋体" w:hAnsi="宋体" w:eastAsia="宋体" w:cs="宋体"/>
          <w:spacing w:val="-62"/>
          <w:sz w:val="24"/>
          <w:szCs w:val="24"/>
        </w:rPr>
        <w:t xml:space="preserve"> </w:t>
      </w:r>
      <w:r>
        <w:rPr>
          <w:rFonts w:ascii="Times New Roman" w:hAnsi="Times New Roman" w:eastAsia="Times New Roman" w:cs="Times New Roman"/>
          <w:spacing w:val="-2"/>
          <w:sz w:val="24"/>
          <w:szCs w:val="24"/>
        </w:rPr>
        <w:t>NH</w:t>
      </w:r>
      <w:r>
        <w:rPr>
          <w:rFonts w:ascii="Times New Roman" w:hAnsi="Times New Roman" w:eastAsia="Times New Roman" w:cs="Times New Roman"/>
          <w:spacing w:val="-2"/>
          <w:position w:val="-1"/>
          <w:sz w:val="15"/>
          <w:szCs w:val="15"/>
        </w:rPr>
        <w:t>3</w:t>
      </w:r>
      <w:r>
        <w:rPr>
          <w:rFonts w:ascii="Times New Roman" w:hAnsi="Times New Roman" w:eastAsia="Times New Roman" w:cs="Times New Roman"/>
          <w:spacing w:val="10"/>
          <w:w w:val="101"/>
          <w:position w:val="-1"/>
          <w:sz w:val="15"/>
          <w:szCs w:val="15"/>
        </w:rPr>
        <w:t xml:space="preserve"> </w:t>
      </w:r>
      <w:r>
        <w:rPr>
          <w:rFonts w:ascii="宋体" w:hAnsi="宋体" w:eastAsia="宋体" w:cs="宋体"/>
          <w:spacing w:val="-2"/>
          <w:sz w:val="24"/>
          <w:szCs w:val="24"/>
        </w:rPr>
        <w:t>和</w:t>
      </w:r>
      <w:r>
        <w:rPr>
          <w:rFonts w:ascii="宋体" w:hAnsi="宋体" w:eastAsia="宋体" w:cs="宋体"/>
          <w:spacing w:val="-63"/>
          <w:sz w:val="24"/>
          <w:szCs w:val="24"/>
        </w:rPr>
        <w:t xml:space="preserve"> </w:t>
      </w:r>
      <w:r>
        <w:rPr>
          <w:rFonts w:ascii="Times New Roman" w:hAnsi="Times New Roman" w:eastAsia="Times New Roman" w:cs="Times New Roman"/>
          <w:spacing w:val="-2"/>
          <w:sz w:val="24"/>
          <w:szCs w:val="24"/>
        </w:rPr>
        <w:t>NO</w:t>
      </w:r>
      <w:r>
        <w:rPr>
          <w:rFonts w:ascii="Times New Roman" w:hAnsi="Times New Roman" w:eastAsia="Times New Roman" w:cs="Times New Roman"/>
          <w:spacing w:val="-2"/>
          <w:position w:val="-1"/>
          <w:sz w:val="15"/>
          <w:szCs w:val="15"/>
        </w:rPr>
        <w:t>x</w:t>
      </w:r>
      <w:r>
        <w:rPr>
          <w:rFonts w:ascii="Times New Roman" w:hAnsi="Times New Roman" w:eastAsia="Times New Roman" w:cs="Times New Roman"/>
          <w:spacing w:val="10"/>
          <w:position w:val="-1"/>
          <w:sz w:val="15"/>
          <w:szCs w:val="15"/>
        </w:rPr>
        <w:t xml:space="preserve"> </w:t>
      </w:r>
      <w:r>
        <w:rPr>
          <w:rFonts w:ascii="宋体" w:hAnsi="宋体" w:eastAsia="宋体" w:cs="宋体"/>
          <w:spacing w:val="-2"/>
          <w:sz w:val="24"/>
          <w:szCs w:val="24"/>
        </w:rPr>
        <w:t>反应生成氮气</w:t>
      </w:r>
      <w:r>
        <w:rPr>
          <w:rFonts w:ascii="宋体" w:hAnsi="宋体" w:eastAsia="宋体" w:cs="宋体"/>
          <w:sz w:val="24"/>
          <w:szCs w:val="24"/>
        </w:rPr>
        <w:t xml:space="preserve"> </w:t>
      </w:r>
      <w:r>
        <w:rPr>
          <w:rFonts w:ascii="宋体" w:hAnsi="宋体" w:eastAsia="宋体" w:cs="宋体"/>
          <w:spacing w:val="-2"/>
          <w:sz w:val="24"/>
          <w:szCs w:val="24"/>
        </w:rPr>
        <w:t>和水，排到大气中。</w:t>
      </w:r>
    </w:p>
    <w:p w14:paraId="21A69289">
      <w:pPr>
        <w:spacing w:before="33" w:line="219" w:lineRule="auto"/>
        <w:ind w:left="487"/>
        <w:rPr>
          <w:rFonts w:ascii="宋体" w:hAnsi="宋体" w:eastAsia="宋体" w:cs="宋体"/>
          <w:sz w:val="24"/>
          <w:szCs w:val="24"/>
        </w:rPr>
      </w:pPr>
      <w:r>
        <w:rPr>
          <w:rFonts w:ascii="宋体" w:hAnsi="宋体" w:eastAsia="宋体" w:cs="宋体"/>
          <w:spacing w:val="-1"/>
          <w:sz w:val="24"/>
          <w:szCs w:val="24"/>
        </w:rPr>
        <w:t>尿素水溶液分解如下：</w:t>
      </w:r>
    </w:p>
    <w:p w14:paraId="1858A93E">
      <w:pPr>
        <w:spacing w:before="138" w:line="322" w:lineRule="exact"/>
        <w:ind w:left="499"/>
        <w:rPr>
          <w:rFonts w:ascii="Times New Roman" w:hAnsi="Times New Roman" w:eastAsia="Times New Roman" w:cs="Times New Roman"/>
          <w:sz w:val="15"/>
          <w:szCs w:val="15"/>
        </w:rPr>
      </w:pPr>
      <w:r>
        <w:rPr>
          <w:rFonts w:ascii="宋体" w:hAnsi="宋体" w:eastAsia="宋体" w:cs="宋体"/>
          <w:spacing w:val="-3"/>
          <w:position w:val="1"/>
          <w:sz w:val="24"/>
          <w:szCs w:val="24"/>
        </w:rPr>
        <w:t>（</w:t>
      </w:r>
      <w:r>
        <w:rPr>
          <w:rFonts w:ascii="Times New Roman" w:hAnsi="Times New Roman" w:eastAsia="Times New Roman" w:cs="Times New Roman"/>
          <w:spacing w:val="-3"/>
          <w:position w:val="1"/>
          <w:sz w:val="24"/>
          <w:szCs w:val="24"/>
        </w:rPr>
        <w:t>NH</w:t>
      </w:r>
      <w:r>
        <w:rPr>
          <w:rFonts w:ascii="Times New Roman" w:hAnsi="Times New Roman" w:eastAsia="Times New Roman" w:cs="Times New Roman"/>
          <w:spacing w:val="-3"/>
          <w:sz w:val="15"/>
          <w:szCs w:val="15"/>
        </w:rPr>
        <w:t xml:space="preserve">2 </w:t>
      </w:r>
      <w:r>
        <w:rPr>
          <w:rFonts w:ascii="宋体" w:hAnsi="宋体" w:eastAsia="宋体" w:cs="宋体"/>
          <w:spacing w:val="-3"/>
          <w:position w:val="1"/>
          <w:sz w:val="24"/>
          <w:szCs w:val="24"/>
        </w:rPr>
        <w:t>）</w:t>
      </w:r>
      <w:r>
        <w:rPr>
          <w:rFonts w:ascii="Times New Roman" w:hAnsi="Times New Roman" w:eastAsia="Times New Roman" w:cs="Times New Roman"/>
          <w:spacing w:val="-3"/>
          <w:position w:val="1"/>
          <w:sz w:val="24"/>
          <w:szCs w:val="24"/>
        </w:rPr>
        <w:t>CO+H</w:t>
      </w:r>
      <w:r>
        <w:rPr>
          <w:rFonts w:ascii="Times New Roman" w:hAnsi="Times New Roman" w:eastAsia="Times New Roman" w:cs="Times New Roman"/>
          <w:spacing w:val="-3"/>
          <w:sz w:val="15"/>
          <w:szCs w:val="15"/>
        </w:rPr>
        <w:t>2</w:t>
      </w:r>
      <w:r>
        <w:rPr>
          <w:rFonts w:ascii="Times New Roman" w:hAnsi="Times New Roman" w:eastAsia="Times New Roman" w:cs="Times New Roman"/>
          <w:spacing w:val="-3"/>
          <w:position w:val="1"/>
          <w:sz w:val="24"/>
          <w:szCs w:val="24"/>
        </w:rPr>
        <w:t>O=2NH</w:t>
      </w:r>
      <w:r>
        <w:rPr>
          <w:rFonts w:ascii="Times New Roman" w:hAnsi="Times New Roman" w:eastAsia="Times New Roman" w:cs="Times New Roman"/>
          <w:spacing w:val="-3"/>
          <w:sz w:val="15"/>
          <w:szCs w:val="15"/>
        </w:rPr>
        <w:t>3</w:t>
      </w:r>
      <w:r>
        <w:rPr>
          <w:rFonts w:ascii="Times New Roman" w:hAnsi="Times New Roman" w:eastAsia="Times New Roman" w:cs="Times New Roman"/>
          <w:spacing w:val="-3"/>
          <w:position w:val="1"/>
          <w:sz w:val="24"/>
          <w:szCs w:val="24"/>
        </w:rPr>
        <w:t>+CO</w:t>
      </w:r>
      <w:r>
        <w:rPr>
          <w:rFonts w:ascii="Times New Roman" w:hAnsi="Times New Roman" w:eastAsia="Times New Roman" w:cs="Times New Roman"/>
          <w:spacing w:val="-3"/>
          <w:sz w:val="15"/>
          <w:szCs w:val="15"/>
        </w:rPr>
        <w:t>2</w:t>
      </w:r>
    </w:p>
    <w:p w14:paraId="6FE75630">
      <w:pPr>
        <w:spacing w:line="322" w:lineRule="exact"/>
        <w:rPr>
          <w:rFonts w:ascii="Times New Roman" w:hAnsi="Times New Roman" w:eastAsia="Times New Roman" w:cs="Times New Roman"/>
          <w:sz w:val="15"/>
          <w:szCs w:val="15"/>
        </w:rPr>
        <w:sectPr>
          <w:headerReference r:id="rId451" w:type="default"/>
          <w:footerReference r:id="rId452" w:type="default"/>
          <w:pgSz w:w="11906" w:h="16839"/>
          <w:pgMar w:top="1190" w:right="1337" w:bottom="1221" w:left="1417" w:header="882" w:footer="1059" w:gutter="0"/>
          <w:cols w:space="720" w:num="1"/>
        </w:sectPr>
      </w:pPr>
    </w:p>
    <w:p w14:paraId="1FF1C756">
      <w:pPr>
        <w:spacing w:line="28" w:lineRule="exact"/>
      </w:pPr>
      <w:r>
        <w:pict>
          <v:shape id="_x0000_s2038" o:spid="_x0000_s2038" style="height:1.45pt;width:453.65pt;" fillcolor="#000000" filled="t" stroked="f" coordsize="9072,29" path="m0,0l9072,0,9072,28,0,28,0,0xe">
            <v:path/>
            <v:fill on="t" focussize="0,0"/>
            <v:stroke on="f"/>
            <v:imagedata o:title=""/>
            <o:lock v:ext="edit"/>
            <w10:wrap type="none"/>
            <w10:anchorlock/>
          </v:shape>
        </w:pict>
      </w:r>
    </w:p>
    <w:p w14:paraId="5F792F9F">
      <w:pPr>
        <w:spacing w:before="232" w:line="342" w:lineRule="auto"/>
        <w:ind w:left="493" w:right="3600" w:hanging="6"/>
        <w:rPr>
          <w:rFonts w:ascii="宋体" w:hAnsi="宋体" w:eastAsia="宋体" w:cs="宋体"/>
          <w:sz w:val="24"/>
          <w:szCs w:val="24"/>
        </w:rPr>
      </w:pPr>
      <w:r>
        <w:rPr>
          <w:rFonts w:ascii="宋体" w:hAnsi="宋体" w:eastAsia="宋体" w:cs="宋体"/>
          <w:spacing w:val="-3"/>
          <w:sz w:val="24"/>
          <w:szCs w:val="24"/>
        </w:rPr>
        <w:t>尿素经热解、水解生成氨气，为反应提供原料。</w:t>
      </w:r>
      <w:r>
        <w:rPr>
          <w:rFonts w:ascii="宋体" w:hAnsi="宋体" w:eastAsia="宋体" w:cs="宋体"/>
          <w:spacing w:val="13"/>
          <w:sz w:val="24"/>
          <w:szCs w:val="24"/>
        </w:rPr>
        <w:t xml:space="preserve"> </w:t>
      </w:r>
      <w:r>
        <w:rPr>
          <w:rFonts w:ascii="Times New Roman" w:hAnsi="Times New Roman" w:eastAsia="Times New Roman" w:cs="Times New Roman"/>
          <w:spacing w:val="-1"/>
          <w:sz w:val="24"/>
          <w:szCs w:val="24"/>
        </w:rPr>
        <w:t xml:space="preserve">SCR </w:t>
      </w:r>
      <w:r>
        <w:rPr>
          <w:rFonts w:ascii="宋体" w:hAnsi="宋体" w:eastAsia="宋体" w:cs="宋体"/>
          <w:spacing w:val="-1"/>
          <w:sz w:val="24"/>
          <w:szCs w:val="24"/>
        </w:rPr>
        <w:t>催化反应器中发生如下反应：</w:t>
      </w:r>
    </w:p>
    <w:p w14:paraId="220D1EE4">
      <w:pPr>
        <w:spacing w:before="1" w:line="343" w:lineRule="auto"/>
        <w:ind w:left="489" w:right="4586"/>
        <w:rPr>
          <w:rFonts w:ascii="Times New Roman" w:hAnsi="Times New Roman" w:eastAsia="Times New Roman" w:cs="Times New Roman"/>
          <w:sz w:val="24"/>
          <w:szCs w:val="24"/>
        </w:rPr>
      </w:pPr>
      <w:r>
        <w:rPr>
          <w:rFonts w:ascii="宋体" w:hAnsi="宋体" w:eastAsia="宋体" w:cs="宋体"/>
          <w:sz w:val="24"/>
          <w:szCs w:val="24"/>
        </w:rPr>
        <w:t>标准反应：</w:t>
      </w:r>
      <w:r>
        <w:rPr>
          <w:rFonts w:ascii="Times New Roman" w:hAnsi="Times New Roman" w:eastAsia="Times New Roman" w:cs="Times New Roman"/>
          <w:sz w:val="24"/>
          <w:szCs w:val="24"/>
        </w:rPr>
        <w:t>4NH</w:t>
      </w:r>
      <w:r>
        <w:rPr>
          <w:rFonts w:ascii="Times New Roman" w:hAnsi="Times New Roman" w:eastAsia="Times New Roman" w:cs="Times New Roman"/>
          <w:position w:val="-1"/>
          <w:sz w:val="15"/>
          <w:szCs w:val="15"/>
        </w:rPr>
        <w:t>3</w:t>
      </w:r>
      <w:r>
        <w:rPr>
          <w:rFonts w:ascii="Times New Roman" w:hAnsi="Times New Roman" w:eastAsia="Times New Roman" w:cs="Times New Roman"/>
          <w:sz w:val="24"/>
          <w:szCs w:val="24"/>
        </w:rPr>
        <w:t>+4NO+O</w:t>
      </w:r>
      <w:r>
        <w:rPr>
          <w:rFonts w:ascii="Times New Roman" w:hAnsi="Times New Roman" w:eastAsia="Times New Roman" w:cs="Times New Roman"/>
          <w:position w:val="-1"/>
          <w:sz w:val="15"/>
          <w:szCs w:val="15"/>
        </w:rPr>
        <w:t>2</w:t>
      </w:r>
      <w:r>
        <w:rPr>
          <w:rFonts w:ascii="Times New Roman" w:hAnsi="Times New Roman" w:eastAsia="Times New Roman" w:cs="Times New Roman"/>
          <w:sz w:val="24"/>
          <w:szCs w:val="24"/>
        </w:rPr>
        <w:t>=4N</w:t>
      </w:r>
      <w:r>
        <w:rPr>
          <w:rFonts w:ascii="Times New Roman" w:hAnsi="Times New Roman" w:eastAsia="Times New Roman" w:cs="Times New Roman"/>
          <w:position w:val="-1"/>
          <w:sz w:val="15"/>
          <w:szCs w:val="15"/>
        </w:rPr>
        <w:t>2</w:t>
      </w:r>
      <w:r>
        <w:rPr>
          <w:rFonts w:ascii="Times New Roman" w:hAnsi="Times New Roman" w:eastAsia="Times New Roman" w:cs="Times New Roman"/>
          <w:sz w:val="24"/>
          <w:szCs w:val="24"/>
        </w:rPr>
        <w:t>+6</w:t>
      </w:r>
      <w:r>
        <w:rPr>
          <w:rFonts w:ascii="Times New Roman" w:hAnsi="Times New Roman" w:eastAsia="Times New Roman" w:cs="Times New Roman"/>
          <w:spacing w:val="-1"/>
          <w:sz w:val="24"/>
          <w:szCs w:val="24"/>
        </w:rPr>
        <w:t>H</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O</w:t>
      </w:r>
      <w:r>
        <w:rPr>
          <w:rFonts w:ascii="Times New Roman" w:hAnsi="Times New Roman" w:eastAsia="Times New Roman" w:cs="Times New Roman"/>
          <w:sz w:val="24"/>
          <w:szCs w:val="24"/>
        </w:rPr>
        <w:t xml:space="preserve">  </w:t>
      </w:r>
      <w:r>
        <w:rPr>
          <w:rFonts w:ascii="宋体" w:hAnsi="宋体" w:eastAsia="宋体" w:cs="宋体"/>
          <w:sz w:val="24"/>
          <w:szCs w:val="24"/>
        </w:rPr>
        <w:t>慢速反应：</w:t>
      </w:r>
      <w:r>
        <w:rPr>
          <w:rFonts w:ascii="Times New Roman" w:hAnsi="Times New Roman" w:eastAsia="Times New Roman" w:cs="Times New Roman"/>
          <w:sz w:val="24"/>
          <w:szCs w:val="24"/>
        </w:rPr>
        <w:t>6NO</w:t>
      </w:r>
      <w:r>
        <w:rPr>
          <w:rFonts w:ascii="Times New Roman" w:hAnsi="Times New Roman" w:eastAsia="Times New Roman" w:cs="Times New Roman"/>
          <w:position w:val="-1"/>
          <w:sz w:val="15"/>
          <w:szCs w:val="15"/>
        </w:rPr>
        <w:t>2</w:t>
      </w:r>
      <w:r>
        <w:rPr>
          <w:rFonts w:ascii="Times New Roman" w:hAnsi="Times New Roman" w:eastAsia="Times New Roman" w:cs="Times New Roman"/>
          <w:sz w:val="24"/>
          <w:szCs w:val="24"/>
        </w:rPr>
        <w:t>+8NH</w:t>
      </w:r>
      <w:r>
        <w:rPr>
          <w:rFonts w:ascii="Times New Roman" w:hAnsi="Times New Roman" w:eastAsia="Times New Roman" w:cs="Times New Roman"/>
          <w:position w:val="-1"/>
          <w:sz w:val="15"/>
          <w:szCs w:val="15"/>
        </w:rPr>
        <w:t>3</w:t>
      </w:r>
      <w:r>
        <w:rPr>
          <w:rFonts w:ascii="Times New Roman" w:hAnsi="Times New Roman" w:eastAsia="Times New Roman" w:cs="Times New Roman"/>
          <w:sz w:val="24"/>
          <w:szCs w:val="24"/>
        </w:rPr>
        <w:t>=7N</w:t>
      </w:r>
      <w:r>
        <w:rPr>
          <w:rFonts w:ascii="Times New Roman" w:hAnsi="Times New Roman" w:eastAsia="Times New Roman" w:cs="Times New Roman"/>
          <w:position w:val="-1"/>
          <w:sz w:val="15"/>
          <w:szCs w:val="15"/>
        </w:rPr>
        <w:t>2</w:t>
      </w:r>
      <w:r>
        <w:rPr>
          <w:rFonts w:ascii="Times New Roman" w:hAnsi="Times New Roman" w:eastAsia="Times New Roman" w:cs="Times New Roman"/>
          <w:sz w:val="24"/>
          <w:szCs w:val="24"/>
        </w:rPr>
        <w:t>+12H</w:t>
      </w:r>
      <w:r>
        <w:rPr>
          <w:rFonts w:ascii="Times New Roman" w:hAnsi="Times New Roman" w:eastAsia="Times New Roman" w:cs="Times New Roman"/>
          <w:position w:val="-1"/>
          <w:sz w:val="15"/>
          <w:szCs w:val="15"/>
        </w:rPr>
        <w:t>2</w:t>
      </w:r>
      <w:r>
        <w:rPr>
          <w:rFonts w:ascii="Times New Roman" w:hAnsi="Times New Roman" w:eastAsia="Times New Roman" w:cs="Times New Roman"/>
          <w:sz w:val="24"/>
          <w:szCs w:val="24"/>
        </w:rPr>
        <w:t xml:space="preserve">O      </w:t>
      </w:r>
      <w:r>
        <w:rPr>
          <w:rFonts w:ascii="宋体" w:hAnsi="宋体" w:eastAsia="宋体" w:cs="宋体"/>
          <w:sz w:val="24"/>
          <w:szCs w:val="24"/>
        </w:rPr>
        <w:t>快速反应：</w:t>
      </w:r>
      <w:r>
        <w:rPr>
          <w:rFonts w:ascii="Times New Roman" w:hAnsi="Times New Roman" w:eastAsia="Times New Roman" w:cs="Times New Roman"/>
          <w:sz w:val="24"/>
          <w:szCs w:val="24"/>
        </w:rPr>
        <w:t>NO+NO</w:t>
      </w:r>
      <w:r>
        <w:rPr>
          <w:rFonts w:ascii="Times New Roman" w:hAnsi="Times New Roman" w:eastAsia="Times New Roman" w:cs="Times New Roman"/>
          <w:position w:val="-1"/>
          <w:sz w:val="15"/>
          <w:szCs w:val="15"/>
        </w:rPr>
        <w:t>2</w:t>
      </w:r>
      <w:r>
        <w:rPr>
          <w:rFonts w:ascii="Times New Roman" w:hAnsi="Times New Roman" w:eastAsia="Times New Roman" w:cs="Times New Roman"/>
          <w:sz w:val="24"/>
          <w:szCs w:val="24"/>
        </w:rPr>
        <w:t>+2NH</w:t>
      </w:r>
      <w:r>
        <w:rPr>
          <w:rFonts w:ascii="Times New Roman" w:hAnsi="Times New Roman" w:eastAsia="Times New Roman" w:cs="Times New Roman"/>
          <w:position w:val="-1"/>
          <w:sz w:val="15"/>
          <w:szCs w:val="15"/>
        </w:rPr>
        <w:t>3</w:t>
      </w:r>
      <w:r>
        <w:rPr>
          <w:rFonts w:ascii="Times New Roman" w:hAnsi="Times New Roman" w:eastAsia="Times New Roman" w:cs="Times New Roman"/>
          <w:sz w:val="24"/>
          <w:szCs w:val="24"/>
        </w:rPr>
        <w:t>=2N2</w:t>
      </w:r>
      <w:r>
        <w:rPr>
          <w:rFonts w:ascii="Times New Roman" w:hAnsi="Times New Roman" w:eastAsia="Times New Roman" w:cs="Times New Roman"/>
          <w:spacing w:val="-1"/>
          <w:sz w:val="24"/>
          <w:szCs w:val="24"/>
        </w:rPr>
        <w:t>+3H</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O</w:t>
      </w:r>
    </w:p>
    <w:p w14:paraId="1330BE07">
      <w:pPr>
        <w:spacing w:before="193" w:line="371" w:lineRule="auto"/>
        <w:ind w:left="6" w:right="8" w:firstLine="480"/>
        <w:rPr>
          <w:rFonts w:ascii="宋体" w:hAnsi="宋体" w:eastAsia="宋体" w:cs="宋体"/>
          <w:sz w:val="24"/>
          <w:szCs w:val="24"/>
        </w:rPr>
      </w:pPr>
      <w:r>
        <w:rPr>
          <w:rFonts w:ascii="宋体" w:hAnsi="宋体" w:eastAsia="宋体" w:cs="宋体"/>
          <w:spacing w:val="-1"/>
          <w:sz w:val="24"/>
          <w:szCs w:val="24"/>
        </w:rPr>
        <w:t>尿素溶液储罐采用立式罐配套搅拌器，将尿素与水混合均匀，溶解为</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40%</w:t>
      </w:r>
      <w:r>
        <w:rPr>
          <w:rFonts w:ascii="宋体" w:hAnsi="宋体" w:eastAsia="宋体" w:cs="宋体"/>
          <w:spacing w:val="-1"/>
          <w:sz w:val="24"/>
          <w:szCs w:val="24"/>
        </w:rPr>
        <w:t>～</w:t>
      </w:r>
      <w:r>
        <w:rPr>
          <w:rFonts w:ascii="Times New Roman" w:hAnsi="Times New Roman" w:eastAsia="Times New Roman" w:cs="Times New Roman"/>
          <w:spacing w:val="-2"/>
          <w:sz w:val="24"/>
          <w:szCs w:val="24"/>
        </w:rPr>
        <w:t>60%</w:t>
      </w:r>
      <w:r>
        <w:rPr>
          <w:rFonts w:ascii="宋体" w:hAnsi="宋体" w:eastAsia="宋体" w:cs="宋体"/>
          <w:spacing w:val="-2"/>
          <w:sz w:val="24"/>
          <w:szCs w:val="24"/>
        </w:rPr>
        <w:t>质</w:t>
      </w:r>
      <w:r>
        <w:rPr>
          <w:rFonts w:ascii="宋体" w:hAnsi="宋体" w:eastAsia="宋体" w:cs="宋体"/>
          <w:sz w:val="24"/>
          <w:szCs w:val="24"/>
        </w:rPr>
        <w:t xml:space="preserve"> </w:t>
      </w:r>
      <w:r>
        <w:rPr>
          <w:rFonts w:ascii="宋体" w:hAnsi="宋体" w:eastAsia="宋体" w:cs="宋体"/>
          <w:spacing w:val="-1"/>
          <w:sz w:val="24"/>
          <w:szCs w:val="24"/>
        </w:rPr>
        <w:t>量浓度的溶液，然后利用水泵将混合后的尿</w:t>
      </w:r>
      <w:r>
        <w:rPr>
          <w:rFonts w:ascii="宋体" w:hAnsi="宋体" w:eastAsia="宋体" w:cs="宋体"/>
          <w:spacing w:val="-2"/>
          <w:sz w:val="24"/>
          <w:szCs w:val="24"/>
        </w:rPr>
        <w:t>素溶液加压输送到储罐内。废气经过排气管</w:t>
      </w:r>
      <w:r>
        <w:rPr>
          <w:rFonts w:ascii="宋体" w:hAnsi="宋体" w:eastAsia="宋体" w:cs="宋体"/>
          <w:sz w:val="24"/>
          <w:szCs w:val="24"/>
        </w:rPr>
        <w:t xml:space="preserve"> </w:t>
      </w:r>
      <w:r>
        <w:rPr>
          <w:rFonts w:ascii="宋体" w:hAnsi="宋体" w:eastAsia="宋体" w:cs="宋体"/>
          <w:spacing w:val="2"/>
          <w:sz w:val="24"/>
          <w:szCs w:val="24"/>
        </w:rPr>
        <w:t>道先进入</w:t>
      </w:r>
      <w:r>
        <w:rPr>
          <w:rFonts w:ascii="宋体" w:hAnsi="宋体" w:eastAsia="宋体" w:cs="宋体"/>
          <w:spacing w:val="-40"/>
          <w:sz w:val="24"/>
          <w:szCs w:val="24"/>
        </w:rPr>
        <w:t xml:space="preserve"> </w:t>
      </w:r>
      <w:r>
        <w:rPr>
          <w:rFonts w:ascii="Times New Roman" w:hAnsi="Times New Roman" w:eastAsia="Times New Roman" w:cs="Times New Roman"/>
          <w:sz w:val="24"/>
          <w:szCs w:val="24"/>
        </w:rPr>
        <w:t>SCR</w:t>
      </w:r>
      <w:r>
        <w:rPr>
          <w:rFonts w:ascii="Times New Roman" w:hAnsi="Times New Roman" w:eastAsia="Times New Roman" w:cs="Times New Roman"/>
          <w:spacing w:val="2"/>
          <w:sz w:val="24"/>
          <w:szCs w:val="24"/>
        </w:rPr>
        <w:t xml:space="preserve"> </w:t>
      </w:r>
      <w:r>
        <w:rPr>
          <w:rFonts w:ascii="宋体" w:hAnsi="宋体" w:eastAsia="宋体" w:cs="宋体"/>
          <w:spacing w:val="2"/>
          <w:sz w:val="24"/>
          <w:szCs w:val="24"/>
        </w:rPr>
        <w:t>净化系统，尿素溶液利用压缩空气通过喷嘴雾化后与烟气混合，</w:t>
      </w:r>
      <w:r>
        <w:rPr>
          <w:rFonts w:ascii="宋体" w:hAnsi="宋体" w:eastAsia="宋体" w:cs="宋体"/>
          <w:spacing w:val="1"/>
          <w:sz w:val="24"/>
          <w:szCs w:val="24"/>
        </w:rPr>
        <w:t>废气中</w:t>
      </w:r>
      <w:r>
        <w:rPr>
          <w:rFonts w:ascii="宋体" w:hAnsi="宋体" w:eastAsia="宋体" w:cs="宋体"/>
          <w:sz w:val="24"/>
          <w:szCs w:val="24"/>
        </w:rPr>
        <w:t xml:space="preserve"> </w:t>
      </w:r>
      <w:r>
        <w:rPr>
          <w:rFonts w:ascii="宋体" w:hAnsi="宋体" w:eastAsia="宋体" w:cs="宋体"/>
          <w:spacing w:val="1"/>
          <w:sz w:val="24"/>
          <w:szCs w:val="24"/>
        </w:rPr>
        <w:t>的</w:t>
      </w:r>
      <w:r>
        <w:rPr>
          <w:rFonts w:ascii="宋体" w:hAnsi="宋体" w:eastAsia="宋体" w:cs="宋体"/>
          <w:spacing w:val="-61"/>
          <w:sz w:val="24"/>
          <w:szCs w:val="24"/>
        </w:rPr>
        <w:t xml:space="preserve"> </w:t>
      </w:r>
      <w:r>
        <w:rPr>
          <w:rFonts w:ascii="Times New Roman" w:hAnsi="Times New Roman" w:eastAsia="Times New Roman" w:cs="Times New Roman"/>
          <w:sz w:val="24"/>
          <w:szCs w:val="24"/>
        </w:rPr>
        <w:t>NO</w:t>
      </w:r>
      <w:r>
        <w:rPr>
          <w:rFonts w:ascii="Times New Roman" w:hAnsi="Times New Roman" w:eastAsia="Times New Roman" w:cs="Times New Roman"/>
          <w:position w:val="-1"/>
          <w:sz w:val="15"/>
          <w:szCs w:val="15"/>
        </w:rPr>
        <w:t>x</w:t>
      </w:r>
      <w:r>
        <w:rPr>
          <w:rFonts w:ascii="Times New Roman" w:hAnsi="Times New Roman" w:eastAsia="Times New Roman" w:cs="Times New Roman"/>
          <w:spacing w:val="14"/>
          <w:w w:val="101"/>
          <w:position w:val="-1"/>
          <w:sz w:val="15"/>
          <w:szCs w:val="15"/>
        </w:rPr>
        <w:t xml:space="preserve"> </w:t>
      </w:r>
      <w:r>
        <w:rPr>
          <w:rFonts w:ascii="宋体" w:hAnsi="宋体" w:eastAsia="宋体" w:cs="宋体"/>
          <w:spacing w:val="1"/>
          <w:sz w:val="24"/>
          <w:szCs w:val="24"/>
        </w:rPr>
        <w:t>通过</w:t>
      </w:r>
      <w:r>
        <w:rPr>
          <w:rFonts w:ascii="宋体" w:hAnsi="宋体" w:eastAsia="宋体" w:cs="宋体"/>
          <w:spacing w:val="-45"/>
          <w:sz w:val="24"/>
          <w:szCs w:val="24"/>
        </w:rPr>
        <w:t xml:space="preserve"> </w:t>
      </w:r>
      <w:r>
        <w:rPr>
          <w:rFonts w:ascii="Times New Roman" w:hAnsi="Times New Roman" w:eastAsia="Times New Roman" w:cs="Times New Roman"/>
          <w:sz w:val="24"/>
          <w:szCs w:val="24"/>
        </w:rPr>
        <w:t>SCR</w:t>
      </w:r>
      <w:r>
        <w:rPr>
          <w:rFonts w:ascii="Times New Roman" w:hAnsi="Times New Roman" w:eastAsia="Times New Roman" w:cs="Times New Roman"/>
          <w:spacing w:val="1"/>
          <w:sz w:val="24"/>
          <w:szCs w:val="24"/>
        </w:rPr>
        <w:t xml:space="preserve"> </w:t>
      </w:r>
      <w:r>
        <w:rPr>
          <w:rFonts w:ascii="宋体" w:hAnsi="宋体" w:eastAsia="宋体" w:cs="宋体"/>
          <w:spacing w:val="1"/>
          <w:sz w:val="24"/>
          <w:szCs w:val="24"/>
        </w:rPr>
        <w:t>净化系统时，与尿素溶液充分混合后的烟</w:t>
      </w:r>
      <w:r>
        <w:rPr>
          <w:rFonts w:ascii="宋体" w:hAnsi="宋体" w:eastAsia="宋体" w:cs="宋体"/>
          <w:sz w:val="24"/>
          <w:szCs w:val="24"/>
        </w:rPr>
        <w:t xml:space="preserve">气发生催化氧化还原反应， </w:t>
      </w:r>
      <w:r>
        <w:rPr>
          <w:rFonts w:ascii="宋体" w:hAnsi="宋体" w:eastAsia="宋体" w:cs="宋体"/>
          <w:spacing w:val="-1"/>
          <w:sz w:val="24"/>
          <w:szCs w:val="24"/>
        </w:rPr>
        <w:t>将</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NO</w:t>
      </w:r>
      <w:r>
        <w:rPr>
          <w:rFonts w:ascii="Times New Roman" w:hAnsi="Times New Roman" w:eastAsia="Times New Roman" w:cs="Times New Roman"/>
          <w:spacing w:val="-1"/>
          <w:position w:val="-1"/>
          <w:sz w:val="15"/>
          <w:szCs w:val="15"/>
        </w:rPr>
        <w:t xml:space="preserve">x </w:t>
      </w:r>
      <w:r>
        <w:rPr>
          <w:rFonts w:ascii="宋体" w:hAnsi="宋体" w:eastAsia="宋体" w:cs="宋体"/>
          <w:spacing w:val="-1"/>
          <w:sz w:val="24"/>
          <w:szCs w:val="24"/>
        </w:rPr>
        <w:t>还原为</w:t>
      </w:r>
      <w:r>
        <w:rPr>
          <w:rFonts w:ascii="宋体" w:hAnsi="宋体" w:eastAsia="宋体" w:cs="宋体"/>
          <w:spacing w:val="-63"/>
          <w:sz w:val="24"/>
          <w:szCs w:val="24"/>
        </w:rPr>
        <w:t xml:space="preserve"> </w:t>
      </w:r>
      <w:r>
        <w:rPr>
          <w:rFonts w:ascii="Times New Roman" w:hAnsi="Times New Roman" w:eastAsia="Times New Roman" w:cs="Times New Roman"/>
          <w:spacing w:val="-1"/>
          <w:sz w:val="24"/>
          <w:szCs w:val="24"/>
        </w:rPr>
        <w:t>N</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3"/>
          <w:position w:val="-1"/>
          <w:sz w:val="15"/>
          <w:szCs w:val="15"/>
        </w:rPr>
        <w:t xml:space="preserve"> </w:t>
      </w:r>
      <w:r>
        <w:rPr>
          <w:rFonts w:ascii="宋体" w:hAnsi="宋体" w:eastAsia="宋体" w:cs="宋体"/>
          <w:spacing w:val="-1"/>
          <w:sz w:val="24"/>
          <w:szCs w:val="24"/>
        </w:rPr>
        <w:t>和</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H</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O</w:t>
      </w:r>
      <w:r>
        <w:rPr>
          <w:rFonts w:ascii="宋体" w:hAnsi="宋体" w:eastAsia="宋体" w:cs="宋体"/>
          <w:spacing w:val="-1"/>
          <w:sz w:val="24"/>
          <w:szCs w:val="24"/>
        </w:rPr>
        <w:t>。</w:t>
      </w:r>
    </w:p>
    <w:p w14:paraId="663A6671">
      <w:pPr>
        <w:spacing w:before="35" w:line="363" w:lineRule="auto"/>
        <w:ind w:left="9" w:firstLine="484"/>
        <w:rPr>
          <w:rFonts w:ascii="宋体" w:hAnsi="宋体" w:eastAsia="宋体" w:cs="宋体"/>
          <w:sz w:val="24"/>
          <w:szCs w:val="24"/>
        </w:rPr>
      </w:pPr>
      <w:r>
        <w:rPr>
          <w:rFonts w:ascii="Times New Roman" w:hAnsi="Times New Roman" w:eastAsia="Times New Roman" w:cs="Times New Roman"/>
          <w:spacing w:val="-3"/>
          <w:sz w:val="24"/>
          <w:szCs w:val="24"/>
        </w:rPr>
        <w:t xml:space="preserve">SCR </w:t>
      </w:r>
      <w:r>
        <w:rPr>
          <w:rFonts w:ascii="宋体" w:hAnsi="宋体" w:eastAsia="宋体" w:cs="宋体"/>
          <w:spacing w:val="-3"/>
          <w:sz w:val="24"/>
          <w:szCs w:val="24"/>
        </w:rPr>
        <w:t>脱硝系统包括控制系统、尿素溶液储罐、输送装置、计量装置、喷射装置、催</w:t>
      </w:r>
      <w:r>
        <w:rPr>
          <w:rFonts w:ascii="宋体" w:hAnsi="宋体" w:eastAsia="宋体" w:cs="宋体"/>
          <w:spacing w:val="16"/>
          <w:sz w:val="24"/>
          <w:szCs w:val="24"/>
        </w:rPr>
        <w:t xml:space="preserve"> </w:t>
      </w:r>
      <w:r>
        <w:rPr>
          <w:rFonts w:ascii="宋体" w:hAnsi="宋体" w:eastAsia="宋体" w:cs="宋体"/>
          <w:spacing w:val="-1"/>
          <w:sz w:val="24"/>
          <w:szCs w:val="24"/>
        </w:rPr>
        <w:t>化器装置、给水系统以及温度和排气传感器（温度传感</w:t>
      </w:r>
      <w:r>
        <w:rPr>
          <w:rFonts w:ascii="宋体" w:hAnsi="宋体" w:eastAsia="宋体" w:cs="宋体"/>
          <w:spacing w:val="-2"/>
          <w:sz w:val="24"/>
          <w:szCs w:val="24"/>
        </w:rPr>
        <w:t>器、氮氧化物传感器）等组成。</w:t>
      </w:r>
    </w:p>
    <w:p w14:paraId="53A557BD">
      <w:pPr>
        <w:spacing w:before="33" w:line="371" w:lineRule="auto"/>
        <w:ind w:left="10" w:right="7" w:firstLine="483"/>
        <w:rPr>
          <w:rFonts w:ascii="宋体" w:hAnsi="宋体" w:eastAsia="宋体" w:cs="宋体"/>
          <w:sz w:val="24"/>
          <w:szCs w:val="24"/>
        </w:rPr>
      </w:pPr>
      <w:r>
        <w:rPr>
          <w:rFonts w:ascii="Times New Roman" w:hAnsi="Times New Roman" w:eastAsia="Times New Roman" w:cs="Times New Roman"/>
          <w:spacing w:val="-1"/>
          <w:sz w:val="24"/>
          <w:szCs w:val="24"/>
        </w:rPr>
        <w:t xml:space="preserve">SCR </w:t>
      </w:r>
      <w:r>
        <w:rPr>
          <w:rFonts w:ascii="宋体" w:hAnsi="宋体" w:eastAsia="宋体" w:cs="宋体"/>
          <w:spacing w:val="-1"/>
          <w:sz w:val="24"/>
          <w:szCs w:val="24"/>
        </w:rPr>
        <w:t>脱硝中使用的催化剂大多以</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TiO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5"/>
          <w:position w:val="-1"/>
          <w:sz w:val="15"/>
          <w:szCs w:val="15"/>
        </w:rPr>
        <w:t xml:space="preserve"> </w:t>
      </w:r>
      <w:r>
        <w:rPr>
          <w:rFonts w:ascii="宋体" w:hAnsi="宋体" w:eastAsia="宋体" w:cs="宋体"/>
          <w:spacing w:val="-1"/>
          <w:sz w:val="24"/>
          <w:szCs w:val="24"/>
        </w:rPr>
        <w:t>为载体，</w:t>
      </w:r>
      <w:r>
        <w:rPr>
          <w:rFonts w:ascii="宋体" w:hAnsi="宋体" w:eastAsia="宋体" w:cs="宋体"/>
          <w:spacing w:val="-2"/>
          <w:sz w:val="24"/>
          <w:szCs w:val="24"/>
        </w:rPr>
        <w:t>以</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V</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
          <w:sz w:val="24"/>
          <w:szCs w:val="24"/>
        </w:rPr>
        <w:t>O</w:t>
      </w:r>
      <w:r>
        <w:rPr>
          <w:rFonts w:ascii="Times New Roman" w:hAnsi="Times New Roman" w:eastAsia="Times New Roman" w:cs="Times New Roman"/>
          <w:spacing w:val="-2"/>
          <w:position w:val="-1"/>
          <w:sz w:val="15"/>
          <w:szCs w:val="15"/>
        </w:rPr>
        <w:t>5</w:t>
      </w:r>
      <w:r>
        <w:rPr>
          <w:rFonts w:ascii="Times New Roman" w:hAnsi="Times New Roman" w:eastAsia="Times New Roman" w:cs="Times New Roman"/>
          <w:spacing w:val="12"/>
          <w:position w:val="-1"/>
          <w:sz w:val="15"/>
          <w:szCs w:val="15"/>
        </w:rPr>
        <w:t xml:space="preserve"> </w:t>
      </w:r>
      <w:r>
        <w:rPr>
          <w:rFonts w:ascii="宋体" w:hAnsi="宋体" w:eastAsia="宋体" w:cs="宋体"/>
          <w:spacing w:val="-2"/>
          <w:sz w:val="24"/>
          <w:szCs w:val="24"/>
        </w:rPr>
        <w:t>或</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V</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
          <w:sz w:val="24"/>
          <w:szCs w:val="24"/>
        </w:rPr>
        <w:t>O</w:t>
      </w:r>
      <w:r>
        <w:rPr>
          <w:rFonts w:ascii="Times New Roman" w:hAnsi="Times New Roman" w:eastAsia="Times New Roman" w:cs="Times New Roman"/>
          <w:spacing w:val="-2"/>
          <w:position w:val="-1"/>
          <w:sz w:val="15"/>
          <w:szCs w:val="15"/>
        </w:rPr>
        <w:t>5</w:t>
      </w:r>
      <w:r>
        <w:rPr>
          <w:rFonts w:ascii="Times New Roman" w:hAnsi="Times New Roman" w:eastAsia="Times New Roman" w:cs="Times New Roman"/>
          <w:spacing w:val="-2"/>
          <w:sz w:val="24"/>
          <w:szCs w:val="24"/>
        </w:rPr>
        <w:t>-WO</w:t>
      </w:r>
      <w:r>
        <w:rPr>
          <w:rFonts w:ascii="Times New Roman" w:hAnsi="Times New Roman" w:eastAsia="Times New Roman" w:cs="Times New Roman"/>
          <w:spacing w:val="-2"/>
          <w:position w:val="-1"/>
          <w:sz w:val="15"/>
          <w:szCs w:val="15"/>
        </w:rPr>
        <w:t>3</w:t>
      </w:r>
      <w:r>
        <w:rPr>
          <w:rFonts w:ascii="Times New Roman" w:hAnsi="Times New Roman" w:eastAsia="Times New Roman" w:cs="Times New Roman"/>
          <w:spacing w:val="14"/>
          <w:w w:val="102"/>
          <w:position w:val="-1"/>
          <w:sz w:val="15"/>
          <w:szCs w:val="15"/>
        </w:rPr>
        <w:t xml:space="preserve"> </w:t>
      </w:r>
      <w:r>
        <w:rPr>
          <w:rFonts w:ascii="宋体" w:hAnsi="宋体" w:eastAsia="宋体" w:cs="宋体"/>
          <w:spacing w:val="-2"/>
          <w:sz w:val="24"/>
          <w:szCs w:val="24"/>
        </w:rPr>
        <w:t>或</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V</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
          <w:sz w:val="24"/>
          <w:szCs w:val="24"/>
        </w:rPr>
        <w:t>O</w:t>
      </w:r>
      <w:r>
        <w:rPr>
          <w:rFonts w:ascii="Times New Roman" w:hAnsi="Times New Roman" w:eastAsia="Times New Roman" w:cs="Times New Roman"/>
          <w:spacing w:val="-2"/>
          <w:position w:val="-1"/>
          <w:sz w:val="15"/>
          <w:szCs w:val="15"/>
        </w:rPr>
        <w:t>5</w:t>
      </w:r>
      <w:r>
        <w:rPr>
          <w:rFonts w:ascii="Times New Roman" w:hAnsi="Times New Roman" w:eastAsia="Times New Roman" w:cs="Times New Roman"/>
          <w:spacing w:val="-2"/>
          <w:sz w:val="24"/>
          <w:szCs w:val="24"/>
        </w:rPr>
        <w:t>-MoO</w:t>
      </w:r>
      <w:r>
        <w:rPr>
          <w:rFonts w:ascii="Times New Roman" w:hAnsi="Times New Roman" w:eastAsia="Times New Roman" w:cs="Times New Roman"/>
          <w:spacing w:val="-2"/>
          <w:position w:val="-1"/>
          <w:sz w:val="15"/>
          <w:szCs w:val="15"/>
        </w:rPr>
        <w:t>3</w:t>
      </w:r>
      <w:r>
        <w:rPr>
          <w:rFonts w:ascii="Times New Roman" w:hAnsi="Times New Roman" w:eastAsia="Times New Roman" w:cs="Times New Roman"/>
          <w:position w:val="-1"/>
          <w:sz w:val="15"/>
          <w:szCs w:val="15"/>
        </w:rPr>
        <w:t xml:space="preserve"> </w:t>
      </w:r>
      <w:r>
        <w:rPr>
          <w:rFonts w:ascii="宋体" w:hAnsi="宋体" w:eastAsia="宋体" w:cs="宋体"/>
          <w:spacing w:val="2"/>
          <w:sz w:val="24"/>
          <w:szCs w:val="24"/>
        </w:rPr>
        <w:t>为活性成分，制成蜂窝式、板式或波纹式三种类型。应用于烟气脱硝中的</w:t>
      </w:r>
      <w:r>
        <w:rPr>
          <w:rFonts w:ascii="宋体" w:hAnsi="宋体" w:eastAsia="宋体" w:cs="宋体"/>
          <w:spacing w:val="-42"/>
          <w:sz w:val="24"/>
          <w:szCs w:val="24"/>
        </w:rPr>
        <w:t xml:space="preserve"> </w:t>
      </w:r>
      <w:r>
        <w:rPr>
          <w:rFonts w:ascii="Times New Roman" w:hAnsi="Times New Roman" w:eastAsia="Times New Roman" w:cs="Times New Roman"/>
          <w:sz w:val="24"/>
          <w:szCs w:val="24"/>
        </w:rPr>
        <w:t>SCR</w:t>
      </w:r>
      <w:r>
        <w:rPr>
          <w:rFonts w:ascii="Times New Roman" w:hAnsi="Times New Roman" w:eastAsia="Times New Roman" w:cs="Times New Roman"/>
          <w:spacing w:val="1"/>
          <w:sz w:val="24"/>
          <w:szCs w:val="24"/>
        </w:rPr>
        <w:t xml:space="preserve"> </w:t>
      </w:r>
      <w:r>
        <w:rPr>
          <w:rFonts w:ascii="宋体" w:hAnsi="宋体" w:eastAsia="宋体" w:cs="宋体"/>
          <w:spacing w:val="1"/>
          <w:sz w:val="24"/>
          <w:szCs w:val="24"/>
        </w:rPr>
        <w:t>催化剂</w:t>
      </w:r>
      <w:r>
        <w:rPr>
          <w:rFonts w:ascii="宋体" w:hAnsi="宋体" w:eastAsia="宋体" w:cs="宋体"/>
          <w:sz w:val="24"/>
          <w:szCs w:val="24"/>
        </w:rPr>
        <w:t xml:space="preserve"> </w:t>
      </w:r>
      <w:r>
        <w:rPr>
          <w:rFonts w:ascii="宋体" w:hAnsi="宋体" w:eastAsia="宋体" w:cs="宋体"/>
          <w:spacing w:val="7"/>
          <w:sz w:val="24"/>
          <w:szCs w:val="24"/>
        </w:rPr>
        <w:t>可分为高温催化剂（</w:t>
      </w:r>
      <w:r>
        <w:rPr>
          <w:rFonts w:ascii="Times New Roman" w:hAnsi="Times New Roman" w:eastAsia="Times New Roman" w:cs="Times New Roman"/>
          <w:spacing w:val="7"/>
          <w:sz w:val="24"/>
          <w:szCs w:val="24"/>
        </w:rPr>
        <w:t xml:space="preserve">345℃~590℃ </w:t>
      </w:r>
      <w:r>
        <w:rPr>
          <w:rFonts w:ascii="宋体" w:hAnsi="宋体" w:eastAsia="宋体" w:cs="宋体"/>
          <w:spacing w:val="7"/>
          <w:sz w:val="24"/>
          <w:szCs w:val="24"/>
        </w:rPr>
        <w:t>)</w:t>
      </w:r>
      <w:r>
        <w:rPr>
          <w:rFonts w:ascii="宋体" w:hAnsi="宋体" w:eastAsia="宋体" w:cs="宋体"/>
          <w:spacing w:val="80"/>
          <w:sz w:val="24"/>
          <w:szCs w:val="24"/>
        </w:rPr>
        <w:t xml:space="preserve"> </w:t>
      </w:r>
      <w:r>
        <w:rPr>
          <w:rFonts w:ascii="宋体" w:hAnsi="宋体" w:eastAsia="宋体" w:cs="宋体"/>
          <w:spacing w:val="7"/>
          <w:sz w:val="24"/>
          <w:szCs w:val="24"/>
        </w:rPr>
        <w:t>、</w:t>
      </w:r>
      <w:r>
        <w:rPr>
          <w:rFonts w:ascii="宋体" w:hAnsi="宋体" w:eastAsia="宋体" w:cs="宋体"/>
          <w:spacing w:val="-62"/>
          <w:sz w:val="24"/>
          <w:szCs w:val="24"/>
        </w:rPr>
        <w:t xml:space="preserve"> </w:t>
      </w:r>
      <w:r>
        <w:rPr>
          <w:rFonts w:ascii="宋体" w:hAnsi="宋体" w:eastAsia="宋体" w:cs="宋体"/>
          <w:spacing w:val="7"/>
          <w:sz w:val="24"/>
          <w:szCs w:val="24"/>
        </w:rPr>
        <w:t>中温催化剂（</w:t>
      </w:r>
      <w:r>
        <w:rPr>
          <w:rFonts w:ascii="Times New Roman" w:hAnsi="Times New Roman" w:eastAsia="Times New Roman" w:cs="Times New Roman"/>
          <w:spacing w:val="7"/>
          <w:sz w:val="24"/>
          <w:szCs w:val="24"/>
        </w:rPr>
        <w:t xml:space="preserve">260℃~380℃ </w:t>
      </w:r>
      <w:r>
        <w:rPr>
          <w:rFonts w:ascii="宋体" w:hAnsi="宋体" w:eastAsia="宋体" w:cs="宋体"/>
          <w:spacing w:val="7"/>
          <w:sz w:val="24"/>
          <w:szCs w:val="24"/>
        </w:rPr>
        <w:t>)</w:t>
      </w:r>
      <w:r>
        <w:rPr>
          <w:rFonts w:ascii="宋体" w:hAnsi="宋体" w:eastAsia="宋体" w:cs="宋体"/>
          <w:spacing w:val="51"/>
          <w:sz w:val="24"/>
          <w:szCs w:val="24"/>
        </w:rPr>
        <w:t xml:space="preserve"> </w:t>
      </w:r>
      <w:r>
        <w:rPr>
          <w:rFonts w:ascii="宋体" w:hAnsi="宋体" w:eastAsia="宋体" w:cs="宋体"/>
          <w:spacing w:val="7"/>
          <w:sz w:val="24"/>
          <w:szCs w:val="24"/>
        </w:rPr>
        <w:t>和低温催化剂</w:t>
      </w:r>
      <w:r>
        <w:rPr>
          <w:rFonts w:ascii="宋体" w:hAnsi="宋体" w:eastAsia="宋体" w:cs="宋体"/>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80℃~300℃</w:t>
      </w:r>
      <w:r>
        <w:rPr>
          <w:rFonts w:ascii="宋体" w:hAnsi="宋体" w:eastAsia="宋体" w:cs="宋体"/>
          <w:spacing w:val="-3"/>
          <w:sz w:val="24"/>
          <w:szCs w:val="24"/>
        </w:rPr>
        <w:t>) ,</w:t>
      </w:r>
      <w:r>
        <w:rPr>
          <w:rFonts w:ascii="宋体" w:hAnsi="宋体" w:eastAsia="宋体" w:cs="宋体"/>
          <w:spacing w:val="44"/>
          <w:sz w:val="24"/>
          <w:szCs w:val="24"/>
        </w:rPr>
        <w:t xml:space="preserve"> </w:t>
      </w:r>
      <w:r>
        <w:rPr>
          <w:rFonts w:ascii="宋体" w:hAnsi="宋体" w:eastAsia="宋体" w:cs="宋体"/>
          <w:spacing w:val="-3"/>
          <w:sz w:val="24"/>
          <w:szCs w:val="24"/>
        </w:rPr>
        <w:t>不同的催化剂适宜的反应温度不同，本项目燃气发电烟气脱硝采用耐</w:t>
      </w:r>
      <w:r>
        <w:rPr>
          <w:rFonts w:ascii="宋体" w:hAnsi="宋体" w:eastAsia="宋体" w:cs="宋体"/>
          <w:sz w:val="24"/>
          <w:szCs w:val="24"/>
        </w:rPr>
        <w:t xml:space="preserve"> </w:t>
      </w:r>
      <w:r>
        <w:rPr>
          <w:rFonts w:ascii="宋体" w:hAnsi="宋体" w:eastAsia="宋体" w:cs="宋体"/>
          <w:spacing w:val="-1"/>
          <w:sz w:val="24"/>
          <w:szCs w:val="24"/>
        </w:rPr>
        <w:t>高温催化剂，在</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350℃</w:t>
      </w:r>
      <w:r>
        <w:rPr>
          <w:rFonts w:ascii="宋体" w:hAnsi="宋体" w:eastAsia="宋体" w:cs="宋体"/>
          <w:spacing w:val="-1"/>
          <w:sz w:val="24"/>
          <w:szCs w:val="24"/>
        </w:rPr>
        <w:t>起活，在</w:t>
      </w:r>
      <w:r>
        <w:rPr>
          <w:rFonts w:ascii="宋体" w:hAnsi="宋体" w:eastAsia="宋体" w:cs="宋体"/>
          <w:spacing w:val="-57"/>
          <w:sz w:val="24"/>
          <w:szCs w:val="24"/>
        </w:rPr>
        <w:t xml:space="preserve"> </w:t>
      </w:r>
      <w:r>
        <w:rPr>
          <w:rFonts w:ascii="Times New Roman" w:hAnsi="Times New Roman" w:eastAsia="Times New Roman" w:cs="Times New Roman"/>
          <w:spacing w:val="-1"/>
          <w:sz w:val="24"/>
          <w:szCs w:val="24"/>
        </w:rPr>
        <w:t>400~500℃</w:t>
      </w:r>
      <w:r>
        <w:rPr>
          <w:rFonts w:ascii="宋体" w:hAnsi="宋体" w:eastAsia="宋体" w:cs="宋体"/>
          <w:spacing w:val="-1"/>
          <w:sz w:val="24"/>
          <w:szCs w:val="24"/>
        </w:rPr>
        <w:t>情况下，平均效率可以保证</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65%</w:t>
      </w:r>
      <w:r>
        <w:rPr>
          <w:rFonts w:ascii="宋体" w:hAnsi="宋体" w:eastAsia="宋体" w:cs="宋体"/>
          <w:spacing w:val="-1"/>
          <w:sz w:val="24"/>
          <w:szCs w:val="24"/>
        </w:rPr>
        <w:t>以上。</w:t>
      </w:r>
    </w:p>
    <w:p w14:paraId="552D5BBE">
      <w:pPr>
        <w:spacing w:before="33" w:line="372" w:lineRule="auto"/>
        <w:ind w:left="7" w:right="8" w:firstLine="481"/>
        <w:rPr>
          <w:rFonts w:ascii="宋体" w:hAnsi="宋体" w:eastAsia="宋体" w:cs="宋体"/>
          <w:sz w:val="24"/>
          <w:szCs w:val="24"/>
        </w:rPr>
      </w:pPr>
      <w:r>
        <w:rPr>
          <w:rFonts w:ascii="宋体" w:hAnsi="宋体" w:eastAsia="宋体" w:cs="宋体"/>
          <w:spacing w:val="-2"/>
          <w:sz w:val="24"/>
          <w:szCs w:val="24"/>
        </w:rPr>
        <w:t>脱硝反应器采用单仓室结构，应根据现场实际情况设计成烟气竖直向上或下流动，</w:t>
      </w:r>
      <w:r>
        <w:rPr>
          <w:rFonts w:ascii="宋体" w:hAnsi="宋体" w:eastAsia="宋体" w:cs="宋体"/>
          <w:spacing w:val="12"/>
          <w:sz w:val="24"/>
          <w:szCs w:val="24"/>
        </w:rPr>
        <w:t xml:space="preserve"> </w:t>
      </w:r>
      <w:r>
        <w:rPr>
          <w:rFonts w:ascii="宋体" w:hAnsi="宋体" w:eastAsia="宋体" w:cs="宋体"/>
          <w:spacing w:val="-2"/>
          <w:sz w:val="24"/>
          <w:szCs w:val="24"/>
        </w:rPr>
        <w:t>反应器入口应设气流均布装置，反应器入口及出口段应设导流板，对于反应器内部易于</w:t>
      </w:r>
      <w:r>
        <w:rPr>
          <w:rFonts w:ascii="宋体" w:hAnsi="宋体" w:eastAsia="宋体" w:cs="宋体"/>
          <w:spacing w:val="18"/>
          <w:sz w:val="24"/>
          <w:szCs w:val="24"/>
        </w:rPr>
        <w:t xml:space="preserve"> </w:t>
      </w:r>
      <w:r>
        <w:rPr>
          <w:rFonts w:ascii="宋体" w:hAnsi="宋体" w:eastAsia="宋体" w:cs="宋体"/>
          <w:spacing w:val="-2"/>
          <w:sz w:val="24"/>
          <w:szCs w:val="24"/>
        </w:rPr>
        <w:t>磨损的部位应设计必要的防磨措施。反应器内部各类加强板、支架应设计成不易积灰的</w:t>
      </w:r>
      <w:r>
        <w:rPr>
          <w:rFonts w:ascii="宋体" w:hAnsi="宋体" w:eastAsia="宋体" w:cs="宋体"/>
          <w:spacing w:val="18"/>
          <w:sz w:val="24"/>
          <w:szCs w:val="24"/>
        </w:rPr>
        <w:t xml:space="preserve"> </w:t>
      </w:r>
      <w:r>
        <w:rPr>
          <w:rFonts w:ascii="宋体" w:hAnsi="宋体" w:eastAsia="宋体" w:cs="宋体"/>
          <w:spacing w:val="-2"/>
          <w:sz w:val="24"/>
          <w:szCs w:val="24"/>
        </w:rPr>
        <w:t>形式，同时必须考虑热膨胀的补偿措施。本项目脱硝装置安装于每组内燃发电机组主烟</w:t>
      </w:r>
      <w:r>
        <w:rPr>
          <w:rFonts w:ascii="宋体" w:hAnsi="宋体" w:eastAsia="宋体" w:cs="宋体"/>
          <w:spacing w:val="18"/>
          <w:sz w:val="24"/>
          <w:szCs w:val="24"/>
        </w:rPr>
        <w:t xml:space="preserve"> </w:t>
      </w:r>
      <w:r>
        <w:rPr>
          <w:rFonts w:ascii="宋体" w:hAnsi="宋体" w:eastAsia="宋体" w:cs="宋体"/>
          <w:spacing w:val="1"/>
          <w:sz w:val="24"/>
          <w:szCs w:val="24"/>
        </w:rPr>
        <w:t>道出口处，处理后由排气筒排放，</w:t>
      </w:r>
      <w:r>
        <w:rPr>
          <w:rFonts w:ascii="Times New Roman" w:hAnsi="Times New Roman" w:eastAsia="Times New Roman" w:cs="Times New Roman"/>
          <w:spacing w:val="1"/>
          <w:sz w:val="24"/>
          <w:szCs w:val="24"/>
        </w:rPr>
        <w:t xml:space="preserve">2 </w:t>
      </w:r>
      <w:r>
        <w:rPr>
          <w:rFonts w:ascii="宋体" w:hAnsi="宋体" w:eastAsia="宋体" w:cs="宋体"/>
          <w:spacing w:val="1"/>
          <w:sz w:val="24"/>
          <w:szCs w:val="24"/>
        </w:rPr>
        <w:t>套</w:t>
      </w:r>
      <w:r>
        <w:rPr>
          <w:rFonts w:ascii="宋体" w:hAnsi="宋体" w:eastAsia="宋体" w:cs="宋体"/>
          <w:spacing w:val="-43"/>
          <w:sz w:val="24"/>
          <w:szCs w:val="24"/>
        </w:rPr>
        <w:t xml:space="preserve"> </w:t>
      </w:r>
      <w:r>
        <w:rPr>
          <w:rFonts w:ascii="Times New Roman" w:hAnsi="Times New Roman" w:eastAsia="Times New Roman" w:cs="Times New Roman"/>
          <w:sz w:val="24"/>
          <w:szCs w:val="24"/>
        </w:rPr>
        <w:t>SCR</w:t>
      </w:r>
      <w:r>
        <w:rPr>
          <w:rFonts w:ascii="Times New Roman" w:hAnsi="Times New Roman" w:eastAsia="Times New Roman" w:cs="Times New Roman"/>
          <w:spacing w:val="1"/>
          <w:sz w:val="24"/>
          <w:szCs w:val="24"/>
        </w:rPr>
        <w:t xml:space="preserve"> </w:t>
      </w:r>
      <w:r>
        <w:rPr>
          <w:rFonts w:ascii="宋体" w:hAnsi="宋体" w:eastAsia="宋体" w:cs="宋体"/>
          <w:spacing w:val="1"/>
          <w:sz w:val="24"/>
          <w:szCs w:val="24"/>
        </w:rPr>
        <w:t>脱硝装置催化剂采用</w:t>
      </w:r>
      <w:r>
        <w:rPr>
          <w:rFonts w:ascii="宋体" w:hAnsi="宋体" w:eastAsia="宋体" w:cs="宋体"/>
          <w:spacing w:val="-47"/>
          <w:sz w:val="24"/>
          <w:szCs w:val="24"/>
        </w:rPr>
        <w:t xml:space="preserve"> </w:t>
      </w:r>
      <w:r>
        <w:rPr>
          <w:rFonts w:ascii="Times New Roman" w:hAnsi="Times New Roman" w:eastAsia="Times New Roman" w:cs="Times New Roman"/>
          <w:sz w:val="24"/>
          <w:szCs w:val="24"/>
        </w:rPr>
        <w:t xml:space="preserve">3+1 </w:t>
      </w:r>
      <w:r>
        <w:rPr>
          <w:rFonts w:ascii="宋体" w:hAnsi="宋体" w:eastAsia="宋体" w:cs="宋体"/>
          <w:sz w:val="24"/>
          <w:szCs w:val="24"/>
        </w:rPr>
        <w:t>层，</w:t>
      </w:r>
      <w:r>
        <w:rPr>
          <w:rFonts w:ascii="Times New Roman" w:hAnsi="Times New Roman" w:eastAsia="Times New Roman" w:cs="Times New Roman"/>
          <w:sz w:val="24"/>
          <w:szCs w:val="24"/>
        </w:rPr>
        <w:t xml:space="preserve">+1 </w:t>
      </w:r>
      <w:r>
        <w:rPr>
          <w:rFonts w:ascii="宋体" w:hAnsi="宋体" w:eastAsia="宋体" w:cs="宋体"/>
          <w:sz w:val="24"/>
          <w:szCs w:val="24"/>
        </w:rPr>
        <w:t xml:space="preserve">层为推迟 </w:t>
      </w:r>
      <w:r>
        <w:rPr>
          <w:rFonts w:ascii="宋体" w:hAnsi="宋体" w:eastAsia="宋体" w:cs="宋体"/>
          <w:spacing w:val="-3"/>
          <w:sz w:val="24"/>
          <w:szCs w:val="24"/>
        </w:rPr>
        <w:t>性预留。</w:t>
      </w:r>
    </w:p>
    <w:p w14:paraId="7220D3B5">
      <w:pPr>
        <w:spacing w:before="35" w:line="363" w:lineRule="auto"/>
        <w:ind w:left="8" w:right="8" w:firstLine="485"/>
        <w:rPr>
          <w:rFonts w:ascii="宋体" w:hAnsi="宋体" w:eastAsia="宋体" w:cs="宋体"/>
          <w:sz w:val="24"/>
          <w:szCs w:val="24"/>
        </w:rPr>
      </w:pPr>
      <w:r>
        <w:rPr>
          <w:rFonts w:ascii="Times New Roman" w:hAnsi="Times New Roman" w:eastAsia="Times New Roman" w:cs="Times New Roman"/>
          <w:spacing w:val="-3"/>
          <w:sz w:val="24"/>
          <w:szCs w:val="24"/>
        </w:rPr>
        <w:t xml:space="preserve">SCR </w:t>
      </w:r>
      <w:r>
        <w:rPr>
          <w:rFonts w:ascii="宋体" w:hAnsi="宋体" w:eastAsia="宋体" w:cs="宋体"/>
          <w:spacing w:val="-3"/>
          <w:sz w:val="24"/>
          <w:szCs w:val="24"/>
        </w:rPr>
        <w:t>脱硝技术在各类炉窑上已广泛应用，技术成熟可靠，根据同类工程运行效果来</w:t>
      </w:r>
      <w:r>
        <w:rPr>
          <w:rFonts w:ascii="宋体" w:hAnsi="宋体" w:eastAsia="宋体" w:cs="宋体"/>
          <w:spacing w:val="16"/>
          <w:sz w:val="24"/>
          <w:szCs w:val="24"/>
        </w:rPr>
        <w:t xml:space="preserve"> </w:t>
      </w:r>
      <w:r>
        <w:rPr>
          <w:rFonts w:ascii="宋体" w:hAnsi="宋体" w:eastAsia="宋体" w:cs="宋体"/>
          <w:spacing w:val="-1"/>
          <w:sz w:val="24"/>
          <w:szCs w:val="24"/>
        </w:rPr>
        <w:t>看，脱硝效率</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65%</w:t>
      </w:r>
      <w:r>
        <w:rPr>
          <w:rFonts w:ascii="宋体" w:hAnsi="宋体" w:eastAsia="宋体" w:cs="宋体"/>
          <w:spacing w:val="-1"/>
          <w:sz w:val="24"/>
          <w:szCs w:val="24"/>
        </w:rPr>
        <w:t>是可以保证的，措施可行。</w:t>
      </w:r>
    </w:p>
    <w:p w14:paraId="58691F2E">
      <w:pPr>
        <w:spacing w:before="31" w:line="370" w:lineRule="auto"/>
        <w:ind w:left="9" w:right="8" w:firstLine="508"/>
        <w:rPr>
          <w:rFonts w:ascii="宋体" w:hAnsi="宋体" w:eastAsia="宋体" w:cs="宋体"/>
          <w:sz w:val="24"/>
          <w:szCs w:val="24"/>
        </w:rPr>
      </w:pPr>
      <w:r>
        <w:rPr>
          <w:rFonts w:ascii="宋体" w:hAnsi="宋体" w:eastAsia="宋体" w:cs="宋体"/>
          <w:spacing w:val="-2"/>
          <w:sz w:val="24"/>
          <w:szCs w:val="24"/>
        </w:rPr>
        <w:t>由于电炉工况的起伏会使电炉煤气产生量产生</w:t>
      </w:r>
      <w:r>
        <w:rPr>
          <w:rFonts w:ascii="宋体" w:hAnsi="宋体" w:eastAsia="宋体" w:cs="宋体"/>
          <w:spacing w:val="-3"/>
          <w:sz w:val="24"/>
          <w:szCs w:val="24"/>
        </w:rPr>
        <w:t>波动，或电炉故障停炉、停炉检修等</w:t>
      </w:r>
      <w:r>
        <w:rPr>
          <w:rFonts w:ascii="宋体" w:hAnsi="宋体" w:eastAsia="宋体" w:cs="宋体"/>
          <w:sz w:val="24"/>
          <w:szCs w:val="24"/>
        </w:rPr>
        <w:t xml:space="preserve"> </w:t>
      </w:r>
      <w:r>
        <w:rPr>
          <w:rFonts w:ascii="宋体" w:hAnsi="宋体" w:eastAsia="宋体" w:cs="宋体"/>
          <w:spacing w:val="-2"/>
          <w:sz w:val="24"/>
          <w:szCs w:val="24"/>
        </w:rPr>
        <w:t>情况，使电炉煤气量产生增减变化，本项目可通过减少或增加发电机组的运行台数适应</w:t>
      </w:r>
      <w:r>
        <w:rPr>
          <w:rFonts w:ascii="宋体" w:hAnsi="宋体" w:eastAsia="宋体" w:cs="宋体"/>
          <w:spacing w:val="16"/>
          <w:sz w:val="24"/>
          <w:szCs w:val="24"/>
        </w:rPr>
        <w:t xml:space="preserve"> </w:t>
      </w:r>
      <w:r>
        <w:rPr>
          <w:rFonts w:ascii="宋体" w:hAnsi="宋体" w:eastAsia="宋体" w:cs="宋体"/>
          <w:spacing w:val="-3"/>
          <w:sz w:val="24"/>
          <w:szCs w:val="24"/>
        </w:rPr>
        <w:t>煤气量增减变化，每台机组中气缸的排气温度大约在</w:t>
      </w:r>
      <w:r>
        <w:rPr>
          <w:rFonts w:ascii="宋体" w:hAnsi="宋体" w:eastAsia="宋体" w:cs="宋体"/>
          <w:spacing w:val="-46"/>
          <w:sz w:val="24"/>
          <w:szCs w:val="24"/>
        </w:rPr>
        <w:t xml:space="preserve"> </w:t>
      </w:r>
      <w:r>
        <w:rPr>
          <w:rFonts w:ascii="Times New Roman" w:hAnsi="Times New Roman" w:eastAsia="Times New Roman" w:cs="Times New Roman"/>
          <w:spacing w:val="-3"/>
          <w:sz w:val="24"/>
          <w:szCs w:val="24"/>
        </w:rPr>
        <w:t>500℃~600℃</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w:t>
      </w:r>
      <w:r>
        <w:rPr>
          <w:rFonts w:ascii="宋体" w:hAnsi="宋体" w:eastAsia="宋体" w:cs="宋体"/>
          <w:spacing w:val="60"/>
          <w:sz w:val="24"/>
          <w:szCs w:val="24"/>
        </w:rPr>
        <w:t xml:space="preserve"> </w:t>
      </w:r>
      <w:r>
        <w:rPr>
          <w:rFonts w:ascii="宋体" w:hAnsi="宋体" w:eastAsia="宋体" w:cs="宋体"/>
          <w:spacing w:val="-3"/>
          <w:sz w:val="24"/>
          <w:szCs w:val="24"/>
        </w:rPr>
        <w:t>无论机组运行数量</w:t>
      </w:r>
      <w:r>
        <w:rPr>
          <w:rFonts w:ascii="宋体" w:hAnsi="宋体" w:eastAsia="宋体" w:cs="宋体"/>
          <w:sz w:val="24"/>
          <w:szCs w:val="24"/>
        </w:rPr>
        <w:t xml:space="preserve"> 如何变化，气缸排气温度不会变，整个机组的排烟</w:t>
      </w:r>
      <w:r>
        <w:rPr>
          <w:rFonts w:ascii="宋体" w:hAnsi="宋体" w:eastAsia="宋体" w:cs="宋体"/>
          <w:spacing w:val="-1"/>
          <w:sz w:val="24"/>
          <w:szCs w:val="24"/>
        </w:rPr>
        <w:t>温度会稳定在</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480℃</w:t>
      </w:r>
      <w:r>
        <w:rPr>
          <w:rFonts w:ascii="宋体" w:hAnsi="宋体" w:eastAsia="宋体" w:cs="宋体"/>
          <w:spacing w:val="-1"/>
          <w:sz w:val="24"/>
          <w:szCs w:val="24"/>
        </w:rPr>
        <w:t>左右，达到高温</w:t>
      </w:r>
    </w:p>
    <w:p w14:paraId="1AF9B54E">
      <w:pPr>
        <w:spacing w:line="370" w:lineRule="auto"/>
        <w:rPr>
          <w:rFonts w:ascii="宋体" w:hAnsi="宋体" w:eastAsia="宋体" w:cs="宋体"/>
          <w:sz w:val="24"/>
          <w:szCs w:val="24"/>
        </w:rPr>
        <w:sectPr>
          <w:headerReference r:id="rId453" w:type="default"/>
          <w:footerReference r:id="rId454" w:type="default"/>
          <w:pgSz w:w="11906" w:h="16839"/>
          <w:pgMar w:top="1190" w:right="1409" w:bottom="1221" w:left="1417" w:header="882" w:footer="1059" w:gutter="0"/>
          <w:cols w:space="720" w:num="1"/>
        </w:sectPr>
      </w:pPr>
    </w:p>
    <w:p w14:paraId="6E1CD246">
      <w:pPr>
        <w:spacing w:line="28" w:lineRule="exact"/>
      </w:pPr>
      <w:r>
        <w:pict>
          <v:shape id="_x0000_s2040" o:spid="_x0000_s2040" style="height:1.45pt;width:453.65pt;" fillcolor="#000000" filled="t" stroked="f" coordsize="9072,29" path="m0,0l9072,0,9072,28,0,28,0,0xe">
            <v:path/>
            <v:fill on="t" focussize="0,0"/>
            <v:stroke on="f"/>
            <v:imagedata o:title=""/>
            <o:lock v:ext="edit"/>
            <w10:wrap type="none"/>
            <w10:anchorlock/>
          </v:shape>
        </w:pict>
      </w:r>
    </w:p>
    <w:p w14:paraId="3F672553">
      <w:pPr>
        <w:pStyle w:val="2"/>
        <w:spacing w:line="243" w:lineRule="auto"/>
      </w:pPr>
    </w:p>
    <w:p w14:paraId="1C498F3A">
      <w:pPr>
        <w:spacing w:before="78" w:line="219" w:lineRule="auto"/>
        <w:ind w:left="14"/>
        <w:rPr>
          <w:rFonts w:ascii="宋体" w:hAnsi="宋体" w:eastAsia="宋体" w:cs="宋体"/>
          <w:sz w:val="24"/>
          <w:szCs w:val="24"/>
        </w:rPr>
      </w:pPr>
      <w:r>
        <w:rPr>
          <w:rFonts w:ascii="Times New Roman" w:hAnsi="Times New Roman" w:eastAsia="Times New Roman" w:cs="Times New Roman"/>
          <w:spacing w:val="-1"/>
          <w:sz w:val="24"/>
          <w:szCs w:val="24"/>
        </w:rPr>
        <w:t xml:space="preserve">SCR </w:t>
      </w:r>
      <w:r>
        <w:rPr>
          <w:rFonts w:ascii="宋体" w:hAnsi="宋体" w:eastAsia="宋体" w:cs="宋体"/>
          <w:spacing w:val="-1"/>
          <w:sz w:val="24"/>
          <w:szCs w:val="24"/>
        </w:rPr>
        <w:t>脱硝工艺温度范围内，可以不设置烟气再热设备。</w:t>
      </w:r>
    </w:p>
    <w:p w14:paraId="18EBAFBC">
      <w:pPr>
        <w:spacing w:before="325" w:line="220" w:lineRule="auto"/>
        <w:ind w:left="9"/>
        <w:outlineLvl w:val="2"/>
        <w:rPr>
          <w:rFonts w:ascii="宋体" w:hAnsi="宋体" w:eastAsia="宋体" w:cs="宋体"/>
          <w:sz w:val="28"/>
          <w:szCs w:val="28"/>
        </w:rPr>
      </w:pPr>
      <w:bookmarkStart w:id="442" w:name="bookmark352"/>
      <w:bookmarkEnd w:id="442"/>
      <w:r>
        <w:rPr>
          <w:rFonts w:ascii="Times New Roman" w:hAnsi="Times New Roman" w:eastAsia="Times New Roman" w:cs="Times New Roman"/>
          <w:b/>
          <w:bCs/>
          <w:spacing w:val="-2"/>
          <w:sz w:val="28"/>
          <w:szCs w:val="28"/>
        </w:rPr>
        <w:t xml:space="preserve">6.1.6 </w:t>
      </w:r>
      <w:r>
        <w:rPr>
          <w:rFonts w:ascii="宋体" w:hAnsi="宋体" w:eastAsia="宋体" w:cs="宋体"/>
          <w:b/>
          <w:bCs/>
          <w:spacing w:val="-2"/>
          <w:sz w:val="28"/>
          <w:szCs w:val="28"/>
        </w:rPr>
        <w:t>运输路线两侧居民的大气污染防治措施</w:t>
      </w:r>
    </w:p>
    <w:p w14:paraId="43677E19">
      <w:pPr>
        <w:spacing w:before="227" w:line="289" w:lineRule="auto"/>
        <w:ind w:left="7" w:right="80"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）加强道路疏导，减少塞车现象及车辆滞速怠速状态，减少运输汽车尾气排放</w:t>
      </w:r>
      <w:r>
        <w:rPr>
          <w:rFonts w:ascii="宋体" w:hAnsi="宋体" w:eastAsia="宋体" w:cs="宋体"/>
          <w:spacing w:val="14"/>
          <w:sz w:val="24"/>
          <w:szCs w:val="24"/>
        </w:rPr>
        <w:t xml:space="preserve"> </w:t>
      </w:r>
      <w:r>
        <w:rPr>
          <w:rFonts w:ascii="宋体" w:hAnsi="宋体" w:eastAsia="宋体" w:cs="宋体"/>
          <w:spacing w:val="-1"/>
          <w:sz w:val="24"/>
          <w:szCs w:val="24"/>
        </w:rPr>
        <w:t>对沿线环境空气的影响。</w:t>
      </w:r>
    </w:p>
    <w:p w14:paraId="59031455">
      <w:pPr>
        <w:spacing w:before="270" w:line="298" w:lineRule="auto"/>
        <w:ind w:left="8" w:right="120" w:firstLine="491"/>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2</w:t>
      </w:r>
      <w:r>
        <w:rPr>
          <w:rFonts w:ascii="宋体" w:hAnsi="宋体" w:eastAsia="宋体" w:cs="宋体"/>
          <w:sz w:val="24"/>
          <w:szCs w:val="24"/>
        </w:rPr>
        <w:t>）加强运输散装物资如锰粉矿、硅石等材料车辆的管理，禁止车况差、超载、</w:t>
      </w:r>
      <w:r>
        <w:rPr>
          <w:rFonts w:ascii="宋体" w:hAnsi="宋体" w:eastAsia="宋体" w:cs="宋体"/>
          <w:spacing w:val="10"/>
          <w:sz w:val="24"/>
          <w:szCs w:val="24"/>
        </w:rPr>
        <w:t xml:space="preserve"> </w:t>
      </w:r>
      <w:r>
        <w:rPr>
          <w:rFonts w:ascii="宋体" w:hAnsi="宋体" w:eastAsia="宋体" w:cs="宋体"/>
          <w:spacing w:val="-1"/>
          <w:sz w:val="24"/>
          <w:szCs w:val="24"/>
        </w:rPr>
        <w:t>装卸物品遮盖不严、容易洒落的车辆上路行驶。</w:t>
      </w:r>
    </w:p>
    <w:p w14:paraId="4276ED77">
      <w:pPr>
        <w:spacing w:before="265" w:line="221" w:lineRule="auto"/>
        <w:ind w:left="9"/>
        <w:outlineLvl w:val="2"/>
        <w:rPr>
          <w:rFonts w:ascii="宋体" w:hAnsi="宋体" w:eastAsia="宋体" w:cs="宋体"/>
          <w:sz w:val="28"/>
          <w:szCs w:val="28"/>
        </w:rPr>
      </w:pPr>
      <w:bookmarkStart w:id="443" w:name="bookmark354"/>
      <w:bookmarkEnd w:id="443"/>
      <w:r>
        <w:rPr>
          <w:rFonts w:ascii="Times New Roman" w:hAnsi="Times New Roman" w:eastAsia="Times New Roman" w:cs="Times New Roman"/>
          <w:b/>
          <w:bCs/>
          <w:spacing w:val="-2"/>
          <w:sz w:val="28"/>
          <w:szCs w:val="28"/>
        </w:rPr>
        <w:t xml:space="preserve">6.1.7 </w:t>
      </w:r>
      <w:r>
        <w:rPr>
          <w:rFonts w:ascii="宋体" w:hAnsi="宋体" w:eastAsia="宋体" w:cs="宋体"/>
          <w:b/>
          <w:bCs/>
          <w:spacing w:val="-2"/>
          <w:sz w:val="28"/>
          <w:szCs w:val="28"/>
        </w:rPr>
        <w:t>无组织废气污染防治措施</w:t>
      </w:r>
    </w:p>
    <w:p w14:paraId="03C1DC7C">
      <w:pPr>
        <w:spacing w:before="255" w:line="220"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）原料系统无组织排放控制措施</w:t>
      </w:r>
    </w:p>
    <w:p w14:paraId="6462CAF3">
      <w:pPr>
        <w:spacing w:before="205" w:line="323" w:lineRule="auto"/>
        <w:ind w:left="8" w:firstLine="479"/>
        <w:rPr>
          <w:rFonts w:ascii="宋体" w:hAnsi="宋体" w:eastAsia="宋体" w:cs="宋体"/>
          <w:sz w:val="24"/>
          <w:szCs w:val="24"/>
        </w:rPr>
      </w:pPr>
      <w:r>
        <w:rPr>
          <w:rFonts w:ascii="宋体" w:hAnsi="宋体" w:eastAsia="宋体" w:cs="宋体"/>
          <w:spacing w:val="1"/>
          <w:sz w:val="24"/>
          <w:szCs w:val="24"/>
        </w:rPr>
        <w:t>①硅石、焦炭、石灰石等原辅材料由汽车运</w:t>
      </w:r>
      <w:r>
        <w:rPr>
          <w:rFonts w:ascii="宋体" w:hAnsi="宋体" w:eastAsia="宋体" w:cs="宋体"/>
          <w:sz w:val="24"/>
          <w:szCs w:val="24"/>
        </w:rPr>
        <w:t xml:space="preserve">输进厂后即卸入封闭原料大棚内储存， </w:t>
      </w:r>
      <w:r>
        <w:rPr>
          <w:rFonts w:ascii="宋体" w:hAnsi="宋体" w:eastAsia="宋体" w:cs="宋体"/>
          <w:spacing w:val="-2"/>
          <w:sz w:val="24"/>
          <w:szCs w:val="24"/>
        </w:rPr>
        <w:t>再经轮式装载机、封闭式皮带机输送至配料站；卸车作业在封闭的料场内完成，同时在</w:t>
      </w:r>
      <w:r>
        <w:rPr>
          <w:rFonts w:ascii="宋体" w:hAnsi="宋体" w:eastAsia="宋体" w:cs="宋体"/>
          <w:spacing w:val="17"/>
          <w:sz w:val="24"/>
          <w:szCs w:val="24"/>
        </w:rPr>
        <w:t xml:space="preserve"> </w:t>
      </w:r>
      <w:r>
        <w:rPr>
          <w:rFonts w:ascii="宋体" w:hAnsi="宋体" w:eastAsia="宋体" w:cs="宋体"/>
          <w:spacing w:val="-6"/>
          <w:sz w:val="24"/>
          <w:szCs w:val="24"/>
        </w:rPr>
        <w:t>料场内配置喷雾降尘装置，可有效抑制原料卸车、装载机铲装及堆存过程中的粉尘产生。</w:t>
      </w:r>
    </w:p>
    <w:p w14:paraId="655AA787">
      <w:pPr>
        <w:spacing w:before="204" w:line="325" w:lineRule="auto"/>
        <w:ind w:left="6" w:right="80" w:firstLine="480"/>
        <w:rPr>
          <w:rFonts w:ascii="宋体" w:hAnsi="宋体" w:eastAsia="宋体" w:cs="宋体"/>
          <w:sz w:val="24"/>
          <w:szCs w:val="24"/>
        </w:rPr>
      </w:pPr>
      <w:r>
        <w:rPr>
          <w:rFonts w:ascii="宋体" w:hAnsi="宋体" w:eastAsia="宋体" w:cs="宋体"/>
          <w:spacing w:val="-2"/>
          <w:sz w:val="24"/>
          <w:szCs w:val="24"/>
        </w:rPr>
        <w:t>②原料在厂内的输送采用封闭式皮带机，并在设计中尽量降低物料落差；在原料输</w:t>
      </w:r>
      <w:r>
        <w:rPr>
          <w:rFonts w:ascii="宋体" w:hAnsi="宋体" w:eastAsia="宋体" w:cs="宋体"/>
          <w:spacing w:val="15"/>
          <w:sz w:val="24"/>
          <w:szCs w:val="24"/>
        </w:rPr>
        <w:t xml:space="preserve"> </w:t>
      </w:r>
      <w:r>
        <w:rPr>
          <w:rFonts w:ascii="宋体" w:hAnsi="宋体" w:eastAsia="宋体" w:cs="宋体"/>
          <w:spacing w:val="-1"/>
          <w:sz w:val="24"/>
          <w:szCs w:val="24"/>
        </w:rPr>
        <w:t>送各产尘点设置密闭集气罩收集粉尘，采用</w:t>
      </w:r>
      <w:r>
        <w:rPr>
          <w:rFonts w:ascii="宋体" w:hAnsi="宋体" w:eastAsia="宋体" w:cs="宋体"/>
          <w:spacing w:val="-2"/>
          <w:sz w:val="24"/>
          <w:szCs w:val="24"/>
        </w:rPr>
        <w:t>布袋除尘器处理，能够有效抑制原料输送粉</w:t>
      </w:r>
      <w:r>
        <w:rPr>
          <w:rFonts w:ascii="宋体" w:hAnsi="宋体" w:eastAsia="宋体" w:cs="宋体"/>
          <w:sz w:val="24"/>
          <w:szCs w:val="24"/>
        </w:rPr>
        <w:t xml:space="preserve"> </w:t>
      </w:r>
      <w:r>
        <w:rPr>
          <w:rFonts w:ascii="宋体" w:hAnsi="宋体" w:eastAsia="宋体" w:cs="宋体"/>
          <w:spacing w:val="-2"/>
          <w:sz w:val="24"/>
          <w:szCs w:val="24"/>
        </w:rPr>
        <w:t>尘的排放。</w:t>
      </w:r>
    </w:p>
    <w:p w14:paraId="1C87D234">
      <w:pPr>
        <w:spacing w:before="199" w:line="299" w:lineRule="auto"/>
        <w:ind w:left="13" w:right="80" w:firstLine="473"/>
        <w:rPr>
          <w:rFonts w:ascii="宋体" w:hAnsi="宋体" w:eastAsia="宋体" w:cs="宋体"/>
          <w:sz w:val="24"/>
          <w:szCs w:val="24"/>
        </w:rPr>
      </w:pPr>
      <w:r>
        <w:rPr>
          <w:rFonts w:ascii="宋体" w:hAnsi="宋体" w:eastAsia="宋体" w:cs="宋体"/>
          <w:spacing w:val="-2"/>
          <w:sz w:val="24"/>
          <w:szCs w:val="24"/>
        </w:rPr>
        <w:t>③原料货车运输过程加盖苫布，装卸过程严格按照规范操作；除尘灰采用气力输送</w:t>
      </w:r>
      <w:r>
        <w:rPr>
          <w:rFonts w:ascii="宋体" w:hAnsi="宋体" w:eastAsia="宋体" w:cs="宋体"/>
          <w:spacing w:val="15"/>
          <w:sz w:val="24"/>
          <w:szCs w:val="24"/>
        </w:rPr>
        <w:t xml:space="preserve"> </w:t>
      </w:r>
      <w:r>
        <w:rPr>
          <w:rFonts w:ascii="宋体" w:hAnsi="宋体" w:eastAsia="宋体" w:cs="宋体"/>
          <w:spacing w:val="-5"/>
          <w:sz w:val="24"/>
          <w:szCs w:val="24"/>
        </w:rPr>
        <w:t>系统。</w:t>
      </w:r>
    </w:p>
    <w:p w14:paraId="39858D11">
      <w:pPr>
        <w:spacing w:before="203"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）生产设施无组织排放控制措施</w:t>
      </w:r>
    </w:p>
    <w:p w14:paraId="76A1EF20">
      <w:pPr>
        <w:spacing w:before="205" w:line="337" w:lineRule="auto"/>
        <w:ind w:left="9" w:right="80" w:firstLine="478"/>
        <w:rPr>
          <w:rFonts w:ascii="宋体" w:hAnsi="宋体" w:eastAsia="宋体" w:cs="宋体"/>
          <w:sz w:val="24"/>
          <w:szCs w:val="24"/>
        </w:rPr>
      </w:pPr>
      <w:r>
        <w:rPr>
          <w:rFonts w:ascii="宋体" w:hAnsi="宋体" w:eastAsia="宋体" w:cs="宋体"/>
          <w:spacing w:val="-2"/>
          <w:sz w:val="24"/>
          <w:szCs w:val="24"/>
        </w:rPr>
        <w:t>①强化烟气收集措施，提高收集效率，尽量降低逸散烟气：厂区配料站料仓、电炉</w:t>
      </w:r>
      <w:r>
        <w:rPr>
          <w:rFonts w:ascii="宋体" w:hAnsi="宋体" w:eastAsia="宋体" w:cs="宋体"/>
          <w:spacing w:val="14"/>
          <w:sz w:val="24"/>
          <w:szCs w:val="24"/>
        </w:rPr>
        <w:t xml:space="preserve"> </w:t>
      </w:r>
      <w:r>
        <w:rPr>
          <w:rFonts w:ascii="宋体" w:hAnsi="宋体" w:eastAsia="宋体" w:cs="宋体"/>
          <w:spacing w:val="-2"/>
          <w:sz w:val="24"/>
          <w:szCs w:val="24"/>
        </w:rPr>
        <w:t>出铁口、排渣口、浇铸机、成品破碎等处均设置集气罩对烟粉尘进行收集，在不影响操</w:t>
      </w:r>
      <w:r>
        <w:rPr>
          <w:rFonts w:ascii="宋体" w:hAnsi="宋体" w:eastAsia="宋体" w:cs="宋体"/>
          <w:spacing w:val="16"/>
          <w:sz w:val="24"/>
          <w:szCs w:val="24"/>
        </w:rPr>
        <w:t xml:space="preserve"> </w:t>
      </w:r>
      <w:r>
        <w:rPr>
          <w:rFonts w:ascii="宋体" w:hAnsi="宋体" w:eastAsia="宋体" w:cs="宋体"/>
          <w:sz w:val="24"/>
          <w:szCs w:val="24"/>
        </w:rPr>
        <w:t>作的条件下，集气罩尽可能的接近产尘点，</w:t>
      </w:r>
      <w:r>
        <w:rPr>
          <w:rFonts w:ascii="宋体" w:hAnsi="宋体" w:eastAsia="宋体" w:cs="宋体"/>
          <w:spacing w:val="-1"/>
          <w:sz w:val="24"/>
          <w:szCs w:val="24"/>
        </w:rPr>
        <w:t>废气的捕集率均达到</w:t>
      </w:r>
      <w:r>
        <w:rPr>
          <w:rFonts w:ascii="Times New Roman" w:hAnsi="Times New Roman" w:eastAsia="Times New Roman" w:cs="Times New Roman"/>
          <w:spacing w:val="-1"/>
          <w:sz w:val="24"/>
          <w:szCs w:val="24"/>
        </w:rPr>
        <w:t>90%</w:t>
      </w:r>
      <w:r>
        <w:rPr>
          <w:rFonts w:ascii="宋体" w:hAnsi="宋体" w:eastAsia="宋体" w:cs="宋体"/>
          <w:spacing w:val="-1"/>
          <w:sz w:val="24"/>
          <w:szCs w:val="24"/>
        </w:rPr>
        <w:t>以上，减少项目无</w:t>
      </w:r>
      <w:r>
        <w:rPr>
          <w:rFonts w:ascii="宋体" w:hAnsi="宋体" w:eastAsia="宋体" w:cs="宋体"/>
          <w:sz w:val="24"/>
          <w:szCs w:val="24"/>
        </w:rPr>
        <w:t xml:space="preserve"> </w:t>
      </w:r>
      <w:r>
        <w:rPr>
          <w:rFonts w:ascii="宋体" w:hAnsi="宋体" w:eastAsia="宋体" w:cs="宋体"/>
          <w:spacing w:val="-2"/>
          <w:sz w:val="24"/>
          <w:szCs w:val="24"/>
        </w:rPr>
        <w:t>组织废气排放。</w:t>
      </w:r>
    </w:p>
    <w:p w14:paraId="0049C110">
      <w:pPr>
        <w:spacing w:before="203" w:line="217" w:lineRule="auto"/>
        <w:ind w:left="486"/>
        <w:rPr>
          <w:rFonts w:ascii="宋体" w:hAnsi="宋体" w:eastAsia="宋体" w:cs="宋体"/>
          <w:sz w:val="24"/>
          <w:szCs w:val="24"/>
        </w:rPr>
      </w:pPr>
      <w:r>
        <w:rPr>
          <w:rFonts w:ascii="宋体" w:hAnsi="宋体" w:eastAsia="宋体" w:cs="宋体"/>
          <w:sz w:val="24"/>
          <w:szCs w:val="24"/>
        </w:rPr>
        <w:t>②项目生产选用全封闭电炉，并定期检查密封性能，</w:t>
      </w:r>
      <w:r>
        <w:rPr>
          <w:rFonts w:ascii="宋体" w:hAnsi="宋体" w:eastAsia="宋体" w:cs="宋体"/>
          <w:spacing w:val="-1"/>
          <w:sz w:val="24"/>
          <w:szCs w:val="24"/>
        </w:rPr>
        <w:t>以减少逸出烟气量。</w:t>
      </w:r>
    </w:p>
    <w:p w14:paraId="702072BC">
      <w:pPr>
        <w:spacing w:before="205" w:line="298" w:lineRule="auto"/>
        <w:ind w:left="10" w:firstLine="476"/>
        <w:rPr>
          <w:rFonts w:ascii="宋体" w:hAnsi="宋体" w:eastAsia="宋体" w:cs="宋体"/>
          <w:sz w:val="24"/>
          <w:szCs w:val="24"/>
        </w:rPr>
      </w:pPr>
      <w:r>
        <w:rPr>
          <w:rFonts w:ascii="宋体" w:hAnsi="宋体" w:eastAsia="宋体" w:cs="宋体"/>
          <w:spacing w:val="-2"/>
          <w:sz w:val="24"/>
          <w:szCs w:val="24"/>
        </w:rPr>
        <w:t>③加强除尘系统的保养和维护，确保集气罩的抽吸作用，防止除</w:t>
      </w:r>
      <w:r>
        <w:rPr>
          <w:rFonts w:ascii="宋体" w:hAnsi="宋体" w:eastAsia="宋体" w:cs="宋体"/>
          <w:spacing w:val="-3"/>
          <w:sz w:val="24"/>
          <w:szCs w:val="24"/>
        </w:rPr>
        <w:t>尘系统的</w:t>
      </w:r>
      <w:r>
        <w:rPr>
          <w:rFonts w:ascii="Times New Roman" w:hAnsi="Times New Roman" w:eastAsia="Times New Roman" w:cs="Times New Roman"/>
          <w:spacing w:val="-3"/>
          <w:sz w:val="24"/>
          <w:szCs w:val="24"/>
        </w:rPr>
        <w:t>“</w:t>
      </w:r>
      <w:r>
        <w:rPr>
          <w:rFonts w:ascii="宋体" w:hAnsi="宋体" w:eastAsia="宋体" w:cs="宋体"/>
          <w:spacing w:val="-3"/>
          <w:sz w:val="24"/>
          <w:szCs w:val="24"/>
        </w:rPr>
        <w:t>跑、冒、</w:t>
      </w:r>
      <w:r>
        <w:rPr>
          <w:rFonts w:ascii="宋体" w:hAnsi="宋体" w:eastAsia="宋体" w:cs="宋体"/>
          <w:sz w:val="24"/>
          <w:szCs w:val="24"/>
        </w:rPr>
        <w:t xml:space="preserve"> </w:t>
      </w:r>
      <w:r>
        <w:rPr>
          <w:rFonts w:ascii="宋体" w:hAnsi="宋体" w:eastAsia="宋体" w:cs="宋体"/>
          <w:spacing w:val="-3"/>
          <w:sz w:val="24"/>
          <w:szCs w:val="24"/>
        </w:rPr>
        <w:t>滴、漏</w:t>
      </w:r>
      <w:r>
        <w:rPr>
          <w:rFonts w:ascii="Times New Roman" w:hAnsi="Times New Roman" w:eastAsia="Times New Roman" w:cs="Times New Roman"/>
          <w:spacing w:val="-3"/>
          <w:sz w:val="24"/>
          <w:szCs w:val="24"/>
        </w:rPr>
        <w:t>”</w:t>
      </w:r>
      <w:r>
        <w:rPr>
          <w:rFonts w:ascii="Times New Roman" w:hAnsi="Times New Roman" w:eastAsia="Times New Roman" w:cs="Times New Roman"/>
          <w:spacing w:val="-26"/>
          <w:sz w:val="24"/>
          <w:szCs w:val="24"/>
        </w:rPr>
        <w:t xml:space="preserve"> </w:t>
      </w:r>
      <w:r>
        <w:rPr>
          <w:rFonts w:ascii="宋体" w:hAnsi="宋体" w:eastAsia="宋体" w:cs="宋体"/>
          <w:spacing w:val="-3"/>
          <w:sz w:val="24"/>
          <w:szCs w:val="24"/>
        </w:rPr>
        <w:t>，使除尘系统运转良好。</w:t>
      </w:r>
    </w:p>
    <w:p w14:paraId="5D99FB9E">
      <w:pPr>
        <w:spacing w:before="205" w:line="217" w:lineRule="auto"/>
        <w:jc w:val="right"/>
        <w:rPr>
          <w:rFonts w:ascii="宋体" w:hAnsi="宋体" w:eastAsia="宋体" w:cs="宋体"/>
          <w:sz w:val="24"/>
          <w:szCs w:val="24"/>
        </w:rPr>
      </w:pPr>
      <w:r>
        <w:rPr>
          <w:rFonts w:ascii="宋体" w:hAnsi="宋体" w:eastAsia="宋体" w:cs="宋体"/>
          <w:spacing w:val="-13"/>
          <w:sz w:val="24"/>
          <w:szCs w:val="24"/>
        </w:rPr>
        <w:t>④配料和上料均采用自动化控制操作系统，规范操作方式，有效抑制粉尘无组织排放。</w:t>
      </w:r>
    </w:p>
    <w:p w14:paraId="668E25BF">
      <w:pPr>
        <w:spacing w:before="208" w:line="297" w:lineRule="auto"/>
        <w:ind w:left="10" w:right="80" w:firstLine="476"/>
        <w:rPr>
          <w:rFonts w:ascii="宋体" w:hAnsi="宋体" w:eastAsia="宋体" w:cs="宋体"/>
          <w:sz w:val="24"/>
          <w:szCs w:val="24"/>
        </w:rPr>
      </w:pPr>
      <w:r>
        <w:rPr>
          <w:rFonts w:ascii="宋体" w:hAnsi="宋体" w:eastAsia="宋体" w:cs="宋体"/>
          <w:spacing w:val="-2"/>
          <w:sz w:val="24"/>
          <w:szCs w:val="24"/>
        </w:rPr>
        <w:t>⑤对电炉车间等产生的无组织废气采用喷雾降尘等办法加速在车间沉降，尽量减少</w:t>
      </w:r>
      <w:r>
        <w:rPr>
          <w:rFonts w:ascii="宋体" w:hAnsi="宋体" w:eastAsia="宋体" w:cs="宋体"/>
          <w:spacing w:val="15"/>
          <w:sz w:val="24"/>
          <w:szCs w:val="24"/>
        </w:rPr>
        <w:t xml:space="preserve"> </w:t>
      </w:r>
      <w:r>
        <w:rPr>
          <w:rFonts w:ascii="宋体" w:hAnsi="宋体" w:eastAsia="宋体" w:cs="宋体"/>
          <w:spacing w:val="-2"/>
          <w:sz w:val="24"/>
          <w:szCs w:val="24"/>
        </w:rPr>
        <w:t>无组织废气的外排。</w:t>
      </w:r>
    </w:p>
    <w:p w14:paraId="03D7234E">
      <w:pPr>
        <w:spacing w:line="297" w:lineRule="auto"/>
        <w:rPr>
          <w:rFonts w:ascii="宋体" w:hAnsi="宋体" w:eastAsia="宋体" w:cs="宋体"/>
          <w:sz w:val="24"/>
          <w:szCs w:val="24"/>
        </w:rPr>
        <w:sectPr>
          <w:headerReference r:id="rId455" w:type="default"/>
          <w:footerReference r:id="rId456" w:type="default"/>
          <w:pgSz w:w="11906" w:h="16839"/>
          <w:pgMar w:top="1190" w:right="1337" w:bottom="1221" w:left="1417" w:header="882" w:footer="1059" w:gutter="0"/>
          <w:cols w:space="720" w:num="1"/>
        </w:sectPr>
      </w:pPr>
    </w:p>
    <w:p w14:paraId="01BD9365">
      <w:pPr>
        <w:spacing w:line="28" w:lineRule="exact"/>
      </w:pPr>
      <w:r>
        <w:pict>
          <v:shape id="_x0000_s2042" o:spid="_x0000_s2042" style="height:1.45pt;width:453.65pt;" fillcolor="#000000" filled="t" stroked="f" coordsize="9072,29" path="m0,0l9072,0,9072,28,0,28,0,0xe">
            <v:path/>
            <v:fill on="t" focussize="0,0"/>
            <v:stroke on="f"/>
            <v:imagedata o:title=""/>
            <o:lock v:ext="edit"/>
            <w10:wrap type="none"/>
            <w10:anchorlock/>
          </v:shape>
        </w:pict>
      </w:r>
    </w:p>
    <w:p w14:paraId="2C49E645">
      <w:pPr>
        <w:pStyle w:val="2"/>
        <w:spacing w:line="242" w:lineRule="auto"/>
      </w:pPr>
    </w:p>
    <w:p w14:paraId="5A563BA3">
      <w:pPr>
        <w:spacing w:before="79" w:line="220"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）其他无组织排放控制措施</w:t>
      </w:r>
    </w:p>
    <w:p w14:paraId="2E40A886">
      <w:pPr>
        <w:spacing w:before="204" w:line="297" w:lineRule="auto"/>
        <w:ind w:left="9" w:right="80" w:firstLine="478"/>
        <w:rPr>
          <w:rFonts w:ascii="宋体" w:hAnsi="宋体" w:eastAsia="宋体" w:cs="宋体"/>
          <w:sz w:val="24"/>
          <w:szCs w:val="24"/>
        </w:rPr>
      </w:pPr>
      <w:r>
        <w:rPr>
          <w:rFonts w:ascii="宋体" w:hAnsi="宋体" w:eastAsia="宋体" w:cs="宋体"/>
          <w:spacing w:val="-2"/>
          <w:sz w:val="24"/>
          <w:szCs w:val="24"/>
        </w:rPr>
        <w:t>①项目厂区内道路全部硬化处理，同时定期对路面进行清扫及洒水，保持路面清洁</w:t>
      </w:r>
      <w:r>
        <w:rPr>
          <w:rFonts w:ascii="宋体" w:hAnsi="宋体" w:eastAsia="宋体" w:cs="宋体"/>
          <w:spacing w:val="14"/>
          <w:sz w:val="24"/>
          <w:szCs w:val="24"/>
        </w:rPr>
        <w:t xml:space="preserve"> </w:t>
      </w:r>
      <w:r>
        <w:rPr>
          <w:rFonts w:ascii="宋体" w:hAnsi="宋体" w:eastAsia="宋体" w:cs="宋体"/>
          <w:spacing w:val="-2"/>
          <w:sz w:val="24"/>
          <w:szCs w:val="24"/>
        </w:rPr>
        <w:t>和相对湿度。</w:t>
      </w:r>
    </w:p>
    <w:p w14:paraId="6DF95925">
      <w:pPr>
        <w:spacing w:before="203" w:line="298" w:lineRule="auto"/>
        <w:ind w:left="8" w:right="80" w:firstLine="478"/>
        <w:rPr>
          <w:rFonts w:ascii="宋体" w:hAnsi="宋体" w:eastAsia="宋体" w:cs="宋体"/>
          <w:sz w:val="24"/>
          <w:szCs w:val="24"/>
        </w:rPr>
      </w:pPr>
      <w:r>
        <w:rPr>
          <w:rFonts w:ascii="宋体" w:hAnsi="宋体" w:eastAsia="宋体" w:cs="宋体"/>
          <w:spacing w:val="-2"/>
          <w:sz w:val="24"/>
          <w:szCs w:val="24"/>
        </w:rPr>
        <w:t>②在厂界围墙、厂前区、生产车间和原料堆棚周围设置绿化带，选用适宜当地生长</w:t>
      </w:r>
      <w:r>
        <w:rPr>
          <w:rFonts w:ascii="宋体" w:hAnsi="宋体" w:eastAsia="宋体" w:cs="宋体"/>
          <w:spacing w:val="15"/>
          <w:sz w:val="24"/>
          <w:szCs w:val="24"/>
        </w:rPr>
        <w:t xml:space="preserve"> </w:t>
      </w:r>
      <w:r>
        <w:rPr>
          <w:rFonts w:ascii="宋体" w:hAnsi="宋体" w:eastAsia="宋体" w:cs="宋体"/>
          <w:spacing w:val="-1"/>
          <w:sz w:val="24"/>
          <w:szCs w:val="24"/>
        </w:rPr>
        <w:t>且对有害气体抗吸性及滞留力强的树种。</w:t>
      </w:r>
    </w:p>
    <w:p w14:paraId="6F2904BC">
      <w:pPr>
        <w:spacing w:before="204" w:line="217" w:lineRule="auto"/>
        <w:ind w:left="486"/>
        <w:rPr>
          <w:rFonts w:ascii="宋体" w:hAnsi="宋体" w:eastAsia="宋体" w:cs="宋体"/>
          <w:sz w:val="24"/>
          <w:szCs w:val="24"/>
        </w:rPr>
      </w:pPr>
      <w:r>
        <w:rPr>
          <w:rFonts w:ascii="宋体" w:hAnsi="宋体" w:eastAsia="宋体" w:cs="宋体"/>
          <w:spacing w:val="-2"/>
          <w:sz w:val="24"/>
          <w:szCs w:val="24"/>
        </w:rPr>
        <w:t>③对职工进行环境保护宣传教育，培养其在工作过程中规范操作和自觉遵守环保制</w:t>
      </w:r>
    </w:p>
    <w:p w14:paraId="4FE94E59">
      <w:pPr>
        <w:spacing w:before="205" w:line="220" w:lineRule="auto"/>
        <w:ind w:left="7"/>
        <w:rPr>
          <w:rFonts w:ascii="宋体" w:hAnsi="宋体" w:eastAsia="宋体" w:cs="宋体"/>
          <w:sz w:val="24"/>
          <w:szCs w:val="24"/>
        </w:rPr>
      </w:pPr>
      <w:r>
        <w:rPr>
          <w:rFonts w:ascii="宋体" w:hAnsi="宋体" w:eastAsia="宋体" w:cs="宋体"/>
          <w:spacing w:val="-2"/>
          <w:sz w:val="24"/>
          <w:szCs w:val="24"/>
        </w:rPr>
        <w:t>度的意识。</w:t>
      </w:r>
    </w:p>
    <w:p w14:paraId="485F614E">
      <w:pPr>
        <w:spacing w:before="129" w:line="226" w:lineRule="auto"/>
        <w:ind w:left="12"/>
        <w:outlineLvl w:val="1"/>
        <w:rPr>
          <w:rFonts w:ascii="黑体" w:hAnsi="黑体" w:eastAsia="黑体" w:cs="黑体"/>
          <w:sz w:val="31"/>
          <w:szCs w:val="31"/>
        </w:rPr>
      </w:pPr>
      <w:bookmarkStart w:id="444" w:name="bookmark358"/>
      <w:bookmarkEnd w:id="444"/>
      <w:bookmarkStart w:id="445" w:name="bookmark356"/>
      <w:bookmarkEnd w:id="445"/>
      <w:r>
        <w:rPr>
          <w:rFonts w:ascii="Times New Roman" w:hAnsi="Times New Roman" w:eastAsia="Times New Roman" w:cs="Times New Roman"/>
          <w:spacing w:val="6"/>
          <w:sz w:val="31"/>
          <w:szCs w:val="31"/>
        </w:rPr>
        <w:t xml:space="preserve">6.2 </w:t>
      </w:r>
      <w:r>
        <w:rPr>
          <w:rFonts w:ascii="黑体" w:hAnsi="黑体" w:eastAsia="黑体" w:cs="黑体"/>
          <w:spacing w:val="6"/>
          <w:sz w:val="31"/>
          <w:szCs w:val="31"/>
        </w:rPr>
        <w:t>废水污染防治措施</w:t>
      </w:r>
    </w:p>
    <w:p w14:paraId="56C3C86C">
      <w:pPr>
        <w:pStyle w:val="2"/>
        <w:spacing w:line="285" w:lineRule="auto"/>
      </w:pPr>
    </w:p>
    <w:p w14:paraId="47DEC032">
      <w:pPr>
        <w:spacing w:before="91" w:line="222" w:lineRule="auto"/>
        <w:ind w:left="11"/>
        <w:outlineLvl w:val="2"/>
        <w:rPr>
          <w:rFonts w:ascii="黑体" w:hAnsi="黑体" w:eastAsia="黑体" w:cs="黑体"/>
          <w:sz w:val="28"/>
          <w:szCs w:val="28"/>
        </w:rPr>
      </w:pPr>
      <w:r>
        <w:rPr>
          <w:rFonts w:ascii="Times New Roman" w:hAnsi="Times New Roman" w:eastAsia="Times New Roman" w:cs="Times New Roman"/>
          <w:spacing w:val="-1"/>
          <w:sz w:val="28"/>
          <w:szCs w:val="28"/>
        </w:rPr>
        <w:t xml:space="preserve">6.2.1 </w:t>
      </w:r>
      <w:r>
        <w:rPr>
          <w:rFonts w:ascii="黑体" w:hAnsi="黑体" w:eastAsia="黑体" w:cs="黑体"/>
          <w:spacing w:val="-1"/>
          <w:sz w:val="28"/>
          <w:szCs w:val="28"/>
        </w:rPr>
        <w:t>生产废水处理措施</w:t>
      </w:r>
    </w:p>
    <w:p w14:paraId="78E0B017">
      <w:pPr>
        <w:spacing w:before="25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）脱硫废水</w:t>
      </w:r>
    </w:p>
    <w:p w14:paraId="0787EEE8">
      <w:pPr>
        <w:spacing w:before="204" w:line="372" w:lineRule="auto"/>
        <w:ind w:left="7" w:firstLine="480"/>
        <w:rPr>
          <w:rFonts w:ascii="宋体" w:hAnsi="宋体" w:eastAsia="宋体" w:cs="宋体"/>
          <w:sz w:val="24"/>
          <w:szCs w:val="24"/>
        </w:rPr>
      </w:pPr>
      <w:r>
        <w:rPr>
          <w:rFonts w:ascii="宋体" w:hAnsi="宋体" w:eastAsia="宋体" w:cs="宋体"/>
          <w:spacing w:val="3"/>
          <w:sz w:val="24"/>
          <w:szCs w:val="24"/>
        </w:rPr>
        <w:t>烧结机头废气石灰石</w:t>
      </w:r>
      <w:r>
        <w:rPr>
          <w:rFonts w:ascii="Times New Roman" w:hAnsi="Times New Roman" w:eastAsia="Times New Roman" w:cs="Times New Roman"/>
          <w:spacing w:val="3"/>
          <w:sz w:val="24"/>
          <w:szCs w:val="24"/>
        </w:rPr>
        <w:t>-</w:t>
      </w:r>
      <w:r>
        <w:rPr>
          <w:rFonts w:ascii="宋体" w:hAnsi="宋体" w:eastAsia="宋体" w:cs="宋体"/>
          <w:spacing w:val="3"/>
          <w:sz w:val="24"/>
          <w:szCs w:val="24"/>
        </w:rPr>
        <w:t>石膏湿法脱硫过程中会产生脱硫废水，废水中</w:t>
      </w:r>
      <w:r>
        <w:rPr>
          <w:rFonts w:ascii="宋体" w:hAnsi="宋体" w:eastAsia="宋体" w:cs="宋体"/>
          <w:spacing w:val="2"/>
          <w:sz w:val="24"/>
          <w:szCs w:val="24"/>
        </w:rPr>
        <w:t>所含的污染物</w:t>
      </w:r>
      <w:r>
        <w:rPr>
          <w:rFonts w:ascii="宋体" w:hAnsi="宋体" w:eastAsia="宋体" w:cs="宋体"/>
          <w:sz w:val="24"/>
          <w:szCs w:val="24"/>
        </w:rPr>
        <w:t xml:space="preserve"> </w:t>
      </w:r>
      <w:r>
        <w:rPr>
          <w:rFonts w:ascii="宋体" w:hAnsi="宋体" w:eastAsia="宋体" w:cs="宋体"/>
          <w:spacing w:val="-2"/>
          <w:sz w:val="24"/>
          <w:szCs w:val="24"/>
        </w:rPr>
        <w:t>主要是</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pH</w:t>
      </w:r>
      <w:r>
        <w:rPr>
          <w:rFonts w:ascii="Times New Roman" w:hAnsi="Times New Roman" w:eastAsia="Times New Roman" w:cs="Times New Roman"/>
          <w:spacing w:val="-34"/>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SS </w:t>
      </w:r>
      <w:r>
        <w:rPr>
          <w:rFonts w:ascii="宋体" w:hAnsi="宋体" w:eastAsia="宋体" w:cs="宋体"/>
          <w:spacing w:val="-2"/>
          <w:sz w:val="24"/>
          <w:szCs w:val="24"/>
        </w:rPr>
        <w:t>等，脱硫废水处理工艺采用中和</w:t>
      </w:r>
      <w:r>
        <w:rPr>
          <w:rFonts w:ascii="Times New Roman" w:hAnsi="Times New Roman" w:eastAsia="Times New Roman" w:cs="Times New Roman"/>
          <w:spacing w:val="-2"/>
          <w:sz w:val="24"/>
          <w:szCs w:val="24"/>
        </w:rPr>
        <w:t>+</w:t>
      </w:r>
      <w:r>
        <w:rPr>
          <w:rFonts w:ascii="宋体" w:hAnsi="宋体" w:eastAsia="宋体" w:cs="宋体"/>
          <w:spacing w:val="-2"/>
          <w:sz w:val="24"/>
          <w:szCs w:val="24"/>
        </w:rPr>
        <w:t>絮凝</w:t>
      </w:r>
      <w:r>
        <w:rPr>
          <w:rFonts w:ascii="Times New Roman" w:hAnsi="Times New Roman" w:eastAsia="Times New Roman" w:cs="Times New Roman"/>
          <w:spacing w:val="-2"/>
          <w:sz w:val="24"/>
          <w:szCs w:val="24"/>
        </w:rPr>
        <w:t>+</w:t>
      </w:r>
      <w:r>
        <w:rPr>
          <w:rFonts w:ascii="宋体" w:hAnsi="宋体" w:eastAsia="宋体" w:cs="宋体"/>
          <w:spacing w:val="-2"/>
          <w:sz w:val="24"/>
          <w:szCs w:val="24"/>
        </w:rPr>
        <w:t>沉淀工艺，脱硫废水经提升泵送</w:t>
      </w:r>
      <w:r>
        <w:rPr>
          <w:rFonts w:ascii="宋体" w:hAnsi="宋体" w:eastAsia="宋体" w:cs="宋体"/>
          <w:sz w:val="24"/>
          <w:szCs w:val="24"/>
        </w:rPr>
        <w:t xml:space="preserve"> </w:t>
      </w:r>
      <w:r>
        <w:rPr>
          <w:rFonts w:ascii="宋体" w:hAnsi="宋体" w:eastAsia="宋体" w:cs="宋体"/>
          <w:spacing w:val="-1"/>
          <w:sz w:val="24"/>
          <w:szCs w:val="24"/>
        </w:rPr>
        <w:t>至中和絮凝反应箱（即三联箱，包括中和箱、沉降箱和絮</w:t>
      </w:r>
      <w:r>
        <w:rPr>
          <w:rFonts w:ascii="宋体" w:hAnsi="宋体" w:eastAsia="宋体" w:cs="宋体"/>
          <w:spacing w:val="-2"/>
          <w:sz w:val="24"/>
          <w:szCs w:val="24"/>
        </w:rPr>
        <w:t>凝箱</w:t>
      </w:r>
      <w:r>
        <w:rPr>
          <w:rFonts w:ascii="宋体" w:hAnsi="宋体" w:eastAsia="宋体" w:cs="宋体"/>
          <w:spacing w:val="-6"/>
          <w:sz w:val="24"/>
          <w:szCs w:val="24"/>
        </w:rPr>
        <w:t>），</w:t>
      </w:r>
      <w:r>
        <w:rPr>
          <w:rFonts w:ascii="宋体" w:hAnsi="宋体" w:eastAsia="宋体" w:cs="宋体"/>
          <w:spacing w:val="-2"/>
          <w:sz w:val="24"/>
          <w:szCs w:val="24"/>
        </w:rPr>
        <w:t>在反应器中通过加入</w:t>
      </w:r>
      <w:r>
        <w:rPr>
          <w:rFonts w:ascii="宋体" w:hAnsi="宋体" w:eastAsia="宋体" w:cs="宋体"/>
          <w:spacing w:val="1"/>
          <w:sz w:val="24"/>
          <w:szCs w:val="24"/>
        </w:rPr>
        <w:t xml:space="preserve"> </w:t>
      </w:r>
      <w:r>
        <w:rPr>
          <w:rFonts w:ascii="宋体" w:hAnsi="宋体" w:eastAsia="宋体" w:cs="宋体"/>
          <w:spacing w:val="-4"/>
          <w:sz w:val="24"/>
          <w:szCs w:val="24"/>
        </w:rPr>
        <w:t>石灰乳、凝聚剂、有机硫、助凝剂，完成</w:t>
      </w:r>
      <w:r>
        <w:rPr>
          <w:rFonts w:ascii="宋体" w:hAnsi="宋体" w:eastAsia="宋体" w:cs="宋体"/>
          <w:spacing w:val="-51"/>
          <w:sz w:val="24"/>
          <w:szCs w:val="24"/>
        </w:rPr>
        <w:t xml:space="preserve"> </w:t>
      </w:r>
      <w:r>
        <w:rPr>
          <w:rFonts w:ascii="Times New Roman" w:hAnsi="Times New Roman" w:eastAsia="Times New Roman" w:cs="Times New Roman"/>
          <w:spacing w:val="-4"/>
          <w:sz w:val="24"/>
          <w:szCs w:val="24"/>
        </w:rPr>
        <w:t xml:space="preserve">pH </w:t>
      </w:r>
      <w:r>
        <w:rPr>
          <w:rFonts w:ascii="宋体" w:hAnsi="宋体" w:eastAsia="宋体" w:cs="宋体"/>
          <w:spacing w:val="-4"/>
          <w:sz w:val="24"/>
          <w:szCs w:val="24"/>
        </w:rPr>
        <w:t>调整、饱和硫酸钙结晶析出、混凝反应等。</w:t>
      </w:r>
      <w:r>
        <w:rPr>
          <w:rFonts w:ascii="宋体" w:hAnsi="宋体" w:eastAsia="宋体" w:cs="宋体"/>
          <w:sz w:val="24"/>
          <w:szCs w:val="24"/>
        </w:rPr>
        <w:t xml:space="preserve"> </w:t>
      </w:r>
      <w:r>
        <w:rPr>
          <w:rFonts w:ascii="宋体" w:hAnsi="宋体" w:eastAsia="宋体" w:cs="宋体"/>
          <w:spacing w:val="-2"/>
          <w:sz w:val="24"/>
          <w:szCs w:val="24"/>
        </w:rPr>
        <w:t>废水从反应箱自流进入澄清器，废水中的絮凝物通过重力作用沉积在澄清器底部，浓缩</w:t>
      </w:r>
      <w:r>
        <w:rPr>
          <w:rFonts w:ascii="宋体" w:hAnsi="宋体" w:eastAsia="宋体" w:cs="宋体"/>
          <w:spacing w:val="18"/>
          <w:sz w:val="24"/>
          <w:szCs w:val="24"/>
        </w:rPr>
        <w:t xml:space="preserve"> </w:t>
      </w:r>
      <w:r>
        <w:rPr>
          <w:rFonts w:ascii="宋体" w:hAnsi="宋体" w:eastAsia="宋体" w:cs="宋体"/>
          <w:spacing w:val="-2"/>
          <w:sz w:val="24"/>
          <w:szCs w:val="24"/>
        </w:rPr>
        <w:t>成泥渣，由刮泥装置清除后运至园区渣场填埋，清水则上升至顶部通过环形三角溢流堰</w:t>
      </w:r>
      <w:r>
        <w:rPr>
          <w:rFonts w:ascii="宋体" w:hAnsi="宋体" w:eastAsia="宋体" w:cs="宋体"/>
          <w:spacing w:val="18"/>
          <w:sz w:val="24"/>
          <w:szCs w:val="24"/>
        </w:rPr>
        <w:t xml:space="preserve"> </w:t>
      </w:r>
      <w:r>
        <w:rPr>
          <w:rFonts w:ascii="宋体" w:hAnsi="宋体" w:eastAsia="宋体" w:cs="宋体"/>
          <w:spacing w:val="1"/>
          <w:sz w:val="24"/>
          <w:szCs w:val="24"/>
        </w:rPr>
        <w:t>自流至清水池。清水池顶设清水泵，将处理</w:t>
      </w:r>
      <w:r>
        <w:rPr>
          <w:rFonts w:ascii="宋体" w:hAnsi="宋体" w:eastAsia="宋体" w:cs="宋体"/>
          <w:sz w:val="24"/>
          <w:szCs w:val="24"/>
        </w:rPr>
        <w:t xml:space="preserve">后的废水作为铁合金浊循环水系统补充水， </w:t>
      </w:r>
      <w:r>
        <w:rPr>
          <w:rFonts w:ascii="宋体" w:hAnsi="宋体" w:eastAsia="宋体" w:cs="宋体"/>
          <w:spacing w:val="-3"/>
          <w:sz w:val="24"/>
          <w:szCs w:val="24"/>
        </w:rPr>
        <w:t>不外排。</w:t>
      </w:r>
    </w:p>
    <w:p w14:paraId="611314F6">
      <w:pPr>
        <w:spacing w:before="4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）煤气冷凝废水</w:t>
      </w:r>
    </w:p>
    <w:p w14:paraId="770EA386">
      <w:pPr>
        <w:spacing w:before="201" w:line="219" w:lineRule="auto"/>
        <w:ind w:left="489"/>
        <w:rPr>
          <w:rFonts w:ascii="宋体" w:hAnsi="宋体" w:eastAsia="宋体" w:cs="宋体"/>
          <w:sz w:val="24"/>
          <w:szCs w:val="24"/>
        </w:rPr>
      </w:pPr>
      <w:r>
        <w:rPr>
          <w:rFonts w:ascii="宋体" w:hAnsi="宋体" w:eastAsia="宋体" w:cs="宋体"/>
          <w:sz w:val="24"/>
          <w:szCs w:val="24"/>
        </w:rPr>
        <w:t>煤气冷凝废水隔油池处理后，作为制作矿热</w:t>
      </w:r>
      <w:r>
        <w:rPr>
          <w:rFonts w:ascii="宋体" w:hAnsi="宋体" w:eastAsia="宋体" w:cs="宋体"/>
          <w:spacing w:val="-1"/>
          <w:sz w:val="24"/>
          <w:szCs w:val="24"/>
        </w:rPr>
        <w:t>炉开堵眼机堵塞泥球用水。</w:t>
      </w:r>
    </w:p>
    <w:p w14:paraId="29477F57">
      <w:pPr>
        <w:spacing w:before="205" w:line="368" w:lineRule="auto"/>
        <w:ind w:left="7" w:right="80" w:firstLine="495"/>
        <w:rPr>
          <w:rFonts w:ascii="宋体" w:hAnsi="宋体" w:eastAsia="宋体" w:cs="宋体"/>
          <w:sz w:val="24"/>
          <w:szCs w:val="24"/>
        </w:rPr>
      </w:pPr>
      <w:r>
        <w:rPr>
          <w:rFonts w:ascii="宋体" w:hAnsi="宋体" w:eastAsia="宋体" w:cs="宋体"/>
          <w:spacing w:val="-2"/>
          <w:sz w:val="24"/>
          <w:szCs w:val="24"/>
        </w:rPr>
        <w:t>隔油池的构造多采用平流式，含油废水通过配水槽进入平面为矩形的隔油池，沿水</w:t>
      </w:r>
      <w:r>
        <w:rPr>
          <w:rFonts w:ascii="宋体" w:hAnsi="宋体" w:eastAsia="宋体" w:cs="宋体"/>
          <w:sz w:val="24"/>
          <w:szCs w:val="24"/>
        </w:rPr>
        <w:t xml:space="preserve"> </w:t>
      </w:r>
      <w:r>
        <w:rPr>
          <w:rFonts w:ascii="宋体" w:hAnsi="宋体" w:eastAsia="宋体" w:cs="宋体"/>
          <w:spacing w:val="-2"/>
          <w:sz w:val="24"/>
          <w:szCs w:val="24"/>
        </w:rPr>
        <w:t>平方向缓慢流动，在流动中油品上浮水面，由集油管或设置在池面的刮油机推送到集油</w:t>
      </w:r>
      <w:r>
        <w:rPr>
          <w:rFonts w:ascii="宋体" w:hAnsi="宋体" w:eastAsia="宋体" w:cs="宋体"/>
          <w:spacing w:val="18"/>
          <w:sz w:val="24"/>
          <w:szCs w:val="24"/>
        </w:rPr>
        <w:t xml:space="preserve"> </w:t>
      </w:r>
      <w:r>
        <w:rPr>
          <w:rFonts w:ascii="宋体" w:hAnsi="宋体" w:eastAsia="宋体" w:cs="宋体"/>
          <w:spacing w:val="-5"/>
          <w:sz w:val="24"/>
          <w:szCs w:val="24"/>
        </w:rPr>
        <w:t>管。</w:t>
      </w:r>
    </w:p>
    <w:p w14:paraId="14E1CE0C">
      <w:pPr>
        <w:spacing w:before="31" w:line="371" w:lineRule="auto"/>
        <w:ind w:left="7" w:right="18" w:firstLine="495"/>
        <w:jc w:val="both"/>
        <w:rPr>
          <w:rFonts w:ascii="宋体" w:hAnsi="宋体" w:eastAsia="宋体" w:cs="宋体"/>
          <w:sz w:val="24"/>
          <w:szCs w:val="24"/>
        </w:rPr>
      </w:pPr>
      <w:r>
        <w:rPr>
          <w:rFonts w:ascii="宋体" w:hAnsi="宋体" w:eastAsia="宋体" w:cs="宋体"/>
          <w:spacing w:val="-2"/>
          <w:sz w:val="24"/>
          <w:szCs w:val="24"/>
        </w:rPr>
        <w:t>隔油池采用钢筋混凝土筑造在矩形平面上，沿水流方向分为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 xml:space="preserve">2 </w:t>
      </w:r>
      <w:r>
        <w:rPr>
          <w:rFonts w:ascii="宋体" w:hAnsi="宋体" w:eastAsia="宋体" w:cs="宋体"/>
          <w:spacing w:val="-2"/>
          <w:sz w:val="24"/>
          <w:szCs w:val="24"/>
        </w:rPr>
        <w:t>格，每格宽</w:t>
      </w:r>
      <w:r>
        <w:rPr>
          <w:rFonts w:ascii="宋体" w:hAnsi="宋体" w:eastAsia="宋体" w:cs="宋体"/>
          <w:spacing w:val="-3"/>
          <w:sz w:val="24"/>
          <w:szCs w:val="24"/>
        </w:rPr>
        <w:t>度一般不</w:t>
      </w:r>
      <w:r>
        <w:rPr>
          <w:rFonts w:ascii="宋体" w:hAnsi="宋体" w:eastAsia="宋体" w:cs="宋体"/>
          <w:sz w:val="24"/>
          <w:szCs w:val="24"/>
        </w:rPr>
        <w:t xml:space="preserve"> </w:t>
      </w:r>
      <w:r>
        <w:rPr>
          <w:rFonts w:ascii="宋体" w:hAnsi="宋体" w:eastAsia="宋体" w:cs="宋体"/>
          <w:spacing w:val="-2"/>
          <w:sz w:val="24"/>
          <w:szCs w:val="24"/>
        </w:rPr>
        <w:t>超过</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6m</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，以便布水均匀。有效水深不超过</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2m</w:t>
      </w:r>
      <w:r>
        <w:rPr>
          <w:rFonts w:ascii="Times New Roman" w:hAnsi="Times New Roman" w:eastAsia="Times New Roman" w:cs="Times New Roman"/>
          <w:spacing w:val="-30"/>
          <w:sz w:val="24"/>
          <w:szCs w:val="24"/>
        </w:rPr>
        <w:t xml:space="preserve"> </w:t>
      </w:r>
      <w:r>
        <w:rPr>
          <w:rFonts w:ascii="宋体" w:hAnsi="宋体" w:eastAsia="宋体" w:cs="宋体"/>
          <w:spacing w:val="-2"/>
          <w:sz w:val="24"/>
          <w:szCs w:val="24"/>
        </w:rPr>
        <w:t>，隔油池的长</w:t>
      </w:r>
      <w:r>
        <w:rPr>
          <w:rFonts w:ascii="宋体" w:hAnsi="宋体" w:eastAsia="宋体" w:cs="宋体"/>
          <w:spacing w:val="-3"/>
          <w:sz w:val="24"/>
          <w:szCs w:val="24"/>
        </w:rPr>
        <w:t>度一般比每一格的宽度大</w:t>
      </w:r>
      <w:r>
        <w:rPr>
          <w:rFonts w:ascii="宋体" w:hAnsi="宋体" w:eastAsia="宋体" w:cs="宋体"/>
          <w:spacing w:val="-56"/>
          <w:sz w:val="24"/>
          <w:szCs w:val="24"/>
        </w:rPr>
        <w:t xml:space="preserve"> </w:t>
      </w:r>
      <w:r>
        <w:rPr>
          <w:rFonts w:ascii="Times New Roman" w:hAnsi="Times New Roman" w:eastAsia="Times New Roman" w:cs="Times New Roman"/>
          <w:spacing w:val="-3"/>
          <w:sz w:val="24"/>
          <w:szCs w:val="24"/>
        </w:rPr>
        <w:t>4</w:t>
      </w:r>
      <w:r>
        <w:rPr>
          <w:rFonts w:ascii="Times New Roman" w:hAnsi="Times New Roman" w:eastAsia="Times New Roman" w:cs="Times New Roman"/>
          <w:sz w:val="24"/>
          <w:szCs w:val="24"/>
        </w:rPr>
        <w:t xml:space="preserve">  </w:t>
      </w:r>
      <w:r>
        <w:rPr>
          <w:rFonts w:ascii="宋体" w:hAnsi="宋体" w:eastAsia="宋体" w:cs="宋体"/>
          <w:spacing w:val="-6"/>
          <w:sz w:val="24"/>
          <w:szCs w:val="24"/>
        </w:rPr>
        <w:t>倍以上。隔油池多用链带式的刮油机刮除浮油，一般每格安装一组刮油机。在寒冷地</w:t>
      </w:r>
      <w:r>
        <w:rPr>
          <w:rFonts w:ascii="宋体" w:hAnsi="宋体" w:eastAsia="宋体" w:cs="宋体"/>
          <w:spacing w:val="-7"/>
          <w:sz w:val="24"/>
          <w:szCs w:val="24"/>
        </w:rPr>
        <w:t>区，</w:t>
      </w:r>
      <w:r>
        <w:rPr>
          <w:rFonts w:ascii="宋体" w:hAnsi="宋体" w:eastAsia="宋体" w:cs="宋体"/>
          <w:sz w:val="24"/>
          <w:szCs w:val="24"/>
        </w:rPr>
        <w:t xml:space="preserve"> </w:t>
      </w:r>
      <w:r>
        <w:rPr>
          <w:rFonts w:ascii="宋体" w:hAnsi="宋体" w:eastAsia="宋体" w:cs="宋体"/>
          <w:spacing w:val="-2"/>
          <w:sz w:val="24"/>
          <w:szCs w:val="24"/>
        </w:rPr>
        <w:t>为防止冬季油品凝固，可在集油管底部设蒸汽管加热。隔油池一般都要加盖，并在盖板</w:t>
      </w:r>
      <w:r>
        <w:rPr>
          <w:rFonts w:ascii="宋体" w:hAnsi="宋体" w:eastAsia="宋体" w:cs="宋体"/>
          <w:spacing w:val="18"/>
          <w:sz w:val="24"/>
          <w:szCs w:val="24"/>
        </w:rPr>
        <w:t xml:space="preserve"> </w:t>
      </w:r>
      <w:r>
        <w:rPr>
          <w:rFonts w:ascii="宋体" w:hAnsi="宋体" w:eastAsia="宋体" w:cs="宋体"/>
          <w:spacing w:val="-2"/>
          <w:sz w:val="24"/>
          <w:szCs w:val="24"/>
        </w:rPr>
        <w:t>下设蒸汽管，以便保温，防止隔油池起火和油品挥发，并可防止灰沙进入。隔油效率可</w:t>
      </w:r>
    </w:p>
    <w:p w14:paraId="615F44C9">
      <w:pPr>
        <w:spacing w:line="371" w:lineRule="auto"/>
        <w:rPr>
          <w:rFonts w:ascii="宋体" w:hAnsi="宋体" w:eastAsia="宋体" w:cs="宋体"/>
          <w:sz w:val="24"/>
          <w:szCs w:val="24"/>
        </w:rPr>
        <w:sectPr>
          <w:footerReference r:id="rId457" w:type="default"/>
          <w:pgSz w:w="11906" w:h="16839"/>
          <w:pgMar w:top="1190" w:right="1337" w:bottom="1221" w:left="1417" w:header="882" w:footer="1059" w:gutter="0"/>
          <w:cols w:space="720" w:num="1"/>
        </w:sectPr>
      </w:pPr>
    </w:p>
    <w:p w14:paraId="0C555BD9">
      <w:pPr>
        <w:spacing w:line="28" w:lineRule="exact"/>
      </w:pPr>
      <w:r>
        <w:pict>
          <v:shape id="_x0000_s2044" o:spid="_x0000_s2044" style="height:1.45pt;width:453.65pt;" fillcolor="#000000" filled="t" stroked="f" coordsize="9072,29" path="m0,0l9072,0,9072,28,0,28,0,0xe">
            <v:path/>
            <v:fill on="t" focussize="0,0"/>
            <v:stroke on="f"/>
            <v:imagedata o:title=""/>
            <o:lock v:ext="edit"/>
            <w10:wrap type="none"/>
            <w10:anchorlock/>
          </v:shape>
        </w:pict>
      </w:r>
    </w:p>
    <w:p w14:paraId="3D86F5FB">
      <w:pPr>
        <w:pStyle w:val="2"/>
        <w:spacing w:line="242" w:lineRule="auto"/>
      </w:pPr>
    </w:p>
    <w:p w14:paraId="78898F9E">
      <w:pPr>
        <w:spacing w:before="78" w:line="227" w:lineRule="auto"/>
        <w:ind w:left="7"/>
        <w:rPr>
          <w:rFonts w:ascii="宋体" w:hAnsi="宋体" w:eastAsia="宋体" w:cs="宋体"/>
          <w:sz w:val="24"/>
          <w:szCs w:val="24"/>
        </w:rPr>
      </w:pPr>
      <w:r>
        <w:rPr>
          <w:rFonts w:ascii="宋体" w:hAnsi="宋体" w:eastAsia="宋体" w:cs="宋体"/>
          <w:spacing w:val="-3"/>
          <w:sz w:val="24"/>
          <w:szCs w:val="24"/>
        </w:rPr>
        <w:t>达</w:t>
      </w:r>
      <w:r>
        <w:rPr>
          <w:rFonts w:ascii="宋体" w:hAnsi="宋体" w:eastAsia="宋体" w:cs="宋体"/>
          <w:spacing w:val="-44"/>
          <w:sz w:val="24"/>
          <w:szCs w:val="24"/>
        </w:rPr>
        <w:t xml:space="preserve"> </w:t>
      </w:r>
      <w:r>
        <w:rPr>
          <w:rFonts w:ascii="Times New Roman" w:hAnsi="Times New Roman" w:eastAsia="Times New Roman" w:cs="Times New Roman"/>
          <w:spacing w:val="-3"/>
          <w:sz w:val="24"/>
          <w:szCs w:val="24"/>
        </w:rPr>
        <w:t>70%</w:t>
      </w:r>
      <w:r>
        <w:rPr>
          <w:rFonts w:ascii="宋体" w:hAnsi="宋体" w:eastAsia="宋体" w:cs="宋体"/>
          <w:spacing w:val="-3"/>
          <w:sz w:val="24"/>
          <w:szCs w:val="24"/>
        </w:rPr>
        <w:t>～</w:t>
      </w:r>
      <w:r>
        <w:rPr>
          <w:rFonts w:ascii="Times New Roman" w:hAnsi="Times New Roman" w:eastAsia="Times New Roman" w:cs="Times New Roman"/>
          <w:spacing w:val="-3"/>
          <w:sz w:val="24"/>
          <w:szCs w:val="24"/>
        </w:rPr>
        <w:t>80%</w:t>
      </w:r>
      <w:r>
        <w:rPr>
          <w:rFonts w:ascii="宋体" w:hAnsi="宋体" w:eastAsia="宋体" w:cs="宋体"/>
          <w:spacing w:val="-3"/>
          <w:sz w:val="24"/>
          <w:szCs w:val="24"/>
        </w:rPr>
        <w:t>。</w:t>
      </w:r>
    </w:p>
    <w:p w14:paraId="31A496F3">
      <w:pPr>
        <w:spacing w:before="19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）清净下水</w:t>
      </w:r>
    </w:p>
    <w:p w14:paraId="11C3B6D8">
      <w:pPr>
        <w:spacing w:before="202" w:line="363" w:lineRule="auto"/>
        <w:ind w:left="11" w:right="80" w:firstLine="478"/>
        <w:rPr>
          <w:rFonts w:ascii="宋体" w:hAnsi="宋体" w:eastAsia="宋体" w:cs="宋体"/>
          <w:sz w:val="24"/>
          <w:szCs w:val="24"/>
        </w:rPr>
      </w:pPr>
      <w:r>
        <w:rPr>
          <w:rFonts w:ascii="宋体" w:hAnsi="宋体" w:eastAsia="宋体" w:cs="宋体"/>
          <w:spacing w:val="-2"/>
          <w:sz w:val="24"/>
          <w:szCs w:val="24"/>
        </w:rPr>
        <w:t>化水车间排污、余热锅炉排污、辅机冷却循环水站排污、循环水系统排污及软水制</w:t>
      </w:r>
      <w:r>
        <w:rPr>
          <w:rFonts w:ascii="宋体" w:hAnsi="宋体" w:eastAsia="宋体" w:cs="宋体"/>
          <w:spacing w:val="12"/>
          <w:sz w:val="24"/>
          <w:szCs w:val="24"/>
        </w:rPr>
        <w:t xml:space="preserve"> </w:t>
      </w:r>
      <w:r>
        <w:rPr>
          <w:rFonts w:ascii="宋体" w:hAnsi="宋体" w:eastAsia="宋体" w:cs="宋体"/>
          <w:sz w:val="24"/>
          <w:szCs w:val="24"/>
        </w:rPr>
        <w:t>备排污均属于清净下水，主要污染物为盐分，全部作</w:t>
      </w:r>
      <w:r>
        <w:rPr>
          <w:rFonts w:ascii="宋体" w:hAnsi="宋体" w:eastAsia="宋体" w:cs="宋体"/>
          <w:spacing w:val="-1"/>
          <w:sz w:val="24"/>
          <w:szCs w:val="24"/>
        </w:rPr>
        <w:t>为浊循环系统补充水，不外排。</w:t>
      </w:r>
    </w:p>
    <w:p w14:paraId="34416A8D">
      <w:pPr>
        <w:spacing w:before="35" w:line="367" w:lineRule="auto"/>
        <w:ind w:left="8" w:right="80" w:firstLine="482"/>
        <w:rPr>
          <w:rFonts w:ascii="宋体" w:hAnsi="宋体" w:eastAsia="宋体" w:cs="宋体"/>
          <w:sz w:val="24"/>
          <w:szCs w:val="24"/>
        </w:rPr>
      </w:pPr>
      <w:r>
        <w:rPr>
          <w:rFonts w:ascii="宋体" w:hAnsi="宋体" w:eastAsia="宋体" w:cs="宋体"/>
          <w:spacing w:val="-2"/>
          <w:sz w:val="24"/>
          <w:szCs w:val="24"/>
        </w:rPr>
        <w:t>浊循环水系统对水质要求不高，浊循环水系统循环水冲渣水淬，使用抓斗机将水淬</w:t>
      </w:r>
      <w:r>
        <w:rPr>
          <w:rFonts w:ascii="宋体" w:hAnsi="宋体" w:eastAsia="宋体" w:cs="宋体"/>
          <w:spacing w:val="10"/>
          <w:sz w:val="24"/>
          <w:szCs w:val="24"/>
        </w:rPr>
        <w:t xml:space="preserve"> </w:t>
      </w:r>
      <w:r>
        <w:rPr>
          <w:rFonts w:ascii="宋体" w:hAnsi="宋体" w:eastAsia="宋体" w:cs="宋体"/>
          <w:spacing w:val="-2"/>
          <w:sz w:val="24"/>
          <w:szCs w:val="24"/>
        </w:rPr>
        <w:t>渣抓入贮渣池内，冲渣水进入沉淀池沉淀处理后，循环使用，无废水外排。上述废水的</w:t>
      </w:r>
      <w:r>
        <w:rPr>
          <w:rFonts w:ascii="宋体" w:hAnsi="宋体" w:eastAsia="宋体" w:cs="宋体"/>
          <w:spacing w:val="17"/>
          <w:sz w:val="24"/>
          <w:szCs w:val="24"/>
        </w:rPr>
        <w:t xml:space="preserve"> </w:t>
      </w:r>
      <w:r>
        <w:rPr>
          <w:rFonts w:ascii="宋体" w:hAnsi="宋体" w:eastAsia="宋体" w:cs="宋体"/>
          <w:spacing w:val="-1"/>
          <w:sz w:val="24"/>
          <w:szCs w:val="24"/>
        </w:rPr>
        <w:t>利用方式已在铁合金行业中广泛应用，措施可行。</w:t>
      </w:r>
    </w:p>
    <w:p w14:paraId="015CFFF5">
      <w:pPr>
        <w:spacing w:before="3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）化验室废水</w:t>
      </w:r>
    </w:p>
    <w:p w14:paraId="131725B2">
      <w:pPr>
        <w:spacing w:before="205" w:line="363" w:lineRule="auto"/>
        <w:ind w:left="8" w:firstLine="480"/>
        <w:rPr>
          <w:rFonts w:ascii="宋体" w:hAnsi="宋体" w:eastAsia="宋体" w:cs="宋体"/>
          <w:sz w:val="24"/>
          <w:szCs w:val="24"/>
        </w:rPr>
      </w:pPr>
      <w:r>
        <w:rPr>
          <w:rFonts w:ascii="宋体" w:hAnsi="宋体" w:eastAsia="宋体" w:cs="宋体"/>
          <w:spacing w:val="-2"/>
          <w:sz w:val="24"/>
          <w:szCs w:val="24"/>
        </w:rPr>
        <w:t>根据企业提供数据，本项目化验室以仪器分析为主，日常运行产生一定废水（不包</w:t>
      </w:r>
      <w:r>
        <w:rPr>
          <w:rFonts w:ascii="宋体" w:hAnsi="宋体" w:eastAsia="宋体" w:cs="宋体"/>
          <w:spacing w:val="13"/>
          <w:sz w:val="24"/>
          <w:szCs w:val="24"/>
        </w:rPr>
        <w:t xml:space="preserve"> </w:t>
      </w:r>
      <w:r>
        <w:rPr>
          <w:rFonts w:ascii="宋体" w:hAnsi="宋体" w:eastAsia="宋体" w:cs="宋体"/>
          <w:spacing w:val="-3"/>
          <w:sz w:val="24"/>
          <w:szCs w:val="24"/>
        </w:rPr>
        <w:t>含检验废液、含重金属清洗废水及高浓度清洗废水）主要污</w:t>
      </w:r>
      <w:r>
        <w:rPr>
          <w:rFonts w:ascii="宋体" w:hAnsi="宋体" w:eastAsia="宋体" w:cs="宋体"/>
          <w:spacing w:val="-4"/>
          <w:sz w:val="24"/>
          <w:szCs w:val="24"/>
        </w:rPr>
        <w:t>染物为</w:t>
      </w:r>
      <w:r>
        <w:rPr>
          <w:rFonts w:ascii="宋体" w:hAnsi="宋体" w:eastAsia="宋体" w:cs="宋体"/>
          <w:spacing w:val="-60"/>
          <w:sz w:val="24"/>
          <w:szCs w:val="24"/>
        </w:rPr>
        <w:t xml:space="preserve"> </w:t>
      </w:r>
      <w:r>
        <w:rPr>
          <w:rFonts w:ascii="Times New Roman" w:hAnsi="Times New Roman" w:eastAsia="Times New Roman" w:cs="Times New Roman"/>
          <w:spacing w:val="-4"/>
          <w:sz w:val="24"/>
          <w:szCs w:val="24"/>
        </w:rPr>
        <w:t>pH</w:t>
      </w:r>
      <w:r>
        <w:rPr>
          <w:rFonts w:ascii="Times New Roman" w:hAnsi="Times New Roman" w:eastAsia="Times New Roman" w:cs="Times New Roman"/>
          <w:spacing w:val="-35"/>
          <w:sz w:val="24"/>
          <w:szCs w:val="24"/>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COD</w:t>
      </w:r>
      <w:r>
        <w:rPr>
          <w:rFonts w:ascii="Times New Roman" w:hAnsi="Times New Roman" w:eastAsia="Times New Roman" w:cs="Times New Roman"/>
          <w:spacing w:val="-4"/>
          <w:position w:val="-1"/>
          <w:sz w:val="15"/>
          <w:szCs w:val="15"/>
        </w:rPr>
        <w:t>cr</w:t>
      </w:r>
      <w:r>
        <w:rPr>
          <w:rFonts w:ascii="Times New Roman" w:hAnsi="Times New Roman" w:eastAsia="Times New Roman" w:cs="Times New Roman"/>
          <w:spacing w:val="-13"/>
          <w:position w:val="-1"/>
          <w:sz w:val="15"/>
          <w:szCs w:val="15"/>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BOD</w:t>
      </w:r>
      <w:r>
        <w:rPr>
          <w:rFonts w:ascii="Times New Roman" w:hAnsi="Times New Roman" w:eastAsia="Times New Roman" w:cs="Times New Roman"/>
          <w:spacing w:val="-4"/>
          <w:position w:val="-1"/>
          <w:sz w:val="15"/>
          <w:szCs w:val="15"/>
        </w:rPr>
        <w:t>5</w:t>
      </w:r>
      <w:r>
        <w:rPr>
          <w:rFonts w:ascii="宋体" w:hAnsi="宋体" w:eastAsia="宋体" w:cs="宋体"/>
          <w:spacing w:val="-4"/>
          <w:sz w:val="24"/>
          <w:szCs w:val="24"/>
        </w:rPr>
        <w:t>、</w:t>
      </w:r>
      <w:r>
        <w:rPr>
          <w:rFonts w:ascii="宋体" w:hAnsi="宋体" w:eastAsia="宋体" w:cs="宋体"/>
          <w:sz w:val="24"/>
          <w:szCs w:val="24"/>
        </w:rPr>
        <w:t xml:space="preserve"> </w:t>
      </w:r>
      <w:r>
        <w:rPr>
          <w:rFonts w:ascii="Times New Roman" w:hAnsi="Times New Roman" w:eastAsia="Times New Roman" w:cs="Times New Roman"/>
          <w:spacing w:val="-2"/>
          <w:sz w:val="24"/>
          <w:szCs w:val="24"/>
        </w:rPr>
        <w:t>SS</w:t>
      </w:r>
      <w:r>
        <w:rPr>
          <w:rFonts w:ascii="Times New Roman" w:hAnsi="Times New Roman" w:eastAsia="Times New Roman" w:cs="Times New Roman"/>
          <w:spacing w:val="-31"/>
          <w:sz w:val="24"/>
          <w:szCs w:val="24"/>
        </w:rPr>
        <w:t xml:space="preserve"> </w:t>
      </w:r>
      <w:r>
        <w:rPr>
          <w:rFonts w:ascii="宋体" w:hAnsi="宋体" w:eastAsia="宋体" w:cs="宋体"/>
          <w:spacing w:val="-2"/>
          <w:sz w:val="24"/>
          <w:szCs w:val="24"/>
        </w:rPr>
        <w:t>，排入地埋式一体化污水处理设施处理。</w:t>
      </w:r>
    </w:p>
    <w:p w14:paraId="1F4AA2EA">
      <w:pPr>
        <w:spacing w:before="51" w:line="219" w:lineRule="auto"/>
        <w:ind w:left="490"/>
        <w:rPr>
          <w:rFonts w:ascii="宋体" w:hAnsi="宋体" w:eastAsia="宋体" w:cs="宋体"/>
          <w:sz w:val="24"/>
          <w:szCs w:val="24"/>
        </w:rPr>
      </w:pPr>
      <w:r>
        <w:rPr>
          <w:rFonts w:ascii="宋体" w:hAnsi="宋体" w:eastAsia="宋体" w:cs="宋体"/>
          <w:spacing w:val="-1"/>
          <w:sz w:val="24"/>
          <w:szCs w:val="24"/>
        </w:rPr>
        <w:t>上述废水的利用方式已在铁合金行业中广泛应用，措施可行。</w:t>
      </w:r>
    </w:p>
    <w:p w14:paraId="6DCD4B2E">
      <w:pPr>
        <w:spacing w:before="265" w:line="222" w:lineRule="auto"/>
        <w:ind w:left="11"/>
        <w:outlineLvl w:val="1"/>
        <w:rPr>
          <w:rFonts w:ascii="黑体" w:hAnsi="黑体" w:eastAsia="黑体" w:cs="黑体"/>
          <w:sz w:val="28"/>
          <w:szCs w:val="28"/>
        </w:rPr>
      </w:pPr>
      <w:bookmarkStart w:id="446" w:name="bookmark360"/>
      <w:bookmarkEnd w:id="446"/>
      <w:r>
        <w:rPr>
          <w:rFonts w:ascii="Times New Roman" w:hAnsi="Times New Roman" w:eastAsia="Times New Roman" w:cs="Times New Roman"/>
          <w:spacing w:val="-1"/>
          <w:sz w:val="28"/>
          <w:szCs w:val="28"/>
        </w:rPr>
        <w:t xml:space="preserve">6.2.2 </w:t>
      </w:r>
      <w:r>
        <w:rPr>
          <w:rFonts w:ascii="黑体" w:hAnsi="黑体" w:eastAsia="黑体" w:cs="黑体"/>
          <w:spacing w:val="-1"/>
          <w:sz w:val="28"/>
          <w:szCs w:val="28"/>
        </w:rPr>
        <w:t>生活污水处理措施</w:t>
      </w:r>
    </w:p>
    <w:p w14:paraId="07B9B231">
      <w:pPr>
        <w:spacing w:before="257" w:line="361" w:lineRule="auto"/>
        <w:ind w:left="10" w:right="80" w:firstLine="479"/>
        <w:rPr>
          <w:rFonts w:ascii="宋体" w:hAnsi="宋体" w:eastAsia="宋体" w:cs="宋体"/>
          <w:sz w:val="24"/>
          <w:szCs w:val="24"/>
        </w:rPr>
      </w:pPr>
      <w:r>
        <w:rPr>
          <w:rFonts w:ascii="宋体" w:hAnsi="宋体" w:eastAsia="宋体" w:cs="宋体"/>
          <w:spacing w:val="-2"/>
          <w:sz w:val="24"/>
          <w:szCs w:val="24"/>
        </w:rPr>
        <w:t>本项目生活污水（餐饮废水经隔油池预处理）进入地埋式一体化污水处理设施处理</w:t>
      </w:r>
      <w:r>
        <w:rPr>
          <w:rFonts w:ascii="宋体" w:hAnsi="宋体" w:eastAsia="宋体" w:cs="宋体"/>
          <w:spacing w:val="12"/>
          <w:sz w:val="24"/>
          <w:szCs w:val="24"/>
        </w:rPr>
        <w:t xml:space="preserve"> </w:t>
      </w:r>
      <w:r>
        <w:rPr>
          <w:rFonts w:ascii="宋体" w:hAnsi="宋体" w:eastAsia="宋体" w:cs="宋体"/>
          <w:spacing w:val="-1"/>
          <w:sz w:val="24"/>
          <w:szCs w:val="24"/>
        </w:rPr>
        <w:t>后由罐车运至苏尼特右旗赛汉塔拉镇污水处理厂进一步处理。</w:t>
      </w:r>
    </w:p>
    <w:p w14:paraId="73F0877B">
      <w:pPr>
        <w:spacing w:before="35" w:line="372" w:lineRule="auto"/>
        <w:ind w:left="9" w:right="18" w:firstLine="482"/>
        <w:rPr>
          <w:rFonts w:ascii="宋体" w:hAnsi="宋体" w:eastAsia="宋体" w:cs="宋体"/>
          <w:sz w:val="24"/>
          <w:szCs w:val="24"/>
        </w:rPr>
      </w:pPr>
      <w:r>
        <w:rPr>
          <w:rFonts w:ascii="宋体" w:hAnsi="宋体" w:eastAsia="宋体" w:cs="宋体"/>
          <w:spacing w:val="-7"/>
          <w:sz w:val="24"/>
          <w:szCs w:val="24"/>
        </w:rPr>
        <w:t>一体化污水处理设施的优点是：体积小，结构紧凑，调试简单，可埋设于地表以下，</w:t>
      </w:r>
      <w:r>
        <w:rPr>
          <w:rFonts w:ascii="宋体" w:hAnsi="宋体" w:eastAsia="宋体" w:cs="宋体"/>
          <w:spacing w:val="18"/>
          <w:sz w:val="24"/>
          <w:szCs w:val="24"/>
        </w:rPr>
        <w:t xml:space="preserve"> </w:t>
      </w:r>
      <w:r>
        <w:rPr>
          <w:rFonts w:ascii="宋体" w:hAnsi="宋体" w:eastAsia="宋体" w:cs="宋体"/>
          <w:spacing w:val="-2"/>
          <w:sz w:val="24"/>
          <w:szCs w:val="24"/>
        </w:rPr>
        <w:t>设备上面的地表可作为绿化或其他用地，不需要建房及采暖、保温；适合污水量产生不</w:t>
      </w:r>
      <w:r>
        <w:rPr>
          <w:rFonts w:ascii="宋体" w:hAnsi="宋体" w:eastAsia="宋体" w:cs="宋体"/>
          <w:spacing w:val="16"/>
          <w:sz w:val="24"/>
          <w:szCs w:val="24"/>
        </w:rPr>
        <w:t xml:space="preserve"> </w:t>
      </w:r>
      <w:r>
        <w:rPr>
          <w:rFonts w:ascii="宋体" w:hAnsi="宋体" w:eastAsia="宋体" w:cs="宋体"/>
          <w:spacing w:val="-3"/>
          <w:sz w:val="24"/>
          <w:szCs w:val="24"/>
        </w:rPr>
        <w:t>大于</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100t/d</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中小企业使用；生化池采用生物接触氧化法，其填料</w:t>
      </w:r>
      <w:r>
        <w:rPr>
          <w:rFonts w:ascii="宋体" w:hAnsi="宋体" w:eastAsia="宋体" w:cs="宋体"/>
          <w:spacing w:val="-4"/>
          <w:sz w:val="24"/>
          <w:szCs w:val="24"/>
        </w:rPr>
        <w:t>的体积负荷比较低，微</w:t>
      </w:r>
      <w:r>
        <w:rPr>
          <w:rFonts w:ascii="宋体" w:hAnsi="宋体" w:eastAsia="宋体" w:cs="宋体"/>
          <w:sz w:val="24"/>
          <w:szCs w:val="24"/>
        </w:rPr>
        <w:t xml:space="preserve"> </w:t>
      </w:r>
      <w:r>
        <w:rPr>
          <w:rFonts w:ascii="宋体" w:hAnsi="宋体" w:eastAsia="宋体" w:cs="宋体"/>
          <w:spacing w:val="-2"/>
          <w:sz w:val="24"/>
          <w:szCs w:val="24"/>
        </w:rPr>
        <w:t>生物处于自身氧化阶段，产泥量少，一般三个月才排一次泥（委托环卫部门用粪车抽吸</w:t>
      </w:r>
      <w:r>
        <w:rPr>
          <w:rFonts w:ascii="宋体" w:hAnsi="宋体" w:eastAsia="宋体" w:cs="宋体"/>
          <w:spacing w:val="16"/>
          <w:sz w:val="24"/>
          <w:szCs w:val="24"/>
        </w:rPr>
        <w:t xml:space="preserve"> </w:t>
      </w:r>
      <w:r>
        <w:rPr>
          <w:rFonts w:ascii="宋体" w:hAnsi="宋体" w:eastAsia="宋体" w:cs="宋体"/>
          <w:spacing w:val="-1"/>
          <w:sz w:val="24"/>
          <w:szCs w:val="24"/>
        </w:rPr>
        <w:t>外运</w:t>
      </w:r>
      <w:r>
        <w:rPr>
          <w:rFonts w:ascii="宋体" w:hAnsi="宋体" w:eastAsia="宋体" w:cs="宋体"/>
          <w:spacing w:val="-11"/>
          <w:sz w:val="24"/>
          <w:szCs w:val="24"/>
        </w:rPr>
        <w:t>）；</w:t>
      </w:r>
      <w:r>
        <w:rPr>
          <w:rFonts w:ascii="宋体" w:hAnsi="宋体" w:eastAsia="宋体" w:cs="宋体"/>
          <w:spacing w:val="-1"/>
          <w:sz w:val="24"/>
          <w:szCs w:val="24"/>
        </w:rPr>
        <w:t>整个设备处理系统配有全自动电气控制系统和设备故障报警系统，运行</w:t>
      </w:r>
      <w:r>
        <w:rPr>
          <w:rFonts w:ascii="宋体" w:hAnsi="宋体" w:eastAsia="宋体" w:cs="宋体"/>
          <w:spacing w:val="-2"/>
          <w:sz w:val="24"/>
          <w:szCs w:val="24"/>
        </w:rPr>
        <w:t>安全可</w:t>
      </w:r>
      <w:r>
        <w:rPr>
          <w:rFonts w:ascii="宋体" w:hAnsi="宋体" w:eastAsia="宋体" w:cs="宋体"/>
          <w:spacing w:val="1"/>
          <w:sz w:val="24"/>
          <w:szCs w:val="24"/>
        </w:rPr>
        <w:t xml:space="preserve"> </w:t>
      </w:r>
      <w:r>
        <w:rPr>
          <w:rFonts w:ascii="宋体" w:hAnsi="宋体" w:eastAsia="宋体" w:cs="宋体"/>
          <w:spacing w:val="-1"/>
          <w:sz w:val="24"/>
          <w:szCs w:val="24"/>
        </w:rPr>
        <w:t>靠，平时一般不需要专业管理，只需适时地对设备进行维护和保养。</w:t>
      </w:r>
    </w:p>
    <w:p w14:paraId="6BC17F3F">
      <w:pPr>
        <w:spacing w:before="54" w:line="2643" w:lineRule="exact"/>
        <w:ind w:firstLine="1476"/>
      </w:pPr>
      <w:r>
        <w:rPr>
          <w:position w:val="-52"/>
        </w:rPr>
        <w:drawing>
          <wp:inline distT="0" distB="0" distL="0" distR="0">
            <wp:extent cx="3885565" cy="1678305"/>
            <wp:effectExtent l="0" t="0" r="0" b="0"/>
            <wp:docPr id="232" name="IM 232"/>
            <wp:cNvGraphicFramePr/>
            <a:graphic xmlns:a="http://schemas.openxmlformats.org/drawingml/2006/main">
              <a:graphicData uri="http://schemas.openxmlformats.org/drawingml/2006/picture">
                <pic:pic xmlns:pic="http://schemas.openxmlformats.org/drawingml/2006/picture">
                  <pic:nvPicPr>
                    <pic:cNvPr id="232" name="IM 232"/>
                    <pic:cNvPicPr/>
                  </pic:nvPicPr>
                  <pic:blipFill>
                    <a:blip r:embed="rId686"/>
                    <a:stretch>
                      <a:fillRect/>
                    </a:stretch>
                  </pic:blipFill>
                  <pic:spPr>
                    <a:xfrm>
                      <a:off x="0" y="0"/>
                      <a:ext cx="3886108" cy="1678590"/>
                    </a:xfrm>
                    <a:prstGeom prst="rect">
                      <a:avLst/>
                    </a:prstGeom>
                  </pic:spPr>
                </pic:pic>
              </a:graphicData>
            </a:graphic>
          </wp:inline>
        </w:drawing>
      </w:r>
    </w:p>
    <w:p w14:paraId="11E0CEAA">
      <w:pPr>
        <w:spacing w:before="285" w:line="228" w:lineRule="auto"/>
        <w:ind w:left="2739"/>
        <w:rPr>
          <w:rFonts w:ascii="宋体" w:hAnsi="宋体" w:eastAsia="宋体" w:cs="宋体"/>
          <w:sz w:val="20"/>
          <w:szCs w:val="20"/>
        </w:rPr>
      </w:pPr>
      <w:r>
        <w:rPr>
          <w:rFonts w:ascii="宋体" w:hAnsi="宋体" w:eastAsia="宋体" w:cs="宋体"/>
          <w:b/>
          <w:bCs/>
          <w:spacing w:val="4"/>
          <w:sz w:val="20"/>
          <w:szCs w:val="20"/>
        </w:rPr>
        <w:t>图</w:t>
      </w:r>
      <w:r>
        <w:rPr>
          <w:rFonts w:ascii="宋体" w:hAnsi="宋体" w:eastAsia="宋体" w:cs="宋体"/>
          <w:spacing w:val="-32"/>
          <w:sz w:val="20"/>
          <w:szCs w:val="20"/>
        </w:rPr>
        <w:t xml:space="preserve"> </w:t>
      </w:r>
      <w:r>
        <w:rPr>
          <w:rFonts w:ascii="Times New Roman" w:hAnsi="Times New Roman" w:eastAsia="Times New Roman" w:cs="Times New Roman"/>
          <w:b/>
          <w:bCs/>
          <w:spacing w:val="4"/>
          <w:sz w:val="20"/>
          <w:szCs w:val="20"/>
        </w:rPr>
        <w:t xml:space="preserve">6.2-1        </w:t>
      </w:r>
      <w:r>
        <w:rPr>
          <w:rFonts w:ascii="宋体" w:hAnsi="宋体" w:eastAsia="宋体" w:cs="宋体"/>
          <w:b/>
          <w:bCs/>
          <w:spacing w:val="4"/>
          <w:sz w:val="20"/>
          <w:szCs w:val="20"/>
        </w:rPr>
        <w:t>一体化污水处理工艺流程图</w:t>
      </w:r>
    </w:p>
    <w:p w14:paraId="5DF7FEC9">
      <w:pPr>
        <w:spacing w:line="228" w:lineRule="auto"/>
        <w:rPr>
          <w:rFonts w:ascii="宋体" w:hAnsi="宋体" w:eastAsia="宋体" w:cs="宋体"/>
          <w:sz w:val="20"/>
          <w:szCs w:val="20"/>
        </w:rPr>
        <w:sectPr>
          <w:footerReference r:id="rId458" w:type="default"/>
          <w:pgSz w:w="11906" w:h="16839"/>
          <w:pgMar w:top="1190" w:right="1337" w:bottom="1221" w:left="1417" w:header="882" w:footer="1059" w:gutter="0"/>
          <w:cols w:space="720" w:num="1"/>
        </w:sectPr>
      </w:pPr>
    </w:p>
    <w:p w14:paraId="30EE5F31">
      <w:pPr>
        <w:spacing w:line="28" w:lineRule="exact"/>
      </w:pPr>
      <w:r>
        <w:pict>
          <v:shape id="_x0000_s2046" o:spid="_x0000_s2046" style="height:1.45pt;width:453.65pt;" fillcolor="#000000" filled="t" stroked="f" coordsize="9072,29" path="m0,0l9072,0,9072,28,0,28,0,0xe">
            <v:path/>
            <v:fill on="t" focussize="0,0"/>
            <v:stroke on="f"/>
            <v:imagedata o:title=""/>
            <o:lock v:ext="edit"/>
            <w10:wrap type="none"/>
            <w10:anchorlock/>
          </v:shape>
        </w:pict>
      </w:r>
    </w:p>
    <w:p w14:paraId="3714FCE2">
      <w:pPr>
        <w:pStyle w:val="2"/>
        <w:spacing w:line="247" w:lineRule="auto"/>
      </w:pPr>
    </w:p>
    <w:p w14:paraId="5F5E03EE">
      <w:pPr>
        <w:spacing w:before="78" w:line="374" w:lineRule="auto"/>
        <w:ind w:left="6" w:right="97" w:firstLine="480"/>
        <w:jc w:val="both"/>
        <w:rPr>
          <w:rFonts w:ascii="宋体" w:hAnsi="宋体" w:eastAsia="宋体" w:cs="宋体"/>
          <w:sz w:val="24"/>
          <w:szCs w:val="24"/>
        </w:rPr>
      </w:pPr>
      <w:r>
        <w:rPr>
          <w:rFonts w:ascii="宋体" w:hAnsi="宋体" w:eastAsia="宋体" w:cs="宋体"/>
          <w:spacing w:val="-1"/>
          <w:sz w:val="24"/>
          <w:szCs w:val="24"/>
        </w:rPr>
        <w:t>废水通过格栅栏污进入调节池，设置调节池的目的</w:t>
      </w:r>
      <w:r>
        <w:rPr>
          <w:rFonts w:ascii="宋体" w:hAnsi="宋体" w:eastAsia="宋体" w:cs="宋体"/>
          <w:spacing w:val="-2"/>
          <w:sz w:val="24"/>
          <w:szCs w:val="24"/>
        </w:rPr>
        <w:t>主要是调节污水的水量和水质。</w:t>
      </w:r>
      <w:r>
        <w:rPr>
          <w:rFonts w:ascii="宋体" w:hAnsi="宋体" w:eastAsia="宋体" w:cs="宋体"/>
          <w:sz w:val="24"/>
          <w:szCs w:val="24"/>
        </w:rPr>
        <w:t xml:space="preserve"> </w:t>
      </w:r>
      <w:r>
        <w:rPr>
          <w:rFonts w:ascii="宋体" w:hAnsi="宋体" w:eastAsia="宋体" w:cs="宋体"/>
          <w:spacing w:val="-1"/>
          <w:sz w:val="24"/>
          <w:szCs w:val="24"/>
        </w:rPr>
        <w:t>调节池内污水采用污水提升泵提升至缺氧生</w:t>
      </w:r>
      <w:r>
        <w:rPr>
          <w:rFonts w:ascii="宋体" w:hAnsi="宋体" w:eastAsia="宋体" w:cs="宋体"/>
          <w:spacing w:val="-2"/>
          <w:sz w:val="24"/>
          <w:szCs w:val="24"/>
        </w:rPr>
        <w:t>化池，进行生化处理。在池内，由于污水中</w:t>
      </w:r>
      <w:r>
        <w:rPr>
          <w:rFonts w:ascii="宋体" w:hAnsi="宋体" w:eastAsia="宋体" w:cs="宋体"/>
          <w:sz w:val="24"/>
          <w:szCs w:val="24"/>
        </w:rPr>
        <w:t xml:space="preserve"> </w:t>
      </w:r>
      <w:r>
        <w:rPr>
          <w:rFonts w:ascii="宋体" w:hAnsi="宋体" w:eastAsia="宋体" w:cs="宋体"/>
          <w:spacing w:val="-1"/>
          <w:sz w:val="24"/>
          <w:szCs w:val="24"/>
        </w:rPr>
        <w:t>有机物浓度较高，微生物处于缺氧状态，此</w:t>
      </w:r>
      <w:r>
        <w:rPr>
          <w:rFonts w:ascii="宋体" w:hAnsi="宋体" w:eastAsia="宋体" w:cs="宋体"/>
          <w:spacing w:val="-2"/>
          <w:sz w:val="24"/>
          <w:szCs w:val="24"/>
        </w:rPr>
        <w:t>时微生物为兼性微生物，它们将污水中有机</w:t>
      </w:r>
      <w:r>
        <w:rPr>
          <w:rFonts w:ascii="宋体" w:hAnsi="宋体" w:eastAsia="宋体" w:cs="宋体"/>
          <w:sz w:val="24"/>
          <w:szCs w:val="24"/>
        </w:rPr>
        <w:t xml:space="preserve"> </w:t>
      </w:r>
      <w:r>
        <w:rPr>
          <w:rFonts w:ascii="宋体" w:hAnsi="宋体" w:eastAsia="宋体" w:cs="宋体"/>
          <w:spacing w:val="1"/>
          <w:sz w:val="24"/>
          <w:szCs w:val="24"/>
        </w:rPr>
        <w:t>氮转化为氨氮，同时利用有机碳源作为电子供体，将</w:t>
      </w:r>
      <w:r>
        <w:rPr>
          <w:rFonts w:ascii="宋体" w:hAnsi="宋体" w:eastAsia="宋体" w:cs="宋体"/>
          <w:spacing w:val="-60"/>
          <w:sz w:val="24"/>
          <w:szCs w:val="24"/>
        </w:rPr>
        <w:t xml:space="preserve"> </w:t>
      </w:r>
      <w:r>
        <w:rPr>
          <w:rFonts w:ascii="Times New Roman" w:hAnsi="Times New Roman" w:eastAsia="Times New Roman" w:cs="Times New Roman"/>
          <w:sz w:val="24"/>
          <w:szCs w:val="24"/>
        </w:rPr>
        <w:t>NO</w:t>
      </w:r>
      <w:r>
        <w:rPr>
          <w:rFonts w:ascii="Times New Roman" w:hAnsi="Times New Roman" w:eastAsia="Times New Roman" w:cs="Times New Roman"/>
          <w:spacing w:val="1"/>
          <w:sz w:val="15"/>
          <w:szCs w:val="15"/>
        </w:rPr>
        <w:t>2</w:t>
      </w:r>
      <w:r>
        <w:rPr>
          <w:rFonts w:ascii="Times New Roman" w:hAnsi="Times New Roman" w:eastAsia="Times New Roman" w:cs="Times New Roman"/>
          <w:spacing w:val="1"/>
          <w:sz w:val="24"/>
          <w:szCs w:val="24"/>
        </w:rPr>
        <w:t>-</w:t>
      </w:r>
      <w:r>
        <w:rPr>
          <w:rFonts w:ascii="Times New Roman" w:hAnsi="Times New Roman" w:eastAsia="Times New Roman" w:cs="Times New Roman"/>
          <w:sz w:val="24"/>
          <w:szCs w:val="24"/>
        </w:rPr>
        <w:t>N</w:t>
      </w:r>
      <w:r>
        <w:rPr>
          <w:rFonts w:ascii="Times New Roman" w:hAnsi="Times New Roman" w:eastAsia="Times New Roman" w:cs="Times New Roman"/>
          <w:spacing w:val="-30"/>
          <w:sz w:val="24"/>
          <w:szCs w:val="24"/>
        </w:rPr>
        <w:t xml:space="preserve"> </w:t>
      </w:r>
      <w:r>
        <w:rPr>
          <w:rFonts w:ascii="宋体" w:hAnsi="宋体" w:eastAsia="宋体" w:cs="宋体"/>
          <w:sz w:val="24"/>
          <w:szCs w:val="24"/>
        </w:rPr>
        <w:t>、</w:t>
      </w:r>
      <w:r>
        <w:rPr>
          <w:rFonts w:ascii="Times New Roman" w:hAnsi="Times New Roman" w:eastAsia="Times New Roman" w:cs="Times New Roman"/>
          <w:sz w:val="24"/>
          <w:szCs w:val="24"/>
        </w:rPr>
        <w:t>NO</w:t>
      </w:r>
      <w:r>
        <w:rPr>
          <w:rFonts w:ascii="Times New Roman" w:hAnsi="Times New Roman" w:eastAsia="Times New Roman" w:cs="Times New Roman"/>
          <w:sz w:val="15"/>
          <w:szCs w:val="15"/>
        </w:rPr>
        <w:t>3</w:t>
      </w:r>
      <w:r>
        <w:rPr>
          <w:rFonts w:ascii="Times New Roman" w:hAnsi="Times New Roman" w:eastAsia="Times New Roman" w:cs="Times New Roman"/>
          <w:sz w:val="24"/>
          <w:szCs w:val="24"/>
        </w:rPr>
        <w:t xml:space="preserve">-N </w:t>
      </w:r>
      <w:r>
        <w:rPr>
          <w:rFonts w:ascii="宋体" w:hAnsi="宋体" w:eastAsia="宋体" w:cs="宋体"/>
          <w:sz w:val="24"/>
          <w:szCs w:val="24"/>
        </w:rPr>
        <w:t>转化为</w:t>
      </w:r>
      <w:r>
        <w:rPr>
          <w:rFonts w:ascii="宋体" w:hAnsi="宋体" w:eastAsia="宋体" w:cs="宋体"/>
          <w:spacing w:val="-60"/>
          <w:sz w:val="24"/>
          <w:szCs w:val="24"/>
        </w:rPr>
        <w:t xml:space="preserve"> </w:t>
      </w:r>
      <w:r>
        <w:rPr>
          <w:rFonts w:ascii="Times New Roman" w:hAnsi="Times New Roman" w:eastAsia="Times New Roman" w:cs="Times New Roman"/>
          <w:sz w:val="24"/>
          <w:szCs w:val="24"/>
        </w:rPr>
        <w:t>N</w:t>
      </w:r>
      <w:r>
        <w:rPr>
          <w:rFonts w:ascii="Times New Roman" w:hAnsi="Times New Roman" w:eastAsia="Times New Roman" w:cs="Times New Roman"/>
          <w:position w:val="-1"/>
          <w:sz w:val="15"/>
          <w:szCs w:val="15"/>
        </w:rPr>
        <w:t>2</w:t>
      </w:r>
      <w:r>
        <w:rPr>
          <w:rFonts w:ascii="Times New Roman" w:hAnsi="Times New Roman" w:eastAsia="Times New Roman" w:cs="Times New Roman"/>
          <w:spacing w:val="-8"/>
          <w:position w:val="-1"/>
          <w:sz w:val="15"/>
          <w:szCs w:val="15"/>
        </w:rPr>
        <w:t xml:space="preserve"> </w:t>
      </w:r>
      <w:r>
        <w:rPr>
          <w:rFonts w:ascii="宋体" w:hAnsi="宋体" w:eastAsia="宋体" w:cs="宋体"/>
          <w:sz w:val="24"/>
          <w:szCs w:val="24"/>
        </w:rPr>
        <w:t xml:space="preserve">，而且 </w:t>
      </w:r>
      <w:r>
        <w:rPr>
          <w:rFonts w:ascii="宋体" w:hAnsi="宋体" w:eastAsia="宋体" w:cs="宋体"/>
          <w:spacing w:val="-1"/>
          <w:sz w:val="24"/>
          <w:szCs w:val="24"/>
        </w:rPr>
        <w:t>还利用部分有机碳源和氨氮合成新的细胞物</w:t>
      </w:r>
      <w:r>
        <w:rPr>
          <w:rFonts w:ascii="宋体" w:hAnsi="宋体" w:eastAsia="宋体" w:cs="宋体"/>
          <w:spacing w:val="-2"/>
          <w:sz w:val="24"/>
          <w:szCs w:val="24"/>
        </w:rPr>
        <w:t>质。所以缺氧池不仅具有一定的有机物去除</w:t>
      </w:r>
      <w:r>
        <w:rPr>
          <w:rFonts w:ascii="宋体" w:hAnsi="宋体" w:eastAsia="宋体" w:cs="宋体"/>
          <w:sz w:val="24"/>
          <w:szCs w:val="24"/>
        </w:rPr>
        <w:t xml:space="preserve"> </w:t>
      </w:r>
      <w:r>
        <w:rPr>
          <w:rFonts w:ascii="宋体" w:hAnsi="宋体" w:eastAsia="宋体" w:cs="宋体"/>
          <w:spacing w:val="-1"/>
          <w:sz w:val="24"/>
          <w:szCs w:val="24"/>
        </w:rPr>
        <w:t>功能，减轻后续生化处理的有机负荷，以利</w:t>
      </w:r>
      <w:r>
        <w:rPr>
          <w:rFonts w:ascii="宋体" w:hAnsi="宋体" w:eastAsia="宋体" w:cs="宋体"/>
          <w:spacing w:val="-2"/>
          <w:sz w:val="24"/>
          <w:szCs w:val="24"/>
        </w:rPr>
        <w:t>于硝化作用进行，而且依靠污水中的高浓度</w:t>
      </w:r>
      <w:r>
        <w:rPr>
          <w:rFonts w:ascii="宋体" w:hAnsi="宋体" w:eastAsia="宋体" w:cs="宋体"/>
          <w:sz w:val="24"/>
          <w:szCs w:val="24"/>
        </w:rPr>
        <w:t xml:space="preserve"> </w:t>
      </w:r>
      <w:r>
        <w:rPr>
          <w:rFonts w:ascii="宋体" w:hAnsi="宋体" w:eastAsia="宋体" w:cs="宋体"/>
          <w:spacing w:val="-1"/>
          <w:sz w:val="24"/>
          <w:szCs w:val="24"/>
        </w:rPr>
        <w:t>有机物，完成反硝化作用，最终消除氮的富</w:t>
      </w:r>
      <w:r>
        <w:rPr>
          <w:rFonts w:ascii="宋体" w:hAnsi="宋体" w:eastAsia="宋体" w:cs="宋体"/>
          <w:spacing w:val="-2"/>
          <w:sz w:val="24"/>
          <w:szCs w:val="24"/>
        </w:rPr>
        <w:t>营养化污染。缺氧池后的污水中仍有一定量</w:t>
      </w:r>
      <w:r>
        <w:rPr>
          <w:rFonts w:ascii="宋体" w:hAnsi="宋体" w:eastAsia="宋体" w:cs="宋体"/>
          <w:sz w:val="24"/>
          <w:szCs w:val="24"/>
        </w:rPr>
        <w:t xml:space="preserve"> </w:t>
      </w:r>
      <w:r>
        <w:rPr>
          <w:rFonts w:ascii="宋体" w:hAnsi="宋体" w:eastAsia="宋体" w:cs="宋体"/>
          <w:spacing w:val="-1"/>
          <w:sz w:val="24"/>
          <w:szCs w:val="24"/>
        </w:rPr>
        <w:t>的有机物和较高的氨氮存在，进入好氧池进</w:t>
      </w:r>
      <w:r>
        <w:rPr>
          <w:rFonts w:ascii="宋体" w:hAnsi="宋体" w:eastAsia="宋体" w:cs="宋体"/>
          <w:spacing w:val="-2"/>
          <w:sz w:val="24"/>
          <w:szCs w:val="24"/>
        </w:rPr>
        <w:t>一步生化处理。该池出水一部分进入沉淀池</w:t>
      </w:r>
      <w:r>
        <w:rPr>
          <w:rFonts w:ascii="宋体" w:hAnsi="宋体" w:eastAsia="宋体" w:cs="宋体"/>
          <w:sz w:val="24"/>
          <w:szCs w:val="24"/>
        </w:rPr>
        <w:t xml:space="preserve"> </w:t>
      </w:r>
      <w:r>
        <w:rPr>
          <w:rFonts w:ascii="宋体" w:hAnsi="宋体" w:eastAsia="宋体" w:cs="宋体"/>
          <w:spacing w:val="-1"/>
          <w:sz w:val="24"/>
          <w:szCs w:val="24"/>
        </w:rPr>
        <w:t>进行沉淀，另一部分回流至缺氧池进行内循</w:t>
      </w:r>
      <w:r>
        <w:rPr>
          <w:rFonts w:ascii="宋体" w:hAnsi="宋体" w:eastAsia="宋体" w:cs="宋体"/>
          <w:spacing w:val="-2"/>
          <w:sz w:val="24"/>
          <w:szCs w:val="24"/>
        </w:rPr>
        <w:t>环，以达到反硝化的目的。在两级生化池中</w:t>
      </w:r>
      <w:r>
        <w:rPr>
          <w:rFonts w:ascii="宋体" w:hAnsi="宋体" w:eastAsia="宋体" w:cs="宋体"/>
          <w:sz w:val="24"/>
          <w:szCs w:val="24"/>
        </w:rPr>
        <w:t xml:space="preserve"> </w:t>
      </w:r>
      <w:r>
        <w:rPr>
          <w:rFonts w:ascii="宋体" w:hAnsi="宋体" w:eastAsia="宋体" w:cs="宋体"/>
          <w:spacing w:val="-1"/>
          <w:sz w:val="24"/>
          <w:szCs w:val="24"/>
        </w:rPr>
        <w:t>均安装有填料，整个生化处理过程依赖于附</w:t>
      </w:r>
      <w:r>
        <w:rPr>
          <w:rFonts w:ascii="宋体" w:hAnsi="宋体" w:eastAsia="宋体" w:cs="宋体"/>
          <w:spacing w:val="-2"/>
          <w:sz w:val="24"/>
          <w:szCs w:val="24"/>
        </w:rPr>
        <w:t>着在填料上的多种微生物来完成的。好氧生</w:t>
      </w:r>
      <w:r>
        <w:rPr>
          <w:rFonts w:ascii="宋体" w:hAnsi="宋体" w:eastAsia="宋体" w:cs="宋体"/>
          <w:sz w:val="24"/>
          <w:szCs w:val="24"/>
        </w:rPr>
        <w:t xml:space="preserve"> </w:t>
      </w:r>
      <w:r>
        <w:rPr>
          <w:rFonts w:ascii="宋体" w:hAnsi="宋体" w:eastAsia="宋体" w:cs="宋体"/>
          <w:spacing w:val="-1"/>
          <w:sz w:val="24"/>
          <w:szCs w:val="24"/>
        </w:rPr>
        <w:t>化处理后废水一部分流入竖流式沉淀池，进</w:t>
      </w:r>
      <w:r>
        <w:rPr>
          <w:rFonts w:ascii="宋体" w:hAnsi="宋体" w:eastAsia="宋体" w:cs="宋体"/>
          <w:spacing w:val="-2"/>
          <w:sz w:val="24"/>
          <w:szCs w:val="24"/>
        </w:rPr>
        <w:t>行固液分离，一部分回流；沉淀池固液分离</w:t>
      </w:r>
      <w:r>
        <w:rPr>
          <w:rFonts w:ascii="宋体" w:hAnsi="宋体" w:eastAsia="宋体" w:cs="宋体"/>
          <w:sz w:val="24"/>
          <w:szCs w:val="24"/>
        </w:rPr>
        <w:t xml:space="preserve"> </w:t>
      </w:r>
      <w:r>
        <w:rPr>
          <w:rFonts w:ascii="宋体" w:hAnsi="宋体" w:eastAsia="宋体" w:cs="宋体"/>
          <w:spacing w:val="-1"/>
          <w:sz w:val="24"/>
          <w:szCs w:val="24"/>
        </w:rPr>
        <w:t>后的出水进入消毒出水池，经消毒后即可直</w:t>
      </w:r>
      <w:r>
        <w:rPr>
          <w:rFonts w:ascii="宋体" w:hAnsi="宋体" w:eastAsia="宋体" w:cs="宋体"/>
          <w:spacing w:val="-2"/>
          <w:sz w:val="24"/>
          <w:szCs w:val="24"/>
        </w:rPr>
        <w:t>接排放。沉淀池沉淀下来的污泥由气提装置</w:t>
      </w:r>
      <w:r>
        <w:rPr>
          <w:rFonts w:ascii="宋体" w:hAnsi="宋体" w:eastAsia="宋体" w:cs="宋体"/>
          <w:sz w:val="24"/>
          <w:szCs w:val="24"/>
        </w:rPr>
        <w:t xml:space="preserve"> </w:t>
      </w:r>
      <w:r>
        <w:rPr>
          <w:rFonts w:ascii="宋体" w:hAnsi="宋体" w:eastAsia="宋体" w:cs="宋体"/>
          <w:spacing w:val="-1"/>
          <w:sz w:val="24"/>
          <w:szCs w:val="24"/>
        </w:rPr>
        <w:t>提升至污泥浓缩池；污泥浓缩池内浓缩后的</w:t>
      </w:r>
      <w:r>
        <w:rPr>
          <w:rFonts w:ascii="宋体" w:hAnsi="宋体" w:eastAsia="宋体" w:cs="宋体"/>
          <w:spacing w:val="-2"/>
          <w:sz w:val="24"/>
          <w:szCs w:val="24"/>
        </w:rPr>
        <w:t>污泥委托环卫部门采用吸粪车定期外运作农</w:t>
      </w:r>
      <w:r>
        <w:rPr>
          <w:rFonts w:ascii="宋体" w:hAnsi="宋体" w:eastAsia="宋体" w:cs="宋体"/>
          <w:sz w:val="24"/>
          <w:szCs w:val="24"/>
        </w:rPr>
        <w:t xml:space="preserve"> </w:t>
      </w:r>
      <w:r>
        <w:rPr>
          <w:rFonts w:ascii="宋体" w:hAnsi="宋体" w:eastAsia="宋体" w:cs="宋体"/>
          <w:spacing w:val="-2"/>
          <w:sz w:val="24"/>
          <w:szCs w:val="24"/>
        </w:rPr>
        <w:t>肥处理。</w:t>
      </w:r>
    </w:p>
    <w:p w14:paraId="1792F60A">
      <w:pPr>
        <w:spacing w:before="34" w:line="219" w:lineRule="auto"/>
        <w:ind w:left="488"/>
        <w:rPr>
          <w:rFonts w:ascii="宋体" w:hAnsi="宋体" w:eastAsia="宋体" w:cs="宋体"/>
          <w:sz w:val="24"/>
          <w:szCs w:val="24"/>
        </w:rPr>
      </w:pPr>
      <w:r>
        <w:rPr>
          <w:rFonts w:ascii="宋体" w:hAnsi="宋体" w:eastAsia="宋体" w:cs="宋体"/>
          <w:spacing w:val="-1"/>
          <w:sz w:val="24"/>
          <w:szCs w:val="24"/>
        </w:rPr>
        <w:t>地埋式一体化污水处理装置设计规模</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3.0m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sz w:val="24"/>
          <w:szCs w:val="24"/>
        </w:rPr>
        <w:t>/h</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w:t>
      </w:r>
      <w:r>
        <w:rPr>
          <w:rFonts w:ascii="宋体" w:hAnsi="宋体" w:eastAsia="宋体" w:cs="宋体"/>
          <w:spacing w:val="-2"/>
          <w:sz w:val="24"/>
          <w:szCs w:val="24"/>
        </w:rPr>
        <w:t>处理效率及达标分析见表</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6.2-1</w:t>
      </w:r>
      <w:r>
        <w:rPr>
          <w:rFonts w:ascii="宋体" w:hAnsi="宋体" w:eastAsia="宋体" w:cs="宋体"/>
          <w:spacing w:val="-2"/>
          <w:sz w:val="24"/>
          <w:szCs w:val="24"/>
        </w:rPr>
        <w:t>。</w:t>
      </w:r>
    </w:p>
    <w:p w14:paraId="3A5AC310">
      <w:pPr>
        <w:spacing w:before="221" w:line="221" w:lineRule="auto"/>
        <w:ind w:left="1635"/>
        <w:rPr>
          <w:rFonts w:ascii="Times New Roman" w:hAnsi="Times New Roman" w:eastAsia="Times New Roman" w:cs="Times New Roman"/>
          <w:sz w:val="20"/>
          <w:szCs w:val="20"/>
        </w:rPr>
      </w:pPr>
      <w:r>
        <w:rPr>
          <w:rFonts w:ascii="宋体" w:hAnsi="宋体" w:eastAsia="宋体" w:cs="宋体"/>
          <w:b/>
          <w:bCs/>
          <w:spacing w:val="6"/>
          <w:sz w:val="20"/>
          <w:szCs w:val="20"/>
        </w:rPr>
        <w:t>表</w:t>
      </w:r>
      <w:r>
        <w:rPr>
          <w:rFonts w:ascii="宋体" w:hAnsi="宋体" w:eastAsia="宋体" w:cs="宋体"/>
          <w:spacing w:val="-38"/>
          <w:sz w:val="20"/>
          <w:szCs w:val="20"/>
        </w:rPr>
        <w:t xml:space="preserve"> </w:t>
      </w:r>
      <w:r>
        <w:rPr>
          <w:rFonts w:ascii="Times New Roman" w:hAnsi="Times New Roman" w:eastAsia="Times New Roman" w:cs="Times New Roman"/>
          <w:b/>
          <w:bCs/>
          <w:spacing w:val="6"/>
          <w:sz w:val="20"/>
          <w:szCs w:val="20"/>
        </w:rPr>
        <w:t xml:space="preserve">6.2-1        </w:t>
      </w:r>
      <w:r>
        <w:rPr>
          <w:rFonts w:ascii="宋体" w:hAnsi="宋体" w:eastAsia="宋体" w:cs="宋体"/>
          <w:b/>
          <w:bCs/>
          <w:spacing w:val="6"/>
          <w:sz w:val="20"/>
          <w:szCs w:val="20"/>
        </w:rPr>
        <w:t>厂区总排放口达标排放分析一览表</w:t>
      </w:r>
      <w:r>
        <w:rPr>
          <w:rFonts w:ascii="宋体" w:hAnsi="宋体" w:eastAsia="宋体" w:cs="宋体"/>
          <w:spacing w:val="6"/>
          <w:sz w:val="20"/>
          <w:szCs w:val="20"/>
        </w:rPr>
        <w:t xml:space="preserve">    </w:t>
      </w:r>
      <w:r>
        <w:rPr>
          <w:rFonts w:ascii="宋体" w:hAnsi="宋体" w:eastAsia="宋体" w:cs="宋体"/>
          <w:b/>
          <w:bCs/>
          <w:spacing w:val="6"/>
          <w:sz w:val="20"/>
          <w:szCs w:val="20"/>
        </w:rPr>
        <w:t>单位：</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6"/>
          <w:sz w:val="20"/>
          <w:szCs w:val="20"/>
        </w:rPr>
        <w:t>/L</w:t>
      </w:r>
    </w:p>
    <w:p w14:paraId="46C4A0DF">
      <w:pPr>
        <w:spacing w:line="19" w:lineRule="exact"/>
      </w:pPr>
    </w:p>
    <w:tbl>
      <w:tblPr>
        <w:tblStyle w:val="5"/>
        <w:tblW w:w="906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71"/>
        <w:gridCol w:w="1525"/>
        <w:gridCol w:w="1375"/>
        <w:gridCol w:w="1026"/>
        <w:gridCol w:w="982"/>
        <w:gridCol w:w="1014"/>
        <w:gridCol w:w="874"/>
      </w:tblGrid>
      <w:tr w14:paraId="5E67C4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2" w:hRule="atLeast"/>
        </w:trPr>
        <w:tc>
          <w:tcPr>
            <w:tcW w:w="3796" w:type="dxa"/>
            <w:gridSpan w:val="2"/>
            <w:tcBorders>
              <w:top w:val="single" w:color="000000" w:sz="10" w:space="0"/>
              <w:left w:val="nil"/>
            </w:tcBorders>
            <w:vAlign w:val="top"/>
          </w:tcPr>
          <w:p w14:paraId="6F6B2F90">
            <w:pPr>
              <w:pStyle w:val="6"/>
              <w:spacing w:before="64" w:line="228" w:lineRule="auto"/>
              <w:ind w:left="1484"/>
              <w:rPr>
                <w:sz w:val="20"/>
                <w:szCs w:val="20"/>
              </w:rPr>
            </w:pPr>
            <w:r>
              <w:rPr>
                <w:spacing w:val="6"/>
                <w:sz w:val="20"/>
                <w:szCs w:val="20"/>
              </w:rPr>
              <w:t>主要指标</w:t>
            </w:r>
          </w:p>
        </w:tc>
        <w:tc>
          <w:tcPr>
            <w:tcW w:w="1375" w:type="dxa"/>
            <w:tcBorders>
              <w:top w:val="single" w:color="000000" w:sz="10" w:space="0"/>
            </w:tcBorders>
            <w:vAlign w:val="top"/>
          </w:tcPr>
          <w:p w14:paraId="43840FB1">
            <w:pPr>
              <w:pStyle w:val="6"/>
              <w:spacing w:before="64" w:line="228" w:lineRule="auto"/>
              <w:ind w:left="262"/>
              <w:rPr>
                <w:rFonts w:ascii="Times New Roman" w:hAnsi="Times New Roman" w:eastAsia="Times New Roman" w:cs="Times New Roman"/>
                <w:sz w:val="20"/>
                <w:szCs w:val="20"/>
              </w:rPr>
            </w:pPr>
            <w:r>
              <w:rPr>
                <w:spacing w:val="3"/>
                <w:sz w:val="20"/>
                <w:szCs w:val="20"/>
              </w:rPr>
              <w:t>水量</w:t>
            </w:r>
            <w:r>
              <w:rPr>
                <w:spacing w:val="-41"/>
                <w:sz w:val="20"/>
                <w:szCs w:val="20"/>
              </w:rPr>
              <w:t xml:space="preserve"> </w:t>
            </w:r>
            <w:r>
              <w:rPr>
                <w:rFonts w:ascii="Times New Roman" w:hAnsi="Times New Roman" w:eastAsia="Times New Roman" w:cs="Times New Roman"/>
                <w:spacing w:val="3"/>
                <w:sz w:val="20"/>
                <w:szCs w:val="20"/>
              </w:rPr>
              <w:t>m</w:t>
            </w:r>
            <w:r>
              <w:rPr>
                <w:rFonts w:ascii="Times New Roman" w:hAnsi="Times New Roman" w:eastAsia="Times New Roman" w:cs="Times New Roman"/>
                <w:spacing w:val="3"/>
                <w:position w:val="6"/>
                <w:sz w:val="13"/>
                <w:szCs w:val="13"/>
              </w:rPr>
              <w:t>3</w:t>
            </w:r>
            <w:r>
              <w:rPr>
                <w:rFonts w:ascii="Times New Roman" w:hAnsi="Times New Roman" w:eastAsia="Times New Roman" w:cs="Times New Roman"/>
                <w:spacing w:val="3"/>
                <w:sz w:val="20"/>
                <w:szCs w:val="20"/>
              </w:rPr>
              <w:t>/h</w:t>
            </w:r>
          </w:p>
        </w:tc>
        <w:tc>
          <w:tcPr>
            <w:tcW w:w="1026" w:type="dxa"/>
            <w:tcBorders>
              <w:top w:val="single" w:color="000000" w:sz="10" w:space="0"/>
            </w:tcBorders>
            <w:vAlign w:val="top"/>
          </w:tcPr>
          <w:p w14:paraId="78DC14C5">
            <w:pPr>
              <w:spacing w:before="100" w:line="202" w:lineRule="auto"/>
              <w:ind w:left="228"/>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COD</w:t>
            </w:r>
            <w:r>
              <w:rPr>
                <w:rFonts w:ascii="Times New Roman" w:hAnsi="Times New Roman" w:eastAsia="Times New Roman" w:cs="Times New Roman"/>
                <w:spacing w:val="3"/>
                <w:position w:val="-1"/>
                <w:sz w:val="13"/>
                <w:szCs w:val="13"/>
              </w:rPr>
              <w:t>Cr</w:t>
            </w:r>
          </w:p>
        </w:tc>
        <w:tc>
          <w:tcPr>
            <w:tcW w:w="982" w:type="dxa"/>
            <w:tcBorders>
              <w:top w:val="single" w:color="000000" w:sz="10" w:space="0"/>
            </w:tcBorders>
            <w:vAlign w:val="top"/>
          </w:tcPr>
          <w:p w14:paraId="4C805378">
            <w:pPr>
              <w:spacing w:before="100" w:line="202" w:lineRule="auto"/>
              <w:ind w:left="237"/>
              <w:rPr>
                <w:rFonts w:ascii="Times New Roman" w:hAnsi="Times New Roman" w:eastAsia="Times New Roman" w:cs="Times New Roman"/>
                <w:sz w:val="13"/>
                <w:szCs w:val="13"/>
              </w:rPr>
            </w:pPr>
            <w:r>
              <w:rPr>
                <w:rFonts w:ascii="Times New Roman" w:hAnsi="Times New Roman" w:eastAsia="Times New Roman" w:cs="Times New Roman"/>
                <w:sz w:val="20"/>
                <w:szCs w:val="20"/>
              </w:rPr>
              <w:t>BOD</w:t>
            </w:r>
            <w:r>
              <w:rPr>
                <w:rFonts w:ascii="Times New Roman" w:hAnsi="Times New Roman" w:eastAsia="Times New Roman" w:cs="Times New Roman"/>
                <w:spacing w:val="19"/>
                <w:position w:val="-1"/>
                <w:sz w:val="13"/>
                <w:szCs w:val="13"/>
              </w:rPr>
              <w:t>5</w:t>
            </w:r>
          </w:p>
        </w:tc>
        <w:tc>
          <w:tcPr>
            <w:tcW w:w="1014" w:type="dxa"/>
            <w:tcBorders>
              <w:top w:val="single" w:color="000000" w:sz="10" w:space="0"/>
            </w:tcBorders>
            <w:vAlign w:val="top"/>
          </w:tcPr>
          <w:p w14:paraId="4D81297F">
            <w:pPr>
              <w:spacing w:before="100" w:line="195" w:lineRule="auto"/>
              <w:ind w:left="40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SS</w:t>
            </w:r>
          </w:p>
        </w:tc>
        <w:tc>
          <w:tcPr>
            <w:tcW w:w="874" w:type="dxa"/>
            <w:tcBorders>
              <w:top w:val="single" w:color="000000" w:sz="10" w:space="0"/>
              <w:right w:val="nil"/>
            </w:tcBorders>
            <w:vAlign w:val="top"/>
          </w:tcPr>
          <w:p w14:paraId="102407B9">
            <w:pPr>
              <w:spacing w:before="103" w:line="209" w:lineRule="auto"/>
              <w:ind w:left="138"/>
              <w:rPr>
                <w:rFonts w:ascii="Times New Roman" w:hAnsi="Times New Roman" w:eastAsia="Times New Roman" w:cs="Times New Roman"/>
                <w:sz w:val="20"/>
                <w:szCs w:val="20"/>
              </w:rPr>
            </w:pPr>
            <w:r>
              <w:rPr>
                <w:rFonts w:ascii="Times New Roman" w:hAnsi="Times New Roman" w:eastAsia="Times New Roman" w:cs="Times New Roman"/>
                <w:sz w:val="20"/>
                <w:szCs w:val="20"/>
              </w:rPr>
              <w:t>NH</w:t>
            </w:r>
            <w:r>
              <w:rPr>
                <w:rFonts w:ascii="Times New Roman" w:hAnsi="Times New Roman" w:eastAsia="Times New Roman" w:cs="Times New Roman"/>
                <w:spacing w:val="9"/>
                <w:sz w:val="13"/>
                <w:szCs w:val="13"/>
              </w:rPr>
              <w:t>3</w:t>
            </w:r>
            <w:r>
              <w:rPr>
                <w:rFonts w:ascii="Times New Roman" w:hAnsi="Times New Roman" w:eastAsia="Times New Roman" w:cs="Times New Roman"/>
                <w:spacing w:val="9"/>
                <w:sz w:val="20"/>
                <w:szCs w:val="20"/>
              </w:rPr>
              <w:t>-N</w:t>
            </w:r>
          </w:p>
        </w:tc>
      </w:tr>
      <w:tr w14:paraId="18A0E9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3796" w:type="dxa"/>
            <w:gridSpan w:val="2"/>
            <w:tcBorders>
              <w:left w:val="nil"/>
            </w:tcBorders>
            <w:vAlign w:val="top"/>
          </w:tcPr>
          <w:p w14:paraId="0FA2F251">
            <w:pPr>
              <w:pStyle w:val="6"/>
              <w:spacing w:before="63" w:line="228" w:lineRule="auto"/>
              <w:ind w:left="1484"/>
              <w:rPr>
                <w:sz w:val="20"/>
                <w:szCs w:val="20"/>
              </w:rPr>
            </w:pPr>
            <w:r>
              <w:rPr>
                <w:spacing w:val="6"/>
                <w:sz w:val="20"/>
                <w:szCs w:val="20"/>
              </w:rPr>
              <w:t>生活污水</w:t>
            </w:r>
          </w:p>
        </w:tc>
        <w:tc>
          <w:tcPr>
            <w:tcW w:w="1375" w:type="dxa"/>
            <w:vAlign w:val="top"/>
          </w:tcPr>
          <w:p w14:paraId="2BCA3702">
            <w:pPr>
              <w:spacing w:before="99" w:line="195" w:lineRule="auto"/>
              <w:ind w:left="52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1.40</w:t>
            </w:r>
          </w:p>
        </w:tc>
        <w:tc>
          <w:tcPr>
            <w:tcW w:w="1026" w:type="dxa"/>
            <w:vAlign w:val="top"/>
          </w:tcPr>
          <w:p w14:paraId="0B2EC225">
            <w:pPr>
              <w:spacing w:before="99" w:line="195" w:lineRule="auto"/>
              <w:ind w:left="35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400</w:t>
            </w:r>
          </w:p>
        </w:tc>
        <w:tc>
          <w:tcPr>
            <w:tcW w:w="982" w:type="dxa"/>
            <w:vAlign w:val="top"/>
          </w:tcPr>
          <w:p w14:paraId="01DCB823">
            <w:pPr>
              <w:spacing w:before="99" w:line="195" w:lineRule="auto"/>
              <w:ind w:left="34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1014" w:type="dxa"/>
            <w:vAlign w:val="top"/>
          </w:tcPr>
          <w:p w14:paraId="0F1BA0D2">
            <w:pPr>
              <w:spacing w:before="99" w:line="195" w:lineRule="auto"/>
              <w:ind w:left="3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c>
          <w:tcPr>
            <w:tcW w:w="874" w:type="dxa"/>
            <w:tcBorders>
              <w:right w:val="nil"/>
            </w:tcBorders>
            <w:vAlign w:val="top"/>
          </w:tcPr>
          <w:p w14:paraId="46DEE6E0">
            <w:pPr>
              <w:spacing w:before="99" w:line="195" w:lineRule="auto"/>
              <w:ind w:left="341"/>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r>
      <w:tr w14:paraId="6FD722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3796" w:type="dxa"/>
            <w:gridSpan w:val="2"/>
            <w:tcBorders>
              <w:left w:val="nil"/>
            </w:tcBorders>
            <w:vAlign w:val="top"/>
          </w:tcPr>
          <w:p w14:paraId="6EF68FFE">
            <w:pPr>
              <w:pStyle w:val="6"/>
              <w:spacing w:before="66" w:line="228" w:lineRule="auto"/>
              <w:ind w:left="1382"/>
              <w:rPr>
                <w:sz w:val="20"/>
                <w:szCs w:val="20"/>
              </w:rPr>
            </w:pPr>
            <w:r>
              <w:rPr>
                <w:spacing w:val="7"/>
                <w:sz w:val="20"/>
                <w:szCs w:val="20"/>
              </w:rPr>
              <w:t>实验室废水</w:t>
            </w:r>
          </w:p>
        </w:tc>
        <w:tc>
          <w:tcPr>
            <w:tcW w:w="1375" w:type="dxa"/>
            <w:vAlign w:val="top"/>
          </w:tcPr>
          <w:p w14:paraId="195A1D49">
            <w:pPr>
              <w:spacing w:before="102" w:line="195" w:lineRule="auto"/>
              <w:ind w:left="45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0.045</w:t>
            </w:r>
          </w:p>
        </w:tc>
        <w:tc>
          <w:tcPr>
            <w:tcW w:w="1026" w:type="dxa"/>
            <w:vAlign w:val="top"/>
          </w:tcPr>
          <w:p w14:paraId="57A7D44B">
            <w:pPr>
              <w:spacing w:before="102" w:line="195" w:lineRule="auto"/>
              <w:ind w:left="3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250</w:t>
            </w:r>
          </w:p>
        </w:tc>
        <w:tc>
          <w:tcPr>
            <w:tcW w:w="982" w:type="dxa"/>
            <w:vAlign w:val="top"/>
          </w:tcPr>
          <w:p w14:paraId="501544C9">
            <w:pPr>
              <w:spacing w:before="102" w:line="195" w:lineRule="auto"/>
              <w:ind w:left="33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014" w:type="dxa"/>
            <w:vAlign w:val="top"/>
          </w:tcPr>
          <w:p w14:paraId="5A952CCC">
            <w:pPr>
              <w:spacing w:before="102" w:line="195" w:lineRule="auto"/>
              <w:ind w:left="411"/>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874" w:type="dxa"/>
            <w:tcBorders>
              <w:right w:val="nil"/>
            </w:tcBorders>
            <w:vAlign w:val="top"/>
          </w:tcPr>
          <w:p w14:paraId="12820A03">
            <w:pPr>
              <w:spacing w:before="102" w:line="195" w:lineRule="auto"/>
              <w:ind w:left="39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r>
      <w:tr w14:paraId="3C1A74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3796" w:type="dxa"/>
            <w:gridSpan w:val="2"/>
            <w:tcBorders>
              <w:left w:val="nil"/>
            </w:tcBorders>
            <w:vAlign w:val="top"/>
          </w:tcPr>
          <w:p w14:paraId="7DB04FDD">
            <w:pPr>
              <w:pStyle w:val="6"/>
              <w:spacing w:before="69" w:line="229" w:lineRule="auto"/>
              <w:ind w:left="1692"/>
              <w:rPr>
                <w:sz w:val="20"/>
                <w:szCs w:val="20"/>
              </w:rPr>
            </w:pPr>
            <w:r>
              <w:rPr>
                <w:spacing w:val="4"/>
                <w:sz w:val="20"/>
                <w:szCs w:val="20"/>
              </w:rPr>
              <w:t>合计</w:t>
            </w:r>
          </w:p>
        </w:tc>
        <w:tc>
          <w:tcPr>
            <w:tcW w:w="1375" w:type="dxa"/>
            <w:vAlign w:val="top"/>
          </w:tcPr>
          <w:p w14:paraId="59ABC547">
            <w:pPr>
              <w:spacing w:before="105" w:line="195" w:lineRule="auto"/>
              <w:ind w:left="4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1.445</w:t>
            </w:r>
          </w:p>
        </w:tc>
        <w:tc>
          <w:tcPr>
            <w:tcW w:w="1026" w:type="dxa"/>
            <w:vAlign w:val="top"/>
          </w:tcPr>
          <w:p w14:paraId="0168A239">
            <w:pPr>
              <w:spacing w:before="105" w:line="195"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395.33</w:t>
            </w:r>
          </w:p>
        </w:tc>
        <w:tc>
          <w:tcPr>
            <w:tcW w:w="982" w:type="dxa"/>
            <w:vAlign w:val="top"/>
          </w:tcPr>
          <w:p w14:paraId="761C0A8A">
            <w:pPr>
              <w:spacing w:before="105" w:line="195" w:lineRule="auto"/>
              <w:ind w:left="2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296.88</w:t>
            </w:r>
          </w:p>
        </w:tc>
        <w:tc>
          <w:tcPr>
            <w:tcW w:w="1014" w:type="dxa"/>
            <w:vAlign w:val="top"/>
          </w:tcPr>
          <w:p w14:paraId="2CF7F7D5">
            <w:pPr>
              <w:spacing w:before="105"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243.77</w:t>
            </w:r>
          </w:p>
        </w:tc>
        <w:tc>
          <w:tcPr>
            <w:tcW w:w="874" w:type="dxa"/>
            <w:tcBorders>
              <w:right w:val="nil"/>
            </w:tcBorders>
            <w:vAlign w:val="top"/>
          </w:tcPr>
          <w:p w14:paraId="19608F05">
            <w:pPr>
              <w:spacing w:before="105" w:line="195" w:lineRule="auto"/>
              <w:ind w:left="2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33.91</w:t>
            </w:r>
          </w:p>
        </w:tc>
      </w:tr>
      <w:tr w14:paraId="0FE464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2271" w:type="dxa"/>
            <w:vMerge w:val="restart"/>
            <w:tcBorders>
              <w:left w:val="nil"/>
              <w:bottom w:val="nil"/>
            </w:tcBorders>
            <w:vAlign w:val="top"/>
          </w:tcPr>
          <w:p w14:paraId="68CBCF48">
            <w:pPr>
              <w:spacing w:line="340" w:lineRule="auto"/>
              <w:rPr>
                <w:rFonts w:ascii="Arial"/>
                <w:sz w:val="21"/>
              </w:rPr>
            </w:pPr>
          </w:p>
          <w:p w14:paraId="44334958">
            <w:pPr>
              <w:pStyle w:val="6"/>
              <w:spacing w:before="65" w:line="228" w:lineRule="auto"/>
              <w:ind w:left="200"/>
              <w:rPr>
                <w:sz w:val="20"/>
                <w:szCs w:val="20"/>
              </w:rPr>
            </w:pPr>
            <w:r>
              <w:rPr>
                <w:spacing w:val="8"/>
                <w:sz w:val="20"/>
                <w:szCs w:val="20"/>
              </w:rPr>
              <w:t>一体化污水处理设施</w:t>
            </w:r>
          </w:p>
        </w:tc>
        <w:tc>
          <w:tcPr>
            <w:tcW w:w="1525" w:type="dxa"/>
            <w:vAlign w:val="top"/>
          </w:tcPr>
          <w:p w14:paraId="0F38274E">
            <w:pPr>
              <w:pStyle w:val="6"/>
              <w:spacing w:before="72" w:line="227" w:lineRule="auto"/>
              <w:ind w:left="345"/>
              <w:rPr>
                <w:sz w:val="20"/>
                <w:szCs w:val="20"/>
              </w:rPr>
            </w:pPr>
            <w:r>
              <w:rPr>
                <w:spacing w:val="7"/>
                <w:sz w:val="20"/>
                <w:szCs w:val="20"/>
              </w:rPr>
              <w:t>进水浓度</w:t>
            </w:r>
          </w:p>
        </w:tc>
        <w:tc>
          <w:tcPr>
            <w:tcW w:w="1375" w:type="dxa"/>
            <w:vAlign w:val="top"/>
          </w:tcPr>
          <w:p w14:paraId="4B8C7C03">
            <w:pPr>
              <w:spacing w:before="108" w:line="195" w:lineRule="auto"/>
              <w:ind w:left="4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1.445</w:t>
            </w:r>
          </w:p>
        </w:tc>
        <w:tc>
          <w:tcPr>
            <w:tcW w:w="1026" w:type="dxa"/>
            <w:vAlign w:val="top"/>
          </w:tcPr>
          <w:p w14:paraId="5B53353E">
            <w:pPr>
              <w:spacing w:before="108" w:line="195" w:lineRule="auto"/>
              <w:ind w:left="22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395.33</w:t>
            </w:r>
          </w:p>
        </w:tc>
        <w:tc>
          <w:tcPr>
            <w:tcW w:w="982" w:type="dxa"/>
            <w:vAlign w:val="top"/>
          </w:tcPr>
          <w:p w14:paraId="625DEACA">
            <w:pPr>
              <w:spacing w:before="108" w:line="195" w:lineRule="auto"/>
              <w:ind w:left="2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296.88</w:t>
            </w:r>
          </w:p>
        </w:tc>
        <w:tc>
          <w:tcPr>
            <w:tcW w:w="1014" w:type="dxa"/>
            <w:vAlign w:val="top"/>
          </w:tcPr>
          <w:p w14:paraId="15644397">
            <w:pPr>
              <w:spacing w:before="108" w:line="195" w:lineRule="auto"/>
              <w:ind w:left="2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243.77</w:t>
            </w:r>
          </w:p>
        </w:tc>
        <w:tc>
          <w:tcPr>
            <w:tcW w:w="874" w:type="dxa"/>
            <w:tcBorders>
              <w:right w:val="nil"/>
            </w:tcBorders>
            <w:vAlign w:val="top"/>
          </w:tcPr>
          <w:p w14:paraId="16E3A8D8">
            <w:pPr>
              <w:spacing w:before="108" w:line="195" w:lineRule="auto"/>
              <w:ind w:left="20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33.91</w:t>
            </w:r>
          </w:p>
        </w:tc>
      </w:tr>
      <w:tr w14:paraId="12BF70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2271" w:type="dxa"/>
            <w:vMerge w:val="continue"/>
            <w:tcBorders>
              <w:top w:val="nil"/>
              <w:left w:val="nil"/>
              <w:bottom w:val="nil"/>
            </w:tcBorders>
            <w:vAlign w:val="top"/>
          </w:tcPr>
          <w:p w14:paraId="1FBF8328">
            <w:pPr>
              <w:rPr>
                <w:rFonts w:ascii="Arial"/>
                <w:sz w:val="21"/>
              </w:rPr>
            </w:pPr>
          </w:p>
        </w:tc>
        <w:tc>
          <w:tcPr>
            <w:tcW w:w="1525" w:type="dxa"/>
            <w:vAlign w:val="top"/>
          </w:tcPr>
          <w:p w14:paraId="4E17A9D1">
            <w:pPr>
              <w:pStyle w:val="6"/>
              <w:spacing w:before="75" w:line="224" w:lineRule="auto"/>
              <w:ind w:left="350"/>
              <w:rPr>
                <w:sz w:val="20"/>
                <w:szCs w:val="20"/>
              </w:rPr>
            </w:pPr>
            <w:r>
              <w:rPr>
                <w:spacing w:val="6"/>
                <w:sz w:val="20"/>
                <w:szCs w:val="20"/>
              </w:rPr>
              <w:t>去除效率</w:t>
            </w:r>
          </w:p>
        </w:tc>
        <w:tc>
          <w:tcPr>
            <w:tcW w:w="1375" w:type="dxa"/>
            <w:vAlign w:val="top"/>
          </w:tcPr>
          <w:p w14:paraId="157C6BBC">
            <w:pPr>
              <w:spacing w:before="107" w:line="199" w:lineRule="auto"/>
              <w:ind w:left="6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26" w:type="dxa"/>
            <w:vAlign w:val="top"/>
          </w:tcPr>
          <w:p w14:paraId="4A77B5E6">
            <w:pPr>
              <w:spacing w:before="111" w:line="195" w:lineRule="auto"/>
              <w:ind w:left="32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94%</w:t>
            </w:r>
          </w:p>
        </w:tc>
        <w:tc>
          <w:tcPr>
            <w:tcW w:w="982" w:type="dxa"/>
            <w:vAlign w:val="top"/>
          </w:tcPr>
          <w:p w14:paraId="77BEEBE9">
            <w:pPr>
              <w:spacing w:before="111" w:line="195" w:lineRule="auto"/>
              <w:ind w:left="30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96%</w:t>
            </w:r>
          </w:p>
        </w:tc>
        <w:tc>
          <w:tcPr>
            <w:tcW w:w="1014" w:type="dxa"/>
            <w:vAlign w:val="top"/>
          </w:tcPr>
          <w:p w14:paraId="56CFB3B4">
            <w:pPr>
              <w:spacing w:before="111" w:line="195" w:lineRule="auto"/>
              <w:ind w:left="32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96%</w:t>
            </w:r>
          </w:p>
        </w:tc>
        <w:tc>
          <w:tcPr>
            <w:tcW w:w="874" w:type="dxa"/>
            <w:tcBorders>
              <w:right w:val="nil"/>
            </w:tcBorders>
            <w:vAlign w:val="top"/>
          </w:tcPr>
          <w:p w14:paraId="1EFF5723">
            <w:pPr>
              <w:spacing w:before="111" w:line="195" w:lineRule="auto"/>
              <w:ind w:left="25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76%</w:t>
            </w:r>
          </w:p>
        </w:tc>
      </w:tr>
      <w:tr w14:paraId="7AA8BF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2271" w:type="dxa"/>
            <w:vMerge w:val="continue"/>
            <w:tcBorders>
              <w:top w:val="nil"/>
              <w:left w:val="nil"/>
            </w:tcBorders>
            <w:vAlign w:val="top"/>
          </w:tcPr>
          <w:p w14:paraId="0B382863">
            <w:pPr>
              <w:rPr>
                <w:rFonts w:ascii="Arial"/>
                <w:sz w:val="21"/>
              </w:rPr>
            </w:pPr>
          </w:p>
        </w:tc>
        <w:tc>
          <w:tcPr>
            <w:tcW w:w="1525" w:type="dxa"/>
            <w:vAlign w:val="top"/>
          </w:tcPr>
          <w:p w14:paraId="33690C4C">
            <w:pPr>
              <w:pStyle w:val="6"/>
              <w:spacing w:before="78" w:line="221" w:lineRule="auto"/>
              <w:ind w:left="365"/>
              <w:rPr>
                <w:sz w:val="20"/>
                <w:szCs w:val="20"/>
              </w:rPr>
            </w:pPr>
            <w:r>
              <w:rPr>
                <w:spacing w:val="2"/>
                <w:sz w:val="20"/>
                <w:szCs w:val="20"/>
              </w:rPr>
              <w:t>出水浓度</w:t>
            </w:r>
          </w:p>
        </w:tc>
        <w:tc>
          <w:tcPr>
            <w:tcW w:w="1375" w:type="dxa"/>
            <w:vAlign w:val="top"/>
          </w:tcPr>
          <w:p w14:paraId="2B3A3DBC">
            <w:pPr>
              <w:spacing w:before="114" w:line="195" w:lineRule="auto"/>
              <w:ind w:left="47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1.445</w:t>
            </w:r>
          </w:p>
        </w:tc>
        <w:tc>
          <w:tcPr>
            <w:tcW w:w="1026" w:type="dxa"/>
            <w:vAlign w:val="top"/>
          </w:tcPr>
          <w:p w14:paraId="48502B4D">
            <w:pPr>
              <w:spacing w:before="114" w:line="195" w:lineRule="auto"/>
              <w:ind w:left="27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23.72</w:t>
            </w:r>
          </w:p>
        </w:tc>
        <w:tc>
          <w:tcPr>
            <w:tcW w:w="982" w:type="dxa"/>
            <w:vAlign w:val="top"/>
          </w:tcPr>
          <w:p w14:paraId="30D0AF30">
            <w:pPr>
              <w:spacing w:before="114" w:line="195" w:lineRule="auto"/>
              <w:ind w:left="27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11.88</w:t>
            </w:r>
          </w:p>
        </w:tc>
        <w:tc>
          <w:tcPr>
            <w:tcW w:w="1014" w:type="dxa"/>
            <w:vAlign w:val="top"/>
          </w:tcPr>
          <w:p w14:paraId="5775AFE1">
            <w:pPr>
              <w:spacing w:before="114" w:line="195" w:lineRule="auto"/>
              <w:ind w:left="330"/>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9.75</w:t>
            </w:r>
          </w:p>
        </w:tc>
        <w:tc>
          <w:tcPr>
            <w:tcW w:w="874" w:type="dxa"/>
            <w:tcBorders>
              <w:right w:val="nil"/>
            </w:tcBorders>
            <w:vAlign w:val="top"/>
          </w:tcPr>
          <w:p w14:paraId="2240CF0F">
            <w:pPr>
              <w:spacing w:before="114" w:line="195" w:lineRule="auto"/>
              <w:ind w:left="266"/>
              <w:rPr>
                <w:rFonts w:ascii="Times New Roman" w:hAnsi="Times New Roman" w:eastAsia="Times New Roman" w:cs="Times New Roman"/>
                <w:sz w:val="20"/>
                <w:szCs w:val="20"/>
              </w:rPr>
            </w:pPr>
            <w:r>
              <w:rPr>
                <w:rFonts w:ascii="Times New Roman" w:hAnsi="Times New Roman" w:eastAsia="Times New Roman" w:cs="Times New Roman"/>
                <w:spacing w:val="-6"/>
                <w:sz w:val="20"/>
                <w:szCs w:val="20"/>
              </w:rPr>
              <w:t>8.</w:t>
            </w:r>
            <w:r>
              <w:rPr>
                <w:rFonts w:ascii="Times New Roman" w:hAnsi="Times New Roman" w:eastAsia="Times New Roman" w:cs="Times New Roman"/>
                <w:spacing w:val="-24"/>
                <w:sz w:val="20"/>
                <w:szCs w:val="20"/>
              </w:rPr>
              <w:t xml:space="preserve"> </w:t>
            </w:r>
            <w:r>
              <w:rPr>
                <w:rFonts w:ascii="Times New Roman" w:hAnsi="Times New Roman" w:eastAsia="Times New Roman" w:cs="Times New Roman"/>
                <w:spacing w:val="-6"/>
                <w:sz w:val="20"/>
                <w:szCs w:val="20"/>
              </w:rPr>
              <w:t>14</w:t>
            </w:r>
          </w:p>
        </w:tc>
      </w:tr>
      <w:tr w14:paraId="374C20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1" w:hRule="atLeast"/>
        </w:trPr>
        <w:tc>
          <w:tcPr>
            <w:tcW w:w="3796" w:type="dxa"/>
            <w:gridSpan w:val="2"/>
            <w:tcBorders>
              <w:left w:val="nil"/>
              <w:bottom w:val="single" w:color="000000" w:sz="10" w:space="0"/>
            </w:tcBorders>
            <w:vAlign w:val="top"/>
          </w:tcPr>
          <w:p w14:paraId="0C612982">
            <w:pPr>
              <w:pStyle w:val="6"/>
              <w:spacing w:before="81" w:line="228" w:lineRule="auto"/>
              <w:ind w:left="383"/>
              <w:rPr>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 xml:space="preserve">28666-2012 </w:t>
            </w:r>
            <w:r>
              <w:rPr>
                <w:spacing w:val="5"/>
                <w:sz w:val="20"/>
                <w:szCs w:val="20"/>
              </w:rPr>
              <w:t>表</w:t>
            </w:r>
            <w:r>
              <w:rPr>
                <w:spacing w:val="-43"/>
                <w:sz w:val="20"/>
                <w:szCs w:val="20"/>
              </w:rPr>
              <w:t xml:space="preserve"> </w:t>
            </w:r>
            <w:r>
              <w:rPr>
                <w:rFonts w:ascii="Times New Roman" w:hAnsi="Times New Roman" w:eastAsia="Times New Roman" w:cs="Times New Roman"/>
                <w:spacing w:val="5"/>
                <w:sz w:val="20"/>
                <w:szCs w:val="20"/>
              </w:rPr>
              <w:t>2</w:t>
            </w:r>
            <w:r>
              <w:rPr>
                <w:rFonts w:ascii="Times New Roman" w:hAnsi="Times New Roman" w:eastAsia="Times New Roman" w:cs="Times New Roman"/>
                <w:spacing w:val="31"/>
                <w:w w:val="101"/>
                <w:sz w:val="20"/>
                <w:szCs w:val="20"/>
              </w:rPr>
              <w:t xml:space="preserve"> </w:t>
            </w:r>
            <w:r>
              <w:rPr>
                <w:spacing w:val="5"/>
                <w:sz w:val="20"/>
                <w:szCs w:val="20"/>
              </w:rPr>
              <w:t>中间排放标准</w:t>
            </w:r>
          </w:p>
        </w:tc>
        <w:tc>
          <w:tcPr>
            <w:tcW w:w="1375" w:type="dxa"/>
            <w:tcBorders>
              <w:bottom w:val="single" w:color="000000" w:sz="10" w:space="0"/>
            </w:tcBorders>
            <w:vAlign w:val="top"/>
          </w:tcPr>
          <w:p w14:paraId="2B2D9F3E">
            <w:pPr>
              <w:spacing w:before="113" w:line="199" w:lineRule="auto"/>
              <w:ind w:left="65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26" w:type="dxa"/>
            <w:tcBorders>
              <w:bottom w:val="single" w:color="000000" w:sz="10" w:space="0"/>
            </w:tcBorders>
            <w:vAlign w:val="top"/>
          </w:tcPr>
          <w:p w14:paraId="2EE8E7FE">
            <w:pPr>
              <w:spacing w:before="117" w:line="195" w:lineRule="auto"/>
              <w:ind w:left="35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982" w:type="dxa"/>
            <w:tcBorders>
              <w:bottom w:val="single" w:color="000000" w:sz="10" w:space="0"/>
            </w:tcBorders>
            <w:vAlign w:val="top"/>
          </w:tcPr>
          <w:p w14:paraId="31162D33">
            <w:pPr>
              <w:spacing w:before="113" w:line="199" w:lineRule="auto"/>
              <w:ind w:left="45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1014" w:type="dxa"/>
            <w:tcBorders>
              <w:bottom w:val="single" w:color="000000" w:sz="10" w:space="0"/>
            </w:tcBorders>
            <w:vAlign w:val="top"/>
          </w:tcPr>
          <w:p w14:paraId="52250877">
            <w:pPr>
              <w:spacing w:before="117" w:line="195" w:lineRule="auto"/>
              <w:ind w:left="35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874" w:type="dxa"/>
            <w:tcBorders>
              <w:bottom w:val="single" w:color="000000" w:sz="10" w:space="0"/>
              <w:right w:val="nil"/>
            </w:tcBorders>
            <w:vAlign w:val="top"/>
          </w:tcPr>
          <w:p w14:paraId="511D5420">
            <w:pPr>
              <w:spacing w:before="117" w:line="195" w:lineRule="auto"/>
              <w:ind w:left="357"/>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r>
    </w:tbl>
    <w:p w14:paraId="46AC8B5B">
      <w:pPr>
        <w:spacing w:before="125" w:line="357" w:lineRule="auto"/>
        <w:ind w:left="6" w:firstLine="510"/>
        <w:jc w:val="both"/>
        <w:rPr>
          <w:rFonts w:ascii="宋体" w:hAnsi="宋体" w:eastAsia="宋体" w:cs="宋体"/>
          <w:sz w:val="24"/>
          <w:szCs w:val="24"/>
        </w:rPr>
      </w:pPr>
      <w:r>
        <w:rPr>
          <w:rFonts w:ascii="宋体" w:hAnsi="宋体" w:eastAsia="宋体" w:cs="宋体"/>
          <w:spacing w:val="-6"/>
          <w:sz w:val="24"/>
          <w:szCs w:val="24"/>
        </w:rPr>
        <w:t>由上表可以看出，本项目厂区总排放口废水水质满足《铁合金工业污染物排放标准》</w:t>
      </w:r>
      <w:r>
        <w:rPr>
          <w:rFonts w:ascii="宋体" w:hAnsi="宋体" w:eastAsia="宋体" w:cs="宋体"/>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GB28666-2012</w:t>
      </w:r>
      <w:r>
        <w:rPr>
          <w:rFonts w:ascii="宋体" w:hAnsi="宋体" w:eastAsia="宋体" w:cs="宋体"/>
          <w:spacing w:val="-3"/>
          <w:sz w:val="24"/>
          <w:szCs w:val="24"/>
        </w:rPr>
        <w:t>）表</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中间接排放标准后由罐车运至</w:t>
      </w:r>
      <w:r>
        <w:rPr>
          <w:rFonts w:ascii="宋体" w:hAnsi="宋体" w:eastAsia="宋体" w:cs="宋体"/>
          <w:spacing w:val="-4"/>
          <w:sz w:val="24"/>
          <w:szCs w:val="24"/>
        </w:rPr>
        <w:t>苏尼特右旗赛汉塔拉镇污水处理厂</w:t>
      </w:r>
      <w:r>
        <w:rPr>
          <w:rFonts w:ascii="宋体" w:hAnsi="宋体" w:eastAsia="宋体" w:cs="宋体"/>
          <w:sz w:val="24"/>
          <w:szCs w:val="24"/>
        </w:rPr>
        <w:t xml:space="preserve">  </w:t>
      </w:r>
      <w:r>
        <w:rPr>
          <w:rFonts w:ascii="宋体" w:hAnsi="宋体" w:eastAsia="宋体" w:cs="宋体"/>
          <w:spacing w:val="-1"/>
          <w:sz w:val="24"/>
          <w:szCs w:val="24"/>
        </w:rPr>
        <w:t>进一步处理，措施可行。</w:t>
      </w:r>
    </w:p>
    <w:p w14:paraId="1460B898">
      <w:pPr>
        <w:spacing w:before="1" w:line="226" w:lineRule="auto"/>
        <w:ind w:left="12"/>
        <w:outlineLvl w:val="1"/>
        <w:rPr>
          <w:rFonts w:ascii="黑体" w:hAnsi="黑体" w:eastAsia="黑体" w:cs="黑体"/>
          <w:sz w:val="31"/>
          <w:szCs w:val="31"/>
        </w:rPr>
      </w:pPr>
      <w:bookmarkStart w:id="447" w:name="bookmark362"/>
      <w:bookmarkEnd w:id="447"/>
      <w:r>
        <w:rPr>
          <w:rFonts w:ascii="Times New Roman" w:hAnsi="Times New Roman" w:eastAsia="Times New Roman" w:cs="Times New Roman"/>
          <w:spacing w:val="6"/>
          <w:sz w:val="31"/>
          <w:szCs w:val="31"/>
        </w:rPr>
        <w:t xml:space="preserve">6.3 </w:t>
      </w:r>
      <w:r>
        <w:rPr>
          <w:rFonts w:ascii="黑体" w:hAnsi="黑体" w:eastAsia="黑体" w:cs="黑体"/>
          <w:spacing w:val="6"/>
          <w:sz w:val="31"/>
          <w:szCs w:val="31"/>
        </w:rPr>
        <w:t>噪声污染防治措施</w:t>
      </w:r>
    </w:p>
    <w:p w14:paraId="5221A2A8">
      <w:pPr>
        <w:spacing w:before="316" w:line="363" w:lineRule="auto"/>
        <w:ind w:left="9" w:right="105" w:firstLine="480"/>
        <w:rPr>
          <w:rFonts w:ascii="宋体" w:hAnsi="宋体" w:eastAsia="宋体" w:cs="宋体"/>
          <w:sz w:val="24"/>
          <w:szCs w:val="24"/>
        </w:rPr>
      </w:pPr>
      <w:r>
        <w:rPr>
          <w:rFonts w:ascii="宋体" w:hAnsi="宋体" w:eastAsia="宋体" w:cs="宋体"/>
          <w:spacing w:val="-2"/>
          <w:sz w:val="24"/>
          <w:szCs w:val="24"/>
        </w:rPr>
        <w:t>本项目实施后，主要为生产机械设备噪声，因此本项目应加强噪声的治理工作，主</w:t>
      </w:r>
      <w:r>
        <w:rPr>
          <w:rFonts w:ascii="宋体" w:hAnsi="宋体" w:eastAsia="宋体" w:cs="宋体"/>
          <w:spacing w:val="12"/>
          <w:sz w:val="24"/>
          <w:szCs w:val="24"/>
        </w:rPr>
        <w:t xml:space="preserve"> </w:t>
      </w:r>
      <w:r>
        <w:rPr>
          <w:rFonts w:ascii="宋体" w:hAnsi="宋体" w:eastAsia="宋体" w:cs="宋体"/>
          <w:sz w:val="24"/>
          <w:szCs w:val="24"/>
        </w:rPr>
        <w:t>要从设备选型、阻隔传播途径和受声者保护三</w:t>
      </w:r>
      <w:r>
        <w:rPr>
          <w:rFonts w:ascii="宋体" w:hAnsi="宋体" w:eastAsia="宋体" w:cs="宋体"/>
          <w:spacing w:val="-1"/>
          <w:sz w:val="24"/>
          <w:szCs w:val="24"/>
        </w:rPr>
        <w:t>方面入手，具体措施如下：</w:t>
      </w:r>
    </w:p>
    <w:p w14:paraId="6B398398">
      <w:pPr>
        <w:spacing w:before="35"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）合理选择机械设备，从声源上控制噪声级别设计中按《工业企业噪声控制设</w:t>
      </w:r>
    </w:p>
    <w:p w14:paraId="4F64C4A2">
      <w:pPr>
        <w:spacing w:line="219" w:lineRule="auto"/>
        <w:rPr>
          <w:rFonts w:ascii="宋体" w:hAnsi="宋体" w:eastAsia="宋体" w:cs="宋体"/>
          <w:sz w:val="24"/>
          <w:szCs w:val="24"/>
        </w:rPr>
        <w:sectPr>
          <w:headerReference r:id="rId459" w:type="default"/>
          <w:footerReference r:id="rId460" w:type="default"/>
          <w:pgSz w:w="11906" w:h="16839"/>
          <w:pgMar w:top="1190" w:right="1312" w:bottom="1221" w:left="1417" w:header="882" w:footer="1059" w:gutter="0"/>
          <w:cols w:space="720" w:num="1"/>
        </w:sectPr>
      </w:pPr>
    </w:p>
    <w:p w14:paraId="35BDBC5C">
      <w:pPr>
        <w:spacing w:line="28" w:lineRule="exact"/>
      </w:pPr>
      <w:r>
        <w:pict>
          <v:shape id="_x0000_s2047" o:spid="_x0000_s2047" style="height:1.45pt;width:453.65pt;" fillcolor="#000000" filled="t" stroked="f" coordsize="9072,29" path="m0,0l9072,0,9072,28,0,28,0,0xe">
            <v:path/>
            <v:fill on="t" focussize="0,0"/>
            <v:stroke on="f"/>
            <v:imagedata o:title=""/>
            <o:lock v:ext="edit"/>
            <w10:wrap type="none"/>
            <w10:anchorlock/>
          </v:shape>
        </w:pict>
      </w:r>
    </w:p>
    <w:p w14:paraId="535CFB00">
      <w:pPr>
        <w:pStyle w:val="2"/>
        <w:spacing w:line="244" w:lineRule="auto"/>
      </w:pPr>
    </w:p>
    <w:p w14:paraId="79582E79">
      <w:pPr>
        <w:spacing w:before="78" w:line="369" w:lineRule="auto"/>
        <w:ind w:left="8"/>
        <w:jc w:val="both"/>
        <w:rPr>
          <w:rFonts w:ascii="宋体" w:hAnsi="宋体" w:eastAsia="宋体" w:cs="宋体"/>
          <w:sz w:val="24"/>
          <w:szCs w:val="24"/>
        </w:rPr>
      </w:pPr>
      <w:r>
        <w:rPr>
          <w:rFonts w:ascii="宋体" w:hAnsi="宋体" w:eastAsia="宋体" w:cs="宋体"/>
          <w:spacing w:val="-2"/>
          <w:sz w:val="24"/>
          <w:szCs w:val="24"/>
        </w:rPr>
        <w:t>计规范》应尽可能选择辐射噪声小、振动小的低噪声设备，同时也要选择有可能采取控</w:t>
      </w:r>
      <w:r>
        <w:rPr>
          <w:rFonts w:ascii="宋体" w:hAnsi="宋体" w:eastAsia="宋体" w:cs="宋体"/>
          <w:spacing w:val="17"/>
          <w:sz w:val="24"/>
          <w:szCs w:val="24"/>
        </w:rPr>
        <w:t xml:space="preserve"> </w:t>
      </w:r>
      <w:r>
        <w:rPr>
          <w:rFonts w:ascii="宋体" w:hAnsi="宋体" w:eastAsia="宋体" w:cs="宋体"/>
          <w:spacing w:val="-2"/>
          <w:sz w:val="24"/>
          <w:szCs w:val="24"/>
        </w:rPr>
        <w:t>制对策的设备，提高安装精度，从源头上控制噪声产生的级别；合理安排平面布置，高</w:t>
      </w:r>
      <w:r>
        <w:rPr>
          <w:rFonts w:ascii="宋体" w:hAnsi="宋体" w:eastAsia="宋体" w:cs="宋体"/>
          <w:spacing w:val="16"/>
          <w:sz w:val="24"/>
          <w:szCs w:val="24"/>
        </w:rPr>
        <w:t xml:space="preserve"> </w:t>
      </w:r>
      <w:r>
        <w:rPr>
          <w:rFonts w:ascii="宋体" w:hAnsi="宋体" w:eastAsia="宋体" w:cs="宋体"/>
          <w:spacing w:val="-2"/>
          <w:sz w:val="24"/>
          <w:szCs w:val="24"/>
        </w:rPr>
        <w:t>噪声设备应远离办公楼，厂区路口等处设置限速、禁鸣标志。运行中加强设备维护和保</w:t>
      </w:r>
      <w:r>
        <w:rPr>
          <w:rFonts w:ascii="宋体" w:hAnsi="宋体" w:eastAsia="宋体" w:cs="宋体"/>
          <w:spacing w:val="16"/>
          <w:sz w:val="24"/>
          <w:szCs w:val="24"/>
        </w:rPr>
        <w:t xml:space="preserve"> </w:t>
      </w:r>
      <w:r>
        <w:rPr>
          <w:rFonts w:ascii="宋体" w:hAnsi="宋体" w:eastAsia="宋体" w:cs="宋体"/>
          <w:spacing w:val="-1"/>
          <w:sz w:val="24"/>
          <w:szCs w:val="24"/>
        </w:rPr>
        <w:t>养，以降低噪声源噪声。</w:t>
      </w:r>
    </w:p>
    <w:p w14:paraId="48AB36E0">
      <w:pPr>
        <w:spacing w:before="35" w:line="220"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）设置减噪隔振消声措施</w:t>
      </w:r>
    </w:p>
    <w:p w14:paraId="7141F45C">
      <w:pPr>
        <w:spacing w:before="201" w:line="367" w:lineRule="auto"/>
        <w:ind w:left="7" w:right="1" w:firstLine="480"/>
        <w:rPr>
          <w:rFonts w:ascii="宋体" w:hAnsi="宋体" w:eastAsia="宋体" w:cs="宋体"/>
          <w:sz w:val="24"/>
          <w:szCs w:val="24"/>
        </w:rPr>
      </w:pPr>
      <w:r>
        <w:rPr>
          <w:rFonts w:ascii="宋体" w:hAnsi="宋体" w:eastAsia="宋体" w:cs="宋体"/>
          <w:spacing w:val="-2"/>
          <w:sz w:val="24"/>
          <w:szCs w:val="24"/>
        </w:rPr>
        <w:t>对噪声的传播途径进行控制，水泵等设置在专门的隔声间内，以柔性接头代替刚性</w:t>
      </w:r>
      <w:r>
        <w:rPr>
          <w:rFonts w:ascii="宋体" w:hAnsi="宋体" w:eastAsia="宋体" w:cs="宋体"/>
          <w:spacing w:val="14"/>
          <w:sz w:val="24"/>
          <w:szCs w:val="24"/>
        </w:rPr>
        <w:t xml:space="preserve"> </w:t>
      </w:r>
      <w:r>
        <w:rPr>
          <w:rFonts w:ascii="宋体" w:hAnsi="宋体" w:eastAsia="宋体" w:cs="宋体"/>
          <w:spacing w:val="-2"/>
          <w:sz w:val="24"/>
          <w:szCs w:val="24"/>
        </w:rPr>
        <w:t>接头。电机、泵类等因振动而产生噪声的设备，考虑安装橡胶减振垫、弹簧减振器隔振</w:t>
      </w:r>
      <w:r>
        <w:rPr>
          <w:rFonts w:ascii="宋体" w:hAnsi="宋体" w:eastAsia="宋体" w:cs="宋体"/>
          <w:spacing w:val="18"/>
          <w:sz w:val="24"/>
          <w:szCs w:val="24"/>
        </w:rPr>
        <w:t xml:space="preserve"> </w:t>
      </w:r>
      <w:r>
        <w:rPr>
          <w:rFonts w:ascii="宋体" w:hAnsi="宋体" w:eastAsia="宋体" w:cs="宋体"/>
          <w:spacing w:val="-3"/>
          <w:sz w:val="24"/>
          <w:szCs w:val="24"/>
        </w:rPr>
        <w:t>机座。</w:t>
      </w:r>
    </w:p>
    <w:p w14:paraId="3DCA0B39">
      <w:pPr>
        <w:spacing w:before="37" w:line="220"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）隔声墙、隔声间的设置</w:t>
      </w:r>
    </w:p>
    <w:p w14:paraId="6D554611">
      <w:pPr>
        <w:spacing w:before="204" w:line="371" w:lineRule="auto"/>
        <w:ind w:left="8" w:firstLine="482"/>
        <w:rPr>
          <w:rFonts w:ascii="宋体" w:hAnsi="宋体" w:eastAsia="宋体" w:cs="宋体"/>
          <w:sz w:val="24"/>
          <w:szCs w:val="24"/>
        </w:rPr>
      </w:pPr>
      <w:r>
        <w:rPr>
          <w:rFonts w:ascii="宋体" w:hAnsi="宋体" w:eastAsia="宋体" w:cs="宋体"/>
          <w:spacing w:val="-2"/>
          <w:sz w:val="24"/>
          <w:szCs w:val="24"/>
        </w:rPr>
        <w:t>各噪声设备建设在封闭厂房内，企业在实际运营生产中应保证车间的密闭性，以使</w:t>
      </w:r>
      <w:r>
        <w:rPr>
          <w:rFonts w:ascii="宋体" w:hAnsi="宋体" w:eastAsia="宋体" w:cs="宋体"/>
          <w:spacing w:val="10"/>
          <w:sz w:val="24"/>
          <w:szCs w:val="24"/>
        </w:rPr>
        <w:t xml:space="preserve"> </w:t>
      </w:r>
      <w:r>
        <w:rPr>
          <w:rFonts w:ascii="宋体" w:hAnsi="宋体" w:eastAsia="宋体" w:cs="宋体"/>
          <w:spacing w:val="-2"/>
          <w:sz w:val="24"/>
          <w:szCs w:val="24"/>
        </w:rPr>
        <w:t>其能很好的发挥防尘、降噪的作用。对各种振动机械采用减振基础，对体积较大的产噪</w:t>
      </w:r>
      <w:r>
        <w:rPr>
          <w:rFonts w:ascii="宋体" w:hAnsi="宋体" w:eastAsia="宋体" w:cs="宋体"/>
          <w:spacing w:val="17"/>
          <w:sz w:val="24"/>
          <w:szCs w:val="24"/>
        </w:rPr>
        <w:t xml:space="preserve"> </w:t>
      </w:r>
      <w:r>
        <w:rPr>
          <w:rFonts w:ascii="宋体" w:hAnsi="宋体" w:eastAsia="宋体" w:cs="宋体"/>
          <w:spacing w:val="-2"/>
          <w:sz w:val="24"/>
          <w:szCs w:val="24"/>
        </w:rPr>
        <w:t>设备，应考虑对设备厂房，墙壁进行吸声处理，并建设便于观察和控制生产过程的隔声</w:t>
      </w:r>
      <w:r>
        <w:rPr>
          <w:rFonts w:ascii="宋体" w:hAnsi="宋体" w:eastAsia="宋体" w:cs="宋体"/>
          <w:spacing w:val="17"/>
          <w:sz w:val="24"/>
          <w:szCs w:val="24"/>
        </w:rPr>
        <w:t xml:space="preserve"> </w:t>
      </w:r>
      <w:r>
        <w:rPr>
          <w:rFonts w:ascii="宋体" w:hAnsi="宋体" w:eastAsia="宋体" w:cs="宋体"/>
          <w:spacing w:val="-2"/>
          <w:sz w:val="24"/>
          <w:szCs w:val="24"/>
        </w:rPr>
        <w:t>间。针对本项目的产噪特点，将主要噪声源提升机、空压机、通风机等布置在室内，并</w:t>
      </w:r>
      <w:r>
        <w:rPr>
          <w:rFonts w:ascii="宋体" w:hAnsi="宋体" w:eastAsia="宋体" w:cs="宋体"/>
          <w:spacing w:val="17"/>
          <w:sz w:val="24"/>
          <w:szCs w:val="24"/>
        </w:rPr>
        <w:t xml:space="preserve"> </w:t>
      </w:r>
      <w:r>
        <w:rPr>
          <w:rFonts w:ascii="宋体" w:hAnsi="宋体" w:eastAsia="宋体" w:cs="宋体"/>
          <w:spacing w:val="-1"/>
          <w:sz w:val="24"/>
          <w:szCs w:val="24"/>
        </w:rPr>
        <w:t>加设门窗，以确保厂界噪声达标。</w:t>
      </w:r>
    </w:p>
    <w:p w14:paraId="0BF08B6E">
      <w:pPr>
        <w:spacing w:before="32"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）重视绿化</w:t>
      </w:r>
    </w:p>
    <w:p w14:paraId="0DEBBEE9">
      <w:pPr>
        <w:spacing w:before="203" w:line="363" w:lineRule="auto"/>
        <w:ind w:left="19" w:right="1" w:firstLine="469"/>
        <w:rPr>
          <w:rFonts w:ascii="宋体" w:hAnsi="宋体" w:eastAsia="宋体" w:cs="宋体"/>
          <w:sz w:val="24"/>
          <w:szCs w:val="24"/>
        </w:rPr>
      </w:pPr>
      <w:r>
        <w:rPr>
          <w:rFonts w:ascii="宋体" w:hAnsi="宋体" w:eastAsia="宋体" w:cs="宋体"/>
          <w:spacing w:val="-2"/>
          <w:sz w:val="24"/>
          <w:szCs w:val="24"/>
        </w:rPr>
        <w:t>重视绿化工作也是噪声防治的一项积极措施。绿化不仅可以美化环境，还可以阻滞</w:t>
      </w:r>
      <w:r>
        <w:rPr>
          <w:rFonts w:ascii="宋体" w:hAnsi="宋体" w:eastAsia="宋体" w:cs="宋体"/>
          <w:spacing w:val="12"/>
          <w:sz w:val="24"/>
          <w:szCs w:val="24"/>
        </w:rPr>
        <w:t xml:space="preserve"> </w:t>
      </w:r>
      <w:r>
        <w:rPr>
          <w:rFonts w:ascii="宋体" w:hAnsi="宋体" w:eastAsia="宋体" w:cs="宋体"/>
          <w:spacing w:val="-1"/>
          <w:sz w:val="24"/>
          <w:szCs w:val="24"/>
        </w:rPr>
        <w:t>噪声传播。本项目绿化重点是生产车间四周种植绿化带。</w:t>
      </w:r>
    </w:p>
    <w:p w14:paraId="7851758F">
      <w:pPr>
        <w:spacing w:before="36"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）加强管理</w:t>
      </w:r>
    </w:p>
    <w:p w14:paraId="229133C2">
      <w:pPr>
        <w:spacing w:before="201" w:line="370" w:lineRule="auto"/>
        <w:ind w:left="8" w:right="1" w:firstLine="479"/>
        <w:rPr>
          <w:rFonts w:ascii="宋体" w:hAnsi="宋体" w:eastAsia="宋体" w:cs="宋体"/>
          <w:sz w:val="24"/>
          <w:szCs w:val="24"/>
        </w:rPr>
      </w:pPr>
      <w:r>
        <w:rPr>
          <w:rFonts w:ascii="宋体" w:hAnsi="宋体" w:eastAsia="宋体" w:cs="宋体"/>
          <w:spacing w:val="-2"/>
          <w:sz w:val="24"/>
          <w:szCs w:val="24"/>
        </w:rPr>
        <w:t>在采取以上治理措施的基础上，还必须严格按照操作规程进行操作，定期对防噪设</w:t>
      </w:r>
      <w:r>
        <w:rPr>
          <w:rFonts w:ascii="宋体" w:hAnsi="宋体" w:eastAsia="宋体" w:cs="宋体"/>
          <w:spacing w:val="14"/>
          <w:sz w:val="24"/>
          <w:szCs w:val="24"/>
        </w:rPr>
        <w:t xml:space="preserve"> </w:t>
      </w:r>
      <w:r>
        <w:rPr>
          <w:rFonts w:ascii="宋体" w:hAnsi="宋体" w:eastAsia="宋体" w:cs="宋体"/>
          <w:spacing w:val="-2"/>
          <w:sz w:val="24"/>
          <w:szCs w:val="24"/>
        </w:rPr>
        <w:t>备进行维修、检查，使本项目对厂界声环境的影响降到最低。在对待交通噪声防治措施</w:t>
      </w:r>
      <w:r>
        <w:rPr>
          <w:rFonts w:ascii="宋体" w:hAnsi="宋体" w:eastAsia="宋体" w:cs="宋体"/>
          <w:spacing w:val="17"/>
          <w:sz w:val="24"/>
          <w:szCs w:val="24"/>
        </w:rPr>
        <w:t xml:space="preserve"> </w:t>
      </w:r>
      <w:r>
        <w:rPr>
          <w:rFonts w:ascii="宋体" w:hAnsi="宋体" w:eastAsia="宋体" w:cs="宋体"/>
          <w:spacing w:val="-2"/>
          <w:sz w:val="24"/>
          <w:szCs w:val="24"/>
        </w:rPr>
        <w:t>上，应加强管理，制定有关规章制度。在各敏感点处设立限速、禁鸣标志；在厂区内部</w:t>
      </w:r>
      <w:r>
        <w:rPr>
          <w:rFonts w:ascii="宋体" w:hAnsi="宋体" w:eastAsia="宋体" w:cs="宋体"/>
          <w:spacing w:val="17"/>
          <w:sz w:val="24"/>
          <w:szCs w:val="24"/>
        </w:rPr>
        <w:t xml:space="preserve"> </w:t>
      </w:r>
      <w:r>
        <w:rPr>
          <w:rFonts w:ascii="宋体" w:hAnsi="宋体" w:eastAsia="宋体" w:cs="宋体"/>
          <w:sz w:val="24"/>
          <w:szCs w:val="24"/>
        </w:rPr>
        <w:t>运输道路两旁增加绿化带，可减少噪声传播，使噪</w:t>
      </w:r>
      <w:r>
        <w:rPr>
          <w:rFonts w:ascii="宋体" w:hAnsi="宋体" w:eastAsia="宋体" w:cs="宋体"/>
          <w:spacing w:val="-1"/>
          <w:sz w:val="24"/>
          <w:szCs w:val="24"/>
        </w:rPr>
        <w:t>声对沿线村庄影响降低。</w:t>
      </w:r>
    </w:p>
    <w:p w14:paraId="4664BF49">
      <w:pPr>
        <w:spacing w:before="33" w:line="370" w:lineRule="auto"/>
        <w:ind w:left="10" w:right="1" w:firstLine="477"/>
        <w:rPr>
          <w:rFonts w:ascii="宋体" w:hAnsi="宋体" w:eastAsia="宋体" w:cs="宋体"/>
          <w:sz w:val="24"/>
          <w:szCs w:val="24"/>
        </w:rPr>
      </w:pPr>
      <w:r>
        <w:rPr>
          <w:rFonts w:ascii="宋体" w:hAnsi="宋体" w:eastAsia="宋体" w:cs="宋体"/>
          <w:spacing w:val="-2"/>
          <w:sz w:val="24"/>
          <w:szCs w:val="24"/>
        </w:rPr>
        <w:t>采取以上措施后，可保证操作环境中的设备噪声低于《中华人民共和国国家职业卫</w:t>
      </w:r>
      <w:r>
        <w:rPr>
          <w:rFonts w:ascii="宋体" w:hAnsi="宋体" w:eastAsia="宋体" w:cs="宋体"/>
          <w:spacing w:val="14"/>
          <w:sz w:val="24"/>
          <w:szCs w:val="24"/>
        </w:rPr>
        <w:t xml:space="preserve"> </w:t>
      </w:r>
      <w:r>
        <w:rPr>
          <w:rFonts w:ascii="宋体" w:hAnsi="宋体" w:eastAsia="宋体" w:cs="宋体"/>
          <w:sz w:val="24"/>
          <w:szCs w:val="24"/>
        </w:rPr>
        <w:t>生标准》（</w:t>
      </w:r>
      <w:r>
        <w:rPr>
          <w:rFonts w:ascii="Times New Roman" w:hAnsi="Times New Roman" w:eastAsia="Times New Roman" w:cs="Times New Roman"/>
          <w:sz w:val="24"/>
          <w:szCs w:val="24"/>
        </w:rPr>
        <w:t>GBZ2.2-2007</w:t>
      </w:r>
      <w:r>
        <w:rPr>
          <w:rFonts w:ascii="宋体" w:hAnsi="宋体" w:eastAsia="宋体" w:cs="宋体"/>
          <w:sz w:val="24"/>
          <w:szCs w:val="24"/>
        </w:rPr>
        <w:t>）中规定的</w:t>
      </w:r>
      <w:r>
        <w:rPr>
          <w:rFonts w:ascii="宋体" w:hAnsi="宋体" w:eastAsia="宋体" w:cs="宋体"/>
          <w:spacing w:val="-45"/>
          <w:sz w:val="24"/>
          <w:szCs w:val="24"/>
        </w:rPr>
        <w:t xml:space="preserve"> </w:t>
      </w:r>
      <w:r>
        <w:rPr>
          <w:rFonts w:ascii="Times New Roman" w:hAnsi="Times New Roman" w:eastAsia="Times New Roman" w:cs="Times New Roman"/>
          <w:sz w:val="24"/>
          <w:szCs w:val="24"/>
        </w:rPr>
        <w:t>85dB</w:t>
      </w:r>
      <w:r>
        <w:rPr>
          <w:rFonts w:ascii="宋体" w:hAnsi="宋体" w:eastAsia="宋体" w:cs="宋体"/>
          <w:sz w:val="24"/>
          <w:szCs w:val="24"/>
        </w:rPr>
        <w:t>（</w:t>
      </w:r>
      <w:r>
        <w:rPr>
          <w:rFonts w:ascii="Times New Roman" w:hAnsi="Times New Roman" w:eastAsia="Times New Roman" w:cs="Times New Roman"/>
          <w:sz w:val="24"/>
          <w:szCs w:val="24"/>
        </w:rPr>
        <w:t>A</w:t>
      </w:r>
      <w:r>
        <w:rPr>
          <w:rFonts w:ascii="宋体" w:hAnsi="宋体" w:eastAsia="宋体" w:cs="宋体"/>
          <w:sz w:val="24"/>
          <w:szCs w:val="24"/>
        </w:rPr>
        <w:t>）标准，从而对操作</w:t>
      </w:r>
      <w:r>
        <w:rPr>
          <w:rFonts w:ascii="宋体" w:hAnsi="宋体" w:eastAsia="宋体" w:cs="宋体"/>
          <w:spacing w:val="-1"/>
          <w:sz w:val="24"/>
          <w:szCs w:val="24"/>
        </w:rPr>
        <w:t>人员起到保护作用，</w:t>
      </w:r>
      <w:r>
        <w:rPr>
          <w:rFonts w:ascii="宋体" w:hAnsi="宋体" w:eastAsia="宋体" w:cs="宋体"/>
          <w:sz w:val="24"/>
          <w:szCs w:val="24"/>
        </w:rPr>
        <w:t xml:space="preserve"> </w:t>
      </w:r>
      <w:r>
        <w:rPr>
          <w:rFonts w:ascii="宋体" w:hAnsi="宋体" w:eastAsia="宋体" w:cs="宋体"/>
          <w:spacing w:val="5"/>
          <w:sz w:val="24"/>
          <w:szCs w:val="24"/>
        </w:rPr>
        <w:t>同时通过距离衰减等，可保证厂界噪声不会超过《</w:t>
      </w:r>
      <w:r>
        <w:rPr>
          <w:rFonts w:ascii="宋体" w:hAnsi="宋体" w:eastAsia="宋体" w:cs="宋体"/>
          <w:spacing w:val="4"/>
          <w:sz w:val="24"/>
          <w:szCs w:val="24"/>
        </w:rPr>
        <w:t>工业企业厂界环境噪声排放标准》</w:t>
      </w:r>
      <w:r>
        <w:rPr>
          <w:rFonts w:ascii="宋体" w:hAnsi="宋体" w:eastAsia="宋体" w:cs="宋体"/>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GB12348-2008</w:t>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3 </w:t>
      </w:r>
      <w:r>
        <w:rPr>
          <w:rFonts w:ascii="宋体" w:hAnsi="宋体" w:eastAsia="宋体" w:cs="宋体"/>
          <w:spacing w:val="-1"/>
          <w:sz w:val="24"/>
          <w:szCs w:val="24"/>
        </w:rPr>
        <w:t>类标准要求。</w:t>
      </w:r>
    </w:p>
    <w:p w14:paraId="3A71A960">
      <w:pPr>
        <w:spacing w:before="32"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6</w:t>
      </w:r>
      <w:r>
        <w:rPr>
          <w:rFonts w:ascii="宋体" w:hAnsi="宋体" w:eastAsia="宋体" w:cs="宋体"/>
          <w:spacing w:val="-1"/>
          <w:sz w:val="24"/>
          <w:szCs w:val="24"/>
        </w:rPr>
        <w:t>）运输路线两侧居民的噪声的保护及污染防治措施</w:t>
      </w:r>
    </w:p>
    <w:p w14:paraId="6033105A">
      <w:pPr>
        <w:spacing w:before="204" w:line="219" w:lineRule="auto"/>
        <w:ind w:right="1"/>
        <w:jc w:val="right"/>
        <w:rPr>
          <w:rFonts w:ascii="宋体" w:hAnsi="宋体" w:eastAsia="宋体" w:cs="宋体"/>
          <w:sz w:val="24"/>
          <w:szCs w:val="24"/>
        </w:rPr>
      </w:pPr>
      <w:r>
        <w:rPr>
          <w:rFonts w:ascii="宋体" w:hAnsi="宋体" w:eastAsia="宋体" w:cs="宋体"/>
          <w:spacing w:val="-2"/>
          <w:sz w:val="24"/>
          <w:szCs w:val="24"/>
        </w:rPr>
        <w:t>加强机动车辆管理，严格执行限速和禁止超载的交通管理要求，在通过人口密度较</w:t>
      </w:r>
    </w:p>
    <w:p w14:paraId="3EC1AA57">
      <w:pPr>
        <w:spacing w:line="219" w:lineRule="auto"/>
        <w:rPr>
          <w:rFonts w:ascii="宋体" w:hAnsi="宋体" w:eastAsia="宋体" w:cs="宋体"/>
          <w:sz w:val="24"/>
          <w:szCs w:val="24"/>
        </w:rPr>
        <w:sectPr>
          <w:headerReference r:id="rId461" w:type="default"/>
          <w:footerReference r:id="rId462" w:type="default"/>
          <w:pgSz w:w="11906" w:h="16839"/>
          <w:pgMar w:top="1190" w:right="1416" w:bottom="1221" w:left="1417" w:header="882" w:footer="1059" w:gutter="0"/>
          <w:cols w:space="720" w:num="1"/>
        </w:sectPr>
      </w:pPr>
    </w:p>
    <w:p w14:paraId="2DFB5396">
      <w:pPr>
        <w:spacing w:line="28" w:lineRule="exact"/>
      </w:pPr>
      <w:r>
        <w:pict>
          <v:shape id="_x0000_s3072" o:spid="_x0000_s3072" style="height:1.45pt;width:453.65pt;" fillcolor="#000000" filled="t" stroked="f" coordsize="9072,29" path="m0,0l9072,0,9072,28,0,28,0,0xe">
            <v:path/>
            <v:fill on="t" focussize="0,0"/>
            <v:stroke on="f"/>
            <v:imagedata o:title=""/>
            <o:lock v:ext="edit"/>
            <w10:wrap type="none"/>
            <w10:anchorlock/>
          </v:shape>
        </w:pict>
      </w:r>
    </w:p>
    <w:p w14:paraId="293FC558">
      <w:pPr>
        <w:pStyle w:val="2"/>
        <w:spacing w:line="243" w:lineRule="auto"/>
      </w:pPr>
    </w:p>
    <w:p w14:paraId="48DEC080">
      <w:pPr>
        <w:spacing w:before="78" w:line="363" w:lineRule="auto"/>
        <w:ind w:left="19" w:hanging="8"/>
        <w:rPr>
          <w:rFonts w:ascii="宋体" w:hAnsi="宋体" w:eastAsia="宋体" w:cs="宋体"/>
          <w:sz w:val="24"/>
          <w:szCs w:val="24"/>
        </w:rPr>
      </w:pPr>
      <w:r>
        <w:rPr>
          <w:rFonts w:ascii="宋体" w:hAnsi="宋体" w:eastAsia="宋体" w:cs="宋体"/>
          <w:spacing w:val="-6"/>
          <w:sz w:val="24"/>
          <w:szCs w:val="24"/>
        </w:rPr>
        <w:t>大的城镇路段限制车速、禁止鸣笛。尽量降低噪声污染源的噪声，严格限制技术状况差、</w:t>
      </w:r>
      <w:r>
        <w:rPr>
          <w:rFonts w:ascii="宋体" w:hAnsi="宋体" w:eastAsia="宋体" w:cs="宋体"/>
          <w:spacing w:val="12"/>
          <w:sz w:val="24"/>
          <w:szCs w:val="24"/>
        </w:rPr>
        <w:t xml:space="preserve"> </w:t>
      </w:r>
      <w:r>
        <w:rPr>
          <w:rFonts w:ascii="宋体" w:hAnsi="宋体" w:eastAsia="宋体" w:cs="宋体"/>
          <w:spacing w:val="-1"/>
          <w:sz w:val="24"/>
          <w:szCs w:val="24"/>
        </w:rPr>
        <w:t>噪声高的车辆上路，以减少交通噪声扰民问题。</w:t>
      </w:r>
    </w:p>
    <w:p w14:paraId="1FE94A62">
      <w:pPr>
        <w:spacing w:before="77" w:line="227" w:lineRule="auto"/>
        <w:ind w:left="12"/>
        <w:outlineLvl w:val="1"/>
        <w:rPr>
          <w:rFonts w:ascii="黑体" w:hAnsi="黑体" w:eastAsia="黑体" w:cs="黑体"/>
          <w:sz w:val="31"/>
          <w:szCs w:val="31"/>
        </w:rPr>
      </w:pPr>
      <w:bookmarkStart w:id="448" w:name="bookmark364"/>
      <w:bookmarkEnd w:id="448"/>
      <w:r>
        <w:rPr>
          <w:rFonts w:ascii="Times New Roman" w:hAnsi="Times New Roman" w:eastAsia="Times New Roman" w:cs="Times New Roman"/>
          <w:spacing w:val="5"/>
          <w:sz w:val="31"/>
          <w:szCs w:val="31"/>
        </w:rPr>
        <w:t>6.4</w:t>
      </w:r>
      <w:r>
        <w:rPr>
          <w:rFonts w:ascii="Times New Roman" w:hAnsi="Times New Roman" w:eastAsia="Times New Roman" w:cs="Times New Roman"/>
          <w:spacing w:val="34"/>
          <w:sz w:val="31"/>
          <w:szCs w:val="31"/>
        </w:rPr>
        <w:t xml:space="preserve"> </w:t>
      </w:r>
      <w:r>
        <w:rPr>
          <w:rFonts w:ascii="黑体" w:hAnsi="黑体" w:eastAsia="黑体" w:cs="黑体"/>
          <w:spacing w:val="5"/>
          <w:sz w:val="31"/>
          <w:szCs w:val="31"/>
        </w:rPr>
        <w:t>固体废物治理措施分析</w:t>
      </w:r>
    </w:p>
    <w:p w14:paraId="04CC2E4B">
      <w:pPr>
        <w:spacing w:before="225" w:line="363" w:lineRule="auto"/>
        <w:ind w:left="7" w:right="80" w:firstLine="481"/>
        <w:rPr>
          <w:rFonts w:ascii="宋体" w:hAnsi="宋体" w:eastAsia="宋体" w:cs="宋体"/>
          <w:sz w:val="24"/>
          <w:szCs w:val="24"/>
        </w:rPr>
      </w:pPr>
      <w:r>
        <w:rPr>
          <w:rFonts w:ascii="宋体" w:hAnsi="宋体" w:eastAsia="宋体" w:cs="宋体"/>
          <w:spacing w:val="-2"/>
          <w:sz w:val="24"/>
          <w:szCs w:val="24"/>
        </w:rPr>
        <w:t>本项目产生的固体废物涉及到危险废物，处理的原则是分类收集、及时清理。本次</w:t>
      </w:r>
      <w:r>
        <w:rPr>
          <w:rFonts w:ascii="宋体" w:hAnsi="宋体" w:eastAsia="宋体" w:cs="宋体"/>
          <w:spacing w:val="12"/>
          <w:sz w:val="24"/>
          <w:szCs w:val="24"/>
        </w:rPr>
        <w:t xml:space="preserve"> </w:t>
      </w:r>
      <w:r>
        <w:rPr>
          <w:rFonts w:ascii="宋体" w:hAnsi="宋体" w:eastAsia="宋体" w:cs="宋体"/>
          <w:sz w:val="24"/>
          <w:szCs w:val="24"/>
        </w:rPr>
        <w:t>评价重点对项目的分类、处理措施进行分析，明确项目固</w:t>
      </w:r>
      <w:r>
        <w:rPr>
          <w:rFonts w:ascii="宋体" w:hAnsi="宋体" w:eastAsia="宋体" w:cs="宋体"/>
          <w:spacing w:val="-1"/>
          <w:sz w:val="24"/>
          <w:szCs w:val="24"/>
        </w:rPr>
        <w:t>体废物处理的可行性。</w:t>
      </w:r>
    </w:p>
    <w:p w14:paraId="1FF44B40">
      <w:pPr>
        <w:spacing w:before="85" w:line="221" w:lineRule="auto"/>
        <w:ind w:left="11"/>
        <w:outlineLvl w:val="2"/>
        <w:rPr>
          <w:rFonts w:ascii="宋体" w:hAnsi="宋体" w:eastAsia="宋体" w:cs="宋体"/>
          <w:sz w:val="30"/>
          <w:szCs w:val="30"/>
        </w:rPr>
      </w:pPr>
      <w:bookmarkStart w:id="449" w:name="bookmark366"/>
      <w:bookmarkEnd w:id="449"/>
      <w:r>
        <w:rPr>
          <w:rFonts w:ascii="Times New Roman" w:hAnsi="Times New Roman" w:eastAsia="Times New Roman" w:cs="Times New Roman"/>
          <w:spacing w:val="-2"/>
          <w:sz w:val="30"/>
          <w:szCs w:val="30"/>
        </w:rPr>
        <w:t xml:space="preserve">6.4.1 </w:t>
      </w:r>
      <w:r>
        <w:rPr>
          <w:rFonts w:ascii="黑体" w:hAnsi="黑体" w:eastAsia="黑体" w:cs="黑体"/>
          <w:spacing w:val="-2"/>
          <w:sz w:val="30"/>
          <w:szCs w:val="30"/>
        </w:rPr>
        <w:t>一般工业固废</w:t>
      </w:r>
      <w:r>
        <w:rPr>
          <w:rFonts w:ascii="宋体" w:hAnsi="宋体" w:eastAsia="宋体" w:cs="宋体"/>
          <w:b/>
          <w:bCs/>
          <w:spacing w:val="-2"/>
          <w:sz w:val="30"/>
          <w:szCs w:val="30"/>
        </w:rPr>
        <w:t>治理措施及可行性分析</w:t>
      </w:r>
    </w:p>
    <w:p w14:paraId="0671FC9C">
      <w:pPr>
        <w:spacing w:before="244" w:line="324" w:lineRule="auto"/>
        <w:ind w:left="7" w:right="77" w:firstLine="492"/>
        <w:rPr>
          <w:rFonts w:ascii="宋体" w:hAnsi="宋体" w:eastAsia="宋体" w:cs="宋体"/>
          <w:sz w:val="24"/>
          <w:szCs w:val="24"/>
        </w:rPr>
      </w:pPr>
      <w:r>
        <w:rPr>
          <w:rFonts w:ascii="宋体" w:hAnsi="宋体" w:eastAsia="宋体" w:cs="宋体"/>
          <w:spacing w:val="11"/>
          <w:sz w:val="24"/>
          <w:szCs w:val="24"/>
        </w:rPr>
        <w:t>（</w:t>
      </w:r>
      <w:r>
        <w:rPr>
          <w:rFonts w:ascii="Times New Roman" w:hAnsi="Times New Roman" w:eastAsia="Times New Roman" w:cs="Times New Roman"/>
          <w:spacing w:val="11"/>
          <w:sz w:val="24"/>
          <w:szCs w:val="24"/>
        </w:rPr>
        <w:t>1</w:t>
      </w:r>
      <w:r>
        <w:rPr>
          <w:rFonts w:ascii="Times New Roman" w:hAnsi="Times New Roman" w:eastAsia="Times New Roman" w:cs="Times New Roman"/>
          <w:spacing w:val="5"/>
          <w:sz w:val="24"/>
          <w:szCs w:val="24"/>
        </w:rPr>
        <w:t xml:space="preserve"> </w:t>
      </w:r>
      <w:r>
        <w:rPr>
          <w:rFonts w:ascii="宋体" w:hAnsi="宋体" w:eastAsia="宋体" w:cs="宋体"/>
          <w:spacing w:val="11"/>
          <w:sz w:val="24"/>
          <w:szCs w:val="24"/>
        </w:rPr>
        <w:t>）烧结机废气石灰石</w:t>
      </w:r>
      <w:r>
        <w:rPr>
          <w:rFonts w:ascii="Times New Roman" w:hAnsi="Times New Roman" w:eastAsia="Times New Roman" w:cs="Times New Roman"/>
          <w:spacing w:val="11"/>
          <w:sz w:val="24"/>
          <w:szCs w:val="24"/>
        </w:rPr>
        <w:t>-</w:t>
      </w:r>
      <w:r>
        <w:rPr>
          <w:rFonts w:ascii="宋体" w:hAnsi="宋体" w:eastAsia="宋体" w:cs="宋体"/>
          <w:spacing w:val="11"/>
          <w:sz w:val="24"/>
          <w:szCs w:val="24"/>
        </w:rPr>
        <w:t>石膏法脱硫装置运行时产生脱硫石膏，其主要成分为</w:t>
      </w:r>
      <w:r>
        <w:rPr>
          <w:rFonts w:ascii="宋体" w:hAnsi="宋体" w:eastAsia="宋体" w:cs="宋体"/>
          <w:sz w:val="24"/>
          <w:szCs w:val="24"/>
        </w:rPr>
        <w:t xml:space="preserve"> </w:t>
      </w:r>
      <w:r>
        <w:rPr>
          <w:rFonts w:ascii="Times New Roman" w:hAnsi="Times New Roman" w:eastAsia="Times New Roman" w:cs="Times New Roman"/>
          <w:sz w:val="24"/>
          <w:szCs w:val="24"/>
        </w:rPr>
        <w:t>CaSO</w:t>
      </w:r>
      <w:r>
        <w:rPr>
          <w:rFonts w:ascii="Times New Roman" w:hAnsi="Times New Roman" w:eastAsia="Times New Roman" w:cs="Times New Roman"/>
          <w:spacing w:val="2"/>
          <w:position w:val="-1"/>
          <w:sz w:val="15"/>
          <w:szCs w:val="15"/>
        </w:rPr>
        <w:t>4</w:t>
      </w:r>
      <w:r>
        <w:rPr>
          <w:rFonts w:ascii="Times New Roman" w:hAnsi="Times New Roman" w:eastAsia="Times New Roman" w:cs="Times New Roman"/>
          <w:spacing w:val="2"/>
          <w:sz w:val="24"/>
          <w:szCs w:val="24"/>
        </w:rPr>
        <w:t>·2H</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
          <w:sz w:val="24"/>
          <w:szCs w:val="24"/>
        </w:rPr>
        <w:t>O</w:t>
      </w:r>
      <w:r>
        <w:rPr>
          <w:rFonts w:ascii="Times New Roman" w:hAnsi="Times New Roman" w:eastAsia="Times New Roman" w:cs="Times New Roman"/>
          <w:spacing w:val="-21"/>
          <w:sz w:val="24"/>
          <w:szCs w:val="24"/>
        </w:rPr>
        <w:t xml:space="preserve"> </w:t>
      </w:r>
      <w:r>
        <w:rPr>
          <w:rFonts w:ascii="宋体" w:hAnsi="宋体" w:eastAsia="宋体" w:cs="宋体"/>
          <w:spacing w:val="2"/>
          <w:sz w:val="24"/>
          <w:szCs w:val="24"/>
        </w:rPr>
        <w:t>，脱水后在一般固废暂存库内临时贮存，定期外售用作建材生产原料，措</w:t>
      </w:r>
      <w:r>
        <w:rPr>
          <w:rFonts w:ascii="宋体" w:hAnsi="宋体" w:eastAsia="宋体" w:cs="宋体"/>
          <w:sz w:val="24"/>
          <w:szCs w:val="24"/>
        </w:rPr>
        <w:t xml:space="preserve"> </w:t>
      </w:r>
      <w:r>
        <w:rPr>
          <w:rFonts w:ascii="宋体" w:hAnsi="宋体" w:eastAsia="宋体" w:cs="宋体"/>
          <w:spacing w:val="-3"/>
          <w:sz w:val="24"/>
          <w:szCs w:val="24"/>
        </w:rPr>
        <w:t>施可行。</w:t>
      </w:r>
    </w:p>
    <w:p w14:paraId="17D2CB77">
      <w:pPr>
        <w:spacing w:before="200" w:line="345" w:lineRule="auto"/>
        <w:ind w:left="3" w:right="21" w:firstLine="496"/>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）废耐火材料由矿热炉、烧结机、竖炉、铁水包等耐火材料检修更换等产生，</w:t>
      </w:r>
      <w:r>
        <w:rPr>
          <w:rFonts w:ascii="宋体" w:hAnsi="宋体" w:eastAsia="宋体" w:cs="宋体"/>
          <w:spacing w:val="1"/>
          <w:sz w:val="24"/>
          <w:szCs w:val="24"/>
        </w:rPr>
        <w:t xml:space="preserve"> </w:t>
      </w:r>
      <w:r>
        <w:rPr>
          <w:rFonts w:ascii="宋体" w:hAnsi="宋体" w:eastAsia="宋体" w:cs="宋体"/>
          <w:spacing w:val="5"/>
          <w:sz w:val="24"/>
          <w:szCs w:val="24"/>
        </w:rPr>
        <w:t>本项目各设施均不使用含铬耐火材料，在生产过程中耐火材料与铬矿或</w:t>
      </w:r>
      <w:r>
        <w:rPr>
          <w:rFonts w:ascii="宋体" w:hAnsi="宋体" w:eastAsia="宋体" w:cs="宋体"/>
          <w:spacing w:val="4"/>
          <w:sz w:val="24"/>
          <w:szCs w:val="24"/>
        </w:rPr>
        <w:t>锰矿接触，部</w:t>
      </w:r>
      <w:r>
        <w:rPr>
          <w:rFonts w:ascii="宋体" w:hAnsi="宋体" w:eastAsia="宋体" w:cs="宋体"/>
          <w:sz w:val="24"/>
          <w:szCs w:val="24"/>
        </w:rPr>
        <w:t xml:space="preserve"> </w:t>
      </w:r>
      <w:r>
        <w:rPr>
          <w:rFonts w:ascii="宋体" w:hAnsi="宋体" w:eastAsia="宋体" w:cs="宋体"/>
          <w:spacing w:val="5"/>
          <w:sz w:val="24"/>
          <w:szCs w:val="24"/>
        </w:rPr>
        <w:t>分含铬或含锰物料会附着在耐火材料上，铬元素主要以</w:t>
      </w:r>
      <w:r>
        <w:rPr>
          <w:rFonts w:ascii="宋体" w:hAnsi="宋体" w:eastAsia="宋体" w:cs="宋体"/>
          <w:spacing w:val="-40"/>
          <w:sz w:val="24"/>
          <w:szCs w:val="24"/>
        </w:rPr>
        <w:t xml:space="preserve"> </w:t>
      </w:r>
      <w:r>
        <w:rPr>
          <w:rFonts w:ascii="Times New Roman" w:hAnsi="Times New Roman" w:eastAsia="Times New Roman" w:cs="Times New Roman"/>
          <w:sz w:val="24"/>
          <w:szCs w:val="24"/>
        </w:rPr>
        <w:t>Cr</w:t>
      </w:r>
      <w:r>
        <w:rPr>
          <w:rFonts w:ascii="Times New Roman" w:hAnsi="Times New Roman" w:eastAsia="Times New Roman" w:cs="Times New Roman"/>
          <w:spacing w:val="5"/>
          <w:sz w:val="15"/>
          <w:szCs w:val="15"/>
        </w:rPr>
        <w:t>2</w:t>
      </w:r>
      <w:r>
        <w:rPr>
          <w:rFonts w:ascii="Times New Roman" w:hAnsi="Times New Roman" w:eastAsia="Times New Roman" w:cs="Times New Roman"/>
          <w:spacing w:val="5"/>
          <w:sz w:val="24"/>
          <w:szCs w:val="24"/>
        </w:rPr>
        <w:t>O</w:t>
      </w:r>
      <w:r>
        <w:rPr>
          <w:rFonts w:ascii="Times New Roman" w:hAnsi="Times New Roman" w:eastAsia="Times New Roman" w:cs="Times New Roman"/>
          <w:spacing w:val="5"/>
          <w:position w:val="-1"/>
          <w:sz w:val="15"/>
          <w:szCs w:val="15"/>
        </w:rPr>
        <w:t>3</w:t>
      </w:r>
      <w:r>
        <w:rPr>
          <w:rFonts w:ascii="Times New Roman" w:hAnsi="Times New Roman" w:eastAsia="Times New Roman" w:cs="Times New Roman"/>
          <w:spacing w:val="33"/>
          <w:w w:val="102"/>
          <w:position w:val="-1"/>
          <w:sz w:val="15"/>
          <w:szCs w:val="15"/>
        </w:rPr>
        <w:t xml:space="preserve"> </w:t>
      </w:r>
      <w:r>
        <w:rPr>
          <w:rFonts w:ascii="宋体" w:hAnsi="宋体" w:eastAsia="宋体" w:cs="宋体"/>
          <w:spacing w:val="5"/>
          <w:sz w:val="24"/>
          <w:szCs w:val="24"/>
        </w:rPr>
        <w:t>的形态存在、锰元素以</w:t>
      </w:r>
      <w:r>
        <w:rPr>
          <w:rFonts w:ascii="宋体" w:hAnsi="宋体" w:eastAsia="宋体" w:cs="宋体"/>
          <w:sz w:val="24"/>
          <w:szCs w:val="24"/>
        </w:rPr>
        <w:t xml:space="preserve"> </w:t>
      </w:r>
      <w:r>
        <w:rPr>
          <w:rFonts w:ascii="Times New Roman" w:hAnsi="Times New Roman" w:eastAsia="Times New Roman" w:cs="Times New Roman"/>
          <w:sz w:val="24"/>
          <w:szCs w:val="24"/>
        </w:rPr>
        <w:t>MnO</w:t>
      </w:r>
      <w:r>
        <w:rPr>
          <w:rFonts w:ascii="Times New Roman" w:hAnsi="Times New Roman" w:eastAsia="Times New Roman" w:cs="Times New Roman"/>
          <w:position w:val="-1"/>
          <w:sz w:val="15"/>
          <w:szCs w:val="15"/>
        </w:rPr>
        <w:t>2</w:t>
      </w:r>
      <w:r>
        <w:rPr>
          <w:rFonts w:ascii="Times New Roman" w:hAnsi="Times New Roman" w:eastAsia="Times New Roman" w:cs="Times New Roman"/>
          <w:spacing w:val="47"/>
          <w:w w:val="101"/>
          <w:position w:val="-1"/>
          <w:sz w:val="15"/>
          <w:szCs w:val="15"/>
        </w:rPr>
        <w:t xml:space="preserve"> </w:t>
      </w:r>
      <w:r>
        <w:rPr>
          <w:rFonts w:ascii="宋体" w:hAnsi="宋体" w:eastAsia="宋体" w:cs="宋体"/>
          <w:sz w:val="24"/>
          <w:szCs w:val="24"/>
        </w:rPr>
        <w:t xml:space="preserve">的形态存在，属于一般固废，在一般固废暂存库内临时贮存，定期外售用作建材 </w:t>
      </w:r>
      <w:r>
        <w:rPr>
          <w:rFonts w:ascii="宋体" w:hAnsi="宋体" w:eastAsia="宋体" w:cs="宋体"/>
          <w:spacing w:val="-1"/>
          <w:sz w:val="24"/>
          <w:szCs w:val="24"/>
        </w:rPr>
        <w:t>生产原料，措施可行。</w:t>
      </w:r>
    </w:p>
    <w:p w14:paraId="2DA6D7B2">
      <w:pPr>
        <w:spacing w:before="205" w:line="324" w:lineRule="auto"/>
        <w:ind w:left="8" w:right="80" w:firstLine="508"/>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）锰硅炉渣主要成分为</w:t>
      </w:r>
      <w:r>
        <w:rPr>
          <w:rFonts w:ascii="宋体" w:hAnsi="宋体" w:eastAsia="宋体" w:cs="宋体"/>
          <w:spacing w:val="-37"/>
          <w:sz w:val="24"/>
          <w:szCs w:val="24"/>
        </w:rPr>
        <w:t xml:space="preserve"> </w:t>
      </w:r>
      <w:r>
        <w:rPr>
          <w:rFonts w:ascii="Times New Roman" w:hAnsi="Times New Roman" w:eastAsia="Times New Roman" w:cs="Times New Roman"/>
          <w:spacing w:val="-1"/>
          <w:sz w:val="24"/>
          <w:szCs w:val="24"/>
        </w:rPr>
        <w:t>MnO</w:t>
      </w:r>
      <w:r>
        <w:rPr>
          <w:rFonts w:ascii="Times New Roman" w:hAnsi="Times New Roman" w:eastAsia="Times New Roman" w:cs="Times New Roman"/>
          <w:spacing w:val="-34"/>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SiO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0"/>
          <w:position w:val="-1"/>
          <w:sz w:val="15"/>
          <w:szCs w:val="15"/>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Al</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O</w:t>
      </w:r>
      <w:r>
        <w:rPr>
          <w:rFonts w:ascii="Times New Roman" w:hAnsi="Times New Roman" w:eastAsia="Times New Roman" w:cs="Times New Roman"/>
          <w:spacing w:val="-1"/>
          <w:position w:val="-1"/>
          <w:sz w:val="15"/>
          <w:szCs w:val="15"/>
        </w:rPr>
        <w:t>3</w:t>
      </w:r>
      <w:r>
        <w:rPr>
          <w:rFonts w:ascii="Times New Roman" w:hAnsi="Times New Roman" w:eastAsia="Times New Roman" w:cs="Times New Roman"/>
          <w:spacing w:val="-13"/>
          <w:position w:val="-1"/>
          <w:sz w:val="15"/>
          <w:szCs w:val="15"/>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MgO</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CaO </w:t>
      </w:r>
      <w:r>
        <w:rPr>
          <w:rFonts w:ascii="宋体" w:hAnsi="宋体" w:eastAsia="宋体" w:cs="宋体"/>
          <w:spacing w:val="-1"/>
          <w:sz w:val="24"/>
          <w:szCs w:val="24"/>
        </w:rPr>
        <w:t>等。锰硅炉渣经中间</w:t>
      </w:r>
      <w:r>
        <w:rPr>
          <w:rFonts w:ascii="宋体" w:hAnsi="宋体" w:eastAsia="宋体" w:cs="宋体"/>
          <w:sz w:val="24"/>
          <w:szCs w:val="24"/>
        </w:rPr>
        <w:t xml:space="preserve"> </w:t>
      </w:r>
      <w:r>
        <w:rPr>
          <w:rFonts w:ascii="宋体" w:hAnsi="宋体" w:eastAsia="宋体" w:cs="宋体"/>
          <w:spacing w:val="-2"/>
          <w:sz w:val="24"/>
          <w:szCs w:val="24"/>
        </w:rPr>
        <w:t>包进入到内，经冲渣系统水淬后，水淬渣池内水淬渣使用行车抓斗抓出暂存在水淬渣池</w:t>
      </w:r>
      <w:r>
        <w:rPr>
          <w:rFonts w:ascii="宋体" w:hAnsi="宋体" w:eastAsia="宋体" w:cs="宋体"/>
          <w:spacing w:val="17"/>
          <w:sz w:val="24"/>
          <w:szCs w:val="24"/>
        </w:rPr>
        <w:t xml:space="preserve"> </w:t>
      </w:r>
      <w:r>
        <w:rPr>
          <w:rFonts w:ascii="宋体" w:hAnsi="宋体" w:eastAsia="宋体" w:cs="宋体"/>
          <w:spacing w:val="-1"/>
          <w:sz w:val="24"/>
          <w:szCs w:val="24"/>
        </w:rPr>
        <w:t>旁的临时贮渣场，当天由汽车运走外售综合利用，措施可行。</w:t>
      </w:r>
    </w:p>
    <w:p w14:paraId="33553ED2">
      <w:pPr>
        <w:spacing w:before="196" w:line="374" w:lineRule="auto"/>
        <w:ind w:left="7" w:right="80" w:firstLine="480"/>
        <w:jc w:val="both"/>
        <w:rPr>
          <w:rFonts w:ascii="宋体" w:hAnsi="宋体" w:eastAsia="宋体" w:cs="宋体"/>
          <w:sz w:val="24"/>
          <w:szCs w:val="24"/>
        </w:rPr>
      </w:pPr>
      <w:r>
        <w:rPr>
          <w:rFonts w:ascii="宋体" w:hAnsi="宋体" w:eastAsia="宋体" w:cs="宋体"/>
          <w:spacing w:val="-2"/>
          <w:sz w:val="24"/>
          <w:szCs w:val="24"/>
        </w:rPr>
        <w:t>根据《内蒙古自治区苏尼特右旗朱日和工业园区冶金固废填埋场项目环境影响报告</w:t>
      </w:r>
      <w:r>
        <w:rPr>
          <w:rFonts w:ascii="宋体" w:hAnsi="宋体" w:eastAsia="宋体" w:cs="宋体"/>
          <w:spacing w:val="13"/>
          <w:sz w:val="24"/>
          <w:szCs w:val="24"/>
        </w:rPr>
        <w:t xml:space="preserve"> </w:t>
      </w:r>
      <w:r>
        <w:rPr>
          <w:rFonts w:ascii="宋体" w:hAnsi="宋体" w:eastAsia="宋体" w:cs="宋体"/>
          <w:spacing w:val="1"/>
          <w:sz w:val="24"/>
          <w:szCs w:val="24"/>
        </w:rPr>
        <w:t>书》相关结论、水淬渣浸出液分析报告，此类生产工艺产生的</w:t>
      </w:r>
      <w:r>
        <w:rPr>
          <w:rFonts w:ascii="宋体" w:hAnsi="宋体" w:eastAsia="宋体" w:cs="宋体"/>
          <w:sz w:val="24"/>
          <w:szCs w:val="24"/>
        </w:rPr>
        <w:t>水淬渣为</w:t>
      </w:r>
      <w:r>
        <w:rPr>
          <w:rFonts w:ascii="Times New Roman" w:hAnsi="Times New Roman" w:eastAsia="Times New Roman" w:cs="Times New Roman"/>
          <w:sz w:val="24"/>
          <w:szCs w:val="24"/>
        </w:rPr>
        <w:t>Ⅱ</w:t>
      </w:r>
      <w:r>
        <w:rPr>
          <w:rFonts w:ascii="宋体" w:hAnsi="宋体" w:eastAsia="宋体" w:cs="宋体"/>
          <w:sz w:val="24"/>
          <w:szCs w:val="24"/>
        </w:rPr>
        <w:t xml:space="preserve">类一般工业固 </w:t>
      </w:r>
      <w:r>
        <w:rPr>
          <w:rFonts w:ascii="宋体" w:hAnsi="宋体" w:eastAsia="宋体" w:cs="宋体"/>
          <w:spacing w:val="-2"/>
          <w:sz w:val="24"/>
          <w:szCs w:val="24"/>
        </w:rPr>
        <w:t>废。苏尼特右旗华兴实业有限公司已同察哈尔右翼后旗盛达矿粉有限责任公司签订水淬</w:t>
      </w:r>
      <w:r>
        <w:rPr>
          <w:rFonts w:ascii="宋体" w:hAnsi="宋体" w:eastAsia="宋体" w:cs="宋体"/>
          <w:spacing w:val="18"/>
          <w:sz w:val="24"/>
          <w:szCs w:val="24"/>
        </w:rPr>
        <w:t xml:space="preserve"> </w:t>
      </w:r>
      <w:r>
        <w:rPr>
          <w:rFonts w:ascii="宋体" w:hAnsi="宋体" w:eastAsia="宋体" w:cs="宋体"/>
          <w:spacing w:val="-2"/>
          <w:sz w:val="24"/>
          <w:szCs w:val="24"/>
        </w:rPr>
        <w:t>渣供应合同（详见附件</w:t>
      </w:r>
      <w:r>
        <w:rPr>
          <w:rFonts w:ascii="宋体" w:hAnsi="宋体" w:eastAsia="宋体" w:cs="宋体"/>
          <w:spacing w:val="17"/>
          <w:sz w:val="24"/>
          <w:szCs w:val="24"/>
        </w:rPr>
        <w:t>），</w:t>
      </w:r>
      <w:r>
        <w:rPr>
          <w:rFonts w:ascii="宋体" w:hAnsi="宋体" w:eastAsia="宋体" w:cs="宋体"/>
          <w:spacing w:val="-2"/>
          <w:sz w:val="24"/>
          <w:szCs w:val="24"/>
        </w:rPr>
        <w:t>该公司已于</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 xml:space="preserve">2020 </w:t>
      </w:r>
      <w:r>
        <w:rPr>
          <w:rFonts w:ascii="宋体" w:hAnsi="宋体" w:eastAsia="宋体" w:cs="宋体"/>
          <w:spacing w:val="-2"/>
          <w:sz w:val="24"/>
          <w:szCs w:val="24"/>
        </w:rPr>
        <w:t>年</w:t>
      </w:r>
      <w:r>
        <w:rPr>
          <w:rFonts w:ascii="宋体" w:hAnsi="宋体" w:eastAsia="宋体" w:cs="宋体"/>
          <w:spacing w:val="-47"/>
          <w:sz w:val="24"/>
          <w:szCs w:val="24"/>
        </w:rPr>
        <w:t xml:space="preserve"> </w:t>
      </w:r>
      <w:r>
        <w:rPr>
          <w:rFonts w:ascii="Times New Roman" w:hAnsi="Times New Roman" w:eastAsia="Times New Roman" w:cs="Times New Roman"/>
          <w:spacing w:val="-2"/>
          <w:sz w:val="24"/>
          <w:szCs w:val="24"/>
        </w:rPr>
        <w:t>6</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月</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 xml:space="preserve">9  </w:t>
      </w:r>
      <w:r>
        <w:rPr>
          <w:rFonts w:ascii="宋体" w:hAnsi="宋体" w:eastAsia="宋体" w:cs="宋体"/>
          <w:spacing w:val="-2"/>
          <w:sz w:val="24"/>
          <w:szCs w:val="24"/>
        </w:rPr>
        <w:t>日取得乌兰察布市生态环境局察</w:t>
      </w:r>
      <w:r>
        <w:rPr>
          <w:rFonts w:ascii="宋体" w:hAnsi="宋体" w:eastAsia="宋体" w:cs="宋体"/>
          <w:sz w:val="24"/>
          <w:szCs w:val="24"/>
        </w:rPr>
        <w:t xml:space="preserve"> </w:t>
      </w:r>
      <w:r>
        <w:rPr>
          <w:rFonts w:ascii="宋体" w:hAnsi="宋体" w:eastAsia="宋体" w:cs="宋体"/>
          <w:spacing w:val="-1"/>
          <w:sz w:val="24"/>
          <w:szCs w:val="24"/>
        </w:rPr>
        <w:t>右后旗分局《关于察哈尔右翼后旗盛达矿粉有限责任公司</w:t>
      </w:r>
      <w:r>
        <w:rPr>
          <w:rFonts w:ascii="宋体" w:hAnsi="宋体" w:eastAsia="宋体" w:cs="宋体"/>
          <w:spacing w:val="-41"/>
          <w:sz w:val="24"/>
          <w:szCs w:val="24"/>
        </w:rPr>
        <w:t xml:space="preserve"> </w:t>
      </w:r>
      <w:r>
        <w:rPr>
          <w:rFonts w:ascii="Times New Roman" w:hAnsi="Times New Roman" w:eastAsia="Times New Roman" w:cs="Times New Roman"/>
          <w:spacing w:val="-1"/>
          <w:sz w:val="24"/>
          <w:szCs w:val="24"/>
        </w:rPr>
        <w:t>30</w:t>
      </w:r>
      <w:r>
        <w:rPr>
          <w:rFonts w:ascii="Times New Roman" w:hAnsi="Times New Roman" w:eastAsia="Times New Roman" w:cs="Times New Roman"/>
          <w:spacing w:val="15"/>
          <w:w w:val="101"/>
          <w:sz w:val="24"/>
          <w:szCs w:val="24"/>
        </w:rPr>
        <w:t xml:space="preserve"> </w:t>
      </w:r>
      <w:r>
        <w:rPr>
          <w:rFonts w:ascii="宋体" w:hAnsi="宋体" w:eastAsia="宋体" w:cs="宋体"/>
          <w:spacing w:val="-1"/>
          <w:sz w:val="24"/>
          <w:szCs w:val="24"/>
        </w:rPr>
        <w:t>万吨</w:t>
      </w:r>
      <w:r>
        <w:rPr>
          <w:rFonts w:ascii="Times New Roman" w:hAnsi="Times New Roman" w:eastAsia="Times New Roman" w:cs="Times New Roman"/>
          <w:spacing w:val="-1"/>
          <w:sz w:val="24"/>
          <w:szCs w:val="24"/>
        </w:rPr>
        <w:t>/</w:t>
      </w:r>
      <w:r>
        <w:rPr>
          <w:rFonts w:ascii="宋体" w:hAnsi="宋体" w:eastAsia="宋体" w:cs="宋体"/>
          <w:spacing w:val="-1"/>
          <w:sz w:val="24"/>
          <w:szCs w:val="24"/>
        </w:rPr>
        <w:t>年矿渣微粉生产线建</w:t>
      </w:r>
      <w:r>
        <w:rPr>
          <w:rFonts w:ascii="宋体" w:hAnsi="宋体" w:eastAsia="宋体" w:cs="宋体"/>
          <w:sz w:val="24"/>
          <w:szCs w:val="24"/>
        </w:rPr>
        <w:t xml:space="preserve"> </w:t>
      </w:r>
      <w:r>
        <w:rPr>
          <w:rFonts w:ascii="宋体" w:hAnsi="宋体" w:eastAsia="宋体" w:cs="宋体"/>
          <w:spacing w:val="-1"/>
          <w:sz w:val="24"/>
          <w:szCs w:val="24"/>
        </w:rPr>
        <w:t>设项目环境影响报告表的批复》（乌环后审</w:t>
      </w:r>
      <w:r>
        <w:rPr>
          <w:rFonts w:ascii="Times New Roman" w:hAnsi="Times New Roman" w:eastAsia="Times New Roman" w:cs="Times New Roman"/>
          <w:spacing w:val="-1"/>
          <w:sz w:val="24"/>
          <w:szCs w:val="24"/>
        </w:rPr>
        <w:t>[2020]2</w:t>
      </w:r>
      <w:r>
        <w:rPr>
          <w:rFonts w:ascii="Times New Roman" w:hAnsi="Times New Roman" w:eastAsia="Times New Roman" w:cs="Times New Roman"/>
          <w:spacing w:val="16"/>
          <w:w w:val="101"/>
          <w:sz w:val="24"/>
          <w:szCs w:val="24"/>
        </w:rPr>
        <w:t xml:space="preserve"> </w:t>
      </w:r>
      <w:r>
        <w:rPr>
          <w:rFonts w:ascii="宋体" w:hAnsi="宋体" w:eastAsia="宋体" w:cs="宋体"/>
          <w:spacing w:val="-1"/>
          <w:sz w:val="24"/>
          <w:szCs w:val="24"/>
        </w:rPr>
        <w:t>号</w:t>
      </w:r>
      <w:r>
        <w:rPr>
          <w:rFonts w:ascii="宋体" w:hAnsi="宋体" w:eastAsia="宋体" w:cs="宋体"/>
          <w:spacing w:val="6"/>
          <w:sz w:val="24"/>
          <w:szCs w:val="24"/>
        </w:rPr>
        <w:t>），</w:t>
      </w:r>
      <w:r>
        <w:rPr>
          <w:rFonts w:ascii="宋体" w:hAnsi="宋体" w:eastAsia="宋体" w:cs="宋体"/>
          <w:spacing w:val="-1"/>
          <w:sz w:val="24"/>
          <w:szCs w:val="24"/>
        </w:rPr>
        <w:t>该项目已建成</w:t>
      </w:r>
      <w:r>
        <w:rPr>
          <w:rFonts w:ascii="宋体" w:hAnsi="宋体" w:eastAsia="宋体" w:cs="宋体"/>
          <w:spacing w:val="-2"/>
          <w:sz w:val="24"/>
          <w:szCs w:val="24"/>
        </w:rPr>
        <w:t>，主要生产</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30</w:t>
      </w:r>
      <w:r>
        <w:rPr>
          <w:rFonts w:ascii="Times New Roman" w:hAnsi="Times New Roman" w:eastAsia="Times New Roman" w:cs="Times New Roman"/>
          <w:sz w:val="24"/>
          <w:szCs w:val="24"/>
        </w:rPr>
        <w:t xml:space="preserve"> </w:t>
      </w:r>
      <w:r>
        <w:rPr>
          <w:rFonts w:ascii="宋体" w:hAnsi="宋体" w:eastAsia="宋体" w:cs="宋体"/>
          <w:spacing w:val="3"/>
          <w:sz w:val="24"/>
          <w:szCs w:val="24"/>
        </w:rPr>
        <w:t>万</w:t>
      </w:r>
      <w:r>
        <w:rPr>
          <w:rFonts w:ascii="宋体" w:hAnsi="宋体" w:eastAsia="宋体" w:cs="宋体"/>
          <w:spacing w:val="-44"/>
          <w:sz w:val="24"/>
          <w:szCs w:val="24"/>
        </w:rPr>
        <w:t xml:space="preserve"> </w:t>
      </w:r>
      <w:r>
        <w:rPr>
          <w:rFonts w:ascii="Times New Roman" w:hAnsi="Times New Roman" w:eastAsia="Times New Roman" w:cs="Times New Roman"/>
          <w:spacing w:val="3"/>
          <w:sz w:val="24"/>
          <w:szCs w:val="24"/>
        </w:rPr>
        <w:t xml:space="preserve">t/a </w:t>
      </w:r>
      <w:r>
        <w:rPr>
          <w:rFonts w:ascii="宋体" w:hAnsi="宋体" w:eastAsia="宋体" w:cs="宋体"/>
          <w:spacing w:val="3"/>
          <w:sz w:val="24"/>
          <w:szCs w:val="24"/>
        </w:rPr>
        <w:t>矿渣粉，主要原料为年用</w:t>
      </w:r>
      <w:r>
        <w:rPr>
          <w:rFonts w:ascii="宋体" w:hAnsi="宋体" w:eastAsia="宋体" w:cs="宋体"/>
          <w:spacing w:val="-48"/>
          <w:sz w:val="24"/>
          <w:szCs w:val="24"/>
        </w:rPr>
        <w:t xml:space="preserve"> </w:t>
      </w:r>
      <w:r>
        <w:rPr>
          <w:rFonts w:ascii="Times New Roman" w:hAnsi="Times New Roman" w:eastAsia="Times New Roman" w:cs="Times New Roman"/>
          <w:spacing w:val="3"/>
          <w:sz w:val="24"/>
          <w:szCs w:val="24"/>
        </w:rPr>
        <w:t xml:space="preserve">318916.514t </w:t>
      </w:r>
      <w:r>
        <w:rPr>
          <w:rFonts w:ascii="宋体" w:hAnsi="宋体" w:eastAsia="宋体" w:cs="宋体"/>
          <w:spacing w:val="3"/>
          <w:sz w:val="24"/>
          <w:szCs w:val="24"/>
        </w:rPr>
        <w:t>矿渣，另外苏尼特右旗华兴实业有限公司</w:t>
      </w:r>
      <w:r>
        <w:rPr>
          <w:rFonts w:ascii="宋体" w:hAnsi="宋体" w:eastAsia="宋体" w:cs="宋体"/>
          <w:sz w:val="24"/>
          <w:szCs w:val="24"/>
        </w:rPr>
        <w:t xml:space="preserve"> </w:t>
      </w:r>
      <w:r>
        <w:rPr>
          <w:rFonts w:ascii="宋体" w:hAnsi="宋体" w:eastAsia="宋体" w:cs="宋体"/>
          <w:spacing w:val="5"/>
          <w:sz w:val="24"/>
          <w:szCs w:val="24"/>
        </w:rPr>
        <w:t>已免烧砖工程已建成，正在积极筹备运行中，该工程水淬渣储</w:t>
      </w:r>
      <w:r>
        <w:rPr>
          <w:rFonts w:ascii="宋体" w:hAnsi="宋体" w:eastAsia="宋体" w:cs="宋体"/>
          <w:spacing w:val="4"/>
          <w:sz w:val="24"/>
          <w:szCs w:val="24"/>
        </w:rPr>
        <w:t>存场已按照《一般工业</w:t>
      </w:r>
      <w:r>
        <w:rPr>
          <w:rFonts w:ascii="宋体" w:hAnsi="宋体" w:eastAsia="宋体" w:cs="宋体"/>
          <w:sz w:val="24"/>
          <w:szCs w:val="24"/>
        </w:rPr>
        <w:t xml:space="preserve"> </w:t>
      </w:r>
      <w:r>
        <w:rPr>
          <w:rFonts w:ascii="宋体" w:hAnsi="宋体" w:eastAsia="宋体" w:cs="宋体"/>
          <w:spacing w:val="5"/>
          <w:sz w:val="24"/>
          <w:szCs w:val="24"/>
        </w:rPr>
        <w:t>固体废物贮存、处置场污染控制标准》（</w:t>
      </w:r>
      <w:r>
        <w:rPr>
          <w:rFonts w:ascii="Times New Roman" w:hAnsi="Times New Roman" w:eastAsia="Times New Roman" w:cs="Times New Roman"/>
          <w:sz w:val="24"/>
          <w:szCs w:val="24"/>
        </w:rPr>
        <w:t>GB</w:t>
      </w:r>
      <w:r>
        <w:rPr>
          <w:rFonts w:ascii="Times New Roman" w:hAnsi="Times New Roman" w:eastAsia="Times New Roman" w:cs="Times New Roman"/>
          <w:spacing w:val="5"/>
          <w:sz w:val="24"/>
          <w:szCs w:val="24"/>
        </w:rPr>
        <w:t>18599-2001</w:t>
      </w:r>
      <w:r>
        <w:rPr>
          <w:rFonts w:ascii="宋体" w:hAnsi="宋体" w:eastAsia="宋体" w:cs="宋体"/>
          <w:spacing w:val="5"/>
          <w:sz w:val="24"/>
          <w:szCs w:val="24"/>
        </w:rPr>
        <w:t>）</w:t>
      </w:r>
      <w:r>
        <w:rPr>
          <w:rFonts w:ascii="Times New Roman" w:hAnsi="Times New Roman" w:eastAsia="Times New Roman" w:cs="Times New Roman"/>
          <w:spacing w:val="5"/>
          <w:sz w:val="24"/>
          <w:szCs w:val="24"/>
        </w:rPr>
        <w:t>Ⅱ</w:t>
      </w:r>
      <w:r>
        <w:rPr>
          <w:rFonts w:ascii="宋体" w:hAnsi="宋体" w:eastAsia="宋体" w:cs="宋体"/>
          <w:spacing w:val="5"/>
          <w:sz w:val="24"/>
          <w:szCs w:val="24"/>
        </w:rPr>
        <w:t>类场要求建设，地面渗透</w:t>
      </w:r>
      <w:r>
        <w:rPr>
          <w:rFonts w:ascii="宋体" w:hAnsi="宋体" w:eastAsia="宋体" w:cs="宋体"/>
          <w:spacing w:val="1"/>
          <w:sz w:val="24"/>
          <w:szCs w:val="24"/>
        </w:rPr>
        <w:t xml:space="preserve"> </w:t>
      </w:r>
      <w:r>
        <w:rPr>
          <w:rFonts w:ascii="宋体" w:hAnsi="宋体" w:eastAsia="宋体" w:cs="宋体"/>
          <w:spacing w:val="5"/>
          <w:sz w:val="24"/>
          <w:szCs w:val="24"/>
        </w:rPr>
        <w:t>系数</w:t>
      </w:r>
      <w:r>
        <w:rPr>
          <w:rFonts w:ascii="Times New Roman" w:hAnsi="Times New Roman" w:eastAsia="Times New Roman" w:cs="Times New Roman"/>
          <w:spacing w:val="5"/>
          <w:sz w:val="24"/>
          <w:szCs w:val="24"/>
        </w:rPr>
        <w:t>≤10</w:t>
      </w:r>
      <w:r>
        <w:rPr>
          <w:rFonts w:ascii="Times New Roman" w:hAnsi="Times New Roman" w:eastAsia="Times New Roman" w:cs="Times New Roman"/>
          <w:spacing w:val="5"/>
          <w:position w:val="8"/>
          <w:sz w:val="15"/>
          <w:szCs w:val="15"/>
        </w:rPr>
        <w:t>-7</w:t>
      </w:r>
      <w:r>
        <w:rPr>
          <w:rFonts w:ascii="Times New Roman" w:hAnsi="Times New Roman" w:eastAsia="Times New Roman" w:cs="Times New Roman"/>
          <w:sz w:val="24"/>
          <w:szCs w:val="24"/>
        </w:rPr>
        <w:t>cm</w:t>
      </w:r>
      <w:r>
        <w:rPr>
          <w:rFonts w:ascii="Times New Roman" w:hAnsi="Times New Roman" w:eastAsia="Times New Roman" w:cs="Times New Roman"/>
          <w:spacing w:val="5"/>
          <w:sz w:val="24"/>
          <w:szCs w:val="24"/>
        </w:rPr>
        <w:t>/s</w:t>
      </w:r>
      <w:r>
        <w:rPr>
          <w:rFonts w:ascii="宋体" w:hAnsi="宋体" w:eastAsia="宋体" w:cs="宋体"/>
          <w:spacing w:val="5"/>
          <w:sz w:val="24"/>
          <w:szCs w:val="24"/>
        </w:rPr>
        <w:t>，堆场内设置导流沟槽，水淬渣作为</w:t>
      </w:r>
      <w:r>
        <w:rPr>
          <w:rFonts w:ascii="宋体" w:hAnsi="宋体" w:eastAsia="宋体" w:cs="宋体"/>
          <w:spacing w:val="4"/>
          <w:sz w:val="24"/>
          <w:szCs w:val="24"/>
        </w:rPr>
        <w:t>生产免烧砖原料综合利用，年消耗</w:t>
      </w:r>
      <w:r>
        <w:rPr>
          <w:rFonts w:ascii="宋体" w:hAnsi="宋体" w:eastAsia="宋体" w:cs="宋体"/>
          <w:sz w:val="24"/>
          <w:szCs w:val="24"/>
        </w:rPr>
        <w:t xml:space="preserve"> </w:t>
      </w:r>
      <w:r>
        <w:rPr>
          <w:rFonts w:ascii="宋体" w:hAnsi="宋体" w:eastAsia="宋体" w:cs="宋体"/>
          <w:spacing w:val="2"/>
          <w:sz w:val="24"/>
          <w:szCs w:val="24"/>
        </w:rPr>
        <w:t>硅锰合金渣</w:t>
      </w:r>
      <w:r>
        <w:rPr>
          <w:rFonts w:ascii="宋体" w:hAnsi="宋体" w:eastAsia="宋体" w:cs="宋体"/>
          <w:spacing w:val="-39"/>
          <w:sz w:val="24"/>
          <w:szCs w:val="24"/>
        </w:rPr>
        <w:t xml:space="preserve"> </w:t>
      </w:r>
      <w:r>
        <w:rPr>
          <w:rFonts w:ascii="Times New Roman" w:hAnsi="Times New Roman" w:eastAsia="Times New Roman" w:cs="Times New Roman"/>
          <w:spacing w:val="2"/>
          <w:sz w:val="24"/>
          <w:szCs w:val="24"/>
        </w:rPr>
        <w:t>90000t</w:t>
      </w:r>
      <w:r>
        <w:rPr>
          <w:rFonts w:ascii="Times New Roman" w:hAnsi="Times New Roman" w:eastAsia="Times New Roman" w:cs="Times New Roman"/>
          <w:spacing w:val="-25"/>
          <w:sz w:val="24"/>
          <w:szCs w:val="24"/>
        </w:rPr>
        <w:t xml:space="preserve"> </w:t>
      </w:r>
      <w:r>
        <w:rPr>
          <w:rFonts w:ascii="宋体" w:hAnsi="宋体" w:eastAsia="宋体" w:cs="宋体"/>
          <w:spacing w:val="2"/>
          <w:sz w:val="24"/>
          <w:szCs w:val="24"/>
        </w:rPr>
        <w:t>，</w:t>
      </w:r>
      <w:r>
        <w:rPr>
          <w:rFonts w:ascii="宋体" w:hAnsi="宋体" w:eastAsia="宋体" w:cs="宋体"/>
          <w:spacing w:val="-60"/>
          <w:sz w:val="24"/>
          <w:szCs w:val="24"/>
        </w:rPr>
        <w:t xml:space="preserve"> </w:t>
      </w:r>
      <w:r>
        <w:rPr>
          <w:rFonts w:ascii="宋体" w:hAnsi="宋体" w:eastAsia="宋体" w:cs="宋体"/>
          <w:spacing w:val="2"/>
          <w:sz w:val="24"/>
          <w:szCs w:val="24"/>
        </w:rPr>
        <w:t>目前，苏尼特右旗华</w:t>
      </w:r>
      <w:r>
        <w:rPr>
          <w:rFonts w:ascii="宋体" w:hAnsi="宋体" w:eastAsia="宋体" w:cs="宋体"/>
          <w:spacing w:val="1"/>
          <w:sz w:val="24"/>
          <w:szCs w:val="24"/>
        </w:rPr>
        <w:t>兴西厂区铁合金预计年产废渣</w:t>
      </w:r>
      <w:r>
        <w:rPr>
          <w:rFonts w:ascii="宋体" w:hAnsi="宋体" w:eastAsia="宋体" w:cs="宋体"/>
          <w:spacing w:val="-41"/>
          <w:sz w:val="24"/>
          <w:szCs w:val="24"/>
        </w:rPr>
        <w:t xml:space="preserve"> </w:t>
      </w:r>
      <w:r>
        <w:rPr>
          <w:rFonts w:ascii="Times New Roman" w:hAnsi="Times New Roman" w:eastAsia="Times New Roman" w:cs="Times New Roman"/>
          <w:spacing w:val="1"/>
          <w:sz w:val="24"/>
          <w:szCs w:val="24"/>
        </w:rPr>
        <w:t>91201t/a</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，本</w:t>
      </w:r>
    </w:p>
    <w:p w14:paraId="2702F917">
      <w:pPr>
        <w:spacing w:line="374" w:lineRule="auto"/>
        <w:rPr>
          <w:rFonts w:ascii="宋体" w:hAnsi="宋体" w:eastAsia="宋体" w:cs="宋体"/>
          <w:sz w:val="24"/>
          <w:szCs w:val="24"/>
        </w:rPr>
        <w:sectPr>
          <w:headerReference r:id="rId463" w:type="default"/>
          <w:footerReference r:id="rId464" w:type="default"/>
          <w:pgSz w:w="11906" w:h="16839"/>
          <w:pgMar w:top="1190" w:right="1337" w:bottom="1221" w:left="1417" w:header="882" w:footer="1059" w:gutter="0"/>
          <w:cols w:space="720" w:num="1"/>
        </w:sectPr>
      </w:pPr>
    </w:p>
    <w:p w14:paraId="1EB53CEA">
      <w:pPr>
        <w:spacing w:line="28" w:lineRule="exact"/>
      </w:pPr>
      <w:r>
        <w:pict>
          <v:shape id="_x0000_s3073" o:spid="_x0000_s3073" style="height:1.45pt;width:453.65pt;" fillcolor="#000000" filled="t" stroked="f" coordsize="9072,29" path="m0,0l9072,0,9072,28,0,28,0,0xe">
            <v:path/>
            <v:fill on="t" focussize="0,0"/>
            <v:stroke on="f"/>
            <v:imagedata o:title=""/>
            <o:lock v:ext="edit"/>
            <w10:wrap type="none"/>
            <w10:anchorlock/>
          </v:shape>
        </w:pict>
      </w:r>
    </w:p>
    <w:p w14:paraId="44AC5CCC">
      <w:pPr>
        <w:pStyle w:val="2"/>
        <w:spacing w:line="242" w:lineRule="auto"/>
      </w:pPr>
    </w:p>
    <w:p w14:paraId="14EAF342">
      <w:pPr>
        <w:spacing w:before="78" w:line="363" w:lineRule="auto"/>
        <w:ind w:left="10" w:right="77" w:firstLine="1"/>
        <w:rPr>
          <w:rFonts w:ascii="宋体" w:hAnsi="宋体" w:eastAsia="宋体" w:cs="宋体"/>
          <w:sz w:val="24"/>
          <w:szCs w:val="24"/>
        </w:rPr>
      </w:pPr>
      <w:r>
        <w:rPr>
          <w:rFonts w:ascii="宋体" w:hAnsi="宋体" w:eastAsia="宋体" w:cs="宋体"/>
          <w:spacing w:val="2"/>
          <w:sz w:val="24"/>
          <w:szCs w:val="24"/>
        </w:rPr>
        <w:t>项目锰硅炉渣量</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233696t/a</w:t>
      </w:r>
      <w:r>
        <w:rPr>
          <w:rFonts w:ascii="Times New Roman" w:hAnsi="Times New Roman" w:eastAsia="Times New Roman" w:cs="Times New Roman"/>
          <w:spacing w:val="-29"/>
          <w:sz w:val="24"/>
          <w:szCs w:val="24"/>
        </w:rPr>
        <w:t xml:space="preserve"> </w:t>
      </w:r>
      <w:r>
        <w:rPr>
          <w:rFonts w:ascii="宋体" w:hAnsi="宋体" w:eastAsia="宋体" w:cs="宋体"/>
          <w:spacing w:val="2"/>
          <w:sz w:val="24"/>
          <w:szCs w:val="24"/>
        </w:rPr>
        <w:t>，察哈尔右翼后旗盛达矿粉有限责任公司与免烧砖工程</w:t>
      </w:r>
      <w:r>
        <w:rPr>
          <w:rFonts w:ascii="宋体" w:hAnsi="宋体" w:eastAsia="宋体" w:cs="宋体"/>
          <w:spacing w:val="1"/>
          <w:sz w:val="24"/>
          <w:szCs w:val="24"/>
        </w:rPr>
        <w:t>完全</w:t>
      </w:r>
      <w:r>
        <w:rPr>
          <w:rFonts w:ascii="宋体" w:hAnsi="宋体" w:eastAsia="宋体" w:cs="宋体"/>
          <w:sz w:val="24"/>
          <w:szCs w:val="24"/>
        </w:rPr>
        <w:t xml:space="preserve"> </w:t>
      </w:r>
      <w:r>
        <w:rPr>
          <w:rFonts w:ascii="宋体" w:hAnsi="宋体" w:eastAsia="宋体" w:cs="宋体"/>
          <w:spacing w:val="-1"/>
          <w:sz w:val="24"/>
          <w:szCs w:val="24"/>
        </w:rPr>
        <w:t>可消纳本项目废渣，因此措施可行，依托可行。</w:t>
      </w:r>
    </w:p>
    <w:p w14:paraId="753A52F7">
      <w:pPr>
        <w:spacing w:before="31" w:line="373" w:lineRule="auto"/>
        <w:ind w:left="1" w:right="87" w:firstLine="508"/>
        <w:jc w:val="both"/>
        <w:rPr>
          <w:rFonts w:ascii="宋体" w:hAnsi="宋体" w:eastAsia="宋体" w:cs="宋体"/>
          <w:sz w:val="24"/>
          <w:szCs w:val="24"/>
        </w:rPr>
      </w:pPr>
      <w:r>
        <w:rPr>
          <w:rFonts w:ascii="宋体" w:hAnsi="宋体" w:eastAsia="宋体" w:cs="宋体"/>
          <w:spacing w:val="4"/>
          <w:sz w:val="24"/>
          <w:szCs w:val="24"/>
        </w:rPr>
        <w:t>苏尼特右旗朱日和工业园区冶金固废填埋场目前正在建设中，如遇销售不畅等情</w:t>
      </w:r>
      <w:r>
        <w:rPr>
          <w:rFonts w:ascii="宋体" w:hAnsi="宋体" w:eastAsia="宋体" w:cs="宋体"/>
          <w:spacing w:val="12"/>
          <w:sz w:val="24"/>
          <w:szCs w:val="24"/>
        </w:rPr>
        <w:t xml:space="preserve"> </w:t>
      </w:r>
      <w:r>
        <w:rPr>
          <w:rFonts w:ascii="宋体" w:hAnsi="宋体" w:eastAsia="宋体" w:cs="宋体"/>
          <w:spacing w:val="5"/>
          <w:sz w:val="24"/>
          <w:szCs w:val="24"/>
        </w:rPr>
        <w:t>况，水淬渣及重选废渣可在本项目厂区内固废堆存场地暂存，待苏尼特右旗</w:t>
      </w:r>
      <w:r>
        <w:rPr>
          <w:rFonts w:ascii="宋体" w:hAnsi="宋体" w:eastAsia="宋体" w:cs="宋体"/>
          <w:spacing w:val="4"/>
          <w:sz w:val="24"/>
          <w:szCs w:val="24"/>
        </w:rPr>
        <w:t>朱日和工</w:t>
      </w:r>
      <w:r>
        <w:rPr>
          <w:rFonts w:ascii="宋体" w:hAnsi="宋体" w:eastAsia="宋体" w:cs="宋体"/>
          <w:sz w:val="24"/>
          <w:szCs w:val="24"/>
        </w:rPr>
        <w:t xml:space="preserve"> </w:t>
      </w:r>
      <w:r>
        <w:rPr>
          <w:rFonts w:ascii="宋体" w:hAnsi="宋体" w:eastAsia="宋体" w:cs="宋体"/>
          <w:spacing w:val="5"/>
          <w:sz w:val="24"/>
          <w:szCs w:val="24"/>
        </w:rPr>
        <w:t>业园区冶金固废填埋场建成后，拉运到填埋场进行填埋处理。内蒙古自治区</w:t>
      </w:r>
      <w:r>
        <w:rPr>
          <w:rFonts w:ascii="宋体" w:hAnsi="宋体" w:eastAsia="宋体" w:cs="宋体"/>
          <w:spacing w:val="4"/>
          <w:sz w:val="24"/>
          <w:szCs w:val="24"/>
        </w:rPr>
        <w:t>苏尼特右</w:t>
      </w:r>
      <w:r>
        <w:rPr>
          <w:rFonts w:ascii="宋体" w:hAnsi="宋体" w:eastAsia="宋体" w:cs="宋体"/>
          <w:sz w:val="24"/>
          <w:szCs w:val="24"/>
        </w:rPr>
        <w:t xml:space="preserve"> </w:t>
      </w:r>
      <w:r>
        <w:rPr>
          <w:rFonts w:ascii="宋体" w:hAnsi="宋体" w:eastAsia="宋体" w:cs="宋体"/>
          <w:spacing w:val="4"/>
          <w:sz w:val="24"/>
          <w:szCs w:val="24"/>
        </w:rPr>
        <w:t>旗朱日和工业园区冶金固废填埋场项目距离朱日和工业园区约</w:t>
      </w:r>
      <w:r>
        <w:rPr>
          <w:rFonts w:ascii="宋体" w:hAnsi="宋体" w:eastAsia="宋体" w:cs="宋体"/>
          <w:spacing w:val="-30"/>
          <w:sz w:val="24"/>
          <w:szCs w:val="24"/>
        </w:rPr>
        <w:t xml:space="preserve"> </w:t>
      </w:r>
      <w:r>
        <w:rPr>
          <w:rFonts w:ascii="Times New Roman" w:hAnsi="Times New Roman" w:eastAsia="Times New Roman" w:cs="Times New Roman"/>
          <w:spacing w:val="4"/>
          <w:sz w:val="24"/>
          <w:szCs w:val="24"/>
        </w:rPr>
        <w:t>2</w:t>
      </w:r>
      <w:r>
        <w:rPr>
          <w:rFonts w:ascii="Times New Roman" w:hAnsi="Times New Roman" w:eastAsia="Times New Roman" w:cs="Times New Roman"/>
          <w:sz w:val="24"/>
          <w:szCs w:val="24"/>
        </w:rPr>
        <w:t>km</w:t>
      </w:r>
      <w:r>
        <w:rPr>
          <w:rFonts w:ascii="宋体" w:hAnsi="宋体" w:eastAsia="宋体" w:cs="宋体"/>
          <w:spacing w:val="4"/>
          <w:sz w:val="24"/>
          <w:szCs w:val="24"/>
        </w:rPr>
        <w:t>，项目总占地面积</w:t>
      </w:r>
      <w:r>
        <w:rPr>
          <w:rFonts w:ascii="宋体" w:hAnsi="宋体" w:eastAsia="宋体" w:cs="宋体"/>
          <w:sz w:val="24"/>
          <w:szCs w:val="24"/>
        </w:rPr>
        <w:t xml:space="preserve"> </w:t>
      </w:r>
      <w:r>
        <w:rPr>
          <w:rFonts w:ascii="Times New Roman" w:hAnsi="Times New Roman" w:eastAsia="Times New Roman" w:cs="Times New Roman"/>
          <w:spacing w:val="2"/>
          <w:sz w:val="24"/>
          <w:szCs w:val="24"/>
        </w:rPr>
        <w:t>44.2</w:t>
      </w:r>
      <w:r>
        <w:rPr>
          <w:rFonts w:ascii="Times New Roman" w:hAnsi="Times New Roman" w:eastAsia="Times New Roman" w:cs="Times New Roman"/>
          <w:sz w:val="24"/>
          <w:szCs w:val="24"/>
        </w:rPr>
        <w:t>hm</w:t>
      </w:r>
      <w:r>
        <w:rPr>
          <w:rFonts w:ascii="Times New Roman" w:hAnsi="Times New Roman" w:eastAsia="Times New Roman" w:cs="Times New Roman"/>
          <w:spacing w:val="2"/>
          <w:position w:val="7"/>
          <w:sz w:val="15"/>
          <w:szCs w:val="15"/>
        </w:rPr>
        <w:t xml:space="preserve">2 </w:t>
      </w:r>
      <w:r>
        <w:rPr>
          <w:rFonts w:ascii="宋体" w:hAnsi="宋体" w:eastAsia="宋体" w:cs="宋体"/>
          <w:spacing w:val="2"/>
          <w:sz w:val="24"/>
          <w:szCs w:val="24"/>
        </w:rPr>
        <w:t>；堆置容积为</w:t>
      </w:r>
      <w:r>
        <w:rPr>
          <w:rFonts w:ascii="宋体" w:hAnsi="宋体" w:eastAsia="宋体" w:cs="宋体"/>
          <w:spacing w:val="-41"/>
          <w:sz w:val="24"/>
          <w:szCs w:val="24"/>
        </w:rPr>
        <w:t xml:space="preserve"> </w:t>
      </w:r>
      <w:r>
        <w:rPr>
          <w:rFonts w:ascii="Times New Roman" w:hAnsi="Times New Roman" w:eastAsia="Times New Roman" w:cs="Times New Roman"/>
          <w:spacing w:val="2"/>
          <w:sz w:val="24"/>
          <w:szCs w:val="24"/>
        </w:rPr>
        <w:t>950×10</w:t>
      </w:r>
      <w:r>
        <w:rPr>
          <w:rFonts w:ascii="Times New Roman" w:hAnsi="Times New Roman" w:eastAsia="Times New Roman" w:cs="Times New Roman"/>
          <w:spacing w:val="2"/>
          <w:position w:val="7"/>
          <w:sz w:val="15"/>
          <w:szCs w:val="15"/>
        </w:rPr>
        <w:t>4</w:t>
      </w:r>
      <w:r>
        <w:rPr>
          <w:rFonts w:ascii="Times New Roman" w:hAnsi="Times New Roman" w:eastAsia="Times New Roman" w:cs="Times New Roman"/>
          <w:spacing w:val="2"/>
          <w:sz w:val="24"/>
          <w:szCs w:val="24"/>
        </w:rPr>
        <w:t>m</w:t>
      </w:r>
      <w:r>
        <w:rPr>
          <w:rFonts w:ascii="Times New Roman" w:hAnsi="Times New Roman" w:eastAsia="Times New Roman" w:cs="Times New Roman"/>
          <w:spacing w:val="2"/>
          <w:position w:val="7"/>
          <w:sz w:val="15"/>
          <w:szCs w:val="15"/>
        </w:rPr>
        <w:t xml:space="preserve">3 </w:t>
      </w:r>
      <w:r>
        <w:rPr>
          <w:rFonts w:ascii="宋体" w:hAnsi="宋体" w:eastAsia="宋体" w:cs="宋体"/>
          <w:spacing w:val="2"/>
          <w:sz w:val="24"/>
          <w:szCs w:val="24"/>
        </w:rPr>
        <w:t>，总有</w:t>
      </w:r>
      <w:r>
        <w:rPr>
          <w:rFonts w:ascii="宋体" w:hAnsi="宋体" w:eastAsia="宋体" w:cs="宋体"/>
          <w:spacing w:val="1"/>
          <w:sz w:val="24"/>
          <w:szCs w:val="24"/>
        </w:rPr>
        <w:t>效库容为</w:t>
      </w:r>
      <w:r>
        <w:rPr>
          <w:rFonts w:ascii="宋体" w:hAnsi="宋体" w:eastAsia="宋体" w:cs="宋体"/>
          <w:spacing w:val="-36"/>
          <w:sz w:val="24"/>
          <w:szCs w:val="24"/>
        </w:rPr>
        <w:t xml:space="preserve"> </w:t>
      </w:r>
      <w:r>
        <w:rPr>
          <w:rFonts w:ascii="Times New Roman" w:hAnsi="Times New Roman" w:eastAsia="Times New Roman" w:cs="Times New Roman"/>
          <w:spacing w:val="1"/>
          <w:sz w:val="24"/>
          <w:szCs w:val="24"/>
        </w:rPr>
        <w:t>860×10</w:t>
      </w:r>
      <w:r>
        <w:rPr>
          <w:rFonts w:ascii="Times New Roman" w:hAnsi="Times New Roman" w:eastAsia="Times New Roman" w:cs="Times New Roman"/>
          <w:spacing w:val="1"/>
          <w:position w:val="7"/>
          <w:sz w:val="15"/>
          <w:szCs w:val="15"/>
        </w:rPr>
        <w:t>4</w:t>
      </w:r>
      <w:r>
        <w:rPr>
          <w:rFonts w:ascii="Times New Roman" w:hAnsi="Times New Roman" w:eastAsia="Times New Roman" w:cs="Times New Roman"/>
          <w:spacing w:val="1"/>
          <w:sz w:val="24"/>
          <w:szCs w:val="24"/>
        </w:rPr>
        <w:t>m</w:t>
      </w:r>
      <w:r>
        <w:rPr>
          <w:rFonts w:ascii="Times New Roman" w:hAnsi="Times New Roman" w:eastAsia="Times New Roman" w:cs="Times New Roman"/>
          <w:spacing w:val="1"/>
          <w:position w:val="7"/>
          <w:sz w:val="15"/>
          <w:szCs w:val="15"/>
        </w:rPr>
        <w:t xml:space="preserve">3 </w:t>
      </w:r>
      <w:r>
        <w:rPr>
          <w:rFonts w:ascii="宋体" w:hAnsi="宋体" w:eastAsia="宋体" w:cs="宋体"/>
          <w:spacing w:val="1"/>
          <w:sz w:val="24"/>
          <w:szCs w:val="24"/>
        </w:rPr>
        <w:t>；废物年处置量</w:t>
      </w:r>
      <w:r>
        <w:rPr>
          <w:rFonts w:ascii="宋体" w:hAnsi="宋体" w:eastAsia="宋体" w:cs="宋体"/>
          <w:spacing w:val="-22"/>
          <w:sz w:val="24"/>
          <w:szCs w:val="24"/>
        </w:rPr>
        <w:t xml:space="preserve"> </w:t>
      </w:r>
      <w:r>
        <w:rPr>
          <w:rFonts w:ascii="Times New Roman" w:hAnsi="Times New Roman" w:eastAsia="Times New Roman" w:cs="Times New Roman"/>
          <w:spacing w:val="1"/>
          <w:sz w:val="24"/>
          <w:szCs w:val="24"/>
        </w:rPr>
        <w:t>133.3</w:t>
      </w:r>
      <w:r>
        <w:rPr>
          <w:rFonts w:ascii="Times New Roman" w:hAnsi="Times New Roman" w:eastAsia="Times New Roman" w:cs="Times New Roman"/>
          <w:spacing w:val="25"/>
          <w:sz w:val="24"/>
          <w:szCs w:val="24"/>
        </w:rPr>
        <w:t xml:space="preserve"> </w:t>
      </w:r>
      <w:r>
        <w:rPr>
          <w:rFonts w:ascii="宋体" w:hAnsi="宋体" w:eastAsia="宋体" w:cs="宋体"/>
          <w:spacing w:val="1"/>
          <w:sz w:val="24"/>
          <w:szCs w:val="24"/>
        </w:rPr>
        <w:t>万</w:t>
      </w:r>
      <w:r>
        <w:rPr>
          <w:rFonts w:ascii="宋体" w:hAnsi="宋体" w:eastAsia="宋体" w:cs="宋体"/>
          <w:sz w:val="24"/>
          <w:szCs w:val="24"/>
        </w:rPr>
        <w:t xml:space="preserve"> </w:t>
      </w:r>
      <w:r>
        <w:rPr>
          <w:rFonts w:ascii="Times New Roman" w:hAnsi="Times New Roman" w:eastAsia="Times New Roman" w:cs="Times New Roman"/>
          <w:spacing w:val="4"/>
          <w:sz w:val="24"/>
          <w:szCs w:val="24"/>
        </w:rPr>
        <w:t>t/a</w:t>
      </w:r>
      <w:r>
        <w:rPr>
          <w:rFonts w:ascii="Times New Roman" w:hAnsi="Times New Roman" w:eastAsia="Times New Roman" w:cs="Times New Roman"/>
          <w:spacing w:val="-23"/>
          <w:sz w:val="24"/>
          <w:szCs w:val="24"/>
        </w:rPr>
        <w:t xml:space="preserve"> </w:t>
      </w:r>
      <w:r>
        <w:rPr>
          <w:rFonts w:ascii="宋体" w:hAnsi="宋体" w:eastAsia="宋体" w:cs="宋体"/>
          <w:spacing w:val="4"/>
          <w:sz w:val="24"/>
          <w:szCs w:val="24"/>
        </w:rPr>
        <w:t>，服务年限约</w:t>
      </w:r>
      <w:r>
        <w:rPr>
          <w:rFonts w:ascii="宋体" w:hAnsi="宋体" w:eastAsia="宋体" w:cs="宋体"/>
          <w:spacing w:val="-36"/>
          <w:sz w:val="24"/>
          <w:szCs w:val="24"/>
        </w:rPr>
        <w:t xml:space="preserve"> </w:t>
      </w:r>
      <w:r>
        <w:rPr>
          <w:rFonts w:ascii="Times New Roman" w:hAnsi="Times New Roman" w:eastAsia="Times New Roman" w:cs="Times New Roman"/>
          <w:spacing w:val="4"/>
          <w:sz w:val="24"/>
          <w:szCs w:val="24"/>
        </w:rPr>
        <w:t>8.6</w:t>
      </w:r>
      <w:r>
        <w:rPr>
          <w:rFonts w:ascii="Times New Roman" w:hAnsi="Times New Roman" w:eastAsia="Times New Roman" w:cs="Times New Roman"/>
          <w:spacing w:val="20"/>
          <w:sz w:val="24"/>
          <w:szCs w:val="24"/>
        </w:rPr>
        <w:t xml:space="preserve"> </w:t>
      </w:r>
      <w:r>
        <w:rPr>
          <w:rFonts w:ascii="宋体" w:hAnsi="宋体" w:eastAsia="宋体" w:cs="宋体"/>
          <w:spacing w:val="4"/>
          <w:sz w:val="24"/>
          <w:szCs w:val="24"/>
        </w:rPr>
        <w:t>年。主要用于存储园区金属冶炼生产过程中产生的废渣。该项目</w:t>
      </w:r>
      <w:r>
        <w:rPr>
          <w:rFonts w:ascii="宋体" w:hAnsi="宋体" w:eastAsia="宋体" w:cs="宋体"/>
          <w:sz w:val="24"/>
          <w:szCs w:val="24"/>
        </w:rPr>
        <w:t xml:space="preserve"> </w:t>
      </w:r>
      <w:r>
        <w:rPr>
          <w:rFonts w:ascii="宋体" w:hAnsi="宋体" w:eastAsia="宋体" w:cs="宋体"/>
          <w:spacing w:val="1"/>
          <w:sz w:val="24"/>
          <w:szCs w:val="24"/>
        </w:rPr>
        <w:t>已于</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2020</w:t>
      </w:r>
      <w:r>
        <w:rPr>
          <w:rFonts w:ascii="Times New Roman" w:hAnsi="Times New Roman" w:eastAsia="Times New Roman" w:cs="Times New Roman"/>
          <w:spacing w:val="20"/>
          <w:w w:val="101"/>
          <w:sz w:val="24"/>
          <w:szCs w:val="24"/>
        </w:rPr>
        <w:t xml:space="preserve"> </w:t>
      </w:r>
      <w:r>
        <w:rPr>
          <w:rFonts w:ascii="宋体" w:hAnsi="宋体" w:eastAsia="宋体" w:cs="宋体"/>
          <w:spacing w:val="1"/>
          <w:sz w:val="24"/>
          <w:szCs w:val="24"/>
        </w:rPr>
        <w:t>年</w:t>
      </w:r>
      <w:r>
        <w:rPr>
          <w:rFonts w:ascii="宋体" w:hAnsi="宋体" w:eastAsia="宋体" w:cs="宋体"/>
          <w:spacing w:val="-38"/>
          <w:sz w:val="24"/>
          <w:szCs w:val="24"/>
        </w:rPr>
        <w:t xml:space="preserve"> </w:t>
      </w:r>
      <w:r>
        <w:rPr>
          <w:rFonts w:ascii="Times New Roman" w:hAnsi="Times New Roman" w:eastAsia="Times New Roman" w:cs="Times New Roman"/>
          <w:spacing w:val="1"/>
          <w:sz w:val="24"/>
          <w:szCs w:val="24"/>
        </w:rPr>
        <w:t>3</w:t>
      </w:r>
      <w:r>
        <w:rPr>
          <w:rFonts w:ascii="Times New Roman" w:hAnsi="Times New Roman" w:eastAsia="Times New Roman" w:cs="Times New Roman"/>
          <w:spacing w:val="20"/>
          <w:sz w:val="24"/>
          <w:szCs w:val="24"/>
        </w:rPr>
        <w:t xml:space="preserve"> </w:t>
      </w:r>
      <w:r>
        <w:rPr>
          <w:rFonts w:ascii="宋体" w:hAnsi="宋体" w:eastAsia="宋体" w:cs="宋体"/>
          <w:spacing w:val="1"/>
          <w:sz w:val="24"/>
          <w:szCs w:val="24"/>
        </w:rPr>
        <w:t>月</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27</w:t>
      </w:r>
      <w:r>
        <w:rPr>
          <w:rFonts w:ascii="Times New Roman" w:hAnsi="Times New Roman" w:eastAsia="Times New Roman" w:cs="Times New Roman"/>
          <w:spacing w:val="58"/>
          <w:sz w:val="24"/>
          <w:szCs w:val="24"/>
        </w:rPr>
        <w:t xml:space="preserve"> </w:t>
      </w:r>
      <w:r>
        <w:rPr>
          <w:rFonts w:ascii="宋体" w:hAnsi="宋体" w:eastAsia="宋体" w:cs="宋体"/>
          <w:spacing w:val="1"/>
          <w:sz w:val="24"/>
          <w:szCs w:val="24"/>
        </w:rPr>
        <w:t>日取得《苏尼特右旗环境保护局关于内蒙</w:t>
      </w:r>
      <w:r>
        <w:rPr>
          <w:rFonts w:ascii="宋体" w:hAnsi="宋体" w:eastAsia="宋体" w:cs="宋体"/>
          <w:sz w:val="24"/>
          <w:szCs w:val="24"/>
        </w:rPr>
        <w:t xml:space="preserve">古自治区苏尼特右旗朱 </w:t>
      </w:r>
      <w:r>
        <w:rPr>
          <w:rFonts w:ascii="宋体" w:hAnsi="宋体" w:eastAsia="宋体" w:cs="宋体"/>
          <w:spacing w:val="6"/>
          <w:sz w:val="24"/>
          <w:szCs w:val="24"/>
        </w:rPr>
        <w:t>日和工业园区冶金固废填埋场项目的批复》（苏右环审书</w:t>
      </w:r>
      <w:r>
        <w:rPr>
          <w:rFonts w:ascii="Times New Roman" w:hAnsi="Times New Roman" w:eastAsia="Times New Roman" w:cs="Times New Roman"/>
          <w:spacing w:val="6"/>
          <w:sz w:val="24"/>
          <w:szCs w:val="24"/>
        </w:rPr>
        <w:t>[2</w:t>
      </w:r>
      <w:r>
        <w:rPr>
          <w:rFonts w:ascii="Times New Roman" w:hAnsi="Times New Roman" w:eastAsia="Times New Roman" w:cs="Times New Roman"/>
          <w:spacing w:val="5"/>
          <w:sz w:val="24"/>
          <w:szCs w:val="24"/>
        </w:rPr>
        <w:t>020]5</w:t>
      </w:r>
      <w:r>
        <w:rPr>
          <w:rFonts w:ascii="Times New Roman" w:hAnsi="Times New Roman" w:eastAsia="Times New Roman" w:cs="Times New Roman"/>
          <w:spacing w:val="23"/>
          <w:w w:val="101"/>
          <w:sz w:val="24"/>
          <w:szCs w:val="24"/>
        </w:rPr>
        <w:t xml:space="preserve"> </w:t>
      </w:r>
      <w:r>
        <w:rPr>
          <w:rFonts w:ascii="宋体" w:hAnsi="宋体" w:eastAsia="宋体" w:cs="宋体"/>
          <w:spacing w:val="5"/>
          <w:sz w:val="24"/>
          <w:szCs w:val="24"/>
        </w:rPr>
        <w:t>号文件</w:t>
      </w:r>
      <w:r>
        <w:rPr>
          <w:rFonts w:ascii="宋体" w:hAnsi="宋体" w:eastAsia="宋体" w:cs="宋体"/>
          <w:spacing w:val="8"/>
          <w:sz w:val="24"/>
          <w:szCs w:val="24"/>
        </w:rPr>
        <w:t>），</w:t>
      </w:r>
      <w:r>
        <w:rPr>
          <w:rFonts w:ascii="宋体" w:hAnsi="宋体" w:eastAsia="宋体" w:cs="宋体"/>
          <w:spacing w:val="-56"/>
          <w:sz w:val="24"/>
          <w:szCs w:val="24"/>
        </w:rPr>
        <w:t xml:space="preserve"> </w:t>
      </w:r>
      <w:r>
        <w:rPr>
          <w:rFonts w:ascii="宋体" w:hAnsi="宋体" w:eastAsia="宋体" w:cs="宋体"/>
          <w:spacing w:val="5"/>
          <w:sz w:val="24"/>
          <w:szCs w:val="24"/>
        </w:rPr>
        <w:t>目前已</w:t>
      </w:r>
      <w:r>
        <w:rPr>
          <w:rFonts w:ascii="宋体" w:hAnsi="宋体" w:eastAsia="宋体" w:cs="宋体"/>
          <w:sz w:val="24"/>
          <w:szCs w:val="24"/>
        </w:rPr>
        <w:t xml:space="preserve"> </w:t>
      </w:r>
      <w:r>
        <w:rPr>
          <w:rFonts w:ascii="宋体" w:hAnsi="宋体" w:eastAsia="宋体" w:cs="宋体"/>
          <w:spacing w:val="7"/>
          <w:sz w:val="24"/>
          <w:szCs w:val="24"/>
        </w:rPr>
        <w:t>在建设中。该固废填埋场可作为本项目废渣处理兜底措施，依托可行。</w:t>
      </w:r>
    </w:p>
    <w:p w14:paraId="5CC4CC0A">
      <w:pPr>
        <w:spacing w:before="39" w:line="324" w:lineRule="auto"/>
        <w:ind w:left="13" w:right="80" w:firstLine="503"/>
        <w:rPr>
          <w:rFonts w:ascii="宋体" w:hAnsi="宋体" w:eastAsia="宋体" w:cs="宋体"/>
          <w:sz w:val="24"/>
          <w:szCs w:val="24"/>
        </w:rPr>
      </w:pPr>
      <w:r>
        <w:rPr>
          <w:rFonts w:ascii="宋体" w:hAnsi="宋体" w:eastAsia="宋体" w:cs="宋体"/>
          <w:spacing w:val="8"/>
          <w:sz w:val="24"/>
          <w:szCs w:val="24"/>
        </w:rPr>
        <w:t>（</w:t>
      </w:r>
      <w:r>
        <w:rPr>
          <w:rFonts w:ascii="Times New Roman" w:hAnsi="Times New Roman" w:eastAsia="Times New Roman" w:cs="Times New Roman"/>
          <w:spacing w:val="8"/>
          <w:sz w:val="24"/>
          <w:szCs w:val="24"/>
        </w:rPr>
        <w:t>4</w:t>
      </w:r>
      <w:r>
        <w:rPr>
          <w:rFonts w:ascii="宋体" w:hAnsi="宋体" w:eastAsia="宋体" w:cs="宋体"/>
          <w:spacing w:val="8"/>
          <w:sz w:val="24"/>
          <w:szCs w:val="24"/>
        </w:rPr>
        <w:t>）锰硅重渣主要是锰硅合金产生的扒渣及包底渣，因靠近合</w:t>
      </w:r>
      <w:r>
        <w:rPr>
          <w:rFonts w:ascii="宋体" w:hAnsi="宋体" w:eastAsia="宋体" w:cs="宋体"/>
          <w:spacing w:val="7"/>
          <w:sz w:val="24"/>
          <w:szCs w:val="24"/>
        </w:rPr>
        <w:t>金液，含锰量较</w:t>
      </w:r>
      <w:r>
        <w:rPr>
          <w:rFonts w:ascii="宋体" w:hAnsi="宋体" w:eastAsia="宋体" w:cs="宋体"/>
          <w:sz w:val="24"/>
          <w:szCs w:val="24"/>
        </w:rPr>
        <w:t xml:space="preserve"> </w:t>
      </w:r>
      <w:r>
        <w:rPr>
          <w:rFonts w:ascii="宋体" w:hAnsi="宋体" w:eastAsia="宋体" w:cs="宋体"/>
          <w:spacing w:val="-2"/>
          <w:sz w:val="24"/>
          <w:szCs w:val="24"/>
        </w:rPr>
        <w:t>高，统称为硅锰重渣，冷却后去位于本项目厂区西侧建设单位现有厂区内破碎设施（颚</w:t>
      </w:r>
      <w:r>
        <w:rPr>
          <w:rFonts w:ascii="宋体" w:hAnsi="宋体" w:eastAsia="宋体" w:cs="宋体"/>
          <w:spacing w:val="12"/>
          <w:sz w:val="24"/>
          <w:szCs w:val="24"/>
        </w:rPr>
        <w:t xml:space="preserve"> </w:t>
      </w:r>
      <w:r>
        <w:rPr>
          <w:rFonts w:ascii="宋体" w:hAnsi="宋体" w:eastAsia="宋体" w:cs="宋体"/>
          <w:sz w:val="24"/>
          <w:szCs w:val="24"/>
        </w:rPr>
        <w:t>式破碎机）破碎成</w:t>
      </w:r>
      <w:r>
        <w:rPr>
          <w:rFonts w:ascii="宋体" w:hAnsi="宋体" w:eastAsia="宋体" w:cs="宋体"/>
          <w:spacing w:val="-15"/>
          <w:sz w:val="24"/>
          <w:szCs w:val="24"/>
        </w:rPr>
        <w:t xml:space="preserve"> </w:t>
      </w:r>
      <w:r>
        <w:rPr>
          <w:rFonts w:ascii="Times New Roman" w:hAnsi="Times New Roman" w:eastAsia="Times New Roman" w:cs="Times New Roman"/>
          <w:sz w:val="24"/>
          <w:szCs w:val="24"/>
        </w:rPr>
        <w:t>10</w:t>
      </w:r>
      <w:r>
        <w:rPr>
          <w:rFonts w:ascii="宋体" w:hAnsi="宋体" w:eastAsia="宋体" w:cs="宋体"/>
          <w:sz w:val="24"/>
          <w:szCs w:val="24"/>
        </w:rPr>
        <w:t>～</w:t>
      </w:r>
      <w:r>
        <w:rPr>
          <w:rFonts w:ascii="Times New Roman" w:hAnsi="Times New Roman" w:eastAsia="Times New Roman" w:cs="Times New Roman"/>
          <w:sz w:val="24"/>
          <w:szCs w:val="24"/>
        </w:rPr>
        <w:t>80mm</w:t>
      </w:r>
      <w:r>
        <w:rPr>
          <w:rFonts w:ascii="宋体" w:hAnsi="宋体" w:eastAsia="宋体" w:cs="宋体"/>
          <w:sz w:val="24"/>
          <w:szCs w:val="24"/>
        </w:rPr>
        <w:t>块料，返回锰硅配料站综合利用，措施可行。</w:t>
      </w:r>
    </w:p>
    <w:p w14:paraId="7078846D">
      <w:pPr>
        <w:spacing w:before="203" w:line="324" w:lineRule="auto"/>
        <w:ind w:left="12" w:right="79" w:firstLine="487"/>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5</w:t>
      </w:r>
      <w:r>
        <w:rPr>
          <w:rFonts w:ascii="宋体" w:hAnsi="宋体" w:eastAsia="宋体" w:cs="宋体"/>
          <w:spacing w:val="5"/>
          <w:sz w:val="24"/>
          <w:szCs w:val="24"/>
        </w:rPr>
        <w:t>）化学水车间采用二级反渗透</w:t>
      </w:r>
      <w:r>
        <w:rPr>
          <w:rFonts w:ascii="Times New Roman" w:hAnsi="Times New Roman" w:eastAsia="Times New Roman" w:cs="Times New Roman"/>
          <w:spacing w:val="5"/>
          <w:sz w:val="24"/>
          <w:szCs w:val="24"/>
        </w:rPr>
        <w:t>+</w:t>
      </w:r>
      <w:r>
        <w:rPr>
          <w:rFonts w:ascii="Times New Roman" w:hAnsi="Times New Roman" w:eastAsia="Times New Roman" w:cs="Times New Roman"/>
          <w:sz w:val="24"/>
          <w:szCs w:val="24"/>
        </w:rPr>
        <w:t>EDI</w:t>
      </w:r>
      <w:r>
        <w:rPr>
          <w:rFonts w:ascii="Times New Roman" w:hAnsi="Times New Roman" w:eastAsia="Times New Roman" w:cs="Times New Roman"/>
          <w:spacing w:val="21"/>
          <w:sz w:val="24"/>
          <w:szCs w:val="24"/>
        </w:rPr>
        <w:t xml:space="preserve"> </w:t>
      </w:r>
      <w:r>
        <w:rPr>
          <w:rFonts w:ascii="宋体" w:hAnsi="宋体" w:eastAsia="宋体" w:cs="宋体"/>
          <w:spacing w:val="5"/>
          <w:sz w:val="24"/>
          <w:szCs w:val="24"/>
        </w:rPr>
        <w:t>工艺，运行过程中其反渗透膜组件及</w:t>
      </w:r>
      <w:r>
        <w:rPr>
          <w:rFonts w:ascii="宋体" w:hAnsi="宋体" w:eastAsia="宋体" w:cs="宋体"/>
          <w:spacing w:val="-46"/>
          <w:sz w:val="24"/>
          <w:szCs w:val="24"/>
        </w:rPr>
        <w:t xml:space="preserve"> </w:t>
      </w:r>
      <w:r>
        <w:rPr>
          <w:rFonts w:ascii="Times New Roman" w:hAnsi="Times New Roman" w:eastAsia="Times New Roman" w:cs="Times New Roman"/>
          <w:sz w:val="24"/>
          <w:szCs w:val="24"/>
        </w:rPr>
        <w:t xml:space="preserve">EDI </w:t>
      </w:r>
      <w:r>
        <w:rPr>
          <w:rFonts w:ascii="宋体" w:hAnsi="宋体" w:eastAsia="宋体" w:cs="宋体"/>
          <w:sz w:val="24"/>
          <w:szCs w:val="24"/>
        </w:rPr>
        <w:t>离子交换膜组件需要定期，更换周期</w:t>
      </w:r>
      <w:r>
        <w:rPr>
          <w:rFonts w:ascii="宋体" w:hAnsi="宋体" w:eastAsia="宋体" w:cs="宋体"/>
          <w:spacing w:val="-50"/>
          <w:sz w:val="24"/>
          <w:szCs w:val="24"/>
        </w:rPr>
        <w:t xml:space="preserve"> </w:t>
      </w:r>
      <w:r>
        <w:rPr>
          <w:rFonts w:ascii="Times New Roman" w:hAnsi="Times New Roman" w:eastAsia="Times New Roman" w:cs="Times New Roman"/>
          <w:sz w:val="24"/>
          <w:szCs w:val="24"/>
        </w:rPr>
        <w:t>3</w:t>
      </w:r>
      <w:r>
        <w:rPr>
          <w:rFonts w:ascii="宋体" w:hAnsi="宋体" w:eastAsia="宋体" w:cs="宋体"/>
          <w:sz w:val="24"/>
          <w:szCs w:val="24"/>
        </w:rPr>
        <w:t>～</w:t>
      </w:r>
      <w:r>
        <w:rPr>
          <w:rFonts w:ascii="Times New Roman" w:hAnsi="Times New Roman" w:eastAsia="Times New Roman" w:cs="Times New Roman"/>
          <w:sz w:val="24"/>
          <w:szCs w:val="24"/>
        </w:rPr>
        <w:t xml:space="preserve">5 </w:t>
      </w:r>
      <w:r>
        <w:rPr>
          <w:rFonts w:ascii="宋体" w:hAnsi="宋体" w:eastAsia="宋体" w:cs="宋体"/>
          <w:sz w:val="24"/>
          <w:szCs w:val="24"/>
        </w:rPr>
        <w:t>年，更换产生废反渗透膜组件、废</w:t>
      </w:r>
      <w:r>
        <w:rPr>
          <w:rFonts w:ascii="宋体" w:hAnsi="宋体" w:eastAsia="宋体" w:cs="宋体"/>
          <w:spacing w:val="-53"/>
          <w:sz w:val="24"/>
          <w:szCs w:val="24"/>
        </w:rPr>
        <w:t xml:space="preserve"> </w:t>
      </w:r>
      <w:r>
        <w:rPr>
          <w:rFonts w:ascii="Times New Roman" w:hAnsi="Times New Roman" w:eastAsia="Times New Roman" w:cs="Times New Roman"/>
          <w:sz w:val="24"/>
          <w:szCs w:val="24"/>
        </w:rPr>
        <w:t xml:space="preserve">EDI </w:t>
      </w:r>
      <w:r>
        <w:rPr>
          <w:rFonts w:ascii="宋体" w:hAnsi="宋体" w:eastAsia="宋体" w:cs="宋体"/>
          <w:sz w:val="24"/>
          <w:szCs w:val="24"/>
        </w:rPr>
        <w:t>离子 交换膜组件，更换后由其生产厂家回收，措施可行。</w:t>
      </w:r>
    </w:p>
    <w:p w14:paraId="126DBE76">
      <w:pPr>
        <w:spacing w:before="205" w:line="297" w:lineRule="auto"/>
        <w:ind w:left="10" w:right="99" w:firstLine="48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6</w:t>
      </w:r>
      <w:r>
        <w:rPr>
          <w:rFonts w:ascii="宋体" w:hAnsi="宋体" w:eastAsia="宋体" w:cs="宋体"/>
          <w:spacing w:val="-1"/>
          <w:sz w:val="24"/>
          <w:szCs w:val="24"/>
        </w:rPr>
        <w:t>）软水制备装置钠离子交换树脂需要定期产生废离子交换树脂，因更换周</w:t>
      </w:r>
      <w:r>
        <w:rPr>
          <w:rFonts w:ascii="宋体" w:hAnsi="宋体" w:eastAsia="宋体" w:cs="宋体"/>
          <w:spacing w:val="-2"/>
          <w:sz w:val="24"/>
          <w:szCs w:val="24"/>
        </w:rPr>
        <w:t>期</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3</w:t>
      </w:r>
      <w:r>
        <w:rPr>
          <w:rFonts w:ascii="宋体" w:hAnsi="宋体" w:eastAsia="宋体" w:cs="宋体"/>
          <w:spacing w:val="-2"/>
          <w:sz w:val="24"/>
          <w:szCs w:val="24"/>
        </w:rPr>
        <w:t>~</w:t>
      </w:r>
      <w:r>
        <w:rPr>
          <w:rFonts w:ascii="宋体" w:hAnsi="宋体" w:eastAsia="宋体" w:cs="宋体"/>
          <w:sz w:val="24"/>
          <w:szCs w:val="24"/>
        </w:rPr>
        <w:t xml:space="preserve"> </w:t>
      </w:r>
      <w:r>
        <w:rPr>
          <w:rFonts w:ascii="Times New Roman" w:hAnsi="Times New Roman" w:eastAsia="Times New Roman" w:cs="Times New Roman"/>
          <w:spacing w:val="2"/>
          <w:sz w:val="24"/>
          <w:szCs w:val="24"/>
        </w:rPr>
        <w:t xml:space="preserve">5 </w:t>
      </w:r>
      <w:r>
        <w:rPr>
          <w:rFonts w:ascii="宋体" w:hAnsi="宋体" w:eastAsia="宋体" w:cs="宋体"/>
          <w:spacing w:val="2"/>
          <w:sz w:val="24"/>
          <w:szCs w:val="24"/>
        </w:rPr>
        <w:t>年，时间较长，更换后厂家进行回收处理，措施可行。</w:t>
      </w:r>
    </w:p>
    <w:p w14:paraId="0BA8A19A">
      <w:pPr>
        <w:spacing w:before="205" w:line="219" w:lineRule="auto"/>
        <w:ind w:left="516"/>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7</w:t>
      </w:r>
      <w:r>
        <w:rPr>
          <w:rFonts w:ascii="宋体" w:hAnsi="宋体" w:eastAsia="宋体" w:cs="宋体"/>
          <w:spacing w:val="5"/>
          <w:sz w:val="24"/>
          <w:szCs w:val="24"/>
        </w:rPr>
        <w:t>）废分子筛主要成分为沸石，更换后厂家进行</w:t>
      </w:r>
      <w:r>
        <w:rPr>
          <w:rFonts w:ascii="宋体" w:hAnsi="宋体" w:eastAsia="宋体" w:cs="宋体"/>
          <w:spacing w:val="4"/>
          <w:sz w:val="24"/>
          <w:szCs w:val="24"/>
        </w:rPr>
        <w:t>回收处理，措施可行。</w:t>
      </w:r>
    </w:p>
    <w:p w14:paraId="392C6D19">
      <w:pPr>
        <w:spacing w:before="203" w:line="372" w:lineRule="auto"/>
        <w:ind w:left="7" w:firstLine="500"/>
        <w:jc w:val="both"/>
        <w:rPr>
          <w:rFonts w:ascii="宋体" w:hAnsi="宋体" w:eastAsia="宋体" w:cs="宋体"/>
          <w:sz w:val="24"/>
          <w:szCs w:val="24"/>
        </w:rPr>
      </w:pPr>
      <w:r>
        <w:rPr>
          <w:rFonts w:ascii="宋体" w:hAnsi="宋体" w:eastAsia="宋体" w:cs="宋体"/>
          <w:spacing w:val="-3"/>
          <w:sz w:val="24"/>
          <w:szCs w:val="24"/>
        </w:rPr>
        <w:t>建设单位在原料大棚内建设一处</w:t>
      </w:r>
      <w:r>
        <w:rPr>
          <w:rFonts w:ascii="宋体" w:hAnsi="宋体" w:eastAsia="宋体" w:cs="宋体"/>
          <w:spacing w:val="-39"/>
          <w:sz w:val="24"/>
          <w:szCs w:val="24"/>
        </w:rPr>
        <w:t xml:space="preserve"> </w:t>
      </w:r>
      <w:r>
        <w:rPr>
          <w:rFonts w:ascii="Times New Roman" w:hAnsi="Times New Roman" w:eastAsia="Times New Roman" w:cs="Times New Roman"/>
          <w:spacing w:val="-3"/>
          <w:sz w:val="24"/>
          <w:szCs w:val="24"/>
        </w:rPr>
        <w:t>300m</w:t>
      </w:r>
      <w:r>
        <w:rPr>
          <w:rFonts w:ascii="Times New Roman" w:hAnsi="Times New Roman" w:eastAsia="Times New Roman" w:cs="Times New Roman"/>
          <w:spacing w:val="-3"/>
          <w:position w:val="8"/>
          <w:sz w:val="15"/>
          <w:szCs w:val="15"/>
        </w:rPr>
        <w:t>2</w:t>
      </w:r>
      <w:r>
        <w:rPr>
          <w:rFonts w:ascii="Times New Roman" w:hAnsi="Times New Roman" w:eastAsia="Times New Roman" w:cs="Times New Roman"/>
          <w:spacing w:val="15"/>
          <w:w w:val="102"/>
          <w:position w:val="8"/>
          <w:sz w:val="15"/>
          <w:szCs w:val="15"/>
        </w:rPr>
        <w:t xml:space="preserve"> </w:t>
      </w:r>
      <w:r>
        <w:rPr>
          <w:rFonts w:ascii="宋体" w:hAnsi="宋体" w:eastAsia="宋体" w:cs="宋体"/>
          <w:spacing w:val="-3"/>
          <w:sz w:val="24"/>
          <w:szCs w:val="24"/>
        </w:rPr>
        <w:t>一般固体废物暂存区，全封闭建设，地面进</w:t>
      </w:r>
      <w:r>
        <w:rPr>
          <w:rFonts w:ascii="宋体" w:hAnsi="宋体" w:eastAsia="宋体" w:cs="宋体"/>
          <w:sz w:val="24"/>
          <w:szCs w:val="24"/>
        </w:rPr>
        <w:t xml:space="preserve"> </w:t>
      </w:r>
      <w:r>
        <w:rPr>
          <w:rFonts w:ascii="宋体" w:hAnsi="宋体" w:eastAsia="宋体" w:cs="宋体"/>
          <w:spacing w:val="-6"/>
          <w:sz w:val="24"/>
          <w:szCs w:val="24"/>
        </w:rPr>
        <w:t>行硬化防渗处理，用于暂存全厂一般固体废物，包含脱硫石膏、废耐火材料、脱硫废渣、</w:t>
      </w:r>
      <w:r>
        <w:rPr>
          <w:rFonts w:ascii="宋体" w:hAnsi="宋体" w:eastAsia="宋体" w:cs="宋体"/>
          <w:spacing w:val="16"/>
          <w:sz w:val="24"/>
          <w:szCs w:val="24"/>
        </w:rPr>
        <w:t xml:space="preserve"> </w:t>
      </w:r>
      <w:r>
        <w:rPr>
          <w:rFonts w:ascii="宋体" w:hAnsi="宋体" w:eastAsia="宋体" w:cs="宋体"/>
          <w:spacing w:val="2"/>
          <w:sz w:val="24"/>
          <w:szCs w:val="24"/>
        </w:rPr>
        <w:t>配</w:t>
      </w:r>
      <w:r>
        <w:rPr>
          <w:rFonts w:ascii="Times New Roman" w:hAnsi="Times New Roman" w:eastAsia="Times New Roman" w:cs="Times New Roman"/>
          <w:spacing w:val="2"/>
          <w:sz w:val="24"/>
          <w:szCs w:val="24"/>
        </w:rPr>
        <w:t>/</w:t>
      </w:r>
      <w:r>
        <w:rPr>
          <w:rFonts w:ascii="宋体" w:hAnsi="宋体" w:eastAsia="宋体" w:cs="宋体"/>
          <w:spacing w:val="2"/>
          <w:sz w:val="24"/>
          <w:szCs w:val="24"/>
        </w:rPr>
        <w:t>上料除尘灰、废反渗透膜组件、废</w:t>
      </w:r>
      <w:r>
        <w:rPr>
          <w:rFonts w:ascii="宋体" w:hAnsi="宋体" w:eastAsia="宋体" w:cs="宋体"/>
          <w:spacing w:val="-53"/>
          <w:sz w:val="24"/>
          <w:szCs w:val="24"/>
        </w:rPr>
        <w:t xml:space="preserve"> </w:t>
      </w:r>
      <w:r>
        <w:rPr>
          <w:rFonts w:ascii="Times New Roman" w:hAnsi="Times New Roman" w:eastAsia="Times New Roman" w:cs="Times New Roman"/>
          <w:sz w:val="24"/>
          <w:szCs w:val="24"/>
        </w:rPr>
        <w:t>EDI</w:t>
      </w:r>
      <w:r>
        <w:rPr>
          <w:rFonts w:ascii="Times New Roman" w:hAnsi="Times New Roman" w:eastAsia="Times New Roman" w:cs="Times New Roman"/>
          <w:spacing w:val="2"/>
          <w:sz w:val="24"/>
          <w:szCs w:val="24"/>
        </w:rPr>
        <w:t xml:space="preserve"> </w:t>
      </w:r>
      <w:r>
        <w:rPr>
          <w:rFonts w:ascii="宋体" w:hAnsi="宋体" w:eastAsia="宋体" w:cs="宋体"/>
          <w:spacing w:val="2"/>
          <w:sz w:val="24"/>
          <w:szCs w:val="24"/>
        </w:rPr>
        <w:t>离子交换膜组件、废离子交换</w:t>
      </w:r>
      <w:r>
        <w:rPr>
          <w:rFonts w:ascii="宋体" w:hAnsi="宋体" w:eastAsia="宋体" w:cs="宋体"/>
          <w:spacing w:val="1"/>
          <w:sz w:val="24"/>
          <w:szCs w:val="24"/>
        </w:rPr>
        <w:t>树脂及废分子</w:t>
      </w:r>
      <w:r>
        <w:rPr>
          <w:rFonts w:ascii="宋体" w:hAnsi="宋体" w:eastAsia="宋体" w:cs="宋体"/>
          <w:sz w:val="24"/>
          <w:szCs w:val="24"/>
        </w:rPr>
        <w:t xml:space="preserve"> </w:t>
      </w:r>
      <w:r>
        <w:rPr>
          <w:rFonts w:ascii="宋体" w:hAnsi="宋体" w:eastAsia="宋体" w:cs="宋体"/>
          <w:spacing w:val="-2"/>
          <w:sz w:val="24"/>
          <w:szCs w:val="24"/>
        </w:rPr>
        <w:t>筛等，应满足防渗漏、防雨淋、防扬尘等环境保护要求。本项目的固体废物都有相应的</w:t>
      </w:r>
      <w:r>
        <w:rPr>
          <w:rFonts w:ascii="宋体" w:hAnsi="宋体" w:eastAsia="宋体" w:cs="宋体"/>
          <w:spacing w:val="18"/>
          <w:sz w:val="24"/>
          <w:szCs w:val="24"/>
        </w:rPr>
        <w:t xml:space="preserve"> </w:t>
      </w:r>
      <w:r>
        <w:rPr>
          <w:rFonts w:ascii="宋体" w:hAnsi="宋体" w:eastAsia="宋体" w:cs="宋体"/>
          <w:spacing w:val="-2"/>
          <w:sz w:val="24"/>
          <w:szCs w:val="24"/>
        </w:rPr>
        <w:t>处置方案，为了减少固废在临时储存和运输中对环境产生的不利影响，要求在储存和运</w:t>
      </w:r>
      <w:r>
        <w:rPr>
          <w:rFonts w:ascii="宋体" w:hAnsi="宋体" w:eastAsia="宋体" w:cs="宋体"/>
          <w:spacing w:val="18"/>
          <w:sz w:val="24"/>
          <w:szCs w:val="24"/>
        </w:rPr>
        <w:t xml:space="preserve"> </w:t>
      </w:r>
      <w:r>
        <w:rPr>
          <w:rFonts w:ascii="宋体" w:hAnsi="宋体" w:eastAsia="宋体" w:cs="宋体"/>
          <w:spacing w:val="-1"/>
          <w:sz w:val="24"/>
          <w:szCs w:val="24"/>
        </w:rPr>
        <w:t>输过程中应严禁跑、冒、滴、漏现象的发生。</w:t>
      </w:r>
    </w:p>
    <w:p w14:paraId="4D9E16C1">
      <w:pPr>
        <w:spacing w:before="32" w:line="364" w:lineRule="auto"/>
        <w:ind w:left="10" w:right="80" w:firstLine="479"/>
        <w:rPr>
          <w:rFonts w:ascii="宋体" w:hAnsi="宋体" w:eastAsia="宋体" w:cs="宋体"/>
          <w:sz w:val="24"/>
          <w:szCs w:val="24"/>
        </w:rPr>
      </w:pPr>
      <w:r>
        <w:rPr>
          <w:rFonts w:ascii="宋体" w:hAnsi="宋体" w:eastAsia="宋体" w:cs="宋体"/>
          <w:spacing w:val="-2"/>
          <w:sz w:val="24"/>
          <w:szCs w:val="24"/>
        </w:rPr>
        <w:t>本项目生活垃圾在厂区内集中收集后，委托园区环卫部门定期清理，送往生活垃圾</w:t>
      </w:r>
      <w:r>
        <w:rPr>
          <w:rFonts w:ascii="宋体" w:hAnsi="宋体" w:eastAsia="宋体" w:cs="宋体"/>
          <w:spacing w:val="12"/>
          <w:sz w:val="24"/>
          <w:szCs w:val="24"/>
        </w:rPr>
        <w:t xml:space="preserve"> </w:t>
      </w:r>
      <w:r>
        <w:rPr>
          <w:rFonts w:ascii="宋体" w:hAnsi="宋体" w:eastAsia="宋体" w:cs="宋体"/>
          <w:spacing w:val="-2"/>
          <w:sz w:val="24"/>
          <w:szCs w:val="24"/>
        </w:rPr>
        <w:t>填埋场卫生填埋。</w:t>
      </w:r>
    </w:p>
    <w:p w14:paraId="1A60A97C">
      <w:pPr>
        <w:spacing w:line="364" w:lineRule="auto"/>
        <w:rPr>
          <w:rFonts w:ascii="宋体" w:hAnsi="宋体" w:eastAsia="宋体" w:cs="宋体"/>
          <w:sz w:val="24"/>
          <w:szCs w:val="24"/>
        </w:rPr>
        <w:sectPr>
          <w:footerReference r:id="rId465" w:type="default"/>
          <w:pgSz w:w="11906" w:h="16839"/>
          <w:pgMar w:top="1190" w:right="1337" w:bottom="1221" w:left="1417" w:header="882" w:footer="1059" w:gutter="0"/>
          <w:cols w:space="720" w:num="1"/>
        </w:sectPr>
      </w:pPr>
    </w:p>
    <w:p w14:paraId="0E0F3599">
      <w:pPr>
        <w:spacing w:line="28" w:lineRule="exact"/>
      </w:pPr>
      <w:r>
        <w:pict>
          <v:shape id="_x0000_s3074" o:spid="_x0000_s3074" style="height:1.45pt;width:453.65pt;" fillcolor="#000000" filled="t" stroked="f" coordsize="9072,29" path="m0,0l9072,0,9072,28,0,28,0,0xe">
            <v:path/>
            <v:fill on="t" focussize="0,0"/>
            <v:stroke on="f"/>
            <v:imagedata o:title=""/>
            <o:lock v:ext="edit"/>
            <w10:wrap type="none"/>
            <w10:anchorlock/>
          </v:shape>
        </w:pict>
      </w:r>
    </w:p>
    <w:p w14:paraId="1BEDE695">
      <w:pPr>
        <w:pStyle w:val="2"/>
      </w:pPr>
    </w:p>
    <w:p w14:paraId="44B45D92">
      <w:pPr>
        <w:spacing w:before="78" w:line="370" w:lineRule="auto"/>
        <w:ind w:left="7" w:right="16" w:firstLine="481"/>
        <w:jc w:val="both"/>
        <w:rPr>
          <w:rFonts w:ascii="宋体" w:hAnsi="宋体" w:eastAsia="宋体" w:cs="宋体"/>
          <w:sz w:val="24"/>
          <w:szCs w:val="24"/>
        </w:rPr>
      </w:pPr>
      <w:r>
        <w:rPr>
          <w:rFonts w:ascii="宋体" w:hAnsi="宋体" w:eastAsia="宋体" w:cs="宋体"/>
          <w:spacing w:val="-6"/>
          <w:sz w:val="24"/>
          <w:szCs w:val="24"/>
        </w:rPr>
        <w:t>赛汉塔拉镇生活垃圾填埋场已建成，填埋区占</w:t>
      </w:r>
      <w:r>
        <w:rPr>
          <w:rFonts w:ascii="宋体" w:hAnsi="宋体" w:eastAsia="宋体" w:cs="宋体"/>
          <w:spacing w:val="-7"/>
          <w:sz w:val="24"/>
          <w:szCs w:val="24"/>
        </w:rPr>
        <w:t>地面积</w:t>
      </w:r>
      <w:r>
        <w:rPr>
          <w:rFonts w:ascii="宋体" w:hAnsi="宋体" w:eastAsia="宋体" w:cs="宋体"/>
          <w:spacing w:val="-56"/>
          <w:sz w:val="24"/>
          <w:szCs w:val="24"/>
        </w:rPr>
        <w:t xml:space="preserve"> </w:t>
      </w:r>
      <w:r>
        <w:rPr>
          <w:rFonts w:ascii="Times New Roman" w:hAnsi="Times New Roman" w:eastAsia="Times New Roman" w:cs="Times New Roman"/>
          <w:spacing w:val="-7"/>
          <w:sz w:val="24"/>
          <w:szCs w:val="24"/>
        </w:rPr>
        <w:t>43947.9m</w:t>
      </w:r>
      <w:r>
        <w:rPr>
          <w:rFonts w:ascii="Times New Roman" w:hAnsi="Times New Roman" w:eastAsia="Times New Roman" w:cs="Times New Roman"/>
          <w:spacing w:val="-7"/>
          <w:position w:val="8"/>
          <w:sz w:val="15"/>
          <w:szCs w:val="15"/>
        </w:rPr>
        <w:t>2</w:t>
      </w:r>
      <w:r>
        <w:rPr>
          <w:rFonts w:ascii="宋体" w:hAnsi="宋体" w:eastAsia="宋体" w:cs="宋体"/>
          <w:spacing w:val="-7"/>
          <w:sz w:val="24"/>
          <w:szCs w:val="24"/>
        </w:rPr>
        <w:t>，日处理能力为</w:t>
      </w:r>
      <w:r>
        <w:rPr>
          <w:rFonts w:ascii="宋体" w:hAnsi="宋体" w:eastAsia="宋体" w:cs="宋体"/>
          <w:spacing w:val="-50"/>
          <w:sz w:val="24"/>
          <w:szCs w:val="24"/>
        </w:rPr>
        <w:t xml:space="preserve"> </w:t>
      </w:r>
      <w:r>
        <w:rPr>
          <w:rFonts w:ascii="Times New Roman" w:hAnsi="Times New Roman" w:eastAsia="Times New Roman" w:cs="Times New Roman"/>
          <w:spacing w:val="-7"/>
          <w:sz w:val="24"/>
          <w:szCs w:val="24"/>
        </w:rPr>
        <w:t>60t</w:t>
      </w:r>
      <w:r>
        <w:rPr>
          <w:rFonts w:ascii="宋体" w:hAnsi="宋体" w:eastAsia="宋体" w:cs="宋体"/>
          <w:spacing w:val="-7"/>
          <w:sz w:val="24"/>
          <w:szCs w:val="24"/>
        </w:rPr>
        <w:t>，</w:t>
      </w:r>
      <w:r>
        <w:rPr>
          <w:rFonts w:ascii="宋体" w:hAnsi="宋体" w:eastAsia="宋体" w:cs="宋体"/>
          <w:sz w:val="24"/>
          <w:szCs w:val="24"/>
        </w:rPr>
        <w:t xml:space="preserve"> </w:t>
      </w:r>
      <w:r>
        <w:rPr>
          <w:rFonts w:ascii="宋体" w:hAnsi="宋体" w:eastAsia="宋体" w:cs="宋体"/>
          <w:spacing w:val="1"/>
          <w:sz w:val="24"/>
          <w:szCs w:val="24"/>
        </w:rPr>
        <w:t>服务年限为</w:t>
      </w:r>
      <w:r>
        <w:rPr>
          <w:rFonts w:ascii="宋体" w:hAnsi="宋体" w:eastAsia="宋体" w:cs="宋体"/>
          <w:spacing w:val="-27"/>
          <w:sz w:val="24"/>
          <w:szCs w:val="24"/>
        </w:rPr>
        <w:t xml:space="preserve"> </w:t>
      </w:r>
      <w:r>
        <w:rPr>
          <w:rFonts w:ascii="Times New Roman" w:hAnsi="Times New Roman" w:eastAsia="Times New Roman" w:cs="Times New Roman"/>
          <w:spacing w:val="1"/>
          <w:sz w:val="24"/>
          <w:szCs w:val="24"/>
        </w:rPr>
        <w:t xml:space="preserve">12 </w:t>
      </w:r>
      <w:r>
        <w:rPr>
          <w:rFonts w:ascii="宋体" w:hAnsi="宋体" w:eastAsia="宋体" w:cs="宋体"/>
          <w:spacing w:val="1"/>
          <w:sz w:val="24"/>
          <w:szCs w:val="24"/>
        </w:rPr>
        <w:t>年。建有规范的防渗、气体导排、渗滤液收集处</w:t>
      </w:r>
      <w:r>
        <w:rPr>
          <w:rFonts w:ascii="宋体" w:hAnsi="宋体" w:eastAsia="宋体" w:cs="宋体"/>
          <w:sz w:val="24"/>
          <w:szCs w:val="24"/>
        </w:rPr>
        <w:t xml:space="preserve">理设施。本项目生活垃 </w:t>
      </w:r>
      <w:r>
        <w:rPr>
          <w:rFonts w:ascii="宋体" w:hAnsi="宋体" w:eastAsia="宋体" w:cs="宋体"/>
          <w:spacing w:val="-2"/>
          <w:sz w:val="24"/>
          <w:szCs w:val="24"/>
        </w:rPr>
        <w:t>圾在厂区内集中收集，委托当地环卫部门定期清理，最终运往赛汉塔拉镇生活垃圾填埋</w:t>
      </w:r>
      <w:r>
        <w:rPr>
          <w:rFonts w:ascii="宋体" w:hAnsi="宋体" w:eastAsia="宋体" w:cs="宋体"/>
          <w:spacing w:val="18"/>
          <w:sz w:val="24"/>
          <w:szCs w:val="24"/>
        </w:rPr>
        <w:t xml:space="preserve"> </w:t>
      </w:r>
      <w:r>
        <w:rPr>
          <w:rFonts w:ascii="宋体" w:hAnsi="宋体" w:eastAsia="宋体" w:cs="宋体"/>
          <w:spacing w:val="-2"/>
          <w:sz w:val="24"/>
          <w:szCs w:val="24"/>
        </w:rPr>
        <w:t>场填埋处理。</w:t>
      </w:r>
    </w:p>
    <w:p w14:paraId="64EDE74A">
      <w:pPr>
        <w:spacing w:before="33" w:line="364" w:lineRule="auto"/>
        <w:ind w:left="14" w:right="77" w:firstLine="477"/>
        <w:rPr>
          <w:rFonts w:ascii="宋体" w:hAnsi="宋体" w:eastAsia="宋体" w:cs="宋体"/>
          <w:sz w:val="24"/>
          <w:szCs w:val="24"/>
        </w:rPr>
      </w:pPr>
      <w:r>
        <w:rPr>
          <w:rFonts w:ascii="宋体" w:hAnsi="宋体" w:eastAsia="宋体" w:cs="宋体"/>
          <w:spacing w:val="-2"/>
          <w:sz w:val="24"/>
          <w:szCs w:val="24"/>
        </w:rPr>
        <w:t>综上所述，本项目一般固体废物均得到了合理处置，处理方式为内蒙古铁合金行业</w:t>
      </w:r>
      <w:r>
        <w:rPr>
          <w:rFonts w:ascii="宋体" w:hAnsi="宋体" w:eastAsia="宋体" w:cs="宋体"/>
          <w:spacing w:val="10"/>
          <w:sz w:val="24"/>
          <w:szCs w:val="24"/>
        </w:rPr>
        <w:t xml:space="preserve"> </w:t>
      </w:r>
      <w:r>
        <w:rPr>
          <w:rFonts w:ascii="宋体" w:hAnsi="宋体" w:eastAsia="宋体" w:cs="宋体"/>
          <w:spacing w:val="-2"/>
          <w:sz w:val="24"/>
          <w:szCs w:val="24"/>
        </w:rPr>
        <w:t>常用措施，成熟可靠，措施可行。</w:t>
      </w:r>
    </w:p>
    <w:p w14:paraId="7EAD7A05">
      <w:pPr>
        <w:spacing w:before="82" w:line="222" w:lineRule="auto"/>
        <w:ind w:left="11"/>
        <w:outlineLvl w:val="2"/>
        <w:rPr>
          <w:rFonts w:ascii="黑体" w:hAnsi="黑体" w:eastAsia="黑体" w:cs="黑体"/>
          <w:sz w:val="30"/>
          <w:szCs w:val="30"/>
        </w:rPr>
      </w:pPr>
      <w:bookmarkStart w:id="450" w:name="bookmark368"/>
      <w:bookmarkEnd w:id="450"/>
      <w:r>
        <w:rPr>
          <w:rFonts w:ascii="Times New Roman" w:hAnsi="Times New Roman" w:eastAsia="Times New Roman" w:cs="Times New Roman"/>
          <w:spacing w:val="-1"/>
          <w:sz w:val="30"/>
          <w:szCs w:val="30"/>
        </w:rPr>
        <w:t xml:space="preserve">6.4.2 </w:t>
      </w:r>
      <w:r>
        <w:rPr>
          <w:rFonts w:ascii="黑体" w:hAnsi="黑体" w:eastAsia="黑体" w:cs="黑体"/>
          <w:spacing w:val="-1"/>
          <w:sz w:val="30"/>
          <w:szCs w:val="30"/>
        </w:rPr>
        <w:t>危险废物治理措施及可行性分析</w:t>
      </w:r>
    </w:p>
    <w:p w14:paraId="1DB45C39">
      <w:pPr>
        <w:spacing w:before="241" w:line="298" w:lineRule="auto"/>
        <w:ind w:left="11" w:right="78" w:firstLine="488"/>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）煤气冷凝废水集中收集后排入隔油池，经隔油处理后会产生浮渣，主要成分</w:t>
      </w:r>
      <w:r>
        <w:rPr>
          <w:rFonts w:ascii="宋体" w:hAnsi="宋体" w:eastAsia="宋体" w:cs="宋体"/>
          <w:spacing w:val="13"/>
          <w:sz w:val="24"/>
          <w:szCs w:val="24"/>
        </w:rPr>
        <w:t xml:space="preserve"> </w:t>
      </w:r>
      <w:r>
        <w:rPr>
          <w:rFonts w:ascii="宋体" w:hAnsi="宋体" w:eastAsia="宋体" w:cs="宋体"/>
          <w:sz w:val="24"/>
          <w:szCs w:val="24"/>
        </w:rPr>
        <w:t>为焦油，桶装后在危废暂存库内分隔暂存，定期委</w:t>
      </w:r>
      <w:r>
        <w:rPr>
          <w:rFonts w:ascii="宋体" w:hAnsi="宋体" w:eastAsia="宋体" w:cs="宋体"/>
          <w:spacing w:val="-1"/>
          <w:sz w:val="24"/>
          <w:szCs w:val="24"/>
        </w:rPr>
        <w:t>托有资质单位处理，措施可行。</w:t>
      </w:r>
    </w:p>
    <w:p w14:paraId="15DB32F8">
      <w:pPr>
        <w:spacing w:before="204" w:line="297" w:lineRule="auto"/>
        <w:ind w:left="8" w:right="77"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）电捕焦油器用于去除粗煤气中的少量焦油杂质，主要成分为焦油和灰尘，桶</w:t>
      </w:r>
      <w:r>
        <w:rPr>
          <w:rFonts w:ascii="宋体" w:hAnsi="宋体" w:eastAsia="宋体" w:cs="宋体"/>
          <w:spacing w:val="14"/>
          <w:sz w:val="24"/>
          <w:szCs w:val="24"/>
        </w:rPr>
        <w:t xml:space="preserve"> </w:t>
      </w:r>
      <w:r>
        <w:rPr>
          <w:rFonts w:ascii="宋体" w:hAnsi="宋体" w:eastAsia="宋体" w:cs="宋体"/>
          <w:sz w:val="24"/>
          <w:szCs w:val="24"/>
        </w:rPr>
        <w:t>装后在危废暂存库分隔暂存，定期委托有资</w:t>
      </w:r>
      <w:r>
        <w:rPr>
          <w:rFonts w:ascii="宋体" w:hAnsi="宋体" w:eastAsia="宋体" w:cs="宋体"/>
          <w:spacing w:val="-1"/>
          <w:sz w:val="24"/>
          <w:szCs w:val="24"/>
        </w:rPr>
        <w:t>质单位处理，措施可行。</w:t>
      </w:r>
    </w:p>
    <w:p w14:paraId="13919988">
      <w:pPr>
        <w:spacing w:before="205" w:line="298" w:lineRule="auto"/>
        <w:ind w:left="11" w:right="77" w:firstLine="488"/>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）加压后的煤气通过精过滤器时会产生过滤杂质，主要成分为焦油和灰尘，在</w:t>
      </w:r>
      <w:r>
        <w:rPr>
          <w:rFonts w:ascii="宋体" w:hAnsi="宋体" w:eastAsia="宋体" w:cs="宋体"/>
          <w:spacing w:val="14"/>
          <w:sz w:val="24"/>
          <w:szCs w:val="24"/>
        </w:rPr>
        <w:t xml:space="preserve"> </w:t>
      </w:r>
      <w:r>
        <w:rPr>
          <w:rFonts w:ascii="宋体" w:hAnsi="宋体" w:eastAsia="宋体" w:cs="宋体"/>
          <w:spacing w:val="-1"/>
          <w:sz w:val="24"/>
          <w:szCs w:val="24"/>
        </w:rPr>
        <w:t>危废暂存库分隔暂存，定期委托有资质单位处理，措施可行。</w:t>
      </w:r>
    </w:p>
    <w:p w14:paraId="56867ECF">
      <w:pPr>
        <w:spacing w:before="203" w:line="324" w:lineRule="auto"/>
        <w:ind w:left="7" w:right="77" w:firstLine="492"/>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4</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SCR </w:t>
      </w:r>
      <w:r>
        <w:rPr>
          <w:rFonts w:ascii="宋体" w:hAnsi="宋体" w:eastAsia="宋体" w:cs="宋体"/>
          <w:spacing w:val="-2"/>
          <w:sz w:val="24"/>
          <w:szCs w:val="24"/>
        </w:rPr>
        <w:t>脱硝装置催化剂主要成分为</w:t>
      </w:r>
      <w:r>
        <w:rPr>
          <w:rFonts w:ascii="宋体" w:hAnsi="宋体" w:eastAsia="宋体" w:cs="宋体"/>
          <w:spacing w:val="-37"/>
          <w:sz w:val="24"/>
          <w:szCs w:val="24"/>
        </w:rPr>
        <w:t xml:space="preserve"> </w:t>
      </w:r>
      <w:r>
        <w:rPr>
          <w:rFonts w:ascii="Times New Roman" w:hAnsi="Times New Roman" w:eastAsia="Times New Roman" w:cs="Times New Roman"/>
          <w:spacing w:val="-2"/>
          <w:sz w:val="24"/>
          <w:szCs w:val="24"/>
        </w:rPr>
        <w:t>V</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
          <w:sz w:val="24"/>
          <w:szCs w:val="24"/>
        </w:rPr>
        <w:t>O</w:t>
      </w:r>
      <w:r>
        <w:rPr>
          <w:rFonts w:ascii="Times New Roman" w:hAnsi="Times New Roman" w:eastAsia="Times New Roman" w:cs="Times New Roman"/>
          <w:spacing w:val="-2"/>
          <w:position w:val="-1"/>
          <w:sz w:val="15"/>
          <w:szCs w:val="15"/>
        </w:rPr>
        <w:t>5</w:t>
      </w:r>
      <w:r>
        <w:rPr>
          <w:rFonts w:ascii="Times New Roman" w:hAnsi="Times New Roman" w:eastAsia="Times New Roman" w:cs="Times New Roman"/>
          <w:spacing w:val="-10"/>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TiO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0"/>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WO</w:t>
      </w:r>
      <w:r>
        <w:rPr>
          <w:rFonts w:ascii="Times New Roman" w:hAnsi="Times New Roman" w:eastAsia="Times New Roman" w:cs="Times New Roman"/>
          <w:spacing w:val="-2"/>
          <w:position w:val="-1"/>
          <w:sz w:val="15"/>
          <w:szCs w:val="15"/>
        </w:rPr>
        <w:t>3</w:t>
      </w:r>
      <w:r>
        <w:rPr>
          <w:rFonts w:ascii="Times New Roman" w:hAnsi="Times New Roman" w:eastAsia="Times New Roman" w:cs="Times New Roman"/>
          <w:spacing w:val="-8"/>
          <w:position w:val="-1"/>
          <w:sz w:val="15"/>
          <w:szCs w:val="15"/>
        </w:rPr>
        <w:t xml:space="preserve"> </w:t>
      </w:r>
      <w:r>
        <w:rPr>
          <w:rFonts w:ascii="宋体" w:hAnsi="宋体" w:eastAsia="宋体" w:cs="宋体"/>
          <w:spacing w:val="-2"/>
          <w:sz w:val="24"/>
          <w:szCs w:val="24"/>
        </w:rPr>
        <w:t>，其使用寿命为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 xml:space="preserve">2.5 </w:t>
      </w:r>
      <w:r>
        <w:rPr>
          <w:rFonts w:ascii="宋体" w:hAnsi="宋体" w:eastAsia="宋体" w:cs="宋体"/>
          <w:spacing w:val="-2"/>
          <w:sz w:val="24"/>
          <w:szCs w:val="24"/>
        </w:rPr>
        <w:t>年，</w:t>
      </w:r>
      <w:r>
        <w:rPr>
          <w:rFonts w:ascii="宋体" w:hAnsi="宋体" w:eastAsia="宋体" w:cs="宋体"/>
          <w:sz w:val="24"/>
          <w:szCs w:val="24"/>
        </w:rPr>
        <w:t xml:space="preserve"> </w:t>
      </w:r>
      <w:r>
        <w:rPr>
          <w:rFonts w:ascii="宋体" w:hAnsi="宋体" w:eastAsia="宋体" w:cs="宋体"/>
          <w:spacing w:val="-2"/>
          <w:sz w:val="24"/>
          <w:szCs w:val="24"/>
        </w:rPr>
        <w:t>定期更换产生废脱硝催化剂，在危废暂存库内分隔暂存，定期委托有资质单位处理，措</w:t>
      </w:r>
      <w:r>
        <w:rPr>
          <w:rFonts w:ascii="宋体" w:hAnsi="宋体" w:eastAsia="宋体" w:cs="宋体"/>
          <w:spacing w:val="18"/>
          <w:sz w:val="24"/>
          <w:szCs w:val="24"/>
        </w:rPr>
        <w:t xml:space="preserve"> </w:t>
      </w:r>
      <w:r>
        <w:rPr>
          <w:rFonts w:ascii="宋体" w:hAnsi="宋体" w:eastAsia="宋体" w:cs="宋体"/>
          <w:spacing w:val="-3"/>
          <w:sz w:val="24"/>
          <w:szCs w:val="24"/>
        </w:rPr>
        <w:t>施可行。</w:t>
      </w:r>
    </w:p>
    <w:p w14:paraId="508852AE">
      <w:pPr>
        <w:spacing w:before="203" w:line="324" w:lineRule="auto"/>
        <w:ind w:left="10" w:right="77" w:firstLine="48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）设备保养、检修、维修产生的废矿物油等，主要废润滑油、液压油、变压器</w:t>
      </w:r>
      <w:r>
        <w:rPr>
          <w:rFonts w:ascii="宋体" w:hAnsi="宋体" w:eastAsia="宋体" w:cs="宋体"/>
          <w:spacing w:val="14"/>
          <w:sz w:val="24"/>
          <w:szCs w:val="24"/>
        </w:rPr>
        <w:t xml:space="preserve"> </w:t>
      </w:r>
      <w:r>
        <w:rPr>
          <w:rFonts w:ascii="宋体" w:hAnsi="宋体" w:eastAsia="宋体" w:cs="宋体"/>
          <w:spacing w:val="-2"/>
          <w:sz w:val="24"/>
          <w:szCs w:val="24"/>
        </w:rPr>
        <w:t>油、发电机润滑油等，桶装后在危废暂存库内分隔暂存，用于厂区机械设备润滑，措施</w:t>
      </w:r>
      <w:r>
        <w:rPr>
          <w:rFonts w:ascii="宋体" w:hAnsi="宋体" w:eastAsia="宋体" w:cs="宋体"/>
          <w:spacing w:val="15"/>
          <w:sz w:val="24"/>
          <w:szCs w:val="24"/>
        </w:rPr>
        <w:t xml:space="preserve"> </w:t>
      </w:r>
      <w:r>
        <w:rPr>
          <w:rFonts w:ascii="宋体" w:hAnsi="宋体" w:eastAsia="宋体" w:cs="宋体"/>
          <w:spacing w:val="-4"/>
          <w:sz w:val="24"/>
          <w:szCs w:val="24"/>
        </w:rPr>
        <w:t>可行。</w:t>
      </w:r>
    </w:p>
    <w:p w14:paraId="32586E28">
      <w:pPr>
        <w:spacing w:before="204" w:line="337" w:lineRule="auto"/>
        <w:ind w:left="9" w:right="77"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6</w:t>
      </w:r>
      <w:r>
        <w:rPr>
          <w:rFonts w:ascii="宋体" w:hAnsi="宋体" w:eastAsia="宋体" w:cs="宋体"/>
          <w:spacing w:val="1"/>
          <w:sz w:val="24"/>
          <w:szCs w:val="24"/>
        </w:rPr>
        <w:t>）化验室运行会产生化验室废液，主要为检验废液（包含各种化学废液、含有</w:t>
      </w:r>
      <w:r>
        <w:rPr>
          <w:rFonts w:ascii="宋体" w:hAnsi="宋体" w:eastAsia="宋体" w:cs="宋体"/>
          <w:spacing w:val="13"/>
          <w:sz w:val="24"/>
          <w:szCs w:val="24"/>
        </w:rPr>
        <w:t xml:space="preserve"> </w:t>
      </w:r>
      <w:r>
        <w:rPr>
          <w:rFonts w:ascii="宋体" w:hAnsi="宋体" w:eastAsia="宋体" w:cs="宋体"/>
          <w:spacing w:val="-2"/>
          <w:sz w:val="24"/>
          <w:szCs w:val="24"/>
        </w:rPr>
        <w:t>化学试剂的废水）、含重金属清洗废水及高浓度清洗废水，主要成分为酸碱废液或其他</w:t>
      </w:r>
      <w:r>
        <w:rPr>
          <w:rFonts w:ascii="宋体" w:hAnsi="宋体" w:eastAsia="宋体" w:cs="宋体"/>
          <w:spacing w:val="16"/>
          <w:sz w:val="24"/>
          <w:szCs w:val="24"/>
        </w:rPr>
        <w:t xml:space="preserve"> </w:t>
      </w:r>
      <w:r>
        <w:rPr>
          <w:rFonts w:ascii="宋体" w:hAnsi="宋体" w:eastAsia="宋体" w:cs="宋体"/>
          <w:spacing w:val="-2"/>
          <w:sz w:val="24"/>
          <w:szCs w:val="24"/>
        </w:rPr>
        <w:t>有机废液，分类装入高密度聚乙烯桶后在危废库内暂存，委托有资质单位处理，措施可</w:t>
      </w:r>
      <w:r>
        <w:rPr>
          <w:rFonts w:ascii="宋体" w:hAnsi="宋体" w:eastAsia="宋体" w:cs="宋体"/>
          <w:spacing w:val="16"/>
          <w:sz w:val="24"/>
          <w:szCs w:val="24"/>
        </w:rPr>
        <w:t xml:space="preserve"> </w:t>
      </w:r>
      <w:r>
        <w:rPr>
          <w:rFonts w:ascii="宋体" w:hAnsi="宋体" w:eastAsia="宋体" w:cs="宋体"/>
          <w:spacing w:val="-6"/>
          <w:sz w:val="24"/>
          <w:szCs w:val="24"/>
        </w:rPr>
        <w:t>行。</w:t>
      </w:r>
    </w:p>
    <w:p w14:paraId="616473D5">
      <w:pPr>
        <w:spacing w:before="202" w:line="371" w:lineRule="auto"/>
        <w:ind w:left="7" w:firstLine="500"/>
        <w:jc w:val="both"/>
        <w:rPr>
          <w:rFonts w:ascii="宋体" w:hAnsi="宋体" w:eastAsia="宋体" w:cs="宋体"/>
          <w:sz w:val="24"/>
          <w:szCs w:val="24"/>
        </w:rPr>
      </w:pPr>
      <w:r>
        <w:rPr>
          <w:rFonts w:ascii="宋体" w:hAnsi="宋体" w:eastAsia="宋体" w:cs="宋体"/>
          <w:spacing w:val="-2"/>
          <w:sz w:val="24"/>
          <w:szCs w:val="24"/>
        </w:rPr>
        <w:t xml:space="preserve">建设单位在厂区北侧建设 </w:t>
      </w:r>
      <w:r>
        <w:rPr>
          <w:rFonts w:ascii="Times New Roman" w:hAnsi="Times New Roman" w:eastAsia="Times New Roman" w:cs="Times New Roman"/>
          <w:spacing w:val="-2"/>
          <w:sz w:val="24"/>
          <w:szCs w:val="24"/>
        </w:rPr>
        <w:t>1</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座危险废物暂存库，</w:t>
      </w:r>
      <w:r>
        <w:rPr>
          <w:rFonts w:ascii="宋体" w:hAnsi="宋体" w:eastAsia="宋体" w:cs="宋体"/>
          <w:spacing w:val="-3"/>
          <w:sz w:val="24"/>
          <w:szCs w:val="24"/>
        </w:rPr>
        <w:t xml:space="preserve">建筑面积为 </w:t>
      </w:r>
      <w:r>
        <w:rPr>
          <w:rFonts w:ascii="Times New Roman" w:hAnsi="Times New Roman" w:eastAsia="Times New Roman" w:cs="Times New Roman"/>
          <w:spacing w:val="-3"/>
          <w:sz w:val="24"/>
          <w:szCs w:val="24"/>
        </w:rPr>
        <w:t>100m</w:t>
      </w:r>
      <w:r>
        <w:rPr>
          <w:rFonts w:ascii="Times New Roman" w:hAnsi="Times New Roman" w:eastAsia="Times New Roman" w:cs="Times New Roman"/>
          <w:spacing w:val="-3"/>
          <w:position w:val="8"/>
          <w:sz w:val="15"/>
          <w:szCs w:val="15"/>
        </w:rPr>
        <w:t>2</w:t>
      </w:r>
      <w:r>
        <w:rPr>
          <w:rFonts w:ascii="宋体" w:hAnsi="宋体" w:eastAsia="宋体" w:cs="宋体"/>
          <w:spacing w:val="-3"/>
          <w:sz w:val="24"/>
          <w:szCs w:val="24"/>
        </w:rPr>
        <w:t>，全封闭建设，</w:t>
      </w:r>
      <w:r>
        <w:rPr>
          <w:rFonts w:ascii="宋体" w:hAnsi="宋体" w:eastAsia="宋体" w:cs="宋体"/>
          <w:sz w:val="24"/>
          <w:szCs w:val="24"/>
        </w:rPr>
        <w:t xml:space="preserve"> </w:t>
      </w:r>
      <w:r>
        <w:rPr>
          <w:rFonts w:ascii="宋体" w:hAnsi="宋体" w:eastAsia="宋体" w:cs="宋体"/>
          <w:spacing w:val="1"/>
          <w:sz w:val="24"/>
          <w:szCs w:val="24"/>
        </w:rPr>
        <w:t>用于储存煤气冷凝废水隔油池浮渣、焦油杂质</w:t>
      </w:r>
      <w:r>
        <w:rPr>
          <w:rFonts w:ascii="宋体" w:hAnsi="宋体" w:eastAsia="宋体" w:cs="宋体"/>
          <w:sz w:val="24"/>
          <w:szCs w:val="24"/>
        </w:rPr>
        <w:t xml:space="preserve">、过滤杂质、废脱硝催化剂、废冷却液、 </w:t>
      </w:r>
      <w:r>
        <w:rPr>
          <w:rFonts w:ascii="宋体" w:hAnsi="宋体" w:eastAsia="宋体" w:cs="宋体"/>
          <w:spacing w:val="5"/>
          <w:sz w:val="24"/>
          <w:szCs w:val="24"/>
        </w:rPr>
        <w:t>废矿物油、废油桶、化验室废液，根据危险废物的性质，分区储存。要求危废</w:t>
      </w:r>
      <w:r>
        <w:rPr>
          <w:rFonts w:ascii="宋体" w:hAnsi="宋体" w:eastAsia="宋体" w:cs="宋体"/>
          <w:spacing w:val="4"/>
          <w:sz w:val="24"/>
          <w:szCs w:val="24"/>
        </w:rPr>
        <w:t>暂存库</w:t>
      </w:r>
      <w:r>
        <w:rPr>
          <w:rFonts w:ascii="宋体" w:hAnsi="宋体" w:eastAsia="宋体" w:cs="宋体"/>
          <w:sz w:val="24"/>
          <w:szCs w:val="24"/>
        </w:rPr>
        <w:t xml:space="preserve"> </w:t>
      </w:r>
      <w:r>
        <w:rPr>
          <w:rFonts w:ascii="宋体" w:hAnsi="宋体" w:eastAsia="宋体" w:cs="宋体"/>
          <w:spacing w:val="-2"/>
          <w:sz w:val="24"/>
          <w:szCs w:val="24"/>
        </w:rPr>
        <w:t>内地面与裙脚应采取表面防渗措施；表面防渗材料应与所接触的物料或污染物相容，贮</w:t>
      </w:r>
      <w:r>
        <w:rPr>
          <w:rFonts w:ascii="宋体" w:hAnsi="宋体" w:eastAsia="宋体" w:cs="宋体"/>
          <w:spacing w:val="18"/>
          <w:sz w:val="24"/>
          <w:szCs w:val="24"/>
        </w:rPr>
        <w:t xml:space="preserve"> </w:t>
      </w:r>
      <w:r>
        <w:rPr>
          <w:rFonts w:ascii="宋体" w:hAnsi="宋体" w:eastAsia="宋体" w:cs="宋体"/>
          <w:spacing w:val="-1"/>
          <w:sz w:val="24"/>
          <w:szCs w:val="24"/>
        </w:rPr>
        <w:t>存的危险废物直接接触地面的，还应进行基础防渗，防渗层为</w:t>
      </w:r>
      <w:r>
        <w:rPr>
          <w:rFonts w:ascii="宋体" w:hAnsi="宋体" w:eastAsia="宋体" w:cs="宋体"/>
          <w:spacing w:val="-2"/>
          <w:sz w:val="24"/>
          <w:szCs w:val="24"/>
        </w:rPr>
        <w:t>至少</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1m</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厚黏土层（渗透</w:t>
      </w:r>
    </w:p>
    <w:p w14:paraId="206386E9">
      <w:pPr>
        <w:spacing w:line="371" w:lineRule="auto"/>
        <w:rPr>
          <w:rFonts w:ascii="宋体" w:hAnsi="宋体" w:eastAsia="宋体" w:cs="宋体"/>
          <w:sz w:val="24"/>
          <w:szCs w:val="24"/>
        </w:rPr>
        <w:sectPr>
          <w:headerReference r:id="rId466" w:type="default"/>
          <w:footerReference r:id="rId467" w:type="default"/>
          <w:pgSz w:w="11906" w:h="16839"/>
          <w:pgMar w:top="1190" w:right="1340" w:bottom="1221" w:left="1417" w:header="882" w:footer="1059" w:gutter="0"/>
          <w:cols w:space="720" w:num="1"/>
        </w:sectPr>
      </w:pPr>
    </w:p>
    <w:p w14:paraId="25E3A421">
      <w:pPr>
        <w:spacing w:line="28" w:lineRule="exact"/>
      </w:pPr>
      <w:r>
        <w:pict>
          <v:shape id="_x0000_s3075" o:spid="_x0000_s3075" style="height:1.45pt;width:453.65pt;" fillcolor="#000000" filled="t" stroked="f" coordsize="9072,29" path="m0,0l9072,0,9072,28,0,28,0,0xe">
            <v:path/>
            <v:fill on="t" focussize="0,0"/>
            <v:stroke on="f"/>
            <v:imagedata o:title=""/>
            <o:lock v:ext="edit"/>
            <w10:wrap type="none"/>
            <w10:anchorlock/>
          </v:shape>
        </w:pict>
      </w:r>
    </w:p>
    <w:p w14:paraId="3FD91CD0">
      <w:pPr>
        <w:pStyle w:val="2"/>
        <w:spacing w:line="248" w:lineRule="auto"/>
      </w:pPr>
    </w:p>
    <w:p w14:paraId="3CDD4A3D">
      <w:pPr>
        <w:spacing w:before="78" w:line="374" w:lineRule="auto"/>
        <w:ind w:left="7" w:right="99" w:firstLine="5"/>
        <w:jc w:val="both"/>
        <w:rPr>
          <w:rFonts w:ascii="宋体" w:hAnsi="宋体" w:eastAsia="宋体" w:cs="宋体"/>
          <w:sz w:val="24"/>
          <w:szCs w:val="24"/>
        </w:rPr>
      </w:pPr>
      <w:r>
        <w:rPr>
          <w:rFonts w:ascii="宋体" w:hAnsi="宋体" w:eastAsia="宋体" w:cs="宋体"/>
          <w:spacing w:val="-3"/>
          <w:sz w:val="24"/>
          <w:szCs w:val="24"/>
        </w:rPr>
        <w:t>系数不大于</w:t>
      </w:r>
      <w:r>
        <w:rPr>
          <w:rFonts w:ascii="宋体" w:hAnsi="宋体" w:eastAsia="宋体" w:cs="宋体"/>
          <w:spacing w:val="-31"/>
          <w:sz w:val="24"/>
          <w:szCs w:val="24"/>
        </w:rPr>
        <w:t xml:space="preserve"> </w:t>
      </w:r>
      <w:r>
        <w:rPr>
          <w:rFonts w:ascii="Times New Roman" w:hAnsi="Times New Roman" w:eastAsia="Times New Roman" w:cs="Times New Roman"/>
          <w:spacing w:val="-3"/>
          <w:sz w:val="24"/>
          <w:szCs w:val="24"/>
        </w:rPr>
        <w:t>10</w:t>
      </w:r>
      <w:r>
        <w:rPr>
          <w:rFonts w:ascii="Times New Roman" w:hAnsi="Times New Roman" w:eastAsia="Times New Roman" w:cs="Times New Roman"/>
          <w:spacing w:val="-3"/>
          <w:position w:val="8"/>
          <w:sz w:val="15"/>
          <w:szCs w:val="15"/>
        </w:rPr>
        <w:t>-7</w:t>
      </w:r>
      <w:r>
        <w:rPr>
          <w:rFonts w:ascii="Times New Roman" w:hAnsi="Times New Roman" w:eastAsia="Times New Roman" w:cs="Times New Roman"/>
          <w:spacing w:val="-3"/>
          <w:sz w:val="24"/>
          <w:szCs w:val="24"/>
        </w:rPr>
        <w:t>cm/s</w:t>
      </w:r>
      <w:r>
        <w:rPr>
          <w:rFonts w:ascii="宋体" w:hAnsi="宋体" w:eastAsia="宋体" w:cs="宋体"/>
          <w:spacing w:val="-21"/>
          <w:sz w:val="24"/>
          <w:szCs w:val="24"/>
        </w:rPr>
        <w:t>），</w:t>
      </w:r>
      <w:r>
        <w:rPr>
          <w:rFonts w:ascii="宋体" w:hAnsi="宋体" w:eastAsia="宋体" w:cs="宋体"/>
          <w:spacing w:val="-3"/>
          <w:sz w:val="24"/>
          <w:szCs w:val="24"/>
        </w:rPr>
        <w:t>或至少</w:t>
      </w:r>
      <w:r>
        <w:rPr>
          <w:rFonts w:ascii="宋体" w:hAnsi="宋体" w:eastAsia="宋体" w:cs="宋体"/>
          <w:spacing w:val="-55"/>
          <w:sz w:val="24"/>
          <w:szCs w:val="24"/>
        </w:rPr>
        <w:t xml:space="preserve"> </w:t>
      </w:r>
      <w:r>
        <w:rPr>
          <w:rFonts w:ascii="Times New Roman" w:hAnsi="Times New Roman" w:eastAsia="Times New Roman" w:cs="Times New Roman"/>
          <w:spacing w:val="-3"/>
          <w:sz w:val="24"/>
          <w:szCs w:val="24"/>
        </w:rPr>
        <w:t>2mm</w:t>
      </w:r>
      <w:r>
        <w:rPr>
          <w:rFonts w:ascii="Times New Roman" w:hAnsi="Times New Roman" w:eastAsia="Times New Roman" w:cs="Times New Roman"/>
          <w:spacing w:val="16"/>
          <w:sz w:val="24"/>
          <w:szCs w:val="24"/>
        </w:rPr>
        <w:t xml:space="preserve"> </w:t>
      </w:r>
      <w:r>
        <w:rPr>
          <w:rFonts w:ascii="宋体" w:hAnsi="宋体" w:eastAsia="宋体" w:cs="宋体"/>
          <w:spacing w:val="-3"/>
          <w:sz w:val="24"/>
          <w:szCs w:val="24"/>
        </w:rPr>
        <w:t>厚高密度聚乙烯膜等人工防渗材料（渗透系数不大</w:t>
      </w:r>
      <w:r>
        <w:rPr>
          <w:rFonts w:ascii="宋体" w:hAnsi="宋体" w:eastAsia="宋体" w:cs="宋体"/>
          <w:sz w:val="24"/>
          <w:szCs w:val="24"/>
        </w:rPr>
        <w:t xml:space="preserve"> </w:t>
      </w:r>
      <w:r>
        <w:rPr>
          <w:rFonts w:ascii="宋体" w:hAnsi="宋体" w:eastAsia="宋体" w:cs="宋体"/>
          <w:spacing w:val="-1"/>
          <w:sz w:val="24"/>
          <w:szCs w:val="24"/>
        </w:rPr>
        <w:t>于</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10</w:t>
      </w:r>
      <w:r>
        <w:rPr>
          <w:rFonts w:ascii="Times New Roman" w:hAnsi="Times New Roman" w:eastAsia="Times New Roman" w:cs="Times New Roman"/>
          <w:spacing w:val="-1"/>
          <w:position w:val="8"/>
          <w:sz w:val="15"/>
          <w:szCs w:val="15"/>
        </w:rPr>
        <w:t>-10</w:t>
      </w:r>
      <w:r>
        <w:rPr>
          <w:rFonts w:ascii="Times New Roman" w:hAnsi="Times New Roman" w:eastAsia="Times New Roman" w:cs="Times New Roman"/>
          <w:spacing w:val="-1"/>
          <w:sz w:val="24"/>
          <w:szCs w:val="24"/>
        </w:rPr>
        <w:t>cm/s</w:t>
      </w:r>
      <w:r>
        <w:rPr>
          <w:rFonts w:ascii="宋体" w:hAnsi="宋体" w:eastAsia="宋体" w:cs="宋体"/>
          <w:spacing w:val="-9"/>
          <w:sz w:val="24"/>
          <w:szCs w:val="24"/>
        </w:rPr>
        <w:t>），</w:t>
      </w:r>
      <w:r>
        <w:rPr>
          <w:rFonts w:ascii="宋体" w:hAnsi="宋体" w:eastAsia="宋体" w:cs="宋体"/>
          <w:spacing w:val="-1"/>
          <w:sz w:val="24"/>
          <w:szCs w:val="24"/>
        </w:rPr>
        <w:t>或其他防渗性能等效的材</w:t>
      </w:r>
      <w:r>
        <w:rPr>
          <w:rFonts w:ascii="宋体" w:hAnsi="宋体" w:eastAsia="宋体" w:cs="宋体"/>
          <w:spacing w:val="-2"/>
          <w:sz w:val="24"/>
          <w:szCs w:val="24"/>
        </w:rPr>
        <w:t>料。贮存库内不同贮存分区之间应采取隔离措</w:t>
      </w:r>
      <w:r>
        <w:rPr>
          <w:rFonts w:ascii="宋体" w:hAnsi="宋体" w:eastAsia="宋体" w:cs="宋体"/>
          <w:sz w:val="24"/>
          <w:szCs w:val="24"/>
        </w:rPr>
        <w:t xml:space="preserve"> </w:t>
      </w:r>
      <w:r>
        <w:rPr>
          <w:rFonts w:ascii="宋体" w:hAnsi="宋体" w:eastAsia="宋体" w:cs="宋体"/>
          <w:spacing w:val="-2"/>
          <w:sz w:val="24"/>
          <w:szCs w:val="24"/>
        </w:rPr>
        <w:t>施。隔离措施可根据危险废物特性采用过道、隔板或隔墙等方式。在贮存库内应具有液</w:t>
      </w:r>
      <w:r>
        <w:rPr>
          <w:rFonts w:ascii="宋体" w:hAnsi="宋体" w:eastAsia="宋体" w:cs="宋体"/>
          <w:spacing w:val="18"/>
          <w:sz w:val="24"/>
          <w:szCs w:val="24"/>
        </w:rPr>
        <w:t xml:space="preserve"> </w:t>
      </w:r>
      <w:r>
        <w:rPr>
          <w:rFonts w:ascii="宋体" w:hAnsi="宋体" w:eastAsia="宋体" w:cs="宋体"/>
          <w:spacing w:val="-2"/>
          <w:sz w:val="24"/>
          <w:szCs w:val="24"/>
        </w:rPr>
        <w:t>体泄漏堵截设施，堵截设施最小容积不应低于对应贮存区域最大液态废物容器容积或液</w:t>
      </w:r>
      <w:r>
        <w:rPr>
          <w:rFonts w:ascii="宋体" w:hAnsi="宋体" w:eastAsia="宋体" w:cs="宋体"/>
          <w:spacing w:val="18"/>
          <w:sz w:val="24"/>
          <w:szCs w:val="24"/>
        </w:rPr>
        <w:t xml:space="preserve"> </w:t>
      </w:r>
      <w:r>
        <w:rPr>
          <w:rFonts w:ascii="宋体" w:hAnsi="宋体" w:eastAsia="宋体" w:cs="宋体"/>
          <w:spacing w:val="-2"/>
          <w:sz w:val="24"/>
          <w:szCs w:val="24"/>
        </w:rPr>
        <w:t>态废物总储量</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1/10</w:t>
      </w:r>
      <w:r>
        <w:rPr>
          <w:rFonts w:ascii="宋体" w:hAnsi="宋体" w:eastAsia="宋体" w:cs="宋体"/>
          <w:spacing w:val="-2"/>
          <w:sz w:val="24"/>
          <w:szCs w:val="24"/>
        </w:rPr>
        <w:t>（二者取较大者</w:t>
      </w:r>
      <w:r>
        <w:rPr>
          <w:rFonts w:ascii="宋体" w:hAnsi="宋体" w:eastAsia="宋体" w:cs="宋体"/>
          <w:spacing w:val="-9"/>
          <w:sz w:val="24"/>
          <w:szCs w:val="24"/>
        </w:rPr>
        <w:t>）；</w:t>
      </w:r>
      <w:r>
        <w:rPr>
          <w:rFonts w:ascii="宋体" w:hAnsi="宋体" w:eastAsia="宋体" w:cs="宋体"/>
          <w:spacing w:val="-2"/>
          <w:sz w:val="24"/>
          <w:szCs w:val="24"/>
        </w:rPr>
        <w:t>用于贮存可能产生渗滤液的危险废物的贮存库或</w:t>
      </w:r>
      <w:r>
        <w:rPr>
          <w:rFonts w:ascii="宋体" w:hAnsi="宋体" w:eastAsia="宋体" w:cs="宋体"/>
          <w:sz w:val="24"/>
          <w:szCs w:val="24"/>
        </w:rPr>
        <w:t xml:space="preserve"> </w:t>
      </w:r>
      <w:r>
        <w:rPr>
          <w:rFonts w:ascii="宋体" w:hAnsi="宋体" w:eastAsia="宋体" w:cs="宋体"/>
          <w:spacing w:val="-2"/>
          <w:sz w:val="24"/>
          <w:szCs w:val="24"/>
        </w:rPr>
        <w:t>贮存分区应设计渗滤液收集设施，收集设施容积应满足渗滤液的收集要求。在常温常压</w:t>
      </w:r>
      <w:r>
        <w:rPr>
          <w:rFonts w:ascii="宋体" w:hAnsi="宋体" w:eastAsia="宋体" w:cs="宋体"/>
          <w:spacing w:val="18"/>
          <w:sz w:val="24"/>
          <w:szCs w:val="24"/>
        </w:rPr>
        <w:t xml:space="preserve"> </w:t>
      </w:r>
      <w:r>
        <w:rPr>
          <w:rFonts w:ascii="宋体" w:hAnsi="宋体" w:eastAsia="宋体" w:cs="宋体"/>
          <w:spacing w:val="-2"/>
          <w:sz w:val="24"/>
          <w:szCs w:val="24"/>
        </w:rPr>
        <w:t>下不易水解、不易挥发的固态危险废物可分类堆放贮存，其他固态危险废物应装入容器</w:t>
      </w:r>
      <w:r>
        <w:rPr>
          <w:rFonts w:ascii="宋体" w:hAnsi="宋体" w:eastAsia="宋体" w:cs="宋体"/>
          <w:spacing w:val="18"/>
          <w:sz w:val="24"/>
          <w:szCs w:val="24"/>
        </w:rPr>
        <w:t xml:space="preserve"> </w:t>
      </w:r>
      <w:r>
        <w:rPr>
          <w:rFonts w:ascii="宋体" w:hAnsi="宋体" w:eastAsia="宋体" w:cs="宋体"/>
          <w:spacing w:val="-2"/>
          <w:sz w:val="24"/>
          <w:szCs w:val="24"/>
        </w:rPr>
        <w:t>或包装物内贮存。液态危险废物应装入容器内贮存。贮存设施运行期间，应按国家有关</w:t>
      </w:r>
      <w:r>
        <w:rPr>
          <w:rFonts w:ascii="宋体" w:hAnsi="宋体" w:eastAsia="宋体" w:cs="宋体"/>
          <w:spacing w:val="18"/>
          <w:sz w:val="24"/>
          <w:szCs w:val="24"/>
        </w:rPr>
        <w:t xml:space="preserve"> </w:t>
      </w:r>
      <w:r>
        <w:rPr>
          <w:rFonts w:ascii="宋体" w:hAnsi="宋体" w:eastAsia="宋体" w:cs="宋体"/>
          <w:spacing w:val="-2"/>
          <w:sz w:val="24"/>
          <w:szCs w:val="24"/>
        </w:rPr>
        <w:t>标准和规定建立危险废物管理台账并保存。贮存设施所有者或运营者应建立贮存设施环</w:t>
      </w:r>
      <w:r>
        <w:rPr>
          <w:rFonts w:ascii="宋体" w:hAnsi="宋体" w:eastAsia="宋体" w:cs="宋体"/>
          <w:spacing w:val="18"/>
          <w:sz w:val="24"/>
          <w:szCs w:val="24"/>
        </w:rPr>
        <w:t xml:space="preserve"> </w:t>
      </w:r>
      <w:r>
        <w:rPr>
          <w:rFonts w:ascii="宋体" w:hAnsi="宋体" w:eastAsia="宋体" w:cs="宋体"/>
          <w:spacing w:val="-2"/>
          <w:sz w:val="24"/>
          <w:szCs w:val="24"/>
        </w:rPr>
        <w:t>境管理制度、管理人员岗位职责制度、设施运行操作制度、人员岗位培训制度等。贮存</w:t>
      </w:r>
      <w:r>
        <w:rPr>
          <w:rFonts w:ascii="宋体" w:hAnsi="宋体" w:eastAsia="宋体" w:cs="宋体"/>
          <w:spacing w:val="18"/>
          <w:sz w:val="24"/>
          <w:szCs w:val="24"/>
        </w:rPr>
        <w:t xml:space="preserve"> </w:t>
      </w:r>
      <w:r>
        <w:rPr>
          <w:rFonts w:ascii="宋体" w:hAnsi="宋体" w:eastAsia="宋体" w:cs="宋体"/>
          <w:spacing w:val="-2"/>
          <w:sz w:val="24"/>
          <w:szCs w:val="24"/>
        </w:rPr>
        <w:t>设施应采取技术和管理措施防止无关人员进入。本项目产生及厂区现有各类危险废物均</w:t>
      </w:r>
      <w:r>
        <w:rPr>
          <w:rFonts w:ascii="宋体" w:hAnsi="宋体" w:eastAsia="宋体" w:cs="宋体"/>
          <w:spacing w:val="18"/>
          <w:sz w:val="24"/>
          <w:szCs w:val="24"/>
        </w:rPr>
        <w:t xml:space="preserve"> </w:t>
      </w:r>
      <w:r>
        <w:rPr>
          <w:rFonts w:ascii="宋体" w:hAnsi="宋体" w:eastAsia="宋体" w:cs="宋体"/>
          <w:spacing w:val="1"/>
          <w:sz w:val="24"/>
          <w:szCs w:val="24"/>
        </w:rPr>
        <w:t>不易产生粉尘、</w:t>
      </w:r>
      <w:r>
        <w:rPr>
          <w:rFonts w:ascii="Times New Roman" w:hAnsi="Times New Roman" w:eastAsia="Times New Roman" w:cs="Times New Roman"/>
          <w:sz w:val="24"/>
          <w:szCs w:val="24"/>
        </w:rPr>
        <w:t>VOCs</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、酸雾、有毒有害大气污染物和刺激性气味气体，废矿物油</w:t>
      </w:r>
      <w:r>
        <w:rPr>
          <w:rFonts w:ascii="宋体" w:hAnsi="宋体" w:eastAsia="宋体" w:cs="宋体"/>
          <w:sz w:val="24"/>
          <w:szCs w:val="24"/>
        </w:rPr>
        <w:t xml:space="preserve">在密 </w:t>
      </w:r>
      <w:r>
        <w:rPr>
          <w:rFonts w:ascii="宋体" w:hAnsi="宋体" w:eastAsia="宋体" w:cs="宋体"/>
          <w:spacing w:val="-1"/>
          <w:sz w:val="24"/>
          <w:szCs w:val="24"/>
        </w:rPr>
        <w:t>封油桶内暂存，且存在量较少，不会产生</w:t>
      </w:r>
      <w:r>
        <w:rPr>
          <w:rFonts w:ascii="宋体" w:hAnsi="宋体" w:eastAsia="宋体" w:cs="宋体"/>
          <w:spacing w:val="-58"/>
          <w:sz w:val="24"/>
          <w:szCs w:val="24"/>
        </w:rPr>
        <w:t xml:space="preserve"> </w:t>
      </w:r>
      <w:r>
        <w:rPr>
          <w:rFonts w:ascii="Times New Roman" w:hAnsi="Times New Roman" w:eastAsia="Times New Roman" w:cs="Times New Roman"/>
          <w:spacing w:val="-1"/>
          <w:sz w:val="24"/>
          <w:szCs w:val="24"/>
        </w:rPr>
        <w:t>VO</w:t>
      </w:r>
      <w:r>
        <w:rPr>
          <w:rFonts w:ascii="Times New Roman" w:hAnsi="Times New Roman" w:eastAsia="Times New Roman" w:cs="Times New Roman"/>
          <w:spacing w:val="-2"/>
          <w:sz w:val="24"/>
          <w:szCs w:val="24"/>
        </w:rPr>
        <w:t xml:space="preserve">Cs </w:t>
      </w:r>
      <w:r>
        <w:rPr>
          <w:rFonts w:ascii="宋体" w:hAnsi="宋体" w:eastAsia="宋体" w:cs="宋体"/>
          <w:spacing w:val="-2"/>
          <w:sz w:val="24"/>
          <w:szCs w:val="24"/>
        </w:rPr>
        <w:t>废气排放，因此该危废暂存库无须设置</w:t>
      </w:r>
      <w:r>
        <w:rPr>
          <w:rFonts w:ascii="宋体" w:hAnsi="宋体" w:eastAsia="宋体" w:cs="宋体"/>
          <w:sz w:val="24"/>
          <w:szCs w:val="24"/>
        </w:rPr>
        <w:t xml:space="preserve"> </w:t>
      </w:r>
      <w:r>
        <w:rPr>
          <w:rFonts w:ascii="宋体" w:hAnsi="宋体" w:eastAsia="宋体" w:cs="宋体"/>
          <w:spacing w:val="-1"/>
          <w:sz w:val="24"/>
          <w:szCs w:val="24"/>
        </w:rPr>
        <w:t>气体收集装置和气体净化设施。</w:t>
      </w:r>
    </w:p>
    <w:p w14:paraId="7BD98DD8">
      <w:pPr>
        <w:spacing w:before="31" w:line="371" w:lineRule="auto"/>
        <w:ind w:left="8" w:firstLine="481"/>
        <w:jc w:val="both"/>
        <w:rPr>
          <w:rFonts w:ascii="宋体" w:hAnsi="宋体" w:eastAsia="宋体" w:cs="宋体"/>
          <w:sz w:val="24"/>
          <w:szCs w:val="24"/>
        </w:rPr>
      </w:pPr>
      <w:r>
        <w:rPr>
          <w:rFonts w:ascii="宋体" w:hAnsi="宋体" w:eastAsia="宋体" w:cs="宋体"/>
          <w:spacing w:val="-6"/>
          <w:sz w:val="24"/>
          <w:szCs w:val="24"/>
        </w:rPr>
        <w:t>上述危险废物的贮存和转移应执行《危险废物贮存污染控制标准》（</w:t>
      </w:r>
      <w:r>
        <w:rPr>
          <w:rFonts w:ascii="Times New Roman" w:hAnsi="Times New Roman" w:eastAsia="Times New Roman" w:cs="Times New Roman"/>
          <w:spacing w:val="-6"/>
          <w:sz w:val="24"/>
          <w:szCs w:val="24"/>
        </w:rPr>
        <w:t>GB18597-2023</w:t>
      </w:r>
      <w:r>
        <w:rPr>
          <w:rFonts w:ascii="宋体" w:hAnsi="宋体" w:eastAsia="宋体" w:cs="宋体"/>
          <w:spacing w:val="-6"/>
          <w:sz w:val="24"/>
          <w:szCs w:val="24"/>
        </w:rPr>
        <w:t>）</w:t>
      </w:r>
      <w:r>
        <w:rPr>
          <w:rFonts w:ascii="宋体" w:hAnsi="宋体" w:eastAsia="宋体" w:cs="宋体"/>
          <w:spacing w:val="3"/>
          <w:sz w:val="24"/>
          <w:szCs w:val="24"/>
        </w:rPr>
        <w:t xml:space="preserve"> </w:t>
      </w:r>
      <w:r>
        <w:rPr>
          <w:rFonts w:ascii="宋体" w:hAnsi="宋体" w:eastAsia="宋体" w:cs="宋体"/>
          <w:spacing w:val="-2"/>
          <w:sz w:val="24"/>
          <w:szCs w:val="24"/>
        </w:rPr>
        <w:t>的规定、《危险废物污染防治技术政策》和《危险废物转移联单管理办法》中的有关规</w:t>
      </w:r>
      <w:r>
        <w:rPr>
          <w:rFonts w:ascii="宋体" w:hAnsi="宋体" w:eastAsia="宋体" w:cs="宋体"/>
          <w:spacing w:val="17"/>
          <w:sz w:val="24"/>
          <w:szCs w:val="24"/>
        </w:rPr>
        <w:t xml:space="preserve"> </w:t>
      </w:r>
      <w:r>
        <w:rPr>
          <w:rFonts w:ascii="宋体" w:hAnsi="宋体" w:eastAsia="宋体" w:cs="宋体"/>
          <w:spacing w:val="-8"/>
          <w:sz w:val="24"/>
          <w:szCs w:val="24"/>
        </w:rPr>
        <w:t>定。根据危险废物的产生量，合理安排运输计划，运输危险废物所用的车辆必须符合《危</w:t>
      </w:r>
      <w:r>
        <w:rPr>
          <w:rFonts w:ascii="宋体" w:hAnsi="宋体" w:eastAsia="宋体" w:cs="宋体"/>
          <w:spacing w:val="13"/>
          <w:sz w:val="24"/>
          <w:szCs w:val="24"/>
        </w:rPr>
        <w:t xml:space="preserve"> </w:t>
      </w:r>
      <w:r>
        <w:rPr>
          <w:rFonts w:ascii="宋体" w:hAnsi="宋体" w:eastAsia="宋体" w:cs="宋体"/>
          <w:spacing w:val="-2"/>
          <w:sz w:val="24"/>
          <w:szCs w:val="24"/>
        </w:rPr>
        <w:t>险化学品安全管理条例》的管理规定。需持有运输许可证，其上应注明废物来源、性质</w:t>
      </w:r>
      <w:r>
        <w:rPr>
          <w:rFonts w:ascii="宋体" w:hAnsi="宋体" w:eastAsia="宋体" w:cs="宋体"/>
          <w:spacing w:val="17"/>
          <w:sz w:val="24"/>
          <w:szCs w:val="24"/>
        </w:rPr>
        <w:t xml:space="preserve"> </w:t>
      </w:r>
      <w:r>
        <w:rPr>
          <w:rFonts w:ascii="宋体" w:hAnsi="宋体" w:eastAsia="宋体" w:cs="宋体"/>
          <w:spacing w:val="-5"/>
          <w:sz w:val="24"/>
          <w:szCs w:val="24"/>
        </w:rPr>
        <w:t>运往地点。运输车辆应进行定期的维护和检查</w:t>
      </w:r>
      <w:r>
        <w:rPr>
          <w:rFonts w:ascii="宋体" w:hAnsi="宋体" w:eastAsia="宋体" w:cs="宋体"/>
          <w:spacing w:val="-6"/>
          <w:sz w:val="24"/>
          <w:szCs w:val="24"/>
        </w:rPr>
        <w:t>，防患于未然，保持车辆良好的工作状态。</w:t>
      </w:r>
    </w:p>
    <w:p w14:paraId="41786553">
      <w:pPr>
        <w:spacing w:before="241" w:line="226" w:lineRule="auto"/>
        <w:ind w:left="12"/>
        <w:outlineLvl w:val="1"/>
        <w:rPr>
          <w:rFonts w:ascii="黑体" w:hAnsi="黑体" w:eastAsia="黑体" w:cs="黑体"/>
          <w:sz w:val="31"/>
          <w:szCs w:val="31"/>
        </w:rPr>
      </w:pPr>
      <w:bookmarkStart w:id="451" w:name="bookmark370"/>
      <w:bookmarkEnd w:id="451"/>
      <w:r>
        <w:rPr>
          <w:rFonts w:ascii="Times New Roman" w:hAnsi="Times New Roman" w:eastAsia="Times New Roman" w:cs="Times New Roman"/>
          <w:spacing w:val="7"/>
          <w:sz w:val="31"/>
          <w:szCs w:val="31"/>
        </w:rPr>
        <w:t xml:space="preserve">6.5 </w:t>
      </w:r>
      <w:r>
        <w:rPr>
          <w:rFonts w:ascii="黑体" w:hAnsi="黑体" w:eastAsia="黑体" w:cs="黑体"/>
          <w:spacing w:val="7"/>
          <w:sz w:val="31"/>
          <w:szCs w:val="31"/>
        </w:rPr>
        <w:t>地下水污染防治措施</w:t>
      </w:r>
    </w:p>
    <w:p w14:paraId="088C128C">
      <w:pPr>
        <w:pStyle w:val="2"/>
        <w:spacing w:line="315" w:lineRule="auto"/>
      </w:pPr>
    </w:p>
    <w:p w14:paraId="0B952337">
      <w:pPr>
        <w:spacing w:before="78" w:line="369" w:lineRule="auto"/>
        <w:ind w:left="8" w:right="18" w:firstLine="480"/>
        <w:jc w:val="both"/>
        <w:rPr>
          <w:rFonts w:ascii="宋体" w:hAnsi="宋体" w:eastAsia="宋体" w:cs="宋体"/>
          <w:sz w:val="24"/>
          <w:szCs w:val="24"/>
        </w:rPr>
      </w:pPr>
      <w:r>
        <w:rPr>
          <w:rFonts w:ascii="宋体" w:hAnsi="宋体" w:eastAsia="宋体" w:cs="宋体"/>
          <w:spacing w:val="2"/>
          <w:sz w:val="24"/>
          <w:szCs w:val="24"/>
        </w:rPr>
        <w:t>根据《环境影响评价技术导则 地下水环境》（</w:t>
      </w:r>
      <w:r>
        <w:rPr>
          <w:rFonts w:ascii="Times New Roman" w:hAnsi="Times New Roman" w:eastAsia="Times New Roman" w:cs="Times New Roman"/>
          <w:sz w:val="24"/>
          <w:szCs w:val="24"/>
        </w:rPr>
        <w:t>HJ</w:t>
      </w:r>
      <w:r>
        <w:rPr>
          <w:rFonts w:ascii="Times New Roman" w:hAnsi="Times New Roman" w:eastAsia="Times New Roman" w:cs="Times New Roman"/>
          <w:spacing w:val="2"/>
          <w:sz w:val="24"/>
          <w:szCs w:val="24"/>
        </w:rPr>
        <w:t>610-2016</w:t>
      </w:r>
      <w:r>
        <w:rPr>
          <w:rFonts w:ascii="宋体" w:hAnsi="宋体" w:eastAsia="宋体" w:cs="宋体"/>
          <w:spacing w:val="2"/>
          <w:sz w:val="24"/>
          <w:szCs w:val="24"/>
        </w:rPr>
        <w:t>）关于地下水</w:t>
      </w:r>
      <w:r>
        <w:rPr>
          <w:rFonts w:ascii="宋体" w:hAnsi="宋体" w:eastAsia="宋体" w:cs="宋体"/>
          <w:spacing w:val="1"/>
          <w:sz w:val="24"/>
          <w:szCs w:val="24"/>
        </w:rPr>
        <w:t>环境保护</w:t>
      </w:r>
      <w:r>
        <w:rPr>
          <w:rFonts w:ascii="宋体" w:hAnsi="宋体" w:eastAsia="宋体" w:cs="宋体"/>
          <w:sz w:val="24"/>
          <w:szCs w:val="24"/>
        </w:rPr>
        <w:t xml:space="preserve"> </w:t>
      </w:r>
      <w:r>
        <w:rPr>
          <w:rFonts w:ascii="宋体" w:hAnsi="宋体" w:eastAsia="宋体" w:cs="宋体"/>
          <w:spacing w:val="-2"/>
          <w:sz w:val="24"/>
          <w:szCs w:val="24"/>
        </w:rPr>
        <w:t>措施与对策基本要求，地下水环境保护措施与对策应当符合《中华人民共和国水污染防</w:t>
      </w:r>
      <w:r>
        <w:rPr>
          <w:rFonts w:ascii="宋体" w:hAnsi="宋体" w:eastAsia="宋体" w:cs="宋体"/>
          <w:spacing w:val="17"/>
          <w:sz w:val="24"/>
          <w:szCs w:val="24"/>
        </w:rPr>
        <w:t xml:space="preserve"> </w:t>
      </w:r>
      <w:r>
        <w:rPr>
          <w:rFonts w:ascii="宋体" w:hAnsi="宋体" w:eastAsia="宋体" w:cs="宋体"/>
          <w:spacing w:val="-2"/>
          <w:sz w:val="24"/>
          <w:szCs w:val="24"/>
        </w:rPr>
        <w:t>治法》和《中华人民共和国环境影响评价法》的相关规定，按照</w:t>
      </w:r>
      <w:r>
        <w:rPr>
          <w:rFonts w:ascii="Times New Roman" w:hAnsi="Times New Roman" w:eastAsia="Times New Roman" w:cs="Times New Roman"/>
          <w:spacing w:val="-2"/>
          <w:sz w:val="24"/>
          <w:szCs w:val="24"/>
        </w:rPr>
        <w:t>“</w:t>
      </w:r>
      <w:r>
        <w:rPr>
          <w:rFonts w:ascii="宋体" w:hAnsi="宋体" w:eastAsia="宋体" w:cs="宋体"/>
          <w:spacing w:val="-2"/>
          <w:sz w:val="24"/>
          <w:szCs w:val="24"/>
        </w:rPr>
        <w:t>源头控</w:t>
      </w:r>
      <w:r>
        <w:rPr>
          <w:rFonts w:ascii="宋体" w:hAnsi="宋体" w:eastAsia="宋体" w:cs="宋体"/>
          <w:spacing w:val="-3"/>
          <w:sz w:val="24"/>
          <w:szCs w:val="24"/>
        </w:rPr>
        <w:t>制、分区防控、</w:t>
      </w:r>
      <w:r>
        <w:rPr>
          <w:rFonts w:ascii="宋体" w:hAnsi="宋体" w:eastAsia="宋体" w:cs="宋体"/>
          <w:sz w:val="24"/>
          <w:szCs w:val="24"/>
        </w:rPr>
        <w:t xml:space="preserve"> </w:t>
      </w:r>
      <w:r>
        <w:rPr>
          <w:rFonts w:ascii="宋体" w:hAnsi="宋体" w:eastAsia="宋体" w:cs="宋体"/>
          <w:spacing w:val="-2"/>
          <w:sz w:val="24"/>
          <w:szCs w:val="24"/>
        </w:rPr>
        <w:t>污染监控、应急响应</w:t>
      </w:r>
      <w:r>
        <w:rPr>
          <w:rFonts w:ascii="Times New Roman" w:hAnsi="Times New Roman" w:eastAsia="Times New Roman" w:cs="Times New Roman"/>
          <w:spacing w:val="-2"/>
          <w:sz w:val="24"/>
          <w:szCs w:val="24"/>
        </w:rPr>
        <w:t>”</w:t>
      </w:r>
      <w:r>
        <w:rPr>
          <w:rFonts w:ascii="Times New Roman" w:hAnsi="Times New Roman" w:eastAsia="Times New Roman" w:cs="Times New Roman"/>
          <w:spacing w:val="-17"/>
          <w:sz w:val="24"/>
          <w:szCs w:val="24"/>
        </w:rPr>
        <w:t xml:space="preserve"> </w:t>
      </w:r>
      <w:r>
        <w:rPr>
          <w:rFonts w:ascii="宋体" w:hAnsi="宋体" w:eastAsia="宋体" w:cs="宋体"/>
          <w:spacing w:val="-2"/>
          <w:sz w:val="24"/>
          <w:szCs w:val="24"/>
        </w:rPr>
        <w:t>，重点突出饮用水水质安全的规定。</w:t>
      </w:r>
    </w:p>
    <w:p w14:paraId="30831885">
      <w:pPr>
        <w:spacing w:before="87" w:line="221" w:lineRule="auto"/>
        <w:ind w:left="11"/>
        <w:outlineLvl w:val="2"/>
        <w:rPr>
          <w:rFonts w:ascii="黑体" w:hAnsi="黑体" w:eastAsia="黑体" w:cs="黑体"/>
          <w:sz w:val="30"/>
          <w:szCs w:val="30"/>
        </w:rPr>
      </w:pPr>
      <w:bookmarkStart w:id="452" w:name="bookmark372"/>
      <w:bookmarkEnd w:id="452"/>
      <w:r>
        <w:rPr>
          <w:rFonts w:ascii="Times New Roman" w:hAnsi="Times New Roman" w:eastAsia="Times New Roman" w:cs="Times New Roman"/>
          <w:spacing w:val="-1"/>
          <w:sz w:val="30"/>
          <w:szCs w:val="30"/>
        </w:rPr>
        <w:t xml:space="preserve">6.5.1 </w:t>
      </w:r>
      <w:r>
        <w:rPr>
          <w:rFonts w:ascii="黑体" w:hAnsi="黑体" w:eastAsia="黑体" w:cs="黑体"/>
          <w:spacing w:val="-1"/>
          <w:sz w:val="30"/>
          <w:szCs w:val="30"/>
        </w:rPr>
        <w:t>源头控制措施</w:t>
      </w:r>
    </w:p>
    <w:p w14:paraId="6D37A48F">
      <w:pPr>
        <w:spacing w:before="239" w:line="364" w:lineRule="auto"/>
        <w:ind w:left="9" w:right="99" w:firstLine="482"/>
        <w:rPr>
          <w:rFonts w:ascii="宋体" w:hAnsi="宋体" w:eastAsia="宋体" w:cs="宋体"/>
          <w:sz w:val="24"/>
          <w:szCs w:val="24"/>
        </w:rPr>
      </w:pPr>
      <w:r>
        <w:rPr>
          <w:rFonts w:ascii="宋体" w:hAnsi="宋体" w:eastAsia="宋体" w:cs="宋体"/>
          <w:spacing w:val="-1"/>
          <w:sz w:val="24"/>
          <w:szCs w:val="24"/>
        </w:rPr>
        <w:t>项目源头控制主要是控制各构筑物、设备</w:t>
      </w:r>
      <w:r>
        <w:rPr>
          <w:rFonts w:ascii="Times New Roman" w:hAnsi="Times New Roman" w:eastAsia="Times New Roman" w:cs="Times New Roman"/>
          <w:spacing w:val="-1"/>
          <w:sz w:val="24"/>
          <w:szCs w:val="24"/>
        </w:rPr>
        <w:t>“</w:t>
      </w:r>
      <w:r>
        <w:rPr>
          <w:rFonts w:ascii="宋体" w:hAnsi="宋体" w:eastAsia="宋体" w:cs="宋体"/>
          <w:spacing w:val="-1"/>
          <w:sz w:val="24"/>
          <w:szCs w:val="24"/>
        </w:rPr>
        <w:t>跑、冒、滴、漏</w:t>
      </w:r>
      <w:r>
        <w:rPr>
          <w:rFonts w:ascii="Times New Roman" w:hAnsi="Times New Roman" w:eastAsia="Times New Roman" w:cs="Times New Roman"/>
          <w:spacing w:val="-1"/>
          <w:sz w:val="24"/>
          <w:szCs w:val="24"/>
        </w:rPr>
        <w:t>”</w:t>
      </w:r>
      <w:r>
        <w:rPr>
          <w:rFonts w:ascii="宋体" w:hAnsi="宋体" w:eastAsia="宋体" w:cs="宋体"/>
          <w:spacing w:val="-1"/>
          <w:sz w:val="24"/>
          <w:szCs w:val="24"/>
        </w:rPr>
        <w:t>事故的发生。报告主要</w:t>
      </w:r>
      <w:r>
        <w:rPr>
          <w:rFonts w:ascii="宋体" w:hAnsi="宋体" w:eastAsia="宋体" w:cs="宋体"/>
          <w:spacing w:val="1"/>
          <w:sz w:val="24"/>
          <w:szCs w:val="24"/>
        </w:rPr>
        <w:t xml:space="preserve"> </w:t>
      </w:r>
      <w:r>
        <w:rPr>
          <w:rFonts w:ascii="宋体" w:hAnsi="宋体" w:eastAsia="宋体" w:cs="宋体"/>
          <w:spacing w:val="-2"/>
          <w:sz w:val="24"/>
          <w:szCs w:val="24"/>
        </w:rPr>
        <w:t>提出如下措施：</w:t>
      </w:r>
    </w:p>
    <w:p w14:paraId="6147CCE1">
      <w:pPr>
        <w:spacing w:line="364" w:lineRule="auto"/>
        <w:rPr>
          <w:rFonts w:ascii="宋体" w:hAnsi="宋体" w:eastAsia="宋体" w:cs="宋体"/>
          <w:sz w:val="24"/>
          <w:szCs w:val="24"/>
        </w:rPr>
        <w:sectPr>
          <w:headerReference r:id="rId468" w:type="default"/>
          <w:footerReference r:id="rId469" w:type="default"/>
          <w:pgSz w:w="11906" w:h="16839"/>
          <w:pgMar w:top="1190" w:right="1318" w:bottom="1221" w:left="1417" w:header="882" w:footer="1059" w:gutter="0"/>
          <w:cols w:space="720" w:num="1"/>
        </w:sectPr>
      </w:pPr>
    </w:p>
    <w:p w14:paraId="1A5BD436">
      <w:pPr>
        <w:spacing w:line="28" w:lineRule="exact"/>
        <w:ind w:firstLine="108"/>
      </w:pPr>
      <w:r>
        <w:pict>
          <v:shape id="_x0000_s3076" o:spid="_x0000_s3076" style="height:1.45pt;width:453.65pt;" fillcolor="#000000" filled="t" stroked="f" coordsize="9072,29" path="m0,0l9072,0,9072,28,0,28,0,0xe">
            <v:path/>
            <v:fill on="t" focussize="0,0"/>
            <v:stroke on="f"/>
            <v:imagedata o:title=""/>
            <o:lock v:ext="edit"/>
            <w10:wrap type="none"/>
            <w10:anchorlock/>
          </v:shape>
        </w:pict>
      </w:r>
    </w:p>
    <w:p w14:paraId="1E331810">
      <w:pPr>
        <w:pStyle w:val="2"/>
        <w:spacing w:line="244" w:lineRule="auto"/>
      </w:pPr>
    </w:p>
    <w:p w14:paraId="3DD71A6B">
      <w:pPr>
        <w:spacing w:before="78" w:line="369" w:lineRule="auto"/>
        <w:ind w:left="114" w:right="109" w:firstLine="484"/>
        <w:rPr>
          <w:rFonts w:ascii="宋体" w:hAnsi="宋体" w:eastAsia="宋体" w:cs="宋体"/>
          <w:sz w:val="24"/>
          <w:szCs w:val="24"/>
        </w:rPr>
      </w:pPr>
      <w:r>
        <w:rPr>
          <w:rFonts w:ascii="宋体" w:hAnsi="宋体" w:eastAsia="宋体" w:cs="宋体"/>
          <w:sz w:val="24"/>
          <w:szCs w:val="24"/>
        </w:rPr>
        <w:t>各构筑物、设备</w:t>
      </w:r>
      <w:r>
        <w:rPr>
          <w:rFonts w:ascii="Times New Roman" w:hAnsi="Times New Roman" w:eastAsia="Times New Roman" w:cs="Times New Roman"/>
          <w:sz w:val="24"/>
          <w:szCs w:val="24"/>
        </w:rPr>
        <w:t>“</w:t>
      </w:r>
      <w:r>
        <w:rPr>
          <w:rFonts w:ascii="宋体" w:hAnsi="宋体" w:eastAsia="宋体" w:cs="宋体"/>
          <w:sz w:val="24"/>
          <w:szCs w:val="24"/>
        </w:rPr>
        <w:t>必须加强管理，严格控制</w:t>
      </w:r>
      <w:r>
        <w:rPr>
          <w:rFonts w:ascii="Times New Roman" w:hAnsi="Times New Roman" w:eastAsia="Times New Roman" w:cs="Times New Roman"/>
          <w:sz w:val="24"/>
          <w:szCs w:val="24"/>
        </w:rPr>
        <w:t>“</w:t>
      </w:r>
      <w:r>
        <w:rPr>
          <w:rFonts w:ascii="宋体" w:hAnsi="宋体" w:eastAsia="宋体" w:cs="宋体"/>
          <w:sz w:val="24"/>
          <w:szCs w:val="24"/>
        </w:rPr>
        <w:t>跑、冒、滴、漏</w:t>
      </w:r>
      <w:r>
        <w:rPr>
          <w:rFonts w:ascii="Times New Roman" w:hAnsi="Times New Roman" w:eastAsia="Times New Roman" w:cs="Times New Roman"/>
          <w:sz w:val="24"/>
          <w:szCs w:val="24"/>
        </w:rPr>
        <w:t>”</w:t>
      </w:r>
      <w:r>
        <w:rPr>
          <w:rFonts w:ascii="宋体" w:hAnsi="宋体" w:eastAsia="宋体" w:cs="宋体"/>
          <w:sz w:val="24"/>
          <w:szCs w:val="24"/>
        </w:rPr>
        <w:t>现象</w:t>
      </w:r>
      <w:r>
        <w:rPr>
          <w:rFonts w:ascii="宋体" w:hAnsi="宋体" w:eastAsia="宋体" w:cs="宋体"/>
          <w:spacing w:val="-1"/>
          <w:sz w:val="24"/>
          <w:szCs w:val="24"/>
        </w:rPr>
        <w:t>发生，发现</w:t>
      </w:r>
      <w:r>
        <w:rPr>
          <w:rFonts w:ascii="Times New Roman" w:hAnsi="Times New Roman" w:eastAsia="Times New Roman" w:cs="Times New Roman"/>
          <w:spacing w:val="-1"/>
          <w:sz w:val="24"/>
          <w:szCs w:val="24"/>
        </w:rPr>
        <w:t>“</w:t>
      </w:r>
      <w:r>
        <w:rPr>
          <w:rFonts w:ascii="宋体" w:hAnsi="宋体" w:eastAsia="宋体" w:cs="宋体"/>
          <w:spacing w:val="-1"/>
          <w:sz w:val="24"/>
          <w:szCs w:val="24"/>
        </w:rPr>
        <w:t>跑、</w:t>
      </w:r>
      <w:r>
        <w:rPr>
          <w:rFonts w:ascii="宋体" w:hAnsi="宋体" w:eastAsia="宋体" w:cs="宋体"/>
          <w:sz w:val="24"/>
          <w:szCs w:val="24"/>
        </w:rPr>
        <w:t xml:space="preserve"> </w:t>
      </w:r>
      <w:r>
        <w:rPr>
          <w:rFonts w:ascii="宋体" w:hAnsi="宋体" w:eastAsia="宋体" w:cs="宋体"/>
          <w:spacing w:val="2"/>
          <w:sz w:val="24"/>
          <w:szCs w:val="24"/>
        </w:rPr>
        <w:t>冒、滴、漏</w:t>
      </w:r>
      <w:r>
        <w:rPr>
          <w:rFonts w:ascii="Times New Roman" w:hAnsi="Times New Roman" w:eastAsia="Times New Roman" w:cs="Times New Roman"/>
          <w:spacing w:val="2"/>
          <w:sz w:val="24"/>
          <w:szCs w:val="24"/>
        </w:rPr>
        <w:t>”</w:t>
      </w:r>
      <w:r>
        <w:rPr>
          <w:rFonts w:ascii="宋体" w:hAnsi="宋体" w:eastAsia="宋体" w:cs="宋体"/>
          <w:spacing w:val="2"/>
          <w:sz w:val="24"/>
          <w:szCs w:val="24"/>
        </w:rPr>
        <w:t>及时进行清除；发现跑冒滴漏现象时，必须及时采取措施，控制跑冒滴漏</w:t>
      </w:r>
      <w:r>
        <w:rPr>
          <w:rFonts w:ascii="宋体" w:hAnsi="宋体" w:eastAsia="宋体" w:cs="宋体"/>
          <w:sz w:val="24"/>
          <w:szCs w:val="24"/>
        </w:rPr>
        <w:t xml:space="preserve"> </w:t>
      </w:r>
      <w:r>
        <w:rPr>
          <w:rFonts w:ascii="宋体" w:hAnsi="宋体" w:eastAsia="宋体" w:cs="宋体"/>
          <w:spacing w:val="-1"/>
          <w:sz w:val="24"/>
          <w:szCs w:val="24"/>
        </w:rPr>
        <w:t>进一步扩大，并及时汇报当班调度员；发现</w:t>
      </w:r>
      <w:r>
        <w:rPr>
          <w:rFonts w:ascii="宋体" w:hAnsi="宋体" w:eastAsia="宋体" w:cs="宋体"/>
          <w:spacing w:val="-2"/>
          <w:sz w:val="24"/>
          <w:szCs w:val="24"/>
        </w:rPr>
        <w:t>管线、阀门、水池等泄漏时，必须及时联系</w:t>
      </w:r>
      <w:r>
        <w:rPr>
          <w:rFonts w:ascii="宋体" w:hAnsi="宋体" w:eastAsia="宋体" w:cs="宋体"/>
          <w:sz w:val="24"/>
          <w:szCs w:val="24"/>
        </w:rPr>
        <w:t xml:space="preserve"> </w:t>
      </w:r>
      <w:r>
        <w:rPr>
          <w:rFonts w:ascii="宋体" w:hAnsi="宋体" w:eastAsia="宋体" w:cs="宋体"/>
          <w:spacing w:val="-2"/>
          <w:sz w:val="24"/>
          <w:szCs w:val="24"/>
        </w:rPr>
        <w:t>维修中心抢修。</w:t>
      </w:r>
    </w:p>
    <w:p w14:paraId="06BB4736">
      <w:pPr>
        <w:spacing w:before="86" w:line="221" w:lineRule="auto"/>
        <w:ind w:left="119"/>
        <w:outlineLvl w:val="2"/>
        <w:rPr>
          <w:rFonts w:ascii="黑体" w:hAnsi="黑体" w:eastAsia="黑体" w:cs="黑体"/>
          <w:sz w:val="30"/>
          <w:szCs w:val="30"/>
        </w:rPr>
      </w:pPr>
      <w:bookmarkStart w:id="453" w:name="bookmark374"/>
      <w:bookmarkEnd w:id="453"/>
      <w:r>
        <w:rPr>
          <w:rFonts w:ascii="Times New Roman" w:hAnsi="Times New Roman" w:eastAsia="Times New Roman" w:cs="Times New Roman"/>
          <w:spacing w:val="-3"/>
          <w:sz w:val="30"/>
          <w:szCs w:val="30"/>
        </w:rPr>
        <w:t>6.5.2</w:t>
      </w:r>
      <w:r>
        <w:rPr>
          <w:rFonts w:ascii="Times New Roman" w:hAnsi="Times New Roman" w:eastAsia="Times New Roman" w:cs="Times New Roman"/>
          <w:spacing w:val="20"/>
          <w:w w:val="101"/>
          <w:sz w:val="30"/>
          <w:szCs w:val="30"/>
        </w:rPr>
        <w:t xml:space="preserve"> </w:t>
      </w:r>
      <w:r>
        <w:rPr>
          <w:rFonts w:ascii="黑体" w:hAnsi="黑体" w:eastAsia="黑体" w:cs="黑体"/>
          <w:spacing w:val="-3"/>
          <w:sz w:val="30"/>
          <w:szCs w:val="30"/>
        </w:rPr>
        <w:t>分区防控措施</w:t>
      </w:r>
    </w:p>
    <w:p w14:paraId="084C8CA9">
      <w:pPr>
        <w:spacing w:before="242" w:line="218" w:lineRule="auto"/>
        <w:ind w:left="596"/>
        <w:rPr>
          <w:rFonts w:ascii="宋体" w:hAnsi="宋体" w:eastAsia="宋体" w:cs="宋体"/>
          <w:sz w:val="24"/>
          <w:szCs w:val="24"/>
        </w:rPr>
      </w:pPr>
      <w:r>
        <w:rPr>
          <w:rFonts w:ascii="宋体" w:hAnsi="宋体" w:eastAsia="宋体" w:cs="宋体"/>
          <w:spacing w:val="2"/>
          <w:sz w:val="24"/>
          <w:szCs w:val="24"/>
        </w:rPr>
        <w:t>根据《环境影响评价技术导则 地下水环境》（</w:t>
      </w:r>
      <w:r>
        <w:rPr>
          <w:rFonts w:ascii="Times New Roman" w:hAnsi="Times New Roman" w:eastAsia="Times New Roman" w:cs="Times New Roman"/>
          <w:sz w:val="24"/>
          <w:szCs w:val="24"/>
        </w:rPr>
        <w:t>HJ</w:t>
      </w:r>
      <w:r>
        <w:rPr>
          <w:rFonts w:ascii="Times New Roman" w:hAnsi="Times New Roman" w:eastAsia="Times New Roman" w:cs="Times New Roman"/>
          <w:spacing w:val="2"/>
          <w:sz w:val="24"/>
          <w:szCs w:val="24"/>
        </w:rPr>
        <w:t>610-2016</w:t>
      </w:r>
      <w:r>
        <w:rPr>
          <w:rFonts w:ascii="宋体" w:hAnsi="宋体" w:eastAsia="宋体" w:cs="宋体"/>
          <w:spacing w:val="2"/>
          <w:sz w:val="24"/>
          <w:szCs w:val="24"/>
        </w:rPr>
        <w:t>）等相关要求</w:t>
      </w:r>
      <w:r>
        <w:rPr>
          <w:rFonts w:ascii="宋体" w:hAnsi="宋体" w:eastAsia="宋体" w:cs="宋体"/>
          <w:spacing w:val="1"/>
          <w:sz w:val="24"/>
          <w:szCs w:val="24"/>
        </w:rPr>
        <w:t>，对项目</w:t>
      </w:r>
    </w:p>
    <w:p w14:paraId="0AA3A269">
      <w:pPr>
        <w:spacing w:before="204" w:line="220" w:lineRule="auto"/>
        <w:ind w:left="134"/>
        <w:rPr>
          <w:rFonts w:ascii="宋体" w:hAnsi="宋体" w:eastAsia="宋体" w:cs="宋体"/>
          <w:sz w:val="24"/>
          <w:szCs w:val="24"/>
        </w:rPr>
      </w:pPr>
      <w:r>
        <w:rPr>
          <w:rFonts w:ascii="宋体" w:hAnsi="宋体" w:eastAsia="宋体" w:cs="宋体"/>
          <w:spacing w:val="-4"/>
          <w:sz w:val="24"/>
          <w:szCs w:val="24"/>
        </w:rPr>
        <w:t>区域进行防渗分区。</w:t>
      </w:r>
    </w:p>
    <w:p w14:paraId="463AEE05">
      <w:pPr>
        <w:spacing w:before="218" w:line="227" w:lineRule="auto"/>
        <w:ind w:left="3035"/>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5"/>
          <w:sz w:val="20"/>
          <w:szCs w:val="20"/>
        </w:rPr>
        <w:t xml:space="preserve">6.5-1        </w:t>
      </w:r>
      <w:r>
        <w:rPr>
          <w:rFonts w:ascii="宋体" w:hAnsi="宋体" w:eastAsia="宋体" w:cs="宋体"/>
          <w:b/>
          <w:bCs/>
          <w:spacing w:val="5"/>
          <w:sz w:val="20"/>
          <w:szCs w:val="20"/>
        </w:rPr>
        <w:t>本项目工程防渗</w:t>
      </w:r>
      <w:r>
        <w:rPr>
          <w:rFonts w:ascii="宋体" w:hAnsi="宋体" w:eastAsia="宋体" w:cs="宋体"/>
          <w:b/>
          <w:bCs/>
          <w:spacing w:val="4"/>
          <w:sz w:val="20"/>
          <w:szCs w:val="20"/>
        </w:rPr>
        <w:t>分区表</w:t>
      </w:r>
    </w:p>
    <w:p w14:paraId="02D23E2B">
      <w:pPr>
        <w:spacing w:line="104" w:lineRule="exact"/>
      </w:pPr>
    </w:p>
    <w:tbl>
      <w:tblPr>
        <w:tblStyle w:val="5"/>
        <w:tblW w:w="928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17"/>
        <w:gridCol w:w="2418"/>
        <w:gridCol w:w="3838"/>
        <w:gridCol w:w="1914"/>
      </w:tblGrid>
      <w:tr w14:paraId="015E2F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1117" w:type="dxa"/>
            <w:tcBorders>
              <w:top w:val="single" w:color="000000" w:sz="10" w:space="0"/>
              <w:left w:val="nil"/>
            </w:tcBorders>
            <w:vAlign w:val="top"/>
          </w:tcPr>
          <w:p w14:paraId="63881F50">
            <w:pPr>
              <w:pStyle w:val="6"/>
              <w:spacing w:before="69" w:line="228" w:lineRule="auto"/>
              <w:ind w:left="159"/>
              <w:rPr>
                <w:sz w:val="20"/>
                <w:szCs w:val="20"/>
              </w:rPr>
            </w:pPr>
            <w:r>
              <w:rPr>
                <w:spacing w:val="4"/>
                <w:sz w:val="20"/>
                <w:szCs w:val="20"/>
              </w:rPr>
              <w:t>防渗分区</w:t>
            </w:r>
          </w:p>
        </w:tc>
        <w:tc>
          <w:tcPr>
            <w:tcW w:w="2418" w:type="dxa"/>
            <w:tcBorders>
              <w:top w:val="single" w:color="000000" w:sz="10" w:space="0"/>
            </w:tcBorders>
            <w:vAlign w:val="top"/>
          </w:tcPr>
          <w:p w14:paraId="6022380F">
            <w:pPr>
              <w:pStyle w:val="6"/>
              <w:spacing w:before="69" w:line="228" w:lineRule="auto"/>
              <w:ind w:left="808"/>
              <w:rPr>
                <w:sz w:val="20"/>
                <w:szCs w:val="20"/>
              </w:rPr>
            </w:pPr>
            <w:r>
              <w:rPr>
                <w:spacing w:val="4"/>
                <w:sz w:val="20"/>
                <w:szCs w:val="20"/>
              </w:rPr>
              <w:t>防渗单元</w:t>
            </w:r>
          </w:p>
        </w:tc>
        <w:tc>
          <w:tcPr>
            <w:tcW w:w="3838" w:type="dxa"/>
            <w:tcBorders>
              <w:top w:val="single" w:color="000000" w:sz="10" w:space="0"/>
            </w:tcBorders>
            <w:vAlign w:val="top"/>
          </w:tcPr>
          <w:p w14:paraId="12EAA5E5">
            <w:pPr>
              <w:pStyle w:val="6"/>
              <w:spacing w:before="69" w:line="228" w:lineRule="auto"/>
              <w:ind w:left="1517"/>
              <w:rPr>
                <w:sz w:val="20"/>
                <w:szCs w:val="20"/>
              </w:rPr>
            </w:pPr>
            <w:r>
              <w:rPr>
                <w:spacing w:val="4"/>
                <w:sz w:val="20"/>
                <w:szCs w:val="20"/>
              </w:rPr>
              <w:t>防渗要求</w:t>
            </w:r>
          </w:p>
        </w:tc>
        <w:tc>
          <w:tcPr>
            <w:tcW w:w="1914" w:type="dxa"/>
            <w:tcBorders>
              <w:top w:val="single" w:color="000000" w:sz="10" w:space="0"/>
              <w:right w:val="nil"/>
            </w:tcBorders>
            <w:vAlign w:val="top"/>
          </w:tcPr>
          <w:p w14:paraId="49E42626">
            <w:pPr>
              <w:pStyle w:val="6"/>
              <w:spacing w:before="69" w:line="228" w:lineRule="auto"/>
              <w:ind w:left="135"/>
              <w:rPr>
                <w:sz w:val="20"/>
                <w:szCs w:val="20"/>
              </w:rPr>
            </w:pPr>
            <w:r>
              <w:rPr>
                <w:spacing w:val="7"/>
                <w:sz w:val="20"/>
                <w:szCs w:val="20"/>
              </w:rPr>
              <w:t>防渗工程建设情况</w:t>
            </w:r>
          </w:p>
        </w:tc>
      </w:tr>
      <w:tr w14:paraId="3584BD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4" w:hRule="atLeast"/>
        </w:trPr>
        <w:tc>
          <w:tcPr>
            <w:tcW w:w="1117" w:type="dxa"/>
            <w:tcBorders>
              <w:left w:val="nil"/>
            </w:tcBorders>
            <w:vAlign w:val="top"/>
          </w:tcPr>
          <w:p w14:paraId="281EC63A">
            <w:pPr>
              <w:pStyle w:val="6"/>
              <w:spacing w:before="172" w:line="239" w:lineRule="auto"/>
              <w:ind w:left="264" w:right="138" w:hanging="117"/>
              <w:rPr>
                <w:sz w:val="20"/>
                <w:szCs w:val="20"/>
              </w:rPr>
            </w:pPr>
            <w:r>
              <w:rPr>
                <w:spacing w:val="7"/>
                <w:sz w:val="20"/>
                <w:szCs w:val="20"/>
              </w:rPr>
              <w:t>重点污染</w:t>
            </w:r>
            <w:r>
              <w:rPr>
                <w:sz w:val="20"/>
                <w:szCs w:val="20"/>
              </w:rPr>
              <w:t xml:space="preserve"> </w:t>
            </w:r>
            <w:r>
              <w:rPr>
                <w:spacing w:val="2"/>
                <w:sz w:val="20"/>
                <w:szCs w:val="20"/>
              </w:rPr>
              <w:t>防渗区</w:t>
            </w:r>
          </w:p>
        </w:tc>
        <w:tc>
          <w:tcPr>
            <w:tcW w:w="2418" w:type="dxa"/>
            <w:vAlign w:val="top"/>
          </w:tcPr>
          <w:p w14:paraId="20A45C9D">
            <w:pPr>
              <w:pStyle w:val="6"/>
              <w:spacing w:before="146" w:line="284" w:lineRule="auto"/>
              <w:ind w:left="58" w:right="53"/>
              <w:rPr>
                <w:sz w:val="20"/>
                <w:szCs w:val="20"/>
              </w:rPr>
            </w:pPr>
            <w:r>
              <w:rPr>
                <w:spacing w:val="9"/>
                <w:sz w:val="20"/>
                <w:szCs w:val="20"/>
              </w:rPr>
              <w:t>事故水池、水淬渣池、烟</w:t>
            </w:r>
            <w:r>
              <w:rPr>
                <w:sz w:val="20"/>
                <w:szCs w:val="20"/>
              </w:rPr>
              <w:t xml:space="preserve"> </w:t>
            </w:r>
            <w:r>
              <w:rPr>
                <w:spacing w:val="9"/>
                <w:sz w:val="20"/>
                <w:szCs w:val="20"/>
              </w:rPr>
              <w:t>气脱硫设施、危废暂存库</w:t>
            </w:r>
          </w:p>
        </w:tc>
        <w:tc>
          <w:tcPr>
            <w:tcW w:w="3838" w:type="dxa"/>
            <w:vAlign w:val="top"/>
          </w:tcPr>
          <w:p w14:paraId="12B1F860">
            <w:pPr>
              <w:pStyle w:val="6"/>
              <w:spacing w:before="33" w:line="237" w:lineRule="auto"/>
              <w:ind w:left="10" w:right="3" w:firstLine="23"/>
              <w:jc w:val="both"/>
              <w:rPr>
                <w:sz w:val="20"/>
                <w:szCs w:val="20"/>
              </w:rPr>
            </w:pPr>
            <w:r>
              <w:rPr>
                <w:spacing w:val="9"/>
                <w:sz w:val="20"/>
                <w:szCs w:val="20"/>
              </w:rPr>
              <w:t>地面采用混凝土浇筑防渗，混凝土抗渗等</w:t>
            </w:r>
            <w:r>
              <w:rPr>
                <w:spacing w:val="6"/>
                <w:sz w:val="20"/>
                <w:szCs w:val="20"/>
              </w:rPr>
              <w:t xml:space="preserve"> 级不小于</w:t>
            </w:r>
            <w:r>
              <w:rPr>
                <w:spacing w:val="-36"/>
                <w:sz w:val="20"/>
                <w:szCs w:val="20"/>
              </w:rPr>
              <w:t xml:space="preserve"> </w:t>
            </w:r>
            <w:r>
              <w:rPr>
                <w:rFonts w:ascii="Times New Roman" w:hAnsi="Times New Roman" w:eastAsia="Times New Roman" w:cs="Times New Roman"/>
                <w:spacing w:val="6"/>
                <w:sz w:val="20"/>
                <w:szCs w:val="20"/>
              </w:rPr>
              <w:t>P8</w:t>
            </w:r>
            <w:r>
              <w:rPr>
                <w:rFonts w:ascii="Times New Roman" w:hAnsi="Times New Roman" w:eastAsia="Times New Roman" w:cs="Times New Roman"/>
                <w:spacing w:val="-22"/>
                <w:sz w:val="20"/>
                <w:szCs w:val="20"/>
              </w:rPr>
              <w:t xml:space="preserve"> </w:t>
            </w:r>
            <w:r>
              <w:rPr>
                <w:spacing w:val="6"/>
                <w:sz w:val="20"/>
                <w:szCs w:val="20"/>
              </w:rPr>
              <w:t>，参照《危险废物贮存污染控</w:t>
            </w:r>
            <w:r>
              <w:rPr>
                <w:sz w:val="20"/>
                <w:szCs w:val="20"/>
              </w:rPr>
              <w:t xml:space="preserve"> </w:t>
            </w:r>
            <w:r>
              <w:rPr>
                <w:spacing w:val="7"/>
                <w:sz w:val="20"/>
                <w:szCs w:val="20"/>
              </w:rPr>
              <w:t>制标准》（</w:t>
            </w:r>
            <w:r>
              <w:rPr>
                <w:rFonts w:ascii="Times New Roman" w:hAnsi="Times New Roman" w:eastAsia="Times New Roman" w:cs="Times New Roman"/>
                <w:sz w:val="20"/>
                <w:szCs w:val="20"/>
              </w:rPr>
              <w:t>GB</w:t>
            </w:r>
            <w:r>
              <w:rPr>
                <w:rFonts w:ascii="Times New Roman" w:hAnsi="Times New Roman" w:eastAsia="Times New Roman" w:cs="Times New Roman"/>
                <w:spacing w:val="7"/>
                <w:sz w:val="20"/>
                <w:szCs w:val="20"/>
              </w:rPr>
              <w:t>18597-2023</w:t>
            </w:r>
            <w:r>
              <w:rPr>
                <w:spacing w:val="7"/>
                <w:sz w:val="20"/>
                <w:szCs w:val="20"/>
              </w:rPr>
              <w:t>）中的相关要求</w:t>
            </w:r>
          </w:p>
        </w:tc>
        <w:tc>
          <w:tcPr>
            <w:tcW w:w="1914" w:type="dxa"/>
            <w:vMerge w:val="restart"/>
            <w:tcBorders>
              <w:bottom w:val="nil"/>
              <w:right w:val="nil"/>
            </w:tcBorders>
            <w:vAlign w:val="top"/>
          </w:tcPr>
          <w:p w14:paraId="2A25FF12">
            <w:pPr>
              <w:spacing w:line="314" w:lineRule="auto"/>
              <w:rPr>
                <w:rFonts w:ascii="Arial"/>
                <w:sz w:val="21"/>
              </w:rPr>
            </w:pPr>
          </w:p>
          <w:p w14:paraId="6C5A21F7">
            <w:pPr>
              <w:spacing w:line="314" w:lineRule="auto"/>
              <w:rPr>
                <w:rFonts w:ascii="Arial"/>
                <w:sz w:val="21"/>
              </w:rPr>
            </w:pPr>
          </w:p>
          <w:p w14:paraId="1CE4956B">
            <w:pPr>
              <w:pStyle w:val="6"/>
              <w:spacing w:before="65" w:line="228" w:lineRule="auto"/>
              <w:ind w:left="122"/>
              <w:rPr>
                <w:sz w:val="20"/>
                <w:szCs w:val="20"/>
              </w:rPr>
            </w:pPr>
            <w:r>
              <w:rPr>
                <w:spacing w:val="8"/>
                <w:sz w:val="20"/>
                <w:szCs w:val="20"/>
              </w:rPr>
              <w:t>根据调查，利旧工</w:t>
            </w:r>
          </w:p>
          <w:p w14:paraId="3FD538D9">
            <w:pPr>
              <w:pStyle w:val="6"/>
              <w:spacing w:before="24" w:line="228" w:lineRule="auto"/>
              <w:ind w:left="121"/>
              <w:rPr>
                <w:sz w:val="20"/>
                <w:szCs w:val="20"/>
              </w:rPr>
            </w:pPr>
            <w:r>
              <w:rPr>
                <w:spacing w:val="8"/>
                <w:sz w:val="20"/>
                <w:szCs w:val="20"/>
              </w:rPr>
              <w:t>程已按要求进行防</w:t>
            </w:r>
          </w:p>
          <w:p w14:paraId="41B35088">
            <w:pPr>
              <w:pStyle w:val="6"/>
              <w:spacing w:before="25" w:line="228" w:lineRule="auto"/>
              <w:ind w:left="857"/>
              <w:rPr>
                <w:sz w:val="20"/>
                <w:szCs w:val="20"/>
              </w:rPr>
            </w:pPr>
            <w:r>
              <w:rPr>
                <w:sz w:val="20"/>
                <w:szCs w:val="20"/>
              </w:rPr>
              <w:t>渗</w:t>
            </w:r>
          </w:p>
        </w:tc>
      </w:tr>
      <w:tr w14:paraId="7CBFF1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1117" w:type="dxa"/>
            <w:tcBorders>
              <w:left w:val="nil"/>
            </w:tcBorders>
            <w:vAlign w:val="top"/>
          </w:tcPr>
          <w:p w14:paraId="241D471A">
            <w:pPr>
              <w:pStyle w:val="6"/>
              <w:spacing w:before="97" w:line="239" w:lineRule="auto"/>
              <w:ind w:left="264" w:right="138" w:hanging="115"/>
              <w:rPr>
                <w:sz w:val="20"/>
                <w:szCs w:val="20"/>
              </w:rPr>
            </w:pPr>
            <w:r>
              <w:rPr>
                <w:spacing w:val="6"/>
                <w:sz w:val="20"/>
                <w:szCs w:val="20"/>
              </w:rPr>
              <w:t>一般污染</w:t>
            </w:r>
            <w:r>
              <w:rPr>
                <w:spacing w:val="1"/>
                <w:sz w:val="20"/>
                <w:szCs w:val="20"/>
              </w:rPr>
              <w:t xml:space="preserve"> </w:t>
            </w:r>
            <w:r>
              <w:rPr>
                <w:spacing w:val="2"/>
                <w:sz w:val="20"/>
                <w:szCs w:val="20"/>
              </w:rPr>
              <w:t>防渗区</w:t>
            </w:r>
          </w:p>
        </w:tc>
        <w:tc>
          <w:tcPr>
            <w:tcW w:w="2418" w:type="dxa"/>
            <w:vAlign w:val="top"/>
          </w:tcPr>
          <w:p w14:paraId="4B1DD1D8">
            <w:pPr>
              <w:pStyle w:val="6"/>
              <w:spacing w:before="70" w:line="263" w:lineRule="auto"/>
              <w:ind w:left="375" w:right="53" w:hanging="315"/>
              <w:rPr>
                <w:sz w:val="20"/>
                <w:szCs w:val="20"/>
              </w:rPr>
            </w:pPr>
            <w:r>
              <w:rPr>
                <w:spacing w:val="9"/>
                <w:sz w:val="20"/>
                <w:szCs w:val="20"/>
              </w:rPr>
              <w:t>生产车间、原料大棚、循</w:t>
            </w:r>
            <w:r>
              <w:rPr>
                <w:sz w:val="20"/>
                <w:szCs w:val="20"/>
              </w:rPr>
              <w:t xml:space="preserve"> </w:t>
            </w:r>
            <w:r>
              <w:rPr>
                <w:spacing w:val="8"/>
                <w:sz w:val="20"/>
                <w:szCs w:val="20"/>
              </w:rPr>
              <w:t>环水池、配料站等</w:t>
            </w:r>
          </w:p>
        </w:tc>
        <w:tc>
          <w:tcPr>
            <w:tcW w:w="3838" w:type="dxa"/>
            <w:vAlign w:val="top"/>
          </w:tcPr>
          <w:p w14:paraId="1A252249">
            <w:pPr>
              <w:pStyle w:val="6"/>
              <w:spacing w:before="59" w:line="281" w:lineRule="exact"/>
              <w:ind w:left="11"/>
              <w:rPr>
                <w:sz w:val="20"/>
                <w:szCs w:val="20"/>
              </w:rPr>
            </w:pPr>
            <w:r>
              <w:rPr>
                <w:spacing w:val="5"/>
                <w:position w:val="1"/>
                <w:sz w:val="20"/>
                <w:szCs w:val="20"/>
              </w:rPr>
              <w:t>等效于</w:t>
            </w:r>
            <w:r>
              <w:rPr>
                <w:spacing w:val="-23"/>
                <w:position w:val="1"/>
                <w:sz w:val="20"/>
                <w:szCs w:val="20"/>
              </w:rPr>
              <w:t xml:space="preserve"> </w:t>
            </w:r>
            <w:r>
              <w:rPr>
                <w:rFonts w:ascii="Times New Roman" w:hAnsi="Times New Roman" w:eastAsia="Times New Roman" w:cs="Times New Roman"/>
                <w:spacing w:val="5"/>
                <w:position w:val="1"/>
                <w:sz w:val="20"/>
                <w:szCs w:val="20"/>
              </w:rPr>
              <w:t>M=</w:t>
            </w:r>
            <w:r>
              <w:rPr>
                <w:rFonts w:ascii="Times New Roman" w:hAnsi="Times New Roman" w:eastAsia="Times New Roman" w:cs="Times New Roman"/>
                <w:spacing w:val="-26"/>
                <w:position w:val="1"/>
                <w:sz w:val="20"/>
                <w:szCs w:val="20"/>
              </w:rPr>
              <w:t xml:space="preserve"> </w:t>
            </w:r>
            <w:r>
              <w:rPr>
                <w:rFonts w:ascii="Times New Roman" w:hAnsi="Times New Roman" w:eastAsia="Times New Roman" w:cs="Times New Roman"/>
                <w:spacing w:val="5"/>
                <w:position w:val="1"/>
                <w:sz w:val="20"/>
                <w:szCs w:val="20"/>
              </w:rPr>
              <w:t>1.5m</w:t>
            </w:r>
            <w:r>
              <w:rPr>
                <w:rFonts w:ascii="Times New Roman" w:hAnsi="Times New Roman" w:eastAsia="Times New Roman" w:cs="Times New Roman"/>
                <w:spacing w:val="17"/>
                <w:position w:val="1"/>
                <w:sz w:val="20"/>
                <w:szCs w:val="20"/>
              </w:rPr>
              <w:t xml:space="preserve"> </w:t>
            </w:r>
            <w:r>
              <w:rPr>
                <w:spacing w:val="5"/>
                <w:position w:val="1"/>
                <w:sz w:val="20"/>
                <w:szCs w:val="20"/>
              </w:rPr>
              <w:t>厚粘土，渗透系数不大于</w:t>
            </w:r>
          </w:p>
          <w:p w14:paraId="7CD9BCC5">
            <w:pPr>
              <w:pStyle w:val="6"/>
              <w:spacing w:before="45" w:line="203" w:lineRule="auto"/>
              <w:ind w:left="1475"/>
              <w:rPr>
                <w:sz w:val="20"/>
                <w:szCs w:val="20"/>
              </w:rPr>
            </w:pPr>
            <w:r>
              <w:rPr>
                <w:rFonts w:ascii="Times New Roman" w:hAnsi="Times New Roman" w:eastAsia="Times New Roman" w:cs="Times New Roman"/>
                <w:sz w:val="20"/>
                <w:szCs w:val="20"/>
              </w:rPr>
              <w:t>10</w:t>
            </w:r>
            <w:r>
              <w:rPr>
                <w:rFonts w:ascii="Times New Roman" w:hAnsi="Times New Roman" w:eastAsia="Times New Roman" w:cs="Times New Roman"/>
                <w:position w:val="6"/>
                <w:sz w:val="13"/>
                <w:szCs w:val="13"/>
              </w:rPr>
              <w:t>-7</w:t>
            </w:r>
            <w:r>
              <w:rPr>
                <w:rFonts w:ascii="Times New Roman" w:hAnsi="Times New Roman" w:eastAsia="Times New Roman" w:cs="Times New Roman"/>
                <w:sz w:val="20"/>
                <w:szCs w:val="20"/>
              </w:rPr>
              <w:t>cm/s</w:t>
            </w:r>
            <w:r>
              <w:rPr>
                <w:sz w:val="20"/>
                <w:szCs w:val="20"/>
              </w:rPr>
              <w:t>。</w:t>
            </w:r>
          </w:p>
        </w:tc>
        <w:tc>
          <w:tcPr>
            <w:tcW w:w="1914" w:type="dxa"/>
            <w:vMerge w:val="continue"/>
            <w:tcBorders>
              <w:top w:val="nil"/>
              <w:bottom w:val="nil"/>
              <w:right w:val="nil"/>
            </w:tcBorders>
            <w:vAlign w:val="top"/>
          </w:tcPr>
          <w:p w14:paraId="5DD8E92B">
            <w:pPr>
              <w:rPr>
                <w:rFonts w:ascii="Arial"/>
                <w:sz w:val="21"/>
              </w:rPr>
            </w:pPr>
          </w:p>
        </w:tc>
      </w:tr>
      <w:tr w14:paraId="6A20AE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4" w:hRule="atLeast"/>
        </w:trPr>
        <w:tc>
          <w:tcPr>
            <w:tcW w:w="1117" w:type="dxa"/>
            <w:tcBorders>
              <w:left w:val="nil"/>
              <w:bottom w:val="single" w:color="000000" w:sz="10" w:space="0"/>
            </w:tcBorders>
            <w:vAlign w:val="top"/>
          </w:tcPr>
          <w:p w14:paraId="187426B0">
            <w:pPr>
              <w:pStyle w:val="6"/>
              <w:spacing w:before="105" w:line="239" w:lineRule="auto"/>
              <w:ind w:left="264" w:right="138" w:hanging="114"/>
              <w:rPr>
                <w:sz w:val="20"/>
                <w:szCs w:val="20"/>
              </w:rPr>
            </w:pPr>
            <w:r>
              <w:rPr>
                <w:spacing w:val="6"/>
                <w:sz w:val="20"/>
                <w:szCs w:val="20"/>
              </w:rPr>
              <w:t>简单污染</w:t>
            </w:r>
            <w:r>
              <w:rPr>
                <w:sz w:val="20"/>
                <w:szCs w:val="20"/>
              </w:rPr>
              <w:t xml:space="preserve"> </w:t>
            </w:r>
            <w:r>
              <w:rPr>
                <w:spacing w:val="2"/>
                <w:sz w:val="20"/>
                <w:szCs w:val="20"/>
              </w:rPr>
              <w:t>防渗区</w:t>
            </w:r>
          </w:p>
        </w:tc>
        <w:tc>
          <w:tcPr>
            <w:tcW w:w="2418" w:type="dxa"/>
            <w:tcBorders>
              <w:bottom w:val="single" w:color="000000" w:sz="10" w:space="0"/>
            </w:tcBorders>
            <w:vAlign w:val="top"/>
          </w:tcPr>
          <w:p w14:paraId="07201A8F">
            <w:pPr>
              <w:pStyle w:val="6"/>
              <w:spacing w:before="76" w:line="271" w:lineRule="auto"/>
              <w:ind w:left="899" w:right="53" w:hanging="836"/>
              <w:rPr>
                <w:sz w:val="20"/>
                <w:szCs w:val="20"/>
              </w:rPr>
            </w:pPr>
            <w:r>
              <w:rPr>
                <w:spacing w:val="8"/>
                <w:sz w:val="20"/>
                <w:szCs w:val="20"/>
              </w:rPr>
              <w:t>办公生活区、变电站、低</w:t>
            </w:r>
            <w:r>
              <w:rPr>
                <w:spacing w:val="7"/>
                <w:sz w:val="20"/>
                <w:szCs w:val="20"/>
              </w:rPr>
              <w:t xml:space="preserve"> </w:t>
            </w:r>
            <w:r>
              <w:rPr>
                <w:spacing w:val="6"/>
                <w:sz w:val="20"/>
                <w:szCs w:val="20"/>
              </w:rPr>
              <w:t>压站等</w:t>
            </w:r>
          </w:p>
        </w:tc>
        <w:tc>
          <w:tcPr>
            <w:tcW w:w="3838" w:type="dxa"/>
            <w:tcBorders>
              <w:bottom w:val="single" w:color="000000" w:sz="10" w:space="0"/>
            </w:tcBorders>
            <w:vAlign w:val="top"/>
          </w:tcPr>
          <w:p w14:paraId="694E9B0B">
            <w:pPr>
              <w:pStyle w:val="6"/>
              <w:spacing w:before="238" w:line="227" w:lineRule="auto"/>
              <w:ind w:left="1297"/>
              <w:rPr>
                <w:sz w:val="20"/>
                <w:szCs w:val="20"/>
              </w:rPr>
            </w:pPr>
            <w:r>
              <w:rPr>
                <w:spacing w:val="7"/>
                <w:sz w:val="20"/>
                <w:szCs w:val="20"/>
              </w:rPr>
              <w:t>简单地面硬化</w:t>
            </w:r>
          </w:p>
        </w:tc>
        <w:tc>
          <w:tcPr>
            <w:tcW w:w="1914" w:type="dxa"/>
            <w:vMerge w:val="continue"/>
            <w:tcBorders>
              <w:top w:val="nil"/>
              <w:bottom w:val="single" w:color="000000" w:sz="10" w:space="0"/>
              <w:right w:val="nil"/>
            </w:tcBorders>
            <w:vAlign w:val="top"/>
          </w:tcPr>
          <w:p w14:paraId="04EDFCB9">
            <w:pPr>
              <w:rPr>
                <w:rFonts w:ascii="Arial"/>
                <w:sz w:val="21"/>
              </w:rPr>
            </w:pPr>
          </w:p>
        </w:tc>
      </w:tr>
    </w:tbl>
    <w:p w14:paraId="32443460">
      <w:pPr>
        <w:spacing w:before="178" w:line="222" w:lineRule="auto"/>
        <w:ind w:left="119"/>
        <w:outlineLvl w:val="2"/>
        <w:rPr>
          <w:rFonts w:ascii="黑体" w:hAnsi="黑体" w:eastAsia="黑体" w:cs="黑体"/>
          <w:sz w:val="30"/>
          <w:szCs w:val="30"/>
        </w:rPr>
      </w:pPr>
      <w:bookmarkStart w:id="454" w:name="bookmark376"/>
      <w:bookmarkEnd w:id="454"/>
      <w:r>
        <w:rPr>
          <w:rFonts w:ascii="Times New Roman" w:hAnsi="Times New Roman" w:eastAsia="Times New Roman" w:cs="Times New Roman"/>
          <w:spacing w:val="-4"/>
          <w:sz w:val="30"/>
          <w:szCs w:val="30"/>
        </w:rPr>
        <w:t>6.5.3</w:t>
      </w:r>
      <w:r>
        <w:rPr>
          <w:rFonts w:ascii="Times New Roman" w:hAnsi="Times New Roman" w:eastAsia="Times New Roman" w:cs="Times New Roman"/>
          <w:spacing w:val="23"/>
          <w:w w:val="101"/>
          <w:sz w:val="30"/>
          <w:szCs w:val="30"/>
        </w:rPr>
        <w:t xml:space="preserve"> </w:t>
      </w:r>
      <w:r>
        <w:rPr>
          <w:rFonts w:ascii="黑体" w:hAnsi="黑体" w:eastAsia="黑体" w:cs="黑体"/>
          <w:spacing w:val="-4"/>
          <w:sz w:val="30"/>
          <w:szCs w:val="30"/>
        </w:rPr>
        <w:t>污染监控</w:t>
      </w:r>
    </w:p>
    <w:p w14:paraId="18B16294">
      <w:pPr>
        <w:spacing w:before="238" w:line="372" w:lineRule="auto"/>
        <w:ind w:left="117" w:right="9" w:firstLine="481"/>
        <w:rPr>
          <w:rFonts w:ascii="宋体" w:hAnsi="宋体" w:eastAsia="宋体" w:cs="宋体"/>
          <w:sz w:val="24"/>
          <w:szCs w:val="24"/>
        </w:rPr>
      </w:pPr>
      <w:r>
        <w:rPr>
          <w:rFonts w:ascii="宋体" w:hAnsi="宋体" w:eastAsia="宋体" w:cs="宋体"/>
          <w:spacing w:val="-2"/>
          <w:sz w:val="24"/>
          <w:szCs w:val="24"/>
        </w:rPr>
        <w:t>为及时而准确的掌握项目厂区及周边地下水环境质量状况，发现问题及时解决，切</w:t>
      </w:r>
      <w:r>
        <w:rPr>
          <w:rFonts w:ascii="宋体" w:hAnsi="宋体" w:eastAsia="宋体" w:cs="宋体"/>
          <w:spacing w:val="10"/>
          <w:sz w:val="24"/>
          <w:szCs w:val="24"/>
        </w:rPr>
        <w:t xml:space="preserve"> </w:t>
      </w:r>
      <w:r>
        <w:rPr>
          <w:rFonts w:ascii="宋体" w:hAnsi="宋体" w:eastAsia="宋体" w:cs="宋体"/>
          <w:spacing w:val="-2"/>
          <w:sz w:val="24"/>
          <w:szCs w:val="24"/>
        </w:rPr>
        <w:t>实加强环境保护与环境管理，为此建议：在项目厂区建设过程中及投产运行期，建立地</w:t>
      </w:r>
      <w:r>
        <w:rPr>
          <w:rFonts w:ascii="宋体" w:hAnsi="宋体" w:eastAsia="宋体" w:cs="宋体"/>
          <w:spacing w:val="16"/>
          <w:sz w:val="24"/>
          <w:szCs w:val="24"/>
        </w:rPr>
        <w:t xml:space="preserve"> </w:t>
      </w:r>
      <w:r>
        <w:rPr>
          <w:rFonts w:ascii="宋体" w:hAnsi="宋体" w:eastAsia="宋体" w:cs="宋体"/>
          <w:spacing w:val="-2"/>
          <w:sz w:val="24"/>
          <w:szCs w:val="24"/>
        </w:rPr>
        <w:t>下水环境监控体系，包括建立地下水监控网点，建立完善监测制度。同时，配备相应的</w:t>
      </w:r>
      <w:r>
        <w:rPr>
          <w:rFonts w:ascii="宋体" w:hAnsi="宋体" w:eastAsia="宋体" w:cs="宋体"/>
          <w:spacing w:val="16"/>
          <w:sz w:val="24"/>
          <w:szCs w:val="24"/>
        </w:rPr>
        <w:t xml:space="preserve"> </w:t>
      </w:r>
      <w:r>
        <w:rPr>
          <w:rFonts w:ascii="宋体" w:hAnsi="宋体" w:eastAsia="宋体" w:cs="宋体"/>
          <w:spacing w:val="-4"/>
          <w:sz w:val="24"/>
          <w:szCs w:val="24"/>
        </w:rPr>
        <w:t>监测人员及配置先进的监测仪器设备。根据《地下水环境监测技术规范》（</w:t>
      </w:r>
      <w:r>
        <w:rPr>
          <w:rFonts w:ascii="Times New Roman" w:hAnsi="Times New Roman" w:eastAsia="Times New Roman" w:cs="Times New Roman"/>
          <w:spacing w:val="-5"/>
          <w:sz w:val="24"/>
          <w:szCs w:val="24"/>
        </w:rPr>
        <w:t>HJ164-2020</w:t>
      </w:r>
      <w:r>
        <w:rPr>
          <w:rFonts w:ascii="宋体" w:hAnsi="宋体" w:eastAsia="宋体" w:cs="宋体"/>
          <w:spacing w:val="-5"/>
          <w:sz w:val="24"/>
          <w:szCs w:val="24"/>
        </w:rPr>
        <w:t>）</w:t>
      </w:r>
      <w:r>
        <w:rPr>
          <w:rFonts w:ascii="宋体" w:hAnsi="宋体" w:eastAsia="宋体" w:cs="宋体"/>
          <w:sz w:val="24"/>
          <w:szCs w:val="24"/>
        </w:rPr>
        <w:t xml:space="preserve"> </w:t>
      </w:r>
      <w:r>
        <w:rPr>
          <w:rFonts w:ascii="宋体" w:hAnsi="宋体" w:eastAsia="宋体" w:cs="宋体"/>
          <w:spacing w:val="-2"/>
          <w:sz w:val="24"/>
          <w:szCs w:val="24"/>
        </w:rPr>
        <w:t>之要求，在项目厂区及周边地区设置一定数量地下水质污染监控井，建立地下水质污染</w:t>
      </w:r>
      <w:r>
        <w:rPr>
          <w:rFonts w:ascii="宋体" w:hAnsi="宋体" w:eastAsia="宋体" w:cs="宋体"/>
          <w:spacing w:val="16"/>
          <w:sz w:val="24"/>
          <w:szCs w:val="24"/>
        </w:rPr>
        <w:t xml:space="preserve"> </w:t>
      </w:r>
      <w:r>
        <w:rPr>
          <w:rFonts w:ascii="宋体" w:hAnsi="宋体" w:eastAsia="宋体" w:cs="宋体"/>
          <w:spacing w:val="-2"/>
          <w:sz w:val="24"/>
          <w:szCs w:val="24"/>
        </w:rPr>
        <w:t>监控、预警体系。</w:t>
      </w:r>
    </w:p>
    <w:p w14:paraId="2BD45ACC">
      <w:pPr>
        <w:spacing w:before="33" w:line="219" w:lineRule="auto"/>
        <w:ind w:left="607"/>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）监测点的布设：</w:t>
      </w:r>
    </w:p>
    <w:p w14:paraId="3309A93E">
      <w:pPr>
        <w:spacing w:before="205" w:line="367" w:lineRule="auto"/>
        <w:ind w:left="115" w:right="47" w:firstLine="483"/>
        <w:rPr>
          <w:rFonts w:ascii="宋体" w:hAnsi="宋体" w:eastAsia="宋体" w:cs="宋体"/>
          <w:sz w:val="24"/>
          <w:szCs w:val="24"/>
        </w:rPr>
      </w:pPr>
      <w:r>
        <w:rPr>
          <w:rFonts w:ascii="宋体" w:hAnsi="宋体" w:eastAsia="宋体" w:cs="宋体"/>
          <w:spacing w:val="-2"/>
          <w:sz w:val="24"/>
          <w:szCs w:val="24"/>
        </w:rPr>
        <w:t>厂区目前未建设地下水监控井，因此本项目新建</w:t>
      </w:r>
      <w:r>
        <w:rPr>
          <w:rFonts w:ascii="宋体" w:hAnsi="宋体" w:eastAsia="宋体" w:cs="宋体"/>
          <w:spacing w:val="-48"/>
          <w:sz w:val="24"/>
          <w:szCs w:val="24"/>
        </w:rPr>
        <w:t xml:space="preserve"> </w:t>
      </w:r>
      <w:r>
        <w:rPr>
          <w:rFonts w:ascii="Times New Roman" w:hAnsi="Times New Roman" w:eastAsia="Times New Roman" w:cs="Times New Roman"/>
          <w:spacing w:val="-2"/>
          <w:sz w:val="24"/>
          <w:szCs w:val="24"/>
        </w:rPr>
        <w:t xml:space="preserve">3 </w:t>
      </w:r>
      <w:r>
        <w:rPr>
          <w:rFonts w:ascii="宋体" w:hAnsi="宋体" w:eastAsia="宋体" w:cs="宋体"/>
          <w:spacing w:val="-2"/>
          <w:sz w:val="24"/>
          <w:szCs w:val="24"/>
        </w:rPr>
        <w:t>个地下水监控井，其中上游一个</w:t>
      </w:r>
      <w:r>
        <w:rPr>
          <w:rFonts w:ascii="宋体" w:hAnsi="宋体" w:eastAsia="宋体" w:cs="宋体"/>
          <w:sz w:val="24"/>
          <w:szCs w:val="24"/>
        </w:rPr>
        <w:t xml:space="preserve"> </w:t>
      </w:r>
      <w:r>
        <w:rPr>
          <w:rFonts w:ascii="宋体" w:hAnsi="宋体" w:eastAsia="宋体" w:cs="宋体"/>
          <w:spacing w:val="-6"/>
          <w:sz w:val="24"/>
          <w:szCs w:val="24"/>
        </w:rPr>
        <w:t>对照井，下游两个监测井，监测井控制着下游溶质迁移的水流路径，以便一旦发生泄</w:t>
      </w:r>
      <w:r>
        <w:rPr>
          <w:rFonts w:ascii="宋体" w:hAnsi="宋体" w:eastAsia="宋体" w:cs="宋体"/>
          <w:spacing w:val="-7"/>
          <w:sz w:val="24"/>
          <w:szCs w:val="24"/>
        </w:rPr>
        <w:t>漏，</w:t>
      </w:r>
      <w:r>
        <w:rPr>
          <w:rFonts w:ascii="宋体" w:hAnsi="宋体" w:eastAsia="宋体" w:cs="宋体"/>
          <w:sz w:val="24"/>
          <w:szCs w:val="24"/>
        </w:rPr>
        <w:t xml:space="preserve"> 可第一时间观测到地下水污染情况，并进行抽水，最大程度地</w:t>
      </w:r>
      <w:r>
        <w:rPr>
          <w:rFonts w:ascii="宋体" w:hAnsi="宋体" w:eastAsia="宋体" w:cs="宋体"/>
          <w:spacing w:val="-1"/>
          <w:sz w:val="24"/>
          <w:szCs w:val="24"/>
        </w:rPr>
        <w:t>减少地下水污染范围。</w:t>
      </w:r>
    </w:p>
    <w:p w14:paraId="75FA1884">
      <w:pPr>
        <w:spacing w:before="50" w:line="227" w:lineRule="auto"/>
        <w:ind w:left="2535"/>
        <w:rPr>
          <w:rFonts w:ascii="宋体" w:hAnsi="宋体" w:eastAsia="宋体" w:cs="宋体"/>
          <w:sz w:val="20"/>
          <w:szCs w:val="20"/>
        </w:rPr>
      </w:pPr>
      <w:r>
        <w:rPr>
          <w:rFonts w:ascii="宋体" w:hAnsi="宋体" w:eastAsia="宋体" w:cs="宋体"/>
          <w:b/>
          <w:bCs/>
          <w:spacing w:val="6"/>
          <w:sz w:val="20"/>
          <w:szCs w:val="20"/>
        </w:rPr>
        <w:t>表</w:t>
      </w:r>
      <w:r>
        <w:rPr>
          <w:rFonts w:ascii="Times New Roman" w:hAnsi="Times New Roman" w:eastAsia="Times New Roman" w:cs="Times New Roman"/>
          <w:b/>
          <w:bCs/>
          <w:spacing w:val="6"/>
          <w:sz w:val="20"/>
          <w:szCs w:val="20"/>
        </w:rPr>
        <w:t xml:space="preserve">6.5-2        </w:t>
      </w:r>
      <w:r>
        <w:rPr>
          <w:rFonts w:ascii="宋体" w:hAnsi="宋体" w:eastAsia="宋体" w:cs="宋体"/>
          <w:b/>
          <w:bCs/>
          <w:spacing w:val="6"/>
          <w:sz w:val="20"/>
          <w:szCs w:val="20"/>
        </w:rPr>
        <w:t>地下水跟踪监测井基本情</w:t>
      </w:r>
      <w:r>
        <w:rPr>
          <w:rFonts w:ascii="宋体" w:hAnsi="宋体" w:eastAsia="宋体" w:cs="宋体"/>
          <w:b/>
          <w:bCs/>
          <w:spacing w:val="5"/>
          <w:sz w:val="20"/>
          <w:szCs w:val="20"/>
        </w:rPr>
        <w:t>况统计表</w:t>
      </w:r>
    </w:p>
    <w:p w14:paraId="107AEBAC">
      <w:pPr>
        <w:spacing w:line="104" w:lineRule="exact"/>
      </w:pPr>
    </w:p>
    <w:tbl>
      <w:tblPr>
        <w:tblStyle w:val="5"/>
        <w:tblW w:w="9071" w:type="dxa"/>
        <w:tblInd w:w="10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68"/>
        <w:gridCol w:w="1859"/>
        <w:gridCol w:w="1238"/>
        <w:gridCol w:w="3650"/>
        <w:gridCol w:w="1556"/>
      </w:tblGrid>
      <w:tr w14:paraId="5E015C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 w:hRule="atLeast"/>
        </w:trPr>
        <w:tc>
          <w:tcPr>
            <w:tcW w:w="768" w:type="dxa"/>
            <w:tcBorders>
              <w:top w:val="single" w:color="000000" w:sz="10" w:space="0"/>
              <w:left w:val="nil"/>
            </w:tcBorders>
            <w:vAlign w:val="top"/>
          </w:tcPr>
          <w:p w14:paraId="5CD6375A">
            <w:pPr>
              <w:pStyle w:val="6"/>
              <w:spacing w:before="40" w:line="218" w:lineRule="auto"/>
              <w:ind w:left="180"/>
              <w:rPr>
                <w:sz w:val="20"/>
                <w:szCs w:val="20"/>
              </w:rPr>
            </w:pPr>
            <w:r>
              <w:rPr>
                <w:spacing w:val="4"/>
                <w:sz w:val="20"/>
                <w:szCs w:val="20"/>
              </w:rPr>
              <w:t>孔号</w:t>
            </w:r>
          </w:p>
        </w:tc>
        <w:tc>
          <w:tcPr>
            <w:tcW w:w="1859" w:type="dxa"/>
            <w:tcBorders>
              <w:top w:val="single" w:color="000000" w:sz="10" w:space="0"/>
            </w:tcBorders>
            <w:vAlign w:val="top"/>
          </w:tcPr>
          <w:p w14:paraId="1F468E14">
            <w:pPr>
              <w:pStyle w:val="6"/>
              <w:spacing w:before="40" w:line="218" w:lineRule="auto"/>
              <w:ind w:left="724"/>
              <w:rPr>
                <w:sz w:val="20"/>
                <w:szCs w:val="20"/>
              </w:rPr>
            </w:pPr>
            <w:r>
              <w:rPr>
                <w:spacing w:val="4"/>
                <w:sz w:val="20"/>
                <w:szCs w:val="20"/>
              </w:rPr>
              <w:t>地点</w:t>
            </w:r>
          </w:p>
        </w:tc>
        <w:tc>
          <w:tcPr>
            <w:tcW w:w="1238" w:type="dxa"/>
            <w:tcBorders>
              <w:top w:val="single" w:color="000000" w:sz="10" w:space="0"/>
            </w:tcBorders>
            <w:vAlign w:val="top"/>
          </w:tcPr>
          <w:p w14:paraId="7C465299">
            <w:pPr>
              <w:pStyle w:val="6"/>
              <w:spacing w:before="40" w:line="218" w:lineRule="auto"/>
              <w:ind w:left="263"/>
              <w:rPr>
                <w:rFonts w:ascii="Times New Roman" w:hAnsi="Times New Roman" w:eastAsia="Times New Roman" w:cs="Times New Roman"/>
                <w:sz w:val="20"/>
                <w:szCs w:val="20"/>
              </w:rPr>
            </w:pPr>
            <w:r>
              <w:rPr>
                <w:spacing w:val="4"/>
                <w:sz w:val="20"/>
                <w:szCs w:val="20"/>
              </w:rPr>
              <w:t>孔深</w:t>
            </w:r>
            <w:r>
              <w:rPr>
                <w:rFonts w:ascii="Times New Roman" w:hAnsi="Times New Roman" w:eastAsia="Times New Roman" w:cs="Times New Roman"/>
                <w:spacing w:val="4"/>
                <w:sz w:val="20"/>
                <w:szCs w:val="20"/>
              </w:rPr>
              <w:t>(m)</w:t>
            </w:r>
          </w:p>
        </w:tc>
        <w:tc>
          <w:tcPr>
            <w:tcW w:w="3650" w:type="dxa"/>
            <w:tcBorders>
              <w:top w:val="single" w:color="000000" w:sz="10" w:space="0"/>
            </w:tcBorders>
            <w:vAlign w:val="top"/>
          </w:tcPr>
          <w:p w14:paraId="575CD73E">
            <w:pPr>
              <w:pStyle w:val="6"/>
              <w:spacing w:before="40" w:line="218" w:lineRule="auto"/>
              <w:ind w:left="1410"/>
              <w:rPr>
                <w:sz w:val="20"/>
                <w:szCs w:val="20"/>
              </w:rPr>
            </w:pPr>
            <w:r>
              <w:rPr>
                <w:spacing w:val="7"/>
                <w:sz w:val="20"/>
                <w:szCs w:val="20"/>
              </w:rPr>
              <w:t>井孔结构</w:t>
            </w:r>
          </w:p>
        </w:tc>
        <w:tc>
          <w:tcPr>
            <w:tcW w:w="1556" w:type="dxa"/>
            <w:tcBorders>
              <w:top w:val="single" w:color="000000" w:sz="10" w:space="0"/>
              <w:right w:val="nil"/>
            </w:tcBorders>
            <w:vAlign w:val="top"/>
          </w:tcPr>
          <w:p w14:paraId="5E4FEB72">
            <w:pPr>
              <w:pStyle w:val="6"/>
              <w:spacing w:before="40" w:line="218" w:lineRule="auto"/>
              <w:ind w:left="367"/>
              <w:rPr>
                <w:sz w:val="20"/>
                <w:szCs w:val="20"/>
              </w:rPr>
            </w:pPr>
            <w:r>
              <w:rPr>
                <w:spacing w:val="7"/>
                <w:sz w:val="20"/>
                <w:szCs w:val="20"/>
              </w:rPr>
              <w:t>监测层位</w:t>
            </w:r>
          </w:p>
        </w:tc>
      </w:tr>
      <w:tr w14:paraId="35FAE4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5" w:hRule="atLeast"/>
        </w:trPr>
        <w:tc>
          <w:tcPr>
            <w:tcW w:w="768" w:type="dxa"/>
            <w:tcBorders>
              <w:left w:val="nil"/>
              <w:bottom w:val="single" w:color="000000" w:sz="10" w:space="0"/>
            </w:tcBorders>
            <w:vAlign w:val="top"/>
          </w:tcPr>
          <w:p w14:paraId="2AF44EEF">
            <w:pPr>
              <w:spacing w:line="287" w:lineRule="auto"/>
              <w:rPr>
                <w:rFonts w:ascii="Arial"/>
                <w:sz w:val="21"/>
              </w:rPr>
            </w:pPr>
          </w:p>
          <w:p w14:paraId="443B74DC">
            <w:pPr>
              <w:spacing w:before="57"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w:t>
            </w:r>
          </w:p>
        </w:tc>
        <w:tc>
          <w:tcPr>
            <w:tcW w:w="1859" w:type="dxa"/>
            <w:tcBorders>
              <w:bottom w:val="single" w:color="000000" w:sz="10" w:space="0"/>
            </w:tcBorders>
            <w:vAlign w:val="top"/>
          </w:tcPr>
          <w:p w14:paraId="46275F91">
            <w:pPr>
              <w:pStyle w:val="6"/>
              <w:spacing w:before="38" w:line="228" w:lineRule="auto"/>
              <w:ind w:left="95"/>
              <w:rPr>
                <w:sz w:val="20"/>
                <w:szCs w:val="20"/>
              </w:rPr>
            </w:pPr>
            <w:r>
              <w:rPr>
                <w:spacing w:val="8"/>
                <w:sz w:val="20"/>
                <w:szCs w:val="20"/>
              </w:rPr>
              <w:t>厂区西北侧（对照</w:t>
            </w:r>
          </w:p>
          <w:p w14:paraId="7C99DE58">
            <w:pPr>
              <w:pStyle w:val="6"/>
              <w:spacing w:before="24" w:line="228" w:lineRule="auto"/>
              <w:ind w:left="9"/>
              <w:rPr>
                <w:sz w:val="20"/>
                <w:szCs w:val="20"/>
              </w:rPr>
            </w:pPr>
            <w:r>
              <w:rPr>
                <w:spacing w:val="4"/>
                <w:sz w:val="20"/>
                <w:szCs w:val="20"/>
              </w:rPr>
              <w:t>井）、南侧、东南侧</w:t>
            </w:r>
          </w:p>
          <w:p w14:paraId="3F909082">
            <w:pPr>
              <w:pStyle w:val="6"/>
              <w:spacing w:before="24" w:line="228" w:lineRule="auto"/>
              <w:ind w:left="209"/>
              <w:rPr>
                <w:sz w:val="20"/>
                <w:szCs w:val="20"/>
              </w:rPr>
            </w:pPr>
            <w:r>
              <w:rPr>
                <w:spacing w:val="5"/>
                <w:sz w:val="20"/>
                <w:szCs w:val="20"/>
              </w:rPr>
              <w:t>（下游监测井）</w:t>
            </w:r>
          </w:p>
        </w:tc>
        <w:tc>
          <w:tcPr>
            <w:tcW w:w="1238" w:type="dxa"/>
            <w:tcBorders>
              <w:bottom w:val="single" w:color="000000" w:sz="10" w:space="0"/>
            </w:tcBorders>
            <w:vAlign w:val="top"/>
          </w:tcPr>
          <w:p w14:paraId="57A65F33">
            <w:pPr>
              <w:pStyle w:val="6"/>
              <w:spacing w:before="38" w:line="243" w:lineRule="auto"/>
              <w:ind w:left="98" w:right="92" w:firstLine="5"/>
              <w:jc w:val="both"/>
              <w:rPr>
                <w:sz w:val="20"/>
                <w:szCs w:val="20"/>
              </w:rPr>
            </w:pPr>
            <w:r>
              <w:rPr>
                <w:spacing w:val="7"/>
                <w:sz w:val="20"/>
                <w:szCs w:val="20"/>
              </w:rPr>
              <w:t>实际井深以</w:t>
            </w:r>
            <w:r>
              <w:rPr>
                <w:sz w:val="20"/>
                <w:szCs w:val="20"/>
              </w:rPr>
              <w:t xml:space="preserve"> </w:t>
            </w:r>
            <w:r>
              <w:rPr>
                <w:spacing w:val="8"/>
                <w:sz w:val="20"/>
                <w:szCs w:val="20"/>
              </w:rPr>
              <w:t>能够监测到</w:t>
            </w:r>
            <w:r>
              <w:rPr>
                <w:sz w:val="20"/>
                <w:szCs w:val="20"/>
              </w:rPr>
              <w:t xml:space="preserve"> </w:t>
            </w:r>
            <w:r>
              <w:rPr>
                <w:spacing w:val="8"/>
                <w:sz w:val="20"/>
                <w:szCs w:val="20"/>
              </w:rPr>
              <w:t>潜水含水层</w:t>
            </w:r>
          </w:p>
        </w:tc>
        <w:tc>
          <w:tcPr>
            <w:tcW w:w="3650" w:type="dxa"/>
            <w:tcBorders>
              <w:bottom w:val="single" w:color="000000" w:sz="10" w:space="0"/>
            </w:tcBorders>
            <w:vAlign w:val="top"/>
          </w:tcPr>
          <w:p w14:paraId="5D91A93A">
            <w:pPr>
              <w:pStyle w:val="6"/>
              <w:spacing w:before="38" w:line="243" w:lineRule="auto"/>
              <w:ind w:left="13" w:right="1" w:hanging="3"/>
              <w:jc w:val="both"/>
              <w:rPr>
                <w:sz w:val="20"/>
                <w:szCs w:val="20"/>
              </w:rPr>
            </w:pPr>
            <w:r>
              <w:rPr>
                <w:spacing w:val="17"/>
                <w:sz w:val="20"/>
                <w:szCs w:val="20"/>
              </w:rPr>
              <w:t>深入到含水层</w:t>
            </w:r>
            <w:r>
              <w:rPr>
                <w:spacing w:val="-31"/>
                <w:sz w:val="20"/>
                <w:szCs w:val="20"/>
              </w:rPr>
              <w:t xml:space="preserve"> </w:t>
            </w:r>
            <w:r>
              <w:rPr>
                <w:rFonts w:ascii="Times New Roman" w:hAnsi="Times New Roman" w:eastAsia="Times New Roman" w:cs="Times New Roman"/>
                <w:spacing w:val="17"/>
                <w:sz w:val="20"/>
                <w:szCs w:val="20"/>
              </w:rPr>
              <w:t>20</w:t>
            </w:r>
            <w:r>
              <w:rPr>
                <w:rFonts w:ascii="Times New Roman" w:hAnsi="Times New Roman" w:eastAsia="Times New Roman" w:cs="Times New Roman"/>
                <w:spacing w:val="21"/>
                <w:w w:val="101"/>
                <w:sz w:val="20"/>
                <w:szCs w:val="20"/>
              </w:rPr>
              <w:t xml:space="preserve"> </w:t>
            </w:r>
            <w:r>
              <w:rPr>
                <w:spacing w:val="17"/>
                <w:sz w:val="20"/>
                <w:szCs w:val="20"/>
              </w:rPr>
              <w:t>米，成井管径不小于</w:t>
            </w:r>
            <w:r>
              <w:rPr>
                <w:sz w:val="20"/>
                <w:szCs w:val="20"/>
              </w:rPr>
              <w:t xml:space="preserve"> </w:t>
            </w:r>
            <w:r>
              <w:rPr>
                <w:rFonts w:ascii="Times New Roman" w:hAnsi="Times New Roman" w:eastAsia="Times New Roman" w:cs="Times New Roman"/>
                <w:spacing w:val="7"/>
                <w:sz w:val="20"/>
                <w:szCs w:val="20"/>
              </w:rPr>
              <w:t>146</w:t>
            </w:r>
            <w:r>
              <w:rPr>
                <w:rFonts w:ascii="Times New Roman" w:hAnsi="Times New Roman" w:eastAsia="Times New Roman" w:cs="Times New Roman"/>
                <w:sz w:val="20"/>
                <w:szCs w:val="20"/>
              </w:rPr>
              <w:t>mm</w:t>
            </w:r>
            <w:r>
              <w:rPr>
                <w:rFonts w:ascii="Times New Roman" w:hAnsi="Times New Roman" w:eastAsia="Times New Roman" w:cs="Times New Roman"/>
                <w:spacing w:val="-14"/>
                <w:sz w:val="20"/>
                <w:szCs w:val="20"/>
              </w:rPr>
              <w:t xml:space="preserve"> </w:t>
            </w:r>
            <w:r>
              <w:rPr>
                <w:spacing w:val="7"/>
                <w:sz w:val="20"/>
                <w:szCs w:val="20"/>
              </w:rPr>
              <w:t>，壁厚不小于</w:t>
            </w:r>
            <w:r>
              <w:rPr>
                <w:spacing w:val="-30"/>
                <w:sz w:val="20"/>
                <w:szCs w:val="20"/>
              </w:rPr>
              <w:t xml:space="preserve"> </w:t>
            </w:r>
            <w:r>
              <w:rPr>
                <w:rFonts w:ascii="Times New Roman" w:hAnsi="Times New Roman" w:eastAsia="Times New Roman" w:cs="Times New Roman"/>
                <w:spacing w:val="7"/>
                <w:sz w:val="20"/>
                <w:szCs w:val="20"/>
              </w:rPr>
              <w:t>8.4</w:t>
            </w:r>
            <w:r>
              <w:rPr>
                <w:rFonts w:ascii="Times New Roman" w:hAnsi="Times New Roman" w:eastAsia="Times New Roman" w:cs="Times New Roman"/>
                <w:sz w:val="20"/>
                <w:szCs w:val="20"/>
              </w:rPr>
              <w:t>mm</w:t>
            </w:r>
            <w:r>
              <w:rPr>
                <w:rFonts w:ascii="Times New Roman" w:hAnsi="Times New Roman" w:eastAsia="Times New Roman" w:cs="Times New Roman"/>
                <w:spacing w:val="-19"/>
                <w:sz w:val="20"/>
                <w:szCs w:val="20"/>
              </w:rPr>
              <w:t xml:space="preserve"> </w:t>
            </w:r>
            <w:r>
              <w:rPr>
                <w:spacing w:val="7"/>
                <w:sz w:val="20"/>
                <w:szCs w:val="20"/>
              </w:rPr>
              <w:t>，环状间隙</w:t>
            </w:r>
            <w:r>
              <w:rPr>
                <w:sz w:val="20"/>
                <w:szCs w:val="20"/>
              </w:rPr>
              <w:t xml:space="preserve"> </w:t>
            </w:r>
            <w:r>
              <w:rPr>
                <w:spacing w:val="15"/>
                <w:sz w:val="20"/>
                <w:szCs w:val="20"/>
              </w:rPr>
              <w:t>不小于</w:t>
            </w:r>
            <w:r>
              <w:rPr>
                <w:spacing w:val="3"/>
                <w:sz w:val="20"/>
                <w:szCs w:val="20"/>
              </w:rPr>
              <w:t xml:space="preserve"> </w:t>
            </w:r>
            <w:r>
              <w:rPr>
                <w:rFonts w:ascii="Times New Roman" w:hAnsi="Times New Roman" w:eastAsia="Times New Roman" w:cs="Times New Roman"/>
                <w:spacing w:val="15"/>
                <w:sz w:val="20"/>
                <w:szCs w:val="20"/>
              </w:rPr>
              <w:t>10</w:t>
            </w:r>
            <w:r>
              <w:rPr>
                <w:rFonts w:ascii="Times New Roman" w:hAnsi="Times New Roman" w:eastAsia="Times New Roman" w:cs="Times New Roman"/>
                <w:sz w:val="20"/>
                <w:szCs w:val="20"/>
              </w:rPr>
              <w:t>cm</w:t>
            </w:r>
            <w:r>
              <w:rPr>
                <w:rFonts w:ascii="Times New Roman" w:hAnsi="Times New Roman" w:eastAsia="Times New Roman" w:cs="Times New Roman"/>
                <w:spacing w:val="-12"/>
                <w:sz w:val="20"/>
                <w:szCs w:val="20"/>
              </w:rPr>
              <w:t xml:space="preserve"> </w:t>
            </w:r>
            <w:r>
              <w:rPr>
                <w:spacing w:val="15"/>
                <w:sz w:val="20"/>
                <w:szCs w:val="20"/>
              </w:rPr>
              <w:t>，水位波动带以上下入实</w:t>
            </w:r>
          </w:p>
        </w:tc>
        <w:tc>
          <w:tcPr>
            <w:tcW w:w="1556" w:type="dxa"/>
            <w:tcBorders>
              <w:bottom w:val="single" w:color="000000" w:sz="10" w:space="0"/>
              <w:right w:val="nil"/>
            </w:tcBorders>
            <w:vAlign w:val="top"/>
          </w:tcPr>
          <w:p w14:paraId="230BAAB9">
            <w:pPr>
              <w:pStyle w:val="6"/>
              <w:spacing w:before="173"/>
              <w:ind w:left="471" w:right="40" w:hanging="419"/>
              <w:rPr>
                <w:sz w:val="20"/>
                <w:szCs w:val="20"/>
              </w:rPr>
            </w:pPr>
            <w:r>
              <w:rPr>
                <w:spacing w:val="8"/>
                <w:sz w:val="20"/>
                <w:szCs w:val="20"/>
              </w:rPr>
              <w:t>松散岩类孔隙水</w:t>
            </w:r>
            <w:r>
              <w:rPr>
                <w:spacing w:val="2"/>
                <w:sz w:val="20"/>
                <w:szCs w:val="20"/>
              </w:rPr>
              <w:t xml:space="preserve"> </w:t>
            </w:r>
            <w:r>
              <w:rPr>
                <w:spacing w:val="6"/>
                <w:sz w:val="20"/>
                <w:szCs w:val="20"/>
              </w:rPr>
              <w:t>含水层</w:t>
            </w:r>
          </w:p>
        </w:tc>
      </w:tr>
    </w:tbl>
    <w:p w14:paraId="4D252A90">
      <w:pPr>
        <w:pStyle w:val="2"/>
      </w:pPr>
    </w:p>
    <w:p w14:paraId="1CABF5F3">
      <w:pPr>
        <w:sectPr>
          <w:headerReference r:id="rId470" w:type="default"/>
          <w:footerReference r:id="rId471" w:type="default"/>
          <w:pgSz w:w="11906" w:h="16839"/>
          <w:pgMar w:top="1190" w:right="1309" w:bottom="1221" w:left="1309" w:header="882" w:footer="1059" w:gutter="0"/>
          <w:cols w:space="720" w:num="1"/>
        </w:sectPr>
      </w:pPr>
    </w:p>
    <w:p w14:paraId="0F05EBB8">
      <w:pPr>
        <w:spacing w:line="28" w:lineRule="exact"/>
      </w:pPr>
      <w:r>
        <w:pict>
          <v:shape id="_x0000_s3077" o:spid="_x0000_s3077" style="height:1.45pt;width:453.65pt;" fillcolor="#000000" filled="t" stroked="f" coordsize="9072,29" path="m0,0l9072,0,9072,28,0,28,0,0xe">
            <v:path/>
            <v:fill on="t" focussize="0,0"/>
            <v:stroke on="f"/>
            <v:imagedata o:title=""/>
            <o:lock v:ext="edit"/>
            <w10:wrap type="none"/>
            <w10:anchorlock/>
          </v:shape>
        </w:pict>
      </w:r>
    </w:p>
    <w:p w14:paraId="330FD68B">
      <w:pPr>
        <w:spacing w:line="197" w:lineRule="exact"/>
      </w:pPr>
    </w:p>
    <w:tbl>
      <w:tblPr>
        <w:tblStyle w:val="5"/>
        <w:tblW w:w="9071" w:type="dxa"/>
        <w:tblInd w:w="0" w:type="dxa"/>
        <w:tblBorders>
          <w:top w:val="single" w:color="000000" w:sz="10" w:space="0"/>
          <w:left w:val="single" w:color="000000" w:sz="10" w:space="0"/>
          <w:bottom w:val="single" w:color="000000" w:sz="10" w:space="0"/>
          <w:right w:val="single" w:color="000000" w:sz="10" w:space="0"/>
          <w:insideH w:val="single" w:color="000000" w:sz="10" w:space="0"/>
          <w:insideV w:val="single" w:color="000000" w:sz="10" w:space="0"/>
        </w:tblBorders>
        <w:tblLayout w:type="fixed"/>
        <w:tblCellMar>
          <w:top w:w="0" w:type="dxa"/>
          <w:left w:w="0" w:type="dxa"/>
          <w:bottom w:w="0" w:type="dxa"/>
          <w:right w:w="0" w:type="dxa"/>
        </w:tblCellMar>
      </w:tblPr>
      <w:tblGrid>
        <w:gridCol w:w="768"/>
        <w:gridCol w:w="1859"/>
        <w:gridCol w:w="1238"/>
        <w:gridCol w:w="3650"/>
        <w:gridCol w:w="1556"/>
      </w:tblGrid>
      <w:tr w14:paraId="32AA85F1">
        <w:tblPrEx>
          <w:tblBorders>
            <w:top w:val="single" w:color="000000" w:sz="10" w:space="0"/>
            <w:left w:val="single" w:color="000000" w:sz="10" w:space="0"/>
            <w:bottom w:val="single" w:color="000000" w:sz="10" w:space="0"/>
            <w:right w:val="single" w:color="000000" w:sz="10" w:space="0"/>
            <w:insideH w:val="single" w:color="000000" w:sz="10" w:space="0"/>
            <w:insideV w:val="single" w:color="000000" w:sz="10" w:space="0"/>
          </w:tblBorders>
          <w:tblCellMar>
            <w:top w:w="0" w:type="dxa"/>
            <w:left w:w="0" w:type="dxa"/>
            <w:bottom w:w="0" w:type="dxa"/>
            <w:right w:w="0" w:type="dxa"/>
          </w:tblCellMar>
        </w:tblPrEx>
        <w:trPr>
          <w:trHeight w:val="533" w:hRule="atLeast"/>
        </w:trPr>
        <w:tc>
          <w:tcPr>
            <w:tcW w:w="768" w:type="dxa"/>
            <w:tcBorders>
              <w:left w:val="nil"/>
              <w:right w:val="single" w:color="000000" w:sz="2" w:space="0"/>
            </w:tcBorders>
            <w:vAlign w:val="top"/>
          </w:tcPr>
          <w:p w14:paraId="346625D3">
            <w:pPr>
              <w:rPr>
                <w:rFonts w:ascii="Arial"/>
                <w:sz w:val="21"/>
              </w:rPr>
            </w:pPr>
          </w:p>
        </w:tc>
        <w:tc>
          <w:tcPr>
            <w:tcW w:w="1859" w:type="dxa"/>
            <w:tcBorders>
              <w:left w:val="single" w:color="000000" w:sz="2" w:space="0"/>
              <w:right w:val="single" w:color="000000" w:sz="2" w:space="0"/>
            </w:tcBorders>
            <w:vAlign w:val="top"/>
          </w:tcPr>
          <w:p w14:paraId="2207C879">
            <w:pPr>
              <w:rPr>
                <w:rFonts w:ascii="Arial"/>
                <w:sz w:val="21"/>
              </w:rPr>
            </w:pPr>
          </w:p>
        </w:tc>
        <w:tc>
          <w:tcPr>
            <w:tcW w:w="1238" w:type="dxa"/>
            <w:tcBorders>
              <w:left w:val="single" w:color="000000" w:sz="2" w:space="0"/>
              <w:right w:val="single" w:color="000000" w:sz="2" w:space="0"/>
            </w:tcBorders>
            <w:vAlign w:val="top"/>
          </w:tcPr>
          <w:p w14:paraId="3353F989">
            <w:pPr>
              <w:pStyle w:val="6"/>
              <w:spacing w:before="16" w:line="229" w:lineRule="auto"/>
              <w:ind w:left="416"/>
              <w:rPr>
                <w:sz w:val="20"/>
                <w:szCs w:val="20"/>
              </w:rPr>
            </w:pPr>
            <w:r>
              <w:rPr>
                <w:spacing w:val="3"/>
                <w:sz w:val="20"/>
                <w:szCs w:val="20"/>
              </w:rPr>
              <w:t>为准</w:t>
            </w:r>
          </w:p>
        </w:tc>
        <w:tc>
          <w:tcPr>
            <w:tcW w:w="3650" w:type="dxa"/>
            <w:tcBorders>
              <w:left w:val="single" w:color="000000" w:sz="2" w:space="0"/>
              <w:right w:val="single" w:color="000000" w:sz="2" w:space="0"/>
            </w:tcBorders>
            <w:vAlign w:val="top"/>
          </w:tcPr>
          <w:p w14:paraId="27D1AD63">
            <w:pPr>
              <w:pStyle w:val="6"/>
              <w:spacing w:before="16" w:line="234" w:lineRule="auto"/>
              <w:ind w:left="27" w:right="3" w:hanging="12"/>
              <w:rPr>
                <w:sz w:val="20"/>
                <w:szCs w:val="20"/>
              </w:rPr>
            </w:pPr>
            <w:r>
              <w:rPr>
                <w:spacing w:val="2"/>
                <w:sz w:val="20"/>
                <w:szCs w:val="20"/>
              </w:rPr>
              <w:t>管，波动带以下下入花管，井底留</w:t>
            </w:r>
            <w:r>
              <w:rPr>
                <w:spacing w:val="-20"/>
                <w:sz w:val="20"/>
                <w:szCs w:val="20"/>
              </w:rPr>
              <w:t xml:space="preserve"> </w:t>
            </w:r>
            <w:r>
              <w:rPr>
                <w:rFonts w:ascii="Times New Roman" w:hAnsi="Times New Roman" w:eastAsia="Times New Roman" w:cs="Times New Roman"/>
                <w:spacing w:val="2"/>
                <w:sz w:val="20"/>
                <w:szCs w:val="20"/>
              </w:rPr>
              <w:t xml:space="preserve">3m </w:t>
            </w:r>
            <w:r>
              <w:rPr>
                <w:spacing w:val="2"/>
                <w:sz w:val="20"/>
                <w:szCs w:val="20"/>
              </w:rPr>
              <w:t>长</w:t>
            </w:r>
            <w:r>
              <w:rPr>
                <w:sz w:val="20"/>
                <w:szCs w:val="20"/>
              </w:rPr>
              <w:t xml:space="preserve"> </w:t>
            </w:r>
            <w:r>
              <w:rPr>
                <w:spacing w:val="3"/>
                <w:sz w:val="20"/>
                <w:szCs w:val="20"/>
              </w:rPr>
              <w:t>的沉砂管</w:t>
            </w:r>
          </w:p>
        </w:tc>
        <w:tc>
          <w:tcPr>
            <w:tcW w:w="1556" w:type="dxa"/>
            <w:tcBorders>
              <w:left w:val="single" w:color="000000" w:sz="2" w:space="0"/>
              <w:right w:val="nil"/>
            </w:tcBorders>
            <w:vAlign w:val="top"/>
          </w:tcPr>
          <w:p w14:paraId="6DE0B7DE">
            <w:pPr>
              <w:rPr>
                <w:rFonts w:ascii="Arial"/>
                <w:sz w:val="21"/>
              </w:rPr>
            </w:pPr>
          </w:p>
        </w:tc>
      </w:tr>
    </w:tbl>
    <w:p w14:paraId="6B769FF6">
      <w:pPr>
        <w:spacing w:before="37" w:line="312" w:lineRule="auto"/>
        <w:ind w:left="11" w:right="61" w:firstLine="488"/>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）监测层位及井深：潜水含水层，根据评价区水文地质条件，设计监测井深度</w:t>
      </w:r>
      <w:r>
        <w:rPr>
          <w:rFonts w:ascii="宋体" w:hAnsi="宋体" w:eastAsia="宋体" w:cs="宋体"/>
          <w:spacing w:val="14"/>
          <w:sz w:val="24"/>
          <w:szCs w:val="24"/>
        </w:rPr>
        <w:t xml:space="preserve"> </w:t>
      </w:r>
      <w:r>
        <w:rPr>
          <w:rFonts w:ascii="宋体" w:hAnsi="宋体" w:eastAsia="宋体" w:cs="宋体"/>
          <w:spacing w:val="-4"/>
          <w:sz w:val="24"/>
          <w:szCs w:val="24"/>
        </w:rPr>
        <w:t>为</w:t>
      </w:r>
      <w:r>
        <w:rPr>
          <w:rFonts w:ascii="宋体" w:hAnsi="宋体" w:eastAsia="宋体" w:cs="宋体"/>
          <w:spacing w:val="-41"/>
          <w:sz w:val="24"/>
          <w:szCs w:val="24"/>
        </w:rPr>
        <w:t xml:space="preserve"> </w:t>
      </w:r>
      <w:r>
        <w:rPr>
          <w:rFonts w:ascii="Times New Roman" w:hAnsi="Times New Roman" w:eastAsia="Times New Roman" w:cs="Times New Roman"/>
          <w:spacing w:val="-4"/>
          <w:sz w:val="24"/>
          <w:szCs w:val="24"/>
        </w:rPr>
        <w:t>30m</w:t>
      </w:r>
      <w:r>
        <w:rPr>
          <w:rFonts w:ascii="Times New Roman" w:hAnsi="Times New Roman" w:eastAsia="Times New Roman" w:cs="Times New Roman"/>
          <w:spacing w:val="-30"/>
          <w:sz w:val="24"/>
          <w:szCs w:val="24"/>
        </w:rPr>
        <w:t xml:space="preserve"> </w:t>
      </w:r>
      <w:r>
        <w:rPr>
          <w:rFonts w:ascii="宋体" w:hAnsi="宋体" w:eastAsia="宋体" w:cs="宋体"/>
          <w:spacing w:val="-4"/>
          <w:sz w:val="24"/>
          <w:szCs w:val="24"/>
        </w:rPr>
        <w:t>，井径为</w:t>
      </w:r>
      <w:r>
        <w:rPr>
          <w:rFonts w:ascii="宋体" w:hAnsi="宋体" w:eastAsia="宋体" w:cs="宋体"/>
          <w:spacing w:val="-55"/>
          <w:sz w:val="24"/>
          <w:szCs w:val="24"/>
        </w:rPr>
        <w:t xml:space="preserve"> </w:t>
      </w:r>
      <w:r>
        <w:rPr>
          <w:rFonts w:ascii="Times New Roman" w:hAnsi="Times New Roman" w:eastAsia="Times New Roman" w:cs="Times New Roman"/>
          <w:spacing w:val="-4"/>
          <w:sz w:val="24"/>
          <w:szCs w:val="24"/>
        </w:rPr>
        <w:t>200mm</w:t>
      </w:r>
      <w:r>
        <w:rPr>
          <w:rFonts w:ascii="Times New Roman" w:hAnsi="Times New Roman" w:eastAsia="Times New Roman" w:cs="Times New Roman"/>
          <w:spacing w:val="-33"/>
          <w:sz w:val="24"/>
          <w:szCs w:val="24"/>
        </w:rPr>
        <w:t xml:space="preserve"> </w:t>
      </w:r>
      <w:r>
        <w:rPr>
          <w:rFonts w:ascii="宋体" w:hAnsi="宋体" w:eastAsia="宋体" w:cs="宋体"/>
          <w:spacing w:val="-4"/>
          <w:sz w:val="24"/>
          <w:szCs w:val="24"/>
        </w:rPr>
        <w:t>，实管为</w:t>
      </w:r>
      <w:r>
        <w:rPr>
          <w:rFonts w:ascii="宋体" w:hAnsi="宋体" w:eastAsia="宋体" w:cs="宋体"/>
          <w:spacing w:val="-51"/>
          <w:sz w:val="24"/>
          <w:szCs w:val="24"/>
        </w:rPr>
        <w:t xml:space="preserve"> </w:t>
      </w:r>
      <w:r>
        <w:rPr>
          <w:rFonts w:ascii="Times New Roman" w:hAnsi="Times New Roman" w:eastAsia="Times New Roman" w:cs="Times New Roman"/>
          <w:spacing w:val="-4"/>
          <w:sz w:val="24"/>
          <w:szCs w:val="24"/>
        </w:rPr>
        <w:t>0-10m</w:t>
      </w:r>
      <w:r>
        <w:rPr>
          <w:rFonts w:ascii="Times New Roman" w:hAnsi="Times New Roman" w:eastAsia="Times New Roman" w:cs="Times New Roman"/>
          <w:spacing w:val="-28"/>
          <w:sz w:val="24"/>
          <w:szCs w:val="24"/>
        </w:rPr>
        <w:t xml:space="preserve"> </w:t>
      </w:r>
      <w:r>
        <w:rPr>
          <w:rFonts w:ascii="宋体" w:hAnsi="宋体" w:eastAsia="宋体" w:cs="宋体"/>
          <w:spacing w:val="-4"/>
          <w:sz w:val="24"/>
          <w:szCs w:val="24"/>
        </w:rPr>
        <w:t>，花管为</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10-30m</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处。实际井深以能够监测到潜</w:t>
      </w:r>
      <w:r>
        <w:rPr>
          <w:rFonts w:ascii="宋体" w:hAnsi="宋体" w:eastAsia="宋体" w:cs="宋体"/>
          <w:sz w:val="24"/>
          <w:szCs w:val="24"/>
        </w:rPr>
        <w:t xml:space="preserve"> </w:t>
      </w:r>
      <w:r>
        <w:rPr>
          <w:rFonts w:ascii="宋体" w:hAnsi="宋体" w:eastAsia="宋体" w:cs="宋体"/>
          <w:spacing w:val="-2"/>
          <w:sz w:val="24"/>
          <w:szCs w:val="24"/>
        </w:rPr>
        <w:t>水含水层为准。</w:t>
      </w:r>
    </w:p>
    <w:p w14:paraId="57440A81">
      <w:pPr>
        <w:spacing w:before="182" w:line="324" w:lineRule="auto"/>
        <w:ind w:left="8" w:firstLine="491"/>
        <w:rPr>
          <w:rFonts w:ascii="宋体" w:hAnsi="宋体" w:eastAsia="宋体" w:cs="宋体"/>
          <w:sz w:val="24"/>
          <w:szCs w:val="24"/>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3</w:t>
      </w:r>
      <w:r>
        <w:rPr>
          <w:rFonts w:ascii="宋体" w:hAnsi="宋体" w:eastAsia="宋体" w:cs="宋体"/>
          <w:spacing w:val="-5"/>
          <w:sz w:val="24"/>
          <w:szCs w:val="24"/>
        </w:rPr>
        <w:t>）监测项目及监测频率：初次监测</w:t>
      </w:r>
      <w:r>
        <w:rPr>
          <w:rFonts w:ascii="宋体" w:hAnsi="宋体" w:eastAsia="宋体" w:cs="宋体"/>
          <w:spacing w:val="-52"/>
          <w:sz w:val="24"/>
          <w:szCs w:val="24"/>
        </w:rPr>
        <w:t xml:space="preserve"> </w:t>
      </w:r>
      <w:r>
        <w:rPr>
          <w:rFonts w:ascii="Times New Roman" w:hAnsi="Times New Roman" w:eastAsia="Times New Roman" w:cs="Times New Roman"/>
          <w:spacing w:val="-5"/>
          <w:sz w:val="24"/>
          <w:szCs w:val="24"/>
        </w:rPr>
        <w:t>GB/T148</w:t>
      </w:r>
      <w:r>
        <w:rPr>
          <w:rFonts w:ascii="Times New Roman" w:hAnsi="Times New Roman" w:eastAsia="Times New Roman" w:cs="Times New Roman"/>
          <w:spacing w:val="-6"/>
          <w:sz w:val="24"/>
          <w:szCs w:val="24"/>
        </w:rPr>
        <w:t xml:space="preserve">48 </w:t>
      </w:r>
      <w:r>
        <w:rPr>
          <w:rFonts w:ascii="宋体" w:hAnsi="宋体" w:eastAsia="宋体" w:cs="宋体"/>
          <w:spacing w:val="-6"/>
          <w:sz w:val="24"/>
          <w:szCs w:val="24"/>
        </w:rPr>
        <w:t>表</w:t>
      </w:r>
      <w:r>
        <w:rPr>
          <w:rFonts w:ascii="宋体" w:hAnsi="宋体" w:eastAsia="宋体" w:cs="宋体"/>
          <w:spacing w:val="-32"/>
          <w:sz w:val="24"/>
          <w:szCs w:val="24"/>
        </w:rPr>
        <w:t xml:space="preserve"> </w:t>
      </w:r>
      <w:r>
        <w:rPr>
          <w:rFonts w:ascii="Times New Roman" w:hAnsi="Times New Roman" w:eastAsia="Times New Roman" w:cs="Times New Roman"/>
          <w:spacing w:val="-6"/>
          <w:sz w:val="24"/>
          <w:szCs w:val="24"/>
        </w:rPr>
        <w:t>1</w:t>
      </w:r>
      <w:r>
        <w:rPr>
          <w:rFonts w:ascii="Times New Roman" w:hAnsi="Times New Roman" w:eastAsia="Times New Roman" w:cs="Times New Roman"/>
          <w:spacing w:val="32"/>
          <w:sz w:val="24"/>
          <w:szCs w:val="24"/>
        </w:rPr>
        <w:t xml:space="preserve"> </w:t>
      </w:r>
      <w:r>
        <w:rPr>
          <w:rFonts w:ascii="宋体" w:hAnsi="宋体" w:eastAsia="宋体" w:cs="宋体"/>
          <w:spacing w:val="-6"/>
          <w:sz w:val="24"/>
          <w:szCs w:val="24"/>
        </w:rPr>
        <w:t>中</w:t>
      </w:r>
      <w:r>
        <w:rPr>
          <w:rFonts w:ascii="宋体" w:hAnsi="宋体" w:eastAsia="宋体" w:cs="宋体"/>
          <w:spacing w:val="-50"/>
          <w:sz w:val="24"/>
          <w:szCs w:val="24"/>
        </w:rPr>
        <w:t xml:space="preserve"> </w:t>
      </w:r>
      <w:r>
        <w:rPr>
          <w:rFonts w:ascii="Times New Roman" w:hAnsi="Times New Roman" w:eastAsia="Times New Roman" w:cs="Times New Roman"/>
          <w:spacing w:val="-6"/>
          <w:sz w:val="24"/>
          <w:szCs w:val="24"/>
        </w:rPr>
        <w:t>35</w:t>
      </w:r>
      <w:r>
        <w:rPr>
          <w:rFonts w:ascii="Times New Roman" w:hAnsi="Times New Roman" w:eastAsia="Times New Roman" w:cs="Times New Roman"/>
          <w:spacing w:val="13"/>
          <w:sz w:val="24"/>
          <w:szCs w:val="24"/>
        </w:rPr>
        <w:t xml:space="preserve"> </w:t>
      </w:r>
      <w:r>
        <w:rPr>
          <w:rFonts w:ascii="宋体" w:hAnsi="宋体" w:eastAsia="宋体" w:cs="宋体"/>
          <w:spacing w:val="-6"/>
          <w:sz w:val="24"/>
          <w:szCs w:val="24"/>
        </w:rPr>
        <w:t>项（微生物指标、放射</w:t>
      </w:r>
      <w:r>
        <w:rPr>
          <w:rFonts w:ascii="宋体" w:hAnsi="宋体" w:eastAsia="宋体" w:cs="宋体"/>
          <w:sz w:val="24"/>
          <w:szCs w:val="24"/>
        </w:rPr>
        <w:t xml:space="preserve"> </w:t>
      </w:r>
      <w:r>
        <w:rPr>
          <w:rFonts w:ascii="宋体" w:hAnsi="宋体" w:eastAsia="宋体" w:cs="宋体"/>
          <w:spacing w:val="-1"/>
          <w:sz w:val="24"/>
          <w:szCs w:val="24"/>
        </w:rPr>
        <w:t>性指标除外</w:t>
      </w:r>
      <w:r>
        <w:rPr>
          <w:rFonts w:ascii="宋体" w:hAnsi="宋体" w:eastAsia="宋体" w:cs="宋体"/>
          <w:spacing w:val="-10"/>
          <w:sz w:val="24"/>
          <w:szCs w:val="24"/>
        </w:rPr>
        <w:t>）；</w:t>
      </w:r>
      <w:r>
        <w:rPr>
          <w:rFonts w:ascii="宋体" w:hAnsi="宋体" w:eastAsia="宋体" w:cs="宋体"/>
          <w:spacing w:val="-1"/>
          <w:sz w:val="24"/>
          <w:szCs w:val="24"/>
        </w:rPr>
        <w:t>后续监测因为前期监测中超标的污染因子及本项目关注的因子。</w:t>
      </w:r>
      <w:r>
        <w:rPr>
          <w:rFonts w:ascii="宋体" w:hAnsi="宋体" w:eastAsia="宋体" w:cs="宋体"/>
          <w:spacing w:val="-2"/>
          <w:sz w:val="24"/>
          <w:szCs w:val="24"/>
        </w:rPr>
        <w:t>监测频</w:t>
      </w:r>
      <w:r>
        <w:rPr>
          <w:rFonts w:ascii="宋体" w:hAnsi="宋体" w:eastAsia="宋体" w:cs="宋体"/>
          <w:sz w:val="24"/>
          <w:szCs w:val="24"/>
        </w:rPr>
        <w:t xml:space="preserve"> </w:t>
      </w:r>
      <w:r>
        <w:rPr>
          <w:rFonts w:ascii="宋体" w:hAnsi="宋体" w:eastAsia="宋体" w:cs="宋体"/>
          <w:spacing w:val="-5"/>
          <w:sz w:val="24"/>
          <w:szCs w:val="24"/>
        </w:rPr>
        <w:t>次为每年两次</w:t>
      </w:r>
      <w:r>
        <w:rPr>
          <w:rFonts w:ascii="Times New Roman" w:hAnsi="Times New Roman" w:eastAsia="Times New Roman" w:cs="Times New Roman"/>
          <w:spacing w:val="-5"/>
          <w:sz w:val="24"/>
          <w:szCs w:val="24"/>
        </w:rPr>
        <w:t>(</w:t>
      </w:r>
      <w:r>
        <w:rPr>
          <w:rFonts w:ascii="宋体" w:hAnsi="宋体" w:eastAsia="宋体" w:cs="宋体"/>
          <w:spacing w:val="-5"/>
          <w:sz w:val="24"/>
          <w:szCs w:val="24"/>
        </w:rPr>
        <w:t>丰水期和枯水期各</w:t>
      </w:r>
      <w:r>
        <w:rPr>
          <w:rFonts w:ascii="宋体" w:hAnsi="宋体" w:eastAsia="宋体" w:cs="宋体"/>
          <w:spacing w:val="-32"/>
          <w:sz w:val="24"/>
          <w:szCs w:val="24"/>
        </w:rPr>
        <w:t xml:space="preserve"> </w:t>
      </w:r>
      <w:r>
        <w:rPr>
          <w:rFonts w:ascii="Times New Roman" w:hAnsi="Times New Roman" w:eastAsia="Times New Roman" w:cs="Times New Roman"/>
          <w:spacing w:val="-5"/>
          <w:sz w:val="24"/>
          <w:szCs w:val="24"/>
        </w:rPr>
        <w:t>1</w:t>
      </w:r>
      <w:r>
        <w:rPr>
          <w:rFonts w:ascii="Times New Roman" w:hAnsi="Times New Roman" w:eastAsia="Times New Roman" w:cs="Times New Roman"/>
          <w:spacing w:val="15"/>
          <w:w w:val="101"/>
          <w:sz w:val="24"/>
          <w:szCs w:val="24"/>
        </w:rPr>
        <w:t xml:space="preserve"> </w:t>
      </w:r>
      <w:r>
        <w:rPr>
          <w:rFonts w:ascii="宋体" w:hAnsi="宋体" w:eastAsia="宋体" w:cs="宋体"/>
          <w:spacing w:val="-5"/>
          <w:sz w:val="24"/>
          <w:szCs w:val="24"/>
        </w:rPr>
        <w:t>次</w:t>
      </w:r>
      <w:r>
        <w:rPr>
          <w:rFonts w:ascii="Times New Roman" w:hAnsi="Times New Roman" w:eastAsia="Times New Roman" w:cs="Times New Roman"/>
          <w:spacing w:val="-5"/>
          <w:sz w:val="24"/>
          <w:szCs w:val="24"/>
        </w:rPr>
        <w:t>)</w:t>
      </w:r>
      <w:r>
        <w:rPr>
          <w:rFonts w:ascii="宋体" w:hAnsi="宋体" w:eastAsia="宋体" w:cs="宋体"/>
          <w:spacing w:val="-5"/>
          <w:sz w:val="24"/>
          <w:szCs w:val="24"/>
        </w:rPr>
        <w:t>，当厂区发生泄露事故或发现地下水污染现象时，</w:t>
      </w:r>
      <w:r>
        <w:rPr>
          <w:rFonts w:ascii="宋体" w:hAnsi="宋体" w:eastAsia="宋体" w:cs="宋体"/>
          <w:sz w:val="24"/>
          <w:szCs w:val="24"/>
        </w:rPr>
        <w:t xml:space="preserve"> </w:t>
      </w:r>
      <w:r>
        <w:rPr>
          <w:rFonts w:ascii="宋体" w:hAnsi="宋体" w:eastAsia="宋体" w:cs="宋体"/>
          <w:spacing w:val="-2"/>
          <w:sz w:val="24"/>
          <w:szCs w:val="24"/>
        </w:rPr>
        <w:t>应加大取样频率。</w:t>
      </w:r>
    </w:p>
    <w:p w14:paraId="7F91E76D">
      <w:pPr>
        <w:spacing w:before="182" w:line="350" w:lineRule="auto"/>
        <w:ind w:left="12" w:right="61" w:firstLine="478"/>
        <w:jc w:val="both"/>
        <w:rPr>
          <w:rFonts w:ascii="宋体" w:hAnsi="宋体" w:eastAsia="宋体" w:cs="宋体"/>
          <w:sz w:val="24"/>
          <w:szCs w:val="24"/>
        </w:rPr>
      </w:pPr>
      <w:r>
        <w:rPr>
          <w:rFonts w:ascii="宋体" w:hAnsi="宋体" w:eastAsia="宋体" w:cs="宋体"/>
          <w:spacing w:val="-2"/>
          <w:sz w:val="24"/>
          <w:szCs w:val="24"/>
        </w:rPr>
        <w:t>上述监测结果应按项目有关规定及时建立档案，并定期向厂安全环保部门汇报，对</w:t>
      </w:r>
      <w:r>
        <w:rPr>
          <w:rFonts w:ascii="宋体" w:hAnsi="宋体" w:eastAsia="宋体" w:cs="宋体"/>
          <w:spacing w:val="11"/>
          <w:sz w:val="24"/>
          <w:szCs w:val="24"/>
        </w:rPr>
        <w:t xml:space="preserve"> </w:t>
      </w:r>
      <w:r>
        <w:rPr>
          <w:rFonts w:ascii="宋体" w:hAnsi="宋体" w:eastAsia="宋体" w:cs="宋体"/>
          <w:spacing w:val="-2"/>
          <w:sz w:val="24"/>
          <w:szCs w:val="24"/>
        </w:rPr>
        <w:t>于常规监测数据应该进行公开，特别是对项目所在区域的居民进行公开，满足法律中关</w:t>
      </w:r>
      <w:r>
        <w:rPr>
          <w:rFonts w:ascii="宋体" w:hAnsi="宋体" w:eastAsia="宋体" w:cs="宋体"/>
          <w:spacing w:val="13"/>
          <w:sz w:val="24"/>
          <w:szCs w:val="24"/>
        </w:rPr>
        <w:t xml:space="preserve"> </w:t>
      </w:r>
      <w:r>
        <w:rPr>
          <w:rFonts w:ascii="宋体" w:hAnsi="宋体" w:eastAsia="宋体" w:cs="宋体"/>
          <w:spacing w:val="-1"/>
          <w:sz w:val="24"/>
          <w:szCs w:val="24"/>
        </w:rPr>
        <w:t>于知情权的要求。发现泄漏时，及时采取对应应急措施。</w:t>
      </w:r>
    </w:p>
    <w:p w14:paraId="74C35BF4">
      <w:pPr>
        <w:spacing w:before="178" w:line="223" w:lineRule="auto"/>
        <w:ind w:left="11"/>
        <w:outlineLvl w:val="2"/>
        <w:rPr>
          <w:rFonts w:ascii="黑体" w:hAnsi="黑体" w:eastAsia="黑体" w:cs="黑体"/>
          <w:sz w:val="30"/>
          <w:szCs w:val="30"/>
        </w:rPr>
      </w:pPr>
      <w:bookmarkStart w:id="455" w:name="bookmark378"/>
      <w:bookmarkEnd w:id="455"/>
      <w:r>
        <w:rPr>
          <w:rFonts w:ascii="Times New Roman" w:hAnsi="Times New Roman" w:eastAsia="Times New Roman" w:cs="Times New Roman"/>
          <w:spacing w:val="-2"/>
          <w:sz w:val="30"/>
          <w:szCs w:val="30"/>
        </w:rPr>
        <w:t xml:space="preserve">6.5.4 </w:t>
      </w:r>
      <w:r>
        <w:rPr>
          <w:rFonts w:ascii="黑体" w:hAnsi="黑体" w:eastAsia="黑体" w:cs="黑体"/>
          <w:spacing w:val="-2"/>
          <w:sz w:val="30"/>
          <w:szCs w:val="30"/>
        </w:rPr>
        <w:t>应急响应</w:t>
      </w:r>
    </w:p>
    <w:p w14:paraId="3ED356D7">
      <w:pPr>
        <w:spacing w:before="148" w:line="350" w:lineRule="auto"/>
        <w:ind w:left="8" w:right="61" w:firstLine="483"/>
        <w:rPr>
          <w:rFonts w:ascii="宋体" w:hAnsi="宋体" w:eastAsia="宋体" w:cs="宋体"/>
          <w:sz w:val="24"/>
          <w:szCs w:val="24"/>
        </w:rPr>
      </w:pPr>
      <w:r>
        <w:rPr>
          <w:rFonts w:ascii="宋体" w:hAnsi="宋体" w:eastAsia="宋体" w:cs="宋体"/>
          <w:sz w:val="24"/>
          <w:szCs w:val="24"/>
        </w:rPr>
        <w:t>一旦地下水监测网监测出地下水受到污染或一</w:t>
      </w:r>
      <w:r>
        <w:rPr>
          <w:rFonts w:ascii="宋体" w:hAnsi="宋体" w:eastAsia="宋体" w:cs="宋体"/>
          <w:spacing w:val="-1"/>
          <w:sz w:val="24"/>
          <w:szCs w:val="24"/>
        </w:rPr>
        <w:t>旦发现防渗层或管道发生破裂污染</w:t>
      </w:r>
      <w:r>
        <w:rPr>
          <w:rFonts w:ascii="宋体" w:hAnsi="宋体" w:eastAsia="宋体" w:cs="宋体"/>
          <w:sz w:val="24"/>
          <w:szCs w:val="24"/>
        </w:rPr>
        <w:t xml:space="preserve">  </w:t>
      </w:r>
      <w:r>
        <w:rPr>
          <w:rFonts w:ascii="宋体" w:hAnsi="宋体" w:eastAsia="宋体" w:cs="宋体"/>
          <w:spacing w:val="-2"/>
          <w:sz w:val="24"/>
          <w:szCs w:val="24"/>
        </w:rPr>
        <w:t>地下水，立即对渗漏处进行封堵，若发现污染晕持续向下游扩散，可启动下游监测井作</w:t>
      </w:r>
      <w:r>
        <w:rPr>
          <w:rFonts w:ascii="宋体" w:hAnsi="宋体" w:eastAsia="宋体" w:cs="宋体"/>
          <w:spacing w:val="17"/>
          <w:sz w:val="24"/>
          <w:szCs w:val="24"/>
        </w:rPr>
        <w:t xml:space="preserve"> </w:t>
      </w:r>
      <w:r>
        <w:rPr>
          <w:rFonts w:ascii="宋体" w:hAnsi="宋体" w:eastAsia="宋体" w:cs="宋体"/>
          <w:spacing w:val="-1"/>
          <w:sz w:val="24"/>
          <w:szCs w:val="24"/>
        </w:rPr>
        <w:t>为抽水井，将污染的地下水抽出至城镇污水处理厂进行处理。</w:t>
      </w:r>
    </w:p>
    <w:p w14:paraId="05D737EF">
      <w:pPr>
        <w:spacing w:before="50" w:line="227" w:lineRule="auto"/>
        <w:ind w:left="12"/>
        <w:outlineLvl w:val="1"/>
        <w:rPr>
          <w:rFonts w:ascii="黑体" w:hAnsi="黑体" w:eastAsia="黑体" w:cs="黑体"/>
          <w:sz w:val="31"/>
          <w:szCs w:val="31"/>
        </w:rPr>
      </w:pPr>
      <w:bookmarkStart w:id="456" w:name="bookmark380"/>
      <w:bookmarkEnd w:id="456"/>
      <w:r>
        <w:rPr>
          <w:rFonts w:ascii="Times New Roman" w:hAnsi="Times New Roman" w:eastAsia="Times New Roman" w:cs="Times New Roman"/>
          <w:spacing w:val="6"/>
          <w:sz w:val="31"/>
          <w:szCs w:val="31"/>
        </w:rPr>
        <w:t xml:space="preserve">6.6 </w:t>
      </w:r>
      <w:r>
        <w:rPr>
          <w:rFonts w:ascii="黑体" w:hAnsi="黑体" w:eastAsia="黑体" w:cs="黑体"/>
          <w:spacing w:val="6"/>
          <w:sz w:val="31"/>
          <w:szCs w:val="31"/>
        </w:rPr>
        <w:t>土壤污染治理措施</w:t>
      </w:r>
    </w:p>
    <w:p w14:paraId="18B3EB7D">
      <w:pPr>
        <w:spacing w:before="225" w:line="347" w:lineRule="auto"/>
        <w:ind w:left="12" w:right="61" w:firstLine="476"/>
        <w:rPr>
          <w:rFonts w:ascii="宋体" w:hAnsi="宋体" w:eastAsia="宋体" w:cs="宋体"/>
          <w:sz w:val="24"/>
          <w:szCs w:val="24"/>
        </w:rPr>
      </w:pPr>
      <w:r>
        <w:rPr>
          <w:rFonts w:ascii="宋体" w:hAnsi="宋体" w:eastAsia="宋体" w:cs="宋体"/>
          <w:spacing w:val="-1"/>
          <w:sz w:val="24"/>
          <w:szCs w:val="24"/>
        </w:rPr>
        <w:t>根据《环境影响评价技术导则土壤环境（试行）》（</w:t>
      </w:r>
      <w:r>
        <w:rPr>
          <w:rFonts w:ascii="Times New Roman" w:hAnsi="Times New Roman" w:eastAsia="Times New Roman" w:cs="Times New Roman"/>
          <w:spacing w:val="-1"/>
          <w:sz w:val="24"/>
          <w:szCs w:val="24"/>
        </w:rPr>
        <w:t>HJ964-2018</w:t>
      </w:r>
      <w:r>
        <w:rPr>
          <w:rFonts w:ascii="宋体" w:hAnsi="宋体" w:eastAsia="宋体" w:cs="宋体"/>
          <w:spacing w:val="-1"/>
          <w:sz w:val="24"/>
          <w:szCs w:val="24"/>
        </w:rPr>
        <w:t>）的要</w:t>
      </w:r>
      <w:r>
        <w:rPr>
          <w:rFonts w:ascii="宋体" w:hAnsi="宋体" w:eastAsia="宋体" w:cs="宋体"/>
          <w:spacing w:val="-2"/>
          <w:sz w:val="24"/>
          <w:szCs w:val="24"/>
        </w:rPr>
        <w:t>求，土壤污</w:t>
      </w:r>
      <w:r>
        <w:rPr>
          <w:rFonts w:ascii="宋体" w:hAnsi="宋体" w:eastAsia="宋体" w:cs="宋体"/>
          <w:sz w:val="24"/>
          <w:szCs w:val="24"/>
        </w:rPr>
        <w:t xml:space="preserve"> </w:t>
      </w:r>
      <w:r>
        <w:rPr>
          <w:rFonts w:ascii="宋体" w:hAnsi="宋体" w:eastAsia="宋体" w:cs="宋体"/>
          <w:spacing w:val="-1"/>
          <w:sz w:val="24"/>
          <w:szCs w:val="24"/>
        </w:rPr>
        <w:t>染防治措施主要包括源头控制措施、过程控制措施以及跟踪监测计划。</w:t>
      </w:r>
    </w:p>
    <w:p w14:paraId="1400FF02">
      <w:pPr>
        <w:spacing w:before="43" w:line="221" w:lineRule="auto"/>
        <w:ind w:left="11"/>
        <w:outlineLvl w:val="2"/>
        <w:rPr>
          <w:rFonts w:ascii="黑体" w:hAnsi="黑体" w:eastAsia="黑体" w:cs="黑体"/>
          <w:sz w:val="30"/>
          <w:szCs w:val="30"/>
        </w:rPr>
      </w:pPr>
      <w:bookmarkStart w:id="457" w:name="bookmark382"/>
      <w:bookmarkEnd w:id="457"/>
      <w:r>
        <w:rPr>
          <w:rFonts w:ascii="Times New Roman" w:hAnsi="Times New Roman" w:eastAsia="Times New Roman" w:cs="Times New Roman"/>
          <w:spacing w:val="-1"/>
          <w:sz w:val="30"/>
          <w:szCs w:val="30"/>
        </w:rPr>
        <w:t xml:space="preserve">6.6.1 </w:t>
      </w:r>
      <w:r>
        <w:rPr>
          <w:rFonts w:ascii="黑体" w:hAnsi="黑体" w:eastAsia="黑体" w:cs="黑体"/>
          <w:spacing w:val="-1"/>
          <w:sz w:val="30"/>
          <w:szCs w:val="30"/>
        </w:rPr>
        <w:t>源头控制措施</w:t>
      </w:r>
    </w:p>
    <w:p w14:paraId="24DD3F40">
      <w:pPr>
        <w:spacing w:before="214" w:line="347" w:lineRule="auto"/>
        <w:ind w:left="8" w:right="253" w:firstLine="480"/>
        <w:rPr>
          <w:rFonts w:ascii="宋体" w:hAnsi="宋体" w:eastAsia="宋体" w:cs="宋体"/>
          <w:sz w:val="24"/>
          <w:szCs w:val="24"/>
        </w:rPr>
      </w:pPr>
      <w:r>
        <w:rPr>
          <w:rFonts w:ascii="宋体" w:hAnsi="宋体" w:eastAsia="宋体" w:cs="宋体"/>
          <w:sz w:val="24"/>
          <w:szCs w:val="24"/>
        </w:rPr>
        <w:t>本工程土壤污染源头控制措施主要是减少项目废气、</w:t>
      </w:r>
      <w:r>
        <w:rPr>
          <w:rFonts w:ascii="宋体" w:hAnsi="宋体" w:eastAsia="宋体" w:cs="宋体"/>
          <w:spacing w:val="-1"/>
          <w:sz w:val="24"/>
          <w:szCs w:val="24"/>
        </w:rPr>
        <w:t>固废等污染物的产生及排放</w:t>
      </w:r>
      <w:r>
        <w:rPr>
          <w:rFonts w:ascii="宋体" w:hAnsi="宋体" w:eastAsia="宋体" w:cs="宋体"/>
          <w:sz w:val="24"/>
          <w:szCs w:val="24"/>
        </w:rPr>
        <w:t xml:space="preserve"> </w:t>
      </w:r>
      <w:r>
        <w:rPr>
          <w:rFonts w:ascii="宋体" w:hAnsi="宋体" w:eastAsia="宋体" w:cs="宋体"/>
          <w:spacing w:val="-1"/>
          <w:sz w:val="24"/>
          <w:szCs w:val="24"/>
        </w:rPr>
        <w:t>量，主要提出如下措施：</w:t>
      </w:r>
    </w:p>
    <w:p w14:paraId="017D618D">
      <w:pPr>
        <w:spacing w:before="30" w:line="290" w:lineRule="auto"/>
        <w:ind w:left="9" w:right="61" w:firstLine="478"/>
        <w:rPr>
          <w:rFonts w:ascii="宋体" w:hAnsi="宋体" w:eastAsia="宋体" w:cs="宋体"/>
          <w:sz w:val="24"/>
          <w:szCs w:val="24"/>
        </w:rPr>
      </w:pPr>
      <w:r>
        <w:rPr>
          <w:rFonts w:ascii="宋体" w:hAnsi="宋体" w:eastAsia="宋体" w:cs="宋体"/>
          <w:spacing w:val="-2"/>
          <w:sz w:val="24"/>
          <w:szCs w:val="24"/>
        </w:rPr>
        <w:t>①企业应加强对废气治理措施的管理和维护，确保各污染物达标排放，有效减少废</w:t>
      </w:r>
      <w:r>
        <w:rPr>
          <w:rFonts w:ascii="宋体" w:hAnsi="宋体" w:eastAsia="宋体" w:cs="宋体"/>
          <w:spacing w:val="14"/>
          <w:sz w:val="24"/>
          <w:szCs w:val="24"/>
        </w:rPr>
        <w:t xml:space="preserve"> </w:t>
      </w:r>
      <w:r>
        <w:rPr>
          <w:rFonts w:ascii="宋体" w:hAnsi="宋体" w:eastAsia="宋体" w:cs="宋体"/>
          <w:spacing w:val="-1"/>
          <w:sz w:val="24"/>
          <w:szCs w:val="24"/>
        </w:rPr>
        <w:t>气污染物通过沉降或降水进入土壤的量。</w:t>
      </w:r>
    </w:p>
    <w:p w14:paraId="71BB5ADE">
      <w:pPr>
        <w:spacing w:before="182" w:line="289" w:lineRule="auto"/>
        <w:ind w:left="9" w:right="61" w:firstLine="477"/>
        <w:rPr>
          <w:rFonts w:ascii="宋体" w:hAnsi="宋体" w:eastAsia="宋体" w:cs="宋体"/>
          <w:sz w:val="24"/>
          <w:szCs w:val="24"/>
        </w:rPr>
      </w:pPr>
      <w:r>
        <w:rPr>
          <w:rFonts w:ascii="宋体" w:hAnsi="宋体" w:eastAsia="宋体" w:cs="宋体"/>
          <w:spacing w:val="-2"/>
          <w:sz w:val="24"/>
          <w:szCs w:val="24"/>
        </w:rPr>
        <w:t>②企业应采用先进的工艺技术，减少固废的产生量，并提高固废的综合利用率，减</w:t>
      </w:r>
      <w:r>
        <w:rPr>
          <w:rFonts w:ascii="宋体" w:hAnsi="宋体" w:eastAsia="宋体" w:cs="宋体"/>
          <w:spacing w:val="15"/>
          <w:sz w:val="24"/>
          <w:szCs w:val="24"/>
        </w:rPr>
        <w:t xml:space="preserve"> </w:t>
      </w:r>
      <w:r>
        <w:rPr>
          <w:rFonts w:ascii="宋体" w:hAnsi="宋体" w:eastAsia="宋体" w:cs="宋体"/>
          <w:sz w:val="24"/>
          <w:szCs w:val="24"/>
        </w:rPr>
        <w:t>少固废的堆存量，固废堆存应入库，库房内</w:t>
      </w:r>
      <w:r>
        <w:rPr>
          <w:rFonts w:ascii="宋体" w:hAnsi="宋体" w:eastAsia="宋体" w:cs="宋体"/>
          <w:spacing w:val="-1"/>
          <w:sz w:val="24"/>
          <w:szCs w:val="24"/>
        </w:rPr>
        <w:t>设置防渗，避免露天堆放。</w:t>
      </w:r>
    </w:p>
    <w:p w14:paraId="3729F677">
      <w:pPr>
        <w:spacing w:before="183" w:line="217" w:lineRule="auto"/>
        <w:ind w:left="486"/>
        <w:rPr>
          <w:rFonts w:ascii="宋体" w:hAnsi="宋体" w:eastAsia="宋体" w:cs="宋体"/>
          <w:sz w:val="24"/>
          <w:szCs w:val="24"/>
        </w:rPr>
      </w:pPr>
      <w:r>
        <w:rPr>
          <w:rFonts w:ascii="宋体" w:hAnsi="宋体" w:eastAsia="宋体" w:cs="宋体"/>
          <w:spacing w:val="-1"/>
          <w:sz w:val="24"/>
          <w:szCs w:val="24"/>
        </w:rPr>
        <w:t>③加强对厂区机械设备的日常管理，减小</w:t>
      </w:r>
      <w:r>
        <w:rPr>
          <w:rFonts w:ascii="Times New Roman" w:hAnsi="Times New Roman" w:eastAsia="Times New Roman" w:cs="Times New Roman"/>
          <w:spacing w:val="-1"/>
          <w:sz w:val="24"/>
          <w:szCs w:val="24"/>
        </w:rPr>
        <w:t>“</w:t>
      </w:r>
      <w:r>
        <w:rPr>
          <w:rFonts w:ascii="宋体" w:hAnsi="宋体" w:eastAsia="宋体" w:cs="宋体"/>
          <w:spacing w:val="-1"/>
          <w:sz w:val="24"/>
          <w:szCs w:val="24"/>
        </w:rPr>
        <w:t>跑、冒、滴、漏</w:t>
      </w:r>
      <w:r>
        <w:rPr>
          <w:rFonts w:ascii="Times New Roman" w:hAnsi="Times New Roman" w:eastAsia="Times New Roman" w:cs="Times New Roman"/>
          <w:spacing w:val="-1"/>
          <w:sz w:val="24"/>
          <w:szCs w:val="24"/>
        </w:rPr>
        <w:t>”</w:t>
      </w:r>
      <w:r>
        <w:rPr>
          <w:rFonts w:ascii="Times New Roman" w:hAnsi="Times New Roman" w:eastAsia="Times New Roman" w:cs="Times New Roman"/>
          <w:spacing w:val="-31"/>
          <w:sz w:val="24"/>
          <w:szCs w:val="24"/>
        </w:rPr>
        <w:t xml:space="preserve"> </w:t>
      </w:r>
      <w:r>
        <w:rPr>
          <w:rFonts w:ascii="宋体" w:hAnsi="宋体" w:eastAsia="宋体" w:cs="宋体"/>
          <w:spacing w:val="-1"/>
          <w:sz w:val="24"/>
          <w:szCs w:val="24"/>
        </w:rPr>
        <w:t>，减小下</w:t>
      </w:r>
      <w:r>
        <w:rPr>
          <w:rFonts w:ascii="宋体" w:hAnsi="宋体" w:eastAsia="宋体" w:cs="宋体"/>
          <w:spacing w:val="-2"/>
          <w:sz w:val="24"/>
          <w:szCs w:val="24"/>
        </w:rPr>
        <w:t>渗量。</w:t>
      </w:r>
    </w:p>
    <w:p w14:paraId="62BC72DB">
      <w:pPr>
        <w:spacing w:before="182" w:line="313" w:lineRule="auto"/>
        <w:ind w:left="6" w:firstLine="480"/>
        <w:rPr>
          <w:rFonts w:ascii="宋体" w:hAnsi="宋体" w:eastAsia="宋体" w:cs="宋体"/>
          <w:sz w:val="24"/>
          <w:szCs w:val="24"/>
        </w:rPr>
      </w:pPr>
      <w:r>
        <w:rPr>
          <w:rFonts w:ascii="宋体" w:hAnsi="宋体" w:eastAsia="宋体" w:cs="宋体"/>
          <w:spacing w:val="-2"/>
          <w:sz w:val="24"/>
          <w:szCs w:val="24"/>
        </w:rPr>
        <w:t>④严格按照国家相关规范要求，对工艺、管道、设备、污水储存及处理构筑物采取</w:t>
      </w:r>
      <w:r>
        <w:rPr>
          <w:rFonts w:ascii="宋体" w:hAnsi="宋体" w:eastAsia="宋体" w:cs="宋体"/>
          <w:spacing w:val="15"/>
          <w:sz w:val="24"/>
          <w:szCs w:val="24"/>
        </w:rPr>
        <w:t xml:space="preserve"> </w:t>
      </w:r>
      <w:r>
        <w:rPr>
          <w:rFonts w:ascii="宋体" w:hAnsi="宋体" w:eastAsia="宋体" w:cs="宋体"/>
          <w:spacing w:val="-5"/>
          <w:sz w:val="24"/>
          <w:szCs w:val="24"/>
        </w:rPr>
        <w:t>相应的措施并对运输车辆实行密闭措施，以防止和降低可能污染物的</w:t>
      </w:r>
      <w:r>
        <w:rPr>
          <w:rFonts w:ascii="Times New Roman" w:hAnsi="Times New Roman" w:eastAsia="Times New Roman" w:cs="Times New Roman"/>
          <w:spacing w:val="-5"/>
          <w:sz w:val="24"/>
          <w:szCs w:val="24"/>
        </w:rPr>
        <w:t>“</w:t>
      </w:r>
      <w:r>
        <w:rPr>
          <w:rFonts w:ascii="宋体" w:hAnsi="宋体" w:eastAsia="宋体" w:cs="宋体"/>
          <w:spacing w:val="-6"/>
          <w:sz w:val="24"/>
          <w:szCs w:val="24"/>
        </w:rPr>
        <w:t>跑、冒、滴、漏</w:t>
      </w:r>
      <w:r>
        <w:rPr>
          <w:rFonts w:ascii="Times New Roman" w:hAnsi="Times New Roman" w:eastAsia="Times New Roman" w:cs="Times New Roman"/>
          <w:spacing w:val="-6"/>
          <w:sz w:val="24"/>
          <w:szCs w:val="24"/>
        </w:rPr>
        <w:t>”</w:t>
      </w:r>
      <w:r>
        <w:rPr>
          <w:rFonts w:ascii="宋体" w:hAnsi="宋体" w:eastAsia="宋体" w:cs="宋体"/>
          <w:spacing w:val="-6"/>
          <w:sz w:val="24"/>
          <w:szCs w:val="24"/>
        </w:rPr>
        <w:t>，</w:t>
      </w:r>
      <w:r>
        <w:rPr>
          <w:rFonts w:ascii="宋体" w:hAnsi="宋体" w:eastAsia="宋体" w:cs="宋体"/>
          <w:sz w:val="24"/>
          <w:szCs w:val="24"/>
        </w:rPr>
        <w:t xml:space="preserve"> </w:t>
      </w:r>
      <w:r>
        <w:rPr>
          <w:rFonts w:ascii="宋体" w:hAnsi="宋体" w:eastAsia="宋体" w:cs="宋体"/>
          <w:spacing w:val="-1"/>
          <w:sz w:val="24"/>
          <w:szCs w:val="24"/>
        </w:rPr>
        <w:t>将污染物泄漏的环境风险事故降低到最低程度。</w:t>
      </w:r>
    </w:p>
    <w:p w14:paraId="75ED0A6D">
      <w:pPr>
        <w:spacing w:line="313" w:lineRule="auto"/>
        <w:rPr>
          <w:rFonts w:ascii="宋体" w:hAnsi="宋体" w:eastAsia="宋体" w:cs="宋体"/>
          <w:sz w:val="24"/>
          <w:szCs w:val="24"/>
        </w:rPr>
        <w:sectPr>
          <w:headerReference r:id="rId472" w:type="default"/>
          <w:footerReference r:id="rId473" w:type="default"/>
          <w:pgSz w:w="11906" w:h="16839"/>
          <w:pgMar w:top="1190" w:right="1356" w:bottom="1221" w:left="1417" w:header="882" w:footer="1059" w:gutter="0"/>
          <w:cols w:space="720" w:num="1"/>
        </w:sectPr>
      </w:pPr>
    </w:p>
    <w:p w14:paraId="4B4AC8A1">
      <w:pPr>
        <w:spacing w:line="28" w:lineRule="exact"/>
      </w:pPr>
      <w:r>
        <w:pict>
          <v:shape id="_x0000_s3078" o:spid="_x0000_s3078" style="height:1.45pt;width:453.65pt;" fillcolor="#000000" filled="t" stroked="f" coordsize="9072,29" path="m0,0l9072,0,9072,28,0,28,0,0xe">
            <v:path/>
            <v:fill on="t" focussize="0,0"/>
            <v:stroke on="f"/>
            <v:imagedata o:title=""/>
            <o:lock v:ext="edit"/>
            <w10:wrap type="none"/>
            <w10:anchorlock/>
          </v:shape>
        </w:pict>
      </w:r>
    </w:p>
    <w:p w14:paraId="726923F9">
      <w:pPr>
        <w:spacing w:before="241" w:line="222" w:lineRule="auto"/>
        <w:ind w:left="11"/>
        <w:outlineLvl w:val="2"/>
        <w:rPr>
          <w:rFonts w:ascii="黑体" w:hAnsi="黑体" w:eastAsia="黑体" w:cs="黑体"/>
          <w:sz w:val="30"/>
          <w:szCs w:val="30"/>
        </w:rPr>
      </w:pPr>
      <w:bookmarkStart w:id="458" w:name="bookmark384"/>
      <w:bookmarkEnd w:id="458"/>
      <w:r>
        <w:rPr>
          <w:rFonts w:ascii="Times New Roman" w:hAnsi="Times New Roman" w:eastAsia="Times New Roman" w:cs="Times New Roman"/>
          <w:spacing w:val="-1"/>
          <w:sz w:val="30"/>
          <w:szCs w:val="30"/>
        </w:rPr>
        <w:t xml:space="preserve">6.6.2 </w:t>
      </w:r>
      <w:r>
        <w:rPr>
          <w:rFonts w:ascii="黑体" w:hAnsi="黑体" w:eastAsia="黑体" w:cs="黑体"/>
          <w:spacing w:val="-1"/>
          <w:sz w:val="30"/>
          <w:szCs w:val="30"/>
        </w:rPr>
        <w:t>过程控制措施</w:t>
      </w:r>
    </w:p>
    <w:p w14:paraId="4BF721A5">
      <w:pPr>
        <w:spacing w:before="215" w:line="219" w:lineRule="auto"/>
        <w:ind w:left="492"/>
        <w:rPr>
          <w:rFonts w:ascii="宋体" w:hAnsi="宋体" w:eastAsia="宋体" w:cs="宋体"/>
          <w:sz w:val="24"/>
          <w:szCs w:val="24"/>
        </w:rPr>
      </w:pPr>
      <w:r>
        <w:rPr>
          <w:rFonts w:ascii="宋体" w:hAnsi="宋体" w:eastAsia="宋体" w:cs="宋体"/>
          <w:spacing w:val="-1"/>
          <w:sz w:val="24"/>
          <w:szCs w:val="24"/>
        </w:rPr>
        <w:t>项目针对土壤污染的途径提出相应的过程控制措施：</w:t>
      </w:r>
    </w:p>
    <w:p w14:paraId="1B86851F">
      <w:pPr>
        <w:spacing w:before="178" w:line="325" w:lineRule="auto"/>
        <w:ind w:left="9" w:right="99"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）应对厂区土壤裸露区进行硬化，未硬化区进行绿化，绿化区以种植具有较强</w:t>
      </w:r>
      <w:r>
        <w:rPr>
          <w:rFonts w:ascii="宋体" w:hAnsi="宋体" w:eastAsia="宋体" w:cs="宋体"/>
          <w:spacing w:val="14"/>
          <w:sz w:val="24"/>
          <w:szCs w:val="24"/>
        </w:rPr>
        <w:t xml:space="preserve"> </w:t>
      </w:r>
      <w:r>
        <w:rPr>
          <w:rFonts w:ascii="宋体" w:hAnsi="宋体" w:eastAsia="宋体" w:cs="宋体"/>
          <w:spacing w:val="-2"/>
          <w:sz w:val="24"/>
          <w:szCs w:val="24"/>
        </w:rPr>
        <w:t>吸附能力的植物为主，加大对废气污染物的吸附量，减少最终进入土壤的污染物量，从</w:t>
      </w:r>
      <w:r>
        <w:rPr>
          <w:rFonts w:ascii="宋体" w:hAnsi="宋体" w:eastAsia="宋体" w:cs="宋体"/>
          <w:spacing w:val="16"/>
          <w:sz w:val="24"/>
          <w:szCs w:val="24"/>
        </w:rPr>
        <w:t xml:space="preserve"> </w:t>
      </w:r>
      <w:r>
        <w:rPr>
          <w:rFonts w:ascii="宋体" w:hAnsi="宋体" w:eastAsia="宋体" w:cs="宋体"/>
          <w:spacing w:val="-2"/>
          <w:sz w:val="24"/>
          <w:szCs w:val="24"/>
        </w:rPr>
        <w:t>而减小对土壤的污染。在硬化区非硬化区之间设置阻水带，防止泄漏的废水通过裸露区</w:t>
      </w:r>
      <w:r>
        <w:rPr>
          <w:rFonts w:ascii="宋体" w:hAnsi="宋体" w:eastAsia="宋体" w:cs="宋体"/>
          <w:spacing w:val="16"/>
          <w:sz w:val="24"/>
          <w:szCs w:val="24"/>
        </w:rPr>
        <w:t xml:space="preserve"> </w:t>
      </w:r>
      <w:r>
        <w:rPr>
          <w:rFonts w:ascii="宋体" w:hAnsi="宋体" w:eastAsia="宋体" w:cs="宋体"/>
          <w:spacing w:val="-3"/>
          <w:sz w:val="24"/>
          <w:szCs w:val="24"/>
        </w:rPr>
        <w:t>土壤下渗。</w:t>
      </w:r>
    </w:p>
    <w:p w14:paraId="46923959">
      <w:pPr>
        <w:spacing w:before="181" w:line="312" w:lineRule="auto"/>
        <w:ind w:left="7" w:right="99"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）企业应在可能发生泄漏的区域进行地面硬化，并设置围堰，把泄漏液体尽量</w:t>
      </w:r>
      <w:r>
        <w:rPr>
          <w:rFonts w:ascii="宋体" w:hAnsi="宋体" w:eastAsia="宋体" w:cs="宋体"/>
          <w:spacing w:val="14"/>
          <w:sz w:val="24"/>
          <w:szCs w:val="24"/>
        </w:rPr>
        <w:t xml:space="preserve"> </w:t>
      </w:r>
      <w:r>
        <w:rPr>
          <w:rFonts w:ascii="宋体" w:hAnsi="宋体" w:eastAsia="宋体" w:cs="宋体"/>
          <w:spacing w:val="-2"/>
          <w:sz w:val="24"/>
          <w:szCs w:val="24"/>
        </w:rPr>
        <w:t>控制在小范围内，并及时导入事故池，减少液体在地面的漫流面积及时间，以防止土壤</w:t>
      </w:r>
      <w:r>
        <w:rPr>
          <w:rFonts w:ascii="宋体" w:hAnsi="宋体" w:eastAsia="宋体" w:cs="宋体"/>
          <w:spacing w:val="18"/>
          <w:sz w:val="24"/>
          <w:szCs w:val="24"/>
        </w:rPr>
        <w:t xml:space="preserve"> </w:t>
      </w:r>
      <w:r>
        <w:rPr>
          <w:rFonts w:ascii="宋体" w:hAnsi="宋体" w:eastAsia="宋体" w:cs="宋体"/>
          <w:spacing w:val="-1"/>
          <w:sz w:val="24"/>
          <w:szCs w:val="24"/>
        </w:rPr>
        <w:t>环境污染，并对防渗区域定期巡检，积极维护。</w:t>
      </w:r>
    </w:p>
    <w:p w14:paraId="3FFFE9FE">
      <w:pPr>
        <w:spacing w:before="182" w:line="290" w:lineRule="auto"/>
        <w:ind w:left="11" w:right="171" w:firstLine="488"/>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）为了防止污染物下渗污染土壤，企业应根据相关标准规范要求，对厂区采取</w:t>
      </w:r>
      <w:r>
        <w:rPr>
          <w:rFonts w:ascii="宋体" w:hAnsi="宋体" w:eastAsia="宋体" w:cs="宋体"/>
          <w:spacing w:val="14"/>
          <w:sz w:val="24"/>
          <w:szCs w:val="24"/>
        </w:rPr>
        <w:t xml:space="preserve"> </w:t>
      </w:r>
      <w:r>
        <w:rPr>
          <w:rFonts w:ascii="宋体" w:hAnsi="宋体" w:eastAsia="宋体" w:cs="宋体"/>
          <w:spacing w:val="-1"/>
          <w:sz w:val="24"/>
          <w:szCs w:val="24"/>
        </w:rPr>
        <w:t>分区防渗措施，分区防渗措施参照地下水污染防渗措施。</w:t>
      </w:r>
    </w:p>
    <w:p w14:paraId="28ED68B8">
      <w:pPr>
        <w:spacing w:before="191" w:line="223" w:lineRule="auto"/>
        <w:ind w:left="11"/>
        <w:outlineLvl w:val="2"/>
        <w:rPr>
          <w:rFonts w:ascii="黑体" w:hAnsi="黑体" w:eastAsia="黑体" w:cs="黑体"/>
          <w:sz w:val="30"/>
          <w:szCs w:val="30"/>
        </w:rPr>
      </w:pPr>
      <w:bookmarkStart w:id="459" w:name="bookmark386"/>
      <w:bookmarkEnd w:id="459"/>
      <w:r>
        <w:rPr>
          <w:rFonts w:ascii="Times New Roman" w:hAnsi="Times New Roman" w:eastAsia="Times New Roman" w:cs="Times New Roman"/>
          <w:spacing w:val="-1"/>
          <w:sz w:val="30"/>
          <w:szCs w:val="30"/>
        </w:rPr>
        <w:t xml:space="preserve">6.6.3 </w:t>
      </w:r>
      <w:r>
        <w:rPr>
          <w:rFonts w:ascii="黑体" w:hAnsi="黑体" w:eastAsia="黑体" w:cs="黑体"/>
          <w:spacing w:val="-1"/>
          <w:sz w:val="30"/>
          <w:szCs w:val="30"/>
        </w:rPr>
        <w:t>跟踪监测计划</w:t>
      </w:r>
    </w:p>
    <w:p w14:paraId="316EE3AF">
      <w:pPr>
        <w:spacing w:before="298" w:line="364" w:lineRule="auto"/>
        <w:ind w:left="9" w:firstLine="480"/>
        <w:rPr>
          <w:rFonts w:ascii="宋体" w:hAnsi="宋体" w:eastAsia="宋体" w:cs="宋体"/>
          <w:sz w:val="24"/>
          <w:szCs w:val="24"/>
        </w:rPr>
      </w:pPr>
      <w:r>
        <w:rPr>
          <w:rFonts w:ascii="宋体" w:hAnsi="宋体" w:eastAsia="宋体" w:cs="宋体"/>
          <w:spacing w:val="-12"/>
          <w:sz w:val="24"/>
          <w:szCs w:val="24"/>
        </w:rPr>
        <w:t>本次评价根据《工业企业土壤和地下水自行监测 技术指南（试行）》（</w:t>
      </w:r>
      <w:r>
        <w:rPr>
          <w:rFonts w:ascii="Times New Roman" w:hAnsi="Times New Roman" w:eastAsia="Times New Roman" w:cs="Times New Roman"/>
          <w:spacing w:val="-12"/>
          <w:sz w:val="24"/>
          <w:szCs w:val="24"/>
        </w:rPr>
        <w:t>HJ</w:t>
      </w:r>
      <w:r>
        <w:rPr>
          <w:rFonts w:ascii="Times New Roman" w:hAnsi="Times New Roman" w:eastAsia="Times New Roman" w:cs="Times New Roman"/>
          <w:spacing w:val="41"/>
          <w:sz w:val="24"/>
          <w:szCs w:val="24"/>
        </w:rPr>
        <w:t xml:space="preserve"> </w:t>
      </w:r>
      <w:r>
        <w:rPr>
          <w:rFonts w:ascii="Times New Roman" w:hAnsi="Times New Roman" w:eastAsia="Times New Roman" w:cs="Times New Roman"/>
          <w:spacing w:val="-12"/>
          <w:sz w:val="24"/>
          <w:szCs w:val="24"/>
        </w:rPr>
        <w:t>1209-2021</w:t>
      </w:r>
      <w:r>
        <w:rPr>
          <w:rFonts w:ascii="宋体" w:hAnsi="宋体" w:eastAsia="宋体" w:cs="宋体"/>
          <w:spacing w:val="-12"/>
          <w:sz w:val="24"/>
          <w:szCs w:val="24"/>
        </w:rPr>
        <w:t>）</w:t>
      </w:r>
      <w:r>
        <w:rPr>
          <w:rFonts w:ascii="宋体" w:hAnsi="宋体" w:eastAsia="宋体" w:cs="宋体"/>
          <w:sz w:val="24"/>
          <w:szCs w:val="24"/>
        </w:rPr>
        <w:t xml:space="preserve"> </w:t>
      </w:r>
      <w:r>
        <w:rPr>
          <w:rFonts w:ascii="宋体" w:hAnsi="宋体" w:eastAsia="宋体" w:cs="宋体"/>
          <w:spacing w:val="-1"/>
          <w:sz w:val="24"/>
          <w:szCs w:val="24"/>
        </w:rPr>
        <w:t>制定项目运营期土壤环境跟踪监测计划。</w:t>
      </w:r>
    </w:p>
    <w:p w14:paraId="5A036C59">
      <w:pPr>
        <w:spacing w:before="33" w:line="221"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）监测点位</w:t>
      </w:r>
    </w:p>
    <w:p w14:paraId="4CC522A2">
      <w:pPr>
        <w:spacing w:before="198" w:line="368" w:lineRule="auto"/>
        <w:ind w:left="8" w:right="99" w:firstLine="480"/>
        <w:rPr>
          <w:rFonts w:ascii="宋体" w:hAnsi="宋体" w:eastAsia="宋体" w:cs="宋体"/>
          <w:sz w:val="24"/>
          <w:szCs w:val="24"/>
        </w:rPr>
      </w:pPr>
      <w:r>
        <w:rPr>
          <w:rFonts w:ascii="宋体" w:hAnsi="宋体" w:eastAsia="宋体" w:cs="宋体"/>
          <w:spacing w:val="-2"/>
          <w:sz w:val="24"/>
          <w:szCs w:val="24"/>
        </w:rPr>
        <w:t>本次评价在厂区在厂区原料棚附近、电炉车间附近、厂区北侧危废暂存库附近、厂</w:t>
      </w:r>
      <w:r>
        <w:rPr>
          <w:rFonts w:ascii="宋体" w:hAnsi="宋体" w:eastAsia="宋体" w:cs="宋体"/>
          <w:spacing w:val="12"/>
          <w:sz w:val="24"/>
          <w:szCs w:val="24"/>
        </w:rPr>
        <w:t xml:space="preserve"> </w:t>
      </w:r>
      <w:r>
        <w:rPr>
          <w:rFonts w:ascii="宋体" w:hAnsi="宋体" w:eastAsia="宋体" w:cs="宋体"/>
          <w:spacing w:val="-3"/>
          <w:sz w:val="24"/>
          <w:szCs w:val="24"/>
        </w:rPr>
        <w:t>区发电装置区附近、生活办公区分别设置</w:t>
      </w:r>
      <w:r>
        <w:rPr>
          <w:rFonts w:ascii="宋体" w:hAnsi="宋体" w:eastAsia="宋体" w:cs="宋体"/>
          <w:spacing w:val="-28"/>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处采样点，共计</w:t>
      </w:r>
      <w:r>
        <w:rPr>
          <w:rFonts w:ascii="宋体" w:hAnsi="宋体" w:eastAsia="宋体" w:cs="宋体"/>
          <w:spacing w:val="-49"/>
          <w:sz w:val="24"/>
          <w:szCs w:val="24"/>
        </w:rPr>
        <w:t xml:space="preserve"> </w:t>
      </w:r>
      <w:r>
        <w:rPr>
          <w:rFonts w:ascii="Times New Roman" w:hAnsi="Times New Roman" w:eastAsia="Times New Roman" w:cs="Times New Roman"/>
          <w:spacing w:val="-3"/>
          <w:sz w:val="24"/>
          <w:szCs w:val="24"/>
        </w:rPr>
        <w:t xml:space="preserve">5 </w:t>
      </w:r>
      <w:r>
        <w:rPr>
          <w:rFonts w:ascii="宋体" w:hAnsi="宋体" w:eastAsia="宋体" w:cs="宋体"/>
          <w:spacing w:val="-3"/>
          <w:sz w:val="24"/>
          <w:szCs w:val="24"/>
        </w:rPr>
        <w:t>个，均取表层样，监测点</w:t>
      </w:r>
      <w:r>
        <w:rPr>
          <w:rFonts w:ascii="宋体" w:hAnsi="宋体" w:eastAsia="宋体" w:cs="宋体"/>
          <w:sz w:val="24"/>
          <w:szCs w:val="24"/>
        </w:rPr>
        <w:t xml:space="preserve"> </w:t>
      </w:r>
      <w:r>
        <w:rPr>
          <w:rFonts w:ascii="宋体" w:hAnsi="宋体" w:eastAsia="宋体" w:cs="宋体"/>
          <w:spacing w:val="-2"/>
          <w:sz w:val="24"/>
          <w:szCs w:val="24"/>
        </w:rPr>
        <w:t>布置详见图</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6.6-1</w:t>
      </w:r>
      <w:r>
        <w:rPr>
          <w:rFonts w:ascii="宋体" w:hAnsi="宋体" w:eastAsia="宋体" w:cs="宋体"/>
          <w:spacing w:val="-2"/>
          <w:sz w:val="24"/>
          <w:szCs w:val="24"/>
        </w:rPr>
        <w:t>。</w:t>
      </w:r>
    </w:p>
    <w:p w14:paraId="6B69FD43">
      <w:pPr>
        <w:spacing w:before="36" w:line="220"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）监测指标</w:t>
      </w:r>
    </w:p>
    <w:p w14:paraId="153A8572">
      <w:pPr>
        <w:spacing w:before="202" w:line="363" w:lineRule="auto"/>
        <w:ind w:left="30" w:firstLine="456"/>
        <w:rPr>
          <w:rFonts w:ascii="宋体" w:hAnsi="宋体" w:eastAsia="宋体" w:cs="宋体"/>
          <w:sz w:val="24"/>
          <w:szCs w:val="24"/>
        </w:rPr>
      </w:pPr>
      <w:r>
        <w:rPr>
          <w:rFonts w:ascii="宋体" w:hAnsi="宋体" w:eastAsia="宋体" w:cs="宋体"/>
          <w:spacing w:val="-16"/>
          <w:sz w:val="24"/>
          <w:szCs w:val="24"/>
        </w:rPr>
        <w:t>初次监测：《土壤环境质量建设用地土壤污染风险管控标准（试行）》（</w:t>
      </w:r>
      <w:r>
        <w:rPr>
          <w:rFonts w:ascii="Times New Roman" w:hAnsi="Times New Roman" w:eastAsia="Times New Roman" w:cs="Times New Roman"/>
          <w:spacing w:val="-16"/>
          <w:sz w:val="24"/>
          <w:szCs w:val="24"/>
        </w:rPr>
        <w:t>G</w:t>
      </w:r>
      <w:r>
        <w:rPr>
          <w:rFonts w:ascii="Times New Roman" w:hAnsi="Times New Roman" w:eastAsia="Times New Roman" w:cs="Times New Roman"/>
          <w:spacing w:val="-17"/>
          <w:sz w:val="24"/>
          <w:szCs w:val="24"/>
        </w:rPr>
        <w:t>B36600-2018</w:t>
      </w:r>
      <w:r>
        <w:rPr>
          <w:rFonts w:ascii="宋体" w:hAnsi="宋体" w:eastAsia="宋体" w:cs="宋体"/>
          <w:spacing w:val="-17"/>
          <w:sz w:val="24"/>
          <w:szCs w:val="24"/>
        </w:rPr>
        <w:t>）</w:t>
      </w:r>
      <w:r>
        <w:rPr>
          <w:rFonts w:ascii="宋体" w:hAnsi="宋体" w:eastAsia="宋体" w:cs="宋体"/>
          <w:sz w:val="24"/>
          <w:szCs w:val="24"/>
        </w:rPr>
        <w:t xml:space="preserve"> </w:t>
      </w:r>
      <w:r>
        <w:rPr>
          <w:rFonts w:ascii="宋体" w:hAnsi="宋体" w:eastAsia="宋体" w:cs="宋体"/>
          <w:spacing w:val="-6"/>
          <w:sz w:val="24"/>
          <w:szCs w:val="24"/>
        </w:rPr>
        <w:t>中表</w:t>
      </w:r>
      <w:r>
        <w:rPr>
          <w:rFonts w:ascii="宋体" w:hAnsi="宋体" w:eastAsia="宋体" w:cs="宋体"/>
          <w:spacing w:val="-27"/>
          <w:sz w:val="24"/>
          <w:szCs w:val="24"/>
        </w:rPr>
        <w:t xml:space="preserve"> </w:t>
      </w:r>
      <w:r>
        <w:rPr>
          <w:rFonts w:ascii="Times New Roman" w:hAnsi="Times New Roman" w:eastAsia="Times New Roman" w:cs="Times New Roman"/>
          <w:spacing w:val="-6"/>
          <w:sz w:val="24"/>
          <w:szCs w:val="24"/>
        </w:rPr>
        <w:t xml:space="preserve">1 </w:t>
      </w:r>
      <w:r>
        <w:rPr>
          <w:rFonts w:ascii="宋体" w:hAnsi="宋体" w:eastAsia="宋体" w:cs="宋体"/>
          <w:spacing w:val="-6"/>
          <w:sz w:val="24"/>
          <w:szCs w:val="24"/>
        </w:rPr>
        <w:t>基本项及</w:t>
      </w:r>
      <w:r>
        <w:rPr>
          <w:rFonts w:ascii="宋体" w:hAnsi="宋体" w:eastAsia="宋体" w:cs="宋体"/>
          <w:spacing w:val="-60"/>
          <w:sz w:val="24"/>
          <w:szCs w:val="24"/>
        </w:rPr>
        <w:t xml:space="preserve"> </w:t>
      </w:r>
      <w:r>
        <w:rPr>
          <w:rFonts w:ascii="Times New Roman" w:hAnsi="Times New Roman" w:eastAsia="Times New Roman" w:cs="Times New Roman"/>
          <w:spacing w:val="-6"/>
          <w:sz w:val="24"/>
          <w:szCs w:val="24"/>
        </w:rPr>
        <w:t>pH</w:t>
      </w:r>
      <w:r>
        <w:rPr>
          <w:rFonts w:ascii="宋体" w:hAnsi="宋体" w:eastAsia="宋体" w:cs="宋体"/>
          <w:spacing w:val="-6"/>
          <w:sz w:val="24"/>
          <w:szCs w:val="24"/>
        </w:rPr>
        <w:t>。</w:t>
      </w:r>
    </w:p>
    <w:p w14:paraId="6B3840CF">
      <w:pPr>
        <w:spacing w:before="35" w:line="210" w:lineRule="auto"/>
        <w:jc w:val="right"/>
        <w:rPr>
          <w:rFonts w:ascii="宋体" w:hAnsi="宋体" w:eastAsia="宋体" w:cs="宋体"/>
          <w:sz w:val="24"/>
          <w:szCs w:val="24"/>
        </w:rPr>
      </w:pPr>
      <w:r>
        <w:rPr>
          <w:rFonts w:ascii="宋体" w:hAnsi="宋体" w:eastAsia="宋体" w:cs="宋体"/>
          <w:spacing w:val="-10"/>
          <w:sz w:val="24"/>
          <w:szCs w:val="24"/>
        </w:rPr>
        <w:t>后续监测：前期监测中出现超标的项目</w:t>
      </w:r>
      <w:r>
        <w:rPr>
          <w:rFonts w:ascii="Times New Roman" w:hAnsi="Times New Roman" w:eastAsia="Times New Roman" w:cs="Times New Roman"/>
          <w:spacing w:val="-10"/>
          <w:sz w:val="24"/>
          <w:szCs w:val="24"/>
        </w:rPr>
        <w:t>+pH</w:t>
      </w:r>
      <w:r>
        <w:rPr>
          <w:rFonts w:ascii="宋体" w:hAnsi="宋体" w:eastAsia="宋体" w:cs="宋体"/>
          <w:spacing w:val="-11"/>
          <w:sz w:val="24"/>
          <w:szCs w:val="24"/>
        </w:rPr>
        <w:t>、砷、镉、铜、铅、汞、镍、铬（六价）。</w:t>
      </w:r>
    </w:p>
    <w:p w14:paraId="52715200">
      <w:pPr>
        <w:spacing w:before="216" w:line="297" w:lineRule="auto"/>
        <w:ind w:left="9" w:right="99"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）监测频次：本项目各采样点均取表层样，根据《工业企业土壤和地下水自行</w:t>
      </w:r>
      <w:r>
        <w:rPr>
          <w:rFonts w:ascii="宋体" w:hAnsi="宋体" w:eastAsia="宋体" w:cs="宋体"/>
          <w:spacing w:val="14"/>
          <w:sz w:val="24"/>
          <w:szCs w:val="24"/>
        </w:rPr>
        <w:t xml:space="preserve"> </w:t>
      </w:r>
      <w:r>
        <w:rPr>
          <w:rFonts w:ascii="宋体" w:hAnsi="宋体" w:eastAsia="宋体" w:cs="宋体"/>
          <w:spacing w:val="-2"/>
          <w:sz w:val="24"/>
          <w:szCs w:val="24"/>
        </w:rPr>
        <w:t>监测 技术指南（试行）》（</w:t>
      </w:r>
      <w:r>
        <w:rPr>
          <w:rFonts w:ascii="Times New Roman" w:hAnsi="Times New Roman" w:eastAsia="Times New Roman" w:cs="Times New Roman"/>
          <w:spacing w:val="-2"/>
          <w:sz w:val="24"/>
          <w:szCs w:val="24"/>
        </w:rPr>
        <w:t>HJ</w:t>
      </w:r>
      <w:r>
        <w:rPr>
          <w:rFonts w:ascii="Times New Roman" w:hAnsi="Times New Roman" w:eastAsia="Times New Roman" w:cs="Times New Roman"/>
          <w:spacing w:val="28"/>
          <w:sz w:val="24"/>
          <w:szCs w:val="24"/>
        </w:rPr>
        <w:t xml:space="preserve"> </w:t>
      </w:r>
      <w:r>
        <w:rPr>
          <w:rFonts w:ascii="Times New Roman" w:hAnsi="Times New Roman" w:eastAsia="Times New Roman" w:cs="Times New Roman"/>
          <w:spacing w:val="-2"/>
          <w:sz w:val="24"/>
          <w:szCs w:val="24"/>
        </w:rPr>
        <w:t>1209-2021</w:t>
      </w:r>
      <w:r>
        <w:rPr>
          <w:rFonts w:ascii="宋体" w:hAnsi="宋体" w:eastAsia="宋体" w:cs="宋体"/>
          <w:spacing w:val="-2"/>
          <w:sz w:val="24"/>
          <w:szCs w:val="24"/>
        </w:rPr>
        <w:t>）中监测频次要求</w:t>
      </w:r>
      <w:r>
        <w:rPr>
          <w:rFonts w:ascii="宋体" w:hAnsi="宋体" w:eastAsia="宋体" w:cs="宋体"/>
          <w:spacing w:val="-3"/>
          <w:sz w:val="24"/>
          <w:szCs w:val="24"/>
        </w:rPr>
        <w:t>，每</w:t>
      </w:r>
      <w:r>
        <w:rPr>
          <w:rFonts w:ascii="宋体" w:hAnsi="宋体" w:eastAsia="宋体" w:cs="宋体"/>
          <w:spacing w:val="-48"/>
          <w:sz w:val="24"/>
          <w:szCs w:val="24"/>
        </w:rPr>
        <w:t xml:space="preserve"> </w:t>
      </w:r>
      <w:r>
        <w:rPr>
          <w:rFonts w:ascii="Times New Roman" w:hAnsi="Times New Roman" w:eastAsia="Times New Roman" w:cs="Times New Roman"/>
          <w:spacing w:val="-3"/>
          <w:sz w:val="24"/>
          <w:szCs w:val="24"/>
        </w:rPr>
        <w:t xml:space="preserve">5 </w:t>
      </w:r>
      <w:r>
        <w:rPr>
          <w:rFonts w:ascii="宋体" w:hAnsi="宋体" w:eastAsia="宋体" w:cs="宋体"/>
          <w:spacing w:val="-3"/>
          <w:sz w:val="24"/>
          <w:szCs w:val="24"/>
        </w:rPr>
        <w:t>年监测</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16"/>
          <w:sz w:val="24"/>
          <w:szCs w:val="24"/>
        </w:rPr>
        <w:t xml:space="preserve"> </w:t>
      </w:r>
      <w:r>
        <w:rPr>
          <w:rFonts w:ascii="宋体" w:hAnsi="宋体" w:eastAsia="宋体" w:cs="宋体"/>
          <w:spacing w:val="-3"/>
          <w:sz w:val="24"/>
          <w:szCs w:val="24"/>
        </w:rPr>
        <w:t>次。</w:t>
      </w:r>
    </w:p>
    <w:p w14:paraId="2CB89F1B">
      <w:pPr>
        <w:spacing w:before="205" w:line="219" w:lineRule="auto"/>
        <w:ind w:left="49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）执行标准</w:t>
      </w:r>
    </w:p>
    <w:p w14:paraId="4E9E55C5">
      <w:pPr>
        <w:spacing w:before="205" w:line="219" w:lineRule="auto"/>
        <w:ind w:left="494"/>
        <w:rPr>
          <w:rFonts w:ascii="宋体" w:hAnsi="宋体" w:eastAsia="宋体" w:cs="宋体"/>
          <w:sz w:val="24"/>
          <w:szCs w:val="24"/>
        </w:rPr>
      </w:pPr>
      <w:r>
        <w:rPr>
          <w:rFonts w:ascii="宋体" w:hAnsi="宋体" w:eastAsia="宋体" w:cs="宋体"/>
          <w:spacing w:val="-1"/>
          <w:sz w:val="24"/>
          <w:szCs w:val="24"/>
        </w:rPr>
        <w:t>《土壤环境质量 建设用地土壤污染风险管控标准（试行）》（</w:t>
      </w:r>
      <w:r>
        <w:rPr>
          <w:rFonts w:ascii="Times New Roman" w:hAnsi="Times New Roman" w:eastAsia="Times New Roman" w:cs="Times New Roman"/>
          <w:spacing w:val="-1"/>
          <w:sz w:val="24"/>
          <w:szCs w:val="24"/>
        </w:rPr>
        <w:t>GB 36600-20</w:t>
      </w:r>
      <w:r>
        <w:rPr>
          <w:rFonts w:ascii="Times New Roman" w:hAnsi="Times New Roman" w:eastAsia="Times New Roman" w:cs="Times New Roman"/>
          <w:spacing w:val="-2"/>
          <w:sz w:val="24"/>
          <w:szCs w:val="24"/>
        </w:rPr>
        <w:t>18</w:t>
      </w:r>
      <w:r>
        <w:rPr>
          <w:rFonts w:ascii="宋体" w:hAnsi="宋体" w:eastAsia="宋体" w:cs="宋体"/>
          <w:spacing w:val="-2"/>
          <w:sz w:val="24"/>
          <w:szCs w:val="24"/>
        </w:rPr>
        <w:t>）筛</w:t>
      </w:r>
    </w:p>
    <w:p w14:paraId="54850095">
      <w:pPr>
        <w:spacing w:before="205" w:line="219" w:lineRule="auto"/>
        <w:ind w:left="7"/>
        <w:rPr>
          <w:rFonts w:ascii="宋体" w:hAnsi="宋体" w:eastAsia="宋体" w:cs="宋体"/>
          <w:sz w:val="24"/>
          <w:szCs w:val="24"/>
        </w:rPr>
      </w:pPr>
      <w:r>
        <w:rPr>
          <w:rFonts w:ascii="宋体" w:hAnsi="宋体" w:eastAsia="宋体" w:cs="宋体"/>
          <w:spacing w:val="-1"/>
          <w:sz w:val="24"/>
          <w:szCs w:val="24"/>
        </w:rPr>
        <w:t>选值第二类用地标准的要求。</w:t>
      </w:r>
    </w:p>
    <w:p w14:paraId="2E08EE36">
      <w:pPr>
        <w:spacing w:line="219" w:lineRule="auto"/>
        <w:rPr>
          <w:rFonts w:ascii="宋体" w:hAnsi="宋体" w:eastAsia="宋体" w:cs="宋体"/>
          <w:sz w:val="24"/>
          <w:szCs w:val="24"/>
        </w:rPr>
        <w:sectPr>
          <w:headerReference r:id="rId474" w:type="default"/>
          <w:footerReference r:id="rId475" w:type="default"/>
          <w:pgSz w:w="11906" w:h="16839"/>
          <w:pgMar w:top="1190" w:right="1318" w:bottom="1221" w:left="1417" w:header="882" w:footer="1059" w:gutter="0"/>
          <w:cols w:space="720" w:num="1"/>
        </w:sectPr>
      </w:pPr>
    </w:p>
    <w:p w14:paraId="30178CBD">
      <w:pPr>
        <w:spacing w:line="28" w:lineRule="exact"/>
      </w:pPr>
      <w:r>
        <w:pict>
          <v:shape id="_x0000_s3079" o:spid="_x0000_s3079" style="height:1.45pt;width:453.65pt;" fillcolor="#000000" filled="t" stroked="f" coordsize="9072,29" path="m0,0l9072,0,9072,28,0,28,0,0xe">
            <v:path/>
            <v:fill on="t" focussize="0,0"/>
            <v:stroke on="f"/>
            <v:imagedata o:title=""/>
            <o:lock v:ext="edit"/>
            <w10:wrap type="none"/>
            <w10:anchorlock/>
          </v:shape>
        </w:pict>
      </w:r>
    </w:p>
    <w:p w14:paraId="544046FB">
      <w:pPr>
        <w:pStyle w:val="2"/>
        <w:spacing w:line="292" w:lineRule="auto"/>
      </w:pPr>
      <w:r>
        <w:drawing>
          <wp:anchor distT="0" distB="0" distL="0" distR="0" simplePos="0" relativeHeight="252072960" behindDoc="0" locked="0" layoutInCell="1" allowOverlap="1">
            <wp:simplePos x="0" y="0"/>
            <wp:positionH relativeFrom="column">
              <wp:posOffset>4975225</wp:posOffset>
            </wp:positionH>
            <wp:positionV relativeFrom="paragraph">
              <wp:posOffset>145415</wp:posOffset>
            </wp:positionV>
            <wp:extent cx="780415" cy="784860"/>
            <wp:effectExtent l="0" t="0" r="0" b="0"/>
            <wp:wrapNone/>
            <wp:docPr id="234" name="IM 234"/>
            <wp:cNvGraphicFramePr/>
            <a:graphic xmlns:a="http://schemas.openxmlformats.org/drawingml/2006/main">
              <a:graphicData uri="http://schemas.openxmlformats.org/drawingml/2006/picture">
                <pic:pic xmlns:pic="http://schemas.openxmlformats.org/drawingml/2006/picture">
                  <pic:nvPicPr>
                    <pic:cNvPr id="234" name="IM 234"/>
                    <pic:cNvPicPr/>
                  </pic:nvPicPr>
                  <pic:blipFill>
                    <a:blip r:embed="rId687"/>
                    <a:stretch>
                      <a:fillRect/>
                    </a:stretch>
                  </pic:blipFill>
                  <pic:spPr>
                    <a:xfrm>
                      <a:off x="0" y="0"/>
                      <a:ext cx="780288" cy="784859"/>
                    </a:xfrm>
                    <a:prstGeom prst="rect">
                      <a:avLst/>
                    </a:prstGeom>
                  </pic:spPr>
                </pic:pic>
              </a:graphicData>
            </a:graphic>
          </wp:anchor>
        </w:drawing>
      </w:r>
    </w:p>
    <w:p w14:paraId="048127F0">
      <w:pPr>
        <w:pStyle w:val="2"/>
        <w:spacing w:line="292" w:lineRule="auto"/>
      </w:pPr>
    </w:p>
    <w:p w14:paraId="2112D9AD">
      <w:pPr>
        <w:pStyle w:val="2"/>
        <w:spacing w:line="292" w:lineRule="auto"/>
      </w:pPr>
    </w:p>
    <w:p w14:paraId="20D9AABA">
      <w:pPr>
        <w:spacing w:before="65" w:line="227" w:lineRule="auto"/>
        <w:ind w:left="2227"/>
        <w:rPr>
          <w:rFonts w:ascii="宋体" w:hAnsi="宋体" w:eastAsia="宋体" w:cs="宋体"/>
          <w:sz w:val="20"/>
          <w:szCs w:val="20"/>
        </w:rPr>
      </w:pPr>
      <w:r>
        <w:drawing>
          <wp:anchor distT="0" distB="0" distL="0" distR="0" simplePos="0" relativeHeight="252071936" behindDoc="1" locked="0" layoutInCell="1" allowOverlap="1">
            <wp:simplePos x="0" y="0"/>
            <wp:positionH relativeFrom="column">
              <wp:posOffset>635</wp:posOffset>
            </wp:positionH>
            <wp:positionV relativeFrom="paragraph">
              <wp:posOffset>-422275</wp:posOffset>
            </wp:positionV>
            <wp:extent cx="5757545" cy="3702050"/>
            <wp:effectExtent l="0" t="0" r="0" b="0"/>
            <wp:wrapNone/>
            <wp:docPr id="236" name="IM 236"/>
            <wp:cNvGraphicFramePr/>
            <a:graphic xmlns:a="http://schemas.openxmlformats.org/drawingml/2006/main">
              <a:graphicData uri="http://schemas.openxmlformats.org/drawingml/2006/picture">
                <pic:pic xmlns:pic="http://schemas.openxmlformats.org/drawingml/2006/picture">
                  <pic:nvPicPr>
                    <pic:cNvPr id="236" name="IM 236"/>
                    <pic:cNvPicPr/>
                  </pic:nvPicPr>
                  <pic:blipFill>
                    <a:blip r:embed="rId688"/>
                    <a:stretch>
                      <a:fillRect/>
                    </a:stretch>
                  </pic:blipFill>
                  <pic:spPr>
                    <a:xfrm>
                      <a:off x="0" y="0"/>
                      <a:ext cx="5757671" cy="3701796"/>
                    </a:xfrm>
                    <a:prstGeom prst="rect">
                      <a:avLst/>
                    </a:prstGeom>
                  </pic:spPr>
                </pic:pic>
              </a:graphicData>
            </a:graphic>
          </wp:anchor>
        </w:drawing>
      </w:r>
      <w:r>
        <w:rPr>
          <w:rFonts w:ascii="宋体" w:hAnsi="宋体" w:eastAsia="宋体" w:cs="宋体"/>
          <w:b/>
          <w:bCs/>
          <w:color w:val="FF0000"/>
          <w:spacing w:val="7"/>
          <w:sz w:val="20"/>
          <w:szCs w:val="20"/>
        </w:rPr>
        <w:t>本项目厂区范围</w:t>
      </w:r>
    </w:p>
    <w:p w14:paraId="61EE34F8">
      <w:pPr>
        <w:pStyle w:val="2"/>
        <w:spacing w:line="309" w:lineRule="auto"/>
      </w:pPr>
    </w:p>
    <w:p w14:paraId="4865163C">
      <w:pPr>
        <w:spacing w:line="210" w:lineRule="exact"/>
        <w:ind w:firstLine="4055"/>
      </w:pPr>
      <w:r>
        <w:drawing>
          <wp:anchor distT="0" distB="0" distL="0" distR="0" simplePos="0" relativeHeight="252073984" behindDoc="0" locked="0" layoutInCell="1" allowOverlap="1">
            <wp:simplePos x="0" y="0"/>
            <wp:positionH relativeFrom="column">
              <wp:posOffset>1035050</wp:posOffset>
            </wp:positionH>
            <wp:positionV relativeFrom="paragraph">
              <wp:posOffset>109220</wp:posOffset>
            </wp:positionV>
            <wp:extent cx="147320" cy="133350"/>
            <wp:effectExtent l="0" t="0" r="0" b="0"/>
            <wp:wrapNone/>
            <wp:docPr id="238" name="IM 238"/>
            <wp:cNvGraphicFramePr/>
            <a:graphic xmlns:a="http://schemas.openxmlformats.org/drawingml/2006/main">
              <a:graphicData uri="http://schemas.openxmlformats.org/drawingml/2006/picture">
                <pic:pic xmlns:pic="http://schemas.openxmlformats.org/drawingml/2006/picture">
                  <pic:nvPicPr>
                    <pic:cNvPr id="238" name="IM 238"/>
                    <pic:cNvPicPr/>
                  </pic:nvPicPr>
                  <pic:blipFill>
                    <a:blip r:embed="rId689"/>
                    <a:stretch>
                      <a:fillRect/>
                    </a:stretch>
                  </pic:blipFill>
                  <pic:spPr>
                    <a:xfrm>
                      <a:off x="0" y="0"/>
                      <a:ext cx="147320" cy="133350"/>
                    </a:xfrm>
                    <a:prstGeom prst="rect">
                      <a:avLst/>
                    </a:prstGeom>
                  </pic:spPr>
                </pic:pic>
              </a:graphicData>
            </a:graphic>
          </wp:anchor>
        </w:drawing>
      </w:r>
      <w:r>
        <w:rPr>
          <w:position w:val="-4"/>
        </w:rPr>
        <w:drawing>
          <wp:inline distT="0" distB="0" distL="0" distR="0">
            <wp:extent cx="147320" cy="133350"/>
            <wp:effectExtent l="0" t="0" r="0" b="0"/>
            <wp:docPr id="240" name="IM 240"/>
            <wp:cNvGraphicFramePr/>
            <a:graphic xmlns:a="http://schemas.openxmlformats.org/drawingml/2006/main">
              <a:graphicData uri="http://schemas.openxmlformats.org/drawingml/2006/picture">
                <pic:pic xmlns:pic="http://schemas.openxmlformats.org/drawingml/2006/picture">
                  <pic:nvPicPr>
                    <pic:cNvPr id="240" name="IM 240"/>
                    <pic:cNvPicPr/>
                  </pic:nvPicPr>
                  <pic:blipFill>
                    <a:blip r:embed="rId690"/>
                    <a:stretch>
                      <a:fillRect/>
                    </a:stretch>
                  </pic:blipFill>
                  <pic:spPr>
                    <a:xfrm>
                      <a:off x="0" y="0"/>
                      <a:ext cx="147320" cy="133350"/>
                    </a:xfrm>
                    <a:prstGeom prst="rect">
                      <a:avLst/>
                    </a:prstGeom>
                  </pic:spPr>
                </pic:pic>
              </a:graphicData>
            </a:graphic>
          </wp:inline>
        </w:drawing>
      </w:r>
    </w:p>
    <w:p w14:paraId="189A4E15">
      <w:pPr>
        <w:pStyle w:val="2"/>
        <w:spacing w:line="304" w:lineRule="auto"/>
      </w:pPr>
    </w:p>
    <w:p w14:paraId="2C8154B6">
      <w:pPr>
        <w:pStyle w:val="2"/>
        <w:spacing w:line="305" w:lineRule="auto"/>
      </w:pPr>
    </w:p>
    <w:p w14:paraId="556DB771">
      <w:pPr>
        <w:pStyle w:val="2"/>
        <w:spacing w:line="305" w:lineRule="auto"/>
      </w:pPr>
    </w:p>
    <w:p w14:paraId="496C19E6">
      <w:pPr>
        <w:spacing w:line="874" w:lineRule="exact"/>
        <w:ind w:firstLine="3171"/>
      </w:pPr>
      <w:r>
        <w:rPr>
          <w:position w:val="-17"/>
        </w:rPr>
        <w:drawing>
          <wp:inline distT="0" distB="0" distL="0" distR="0">
            <wp:extent cx="1179830" cy="554355"/>
            <wp:effectExtent l="0" t="0" r="0" b="0"/>
            <wp:docPr id="242" name="IM 242"/>
            <wp:cNvGraphicFramePr/>
            <a:graphic xmlns:a="http://schemas.openxmlformats.org/drawingml/2006/main">
              <a:graphicData uri="http://schemas.openxmlformats.org/drawingml/2006/picture">
                <pic:pic xmlns:pic="http://schemas.openxmlformats.org/drawingml/2006/picture">
                  <pic:nvPicPr>
                    <pic:cNvPr id="242" name="IM 242"/>
                    <pic:cNvPicPr/>
                  </pic:nvPicPr>
                  <pic:blipFill>
                    <a:blip r:embed="rId691"/>
                    <a:stretch>
                      <a:fillRect/>
                    </a:stretch>
                  </pic:blipFill>
                  <pic:spPr>
                    <a:xfrm>
                      <a:off x="0" y="0"/>
                      <a:ext cx="1180464" cy="554989"/>
                    </a:xfrm>
                    <a:prstGeom prst="rect">
                      <a:avLst/>
                    </a:prstGeom>
                  </pic:spPr>
                </pic:pic>
              </a:graphicData>
            </a:graphic>
          </wp:inline>
        </w:drawing>
      </w:r>
    </w:p>
    <w:p w14:paraId="1D1B7A44">
      <w:pPr>
        <w:pStyle w:val="2"/>
        <w:spacing w:line="250" w:lineRule="auto"/>
      </w:pPr>
    </w:p>
    <w:p w14:paraId="306AB454">
      <w:pPr>
        <w:pStyle w:val="2"/>
        <w:spacing w:line="250" w:lineRule="auto"/>
      </w:pPr>
    </w:p>
    <w:p w14:paraId="5C80A376">
      <w:pPr>
        <w:pStyle w:val="2"/>
        <w:spacing w:line="250" w:lineRule="auto"/>
      </w:pPr>
    </w:p>
    <w:p w14:paraId="03B23CF2">
      <w:pPr>
        <w:pStyle w:val="2"/>
        <w:spacing w:line="250" w:lineRule="auto"/>
      </w:pPr>
    </w:p>
    <w:p w14:paraId="0764AC79">
      <w:pPr>
        <w:pStyle w:val="2"/>
        <w:spacing w:line="250" w:lineRule="auto"/>
      </w:pPr>
    </w:p>
    <w:p w14:paraId="1DA8705B">
      <w:pPr>
        <w:pStyle w:val="2"/>
        <w:spacing w:line="250" w:lineRule="auto"/>
      </w:pPr>
    </w:p>
    <w:p w14:paraId="369717E4">
      <w:pPr>
        <w:spacing w:line="210" w:lineRule="exact"/>
        <w:ind w:firstLine="1737"/>
      </w:pPr>
      <w:r>
        <w:rPr>
          <w:position w:val="-4"/>
        </w:rPr>
        <w:drawing>
          <wp:inline distT="0" distB="0" distL="0" distR="0">
            <wp:extent cx="147320" cy="133350"/>
            <wp:effectExtent l="0" t="0" r="0" b="0"/>
            <wp:docPr id="244" name="IM 244"/>
            <wp:cNvGraphicFramePr/>
            <a:graphic xmlns:a="http://schemas.openxmlformats.org/drawingml/2006/main">
              <a:graphicData uri="http://schemas.openxmlformats.org/drawingml/2006/picture">
                <pic:pic xmlns:pic="http://schemas.openxmlformats.org/drawingml/2006/picture">
                  <pic:nvPicPr>
                    <pic:cNvPr id="244" name="IM 244"/>
                    <pic:cNvPicPr/>
                  </pic:nvPicPr>
                  <pic:blipFill>
                    <a:blip r:embed="rId692"/>
                    <a:stretch>
                      <a:fillRect/>
                    </a:stretch>
                  </pic:blipFill>
                  <pic:spPr>
                    <a:xfrm>
                      <a:off x="0" y="0"/>
                      <a:ext cx="147320" cy="133350"/>
                    </a:xfrm>
                    <a:prstGeom prst="rect">
                      <a:avLst/>
                    </a:prstGeom>
                  </pic:spPr>
                </pic:pic>
              </a:graphicData>
            </a:graphic>
          </wp:inline>
        </w:drawing>
      </w:r>
    </w:p>
    <w:p w14:paraId="4959523C">
      <w:pPr>
        <w:pStyle w:val="2"/>
        <w:spacing w:line="302" w:lineRule="auto"/>
      </w:pPr>
    </w:p>
    <w:p w14:paraId="635A66B6">
      <w:pPr>
        <w:pStyle w:val="2"/>
        <w:spacing w:line="302" w:lineRule="auto"/>
      </w:pPr>
    </w:p>
    <w:p w14:paraId="0FFA05A2">
      <w:pPr>
        <w:pStyle w:val="2"/>
        <w:spacing w:line="302" w:lineRule="auto"/>
      </w:pPr>
    </w:p>
    <w:p w14:paraId="6C257C63">
      <w:pPr>
        <w:spacing w:before="66" w:line="227" w:lineRule="auto"/>
        <w:ind w:left="3159"/>
        <w:rPr>
          <w:rFonts w:ascii="宋体" w:hAnsi="宋体" w:eastAsia="宋体" w:cs="宋体"/>
          <w:sz w:val="20"/>
          <w:szCs w:val="20"/>
        </w:rPr>
      </w:pPr>
      <w:r>
        <w:rPr>
          <w:rFonts w:ascii="宋体" w:hAnsi="宋体" w:eastAsia="宋体" w:cs="宋体"/>
          <w:b/>
          <w:bCs/>
          <w:spacing w:val="3"/>
          <w:sz w:val="20"/>
          <w:szCs w:val="20"/>
        </w:rPr>
        <w:t>图</w:t>
      </w:r>
      <w:r>
        <w:rPr>
          <w:rFonts w:ascii="宋体" w:hAnsi="宋体" w:eastAsia="宋体" w:cs="宋体"/>
          <w:spacing w:val="-26"/>
          <w:sz w:val="20"/>
          <w:szCs w:val="20"/>
        </w:rPr>
        <w:t xml:space="preserve"> </w:t>
      </w:r>
      <w:r>
        <w:rPr>
          <w:rFonts w:ascii="Times New Roman" w:hAnsi="Times New Roman" w:eastAsia="Times New Roman" w:cs="Times New Roman"/>
          <w:b/>
          <w:bCs/>
          <w:spacing w:val="3"/>
          <w:sz w:val="20"/>
          <w:szCs w:val="20"/>
        </w:rPr>
        <w:t xml:space="preserve">6.6-1        </w:t>
      </w:r>
      <w:r>
        <w:rPr>
          <w:rFonts w:ascii="宋体" w:hAnsi="宋体" w:eastAsia="宋体" w:cs="宋体"/>
          <w:b/>
          <w:bCs/>
          <w:spacing w:val="3"/>
          <w:sz w:val="20"/>
          <w:szCs w:val="20"/>
        </w:rPr>
        <w:t>土壤监控点布置图</w:t>
      </w:r>
    </w:p>
    <w:p w14:paraId="1BBB6B43">
      <w:pPr>
        <w:spacing w:before="151" w:line="227" w:lineRule="auto"/>
        <w:ind w:left="12"/>
        <w:outlineLvl w:val="1"/>
        <w:rPr>
          <w:rFonts w:ascii="黑体" w:hAnsi="黑体" w:eastAsia="黑体" w:cs="黑体"/>
          <w:sz w:val="31"/>
          <w:szCs w:val="31"/>
        </w:rPr>
      </w:pPr>
      <w:bookmarkStart w:id="460" w:name="bookmark388"/>
      <w:bookmarkEnd w:id="460"/>
      <w:r>
        <w:rPr>
          <w:rFonts w:ascii="Times New Roman" w:hAnsi="Times New Roman" w:eastAsia="Times New Roman" w:cs="Times New Roman"/>
          <w:spacing w:val="6"/>
          <w:sz w:val="31"/>
          <w:szCs w:val="31"/>
        </w:rPr>
        <w:t xml:space="preserve">6.7 </w:t>
      </w:r>
      <w:r>
        <w:rPr>
          <w:rFonts w:ascii="黑体" w:hAnsi="黑体" w:eastAsia="黑体" w:cs="黑体"/>
          <w:spacing w:val="6"/>
          <w:sz w:val="31"/>
          <w:szCs w:val="31"/>
        </w:rPr>
        <w:t>生态保护措施</w:t>
      </w:r>
    </w:p>
    <w:p w14:paraId="2354DD13">
      <w:pPr>
        <w:spacing w:before="229" w:line="219" w:lineRule="auto"/>
        <w:ind w:right="1"/>
        <w:jc w:val="right"/>
        <w:rPr>
          <w:rFonts w:ascii="宋体" w:hAnsi="宋体" w:eastAsia="宋体" w:cs="宋体"/>
          <w:sz w:val="24"/>
          <w:szCs w:val="24"/>
        </w:rPr>
      </w:pPr>
      <w:r>
        <w:rPr>
          <w:rFonts w:ascii="宋体" w:hAnsi="宋体" w:eastAsia="宋体" w:cs="宋体"/>
          <w:spacing w:val="-2"/>
          <w:sz w:val="24"/>
          <w:szCs w:val="24"/>
        </w:rPr>
        <w:t>本项目位于苏尼特右旗朱日和工业园区内，为降低项目建设对生态的影响，建设单</w:t>
      </w:r>
    </w:p>
    <w:p w14:paraId="689990C6">
      <w:pPr>
        <w:spacing w:before="181" w:line="219" w:lineRule="auto"/>
        <w:ind w:left="8"/>
        <w:outlineLvl w:val="1"/>
        <w:rPr>
          <w:rFonts w:ascii="宋体" w:hAnsi="宋体" w:eastAsia="宋体" w:cs="宋体"/>
          <w:sz w:val="24"/>
          <w:szCs w:val="24"/>
        </w:rPr>
      </w:pPr>
      <w:r>
        <w:rPr>
          <w:rFonts w:ascii="宋体" w:hAnsi="宋体" w:eastAsia="宋体" w:cs="宋体"/>
          <w:spacing w:val="-1"/>
          <w:sz w:val="24"/>
          <w:szCs w:val="24"/>
        </w:rPr>
        <w:t>位应做好以下几方面工作：</w:t>
      </w:r>
    </w:p>
    <w:p w14:paraId="5BABAEC3">
      <w:pPr>
        <w:spacing w:before="184"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）加强厂区环保设施的运行管理，确保污染物达标排放，杜绝事故排放。</w:t>
      </w:r>
    </w:p>
    <w:p w14:paraId="423E2589">
      <w:pPr>
        <w:spacing w:before="182" w:line="312" w:lineRule="auto"/>
        <w:ind w:left="9" w:right="1"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）厂区及周边加强绿化；办公综合楼和生产装置区等处广种花草树木，美化环</w:t>
      </w:r>
      <w:r>
        <w:rPr>
          <w:rFonts w:ascii="宋体" w:hAnsi="宋体" w:eastAsia="宋体" w:cs="宋体"/>
          <w:spacing w:val="14"/>
          <w:sz w:val="24"/>
          <w:szCs w:val="24"/>
        </w:rPr>
        <w:t xml:space="preserve"> </w:t>
      </w:r>
      <w:r>
        <w:rPr>
          <w:rFonts w:ascii="宋体" w:hAnsi="宋体" w:eastAsia="宋体" w:cs="宋体"/>
          <w:spacing w:val="-2"/>
          <w:sz w:val="24"/>
          <w:szCs w:val="24"/>
        </w:rPr>
        <w:t>境，又可有效缓解厂区废气对周围环境的影响。绿化应以厂区为中心，直至厂区围墙各</w:t>
      </w:r>
      <w:r>
        <w:rPr>
          <w:rFonts w:ascii="宋体" w:hAnsi="宋体" w:eastAsia="宋体" w:cs="宋体"/>
          <w:spacing w:val="16"/>
          <w:sz w:val="24"/>
          <w:szCs w:val="24"/>
        </w:rPr>
        <w:t xml:space="preserve"> </w:t>
      </w:r>
      <w:r>
        <w:rPr>
          <w:rFonts w:ascii="宋体" w:hAnsi="宋体" w:eastAsia="宋体" w:cs="宋体"/>
          <w:spacing w:val="9"/>
          <w:sz w:val="24"/>
          <w:szCs w:val="24"/>
        </w:rPr>
        <w:t>方向分</w:t>
      </w:r>
      <w:r>
        <w:rPr>
          <w:rFonts w:ascii="Times New Roman" w:hAnsi="Times New Roman" w:eastAsia="Times New Roman" w:cs="Times New Roman"/>
          <w:spacing w:val="9"/>
          <w:sz w:val="24"/>
          <w:szCs w:val="24"/>
        </w:rPr>
        <w:t>2</w:t>
      </w:r>
      <w:r>
        <w:rPr>
          <w:rFonts w:ascii="宋体" w:hAnsi="宋体" w:eastAsia="宋体" w:cs="宋体"/>
          <w:spacing w:val="9"/>
          <w:sz w:val="24"/>
          <w:szCs w:val="24"/>
        </w:rPr>
        <w:t>～</w:t>
      </w:r>
      <w:r>
        <w:rPr>
          <w:rFonts w:ascii="Times New Roman" w:hAnsi="Times New Roman" w:eastAsia="Times New Roman" w:cs="Times New Roman"/>
          <w:spacing w:val="9"/>
          <w:sz w:val="24"/>
          <w:szCs w:val="24"/>
        </w:rPr>
        <w:t>3</w:t>
      </w:r>
      <w:r>
        <w:rPr>
          <w:rFonts w:ascii="宋体" w:hAnsi="宋体" w:eastAsia="宋体" w:cs="宋体"/>
          <w:spacing w:val="9"/>
          <w:sz w:val="24"/>
          <w:szCs w:val="24"/>
        </w:rPr>
        <w:t>个绿化层次。</w:t>
      </w:r>
    </w:p>
    <w:p w14:paraId="7DB0D4A5">
      <w:pPr>
        <w:spacing w:before="182" w:line="353" w:lineRule="auto"/>
        <w:ind w:left="7" w:firstLine="480"/>
        <w:jc w:val="both"/>
        <w:rPr>
          <w:rFonts w:ascii="宋体" w:hAnsi="宋体" w:eastAsia="宋体" w:cs="宋体"/>
          <w:sz w:val="24"/>
          <w:szCs w:val="24"/>
        </w:rPr>
      </w:pPr>
      <w:r>
        <w:rPr>
          <w:rFonts w:ascii="宋体" w:hAnsi="宋体" w:eastAsia="宋体" w:cs="宋体"/>
          <w:spacing w:val="-2"/>
          <w:sz w:val="24"/>
          <w:szCs w:val="24"/>
        </w:rPr>
        <w:t>第一个层次为生产装置区道路的两侧及道路之间的空地，使其构成对主要污染源所</w:t>
      </w:r>
      <w:r>
        <w:rPr>
          <w:rFonts w:ascii="宋体" w:hAnsi="宋体" w:eastAsia="宋体" w:cs="宋体"/>
          <w:spacing w:val="13"/>
          <w:sz w:val="24"/>
          <w:szCs w:val="24"/>
        </w:rPr>
        <w:t xml:space="preserve"> </w:t>
      </w:r>
      <w:r>
        <w:rPr>
          <w:rFonts w:ascii="宋体" w:hAnsi="宋体" w:eastAsia="宋体" w:cs="宋体"/>
          <w:spacing w:val="-2"/>
          <w:sz w:val="24"/>
          <w:szCs w:val="24"/>
        </w:rPr>
        <w:t>在地的第一道绿色屏障；第二层次为围墙内及办公及辅助建筑、污水处理站等周围；第</w:t>
      </w:r>
      <w:r>
        <w:rPr>
          <w:rFonts w:ascii="宋体" w:hAnsi="宋体" w:eastAsia="宋体" w:cs="宋体"/>
          <w:spacing w:val="18"/>
          <w:sz w:val="24"/>
          <w:szCs w:val="24"/>
        </w:rPr>
        <w:t xml:space="preserve"> </w:t>
      </w:r>
      <w:r>
        <w:rPr>
          <w:rFonts w:ascii="宋体" w:hAnsi="宋体" w:eastAsia="宋体" w:cs="宋体"/>
          <w:spacing w:val="-2"/>
          <w:sz w:val="24"/>
          <w:szCs w:val="24"/>
        </w:rPr>
        <w:t>三层次为场界围墙外绿化带和主要出入厂道路两侧的绿化，这一层次是保护场外环境和</w:t>
      </w:r>
      <w:r>
        <w:rPr>
          <w:rFonts w:ascii="宋体" w:hAnsi="宋体" w:eastAsia="宋体" w:cs="宋体"/>
          <w:spacing w:val="18"/>
          <w:sz w:val="24"/>
          <w:szCs w:val="24"/>
        </w:rPr>
        <w:t xml:space="preserve"> </w:t>
      </w:r>
      <w:r>
        <w:rPr>
          <w:rFonts w:ascii="宋体" w:hAnsi="宋体" w:eastAsia="宋体" w:cs="宋体"/>
          <w:spacing w:val="-1"/>
          <w:sz w:val="24"/>
          <w:szCs w:val="24"/>
        </w:rPr>
        <w:t>提高与外环境景观协调性的重要内容。</w:t>
      </w:r>
    </w:p>
    <w:p w14:paraId="611F5CF0">
      <w:pPr>
        <w:spacing w:before="46" w:line="228" w:lineRule="auto"/>
        <w:ind w:left="12"/>
        <w:outlineLvl w:val="1"/>
        <w:rPr>
          <w:rFonts w:ascii="黑体" w:hAnsi="黑体" w:eastAsia="黑体" w:cs="黑体"/>
          <w:sz w:val="31"/>
          <w:szCs w:val="31"/>
        </w:rPr>
      </w:pPr>
      <w:bookmarkStart w:id="461" w:name="bookmark390"/>
      <w:bookmarkEnd w:id="461"/>
      <w:r>
        <w:rPr>
          <w:rFonts w:ascii="Times New Roman" w:hAnsi="Times New Roman" w:eastAsia="Times New Roman" w:cs="Times New Roman"/>
          <w:spacing w:val="7"/>
          <w:sz w:val="31"/>
          <w:szCs w:val="31"/>
        </w:rPr>
        <w:t xml:space="preserve">6.8 </w:t>
      </w:r>
      <w:r>
        <w:rPr>
          <w:rFonts w:ascii="黑体" w:hAnsi="黑体" w:eastAsia="黑体" w:cs="黑体"/>
          <w:spacing w:val="7"/>
          <w:sz w:val="31"/>
          <w:szCs w:val="31"/>
        </w:rPr>
        <w:t>施工期的环保措施分析</w:t>
      </w:r>
    </w:p>
    <w:p w14:paraId="234EA3C7">
      <w:pPr>
        <w:spacing w:before="236" w:line="221" w:lineRule="auto"/>
        <w:ind w:left="11"/>
        <w:outlineLvl w:val="2"/>
        <w:rPr>
          <w:rFonts w:ascii="黑体" w:hAnsi="黑体" w:eastAsia="黑体" w:cs="黑体"/>
          <w:sz w:val="30"/>
          <w:szCs w:val="30"/>
        </w:rPr>
      </w:pPr>
      <w:bookmarkStart w:id="462" w:name="bookmark392"/>
      <w:bookmarkEnd w:id="462"/>
      <w:r>
        <w:rPr>
          <w:rFonts w:ascii="Times New Roman" w:hAnsi="Times New Roman" w:eastAsia="Times New Roman" w:cs="Times New Roman"/>
          <w:spacing w:val="-1"/>
          <w:sz w:val="30"/>
          <w:szCs w:val="30"/>
        </w:rPr>
        <w:t xml:space="preserve">6.8.1 </w:t>
      </w:r>
      <w:r>
        <w:rPr>
          <w:rFonts w:ascii="黑体" w:hAnsi="黑体" w:eastAsia="黑体" w:cs="黑体"/>
          <w:spacing w:val="-1"/>
          <w:sz w:val="30"/>
          <w:szCs w:val="30"/>
        </w:rPr>
        <w:t>废气防治措施分析</w:t>
      </w:r>
    </w:p>
    <w:p w14:paraId="6A559293">
      <w:pPr>
        <w:spacing w:before="217"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）施工期粉尘防治措施分析</w:t>
      </w:r>
    </w:p>
    <w:p w14:paraId="6BB8E2CA">
      <w:pPr>
        <w:spacing w:before="180" w:line="217" w:lineRule="auto"/>
        <w:ind w:left="487"/>
        <w:rPr>
          <w:rFonts w:ascii="宋体" w:hAnsi="宋体" w:eastAsia="宋体" w:cs="宋体"/>
          <w:sz w:val="24"/>
          <w:szCs w:val="24"/>
        </w:rPr>
      </w:pPr>
      <w:r>
        <w:rPr>
          <w:rFonts w:ascii="宋体" w:hAnsi="宋体" w:eastAsia="宋体" w:cs="宋体"/>
          <w:spacing w:val="-1"/>
          <w:sz w:val="24"/>
          <w:szCs w:val="24"/>
        </w:rPr>
        <w:t>①施工场地四周设置围栏，当起风时，可使影响距离缩短；</w:t>
      </w:r>
    </w:p>
    <w:p w14:paraId="451C57ED">
      <w:pPr>
        <w:spacing w:line="217" w:lineRule="auto"/>
        <w:rPr>
          <w:rFonts w:ascii="宋体" w:hAnsi="宋体" w:eastAsia="宋体" w:cs="宋体"/>
          <w:sz w:val="24"/>
          <w:szCs w:val="24"/>
        </w:rPr>
        <w:sectPr>
          <w:headerReference r:id="rId476" w:type="default"/>
          <w:footerReference r:id="rId477" w:type="default"/>
          <w:pgSz w:w="11906" w:h="16839"/>
          <w:pgMar w:top="1190" w:right="1416" w:bottom="1221" w:left="1417" w:header="882" w:footer="1059" w:gutter="0"/>
          <w:cols w:space="720" w:num="1"/>
        </w:sectPr>
      </w:pPr>
    </w:p>
    <w:p w14:paraId="5543076A">
      <w:pPr>
        <w:spacing w:line="28" w:lineRule="exact"/>
      </w:pPr>
      <w:r>
        <w:pict>
          <v:shape id="_x0000_s3080" o:spid="_x0000_s3080" style="height:1.45pt;width:453.65pt;" fillcolor="#000000" filled="t" stroked="f" coordsize="9072,29" path="m0,0l9072,0,9072,28,0,28,0,0xe">
            <v:path/>
            <v:fill on="t" focussize="0,0"/>
            <v:stroke on="f"/>
            <v:imagedata o:title=""/>
            <o:lock v:ext="edit"/>
            <w10:wrap type="none"/>
            <w10:anchorlock/>
          </v:shape>
        </w:pict>
      </w:r>
    </w:p>
    <w:p w14:paraId="3F8F6286">
      <w:pPr>
        <w:spacing w:before="232" w:line="289" w:lineRule="auto"/>
        <w:ind w:left="28" w:right="1" w:firstLine="458"/>
        <w:rPr>
          <w:rFonts w:ascii="宋体" w:hAnsi="宋体" w:eastAsia="宋体" w:cs="宋体"/>
          <w:sz w:val="24"/>
          <w:szCs w:val="24"/>
        </w:rPr>
      </w:pPr>
      <w:r>
        <w:rPr>
          <w:rFonts w:ascii="宋体" w:hAnsi="宋体" w:eastAsia="宋体" w:cs="宋体"/>
          <w:spacing w:val="-2"/>
          <w:sz w:val="24"/>
          <w:szCs w:val="24"/>
        </w:rPr>
        <w:t>②开挖、钻孔等过程，应洒水使作业面保持一定的湿度；对施工场地内松散、干涸</w:t>
      </w:r>
      <w:r>
        <w:rPr>
          <w:rFonts w:ascii="宋体" w:hAnsi="宋体" w:eastAsia="宋体" w:cs="宋体"/>
          <w:spacing w:val="15"/>
          <w:sz w:val="24"/>
          <w:szCs w:val="24"/>
        </w:rPr>
        <w:t xml:space="preserve"> </w:t>
      </w:r>
      <w:r>
        <w:rPr>
          <w:rFonts w:ascii="宋体" w:hAnsi="宋体" w:eastAsia="宋体" w:cs="宋体"/>
          <w:spacing w:val="-3"/>
          <w:sz w:val="24"/>
          <w:szCs w:val="24"/>
        </w:rPr>
        <w:t>的表土，经常洒水防止扬尘；</w:t>
      </w:r>
    </w:p>
    <w:p w14:paraId="391A023B">
      <w:pPr>
        <w:spacing w:before="183" w:line="288" w:lineRule="auto"/>
        <w:ind w:left="9" w:right="1" w:firstLine="477"/>
        <w:rPr>
          <w:rFonts w:ascii="宋体" w:hAnsi="宋体" w:eastAsia="宋体" w:cs="宋体"/>
          <w:sz w:val="24"/>
          <w:szCs w:val="24"/>
        </w:rPr>
      </w:pPr>
      <w:r>
        <w:rPr>
          <w:rFonts w:ascii="宋体" w:hAnsi="宋体" w:eastAsia="宋体" w:cs="宋体"/>
          <w:spacing w:val="-2"/>
          <w:sz w:val="24"/>
          <w:szCs w:val="24"/>
        </w:rPr>
        <w:t>③加强回填土方堆放场的管理，采取土方表面压实、定期喷水、覆盖等措施；不需</w:t>
      </w:r>
      <w:r>
        <w:rPr>
          <w:rFonts w:ascii="宋体" w:hAnsi="宋体" w:eastAsia="宋体" w:cs="宋体"/>
          <w:spacing w:val="15"/>
          <w:sz w:val="24"/>
          <w:szCs w:val="24"/>
        </w:rPr>
        <w:t xml:space="preserve"> </w:t>
      </w:r>
      <w:r>
        <w:rPr>
          <w:rFonts w:ascii="宋体" w:hAnsi="宋体" w:eastAsia="宋体" w:cs="宋体"/>
          <w:spacing w:val="-1"/>
          <w:sz w:val="24"/>
          <w:szCs w:val="24"/>
        </w:rPr>
        <w:t>要的泥土、建筑材料弃渣应及时运走；</w:t>
      </w:r>
    </w:p>
    <w:p w14:paraId="5B6EAC12">
      <w:pPr>
        <w:spacing w:before="183" w:line="289" w:lineRule="auto"/>
        <w:ind w:left="10" w:right="11" w:firstLine="476"/>
        <w:rPr>
          <w:rFonts w:ascii="宋体" w:hAnsi="宋体" w:eastAsia="宋体" w:cs="宋体"/>
          <w:sz w:val="24"/>
          <w:szCs w:val="24"/>
        </w:rPr>
      </w:pPr>
      <w:r>
        <w:rPr>
          <w:rFonts w:ascii="宋体" w:hAnsi="宋体" w:eastAsia="宋体" w:cs="宋体"/>
          <w:spacing w:val="-2"/>
          <w:sz w:val="24"/>
          <w:szCs w:val="24"/>
        </w:rPr>
        <w:t>④施工前对现有进厂道路路面进行硬化，同时应限制车速，施工场地出口设水池，</w:t>
      </w:r>
      <w:r>
        <w:rPr>
          <w:rFonts w:ascii="宋体" w:hAnsi="宋体" w:eastAsia="宋体" w:cs="宋体"/>
          <w:spacing w:val="5"/>
          <w:sz w:val="24"/>
          <w:szCs w:val="24"/>
        </w:rPr>
        <w:t xml:space="preserve"> </w:t>
      </w:r>
      <w:r>
        <w:rPr>
          <w:rFonts w:ascii="宋体" w:hAnsi="宋体" w:eastAsia="宋体" w:cs="宋体"/>
          <w:sz w:val="24"/>
          <w:szCs w:val="24"/>
        </w:rPr>
        <w:t>车辆驶出施工场地时经过水清洗后可清除车轮上所沾</w:t>
      </w:r>
      <w:r>
        <w:rPr>
          <w:rFonts w:ascii="宋体" w:hAnsi="宋体" w:eastAsia="宋体" w:cs="宋体"/>
          <w:spacing w:val="-1"/>
          <w:sz w:val="24"/>
          <w:szCs w:val="24"/>
        </w:rPr>
        <w:t>泥土，减少行驶产生的扬尘；</w:t>
      </w:r>
    </w:p>
    <w:p w14:paraId="76890FA6">
      <w:pPr>
        <w:spacing w:before="181" w:line="313" w:lineRule="auto"/>
        <w:ind w:left="7" w:right="1" w:firstLine="479"/>
        <w:rPr>
          <w:rFonts w:ascii="宋体" w:hAnsi="宋体" w:eastAsia="宋体" w:cs="宋体"/>
          <w:sz w:val="24"/>
          <w:szCs w:val="24"/>
        </w:rPr>
      </w:pPr>
      <w:r>
        <w:rPr>
          <w:rFonts w:ascii="宋体" w:hAnsi="宋体" w:eastAsia="宋体" w:cs="宋体"/>
          <w:spacing w:val="-2"/>
          <w:sz w:val="24"/>
          <w:szCs w:val="24"/>
        </w:rPr>
        <w:t>⑤加强运输管理，如散货车不得超高超载、使用有盖的运输车辆，以免车辆颠簸物</w:t>
      </w:r>
      <w:r>
        <w:rPr>
          <w:rFonts w:ascii="宋体" w:hAnsi="宋体" w:eastAsia="宋体" w:cs="宋体"/>
          <w:spacing w:val="15"/>
          <w:sz w:val="24"/>
          <w:szCs w:val="24"/>
        </w:rPr>
        <w:t xml:space="preserve"> </w:t>
      </w:r>
      <w:r>
        <w:rPr>
          <w:rFonts w:ascii="宋体" w:hAnsi="宋体" w:eastAsia="宋体" w:cs="宋体"/>
          <w:spacing w:val="-2"/>
          <w:sz w:val="24"/>
          <w:szCs w:val="24"/>
        </w:rPr>
        <w:t>料洒出；水泥使用密封罐装运输车，装卸应有除尘装置，防止扬尘污染；化学物质的运</w:t>
      </w:r>
      <w:r>
        <w:rPr>
          <w:rFonts w:ascii="宋体" w:hAnsi="宋体" w:eastAsia="宋体" w:cs="宋体"/>
          <w:spacing w:val="18"/>
          <w:sz w:val="24"/>
          <w:szCs w:val="24"/>
        </w:rPr>
        <w:t xml:space="preserve"> </w:t>
      </w:r>
      <w:r>
        <w:rPr>
          <w:rFonts w:ascii="宋体" w:hAnsi="宋体" w:eastAsia="宋体" w:cs="宋体"/>
          <w:spacing w:val="-1"/>
          <w:sz w:val="24"/>
          <w:szCs w:val="24"/>
        </w:rPr>
        <w:t>输要防止泄漏；坚持文明装卸；</w:t>
      </w:r>
    </w:p>
    <w:p w14:paraId="62A3CDCF">
      <w:pPr>
        <w:spacing w:before="181" w:line="312" w:lineRule="auto"/>
        <w:ind w:left="8" w:right="1" w:firstLine="478"/>
        <w:rPr>
          <w:rFonts w:ascii="宋体" w:hAnsi="宋体" w:eastAsia="宋体" w:cs="宋体"/>
          <w:sz w:val="24"/>
          <w:szCs w:val="24"/>
        </w:rPr>
      </w:pPr>
      <w:r>
        <w:rPr>
          <w:rFonts w:ascii="宋体" w:hAnsi="宋体" w:eastAsia="宋体" w:cs="宋体"/>
          <w:spacing w:val="5"/>
          <w:sz w:val="24"/>
          <w:szCs w:val="24"/>
        </w:rPr>
        <w:t>⑥施工单位必须加强施工区域的管理。建筑材料的堆场以及混凝土搅拌应定点定</w:t>
      </w:r>
      <w:r>
        <w:rPr>
          <w:rFonts w:ascii="宋体" w:hAnsi="宋体" w:eastAsia="宋体" w:cs="宋体"/>
          <w:spacing w:val="8"/>
          <w:sz w:val="24"/>
          <w:szCs w:val="24"/>
        </w:rPr>
        <w:t xml:space="preserve"> </w:t>
      </w:r>
      <w:r>
        <w:rPr>
          <w:rFonts w:ascii="宋体" w:hAnsi="宋体" w:eastAsia="宋体" w:cs="宋体"/>
          <w:spacing w:val="-2"/>
          <w:sz w:val="24"/>
          <w:szCs w:val="24"/>
        </w:rPr>
        <w:t>位，不宜设在居住区的上风向；根据风速，采取相应的防尘措施，对散料堆场采用水喷</w:t>
      </w:r>
      <w:r>
        <w:rPr>
          <w:rFonts w:ascii="宋体" w:hAnsi="宋体" w:eastAsia="宋体" w:cs="宋体"/>
          <w:spacing w:val="17"/>
          <w:sz w:val="24"/>
          <w:szCs w:val="24"/>
        </w:rPr>
        <w:t xml:space="preserve"> </w:t>
      </w:r>
      <w:r>
        <w:rPr>
          <w:rFonts w:ascii="宋体" w:hAnsi="宋体" w:eastAsia="宋体" w:cs="宋体"/>
          <w:spacing w:val="-1"/>
          <w:sz w:val="24"/>
          <w:szCs w:val="24"/>
        </w:rPr>
        <w:t>淋防尘，或用蓬布遮盖散料堆；</w:t>
      </w:r>
    </w:p>
    <w:p w14:paraId="254192E2">
      <w:pPr>
        <w:spacing w:before="184" w:line="290" w:lineRule="auto"/>
        <w:ind w:left="8" w:right="1" w:firstLine="478"/>
        <w:rPr>
          <w:rFonts w:ascii="宋体" w:hAnsi="宋体" w:eastAsia="宋体" w:cs="宋体"/>
          <w:sz w:val="24"/>
          <w:szCs w:val="24"/>
        </w:rPr>
      </w:pPr>
      <w:r>
        <w:rPr>
          <w:rFonts w:ascii="宋体" w:hAnsi="宋体" w:eastAsia="宋体" w:cs="宋体"/>
          <w:spacing w:val="-2"/>
          <w:sz w:val="24"/>
          <w:szCs w:val="24"/>
        </w:rPr>
        <w:t>⑦合理安排施工计划，根据平面布局，可以对厂址局部提前进行绿化，改善生态景</w:t>
      </w:r>
      <w:r>
        <w:rPr>
          <w:rFonts w:ascii="宋体" w:hAnsi="宋体" w:eastAsia="宋体" w:cs="宋体"/>
          <w:spacing w:val="15"/>
          <w:sz w:val="24"/>
          <w:szCs w:val="24"/>
        </w:rPr>
        <w:t xml:space="preserve"> </w:t>
      </w:r>
      <w:r>
        <w:rPr>
          <w:rFonts w:ascii="宋体" w:hAnsi="宋体" w:eastAsia="宋体" w:cs="宋体"/>
          <w:spacing w:val="-1"/>
          <w:sz w:val="24"/>
          <w:szCs w:val="24"/>
        </w:rPr>
        <w:t>观，减轻扬尘环境影响；</w:t>
      </w:r>
    </w:p>
    <w:p w14:paraId="34240905">
      <w:pPr>
        <w:spacing w:before="180" w:line="290" w:lineRule="auto"/>
        <w:ind w:left="8" w:right="11" w:firstLine="478"/>
        <w:rPr>
          <w:rFonts w:ascii="宋体" w:hAnsi="宋体" w:eastAsia="宋体" w:cs="宋体"/>
          <w:sz w:val="24"/>
          <w:szCs w:val="24"/>
        </w:rPr>
      </w:pPr>
      <w:r>
        <w:rPr>
          <w:rFonts w:ascii="宋体" w:hAnsi="宋体" w:eastAsia="宋体" w:cs="宋体"/>
          <w:spacing w:val="-2"/>
          <w:sz w:val="24"/>
          <w:szCs w:val="24"/>
        </w:rPr>
        <w:t>⑧挖掘土石方过程要遵守施工建筑规定及有关水土保持规定，尽力减轻植被破坏，</w:t>
      </w:r>
      <w:r>
        <w:rPr>
          <w:rFonts w:ascii="宋体" w:hAnsi="宋体" w:eastAsia="宋体" w:cs="宋体"/>
          <w:spacing w:val="5"/>
          <w:sz w:val="24"/>
          <w:szCs w:val="24"/>
        </w:rPr>
        <w:t xml:space="preserve"> </w:t>
      </w:r>
      <w:r>
        <w:rPr>
          <w:rFonts w:ascii="宋体" w:hAnsi="宋体" w:eastAsia="宋体" w:cs="宋体"/>
          <w:spacing w:val="-1"/>
          <w:sz w:val="24"/>
          <w:szCs w:val="24"/>
        </w:rPr>
        <w:t>减少扬尘，保护环境。</w:t>
      </w:r>
    </w:p>
    <w:p w14:paraId="75B93BE6">
      <w:pPr>
        <w:spacing w:before="180" w:line="219" w:lineRule="auto"/>
        <w:ind w:left="49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）车辆废气防治措施分析</w:t>
      </w:r>
    </w:p>
    <w:p w14:paraId="122AF0BC">
      <w:pPr>
        <w:spacing w:before="180" w:line="351" w:lineRule="auto"/>
        <w:ind w:left="6" w:firstLine="481"/>
        <w:jc w:val="both"/>
        <w:rPr>
          <w:rFonts w:ascii="宋体" w:hAnsi="宋体" w:eastAsia="宋体" w:cs="宋体"/>
          <w:sz w:val="24"/>
          <w:szCs w:val="24"/>
        </w:rPr>
      </w:pPr>
      <w:r>
        <w:rPr>
          <w:rFonts w:ascii="宋体" w:hAnsi="宋体" w:eastAsia="宋体" w:cs="宋体"/>
          <w:spacing w:val="-2"/>
          <w:sz w:val="24"/>
          <w:szCs w:val="24"/>
        </w:rPr>
        <w:t>加强对施工车辆的检修和维护，严禁使用超期服役和尾气超标的车辆。对施工期间</w:t>
      </w:r>
      <w:r>
        <w:rPr>
          <w:rFonts w:ascii="宋体" w:hAnsi="宋体" w:eastAsia="宋体" w:cs="宋体"/>
          <w:spacing w:val="13"/>
          <w:sz w:val="24"/>
          <w:szCs w:val="24"/>
        </w:rPr>
        <w:t xml:space="preserve"> </w:t>
      </w:r>
      <w:r>
        <w:rPr>
          <w:rFonts w:ascii="宋体" w:hAnsi="宋体" w:eastAsia="宋体" w:cs="宋体"/>
          <w:spacing w:val="-1"/>
          <w:sz w:val="24"/>
          <w:szCs w:val="24"/>
        </w:rPr>
        <w:t>进出施工现场车流量进行合理安排，防止施</w:t>
      </w:r>
      <w:r>
        <w:rPr>
          <w:rFonts w:ascii="宋体" w:hAnsi="宋体" w:eastAsia="宋体" w:cs="宋体"/>
          <w:spacing w:val="-2"/>
          <w:sz w:val="24"/>
          <w:szCs w:val="24"/>
        </w:rPr>
        <w:t>工现场车流量过大。尽可能使用耗油低，排</w:t>
      </w:r>
      <w:r>
        <w:rPr>
          <w:rFonts w:ascii="宋体" w:hAnsi="宋体" w:eastAsia="宋体" w:cs="宋体"/>
          <w:sz w:val="24"/>
          <w:szCs w:val="24"/>
        </w:rPr>
        <w:t xml:space="preserve"> 气小的施工车辆，选用优质燃油，减少机械和车</w:t>
      </w:r>
      <w:r>
        <w:rPr>
          <w:rFonts w:ascii="宋体" w:hAnsi="宋体" w:eastAsia="宋体" w:cs="宋体"/>
          <w:spacing w:val="-1"/>
          <w:sz w:val="24"/>
          <w:szCs w:val="24"/>
        </w:rPr>
        <w:t>辆的有害废气排放。</w:t>
      </w:r>
    </w:p>
    <w:p w14:paraId="7FE31E03">
      <w:pPr>
        <w:spacing w:before="44" w:line="221" w:lineRule="auto"/>
        <w:ind w:left="11"/>
        <w:outlineLvl w:val="2"/>
        <w:rPr>
          <w:rFonts w:ascii="黑体" w:hAnsi="黑体" w:eastAsia="黑体" w:cs="黑体"/>
          <w:sz w:val="30"/>
          <w:szCs w:val="30"/>
        </w:rPr>
      </w:pPr>
      <w:bookmarkStart w:id="463" w:name="bookmark394"/>
      <w:bookmarkEnd w:id="463"/>
      <w:r>
        <w:rPr>
          <w:rFonts w:ascii="Times New Roman" w:hAnsi="Times New Roman" w:eastAsia="Times New Roman" w:cs="Times New Roman"/>
          <w:spacing w:val="-1"/>
          <w:sz w:val="30"/>
          <w:szCs w:val="30"/>
        </w:rPr>
        <w:t xml:space="preserve">6.8.2 </w:t>
      </w:r>
      <w:r>
        <w:rPr>
          <w:rFonts w:ascii="黑体" w:hAnsi="黑体" w:eastAsia="黑体" w:cs="黑体"/>
          <w:spacing w:val="-1"/>
          <w:sz w:val="30"/>
          <w:szCs w:val="30"/>
        </w:rPr>
        <w:t>废水防治措施分析</w:t>
      </w:r>
    </w:p>
    <w:p w14:paraId="33EEF2B8">
      <w:pPr>
        <w:spacing w:before="214" w:line="345" w:lineRule="auto"/>
        <w:ind w:left="8" w:right="1" w:firstLine="479"/>
        <w:rPr>
          <w:rFonts w:ascii="宋体" w:hAnsi="宋体" w:eastAsia="宋体" w:cs="宋体"/>
          <w:sz w:val="24"/>
          <w:szCs w:val="24"/>
        </w:rPr>
      </w:pPr>
      <w:r>
        <w:rPr>
          <w:rFonts w:ascii="宋体" w:hAnsi="宋体" w:eastAsia="宋体" w:cs="宋体"/>
          <w:spacing w:val="-2"/>
          <w:sz w:val="24"/>
          <w:szCs w:val="24"/>
        </w:rPr>
        <w:t>施工期由于施工人员多，生活用水量较大。同时为了防止建筑施工对周围地下水体</w:t>
      </w:r>
      <w:r>
        <w:rPr>
          <w:rFonts w:ascii="宋体" w:hAnsi="宋体" w:eastAsia="宋体" w:cs="宋体"/>
          <w:spacing w:val="14"/>
          <w:sz w:val="24"/>
          <w:szCs w:val="24"/>
        </w:rPr>
        <w:t xml:space="preserve"> </w:t>
      </w:r>
      <w:r>
        <w:rPr>
          <w:rFonts w:ascii="宋体" w:hAnsi="宋体" w:eastAsia="宋体" w:cs="宋体"/>
          <w:sz w:val="24"/>
          <w:szCs w:val="24"/>
        </w:rPr>
        <w:t>产生的石油类等的污染，建设单位应与施工单位密</w:t>
      </w:r>
      <w:r>
        <w:rPr>
          <w:rFonts w:ascii="宋体" w:hAnsi="宋体" w:eastAsia="宋体" w:cs="宋体"/>
          <w:spacing w:val="-1"/>
          <w:sz w:val="24"/>
          <w:szCs w:val="24"/>
        </w:rPr>
        <w:t>切配合，采取以下措施：</w:t>
      </w:r>
    </w:p>
    <w:p w14:paraId="08642469">
      <w:pPr>
        <w:spacing w:before="35"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）定期清洁建筑施工机械表面不必要的润滑油及其它油废，并妥善处置；</w:t>
      </w:r>
    </w:p>
    <w:p w14:paraId="2CE5FD95">
      <w:pPr>
        <w:spacing w:before="184"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）加强施工机械设备维修保养，避免施工过程中燃料油的跑、冒、滴、漏；</w:t>
      </w:r>
    </w:p>
    <w:p w14:paraId="1ED48D31">
      <w:pPr>
        <w:spacing w:before="182"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）施工时产生的泥浆水未经处理不得随意排放，不得污染现场及周围环境；</w:t>
      </w:r>
    </w:p>
    <w:p w14:paraId="3F80BFA7">
      <w:pPr>
        <w:spacing w:before="182" w:line="290" w:lineRule="auto"/>
        <w:ind w:left="8" w:right="59" w:firstLine="491"/>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4</w:t>
      </w:r>
      <w:r>
        <w:rPr>
          <w:rFonts w:ascii="宋体" w:hAnsi="宋体" w:eastAsia="宋体" w:cs="宋体"/>
          <w:sz w:val="24"/>
          <w:szCs w:val="24"/>
        </w:rPr>
        <w:t>）不得随意在施工区域内冲洗汽车，对施工机械进行检修</w:t>
      </w:r>
      <w:r>
        <w:rPr>
          <w:rFonts w:ascii="宋体" w:hAnsi="宋体" w:eastAsia="宋体" w:cs="宋体"/>
          <w:spacing w:val="-1"/>
          <w:sz w:val="24"/>
          <w:szCs w:val="24"/>
        </w:rPr>
        <w:t>和清洗时必须定点，</w:t>
      </w:r>
      <w:r>
        <w:rPr>
          <w:rFonts w:ascii="宋体" w:hAnsi="宋体" w:eastAsia="宋体" w:cs="宋体"/>
          <w:sz w:val="24"/>
          <w:szCs w:val="24"/>
        </w:rPr>
        <w:t xml:space="preserve"> </w:t>
      </w:r>
      <w:r>
        <w:rPr>
          <w:rFonts w:ascii="宋体" w:hAnsi="宋体" w:eastAsia="宋体" w:cs="宋体"/>
          <w:spacing w:val="-1"/>
          <w:sz w:val="24"/>
          <w:szCs w:val="24"/>
        </w:rPr>
        <w:t>检修和清洗场地必须经水泥硬化；</w:t>
      </w:r>
    </w:p>
    <w:p w14:paraId="176B14A6">
      <w:pPr>
        <w:spacing w:before="179" w:line="219" w:lineRule="auto"/>
        <w:ind w:left="49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）施工人员生活废水采用移动厕所进行处理。</w:t>
      </w:r>
    </w:p>
    <w:p w14:paraId="24DE4784">
      <w:pPr>
        <w:spacing w:line="219" w:lineRule="auto"/>
        <w:rPr>
          <w:rFonts w:ascii="宋体" w:hAnsi="宋体" w:eastAsia="宋体" w:cs="宋体"/>
          <w:sz w:val="24"/>
          <w:szCs w:val="24"/>
        </w:rPr>
        <w:sectPr>
          <w:footerReference r:id="rId478" w:type="default"/>
          <w:pgSz w:w="11906" w:h="16839"/>
          <w:pgMar w:top="1190" w:right="1416" w:bottom="1221" w:left="1417" w:header="882" w:footer="1059" w:gutter="0"/>
          <w:cols w:space="720" w:num="1"/>
        </w:sectPr>
      </w:pPr>
    </w:p>
    <w:p w14:paraId="4691C343">
      <w:pPr>
        <w:spacing w:line="28" w:lineRule="exact"/>
      </w:pPr>
      <w:r>
        <w:pict>
          <v:shape id="_x0000_s3081" o:spid="_x0000_s3081" style="height:1.45pt;width:453.65pt;" fillcolor="#000000" filled="t" stroked="f" coordsize="9072,29" path="m0,0l9072,0,9072,28,0,28,0,0xe">
            <v:path/>
            <v:fill on="t" focussize="0,0"/>
            <v:stroke on="f"/>
            <v:imagedata o:title=""/>
            <o:lock v:ext="edit"/>
            <w10:wrap type="none"/>
            <w10:anchorlock/>
          </v:shape>
        </w:pict>
      </w:r>
    </w:p>
    <w:p w14:paraId="20217246">
      <w:pPr>
        <w:spacing w:before="241" w:line="221" w:lineRule="auto"/>
        <w:ind w:left="11"/>
        <w:outlineLvl w:val="2"/>
        <w:rPr>
          <w:rFonts w:ascii="黑体" w:hAnsi="黑体" w:eastAsia="黑体" w:cs="黑体"/>
          <w:sz w:val="30"/>
          <w:szCs w:val="30"/>
        </w:rPr>
      </w:pPr>
      <w:bookmarkStart w:id="464" w:name="bookmark396"/>
      <w:bookmarkEnd w:id="464"/>
      <w:r>
        <w:rPr>
          <w:rFonts w:ascii="Times New Roman" w:hAnsi="Times New Roman" w:eastAsia="Times New Roman" w:cs="Times New Roman"/>
          <w:spacing w:val="-1"/>
          <w:sz w:val="30"/>
          <w:szCs w:val="30"/>
        </w:rPr>
        <w:t xml:space="preserve">6.8.3 </w:t>
      </w:r>
      <w:r>
        <w:rPr>
          <w:rFonts w:ascii="黑体" w:hAnsi="黑体" w:eastAsia="黑体" w:cs="黑体"/>
          <w:spacing w:val="-1"/>
          <w:sz w:val="30"/>
          <w:szCs w:val="30"/>
        </w:rPr>
        <w:t>噪声防治措施分析</w:t>
      </w:r>
    </w:p>
    <w:p w14:paraId="65163F96">
      <w:pPr>
        <w:spacing w:before="217" w:line="312" w:lineRule="auto"/>
        <w:ind w:left="7" w:right="61"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）制订施工计划时应避免同时使用大量高噪声设备施工，除此之外，高噪声机</w:t>
      </w:r>
      <w:r>
        <w:rPr>
          <w:rFonts w:ascii="宋体" w:hAnsi="宋体" w:eastAsia="宋体" w:cs="宋体"/>
          <w:spacing w:val="13"/>
          <w:sz w:val="24"/>
          <w:szCs w:val="24"/>
        </w:rPr>
        <w:t xml:space="preserve"> </w:t>
      </w:r>
      <w:r>
        <w:rPr>
          <w:rFonts w:ascii="宋体" w:hAnsi="宋体" w:eastAsia="宋体" w:cs="宋体"/>
          <w:spacing w:val="-2"/>
          <w:sz w:val="24"/>
          <w:szCs w:val="24"/>
        </w:rPr>
        <w:t>械施工时间要安排在日间，减少夜间施工量，禁止夜间打桩及限制车辆运输，白天车辆</w:t>
      </w:r>
      <w:r>
        <w:rPr>
          <w:rFonts w:ascii="宋体" w:hAnsi="宋体" w:eastAsia="宋体" w:cs="宋体"/>
          <w:spacing w:val="18"/>
          <w:sz w:val="24"/>
          <w:szCs w:val="24"/>
        </w:rPr>
        <w:t xml:space="preserve"> </w:t>
      </w:r>
      <w:r>
        <w:rPr>
          <w:rFonts w:ascii="宋体" w:hAnsi="宋体" w:eastAsia="宋体" w:cs="宋体"/>
          <w:spacing w:val="-1"/>
          <w:sz w:val="24"/>
          <w:szCs w:val="24"/>
        </w:rPr>
        <w:t>经过城区时，尽量不鸣喇叭。</w:t>
      </w:r>
    </w:p>
    <w:p w14:paraId="119DBDBC">
      <w:pPr>
        <w:spacing w:before="180" w:line="290" w:lineRule="auto"/>
        <w:ind w:left="10" w:right="61" w:firstLine="48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）避免在同一施工地点同时安排大量动力机械设备，以避免局部声级过高。在</w:t>
      </w:r>
      <w:r>
        <w:rPr>
          <w:rFonts w:ascii="宋体" w:hAnsi="宋体" w:eastAsia="宋体" w:cs="宋体"/>
          <w:spacing w:val="13"/>
          <w:sz w:val="24"/>
          <w:szCs w:val="24"/>
        </w:rPr>
        <w:t xml:space="preserve"> </w:t>
      </w:r>
      <w:r>
        <w:rPr>
          <w:rFonts w:ascii="宋体" w:hAnsi="宋体" w:eastAsia="宋体" w:cs="宋体"/>
          <w:spacing w:val="-1"/>
          <w:sz w:val="24"/>
          <w:szCs w:val="24"/>
        </w:rPr>
        <w:t>条件允许时应尽量使高噪声设备远离声敏感区域。</w:t>
      </w:r>
    </w:p>
    <w:p w14:paraId="47A0FFD6">
      <w:pPr>
        <w:spacing w:before="183" w:line="331" w:lineRule="auto"/>
        <w:ind w:left="7" w:right="61"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）设备选型上应采用低噪声设备，如液压机械代替燃油机械，振捣器采用高频</w:t>
      </w:r>
      <w:r>
        <w:rPr>
          <w:rFonts w:ascii="宋体" w:hAnsi="宋体" w:eastAsia="宋体" w:cs="宋体"/>
          <w:spacing w:val="13"/>
          <w:sz w:val="24"/>
          <w:szCs w:val="24"/>
        </w:rPr>
        <w:t xml:space="preserve"> </w:t>
      </w:r>
      <w:r>
        <w:rPr>
          <w:rFonts w:ascii="宋体" w:hAnsi="宋体" w:eastAsia="宋体" w:cs="宋体"/>
          <w:spacing w:val="1"/>
          <w:sz w:val="24"/>
          <w:szCs w:val="24"/>
        </w:rPr>
        <w:t>振捣器等。固定机械设备与挖土、运土机械</w:t>
      </w:r>
      <w:r>
        <w:rPr>
          <w:rFonts w:ascii="Times New Roman" w:hAnsi="Times New Roman" w:eastAsia="Times New Roman" w:cs="Times New Roman"/>
          <w:spacing w:val="1"/>
          <w:sz w:val="24"/>
          <w:szCs w:val="24"/>
        </w:rPr>
        <w:t>(</w:t>
      </w:r>
      <w:r>
        <w:rPr>
          <w:rFonts w:ascii="宋体" w:hAnsi="宋体" w:eastAsia="宋体" w:cs="宋体"/>
          <w:spacing w:val="1"/>
          <w:sz w:val="24"/>
          <w:szCs w:val="24"/>
        </w:rPr>
        <w:t>如挖</w:t>
      </w:r>
      <w:r>
        <w:rPr>
          <w:rFonts w:ascii="宋体" w:hAnsi="宋体" w:eastAsia="宋体" w:cs="宋体"/>
          <w:sz w:val="24"/>
          <w:szCs w:val="24"/>
        </w:rPr>
        <w:t>土机、推土机等</w:t>
      </w:r>
      <w:r>
        <w:rPr>
          <w:rFonts w:ascii="Times New Roman" w:hAnsi="Times New Roman" w:eastAsia="Times New Roman" w:cs="Times New Roman"/>
          <w:sz w:val="24"/>
          <w:szCs w:val="24"/>
        </w:rPr>
        <w:t>)</w:t>
      </w:r>
      <w:r>
        <w:rPr>
          <w:rFonts w:ascii="宋体" w:hAnsi="宋体" w:eastAsia="宋体" w:cs="宋体"/>
          <w:sz w:val="24"/>
          <w:szCs w:val="24"/>
        </w:rPr>
        <w:t xml:space="preserve">可通过排气管消声器 </w:t>
      </w:r>
      <w:r>
        <w:rPr>
          <w:rFonts w:ascii="宋体" w:hAnsi="宋体" w:eastAsia="宋体" w:cs="宋体"/>
          <w:spacing w:val="-2"/>
          <w:sz w:val="24"/>
          <w:szCs w:val="24"/>
        </w:rPr>
        <w:t>和隔离发动机振动部件的方法降低噪声；设备常因松动部件的振动或消声器的损坏而增</w:t>
      </w:r>
      <w:r>
        <w:rPr>
          <w:rFonts w:ascii="宋体" w:hAnsi="宋体" w:eastAsia="宋体" w:cs="宋体"/>
          <w:spacing w:val="18"/>
          <w:sz w:val="24"/>
          <w:szCs w:val="24"/>
        </w:rPr>
        <w:t xml:space="preserve"> </w:t>
      </w:r>
      <w:r>
        <w:rPr>
          <w:rFonts w:ascii="宋体" w:hAnsi="宋体" w:eastAsia="宋体" w:cs="宋体"/>
          <w:spacing w:val="-2"/>
          <w:sz w:val="24"/>
          <w:szCs w:val="24"/>
        </w:rPr>
        <w:t>加其工作时的噪声级。对动力机械设备进行定期的维修、养护。运输车辆进入现场应减</w:t>
      </w:r>
      <w:r>
        <w:rPr>
          <w:rFonts w:ascii="宋体" w:hAnsi="宋体" w:eastAsia="宋体" w:cs="宋体"/>
          <w:spacing w:val="18"/>
          <w:sz w:val="24"/>
          <w:szCs w:val="24"/>
        </w:rPr>
        <w:t xml:space="preserve"> </w:t>
      </w:r>
      <w:r>
        <w:rPr>
          <w:rFonts w:ascii="宋体" w:hAnsi="宋体" w:eastAsia="宋体" w:cs="宋体"/>
          <w:spacing w:val="-2"/>
          <w:sz w:val="24"/>
          <w:szCs w:val="24"/>
        </w:rPr>
        <w:t>速，并减少鸣笛。</w:t>
      </w:r>
    </w:p>
    <w:p w14:paraId="4B5EF071">
      <w:pPr>
        <w:spacing w:before="181" w:line="290" w:lineRule="auto"/>
        <w:ind w:left="11" w:right="61" w:firstLine="488"/>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）尽量少用哨子、笛等指挥作业，代之以现代化通讯设备，按规程操作机械设</w:t>
      </w:r>
      <w:r>
        <w:rPr>
          <w:rFonts w:ascii="宋体" w:hAnsi="宋体" w:eastAsia="宋体" w:cs="宋体"/>
          <w:spacing w:val="13"/>
          <w:sz w:val="24"/>
          <w:szCs w:val="24"/>
        </w:rPr>
        <w:t xml:space="preserve"> </w:t>
      </w:r>
      <w:r>
        <w:rPr>
          <w:rFonts w:ascii="宋体" w:hAnsi="宋体" w:eastAsia="宋体" w:cs="宋体"/>
          <w:spacing w:val="-2"/>
          <w:sz w:val="24"/>
          <w:szCs w:val="24"/>
        </w:rPr>
        <w:t>备，减少人为噪声。</w:t>
      </w:r>
    </w:p>
    <w:p w14:paraId="18647B66">
      <w:pPr>
        <w:spacing w:before="189" w:line="222" w:lineRule="auto"/>
        <w:ind w:left="11"/>
        <w:outlineLvl w:val="2"/>
        <w:rPr>
          <w:rFonts w:ascii="黑体" w:hAnsi="黑体" w:eastAsia="黑体" w:cs="黑体"/>
          <w:sz w:val="30"/>
          <w:szCs w:val="30"/>
        </w:rPr>
      </w:pPr>
      <w:bookmarkStart w:id="465" w:name="bookmark398"/>
      <w:bookmarkEnd w:id="465"/>
      <w:r>
        <w:rPr>
          <w:rFonts w:ascii="Times New Roman" w:hAnsi="Times New Roman" w:eastAsia="Times New Roman" w:cs="Times New Roman"/>
          <w:spacing w:val="-3"/>
          <w:sz w:val="30"/>
          <w:szCs w:val="30"/>
        </w:rPr>
        <w:t>6.8.4</w:t>
      </w:r>
      <w:r>
        <w:rPr>
          <w:rFonts w:ascii="Times New Roman" w:hAnsi="Times New Roman" w:eastAsia="Times New Roman" w:cs="Times New Roman"/>
          <w:spacing w:val="32"/>
          <w:w w:val="101"/>
          <w:sz w:val="30"/>
          <w:szCs w:val="30"/>
        </w:rPr>
        <w:t xml:space="preserve"> </w:t>
      </w:r>
      <w:r>
        <w:rPr>
          <w:rFonts w:ascii="黑体" w:hAnsi="黑体" w:eastAsia="黑体" w:cs="黑体"/>
          <w:spacing w:val="-3"/>
          <w:sz w:val="30"/>
          <w:szCs w:val="30"/>
        </w:rPr>
        <w:t>固体废物处置措施分析</w:t>
      </w:r>
    </w:p>
    <w:p w14:paraId="1C67F14E">
      <w:pPr>
        <w:spacing w:before="212" w:line="290" w:lineRule="auto"/>
        <w:ind w:left="9" w:right="61"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）根据施工产生的工程垃圾和渣土的量，分类管理，可利用的渣土尽量在场内</w:t>
      </w:r>
      <w:r>
        <w:rPr>
          <w:rFonts w:ascii="宋体" w:hAnsi="宋体" w:eastAsia="宋体" w:cs="宋体"/>
          <w:spacing w:val="13"/>
          <w:sz w:val="24"/>
          <w:szCs w:val="24"/>
        </w:rPr>
        <w:t xml:space="preserve"> </w:t>
      </w:r>
      <w:r>
        <w:rPr>
          <w:rFonts w:ascii="宋体" w:hAnsi="宋体" w:eastAsia="宋体" w:cs="宋体"/>
          <w:spacing w:val="-1"/>
          <w:sz w:val="24"/>
          <w:szCs w:val="24"/>
        </w:rPr>
        <w:t>周转，就地利用，以防污染周围水体水质和影响周围环境卫生；</w:t>
      </w:r>
    </w:p>
    <w:p w14:paraId="3C49A358">
      <w:pPr>
        <w:spacing w:before="180" w:line="290" w:lineRule="auto"/>
        <w:ind w:left="9" w:right="61"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）车辆运输散体物料和废弃物时，必须密闭、包扎、覆盖，不得沿途漏撒；运</w:t>
      </w:r>
      <w:r>
        <w:rPr>
          <w:rFonts w:ascii="宋体" w:hAnsi="宋体" w:eastAsia="宋体" w:cs="宋体"/>
          <w:spacing w:val="13"/>
          <w:sz w:val="24"/>
          <w:szCs w:val="24"/>
        </w:rPr>
        <w:t xml:space="preserve"> </w:t>
      </w:r>
      <w:r>
        <w:rPr>
          <w:rFonts w:ascii="宋体" w:hAnsi="宋体" w:eastAsia="宋体" w:cs="宋体"/>
          <w:spacing w:val="-2"/>
          <w:sz w:val="24"/>
          <w:szCs w:val="24"/>
        </w:rPr>
        <w:t>载土方</w:t>
      </w:r>
      <w:r>
        <w:rPr>
          <w:rFonts w:ascii="Times New Roman" w:hAnsi="Times New Roman" w:eastAsia="Times New Roman" w:cs="Times New Roman"/>
          <w:spacing w:val="-2"/>
          <w:sz w:val="24"/>
          <w:szCs w:val="24"/>
        </w:rPr>
        <w:t>.</w:t>
      </w:r>
      <w:r>
        <w:rPr>
          <w:rFonts w:ascii="Times New Roman" w:hAnsi="Times New Roman" w:eastAsia="Times New Roman" w:cs="Times New Roman"/>
          <w:spacing w:val="-24"/>
          <w:sz w:val="24"/>
          <w:szCs w:val="24"/>
        </w:rPr>
        <w:t xml:space="preserve"> </w:t>
      </w:r>
      <w:r>
        <w:rPr>
          <w:rFonts w:ascii="宋体" w:hAnsi="宋体" w:eastAsia="宋体" w:cs="宋体"/>
          <w:spacing w:val="-2"/>
          <w:sz w:val="24"/>
          <w:szCs w:val="24"/>
        </w:rPr>
        <w:t>的车辆必须在规定时间内，按指定路段行驶；</w:t>
      </w:r>
    </w:p>
    <w:p w14:paraId="178BD7DA">
      <w:pPr>
        <w:spacing w:before="182" w:line="312" w:lineRule="auto"/>
        <w:ind w:left="8" w:right="53"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）生活垃圾与建筑垃圾分开，生活垃圾收集依托原有工程集中收集设施，以免</w:t>
      </w:r>
      <w:r>
        <w:rPr>
          <w:rFonts w:ascii="宋体" w:hAnsi="宋体" w:eastAsia="宋体" w:cs="宋体"/>
          <w:spacing w:val="13"/>
          <w:sz w:val="24"/>
          <w:szCs w:val="24"/>
        </w:rPr>
        <w:t xml:space="preserve"> </w:t>
      </w:r>
      <w:r>
        <w:rPr>
          <w:rFonts w:ascii="宋体" w:hAnsi="宋体" w:eastAsia="宋体" w:cs="宋体"/>
          <w:spacing w:val="-2"/>
          <w:sz w:val="24"/>
          <w:szCs w:val="24"/>
        </w:rPr>
        <w:t>污染环境。将生活垃圾收集后，应及时由环卫部门分类进行消纳处理；餐厨垃圾统一收</w:t>
      </w:r>
      <w:r>
        <w:rPr>
          <w:rFonts w:ascii="宋体" w:hAnsi="宋体" w:eastAsia="宋体" w:cs="宋体"/>
          <w:spacing w:val="17"/>
          <w:sz w:val="24"/>
          <w:szCs w:val="24"/>
        </w:rPr>
        <w:t xml:space="preserve"> </w:t>
      </w:r>
      <w:r>
        <w:rPr>
          <w:rFonts w:ascii="宋体" w:hAnsi="宋体" w:eastAsia="宋体" w:cs="宋体"/>
          <w:spacing w:val="-1"/>
          <w:sz w:val="24"/>
          <w:szCs w:val="24"/>
        </w:rPr>
        <w:t>集至带盖的垃圾桶内，交给专门的餐厨垃圾收运单位运至</w:t>
      </w:r>
      <w:r>
        <w:rPr>
          <w:rFonts w:ascii="宋体" w:hAnsi="宋体" w:eastAsia="宋体" w:cs="宋体"/>
          <w:spacing w:val="-2"/>
          <w:sz w:val="24"/>
          <w:szCs w:val="24"/>
        </w:rPr>
        <w:t>餐厨垃圾处理场所进行处理。</w:t>
      </w:r>
    </w:p>
    <w:p w14:paraId="1C181D10">
      <w:pPr>
        <w:spacing w:before="184" w:line="288" w:lineRule="auto"/>
        <w:ind w:left="8" w:right="61"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）在工程竣工以后，施工单位应立即拆除各种临时施工设施，并负责将工地的</w:t>
      </w:r>
      <w:r>
        <w:rPr>
          <w:rFonts w:ascii="宋体" w:hAnsi="宋体" w:eastAsia="宋体" w:cs="宋体"/>
          <w:spacing w:val="13"/>
          <w:sz w:val="24"/>
          <w:szCs w:val="24"/>
        </w:rPr>
        <w:t xml:space="preserve"> </w:t>
      </w:r>
      <w:r>
        <w:rPr>
          <w:rFonts w:ascii="宋体" w:hAnsi="宋体" w:eastAsia="宋体" w:cs="宋体"/>
          <w:spacing w:val="-1"/>
          <w:sz w:val="24"/>
          <w:szCs w:val="24"/>
        </w:rPr>
        <w:t>剩余建筑垃圾、工程渣土处理干净。</w:t>
      </w:r>
    </w:p>
    <w:p w14:paraId="73EDAFB9">
      <w:pPr>
        <w:spacing w:before="197" w:line="227" w:lineRule="auto"/>
        <w:ind w:left="12"/>
        <w:outlineLvl w:val="1"/>
        <w:rPr>
          <w:rFonts w:ascii="黑体" w:hAnsi="黑体" w:eastAsia="黑体" w:cs="黑体"/>
          <w:sz w:val="31"/>
          <w:szCs w:val="31"/>
        </w:rPr>
      </w:pPr>
      <w:bookmarkStart w:id="466" w:name="bookmark400"/>
      <w:bookmarkEnd w:id="466"/>
      <w:r>
        <w:rPr>
          <w:rFonts w:ascii="Times New Roman" w:hAnsi="Times New Roman" w:eastAsia="Times New Roman" w:cs="Times New Roman"/>
          <w:spacing w:val="5"/>
          <w:sz w:val="31"/>
          <w:szCs w:val="31"/>
        </w:rPr>
        <w:t xml:space="preserve">6.9 </w:t>
      </w:r>
      <w:r>
        <w:rPr>
          <w:rFonts w:ascii="黑体" w:hAnsi="黑体" w:eastAsia="黑体" w:cs="黑体"/>
          <w:spacing w:val="5"/>
          <w:sz w:val="31"/>
          <w:szCs w:val="31"/>
        </w:rPr>
        <w:t>环境管理</w:t>
      </w:r>
    </w:p>
    <w:p w14:paraId="10CE3690">
      <w:pPr>
        <w:spacing w:before="228" w:line="354" w:lineRule="auto"/>
        <w:ind w:left="8" w:firstLine="480"/>
        <w:rPr>
          <w:rFonts w:ascii="宋体" w:hAnsi="宋体" w:eastAsia="宋体" w:cs="宋体"/>
          <w:sz w:val="24"/>
          <w:szCs w:val="24"/>
        </w:rPr>
      </w:pPr>
      <w:r>
        <w:rPr>
          <w:rFonts w:ascii="宋体" w:hAnsi="宋体" w:eastAsia="宋体" w:cs="宋体"/>
          <w:sz w:val="24"/>
          <w:szCs w:val="24"/>
        </w:rPr>
        <w:t>环境管理是减少污染物排放最直接、最经济的有效手段，通过科学、规范的管理，</w:t>
      </w:r>
      <w:r>
        <w:rPr>
          <w:rFonts w:ascii="宋体" w:hAnsi="宋体" w:eastAsia="宋体" w:cs="宋体"/>
          <w:spacing w:val="3"/>
          <w:sz w:val="24"/>
          <w:szCs w:val="24"/>
        </w:rPr>
        <w:t xml:space="preserve"> </w:t>
      </w:r>
      <w:r>
        <w:rPr>
          <w:rFonts w:ascii="宋体" w:hAnsi="宋体" w:eastAsia="宋体" w:cs="宋体"/>
          <w:spacing w:val="-2"/>
          <w:sz w:val="24"/>
          <w:szCs w:val="24"/>
        </w:rPr>
        <w:t>可以大大减轻污染并降低事故发生的机率，因此，应当将管理贯彻到工程建设生产的全</w:t>
      </w:r>
      <w:r>
        <w:rPr>
          <w:rFonts w:ascii="宋体" w:hAnsi="宋体" w:eastAsia="宋体" w:cs="宋体"/>
          <w:spacing w:val="17"/>
          <w:sz w:val="24"/>
          <w:szCs w:val="24"/>
        </w:rPr>
        <w:t xml:space="preserve"> </w:t>
      </w:r>
      <w:r>
        <w:rPr>
          <w:rFonts w:ascii="宋体" w:hAnsi="宋体" w:eastAsia="宋体" w:cs="宋体"/>
          <w:sz w:val="24"/>
          <w:szCs w:val="24"/>
        </w:rPr>
        <w:t>过程，环境管理人员应当切实搞好环境保护工作，加强环保措施的检查、监督和管理，</w:t>
      </w:r>
      <w:r>
        <w:rPr>
          <w:rFonts w:ascii="宋体" w:hAnsi="宋体" w:eastAsia="宋体" w:cs="宋体"/>
          <w:spacing w:val="3"/>
          <w:sz w:val="24"/>
          <w:szCs w:val="24"/>
        </w:rPr>
        <w:t xml:space="preserve"> </w:t>
      </w:r>
      <w:r>
        <w:rPr>
          <w:rFonts w:ascii="宋体" w:hAnsi="宋体" w:eastAsia="宋体" w:cs="宋体"/>
          <w:spacing w:val="-6"/>
          <w:sz w:val="24"/>
          <w:szCs w:val="24"/>
        </w:rPr>
        <w:t>加强环保设备的维修，污染治理岗位应配备高素质人员，使各项治理设施正常稳定</w:t>
      </w:r>
      <w:r>
        <w:rPr>
          <w:rFonts w:ascii="宋体" w:hAnsi="宋体" w:eastAsia="宋体" w:cs="宋体"/>
          <w:spacing w:val="-7"/>
          <w:sz w:val="24"/>
          <w:szCs w:val="24"/>
        </w:rPr>
        <w:t>运转，</w:t>
      </w:r>
      <w:r>
        <w:rPr>
          <w:rFonts w:ascii="宋体" w:hAnsi="宋体" w:eastAsia="宋体" w:cs="宋体"/>
          <w:sz w:val="24"/>
          <w:szCs w:val="24"/>
        </w:rPr>
        <w:t xml:space="preserve"> </w:t>
      </w:r>
      <w:r>
        <w:rPr>
          <w:rFonts w:ascii="宋体" w:hAnsi="宋体" w:eastAsia="宋体" w:cs="宋体"/>
          <w:spacing w:val="-1"/>
          <w:sz w:val="24"/>
          <w:szCs w:val="24"/>
        </w:rPr>
        <w:t>建议建设方应加强管理，制订严格的环保管理制度。</w:t>
      </w:r>
    </w:p>
    <w:p w14:paraId="4D4EB25A">
      <w:pPr>
        <w:spacing w:line="354" w:lineRule="auto"/>
        <w:rPr>
          <w:rFonts w:ascii="宋体" w:hAnsi="宋体" w:eastAsia="宋体" w:cs="宋体"/>
          <w:sz w:val="24"/>
          <w:szCs w:val="24"/>
        </w:rPr>
        <w:sectPr>
          <w:headerReference r:id="rId479" w:type="default"/>
          <w:footerReference r:id="rId480" w:type="default"/>
          <w:pgSz w:w="11906" w:h="16839"/>
          <w:pgMar w:top="1190" w:right="1356" w:bottom="1221" w:left="1417" w:header="882" w:footer="1059" w:gutter="0"/>
          <w:cols w:space="720" w:num="1"/>
        </w:sectPr>
      </w:pPr>
    </w:p>
    <w:p w14:paraId="5568F40F">
      <w:pPr>
        <w:spacing w:line="28" w:lineRule="exact"/>
        <w:ind w:firstLine="10"/>
      </w:pPr>
      <w:r>
        <w:pict>
          <v:shape id="_x0000_s3082" o:spid="_x0000_s3082" style="height:1.45pt;width:700.25pt;" fillcolor="#000000" filled="t" stroked="f" coordsize="14005,29" path="m0,0l14004,0,14004,28,0,28,0,0xe">
            <v:path/>
            <v:fill on="t" focussize="0,0"/>
            <v:stroke on="f"/>
            <v:imagedata o:title=""/>
            <o:lock v:ext="edit"/>
            <w10:wrap type="none"/>
            <w10:anchorlock/>
          </v:shape>
        </w:pict>
      </w:r>
    </w:p>
    <w:p w14:paraId="0EEF605C">
      <w:pPr>
        <w:spacing w:before="127" w:line="222" w:lineRule="auto"/>
        <w:ind w:left="21"/>
        <w:outlineLvl w:val="1"/>
        <w:rPr>
          <w:rFonts w:ascii="黑体" w:hAnsi="黑体" w:eastAsia="黑体" w:cs="黑体"/>
          <w:sz w:val="30"/>
          <w:szCs w:val="30"/>
        </w:rPr>
      </w:pPr>
      <w:bookmarkStart w:id="467" w:name="bookmark402"/>
      <w:bookmarkEnd w:id="467"/>
      <w:r>
        <w:rPr>
          <w:rFonts w:ascii="Times New Roman" w:hAnsi="Times New Roman" w:eastAsia="Times New Roman" w:cs="Times New Roman"/>
          <w:spacing w:val="-4"/>
          <w:sz w:val="30"/>
          <w:szCs w:val="30"/>
        </w:rPr>
        <w:t>6.</w:t>
      </w:r>
      <w:r>
        <w:rPr>
          <w:rFonts w:ascii="Times New Roman" w:hAnsi="Times New Roman" w:eastAsia="Times New Roman" w:cs="Times New Roman"/>
          <w:spacing w:val="-37"/>
          <w:sz w:val="30"/>
          <w:szCs w:val="30"/>
        </w:rPr>
        <w:t xml:space="preserve"> </w:t>
      </w:r>
      <w:r>
        <w:rPr>
          <w:rFonts w:ascii="Times New Roman" w:hAnsi="Times New Roman" w:eastAsia="Times New Roman" w:cs="Times New Roman"/>
          <w:spacing w:val="-4"/>
          <w:sz w:val="30"/>
          <w:szCs w:val="30"/>
        </w:rPr>
        <w:t xml:space="preserve">10 </w:t>
      </w:r>
      <w:r>
        <w:rPr>
          <w:rFonts w:ascii="黑体" w:hAnsi="黑体" w:eastAsia="黑体" w:cs="黑体"/>
          <w:spacing w:val="-4"/>
          <w:sz w:val="30"/>
          <w:szCs w:val="30"/>
        </w:rPr>
        <w:t>环境保护措施汇总</w:t>
      </w:r>
    </w:p>
    <w:p w14:paraId="59302018">
      <w:pPr>
        <w:spacing w:before="214" w:line="219" w:lineRule="auto"/>
        <w:ind w:left="499"/>
        <w:rPr>
          <w:rFonts w:ascii="宋体" w:hAnsi="宋体" w:eastAsia="宋体" w:cs="宋体"/>
          <w:sz w:val="24"/>
          <w:szCs w:val="24"/>
        </w:rPr>
      </w:pPr>
      <w:r>
        <w:rPr>
          <w:rFonts w:ascii="宋体" w:hAnsi="宋体" w:eastAsia="宋体" w:cs="宋体"/>
          <w:spacing w:val="-3"/>
          <w:sz w:val="24"/>
          <w:szCs w:val="24"/>
        </w:rPr>
        <w:t>本项目生产建设总投资</w:t>
      </w:r>
      <w:r>
        <w:rPr>
          <w:rFonts w:ascii="宋体" w:hAnsi="宋体" w:eastAsia="宋体" w:cs="宋体"/>
          <w:spacing w:val="-30"/>
          <w:sz w:val="24"/>
          <w:szCs w:val="24"/>
        </w:rPr>
        <w:t xml:space="preserve"> </w:t>
      </w:r>
      <w:r>
        <w:rPr>
          <w:rFonts w:ascii="Times New Roman" w:hAnsi="Times New Roman" w:eastAsia="Times New Roman" w:cs="Times New Roman"/>
          <w:spacing w:val="-3"/>
          <w:sz w:val="24"/>
          <w:szCs w:val="24"/>
        </w:rPr>
        <w:t>120000</w:t>
      </w:r>
      <w:r>
        <w:rPr>
          <w:rFonts w:ascii="Times New Roman" w:hAnsi="Times New Roman" w:eastAsia="Times New Roman" w:cs="Times New Roman"/>
          <w:spacing w:val="15"/>
          <w:w w:val="101"/>
          <w:sz w:val="24"/>
          <w:szCs w:val="24"/>
        </w:rPr>
        <w:t xml:space="preserve"> </w:t>
      </w:r>
      <w:r>
        <w:rPr>
          <w:rFonts w:ascii="宋体" w:hAnsi="宋体" w:eastAsia="宋体" w:cs="宋体"/>
          <w:spacing w:val="-3"/>
          <w:sz w:val="24"/>
          <w:szCs w:val="24"/>
        </w:rPr>
        <w:t>万元，环保投资合计</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1075</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万元，</w:t>
      </w:r>
      <w:r>
        <w:rPr>
          <w:rFonts w:ascii="宋体" w:hAnsi="宋体" w:eastAsia="宋体" w:cs="宋体"/>
          <w:spacing w:val="-71"/>
          <w:sz w:val="24"/>
          <w:szCs w:val="24"/>
        </w:rPr>
        <w:t xml:space="preserve"> </w:t>
      </w:r>
      <w:r>
        <w:rPr>
          <w:rFonts w:ascii="宋体" w:hAnsi="宋体" w:eastAsia="宋体" w:cs="宋体"/>
          <w:spacing w:val="-3"/>
          <w:sz w:val="24"/>
          <w:szCs w:val="24"/>
        </w:rPr>
        <w:t>占总投资比例为</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0.896%</w:t>
      </w:r>
      <w:r>
        <w:rPr>
          <w:rFonts w:ascii="Times New Roman" w:hAnsi="Times New Roman" w:eastAsia="Times New Roman" w:cs="Times New Roman"/>
          <w:spacing w:val="-31"/>
          <w:sz w:val="24"/>
          <w:szCs w:val="24"/>
        </w:rPr>
        <w:t xml:space="preserve"> </w:t>
      </w:r>
      <w:r>
        <w:rPr>
          <w:rFonts w:ascii="宋体" w:hAnsi="宋体" w:eastAsia="宋体" w:cs="宋体"/>
          <w:spacing w:val="-3"/>
          <w:sz w:val="24"/>
          <w:szCs w:val="24"/>
        </w:rPr>
        <w:t>，环境保护措施及投资汇总见表</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6.10-1</w:t>
      </w:r>
      <w:r>
        <w:rPr>
          <w:rFonts w:ascii="宋体" w:hAnsi="宋体" w:eastAsia="宋体" w:cs="宋体"/>
          <w:spacing w:val="-3"/>
          <w:sz w:val="24"/>
          <w:szCs w:val="24"/>
        </w:rPr>
        <w:t>。</w:t>
      </w:r>
    </w:p>
    <w:p w14:paraId="1EDFE952">
      <w:pPr>
        <w:spacing w:before="301" w:line="228" w:lineRule="auto"/>
        <w:ind w:left="3981"/>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6"/>
          <w:sz w:val="20"/>
          <w:szCs w:val="20"/>
        </w:rPr>
        <w:t xml:space="preserve">6.10-1        </w:t>
      </w:r>
      <w:r>
        <w:rPr>
          <w:rFonts w:ascii="宋体" w:hAnsi="宋体" w:eastAsia="宋体" w:cs="宋体"/>
          <w:b/>
          <w:bCs/>
          <w:spacing w:val="6"/>
          <w:sz w:val="20"/>
          <w:szCs w:val="20"/>
        </w:rPr>
        <w:t>项目环境保护对策措施及验收一览表</w:t>
      </w:r>
      <w:r>
        <w:rPr>
          <w:rFonts w:ascii="宋体" w:hAnsi="宋体" w:eastAsia="宋体" w:cs="宋体"/>
          <w:spacing w:val="6"/>
          <w:sz w:val="20"/>
          <w:szCs w:val="20"/>
        </w:rPr>
        <w:t xml:space="preserve">    </w:t>
      </w:r>
      <w:r>
        <w:rPr>
          <w:rFonts w:ascii="宋体" w:hAnsi="宋体" w:eastAsia="宋体" w:cs="宋体"/>
          <w:b/>
          <w:bCs/>
          <w:spacing w:val="5"/>
          <w:sz w:val="20"/>
          <w:szCs w:val="20"/>
        </w:rPr>
        <w:t>单位：万元</w:t>
      </w:r>
    </w:p>
    <w:p w14:paraId="350EB90A">
      <w:pPr>
        <w:spacing w:line="120" w:lineRule="exact"/>
      </w:pPr>
    </w:p>
    <w:tbl>
      <w:tblPr>
        <w:tblStyle w:val="5"/>
        <w:tblW w:w="1402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65"/>
        <w:gridCol w:w="2771"/>
        <w:gridCol w:w="4012"/>
        <w:gridCol w:w="1391"/>
        <w:gridCol w:w="1599"/>
        <w:gridCol w:w="3085"/>
      </w:tblGrid>
      <w:tr w14:paraId="49B1A4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2" w:hRule="atLeast"/>
        </w:trPr>
        <w:tc>
          <w:tcPr>
            <w:tcW w:w="1165" w:type="dxa"/>
            <w:tcBorders>
              <w:top w:val="single" w:color="000000" w:sz="10" w:space="0"/>
              <w:left w:val="nil"/>
            </w:tcBorders>
            <w:vAlign w:val="top"/>
          </w:tcPr>
          <w:p w14:paraId="1656FDE6">
            <w:pPr>
              <w:pStyle w:val="6"/>
              <w:spacing w:before="35" w:line="218" w:lineRule="auto"/>
              <w:ind w:left="379"/>
              <w:rPr>
                <w:sz w:val="20"/>
                <w:szCs w:val="20"/>
              </w:rPr>
            </w:pPr>
            <w:r>
              <w:rPr>
                <w:spacing w:val="4"/>
                <w:sz w:val="20"/>
                <w:szCs w:val="20"/>
              </w:rPr>
              <w:t>类别</w:t>
            </w:r>
          </w:p>
        </w:tc>
        <w:tc>
          <w:tcPr>
            <w:tcW w:w="2771" w:type="dxa"/>
            <w:tcBorders>
              <w:top w:val="single" w:color="000000" w:sz="10" w:space="0"/>
            </w:tcBorders>
            <w:vAlign w:val="top"/>
          </w:tcPr>
          <w:p w14:paraId="295F6519">
            <w:pPr>
              <w:pStyle w:val="6"/>
              <w:spacing w:before="35" w:line="218" w:lineRule="auto"/>
              <w:ind w:left="1078"/>
              <w:rPr>
                <w:sz w:val="20"/>
                <w:szCs w:val="20"/>
              </w:rPr>
            </w:pPr>
            <w:r>
              <w:rPr>
                <w:spacing w:val="6"/>
                <w:sz w:val="20"/>
                <w:szCs w:val="20"/>
              </w:rPr>
              <w:t>污染源</w:t>
            </w:r>
          </w:p>
        </w:tc>
        <w:tc>
          <w:tcPr>
            <w:tcW w:w="4012" w:type="dxa"/>
            <w:tcBorders>
              <w:top w:val="single" w:color="000000" w:sz="10" w:space="0"/>
            </w:tcBorders>
            <w:vAlign w:val="top"/>
          </w:tcPr>
          <w:p w14:paraId="27B84C4B">
            <w:pPr>
              <w:pStyle w:val="6"/>
              <w:spacing w:before="35" w:line="218" w:lineRule="auto"/>
              <w:ind w:left="1276"/>
              <w:rPr>
                <w:sz w:val="20"/>
                <w:szCs w:val="20"/>
              </w:rPr>
            </w:pPr>
            <w:r>
              <w:rPr>
                <w:spacing w:val="8"/>
                <w:sz w:val="20"/>
                <w:szCs w:val="20"/>
              </w:rPr>
              <w:t>采取的处理措施</w:t>
            </w:r>
          </w:p>
        </w:tc>
        <w:tc>
          <w:tcPr>
            <w:tcW w:w="1391" w:type="dxa"/>
            <w:tcBorders>
              <w:top w:val="single" w:color="000000" w:sz="10" w:space="0"/>
            </w:tcBorders>
            <w:vAlign w:val="top"/>
          </w:tcPr>
          <w:p w14:paraId="5F02E776">
            <w:pPr>
              <w:pStyle w:val="6"/>
              <w:spacing w:before="35" w:line="218" w:lineRule="auto"/>
              <w:ind w:left="493"/>
              <w:outlineLvl w:val="2"/>
              <w:rPr>
                <w:sz w:val="20"/>
                <w:szCs w:val="20"/>
              </w:rPr>
            </w:pPr>
            <w:r>
              <w:rPr>
                <w:spacing w:val="3"/>
                <w:sz w:val="20"/>
                <w:szCs w:val="20"/>
              </w:rPr>
              <w:t>投资</w:t>
            </w:r>
          </w:p>
        </w:tc>
        <w:tc>
          <w:tcPr>
            <w:tcW w:w="1599" w:type="dxa"/>
            <w:tcBorders>
              <w:top w:val="single" w:color="000000" w:sz="10" w:space="0"/>
            </w:tcBorders>
            <w:vAlign w:val="top"/>
          </w:tcPr>
          <w:p w14:paraId="75F75F2E">
            <w:pPr>
              <w:pStyle w:val="6"/>
              <w:spacing w:before="35" w:line="218" w:lineRule="auto"/>
              <w:ind w:left="388"/>
              <w:rPr>
                <w:sz w:val="20"/>
                <w:szCs w:val="20"/>
              </w:rPr>
            </w:pPr>
            <w:r>
              <w:rPr>
                <w:spacing w:val="6"/>
                <w:sz w:val="20"/>
                <w:szCs w:val="20"/>
              </w:rPr>
              <w:t>净化效率</w:t>
            </w:r>
          </w:p>
        </w:tc>
        <w:tc>
          <w:tcPr>
            <w:tcW w:w="3085" w:type="dxa"/>
            <w:tcBorders>
              <w:top w:val="single" w:color="000000" w:sz="10" w:space="0"/>
              <w:right w:val="nil"/>
            </w:tcBorders>
            <w:vAlign w:val="top"/>
          </w:tcPr>
          <w:p w14:paraId="6511E8EA">
            <w:pPr>
              <w:pStyle w:val="6"/>
              <w:spacing w:before="35" w:line="218" w:lineRule="auto"/>
              <w:ind w:left="1128"/>
              <w:rPr>
                <w:sz w:val="20"/>
                <w:szCs w:val="20"/>
              </w:rPr>
            </w:pPr>
            <w:r>
              <w:rPr>
                <w:spacing w:val="7"/>
                <w:sz w:val="20"/>
                <w:szCs w:val="20"/>
              </w:rPr>
              <w:t>验收标准</w:t>
            </w:r>
          </w:p>
        </w:tc>
      </w:tr>
      <w:tr w14:paraId="00327D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2" w:hRule="atLeast"/>
        </w:trPr>
        <w:tc>
          <w:tcPr>
            <w:tcW w:w="1165" w:type="dxa"/>
            <w:vMerge w:val="restart"/>
            <w:tcBorders>
              <w:left w:val="nil"/>
              <w:bottom w:val="nil"/>
            </w:tcBorders>
            <w:vAlign w:val="top"/>
          </w:tcPr>
          <w:p w14:paraId="50F6624E">
            <w:pPr>
              <w:spacing w:line="255" w:lineRule="auto"/>
              <w:rPr>
                <w:rFonts w:ascii="Arial"/>
                <w:sz w:val="21"/>
              </w:rPr>
            </w:pPr>
          </w:p>
          <w:p w14:paraId="517A440B">
            <w:pPr>
              <w:spacing w:line="255" w:lineRule="auto"/>
              <w:rPr>
                <w:rFonts w:ascii="Arial"/>
                <w:sz w:val="21"/>
              </w:rPr>
            </w:pPr>
          </w:p>
          <w:p w14:paraId="2142EEAD">
            <w:pPr>
              <w:spacing w:line="255" w:lineRule="auto"/>
              <w:rPr>
                <w:rFonts w:ascii="Arial"/>
                <w:sz w:val="21"/>
              </w:rPr>
            </w:pPr>
          </w:p>
          <w:p w14:paraId="652F3D81">
            <w:pPr>
              <w:spacing w:line="255" w:lineRule="auto"/>
              <w:rPr>
                <w:rFonts w:ascii="Arial"/>
                <w:sz w:val="21"/>
              </w:rPr>
            </w:pPr>
          </w:p>
          <w:p w14:paraId="2F256C00">
            <w:pPr>
              <w:spacing w:line="256" w:lineRule="auto"/>
              <w:rPr>
                <w:rFonts w:ascii="Arial"/>
                <w:sz w:val="21"/>
              </w:rPr>
            </w:pPr>
          </w:p>
          <w:p w14:paraId="257B3626">
            <w:pPr>
              <w:spacing w:line="256" w:lineRule="auto"/>
              <w:rPr>
                <w:rFonts w:ascii="Arial"/>
                <w:sz w:val="21"/>
              </w:rPr>
            </w:pPr>
          </w:p>
          <w:p w14:paraId="60C46A18">
            <w:pPr>
              <w:spacing w:line="256" w:lineRule="auto"/>
              <w:rPr>
                <w:rFonts w:ascii="Arial"/>
                <w:sz w:val="21"/>
              </w:rPr>
            </w:pPr>
          </w:p>
          <w:p w14:paraId="296E0A6D">
            <w:pPr>
              <w:spacing w:line="256" w:lineRule="auto"/>
              <w:rPr>
                <w:rFonts w:ascii="Arial"/>
                <w:sz w:val="21"/>
              </w:rPr>
            </w:pPr>
          </w:p>
          <w:p w14:paraId="23803BCB">
            <w:pPr>
              <w:spacing w:line="256" w:lineRule="auto"/>
              <w:rPr>
                <w:rFonts w:ascii="Arial"/>
                <w:sz w:val="21"/>
              </w:rPr>
            </w:pPr>
          </w:p>
          <w:p w14:paraId="592DF524">
            <w:pPr>
              <w:spacing w:line="256" w:lineRule="auto"/>
              <w:rPr>
                <w:rFonts w:ascii="Arial"/>
                <w:sz w:val="21"/>
              </w:rPr>
            </w:pPr>
          </w:p>
          <w:p w14:paraId="1F863B8B">
            <w:pPr>
              <w:spacing w:line="256" w:lineRule="auto"/>
              <w:rPr>
                <w:rFonts w:ascii="Arial"/>
                <w:sz w:val="21"/>
              </w:rPr>
            </w:pPr>
          </w:p>
          <w:p w14:paraId="0DE40883">
            <w:pPr>
              <w:pStyle w:val="6"/>
              <w:spacing w:before="65" w:line="228" w:lineRule="auto"/>
              <w:ind w:left="378"/>
              <w:rPr>
                <w:sz w:val="20"/>
                <w:szCs w:val="20"/>
              </w:rPr>
            </w:pPr>
            <w:r>
              <w:rPr>
                <w:spacing w:val="5"/>
                <w:sz w:val="20"/>
                <w:szCs w:val="20"/>
              </w:rPr>
              <w:t>废气</w:t>
            </w:r>
          </w:p>
        </w:tc>
        <w:tc>
          <w:tcPr>
            <w:tcW w:w="2771" w:type="dxa"/>
            <w:vAlign w:val="top"/>
          </w:tcPr>
          <w:p w14:paraId="653B24DE">
            <w:pPr>
              <w:pStyle w:val="6"/>
              <w:spacing w:before="69" w:line="227" w:lineRule="auto"/>
              <w:ind w:left="236"/>
              <w:rPr>
                <w:sz w:val="20"/>
                <w:szCs w:val="20"/>
              </w:rPr>
            </w:pPr>
            <w:r>
              <w:rPr>
                <w:spacing w:val="9"/>
                <w:sz w:val="20"/>
                <w:szCs w:val="20"/>
              </w:rPr>
              <w:t>焦炭烘干、筛分出料废气</w:t>
            </w:r>
          </w:p>
        </w:tc>
        <w:tc>
          <w:tcPr>
            <w:tcW w:w="4012" w:type="dxa"/>
            <w:vAlign w:val="top"/>
          </w:tcPr>
          <w:p w14:paraId="251E85B3">
            <w:pPr>
              <w:pStyle w:val="6"/>
              <w:spacing w:before="69" w:line="227" w:lineRule="auto"/>
              <w:ind w:left="866"/>
              <w:rPr>
                <w:sz w:val="20"/>
                <w:szCs w:val="20"/>
              </w:rPr>
            </w:pPr>
            <w:r>
              <w:rPr>
                <w:rFonts w:ascii="Times New Roman" w:hAnsi="Times New Roman" w:eastAsia="Times New Roman" w:cs="Times New Roman"/>
                <w:spacing w:val="5"/>
                <w:sz w:val="20"/>
                <w:szCs w:val="20"/>
              </w:rPr>
              <w:t xml:space="preserve">1 </w:t>
            </w:r>
            <w:r>
              <w:rPr>
                <w:spacing w:val="5"/>
                <w:sz w:val="20"/>
                <w:szCs w:val="20"/>
              </w:rPr>
              <w:t>套旋风</w:t>
            </w:r>
            <w:r>
              <w:rPr>
                <w:rFonts w:ascii="Times New Roman" w:hAnsi="Times New Roman" w:eastAsia="Times New Roman" w:cs="Times New Roman"/>
                <w:spacing w:val="5"/>
                <w:sz w:val="20"/>
                <w:szCs w:val="20"/>
              </w:rPr>
              <w:t>+2</w:t>
            </w:r>
            <w:r>
              <w:rPr>
                <w:rFonts w:ascii="Times New Roman" w:hAnsi="Times New Roman" w:eastAsia="Times New Roman" w:cs="Times New Roman"/>
                <w:spacing w:val="17"/>
                <w:w w:val="101"/>
                <w:sz w:val="20"/>
                <w:szCs w:val="20"/>
              </w:rPr>
              <w:t xml:space="preserve"> </w:t>
            </w:r>
            <w:r>
              <w:rPr>
                <w:spacing w:val="5"/>
                <w:sz w:val="20"/>
                <w:szCs w:val="20"/>
              </w:rPr>
              <w:t>套布袋除尘器</w:t>
            </w:r>
          </w:p>
        </w:tc>
        <w:tc>
          <w:tcPr>
            <w:tcW w:w="1391" w:type="dxa"/>
            <w:vAlign w:val="top"/>
          </w:tcPr>
          <w:p w14:paraId="5C976C23">
            <w:pPr>
              <w:spacing w:before="105" w:line="195" w:lineRule="auto"/>
              <w:ind w:left="5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1599" w:type="dxa"/>
            <w:vAlign w:val="top"/>
          </w:tcPr>
          <w:p w14:paraId="14599932">
            <w:pPr>
              <w:spacing w:before="105" w:line="195" w:lineRule="auto"/>
              <w:ind w:left="5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99.5%</w:t>
            </w:r>
          </w:p>
        </w:tc>
        <w:tc>
          <w:tcPr>
            <w:tcW w:w="3085" w:type="dxa"/>
            <w:vMerge w:val="restart"/>
            <w:tcBorders>
              <w:bottom w:val="nil"/>
              <w:right w:val="nil"/>
            </w:tcBorders>
            <w:vAlign w:val="top"/>
          </w:tcPr>
          <w:p w14:paraId="4578D8F8">
            <w:pPr>
              <w:pStyle w:val="6"/>
              <w:spacing w:before="24" w:line="249" w:lineRule="auto"/>
              <w:ind w:left="8" w:firstLine="5"/>
              <w:rPr>
                <w:sz w:val="20"/>
                <w:szCs w:val="20"/>
              </w:rPr>
            </w:pPr>
            <w:r>
              <w:rPr>
                <w:spacing w:val="-2"/>
                <w:sz w:val="20"/>
                <w:szCs w:val="20"/>
              </w:rPr>
              <w:t>《钢铁烧结、球团工业大气污染物</w:t>
            </w:r>
            <w:r>
              <w:rPr>
                <w:spacing w:val="3"/>
                <w:sz w:val="20"/>
                <w:szCs w:val="20"/>
              </w:rPr>
              <w:t xml:space="preserve">  </w:t>
            </w:r>
            <w:r>
              <w:rPr>
                <w:spacing w:val="5"/>
                <w:sz w:val="20"/>
                <w:szCs w:val="20"/>
              </w:rPr>
              <w:t>排放标准》</w:t>
            </w:r>
            <w:r>
              <w:rPr>
                <w:spacing w:val="-55"/>
                <w:sz w:val="20"/>
                <w:szCs w:val="20"/>
              </w:rPr>
              <w:t xml:space="preserve"> </w:t>
            </w:r>
            <w:r>
              <w:rPr>
                <w:spacing w:val="5"/>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28662-2012</w:t>
            </w:r>
            <w:r>
              <w:rPr>
                <w:spacing w:val="5"/>
                <w:sz w:val="20"/>
                <w:szCs w:val="20"/>
              </w:rPr>
              <w:t>）及</w:t>
            </w:r>
            <w:r>
              <w:rPr>
                <w:sz w:val="20"/>
                <w:szCs w:val="20"/>
              </w:rPr>
              <w:t xml:space="preserve">  </w:t>
            </w:r>
            <w:r>
              <w:rPr>
                <w:spacing w:val="10"/>
                <w:sz w:val="20"/>
                <w:szCs w:val="20"/>
              </w:rPr>
              <w:t>修改单表</w:t>
            </w:r>
            <w:r>
              <w:rPr>
                <w:spacing w:val="-29"/>
                <w:sz w:val="20"/>
                <w:szCs w:val="20"/>
              </w:rPr>
              <w:t xml:space="preserve"> </w:t>
            </w:r>
            <w:r>
              <w:rPr>
                <w:rFonts w:ascii="Times New Roman" w:hAnsi="Times New Roman" w:eastAsia="Times New Roman" w:cs="Times New Roman"/>
                <w:spacing w:val="10"/>
                <w:sz w:val="20"/>
                <w:szCs w:val="20"/>
              </w:rPr>
              <w:t>3</w:t>
            </w:r>
            <w:r>
              <w:rPr>
                <w:rFonts w:ascii="Times New Roman" w:hAnsi="Times New Roman" w:eastAsia="Times New Roman" w:cs="Times New Roman"/>
                <w:spacing w:val="21"/>
                <w:w w:val="101"/>
                <w:sz w:val="20"/>
                <w:szCs w:val="20"/>
              </w:rPr>
              <w:t xml:space="preserve"> </w:t>
            </w:r>
            <w:r>
              <w:rPr>
                <w:spacing w:val="10"/>
                <w:sz w:val="20"/>
                <w:szCs w:val="20"/>
              </w:rPr>
              <w:t>大气污染物特别排放</w:t>
            </w:r>
            <w:r>
              <w:rPr>
                <w:sz w:val="20"/>
                <w:szCs w:val="20"/>
              </w:rPr>
              <w:t xml:space="preserve">  </w:t>
            </w:r>
            <w:r>
              <w:rPr>
                <w:spacing w:val="-2"/>
                <w:sz w:val="20"/>
                <w:szCs w:val="20"/>
              </w:rPr>
              <w:t>限值、《火电厂大气污染物排放标</w:t>
            </w:r>
            <w:r>
              <w:rPr>
                <w:spacing w:val="6"/>
                <w:sz w:val="20"/>
                <w:szCs w:val="20"/>
              </w:rPr>
              <w:t xml:space="preserve">  </w:t>
            </w:r>
            <w:r>
              <w:rPr>
                <w:spacing w:val="3"/>
                <w:sz w:val="20"/>
                <w:szCs w:val="20"/>
              </w:rPr>
              <w:t>准》</w:t>
            </w:r>
            <w:r>
              <w:rPr>
                <w:spacing w:val="-60"/>
                <w:sz w:val="20"/>
                <w:szCs w:val="20"/>
              </w:rPr>
              <w:t xml:space="preserve"> </w:t>
            </w:r>
            <w:r>
              <w:rPr>
                <w:spacing w:val="3"/>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3"/>
                <w:sz w:val="20"/>
                <w:szCs w:val="20"/>
              </w:rPr>
              <w:t>13223-2011</w:t>
            </w:r>
            <w:r>
              <w:rPr>
                <w:spacing w:val="3"/>
                <w:sz w:val="20"/>
                <w:szCs w:val="20"/>
              </w:rPr>
              <w:t>）表</w:t>
            </w:r>
            <w:r>
              <w:rPr>
                <w:spacing w:val="-31"/>
                <w:sz w:val="20"/>
                <w:szCs w:val="20"/>
              </w:rPr>
              <w:t xml:space="preserve"> </w:t>
            </w:r>
            <w:r>
              <w:rPr>
                <w:rFonts w:ascii="Times New Roman" w:hAnsi="Times New Roman" w:eastAsia="Times New Roman" w:cs="Times New Roman"/>
                <w:spacing w:val="3"/>
                <w:sz w:val="20"/>
                <w:szCs w:val="20"/>
              </w:rPr>
              <w:t>2</w:t>
            </w:r>
            <w:r>
              <w:rPr>
                <w:rFonts w:ascii="Times New Roman" w:hAnsi="Times New Roman" w:eastAsia="Times New Roman" w:cs="Times New Roman"/>
                <w:spacing w:val="25"/>
                <w:sz w:val="20"/>
                <w:szCs w:val="20"/>
              </w:rPr>
              <w:t xml:space="preserve"> </w:t>
            </w:r>
            <w:r>
              <w:rPr>
                <w:spacing w:val="3"/>
                <w:sz w:val="20"/>
                <w:szCs w:val="20"/>
              </w:rPr>
              <w:t>大气</w:t>
            </w:r>
            <w:r>
              <w:rPr>
                <w:sz w:val="20"/>
                <w:szCs w:val="20"/>
              </w:rPr>
              <w:t xml:space="preserve">  </w:t>
            </w:r>
            <w:r>
              <w:rPr>
                <w:spacing w:val="-2"/>
                <w:sz w:val="20"/>
                <w:szCs w:val="20"/>
              </w:rPr>
              <w:t>污染物特别排放限值（以气体为燃</w:t>
            </w:r>
            <w:r>
              <w:rPr>
                <w:spacing w:val="6"/>
                <w:sz w:val="20"/>
                <w:szCs w:val="20"/>
              </w:rPr>
              <w:t xml:space="preserve">  </w:t>
            </w:r>
            <w:r>
              <w:rPr>
                <w:spacing w:val="-2"/>
                <w:sz w:val="20"/>
                <w:szCs w:val="20"/>
              </w:rPr>
              <w:t>料的燃气轮机组）、《工业窑炉大</w:t>
            </w:r>
            <w:r>
              <w:rPr>
                <w:spacing w:val="6"/>
                <w:sz w:val="20"/>
                <w:szCs w:val="20"/>
              </w:rPr>
              <w:t xml:space="preserve">  </w:t>
            </w:r>
            <w:r>
              <w:rPr>
                <w:spacing w:val="-8"/>
                <w:sz w:val="20"/>
                <w:szCs w:val="20"/>
              </w:rPr>
              <w:t>气污染综合治理》（环大气</w:t>
            </w:r>
            <w:r>
              <w:rPr>
                <w:rFonts w:ascii="Times New Roman" w:hAnsi="Times New Roman" w:eastAsia="Times New Roman" w:cs="Times New Roman"/>
                <w:spacing w:val="-8"/>
                <w:sz w:val="20"/>
                <w:szCs w:val="20"/>
              </w:rPr>
              <w:t>[2019]56</w:t>
            </w:r>
            <w:r>
              <w:rPr>
                <w:rFonts w:ascii="Times New Roman" w:hAnsi="Times New Roman" w:eastAsia="Times New Roman" w:cs="Times New Roman"/>
                <w:spacing w:val="3"/>
                <w:sz w:val="20"/>
                <w:szCs w:val="20"/>
              </w:rPr>
              <w:t xml:space="preserve">   </w:t>
            </w:r>
            <w:r>
              <w:rPr>
                <w:spacing w:val="9"/>
                <w:sz w:val="20"/>
                <w:szCs w:val="20"/>
              </w:rPr>
              <w:t>号）</w:t>
            </w:r>
            <w:r>
              <w:rPr>
                <w:spacing w:val="-44"/>
                <w:sz w:val="20"/>
                <w:szCs w:val="20"/>
              </w:rPr>
              <w:t xml:space="preserve"> </w:t>
            </w:r>
            <w:r>
              <w:rPr>
                <w:spacing w:val="9"/>
                <w:sz w:val="20"/>
                <w:szCs w:val="20"/>
              </w:rPr>
              <w:t>中重点区域工业窑炉浓度限</w:t>
            </w:r>
            <w:r>
              <w:rPr>
                <w:sz w:val="20"/>
                <w:szCs w:val="20"/>
              </w:rPr>
              <w:t xml:space="preserve">  </w:t>
            </w:r>
            <w:r>
              <w:rPr>
                <w:spacing w:val="-8"/>
                <w:sz w:val="20"/>
                <w:szCs w:val="20"/>
              </w:rPr>
              <w:t>值、《铁合金工业污染物排放标准》</w:t>
            </w:r>
            <w:r>
              <w:rPr>
                <w:sz w:val="20"/>
                <w:szCs w:val="20"/>
              </w:rPr>
              <w:t xml:space="preserve"> </w:t>
            </w:r>
            <w:r>
              <w:rPr>
                <w:spacing w:val="5"/>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28666-2012</w:t>
            </w:r>
            <w:r>
              <w:rPr>
                <w:spacing w:val="5"/>
                <w:sz w:val="20"/>
                <w:szCs w:val="20"/>
              </w:rPr>
              <w:t>）表</w:t>
            </w:r>
            <w:r>
              <w:rPr>
                <w:spacing w:val="-27"/>
                <w:sz w:val="20"/>
                <w:szCs w:val="20"/>
              </w:rPr>
              <w:t xml:space="preserve"> </w:t>
            </w:r>
            <w:r>
              <w:rPr>
                <w:rFonts w:ascii="Times New Roman" w:hAnsi="Times New Roman" w:eastAsia="Times New Roman" w:cs="Times New Roman"/>
                <w:spacing w:val="5"/>
                <w:sz w:val="20"/>
                <w:szCs w:val="20"/>
              </w:rPr>
              <w:t>6</w:t>
            </w:r>
            <w:r>
              <w:rPr>
                <w:rFonts w:ascii="Times New Roman" w:hAnsi="Times New Roman" w:eastAsia="Times New Roman" w:cs="Times New Roman"/>
                <w:spacing w:val="22"/>
                <w:w w:val="101"/>
                <w:sz w:val="20"/>
                <w:szCs w:val="20"/>
              </w:rPr>
              <w:t xml:space="preserve"> </w:t>
            </w:r>
            <w:r>
              <w:rPr>
                <w:spacing w:val="5"/>
                <w:sz w:val="20"/>
                <w:szCs w:val="20"/>
              </w:rPr>
              <w:t>大气污染</w:t>
            </w:r>
            <w:r>
              <w:rPr>
                <w:sz w:val="20"/>
                <w:szCs w:val="20"/>
              </w:rPr>
              <w:t xml:space="preserve">  </w:t>
            </w:r>
            <w:r>
              <w:rPr>
                <w:spacing w:val="-2"/>
                <w:sz w:val="20"/>
                <w:szCs w:val="20"/>
              </w:rPr>
              <w:t>物特别排放限值、《火电厂烟气脱</w:t>
            </w:r>
            <w:r>
              <w:rPr>
                <w:spacing w:val="6"/>
                <w:sz w:val="20"/>
                <w:szCs w:val="20"/>
              </w:rPr>
              <w:t xml:space="preserve">  </w:t>
            </w:r>
            <w:r>
              <w:rPr>
                <w:spacing w:val="5"/>
                <w:sz w:val="20"/>
                <w:szCs w:val="20"/>
              </w:rPr>
              <w:t>硝工程技术规范 选择性催化还原</w:t>
            </w:r>
            <w:r>
              <w:rPr>
                <w:spacing w:val="3"/>
                <w:sz w:val="20"/>
                <w:szCs w:val="20"/>
              </w:rPr>
              <w:t xml:space="preserve">  </w:t>
            </w:r>
            <w:r>
              <w:rPr>
                <w:spacing w:val="-1"/>
                <w:sz w:val="20"/>
                <w:szCs w:val="20"/>
              </w:rPr>
              <w:t>法》（</w:t>
            </w:r>
            <w:r>
              <w:rPr>
                <w:rFonts w:ascii="Times New Roman" w:hAnsi="Times New Roman" w:eastAsia="Times New Roman" w:cs="Times New Roman"/>
                <w:spacing w:val="-1"/>
                <w:sz w:val="20"/>
                <w:szCs w:val="20"/>
              </w:rPr>
              <w:t>HJ562-2010</w:t>
            </w:r>
            <w:r>
              <w:rPr>
                <w:spacing w:val="-1"/>
                <w:sz w:val="20"/>
                <w:szCs w:val="20"/>
              </w:rPr>
              <w:t>）、《饮食业油</w:t>
            </w:r>
            <w:r>
              <w:rPr>
                <w:spacing w:val="5"/>
                <w:sz w:val="20"/>
                <w:szCs w:val="20"/>
              </w:rPr>
              <w:t xml:space="preserve">  </w:t>
            </w:r>
            <w:r>
              <w:rPr>
                <w:spacing w:val="-9"/>
                <w:sz w:val="20"/>
                <w:szCs w:val="20"/>
              </w:rPr>
              <w:t>烟</w:t>
            </w:r>
            <w:r>
              <w:rPr>
                <w:spacing w:val="24"/>
                <w:sz w:val="20"/>
                <w:szCs w:val="20"/>
              </w:rPr>
              <w:t xml:space="preserve"> </w:t>
            </w:r>
            <w:r>
              <w:rPr>
                <w:spacing w:val="-9"/>
                <w:sz w:val="20"/>
                <w:szCs w:val="20"/>
              </w:rPr>
              <w:t>排</w:t>
            </w:r>
            <w:r>
              <w:rPr>
                <w:spacing w:val="15"/>
                <w:sz w:val="20"/>
                <w:szCs w:val="20"/>
              </w:rPr>
              <w:t xml:space="preserve"> </w:t>
            </w:r>
            <w:r>
              <w:rPr>
                <w:spacing w:val="-9"/>
                <w:sz w:val="20"/>
                <w:szCs w:val="20"/>
              </w:rPr>
              <w:t>放</w:t>
            </w:r>
            <w:r>
              <w:rPr>
                <w:spacing w:val="15"/>
                <w:sz w:val="20"/>
                <w:szCs w:val="20"/>
              </w:rPr>
              <w:t xml:space="preserve"> </w:t>
            </w:r>
            <w:r>
              <w:rPr>
                <w:spacing w:val="-9"/>
                <w:sz w:val="20"/>
                <w:szCs w:val="20"/>
              </w:rPr>
              <w:t>标</w:t>
            </w:r>
            <w:r>
              <w:rPr>
                <w:spacing w:val="17"/>
                <w:sz w:val="20"/>
                <w:szCs w:val="20"/>
              </w:rPr>
              <w:t xml:space="preserve"> </w:t>
            </w:r>
            <w:r>
              <w:rPr>
                <w:spacing w:val="-9"/>
                <w:sz w:val="20"/>
                <w:szCs w:val="20"/>
              </w:rPr>
              <w:t>准 （</w:t>
            </w:r>
            <w:r>
              <w:rPr>
                <w:spacing w:val="44"/>
                <w:sz w:val="20"/>
                <w:szCs w:val="20"/>
              </w:rPr>
              <w:t xml:space="preserve"> </w:t>
            </w:r>
            <w:r>
              <w:rPr>
                <w:spacing w:val="-9"/>
                <w:sz w:val="20"/>
                <w:szCs w:val="20"/>
              </w:rPr>
              <w:t>试</w:t>
            </w:r>
            <w:r>
              <w:rPr>
                <w:spacing w:val="18"/>
                <w:sz w:val="20"/>
                <w:szCs w:val="20"/>
              </w:rPr>
              <w:t xml:space="preserve"> </w:t>
            </w:r>
            <w:r>
              <w:rPr>
                <w:spacing w:val="-9"/>
                <w:sz w:val="20"/>
                <w:szCs w:val="20"/>
              </w:rPr>
              <w:t>行</w:t>
            </w:r>
            <w:r>
              <w:rPr>
                <w:spacing w:val="37"/>
                <w:sz w:val="20"/>
                <w:szCs w:val="20"/>
              </w:rPr>
              <w:t xml:space="preserve"> </w:t>
            </w:r>
            <w:r>
              <w:rPr>
                <w:spacing w:val="-9"/>
                <w:sz w:val="20"/>
                <w:szCs w:val="20"/>
              </w:rPr>
              <w:t>）</w:t>
            </w:r>
            <w:r>
              <w:rPr>
                <w:spacing w:val="27"/>
                <w:sz w:val="20"/>
                <w:szCs w:val="20"/>
              </w:rPr>
              <w:t xml:space="preserve"> </w:t>
            </w:r>
            <w:r>
              <w:rPr>
                <w:spacing w:val="-9"/>
                <w:sz w:val="20"/>
                <w:szCs w:val="20"/>
              </w:rPr>
              <w:t>》</w:t>
            </w:r>
            <w:r>
              <w:rPr>
                <w:sz w:val="20"/>
                <w:szCs w:val="20"/>
              </w:rPr>
              <w:t xml:space="preserve"> </w:t>
            </w:r>
            <w:r>
              <w:rPr>
                <w:spacing w:val="7"/>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7"/>
                <w:sz w:val="20"/>
                <w:szCs w:val="20"/>
              </w:rPr>
              <w:t>18483-2001</w:t>
            </w:r>
            <w:r>
              <w:rPr>
                <w:spacing w:val="7"/>
                <w:sz w:val="20"/>
                <w:szCs w:val="20"/>
              </w:rPr>
              <w:t>）排放限值，要</w:t>
            </w:r>
            <w:r>
              <w:rPr>
                <w:spacing w:val="6"/>
                <w:sz w:val="20"/>
                <w:szCs w:val="20"/>
              </w:rPr>
              <w:t xml:space="preserve">  </w:t>
            </w:r>
            <w:r>
              <w:rPr>
                <w:spacing w:val="13"/>
                <w:sz w:val="20"/>
                <w:szCs w:val="20"/>
              </w:rPr>
              <w:t>求各排气筒设置采样平台和采样</w:t>
            </w:r>
            <w:r>
              <w:rPr>
                <w:sz w:val="20"/>
                <w:szCs w:val="20"/>
              </w:rPr>
              <w:t xml:space="preserve">  孔</w:t>
            </w:r>
          </w:p>
        </w:tc>
      </w:tr>
      <w:tr w14:paraId="67BF5D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 w:hRule="atLeast"/>
        </w:trPr>
        <w:tc>
          <w:tcPr>
            <w:tcW w:w="1165" w:type="dxa"/>
            <w:vMerge w:val="continue"/>
            <w:tcBorders>
              <w:top w:val="nil"/>
              <w:left w:val="nil"/>
              <w:bottom w:val="nil"/>
            </w:tcBorders>
            <w:vAlign w:val="top"/>
          </w:tcPr>
          <w:p w14:paraId="784766C1">
            <w:pPr>
              <w:rPr>
                <w:rFonts w:ascii="Arial"/>
                <w:sz w:val="21"/>
              </w:rPr>
            </w:pPr>
          </w:p>
        </w:tc>
        <w:tc>
          <w:tcPr>
            <w:tcW w:w="2771" w:type="dxa"/>
            <w:vAlign w:val="top"/>
          </w:tcPr>
          <w:p w14:paraId="286E7D2D">
            <w:pPr>
              <w:pStyle w:val="6"/>
              <w:spacing w:before="70" w:line="227" w:lineRule="auto"/>
              <w:ind w:left="342"/>
              <w:rPr>
                <w:sz w:val="20"/>
                <w:szCs w:val="20"/>
              </w:rPr>
            </w:pPr>
            <w:r>
              <w:rPr>
                <w:spacing w:val="8"/>
                <w:sz w:val="20"/>
                <w:szCs w:val="20"/>
              </w:rPr>
              <w:t>锰矿石烘干、出料废气</w:t>
            </w:r>
          </w:p>
        </w:tc>
        <w:tc>
          <w:tcPr>
            <w:tcW w:w="4012" w:type="dxa"/>
            <w:vAlign w:val="top"/>
          </w:tcPr>
          <w:p w14:paraId="073AF8D2">
            <w:pPr>
              <w:pStyle w:val="6"/>
              <w:spacing w:before="70" w:line="227" w:lineRule="auto"/>
              <w:ind w:left="1299"/>
              <w:rPr>
                <w:sz w:val="20"/>
                <w:szCs w:val="20"/>
              </w:rPr>
            </w:pPr>
            <w:r>
              <w:rPr>
                <w:rFonts w:ascii="Times New Roman" w:hAnsi="Times New Roman" w:eastAsia="Times New Roman" w:cs="Times New Roman"/>
                <w:spacing w:val="7"/>
                <w:sz w:val="20"/>
                <w:szCs w:val="20"/>
              </w:rPr>
              <w:t xml:space="preserve">2 </w:t>
            </w:r>
            <w:r>
              <w:rPr>
                <w:spacing w:val="7"/>
                <w:sz w:val="20"/>
                <w:szCs w:val="20"/>
              </w:rPr>
              <w:t>套布袋除尘器</w:t>
            </w:r>
          </w:p>
        </w:tc>
        <w:tc>
          <w:tcPr>
            <w:tcW w:w="1391" w:type="dxa"/>
            <w:vAlign w:val="top"/>
          </w:tcPr>
          <w:p w14:paraId="200ECD29">
            <w:pPr>
              <w:spacing w:before="106" w:line="195" w:lineRule="auto"/>
              <w:ind w:left="5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25</w:t>
            </w:r>
          </w:p>
        </w:tc>
        <w:tc>
          <w:tcPr>
            <w:tcW w:w="1599" w:type="dxa"/>
            <w:vAlign w:val="top"/>
          </w:tcPr>
          <w:p w14:paraId="2C804833">
            <w:pPr>
              <w:spacing w:before="106" w:line="195" w:lineRule="auto"/>
              <w:ind w:left="5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99.5%</w:t>
            </w:r>
          </w:p>
        </w:tc>
        <w:tc>
          <w:tcPr>
            <w:tcW w:w="3085" w:type="dxa"/>
            <w:vMerge w:val="continue"/>
            <w:tcBorders>
              <w:top w:val="nil"/>
              <w:bottom w:val="nil"/>
              <w:right w:val="nil"/>
            </w:tcBorders>
            <w:vAlign w:val="top"/>
          </w:tcPr>
          <w:p w14:paraId="7588E09C">
            <w:pPr>
              <w:rPr>
                <w:rFonts w:ascii="Arial"/>
                <w:sz w:val="21"/>
              </w:rPr>
            </w:pPr>
          </w:p>
        </w:tc>
      </w:tr>
      <w:tr w14:paraId="2CBDDF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 w:hRule="atLeast"/>
        </w:trPr>
        <w:tc>
          <w:tcPr>
            <w:tcW w:w="1165" w:type="dxa"/>
            <w:vMerge w:val="continue"/>
            <w:tcBorders>
              <w:top w:val="nil"/>
              <w:left w:val="nil"/>
              <w:bottom w:val="nil"/>
            </w:tcBorders>
            <w:vAlign w:val="top"/>
          </w:tcPr>
          <w:p w14:paraId="728291F0">
            <w:pPr>
              <w:rPr>
                <w:rFonts w:ascii="Arial"/>
                <w:sz w:val="21"/>
              </w:rPr>
            </w:pPr>
          </w:p>
        </w:tc>
        <w:tc>
          <w:tcPr>
            <w:tcW w:w="2771" w:type="dxa"/>
            <w:vAlign w:val="top"/>
          </w:tcPr>
          <w:p w14:paraId="53BBB1FA">
            <w:pPr>
              <w:pStyle w:val="6"/>
              <w:spacing w:before="70" w:line="227" w:lineRule="auto"/>
              <w:ind w:left="655"/>
              <w:rPr>
                <w:sz w:val="20"/>
                <w:szCs w:val="20"/>
              </w:rPr>
            </w:pPr>
            <w:r>
              <w:rPr>
                <w:spacing w:val="8"/>
                <w:sz w:val="20"/>
                <w:szCs w:val="20"/>
              </w:rPr>
              <w:t>烧结配料站粉尘</w:t>
            </w:r>
          </w:p>
        </w:tc>
        <w:tc>
          <w:tcPr>
            <w:tcW w:w="4012" w:type="dxa"/>
            <w:vAlign w:val="top"/>
          </w:tcPr>
          <w:p w14:paraId="7B4FDDE3">
            <w:pPr>
              <w:pStyle w:val="6"/>
              <w:spacing w:before="70" w:line="227" w:lineRule="auto"/>
              <w:ind w:left="1319"/>
              <w:rPr>
                <w:sz w:val="20"/>
                <w:szCs w:val="20"/>
              </w:rPr>
            </w:pPr>
            <w:r>
              <w:rPr>
                <w:rFonts w:ascii="Times New Roman" w:hAnsi="Times New Roman" w:eastAsia="Times New Roman" w:cs="Times New Roman"/>
                <w:spacing w:val="5"/>
                <w:sz w:val="20"/>
                <w:szCs w:val="20"/>
              </w:rPr>
              <w:t xml:space="preserve">1 </w:t>
            </w:r>
            <w:r>
              <w:rPr>
                <w:spacing w:val="5"/>
                <w:sz w:val="20"/>
                <w:szCs w:val="20"/>
              </w:rPr>
              <w:t>套布袋除尘器</w:t>
            </w:r>
          </w:p>
        </w:tc>
        <w:tc>
          <w:tcPr>
            <w:tcW w:w="1391" w:type="dxa"/>
            <w:vAlign w:val="top"/>
          </w:tcPr>
          <w:p w14:paraId="5C2551FD">
            <w:pPr>
              <w:spacing w:before="106" w:line="195" w:lineRule="auto"/>
              <w:ind w:left="61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1599" w:type="dxa"/>
            <w:vAlign w:val="top"/>
          </w:tcPr>
          <w:p w14:paraId="681EB578">
            <w:pPr>
              <w:spacing w:before="106" w:line="195" w:lineRule="auto"/>
              <w:ind w:left="5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99.5%</w:t>
            </w:r>
          </w:p>
        </w:tc>
        <w:tc>
          <w:tcPr>
            <w:tcW w:w="3085" w:type="dxa"/>
            <w:vMerge w:val="continue"/>
            <w:tcBorders>
              <w:top w:val="nil"/>
              <w:bottom w:val="nil"/>
              <w:right w:val="nil"/>
            </w:tcBorders>
            <w:vAlign w:val="top"/>
          </w:tcPr>
          <w:p w14:paraId="52BD6AC3">
            <w:pPr>
              <w:rPr>
                <w:rFonts w:ascii="Arial"/>
                <w:sz w:val="21"/>
              </w:rPr>
            </w:pPr>
          </w:p>
        </w:tc>
      </w:tr>
      <w:tr w14:paraId="45FF7E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8" w:hRule="atLeast"/>
        </w:trPr>
        <w:tc>
          <w:tcPr>
            <w:tcW w:w="1165" w:type="dxa"/>
            <w:vMerge w:val="continue"/>
            <w:tcBorders>
              <w:top w:val="nil"/>
              <w:left w:val="nil"/>
              <w:bottom w:val="nil"/>
            </w:tcBorders>
            <w:vAlign w:val="top"/>
          </w:tcPr>
          <w:p w14:paraId="161B8B9D">
            <w:pPr>
              <w:rPr>
                <w:rFonts w:ascii="Arial"/>
                <w:sz w:val="21"/>
              </w:rPr>
            </w:pPr>
          </w:p>
        </w:tc>
        <w:tc>
          <w:tcPr>
            <w:tcW w:w="2771" w:type="dxa"/>
            <w:vAlign w:val="top"/>
          </w:tcPr>
          <w:p w14:paraId="01D5A479">
            <w:pPr>
              <w:pStyle w:val="6"/>
              <w:spacing w:before="244" w:line="227" w:lineRule="auto"/>
              <w:ind w:left="761"/>
              <w:rPr>
                <w:sz w:val="20"/>
                <w:szCs w:val="20"/>
              </w:rPr>
            </w:pPr>
            <w:r>
              <w:rPr>
                <w:spacing w:val="8"/>
                <w:sz w:val="20"/>
                <w:szCs w:val="20"/>
              </w:rPr>
              <w:t>烧结机头废气</w:t>
            </w:r>
          </w:p>
        </w:tc>
        <w:tc>
          <w:tcPr>
            <w:tcW w:w="4012" w:type="dxa"/>
            <w:vAlign w:val="top"/>
          </w:tcPr>
          <w:p w14:paraId="5E58CD69">
            <w:pPr>
              <w:pStyle w:val="6"/>
              <w:spacing w:before="107"/>
              <w:ind w:left="8" w:hanging="1"/>
              <w:rPr>
                <w:sz w:val="20"/>
                <w:szCs w:val="20"/>
              </w:rPr>
            </w:pPr>
            <w:r>
              <w:rPr>
                <w:spacing w:val="7"/>
                <w:sz w:val="20"/>
                <w:szCs w:val="20"/>
              </w:rPr>
              <w:t>配置</w:t>
            </w:r>
            <w:r>
              <w:rPr>
                <w:spacing w:val="-25"/>
                <w:sz w:val="20"/>
                <w:szCs w:val="20"/>
              </w:rPr>
              <w:t xml:space="preserve"> </w:t>
            </w:r>
            <w:r>
              <w:rPr>
                <w:rFonts w:ascii="Times New Roman" w:hAnsi="Times New Roman" w:eastAsia="Times New Roman" w:cs="Times New Roman"/>
                <w:spacing w:val="7"/>
                <w:sz w:val="20"/>
                <w:szCs w:val="20"/>
              </w:rPr>
              <w:t xml:space="preserve">1 </w:t>
            </w:r>
            <w:r>
              <w:rPr>
                <w:spacing w:val="7"/>
                <w:sz w:val="20"/>
                <w:szCs w:val="20"/>
              </w:rPr>
              <w:t>套旋风除尘器</w:t>
            </w:r>
            <w:r>
              <w:rPr>
                <w:rFonts w:ascii="Times New Roman" w:hAnsi="Times New Roman" w:eastAsia="Times New Roman" w:cs="Times New Roman"/>
                <w:spacing w:val="7"/>
                <w:sz w:val="20"/>
                <w:szCs w:val="20"/>
              </w:rPr>
              <w:t>+</w:t>
            </w:r>
            <w:r>
              <w:rPr>
                <w:spacing w:val="7"/>
                <w:sz w:val="20"/>
                <w:szCs w:val="20"/>
              </w:rPr>
              <w:t>耐高温布袋除尘器</w:t>
            </w:r>
            <w:r>
              <w:rPr>
                <w:rFonts w:ascii="Times New Roman" w:hAnsi="Times New Roman" w:eastAsia="Times New Roman" w:cs="Times New Roman"/>
                <w:spacing w:val="7"/>
                <w:sz w:val="20"/>
                <w:szCs w:val="20"/>
              </w:rPr>
              <w:t>+</w:t>
            </w:r>
            <w:r>
              <w:rPr>
                <w:spacing w:val="7"/>
                <w:sz w:val="20"/>
                <w:szCs w:val="20"/>
              </w:rPr>
              <w:t>石</w:t>
            </w:r>
            <w:r>
              <w:rPr>
                <w:sz w:val="20"/>
                <w:szCs w:val="20"/>
              </w:rPr>
              <w:t xml:space="preserve"> </w:t>
            </w:r>
            <w:r>
              <w:rPr>
                <w:spacing w:val="7"/>
                <w:sz w:val="20"/>
                <w:szCs w:val="20"/>
              </w:rPr>
              <w:t>灰石</w:t>
            </w:r>
            <w:r>
              <w:rPr>
                <w:rFonts w:ascii="Times New Roman" w:hAnsi="Times New Roman" w:eastAsia="Times New Roman" w:cs="Times New Roman"/>
                <w:spacing w:val="7"/>
                <w:sz w:val="20"/>
                <w:szCs w:val="20"/>
              </w:rPr>
              <w:t>-</w:t>
            </w:r>
            <w:r>
              <w:rPr>
                <w:spacing w:val="7"/>
                <w:sz w:val="20"/>
                <w:szCs w:val="20"/>
              </w:rPr>
              <w:t>石膏脱硫塔</w:t>
            </w:r>
          </w:p>
        </w:tc>
        <w:tc>
          <w:tcPr>
            <w:tcW w:w="1391" w:type="dxa"/>
            <w:vAlign w:val="top"/>
          </w:tcPr>
          <w:p w14:paraId="7B5EE5ED">
            <w:pPr>
              <w:spacing w:before="283" w:line="195" w:lineRule="auto"/>
              <w:ind w:left="53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200</w:t>
            </w:r>
          </w:p>
        </w:tc>
        <w:tc>
          <w:tcPr>
            <w:tcW w:w="1599" w:type="dxa"/>
            <w:vAlign w:val="top"/>
          </w:tcPr>
          <w:p w14:paraId="59076E9A">
            <w:pPr>
              <w:pStyle w:val="6"/>
              <w:spacing w:before="72" w:line="284" w:lineRule="auto"/>
              <w:ind w:left="402" w:right="288" w:hanging="91"/>
              <w:rPr>
                <w:rFonts w:ascii="Times New Roman" w:hAnsi="Times New Roman" w:eastAsia="Times New Roman" w:cs="Times New Roman"/>
                <w:sz w:val="20"/>
                <w:szCs w:val="20"/>
              </w:rPr>
            </w:pPr>
            <w:r>
              <w:rPr>
                <w:spacing w:val="2"/>
                <w:sz w:val="20"/>
                <w:szCs w:val="20"/>
              </w:rPr>
              <w:t>除尘</w:t>
            </w:r>
            <w:r>
              <w:rPr>
                <w:spacing w:val="-39"/>
                <w:sz w:val="20"/>
                <w:szCs w:val="20"/>
              </w:rPr>
              <w:t xml:space="preserve"> </w:t>
            </w:r>
            <w:r>
              <w:rPr>
                <w:rFonts w:ascii="Times New Roman" w:hAnsi="Times New Roman" w:eastAsia="Times New Roman" w:cs="Times New Roman"/>
                <w:spacing w:val="2"/>
                <w:sz w:val="20"/>
                <w:szCs w:val="20"/>
              </w:rPr>
              <w:t>99.5%</w:t>
            </w:r>
            <w:r>
              <w:rPr>
                <w:rFonts w:ascii="Times New Roman" w:hAnsi="Times New Roman" w:eastAsia="Times New Roman" w:cs="Times New Roman"/>
                <w:sz w:val="20"/>
                <w:szCs w:val="20"/>
              </w:rPr>
              <w:t xml:space="preserve"> </w:t>
            </w:r>
            <w:r>
              <w:rPr>
                <w:spacing w:val="5"/>
                <w:sz w:val="20"/>
                <w:szCs w:val="20"/>
              </w:rPr>
              <w:t>脱硫</w:t>
            </w:r>
            <w:r>
              <w:rPr>
                <w:rFonts w:ascii="Times New Roman" w:hAnsi="Times New Roman" w:eastAsia="Times New Roman" w:cs="Times New Roman"/>
                <w:spacing w:val="5"/>
                <w:sz w:val="20"/>
                <w:szCs w:val="20"/>
              </w:rPr>
              <w:t>88%</w:t>
            </w:r>
          </w:p>
        </w:tc>
        <w:tc>
          <w:tcPr>
            <w:tcW w:w="3085" w:type="dxa"/>
            <w:vMerge w:val="continue"/>
            <w:tcBorders>
              <w:top w:val="nil"/>
              <w:bottom w:val="nil"/>
              <w:right w:val="nil"/>
            </w:tcBorders>
            <w:vAlign w:val="top"/>
          </w:tcPr>
          <w:p w14:paraId="35441963">
            <w:pPr>
              <w:rPr>
                <w:rFonts w:ascii="Arial"/>
                <w:sz w:val="21"/>
              </w:rPr>
            </w:pPr>
          </w:p>
        </w:tc>
      </w:tr>
      <w:tr w14:paraId="7AB9CC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165" w:type="dxa"/>
            <w:vMerge w:val="continue"/>
            <w:tcBorders>
              <w:top w:val="nil"/>
              <w:left w:val="nil"/>
              <w:bottom w:val="nil"/>
            </w:tcBorders>
            <w:vAlign w:val="top"/>
          </w:tcPr>
          <w:p w14:paraId="4D92C29A">
            <w:pPr>
              <w:rPr>
                <w:rFonts w:ascii="Arial"/>
                <w:sz w:val="21"/>
              </w:rPr>
            </w:pPr>
          </w:p>
        </w:tc>
        <w:tc>
          <w:tcPr>
            <w:tcW w:w="2771" w:type="dxa"/>
            <w:vAlign w:val="top"/>
          </w:tcPr>
          <w:p w14:paraId="56ADD3FE">
            <w:pPr>
              <w:pStyle w:val="6"/>
              <w:spacing w:before="36" w:line="212" w:lineRule="auto"/>
              <w:ind w:left="761"/>
              <w:rPr>
                <w:sz w:val="20"/>
                <w:szCs w:val="20"/>
              </w:rPr>
            </w:pPr>
            <w:r>
              <w:rPr>
                <w:spacing w:val="8"/>
                <w:sz w:val="20"/>
                <w:szCs w:val="20"/>
              </w:rPr>
              <w:t>烧结机尾粉尘</w:t>
            </w:r>
          </w:p>
        </w:tc>
        <w:tc>
          <w:tcPr>
            <w:tcW w:w="4012" w:type="dxa"/>
            <w:vAlign w:val="top"/>
          </w:tcPr>
          <w:p w14:paraId="49310DCF">
            <w:pPr>
              <w:pStyle w:val="6"/>
              <w:spacing w:before="36" w:line="212" w:lineRule="auto"/>
              <w:ind w:left="419"/>
              <w:rPr>
                <w:sz w:val="20"/>
                <w:szCs w:val="20"/>
              </w:rPr>
            </w:pPr>
            <w:r>
              <w:rPr>
                <w:rFonts w:ascii="Times New Roman" w:hAnsi="Times New Roman" w:eastAsia="Times New Roman" w:cs="Times New Roman"/>
                <w:spacing w:val="7"/>
                <w:sz w:val="20"/>
                <w:szCs w:val="20"/>
              </w:rPr>
              <w:t xml:space="preserve">1 </w:t>
            </w:r>
            <w:r>
              <w:rPr>
                <w:spacing w:val="7"/>
                <w:sz w:val="20"/>
                <w:szCs w:val="20"/>
              </w:rPr>
              <w:t>套旋风除尘器</w:t>
            </w:r>
            <w:r>
              <w:rPr>
                <w:rFonts w:ascii="Times New Roman" w:hAnsi="Times New Roman" w:eastAsia="Times New Roman" w:cs="Times New Roman"/>
                <w:spacing w:val="7"/>
                <w:sz w:val="20"/>
                <w:szCs w:val="20"/>
              </w:rPr>
              <w:t>+</w:t>
            </w:r>
            <w:r>
              <w:rPr>
                <w:spacing w:val="7"/>
                <w:sz w:val="20"/>
                <w:szCs w:val="20"/>
              </w:rPr>
              <w:t>耐高温布袋除尘器</w:t>
            </w:r>
          </w:p>
        </w:tc>
        <w:tc>
          <w:tcPr>
            <w:tcW w:w="1391" w:type="dxa"/>
            <w:vAlign w:val="top"/>
          </w:tcPr>
          <w:p w14:paraId="4043EDFF">
            <w:pPr>
              <w:spacing w:before="72" w:line="195" w:lineRule="auto"/>
              <w:ind w:left="5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1599" w:type="dxa"/>
            <w:vAlign w:val="top"/>
          </w:tcPr>
          <w:p w14:paraId="61E6D705">
            <w:pPr>
              <w:spacing w:before="72" w:line="195" w:lineRule="auto"/>
              <w:ind w:left="5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99.5%</w:t>
            </w:r>
          </w:p>
        </w:tc>
        <w:tc>
          <w:tcPr>
            <w:tcW w:w="3085" w:type="dxa"/>
            <w:vMerge w:val="continue"/>
            <w:tcBorders>
              <w:top w:val="nil"/>
              <w:bottom w:val="nil"/>
              <w:right w:val="nil"/>
            </w:tcBorders>
            <w:vAlign w:val="top"/>
          </w:tcPr>
          <w:p w14:paraId="596D2652">
            <w:pPr>
              <w:rPr>
                <w:rFonts w:ascii="Arial"/>
                <w:sz w:val="21"/>
              </w:rPr>
            </w:pPr>
          </w:p>
        </w:tc>
      </w:tr>
      <w:tr w14:paraId="06A28E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8" w:hRule="atLeast"/>
        </w:trPr>
        <w:tc>
          <w:tcPr>
            <w:tcW w:w="1165" w:type="dxa"/>
            <w:vMerge w:val="continue"/>
            <w:tcBorders>
              <w:top w:val="nil"/>
              <w:left w:val="nil"/>
              <w:bottom w:val="nil"/>
            </w:tcBorders>
            <w:vAlign w:val="top"/>
          </w:tcPr>
          <w:p w14:paraId="68819B3E">
            <w:pPr>
              <w:rPr>
                <w:rFonts w:ascii="Arial"/>
                <w:sz w:val="21"/>
              </w:rPr>
            </w:pPr>
          </w:p>
        </w:tc>
        <w:tc>
          <w:tcPr>
            <w:tcW w:w="9773" w:type="dxa"/>
            <w:gridSpan w:val="4"/>
            <w:vAlign w:val="top"/>
          </w:tcPr>
          <w:p w14:paraId="0243ABFE">
            <w:pPr>
              <w:pStyle w:val="6"/>
              <w:spacing w:before="39" w:line="230" w:lineRule="auto"/>
              <w:ind w:left="22" w:hanging="17"/>
              <w:rPr>
                <w:sz w:val="20"/>
                <w:szCs w:val="20"/>
              </w:rPr>
            </w:pPr>
            <w:r>
              <w:rPr>
                <w:spacing w:val="9"/>
                <w:sz w:val="20"/>
                <w:szCs w:val="20"/>
              </w:rPr>
              <w:t>烧结机头废气、烧结机尾粉尘分别经各自配套的废气处理设施处理后，汇集经</w:t>
            </w:r>
            <w:r>
              <w:rPr>
                <w:spacing w:val="-8"/>
                <w:sz w:val="20"/>
                <w:szCs w:val="20"/>
              </w:rPr>
              <w:t xml:space="preserve"> </w:t>
            </w:r>
            <w:r>
              <w:rPr>
                <w:rFonts w:ascii="Times New Roman" w:hAnsi="Times New Roman" w:eastAsia="Times New Roman" w:cs="Times New Roman"/>
                <w:spacing w:val="9"/>
                <w:sz w:val="20"/>
                <w:szCs w:val="20"/>
              </w:rPr>
              <w:t xml:space="preserve">1 </w:t>
            </w:r>
            <w:r>
              <w:rPr>
                <w:spacing w:val="9"/>
                <w:sz w:val="20"/>
                <w:szCs w:val="20"/>
              </w:rPr>
              <w:t>根</w:t>
            </w:r>
            <w:r>
              <w:rPr>
                <w:spacing w:val="-36"/>
                <w:sz w:val="20"/>
                <w:szCs w:val="20"/>
              </w:rPr>
              <w:t xml:space="preserve"> </w:t>
            </w:r>
            <w:r>
              <w:rPr>
                <w:rFonts w:ascii="Times New Roman" w:hAnsi="Times New Roman" w:eastAsia="Times New Roman" w:cs="Times New Roman"/>
                <w:spacing w:val="9"/>
                <w:sz w:val="20"/>
                <w:szCs w:val="20"/>
              </w:rPr>
              <w:t>30m</w:t>
            </w:r>
            <w:r>
              <w:rPr>
                <w:rFonts w:ascii="Times New Roman" w:hAnsi="Times New Roman" w:eastAsia="Times New Roman" w:cs="Times New Roman"/>
                <w:spacing w:val="17"/>
                <w:w w:val="101"/>
                <w:sz w:val="20"/>
                <w:szCs w:val="20"/>
              </w:rPr>
              <w:t xml:space="preserve"> </w:t>
            </w:r>
            <w:r>
              <w:rPr>
                <w:spacing w:val="9"/>
                <w:sz w:val="20"/>
                <w:szCs w:val="20"/>
              </w:rPr>
              <w:t>高排气筒（烧结车</w:t>
            </w:r>
            <w:r>
              <w:rPr>
                <w:sz w:val="20"/>
                <w:szCs w:val="20"/>
              </w:rPr>
              <w:t xml:space="preserve"> </w:t>
            </w:r>
            <w:r>
              <w:rPr>
                <w:spacing w:val="6"/>
                <w:sz w:val="20"/>
                <w:szCs w:val="20"/>
              </w:rPr>
              <w:t>间排气筒</w:t>
            </w:r>
            <w:r>
              <w:rPr>
                <w:spacing w:val="-40"/>
                <w:sz w:val="20"/>
                <w:szCs w:val="20"/>
              </w:rPr>
              <w:t xml:space="preserve"> </w:t>
            </w:r>
            <w:r>
              <w:rPr>
                <w:rFonts w:ascii="Times New Roman" w:hAnsi="Times New Roman" w:eastAsia="Times New Roman" w:cs="Times New Roman"/>
                <w:sz w:val="20"/>
                <w:szCs w:val="20"/>
              </w:rPr>
              <w:t>DA</w:t>
            </w:r>
            <w:r>
              <w:rPr>
                <w:rFonts w:ascii="Times New Roman" w:hAnsi="Times New Roman" w:eastAsia="Times New Roman" w:cs="Times New Roman"/>
                <w:spacing w:val="6"/>
                <w:sz w:val="20"/>
                <w:szCs w:val="20"/>
              </w:rPr>
              <w:t>004</w:t>
            </w:r>
            <w:r>
              <w:rPr>
                <w:spacing w:val="6"/>
                <w:sz w:val="20"/>
                <w:szCs w:val="20"/>
              </w:rPr>
              <w:t>）排放。</w:t>
            </w:r>
          </w:p>
        </w:tc>
        <w:tc>
          <w:tcPr>
            <w:tcW w:w="3085" w:type="dxa"/>
            <w:vMerge w:val="continue"/>
            <w:tcBorders>
              <w:top w:val="nil"/>
              <w:bottom w:val="nil"/>
              <w:right w:val="nil"/>
            </w:tcBorders>
            <w:vAlign w:val="top"/>
          </w:tcPr>
          <w:p w14:paraId="17B67BB7">
            <w:pPr>
              <w:rPr>
                <w:rFonts w:ascii="Arial"/>
                <w:sz w:val="21"/>
              </w:rPr>
            </w:pPr>
          </w:p>
        </w:tc>
      </w:tr>
      <w:tr w14:paraId="4329A3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 w:hRule="atLeast"/>
        </w:trPr>
        <w:tc>
          <w:tcPr>
            <w:tcW w:w="1165" w:type="dxa"/>
            <w:vMerge w:val="continue"/>
            <w:tcBorders>
              <w:top w:val="nil"/>
              <w:left w:val="nil"/>
              <w:bottom w:val="nil"/>
            </w:tcBorders>
            <w:vAlign w:val="top"/>
          </w:tcPr>
          <w:p w14:paraId="54A49ED2">
            <w:pPr>
              <w:rPr>
                <w:rFonts w:ascii="Arial"/>
                <w:sz w:val="21"/>
              </w:rPr>
            </w:pPr>
          </w:p>
        </w:tc>
        <w:tc>
          <w:tcPr>
            <w:tcW w:w="2771" w:type="dxa"/>
            <w:vAlign w:val="top"/>
          </w:tcPr>
          <w:p w14:paraId="2C104818">
            <w:pPr>
              <w:pStyle w:val="6"/>
              <w:spacing w:before="78" w:line="228" w:lineRule="auto"/>
              <w:ind w:left="131"/>
              <w:rPr>
                <w:sz w:val="20"/>
                <w:szCs w:val="20"/>
              </w:rPr>
            </w:pPr>
            <w:r>
              <w:rPr>
                <w:spacing w:val="9"/>
                <w:sz w:val="20"/>
                <w:szCs w:val="20"/>
              </w:rPr>
              <w:t>锰硅配料站、电炉加料粉尘</w:t>
            </w:r>
          </w:p>
        </w:tc>
        <w:tc>
          <w:tcPr>
            <w:tcW w:w="4012" w:type="dxa"/>
            <w:vAlign w:val="top"/>
          </w:tcPr>
          <w:p w14:paraId="183E97CB">
            <w:pPr>
              <w:pStyle w:val="6"/>
              <w:spacing w:before="78" w:line="227" w:lineRule="auto"/>
              <w:ind w:left="1303"/>
              <w:rPr>
                <w:sz w:val="20"/>
                <w:szCs w:val="20"/>
              </w:rPr>
            </w:pPr>
            <w:r>
              <w:rPr>
                <w:rFonts w:ascii="Times New Roman" w:hAnsi="Times New Roman" w:eastAsia="Times New Roman" w:cs="Times New Roman"/>
                <w:spacing w:val="7"/>
                <w:sz w:val="20"/>
                <w:szCs w:val="20"/>
              </w:rPr>
              <w:t xml:space="preserve">3 </w:t>
            </w:r>
            <w:r>
              <w:rPr>
                <w:spacing w:val="7"/>
                <w:sz w:val="20"/>
                <w:szCs w:val="20"/>
              </w:rPr>
              <w:t>套布袋除尘器</w:t>
            </w:r>
          </w:p>
        </w:tc>
        <w:tc>
          <w:tcPr>
            <w:tcW w:w="1391" w:type="dxa"/>
            <w:vAlign w:val="top"/>
          </w:tcPr>
          <w:p w14:paraId="0E9D5E62">
            <w:pPr>
              <w:spacing w:before="114" w:line="195" w:lineRule="auto"/>
              <w:ind w:left="596"/>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1599" w:type="dxa"/>
            <w:vAlign w:val="top"/>
          </w:tcPr>
          <w:p w14:paraId="21112227">
            <w:pPr>
              <w:spacing w:before="114" w:line="195" w:lineRule="auto"/>
              <w:ind w:left="5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99.5%</w:t>
            </w:r>
          </w:p>
        </w:tc>
        <w:tc>
          <w:tcPr>
            <w:tcW w:w="3085" w:type="dxa"/>
            <w:vMerge w:val="continue"/>
            <w:tcBorders>
              <w:top w:val="nil"/>
              <w:bottom w:val="nil"/>
              <w:right w:val="nil"/>
            </w:tcBorders>
            <w:vAlign w:val="top"/>
          </w:tcPr>
          <w:p w14:paraId="172DD223">
            <w:pPr>
              <w:rPr>
                <w:rFonts w:ascii="Arial"/>
                <w:sz w:val="21"/>
              </w:rPr>
            </w:pPr>
          </w:p>
        </w:tc>
      </w:tr>
      <w:tr w14:paraId="224892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trPr>
        <w:tc>
          <w:tcPr>
            <w:tcW w:w="1165" w:type="dxa"/>
            <w:vMerge w:val="continue"/>
            <w:tcBorders>
              <w:top w:val="nil"/>
              <w:left w:val="nil"/>
              <w:bottom w:val="nil"/>
            </w:tcBorders>
            <w:vAlign w:val="top"/>
          </w:tcPr>
          <w:p w14:paraId="5AB8B8D5">
            <w:pPr>
              <w:rPr>
                <w:rFonts w:ascii="Arial"/>
                <w:sz w:val="21"/>
              </w:rPr>
            </w:pPr>
          </w:p>
        </w:tc>
        <w:tc>
          <w:tcPr>
            <w:tcW w:w="2771" w:type="dxa"/>
            <w:vAlign w:val="top"/>
          </w:tcPr>
          <w:p w14:paraId="1CA79C3A">
            <w:pPr>
              <w:pStyle w:val="6"/>
              <w:spacing w:before="41" w:line="207" w:lineRule="auto"/>
              <w:ind w:left="236"/>
              <w:rPr>
                <w:sz w:val="20"/>
                <w:szCs w:val="20"/>
              </w:rPr>
            </w:pPr>
            <w:r>
              <w:rPr>
                <w:spacing w:val="9"/>
                <w:sz w:val="20"/>
                <w:szCs w:val="20"/>
              </w:rPr>
              <w:t>锰硅出铁出渣及浇铸烟气</w:t>
            </w:r>
          </w:p>
        </w:tc>
        <w:tc>
          <w:tcPr>
            <w:tcW w:w="4012" w:type="dxa"/>
            <w:vAlign w:val="top"/>
          </w:tcPr>
          <w:p w14:paraId="16DAD560">
            <w:pPr>
              <w:pStyle w:val="6"/>
              <w:spacing w:before="41" w:line="207" w:lineRule="auto"/>
              <w:ind w:left="404"/>
              <w:rPr>
                <w:sz w:val="20"/>
                <w:szCs w:val="20"/>
              </w:rPr>
            </w:pPr>
            <w:r>
              <w:rPr>
                <w:rFonts w:ascii="Times New Roman" w:hAnsi="Times New Roman" w:eastAsia="Times New Roman" w:cs="Times New Roman"/>
                <w:spacing w:val="8"/>
                <w:sz w:val="20"/>
                <w:szCs w:val="20"/>
              </w:rPr>
              <w:t xml:space="preserve">6 </w:t>
            </w:r>
            <w:r>
              <w:rPr>
                <w:spacing w:val="8"/>
                <w:sz w:val="20"/>
                <w:szCs w:val="20"/>
              </w:rPr>
              <w:t>套旋风除尘器</w:t>
            </w:r>
            <w:r>
              <w:rPr>
                <w:rFonts w:ascii="Times New Roman" w:hAnsi="Times New Roman" w:eastAsia="Times New Roman" w:cs="Times New Roman"/>
                <w:spacing w:val="8"/>
                <w:sz w:val="20"/>
                <w:szCs w:val="20"/>
              </w:rPr>
              <w:t>+</w:t>
            </w:r>
            <w:r>
              <w:rPr>
                <w:spacing w:val="8"/>
                <w:sz w:val="20"/>
                <w:szCs w:val="20"/>
              </w:rPr>
              <w:t>耐高温布袋除尘器</w:t>
            </w:r>
          </w:p>
        </w:tc>
        <w:tc>
          <w:tcPr>
            <w:tcW w:w="1391" w:type="dxa"/>
            <w:vAlign w:val="top"/>
          </w:tcPr>
          <w:p w14:paraId="2C6B0E8C">
            <w:pPr>
              <w:spacing w:before="77" w:line="195" w:lineRule="auto"/>
              <w:ind w:left="598"/>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1599" w:type="dxa"/>
            <w:vAlign w:val="top"/>
          </w:tcPr>
          <w:p w14:paraId="3CE90D6D">
            <w:pPr>
              <w:spacing w:before="77" w:line="195" w:lineRule="auto"/>
              <w:ind w:left="53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99.5%</w:t>
            </w:r>
          </w:p>
        </w:tc>
        <w:tc>
          <w:tcPr>
            <w:tcW w:w="3085" w:type="dxa"/>
            <w:vMerge w:val="continue"/>
            <w:tcBorders>
              <w:top w:val="nil"/>
              <w:bottom w:val="nil"/>
              <w:right w:val="nil"/>
            </w:tcBorders>
            <w:vAlign w:val="top"/>
          </w:tcPr>
          <w:p w14:paraId="7CF7A4FA">
            <w:pPr>
              <w:rPr>
                <w:rFonts w:ascii="Arial"/>
                <w:sz w:val="21"/>
              </w:rPr>
            </w:pPr>
          </w:p>
        </w:tc>
      </w:tr>
      <w:tr w14:paraId="4443A2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9" w:hRule="atLeast"/>
        </w:trPr>
        <w:tc>
          <w:tcPr>
            <w:tcW w:w="1165" w:type="dxa"/>
            <w:vMerge w:val="continue"/>
            <w:tcBorders>
              <w:top w:val="nil"/>
              <w:left w:val="nil"/>
              <w:bottom w:val="nil"/>
            </w:tcBorders>
            <w:vAlign w:val="top"/>
          </w:tcPr>
          <w:p w14:paraId="41B06A46">
            <w:pPr>
              <w:rPr>
                <w:rFonts w:ascii="Arial"/>
                <w:sz w:val="21"/>
              </w:rPr>
            </w:pPr>
          </w:p>
        </w:tc>
        <w:tc>
          <w:tcPr>
            <w:tcW w:w="2771" w:type="dxa"/>
            <w:vAlign w:val="top"/>
          </w:tcPr>
          <w:p w14:paraId="3288AD2D">
            <w:pPr>
              <w:spacing w:line="249" w:lineRule="auto"/>
              <w:rPr>
                <w:rFonts w:ascii="Arial"/>
                <w:sz w:val="21"/>
              </w:rPr>
            </w:pPr>
          </w:p>
          <w:p w14:paraId="7C4F8EB0">
            <w:pPr>
              <w:pStyle w:val="6"/>
              <w:spacing w:before="65" w:line="228" w:lineRule="auto"/>
              <w:ind w:left="552"/>
              <w:rPr>
                <w:sz w:val="20"/>
                <w:szCs w:val="20"/>
              </w:rPr>
            </w:pPr>
            <w:r>
              <w:rPr>
                <w:spacing w:val="8"/>
                <w:sz w:val="20"/>
                <w:szCs w:val="20"/>
              </w:rPr>
              <w:t>燃气发电锅炉烟气</w:t>
            </w:r>
          </w:p>
        </w:tc>
        <w:tc>
          <w:tcPr>
            <w:tcW w:w="4012" w:type="dxa"/>
            <w:vAlign w:val="top"/>
          </w:tcPr>
          <w:p w14:paraId="58A41FD0">
            <w:pPr>
              <w:pStyle w:val="6"/>
              <w:spacing w:before="45" w:line="235" w:lineRule="auto"/>
              <w:ind w:left="9" w:right="1" w:hanging="3"/>
              <w:jc w:val="both"/>
              <w:rPr>
                <w:sz w:val="20"/>
                <w:szCs w:val="20"/>
              </w:rPr>
            </w:pPr>
            <w:r>
              <w:rPr>
                <w:spacing w:val="11"/>
                <w:sz w:val="20"/>
                <w:szCs w:val="20"/>
              </w:rPr>
              <w:t>采用</w:t>
            </w:r>
            <w:r>
              <w:rPr>
                <w:spacing w:val="-10"/>
                <w:sz w:val="20"/>
                <w:szCs w:val="20"/>
              </w:rPr>
              <w:t xml:space="preserve"> </w:t>
            </w:r>
            <w:r>
              <w:rPr>
                <w:rFonts w:ascii="Times New Roman" w:hAnsi="Times New Roman" w:eastAsia="Times New Roman" w:cs="Times New Roman"/>
                <w:spacing w:val="11"/>
                <w:sz w:val="20"/>
                <w:szCs w:val="20"/>
              </w:rPr>
              <w:t>1</w:t>
            </w:r>
            <w:r>
              <w:rPr>
                <w:rFonts w:ascii="Times New Roman" w:hAnsi="Times New Roman" w:eastAsia="Times New Roman" w:cs="Times New Roman"/>
                <w:spacing w:val="18"/>
                <w:w w:val="101"/>
                <w:sz w:val="20"/>
                <w:szCs w:val="20"/>
              </w:rPr>
              <w:t xml:space="preserve"> </w:t>
            </w:r>
            <w:r>
              <w:rPr>
                <w:spacing w:val="11"/>
                <w:sz w:val="20"/>
                <w:szCs w:val="20"/>
              </w:rPr>
              <w:t>套小苏打干法脱硫</w:t>
            </w:r>
            <w:r>
              <w:rPr>
                <w:rFonts w:ascii="Times New Roman" w:hAnsi="Times New Roman" w:eastAsia="Times New Roman" w:cs="Times New Roman"/>
                <w:spacing w:val="11"/>
                <w:sz w:val="20"/>
                <w:szCs w:val="20"/>
              </w:rPr>
              <w:t>+</w:t>
            </w:r>
            <w:r>
              <w:rPr>
                <w:rFonts w:ascii="Times New Roman" w:hAnsi="Times New Roman" w:eastAsia="Times New Roman" w:cs="Times New Roman"/>
                <w:sz w:val="20"/>
                <w:szCs w:val="20"/>
              </w:rPr>
              <w:t>SCR</w:t>
            </w:r>
            <w:r>
              <w:rPr>
                <w:rFonts w:ascii="Times New Roman" w:hAnsi="Times New Roman" w:eastAsia="Times New Roman" w:cs="Times New Roman"/>
                <w:spacing w:val="11"/>
                <w:sz w:val="20"/>
                <w:szCs w:val="20"/>
              </w:rPr>
              <w:t xml:space="preserve"> </w:t>
            </w:r>
            <w:r>
              <w:rPr>
                <w:spacing w:val="11"/>
                <w:sz w:val="20"/>
                <w:szCs w:val="20"/>
              </w:rPr>
              <w:t>脱硝装置处</w:t>
            </w:r>
            <w:r>
              <w:rPr>
                <w:sz w:val="20"/>
                <w:szCs w:val="20"/>
              </w:rPr>
              <w:t xml:space="preserve"> </w:t>
            </w:r>
            <w:r>
              <w:rPr>
                <w:spacing w:val="4"/>
                <w:sz w:val="20"/>
                <w:szCs w:val="20"/>
              </w:rPr>
              <w:t>理，脱硝处理后的烟气汇集经</w:t>
            </w:r>
            <w:r>
              <w:rPr>
                <w:spacing w:val="-21"/>
                <w:sz w:val="20"/>
                <w:szCs w:val="20"/>
              </w:rPr>
              <w:t xml:space="preserve"> </w:t>
            </w:r>
            <w:r>
              <w:rPr>
                <w:rFonts w:ascii="Times New Roman" w:hAnsi="Times New Roman" w:eastAsia="Times New Roman" w:cs="Times New Roman"/>
                <w:spacing w:val="4"/>
                <w:sz w:val="20"/>
                <w:szCs w:val="20"/>
              </w:rPr>
              <w:t xml:space="preserve">1 </w:t>
            </w:r>
            <w:r>
              <w:rPr>
                <w:spacing w:val="4"/>
                <w:sz w:val="20"/>
                <w:szCs w:val="20"/>
              </w:rPr>
              <w:t>根</w:t>
            </w:r>
            <w:r>
              <w:rPr>
                <w:spacing w:val="-42"/>
                <w:sz w:val="20"/>
                <w:szCs w:val="20"/>
              </w:rPr>
              <w:t xml:space="preserve"> </w:t>
            </w:r>
            <w:r>
              <w:rPr>
                <w:rFonts w:ascii="Times New Roman" w:hAnsi="Times New Roman" w:eastAsia="Times New Roman" w:cs="Times New Roman"/>
                <w:spacing w:val="4"/>
                <w:sz w:val="20"/>
                <w:szCs w:val="20"/>
              </w:rPr>
              <w:t>45m</w:t>
            </w:r>
            <w:r>
              <w:rPr>
                <w:rFonts w:ascii="Times New Roman" w:hAnsi="Times New Roman" w:eastAsia="Times New Roman" w:cs="Times New Roman"/>
                <w:spacing w:val="17"/>
                <w:w w:val="101"/>
                <w:sz w:val="20"/>
                <w:szCs w:val="20"/>
              </w:rPr>
              <w:t xml:space="preserve"> </w:t>
            </w:r>
            <w:r>
              <w:rPr>
                <w:spacing w:val="4"/>
                <w:sz w:val="20"/>
                <w:szCs w:val="20"/>
              </w:rPr>
              <w:t>高烟</w:t>
            </w:r>
            <w:r>
              <w:rPr>
                <w:sz w:val="20"/>
                <w:szCs w:val="20"/>
              </w:rPr>
              <w:t xml:space="preserve"> </w:t>
            </w:r>
            <w:r>
              <w:rPr>
                <w:spacing w:val="11"/>
                <w:sz w:val="20"/>
                <w:szCs w:val="20"/>
              </w:rPr>
              <w:t>囱（发电机组排气筒</w:t>
            </w:r>
            <w:r>
              <w:rPr>
                <w:rFonts w:ascii="Times New Roman" w:hAnsi="Times New Roman" w:eastAsia="Times New Roman" w:cs="Times New Roman"/>
                <w:sz w:val="20"/>
                <w:szCs w:val="20"/>
              </w:rPr>
              <w:t>DA</w:t>
            </w:r>
            <w:r>
              <w:rPr>
                <w:rFonts w:ascii="Times New Roman" w:hAnsi="Times New Roman" w:eastAsia="Times New Roman" w:cs="Times New Roman"/>
                <w:spacing w:val="11"/>
                <w:sz w:val="20"/>
                <w:szCs w:val="20"/>
              </w:rPr>
              <w:t>014</w:t>
            </w:r>
            <w:r>
              <w:rPr>
                <w:spacing w:val="11"/>
                <w:sz w:val="20"/>
                <w:szCs w:val="20"/>
              </w:rPr>
              <w:t>）排放。</w:t>
            </w:r>
          </w:p>
        </w:tc>
        <w:tc>
          <w:tcPr>
            <w:tcW w:w="1391" w:type="dxa"/>
            <w:vAlign w:val="top"/>
          </w:tcPr>
          <w:p w14:paraId="0B80BF07">
            <w:pPr>
              <w:spacing w:line="292" w:lineRule="auto"/>
              <w:rPr>
                <w:rFonts w:ascii="Arial"/>
                <w:sz w:val="21"/>
              </w:rPr>
            </w:pPr>
          </w:p>
          <w:p w14:paraId="5BDA9DDC">
            <w:pPr>
              <w:spacing w:before="57" w:line="195" w:lineRule="auto"/>
              <w:ind w:left="543"/>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300</w:t>
            </w:r>
          </w:p>
        </w:tc>
        <w:tc>
          <w:tcPr>
            <w:tcW w:w="1599" w:type="dxa"/>
            <w:vAlign w:val="top"/>
          </w:tcPr>
          <w:p w14:paraId="0A97E226">
            <w:pPr>
              <w:pStyle w:val="6"/>
              <w:spacing w:before="178" w:line="241" w:lineRule="auto"/>
              <w:ind w:left="377" w:right="367"/>
              <w:rPr>
                <w:rFonts w:ascii="Times New Roman" w:hAnsi="Times New Roman" w:eastAsia="Times New Roman" w:cs="Times New Roman"/>
                <w:sz w:val="20"/>
                <w:szCs w:val="20"/>
              </w:rPr>
            </w:pPr>
            <w:r>
              <w:rPr>
                <w:spacing w:val="3"/>
                <w:sz w:val="20"/>
                <w:szCs w:val="20"/>
              </w:rPr>
              <w:t>脱硫</w:t>
            </w:r>
            <w:r>
              <w:rPr>
                <w:spacing w:val="-34"/>
                <w:sz w:val="20"/>
                <w:szCs w:val="20"/>
              </w:rPr>
              <w:t xml:space="preserve"> </w:t>
            </w:r>
            <w:r>
              <w:rPr>
                <w:rFonts w:ascii="Times New Roman" w:hAnsi="Times New Roman" w:eastAsia="Times New Roman" w:cs="Times New Roman"/>
                <w:spacing w:val="3"/>
                <w:sz w:val="20"/>
                <w:szCs w:val="20"/>
              </w:rPr>
              <w:t>60%</w:t>
            </w:r>
            <w:r>
              <w:rPr>
                <w:rFonts w:ascii="Times New Roman" w:hAnsi="Times New Roman" w:eastAsia="Times New Roman" w:cs="Times New Roman"/>
                <w:sz w:val="20"/>
                <w:szCs w:val="20"/>
              </w:rPr>
              <w:t xml:space="preserve"> </w:t>
            </w:r>
            <w:r>
              <w:rPr>
                <w:spacing w:val="3"/>
                <w:sz w:val="20"/>
                <w:szCs w:val="20"/>
              </w:rPr>
              <w:t>脱硝</w:t>
            </w:r>
            <w:r>
              <w:rPr>
                <w:spacing w:val="-34"/>
                <w:sz w:val="20"/>
                <w:szCs w:val="20"/>
              </w:rPr>
              <w:t xml:space="preserve"> </w:t>
            </w:r>
            <w:r>
              <w:rPr>
                <w:rFonts w:ascii="Times New Roman" w:hAnsi="Times New Roman" w:eastAsia="Times New Roman" w:cs="Times New Roman"/>
                <w:spacing w:val="3"/>
                <w:sz w:val="20"/>
                <w:szCs w:val="20"/>
              </w:rPr>
              <w:t>65%</w:t>
            </w:r>
          </w:p>
        </w:tc>
        <w:tc>
          <w:tcPr>
            <w:tcW w:w="3085" w:type="dxa"/>
            <w:vMerge w:val="continue"/>
            <w:tcBorders>
              <w:top w:val="nil"/>
              <w:bottom w:val="nil"/>
              <w:right w:val="nil"/>
            </w:tcBorders>
            <w:vAlign w:val="top"/>
          </w:tcPr>
          <w:p w14:paraId="3ECEFBD5">
            <w:pPr>
              <w:rPr>
                <w:rFonts w:ascii="Arial"/>
                <w:sz w:val="21"/>
              </w:rPr>
            </w:pPr>
          </w:p>
        </w:tc>
      </w:tr>
      <w:tr w14:paraId="13F798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 w:hRule="atLeast"/>
        </w:trPr>
        <w:tc>
          <w:tcPr>
            <w:tcW w:w="1165" w:type="dxa"/>
            <w:vMerge w:val="continue"/>
            <w:tcBorders>
              <w:top w:val="nil"/>
              <w:left w:val="nil"/>
              <w:bottom w:val="nil"/>
            </w:tcBorders>
            <w:vAlign w:val="top"/>
          </w:tcPr>
          <w:p w14:paraId="371C1513">
            <w:pPr>
              <w:rPr>
                <w:rFonts w:ascii="Arial"/>
                <w:sz w:val="21"/>
              </w:rPr>
            </w:pPr>
          </w:p>
        </w:tc>
        <w:tc>
          <w:tcPr>
            <w:tcW w:w="2771" w:type="dxa"/>
            <w:vAlign w:val="top"/>
          </w:tcPr>
          <w:p w14:paraId="09F1CB46">
            <w:pPr>
              <w:spacing w:line="250" w:lineRule="auto"/>
              <w:rPr>
                <w:rFonts w:ascii="Arial"/>
                <w:sz w:val="21"/>
              </w:rPr>
            </w:pPr>
          </w:p>
          <w:p w14:paraId="47DEF182">
            <w:pPr>
              <w:pStyle w:val="6"/>
              <w:spacing w:before="65" w:line="228" w:lineRule="auto"/>
              <w:ind w:left="972"/>
              <w:rPr>
                <w:sz w:val="20"/>
                <w:szCs w:val="20"/>
              </w:rPr>
            </w:pPr>
            <w:r>
              <w:rPr>
                <w:spacing w:val="6"/>
                <w:sz w:val="20"/>
                <w:szCs w:val="20"/>
              </w:rPr>
              <w:t>餐厨油烟</w:t>
            </w:r>
          </w:p>
        </w:tc>
        <w:tc>
          <w:tcPr>
            <w:tcW w:w="4012" w:type="dxa"/>
            <w:vAlign w:val="top"/>
          </w:tcPr>
          <w:p w14:paraId="3FE483CD">
            <w:pPr>
              <w:spacing w:line="250" w:lineRule="auto"/>
              <w:rPr>
                <w:rFonts w:ascii="Arial"/>
                <w:sz w:val="21"/>
              </w:rPr>
            </w:pPr>
          </w:p>
          <w:p w14:paraId="6D2214CA">
            <w:pPr>
              <w:pStyle w:val="6"/>
              <w:spacing w:before="65" w:line="228" w:lineRule="auto"/>
              <w:ind w:left="1319"/>
              <w:rPr>
                <w:sz w:val="20"/>
                <w:szCs w:val="20"/>
              </w:rPr>
            </w:pPr>
            <w:r>
              <w:rPr>
                <w:rFonts w:ascii="Times New Roman" w:hAnsi="Times New Roman" w:eastAsia="Times New Roman" w:cs="Times New Roman"/>
                <w:spacing w:val="2"/>
                <w:sz w:val="20"/>
                <w:szCs w:val="20"/>
              </w:rPr>
              <w:t>1</w:t>
            </w:r>
            <w:r>
              <w:rPr>
                <w:rFonts w:ascii="Times New Roman" w:hAnsi="Times New Roman" w:eastAsia="Times New Roman" w:cs="Times New Roman"/>
                <w:spacing w:val="26"/>
                <w:w w:val="101"/>
                <w:sz w:val="20"/>
                <w:szCs w:val="20"/>
              </w:rPr>
              <w:t xml:space="preserve"> </w:t>
            </w:r>
            <w:r>
              <w:rPr>
                <w:spacing w:val="2"/>
                <w:sz w:val="20"/>
                <w:szCs w:val="20"/>
              </w:rPr>
              <w:t>台油烟净化器</w:t>
            </w:r>
          </w:p>
        </w:tc>
        <w:tc>
          <w:tcPr>
            <w:tcW w:w="1391" w:type="dxa"/>
            <w:vAlign w:val="top"/>
          </w:tcPr>
          <w:p w14:paraId="01A31162">
            <w:pPr>
              <w:spacing w:line="293" w:lineRule="auto"/>
              <w:rPr>
                <w:rFonts w:ascii="Arial"/>
                <w:sz w:val="21"/>
              </w:rPr>
            </w:pPr>
          </w:p>
          <w:p w14:paraId="76D52425">
            <w:pPr>
              <w:spacing w:before="58" w:line="195" w:lineRule="auto"/>
              <w:ind w:left="59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1599" w:type="dxa"/>
            <w:vAlign w:val="top"/>
          </w:tcPr>
          <w:p w14:paraId="05B236E6">
            <w:pPr>
              <w:spacing w:line="293" w:lineRule="auto"/>
              <w:rPr>
                <w:rFonts w:ascii="Arial"/>
                <w:sz w:val="21"/>
              </w:rPr>
            </w:pPr>
          </w:p>
          <w:p w14:paraId="2B3717A5">
            <w:pPr>
              <w:spacing w:before="58" w:line="195" w:lineRule="auto"/>
              <w:ind w:left="618"/>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85%</w:t>
            </w:r>
          </w:p>
        </w:tc>
        <w:tc>
          <w:tcPr>
            <w:tcW w:w="3085" w:type="dxa"/>
            <w:vMerge w:val="continue"/>
            <w:tcBorders>
              <w:top w:val="nil"/>
              <w:right w:val="nil"/>
            </w:tcBorders>
            <w:vAlign w:val="top"/>
          </w:tcPr>
          <w:p w14:paraId="1D89BAEA">
            <w:pPr>
              <w:rPr>
                <w:rFonts w:ascii="Arial"/>
                <w:sz w:val="21"/>
              </w:rPr>
            </w:pPr>
          </w:p>
        </w:tc>
      </w:tr>
      <w:tr w14:paraId="7E2AC6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0" w:hRule="atLeast"/>
        </w:trPr>
        <w:tc>
          <w:tcPr>
            <w:tcW w:w="1165" w:type="dxa"/>
            <w:vMerge w:val="continue"/>
            <w:tcBorders>
              <w:top w:val="nil"/>
              <w:left w:val="nil"/>
            </w:tcBorders>
            <w:vAlign w:val="top"/>
          </w:tcPr>
          <w:p w14:paraId="5E74E27C">
            <w:pPr>
              <w:rPr>
                <w:rFonts w:ascii="Arial"/>
                <w:sz w:val="21"/>
              </w:rPr>
            </w:pPr>
          </w:p>
        </w:tc>
        <w:tc>
          <w:tcPr>
            <w:tcW w:w="2771" w:type="dxa"/>
            <w:vAlign w:val="top"/>
          </w:tcPr>
          <w:p w14:paraId="42862763">
            <w:pPr>
              <w:spacing w:line="390" w:lineRule="auto"/>
              <w:rPr>
                <w:rFonts w:ascii="Arial"/>
                <w:sz w:val="21"/>
              </w:rPr>
            </w:pPr>
          </w:p>
          <w:p w14:paraId="30F89725">
            <w:pPr>
              <w:pStyle w:val="6"/>
              <w:spacing w:before="65" w:line="228" w:lineRule="auto"/>
              <w:ind w:left="867"/>
              <w:rPr>
                <w:sz w:val="20"/>
                <w:szCs w:val="20"/>
              </w:rPr>
            </w:pPr>
            <w:r>
              <w:rPr>
                <w:spacing w:val="7"/>
                <w:sz w:val="20"/>
                <w:szCs w:val="20"/>
              </w:rPr>
              <w:t>无组织排放</w:t>
            </w:r>
          </w:p>
        </w:tc>
        <w:tc>
          <w:tcPr>
            <w:tcW w:w="4012" w:type="dxa"/>
            <w:vAlign w:val="top"/>
          </w:tcPr>
          <w:p w14:paraId="009804E1">
            <w:pPr>
              <w:pStyle w:val="6"/>
              <w:spacing w:before="48" w:line="238" w:lineRule="auto"/>
              <w:ind w:left="7" w:firstLine="1"/>
              <w:jc w:val="both"/>
              <w:rPr>
                <w:sz w:val="20"/>
                <w:szCs w:val="20"/>
              </w:rPr>
            </w:pPr>
            <w:r>
              <w:rPr>
                <w:spacing w:val="7"/>
                <w:sz w:val="20"/>
                <w:szCs w:val="20"/>
              </w:rPr>
              <w:t>车间封闭、废气排放点设集气罩</w:t>
            </w:r>
            <w:r>
              <w:rPr>
                <w:rFonts w:ascii="Times New Roman" w:hAnsi="Times New Roman" w:eastAsia="Times New Roman" w:cs="Times New Roman"/>
                <w:spacing w:val="7"/>
                <w:sz w:val="20"/>
                <w:szCs w:val="20"/>
              </w:rPr>
              <w:t>/</w:t>
            </w:r>
            <w:r>
              <w:rPr>
                <w:spacing w:val="7"/>
                <w:sz w:val="20"/>
                <w:szCs w:val="20"/>
              </w:rPr>
              <w:t>密闭罩、物</w:t>
            </w:r>
            <w:r>
              <w:rPr>
                <w:spacing w:val="1"/>
                <w:sz w:val="20"/>
                <w:szCs w:val="20"/>
              </w:rPr>
              <w:t xml:space="preserve"> </w:t>
            </w:r>
            <w:r>
              <w:rPr>
                <w:spacing w:val="10"/>
                <w:sz w:val="20"/>
                <w:szCs w:val="20"/>
              </w:rPr>
              <w:t>料封闭式皮带运输、喷雾抑尘，库房全封闭</w:t>
            </w:r>
            <w:r>
              <w:rPr>
                <w:spacing w:val="5"/>
                <w:sz w:val="20"/>
                <w:szCs w:val="20"/>
              </w:rPr>
              <w:t xml:space="preserve"> </w:t>
            </w:r>
            <w:r>
              <w:rPr>
                <w:spacing w:val="10"/>
                <w:sz w:val="20"/>
                <w:szCs w:val="20"/>
              </w:rPr>
              <w:t>建设、物料封闭式皮带运输、喷雾抑尘道路</w:t>
            </w:r>
            <w:r>
              <w:rPr>
                <w:spacing w:val="5"/>
                <w:sz w:val="20"/>
                <w:szCs w:val="20"/>
              </w:rPr>
              <w:t xml:space="preserve"> </w:t>
            </w:r>
            <w:r>
              <w:rPr>
                <w:spacing w:val="7"/>
                <w:sz w:val="20"/>
                <w:szCs w:val="20"/>
              </w:rPr>
              <w:t>定期洒水和清扫。</w:t>
            </w:r>
          </w:p>
        </w:tc>
        <w:tc>
          <w:tcPr>
            <w:tcW w:w="1391" w:type="dxa"/>
            <w:vAlign w:val="top"/>
          </w:tcPr>
          <w:p w14:paraId="3A9D4E71">
            <w:pPr>
              <w:spacing w:line="390" w:lineRule="auto"/>
              <w:rPr>
                <w:rFonts w:ascii="Arial"/>
                <w:sz w:val="21"/>
              </w:rPr>
            </w:pPr>
          </w:p>
          <w:p w14:paraId="329824E5">
            <w:pPr>
              <w:pStyle w:val="6"/>
              <w:spacing w:before="65" w:line="229" w:lineRule="auto"/>
              <w:ind w:left="281"/>
              <w:rPr>
                <w:sz w:val="20"/>
                <w:szCs w:val="20"/>
              </w:rPr>
            </w:pPr>
            <w:r>
              <w:rPr>
                <w:spacing w:val="7"/>
                <w:sz w:val="20"/>
                <w:szCs w:val="20"/>
              </w:rPr>
              <w:t>计入基建</w:t>
            </w:r>
          </w:p>
        </w:tc>
        <w:tc>
          <w:tcPr>
            <w:tcW w:w="1599" w:type="dxa"/>
            <w:vAlign w:val="top"/>
          </w:tcPr>
          <w:p w14:paraId="7D894B24">
            <w:pPr>
              <w:spacing w:line="429" w:lineRule="auto"/>
              <w:rPr>
                <w:rFonts w:ascii="Arial"/>
                <w:sz w:val="21"/>
              </w:rPr>
            </w:pPr>
          </w:p>
          <w:p w14:paraId="6DCF1A68">
            <w:pPr>
              <w:spacing w:before="57" w:line="199" w:lineRule="auto"/>
              <w:ind w:left="7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085" w:type="dxa"/>
            <w:tcBorders>
              <w:right w:val="nil"/>
            </w:tcBorders>
            <w:vAlign w:val="top"/>
          </w:tcPr>
          <w:p w14:paraId="0905F3F4">
            <w:pPr>
              <w:pStyle w:val="6"/>
              <w:spacing w:before="183" w:line="241" w:lineRule="auto"/>
              <w:ind w:left="66" w:right="50" w:firstLine="19"/>
              <w:rPr>
                <w:sz w:val="20"/>
                <w:szCs w:val="20"/>
              </w:rPr>
            </w:pPr>
            <w:r>
              <w:rPr>
                <w:spacing w:val="7"/>
                <w:sz w:val="20"/>
                <w:szCs w:val="20"/>
              </w:rPr>
              <w:t>《铁合金工业污染物排放标准》</w:t>
            </w:r>
            <w:r>
              <w:rPr>
                <w:spacing w:val="12"/>
                <w:sz w:val="20"/>
                <w:szCs w:val="20"/>
              </w:rPr>
              <w:t xml:space="preserve"> </w:t>
            </w:r>
            <w:r>
              <w:rPr>
                <w:spacing w:val="5"/>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28666-2012</w:t>
            </w:r>
            <w:r>
              <w:rPr>
                <w:spacing w:val="5"/>
                <w:sz w:val="20"/>
                <w:szCs w:val="20"/>
              </w:rPr>
              <w:t>）表</w:t>
            </w:r>
            <w:r>
              <w:rPr>
                <w:spacing w:val="-26"/>
                <w:sz w:val="20"/>
                <w:szCs w:val="20"/>
              </w:rPr>
              <w:t xml:space="preserve"> </w:t>
            </w:r>
            <w:r>
              <w:rPr>
                <w:rFonts w:ascii="Times New Roman" w:hAnsi="Times New Roman" w:eastAsia="Times New Roman" w:cs="Times New Roman"/>
                <w:spacing w:val="5"/>
                <w:sz w:val="20"/>
                <w:szCs w:val="20"/>
              </w:rPr>
              <w:t xml:space="preserve">7 </w:t>
            </w:r>
            <w:r>
              <w:rPr>
                <w:spacing w:val="5"/>
                <w:sz w:val="20"/>
                <w:szCs w:val="20"/>
              </w:rPr>
              <w:t>企业边界</w:t>
            </w:r>
          </w:p>
          <w:p w14:paraId="1E7D1E1D">
            <w:pPr>
              <w:pStyle w:val="6"/>
              <w:spacing w:before="23" w:line="228" w:lineRule="auto"/>
              <w:ind w:left="606"/>
              <w:rPr>
                <w:sz w:val="20"/>
                <w:szCs w:val="20"/>
              </w:rPr>
            </w:pPr>
            <w:r>
              <w:rPr>
                <w:spacing w:val="8"/>
                <w:sz w:val="20"/>
                <w:szCs w:val="20"/>
              </w:rPr>
              <w:t>大气污染物排放标准</w:t>
            </w:r>
          </w:p>
        </w:tc>
      </w:tr>
      <w:tr w14:paraId="62ED3C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9" w:hRule="atLeast"/>
        </w:trPr>
        <w:tc>
          <w:tcPr>
            <w:tcW w:w="1165" w:type="dxa"/>
            <w:vMerge w:val="restart"/>
            <w:tcBorders>
              <w:left w:val="nil"/>
              <w:bottom w:val="nil"/>
            </w:tcBorders>
            <w:vAlign w:val="top"/>
          </w:tcPr>
          <w:p w14:paraId="7A059F62">
            <w:pPr>
              <w:spacing w:line="398" w:lineRule="auto"/>
              <w:rPr>
                <w:rFonts w:ascii="Arial"/>
                <w:sz w:val="21"/>
              </w:rPr>
            </w:pPr>
          </w:p>
          <w:p w14:paraId="2109E3AF">
            <w:pPr>
              <w:pStyle w:val="6"/>
              <w:spacing w:before="65" w:line="228" w:lineRule="auto"/>
              <w:ind w:left="378"/>
              <w:rPr>
                <w:sz w:val="20"/>
                <w:szCs w:val="20"/>
              </w:rPr>
            </w:pPr>
            <w:r>
              <w:rPr>
                <w:spacing w:val="5"/>
                <w:sz w:val="20"/>
                <w:szCs w:val="20"/>
              </w:rPr>
              <w:t>废水</w:t>
            </w:r>
          </w:p>
        </w:tc>
        <w:tc>
          <w:tcPr>
            <w:tcW w:w="2771" w:type="dxa"/>
            <w:vAlign w:val="top"/>
          </w:tcPr>
          <w:p w14:paraId="7A61BF24">
            <w:pPr>
              <w:spacing w:line="257" w:lineRule="auto"/>
              <w:rPr>
                <w:rFonts w:ascii="Arial"/>
                <w:sz w:val="21"/>
              </w:rPr>
            </w:pPr>
          </w:p>
          <w:p w14:paraId="5A865413">
            <w:pPr>
              <w:pStyle w:val="6"/>
              <w:spacing w:before="65" w:line="228" w:lineRule="auto"/>
              <w:ind w:left="764"/>
              <w:rPr>
                <w:sz w:val="20"/>
                <w:szCs w:val="20"/>
              </w:rPr>
            </w:pPr>
            <w:r>
              <w:rPr>
                <w:spacing w:val="7"/>
                <w:sz w:val="20"/>
                <w:szCs w:val="20"/>
              </w:rPr>
              <w:t>生活污水处理</w:t>
            </w:r>
          </w:p>
        </w:tc>
        <w:tc>
          <w:tcPr>
            <w:tcW w:w="4012" w:type="dxa"/>
            <w:vAlign w:val="top"/>
          </w:tcPr>
          <w:p w14:paraId="6831DA86">
            <w:pPr>
              <w:pStyle w:val="6"/>
              <w:spacing w:before="54" w:line="232" w:lineRule="auto"/>
              <w:ind w:left="7" w:right="2"/>
              <w:jc w:val="both"/>
              <w:rPr>
                <w:sz w:val="20"/>
                <w:szCs w:val="20"/>
              </w:rPr>
            </w:pPr>
            <w:r>
              <w:rPr>
                <w:spacing w:val="8"/>
                <w:sz w:val="20"/>
                <w:szCs w:val="20"/>
              </w:rPr>
              <w:t>地埋式一体化污水处理设施处理后，</w:t>
            </w:r>
            <w:r>
              <w:rPr>
                <w:spacing w:val="-56"/>
                <w:sz w:val="20"/>
                <w:szCs w:val="20"/>
              </w:rPr>
              <w:t xml:space="preserve"> </w:t>
            </w:r>
            <w:r>
              <w:rPr>
                <w:spacing w:val="8"/>
                <w:sz w:val="20"/>
                <w:szCs w:val="20"/>
              </w:rPr>
              <w:t>由罐车</w:t>
            </w:r>
            <w:r>
              <w:rPr>
                <w:sz w:val="20"/>
                <w:szCs w:val="20"/>
              </w:rPr>
              <w:t xml:space="preserve"> </w:t>
            </w:r>
            <w:r>
              <w:rPr>
                <w:spacing w:val="10"/>
                <w:sz w:val="20"/>
                <w:szCs w:val="20"/>
              </w:rPr>
              <w:t>运至苏尼特右旗赛汉塔拉镇污水处理厂进一</w:t>
            </w:r>
            <w:r>
              <w:rPr>
                <w:spacing w:val="6"/>
                <w:sz w:val="20"/>
                <w:szCs w:val="20"/>
              </w:rPr>
              <w:t xml:space="preserve"> </w:t>
            </w:r>
            <w:r>
              <w:rPr>
                <w:spacing w:val="5"/>
                <w:sz w:val="20"/>
                <w:szCs w:val="20"/>
              </w:rPr>
              <w:t>步处理。</w:t>
            </w:r>
          </w:p>
        </w:tc>
        <w:tc>
          <w:tcPr>
            <w:tcW w:w="1391" w:type="dxa"/>
            <w:vAlign w:val="top"/>
          </w:tcPr>
          <w:p w14:paraId="54F2549D">
            <w:pPr>
              <w:spacing w:line="258" w:lineRule="auto"/>
              <w:rPr>
                <w:rFonts w:ascii="Arial"/>
                <w:sz w:val="21"/>
              </w:rPr>
            </w:pPr>
          </w:p>
          <w:p w14:paraId="6DD13F64">
            <w:pPr>
              <w:pStyle w:val="6"/>
              <w:spacing w:before="65" w:line="229" w:lineRule="auto"/>
              <w:ind w:left="281"/>
              <w:rPr>
                <w:sz w:val="20"/>
                <w:szCs w:val="20"/>
              </w:rPr>
            </w:pPr>
            <w:r>
              <w:rPr>
                <w:spacing w:val="7"/>
                <w:sz w:val="20"/>
                <w:szCs w:val="20"/>
              </w:rPr>
              <w:t>计入基建</w:t>
            </w:r>
          </w:p>
        </w:tc>
        <w:tc>
          <w:tcPr>
            <w:tcW w:w="1599" w:type="dxa"/>
            <w:vAlign w:val="top"/>
          </w:tcPr>
          <w:p w14:paraId="3BDF12A2">
            <w:pPr>
              <w:spacing w:line="258" w:lineRule="auto"/>
              <w:rPr>
                <w:rFonts w:ascii="Arial"/>
                <w:sz w:val="21"/>
              </w:rPr>
            </w:pPr>
          </w:p>
          <w:p w14:paraId="4C1CF15C">
            <w:pPr>
              <w:pStyle w:val="6"/>
              <w:spacing w:before="65" w:line="228" w:lineRule="auto"/>
              <w:ind w:left="388"/>
              <w:rPr>
                <w:sz w:val="20"/>
                <w:szCs w:val="20"/>
              </w:rPr>
            </w:pPr>
            <w:r>
              <w:rPr>
                <w:spacing w:val="6"/>
                <w:sz w:val="20"/>
                <w:szCs w:val="20"/>
              </w:rPr>
              <w:t>综合利用</w:t>
            </w:r>
          </w:p>
        </w:tc>
        <w:tc>
          <w:tcPr>
            <w:tcW w:w="3085" w:type="dxa"/>
            <w:tcBorders>
              <w:right w:val="nil"/>
            </w:tcBorders>
            <w:vAlign w:val="top"/>
          </w:tcPr>
          <w:p w14:paraId="1C2FF1F0">
            <w:pPr>
              <w:pStyle w:val="6"/>
              <w:spacing w:before="54" w:line="232" w:lineRule="auto"/>
              <w:ind w:left="8" w:right="2" w:firstLine="5"/>
              <w:jc w:val="both"/>
              <w:rPr>
                <w:sz w:val="20"/>
                <w:szCs w:val="20"/>
              </w:rPr>
            </w:pPr>
            <w:r>
              <w:rPr>
                <w:spacing w:val="18"/>
                <w:sz w:val="20"/>
                <w:szCs w:val="20"/>
              </w:rPr>
              <w:t>《铁合金工业污染物排放标准》</w:t>
            </w:r>
            <w:r>
              <w:rPr>
                <w:spacing w:val="2"/>
                <w:sz w:val="20"/>
                <w:szCs w:val="20"/>
              </w:rPr>
              <w:t xml:space="preserve"> </w:t>
            </w:r>
            <w:r>
              <w:rPr>
                <w:spacing w:val="6"/>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28666-2012</w:t>
            </w:r>
            <w:r>
              <w:rPr>
                <w:spacing w:val="6"/>
                <w:sz w:val="20"/>
                <w:szCs w:val="20"/>
              </w:rPr>
              <w:t>）</w:t>
            </w:r>
            <w:r>
              <w:rPr>
                <w:spacing w:val="-45"/>
                <w:sz w:val="20"/>
                <w:szCs w:val="20"/>
              </w:rPr>
              <w:t xml:space="preserve"> </w:t>
            </w:r>
            <w:r>
              <w:rPr>
                <w:spacing w:val="6"/>
                <w:sz w:val="20"/>
                <w:szCs w:val="20"/>
              </w:rPr>
              <w:t>表</w:t>
            </w:r>
            <w:r>
              <w:rPr>
                <w:spacing w:val="-29"/>
                <w:sz w:val="20"/>
                <w:szCs w:val="20"/>
              </w:rPr>
              <w:t xml:space="preserve"> </w:t>
            </w:r>
            <w:r>
              <w:rPr>
                <w:rFonts w:ascii="Times New Roman" w:hAnsi="Times New Roman" w:eastAsia="Times New Roman" w:cs="Times New Roman"/>
                <w:spacing w:val="6"/>
                <w:sz w:val="20"/>
                <w:szCs w:val="20"/>
              </w:rPr>
              <w:t>2</w:t>
            </w:r>
            <w:r>
              <w:rPr>
                <w:rFonts w:ascii="Times New Roman" w:hAnsi="Times New Roman" w:eastAsia="Times New Roman" w:cs="Times New Roman"/>
                <w:spacing w:val="41"/>
                <w:w w:val="101"/>
                <w:sz w:val="20"/>
                <w:szCs w:val="20"/>
              </w:rPr>
              <w:t xml:space="preserve"> </w:t>
            </w:r>
            <w:r>
              <w:rPr>
                <w:spacing w:val="6"/>
                <w:sz w:val="20"/>
                <w:szCs w:val="20"/>
              </w:rPr>
              <w:t>中间接排</w:t>
            </w:r>
            <w:r>
              <w:rPr>
                <w:sz w:val="20"/>
                <w:szCs w:val="20"/>
              </w:rPr>
              <w:t xml:space="preserve"> </w:t>
            </w:r>
            <w:r>
              <w:rPr>
                <w:spacing w:val="6"/>
                <w:sz w:val="20"/>
                <w:szCs w:val="20"/>
              </w:rPr>
              <w:t>放标准</w:t>
            </w:r>
          </w:p>
        </w:tc>
      </w:tr>
      <w:tr w14:paraId="7C3639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9" w:hRule="atLeast"/>
        </w:trPr>
        <w:tc>
          <w:tcPr>
            <w:tcW w:w="1165" w:type="dxa"/>
            <w:vMerge w:val="continue"/>
            <w:tcBorders>
              <w:top w:val="nil"/>
              <w:left w:val="nil"/>
              <w:bottom w:val="single" w:color="000000" w:sz="10" w:space="0"/>
            </w:tcBorders>
            <w:vAlign w:val="top"/>
          </w:tcPr>
          <w:p w14:paraId="120322A8">
            <w:pPr>
              <w:rPr>
                <w:rFonts w:ascii="Arial"/>
                <w:sz w:val="21"/>
              </w:rPr>
            </w:pPr>
          </w:p>
        </w:tc>
        <w:tc>
          <w:tcPr>
            <w:tcW w:w="2771" w:type="dxa"/>
            <w:tcBorders>
              <w:bottom w:val="single" w:color="000000" w:sz="10" w:space="0"/>
            </w:tcBorders>
            <w:vAlign w:val="top"/>
          </w:tcPr>
          <w:p w14:paraId="5B495340">
            <w:pPr>
              <w:pStyle w:val="6"/>
              <w:spacing w:before="54" w:line="216" w:lineRule="auto"/>
              <w:ind w:left="764"/>
              <w:rPr>
                <w:sz w:val="20"/>
                <w:szCs w:val="20"/>
              </w:rPr>
            </w:pPr>
            <w:r>
              <w:rPr>
                <w:spacing w:val="7"/>
                <w:sz w:val="20"/>
                <w:szCs w:val="20"/>
              </w:rPr>
              <w:t>生产废水处理</w:t>
            </w:r>
          </w:p>
        </w:tc>
        <w:tc>
          <w:tcPr>
            <w:tcW w:w="4012" w:type="dxa"/>
            <w:tcBorders>
              <w:bottom w:val="single" w:color="000000" w:sz="10" w:space="0"/>
            </w:tcBorders>
            <w:vAlign w:val="top"/>
          </w:tcPr>
          <w:p w14:paraId="0F70E28F">
            <w:pPr>
              <w:pStyle w:val="6"/>
              <w:spacing w:before="54" w:line="216" w:lineRule="auto"/>
              <w:ind w:left="8"/>
              <w:rPr>
                <w:sz w:val="20"/>
                <w:szCs w:val="20"/>
              </w:rPr>
            </w:pPr>
            <w:r>
              <w:rPr>
                <w:spacing w:val="10"/>
                <w:sz w:val="20"/>
                <w:szCs w:val="20"/>
              </w:rPr>
              <w:t>化验室废水排入地埋式一体化污水处理设施</w:t>
            </w:r>
          </w:p>
        </w:tc>
        <w:tc>
          <w:tcPr>
            <w:tcW w:w="1391" w:type="dxa"/>
            <w:tcBorders>
              <w:bottom w:val="single" w:color="000000" w:sz="10" w:space="0"/>
            </w:tcBorders>
            <w:vAlign w:val="top"/>
          </w:tcPr>
          <w:p w14:paraId="7C772B66">
            <w:pPr>
              <w:spacing w:before="91" w:line="195" w:lineRule="auto"/>
              <w:ind w:left="597"/>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599" w:type="dxa"/>
            <w:tcBorders>
              <w:bottom w:val="single" w:color="000000" w:sz="10" w:space="0"/>
            </w:tcBorders>
            <w:vAlign w:val="top"/>
          </w:tcPr>
          <w:p w14:paraId="282DB828">
            <w:pPr>
              <w:pStyle w:val="6"/>
              <w:spacing w:before="54" w:line="216" w:lineRule="auto"/>
              <w:ind w:left="388"/>
              <w:rPr>
                <w:sz w:val="20"/>
                <w:szCs w:val="20"/>
              </w:rPr>
            </w:pPr>
            <w:r>
              <w:rPr>
                <w:spacing w:val="6"/>
                <w:sz w:val="20"/>
                <w:szCs w:val="20"/>
              </w:rPr>
              <w:t>综合利用</w:t>
            </w:r>
          </w:p>
        </w:tc>
        <w:tc>
          <w:tcPr>
            <w:tcW w:w="3085" w:type="dxa"/>
            <w:tcBorders>
              <w:bottom w:val="single" w:color="000000" w:sz="10" w:space="0"/>
              <w:right w:val="nil"/>
            </w:tcBorders>
            <w:vAlign w:val="top"/>
          </w:tcPr>
          <w:p w14:paraId="7C37439D">
            <w:pPr>
              <w:pStyle w:val="6"/>
              <w:spacing w:before="54" w:line="216" w:lineRule="auto"/>
              <w:ind w:left="1238"/>
              <w:rPr>
                <w:sz w:val="20"/>
                <w:szCs w:val="20"/>
              </w:rPr>
            </w:pPr>
            <w:r>
              <w:rPr>
                <w:spacing w:val="5"/>
                <w:sz w:val="20"/>
                <w:szCs w:val="20"/>
              </w:rPr>
              <w:t>不外排</w:t>
            </w:r>
          </w:p>
        </w:tc>
      </w:tr>
    </w:tbl>
    <w:p w14:paraId="03BA49F9">
      <w:pPr>
        <w:pStyle w:val="2"/>
        <w:spacing w:line="119" w:lineRule="exact"/>
        <w:rPr>
          <w:sz w:val="10"/>
        </w:rPr>
      </w:pPr>
    </w:p>
    <w:p w14:paraId="0911AE20">
      <w:pPr>
        <w:spacing w:line="119" w:lineRule="exact"/>
        <w:rPr>
          <w:sz w:val="10"/>
          <w:szCs w:val="10"/>
        </w:rPr>
        <w:sectPr>
          <w:headerReference r:id="rId481" w:type="default"/>
          <w:footerReference r:id="rId482" w:type="default"/>
          <w:pgSz w:w="16839" w:h="11905"/>
          <w:pgMar w:top="1304" w:right="1407" w:bottom="1335" w:left="1407" w:header="995" w:footer="1173" w:gutter="0"/>
          <w:cols w:space="720" w:num="1"/>
        </w:sectPr>
      </w:pPr>
    </w:p>
    <w:p w14:paraId="72F49D55">
      <w:pPr>
        <w:pStyle w:val="2"/>
        <w:spacing w:line="273" w:lineRule="auto"/>
      </w:pPr>
    </w:p>
    <w:p w14:paraId="066C6234">
      <w:pPr>
        <w:pStyle w:val="2"/>
        <w:spacing w:line="273" w:lineRule="auto"/>
      </w:pPr>
    </w:p>
    <w:p w14:paraId="00F63F2B">
      <w:pPr>
        <w:spacing w:before="65" w:line="226" w:lineRule="auto"/>
        <w:ind w:left="2881"/>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p w14:paraId="29929EE5">
      <w:pPr>
        <w:spacing w:before="16" w:line="58" w:lineRule="exact"/>
        <w:ind w:firstLine="10"/>
      </w:pPr>
      <w:r>
        <w:rPr>
          <w:position w:val="-1"/>
        </w:rPr>
        <w:pict>
          <v:shape id="_x0000_s3083" o:spid="_x0000_s3083" style="height:2.9pt;width:700.25pt;" fillcolor="#000000" filled="t" stroked="f" coordsize="14005,58" path="m0,0l14004,0,14004,14,0,14,0,0xem0,28l14004,28,14004,57,0,57,0,28xe">
            <v:path/>
            <v:fill on="t" focussize="0,0"/>
            <v:stroke on="f"/>
            <v:imagedata o:title=""/>
            <o:lock v:ext="edit"/>
            <w10:wrap type="none"/>
            <w10:anchorlock/>
          </v:shape>
        </w:pict>
      </w:r>
    </w:p>
    <w:p w14:paraId="1FE79161">
      <w:pPr>
        <w:spacing w:line="83" w:lineRule="exact"/>
      </w:pPr>
    </w:p>
    <w:tbl>
      <w:tblPr>
        <w:tblStyle w:val="5"/>
        <w:tblW w:w="1402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65"/>
        <w:gridCol w:w="2772"/>
        <w:gridCol w:w="4011"/>
        <w:gridCol w:w="1391"/>
        <w:gridCol w:w="1599"/>
        <w:gridCol w:w="3085"/>
      </w:tblGrid>
      <w:tr w14:paraId="01591D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trPr>
        <w:tc>
          <w:tcPr>
            <w:tcW w:w="1165" w:type="dxa"/>
            <w:tcBorders>
              <w:top w:val="single" w:color="000000" w:sz="10" w:space="0"/>
              <w:left w:val="nil"/>
            </w:tcBorders>
            <w:vAlign w:val="top"/>
          </w:tcPr>
          <w:p w14:paraId="0AD03D6C">
            <w:pPr>
              <w:pStyle w:val="6"/>
              <w:spacing w:before="35" w:line="217" w:lineRule="auto"/>
              <w:ind w:left="379"/>
              <w:rPr>
                <w:sz w:val="20"/>
                <w:szCs w:val="20"/>
              </w:rPr>
            </w:pPr>
            <w:r>
              <w:rPr>
                <w:spacing w:val="4"/>
                <w:sz w:val="20"/>
                <w:szCs w:val="20"/>
              </w:rPr>
              <w:t>类别</w:t>
            </w:r>
          </w:p>
        </w:tc>
        <w:tc>
          <w:tcPr>
            <w:tcW w:w="2772" w:type="dxa"/>
            <w:tcBorders>
              <w:top w:val="single" w:color="000000" w:sz="10" w:space="0"/>
            </w:tcBorders>
            <w:vAlign w:val="top"/>
          </w:tcPr>
          <w:p w14:paraId="4B802BF9">
            <w:pPr>
              <w:pStyle w:val="6"/>
              <w:spacing w:before="35" w:line="217" w:lineRule="auto"/>
              <w:ind w:left="1078"/>
              <w:rPr>
                <w:sz w:val="20"/>
                <w:szCs w:val="20"/>
              </w:rPr>
            </w:pPr>
            <w:r>
              <w:rPr>
                <w:spacing w:val="6"/>
                <w:sz w:val="20"/>
                <w:szCs w:val="20"/>
              </w:rPr>
              <w:t>污染源</w:t>
            </w:r>
          </w:p>
        </w:tc>
        <w:tc>
          <w:tcPr>
            <w:tcW w:w="4011" w:type="dxa"/>
            <w:tcBorders>
              <w:top w:val="single" w:color="000000" w:sz="10" w:space="0"/>
            </w:tcBorders>
            <w:vAlign w:val="top"/>
          </w:tcPr>
          <w:p w14:paraId="64BFFE9F">
            <w:pPr>
              <w:pStyle w:val="6"/>
              <w:spacing w:before="35" w:line="217" w:lineRule="auto"/>
              <w:ind w:left="1275"/>
              <w:rPr>
                <w:sz w:val="20"/>
                <w:szCs w:val="20"/>
              </w:rPr>
            </w:pPr>
            <w:r>
              <w:rPr>
                <w:spacing w:val="8"/>
                <w:sz w:val="20"/>
                <w:szCs w:val="20"/>
              </w:rPr>
              <w:t>采取的处理措施</w:t>
            </w:r>
          </w:p>
        </w:tc>
        <w:tc>
          <w:tcPr>
            <w:tcW w:w="1391" w:type="dxa"/>
            <w:tcBorders>
              <w:top w:val="single" w:color="000000" w:sz="10" w:space="0"/>
            </w:tcBorders>
            <w:vAlign w:val="top"/>
          </w:tcPr>
          <w:p w14:paraId="79FF874B">
            <w:pPr>
              <w:pStyle w:val="6"/>
              <w:spacing w:before="35" w:line="217" w:lineRule="auto"/>
              <w:ind w:left="493"/>
              <w:rPr>
                <w:sz w:val="20"/>
                <w:szCs w:val="20"/>
              </w:rPr>
            </w:pPr>
            <w:r>
              <w:rPr>
                <w:spacing w:val="3"/>
                <w:sz w:val="20"/>
                <w:szCs w:val="20"/>
              </w:rPr>
              <w:t>投资</w:t>
            </w:r>
          </w:p>
        </w:tc>
        <w:tc>
          <w:tcPr>
            <w:tcW w:w="1599" w:type="dxa"/>
            <w:tcBorders>
              <w:top w:val="single" w:color="000000" w:sz="10" w:space="0"/>
            </w:tcBorders>
            <w:vAlign w:val="top"/>
          </w:tcPr>
          <w:p w14:paraId="53A7B0AE">
            <w:pPr>
              <w:pStyle w:val="6"/>
              <w:spacing w:before="35" w:line="217" w:lineRule="auto"/>
              <w:ind w:left="388"/>
              <w:rPr>
                <w:sz w:val="20"/>
                <w:szCs w:val="20"/>
              </w:rPr>
            </w:pPr>
            <w:r>
              <w:rPr>
                <w:spacing w:val="6"/>
                <w:sz w:val="20"/>
                <w:szCs w:val="20"/>
              </w:rPr>
              <w:t>净化效率</w:t>
            </w:r>
          </w:p>
        </w:tc>
        <w:tc>
          <w:tcPr>
            <w:tcW w:w="3085" w:type="dxa"/>
            <w:tcBorders>
              <w:top w:val="single" w:color="000000" w:sz="10" w:space="0"/>
              <w:right w:val="nil"/>
            </w:tcBorders>
            <w:vAlign w:val="top"/>
          </w:tcPr>
          <w:p w14:paraId="03ADCBA1">
            <w:pPr>
              <w:pStyle w:val="6"/>
              <w:spacing w:before="35" w:line="217" w:lineRule="auto"/>
              <w:ind w:left="1128"/>
              <w:rPr>
                <w:sz w:val="20"/>
                <w:szCs w:val="20"/>
              </w:rPr>
            </w:pPr>
            <w:r>
              <w:rPr>
                <w:spacing w:val="7"/>
                <w:sz w:val="20"/>
                <w:szCs w:val="20"/>
              </w:rPr>
              <w:t>验收标准</w:t>
            </w:r>
          </w:p>
        </w:tc>
      </w:tr>
      <w:tr w14:paraId="6EA131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07" w:hRule="atLeast"/>
        </w:trPr>
        <w:tc>
          <w:tcPr>
            <w:tcW w:w="1165" w:type="dxa"/>
            <w:tcBorders>
              <w:left w:val="nil"/>
            </w:tcBorders>
            <w:vAlign w:val="top"/>
          </w:tcPr>
          <w:p w14:paraId="19DCF02E">
            <w:pPr>
              <w:rPr>
                <w:rFonts w:ascii="Arial"/>
                <w:sz w:val="21"/>
              </w:rPr>
            </w:pPr>
          </w:p>
        </w:tc>
        <w:tc>
          <w:tcPr>
            <w:tcW w:w="2772" w:type="dxa"/>
            <w:vAlign w:val="top"/>
          </w:tcPr>
          <w:p w14:paraId="78DC4FC1">
            <w:pPr>
              <w:rPr>
                <w:rFonts w:ascii="Arial"/>
                <w:sz w:val="21"/>
              </w:rPr>
            </w:pPr>
          </w:p>
        </w:tc>
        <w:tc>
          <w:tcPr>
            <w:tcW w:w="4011" w:type="dxa"/>
            <w:vAlign w:val="top"/>
          </w:tcPr>
          <w:p w14:paraId="7DD7DCC3">
            <w:pPr>
              <w:pStyle w:val="6"/>
              <w:spacing w:before="31" w:line="246" w:lineRule="auto"/>
              <w:ind w:left="6" w:right="2" w:firstLine="4"/>
              <w:jc w:val="both"/>
              <w:rPr>
                <w:sz w:val="20"/>
                <w:szCs w:val="20"/>
              </w:rPr>
            </w:pPr>
            <w:r>
              <w:rPr>
                <w:spacing w:val="10"/>
                <w:sz w:val="20"/>
                <w:szCs w:val="20"/>
              </w:rPr>
              <w:t>处理；脱硫废水采用三联箱工艺处理后补充</w:t>
            </w:r>
            <w:r>
              <w:rPr>
                <w:spacing w:val="2"/>
                <w:sz w:val="20"/>
                <w:szCs w:val="20"/>
              </w:rPr>
              <w:t xml:space="preserve"> </w:t>
            </w:r>
            <w:r>
              <w:rPr>
                <w:spacing w:val="10"/>
                <w:sz w:val="20"/>
                <w:szCs w:val="20"/>
              </w:rPr>
              <w:t>到浊循环水系统中；过滤水循环使用；煤气</w:t>
            </w:r>
            <w:r>
              <w:rPr>
                <w:spacing w:val="6"/>
                <w:sz w:val="20"/>
                <w:szCs w:val="20"/>
              </w:rPr>
              <w:t xml:space="preserve"> </w:t>
            </w:r>
            <w:r>
              <w:rPr>
                <w:spacing w:val="10"/>
                <w:sz w:val="20"/>
                <w:szCs w:val="20"/>
              </w:rPr>
              <w:t>冷凝废水采用隔油池进行隔油处理，出水用</w:t>
            </w:r>
            <w:r>
              <w:rPr>
                <w:spacing w:val="6"/>
                <w:sz w:val="20"/>
                <w:szCs w:val="20"/>
              </w:rPr>
              <w:t xml:space="preserve"> </w:t>
            </w:r>
            <w:r>
              <w:rPr>
                <w:spacing w:val="10"/>
                <w:sz w:val="20"/>
                <w:szCs w:val="20"/>
              </w:rPr>
              <w:t>作矿热炉开堵眼机堵塞泥制作用水；化水车</w:t>
            </w:r>
            <w:r>
              <w:rPr>
                <w:spacing w:val="6"/>
                <w:sz w:val="20"/>
                <w:szCs w:val="20"/>
              </w:rPr>
              <w:t xml:space="preserve"> </w:t>
            </w:r>
            <w:r>
              <w:rPr>
                <w:spacing w:val="10"/>
                <w:sz w:val="20"/>
                <w:szCs w:val="20"/>
              </w:rPr>
              <w:t>间排污、余热锅炉排污、辅机冷却循环水站</w:t>
            </w:r>
            <w:r>
              <w:rPr>
                <w:spacing w:val="6"/>
                <w:sz w:val="20"/>
                <w:szCs w:val="20"/>
              </w:rPr>
              <w:t xml:space="preserve"> </w:t>
            </w:r>
            <w:r>
              <w:rPr>
                <w:spacing w:val="10"/>
                <w:sz w:val="20"/>
                <w:szCs w:val="20"/>
              </w:rPr>
              <w:t>排污、循环水系统排污及软水制备排污全部</w:t>
            </w:r>
            <w:r>
              <w:rPr>
                <w:spacing w:val="6"/>
                <w:sz w:val="20"/>
                <w:szCs w:val="20"/>
              </w:rPr>
              <w:t xml:space="preserve"> </w:t>
            </w:r>
            <w:r>
              <w:rPr>
                <w:spacing w:val="8"/>
                <w:sz w:val="20"/>
                <w:szCs w:val="20"/>
              </w:rPr>
              <w:t>作为浊循环水系统补充水，不外排。</w:t>
            </w:r>
          </w:p>
        </w:tc>
        <w:tc>
          <w:tcPr>
            <w:tcW w:w="1391" w:type="dxa"/>
            <w:vAlign w:val="top"/>
          </w:tcPr>
          <w:p w14:paraId="277A94F7">
            <w:pPr>
              <w:rPr>
                <w:rFonts w:ascii="Arial"/>
                <w:sz w:val="21"/>
              </w:rPr>
            </w:pPr>
          </w:p>
        </w:tc>
        <w:tc>
          <w:tcPr>
            <w:tcW w:w="1599" w:type="dxa"/>
            <w:vAlign w:val="top"/>
          </w:tcPr>
          <w:p w14:paraId="6F82DAFE">
            <w:pPr>
              <w:rPr>
                <w:rFonts w:ascii="Arial"/>
                <w:sz w:val="21"/>
              </w:rPr>
            </w:pPr>
          </w:p>
        </w:tc>
        <w:tc>
          <w:tcPr>
            <w:tcW w:w="3085" w:type="dxa"/>
            <w:tcBorders>
              <w:right w:val="nil"/>
            </w:tcBorders>
            <w:vAlign w:val="top"/>
          </w:tcPr>
          <w:p w14:paraId="5FA35B1F">
            <w:pPr>
              <w:rPr>
                <w:rFonts w:ascii="Arial"/>
                <w:sz w:val="21"/>
              </w:rPr>
            </w:pPr>
          </w:p>
        </w:tc>
      </w:tr>
      <w:tr w14:paraId="3D702D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92" w:hRule="atLeast"/>
        </w:trPr>
        <w:tc>
          <w:tcPr>
            <w:tcW w:w="1165" w:type="dxa"/>
            <w:vMerge w:val="restart"/>
            <w:tcBorders>
              <w:left w:val="nil"/>
              <w:bottom w:val="nil"/>
            </w:tcBorders>
            <w:vAlign w:val="top"/>
          </w:tcPr>
          <w:p w14:paraId="479712AB">
            <w:pPr>
              <w:spacing w:line="255" w:lineRule="auto"/>
              <w:rPr>
                <w:rFonts w:ascii="Arial"/>
                <w:sz w:val="21"/>
              </w:rPr>
            </w:pPr>
          </w:p>
          <w:p w14:paraId="51B05E3B">
            <w:pPr>
              <w:spacing w:line="255" w:lineRule="auto"/>
              <w:rPr>
                <w:rFonts w:ascii="Arial"/>
                <w:sz w:val="21"/>
              </w:rPr>
            </w:pPr>
          </w:p>
          <w:p w14:paraId="0FDF5942">
            <w:pPr>
              <w:spacing w:line="255" w:lineRule="auto"/>
              <w:rPr>
                <w:rFonts w:ascii="Arial"/>
                <w:sz w:val="21"/>
              </w:rPr>
            </w:pPr>
          </w:p>
          <w:p w14:paraId="437A57BA">
            <w:pPr>
              <w:spacing w:line="255" w:lineRule="auto"/>
              <w:rPr>
                <w:rFonts w:ascii="Arial"/>
                <w:sz w:val="21"/>
              </w:rPr>
            </w:pPr>
          </w:p>
          <w:p w14:paraId="7428AADA">
            <w:pPr>
              <w:spacing w:line="255" w:lineRule="auto"/>
              <w:rPr>
                <w:rFonts w:ascii="Arial"/>
                <w:sz w:val="21"/>
              </w:rPr>
            </w:pPr>
          </w:p>
          <w:p w14:paraId="4E70D1F6">
            <w:pPr>
              <w:spacing w:line="255" w:lineRule="auto"/>
              <w:rPr>
                <w:rFonts w:ascii="Arial"/>
                <w:sz w:val="21"/>
              </w:rPr>
            </w:pPr>
          </w:p>
          <w:p w14:paraId="1D86C917">
            <w:pPr>
              <w:spacing w:line="255" w:lineRule="auto"/>
              <w:rPr>
                <w:rFonts w:ascii="Arial"/>
                <w:sz w:val="21"/>
              </w:rPr>
            </w:pPr>
          </w:p>
          <w:p w14:paraId="39103376">
            <w:pPr>
              <w:spacing w:line="255" w:lineRule="auto"/>
              <w:rPr>
                <w:rFonts w:ascii="Arial"/>
                <w:sz w:val="21"/>
              </w:rPr>
            </w:pPr>
          </w:p>
          <w:p w14:paraId="7E6C5A27">
            <w:pPr>
              <w:spacing w:line="256" w:lineRule="auto"/>
              <w:rPr>
                <w:rFonts w:ascii="Arial"/>
                <w:sz w:val="21"/>
              </w:rPr>
            </w:pPr>
          </w:p>
          <w:p w14:paraId="610B7698">
            <w:pPr>
              <w:spacing w:line="256" w:lineRule="auto"/>
              <w:rPr>
                <w:rFonts w:ascii="Arial"/>
                <w:sz w:val="21"/>
              </w:rPr>
            </w:pPr>
          </w:p>
          <w:p w14:paraId="4FE47CC6">
            <w:pPr>
              <w:pStyle w:val="6"/>
              <w:spacing w:before="65" w:line="228" w:lineRule="auto"/>
              <w:ind w:left="397"/>
              <w:rPr>
                <w:sz w:val="20"/>
                <w:szCs w:val="20"/>
              </w:rPr>
            </w:pPr>
            <w:r>
              <w:rPr>
                <w:spacing w:val="-5"/>
                <w:sz w:val="20"/>
                <w:szCs w:val="20"/>
              </w:rPr>
              <w:t>固废</w:t>
            </w:r>
          </w:p>
        </w:tc>
        <w:tc>
          <w:tcPr>
            <w:tcW w:w="2772" w:type="dxa"/>
            <w:vAlign w:val="top"/>
          </w:tcPr>
          <w:p w14:paraId="43F4540C">
            <w:pPr>
              <w:spacing w:line="264" w:lineRule="auto"/>
              <w:rPr>
                <w:rFonts w:ascii="Arial"/>
                <w:sz w:val="21"/>
              </w:rPr>
            </w:pPr>
          </w:p>
          <w:p w14:paraId="6DD890E5">
            <w:pPr>
              <w:spacing w:line="264" w:lineRule="auto"/>
              <w:rPr>
                <w:rFonts w:ascii="Arial"/>
                <w:sz w:val="21"/>
              </w:rPr>
            </w:pPr>
          </w:p>
          <w:p w14:paraId="532A9B42">
            <w:pPr>
              <w:spacing w:line="265" w:lineRule="auto"/>
              <w:rPr>
                <w:rFonts w:ascii="Arial"/>
                <w:sz w:val="21"/>
              </w:rPr>
            </w:pPr>
          </w:p>
          <w:p w14:paraId="7444FA0B">
            <w:pPr>
              <w:spacing w:line="265" w:lineRule="auto"/>
              <w:rPr>
                <w:rFonts w:ascii="Arial"/>
                <w:sz w:val="21"/>
              </w:rPr>
            </w:pPr>
          </w:p>
          <w:p w14:paraId="10E7B684">
            <w:pPr>
              <w:spacing w:line="265" w:lineRule="auto"/>
              <w:rPr>
                <w:rFonts w:ascii="Arial"/>
                <w:sz w:val="21"/>
              </w:rPr>
            </w:pPr>
          </w:p>
          <w:p w14:paraId="4218644F">
            <w:pPr>
              <w:pStyle w:val="6"/>
              <w:spacing w:before="65" w:line="228" w:lineRule="auto"/>
              <w:ind w:left="868"/>
              <w:rPr>
                <w:sz w:val="20"/>
                <w:szCs w:val="20"/>
              </w:rPr>
            </w:pPr>
            <w:r>
              <w:rPr>
                <w:spacing w:val="7"/>
                <w:sz w:val="20"/>
                <w:szCs w:val="20"/>
              </w:rPr>
              <w:t>危废暂存库</w:t>
            </w:r>
          </w:p>
        </w:tc>
        <w:tc>
          <w:tcPr>
            <w:tcW w:w="4011" w:type="dxa"/>
            <w:vAlign w:val="top"/>
          </w:tcPr>
          <w:p w14:paraId="4543E8DB">
            <w:pPr>
              <w:pStyle w:val="6"/>
              <w:spacing w:before="38" w:line="247" w:lineRule="auto"/>
              <w:ind w:left="4"/>
              <w:rPr>
                <w:sz w:val="20"/>
                <w:szCs w:val="20"/>
              </w:rPr>
            </w:pPr>
            <w:r>
              <w:rPr>
                <w:spacing w:val="9"/>
                <w:sz w:val="20"/>
                <w:szCs w:val="20"/>
              </w:rPr>
              <w:t xml:space="preserve">在厂区北侧、一般固体废物暂存库西侧建设 </w:t>
            </w:r>
            <w:r>
              <w:rPr>
                <w:rFonts w:ascii="Times New Roman" w:hAnsi="Times New Roman" w:eastAsia="Times New Roman" w:cs="Times New Roman"/>
                <w:spacing w:val="11"/>
                <w:sz w:val="20"/>
                <w:szCs w:val="20"/>
              </w:rPr>
              <w:t>1</w:t>
            </w:r>
            <w:r>
              <w:rPr>
                <w:rFonts w:ascii="Times New Roman" w:hAnsi="Times New Roman" w:eastAsia="Times New Roman" w:cs="Times New Roman"/>
                <w:spacing w:val="19"/>
                <w:sz w:val="20"/>
                <w:szCs w:val="20"/>
              </w:rPr>
              <w:t xml:space="preserve"> </w:t>
            </w:r>
            <w:r>
              <w:rPr>
                <w:spacing w:val="11"/>
                <w:sz w:val="20"/>
                <w:szCs w:val="20"/>
              </w:rPr>
              <w:t>座危险废物暂存库（一期建设</w:t>
            </w:r>
            <w:r>
              <w:rPr>
                <w:spacing w:val="-1"/>
                <w:sz w:val="20"/>
                <w:szCs w:val="20"/>
              </w:rPr>
              <w:t>）</w:t>
            </w:r>
            <w:r>
              <w:rPr>
                <w:spacing w:val="-57"/>
                <w:sz w:val="20"/>
                <w:szCs w:val="20"/>
              </w:rPr>
              <w:t xml:space="preserve"> </w:t>
            </w:r>
            <w:r>
              <w:rPr>
                <w:spacing w:val="-1"/>
                <w:sz w:val="20"/>
                <w:szCs w:val="20"/>
              </w:rPr>
              <w:t>，</w:t>
            </w:r>
            <w:r>
              <w:rPr>
                <w:spacing w:val="11"/>
                <w:sz w:val="20"/>
                <w:szCs w:val="20"/>
              </w:rPr>
              <w:t>建筑面</w:t>
            </w:r>
            <w:r>
              <w:rPr>
                <w:sz w:val="20"/>
                <w:szCs w:val="20"/>
              </w:rPr>
              <w:t xml:space="preserve"> </w:t>
            </w:r>
            <w:r>
              <w:rPr>
                <w:spacing w:val="7"/>
                <w:sz w:val="20"/>
                <w:szCs w:val="20"/>
              </w:rPr>
              <w:t>积为</w:t>
            </w:r>
            <w:r>
              <w:rPr>
                <w:spacing w:val="-7"/>
                <w:sz w:val="20"/>
                <w:szCs w:val="20"/>
              </w:rPr>
              <w:t xml:space="preserve"> </w:t>
            </w:r>
            <w:r>
              <w:rPr>
                <w:rFonts w:ascii="Times New Roman" w:hAnsi="Times New Roman" w:eastAsia="Times New Roman" w:cs="Times New Roman"/>
                <w:spacing w:val="7"/>
                <w:sz w:val="20"/>
                <w:szCs w:val="20"/>
              </w:rPr>
              <w:t>100m</w:t>
            </w:r>
            <w:r>
              <w:rPr>
                <w:rFonts w:ascii="Times New Roman" w:hAnsi="Times New Roman" w:eastAsia="Times New Roman" w:cs="Times New Roman"/>
                <w:spacing w:val="7"/>
                <w:position w:val="6"/>
                <w:sz w:val="13"/>
                <w:szCs w:val="13"/>
              </w:rPr>
              <w:t xml:space="preserve">2 </w:t>
            </w:r>
            <w:r>
              <w:rPr>
                <w:spacing w:val="7"/>
                <w:sz w:val="20"/>
                <w:szCs w:val="20"/>
              </w:rPr>
              <w:t>，全封闭建设，地面进行硬化防</w:t>
            </w:r>
            <w:r>
              <w:rPr>
                <w:sz w:val="20"/>
                <w:szCs w:val="20"/>
              </w:rPr>
              <w:t xml:space="preserve"> </w:t>
            </w:r>
            <w:r>
              <w:rPr>
                <w:spacing w:val="10"/>
                <w:sz w:val="20"/>
                <w:szCs w:val="20"/>
              </w:rPr>
              <w:t>渗防腐处理，库内配置泄露液收集系统，设 置截留裙脚，防止泄漏危废直接进入外环境 或雨水等进入到危废库内，用于储存煤气冷</w:t>
            </w:r>
            <w:r>
              <w:rPr>
                <w:spacing w:val="7"/>
                <w:sz w:val="20"/>
                <w:szCs w:val="20"/>
              </w:rPr>
              <w:t xml:space="preserve"> </w:t>
            </w:r>
            <w:r>
              <w:rPr>
                <w:spacing w:val="10"/>
                <w:sz w:val="20"/>
                <w:szCs w:val="20"/>
              </w:rPr>
              <w:t>凝废水隔油池浮渣、焦油杂质、过滤杂质、 废脱硝催化剂、废冷却液、废油桶、化验室</w:t>
            </w:r>
            <w:r>
              <w:rPr>
                <w:spacing w:val="7"/>
                <w:sz w:val="20"/>
                <w:szCs w:val="20"/>
              </w:rPr>
              <w:t xml:space="preserve"> </w:t>
            </w:r>
            <w:r>
              <w:rPr>
                <w:spacing w:val="10"/>
                <w:sz w:val="20"/>
                <w:szCs w:val="20"/>
              </w:rPr>
              <w:t xml:space="preserve">废液，根据危险废物的性质，分区储存，全 部危险废物委托有资质单位处理；废矿物油 </w:t>
            </w:r>
            <w:r>
              <w:rPr>
                <w:spacing w:val="8"/>
                <w:sz w:val="20"/>
                <w:szCs w:val="20"/>
              </w:rPr>
              <w:t>用于厂区机械设备润滑。</w:t>
            </w:r>
          </w:p>
        </w:tc>
        <w:tc>
          <w:tcPr>
            <w:tcW w:w="1391" w:type="dxa"/>
            <w:vAlign w:val="top"/>
          </w:tcPr>
          <w:p w14:paraId="5EBDDC92">
            <w:pPr>
              <w:spacing w:line="273" w:lineRule="auto"/>
              <w:rPr>
                <w:rFonts w:ascii="Arial"/>
                <w:sz w:val="21"/>
              </w:rPr>
            </w:pPr>
          </w:p>
          <w:p w14:paraId="614A4DE1">
            <w:pPr>
              <w:spacing w:line="273" w:lineRule="auto"/>
              <w:rPr>
                <w:rFonts w:ascii="Arial"/>
                <w:sz w:val="21"/>
              </w:rPr>
            </w:pPr>
          </w:p>
          <w:p w14:paraId="37E37F55">
            <w:pPr>
              <w:spacing w:line="273" w:lineRule="auto"/>
              <w:rPr>
                <w:rFonts w:ascii="Arial"/>
                <w:sz w:val="21"/>
              </w:rPr>
            </w:pPr>
          </w:p>
          <w:p w14:paraId="046A2A99">
            <w:pPr>
              <w:spacing w:line="273" w:lineRule="auto"/>
              <w:rPr>
                <w:rFonts w:ascii="Arial"/>
                <w:sz w:val="21"/>
              </w:rPr>
            </w:pPr>
          </w:p>
          <w:p w14:paraId="4EA31003">
            <w:pPr>
              <w:spacing w:line="274" w:lineRule="auto"/>
              <w:rPr>
                <w:rFonts w:ascii="Arial"/>
                <w:sz w:val="21"/>
              </w:rPr>
            </w:pPr>
          </w:p>
          <w:p w14:paraId="10DEF869">
            <w:pPr>
              <w:spacing w:before="58" w:line="195" w:lineRule="auto"/>
              <w:ind w:left="60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80</w:t>
            </w:r>
          </w:p>
        </w:tc>
        <w:tc>
          <w:tcPr>
            <w:tcW w:w="1599" w:type="dxa"/>
            <w:vAlign w:val="top"/>
          </w:tcPr>
          <w:p w14:paraId="75830A81">
            <w:pPr>
              <w:spacing w:line="272" w:lineRule="auto"/>
              <w:rPr>
                <w:rFonts w:ascii="Arial"/>
                <w:sz w:val="21"/>
              </w:rPr>
            </w:pPr>
          </w:p>
          <w:p w14:paraId="4F7B80E6">
            <w:pPr>
              <w:spacing w:line="272" w:lineRule="auto"/>
              <w:rPr>
                <w:rFonts w:ascii="Arial"/>
                <w:sz w:val="21"/>
              </w:rPr>
            </w:pPr>
          </w:p>
          <w:p w14:paraId="110EB9B6">
            <w:pPr>
              <w:spacing w:line="272" w:lineRule="auto"/>
              <w:rPr>
                <w:rFonts w:ascii="Arial"/>
                <w:sz w:val="21"/>
              </w:rPr>
            </w:pPr>
          </w:p>
          <w:p w14:paraId="28516E22">
            <w:pPr>
              <w:spacing w:line="273" w:lineRule="auto"/>
              <w:rPr>
                <w:rFonts w:ascii="Arial"/>
                <w:sz w:val="21"/>
              </w:rPr>
            </w:pPr>
          </w:p>
          <w:p w14:paraId="0AAB3D85">
            <w:pPr>
              <w:spacing w:line="273" w:lineRule="auto"/>
              <w:rPr>
                <w:rFonts w:ascii="Arial"/>
                <w:sz w:val="21"/>
              </w:rPr>
            </w:pPr>
          </w:p>
          <w:p w14:paraId="006C03AB">
            <w:pPr>
              <w:spacing w:before="58" w:line="199" w:lineRule="auto"/>
              <w:ind w:left="7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085" w:type="dxa"/>
            <w:vMerge w:val="restart"/>
            <w:tcBorders>
              <w:bottom w:val="nil"/>
              <w:right w:val="nil"/>
            </w:tcBorders>
            <w:vAlign w:val="top"/>
          </w:tcPr>
          <w:p w14:paraId="20724CBB">
            <w:pPr>
              <w:spacing w:line="241" w:lineRule="auto"/>
              <w:rPr>
                <w:rFonts w:ascii="Arial"/>
                <w:sz w:val="21"/>
              </w:rPr>
            </w:pPr>
          </w:p>
          <w:p w14:paraId="3CA2F600">
            <w:pPr>
              <w:spacing w:line="241" w:lineRule="auto"/>
              <w:rPr>
                <w:rFonts w:ascii="Arial"/>
                <w:sz w:val="21"/>
              </w:rPr>
            </w:pPr>
          </w:p>
          <w:p w14:paraId="6E9E2346">
            <w:pPr>
              <w:spacing w:line="241" w:lineRule="auto"/>
              <w:rPr>
                <w:rFonts w:ascii="Arial"/>
                <w:sz w:val="21"/>
              </w:rPr>
            </w:pPr>
          </w:p>
          <w:p w14:paraId="2479A9D2">
            <w:pPr>
              <w:spacing w:line="241" w:lineRule="auto"/>
              <w:rPr>
                <w:rFonts w:ascii="Arial"/>
                <w:sz w:val="21"/>
              </w:rPr>
            </w:pPr>
          </w:p>
          <w:p w14:paraId="7AC89CEF">
            <w:pPr>
              <w:spacing w:line="242" w:lineRule="auto"/>
              <w:rPr>
                <w:rFonts w:ascii="Arial"/>
                <w:sz w:val="21"/>
              </w:rPr>
            </w:pPr>
          </w:p>
          <w:p w14:paraId="54CF98D1">
            <w:pPr>
              <w:spacing w:line="242" w:lineRule="auto"/>
              <w:rPr>
                <w:rFonts w:ascii="Arial"/>
                <w:sz w:val="21"/>
              </w:rPr>
            </w:pPr>
          </w:p>
          <w:p w14:paraId="6B15877E">
            <w:pPr>
              <w:spacing w:line="242" w:lineRule="auto"/>
              <w:rPr>
                <w:rFonts w:ascii="Arial"/>
                <w:sz w:val="21"/>
              </w:rPr>
            </w:pPr>
          </w:p>
          <w:p w14:paraId="742BCA8B">
            <w:pPr>
              <w:spacing w:line="242" w:lineRule="auto"/>
              <w:rPr>
                <w:rFonts w:ascii="Arial"/>
                <w:sz w:val="21"/>
              </w:rPr>
            </w:pPr>
          </w:p>
          <w:p w14:paraId="58BA71DC">
            <w:pPr>
              <w:spacing w:line="242" w:lineRule="auto"/>
              <w:rPr>
                <w:rFonts w:ascii="Arial"/>
                <w:sz w:val="21"/>
              </w:rPr>
            </w:pPr>
          </w:p>
          <w:p w14:paraId="11C17E06">
            <w:pPr>
              <w:spacing w:line="242" w:lineRule="auto"/>
              <w:rPr>
                <w:rFonts w:ascii="Arial"/>
                <w:sz w:val="21"/>
              </w:rPr>
            </w:pPr>
          </w:p>
          <w:p w14:paraId="762FA49D">
            <w:pPr>
              <w:pStyle w:val="6"/>
              <w:spacing w:before="65"/>
              <w:ind w:left="343" w:right="162" w:hanging="207"/>
              <w:rPr>
                <w:sz w:val="20"/>
                <w:szCs w:val="20"/>
              </w:rPr>
            </w:pPr>
            <w:r>
              <w:rPr>
                <w:spacing w:val="4"/>
                <w:sz w:val="20"/>
                <w:szCs w:val="20"/>
              </w:rPr>
              <w:t>贮存场地按照</w:t>
            </w:r>
            <w:r>
              <w:rPr>
                <w:spacing w:val="-30"/>
                <w:sz w:val="20"/>
                <w:szCs w:val="20"/>
              </w:rPr>
              <w:t xml:space="preserve"> </w:t>
            </w:r>
            <w:r>
              <w:rPr>
                <w:rFonts w:ascii="Times New Roman" w:hAnsi="Times New Roman" w:eastAsia="Times New Roman" w:cs="Times New Roman"/>
                <w:sz w:val="20"/>
                <w:szCs w:val="20"/>
              </w:rPr>
              <w:t>GB</w:t>
            </w:r>
            <w:r>
              <w:rPr>
                <w:rFonts w:ascii="Times New Roman" w:hAnsi="Times New Roman" w:eastAsia="Times New Roman" w:cs="Times New Roman"/>
                <w:spacing w:val="4"/>
                <w:sz w:val="20"/>
                <w:szCs w:val="20"/>
              </w:rPr>
              <w:t>18599-2020</w:t>
            </w:r>
            <w:r>
              <w:rPr>
                <w:spacing w:val="4"/>
                <w:sz w:val="20"/>
                <w:szCs w:val="20"/>
              </w:rPr>
              <w:t>、</w:t>
            </w:r>
            <w:r>
              <w:rPr>
                <w:sz w:val="20"/>
                <w:szCs w:val="20"/>
              </w:rPr>
              <w:t xml:space="preserve"> </w:t>
            </w: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18597-2023</w:t>
            </w:r>
            <w:r>
              <w:rPr>
                <w:rFonts w:ascii="Times New Roman" w:hAnsi="Times New Roman" w:eastAsia="Times New Roman" w:cs="Times New Roman"/>
                <w:spacing w:val="32"/>
                <w:sz w:val="20"/>
                <w:szCs w:val="20"/>
              </w:rPr>
              <w:t xml:space="preserve"> </w:t>
            </w:r>
            <w:r>
              <w:rPr>
                <w:spacing w:val="5"/>
                <w:sz w:val="20"/>
                <w:szCs w:val="20"/>
              </w:rPr>
              <w:t>中建设要求</w:t>
            </w:r>
          </w:p>
        </w:tc>
      </w:tr>
      <w:tr w14:paraId="0C5C31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06" w:hRule="atLeast"/>
        </w:trPr>
        <w:tc>
          <w:tcPr>
            <w:tcW w:w="1165" w:type="dxa"/>
            <w:vMerge w:val="continue"/>
            <w:tcBorders>
              <w:top w:val="nil"/>
              <w:left w:val="nil"/>
              <w:bottom w:val="nil"/>
            </w:tcBorders>
            <w:vAlign w:val="top"/>
          </w:tcPr>
          <w:p w14:paraId="43EA3682">
            <w:pPr>
              <w:rPr>
                <w:rFonts w:ascii="Arial"/>
                <w:sz w:val="21"/>
              </w:rPr>
            </w:pPr>
          </w:p>
        </w:tc>
        <w:tc>
          <w:tcPr>
            <w:tcW w:w="2772" w:type="dxa"/>
            <w:vAlign w:val="top"/>
          </w:tcPr>
          <w:p w14:paraId="3F8DD0AE">
            <w:pPr>
              <w:spacing w:line="263" w:lineRule="auto"/>
              <w:rPr>
                <w:rFonts w:ascii="Arial"/>
                <w:sz w:val="21"/>
              </w:rPr>
            </w:pPr>
          </w:p>
          <w:p w14:paraId="334402CB">
            <w:pPr>
              <w:spacing w:line="264" w:lineRule="auto"/>
              <w:rPr>
                <w:rFonts w:ascii="Arial"/>
                <w:sz w:val="21"/>
              </w:rPr>
            </w:pPr>
          </w:p>
          <w:p w14:paraId="480CCAC3">
            <w:pPr>
              <w:spacing w:line="264" w:lineRule="auto"/>
              <w:rPr>
                <w:rFonts w:ascii="Arial"/>
                <w:sz w:val="21"/>
              </w:rPr>
            </w:pPr>
          </w:p>
          <w:p w14:paraId="15CB9203">
            <w:pPr>
              <w:pStyle w:val="6"/>
              <w:spacing w:before="65" w:line="228" w:lineRule="auto"/>
              <w:ind w:left="660"/>
              <w:rPr>
                <w:sz w:val="20"/>
                <w:szCs w:val="20"/>
              </w:rPr>
            </w:pPr>
            <w:r>
              <w:rPr>
                <w:spacing w:val="8"/>
                <w:sz w:val="20"/>
                <w:szCs w:val="20"/>
              </w:rPr>
              <w:t>一般固废暂存库</w:t>
            </w:r>
          </w:p>
        </w:tc>
        <w:tc>
          <w:tcPr>
            <w:tcW w:w="4011" w:type="dxa"/>
            <w:vAlign w:val="top"/>
          </w:tcPr>
          <w:p w14:paraId="7EE09C97">
            <w:pPr>
              <w:pStyle w:val="6"/>
              <w:spacing w:before="45" w:line="244" w:lineRule="auto"/>
              <w:ind w:left="5"/>
              <w:jc w:val="both"/>
              <w:rPr>
                <w:sz w:val="20"/>
                <w:szCs w:val="20"/>
              </w:rPr>
            </w:pPr>
            <w:r>
              <w:rPr>
                <w:spacing w:val="3"/>
                <w:sz w:val="20"/>
                <w:szCs w:val="20"/>
              </w:rPr>
              <w:t>在厂区北侧建设</w:t>
            </w:r>
            <w:r>
              <w:rPr>
                <w:spacing w:val="-15"/>
                <w:sz w:val="20"/>
                <w:szCs w:val="20"/>
              </w:rPr>
              <w:t xml:space="preserve"> </w:t>
            </w:r>
            <w:r>
              <w:rPr>
                <w:rFonts w:ascii="Times New Roman" w:hAnsi="Times New Roman" w:eastAsia="Times New Roman" w:cs="Times New Roman"/>
                <w:spacing w:val="3"/>
                <w:sz w:val="20"/>
                <w:szCs w:val="20"/>
              </w:rPr>
              <w:t xml:space="preserve">1 </w:t>
            </w:r>
            <w:r>
              <w:rPr>
                <w:spacing w:val="3"/>
                <w:sz w:val="20"/>
                <w:szCs w:val="20"/>
              </w:rPr>
              <w:t>座</w:t>
            </w:r>
            <w:r>
              <w:rPr>
                <w:spacing w:val="-38"/>
                <w:sz w:val="20"/>
                <w:szCs w:val="20"/>
              </w:rPr>
              <w:t xml:space="preserve"> </w:t>
            </w:r>
            <w:r>
              <w:rPr>
                <w:rFonts w:ascii="Times New Roman" w:hAnsi="Times New Roman" w:eastAsia="Times New Roman" w:cs="Times New Roman"/>
                <w:spacing w:val="3"/>
                <w:sz w:val="20"/>
                <w:szCs w:val="20"/>
              </w:rPr>
              <w:t>300m</w:t>
            </w:r>
            <w:r>
              <w:rPr>
                <w:rFonts w:ascii="Times New Roman" w:hAnsi="Times New Roman" w:eastAsia="Times New Roman" w:cs="Times New Roman"/>
                <w:spacing w:val="3"/>
                <w:position w:val="6"/>
                <w:sz w:val="13"/>
                <w:szCs w:val="13"/>
              </w:rPr>
              <w:t>2</w:t>
            </w:r>
            <w:r>
              <w:rPr>
                <w:rFonts w:ascii="Times New Roman" w:hAnsi="Times New Roman" w:eastAsia="Times New Roman" w:cs="Times New Roman"/>
                <w:spacing w:val="11"/>
                <w:w w:val="101"/>
                <w:position w:val="6"/>
                <w:sz w:val="13"/>
                <w:szCs w:val="13"/>
              </w:rPr>
              <w:t xml:space="preserve"> </w:t>
            </w:r>
            <w:r>
              <w:rPr>
                <w:spacing w:val="3"/>
                <w:sz w:val="20"/>
                <w:szCs w:val="20"/>
              </w:rPr>
              <w:t>一般固体废物暂</w:t>
            </w:r>
            <w:r>
              <w:rPr>
                <w:sz w:val="20"/>
                <w:szCs w:val="20"/>
              </w:rPr>
              <w:t xml:space="preserve"> </w:t>
            </w:r>
            <w:r>
              <w:rPr>
                <w:spacing w:val="6"/>
                <w:sz w:val="20"/>
                <w:szCs w:val="20"/>
              </w:rPr>
              <w:t>存库（一期建设</w:t>
            </w:r>
            <w:r>
              <w:rPr>
                <w:spacing w:val="13"/>
                <w:sz w:val="20"/>
                <w:szCs w:val="20"/>
              </w:rPr>
              <w:t>），</w:t>
            </w:r>
            <w:r>
              <w:rPr>
                <w:spacing w:val="6"/>
                <w:sz w:val="20"/>
                <w:szCs w:val="20"/>
              </w:rPr>
              <w:t>全封闭建设，地面进行</w:t>
            </w:r>
            <w:r>
              <w:rPr>
                <w:spacing w:val="1"/>
                <w:sz w:val="20"/>
                <w:szCs w:val="20"/>
              </w:rPr>
              <w:t xml:space="preserve"> </w:t>
            </w:r>
            <w:r>
              <w:rPr>
                <w:sz w:val="20"/>
                <w:szCs w:val="20"/>
              </w:rPr>
              <w:t xml:space="preserve">硬化防渗处理，用于暂存全厂一般固体废物， </w:t>
            </w:r>
            <w:r>
              <w:rPr>
                <w:spacing w:val="3"/>
                <w:sz w:val="20"/>
                <w:szCs w:val="20"/>
              </w:rPr>
              <w:t>包含脱硫石膏、废耐火材料、脱硫废渣、配</w:t>
            </w:r>
            <w:r>
              <w:rPr>
                <w:rFonts w:ascii="Times New Roman" w:hAnsi="Times New Roman" w:eastAsia="Times New Roman" w:cs="Times New Roman"/>
                <w:spacing w:val="3"/>
                <w:sz w:val="20"/>
                <w:szCs w:val="20"/>
              </w:rPr>
              <w:t>/</w:t>
            </w:r>
            <w:r>
              <w:rPr>
                <w:rFonts w:ascii="Times New Roman" w:hAnsi="Times New Roman" w:eastAsia="Times New Roman" w:cs="Times New Roman"/>
                <w:spacing w:val="7"/>
                <w:sz w:val="20"/>
                <w:szCs w:val="20"/>
              </w:rPr>
              <w:t xml:space="preserve">  </w:t>
            </w:r>
            <w:r>
              <w:rPr>
                <w:sz w:val="20"/>
                <w:szCs w:val="20"/>
              </w:rPr>
              <w:t xml:space="preserve">上料除尘灰、硅铁冶炼渣、废反渗透膜组件、 </w:t>
            </w:r>
            <w:r>
              <w:rPr>
                <w:spacing w:val="4"/>
                <w:sz w:val="20"/>
                <w:szCs w:val="20"/>
              </w:rPr>
              <w:t>废</w:t>
            </w:r>
            <w:r>
              <w:rPr>
                <w:spacing w:val="-28"/>
                <w:sz w:val="20"/>
                <w:szCs w:val="20"/>
              </w:rPr>
              <w:t xml:space="preserve"> </w:t>
            </w:r>
            <w:r>
              <w:rPr>
                <w:rFonts w:ascii="Times New Roman" w:hAnsi="Times New Roman" w:eastAsia="Times New Roman" w:cs="Times New Roman"/>
                <w:sz w:val="20"/>
                <w:szCs w:val="20"/>
              </w:rPr>
              <w:t>EDI</w:t>
            </w:r>
            <w:r>
              <w:rPr>
                <w:rFonts w:ascii="Times New Roman" w:hAnsi="Times New Roman" w:eastAsia="Times New Roman" w:cs="Times New Roman"/>
                <w:spacing w:val="4"/>
                <w:sz w:val="20"/>
                <w:szCs w:val="20"/>
              </w:rPr>
              <w:t xml:space="preserve"> </w:t>
            </w:r>
            <w:r>
              <w:rPr>
                <w:spacing w:val="4"/>
                <w:sz w:val="20"/>
                <w:szCs w:val="20"/>
              </w:rPr>
              <w:t>离子交换膜组件、废离子交换树脂及</w:t>
            </w:r>
            <w:r>
              <w:rPr>
                <w:sz w:val="20"/>
                <w:szCs w:val="20"/>
              </w:rPr>
              <w:t xml:space="preserve"> </w:t>
            </w:r>
            <w:r>
              <w:rPr>
                <w:spacing w:val="3"/>
                <w:sz w:val="20"/>
                <w:szCs w:val="20"/>
              </w:rPr>
              <w:t>废分子筛等。</w:t>
            </w:r>
          </w:p>
        </w:tc>
        <w:tc>
          <w:tcPr>
            <w:tcW w:w="1391" w:type="dxa"/>
            <w:vAlign w:val="top"/>
          </w:tcPr>
          <w:p w14:paraId="261580C2">
            <w:pPr>
              <w:spacing w:line="278" w:lineRule="auto"/>
              <w:rPr>
                <w:rFonts w:ascii="Arial"/>
                <w:sz w:val="21"/>
              </w:rPr>
            </w:pPr>
          </w:p>
          <w:p w14:paraId="77613CE6">
            <w:pPr>
              <w:spacing w:line="278" w:lineRule="auto"/>
              <w:rPr>
                <w:rFonts w:ascii="Arial"/>
                <w:sz w:val="21"/>
              </w:rPr>
            </w:pPr>
          </w:p>
          <w:p w14:paraId="46E214B8">
            <w:pPr>
              <w:spacing w:line="279" w:lineRule="auto"/>
              <w:rPr>
                <w:rFonts w:ascii="Arial"/>
                <w:sz w:val="21"/>
              </w:rPr>
            </w:pPr>
          </w:p>
          <w:p w14:paraId="05B8FC51">
            <w:pPr>
              <w:spacing w:before="57" w:line="195" w:lineRule="auto"/>
              <w:ind w:left="598"/>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1599" w:type="dxa"/>
            <w:vAlign w:val="top"/>
          </w:tcPr>
          <w:p w14:paraId="35080BBE">
            <w:pPr>
              <w:spacing w:line="277" w:lineRule="auto"/>
              <w:rPr>
                <w:rFonts w:ascii="Arial"/>
                <w:sz w:val="21"/>
              </w:rPr>
            </w:pPr>
          </w:p>
          <w:p w14:paraId="06D5A605">
            <w:pPr>
              <w:spacing w:line="277" w:lineRule="auto"/>
              <w:rPr>
                <w:rFonts w:ascii="Arial"/>
                <w:sz w:val="21"/>
              </w:rPr>
            </w:pPr>
          </w:p>
          <w:p w14:paraId="613BFC1D">
            <w:pPr>
              <w:spacing w:line="277" w:lineRule="auto"/>
              <w:rPr>
                <w:rFonts w:ascii="Arial"/>
                <w:sz w:val="21"/>
              </w:rPr>
            </w:pPr>
          </w:p>
          <w:p w14:paraId="0460E98F">
            <w:pPr>
              <w:spacing w:before="58" w:line="199" w:lineRule="auto"/>
              <w:ind w:left="7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085" w:type="dxa"/>
            <w:vMerge w:val="continue"/>
            <w:tcBorders>
              <w:top w:val="nil"/>
              <w:bottom w:val="nil"/>
              <w:right w:val="nil"/>
            </w:tcBorders>
            <w:vAlign w:val="top"/>
          </w:tcPr>
          <w:p w14:paraId="30FFB4DB">
            <w:pPr>
              <w:rPr>
                <w:rFonts w:ascii="Arial"/>
                <w:sz w:val="21"/>
              </w:rPr>
            </w:pPr>
          </w:p>
        </w:tc>
      </w:tr>
      <w:tr w14:paraId="53D402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8" w:hRule="atLeast"/>
        </w:trPr>
        <w:tc>
          <w:tcPr>
            <w:tcW w:w="1165" w:type="dxa"/>
            <w:vMerge w:val="continue"/>
            <w:tcBorders>
              <w:top w:val="nil"/>
              <w:left w:val="nil"/>
            </w:tcBorders>
            <w:vAlign w:val="top"/>
          </w:tcPr>
          <w:p w14:paraId="1AC9630C">
            <w:pPr>
              <w:rPr>
                <w:rFonts w:ascii="Arial"/>
                <w:sz w:val="21"/>
              </w:rPr>
            </w:pPr>
          </w:p>
        </w:tc>
        <w:tc>
          <w:tcPr>
            <w:tcW w:w="2772" w:type="dxa"/>
            <w:vAlign w:val="top"/>
          </w:tcPr>
          <w:p w14:paraId="0AE20AFC">
            <w:pPr>
              <w:pStyle w:val="6"/>
              <w:spacing w:before="185" w:line="228" w:lineRule="auto"/>
              <w:ind w:left="971"/>
              <w:rPr>
                <w:sz w:val="20"/>
                <w:szCs w:val="20"/>
              </w:rPr>
            </w:pPr>
            <w:r>
              <w:rPr>
                <w:spacing w:val="7"/>
                <w:sz w:val="20"/>
                <w:szCs w:val="20"/>
              </w:rPr>
              <w:t>锰硅炉渣</w:t>
            </w:r>
          </w:p>
        </w:tc>
        <w:tc>
          <w:tcPr>
            <w:tcW w:w="4011" w:type="dxa"/>
            <w:vAlign w:val="top"/>
          </w:tcPr>
          <w:p w14:paraId="39735063">
            <w:pPr>
              <w:pStyle w:val="6"/>
              <w:spacing w:before="50" w:line="225" w:lineRule="auto"/>
              <w:ind w:left="6"/>
              <w:rPr>
                <w:sz w:val="20"/>
                <w:szCs w:val="20"/>
              </w:rPr>
            </w:pPr>
            <w:r>
              <w:rPr>
                <w:spacing w:val="5"/>
                <w:sz w:val="20"/>
                <w:szCs w:val="20"/>
              </w:rPr>
              <w:t>每座锰硅冲渣水池贮存炉渣，可容纳</w:t>
            </w:r>
            <w:r>
              <w:rPr>
                <w:spacing w:val="-12"/>
                <w:sz w:val="20"/>
                <w:szCs w:val="20"/>
              </w:rPr>
              <w:t xml:space="preserve"> </w:t>
            </w:r>
            <w:r>
              <w:rPr>
                <w:rFonts w:ascii="Times New Roman" w:hAnsi="Times New Roman" w:eastAsia="Times New Roman" w:cs="Times New Roman"/>
                <w:spacing w:val="5"/>
                <w:sz w:val="20"/>
                <w:szCs w:val="20"/>
              </w:rPr>
              <w:t xml:space="preserve">1.5d </w:t>
            </w:r>
            <w:r>
              <w:rPr>
                <w:spacing w:val="5"/>
                <w:sz w:val="20"/>
                <w:szCs w:val="20"/>
              </w:rPr>
              <w:t>炉</w:t>
            </w:r>
            <w:r>
              <w:rPr>
                <w:sz w:val="20"/>
                <w:szCs w:val="20"/>
              </w:rPr>
              <w:t xml:space="preserve"> </w:t>
            </w:r>
            <w:r>
              <w:rPr>
                <w:spacing w:val="6"/>
                <w:sz w:val="20"/>
                <w:szCs w:val="20"/>
              </w:rPr>
              <w:t>渣临时贮存。</w:t>
            </w:r>
          </w:p>
        </w:tc>
        <w:tc>
          <w:tcPr>
            <w:tcW w:w="1391" w:type="dxa"/>
            <w:vAlign w:val="top"/>
          </w:tcPr>
          <w:p w14:paraId="27D5F151">
            <w:pPr>
              <w:pStyle w:val="6"/>
              <w:spacing w:before="184" w:line="229" w:lineRule="auto"/>
              <w:ind w:left="281"/>
              <w:rPr>
                <w:sz w:val="20"/>
                <w:szCs w:val="20"/>
              </w:rPr>
            </w:pPr>
            <w:r>
              <w:rPr>
                <w:spacing w:val="7"/>
                <w:sz w:val="20"/>
                <w:szCs w:val="20"/>
              </w:rPr>
              <w:t>计入基建</w:t>
            </w:r>
          </w:p>
        </w:tc>
        <w:tc>
          <w:tcPr>
            <w:tcW w:w="1599" w:type="dxa"/>
            <w:vAlign w:val="top"/>
          </w:tcPr>
          <w:p w14:paraId="71EBBFF6">
            <w:pPr>
              <w:pStyle w:val="6"/>
              <w:spacing w:before="185" w:line="228" w:lineRule="auto"/>
              <w:ind w:left="179"/>
              <w:rPr>
                <w:sz w:val="20"/>
                <w:szCs w:val="20"/>
              </w:rPr>
            </w:pPr>
            <w:r>
              <w:rPr>
                <w:spacing w:val="7"/>
                <w:sz w:val="20"/>
                <w:szCs w:val="20"/>
              </w:rPr>
              <w:t>外售综合利用</w:t>
            </w:r>
          </w:p>
        </w:tc>
        <w:tc>
          <w:tcPr>
            <w:tcW w:w="3085" w:type="dxa"/>
            <w:vMerge w:val="continue"/>
            <w:tcBorders>
              <w:top w:val="nil"/>
              <w:right w:val="nil"/>
            </w:tcBorders>
            <w:vAlign w:val="top"/>
          </w:tcPr>
          <w:p w14:paraId="1BA1BBF6">
            <w:pPr>
              <w:rPr>
                <w:rFonts w:ascii="Arial"/>
                <w:sz w:val="21"/>
              </w:rPr>
            </w:pPr>
          </w:p>
        </w:tc>
      </w:tr>
      <w:tr w14:paraId="133571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1165" w:type="dxa"/>
            <w:tcBorders>
              <w:left w:val="nil"/>
            </w:tcBorders>
            <w:vAlign w:val="top"/>
          </w:tcPr>
          <w:p w14:paraId="3123FE50">
            <w:pPr>
              <w:pStyle w:val="6"/>
              <w:spacing w:before="188" w:line="228" w:lineRule="auto"/>
              <w:ind w:left="389"/>
              <w:rPr>
                <w:sz w:val="20"/>
                <w:szCs w:val="20"/>
              </w:rPr>
            </w:pPr>
            <w:r>
              <w:rPr>
                <w:spacing w:val="-1"/>
                <w:sz w:val="20"/>
                <w:szCs w:val="20"/>
              </w:rPr>
              <w:t>噪声</w:t>
            </w:r>
          </w:p>
        </w:tc>
        <w:tc>
          <w:tcPr>
            <w:tcW w:w="2772" w:type="dxa"/>
            <w:vAlign w:val="top"/>
          </w:tcPr>
          <w:p w14:paraId="38B05796">
            <w:pPr>
              <w:pStyle w:val="6"/>
              <w:spacing w:before="188" w:line="228" w:lineRule="auto"/>
              <w:ind w:left="345"/>
              <w:rPr>
                <w:sz w:val="20"/>
                <w:szCs w:val="20"/>
              </w:rPr>
            </w:pPr>
            <w:r>
              <w:rPr>
                <w:spacing w:val="8"/>
                <w:sz w:val="20"/>
                <w:szCs w:val="20"/>
              </w:rPr>
              <w:t>设备运转、运输等噪声</w:t>
            </w:r>
          </w:p>
        </w:tc>
        <w:tc>
          <w:tcPr>
            <w:tcW w:w="4011" w:type="dxa"/>
            <w:vAlign w:val="top"/>
          </w:tcPr>
          <w:p w14:paraId="177EE748">
            <w:pPr>
              <w:pStyle w:val="6"/>
              <w:spacing w:before="51" w:line="224" w:lineRule="auto"/>
              <w:ind w:left="1906" w:right="9" w:hanging="1891"/>
              <w:rPr>
                <w:sz w:val="20"/>
                <w:szCs w:val="20"/>
              </w:rPr>
            </w:pPr>
            <w:r>
              <w:rPr>
                <w:spacing w:val="9"/>
                <w:sz w:val="20"/>
                <w:szCs w:val="20"/>
              </w:rPr>
              <w:t xml:space="preserve">采用消声器、隔声、减震及置于厂房内等措 </w:t>
            </w:r>
            <w:r>
              <w:rPr>
                <w:spacing w:val="1"/>
                <w:sz w:val="20"/>
                <w:szCs w:val="20"/>
              </w:rPr>
              <w:t>施</w:t>
            </w:r>
          </w:p>
        </w:tc>
        <w:tc>
          <w:tcPr>
            <w:tcW w:w="1391" w:type="dxa"/>
            <w:vAlign w:val="top"/>
          </w:tcPr>
          <w:p w14:paraId="2E20C6C7">
            <w:pPr>
              <w:spacing w:before="224" w:line="195" w:lineRule="auto"/>
              <w:ind w:left="612"/>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1599" w:type="dxa"/>
            <w:vAlign w:val="top"/>
          </w:tcPr>
          <w:p w14:paraId="2280B8D0">
            <w:pPr>
              <w:pStyle w:val="6"/>
              <w:spacing w:before="188" w:line="228" w:lineRule="auto"/>
              <w:ind w:left="388"/>
              <w:rPr>
                <w:sz w:val="20"/>
                <w:szCs w:val="20"/>
              </w:rPr>
            </w:pPr>
            <w:r>
              <w:rPr>
                <w:spacing w:val="6"/>
                <w:sz w:val="20"/>
                <w:szCs w:val="20"/>
              </w:rPr>
              <w:t>厂界达标</w:t>
            </w:r>
          </w:p>
        </w:tc>
        <w:tc>
          <w:tcPr>
            <w:tcW w:w="3085" w:type="dxa"/>
            <w:tcBorders>
              <w:right w:val="nil"/>
            </w:tcBorders>
            <w:vAlign w:val="top"/>
          </w:tcPr>
          <w:p w14:paraId="4ED39E8E">
            <w:pPr>
              <w:pStyle w:val="6"/>
              <w:spacing w:before="188" w:line="228" w:lineRule="auto"/>
              <w:ind w:left="241"/>
              <w:rPr>
                <w:sz w:val="20"/>
                <w:szCs w:val="20"/>
              </w:rPr>
            </w:pPr>
            <w:r>
              <w:rPr>
                <w:spacing w:val="5"/>
                <w:sz w:val="20"/>
                <w:szCs w:val="20"/>
              </w:rPr>
              <w:t>满足</w:t>
            </w:r>
            <w:r>
              <w:rPr>
                <w:spacing w:val="-28"/>
                <w:sz w:val="20"/>
                <w:szCs w:val="20"/>
              </w:rPr>
              <w:t xml:space="preserve"> </w:t>
            </w: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 xml:space="preserve">12348-2008 3 </w:t>
            </w:r>
            <w:r>
              <w:rPr>
                <w:spacing w:val="5"/>
                <w:sz w:val="20"/>
                <w:szCs w:val="20"/>
              </w:rPr>
              <w:t>类标准</w:t>
            </w:r>
          </w:p>
        </w:tc>
      </w:tr>
      <w:tr w14:paraId="5E1A3F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1165" w:type="dxa"/>
            <w:tcBorders>
              <w:left w:val="nil"/>
              <w:bottom w:val="single" w:color="000000" w:sz="10" w:space="0"/>
            </w:tcBorders>
            <w:vAlign w:val="top"/>
          </w:tcPr>
          <w:p w14:paraId="7956AF87">
            <w:pPr>
              <w:pStyle w:val="6"/>
              <w:spacing w:before="191" w:line="228" w:lineRule="auto"/>
              <w:ind w:left="392"/>
              <w:rPr>
                <w:sz w:val="20"/>
                <w:szCs w:val="20"/>
              </w:rPr>
            </w:pPr>
            <w:r>
              <w:rPr>
                <w:spacing w:val="-2"/>
                <w:sz w:val="20"/>
                <w:szCs w:val="20"/>
              </w:rPr>
              <w:t>防渗</w:t>
            </w:r>
          </w:p>
        </w:tc>
        <w:tc>
          <w:tcPr>
            <w:tcW w:w="6783" w:type="dxa"/>
            <w:gridSpan w:val="2"/>
            <w:tcBorders>
              <w:bottom w:val="single" w:color="000000" w:sz="10" w:space="0"/>
            </w:tcBorders>
            <w:vAlign w:val="top"/>
          </w:tcPr>
          <w:p w14:paraId="4CE9575E">
            <w:pPr>
              <w:pStyle w:val="6"/>
              <w:spacing w:before="57" w:line="232" w:lineRule="auto"/>
              <w:ind w:left="7" w:right="61"/>
              <w:rPr>
                <w:sz w:val="20"/>
                <w:szCs w:val="20"/>
              </w:rPr>
            </w:pPr>
            <w:r>
              <w:rPr>
                <w:spacing w:val="10"/>
                <w:sz w:val="20"/>
                <w:szCs w:val="20"/>
              </w:rPr>
              <w:t>冲渣池、危废暂存库、应急事故水池、煤气</w:t>
            </w:r>
            <w:r>
              <w:rPr>
                <w:spacing w:val="9"/>
                <w:sz w:val="20"/>
                <w:szCs w:val="20"/>
              </w:rPr>
              <w:t>冷凝废水隔油池等设定为重点</w:t>
            </w:r>
            <w:r>
              <w:rPr>
                <w:sz w:val="20"/>
                <w:szCs w:val="20"/>
              </w:rPr>
              <w:t xml:space="preserve"> </w:t>
            </w:r>
            <w:r>
              <w:rPr>
                <w:spacing w:val="9"/>
                <w:sz w:val="20"/>
                <w:szCs w:val="20"/>
              </w:rPr>
              <w:t>污染防渗区；烧结料棚、烧结车间、原料棚、锰硅电炉车间、冷却循环水</w:t>
            </w:r>
          </w:p>
        </w:tc>
        <w:tc>
          <w:tcPr>
            <w:tcW w:w="1391" w:type="dxa"/>
            <w:tcBorders>
              <w:bottom w:val="single" w:color="000000" w:sz="10" w:space="0"/>
            </w:tcBorders>
            <w:vAlign w:val="top"/>
          </w:tcPr>
          <w:p w14:paraId="24020C03">
            <w:pPr>
              <w:spacing w:before="226" w:line="195" w:lineRule="auto"/>
              <w:ind w:left="596"/>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1599" w:type="dxa"/>
            <w:tcBorders>
              <w:bottom w:val="single" w:color="000000" w:sz="10" w:space="0"/>
            </w:tcBorders>
            <w:vAlign w:val="top"/>
          </w:tcPr>
          <w:p w14:paraId="3833E71E">
            <w:pPr>
              <w:pStyle w:val="6"/>
              <w:spacing w:before="57" w:line="232" w:lineRule="auto"/>
              <w:ind w:left="10" w:firstLine="12"/>
              <w:rPr>
                <w:sz w:val="20"/>
                <w:szCs w:val="20"/>
              </w:rPr>
            </w:pPr>
            <w:r>
              <w:rPr>
                <w:spacing w:val="24"/>
                <w:sz w:val="20"/>
                <w:szCs w:val="20"/>
              </w:rPr>
              <w:t>防止有害物渗入</w:t>
            </w:r>
            <w:r>
              <w:rPr>
                <w:spacing w:val="2"/>
                <w:sz w:val="20"/>
                <w:szCs w:val="20"/>
              </w:rPr>
              <w:t xml:space="preserve"> </w:t>
            </w:r>
            <w:r>
              <w:rPr>
                <w:spacing w:val="26"/>
                <w:sz w:val="20"/>
                <w:szCs w:val="20"/>
              </w:rPr>
              <w:t>土壤污染附近浅</w:t>
            </w:r>
          </w:p>
        </w:tc>
        <w:tc>
          <w:tcPr>
            <w:tcW w:w="3085" w:type="dxa"/>
            <w:tcBorders>
              <w:bottom w:val="single" w:color="000000" w:sz="10" w:space="0"/>
              <w:right w:val="nil"/>
            </w:tcBorders>
            <w:vAlign w:val="top"/>
          </w:tcPr>
          <w:p w14:paraId="2C09B2E4">
            <w:pPr>
              <w:pStyle w:val="6"/>
              <w:spacing w:before="57" w:line="232" w:lineRule="auto"/>
              <w:ind w:left="4" w:firstLine="5"/>
              <w:rPr>
                <w:sz w:val="20"/>
                <w:szCs w:val="20"/>
              </w:rPr>
            </w:pPr>
            <w:r>
              <w:rPr>
                <w:spacing w:val="19"/>
                <w:sz w:val="20"/>
                <w:szCs w:val="20"/>
              </w:rPr>
              <w:t>重点污染防渗区等效黏土防渗层</w:t>
            </w:r>
            <w:r>
              <w:rPr>
                <w:spacing w:val="5"/>
                <w:sz w:val="20"/>
                <w:szCs w:val="20"/>
              </w:rPr>
              <w:t xml:space="preserve"> </w:t>
            </w:r>
            <w:r>
              <w:rPr>
                <w:rFonts w:ascii="Times New Roman" w:hAnsi="Times New Roman" w:eastAsia="Times New Roman" w:cs="Times New Roman"/>
                <w:spacing w:val="3"/>
                <w:sz w:val="20"/>
                <w:szCs w:val="20"/>
              </w:rPr>
              <w:t>M</w:t>
            </w:r>
            <w:r>
              <w:rPr>
                <w:spacing w:val="3"/>
                <w:sz w:val="20"/>
                <w:szCs w:val="20"/>
              </w:rPr>
              <w:t>≥</w:t>
            </w:r>
            <w:r>
              <w:rPr>
                <w:rFonts w:ascii="Times New Roman" w:hAnsi="Times New Roman" w:eastAsia="Times New Roman" w:cs="Times New Roman"/>
                <w:spacing w:val="3"/>
                <w:sz w:val="20"/>
                <w:szCs w:val="20"/>
              </w:rPr>
              <w:t>6.0m</w:t>
            </w:r>
            <w:r>
              <w:rPr>
                <w:rFonts w:ascii="Times New Roman" w:hAnsi="Times New Roman" w:eastAsia="Times New Roman" w:cs="Times New Roman"/>
                <w:spacing w:val="-7"/>
                <w:sz w:val="20"/>
                <w:szCs w:val="20"/>
              </w:rPr>
              <w:t xml:space="preserve"> </w:t>
            </w:r>
            <w:r>
              <w:rPr>
                <w:spacing w:val="3"/>
                <w:sz w:val="20"/>
                <w:szCs w:val="20"/>
              </w:rPr>
              <w:t>，</w:t>
            </w:r>
            <w:r>
              <w:rPr>
                <w:rFonts w:ascii="Times New Roman" w:hAnsi="Times New Roman" w:eastAsia="Times New Roman" w:cs="Times New Roman"/>
                <w:spacing w:val="3"/>
                <w:sz w:val="20"/>
                <w:szCs w:val="20"/>
              </w:rPr>
              <w:t>K</w:t>
            </w:r>
            <w:r>
              <w:rPr>
                <w:spacing w:val="3"/>
                <w:sz w:val="20"/>
                <w:szCs w:val="20"/>
              </w:rPr>
              <w:t>≤</w:t>
            </w:r>
            <w:r>
              <w:rPr>
                <w:rFonts w:ascii="Times New Roman" w:hAnsi="Times New Roman" w:eastAsia="Times New Roman" w:cs="Times New Roman"/>
                <w:spacing w:val="3"/>
                <w:sz w:val="20"/>
                <w:szCs w:val="20"/>
              </w:rPr>
              <w:t>1</w:t>
            </w:r>
            <w:r>
              <w:rPr>
                <w:spacing w:val="3"/>
                <w:sz w:val="20"/>
                <w:szCs w:val="20"/>
              </w:rPr>
              <w:t>×</w:t>
            </w:r>
            <w:r>
              <w:rPr>
                <w:spacing w:val="-73"/>
                <w:sz w:val="20"/>
                <w:szCs w:val="20"/>
              </w:rPr>
              <w:t xml:space="preserve"> </w:t>
            </w:r>
            <w:r>
              <w:rPr>
                <w:rFonts w:ascii="Times New Roman" w:hAnsi="Times New Roman" w:eastAsia="Times New Roman" w:cs="Times New Roman"/>
                <w:spacing w:val="3"/>
                <w:sz w:val="20"/>
                <w:szCs w:val="20"/>
              </w:rPr>
              <w:t>10</w:t>
            </w:r>
            <w:r>
              <w:rPr>
                <w:rFonts w:ascii="Times New Roman" w:hAnsi="Times New Roman" w:eastAsia="Times New Roman" w:cs="Times New Roman"/>
                <w:spacing w:val="3"/>
                <w:position w:val="6"/>
                <w:sz w:val="13"/>
                <w:szCs w:val="13"/>
              </w:rPr>
              <w:t>-7</w:t>
            </w:r>
            <w:r>
              <w:rPr>
                <w:rFonts w:ascii="Times New Roman" w:hAnsi="Times New Roman" w:eastAsia="Times New Roman" w:cs="Times New Roman"/>
                <w:sz w:val="20"/>
                <w:szCs w:val="20"/>
              </w:rPr>
              <w:t>cm</w:t>
            </w:r>
            <w:r>
              <w:rPr>
                <w:rFonts w:ascii="Times New Roman" w:hAnsi="Times New Roman" w:eastAsia="Times New Roman" w:cs="Times New Roman"/>
                <w:spacing w:val="3"/>
                <w:sz w:val="20"/>
                <w:szCs w:val="20"/>
              </w:rPr>
              <w:t>/s</w:t>
            </w:r>
            <w:r>
              <w:rPr>
                <w:rFonts w:ascii="Times New Roman" w:hAnsi="Times New Roman" w:eastAsia="Times New Roman" w:cs="Times New Roman"/>
                <w:spacing w:val="-20"/>
                <w:sz w:val="20"/>
                <w:szCs w:val="20"/>
              </w:rPr>
              <w:t xml:space="preserve"> </w:t>
            </w:r>
            <w:r>
              <w:rPr>
                <w:spacing w:val="3"/>
                <w:sz w:val="20"/>
                <w:szCs w:val="20"/>
              </w:rPr>
              <w:t>，或参</w:t>
            </w:r>
          </w:p>
        </w:tc>
      </w:tr>
    </w:tbl>
    <w:p w14:paraId="729347AD">
      <w:pPr>
        <w:pStyle w:val="2"/>
      </w:pPr>
    </w:p>
    <w:p w14:paraId="2E303B1D">
      <w:pPr>
        <w:sectPr>
          <w:headerReference r:id="rId483" w:type="default"/>
          <w:footerReference r:id="rId484" w:type="default"/>
          <w:pgSz w:w="16839" w:h="11905"/>
          <w:pgMar w:top="400" w:right="1407" w:bottom="1335" w:left="1407" w:header="0" w:footer="1173" w:gutter="0"/>
          <w:cols w:space="720" w:num="1"/>
        </w:sectPr>
      </w:pPr>
    </w:p>
    <w:p w14:paraId="33CAC0CD">
      <w:pPr>
        <w:pStyle w:val="2"/>
        <w:spacing w:line="273" w:lineRule="auto"/>
      </w:pPr>
    </w:p>
    <w:p w14:paraId="5649E2D1">
      <w:pPr>
        <w:pStyle w:val="2"/>
        <w:spacing w:line="273" w:lineRule="auto"/>
      </w:pPr>
    </w:p>
    <w:p w14:paraId="2E69A903">
      <w:pPr>
        <w:spacing w:before="65" w:line="226" w:lineRule="auto"/>
        <w:ind w:left="2881"/>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p w14:paraId="1938719B">
      <w:pPr>
        <w:spacing w:before="16" w:line="58" w:lineRule="exact"/>
        <w:ind w:firstLine="10"/>
      </w:pPr>
      <w:r>
        <w:rPr>
          <w:position w:val="-1"/>
        </w:rPr>
        <w:pict>
          <v:shape id="_x0000_s3084" o:spid="_x0000_s3084" style="height:2.9pt;width:700.25pt;" fillcolor="#000000" filled="t" stroked="f" coordsize="14005,58" path="m0,0l14004,0,14004,14,0,14,0,0xem0,28l14004,28,14004,57,0,57,0,28xe">
            <v:path/>
            <v:fill on="t" focussize="0,0"/>
            <v:stroke on="f"/>
            <v:imagedata o:title=""/>
            <o:lock v:ext="edit"/>
            <w10:wrap type="none"/>
            <w10:anchorlock/>
          </v:shape>
        </w:pict>
      </w:r>
    </w:p>
    <w:p w14:paraId="615BAF2C">
      <w:pPr>
        <w:spacing w:line="83" w:lineRule="exact"/>
      </w:pPr>
    </w:p>
    <w:tbl>
      <w:tblPr>
        <w:tblStyle w:val="5"/>
        <w:tblW w:w="1402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65"/>
        <w:gridCol w:w="2772"/>
        <w:gridCol w:w="4011"/>
        <w:gridCol w:w="1391"/>
        <w:gridCol w:w="1599"/>
        <w:gridCol w:w="3085"/>
      </w:tblGrid>
      <w:tr w14:paraId="6CFF11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165" w:type="dxa"/>
            <w:tcBorders>
              <w:top w:val="single" w:color="000000" w:sz="10" w:space="0"/>
              <w:left w:val="nil"/>
            </w:tcBorders>
            <w:vAlign w:val="top"/>
          </w:tcPr>
          <w:p w14:paraId="1ACC03FD">
            <w:pPr>
              <w:pStyle w:val="6"/>
              <w:spacing w:before="35" w:line="215" w:lineRule="auto"/>
              <w:ind w:left="379"/>
              <w:rPr>
                <w:sz w:val="20"/>
                <w:szCs w:val="20"/>
              </w:rPr>
            </w:pPr>
            <w:r>
              <w:rPr>
                <w:spacing w:val="4"/>
                <w:sz w:val="20"/>
                <w:szCs w:val="20"/>
              </w:rPr>
              <w:t>类别</w:t>
            </w:r>
          </w:p>
        </w:tc>
        <w:tc>
          <w:tcPr>
            <w:tcW w:w="2772" w:type="dxa"/>
            <w:tcBorders>
              <w:top w:val="single" w:color="000000" w:sz="10" w:space="0"/>
            </w:tcBorders>
            <w:vAlign w:val="top"/>
          </w:tcPr>
          <w:p w14:paraId="081CD3CF">
            <w:pPr>
              <w:pStyle w:val="6"/>
              <w:spacing w:before="35" w:line="215" w:lineRule="auto"/>
              <w:ind w:left="1078"/>
              <w:rPr>
                <w:sz w:val="20"/>
                <w:szCs w:val="20"/>
              </w:rPr>
            </w:pPr>
            <w:r>
              <w:rPr>
                <w:spacing w:val="6"/>
                <w:sz w:val="20"/>
                <w:szCs w:val="20"/>
              </w:rPr>
              <w:t>污染源</w:t>
            </w:r>
          </w:p>
        </w:tc>
        <w:tc>
          <w:tcPr>
            <w:tcW w:w="4011" w:type="dxa"/>
            <w:tcBorders>
              <w:top w:val="single" w:color="000000" w:sz="10" w:space="0"/>
            </w:tcBorders>
            <w:vAlign w:val="top"/>
          </w:tcPr>
          <w:p w14:paraId="41A284D5">
            <w:pPr>
              <w:pStyle w:val="6"/>
              <w:spacing w:before="35" w:line="215" w:lineRule="auto"/>
              <w:ind w:left="1275"/>
              <w:rPr>
                <w:sz w:val="20"/>
                <w:szCs w:val="20"/>
              </w:rPr>
            </w:pPr>
            <w:r>
              <w:rPr>
                <w:spacing w:val="8"/>
                <w:sz w:val="20"/>
                <w:szCs w:val="20"/>
              </w:rPr>
              <w:t>采取的处理措施</w:t>
            </w:r>
          </w:p>
        </w:tc>
        <w:tc>
          <w:tcPr>
            <w:tcW w:w="1391" w:type="dxa"/>
            <w:tcBorders>
              <w:top w:val="single" w:color="000000" w:sz="10" w:space="0"/>
            </w:tcBorders>
            <w:vAlign w:val="top"/>
          </w:tcPr>
          <w:p w14:paraId="1772D9B7">
            <w:pPr>
              <w:pStyle w:val="6"/>
              <w:spacing w:before="35" w:line="215" w:lineRule="auto"/>
              <w:ind w:left="493"/>
              <w:rPr>
                <w:sz w:val="20"/>
                <w:szCs w:val="20"/>
              </w:rPr>
            </w:pPr>
            <w:r>
              <w:rPr>
                <w:spacing w:val="3"/>
                <w:sz w:val="20"/>
                <w:szCs w:val="20"/>
              </w:rPr>
              <w:t>投资</w:t>
            </w:r>
          </w:p>
        </w:tc>
        <w:tc>
          <w:tcPr>
            <w:tcW w:w="1599" w:type="dxa"/>
            <w:tcBorders>
              <w:top w:val="single" w:color="000000" w:sz="10" w:space="0"/>
            </w:tcBorders>
            <w:vAlign w:val="top"/>
          </w:tcPr>
          <w:p w14:paraId="5E87C2A0">
            <w:pPr>
              <w:pStyle w:val="6"/>
              <w:spacing w:before="35" w:line="215" w:lineRule="auto"/>
              <w:ind w:left="388"/>
              <w:rPr>
                <w:sz w:val="20"/>
                <w:szCs w:val="20"/>
              </w:rPr>
            </w:pPr>
            <w:r>
              <w:rPr>
                <w:spacing w:val="6"/>
                <w:sz w:val="20"/>
                <w:szCs w:val="20"/>
              </w:rPr>
              <w:t>净化效率</w:t>
            </w:r>
          </w:p>
        </w:tc>
        <w:tc>
          <w:tcPr>
            <w:tcW w:w="3085" w:type="dxa"/>
            <w:tcBorders>
              <w:top w:val="single" w:color="000000" w:sz="10" w:space="0"/>
              <w:right w:val="nil"/>
            </w:tcBorders>
            <w:vAlign w:val="top"/>
          </w:tcPr>
          <w:p w14:paraId="757D763E">
            <w:pPr>
              <w:pStyle w:val="6"/>
              <w:spacing w:before="35" w:line="215" w:lineRule="auto"/>
              <w:ind w:left="1128"/>
              <w:rPr>
                <w:sz w:val="20"/>
                <w:szCs w:val="20"/>
              </w:rPr>
            </w:pPr>
            <w:r>
              <w:rPr>
                <w:spacing w:val="7"/>
                <w:sz w:val="20"/>
                <w:szCs w:val="20"/>
              </w:rPr>
              <w:t>验收标准</w:t>
            </w:r>
          </w:p>
        </w:tc>
      </w:tr>
      <w:tr w14:paraId="23B0E3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3" w:hRule="atLeast"/>
        </w:trPr>
        <w:tc>
          <w:tcPr>
            <w:tcW w:w="1165" w:type="dxa"/>
            <w:tcBorders>
              <w:left w:val="nil"/>
            </w:tcBorders>
            <w:vAlign w:val="top"/>
          </w:tcPr>
          <w:p w14:paraId="309FBB66">
            <w:pPr>
              <w:rPr>
                <w:rFonts w:ascii="Arial"/>
                <w:sz w:val="21"/>
              </w:rPr>
            </w:pPr>
          </w:p>
        </w:tc>
        <w:tc>
          <w:tcPr>
            <w:tcW w:w="6783" w:type="dxa"/>
            <w:gridSpan w:val="2"/>
            <w:vAlign w:val="top"/>
          </w:tcPr>
          <w:p w14:paraId="40333D35">
            <w:pPr>
              <w:pStyle w:val="6"/>
              <w:spacing w:before="34" w:line="239" w:lineRule="auto"/>
              <w:ind w:left="7" w:right="59"/>
              <w:rPr>
                <w:sz w:val="20"/>
                <w:szCs w:val="20"/>
              </w:rPr>
            </w:pPr>
            <w:r>
              <w:rPr>
                <w:spacing w:val="10"/>
                <w:sz w:val="20"/>
                <w:szCs w:val="20"/>
              </w:rPr>
              <w:t>站、煤气净化装置、空压站、一般固废暂存库、库</w:t>
            </w:r>
            <w:r>
              <w:rPr>
                <w:spacing w:val="9"/>
                <w:sz w:val="20"/>
                <w:szCs w:val="20"/>
              </w:rPr>
              <w:t>房等设定为一般污染防</w:t>
            </w:r>
            <w:r>
              <w:rPr>
                <w:sz w:val="20"/>
                <w:szCs w:val="20"/>
              </w:rPr>
              <w:t xml:space="preserve"> </w:t>
            </w:r>
            <w:r>
              <w:rPr>
                <w:spacing w:val="8"/>
                <w:sz w:val="20"/>
                <w:szCs w:val="20"/>
              </w:rPr>
              <w:t>渗区；其他区域设定为简单污染防渗区。</w:t>
            </w:r>
          </w:p>
        </w:tc>
        <w:tc>
          <w:tcPr>
            <w:tcW w:w="1391" w:type="dxa"/>
            <w:vAlign w:val="top"/>
          </w:tcPr>
          <w:p w14:paraId="10305755">
            <w:pPr>
              <w:rPr>
                <w:rFonts w:ascii="Arial"/>
                <w:sz w:val="21"/>
              </w:rPr>
            </w:pPr>
          </w:p>
        </w:tc>
        <w:tc>
          <w:tcPr>
            <w:tcW w:w="1599" w:type="dxa"/>
            <w:vAlign w:val="top"/>
          </w:tcPr>
          <w:p w14:paraId="542B5C30">
            <w:pPr>
              <w:pStyle w:val="6"/>
              <w:spacing w:before="35" w:line="228" w:lineRule="auto"/>
              <w:ind w:left="9"/>
              <w:rPr>
                <w:sz w:val="20"/>
                <w:szCs w:val="20"/>
              </w:rPr>
            </w:pPr>
            <w:r>
              <w:rPr>
                <w:spacing w:val="8"/>
                <w:sz w:val="20"/>
                <w:szCs w:val="20"/>
              </w:rPr>
              <w:t>层地下水和土壤</w:t>
            </w:r>
          </w:p>
        </w:tc>
        <w:tc>
          <w:tcPr>
            <w:tcW w:w="3085" w:type="dxa"/>
            <w:tcBorders>
              <w:right w:val="nil"/>
            </w:tcBorders>
            <w:vAlign w:val="top"/>
          </w:tcPr>
          <w:p w14:paraId="1F0B524F">
            <w:pPr>
              <w:pStyle w:val="6"/>
              <w:spacing w:before="35" w:line="236" w:lineRule="auto"/>
              <w:ind w:left="4" w:firstLine="11"/>
              <w:jc w:val="both"/>
              <w:rPr>
                <w:sz w:val="20"/>
                <w:szCs w:val="20"/>
              </w:rPr>
            </w:pPr>
            <w:r>
              <w:rPr>
                <w:spacing w:val="10"/>
                <w:sz w:val="20"/>
                <w:szCs w:val="20"/>
              </w:rPr>
              <w:t>照</w:t>
            </w:r>
            <w:r>
              <w:rPr>
                <w:spacing w:val="-32"/>
                <w:sz w:val="20"/>
                <w:szCs w:val="20"/>
              </w:rPr>
              <w:t xml:space="preserve"> </w:t>
            </w:r>
            <w:r>
              <w:rPr>
                <w:rFonts w:ascii="Times New Roman" w:hAnsi="Times New Roman" w:eastAsia="Times New Roman" w:cs="Times New Roman"/>
                <w:sz w:val="20"/>
                <w:szCs w:val="20"/>
              </w:rPr>
              <w:t>GB</w:t>
            </w:r>
            <w:r>
              <w:rPr>
                <w:rFonts w:ascii="Times New Roman" w:hAnsi="Times New Roman" w:eastAsia="Times New Roman" w:cs="Times New Roman"/>
                <w:spacing w:val="10"/>
                <w:sz w:val="20"/>
                <w:szCs w:val="20"/>
              </w:rPr>
              <w:t>18598</w:t>
            </w:r>
            <w:r>
              <w:rPr>
                <w:rFonts w:ascii="Times New Roman" w:hAnsi="Times New Roman" w:eastAsia="Times New Roman" w:cs="Times New Roman"/>
                <w:spacing w:val="20"/>
                <w:sz w:val="20"/>
                <w:szCs w:val="20"/>
              </w:rPr>
              <w:t xml:space="preserve"> </w:t>
            </w:r>
            <w:r>
              <w:rPr>
                <w:spacing w:val="10"/>
                <w:sz w:val="20"/>
                <w:szCs w:val="20"/>
              </w:rPr>
              <w:t>设置防渗；一般污染</w:t>
            </w:r>
            <w:r>
              <w:rPr>
                <w:sz w:val="20"/>
                <w:szCs w:val="20"/>
              </w:rPr>
              <w:t xml:space="preserve"> </w:t>
            </w:r>
            <w:r>
              <w:rPr>
                <w:spacing w:val="19"/>
                <w:sz w:val="20"/>
                <w:szCs w:val="20"/>
              </w:rPr>
              <w:t>防渗区防渗等级等效黏土防渗层</w:t>
            </w:r>
            <w:r>
              <w:rPr>
                <w:spacing w:val="11"/>
                <w:sz w:val="20"/>
                <w:szCs w:val="20"/>
              </w:rPr>
              <w:t xml:space="preserve"> </w:t>
            </w:r>
            <w:r>
              <w:rPr>
                <w:rFonts w:ascii="Times New Roman" w:hAnsi="Times New Roman" w:eastAsia="Times New Roman" w:cs="Times New Roman"/>
                <w:spacing w:val="3"/>
                <w:sz w:val="20"/>
                <w:szCs w:val="20"/>
              </w:rPr>
              <w:t>M</w:t>
            </w:r>
            <w:r>
              <w:rPr>
                <w:spacing w:val="3"/>
                <w:sz w:val="20"/>
                <w:szCs w:val="20"/>
              </w:rPr>
              <w:t>≥</w:t>
            </w:r>
            <w:r>
              <w:rPr>
                <w:rFonts w:ascii="Times New Roman" w:hAnsi="Times New Roman" w:eastAsia="Times New Roman" w:cs="Times New Roman"/>
                <w:spacing w:val="3"/>
                <w:sz w:val="20"/>
                <w:szCs w:val="20"/>
              </w:rPr>
              <w:t>1.5m</w:t>
            </w:r>
            <w:r>
              <w:rPr>
                <w:rFonts w:ascii="Times New Roman" w:hAnsi="Times New Roman" w:eastAsia="Times New Roman" w:cs="Times New Roman"/>
                <w:spacing w:val="-21"/>
                <w:sz w:val="20"/>
                <w:szCs w:val="20"/>
              </w:rPr>
              <w:t xml:space="preserve"> </w:t>
            </w:r>
            <w:r>
              <w:rPr>
                <w:spacing w:val="3"/>
                <w:sz w:val="20"/>
                <w:szCs w:val="20"/>
              </w:rPr>
              <w:t>，</w:t>
            </w:r>
            <w:r>
              <w:rPr>
                <w:rFonts w:ascii="Times New Roman" w:hAnsi="Times New Roman" w:eastAsia="Times New Roman" w:cs="Times New Roman"/>
                <w:spacing w:val="3"/>
                <w:sz w:val="20"/>
                <w:szCs w:val="20"/>
              </w:rPr>
              <w:t>K</w:t>
            </w:r>
            <w:r>
              <w:rPr>
                <w:spacing w:val="3"/>
                <w:sz w:val="20"/>
                <w:szCs w:val="20"/>
              </w:rPr>
              <w:t>≤</w:t>
            </w:r>
            <w:r>
              <w:rPr>
                <w:rFonts w:ascii="Times New Roman" w:hAnsi="Times New Roman" w:eastAsia="Times New Roman" w:cs="Times New Roman"/>
                <w:spacing w:val="3"/>
                <w:sz w:val="20"/>
                <w:szCs w:val="20"/>
              </w:rPr>
              <w:t>1</w:t>
            </w:r>
            <w:r>
              <w:rPr>
                <w:spacing w:val="3"/>
                <w:sz w:val="20"/>
                <w:szCs w:val="20"/>
              </w:rPr>
              <w:t>×</w:t>
            </w:r>
            <w:r>
              <w:rPr>
                <w:spacing w:val="-76"/>
                <w:sz w:val="20"/>
                <w:szCs w:val="20"/>
              </w:rPr>
              <w:t xml:space="preserve"> </w:t>
            </w:r>
            <w:r>
              <w:rPr>
                <w:rFonts w:ascii="Times New Roman" w:hAnsi="Times New Roman" w:eastAsia="Times New Roman" w:cs="Times New Roman"/>
                <w:spacing w:val="3"/>
                <w:sz w:val="20"/>
                <w:szCs w:val="20"/>
              </w:rPr>
              <w:t>10</w:t>
            </w:r>
            <w:r>
              <w:rPr>
                <w:rFonts w:ascii="Times New Roman" w:hAnsi="Times New Roman" w:eastAsia="Times New Roman" w:cs="Times New Roman"/>
                <w:spacing w:val="3"/>
                <w:position w:val="6"/>
                <w:sz w:val="13"/>
                <w:szCs w:val="13"/>
              </w:rPr>
              <w:t>-7</w:t>
            </w:r>
            <w:r>
              <w:rPr>
                <w:rFonts w:ascii="Times New Roman" w:hAnsi="Times New Roman" w:eastAsia="Times New Roman" w:cs="Times New Roman"/>
                <w:sz w:val="20"/>
                <w:szCs w:val="20"/>
              </w:rPr>
              <w:t>cm</w:t>
            </w:r>
            <w:r>
              <w:rPr>
                <w:rFonts w:ascii="Times New Roman" w:hAnsi="Times New Roman" w:eastAsia="Times New Roman" w:cs="Times New Roman"/>
                <w:spacing w:val="3"/>
                <w:sz w:val="20"/>
                <w:szCs w:val="20"/>
              </w:rPr>
              <w:t>/s</w:t>
            </w:r>
            <w:r>
              <w:rPr>
                <w:spacing w:val="3"/>
                <w:sz w:val="20"/>
                <w:szCs w:val="20"/>
              </w:rPr>
              <w:t>。</w:t>
            </w:r>
          </w:p>
        </w:tc>
      </w:tr>
      <w:tr w14:paraId="4DAC9A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1" w:hRule="atLeast"/>
        </w:trPr>
        <w:tc>
          <w:tcPr>
            <w:tcW w:w="1165" w:type="dxa"/>
            <w:tcBorders>
              <w:left w:val="nil"/>
            </w:tcBorders>
            <w:vAlign w:val="top"/>
          </w:tcPr>
          <w:p w14:paraId="1FF7E171">
            <w:pPr>
              <w:spacing w:line="260" w:lineRule="auto"/>
              <w:rPr>
                <w:rFonts w:ascii="Arial"/>
                <w:sz w:val="21"/>
              </w:rPr>
            </w:pPr>
          </w:p>
          <w:p w14:paraId="04E607C0">
            <w:pPr>
              <w:pStyle w:val="6"/>
              <w:spacing w:before="65" w:line="228" w:lineRule="auto"/>
              <w:ind w:left="380"/>
              <w:rPr>
                <w:sz w:val="20"/>
                <w:szCs w:val="20"/>
              </w:rPr>
            </w:pPr>
            <w:r>
              <w:rPr>
                <w:spacing w:val="4"/>
                <w:sz w:val="20"/>
                <w:szCs w:val="20"/>
              </w:rPr>
              <w:t>风险</w:t>
            </w:r>
          </w:p>
        </w:tc>
        <w:tc>
          <w:tcPr>
            <w:tcW w:w="6783" w:type="dxa"/>
            <w:gridSpan w:val="2"/>
            <w:vAlign w:val="top"/>
          </w:tcPr>
          <w:p w14:paraId="278D2444">
            <w:pPr>
              <w:spacing w:line="259" w:lineRule="auto"/>
              <w:rPr>
                <w:rFonts w:ascii="Arial"/>
                <w:sz w:val="21"/>
              </w:rPr>
            </w:pPr>
          </w:p>
          <w:p w14:paraId="7E37BB5B">
            <w:pPr>
              <w:pStyle w:val="6"/>
              <w:spacing w:before="65" w:line="228" w:lineRule="auto"/>
              <w:ind w:left="378"/>
              <w:rPr>
                <w:sz w:val="20"/>
                <w:szCs w:val="20"/>
              </w:rPr>
            </w:pPr>
            <w:r>
              <w:rPr>
                <w:spacing w:val="5"/>
                <w:sz w:val="20"/>
                <w:szCs w:val="20"/>
              </w:rPr>
              <w:t>建设</w:t>
            </w:r>
            <w:r>
              <w:rPr>
                <w:spacing w:val="-5"/>
                <w:sz w:val="20"/>
                <w:szCs w:val="20"/>
              </w:rPr>
              <w:t xml:space="preserve"> </w:t>
            </w:r>
            <w:r>
              <w:rPr>
                <w:rFonts w:ascii="Times New Roman" w:hAnsi="Times New Roman" w:eastAsia="Times New Roman" w:cs="Times New Roman"/>
                <w:spacing w:val="5"/>
                <w:sz w:val="20"/>
                <w:szCs w:val="20"/>
              </w:rPr>
              <w:t xml:space="preserve">1 </w:t>
            </w:r>
            <w:r>
              <w:rPr>
                <w:spacing w:val="5"/>
                <w:sz w:val="20"/>
                <w:szCs w:val="20"/>
              </w:rPr>
              <w:t>座容积为</w:t>
            </w:r>
            <w:r>
              <w:rPr>
                <w:spacing w:val="-37"/>
                <w:sz w:val="20"/>
                <w:szCs w:val="20"/>
              </w:rPr>
              <w:t xml:space="preserve"> </w:t>
            </w:r>
            <w:r>
              <w:rPr>
                <w:rFonts w:ascii="Times New Roman" w:hAnsi="Times New Roman" w:eastAsia="Times New Roman" w:cs="Times New Roman"/>
                <w:spacing w:val="5"/>
                <w:sz w:val="20"/>
                <w:szCs w:val="20"/>
              </w:rPr>
              <w:t>3200m</w:t>
            </w:r>
            <w:r>
              <w:rPr>
                <w:rFonts w:ascii="Times New Roman" w:hAnsi="Times New Roman" w:eastAsia="Times New Roman" w:cs="Times New Roman"/>
                <w:spacing w:val="5"/>
                <w:position w:val="6"/>
                <w:sz w:val="13"/>
                <w:szCs w:val="13"/>
              </w:rPr>
              <w:t xml:space="preserve">3 </w:t>
            </w:r>
            <w:r>
              <w:rPr>
                <w:spacing w:val="5"/>
                <w:sz w:val="20"/>
                <w:szCs w:val="20"/>
              </w:rPr>
              <w:t>事故水池，</w:t>
            </w:r>
            <w:r>
              <w:rPr>
                <w:rFonts w:ascii="Times New Roman" w:hAnsi="Times New Roman" w:eastAsia="Times New Roman" w:cs="Times New Roman"/>
                <w:spacing w:val="5"/>
                <w:sz w:val="20"/>
                <w:szCs w:val="20"/>
              </w:rPr>
              <w:t xml:space="preserve">1 </w:t>
            </w:r>
            <w:r>
              <w:rPr>
                <w:spacing w:val="5"/>
                <w:sz w:val="20"/>
                <w:szCs w:val="20"/>
              </w:rPr>
              <w:t>座</w:t>
            </w:r>
            <w:r>
              <w:rPr>
                <w:spacing w:val="-39"/>
                <w:sz w:val="20"/>
                <w:szCs w:val="20"/>
              </w:rPr>
              <w:t xml:space="preserve"> </w:t>
            </w:r>
            <w:r>
              <w:rPr>
                <w:rFonts w:ascii="Times New Roman" w:hAnsi="Times New Roman" w:eastAsia="Times New Roman" w:cs="Times New Roman"/>
                <w:spacing w:val="5"/>
                <w:sz w:val="20"/>
                <w:szCs w:val="20"/>
              </w:rPr>
              <w:t>3200m</w:t>
            </w:r>
            <w:r>
              <w:rPr>
                <w:rFonts w:ascii="Times New Roman" w:hAnsi="Times New Roman" w:eastAsia="Times New Roman" w:cs="Times New Roman"/>
                <w:spacing w:val="5"/>
                <w:position w:val="6"/>
                <w:sz w:val="13"/>
                <w:szCs w:val="13"/>
              </w:rPr>
              <w:t>3</w:t>
            </w:r>
            <w:r>
              <w:rPr>
                <w:rFonts w:ascii="Times New Roman" w:hAnsi="Times New Roman" w:eastAsia="Times New Roman" w:cs="Times New Roman"/>
                <w:spacing w:val="10"/>
                <w:w w:val="101"/>
                <w:position w:val="6"/>
                <w:sz w:val="13"/>
                <w:szCs w:val="13"/>
              </w:rPr>
              <w:t xml:space="preserve"> </w:t>
            </w:r>
            <w:r>
              <w:rPr>
                <w:spacing w:val="5"/>
                <w:sz w:val="20"/>
                <w:szCs w:val="20"/>
              </w:rPr>
              <w:t>初期雨水收集池。</w:t>
            </w:r>
          </w:p>
        </w:tc>
        <w:tc>
          <w:tcPr>
            <w:tcW w:w="1391" w:type="dxa"/>
            <w:vAlign w:val="top"/>
          </w:tcPr>
          <w:p w14:paraId="0CF4C546">
            <w:pPr>
              <w:spacing w:line="302" w:lineRule="auto"/>
              <w:rPr>
                <w:rFonts w:ascii="Arial"/>
                <w:sz w:val="21"/>
              </w:rPr>
            </w:pPr>
          </w:p>
          <w:p w14:paraId="0F6F55A8">
            <w:pPr>
              <w:spacing w:before="58" w:line="195" w:lineRule="auto"/>
              <w:ind w:left="559"/>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150</w:t>
            </w:r>
          </w:p>
        </w:tc>
        <w:tc>
          <w:tcPr>
            <w:tcW w:w="1599" w:type="dxa"/>
            <w:vAlign w:val="top"/>
          </w:tcPr>
          <w:p w14:paraId="4864EC2A">
            <w:pPr>
              <w:pStyle w:val="6"/>
              <w:spacing w:before="189"/>
              <w:ind w:left="702" w:right="61" w:hanging="615"/>
              <w:rPr>
                <w:sz w:val="20"/>
                <w:szCs w:val="20"/>
              </w:rPr>
            </w:pPr>
            <w:r>
              <w:rPr>
                <w:spacing w:val="6"/>
                <w:sz w:val="20"/>
                <w:szCs w:val="20"/>
              </w:rPr>
              <w:t>降低环境风险事</w:t>
            </w:r>
            <w:r>
              <w:rPr>
                <w:spacing w:val="1"/>
                <w:sz w:val="20"/>
                <w:szCs w:val="20"/>
              </w:rPr>
              <w:t xml:space="preserve"> </w:t>
            </w:r>
            <w:r>
              <w:rPr>
                <w:sz w:val="20"/>
                <w:szCs w:val="20"/>
              </w:rPr>
              <w:t>故</w:t>
            </w:r>
          </w:p>
        </w:tc>
        <w:tc>
          <w:tcPr>
            <w:tcW w:w="3085" w:type="dxa"/>
            <w:tcBorders>
              <w:right w:val="nil"/>
            </w:tcBorders>
            <w:vAlign w:val="top"/>
          </w:tcPr>
          <w:p w14:paraId="0DD76A03">
            <w:pPr>
              <w:pStyle w:val="6"/>
              <w:spacing w:before="190" w:line="239" w:lineRule="auto"/>
              <w:ind w:left="9" w:right="2"/>
              <w:rPr>
                <w:sz w:val="20"/>
                <w:szCs w:val="20"/>
              </w:rPr>
            </w:pPr>
            <w:r>
              <w:rPr>
                <w:spacing w:val="5"/>
                <w:sz w:val="20"/>
                <w:szCs w:val="20"/>
              </w:rPr>
              <w:t>按照</w:t>
            </w:r>
            <w:r>
              <w:rPr>
                <w:spacing w:val="-25"/>
                <w:sz w:val="20"/>
                <w:szCs w:val="20"/>
              </w:rPr>
              <w:t xml:space="preserve"> </w:t>
            </w:r>
            <w:r>
              <w:rPr>
                <w:rFonts w:ascii="Times New Roman" w:hAnsi="Times New Roman" w:eastAsia="Times New Roman" w:cs="Times New Roman"/>
                <w:sz w:val="20"/>
                <w:szCs w:val="20"/>
              </w:rPr>
              <w:t>HJ</w:t>
            </w:r>
            <w:r>
              <w:rPr>
                <w:rFonts w:ascii="Times New Roman" w:hAnsi="Times New Roman" w:eastAsia="Times New Roman" w:cs="Times New Roman"/>
                <w:spacing w:val="5"/>
                <w:sz w:val="20"/>
                <w:szCs w:val="20"/>
              </w:rPr>
              <w:t>610-2016</w:t>
            </w:r>
            <w:r>
              <w:rPr>
                <w:rFonts w:ascii="Times New Roman" w:hAnsi="Times New Roman" w:eastAsia="Times New Roman" w:cs="Times New Roman"/>
                <w:spacing w:val="36"/>
                <w:w w:val="101"/>
                <w:sz w:val="20"/>
                <w:szCs w:val="20"/>
              </w:rPr>
              <w:t xml:space="preserve"> </w:t>
            </w:r>
            <w:r>
              <w:rPr>
                <w:spacing w:val="5"/>
                <w:sz w:val="20"/>
                <w:szCs w:val="20"/>
              </w:rPr>
              <w:t>中表</w:t>
            </w:r>
            <w:r>
              <w:rPr>
                <w:spacing w:val="-33"/>
                <w:sz w:val="20"/>
                <w:szCs w:val="20"/>
              </w:rPr>
              <w:t xml:space="preserve"> </w:t>
            </w:r>
            <w:r>
              <w:rPr>
                <w:rFonts w:ascii="Times New Roman" w:hAnsi="Times New Roman" w:eastAsia="Times New Roman" w:cs="Times New Roman"/>
                <w:spacing w:val="5"/>
                <w:sz w:val="20"/>
                <w:szCs w:val="20"/>
              </w:rPr>
              <w:t>7</w:t>
            </w:r>
            <w:r>
              <w:rPr>
                <w:rFonts w:ascii="Times New Roman" w:hAnsi="Times New Roman" w:eastAsia="Times New Roman" w:cs="Times New Roman"/>
                <w:spacing w:val="16"/>
                <w:sz w:val="20"/>
                <w:szCs w:val="20"/>
              </w:rPr>
              <w:t xml:space="preserve"> </w:t>
            </w:r>
            <w:r>
              <w:rPr>
                <w:spacing w:val="5"/>
                <w:sz w:val="20"/>
                <w:szCs w:val="20"/>
              </w:rPr>
              <w:t>重点防渗</w:t>
            </w:r>
            <w:r>
              <w:rPr>
                <w:sz w:val="20"/>
                <w:szCs w:val="20"/>
              </w:rPr>
              <w:t xml:space="preserve"> </w:t>
            </w:r>
            <w:r>
              <w:rPr>
                <w:spacing w:val="7"/>
                <w:sz w:val="20"/>
                <w:szCs w:val="20"/>
              </w:rPr>
              <w:t>要求防渗</w:t>
            </w:r>
          </w:p>
        </w:tc>
      </w:tr>
      <w:tr w14:paraId="5BE8B7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8" w:hRule="atLeast"/>
        </w:trPr>
        <w:tc>
          <w:tcPr>
            <w:tcW w:w="1165" w:type="dxa"/>
            <w:tcBorders>
              <w:left w:val="nil"/>
              <w:bottom w:val="single" w:color="000000" w:sz="10" w:space="0"/>
            </w:tcBorders>
            <w:vAlign w:val="top"/>
          </w:tcPr>
          <w:p w14:paraId="6E6945DB">
            <w:pPr>
              <w:spacing w:before="86" w:line="199" w:lineRule="auto"/>
              <w:ind w:left="551"/>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6783" w:type="dxa"/>
            <w:gridSpan w:val="2"/>
            <w:tcBorders>
              <w:bottom w:val="single" w:color="000000" w:sz="10" w:space="0"/>
            </w:tcBorders>
            <w:vAlign w:val="top"/>
          </w:tcPr>
          <w:p w14:paraId="4E51A854">
            <w:pPr>
              <w:pStyle w:val="6"/>
              <w:spacing w:before="53" w:line="216" w:lineRule="auto"/>
              <w:ind w:left="3187"/>
              <w:rPr>
                <w:sz w:val="20"/>
                <w:szCs w:val="20"/>
              </w:rPr>
            </w:pPr>
            <w:r>
              <w:rPr>
                <w:spacing w:val="4"/>
                <w:sz w:val="20"/>
                <w:szCs w:val="20"/>
              </w:rPr>
              <w:t>合计</w:t>
            </w:r>
          </w:p>
        </w:tc>
        <w:tc>
          <w:tcPr>
            <w:tcW w:w="1391" w:type="dxa"/>
            <w:tcBorders>
              <w:bottom w:val="single" w:color="000000" w:sz="10" w:space="0"/>
            </w:tcBorders>
            <w:vAlign w:val="top"/>
          </w:tcPr>
          <w:p w14:paraId="3A074B3E">
            <w:pPr>
              <w:spacing w:before="90" w:line="195" w:lineRule="auto"/>
              <w:ind w:left="506"/>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1075</w:t>
            </w:r>
          </w:p>
        </w:tc>
        <w:tc>
          <w:tcPr>
            <w:tcW w:w="1599" w:type="dxa"/>
            <w:tcBorders>
              <w:bottom w:val="single" w:color="000000" w:sz="10" w:space="0"/>
            </w:tcBorders>
            <w:vAlign w:val="top"/>
          </w:tcPr>
          <w:p w14:paraId="4FA52C0D">
            <w:pPr>
              <w:spacing w:before="86" w:line="199" w:lineRule="auto"/>
              <w:ind w:left="76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3085" w:type="dxa"/>
            <w:tcBorders>
              <w:bottom w:val="single" w:color="000000" w:sz="10" w:space="0"/>
              <w:right w:val="nil"/>
            </w:tcBorders>
            <w:vAlign w:val="top"/>
          </w:tcPr>
          <w:p w14:paraId="0E34F337">
            <w:pPr>
              <w:spacing w:before="86" w:line="199" w:lineRule="auto"/>
              <w:ind w:left="151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r>
    </w:tbl>
    <w:p w14:paraId="0372B1FB">
      <w:pPr>
        <w:pStyle w:val="2"/>
      </w:pPr>
    </w:p>
    <w:p w14:paraId="463DCD2E">
      <w:pPr>
        <w:sectPr>
          <w:footerReference r:id="rId485" w:type="default"/>
          <w:pgSz w:w="16839" w:h="11905"/>
          <w:pgMar w:top="400" w:right="1407" w:bottom="1335" w:left="1407" w:header="0" w:footer="1173" w:gutter="0"/>
          <w:cols w:space="720" w:num="1"/>
        </w:sectPr>
      </w:pPr>
    </w:p>
    <w:p w14:paraId="74AC3255">
      <w:pPr>
        <w:spacing w:line="28" w:lineRule="exact"/>
      </w:pPr>
      <w:r>
        <w:pict>
          <v:shape id="_x0000_s3085" o:spid="_x0000_s3085" style="height:1.45pt;width:453.65pt;" fillcolor="#000000" filled="t" stroked="f" coordsize="9072,29" path="m0,0l9072,0,9072,28,0,28,0,0xe">
            <v:path/>
            <v:fill on="t" focussize="0,0"/>
            <v:stroke on="f"/>
            <v:imagedata o:title=""/>
            <o:lock v:ext="edit"/>
            <w10:wrap type="none"/>
            <w10:anchorlock/>
          </v:shape>
        </w:pict>
      </w:r>
    </w:p>
    <w:p w14:paraId="5D1711FB">
      <w:pPr>
        <w:spacing w:before="335" w:line="227" w:lineRule="auto"/>
        <w:ind w:left="2021"/>
        <w:outlineLvl w:val="0"/>
        <w:rPr>
          <w:rFonts w:ascii="黑体" w:hAnsi="黑体" w:eastAsia="黑体" w:cs="黑体"/>
          <w:sz w:val="35"/>
          <w:szCs w:val="35"/>
        </w:rPr>
      </w:pPr>
      <w:bookmarkStart w:id="468" w:name="bookmark404"/>
      <w:bookmarkEnd w:id="468"/>
      <w:r>
        <w:rPr>
          <w:rFonts w:ascii="黑体" w:hAnsi="黑体" w:eastAsia="黑体" w:cs="黑体"/>
          <w:b/>
          <w:bCs/>
          <w:spacing w:val="4"/>
          <w:sz w:val="35"/>
          <w:szCs w:val="35"/>
        </w:rPr>
        <w:t>第</w:t>
      </w:r>
      <w:r>
        <w:rPr>
          <w:rFonts w:ascii="黑体" w:hAnsi="黑体" w:eastAsia="黑体" w:cs="黑体"/>
          <w:spacing w:val="-59"/>
          <w:sz w:val="35"/>
          <w:szCs w:val="35"/>
        </w:rPr>
        <w:t xml:space="preserve"> </w:t>
      </w:r>
      <w:r>
        <w:rPr>
          <w:rFonts w:ascii="Times New Roman" w:hAnsi="Times New Roman" w:eastAsia="Times New Roman" w:cs="Times New Roman"/>
          <w:b/>
          <w:bCs/>
          <w:spacing w:val="4"/>
          <w:sz w:val="35"/>
          <w:szCs w:val="35"/>
        </w:rPr>
        <w:t xml:space="preserve">7 </w:t>
      </w:r>
      <w:r>
        <w:rPr>
          <w:rFonts w:ascii="黑体" w:hAnsi="黑体" w:eastAsia="黑体" w:cs="黑体"/>
          <w:b/>
          <w:bCs/>
          <w:spacing w:val="4"/>
          <w:sz w:val="35"/>
          <w:szCs w:val="35"/>
        </w:rPr>
        <w:t>章</w:t>
      </w:r>
      <w:r>
        <w:rPr>
          <w:rFonts w:ascii="黑体" w:hAnsi="黑体" w:eastAsia="黑体" w:cs="黑体"/>
          <w:spacing w:val="4"/>
          <w:sz w:val="35"/>
          <w:szCs w:val="35"/>
        </w:rPr>
        <w:t xml:space="preserve">  </w:t>
      </w:r>
      <w:r>
        <w:rPr>
          <w:rFonts w:ascii="黑体" w:hAnsi="黑体" w:eastAsia="黑体" w:cs="黑体"/>
          <w:b/>
          <w:bCs/>
          <w:spacing w:val="4"/>
          <w:sz w:val="35"/>
          <w:szCs w:val="35"/>
        </w:rPr>
        <w:t>环境影响经济损益分析</w:t>
      </w:r>
    </w:p>
    <w:p w14:paraId="46D2846D">
      <w:pPr>
        <w:pStyle w:val="2"/>
        <w:spacing w:line="343" w:lineRule="auto"/>
      </w:pPr>
    </w:p>
    <w:p w14:paraId="3BADD6D1">
      <w:pPr>
        <w:spacing w:before="78" w:line="352" w:lineRule="auto"/>
        <w:ind w:left="9" w:right="1" w:firstLine="482"/>
        <w:jc w:val="both"/>
        <w:rPr>
          <w:rFonts w:ascii="宋体" w:hAnsi="宋体" w:eastAsia="宋体" w:cs="宋体"/>
          <w:sz w:val="24"/>
          <w:szCs w:val="24"/>
        </w:rPr>
      </w:pPr>
      <w:r>
        <w:rPr>
          <w:rFonts w:ascii="宋体" w:hAnsi="宋体" w:eastAsia="宋体" w:cs="宋体"/>
          <w:spacing w:val="-2"/>
          <w:sz w:val="24"/>
          <w:szCs w:val="24"/>
        </w:rPr>
        <w:t>一个建设项目对外界社会经济环境的影响有正面的也有负面的，社会影响、经济影</w:t>
      </w:r>
      <w:r>
        <w:rPr>
          <w:rFonts w:ascii="宋体" w:hAnsi="宋体" w:eastAsia="宋体" w:cs="宋体"/>
          <w:spacing w:val="9"/>
          <w:sz w:val="24"/>
          <w:szCs w:val="24"/>
        </w:rPr>
        <w:t xml:space="preserve"> </w:t>
      </w:r>
      <w:r>
        <w:rPr>
          <w:rFonts w:ascii="宋体" w:hAnsi="宋体" w:eastAsia="宋体" w:cs="宋体"/>
          <w:spacing w:val="-2"/>
          <w:sz w:val="24"/>
          <w:szCs w:val="24"/>
        </w:rPr>
        <w:t>响、环境影响的最佳结合点可以使得人们的生活质量持续提高。它们三者之间既相互制</w:t>
      </w:r>
      <w:r>
        <w:rPr>
          <w:rFonts w:ascii="宋体" w:hAnsi="宋体" w:eastAsia="宋体" w:cs="宋体"/>
          <w:spacing w:val="16"/>
          <w:sz w:val="24"/>
          <w:szCs w:val="24"/>
        </w:rPr>
        <w:t xml:space="preserve"> </w:t>
      </w:r>
      <w:r>
        <w:rPr>
          <w:rFonts w:ascii="宋体" w:hAnsi="宋体" w:eastAsia="宋体" w:cs="宋体"/>
          <w:spacing w:val="-2"/>
          <w:sz w:val="24"/>
          <w:szCs w:val="24"/>
        </w:rPr>
        <w:t>约，又相互促进，只有站在一个全局的高度，综合考虑全局利益和局部利益、远期利益</w:t>
      </w:r>
      <w:r>
        <w:rPr>
          <w:rFonts w:ascii="宋体" w:hAnsi="宋体" w:eastAsia="宋体" w:cs="宋体"/>
          <w:spacing w:val="16"/>
          <w:sz w:val="24"/>
          <w:szCs w:val="24"/>
        </w:rPr>
        <w:t xml:space="preserve"> </w:t>
      </w:r>
      <w:r>
        <w:rPr>
          <w:rFonts w:ascii="宋体" w:hAnsi="宋体" w:eastAsia="宋体" w:cs="宋体"/>
          <w:sz w:val="24"/>
          <w:szCs w:val="24"/>
        </w:rPr>
        <w:t>和近期利益，才能实现社会的良性发展、经济的持</w:t>
      </w:r>
      <w:r>
        <w:rPr>
          <w:rFonts w:ascii="宋体" w:hAnsi="宋体" w:eastAsia="宋体" w:cs="宋体"/>
          <w:spacing w:val="-1"/>
          <w:sz w:val="24"/>
          <w:szCs w:val="24"/>
        </w:rPr>
        <w:t>续增长、环境的不断改善。</w:t>
      </w:r>
    </w:p>
    <w:p w14:paraId="777B499E">
      <w:pPr>
        <w:spacing w:before="49" w:line="226" w:lineRule="auto"/>
        <w:ind w:left="10"/>
        <w:outlineLvl w:val="1"/>
        <w:rPr>
          <w:rFonts w:ascii="黑体" w:hAnsi="黑体" w:eastAsia="黑体" w:cs="黑体"/>
          <w:sz w:val="31"/>
          <w:szCs w:val="31"/>
        </w:rPr>
      </w:pPr>
      <w:bookmarkStart w:id="469" w:name="bookmark406"/>
      <w:bookmarkEnd w:id="469"/>
      <w:r>
        <w:rPr>
          <w:rFonts w:ascii="Times New Roman" w:hAnsi="Times New Roman" w:eastAsia="Times New Roman" w:cs="Times New Roman"/>
          <w:spacing w:val="6"/>
          <w:sz w:val="31"/>
          <w:szCs w:val="31"/>
        </w:rPr>
        <w:t xml:space="preserve">7.1 </w:t>
      </w:r>
      <w:r>
        <w:rPr>
          <w:rFonts w:ascii="黑体" w:hAnsi="黑体" w:eastAsia="黑体" w:cs="黑体"/>
          <w:spacing w:val="6"/>
          <w:sz w:val="31"/>
          <w:szCs w:val="31"/>
        </w:rPr>
        <w:t>社会效益分析</w:t>
      </w:r>
    </w:p>
    <w:p w14:paraId="246B84F5">
      <w:pPr>
        <w:spacing w:before="231" w:line="344" w:lineRule="auto"/>
        <w:ind w:left="7" w:right="1" w:firstLine="481"/>
        <w:rPr>
          <w:rFonts w:ascii="宋体" w:hAnsi="宋体" w:eastAsia="宋体" w:cs="宋体"/>
          <w:sz w:val="24"/>
          <w:szCs w:val="24"/>
        </w:rPr>
      </w:pPr>
      <w:r>
        <w:rPr>
          <w:rFonts w:ascii="宋体" w:hAnsi="宋体" w:eastAsia="宋体" w:cs="宋体"/>
          <w:spacing w:val="-2"/>
          <w:sz w:val="24"/>
          <w:szCs w:val="24"/>
        </w:rPr>
        <w:t>本项目建成投产后，可大大提高企业的经济效益和综合能力，同时，对推动园区工</w:t>
      </w:r>
      <w:r>
        <w:rPr>
          <w:rFonts w:ascii="宋体" w:hAnsi="宋体" w:eastAsia="宋体" w:cs="宋体"/>
          <w:spacing w:val="12"/>
          <w:sz w:val="24"/>
          <w:szCs w:val="24"/>
        </w:rPr>
        <w:t xml:space="preserve"> </w:t>
      </w:r>
      <w:r>
        <w:rPr>
          <w:rFonts w:ascii="宋体" w:hAnsi="宋体" w:eastAsia="宋体" w:cs="宋体"/>
          <w:sz w:val="24"/>
          <w:szCs w:val="24"/>
        </w:rPr>
        <w:t>业发展，增加当地财政收入，解决劳动就业，保持社会稳定，</w:t>
      </w:r>
      <w:r>
        <w:rPr>
          <w:rFonts w:ascii="宋体" w:hAnsi="宋体" w:eastAsia="宋体" w:cs="宋体"/>
          <w:spacing w:val="-1"/>
          <w:sz w:val="24"/>
          <w:szCs w:val="24"/>
        </w:rPr>
        <w:t>同样具有重要的意义。</w:t>
      </w:r>
    </w:p>
    <w:p w14:paraId="7B6F439A">
      <w:pPr>
        <w:spacing w:before="36" w:line="353" w:lineRule="auto"/>
        <w:ind w:left="7" w:right="1" w:firstLine="481"/>
        <w:rPr>
          <w:rFonts w:ascii="宋体" w:hAnsi="宋体" w:eastAsia="宋体" w:cs="宋体"/>
          <w:sz w:val="24"/>
          <w:szCs w:val="24"/>
        </w:rPr>
      </w:pPr>
      <w:r>
        <w:rPr>
          <w:rFonts w:ascii="宋体" w:hAnsi="宋体" w:eastAsia="宋体" w:cs="宋体"/>
          <w:spacing w:val="-2"/>
          <w:sz w:val="24"/>
          <w:szCs w:val="24"/>
        </w:rPr>
        <w:t>本工程的建设是适应新时期工业和企业经济结构战略性调整的需要，通过生产规模</w:t>
      </w:r>
      <w:r>
        <w:rPr>
          <w:rFonts w:ascii="宋体" w:hAnsi="宋体" w:eastAsia="宋体" w:cs="宋体"/>
          <w:spacing w:val="12"/>
          <w:sz w:val="24"/>
          <w:szCs w:val="24"/>
        </w:rPr>
        <w:t xml:space="preserve"> </w:t>
      </w:r>
      <w:r>
        <w:rPr>
          <w:rFonts w:ascii="宋体" w:hAnsi="宋体" w:eastAsia="宋体" w:cs="宋体"/>
          <w:spacing w:val="-2"/>
          <w:sz w:val="24"/>
          <w:szCs w:val="24"/>
        </w:rPr>
        <w:t>化，技术先进化，以及节能技术的应用，从而促进企业技术进步，实现产业升级，将为</w:t>
      </w:r>
      <w:r>
        <w:rPr>
          <w:rFonts w:ascii="宋体" w:hAnsi="宋体" w:eastAsia="宋体" w:cs="宋体"/>
          <w:spacing w:val="18"/>
          <w:sz w:val="24"/>
          <w:szCs w:val="24"/>
        </w:rPr>
        <w:t xml:space="preserve"> </w:t>
      </w:r>
      <w:r>
        <w:rPr>
          <w:rFonts w:ascii="宋体" w:hAnsi="宋体" w:eastAsia="宋体" w:cs="宋体"/>
          <w:spacing w:val="-2"/>
          <w:sz w:val="24"/>
          <w:szCs w:val="24"/>
        </w:rPr>
        <w:t>优化提高园区工业结构、促进地方经济发展提供有力保障。项目营运后，可提高国家和</w:t>
      </w:r>
      <w:r>
        <w:rPr>
          <w:rFonts w:ascii="宋体" w:hAnsi="宋体" w:eastAsia="宋体" w:cs="宋体"/>
          <w:spacing w:val="18"/>
          <w:sz w:val="24"/>
          <w:szCs w:val="24"/>
        </w:rPr>
        <w:t xml:space="preserve"> </w:t>
      </w:r>
      <w:r>
        <w:rPr>
          <w:rFonts w:ascii="宋体" w:hAnsi="宋体" w:eastAsia="宋体" w:cs="宋体"/>
          <w:sz w:val="24"/>
          <w:szCs w:val="24"/>
        </w:rPr>
        <w:t>地方的财政收入，增强当地的经济实力，有效地促进</w:t>
      </w:r>
      <w:r>
        <w:rPr>
          <w:rFonts w:ascii="宋体" w:hAnsi="宋体" w:eastAsia="宋体" w:cs="宋体"/>
          <w:spacing w:val="-1"/>
          <w:sz w:val="24"/>
          <w:szCs w:val="24"/>
        </w:rPr>
        <w:t>当地公益事业的发展。</w:t>
      </w:r>
    </w:p>
    <w:p w14:paraId="15BEBDB0">
      <w:pPr>
        <w:spacing w:before="35" w:line="346" w:lineRule="auto"/>
        <w:ind w:left="10" w:right="1" w:firstLine="481"/>
        <w:rPr>
          <w:rFonts w:ascii="宋体" w:hAnsi="宋体" w:eastAsia="宋体" w:cs="宋体"/>
          <w:sz w:val="24"/>
          <w:szCs w:val="24"/>
        </w:rPr>
      </w:pPr>
      <w:r>
        <w:rPr>
          <w:rFonts w:ascii="宋体" w:hAnsi="宋体" w:eastAsia="宋体" w:cs="宋体"/>
          <w:spacing w:val="-2"/>
          <w:sz w:val="24"/>
          <w:szCs w:val="24"/>
        </w:rPr>
        <w:t>项目投产后，可增加当地劳动就业，既可减轻社会负担和就业压力，又可促进人民</w:t>
      </w:r>
      <w:r>
        <w:rPr>
          <w:rFonts w:ascii="宋体" w:hAnsi="宋体" w:eastAsia="宋体" w:cs="宋体"/>
          <w:spacing w:val="9"/>
          <w:sz w:val="24"/>
          <w:szCs w:val="24"/>
        </w:rPr>
        <w:t xml:space="preserve"> </w:t>
      </w:r>
      <w:r>
        <w:rPr>
          <w:rFonts w:ascii="宋体" w:hAnsi="宋体" w:eastAsia="宋体" w:cs="宋体"/>
          <w:spacing w:val="-1"/>
          <w:sz w:val="24"/>
          <w:szCs w:val="24"/>
        </w:rPr>
        <w:t>生活水平的提高，具有良好的社会效益。</w:t>
      </w:r>
    </w:p>
    <w:p w14:paraId="153EA15D">
      <w:pPr>
        <w:spacing w:before="32" w:line="345" w:lineRule="auto"/>
        <w:ind w:left="8" w:firstLine="483"/>
        <w:rPr>
          <w:rFonts w:ascii="宋体" w:hAnsi="宋体" w:eastAsia="宋体" w:cs="宋体"/>
          <w:sz w:val="24"/>
          <w:szCs w:val="24"/>
        </w:rPr>
      </w:pPr>
      <w:r>
        <w:rPr>
          <w:rFonts w:ascii="宋体" w:hAnsi="宋体" w:eastAsia="宋体" w:cs="宋体"/>
          <w:spacing w:val="-2"/>
          <w:sz w:val="24"/>
          <w:szCs w:val="24"/>
        </w:rPr>
        <w:t>项目建设将进一步带动当地其它行业，如农业、交通运输、能源、机加工维修、餐</w:t>
      </w:r>
      <w:r>
        <w:rPr>
          <w:rFonts w:ascii="宋体" w:hAnsi="宋体" w:eastAsia="宋体" w:cs="宋体"/>
          <w:spacing w:val="9"/>
          <w:sz w:val="24"/>
          <w:szCs w:val="24"/>
        </w:rPr>
        <w:t xml:space="preserve"> </w:t>
      </w:r>
      <w:r>
        <w:rPr>
          <w:rFonts w:ascii="宋体" w:hAnsi="宋体" w:eastAsia="宋体" w:cs="宋体"/>
          <w:spacing w:val="-1"/>
          <w:sz w:val="24"/>
          <w:szCs w:val="24"/>
        </w:rPr>
        <w:t>饮服务等行业的发展，有利于促进当地经济的发展。</w:t>
      </w:r>
    </w:p>
    <w:p w14:paraId="750EE82E">
      <w:pPr>
        <w:spacing w:before="46" w:line="221" w:lineRule="auto"/>
        <w:ind w:left="10"/>
        <w:outlineLvl w:val="1"/>
        <w:rPr>
          <w:rFonts w:ascii="黑体" w:hAnsi="黑体" w:eastAsia="黑体" w:cs="黑体"/>
          <w:sz w:val="30"/>
          <w:szCs w:val="30"/>
        </w:rPr>
      </w:pPr>
      <w:bookmarkStart w:id="470" w:name="bookmark408"/>
      <w:bookmarkEnd w:id="470"/>
      <w:r>
        <w:rPr>
          <w:rFonts w:ascii="Times New Roman" w:hAnsi="Times New Roman" w:eastAsia="Times New Roman" w:cs="Times New Roman"/>
          <w:spacing w:val="-1"/>
          <w:sz w:val="30"/>
          <w:szCs w:val="30"/>
        </w:rPr>
        <w:t xml:space="preserve">7.2 </w:t>
      </w:r>
      <w:r>
        <w:rPr>
          <w:rFonts w:ascii="黑体" w:hAnsi="黑体" w:eastAsia="黑体" w:cs="黑体"/>
          <w:spacing w:val="-1"/>
          <w:sz w:val="30"/>
          <w:szCs w:val="30"/>
        </w:rPr>
        <w:t>经济效益分析</w:t>
      </w:r>
    </w:p>
    <w:p w14:paraId="249F3504">
      <w:pPr>
        <w:spacing w:before="216" w:line="351" w:lineRule="auto"/>
        <w:ind w:left="9" w:firstLine="480"/>
        <w:jc w:val="both"/>
        <w:rPr>
          <w:rFonts w:ascii="宋体" w:hAnsi="宋体" w:eastAsia="宋体" w:cs="宋体"/>
          <w:sz w:val="24"/>
          <w:szCs w:val="24"/>
        </w:rPr>
      </w:pPr>
      <w:r>
        <w:rPr>
          <w:rFonts w:ascii="宋体" w:hAnsi="宋体" w:eastAsia="宋体" w:cs="宋体"/>
          <w:spacing w:val="-2"/>
          <w:sz w:val="24"/>
          <w:szCs w:val="24"/>
        </w:rPr>
        <w:t>本项目总投资为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120000</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万元。其财务内部收益率为</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26</w:t>
      </w:r>
      <w:r>
        <w:rPr>
          <w:rFonts w:ascii="Times New Roman" w:hAnsi="Times New Roman" w:eastAsia="Times New Roman" w:cs="Times New Roman"/>
          <w:spacing w:val="-3"/>
          <w:sz w:val="24"/>
          <w:szCs w:val="24"/>
        </w:rPr>
        <w:t>.46%</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，达产后正常年份项目</w:t>
      </w:r>
      <w:r>
        <w:rPr>
          <w:rFonts w:ascii="宋体" w:hAnsi="宋体" w:eastAsia="宋体" w:cs="宋体"/>
          <w:sz w:val="24"/>
          <w:szCs w:val="24"/>
        </w:rPr>
        <w:t xml:space="preserve"> </w:t>
      </w:r>
      <w:r>
        <w:rPr>
          <w:rFonts w:ascii="宋体" w:hAnsi="宋体" w:eastAsia="宋体" w:cs="宋体"/>
          <w:spacing w:val="-2"/>
          <w:sz w:val="24"/>
          <w:szCs w:val="24"/>
        </w:rPr>
        <w:t>财务净现值为税后</w:t>
      </w:r>
      <w:r>
        <w:rPr>
          <w:rFonts w:ascii="宋体" w:hAnsi="宋体" w:eastAsia="宋体" w:cs="宋体"/>
          <w:spacing w:val="-49"/>
          <w:sz w:val="24"/>
          <w:szCs w:val="24"/>
        </w:rPr>
        <w:t xml:space="preserve"> </w:t>
      </w:r>
      <w:r>
        <w:rPr>
          <w:rFonts w:ascii="Times New Roman" w:hAnsi="Times New Roman" w:eastAsia="Times New Roman" w:cs="Times New Roman"/>
          <w:spacing w:val="-2"/>
          <w:sz w:val="24"/>
          <w:szCs w:val="24"/>
        </w:rPr>
        <w:t>208324.87</w:t>
      </w:r>
      <w:r>
        <w:rPr>
          <w:rFonts w:ascii="Times New Roman" w:hAnsi="Times New Roman" w:eastAsia="Times New Roman" w:cs="Times New Roman"/>
          <w:spacing w:val="15"/>
          <w:w w:val="101"/>
          <w:sz w:val="24"/>
          <w:szCs w:val="24"/>
        </w:rPr>
        <w:t xml:space="preserve"> </w:t>
      </w:r>
      <w:r>
        <w:rPr>
          <w:rFonts w:ascii="宋体" w:hAnsi="宋体" w:eastAsia="宋体" w:cs="宋体"/>
          <w:spacing w:val="-2"/>
          <w:sz w:val="24"/>
          <w:szCs w:val="24"/>
        </w:rPr>
        <w:t>万元，项目投资回收期</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 xml:space="preserve">4.36 </w:t>
      </w:r>
      <w:r>
        <w:rPr>
          <w:rFonts w:ascii="宋体" w:hAnsi="宋体" w:eastAsia="宋体" w:cs="宋体"/>
          <w:spacing w:val="-2"/>
          <w:sz w:val="24"/>
          <w:szCs w:val="24"/>
        </w:rPr>
        <w:t>年。建成后经济效益显著、抗</w:t>
      </w:r>
      <w:r>
        <w:rPr>
          <w:rFonts w:ascii="宋体" w:hAnsi="宋体" w:eastAsia="宋体" w:cs="宋体"/>
          <w:sz w:val="24"/>
          <w:szCs w:val="24"/>
        </w:rPr>
        <w:t xml:space="preserve"> </w:t>
      </w:r>
      <w:r>
        <w:rPr>
          <w:rFonts w:ascii="宋体" w:hAnsi="宋体" w:eastAsia="宋体" w:cs="宋体"/>
          <w:spacing w:val="-2"/>
          <w:sz w:val="24"/>
          <w:szCs w:val="24"/>
        </w:rPr>
        <w:t>风险能力强。</w:t>
      </w:r>
    </w:p>
    <w:p w14:paraId="4972A746">
      <w:pPr>
        <w:spacing w:before="40" w:line="221" w:lineRule="auto"/>
        <w:ind w:left="10"/>
        <w:outlineLvl w:val="1"/>
        <w:rPr>
          <w:rFonts w:ascii="黑体" w:hAnsi="黑体" w:eastAsia="黑体" w:cs="黑体"/>
          <w:sz w:val="30"/>
          <w:szCs w:val="30"/>
        </w:rPr>
      </w:pPr>
      <w:bookmarkStart w:id="471" w:name="bookmark410"/>
      <w:bookmarkEnd w:id="471"/>
      <w:r>
        <w:rPr>
          <w:rFonts w:ascii="Times New Roman" w:hAnsi="Times New Roman" w:eastAsia="Times New Roman" w:cs="Times New Roman"/>
          <w:spacing w:val="-1"/>
          <w:sz w:val="30"/>
          <w:szCs w:val="30"/>
        </w:rPr>
        <w:t xml:space="preserve">7.3 </w:t>
      </w:r>
      <w:r>
        <w:rPr>
          <w:rFonts w:ascii="黑体" w:hAnsi="黑体" w:eastAsia="黑体" w:cs="黑体"/>
          <w:spacing w:val="-1"/>
          <w:sz w:val="30"/>
          <w:szCs w:val="30"/>
        </w:rPr>
        <w:t>环境效益分析</w:t>
      </w:r>
    </w:p>
    <w:p w14:paraId="19CCBB51">
      <w:pPr>
        <w:spacing w:before="222" w:line="222" w:lineRule="auto"/>
        <w:ind w:left="9"/>
        <w:outlineLvl w:val="2"/>
        <w:rPr>
          <w:rFonts w:ascii="黑体" w:hAnsi="黑体" w:eastAsia="黑体" w:cs="黑体"/>
          <w:sz w:val="28"/>
          <w:szCs w:val="28"/>
        </w:rPr>
      </w:pPr>
      <w:bookmarkStart w:id="472" w:name="bookmark412"/>
      <w:bookmarkEnd w:id="472"/>
      <w:r>
        <w:rPr>
          <w:rFonts w:ascii="Times New Roman" w:hAnsi="Times New Roman" w:eastAsia="Times New Roman" w:cs="Times New Roman"/>
          <w:spacing w:val="-1"/>
          <w:sz w:val="28"/>
          <w:szCs w:val="28"/>
        </w:rPr>
        <w:t xml:space="preserve">7.3.1 </w:t>
      </w:r>
      <w:r>
        <w:rPr>
          <w:rFonts w:ascii="黑体" w:hAnsi="黑体" w:eastAsia="黑体" w:cs="黑体"/>
          <w:spacing w:val="-1"/>
          <w:sz w:val="28"/>
          <w:szCs w:val="28"/>
        </w:rPr>
        <w:t>环保投资估算</w:t>
      </w:r>
    </w:p>
    <w:p w14:paraId="1F02836C">
      <w:pPr>
        <w:spacing w:before="205" w:line="353" w:lineRule="auto"/>
        <w:ind w:left="9" w:right="1" w:firstLine="485"/>
        <w:jc w:val="both"/>
        <w:rPr>
          <w:rFonts w:ascii="宋体" w:hAnsi="宋体" w:eastAsia="宋体" w:cs="宋体"/>
          <w:sz w:val="24"/>
          <w:szCs w:val="24"/>
        </w:rPr>
      </w:pPr>
      <w:r>
        <w:rPr>
          <w:rFonts w:ascii="宋体" w:hAnsi="宋体" w:eastAsia="宋体" w:cs="宋体"/>
          <w:spacing w:val="2"/>
          <w:sz w:val="24"/>
          <w:szCs w:val="24"/>
        </w:rPr>
        <w:t>《建设项目环境保护设计规定》第六十三条指出：</w:t>
      </w:r>
      <w:r>
        <w:rPr>
          <w:rFonts w:ascii="Times New Roman" w:hAnsi="Times New Roman" w:eastAsia="Times New Roman" w:cs="Times New Roman"/>
          <w:spacing w:val="2"/>
          <w:sz w:val="24"/>
          <w:szCs w:val="24"/>
        </w:rPr>
        <w:t>“</w:t>
      </w:r>
      <w:r>
        <w:rPr>
          <w:rFonts w:ascii="宋体" w:hAnsi="宋体" w:eastAsia="宋体" w:cs="宋体"/>
          <w:spacing w:val="2"/>
          <w:sz w:val="24"/>
          <w:szCs w:val="24"/>
        </w:rPr>
        <w:t>凡属于污染治理和保护</w:t>
      </w:r>
      <w:r>
        <w:rPr>
          <w:rFonts w:ascii="宋体" w:hAnsi="宋体" w:eastAsia="宋体" w:cs="宋体"/>
          <w:spacing w:val="1"/>
          <w:sz w:val="24"/>
          <w:szCs w:val="24"/>
        </w:rPr>
        <w:t>环境所</w:t>
      </w:r>
      <w:r>
        <w:rPr>
          <w:rFonts w:ascii="宋体" w:hAnsi="宋体" w:eastAsia="宋体" w:cs="宋体"/>
          <w:sz w:val="24"/>
          <w:szCs w:val="24"/>
        </w:rPr>
        <w:t xml:space="preserve"> </w:t>
      </w:r>
      <w:r>
        <w:rPr>
          <w:rFonts w:ascii="宋体" w:hAnsi="宋体" w:eastAsia="宋体" w:cs="宋体"/>
          <w:spacing w:val="-2"/>
          <w:sz w:val="24"/>
          <w:szCs w:val="24"/>
        </w:rPr>
        <w:t>需的装置、设备、监测手段和工程设施等均属于环境保护设施</w:t>
      </w:r>
      <w:r>
        <w:rPr>
          <w:rFonts w:ascii="Times New Roman" w:hAnsi="Times New Roman" w:eastAsia="Times New Roman" w:cs="Times New Roman"/>
          <w:spacing w:val="-2"/>
          <w:sz w:val="24"/>
          <w:szCs w:val="24"/>
        </w:rPr>
        <w:t>”</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w:t>
      </w:r>
      <w:r>
        <w:rPr>
          <w:rFonts w:ascii="宋体" w:hAnsi="宋体" w:eastAsia="宋体" w:cs="宋体"/>
          <w:spacing w:val="-2"/>
          <w:sz w:val="24"/>
          <w:szCs w:val="24"/>
        </w:rPr>
        <w:t>凡有环境保护设施的</w:t>
      </w:r>
      <w:r>
        <w:rPr>
          <w:rFonts w:ascii="宋体" w:hAnsi="宋体" w:eastAsia="宋体" w:cs="宋体"/>
          <w:sz w:val="24"/>
          <w:szCs w:val="24"/>
        </w:rPr>
        <w:t xml:space="preserve"> </w:t>
      </w:r>
      <w:r>
        <w:rPr>
          <w:rFonts w:ascii="宋体" w:hAnsi="宋体" w:eastAsia="宋体" w:cs="宋体"/>
          <w:spacing w:val="1"/>
          <w:sz w:val="24"/>
          <w:szCs w:val="24"/>
        </w:rPr>
        <w:t>建设项目均应列出环境保护设施的投资概算</w:t>
      </w:r>
      <w:r>
        <w:rPr>
          <w:rFonts w:ascii="Times New Roman" w:hAnsi="Times New Roman" w:eastAsia="Times New Roman" w:cs="Times New Roman"/>
          <w:spacing w:val="1"/>
          <w:sz w:val="24"/>
          <w:szCs w:val="24"/>
        </w:rPr>
        <w:t>”</w:t>
      </w:r>
      <w:r>
        <w:rPr>
          <w:rFonts w:ascii="Times New Roman" w:hAnsi="Times New Roman" w:eastAsia="Times New Roman" w:cs="Times New Roman"/>
          <w:spacing w:val="-24"/>
          <w:sz w:val="24"/>
          <w:szCs w:val="24"/>
        </w:rPr>
        <w:t xml:space="preserve"> </w:t>
      </w:r>
      <w:r>
        <w:rPr>
          <w:rFonts w:ascii="宋体" w:hAnsi="宋体" w:eastAsia="宋体" w:cs="宋体"/>
          <w:spacing w:val="1"/>
          <w:sz w:val="24"/>
          <w:szCs w:val="24"/>
        </w:rPr>
        <w:t>。据此规定，本拟建工程环境保护设施主</w:t>
      </w:r>
      <w:r>
        <w:rPr>
          <w:rFonts w:ascii="宋体" w:hAnsi="宋体" w:eastAsia="宋体" w:cs="宋体"/>
          <w:sz w:val="24"/>
          <w:szCs w:val="24"/>
        </w:rPr>
        <w:t xml:space="preserve"> </w:t>
      </w:r>
      <w:r>
        <w:rPr>
          <w:rFonts w:ascii="宋体" w:hAnsi="宋体" w:eastAsia="宋体" w:cs="宋体"/>
          <w:spacing w:val="-2"/>
          <w:sz w:val="24"/>
          <w:szCs w:val="24"/>
        </w:rPr>
        <w:t>要有：废气污染治理设施、噪声污染治理设施、废水污染防治措施、固体废物处置设施</w:t>
      </w:r>
      <w:r>
        <w:rPr>
          <w:rFonts w:ascii="宋体" w:hAnsi="宋体" w:eastAsia="宋体" w:cs="宋体"/>
          <w:spacing w:val="16"/>
          <w:sz w:val="24"/>
          <w:szCs w:val="24"/>
        </w:rPr>
        <w:t xml:space="preserve"> </w:t>
      </w:r>
      <w:r>
        <w:rPr>
          <w:rFonts w:ascii="宋体" w:hAnsi="宋体" w:eastAsia="宋体" w:cs="宋体"/>
          <w:spacing w:val="-2"/>
          <w:sz w:val="24"/>
          <w:szCs w:val="24"/>
        </w:rPr>
        <w:t>等，其环境保护投资估算见表</w:t>
      </w:r>
      <w:r>
        <w:rPr>
          <w:rFonts w:ascii="宋体" w:hAnsi="宋体" w:eastAsia="宋体" w:cs="宋体"/>
          <w:spacing w:val="-33"/>
          <w:sz w:val="24"/>
          <w:szCs w:val="24"/>
        </w:rPr>
        <w:t xml:space="preserve"> </w:t>
      </w:r>
      <w:r>
        <w:rPr>
          <w:rFonts w:ascii="Times New Roman" w:hAnsi="Times New Roman" w:eastAsia="Times New Roman" w:cs="Times New Roman"/>
          <w:spacing w:val="-2"/>
          <w:sz w:val="24"/>
          <w:szCs w:val="24"/>
        </w:rPr>
        <w:t>6.10-1</w:t>
      </w:r>
      <w:r>
        <w:rPr>
          <w:rFonts w:ascii="宋体" w:hAnsi="宋体" w:eastAsia="宋体" w:cs="宋体"/>
          <w:spacing w:val="-2"/>
          <w:sz w:val="24"/>
          <w:szCs w:val="24"/>
        </w:rPr>
        <w:t>。</w:t>
      </w:r>
    </w:p>
    <w:p w14:paraId="62FA7D74">
      <w:pPr>
        <w:spacing w:before="38" w:line="218" w:lineRule="auto"/>
        <w:ind w:right="1"/>
        <w:jc w:val="right"/>
        <w:rPr>
          <w:rFonts w:ascii="宋体" w:hAnsi="宋体" w:eastAsia="宋体" w:cs="宋体"/>
          <w:sz w:val="24"/>
          <w:szCs w:val="24"/>
        </w:rPr>
      </w:pPr>
      <w:r>
        <w:rPr>
          <w:rFonts w:ascii="宋体" w:hAnsi="宋体" w:eastAsia="宋体" w:cs="宋体"/>
          <w:spacing w:val="-4"/>
          <w:sz w:val="24"/>
          <w:szCs w:val="24"/>
        </w:rPr>
        <w:t>经估算，本项目生产建设总投资</w:t>
      </w:r>
      <w:r>
        <w:rPr>
          <w:rFonts w:ascii="宋体" w:hAnsi="宋体" w:eastAsia="宋体" w:cs="宋体"/>
          <w:spacing w:val="-19"/>
          <w:sz w:val="24"/>
          <w:szCs w:val="24"/>
        </w:rPr>
        <w:t xml:space="preserve"> </w:t>
      </w:r>
      <w:r>
        <w:rPr>
          <w:rFonts w:ascii="Times New Roman" w:hAnsi="Times New Roman" w:eastAsia="Times New Roman" w:cs="Times New Roman"/>
          <w:spacing w:val="-4"/>
          <w:sz w:val="24"/>
          <w:szCs w:val="24"/>
        </w:rPr>
        <w:t>120000</w:t>
      </w:r>
      <w:r>
        <w:rPr>
          <w:rFonts w:ascii="Times New Roman" w:hAnsi="Times New Roman" w:eastAsia="Times New Roman" w:cs="Times New Roman"/>
          <w:spacing w:val="15"/>
          <w:sz w:val="24"/>
          <w:szCs w:val="24"/>
        </w:rPr>
        <w:t xml:space="preserve"> </w:t>
      </w:r>
      <w:r>
        <w:rPr>
          <w:rFonts w:ascii="宋体" w:hAnsi="宋体" w:eastAsia="宋体" w:cs="宋体"/>
          <w:spacing w:val="-4"/>
          <w:sz w:val="24"/>
          <w:szCs w:val="24"/>
        </w:rPr>
        <w:t>万元，环保投资合计</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1075</w:t>
      </w:r>
      <w:r>
        <w:rPr>
          <w:rFonts w:ascii="Times New Roman" w:hAnsi="Times New Roman" w:eastAsia="Times New Roman" w:cs="Times New Roman"/>
          <w:spacing w:val="15"/>
          <w:w w:val="101"/>
          <w:sz w:val="24"/>
          <w:szCs w:val="24"/>
        </w:rPr>
        <w:t xml:space="preserve"> </w:t>
      </w:r>
      <w:r>
        <w:rPr>
          <w:rFonts w:ascii="宋体" w:hAnsi="宋体" w:eastAsia="宋体" w:cs="宋体"/>
          <w:spacing w:val="-4"/>
          <w:sz w:val="24"/>
          <w:szCs w:val="24"/>
        </w:rPr>
        <w:t>万元，占总投资</w:t>
      </w:r>
    </w:p>
    <w:p w14:paraId="2D096E27">
      <w:pPr>
        <w:spacing w:line="218" w:lineRule="auto"/>
        <w:rPr>
          <w:rFonts w:ascii="宋体" w:hAnsi="宋体" w:eastAsia="宋体" w:cs="宋体"/>
          <w:sz w:val="24"/>
          <w:szCs w:val="24"/>
        </w:rPr>
        <w:sectPr>
          <w:headerReference r:id="rId486" w:type="default"/>
          <w:footerReference r:id="rId487" w:type="default"/>
          <w:pgSz w:w="11906" w:h="16839"/>
          <w:pgMar w:top="1191" w:right="1416" w:bottom="1362" w:left="1417" w:header="882" w:footer="1200" w:gutter="0"/>
          <w:cols w:space="720" w:num="1"/>
        </w:sectPr>
      </w:pPr>
    </w:p>
    <w:p w14:paraId="62354857">
      <w:pPr>
        <w:spacing w:line="28" w:lineRule="exact"/>
      </w:pPr>
      <w:r>
        <w:pict>
          <v:shape id="_x0000_s3086" o:spid="_x0000_s3086" style="height:1.45pt;width:453.65pt;" fillcolor="#000000" filled="t" stroked="f" coordsize="9072,29" path="m0,0l9072,0,9072,28,0,28,0,0xe">
            <v:path/>
            <v:fill on="t" focussize="0,0"/>
            <v:stroke on="f"/>
            <v:imagedata o:title=""/>
            <o:lock v:ext="edit"/>
            <w10:wrap type="none"/>
            <w10:anchorlock/>
          </v:shape>
        </w:pict>
      </w:r>
    </w:p>
    <w:p w14:paraId="5770A5A2">
      <w:pPr>
        <w:spacing w:before="232" w:line="220" w:lineRule="auto"/>
        <w:ind w:left="34"/>
        <w:rPr>
          <w:rFonts w:ascii="宋体" w:hAnsi="宋体" w:eastAsia="宋体" w:cs="宋体"/>
          <w:sz w:val="24"/>
          <w:szCs w:val="24"/>
        </w:rPr>
      </w:pPr>
      <w:r>
        <w:rPr>
          <w:rFonts w:ascii="宋体" w:hAnsi="宋体" w:eastAsia="宋体" w:cs="宋体"/>
          <w:spacing w:val="-5"/>
          <w:sz w:val="24"/>
          <w:szCs w:val="24"/>
        </w:rPr>
        <w:t>比例为</w:t>
      </w:r>
      <w:r>
        <w:rPr>
          <w:rFonts w:ascii="宋体" w:hAnsi="宋体" w:eastAsia="宋体" w:cs="宋体"/>
          <w:spacing w:val="-41"/>
          <w:sz w:val="24"/>
          <w:szCs w:val="24"/>
        </w:rPr>
        <w:t xml:space="preserve"> </w:t>
      </w:r>
      <w:r>
        <w:rPr>
          <w:rFonts w:ascii="Times New Roman" w:hAnsi="Times New Roman" w:eastAsia="Times New Roman" w:cs="Times New Roman"/>
          <w:spacing w:val="-5"/>
          <w:sz w:val="24"/>
          <w:szCs w:val="24"/>
        </w:rPr>
        <w:t>0.896%</w:t>
      </w:r>
      <w:r>
        <w:rPr>
          <w:rFonts w:ascii="Times New Roman" w:hAnsi="Times New Roman" w:eastAsia="Times New Roman" w:cs="Times New Roman"/>
          <w:spacing w:val="-32"/>
          <w:sz w:val="24"/>
          <w:szCs w:val="24"/>
        </w:rPr>
        <w:t xml:space="preserve"> </w:t>
      </w:r>
      <w:r>
        <w:rPr>
          <w:rFonts w:ascii="宋体" w:hAnsi="宋体" w:eastAsia="宋体" w:cs="宋体"/>
          <w:spacing w:val="-5"/>
          <w:sz w:val="24"/>
          <w:szCs w:val="24"/>
        </w:rPr>
        <w:t>，环保投资适当。</w:t>
      </w:r>
    </w:p>
    <w:p w14:paraId="1537921B">
      <w:pPr>
        <w:spacing w:before="184" w:line="222" w:lineRule="auto"/>
        <w:ind w:left="9"/>
        <w:outlineLvl w:val="2"/>
        <w:rPr>
          <w:rFonts w:ascii="黑体" w:hAnsi="黑体" w:eastAsia="黑体" w:cs="黑体"/>
          <w:sz w:val="28"/>
          <w:szCs w:val="28"/>
        </w:rPr>
      </w:pPr>
      <w:bookmarkStart w:id="473" w:name="bookmark414"/>
      <w:bookmarkEnd w:id="473"/>
      <w:r>
        <w:rPr>
          <w:rFonts w:ascii="Times New Roman" w:hAnsi="Times New Roman" w:eastAsia="Times New Roman" w:cs="Times New Roman"/>
          <w:spacing w:val="-1"/>
          <w:sz w:val="28"/>
          <w:szCs w:val="28"/>
        </w:rPr>
        <w:t xml:space="preserve">7.3.2 </w:t>
      </w:r>
      <w:r>
        <w:rPr>
          <w:rFonts w:ascii="黑体" w:hAnsi="黑体" w:eastAsia="黑体" w:cs="黑体"/>
          <w:spacing w:val="-1"/>
          <w:sz w:val="28"/>
          <w:szCs w:val="28"/>
        </w:rPr>
        <w:t>环境效益分析</w:t>
      </w:r>
    </w:p>
    <w:p w14:paraId="6035FA94">
      <w:pPr>
        <w:spacing w:before="201" w:line="355" w:lineRule="auto"/>
        <w:ind w:left="7" w:right="61" w:firstLine="481"/>
        <w:jc w:val="both"/>
        <w:rPr>
          <w:rFonts w:ascii="宋体" w:hAnsi="宋体" w:eastAsia="宋体" w:cs="宋体"/>
          <w:sz w:val="24"/>
          <w:szCs w:val="24"/>
        </w:rPr>
      </w:pPr>
      <w:r>
        <w:rPr>
          <w:rFonts w:ascii="宋体" w:hAnsi="宋体" w:eastAsia="宋体" w:cs="宋体"/>
          <w:spacing w:val="-2"/>
          <w:sz w:val="24"/>
          <w:szCs w:val="24"/>
        </w:rPr>
        <w:t>本项目在设计中充分考虑了环境保护的要求，严格执行各项环境保护标准，满足环</w:t>
      </w:r>
      <w:r>
        <w:rPr>
          <w:rFonts w:ascii="宋体" w:hAnsi="宋体" w:eastAsia="宋体" w:cs="宋体"/>
          <w:spacing w:val="12"/>
          <w:sz w:val="24"/>
          <w:szCs w:val="24"/>
        </w:rPr>
        <w:t xml:space="preserve"> </w:t>
      </w:r>
      <w:r>
        <w:rPr>
          <w:rFonts w:ascii="宋体" w:hAnsi="宋体" w:eastAsia="宋体" w:cs="宋体"/>
          <w:spacing w:val="-2"/>
          <w:sz w:val="24"/>
          <w:szCs w:val="24"/>
        </w:rPr>
        <w:t>境准入负面清单。环保设施的建成与投运，能最大限度减少污染物排放，满足拟建项目</w:t>
      </w:r>
      <w:r>
        <w:rPr>
          <w:rFonts w:ascii="宋体" w:hAnsi="宋体" w:eastAsia="宋体" w:cs="宋体"/>
          <w:spacing w:val="18"/>
          <w:sz w:val="24"/>
          <w:szCs w:val="24"/>
        </w:rPr>
        <w:t xml:space="preserve"> </w:t>
      </w:r>
      <w:r>
        <w:rPr>
          <w:rFonts w:ascii="宋体" w:hAnsi="宋体" w:eastAsia="宋体" w:cs="宋体"/>
          <w:spacing w:val="-2"/>
          <w:sz w:val="24"/>
          <w:szCs w:val="24"/>
        </w:rPr>
        <w:t>废水、废气、噪声等达标排放，对周围水环境、大气环境、声环境影响较小；固废得到</w:t>
      </w:r>
      <w:r>
        <w:rPr>
          <w:rFonts w:ascii="宋体" w:hAnsi="宋体" w:eastAsia="宋体" w:cs="宋体"/>
          <w:spacing w:val="18"/>
          <w:sz w:val="24"/>
          <w:szCs w:val="24"/>
        </w:rPr>
        <w:t xml:space="preserve"> </w:t>
      </w:r>
      <w:r>
        <w:rPr>
          <w:rFonts w:ascii="宋体" w:hAnsi="宋体" w:eastAsia="宋体" w:cs="宋体"/>
          <w:spacing w:val="-2"/>
          <w:sz w:val="24"/>
          <w:szCs w:val="24"/>
        </w:rPr>
        <w:t>了妥善处置，对周围环境无直接影响。通过采取本评价中提出的环保措施后，项目建设</w:t>
      </w:r>
      <w:r>
        <w:rPr>
          <w:rFonts w:ascii="宋体" w:hAnsi="宋体" w:eastAsia="宋体" w:cs="宋体"/>
          <w:spacing w:val="18"/>
          <w:sz w:val="24"/>
          <w:szCs w:val="24"/>
        </w:rPr>
        <w:t xml:space="preserve"> </w:t>
      </w:r>
      <w:r>
        <w:rPr>
          <w:rFonts w:ascii="宋体" w:hAnsi="宋体" w:eastAsia="宋体" w:cs="宋体"/>
          <w:spacing w:val="-2"/>
          <w:sz w:val="24"/>
          <w:szCs w:val="24"/>
        </w:rPr>
        <w:t>能满足环境质量底线、生态保护红线、资源利用上线的要求，既保护环境又带来了一定</w:t>
      </w:r>
      <w:r>
        <w:rPr>
          <w:rFonts w:ascii="宋体" w:hAnsi="宋体" w:eastAsia="宋体" w:cs="宋体"/>
          <w:spacing w:val="18"/>
          <w:sz w:val="24"/>
          <w:szCs w:val="24"/>
        </w:rPr>
        <w:t xml:space="preserve"> </w:t>
      </w:r>
      <w:r>
        <w:rPr>
          <w:rFonts w:ascii="宋体" w:hAnsi="宋体" w:eastAsia="宋体" w:cs="宋体"/>
          <w:spacing w:val="-1"/>
          <w:sz w:val="24"/>
          <w:szCs w:val="24"/>
        </w:rPr>
        <w:t>的经济效益，其环保措施环境效益明显。</w:t>
      </w:r>
    </w:p>
    <w:p w14:paraId="59024BA5">
      <w:pPr>
        <w:spacing w:before="44" w:line="221" w:lineRule="auto"/>
        <w:ind w:left="10"/>
        <w:outlineLvl w:val="1"/>
        <w:rPr>
          <w:rFonts w:ascii="黑体" w:hAnsi="黑体" w:eastAsia="黑体" w:cs="黑体"/>
          <w:sz w:val="30"/>
          <w:szCs w:val="30"/>
        </w:rPr>
      </w:pPr>
      <w:bookmarkStart w:id="474" w:name="bookmark416"/>
      <w:bookmarkEnd w:id="474"/>
      <w:r>
        <w:rPr>
          <w:rFonts w:ascii="Times New Roman" w:hAnsi="Times New Roman" w:eastAsia="Times New Roman" w:cs="Times New Roman"/>
          <w:spacing w:val="-1"/>
          <w:sz w:val="30"/>
          <w:szCs w:val="30"/>
        </w:rPr>
        <w:t xml:space="preserve">7.4 </w:t>
      </w:r>
      <w:r>
        <w:rPr>
          <w:rFonts w:ascii="黑体" w:hAnsi="黑体" w:eastAsia="黑体" w:cs="黑体"/>
          <w:spacing w:val="-1"/>
          <w:sz w:val="30"/>
          <w:szCs w:val="30"/>
        </w:rPr>
        <w:t>环境经济效益综合评述</w:t>
      </w:r>
    </w:p>
    <w:p w14:paraId="05916E9D">
      <w:pPr>
        <w:spacing w:before="213" w:line="290" w:lineRule="auto"/>
        <w:ind w:left="10" w:firstLine="48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）本项目建成后，不仅增加了地方的财</w:t>
      </w:r>
      <w:r>
        <w:rPr>
          <w:rFonts w:ascii="宋体" w:hAnsi="宋体" w:eastAsia="宋体" w:cs="宋体"/>
          <w:spacing w:val="-4"/>
          <w:sz w:val="24"/>
          <w:szCs w:val="24"/>
        </w:rPr>
        <w:t>政收入，而且还能为企业积累大量资金，</w:t>
      </w:r>
      <w:r>
        <w:rPr>
          <w:rFonts w:ascii="宋体" w:hAnsi="宋体" w:eastAsia="宋体" w:cs="宋体"/>
          <w:sz w:val="24"/>
          <w:szCs w:val="24"/>
        </w:rPr>
        <w:t xml:space="preserve"> </w:t>
      </w:r>
      <w:r>
        <w:rPr>
          <w:rFonts w:ascii="宋体" w:hAnsi="宋体" w:eastAsia="宋体" w:cs="宋体"/>
          <w:spacing w:val="-2"/>
          <w:sz w:val="24"/>
          <w:szCs w:val="24"/>
        </w:rPr>
        <w:t>经济效益较好。</w:t>
      </w:r>
    </w:p>
    <w:p w14:paraId="024A4AD7">
      <w:pPr>
        <w:spacing w:before="184" w:line="288" w:lineRule="auto"/>
        <w:ind w:left="14" w:right="61" w:firstLine="485"/>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）拟建工程完成后，促进了当地的经济发展，增加了当地居民的经济收入，提</w:t>
      </w:r>
      <w:r>
        <w:rPr>
          <w:rFonts w:ascii="宋体" w:hAnsi="宋体" w:eastAsia="宋体" w:cs="宋体"/>
          <w:spacing w:val="13"/>
          <w:sz w:val="24"/>
          <w:szCs w:val="24"/>
        </w:rPr>
        <w:t xml:space="preserve"> </w:t>
      </w:r>
      <w:r>
        <w:rPr>
          <w:rFonts w:ascii="宋体" w:hAnsi="宋体" w:eastAsia="宋体" w:cs="宋体"/>
          <w:spacing w:val="-1"/>
          <w:sz w:val="24"/>
          <w:szCs w:val="24"/>
        </w:rPr>
        <w:t>高了公众的生活质量，维持了社会稳定，社会效益较好。</w:t>
      </w:r>
    </w:p>
    <w:p w14:paraId="7CA48917">
      <w:pPr>
        <w:spacing w:before="180" w:line="290" w:lineRule="auto"/>
        <w:ind w:left="10" w:right="101" w:firstLine="489"/>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3</w:t>
      </w:r>
      <w:r>
        <w:rPr>
          <w:rFonts w:ascii="宋体" w:hAnsi="宋体" w:eastAsia="宋体" w:cs="宋体"/>
          <w:sz w:val="24"/>
          <w:szCs w:val="24"/>
        </w:rPr>
        <w:t>）本项目严格落实可研和环评提出的各项污染防治措施，满足环境质量底线、</w:t>
      </w:r>
      <w:r>
        <w:rPr>
          <w:rFonts w:ascii="宋体" w:hAnsi="宋体" w:eastAsia="宋体" w:cs="宋体"/>
          <w:spacing w:val="10"/>
          <w:sz w:val="24"/>
          <w:szCs w:val="24"/>
        </w:rPr>
        <w:t xml:space="preserve"> </w:t>
      </w:r>
      <w:r>
        <w:rPr>
          <w:rFonts w:ascii="宋体" w:hAnsi="宋体" w:eastAsia="宋体" w:cs="宋体"/>
          <w:spacing w:val="-1"/>
          <w:sz w:val="24"/>
          <w:szCs w:val="24"/>
        </w:rPr>
        <w:t>生态保护红线、资源利用上线、环境准入负面清单要求。</w:t>
      </w:r>
    </w:p>
    <w:p w14:paraId="396CC385">
      <w:pPr>
        <w:spacing w:before="184" w:line="345" w:lineRule="auto"/>
        <w:ind w:left="28" w:right="61" w:firstLine="460"/>
        <w:rPr>
          <w:rFonts w:ascii="宋体" w:hAnsi="宋体" w:eastAsia="宋体" w:cs="宋体"/>
          <w:sz w:val="24"/>
          <w:szCs w:val="24"/>
        </w:rPr>
      </w:pPr>
      <w:r>
        <w:rPr>
          <w:rFonts w:ascii="宋体" w:hAnsi="宋体" w:eastAsia="宋体" w:cs="宋体"/>
          <w:spacing w:val="-2"/>
          <w:sz w:val="24"/>
          <w:szCs w:val="24"/>
        </w:rPr>
        <w:t>通过对本项目在经济效益、环境效益和社会效益三方面的分析，可以看出，本项目</w:t>
      </w:r>
      <w:r>
        <w:rPr>
          <w:rFonts w:ascii="宋体" w:hAnsi="宋体" w:eastAsia="宋体" w:cs="宋体"/>
          <w:spacing w:val="13"/>
          <w:sz w:val="24"/>
          <w:szCs w:val="24"/>
        </w:rPr>
        <w:t xml:space="preserve"> </w:t>
      </w:r>
      <w:r>
        <w:rPr>
          <w:rFonts w:ascii="宋体" w:hAnsi="宋体" w:eastAsia="宋体" w:cs="宋体"/>
          <w:spacing w:val="-1"/>
          <w:sz w:val="24"/>
          <w:szCs w:val="24"/>
        </w:rPr>
        <w:t>的建设能够达到</w:t>
      </w:r>
      <w:r>
        <w:rPr>
          <w:rFonts w:ascii="Times New Roman" w:hAnsi="Times New Roman" w:eastAsia="Times New Roman" w:cs="Times New Roman"/>
          <w:spacing w:val="-1"/>
          <w:sz w:val="24"/>
          <w:szCs w:val="24"/>
        </w:rPr>
        <w:t>“</w:t>
      </w:r>
      <w:r>
        <w:rPr>
          <w:rFonts w:ascii="宋体" w:hAnsi="宋体" w:eastAsia="宋体" w:cs="宋体"/>
          <w:spacing w:val="-1"/>
          <w:sz w:val="24"/>
          <w:szCs w:val="24"/>
        </w:rPr>
        <w:t>三效益</w:t>
      </w:r>
      <w:r>
        <w:rPr>
          <w:rFonts w:ascii="Times New Roman" w:hAnsi="Times New Roman" w:eastAsia="Times New Roman" w:cs="Times New Roman"/>
          <w:spacing w:val="-1"/>
          <w:sz w:val="24"/>
          <w:szCs w:val="24"/>
        </w:rPr>
        <w:t>”</w:t>
      </w:r>
      <w:r>
        <w:rPr>
          <w:rFonts w:ascii="宋体" w:hAnsi="宋体" w:eastAsia="宋体" w:cs="宋体"/>
          <w:spacing w:val="-1"/>
          <w:sz w:val="24"/>
          <w:szCs w:val="24"/>
        </w:rPr>
        <w:t>的和谐统一发展，项目是可</w:t>
      </w:r>
      <w:r>
        <w:rPr>
          <w:rFonts w:ascii="宋体" w:hAnsi="宋体" w:eastAsia="宋体" w:cs="宋体"/>
          <w:spacing w:val="-2"/>
          <w:sz w:val="24"/>
          <w:szCs w:val="24"/>
        </w:rPr>
        <w:t>行的。</w:t>
      </w:r>
    </w:p>
    <w:p w14:paraId="5C9A7B3E">
      <w:pPr>
        <w:spacing w:line="345" w:lineRule="auto"/>
        <w:rPr>
          <w:rFonts w:ascii="宋体" w:hAnsi="宋体" w:eastAsia="宋体" w:cs="宋体"/>
          <w:sz w:val="24"/>
          <w:szCs w:val="24"/>
        </w:rPr>
        <w:sectPr>
          <w:headerReference r:id="rId488" w:type="default"/>
          <w:footerReference r:id="rId489" w:type="default"/>
          <w:pgSz w:w="11906" w:h="16839"/>
          <w:pgMar w:top="1191" w:right="1356" w:bottom="1362" w:left="1417" w:header="882" w:footer="1200" w:gutter="0"/>
          <w:cols w:space="720" w:num="1"/>
        </w:sectPr>
      </w:pPr>
    </w:p>
    <w:p w14:paraId="4D970109">
      <w:pPr>
        <w:spacing w:line="28" w:lineRule="exact"/>
      </w:pPr>
      <w:r>
        <w:pict>
          <v:shape id="_x0000_s3087" o:spid="_x0000_s3087" style="height:1.45pt;width:453.55pt;" fillcolor="#000000" filled="t" stroked="f" coordsize="9070,29" path="m0,0l9070,0,9070,28,0,28,0,0xe">
            <v:path/>
            <v:fill on="t" focussize="0,0"/>
            <v:stroke on="f"/>
            <v:imagedata o:title=""/>
            <o:lock v:ext="edit"/>
            <w10:wrap type="none"/>
            <w10:anchorlock/>
          </v:shape>
        </w:pict>
      </w:r>
    </w:p>
    <w:p w14:paraId="4B59785E">
      <w:pPr>
        <w:pStyle w:val="2"/>
        <w:spacing w:line="388" w:lineRule="auto"/>
      </w:pPr>
    </w:p>
    <w:p w14:paraId="3AB0F18E">
      <w:pPr>
        <w:spacing w:before="114" w:line="227" w:lineRule="auto"/>
        <w:ind w:left="2200"/>
        <w:outlineLvl w:val="0"/>
        <w:rPr>
          <w:rFonts w:ascii="黑体" w:hAnsi="黑体" w:eastAsia="黑体" w:cs="黑体"/>
          <w:sz w:val="35"/>
          <w:szCs w:val="35"/>
        </w:rPr>
      </w:pPr>
      <w:bookmarkStart w:id="475" w:name="bookmark418"/>
      <w:bookmarkEnd w:id="475"/>
      <w:r>
        <w:rPr>
          <w:rFonts w:ascii="黑体" w:hAnsi="黑体" w:eastAsia="黑体" w:cs="黑体"/>
          <w:b/>
          <w:bCs/>
          <w:spacing w:val="4"/>
          <w:sz w:val="35"/>
          <w:szCs w:val="35"/>
        </w:rPr>
        <w:t>第</w:t>
      </w:r>
      <w:r>
        <w:rPr>
          <w:rFonts w:ascii="黑体" w:hAnsi="黑体" w:eastAsia="黑体" w:cs="黑体"/>
          <w:spacing w:val="-59"/>
          <w:sz w:val="35"/>
          <w:szCs w:val="35"/>
        </w:rPr>
        <w:t xml:space="preserve"> </w:t>
      </w:r>
      <w:r>
        <w:rPr>
          <w:rFonts w:ascii="Times New Roman" w:hAnsi="Times New Roman" w:eastAsia="Times New Roman" w:cs="Times New Roman"/>
          <w:b/>
          <w:bCs/>
          <w:spacing w:val="4"/>
          <w:sz w:val="35"/>
          <w:szCs w:val="35"/>
        </w:rPr>
        <w:t xml:space="preserve">8 </w:t>
      </w:r>
      <w:r>
        <w:rPr>
          <w:rFonts w:ascii="黑体" w:hAnsi="黑体" w:eastAsia="黑体" w:cs="黑体"/>
          <w:b/>
          <w:bCs/>
          <w:spacing w:val="4"/>
          <w:sz w:val="35"/>
          <w:szCs w:val="35"/>
        </w:rPr>
        <w:t>章</w:t>
      </w:r>
      <w:r>
        <w:rPr>
          <w:rFonts w:ascii="黑体" w:hAnsi="黑体" w:eastAsia="黑体" w:cs="黑体"/>
          <w:spacing w:val="4"/>
          <w:sz w:val="35"/>
          <w:szCs w:val="35"/>
        </w:rPr>
        <w:t xml:space="preserve">  </w:t>
      </w:r>
      <w:r>
        <w:rPr>
          <w:rFonts w:ascii="黑体" w:hAnsi="黑体" w:eastAsia="黑体" w:cs="黑体"/>
          <w:b/>
          <w:bCs/>
          <w:spacing w:val="4"/>
          <w:sz w:val="35"/>
          <w:szCs w:val="35"/>
        </w:rPr>
        <w:t>环境管理与监测计划</w:t>
      </w:r>
    </w:p>
    <w:p w14:paraId="59831580">
      <w:pPr>
        <w:pStyle w:val="2"/>
        <w:spacing w:line="445" w:lineRule="auto"/>
      </w:pPr>
    </w:p>
    <w:p w14:paraId="043C2731">
      <w:pPr>
        <w:spacing w:before="78" w:line="370" w:lineRule="auto"/>
        <w:ind w:left="10" w:right="80" w:firstLine="479"/>
        <w:jc w:val="both"/>
        <w:rPr>
          <w:rFonts w:ascii="宋体" w:hAnsi="宋体" w:eastAsia="宋体" w:cs="宋体"/>
          <w:sz w:val="24"/>
          <w:szCs w:val="24"/>
        </w:rPr>
      </w:pPr>
      <w:r>
        <w:rPr>
          <w:rFonts w:ascii="宋体" w:hAnsi="宋体" w:eastAsia="宋体" w:cs="宋体"/>
          <w:spacing w:val="-2"/>
          <w:sz w:val="24"/>
          <w:szCs w:val="24"/>
        </w:rPr>
        <w:t>环境管理和监测计划的制定目的在于加强对建设项目的环境管理监控，对建设项目</w:t>
      </w:r>
      <w:r>
        <w:rPr>
          <w:rFonts w:ascii="宋体" w:hAnsi="宋体" w:eastAsia="宋体" w:cs="宋体"/>
          <w:spacing w:val="11"/>
          <w:sz w:val="24"/>
          <w:szCs w:val="24"/>
        </w:rPr>
        <w:t xml:space="preserve"> </w:t>
      </w:r>
      <w:r>
        <w:rPr>
          <w:rFonts w:ascii="宋体" w:hAnsi="宋体" w:eastAsia="宋体" w:cs="宋体"/>
          <w:spacing w:val="-2"/>
          <w:sz w:val="24"/>
          <w:szCs w:val="24"/>
        </w:rPr>
        <w:t>各阶段的环保措施实施监督，提供各类环保措施运行情况的正常与否以及环境承受情况</w:t>
      </w:r>
      <w:r>
        <w:rPr>
          <w:rFonts w:ascii="宋体" w:hAnsi="宋体" w:eastAsia="宋体" w:cs="宋体"/>
          <w:spacing w:val="14"/>
          <w:sz w:val="24"/>
          <w:szCs w:val="24"/>
        </w:rPr>
        <w:t xml:space="preserve"> </w:t>
      </w:r>
      <w:r>
        <w:rPr>
          <w:rFonts w:ascii="宋体" w:hAnsi="宋体" w:eastAsia="宋体" w:cs="宋体"/>
          <w:spacing w:val="-2"/>
          <w:sz w:val="24"/>
          <w:szCs w:val="24"/>
        </w:rPr>
        <w:t>等方面的信息。通过管理监控可以得到反馈信息，及时修正设计中环保措施的不足，防</w:t>
      </w:r>
      <w:r>
        <w:rPr>
          <w:rFonts w:ascii="宋体" w:hAnsi="宋体" w:eastAsia="宋体" w:cs="宋体"/>
          <w:spacing w:val="14"/>
          <w:sz w:val="24"/>
          <w:szCs w:val="24"/>
        </w:rPr>
        <w:t xml:space="preserve"> </w:t>
      </w:r>
      <w:r>
        <w:rPr>
          <w:rFonts w:ascii="宋体" w:hAnsi="宋体" w:eastAsia="宋体" w:cs="宋体"/>
          <w:spacing w:val="-1"/>
          <w:sz w:val="24"/>
          <w:szCs w:val="24"/>
        </w:rPr>
        <w:t>止环境质量下降，确保工程的环境、经济和社会效益的统一。</w:t>
      </w:r>
    </w:p>
    <w:p w14:paraId="57E3E79F">
      <w:pPr>
        <w:spacing w:before="78" w:line="227" w:lineRule="auto"/>
        <w:ind w:left="19"/>
        <w:outlineLvl w:val="1"/>
        <w:rPr>
          <w:rFonts w:ascii="黑体" w:hAnsi="黑体" w:eastAsia="黑体" w:cs="黑体"/>
          <w:sz w:val="31"/>
          <w:szCs w:val="31"/>
        </w:rPr>
      </w:pPr>
      <w:bookmarkStart w:id="476" w:name="bookmark420"/>
      <w:bookmarkEnd w:id="476"/>
      <w:r>
        <w:rPr>
          <w:rFonts w:ascii="Times New Roman" w:hAnsi="Times New Roman" w:eastAsia="Times New Roman" w:cs="Times New Roman"/>
          <w:spacing w:val="4"/>
          <w:sz w:val="31"/>
          <w:szCs w:val="31"/>
        </w:rPr>
        <w:t xml:space="preserve">8.1 </w:t>
      </w:r>
      <w:r>
        <w:rPr>
          <w:rFonts w:ascii="黑体" w:hAnsi="黑体" w:eastAsia="黑体" w:cs="黑体"/>
          <w:spacing w:val="4"/>
          <w:sz w:val="31"/>
          <w:szCs w:val="31"/>
        </w:rPr>
        <w:t>环境管理</w:t>
      </w:r>
    </w:p>
    <w:p w14:paraId="6720E87E">
      <w:pPr>
        <w:spacing w:before="225" w:line="371" w:lineRule="auto"/>
        <w:ind w:left="9" w:firstLine="480"/>
        <w:jc w:val="both"/>
        <w:rPr>
          <w:rFonts w:ascii="宋体" w:hAnsi="宋体" w:eastAsia="宋体" w:cs="宋体"/>
          <w:sz w:val="24"/>
          <w:szCs w:val="24"/>
        </w:rPr>
      </w:pPr>
      <w:r>
        <w:rPr>
          <w:rFonts w:ascii="宋体" w:hAnsi="宋体" w:eastAsia="宋体" w:cs="宋体"/>
          <w:spacing w:val="-2"/>
          <w:sz w:val="24"/>
          <w:szCs w:val="24"/>
        </w:rPr>
        <w:t>根据本项目的生产特点，按照《建设项目环境保护设计规定》的要求将环境保护和</w:t>
      </w:r>
      <w:r>
        <w:rPr>
          <w:rFonts w:ascii="宋体" w:hAnsi="宋体" w:eastAsia="宋体" w:cs="宋体"/>
          <w:spacing w:val="11"/>
          <w:sz w:val="24"/>
          <w:szCs w:val="24"/>
        </w:rPr>
        <w:t xml:space="preserve"> </w:t>
      </w:r>
      <w:r>
        <w:rPr>
          <w:rFonts w:ascii="宋体" w:hAnsi="宋体" w:eastAsia="宋体" w:cs="宋体"/>
          <w:spacing w:val="-2"/>
          <w:sz w:val="24"/>
          <w:szCs w:val="24"/>
        </w:rPr>
        <w:t>环境管理纳入到企业管理和生产计划中，同时工厂组织机构中必须设立环保机构和环境</w:t>
      </w:r>
      <w:r>
        <w:rPr>
          <w:rFonts w:ascii="宋体" w:hAnsi="宋体" w:eastAsia="宋体" w:cs="宋体"/>
          <w:spacing w:val="15"/>
          <w:sz w:val="24"/>
          <w:szCs w:val="24"/>
        </w:rPr>
        <w:t xml:space="preserve"> </w:t>
      </w:r>
      <w:r>
        <w:rPr>
          <w:rFonts w:ascii="宋体" w:hAnsi="宋体" w:eastAsia="宋体" w:cs="宋体"/>
          <w:spacing w:val="-6"/>
          <w:sz w:val="24"/>
          <w:szCs w:val="24"/>
        </w:rPr>
        <w:t>监测站，制定合理的污染控制指标，使企业排污符合国家和所在地的有关地方排放标准。</w:t>
      </w:r>
      <w:r>
        <w:rPr>
          <w:rFonts w:ascii="宋体" w:hAnsi="宋体" w:eastAsia="宋体" w:cs="宋体"/>
          <w:spacing w:val="13"/>
          <w:sz w:val="24"/>
          <w:szCs w:val="24"/>
        </w:rPr>
        <w:t xml:space="preserve"> </w:t>
      </w:r>
      <w:r>
        <w:rPr>
          <w:rFonts w:ascii="宋体" w:hAnsi="宋体" w:eastAsia="宋体" w:cs="宋体"/>
          <w:spacing w:val="-1"/>
          <w:sz w:val="24"/>
          <w:szCs w:val="24"/>
        </w:rPr>
        <w:t>本次评价将本着</w:t>
      </w:r>
      <w:r>
        <w:rPr>
          <w:rFonts w:ascii="Times New Roman" w:hAnsi="Times New Roman" w:eastAsia="Times New Roman" w:cs="Times New Roman"/>
          <w:spacing w:val="-1"/>
          <w:sz w:val="24"/>
          <w:szCs w:val="24"/>
        </w:rPr>
        <w:t>“</w:t>
      </w:r>
      <w:r>
        <w:rPr>
          <w:rFonts w:ascii="宋体" w:hAnsi="宋体" w:eastAsia="宋体" w:cs="宋体"/>
          <w:spacing w:val="-1"/>
          <w:sz w:val="24"/>
          <w:szCs w:val="24"/>
        </w:rPr>
        <w:t>清洁生产</w:t>
      </w:r>
      <w:r>
        <w:rPr>
          <w:rFonts w:ascii="Times New Roman" w:hAnsi="Times New Roman" w:eastAsia="Times New Roman" w:cs="Times New Roman"/>
          <w:spacing w:val="-1"/>
          <w:sz w:val="24"/>
          <w:szCs w:val="24"/>
        </w:rPr>
        <w:t>”</w:t>
      </w:r>
      <w:r>
        <w:rPr>
          <w:rFonts w:ascii="Times New Roman" w:hAnsi="Times New Roman" w:eastAsia="Times New Roman" w:cs="Times New Roman"/>
          <w:spacing w:val="-27"/>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w:t>
      </w:r>
      <w:r>
        <w:rPr>
          <w:rFonts w:ascii="宋体" w:hAnsi="宋体" w:eastAsia="宋体" w:cs="宋体"/>
          <w:spacing w:val="-1"/>
          <w:sz w:val="24"/>
          <w:szCs w:val="24"/>
        </w:rPr>
        <w:t>达标排放</w:t>
      </w:r>
      <w:r>
        <w:rPr>
          <w:rFonts w:ascii="Times New Roman" w:hAnsi="Times New Roman" w:eastAsia="Times New Roman" w:cs="Times New Roman"/>
          <w:spacing w:val="-1"/>
          <w:sz w:val="24"/>
          <w:szCs w:val="24"/>
        </w:rPr>
        <w:t>”</w:t>
      </w:r>
      <w:r>
        <w:rPr>
          <w:rFonts w:ascii="宋体" w:hAnsi="宋体" w:eastAsia="宋体" w:cs="宋体"/>
          <w:spacing w:val="-1"/>
          <w:sz w:val="24"/>
          <w:szCs w:val="24"/>
        </w:rPr>
        <w:t>的原则，制订相应的环境管理与监测计划，使</w:t>
      </w:r>
      <w:r>
        <w:rPr>
          <w:rFonts w:ascii="宋体" w:hAnsi="宋体" w:eastAsia="宋体" w:cs="宋体"/>
          <w:sz w:val="24"/>
          <w:szCs w:val="24"/>
        </w:rPr>
        <w:t xml:space="preserve"> </w:t>
      </w:r>
      <w:r>
        <w:rPr>
          <w:rFonts w:ascii="宋体" w:hAnsi="宋体" w:eastAsia="宋体" w:cs="宋体"/>
          <w:spacing w:val="-1"/>
          <w:sz w:val="24"/>
          <w:szCs w:val="24"/>
        </w:rPr>
        <w:t>企业满足现阶段的环保要求。</w:t>
      </w:r>
    </w:p>
    <w:p w14:paraId="5489B163">
      <w:pPr>
        <w:spacing w:before="86" w:line="221" w:lineRule="auto"/>
        <w:ind w:left="18"/>
        <w:outlineLvl w:val="2"/>
        <w:rPr>
          <w:rFonts w:ascii="黑体" w:hAnsi="黑体" w:eastAsia="黑体" w:cs="黑体"/>
          <w:sz w:val="30"/>
          <w:szCs w:val="30"/>
        </w:rPr>
      </w:pPr>
      <w:bookmarkStart w:id="477" w:name="bookmark422"/>
      <w:bookmarkEnd w:id="477"/>
      <w:r>
        <w:rPr>
          <w:rFonts w:ascii="Times New Roman" w:hAnsi="Times New Roman" w:eastAsia="Times New Roman" w:cs="Times New Roman"/>
          <w:spacing w:val="-2"/>
          <w:sz w:val="30"/>
          <w:szCs w:val="30"/>
        </w:rPr>
        <w:t xml:space="preserve">8.1.1 </w:t>
      </w:r>
      <w:r>
        <w:rPr>
          <w:rFonts w:ascii="黑体" w:hAnsi="黑体" w:eastAsia="黑体" w:cs="黑体"/>
          <w:spacing w:val="-2"/>
          <w:sz w:val="30"/>
          <w:szCs w:val="30"/>
        </w:rPr>
        <w:t>环境管理机构及职责</w:t>
      </w:r>
    </w:p>
    <w:p w14:paraId="168B1686">
      <w:pPr>
        <w:spacing w:before="240" w:line="219" w:lineRule="auto"/>
        <w:ind w:left="508"/>
        <w:rPr>
          <w:rFonts w:ascii="宋体" w:hAnsi="宋体" w:eastAsia="宋体" w:cs="宋体"/>
          <w:sz w:val="24"/>
          <w:szCs w:val="24"/>
        </w:rPr>
      </w:pPr>
      <w:r>
        <w:rPr>
          <w:rFonts w:ascii="Times New Roman" w:hAnsi="Times New Roman" w:eastAsia="Times New Roman" w:cs="Times New Roman"/>
          <w:spacing w:val="-10"/>
          <w:sz w:val="24"/>
          <w:szCs w:val="24"/>
        </w:rPr>
        <w:t>1</w:t>
      </w:r>
      <w:r>
        <w:rPr>
          <w:rFonts w:ascii="Times New Roman" w:hAnsi="Times New Roman" w:eastAsia="Times New Roman" w:cs="Times New Roman"/>
          <w:spacing w:val="-30"/>
          <w:sz w:val="24"/>
          <w:szCs w:val="24"/>
        </w:rPr>
        <w:t xml:space="preserve"> </w:t>
      </w:r>
      <w:r>
        <w:rPr>
          <w:rFonts w:ascii="宋体" w:hAnsi="宋体" w:eastAsia="宋体" w:cs="宋体"/>
          <w:spacing w:val="-10"/>
          <w:sz w:val="24"/>
          <w:szCs w:val="24"/>
        </w:rPr>
        <w:t>、机构设置</w:t>
      </w:r>
    </w:p>
    <w:p w14:paraId="14722C79">
      <w:pPr>
        <w:spacing w:before="204" w:line="372" w:lineRule="auto"/>
        <w:ind w:left="9" w:right="18" w:firstLine="480"/>
        <w:rPr>
          <w:rFonts w:ascii="宋体" w:hAnsi="宋体" w:eastAsia="宋体" w:cs="宋体"/>
          <w:sz w:val="24"/>
          <w:szCs w:val="24"/>
        </w:rPr>
      </w:pPr>
      <w:r>
        <w:rPr>
          <w:rFonts w:ascii="宋体" w:hAnsi="宋体" w:eastAsia="宋体" w:cs="宋体"/>
          <w:spacing w:val="-2"/>
          <w:sz w:val="24"/>
          <w:szCs w:val="24"/>
        </w:rPr>
        <w:t>本项目建成后，苏尼特右旗新蒙新材料有限公司应按照规定要求设置相应的环境保</w:t>
      </w:r>
      <w:r>
        <w:rPr>
          <w:rFonts w:ascii="宋体" w:hAnsi="宋体" w:eastAsia="宋体" w:cs="宋体"/>
          <w:spacing w:val="10"/>
          <w:sz w:val="24"/>
          <w:szCs w:val="24"/>
        </w:rPr>
        <w:t xml:space="preserve"> </w:t>
      </w:r>
      <w:r>
        <w:rPr>
          <w:rFonts w:ascii="宋体" w:hAnsi="宋体" w:eastAsia="宋体" w:cs="宋体"/>
          <w:spacing w:val="-2"/>
          <w:sz w:val="24"/>
          <w:szCs w:val="24"/>
        </w:rPr>
        <w:t>护管理机构，并组成一个生产与环保、兼职与专职相结合的环保工作网络。这一网络主</w:t>
      </w:r>
      <w:r>
        <w:rPr>
          <w:rFonts w:ascii="宋体" w:hAnsi="宋体" w:eastAsia="宋体" w:cs="宋体"/>
          <w:spacing w:val="15"/>
          <w:sz w:val="24"/>
          <w:szCs w:val="24"/>
        </w:rPr>
        <w:t xml:space="preserve"> </w:t>
      </w:r>
      <w:r>
        <w:rPr>
          <w:rFonts w:ascii="宋体" w:hAnsi="宋体" w:eastAsia="宋体" w:cs="宋体"/>
          <w:spacing w:val="-2"/>
          <w:sz w:val="24"/>
          <w:szCs w:val="24"/>
        </w:rPr>
        <w:t>要包括环保管理部门、监测分析化验部门、环保设备运行及维护部门、监督巡回检查部</w:t>
      </w:r>
      <w:r>
        <w:rPr>
          <w:rFonts w:ascii="宋体" w:hAnsi="宋体" w:eastAsia="宋体" w:cs="宋体"/>
          <w:spacing w:val="15"/>
          <w:sz w:val="24"/>
          <w:szCs w:val="24"/>
        </w:rPr>
        <w:t xml:space="preserve"> </w:t>
      </w:r>
      <w:r>
        <w:rPr>
          <w:rFonts w:ascii="宋体" w:hAnsi="宋体" w:eastAsia="宋体" w:cs="宋体"/>
          <w:spacing w:val="-2"/>
          <w:sz w:val="24"/>
          <w:szCs w:val="24"/>
        </w:rPr>
        <w:t>门等。其中前两个部门由具有环保专业知识的专职人员承担，并由厂长领导负责，后两</w:t>
      </w:r>
      <w:r>
        <w:rPr>
          <w:rFonts w:ascii="宋体" w:hAnsi="宋体" w:eastAsia="宋体" w:cs="宋体"/>
          <w:spacing w:val="15"/>
          <w:sz w:val="24"/>
          <w:szCs w:val="24"/>
        </w:rPr>
        <w:t xml:space="preserve"> </w:t>
      </w:r>
      <w:r>
        <w:rPr>
          <w:rFonts w:ascii="宋体" w:hAnsi="宋体" w:eastAsia="宋体" w:cs="宋体"/>
          <w:spacing w:val="-6"/>
          <w:sz w:val="24"/>
          <w:szCs w:val="24"/>
        </w:rPr>
        <w:t>个部门可以培训若干有经验、懂技术、责任心强的技术人员担任管理人员。</w:t>
      </w:r>
      <w:r>
        <w:rPr>
          <w:rFonts w:ascii="宋体" w:hAnsi="宋体" w:eastAsia="宋体" w:cs="宋体"/>
          <w:spacing w:val="-7"/>
          <w:sz w:val="24"/>
          <w:szCs w:val="24"/>
        </w:rPr>
        <w:t>人员的配置，</w:t>
      </w:r>
      <w:r>
        <w:rPr>
          <w:rFonts w:ascii="宋体" w:hAnsi="宋体" w:eastAsia="宋体" w:cs="宋体"/>
          <w:sz w:val="24"/>
          <w:szCs w:val="24"/>
        </w:rPr>
        <w:t xml:space="preserve"> </w:t>
      </w:r>
      <w:r>
        <w:rPr>
          <w:rFonts w:ascii="宋体" w:hAnsi="宋体" w:eastAsia="宋体" w:cs="宋体"/>
          <w:spacing w:val="2"/>
          <w:sz w:val="24"/>
          <w:szCs w:val="24"/>
        </w:rPr>
        <w:t>除由一名厂长负责外，至少应配备专职环境管理人</w:t>
      </w:r>
      <w:r>
        <w:rPr>
          <w:rFonts w:ascii="宋体" w:hAnsi="宋体" w:eastAsia="宋体" w:cs="宋体"/>
          <w:spacing w:val="1"/>
          <w:sz w:val="24"/>
          <w:szCs w:val="24"/>
        </w:rPr>
        <w:t>员</w:t>
      </w:r>
      <w:r>
        <w:rPr>
          <w:rFonts w:ascii="Times New Roman" w:hAnsi="Times New Roman" w:eastAsia="Times New Roman" w:cs="Times New Roman"/>
          <w:spacing w:val="1"/>
          <w:sz w:val="24"/>
          <w:szCs w:val="24"/>
        </w:rPr>
        <w:t xml:space="preserve">2 </w:t>
      </w:r>
      <w:r>
        <w:rPr>
          <w:rFonts w:ascii="宋体" w:hAnsi="宋体" w:eastAsia="宋体" w:cs="宋体"/>
          <w:spacing w:val="1"/>
          <w:sz w:val="24"/>
          <w:szCs w:val="24"/>
        </w:rPr>
        <w:t>人。</w:t>
      </w:r>
    </w:p>
    <w:p w14:paraId="6D6F24CD">
      <w:pPr>
        <w:spacing w:before="34" w:line="219" w:lineRule="auto"/>
        <w:ind w:left="485"/>
        <w:rPr>
          <w:rFonts w:ascii="宋体" w:hAnsi="宋体" w:eastAsia="宋体" w:cs="宋体"/>
          <w:sz w:val="24"/>
          <w:szCs w:val="24"/>
        </w:rPr>
      </w:pPr>
      <w:r>
        <w:rPr>
          <w:rFonts w:ascii="Times New Roman" w:hAnsi="Times New Roman" w:eastAsia="Times New Roman" w:cs="Times New Roman"/>
          <w:spacing w:val="-6"/>
          <w:sz w:val="24"/>
          <w:szCs w:val="24"/>
        </w:rPr>
        <w:t>2</w:t>
      </w:r>
      <w:r>
        <w:rPr>
          <w:rFonts w:ascii="Times New Roman" w:hAnsi="Times New Roman" w:eastAsia="Times New Roman" w:cs="Times New Roman"/>
          <w:spacing w:val="-31"/>
          <w:sz w:val="24"/>
          <w:szCs w:val="24"/>
        </w:rPr>
        <w:t xml:space="preserve"> </w:t>
      </w:r>
      <w:r>
        <w:rPr>
          <w:rFonts w:ascii="宋体" w:hAnsi="宋体" w:eastAsia="宋体" w:cs="宋体"/>
          <w:spacing w:val="-6"/>
          <w:sz w:val="24"/>
          <w:szCs w:val="24"/>
        </w:rPr>
        <w:t>、机构职能</w:t>
      </w:r>
    </w:p>
    <w:p w14:paraId="0C4455DF">
      <w:pPr>
        <w:spacing w:before="204" w:line="219" w:lineRule="auto"/>
        <w:jc w:val="right"/>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）贯彻执行国家和自治区的环境保护方针、政策、法律、法规和有关环境标</w:t>
      </w:r>
      <w:r>
        <w:rPr>
          <w:rFonts w:ascii="宋体" w:hAnsi="宋体" w:eastAsia="宋体" w:cs="宋体"/>
          <w:spacing w:val="-4"/>
          <w:sz w:val="24"/>
          <w:szCs w:val="24"/>
        </w:rPr>
        <w:t>准。</w:t>
      </w:r>
    </w:p>
    <w:p w14:paraId="6B2A63F2">
      <w:pPr>
        <w:spacing w:before="204" w:line="298" w:lineRule="auto"/>
        <w:ind w:left="10" w:right="82"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）制订并组织实施全厂的环境保护规划和年度计划以及科研与监测计划，负责</w:t>
      </w:r>
      <w:r>
        <w:rPr>
          <w:rFonts w:ascii="宋体" w:hAnsi="宋体" w:eastAsia="宋体" w:cs="宋体"/>
          <w:spacing w:val="9"/>
          <w:sz w:val="24"/>
          <w:szCs w:val="24"/>
        </w:rPr>
        <w:t xml:space="preserve"> </w:t>
      </w:r>
      <w:r>
        <w:rPr>
          <w:rFonts w:ascii="宋体" w:hAnsi="宋体" w:eastAsia="宋体" w:cs="宋体"/>
          <w:spacing w:val="-1"/>
          <w:sz w:val="24"/>
          <w:szCs w:val="24"/>
        </w:rPr>
        <w:t>联络各级环境保护主管部门和环境监测部门。</w:t>
      </w:r>
    </w:p>
    <w:p w14:paraId="4AFCD0A7">
      <w:pPr>
        <w:spacing w:before="205" w:line="297" w:lineRule="auto"/>
        <w:ind w:left="8" w:right="82"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）监督并定期检查各环保设施的管理和运行情况，发现问题及时会同有关部门</w:t>
      </w:r>
      <w:r>
        <w:rPr>
          <w:rFonts w:ascii="宋体" w:hAnsi="宋体" w:eastAsia="宋体" w:cs="宋体"/>
          <w:spacing w:val="9"/>
          <w:sz w:val="24"/>
          <w:szCs w:val="24"/>
        </w:rPr>
        <w:t xml:space="preserve"> </w:t>
      </w:r>
      <w:r>
        <w:rPr>
          <w:rFonts w:ascii="宋体" w:hAnsi="宋体" w:eastAsia="宋体" w:cs="宋体"/>
          <w:spacing w:val="-1"/>
          <w:sz w:val="24"/>
          <w:szCs w:val="24"/>
        </w:rPr>
        <w:t>解决，保证全厂环保设施处于完好状态。</w:t>
      </w:r>
    </w:p>
    <w:p w14:paraId="6F0905C8">
      <w:pPr>
        <w:spacing w:before="205" w:line="219" w:lineRule="auto"/>
        <w:ind w:left="50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）负责组织环保设施的日常监测工作，整理监测数据，负责环保技术资料的日</w:t>
      </w:r>
    </w:p>
    <w:p w14:paraId="63AA9832">
      <w:pPr>
        <w:spacing w:line="219" w:lineRule="auto"/>
        <w:rPr>
          <w:rFonts w:ascii="宋体" w:hAnsi="宋体" w:eastAsia="宋体" w:cs="宋体"/>
          <w:sz w:val="24"/>
          <w:szCs w:val="24"/>
        </w:rPr>
        <w:sectPr>
          <w:headerReference r:id="rId490" w:type="default"/>
          <w:footerReference r:id="rId491" w:type="default"/>
          <w:pgSz w:w="11906" w:h="16839"/>
          <w:pgMar w:top="1190" w:right="1337" w:bottom="1221" w:left="1418" w:header="882" w:footer="1059" w:gutter="0"/>
          <w:cols w:space="720" w:num="1"/>
        </w:sectPr>
      </w:pPr>
    </w:p>
    <w:p w14:paraId="4C4A4DAF">
      <w:pPr>
        <w:spacing w:line="28" w:lineRule="exact"/>
      </w:pPr>
      <w:r>
        <w:pict>
          <v:shape id="_x0000_s3088" o:spid="_x0000_s3088" style="height:1.45pt;width:453.55pt;" fillcolor="#000000" filled="t" stroked="f" coordsize="9070,29" path="m0,0l9070,0,9070,28,0,28,0,0xe">
            <v:path/>
            <v:fill on="t" focussize="0,0"/>
            <v:stroke on="f"/>
            <v:imagedata o:title=""/>
            <o:lock v:ext="edit"/>
            <w10:wrap type="none"/>
            <w10:anchorlock/>
          </v:shape>
        </w:pict>
      </w:r>
    </w:p>
    <w:p w14:paraId="28976041">
      <w:pPr>
        <w:pStyle w:val="2"/>
        <w:spacing w:line="243" w:lineRule="auto"/>
      </w:pPr>
    </w:p>
    <w:p w14:paraId="75C7EF09">
      <w:pPr>
        <w:spacing w:before="78" w:line="219" w:lineRule="auto"/>
        <w:ind w:left="15"/>
        <w:rPr>
          <w:rFonts w:ascii="宋体" w:hAnsi="宋体" w:eastAsia="宋体" w:cs="宋体"/>
          <w:sz w:val="24"/>
          <w:szCs w:val="24"/>
        </w:rPr>
      </w:pPr>
      <w:r>
        <w:rPr>
          <w:rFonts w:ascii="宋体" w:hAnsi="宋体" w:eastAsia="宋体" w:cs="宋体"/>
          <w:spacing w:val="-1"/>
          <w:sz w:val="24"/>
          <w:szCs w:val="24"/>
        </w:rPr>
        <w:t>常管理和归档工作，存档并上报环境保护主管部门。</w:t>
      </w:r>
    </w:p>
    <w:p w14:paraId="7D3DFFCE">
      <w:pPr>
        <w:spacing w:before="204" w:line="220"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5</w:t>
      </w:r>
      <w:r>
        <w:rPr>
          <w:rFonts w:ascii="宋体" w:hAnsi="宋体" w:eastAsia="宋体" w:cs="宋体"/>
          <w:spacing w:val="-2"/>
          <w:sz w:val="24"/>
          <w:szCs w:val="24"/>
        </w:rPr>
        <w:t>）预防和处理突发性环保事故。</w:t>
      </w:r>
    </w:p>
    <w:p w14:paraId="2C4F6691">
      <w:pPr>
        <w:spacing w:before="201" w:line="298" w:lineRule="auto"/>
        <w:ind w:left="11" w:right="82" w:firstLine="48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6</w:t>
      </w:r>
      <w:r>
        <w:rPr>
          <w:rFonts w:ascii="宋体" w:hAnsi="宋体" w:eastAsia="宋体" w:cs="宋体"/>
          <w:spacing w:val="1"/>
          <w:sz w:val="24"/>
          <w:szCs w:val="24"/>
        </w:rPr>
        <w:t>）组织全厂环保工作人员和环保岗位工人的日常业务技术学习、专业进修和业</w:t>
      </w:r>
      <w:r>
        <w:rPr>
          <w:rFonts w:ascii="宋体" w:hAnsi="宋体" w:eastAsia="宋体" w:cs="宋体"/>
          <w:spacing w:val="9"/>
          <w:sz w:val="24"/>
          <w:szCs w:val="24"/>
        </w:rPr>
        <w:t xml:space="preserve"> </w:t>
      </w:r>
      <w:r>
        <w:rPr>
          <w:rFonts w:ascii="宋体" w:hAnsi="宋体" w:eastAsia="宋体" w:cs="宋体"/>
          <w:spacing w:val="-2"/>
          <w:sz w:val="24"/>
          <w:szCs w:val="24"/>
        </w:rPr>
        <w:t>务技术培训。</w:t>
      </w:r>
    </w:p>
    <w:p w14:paraId="0628E19A">
      <w:pPr>
        <w:spacing w:before="204" w:line="219" w:lineRule="auto"/>
        <w:ind w:left="50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7</w:t>
      </w:r>
      <w:r>
        <w:rPr>
          <w:rFonts w:ascii="宋体" w:hAnsi="宋体" w:eastAsia="宋体" w:cs="宋体"/>
          <w:spacing w:val="-1"/>
          <w:sz w:val="24"/>
          <w:szCs w:val="24"/>
        </w:rPr>
        <w:t>）组织全厂的环保评比考核，严格执行环保奖惩制度。</w:t>
      </w:r>
    </w:p>
    <w:p w14:paraId="78DE99AD">
      <w:pPr>
        <w:spacing w:before="256" w:line="222" w:lineRule="auto"/>
        <w:ind w:left="18"/>
        <w:outlineLvl w:val="2"/>
        <w:rPr>
          <w:rFonts w:ascii="黑体" w:hAnsi="黑体" w:eastAsia="黑体" w:cs="黑体"/>
          <w:sz w:val="30"/>
          <w:szCs w:val="30"/>
        </w:rPr>
      </w:pPr>
      <w:bookmarkStart w:id="478" w:name="bookmark424"/>
      <w:bookmarkEnd w:id="478"/>
      <w:r>
        <w:rPr>
          <w:rFonts w:ascii="Times New Roman" w:hAnsi="Times New Roman" w:eastAsia="Times New Roman" w:cs="Times New Roman"/>
          <w:spacing w:val="-5"/>
          <w:sz w:val="30"/>
          <w:szCs w:val="30"/>
        </w:rPr>
        <w:t>8.1.2</w:t>
      </w:r>
      <w:r>
        <w:rPr>
          <w:rFonts w:ascii="Times New Roman" w:hAnsi="Times New Roman" w:eastAsia="Times New Roman" w:cs="Times New Roman"/>
          <w:spacing w:val="25"/>
          <w:sz w:val="30"/>
          <w:szCs w:val="30"/>
        </w:rPr>
        <w:t xml:space="preserve"> </w:t>
      </w:r>
      <w:r>
        <w:rPr>
          <w:rFonts w:ascii="黑体" w:hAnsi="黑体" w:eastAsia="黑体" w:cs="黑体"/>
          <w:spacing w:val="-5"/>
          <w:sz w:val="30"/>
          <w:szCs w:val="30"/>
        </w:rPr>
        <w:t>资料建档</w:t>
      </w:r>
    </w:p>
    <w:p w14:paraId="40555F72">
      <w:pPr>
        <w:spacing w:before="239" w:line="219" w:lineRule="auto"/>
        <w:ind w:left="493"/>
        <w:rPr>
          <w:rFonts w:ascii="宋体" w:hAnsi="宋体" w:eastAsia="宋体" w:cs="宋体"/>
          <w:sz w:val="24"/>
          <w:szCs w:val="24"/>
        </w:rPr>
      </w:pPr>
      <w:r>
        <w:rPr>
          <w:rFonts w:ascii="宋体" w:hAnsi="宋体" w:eastAsia="宋体" w:cs="宋体"/>
          <w:spacing w:val="-1"/>
          <w:sz w:val="24"/>
          <w:szCs w:val="24"/>
        </w:rPr>
        <w:t>企业应建立详细、全面的基础资料及数据档案，具体内容为：</w:t>
      </w:r>
    </w:p>
    <w:p w14:paraId="13E28D02">
      <w:pPr>
        <w:spacing w:before="205" w:line="219" w:lineRule="auto"/>
        <w:ind w:left="50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）国家及地方颁发的有关环保标准、环保法律法规及各主管部门下发的文件。</w:t>
      </w:r>
    </w:p>
    <w:p w14:paraId="5348DA07">
      <w:pPr>
        <w:spacing w:before="204" w:line="298" w:lineRule="auto"/>
        <w:ind w:left="8" w:right="141" w:firstLine="492"/>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2</w:t>
      </w:r>
      <w:r>
        <w:rPr>
          <w:rFonts w:ascii="宋体" w:hAnsi="宋体" w:eastAsia="宋体" w:cs="宋体"/>
          <w:sz w:val="24"/>
          <w:szCs w:val="24"/>
        </w:rPr>
        <w:t>）环境保护及污染净化设施的设计及技术改进</w:t>
      </w:r>
      <w:r>
        <w:rPr>
          <w:rFonts w:ascii="宋体" w:hAnsi="宋体" w:eastAsia="宋体" w:cs="宋体"/>
          <w:spacing w:val="-1"/>
          <w:sz w:val="24"/>
          <w:szCs w:val="24"/>
        </w:rPr>
        <w:t>资料，设计图纸及使用说明书，</w:t>
      </w:r>
      <w:r>
        <w:rPr>
          <w:rFonts w:ascii="宋体" w:hAnsi="宋体" w:eastAsia="宋体" w:cs="宋体"/>
          <w:sz w:val="24"/>
          <w:szCs w:val="24"/>
        </w:rPr>
        <w:t xml:space="preserve"> </w:t>
      </w:r>
      <w:r>
        <w:rPr>
          <w:rFonts w:ascii="宋体" w:hAnsi="宋体" w:eastAsia="宋体" w:cs="宋体"/>
          <w:spacing w:val="-1"/>
          <w:sz w:val="24"/>
          <w:szCs w:val="24"/>
        </w:rPr>
        <w:t>操作方法、运行状况及维护等方面的详细资料。</w:t>
      </w:r>
    </w:p>
    <w:p w14:paraId="63CA6E30">
      <w:pPr>
        <w:spacing w:before="202" w:line="324" w:lineRule="auto"/>
        <w:ind w:left="9" w:right="80" w:firstLine="49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）企业各污染源的例行监测资料，包括本公司</w:t>
      </w:r>
      <w:r>
        <w:rPr>
          <w:rFonts w:ascii="Times New Roman" w:hAnsi="Times New Roman" w:eastAsia="Times New Roman" w:cs="Times New Roman"/>
          <w:spacing w:val="2"/>
          <w:sz w:val="24"/>
          <w:szCs w:val="24"/>
        </w:rPr>
        <w:t>“</w:t>
      </w:r>
      <w:r>
        <w:rPr>
          <w:rFonts w:ascii="宋体" w:hAnsi="宋体" w:eastAsia="宋体" w:cs="宋体"/>
          <w:spacing w:val="2"/>
          <w:sz w:val="24"/>
          <w:szCs w:val="24"/>
        </w:rPr>
        <w:t>三废</w:t>
      </w:r>
      <w:r>
        <w:rPr>
          <w:rFonts w:ascii="Times New Roman" w:hAnsi="Times New Roman" w:eastAsia="Times New Roman" w:cs="Times New Roman"/>
          <w:spacing w:val="2"/>
          <w:sz w:val="24"/>
          <w:szCs w:val="24"/>
        </w:rPr>
        <w:t>”</w:t>
      </w:r>
      <w:r>
        <w:rPr>
          <w:rFonts w:ascii="宋体" w:hAnsi="宋体" w:eastAsia="宋体" w:cs="宋体"/>
          <w:spacing w:val="2"/>
          <w:sz w:val="24"/>
          <w:szCs w:val="24"/>
        </w:rPr>
        <w:t>排放系统图，各污染源的</w:t>
      </w:r>
      <w:r>
        <w:rPr>
          <w:rFonts w:ascii="宋体" w:hAnsi="宋体" w:eastAsia="宋体" w:cs="宋体"/>
          <w:sz w:val="24"/>
          <w:szCs w:val="24"/>
        </w:rPr>
        <w:t xml:space="preserve"> </w:t>
      </w:r>
      <w:r>
        <w:rPr>
          <w:rFonts w:ascii="宋体" w:hAnsi="宋体" w:eastAsia="宋体" w:cs="宋体"/>
          <w:spacing w:val="-2"/>
          <w:sz w:val="24"/>
          <w:szCs w:val="24"/>
        </w:rPr>
        <w:t>技术参数，采样监测点分布（图</w:t>
      </w:r>
      <w:r>
        <w:rPr>
          <w:rFonts w:ascii="宋体" w:hAnsi="宋体" w:eastAsia="宋体" w:cs="宋体"/>
          <w:spacing w:val="5"/>
          <w:sz w:val="24"/>
          <w:szCs w:val="24"/>
        </w:rPr>
        <w:t>），</w:t>
      </w:r>
      <w:r>
        <w:rPr>
          <w:rFonts w:ascii="宋体" w:hAnsi="宋体" w:eastAsia="宋体" w:cs="宋体"/>
          <w:spacing w:val="-2"/>
          <w:sz w:val="24"/>
          <w:szCs w:val="24"/>
        </w:rPr>
        <w:t>污染源监测结果，采样方法和分析方法，建立污染</w:t>
      </w:r>
      <w:r>
        <w:rPr>
          <w:rFonts w:ascii="宋体" w:hAnsi="宋体" w:eastAsia="宋体" w:cs="宋体"/>
          <w:spacing w:val="1"/>
          <w:sz w:val="24"/>
          <w:szCs w:val="24"/>
        </w:rPr>
        <w:t xml:space="preserve"> </w:t>
      </w:r>
      <w:r>
        <w:rPr>
          <w:rFonts w:ascii="宋体" w:hAnsi="宋体" w:eastAsia="宋体" w:cs="宋体"/>
          <w:spacing w:val="-1"/>
          <w:sz w:val="24"/>
          <w:szCs w:val="24"/>
        </w:rPr>
        <w:t>物排放情况动态图表、污染事故</w:t>
      </w:r>
      <w:r>
        <w:rPr>
          <w:rFonts w:hint="eastAsia" w:ascii="宋体" w:hAnsi="宋体" w:eastAsia="宋体" w:cs="宋体"/>
          <w:spacing w:val="-1"/>
          <w:sz w:val="24"/>
          <w:szCs w:val="24"/>
        </w:rPr>
        <w:t>纪实</w:t>
      </w:r>
      <w:r>
        <w:rPr>
          <w:rFonts w:ascii="宋体" w:hAnsi="宋体" w:eastAsia="宋体" w:cs="宋体"/>
          <w:spacing w:val="-1"/>
          <w:sz w:val="24"/>
          <w:szCs w:val="24"/>
        </w:rPr>
        <w:t>材料等环保档案。</w:t>
      </w:r>
    </w:p>
    <w:p w14:paraId="13FF15E6">
      <w:pPr>
        <w:spacing w:before="205" w:line="297" w:lineRule="auto"/>
        <w:ind w:left="20" w:right="82" w:firstLine="48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）建设项目环境影响评价报告及批复文件、项目验收测试报告、污染指标考核</w:t>
      </w:r>
      <w:r>
        <w:rPr>
          <w:rFonts w:ascii="宋体" w:hAnsi="宋体" w:eastAsia="宋体" w:cs="宋体"/>
          <w:spacing w:val="9"/>
          <w:sz w:val="24"/>
          <w:szCs w:val="24"/>
        </w:rPr>
        <w:t xml:space="preserve"> </w:t>
      </w:r>
      <w:r>
        <w:rPr>
          <w:rFonts w:ascii="宋体" w:hAnsi="宋体" w:eastAsia="宋体" w:cs="宋体"/>
          <w:spacing w:val="-5"/>
          <w:sz w:val="24"/>
          <w:szCs w:val="24"/>
        </w:rPr>
        <w:t>资料等。</w:t>
      </w:r>
    </w:p>
    <w:p w14:paraId="59AFAD15">
      <w:pPr>
        <w:spacing w:before="257" w:line="223" w:lineRule="auto"/>
        <w:ind w:left="18"/>
        <w:outlineLvl w:val="2"/>
        <w:rPr>
          <w:rFonts w:ascii="黑体" w:hAnsi="黑体" w:eastAsia="黑体" w:cs="黑体"/>
          <w:sz w:val="30"/>
          <w:szCs w:val="30"/>
        </w:rPr>
      </w:pPr>
      <w:bookmarkStart w:id="479" w:name="bookmark426"/>
      <w:bookmarkEnd w:id="479"/>
      <w:r>
        <w:rPr>
          <w:rFonts w:ascii="Times New Roman" w:hAnsi="Times New Roman" w:eastAsia="Times New Roman" w:cs="Times New Roman"/>
          <w:spacing w:val="-2"/>
          <w:sz w:val="30"/>
          <w:szCs w:val="30"/>
        </w:rPr>
        <w:t xml:space="preserve">8.1.3 </w:t>
      </w:r>
      <w:r>
        <w:rPr>
          <w:rFonts w:ascii="黑体" w:hAnsi="黑体" w:eastAsia="黑体" w:cs="黑体"/>
          <w:spacing w:val="-2"/>
          <w:sz w:val="30"/>
          <w:szCs w:val="30"/>
        </w:rPr>
        <w:t>培训计划</w:t>
      </w:r>
    </w:p>
    <w:p w14:paraId="1B63BF66">
      <w:pPr>
        <w:spacing w:before="239" w:line="219" w:lineRule="auto"/>
        <w:ind w:left="50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）对所有职工进行环保法律、法规教育，提高其环境保护意识。</w:t>
      </w:r>
    </w:p>
    <w:p w14:paraId="5C23CB13">
      <w:pPr>
        <w:spacing w:before="203" w:line="324" w:lineRule="auto"/>
        <w:ind w:left="8" w:right="80"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）对有关专职人员进行环境保护设施的正确操作、安全运行及维护检修等方面</w:t>
      </w:r>
      <w:r>
        <w:rPr>
          <w:rFonts w:ascii="宋体" w:hAnsi="宋体" w:eastAsia="宋体" w:cs="宋体"/>
          <w:spacing w:val="9"/>
          <w:sz w:val="24"/>
          <w:szCs w:val="24"/>
        </w:rPr>
        <w:t xml:space="preserve"> </w:t>
      </w:r>
      <w:r>
        <w:rPr>
          <w:rFonts w:ascii="宋体" w:hAnsi="宋体" w:eastAsia="宋体" w:cs="宋体"/>
          <w:spacing w:val="-2"/>
          <w:sz w:val="24"/>
          <w:szCs w:val="24"/>
        </w:rPr>
        <w:t>的培训，包括环保设施性能、作用，运行的标准化作业程序、维修方法，设备安全、作</w:t>
      </w:r>
      <w:r>
        <w:rPr>
          <w:rFonts w:ascii="宋体" w:hAnsi="宋体" w:eastAsia="宋体" w:cs="宋体"/>
          <w:spacing w:val="16"/>
          <w:sz w:val="24"/>
          <w:szCs w:val="24"/>
        </w:rPr>
        <w:t xml:space="preserve"> </w:t>
      </w:r>
      <w:r>
        <w:rPr>
          <w:rFonts w:ascii="宋体" w:hAnsi="宋体" w:eastAsia="宋体" w:cs="宋体"/>
          <w:spacing w:val="-1"/>
          <w:sz w:val="24"/>
          <w:szCs w:val="24"/>
        </w:rPr>
        <w:t>业人员健康保护，环境保护一般常识等。</w:t>
      </w:r>
    </w:p>
    <w:p w14:paraId="27D01C36">
      <w:pPr>
        <w:spacing w:before="204" w:line="297" w:lineRule="auto"/>
        <w:ind w:left="11" w:firstLine="48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）环保管理专职人员应具备环保法律、法规，环境监测方法，数据整理、汇</w:t>
      </w:r>
      <w:r>
        <w:rPr>
          <w:rFonts w:ascii="宋体" w:hAnsi="宋体" w:eastAsia="宋体" w:cs="宋体"/>
          <w:spacing w:val="-4"/>
          <w:sz w:val="24"/>
          <w:szCs w:val="24"/>
        </w:rPr>
        <w:t>集、</w:t>
      </w:r>
      <w:r>
        <w:rPr>
          <w:rFonts w:ascii="宋体" w:hAnsi="宋体" w:eastAsia="宋体" w:cs="宋体"/>
          <w:sz w:val="24"/>
          <w:szCs w:val="24"/>
        </w:rPr>
        <w:t xml:space="preserve"> </w:t>
      </w:r>
      <w:r>
        <w:rPr>
          <w:rFonts w:ascii="宋体" w:hAnsi="宋体" w:eastAsia="宋体" w:cs="宋体"/>
          <w:spacing w:val="-1"/>
          <w:sz w:val="24"/>
          <w:szCs w:val="24"/>
        </w:rPr>
        <w:t>编报监测分析，以及环境工程等方面的专业知识。</w:t>
      </w:r>
    </w:p>
    <w:p w14:paraId="7891FEB2">
      <w:pPr>
        <w:spacing w:before="205" w:line="298" w:lineRule="auto"/>
        <w:ind w:left="12" w:right="82" w:firstLine="488"/>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）公司领导应了解环境保护法律、法规；环境保护与经济可持续发展战略的意</w:t>
      </w:r>
      <w:r>
        <w:rPr>
          <w:rFonts w:ascii="宋体" w:hAnsi="宋体" w:eastAsia="宋体" w:cs="宋体"/>
          <w:spacing w:val="9"/>
          <w:sz w:val="24"/>
          <w:szCs w:val="24"/>
        </w:rPr>
        <w:t xml:space="preserve"> </w:t>
      </w:r>
      <w:r>
        <w:rPr>
          <w:rFonts w:ascii="宋体" w:hAnsi="宋体" w:eastAsia="宋体" w:cs="宋体"/>
          <w:spacing w:val="-1"/>
          <w:sz w:val="24"/>
          <w:szCs w:val="24"/>
        </w:rPr>
        <w:t>义及内容等方面的专业知识。</w:t>
      </w:r>
    </w:p>
    <w:p w14:paraId="699E607A">
      <w:pPr>
        <w:spacing w:before="256" w:line="223" w:lineRule="auto"/>
        <w:ind w:left="18"/>
        <w:outlineLvl w:val="2"/>
        <w:rPr>
          <w:rFonts w:ascii="黑体" w:hAnsi="黑体" w:eastAsia="黑体" w:cs="黑体"/>
          <w:sz w:val="30"/>
          <w:szCs w:val="30"/>
        </w:rPr>
      </w:pPr>
      <w:bookmarkStart w:id="480" w:name="bookmark428"/>
      <w:bookmarkEnd w:id="480"/>
      <w:r>
        <w:rPr>
          <w:rFonts w:ascii="Times New Roman" w:hAnsi="Times New Roman" w:eastAsia="Times New Roman" w:cs="Times New Roman"/>
          <w:spacing w:val="-2"/>
          <w:sz w:val="30"/>
          <w:szCs w:val="30"/>
        </w:rPr>
        <w:t xml:space="preserve">8.1.4 </w:t>
      </w:r>
      <w:r>
        <w:rPr>
          <w:rFonts w:ascii="黑体" w:hAnsi="黑体" w:eastAsia="黑体" w:cs="黑体"/>
          <w:spacing w:val="-2"/>
          <w:sz w:val="30"/>
          <w:szCs w:val="30"/>
        </w:rPr>
        <w:t>费用保障计划</w:t>
      </w:r>
    </w:p>
    <w:p w14:paraId="2EF9F9DA">
      <w:pPr>
        <w:spacing w:before="237" w:line="363" w:lineRule="auto"/>
        <w:ind w:left="10" w:right="141" w:firstLine="490"/>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1</w:t>
      </w:r>
      <w:r>
        <w:rPr>
          <w:rFonts w:ascii="宋体" w:hAnsi="宋体" w:eastAsia="宋体" w:cs="宋体"/>
          <w:sz w:val="24"/>
          <w:szCs w:val="24"/>
        </w:rPr>
        <w:t>）对环保设施、设备等要认真管理，建立定期</w:t>
      </w:r>
      <w:r>
        <w:rPr>
          <w:rFonts w:ascii="宋体" w:hAnsi="宋体" w:eastAsia="宋体" w:cs="宋体"/>
          <w:spacing w:val="-1"/>
          <w:sz w:val="24"/>
          <w:szCs w:val="24"/>
        </w:rPr>
        <w:t>检查、维修和维修后验收制度，</w:t>
      </w:r>
      <w:r>
        <w:rPr>
          <w:rFonts w:ascii="宋体" w:hAnsi="宋体" w:eastAsia="宋体" w:cs="宋体"/>
          <w:sz w:val="24"/>
          <w:szCs w:val="24"/>
        </w:rPr>
        <w:t xml:space="preserve"> 保证设备、设施完好，运转率达到考核指标要求，并</w:t>
      </w:r>
      <w:r>
        <w:rPr>
          <w:rFonts w:ascii="宋体" w:hAnsi="宋体" w:eastAsia="宋体" w:cs="宋体"/>
          <w:spacing w:val="-1"/>
          <w:sz w:val="24"/>
          <w:szCs w:val="24"/>
        </w:rPr>
        <w:t>确保备用品的正常储备量。</w:t>
      </w:r>
    </w:p>
    <w:p w14:paraId="21A2ECEB">
      <w:pPr>
        <w:spacing w:line="363" w:lineRule="auto"/>
        <w:rPr>
          <w:rFonts w:ascii="宋体" w:hAnsi="宋体" w:eastAsia="宋体" w:cs="宋体"/>
          <w:sz w:val="24"/>
          <w:szCs w:val="24"/>
        </w:rPr>
        <w:sectPr>
          <w:footerReference r:id="rId492" w:type="default"/>
          <w:pgSz w:w="11906" w:h="16839"/>
          <w:pgMar w:top="1190" w:right="1337" w:bottom="1221" w:left="1418" w:header="882" w:footer="1059" w:gutter="0"/>
          <w:cols w:space="720" w:num="1"/>
        </w:sectPr>
      </w:pPr>
    </w:p>
    <w:p w14:paraId="1640409C">
      <w:pPr>
        <w:spacing w:line="28" w:lineRule="exact"/>
      </w:pPr>
      <w:r>
        <w:pict>
          <v:shape id="_x0000_s3089" o:spid="_x0000_s3089" style="height:1.45pt;width:453.55pt;" fillcolor="#000000" filled="t" stroked="f" coordsize="9070,29" path="m0,0l9070,0,9070,28,0,28,0,0xe">
            <v:path/>
            <v:fill on="t" focussize="0,0"/>
            <v:stroke on="f"/>
            <v:imagedata o:title=""/>
            <o:lock v:ext="edit"/>
            <w10:wrap type="none"/>
            <w10:anchorlock/>
          </v:shape>
        </w:pict>
      </w:r>
    </w:p>
    <w:p w14:paraId="4629AB2C">
      <w:pPr>
        <w:pStyle w:val="2"/>
        <w:spacing w:line="242" w:lineRule="auto"/>
      </w:pPr>
    </w:p>
    <w:p w14:paraId="6B03E9DB">
      <w:pPr>
        <w:spacing w:before="78" w:line="363" w:lineRule="auto"/>
        <w:ind w:left="32" w:right="61" w:firstLine="468"/>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w:t>
      </w:r>
      <w:r>
        <w:rPr>
          <w:rFonts w:ascii="Times New Roman" w:hAnsi="Times New Roman" w:eastAsia="Times New Roman" w:cs="Times New Roman"/>
          <w:spacing w:val="2"/>
          <w:sz w:val="24"/>
          <w:szCs w:val="24"/>
        </w:rPr>
        <w:t>“</w:t>
      </w:r>
      <w:r>
        <w:rPr>
          <w:rFonts w:ascii="宋体" w:hAnsi="宋体" w:eastAsia="宋体" w:cs="宋体"/>
          <w:spacing w:val="2"/>
          <w:sz w:val="24"/>
          <w:szCs w:val="24"/>
        </w:rPr>
        <w:t>三废</w:t>
      </w:r>
      <w:r>
        <w:rPr>
          <w:rFonts w:ascii="Times New Roman" w:hAnsi="Times New Roman" w:eastAsia="Times New Roman" w:cs="Times New Roman"/>
          <w:spacing w:val="2"/>
          <w:sz w:val="24"/>
          <w:szCs w:val="24"/>
        </w:rPr>
        <w:t>”</w:t>
      </w:r>
      <w:r>
        <w:rPr>
          <w:rFonts w:ascii="宋体" w:hAnsi="宋体" w:eastAsia="宋体" w:cs="宋体"/>
          <w:spacing w:val="2"/>
          <w:sz w:val="24"/>
          <w:szCs w:val="24"/>
        </w:rPr>
        <w:t>治理和综合利用工作所需资金、设备材料等，予以保证，在施工过程</w:t>
      </w:r>
      <w:r>
        <w:rPr>
          <w:rFonts w:ascii="宋体" w:hAnsi="宋体" w:eastAsia="宋体" w:cs="宋体"/>
          <w:sz w:val="24"/>
          <w:szCs w:val="24"/>
        </w:rPr>
        <w:t xml:space="preserve"> </w:t>
      </w:r>
      <w:r>
        <w:rPr>
          <w:rFonts w:ascii="宋体" w:hAnsi="宋体" w:eastAsia="宋体" w:cs="宋体"/>
          <w:spacing w:val="-2"/>
          <w:sz w:val="24"/>
          <w:szCs w:val="24"/>
        </w:rPr>
        <w:t>中不得以任何理由为借口排挤</w:t>
      </w:r>
      <w:r>
        <w:rPr>
          <w:rFonts w:ascii="Times New Roman" w:hAnsi="Times New Roman" w:eastAsia="Times New Roman" w:cs="Times New Roman"/>
          <w:spacing w:val="-2"/>
          <w:sz w:val="24"/>
          <w:szCs w:val="24"/>
        </w:rPr>
        <w:t>“</w:t>
      </w:r>
      <w:r>
        <w:rPr>
          <w:rFonts w:ascii="宋体" w:hAnsi="宋体" w:eastAsia="宋体" w:cs="宋体"/>
          <w:spacing w:val="-2"/>
          <w:sz w:val="24"/>
          <w:szCs w:val="24"/>
        </w:rPr>
        <w:t>三废</w:t>
      </w:r>
      <w:r>
        <w:rPr>
          <w:rFonts w:ascii="Times New Roman" w:hAnsi="Times New Roman" w:eastAsia="Times New Roman" w:cs="Times New Roman"/>
          <w:spacing w:val="-2"/>
          <w:sz w:val="24"/>
          <w:szCs w:val="24"/>
        </w:rPr>
        <w:t>”</w:t>
      </w:r>
      <w:r>
        <w:rPr>
          <w:rFonts w:ascii="宋体" w:hAnsi="宋体" w:eastAsia="宋体" w:cs="宋体"/>
          <w:spacing w:val="-2"/>
          <w:sz w:val="24"/>
          <w:szCs w:val="24"/>
        </w:rPr>
        <w:t>治理和综合利用工程的资金、设备材料和人力等。</w:t>
      </w:r>
    </w:p>
    <w:p w14:paraId="6590407F">
      <w:pPr>
        <w:spacing w:before="83" w:line="222" w:lineRule="auto"/>
        <w:ind w:left="18"/>
        <w:outlineLvl w:val="2"/>
        <w:rPr>
          <w:rFonts w:ascii="黑体" w:hAnsi="黑体" w:eastAsia="黑体" w:cs="黑体"/>
          <w:sz w:val="30"/>
          <w:szCs w:val="30"/>
        </w:rPr>
      </w:pPr>
      <w:bookmarkStart w:id="481" w:name="bookmark430"/>
      <w:bookmarkEnd w:id="481"/>
      <w:r>
        <w:rPr>
          <w:rFonts w:ascii="Times New Roman" w:hAnsi="Times New Roman" w:eastAsia="Times New Roman" w:cs="Times New Roman"/>
          <w:spacing w:val="-2"/>
          <w:sz w:val="30"/>
          <w:szCs w:val="30"/>
        </w:rPr>
        <w:t xml:space="preserve">8.1.5 </w:t>
      </w:r>
      <w:r>
        <w:rPr>
          <w:rFonts w:ascii="黑体" w:hAnsi="黑体" w:eastAsia="黑体" w:cs="黑体"/>
          <w:spacing w:val="-2"/>
          <w:sz w:val="30"/>
          <w:szCs w:val="30"/>
        </w:rPr>
        <w:t>施工期环境管理要求</w:t>
      </w:r>
    </w:p>
    <w:p w14:paraId="528E64C0">
      <w:pPr>
        <w:spacing w:before="241" w:line="298" w:lineRule="auto"/>
        <w:ind w:left="8" w:right="64"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）环境空气管理：对施工单位提出要求，明确责任，督促施工单位采取有效措</w:t>
      </w:r>
      <w:r>
        <w:rPr>
          <w:rFonts w:ascii="宋体" w:hAnsi="宋体" w:eastAsia="宋体" w:cs="宋体"/>
          <w:spacing w:val="9"/>
          <w:sz w:val="24"/>
          <w:szCs w:val="24"/>
        </w:rPr>
        <w:t xml:space="preserve"> </w:t>
      </w:r>
      <w:r>
        <w:rPr>
          <w:rFonts w:ascii="宋体" w:hAnsi="宋体" w:eastAsia="宋体" w:cs="宋体"/>
          <w:spacing w:val="-1"/>
          <w:sz w:val="24"/>
          <w:szCs w:val="24"/>
        </w:rPr>
        <w:t>施减少施工过程中的扬尘、建筑粉尘对环境空气的污染。</w:t>
      </w:r>
    </w:p>
    <w:p w14:paraId="5DA6D05E">
      <w:pPr>
        <w:spacing w:before="204" w:line="297" w:lineRule="auto"/>
        <w:ind w:left="14" w:right="64" w:firstLine="486"/>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）噪声管理：对施工一线工作人员要实行劳动保护措施，如佩戴防声头盔或隔</w:t>
      </w:r>
      <w:r>
        <w:rPr>
          <w:rFonts w:ascii="宋体" w:hAnsi="宋体" w:eastAsia="宋体" w:cs="宋体"/>
          <w:spacing w:val="9"/>
          <w:sz w:val="24"/>
          <w:szCs w:val="24"/>
        </w:rPr>
        <w:t xml:space="preserve"> </w:t>
      </w:r>
      <w:r>
        <w:rPr>
          <w:rFonts w:ascii="宋体" w:hAnsi="宋体" w:eastAsia="宋体" w:cs="宋体"/>
          <w:spacing w:val="-1"/>
          <w:sz w:val="24"/>
          <w:szCs w:val="24"/>
        </w:rPr>
        <w:t>声耳塞。要求施工单位尽量避免夜间施工，杜绝高噪声机械夜间施工。</w:t>
      </w:r>
    </w:p>
    <w:p w14:paraId="7672955A">
      <w:pPr>
        <w:spacing w:before="205" w:line="298" w:lineRule="auto"/>
        <w:ind w:left="18" w:right="64" w:firstLine="483"/>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）固废管理：对建筑垃圾要集中存放和处理；对施工期产生的生活垃圾要集中</w:t>
      </w:r>
      <w:r>
        <w:rPr>
          <w:rFonts w:ascii="宋体" w:hAnsi="宋体" w:eastAsia="宋体" w:cs="宋体"/>
          <w:spacing w:val="9"/>
          <w:sz w:val="24"/>
          <w:szCs w:val="24"/>
        </w:rPr>
        <w:t xml:space="preserve"> </w:t>
      </w:r>
      <w:r>
        <w:rPr>
          <w:rFonts w:ascii="宋体" w:hAnsi="宋体" w:eastAsia="宋体" w:cs="宋体"/>
          <w:spacing w:val="-3"/>
          <w:sz w:val="24"/>
          <w:szCs w:val="24"/>
        </w:rPr>
        <w:t>收集并定期处理。</w:t>
      </w:r>
    </w:p>
    <w:p w14:paraId="1948DE4B">
      <w:pPr>
        <w:spacing w:before="206" w:line="297" w:lineRule="auto"/>
        <w:ind w:left="21" w:right="64" w:firstLine="48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）施工区管理：要求施工单位做好生态保持工作，完工后建设单位应尽可能及</w:t>
      </w:r>
      <w:r>
        <w:rPr>
          <w:rFonts w:ascii="宋体" w:hAnsi="宋体" w:eastAsia="宋体" w:cs="宋体"/>
          <w:spacing w:val="9"/>
          <w:sz w:val="24"/>
          <w:szCs w:val="24"/>
        </w:rPr>
        <w:t xml:space="preserve"> </w:t>
      </w:r>
      <w:r>
        <w:rPr>
          <w:rFonts w:ascii="宋体" w:hAnsi="宋体" w:eastAsia="宋体" w:cs="宋体"/>
          <w:spacing w:val="-1"/>
          <w:sz w:val="24"/>
          <w:szCs w:val="24"/>
        </w:rPr>
        <w:t>时地通过人工绿化对施工期造成的生态破坏进行补偿。</w:t>
      </w:r>
    </w:p>
    <w:p w14:paraId="40962429">
      <w:pPr>
        <w:spacing w:before="254" w:line="222" w:lineRule="auto"/>
        <w:ind w:left="18"/>
        <w:outlineLvl w:val="2"/>
        <w:rPr>
          <w:rFonts w:ascii="黑体" w:hAnsi="黑体" w:eastAsia="黑体" w:cs="黑体"/>
          <w:sz w:val="30"/>
          <w:szCs w:val="30"/>
        </w:rPr>
      </w:pPr>
      <w:bookmarkStart w:id="482" w:name="bookmark432"/>
      <w:bookmarkEnd w:id="482"/>
      <w:r>
        <w:rPr>
          <w:rFonts w:ascii="Times New Roman" w:hAnsi="Times New Roman" w:eastAsia="Times New Roman" w:cs="Times New Roman"/>
          <w:spacing w:val="-2"/>
          <w:sz w:val="30"/>
          <w:szCs w:val="30"/>
        </w:rPr>
        <w:t xml:space="preserve">8.1.6 </w:t>
      </w:r>
      <w:r>
        <w:rPr>
          <w:rFonts w:ascii="黑体" w:hAnsi="黑体" w:eastAsia="黑体" w:cs="黑体"/>
          <w:spacing w:val="-2"/>
          <w:sz w:val="30"/>
          <w:szCs w:val="30"/>
        </w:rPr>
        <w:t>运营期环境管理要求</w:t>
      </w:r>
    </w:p>
    <w:p w14:paraId="50B81E28">
      <w:pPr>
        <w:spacing w:before="241" w:line="297" w:lineRule="auto"/>
        <w:ind w:left="16" w:right="131" w:firstLine="485"/>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）建立严格的环保指标考核制度，每月由环保管理机构对各部门进行考核，做</w:t>
      </w:r>
      <w:r>
        <w:rPr>
          <w:rFonts w:ascii="宋体" w:hAnsi="宋体" w:eastAsia="宋体" w:cs="宋体"/>
          <w:spacing w:val="14"/>
          <w:sz w:val="24"/>
          <w:szCs w:val="24"/>
        </w:rPr>
        <w:t xml:space="preserve"> </w:t>
      </w:r>
      <w:r>
        <w:rPr>
          <w:rFonts w:ascii="宋体" w:hAnsi="宋体" w:eastAsia="宋体" w:cs="宋体"/>
          <w:spacing w:val="-3"/>
          <w:sz w:val="24"/>
          <w:szCs w:val="24"/>
        </w:rPr>
        <w:t>到奖罚分明。</w:t>
      </w:r>
    </w:p>
    <w:p w14:paraId="0F6C0895">
      <w:pPr>
        <w:spacing w:before="205" w:line="298" w:lineRule="auto"/>
        <w:ind w:left="9" w:right="131"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）建立环保治理措施运行管理制度，环保治理设施不得无故减负荷运行或停止</w:t>
      </w:r>
      <w:r>
        <w:rPr>
          <w:rFonts w:ascii="宋体" w:hAnsi="宋体" w:eastAsia="宋体" w:cs="宋体"/>
          <w:spacing w:val="14"/>
          <w:sz w:val="24"/>
          <w:szCs w:val="24"/>
        </w:rPr>
        <w:t xml:space="preserve"> </w:t>
      </w:r>
      <w:r>
        <w:rPr>
          <w:rFonts w:ascii="宋体" w:hAnsi="宋体" w:eastAsia="宋体" w:cs="宋体"/>
          <w:spacing w:val="-1"/>
          <w:sz w:val="24"/>
          <w:szCs w:val="24"/>
        </w:rPr>
        <w:t>运行，环保治理设施应满负荷正常运行，确保污染物达标排放。</w:t>
      </w:r>
    </w:p>
    <w:p w14:paraId="0454F8D9">
      <w:pPr>
        <w:spacing w:before="204" w:line="297" w:lineRule="auto"/>
        <w:ind w:left="9" w:right="131" w:firstLine="49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）实行污染物监测及数据反馈制度，按环境监测实施计划的要求，对全厂污染</w:t>
      </w:r>
      <w:r>
        <w:rPr>
          <w:rFonts w:ascii="宋体" w:hAnsi="宋体" w:eastAsia="宋体" w:cs="宋体"/>
          <w:spacing w:val="14"/>
          <w:sz w:val="24"/>
          <w:szCs w:val="24"/>
        </w:rPr>
        <w:t xml:space="preserve"> </w:t>
      </w:r>
      <w:r>
        <w:rPr>
          <w:rFonts w:ascii="宋体" w:hAnsi="宋体" w:eastAsia="宋体" w:cs="宋体"/>
          <w:spacing w:val="-1"/>
          <w:sz w:val="24"/>
          <w:szCs w:val="24"/>
        </w:rPr>
        <w:t>物进行监测，并建立数据库，作为评比考核的依据。</w:t>
      </w:r>
    </w:p>
    <w:p w14:paraId="226A4BDD">
      <w:pPr>
        <w:spacing w:before="205" w:line="219" w:lineRule="auto"/>
        <w:ind w:left="50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）参加污染事故、污染纠纷的调查、处理及上报工作。</w:t>
      </w:r>
    </w:p>
    <w:p w14:paraId="48447432">
      <w:pPr>
        <w:spacing w:before="205" w:line="219" w:lineRule="auto"/>
        <w:ind w:left="50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）定期组织环保管理人员进行业务学习、技术培训，提高管理水平。</w:t>
      </w:r>
    </w:p>
    <w:p w14:paraId="1BD67C54">
      <w:pPr>
        <w:spacing w:before="206" w:line="296" w:lineRule="auto"/>
        <w:ind w:left="13" w:firstLine="490"/>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6</w:t>
      </w:r>
      <w:r>
        <w:rPr>
          <w:rFonts w:ascii="宋体" w:hAnsi="宋体" w:eastAsia="宋体" w:cs="宋体"/>
          <w:spacing w:val="-4"/>
          <w:sz w:val="24"/>
          <w:szCs w:val="24"/>
        </w:rPr>
        <w:t>）实施信息公开，接受社会监督。各级环保部门应建立企业环境信息披露制度，</w:t>
      </w:r>
      <w:r>
        <w:rPr>
          <w:rFonts w:ascii="宋体" w:hAnsi="宋体" w:eastAsia="宋体" w:cs="宋体"/>
          <w:spacing w:val="14"/>
          <w:sz w:val="24"/>
          <w:szCs w:val="24"/>
        </w:rPr>
        <w:t xml:space="preserve"> </w:t>
      </w:r>
      <w:r>
        <w:rPr>
          <w:rFonts w:ascii="宋体" w:hAnsi="宋体" w:eastAsia="宋体" w:cs="宋体"/>
          <w:sz w:val="24"/>
          <w:szCs w:val="24"/>
        </w:rPr>
        <w:t>企业应每年向社会发布企业年度环境报告，</w:t>
      </w:r>
      <w:r>
        <w:rPr>
          <w:rFonts w:ascii="宋体" w:hAnsi="宋体" w:eastAsia="宋体" w:cs="宋体"/>
          <w:spacing w:val="-1"/>
          <w:sz w:val="24"/>
          <w:szCs w:val="24"/>
        </w:rPr>
        <w:t>公布污染物排放和环境管理情况。</w:t>
      </w:r>
    </w:p>
    <w:p w14:paraId="00635717">
      <w:pPr>
        <w:spacing w:before="249" w:line="227" w:lineRule="auto"/>
        <w:ind w:left="19"/>
        <w:outlineLvl w:val="1"/>
        <w:rPr>
          <w:rFonts w:ascii="黑体" w:hAnsi="黑体" w:eastAsia="黑体" w:cs="黑体"/>
          <w:sz w:val="31"/>
          <w:szCs w:val="31"/>
        </w:rPr>
      </w:pPr>
      <w:bookmarkStart w:id="483" w:name="bookmark434"/>
      <w:bookmarkEnd w:id="483"/>
      <w:r>
        <w:rPr>
          <w:rFonts w:ascii="Times New Roman" w:hAnsi="Times New Roman" w:eastAsia="Times New Roman" w:cs="Times New Roman"/>
          <w:spacing w:val="5"/>
          <w:sz w:val="31"/>
          <w:szCs w:val="31"/>
        </w:rPr>
        <w:t xml:space="preserve">8.2 </w:t>
      </w:r>
      <w:r>
        <w:rPr>
          <w:rFonts w:ascii="黑体" w:hAnsi="黑体" w:eastAsia="黑体" w:cs="黑体"/>
          <w:spacing w:val="5"/>
          <w:sz w:val="31"/>
          <w:szCs w:val="31"/>
        </w:rPr>
        <w:t>环境监测计划</w:t>
      </w:r>
    </w:p>
    <w:p w14:paraId="7EEE6CAC">
      <w:pPr>
        <w:spacing w:before="229" w:line="328" w:lineRule="auto"/>
        <w:ind w:left="9" w:right="61" w:firstLine="480"/>
        <w:rPr>
          <w:rFonts w:ascii="宋体" w:hAnsi="宋体" w:eastAsia="宋体" w:cs="宋体"/>
          <w:sz w:val="24"/>
          <w:szCs w:val="24"/>
        </w:rPr>
      </w:pPr>
      <w:r>
        <w:rPr>
          <w:rFonts w:ascii="宋体" w:hAnsi="宋体" w:eastAsia="宋体" w:cs="宋体"/>
          <w:sz w:val="24"/>
          <w:szCs w:val="24"/>
        </w:rPr>
        <w:t>本次评价按照《排污单位自行监测技术指南 总则》（</w:t>
      </w:r>
      <w:r>
        <w:rPr>
          <w:rFonts w:ascii="Times New Roman" w:hAnsi="Times New Roman" w:eastAsia="Times New Roman" w:cs="Times New Roman"/>
          <w:sz w:val="24"/>
          <w:szCs w:val="24"/>
        </w:rPr>
        <w:t>HJ 819-2017</w:t>
      </w:r>
      <w:r>
        <w:rPr>
          <w:rFonts w:ascii="宋体" w:hAnsi="宋体" w:eastAsia="宋体" w:cs="宋体"/>
          <w:sz w:val="24"/>
          <w:szCs w:val="24"/>
        </w:rPr>
        <w:t>）、《排污许可</w:t>
      </w:r>
      <w:r>
        <w:rPr>
          <w:rFonts w:ascii="宋体" w:hAnsi="宋体" w:eastAsia="宋体" w:cs="宋体"/>
          <w:spacing w:val="9"/>
          <w:sz w:val="24"/>
          <w:szCs w:val="24"/>
        </w:rPr>
        <w:t xml:space="preserve"> </w:t>
      </w:r>
      <w:r>
        <w:rPr>
          <w:rFonts w:ascii="宋体" w:hAnsi="宋体" w:eastAsia="宋体" w:cs="宋体"/>
          <w:spacing w:val="-1"/>
          <w:sz w:val="24"/>
          <w:szCs w:val="24"/>
        </w:rPr>
        <w:t>证申请与核发技术规范 铁合金、电解锰工业》（</w:t>
      </w:r>
      <w:r>
        <w:rPr>
          <w:rFonts w:ascii="Times New Roman" w:hAnsi="Times New Roman" w:eastAsia="Times New Roman" w:cs="Times New Roman"/>
          <w:spacing w:val="-1"/>
          <w:sz w:val="24"/>
          <w:szCs w:val="24"/>
        </w:rPr>
        <w:t>HJ1117-2020</w:t>
      </w:r>
      <w:r>
        <w:rPr>
          <w:rFonts w:ascii="宋体" w:hAnsi="宋体" w:eastAsia="宋体" w:cs="宋体"/>
          <w:spacing w:val="-1"/>
          <w:sz w:val="24"/>
          <w:szCs w:val="24"/>
        </w:rPr>
        <w:t>）及《排污单位</w:t>
      </w:r>
      <w:r>
        <w:rPr>
          <w:rFonts w:ascii="宋体" w:hAnsi="宋体" w:eastAsia="宋体" w:cs="宋体"/>
          <w:spacing w:val="-2"/>
          <w:sz w:val="24"/>
          <w:szCs w:val="24"/>
        </w:rPr>
        <w:t>自行监测</w:t>
      </w:r>
    </w:p>
    <w:p w14:paraId="362C2EAD">
      <w:pPr>
        <w:spacing w:line="489" w:lineRule="exact"/>
        <w:ind w:left="10"/>
        <w:rPr>
          <w:rFonts w:ascii="宋体" w:hAnsi="宋体" w:eastAsia="宋体" w:cs="宋体"/>
          <w:sz w:val="24"/>
          <w:szCs w:val="24"/>
        </w:rPr>
      </w:pPr>
      <w:r>
        <w:rPr>
          <w:rFonts w:ascii="宋体" w:hAnsi="宋体" w:eastAsia="宋体" w:cs="宋体"/>
          <w:position w:val="6"/>
          <w:sz w:val="24"/>
          <w:szCs w:val="24"/>
        </w:rPr>
        <w:t>技术指南 钢铁工业及炼焦化学工业》</w:t>
      </w:r>
      <w:r>
        <w:fldChar w:fldCharType="begin"/>
      </w:r>
      <w:r>
        <w:instrText xml:space="preserve"> HYPERLINK "https://www.mee.gov.cn/ywgz/fgbz/bz/bzwb/jcffbz/201712/W020171227582910464368.pdf" </w:instrText>
      </w:r>
      <w:r>
        <w:fldChar w:fldCharType="separate"/>
      </w:r>
      <w:r>
        <w:rPr>
          <w:rFonts w:ascii="宋体" w:hAnsi="宋体" w:eastAsia="宋体" w:cs="宋体"/>
          <w:position w:val="6"/>
          <w:sz w:val="24"/>
          <w:szCs w:val="24"/>
        </w:rPr>
        <w:t>（</w:t>
      </w:r>
      <w:r>
        <w:rPr>
          <w:rFonts w:ascii="Times New Roman" w:hAnsi="Times New Roman" w:eastAsia="Times New Roman" w:cs="Times New Roman"/>
          <w:position w:val="6"/>
          <w:sz w:val="24"/>
          <w:szCs w:val="24"/>
        </w:rPr>
        <w:t>HJ 878-2017</w:t>
      </w:r>
      <w:r>
        <w:rPr>
          <w:rFonts w:ascii="宋体" w:hAnsi="宋体" w:eastAsia="宋体" w:cs="宋体"/>
          <w:spacing w:val="-1"/>
          <w:position w:val="6"/>
          <w:sz w:val="24"/>
          <w:szCs w:val="24"/>
        </w:rPr>
        <w:t>）</w:t>
      </w:r>
      <w:r>
        <w:rPr>
          <w:rFonts w:ascii="宋体" w:hAnsi="宋体" w:eastAsia="宋体" w:cs="宋体"/>
          <w:spacing w:val="-1"/>
          <w:position w:val="6"/>
          <w:sz w:val="24"/>
          <w:szCs w:val="24"/>
        </w:rPr>
        <w:fldChar w:fldCharType="end"/>
      </w:r>
      <w:r>
        <w:rPr>
          <w:rFonts w:ascii="宋体" w:hAnsi="宋体" w:eastAsia="宋体" w:cs="宋体"/>
          <w:spacing w:val="-1"/>
          <w:position w:val="6"/>
          <w:sz w:val="24"/>
          <w:szCs w:val="24"/>
        </w:rPr>
        <w:t>制定项目运营期监测计划。</w:t>
      </w:r>
    </w:p>
    <w:p w14:paraId="06DAEE05">
      <w:pPr>
        <w:spacing w:line="489" w:lineRule="exact"/>
        <w:rPr>
          <w:rFonts w:ascii="宋体" w:hAnsi="宋体" w:eastAsia="宋体" w:cs="宋体"/>
          <w:sz w:val="24"/>
          <w:szCs w:val="24"/>
        </w:rPr>
        <w:sectPr>
          <w:headerReference r:id="rId493" w:type="default"/>
          <w:footerReference r:id="rId494" w:type="default"/>
          <w:pgSz w:w="11906" w:h="16839"/>
          <w:pgMar w:top="1190" w:right="1356" w:bottom="1221" w:left="1418" w:header="882" w:footer="1059" w:gutter="0"/>
          <w:cols w:space="720" w:num="1"/>
        </w:sectPr>
      </w:pPr>
    </w:p>
    <w:p w14:paraId="3076D600">
      <w:pPr>
        <w:spacing w:line="28" w:lineRule="exact"/>
        <w:ind w:firstLine="108"/>
      </w:pPr>
      <w:r>
        <w:pict>
          <v:shape id="_x0000_s3090" o:spid="_x0000_s3090" style="height:1.45pt;width:453.55pt;" fillcolor="#000000" filled="t" stroked="f" coordsize="9070,29" path="m0,0l9070,0,9070,28,0,28,0,0xe">
            <v:path/>
            <v:fill on="t" focussize="0,0"/>
            <v:stroke on="f"/>
            <v:imagedata o:title=""/>
            <o:lock v:ext="edit"/>
            <w10:wrap type="none"/>
            <w10:anchorlock/>
          </v:shape>
        </w:pict>
      </w:r>
    </w:p>
    <w:p w14:paraId="06F44327">
      <w:pPr>
        <w:pStyle w:val="2"/>
        <w:spacing w:line="289" w:lineRule="auto"/>
      </w:pPr>
    </w:p>
    <w:p w14:paraId="3663A5CA">
      <w:pPr>
        <w:spacing w:before="91" w:line="221" w:lineRule="auto"/>
        <w:ind w:left="118"/>
        <w:outlineLvl w:val="2"/>
        <w:rPr>
          <w:rFonts w:ascii="宋体" w:hAnsi="宋体" w:eastAsia="宋体" w:cs="宋体"/>
          <w:sz w:val="28"/>
          <w:szCs w:val="28"/>
        </w:rPr>
      </w:pPr>
      <w:bookmarkStart w:id="484" w:name="bookmark436"/>
      <w:bookmarkEnd w:id="484"/>
      <w:r>
        <w:rPr>
          <w:rFonts w:ascii="Times New Roman" w:hAnsi="Times New Roman" w:eastAsia="Times New Roman" w:cs="Times New Roman"/>
          <w:b/>
          <w:bCs/>
          <w:spacing w:val="-2"/>
          <w:sz w:val="28"/>
          <w:szCs w:val="28"/>
        </w:rPr>
        <w:t xml:space="preserve">8.2.1 </w:t>
      </w:r>
      <w:r>
        <w:rPr>
          <w:rFonts w:ascii="宋体" w:hAnsi="宋体" w:eastAsia="宋体" w:cs="宋体"/>
          <w:b/>
          <w:bCs/>
          <w:spacing w:val="-2"/>
          <w:sz w:val="28"/>
          <w:szCs w:val="28"/>
        </w:rPr>
        <w:t>废气排放监测</w:t>
      </w:r>
    </w:p>
    <w:p w14:paraId="7DEFCD62">
      <w:pPr>
        <w:spacing w:before="257" w:line="220" w:lineRule="auto"/>
        <w:ind w:left="116"/>
        <w:outlineLvl w:val="3"/>
        <w:rPr>
          <w:rFonts w:ascii="宋体" w:hAnsi="宋体" w:eastAsia="宋体" w:cs="宋体"/>
          <w:sz w:val="24"/>
          <w:szCs w:val="24"/>
        </w:rPr>
      </w:pPr>
      <w:r>
        <w:fldChar w:fldCharType="begin"/>
      </w:r>
      <w:r>
        <w:instrText xml:space="preserve"> HYPERLINK "8.2.1.1" </w:instrText>
      </w:r>
      <w:r>
        <w:fldChar w:fldCharType="separate"/>
      </w:r>
      <w:r>
        <w:rPr>
          <w:rFonts w:ascii="Times New Roman" w:hAnsi="Times New Roman" w:eastAsia="Times New Roman" w:cs="Times New Roman"/>
          <w:b/>
          <w:bCs/>
          <w:spacing w:val="-2"/>
          <w:sz w:val="24"/>
          <w:szCs w:val="24"/>
        </w:rPr>
        <w:t>8.2.1.1</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有组织排放监测</w:t>
      </w:r>
    </w:p>
    <w:p w14:paraId="11928AD9">
      <w:pPr>
        <w:spacing w:before="201" w:line="220" w:lineRule="auto"/>
        <w:ind w:left="60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）主要大气污染源排放口</w:t>
      </w:r>
    </w:p>
    <w:p w14:paraId="54A63CA6">
      <w:pPr>
        <w:spacing w:before="203" w:line="219" w:lineRule="auto"/>
        <w:ind w:left="598"/>
        <w:rPr>
          <w:rFonts w:ascii="宋体" w:hAnsi="宋体" w:eastAsia="宋体" w:cs="宋体"/>
          <w:sz w:val="24"/>
          <w:szCs w:val="24"/>
        </w:rPr>
      </w:pPr>
      <w:r>
        <w:rPr>
          <w:rFonts w:ascii="宋体" w:hAnsi="宋体" w:eastAsia="宋体" w:cs="宋体"/>
          <w:spacing w:val="-2"/>
          <w:sz w:val="24"/>
          <w:szCs w:val="24"/>
        </w:rPr>
        <w:t>本项目有组织污染源及排放口详见表</w:t>
      </w:r>
      <w:r>
        <w:rPr>
          <w:rFonts w:ascii="宋体" w:hAnsi="宋体" w:eastAsia="宋体" w:cs="宋体"/>
          <w:spacing w:val="-29"/>
          <w:sz w:val="24"/>
          <w:szCs w:val="24"/>
        </w:rPr>
        <w:t xml:space="preserve"> </w:t>
      </w:r>
      <w:r>
        <w:rPr>
          <w:rFonts w:ascii="Times New Roman" w:hAnsi="Times New Roman" w:eastAsia="Times New Roman" w:cs="Times New Roman"/>
          <w:spacing w:val="-2"/>
          <w:sz w:val="24"/>
          <w:szCs w:val="24"/>
        </w:rPr>
        <w:t>8.2-1</w:t>
      </w:r>
      <w:r>
        <w:rPr>
          <w:rFonts w:ascii="宋体" w:hAnsi="宋体" w:eastAsia="宋体" w:cs="宋体"/>
          <w:spacing w:val="-2"/>
          <w:sz w:val="24"/>
          <w:szCs w:val="24"/>
        </w:rPr>
        <w:t>。</w:t>
      </w:r>
    </w:p>
    <w:p w14:paraId="2F1D5AF6">
      <w:pPr>
        <w:spacing w:before="220" w:line="227" w:lineRule="auto"/>
        <w:ind w:left="2402"/>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37"/>
          <w:sz w:val="20"/>
          <w:szCs w:val="20"/>
        </w:rPr>
        <w:t xml:space="preserve"> </w:t>
      </w:r>
      <w:r>
        <w:rPr>
          <w:rFonts w:ascii="Times New Roman" w:hAnsi="Times New Roman" w:eastAsia="Times New Roman" w:cs="Times New Roman"/>
          <w:b/>
          <w:bCs/>
          <w:spacing w:val="6"/>
          <w:sz w:val="20"/>
          <w:szCs w:val="20"/>
        </w:rPr>
        <w:t xml:space="preserve">8.2-1        </w:t>
      </w:r>
      <w:r>
        <w:rPr>
          <w:rFonts w:ascii="宋体" w:hAnsi="宋体" w:eastAsia="宋体" w:cs="宋体"/>
          <w:b/>
          <w:bCs/>
          <w:spacing w:val="6"/>
          <w:sz w:val="20"/>
          <w:szCs w:val="20"/>
        </w:rPr>
        <w:t>本项目有组</w:t>
      </w:r>
      <w:r>
        <w:rPr>
          <w:rFonts w:ascii="宋体" w:hAnsi="宋体" w:eastAsia="宋体" w:cs="宋体"/>
          <w:b/>
          <w:bCs/>
          <w:spacing w:val="5"/>
          <w:sz w:val="20"/>
          <w:szCs w:val="20"/>
        </w:rPr>
        <w:t>织污染源及排放口一览表</w:t>
      </w:r>
    </w:p>
    <w:p w14:paraId="3BB23A95">
      <w:pPr>
        <w:spacing w:line="103" w:lineRule="exact"/>
      </w:pPr>
    </w:p>
    <w:tbl>
      <w:tblPr>
        <w:tblStyle w:val="5"/>
        <w:tblW w:w="927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80"/>
        <w:gridCol w:w="2593"/>
        <w:gridCol w:w="1635"/>
        <w:gridCol w:w="640"/>
        <w:gridCol w:w="817"/>
        <w:gridCol w:w="724"/>
        <w:gridCol w:w="915"/>
        <w:gridCol w:w="1275"/>
      </w:tblGrid>
      <w:tr w14:paraId="2AD0EE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680" w:type="dxa"/>
            <w:vMerge w:val="restart"/>
            <w:tcBorders>
              <w:top w:val="single" w:color="000000" w:sz="10" w:space="0"/>
              <w:left w:val="nil"/>
              <w:bottom w:val="nil"/>
            </w:tcBorders>
            <w:vAlign w:val="top"/>
          </w:tcPr>
          <w:p w14:paraId="1FFA0B4C">
            <w:pPr>
              <w:spacing w:line="326" w:lineRule="auto"/>
              <w:rPr>
                <w:rFonts w:ascii="Arial"/>
                <w:sz w:val="21"/>
              </w:rPr>
            </w:pPr>
          </w:p>
          <w:p w14:paraId="5190E551">
            <w:pPr>
              <w:pStyle w:val="6"/>
              <w:spacing w:before="65" w:line="228" w:lineRule="auto"/>
              <w:ind w:left="139"/>
              <w:rPr>
                <w:sz w:val="20"/>
                <w:szCs w:val="20"/>
              </w:rPr>
            </w:pPr>
            <w:r>
              <w:rPr>
                <w:b/>
                <w:bCs/>
                <w:spacing w:val="3"/>
                <w:sz w:val="20"/>
                <w:szCs w:val="20"/>
              </w:rPr>
              <w:t>编号</w:t>
            </w:r>
          </w:p>
        </w:tc>
        <w:tc>
          <w:tcPr>
            <w:tcW w:w="2593" w:type="dxa"/>
            <w:vMerge w:val="restart"/>
            <w:tcBorders>
              <w:top w:val="single" w:color="000000" w:sz="10" w:space="0"/>
              <w:bottom w:val="nil"/>
            </w:tcBorders>
            <w:vAlign w:val="top"/>
          </w:tcPr>
          <w:p w14:paraId="0B8B3389">
            <w:pPr>
              <w:spacing w:line="327" w:lineRule="auto"/>
              <w:rPr>
                <w:rFonts w:ascii="Arial"/>
                <w:sz w:val="21"/>
              </w:rPr>
            </w:pPr>
          </w:p>
          <w:p w14:paraId="6B11E707">
            <w:pPr>
              <w:pStyle w:val="6"/>
              <w:spacing w:before="65" w:line="228" w:lineRule="auto"/>
              <w:ind w:left="986"/>
              <w:rPr>
                <w:sz w:val="20"/>
                <w:szCs w:val="20"/>
              </w:rPr>
            </w:pPr>
            <w:r>
              <w:rPr>
                <w:b/>
                <w:bCs/>
                <w:spacing w:val="5"/>
                <w:sz w:val="20"/>
                <w:szCs w:val="20"/>
              </w:rPr>
              <w:t>污染源</w:t>
            </w:r>
          </w:p>
        </w:tc>
        <w:tc>
          <w:tcPr>
            <w:tcW w:w="1635" w:type="dxa"/>
            <w:vMerge w:val="restart"/>
            <w:tcBorders>
              <w:top w:val="single" w:color="000000" w:sz="10" w:space="0"/>
              <w:bottom w:val="nil"/>
            </w:tcBorders>
            <w:vAlign w:val="top"/>
          </w:tcPr>
          <w:p w14:paraId="0D739C0E">
            <w:pPr>
              <w:spacing w:line="327" w:lineRule="auto"/>
              <w:rPr>
                <w:rFonts w:ascii="Arial"/>
                <w:sz w:val="21"/>
              </w:rPr>
            </w:pPr>
          </w:p>
          <w:p w14:paraId="3A06F6C1">
            <w:pPr>
              <w:pStyle w:val="6"/>
              <w:spacing w:before="65" w:line="228" w:lineRule="auto"/>
              <w:ind w:left="507"/>
              <w:outlineLvl w:val="1"/>
              <w:rPr>
                <w:sz w:val="20"/>
                <w:szCs w:val="20"/>
              </w:rPr>
            </w:pPr>
            <w:r>
              <w:rPr>
                <w:b/>
                <w:bCs/>
                <w:spacing w:val="5"/>
                <w:sz w:val="20"/>
                <w:szCs w:val="20"/>
              </w:rPr>
              <w:t>污染物</w:t>
            </w:r>
          </w:p>
        </w:tc>
        <w:tc>
          <w:tcPr>
            <w:tcW w:w="4371" w:type="dxa"/>
            <w:gridSpan w:val="5"/>
            <w:tcBorders>
              <w:top w:val="single" w:color="000000" w:sz="10" w:space="0"/>
              <w:right w:val="nil"/>
            </w:tcBorders>
            <w:vAlign w:val="top"/>
          </w:tcPr>
          <w:p w14:paraId="4D693620">
            <w:pPr>
              <w:pStyle w:val="6"/>
              <w:spacing w:before="62" w:line="228" w:lineRule="auto"/>
              <w:ind w:left="1770"/>
              <w:rPr>
                <w:sz w:val="20"/>
                <w:szCs w:val="20"/>
              </w:rPr>
            </w:pPr>
            <w:r>
              <w:rPr>
                <w:b/>
                <w:bCs/>
                <w:spacing w:val="6"/>
                <w:sz w:val="20"/>
                <w:szCs w:val="20"/>
              </w:rPr>
              <w:t>排放参数</w:t>
            </w:r>
          </w:p>
        </w:tc>
      </w:tr>
      <w:tr w14:paraId="680C54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6" w:hRule="atLeast"/>
        </w:trPr>
        <w:tc>
          <w:tcPr>
            <w:tcW w:w="680" w:type="dxa"/>
            <w:vMerge w:val="continue"/>
            <w:tcBorders>
              <w:top w:val="nil"/>
              <w:left w:val="nil"/>
            </w:tcBorders>
            <w:vAlign w:val="top"/>
          </w:tcPr>
          <w:p w14:paraId="6D330C5D">
            <w:pPr>
              <w:rPr>
                <w:rFonts w:ascii="Arial"/>
                <w:sz w:val="21"/>
              </w:rPr>
            </w:pPr>
          </w:p>
        </w:tc>
        <w:tc>
          <w:tcPr>
            <w:tcW w:w="2593" w:type="dxa"/>
            <w:vMerge w:val="continue"/>
            <w:tcBorders>
              <w:top w:val="nil"/>
            </w:tcBorders>
            <w:vAlign w:val="top"/>
          </w:tcPr>
          <w:p w14:paraId="5C9FE3AA">
            <w:pPr>
              <w:rPr>
                <w:rFonts w:ascii="Arial"/>
                <w:sz w:val="21"/>
              </w:rPr>
            </w:pPr>
          </w:p>
        </w:tc>
        <w:tc>
          <w:tcPr>
            <w:tcW w:w="1635" w:type="dxa"/>
            <w:vMerge w:val="continue"/>
            <w:tcBorders>
              <w:top w:val="nil"/>
            </w:tcBorders>
            <w:vAlign w:val="top"/>
          </w:tcPr>
          <w:p w14:paraId="36CC2751">
            <w:pPr>
              <w:rPr>
                <w:rFonts w:ascii="Arial"/>
                <w:sz w:val="21"/>
              </w:rPr>
            </w:pPr>
          </w:p>
        </w:tc>
        <w:tc>
          <w:tcPr>
            <w:tcW w:w="640" w:type="dxa"/>
            <w:vAlign w:val="top"/>
          </w:tcPr>
          <w:p w14:paraId="471B7C7E">
            <w:pPr>
              <w:pStyle w:val="6"/>
              <w:spacing w:before="58" w:line="288" w:lineRule="auto"/>
              <w:ind w:left="199" w:right="108" w:hanging="80"/>
              <w:rPr>
                <w:rFonts w:ascii="Times New Roman" w:hAnsi="Times New Roman" w:eastAsia="Times New Roman" w:cs="Times New Roman"/>
                <w:sz w:val="20"/>
                <w:szCs w:val="20"/>
              </w:rPr>
            </w:pPr>
            <w:r>
              <w:rPr>
                <w:b/>
                <w:bCs/>
                <w:spacing w:val="1"/>
                <w:sz w:val="20"/>
                <w:szCs w:val="20"/>
              </w:rPr>
              <w:t>高度</w:t>
            </w:r>
            <w:r>
              <w:rPr>
                <w:sz w:val="20"/>
                <w:szCs w:val="20"/>
              </w:rPr>
              <w:t xml:space="preserve"> </w:t>
            </w:r>
            <w:r>
              <w:rPr>
                <w:rFonts w:ascii="Times New Roman" w:hAnsi="Times New Roman" w:eastAsia="Times New Roman" w:cs="Times New Roman"/>
                <w:b/>
                <w:bCs/>
                <w:spacing w:val="4"/>
                <w:sz w:val="20"/>
                <w:szCs w:val="20"/>
              </w:rPr>
              <w:t>/m</w:t>
            </w:r>
          </w:p>
        </w:tc>
        <w:tc>
          <w:tcPr>
            <w:tcW w:w="817" w:type="dxa"/>
            <w:vAlign w:val="top"/>
          </w:tcPr>
          <w:p w14:paraId="44FAEDAE">
            <w:pPr>
              <w:pStyle w:val="6"/>
              <w:spacing w:before="58" w:line="288" w:lineRule="auto"/>
              <w:ind w:left="288" w:right="196" w:hanging="60"/>
              <w:rPr>
                <w:rFonts w:ascii="Times New Roman" w:hAnsi="Times New Roman" w:eastAsia="Times New Roman" w:cs="Times New Roman"/>
                <w:sz w:val="20"/>
                <w:szCs w:val="20"/>
              </w:rPr>
            </w:pPr>
            <w:r>
              <w:rPr>
                <w:b/>
                <w:bCs/>
                <w:spacing w:val="-9"/>
                <w:sz w:val="20"/>
                <w:szCs w:val="20"/>
              </w:rPr>
              <w:t>内径</w:t>
            </w:r>
            <w:r>
              <w:rPr>
                <w:sz w:val="20"/>
                <w:szCs w:val="20"/>
              </w:rPr>
              <w:t xml:space="preserve"> </w:t>
            </w:r>
            <w:r>
              <w:rPr>
                <w:rFonts w:ascii="Times New Roman" w:hAnsi="Times New Roman" w:eastAsia="Times New Roman" w:cs="Times New Roman"/>
                <w:b/>
                <w:bCs/>
                <w:spacing w:val="4"/>
                <w:sz w:val="20"/>
                <w:szCs w:val="20"/>
              </w:rPr>
              <w:t>/m</w:t>
            </w:r>
          </w:p>
        </w:tc>
        <w:tc>
          <w:tcPr>
            <w:tcW w:w="724" w:type="dxa"/>
            <w:vAlign w:val="top"/>
          </w:tcPr>
          <w:p w14:paraId="41F263D1">
            <w:pPr>
              <w:pStyle w:val="6"/>
              <w:spacing w:before="58" w:line="288" w:lineRule="auto"/>
              <w:ind w:left="215" w:right="149" w:hanging="57"/>
              <w:rPr>
                <w:rFonts w:ascii="Times New Roman" w:hAnsi="Times New Roman" w:eastAsia="Times New Roman" w:cs="Times New Roman"/>
                <w:sz w:val="20"/>
                <w:szCs w:val="20"/>
              </w:rPr>
            </w:pPr>
            <w:r>
              <w:rPr>
                <w:b/>
                <w:bCs/>
                <w:spacing w:val="3"/>
                <w:sz w:val="20"/>
                <w:szCs w:val="20"/>
              </w:rPr>
              <w:t>温度</w:t>
            </w:r>
            <w:r>
              <w:rPr>
                <w:sz w:val="20"/>
                <w:szCs w:val="20"/>
              </w:rPr>
              <w:t xml:space="preserve"> </w:t>
            </w:r>
            <w:r>
              <w:rPr>
                <w:rFonts w:ascii="Times New Roman" w:hAnsi="Times New Roman" w:eastAsia="Times New Roman" w:cs="Times New Roman"/>
                <w:b/>
                <w:bCs/>
                <w:spacing w:val="5"/>
                <w:sz w:val="20"/>
                <w:szCs w:val="20"/>
              </w:rPr>
              <w:t>/℃</w:t>
            </w:r>
          </w:p>
        </w:tc>
        <w:tc>
          <w:tcPr>
            <w:tcW w:w="915" w:type="dxa"/>
            <w:vAlign w:val="top"/>
          </w:tcPr>
          <w:p w14:paraId="426E1055">
            <w:pPr>
              <w:pStyle w:val="6"/>
              <w:spacing w:before="58" w:line="271" w:lineRule="auto"/>
              <w:ind w:left="118" w:right="112" w:firstLine="27"/>
              <w:rPr>
                <w:sz w:val="20"/>
                <w:szCs w:val="20"/>
              </w:rPr>
            </w:pPr>
            <w:r>
              <w:rPr>
                <w:b/>
                <w:bCs/>
                <w:spacing w:val="5"/>
                <w:sz w:val="20"/>
                <w:szCs w:val="20"/>
              </w:rPr>
              <w:t>排气筒</w:t>
            </w:r>
            <w:r>
              <w:rPr>
                <w:sz w:val="20"/>
                <w:szCs w:val="20"/>
              </w:rPr>
              <w:t xml:space="preserve"> </w:t>
            </w:r>
            <w:r>
              <w:rPr>
                <w:b/>
                <w:bCs/>
                <w:spacing w:val="4"/>
                <w:sz w:val="20"/>
                <w:szCs w:val="20"/>
              </w:rPr>
              <w:t>数量</w:t>
            </w:r>
            <w:r>
              <w:rPr>
                <w:rFonts w:ascii="Times New Roman" w:hAnsi="Times New Roman" w:eastAsia="Times New Roman" w:cs="Times New Roman"/>
                <w:b/>
                <w:bCs/>
                <w:spacing w:val="4"/>
                <w:sz w:val="20"/>
                <w:szCs w:val="20"/>
              </w:rPr>
              <w:t>/</w:t>
            </w:r>
            <w:r>
              <w:rPr>
                <w:b/>
                <w:bCs/>
                <w:spacing w:val="4"/>
                <w:sz w:val="20"/>
                <w:szCs w:val="20"/>
              </w:rPr>
              <w:t>个</w:t>
            </w:r>
          </w:p>
        </w:tc>
        <w:tc>
          <w:tcPr>
            <w:tcW w:w="1275" w:type="dxa"/>
            <w:tcBorders>
              <w:right w:val="nil"/>
            </w:tcBorders>
            <w:vAlign w:val="top"/>
          </w:tcPr>
          <w:p w14:paraId="2565041D">
            <w:pPr>
              <w:pStyle w:val="6"/>
              <w:spacing w:before="222" w:line="228" w:lineRule="auto"/>
              <w:ind w:left="222"/>
              <w:rPr>
                <w:sz w:val="20"/>
                <w:szCs w:val="20"/>
              </w:rPr>
            </w:pPr>
            <w:r>
              <w:rPr>
                <w:b/>
                <w:bCs/>
                <w:spacing w:val="6"/>
                <w:sz w:val="20"/>
                <w:szCs w:val="20"/>
              </w:rPr>
              <w:t>环境监测</w:t>
            </w:r>
          </w:p>
        </w:tc>
      </w:tr>
      <w:tr w14:paraId="5F6FAF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restart"/>
            <w:tcBorders>
              <w:left w:val="nil"/>
              <w:bottom w:val="nil"/>
            </w:tcBorders>
            <w:vAlign w:val="top"/>
          </w:tcPr>
          <w:p w14:paraId="20FDEFD9">
            <w:pPr>
              <w:spacing w:before="270" w:line="334" w:lineRule="auto"/>
              <w:ind w:left="179" w:right="61" w:hanging="64"/>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G</w:t>
            </w:r>
            <w:r>
              <w:rPr>
                <w:rFonts w:ascii="Times New Roman" w:hAnsi="Times New Roman" w:eastAsia="Times New Roman" w:cs="Times New Roman"/>
                <w:spacing w:val="2"/>
                <w:sz w:val="13"/>
                <w:szCs w:val="13"/>
              </w:rPr>
              <w:t>1-</w:t>
            </w:r>
            <w:r>
              <w:rPr>
                <w:rFonts w:ascii="Times New Roman" w:hAnsi="Times New Roman" w:eastAsia="Times New Roman" w:cs="Times New Roman"/>
                <w:spacing w:val="-18"/>
                <w:sz w:val="13"/>
                <w:szCs w:val="13"/>
              </w:rPr>
              <w:t xml:space="preserve"> </w:t>
            </w:r>
            <w:r>
              <w:rPr>
                <w:rFonts w:ascii="Times New Roman" w:hAnsi="Times New Roman" w:eastAsia="Times New Roman" w:cs="Times New Roman"/>
                <w:spacing w:val="2"/>
                <w:sz w:val="13"/>
                <w:szCs w:val="13"/>
              </w:rPr>
              <w:t>1</w:t>
            </w:r>
            <w:r>
              <w:rPr>
                <w:rFonts w:ascii="Times New Roman" w:hAnsi="Times New Roman" w:eastAsia="Times New Roman" w:cs="Times New Roman"/>
                <w:spacing w:val="-6"/>
                <w:sz w:val="13"/>
                <w:szCs w:val="13"/>
              </w:rPr>
              <w:t xml:space="preserve"> </w:t>
            </w:r>
            <w:r>
              <w:rPr>
                <w:rFonts w:ascii="微软雅黑" w:hAnsi="微软雅黑" w:eastAsia="微软雅黑" w:cs="微软雅黑"/>
                <w:spacing w:val="2"/>
                <w:position w:val="2"/>
                <w:sz w:val="13"/>
                <w:szCs w:val="13"/>
              </w:rPr>
              <w:t>、</w:t>
            </w:r>
            <w:r>
              <w:rPr>
                <w:rFonts w:ascii="微软雅黑" w:hAnsi="微软雅黑" w:eastAsia="微软雅黑" w:cs="微软雅黑"/>
                <w:position w:val="2"/>
                <w:sz w:val="13"/>
                <w:szCs w:val="13"/>
              </w:rPr>
              <w:t xml:space="preserve"> </w:t>
            </w: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1-2</w:t>
            </w:r>
          </w:p>
        </w:tc>
        <w:tc>
          <w:tcPr>
            <w:tcW w:w="2593" w:type="dxa"/>
            <w:vMerge w:val="restart"/>
            <w:tcBorders>
              <w:bottom w:val="nil"/>
            </w:tcBorders>
            <w:vAlign w:val="top"/>
          </w:tcPr>
          <w:p w14:paraId="3FB3BE24">
            <w:pPr>
              <w:spacing w:line="328" w:lineRule="auto"/>
              <w:rPr>
                <w:rFonts w:ascii="Arial"/>
                <w:sz w:val="21"/>
              </w:rPr>
            </w:pPr>
          </w:p>
          <w:p w14:paraId="0D1914ED">
            <w:pPr>
              <w:pStyle w:val="6"/>
              <w:spacing w:before="65" w:line="227" w:lineRule="auto"/>
              <w:ind w:left="146"/>
              <w:rPr>
                <w:sz w:val="20"/>
                <w:szCs w:val="20"/>
              </w:rPr>
            </w:pPr>
            <w:r>
              <w:rPr>
                <w:spacing w:val="9"/>
                <w:sz w:val="20"/>
                <w:szCs w:val="20"/>
              </w:rPr>
              <w:t>焦炭烘干、筛分出料废气</w:t>
            </w:r>
          </w:p>
        </w:tc>
        <w:tc>
          <w:tcPr>
            <w:tcW w:w="1635" w:type="dxa"/>
            <w:vAlign w:val="top"/>
          </w:tcPr>
          <w:p w14:paraId="6323D3DD">
            <w:pPr>
              <w:pStyle w:val="6"/>
              <w:spacing w:before="60" w:line="228" w:lineRule="auto"/>
              <w:ind w:left="507"/>
              <w:rPr>
                <w:sz w:val="20"/>
                <w:szCs w:val="20"/>
              </w:rPr>
            </w:pPr>
            <w:r>
              <w:rPr>
                <w:spacing w:val="7"/>
                <w:sz w:val="20"/>
                <w:szCs w:val="20"/>
              </w:rPr>
              <w:t>颗粒物</w:t>
            </w:r>
          </w:p>
        </w:tc>
        <w:tc>
          <w:tcPr>
            <w:tcW w:w="640" w:type="dxa"/>
            <w:vMerge w:val="restart"/>
            <w:tcBorders>
              <w:bottom w:val="nil"/>
            </w:tcBorders>
            <w:vAlign w:val="top"/>
          </w:tcPr>
          <w:p w14:paraId="63D5B854">
            <w:pPr>
              <w:spacing w:line="374" w:lineRule="auto"/>
              <w:rPr>
                <w:rFonts w:ascii="Arial"/>
                <w:sz w:val="21"/>
              </w:rPr>
            </w:pPr>
          </w:p>
          <w:p w14:paraId="2CB1AF51">
            <w:pPr>
              <w:spacing w:before="58" w:line="195" w:lineRule="auto"/>
              <w:ind w:left="220"/>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817" w:type="dxa"/>
            <w:vMerge w:val="restart"/>
            <w:tcBorders>
              <w:bottom w:val="nil"/>
            </w:tcBorders>
            <w:vAlign w:val="top"/>
          </w:tcPr>
          <w:p w14:paraId="22EE9598">
            <w:pPr>
              <w:spacing w:line="374" w:lineRule="auto"/>
              <w:rPr>
                <w:rFonts w:ascii="Arial"/>
                <w:sz w:val="21"/>
              </w:rPr>
            </w:pPr>
          </w:p>
          <w:p w14:paraId="4B3041C0">
            <w:pPr>
              <w:spacing w:before="58" w:line="195" w:lineRule="auto"/>
              <w:ind w:left="28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0.6</w:t>
            </w:r>
          </w:p>
        </w:tc>
        <w:tc>
          <w:tcPr>
            <w:tcW w:w="724" w:type="dxa"/>
            <w:vMerge w:val="restart"/>
            <w:tcBorders>
              <w:bottom w:val="nil"/>
            </w:tcBorders>
            <w:vAlign w:val="top"/>
          </w:tcPr>
          <w:p w14:paraId="26C91D21">
            <w:pPr>
              <w:spacing w:line="374" w:lineRule="auto"/>
              <w:rPr>
                <w:rFonts w:ascii="Arial"/>
                <w:sz w:val="21"/>
              </w:rPr>
            </w:pPr>
          </w:p>
          <w:p w14:paraId="1FF7500E">
            <w:pPr>
              <w:spacing w:before="58" w:line="195" w:lineRule="auto"/>
              <w:ind w:left="22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120</w:t>
            </w:r>
          </w:p>
        </w:tc>
        <w:tc>
          <w:tcPr>
            <w:tcW w:w="915" w:type="dxa"/>
            <w:vMerge w:val="restart"/>
            <w:tcBorders>
              <w:bottom w:val="nil"/>
            </w:tcBorders>
            <w:vAlign w:val="top"/>
          </w:tcPr>
          <w:p w14:paraId="79BEA6E9">
            <w:pPr>
              <w:spacing w:line="374" w:lineRule="auto"/>
              <w:rPr>
                <w:rFonts w:ascii="Arial"/>
                <w:sz w:val="21"/>
              </w:rPr>
            </w:pPr>
          </w:p>
          <w:p w14:paraId="624ECF12">
            <w:pPr>
              <w:spacing w:before="58" w:line="195" w:lineRule="auto"/>
              <w:ind w:left="42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275" w:type="dxa"/>
            <w:vMerge w:val="restart"/>
            <w:tcBorders>
              <w:bottom w:val="nil"/>
              <w:right w:val="nil"/>
            </w:tcBorders>
            <w:vAlign w:val="top"/>
          </w:tcPr>
          <w:p w14:paraId="2719BEA5">
            <w:pPr>
              <w:spacing w:line="247" w:lineRule="auto"/>
              <w:rPr>
                <w:rFonts w:ascii="Arial"/>
                <w:sz w:val="21"/>
              </w:rPr>
            </w:pPr>
          </w:p>
          <w:p w14:paraId="765E4EA3">
            <w:pPr>
              <w:spacing w:line="248" w:lineRule="auto"/>
              <w:rPr>
                <w:rFonts w:ascii="Arial"/>
                <w:sz w:val="21"/>
              </w:rPr>
            </w:pPr>
          </w:p>
          <w:p w14:paraId="10A6D0B0">
            <w:pPr>
              <w:spacing w:line="248" w:lineRule="auto"/>
              <w:rPr>
                <w:rFonts w:ascii="Arial"/>
                <w:sz w:val="21"/>
              </w:rPr>
            </w:pPr>
          </w:p>
          <w:p w14:paraId="09F4300E">
            <w:pPr>
              <w:spacing w:line="248" w:lineRule="auto"/>
              <w:rPr>
                <w:rFonts w:ascii="Arial"/>
                <w:sz w:val="21"/>
              </w:rPr>
            </w:pPr>
          </w:p>
          <w:p w14:paraId="1A627D64">
            <w:pPr>
              <w:pStyle w:val="6"/>
              <w:spacing w:before="65" w:line="228" w:lineRule="auto"/>
              <w:ind w:left="116"/>
              <w:rPr>
                <w:sz w:val="20"/>
                <w:szCs w:val="20"/>
              </w:rPr>
            </w:pPr>
            <w:r>
              <w:rPr>
                <w:sz w:val="20"/>
                <w:szCs w:val="20"/>
              </w:rPr>
              <w:t>每季度</w:t>
            </w:r>
            <w:r>
              <w:rPr>
                <w:spacing w:val="-21"/>
                <w:sz w:val="20"/>
                <w:szCs w:val="20"/>
              </w:rPr>
              <w:t xml:space="preserve"> </w:t>
            </w:r>
            <w:r>
              <w:rPr>
                <w:rFonts w:ascii="Times New Roman" w:hAnsi="Times New Roman" w:eastAsia="Times New Roman" w:cs="Times New Roman"/>
                <w:sz w:val="20"/>
                <w:szCs w:val="20"/>
              </w:rPr>
              <w:t>1</w:t>
            </w:r>
            <w:r>
              <w:rPr>
                <w:rFonts w:ascii="Times New Roman" w:hAnsi="Times New Roman" w:eastAsia="Times New Roman" w:cs="Times New Roman"/>
                <w:spacing w:val="15"/>
                <w:w w:val="101"/>
                <w:sz w:val="20"/>
                <w:szCs w:val="20"/>
              </w:rPr>
              <w:t xml:space="preserve"> </w:t>
            </w:r>
            <w:r>
              <w:rPr>
                <w:sz w:val="20"/>
                <w:szCs w:val="20"/>
              </w:rPr>
              <w:t>次</w:t>
            </w:r>
          </w:p>
        </w:tc>
      </w:tr>
      <w:tr w14:paraId="7ABFA6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continue"/>
            <w:tcBorders>
              <w:top w:val="nil"/>
              <w:left w:val="nil"/>
              <w:bottom w:val="nil"/>
            </w:tcBorders>
            <w:vAlign w:val="top"/>
          </w:tcPr>
          <w:p w14:paraId="324CD0C4">
            <w:pPr>
              <w:rPr>
                <w:rFonts w:ascii="Arial"/>
                <w:sz w:val="21"/>
              </w:rPr>
            </w:pPr>
          </w:p>
        </w:tc>
        <w:tc>
          <w:tcPr>
            <w:tcW w:w="2593" w:type="dxa"/>
            <w:vMerge w:val="continue"/>
            <w:tcBorders>
              <w:top w:val="nil"/>
              <w:bottom w:val="nil"/>
            </w:tcBorders>
            <w:vAlign w:val="top"/>
          </w:tcPr>
          <w:p w14:paraId="2920FB5C">
            <w:pPr>
              <w:rPr>
                <w:rFonts w:ascii="Arial"/>
                <w:sz w:val="21"/>
              </w:rPr>
            </w:pPr>
          </w:p>
        </w:tc>
        <w:tc>
          <w:tcPr>
            <w:tcW w:w="1635" w:type="dxa"/>
            <w:vAlign w:val="top"/>
          </w:tcPr>
          <w:p w14:paraId="6B4DCDFF">
            <w:pPr>
              <w:spacing w:before="98" w:line="200" w:lineRule="auto"/>
              <w:ind w:left="659"/>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640" w:type="dxa"/>
            <w:vMerge w:val="continue"/>
            <w:tcBorders>
              <w:top w:val="nil"/>
              <w:bottom w:val="nil"/>
            </w:tcBorders>
            <w:vAlign w:val="top"/>
          </w:tcPr>
          <w:p w14:paraId="25E045FC">
            <w:pPr>
              <w:rPr>
                <w:rFonts w:ascii="Arial"/>
                <w:sz w:val="21"/>
              </w:rPr>
            </w:pPr>
          </w:p>
        </w:tc>
        <w:tc>
          <w:tcPr>
            <w:tcW w:w="817" w:type="dxa"/>
            <w:vMerge w:val="continue"/>
            <w:tcBorders>
              <w:top w:val="nil"/>
              <w:bottom w:val="nil"/>
            </w:tcBorders>
            <w:vAlign w:val="top"/>
          </w:tcPr>
          <w:p w14:paraId="009EE4BA">
            <w:pPr>
              <w:rPr>
                <w:rFonts w:ascii="Arial"/>
                <w:sz w:val="21"/>
              </w:rPr>
            </w:pPr>
          </w:p>
        </w:tc>
        <w:tc>
          <w:tcPr>
            <w:tcW w:w="724" w:type="dxa"/>
            <w:vMerge w:val="continue"/>
            <w:tcBorders>
              <w:top w:val="nil"/>
              <w:bottom w:val="nil"/>
            </w:tcBorders>
            <w:vAlign w:val="top"/>
          </w:tcPr>
          <w:p w14:paraId="7FDDA363">
            <w:pPr>
              <w:rPr>
                <w:rFonts w:ascii="Arial"/>
                <w:sz w:val="21"/>
              </w:rPr>
            </w:pPr>
          </w:p>
        </w:tc>
        <w:tc>
          <w:tcPr>
            <w:tcW w:w="915" w:type="dxa"/>
            <w:vMerge w:val="continue"/>
            <w:tcBorders>
              <w:top w:val="nil"/>
              <w:bottom w:val="nil"/>
            </w:tcBorders>
            <w:vAlign w:val="top"/>
          </w:tcPr>
          <w:p w14:paraId="457546FD">
            <w:pPr>
              <w:rPr>
                <w:rFonts w:ascii="Arial"/>
                <w:sz w:val="21"/>
              </w:rPr>
            </w:pPr>
          </w:p>
        </w:tc>
        <w:tc>
          <w:tcPr>
            <w:tcW w:w="1275" w:type="dxa"/>
            <w:vMerge w:val="continue"/>
            <w:tcBorders>
              <w:top w:val="nil"/>
              <w:bottom w:val="nil"/>
              <w:right w:val="nil"/>
            </w:tcBorders>
            <w:vAlign w:val="top"/>
          </w:tcPr>
          <w:p w14:paraId="38F573A4">
            <w:pPr>
              <w:rPr>
                <w:rFonts w:ascii="Arial"/>
                <w:sz w:val="21"/>
              </w:rPr>
            </w:pPr>
          </w:p>
        </w:tc>
      </w:tr>
      <w:tr w14:paraId="319C4F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680" w:type="dxa"/>
            <w:vMerge w:val="continue"/>
            <w:tcBorders>
              <w:top w:val="nil"/>
              <w:left w:val="nil"/>
            </w:tcBorders>
            <w:vAlign w:val="top"/>
          </w:tcPr>
          <w:p w14:paraId="0C417EF3">
            <w:pPr>
              <w:rPr>
                <w:rFonts w:ascii="Arial"/>
                <w:sz w:val="21"/>
              </w:rPr>
            </w:pPr>
          </w:p>
        </w:tc>
        <w:tc>
          <w:tcPr>
            <w:tcW w:w="2593" w:type="dxa"/>
            <w:vMerge w:val="continue"/>
            <w:tcBorders>
              <w:top w:val="nil"/>
            </w:tcBorders>
            <w:vAlign w:val="top"/>
          </w:tcPr>
          <w:p w14:paraId="78B14987">
            <w:pPr>
              <w:rPr>
                <w:rFonts w:ascii="Arial"/>
                <w:sz w:val="21"/>
              </w:rPr>
            </w:pPr>
          </w:p>
        </w:tc>
        <w:tc>
          <w:tcPr>
            <w:tcW w:w="1635" w:type="dxa"/>
            <w:vAlign w:val="top"/>
          </w:tcPr>
          <w:p w14:paraId="65392F46">
            <w:pPr>
              <w:spacing w:before="100" w:line="200" w:lineRule="auto"/>
              <w:ind w:left="610"/>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640" w:type="dxa"/>
            <w:vMerge w:val="continue"/>
            <w:tcBorders>
              <w:top w:val="nil"/>
            </w:tcBorders>
            <w:vAlign w:val="top"/>
          </w:tcPr>
          <w:p w14:paraId="04612C15">
            <w:pPr>
              <w:rPr>
                <w:rFonts w:ascii="Arial"/>
                <w:sz w:val="21"/>
              </w:rPr>
            </w:pPr>
          </w:p>
        </w:tc>
        <w:tc>
          <w:tcPr>
            <w:tcW w:w="817" w:type="dxa"/>
            <w:vMerge w:val="continue"/>
            <w:tcBorders>
              <w:top w:val="nil"/>
            </w:tcBorders>
            <w:vAlign w:val="top"/>
          </w:tcPr>
          <w:p w14:paraId="1F39950C">
            <w:pPr>
              <w:rPr>
                <w:rFonts w:ascii="Arial"/>
                <w:sz w:val="21"/>
              </w:rPr>
            </w:pPr>
          </w:p>
        </w:tc>
        <w:tc>
          <w:tcPr>
            <w:tcW w:w="724" w:type="dxa"/>
            <w:vMerge w:val="continue"/>
            <w:tcBorders>
              <w:top w:val="nil"/>
            </w:tcBorders>
            <w:vAlign w:val="top"/>
          </w:tcPr>
          <w:p w14:paraId="4C9DBDE2">
            <w:pPr>
              <w:rPr>
                <w:rFonts w:ascii="Arial"/>
                <w:sz w:val="21"/>
              </w:rPr>
            </w:pPr>
          </w:p>
        </w:tc>
        <w:tc>
          <w:tcPr>
            <w:tcW w:w="915" w:type="dxa"/>
            <w:vMerge w:val="continue"/>
            <w:tcBorders>
              <w:top w:val="nil"/>
            </w:tcBorders>
            <w:vAlign w:val="top"/>
          </w:tcPr>
          <w:p w14:paraId="31ECF806">
            <w:pPr>
              <w:rPr>
                <w:rFonts w:ascii="Arial"/>
                <w:sz w:val="21"/>
              </w:rPr>
            </w:pPr>
          </w:p>
        </w:tc>
        <w:tc>
          <w:tcPr>
            <w:tcW w:w="1275" w:type="dxa"/>
            <w:vMerge w:val="continue"/>
            <w:tcBorders>
              <w:top w:val="nil"/>
              <w:bottom w:val="nil"/>
              <w:right w:val="nil"/>
            </w:tcBorders>
            <w:vAlign w:val="top"/>
          </w:tcPr>
          <w:p w14:paraId="018221A9">
            <w:pPr>
              <w:rPr>
                <w:rFonts w:ascii="Arial"/>
                <w:sz w:val="21"/>
              </w:rPr>
            </w:pPr>
          </w:p>
        </w:tc>
      </w:tr>
      <w:tr w14:paraId="4BB21D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6" w:hRule="atLeast"/>
        </w:trPr>
        <w:tc>
          <w:tcPr>
            <w:tcW w:w="680" w:type="dxa"/>
            <w:tcBorders>
              <w:left w:val="nil"/>
            </w:tcBorders>
            <w:vAlign w:val="top"/>
          </w:tcPr>
          <w:p w14:paraId="7BE94239">
            <w:pPr>
              <w:spacing w:before="83" w:line="285" w:lineRule="auto"/>
              <w:ind w:left="179" w:right="61" w:hanging="64"/>
              <w:rPr>
                <w:rFonts w:ascii="Times New Roman" w:hAnsi="Times New Roman" w:eastAsia="Times New Roman" w:cs="Times New Roman"/>
                <w:sz w:val="13"/>
                <w:szCs w:val="13"/>
              </w:rPr>
            </w:pPr>
            <w:r>
              <w:rPr>
                <w:rFonts w:ascii="Times New Roman" w:hAnsi="Times New Roman" w:eastAsia="Times New Roman" w:cs="Times New Roman"/>
                <w:spacing w:val="5"/>
                <w:sz w:val="20"/>
                <w:szCs w:val="20"/>
              </w:rPr>
              <w:t>G</w:t>
            </w:r>
            <w:r>
              <w:rPr>
                <w:rFonts w:ascii="Times New Roman" w:hAnsi="Times New Roman" w:eastAsia="Times New Roman" w:cs="Times New Roman"/>
                <w:spacing w:val="5"/>
                <w:sz w:val="13"/>
                <w:szCs w:val="13"/>
              </w:rPr>
              <w:t>1-3</w:t>
            </w:r>
            <w:r>
              <w:rPr>
                <w:rFonts w:ascii="Times New Roman" w:hAnsi="Times New Roman" w:eastAsia="Times New Roman" w:cs="Times New Roman"/>
                <w:spacing w:val="-6"/>
                <w:sz w:val="13"/>
                <w:szCs w:val="13"/>
              </w:rPr>
              <w:t xml:space="preserve"> </w:t>
            </w:r>
            <w:r>
              <w:rPr>
                <w:rFonts w:ascii="微软雅黑" w:hAnsi="微软雅黑" w:eastAsia="微软雅黑" w:cs="微软雅黑"/>
                <w:spacing w:val="5"/>
                <w:sz w:val="13"/>
                <w:szCs w:val="13"/>
              </w:rPr>
              <w:t>、</w:t>
            </w:r>
            <w:r>
              <w:rPr>
                <w:rFonts w:ascii="微软雅黑" w:hAnsi="微软雅黑" w:eastAsia="微软雅黑" w:cs="微软雅黑"/>
                <w:sz w:val="13"/>
                <w:szCs w:val="13"/>
              </w:rPr>
              <w:t xml:space="preserve"> </w:t>
            </w: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1-4</w:t>
            </w:r>
          </w:p>
        </w:tc>
        <w:tc>
          <w:tcPr>
            <w:tcW w:w="2593" w:type="dxa"/>
            <w:vAlign w:val="top"/>
          </w:tcPr>
          <w:p w14:paraId="621D0A1B">
            <w:pPr>
              <w:pStyle w:val="6"/>
              <w:spacing w:before="225" w:line="227" w:lineRule="auto"/>
              <w:ind w:left="252"/>
              <w:rPr>
                <w:sz w:val="20"/>
                <w:szCs w:val="20"/>
              </w:rPr>
            </w:pPr>
            <w:r>
              <w:rPr>
                <w:spacing w:val="8"/>
                <w:sz w:val="20"/>
                <w:szCs w:val="20"/>
              </w:rPr>
              <w:t>锰矿石烘干、出料废气</w:t>
            </w:r>
          </w:p>
        </w:tc>
        <w:tc>
          <w:tcPr>
            <w:tcW w:w="1635" w:type="dxa"/>
            <w:vAlign w:val="top"/>
          </w:tcPr>
          <w:p w14:paraId="4800BF5F">
            <w:pPr>
              <w:pStyle w:val="6"/>
              <w:spacing w:before="225" w:line="228" w:lineRule="auto"/>
              <w:ind w:left="507"/>
              <w:rPr>
                <w:sz w:val="20"/>
                <w:szCs w:val="20"/>
              </w:rPr>
            </w:pPr>
            <w:r>
              <w:rPr>
                <w:spacing w:val="7"/>
                <w:sz w:val="20"/>
                <w:szCs w:val="20"/>
              </w:rPr>
              <w:t>颗粒物</w:t>
            </w:r>
          </w:p>
        </w:tc>
        <w:tc>
          <w:tcPr>
            <w:tcW w:w="640" w:type="dxa"/>
            <w:vAlign w:val="top"/>
          </w:tcPr>
          <w:p w14:paraId="253E695D">
            <w:pPr>
              <w:spacing w:before="261" w:line="195" w:lineRule="auto"/>
              <w:ind w:left="220"/>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817" w:type="dxa"/>
            <w:vAlign w:val="top"/>
          </w:tcPr>
          <w:p w14:paraId="33848B12">
            <w:pPr>
              <w:spacing w:before="261" w:line="195" w:lineRule="auto"/>
              <w:ind w:left="279"/>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2.2</w:t>
            </w:r>
          </w:p>
        </w:tc>
        <w:tc>
          <w:tcPr>
            <w:tcW w:w="724" w:type="dxa"/>
            <w:vAlign w:val="top"/>
          </w:tcPr>
          <w:p w14:paraId="257848E8">
            <w:pPr>
              <w:spacing w:before="261" w:line="195" w:lineRule="auto"/>
              <w:ind w:left="22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120</w:t>
            </w:r>
          </w:p>
        </w:tc>
        <w:tc>
          <w:tcPr>
            <w:tcW w:w="915" w:type="dxa"/>
            <w:vAlign w:val="top"/>
          </w:tcPr>
          <w:p w14:paraId="3BAF6DD2">
            <w:pPr>
              <w:spacing w:before="261" w:line="195" w:lineRule="auto"/>
              <w:ind w:left="42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275" w:type="dxa"/>
            <w:vMerge w:val="continue"/>
            <w:tcBorders>
              <w:top w:val="nil"/>
              <w:bottom w:val="nil"/>
              <w:right w:val="nil"/>
            </w:tcBorders>
            <w:vAlign w:val="top"/>
          </w:tcPr>
          <w:p w14:paraId="4343A937">
            <w:pPr>
              <w:rPr>
                <w:rFonts w:ascii="Arial"/>
                <w:sz w:val="21"/>
              </w:rPr>
            </w:pPr>
          </w:p>
        </w:tc>
      </w:tr>
      <w:tr w14:paraId="60DBF2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restart"/>
            <w:tcBorders>
              <w:left w:val="nil"/>
              <w:bottom w:val="nil"/>
            </w:tcBorders>
            <w:vAlign w:val="top"/>
          </w:tcPr>
          <w:p w14:paraId="00E2B7A1">
            <w:pPr>
              <w:spacing w:before="267" w:line="211" w:lineRule="auto"/>
              <w:ind w:left="180"/>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G</w:t>
            </w:r>
            <w:r>
              <w:rPr>
                <w:rFonts w:ascii="Times New Roman" w:hAnsi="Times New Roman" w:eastAsia="Times New Roman" w:cs="Times New Roman"/>
                <w:spacing w:val="2"/>
                <w:sz w:val="13"/>
                <w:szCs w:val="13"/>
              </w:rPr>
              <w:t>1-5</w:t>
            </w:r>
          </w:p>
        </w:tc>
        <w:tc>
          <w:tcPr>
            <w:tcW w:w="2593" w:type="dxa"/>
            <w:vMerge w:val="restart"/>
            <w:tcBorders>
              <w:bottom w:val="nil"/>
            </w:tcBorders>
            <w:vAlign w:val="top"/>
          </w:tcPr>
          <w:p w14:paraId="20228B33">
            <w:pPr>
              <w:pStyle w:val="6"/>
              <w:spacing w:before="231" w:line="227" w:lineRule="auto"/>
              <w:ind w:left="565"/>
              <w:rPr>
                <w:sz w:val="20"/>
                <w:szCs w:val="20"/>
              </w:rPr>
            </w:pPr>
            <w:r>
              <w:rPr>
                <w:spacing w:val="8"/>
                <w:sz w:val="20"/>
                <w:szCs w:val="20"/>
              </w:rPr>
              <w:t>烧结配料站粉尘</w:t>
            </w:r>
          </w:p>
        </w:tc>
        <w:tc>
          <w:tcPr>
            <w:tcW w:w="1635" w:type="dxa"/>
            <w:vAlign w:val="top"/>
          </w:tcPr>
          <w:p w14:paraId="1F8DB756">
            <w:pPr>
              <w:pStyle w:val="6"/>
              <w:spacing w:before="63" w:line="228" w:lineRule="auto"/>
              <w:ind w:left="507"/>
              <w:rPr>
                <w:sz w:val="20"/>
                <w:szCs w:val="20"/>
              </w:rPr>
            </w:pPr>
            <w:r>
              <w:rPr>
                <w:spacing w:val="7"/>
                <w:sz w:val="20"/>
                <w:szCs w:val="20"/>
              </w:rPr>
              <w:t>颗粒物</w:t>
            </w:r>
          </w:p>
        </w:tc>
        <w:tc>
          <w:tcPr>
            <w:tcW w:w="640" w:type="dxa"/>
            <w:vMerge w:val="restart"/>
            <w:tcBorders>
              <w:bottom w:val="nil"/>
            </w:tcBorders>
            <w:vAlign w:val="top"/>
          </w:tcPr>
          <w:p w14:paraId="1216E9CC">
            <w:pPr>
              <w:spacing w:before="267" w:line="195" w:lineRule="auto"/>
              <w:ind w:left="220"/>
              <w:rPr>
                <w:rFonts w:ascii="Times New Roman" w:hAnsi="Times New Roman" w:eastAsia="Times New Roman" w:cs="Times New Roman"/>
                <w:sz w:val="20"/>
                <w:szCs w:val="20"/>
              </w:rPr>
            </w:pPr>
            <w:r>
              <w:rPr>
                <w:rFonts w:ascii="Times New Roman" w:hAnsi="Times New Roman" w:eastAsia="Times New Roman" w:cs="Times New Roman"/>
                <w:sz w:val="20"/>
                <w:szCs w:val="20"/>
              </w:rPr>
              <w:t>33</w:t>
            </w:r>
          </w:p>
        </w:tc>
        <w:tc>
          <w:tcPr>
            <w:tcW w:w="817" w:type="dxa"/>
            <w:vMerge w:val="restart"/>
            <w:tcBorders>
              <w:bottom w:val="nil"/>
            </w:tcBorders>
            <w:vAlign w:val="top"/>
          </w:tcPr>
          <w:p w14:paraId="4A73BC03">
            <w:pPr>
              <w:spacing w:before="267" w:line="195" w:lineRule="auto"/>
              <w:ind w:left="28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0.8</w:t>
            </w:r>
          </w:p>
        </w:tc>
        <w:tc>
          <w:tcPr>
            <w:tcW w:w="724" w:type="dxa"/>
            <w:vMerge w:val="restart"/>
            <w:tcBorders>
              <w:bottom w:val="nil"/>
            </w:tcBorders>
            <w:vAlign w:val="top"/>
          </w:tcPr>
          <w:p w14:paraId="4519C57E">
            <w:pPr>
              <w:pStyle w:val="6"/>
              <w:spacing w:before="231" w:line="228" w:lineRule="auto"/>
              <w:ind w:left="162"/>
              <w:rPr>
                <w:sz w:val="20"/>
                <w:szCs w:val="20"/>
              </w:rPr>
            </w:pPr>
            <w:r>
              <w:rPr>
                <w:spacing w:val="2"/>
                <w:sz w:val="20"/>
                <w:szCs w:val="20"/>
              </w:rPr>
              <w:t>常温</w:t>
            </w:r>
          </w:p>
        </w:tc>
        <w:tc>
          <w:tcPr>
            <w:tcW w:w="915" w:type="dxa"/>
            <w:vMerge w:val="restart"/>
            <w:tcBorders>
              <w:bottom w:val="nil"/>
            </w:tcBorders>
            <w:vAlign w:val="top"/>
          </w:tcPr>
          <w:p w14:paraId="0CA6EA98">
            <w:pPr>
              <w:spacing w:before="267" w:line="195" w:lineRule="auto"/>
              <w:ind w:left="42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275" w:type="dxa"/>
            <w:vMerge w:val="continue"/>
            <w:tcBorders>
              <w:top w:val="nil"/>
              <w:bottom w:val="nil"/>
              <w:right w:val="nil"/>
            </w:tcBorders>
            <w:vAlign w:val="top"/>
          </w:tcPr>
          <w:p w14:paraId="4EB740CF">
            <w:pPr>
              <w:rPr>
                <w:rFonts w:ascii="Arial"/>
                <w:sz w:val="21"/>
              </w:rPr>
            </w:pPr>
          </w:p>
        </w:tc>
      </w:tr>
      <w:tr w14:paraId="3FD520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continue"/>
            <w:tcBorders>
              <w:top w:val="nil"/>
              <w:left w:val="nil"/>
            </w:tcBorders>
            <w:vAlign w:val="top"/>
          </w:tcPr>
          <w:p w14:paraId="128F44F4">
            <w:pPr>
              <w:rPr>
                <w:rFonts w:ascii="Arial"/>
                <w:sz w:val="21"/>
              </w:rPr>
            </w:pPr>
          </w:p>
        </w:tc>
        <w:tc>
          <w:tcPr>
            <w:tcW w:w="2593" w:type="dxa"/>
            <w:vMerge w:val="continue"/>
            <w:tcBorders>
              <w:top w:val="nil"/>
            </w:tcBorders>
            <w:vAlign w:val="top"/>
          </w:tcPr>
          <w:p w14:paraId="6A98D404">
            <w:pPr>
              <w:rPr>
                <w:rFonts w:ascii="Arial"/>
                <w:sz w:val="21"/>
              </w:rPr>
            </w:pPr>
          </w:p>
        </w:tc>
        <w:tc>
          <w:tcPr>
            <w:tcW w:w="1635" w:type="dxa"/>
            <w:vAlign w:val="top"/>
          </w:tcPr>
          <w:p w14:paraId="2812FC01">
            <w:pPr>
              <w:pStyle w:val="6"/>
              <w:spacing w:before="64" w:line="229" w:lineRule="auto"/>
              <w:ind w:left="191"/>
              <w:rPr>
                <w:sz w:val="20"/>
                <w:szCs w:val="20"/>
              </w:rPr>
            </w:pPr>
            <w:r>
              <w:rPr>
                <w:spacing w:val="8"/>
                <w:sz w:val="20"/>
                <w:szCs w:val="20"/>
              </w:rPr>
              <w:t>锰及其化合物</w:t>
            </w:r>
          </w:p>
        </w:tc>
        <w:tc>
          <w:tcPr>
            <w:tcW w:w="640" w:type="dxa"/>
            <w:vMerge w:val="continue"/>
            <w:tcBorders>
              <w:top w:val="nil"/>
            </w:tcBorders>
            <w:vAlign w:val="top"/>
          </w:tcPr>
          <w:p w14:paraId="39BEB5C8">
            <w:pPr>
              <w:rPr>
                <w:rFonts w:ascii="Arial"/>
                <w:sz w:val="21"/>
              </w:rPr>
            </w:pPr>
          </w:p>
        </w:tc>
        <w:tc>
          <w:tcPr>
            <w:tcW w:w="817" w:type="dxa"/>
            <w:vMerge w:val="continue"/>
            <w:tcBorders>
              <w:top w:val="nil"/>
            </w:tcBorders>
            <w:vAlign w:val="top"/>
          </w:tcPr>
          <w:p w14:paraId="620CD6F9">
            <w:pPr>
              <w:rPr>
                <w:rFonts w:ascii="Arial"/>
                <w:sz w:val="21"/>
              </w:rPr>
            </w:pPr>
          </w:p>
        </w:tc>
        <w:tc>
          <w:tcPr>
            <w:tcW w:w="724" w:type="dxa"/>
            <w:vMerge w:val="continue"/>
            <w:tcBorders>
              <w:top w:val="nil"/>
            </w:tcBorders>
            <w:vAlign w:val="top"/>
          </w:tcPr>
          <w:p w14:paraId="7B0FDAB7">
            <w:pPr>
              <w:rPr>
                <w:rFonts w:ascii="Arial"/>
                <w:sz w:val="21"/>
              </w:rPr>
            </w:pPr>
          </w:p>
        </w:tc>
        <w:tc>
          <w:tcPr>
            <w:tcW w:w="915" w:type="dxa"/>
            <w:vMerge w:val="continue"/>
            <w:tcBorders>
              <w:top w:val="nil"/>
            </w:tcBorders>
            <w:vAlign w:val="top"/>
          </w:tcPr>
          <w:p w14:paraId="2F4E8A86">
            <w:pPr>
              <w:rPr>
                <w:rFonts w:ascii="Arial"/>
                <w:sz w:val="21"/>
              </w:rPr>
            </w:pPr>
          </w:p>
        </w:tc>
        <w:tc>
          <w:tcPr>
            <w:tcW w:w="1275" w:type="dxa"/>
            <w:vMerge w:val="continue"/>
            <w:tcBorders>
              <w:top w:val="nil"/>
              <w:right w:val="nil"/>
            </w:tcBorders>
            <w:vAlign w:val="top"/>
          </w:tcPr>
          <w:p w14:paraId="5A07741A">
            <w:pPr>
              <w:rPr>
                <w:rFonts w:ascii="Arial"/>
                <w:sz w:val="21"/>
              </w:rPr>
            </w:pPr>
          </w:p>
        </w:tc>
      </w:tr>
      <w:tr w14:paraId="19AA94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restart"/>
            <w:tcBorders>
              <w:left w:val="nil"/>
              <w:bottom w:val="nil"/>
            </w:tcBorders>
            <w:vAlign w:val="top"/>
          </w:tcPr>
          <w:p w14:paraId="48814852">
            <w:pPr>
              <w:spacing w:line="272" w:lineRule="auto"/>
              <w:rPr>
                <w:rFonts w:ascii="Arial"/>
                <w:sz w:val="21"/>
              </w:rPr>
            </w:pPr>
          </w:p>
          <w:p w14:paraId="10C8B566">
            <w:pPr>
              <w:spacing w:line="272" w:lineRule="auto"/>
              <w:rPr>
                <w:rFonts w:ascii="Arial"/>
                <w:sz w:val="21"/>
              </w:rPr>
            </w:pPr>
          </w:p>
          <w:p w14:paraId="4498E063">
            <w:pPr>
              <w:spacing w:before="57" w:line="211" w:lineRule="auto"/>
              <w:ind w:left="180"/>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G</w:t>
            </w:r>
            <w:r>
              <w:rPr>
                <w:rFonts w:ascii="Times New Roman" w:hAnsi="Times New Roman" w:eastAsia="Times New Roman" w:cs="Times New Roman"/>
                <w:spacing w:val="2"/>
                <w:sz w:val="13"/>
                <w:szCs w:val="13"/>
              </w:rPr>
              <w:t>1-6</w:t>
            </w:r>
          </w:p>
        </w:tc>
        <w:tc>
          <w:tcPr>
            <w:tcW w:w="2593" w:type="dxa"/>
            <w:vMerge w:val="restart"/>
            <w:tcBorders>
              <w:bottom w:val="nil"/>
            </w:tcBorders>
            <w:vAlign w:val="top"/>
          </w:tcPr>
          <w:p w14:paraId="2E8D231F">
            <w:pPr>
              <w:spacing w:line="250" w:lineRule="auto"/>
              <w:rPr>
                <w:rFonts w:ascii="Arial"/>
                <w:sz w:val="21"/>
              </w:rPr>
            </w:pPr>
          </w:p>
          <w:p w14:paraId="1590F21B">
            <w:pPr>
              <w:spacing w:line="251" w:lineRule="auto"/>
              <w:rPr>
                <w:rFonts w:ascii="Arial"/>
                <w:sz w:val="21"/>
              </w:rPr>
            </w:pPr>
          </w:p>
          <w:p w14:paraId="6557776A">
            <w:pPr>
              <w:pStyle w:val="6"/>
              <w:spacing w:before="65" w:line="227" w:lineRule="auto"/>
              <w:ind w:left="671"/>
              <w:rPr>
                <w:sz w:val="20"/>
                <w:szCs w:val="20"/>
              </w:rPr>
            </w:pPr>
            <w:r>
              <w:rPr>
                <w:spacing w:val="8"/>
                <w:sz w:val="20"/>
                <w:szCs w:val="20"/>
              </w:rPr>
              <w:t>烧结机头废气</w:t>
            </w:r>
          </w:p>
        </w:tc>
        <w:tc>
          <w:tcPr>
            <w:tcW w:w="1635" w:type="dxa"/>
            <w:vAlign w:val="top"/>
          </w:tcPr>
          <w:p w14:paraId="617792BF">
            <w:pPr>
              <w:pStyle w:val="6"/>
              <w:spacing w:before="65" w:line="228" w:lineRule="auto"/>
              <w:ind w:left="507"/>
              <w:rPr>
                <w:sz w:val="20"/>
                <w:szCs w:val="20"/>
              </w:rPr>
            </w:pPr>
            <w:r>
              <w:rPr>
                <w:spacing w:val="7"/>
                <w:sz w:val="20"/>
                <w:szCs w:val="20"/>
              </w:rPr>
              <w:t>颗粒物</w:t>
            </w:r>
          </w:p>
        </w:tc>
        <w:tc>
          <w:tcPr>
            <w:tcW w:w="640" w:type="dxa"/>
            <w:vMerge w:val="restart"/>
            <w:tcBorders>
              <w:bottom w:val="nil"/>
            </w:tcBorders>
            <w:vAlign w:val="top"/>
          </w:tcPr>
          <w:p w14:paraId="46143CE4">
            <w:pPr>
              <w:spacing w:line="292" w:lineRule="auto"/>
              <w:rPr>
                <w:rFonts w:ascii="Arial"/>
                <w:sz w:val="21"/>
              </w:rPr>
            </w:pPr>
          </w:p>
          <w:p w14:paraId="7022956B">
            <w:pPr>
              <w:spacing w:line="293" w:lineRule="auto"/>
              <w:rPr>
                <w:rFonts w:ascii="Arial"/>
                <w:sz w:val="21"/>
              </w:rPr>
            </w:pPr>
          </w:p>
          <w:p w14:paraId="1B238EA6">
            <w:pPr>
              <w:spacing w:line="293" w:lineRule="auto"/>
              <w:rPr>
                <w:rFonts w:ascii="Arial"/>
                <w:sz w:val="21"/>
              </w:rPr>
            </w:pPr>
          </w:p>
          <w:p w14:paraId="658957DD">
            <w:pPr>
              <w:spacing w:before="57" w:line="195" w:lineRule="auto"/>
              <w:ind w:left="220"/>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817" w:type="dxa"/>
            <w:vMerge w:val="restart"/>
            <w:tcBorders>
              <w:bottom w:val="nil"/>
            </w:tcBorders>
            <w:vAlign w:val="top"/>
          </w:tcPr>
          <w:p w14:paraId="348F308C">
            <w:pPr>
              <w:spacing w:line="292" w:lineRule="auto"/>
              <w:rPr>
                <w:rFonts w:ascii="Arial"/>
                <w:sz w:val="21"/>
              </w:rPr>
            </w:pPr>
          </w:p>
          <w:p w14:paraId="15F05AD9">
            <w:pPr>
              <w:spacing w:line="293" w:lineRule="auto"/>
              <w:rPr>
                <w:rFonts w:ascii="Arial"/>
                <w:sz w:val="21"/>
              </w:rPr>
            </w:pPr>
          </w:p>
          <w:p w14:paraId="2A6AA0FD">
            <w:pPr>
              <w:spacing w:line="293" w:lineRule="auto"/>
              <w:rPr>
                <w:rFonts w:ascii="Arial"/>
                <w:sz w:val="21"/>
              </w:rPr>
            </w:pPr>
          </w:p>
          <w:p w14:paraId="7E97261C">
            <w:pPr>
              <w:spacing w:before="57"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1.9</w:t>
            </w:r>
          </w:p>
        </w:tc>
        <w:tc>
          <w:tcPr>
            <w:tcW w:w="724" w:type="dxa"/>
            <w:vMerge w:val="restart"/>
            <w:tcBorders>
              <w:bottom w:val="nil"/>
            </w:tcBorders>
            <w:vAlign w:val="top"/>
          </w:tcPr>
          <w:p w14:paraId="7499E862">
            <w:pPr>
              <w:spacing w:line="292" w:lineRule="auto"/>
              <w:rPr>
                <w:rFonts w:ascii="Arial"/>
                <w:sz w:val="21"/>
              </w:rPr>
            </w:pPr>
          </w:p>
          <w:p w14:paraId="2CEB79CF">
            <w:pPr>
              <w:spacing w:line="293" w:lineRule="auto"/>
              <w:rPr>
                <w:rFonts w:ascii="Arial"/>
                <w:sz w:val="21"/>
              </w:rPr>
            </w:pPr>
          </w:p>
          <w:p w14:paraId="026E369F">
            <w:pPr>
              <w:spacing w:line="293" w:lineRule="auto"/>
              <w:rPr>
                <w:rFonts w:ascii="Arial"/>
                <w:sz w:val="21"/>
              </w:rPr>
            </w:pPr>
          </w:p>
          <w:p w14:paraId="262CB2B0">
            <w:pPr>
              <w:spacing w:before="57" w:line="195" w:lineRule="auto"/>
              <w:ind w:left="22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120</w:t>
            </w:r>
          </w:p>
        </w:tc>
        <w:tc>
          <w:tcPr>
            <w:tcW w:w="915" w:type="dxa"/>
            <w:vMerge w:val="restart"/>
            <w:tcBorders>
              <w:bottom w:val="nil"/>
            </w:tcBorders>
            <w:vAlign w:val="top"/>
          </w:tcPr>
          <w:p w14:paraId="00E0E5F7">
            <w:pPr>
              <w:spacing w:line="292" w:lineRule="auto"/>
              <w:rPr>
                <w:rFonts w:ascii="Arial"/>
                <w:sz w:val="21"/>
              </w:rPr>
            </w:pPr>
          </w:p>
          <w:p w14:paraId="03828FD3">
            <w:pPr>
              <w:spacing w:line="293" w:lineRule="auto"/>
              <w:rPr>
                <w:rFonts w:ascii="Arial"/>
                <w:sz w:val="21"/>
              </w:rPr>
            </w:pPr>
          </w:p>
          <w:p w14:paraId="3C4272F4">
            <w:pPr>
              <w:spacing w:line="293" w:lineRule="auto"/>
              <w:rPr>
                <w:rFonts w:ascii="Arial"/>
                <w:sz w:val="21"/>
              </w:rPr>
            </w:pPr>
          </w:p>
          <w:p w14:paraId="3CB12C74">
            <w:pPr>
              <w:spacing w:before="57" w:line="195" w:lineRule="auto"/>
              <w:ind w:left="42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275" w:type="dxa"/>
            <w:vMerge w:val="restart"/>
            <w:tcBorders>
              <w:bottom w:val="nil"/>
              <w:right w:val="nil"/>
            </w:tcBorders>
            <w:vAlign w:val="top"/>
          </w:tcPr>
          <w:p w14:paraId="2C1035AD">
            <w:pPr>
              <w:spacing w:line="278" w:lineRule="auto"/>
              <w:rPr>
                <w:rFonts w:ascii="Arial"/>
                <w:sz w:val="21"/>
              </w:rPr>
            </w:pPr>
          </w:p>
          <w:p w14:paraId="40C3E533">
            <w:pPr>
              <w:spacing w:line="278" w:lineRule="auto"/>
              <w:rPr>
                <w:rFonts w:ascii="Arial"/>
                <w:sz w:val="21"/>
              </w:rPr>
            </w:pPr>
          </w:p>
          <w:p w14:paraId="0B9630A0">
            <w:pPr>
              <w:spacing w:line="279" w:lineRule="auto"/>
              <w:rPr>
                <w:rFonts w:ascii="Arial"/>
                <w:sz w:val="21"/>
              </w:rPr>
            </w:pPr>
          </w:p>
          <w:p w14:paraId="4321C58F">
            <w:pPr>
              <w:pStyle w:val="6"/>
              <w:spacing w:before="65" w:line="228" w:lineRule="auto"/>
              <w:ind w:left="256"/>
              <w:rPr>
                <w:sz w:val="20"/>
                <w:szCs w:val="20"/>
              </w:rPr>
            </w:pPr>
            <w:r>
              <w:rPr>
                <w:spacing w:val="-2"/>
                <w:sz w:val="20"/>
                <w:szCs w:val="20"/>
              </w:rPr>
              <w:t>自动监测</w:t>
            </w:r>
          </w:p>
        </w:tc>
      </w:tr>
      <w:tr w14:paraId="541DF3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continue"/>
            <w:tcBorders>
              <w:top w:val="nil"/>
              <w:left w:val="nil"/>
              <w:bottom w:val="nil"/>
            </w:tcBorders>
            <w:vAlign w:val="top"/>
          </w:tcPr>
          <w:p w14:paraId="484FDE5A">
            <w:pPr>
              <w:rPr>
                <w:rFonts w:ascii="Arial"/>
                <w:sz w:val="21"/>
              </w:rPr>
            </w:pPr>
          </w:p>
        </w:tc>
        <w:tc>
          <w:tcPr>
            <w:tcW w:w="2593" w:type="dxa"/>
            <w:vMerge w:val="continue"/>
            <w:tcBorders>
              <w:top w:val="nil"/>
              <w:bottom w:val="nil"/>
            </w:tcBorders>
            <w:vAlign w:val="top"/>
          </w:tcPr>
          <w:p w14:paraId="0507040E">
            <w:pPr>
              <w:rPr>
                <w:rFonts w:ascii="Arial"/>
                <w:sz w:val="21"/>
              </w:rPr>
            </w:pPr>
          </w:p>
        </w:tc>
        <w:tc>
          <w:tcPr>
            <w:tcW w:w="1635" w:type="dxa"/>
            <w:vAlign w:val="top"/>
          </w:tcPr>
          <w:p w14:paraId="799EB6A0">
            <w:pPr>
              <w:pStyle w:val="6"/>
              <w:spacing w:before="66" w:line="229" w:lineRule="auto"/>
              <w:ind w:left="191"/>
              <w:rPr>
                <w:sz w:val="20"/>
                <w:szCs w:val="20"/>
              </w:rPr>
            </w:pPr>
            <w:r>
              <w:rPr>
                <w:spacing w:val="8"/>
                <w:sz w:val="20"/>
                <w:szCs w:val="20"/>
              </w:rPr>
              <w:t>锰及其化合物</w:t>
            </w:r>
          </w:p>
        </w:tc>
        <w:tc>
          <w:tcPr>
            <w:tcW w:w="640" w:type="dxa"/>
            <w:vMerge w:val="continue"/>
            <w:tcBorders>
              <w:top w:val="nil"/>
              <w:bottom w:val="nil"/>
            </w:tcBorders>
            <w:vAlign w:val="top"/>
          </w:tcPr>
          <w:p w14:paraId="32A540CE">
            <w:pPr>
              <w:rPr>
                <w:rFonts w:ascii="Arial"/>
                <w:sz w:val="21"/>
              </w:rPr>
            </w:pPr>
          </w:p>
        </w:tc>
        <w:tc>
          <w:tcPr>
            <w:tcW w:w="817" w:type="dxa"/>
            <w:vMerge w:val="continue"/>
            <w:tcBorders>
              <w:top w:val="nil"/>
              <w:bottom w:val="nil"/>
            </w:tcBorders>
            <w:vAlign w:val="top"/>
          </w:tcPr>
          <w:p w14:paraId="4719C9DC">
            <w:pPr>
              <w:rPr>
                <w:rFonts w:ascii="Arial"/>
                <w:sz w:val="21"/>
              </w:rPr>
            </w:pPr>
          </w:p>
        </w:tc>
        <w:tc>
          <w:tcPr>
            <w:tcW w:w="724" w:type="dxa"/>
            <w:vMerge w:val="continue"/>
            <w:tcBorders>
              <w:top w:val="nil"/>
              <w:bottom w:val="nil"/>
            </w:tcBorders>
            <w:vAlign w:val="top"/>
          </w:tcPr>
          <w:p w14:paraId="0A1A0AFA">
            <w:pPr>
              <w:rPr>
                <w:rFonts w:ascii="Arial"/>
                <w:sz w:val="21"/>
              </w:rPr>
            </w:pPr>
          </w:p>
        </w:tc>
        <w:tc>
          <w:tcPr>
            <w:tcW w:w="915" w:type="dxa"/>
            <w:vMerge w:val="continue"/>
            <w:tcBorders>
              <w:top w:val="nil"/>
              <w:bottom w:val="nil"/>
            </w:tcBorders>
            <w:vAlign w:val="top"/>
          </w:tcPr>
          <w:p w14:paraId="25EEDCFD">
            <w:pPr>
              <w:rPr>
                <w:rFonts w:ascii="Arial"/>
                <w:sz w:val="21"/>
              </w:rPr>
            </w:pPr>
          </w:p>
        </w:tc>
        <w:tc>
          <w:tcPr>
            <w:tcW w:w="1275" w:type="dxa"/>
            <w:vMerge w:val="continue"/>
            <w:tcBorders>
              <w:top w:val="nil"/>
              <w:bottom w:val="nil"/>
              <w:right w:val="nil"/>
            </w:tcBorders>
            <w:vAlign w:val="top"/>
          </w:tcPr>
          <w:p w14:paraId="627E053F">
            <w:pPr>
              <w:rPr>
                <w:rFonts w:ascii="Arial"/>
                <w:sz w:val="21"/>
              </w:rPr>
            </w:pPr>
          </w:p>
        </w:tc>
      </w:tr>
      <w:tr w14:paraId="789992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continue"/>
            <w:tcBorders>
              <w:top w:val="nil"/>
              <w:left w:val="nil"/>
              <w:bottom w:val="nil"/>
            </w:tcBorders>
            <w:vAlign w:val="top"/>
          </w:tcPr>
          <w:p w14:paraId="7D0FE667">
            <w:pPr>
              <w:rPr>
                <w:rFonts w:ascii="Arial"/>
                <w:sz w:val="21"/>
              </w:rPr>
            </w:pPr>
          </w:p>
        </w:tc>
        <w:tc>
          <w:tcPr>
            <w:tcW w:w="2593" w:type="dxa"/>
            <w:vMerge w:val="continue"/>
            <w:tcBorders>
              <w:top w:val="nil"/>
              <w:bottom w:val="nil"/>
            </w:tcBorders>
            <w:vAlign w:val="top"/>
          </w:tcPr>
          <w:p w14:paraId="4CDA5A0F">
            <w:pPr>
              <w:rPr>
                <w:rFonts w:ascii="Arial"/>
                <w:sz w:val="21"/>
              </w:rPr>
            </w:pPr>
          </w:p>
        </w:tc>
        <w:tc>
          <w:tcPr>
            <w:tcW w:w="1635" w:type="dxa"/>
            <w:vAlign w:val="top"/>
          </w:tcPr>
          <w:p w14:paraId="2C110350">
            <w:pPr>
              <w:spacing w:before="103" w:line="202" w:lineRule="auto"/>
              <w:ind w:left="659"/>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640" w:type="dxa"/>
            <w:vMerge w:val="continue"/>
            <w:tcBorders>
              <w:top w:val="nil"/>
              <w:bottom w:val="nil"/>
            </w:tcBorders>
            <w:vAlign w:val="top"/>
          </w:tcPr>
          <w:p w14:paraId="4C8B2AB2">
            <w:pPr>
              <w:rPr>
                <w:rFonts w:ascii="Arial"/>
                <w:sz w:val="21"/>
              </w:rPr>
            </w:pPr>
          </w:p>
        </w:tc>
        <w:tc>
          <w:tcPr>
            <w:tcW w:w="817" w:type="dxa"/>
            <w:vMerge w:val="continue"/>
            <w:tcBorders>
              <w:top w:val="nil"/>
              <w:bottom w:val="nil"/>
            </w:tcBorders>
            <w:vAlign w:val="top"/>
          </w:tcPr>
          <w:p w14:paraId="1C06D9CB">
            <w:pPr>
              <w:rPr>
                <w:rFonts w:ascii="Arial"/>
                <w:sz w:val="21"/>
              </w:rPr>
            </w:pPr>
          </w:p>
        </w:tc>
        <w:tc>
          <w:tcPr>
            <w:tcW w:w="724" w:type="dxa"/>
            <w:vMerge w:val="continue"/>
            <w:tcBorders>
              <w:top w:val="nil"/>
              <w:bottom w:val="nil"/>
            </w:tcBorders>
            <w:vAlign w:val="top"/>
          </w:tcPr>
          <w:p w14:paraId="4041A737">
            <w:pPr>
              <w:rPr>
                <w:rFonts w:ascii="Arial"/>
                <w:sz w:val="21"/>
              </w:rPr>
            </w:pPr>
          </w:p>
        </w:tc>
        <w:tc>
          <w:tcPr>
            <w:tcW w:w="915" w:type="dxa"/>
            <w:vMerge w:val="continue"/>
            <w:tcBorders>
              <w:top w:val="nil"/>
              <w:bottom w:val="nil"/>
            </w:tcBorders>
            <w:vAlign w:val="top"/>
          </w:tcPr>
          <w:p w14:paraId="6D2EFB6E">
            <w:pPr>
              <w:rPr>
                <w:rFonts w:ascii="Arial"/>
                <w:sz w:val="21"/>
              </w:rPr>
            </w:pPr>
          </w:p>
        </w:tc>
        <w:tc>
          <w:tcPr>
            <w:tcW w:w="1275" w:type="dxa"/>
            <w:vMerge w:val="continue"/>
            <w:tcBorders>
              <w:top w:val="nil"/>
              <w:bottom w:val="nil"/>
              <w:right w:val="nil"/>
            </w:tcBorders>
            <w:vAlign w:val="top"/>
          </w:tcPr>
          <w:p w14:paraId="01964AC3">
            <w:pPr>
              <w:rPr>
                <w:rFonts w:ascii="Arial"/>
                <w:sz w:val="21"/>
              </w:rPr>
            </w:pPr>
          </w:p>
        </w:tc>
      </w:tr>
      <w:tr w14:paraId="513044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continue"/>
            <w:tcBorders>
              <w:top w:val="nil"/>
              <w:left w:val="nil"/>
            </w:tcBorders>
            <w:vAlign w:val="top"/>
          </w:tcPr>
          <w:p w14:paraId="61635FE2">
            <w:pPr>
              <w:rPr>
                <w:rFonts w:ascii="Arial"/>
                <w:sz w:val="21"/>
              </w:rPr>
            </w:pPr>
          </w:p>
        </w:tc>
        <w:tc>
          <w:tcPr>
            <w:tcW w:w="2593" w:type="dxa"/>
            <w:vMerge w:val="continue"/>
            <w:tcBorders>
              <w:top w:val="nil"/>
            </w:tcBorders>
            <w:vAlign w:val="top"/>
          </w:tcPr>
          <w:p w14:paraId="2EEBAE9F">
            <w:pPr>
              <w:rPr>
                <w:rFonts w:ascii="Arial"/>
                <w:sz w:val="21"/>
              </w:rPr>
            </w:pPr>
          </w:p>
        </w:tc>
        <w:tc>
          <w:tcPr>
            <w:tcW w:w="1635" w:type="dxa"/>
            <w:vAlign w:val="top"/>
          </w:tcPr>
          <w:p w14:paraId="38F6FB05">
            <w:pPr>
              <w:spacing w:before="104" w:line="202" w:lineRule="auto"/>
              <w:ind w:left="610"/>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640" w:type="dxa"/>
            <w:vMerge w:val="continue"/>
            <w:tcBorders>
              <w:top w:val="nil"/>
              <w:bottom w:val="nil"/>
            </w:tcBorders>
            <w:vAlign w:val="top"/>
          </w:tcPr>
          <w:p w14:paraId="4B84362B">
            <w:pPr>
              <w:rPr>
                <w:rFonts w:ascii="Arial"/>
                <w:sz w:val="21"/>
              </w:rPr>
            </w:pPr>
          </w:p>
        </w:tc>
        <w:tc>
          <w:tcPr>
            <w:tcW w:w="817" w:type="dxa"/>
            <w:vMerge w:val="continue"/>
            <w:tcBorders>
              <w:top w:val="nil"/>
              <w:bottom w:val="nil"/>
            </w:tcBorders>
            <w:vAlign w:val="top"/>
          </w:tcPr>
          <w:p w14:paraId="37BE509C">
            <w:pPr>
              <w:rPr>
                <w:rFonts w:ascii="Arial"/>
                <w:sz w:val="21"/>
              </w:rPr>
            </w:pPr>
          </w:p>
        </w:tc>
        <w:tc>
          <w:tcPr>
            <w:tcW w:w="724" w:type="dxa"/>
            <w:vMerge w:val="continue"/>
            <w:tcBorders>
              <w:top w:val="nil"/>
              <w:bottom w:val="nil"/>
            </w:tcBorders>
            <w:vAlign w:val="top"/>
          </w:tcPr>
          <w:p w14:paraId="5DC20B39">
            <w:pPr>
              <w:rPr>
                <w:rFonts w:ascii="Arial"/>
                <w:sz w:val="21"/>
              </w:rPr>
            </w:pPr>
          </w:p>
        </w:tc>
        <w:tc>
          <w:tcPr>
            <w:tcW w:w="915" w:type="dxa"/>
            <w:vMerge w:val="continue"/>
            <w:tcBorders>
              <w:top w:val="nil"/>
              <w:bottom w:val="nil"/>
            </w:tcBorders>
            <w:vAlign w:val="top"/>
          </w:tcPr>
          <w:p w14:paraId="7E29D14C">
            <w:pPr>
              <w:rPr>
                <w:rFonts w:ascii="Arial"/>
                <w:sz w:val="21"/>
              </w:rPr>
            </w:pPr>
          </w:p>
        </w:tc>
        <w:tc>
          <w:tcPr>
            <w:tcW w:w="1275" w:type="dxa"/>
            <w:vMerge w:val="continue"/>
            <w:tcBorders>
              <w:top w:val="nil"/>
              <w:bottom w:val="nil"/>
              <w:right w:val="nil"/>
            </w:tcBorders>
            <w:vAlign w:val="top"/>
          </w:tcPr>
          <w:p w14:paraId="06DCF1F2">
            <w:pPr>
              <w:rPr>
                <w:rFonts w:ascii="Arial"/>
                <w:sz w:val="21"/>
              </w:rPr>
            </w:pPr>
          </w:p>
        </w:tc>
      </w:tr>
      <w:tr w14:paraId="5CF8BA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restart"/>
            <w:tcBorders>
              <w:left w:val="nil"/>
              <w:bottom w:val="nil"/>
            </w:tcBorders>
            <w:vAlign w:val="top"/>
          </w:tcPr>
          <w:p w14:paraId="30ED665B">
            <w:pPr>
              <w:spacing w:before="273" w:line="211" w:lineRule="auto"/>
              <w:ind w:left="180"/>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G</w:t>
            </w:r>
            <w:r>
              <w:rPr>
                <w:rFonts w:ascii="Times New Roman" w:hAnsi="Times New Roman" w:eastAsia="Times New Roman" w:cs="Times New Roman"/>
                <w:spacing w:val="2"/>
                <w:sz w:val="13"/>
                <w:szCs w:val="13"/>
              </w:rPr>
              <w:t>1-7</w:t>
            </w:r>
          </w:p>
        </w:tc>
        <w:tc>
          <w:tcPr>
            <w:tcW w:w="2593" w:type="dxa"/>
            <w:vMerge w:val="restart"/>
            <w:tcBorders>
              <w:bottom w:val="nil"/>
            </w:tcBorders>
            <w:vAlign w:val="top"/>
          </w:tcPr>
          <w:p w14:paraId="468292F6">
            <w:pPr>
              <w:pStyle w:val="6"/>
              <w:spacing w:before="237" w:line="227" w:lineRule="auto"/>
              <w:ind w:left="671"/>
              <w:rPr>
                <w:sz w:val="20"/>
                <w:szCs w:val="20"/>
              </w:rPr>
            </w:pPr>
            <w:r>
              <w:rPr>
                <w:spacing w:val="8"/>
                <w:sz w:val="20"/>
                <w:szCs w:val="20"/>
              </w:rPr>
              <w:t>烧结机尾粉尘</w:t>
            </w:r>
          </w:p>
        </w:tc>
        <w:tc>
          <w:tcPr>
            <w:tcW w:w="1635" w:type="dxa"/>
            <w:vAlign w:val="top"/>
          </w:tcPr>
          <w:p w14:paraId="7C4D7AA6">
            <w:pPr>
              <w:pStyle w:val="6"/>
              <w:spacing w:before="69" w:line="228" w:lineRule="auto"/>
              <w:ind w:left="507"/>
              <w:rPr>
                <w:sz w:val="20"/>
                <w:szCs w:val="20"/>
              </w:rPr>
            </w:pPr>
            <w:r>
              <w:rPr>
                <w:spacing w:val="7"/>
                <w:sz w:val="20"/>
                <w:szCs w:val="20"/>
              </w:rPr>
              <w:t>颗粒物</w:t>
            </w:r>
          </w:p>
        </w:tc>
        <w:tc>
          <w:tcPr>
            <w:tcW w:w="640" w:type="dxa"/>
            <w:vMerge w:val="continue"/>
            <w:tcBorders>
              <w:top w:val="nil"/>
              <w:bottom w:val="nil"/>
            </w:tcBorders>
            <w:vAlign w:val="top"/>
          </w:tcPr>
          <w:p w14:paraId="02028F71">
            <w:pPr>
              <w:rPr>
                <w:rFonts w:ascii="Arial"/>
                <w:sz w:val="21"/>
              </w:rPr>
            </w:pPr>
          </w:p>
        </w:tc>
        <w:tc>
          <w:tcPr>
            <w:tcW w:w="817" w:type="dxa"/>
            <w:vMerge w:val="continue"/>
            <w:tcBorders>
              <w:top w:val="nil"/>
              <w:bottom w:val="nil"/>
            </w:tcBorders>
            <w:vAlign w:val="top"/>
          </w:tcPr>
          <w:p w14:paraId="153668CC">
            <w:pPr>
              <w:rPr>
                <w:rFonts w:ascii="Arial"/>
                <w:sz w:val="21"/>
              </w:rPr>
            </w:pPr>
          </w:p>
        </w:tc>
        <w:tc>
          <w:tcPr>
            <w:tcW w:w="724" w:type="dxa"/>
            <w:vMerge w:val="continue"/>
            <w:tcBorders>
              <w:top w:val="nil"/>
              <w:bottom w:val="nil"/>
            </w:tcBorders>
            <w:vAlign w:val="top"/>
          </w:tcPr>
          <w:p w14:paraId="200C37BA">
            <w:pPr>
              <w:rPr>
                <w:rFonts w:ascii="Arial"/>
                <w:sz w:val="21"/>
              </w:rPr>
            </w:pPr>
          </w:p>
        </w:tc>
        <w:tc>
          <w:tcPr>
            <w:tcW w:w="915" w:type="dxa"/>
            <w:vMerge w:val="continue"/>
            <w:tcBorders>
              <w:top w:val="nil"/>
              <w:bottom w:val="nil"/>
            </w:tcBorders>
            <w:vAlign w:val="top"/>
          </w:tcPr>
          <w:p w14:paraId="60D7F32B">
            <w:pPr>
              <w:rPr>
                <w:rFonts w:ascii="Arial"/>
                <w:sz w:val="21"/>
              </w:rPr>
            </w:pPr>
          </w:p>
        </w:tc>
        <w:tc>
          <w:tcPr>
            <w:tcW w:w="1275" w:type="dxa"/>
            <w:vMerge w:val="continue"/>
            <w:tcBorders>
              <w:top w:val="nil"/>
              <w:bottom w:val="nil"/>
              <w:right w:val="nil"/>
            </w:tcBorders>
            <w:vAlign w:val="top"/>
          </w:tcPr>
          <w:p w14:paraId="7D994933">
            <w:pPr>
              <w:rPr>
                <w:rFonts w:ascii="Arial"/>
                <w:sz w:val="21"/>
              </w:rPr>
            </w:pPr>
          </w:p>
        </w:tc>
      </w:tr>
      <w:tr w14:paraId="1C9E4C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continue"/>
            <w:tcBorders>
              <w:top w:val="nil"/>
              <w:left w:val="nil"/>
            </w:tcBorders>
            <w:vAlign w:val="top"/>
          </w:tcPr>
          <w:p w14:paraId="2789C69B">
            <w:pPr>
              <w:rPr>
                <w:rFonts w:ascii="Arial"/>
                <w:sz w:val="21"/>
              </w:rPr>
            </w:pPr>
          </w:p>
        </w:tc>
        <w:tc>
          <w:tcPr>
            <w:tcW w:w="2593" w:type="dxa"/>
            <w:vMerge w:val="continue"/>
            <w:tcBorders>
              <w:top w:val="nil"/>
            </w:tcBorders>
            <w:vAlign w:val="top"/>
          </w:tcPr>
          <w:p w14:paraId="28045F7A">
            <w:pPr>
              <w:rPr>
                <w:rFonts w:ascii="Arial"/>
                <w:sz w:val="21"/>
              </w:rPr>
            </w:pPr>
          </w:p>
        </w:tc>
        <w:tc>
          <w:tcPr>
            <w:tcW w:w="1635" w:type="dxa"/>
            <w:vAlign w:val="top"/>
          </w:tcPr>
          <w:p w14:paraId="77014864">
            <w:pPr>
              <w:pStyle w:val="6"/>
              <w:spacing w:before="70" w:line="229" w:lineRule="auto"/>
              <w:ind w:left="191"/>
              <w:rPr>
                <w:sz w:val="20"/>
                <w:szCs w:val="20"/>
              </w:rPr>
            </w:pPr>
            <w:r>
              <w:rPr>
                <w:spacing w:val="8"/>
                <w:sz w:val="20"/>
                <w:szCs w:val="20"/>
              </w:rPr>
              <w:t>锰及其化合物</w:t>
            </w:r>
          </w:p>
        </w:tc>
        <w:tc>
          <w:tcPr>
            <w:tcW w:w="640" w:type="dxa"/>
            <w:vMerge w:val="continue"/>
            <w:tcBorders>
              <w:top w:val="nil"/>
            </w:tcBorders>
            <w:vAlign w:val="top"/>
          </w:tcPr>
          <w:p w14:paraId="4D221C08">
            <w:pPr>
              <w:rPr>
                <w:rFonts w:ascii="Arial"/>
                <w:sz w:val="21"/>
              </w:rPr>
            </w:pPr>
          </w:p>
        </w:tc>
        <w:tc>
          <w:tcPr>
            <w:tcW w:w="817" w:type="dxa"/>
            <w:vMerge w:val="continue"/>
            <w:tcBorders>
              <w:top w:val="nil"/>
            </w:tcBorders>
            <w:vAlign w:val="top"/>
          </w:tcPr>
          <w:p w14:paraId="03E5649D">
            <w:pPr>
              <w:rPr>
                <w:rFonts w:ascii="Arial"/>
                <w:sz w:val="21"/>
              </w:rPr>
            </w:pPr>
          </w:p>
        </w:tc>
        <w:tc>
          <w:tcPr>
            <w:tcW w:w="724" w:type="dxa"/>
            <w:vMerge w:val="continue"/>
            <w:tcBorders>
              <w:top w:val="nil"/>
            </w:tcBorders>
            <w:vAlign w:val="top"/>
          </w:tcPr>
          <w:p w14:paraId="56BA7EDE">
            <w:pPr>
              <w:rPr>
                <w:rFonts w:ascii="Arial"/>
                <w:sz w:val="21"/>
              </w:rPr>
            </w:pPr>
          </w:p>
        </w:tc>
        <w:tc>
          <w:tcPr>
            <w:tcW w:w="915" w:type="dxa"/>
            <w:vMerge w:val="continue"/>
            <w:tcBorders>
              <w:top w:val="nil"/>
            </w:tcBorders>
            <w:vAlign w:val="top"/>
          </w:tcPr>
          <w:p w14:paraId="594EA23D">
            <w:pPr>
              <w:rPr>
                <w:rFonts w:ascii="Arial"/>
                <w:sz w:val="21"/>
              </w:rPr>
            </w:pPr>
          </w:p>
        </w:tc>
        <w:tc>
          <w:tcPr>
            <w:tcW w:w="1275" w:type="dxa"/>
            <w:vMerge w:val="continue"/>
            <w:tcBorders>
              <w:top w:val="nil"/>
              <w:right w:val="nil"/>
            </w:tcBorders>
            <w:vAlign w:val="top"/>
          </w:tcPr>
          <w:p w14:paraId="2122224B">
            <w:pPr>
              <w:rPr>
                <w:rFonts w:ascii="Arial"/>
                <w:sz w:val="21"/>
              </w:rPr>
            </w:pPr>
          </w:p>
        </w:tc>
      </w:tr>
      <w:tr w14:paraId="1C1183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restart"/>
            <w:tcBorders>
              <w:left w:val="nil"/>
              <w:bottom w:val="nil"/>
            </w:tcBorders>
            <w:vAlign w:val="top"/>
          </w:tcPr>
          <w:p w14:paraId="24303493">
            <w:pPr>
              <w:spacing w:before="275" w:line="211" w:lineRule="auto"/>
              <w:ind w:left="180"/>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G</w:t>
            </w:r>
            <w:r>
              <w:rPr>
                <w:rFonts w:ascii="Times New Roman" w:hAnsi="Times New Roman" w:eastAsia="Times New Roman" w:cs="Times New Roman"/>
                <w:spacing w:val="3"/>
                <w:sz w:val="13"/>
                <w:szCs w:val="13"/>
              </w:rPr>
              <w:t>1-8</w:t>
            </w:r>
          </w:p>
        </w:tc>
        <w:tc>
          <w:tcPr>
            <w:tcW w:w="2593" w:type="dxa"/>
            <w:vMerge w:val="restart"/>
            <w:tcBorders>
              <w:bottom w:val="nil"/>
            </w:tcBorders>
            <w:vAlign w:val="top"/>
          </w:tcPr>
          <w:p w14:paraId="55949529">
            <w:pPr>
              <w:pStyle w:val="6"/>
              <w:spacing w:before="239" w:line="228" w:lineRule="auto"/>
              <w:ind w:left="461"/>
              <w:rPr>
                <w:sz w:val="20"/>
                <w:szCs w:val="20"/>
              </w:rPr>
            </w:pPr>
            <w:r>
              <w:rPr>
                <w:spacing w:val="8"/>
                <w:sz w:val="20"/>
                <w:szCs w:val="20"/>
              </w:rPr>
              <w:t>锰硅电炉配料粉尘</w:t>
            </w:r>
          </w:p>
        </w:tc>
        <w:tc>
          <w:tcPr>
            <w:tcW w:w="1635" w:type="dxa"/>
            <w:vAlign w:val="top"/>
          </w:tcPr>
          <w:p w14:paraId="723B428E">
            <w:pPr>
              <w:pStyle w:val="6"/>
              <w:spacing w:before="71" w:line="228" w:lineRule="auto"/>
              <w:ind w:left="507"/>
              <w:rPr>
                <w:sz w:val="20"/>
                <w:szCs w:val="20"/>
              </w:rPr>
            </w:pPr>
            <w:r>
              <w:rPr>
                <w:spacing w:val="7"/>
                <w:sz w:val="20"/>
                <w:szCs w:val="20"/>
              </w:rPr>
              <w:t>颗粒物</w:t>
            </w:r>
          </w:p>
        </w:tc>
        <w:tc>
          <w:tcPr>
            <w:tcW w:w="640" w:type="dxa"/>
            <w:vMerge w:val="restart"/>
            <w:tcBorders>
              <w:bottom w:val="nil"/>
            </w:tcBorders>
            <w:vAlign w:val="top"/>
          </w:tcPr>
          <w:p w14:paraId="6A027067">
            <w:pPr>
              <w:spacing w:line="275" w:lineRule="auto"/>
              <w:rPr>
                <w:rFonts w:ascii="Arial"/>
                <w:sz w:val="21"/>
              </w:rPr>
            </w:pPr>
          </w:p>
          <w:p w14:paraId="1349784C">
            <w:pPr>
              <w:spacing w:line="275" w:lineRule="auto"/>
              <w:rPr>
                <w:rFonts w:ascii="Arial"/>
                <w:sz w:val="21"/>
              </w:rPr>
            </w:pPr>
          </w:p>
          <w:p w14:paraId="0B752728">
            <w:pPr>
              <w:spacing w:before="57" w:line="195" w:lineRule="auto"/>
              <w:ind w:left="220"/>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817" w:type="dxa"/>
            <w:vMerge w:val="restart"/>
            <w:tcBorders>
              <w:bottom w:val="nil"/>
            </w:tcBorders>
            <w:vAlign w:val="top"/>
          </w:tcPr>
          <w:p w14:paraId="07CBBD9B">
            <w:pPr>
              <w:spacing w:line="275" w:lineRule="auto"/>
              <w:rPr>
                <w:rFonts w:ascii="Arial"/>
                <w:sz w:val="21"/>
              </w:rPr>
            </w:pPr>
          </w:p>
          <w:p w14:paraId="3F3EAF0C">
            <w:pPr>
              <w:spacing w:line="275" w:lineRule="auto"/>
              <w:rPr>
                <w:rFonts w:ascii="Arial"/>
                <w:sz w:val="21"/>
              </w:rPr>
            </w:pPr>
          </w:p>
          <w:p w14:paraId="3B8DEA57">
            <w:pPr>
              <w:spacing w:before="57"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1.2</w:t>
            </w:r>
          </w:p>
        </w:tc>
        <w:tc>
          <w:tcPr>
            <w:tcW w:w="724" w:type="dxa"/>
            <w:vMerge w:val="restart"/>
            <w:tcBorders>
              <w:bottom w:val="nil"/>
            </w:tcBorders>
            <w:vAlign w:val="top"/>
          </w:tcPr>
          <w:p w14:paraId="348A9708">
            <w:pPr>
              <w:spacing w:line="253" w:lineRule="auto"/>
              <w:rPr>
                <w:rFonts w:ascii="Arial"/>
                <w:sz w:val="21"/>
              </w:rPr>
            </w:pPr>
          </w:p>
          <w:p w14:paraId="6F2DA806">
            <w:pPr>
              <w:spacing w:line="254" w:lineRule="auto"/>
              <w:rPr>
                <w:rFonts w:ascii="Arial"/>
                <w:sz w:val="21"/>
              </w:rPr>
            </w:pPr>
          </w:p>
          <w:p w14:paraId="60D20C45">
            <w:pPr>
              <w:pStyle w:val="6"/>
              <w:spacing w:before="65" w:line="228" w:lineRule="auto"/>
              <w:ind w:left="162"/>
              <w:rPr>
                <w:sz w:val="20"/>
                <w:szCs w:val="20"/>
              </w:rPr>
            </w:pPr>
            <w:r>
              <w:rPr>
                <w:spacing w:val="2"/>
                <w:sz w:val="20"/>
                <w:szCs w:val="20"/>
              </w:rPr>
              <w:t>常温</w:t>
            </w:r>
          </w:p>
        </w:tc>
        <w:tc>
          <w:tcPr>
            <w:tcW w:w="915" w:type="dxa"/>
            <w:vMerge w:val="restart"/>
            <w:tcBorders>
              <w:bottom w:val="nil"/>
            </w:tcBorders>
            <w:vAlign w:val="top"/>
          </w:tcPr>
          <w:p w14:paraId="7D7CD3D0">
            <w:pPr>
              <w:spacing w:line="275" w:lineRule="auto"/>
              <w:rPr>
                <w:rFonts w:ascii="Arial"/>
                <w:sz w:val="21"/>
              </w:rPr>
            </w:pPr>
          </w:p>
          <w:p w14:paraId="4D6D4AFC">
            <w:pPr>
              <w:spacing w:line="275" w:lineRule="auto"/>
              <w:rPr>
                <w:rFonts w:ascii="Arial"/>
                <w:sz w:val="21"/>
              </w:rPr>
            </w:pPr>
          </w:p>
          <w:p w14:paraId="4F648C9B">
            <w:pPr>
              <w:spacing w:before="57" w:line="195" w:lineRule="auto"/>
              <w:ind w:left="410"/>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275" w:type="dxa"/>
            <w:vMerge w:val="restart"/>
            <w:tcBorders>
              <w:bottom w:val="nil"/>
              <w:right w:val="nil"/>
            </w:tcBorders>
            <w:vAlign w:val="top"/>
          </w:tcPr>
          <w:p w14:paraId="3E8DA8C2">
            <w:pPr>
              <w:spacing w:line="253" w:lineRule="auto"/>
              <w:rPr>
                <w:rFonts w:ascii="Arial"/>
                <w:sz w:val="21"/>
              </w:rPr>
            </w:pPr>
          </w:p>
          <w:p w14:paraId="071572BF">
            <w:pPr>
              <w:spacing w:line="253" w:lineRule="auto"/>
              <w:rPr>
                <w:rFonts w:ascii="Arial"/>
                <w:sz w:val="21"/>
              </w:rPr>
            </w:pPr>
          </w:p>
          <w:p w14:paraId="11805504">
            <w:pPr>
              <w:pStyle w:val="6"/>
              <w:spacing w:before="65" w:line="228" w:lineRule="auto"/>
              <w:ind w:left="341"/>
              <w:rPr>
                <w:sz w:val="20"/>
                <w:szCs w:val="20"/>
              </w:rPr>
            </w:pPr>
            <w:r>
              <w:rPr>
                <w:rFonts w:ascii="Times New Roman" w:hAnsi="Times New Roman" w:eastAsia="Times New Roman" w:cs="Times New Roman"/>
                <w:spacing w:val="-3"/>
                <w:sz w:val="20"/>
                <w:szCs w:val="20"/>
              </w:rPr>
              <w:t>1</w:t>
            </w:r>
            <w:r>
              <w:rPr>
                <w:rFonts w:ascii="Times New Roman" w:hAnsi="Times New Roman" w:eastAsia="Times New Roman" w:cs="Times New Roman"/>
                <w:spacing w:val="15"/>
                <w:sz w:val="20"/>
                <w:szCs w:val="20"/>
              </w:rPr>
              <w:t xml:space="preserve"> </w:t>
            </w:r>
            <w:r>
              <w:rPr>
                <w:spacing w:val="-3"/>
                <w:sz w:val="20"/>
                <w:szCs w:val="20"/>
              </w:rPr>
              <w:t>次</w:t>
            </w:r>
            <w:r>
              <w:rPr>
                <w:rFonts w:ascii="Times New Roman" w:hAnsi="Times New Roman" w:eastAsia="Times New Roman" w:cs="Times New Roman"/>
                <w:spacing w:val="-3"/>
                <w:sz w:val="20"/>
                <w:szCs w:val="20"/>
              </w:rPr>
              <w:t>/</w:t>
            </w:r>
            <w:r>
              <w:rPr>
                <w:spacing w:val="-3"/>
                <w:sz w:val="20"/>
                <w:szCs w:val="20"/>
              </w:rPr>
              <w:t>年</w:t>
            </w:r>
          </w:p>
        </w:tc>
      </w:tr>
      <w:tr w14:paraId="6C069D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continue"/>
            <w:tcBorders>
              <w:top w:val="nil"/>
              <w:left w:val="nil"/>
            </w:tcBorders>
            <w:vAlign w:val="top"/>
          </w:tcPr>
          <w:p w14:paraId="0D835EC3">
            <w:pPr>
              <w:rPr>
                <w:rFonts w:ascii="Arial"/>
                <w:sz w:val="21"/>
              </w:rPr>
            </w:pPr>
          </w:p>
        </w:tc>
        <w:tc>
          <w:tcPr>
            <w:tcW w:w="2593" w:type="dxa"/>
            <w:vMerge w:val="continue"/>
            <w:tcBorders>
              <w:top w:val="nil"/>
            </w:tcBorders>
            <w:vAlign w:val="top"/>
          </w:tcPr>
          <w:p w14:paraId="3447802E">
            <w:pPr>
              <w:rPr>
                <w:rFonts w:ascii="Arial"/>
                <w:sz w:val="21"/>
              </w:rPr>
            </w:pPr>
          </w:p>
        </w:tc>
        <w:tc>
          <w:tcPr>
            <w:tcW w:w="1635" w:type="dxa"/>
            <w:vAlign w:val="top"/>
          </w:tcPr>
          <w:p w14:paraId="3E317E81">
            <w:pPr>
              <w:pStyle w:val="6"/>
              <w:spacing w:before="73" w:line="228" w:lineRule="auto"/>
              <w:ind w:left="191"/>
              <w:rPr>
                <w:sz w:val="20"/>
                <w:szCs w:val="20"/>
              </w:rPr>
            </w:pPr>
            <w:r>
              <w:rPr>
                <w:spacing w:val="8"/>
                <w:sz w:val="20"/>
                <w:szCs w:val="20"/>
              </w:rPr>
              <w:t>锰及其化合物</w:t>
            </w:r>
          </w:p>
        </w:tc>
        <w:tc>
          <w:tcPr>
            <w:tcW w:w="640" w:type="dxa"/>
            <w:vMerge w:val="continue"/>
            <w:tcBorders>
              <w:top w:val="nil"/>
              <w:bottom w:val="nil"/>
            </w:tcBorders>
            <w:vAlign w:val="top"/>
          </w:tcPr>
          <w:p w14:paraId="750DDDE2">
            <w:pPr>
              <w:rPr>
                <w:rFonts w:ascii="Arial"/>
                <w:sz w:val="21"/>
              </w:rPr>
            </w:pPr>
          </w:p>
        </w:tc>
        <w:tc>
          <w:tcPr>
            <w:tcW w:w="817" w:type="dxa"/>
            <w:vMerge w:val="continue"/>
            <w:tcBorders>
              <w:top w:val="nil"/>
              <w:bottom w:val="nil"/>
            </w:tcBorders>
            <w:vAlign w:val="top"/>
          </w:tcPr>
          <w:p w14:paraId="4CB5B5F9">
            <w:pPr>
              <w:rPr>
                <w:rFonts w:ascii="Arial"/>
                <w:sz w:val="21"/>
              </w:rPr>
            </w:pPr>
          </w:p>
        </w:tc>
        <w:tc>
          <w:tcPr>
            <w:tcW w:w="724" w:type="dxa"/>
            <w:vMerge w:val="continue"/>
            <w:tcBorders>
              <w:top w:val="nil"/>
              <w:bottom w:val="nil"/>
            </w:tcBorders>
            <w:vAlign w:val="top"/>
          </w:tcPr>
          <w:p w14:paraId="7C3DB4A4">
            <w:pPr>
              <w:rPr>
                <w:rFonts w:ascii="Arial"/>
                <w:sz w:val="21"/>
              </w:rPr>
            </w:pPr>
          </w:p>
        </w:tc>
        <w:tc>
          <w:tcPr>
            <w:tcW w:w="915" w:type="dxa"/>
            <w:vMerge w:val="continue"/>
            <w:tcBorders>
              <w:top w:val="nil"/>
              <w:bottom w:val="nil"/>
            </w:tcBorders>
            <w:vAlign w:val="top"/>
          </w:tcPr>
          <w:p w14:paraId="60C20123">
            <w:pPr>
              <w:rPr>
                <w:rFonts w:ascii="Arial"/>
                <w:sz w:val="21"/>
              </w:rPr>
            </w:pPr>
          </w:p>
        </w:tc>
        <w:tc>
          <w:tcPr>
            <w:tcW w:w="1275" w:type="dxa"/>
            <w:vMerge w:val="continue"/>
            <w:tcBorders>
              <w:top w:val="nil"/>
              <w:bottom w:val="nil"/>
              <w:right w:val="nil"/>
            </w:tcBorders>
            <w:vAlign w:val="top"/>
          </w:tcPr>
          <w:p w14:paraId="468DF80C">
            <w:pPr>
              <w:rPr>
                <w:rFonts w:ascii="Arial"/>
                <w:sz w:val="21"/>
              </w:rPr>
            </w:pPr>
          </w:p>
        </w:tc>
      </w:tr>
      <w:tr w14:paraId="39E629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restart"/>
            <w:tcBorders>
              <w:left w:val="nil"/>
              <w:bottom w:val="nil"/>
            </w:tcBorders>
            <w:vAlign w:val="top"/>
          </w:tcPr>
          <w:p w14:paraId="34AE28D2">
            <w:pPr>
              <w:spacing w:before="277" w:line="211" w:lineRule="auto"/>
              <w:ind w:left="180"/>
              <w:rPr>
                <w:rFonts w:ascii="Times New Roman" w:hAnsi="Times New Roman" w:eastAsia="Times New Roman" w:cs="Times New Roman"/>
                <w:sz w:val="13"/>
                <w:szCs w:val="13"/>
              </w:rPr>
            </w:pPr>
            <w:r>
              <w:rPr>
                <w:rFonts w:ascii="Times New Roman" w:hAnsi="Times New Roman" w:eastAsia="Times New Roman" w:cs="Times New Roman"/>
                <w:spacing w:val="2"/>
                <w:sz w:val="20"/>
                <w:szCs w:val="20"/>
              </w:rPr>
              <w:t>G</w:t>
            </w:r>
            <w:r>
              <w:rPr>
                <w:rFonts w:ascii="Times New Roman" w:hAnsi="Times New Roman" w:eastAsia="Times New Roman" w:cs="Times New Roman"/>
                <w:spacing w:val="2"/>
                <w:sz w:val="13"/>
                <w:szCs w:val="13"/>
              </w:rPr>
              <w:t>1-9</w:t>
            </w:r>
          </w:p>
        </w:tc>
        <w:tc>
          <w:tcPr>
            <w:tcW w:w="2593" w:type="dxa"/>
            <w:vMerge w:val="restart"/>
            <w:tcBorders>
              <w:bottom w:val="nil"/>
            </w:tcBorders>
            <w:vAlign w:val="top"/>
          </w:tcPr>
          <w:p w14:paraId="1D7AABC8">
            <w:pPr>
              <w:pStyle w:val="6"/>
              <w:spacing w:before="241" w:line="228" w:lineRule="auto"/>
              <w:ind w:left="461"/>
              <w:rPr>
                <w:sz w:val="20"/>
                <w:szCs w:val="20"/>
              </w:rPr>
            </w:pPr>
            <w:r>
              <w:rPr>
                <w:spacing w:val="8"/>
                <w:sz w:val="20"/>
                <w:szCs w:val="20"/>
              </w:rPr>
              <w:t>锰硅电炉加料粉尘</w:t>
            </w:r>
          </w:p>
        </w:tc>
        <w:tc>
          <w:tcPr>
            <w:tcW w:w="1635" w:type="dxa"/>
            <w:vAlign w:val="top"/>
          </w:tcPr>
          <w:p w14:paraId="537F1374">
            <w:pPr>
              <w:pStyle w:val="6"/>
              <w:spacing w:before="73" w:line="228" w:lineRule="auto"/>
              <w:ind w:left="507"/>
              <w:rPr>
                <w:sz w:val="20"/>
                <w:szCs w:val="20"/>
              </w:rPr>
            </w:pPr>
            <w:r>
              <w:rPr>
                <w:spacing w:val="7"/>
                <w:sz w:val="20"/>
                <w:szCs w:val="20"/>
              </w:rPr>
              <w:t>颗粒物</w:t>
            </w:r>
          </w:p>
        </w:tc>
        <w:tc>
          <w:tcPr>
            <w:tcW w:w="640" w:type="dxa"/>
            <w:vMerge w:val="continue"/>
            <w:tcBorders>
              <w:top w:val="nil"/>
              <w:bottom w:val="nil"/>
            </w:tcBorders>
            <w:vAlign w:val="top"/>
          </w:tcPr>
          <w:p w14:paraId="28A11D47">
            <w:pPr>
              <w:rPr>
                <w:rFonts w:ascii="Arial"/>
                <w:sz w:val="21"/>
              </w:rPr>
            </w:pPr>
          </w:p>
        </w:tc>
        <w:tc>
          <w:tcPr>
            <w:tcW w:w="817" w:type="dxa"/>
            <w:vMerge w:val="continue"/>
            <w:tcBorders>
              <w:top w:val="nil"/>
              <w:bottom w:val="nil"/>
            </w:tcBorders>
            <w:vAlign w:val="top"/>
          </w:tcPr>
          <w:p w14:paraId="072771B2">
            <w:pPr>
              <w:rPr>
                <w:rFonts w:ascii="Arial"/>
                <w:sz w:val="21"/>
              </w:rPr>
            </w:pPr>
          </w:p>
        </w:tc>
        <w:tc>
          <w:tcPr>
            <w:tcW w:w="724" w:type="dxa"/>
            <w:vMerge w:val="continue"/>
            <w:tcBorders>
              <w:top w:val="nil"/>
              <w:bottom w:val="nil"/>
            </w:tcBorders>
            <w:vAlign w:val="top"/>
          </w:tcPr>
          <w:p w14:paraId="53C664A6">
            <w:pPr>
              <w:rPr>
                <w:rFonts w:ascii="Arial"/>
                <w:sz w:val="21"/>
              </w:rPr>
            </w:pPr>
          </w:p>
        </w:tc>
        <w:tc>
          <w:tcPr>
            <w:tcW w:w="915" w:type="dxa"/>
            <w:vMerge w:val="continue"/>
            <w:tcBorders>
              <w:top w:val="nil"/>
              <w:bottom w:val="nil"/>
            </w:tcBorders>
            <w:vAlign w:val="top"/>
          </w:tcPr>
          <w:p w14:paraId="7101C372">
            <w:pPr>
              <w:rPr>
                <w:rFonts w:ascii="Arial"/>
                <w:sz w:val="21"/>
              </w:rPr>
            </w:pPr>
          </w:p>
        </w:tc>
        <w:tc>
          <w:tcPr>
            <w:tcW w:w="1275" w:type="dxa"/>
            <w:vMerge w:val="continue"/>
            <w:tcBorders>
              <w:top w:val="nil"/>
              <w:bottom w:val="nil"/>
              <w:right w:val="nil"/>
            </w:tcBorders>
            <w:vAlign w:val="top"/>
          </w:tcPr>
          <w:p w14:paraId="30802768">
            <w:pPr>
              <w:rPr>
                <w:rFonts w:ascii="Arial"/>
                <w:sz w:val="21"/>
              </w:rPr>
            </w:pPr>
          </w:p>
        </w:tc>
      </w:tr>
      <w:tr w14:paraId="464259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680" w:type="dxa"/>
            <w:vMerge w:val="continue"/>
            <w:tcBorders>
              <w:top w:val="nil"/>
              <w:left w:val="nil"/>
            </w:tcBorders>
            <w:vAlign w:val="top"/>
          </w:tcPr>
          <w:p w14:paraId="011C01BA">
            <w:pPr>
              <w:rPr>
                <w:rFonts w:ascii="Arial"/>
                <w:sz w:val="21"/>
              </w:rPr>
            </w:pPr>
          </w:p>
        </w:tc>
        <w:tc>
          <w:tcPr>
            <w:tcW w:w="2593" w:type="dxa"/>
            <w:vMerge w:val="continue"/>
            <w:tcBorders>
              <w:top w:val="nil"/>
            </w:tcBorders>
            <w:vAlign w:val="top"/>
          </w:tcPr>
          <w:p w14:paraId="1B98BF15">
            <w:pPr>
              <w:rPr>
                <w:rFonts w:ascii="Arial"/>
                <w:sz w:val="21"/>
              </w:rPr>
            </w:pPr>
          </w:p>
        </w:tc>
        <w:tc>
          <w:tcPr>
            <w:tcW w:w="1635" w:type="dxa"/>
            <w:vAlign w:val="top"/>
          </w:tcPr>
          <w:p w14:paraId="17819E64">
            <w:pPr>
              <w:pStyle w:val="6"/>
              <w:spacing w:before="73" w:line="228" w:lineRule="auto"/>
              <w:ind w:left="191"/>
              <w:rPr>
                <w:sz w:val="20"/>
                <w:szCs w:val="20"/>
              </w:rPr>
            </w:pPr>
            <w:r>
              <w:rPr>
                <w:spacing w:val="8"/>
                <w:sz w:val="20"/>
                <w:szCs w:val="20"/>
              </w:rPr>
              <w:t>锰及其化合物</w:t>
            </w:r>
          </w:p>
        </w:tc>
        <w:tc>
          <w:tcPr>
            <w:tcW w:w="640" w:type="dxa"/>
            <w:vMerge w:val="continue"/>
            <w:tcBorders>
              <w:top w:val="nil"/>
            </w:tcBorders>
            <w:vAlign w:val="top"/>
          </w:tcPr>
          <w:p w14:paraId="290BC59A">
            <w:pPr>
              <w:rPr>
                <w:rFonts w:ascii="Arial"/>
                <w:sz w:val="21"/>
              </w:rPr>
            </w:pPr>
          </w:p>
        </w:tc>
        <w:tc>
          <w:tcPr>
            <w:tcW w:w="817" w:type="dxa"/>
            <w:vMerge w:val="continue"/>
            <w:tcBorders>
              <w:top w:val="nil"/>
            </w:tcBorders>
            <w:vAlign w:val="top"/>
          </w:tcPr>
          <w:p w14:paraId="69CC946F">
            <w:pPr>
              <w:rPr>
                <w:rFonts w:ascii="Arial"/>
                <w:sz w:val="21"/>
              </w:rPr>
            </w:pPr>
          </w:p>
        </w:tc>
        <w:tc>
          <w:tcPr>
            <w:tcW w:w="724" w:type="dxa"/>
            <w:vMerge w:val="continue"/>
            <w:tcBorders>
              <w:top w:val="nil"/>
            </w:tcBorders>
            <w:vAlign w:val="top"/>
          </w:tcPr>
          <w:p w14:paraId="35A9FF61">
            <w:pPr>
              <w:rPr>
                <w:rFonts w:ascii="Arial"/>
                <w:sz w:val="21"/>
              </w:rPr>
            </w:pPr>
          </w:p>
        </w:tc>
        <w:tc>
          <w:tcPr>
            <w:tcW w:w="915" w:type="dxa"/>
            <w:vMerge w:val="continue"/>
            <w:tcBorders>
              <w:top w:val="nil"/>
            </w:tcBorders>
            <w:vAlign w:val="top"/>
          </w:tcPr>
          <w:p w14:paraId="0F453A6C">
            <w:pPr>
              <w:rPr>
                <w:rFonts w:ascii="Arial"/>
                <w:sz w:val="21"/>
              </w:rPr>
            </w:pPr>
          </w:p>
        </w:tc>
        <w:tc>
          <w:tcPr>
            <w:tcW w:w="1275" w:type="dxa"/>
            <w:vMerge w:val="continue"/>
            <w:tcBorders>
              <w:top w:val="nil"/>
              <w:right w:val="nil"/>
            </w:tcBorders>
            <w:vAlign w:val="top"/>
          </w:tcPr>
          <w:p w14:paraId="7A04624E">
            <w:pPr>
              <w:rPr>
                <w:rFonts w:ascii="Arial"/>
                <w:sz w:val="21"/>
              </w:rPr>
            </w:pPr>
          </w:p>
        </w:tc>
      </w:tr>
      <w:tr w14:paraId="7335ED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restart"/>
            <w:tcBorders>
              <w:left w:val="nil"/>
              <w:bottom w:val="nil"/>
            </w:tcBorders>
            <w:vAlign w:val="top"/>
          </w:tcPr>
          <w:p w14:paraId="442FB134">
            <w:pPr>
              <w:spacing w:before="278" w:line="211" w:lineRule="auto"/>
              <w:ind w:left="146"/>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1-</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1"/>
                <w:sz w:val="13"/>
                <w:szCs w:val="13"/>
              </w:rPr>
              <w:t>10</w:t>
            </w:r>
          </w:p>
        </w:tc>
        <w:tc>
          <w:tcPr>
            <w:tcW w:w="2593" w:type="dxa"/>
            <w:vMerge w:val="restart"/>
            <w:tcBorders>
              <w:bottom w:val="nil"/>
            </w:tcBorders>
            <w:vAlign w:val="top"/>
          </w:tcPr>
          <w:p w14:paraId="43AB06E2">
            <w:pPr>
              <w:pStyle w:val="6"/>
              <w:spacing w:before="242" w:line="228" w:lineRule="auto"/>
              <w:ind w:left="146"/>
              <w:rPr>
                <w:sz w:val="20"/>
                <w:szCs w:val="20"/>
              </w:rPr>
            </w:pPr>
            <w:r>
              <w:rPr>
                <w:spacing w:val="9"/>
                <w:sz w:val="20"/>
                <w:szCs w:val="20"/>
              </w:rPr>
              <w:t>锰硅出铁出渣及浇铸烟气</w:t>
            </w:r>
          </w:p>
        </w:tc>
        <w:tc>
          <w:tcPr>
            <w:tcW w:w="1635" w:type="dxa"/>
            <w:vAlign w:val="top"/>
          </w:tcPr>
          <w:p w14:paraId="1A94F501">
            <w:pPr>
              <w:pStyle w:val="6"/>
              <w:spacing w:before="74" w:line="227" w:lineRule="auto"/>
              <w:ind w:left="507"/>
              <w:rPr>
                <w:sz w:val="20"/>
                <w:szCs w:val="20"/>
              </w:rPr>
            </w:pPr>
            <w:r>
              <w:rPr>
                <w:spacing w:val="7"/>
                <w:sz w:val="20"/>
                <w:szCs w:val="20"/>
              </w:rPr>
              <w:t>颗粒物</w:t>
            </w:r>
          </w:p>
        </w:tc>
        <w:tc>
          <w:tcPr>
            <w:tcW w:w="640" w:type="dxa"/>
            <w:vMerge w:val="restart"/>
            <w:tcBorders>
              <w:bottom w:val="nil"/>
            </w:tcBorders>
            <w:vAlign w:val="top"/>
          </w:tcPr>
          <w:p w14:paraId="22D3E86C">
            <w:pPr>
              <w:spacing w:before="278" w:line="195" w:lineRule="auto"/>
              <w:ind w:left="220"/>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817" w:type="dxa"/>
            <w:vMerge w:val="restart"/>
            <w:tcBorders>
              <w:bottom w:val="nil"/>
            </w:tcBorders>
            <w:vAlign w:val="top"/>
          </w:tcPr>
          <w:p w14:paraId="4512A8EC">
            <w:pPr>
              <w:spacing w:before="278" w:line="195" w:lineRule="auto"/>
              <w:ind w:left="299"/>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1.0</w:t>
            </w:r>
          </w:p>
        </w:tc>
        <w:tc>
          <w:tcPr>
            <w:tcW w:w="724" w:type="dxa"/>
            <w:vMerge w:val="restart"/>
            <w:tcBorders>
              <w:bottom w:val="nil"/>
            </w:tcBorders>
            <w:vAlign w:val="top"/>
          </w:tcPr>
          <w:p w14:paraId="5B950D93">
            <w:pPr>
              <w:spacing w:before="278" w:line="195" w:lineRule="auto"/>
              <w:ind w:left="22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120</w:t>
            </w:r>
          </w:p>
        </w:tc>
        <w:tc>
          <w:tcPr>
            <w:tcW w:w="915" w:type="dxa"/>
            <w:vMerge w:val="restart"/>
            <w:tcBorders>
              <w:bottom w:val="nil"/>
            </w:tcBorders>
            <w:vAlign w:val="top"/>
          </w:tcPr>
          <w:p w14:paraId="6FB05F4C">
            <w:pPr>
              <w:spacing w:before="278" w:line="195" w:lineRule="auto"/>
              <w:ind w:left="410"/>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275" w:type="dxa"/>
            <w:vMerge w:val="restart"/>
            <w:tcBorders>
              <w:bottom w:val="nil"/>
              <w:right w:val="nil"/>
            </w:tcBorders>
            <w:vAlign w:val="top"/>
          </w:tcPr>
          <w:p w14:paraId="769A8777">
            <w:pPr>
              <w:pStyle w:val="6"/>
              <w:spacing w:before="242" w:line="228" w:lineRule="auto"/>
              <w:ind w:left="116"/>
              <w:rPr>
                <w:sz w:val="20"/>
                <w:szCs w:val="20"/>
              </w:rPr>
            </w:pPr>
            <w:r>
              <w:rPr>
                <w:sz w:val="20"/>
                <w:szCs w:val="20"/>
              </w:rPr>
              <w:t>每季度</w:t>
            </w:r>
            <w:r>
              <w:rPr>
                <w:spacing w:val="-21"/>
                <w:sz w:val="20"/>
                <w:szCs w:val="20"/>
              </w:rPr>
              <w:t xml:space="preserve"> </w:t>
            </w:r>
            <w:r>
              <w:rPr>
                <w:rFonts w:ascii="Times New Roman" w:hAnsi="Times New Roman" w:eastAsia="Times New Roman" w:cs="Times New Roman"/>
                <w:sz w:val="20"/>
                <w:szCs w:val="20"/>
              </w:rPr>
              <w:t>1</w:t>
            </w:r>
            <w:r>
              <w:rPr>
                <w:rFonts w:ascii="Times New Roman" w:hAnsi="Times New Roman" w:eastAsia="Times New Roman" w:cs="Times New Roman"/>
                <w:spacing w:val="15"/>
                <w:w w:val="101"/>
                <w:sz w:val="20"/>
                <w:szCs w:val="20"/>
              </w:rPr>
              <w:t xml:space="preserve"> </w:t>
            </w:r>
            <w:r>
              <w:rPr>
                <w:sz w:val="20"/>
                <w:szCs w:val="20"/>
              </w:rPr>
              <w:t>次</w:t>
            </w:r>
          </w:p>
        </w:tc>
      </w:tr>
      <w:tr w14:paraId="67AE38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continue"/>
            <w:tcBorders>
              <w:top w:val="nil"/>
              <w:left w:val="nil"/>
            </w:tcBorders>
            <w:vAlign w:val="top"/>
          </w:tcPr>
          <w:p w14:paraId="6B08B377">
            <w:pPr>
              <w:rPr>
                <w:rFonts w:ascii="Arial"/>
                <w:sz w:val="21"/>
              </w:rPr>
            </w:pPr>
          </w:p>
        </w:tc>
        <w:tc>
          <w:tcPr>
            <w:tcW w:w="2593" w:type="dxa"/>
            <w:vMerge w:val="continue"/>
            <w:tcBorders>
              <w:top w:val="nil"/>
            </w:tcBorders>
            <w:vAlign w:val="top"/>
          </w:tcPr>
          <w:p w14:paraId="521952C4">
            <w:pPr>
              <w:rPr>
                <w:rFonts w:ascii="Arial"/>
                <w:sz w:val="21"/>
              </w:rPr>
            </w:pPr>
          </w:p>
        </w:tc>
        <w:tc>
          <w:tcPr>
            <w:tcW w:w="1635" w:type="dxa"/>
            <w:vAlign w:val="top"/>
          </w:tcPr>
          <w:p w14:paraId="0E7EE3A0">
            <w:pPr>
              <w:pStyle w:val="6"/>
              <w:spacing w:before="75" w:line="226" w:lineRule="auto"/>
              <w:ind w:left="191"/>
              <w:rPr>
                <w:sz w:val="20"/>
                <w:szCs w:val="20"/>
              </w:rPr>
            </w:pPr>
            <w:r>
              <w:rPr>
                <w:spacing w:val="8"/>
                <w:sz w:val="20"/>
                <w:szCs w:val="20"/>
              </w:rPr>
              <w:t>锰及其化合物</w:t>
            </w:r>
          </w:p>
        </w:tc>
        <w:tc>
          <w:tcPr>
            <w:tcW w:w="640" w:type="dxa"/>
            <w:vMerge w:val="continue"/>
            <w:tcBorders>
              <w:top w:val="nil"/>
            </w:tcBorders>
            <w:vAlign w:val="top"/>
          </w:tcPr>
          <w:p w14:paraId="201E1DE0">
            <w:pPr>
              <w:rPr>
                <w:rFonts w:ascii="Arial"/>
                <w:sz w:val="21"/>
              </w:rPr>
            </w:pPr>
          </w:p>
        </w:tc>
        <w:tc>
          <w:tcPr>
            <w:tcW w:w="817" w:type="dxa"/>
            <w:vMerge w:val="continue"/>
            <w:tcBorders>
              <w:top w:val="nil"/>
            </w:tcBorders>
            <w:vAlign w:val="top"/>
          </w:tcPr>
          <w:p w14:paraId="2030EB35">
            <w:pPr>
              <w:rPr>
                <w:rFonts w:ascii="Arial"/>
                <w:sz w:val="21"/>
              </w:rPr>
            </w:pPr>
          </w:p>
        </w:tc>
        <w:tc>
          <w:tcPr>
            <w:tcW w:w="724" w:type="dxa"/>
            <w:vMerge w:val="continue"/>
            <w:tcBorders>
              <w:top w:val="nil"/>
            </w:tcBorders>
            <w:vAlign w:val="top"/>
          </w:tcPr>
          <w:p w14:paraId="3C3FC7FE">
            <w:pPr>
              <w:rPr>
                <w:rFonts w:ascii="Arial"/>
                <w:sz w:val="21"/>
              </w:rPr>
            </w:pPr>
          </w:p>
        </w:tc>
        <w:tc>
          <w:tcPr>
            <w:tcW w:w="915" w:type="dxa"/>
            <w:vMerge w:val="continue"/>
            <w:tcBorders>
              <w:top w:val="nil"/>
            </w:tcBorders>
            <w:vAlign w:val="top"/>
          </w:tcPr>
          <w:p w14:paraId="44D1824D">
            <w:pPr>
              <w:rPr>
                <w:rFonts w:ascii="Arial"/>
                <w:sz w:val="21"/>
              </w:rPr>
            </w:pPr>
          </w:p>
        </w:tc>
        <w:tc>
          <w:tcPr>
            <w:tcW w:w="1275" w:type="dxa"/>
            <w:vMerge w:val="continue"/>
            <w:tcBorders>
              <w:top w:val="nil"/>
              <w:right w:val="nil"/>
            </w:tcBorders>
            <w:vAlign w:val="top"/>
          </w:tcPr>
          <w:p w14:paraId="5A747ED6">
            <w:pPr>
              <w:rPr>
                <w:rFonts w:ascii="Arial"/>
                <w:sz w:val="21"/>
              </w:rPr>
            </w:pPr>
          </w:p>
        </w:tc>
      </w:tr>
      <w:tr w14:paraId="0156FE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restart"/>
            <w:tcBorders>
              <w:left w:val="nil"/>
              <w:bottom w:val="nil"/>
            </w:tcBorders>
            <w:vAlign w:val="top"/>
          </w:tcPr>
          <w:p w14:paraId="32A3CAA7">
            <w:pPr>
              <w:rPr>
                <w:rFonts w:ascii="Arial"/>
                <w:sz w:val="21"/>
              </w:rPr>
            </w:pPr>
          </w:p>
          <w:p w14:paraId="59DE6C69">
            <w:pPr>
              <w:spacing w:line="241" w:lineRule="auto"/>
              <w:rPr>
                <w:rFonts w:ascii="Arial"/>
                <w:sz w:val="21"/>
              </w:rPr>
            </w:pPr>
          </w:p>
          <w:p w14:paraId="1870FA8D">
            <w:pPr>
              <w:spacing w:line="241" w:lineRule="auto"/>
              <w:rPr>
                <w:rFonts w:ascii="Arial"/>
                <w:sz w:val="21"/>
              </w:rPr>
            </w:pPr>
          </w:p>
          <w:p w14:paraId="25CCAFAB">
            <w:pPr>
              <w:spacing w:before="58" w:line="209" w:lineRule="auto"/>
              <w:ind w:left="180"/>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sz w:val="13"/>
                <w:szCs w:val="13"/>
              </w:rPr>
              <w:t>2-</w:t>
            </w:r>
            <w:r>
              <w:rPr>
                <w:rFonts w:ascii="Times New Roman" w:hAnsi="Times New Roman" w:eastAsia="Times New Roman" w:cs="Times New Roman"/>
                <w:spacing w:val="-18"/>
                <w:sz w:val="13"/>
                <w:szCs w:val="13"/>
              </w:rPr>
              <w:t xml:space="preserve"> </w:t>
            </w:r>
            <w:r>
              <w:rPr>
                <w:rFonts w:ascii="Times New Roman" w:hAnsi="Times New Roman" w:eastAsia="Times New Roman" w:cs="Times New Roman"/>
                <w:spacing w:val="1"/>
                <w:sz w:val="13"/>
                <w:szCs w:val="13"/>
              </w:rPr>
              <w:t>1</w:t>
            </w:r>
          </w:p>
        </w:tc>
        <w:tc>
          <w:tcPr>
            <w:tcW w:w="2593" w:type="dxa"/>
            <w:vMerge w:val="restart"/>
            <w:tcBorders>
              <w:bottom w:val="nil"/>
            </w:tcBorders>
            <w:vAlign w:val="top"/>
          </w:tcPr>
          <w:p w14:paraId="6ABCBFC0">
            <w:pPr>
              <w:spacing w:line="339" w:lineRule="auto"/>
              <w:rPr>
                <w:rFonts w:ascii="Arial"/>
                <w:sz w:val="21"/>
              </w:rPr>
            </w:pPr>
          </w:p>
          <w:p w14:paraId="4590ACD1">
            <w:pPr>
              <w:spacing w:line="340" w:lineRule="auto"/>
              <w:rPr>
                <w:rFonts w:ascii="Arial"/>
                <w:sz w:val="21"/>
              </w:rPr>
            </w:pPr>
          </w:p>
          <w:p w14:paraId="6628EBE6">
            <w:pPr>
              <w:pStyle w:val="6"/>
              <w:spacing w:before="65" w:line="228" w:lineRule="auto"/>
              <w:ind w:left="462"/>
              <w:rPr>
                <w:sz w:val="20"/>
                <w:szCs w:val="20"/>
              </w:rPr>
            </w:pPr>
            <w:r>
              <w:rPr>
                <w:spacing w:val="8"/>
                <w:sz w:val="20"/>
                <w:szCs w:val="20"/>
              </w:rPr>
              <w:t>燃气发电锅炉废气</w:t>
            </w:r>
          </w:p>
        </w:tc>
        <w:tc>
          <w:tcPr>
            <w:tcW w:w="1635" w:type="dxa"/>
            <w:vAlign w:val="top"/>
          </w:tcPr>
          <w:p w14:paraId="56D0292E">
            <w:pPr>
              <w:spacing w:before="112" w:line="202" w:lineRule="auto"/>
              <w:ind w:left="610"/>
              <w:rPr>
                <w:rFonts w:ascii="Times New Roman" w:hAnsi="Times New Roman" w:eastAsia="Times New Roman" w:cs="Times New Roman"/>
                <w:sz w:val="13"/>
                <w:szCs w:val="13"/>
              </w:rPr>
            </w:pPr>
            <w:r>
              <w:rPr>
                <w:rFonts w:ascii="Times New Roman" w:hAnsi="Times New Roman" w:eastAsia="Times New Roman" w:cs="Times New Roman"/>
                <w:spacing w:val="7"/>
                <w:sz w:val="20"/>
                <w:szCs w:val="20"/>
              </w:rPr>
              <w:t>NO</w:t>
            </w:r>
            <w:r>
              <w:rPr>
                <w:rFonts w:ascii="Times New Roman" w:hAnsi="Times New Roman" w:eastAsia="Times New Roman" w:cs="Times New Roman"/>
                <w:spacing w:val="7"/>
                <w:position w:val="-1"/>
                <w:sz w:val="13"/>
                <w:szCs w:val="13"/>
              </w:rPr>
              <w:t>X</w:t>
            </w:r>
          </w:p>
        </w:tc>
        <w:tc>
          <w:tcPr>
            <w:tcW w:w="640" w:type="dxa"/>
            <w:vMerge w:val="restart"/>
            <w:tcBorders>
              <w:bottom w:val="nil"/>
            </w:tcBorders>
            <w:vAlign w:val="top"/>
          </w:tcPr>
          <w:p w14:paraId="76C2D0B3">
            <w:pPr>
              <w:rPr>
                <w:rFonts w:ascii="Arial"/>
                <w:sz w:val="21"/>
              </w:rPr>
            </w:pPr>
          </w:p>
          <w:p w14:paraId="3217707A">
            <w:pPr>
              <w:spacing w:line="241" w:lineRule="auto"/>
              <w:rPr>
                <w:rFonts w:ascii="Arial"/>
                <w:sz w:val="21"/>
              </w:rPr>
            </w:pPr>
          </w:p>
          <w:p w14:paraId="0288432B">
            <w:pPr>
              <w:spacing w:line="241" w:lineRule="auto"/>
              <w:rPr>
                <w:rFonts w:ascii="Arial"/>
                <w:sz w:val="21"/>
              </w:rPr>
            </w:pPr>
          </w:p>
          <w:p w14:paraId="4D58B391">
            <w:pPr>
              <w:spacing w:before="57" w:line="195" w:lineRule="auto"/>
              <w:ind w:left="21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45</w:t>
            </w:r>
          </w:p>
        </w:tc>
        <w:tc>
          <w:tcPr>
            <w:tcW w:w="817" w:type="dxa"/>
            <w:vMerge w:val="restart"/>
            <w:tcBorders>
              <w:bottom w:val="nil"/>
            </w:tcBorders>
            <w:vAlign w:val="top"/>
          </w:tcPr>
          <w:p w14:paraId="6526ED67">
            <w:pPr>
              <w:rPr>
                <w:rFonts w:ascii="Arial"/>
                <w:sz w:val="21"/>
              </w:rPr>
            </w:pPr>
          </w:p>
          <w:p w14:paraId="31D4750D">
            <w:pPr>
              <w:spacing w:line="241" w:lineRule="auto"/>
              <w:rPr>
                <w:rFonts w:ascii="Arial"/>
                <w:sz w:val="21"/>
              </w:rPr>
            </w:pPr>
          </w:p>
          <w:p w14:paraId="1CB91E7B">
            <w:pPr>
              <w:spacing w:line="241" w:lineRule="auto"/>
              <w:rPr>
                <w:rFonts w:ascii="Arial"/>
                <w:sz w:val="21"/>
              </w:rPr>
            </w:pPr>
          </w:p>
          <w:p w14:paraId="47798FC9">
            <w:pPr>
              <w:spacing w:before="57" w:line="195" w:lineRule="auto"/>
              <w:ind w:left="28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0.8</w:t>
            </w:r>
          </w:p>
        </w:tc>
        <w:tc>
          <w:tcPr>
            <w:tcW w:w="724" w:type="dxa"/>
            <w:vMerge w:val="restart"/>
            <w:tcBorders>
              <w:bottom w:val="nil"/>
            </w:tcBorders>
            <w:vAlign w:val="top"/>
          </w:tcPr>
          <w:p w14:paraId="49DE5978">
            <w:pPr>
              <w:rPr>
                <w:rFonts w:ascii="Arial"/>
                <w:sz w:val="21"/>
              </w:rPr>
            </w:pPr>
          </w:p>
          <w:p w14:paraId="44EF553E">
            <w:pPr>
              <w:spacing w:line="241" w:lineRule="auto"/>
              <w:rPr>
                <w:rFonts w:ascii="Arial"/>
                <w:sz w:val="21"/>
              </w:rPr>
            </w:pPr>
          </w:p>
          <w:p w14:paraId="111E09AA">
            <w:pPr>
              <w:spacing w:line="241" w:lineRule="auto"/>
              <w:rPr>
                <w:rFonts w:ascii="Arial"/>
                <w:sz w:val="21"/>
              </w:rPr>
            </w:pPr>
          </w:p>
          <w:p w14:paraId="43D07D36">
            <w:pPr>
              <w:spacing w:before="57" w:line="195" w:lineRule="auto"/>
              <w:ind w:left="226"/>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160</w:t>
            </w:r>
          </w:p>
        </w:tc>
        <w:tc>
          <w:tcPr>
            <w:tcW w:w="915" w:type="dxa"/>
            <w:vMerge w:val="restart"/>
            <w:tcBorders>
              <w:bottom w:val="nil"/>
            </w:tcBorders>
            <w:vAlign w:val="top"/>
          </w:tcPr>
          <w:p w14:paraId="1958FE0C">
            <w:pPr>
              <w:rPr>
                <w:rFonts w:ascii="Arial"/>
                <w:sz w:val="21"/>
              </w:rPr>
            </w:pPr>
          </w:p>
          <w:p w14:paraId="68D4ACE2">
            <w:pPr>
              <w:spacing w:line="241" w:lineRule="auto"/>
              <w:rPr>
                <w:rFonts w:ascii="Arial"/>
                <w:sz w:val="21"/>
              </w:rPr>
            </w:pPr>
          </w:p>
          <w:p w14:paraId="1DF492C9">
            <w:pPr>
              <w:spacing w:line="241" w:lineRule="auto"/>
              <w:rPr>
                <w:rFonts w:ascii="Arial"/>
                <w:sz w:val="21"/>
              </w:rPr>
            </w:pPr>
          </w:p>
          <w:p w14:paraId="2F44E288">
            <w:pPr>
              <w:spacing w:before="57" w:line="195" w:lineRule="auto"/>
              <w:ind w:left="42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275" w:type="dxa"/>
            <w:vMerge w:val="restart"/>
            <w:tcBorders>
              <w:bottom w:val="nil"/>
              <w:right w:val="nil"/>
            </w:tcBorders>
            <w:vAlign w:val="top"/>
          </w:tcPr>
          <w:p w14:paraId="20F5DA11">
            <w:pPr>
              <w:spacing w:line="345" w:lineRule="auto"/>
              <w:rPr>
                <w:rFonts w:ascii="Arial"/>
                <w:sz w:val="21"/>
              </w:rPr>
            </w:pPr>
          </w:p>
          <w:p w14:paraId="4994DFF3">
            <w:pPr>
              <w:pStyle w:val="6"/>
              <w:spacing w:before="65" w:line="228" w:lineRule="auto"/>
              <w:ind w:left="221"/>
              <w:rPr>
                <w:sz w:val="20"/>
                <w:szCs w:val="20"/>
              </w:rPr>
            </w:pPr>
            <w:r>
              <w:rPr>
                <w:spacing w:val="7"/>
                <w:sz w:val="20"/>
                <w:szCs w:val="20"/>
              </w:rPr>
              <w:t>在线监测</w:t>
            </w:r>
          </w:p>
        </w:tc>
      </w:tr>
      <w:tr w14:paraId="2BA7B4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continue"/>
            <w:tcBorders>
              <w:top w:val="nil"/>
              <w:left w:val="nil"/>
              <w:bottom w:val="nil"/>
            </w:tcBorders>
            <w:vAlign w:val="top"/>
          </w:tcPr>
          <w:p w14:paraId="77AAD1CA">
            <w:pPr>
              <w:rPr>
                <w:rFonts w:ascii="Arial"/>
                <w:sz w:val="21"/>
              </w:rPr>
            </w:pPr>
          </w:p>
        </w:tc>
        <w:tc>
          <w:tcPr>
            <w:tcW w:w="2593" w:type="dxa"/>
            <w:vMerge w:val="continue"/>
            <w:tcBorders>
              <w:top w:val="nil"/>
              <w:bottom w:val="nil"/>
            </w:tcBorders>
            <w:vAlign w:val="top"/>
          </w:tcPr>
          <w:p w14:paraId="0E1934B4">
            <w:pPr>
              <w:rPr>
                <w:rFonts w:ascii="Arial"/>
                <w:sz w:val="21"/>
              </w:rPr>
            </w:pPr>
          </w:p>
        </w:tc>
        <w:tc>
          <w:tcPr>
            <w:tcW w:w="1635" w:type="dxa"/>
            <w:vAlign w:val="top"/>
          </w:tcPr>
          <w:p w14:paraId="3FDFC01D">
            <w:pPr>
              <w:spacing w:before="113" w:line="202" w:lineRule="auto"/>
              <w:ind w:left="659"/>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3"/>
                <w:position w:val="-1"/>
                <w:sz w:val="13"/>
                <w:szCs w:val="13"/>
              </w:rPr>
              <w:t>2</w:t>
            </w:r>
          </w:p>
        </w:tc>
        <w:tc>
          <w:tcPr>
            <w:tcW w:w="640" w:type="dxa"/>
            <w:vMerge w:val="continue"/>
            <w:tcBorders>
              <w:top w:val="nil"/>
              <w:bottom w:val="nil"/>
            </w:tcBorders>
            <w:vAlign w:val="top"/>
          </w:tcPr>
          <w:p w14:paraId="2C7BAF30">
            <w:pPr>
              <w:rPr>
                <w:rFonts w:ascii="Arial"/>
                <w:sz w:val="21"/>
              </w:rPr>
            </w:pPr>
          </w:p>
        </w:tc>
        <w:tc>
          <w:tcPr>
            <w:tcW w:w="817" w:type="dxa"/>
            <w:vMerge w:val="continue"/>
            <w:tcBorders>
              <w:top w:val="nil"/>
              <w:bottom w:val="nil"/>
            </w:tcBorders>
            <w:vAlign w:val="top"/>
          </w:tcPr>
          <w:p w14:paraId="1748F5B1">
            <w:pPr>
              <w:rPr>
                <w:rFonts w:ascii="Arial"/>
                <w:sz w:val="21"/>
              </w:rPr>
            </w:pPr>
          </w:p>
        </w:tc>
        <w:tc>
          <w:tcPr>
            <w:tcW w:w="724" w:type="dxa"/>
            <w:vMerge w:val="continue"/>
            <w:tcBorders>
              <w:top w:val="nil"/>
              <w:bottom w:val="nil"/>
            </w:tcBorders>
            <w:vAlign w:val="top"/>
          </w:tcPr>
          <w:p w14:paraId="0291B58B">
            <w:pPr>
              <w:rPr>
                <w:rFonts w:ascii="Arial"/>
                <w:sz w:val="21"/>
              </w:rPr>
            </w:pPr>
          </w:p>
        </w:tc>
        <w:tc>
          <w:tcPr>
            <w:tcW w:w="915" w:type="dxa"/>
            <w:vMerge w:val="continue"/>
            <w:tcBorders>
              <w:top w:val="nil"/>
              <w:bottom w:val="nil"/>
            </w:tcBorders>
            <w:vAlign w:val="top"/>
          </w:tcPr>
          <w:p w14:paraId="1F2C5A1D">
            <w:pPr>
              <w:rPr>
                <w:rFonts w:ascii="Arial"/>
                <w:sz w:val="21"/>
              </w:rPr>
            </w:pPr>
          </w:p>
        </w:tc>
        <w:tc>
          <w:tcPr>
            <w:tcW w:w="1275" w:type="dxa"/>
            <w:vMerge w:val="continue"/>
            <w:tcBorders>
              <w:top w:val="nil"/>
              <w:bottom w:val="nil"/>
              <w:right w:val="nil"/>
            </w:tcBorders>
            <w:vAlign w:val="top"/>
          </w:tcPr>
          <w:p w14:paraId="02CC18C5">
            <w:pPr>
              <w:rPr>
                <w:rFonts w:ascii="Arial"/>
                <w:sz w:val="21"/>
              </w:rPr>
            </w:pPr>
          </w:p>
        </w:tc>
      </w:tr>
      <w:tr w14:paraId="512FC1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680" w:type="dxa"/>
            <w:vMerge w:val="continue"/>
            <w:tcBorders>
              <w:top w:val="nil"/>
              <w:left w:val="nil"/>
              <w:bottom w:val="nil"/>
            </w:tcBorders>
            <w:vAlign w:val="top"/>
          </w:tcPr>
          <w:p w14:paraId="21A3A1F1">
            <w:pPr>
              <w:rPr>
                <w:rFonts w:ascii="Arial"/>
                <w:sz w:val="21"/>
              </w:rPr>
            </w:pPr>
          </w:p>
        </w:tc>
        <w:tc>
          <w:tcPr>
            <w:tcW w:w="2593" w:type="dxa"/>
            <w:vMerge w:val="continue"/>
            <w:tcBorders>
              <w:top w:val="nil"/>
              <w:bottom w:val="nil"/>
            </w:tcBorders>
            <w:vAlign w:val="top"/>
          </w:tcPr>
          <w:p w14:paraId="4684CFB6">
            <w:pPr>
              <w:rPr>
                <w:rFonts w:ascii="Arial"/>
                <w:sz w:val="21"/>
              </w:rPr>
            </w:pPr>
          </w:p>
        </w:tc>
        <w:tc>
          <w:tcPr>
            <w:tcW w:w="1635" w:type="dxa"/>
            <w:vAlign w:val="top"/>
          </w:tcPr>
          <w:p w14:paraId="592F6932">
            <w:pPr>
              <w:pStyle w:val="6"/>
              <w:spacing w:before="78" w:line="224" w:lineRule="auto"/>
              <w:ind w:left="507"/>
              <w:rPr>
                <w:sz w:val="20"/>
                <w:szCs w:val="20"/>
              </w:rPr>
            </w:pPr>
            <w:r>
              <w:rPr>
                <w:spacing w:val="7"/>
                <w:sz w:val="20"/>
                <w:szCs w:val="20"/>
              </w:rPr>
              <w:t>颗粒物</w:t>
            </w:r>
          </w:p>
        </w:tc>
        <w:tc>
          <w:tcPr>
            <w:tcW w:w="640" w:type="dxa"/>
            <w:vMerge w:val="continue"/>
            <w:tcBorders>
              <w:top w:val="nil"/>
              <w:bottom w:val="nil"/>
            </w:tcBorders>
            <w:vAlign w:val="top"/>
          </w:tcPr>
          <w:p w14:paraId="5A1A242B">
            <w:pPr>
              <w:rPr>
                <w:rFonts w:ascii="Arial"/>
                <w:sz w:val="21"/>
              </w:rPr>
            </w:pPr>
          </w:p>
        </w:tc>
        <w:tc>
          <w:tcPr>
            <w:tcW w:w="817" w:type="dxa"/>
            <w:vMerge w:val="continue"/>
            <w:tcBorders>
              <w:top w:val="nil"/>
              <w:bottom w:val="nil"/>
            </w:tcBorders>
            <w:vAlign w:val="top"/>
          </w:tcPr>
          <w:p w14:paraId="06611971">
            <w:pPr>
              <w:rPr>
                <w:rFonts w:ascii="Arial"/>
                <w:sz w:val="21"/>
              </w:rPr>
            </w:pPr>
          </w:p>
        </w:tc>
        <w:tc>
          <w:tcPr>
            <w:tcW w:w="724" w:type="dxa"/>
            <w:vMerge w:val="continue"/>
            <w:tcBorders>
              <w:top w:val="nil"/>
              <w:bottom w:val="nil"/>
            </w:tcBorders>
            <w:vAlign w:val="top"/>
          </w:tcPr>
          <w:p w14:paraId="1494D4AC">
            <w:pPr>
              <w:rPr>
                <w:rFonts w:ascii="Arial"/>
                <w:sz w:val="21"/>
              </w:rPr>
            </w:pPr>
          </w:p>
        </w:tc>
        <w:tc>
          <w:tcPr>
            <w:tcW w:w="915" w:type="dxa"/>
            <w:vMerge w:val="continue"/>
            <w:tcBorders>
              <w:top w:val="nil"/>
              <w:bottom w:val="nil"/>
            </w:tcBorders>
            <w:vAlign w:val="top"/>
          </w:tcPr>
          <w:p w14:paraId="244A3100">
            <w:pPr>
              <w:rPr>
                <w:rFonts w:ascii="Arial"/>
                <w:sz w:val="21"/>
              </w:rPr>
            </w:pPr>
          </w:p>
        </w:tc>
        <w:tc>
          <w:tcPr>
            <w:tcW w:w="1275" w:type="dxa"/>
            <w:vMerge w:val="continue"/>
            <w:tcBorders>
              <w:top w:val="nil"/>
              <w:right w:val="nil"/>
            </w:tcBorders>
            <w:vAlign w:val="top"/>
          </w:tcPr>
          <w:p w14:paraId="42F7F419">
            <w:pPr>
              <w:rPr>
                <w:rFonts w:ascii="Arial"/>
                <w:sz w:val="21"/>
              </w:rPr>
            </w:pPr>
          </w:p>
        </w:tc>
      </w:tr>
      <w:tr w14:paraId="70E6D2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continue"/>
            <w:tcBorders>
              <w:top w:val="nil"/>
              <w:left w:val="nil"/>
              <w:bottom w:val="nil"/>
            </w:tcBorders>
            <w:vAlign w:val="top"/>
          </w:tcPr>
          <w:p w14:paraId="7DADC72D">
            <w:pPr>
              <w:rPr>
                <w:rFonts w:ascii="Arial"/>
                <w:sz w:val="21"/>
              </w:rPr>
            </w:pPr>
          </w:p>
        </w:tc>
        <w:tc>
          <w:tcPr>
            <w:tcW w:w="2593" w:type="dxa"/>
            <w:vMerge w:val="continue"/>
            <w:tcBorders>
              <w:top w:val="nil"/>
              <w:bottom w:val="nil"/>
            </w:tcBorders>
            <w:vAlign w:val="top"/>
          </w:tcPr>
          <w:p w14:paraId="7BFF4A41">
            <w:pPr>
              <w:rPr>
                <w:rFonts w:ascii="Arial"/>
                <w:sz w:val="21"/>
              </w:rPr>
            </w:pPr>
          </w:p>
        </w:tc>
        <w:tc>
          <w:tcPr>
            <w:tcW w:w="1635" w:type="dxa"/>
            <w:vAlign w:val="top"/>
          </w:tcPr>
          <w:p w14:paraId="751EA7FE">
            <w:pPr>
              <w:pStyle w:val="6"/>
              <w:spacing w:before="78" w:line="223" w:lineRule="auto"/>
              <w:ind w:left="191"/>
              <w:rPr>
                <w:sz w:val="20"/>
                <w:szCs w:val="20"/>
              </w:rPr>
            </w:pPr>
            <w:r>
              <w:rPr>
                <w:spacing w:val="8"/>
                <w:sz w:val="20"/>
                <w:szCs w:val="20"/>
              </w:rPr>
              <w:t>锰及其化合物</w:t>
            </w:r>
          </w:p>
        </w:tc>
        <w:tc>
          <w:tcPr>
            <w:tcW w:w="640" w:type="dxa"/>
            <w:vMerge w:val="continue"/>
            <w:tcBorders>
              <w:top w:val="nil"/>
              <w:bottom w:val="nil"/>
            </w:tcBorders>
            <w:vAlign w:val="top"/>
          </w:tcPr>
          <w:p w14:paraId="79153B3E">
            <w:pPr>
              <w:rPr>
                <w:rFonts w:ascii="Arial"/>
                <w:sz w:val="21"/>
              </w:rPr>
            </w:pPr>
          </w:p>
        </w:tc>
        <w:tc>
          <w:tcPr>
            <w:tcW w:w="817" w:type="dxa"/>
            <w:vMerge w:val="continue"/>
            <w:tcBorders>
              <w:top w:val="nil"/>
              <w:bottom w:val="nil"/>
            </w:tcBorders>
            <w:vAlign w:val="top"/>
          </w:tcPr>
          <w:p w14:paraId="7BEB2E5A">
            <w:pPr>
              <w:rPr>
                <w:rFonts w:ascii="Arial"/>
                <w:sz w:val="21"/>
              </w:rPr>
            </w:pPr>
          </w:p>
        </w:tc>
        <w:tc>
          <w:tcPr>
            <w:tcW w:w="724" w:type="dxa"/>
            <w:vMerge w:val="continue"/>
            <w:tcBorders>
              <w:top w:val="nil"/>
              <w:bottom w:val="nil"/>
            </w:tcBorders>
            <w:vAlign w:val="top"/>
          </w:tcPr>
          <w:p w14:paraId="5ECA9CB6">
            <w:pPr>
              <w:rPr>
                <w:rFonts w:ascii="Arial"/>
                <w:sz w:val="21"/>
              </w:rPr>
            </w:pPr>
          </w:p>
        </w:tc>
        <w:tc>
          <w:tcPr>
            <w:tcW w:w="915" w:type="dxa"/>
            <w:vMerge w:val="continue"/>
            <w:tcBorders>
              <w:top w:val="nil"/>
              <w:bottom w:val="nil"/>
            </w:tcBorders>
            <w:vAlign w:val="top"/>
          </w:tcPr>
          <w:p w14:paraId="14008370">
            <w:pPr>
              <w:rPr>
                <w:rFonts w:ascii="Arial"/>
                <w:sz w:val="21"/>
              </w:rPr>
            </w:pPr>
          </w:p>
        </w:tc>
        <w:tc>
          <w:tcPr>
            <w:tcW w:w="1275" w:type="dxa"/>
            <w:vMerge w:val="restart"/>
            <w:tcBorders>
              <w:bottom w:val="nil"/>
              <w:right w:val="nil"/>
            </w:tcBorders>
            <w:vAlign w:val="top"/>
          </w:tcPr>
          <w:p w14:paraId="1704B76C">
            <w:pPr>
              <w:pStyle w:val="6"/>
              <w:spacing w:before="246" w:line="228" w:lineRule="auto"/>
              <w:ind w:left="116"/>
              <w:rPr>
                <w:sz w:val="20"/>
                <w:szCs w:val="20"/>
              </w:rPr>
            </w:pPr>
            <w:r>
              <w:rPr>
                <w:sz w:val="20"/>
                <w:szCs w:val="20"/>
              </w:rPr>
              <w:t>每季度</w:t>
            </w:r>
            <w:r>
              <w:rPr>
                <w:spacing w:val="-21"/>
                <w:sz w:val="20"/>
                <w:szCs w:val="20"/>
              </w:rPr>
              <w:t xml:space="preserve"> </w:t>
            </w:r>
            <w:r>
              <w:rPr>
                <w:rFonts w:ascii="Times New Roman" w:hAnsi="Times New Roman" w:eastAsia="Times New Roman" w:cs="Times New Roman"/>
                <w:sz w:val="20"/>
                <w:szCs w:val="20"/>
              </w:rPr>
              <w:t>1</w:t>
            </w:r>
            <w:r>
              <w:rPr>
                <w:rFonts w:ascii="Times New Roman" w:hAnsi="Times New Roman" w:eastAsia="Times New Roman" w:cs="Times New Roman"/>
                <w:spacing w:val="15"/>
                <w:w w:val="101"/>
                <w:sz w:val="20"/>
                <w:szCs w:val="20"/>
              </w:rPr>
              <w:t xml:space="preserve"> </w:t>
            </w:r>
            <w:r>
              <w:rPr>
                <w:sz w:val="20"/>
                <w:szCs w:val="20"/>
              </w:rPr>
              <w:t>次</w:t>
            </w:r>
          </w:p>
        </w:tc>
      </w:tr>
      <w:tr w14:paraId="586BE1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vMerge w:val="continue"/>
            <w:tcBorders>
              <w:top w:val="nil"/>
              <w:left w:val="nil"/>
            </w:tcBorders>
            <w:vAlign w:val="top"/>
          </w:tcPr>
          <w:p w14:paraId="2CAC3190">
            <w:pPr>
              <w:rPr>
                <w:rFonts w:ascii="Arial"/>
                <w:sz w:val="21"/>
              </w:rPr>
            </w:pPr>
          </w:p>
        </w:tc>
        <w:tc>
          <w:tcPr>
            <w:tcW w:w="2593" w:type="dxa"/>
            <w:vMerge w:val="continue"/>
            <w:tcBorders>
              <w:top w:val="nil"/>
            </w:tcBorders>
            <w:vAlign w:val="top"/>
          </w:tcPr>
          <w:p w14:paraId="718BFD40">
            <w:pPr>
              <w:rPr>
                <w:rFonts w:ascii="Arial"/>
                <w:sz w:val="21"/>
              </w:rPr>
            </w:pPr>
          </w:p>
        </w:tc>
        <w:tc>
          <w:tcPr>
            <w:tcW w:w="1635" w:type="dxa"/>
            <w:vAlign w:val="top"/>
          </w:tcPr>
          <w:p w14:paraId="5FAA9AB1">
            <w:pPr>
              <w:spacing w:before="118" w:line="199" w:lineRule="auto"/>
              <w:ind w:left="627"/>
              <w:rPr>
                <w:rFonts w:ascii="Times New Roman" w:hAnsi="Times New Roman" w:eastAsia="Times New Roman" w:cs="Times New Roman"/>
                <w:sz w:val="13"/>
                <w:szCs w:val="13"/>
              </w:rPr>
            </w:pPr>
            <w:r>
              <w:rPr>
                <w:rFonts w:ascii="Times New Roman" w:hAnsi="Times New Roman" w:eastAsia="Times New Roman" w:cs="Times New Roman"/>
                <w:spacing w:val="6"/>
                <w:sz w:val="20"/>
                <w:szCs w:val="20"/>
              </w:rPr>
              <w:t>NH</w:t>
            </w:r>
            <w:r>
              <w:rPr>
                <w:rFonts w:ascii="Times New Roman" w:hAnsi="Times New Roman" w:eastAsia="Times New Roman" w:cs="Times New Roman"/>
                <w:spacing w:val="6"/>
                <w:position w:val="-1"/>
                <w:sz w:val="13"/>
                <w:szCs w:val="13"/>
              </w:rPr>
              <w:t>3</w:t>
            </w:r>
          </w:p>
        </w:tc>
        <w:tc>
          <w:tcPr>
            <w:tcW w:w="640" w:type="dxa"/>
            <w:vMerge w:val="continue"/>
            <w:tcBorders>
              <w:top w:val="nil"/>
            </w:tcBorders>
            <w:vAlign w:val="top"/>
          </w:tcPr>
          <w:p w14:paraId="7CCAF9C8">
            <w:pPr>
              <w:rPr>
                <w:rFonts w:ascii="Arial"/>
                <w:sz w:val="21"/>
              </w:rPr>
            </w:pPr>
          </w:p>
        </w:tc>
        <w:tc>
          <w:tcPr>
            <w:tcW w:w="817" w:type="dxa"/>
            <w:vMerge w:val="continue"/>
            <w:tcBorders>
              <w:top w:val="nil"/>
            </w:tcBorders>
            <w:vAlign w:val="top"/>
          </w:tcPr>
          <w:p w14:paraId="47449813">
            <w:pPr>
              <w:rPr>
                <w:rFonts w:ascii="Arial"/>
                <w:sz w:val="21"/>
              </w:rPr>
            </w:pPr>
          </w:p>
        </w:tc>
        <w:tc>
          <w:tcPr>
            <w:tcW w:w="724" w:type="dxa"/>
            <w:vMerge w:val="continue"/>
            <w:tcBorders>
              <w:top w:val="nil"/>
            </w:tcBorders>
            <w:vAlign w:val="top"/>
          </w:tcPr>
          <w:p w14:paraId="53654BFD">
            <w:pPr>
              <w:rPr>
                <w:rFonts w:ascii="Arial"/>
                <w:sz w:val="21"/>
              </w:rPr>
            </w:pPr>
          </w:p>
        </w:tc>
        <w:tc>
          <w:tcPr>
            <w:tcW w:w="915" w:type="dxa"/>
            <w:vMerge w:val="continue"/>
            <w:tcBorders>
              <w:top w:val="nil"/>
            </w:tcBorders>
            <w:vAlign w:val="top"/>
          </w:tcPr>
          <w:p w14:paraId="3059D5C9">
            <w:pPr>
              <w:rPr>
                <w:rFonts w:ascii="Arial"/>
                <w:sz w:val="21"/>
              </w:rPr>
            </w:pPr>
          </w:p>
        </w:tc>
        <w:tc>
          <w:tcPr>
            <w:tcW w:w="1275" w:type="dxa"/>
            <w:vMerge w:val="continue"/>
            <w:tcBorders>
              <w:top w:val="nil"/>
              <w:right w:val="nil"/>
            </w:tcBorders>
            <w:vAlign w:val="top"/>
          </w:tcPr>
          <w:p w14:paraId="373E33BC">
            <w:pPr>
              <w:rPr>
                <w:rFonts w:ascii="Arial"/>
                <w:sz w:val="21"/>
              </w:rPr>
            </w:pPr>
          </w:p>
        </w:tc>
      </w:tr>
      <w:tr w14:paraId="7C336C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6" w:hRule="atLeast"/>
        </w:trPr>
        <w:tc>
          <w:tcPr>
            <w:tcW w:w="680" w:type="dxa"/>
            <w:tcBorders>
              <w:left w:val="nil"/>
            </w:tcBorders>
            <w:vAlign w:val="top"/>
          </w:tcPr>
          <w:p w14:paraId="3C0C8CDE">
            <w:pPr>
              <w:spacing w:before="279" w:line="202" w:lineRule="auto"/>
              <w:ind w:left="238"/>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G</w:t>
            </w:r>
            <w:r>
              <w:rPr>
                <w:rFonts w:ascii="Times New Roman" w:hAnsi="Times New Roman" w:eastAsia="Times New Roman" w:cs="Times New Roman"/>
                <w:spacing w:val="1"/>
                <w:position w:val="-1"/>
                <w:sz w:val="13"/>
                <w:szCs w:val="13"/>
              </w:rPr>
              <w:t>3</w:t>
            </w:r>
          </w:p>
        </w:tc>
        <w:tc>
          <w:tcPr>
            <w:tcW w:w="2593" w:type="dxa"/>
            <w:vAlign w:val="top"/>
          </w:tcPr>
          <w:p w14:paraId="35518097">
            <w:pPr>
              <w:pStyle w:val="6"/>
              <w:spacing w:before="243" w:line="228" w:lineRule="auto"/>
              <w:ind w:left="882"/>
              <w:rPr>
                <w:sz w:val="20"/>
                <w:szCs w:val="20"/>
              </w:rPr>
            </w:pPr>
            <w:r>
              <w:rPr>
                <w:spacing w:val="6"/>
                <w:sz w:val="20"/>
                <w:szCs w:val="20"/>
              </w:rPr>
              <w:t>餐厅油烟</w:t>
            </w:r>
          </w:p>
        </w:tc>
        <w:tc>
          <w:tcPr>
            <w:tcW w:w="1635" w:type="dxa"/>
            <w:vAlign w:val="top"/>
          </w:tcPr>
          <w:p w14:paraId="52B28FAF">
            <w:pPr>
              <w:pStyle w:val="6"/>
              <w:spacing w:before="243" w:line="229" w:lineRule="auto"/>
              <w:ind w:left="614"/>
              <w:rPr>
                <w:sz w:val="20"/>
                <w:szCs w:val="20"/>
              </w:rPr>
            </w:pPr>
            <w:r>
              <w:rPr>
                <w:spacing w:val="3"/>
                <w:sz w:val="20"/>
                <w:szCs w:val="20"/>
              </w:rPr>
              <w:t>油烟</w:t>
            </w:r>
          </w:p>
        </w:tc>
        <w:tc>
          <w:tcPr>
            <w:tcW w:w="2181" w:type="dxa"/>
            <w:gridSpan w:val="3"/>
            <w:vAlign w:val="top"/>
          </w:tcPr>
          <w:p w14:paraId="1B9A5AB1">
            <w:pPr>
              <w:pStyle w:val="6"/>
              <w:spacing w:before="80" w:line="261" w:lineRule="auto"/>
              <w:ind w:left="677" w:right="145" w:hanging="527"/>
              <w:rPr>
                <w:sz w:val="20"/>
                <w:szCs w:val="20"/>
              </w:rPr>
            </w:pPr>
            <w:r>
              <w:rPr>
                <w:spacing w:val="8"/>
                <w:sz w:val="20"/>
                <w:szCs w:val="20"/>
              </w:rPr>
              <w:t>通过餐厅专用井道至</w:t>
            </w:r>
            <w:r>
              <w:rPr>
                <w:spacing w:val="7"/>
                <w:sz w:val="20"/>
                <w:szCs w:val="20"/>
              </w:rPr>
              <w:t xml:space="preserve"> </w:t>
            </w:r>
            <w:r>
              <w:rPr>
                <w:spacing w:val="6"/>
                <w:sz w:val="20"/>
                <w:szCs w:val="20"/>
              </w:rPr>
              <w:t>屋顶排放</w:t>
            </w:r>
          </w:p>
        </w:tc>
        <w:tc>
          <w:tcPr>
            <w:tcW w:w="915" w:type="dxa"/>
            <w:vAlign w:val="top"/>
          </w:tcPr>
          <w:p w14:paraId="7B35C971">
            <w:pPr>
              <w:spacing w:before="279" w:line="195" w:lineRule="auto"/>
              <w:ind w:left="42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275" w:type="dxa"/>
            <w:tcBorders>
              <w:right w:val="nil"/>
            </w:tcBorders>
            <w:vAlign w:val="top"/>
          </w:tcPr>
          <w:p w14:paraId="53473365">
            <w:pPr>
              <w:pStyle w:val="6"/>
              <w:spacing w:before="243" w:line="228" w:lineRule="auto"/>
              <w:ind w:left="341"/>
              <w:rPr>
                <w:sz w:val="20"/>
                <w:szCs w:val="20"/>
              </w:rPr>
            </w:pPr>
            <w:r>
              <w:rPr>
                <w:rFonts w:ascii="Times New Roman" w:hAnsi="Times New Roman" w:eastAsia="Times New Roman" w:cs="Times New Roman"/>
                <w:spacing w:val="-3"/>
                <w:sz w:val="20"/>
                <w:szCs w:val="20"/>
              </w:rPr>
              <w:t>1</w:t>
            </w:r>
            <w:r>
              <w:rPr>
                <w:rFonts w:ascii="Times New Roman" w:hAnsi="Times New Roman" w:eastAsia="Times New Roman" w:cs="Times New Roman"/>
                <w:spacing w:val="15"/>
                <w:sz w:val="20"/>
                <w:szCs w:val="20"/>
              </w:rPr>
              <w:t xml:space="preserve"> </w:t>
            </w:r>
            <w:r>
              <w:rPr>
                <w:spacing w:val="-3"/>
                <w:sz w:val="20"/>
                <w:szCs w:val="20"/>
              </w:rPr>
              <w:t>次</w:t>
            </w:r>
            <w:r>
              <w:rPr>
                <w:rFonts w:ascii="Times New Roman" w:hAnsi="Times New Roman" w:eastAsia="Times New Roman" w:cs="Times New Roman"/>
                <w:spacing w:val="-3"/>
                <w:sz w:val="20"/>
                <w:szCs w:val="20"/>
              </w:rPr>
              <w:t>/</w:t>
            </w:r>
            <w:r>
              <w:rPr>
                <w:spacing w:val="-3"/>
                <w:sz w:val="20"/>
                <w:szCs w:val="20"/>
              </w:rPr>
              <w:t>年</w:t>
            </w:r>
          </w:p>
        </w:tc>
      </w:tr>
      <w:tr w14:paraId="58B39F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680" w:type="dxa"/>
            <w:tcBorders>
              <w:left w:val="nil"/>
            </w:tcBorders>
            <w:vAlign w:val="top"/>
          </w:tcPr>
          <w:p w14:paraId="1EFB190A">
            <w:pPr>
              <w:spacing w:before="113" w:line="199"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93" w:type="dxa"/>
            <w:vAlign w:val="top"/>
          </w:tcPr>
          <w:p w14:paraId="54EF5C4A">
            <w:pPr>
              <w:pStyle w:val="6"/>
              <w:spacing w:before="81" w:line="221" w:lineRule="auto"/>
              <w:ind w:left="571"/>
              <w:rPr>
                <w:sz w:val="20"/>
                <w:szCs w:val="20"/>
              </w:rPr>
            </w:pPr>
            <w:r>
              <w:rPr>
                <w:spacing w:val="7"/>
                <w:sz w:val="20"/>
                <w:szCs w:val="20"/>
              </w:rPr>
              <w:t>原料大棚无组织</w:t>
            </w:r>
          </w:p>
        </w:tc>
        <w:tc>
          <w:tcPr>
            <w:tcW w:w="1635" w:type="dxa"/>
            <w:vAlign w:val="top"/>
          </w:tcPr>
          <w:p w14:paraId="0BBB87C2">
            <w:pPr>
              <w:pStyle w:val="6"/>
              <w:spacing w:before="81" w:line="221" w:lineRule="auto"/>
              <w:ind w:left="507"/>
              <w:rPr>
                <w:sz w:val="20"/>
                <w:szCs w:val="20"/>
              </w:rPr>
            </w:pPr>
            <w:r>
              <w:rPr>
                <w:spacing w:val="7"/>
                <w:sz w:val="20"/>
                <w:szCs w:val="20"/>
              </w:rPr>
              <w:t>颗粒物</w:t>
            </w:r>
          </w:p>
        </w:tc>
        <w:tc>
          <w:tcPr>
            <w:tcW w:w="3096" w:type="dxa"/>
            <w:gridSpan w:val="4"/>
            <w:vAlign w:val="top"/>
          </w:tcPr>
          <w:p w14:paraId="1536F3A7">
            <w:pPr>
              <w:pStyle w:val="6"/>
              <w:spacing w:before="81" w:line="221" w:lineRule="auto"/>
              <w:ind w:left="122"/>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623.</w:t>
            </w:r>
            <w:r>
              <w:rPr>
                <w:rFonts w:ascii="Times New Roman" w:hAnsi="Times New Roman" w:eastAsia="Times New Roman" w:cs="Times New Roman"/>
                <w:spacing w:val="-21"/>
                <w:sz w:val="20"/>
                <w:szCs w:val="20"/>
              </w:rPr>
              <w:t xml:space="preserve"> </w:t>
            </w:r>
            <w:r>
              <w:rPr>
                <w:rFonts w:ascii="Times New Roman" w:hAnsi="Times New Roman" w:eastAsia="Times New Roman" w:cs="Times New Roman"/>
                <w:spacing w:val="3"/>
                <w:sz w:val="20"/>
                <w:szCs w:val="20"/>
              </w:rPr>
              <w:t>12m×50m</w:t>
            </w:r>
            <w:r>
              <w:rPr>
                <w:rFonts w:ascii="Times New Roman" w:hAnsi="Times New Roman" w:eastAsia="Times New Roman" w:cs="Times New Roman"/>
                <w:spacing w:val="-27"/>
                <w:sz w:val="20"/>
                <w:szCs w:val="20"/>
              </w:rPr>
              <w:t xml:space="preserve"> </w:t>
            </w:r>
            <w:r>
              <w:rPr>
                <w:spacing w:val="3"/>
                <w:sz w:val="20"/>
                <w:szCs w:val="20"/>
              </w:rPr>
              <w:t>，排放高度</w:t>
            </w:r>
            <w:r>
              <w:rPr>
                <w:spacing w:val="-40"/>
                <w:sz w:val="20"/>
                <w:szCs w:val="20"/>
              </w:rPr>
              <w:t xml:space="preserve"> </w:t>
            </w:r>
            <w:r>
              <w:rPr>
                <w:rFonts w:ascii="Times New Roman" w:hAnsi="Times New Roman" w:eastAsia="Times New Roman" w:cs="Times New Roman"/>
                <w:spacing w:val="3"/>
                <w:sz w:val="20"/>
                <w:szCs w:val="20"/>
              </w:rPr>
              <w:t>24.3m</w:t>
            </w:r>
          </w:p>
        </w:tc>
        <w:tc>
          <w:tcPr>
            <w:tcW w:w="1275" w:type="dxa"/>
            <w:vMerge w:val="restart"/>
            <w:tcBorders>
              <w:bottom w:val="nil"/>
              <w:right w:val="nil"/>
            </w:tcBorders>
            <w:vAlign w:val="top"/>
          </w:tcPr>
          <w:p w14:paraId="383DE530">
            <w:pPr>
              <w:spacing w:line="258" w:lineRule="auto"/>
              <w:rPr>
                <w:rFonts w:ascii="Arial"/>
                <w:sz w:val="21"/>
              </w:rPr>
            </w:pPr>
          </w:p>
          <w:p w14:paraId="61502C00">
            <w:pPr>
              <w:spacing w:line="259" w:lineRule="auto"/>
              <w:rPr>
                <w:rFonts w:ascii="Arial"/>
                <w:sz w:val="21"/>
              </w:rPr>
            </w:pPr>
          </w:p>
          <w:p w14:paraId="43585082">
            <w:pPr>
              <w:pStyle w:val="6"/>
              <w:spacing w:before="65" w:line="228" w:lineRule="auto"/>
              <w:ind w:left="341"/>
              <w:rPr>
                <w:sz w:val="20"/>
                <w:szCs w:val="20"/>
              </w:rPr>
            </w:pPr>
            <w:r>
              <w:rPr>
                <w:rFonts w:ascii="Times New Roman" w:hAnsi="Times New Roman" w:eastAsia="Times New Roman" w:cs="Times New Roman"/>
                <w:spacing w:val="-3"/>
                <w:sz w:val="20"/>
                <w:szCs w:val="20"/>
              </w:rPr>
              <w:t>1</w:t>
            </w:r>
            <w:r>
              <w:rPr>
                <w:rFonts w:ascii="Times New Roman" w:hAnsi="Times New Roman" w:eastAsia="Times New Roman" w:cs="Times New Roman"/>
                <w:spacing w:val="15"/>
                <w:sz w:val="20"/>
                <w:szCs w:val="20"/>
              </w:rPr>
              <w:t xml:space="preserve"> </w:t>
            </w:r>
            <w:r>
              <w:rPr>
                <w:spacing w:val="-3"/>
                <w:sz w:val="20"/>
                <w:szCs w:val="20"/>
              </w:rPr>
              <w:t>次</w:t>
            </w:r>
            <w:r>
              <w:rPr>
                <w:rFonts w:ascii="Times New Roman" w:hAnsi="Times New Roman" w:eastAsia="Times New Roman" w:cs="Times New Roman"/>
                <w:spacing w:val="-3"/>
                <w:sz w:val="20"/>
                <w:szCs w:val="20"/>
              </w:rPr>
              <w:t>/</w:t>
            </w:r>
            <w:r>
              <w:rPr>
                <w:spacing w:val="-3"/>
                <w:sz w:val="20"/>
                <w:szCs w:val="20"/>
              </w:rPr>
              <w:t>年</w:t>
            </w:r>
          </w:p>
        </w:tc>
      </w:tr>
      <w:tr w14:paraId="46D6B8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tcBorders>
              <w:left w:val="nil"/>
            </w:tcBorders>
            <w:vAlign w:val="top"/>
          </w:tcPr>
          <w:p w14:paraId="6C0C7CFC">
            <w:pPr>
              <w:spacing w:before="113" w:line="199"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93" w:type="dxa"/>
            <w:vAlign w:val="top"/>
          </w:tcPr>
          <w:p w14:paraId="3B66AB41">
            <w:pPr>
              <w:pStyle w:val="6"/>
              <w:spacing w:before="81" w:line="220" w:lineRule="auto"/>
              <w:ind w:left="355"/>
              <w:rPr>
                <w:sz w:val="20"/>
                <w:szCs w:val="20"/>
              </w:rPr>
            </w:pPr>
            <w:r>
              <w:rPr>
                <w:spacing w:val="8"/>
                <w:sz w:val="20"/>
                <w:szCs w:val="20"/>
              </w:rPr>
              <w:t>焦炭烘干车间无组织</w:t>
            </w:r>
          </w:p>
        </w:tc>
        <w:tc>
          <w:tcPr>
            <w:tcW w:w="1635" w:type="dxa"/>
            <w:vAlign w:val="top"/>
          </w:tcPr>
          <w:p w14:paraId="0B4C9905">
            <w:pPr>
              <w:pStyle w:val="6"/>
              <w:spacing w:before="81" w:line="220" w:lineRule="auto"/>
              <w:ind w:left="507"/>
              <w:rPr>
                <w:sz w:val="20"/>
                <w:szCs w:val="20"/>
              </w:rPr>
            </w:pPr>
            <w:r>
              <w:rPr>
                <w:spacing w:val="7"/>
                <w:sz w:val="20"/>
                <w:szCs w:val="20"/>
              </w:rPr>
              <w:t>颗粒物</w:t>
            </w:r>
          </w:p>
        </w:tc>
        <w:tc>
          <w:tcPr>
            <w:tcW w:w="3096" w:type="dxa"/>
            <w:gridSpan w:val="4"/>
            <w:vAlign w:val="top"/>
          </w:tcPr>
          <w:p w14:paraId="2AC1CDC3">
            <w:pPr>
              <w:pStyle w:val="6"/>
              <w:spacing w:before="81" w:line="220" w:lineRule="auto"/>
              <w:ind w:left="22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70m×50.4m</w:t>
            </w:r>
            <w:r>
              <w:rPr>
                <w:rFonts w:ascii="Times New Roman" w:hAnsi="Times New Roman" w:eastAsia="Times New Roman" w:cs="Times New Roman"/>
                <w:spacing w:val="-17"/>
                <w:sz w:val="20"/>
                <w:szCs w:val="20"/>
              </w:rPr>
              <w:t xml:space="preserve"> </w:t>
            </w:r>
            <w:r>
              <w:rPr>
                <w:spacing w:val="3"/>
                <w:sz w:val="20"/>
                <w:szCs w:val="20"/>
              </w:rPr>
              <w:t>，排放高度</w:t>
            </w:r>
            <w:r>
              <w:rPr>
                <w:spacing w:val="-20"/>
                <w:sz w:val="20"/>
                <w:szCs w:val="20"/>
              </w:rPr>
              <w:t xml:space="preserve"> </w:t>
            </w:r>
            <w:r>
              <w:rPr>
                <w:rFonts w:ascii="Times New Roman" w:hAnsi="Times New Roman" w:eastAsia="Times New Roman" w:cs="Times New Roman"/>
                <w:spacing w:val="3"/>
                <w:sz w:val="20"/>
                <w:szCs w:val="20"/>
              </w:rPr>
              <w:t>17.9m</w:t>
            </w:r>
          </w:p>
        </w:tc>
        <w:tc>
          <w:tcPr>
            <w:tcW w:w="1275" w:type="dxa"/>
            <w:vMerge w:val="continue"/>
            <w:tcBorders>
              <w:top w:val="nil"/>
              <w:bottom w:val="nil"/>
              <w:right w:val="nil"/>
            </w:tcBorders>
            <w:vAlign w:val="top"/>
          </w:tcPr>
          <w:p w14:paraId="41B1F39B">
            <w:pPr>
              <w:rPr>
                <w:rFonts w:ascii="Arial"/>
                <w:sz w:val="21"/>
              </w:rPr>
            </w:pPr>
          </w:p>
        </w:tc>
      </w:tr>
      <w:tr w14:paraId="6C1640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 w:hRule="atLeast"/>
        </w:trPr>
        <w:tc>
          <w:tcPr>
            <w:tcW w:w="680" w:type="dxa"/>
            <w:tcBorders>
              <w:left w:val="nil"/>
            </w:tcBorders>
            <w:vAlign w:val="top"/>
          </w:tcPr>
          <w:p w14:paraId="673F7888">
            <w:pPr>
              <w:spacing w:before="114" w:line="199"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93" w:type="dxa"/>
            <w:vAlign w:val="top"/>
          </w:tcPr>
          <w:p w14:paraId="7F29B9BE">
            <w:pPr>
              <w:pStyle w:val="6"/>
              <w:spacing w:before="82" w:line="219" w:lineRule="auto"/>
              <w:ind w:left="252"/>
              <w:rPr>
                <w:sz w:val="20"/>
                <w:szCs w:val="20"/>
              </w:rPr>
            </w:pPr>
            <w:r>
              <w:rPr>
                <w:spacing w:val="8"/>
                <w:sz w:val="20"/>
                <w:szCs w:val="20"/>
              </w:rPr>
              <w:t>锰矿石烘干车间无组织</w:t>
            </w:r>
          </w:p>
        </w:tc>
        <w:tc>
          <w:tcPr>
            <w:tcW w:w="1635" w:type="dxa"/>
            <w:vAlign w:val="top"/>
          </w:tcPr>
          <w:p w14:paraId="31701B58">
            <w:pPr>
              <w:pStyle w:val="6"/>
              <w:spacing w:before="82" w:line="219" w:lineRule="auto"/>
              <w:ind w:left="507"/>
              <w:rPr>
                <w:sz w:val="20"/>
                <w:szCs w:val="20"/>
              </w:rPr>
            </w:pPr>
            <w:r>
              <w:rPr>
                <w:spacing w:val="7"/>
                <w:sz w:val="20"/>
                <w:szCs w:val="20"/>
              </w:rPr>
              <w:t>颗粒物</w:t>
            </w:r>
          </w:p>
        </w:tc>
        <w:tc>
          <w:tcPr>
            <w:tcW w:w="3096" w:type="dxa"/>
            <w:gridSpan w:val="4"/>
            <w:vAlign w:val="top"/>
          </w:tcPr>
          <w:p w14:paraId="182F4DD5">
            <w:pPr>
              <w:pStyle w:val="6"/>
              <w:spacing w:before="82" w:line="219" w:lineRule="auto"/>
              <w:ind w:left="22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70m×50.4m</w:t>
            </w:r>
            <w:r>
              <w:rPr>
                <w:rFonts w:ascii="Times New Roman" w:hAnsi="Times New Roman" w:eastAsia="Times New Roman" w:cs="Times New Roman"/>
                <w:spacing w:val="-17"/>
                <w:sz w:val="20"/>
                <w:szCs w:val="20"/>
              </w:rPr>
              <w:t xml:space="preserve"> </w:t>
            </w:r>
            <w:r>
              <w:rPr>
                <w:spacing w:val="3"/>
                <w:sz w:val="20"/>
                <w:szCs w:val="20"/>
              </w:rPr>
              <w:t>，排放高度</w:t>
            </w:r>
            <w:r>
              <w:rPr>
                <w:spacing w:val="-20"/>
                <w:sz w:val="20"/>
                <w:szCs w:val="20"/>
              </w:rPr>
              <w:t xml:space="preserve"> </w:t>
            </w:r>
            <w:r>
              <w:rPr>
                <w:rFonts w:ascii="Times New Roman" w:hAnsi="Times New Roman" w:eastAsia="Times New Roman" w:cs="Times New Roman"/>
                <w:spacing w:val="3"/>
                <w:sz w:val="20"/>
                <w:szCs w:val="20"/>
              </w:rPr>
              <w:t>17.9m</w:t>
            </w:r>
          </w:p>
        </w:tc>
        <w:tc>
          <w:tcPr>
            <w:tcW w:w="1275" w:type="dxa"/>
            <w:vMerge w:val="continue"/>
            <w:tcBorders>
              <w:top w:val="nil"/>
              <w:bottom w:val="nil"/>
              <w:right w:val="nil"/>
            </w:tcBorders>
            <w:vAlign w:val="top"/>
          </w:tcPr>
          <w:p w14:paraId="6A8EEFEE">
            <w:pPr>
              <w:rPr>
                <w:rFonts w:ascii="Arial"/>
                <w:sz w:val="21"/>
              </w:rPr>
            </w:pPr>
          </w:p>
        </w:tc>
      </w:tr>
      <w:tr w14:paraId="45E85F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2" w:hRule="atLeast"/>
        </w:trPr>
        <w:tc>
          <w:tcPr>
            <w:tcW w:w="680" w:type="dxa"/>
            <w:tcBorders>
              <w:left w:val="nil"/>
              <w:bottom w:val="single" w:color="000000" w:sz="10" w:space="0"/>
            </w:tcBorders>
            <w:vAlign w:val="top"/>
          </w:tcPr>
          <w:p w14:paraId="65390193">
            <w:pPr>
              <w:spacing w:before="115" w:line="199"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93" w:type="dxa"/>
            <w:tcBorders>
              <w:bottom w:val="single" w:color="000000" w:sz="10" w:space="0"/>
            </w:tcBorders>
            <w:vAlign w:val="top"/>
          </w:tcPr>
          <w:p w14:paraId="45F4A6FF">
            <w:pPr>
              <w:pStyle w:val="6"/>
              <w:spacing w:before="83" w:line="227" w:lineRule="auto"/>
              <w:ind w:left="460"/>
              <w:rPr>
                <w:sz w:val="20"/>
                <w:szCs w:val="20"/>
              </w:rPr>
            </w:pPr>
            <w:r>
              <w:rPr>
                <w:spacing w:val="8"/>
                <w:sz w:val="20"/>
                <w:szCs w:val="20"/>
              </w:rPr>
              <w:t>烧结原料库无组织</w:t>
            </w:r>
          </w:p>
        </w:tc>
        <w:tc>
          <w:tcPr>
            <w:tcW w:w="1635" w:type="dxa"/>
            <w:tcBorders>
              <w:bottom w:val="single" w:color="000000" w:sz="10" w:space="0"/>
            </w:tcBorders>
            <w:vAlign w:val="top"/>
          </w:tcPr>
          <w:p w14:paraId="18F6B8C1">
            <w:pPr>
              <w:pStyle w:val="6"/>
              <w:spacing w:before="84" w:line="228" w:lineRule="auto"/>
              <w:ind w:left="507"/>
              <w:rPr>
                <w:sz w:val="20"/>
                <w:szCs w:val="20"/>
              </w:rPr>
            </w:pPr>
            <w:r>
              <w:rPr>
                <w:spacing w:val="7"/>
                <w:sz w:val="20"/>
                <w:szCs w:val="20"/>
              </w:rPr>
              <w:t>颗粒物</w:t>
            </w:r>
          </w:p>
        </w:tc>
        <w:tc>
          <w:tcPr>
            <w:tcW w:w="3096" w:type="dxa"/>
            <w:gridSpan w:val="4"/>
            <w:tcBorders>
              <w:bottom w:val="single" w:color="000000" w:sz="10" w:space="0"/>
            </w:tcBorders>
            <w:vAlign w:val="top"/>
          </w:tcPr>
          <w:p w14:paraId="2E6CE33E">
            <w:pPr>
              <w:pStyle w:val="6"/>
              <w:spacing w:before="83" w:line="228" w:lineRule="auto"/>
              <w:ind w:left="187"/>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165m×60.6m</w:t>
            </w:r>
            <w:r>
              <w:rPr>
                <w:rFonts w:ascii="Times New Roman" w:hAnsi="Times New Roman" w:eastAsia="Times New Roman" w:cs="Times New Roman"/>
                <w:spacing w:val="-13"/>
                <w:sz w:val="20"/>
                <w:szCs w:val="20"/>
              </w:rPr>
              <w:t xml:space="preserve"> </w:t>
            </w:r>
            <w:r>
              <w:rPr>
                <w:spacing w:val="3"/>
                <w:sz w:val="20"/>
                <w:szCs w:val="20"/>
              </w:rPr>
              <w:t>，排放高度</w:t>
            </w:r>
            <w:r>
              <w:rPr>
                <w:spacing w:val="-41"/>
                <w:sz w:val="20"/>
                <w:szCs w:val="20"/>
              </w:rPr>
              <w:t xml:space="preserve"> </w:t>
            </w:r>
            <w:r>
              <w:rPr>
                <w:rFonts w:ascii="Times New Roman" w:hAnsi="Times New Roman" w:eastAsia="Times New Roman" w:cs="Times New Roman"/>
                <w:spacing w:val="3"/>
                <w:sz w:val="20"/>
                <w:szCs w:val="20"/>
              </w:rPr>
              <w:t>21.5m</w:t>
            </w:r>
          </w:p>
        </w:tc>
        <w:tc>
          <w:tcPr>
            <w:tcW w:w="1275" w:type="dxa"/>
            <w:vMerge w:val="continue"/>
            <w:tcBorders>
              <w:top w:val="nil"/>
              <w:bottom w:val="single" w:color="000000" w:sz="10" w:space="0"/>
              <w:right w:val="nil"/>
            </w:tcBorders>
            <w:vAlign w:val="top"/>
          </w:tcPr>
          <w:p w14:paraId="0D0E6B55">
            <w:pPr>
              <w:rPr>
                <w:rFonts w:ascii="Arial"/>
                <w:sz w:val="21"/>
              </w:rPr>
            </w:pPr>
          </w:p>
        </w:tc>
      </w:tr>
    </w:tbl>
    <w:p w14:paraId="7E0C8D9A">
      <w:pPr>
        <w:pStyle w:val="2"/>
      </w:pPr>
    </w:p>
    <w:p w14:paraId="4E2F8CF7">
      <w:pPr>
        <w:sectPr>
          <w:headerReference r:id="rId495" w:type="default"/>
          <w:footerReference r:id="rId496" w:type="default"/>
          <w:pgSz w:w="11906" w:h="16839"/>
          <w:pgMar w:top="1190" w:right="1316" w:bottom="1221" w:left="1310" w:header="882" w:footer="1059" w:gutter="0"/>
          <w:cols w:space="720" w:num="1"/>
        </w:sectPr>
      </w:pPr>
    </w:p>
    <w:p w14:paraId="33EF244A">
      <w:pPr>
        <w:spacing w:line="28" w:lineRule="exact"/>
        <w:ind w:firstLine="108"/>
      </w:pPr>
      <w:r>
        <w:pict>
          <v:shape id="_x0000_s3091" o:spid="_x0000_s3091" style="height:1.45pt;width:453.55pt;" fillcolor="#000000" filled="t" stroked="f" coordsize="9070,29" path="m0,0l9070,0,9070,28,0,28,0,0xe">
            <v:path/>
            <v:fill on="t" focussize="0,0"/>
            <v:stroke on="f"/>
            <v:imagedata o:title=""/>
            <o:lock v:ext="edit"/>
            <w10:wrap type="none"/>
            <w10:anchorlock/>
          </v:shape>
        </w:pict>
      </w:r>
    </w:p>
    <w:p w14:paraId="7FADE9CF">
      <w:pPr>
        <w:spacing w:line="197" w:lineRule="exact"/>
      </w:pPr>
    </w:p>
    <w:tbl>
      <w:tblPr>
        <w:tblStyle w:val="5"/>
        <w:tblW w:w="927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80"/>
        <w:gridCol w:w="2593"/>
        <w:gridCol w:w="1635"/>
        <w:gridCol w:w="640"/>
        <w:gridCol w:w="817"/>
        <w:gridCol w:w="724"/>
        <w:gridCol w:w="915"/>
        <w:gridCol w:w="1275"/>
      </w:tblGrid>
      <w:tr w14:paraId="755693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33" w:hRule="atLeast"/>
        </w:trPr>
        <w:tc>
          <w:tcPr>
            <w:tcW w:w="680" w:type="dxa"/>
            <w:vMerge w:val="restart"/>
            <w:tcBorders>
              <w:top w:val="single" w:color="000000" w:sz="10" w:space="0"/>
              <w:left w:val="nil"/>
              <w:bottom w:val="nil"/>
            </w:tcBorders>
            <w:vAlign w:val="top"/>
          </w:tcPr>
          <w:p w14:paraId="75ECBE87">
            <w:pPr>
              <w:spacing w:line="328" w:lineRule="auto"/>
              <w:rPr>
                <w:rFonts w:ascii="Arial"/>
                <w:sz w:val="21"/>
              </w:rPr>
            </w:pPr>
          </w:p>
          <w:p w14:paraId="69F00048">
            <w:pPr>
              <w:pStyle w:val="6"/>
              <w:spacing w:before="65" w:line="228" w:lineRule="auto"/>
              <w:ind w:left="139"/>
              <w:rPr>
                <w:sz w:val="20"/>
                <w:szCs w:val="20"/>
              </w:rPr>
            </w:pPr>
            <w:r>
              <w:rPr>
                <w:b/>
                <w:bCs/>
                <w:spacing w:val="3"/>
                <w:sz w:val="20"/>
                <w:szCs w:val="20"/>
              </w:rPr>
              <w:t>编号</w:t>
            </w:r>
          </w:p>
        </w:tc>
        <w:tc>
          <w:tcPr>
            <w:tcW w:w="2593" w:type="dxa"/>
            <w:vMerge w:val="restart"/>
            <w:tcBorders>
              <w:top w:val="single" w:color="000000" w:sz="10" w:space="0"/>
              <w:bottom w:val="nil"/>
            </w:tcBorders>
            <w:vAlign w:val="top"/>
          </w:tcPr>
          <w:p w14:paraId="0050040C">
            <w:pPr>
              <w:spacing w:line="328" w:lineRule="auto"/>
              <w:rPr>
                <w:rFonts w:ascii="Arial"/>
                <w:sz w:val="21"/>
              </w:rPr>
            </w:pPr>
          </w:p>
          <w:p w14:paraId="3229F0D0">
            <w:pPr>
              <w:pStyle w:val="6"/>
              <w:spacing w:before="65" w:line="228" w:lineRule="auto"/>
              <w:ind w:left="986"/>
              <w:rPr>
                <w:sz w:val="20"/>
                <w:szCs w:val="20"/>
              </w:rPr>
            </w:pPr>
            <w:r>
              <w:rPr>
                <w:b/>
                <w:bCs/>
                <w:spacing w:val="5"/>
                <w:sz w:val="20"/>
                <w:szCs w:val="20"/>
              </w:rPr>
              <w:t>污染源</w:t>
            </w:r>
          </w:p>
        </w:tc>
        <w:tc>
          <w:tcPr>
            <w:tcW w:w="1635" w:type="dxa"/>
            <w:vMerge w:val="restart"/>
            <w:tcBorders>
              <w:top w:val="single" w:color="000000" w:sz="10" w:space="0"/>
              <w:bottom w:val="nil"/>
            </w:tcBorders>
            <w:vAlign w:val="top"/>
          </w:tcPr>
          <w:p w14:paraId="48C0BBBE">
            <w:pPr>
              <w:spacing w:line="328" w:lineRule="auto"/>
              <w:rPr>
                <w:rFonts w:ascii="Arial"/>
                <w:sz w:val="21"/>
              </w:rPr>
            </w:pPr>
          </w:p>
          <w:p w14:paraId="12744BFF">
            <w:pPr>
              <w:pStyle w:val="6"/>
              <w:spacing w:before="65" w:line="228" w:lineRule="auto"/>
              <w:ind w:left="507"/>
              <w:rPr>
                <w:sz w:val="20"/>
                <w:szCs w:val="20"/>
              </w:rPr>
            </w:pPr>
            <w:r>
              <w:rPr>
                <w:b/>
                <w:bCs/>
                <w:spacing w:val="5"/>
                <w:sz w:val="20"/>
                <w:szCs w:val="20"/>
              </w:rPr>
              <w:t>污染物</w:t>
            </w:r>
          </w:p>
        </w:tc>
        <w:tc>
          <w:tcPr>
            <w:tcW w:w="4371" w:type="dxa"/>
            <w:gridSpan w:val="5"/>
            <w:tcBorders>
              <w:top w:val="single" w:color="000000" w:sz="10" w:space="0"/>
              <w:right w:val="nil"/>
            </w:tcBorders>
            <w:vAlign w:val="top"/>
          </w:tcPr>
          <w:p w14:paraId="159A37BF">
            <w:pPr>
              <w:pStyle w:val="6"/>
              <w:spacing w:before="63" w:line="228" w:lineRule="auto"/>
              <w:ind w:left="1770"/>
              <w:rPr>
                <w:sz w:val="20"/>
                <w:szCs w:val="20"/>
              </w:rPr>
            </w:pPr>
            <w:r>
              <w:rPr>
                <w:b/>
                <w:bCs/>
                <w:spacing w:val="6"/>
                <w:sz w:val="20"/>
                <w:szCs w:val="20"/>
              </w:rPr>
              <w:t>排放参数</w:t>
            </w:r>
          </w:p>
        </w:tc>
      </w:tr>
      <w:tr w14:paraId="0BD9DB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2" w:hRule="atLeast"/>
        </w:trPr>
        <w:tc>
          <w:tcPr>
            <w:tcW w:w="680" w:type="dxa"/>
            <w:vMerge w:val="continue"/>
            <w:tcBorders>
              <w:top w:val="nil"/>
              <w:left w:val="nil"/>
            </w:tcBorders>
            <w:vAlign w:val="top"/>
          </w:tcPr>
          <w:p w14:paraId="2FEA174E">
            <w:pPr>
              <w:rPr>
                <w:rFonts w:ascii="Arial"/>
                <w:sz w:val="21"/>
              </w:rPr>
            </w:pPr>
          </w:p>
        </w:tc>
        <w:tc>
          <w:tcPr>
            <w:tcW w:w="2593" w:type="dxa"/>
            <w:vMerge w:val="continue"/>
            <w:tcBorders>
              <w:top w:val="nil"/>
            </w:tcBorders>
            <w:vAlign w:val="top"/>
          </w:tcPr>
          <w:p w14:paraId="2AC94B98">
            <w:pPr>
              <w:rPr>
                <w:rFonts w:ascii="Arial"/>
                <w:sz w:val="21"/>
              </w:rPr>
            </w:pPr>
          </w:p>
        </w:tc>
        <w:tc>
          <w:tcPr>
            <w:tcW w:w="1635" w:type="dxa"/>
            <w:vMerge w:val="continue"/>
            <w:tcBorders>
              <w:top w:val="nil"/>
            </w:tcBorders>
            <w:vAlign w:val="top"/>
          </w:tcPr>
          <w:p w14:paraId="49FF1C5E">
            <w:pPr>
              <w:rPr>
                <w:rFonts w:ascii="Arial"/>
                <w:sz w:val="21"/>
              </w:rPr>
            </w:pPr>
          </w:p>
        </w:tc>
        <w:tc>
          <w:tcPr>
            <w:tcW w:w="640" w:type="dxa"/>
            <w:vAlign w:val="top"/>
          </w:tcPr>
          <w:p w14:paraId="6067DF9A">
            <w:pPr>
              <w:pStyle w:val="6"/>
              <w:spacing w:before="62" w:line="284" w:lineRule="auto"/>
              <w:ind w:left="199" w:right="108" w:hanging="80"/>
              <w:rPr>
                <w:rFonts w:ascii="Times New Roman" w:hAnsi="Times New Roman" w:eastAsia="Times New Roman" w:cs="Times New Roman"/>
                <w:sz w:val="20"/>
                <w:szCs w:val="20"/>
              </w:rPr>
            </w:pPr>
            <w:r>
              <w:rPr>
                <w:b/>
                <w:bCs/>
                <w:spacing w:val="1"/>
                <w:sz w:val="20"/>
                <w:szCs w:val="20"/>
              </w:rPr>
              <w:t>高度</w:t>
            </w:r>
            <w:r>
              <w:rPr>
                <w:sz w:val="20"/>
                <w:szCs w:val="20"/>
              </w:rPr>
              <w:t xml:space="preserve"> </w:t>
            </w:r>
            <w:r>
              <w:rPr>
                <w:rFonts w:ascii="Times New Roman" w:hAnsi="Times New Roman" w:eastAsia="Times New Roman" w:cs="Times New Roman"/>
                <w:b/>
                <w:bCs/>
                <w:spacing w:val="4"/>
                <w:sz w:val="20"/>
                <w:szCs w:val="20"/>
              </w:rPr>
              <w:t>/m</w:t>
            </w:r>
          </w:p>
        </w:tc>
        <w:tc>
          <w:tcPr>
            <w:tcW w:w="817" w:type="dxa"/>
            <w:vAlign w:val="top"/>
          </w:tcPr>
          <w:p w14:paraId="275F9E4D">
            <w:pPr>
              <w:pStyle w:val="6"/>
              <w:spacing w:before="62" w:line="284" w:lineRule="auto"/>
              <w:ind w:left="288" w:right="196" w:hanging="60"/>
              <w:rPr>
                <w:rFonts w:ascii="Times New Roman" w:hAnsi="Times New Roman" w:eastAsia="Times New Roman" w:cs="Times New Roman"/>
                <w:sz w:val="20"/>
                <w:szCs w:val="20"/>
              </w:rPr>
            </w:pPr>
            <w:r>
              <w:rPr>
                <w:b/>
                <w:bCs/>
                <w:spacing w:val="-9"/>
                <w:sz w:val="20"/>
                <w:szCs w:val="20"/>
              </w:rPr>
              <w:t>内径</w:t>
            </w:r>
            <w:r>
              <w:rPr>
                <w:sz w:val="20"/>
                <w:szCs w:val="20"/>
              </w:rPr>
              <w:t xml:space="preserve"> </w:t>
            </w:r>
            <w:r>
              <w:rPr>
                <w:rFonts w:ascii="Times New Roman" w:hAnsi="Times New Roman" w:eastAsia="Times New Roman" w:cs="Times New Roman"/>
                <w:b/>
                <w:bCs/>
                <w:spacing w:val="4"/>
                <w:sz w:val="20"/>
                <w:szCs w:val="20"/>
              </w:rPr>
              <w:t>/m</w:t>
            </w:r>
          </w:p>
        </w:tc>
        <w:tc>
          <w:tcPr>
            <w:tcW w:w="724" w:type="dxa"/>
            <w:vAlign w:val="top"/>
          </w:tcPr>
          <w:p w14:paraId="0003108C">
            <w:pPr>
              <w:pStyle w:val="6"/>
              <w:spacing w:before="62" w:line="284" w:lineRule="auto"/>
              <w:ind w:left="215" w:right="149" w:hanging="57"/>
              <w:rPr>
                <w:rFonts w:ascii="Times New Roman" w:hAnsi="Times New Roman" w:eastAsia="Times New Roman" w:cs="Times New Roman"/>
                <w:sz w:val="20"/>
                <w:szCs w:val="20"/>
              </w:rPr>
            </w:pPr>
            <w:r>
              <w:rPr>
                <w:b/>
                <w:bCs/>
                <w:spacing w:val="3"/>
                <w:sz w:val="20"/>
                <w:szCs w:val="20"/>
              </w:rPr>
              <w:t>温度</w:t>
            </w:r>
            <w:r>
              <w:rPr>
                <w:sz w:val="20"/>
                <w:szCs w:val="20"/>
              </w:rPr>
              <w:t xml:space="preserve"> </w:t>
            </w:r>
            <w:r>
              <w:rPr>
                <w:rFonts w:ascii="Times New Roman" w:hAnsi="Times New Roman" w:eastAsia="Times New Roman" w:cs="Times New Roman"/>
                <w:b/>
                <w:bCs/>
                <w:spacing w:val="5"/>
                <w:sz w:val="20"/>
                <w:szCs w:val="20"/>
              </w:rPr>
              <w:t>/℃</w:t>
            </w:r>
          </w:p>
        </w:tc>
        <w:tc>
          <w:tcPr>
            <w:tcW w:w="915" w:type="dxa"/>
            <w:vAlign w:val="top"/>
          </w:tcPr>
          <w:p w14:paraId="46B963F7">
            <w:pPr>
              <w:pStyle w:val="6"/>
              <w:spacing w:before="61" w:line="268" w:lineRule="auto"/>
              <w:ind w:left="118" w:right="112" w:firstLine="27"/>
              <w:rPr>
                <w:sz w:val="20"/>
                <w:szCs w:val="20"/>
              </w:rPr>
            </w:pPr>
            <w:r>
              <w:rPr>
                <w:b/>
                <w:bCs/>
                <w:spacing w:val="5"/>
                <w:sz w:val="20"/>
                <w:szCs w:val="20"/>
              </w:rPr>
              <w:t>排气筒</w:t>
            </w:r>
            <w:r>
              <w:rPr>
                <w:sz w:val="20"/>
                <w:szCs w:val="20"/>
              </w:rPr>
              <w:t xml:space="preserve"> </w:t>
            </w:r>
            <w:r>
              <w:rPr>
                <w:b/>
                <w:bCs/>
                <w:spacing w:val="4"/>
                <w:sz w:val="20"/>
                <w:szCs w:val="20"/>
              </w:rPr>
              <w:t>数量</w:t>
            </w:r>
            <w:r>
              <w:rPr>
                <w:rFonts w:ascii="Times New Roman" w:hAnsi="Times New Roman" w:eastAsia="Times New Roman" w:cs="Times New Roman"/>
                <w:b/>
                <w:bCs/>
                <w:spacing w:val="4"/>
                <w:sz w:val="20"/>
                <w:szCs w:val="20"/>
              </w:rPr>
              <w:t>/</w:t>
            </w:r>
            <w:r>
              <w:rPr>
                <w:b/>
                <w:bCs/>
                <w:spacing w:val="4"/>
                <w:sz w:val="20"/>
                <w:szCs w:val="20"/>
              </w:rPr>
              <w:t>个</w:t>
            </w:r>
          </w:p>
        </w:tc>
        <w:tc>
          <w:tcPr>
            <w:tcW w:w="1275" w:type="dxa"/>
            <w:tcBorders>
              <w:right w:val="nil"/>
            </w:tcBorders>
            <w:vAlign w:val="top"/>
          </w:tcPr>
          <w:p w14:paraId="2B9BD64D">
            <w:pPr>
              <w:pStyle w:val="6"/>
              <w:spacing w:before="225" w:line="228" w:lineRule="auto"/>
              <w:ind w:left="222"/>
              <w:rPr>
                <w:sz w:val="20"/>
                <w:szCs w:val="20"/>
              </w:rPr>
            </w:pPr>
            <w:r>
              <w:rPr>
                <w:b/>
                <w:bCs/>
                <w:spacing w:val="6"/>
                <w:sz w:val="20"/>
                <w:szCs w:val="20"/>
              </w:rPr>
              <w:t>环境监测</w:t>
            </w:r>
          </w:p>
        </w:tc>
      </w:tr>
      <w:tr w14:paraId="3E796D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80" w:type="dxa"/>
            <w:tcBorders>
              <w:left w:val="nil"/>
            </w:tcBorders>
            <w:vAlign w:val="top"/>
          </w:tcPr>
          <w:p w14:paraId="71A66D71">
            <w:pPr>
              <w:spacing w:before="99" w:line="199"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93" w:type="dxa"/>
            <w:vAlign w:val="top"/>
          </w:tcPr>
          <w:p w14:paraId="00C67181">
            <w:pPr>
              <w:rPr>
                <w:rFonts w:ascii="Arial"/>
                <w:sz w:val="21"/>
              </w:rPr>
            </w:pPr>
          </w:p>
        </w:tc>
        <w:tc>
          <w:tcPr>
            <w:tcW w:w="1635" w:type="dxa"/>
            <w:vAlign w:val="top"/>
          </w:tcPr>
          <w:p w14:paraId="4C322C02">
            <w:pPr>
              <w:pStyle w:val="6"/>
              <w:spacing w:before="65" w:line="229" w:lineRule="auto"/>
              <w:ind w:left="191"/>
              <w:rPr>
                <w:sz w:val="20"/>
                <w:szCs w:val="20"/>
              </w:rPr>
            </w:pPr>
            <w:r>
              <w:rPr>
                <w:spacing w:val="8"/>
                <w:sz w:val="20"/>
                <w:szCs w:val="20"/>
              </w:rPr>
              <w:t>锰及其化合物</w:t>
            </w:r>
          </w:p>
        </w:tc>
        <w:tc>
          <w:tcPr>
            <w:tcW w:w="3096" w:type="dxa"/>
            <w:gridSpan w:val="4"/>
            <w:vAlign w:val="top"/>
          </w:tcPr>
          <w:p w14:paraId="1F589E29">
            <w:pPr>
              <w:rPr>
                <w:rFonts w:ascii="Arial"/>
                <w:sz w:val="21"/>
              </w:rPr>
            </w:pPr>
          </w:p>
        </w:tc>
        <w:tc>
          <w:tcPr>
            <w:tcW w:w="1275" w:type="dxa"/>
            <w:vMerge w:val="restart"/>
            <w:tcBorders>
              <w:bottom w:val="nil"/>
              <w:right w:val="nil"/>
            </w:tcBorders>
            <w:vAlign w:val="top"/>
          </w:tcPr>
          <w:p w14:paraId="6BC31D25">
            <w:pPr>
              <w:rPr>
                <w:rFonts w:ascii="Arial"/>
                <w:sz w:val="21"/>
              </w:rPr>
            </w:pPr>
          </w:p>
        </w:tc>
      </w:tr>
      <w:tr w14:paraId="1D5C00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680" w:type="dxa"/>
            <w:vMerge w:val="restart"/>
            <w:tcBorders>
              <w:left w:val="nil"/>
              <w:bottom w:val="nil"/>
            </w:tcBorders>
            <w:vAlign w:val="top"/>
          </w:tcPr>
          <w:p w14:paraId="29F406AB">
            <w:pPr>
              <w:spacing w:before="269" w:line="199"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93" w:type="dxa"/>
            <w:vMerge w:val="restart"/>
            <w:tcBorders>
              <w:bottom w:val="nil"/>
            </w:tcBorders>
            <w:vAlign w:val="top"/>
          </w:tcPr>
          <w:p w14:paraId="1EC61A4B">
            <w:pPr>
              <w:pStyle w:val="6"/>
              <w:spacing w:before="235" w:line="227" w:lineRule="auto"/>
              <w:ind w:left="565"/>
              <w:rPr>
                <w:sz w:val="20"/>
                <w:szCs w:val="20"/>
              </w:rPr>
            </w:pPr>
            <w:r>
              <w:rPr>
                <w:spacing w:val="8"/>
                <w:sz w:val="20"/>
                <w:szCs w:val="20"/>
              </w:rPr>
              <w:t>烧结系统无组织</w:t>
            </w:r>
          </w:p>
        </w:tc>
        <w:tc>
          <w:tcPr>
            <w:tcW w:w="1635" w:type="dxa"/>
            <w:vAlign w:val="top"/>
          </w:tcPr>
          <w:p w14:paraId="4DBC74AB">
            <w:pPr>
              <w:pStyle w:val="6"/>
              <w:spacing w:before="67" w:line="228" w:lineRule="auto"/>
              <w:ind w:left="507"/>
              <w:rPr>
                <w:sz w:val="20"/>
                <w:szCs w:val="20"/>
              </w:rPr>
            </w:pPr>
            <w:r>
              <w:rPr>
                <w:spacing w:val="7"/>
                <w:sz w:val="20"/>
                <w:szCs w:val="20"/>
              </w:rPr>
              <w:t>颗粒物</w:t>
            </w:r>
          </w:p>
        </w:tc>
        <w:tc>
          <w:tcPr>
            <w:tcW w:w="3096" w:type="dxa"/>
            <w:gridSpan w:val="4"/>
            <w:vMerge w:val="restart"/>
            <w:tcBorders>
              <w:bottom w:val="nil"/>
            </w:tcBorders>
            <w:vAlign w:val="top"/>
          </w:tcPr>
          <w:p w14:paraId="16CC4A05">
            <w:pPr>
              <w:pStyle w:val="6"/>
              <w:spacing w:before="234" w:line="228" w:lineRule="auto"/>
              <w:ind w:left="216"/>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165m×160m</w:t>
            </w:r>
            <w:r>
              <w:rPr>
                <w:rFonts w:ascii="Times New Roman" w:hAnsi="Times New Roman" w:eastAsia="Times New Roman" w:cs="Times New Roman"/>
                <w:spacing w:val="-13"/>
                <w:sz w:val="20"/>
                <w:szCs w:val="20"/>
              </w:rPr>
              <w:t xml:space="preserve"> </w:t>
            </w:r>
            <w:r>
              <w:rPr>
                <w:spacing w:val="3"/>
                <w:sz w:val="20"/>
                <w:szCs w:val="20"/>
              </w:rPr>
              <w:t>，排放高度</w:t>
            </w:r>
            <w:r>
              <w:rPr>
                <w:spacing w:val="-43"/>
                <w:sz w:val="20"/>
                <w:szCs w:val="20"/>
              </w:rPr>
              <w:t xml:space="preserve"> </w:t>
            </w:r>
            <w:r>
              <w:rPr>
                <w:rFonts w:ascii="Times New Roman" w:hAnsi="Times New Roman" w:eastAsia="Times New Roman" w:cs="Times New Roman"/>
                <w:spacing w:val="3"/>
                <w:sz w:val="20"/>
                <w:szCs w:val="20"/>
              </w:rPr>
              <w:t>28.5m</w:t>
            </w:r>
          </w:p>
        </w:tc>
        <w:tc>
          <w:tcPr>
            <w:tcW w:w="1275" w:type="dxa"/>
            <w:vMerge w:val="continue"/>
            <w:tcBorders>
              <w:top w:val="nil"/>
              <w:bottom w:val="nil"/>
              <w:right w:val="nil"/>
            </w:tcBorders>
            <w:vAlign w:val="top"/>
          </w:tcPr>
          <w:p w14:paraId="2571F947">
            <w:pPr>
              <w:rPr>
                <w:rFonts w:ascii="Arial"/>
                <w:sz w:val="21"/>
              </w:rPr>
            </w:pPr>
          </w:p>
        </w:tc>
      </w:tr>
      <w:tr w14:paraId="690852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80" w:type="dxa"/>
            <w:vMerge w:val="continue"/>
            <w:tcBorders>
              <w:top w:val="nil"/>
              <w:left w:val="nil"/>
            </w:tcBorders>
            <w:vAlign w:val="top"/>
          </w:tcPr>
          <w:p w14:paraId="56BC3F7F">
            <w:pPr>
              <w:rPr>
                <w:rFonts w:ascii="Arial"/>
                <w:sz w:val="21"/>
              </w:rPr>
            </w:pPr>
          </w:p>
        </w:tc>
        <w:tc>
          <w:tcPr>
            <w:tcW w:w="2593" w:type="dxa"/>
            <w:vMerge w:val="continue"/>
            <w:tcBorders>
              <w:top w:val="nil"/>
            </w:tcBorders>
            <w:vAlign w:val="top"/>
          </w:tcPr>
          <w:p w14:paraId="2C578C94">
            <w:pPr>
              <w:rPr>
                <w:rFonts w:ascii="Arial"/>
                <w:sz w:val="21"/>
              </w:rPr>
            </w:pPr>
          </w:p>
        </w:tc>
        <w:tc>
          <w:tcPr>
            <w:tcW w:w="1635" w:type="dxa"/>
            <w:vAlign w:val="top"/>
          </w:tcPr>
          <w:p w14:paraId="11713DBF">
            <w:pPr>
              <w:pStyle w:val="6"/>
              <w:spacing w:before="70" w:line="229" w:lineRule="auto"/>
              <w:ind w:left="191"/>
              <w:rPr>
                <w:sz w:val="20"/>
                <w:szCs w:val="20"/>
              </w:rPr>
            </w:pPr>
            <w:r>
              <w:rPr>
                <w:spacing w:val="8"/>
                <w:sz w:val="20"/>
                <w:szCs w:val="20"/>
              </w:rPr>
              <w:t>锰及其化合物</w:t>
            </w:r>
          </w:p>
        </w:tc>
        <w:tc>
          <w:tcPr>
            <w:tcW w:w="3096" w:type="dxa"/>
            <w:gridSpan w:val="4"/>
            <w:vMerge w:val="continue"/>
            <w:tcBorders>
              <w:top w:val="nil"/>
            </w:tcBorders>
            <w:vAlign w:val="top"/>
          </w:tcPr>
          <w:p w14:paraId="56A710FD">
            <w:pPr>
              <w:rPr>
                <w:rFonts w:ascii="Arial"/>
                <w:sz w:val="21"/>
              </w:rPr>
            </w:pPr>
          </w:p>
        </w:tc>
        <w:tc>
          <w:tcPr>
            <w:tcW w:w="1275" w:type="dxa"/>
            <w:vMerge w:val="continue"/>
            <w:tcBorders>
              <w:top w:val="nil"/>
              <w:bottom w:val="nil"/>
              <w:right w:val="nil"/>
            </w:tcBorders>
            <w:vAlign w:val="top"/>
          </w:tcPr>
          <w:p w14:paraId="7E413B56">
            <w:pPr>
              <w:rPr>
                <w:rFonts w:ascii="Arial"/>
                <w:sz w:val="21"/>
              </w:rPr>
            </w:pPr>
          </w:p>
        </w:tc>
      </w:tr>
      <w:tr w14:paraId="7D4185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680" w:type="dxa"/>
            <w:vMerge w:val="restart"/>
            <w:tcBorders>
              <w:left w:val="nil"/>
              <w:bottom w:val="nil"/>
            </w:tcBorders>
            <w:vAlign w:val="top"/>
          </w:tcPr>
          <w:p w14:paraId="6784D25F">
            <w:pPr>
              <w:spacing w:before="274" w:line="199"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93" w:type="dxa"/>
            <w:vMerge w:val="restart"/>
            <w:tcBorders>
              <w:bottom w:val="nil"/>
            </w:tcBorders>
            <w:vAlign w:val="top"/>
          </w:tcPr>
          <w:p w14:paraId="6BD01CB7">
            <w:pPr>
              <w:pStyle w:val="6"/>
              <w:spacing w:before="239" w:line="228" w:lineRule="auto"/>
              <w:ind w:left="171"/>
              <w:rPr>
                <w:sz w:val="20"/>
                <w:szCs w:val="20"/>
              </w:rPr>
            </w:pPr>
            <w:r>
              <w:rPr>
                <w:spacing w:val="6"/>
                <w:sz w:val="20"/>
                <w:szCs w:val="20"/>
              </w:rPr>
              <w:t>电炉生产区配料站无组织</w:t>
            </w:r>
          </w:p>
        </w:tc>
        <w:tc>
          <w:tcPr>
            <w:tcW w:w="1635" w:type="dxa"/>
            <w:vAlign w:val="top"/>
          </w:tcPr>
          <w:p w14:paraId="2DFCA6F2">
            <w:pPr>
              <w:pStyle w:val="6"/>
              <w:spacing w:before="72" w:line="227" w:lineRule="auto"/>
              <w:ind w:left="507"/>
              <w:rPr>
                <w:sz w:val="20"/>
                <w:szCs w:val="20"/>
              </w:rPr>
            </w:pPr>
            <w:r>
              <w:rPr>
                <w:spacing w:val="7"/>
                <w:sz w:val="20"/>
                <w:szCs w:val="20"/>
              </w:rPr>
              <w:t>颗粒物</w:t>
            </w:r>
          </w:p>
        </w:tc>
        <w:tc>
          <w:tcPr>
            <w:tcW w:w="3096" w:type="dxa"/>
            <w:gridSpan w:val="4"/>
            <w:vMerge w:val="restart"/>
            <w:tcBorders>
              <w:bottom w:val="nil"/>
            </w:tcBorders>
            <w:vAlign w:val="top"/>
          </w:tcPr>
          <w:p w14:paraId="70F6AAC9">
            <w:pPr>
              <w:pStyle w:val="6"/>
              <w:spacing w:before="239" w:line="228" w:lineRule="auto"/>
              <w:ind w:left="22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3×110m×25m</w:t>
            </w:r>
            <w:r>
              <w:rPr>
                <w:rFonts w:ascii="Times New Roman" w:hAnsi="Times New Roman" w:eastAsia="Times New Roman" w:cs="Times New Roman"/>
                <w:spacing w:val="-13"/>
                <w:sz w:val="20"/>
                <w:szCs w:val="20"/>
              </w:rPr>
              <w:t xml:space="preserve"> </w:t>
            </w:r>
            <w:r>
              <w:rPr>
                <w:spacing w:val="4"/>
                <w:sz w:val="20"/>
                <w:szCs w:val="20"/>
              </w:rPr>
              <w:t>，排放高度</w:t>
            </w:r>
            <w:r>
              <w:rPr>
                <w:spacing w:val="-43"/>
                <w:sz w:val="20"/>
                <w:szCs w:val="20"/>
              </w:rPr>
              <w:t xml:space="preserve"> </w:t>
            </w:r>
            <w:r>
              <w:rPr>
                <w:rFonts w:ascii="Times New Roman" w:hAnsi="Times New Roman" w:eastAsia="Times New Roman" w:cs="Times New Roman"/>
                <w:spacing w:val="4"/>
                <w:sz w:val="20"/>
                <w:szCs w:val="20"/>
              </w:rPr>
              <w:t>20m</w:t>
            </w:r>
          </w:p>
        </w:tc>
        <w:tc>
          <w:tcPr>
            <w:tcW w:w="1275" w:type="dxa"/>
            <w:vMerge w:val="continue"/>
            <w:tcBorders>
              <w:top w:val="nil"/>
              <w:bottom w:val="nil"/>
              <w:right w:val="nil"/>
            </w:tcBorders>
            <w:vAlign w:val="top"/>
          </w:tcPr>
          <w:p w14:paraId="72286638">
            <w:pPr>
              <w:rPr>
                <w:rFonts w:ascii="Arial"/>
                <w:sz w:val="21"/>
              </w:rPr>
            </w:pPr>
          </w:p>
        </w:tc>
      </w:tr>
      <w:tr w14:paraId="3E279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680" w:type="dxa"/>
            <w:vMerge w:val="continue"/>
            <w:tcBorders>
              <w:top w:val="nil"/>
              <w:left w:val="nil"/>
            </w:tcBorders>
            <w:vAlign w:val="top"/>
          </w:tcPr>
          <w:p w14:paraId="74ED591E">
            <w:pPr>
              <w:rPr>
                <w:rFonts w:ascii="Arial"/>
                <w:sz w:val="21"/>
              </w:rPr>
            </w:pPr>
          </w:p>
        </w:tc>
        <w:tc>
          <w:tcPr>
            <w:tcW w:w="2593" w:type="dxa"/>
            <w:vMerge w:val="continue"/>
            <w:tcBorders>
              <w:top w:val="nil"/>
            </w:tcBorders>
            <w:vAlign w:val="top"/>
          </w:tcPr>
          <w:p w14:paraId="1AF12781">
            <w:pPr>
              <w:rPr>
                <w:rFonts w:ascii="Arial"/>
                <w:sz w:val="21"/>
              </w:rPr>
            </w:pPr>
          </w:p>
        </w:tc>
        <w:tc>
          <w:tcPr>
            <w:tcW w:w="1635" w:type="dxa"/>
            <w:vAlign w:val="top"/>
          </w:tcPr>
          <w:p w14:paraId="6D17DB92">
            <w:pPr>
              <w:pStyle w:val="6"/>
              <w:spacing w:before="75" w:line="224" w:lineRule="auto"/>
              <w:ind w:left="191"/>
              <w:rPr>
                <w:sz w:val="20"/>
                <w:szCs w:val="20"/>
              </w:rPr>
            </w:pPr>
            <w:r>
              <w:rPr>
                <w:spacing w:val="8"/>
                <w:sz w:val="20"/>
                <w:szCs w:val="20"/>
              </w:rPr>
              <w:t>锰及其化合物</w:t>
            </w:r>
          </w:p>
        </w:tc>
        <w:tc>
          <w:tcPr>
            <w:tcW w:w="3096" w:type="dxa"/>
            <w:gridSpan w:val="4"/>
            <w:vMerge w:val="continue"/>
            <w:tcBorders>
              <w:top w:val="nil"/>
            </w:tcBorders>
            <w:vAlign w:val="top"/>
          </w:tcPr>
          <w:p w14:paraId="74D6A1A2">
            <w:pPr>
              <w:rPr>
                <w:rFonts w:ascii="Arial"/>
                <w:sz w:val="21"/>
              </w:rPr>
            </w:pPr>
          </w:p>
        </w:tc>
        <w:tc>
          <w:tcPr>
            <w:tcW w:w="1275" w:type="dxa"/>
            <w:vMerge w:val="continue"/>
            <w:tcBorders>
              <w:top w:val="nil"/>
              <w:bottom w:val="nil"/>
              <w:right w:val="nil"/>
            </w:tcBorders>
            <w:vAlign w:val="top"/>
          </w:tcPr>
          <w:p w14:paraId="21BB10E5">
            <w:pPr>
              <w:rPr>
                <w:rFonts w:ascii="Arial"/>
                <w:sz w:val="21"/>
              </w:rPr>
            </w:pPr>
          </w:p>
        </w:tc>
      </w:tr>
      <w:tr w14:paraId="56A7D8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680" w:type="dxa"/>
            <w:vMerge w:val="restart"/>
            <w:tcBorders>
              <w:left w:val="nil"/>
              <w:bottom w:val="nil"/>
            </w:tcBorders>
            <w:vAlign w:val="top"/>
          </w:tcPr>
          <w:p w14:paraId="43D93B52">
            <w:pPr>
              <w:spacing w:before="280" w:line="199" w:lineRule="auto"/>
              <w:ind w:left="310"/>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593" w:type="dxa"/>
            <w:vMerge w:val="restart"/>
            <w:tcBorders>
              <w:bottom w:val="nil"/>
            </w:tcBorders>
            <w:vAlign w:val="top"/>
          </w:tcPr>
          <w:p w14:paraId="19C4B7CD">
            <w:pPr>
              <w:pStyle w:val="6"/>
              <w:spacing w:before="245" w:line="228" w:lineRule="auto"/>
              <w:ind w:left="591"/>
              <w:rPr>
                <w:sz w:val="20"/>
                <w:szCs w:val="20"/>
              </w:rPr>
            </w:pPr>
            <w:r>
              <w:rPr>
                <w:spacing w:val="5"/>
                <w:sz w:val="20"/>
                <w:szCs w:val="20"/>
              </w:rPr>
              <w:t>电炉车间无组织</w:t>
            </w:r>
          </w:p>
        </w:tc>
        <w:tc>
          <w:tcPr>
            <w:tcW w:w="1635" w:type="dxa"/>
            <w:vAlign w:val="top"/>
          </w:tcPr>
          <w:p w14:paraId="04DE7653">
            <w:pPr>
              <w:pStyle w:val="6"/>
              <w:spacing w:before="78" w:line="222" w:lineRule="auto"/>
              <w:ind w:left="507"/>
              <w:rPr>
                <w:sz w:val="20"/>
                <w:szCs w:val="20"/>
              </w:rPr>
            </w:pPr>
            <w:r>
              <w:rPr>
                <w:spacing w:val="7"/>
                <w:sz w:val="20"/>
                <w:szCs w:val="20"/>
              </w:rPr>
              <w:t>颗粒物</w:t>
            </w:r>
          </w:p>
        </w:tc>
        <w:tc>
          <w:tcPr>
            <w:tcW w:w="3096" w:type="dxa"/>
            <w:gridSpan w:val="4"/>
            <w:vMerge w:val="restart"/>
            <w:tcBorders>
              <w:bottom w:val="nil"/>
            </w:tcBorders>
            <w:vAlign w:val="top"/>
          </w:tcPr>
          <w:p w14:paraId="16A71423">
            <w:pPr>
              <w:pStyle w:val="6"/>
              <w:spacing w:before="245" w:line="228" w:lineRule="auto"/>
              <w:ind w:left="220"/>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3×137m×93m</w:t>
            </w:r>
            <w:r>
              <w:rPr>
                <w:rFonts w:ascii="Times New Roman" w:hAnsi="Times New Roman" w:eastAsia="Times New Roman" w:cs="Times New Roman"/>
                <w:spacing w:val="-18"/>
                <w:sz w:val="20"/>
                <w:szCs w:val="20"/>
              </w:rPr>
              <w:t xml:space="preserve"> </w:t>
            </w:r>
            <w:r>
              <w:rPr>
                <w:spacing w:val="4"/>
                <w:sz w:val="20"/>
                <w:szCs w:val="20"/>
              </w:rPr>
              <w:t>，排放高度</w:t>
            </w:r>
            <w:r>
              <w:rPr>
                <w:spacing w:val="-38"/>
                <w:sz w:val="20"/>
                <w:szCs w:val="20"/>
              </w:rPr>
              <w:t xml:space="preserve"> </w:t>
            </w:r>
            <w:r>
              <w:rPr>
                <w:rFonts w:ascii="Times New Roman" w:hAnsi="Times New Roman" w:eastAsia="Times New Roman" w:cs="Times New Roman"/>
                <w:spacing w:val="4"/>
                <w:sz w:val="20"/>
                <w:szCs w:val="20"/>
              </w:rPr>
              <w:t>30m</w:t>
            </w:r>
          </w:p>
        </w:tc>
        <w:tc>
          <w:tcPr>
            <w:tcW w:w="1275" w:type="dxa"/>
            <w:vMerge w:val="continue"/>
            <w:tcBorders>
              <w:top w:val="nil"/>
              <w:bottom w:val="nil"/>
              <w:right w:val="nil"/>
            </w:tcBorders>
            <w:vAlign w:val="top"/>
          </w:tcPr>
          <w:p w14:paraId="243C7566">
            <w:pPr>
              <w:rPr>
                <w:rFonts w:ascii="Arial"/>
                <w:sz w:val="21"/>
              </w:rPr>
            </w:pPr>
          </w:p>
        </w:tc>
      </w:tr>
      <w:tr w14:paraId="3C0B69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2" w:hRule="atLeast"/>
        </w:trPr>
        <w:tc>
          <w:tcPr>
            <w:tcW w:w="680" w:type="dxa"/>
            <w:vMerge w:val="continue"/>
            <w:tcBorders>
              <w:top w:val="nil"/>
              <w:left w:val="nil"/>
              <w:bottom w:val="single" w:color="000000" w:sz="10" w:space="0"/>
            </w:tcBorders>
            <w:vAlign w:val="top"/>
          </w:tcPr>
          <w:p w14:paraId="690BF20E">
            <w:pPr>
              <w:rPr>
                <w:rFonts w:ascii="Arial"/>
                <w:sz w:val="21"/>
              </w:rPr>
            </w:pPr>
          </w:p>
        </w:tc>
        <w:tc>
          <w:tcPr>
            <w:tcW w:w="2593" w:type="dxa"/>
            <w:vMerge w:val="continue"/>
            <w:tcBorders>
              <w:top w:val="nil"/>
              <w:bottom w:val="single" w:color="000000" w:sz="10" w:space="0"/>
            </w:tcBorders>
            <w:vAlign w:val="top"/>
          </w:tcPr>
          <w:p w14:paraId="42A44E0B">
            <w:pPr>
              <w:rPr>
                <w:rFonts w:ascii="Arial"/>
                <w:sz w:val="21"/>
              </w:rPr>
            </w:pPr>
          </w:p>
        </w:tc>
        <w:tc>
          <w:tcPr>
            <w:tcW w:w="1635" w:type="dxa"/>
            <w:tcBorders>
              <w:bottom w:val="single" w:color="000000" w:sz="10" w:space="0"/>
            </w:tcBorders>
            <w:vAlign w:val="top"/>
          </w:tcPr>
          <w:p w14:paraId="7A3E8A45">
            <w:pPr>
              <w:pStyle w:val="6"/>
              <w:spacing w:before="80" w:line="229" w:lineRule="auto"/>
              <w:ind w:left="191"/>
              <w:rPr>
                <w:sz w:val="20"/>
                <w:szCs w:val="20"/>
              </w:rPr>
            </w:pPr>
            <w:r>
              <w:rPr>
                <w:spacing w:val="8"/>
                <w:sz w:val="20"/>
                <w:szCs w:val="20"/>
              </w:rPr>
              <w:t>锰及其化合物</w:t>
            </w:r>
          </w:p>
        </w:tc>
        <w:tc>
          <w:tcPr>
            <w:tcW w:w="3096" w:type="dxa"/>
            <w:gridSpan w:val="4"/>
            <w:vMerge w:val="continue"/>
            <w:tcBorders>
              <w:top w:val="nil"/>
              <w:bottom w:val="single" w:color="000000" w:sz="10" w:space="0"/>
            </w:tcBorders>
            <w:vAlign w:val="top"/>
          </w:tcPr>
          <w:p w14:paraId="60F0380C">
            <w:pPr>
              <w:rPr>
                <w:rFonts w:ascii="Arial"/>
                <w:sz w:val="21"/>
              </w:rPr>
            </w:pPr>
          </w:p>
        </w:tc>
        <w:tc>
          <w:tcPr>
            <w:tcW w:w="1275" w:type="dxa"/>
            <w:vMerge w:val="continue"/>
            <w:tcBorders>
              <w:top w:val="nil"/>
              <w:bottom w:val="single" w:color="000000" w:sz="10" w:space="0"/>
              <w:right w:val="nil"/>
            </w:tcBorders>
            <w:vAlign w:val="top"/>
          </w:tcPr>
          <w:p w14:paraId="3F0E66FB">
            <w:pPr>
              <w:rPr>
                <w:rFonts w:ascii="Arial"/>
                <w:sz w:val="21"/>
              </w:rPr>
            </w:pPr>
          </w:p>
        </w:tc>
      </w:tr>
    </w:tbl>
    <w:p w14:paraId="03F6CE81">
      <w:pPr>
        <w:spacing w:before="126" w:line="221" w:lineRule="auto"/>
        <w:ind w:left="60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）监测点位</w:t>
      </w:r>
    </w:p>
    <w:p w14:paraId="5815AAA6">
      <w:pPr>
        <w:spacing w:before="200" w:line="368" w:lineRule="auto"/>
        <w:ind w:left="115" w:right="100" w:firstLine="481"/>
        <w:rPr>
          <w:rFonts w:ascii="宋体" w:hAnsi="宋体" w:eastAsia="宋体" w:cs="宋体"/>
          <w:sz w:val="24"/>
          <w:szCs w:val="24"/>
        </w:rPr>
      </w:pPr>
      <w:r>
        <w:rPr>
          <w:rFonts w:ascii="宋体" w:hAnsi="宋体" w:eastAsia="宋体" w:cs="宋体"/>
          <w:spacing w:val="-1"/>
          <w:sz w:val="24"/>
          <w:szCs w:val="24"/>
        </w:rPr>
        <w:t>排气筒上监测点位按照</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GB28662</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GB28666</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GB13223</w:t>
      </w:r>
      <w:r>
        <w:rPr>
          <w:rFonts w:ascii="Times New Roman" w:hAnsi="Times New Roman" w:eastAsia="Times New Roman" w:cs="Times New Roman"/>
          <w:spacing w:val="-32"/>
          <w:sz w:val="24"/>
          <w:szCs w:val="24"/>
        </w:rPr>
        <w:t xml:space="preserve"> </w:t>
      </w:r>
      <w:r>
        <w:rPr>
          <w:rFonts w:ascii="宋体" w:hAnsi="宋体" w:eastAsia="宋体" w:cs="宋体"/>
          <w:spacing w:val="-1"/>
          <w:sz w:val="20"/>
          <w:szCs w:val="20"/>
        </w:rPr>
        <w:t>、</w:t>
      </w:r>
      <w:r>
        <w:rPr>
          <w:rFonts w:ascii="Times New Roman" w:hAnsi="Times New Roman" w:eastAsia="Times New Roman" w:cs="Times New Roman"/>
          <w:spacing w:val="-1"/>
          <w:sz w:val="24"/>
          <w:szCs w:val="24"/>
        </w:rPr>
        <w:t>HJ75</w:t>
      </w:r>
      <w:r>
        <w:rPr>
          <w:rFonts w:ascii="Times New Roman" w:hAnsi="Times New Roman" w:eastAsia="Times New Roman" w:cs="Times New Roman"/>
          <w:spacing w:val="-34"/>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HJ</w:t>
      </w:r>
      <w:r>
        <w:rPr>
          <w:rFonts w:ascii="Times New Roman" w:hAnsi="Times New Roman" w:eastAsia="Times New Roman" w:cs="Times New Roman"/>
          <w:spacing w:val="-2"/>
          <w:sz w:val="24"/>
          <w:szCs w:val="24"/>
        </w:rPr>
        <w:t xml:space="preserve">.76 </w:t>
      </w:r>
      <w:r>
        <w:rPr>
          <w:rFonts w:ascii="宋体" w:hAnsi="宋体" w:eastAsia="宋体" w:cs="宋体"/>
          <w:spacing w:val="-2"/>
          <w:sz w:val="24"/>
          <w:szCs w:val="24"/>
        </w:rPr>
        <w:t>等技术规范</w:t>
      </w:r>
      <w:r>
        <w:rPr>
          <w:rFonts w:ascii="宋体" w:hAnsi="宋体" w:eastAsia="宋体" w:cs="宋体"/>
          <w:sz w:val="24"/>
          <w:szCs w:val="24"/>
        </w:rPr>
        <w:t xml:space="preserve"> </w:t>
      </w:r>
      <w:r>
        <w:rPr>
          <w:rFonts w:ascii="宋体" w:hAnsi="宋体" w:eastAsia="宋体" w:cs="宋体"/>
          <w:spacing w:val="-2"/>
          <w:sz w:val="24"/>
          <w:szCs w:val="24"/>
        </w:rPr>
        <w:t>的要求设置。当污染物排放标准中有污染物处理效果要求时，可设置内部监测点位，在</w:t>
      </w:r>
      <w:r>
        <w:rPr>
          <w:rFonts w:ascii="宋体" w:hAnsi="宋体" w:eastAsia="宋体" w:cs="宋体"/>
          <w:spacing w:val="17"/>
          <w:sz w:val="24"/>
          <w:szCs w:val="24"/>
        </w:rPr>
        <w:t xml:space="preserve"> </w:t>
      </w:r>
      <w:r>
        <w:rPr>
          <w:rFonts w:ascii="宋体" w:hAnsi="宋体" w:eastAsia="宋体" w:cs="宋体"/>
          <w:spacing w:val="-1"/>
          <w:sz w:val="24"/>
          <w:szCs w:val="24"/>
        </w:rPr>
        <w:t>进入相应污染物处理设施单元的进出口设置监测点位。</w:t>
      </w:r>
    </w:p>
    <w:p w14:paraId="6D9E94EB">
      <w:pPr>
        <w:spacing w:before="33" w:line="219" w:lineRule="auto"/>
        <w:ind w:left="60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）采样及监测分析方法</w:t>
      </w:r>
    </w:p>
    <w:p w14:paraId="656A887A">
      <w:pPr>
        <w:spacing w:before="202" w:line="368" w:lineRule="auto"/>
        <w:ind w:left="116" w:right="1" w:firstLine="482"/>
        <w:rPr>
          <w:rFonts w:ascii="宋体" w:hAnsi="宋体" w:eastAsia="宋体" w:cs="宋体"/>
          <w:sz w:val="24"/>
          <w:szCs w:val="24"/>
        </w:rPr>
      </w:pPr>
      <w:r>
        <w:rPr>
          <w:rFonts w:ascii="宋体" w:hAnsi="宋体" w:eastAsia="宋体" w:cs="宋体"/>
          <w:spacing w:val="-3"/>
          <w:sz w:val="24"/>
          <w:szCs w:val="24"/>
        </w:rPr>
        <w:t>按照《钢铁烧结、球团工业大气污染物排放标准》（</w:t>
      </w:r>
      <w:r>
        <w:rPr>
          <w:rFonts w:ascii="Times New Roman" w:hAnsi="Times New Roman" w:eastAsia="Times New Roman" w:cs="Times New Roman"/>
          <w:spacing w:val="-3"/>
          <w:sz w:val="24"/>
          <w:szCs w:val="24"/>
        </w:rPr>
        <w:t>GB28662-2012</w:t>
      </w:r>
      <w:r>
        <w:rPr>
          <w:rFonts w:ascii="宋体" w:hAnsi="宋体" w:eastAsia="宋体" w:cs="宋体"/>
          <w:spacing w:val="-3"/>
          <w:sz w:val="24"/>
          <w:szCs w:val="24"/>
        </w:rPr>
        <w:t>）、《铁合金工</w:t>
      </w:r>
      <w:r>
        <w:rPr>
          <w:rFonts w:ascii="宋体" w:hAnsi="宋体" w:eastAsia="宋体" w:cs="宋体"/>
          <w:spacing w:val="9"/>
          <w:sz w:val="24"/>
          <w:szCs w:val="24"/>
        </w:rPr>
        <w:t xml:space="preserve"> </w:t>
      </w:r>
      <w:r>
        <w:rPr>
          <w:rFonts w:ascii="宋体" w:hAnsi="宋体" w:eastAsia="宋体" w:cs="宋体"/>
          <w:spacing w:val="-10"/>
          <w:sz w:val="24"/>
          <w:szCs w:val="24"/>
        </w:rPr>
        <w:t>业污染物排放标准》（</w:t>
      </w:r>
      <w:r>
        <w:rPr>
          <w:rFonts w:ascii="Times New Roman" w:hAnsi="Times New Roman" w:eastAsia="Times New Roman" w:cs="Times New Roman"/>
          <w:spacing w:val="-10"/>
          <w:sz w:val="24"/>
          <w:szCs w:val="24"/>
        </w:rPr>
        <w:t>GB28666-2012</w:t>
      </w:r>
      <w:r>
        <w:rPr>
          <w:rFonts w:ascii="宋体" w:hAnsi="宋体" w:eastAsia="宋体" w:cs="宋体"/>
          <w:spacing w:val="-10"/>
          <w:sz w:val="24"/>
          <w:szCs w:val="24"/>
        </w:rPr>
        <w:t>）、</w:t>
      </w:r>
      <w:r>
        <w:rPr>
          <w:rFonts w:ascii="宋体" w:hAnsi="宋体" w:eastAsia="宋体" w:cs="宋体"/>
          <w:spacing w:val="-11"/>
          <w:sz w:val="24"/>
          <w:szCs w:val="24"/>
        </w:rPr>
        <w:t>《火电厂大气污染物排放标准》（</w:t>
      </w:r>
      <w:r>
        <w:rPr>
          <w:rFonts w:ascii="Times New Roman" w:hAnsi="Times New Roman" w:eastAsia="Times New Roman" w:cs="Times New Roman"/>
          <w:spacing w:val="-11"/>
          <w:sz w:val="24"/>
          <w:szCs w:val="24"/>
        </w:rPr>
        <w:t>GB13223-2011</w:t>
      </w:r>
      <w:r>
        <w:rPr>
          <w:rFonts w:ascii="宋体" w:hAnsi="宋体" w:eastAsia="宋体" w:cs="宋体"/>
          <w:spacing w:val="-11"/>
          <w:sz w:val="24"/>
          <w:szCs w:val="24"/>
        </w:rPr>
        <w:t>）</w:t>
      </w:r>
      <w:r>
        <w:rPr>
          <w:rFonts w:ascii="宋体" w:hAnsi="宋体" w:eastAsia="宋体" w:cs="宋体"/>
          <w:sz w:val="24"/>
          <w:szCs w:val="24"/>
        </w:rPr>
        <w:t xml:space="preserve"> </w:t>
      </w:r>
      <w:r>
        <w:rPr>
          <w:rFonts w:ascii="宋体" w:hAnsi="宋体" w:eastAsia="宋体" w:cs="宋体"/>
          <w:spacing w:val="-3"/>
          <w:sz w:val="24"/>
          <w:szCs w:val="24"/>
        </w:rPr>
        <w:t>及</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GB/T</w:t>
      </w:r>
      <w:r>
        <w:rPr>
          <w:rFonts w:ascii="Times New Roman" w:hAnsi="Times New Roman" w:eastAsia="Times New Roman" w:cs="Times New Roman"/>
          <w:spacing w:val="28"/>
          <w:sz w:val="24"/>
          <w:szCs w:val="24"/>
        </w:rPr>
        <w:t xml:space="preserve"> </w:t>
      </w:r>
      <w:r>
        <w:rPr>
          <w:rFonts w:ascii="Times New Roman" w:hAnsi="Times New Roman" w:eastAsia="Times New Roman" w:cs="Times New Roman"/>
          <w:spacing w:val="-3"/>
          <w:sz w:val="24"/>
          <w:szCs w:val="24"/>
        </w:rPr>
        <w:t>16157</w:t>
      </w:r>
      <w:r>
        <w:rPr>
          <w:rFonts w:ascii="Times New Roman" w:hAnsi="Times New Roman" w:eastAsia="Times New Roman" w:cs="Times New Roman"/>
          <w:spacing w:val="-34"/>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 xml:space="preserve">HJ/T 397 </w:t>
      </w:r>
      <w:r>
        <w:rPr>
          <w:rFonts w:ascii="宋体" w:hAnsi="宋体" w:eastAsia="宋体" w:cs="宋体"/>
          <w:spacing w:val="-3"/>
          <w:sz w:val="24"/>
          <w:szCs w:val="24"/>
        </w:rPr>
        <w:t>等执</w:t>
      </w:r>
      <w:r>
        <w:rPr>
          <w:rFonts w:ascii="宋体" w:hAnsi="宋体" w:eastAsia="宋体" w:cs="宋体"/>
          <w:spacing w:val="-4"/>
          <w:sz w:val="24"/>
          <w:szCs w:val="24"/>
        </w:rPr>
        <w:t>行。</w:t>
      </w:r>
    </w:p>
    <w:p w14:paraId="4CC83837">
      <w:pPr>
        <w:spacing w:before="34" w:line="220" w:lineRule="auto"/>
        <w:ind w:left="116"/>
        <w:outlineLvl w:val="3"/>
        <w:rPr>
          <w:rFonts w:ascii="宋体" w:hAnsi="宋体" w:eastAsia="宋体" w:cs="宋体"/>
          <w:sz w:val="24"/>
          <w:szCs w:val="24"/>
        </w:rPr>
      </w:pPr>
      <w:r>
        <w:fldChar w:fldCharType="begin"/>
      </w:r>
      <w:r>
        <w:instrText xml:space="preserve"> HYPERLINK "8.2.1.2" </w:instrText>
      </w:r>
      <w:r>
        <w:fldChar w:fldCharType="separate"/>
      </w:r>
      <w:r>
        <w:rPr>
          <w:rFonts w:ascii="Times New Roman" w:hAnsi="Times New Roman" w:eastAsia="Times New Roman" w:cs="Times New Roman"/>
          <w:b/>
          <w:bCs/>
          <w:spacing w:val="-2"/>
          <w:sz w:val="24"/>
          <w:szCs w:val="24"/>
        </w:rPr>
        <w:t>8.2.1.2</w:t>
      </w:r>
      <w:r>
        <w:rPr>
          <w:rFonts w:ascii="Times New Roman" w:hAnsi="Times New Roman" w:eastAsia="Times New Roman" w:cs="Times New Roman"/>
          <w:b/>
          <w:bCs/>
          <w:spacing w:val="-2"/>
          <w:sz w:val="24"/>
          <w:szCs w:val="24"/>
        </w:rPr>
        <w:fldChar w:fldCharType="end"/>
      </w:r>
      <w:r>
        <w:rPr>
          <w:rFonts w:ascii="Times New Roman" w:hAnsi="Times New Roman" w:eastAsia="Times New Roman" w:cs="Times New Roman"/>
          <w:b/>
          <w:bCs/>
          <w:spacing w:val="-2"/>
          <w:sz w:val="24"/>
          <w:szCs w:val="24"/>
        </w:rPr>
        <w:t xml:space="preserve"> </w:t>
      </w:r>
      <w:r>
        <w:rPr>
          <w:rFonts w:ascii="宋体" w:hAnsi="宋体" w:eastAsia="宋体" w:cs="宋体"/>
          <w:b/>
          <w:bCs/>
          <w:spacing w:val="-2"/>
          <w:sz w:val="24"/>
          <w:szCs w:val="24"/>
        </w:rPr>
        <w:t>无组织排放监测</w:t>
      </w:r>
    </w:p>
    <w:p w14:paraId="3D7AF34A">
      <w:pPr>
        <w:spacing w:before="201" w:line="221" w:lineRule="auto"/>
        <w:ind w:left="609"/>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）监测点位</w:t>
      </w:r>
    </w:p>
    <w:p w14:paraId="0E6991B3">
      <w:pPr>
        <w:spacing w:before="202" w:line="368" w:lineRule="auto"/>
        <w:ind w:left="116" w:right="101" w:firstLine="482"/>
        <w:jc w:val="both"/>
        <w:rPr>
          <w:rFonts w:ascii="宋体" w:hAnsi="宋体" w:eastAsia="宋体" w:cs="宋体"/>
          <w:sz w:val="24"/>
          <w:szCs w:val="24"/>
        </w:rPr>
      </w:pPr>
      <w:r>
        <w:rPr>
          <w:rFonts w:ascii="宋体" w:hAnsi="宋体" w:eastAsia="宋体" w:cs="宋体"/>
          <w:spacing w:val="-1"/>
          <w:sz w:val="24"/>
          <w:szCs w:val="24"/>
        </w:rPr>
        <w:t>按照《铁合金工业污染物排放标准》（</w:t>
      </w:r>
      <w:r>
        <w:rPr>
          <w:rFonts w:ascii="Times New Roman" w:hAnsi="Times New Roman" w:eastAsia="Times New Roman" w:cs="Times New Roman"/>
          <w:spacing w:val="-1"/>
          <w:sz w:val="24"/>
          <w:szCs w:val="24"/>
        </w:rPr>
        <w:t>GB28666-2012</w:t>
      </w:r>
      <w:r>
        <w:rPr>
          <w:rFonts w:ascii="宋体" w:hAnsi="宋体" w:eastAsia="宋体" w:cs="宋体"/>
          <w:spacing w:val="-1"/>
          <w:sz w:val="24"/>
          <w:szCs w:val="24"/>
        </w:rPr>
        <w:t>）及</w:t>
      </w:r>
      <w:r>
        <w:rPr>
          <w:rFonts w:ascii="宋体" w:hAnsi="宋体" w:eastAsia="宋体" w:cs="宋体"/>
          <w:spacing w:val="-56"/>
          <w:sz w:val="24"/>
          <w:szCs w:val="24"/>
        </w:rPr>
        <w:t xml:space="preserve"> </w:t>
      </w:r>
      <w:r>
        <w:rPr>
          <w:rFonts w:ascii="Times New Roman" w:hAnsi="Times New Roman" w:eastAsia="Times New Roman" w:cs="Times New Roman"/>
          <w:spacing w:val="-1"/>
          <w:sz w:val="24"/>
          <w:szCs w:val="24"/>
        </w:rPr>
        <w:t>HJ/T 55</w:t>
      </w:r>
      <w:r>
        <w:rPr>
          <w:rFonts w:ascii="Times New Roman" w:hAnsi="Times New Roman" w:eastAsia="Times New Roman" w:cs="Times New Roman"/>
          <w:spacing w:val="-34"/>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HJ 733</w:t>
      </w:r>
      <w:r>
        <w:rPr>
          <w:rFonts w:ascii="Times New Roman" w:hAnsi="Times New Roman" w:eastAsia="Times New Roman" w:cs="Times New Roman"/>
          <w:spacing w:val="-2"/>
          <w:sz w:val="24"/>
          <w:szCs w:val="24"/>
        </w:rPr>
        <w:t xml:space="preserve"> </w:t>
      </w:r>
      <w:r>
        <w:rPr>
          <w:rFonts w:ascii="宋体" w:hAnsi="宋体" w:eastAsia="宋体" w:cs="宋体"/>
          <w:spacing w:val="-2"/>
          <w:sz w:val="24"/>
          <w:szCs w:val="24"/>
        </w:rPr>
        <w:t>等标准</w:t>
      </w:r>
      <w:r>
        <w:rPr>
          <w:rFonts w:ascii="宋体" w:hAnsi="宋体" w:eastAsia="宋体" w:cs="宋体"/>
          <w:sz w:val="24"/>
          <w:szCs w:val="24"/>
        </w:rPr>
        <w:t xml:space="preserve"> </w:t>
      </w:r>
      <w:r>
        <w:rPr>
          <w:rFonts w:ascii="宋体" w:hAnsi="宋体" w:eastAsia="宋体" w:cs="宋体"/>
          <w:spacing w:val="-4"/>
          <w:sz w:val="24"/>
          <w:szCs w:val="24"/>
        </w:rPr>
        <w:t>设置无组织排放监测点位。本项目在周界外</w:t>
      </w:r>
      <w:r>
        <w:rPr>
          <w:rFonts w:ascii="宋体" w:hAnsi="宋体" w:eastAsia="宋体" w:cs="宋体"/>
          <w:spacing w:val="-32"/>
          <w:sz w:val="24"/>
          <w:szCs w:val="24"/>
        </w:rPr>
        <w:t xml:space="preserve"> </w:t>
      </w:r>
      <w:r>
        <w:rPr>
          <w:rFonts w:ascii="Times New Roman" w:hAnsi="Times New Roman" w:eastAsia="Times New Roman" w:cs="Times New Roman"/>
          <w:spacing w:val="-4"/>
          <w:sz w:val="24"/>
          <w:szCs w:val="24"/>
        </w:rPr>
        <w:t>10m</w:t>
      </w:r>
      <w:r>
        <w:rPr>
          <w:rFonts w:ascii="Times New Roman" w:hAnsi="Times New Roman" w:eastAsia="Times New Roman" w:cs="Times New Roman"/>
          <w:spacing w:val="16"/>
          <w:w w:val="101"/>
          <w:sz w:val="24"/>
          <w:szCs w:val="24"/>
        </w:rPr>
        <w:t xml:space="preserve"> </w:t>
      </w:r>
      <w:r>
        <w:rPr>
          <w:rFonts w:ascii="宋体" w:hAnsi="宋体" w:eastAsia="宋体" w:cs="宋体"/>
          <w:spacing w:val="-4"/>
          <w:sz w:val="24"/>
          <w:szCs w:val="24"/>
        </w:rPr>
        <w:t>范围内</w:t>
      </w:r>
      <w:r>
        <w:rPr>
          <w:rFonts w:ascii="宋体" w:hAnsi="宋体" w:eastAsia="宋体" w:cs="宋体"/>
          <w:spacing w:val="-5"/>
          <w:sz w:val="24"/>
          <w:szCs w:val="24"/>
        </w:rPr>
        <w:t>的浓度最高点设</w:t>
      </w:r>
      <w:r>
        <w:rPr>
          <w:rFonts w:ascii="宋体" w:hAnsi="宋体" w:eastAsia="宋体" w:cs="宋体"/>
          <w:spacing w:val="-57"/>
          <w:sz w:val="24"/>
          <w:szCs w:val="24"/>
        </w:rPr>
        <w:t xml:space="preserve"> </w:t>
      </w:r>
      <w:r>
        <w:rPr>
          <w:rFonts w:ascii="Times New Roman" w:hAnsi="Times New Roman" w:eastAsia="Times New Roman" w:cs="Times New Roman"/>
          <w:spacing w:val="-5"/>
          <w:sz w:val="24"/>
          <w:szCs w:val="24"/>
        </w:rPr>
        <w:t xml:space="preserve">4 </w:t>
      </w:r>
      <w:r>
        <w:rPr>
          <w:rFonts w:ascii="宋体" w:hAnsi="宋体" w:eastAsia="宋体" w:cs="宋体"/>
          <w:spacing w:val="-5"/>
          <w:sz w:val="24"/>
          <w:szCs w:val="24"/>
        </w:rPr>
        <w:t>监控点，同时</w:t>
      </w:r>
      <w:r>
        <w:rPr>
          <w:rFonts w:ascii="宋体" w:hAnsi="宋体" w:eastAsia="宋体" w:cs="宋体"/>
          <w:sz w:val="24"/>
          <w:szCs w:val="24"/>
        </w:rPr>
        <w:t xml:space="preserve"> </w:t>
      </w:r>
      <w:r>
        <w:rPr>
          <w:rFonts w:ascii="宋体" w:hAnsi="宋体" w:eastAsia="宋体" w:cs="宋体"/>
          <w:spacing w:val="-1"/>
          <w:sz w:val="24"/>
          <w:szCs w:val="24"/>
        </w:rPr>
        <w:t>在厂区上风向设一个对照点。</w:t>
      </w:r>
    </w:p>
    <w:p w14:paraId="3A99E86C">
      <w:pPr>
        <w:spacing w:before="32" w:line="220" w:lineRule="auto"/>
        <w:ind w:left="609"/>
        <w:rPr>
          <w:rFonts w:ascii="Times New Roman" w:hAnsi="Times New Roman" w:eastAsia="Times New Roman" w:cs="Times New Roman"/>
          <w:sz w:val="15"/>
          <w:szCs w:val="15"/>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）监测指标：颗粒物、锰及其化合物、</w:t>
      </w:r>
      <w:r>
        <w:rPr>
          <w:rFonts w:ascii="Times New Roman" w:hAnsi="Times New Roman" w:eastAsia="Times New Roman" w:cs="Times New Roman"/>
          <w:spacing w:val="-1"/>
          <w:sz w:val="24"/>
          <w:szCs w:val="24"/>
        </w:rPr>
        <w:t>NH</w:t>
      </w:r>
      <w:r>
        <w:rPr>
          <w:rFonts w:ascii="Times New Roman" w:hAnsi="Times New Roman" w:eastAsia="Times New Roman" w:cs="Times New Roman"/>
          <w:spacing w:val="-1"/>
          <w:position w:val="-1"/>
          <w:sz w:val="15"/>
          <w:szCs w:val="15"/>
        </w:rPr>
        <w:t>3</w:t>
      </w:r>
    </w:p>
    <w:p w14:paraId="588BE68C">
      <w:pPr>
        <w:spacing w:before="204" w:line="219" w:lineRule="auto"/>
        <w:ind w:left="609"/>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3</w:t>
      </w:r>
      <w:r>
        <w:rPr>
          <w:rFonts w:ascii="宋体" w:hAnsi="宋体" w:eastAsia="宋体" w:cs="宋体"/>
          <w:spacing w:val="-4"/>
          <w:sz w:val="24"/>
          <w:szCs w:val="24"/>
        </w:rPr>
        <w:t>）监测频次：每季度至少开展</w:t>
      </w:r>
      <w:r>
        <w:rPr>
          <w:rFonts w:ascii="宋体" w:hAnsi="宋体" w:eastAsia="宋体" w:cs="宋体"/>
          <w:spacing w:val="-18"/>
          <w:sz w:val="24"/>
          <w:szCs w:val="24"/>
        </w:rPr>
        <w:t xml:space="preserve"> </w:t>
      </w:r>
      <w:r>
        <w:rPr>
          <w:rFonts w:ascii="Times New Roman" w:hAnsi="Times New Roman" w:eastAsia="Times New Roman" w:cs="Times New Roman"/>
          <w:spacing w:val="-4"/>
          <w:sz w:val="24"/>
          <w:szCs w:val="24"/>
        </w:rPr>
        <w:t>1</w:t>
      </w:r>
      <w:r>
        <w:rPr>
          <w:rFonts w:ascii="Times New Roman" w:hAnsi="Times New Roman" w:eastAsia="Times New Roman" w:cs="Times New Roman"/>
          <w:spacing w:val="16"/>
          <w:sz w:val="24"/>
          <w:szCs w:val="24"/>
        </w:rPr>
        <w:t xml:space="preserve"> </w:t>
      </w:r>
      <w:r>
        <w:rPr>
          <w:rFonts w:ascii="宋体" w:hAnsi="宋体" w:eastAsia="宋体" w:cs="宋体"/>
          <w:spacing w:val="-4"/>
          <w:sz w:val="24"/>
          <w:szCs w:val="24"/>
        </w:rPr>
        <w:t>次监测。</w:t>
      </w:r>
    </w:p>
    <w:p w14:paraId="3E243A6C">
      <w:pPr>
        <w:spacing w:before="204" w:line="219" w:lineRule="auto"/>
        <w:ind w:left="609"/>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4</w:t>
      </w:r>
      <w:r>
        <w:rPr>
          <w:rFonts w:ascii="宋体" w:hAnsi="宋体" w:eastAsia="宋体" w:cs="宋体"/>
          <w:spacing w:val="-2"/>
          <w:sz w:val="24"/>
          <w:szCs w:val="24"/>
        </w:rPr>
        <w:t>）采样及监测分析方法</w:t>
      </w:r>
    </w:p>
    <w:p w14:paraId="205B2FED">
      <w:pPr>
        <w:spacing w:before="207" w:line="361" w:lineRule="auto"/>
        <w:ind w:left="118" w:right="101" w:firstLine="480"/>
        <w:rPr>
          <w:rFonts w:ascii="宋体" w:hAnsi="宋体" w:eastAsia="宋体" w:cs="宋体"/>
          <w:sz w:val="24"/>
          <w:szCs w:val="24"/>
        </w:rPr>
      </w:pPr>
      <w:r>
        <w:rPr>
          <w:rFonts w:ascii="宋体" w:hAnsi="宋体" w:eastAsia="宋体" w:cs="宋体"/>
          <w:spacing w:val="-3"/>
          <w:sz w:val="24"/>
          <w:szCs w:val="24"/>
        </w:rPr>
        <w:t>按照《铁合金工业污染物排放标准》（</w:t>
      </w:r>
      <w:r>
        <w:rPr>
          <w:rFonts w:ascii="Times New Roman" w:hAnsi="Times New Roman" w:eastAsia="Times New Roman" w:cs="Times New Roman"/>
          <w:spacing w:val="-3"/>
          <w:sz w:val="24"/>
          <w:szCs w:val="24"/>
        </w:rPr>
        <w:t>GB28666-2012</w:t>
      </w:r>
      <w:r>
        <w:rPr>
          <w:rFonts w:ascii="宋体" w:hAnsi="宋体" w:eastAsia="宋体" w:cs="宋体"/>
          <w:spacing w:val="-3"/>
          <w:sz w:val="24"/>
          <w:szCs w:val="24"/>
        </w:rPr>
        <w:t>）、《钢铁烧结、球团工业大</w:t>
      </w:r>
      <w:r>
        <w:rPr>
          <w:rFonts w:ascii="宋体" w:hAnsi="宋体" w:eastAsia="宋体" w:cs="宋体"/>
          <w:spacing w:val="9"/>
          <w:sz w:val="24"/>
          <w:szCs w:val="24"/>
        </w:rPr>
        <w:t xml:space="preserve"> </w:t>
      </w:r>
      <w:r>
        <w:rPr>
          <w:rFonts w:ascii="宋体" w:hAnsi="宋体" w:eastAsia="宋体" w:cs="宋体"/>
          <w:spacing w:val="-1"/>
          <w:sz w:val="24"/>
          <w:szCs w:val="24"/>
        </w:rPr>
        <w:t>气污染物排放标准》（</w:t>
      </w:r>
      <w:r>
        <w:rPr>
          <w:rFonts w:ascii="Times New Roman" w:hAnsi="Times New Roman" w:eastAsia="Times New Roman" w:cs="Times New Roman"/>
          <w:spacing w:val="-1"/>
          <w:sz w:val="24"/>
          <w:szCs w:val="24"/>
        </w:rPr>
        <w:t>GB28662-2012</w:t>
      </w:r>
      <w:r>
        <w:rPr>
          <w:rFonts w:ascii="宋体" w:hAnsi="宋体" w:eastAsia="宋体" w:cs="宋体"/>
          <w:spacing w:val="-1"/>
          <w:sz w:val="24"/>
          <w:szCs w:val="24"/>
        </w:rPr>
        <w:t>）及</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GB/T16157</w:t>
      </w:r>
      <w:r>
        <w:rPr>
          <w:rFonts w:ascii="Times New Roman" w:hAnsi="Times New Roman" w:eastAsia="Times New Roman" w:cs="Times New Roman"/>
          <w:spacing w:val="-32"/>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 xml:space="preserve">HJ/T397 </w:t>
      </w:r>
      <w:r>
        <w:rPr>
          <w:rFonts w:ascii="宋体" w:hAnsi="宋体" w:eastAsia="宋体" w:cs="宋体"/>
          <w:spacing w:val="-1"/>
          <w:sz w:val="24"/>
          <w:szCs w:val="24"/>
        </w:rPr>
        <w:t>等</w:t>
      </w:r>
      <w:r>
        <w:rPr>
          <w:rFonts w:ascii="宋体" w:hAnsi="宋体" w:eastAsia="宋体" w:cs="宋体"/>
          <w:spacing w:val="-2"/>
          <w:sz w:val="24"/>
          <w:szCs w:val="24"/>
        </w:rPr>
        <w:t>执行。</w:t>
      </w:r>
    </w:p>
    <w:p w14:paraId="2DB27F4B">
      <w:pPr>
        <w:spacing w:before="97" w:line="220" w:lineRule="auto"/>
        <w:ind w:left="118"/>
        <w:outlineLvl w:val="2"/>
        <w:rPr>
          <w:rFonts w:ascii="宋体" w:hAnsi="宋体" w:eastAsia="宋体" w:cs="宋体"/>
          <w:sz w:val="28"/>
          <w:szCs w:val="28"/>
        </w:rPr>
      </w:pPr>
      <w:bookmarkStart w:id="485" w:name="bookmark438"/>
      <w:bookmarkEnd w:id="485"/>
      <w:r>
        <w:rPr>
          <w:rFonts w:ascii="Times New Roman" w:hAnsi="Times New Roman" w:eastAsia="Times New Roman" w:cs="Times New Roman"/>
          <w:b/>
          <w:bCs/>
          <w:spacing w:val="-2"/>
          <w:sz w:val="28"/>
          <w:szCs w:val="28"/>
        </w:rPr>
        <w:t xml:space="preserve">8.2.2 </w:t>
      </w:r>
      <w:r>
        <w:rPr>
          <w:rFonts w:ascii="宋体" w:hAnsi="宋体" w:eastAsia="宋体" w:cs="宋体"/>
          <w:b/>
          <w:bCs/>
          <w:spacing w:val="-2"/>
          <w:sz w:val="28"/>
          <w:szCs w:val="28"/>
        </w:rPr>
        <w:t>地下水监测</w:t>
      </w:r>
    </w:p>
    <w:p w14:paraId="553DBA55">
      <w:pPr>
        <w:spacing w:before="258" w:line="219" w:lineRule="auto"/>
        <w:ind w:left="60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）监测点位：布</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 xml:space="preserve">3 </w:t>
      </w:r>
      <w:r>
        <w:rPr>
          <w:rFonts w:ascii="宋体" w:hAnsi="宋体" w:eastAsia="宋体" w:cs="宋体"/>
          <w:spacing w:val="-1"/>
          <w:sz w:val="24"/>
          <w:szCs w:val="24"/>
        </w:rPr>
        <w:t>个点，其中上游一个对照井，下游两个监测井。</w:t>
      </w:r>
    </w:p>
    <w:p w14:paraId="1A8509D9">
      <w:pPr>
        <w:spacing w:before="203" w:line="212" w:lineRule="auto"/>
        <w:ind w:left="609"/>
        <w:rPr>
          <w:rFonts w:ascii="Times New Roman" w:hAnsi="Times New Roman" w:eastAsia="Times New Roman" w:cs="Times New Roman"/>
          <w:sz w:val="15"/>
          <w:szCs w:val="15"/>
        </w:rPr>
      </w:pPr>
      <w:r>
        <w:rPr>
          <w:rFonts w:ascii="宋体" w:hAnsi="宋体" w:eastAsia="宋体" w:cs="宋体"/>
          <w:spacing w:val="-5"/>
          <w:sz w:val="24"/>
          <w:szCs w:val="24"/>
        </w:rPr>
        <w:t>（</w:t>
      </w:r>
      <w:r>
        <w:rPr>
          <w:rFonts w:ascii="Times New Roman" w:hAnsi="Times New Roman" w:eastAsia="Times New Roman" w:cs="Times New Roman"/>
          <w:spacing w:val="-5"/>
          <w:sz w:val="24"/>
          <w:szCs w:val="24"/>
        </w:rPr>
        <w:t>2</w:t>
      </w:r>
      <w:r>
        <w:rPr>
          <w:rFonts w:ascii="宋体" w:hAnsi="宋体" w:eastAsia="宋体" w:cs="宋体"/>
          <w:spacing w:val="-5"/>
          <w:sz w:val="24"/>
          <w:szCs w:val="24"/>
        </w:rPr>
        <w:t>）监测指标：上游监测常规</w:t>
      </w:r>
      <w:r>
        <w:rPr>
          <w:rFonts w:ascii="宋体" w:hAnsi="宋体" w:eastAsia="宋体" w:cs="宋体"/>
          <w:spacing w:val="-37"/>
          <w:sz w:val="24"/>
          <w:szCs w:val="24"/>
        </w:rPr>
        <w:t xml:space="preserve"> </w:t>
      </w:r>
      <w:r>
        <w:rPr>
          <w:rFonts w:ascii="Times New Roman" w:hAnsi="Times New Roman" w:eastAsia="Times New Roman" w:cs="Times New Roman"/>
          <w:spacing w:val="-5"/>
          <w:sz w:val="24"/>
          <w:szCs w:val="24"/>
        </w:rPr>
        <w:t xml:space="preserve">35 </w:t>
      </w:r>
      <w:r>
        <w:rPr>
          <w:rFonts w:ascii="宋体" w:hAnsi="宋体" w:eastAsia="宋体" w:cs="宋体"/>
          <w:spacing w:val="-5"/>
          <w:sz w:val="24"/>
          <w:szCs w:val="24"/>
        </w:rPr>
        <w:t>项；下游监测</w:t>
      </w:r>
      <w:r>
        <w:rPr>
          <w:rFonts w:ascii="宋体" w:hAnsi="宋体" w:eastAsia="宋体" w:cs="宋体"/>
          <w:spacing w:val="-60"/>
          <w:sz w:val="24"/>
          <w:szCs w:val="24"/>
        </w:rPr>
        <w:t xml:space="preserve"> </w:t>
      </w:r>
      <w:r>
        <w:rPr>
          <w:rFonts w:ascii="Times New Roman" w:hAnsi="Times New Roman" w:eastAsia="Times New Roman" w:cs="Times New Roman"/>
          <w:spacing w:val="-5"/>
          <w:sz w:val="24"/>
          <w:szCs w:val="24"/>
        </w:rPr>
        <w:t>pH</w:t>
      </w:r>
      <w:r>
        <w:rPr>
          <w:rFonts w:ascii="宋体" w:hAnsi="宋体" w:eastAsia="宋体" w:cs="宋体"/>
          <w:spacing w:val="-5"/>
          <w:sz w:val="24"/>
          <w:szCs w:val="24"/>
        </w:rPr>
        <w:t>、溶解性总固体、氨氮、</w:t>
      </w:r>
      <w:r>
        <w:rPr>
          <w:rFonts w:ascii="Times New Roman" w:hAnsi="Times New Roman" w:eastAsia="Times New Roman" w:cs="Times New Roman"/>
          <w:spacing w:val="-5"/>
          <w:sz w:val="24"/>
          <w:szCs w:val="24"/>
        </w:rPr>
        <w:t>COD</w:t>
      </w:r>
      <w:r>
        <w:rPr>
          <w:rFonts w:ascii="Times New Roman" w:hAnsi="Times New Roman" w:eastAsia="Times New Roman" w:cs="Times New Roman"/>
          <w:spacing w:val="-5"/>
          <w:position w:val="-1"/>
          <w:sz w:val="15"/>
          <w:szCs w:val="15"/>
        </w:rPr>
        <w:t>Mn</w:t>
      </w:r>
    </w:p>
    <w:p w14:paraId="65FDA8F6">
      <w:pPr>
        <w:spacing w:line="212" w:lineRule="auto"/>
        <w:rPr>
          <w:rFonts w:ascii="Times New Roman" w:hAnsi="Times New Roman" w:eastAsia="Times New Roman" w:cs="Times New Roman"/>
          <w:sz w:val="15"/>
          <w:szCs w:val="15"/>
        </w:rPr>
        <w:sectPr>
          <w:footerReference r:id="rId497" w:type="default"/>
          <w:pgSz w:w="11906" w:h="16839"/>
          <w:pgMar w:top="1190" w:right="1316" w:bottom="1221" w:left="1310" w:header="882" w:footer="1059" w:gutter="0"/>
          <w:cols w:space="720" w:num="1"/>
        </w:sectPr>
      </w:pPr>
    </w:p>
    <w:p w14:paraId="47CA0E15">
      <w:pPr>
        <w:spacing w:line="28" w:lineRule="exact"/>
      </w:pPr>
      <w:r>
        <w:pict>
          <v:shape id="_x0000_s3092" o:spid="_x0000_s3092" style="height:1.45pt;width:453.55pt;" fillcolor="#000000" filled="t" stroked="f" coordsize="9070,29" path="m0,0l9070,0,9070,28,0,28,0,0xe">
            <v:path/>
            <v:fill on="t" focussize="0,0"/>
            <v:stroke on="f"/>
            <v:imagedata o:title=""/>
            <o:lock v:ext="edit"/>
            <w10:wrap type="none"/>
            <w10:anchorlock/>
          </v:shape>
        </w:pict>
      </w:r>
    </w:p>
    <w:p w14:paraId="7563493B">
      <w:pPr>
        <w:pStyle w:val="2"/>
        <w:spacing w:line="243" w:lineRule="auto"/>
      </w:pPr>
    </w:p>
    <w:p w14:paraId="03F7736E">
      <w:pPr>
        <w:spacing w:before="78" w:line="219" w:lineRule="auto"/>
        <w:ind w:left="11"/>
        <w:rPr>
          <w:rFonts w:ascii="宋体" w:hAnsi="宋体" w:eastAsia="宋体" w:cs="宋体"/>
          <w:sz w:val="24"/>
          <w:szCs w:val="24"/>
        </w:rPr>
      </w:pPr>
      <w:r>
        <w:rPr>
          <w:rFonts w:ascii="宋体" w:hAnsi="宋体" w:eastAsia="宋体" w:cs="宋体"/>
          <w:spacing w:val="-6"/>
          <w:sz w:val="24"/>
          <w:szCs w:val="24"/>
        </w:rPr>
        <w:t>等。</w:t>
      </w:r>
    </w:p>
    <w:p w14:paraId="25FACFAC">
      <w:pPr>
        <w:spacing w:before="204" w:line="297" w:lineRule="auto"/>
        <w:ind w:left="9" w:right="138" w:firstLine="49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）监测频次：上游监测井每年枯水期监测</w:t>
      </w:r>
      <w:r>
        <w:rPr>
          <w:rFonts w:ascii="宋体" w:hAnsi="宋体" w:eastAsia="宋体" w:cs="宋体"/>
          <w:spacing w:val="-30"/>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18"/>
          <w:sz w:val="24"/>
          <w:szCs w:val="24"/>
        </w:rPr>
        <w:t xml:space="preserve"> </w:t>
      </w:r>
      <w:r>
        <w:rPr>
          <w:rFonts w:ascii="宋体" w:hAnsi="宋体" w:eastAsia="宋体" w:cs="宋体"/>
          <w:spacing w:val="-3"/>
          <w:sz w:val="24"/>
          <w:szCs w:val="24"/>
        </w:rPr>
        <w:t>次，污染监控井逢单月监测</w:t>
      </w:r>
      <w:r>
        <w:rPr>
          <w:rFonts w:ascii="宋体" w:hAnsi="宋体" w:eastAsia="宋体" w:cs="宋体"/>
          <w:spacing w:val="-30"/>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19"/>
          <w:sz w:val="24"/>
          <w:szCs w:val="24"/>
        </w:rPr>
        <w:t xml:space="preserve"> </w:t>
      </w:r>
      <w:r>
        <w:rPr>
          <w:rFonts w:ascii="宋体" w:hAnsi="宋体" w:eastAsia="宋体" w:cs="宋体"/>
          <w:spacing w:val="-3"/>
          <w:sz w:val="24"/>
          <w:szCs w:val="24"/>
        </w:rPr>
        <w:t>次，</w:t>
      </w:r>
      <w:r>
        <w:rPr>
          <w:rFonts w:ascii="宋体" w:hAnsi="宋体" w:eastAsia="宋体" w:cs="宋体"/>
          <w:sz w:val="24"/>
          <w:szCs w:val="24"/>
        </w:rPr>
        <w:t xml:space="preserve"> </w:t>
      </w:r>
      <w:r>
        <w:rPr>
          <w:rFonts w:ascii="宋体" w:hAnsi="宋体" w:eastAsia="宋体" w:cs="宋体"/>
          <w:spacing w:val="-8"/>
          <w:sz w:val="24"/>
          <w:szCs w:val="24"/>
        </w:rPr>
        <w:t>全年</w:t>
      </w:r>
      <w:r>
        <w:rPr>
          <w:rFonts w:ascii="宋体" w:hAnsi="宋体" w:eastAsia="宋体" w:cs="宋体"/>
          <w:spacing w:val="-47"/>
          <w:sz w:val="24"/>
          <w:szCs w:val="24"/>
        </w:rPr>
        <w:t xml:space="preserve"> </w:t>
      </w:r>
      <w:r>
        <w:rPr>
          <w:rFonts w:ascii="Times New Roman" w:hAnsi="Times New Roman" w:eastAsia="Times New Roman" w:cs="Times New Roman"/>
          <w:spacing w:val="-8"/>
          <w:sz w:val="24"/>
          <w:szCs w:val="24"/>
        </w:rPr>
        <w:t>6</w:t>
      </w:r>
      <w:r>
        <w:rPr>
          <w:rFonts w:ascii="Times New Roman" w:hAnsi="Times New Roman" w:eastAsia="Times New Roman" w:cs="Times New Roman"/>
          <w:spacing w:val="16"/>
          <w:w w:val="101"/>
          <w:sz w:val="24"/>
          <w:szCs w:val="24"/>
        </w:rPr>
        <w:t xml:space="preserve"> </w:t>
      </w:r>
      <w:r>
        <w:rPr>
          <w:rFonts w:ascii="宋体" w:hAnsi="宋体" w:eastAsia="宋体" w:cs="宋体"/>
          <w:spacing w:val="-8"/>
          <w:sz w:val="24"/>
          <w:szCs w:val="24"/>
        </w:rPr>
        <w:t>次。</w:t>
      </w:r>
    </w:p>
    <w:p w14:paraId="645FDBD2">
      <w:pPr>
        <w:spacing w:before="204" w:line="298" w:lineRule="auto"/>
        <w:ind w:left="4" w:firstLine="496"/>
        <w:rPr>
          <w:rFonts w:ascii="宋体" w:hAnsi="宋体" w:eastAsia="宋体" w:cs="宋体"/>
          <w:sz w:val="24"/>
          <w:szCs w:val="24"/>
        </w:rPr>
      </w:pPr>
      <w:r>
        <w:rPr>
          <w:rFonts w:ascii="宋体" w:hAnsi="宋体" w:eastAsia="宋体" w:cs="宋体"/>
          <w:spacing w:val="-7"/>
          <w:sz w:val="24"/>
          <w:szCs w:val="24"/>
        </w:rPr>
        <w:t>（</w:t>
      </w:r>
      <w:r>
        <w:rPr>
          <w:rFonts w:ascii="Times New Roman" w:hAnsi="Times New Roman" w:eastAsia="Times New Roman" w:cs="Times New Roman"/>
          <w:spacing w:val="-7"/>
          <w:sz w:val="24"/>
          <w:szCs w:val="24"/>
        </w:rPr>
        <w:t>4</w:t>
      </w:r>
      <w:r>
        <w:rPr>
          <w:rFonts w:ascii="宋体" w:hAnsi="宋体" w:eastAsia="宋体" w:cs="宋体"/>
          <w:spacing w:val="-7"/>
          <w:sz w:val="24"/>
          <w:szCs w:val="24"/>
        </w:rPr>
        <w:t>）采样方法：参照《铁合金工业污染物排放标准》（</w:t>
      </w:r>
      <w:r>
        <w:rPr>
          <w:rFonts w:ascii="Times New Roman" w:hAnsi="Times New Roman" w:eastAsia="Times New Roman" w:cs="Times New Roman"/>
          <w:spacing w:val="-7"/>
          <w:sz w:val="24"/>
          <w:szCs w:val="24"/>
        </w:rPr>
        <w:t>GB28666-2012</w:t>
      </w:r>
      <w:r>
        <w:rPr>
          <w:rFonts w:ascii="宋体" w:hAnsi="宋体" w:eastAsia="宋体" w:cs="宋体"/>
          <w:spacing w:val="-7"/>
          <w:sz w:val="24"/>
          <w:szCs w:val="24"/>
        </w:rPr>
        <w:t>）</w:t>
      </w:r>
      <w:r>
        <w:rPr>
          <w:rFonts w:ascii="宋体" w:hAnsi="宋体" w:eastAsia="宋体" w:cs="宋体"/>
          <w:spacing w:val="-8"/>
          <w:sz w:val="24"/>
          <w:szCs w:val="24"/>
        </w:rPr>
        <w:t xml:space="preserve">及 </w:t>
      </w:r>
      <w:r>
        <w:rPr>
          <w:rFonts w:ascii="Times New Roman" w:hAnsi="Times New Roman" w:eastAsia="Times New Roman" w:cs="Times New Roman"/>
          <w:spacing w:val="-8"/>
          <w:sz w:val="24"/>
          <w:szCs w:val="24"/>
        </w:rPr>
        <w:t>HJ/T 91</w:t>
      </w:r>
      <w:r>
        <w:rPr>
          <w:rFonts w:ascii="宋体" w:hAnsi="宋体" w:eastAsia="宋体" w:cs="宋体"/>
          <w:spacing w:val="-8"/>
          <w:sz w:val="24"/>
          <w:szCs w:val="24"/>
        </w:rPr>
        <w:t>、</w:t>
      </w:r>
      <w:r>
        <w:rPr>
          <w:rFonts w:ascii="宋体" w:hAnsi="宋体" w:eastAsia="宋体" w:cs="宋体"/>
          <w:sz w:val="24"/>
          <w:szCs w:val="24"/>
        </w:rPr>
        <w:t xml:space="preserve"> </w:t>
      </w:r>
      <w:r>
        <w:rPr>
          <w:rFonts w:ascii="Times New Roman" w:hAnsi="Times New Roman" w:eastAsia="Times New Roman" w:cs="Times New Roman"/>
          <w:spacing w:val="-2"/>
          <w:sz w:val="24"/>
          <w:szCs w:val="24"/>
        </w:rPr>
        <w:t>HJ/T 92</w:t>
      </w:r>
      <w:r>
        <w:rPr>
          <w:rFonts w:ascii="Times New Roman" w:hAnsi="Times New Roman" w:eastAsia="Times New Roman" w:cs="Times New Roman"/>
          <w:spacing w:val="-34"/>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HJ 493</w:t>
      </w:r>
      <w:r>
        <w:rPr>
          <w:rFonts w:ascii="Times New Roman" w:hAnsi="Times New Roman" w:eastAsia="Times New Roman" w:cs="Times New Roman"/>
          <w:spacing w:val="-34"/>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HJ 49</w:t>
      </w:r>
      <w:r>
        <w:rPr>
          <w:rFonts w:ascii="Times New Roman" w:hAnsi="Times New Roman" w:eastAsia="Times New Roman" w:cs="Times New Roman"/>
          <w:spacing w:val="-3"/>
          <w:sz w:val="24"/>
          <w:szCs w:val="24"/>
        </w:rPr>
        <w:t>4</w:t>
      </w:r>
      <w:r>
        <w:rPr>
          <w:rFonts w:ascii="Times New Roman" w:hAnsi="Times New Roman" w:eastAsia="Times New Roman" w:cs="Times New Roman"/>
          <w:spacing w:val="-34"/>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 xml:space="preserve">HJ 495 </w:t>
      </w:r>
      <w:r>
        <w:rPr>
          <w:rFonts w:ascii="宋体" w:hAnsi="宋体" w:eastAsia="宋体" w:cs="宋体"/>
          <w:spacing w:val="-3"/>
          <w:sz w:val="24"/>
          <w:szCs w:val="24"/>
        </w:rPr>
        <w:t>等标准执行。</w:t>
      </w:r>
    </w:p>
    <w:p w14:paraId="1ED0C5C1">
      <w:pPr>
        <w:spacing w:before="204" w:line="300" w:lineRule="auto"/>
        <w:ind w:left="10" w:right="80" w:firstLine="490"/>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6</w:t>
      </w:r>
      <w:r>
        <w:rPr>
          <w:rFonts w:ascii="宋体" w:hAnsi="宋体" w:eastAsia="宋体" w:cs="宋体"/>
          <w:sz w:val="24"/>
          <w:szCs w:val="24"/>
        </w:rPr>
        <w:t>）监测分析方法：《铁合金工业污染物排放标准》（</w:t>
      </w:r>
      <w:r>
        <w:rPr>
          <w:rFonts w:ascii="Times New Roman" w:hAnsi="Times New Roman" w:eastAsia="Times New Roman" w:cs="Times New Roman"/>
          <w:sz w:val="24"/>
          <w:szCs w:val="24"/>
        </w:rPr>
        <w:t>GB28666-201</w:t>
      </w:r>
      <w:r>
        <w:rPr>
          <w:rFonts w:ascii="Times New Roman" w:hAnsi="Times New Roman" w:eastAsia="Times New Roman" w:cs="Times New Roman"/>
          <w:spacing w:val="-1"/>
          <w:sz w:val="24"/>
          <w:szCs w:val="24"/>
        </w:rPr>
        <w:t>2</w:t>
      </w:r>
      <w:r>
        <w:rPr>
          <w:rFonts w:ascii="宋体" w:hAnsi="宋体" w:eastAsia="宋体" w:cs="宋体"/>
          <w:spacing w:val="-1"/>
          <w:sz w:val="24"/>
          <w:szCs w:val="24"/>
        </w:rPr>
        <w:t>）中规定方</w:t>
      </w:r>
      <w:r>
        <w:rPr>
          <w:rFonts w:ascii="宋体" w:hAnsi="宋体" w:eastAsia="宋体" w:cs="宋体"/>
          <w:sz w:val="24"/>
          <w:szCs w:val="24"/>
        </w:rPr>
        <w:t xml:space="preserve"> </w:t>
      </w:r>
      <w:r>
        <w:rPr>
          <w:rFonts w:ascii="宋体" w:hAnsi="宋体" w:eastAsia="宋体" w:cs="宋体"/>
          <w:spacing w:val="-6"/>
          <w:sz w:val="24"/>
          <w:szCs w:val="24"/>
        </w:rPr>
        <w:t>法。</w:t>
      </w:r>
    </w:p>
    <w:p w14:paraId="68C86B4B">
      <w:pPr>
        <w:spacing w:before="257" w:line="221" w:lineRule="auto"/>
        <w:ind w:left="10"/>
        <w:outlineLvl w:val="2"/>
        <w:rPr>
          <w:rFonts w:ascii="宋体" w:hAnsi="宋体" w:eastAsia="宋体" w:cs="宋体"/>
          <w:sz w:val="28"/>
          <w:szCs w:val="28"/>
        </w:rPr>
      </w:pPr>
      <w:bookmarkStart w:id="486" w:name="bookmark440"/>
      <w:bookmarkEnd w:id="486"/>
      <w:r>
        <w:rPr>
          <w:rFonts w:ascii="Times New Roman" w:hAnsi="Times New Roman" w:eastAsia="Times New Roman" w:cs="Times New Roman"/>
          <w:b/>
          <w:bCs/>
          <w:spacing w:val="-2"/>
          <w:sz w:val="28"/>
          <w:szCs w:val="28"/>
        </w:rPr>
        <w:t xml:space="preserve">8.2.3 </w:t>
      </w:r>
      <w:r>
        <w:rPr>
          <w:rFonts w:ascii="宋体" w:hAnsi="宋体" w:eastAsia="宋体" w:cs="宋体"/>
          <w:b/>
          <w:bCs/>
          <w:spacing w:val="-2"/>
          <w:sz w:val="28"/>
          <w:szCs w:val="28"/>
        </w:rPr>
        <w:t>厂界环境噪声监测</w:t>
      </w:r>
    </w:p>
    <w:p w14:paraId="016ED7AD">
      <w:pPr>
        <w:spacing w:before="257" w:line="219" w:lineRule="auto"/>
        <w:ind w:left="50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）监测点位：厂界，布置方案同现状监测点位相同，共布置</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 xml:space="preserve">4 </w:t>
      </w:r>
      <w:r>
        <w:rPr>
          <w:rFonts w:ascii="宋体" w:hAnsi="宋体" w:eastAsia="宋体" w:cs="宋体"/>
          <w:spacing w:val="-1"/>
          <w:sz w:val="24"/>
          <w:szCs w:val="24"/>
        </w:rPr>
        <w:t>个监测点位。</w:t>
      </w:r>
    </w:p>
    <w:p w14:paraId="3E2A2CC8">
      <w:pPr>
        <w:spacing w:before="206" w:line="219"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）监测指标：连续等效噪声</w:t>
      </w:r>
      <w:r>
        <w:rPr>
          <w:rFonts w:ascii="宋体" w:hAnsi="宋体" w:eastAsia="宋体" w:cs="宋体"/>
          <w:spacing w:val="-47"/>
          <w:sz w:val="24"/>
          <w:szCs w:val="24"/>
        </w:rPr>
        <w:t xml:space="preserve"> </w:t>
      </w:r>
      <w:r>
        <w:rPr>
          <w:rFonts w:ascii="Times New Roman" w:hAnsi="Times New Roman" w:eastAsia="Times New Roman" w:cs="Times New Roman"/>
          <w:spacing w:val="-2"/>
          <w:sz w:val="24"/>
          <w:szCs w:val="24"/>
        </w:rPr>
        <w:t xml:space="preserve">A </w:t>
      </w:r>
      <w:r>
        <w:rPr>
          <w:rFonts w:ascii="宋体" w:hAnsi="宋体" w:eastAsia="宋体" w:cs="宋体"/>
          <w:spacing w:val="-2"/>
          <w:sz w:val="24"/>
          <w:szCs w:val="24"/>
        </w:rPr>
        <w:t>声级</w:t>
      </w:r>
    </w:p>
    <w:p w14:paraId="36EB1D75">
      <w:pPr>
        <w:spacing w:before="202" w:line="219"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）监测频次：每季度至少开展</w:t>
      </w:r>
      <w:r>
        <w:rPr>
          <w:rFonts w:ascii="宋体" w:hAnsi="宋体" w:eastAsia="宋体" w:cs="宋体"/>
          <w:spacing w:val="-28"/>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2"/>
          <w:sz w:val="24"/>
          <w:szCs w:val="24"/>
        </w:rPr>
        <w:t>期监测，昼夜各一次。</w:t>
      </w:r>
    </w:p>
    <w:p w14:paraId="0370C9BD">
      <w:pPr>
        <w:spacing w:before="265" w:line="221" w:lineRule="auto"/>
        <w:ind w:left="10"/>
        <w:outlineLvl w:val="2"/>
        <w:rPr>
          <w:rFonts w:ascii="宋体" w:hAnsi="宋体" w:eastAsia="宋体" w:cs="宋体"/>
          <w:sz w:val="28"/>
          <w:szCs w:val="28"/>
        </w:rPr>
      </w:pPr>
      <w:bookmarkStart w:id="487" w:name="bookmark442"/>
      <w:bookmarkEnd w:id="487"/>
      <w:r>
        <w:rPr>
          <w:rFonts w:ascii="Times New Roman" w:hAnsi="Times New Roman" w:eastAsia="Times New Roman" w:cs="Times New Roman"/>
          <w:b/>
          <w:bCs/>
          <w:spacing w:val="-2"/>
          <w:sz w:val="28"/>
          <w:szCs w:val="28"/>
        </w:rPr>
        <w:t xml:space="preserve">8.2.5 </w:t>
      </w:r>
      <w:r>
        <w:rPr>
          <w:rFonts w:ascii="宋体" w:hAnsi="宋体" w:eastAsia="宋体" w:cs="宋体"/>
          <w:b/>
          <w:bCs/>
          <w:spacing w:val="-2"/>
          <w:sz w:val="28"/>
          <w:szCs w:val="28"/>
        </w:rPr>
        <w:t>周边环境质量影响监测</w:t>
      </w:r>
    </w:p>
    <w:p w14:paraId="52B0F1FC">
      <w:pPr>
        <w:spacing w:before="258" w:line="219" w:lineRule="auto"/>
        <w:ind w:left="609"/>
        <w:rPr>
          <w:rFonts w:ascii="宋体" w:hAnsi="宋体" w:eastAsia="宋体" w:cs="宋体"/>
          <w:sz w:val="24"/>
          <w:szCs w:val="24"/>
        </w:rPr>
      </w:pPr>
      <w:r>
        <w:rPr>
          <w:rFonts w:ascii="宋体" w:hAnsi="宋体" w:eastAsia="宋体" w:cs="宋体"/>
          <w:spacing w:val="-2"/>
          <w:sz w:val="24"/>
          <w:szCs w:val="24"/>
        </w:rPr>
        <w:t>运营期环境质量监测计划相见表</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8.2-2</w:t>
      </w:r>
      <w:r>
        <w:rPr>
          <w:rFonts w:ascii="宋体" w:hAnsi="宋体" w:eastAsia="宋体" w:cs="宋体"/>
          <w:spacing w:val="-2"/>
          <w:sz w:val="24"/>
          <w:szCs w:val="24"/>
        </w:rPr>
        <w:t>。</w:t>
      </w:r>
    </w:p>
    <w:p w14:paraId="1CC7F80A">
      <w:pPr>
        <w:spacing w:before="217" w:line="228" w:lineRule="auto"/>
        <w:ind w:left="2770"/>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41"/>
          <w:sz w:val="20"/>
          <w:szCs w:val="20"/>
        </w:rPr>
        <w:t xml:space="preserve"> </w:t>
      </w:r>
      <w:r>
        <w:rPr>
          <w:rFonts w:ascii="Times New Roman" w:hAnsi="Times New Roman" w:eastAsia="Times New Roman" w:cs="Times New Roman"/>
          <w:b/>
          <w:bCs/>
          <w:spacing w:val="5"/>
          <w:sz w:val="20"/>
          <w:szCs w:val="20"/>
        </w:rPr>
        <w:t xml:space="preserve">8.2-2          </w:t>
      </w:r>
      <w:r>
        <w:rPr>
          <w:rFonts w:ascii="宋体" w:hAnsi="宋体" w:eastAsia="宋体" w:cs="宋体"/>
          <w:b/>
          <w:bCs/>
          <w:spacing w:val="5"/>
          <w:sz w:val="20"/>
          <w:szCs w:val="20"/>
        </w:rPr>
        <w:t>运营期环境质</w:t>
      </w:r>
      <w:r>
        <w:rPr>
          <w:rFonts w:ascii="宋体" w:hAnsi="宋体" w:eastAsia="宋体" w:cs="宋体"/>
          <w:b/>
          <w:bCs/>
          <w:spacing w:val="4"/>
          <w:sz w:val="20"/>
          <w:szCs w:val="20"/>
        </w:rPr>
        <w:t>量监测计划</w:t>
      </w:r>
    </w:p>
    <w:p w14:paraId="08FC5E2D">
      <w:pPr>
        <w:spacing w:line="103" w:lineRule="exact"/>
      </w:pPr>
    </w:p>
    <w:tbl>
      <w:tblPr>
        <w:tblStyle w:val="5"/>
        <w:tblW w:w="907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60"/>
        <w:gridCol w:w="2116"/>
        <w:gridCol w:w="1361"/>
        <w:gridCol w:w="4533"/>
      </w:tblGrid>
      <w:tr w14:paraId="49D27D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1060" w:type="dxa"/>
            <w:tcBorders>
              <w:top w:val="single" w:color="000000" w:sz="10" w:space="0"/>
              <w:left w:val="nil"/>
            </w:tcBorders>
            <w:vAlign w:val="top"/>
          </w:tcPr>
          <w:p w14:paraId="6DF77E78">
            <w:pPr>
              <w:pStyle w:val="6"/>
              <w:spacing w:before="63" w:line="228" w:lineRule="auto"/>
              <w:ind w:left="114"/>
              <w:rPr>
                <w:sz w:val="20"/>
                <w:szCs w:val="20"/>
              </w:rPr>
            </w:pPr>
            <w:r>
              <w:rPr>
                <w:b/>
                <w:bCs/>
                <w:spacing w:val="6"/>
                <w:sz w:val="20"/>
                <w:szCs w:val="20"/>
              </w:rPr>
              <w:t>环境要素</w:t>
            </w:r>
          </w:p>
        </w:tc>
        <w:tc>
          <w:tcPr>
            <w:tcW w:w="2116" w:type="dxa"/>
            <w:tcBorders>
              <w:top w:val="single" w:color="000000" w:sz="10" w:space="0"/>
            </w:tcBorders>
            <w:vAlign w:val="top"/>
          </w:tcPr>
          <w:p w14:paraId="3260EBCF">
            <w:pPr>
              <w:pStyle w:val="6"/>
              <w:spacing w:before="63" w:line="227" w:lineRule="auto"/>
              <w:ind w:left="432"/>
              <w:rPr>
                <w:sz w:val="20"/>
                <w:szCs w:val="20"/>
              </w:rPr>
            </w:pPr>
            <w:r>
              <w:rPr>
                <w:b/>
                <w:bCs/>
                <w:spacing w:val="6"/>
                <w:sz w:val="20"/>
                <w:szCs w:val="20"/>
              </w:rPr>
              <w:t>监测点位布置</w:t>
            </w:r>
          </w:p>
        </w:tc>
        <w:tc>
          <w:tcPr>
            <w:tcW w:w="1361" w:type="dxa"/>
            <w:tcBorders>
              <w:top w:val="single" w:color="000000" w:sz="10" w:space="0"/>
            </w:tcBorders>
            <w:vAlign w:val="top"/>
          </w:tcPr>
          <w:p w14:paraId="34B6F528">
            <w:pPr>
              <w:pStyle w:val="6"/>
              <w:spacing w:before="63" w:line="228" w:lineRule="auto"/>
              <w:ind w:left="265"/>
              <w:rPr>
                <w:sz w:val="20"/>
                <w:szCs w:val="20"/>
              </w:rPr>
            </w:pPr>
            <w:r>
              <w:rPr>
                <w:b/>
                <w:bCs/>
                <w:spacing w:val="6"/>
                <w:sz w:val="20"/>
                <w:szCs w:val="20"/>
              </w:rPr>
              <w:t>监测频率</w:t>
            </w:r>
          </w:p>
        </w:tc>
        <w:tc>
          <w:tcPr>
            <w:tcW w:w="4533" w:type="dxa"/>
            <w:tcBorders>
              <w:top w:val="single" w:color="000000" w:sz="10" w:space="0"/>
              <w:right w:val="nil"/>
            </w:tcBorders>
            <w:vAlign w:val="top"/>
          </w:tcPr>
          <w:p w14:paraId="33CD7B09">
            <w:pPr>
              <w:pStyle w:val="6"/>
              <w:spacing w:before="63" w:line="228" w:lineRule="auto"/>
              <w:ind w:left="1853"/>
              <w:rPr>
                <w:sz w:val="20"/>
                <w:szCs w:val="20"/>
              </w:rPr>
            </w:pPr>
            <w:r>
              <w:rPr>
                <w:b/>
                <w:bCs/>
                <w:spacing w:val="6"/>
                <w:sz w:val="20"/>
                <w:szCs w:val="20"/>
              </w:rPr>
              <w:t>监测项目</w:t>
            </w:r>
          </w:p>
        </w:tc>
      </w:tr>
      <w:tr w14:paraId="297342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trPr>
        <w:tc>
          <w:tcPr>
            <w:tcW w:w="1060" w:type="dxa"/>
            <w:vMerge w:val="restart"/>
            <w:tcBorders>
              <w:left w:val="nil"/>
              <w:bottom w:val="nil"/>
            </w:tcBorders>
            <w:vAlign w:val="top"/>
          </w:tcPr>
          <w:p w14:paraId="364C7AEF">
            <w:pPr>
              <w:spacing w:line="251" w:lineRule="auto"/>
              <w:rPr>
                <w:rFonts w:ascii="Arial"/>
                <w:sz w:val="21"/>
              </w:rPr>
            </w:pPr>
          </w:p>
          <w:p w14:paraId="1E43D8E8">
            <w:pPr>
              <w:spacing w:line="251" w:lineRule="auto"/>
              <w:rPr>
                <w:rFonts w:ascii="Arial"/>
                <w:sz w:val="21"/>
              </w:rPr>
            </w:pPr>
          </w:p>
          <w:p w14:paraId="6F639DF6">
            <w:pPr>
              <w:spacing w:line="252" w:lineRule="auto"/>
              <w:rPr>
                <w:rFonts w:ascii="Arial"/>
                <w:sz w:val="21"/>
              </w:rPr>
            </w:pPr>
          </w:p>
          <w:p w14:paraId="2B7F5562">
            <w:pPr>
              <w:pStyle w:val="6"/>
              <w:spacing w:before="65" w:line="228" w:lineRule="auto"/>
              <w:ind w:left="116"/>
              <w:rPr>
                <w:sz w:val="20"/>
                <w:szCs w:val="20"/>
              </w:rPr>
            </w:pPr>
            <w:r>
              <w:rPr>
                <w:spacing w:val="6"/>
                <w:sz w:val="20"/>
                <w:szCs w:val="20"/>
              </w:rPr>
              <w:t>大气环境</w:t>
            </w:r>
          </w:p>
        </w:tc>
        <w:tc>
          <w:tcPr>
            <w:tcW w:w="2116" w:type="dxa"/>
            <w:vAlign w:val="top"/>
          </w:tcPr>
          <w:p w14:paraId="235331F4">
            <w:pPr>
              <w:pStyle w:val="6"/>
              <w:spacing w:before="125" w:line="228" w:lineRule="auto"/>
              <w:ind w:left="143"/>
              <w:rPr>
                <w:sz w:val="20"/>
                <w:szCs w:val="20"/>
              </w:rPr>
            </w:pPr>
            <w:r>
              <w:rPr>
                <w:spacing w:val="5"/>
                <w:sz w:val="20"/>
                <w:szCs w:val="20"/>
              </w:rPr>
              <w:t>厂区上风向</w:t>
            </w:r>
            <w:r>
              <w:rPr>
                <w:spacing w:val="-37"/>
                <w:sz w:val="20"/>
                <w:szCs w:val="20"/>
              </w:rPr>
              <w:t xml:space="preserve"> </w:t>
            </w:r>
            <w:r>
              <w:rPr>
                <w:rFonts w:ascii="Times New Roman" w:hAnsi="Times New Roman" w:eastAsia="Times New Roman" w:cs="Times New Roman"/>
                <w:spacing w:val="5"/>
                <w:sz w:val="20"/>
                <w:szCs w:val="20"/>
              </w:rPr>
              <w:t>500m</w:t>
            </w:r>
            <w:r>
              <w:rPr>
                <w:rFonts w:ascii="Times New Roman" w:hAnsi="Times New Roman" w:eastAsia="Times New Roman" w:cs="Times New Roman"/>
                <w:spacing w:val="16"/>
                <w:w w:val="101"/>
                <w:sz w:val="20"/>
                <w:szCs w:val="20"/>
              </w:rPr>
              <w:t xml:space="preserve"> </w:t>
            </w:r>
            <w:r>
              <w:rPr>
                <w:spacing w:val="5"/>
                <w:sz w:val="20"/>
                <w:szCs w:val="20"/>
              </w:rPr>
              <w:t>处</w:t>
            </w:r>
          </w:p>
        </w:tc>
        <w:tc>
          <w:tcPr>
            <w:tcW w:w="1361" w:type="dxa"/>
            <w:vMerge w:val="restart"/>
            <w:tcBorders>
              <w:bottom w:val="nil"/>
            </w:tcBorders>
            <w:vAlign w:val="top"/>
          </w:tcPr>
          <w:p w14:paraId="6F25AFDF">
            <w:pPr>
              <w:spacing w:line="307" w:lineRule="auto"/>
              <w:rPr>
                <w:rFonts w:ascii="Arial"/>
                <w:sz w:val="21"/>
              </w:rPr>
            </w:pPr>
          </w:p>
          <w:p w14:paraId="43E78A14">
            <w:pPr>
              <w:pStyle w:val="6"/>
              <w:spacing w:before="65" w:line="228" w:lineRule="auto"/>
              <w:ind w:left="264"/>
              <w:rPr>
                <w:sz w:val="20"/>
                <w:szCs w:val="20"/>
              </w:rPr>
            </w:pPr>
            <w:r>
              <w:rPr>
                <w:spacing w:val="2"/>
                <w:sz w:val="20"/>
                <w:szCs w:val="20"/>
              </w:rPr>
              <w:t>每年</w:t>
            </w:r>
            <w:r>
              <w:rPr>
                <w:spacing w:val="-40"/>
                <w:sz w:val="20"/>
                <w:szCs w:val="20"/>
              </w:rPr>
              <w:t xml:space="preserve"> </w:t>
            </w:r>
            <w:r>
              <w:rPr>
                <w:rFonts w:ascii="Times New Roman" w:hAnsi="Times New Roman" w:eastAsia="Times New Roman" w:cs="Times New Roman"/>
                <w:spacing w:val="2"/>
                <w:sz w:val="20"/>
                <w:szCs w:val="20"/>
              </w:rPr>
              <w:t>2</w:t>
            </w:r>
            <w:r>
              <w:rPr>
                <w:rFonts w:ascii="Times New Roman" w:hAnsi="Times New Roman" w:eastAsia="Times New Roman" w:cs="Times New Roman"/>
                <w:spacing w:val="17"/>
                <w:w w:val="101"/>
                <w:sz w:val="20"/>
                <w:szCs w:val="20"/>
              </w:rPr>
              <w:t xml:space="preserve"> </w:t>
            </w:r>
            <w:r>
              <w:rPr>
                <w:spacing w:val="2"/>
                <w:sz w:val="20"/>
                <w:szCs w:val="20"/>
              </w:rPr>
              <w:t>次</w:t>
            </w:r>
          </w:p>
        </w:tc>
        <w:tc>
          <w:tcPr>
            <w:tcW w:w="4533" w:type="dxa"/>
            <w:vMerge w:val="restart"/>
            <w:tcBorders>
              <w:bottom w:val="nil"/>
              <w:right w:val="nil"/>
            </w:tcBorders>
            <w:vAlign w:val="top"/>
          </w:tcPr>
          <w:p w14:paraId="6BC2CDCF">
            <w:pPr>
              <w:spacing w:line="308" w:lineRule="auto"/>
              <w:rPr>
                <w:rFonts w:ascii="Arial"/>
                <w:sz w:val="21"/>
              </w:rPr>
            </w:pPr>
          </w:p>
          <w:p w14:paraId="234B1945">
            <w:pPr>
              <w:pStyle w:val="6"/>
              <w:spacing w:before="65" w:line="229" w:lineRule="auto"/>
              <w:ind w:left="468"/>
              <w:rPr>
                <w:rFonts w:ascii="Times New Roman" w:hAnsi="Times New Roman" w:eastAsia="Times New Roman" w:cs="Times New Roman"/>
                <w:sz w:val="13"/>
                <w:szCs w:val="13"/>
              </w:rPr>
            </w:pPr>
            <w:r>
              <w:rPr>
                <w:rFonts w:ascii="Times New Roman" w:hAnsi="Times New Roman" w:eastAsia="Times New Roman" w:cs="Times New Roman"/>
                <w:sz w:val="20"/>
                <w:szCs w:val="20"/>
              </w:rPr>
              <w:t>SO</w:t>
            </w:r>
            <w:r>
              <w:rPr>
                <w:rFonts w:ascii="Times New Roman" w:hAnsi="Times New Roman" w:eastAsia="Times New Roman" w:cs="Times New Roman"/>
                <w:spacing w:val="6"/>
                <w:position w:val="-1"/>
                <w:sz w:val="13"/>
                <w:szCs w:val="13"/>
              </w:rPr>
              <w:t>2</w:t>
            </w:r>
            <w:r>
              <w:rPr>
                <w:rFonts w:ascii="Times New Roman" w:hAnsi="Times New Roman" w:eastAsia="Times New Roman" w:cs="Times New Roman"/>
                <w:spacing w:val="-1"/>
                <w:position w:val="-1"/>
                <w:sz w:val="13"/>
                <w:szCs w:val="13"/>
              </w:rPr>
              <w:t xml:space="preserve"> </w:t>
            </w:r>
            <w:r>
              <w:rPr>
                <w:spacing w:val="6"/>
                <w:sz w:val="20"/>
                <w:szCs w:val="20"/>
              </w:rPr>
              <w:t>、</w:t>
            </w:r>
            <w:r>
              <w:rPr>
                <w:rFonts w:ascii="Times New Roman" w:hAnsi="Times New Roman" w:eastAsia="Times New Roman" w:cs="Times New Roman"/>
                <w:sz w:val="20"/>
                <w:szCs w:val="20"/>
              </w:rPr>
              <w:t>NO</w:t>
            </w:r>
            <w:r>
              <w:rPr>
                <w:rFonts w:ascii="Times New Roman" w:hAnsi="Times New Roman" w:eastAsia="Times New Roman" w:cs="Times New Roman"/>
                <w:position w:val="-1"/>
                <w:sz w:val="13"/>
                <w:szCs w:val="13"/>
              </w:rPr>
              <w:t>x</w:t>
            </w:r>
            <w:r>
              <w:rPr>
                <w:rFonts w:ascii="Times New Roman" w:hAnsi="Times New Roman" w:eastAsia="Times New Roman" w:cs="Times New Roman"/>
                <w:spacing w:val="-9"/>
                <w:position w:val="-1"/>
                <w:sz w:val="13"/>
                <w:szCs w:val="13"/>
              </w:rPr>
              <w:t xml:space="preserve"> </w:t>
            </w:r>
            <w:r>
              <w:rPr>
                <w:spacing w:val="6"/>
                <w:sz w:val="20"/>
                <w:szCs w:val="20"/>
              </w:rPr>
              <w:t>、</w:t>
            </w:r>
            <w:r>
              <w:rPr>
                <w:rFonts w:ascii="Times New Roman" w:hAnsi="Times New Roman" w:eastAsia="Times New Roman" w:cs="Times New Roman"/>
                <w:sz w:val="20"/>
                <w:szCs w:val="20"/>
              </w:rPr>
              <w:t>PM</w:t>
            </w:r>
            <w:r>
              <w:rPr>
                <w:rFonts w:ascii="Times New Roman" w:hAnsi="Times New Roman" w:eastAsia="Times New Roman" w:cs="Times New Roman"/>
                <w:spacing w:val="6"/>
                <w:position w:val="-1"/>
                <w:sz w:val="13"/>
                <w:szCs w:val="13"/>
              </w:rPr>
              <w:t>10</w:t>
            </w:r>
            <w:r>
              <w:rPr>
                <w:rFonts w:ascii="Times New Roman" w:hAnsi="Times New Roman" w:eastAsia="Times New Roman" w:cs="Times New Roman"/>
                <w:spacing w:val="-13"/>
                <w:position w:val="-1"/>
                <w:sz w:val="13"/>
                <w:szCs w:val="13"/>
              </w:rPr>
              <w:t xml:space="preserve"> </w:t>
            </w:r>
            <w:r>
              <w:rPr>
                <w:spacing w:val="6"/>
                <w:sz w:val="20"/>
                <w:szCs w:val="20"/>
              </w:rPr>
              <w:t>、锰及其化合物、</w:t>
            </w:r>
            <w:r>
              <w:rPr>
                <w:rFonts w:ascii="Times New Roman" w:hAnsi="Times New Roman" w:eastAsia="Times New Roman" w:cs="Times New Roman"/>
                <w:sz w:val="20"/>
                <w:szCs w:val="20"/>
              </w:rPr>
              <w:t>NH</w:t>
            </w:r>
            <w:r>
              <w:rPr>
                <w:rFonts w:ascii="Times New Roman" w:hAnsi="Times New Roman" w:eastAsia="Times New Roman" w:cs="Times New Roman"/>
                <w:spacing w:val="6"/>
                <w:position w:val="-1"/>
                <w:sz w:val="13"/>
                <w:szCs w:val="13"/>
              </w:rPr>
              <w:t>3</w:t>
            </w:r>
          </w:p>
        </w:tc>
      </w:tr>
      <w:tr w14:paraId="77693E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1" w:hRule="atLeast"/>
        </w:trPr>
        <w:tc>
          <w:tcPr>
            <w:tcW w:w="1060" w:type="dxa"/>
            <w:vMerge w:val="continue"/>
            <w:tcBorders>
              <w:top w:val="nil"/>
              <w:left w:val="nil"/>
              <w:bottom w:val="nil"/>
            </w:tcBorders>
            <w:vAlign w:val="top"/>
          </w:tcPr>
          <w:p w14:paraId="4F553153">
            <w:pPr>
              <w:rPr>
                <w:rFonts w:ascii="Arial"/>
                <w:sz w:val="21"/>
              </w:rPr>
            </w:pPr>
          </w:p>
        </w:tc>
        <w:tc>
          <w:tcPr>
            <w:tcW w:w="2116" w:type="dxa"/>
            <w:vAlign w:val="top"/>
          </w:tcPr>
          <w:p w14:paraId="4A2C47D3">
            <w:pPr>
              <w:pStyle w:val="6"/>
              <w:spacing w:before="144" w:line="228" w:lineRule="auto"/>
              <w:ind w:left="196"/>
              <w:rPr>
                <w:sz w:val="20"/>
                <w:szCs w:val="20"/>
              </w:rPr>
            </w:pPr>
            <w:r>
              <w:rPr>
                <w:spacing w:val="5"/>
                <w:sz w:val="20"/>
                <w:szCs w:val="20"/>
              </w:rPr>
              <w:t>厂区下风向</w:t>
            </w:r>
            <w:r>
              <w:rPr>
                <w:spacing w:val="-38"/>
                <w:sz w:val="20"/>
                <w:szCs w:val="20"/>
              </w:rPr>
              <w:t xml:space="preserve"> </w:t>
            </w:r>
            <w:r>
              <w:rPr>
                <w:rFonts w:ascii="Times New Roman" w:hAnsi="Times New Roman" w:eastAsia="Times New Roman" w:cs="Times New Roman"/>
                <w:spacing w:val="5"/>
                <w:sz w:val="20"/>
                <w:szCs w:val="20"/>
              </w:rPr>
              <w:t>50m</w:t>
            </w:r>
            <w:r>
              <w:rPr>
                <w:rFonts w:ascii="Times New Roman" w:hAnsi="Times New Roman" w:eastAsia="Times New Roman" w:cs="Times New Roman"/>
                <w:spacing w:val="16"/>
                <w:w w:val="101"/>
                <w:sz w:val="20"/>
                <w:szCs w:val="20"/>
              </w:rPr>
              <w:t xml:space="preserve"> </w:t>
            </w:r>
            <w:r>
              <w:rPr>
                <w:spacing w:val="5"/>
                <w:sz w:val="20"/>
                <w:szCs w:val="20"/>
              </w:rPr>
              <w:t>处</w:t>
            </w:r>
          </w:p>
        </w:tc>
        <w:tc>
          <w:tcPr>
            <w:tcW w:w="1361" w:type="dxa"/>
            <w:vMerge w:val="continue"/>
            <w:tcBorders>
              <w:top w:val="nil"/>
            </w:tcBorders>
            <w:vAlign w:val="top"/>
          </w:tcPr>
          <w:p w14:paraId="23DBD9AA">
            <w:pPr>
              <w:rPr>
                <w:rFonts w:ascii="Arial"/>
                <w:sz w:val="21"/>
              </w:rPr>
            </w:pPr>
          </w:p>
        </w:tc>
        <w:tc>
          <w:tcPr>
            <w:tcW w:w="4533" w:type="dxa"/>
            <w:vMerge w:val="continue"/>
            <w:tcBorders>
              <w:top w:val="nil"/>
              <w:right w:val="nil"/>
            </w:tcBorders>
            <w:vAlign w:val="top"/>
          </w:tcPr>
          <w:p w14:paraId="0BDBC40C">
            <w:pPr>
              <w:rPr>
                <w:rFonts w:ascii="Arial"/>
                <w:sz w:val="21"/>
              </w:rPr>
            </w:pPr>
          </w:p>
        </w:tc>
      </w:tr>
      <w:tr w14:paraId="240A56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9" w:hRule="atLeast"/>
        </w:trPr>
        <w:tc>
          <w:tcPr>
            <w:tcW w:w="1060" w:type="dxa"/>
            <w:vMerge w:val="continue"/>
            <w:tcBorders>
              <w:top w:val="nil"/>
              <w:left w:val="nil"/>
            </w:tcBorders>
            <w:vAlign w:val="top"/>
          </w:tcPr>
          <w:p w14:paraId="5B9B423C">
            <w:pPr>
              <w:rPr>
                <w:rFonts w:ascii="Arial"/>
                <w:sz w:val="21"/>
              </w:rPr>
            </w:pPr>
          </w:p>
        </w:tc>
        <w:tc>
          <w:tcPr>
            <w:tcW w:w="2116" w:type="dxa"/>
            <w:vAlign w:val="top"/>
          </w:tcPr>
          <w:p w14:paraId="11992A8B">
            <w:pPr>
              <w:pStyle w:val="6"/>
              <w:spacing w:before="184" w:line="284" w:lineRule="auto"/>
              <w:ind w:left="10" w:right="2" w:firstLine="1"/>
              <w:rPr>
                <w:sz w:val="20"/>
                <w:szCs w:val="20"/>
              </w:rPr>
            </w:pPr>
            <w:r>
              <w:rPr>
                <w:spacing w:val="8"/>
                <w:sz w:val="20"/>
                <w:szCs w:val="20"/>
              </w:rPr>
              <w:t>周界外</w:t>
            </w:r>
            <w:r>
              <w:rPr>
                <w:spacing w:val="-49"/>
                <w:sz w:val="20"/>
                <w:szCs w:val="20"/>
              </w:rPr>
              <w:t xml:space="preserve"> </w:t>
            </w:r>
            <w:r>
              <w:rPr>
                <w:rFonts w:ascii="Times New Roman" w:hAnsi="Times New Roman" w:eastAsia="Times New Roman" w:cs="Times New Roman"/>
                <w:spacing w:val="8"/>
                <w:sz w:val="20"/>
                <w:szCs w:val="20"/>
              </w:rPr>
              <w:t>10m</w:t>
            </w:r>
            <w:r>
              <w:rPr>
                <w:spacing w:val="8"/>
                <w:sz w:val="20"/>
                <w:szCs w:val="20"/>
              </w:rPr>
              <w:t>范围内的浓</w:t>
            </w:r>
            <w:r>
              <w:rPr>
                <w:sz w:val="20"/>
                <w:szCs w:val="20"/>
              </w:rPr>
              <w:t xml:space="preserve"> </w:t>
            </w:r>
            <w:r>
              <w:rPr>
                <w:spacing w:val="7"/>
                <w:sz w:val="20"/>
                <w:szCs w:val="20"/>
              </w:rPr>
              <w:t>度最高点设</w:t>
            </w:r>
            <w:r>
              <w:rPr>
                <w:spacing w:val="-40"/>
                <w:sz w:val="20"/>
                <w:szCs w:val="20"/>
              </w:rPr>
              <w:t xml:space="preserve"> </w:t>
            </w:r>
            <w:r>
              <w:rPr>
                <w:rFonts w:ascii="Times New Roman" w:hAnsi="Times New Roman" w:eastAsia="Times New Roman" w:cs="Times New Roman"/>
                <w:spacing w:val="7"/>
                <w:sz w:val="20"/>
                <w:szCs w:val="20"/>
              </w:rPr>
              <w:t xml:space="preserve">4 </w:t>
            </w:r>
            <w:r>
              <w:rPr>
                <w:spacing w:val="7"/>
                <w:sz w:val="20"/>
                <w:szCs w:val="20"/>
              </w:rPr>
              <w:t>监控点</w:t>
            </w:r>
          </w:p>
        </w:tc>
        <w:tc>
          <w:tcPr>
            <w:tcW w:w="1361" w:type="dxa"/>
            <w:vAlign w:val="top"/>
          </w:tcPr>
          <w:p w14:paraId="517D8135">
            <w:pPr>
              <w:pStyle w:val="6"/>
              <w:spacing w:before="184" w:line="284" w:lineRule="auto"/>
              <w:ind w:left="162" w:right="50" w:hanging="107"/>
              <w:rPr>
                <w:sz w:val="20"/>
                <w:szCs w:val="20"/>
              </w:rPr>
            </w:pPr>
            <w:r>
              <w:rPr>
                <w:spacing w:val="8"/>
                <w:sz w:val="20"/>
                <w:szCs w:val="20"/>
              </w:rPr>
              <w:t>每季度至少开</w:t>
            </w:r>
            <w:r>
              <w:rPr>
                <w:sz w:val="20"/>
                <w:szCs w:val="20"/>
              </w:rPr>
              <w:t xml:space="preserve"> </w:t>
            </w:r>
            <w:r>
              <w:rPr>
                <w:spacing w:val="-2"/>
                <w:sz w:val="20"/>
                <w:szCs w:val="20"/>
              </w:rPr>
              <w:t>展</w:t>
            </w:r>
            <w:r>
              <w:rPr>
                <w:spacing w:val="-20"/>
                <w:sz w:val="20"/>
                <w:szCs w:val="20"/>
              </w:rPr>
              <w:t xml:space="preserve"> </w:t>
            </w:r>
            <w:r>
              <w:rPr>
                <w:rFonts w:ascii="Times New Roman" w:hAnsi="Times New Roman" w:eastAsia="Times New Roman" w:cs="Times New Roman"/>
                <w:spacing w:val="-2"/>
                <w:sz w:val="20"/>
                <w:szCs w:val="20"/>
              </w:rPr>
              <w:t>1</w:t>
            </w:r>
            <w:r>
              <w:rPr>
                <w:rFonts w:ascii="Times New Roman" w:hAnsi="Times New Roman" w:eastAsia="Times New Roman" w:cs="Times New Roman"/>
                <w:spacing w:val="18"/>
                <w:sz w:val="20"/>
                <w:szCs w:val="20"/>
              </w:rPr>
              <w:t xml:space="preserve"> </w:t>
            </w:r>
            <w:r>
              <w:rPr>
                <w:spacing w:val="-2"/>
                <w:sz w:val="20"/>
                <w:szCs w:val="20"/>
              </w:rPr>
              <w:t>次监测</w:t>
            </w:r>
          </w:p>
        </w:tc>
        <w:tc>
          <w:tcPr>
            <w:tcW w:w="4533" w:type="dxa"/>
            <w:tcBorders>
              <w:right w:val="nil"/>
            </w:tcBorders>
            <w:vAlign w:val="top"/>
          </w:tcPr>
          <w:p w14:paraId="31A89D41">
            <w:pPr>
              <w:spacing w:line="279" w:lineRule="auto"/>
              <w:rPr>
                <w:rFonts w:ascii="Arial"/>
                <w:sz w:val="21"/>
              </w:rPr>
            </w:pPr>
          </w:p>
          <w:p w14:paraId="0EC633B1">
            <w:pPr>
              <w:pStyle w:val="6"/>
              <w:spacing w:before="65" w:line="229" w:lineRule="auto"/>
              <w:ind w:left="1356"/>
              <w:rPr>
                <w:sz w:val="20"/>
                <w:szCs w:val="20"/>
              </w:rPr>
            </w:pPr>
            <w:r>
              <w:rPr>
                <w:rFonts w:ascii="Times New Roman" w:hAnsi="Times New Roman" w:eastAsia="Times New Roman" w:cs="Times New Roman"/>
                <w:sz w:val="20"/>
                <w:szCs w:val="20"/>
              </w:rPr>
              <w:t>TSP</w:t>
            </w:r>
            <w:r>
              <w:rPr>
                <w:rFonts w:ascii="Times New Roman" w:hAnsi="Times New Roman" w:eastAsia="Times New Roman" w:cs="Times New Roman"/>
                <w:spacing w:val="-29"/>
                <w:sz w:val="20"/>
                <w:szCs w:val="20"/>
              </w:rPr>
              <w:t xml:space="preserve"> </w:t>
            </w:r>
            <w:r>
              <w:rPr>
                <w:spacing w:val="8"/>
                <w:sz w:val="20"/>
                <w:szCs w:val="20"/>
              </w:rPr>
              <w:t>、锰及其化合物</w:t>
            </w:r>
          </w:p>
        </w:tc>
      </w:tr>
      <w:tr w14:paraId="413A4A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27" w:hRule="atLeast"/>
        </w:trPr>
        <w:tc>
          <w:tcPr>
            <w:tcW w:w="1060" w:type="dxa"/>
            <w:tcBorders>
              <w:left w:val="nil"/>
            </w:tcBorders>
            <w:vAlign w:val="top"/>
          </w:tcPr>
          <w:p w14:paraId="7AE20D86">
            <w:pPr>
              <w:spacing w:line="325" w:lineRule="auto"/>
              <w:rPr>
                <w:rFonts w:ascii="Arial"/>
                <w:sz w:val="21"/>
              </w:rPr>
            </w:pPr>
          </w:p>
          <w:p w14:paraId="47F0D809">
            <w:pPr>
              <w:spacing w:line="325" w:lineRule="auto"/>
              <w:rPr>
                <w:rFonts w:ascii="Arial"/>
                <w:sz w:val="21"/>
              </w:rPr>
            </w:pPr>
          </w:p>
          <w:p w14:paraId="22B3E25B">
            <w:pPr>
              <w:pStyle w:val="6"/>
              <w:spacing w:before="65" w:line="228" w:lineRule="auto"/>
              <w:ind w:left="219"/>
              <w:rPr>
                <w:sz w:val="20"/>
                <w:szCs w:val="20"/>
              </w:rPr>
            </w:pPr>
            <w:r>
              <w:rPr>
                <w:spacing w:val="6"/>
                <w:sz w:val="20"/>
                <w:szCs w:val="20"/>
              </w:rPr>
              <w:t>地下水</w:t>
            </w:r>
          </w:p>
        </w:tc>
        <w:tc>
          <w:tcPr>
            <w:tcW w:w="2116" w:type="dxa"/>
            <w:vAlign w:val="top"/>
          </w:tcPr>
          <w:p w14:paraId="37E1D5F3">
            <w:pPr>
              <w:spacing w:line="325" w:lineRule="auto"/>
              <w:rPr>
                <w:rFonts w:ascii="Arial"/>
                <w:sz w:val="21"/>
              </w:rPr>
            </w:pPr>
          </w:p>
          <w:p w14:paraId="62D1E834">
            <w:pPr>
              <w:pStyle w:val="6"/>
              <w:spacing w:before="65" w:line="292" w:lineRule="auto"/>
              <w:ind w:left="11" w:right="2"/>
              <w:jc w:val="both"/>
              <w:rPr>
                <w:sz w:val="20"/>
                <w:szCs w:val="20"/>
              </w:rPr>
            </w:pPr>
            <w:r>
              <w:rPr>
                <w:spacing w:val="18"/>
                <w:sz w:val="20"/>
                <w:szCs w:val="20"/>
              </w:rPr>
              <w:t>布置</w:t>
            </w:r>
            <w:r>
              <w:rPr>
                <w:spacing w:val="-9"/>
                <w:sz w:val="20"/>
                <w:szCs w:val="20"/>
              </w:rPr>
              <w:t xml:space="preserve"> </w:t>
            </w:r>
            <w:r>
              <w:rPr>
                <w:rFonts w:ascii="Times New Roman" w:hAnsi="Times New Roman" w:eastAsia="Times New Roman" w:cs="Times New Roman"/>
                <w:spacing w:val="18"/>
                <w:sz w:val="20"/>
                <w:szCs w:val="20"/>
              </w:rPr>
              <w:t>3</w:t>
            </w:r>
            <w:r>
              <w:rPr>
                <w:rFonts w:ascii="Times New Roman" w:hAnsi="Times New Roman" w:eastAsia="Times New Roman" w:cs="Times New Roman"/>
                <w:sz w:val="20"/>
                <w:szCs w:val="20"/>
              </w:rPr>
              <w:t xml:space="preserve">  </w:t>
            </w:r>
            <w:r>
              <w:rPr>
                <w:spacing w:val="18"/>
                <w:sz w:val="20"/>
                <w:szCs w:val="20"/>
              </w:rPr>
              <w:t>眼地</w:t>
            </w:r>
            <w:r>
              <w:rPr>
                <w:spacing w:val="-58"/>
                <w:sz w:val="20"/>
                <w:szCs w:val="20"/>
              </w:rPr>
              <w:t xml:space="preserve"> </w:t>
            </w:r>
            <w:r>
              <w:rPr>
                <w:spacing w:val="18"/>
                <w:sz w:val="20"/>
                <w:szCs w:val="20"/>
              </w:rPr>
              <w:t>下水监测</w:t>
            </w:r>
            <w:r>
              <w:rPr>
                <w:sz w:val="20"/>
                <w:szCs w:val="20"/>
              </w:rPr>
              <w:t xml:space="preserve"> </w:t>
            </w:r>
            <w:r>
              <w:rPr>
                <w:spacing w:val="-5"/>
                <w:sz w:val="20"/>
                <w:szCs w:val="20"/>
              </w:rPr>
              <w:t>井 ，</w:t>
            </w:r>
            <w:r>
              <w:rPr>
                <w:spacing w:val="-13"/>
                <w:sz w:val="20"/>
                <w:szCs w:val="20"/>
              </w:rPr>
              <w:t xml:space="preserve"> </w:t>
            </w:r>
            <w:r>
              <w:rPr>
                <w:spacing w:val="-5"/>
                <w:sz w:val="20"/>
                <w:szCs w:val="20"/>
              </w:rPr>
              <w:t>点</w:t>
            </w:r>
            <w:r>
              <w:rPr>
                <w:spacing w:val="-29"/>
                <w:sz w:val="20"/>
                <w:szCs w:val="20"/>
              </w:rPr>
              <w:t xml:space="preserve"> </w:t>
            </w:r>
            <w:r>
              <w:rPr>
                <w:spacing w:val="-5"/>
                <w:sz w:val="20"/>
                <w:szCs w:val="20"/>
              </w:rPr>
              <w:t>位</w:t>
            </w:r>
            <w:r>
              <w:rPr>
                <w:spacing w:val="-33"/>
                <w:sz w:val="20"/>
                <w:szCs w:val="20"/>
              </w:rPr>
              <w:t xml:space="preserve"> </w:t>
            </w:r>
            <w:r>
              <w:rPr>
                <w:spacing w:val="-5"/>
                <w:sz w:val="20"/>
                <w:szCs w:val="20"/>
              </w:rPr>
              <w:t>布</w:t>
            </w:r>
            <w:r>
              <w:rPr>
                <w:spacing w:val="-31"/>
                <w:sz w:val="20"/>
                <w:szCs w:val="20"/>
              </w:rPr>
              <w:t xml:space="preserve"> </w:t>
            </w:r>
            <w:r>
              <w:rPr>
                <w:spacing w:val="-5"/>
                <w:sz w:val="20"/>
                <w:szCs w:val="20"/>
              </w:rPr>
              <w:t>置</w:t>
            </w:r>
            <w:r>
              <w:rPr>
                <w:spacing w:val="-27"/>
                <w:sz w:val="20"/>
                <w:szCs w:val="20"/>
              </w:rPr>
              <w:t xml:space="preserve"> </w:t>
            </w:r>
            <w:r>
              <w:rPr>
                <w:spacing w:val="-5"/>
                <w:sz w:val="20"/>
                <w:szCs w:val="20"/>
              </w:rPr>
              <w:t>详</w:t>
            </w:r>
            <w:r>
              <w:rPr>
                <w:spacing w:val="-26"/>
                <w:sz w:val="20"/>
                <w:szCs w:val="20"/>
              </w:rPr>
              <w:t xml:space="preserve"> </w:t>
            </w:r>
            <w:r>
              <w:rPr>
                <w:spacing w:val="-5"/>
                <w:sz w:val="20"/>
                <w:szCs w:val="20"/>
              </w:rPr>
              <w:t>见</w:t>
            </w:r>
            <w:r>
              <w:rPr>
                <w:sz w:val="20"/>
                <w:szCs w:val="20"/>
              </w:rPr>
              <w:t xml:space="preserve"> </w:t>
            </w:r>
            <w:r>
              <w:fldChar w:fldCharType="begin"/>
            </w:r>
            <w:r>
              <w:instrText xml:space="preserve"> HYPERLINK "7.2.3.3" </w:instrText>
            </w:r>
            <w:r>
              <w:fldChar w:fldCharType="separate"/>
            </w:r>
            <w:r>
              <w:rPr>
                <w:rFonts w:ascii="Times New Roman" w:hAnsi="Times New Roman" w:eastAsia="Times New Roman" w:cs="Times New Roman"/>
                <w:spacing w:val="2"/>
                <w:sz w:val="20"/>
                <w:szCs w:val="20"/>
              </w:rPr>
              <w:t>7.2.3.3</w:t>
            </w:r>
            <w:r>
              <w:rPr>
                <w:rFonts w:ascii="Times New Roman" w:hAnsi="Times New Roman" w:eastAsia="Times New Roman" w:cs="Times New Roman"/>
                <w:spacing w:val="2"/>
                <w:sz w:val="20"/>
                <w:szCs w:val="20"/>
              </w:rPr>
              <w:fldChar w:fldCharType="end"/>
            </w:r>
            <w:r>
              <w:rPr>
                <w:rFonts w:ascii="Times New Roman" w:hAnsi="Times New Roman" w:eastAsia="Times New Roman" w:cs="Times New Roman"/>
                <w:spacing w:val="19"/>
                <w:w w:val="101"/>
                <w:sz w:val="20"/>
                <w:szCs w:val="20"/>
              </w:rPr>
              <w:t xml:space="preserve"> </w:t>
            </w:r>
            <w:r>
              <w:rPr>
                <w:spacing w:val="2"/>
                <w:sz w:val="20"/>
                <w:szCs w:val="20"/>
              </w:rPr>
              <w:t>小节</w:t>
            </w:r>
          </w:p>
        </w:tc>
        <w:tc>
          <w:tcPr>
            <w:tcW w:w="1361" w:type="dxa"/>
            <w:vAlign w:val="top"/>
          </w:tcPr>
          <w:p w14:paraId="0C96B2CB">
            <w:pPr>
              <w:pStyle w:val="6"/>
              <w:spacing w:before="232" w:line="228" w:lineRule="auto"/>
              <w:ind w:left="162"/>
              <w:rPr>
                <w:sz w:val="20"/>
                <w:szCs w:val="20"/>
              </w:rPr>
            </w:pPr>
            <w:r>
              <w:rPr>
                <w:spacing w:val="8"/>
                <w:sz w:val="20"/>
                <w:szCs w:val="20"/>
              </w:rPr>
              <w:t>上游一年一</w:t>
            </w:r>
          </w:p>
          <w:p w14:paraId="2CA09B8F">
            <w:pPr>
              <w:pStyle w:val="6"/>
              <w:spacing w:before="77" w:line="228" w:lineRule="auto"/>
              <w:ind w:left="61"/>
              <w:rPr>
                <w:sz w:val="20"/>
                <w:szCs w:val="20"/>
              </w:rPr>
            </w:pPr>
            <w:r>
              <w:rPr>
                <w:spacing w:val="7"/>
                <w:sz w:val="20"/>
                <w:szCs w:val="20"/>
              </w:rPr>
              <w:t>次，下游两眼</w:t>
            </w:r>
          </w:p>
          <w:p w14:paraId="249DC97E">
            <w:pPr>
              <w:pStyle w:val="6"/>
              <w:spacing w:before="79" w:line="228" w:lineRule="auto"/>
              <w:ind w:left="55"/>
              <w:rPr>
                <w:sz w:val="20"/>
                <w:szCs w:val="20"/>
              </w:rPr>
            </w:pPr>
            <w:r>
              <w:rPr>
                <w:spacing w:val="8"/>
                <w:sz w:val="20"/>
                <w:szCs w:val="20"/>
              </w:rPr>
              <w:t>井每两个月进</w:t>
            </w:r>
          </w:p>
          <w:p w14:paraId="6F5EA6C7">
            <w:pPr>
              <w:pStyle w:val="6"/>
              <w:spacing w:before="79" w:line="228" w:lineRule="auto"/>
              <w:ind w:left="164"/>
              <w:rPr>
                <w:sz w:val="20"/>
                <w:szCs w:val="20"/>
              </w:rPr>
            </w:pPr>
            <w:r>
              <w:rPr>
                <w:spacing w:val="7"/>
                <w:sz w:val="20"/>
                <w:szCs w:val="20"/>
              </w:rPr>
              <w:t>行一次监测</w:t>
            </w:r>
          </w:p>
        </w:tc>
        <w:tc>
          <w:tcPr>
            <w:tcW w:w="4533" w:type="dxa"/>
            <w:tcBorders>
              <w:right w:val="nil"/>
            </w:tcBorders>
            <w:vAlign w:val="top"/>
          </w:tcPr>
          <w:p w14:paraId="34BB8D78">
            <w:pPr>
              <w:pStyle w:val="6"/>
              <w:spacing w:before="67" w:line="286" w:lineRule="auto"/>
              <w:ind w:left="4" w:hanging="3"/>
              <w:rPr>
                <w:sz w:val="20"/>
                <w:szCs w:val="20"/>
              </w:rPr>
            </w:pPr>
            <w:r>
              <w:rPr>
                <w:rFonts w:ascii="Times New Roman" w:hAnsi="Times New Roman" w:eastAsia="Times New Roman" w:cs="Times New Roman"/>
                <w:spacing w:val="-8"/>
                <w:sz w:val="20"/>
                <w:szCs w:val="20"/>
              </w:rPr>
              <w:t>pH</w:t>
            </w:r>
            <w:r>
              <w:rPr>
                <w:spacing w:val="-8"/>
                <w:sz w:val="20"/>
                <w:szCs w:val="20"/>
              </w:rPr>
              <w:t>、、溶解性总固体、</w:t>
            </w:r>
            <w:r>
              <w:rPr>
                <w:rFonts w:ascii="Times New Roman" w:hAnsi="Times New Roman" w:eastAsia="Times New Roman" w:cs="Times New Roman"/>
                <w:spacing w:val="-8"/>
                <w:sz w:val="20"/>
                <w:szCs w:val="20"/>
              </w:rPr>
              <w:t>K</w:t>
            </w:r>
            <w:r>
              <w:rPr>
                <w:rFonts w:ascii="Times New Roman" w:hAnsi="Times New Roman" w:eastAsia="Times New Roman" w:cs="Times New Roman"/>
                <w:spacing w:val="-8"/>
                <w:position w:val="6"/>
                <w:sz w:val="13"/>
                <w:szCs w:val="13"/>
              </w:rPr>
              <w:t>+</w:t>
            </w:r>
            <w:r>
              <w:rPr>
                <w:spacing w:val="-11"/>
                <w:sz w:val="20"/>
                <w:szCs w:val="20"/>
              </w:rPr>
              <w:t>、</w:t>
            </w:r>
            <w:r>
              <w:rPr>
                <w:rFonts w:ascii="Times New Roman" w:hAnsi="Times New Roman" w:eastAsia="Times New Roman" w:cs="Times New Roman"/>
                <w:spacing w:val="-11"/>
                <w:sz w:val="20"/>
                <w:szCs w:val="20"/>
              </w:rPr>
              <w:t>Na</w:t>
            </w:r>
            <w:r>
              <w:rPr>
                <w:rFonts w:ascii="Times New Roman" w:hAnsi="Times New Roman" w:eastAsia="Times New Roman" w:cs="Times New Roman"/>
                <w:spacing w:val="6"/>
                <w:position w:val="6"/>
                <w:sz w:val="13"/>
                <w:szCs w:val="13"/>
              </w:rPr>
              <w:t>+</w:t>
            </w:r>
            <w:r>
              <w:rPr>
                <w:spacing w:val="-15"/>
                <w:sz w:val="20"/>
                <w:szCs w:val="20"/>
              </w:rPr>
              <w:t>、</w:t>
            </w:r>
            <w:r>
              <w:rPr>
                <w:rFonts w:ascii="Times New Roman" w:hAnsi="Times New Roman" w:eastAsia="Times New Roman" w:cs="Times New Roman"/>
                <w:spacing w:val="-15"/>
                <w:sz w:val="20"/>
                <w:szCs w:val="20"/>
              </w:rPr>
              <w:t>Ca</w:t>
            </w:r>
            <w:r>
              <w:rPr>
                <w:rFonts w:ascii="Times New Roman" w:hAnsi="Times New Roman" w:eastAsia="Times New Roman" w:cs="Times New Roman"/>
                <w:spacing w:val="3"/>
                <w:position w:val="6"/>
                <w:sz w:val="13"/>
                <w:szCs w:val="13"/>
              </w:rPr>
              <w:t>2+</w:t>
            </w:r>
            <w:r>
              <w:rPr>
                <w:spacing w:val="-15"/>
                <w:sz w:val="20"/>
                <w:szCs w:val="20"/>
              </w:rPr>
              <w:t>、</w:t>
            </w:r>
            <w:r>
              <w:rPr>
                <w:rFonts w:ascii="Times New Roman" w:hAnsi="Times New Roman" w:eastAsia="Times New Roman" w:cs="Times New Roman"/>
                <w:spacing w:val="-15"/>
                <w:sz w:val="20"/>
                <w:szCs w:val="20"/>
              </w:rPr>
              <w:t>Mg</w:t>
            </w:r>
            <w:r>
              <w:rPr>
                <w:rFonts w:ascii="Times New Roman" w:hAnsi="Times New Roman" w:eastAsia="Times New Roman" w:cs="Times New Roman"/>
                <w:spacing w:val="5"/>
                <w:position w:val="6"/>
                <w:sz w:val="13"/>
                <w:szCs w:val="13"/>
              </w:rPr>
              <w:t>2+</w:t>
            </w:r>
            <w:r>
              <w:rPr>
                <w:spacing w:val="-14"/>
                <w:sz w:val="20"/>
                <w:szCs w:val="20"/>
              </w:rPr>
              <w:t>、</w:t>
            </w:r>
            <w:r>
              <w:rPr>
                <w:rFonts w:ascii="Times New Roman" w:hAnsi="Times New Roman" w:eastAsia="Times New Roman" w:cs="Times New Roman"/>
                <w:spacing w:val="-14"/>
                <w:sz w:val="20"/>
                <w:szCs w:val="20"/>
              </w:rPr>
              <w:t>CO</w:t>
            </w:r>
            <w:r>
              <w:rPr>
                <w:rFonts w:ascii="Times New Roman" w:hAnsi="Times New Roman" w:eastAsia="Times New Roman" w:cs="Times New Roman"/>
                <w:spacing w:val="3"/>
                <w:position w:val="-2"/>
                <w:sz w:val="13"/>
                <w:szCs w:val="13"/>
              </w:rPr>
              <w:t>3</w:t>
            </w:r>
            <w:r>
              <w:rPr>
                <w:rFonts w:ascii="Times New Roman" w:hAnsi="Times New Roman" w:eastAsia="Times New Roman" w:cs="Times New Roman"/>
                <w:spacing w:val="3"/>
                <w:position w:val="6"/>
                <w:sz w:val="13"/>
                <w:szCs w:val="13"/>
              </w:rPr>
              <w:t>2-</w:t>
            </w:r>
            <w:r>
              <w:rPr>
                <w:spacing w:val="-31"/>
                <w:sz w:val="20"/>
                <w:szCs w:val="20"/>
              </w:rPr>
              <w:t>、</w:t>
            </w:r>
            <w:r>
              <w:rPr>
                <w:sz w:val="20"/>
                <w:szCs w:val="20"/>
              </w:rPr>
              <w:t xml:space="preserve"> </w:t>
            </w:r>
            <w:r>
              <w:rPr>
                <w:rFonts w:ascii="Times New Roman" w:hAnsi="Times New Roman" w:eastAsia="Times New Roman" w:cs="Times New Roman"/>
                <w:sz w:val="20"/>
                <w:szCs w:val="20"/>
              </w:rPr>
              <w:t>HCO</w:t>
            </w:r>
            <w:r>
              <w:rPr>
                <w:rFonts w:ascii="Times New Roman" w:hAnsi="Times New Roman" w:eastAsia="Times New Roman" w:cs="Times New Roman"/>
                <w:spacing w:val="8"/>
                <w:position w:val="-1"/>
                <w:sz w:val="13"/>
                <w:szCs w:val="13"/>
              </w:rPr>
              <w:t>3</w:t>
            </w:r>
            <w:r>
              <w:rPr>
                <w:rFonts w:ascii="Times New Roman" w:hAnsi="Times New Roman" w:eastAsia="Times New Roman" w:cs="Times New Roman"/>
                <w:spacing w:val="8"/>
                <w:position w:val="6"/>
                <w:sz w:val="13"/>
                <w:szCs w:val="13"/>
              </w:rPr>
              <w:t>-</w:t>
            </w:r>
            <w:r>
              <w:rPr>
                <w:rFonts w:ascii="Times New Roman" w:hAnsi="Times New Roman" w:eastAsia="Times New Roman" w:cs="Times New Roman"/>
                <w:spacing w:val="-4"/>
                <w:position w:val="6"/>
                <w:sz w:val="13"/>
                <w:szCs w:val="13"/>
              </w:rPr>
              <w:t xml:space="preserve"> </w:t>
            </w:r>
            <w:r>
              <w:rPr>
                <w:spacing w:val="8"/>
                <w:sz w:val="20"/>
                <w:szCs w:val="20"/>
              </w:rPr>
              <w:t>、</w:t>
            </w:r>
            <w:r>
              <w:rPr>
                <w:rFonts w:ascii="Times New Roman" w:hAnsi="Times New Roman" w:eastAsia="Times New Roman" w:cs="Times New Roman"/>
                <w:sz w:val="20"/>
                <w:szCs w:val="20"/>
              </w:rPr>
              <w:t>Cl</w:t>
            </w:r>
            <w:r>
              <w:rPr>
                <w:rFonts w:ascii="Times New Roman" w:hAnsi="Times New Roman" w:eastAsia="Times New Roman" w:cs="Times New Roman"/>
                <w:spacing w:val="8"/>
                <w:sz w:val="20"/>
                <w:szCs w:val="20"/>
              </w:rPr>
              <w:t>-</w:t>
            </w:r>
            <w:r>
              <w:rPr>
                <w:rFonts w:ascii="Times New Roman" w:hAnsi="Times New Roman" w:eastAsia="Times New Roman" w:cs="Times New Roman"/>
                <w:spacing w:val="-18"/>
                <w:sz w:val="20"/>
                <w:szCs w:val="20"/>
              </w:rPr>
              <w:t xml:space="preserve"> </w:t>
            </w:r>
            <w:r>
              <w:rPr>
                <w:spacing w:val="8"/>
                <w:sz w:val="20"/>
                <w:szCs w:val="20"/>
              </w:rPr>
              <w:t>、</w:t>
            </w:r>
            <w:r>
              <w:rPr>
                <w:rFonts w:ascii="Times New Roman" w:hAnsi="Times New Roman" w:eastAsia="Times New Roman" w:cs="Times New Roman"/>
                <w:sz w:val="20"/>
                <w:szCs w:val="20"/>
              </w:rPr>
              <w:t>SO</w:t>
            </w:r>
            <w:r>
              <w:rPr>
                <w:rFonts w:ascii="Times New Roman" w:hAnsi="Times New Roman" w:eastAsia="Times New Roman" w:cs="Times New Roman"/>
                <w:spacing w:val="8"/>
                <w:position w:val="-1"/>
                <w:sz w:val="13"/>
                <w:szCs w:val="13"/>
              </w:rPr>
              <w:t>4</w:t>
            </w:r>
            <w:r>
              <w:rPr>
                <w:rFonts w:ascii="Times New Roman" w:hAnsi="Times New Roman" w:eastAsia="Times New Roman" w:cs="Times New Roman"/>
                <w:spacing w:val="8"/>
                <w:position w:val="6"/>
                <w:sz w:val="13"/>
                <w:szCs w:val="13"/>
              </w:rPr>
              <w:t>2-</w:t>
            </w:r>
            <w:r>
              <w:rPr>
                <w:rFonts w:ascii="Times New Roman" w:hAnsi="Times New Roman" w:eastAsia="Times New Roman" w:cs="Times New Roman"/>
                <w:spacing w:val="-5"/>
                <w:position w:val="6"/>
                <w:sz w:val="13"/>
                <w:szCs w:val="13"/>
              </w:rPr>
              <w:t xml:space="preserve"> </w:t>
            </w:r>
            <w:r>
              <w:rPr>
                <w:spacing w:val="8"/>
                <w:sz w:val="20"/>
                <w:szCs w:val="20"/>
              </w:rPr>
              <w:t>、氨氮、硝酸盐、亚硝酸盐、</w:t>
            </w:r>
            <w:r>
              <w:rPr>
                <w:sz w:val="20"/>
                <w:szCs w:val="20"/>
              </w:rPr>
              <w:t xml:space="preserve"> </w:t>
            </w:r>
            <w:r>
              <w:rPr>
                <w:spacing w:val="2"/>
                <w:sz w:val="20"/>
                <w:szCs w:val="20"/>
              </w:rPr>
              <w:t>挥发性酚类、氰化物、砷、汞、铬（六价）、总硬</w:t>
            </w:r>
            <w:r>
              <w:rPr>
                <w:spacing w:val="10"/>
                <w:sz w:val="20"/>
                <w:szCs w:val="20"/>
              </w:rPr>
              <w:t xml:space="preserve"> </w:t>
            </w:r>
            <w:r>
              <w:rPr>
                <w:spacing w:val="5"/>
                <w:sz w:val="20"/>
                <w:szCs w:val="20"/>
              </w:rPr>
              <w:t>度、氟化物、镉、铁、锰、铅、耗氧量、硫化物、</w:t>
            </w:r>
            <w:r>
              <w:rPr>
                <w:spacing w:val="14"/>
                <w:sz w:val="20"/>
                <w:szCs w:val="20"/>
              </w:rPr>
              <w:t xml:space="preserve"> </w:t>
            </w:r>
            <w:r>
              <w:rPr>
                <w:spacing w:val="6"/>
                <w:sz w:val="20"/>
                <w:szCs w:val="20"/>
              </w:rPr>
              <w:t>总大肠菌群、细菌总数等</w:t>
            </w:r>
          </w:p>
        </w:tc>
      </w:tr>
      <w:tr w14:paraId="53D443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5" w:hRule="atLeast"/>
        </w:trPr>
        <w:tc>
          <w:tcPr>
            <w:tcW w:w="1060" w:type="dxa"/>
            <w:tcBorders>
              <w:left w:val="nil"/>
              <w:bottom w:val="single" w:color="000000" w:sz="10" w:space="0"/>
            </w:tcBorders>
            <w:vAlign w:val="top"/>
          </w:tcPr>
          <w:p w14:paraId="79FC2E77">
            <w:pPr>
              <w:spacing w:line="330" w:lineRule="auto"/>
              <w:rPr>
                <w:rFonts w:ascii="Arial"/>
                <w:sz w:val="21"/>
              </w:rPr>
            </w:pPr>
          </w:p>
          <w:p w14:paraId="0A3B1A38">
            <w:pPr>
              <w:spacing w:line="330" w:lineRule="auto"/>
              <w:rPr>
                <w:rFonts w:ascii="Arial"/>
                <w:sz w:val="21"/>
              </w:rPr>
            </w:pPr>
          </w:p>
          <w:p w14:paraId="15C84CAC">
            <w:pPr>
              <w:pStyle w:val="6"/>
              <w:spacing w:before="65" w:line="229" w:lineRule="auto"/>
              <w:ind w:left="326"/>
              <w:rPr>
                <w:sz w:val="20"/>
                <w:szCs w:val="20"/>
              </w:rPr>
            </w:pPr>
            <w:r>
              <w:rPr>
                <w:spacing w:val="4"/>
                <w:sz w:val="20"/>
                <w:szCs w:val="20"/>
              </w:rPr>
              <w:t>土壤</w:t>
            </w:r>
          </w:p>
        </w:tc>
        <w:tc>
          <w:tcPr>
            <w:tcW w:w="2116" w:type="dxa"/>
            <w:tcBorders>
              <w:bottom w:val="single" w:color="000000" w:sz="10" w:space="0"/>
            </w:tcBorders>
            <w:vAlign w:val="top"/>
          </w:tcPr>
          <w:p w14:paraId="1578BD47">
            <w:pPr>
              <w:pStyle w:val="6"/>
              <w:spacing w:before="50" w:line="246" w:lineRule="auto"/>
              <w:ind w:left="13" w:right="7" w:firstLine="105"/>
              <w:rPr>
                <w:sz w:val="20"/>
                <w:szCs w:val="20"/>
              </w:rPr>
            </w:pPr>
            <w:r>
              <w:rPr>
                <w:spacing w:val="8"/>
                <w:sz w:val="20"/>
                <w:szCs w:val="20"/>
              </w:rPr>
              <w:t>在厂区东侧原料棚附</w:t>
            </w:r>
            <w:r>
              <w:rPr>
                <w:spacing w:val="3"/>
                <w:sz w:val="20"/>
                <w:szCs w:val="20"/>
              </w:rPr>
              <w:t xml:space="preserve">  </w:t>
            </w:r>
            <w:r>
              <w:rPr>
                <w:spacing w:val="4"/>
                <w:sz w:val="20"/>
                <w:szCs w:val="20"/>
              </w:rPr>
              <w:t>近、</w:t>
            </w:r>
            <w:r>
              <w:rPr>
                <w:spacing w:val="-51"/>
                <w:sz w:val="20"/>
                <w:szCs w:val="20"/>
              </w:rPr>
              <w:t xml:space="preserve"> </w:t>
            </w:r>
            <w:r>
              <w:rPr>
                <w:spacing w:val="4"/>
                <w:sz w:val="20"/>
                <w:szCs w:val="20"/>
              </w:rPr>
              <w:t>电炉车间附近、厂</w:t>
            </w:r>
            <w:r>
              <w:rPr>
                <w:sz w:val="20"/>
                <w:szCs w:val="20"/>
              </w:rPr>
              <w:t xml:space="preserve"> </w:t>
            </w:r>
            <w:r>
              <w:rPr>
                <w:spacing w:val="9"/>
                <w:sz w:val="20"/>
                <w:szCs w:val="20"/>
              </w:rPr>
              <w:t>区北侧危废库附近、发</w:t>
            </w:r>
            <w:r>
              <w:rPr>
                <w:sz w:val="20"/>
                <w:szCs w:val="20"/>
              </w:rPr>
              <w:t xml:space="preserve"> </w:t>
            </w:r>
            <w:r>
              <w:rPr>
                <w:spacing w:val="9"/>
                <w:sz w:val="20"/>
                <w:szCs w:val="20"/>
              </w:rPr>
              <w:t>电装置区附近、生活办</w:t>
            </w:r>
            <w:r>
              <w:rPr>
                <w:sz w:val="20"/>
                <w:szCs w:val="20"/>
              </w:rPr>
              <w:t xml:space="preserve"> </w:t>
            </w:r>
            <w:r>
              <w:rPr>
                <w:spacing w:val="4"/>
                <w:sz w:val="20"/>
                <w:szCs w:val="20"/>
              </w:rPr>
              <w:t>公区附近分别设置</w:t>
            </w:r>
            <w:r>
              <w:rPr>
                <w:spacing w:val="-17"/>
                <w:sz w:val="20"/>
                <w:szCs w:val="20"/>
              </w:rPr>
              <w:t xml:space="preserve"> </w:t>
            </w:r>
            <w:r>
              <w:rPr>
                <w:rFonts w:ascii="Times New Roman" w:hAnsi="Times New Roman" w:eastAsia="Times New Roman" w:cs="Times New Roman"/>
                <w:spacing w:val="4"/>
                <w:sz w:val="20"/>
                <w:szCs w:val="20"/>
              </w:rPr>
              <w:t>1</w:t>
            </w:r>
            <w:r>
              <w:rPr>
                <w:rFonts w:ascii="Times New Roman" w:hAnsi="Times New Roman" w:eastAsia="Times New Roman" w:cs="Times New Roman"/>
                <w:spacing w:val="16"/>
                <w:sz w:val="20"/>
                <w:szCs w:val="20"/>
              </w:rPr>
              <w:t xml:space="preserve"> </w:t>
            </w:r>
            <w:r>
              <w:rPr>
                <w:spacing w:val="4"/>
                <w:sz w:val="20"/>
                <w:szCs w:val="20"/>
              </w:rPr>
              <w:t>处</w:t>
            </w:r>
          </w:p>
          <w:p w14:paraId="3052917E">
            <w:pPr>
              <w:pStyle w:val="6"/>
              <w:spacing w:before="27" w:line="216" w:lineRule="auto"/>
              <w:ind w:left="118"/>
              <w:rPr>
                <w:sz w:val="20"/>
                <w:szCs w:val="20"/>
              </w:rPr>
            </w:pPr>
            <w:r>
              <w:rPr>
                <w:spacing w:val="5"/>
                <w:sz w:val="20"/>
                <w:szCs w:val="20"/>
              </w:rPr>
              <w:t>采样点，共计</w:t>
            </w:r>
            <w:r>
              <w:rPr>
                <w:spacing w:val="-31"/>
                <w:sz w:val="20"/>
                <w:szCs w:val="20"/>
              </w:rPr>
              <w:t xml:space="preserve"> </w:t>
            </w:r>
            <w:r>
              <w:rPr>
                <w:rFonts w:ascii="Times New Roman" w:hAnsi="Times New Roman" w:eastAsia="Times New Roman" w:cs="Times New Roman"/>
                <w:spacing w:val="5"/>
                <w:sz w:val="20"/>
                <w:szCs w:val="20"/>
              </w:rPr>
              <w:t xml:space="preserve">5 </w:t>
            </w:r>
            <w:r>
              <w:rPr>
                <w:spacing w:val="5"/>
                <w:sz w:val="20"/>
                <w:szCs w:val="20"/>
              </w:rPr>
              <w:t>个。</w:t>
            </w:r>
          </w:p>
        </w:tc>
        <w:tc>
          <w:tcPr>
            <w:tcW w:w="1361" w:type="dxa"/>
            <w:tcBorders>
              <w:bottom w:val="single" w:color="000000" w:sz="10" w:space="0"/>
            </w:tcBorders>
            <w:vAlign w:val="top"/>
          </w:tcPr>
          <w:p w14:paraId="6F2FA583">
            <w:pPr>
              <w:spacing w:line="329" w:lineRule="auto"/>
              <w:rPr>
                <w:rFonts w:ascii="Arial"/>
                <w:sz w:val="21"/>
              </w:rPr>
            </w:pPr>
          </w:p>
          <w:p w14:paraId="2124494E">
            <w:pPr>
              <w:spacing w:line="330" w:lineRule="auto"/>
              <w:rPr>
                <w:rFonts w:ascii="Arial"/>
                <w:sz w:val="21"/>
              </w:rPr>
            </w:pPr>
          </w:p>
          <w:p w14:paraId="0B21034D">
            <w:pPr>
              <w:pStyle w:val="6"/>
              <w:spacing w:before="65" w:line="228" w:lineRule="auto"/>
              <w:ind w:left="161"/>
              <w:rPr>
                <w:sz w:val="20"/>
                <w:szCs w:val="20"/>
              </w:rPr>
            </w:pPr>
            <w:r>
              <w:rPr>
                <w:spacing w:val="3"/>
                <w:sz w:val="20"/>
                <w:szCs w:val="20"/>
              </w:rPr>
              <w:t>每</w:t>
            </w:r>
            <w:r>
              <w:rPr>
                <w:spacing w:val="-38"/>
                <w:sz w:val="20"/>
                <w:szCs w:val="20"/>
              </w:rPr>
              <w:t xml:space="preserve"> </w:t>
            </w:r>
            <w:r>
              <w:rPr>
                <w:rFonts w:ascii="Times New Roman" w:hAnsi="Times New Roman" w:eastAsia="Times New Roman" w:cs="Times New Roman"/>
                <w:spacing w:val="3"/>
                <w:sz w:val="20"/>
                <w:szCs w:val="20"/>
              </w:rPr>
              <w:t>5</w:t>
            </w:r>
            <w:r>
              <w:rPr>
                <w:rFonts w:ascii="Times New Roman" w:hAnsi="Times New Roman" w:eastAsia="Times New Roman" w:cs="Times New Roman"/>
                <w:spacing w:val="12"/>
                <w:w w:val="101"/>
                <w:sz w:val="20"/>
                <w:szCs w:val="20"/>
              </w:rPr>
              <w:t xml:space="preserve"> </w:t>
            </w:r>
            <w:r>
              <w:rPr>
                <w:spacing w:val="3"/>
                <w:sz w:val="20"/>
                <w:szCs w:val="20"/>
              </w:rPr>
              <w:t>年一次</w:t>
            </w:r>
          </w:p>
        </w:tc>
        <w:tc>
          <w:tcPr>
            <w:tcW w:w="4533" w:type="dxa"/>
            <w:tcBorders>
              <w:bottom w:val="single" w:color="000000" w:sz="10" w:space="0"/>
              <w:right w:val="nil"/>
            </w:tcBorders>
            <w:vAlign w:val="top"/>
          </w:tcPr>
          <w:p w14:paraId="58F52998">
            <w:pPr>
              <w:pStyle w:val="6"/>
              <w:spacing w:before="78" w:line="289" w:lineRule="auto"/>
              <w:ind w:left="9" w:right="2" w:hanging="1"/>
              <w:rPr>
                <w:sz w:val="20"/>
                <w:szCs w:val="20"/>
              </w:rPr>
            </w:pPr>
            <w:r>
              <w:rPr>
                <w:spacing w:val="5"/>
                <w:sz w:val="20"/>
                <w:szCs w:val="20"/>
              </w:rPr>
              <w:t>初次监测：《土壤环境质量建设用地土壤污染风险</w:t>
            </w:r>
            <w:r>
              <w:rPr>
                <w:spacing w:val="8"/>
                <w:sz w:val="20"/>
                <w:szCs w:val="20"/>
              </w:rPr>
              <w:t xml:space="preserve"> </w:t>
            </w:r>
            <w:r>
              <w:rPr>
                <w:spacing w:val="6"/>
                <w:sz w:val="20"/>
                <w:szCs w:val="20"/>
              </w:rPr>
              <w:t>管控标准（试行）</w:t>
            </w:r>
            <w:r>
              <w:rPr>
                <w:spacing w:val="-60"/>
                <w:sz w:val="20"/>
                <w:szCs w:val="20"/>
              </w:rPr>
              <w:t xml:space="preserve"> </w:t>
            </w:r>
            <w:r>
              <w:rPr>
                <w:spacing w:val="6"/>
                <w:sz w:val="20"/>
                <w:szCs w:val="20"/>
              </w:rPr>
              <w:t>》（</w:t>
            </w:r>
            <w:r>
              <w:rPr>
                <w:rFonts w:ascii="Times New Roman" w:hAnsi="Times New Roman" w:eastAsia="Times New Roman" w:cs="Times New Roman"/>
                <w:sz w:val="20"/>
                <w:szCs w:val="20"/>
              </w:rPr>
              <w:t>GB</w:t>
            </w:r>
            <w:r>
              <w:rPr>
                <w:rFonts w:ascii="Times New Roman" w:hAnsi="Times New Roman" w:eastAsia="Times New Roman" w:cs="Times New Roman"/>
                <w:spacing w:val="6"/>
                <w:sz w:val="20"/>
                <w:szCs w:val="20"/>
              </w:rPr>
              <w:t>36600-2018</w:t>
            </w:r>
            <w:r>
              <w:rPr>
                <w:spacing w:val="6"/>
                <w:sz w:val="20"/>
                <w:szCs w:val="20"/>
              </w:rPr>
              <w:t>）</w:t>
            </w:r>
            <w:r>
              <w:rPr>
                <w:spacing w:val="-55"/>
                <w:sz w:val="20"/>
                <w:szCs w:val="20"/>
              </w:rPr>
              <w:t xml:space="preserve"> </w:t>
            </w:r>
            <w:r>
              <w:rPr>
                <w:spacing w:val="6"/>
                <w:sz w:val="20"/>
                <w:szCs w:val="20"/>
              </w:rPr>
              <w:t>中</w:t>
            </w:r>
            <w:r>
              <w:rPr>
                <w:spacing w:val="5"/>
                <w:sz w:val="20"/>
                <w:szCs w:val="20"/>
              </w:rPr>
              <w:t>表</w:t>
            </w:r>
            <w:r>
              <w:rPr>
                <w:spacing w:val="-15"/>
                <w:sz w:val="20"/>
                <w:szCs w:val="20"/>
              </w:rPr>
              <w:t xml:space="preserve"> </w:t>
            </w:r>
            <w:r>
              <w:rPr>
                <w:rFonts w:ascii="Times New Roman" w:hAnsi="Times New Roman" w:eastAsia="Times New Roman" w:cs="Times New Roman"/>
                <w:spacing w:val="5"/>
                <w:sz w:val="20"/>
                <w:szCs w:val="20"/>
              </w:rPr>
              <w:t xml:space="preserve">1 </w:t>
            </w:r>
            <w:r>
              <w:rPr>
                <w:spacing w:val="5"/>
                <w:sz w:val="20"/>
                <w:szCs w:val="20"/>
              </w:rPr>
              <w:t>基</w:t>
            </w:r>
            <w:r>
              <w:rPr>
                <w:sz w:val="20"/>
                <w:szCs w:val="20"/>
              </w:rPr>
              <w:t xml:space="preserve"> </w:t>
            </w:r>
            <w:r>
              <w:rPr>
                <w:spacing w:val="8"/>
                <w:sz w:val="20"/>
                <w:szCs w:val="20"/>
              </w:rPr>
              <w:t>本项及</w:t>
            </w:r>
            <w:r>
              <w:rPr>
                <w:spacing w:val="-48"/>
                <w:sz w:val="20"/>
                <w:szCs w:val="20"/>
              </w:rPr>
              <w:t xml:space="preserve"> </w:t>
            </w:r>
            <w:r>
              <w:rPr>
                <w:rFonts w:ascii="Times New Roman" w:hAnsi="Times New Roman" w:eastAsia="Times New Roman" w:cs="Times New Roman"/>
                <w:sz w:val="20"/>
                <w:szCs w:val="20"/>
              </w:rPr>
              <w:t>pH</w:t>
            </w:r>
            <w:r>
              <w:rPr>
                <w:spacing w:val="8"/>
                <w:sz w:val="20"/>
                <w:szCs w:val="20"/>
              </w:rPr>
              <w:t>。</w:t>
            </w:r>
          </w:p>
          <w:p w14:paraId="7A203DA7">
            <w:pPr>
              <w:pStyle w:val="6"/>
              <w:spacing w:before="38" w:line="272" w:lineRule="auto"/>
              <w:ind w:left="8" w:firstLine="3"/>
              <w:rPr>
                <w:sz w:val="20"/>
                <w:szCs w:val="20"/>
              </w:rPr>
            </w:pPr>
            <w:r>
              <w:rPr>
                <w:spacing w:val="6"/>
                <w:sz w:val="20"/>
                <w:szCs w:val="20"/>
              </w:rPr>
              <w:t>后续监测：前期监测中出现超标的项目</w:t>
            </w:r>
            <w:r>
              <w:rPr>
                <w:rFonts w:ascii="Times New Roman" w:hAnsi="Times New Roman" w:eastAsia="Times New Roman" w:cs="Times New Roman"/>
                <w:spacing w:val="6"/>
                <w:sz w:val="20"/>
                <w:szCs w:val="20"/>
              </w:rPr>
              <w:t>+</w:t>
            </w:r>
            <w:r>
              <w:rPr>
                <w:rFonts w:ascii="Times New Roman" w:hAnsi="Times New Roman" w:eastAsia="Times New Roman" w:cs="Times New Roman"/>
                <w:sz w:val="20"/>
                <w:szCs w:val="20"/>
              </w:rPr>
              <w:t>pH</w:t>
            </w:r>
            <w:r>
              <w:rPr>
                <w:rFonts w:ascii="Times New Roman" w:hAnsi="Times New Roman" w:eastAsia="Times New Roman" w:cs="Times New Roman"/>
                <w:spacing w:val="-16"/>
                <w:sz w:val="20"/>
                <w:szCs w:val="20"/>
              </w:rPr>
              <w:t xml:space="preserve"> </w:t>
            </w:r>
            <w:r>
              <w:rPr>
                <w:spacing w:val="6"/>
                <w:sz w:val="20"/>
                <w:szCs w:val="20"/>
              </w:rPr>
              <w:t>、砷、</w:t>
            </w:r>
            <w:r>
              <w:rPr>
                <w:sz w:val="20"/>
                <w:szCs w:val="20"/>
              </w:rPr>
              <w:t xml:space="preserve"> </w:t>
            </w:r>
            <w:r>
              <w:rPr>
                <w:spacing w:val="7"/>
                <w:sz w:val="20"/>
                <w:szCs w:val="20"/>
              </w:rPr>
              <w:t>镉、铜、铅、汞、镍、铬（六价）。</w:t>
            </w:r>
          </w:p>
        </w:tc>
      </w:tr>
    </w:tbl>
    <w:p w14:paraId="564D4B78">
      <w:pPr>
        <w:spacing w:before="169" w:line="227" w:lineRule="auto"/>
        <w:ind w:left="19"/>
        <w:outlineLvl w:val="1"/>
        <w:rPr>
          <w:rFonts w:ascii="黑体" w:hAnsi="黑体" w:eastAsia="黑体" w:cs="黑体"/>
          <w:sz w:val="31"/>
          <w:szCs w:val="31"/>
        </w:rPr>
      </w:pPr>
      <w:bookmarkStart w:id="488" w:name="bookmark444"/>
      <w:bookmarkEnd w:id="488"/>
      <w:r>
        <w:rPr>
          <w:rFonts w:ascii="Times New Roman" w:hAnsi="Times New Roman" w:eastAsia="Times New Roman" w:cs="Times New Roman"/>
          <w:spacing w:val="5"/>
          <w:sz w:val="31"/>
          <w:szCs w:val="31"/>
        </w:rPr>
        <w:t xml:space="preserve">8.3 </w:t>
      </w:r>
      <w:r>
        <w:rPr>
          <w:rFonts w:ascii="黑体" w:hAnsi="黑体" w:eastAsia="黑体" w:cs="黑体"/>
          <w:spacing w:val="5"/>
          <w:sz w:val="31"/>
          <w:szCs w:val="31"/>
        </w:rPr>
        <w:t>排污口规范化</w:t>
      </w:r>
    </w:p>
    <w:p w14:paraId="44F9C815">
      <w:pPr>
        <w:spacing w:before="229" w:line="219" w:lineRule="auto"/>
        <w:ind w:right="30"/>
        <w:jc w:val="right"/>
        <w:rPr>
          <w:rFonts w:ascii="Times New Roman" w:hAnsi="Times New Roman" w:eastAsia="Times New Roman" w:cs="Times New Roman"/>
          <w:sz w:val="24"/>
          <w:szCs w:val="24"/>
        </w:rPr>
      </w:pPr>
      <w:r>
        <w:rPr>
          <w:rFonts w:ascii="宋体" w:hAnsi="宋体" w:eastAsia="宋体" w:cs="宋体"/>
          <w:spacing w:val="-1"/>
          <w:sz w:val="24"/>
          <w:szCs w:val="24"/>
        </w:rPr>
        <w:t>根据国家环境保护总局环发（</w:t>
      </w:r>
      <w:r>
        <w:rPr>
          <w:rFonts w:ascii="Times New Roman" w:hAnsi="Times New Roman" w:eastAsia="Times New Roman" w:cs="Times New Roman"/>
          <w:spacing w:val="-1"/>
          <w:sz w:val="24"/>
          <w:szCs w:val="24"/>
        </w:rPr>
        <w:t>1999</w:t>
      </w:r>
      <w:r>
        <w:rPr>
          <w:rFonts w:ascii="宋体" w:hAnsi="宋体" w:eastAsia="宋体" w:cs="宋体"/>
          <w:spacing w:val="-1"/>
          <w:sz w:val="24"/>
          <w:szCs w:val="24"/>
        </w:rPr>
        <w:t>）</w:t>
      </w:r>
      <w:r>
        <w:rPr>
          <w:rFonts w:ascii="Times New Roman" w:hAnsi="Times New Roman" w:eastAsia="Times New Roman" w:cs="Times New Roman"/>
          <w:spacing w:val="-1"/>
          <w:sz w:val="24"/>
          <w:szCs w:val="24"/>
        </w:rPr>
        <w:t>24</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号</w:t>
      </w:r>
      <w:r>
        <w:rPr>
          <w:rFonts w:ascii="Times New Roman" w:hAnsi="Times New Roman" w:eastAsia="Times New Roman" w:cs="Times New Roman"/>
          <w:spacing w:val="-2"/>
          <w:sz w:val="24"/>
          <w:szCs w:val="24"/>
        </w:rPr>
        <w:t>“</w:t>
      </w:r>
      <w:r>
        <w:rPr>
          <w:rFonts w:ascii="宋体" w:hAnsi="宋体" w:eastAsia="宋体" w:cs="宋体"/>
          <w:spacing w:val="-2"/>
          <w:sz w:val="24"/>
          <w:szCs w:val="24"/>
        </w:rPr>
        <w:t>关于开展排污口规范化整治工作的通知</w:t>
      </w:r>
      <w:r>
        <w:rPr>
          <w:rFonts w:ascii="Times New Roman" w:hAnsi="Times New Roman" w:eastAsia="Times New Roman" w:cs="Times New Roman"/>
          <w:spacing w:val="-2"/>
          <w:sz w:val="24"/>
          <w:szCs w:val="24"/>
        </w:rPr>
        <w:t>”</w:t>
      </w:r>
    </w:p>
    <w:p w14:paraId="25255A15">
      <w:pPr>
        <w:spacing w:line="219" w:lineRule="auto"/>
        <w:rPr>
          <w:rFonts w:ascii="Times New Roman" w:hAnsi="Times New Roman" w:eastAsia="Times New Roman" w:cs="Times New Roman"/>
          <w:sz w:val="24"/>
          <w:szCs w:val="24"/>
        </w:rPr>
        <w:sectPr>
          <w:headerReference r:id="rId498" w:type="default"/>
          <w:footerReference r:id="rId499" w:type="default"/>
          <w:pgSz w:w="11906" w:h="16839"/>
          <w:pgMar w:top="1190" w:right="1337" w:bottom="1221" w:left="1418" w:header="882" w:footer="1059" w:gutter="0"/>
          <w:cols w:space="720" w:num="1"/>
        </w:sectPr>
      </w:pPr>
    </w:p>
    <w:p w14:paraId="1995743D">
      <w:pPr>
        <w:spacing w:line="28" w:lineRule="exact"/>
      </w:pPr>
      <w:r>
        <w:pict>
          <v:shape id="_x0000_s3093" o:spid="_x0000_s3093" style="height:1.45pt;width:453.55pt;" fillcolor="#000000" filled="t" stroked="f" coordsize="9070,29" path="m0,0l9070,0,9070,28,0,28,0,0xe">
            <v:path/>
            <v:fill on="t" focussize="0,0"/>
            <v:stroke on="f"/>
            <v:imagedata o:title=""/>
            <o:lock v:ext="edit"/>
            <w10:wrap type="none"/>
            <w10:anchorlock/>
          </v:shape>
        </w:pict>
      </w:r>
    </w:p>
    <w:p w14:paraId="3176B6C8">
      <w:pPr>
        <w:pStyle w:val="2"/>
        <w:spacing w:line="243" w:lineRule="auto"/>
      </w:pPr>
    </w:p>
    <w:p w14:paraId="40A6F8FA">
      <w:pPr>
        <w:spacing w:before="78" w:line="363" w:lineRule="auto"/>
        <w:ind w:left="8" w:firstLine="20"/>
        <w:rPr>
          <w:rFonts w:ascii="宋体" w:hAnsi="宋体" w:eastAsia="宋体" w:cs="宋体"/>
          <w:sz w:val="24"/>
          <w:szCs w:val="24"/>
        </w:rPr>
      </w:pPr>
      <w:r>
        <w:rPr>
          <w:rFonts w:ascii="宋体" w:hAnsi="宋体" w:eastAsia="宋体" w:cs="宋体"/>
          <w:spacing w:val="-2"/>
          <w:sz w:val="24"/>
          <w:szCs w:val="24"/>
        </w:rPr>
        <w:t>的要求，一切新建、改建的排污单位以及限期治理的排污单位，必须在建设</w:t>
      </w:r>
      <w:r>
        <w:rPr>
          <w:rFonts w:ascii="宋体" w:hAnsi="宋体" w:eastAsia="宋体" w:cs="宋体"/>
          <w:spacing w:val="-3"/>
          <w:sz w:val="24"/>
          <w:szCs w:val="24"/>
        </w:rPr>
        <w:t>污染治理设</w:t>
      </w:r>
      <w:r>
        <w:rPr>
          <w:rFonts w:ascii="宋体" w:hAnsi="宋体" w:eastAsia="宋体" w:cs="宋体"/>
          <w:sz w:val="24"/>
          <w:szCs w:val="24"/>
        </w:rPr>
        <w:t xml:space="preserve"> </w:t>
      </w:r>
      <w:r>
        <w:rPr>
          <w:rFonts w:ascii="宋体" w:hAnsi="宋体" w:eastAsia="宋体" w:cs="宋体"/>
          <w:spacing w:val="-1"/>
          <w:sz w:val="24"/>
          <w:szCs w:val="24"/>
        </w:rPr>
        <w:t>施的同时，建设规范化排污口，并且与主体工程同步实施，</w:t>
      </w:r>
      <w:r>
        <w:rPr>
          <w:rFonts w:ascii="宋体" w:hAnsi="宋体" w:eastAsia="宋体" w:cs="宋体"/>
          <w:spacing w:val="-2"/>
          <w:sz w:val="24"/>
          <w:szCs w:val="24"/>
        </w:rPr>
        <w:t>并列入环保竣工验收内容。</w:t>
      </w:r>
    </w:p>
    <w:p w14:paraId="0E672D73">
      <w:pPr>
        <w:spacing w:before="32" w:line="367" w:lineRule="auto"/>
        <w:ind w:left="12" w:right="10" w:firstLine="488"/>
        <w:jc w:val="both"/>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）废气排放口、污水排放口、噪声排放源和固体废物贮存场所需设置标志，图</w:t>
      </w:r>
      <w:r>
        <w:rPr>
          <w:rFonts w:ascii="宋体" w:hAnsi="宋体" w:eastAsia="宋体" w:cs="宋体"/>
          <w:spacing w:val="9"/>
          <w:sz w:val="24"/>
          <w:szCs w:val="24"/>
        </w:rPr>
        <w:t xml:space="preserve"> </w:t>
      </w:r>
      <w:r>
        <w:rPr>
          <w:rFonts w:ascii="宋体" w:hAnsi="宋体" w:eastAsia="宋体" w:cs="宋体"/>
          <w:spacing w:val="-2"/>
          <w:sz w:val="24"/>
          <w:szCs w:val="24"/>
        </w:rPr>
        <w:t>形符号分为提示图形符号和警告图形符号两种，图形符号设置按国家标准《环境保护图</w:t>
      </w:r>
      <w:r>
        <w:rPr>
          <w:rFonts w:ascii="宋体" w:hAnsi="宋体" w:eastAsia="宋体" w:cs="宋体"/>
          <w:spacing w:val="12"/>
          <w:sz w:val="24"/>
          <w:szCs w:val="24"/>
        </w:rPr>
        <w:t xml:space="preserve"> </w:t>
      </w:r>
      <w:r>
        <w:rPr>
          <w:rFonts w:ascii="宋体" w:hAnsi="宋体" w:eastAsia="宋体" w:cs="宋体"/>
          <w:spacing w:val="-1"/>
          <w:sz w:val="24"/>
          <w:szCs w:val="24"/>
        </w:rPr>
        <w:t>形标志  排放口</w:t>
      </w:r>
      <w:r>
        <w:rPr>
          <w:rFonts w:ascii="Times New Roman" w:hAnsi="Times New Roman" w:eastAsia="Times New Roman" w:cs="Times New Roman"/>
          <w:spacing w:val="-1"/>
          <w:sz w:val="24"/>
          <w:szCs w:val="24"/>
        </w:rPr>
        <w:t>(</w:t>
      </w:r>
      <w:r>
        <w:rPr>
          <w:rFonts w:ascii="宋体" w:hAnsi="宋体" w:eastAsia="宋体" w:cs="宋体"/>
          <w:spacing w:val="-1"/>
          <w:sz w:val="24"/>
          <w:szCs w:val="24"/>
        </w:rPr>
        <w:t>源</w:t>
      </w:r>
      <w:r>
        <w:rPr>
          <w:rFonts w:ascii="Times New Roman" w:hAnsi="Times New Roman" w:eastAsia="Times New Roman" w:cs="Times New Roman"/>
          <w:spacing w:val="-1"/>
          <w:sz w:val="24"/>
          <w:szCs w:val="24"/>
        </w:rPr>
        <w:t>)</w:t>
      </w:r>
      <w:r>
        <w:rPr>
          <w:rFonts w:ascii="宋体" w:hAnsi="宋体" w:eastAsia="宋体" w:cs="宋体"/>
          <w:spacing w:val="-1"/>
          <w:sz w:val="24"/>
          <w:szCs w:val="24"/>
        </w:rPr>
        <w:t>》（</w:t>
      </w:r>
      <w:r>
        <w:rPr>
          <w:rFonts w:ascii="Times New Roman" w:hAnsi="Times New Roman" w:eastAsia="Times New Roman" w:cs="Times New Roman"/>
          <w:spacing w:val="-1"/>
          <w:sz w:val="24"/>
          <w:szCs w:val="24"/>
        </w:rPr>
        <w:t>GB15562.</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2"/>
          <w:sz w:val="24"/>
          <w:szCs w:val="24"/>
        </w:rPr>
        <w:t>1-1995</w:t>
      </w:r>
      <w:r>
        <w:rPr>
          <w:rFonts w:ascii="宋体" w:hAnsi="宋体" w:eastAsia="宋体" w:cs="宋体"/>
          <w:spacing w:val="-2"/>
          <w:sz w:val="24"/>
          <w:szCs w:val="24"/>
        </w:rPr>
        <w:t>）执行。</w:t>
      </w:r>
    </w:p>
    <w:p w14:paraId="494903BC">
      <w:pPr>
        <w:spacing w:before="37" w:line="220" w:lineRule="auto"/>
        <w:ind w:left="501"/>
        <w:outlineLvl w:val="0"/>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）排污口立标</w:t>
      </w:r>
    </w:p>
    <w:p w14:paraId="4897E9EF">
      <w:pPr>
        <w:spacing w:before="200" w:line="364" w:lineRule="auto"/>
        <w:ind w:left="10" w:right="10" w:firstLine="480"/>
        <w:rPr>
          <w:rFonts w:ascii="宋体" w:hAnsi="宋体" w:eastAsia="宋体" w:cs="宋体"/>
          <w:sz w:val="24"/>
          <w:szCs w:val="24"/>
        </w:rPr>
      </w:pPr>
      <w:r>
        <w:rPr>
          <w:rFonts w:ascii="宋体" w:hAnsi="宋体" w:eastAsia="宋体" w:cs="宋体"/>
          <w:spacing w:val="-2"/>
          <w:sz w:val="24"/>
          <w:szCs w:val="24"/>
        </w:rPr>
        <w:t>污染物排放口环保图形标志牌应设置在靠近采样点，且醒目处，标志牌设置高度为</w:t>
      </w:r>
      <w:r>
        <w:rPr>
          <w:rFonts w:ascii="宋体" w:hAnsi="宋体" w:eastAsia="宋体" w:cs="宋体"/>
          <w:spacing w:val="9"/>
          <w:sz w:val="24"/>
          <w:szCs w:val="24"/>
        </w:rPr>
        <w:t xml:space="preserve"> </w:t>
      </w:r>
      <w:r>
        <w:rPr>
          <w:rFonts w:ascii="宋体" w:hAnsi="宋体" w:eastAsia="宋体" w:cs="宋体"/>
          <w:spacing w:val="-2"/>
          <w:sz w:val="24"/>
          <w:szCs w:val="24"/>
        </w:rPr>
        <w:t>其上边缘距离地面</w:t>
      </w:r>
      <w:r>
        <w:rPr>
          <w:rFonts w:ascii="宋体" w:hAnsi="宋体" w:eastAsia="宋体" w:cs="宋体"/>
          <w:spacing w:val="-50"/>
          <w:sz w:val="24"/>
          <w:szCs w:val="24"/>
        </w:rPr>
        <w:t xml:space="preserve"> </w:t>
      </w:r>
      <w:r>
        <w:rPr>
          <w:rFonts w:ascii="Times New Roman" w:hAnsi="Times New Roman" w:eastAsia="Times New Roman" w:cs="Times New Roman"/>
          <w:spacing w:val="-2"/>
          <w:sz w:val="24"/>
          <w:szCs w:val="24"/>
        </w:rPr>
        <w:t>2m</w:t>
      </w:r>
      <w:r>
        <w:rPr>
          <w:rFonts w:ascii="宋体" w:hAnsi="宋体" w:eastAsia="宋体" w:cs="宋体"/>
          <w:spacing w:val="-2"/>
          <w:sz w:val="24"/>
          <w:szCs w:val="24"/>
        </w:rPr>
        <w:t>。</w:t>
      </w:r>
    </w:p>
    <w:p w14:paraId="584D3F3E">
      <w:pPr>
        <w:spacing w:before="34"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）排污口管理</w:t>
      </w:r>
    </w:p>
    <w:p w14:paraId="0987ED70">
      <w:pPr>
        <w:spacing w:before="206" w:line="369" w:lineRule="auto"/>
        <w:ind w:left="8" w:firstLine="505"/>
        <w:rPr>
          <w:rFonts w:ascii="宋体" w:hAnsi="宋体" w:eastAsia="宋体" w:cs="宋体"/>
          <w:sz w:val="24"/>
          <w:szCs w:val="24"/>
        </w:rPr>
      </w:pPr>
      <w:r>
        <w:rPr>
          <w:rFonts w:ascii="宋体" w:hAnsi="宋体" w:eastAsia="宋体" w:cs="宋体"/>
          <w:spacing w:val="-2"/>
          <w:sz w:val="24"/>
          <w:szCs w:val="24"/>
        </w:rPr>
        <w:t>向环境排放的污染物的排放口必须规范化，如实向环保管理部门申报排污口</w:t>
      </w:r>
      <w:r>
        <w:rPr>
          <w:rFonts w:ascii="宋体" w:hAnsi="宋体" w:eastAsia="宋体" w:cs="宋体"/>
          <w:spacing w:val="-3"/>
          <w:sz w:val="24"/>
          <w:szCs w:val="24"/>
        </w:rPr>
        <w:t>数量、</w:t>
      </w:r>
      <w:r>
        <w:rPr>
          <w:rFonts w:ascii="宋体" w:hAnsi="宋体" w:eastAsia="宋体" w:cs="宋体"/>
          <w:sz w:val="24"/>
          <w:szCs w:val="24"/>
        </w:rPr>
        <w:t xml:space="preserve"> </w:t>
      </w:r>
      <w:r>
        <w:rPr>
          <w:rFonts w:ascii="宋体" w:hAnsi="宋体" w:eastAsia="宋体" w:cs="宋体"/>
          <w:spacing w:val="-2"/>
          <w:sz w:val="24"/>
          <w:szCs w:val="24"/>
        </w:rPr>
        <w:t>位置及所排放的主要污染物种类、数量、浓度和排放去向，各监测和采样装置的设置应</w:t>
      </w:r>
      <w:r>
        <w:rPr>
          <w:rFonts w:ascii="宋体" w:hAnsi="宋体" w:eastAsia="宋体" w:cs="宋体"/>
          <w:spacing w:val="16"/>
          <w:sz w:val="24"/>
          <w:szCs w:val="24"/>
        </w:rPr>
        <w:t xml:space="preserve"> </w:t>
      </w:r>
      <w:r>
        <w:rPr>
          <w:rFonts w:ascii="宋体" w:hAnsi="宋体" w:eastAsia="宋体" w:cs="宋体"/>
          <w:spacing w:val="-2"/>
          <w:sz w:val="24"/>
          <w:szCs w:val="24"/>
        </w:rPr>
        <w:t>符合《污染源监测技术规范》。对排放源统一建档，使用国家环保局印制的《中华人民</w:t>
      </w:r>
      <w:r>
        <w:rPr>
          <w:rFonts w:ascii="宋体" w:hAnsi="宋体" w:eastAsia="宋体" w:cs="宋体"/>
          <w:spacing w:val="16"/>
          <w:sz w:val="24"/>
          <w:szCs w:val="24"/>
        </w:rPr>
        <w:t xml:space="preserve"> </w:t>
      </w:r>
      <w:r>
        <w:rPr>
          <w:rFonts w:ascii="宋体" w:hAnsi="宋体" w:eastAsia="宋体" w:cs="宋体"/>
          <w:sz w:val="24"/>
          <w:szCs w:val="24"/>
        </w:rPr>
        <w:t>共和国规范化排污口标志登记证》，并将排污</w:t>
      </w:r>
      <w:r>
        <w:rPr>
          <w:rFonts w:ascii="宋体" w:hAnsi="宋体" w:eastAsia="宋体" w:cs="宋体"/>
          <w:spacing w:val="-1"/>
          <w:sz w:val="24"/>
          <w:szCs w:val="24"/>
        </w:rPr>
        <w:t>情况及时记录于档案。</w:t>
      </w:r>
    </w:p>
    <w:p w14:paraId="6375BA9D">
      <w:pPr>
        <w:spacing w:before="36" w:line="219" w:lineRule="auto"/>
        <w:ind w:left="489"/>
        <w:rPr>
          <w:rFonts w:ascii="宋体" w:hAnsi="宋体" w:eastAsia="宋体" w:cs="宋体"/>
          <w:sz w:val="24"/>
          <w:szCs w:val="24"/>
        </w:rPr>
      </w:pPr>
      <w:r>
        <w:rPr>
          <w:rFonts w:ascii="宋体" w:hAnsi="宋体" w:eastAsia="宋体" w:cs="宋体"/>
          <w:spacing w:val="-2"/>
          <w:sz w:val="24"/>
          <w:szCs w:val="24"/>
        </w:rPr>
        <w:t>排污口标志见图</w:t>
      </w:r>
      <w:r>
        <w:rPr>
          <w:rFonts w:ascii="宋体" w:hAnsi="宋体" w:eastAsia="宋体" w:cs="宋体"/>
          <w:spacing w:val="-46"/>
          <w:sz w:val="24"/>
          <w:szCs w:val="24"/>
        </w:rPr>
        <w:t xml:space="preserve"> </w:t>
      </w:r>
      <w:r>
        <w:rPr>
          <w:rFonts w:ascii="Times New Roman" w:hAnsi="Times New Roman" w:eastAsia="Times New Roman" w:cs="Times New Roman"/>
          <w:spacing w:val="-2"/>
          <w:sz w:val="24"/>
          <w:szCs w:val="24"/>
        </w:rPr>
        <w:t>8.3-1</w:t>
      </w:r>
      <w:r>
        <w:rPr>
          <w:rFonts w:ascii="宋体" w:hAnsi="宋体" w:eastAsia="宋体" w:cs="宋体"/>
          <w:spacing w:val="-2"/>
          <w:sz w:val="24"/>
          <w:szCs w:val="24"/>
        </w:rPr>
        <w:t>。</w:t>
      </w:r>
    </w:p>
    <w:p w14:paraId="6D3D92F1">
      <w:pPr>
        <w:spacing w:before="79" w:line="4949" w:lineRule="exact"/>
        <w:ind w:firstLine="269"/>
      </w:pPr>
      <w:r>
        <w:rPr>
          <w:position w:val="-98"/>
        </w:rPr>
        <w:drawing>
          <wp:inline distT="0" distB="0" distL="0" distR="0">
            <wp:extent cx="5417820" cy="3141980"/>
            <wp:effectExtent l="0" t="0" r="0" b="0"/>
            <wp:docPr id="246" name="IM 246"/>
            <wp:cNvGraphicFramePr/>
            <a:graphic xmlns:a="http://schemas.openxmlformats.org/drawingml/2006/main">
              <a:graphicData uri="http://schemas.openxmlformats.org/drawingml/2006/picture">
                <pic:pic xmlns:pic="http://schemas.openxmlformats.org/drawingml/2006/picture">
                  <pic:nvPicPr>
                    <pic:cNvPr id="246" name="IM 246"/>
                    <pic:cNvPicPr/>
                  </pic:nvPicPr>
                  <pic:blipFill>
                    <a:blip r:embed="rId693"/>
                    <a:stretch>
                      <a:fillRect/>
                    </a:stretch>
                  </pic:blipFill>
                  <pic:spPr>
                    <a:xfrm>
                      <a:off x="0" y="0"/>
                      <a:ext cx="5417820" cy="3142488"/>
                    </a:xfrm>
                    <a:prstGeom prst="rect">
                      <a:avLst/>
                    </a:prstGeom>
                  </pic:spPr>
                </pic:pic>
              </a:graphicData>
            </a:graphic>
          </wp:inline>
        </w:drawing>
      </w:r>
    </w:p>
    <w:p w14:paraId="683C3394">
      <w:pPr>
        <w:spacing w:before="167" w:line="228" w:lineRule="auto"/>
        <w:ind w:left="3266"/>
        <w:rPr>
          <w:rFonts w:ascii="宋体" w:hAnsi="宋体" w:eastAsia="宋体" w:cs="宋体"/>
          <w:sz w:val="20"/>
          <w:szCs w:val="20"/>
        </w:rPr>
      </w:pPr>
      <w:r>
        <w:rPr>
          <w:rFonts w:ascii="宋体" w:hAnsi="宋体" w:eastAsia="宋体" w:cs="宋体"/>
          <w:b/>
          <w:bCs/>
          <w:spacing w:val="3"/>
          <w:sz w:val="20"/>
          <w:szCs w:val="20"/>
        </w:rPr>
        <w:t>图</w:t>
      </w:r>
      <w:r>
        <w:rPr>
          <w:rFonts w:ascii="宋体" w:hAnsi="宋体" w:eastAsia="宋体" w:cs="宋体"/>
          <w:spacing w:val="-34"/>
          <w:sz w:val="20"/>
          <w:szCs w:val="20"/>
        </w:rPr>
        <w:t xml:space="preserve"> </w:t>
      </w:r>
      <w:r>
        <w:rPr>
          <w:rFonts w:ascii="Times New Roman" w:hAnsi="Times New Roman" w:eastAsia="Times New Roman" w:cs="Times New Roman"/>
          <w:b/>
          <w:bCs/>
          <w:spacing w:val="3"/>
          <w:sz w:val="20"/>
          <w:szCs w:val="20"/>
        </w:rPr>
        <w:t xml:space="preserve">8.3-1        </w:t>
      </w:r>
      <w:r>
        <w:rPr>
          <w:rFonts w:ascii="宋体" w:hAnsi="宋体" w:eastAsia="宋体" w:cs="宋体"/>
          <w:b/>
          <w:bCs/>
          <w:spacing w:val="3"/>
          <w:sz w:val="20"/>
          <w:szCs w:val="20"/>
        </w:rPr>
        <w:t>排放口图形标志</w:t>
      </w:r>
    </w:p>
    <w:p w14:paraId="18CB7902">
      <w:pPr>
        <w:spacing w:before="299" w:line="227" w:lineRule="auto"/>
        <w:ind w:left="19"/>
        <w:outlineLvl w:val="1"/>
        <w:rPr>
          <w:rFonts w:ascii="黑体" w:hAnsi="黑体" w:eastAsia="黑体" w:cs="黑体"/>
          <w:sz w:val="31"/>
          <w:szCs w:val="31"/>
        </w:rPr>
      </w:pPr>
      <w:bookmarkStart w:id="489" w:name="bookmark446"/>
      <w:bookmarkEnd w:id="489"/>
      <w:r>
        <w:rPr>
          <w:rFonts w:ascii="Times New Roman" w:hAnsi="Times New Roman" w:eastAsia="Times New Roman" w:cs="Times New Roman"/>
          <w:spacing w:val="4"/>
          <w:sz w:val="31"/>
          <w:szCs w:val="31"/>
        </w:rPr>
        <w:t>8.4</w:t>
      </w:r>
      <w:r>
        <w:rPr>
          <w:rFonts w:ascii="Times New Roman" w:hAnsi="Times New Roman" w:eastAsia="Times New Roman" w:cs="Times New Roman"/>
          <w:spacing w:val="23"/>
          <w:sz w:val="31"/>
          <w:szCs w:val="31"/>
        </w:rPr>
        <w:t xml:space="preserve"> </w:t>
      </w:r>
      <w:r>
        <w:rPr>
          <w:rFonts w:ascii="黑体" w:hAnsi="黑体" w:eastAsia="黑体" w:cs="黑体"/>
          <w:spacing w:val="4"/>
          <w:sz w:val="31"/>
          <w:szCs w:val="31"/>
        </w:rPr>
        <w:t>污染物排放清单</w:t>
      </w:r>
    </w:p>
    <w:p w14:paraId="0877C6B1">
      <w:pPr>
        <w:spacing w:before="226" w:line="219" w:lineRule="auto"/>
        <w:ind w:left="490"/>
        <w:rPr>
          <w:rFonts w:ascii="宋体" w:hAnsi="宋体" w:eastAsia="宋体" w:cs="宋体"/>
          <w:sz w:val="24"/>
          <w:szCs w:val="24"/>
        </w:rPr>
      </w:pPr>
      <w:r>
        <w:rPr>
          <w:rFonts w:ascii="宋体" w:hAnsi="宋体" w:eastAsia="宋体" w:cs="宋体"/>
          <w:spacing w:val="-2"/>
          <w:sz w:val="24"/>
          <w:szCs w:val="24"/>
        </w:rPr>
        <w:t>本项目污染物排放清单如表</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 xml:space="preserve">8.4-1 </w:t>
      </w:r>
      <w:r>
        <w:rPr>
          <w:rFonts w:ascii="宋体" w:hAnsi="宋体" w:eastAsia="宋体" w:cs="宋体"/>
          <w:spacing w:val="-2"/>
          <w:sz w:val="24"/>
          <w:szCs w:val="24"/>
        </w:rPr>
        <w:t>所示。</w:t>
      </w:r>
    </w:p>
    <w:p w14:paraId="5BA5210E">
      <w:pPr>
        <w:spacing w:line="219" w:lineRule="auto"/>
        <w:rPr>
          <w:rFonts w:ascii="宋体" w:hAnsi="宋体" w:eastAsia="宋体" w:cs="宋体"/>
          <w:sz w:val="24"/>
          <w:szCs w:val="24"/>
        </w:rPr>
        <w:sectPr>
          <w:headerReference r:id="rId500" w:type="default"/>
          <w:footerReference r:id="rId501" w:type="default"/>
          <w:pgSz w:w="11906" w:h="16839"/>
          <w:pgMar w:top="1190" w:right="1407" w:bottom="1221" w:left="1418" w:header="882" w:footer="1059" w:gutter="0"/>
          <w:cols w:space="720" w:num="1"/>
        </w:sectPr>
      </w:pPr>
    </w:p>
    <w:p w14:paraId="3C9756D7">
      <w:pPr>
        <w:spacing w:line="28" w:lineRule="exact"/>
        <w:ind w:firstLine="126"/>
      </w:pPr>
      <w:r>
        <w:pict>
          <v:shape id="_x0000_s3094" o:spid="_x0000_s3094" style="height:1.45pt;width:1046.7pt;" fillcolor="#000000" filled="t" stroked="f" coordsize="20933,29" path="m0,0l20933,0,20933,28,0,28,0,0xe">
            <v:path/>
            <v:fill on="t" focussize="0,0"/>
            <v:stroke on="f"/>
            <v:imagedata o:title=""/>
            <o:lock v:ext="edit"/>
            <w10:wrap type="none"/>
            <w10:anchorlock/>
          </v:shape>
        </w:pict>
      </w:r>
    </w:p>
    <w:p w14:paraId="0BE03EC0">
      <w:pPr>
        <w:pStyle w:val="2"/>
        <w:spacing w:line="286" w:lineRule="auto"/>
      </w:pPr>
    </w:p>
    <w:p w14:paraId="784D18D7">
      <w:pPr>
        <w:spacing w:before="65" w:line="221" w:lineRule="auto"/>
        <w:ind w:left="6889"/>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38"/>
          <w:sz w:val="20"/>
          <w:szCs w:val="20"/>
        </w:rPr>
        <w:t xml:space="preserve"> </w:t>
      </w:r>
      <w:r>
        <w:rPr>
          <w:rFonts w:ascii="Times New Roman" w:hAnsi="Times New Roman" w:eastAsia="Times New Roman" w:cs="Times New Roman"/>
          <w:b/>
          <w:bCs/>
          <w:spacing w:val="5"/>
          <w:sz w:val="20"/>
          <w:szCs w:val="20"/>
        </w:rPr>
        <w:t xml:space="preserve">8.4-1        </w:t>
      </w:r>
      <w:r>
        <w:rPr>
          <w:rFonts w:ascii="宋体" w:hAnsi="宋体" w:eastAsia="宋体" w:cs="宋体"/>
          <w:b/>
          <w:bCs/>
          <w:spacing w:val="5"/>
          <w:sz w:val="20"/>
          <w:szCs w:val="20"/>
        </w:rPr>
        <w:t>污染物排放清单（排</w:t>
      </w:r>
      <w:r>
        <w:rPr>
          <w:rFonts w:ascii="宋体" w:hAnsi="宋体" w:eastAsia="宋体" w:cs="宋体"/>
          <w:b/>
          <w:bCs/>
          <w:spacing w:val="4"/>
          <w:sz w:val="20"/>
          <w:szCs w:val="20"/>
        </w:rPr>
        <w:t>放浓度，大气</w:t>
      </w:r>
      <w:r>
        <w:rPr>
          <w:rFonts w:ascii="宋体" w:hAnsi="宋体" w:eastAsia="宋体" w:cs="宋体"/>
          <w:spacing w:val="-37"/>
          <w:sz w:val="20"/>
          <w:szCs w:val="20"/>
        </w:rPr>
        <w:t xml:space="preserve"> </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4"/>
          <w:sz w:val="20"/>
          <w:szCs w:val="20"/>
        </w:rPr>
        <w:t>/m</w:t>
      </w:r>
      <w:r>
        <w:rPr>
          <w:rFonts w:ascii="Times New Roman" w:hAnsi="Times New Roman" w:eastAsia="Times New Roman" w:cs="Times New Roman"/>
          <w:b/>
          <w:bCs/>
          <w:spacing w:val="4"/>
          <w:position w:val="6"/>
          <w:sz w:val="13"/>
          <w:szCs w:val="13"/>
        </w:rPr>
        <w:t>3</w:t>
      </w:r>
      <w:r>
        <w:rPr>
          <w:rFonts w:ascii="Times New Roman" w:hAnsi="Times New Roman" w:eastAsia="Times New Roman" w:cs="Times New Roman"/>
          <w:b/>
          <w:bCs/>
          <w:spacing w:val="-6"/>
          <w:position w:val="6"/>
          <w:sz w:val="13"/>
          <w:szCs w:val="13"/>
        </w:rPr>
        <w:t xml:space="preserve"> </w:t>
      </w:r>
      <w:r>
        <w:rPr>
          <w:rFonts w:ascii="宋体" w:hAnsi="宋体" w:eastAsia="宋体" w:cs="宋体"/>
          <w:b/>
          <w:bCs/>
          <w:spacing w:val="4"/>
          <w:sz w:val="20"/>
          <w:szCs w:val="20"/>
        </w:rPr>
        <w:t>，废水</w:t>
      </w:r>
      <w:r>
        <w:rPr>
          <w:rFonts w:ascii="宋体" w:hAnsi="宋体" w:eastAsia="宋体" w:cs="宋体"/>
          <w:spacing w:val="-40"/>
          <w:sz w:val="20"/>
          <w:szCs w:val="20"/>
        </w:rPr>
        <w:t xml:space="preserve"> </w:t>
      </w:r>
      <w:r>
        <w:rPr>
          <w:rFonts w:ascii="Times New Roman" w:hAnsi="Times New Roman" w:eastAsia="Times New Roman" w:cs="Times New Roman"/>
          <w:b/>
          <w:bCs/>
          <w:sz w:val="20"/>
          <w:szCs w:val="20"/>
        </w:rPr>
        <w:t>mg</w:t>
      </w:r>
      <w:r>
        <w:rPr>
          <w:rFonts w:ascii="Times New Roman" w:hAnsi="Times New Roman" w:eastAsia="Times New Roman" w:cs="Times New Roman"/>
          <w:b/>
          <w:bCs/>
          <w:spacing w:val="4"/>
          <w:sz w:val="20"/>
          <w:szCs w:val="20"/>
        </w:rPr>
        <w:t>/L</w:t>
      </w:r>
      <w:r>
        <w:rPr>
          <w:rFonts w:ascii="Times New Roman" w:hAnsi="Times New Roman" w:eastAsia="Times New Roman" w:cs="Times New Roman"/>
          <w:b/>
          <w:bCs/>
          <w:spacing w:val="-20"/>
          <w:sz w:val="20"/>
          <w:szCs w:val="20"/>
        </w:rPr>
        <w:t xml:space="preserve"> </w:t>
      </w:r>
      <w:r>
        <w:rPr>
          <w:rFonts w:ascii="宋体" w:hAnsi="宋体" w:eastAsia="宋体" w:cs="宋体"/>
          <w:b/>
          <w:bCs/>
          <w:spacing w:val="4"/>
          <w:sz w:val="20"/>
          <w:szCs w:val="20"/>
        </w:rPr>
        <w:t>，排放量</w:t>
      </w:r>
      <w:r>
        <w:rPr>
          <w:rFonts w:ascii="宋体" w:hAnsi="宋体" w:eastAsia="宋体" w:cs="宋体"/>
          <w:spacing w:val="-43"/>
          <w:sz w:val="20"/>
          <w:szCs w:val="20"/>
        </w:rPr>
        <w:t xml:space="preserve"> </w:t>
      </w:r>
      <w:r>
        <w:rPr>
          <w:rFonts w:ascii="Times New Roman" w:hAnsi="Times New Roman" w:eastAsia="Times New Roman" w:cs="Times New Roman"/>
          <w:b/>
          <w:bCs/>
          <w:spacing w:val="4"/>
          <w:sz w:val="20"/>
          <w:szCs w:val="20"/>
        </w:rPr>
        <w:t>t/a</w:t>
      </w:r>
      <w:r>
        <w:rPr>
          <w:rFonts w:ascii="宋体" w:hAnsi="宋体" w:eastAsia="宋体" w:cs="宋体"/>
          <w:b/>
          <w:bCs/>
          <w:spacing w:val="4"/>
          <w:sz w:val="20"/>
          <w:szCs w:val="20"/>
        </w:rPr>
        <w:t>）</w:t>
      </w:r>
    </w:p>
    <w:p w14:paraId="5827B988">
      <w:pPr>
        <w:spacing w:line="106" w:lineRule="exact"/>
      </w:pPr>
    </w:p>
    <w:tbl>
      <w:tblPr>
        <w:tblStyle w:val="5"/>
        <w:tblW w:w="2118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30"/>
        <w:gridCol w:w="1060"/>
        <w:gridCol w:w="2047"/>
        <w:gridCol w:w="1781"/>
        <w:gridCol w:w="2416"/>
        <w:gridCol w:w="1327"/>
        <w:gridCol w:w="1247"/>
        <w:gridCol w:w="1048"/>
        <w:gridCol w:w="1212"/>
        <w:gridCol w:w="844"/>
        <w:gridCol w:w="1230"/>
        <w:gridCol w:w="1060"/>
        <w:gridCol w:w="1674"/>
        <w:gridCol w:w="1004"/>
        <w:gridCol w:w="2505"/>
      </w:tblGrid>
      <w:tr w14:paraId="1820FF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730" w:type="dxa"/>
            <w:vMerge w:val="restart"/>
            <w:tcBorders>
              <w:top w:val="single" w:color="000000" w:sz="10" w:space="0"/>
              <w:left w:val="nil"/>
              <w:bottom w:val="nil"/>
            </w:tcBorders>
            <w:vAlign w:val="top"/>
          </w:tcPr>
          <w:p w14:paraId="2C1EFC07">
            <w:pPr>
              <w:spacing w:line="338" w:lineRule="auto"/>
              <w:rPr>
                <w:rFonts w:ascii="Arial"/>
                <w:sz w:val="21"/>
              </w:rPr>
            </w:pPr>
          </w:p>
          <w:p w14:paraId="75097911">
            <w:pPr>
              <w:pStyle w:val="6"/>
              <w:spacing w:before="58" w:line="219" w:lineRule="auto"/>
              <w:ind w:left="188"/>
              <w:rPr>
                <w:sz w:val="18"/>
                <w:szCs w:val="18"/>
              </w:rPr>
            </w:pPr>
            <w:r>
              <w:rPr>
                <w:b/>
                <w:bCs/>
                <w:spacing w:val="-6"/>
                <w:sz w:val="18"/>
                <w:szCs w:val="18"/>
              </w:rPr>
              <w:t>类别</w:t>
            </w:r>
          </w:p>
        </w:tc>
        <w:tc>
          <w:tcPr>
            <w:tcW w:w="1060" w:type="dxa"/>
            <w:vMerge w:val="restart"/>
            <w:tcBorders>
              <w:top w:val="single" w:color="000000" w:sz="10" w:space="0"/>
              <w:bottom w:val="nil"/>
            </w:tcBorders>
            <w:vAlign w:val="top"/>
          </w:tcPr>
          <w:p w14:paraId="1A3F5122">
            <w:pPr>
              <w:spacing w:line="338" w:lineRule="auto"/>
              <w:rPr>
                <w:rFonts w:ascii="Arial"/>
                <w:sz w:val="21"/>
              </w:rPr>
            </w:pPr>
          </w:p>
          <w:p w14:paraId="1320585B">
            <w:pPr>
              <w:pStyle w:val="6"/>
              <w:spacing w:before="58" w:line="219" w:lineRule="auto"/>
              <w:ind w:left="354"/>
              <w:rPr>
                <w:sz w:val="18"/>
                <w:szCs w:val="18"/>
              </w:rPr>
            </w:pPr>
            <w:r>
              <w:rPr>
                <w:b/>
                <w:bCs/>
                <w:spacing w:val="-7"/>
                <w:sz w:val="18"/>
                <w:szCs w:val="18"/>
              </w:rPr>
              <w:t>编号</w:t>
            </w:r>
          </w:p>
        </w:tc>
        <w:tc>
          <w:tcPr>
            <w:tcW w:w="8818" w:type="dxa"/>
            <w:gridSpan w:val="5"/>
            <w:tcBorders>
              <w:top w:val="single" w:color="000000" w:sz="10" w:space="0"/>
            </w:tcBorders>
            <w:vAlign w:val="top"/>
          </w:tcPr>
          <w:p w14:paraId="68B729D3">
            <w:pPr>
              <w:pStyle w:val="6"/>
              <w:spacing w:before="74" w:line="220" w:lineRule="auto"/>
              <w:ind w:left="4142"/>
              <w:rPr>
                <w:sz w:val="18"/>
                <w:szCs w:val="18"/>
              </w:rPr>
            </w:pPr>
            <w:r>
              <w:rPr>
                <w:b/>
                <w:bCs/>
                <w:spacing w:val="-4"/>
                <w:sz w:val="18"/>
                <w:szCs w:val="18"/>
              </w:rPr>
              <w:t>污染源</w:t>
            </w:r>
          </w:p>
        </w:tc>
        <w:tc>
          <w:tcPr>
            <w:tcW w:w="3104" w:type="dxa"/>
            <w:gridSpan w:val="3"/>
            <w:tcBorders>
              <w:top w:val="single" w:color="000000" w:sz="10" w:space="0"/>
            </w:tcBorders>
            <w:vAlign w:val="top"/>
          </w:tcPr>
          <w:p w14:paraId="3C4B7B53">
            <w:pPr>
              <w:pStyle w:val="6"/>
              <w:spacing w:before="74" w:line="219" w:lineRule="auto"/>
              <w:ind w:left="1196"/>
              <w:rPr>
                <w:sz w:val="18"/>
                <w:szCs w:val="18"/>
              </w:rPr>
            </w:pPr>
            <w:r>
              <w:rPr>
                <w:b/>
                <w:bCs/>
                <w:spacing w:val="-4"/>
                <w:sz w:val="18"/>
                <w:szCs w:val="18"/>
              </w:rPr>
              <w:t>排放参数</w:t>
            </w:r>
          </w:p>
        </w:tc>
        <w:tc>
          <w:tcPr>
            <w:tcW w:w="1230" w:type="dxa"/>
            <w:vMerge w:val="restart"/>
            <w:tcBorders>
              <w:top w:val="single" w:color="000000" w:sz="10" w:space="0"/>
              <w:bottom w:val="nil"/>
            </w:tcBorders>
            <w:vAlign w:val="top"/>
          </w:tcPr>
          <w:p w14:paraId="557C7F53">
            <w:pPr>
              <w:spacing w:line="337" w:lineRule="auto"/>
              <w:rPr>
                <w:rFonts w:ascii="Arial"/>
                <w:sz w:val="21"/>
              </w:rPr>
            </w:pPr>
          </w:p>
          <w:p w14:paraId="3E174E67">
            <w:pPr>
              <w:pStyle w:val="6"/>
              <w:spacing w:before="59" w:line="220" w:lineRule="auto"/>
              <w:ind w:left="141"/>
              <w:rPr>
                <w:rFonts w:ascii="Times New Roman" w:hAnsi="Times New Roman" w:eastAsia="Times New Roman" w:cs="Times New Roman"/>
                <w:sz w:val="18"/>
                <w:szCs w:val="18"/>
              </w:rPr>
            </w:pPr>
            <w:r>
              <w:rPr>
                <w:b/>
                <w:bCs/>
                <w:spacing w:val="-3"/>
                <w:sz w:val="18"/>
                <w:szCs w:val="18"/>
              </w:rPr>
              <w:t>总量指标</w:t>
            </w:r>
            <w:r>
              <w:rPr>
                <w:spacing w:val="-44"/>
                <w:sz w:val="18"/>
                <w:szCs w:val="18"/>
              </w:rPr>
              <w:t xml:space="preserve"> </w:t>
            </w:r>
            <w:r>
              <w:rPr>
                <w:rFonts w:ascii="Times New Roman" w:hAnsi="Times New Roman" w:eastAsia="Times New Roman" w:cs="Times New Roman"/>
                <w:b/>
                <w:bCs/>
                <w:spacing w:val="-3"/>
                <w:sz w:val="18"/>
                <w:szCs w:val="18"/>
              </w:rPr>
              <w:t>t/a</w:t>
            </w:r>
          </w:p>
        </w:tc>
        <w:tc>
          <w:tcPr>
            <w:tcW w:w="3738" w:type="dxa"/>
            <w:gridSpan w:val="3"/>
            <w:tcBorders>
              <w:top w:val="single" w:color="000000" w:sz="10" w:space="0"/>
            </w:tcBorders>
            <w:vAlign w:val="top"/>
          </w:tcPr>
          <w:p w14:paraId="7F13D206">
            <w:pPr>
              <w:pStyle w:val="6"/>
              <w:spacing w:before="74" w:line="220" w:lineRule="auto"/>
              <w:ind w:left="1513"/>
              <w:rPr>
                <w:sz w:val="18"/>
                <w:szCs w:val="18"/>
              </w:rPr>
            </w:pPr>
            <w:r>
              <w:rPr>
                <w:b/>
                <w:bCs/>
                <w:spacing w:val="-4"/>
                <w:sz w:val="18"/>
                <w:szCs w:val="18"/>
              </w:rPr>
              <w:t>环境监测</w:t>
            </w:r>
          </w:p>
        </w:tc>
        <w:tc>
          <w:tcPr>
            <w:tcW w:w="2505" w:type="dxa"/>
            <w:vMerge w:val="restart"/>
            <w:tcBorders>
              <w:top w:val="single" w:color="000000" w:sz="10" w:space="0"/>
              <w:bottom w:val="nil"/>
              <w:right w:val="nil"/>
            </w:tcBorders>
            <w:vAlign w:val="top"/>
          </w:tcPr>
          <w:p w14:paraId="08E7C721">
            <w:pPr>
              <w:spacing w:line="338" w:lineRule="auto"/>
              <w:rPr>
                <w:rFonts w:ascii="Arial"/>
                <w:sz w:val="21"/>
              </w:rPr>
            </w:pPr>
          </w:p>
          <w:p w14:paraId="305FCCB6">
            <w:pPr>
              <w:pStyle w:val="6"/>
              <w:spacing w:before="58" w:line="219" w:lineRule="auto"/>
              <w:ind w:left="717"/>
              <w:rPr>
                <w:sz w:val="18"/>
                <w:szCs w:val="18"/>
              </w:rPr>
            </w:pPr>
            <w:r>
              <w:rPr>
                <w:b/>
                <w:bCs/>
                <w:spacing w:val="-3"/>
                <w:sz w:val="18"/>
                <w:szCs w:val="18"/>
              </w:rPr>
              <w:t>执行环境标准</w:t>
            </w:r>
          </w:p>
        </w:tc>
      </w:tr>
      <w:tr w14:paraId="404CB3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730" w:type="dxa"/>
            <w:vMerge w:val="continue"/>
            <w:tcBorders>
              <w:top w:val="nil"/>
              <w:left w:val="nil"/>
            </w:tcBorders>
            <w:vAlign w:val="top"/>
          </w:tcPr>
          <w:p w14:paraId="3F01369A">
            <w:pPr>
              <w:rPr>
                <w:rFonts w:ascii="Arial"/>
                <w:sz w:val="21"/>
              </w:rPr>
            </w:pPr>
          </w:p>
        </w:tc>
        <w:tc>
          <w:tcPr>
            <w:tcW w:w="1060" w:type="dxa"/>
            <w:vMerge w:val="continue"/>
            <w:tcBorders>
              <w:top w:val="nil"/>
            </w:tcBorders>
            <w:vAlign w:val="top"/>
          </w:tcPr>
          <w:p w14:paraId="5EA9EB76">
            <w:pPr>
              <w:rPr>
                <w:rFonts w:ascii="Arial"/>
                <w:sz w:val="21"/>
              </w:rPr>
            </w:pPr>
          </w:p>
        </w:tc>
        <w:tc>
          <w:tcPr>
            <w:tcW w:w="2047" w:type="dxa"/>
            <w:vAlign w:val="top"/>
          </w:tcPr>
          <w:p w14:paraId="63BE2CF4">
            <w:pPr>
              <w:pStyle w:val="6"/>
              <w:spacing w:before="229" w:line="221" w:lineRule="auto"/>
              <w:ind w:left="850"/>
              <w:rPr>
                <w:sz w:val="18"/>
                <w:szCs w:val="18"/>
              </w:rPr>
            </w:pPr>
            <w:r>
              <w:rPr>
                <w:b/>
                <w:bCs/>
                <w:spacing w:val="-7"/>
                <w:sz w:val="18"/>
                <w:szCs w:val="18"/>
              </w:rPr>
              <w:t>名称</w:t>
            </w:r>
          </w:p>
        </w:tc>
        <w:tc>
          <w:tcPr>
            <w:tcW w:w="1781" w:type="dxa"/>
            <w:vAlign w:val="top"/>
          </w:tcPr>
          <w:p w14:paraId="49100A13">
            <w:pPr>
              <w:pStyle w:val="6"/>
              <w:spacing w:before="228" w:line="220" w:lineRule="auto"/>
              <w:ind w:left="624"/>
              <w:rPr>
                <w:sz w:val="18"/>
                <w:szCs w:val="18"/>
              </w:rPr>
            </w:pPr>
            <w:r>
              <w:rPr>
                <w:b/>
                <w:bCs/>
                <w:spacing w:val="-4"/>
                <w:sz w:val="18"/>
                <w:szCs w:val="18"/>
              </w:rPr>
              <w:t>污染物</w:t>
            </w:r>
          </w:p>
        </w:tc>
        <w:tc>
          <w:tcPr>
            <w:tcW w:w="2416" w:type="dxa"/>
            <w:vAlign w:val="top"/>
          </w:tcPr>
          <w:p w14:paraId="48E36D56">
            <w:pPr>
              <w:pStyle w:val="6"/>
              <w:spacing w:before="228" w:line="220" w:lineRule="auto"/>
              <w:ind w:left="850"/>
              <w:rPr>
                <w:sz w:val="18"/>
                <w:szCs w:val="18"/>
              </w:rPr>
            </w:pPr>
            <w:r>
              <w:rPr>
                <w:b/>
                <w:bCs/>
                <w:spacing w:val="-4"/>
                <w:sz w:val="18"/>
                <w:szCs w:val="18"/>
              </w:rPr>
              <w:t>环保措施</w:t>
            </w:r>
          </w:p>
        </w:tc>
        <w:tc>
          <w:tcPr>
            <w:tcW w:w="1327" w:type="dxa"/>
            <w:vAlign w:val="top"/>
          </w:tcPr>
          <w:p w14:paraId="42FB3E1C">
            <w:pPr>
              <w:pStyle w:val="6"/>
              <w:spacing w:before="228" w:line="220" w:lineRule="auto"/>
              <w:ind w:left="306"/>
              <w:rPr>
                <w:sz w:val="18"/>
                <w:szCs w:val="18"/>
              </w:rPr>
            </w:pPr>
            <w:r>
              <w:rPr>
                <w:b/>
                <w:bCs/>
                <w:spacing w:val="-4"/>
                <w:sz w:val="18"/>
                <w:szCs w:val="18"/>
              </w:rPr>
              <w:t>排放浓度</w:t>
            </w:r>
          </w:p>
        </w:tc>
        <w:tc>
          <w:tcPr>
            <w:tcW w:w="1247" w:type="dxa"/>
            <w:vAlign w:val="top"/>
          </w:tcPr>
          <w:p w14:paraId="6C816156">
            <w:pPr>
              <w:pStyle w:val="6"/>
              <w:spacing w:before="228" w:line="221" w:lineRule="auto"/>
              <w:ind w:left="357"/>
              <w:rPr>
                <w:sz w:val="18"/>
                <w:szCs w:val="18"/>
              </w:rPr>
            </w:pPr>
            <w:r>
              <w:rPr>
                <w:b/>
                <w:bCs/>
                <w:spacing w:val="-4"/>
                <w:sz w:val="18"/>
                <w:szCs w:val="18"/>
              </w:rPr>
              <w:t>排放量</w:t>
            </w:r>
          </w:p>
        </w:tc>
        <w:tc>
          <w:tcPr>
            <w:tcW w:w="1048" w:type="dxa"/>
            <w:vAlign w:val="top"/>
          </w:tcPr>
          <w:p w14:paraId="50F62FBE">
            <w:pPr>
              <w:spacing w:before="100" w:line="308" w:lineRule="auto"/>
              <w:ind w:left="394" w:right="370" w:hanging="20"/>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H/φ</w:t>
            </w:r>
            <w:r>
              <w:rPr>
                <w:rFonts w:ascii="Times New Roman" w:hAnsi="Times New Roman" w:eastAsia="Times New Roman" w:cs="Times New Roman"/>
                <w:b/>
                <w:bCs/>
                <w:sz w:val="18"/>
                <w:szCs w:val="18"/>
              </w:rPr>
              <w:t xml:space="preserve"> </w:t>
            </w:r>
            <w:r>
              <w:rPr>
                <w:rFonts w:ascii="Times New Roman" w:hAnsi="Times New Roman" w:eastAsia="Times New Roman" w:cs="Times New Roman"/>
                <w:b/>
                <w:bCs/>
                <w:spacing w:val="-3"/>
                <w:sz w:val="18"/>
                <w:szCs w:val="18"/>
              </w:rPr>
              <w:t>(m)</w:t>
            </w:r>
          </w:p>
        </w:tc>
        <w:tc>
          <w:tcPr>
            <w:tcW w:w="1212" w:type="dxa"/>
            <w:vAlign w:val="top"/>
          </w:tcPr>
          <w:p w14:paraId="140502BB">
            <w:pPr>
              <w:pStyle w:val="6"/>
              <w:spacing w:before="228" w:line="212" w:lineRule="auto"/>
              <w:ind w:left="274"/>
              <w:rPr>
                <w:rFonts w:ascii="Times New Roman" w:hAnsi="Times New Roman" w:eastAsia="Times New Roman" w:cs="Times New Roman"/>
                <w:sz w:val="18"/>
                <w:szCs w:val="18"/>
              </w:rPr>
            </w:pPr>
            <w:r>
              <w:rPr>
                <w:b/>
                <w:bCs/>
                <w:spacing w:val="-3"/>
                <w:sz w:val="18"/>
                <w:szCs w:val="18"/>
              </w:rPr>
              <w:t>温度</w:t>
            </w:r>
            <w:r>
              <w:rPr>
                <w:rFonts w:ascii="Times New Roman" w:hAnsi="Times New Roman" w:eastAsia="Times New Roman" w:cs="Times New Roman"/>
                <w:b/>
                <w:bCs/>
                <w:spacing w:val="-3"/>
                <w:sz w:val="18"/>
                <w:szCs w:val="18"/>
              </w:rPr>
              <w:t>(℃)</w:t>
            </w:r>
          </w:p>
        </w:tc>
        <w:tc>
          <w:tcPr>
            <w:tcW w:w="844" w:type="dxa"/>
            <w:vAlign w:val="top"/>
          </w:tcPr>
          <w:p w14:paraId="391FC2EE">
            <w:pPr>
              <w:pStyle w:val="6"/>
              <w:spacing w:before="228" w:line="221" w:lineRule="auto"/>
              <w:ind w:left="254"/>
              <w:rPr>
                <w:sz w:val="18"/>
                <w:szCs w:val="18"/>
              </w:rPr>
            </w:pPr>
            <w:r>
              <w:rPr>
                <w:b/>
                <w:bCs/>
                <w:spacing w:val="-10"/>
                <w:sz w:val="18"/>
                <w:szCs w:val="18"/>
              </w:rPr>
              <w:t>时段</w:t>
            </w:r>
          </w:p>
        </w:tc>
        <w:tc>
          <w:tcPr>
            <w:tcW w:w="1230" w:type="dxa"/>
            <w:vMerge w:val="continue"/>
            <w:tcBorders>
              <w:top w:val="nil"/>
            </w:tcBorders>
            <w:vAlign w:val="top"/>
          </w:tcPr>
          <w:p w14:paraId="0BBDE0A3">
            <w:pPr>
              <w:rPr>
                <w:rFonts w:ascii="Arial"/>
                <w:sz w:val="21"/>
              </w:rPr>
            </w:pPr>
          </w:p>
        </w:tc>
        <w:tc>
          <w:tcPr>
            <w:tcW w:w="1060" w:type="dxa"/>
            <w:vAlign w:val="top"/>
          </w:tcPr>
          <w:p w14:paraId="44A2559B">
            <w:pPr>
              <w:pStyle w:val="6"/>
              <w:spacing w:before="228" w:line="221" w:lineRule="auto"/>
              <w:ind w:left="363"/>
              <w:rPr>
                <w:sz w:val="18"/>
                <w:szCs w:val="18"/>
              </w:rPr>
            </w:pPr>
            <w:r>
              <w:rPr>
                <w:b/>
                <w:bCs/>
                <w:spacing w:val="-10"/>
                <w:sz w:val="18"/>
                <w:szCs w:val="18"/>
              </w:rPr>
              <w:t>点位</w:t>
            </w:r>
          </w:p>
        </w:tc>
        <w:tc>
          <w:tcPr>
            <w:tcW w:w="1674" w:type="dxa"/>
            <w:vAlign w:val="top"/>
          </w:tcPr>
          <w:p w14:paraId="4E4A4953">
            <w:pPr>
              <w:pStyle w:val="6"/>
              <w:spacing w:before="228" w:line="220" w:lineRule="auto"/>
              <w:ind w:left="480"/>
              <w:rPr>
                <w:sz w:val="18"/>
                <w:szCs w:val="18"/>
              </w:rPr>
            </w:pPr>
            <w:r>
              <w:rPr>
                <w:b/>
                <w:bCs/>
                <w:spacing w:val="-4"/>
                <w:sz w:val="18"/>
                <w:szCs w:val="18"/>
              </w:rPr>
              <w:t>监测因子</w:t>
            </w:r>
          </w:p>
        </w:tc>
        <w:tc>
          <w:tcPr>
            <w:tcW w:w="1004" w:type="dxa"/>
            <w:vAlign w:val="top"/>
          </w:tcPr>
          <w:p w14:paraId="6C7264D9">
            <w:pPr>
              <w:pStyle w:val="6"/>
              <w:spacing w:before="228" w:line="219" w:lineRule="auto"/>
              <w:ind w:left="328"/>
              <w:rPr>
                <w:sz w:val="18"/>
                <w:szCs w:val="18"/>
              </w:rPr>
            </w:pPr>
            <w:r>
              <w:rPr>
                <w:b/>
                <w:bCs/>
                <w:spacing w:val="-6"/>
                <w:sz w:val="18"/>
                <w:szCs w:val="18"/>
              </w:rPr>
              <w:t>频次</w:t>
            </w:r>
          </w:p>
        </w:tc>
        <w:tc>
          <w:tcPr>
            <w:tcW w:w="2505" w:type="dxa"/>
            <w:vMerge w:val="continue"/>
            <w:tcBorders>
              <w:top w:val="nil"/>
              <w:right w:val="nil"/>
            </w:tcBorders>
            <w:vAlign w:val="top"/>
          </w:tcPr>
          <w:p w14:paraId="4BB52BB3">
            <w:pPr>
              <w:rPr>
                <w:rFonts w:ascii="Arial"/>
                <w:sz w:val="21"/>
              </w:rPr>
            </w:pPr>
          </w:p>
        </w:tc>
      </w:tr>
      <w:tr w14:paraId="7B9C7F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restart"/>
            <w:tcBorders>
              <w:left w:val="nil"/>
              <w:bottom w:val="nil"/>
            </w:tcBorders>
            <w:vAlign w:val="top"/>
          </w:tcPr>
          <w:p w14:paraId="7C28A5EC">
            <w:pPr>
              <w:spacing w:line="241" w:lineRule="auto"/>
              <w:rPr>
                <w:rFonts w:ascii="Arial"/>
                <w:sz w:val="21"/>
              </w:rPr>
            </w:pPr>
          </w:p>
          <w:p w14:paraId="4432337E">
            <w:pPr>
              <w:spacing w:line="241" w:lineRule="auto"/>
              <w:rPr>
                <w:rFonts w:ascii="Arial"/>
                <w:sz w:val="21"/>
              </w:rPr>
            </w:pPr>
          </w:p>
          <w:p w14:paraId="37045820">
            <w:pPr>
              <w:spacing w:line="241" w:lineRule="auto"/>
              <w:rPr>
                <w:rFonts w:ascii="Arial"/>
                <w:sz w:val="21"/>
              </w:rPr>
            </w:pPr>
          </w:p>
          <w:p w14:paraId="585A4F63">
            <w:pPr>
              <w:spacing w:line="241" w:lineRule="auto"/>
              <w:rPr>
                <w:rFonts w:ascii="Arial"/>
                <w:sz w:val="21"/>
              </w:rPr>
            </w:pPr>
          </w:p>
          <w:p w14:paraId="3B461343">
            <w:pPr>
              <w:spacing w:line="241" w:lineRule="auto"/>
              <w:rPr>
                <w:rFonts w:ascii="Arial"/>
                <w:sz w:val="21"/>
              </w:rPr>
            </w:pPr>
          </w:p>
          <w:p w14:paraId="5E68A9A3">
            <w:pPr>
              <w:spacing w:line="241" w:lineRule="auto"/>
              <w:rPr>
                <w:rFonts w:ascii="Arial"/>
                <w:sz w:val="21"/>
              </w:rPr>
            </w:pPr>
          </w:p>
          <w:p w14:paraId="130735BF">
            <w:pPr>
              <w:spacing w:line="242" w:lineRule="auto"/>
              <w:rPr>
                <w:rFonts w:ascii="Arial"/>
                <w:sz w:val="21"/>
              </w:rPr>
            </w:pPr>
          </w:p>
          <w:p w14:paraId="43E42366">
            <w:pPr>
              <w:spacing w:line="242" w:lineRule="auto"/>
              <w:rPr>
                <w:rFonts w:ascii="Arial"/>
                <w:sz w:val="21"/>
              </w:rPr>
            </w:pPr>
          </w:p>
          <w:p w14:paraId="70BEA058">
            <w:pPr>
              <w:spacing w:line="242" w:lineRule="auto"/>
              <w:rPr>
                <w:rFonts w:ascii="Arial"/>
                <w:sz w:val="21"/>
              </w:rPr>
            </w:pPr>
          </w:p>
          <w:p w14:paraId="2C702265">
            <w:pPr>
              <w:spacing w:line="242" w:lineRule="auto"/>
              <w:rPr>
                <w:rFonts w:ascii="Arial"/>
                <w:sz w:val="21"/>
              </w:rPr>
            </w:pPr>
          </w:p>
          <w:p w14:paraId="4F6C0760">
            <w:pPr>
              <w:spacing w:line="242" w:lineRule="auto"/>
              <w:rPr>
                <w:rFonts w:ascii="Arial"/>
                <w:sz w:val="21"/>
              </w:rPr>
            </w:pPr>
          </w:p>
          <w:p w14:paraId="6809F944">
            <w:pPr>
              <w:spacing w:line="242" w:lineRule="auto"/>
              <w:rPr>
                <w:rFonts w:ascii="Arial"/>
                <w:sz w:val="21"/>
              </w:rPr>
            </w:pPr>
          </w:p>
          <w:p w14:paraId="53290BA0">
            <w:pPr>
              <w:spacing w:line="242" w:lineRule="auto"/>
              <w:rPr>
                <w:rFonts w:ascii="Arial"/>
                <w:sz w:val="21"/>
              </w:rPr>
            </w:pPr>
          </w:p>
          <w:p w14:paraId="6A795A14">
            <w:pPr>
              <w:spacing w:line="242" w:lineRule="auto"/>
              <w:rPr>
                <w:rFonts w:ascii="Arial"/>
                <w:sz w:val="21"/>
              </w:rPr>
            </w:pPr>
          </w:p>
          <w:p w14:paraId="16D333E3">
            <w:pPr>
              <w:spacing w:line="242" w:lineRule="auto"/>
              <w:rPr>
                <w:rFonts w:ascii="Arial"/>
                <w:sz w:val="21"/>
              </w:rPr>
            </w:pPr>
          </w:p>
          <w:p w14:paraId="683EB6CE">
            <w:pPr>
              <w:spacing w:line="242" w:lineRule="auto"/>
              <w:rPr>
                <w:rFonts w:ascii="Arial"/>
                <w:sz w:val="21"/>
              </w:rPr>
            </w:pPr>
          </w:p>
          <w:p w14:paraId="6D213EAC">
            <w:pPr>
              <w:spacing w:line="242" w:lineRule="auto"/>
              <w:rPr>
                <w:rFonts w:ascii="Arial"/>
                <w:sz w:val="21"/>
              </w:rPr>
            </w:pPr>
          </w:p>
          <w:p w14:paraId="508DA766">
            <w:pPr>
              <w:spacing w:line="242" w:lineRule="auto"/>
              <w:rPr>
                <w:rFonts w:ascii="Arial"/>
                <w:sz w:val="21"/>
              </w:rPr>
            </w:pPr>
          </w:p>
          <w:p w14:paraId="42DB9CB4">
            <w:pPr>
              <w:spacing w:line="242" w:lineRule="auto"/>
              <w:rPr>
                <w:rFonts w:ascii="Arial"/>
                <w:sz w:val="21"/>
              </w:rPr>
            </w:pPr>
          </w:p>
          <w:p w14:paraId="1C55107E">
            <w:pPr>
              <w:spacing w:line="242" w:lineRule="auto"/>
              <w:rPr>
                <w:rFonts w:ascii="Arial"/>
                <w:sz w:val="21"/>
              </w:rPr>
            </w:pPr>
          </w:p>
          <w:p w14:paraId="0B6A7BF6">
            <w:pPr>
              <w:spacing w:line="242" w:lineRule="auto"/>
              <w:rPr>
                <w:rFonts w:ascii="Arial"/>
                <w:sz w:val="21"/>
              </w:rPr>
            </w:pPr>
          </w:p>
          <w:p w14:paraId="4F5CE4DF">
            <w:pPr>
              <w:spacing w:line="242" w:lineRule="auto"/>
              <w:rPr>
                <w:rFonts w:ascii="Arial"/>
                <w:sz w:val="21"/>
              </w:rPr>
            </w:pPr>
          </w:p>
          <w:p w14:paraId="1FB48C0E">
            <w:pPr>
              <w:spacing w:line="242" w:lineRule="auto"/>
              <w:rPr>
                <w:rFonts w:ascii="Arial"/>
                <w:sz w:val="21"/>
              </w:rPr>
            </w:pPr>
          </w:p>
          <w:p w14:paraId="08E39307">
            <w:pPr>
              <w:pStyle w:val="6"/>
              <w:spacing w:before="59" w:line="220" w:lineRule="auto"/>
              <w:ind w:left="187"/>
              <w:rPr>
                <w:sz w:val="18"/>
                <w:szCs w:val="18"/>
              </w:rPr>
            </w:pPr>
            <w:r>
              <w:rPr>
                <w:spacing w:val="-4"/>
                <w:sz w:val="18"/>
                <w:szCs w:val="18"/>
              </w:rPr>
              <w:t>废气</w:t>
            </w:r>
          </w:p>
        </w:tc>
        <w:tc>
          <w:tcPr>
            <w:tcW w:w="1060" w:type="dxa"/>
            <w:vMerge w:val="restart"/>
            <w:tcBorders>
              <w:bottom w:val="nil"/>
            </w:tcBorders>
            <w:vAlign w:val="top"/>
          </w:tcPr>
          <w:p w14:paraId="56E3BE89">
            <w:pPr>
              <w:spacing w:line="376" w:lineRule="auto"/>
              <w:rPr>
                <w:rFonts w:ascii="Arial"/>
                <w:sz w:val="21"/>
              </w:rPr>
            </w:pPr>
          </w:p>
          <w:p w14:paraId="31E5AD9B">
            <w:pPr>
              <w:spacing w:before="52" w:line="201" w:lineRule="auto"/>
              <w:ind w:left="158"/>
              <w:rPr>
                <w:rFonts w:ascii="Times New Roman" w:hAnsi="Times New Roman" w:eastAsia="Times New Roman" w:cs="Times New Roman"/>
                <w:sz w:val="11"/>
                <w:szCs w:val="11"/>
              </w:rPr>
            </w:pPr>
            <w:r>
              <w:rPr>
                <w:rFonts w:ascii="Times New Roman" w:hAnsi="Times New Roman" w:eastAsia="Times New Roman" w:cs="Times New Roman"/>
                <w:spacing w:val="-2"/>
                <w:sz w:val="18"/>
                <w:szCs w:val="18"/>
              </w:rPr>
              <w:t>G</w:t>
            </w:r>
            <w:r>
              <w:rPr>
                <w:rFonts w:ascii="Times New Roman" w:hAnsi="Times New Roman" w:eastAsia="Times New Roman" w:cs="Times New Roman"/>
                <w:spacing w:val="-2"/>
                <w:sz w:val="11"/>
                <w:szCs w:val="11"/>
              </w:rPr>
              <w:t>1-</w:t>
            </w:r>
            <w:r>
              <w:rPr>
                <w:rFonts w:ascii="Times New Roman" w:hAnsi="Times New Roman" w:eastAsia="Times New Roman" w:cs="Times New Roman"/>
                <w:spacing w:val="-9"/>
                <w:sz w:val="11"/>
                <w:szCs w:val="11"/>
              </w:rPr>
              <w:t xml:space="preserve"> </w:t>
            </w:r>
            <w:r>
              <w:rPr>
                <w:rFonts w:ascii="Times New Roman" w:hAnsi="Times New Roman" w:eastAsia="Times New Roman" w:cs="Times New Roman"/>
                <w:spacing w:val="-2"/>
                <w:sz w:val="11"/>
                <w:szCs w:val="11"/>
              </w:rPr>
              <w:t xml:space="preserve">1 </w:t>
            </w:r>
            <w:r>
              <w:rPr>
                <w:rFonts w:ascii="微软雅黑" w:hAnsi="微软雅黑" w:eastAsia="微软雅黑" w:cs="微软雅黑"/>
                <w:spacing w:val="-2"/>
                <w:position w:val="1"/>
                <w:sz w:val="11"/>
                <w:szCs w:val="11"/>
              </w:rPr>
              <w:t>、</w:t>
            </w:r>
            <w:r>
              <w:rPr>
                <w:rFonts w:ascii="微软雅黑" w:hAnsi="微软雅黑" w:eastAsia="微软雅黑" w:cs="微软雅黑"/>
                <w:spacing w:val="19"/>
                <w:w w:val="101"/>
                <w:position w:val="1"/>
                <w:sz w:val="11"/>
                <w:szCs w:val="11"/>
              </w:rPr>
              <w:t xml:space="preserve"> </w:t>
            </w:r>
            <w:r>
              <w:rPr>
                <w:rFonts w:ascii="Times New Roman" w:hAnsi="Times New Roman" w:eastAsia="Times New Roman" w:cs="Times New Roman"/>
                <w:spacing w:val="-2"/>
                <w:sz w:val="18"/>
                <w:szCs w:val="18"/>
              </w:rPr>
              <w:t>G</w:t>
            </w:r>
            <w:r>
              <w:rPr>
                <w:rFonts w:ascii="Times New Roman" w:hAnsi="Times New Roman" w:eastAsia="Times New Roman" w:cs="Times New Roman"/>
                <w:spacing w:val="-2"/>
                <w:sz w:val="11"/>
                <w:szCs w:val="11"/>
              </w:rPr>
              <w:t>1-2</w:t>
            </w:r>
          </w:p>
        </w:tc>
        <w:tc>
          <w:tcPr>
            <w:tcW w:w="2047" w:type="dxa"/>
            <w:vMerge w:val="restart"/>
            <w:tcBorders>
              <w:bottom w:val="nil"/>
            </w:tcBorders>
            <w:vAlign w:val="top"/>
          </w:tcPr>
          <w:p w14:paraId="5A8835EA">
            <w:pPr>
              <w:spacing w:line="339" w:lineRule="auto"/>
              <w:rPr>
                <w:rFonts w:ascii="Arial"/>
                <w:sz w:val="21"/>
              </w:rPr>
            </w:pPr>
          </w:p>
          <w:p w14:paraId="3A3332B1">
            <w:pPr>
              <w:pStyle w:val="6"/>
              <w:spacing w:before="58" w:line="219" w:lineRule="auto"/>
              <w:ind w:left="37"/>
              <w:rPr>
                <w:sz w:val="18"/>
                <w:szCs w:val="18"/>
              </w:rPr>
            </w:pPr>
            <w:r>
              <w:rPr>
                <w:spacing w:val="-1"/>
                <w:sz w:val="18"/>
                <w:szCs w:val="18"/>
              </w:rPr>
              <w:t>焦炭烘干、筛分出料废气</w:t>
            </w:r>
          </w:p>
        </w:tc>
        <w:tc>
          <w:tcPr>
            <w:tcW w:w="1781" w:type="dxa"/>
            <w:vAlign w:val="top"/>
          </w:tcPr>
          <w:p w14:paraId="2810D7C9">
            <w:pPr>
              <w:pStyle w:val="6"/>
              <w:spacing w:before="71" w:line="220" w:lineRule="auto"/>
              <w:ind w:left="624"/>
              <w:rPr>
                <w:sz w:val="18"/>
                <w:szCs w:val="18"/>
              </w:rPr>
            </w:pPr>
            <w:r>
              <w:rPr>
                <w:spacing w:val="-3"/>
                <w:sz w:val="18"/>
                <w:szCs w:val="18"/>
              </w:rPr>
              <w:t>颗粒物</w:t>
            </w:r>
          </w:p>
        </w:tc>
        <w:tc>
          <w:tcPr>
            <w:tcW w:w="2416" w:type="dxa"/>
            <w:vMerge w:val="restart"/>
            <w:tcBorders>
              <w:bottom w:val="nil"/>
            </w:tcBorders>
            <w:vAlign w:val="top"/>
          </w:tcPr>
          <w:p w14:paraId="469A33AE">
            <w:pPr>
              <w:spacing w:line="339" w:lineRule="auto"/>
              <w:rPr>
                <w:rFonts w:ascii="Arial"/>
                <w:sz w:val="21"/>
              </w:rPr>
            </w:pPr>
          </w:p>
          <w:p w14:paraId="76461AD7">
            <w:pPr>
              <w:pStyle w:val="6"/>
              <w:spacing w:before="58" w:line="219" w:lineRule="auto"/>
              <w:ind w:left="762"/>
              <w:rPr>
                <w:sz w:val="18"/>
                <w:szCs w:val="18"/>
              </w:rPr>
            </w:pPr>
            <w:r>
              <w:rPr>
                <w:spacing w:val="-2"/>
                <w:sz w:val="18"/>
                <w:szCs w:val="18"/>
              </w:rPr>
              <w:t>布袋除尘器</w:t>
            </w:r>
          </w:p>
        </w:tc>
        <w:tc>
          <w:tcPr>
            <w:tcW w:w="1327" w:type="dxa"/>
            <w:vAlign w:val="top"/>
          </w:tcPr>
          <w:p w14:paraId="553D1A80">
            <w:pPr>
              <w:spacing w:before="102" w:line="188"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15.94</w:t>
            </w:r>
          </w:p>
        </w:tc>
        <w:tc>
          <w:tcPr>
            <w:tcW w:w="1247" w:type="dxa"/>
            <w:vAlign w:val="top"/>
          </w:tcPr>
          <w:p w14:paraId="660A39C7">
            <w:pPr>
              <w:spacing w:before="102" w:line="188" w:lineRule="auto"/>
              <w:ind w:left="46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2.28</w:t>
            </w:r>
          </w:p>
        </w:tc>
        <w:tc>
          <w:tcPr>
            <w:tcW w:w="1048" w:type="dxa"/>
            <w:vMerge w:val="restart"/>
            <w:tcBorders>
              <w:bottom w:val="nil"/>
            </w:tcBorders>
            <w:vAlign w:val="top"/>
          </w:tcPr>
          <w:p w14:paraId="61338B70">
            <w:pPr>
              <w:spacing w:line="373" w:lineRule="auto"/>
              <w:rPr>
                <w:rFonts w:ascii="Arial"/>
                <w:sz w:val="21"/>
              </w:rPr>
            </w:pPr>
          </w:p>
          <w:p w14:paraId="581F90AF">
            <w:pPr>
              <w:spacing w:before="52" w:line="192"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30/0.6</w:t>
            </w:r>
          </w:p>
        </w:tc>
        <w:tc>
          <w:tcPr>
            <w:tcW w:w="1212" w:type="dxa"/>
            <w:vMerge w:val="restart"/>
            <w:tcBorders>
              <w:bottom w:val="nil"/>
            </w:tcBorders>
            <w:vAlign w:val="top"/>
          </w:tcPr>
          <w:p w14:paraId="658127F6">
            <w:pPr>
              <w:spacing w:line="377" w:lineRule="auto"/>
              <w:rPr>
                <w:rFonts w:ascii="Arial"/>
                <w:sz w:val="21"/>
              </w:rPr>
            </w:pPr>
          </w:p>
          <w:p w14:paraId="57F029CE">
            <w:pPr>
              <w:spacing w:before="51" w:line="188" w:lineRule="auto"/>
              <w:ind w:left="48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44" w:type="dxa"/>
            <w:vMerge w:val="restart"/>
            <w:tcBorders>
              <w:bottom w:val="nil"/>
            </w:tcBorders>
            <w:vAlign w:val="top"/>
          </w:tcPr>
          <w:p w14:paraId="38968819">
            <w:pPr>
              <w:spacing w:line="339" w:lineRule="auto"/>
              <w:rPr>
                <w:rFonts w:ascii="Arial"/>
                <w:sz w:val="21"/>
              </w:rPr>
            </w:pPr>
          </w:p>
          <w:p w14:paraId="51B1A9B0">
            <w:pPr>
              <w:pStyle w:val="6"/>
              <w:spacing w:before="58" w:line="220" w:lineRule="auto"/>
              <w:ind w:left="247"/>
              <w:rPr>
                <w:sz w:val="18"/>
                <w:szCs w:val="18"/>
              </w:rPr>
            </w:pPr>
            <w:r>
              <w:rPr>
                <w:spacing w:val="-4"/>
                <w:sz w:val="18"/>
                <w:szCs w:val="18"/>
              </w:rPr>
              <w:t>连续</w:t>
            </w:r>
          </w:p>
        </w:tc>
        <w:tc>
          <w:tcPr>
            <w:tcW w:w="1230" w:type="dxa"/>
            <w:vAlign w:val="top"/>
          </w:tcPr>
          <w:p w14:paraId="68A1E5DB">
            <w:pPr>
              <w:spacing w:before="99"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restart"/>
            <w:tcBorders>
              <w:bottom w:val="nil"/>
            </w:tcBorders>
            <w:vAlign w:val="top"/>
          </w:tcPr>
          <w:p w14:paraId="586B25C6">
            <w:pPr>
              <w:rPr>
                <w:rFonts w:ascii="Arial"/>
                <w:sz w:val="21"/>
              </w:rPr>
            </w:pPr>
          </w:p>
          <w:p w14:paraId="02D5D3D6">
            <w:pPr>
              <w:rPr>
                <w:rFonts w:ascii="Arial"/>
                <w:sz w:val="21"/>
              </w:rPr>
            </w:pPr>
          </w:p>
          <w:p w14:paraId="53ACF215">
            <w:pPr>
              <w:rPr>
                <w:rFonts w:ascii="Arial"/>
                <w:sz w:val="21"/>
              </w:rPr>
            </w:pPr>
          </w:p>
          <w:p w14:paraId="4305680F">
            <w:pPr>
              <w:rPr>
                <w:rFonts w:ascii="Arial"/>
                <w:sz w:val="21"/>
              </w:rPr>
            </w:pPr>
          </w:p>
          <w:p w14:paraId="1CF130C3">
            <w:pPr>
              <w:rPr>
                <w:rFonts w:ascii="Arial"/>
                <w:sz w:val="21"/>
              </w:rPr>
            </w:pPr>
          </w:p>
          <w:p w14:paraId="46075F20">
            <w:pPr>
              <w:spacing w:line="241" w:lineRule="auto"/>
              <w:rPr>
                <w:rFonts w:ascii="Arial"/>
                <w:sz w:val="21"/>
              </w:rPr>
            </w:pPr>
          </w:p>
          <w:p w14:paraId="1E526822">
            <w:pPr>
              <w:spacing w:line="241" w:lineRule="auto"/>
              <w:rPr>
                <w:rFonts w:ascii="Arial"/>
                <w:sz w:val="21"/>
              </w:rPr>
            </w:pPr>
          </w:p>
          <w:p w14:paraId="44599498">
            <w:pPr>
              <w:spacing w:line="241" w:lineRule="auto"/>
              <w:rPr>
                <w:rFonts w:ascii="Arial"/>
                <w:sz w:val="21"/>
              </w:rPr>
            </w:pPr>
          </w:p>
          <w:p w14:paraId="61B41CEB">
            <w:pPr>
              <w:spacing w:line="241" w:lineRule="auto"/>
              <w:rPr>
                <w:rFonts w:ascii="Arial"/>
                <w:sz w:val="21"/>
              </w:rPr>
            </w:pPr>
          </w:p>
          <w:p w14:paraId="3229295E">
            <w:pPr>
              <w:spacing w:line="241" w:lineRule="auto"/>
              <w:rPr>
                <w:rFonts w:ascii="Arial"/>
                <w:sz w:val="21"/>
              </w:rPr>
            </w:pPr>
          </w:p>
          <w:p w14:paraId="4ED54604">
            <w:pPr>
              <w:spacing w:line="241" w:lineRule="auto"/>
              <w:rPr>
                <w:rFonts w:ascii="Arial"/>
                <w:sz w:val="21"/>
              </w:rPr>
            </w:pPr>
          </w:p>
          <w:p w14:paraId="5E827FCD">
            <w:pPr>
              <w:spacing w:line="241" w:lineRule="auto"/>
              <w:rPr>
                <w:rFonts w:ascii="Arial"/>
                <w:sz w:val="21"/>
              </w:rPr>
            </w:pPr>
          </w:p>
          <w:p w14:paraId="57AC26A9">
            <w:pPr>
              <w:spacing w:line="241" w:lineRule="auto"/>
              <w:rPr>
                <w:rFonts w:ascii="Arial"/>
                <w:sz w:val="21"/>
              </w:rPr>
            </w:pPr>
          </w:p>
          <w:p w14:paraId="7385A60F">
            <w:pPr>
              <w:pStyle w:val="6"/>
              <w:spacing w:before="58" w:line="219" w:lineRule="auto"/>
              <w:ind w:left="85"/>
              <w:rPr>
                <w:sz w:val="18"/>
                <w:szCs w:val="18"/>
              </w:rPr>
            </w:pPr>
            <w:r>
              <w:rPr>
                <w:spacing w:val="-2"/>
                <w:sz w:val="18"/>
                <w:szCs w:val="18"/>
              </w:rPr>
              <w:t>排气筒或烟</w:t>
            </w:r>
          </w:p>
          <w:p w14:paraId="0BC56276">
            <w:pPr>
              <w:pStyle w:val="6"/>
              <w:spacing w:before="104" w:line="219" w:lineRule="auto"/>
              <w:ind w:left="104"/>
              <w:rPr>
                <w:sz w:val="18"/>
                <w:szCs w:val="18"/>
              </w:rPr>
            </w:pPr>
            <w:r>
              <w:rPr>
                <w:spacing w:val="-6"/>
                <w:sz w:val="18"/>
                <w:szCs w:val="18"/>
              </w:rPr>
              <w:t>囱预留采样</w:t>
            </w:r>
          </w:p>
          <w:p w14:paraId="5D26D3BA">
            <w:pPr>
              <w:pStyle w:val="6"/>
              <w:spacing w:before="105" w:line="221" w:lineRule="auto"/>
              <w:ind w:left="84"/>
              <w:rPr>
                <w:sz w:val="18"/>
                <w:szCs w:val="18"/>
              </w:rPr>
            </w:pPr>
            <w:r>
              <w:rPr>
                <w:spacing w:val="-2"/>
                <w:sz w:val="18"/>
                <w:szCs w:val="18"/>
              </w:rPr>
              <w:t>平台及监测</w:t>
            </w:r>
          </w:p>
          <w:p w14:paraId="35D8C1B6">
            <w:pPr>
              <w:pStyle w:val="6"/>
              <w:spacing w:before="104" w:line="221" w:lineRule="auto"/>
              <w:ind w:left="446"/>
              <w:rPr>
                <w:sz w:val="18"/>
                <w:szCs w:val="18"/>
              </w:rPr>
            </w:pPr>
            <w:r>
              <w:rPr>
                <w:sz w:val="18"/>
                <w:szCs w:val="18"/>
              </w:rPr>
              <w:t>孔</w:t>
            </w:r>
          </w:p>
        </w:tc>
        <w:tc>
          <w:tcPr>
            <w:tcW w:w="1674" w:type="dxa"/>
            <w:vAlign w:val="top"/>
          </w:tcPr>
          <w:p w14:paraId="13D4969A">
            <w:pPr>
              <w:pStyle w:val="6"/>
              <w:spacing w:before="71" w:line="220" w:lineRule="auto"/>
              <w:ind w:left="572"/>
              <w:rPr>
                <w:sz w:val="18"/>
                <w:szCs w:val="18"/>
              </w:rPr>
            </w:pPr>
            <w:r>
              <w:rPr>
                <w:spacing w:val="-3"/>
                <w:sz w:val="18"/>
                <w:szCs w:val="18"/>
              </w:rPr>
              <w:t>颗粒物</w:t>
            </w:r>
          </w:p>
        </w:tc>
        <w:tc>
          <w:tcPr>
            <w:tcW w:w="1004" w:type="dxa"/>
            <w:vMerge w:val="restart"/>
            <w:tcBorders>
              <w:bottom w:val="nil"/>
            </w:tcBorders>
            <w:vAlign w:val="top"/>
          </w:tcPr>
          <w:p w14:paraId="5BCBE9FF">
            <w:pPr>
              <w:spacing w:line="339" w:lineRule="auto"/>
              <w:rPr>
                <w:rFonts w:ascii="Arial"/>
                <w:sz w:val="21"/>
              </w:rPr>
            </w:pPr>
          </w:p>
          <w:p w14:paraId="5A0B2691">
            <w:pPr>
              <w:pStyle w:val="6"/>
              <w:spacing w:before="59" w:line="219" w:lineRule="auto"/>
              <w:ind w:left="58"/>
              <w:rPr>
                <w:sz w:val="18"/>
                <w:szCs w:val="18"/>
              </w:rPr>
            </w:pPr>
            <w:r>
              <w:rPr>
                <w:spacing w:val="-6"/>
                <w:sz w:val="18"/>
                <w:szCs w:val="18"/>
              </w:rPr>
              <w:t>每季度</w:t>
            </w:r>
            <w:r>
              <w:rPr>
                <w:spacing w:val="-25"/>
                <w:sz w:val="18"/>
                <w:szCs w:val="18"/>
              </w:rPr>
              <w:t xml:space="preserve"> </w:t>
            </w:r>
            <w:r>
              <w:rPr>
                <w:rFonts w:ascii="Times New Roman" w:hAnsi="Times New Roman" w:eastAsia="Times New Roman" w:cs="Times New Roman"/>
                <w:spacing w:val="-6"/>
                <w:sz w:val="18"/>
                <w:szCs w:val="18"/>
              </w:rPr>
              <w:t>1</w:t>
            </w:r>
            <w:r>
              <w:rPr>
                <w:rFonts w:ascii="Times New Roman" w:hAnsi="Times New Roman" w:eastAsia="Times New Roman" w:cs="Times New Roman"/>
                <w:spacing w:val="13"/>
                <w:w w:val="101"/>
                <w:sz w:val="18"/>
                <w:szCs w:val="18"/>
              </w:rPr>
              <w:t xml:space="preserve"> </w:t>
            </w:r>
            <w:r>
              <w:rPr>
                <w:spacing w:val="-6"/>
                <w:sz w:val="18"/>
                <w:szCs w:val="18"/>
              </w:rPr>
              <w:t>次</w:t>
            </w:r>
          </w:p>
        </w:tc>
        <w:tc>
          <w:tcPr>
            <w:tcW w:w="2505" w:type="dxa"/>
            <w:vMerge w:val="restart"/>
            <w:tcBorders>
              <w:bottom w:val="nil"/>
              <w:right w:val="nil"/>
            </w:tcBorders>
            <w:vAlign w:val="top"/>
          </w:tcPr>
          <w:p w14:paraId="74953F70">
            <w:pPr>
              <w:pStyle w:val="6"/>
              <w:spacing w:before="256" w:line="219" w:lineRule="auto"/>
              <w:ind w:left="23"/>
              <w:rPr>
                <w:sz w:val="18"/>
                <w:szCs w:val="18"/>
              </w:rPr>
            </w:pPr>
            <w:r>
              <w:rPr>
                <w:rFonts w:ascii="Times New Roman" w:hAnsi="Times New Roman" w:eastAsia="Times New Roman" w:cs="Times New Roman"/>
                <w:spacing w:val="-1"/>
                <w:sz w:val="18"/>
                <w:szCs w:val="18"/>
              </w:rPr>
              <w:t xml:space="preserve">GB 28666-2012 </w:t>
            </w:r>
            <w:r>
              <w:rPr>
                <w:spacing w:val="-1"/>
                <w:sz w:val="18"/>
                <w:szCs w:val="18"/>
              </w:rPr>
              <w:t>表</w:t>
            </w:r>
            <w:r>
              <w:rPr>
                <w:spacing w:val="-31"/>
                <w:sz w:val="18"/>
                <w:szCs w:val="18"/>
              </w:rPr>
              <w:t xml:space="preserve"> </w:t>
            </w:r>
            <w:r>
              <w:rPr>
                <w:rFonts w:ascii="Times New Roman" w:hAnsi="Times New Roman" w:eastAsia="Times New Roman" w:cs="Times New Roman"/>
                <w:spacing w:val="-1"/>
                <w:sz w:val="18"/>
                <w:szCs w:val="18"/>
              </w:rPr>
              <w:t xml:space="preserve">6 </w:t>
            </w:r>
            <w:r>
              <w:rPr>
                <w:spacing w:val="-1"/>
                <w:sz w:val="18"/>
                <w:szCs w:val="18"/>
              </w:rPr>
              <w:t>特别排放限</w:t>
            </w:r>
          </w:p>
          <w:p w14:paraId="26D1C90A">
            <w:pPr>
              <w:pStyle w:val="6"/>
              <w:spacing w:before="105" w:line="219" w:lineRule="auto"/>
              <w:ind w:left="43"/>
              <w:rPr>
                <w:sz w:val="18"/>
                <w:szCs w:val="18"/>
              </w:rPr>
            </w:pPr>
            <w:r>
              <w:rPr>
                <w:spacing w:val="-3"/>
                <w:sz w:val="18"/>
                <w:szCs w:val="18"/>
              </w:rPr>
              <w:t>值、</w:t>
            </w: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r>
              <w:rPr>
                <w:rFonts w:ascii="Times New Roman" w:hAnsi="Times New Roman" w:eastAsia="Times New Roman" w:cs="Times New Roman"/>
                <w:spacing w:val="8"/>
                <w:w w:val="102"/>
                <w:position w:val="-1"/>
                <w:sz w:val="11"/>
                <w:szCs w:val="11"/>
              </w:rPr>
              <w:t xml:space="preserve"> </w:t>
            </w:r>
            <w:r>
              <w:rPr>
                <w:spacing w:val="-3"/>
                <w:sz w:val="18"/>
                <w:szCs w:val="18"/>
              </w:rPr>
              <w:t>、</w:t>
            </w:r>
            <w:r>
              <w:rPr>
                <w:rFonts w:ascii="Times New Roman" w:hAnsi="Times New Roman" w:eastAsia="Times New Roman" w:cs="Times New Roman"/>
                <w:spacing w:val="-3"/>
                <w:sz w:val="18"/>
                <w:szCs w:val="18"/>
              </w:rPr>
              <w:t>NO</w:t>
            </w:r>
            <w:r>
              <w:rPr>
                <w:rFonts w:ascii="Times New Roman" w:hAnsi="Times New Roman" w:eastAsia="Times New Roman" w:cs="Times New Roman"/>
                <w:spacing w:val="-3"/>
                <w:position w:val="-1"/>
                <w:sz w:val="11"/>
                <w:szCs w:val="11"/>
              </w:rPr>
              <w:t>x</w:t>
            </w:r>
            <w:r>
              <w:rPr>
                <w:rFonts w:ascii="Times New Roman" w:hAnsi="Times New Roman" w:eastAsia="Times New Roman" w:cs="Times New Roman"/>
                <w:spacing w:val="9"/>
                <w:w w:val="103"/>
                <w:position w:val="-1"/>
                <w:sz w:val="11"/>
                <w:szCs w:val="11"/>
              </w:rPr>
              <w:t xml:space="preserve"> </w:t>
            </w:r>
            <w:r>
              <w:rPr>
                <w:spacing w:val="-3"/>
                <w:sz w:val="18"/>
                <w:szCs w:val="18"/>
              </w:rPr>
              <w:t>参照执行《工业</w:t>
            </w:r>
          </w:p>
          <w:p w14:paraId="4FC5486C">
            <w:pPr>
              <w:pStyle w:val="6"/>
              <w:spacing w:before="105" w:line="220" w:lineRule="auto"/>
              <w:jc w:val="right"/>
              <w:rPr>
                <w:sz w:val="18"/>
                <w:szCs w:val="18"/>
              </w:rPr>
            </w:pPr>
            <w:r>
              <w:rPr>
                <w:spacing w:val="-3"/>
                <w:sz w:val="18"/>
                <w:szCs w:val="18"/>
              </w:rPr>
              <w:t>窑炉大气污染综合治理》（环大</w:t>
            </w:r>
          </w:p>
          <w:p w14:paraId="043C666F">
            <w:pPr>
              <w:pStyle w:val="6"/>
              <w:spacing w:before="102" w:line="212" w:lineRule="auto"/>
              <w:jc w:val="right"/>
              <w:rPr>
                <w:sz w:val="18"/>
                <w:szCs w:val="18"/>
              </w:rPr>
            </w:pPr>
            <w:r>
              <w:rPr>
                <w:spacing w:val="-1"/>
                <w:sz w:val="18"/>
                <w:szCs w:val="18"/>
              </w:rPr>
              <w:t>气</w:t>
            </w:r>
            <w:r>
              <w:rPr>
                <w:rFonts w:ascii="Times New Roman" w:hAnsi="Times New Roman" w:eastAsia="Times New Roman" w:cs="Times New Roman"/>
                <w:spacing w:val="-1"/>
                <w:sz w:val="18"/>
                <w:szCs w:val="18"/>
              </w:rPr>
              <w:t xml:space="preserve">[2019]56 </w:t>
            </w:r>
            <w:r>
              <w:rPr>
                <w:spacing w:val="-1"/>
                <w:sz w:val="18"/>
                <w:szCs w:val="18"/>
              </w:rPr>
              <w:t>号）中重点区域工业</w:t>
            </w:r>
          </w:p>
          <w:p w14:paraId="4C2D7FBA">
            <w:pPr>
              <w:pStyle w:val="6"/>
              <w:spacing w:before="112" w:line="219" w:lineRule="auto"/>
              <w:ind w:left="724"/>
              <w:rPr>
                <w:sz w:val="18"/>
                <w:szCs w:val="18"/>
              </w:rPr>
            </w:pPr>
            <w:r>
              <w:rPr>
                <w:spacing w:val="-2"/>
                <w:sz w:val="18"/>
                <w:szCs w:val="18"/>
              </w:rPr>
              <w:t>窑炉浓度限值</w:t>
            </w:r>
          </w:p>
        </w:tc>
      </w:tr>
      <w:tr w14:paraId="409CD8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70918E00">
            <w:pPr>
              <w:rPr>
                <w:rFonts w:ascii="Arial"/>
                <w:sz w:val="21"/>
              </w:rPr>
            </w:pPr>
          </w:p>
        </w:tc>
        <w:tc>
          <w:tcPr>
            <w:tcW w:w="1060" w:type="dxa"/>
            <w:vMerge w:val="continue"/>
            <w:tcBorders>
              <w:top w:val="nil"/>
              <w:bottom w:val="nil"/>
            </w:tcBorders>
            <w:vAlign w:val="top"/>
          </w:tcPr>
          <w:p w14:paraId="32E32D82">
            <w:pPr>
              <w:rPr>
                <w:rFonts w:ascii="Arial"/>
                <w:sz w:val="21"/>
              </w:rPr>
            </w:pPr>
          </w:p>
        </w:tc>
        <w:tc>
          <w:tcPr>
            <w:tcW w:w="2047" w:type="dxa"/>
            <w:vMerge w:val="continue"/>
            <w:tcBorders>
              <w:top w:val="nil"/>
              <w:bottom w:val="nil"/>
            </w:tcBorders>
            <w:vAlign w:val="top"/>
          </w:tcPr>
          <w:p w14:paraId="7444507E">
            <w:pPr>
              <w:rPr>
                <w:rFonts w:ascii="Arial"/>
                <w:sz w:val="21"/>
              </w:rPr>
            </w:pPr>
          </w:p>
        </w:tc>
        <w:tc>
          <w:tcPr>
            <w:tcW w:w="1781" w:type="dxa"/>
            <w:vAlign w:val="top"/>
          </w:tcPr>
          <w:p w14:paraId="7A9A59F1">
            <w:pPr>
              <w:spacing w:before="102" w:line="194" w:lineRule="auto"/>
              <w:ind w:left="754"/>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tc>
        <w:tc>
          <w:tcPr>
            <w:tcW w:w="2416" w:type="dxa"/>
            <w:vMerge w:val="continue"/>
            <w:tcBorders>
              <w:top w:val="nil"/>
              <w:bottom w:val="nil"/>
            </w:tcBorders>
            <w:vAlign w:val="top"/>
          </w:tcPr>
          <w:p w14:paraId="363D543A">
            <w:pPr>
              <w:rPr>
                <w:rFonts w:ascii="Arial"/>
                <w:sz w:val="21"/>
              </w:rPr>
            </w:pPr>
          </w:p>
        </w:tc>
        <w:tc>
          <w:tcPr>
            <w:tcW w:w="1327" w:type="dxa"/>
            <w:vAlign w:val="top"/>
          </w:tcPr>
          <w:p w14:paraId="147E357E">
            <w:pPr>
              <w:spacing w:before="103" w:line="188" w:lineRule="auto"/>
              <w:ind w:left="46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27.28</w:t>
            </w:r>
          </w:p>
        </w:tc>
        <w:tc>
          <w:tcPr>
            <w:tcW w:w="1247" w:type="dxa"/>
            <w:vAlign w:val="top"/>
          </w:tcPr>
          <w:p w14:paraId="5D6A7530">
            <w:pPr>
              <w:spacing w:before="115" w:line="188" w:lineRule="auto"/>
              <w:ind w:left="46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2.91</w:t>
            </w:r>
          </w:p>
        </w:tc>
        <w:tc>
          <w:tcPr>
            <w:tcW w:w="1048" w:type="dxa"/>
            <w:vMerge w:val="continue"/>
            <w:tcBorders>
              <w:top w:val="nil"/>
              <w:bottom w:val="nil"/>
            </w:tcBorders>
            <w:vAlign w:val="top"/>
          </w:tcPr>
          <w:p w14:paraId="12D2FCCA">
            <w:pPr>
              <w:rPr>
                <w:rFonts w:ascii="Arial"/>
                <w:sz w:val="21"/>
              </w:rPr>
            </w:pPr>
          </w:p>
        </w:tc>
        <w:tc>
          <w:tcPr>
            <w:tcW w:w="1212" w:type="dxa"/>
            <w:vMerge w:val="continue"/>
            <w:tcBorders>
              <w:top w:val="nil"/>
              <w:bottom w:val="nil"/>
            </w:tcBorders>
            <w:vAlign w:val="top"/>
          </w:tcPr>
          <w:p w14:paraId="24C26966">
            <w:pPr>
              <w:rPr>
                <w:rFonts w:ascii="Arial"/>
                <w:sz w:val="21"/>
              </w:rPr>
            </w:pPr>
          </w:p>
        </w:tc>
        <w:tc>
          <w:tcPr>
            <w:tcW w:w="844" w:type="dxa"/>
            <w:vMerge w:val="continue"/>
            <w:tcBorders>
              <w:top w:val="nil"/>
              <w:bottom w:val="nil"/>
            </w:tcBorders>
            <w:vAlign w:val="top"/>
          </w:tcPr>
          <w:p w14:paraId="4B1BC05A">
            <w:pPr>
              <w:rPr>
                <w:rFonts w:ascii="Arial"/>
                <w:sz w:val="21"/>
              </w:rPr>
            </w:pPr>
          </w:p>
        </w:tc>
        <w:tc>
          <w:tcPr>
            <w:tcW w:w="1230" w:type="dxa"/>
            <w:vAlign w:val="top"/>
          </w:tcPr>
          <w:p w14:paraId="2398D364">
            <w:pPr>
              <w:spacing w:before="115" w:line="188" w:lineRule="auto"/>
              <w:ind w:left="46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2.91</w:t>
            </w:r>
          </w:p>
        </w:tc>
        <w:tc>
          <w:tcPr>
            <w:tcW w:w="1060" w:type="dxa"/>
            <w:vMerge w:val="continue"/>
            <w:tcBorders>
              <w:top w:val="nil"/>
              <w:bottom w:val="nil"/>
            </w:tcBorders>
            <w:vAlign w:val="top"/>
          </w:tcPr>
          <w:p w14:paraId="4AAC4893">
            <w:pPr>
              <w:rPr>
                <w:rFonts w:ascii="Arial"/>
                <w:sz w:val="21"/>
              </w:rPr>
            </w:pPr>
          </w:p>
        </w:tc>
        <w:tc>
          <w:tcPr>
            <w:tcW w:w="1674" w:type="dxa"/>
            <w:vAlign w:val="top"/>
          </w:tcPr>
          <w:p w14:paraId="0D18CE98">
            <w:pPr>
              <w:spacing w:before="102" w:line="194" w:lineRule="auto"/>
              <w:ind w:left="702"/>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tc>
        <w:tc>
          <w:tcPr>
            <w:tcW w:w="1004" w:type="dxa"/>
            <w:vMerge w:val="continue"/>
            <w:tcBorders>
              <w:top w:val="nil"/>
              <w:bottom w:val="nil"/>
            </w:tcBorders>
            <w:vAlign w:val="top"/>
          </w:tcPr>
          <w:p w14:paraId="3A16618F">
            <w:pPr>
              <w:rPr>
                <w:rFonts w:ascii="Arial"/>
                <w:sz w:val="21"/>
              </w:rPr>
            </w:pPr>
          </w:p>
        </w:tc>
        <w:tc>
          <w:tcPr>
            <w:tcW w:w="2505" w:type="dxa"/>
            <w:vMerge w:val="continue"/>
            <w:tcBorders>
              <w:top w:val="nil"/>
              <w:bottom w:val="nil"/>
              <w:right w:val="nil"/>
            </w:tcBorders>
            <w:vAlign w:val="top"/>
          </w:tcPr>
          <w:p w14:paraId="4FB93E62">
            <w:pPr>
              <w:rPr>
                <w:rFonts w:ascii="Arial"/>
                <w:sz w:val="21"/>
              </w:rPr>
            </w:pPr>
          </w:p>
        </w:tc>
      </w:tr>
      <w:tr w14:paraId="75D54A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385E7BF5">
            <w:pPr>
              <w:rPr>
                <w:rFonts w:ascii="Arial"/>
                <w:sz w:val="21"/>
              </w:rPr>
            </w:pPr>
          </w:p>
        </w:tc>
        <w:tc>
          <w:tcPr>
            <w:tcW w:w="1060" w:type="dxa"/>
            <w:vMerge w:val="continue"/>
            <w:tcBorders>
              <w:top w:val="nil"/>
            </w:tcBorders>
            <w:vAlign w:val="top"/>
          </w:tcPr>
          <w:p w14:paraId="1FE02D7D">
            <w:pPr>
              <w:rPr>
                <w:rFonts w:ascii="Arial"/>
                <w:sz w:val="21"/>
              </w:rPr>
            </w:pPr>
          </w:p>
        </w:tc>
        <w:tc>
          <w:tcPr>
            <w:tcW w:w="2047" w:type="dxa"/>
            <w:vMerge w:val="continue"/>
            <w:tcBorders>
              <w:top w:val="nil"/>
            </w:tcBorders>
            <w:vAlign w:val="top"/>
          </w:tcPr>
          <w:p w14:paraId="16BCC78E">
            <w:pPr>
              <w:rPr>
                <w:rFonts w:ascii="Arial"/>
                <w:sz w:val="21"/>
              </w:rPr>
            </w:pPr>
          </w:p>
        </w:tc>
        <w:tc>
          <w:tcPr>
            <w:tcW w:w="1781" w:type="dxa"/>
            <w:vAlign w:val="top"/>
          </w:tcPr>
          <w:p w14:paraId="44713873">
            <w:pPr>
              <w:spacing w:before="103" w:line="194" w:lineRule="auto"/>
              <w:ind w:left="712"/>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2416" w:type="dxa"/>
            <w:vMerge w:val="continue"/>
            <w:tcBorders>
              <w:top w:val="nil"/>
            </w:tcBorders>
            <w:vAlign w:val="top"/>
          </w:tcPr>
          <w:p w14:paraId="5FDD24A1">
            <w:pPr>
              <w:rPr>
                <w:rFonts w:ascii="Arial"/>
                <w:sz w:val="21"/>
              </w:rPr>
            </w:pPr>
          </w:p>
        </w:tc>
        <w:tc>
          <w:tcPr>
            <w:tcW w:w="1327" w:type="dxa"/>
            <w:vAlign w:val="top"/>
          </w:tcPr>
          <w:p w14:paraId="56C4760E">
            <w:pPr>
              <w:spacing w:before="104" w:line="188"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12.13</w:t>
            </w:r>
          </w:p>
        </w:tc>
        <w:tc>
          <w:tcPr>
            <w:tcW w:w="1247" w:type="dxa"/>
            <w:vAlign w:val="top"/>
          </w:tcPr>
          <w:p w14:paraId="4137F1A2">
            <w:pPr>
              <w:spacing w:before="116" w:line="188" w:lineRule="auto"/>
              <w:ind w:left="484"/>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1.30</w:t>
            </w:r>
          </w:p>
        </w:tc>
        <w:tc>
          <w:tcPr>
            <w:tcW w:w="1048" w:type="dxa"/>
            <w:vMerge w:val="continue"/>
            <w:tcBorders>
              <w:top w:val="nil"/>
            </w:tcBorders>
            <w:vAlign w:val="top"/>
          </w:tcPr>
          <w:p w14:paraId="0BFA5753">
            <w:pPr>
              <w:rPr>
                <w:rFonts w:ascii="Arial"/>
                <w:sz w:val="21"/>
              </w:rPr>
            </w:pPr>
          </w:p>
        </w:tc>
        <w:tc>
          <w:tcPr>
            <w:tcW w:w="1212" w:type="dxa"/>
            <w:vMerge w:val="continue"/>
            <w:tcBorders>
              <w:top w:val="nil"/>
            </w:tcBorders>
            <w:vAlign w:val="top"/>
          </w:tcPr>
          <w:p w14:paraId="5A328D0D">
            <w:pPr>
              <w:rPr>
                <w:rFonts w:ascii="Arial"/>
                <w:sz w:val="21"/>
              </w:rPr>
            </w:pPr>
          </w:p>
        </w:tc>
        <w:tc>
          <w:tcPr>
            <w:tcW w:w="844" w:type="dxa"/>
            <w:vMerge w:val="continue"/>
            <w:tcBorders>
              <w:top w:val="nil"/>
            </w:tcBorders>
            <w:vAlign w:val="top"/>
          </w:tcPr>
          <w:p w14:paraId="7FB5903E">
            <w:pPr>
              <w:rPr>
                <w:rFonts w:ascii="Arial"/>
                <w:sz w:val="21"/>
              </w:rPr>
            </w:pPr>
          </w:p>
        </w:tc>
        <w:tc>
          <w:tcPr>
            <w:tcW w:w="1230" w:type="dxa"/>
            <w:vAlign w:val="top"/>
          </w:tcPr>
          <w:p w14:paraId="54DE4BF3">
            <w:pPr>
              <w:spacing w:before="116" w:line="188" w:lineRule="auto"/>
              <w:ind w:left="477"/>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1.30</w:t>
            </w:r>
          </w:p>
        </w:tc>
        <w:tc>
          <w:tcPr>
            <w:tcW w:w="1060" w:type="dxa"/>
            <w:vMerge w:val="continue"/>
            <w:tcBorders>
              <w:top w:val="nil"/>
              <w:bottom w:val="nil"/>
            </w:tcBorders>
            <w:vAlign w:val="top"/>
          </w:tcPr>
          <w:p w14:paraId="60A6901E">
            <w:pPr>
              <w:rPr>
                <w:rFonts w:ascii="Arial"/>
                <w:sz w:val="21"/>
              </w:rPr>
            </w:pPr>
          </w:p>
        </w:tc>
        <w:tc>
          <w:tcPr>
            <w:tcW w:w="1674" w:type="dxa"/>
            <w:vAlign w:val="top"/>
          </w:tcPr>
          <w:p w14:paraId="164101A4">
            <w:pPr>
              <w:spacing w:before="103" w:line="194" w:lineRule="auto"/>
              <w:ind w:left="660"/>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1004" w:type="dxa"/>
            <w:vMerge w:val="continue"/>
            <w:tcBorders>
              <w:top w:val="nil"/>
            </w:tcBorders>
            <w:vAlign w:val="top"/>
          </w:tcPr>
          <w:p w14:paraId="1732A71E">
            <w:pPr>
              <w:rPr>
                <w:rFonts w:ascii="Arial"/>
                <w:sz w:val="21"/>
              </w:rPr>
            </w:pPr>
          </w:p>
        </w:tc>
        <w:tc>
          <w:tcPr>
            <w:tcW w:w="2505" w:type="dxa"/>
            <w:vMerge w:val="continue"/>
            <w:tcBorders>
              <w:top w:val="nil"/>
              <w:bottom w:val="nil"/>
              <w:right w:val="nil"/>
            </w:tcBorders>
            <w:vAlign w:val="top"/>
          </w:tcPr>
          <w:p w14:paraId="0FD0EFB9">
            <w:pPr>
              <w:rPr>
                <w:rFonts w:ascii="Arial"/>
                <w:sz w:val="21"/>
              </w:rPr>
            </w:pPr>
          </w:p>
        </w:tc>
      </w:tr>
      <w:tr w14:paraId="52BF96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150F735D">
            <w:pPr>
              <w:rPr>
                <w:rFonts w:ascii="Arial"/>
                <w:sz w:val="21"/>
              </w:rPr>
            </w:pPr>
          </w:p>
        </w:tc>
        <w:tc>
          <w:tcPr>
            <w:tcW w:w="1060" w:type="dxa"/>
            <w:vMerge w:val="restart"/>
            <w:tcBorders>
              <w:bottom w:val="nil"/>
            </w:tcBorders>
            <w:vAlign w:val="top"/>
          </w:tcPr>
          <w:p w14:paraId="2997D58F">
            <w:pPr>
              <w:spacing w:line="367" w:lineRule="auto"/>
              <w:rPr>
                <w:rFonts w:ascii="Arial"/>
                <w:sz w:val="21"/>
              </w:rPr>
            </w:pPr>
          </w:p>
          <w:p w14:paraId="3A08096F">
            <w:pPr>
              <w:spacing w:before="52" w:line="196" w:lineRule="auto"/>
              <w:ind w:left="158"/>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G</w:t>
            </w:r>
            <w:r>
              <w:rPr>
                <w:rFonts w:ascii="Times New Roman" w:hAnsi="Times New Roman" w:eastAsia="Times New Roman" w:cs="Times New Roman"/>
                <w:spacing w:val="-1"/>
                <w:sz w:val="11"/>
                <w:szCs w:val="11"/>
              </w:rPr>
              <w:t xml:space="preserve">1-3 </w:t>
            </w:r>
            <w:r>
              <w:rPr>
                <w:rFonts w:ascii="微软雅黑" w:hAnsi="微软雅黑" w:eastAsia="微软雅黑" w:cs="微软雅黑"/>
                <w:spacing w:val="-1"/>
                <w:sz w:val="11"/>
                <w:szCs w:val="11"/>
              </w:rPr>
              <w:t>、</w:t>
            </w:r>
            <w:r>
              <w:rPr>
                <w:rFonts w:ascii="微软雅黑" w:hAnsi="微软雅黑" w:eastAsia="微软雅黑" w:cs="微软雅黑"/>
                <w:spacing w:val="28"/>
                <w:sz w:val="11"/>
                <w:szCs w:val="11"/>
              </w:rPr>
              <w:t xml:space="preserve"> </w:t>
            </w:r>
            <w:r>
              <w:rPr>
                <w:rFonts w:ascii="Times New Roman" w:hAnsi="Times New Roman" w:eastAsia="Times New Roman" w:cs="Times New Roman"/>
                <w:spacing w:val="-1"/>
                <w:sz w:val="18"/>
                <w:szCs w:val="18"/>
              </w:rPr>
              <w:t>G</w:t>
            </w:r>
            <w:r>
              <w:rPr>
                <w:rFonts w:ascii="Times New Roman" w:hAnsi="Times New Roman" w:eastAsia="Times New Roman" w:cs="Times New Roman"/>
                <w:spacing w:val="-1"/>
                <w:sz w:val="11"/>
                <w:szCs w:val="11"/>
              </w:rPr>
              <w:t>1-4</w:t>
            </w:r>
          </w:p>
        </w:tc>
        <w:tc>
          <w:tcPr>
            <w:tcW w:w="2047" w:type="dxa"/>
            <w:vMerge w:val="restart"/>
            <w:tcBorders>
              <w:bottom w:val="nil"/>
            </w:tcBorders>
            <w:vAlign w:val="top"/>
          </w:tcPr>
          <w:p w14:paraId="4F0102F7">
            <w:pPr>
              <w:spacing w:line="341" w:lineRule="auto"/>
              <w:rPr>
                <w:rFonts w:ascii="Arial"/>
                <w:sz w:val="21"/>
              </w:rPr>
            </w:pPr>
          </w:p>
          <w:p w14:paraId="1F90ED82">
            <w:pPr>
              <w:pStyle w:val="6"/>
              <w:spacing w:before="58" w:line="219" w:lineRule="auto"/>
              <w:ind w:left="128"/>
              <w:rPr>
                <w:sz w:val="18"/>
                <w:szCs w:val="18"/>
              </w:rPr>
            </w:pPr>
            <w:r>
              <w:rPr>
                <w:spacing w:val="-1"/>
                <w:sz w:val="18"/>
                <w:szCs w:val="18"/>
              </w:rPr>
              <w:t>锰矿石烘干、出料废气</w:t>
            </w:r>
          </w:p>
        </w:tc>
        <w:tc>
          <w:tcPr>
            <w:tcW w:w="1781" w:type="dxa"/>
            <w:vAlign w:val="top"/>
          </w:tcPr>
          <w:p w14:paraId="6B778959">
            <w:pPr>
              <w:pStyle w:val="6"/>
              <w:spacing w:before="73" w:line="220" w:lineRule="auto"/>
              <w:ind w:left="624"/>
              <w:rPr>
                <w:sz w:val="18"/>
                <w:szCs w:val="18"/>
              </w:rPr>
            </w:pPr>
            <w:r>
              <w:rPr>
                <w:spacing w:val="-3"/>
                <w:sz w:val="18"/>
                <w:szCs w:val="18"/>
              </w:rPr>
              <w:t>颗粒物</w:t>
            </w:r>
          </w:p>
        </w:tc>
        <w:tc>
          <w:tcPr>
            <w:tcW w:w="2416" w:type="dxa"/>
            <w:vMerge w:val="restart"/>
            <w:tcBorders>
              <w:bottom w:val="nil"/>
            </w:tcBorders>
            <w:vAlign w:val="top"/>
          </w:tcPr>
          <w:p w14:paraId="4D9457DA">
            <w:pPr>
              <w:spacing w:line="341" w:lineRule="auto"/>
              <w:rPr>
                <w:rFonts w:ascii="Arial"/>
                <w:sz w:val="21"/>
              </w:rPr>
            </w:pPr>
          </w:p>
          <w:p w14:paraId="001BB13A">
            <w:pPr>
              <w:pStyle w:val="6"/>
              <w:spacing w:before="58" w:line="219" w:lineRule="auto"/>
              <w:ind w:left="762"/>
              <w:rPr>
                <w:sz w:val="18"/>
                <w:szCs w:val="18"/>
              </w:rPr>
            </w:pPr>
            <w:r>
              <w:rPr>
                <w:spacing w:val="-2"/>
                <w:sz w:val="18"/>
                <w:szCs w:val="18"/>
              </w:rPr>
              <w:t>布袋除尘器</w:t>
            </w:r>
          </w:p>
        </w:tc>
        <w:tc>
          <w:tcPr>
            <w:tcW w:w="1327" w:type="dxa"/>
            <w:vAlign w:val="top"/>
          </w:tcPr>
          <w:p w14:paraId="06D627C2">
            <w:pPr>
              <w:spacing w:before="104" w:line="188"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15.17</w:t>
            </w:r>
          </w:p>
        </w:tc>
        <w:tc>
          <w:tcPr>
            <w:tcW w:w="1247" w:type="dxa"/>
            <w:vAlign w:val="top"/>
          </w:tcPr>
          <w:p w14:paraId="0312ECF3">
            <w:pPr>
              <w:spacing w:before="104" w:line="188" w:lineRule="auto"/>
              <w:ind w:left="42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24.88</w:t>
            </w:r>
          </w:p>
        </w:tc>
        <w:tc>
          <w:tcPr>
            <w:tcW w:w="1048" w:type="dxa"/>
            <w:vMerge w:val="restart"/>
            <w:tcBorders>
              <w:bottom w:val="nil"/>
            </w:tcBorders>
            <w:vAlign w:val="top"/>
          </w:tcPr>
          <w:p w14:paraId="7AADA6C0">
            <w:pPr>
              <w:spacing w:line="376" w:lineRule="auto"/>
              <w:rPr>
                <w:rFonts w:ascii="Arial"/>
                <w:sz w:val="21"/>
              </w:rPr>
            </w:pPr>
          </w:p>
          <w:p w14:paraId="5DAA4CD6">
            <w:pPr>
              <w:spacing w:before="51" w:line="192"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35/2.2</w:t>
            </w:r>
          </w:p>
        </w:tc>
        <w:tc>
          <w:tcPr>
            <w:tcW w:w="1212" w:type="dxa"/>
            <w:vMerge w:val="restart"/>
            <w:tcBorders>
              <w:bottom w:val="nil"/>
            </w:tcBorders>
            <w:vAlign w:val="top"/>
          </w:tcPr>
          <w:p w14:paraId="3F98AD3E">
            <w:pPr>
              <w:spacing w:line="379" w:lineRule="auto"/>
              <w:rPr>
                <w:rFonts w:ascii="Arial"/>
                <w:sz w:val="21"/>
              </w:rPr>
            </w:pPr>
          </w:p>
          <w:p w14:paraId="44AF49F6">
            <w:pPr>
              <w:spacing w:before="52" w:line="188" w:lineRule="auto"/>
              <w:ind w:left="48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44" w:type="dxa"/>
            <w:vMerge w:val="restart"/>
            <w:tcBorders>
              <w:bottom w:val="nil"/>
            </w:tcBorders>
            <w:vAlign w:val="top"/>
          </w:tcPr>
          <w:p w14:paraId="1C5BD36D">
            <w:pPr>
              <w:spacing w:line="341" w:lineRule="auto"/>
              <w:rPr>
                <w:rFonts w:ascii="Arial"/>
                <w:sz w:val="21"/>
              </w:rPr>
            </w:pPr>
          </w:p>
          <w:p w14:paraId="24EDCAD1">
            <w:pPr>
              <w:pStyle w:val="6"/>
              <w:spacing w:before="59" w:line="220" w:lineRule="auto"/>
              <w:ind w:left="247"/>
              <w:rPr>
                <w:sz w:val="18"/>
                <w:szCs w:val="18"/>
              </w:rPr>
            </w:pPr>
            <w:r>
              <w:rPr>
                <w:spacing w:val="-4"/>
                <w:sz w:val="18"/>
                <w:szCs w:val="18"/>
              </w:rPr>
              <w:t>连续</w:t>
            </w:r>
          </w:p>
        </w:tc>
        <w:tc>
          <w:tcPr>
            <w:tcW w:w="1230" w:type="dxa"/>
            <w:vAlign w:val="top"/>
          </w:tcPr>
          <w:p w14:paraId="79BCC545">
            <w:pPr>
              <w:spacing w:before="101"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36D91F18">
            <w:pPr>
              <w:rPr>
                <w:rFonts w:ascii="Arial"/>
                <w:sz w:val="21"/>
              </w:rPr>
            </w:pPr>
          </w:p>
        </w:tc>
        <w:tc>
          <w:tcPr>
            <w:tcW w:w="1674" w:type="dxa"/>
            <w:vMerge w:val="restart"/>
            <w:tcBorders>
              <w:bottom w:val="nil"/>
            </w:tcBorders>
            <w:vAlign w:val="top"/>
          </w:tcPr>
          <w:p w14:paraId="4614B498">
            <w:pPr>
              <w:pStyle w:val="6"/>
              <w:spacing w:before="84" w:line="330" w:lineRule="auto"/>
              <w:ind w:left="701" w:right="562" w:hanging="129"/>
              <w:rPr>
                <w:rFonts w:ascii="Times New Roman" w:hAnsi="Times New Roman" w:eastAsia="Times New Roman" w:cs="Times New Roman"/>
                <w:sz w:val="11"/>
                <w:szCs w:val="11"/>
              </w:rPr>
            </w:pPr>
            <w:r>
              <w:rPr>
                <w:spacing w:val="-3"/>
                <w:sz w:val="18"/>
                <w:szCs w:val="18"/>
              </w:rPr>
              <w:t>颗粒物</w:t>
            </w:r>
            <w:r>
              <w:rPr>
                <w:spacing w:val="1"/>
                <w:sz w:val="18"/>
                <w:szCs w:val="18"/>
              </w:rPr>
              <w:t xml:space="preserve"> </w:t>
            </w: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p w14:paraId="3002D22B">
            <w:pPr>
              <w:spacing w:before="61" w:line="194" w:lineRule="auto"/>
              <w:ind w:left="674"/>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1004" w:type="dxa"/>
            <w:vMerge w:val="restart"/>
            <w:tcBorders>
              <w:bottom w:val="nil"/>
            </w:tcBorders>
            <w:vAlign w:val="top"/>
          </w:tcPr>
          <w:p w14:paraId="5B41FB56">
            <w:pPr>
              <w:spacing w:line="334" w:lineRule="auto"/>
              <w:rPr>
                <w:rFonts w:ascii="Arial"/>
                <w:sz w:val="21"/>
              </w:rPr>
            </w:pPr>
          </w:p>
          <w:p w14:paraId="31228025">
            <w:pPr>
              <w:spacing w:line="334" w:lineRule="auto"/>
              <w:rPr>
                <w:rFonts w:ascii="Arial"/>
                <w:sz w:val="21"/>
              </w:rPr>
            </w:pPr>
          </w:p>
          <w:p w14:paraId="6DA0AC3A">
            <w:pPr>
              <w:pStyle w:val="6"/>
              <w:spacing w:before="59" w:line="219" w:lineRule="auto"/>
              <w:ind w:left="58"/>
              <w:rPr>
                <w:sz w:val="18"/>
                <w:szCs w:val="18"/>
              </w:rPr>
            </w:pPr>
            <w:r>
              <w:rPr>
                <w:spacing w:val="-6"/>
                <w:sz w:val="18"/>
                <w:szCs w:val="18"/>
              </w:rPr>
              <w:t>每季度</w:t>
            </w:r>
            <w:r>
              <w:rPr>
                <w:spacing w:val="-25"/>
                <w:sz w:val="18"/>
                <w:szCs w:val="18"/>
              </w:rPr>
              <w:t xml:space="preserve"> </w:t>
            </w:r>
            <w:r>
              <w:rPr>
                <w:rFonts w:ascii="Times New Roman" w:hAnsi="Times New Roman" w:eastAsia="Times New Roman" w:cs="Times New Roman"/>
                <w:spacing w:val="-6"/>
                <w:sz w:val="18"/>
                <w:szCs w:val="18"/>
              </w:rPr>
              <w:t>1</w:t>
            </w:r>
            <w:r>
              <w:rPr>
                <w:rFonts w:ascii="Times New Roman" w:hAnsi="Times New Roman" w:eastAsia="Times New Roman" w:cs="Times New Roman"/>
                <w:spacing w:val="13"/>
                <w:w w:val="101"/>
                <w:sz w:val="18"/>
                <w:szCs w:val="18"/>
              </w:rPr>
              <w:t xml:space="preserve"> </w:t>
            </w:r>
            <w:r>
              <w:rPr>
                <w:spacing w:val="-6"/>
                <w:sz w:val="18"/>
                <w:szCs w:val="18"/>
              </w:rPr>
              <w:t>次</w:t>
            </w:r>
          </w:p>
        </w:tc>
        <w:tc>
          <w:tcPr>
            <w:tcW w:w="2505" w:type="dxa"/>
            <w:vMerge w:val="continue"/>
            <w:tcBorders>
              <w:top w:val="nil"/>
              <w:bottom w:val="nil"/>
              <w:right w:val="nil"/>
            </w:tcBorders>
            <w:vAlign w:val="top"/>
          </w:tcPr>
          <w:p w14:paraId="0345390E">
            <w:pPr>
              <w:rPr>
                <w:rFonts w:ascii="Arial"/>
                <w:sz w:val="21"/>
              </w:rPr>
            </w:pPr>
          </w:p>
        </w:tc>
      </w:tr>
      <w:tr w14:paraId="46989B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6122ED19">
            <w:pPr>
              <w:rPr>
                <w:rFonts w:ascii="Arial"/>
                <w:sz w:val="21"/>
              </w:rPr>
            </w:pPr>
          </w:p>
        </w:tc>
        <w:tc>
          <w:tcPr>
            <w:tcW w:w="1060" w:type="dxa"/>
            <w:vMerge w:val="continue"/>
            <w:tcBorders>
              <w:top w:val="nil"/>
              <w:bottom w:val="nil"/>
            </w:tcBorders>
            <w:vAlign w:val="top"/>
          </w:tcPr>
          <w:p w14:paraId="3D50F513">
            <w:pPr>
              <w:rPr>
                <w:rFonts w:ascii="Arial"/>
                <w:sz w:val="21"/>
              </w:rPr>
            </w:pPr>
          </w:p>
        </w:tc>
        <w:tc>
          <w:tcPr>
            <w:tcW w:w="2047" w:type="dxa"/>
            <w:vMerge w:val="continue"/>
            <w:tcBorders>
              <w:top w:val="nil"/>
              <w:bottom w:val="nil"/>
            </w:tcBorders>
            <w:vAlign w:val="top"/>
          </w:tcPr>
          <w:p w14:paraId="76BB61F9">
            <w:pPr>
              <w:rPr>
                <w:rFonts w:ascii="Arial"/>
                <w:sz w:val="21"/>
              </w:rPr>
            </w:pPr>
          </w:p>
        </w:tc>
        <w:tc>
          <w:tcPr>
            <w:tcW w:w="1781" w:type="dxa"/>
            <w:vAlign w:val="top"/>
          </w:tcPr>
          <w:p w14:paraId="4907D93E">
            <w:pPr>
              <w:spacing w:before="104" w:line="194" w:lineRule="auto"/>
              <w:ind w:left="754"/>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tc>
        <w:tc>
          <w:tcPr>
            <w:tcW w:w="2416" w:type="dxa"/>
            <w:vMerge w:val="continue"/>
            <w:tcBorders>
              <w:top w:val="nil"/>
              <w:bottom w:val="nil"/>
            </w:tcBorders>
            <w:vAlign w:val="top"/>
          </w:tcPr>
          <w:p w14:paraId="625AC927">
            <w:pPr>
              <w:rPr>
                <w:rFonts w:ascii="Arial"/>
                <w:sz w:val="21"/>
              </w:rPr>
            </w:pPr>
          </w:p>
        </w:tc>
        <w:tc>
          <w:tcPr>
            <w:tcW w:w="1327" w:type="dxa"/>
            <w:vAlign w:val="top"/>
          </w:tcPr>
          <w:p w14:paraId="1F408E3A">
            <w:pPr>
              <w:spacing w:before="104" w:line="188" w:lineRule="auto"/>
              <w:ind w:left="50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2.88</w:t>
            </w:r>
          </w:p>
        </w:tc>
        <w:tc>
          <w:tcPr>
            <w:tcW w:w="1247" w:type="dxa"/>
            <w:vAlign w:val="top"/>
          </w:tcPr>
          <w:p w14:paraId="6543A94C">
            <w:pPr>
              <w:spacing w:before="116" w:line="188" w:lineRule="auto"/>
              <w:ind w:left="46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4.71</w:t>
            </w:r>
          </w:p>
        </w:tc>
        <w:tc>
          <w:tcPr>
            <w:tcW w:w="1048" w:type="dxa"/>
            <w:vMerge w:val="continue"/>
            <w:tcBorders>
              <w:top w:val="nil"/>
              <w:bottom w:val="nil"/>
            </w:tcBorders>
            <w:vAlign w:val="top"/>
          </w:tcPr>
          <w:p w14:paraId="2F63F549">
            <w:pPr>
              <w:rPr>
                <w:rFonts w:ascii="Arial"/>
                <w:sz w:val="21"/>
              </w:rPr>
            </w:pPr>
          </w:p>
        </w:tc>
        <w:tc>
          <w:tcPr>
            <w:tcW w:w="1212" w:type="dxa"/>
            <w:vMerge w:val="continue"/>
            <w:tcBorders>
              <w:top w:val="nil"/>
              <w:bottom w:val="nil"/>
            </w:tcBorders>
            <w:vAlign w:val="top"/>
          </w:tcPr>
          <w:p w14:paraId="3ED2E0EC">
            <w:pPr>
              <w:rPr>
                <w:rFonts w:ascii="Arial"/>
                <w:sz w:val="21"/>
              </w:rPr>
            </w:pPr>
          </w:p>
        </w:tc>
        <w:tc>
          <w:tcPr>
            <w:tcW w:w="844" w:type="dxa"/>
            <w:vMerge w:val="continue"/>
            <w:tcBorders>
              <w:top w:val="nil"/>
              <w:bottom w:val="nil"/>
            </w:tcBorders>
            <w:vAlign w:val="top"/>
          </w:tcPr>
          <w:p w14:paraId="06191F20">
            <w:pPr>
              <w:rPr>
                <w:rFonts w:ascii="Arial"/>
                <w:sz w:val="21"/>
              </w:rPr>
            </w:pPr>
          </w:p>
        </w:tc>
        <w:tc>
          <w:tcPr>
            <w:tcW w:w="1230" w:type="dxa"/>
            <w:vAlign w:val="top"/>
          </w:tcPr>
          <w:p w14:paraId="79B22312">
            <w:pPr>
              <w:spacing w:before="116" w:line="188" w:lineRule="auto"/>
              <w:ind w:left="45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4.71</w:t>
            </w:r>
          </w:p>
        </w:tc>
        <w:tc>
          <w:tcPr>
            <w:tcW w:w="1060" w:type="dxa"/>
            <w:vMerge w:val="continue"/>
            <w:tcBorders>
              <w:top w:val="nil"/>
              <w:bottom w:val="nil"/>
            </w:tcBorders>
            <w:vAlign w:val="top"/>
          </w:tcPr>
          <w:p w14:paraId="30A4B8CC">
            <w:pPr>
              <w:rPr>
                <w:rFonts w:ascii="Arial"/>
                <w:sz w:val="21"/>
              </w:rPr>
            </w:pPr>
          </w:p>
        </w:tc>
        <w:tc>
          <w:tcPr>
            <w:tcW w:w="1674" w:type="dxa"/>
            <w:vMerge w:val="continue"/>
            <w:tcBorders>
              <w:top w:val="nil"/>
              <w:bottom w:val="nil"/>
            </w:tcBorders>
            <w:vAlign w:val="top"/>
          </w:tcPr>
          <w:p w14:paraId="3FA5374F">
            <w:pPr>
              <w:rPr>
                <w:rFonts w:ascii="Arial"/>
                <w:sz w:val="21"/>
              </w:rPr>
            </w:pPr>
          </w:p>
        </w:tc>
        <w:tc>
          <w:tcPr>
            <w:tcW w:w="1004" w:type="dxa"/>
            <w:vMerge w:val="continue"/>
            <w:tcBorders>
              <w:top w:val="nil"/>
              <w:bottom w:val="nil"/>
            </w:tcBorders>
            <w:vAlign w:val="top"/>
          </w:tcPr>
          <w:p w14:paraId="687DBCF0">
            <w:pPr>
              <w:rPr>
                <w:rFonts w:ascii="Arial"/>
                <w:sz w:val="21"/>
              </w:rPr>
            </w:pPr>
          </w:p>
        </w:tc>
        <w:tc>
          <w:tcPr>
            <w:tcW w:w="2505" w:type="dxa"/>
            <w:vMerge w:val="continue"/>
            <w:tcBorders>
              <w:top w:val="nil"/>
              <w:bottom w:val="nil"/>
              <w:right w:val="nil"/>
            </w:tcBorders>
            <w:vAlign w:val="top"/>
          </w:tcPr>
          <w:p w14:paraId="4C3716FF">
            <w:pPr>
              <w:rPr>
                <w:rFonts w:ascii="Arial"/>
                <w:sz w:val="21"/>
              </w:rPr>
            </w:pPr>
          </w:p>
        </w:tc>
      </w:tr>
      <w:tr w14:paraId="0E8988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2DE32D61">
            <w:pPr>
              <w:rPr>
                <w:rFonts w:ascii="Arial"/>
                <w:sz w:val="21"/>
              </w:rPr>
            </w:pPr>
          </w:p>
        </w:tc>
        <w:tc>
          <w:tcPr>
            <w:tcW w:w="1060" w:type="dxa"/>
            <w:vMerge w:val="continue"/>
            <w:tcBorders>
              <w:top w:val="nil"/>
            </w:tcBorders>
            <w:vAlign w:val="top"/>
          </w:tcPr>
          <w:p w14:paraId="6B1A3058">
            <w:pPr>
              <w:rPr>
                <w:rFonts w:ascii="Arial"/>
                <w:sz w:val="21"/>
              </w:rPr>
            </w:pPr>
          </w:p>
        </w:tc>
        <w:tc>
          <w:tcPr>
            <w:tcW w:w="2047" w:type="dxa"/>
            <w:vMerge w:val="continue"/>
            <w:tcBorders>
              <w:top w:val="nil"/>
            </w:tcBorders>
            <w:vAlign w:val="top"/>
          </w:tcPr>
          <w:p w14:paraId="22ED5DFC">
            <w:pPr>
              <w:rPr>
                <w:rFonts w:ascii="Arial"/>
                <w:sz w:val="21"/>
              </w:rPr>
            </w:pPr>
          </w:p>
        </w:tc>
        <w:tc>
          <w:tcPr>
            <w:tcW w:w="1781" w:type="dxa"/>
            <w:vAlign w:val="top"/>
          </w:tcPr>
          <w:p w14:paraId="0CEACBC5">
            <w:pPr>
              <w:spacing w:before="104" w:line="194" w:lineRule="auto"/>
              <w:ind w:left="712"/>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2416" w:type="dxa"/>
            <w:vMerge w:val="continue"/>
            <w:tcBorders>
              <w:top w:val="nil"/>
            </w:tcBorders>
            <w:vAlign w:val="top"/>
          </w:tcPr>
          <w:p w14:paraId="69A71F96">
            <w:pPr>
              <w:rPr>
                <w:rFonts w:ascii="Arial"/>
                <w:sz w:val="21"/>
              </w:rPr>
            </w:pPr>
          </w:p>
        </w:tc>
        <w:tc>
          <w:tcPr>
            <w:tcW w:w="1327" w:type="dxa"/>
            <w:vAlign w:val="top"/>
          </w:tcPr>
          <w:p w14:paraId="0E8EAE04">
            <w:pPr>
              <w:spacing w:before="105" w:line="188" w:lineRule="auto"/>
              <w:ind w:left="51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3.41</w:t>
            </w:r>
          </w:p>
        </w:tc>
        <w:tc>
          <w:tcPr>
            <w:tcW w:w="1247" w:type="dxa"/>
            <w:vAlign w:val="top"/>
          </w:tcPr>
          <w:p w14:paraId="1ED06357">
            <w:pPr>
              <w:spacing w:before="117" w:line="188" w:lineRule="auto"/>
              <w:ind w:left="47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5.60</w:t>
            </w:r>
          </w:p>
        </w:tc>
        <w:tc>
          <w:tcPr>
            <w:tcW w:w="1048" w:type="dxa"/>
            <w:vMerge w:val="continue"/>
            <w:tcBorders>
              <w:top w:val="nil"/>
            </w:tcBorders>
            <w:vAlign w:val="top"/>
          </w:tcPr>
          <w:p w14:paraId="7F8868AB">
            <w:pPr>
              <w:rPr>
                <w:rFonts w:ascii="Arial"/>
                <w:sz w:val="21"/>
              </w:rPr>
            </w:pPr>
          </w:p>
        </w:tc>
        <w:tc>
          <w:tcPr>
            <w:tcW w:w="1212" w:type="dxa"/>
            <w:vMerge w:val="continue"/>
            <w:tcBorders>
              <w:top w:val="nil"/>
            </w:tcBorders>
            <w:vAlign w:val="top"/>
          </w:tcPr>
          <w:p w14:paraId="22BEBE44">
            <w:pPr>
              <w:rPr>
                <w:rFonts w:ascii="Arial"/>
                <w:sz w:val="21"/>
              </w:rPr>
            </w:pPr>
          </w:p>
        </w:tc>
        <w:tc>
          <w:tcPr>
            <w:tcW w:w="844" w:type="dxa"/>
            <w:vMerge w:val="continue"/>
            <w:tcBorders>
              <w:top w:val="nil"/>
            </w:tcBorders>
            <w:vAlign w:val="top"/>
          </w:tcPr>
          <w:p w14:paraId="00F30968">
            <w:pPr>
              <w:rPr>
                <w:rFonts w:ascii="Arial"/>
                <w:sz w:val="21"/>
              </w:rPr>
            </w:pPr>
          </w:p>
        </w:tc>
        <w:tc>
          <w:tcPr>
            <w:tcW w:w="1230" w:type="dxa"/>
            <w:vAlign w:val="top"/>
          </w:tcPr>
          <w:p w14:paraId="615DF80C">
            <w:pPr>
              <w:spacing w:before="117" w:line="188" w:lineRule="auto"/>
              <w:ind w:left="4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5.60</w:t>
            </w:r>
          </w:p>
        </w:tc>
        <w:tc>
          <w:tcPr>
            <w:tcW w:w="1060" w:type="dxa"/>
            <w:vMerge w:val="continue"/>
            <w:tcBorders>
              <w:top w:val="nil"/>
              <w:bottom w:val="nil"/>
            </w:tcBorders>
            <w:vAlign w:val="top"/>
          </w:tcPr>
          <w:p w14:paraId="1ACA42A5">
            <w:pPr>
              <w:rPr>
                <w:rFonts w:ascii="Arial"/>
                <w:sz w:val="21"/>
              </w:rPr>
            </w:pPr>
          </w:p>
        </w:tc>
        <w:tc>
          <w:tcPr>
            <w:tcW w:w="1674" w:type="dxa"/>
            <w:vMerge w:val="continue"/>
            <w:tcBorders>
              <w:top w:val="nil"/>
            </w:tcBorders>
            <w:vAlign w:val="top"/>
          </w:tcPr>
          <w:p w14:paraId="1EBD72AB">
            <w:pPr>
              <w:rPr>
                <w:rFonts w:ascii="Arial"/>
                <w:sz w:val="21"/>
              </w:rPr>
            </w:pPr>
          </w:p>
        </w:tc>
        <w:tc>
          <w:tcPr>
            <w:tcW w:w="1004" w:type="dxa"/>
            <w:vMerge w:val="continue"/>
            <w:tcBorders>
              <w:top w:val="nil"/>
              <w:bottom w:val="nil"/>
            </w:tcBorders>
            <w:vAlign w:val="top"/>
          </w:tcPr>
          <w:p w14:paraId="709448A8">
            <w:pPr>
              <w:rPr>
                <w:rFonts w:ascii="Arial"/>
                <w:sz w:val="21"/>
              </w:rPr>
            </w:pPr>
          </w:p>
        </w:tc>
        <w:tc>
          <w:tcPr>
            <w:tcW w:w="2505" w:type="dxa"/>
            <w:vMerge w:val="continue"/>
            <w:tcBorders>
              <w:top w:val="nil"/>
              <w:right w:val="nil"/>
            </w:tcBorders>
            <w:vAlign w:val="top"/>
          </w:tcPr>
          <w:p w14:paraId="31288132">
            <w:pPr>
              <w:rPr>
                <w:rFonts w:ascii="Arial"/>
                <w:sz w:val="21"/>
              </w:rPr>
            </w:pPr>
          </w:p>
        </w:tc>
      </w:tr>
      <w:tr w14:paraId="2DD8F0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1E1560C2">
            <w:pPr>
              <w:rPr>
                <w:rFonts w:ascii="Arial"/>
                <w:sz w:val="21"/>
              </w:rPr>
            </w:pPr>
          </w:p>
        </w:tc>
        <w:tc>
          <w:tcPr>
            <w:tcW w:w="1060" w:type="dxa"/>
            <w:vMerge w:val="restart"/>
            <w:tcBorders>
              <w:bottom w:val="nil"/>
            </w:tcBorders>
            <w:vAlign w:val="top"/>
          </w:tcPr>
          <w:p w14:paraId="46BFB9FB">
            <w:pPr>
              <w:spacing w:before="268" w:line="204" w:lineRule="auto"/>
              <w:ind w:left="390"/>
              <w:rPr>
                <w:rFonts w:ascii="Times New Roman" w:hAnsi="Times New Roman" w:eastAsia="Times New Roman" w:cs="Times New Roman"/>
                <w:sz w:val="11"/>
                <w:szCs w:val="11"/>
              </w:rPr>
            </w:pPr>
            <w:r>
              <w:rPr>
                <w:rFonts w:ascii="Times New Roman" w:hAnsi="Times New Roman" w:eastAsia="Times New Roman" w:cs="Times New Roman"/>
                <w:sz w:val="18"/>
                <w:szCs w:val="18"/>
              </w:rPr>
              <w:t>G</w:t>
            </w:r>
            <w:r>
              <w:rPr>
                <w:rFonts w:ascii="Times New Roman" w:hAnsi="Times New Roman" w:eastAsia="Times New Roman" w:cs="Times New Roman"/>
                <w:sz w:val="11"/>
                <w:szCs w:val="11"/>
              </w:rPr>
              <w:t>1-5</w:t>
            </w:r>
          </w:p>
        </w:tc>
        <w:tc>
          <w:tcPr>
            <w:tcW w:w="2047" w:type="dxa"/>
            <w:vMerge w:val="restart"/>
            <w:tcBorders>
              <w:bottom w:val="nil"/>
            </w:tcBorders>
            <w:vAlign w:val="top"/>
          </w:tcPr>
          <w:p w14:paraId="13B89A25">
            <w:pPr>
              <w:pStyle w:val="6"/>
              <w:spacing w:before="240" w:line="219" w:lineRule="auto"/>
              <w:ind w:left="396"/>
              <w:rPr>
                <w:sz w:val="18"/>
                <w:szCs w:val="18"/>
              </w:rPr>
            </w:pPr>
            <w:r>
              <w:rPr>
                <w:spacing w:val="-1"/>
                <w:sz w:val="18"/>
                <w:szCs w:val="18"/>
              </w:rPr>
              <w:t>烧结机配料粉尘</w:t>
            </w:r>
          </w:p>
        </w:tc>
        <w:tc>
          <w:tcPr>
            <w:tcW w:w="1781" w:type="dxa"/>
            <w:vAlign w:val="top"/>
          </w:tcPr>
          <w:p w14:paraId="234CC793">
            <w:pPr>
              <w:pStyle w:val="6"/>
              <w:spacing w:before="77" w:line="220" w:lineRule="auto"/>
              <w:ind w:left="624"/>
              <w:rPr>
                <w:sz w:val="18"/>
                <w:szCs w:val="18"/>
              </w:rPr>
            </w:pPr>
            <w:r>
              <w:rPr>
                <w:spacing w:val="-3"/>
                <w:sz w:val="18"/>
                <w:szCs w:val="18"/>
              </w:rPr>
              <w:t>颗粒物</w:t>
            </w:r>
          </w:p>
        </w:tc>
        <w:tc>
          <w:tcPr>
            <w:tcW w:w="2416" w:type="dxa"/>
            <w:vMerge w:val="restart"/>
            <w:tcBorders>
              <w:bottom w:val="nil"/>
            </w:tcBorders>
            <w:vAlign w:val="top"/>
          </w:tcPr>
          <w:p w14:paraId="3D71B94D">
            <w:pPr>
              <w:pStyle w:val="6"/>
              <w:spacing w:before="240" w:line="219" w:lineRule="auto"/>
              <w:ind w:left="762"/>
              <w:rPr>
                <w:sz w:val="18"/>
                <w:szCs w:val="18"/>
              </w:rPr>
            </w:pPr>
            <w:r>
              <w:rPr>
                <w:spacing w:val="-2"/>
                <w:sz w:val="18"/>
                <w:szCs w:val="18"/>
              </w:rPr>
              <w:t>布袋除尘器</w:t>
            </w:r>
          </w:p>
        </w:tc>
        <w:tc>
          <w:tcPr>
            <w:tcW w:w="1327" w:type="dxa"/>
            <w:vAlign w:val="top"/>
          </w:tcPr>
          <w:p w14:paraId="0E332BA6">
            <w:pPr>
              <w:spacing w:before="106" w:line="188"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15.70</w:t>
            </w:r>
          </w:p>
        </w:tc>
        <w:tc>
          <w:tcPr>
            <w:tcW w:w="1247" w:type="dxa"/>
            <w:vAlign w:val="top"/>
          </w:tcPr>
          <w:p w14:paraId="7EF371E8">
            <w:pPr>
              <w:spacing w:before="106" w:line="188" w:lineRule="auto"/>
              <w:ind w:left="470"/>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3.</w:t>
            </w:r>
            <w:r>
              <w:rPr>
                <w:rFonts w:ascii="Times New Roman" w:hAnsi="Times New Roman" w:eastAsia="Times New Roman" w:cs="Times New Roman"/>
                <w:spacing w:val="-24"/>
                <w:sz w:val="18"/>
                <w:szCs w:val="18"/>
              </w:rPr>
              <w:t xml:space="preserve"> </w:t>
            </w:r>
            <w:r>
              <w:rPr>
                <w:rFonts w:ascii="Times New Roman" w:hAnsi="Times New Roman" w:eastAsia="Times New Roman" w:cs="Times New Roman"/>
                <w:spacing w:val="-7"/>
                <w:sz w:val="18"/>
                <w:szCs w:val="18"/>
              </w:rPr>
              <w:t>14</w:t>
            </w:r>
          </w:p>
        </w:tc>
        <w:tc>
          <w:tcPr>
            <w:tcW w:w="1048" w:type="dxa"/>
            <w:vMerge w:val="restart"/>
            <w:tcBorders>
              <w:bottom w:val="nil"/>
            </w:tcBorders>
            <w:vAlign w:val="top"/>
          </w:tcPr>
          <w:p w14:paraId="3059F09D">
            <w:pPr>
              <w:spacing w:before="266" w:line="192"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33/0.8</w:t>
            </w:r>
          </w:p>
        </w:tc>
        <w:tc>
          <w:tcPr>
            <w:tcW w:w="1212" w:type="dxa"/>
            <w:vMerge w:val="restart"/>
            <w:tcBorders>
              <w:bottom w:val="nil"/>
            </w:tcBorders>
            <w:vAlign w:val="top"/>
          </w:tcPr>
          <w:p w14:paraId="6EF16C5B">
            <w:pPr>
              <w:pStyle w:val="6"/>
              <w:spacing w:before="240" w:line="220" w:lineRule="auto"/>
              <w:ind w:left="435"/>
              <w:rPr>
                <w:sz w:val="18"/>
                <w:szCs w:val="18"/>
              </w:rPr>
            </w:pPr>
            <w:r>
              <w:rPr>
                <w:spacing w:val="-6"/>
                <w:sz w:val="18"/>
                <w:szCs w:val="18"/>
              </w:rPr>
              <w:t>常温</w:t>
            </w:r>
          </w:p>
        </w:tc>
        <w:tc>
          <w:tcPr>
            <w:tcW w:w="844" w:type="dxa"/>
            <w:vMerge w:val="restart"/>
            <w:tcBorders>
              <w:bottom w:val="nil"/>
            </w:tcBorders>
            <w:vAlign w:val="top"/>
          </w:tcPr>
          <w:p w14:paraId="7F8D5B2F">
            <w:pPr>
              <w:pStyle w:val="6"/>
              <w:spacing w:before="240" w:line="220" w:lineRule="auto"/>
              <w:ind w:left="247"/>
              <w:rPr>
                <w:sz w:val="18"/>
                <w:szCs w:val="18"/>
              </w:rPr>
            </w:pPr>
            <w:r>
              <w:rPr>
                <w:spacing w:val="-4"/>
                <w:sz w:val="18"/>
                <w:szCs w:val="18"/>
              </w:rPr>
              <w:t>连续</w:t>
            </w:r>
          </w:p>
        </w:tc>
        <w:tc>
          <w:tcPr>
            <w:tcW w:w="1230" w:type="dxa"/>
            <w:vAlign w:val="top"/>
          </w:tcPr>
          <w:p w14:paraId="20DBBFDC">
            <w:pPr>
              <w:spacing w:before="102"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1906AB47">
            <w:pPr>
              <w:rPr>
                <w:rFonts w:ascii="Arial"/>
                <w:sz w:val="21"/>
              </w:rPr>
            </w:pPr>
          </w:p>
        </w:tc>
        <w:tc>
          <w:tcPr>
            <w:tcW w:w="1674" w:type="dxa"/>
            <w:vMerge w:val="restart"/>
            <w:tcBorders>
              <w:bottom w:val="nil"/>
            </w:tcBorders>
            <w:vAlign w:val="top"/>
          </w:tcPr>
          <w:p w14:paraId="6797F550">
            <w:pPr>
              <w:pStyle w:val="6"/>
              <w:spacing w:before="240" w:line="220" w:lineRule="auto"/>
              <w:ind w:left="572"/>
              <w:rPr>
                <w:sz w:val="18"/>
                <w:szCs w:val="18"/>
              </w:rPr>
            </w:pPr>
            <w:r>
              <w:rPr>
                <w:spacing w:val="-3"/>
                <w:sz w:val="18"/>
                <w:szCs w:val="18"/>
              </w:rPr>
              <w:t>颗粒物</w:t>
            </w:r>
          </w:p>
        </w:tc>
        <w:tc>
          <w:tcPr>
            <w:tcW w:w="1004" w:type="dxa"/>
            <w:vMerge w:val="continue"/>
            <w:tcBorders>
              <w:top w:val="nil"/>
              <w:bottom w:val="nil"/>
            </w:tcBorders>
            <w:vAlign w:val="top"/>
          </w:tcPr>
          <w:p w14:paraId="0A6A89F7">
            <w:pPr>
              <w:rPr>
                <w:rFonts w:ascii="Arial"/>
                <w:sz w:val="21"/>
              </w:rPr>
            </w:pPr>
          </w:p>
        </w:tc>
        <w:tc>
          <w:tcPr>
            <w:tcW w:w="2505" w:type="dxa"/>
            <w:vMerge w:val="restart"/>
            <w:tcBorders>
              <w:bottom w:val="nil"/>
              <w:right w:val="nil"/>
            </w:tcBorders>
            <w:vAlign w:val="top"/>
          </w:tcPr>
          <w:p w14:paraId="2C0EE474">
            <w:pPr>
              <w:pStyle w:val="6"/>
              <w:spacing w:before="240" w:line="219" w:lineRule="auto"/>
              <w:ind w:left="136"/>
              <w:rPr>
                <w:sz w:val="18"/>
                <w:szCs w:val="18"/>
              </w:rPr>
            </w:pPr>
            <w:r>
              <w:rPr>
                <w:rFonts w:ascii="Times New Roman" w:hAnsi="Times New Roman" w:eastAsia="Times New Roman" w:cs="Times New Roman"/>
                <w:spacing w:val="-1"/>
                <w:sz w:val="18"/>
                <w:szCs w:val="18"/>
              </w:rPr>
              <w:t xml:space="preserve">GB28666-2012 </w:t>
            </w:r>
            <w:r>
              <w:rPr>
                <w:spacing w:val="-1"/>
                <w:sz w:val="18"/>
                <w:szCs w:val="18"/>
              </w:rPr>
              <w:t>特别排放限值</w:t>
            </w:r>
          </w:p>
        </w:tc>
      </w:tr>
      <w:tr w14:paraId="3340B1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6B2C1A1F">
            <w:pPr>
              <w:rPr>
                <w:rFonts w:ascii="Arial"/>
                <w:sz w:val="21"/>
              </w:rPr>
            </w:pPr>
          </w:p>
        </w:tc>
        <w:tc>
          <w:tcPr>
            <w:tcW w:w="1060" w:type="dxa"/>
            <w:vMerge w:val="continue"/>
            <w:tcBorders>
              <w:top w:val="nil"/>
            </w:tcBorders>
            <w:vAlign w:val="top"/>
          </w:tcPr>
          <w:p w14:paraId="7310BF49">
            <w:pPr>
              <w:rPr>
                <w:rFonts w:ascii="Arial"/>
                <w:sz w:val="21"/>
              </w:rPr>
            </w:pPr>
          </w:p>
        </w:tc>
        <w:tc>
          <w:tcPr>
            <w:tcW w:w="2047" w:type="dxa"/>
            <w:vMerge w:val="continue"/>
            <w:tcBorders>
              <w:top w:val="nil"/>
            </w:tcBorders>
            <w:vAlign w:val="top"/>
          </w:tcPr>
          <w:p w14:paraId="52DEC481">
            <w:pPr>
              <w:rPr>
                <w:rFonts w:ascii="Arial"/>
                <w:sz w:val="21"/>
              </w:rPr>
            </w:pPr>
          </w:p>
        </w:tc>
        <w:tc>
          <w:tcPr>
            <w:tcW w:w="1781" w:type="dxa"/>
            <w:vAlign w:val="top"/>
          </w:tcPr>
          <w:p w14:paraId="696837E1">
            <w:pPr>
              <w:pStyle w:val="6"/>
              <w:spacing w:before="77" w:line="221" w:lineRule="auto"/>
              <w:ind w:left="354"/>
              <w:rPr>
                <w:sz w:val="18"/>
                <w:szCs w:val="18"/>
              </w:rPr>
            </w:pPr>
            <w:r>
              <w:rPr>
                <w:spacing w:val="-2"/>
                <w:sz w:val="18"/>
                <w:szCs w:val="18"/>
              </w:rPr>
              <w:t>锰及其化合物</w:t>
            </w:r>
          </w:p>
        </w:tc>
        <w:tc>
          <w:tcPr>
            <w:tcW w:w="2416" w:type="dxa"/>
            <w:vMerge w:val="continue"/>
            <w:tcBorders>
              <w:top w:val="nil"/>
            </w:tcBorders>
            <w:vAlign w:val="top"/>
          </w:tcPr>
          <w:p w14:paraId="74B2248D">
            <w:pPr>
              <w:rPr>
                <w:rFonts w:ascii="Arial"/>
                <w:sz w:val="21"/>
              </w:rPr>
            </w:pPr>
          </w:p>
        </w:tc>
        <w:tc>
          <w:tcPr>
            <w:tcW w:w="1327" w:type="dxa"/>
            <w:vAlign w:val="top"/>
          </w:tcPr>
          <w:p w14:paraId="455F9AC4">
            <w:pPr>
              <w:spacing w:before="107" w:line="188" w:lineRule="auto"/>
              <w:ind w:left="50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2.85</w:t>
            </w:r>
          </w:p>
        </w:tc>
        <w:tc>
          <w:tcPr>
            <w:tcW w:w="1247" w:type="dxa"/>
            <w:vAlign w:val="top"/>
          </w:tcPr>
          <w:p w14:paraId="1D20DCF4">
            <w:pPr>
              <w:spacing w:before="107" w:line="188" w:lineRule="auto"/>
              <w:ind w:left="4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0.57</w:t>
            </w:r>
          </w:p>
        </w:tc>
        <w:tc>
          <w:tcPr>
            <w:tcW w:w="1048" w:type="dxa"/>
            <w:vMerge w:val="continue"/>
            <w:tcBorders>
              <w:top w:val="nil"/>
            </w:tcBorders>
            <w:vAlign w:val="top"/>
          </w:tcPr>
          <w:p w14:paraId="35075832">
            <w:pPr>
              <w:rPr>
                <w:rFonts w:ascii="Arial"/>
                <w:sz w:val="21"/>
              </w:rPr>
            </w:pPr>
          </w:p>
        </w:tc>
        <w:tc>
          <w:tcPr>
            <w:tcW w:w="1212" w:type="dxa"/>
            <w:vMerge w:val="continue"/>
            <w:tcBorders>
              <w:top w:val="nil"/>
            </w:tcBorders>
            <w:vAlign w:val="top"/>
          </w:tcPr>
          <w:p w14:paraId="7105D090">
            <w:pPr>
              <w:rPr>
                <w:rFonts w:ascii="Arial"/>
                <w:sz w:val="21"/>
              </w:rPr>
            </w:pPr>
          </w:p>
        </w:tc>
        <w:tc>
          <w:tcPr>
            <w:tcW w:w="844" w:type="dxa"/>
            <w:vMerge w:val="continue"/>
            <w:tcBorders>
              <w:top w:val="nil"/>
            </w:tcBorders>
            <w:vAlign w:val="top"/>
          </w:tcPr>
          <w:p w14:paraId="7CE288C8">
            <w:pPr>
              <w:rPr>
                <w:rFonts w:ascii="Arial"/>
                <w:sz w:val="21"/>
              </w:rPr>
            </w:pPr>
          </w:p>
        </w:tc>
        <w:tc>
          <w:tcPr>
            <w:tcW w:w="1230" w:type="dxa"/>
            <w:vAlign w:val="top"/>
          </w:tcPr>
          <w:p w14:paraId="00B608FF">
            <w:pPr>
              <w:spacing w:before="103"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55E0B3C3">
            <w:pPr>
              <w:rPr>
                <w:rFonts w:ascii="Arial"/>
                <w:sz w:val="21"/>
              </w:rPr>
            </w:pPr>
          </w:p>
        </w:tc>
        <w:tc>
          <w:tcPr>
            <w:tcW w:w="1674" w:type="dxa"/>
            <w:vMerge w:val="continue"/>
            <w:tcBorders>
              <w:top w:val="nil"/>
            </w:tcBorders>
            <w:vAlign w:val="top"/>
          </w:tcPr>
          <w:p w14:paraId="24C1B258">
            <w:pPr>
              <w:rPr>
                <w:rFonts w:ascii="Arial"/>
                <w:sz w:val="21"/>
              </w:rPr>
            </w:pPr>
          </w:p>
        </w:tc>
        <w:tc>
          <w:tcPr>
            <w:tcW w:w="1004" w:type="dxa"/>
            <w:vMerge w:val="continue"/>
            <w:tcBorders>
              <w:top w:val="nil"/>
            </w:tcBorders>
            <w:vAlign w:val="top"/>
          </w:tcPr>
          <w:p w14:paraId="4202A3F9">
            <w:pPr>
              <w:rPr>
                <w:rFonts w:ascii="Arial"/>
                <w:sz w:val="21"/>
              </w:rPr>
            </w:pPr>
          </w:p>
        </w:tc>
        <w:tc>
          <w:tcPr>
            <w:tcW w:w="2505" w:type="dxa"/>
            <w:vMerge w:val="continue"/>
            <w:tcBorders>
              <w:top w:val="nil"/>
              <w:right w:val="nil"/>
            </w:tcBorders>
            <w:vAlign w:val="top"/>
          </w:tcPr>
          <w:p w14:paraId="166BC34A">
            <w:pPr>
              <w:rPr>
                <w:rFonts w:ascii="Arial"/>
                <w:sz w:val="21"/>
              </w:rPr>
            </w:pPr>
          </w:p>
        </w:tc>
      </w:tr>
      <w:tr w14:paraId="7968FD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308A9E6E">
            <w:pPr>
              <w:rPr>
                <w:rFonts w:ascii="Arial"/>
                <w:sz w:val="21"/>
              </w:rPr>
            </w:pPr>
          </w:p>
        </w:tc>
        <w:tc>
          <w:tcPr>
            <w:tcW w:w="1060" w:type="dxa"/>
            <w:vMerge w:val="restart"/>
            <w:tcBorders>
              <w:bottom w:val="nil"/>
            </w:tcBorders>
            <w:vAlign w:val="top"/>
          </w:tcPr>
          <w:p w14:paraId="2898BB02">
            <w:pPr>
              <w:spacing w:line="273" w:lineRule="auto"/>
              <w:rPr>
                <w:rFonts w:ascii="Arial"/>
                <w:sz w:val="21"/>
              </w:rPr>
            </w:pPr>
          </w:p>
          <w:p w14:paraId="26B8B9DF">
            <w:pPr>
              <w:spacing w:line="273" w:lineRule="auto"/>
              <w:rPr>
                <w:rFonts w:ascii="Arial"/>
                <w:sz w:val="21"/>
              </w:rPr>
            </w:pPr>
          </w:p>
          <w:p w14:paraId="1045A604">
            <w:pPr>
              <w:spacing w:before="52" w:line="203" w:lineRule="auto"/>
              <w:ind w:left="158"/>
              <w:rPr>
                <w:rFonts w:ascii="Times New Roman" w:hAnsi="Times New Roman" w:eastAsia="Times New Roman" w:cs="Times New Roman"/>
                <w:sz w:val="11"/>
                <w:szCs w:val="11"/>
              </w:rPr>
            </w:pPr>
            <w:r>
              <w:rPr>
                <w:rFonts w:ascii="Times New Roman" w:hAnsi="Times New Roman" w:eastAsia="Times New Roman" w:cs="Times New Roman"/>
                <w:sz w:val="18"/>
                <w:szCs w:val="18"/>
              </w:rPr>
              <w:t>G</w:t>
            </w:r>
            <w:r>
              <w:rPr>
                <w:rFonts w:ascii="Times New Roman" w:hAnsi="Times New Roman" w:eastAsia="Times New Roman" w:cs="Times New Roman"/>
                <w:sz w:val="11"/>
                <w:szCs w:val="11"/>
              </w:rPr>
              <w:t xml:space="preserve">1-6 </w:t>
            </w:r>
            <w:r>
              <w:rPr>
                <w:rFonts w:ascii="微软雅黑" w:hAnsi="微软雅黑" w:eastAsia="微软雅黑" w:cs="微软雅黑"/>
                <w:position w:val="1"/>
                <w:sz w:val="11"/>
                <w:szCs w:val="11"/>
              </w:rPr>
              <w:t>、</w:t>
            </w:r>
            <w:r>
              <w:rPr>
                <w:rFonts w:ascii="微软雅黑" w:hAnsi="微软雅黑" w:eastAsia="微软雅黑" w:cs="微软雅黑"/>
                <w:spacing w:val="19"/>
                <w:w w:val="102"/>
                <w:position w:val="1"/>
                <w:sz w:val="11"/>
                <w:szCs w:val="11"/>
              </w:rPr>
              <w:t xml:space="preserve"> </w:t>
            </w:r>
            <w:r>
              <w:rPr>
                <w:rFonts w:ascii="Times New Roman" w:hAnsi="Times New Roman" w:eastAsia="Times New Roman" w:cs="Times New Roman"/>
                <w:sz w:val="18"/>
                <w:szCs w:val="18"/>
              </w:rPr>
              <w:t>G</w:t>
            </w:r>
            <w:r>
              <w:rPr>
                <w:rFonts w:ascii="Times New Roman" w:hAnsi="Times New Roman" w:eastAsia="Times New Roman" w:cs="Times New Roman"/>
                <w:sz w:val="11"/>
                <w:szCs w:val="11"/>
              </w:rPr>
              <w:t>1-7</w:t>
            </w:r>
          </w:p>
        </w:tc>
        <w:tc>
          <w:tcPr>
            <w:tcW w:w="2047" w:type="dxa"/>
            <w:vMerge w:val="restart"/>
            <w:tcBorders>
              <w:bottom w:val="nil"/>
            </w:tcBorders>
            <w:vAlign w:val="top"/>
          </w:tcPr>
          <w:p w14:paraId="119923BA">
            <w:pPr>
              <w:spacing w:line="254" w:lineRule="auto"/>
              <w:rPr>
                <w:rFonts w:ascii="Arial"/>
                <w:sz w:val="21"/>
              </w:rPr>
            </w:pPr>
          </w:p>
          <w:p w14:paraId="0A3C633D">
            <w:pPr>
              <w:spacing w:line="254" w:lineRule="auto"/>
              <w:rPr>
                <w:rFonts w:ascii="Arial"/>
                <w:sz w:val="21"/>
              </w:rPr>
            </w:pPr>
          </w:p>
          <w:p w14:paraId="53526DAD">
            <w:pPr>
              <w:pStyle w:val="6"/>
              <w:spacing w:before="59" w:line="219" w:lineRule="auto"/>
              <w:ind w:left="216"/>
              <w:rPr>
                <w:sz w:val="18"/>
                <w:szCs w:val="18"/>
              </w:rPr>
            </w:pPr>
            <w:r>
              <w:rPr>
                <w:spacing w:val="-1"/>
                <w:sz w:val="18"/>
                <w:szCs w:val="18"/>
              </w:rPr>
              <w:t>烧结机头、机尾废气</w:t>
            </w:r>
          </w:p>
        </w:tc>
        <w:tc>
          <w:tcPr>
            <w:tcW w:w="1781" w:type="dxa"/>
            <w:vAlign w:val="top"/>
          </w:tcPr>
          <w:p w14:paraId="058F5B7F">
            <w:pPr>
              <w:pStyle w:val="6"/>
              <w:spacing w:before="79" w:line="220" w:lineRule="auto"/>
              <w:ind w:left="624"/>
              <w:rPr>
                <w:sz w:val="18"/>
                <w:szCs w:val="18"/>
              </w:rPr>
            </w:pPr>
            <w:r>
              <w:rPr>
                <w:spacing w:val="-3"/>
                <w:sz w:val="18"/>
                <w:szCs w:val="18"/>
              </w:rPr>
              <w:t>颗粒物</w:t>
            </w:r>
          </w:p>
        </w:tc>
        <w:tc>
          <w:tcPr>
            <w:tcW w:w="2416" w:type="dxa"/>
            <w:vMerge w:val="restart"/>
            <w:tcBorders>
              <w:bottom w:val="nil"/>
            </w:tcBorders>
            <w:vAlign w:val="top"/>
          </w:tcPr>
          <w:p w14:paraId="4CDE7D7F">
            <w:pPr>
              <w:spacing w:line="352" w:lineRule="auto"/>
              <w:rPr>
                <w:rFonts w:ascii="Arial"/>
                <w:sz w:val="21"/>
              </w:rPr>
            </w:pPr>
          </w:p>
          <w:p w14:paraId="354A9062">
            <w:pPr>
              <w:pStyle w:val="6"/>
              <w:spacing w:before="58" w:line="315" w:lineRule="auto"/>
              <w:ind w:left="1121" w:right="45" w:hanging="1070"/>
              <w:rPr>
                <w:sz w:val="18"/>
                <w:szCs w:val="18"/>
              </w:rPr>
            </w:pPr>
            <w:r>
              <w:rPr>
                <w:spacing w:val="-1"/>
                <w:sz w:val="18"/>
                <w:szCs w:val="18"/>
              </w:rPr>
              <w:t>布袋除尘器</w:t>
            </w:r>
            <w:r>
              <w:rPr>
                <w:rFonts w:ascii="Times New Roman" w:hAnsi="Times New Roman" w:eastAsia="Times New Roman" w:cs="Times New Roman"/>
                <w:spacing w:val="-1"/>
                <w:sz w:val="18"/>
                <w:szCs w:val="18"/>
              </w:rPr>
              <w:t>+</w:t>
            </w:r>
            <w:r>
              <w:rPr>
                <w:spacing w:val="-1"/>
                <w:sz w:val="18"/>
                <w:szCs w:val="18"/>
              </w:rPr>
              <w:t>石灰石</w:t>
            </w:r>
            <w:r>
              <w:rPr>
                <w:rFonts w:ascii="Times New Roman" w:hAnsi="Times New Roman" w:eastAsia="Times New Roman" w:cs="Times New Roman"/>
                <w:spacing w:val="-1"/>
                <w:sz w:val="18"/>
                <w:szCs w:val="18"/>
              </w:rPr>
              <w:t>-</w:t>
            </w:r>
            <w:r>
              <w:rPr>
                <w:spacing w:val="-1"/>
                <w:sz w:val="18"/>
                <w:szCs w:val="18"/>
              </w:rPr>
              <w:t>石膏脱硫</w:t>
            </w:r>
            <w:r>
              <w:rPr>
                <w:spacing w:val="5"/>
                <w:sz w:val="18"/>
                <w:szCs w:val="18"/>
              </w:rPr>
              <w:t xml:space="preserve"> </w:t>
            </w:r>
            <w:r>
              <w:rPr>
                <w:sz w:val="18"/>
                <w:szCs w:val="18"/>
              </w:rPr>
              <w:t>塔</w:t>
            </w:r>
          </w:p>
        </w:tc>
        <w:tc>
          <w:tcPr>
            <w:tcW w:w="1327" w:type="dxa"/>
            <w:vAlign w:val="top"/>
          </w:tcPr>
          <w:p w14:paraId="53BFECED">
            <w:pPr>
              <w:spacing w:before="107" w:line="188"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18.23</w:t>
            </w:r>
          </w:p>
        </w:tc>
        <w:tc>
          <w:tcPr>
            <w:tcW w:w="1247" w:type="dxa"/>
            <w:vAlign w:val="top"/>
          </w:tcPr>
          <w:p w14:paraId="2DC77C6E">
            <w:pPr>
              <w:spacing w:before="107" w:line="188" w:lineRule="auto"/>
              <w:ind w:left="426"/>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51.06</w:t>
            </w:r>
          </w:p>
        </w:tc>
        <w:tc>
          <w:tcPr>
            <w:tcW w:w="1048" w:type="dxa"/>
            <w:vMerge w:val="restart"/>
            <w:tcBorders>
              <w:bottom w:val="nil"/>
            </w:tcBorders>
            <w:vAlign w:val="top"/>
          </w:tcPr>
          <w:p w14:paraId="7226AC1B">
            <w:pPr>
              <w:spacing w:line="271" w:lineRule="auto"/>
              <w:rPr>
                <w:rFonts w:ascii="Arial"/>
                <w:sz w:val="21"/>
              </w:rPr>
            </w:pPr>
          </w:p>
          <w:p w14:paraId="7DA83E05">
            <w:pPr>
              <w:spacing w:line="272" w:lineRule="auto"/>
              <w:rPr>
                <w:rFonts w:ascii="Arial"/>
                <w:sz w:val="21"/>
              </w:rPr>
            </w:pPr>
          </w:p>
          <w:p w14:paraId="12B30813">
            <w:pPr>
              <w:spacing w:before="52" w:line="192"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30/2.8</w:t>
            </w:r>
          </w:p>
        </w:tc>
        <w:tc>
          <w:tcPr>
            <w:tcW w:w="1212" w:type="dxa"/>
            <w:vMerge w:val="restart"/>
            <w:tcBorders>
              <w:bottom w:val="nil"/>
            </w:tcBorders>
            <w:vAlign w:val="top"/>
          </w:tcPr>
          <w:p w14:paraId="2F23E5F5">
            <w:pPr>
              <w:spacing w:line="273" w:lineRule="auto"/>
              <w:rPr>
                <w:rFonts w:ascii="Arial"/>
                <w:sz w:val="21"/>
              </w:rPr>
            </w:pPr>
          </w:p>
          <w:p w14:paraId="4D5A026D">
            <w:pPr>
              <w:spacing w:line="274" w:lineRule="auto"/>
              <w:rPr>
                <w:rFonts w:ascii="Arial"/>
                <w:sz w:val="21"/>
              </w:rPr>
            </w:pPr>
          </w:p>
          <w:p w14:paraId="6902E3FF">
            <w:pPr>
              <w:spacing w:before="51" w:line="188" w:lineRule="auto"/>
              <w:ind w:left="519"/>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70</w:t>
            </w:r>
          </w:p>
        </w:tc>
        <w:tc>
          <w:tcPr>
            <w:tcW w:w="844" w:type="dxa"/>
            <w:vMerge w:val="restart"/>
            <w:tcBorders>
              <w:bottom w:val="nil"/>
            </w:tcBorders>
            <w:vAlign w:val="top"/>
          </w:tcPr>
          <w:p w14:paraId="08652116">
            <w:pPr>
              <w:spacing w:line="254" w:lineRule="auto"/>
              <w:rPr>
                <w:rFonts w:ascii="Arial"/>
                <w:sz w:val="21"/>
              </w:rPr>
            </w:pPr>
          </w:p>
          <w:p w14:paraId="788D798A">
            <w:pPr>
              <w:spacing w:line="255" w:lineRule="auto"/>
              <w:rPr>
                <w:rFonts w:ascii="Arial"/>
                <w:sz w:val="21"/>
              </w:rPr>
            </w:pPr>
          </w:p>
          <w:p w14:paraId="13F8E276">
            <w:pPr>
              <w:pStyle w:val="6"/>
              <w:spacing w:before="58" w:line="220" w:lineRule="auto"/>
              <w:ind w:left="247"/>
              <w:rPr>
                <w:sz w:val="18"/>
                <w:szCs w:val="18"/>
              </w:rPr>
            </w:pPr>
            <w:r>
              <w:rPr>
                <w:spacing w:val="-4"/>
                <w:sz w:val="18"/>
                <w:szCs w:val="18"/>
              </w:rPr>
              <w:t>连续</w:t>
            </w:r>
          </w:p>
        </w:tc>
        <w:tc>
          <w:tcPr>
            <w:tcW w:w="1230" w:type="dxa"/>
            <w:vAlign w:val="top"/>
          </w:tcPr>
          <w:p w14:paraId="7DB2FD7C">
            <w:pPr>
              <w:spacing w:before="104"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5FB00F22">
            <w:pPr>
              <w:rPr>
                <w:rFonts w:ascii="Arial"/>
                <w:sz w:val="21"/>
              </w:rPr>
            </w:pPr>
          </w:p>
        </w:tc>
        <w:tc>
          <w:tcPr>
            <w:tcW w:w="1674" w:type="dxa"/>
            <w:vMerge w:val="restart"/>
            <w:tcBorders>
              <w:bottom w:val="nil"/>
            </w:tcBorders>
            <w:vAlign w:val="top"/>
          </w:tcPr>
          <w:p w14:paraId="5103B4DC">
            <w:pPr>
              <w:spacing w:line="344" w:lineRule="auto"/>
              <w:rPr>
                <w:rFonts w:ascii="Arial"/>
                <w:sz w:val="21"/>
              </w:rPr>
            </w:pPr>
          </w:p>
          <w:p w14:paraId="68F684A0">
            <w:pPr>
              <w:spacing w:line="344" w:lineRule="auto"/>
              <w:rPr>
                <w:rFonts w:ascii="Arial"/>
                <w:sz w:val="21"/>
              </w:rPr>
            </w:pPr>
          </w:p>
          <w:p w14:paraId="44F7D480">
            <w:pPr>
              <w:pStyle w:val="6"/>
              <w:spacing w:before="58" w:line="220" w:lineRule="auto"/>
              <w:ind w:left="572"/>
              <w:rPr>
                <w:sz w:val="18"/>
                <w:szCs w:val="18"/>
              </w:rPr>
            </w:pPr>
            <w:r>
              <w:rPr>
                <w:spacing w:val="-3"/>
                <w:sz w:val="18"/>
                <w:szCs w:val="18"/>
              </w:rPr>
              <w:t>颗粒物</w:t>
            </w:r>
          </w:p>
          <w:p w14:paraId="60C82416">
            <w:pPr>
              <w:pStyle w:val="6"/>
              <w:spacing w:before="104" w:line="221" w:lineRule="auto"/>
              <w:ind w:left="302"/>
              <w:rPr>
                <w:sz w:val="18"/>
                <w:szCs w:val="18"/>
              </w:rPr>
            </w:pPr>
            <w:r>
              <w:rPr>
                <w:spacing w:val="-2"/>
                <w:sz w:val="18"/>
                <w:szCs w:val="18"/>
              </w:rPr>
              <w:t>锰及其化合物</w:t>
            </w:r>
          </w:p>
          <w:p w14:paraId="221E2FF9">
            <w:pPr>
              <w:spacing w:before="134" w:line="191" w:lineRule="auto"/>
              <w:ind w:left="702"/>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p w14:paraId="5CA942AE">
            <w:pPr>
              <w:spacing w:before="151" w:line="194" w:lineRule="auto"/>
              <w:ind w:left="674"/>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1004" w:type="dxa"/>
            <w:vMerge w:val="restart"/>
            <w:tcBorders>
              <w:bottom w:val="nil"/>
            </w:tcBorders>
            <w:vAlign w:val="top"/>
          </w:tcPr>
          <w:p w14:paraId="01812FB1">
            <w:pPr>
              <w:spacing w:line="290" w:lineRule="auto"/>
              <w:rPr>
                <w:rFonts w:ascii="Arial"/>
                <w:sz w:val="21"/>
              </w:rPr>
            </w:pPr>
          </w:p>
          <w:p w14:paraId="26BA404C">
            <w:pPr>
              <w:spacing w:line="290" w:lineRule="auto"/>
              <w:rPr>
                <w:rFonts w:ascii="Arial"/>
                <w:sz w:val="21"/>
              </w:rPr>
            </w:pPr>
          </w:p>
          <w:p w14:paraId="390F298F">
            <w:pPr>
              <w:spacing w:line="291" w:lineRule="auto"/>
              <w:rPr>
                <w:rFonts w:ascii="Arial"/>
                <w:sz w:val="21"/>
              </w:rPr>
            </w:pPr>
          </w:p>
          <w:p w14:paraId="74E351DA">
            <w:pPr>
              <w:spacing w:line="291" w:lineRule="auto"/>
              <w:rPr>
                <w:rFonts w:ascii="Arial"/>
                <w:sz w:val="21"/>
              </w:rPr>
            </w:pPr>
          </w:p>
          <w:p w14:paraId="71000EE9">
            <w:pPr>
              <w:pStyle w:val="6"/>
              <w:spacing w:before="59" w:line="220" w:lineRule="auto"/>
              <w:ind w:left="146"/>
              <w:rPr>
                <w:sz w:val="18"/>
                <w:szCs w:val="18"/>
              </w:rPr>
            </w:pPr>
            <w:r>
              <w:rPr>
                <w:spacing w:val="-2"/>
                <w:sz w:val="18"/>
                <w:szCs w:val="18"/>
              </w:rPr>
              <w:t>在线监测</w:t>
            </w:r>
          </w:p>
        </w:tc>
        <w:tc>
          <w:tcPr>
            <w:tcW w:w="2505" w:type="dxa"/>
            <w:vMerge w:val="restart"/>
            <w:tcBorders>
              <w:bottom w:val="nil"/>
              <w:right w:val="nil"/>
            </w:tcBorders>
            <w:vAlign w:val="top"/>
          </w:tcPr>
          <w:p w14:paraId="2D252A69">
            <w:pPr>
              <w:spacing w:line="251" w:lineRule="auto"/>
              <w:rPr>
                <w:rFonts w:ascii="Arial"/>
                <w:sz w:val="21"/>
              </w:rPr>
            </w:pPr>
          </w:p>
          <w:p w14:paraId="13CC7EF3">
            <w:pPr>
              <w:spacing w:line="251" w:lineRule="auto"/>
              <w:rPr>
                <w:rFonts w:ascii="Arial"/>
                <w:sz w:val="21"/>
              </w:rPr>
            </w:pPr>
          </w:p>
          <w:p w14:paraId="6207FF1D">
            <w:pPr>
              <w:spacing w:line="251" w:lineRule="auto"/>
              <w:rPr>
                <w:rFonts w:ascii="Arial"/>
                <w:sz w:val="21"/>
              </w:rPr>
            </w:pPr>
          </w:p>
          <w:p w14:paraId="0D8D15F1">
            <w:pPr>
              <w:spacing w:line="252" w:lineRule="auto"/>
              <w:rPr>
                <w:rFonts w:ascii="Arial"/>
                <w:sz w:val="21"/>
              </w:rPr>
            </w:pPr>
          </w:p>
          <w:p w14:paraId="11D98A0B">
            <w:pPr>
              <w:pStyle w:val="6"/>
              <w:spacing w:before="59" w:line="314" w:lineRule="auto"/>
              <w:ind w:left="135" w:right="82" w:hanging="88"/>
              <w:rPr>
                <w:sz w:val="18"/>
                <w:szCs w:val="18"/>
              </w:rPr>
            </w:pPr>
            <w:r>
              <w:rPr>
                <w:rFonts w:ascii="Times New Roman" w:hAnsi="Times New Roman" w:eastAsia="Times New Roman" w:cs="Times New Roman"/>
                <w:spacing w:val="-3"/>
                <w:sz w:val="18"/>
                <w:szCs w:val="18"/>
              </w:rPr>
              <w:t xml:space="preserve">GB28662-2012 </w:t>
            </w:r>
            <w:r>
              <w:rPr>
                <w:spacing w:val="-3"/>
                <w:sz w:val="18"/>
                <w:szCs w:val="18"/>
              </w:rPr>
              <w:t>特别排放限值，</w:t>
            </w:r>
            <w:r>
              <w:rPr>
                <w:spacing w:val="6"/>
                <w:sz w:val="18"/>
                <w:szCs w:val="18"/>
              </w:rPr>
              <w:t xml:space="preserve"> </w:t>
            </w:r>
            <w:r>
              <w:rPr>
                <w:rFonts w:ascii="Times New Roman" w:hAnsi="Times New Roman" w:eastAsia="Times New Roman" w:cs="Times New Roman"/>
                <w:spacing w:val="-1"/>
                <w:sz w:val="18"/>
                <w:szCs w:val="18"/>
              </w:rPr>
              <w:t xml:space="preserve">GB28666-2012 </w:t>
            </w:r>
            <w:r>
              <w:rPr>
                <w:spacing w:val="-1"/>
                <w:sz w:val="18"/>
                <w:szCs w:val="18"/>
              </w:rPr>
              <w:t>特别排放限值</w:t>
            </w:r>
          </w:p>
        </w:tc>
      </w:tr>
      <w:tr w14:paraId="7743E0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6A861B1E">
            <w:pPr>
              <w:rPr>
                <w:rFonts w:ascii="Arial"/>
                <w:sz w:val="21"/>
              </w:rPr>
            </w:pPr>
          </w:p>
        </w:tc>
        <w:tc>
          <w:tcPr>
            <w:tcW w:w="1060" w:type="dxa"/>
            <w:vMerge w:val="continue"/>
            <w:tcBorders>
              <w:top w:val="nil"/>
              <w:bottom w:val="nil"/>
            </w:tcBorders>
            <w:vAlign w:val="top"/>
          </w:tcPr>
          <w:p w14:paraId="6FE28D9A">
            <w:pPr>
              <w:rPr>
                <w:rFonts w:ascii="Arial"/>
                <w:sz w:val="21"/>
              </w:rPr>
            </w:pPr>
          </w:p>
        </w:tc>
        <w:tc>
          <w:tcPr>
            <w:tcW w:w="2047" w:type="dxa"/>
            <w:vMerge w:val="continue"/>
            <w:tcBorders>
              <w:top w:val="nil"/>
              <w:bottom w:val="nil"/>
            </w:tcBorders>
            <w:vAlign w:val="top"/>
          </w:tcPr>
          <w:p w14:paraId="0C601ACD">
            <w:pPr>
              <w:rPr>
                <w:rFonts w:ascii="Arial"/>
                <w:sz w:val="21"/>
              </w:rPr>
            </w:pPr>
          </w:p>
        </w:tc>
        <w:tc>
          <w:tcPr>
            <w:tcW w:w="1781" w:type="dxa"/>
            <w:vAlign w:val="top"/>
          </w:tcPr>
          <w:p w14:paraId="36446AE5">
            <w:pPr>
              <w:pStyle w:val="6"/>
              <w:spacing w:before="79" w:line="221" w:lineRule="auto"/>
              <w:ind w:left="354"/>
              <w:rPr>
                <w:sz w:val="18"/>
                <w:szCs w:val="18"/>
              </w:rPr>
            </w:pPr>
            <w:r>
              <w:rPr>
                <w:spacing w:val="-2"/>
                <w:sz w:val="18"/>
                <w:szCs w:val="18"/>
              </w:rPr>
              <w:t>锰及其化合物</w:t>
            </w:r>
          </w:p>
        </w:tc>
        <w:tc>
          <w:tcPr>
            <w:tcW w:w="2416" w:type="dxa"/>
            <w:vMerge w:val="continue"/>
            <w:tcBorders>
              <w:top w:val="nil"/>
              <w:bottom w:val="nil"/>
            </w:tcBorders>
            <w:vAlign w:val="top"/>
          </w:tcPr>
          <w:p w14:paraId="7856B840">
            <w:pPr>
              <w:rPr>
                <w:rFonts w:ascii="Arial"/>
                <w:sz w:val="21"/>
              </w:rPr>
            </w:pPr>
          </w:p>
        </w:tc>
        <w:tc>
          <w:tcPr>
            <w:tcW w:w="1327" w:type="dxa"/>
            <w:vAlign w:val="top"/>
          </w:tcPr>
          <w:p w14:paraId="3A9C7AF0">
            <w:pPr>
              <w:spacing w:before="108" w:line="188" w:lineRule="auto"/>
              <w:ind w:left="51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5.01</w:t>
            </w:r>
          </w:p>
        </w:tc>
        <w:tc>
          <w:tcPr>
            <w:tcW w:w="1247" w:type="dxa"/>
            <w:vAlign w:val="top"/>
          </w:tcPr>
          <w:p w14:paraId="2A6437BF">
            <w:pPr>
              <w:spacing w:before="108" w:line="188" w:lineRule="auto"/>
              <w:ind w:left="438"/>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14.02</w:t>
            </w:r>
          </w:p>
        </w:tc>
        <w:tc>
          <w:tcPr>
            <w:tcW w:w="1048" w:type="dxa"/>
            <w:vMerge w:val="continue"/>
            <w:tcBorders>
              <w:top w:val="nil"/>
              <w:bottom w:val="nil"/>
            </w:tcBorders>
            <w:vAlign w:val="top"/>
          </w:tcPr>
          <w:p w14:paraId="4AC8B778">
            <w:pPr>
              <w:rPr>
                <w:rFonts w:ascii="Arial"/>
                <w:sz w:val="21"/>
              </w:rPr>
            </w:pPr>
          </w:p>
        </w:tc>
        <w:tc>
          <w:tcPr>
            <w:tcW w:w="1212" w:type="dxa"/>
            <w:vMerge w:val="continue"/>
            <w:tcBorders>
              <w:top w:val="nil"/>
              <w:bottom w:val="nil"/>
            </w:tcBorders>
            <w:vAlign w:val="top"/>
          </w:tcPr>
          <w:p w14:paraId="12E764B6">
            <w:pPr>
              <w:rPr>
                <w:rFonts w:ascii="Arial"/>
                <w:sz w:val="21"/>
              </w:rPr>
            </w:pPr>
          </w:p>
        </w:tc>
        <w:tc>
          <w:tcPr>
            <w:tcW w:w="844" w:type="dxa"/>
            <w:vMerge w:val="continue"/>
            <w:tcBorders>
              <w:top w:val="nil"/>
              <w:bottom w:val="nil"/>
            </w:tcBorders>
            <w:vAlign w:val="top"/>
          </w:tcPr>
          <w:p w14:paraId="30C6D16E">
            <w:pPr>
              <w:rPr>
                <w:rFonts w:ascii="Arial"/>
                <w:sz w:val="21"/>
              </w:rPr>
            </w:pPr>
          </w:p>
        </w:tc>
        <w:tc>
          <w:tcPr>
            <w:tcW w:w="1230" w:type="dxa"/>
            <w:vAlign w:val="top"/>
          </w:tcPr>
          <w:p w14:paraId="3F3EE2B7">
            <w:pPr>
              <w:spacing w:before="105"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06769C0F">
            <w:pPr>
              <w:rPr>
                <w:rFonts w:ascii="Arial"/>
                <w:sz w:val="21"/>
              </w:rPr>
            </w:pPr>
          </w:p>
        </w:tc>
        <w:tc>
          <w:tcPr>
            <w:tcW w:w="1674" w:type="dxa"/>
            <w:vMerge w:val="continue"/>
            <w:tcBorders>
              <w:top w:val="nil"/>
              <w:bottom w:val="nil"/>
            </w:tcBorders>
            <w:vAlign w:val="top"/>
          </w:tcPr>
          <w:p w14:paraId="7E9D6FFE">
            <w:pPr>
              <w:rPr>
                <w:rFonts w:ascii="Arial"/>
                <w:sz w:val="21"/>
              </w:rPr>
            </w:pPr>
          </w:p>
        </w:tc>
        <w:tc>
          <w:tcPr>
            <w:tcW w:w="1004" w:type="dxa"/>
            <w:vMerge w:val="continue"/>
            <w:tcBorders>
              <w:top w:val="nil"/>
              <w:bottom w:val="nil"/>
            </w:tcBorders>
            <w:vAlign w:val="top"/>
          </w:tcPr>
          <w:p w14:paraId="2AEDD2A0">
            <w:pPr>
              <w:rPr>
                <w:rFonts w:ascii="Arial"/>
                <w:sz w:val="21"/>
              </w:rPr>
            </w:pPr>
          </w:p>
        </w:tc>
        <w:tc>
          <w:tcPr>
            <w:tcW w:w="2505" w:type="dxa"/>
            <w:vMerge w:val="continue"/>
            <w:tcBorders>
              <w:top w:val="nil"/>
              <w:bottom w:val="nil"/>
              <w:right w:val="nil"/>
            </w:tcBorders>
            <w:vAlign w:val="top"/>
          </w:tcPr>
          <w:p w14:paraId="1CA362D8">
            <w:pPr>
              <w:rPr>
                <w:rFonts w:ascii="Arial"/>
                <w:sz w:val="21"/>
              </w:rPr>
            </w:pPr>
          </w:p>
        </w:tc>
      </w:tr>
      <w:tr w14:paraId="5ED293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36FE0C77">
            <w:pPr>
              <w:rPr>
                <w:rFonts w:ascii="Arial"/>
                <w:sz w:val="21"/>
              </w:rPr>
            </w:pPr>
          </w:p>
        </w:tc>
        <w:tc>
          <w:tcPr>
            <w:tcW w:w="1060" w:type="dxa"/>
            <w:vMerge w:val="continue"/>
            <w:tcBorders>
              <w:top w:val="nil"/>
              <w:bottom w:val="nil"/>
            </w:tcBorders>
            <w:vAlign w:val="top"/>
          </w:tcPr>
          <w:p w14:paraId="596E8B54">
            <w:pPr>
              <w:rPr>
                <w:rFonts w:ascii="Arial"/>
                <w:sz w:val="21"/>
              </w:rPr>
            </w:pPr>
          </w:p>
        </w:tc>
        <w:tc>
          <w:tcPr>
            <w:tcW w:w="2047" w:type="dxa"/>
            <w:vMerge w:val="continue"/>
            <w:tcBorders>
              <w:top w:val="nil"/>
              <w:bottom w:val="nil"/>
            </w:tcBorders>
            <w:vAlign w:val="top"/>
          </w:tcPr>
          <w:p w14:paraId="498C9261">
            <w:pPr>
              <w:rPr>
                <w:rFonts w:ascii="Arial"/>
                <w:sz w:val="21"/>
              </w:rPr>
            </w:pPr>
          </w:p>
        </w:tc>
        <w:tc>
          <w:tcPr>
            <w:tcW w:w="1781" w:type="dxa"/>
            <w:vAlign w:val="top"/>
          </w:tcPr>
          <w:p w14:paraId="38777477">
            <w:pPr>
              <w:spacing w:before="108" w:line="194" w:lineRule="auto"/>
              <w:ind w:left="754"/>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tc>
        <w:tc>
          <w:tcPr>
            <w:tcW w:w="2416" w:type="dxa"/>
            <w:vMerge w:val="continue"/>
            <w:tcBorders>
              <w:top w:val="nil"/>
              <w:bottom w:val="nil"/>
            </w:tcBorders>
            <w:vAlign w:val="top"/>
          </w:tcPr>
          <w:p w14:paraId="4DE51383">
            <w:pPr>
              <w:rPr>
                <w:rFonts w:ascii="Arial"/>
                <w:sz w:val="21"/>
              </w:rPr>
            </w:pPr>
          </w:p>
        </w:tc>
        <w:tc>
          <w:tcPr>
            <w:tcW w:w="1327" w:type="dxa"/>
            <w:vAlign w:val="top"/>
          </w:tcPr>
          <w:p w14:paraId="73A36F0B">
            <w:pPr>
              <w:spacing w:before="109" w:line="188" w:lineRule="auto"/>
              <w:ind w:left="46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23.70</w:t>
            </w:r>
          </w:p>
        </w:tc>
        <w:tc>
          <w:tcPr>
            <w:tcW w:w="1247" w:type="dxa"/>
            <w:vAlign w:val="top"/>
          </w:tcPr>
          <w:p w14:paraId="0BC99861">
            <w:pPr>
              <w:spacing w:before="109" w:line="188" w:lineRule="auto"/>
              <w:ind w:left="42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66.35</w:t>
            </w:r>
          </w:p>
        </w:tc>
        <w:tc>
          <w:tcPr>
            <w:tcW w:w="1048" w:type="dxa"/>
            <w:vMerge w:val="continue"/>
            <w:tcBorders>
              <w:top w:val="nil"/>
              <w:bottom w:val="nil"/>
            </w:tcBorders>
            <w:vAlign w:val="top"/>
          </w:tcPr>
          <w:p w14:paraId="233BADC6">
            <w:pPr>
              <w:rPr>
                <w:rFonts w:ascii="Arial"/>
                <w:sz w:val="21"/>
              </w:rPr>
            </w:pPr>
          </w:p>
        </w:tc>
        <w:tc>
          <w:tcPr>
            <w:tcW w:w="1212" w:type="dxa"/>
            <w:vMerge w:val="continue"/>
            <w:tcBorders>
              <w:top w:val="nil"/>
              <w:bottom w:val="nil"/>
            </w:tcBorders>
            <w:vAlign w:val="top"/>
          </w:tcPr>
          <w:p w14:paraId="07F13954">
            <w:pPr>
              <w:rPr>
                <w:rFonts w:ascii="Arial"/>
                <w:sz w:val="21"/>
              </w:rPr>
            </w:pPr>
          </w:p>
        </w:tc>
        <w:tc>
          <w:tcPr>
            <w:tcW w:w="844" w:type="dxa"/>
            <w:vMerge w:val="continue"/>
            <w:tcBorders>
              <w:top w:val="nil"/>
              <w:bottom w:val="nil"/>
            </w:tcBorders>
            <w:vAlign w:val="top"/>
          </w:tcPr>
          <w:p w14:paraId="099A6E49">
            <w:pPr>
              <w:rPr>
                <w:rFonts w:ascii="Arial"/>
                <w:sz w:val="21"/>
              </w:rPr>
            </w:pPr>
          </w:p>
        </w:tc>
        <w:tc>
          <w:tcPr>
            <w:tcW w:w="1230" w:type="dxa"/>
            <w:vAlign w:val="top"/>
          </w:tcPr>
          <w:p w14:paraId="51C99705">
            <w:pPr>
              <w:spacing w:before="109" w:line="188" w:lineRule="auto"/>
              <w:ind w:left="41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66.35</w:t>
            </w:r>
          </w:p>
        </w:tc>
        <w:tc>
          <w:tcPr>
            <w:tcW w:w="1060" w:type="dxa"/>
            <w:vMerge w:val="continue"/>
            <w:tcBorders>
              <w:top w:val="nil"/>
              <w:bottom w:val="nil"/>
            </w:tcBorders>
            <w:vAlign w:val="top"/>
          </w:tcPr>
          <w:p w14:paraId="6EE56E85">
            <w:pPr>
              <w:rPr>
                <w:rFonts w:ascii="Arial"/>
                <w:sz w:val="21"/>
              </w:rPr>
            </w:pPr>
          </w:p>
        </w:tc>
        <w:tc>
          <w:tcPr>
            <w:tcW w:w="1674" w:type="dxa"/>
            <w:vMerge w:val="continue"/>
            <w:tcBorders>
              <w:top w:val="nil"/>
              <w:bottom w:val="nil"/>
            </w:tcBorders>
            <w:vAlign w:val="top"/>
          </w:tcPr>
          <w:p w14:paraId="326F3997">
            <w:pPr>
              <w:rPr>
                <w:rFonts w:ascii="Arial"/>
                <w:sz w:val="21"/>
              </w:rPr>
            </w:pPr>
          </w:p>
        </w:tc>
        <w:tc>
          <w:tcPr>
            <w:tcW w:w="1004" w:type="dxa"/>
            <w:vMerge w:val="continue"/>
            <w:tcBorders>
              <w:top w:val="nil"/>
              <w:bottom w:val="nil"/>
            </w:tcBorders>
            <w:vAlign w:val="top"/>
          </w:tcPr>
          <w:p w14:paraId="0EB7557C">
            <w:pPr>
              <w:rPr>
                <w:rFonts w:ascii="Arial"/>
                <w:sz w:val="21"/>
              </w:rPr>
            </w:pPr>
          </w:p>
        </w:tc>
        <w:tc>
          <w:tcPr>
            <w:tcW w:w="2505" w:type="dxa"/>
            <w:vMerge w:val="continue"/>
            <w:tcBorders>
              <w:top w:val="nil"/>
              <w:bottom w:val="nil"/>
              <w:right w:val="nil"/>
            </w:tcBorders>
            <w:vAlign w:val="top"/>
          </w:tcPr>
          <w:p w14:paraId="028675F8">
            <w:pPr>
              <w:rPr>
                <w:rFonts w:ascii="Arial"/>
                <w:sz w:val="21"/>
              </w:rPr>
            </w:pPr>
          </w:p>
        </w:tc>
      </w:tr>
      <w:tr w14:paraId="09B6F8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2AD19184">
            <w:pPr>
              <w:rPr>
                <w:rFonts w:ascii="Arial"/>
                <w:sz w:val="21"/>
              </w:rPr>
            </w:pPr>
          </w:p>
        </w:tc>
        <w:tc>
          <w:tcPr>
            <w:tcW w:w="1060" w:type="dxa"/>
            <w:vMerge w:val="continue"/>
            <w:tcBorders>
              <w:top w:val="nil"/>
            </w:tcBorders>
            <w:vAlign w:val="top"/>
          </w:tcPr>
          <w:p w14:paraId="319622B7">
            <w:pPr>
              <w:rPr>
                <w:rFonts w:ascii="Arial"/>
                <w:sz w:val="21"/>
              </w:rPr>
            </w:pPr>
          </w:p>
        </w:tc>
        <w:tc>
          <w:tcPr>
            <w:tcW w:w="2047" w:type="dxa"/>
            <w:vMerge w:val="continue"/>
            <w:tcBorders>
              <w:top w:val="nil"/>
            </w:tcBorders>
            <w:vAlign w:val="top"/>
          </w:tcPr>
          <w:p w14:paraId="3DD06957">
            <w:pPr>
              <w:rPr>
                <w:rFonts w:ascii="Arial"/>
                <w:sz w:val="21"/>
              </w:rPr>
            </w:pPr>
          </w:p>
        </w:tc>
        <w:tc>
          <w:tcPr>
            <w:tcW w:w="1781" w:type="dxa"/>
            <w:vAlign w:val="top"/>
          </w:tcPr>
          <w:p w14:paraId="0AE16B1E">
            <w:pPr>
              <w:spacing w:before="112" w:line="191" w:lineRule="auto"/>
              <w:ind w:left="712"/>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2416" w:type="dxa"/>
            <w:vMerge w:val="continue"/>
            <w:tcBorders>
              <w:top w:val="nil"/>
            </w:tcBorders>
            <w:vAlign w:val="top"/>
          </w:tcPr>
          <w:p w14:paraId="07639163">
            <w:pPr>
              <w:rPr>
                <w:rFonts w:ascii="Arial"/>
                <w:sz w:val="21"/>
              </w:rPr>
            </w:pPr>
          </w:p>
        </w:tc>
        <w:tc>
          <w:tcPr>
            <w:tcW w:w="1327" w:type="dxa"/>
            <w:vAlign w:val="top"/>
          </w:tcPr>
          <w:p w14:paraId="1363C177">
            <w:pPr>
              <w:spacing w:before="112" w:line="188" w:lineRule="auto"/>
              <w:ind w:left="43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118.67</w:t>
            </w:r>
          </w:p>
        </w:tc>
        <w:tc>
          <w:tcPr>
            <w:tcW w:w="1247" w:type="dxa"/>
            <w:vAlign w:val="top"/>
          </w:tcPr>
          <w:p w14:paraId="74E2E37C">
            <w:pPr>
              <w:spacing w:before="112" w:line="188" w:lineRule="auto"/>
              <w:ind w:left="38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332.27</w:t>
            </w:r>
          </w:p>
        </w:tc>
        <w:tc>
          <w:tcPr>
            <w:tcW w:w="1048" w:type="dxa"/>
            <w:vMerge w:val="continue"/>
            <w:tcBorders>
              <w:top w:val="nil"/>
            </w:tcBorders>
            <w:vAlign w:val="top"/>
          </w:tcPr>
          <w:p w14:paraId="5BA64584">
            <w:pPr>
              <w:rPr>
                <w:rFonts w:ascii="Arial"/>
                <w:sz w:val="21"/>
              </w:rPr>
            </w:pPr>
          </w:p>
        </w:tc>
        <w:tc>
          <w:tcPr>
            <w:tcW w:w="1212" w:type="dxa"/>
            <w:vMerge w:val="continue"/>
            <w:tcBorders>
              <w:top w:val="nil"/>
            </w:tcBorders>
            <w:vAlign w:val="top"/>
          </w:tcPr>
          <w:p w14:paraId="2B030A47">
            <w:pPr>
              <w:rPr>
                <w:rFonts w:ascii="Arial"/>
                <w:sz w:val="21"/>
              </w:rPr>
            </w:pPr>
          </w:p>
        </w:tc>
        <w:tc>
          <w:tcPr>
            <w:tcW w:w="844" w:type="dxa"/>
            <w:vMerge w:val="continue"/>
            <w:tcBorders>
              <w:top w:val="nil"/>
            </w:tcBorders>
            <w:vAlign w:val="top"/>
          </w:tcPr>
          <w:p w14:paraId="40CCABA5">
            <w:pPr>
              <w:rPr>
                <w:rFonts w:ascii="Arial"/>
                <w:sz w:val="21"/>
              </w:rPr>
            </w:pPr>
          </w:p>
        </w:tc>
        <w:tc>
          <w:tcPr>
            <w:tcW w:w="1230" w:type="dxa"/>
            <w:vAlign w:val="top"/>
          </w:tcPr>
          <w:p w14:paraId="08012D10">
            <w:pPr>
              <w:spacing w:before="112" w:line="188" w:lineRule="auto"/>
              <w:ind w:left="37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332.27</w:t>
            </w:r>
          </w:p>
        </w:tc>
        <w:tc>
          <w:tcPr>
            <w:tcW w:w="1060" w:type="dxa"/>
            <w:vMerge w:val="continue"/>
            <w:tcBorders>
              <w:top w:val="nil"/>
              <w:bottom w:val="nil"/>
            </w:tcBorders>
            <w:vAlign w:val="top"/>
          </w:tcPr>
          <w:p w14:paraId="3EF55110">
            <w:pPr>
              <w:rPr>
                <w:rFonts w:ascii="Arial"/>
                <w:sz w:val="21"/>
              </w:rPr>
            </w:pPr>
          </w:p>
        </w:tc>
        <w:tc>
          <w:tcPr>
            <w:tcW w:w="1674" w:type="dxa"/>
            <w:vMerge w:val="continue"/>
            <w:tcBorders>
              <w:top w:val="nil"/>
              <w:bottom w:val="nil"/>
            </w:tcBorders>
            <w:vAlign w:val="top"/>
          </w:tcPr>
          <w:p w14:paraId="2C97D966">
            <w:pPr>
              <w:rPr>
                <w:rFonts w:ascii="Arial"/>
                <w:sz w:val="21"/>
              </w:rPr>
            </w:pPr>
          </w:p>
        </w:tc>
        <w:tc>
          <w:tcPr>
            <w:tcW w:w="1004" w:type="dxa"/>
            <w:vMerge w:val="continue"/>
            <w:tcBorders>
              <w:top w:val="nil"/>
              <w:bottom w:val="nil"/>
            </w:tcBorders>
            <w:vAlign w:val="top"/>
          </w:tcPr>
          <w:p w14:paraId="1CE56C00">
            <w:pPr>
              <w:rPr>
                <w:rFonts w:ascii="Arial"/>
                <w:sz w:val="21"/>
              </w:rPr>
            </w:pPr>
          </w:p>
        </w:tc>
        <w:tc>
          <w:tcPr>
            <w:tcW w:w="2505" w:type="dxa"/>
            <w:vMerge w:val="continue"/>
            <w:tcBorders>
              <w:top w:val="nil"/>
              <w:bottom w:val="nil"/>
              <w:right w:val="nil"/>
            </w:tcBorders>
            <w:vAlign w:val="top"/>
          </w:tcPr>
          <w:p w14:paraId="0E04A745">
            <w:pPr>
              <w:rPr>
                <w:rFonts w:ascii="Arial"/>
                <w:sz w:val="21"/>
              </w:rPr>
            </w:pPr>
          </w:p>
        </w:tc>
      </w:tr>
      <w:tr w14:paraId="36A91C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009E35CF">
            <w:pPr>
              <w:rPr>
                <w:rFonts w:ascii="Arial"/>
                <w:sz w:val="21"/>
              </w:rPr>
            </w:pPr>
          </w:p>
        </w:tc>
        <w:tc>
          <w:tcPr>
            <w:tcW w:w="1060" w:type="dxa"/>
            <w:vMerge w:val="restart"/>
            <w:tcBorders>
              <w:bottom w:val="nil"/>
            </w:tcBorders>
            <w:vAlign w:val="top"/>
          </w:tcPr>
          <w:p w14:paraId="5F90BD07">
            <w:pPr>
              <w:spacing w:before="276" w:line="203" w:lineRule="auto"/>
              <w:ind w:left="158"/>
              <w:rPr>
                <w:rFonts w:ascii="Times New Roman" w:hAnsi="Times New Roman" w:eastAsia="Times New Roman" w:cs="Times New Roman"/>
                <w:sz w:val="11"/>
                <w:szCs w:val="11"/>
              </w:rPr>
            </w:pPr>
            <w:r>
              <w:rPr>
                <w:rFonts w:ascii="Times New Roman" w:hAnsi="Times New Roman" w:eastAsia="Times New Roman" w:cs="Times New Roman"/>
                <w:sz w:val="18"/>
                <w:szCs w:val="18"/>
              </w:rPr>
              <w:t>G</w:t>
            </w:r>
            <w:r>
              <w:rPr>
                <w:rFonts w:ascii="Times New Roman" w:hAnsi="Times New Roman" w:eastAsia="Times New Roman" w:cs="Times New Roman"/>
                <w:sz w:val="11"/>
                <w:szCs w:val="11"/>
              </w:rPr>
              <w:t xml:space="preserve">1-8 </w:t>
            </w:r>
            <w:r>
              <w:rPr>
                <w:rFonts w:ascii="微软雅黑" w:hAnsi="微软雅黑" w:eastAsia="微软雅黑" w:cs="微软雅黑"/>
                <w:position w:val="1"/>
                <w:sz w:val="11"/>
                <w:szCs w:val="11"/>
              </w:rPr>
              <w:t>、</w:t>
            </w:r>
            <w:r>
              <w:rPr>
                <w:rFonts w:ascii="微软雅黑" w:hAnsi="微软雅黑" w:eastAsia="微软雅黑" w:cs="微软雅黑"/>
                <w:spacing w:val="20"/>
                <w:position w:val="1"/>
                <w:sz w:val="11"/>
                <w:szCs w:val="11"/>
              </w:rPr>
              <w:t xml:space="preserve"> </w:t>
            </w:r>
            <w:r>
              <w:rPr>
                <w:rFonts w:ascii="Times New Roman" w:hAnsi="Times New Roman" w:eastAsia="Times New Roman" w:cs="Times New Roman"/>
                <w:sz w:val="18"/>
                <w:szCs w:val="18"/>
              </w:rPr>
              <w:t>G</w:t>
            </w:r>
            <w:r>
              <w:rPr>
                <w:rFonts w:ascii="Times New Roman" w:hAnsi="Times New Roman" w:eastAsia="Times New Roman" w:cs="Times New Roman"/>
                <w:sz w:val="11"/>
                <w:szCs w:val="11"/>
              </w:rPr>
              <w:t>1-9</w:t>
            </w:r>
          </w:p>
        </w:tc>
        <w:tc>
          <w:tcPr>
            <w:tcW w:w="2047" w:type="dxa"/>
            <w:vMerge w:val="restart"/>
            <w:tcBorders>
              <w:bottom w:val="nil"/>
            </w:tcBorders>
            <w:vAlign w:val="top"/>
          </w:tcPr>
          <w:p w14:paraId="43DF8D70">
            <w:pPr>
              <w:pStyle w:val="6"/>
              <w:spacing w:before="245" w:line="219" w:lineRule="auto"/>
              <w:ind w:left="37"/>
              <w:rPr>
                <w:sz w:val="18"/>
                <w:szCs w:val="18"/>
              </w:rPr>
            </w:pPr>
            <w:r>
              <w:rPr>
                <w:spacing w:val="-1"/>
                <w:sz w:val="18"/>
                <w:szCs w:val="18"/>
              </w:rPr>
              <w:t>锰硅电炉配料、加料粉尘</w:t>
            </w:r>
          </w:p>
        </w:tc>
        <w:tc>
          <w:tcPr>
            <w:tcW w:w="1781" w:type="dxa"/>
            <w:vAlign w:val="top"/>
          </w:tcPr>
          <w:p w14:paraId="538274E4">
            <w:pPr>
              <w:pStyle w:val="6"/>
              <w:spacing w:before="82" w:line="220" w:lineRule="auto"/>
              <w:ind w:left="624"/>
              <w:rPr>
                <w:sz w:val="18"/>
                <w:szCs w:val="18"/>
              </w:rPr>
            </w:pPr>
            <w:r>
              <w:rPr>
                <w:spacing w:val="-3"/>
                <w:sz w:val="18"/>
                <w:szCs w:val="18"/>
              </w:rPr>
              <w:t>颗粒物</w:t>
            </w:r>
          </w:p>
        </w:tc>
        <w:tc>
          <w:tcPr>
            <w:tcW w:w="2416" w:type="dxa"/>
            <w:vMerge w:val="restart"/>
            <w:tcBorders>
              <w:bottom w:val="nil"/>
            </w:tcBorders>
            <w:vAlign w:val="top"/>
          </w:tcPr>
          <w:p w14:paraId="7B9D83C0">
            <w:pPr>
              <w:pStyle w:val="6"/>
              <w:spacing w:before="244" w:line="219" w:lineRule="auto"/>
              <w:ind w:left="762"/>
              <w:rPr>
                <w:sz w:val="18"/>
                <w:szCs w:val="18"/>
              </w:rPr>
            </w:pPr>
            <w:r>
              <w:rPr>
                <w:spacing w:val="-2"/>
                <w:sz w:val="18"/>
                <w:szCs w:val="18"/>
              </w:rPr>
              <w:t>布袋除尘器</w:t>
            </w:r>
          </w:p>
        </w:tc>
        <w:tc>
          <w:tcPr>
            <w:tcW w:w="1327" w:type="dxa"/>
            <w:vAlign w:val="top"/>
          </w:tcPr>
          <w:p w14:paraId="5AC37F63">
            <w:pPr>
              <w:spacing w:before="113" w:line="188" w:lineRule="auto"/>
              <w:ind w:left="512"/>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5.83</w:t>
            </w:r>
          </w:p>
        </w:tc>
        <w:tc>
          <w:tcPr>
            <w:tcW w:w="1247" w:type="dxa"/>
            <w:vAlign w:val="top"/>
          </w:tcPr>
          <w:p w14:paraId="2D4CB63F">
            <w:pPr>
              <w:spacing w:before="113" w:line="188" w:lineRule="auto"/>
              <w:ind w:left="47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8.30</w:t>
            </w:r>
          </w:p>
        </w:tc>
        <w:tc>
          <w:tcPr>
            <w:tcW w:w="1048" w:type="dxa"/>
            <w:vMerge w:val="restart"/>
            <w:tcBorders>
              <w:bottom w:val="nil"/>
            </w:tcBorders>
            <w:vAlign w:val="top"/>
          </w:tcPr>
          <w:p w14:paraId="5A8022B4">
            <w:pPr>
              <w:spacing w:before="273" w:line="192"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35/1.2</w:t>
            </w:r>
          </w:p>
        </w:tc>
        <w:tc>
          <w:tcPr>
            <w:tcW w:w="1212" w:type="dxa"/>
            <w:vMerge w:val="restart"/>
            <w:tcBorders>
              <w:bottom w:val="nil"/>
            </w:tcBorders>
            <w:vAlign w:val="top"/>
          </w:tcPr>
          <w:p w14:paraId="74E9C996">
            <w:pPr>
              <w:pStyle w:val="6"/>
              <w:spacing w:before="245" w:line="220" w:lineRule="auto"/>
              <w:ind w:left="435"/>
              <w:rPr>
                <w:sz w:val="18"/>
                <w:szCs w:val="18"/>
              </w:rPr>
            </w:pPr>
            <w:r>
              <w:rPr>
                <w:spacing w:val="-6"/>
                <w:sz w:val="18"/>
                <w:szCs w:val="18"/>
              </w:rPr>
              <w:t>常温</w:t>
            </w:r>
          </w:p>
        </w:tc>
        <w:tc>
          <w:tcPr>
            <w:tcW w:w="844" w:type="dxa"/>
            <w:vMerge w:val="restart"/>
            <w:tcBorders>
              <w:bottom w:val="nil"/>
            </w:tcBorders>
            <w:vAlign w:val="top"/>
          </w:tcPr>
          <w:p w14:paraId="46971B15">
            <w:pPr>
              <w:pStyle w:val="6"/>
              <w:spacing w:before="245" w:line="220" w:lineRule="auto"/>
              <w:ind w:left="247"/>
              <w:rPr>
                <w:sz w:val="18"/>
                <w:szCs w:val="18"/>
              </w:rPr>
            </w:pPr>
            <w:r>
              <w:rPr>
                <w:spacing w:val="-4"/>
                <w:sz w:val="18"/>
                <w:szCs w:val="18"/>
              </w:rPr>
              <w:t>连续</w:t>
            </w:r>
          </w:p>
        </w:tc>
        <w:tc>
          <w:tcPr>
            <w:tcW w:w="1230" w:type="dxa"/>
            <w:vAlign w:val="top"/>
          </w:tcPr>
          <w:p w14:paraId="1A574D2A">
            <w:pPr>
              <w:spacing w:before="110"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6896B201">
            <w:pPr>
              <w:rPr>
                <w:rFonts w:ascii="Arial"/>
                <w:sz w:val="21"/>
              </w:rPr>
            </w:pPr>
          </w:p>
        </w:tc>
        <w:tc>
          <w:tcPr>
            <w:tcW w:w="1674" w:type="dxa"/>
            <w:vMerge w:val="continue"/>
            <w:tcBorders>
              <w:top w:val="nil"/>
              <w:bottom w:val="nil"/>
            </w:tcBorders>
            <w:vAlign w:val="top"/>
          </w:tcPr>
          <w:p w14:paraId="785D67D4">
            <w:pPr>
              <w:rPr>
                <w:rFonts w:ascii="Arial"/>
                <w:sz w:val="21"/>
              </w:rPr>
            </w:pPr>
          </w:p>
        </w:tc>
        <w:tc>
          <w:tcPr>
            <w:tcW w:w="1004" w:type="dxa"/>
            <w:vMerge w:val="continue"/>
            <w:tcBorders>
              <w:top w:val="nil"/>
              <w:bottom w:val="nil"/>
            </w:tcBorders>
            <w:vAlign w:val="top"/>
          </w:tcPr>
          <w:p w14:paraId="3E41612D">
            <w:pPr>
              <w:rPr>
                <w:rFonts w:ascii="Arial"/>
                <w:sz w:val="21"/>
              </w:rPr>
            </w:pPr>
          </w:p>
        </w:tc>
        <w:tc>
          <w:tcPr>
            <w:tcW w:w="2505" w:type="dxa"/>
            <w:vMerge w:val="continue"/>
            <w:tcBorders>
              <w:top w:val="nil"/>
              <w:bottom w:val="nil"/>
              <w:right w:val="nil"/>
            </w:tcBorders>
            <w:vAlign w:val="top"/>
          </w:tcPr>
          <w:p w14:paraId="7E4DC7D8">
            <w:pPr>
              <w:rPr>
                <w:rFonts w:ascii="Arial"/>
                <w:sz w:val="21"/>
              </w:rPr>
            </w:pPr>
          </w:p>
        </w:tc>
      </w:tr>
      <w:tr w14:paraId="19F9D1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130DE98A">
            <w:pPr>
              <w:rPr>
                <w:rFonts w:ascii="Arial"/>
                <w:sz w:val="21"/>
              </w:rPr>
            </w:pPr>
          </w:p>
        </w:tc>
        <w:tc>
          <w:tcPr>
            <w:tcW w:w="1060" w:type="dxa"/>
            <w:vMerge w:val="continue"/>
            <w:tcBorders>
              <w:top w:val="nil"/>
            </w:tcBorders>
            <w:vAlign w:val="top"/>
          </w:tcPr>
          <w:p w14:paraId="7C157A42">
            <w:pPr>
              <w:rPr>
                <w:rFonts w:ascii="Arial"/>
                <w:sz w:val="21"/>
              </w:rPr>
            </w:pPr>
          </w:p>
        </w:tc>
        <w:tc>
          <w:tcPr>
            <w:tcW w:w="2047" w:type="dxa"/>
            <w:vMerge w:val="continue"/>
            <w:tcBorders>
              <w:top w:val="nil"/>
            </w:tcBorders>
            <w:vAlign w:val="top"/>
          </w:tcPr>
          <w:p w14:paraId="78EC3B5E">
            <w:pPr>
              <w:rPr>
                <w:rFonts w:ascii="Arial"/>
                <w:sz w:val="21"/>
              </w:rPr>
            </w:pPr>
          </w:p>
        </w:tc>
        <w:tc>
          <w:tcPr>
            <w:tcW w:w="1781" w:type="dxa"/>
            <w:vAlign w:val="top"/>
          </w:tcPr>
          <w:p w14:paraId="5AA46EC6">
            <w:pPr>
              <w:pStyle w:val="6"/>
              <w:spacing w:before="82" w:line="221" w:lineRule="auto"/>
              <w:ind w:left="354"/>
              <w:rPr>
                <w:sz w:val="18"/>
                <w:szCs w:val="18"/>
              </w:rPr>
            </w:pPr>
            <w:r>
              <w:rPr>
                <w:spacing w:val="-2"/>
                <w:sz w:val="18"/>
                <w:szCs w:val="18"/>
              </w:rPr>
              <w:t>锰及其化合物</w:t>
            </w:r>
          </w:p>
        </w:tc>
        <w:tc>
          <w:tcPr>
            <w:tcW w:w="2416" w:type="dxa"/>
            <w:vMerge w:val="continue"/>
            <w:tcBorders>
              <w:top w:val="nil"/>
            </w:tcBorders>
            <w:vAlign w:val="top"/>
          </w:tcPr>
          <w:p w14:paraId="394C89F7">
            <w:pPr>
              <w:rPr>
                <w:rFonts w:ascii="Arial"/>
                <w:sz w:val="21"/>
              </w:rPr>
            </w:pPr>
          </w:p>
        </w:tc>
        <w:tc>
          <w:tcPr>
            <w:tcW w:w="1327" w:type="dxa"/>
            <w:vAlign w:val="top"/>
          </w:tcPr>
          <w:p w14:paraId="21FD2718">
            <w:pPr>
              <w:spacing w:before="114" w:line="188" w:lineRule="auto"/>
              <w:ind w:left="5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0.67</w:t>
            </w:r>
          </w:p>
        </w:tc>
        <w:tc>
          <w:tcPr>
            <w:tcW w:w="1247" w:type="dxa"/>
            <w:vAlign w:val="top"/>
          </w:tcPr>
          <w:p w14:paraId="30C83914">
            <w:pPr>
              <w:spacing w:before="114" w:line="188" w:lineRule="auto"/>
              <w:ind w:left="4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0.87</w:t>
            </w:r>
          </w:p>
        </w:tc>
        <w:tc>
          <w:tcPr>
            <w:tcW w:w="1048" w:type="dxa"/>
            <w:vMerge w:val="continue"/>
            <w:tcBorders>
              <w:top w:val="nil"/>
            </w:tcBorders>
            <w:vAlign w:val="top"/>
          </w:tcPr>
          <w:p w14:paraId="08AACF7C">
            <w:pPr>
              <w:rPr>
                <w:rFonts w:ascii="Arial"/>
                <w:sz w:val="21"/>
              </w:rPr>
            </w:pPr>
          </w:p>
        </w:tc>
        <w:tc>
          <w:tcPr>
            <w:tcW w:w="1212" w:type="dxa"/>
            <w:vMerge w:val="continue"/>
            <w:tcBorders>
              <w:top w:val="nil"/>
            </w:tcBorders>
            <w:vAlign w:val="top"/>
          </w:tcPr>
          <w:p w14:paraId="3EAFA629">
            <w:pPr>
              <w:rPr>
                <w:rFonts w:ascii="Arial"/>
                <w:sz w:val="21"/>
              </w:rPr>
            </w:pPr>
          </w:p>
        </w:tc>
        <w:tc>
          <w:tcPr>
            <w:tcW w:w="844" w:type="dxa"/>
            <w:vMerge w:val="continue"/>
            <w:tcBorders>
              <w:top w:val="nil"/>
            </w:tcBorders>
            <w:vAlign w:val="top"/>
          </w:tcPr>
          <w:p w14:paraId="3B0AC774">
            <w:pPr>
              <w:rPr>
                <w:rFonts w:ascii="Arial"/>
                <w:sz w:val="21"/>
              </w:rPr>
            </w:pPr>
          </w:p>
        </w:tc>
        <w:tc>
          <w:tcPr>
            <w:tcW w:w="1230" w:type="dxa"/>
            <w:vAlign w:val="top"/>
          </w:tcPr>
          <w:p w14:paraId="1A2596D3">
            <w:pPr>
              <w:spacing w:before="110"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4B53666E">
            <w:pPr>
              <w:rPr>
                <w:rFonts w:ascii="Arial"/>
                <w:sz w:val="21"/>
              </w:rPr>
            </w:pPr>
          </w:p>
        </w:tc>
        <w:tc>
          <w:tcPr>
            <w:tcW w:w="1674" w:type="dxa"/>
            <w:vMerge w:val="continue"/>
            <w:tcBorders>
              <w:top w:val="nil"/>
              <w:bottom w:val="nil"/>
            </w:tcBorders>
            <w:vAlign w:val="top"/>
          </w:tcPr>
          <w:p w14:paraId="3EFAF500">
            <w:pPr>
              <w:rPr>
                <w:rFonts w:ascii="Arial"/>
                <w:sz w:val="21"/>
              </w:rPr>
            </w:pPr>
          </w:p>
        </w:tc>
        <w:tc>
          <w:tcPr>
            <w:tcW w:w="1004" w:type="dxa"/>
            <w:vMerge w:val="continue"/>
            <w:tcBorders>
              <w:top w:val="nil"/>
              <w:bottom w:val="nil"/>
            </w:tcBorders>
            <w:vAlign w:val="top"/>
          </w:tcPr>
          <w:p w14:paraId="53EDB98E">
            <w:pPr>
              <w:rPr>
                <w:rFonts w:ascii="Arial"/>
                <w:sz w:val="21"/>
              </w:rPr>
            </w:pPr>
          </w:p>
        </w:tc>
        <w:tc>
          <w:tcPr>
            <w:tcW w:w="2505" w:type="dxa"/>
            <w:vMerge w:val="continue"/>
            <w:tcBorders>
              <w:top w:val="nil"/>
              <w:bottom w:val="nil"/>
              <w:right w:val="nil"/>
            </w:tcBorders>
            <w:vAlign w:val="top"/>
          </w:tcPr>
          <w:p w14:paraId="002DF83A">
            <w:pPr>
              <w:rPr>
                <w:rFonts w:ascii="Arial"/>
                <w:sz w:val="21"/>
              </w:rPr>
            </w:pPr>
          </w:p>
        </w:tc>
      </w:tr>
      <w:tr w14:paraId="7013AE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4F89F94E">
            <w:pPr>
              <w:rPr>
                <w:rFonts w:ascii="Arial"/>
                <w:sz w:val="21"/>
              </w:rPr>
            </w:pPr>
          </w:p>
        </w:tc>
        <w:tc>
          <w:tcPr>
            <w:tcW w:w="1060" w:type="dxa"/>
            <w:vMerge w:val="restart"/>
            <w:tcBorders>
              <w:bottom w:val="nil"/>
            </w:tcBorders>
            <w:vAlign w:val="top"/>
          </w:tcPr>
          <w:p w14:paraId="31DB3782">
            <w:pPr>
              <w:spacing w:before="277" w:line="204" w:lineRule="auto"/>
              <w:ind w:left="362"/>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G</w:t>
            </w:r>
            <w:r>
              <w:rPr>
                <w:rFonts w:ascii="Times New Roman" w:hAnsi="Times New Roman" w:eastAsia="Times New Roman" w:cs="Times New Roman"/>
                <w:spacing w:val="-3"/>
                <w:sz w:val="11"/>
                <w:szCs w:val="11"/>
              </w:rPr>
              <w:t>1-</w:t>
            </w:r>
            <w:r>
              <w:rPr>
                <w:rFonts w:ascii="Times New Roman" w:hAnsi="Times New Roman" w:eastAsia="Times New Roman" w:cs="Times New Roman"/>
                <w:spacing w:val="-11"/>
                <w:sz w:val="11"/>
                <w:szCs w:val="11"/>
              </w:rPr>
              <w:t xml:space="preserve"> </w:t>
            </w:r>
            <w:r>
              <w:rPr>
                <w:rFonts w:ascii="Times New Roman" w:hAnsi="Times New Roman" w:eastAsia="Times New Roman" w:cs="Times New Roman"/>
                <w:spacing w:val="-3"/>
                <w:sz w:val="11"/>
                <w:szCs w:val="11"/>
              </w:rPr>
              <w:t>10</w:t>
            </w:r>
          </w:p>
        </w:tc>
        <w:tc>
          <w:tcPr>
            <w:tcW w:w="2047" w:type="dxa"/>
            <w:vMerge w:val="restart"/>
            <w:tcBorders>
              <w:bottom w:val="nil"/>
            </w:tcBorders>
            <w:vAlign w:val="top"/>
          </w:tcPr>
          <w:p w14:paraId="3454A601">
            <w:pPr>
              <w:pStyle w:val="6"/>
              <w:spacing w:before="249" w:line="220" w:lineRule="auto"/>
              <w:ind w:left="37"/>
              <w:rPr>
                <w:sz w:val="18"/>
                <w:szCs w:val="18"/>
              </w:rPr>
            </w:pPr>
            <w:r>
              <w:rPr>
                <w:spacing w:val="-1"/>
                <w:sz w:val="18"/>
                <w:szCs w:val="18"/>
              </w:rPr>
              <w:t>锰硅出铁出渣及浇铸烟气</w:t>
            </w:r>
          </w:p>
        </w:tc>
        <w:tc>
          <w:tcPr>
            <w:tcW w:w="1781" w:type="dxa"/>
            <w:vAlign w:val="top"/>
          </w:tcPr>
          <w:p w14:paraId="28423389">
            <w:pPr>
              <w:pStyle w:val="6"/>
              <w:spacing w:before="83" w:line="220" w:lineRule="auto"/>
              <w:ind w:left="624"/>
              <w:rPr>
                <w:sz w:val="18"/>
                <w:szCs w:val="18"/>
              </w:rPr>
            </w:pPr>
            <w:r>
              <w:rPr>
                <w:spacing w:val="-3"/>
                <w:sz w:val="18"/>
                <w:szCs w:val="18"/>
              </w:rPr>
              <w:t>颗粒物</w:t>
            </w:r>
          </w:p>
        </w:tc>
        <w:tc>
          <w:tcPr>
            <w:tcW w:w="2416" w:type="dxa"/>
            <w:vMerge w:val="restart"/>
            <w:tcBorders>
              <w:bottom w:val="nil"/>
            </w:tcBorders>
            <w:vAlign w:val="top"/>
          </w:tcPr>
          <w:p w14:paraId="14894FDD">
            <w:pPr>
              <w:pStyle w:val="6"/>
              <w:spacing w:before="248" w:line="219" w:lineRule="auto"/>
              <w:ind w:left="762"/>
              <w:rPr>
                <w:sz w:val="18"/>
                <w:szCs w:val="18"/>
              </w:rPr>
            </w:pPr>
            <w:r>
              <w:rPr>
                <w:spacing w:val="-2"/>
                <w:sz w:val="18"/>
                <w:szCs w:val="18"/>
              </w:rPr>
              <w:t>布袋除尘器</w:t>
            </w:r>
          </w:p>
        </w:tc>
        <w:tc>
          <w:tcPr>
            <w:tcW w:w="1327" w:type="dxa"/>
            <w:vAlign w:val="top"/>
          </w:tcPr>
          <w:p w14:paraId="4CE377C7">
            <w:pPr>
              <w:spacing w:before="115" w:line="188" w:lineRule="auto"/>
              <w:ind w:left="51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6.80</w:t>
            </w:r>
          </w:p>
        </w:tc>
        <w:tc>
          <w:tcPr>
            <w:tcW w:w="1247" w:type="dxa"/>
            <w:vAlign w:val="top"/>
          </w:tcPr>
          <w:p w14:paraId="609DE712">
            <w:pPr>
              <w:spacing w:before="115" w:line="188" w:lineRule="auto"/>
              <w:ind w:left="47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3.38</w:t>
            </w:r>
          </w:p>
        </w:tc>
        <w:tc>
          <w:tcPr>
            <w:tcW w:w="1048" w:type="dxa"/>
            <w:vMerge w:val="restart"/>
            <w:tcBorders>
              <w:bottom w:val="nil"/>
            </w:tcBorders>
            <w:vAlign w:val="top"/>
          </w:tcPr>
          <w:p w14:paraId="652C4DEC">
            <w:pPr>
              <w:spacing w:before="274" w:line="192" w:lineRule="auto"/>
              <w:ind w:left="30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35/1.0</w:t>
            </w:r>
          </w:p>
        </w:tc>
        <w:tc>
          <w:tcPr>
            <w:tcW w:w="1212" w:type="dxa"/>
            <w:vMerge w:val="restart"/>
            <w:tcBorders>
              <w:bottom w:val="nil"/>
            </w:tcBorders>
            <w:vAlign w:val="top"/>
          </w:tcPr>
          <w:p w14:paraId="6C7ECA58">
            <w:pPr>
              <w:spacing w:before="278" w:line="188" w:lineRule="auto"/>
              <w:ind w:left="48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44" w:type="dxa"/>
            <w:vMerge w:val="restart"/>
            <w:tcBorders>
              <w:bottom w:val="nil"/>
            </w:tcBorders>
            <w:vAlign w:val="top"/>
          </w:tcPr>
          <w:p w14:paraId="567BF128">
            <w:pPr>
              <w:pStyle w:val="6"/>
              <w:spacing w:before="249" w:line="219" w:lineRule="auto"/>
              <w:ind w:left="260"/>
              <w:rPr>
                <w:sz w:val="18"/>
                <w:szCs w:val="18"/>
              </w:rPr>
            </w:pPr>
            <w:r>
              <w:rPr>
                <w:spacing w:val="-11"/>
                <w:sz w:val="18"/>
                <w:szCs w:val="18"/>
              </w:rPr>
              <w:t>间断</w:t>
            </w:r>
          </w:p>
        </w:tc>
        <w:tc>
          <w:tcPr>
            <w:tcW w:w="1230" w:type="dxa"/>
            <w:vAlign w:val="top"/>
          </w:tcPr>
          <w:p w14:paraId="6FD55057">
            <w:pPr>
              <w:spacing w:before="111"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7CA7A151">
            <w:pPr>
              <w:rPr>
                <w:rFonts w:ascii="Arial"/>
                <w:sz w:val="21"/>
              </w:rPr>
            </w:pPr>
          </w:p>
        </w:tc>
        <w:tc>
          <w:tcPr>
            <w:tcW w:w="1674" w:type="dxa"/>
            <w:vMerge w:val="continue"/>
            <w:tcBorders>
              <w:top w:val="nil"/>
              <w:bottom w:val="nil"/>
            </w:tcBorders>
            <w:vAlign w:val="top"/>
          </w:tcPr>
          <w:p w14:paraId="20853F4A">
            <w:pPr>
              <w:rPr>
                <w:rFonts w:ascii="Arial"/>
                <w:sz w:val="21"/>
              </w:rPr>
            </w:pPr>
          </w:p>
        </w:tc>
        <w:tc>
          <w:tcPr>
            <w:tcW w:w="1004" w:type="dxa"/>
            <w:vMerge w:val="continue"/>
            <w:tcBorders>
              <w:top w:val="nil"/>
              <w:bottom w:val="nil"/>
            </w:tcBorders>
            <w:vAlign w:val="top"/>
          </w:tcPr>
          <w:p w14:paraId="4186C42C">
            <w:pPr>
              <w:rPr>
                <w:rFonts w:ascii="Arial"/>
                <w:sz w:val="21"/>
              </w:rPr>
            </w:pPr>
          </w:p>
        </w:tc>
        <w:tc>
          <w:tcPr>
            <w:tcW w:w="2505" w:type="dxa"/>
            <w:vMerge w:val="continue"/>
            <w:tcBorders>
              <w:top w:val="nil"/>
              <w:bottom w:val="nil"/>
              <w:right w:val="nil"/>
            </w:tcBorders>
            <w:vAlign w:val="top"/>
          </w:tcPr>
          <w:p w14:paraId="1EBF8C01">
            <w:pPr>
              <w:rPr>
                <w:rFonts w:ascii="Arial"/>
                <w:sz w:val="21"/>
              </w:rPr>
            </w:pPr>
          </w:p>
        </w:tc>
      </w:tr>
      <w:tr w14:paraId="7F68A9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5B8920FE">
            <w:pPr>
              <w:rPr>
                <w:rFonts w:ascii="Arial"/>
                <w:sz w:val="21"/>
              </w:rPr>
            </w:pPr>
          </w:p>
        </w:tc>
        <w:tc>
          <w:tcPr>
            <w:tcW w:w="1060" w:type="dxa"/>
            <w:vMerge w:val="continue"/>
            <w:tcBorders>
              <w:top w:val="nil"/>
            </w:tcBorders>
            <w:vAlign w:val="top"/>
          </w:tcPr>
          <w:p w14:paraId="614A2687">
            <w:pPr>
              <w:rPr>
                <w:rFonts w:ascii="Arial"/>
                <w:sz w:val="21"/>
              </w:rPr>
            </w:pPr>
          </w:p>
        </w:tc>
        <w:tc>
          <w:tcPr>
            <w:tcW w:w="2047" w:type="dxa"/>
            <w:vMerge w:val="continue"/>
            <w:tcBorders>
              <w:top w:val="nil"/>
            </w:tcBorders>
            <w:vAlign w:val="top"/>
          </w:tcPr>
          <w:p w14:paraId="36143FFA">
            <w:pPr>
              <w:rPr>
                <w:rFonts w:ascii="Arial"/>
                <w:sz w:val="21"/>
              </w:rPr>
            </w:pPr>
          </w:p>
        </w:tc>
        <w:tc>
          <w:tcPr>
            <w:tcW w:w="1781" w:type="dxa"/>
            <w:vAlign w:val="top"/>
          </w:tcPr>
          <w:p w14:paraId="61569C02">
            <w:pPr>
              <w:pStyle w:val="6"/>
              <w:spacing w:before="83" w:line="221" w:lineRule="auto"/>
              <w:ind w:left="354"/>
              <w:rPr>
                <w:sz w:val="18"/>
                <w:szCs w:val="18"/>
              </w:rPr>
            </w:pPr>
            <w:r>
              <w:rPr>
                <w:spacing w:val="-2"/>
                <w:sz w:val="18"/>
                <w:szCs w:val="18"/>
              </w:rPr>
              <w:t>锰及其化合物</w:t>
            </w:r>
          </w:p>
        </w:tc>
        <w:tc>
          <w:tcPr>
            <w:tcW w:w="2416" w:type="dxa"/>
            <w:vMerge w:val="continue"/>
            <w:tcBorders>
              <w:top w:val="nil"/>
            </w:tcBorders>
            <w:vAlign w:val="top"/>
          </w:tcPr>
          <w:p w14:paraId="70A05CCC">
            <w:pPr>
              <w:rPr>
                <w:rFonts w:ascii="Arial"/>
                <w:sz w:val="21"/>
              </w:rPr>
            </w:pPr>
          </w:p>
        </w:tc>
        <w:tc>
          <w:tcPr>
            <w:tcW w:w="1327" w:type="dxa"/>
            <w:vAlign w:val="top"/>
          </w:tcPr>
          <w:p w14:paraId="06261069">
            <w:pPr>
              <w:spacing w:before="114" w:line="188" w:lineRule="auto"/>
              <w:ind w:left="524"/>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1.80</w:t>
            </w:r>
          </w:p>
        </w:tc>
        <w:tc>
          <w:tcPr>
            <w:tcW w:w="1247" w:type="dxa"/>
            <w:vAlign w:val="top"/>
          </w:tcPr>
          <w:p w14:paraId="37C25522">
            <w:pPr>
              <w:spacing w:before="114" w:line="188" w:lineRule="auto"/>
              <w:ind w:left="4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0.91</w:t>
            </w:r>
          </w:p>
        </w:tc>
        <w:tc>
          <w:tcPr>
            <w:tcW w:w="1048" w:type="dxa"/>
            <w:vMerge w:val="continue"/>
            <w:tcBorders>
              <w:top w:val="nil"/>
            </w:tcBorders>
            <w:vAlign w:val="top"/>
          </w:tcPr>
          <w:p w14:paraId="2437D91A">
            <w:pPr>
              <w:rPr>
                <w:rFonts w:ascii="Arial"/>
                <w:sz w:val="21"/>
              </w:rPr>
            </w:pPr>
          </w:p>
        </w:tc>
        <w:tc>
          <w:tcPr>
            <w:tcW w:w="1212" w:type="dxa"/>
            <w:vMerge w:val="continue"/>
            <w:tcBorders>
              <w:top w:val="nil"/>
            </w:tcBorders>
            <w:vAlign w:val="top"/>
          </w:tcPr>
          <w:p w14:paraId="631C4DC0">
            <w:pPr>
              <w:rPr>
                <w:rFonts w:ascii="Arial"/>
                <w:sz w:val="21"/>
              </w:rPr>
            </w:pPr>
          </w:p>
        </w:tc>
        <w:tc>
          <w:tcPr>
            <w:tcW w:w="844" w:type="dxa"/>
            <w:vMerge w:val="continue"/>
            <w:tcBorders>
              <w:top w:val="nil"/>
            </w:tcBorders>
            <w:vAlign w:val="top"/>
          </w:tcPr>
          <w:p w14:paraId="18C04DD9">
            <w:pPr>
              <w:rPr>
                <w:rFonts w:ascii="Arial"/>
                <w:sz w:val="21"/>
              </w:rPr>
            </w:pPr>
          </w:p>
        </w:tc>
        <w:tc>
          <w:tcPr>
            <w:tcW w:w="1230" w:type="dxa"/>
            <w:vAlign w:val="top"/>
          </w:tcPr>
          <w:p w14:paraId="5B3FCEC4">
            <w:pPr>
              <w:spacing w:before="111"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3313CC5C">
            <w:pPr>
              <w:rPr>
                <w:rFonts w:ascii="Arial"/>
                <w:sz w:val="21"/>
              </w:rPr>
            </w:pPr>
          </w:p>
        </w:tc>
        <w:tc>
          <w:tcPr>
            <w:tcW w:w="1674" w:type="dxa"/>
            <w:vMerge w:val="continue"/>
            <w:tcBorders>
              <w:top w:val="nil"/>
            </w:tcBorders>
            <w:vAlign w:val="top"/>
          </w:tcPr>
          <w:p w14:paraId="4D76A2A7">
            <w:pPr>
              <w:rPr>
                <w:rFonts w:ascii="Arial"/>
                <w:sz w:val="21"/>
              </w:rPr>
            </w:pPr>
          </w:p>
        </w:tc>
        <w:tc>
          <w:tcPr>
            <w:tcW w:w="1004" w:type="dxa"/>
            <w:vMerge w:val="continue"/>
            <w:tcBorders>
              <w:top w:val="nil"/>
            </w:tcBorders>
            <w:vAlign w:val="top"/>
          </w:tcPr>
          <w:p w14:paraId="21DCCE28">
            <w:pPr>
              <w:rPr>
                <w:rFonts w:ascii="Arial"/>
                <w:sz w:val="21"/>
              </w:rPr>
            </w:pPr>
          </w:p>
        </w:tc>
        <w:tc>
          <w:tcPr>
            <w:tcW w:w="2505" w:type="dxa"/>
            <w:vMerge w:val="continue"/>
            <w:tcBorders>
              <w:top w:val="nil"/>
              <w:right w:val="nil"/>
            </w:tcBorders>
            <w:vAlign w:val="top"/>
          </w:tcPr>
          <w:p w14:paraId="4F3DDFB6">
            <w:pPr>
              <w:rPr>
                <w:rFonts w:ascii="Arial"/>
                <w:sz w:val="21"/>
              </w:rPr>
            </w:pPr>
          </w:p>
        </w:tc>
      </w:tr>
      <w:tr w14:paraId="3B023C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40DFC146">
            <w:pPr>
              <w:rPr>
                <w:rFonts w:ascii="Arial"/>
                <w:sz w:val="21"/>
              </w:rPr>
            </w:pPr>
          </w:p>
        </w:tc>
        <w:tc>
          <w:tcPr>
            <w:tcW w:w="1060" w:type="dxa"/>
            <w:vMerge w:val="restart"/>
            <w:tcBorders>
              <w:bottom w:val="nil"/>
            </w:tcBorders>
            <w:vAlign w:val="top"/>
          </w:tcPr>
          <w:p w14:paraId="47BD834E">
            <w:pPr>
              <w:spacing w:line="357" w:lineRule="auto"/>
              <w:rPr>
                <w:rFonts w:ascii="Arial"/>
                <w:sz w:val="21"/>
              </w:rPr>
            </w:pPr>
          </w:p>
          <w:p w14:paraId="79BAEBC2">
            <w:pPr>
              <w:spacing w:line="358" w:lineRule="auto"/>
              <w:rPr>
                <w:rFonts w:ascii="Arial"/>
                <w:sz w:val="21"/>
              </w:rPr>
            </w:pPr>
          </w:p>
          <w:p w14:paraId="3B9DF8E1">
            <w:pPr>
              <w:spacing w:before="52" w:line="202" w:lineRule="auto"/>
              <w:ind w:left="390"/>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G</w:t>
            </w:r>
            <w:r>
              <w:rPr>
                <w:rFonts w:ascii="Times New Roman" w:hAnsi="Times New Roman" w:eastAsia="Times New Roman" w:cs="Times New Roman"/>
                <w:spacing w:val="-1"/>
                <w:sz w:val="11"/>
                <w:szCs w:val="11"/>
              </w:rPr>
              <w:t>2-</w:t>
            </w:r>
            <w:r>
              <w:rPr>
                <w:rFonts w:ascii="Times New Roman" w:hAnsi="Times New Roman" w:eastAsia="Times New Roman" w:cs="Times New Roman"/>
                <w:spacing w:val="-14"/>
                <w:sz w:val="11"/>
                <w:szCs w:val="11"/>
              </w:rPr>
              <w:t xml:space="preserve"> </w:t>
            </w:r>
            <w:r>
              <w:rPr>
                <w:rFonts w:ascii="Times New Roman" w:hAnsi="Times New Roman" w:eastAsia="Times New Roman" w:cs="Times New Roman"/>
                <w:spacing w:val="-1"/>
                <w:sz w:val="11"/>
                <w:szCs w:val="11"/>
              </w:rPr>
              <w:t>1</w:t>
            </w:r>
          </w:p>
        </w:tc>
        <w:tc>
          <w:tcPr>
            <w:tcW w:w="2047" w:type="dxa"/>
            <w:vMerge w:val="restart"/>
            <w:tcBorders>
              <w:bottom w:val="nil"/>
            </w:tcBorders>
            <w:vAlign w:val="top"/>
          </w:tcPr>
          <w:p w14:paraId="1F420AD4">
            <w:pPr>
              <w:spacing w:line="340" w:lineRule="auto"/>
              <w:rPr>
                <w:rFonts w:ascii="Arial"/>
                <w:sz w:val="21"/>
              </w:rPr>
            </w:pPr>
          </w:p>
          <w:p w14:paraId="69A450CF">
            <w:pPr>
              <w:spacing w:line="340" w:lineRule="auto"/>
              <w:rPr>
                <w:rFonts w:ascii="Arial"/>
                <w:sz w:val="21"/>
              </w:rPr>
            </w:pPr>
          </w:p>
          <w:p w14:paraId="17540D19">
            <w:pPr>
              <w:pStyle w:val="6"/>
              <w:spacing w:before="59" w:line="220" w:lineRule="auto"/>
              <w:ind w:left="309"/>
              <w:rPr>
                <w:sz w:val="18"/>
                <w:szCs w:val="18"/>
              </w:rPr>
            </w:pPr>
            <w:r>
              <w:rPr>
                <w:spacing w:val="-1"/>
                <w:sz w:val="18"/>
                <w:szCs w:val="18"/>
              </w:rPr>
              <w:t>燃气发电锅炉废气</w:t>
            </w:r>
          </w:p>
        </w:tc>
        <w:tc>
          <w:tcPr>
            <w:tcW w:w="1781" w:type="dxa"/>
            <w:vAlign w:val="top"/>
          </w:tcPr>
          <w:p w14:paraId="6851EADD">
            <w:pPr>
              <w:pStyle w:val="6"/>
              <w:spacing w:before="95" w:line="220" w:lineRule="auto"/>
              <w:ind w:left="624"/>
              <w:rPr>
                <w:sz w:val="18"/>
                <w:szCs w:val="18"/>
              </w:rPr>
            </w:pPr>
            <w:r>
              <w:rPr>
                <w:spacing w:val="-3"/>
                <w:sz w:val="18"/>
                <w:szCs w:val="18"/>
              </w:rPr>
              <w:t>颗粒物</w:t>
            </w:r>
          </w:p>
        </w:tc>
        <w:tc>
          <w:tcPr>
            <w:tcW w:w="2416" w:type="dxa"/>
            <w:vMerge w:val="restart"/>
            <w:tcBorders>
              <w:bottom w:val="nil"/>
            </w:tcBorders>
            <w:vAlign w:val="top"/>
          </w:tcPr>
          <w:p w14:paraId="7E5C5AB7">
            <w:pPr>
              <w:spacing w:line="340" w:lineRule="auto"/>
              <w:rPr>
                <w:rFonts w:ascii="Arial"/>
                <w:sz w:val="21"/>
              </w:rPr>
            </w:pPr>
          </w:p>
          <w:p w14:paraId="159A3142">
            <w:pPr>
              <w:spacing w:line="340" w:lineRule="auto"/>
              <w:rPr>
                <w:rFonts w:ascii="Arial"/>
                <w:sz w:val="21"/>
              </w:rPr>
            </w:pPr>
          </w:p>
          <w:p w14:paraId="109E8363">
            <w:pPr>
              <w:pStyle w:val="6"/>
              <w:spacing w:before="58" w:line="219" w:lineRule="auto"/>
              <w:ind w:left="162"/>
              <w:rPr>
                <w:sz w:val="18"/>
                <w:szCs w:val="18"/>
              </w:rPr>
            </w:pPr>
            <w:r>
              <w:rPr>
                <w:spacing w:val="-1"/>
                <w:sz w:val="18"/>
                <w:szCs w:val="18"/>
              </w:rPr>
              <w:t>小苏打干法脱硫</w:t>
            </w:r>
            <w:r>
              <w:rPr>
                <w:rFonts w:ascii="Times New Roman" w:hAnsi="Times New Roman" w:eastAsia="Times New Roman" w:cs="Times New Roman"/>
                <w:spacing w:val="-1"/>
                <w:sz w:val="18"/>
                <w:szCs w:val="18"/>
              </w:rPr>
              <w:t xml:space="preserve">+SCR </w:t>
            </w:r>
            <w:r>
              <w:rPr>
                <w:spacing w:val="-1"/>
                <w:sz w:val="18"/>
                <w:szCs w:val="18"/>
              </w:rPr>
              <w:t>脱硝</w:t>
            </w:r>
          </w:p>
        </w:tc>
        <w:tc>
          <w:tcPr>
            <w:tcW w:w="1327" w:type="dxa"/>
            <w:vAlign w:val="top"/>
          </w:tcPr>
          <w:p w14:paraId="67B96D51">
            <w:pPr>
              <w:spacing w:before="114" w:line="188" w:lineRule="auto"/>
              <w:ind w:left="50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2.59</w:t>
            </w:r>
          </w:p>
        </w:tc>
        <w:tc>
          <w:tcPr>
            <w:tcW w:w="1247" w:type="dxa"/>
            <w:vAlign w:val="top"/>
          </w:tcPr>
          <w:p w14:paraId="3E11853A">
            <w:pPr>
              <w:spacing w:before="114" w:line="188" w:lineRule="auto"/>
              <w:ind w:left="46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4.61</w:t>
            </w:r>
          </w:p>
        </w:tc>
        <w:tc>
          <w:tcPr>
            <w:tcW w:w="1048" w:type="dxa"/>
            <w:vMerge w:val="restart"/>
            <w:tcBorders>
              <w:bottom w:val="nil"/>
            </w:tcBorders>
            <w:vAlign w:val="top"/>
          </w:tcPr>
          <w:p w14:paraId="4C4CADDF">
            <w:pPr>
              <w:spacing w:line="356" w:lineRule="auto"/>
              <w:rPr>
                <w:rFonts w:ascii="Arial"/>
                <w:sz w:val="21"/>
              </w:rPr>
            </w:pPr>
          </w:p>
          <w:p w14:paraId="60BF2A2E">
            <w:pPr>
              <w:spacing w:line="356" w:lineRule="auto"/>
              <w:rPr>
                <w:rFonts w:ascii="Arial"/>
                <w:sz w:val="21"/>
              </w:rPr>
            </w:pPr>
          </w:p>
          <w:p w14:paraId="0046CD61">
            <w:pPr>
              <w:spacing w:before="52" w:line="192" w:lineRule="auto"/>
              <w:ind w:left="29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25/2.5</w:t>
            </w:r>
          </w:p>
        </w:tc>
        <w:tc>
          <w:tcPr>
            <w:tcW w:w="1212" w:type="dxa"/>
            <w:vMerge w:val="restart"/>
            <w:tcBorders>
              <w:bottom w:val="nil"/>
            </w:tcBorders>
            <w:vAlign w:val="top"/>
          </w:tcPr>
          <w:p w14:paraId="0E06F629">
            <w:pPr>
              <w:spacing w:line="358" w:lineRule="auto"/>
              <w:rPr>
                <w:rFonts w:ascii="Arial"/>
                <w:sz w:val="21"/>
              </w:rPr>
            </w:pPr>
          </w:p>
          <w:p w14:paraId="3E258CA2">
            <w:pPr>
              <w:spacing w:line="358" w:lineRule="auto"/>
              <w:rPr>
                <w:rFonts w:ascii="Arial"/>
                <w:sz w:val="21"/>
              </w:rPr>
            </w:pPr>
          </w:p>
          <w:p w14:paraId="4D35512B">
            <w:pPr>
              <w:spacing w:before="51" w:line="188" w:lineRule="auto"/>
              <w:ind w:left="48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tc>
        <w:tc>
          <w:tcPr>
            <w:tcW w:w="844" w:type="dxa"/>
            <w:vMerge w:val="restart"/>
            <w:tcBorders>
              <w:bottom w:val="nil"/>
            </w:tcBorders>
            <w:vAlign w:val="top"/>
          </w:tcPr>
          <w:p w14:paraId="36BDBD89">
            <w:pPr>
              <w:spacing w:line="340" w:lineRule="auto"/>
              <w:rPr>
                <w:rFonts w:ascii="Arial"/>
                <w:sz w:val="21"/>
              </w:rPr>
            </w:pPr>
          </w:p>
          <w:p w14:paraId="6F26BA6C">
            <w:pPr>
              <w:spacing w:line="340" w:lineRule="auto"/>
              <w:rPr>
                <w:rFonts w:ascii="Arial"/>
                <w:sz w:val="21"/>
              </w:rPr>
            </w:pPr>
          </w:p>
          <w:p w14:paraId="01BC9A59">
            <w:pPr>
              <w:pStyle w:val="6"/>
              <w:spacing w:before="59" w:line="220" w:lineRule="auto"/>
              <w:ind w:left="247"/>
              <w:rPr>
                <w:sz w:val="18"/>
                <w:szCs w:val="18"/>
              </w:rPr>
            </w:pPr>
            <w:r>
              <w:rPr>
                <w:spacing w:val="-4"/>
                <w:sz w:val="18"/>
                <w:szCs w:val="18"/>
              </w:rPr>
              <w:t>连续</w:t>
            </w:r>
          </w:p>
        </w:tc>
        <w:tc>
          <w:tcPr>
            <w:tcW w:w="1230" w:type="dxa"/>
            <w:vAlign w:val="top"/>
          </w:tcPr>
          <w:p w14:paraId="03BD4E43">
            <w:pPr>
              <w:spacing w:before="111"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0ABF0951">
            <w:pPr>
              <w:rPr>
                <w:rFonts w:ascii="Arial"/>
                <w:sz w:val="21"/>
              </w:rPr>
            </w:pPr>
          </w:p>
        </w:tc>
        <w:tc>
          <w:tcPr>
            <w:tcW w:w="1674" w:type="dxa"/>
            <w:vMerge w:val="restart"/>
            <w:tcBorders>
              <w:bottom w:val="nil"/>
            </w:tcBorders>
            <w:vAlign w:val="top"/>
          </w:tcPr>
          <w:p w14:paraId="7DBC2C51">
            <w:pPr>
              <w:pStyle w:val="6"/>
              <w:spacing w:before="104" w:line="221" w:lineRule="auto"/>
              <w:ind w:left="662"/>
              <w:rPr>
                <w:sz w:val="18"/>
                <w:szCs w:val="18"/>
              </w:rPr>
            </w:pPr>
            <w:r>
              <w:rPr>
                <w:spacing w:val="-4"/>
                <w:sz w:val="18"/>
                <w:szCs w:val="18"/>
              </w:rPr>
              <w:t>烟尘</w:t>
            </w:r>
          </w:p>
          <w:p w14:paraId="0FF220E1">
            <w:pPr>
              <w:pStyle w:val="6"/>
              <w:spacing w:before="104" w:line="328" w:lineRule="auto"/>
              <w:ind w:left="702" w:right="293" w:hanging="400"/>
              <w:rPr>
                <w:rFonts w:ascii="Times New Roman" w:hAnsi="Times New Roman" w:eastAsia="Times New Roman" w:cs="Times New Roman"/>
                <w:sz w:val="11"/>
                <w:szCs w:val="11"/>
              </w:rPr>
            </w:pPr>
            <w:r>
              <w:rPr>
                <w:spacing w:val="-2"/>
                <w:sz w:val="18"/>
                <w:szCs w:val="18"/>
              </w:rPr>
              <w:t>锰及其化合物</w:t>
            </w:r>
            <w:r>
              <w:rPr>
                <w:spacing w:val="3"/>
                <w:sz w:val="18"/>
                <w:szCs w:val="18"/>
              </w:rPr>
              <w:t xml:space="preserve"> </w:t>
            </w: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p w14:paraId="6A9944A9">
            <w:pPr>
              <w:spacing w:before="63" w:line="311" w:lineRule="auto"/>
              <w:ind w:left="673" w:right="659" w:hanging="16"/>
              <w:rPr>
                <w:rFonts w:ascii="Times New Roman" w:hAnsi="Times New Roman" w:eastAsia="Times New Roman" w:cs="Times New Roman"/>
                <w:sz w:val="11"/>
                <w:szCs w:val="11"/>
              </w:rPr>
            </w:pPr>
            <w:r>
              <w:rPr>
                <w:rFonts w:ascii="Times New Roman" w:hAnsi="Times New Roman" w:eastAsia="Times New Roman" w:cs="Times New Roman"/>
                <w:sz w:val="18"/>
                <w:szCs w:val="18"/>
              </w:rPr>
              <w:t>NOx NH</w:t>
            </w:r>
            <w:r>
              <w:rPr>
                <w:rFonts w:ascii="Times New Roman" w:hAnsi="Times New Roman" w:eastAsia="Times New Roman" w:cs="Times New Roman"/>
                <w:spacing w:val="3"/>
                <w:position w:val="-1"/>
                <w:sz w:val="11"/>
                <w:szCs w:val="11"/>
              </w:rPr>
              <w:t>3</w:t>
            </w:r>
          </w:p>
        </w:tc>
        <w:tc>
          <w:tcPr>
            <w:tcW w:w="1004" w:type="dxa"/>
            <w:vMerge w:val="restart"/>
            <w:tcBorders>
              <w:bottom w:val="nil"/>
            </w:tcBorders>
            <w:vAlign w:val="top"/>
          </w:tcPr>
          <w:p w14:paraId="5A400A0B">
            <w:pPr>
              <w:spacing w:line="340" w:lineRule="auto"/>
              <w:rPr>
                <w:rFonts w:ascii="Arial"/>
                <w:sz w:val="21"/>
              </w:rPr>
            </w:pPr>
          </w:p>
          <w:p w14:paraId="5E43CFA1">
            <w:pPr>
              <w:spacing w:line="340" w:lineRule="auto"/>
              <w:rPr>
                <w:rFonts w:ascii="Arial"/>
                <w:sz w:val="21"/>
              </w:rPr>
            </w:pPr>
          </w:p>
          <w:p w14:paraId="2AA49C9B">
            <w:pPr>
              <w:pStyle w:val="6"/>
              <w:spacing w:before="59" w:line="220" w:lineRule="auto"/>
              <w:ind w:left="146"/>
              <w:rPr>
                <w:sz w:val="18"/>
                <w:szCs w:val="18"/>
              </w:rPr>
            </w:pPr>
            <w:r>
              <w:rPr>
                <w:spacing w:val="-2"/>
                <w:sz w:val="18"/>
                <w:szCs w:val="18"/>
              </w:rPr>
              <w:t>在线监测</w:t>
            </w:r>
          </w:p>
        </w:tc>
        <w:tc>
          <w:tcPr>
            <w:tcW w:w="2505" w:type="dxa"/>
            <w:vMerge w:val="restart"/>
            <w:tcBorders>
              <w:bottom w:val="nil"/>
              <w:right w:val="nil"/>
            </w:tcBorders>
            <w:vAlign w:val="top"/>
          </w:tcPr>
          <w:p w14:paraId="6E81F592">
            <w:pPr>
              <w:pStyle w:val="6"/>
              <w:spacing w:before="263" w:line="219" w:lineRule="auto"/>
              <w:ind w:right="1"/>
              <w:jc w:val="right"/>
              <w:rPr>
                <w:sz w:val="18"/>
                <w:szCs w:val="18"/>
              </w:rPr>
            </w:pPr>
            <w:r>
              <w:rPr>
                <w:spacing w:val="-3"/>
                <w:sz w:val="18"/>
                <w:szCs w:val="18"/>
              </w:rPr>
              <w:t>执行</w:t>
            </w:r>
            <w:r>
              <w:rPr>
                <w:rFonts w:ascii="Times New Roman" w:hAnsi="Times New Roman" w:eastAsia="Times New Roman" w:cs="Times New Roman"/>
                <w:spacing w:val="-3"/>
                <w:sz w:val="18"/>
                <w:szCs w:val="18"/>
              </w:rPr>
              <w:t>GB13223-2011</w:t>
            </w:r>
            <w:r>
              <w:rPr>
                <w:rFonts w:ascii="Times New Roman" w:hAnsi="Times New Roman" w:eastAsia="Times New Roman" w:cs="Times New Roman"/>
                <w:spacing w:val="-7"/>
                <w:sz w:val="18"/>
                <w:szCs w:val="18"/>
              </w:rPr>
              <w:t xml:space="preserve"> </w:t>
            </w:r>
            <w:r>
              <w:rPr>
                <w:spacing w:val="-3"/>
                <w:sz w:val="18"/>
                <w:szCs w:val="18"/>
              </w:rPr>
              <w:t>表</w:t>
            </w:r>
            <w:r>
              <w:rPr>
                <w:rFonts w:ascii="Times New Roman" w:hAnsi="Times New Roman" w:eastAsia="Times New Roman" w:cs="Times New Roman"/>
                <w:spacing w:val="-3"/>
                <w:sz w:val="18"/>
                <w:szCs w:val="18"/>
              </w:rPr>
              <w:t xml:space="preserve">2 </w:t>
            </w:r>
            <w:r>
              <w:rPr>
                <w:spacing w:val="-3"/>
                <w:sz w:val="18"/>
                <w:szCs w:val="18"/>
              </w:rPr>
              <w:t>标准（以</w:t>
            </w:r>
          </w:p>
          <w:p w14:paraId="2A381544">
            <w:pPr>
              <w:pStyle w:val="6"/>
              <w:spacing w:before="105" w:line="219" w:lineRule="auto"/>
              <w:jc w:val="right"/>
              <w:rPr>
                <w:sz w:val="18"/>
                <w:szCs w:val="18"/>
              </w:rPr>
            </w:pPr>
            <w:r>
              <w:rPr>
                <w:spacing w:val="-2"/>
                <w:sz w:val="18"/>
                <w:szCs w:val="18"/>
              </w:rPr>
              <w:t>气体为燃料的燃气锅炉</w:t>
            </w:r>
            <w:r>
              <w:rPr>
                <w:spacing w:val="-3"/>
                <w:sz w:val="18"/>
                <w:szCs w:val="18"/>
              </w:rPr>
              <w:t>），</w:t>
            </w:r>
            <w:r>
              <w:rPr>
                <w:spacing w:val="-2"/>
                <w:sz w:val="18"/>
                <w:szCs w:val="18"/>
              </w:rPr>
              <w:t>散逸</w:t>
            </w:r>
          </w:p>
          <w:p w14:paraId="6F932228">
            <w:pPr>
              <w:pStyle w:val="6"/>
              <w:spacing w:before="105" w:line="219" w:lineRule="auto"/>
              <w:ind w:left="50"/>
              <w:rPr>
                <w:sz w:val="18"/>
                <w:szCs w:val="18"/>
              </w:rPr>
            </w:pPr>
            <w:r>
              <w:rPr>
                <w:spacing w:val="-2"/>
                <w:sz w:val="18"/>
                <w:szCs w:val="18"/>
              </w:rPr>
              <w:t>氨执行</w:t>
            </w:r>
            <w:r>
              <w:rPr>
                <w:spacing w:val="-42"/>
                <w:sz w:val="18"/>
                <w:szCs w:val="18"/>
              </w:rPr>
              <w:t xml:space="preserve"> </w:t>
            </w:r>
            <w:r>
              <w:rPr>
                <w:rFonts w:ascii="Times New Roman" w:hAnsi="Times New Roman" w:eastAsia="Times New Roman" w:cs="Times New Roman"/>
                <w:spacing w:val="-2"/>
                <w:sz w:val="18"/>
                <w:szCs w:val="18"/>
              </w:rPr>
              <w:t>HJ562-2010</w:t>
            </w:r>
            <w:r>
              <w:rPr>
                <w:rFonts w:ascii="Times New Roman" w:hAnsi="Times New Roman" w:eastAsia="Times New Roman" w:cs="Times New Roman"/>
                <w:spacing w:val="21"/>
                <w:w w:val="101"/>
                <w:sz w:val="18"/>
                <w:szCs w:val="18"/>
              </w:rPr>
              <w:t xml:space="preserve"> </w:t>
            </w:r>
            <w:r>
              <w:rPr>
                <w:spacing w:val="-2"/>
                <w:sz w:val="18"/>
                <w:szCs w:val="18"/>
              </w:rPr>
              <w:t>中的控制要</w:t>
            </w:r>
          </w:p>
          <w:p w14:paraId="15F11188">
            <w:pPr>
              <w:pStyle w:val="6"/>
              <w:spacing w:before="105" w:line="221" w:lineRule="auto"/>
              <w:ind w:left="1170"/>
              <w:rPr>
                <w:sz w:val="18"/>
                <w:szCs w:val="18"/>
              </w:rPr>
            </w:pPr>
            <w:r>
              <w:rPr>
                <w:sz w:val="18"/>
                <w:szCs w:val="18"/>
              </w:rPr>
              <w:t>求</w:t>
            </w:r>
          </w:p>
        </w:tc>
      </w:tr>
      <w:tr w14:paraId="6073EF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7AC12268">
            <w:pPr>
              <w:rPr>
                <w:rFonts w:ascii="Arial"/>
                <w:sz w:val="21"/>
              </w:rPr>
            </w:pPr>
          </w:p>
        </w:tc>
        <w:tc>
          <w:tcPr>
            <w:tcW w:w="1060" w:type="dxa"/>
            <w:vMerge w:val="continue"/>
            <w:tcBorders>
              <w:top w:val="nil"/>
              <w:bottom w:val="nil"/>
            </w:tcBorders>
            <w:vAlign w:val="top"/>
          </w:tcPr>
          <w:p w14:paraId="21828AA9">
            <w:pPr>
              <w:rPr>
                <w:rFonts w:ascii="Arial"/>
                <w:sz w:val="21"/>
              </w:rPr>
            </w:pPr>
          </w:p>
        </w:tc>
        <w:tc>
          <w:tcPr>
            <w:tcW w:w="2047" w:type="dxa"/>
            <w:vMerge w:val="continue"/>
            <w:tcBorders>
              <w:top w:val="nil"/>
              <w:bottom w:val="nil"/>
            </w:tcBorders>
            <w:vAlign w:val="top"/>
          </w:tcPr>
          <w:p w14:paraId="219A433F">
            <w:pPr>
              <w:rPr>
                <w:rFonts w:ascii="Arial"/>
                <w:sz w:val="21"/>
              </w:rPr>
            </w:pPr>
          </w:p>
        </w:tc>
        <w:tc>
          <w:tcPr>
            <w:tcW w:w="1781" w:type="dxa"/>
            <w:vAlign w:val="top"/>
          </w:tcPr>
          <w:p w14:paraId="7E8F0202">
            <w:pPr>
              <w:pStyle w:val="6"/>
              <w:spacing w:before="95" w:line="221" w:lineRule="auto"/>
              <w:ind w:left="354"/>
              <w:rPr>
                <w:sz w:val="18"/>
                <w:szCs w:val="18"/>
              </w:rPr>
            </w:pPr>
            <w:r>
              <w:rPr>
                <w:spacing w:val="-2"/>
                <w:sz w:val="18"/>
                <w:szCs w:val="18"/>
              </w:rPr>
              <w:t>锰及其化合物</w:t>
            </w:r>
          </w:p>
        </w:tc>
        <w:tc>
          <w:tcPr>
            <w:tcW w:w="2416" w:type="dxa"/>
            <w:vMerge w:val="continue"/>
            <w:tcBorders>
              <w:top w:val="nil"/>
              <w:bottom w:val="nil"/>
            </w:tcBorders>
            <w:vAlign w:val="top"/>
          </w:tcPr>
          <w:p w14:paraId="3ED7E081">
            <w:pPr>
              <w:rPr>
                <w:rFonts w:ascii="Arial"/>
                <w:sz w:val="21"/>
              </w:rPr>
            </w:pPr>
          </w:p>
        </w:tc>
        <w:tc>
          <w:tcPr>
            <w:tcW w:w="1327" w:type="dxa"/>
            <w:vAlign w:val="top"/>
          </w:tcPr>
          <w:p w14:paraId="10C7E6A1">
            <w:pPr>
              <w:spacing w:before="115" w:line="188" w:lineRule="auto"/>
              <w:ind w:left="51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0.22</w:t>
            </w:r>
          </w:p>
        </w:tc>
        <w:tc>
          <w:tcPr>
            <w:tcW w:w="1247" w:type="dxa"/>
            <w:vAlign w:val="top"/>
          </w:tcPr>
          <w:p w14:paraId="2CDF5375">
            <w:pPr>
              <w:spacing w:before="115" w:line="188" w:lineRule="auto"/>
              <w:ind w:left="4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0.38</w:t>
            </w:r>
          </w:p>
        </w:tc>
        <w:tc>
          <w:tcPr>
            <w:tcW w:w="1048" w:type="dxa"/>
            <w:vMerge w:val="continue"/>
            <w:tcBorders>
              <w:top w:val="nil"/>
              <w:bottom w:val="nil"/>
            </w:tcBorders>
            <w:vAlign w:val="top"/>
          </w:tcPr>
          <w:p w14:paraId="4A5A1BFC">
            <w:pPr>
              <w:rPr>
                <w:rFonts w:ascii="Arial"/>
                <w:sz w:val="21"/>
              </w:rPr>
            </w:pPr>
          </w:p>
        </w:tc>
        <w:tc>
          <w:tcPr>
            <w:tcW w:w="1212" w:type="dxa"/>
            <w:vMerge w:val="continue"/>
            <w:tcBorders>
              <w:top w:val="nil"/>
              <w:bottom w:val="nil"/>
            </w:tcBorders>
            <w:vAlign w:val="top"/>
          </w:tcPr>
          <w:p w14:paraId="30206BDB">
            <w:pPr>
              <w:rPr>
                <w:rFonts w:ascii="Arial"/>
                <w:sz w:val="21"/>
              </w:rPr>
            </w:pPr>
          </w:p>
        </w:tc>
        <w:tc>
          <w:tcPr>
            <w:tcW w:w="844" w:type="dxa"/>
            <w:vMerge w:val="continue"/>
            <w:tcBorders>
              <w:top w:val="nil"/>
              <w:bottom w:val="nil"/>
            </w:tcBorders>
            <w:vAlign w:val="top"/>
          </w:tcPr>
          <w:p w14:paraId="6072D46D">
            <w:pPr>
              <w:rPr>
                <w:rFonts w:ascii="Arial"/>
                <w:sz w:val="21"/>
              </w:rPr>
            </w:pPr>
          </w:p>
        </w:tc>
        <w:tc>
          <w:tcPr>
            <w:tcW w:w="1230" w:type="dxa"/>
            <w:vAlign w:val="top"/>
          </w:tcPr>
          <w:p w14:paraId="4A476270">
            <w:pPr>
              <w:spacing w:before="112"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6B426133">
            <w:pPr>
              <w:rPr>
                <w:rFonts w:ascii="Arial"/>
                <w:sz w:val="21"/>
              </w:rPr>
            </w:pPr>
          </w:p>
        </w:tc>
        <w:tc>
          <w:tcPr>
            <w:tcW w:w="1674" w:type="dxa"/>
            <w:vMerge w:val="continue"/>
            <w:tcBorders>
              <w:top w:val="nil"/>
              <w:bottom w:val="nil"/>
            </w:tcBorders>
            <w:vAlign w:val="top"/>
          </w:tcPr>
          <w:p w14:paraId="626CAE28">
            <w:pPr>
              <w:rPr>
                <w:rFonts w:ascii="Arial"/>
                <w:sz w:val="21"/>
              </w:rPr>
            </w:pPr>
          </w:p>
        </w:tc>
        <w:tc>
          <w:tcPr>
            <w:tcW w:w="1004" w:type="dxa"/>
            <w:vMerge w:val="continue"/>
            <w:tcBorders>
              <w:top w:val="nil"/>
              <w:bottom w:val="nil"/>
            </w:tcBorders>
            <w:vAlign w:val="top"/>
          </w:tcPr>
          <w:p w14:paraId="1F7FE336">
            <w:pPr>
              <w:rPr>
                <w:rFonts w:ascii="Arial"/>
                <w:sz w:val="21"/>
              </w:rPr>
            </w:pPr>
          </w:p>
        </w:tc>
        <w:tc>
          <w:tcPr>
            <w:tcW w:w="2505" w:type="dxa"/>
            <w:vMerge w:val="continue"/>
            <w:tcBorders>
              <w:top w:val="nil"/>
              <w:bottom w:val="nil"/>
              <w:right w:val="nil"/>
            </w:tcBorders>
            <w:vAlign w:val="top"/>
          </w:tcPr>
          <w:p w14:paraId="70B5A249">
            <w:pPr>
              <w:rPr>
                <w:rFonts w:ascii="Arial"/>
                <w:sz w:val="21"/>
              </w:rPr>
            </w:pPr>
          </w:p>
        </w:tc>
      </w:tr>
      <w:tr w14:paraId="6CF734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7098943C">
            <w:pPr>
              <w:rPr>
                <w:rFonts w:ascii="Arial"/>
                <w:sz w:val="21"/>
              </w:rPr>
            </w:pPr>
          </w:p>
        </w:tc>
        <w:tc>
          <w:tcPr>
            <w:tcW w:w="1060" w:type="dxa"/>
            <w:vMerge w:val="continue"/>
            <w:tcBorders>
              <w:top w:val="nil"/>
              <w:bottom w:val="nil"/>
            </w:tcBorders>
            <w:vAlign w:val="top"/>
          </w:tcPr>
          <w:p w14:paraId="723DFE2A">
            <w:pPr>
              <w:rPr>
                <w:rFonts w:ascii="Arial"/>
                <w:sz w:val="21"/>
              </w:rPr>
            </w:pPr>
          </w:p>
        </w:tc>
        <w:tc>
          <w:tcPr>
            <w:tcW w:w="2047" w:type="dxa"/>
            <w:vMerge w:val="continue"/>
            <w:tcBorders>
              <w:top w:val="nil"/>
              <w:bottom w:val="nil"/>
            </w:tcBorders>
            <w:vAlign w:val="top"/>
          </w:tcPr>
          <w:p w14:paraId="52453398">
            <w:pPr>
              <w:rPr>
                <w:rFonts w:ascii="Arial"/>
                <w:sz w:val="21"/>
              </w:rPr>
            </w:pPr>
          </w:p>
        </w:tc>
        <w:tc>
          <w:tcPr>
            <w:tcW w:w="1781" w:type="dxa"/>
            <w:vAlign w:val="top"/>
          </w:tcPr>
          <w:p w14:paraId="0467881B">
            <w:pPr>
              <w:spacing w:before="124" w:line="194" w:lineRule="auto"/>
              <w:ind w:left="754"/>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SO</w:t>
            </w:r>
            <w:r>
              <w:rPr>
                <w:rFonts w:ascii="Times New Roman" w:hAnsi="Times New Roman" w:eastAsia="Times New Roman" w:cs="Times New Roman"/>
                <w:spacing w:val="-3"/>
                <w:position w:val="-1"/>
                <w:sz w:val="11"/>
                <w:szCs w:val="11"/>
              </w:rPr>
              <w:t>2</w:t>
            </w:r>
          </w:p>
        </w:tc>
        <w:tc>
          <w:tcPr>
            <w:tcW w:w="2416" w:type="dxa"/>
            <w:vMerge w:val="continue"/>
            <w:tcBorders>
              <w:top w:val="nil"/>
              <w:bottom w:val="nil"/>
            </w:tcBorders>
            <w:vAlign w:val="top"/>
          </w:tcPr>
          <w:p w14:paraId="21AD9B05">
            <w:pPr>
              <w:rPr>
                <w:rFonts w:ascii="Arial"/>
                <w:sz w:val="21"/>
              </w:rPr>
            </w:pPr>
          </w:p>
        </w:tc>
        <w:tc>
          <w:tcPr>
            <w:tcW w:w="1327" w:type="dxa"/>
            <w:vAlign w:val="top"/>
          </w:tcPr>
          <w:p w14:paraId="2ED2492A">
            <w:pPr>
              <w:spacing w:before="115" w:line="188"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19.89</w:t>
            </w:r>
          </w:p>
        </w:tc>
        <w:tc>
          <w:tcPr>
            <w:tcW w:w="1247" w:type="dxa"/>
            <w:vAlign w:val="top"/>
          </w:tcPr>
          <w:p w14:paraId="1CD5C92D">
            <w:pPr>
              <w:spacing w:before="115" w:line="188" w:lineRule="auto"/>
              <w:ind w:left="42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35.37</w:t>
            </w:r>
          </w:p>
        </w:tc>
        <w:tc>
          <w:tcPr>
            <w:tcW w:w="1048" w:type="dxa"/>
            <w:vMerge w:val="continue"/>
            <w:tcBorders>
              <w:top w:val="nil"/>
              <w:bottom w:val="nil"/>
            </w:tcBorders>
            <w:vAlign w:val="top"/>
          </w:tcPr>
          <w:p w14:paraId="2BC423E5">
            <w:pPr>
              <w:rPr>
                <w:rFonts w:ascii="Arial"/>
                <w:sz w:val="21"/>
              </w:rPr>
            </w:pPr>
          </w:p>
        </w:tc>
        <w:tc>
          <w:tcPr>
            <w:tcW w:w="1212" w:type="dxa"/>
            <w:vMerge w:val="continue"/>
            <w:tcBorders>
              <w:top w:val="nil"/>
              <w:bottom w:val="nil"/>
            </w:tcBorders>
            <w:vAlign w:val="top"/>
          </w:tcPr>
          <w:p w14:paraId="6414DFA5">
            <w:pPr>
              <w:rPr>
                <w:rFonts w:ascii="Arial"/>
                <w:sz w:val="21"/>
              </w:rPr>
            </w:pPr>
          </w:p>
        </w:tc>
        <w:tc>
          <w:tcPr>
            <w:tcW w:w="844" w:type="dxa"/>
            <w:vMerge w:val="continue"/>
            <w:tcBorders>
              <w:top w:val="nil"/>
              <w:bottom w:val="nil"/>
            </w:tcBorders>
            <w:vAlign w:val="top"/>
          </w:tcPr>
          <w:p w14:paraId="7794AF24">
            <w:pPr>
              <w:rPr>
                <w:rFonts w:ascii="Arial"/>
                <w:sz w:val="21"/>
              </w:rPr>
            </w:pPr>
          </w:p>
        </w:tc>
        <w:tc>
          <w:tcPr>
            <w:tcW w:w="1230" w:type="dxa"/>
            <w:vAlign w:val="top"/>
          </w:tcPr>
          <w:p w14:paraId="4DBE845A">
            <w:pPr>
              <w:spacing w:before="115" w:line="188" w:lineRule="auto"/>
              <w:ind w:left="41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35.37</w:t>
            </w:r>
          </w:p>
        </w:tc>
        <w:tc>
          <w:tcPr>
            <w:tcW w:w="1060" w:type="dxa"/>
            <w:vMerge w:val="continue"/>
            <w:tcBorders>
              <w:top w:val="nil"/>
              <w:bottom w:val="nil"/>
            </w:tcBorders>
            <w:vAlign w:val="top"/>
          </w:tcPr>
          <w:p w14:paraId="7747EEB6">
            <w:pPr>
              <w:rPr>
                <w:rFonts w:ascii="Arial"/>
                <w:sz w:val="21"/>
              </w:rPr>
            </w:pPr>
          </w:p>
        </w:tc>
        <w:tc>
          <w:tcPr>
            <w:tcW w:w="1674" w:type="dxa"/>
            <w:vMerge w:val="continue"/>
            <w:tcBorders>
              <w:top w:val="nil"/>
              <w:bottom w:val="nil"/>
            </w:tcBorders>
            <w:vAlign w:val="top"/>
          </w:tcPr>
          <w:p w14:paraId="041BF075">
            <w:pPr>
              <w:rPr>
                <w:rFonts w:ascii="Arial"/>
                <w:sz w:val="21"/>
              </w:rPr>
            </w:pPr>
          </w:p>
        </w:tc>
        <w:tc>
          <w:tcPr>
            <w:tcW w:w="1004" w:type="dxa"/>
            <w:vMerge w:val="continue"/>
            <w:tcBorders>
              <w:top w:val="nil"/>
              <w:bottom w:val="nil"/>
            </w:tcBorders>
            <w:vAlign w:val="top"/>
          </w:tcPr>
          <w:p w14:paraId="39BCC5A0">
            <w:pPr>
              <w:rPr>
                <w:rFonts w:ascii="Arial"/>
                <w:sz w:val="21"/>
              </w:rPr>
            </w:pPr>
          </w:p>
        </w:tc>
        <w:tc>
          <w:tcPr>
            <w:tcW w:w="2505" w:type="dxa"/>
            <w:vMerge w:val="continue"/>
            <w:tcBorders>
              <w:top w:val="nil"/>
              <w:bottom w:val="nil"/>
              <w:right w:val="nil"/>
            </w:tcBorders>
            <w:vAlign w:val="top"/>
          </w:tcPr>
          <w:p w14:paraId="4C61CACE">
            <w:pPr>
              <w:rPr>
                <w:rFonts w:ascii="Arial"/>
                <w:sz w:val="21"/>
              </w:rPr>
            </w:pPr>
          </w:p>
        </w:tc>
      </w:tr>
      <w:tr w14:paraId="05CC6F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49817B25">
            <w:pPr>
              <w:rPr>
                <w:rFonts w:ascii="Arial"/>
                <w:sz w:val="21"/>
              </w:rPr>
            </w:pPr>
          </w:p>
        </w:tc>
        <w:tc>
          <w:tcPr>
            <w:tcW w:w="1060" w:type="dxa"/>
            <w:vMerge w:val="continue"/>
            <w:tcBorders>
              <w:top w:val="nil"/>
              <w:bottom w:val="nil"/>
            </w:tcBorders>
            <w:vAlign w:val="top"/>
          </w:tcPr>
          <w:p w14:paraId="4B9B5650">
            <w:pPr>
              <w:rPr>
                <w:rFonts w:ascii="Arial"/>
                <w:sz w:val="21"/>
              </w:rPr>
            </w:pPr>
          </w:p>
        </w:tc>
        <w:tc>
          <w:tcPr>
            <w:tcW w:w="2047" w:type="dxa"/>
            <w:vMerge w:val="continue"/>
            <w:tcBorders>
              <w:top w:val="nil"/>
              <w:bottom w:val="nil"/>
            </w:tcBorders>
            <w:vAlign w:val="top"/>
          </w:tcPr>
          <w:p w14:paraId="64B2BECD">
            <w:pPr>
              <w:rPr>
                <w:rFonts w:ascii="Arial"/>
                <w:sz w:val="21"/>
              </w:rPr>
            </w:pPr>
          </w:p>
        </w:tc>
        <w:tc>
          <w:tcPr>
            <w:tcW w:w="1781" w:type="dxa"/>
            <w:vAlign w:val="top"/>
          </w:tcPr>
          <w:p w14:paraId="4124B930">
            <w:pPr>
              <w:spacing w:before="124" w:line="194" w:lineRule="auto"/>
              <w:ind w:left="726"/>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NO</w:t>
            </w:r>
            <w:r>
              <w:rPr>
                <w:rFonts w:ascii="Times New Roman" w:hAnsi="Times New Roman" w:eastAsia="Times New Roman" w:cs="Times New Roman"/>
                <w:spacing w:val="1"/>
                <w:position w:val="-1"/>
                <w:sz w:val="11"/>
                <w:szCs w:val="11"/>
              </w:rPr>
              <w:t>x</w:t>
            </w:r>
          </w:p>
        </w:tc>
        <w:tc>
          <w:tcPr>
            <w:tcW w:w="2416" w:type="dxa"/>
            <w:vMerge w:val="continue"/>
            <w:tcBorders>
              <w:top w:val="nil"/>
              <w:bottom w:val="nil"/>
            </w:tcBorders>
            <w:vAlign w:val="top"/>
          </w:tcPr>
          <w:p w14:paraId="147CAAE2">
            <w:pPr>
              <w:rPr>
                <w:rFonts w:ascii="Arial"/>
                <w:sz w:val="21"/>
              </w:rPr>
            </w:pPr>
          </w:p>
        </w:tc>
        <w:tc>
          <w:tcPr>
            <w:tcW w:w="1327" w:type="dxa"/>
            <w:vAlign w:val="top"/>
          </w:tcPr>
          <w:p w14:paraId="14E669D9">
            <w:pPr>
              <w:spacing w:before="116" w:line="188" w:lineRule="auto"/>
              <w:ind w:left="46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77.98</w:t>
            </w:r>
          </w:p>
        </w:tc>
        <w:tc>
          <w:tcPr>
            <w:tcW w:w="1247" w:type="dxa"/>
            <w:vAlign w:val="top"/>
          </w:tcPr>
          <w:p w14:paraId="241F7602">
            <w:pPr>
              <w:spacing w:before="116" w:line="188" w:lineRule="auto"/>
              <w:ind w:left="39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138.63</w:t>
            </w:r>
          </w:p>
        </w:tc>
        <w:tc>
          <w:tcPr>
            <w:tcW w:w="1048" w:type="dxa"/>
            <w:vMerge w:val="continue"/>
            <w:tcBorders>
              <w:top w:val="nil"/>
              <w:bottom w:val="nil"/>
            </w:tcBorders>
            <w:vAlign w:val="top"/>
          </w:tcPr>
          <w:p w14:paraId="7E7E8EB4">
            <w:pPr>
              <w:rPr>
                <w:rFonts w:ascii="Arial"/>
                <w:sz w:val="21"/>
              </w:rPr>
            </w:pPr>
          </w:p>
        </w:tc>
        <w:tc>
          <w:tcPr>
            <w:tcW w:w="1212" w:type="dxa"/>
            <w:vMerge w:val="continue"/>
            <w:tcBorders>
              <w:top w:val="nil"/>
              <w:bottom w:val="nil"/>
            </w:tcBorders>
            <w:vAlign w:val="top"/>
          </w:tcPr>
          <w:p w14:paraId="19F7A760">
            <w:pPr>
              <w:rPr>
                <w:rFonts w:ascii="Arial"/>
                <w:sz w:val="21"/>
              </w:rPr>
            </w:pPr>
          </w:p>
        </w:tc>
        <w:tc>
          <w:tcPr>
            <w:tcW w:w="844" w:type="dxa"/>
            <w:vMerge w:val="continue"/>
            <w:tcBorders>
              <w:top w:val="nil"/>
              <w:bottom w:val="nil"/>
            </w:tcBorders>
            <w:vAlign w:val="top"/>
          </w:tcPr>
          <w:p w14:paraId="0FB902CD">
            <w:pPr>
              <w:rPr>
                <w:rFonts w:ascii="Arial"/>
                <w:sz w:val="21"/>
              </w:rPr>
            </w:pPr>
          </w:p>
        </w:tc>
        <w:tc>
          <w:tcPr>
            <w:tcW w:w="1230" w:type="dxa"/>
            <w:vAlign w:val="top"/>
          </w:tcPr>
          <w:p w14:paraId="233E6FE6">
            <w:pPr>
              <w:spacing w:before="116" w:line="188" w:lineRule="auto"/>
              <w:ind w:left="38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138.63</w:t>
            </w:r>
          </w:p>
        </w:tc>
        <w:tc>
          <w:tcPr>
            <w:tcW w:w="1060" w:type="dxa"/>
            <w:vMerge w:val="continue"/>
            <w:tcBorders>
              <w:top w:val="nil"/>
              <w:bottom w:val="nil"/>
            </w:tcBorders>
            <w:vAlign w:val="top"/>
          </w:tcPr>
          <w:p w14:paraId="1B298868">
            <w:pPr>
              <w:rPr>
                <w:rFonts w:ascii="Arial"/>
                <w:sz w:val="21"/>
              </w:rPr>
            </w:pPr>
          </w:p>
        </w:tc>
        <w:tc>
          <w:tcPr>
            <w:tcW w:w="1674" w:type="dxa"/>
            <w:vMerge w:val="continue"/>
            <w:tcBorders>
              <w:top w:val="nil"/>
              <w:bottom w:val="nil"/>
            </w:tcBorders>
            <w:vAlign w:val="top"/>
          </w:tcPr>
          <w:p w14:paraId="608311D2">
            <w:pPr>
              <w:rPr>
                <w:rFonts w:ascii="Arial"/>
                <w:sz w:val="21"/>
              </w:rPr>
            </w:pPr>
          </w:p>
        </w:tc>
        <w:tc>
          <w:tcPr>
            <w:tcW w:w="1004" w:type="dxa"/>
            <w:vMerge w:val="continue"/>
            <w:tcBorders>
              <w:top w:val="nil"/>
              <w:bottom w:val="nil"/>
            </w:tcBorders>
            <w:vAlign w:val="top"/>
          </w:tcPr>
          <w:p w14:paraId="130E29E5">
            <w:pPr>
              <w:rPr>
                <w:rFonts w:ascii="Arial"/>
                <w:sz w:val="21"/>
              </w:rPr>
            </w:pPr>
          </w:p>
        </w:tc>
        <w:tc>
          <w:tcPr>
            <w:tcW w:w="2505" w:type="dxa"/>
            <w:vMerge w:val="continue"/>
            <w:tcBorders>
              <w:top w:val="nil"/>
              <w:bottom w:val="nil"/>
              <w:right w:val="nil"/>
            </w:tcBorders>
            <w:vAlign w:val="top"/>
          </w:tcPr>
          <w:p w14:paraId="10C956CE">
            <w:pPr>
              <w:rPr>
                <w:rFonts w:ascii="Arial"/>
                <w:sz w:val="21"/>
              </w:rPr>
            </w:pPr>
          </w:p>
        </w:tc>
      </w:tr>
      <w:tr w14:paraId="0FD818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18FFC142">
            <w:pPr>
              <w:rPr>
                <w:rFonts w:ascii="Arial"/>
                <w:sz w:val="21"/>
              </w:rPr>
            </w:pPr>
          </w:p>
        </w:tc>
        <w:tc>
          <w:tcPr>
            <w:tcW w:w="1060" w:type="dxa"/>
            <w:vMerge w:val="continue"/>
            <w:tcBorders>
              <w:top w:val="nil"/>
            </w:tcBorders>
            <w:vAlign w:val="top"/>
          </w:tcPr>
          <w:p w14:paraId="6B528E3D">
            <w:pPr>
              <w:rPr>
                <w:rFonts w:ascii="Arial"/>
                <w:sz w:val="21"/>
              </w:rPr>
            </w:pPr>
          </w:p>
        </w:tc>
        <w:tc>
          <w:tcPr>
            <w:tcW w:w="2047" w:type="dxa"/>
            <w:vMerge w:val="continue"/>
            <w:tcBorders>
              <w:top w:val="nil"/>
            </w:tcBorders>
            <w:vAlign w:val="top"/>
          </w:tcPr>
          <w:p w14:paraId="1B7DCA0F">
            <w:pPr>
              <w:rPr>
                <w:rFonts w:ascii="Arial"/>
                <w:sz w:val="21"/>
              </w:rPr>
            </w:pPr>
          </w:p>
        </w:tc>
        <w:tc>
          <w:tcPr>
            <w:tcW w:w="1781" w:type="dxa"/>
            <w:vAlign w:val="top"/>
          </w:tcPr>
          <w:p w14:paraId="4A5FA373">
            <w:pPr>
              <w:spacing w:before="128" w:line="190" w:lineRule="auto"/>
              <w:ind w:left="726"/>
              <w:rPr>
                <w:rFonts w:ascii="Times New Roman" w:hAnsi="Times New Roman" w:eastAsia="Times New Roman" w:cs="Times New Roman"/>
                <w:sz w:val="11"/>
                <w:szCs w:val="11"/>
              </w:rPr>
            </w:pPr>
            <w:r>
              <w:rPr>
                <w:rFonts w:ascii="Times New Roman" w:hAnsi="Times New Roman" w:eastAsia="Times New Roman" w:cs="Times New Roman"/>
                <w:sz w:val="18"/>
                <w:szCs w:val="18"/>
              </w:rPr>
              <w:t>NH</w:t>
            </w:r>
            <w:r>
              <w:rPr>
                <w:rFonts w:ascii="Times New Roman" w:hAnsi="Times New Roman" w:eastAsia="Times New Roman" w:cs="Times New Roman"/>
                <w:spacing w:val="3"/>
                <w:position w:val="-1"/>
                <w:sz w:val="11"/>
                <w:szCs w:val="11"/>
              </w:rPr>
              <w:t>3</w:t>
            </w:r>
          </w:p>
        </w:tc>
        <w:tc>
          <w:tcPr>
            <w:tcW w:w="2416" w:type="dxa"/>
            <w:vMerge w:val="continue"/>
            <w:tcBorders>
              <w:top w:val="nil"/>
            </w:tcBorders>
            <w:vAlign w:val="top"/>
          </w:tcPr>
          <w:p w14:paraId="228F2203">
            <w:pPr>
              <w:rPr>
                <w:rFonts w:ascii="Arial"/>
                <w:sz w:val="21"/>
              </w:rPr>
            </w:pPr>
          </w:p>
        </w:tc>
        <w:tc>
          <w:tcPr>
            <w:tcW w:w="1327" w:type="dxa"/>
            <w:vAlign w:val="top"/>
          </w:tcPr>
          <w:p w14:paraId="2947EE5E">
            <w:pPr>
              <w:spacing w:before="115" w:line="188" w:lineRule="auto"/>
              <w:ind w:left="50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2.50</w:t>
            </w:r>
          </w:p>
        </w:tc>
        <w:tc>
          <w:tcPr>
            <w:tcW w:w="1247" w:type="dxa"/>
            <w:vAlign w:val="top"/>
          </w:tcPr>
          <w:p w14:paraId="79F738A6">
            <w:pPr>
              <w:spacing w:before="115" w:line="188" w:lineRule="auto"/>
              <w:ind w:left="46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4.44</w:t>
            </w:r>
          </w:p>
        </w:tc>
        <w:tc>
          <w:tcPr>
            <w:tcW w:w="1048" w:type="dxa"/>
            <w:vMerge w:val="continue"/>
            <w:tcBorders>
              <w:top w:val="nil"/>
            </w:tcBorders>
            <w:vAlign w:val="top"/>
          </w:tcPr>
          <w:p w14:paraId="0742FCC7">
            <w:pPr>
              <w:rPr>
                <w:rFonts w:ascii="Arial"/>
                <w:sz w:val="21"/>
              </w:rPr>
            </w:pPr>
          </w:p>
        </w:tc>
        <w:tc>
          <w:tcPr>
            <w:tcW w:w="1212" w:type="dxa"/>
            <w:vMerge w:val="continue"/>
            <w:tcBorders>
              <w:top w:val="nil"/>
            </w:tcBorders>
            <w:vAlign w:val="top"/>
          </w:tcPr>
          <w:p w14:paraId="6B047695">
            <w:pPr>
              <w:rPr>
                <w:rFonts w:ascii="Arial"/>
                <w:sz w:val="21"/>
              </w:rPr>
            </w:pPr>
          </w:p>
        </w:tc>
        <w:tc>
          <w:tcPr>
            <w:tcW w:w="844" w:type="dxa"/>
            <w:vMerge w:val="continue"/>
            <w:tcBorders>
              <w:top w:val="nil"/>
            </w:tcBorders>
            <w:vAlign w:val="top"/>
          </w:tcPr>
          <w:p w14:paraId="7E2B06F3">
            <w:pPr>
              <w:rPr>
                <w:rFonts w:ascii="Arial"/>
                <w:sz w:val="21"/>
              </w:rPr>
            </w:pPr>
          </w:p>
        </w:tc>
        <w:tc>
          <w:tcPr>
            <w:tcW w:w="1230" w:type="dxa"/>
            <w:vAlign w:val="top"/>
          </w:tcPr>
          <w:p w14:paraId="0CFA8AF1">
            <w:pPr>
              <w:spacing w:before="112"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0F9B57E0">
            <w:pPr>
              <w:rPr>
                <w:rFonts w:ascii="Arial"/>
                <w:sz w:val="21"/>
              </w:rPr>
            </w:pPr>
          </w:p>
        </w:tc>
        <w:tc>
          <w:tcPr>
            <w:tcW w:w="1674" w:type="dxa"/>
            <w:vMerge w:val="continue"/>
            <w:tcBorders>
              <w:top w:val="nil"/>
            </w:tcBorders>
            <w:vAlign w:val="top"/>
          </w:tcPr>
          <w:p w14:paraId="56836713">
            <w:pPr>
              <w:rPr>
                <w:rFonts w:ascii="Arial"/>
                <w:sz w:val="21"/>
              </w:rPr>
            </w:pPr>
          </w:p>
        </w:tc>
        <w:tc>
          <w:tcPr>
            <w:tcW w:w="1004" w:type="dxa"/>
            <w:vMerge w:val="continue"/>
            <w:tcBorders>
              <w:top w:val="nil"/>
            </w:tcBorders>
            <w:vAlign w:val="top"/>
          </w:tcPr>
          <w:p w14:paraId="0C18BCC5">
            <w:pPr>
              <w:rPr>
                <w:rFonts w:ascii="Arial"/>
                <w:sz w:val="21"/>
              </w:rPr>
            </w:pPr>
          </w:p>
        </w:tc>
        <w:tc>
          <w:tcPr>
            <w:tcW w:w="2505" w:type="dxa"/>
            <w:vMerge w:val="continue"/>
            <w:tcBorders>
              <w:top w:val="nil"/>
              <w:right w:val="nil"/>
            </w:tcBorders>
            <w:vAlign w:val="top"/>
          </w:tcPr>
          <w:p w14:paraId="5784AE36">
            <w:pPr>
              <w:rPr>
                <w:rFonts w:ascii="Arial"/>
                <w:sz w:val="21"/>
              </w:rPr>
            </w:pPr>
          </w:p>
        </w:tc>
      </w:tr>
      <w:tr w14:paraId="75E15B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730" w:type="dxa"/>
            <w:vMerge w:val="continue"/>
            <w:tcBorders>
              <w:top w:val="nil"/>
              <w:left w:val="nil"/>
              <w:bottom w:val="nil"/>
            </w:tcBorders>
            <w:vAlign w:val="top"/>
          </w:tcPr>
          <w:p w14:paraId="7512E5B4">
            <w:pPr>
              <w:rPr>
                <w:rFonts w:ascii="Arial"/>
                <w:sz w:val="21"/>
              </w:rPr>
            </w:pPr>
          </w:p>
        </w:tc>
        <w:tc>
          <w:tcPr>
            <w:tcW w:w="1060" w:type="dxa"/>
            <w:vAlign w:val="top"/>
          </w:tcPr>
          <w:p w14:paraId="667E4E8B">
            <w:pPr>
              <w:spacing w:before="276" w:line="201" w:lineRule="auto"/>
              <w:ind w:left="438"/>
              <w:rPr>
                <w:rFonts w:ascii="Times New Roman" w:hAnsi="Times New Roman" w:eastAsia="Times New Roman" w:cs="Times New Roman"/>
                <w:sz w:val="11"/>
                <w:szCs w:val="11"/>
              </w:rPr>
            </w:pPr>
            <w:r>
              <w:rPr>
                <w:rFonts w:ascii="Times New Roman" w:hAnsi="Times New Roman" w:eastAsia="Times New Roman" w:cs="Times New Roman"/>
                <w:spacing w:val="-3"/>
                <w:sz w:val="18"/>
                <w:szCs w:val="18"/>
              </w:rPr>
              <w:t>G</w:t>
            </w:r>
            <w:r>
              <w:rPr>
                <w:rFonts w:ascii="Times New Roman" w:hAnsi="Times New Roman" w:eastAsia="Times New Roman" w:cs="Times New Roman"/>
                <w:spacing w:val="-3"/>
                <w:sz w:val="11"/>
                <w:szCs w:val="11"/>
              </w:rPr>
              <w:t>3</w:t>
            </w:r>
          </w:p>
        </w:tc>
        <w:tc>
          <w:tcPr>
            <w:tcW w:w="2047" w:type="dxa"/>
            <w:vAlign w:val="top"/>
          </w:tcPr>
          <w:p w14:paraId="5CE892CE">
            <w:pPr>
              <w:pStyle w:val="6"/>
              <w:spacing w:before="246" w:line="219" w:lineRule="auto"/>
              <w:ind w:left="490"/>
              <w:rPr>
                <w:sz w:val="18"/>
                <w:szCs w:val="18"/>
              </w:rPr>
            </w:pPr>
            <w:r>
              <w:rPr>
                <w:spacing w:val="-2"/>
                <w:sz w:val="18"/>
                <w:szCs w:val="18"/>
              </w:rPr>
              <w:t>厂区餐厅油烟</w:t>
            </w:r>
          </w:p>
        </w:tc>
        <w:tc>
          <w:tcPr>
            <w:tcW w:w="1781" w:type="dxa"/>
            <w:vAlign w:val="top"/>
          </w:tcPr>
          <w:p w14:paraId="1B330BC8">
            <w:pPr>
              <w:pStyle w:val="6"/>
              <w:spacing w:before="245" w:line="221" w:lineRule="auto"/>
              <w:ind w:left="717"/>
              <w:rPr>
                <w:sz w:val="18"/>
                <w:szCs w:val="18"/>
              </w:rPr>
            </w:pPr>
            <w:r>
              <w:rPr>
                <w:spacing w:val="-5"/>
                <w:sz w:val="18"/>
                <w:szCs w:val="18"/>
              </w:rPr>
              <w:t>油烟</w:t>
            </w:r>
          </w:p>
        </w:tc>
        <w:tc>
          <w:tcPr>
            <w:tcW w:w="2416" w:type="dxa"/>
            <w:vAlign w:val="top"/>
          </w:tcPr>
          <w:p w14:paraId="0FE75D3A">
            <w:pPr>
              <w:pStyle w:val="6"/>
              <w:spacing w:before="246" w:line="220" w:lineRule="auto"/>
              <w:ind w:left="676"/>
              <w:rPr>
                <w:sz w:val="18"/>
                <w:szCs w:val="18"/>
              </w:rPr>
            </w:pPr>
            <w:r>
              <w:rPr>
                <w:spacing w:val="-2"/>
                <w:sz w:val="18"/>
                <w:szCs w:val="18"/>
              </w:rPr>
              <w:t>油烟净化装置</w:t>
            </w:r>
          </w:p>
        </w:tc>
        <w:tc>
          <w:tcPr>
            <w:tcW w:w="1327" w:type="dxa"/>
            <w:vAlign w:val="top"/>
          </w:tcPr>
          <w:p w14:paraId="4CC4390F">
            <w:pPr>
              <w:spacing w:before="277" w:line="188" w:lineRule="auto"/>
              <w:ind w:left="524"/>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1.57</w:t>
            </w:r>
          </w:p>
        </w:tc>
        <w:tc>
          <w:tcPr>
            <w:tcW w:w="1247" w:type="dxa"/>
            <w:vAlign w:val="top"/>
          </w:tcPr>
          <w:p w14:paraId="18D40207">
            <w:pPr>
              <w:spacing w:before="277" w:line="188" w:lineRule="auto"/>
              <w:ind w:left="4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0.03</w:t>
            </w:r>
          </w:p>
        </w:tc>
        <w:tc>
          <w:tcPr>
            <w:tcW w:w="2260" w:type="dxa"/>
            <w:gridSpan w:val="2"/>
            <w:vAlign w:val="top"/>
          </w:tcPr>
          <w:p w14:paraId="012212AB">
            <w:pPr>
              <w:pStyle w:val="6"/>
              <w:spacing w:before="87" w:line="279" w:lineRule="auto"/>
              <w:ind w:left="1044" w:right="48" w:hanging="991"/>
              <w:rPr>
                <w:sz w:val="18"/>
                <w:szCs w:val="18"/>
              </w:rPr>
            </w:pPr>
            <w:r>
              <w:rPr>
                <w:spacing w:val="-1"/>
                <w:sz w:val="18"/>
                <w:szCs w:val="18"/>
              </w:rPr>
              <w:t>通过餐厅专用井道至屋顶排</w:t>
            </w:r>
            <w:r>
              <w:rPr>
                <w:spacing w:val="3"/>
                <w:sz w:val="18"/>
                <w:szCs w:val="18"/>
              </w:rPr>
              <w:t xml:space="preserve"> </w:t>
            </w:r>
            <w:r>
              <w:rPr>
                <w:sz w:val="18"/>
                <w:szCs w:val="18"/>
              </w:rPr>
              <w:t>放</w:t>
            </w:r>
          </w:p>
        </w:tc>
        <w:tc>
          <w:tcPr>
            <w:tcW w:w="844" w:type="dxa"/>
            <w:vAlign w:val="top"/>
          </w:tcPr>
          <w:p w14:paraId="193B8786">
            <w:pPr>
              <w:pStyle w:val="6"/>
              <w:spacing w:before="246" w:line="219" w:lineRule="auto"/>
              <w:ind w:left="260"/>
              <w:rPr>
                <w:sz w:val="18"/>
                <w:szCs w:val="18"/>
              </w:rPr>
            </w:pPr>
            <w:r>
              <w:rPr>
                <w:spacing w:val="-11"/>
                <w:sz w:val="18"/>
                <w:szCs w:val="18"/>
              </w:rPr>
              <w:t>间断</w:t>
            </w:r>
          </w:p>
        </w:tc>
        <w:tc>
          <w:tcPr>
            <w:tcW w:w="1230" w:type="dxa"/>
            <w:vAlign w:val="top"/>
          </w:tcPr>
          <w:p w14:paraId="16ED450D">
            <w:pPr>
              <w:spacing w:before="274"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tcBorders>
            <w:vAlign w:val="top"/>
          </w:tcPr>
          <w:p w14:paraId="5BEED350">
            <w:pPr>
              <w:rPr>
                <w:rFonts w:ascii="Arial"/>
                <w:sz w:val="21"/>
              </w:rPr>
            </w:pPr>
          </w:p>
        </w:tc>
        <w:tc>
          <w:tcPr>
            <w:tcW w:w="1674" w:type="dxa"/>
            <w:vAlign w:val="top"/>
          </w:tcPr>
          <w:p w14:paraId="429E9D20">
            <w:pPr>
              <w:pStyle w:val="6"/>
              <w:spacing w:before="245" w:line="221" w:lineRule="auto"/>
              <w:ind w:left="665"/>
              <w:rPr>
                <w:sz w:val="18"/>
                <w:szCs w:val="18"/>
              </w:rPr>
            </w:pPr>
            <w:r>
              <w:rPr>
                <w:spacing w:val="-5"/>
                <w:sz w:val="18"/>
                <w:szCs w:val="18"/>
              </w:rPr>
              <w:t>油烟</w:t>
            </w:r>
          </w:p>
        </w:tc>
        <w:tc>
          <w:tcPr>
            <w:tcW w:w="1004" w:type="dxa"/>
            <w:vAlign w:val="top"/>
          </w:tcPr>
          <w:p w14:paraId="55AB98B7">
            <w:pPr>
              <w:pStyle w:val="6"/>
              <w:spacing w:before="87" w:line="279" w:lineRule="auto"/>
              <w:ind w:left="423" w:right="67" w:hanging="348"/>
              <w:rPr>
                <w:sz w:val="18"/>
                <w:szCs w:val="18"/>
              </w:rPr>
            </w:pPr>
            <w:r>
              <w:rPr>
                <w:spacing w:val="-5"/>
                <w:sz w:val="18"/>
                <w:szCs w:val="18"/>
              </w:rPr>
              <w:t>每季度</w:t>
            </w:r>
            <w:r>
              <w:rPr>
                <w:spacing w:val="-23"/>
                <w:sz w:val="18"/>
                <w:szCs w:val="18"/>
              </w:rPr>
              <w:t xml:space="preserve"> </w:t>
            </w:r>
            <w:r>
              <w:rPr>
                <w:rFonts w:ascii="Times New Roman" w:hAnsi="Times New Roman" w:eastAsia="Times New Roman" w:cs="Times New Roman"/>
                <w:spacing w:val="-5"/>
                <w:sz w:val="18"/>
                <w:szCs w:val="18"/>
              </w:rPr>
              <w:t>1~2</w:t>
            </w:r>
            <w:r>
              <w:rPr>
                <w:rFonts w:ascii="Times New Roman" w:hAnsi="Times New Roman" w:eastAsia="Times New Roman" w:cs="Times New Roman"/>
                <w:sz w:val="18"/>
                <w:szCs w:val="18"/>
              </w:rPr>
              <w:t xml:space="preserve"> </w:t>
            </w:r>
            <w:r>
              <w:rPr>
                <w:sz w:val="18"/>
                <w:szCs w:val="18"/>
              </w:rPr>
              <w:t>次</w:t>
            </w:r>
          </w:p>
        </w:tc>
        <w:tc>
          <w:tcPr>
            <w:tcW w:w="2505" w:type="dxa"/>
            <w:tcBorders>
              <w:right w:val="nil"/>
            </w:tcBorders>
            <w:vAlign w:val="top"/>
          </w:tcPr>
          <w:p w14:paraId="05D0C1F4">
            <w:pPr>
              <w:spacing w:before="277" w:line="188" w:lineRule="auto"/>
              <w:ind w:left="69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GB18483-2001</w:t>
            </w:r>
          </w:p>
        </w:tc>
      </w:tr>
      <w:tr w14:paraId="7B4C2C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730" w:type="dxa"/>
            <w:vMerge w:val="restart"/>
            <w:tcBorders>
              <w:top w:val="nil"/>
              <w:left w:val="nil"/>
              <w:bottom w:val="nil"/>
            </w:tcBorders>
            <w:vAlign w:val="top"/>
          </w:tcPr>
          <w:p w14:paraId="652CF0F8">
            <w:pPr>
              <w:rPr>
                <w:rFonts w:ascii="Arial"/>
                <w:sz w:val="21"/>
              </w:rPr>
            </w:pPr>
          </w:p>
        </w:tc>
        <w:tc>
          <w:tcPr>
            <w:tcW w:w="1060" w:type="dxa"/>
            <w:vAlign w:val="top"/>
          </w:tcPr>
          <w:p w14:paraId="52A52E1D">
            <w:pPr>
              <w:spacing w:before="275"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47" w:type="dxa"/>
            <w:vAlign w:val="top"/>
          </w:tcPr>
          <w:p w14:paraId="34F60163">
            <w:pPr>
              <w:pStyle w:val="6"/>
              <w:spacing w:before="87" w:line="279" w:lineRule="auto"/>
              <w:ind w:left="757" w:right="660" w:hanging="85"/>
              <w:rPr>
                <w:sz w:val="18"/>
                <w:szCs w:val="18"/>
              </w:rPr>
            </w:pPr>
            <w:r>
              <w:rPr>
                <w:spacing w:val="-3"/>
                <w:sz w:val="18"/>
                <w:szCs w:val="18"/>
              </w:rPr>
              <w:t>原料大棚</w:t>
            </w:r>
            <w:r>
              <w:rPr>
                <w:sz w:val="18"/>
                <w:szCs w:val="18"/>
              </w:rPr>
              <w:t xml:space="preserve"> </w:t>
            </w:r>
            <w:r>
              <w:rPr>
                <w:spacing w:val="-3"/>
                <w:sz w:val="18"/>
                <w:szCs w:val="18"/>
              </w:rPr>
              <w:t>无组织</w:t>
            </w:r>
          </w:p>
        </w:tc>
        <w:tc>
          <w:tcPr>
            <w:tcW w:w="1781" w:type="dxa"/>
            <w:vAlign w:val="top"/>
          </w:tcPr>
          <w:p w14:paraId="3FB1AF87">
            <w:pPr>
              <w:pStyle w:val="6"/>
              <w:spacing w:before="247" w:line="220" w:lineRule="auto"/>
              <w:ind w:left="624"/>
              <w:rPr>
                <w:sz w:val="18"/>
                <w:szCs w:val="18"/>
              </w:rPr>
            </w:pPr>
            <w:r>
              <w:rPr>
                <w:spacing w:val="-3"/>
                <w:sz w:val="18"/>
                <w:szCs w:val="18"/>
              </w:rPr>
              <w:t>颗粒物</w:t>
            </w:r>
          </w:p>
        </w:tc>
        <w:tc>
          <w:tcPr>
            <w:tcW w:w="2416" w:type="dxa"/>
            <w:vAlign w:val="top"/>
          </w:tcPr>
          <w:p w14:paraId="0D25CC0A">
            <w:pPr>
              <w:pStyle w:val="6"/>
              <w:spacing w:before="247" w:line="219" w:lineRule="auto"/>
              <w:ind w:left="581"/>
              <w:rPr>
                <w:sz w:val="18"/>
                <w:szCs w:val="18"/>
              </w:rPr>
            </w:pPr>
            <w:r>
              <w:rPr>
                <w:spacing w:val="-1"/>
                <w:sz w:val="18"/>
                <w:szCs w:val="18"/>
              </w:rPr>
              <w:t>封闭，喷雾降尘</w:t>
            </w:r>
          </w:p>
        </w:tc>
        <w:tc>
          <w:tcPr>
            <w:tcW w:w="1327" w:type="dxa"/>
            <w:vAlign w:val="top"/>
          </w:tcPr>
          <w:p w14:paraId="5ADD0088">
            <w:pPr>
              <w:spacing w:before="275"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6475786D">
            <w:pPr>
              <w:spacing w:before="278" w:line="188" w:lineRule="auto"/>
              <w:ind w:left="47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3.38</w:t>
            </w:r>
          </w:p>
        </w:tc>
        <w:tc>
          <w:tcPr>
            <w:tcW w:w="2260" w:type="dxa"/>
            <w:gridSpan w:val="2"/>
            <w:vAlign w:val="top"/>
          </w:tcPr>
          <w:p w14:paraId="58B75985">
            <w:pPr>
              <w:pStyle w:val="6"/>
              <w:spacing w:before="88" w:line="296" w:lineRule="auto"/>
              <w:ind w:left="904" w:right="149" w:hanging="747"/>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623.</w:t>
            </w:r>
            <w:r>
              <w:rPr>
                <w:rFonts w:ascii="Times New Roman" w:hAnsi="Times New Roman" w:eastAsia="Times New Roman" w:cs="Times New Roman"/>
                <w:spacing w:val="-14"/>
                <w:sz w:val="18"/>
                <w:szCs w:val="18"/>
              </w:rPr>
              <w:t xml:space="preserve"> </w:t>
            </w:r>
            <w:r>
              <w:rPr>
                <w:rFonts w:ascii="Times New Roman" w:hAnsi="Times New Roman" w:eastAsia="Times New Roman" w:cs="Times New Roman"/>
                <w:spacing w:val="-4"/>
                <w:sz w:val="18"/>
                <w:szCs w:val="18"/>
              </w:rPr>
              <w:t>12m×50m</w:t>
            </w:r>
            <w:r>
              <w:rPr>
                <w:rFonts w:ascii="Times New Roman" w:hAnsi="Times New Roman" w:eastAsia="Times New Roman" w:cs="Times New Roman"/>
                <w:spacing w:val="-22"/>
                <w:sz w:val="18"/>
                <w:szCs w:val="18"/>
              </w:rPr>
              <w:t xml:space="preserve"> </w:t>
            </w:r>
            <w:r>
              <w:rPr>
                <w:spacing w:val="-4"/>
                <w:sz w:val="18"/>
                <w:szCs w:val="18"/>
              </w:rPr>
              <w:t>，排放高度</w:t>
            </w:r>
            <w:r>
              <w:rPr>
                <w:sz w:val="18"/>
                <w:szCs w:val="18"/>
              </w:rPr>
              <w:t xml:space="preserve"> </w:t>
            </w:r>
            <w:r>
              <w:rPr>
                <w:rFonts w:ascii="Times New Roman" w:hAnsi="Times New Roman" w:eastAsia="Times New Roman" w:cs="Times New Roman"/>
                <w:spacing w:val="-1"/>
                <w:sz w:val="18"/>
                <w:szCs w:val="18"/>
              </w:rPr>
              <w:t>24.3m</w:t>
            </w:r>
          </w:p>
        </w:tc>
        <w:tc>
          <w:tcPr>
            <w:tcW w:w="844" w:type="dxa"/>
            <w:vAlign w:val="top"/>
          </w:tcPr>
          <w:p w14:paraId="66085716">
            <w:pPr>
              <w:pStyle w:val="6"/>
              <w:spacing w:before="247" w:line="220" w:lineRule="auto"/>
              <w:ind w:left="247"/>
              <w:rPr>
                <w:sz w:val="18"/>
                <w:szCs w:val="18"/>
              </w:rPr>
            </w:pPr>
            <w:r>
              <w:rPr>
                <w:spacing w:val="-4"/>
                <w:sz w:val="18"/>
                <w:szCs w:val="18"/>
              </w:rPr>
              <w:t>连续</w:t>
            </w:r>
          </w:p>
        </w:tc>
        <w:tc>
          <w:tcPr>
            <w:tcW w:w="1230" w:type="dxa"/>
            <w:vAlign w:val="top"/>
          </w:tcPr>
          <w:p w14:paraId="7B1C6059">
            <w:pPr>
              <w:spacing w:before="275"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restart"/>
            <w:tcBorders>
              <w:bottom w:val="nil"/>
            </w:tcBorders>
            <w:vAlign w:val="top"/>
          </w:tcPr>
          <w:p w14:paraId="3883F19A">
            <w:pPr>
              <w:spacing w:line="290" w:lineRule="auto"/>
              <w:rPr>
                <w:rFonts w:ascii="Arial"/>
                <w:sz w:val="21"/>
              </w:rPr>
            </w:pPr>
          </w:p>
          <w:p w14:paraId="5061B80F">
            <w:pPr>
              <w:spacing w:line="291" w:lineRule="auto"/>
              <w:rPr>
                <w:rFonts w:ascii="Arial"/>
                <w:sz w:val="21"/>
              </w:rPr>
            </w:pPr>
          </w:p>
          <w:p w14:paraId="5E639A82">
            <w:pPr>
              <w:spacing w:line="291" w:lineRule="auto"/>
              <w:rPr>
                <w:rFonts w:ascii="Arial"/>
                <w:sz w:val="21"/>
              </w:rPr>
            </w:pPr>
          </w:p>
          <w:p w14:paraId="77BDA3D7">
            <w:pPr>
              <w:pStyle w:val="6"/>
              <w:spacing w:before="58" w:line="220" w:lineRule="auto"/>
              <w:ind w:left="175"/>
              <w:rPr>
                <w:sz w:val="18"/>
                <w:szCs w:val="18"/>
              </w:rPr>
            </w:pPr>
            <w:r>
              <w:rPr>
                <w:spacing w:val="-2"/>
                <w:sz w:val="18"/>
                <w:szCs w:val="18"/>
              </w:rPr>
              <w:t>在周界外</w:t>
            </w:r>
          </w:p>
          <w:p w14:paraId="7AA64B6A">
            <w:pPr>
              <w:pStyle w:val="6"/>
              <w:spacing w:before="104" w:line="219" w:lineRule="auto"/>
              <w:ind w:left="96"/>
              <w:rPr>
                <w:sz w:val="18"/>
                <w:szCs w:val="18"/>
              </w:rPr>
            </w:pPr>
            <w:r>
              <w:rPr>
                <w:rFonts w:ascii="Times New Roman" w:hAnsi="Times New Roman" w:eastAsia="Times New Roman" w:cs="Times New Roman"/>
                <w:spacing w:val="-6"/>
                <w:sz w:val="18"/>
                <w:szCs w:val="18"/>
              </w:rPr>
              <w:t>10m</w:t>
            </w:r>
            <w:r>
              <w:rPr>
                <w:rFonts w:ascii="Times New Roman" w:hAnsi="Times New Roman" w:eastAsia="Times New Roman" w:cs="Times New Roman"/>
                <w:spacing w:val="13"/>
                <w:w w:val="101"/>
                <w:sz w:val="18"/>
                <w:szCs w:val="18"/>
              </w:rPr>
              <w:t xml:space="preserve"> </w:t>
            </w:r>
            <w:r>
              <w:rPr>
                <w:spacing w:val="-6"/>
                <w:sz w:val="18"/>
                <w:szCs w:val="18"/>
              </w:rPr>
              <w:t>范围内</w:t>
            </w:r>
          </w:p>
          <w:p w14:paraId="3AC5618C">
            <w:pPr>
              <w:pStyle w:val="6"/>
              <w:spacing w:before="105" w:line="219" w:lineRule="auto"/>
              <w:ind w:left="100"/>
              <w:rPr>
                <w:sz w:val="18"/>
                <w:szCs w:val="18"/>
              </w:rPr>
            </w:pPr>
            <w:r>
              <w:rPr>
                <w:spacing w:val="-5"/>
                <w:sz w:val="18"/>
                <w:szCs w:val="18"/>
              </w:rPr>
              <w:t>的浓度最高</w:t>
            </w:r>
          </w:p>
          <w:p w14:paraId="7E4259C4">
            <w:pPr>
              <w:pStyle w:val="6"/>
              <w:spacing w:before="103" w:line="220" w:lineRule="auto"/>
              <w:ind w:left="94"/>
              <w:rPr>
                <w:sz w:val="18"/>
                <w:szCs w:val="18"/>
              </w:rPr>
            </w:pPr>
            <w:r>
              <w:rPr>
                <w:spacing w:val="-6"/>
                <w:sz w:val="18"/>
                <w:szCs w:val="18"/>
              </w:rPr>
              <w:t>点设</w:t>
            </w:r>
            <w:r>
              <w:rPr>
                <w:spacing w:val="-40"/>
                <w:sz w:val="18"/>
                <w:szCs w:val="18"/>
              </w:rPr>
              <w:t xml:space="preserve"> </w:t>
            </w:r>
            <w:r>
              <w:rPr>
                <w:rFonts w:ascii="Times New Roman" w:hAnsi="Times New Roman" w:eastAsia="Times New Roman" w:cs="Times New Roman"/>
                <w:spacing w:val="-6"/>
                <w:sz w:val="18"/>
                <w:szCs w:val="18"/>
              </w:rPr>
              <w:t>4</w:t>
            </w:r>
            <w:r>
              <w:rPr>
                <w:rFonts w:ascii="Times New Roman" w:hAnsi="Times New Roman" w:eastAsia="Times New Roman" w:cs="Times New Roman"/>
                <w:spacing w:val="7"/>
                <w:sz w:val="18"/>
                <w:szCs w:val="18"/>
              </w:rPr>
              <w:t xml:space="preserve"> </w:t>
            </w:r>
            <w:r>
              <w:rPr>
                <w:spacing w:val="-6"/>
                <w:sz w:val="18"/>
                <w:szCs w:val="18"/>
              </w:rPr>
              <w:t>监控</w:t>
            </w:r>
          </w:p>
          <w:p w14:paraId="1783F235">
            <w:pPr>
              <w:pStyle w:val="6"/>
              <w:spacing w:before="105" w:line="220" w:lineRule="auto"/>
              <w:ind w:right="2"/>
              <w:jc w:val="right"/>
              <w:rPr>
                <w:sz w:val="18"/>
                <w:szCs w:val="18"/>
              </w:rPr>
            </w:pPr>
            <w:r>
              <w:rPr>
                <w:spacing w:val="-8"/>
                <w:sz w:val="18"/>
                <w:szCs w:val="18"/>
              </w:rPr>
              <w:t>点，同时在厂</w:t>
            </w:r>
          </w:p>
          <w:p w14:paraId="143FF146">
            <w:pPr>
              <w:pStyle w:val="6"/>
              <w:spacing w:before="104" w:line="220" w:lineRule="auto"/>
              <w:jc w:val="right"/>
              <w:rPr>
                <w:rFonts w:ascii="Times New Roman" w:hAnsi="Times New Roman" w:eastAsia="Times New Roman" w:cs="Times New Roman"/>
                <w:sz w:val="18"/>
                <w:szCs w:val="18"/>
              </w:rPr>
            </w:pPr>
            <w:r>
              <w:rPr>
                <w:spacing w:val="-7"/>
                <w:sz w:val="18"/>
                <w:szCs w:val="18"/>
              </w:rPr>
              <w:t>区上风向设</w:t>
            </w:r>
            <w:r>
              <w:rPr>
                <w:spacing w:val="-24"/>
                <w:sz w:val="18"/>
                <w:szCs w:val="18"/>
              </w:rPr>
              <w:t xml:space="preserve"> </w:t>
            </w:r>
            <w:r>
              <w:rPr>
                <w:rFonts w:ascii="Times New Roman" w:hAnsi="Times New Roman" w:eastAsia="Times New Roman" w:cs="Times New Roman"/>
                <w:spacing w:val="-7"/>
                <w:sz w:val="18"/>
                <w:szCs w:val="18"/>
              </w:rPr>
              <w:t>1</w:t>
            </w:r>
          </w:p>
          <w:p w14:paraId="55700120">
            <w:pPr>
              <w:pStyle w:val="6"/>
              <w:spacing w:before="105" w:line="219" w:lineRule="auto"/>
              <w:ind w:left="176"/>
              <w:rPr>
                <w:sz w:val="18"/>
                <w:szCs w:val="18"/>
              </w:rPr>
            </w:pPr>
            <w:r>
              <w:rPr>
                <w:spacing w:val="-2"/>
                <w:sz w:val="18"/>
                <w:szCs w:val="18"/>
              </w:rPr>
              <w:t>个对照点</w:t>
            </w:r>
          </w:p>
        </w:tc>
        <w:tc>
          <w:tcPr>
            <w:tcW w:w="1674" w:type="dxa"/>
            <w:vAlign w:val="top"/>
          </w:tcPr>
          <w:p w14:paraId="65E83448">
            <w:pPr>
              <w:pStyle w:val="6"/>
              <w:spacing w:before="247" w:line="220" w:lineRule="auto"/>
              <w:ind w:left="572"/>
              <w:rPr>
                <w:sz w:val="18"/>
                <w:szCs w:val="18"/>
              </w:rPr>
            </w:pPr>
            <w:r>
              <w:rPr>
                <w:spacing w:val="-3"/>
                <w:sz w:val="18"/>
                <w:szCs w:val="18"/>
              </w:rPr>
              <w:t>颗粒物</w:t>
            </w:r>
          </w:p>
        </w:tc>
        <w:tc>
          <w:tcPr>
            <w:tcW w:w="1004" w:type="dxa"/>
            <w:vMerge w:val="restart"/>
            <w:tcBorders>
              <w:bottom w:val="nil"/>
            </w:tcBorders>
            <w:vAlign w:val="top"/>
          </w:tcPr>
          <w:p w14:paraId="455237A6">
            <w:pPr>
              <w:spacing w:line="277" w:lineRule="auto"/>
              <w:rPr>
                <w:rFonts w:ascii="Arial"/>
                <w:sz w:val="21"/>
              </w:rPr>
            </w:pPr>
          </w:p>
          <w:p w14:paraId="3B0DCB3E">
            <w:pPr>
              <w:spacing w:line="277" w:lineRule="auto"/>
              <w:rPr>
                <w:rFonts w:ascii="Arial"/>
                <w:sz w:val="21"/>
              </w:rPr>
            </w:pPr>
          </w:p>
          <w:p w14:paraId="72823858">
            <w:pPr>
              <w:spacing w:line="277" w:lineRule="auto"/>
              <w:rPr>
                <w:rFonts w:ascii="Arial"/>
                <w:sz w:val="21"/>
              </w:rPr>
            </w:pPr>
          </w:p>
          <w:p w14:paraId="006D8B56">
            <w:pPr>
              <w:spacing w:line="277" w:lineRule="auto"/>
              <w:rPr>
                <w:rFonts w:ascii="Arial"/>
                <w:sz w:val="21"/>
              </w:rPr>
            </w:pPr>
          </w:p>
          <w:p w14:paraId="4D2C2DD1">
            <w:pPr>
              <w:spacing w:line="278" w:lineRule="auto"/>
              <w:rPr>
                <w:rFonts w:ascii="Arial"/>
                <w:sz w:val="21"/>
              </w:rPr>
            </w:pPr>
          </w:p>
          <w:p w14:paraId="3C28DF42">
            <w:pPr>
              <w:spacing w:line="278" w:lineRule="auto"/>
              <w:rPr>
                <w:rFonts w:ascii="Arial"/>
                <w:sz w:val="21"/>
              </w:rPr>
            </w:pPr>
          </w:p>
          <w:p w14:paraId="6E73AB8C">
            <w:pPr>
              <w:pStyle w:val="6"/>
              <w:spacing w:before="58" w:line="314" w:lineRule="auto"/>
              <w:ind w:left="423" w:right="72" w:hanging="343"/>
              <w:rPr>
                <w:sz w:val="18"/>
                <w:szCs w:val="18"/>
              </w:rPr>
            </w:pPr>
            <w:r>
              <w:rPr>
                <w:spacing w:val="-6"/>
                <w:sz w:val="18"/>
                <w:szCs w:val="18"/>
              </w:rPr>
              <w:t>每季至少</w:t>
            </w:r>
            <w:r>
              <w:rPr>
                <w:spacing w:val="-25"/>
                <w:sz w:val="18"/>
                <w:szCs w:val="18"/>
              </w:rPr>
              <w:t xml:space="preserve"> </w:t>
            </w:r>
            <w:r>
              <w:rPr>
                <w:rFonts w:ascii="Times New Roman" w:hAnsi="Times New Roman" w:eastAsia="Times New Roman" w:cs="Times New Roman"/>
                <w:spacing w:val="-6"/>
                <w:sz w:val="18"/>
                <w:szCs w:val="18"/>
              </w:rPr>
              <w:t>1</w:t>
            </w:r>
            <w:r>
              <w:rPr>
                <w:rFonts w:ascii="Times New Roman" w:hAnsi="Times New Roman" w:eastAsia="Times New Roman" w:cs="Times New Roman"/>
                <w:sz w:val="18"/>
                <w:szCs w:val="18"/>
              </w:rPr>
              <w:t xml:space="preserve"> </w:t>
            </w:r>
            <w:r>
              <w:rPr>
                <w:sz w:val="18"/>
                <w:szCs w:val="18"/>
              </w:rPr>
              <w:t>次</w:t>
            </w:r>
          </w:p>
        </w:tc>
        <w:tc>
          <w:tcPr>
            <w:tcW w:w="2505" w:type="dxa"/>
            <w:vMerge w:val="restart"/>
            <w:tcBorders>
              <w:bottom w:val="nil"/>
              <w:right w:val="nil"/>
            </w:tcBorders>
            <w:vAlign w:val="top"/>
          </w:tcPr>
          <w:p w14:paraId="33A42260">
            <w:pPr>
              <w:spacing w:line="260" w:lineRule="auto"/>
              <w:rPr>
                <w:rFonts w:ascii="Arial"/>
                <w:sz w:val="21"/>
              </w:rPr>
            </w:pPr>
          </w:p>
          <w:p w14:paraId="7C889A4B">
            <w:pPr>
              <w:spacing w:line="260" w:lineRule="auto"/>
              <w:rPr>
                <w:rFonts w:ascii="Arial"/>
                <w:sz w:val="21"/>
              </w:rPr>
            </w:pPr>
          </w:p>
          <w:p w14:paraId="2CDE03BA">
            <w:pPr>
              <w:spacing w:line="260" w:lineRule="auto"/>
              <w:rPr>
                <w:rFonts w:ascii="Arial"/>
                <w:sz w:val="21"/>
              </w:rPr>
            </w:pPr>
          </w:p>
          <w:p w14:paraId="5AD6BB36">
            <w:pPr>
              <w:spacing w:line="260" w:lineRule="auto"/>
              <w:rPr>
                <w:rFonts w:ascii="Arial"/>
                <w:sz w:val="21"/>
              </w:rPr>
            </w:pPr>
          </w:p>
          <w:p w14:paraId="64A33362">
            <w:pPr>
              <w:spacing w:line="260" w:lineRule="auto"/>
              <w:rPr>
                <w:rFonts w:ascii="Arial"/>
                <w:sz w:val="21"/>
              </w:rPr>
            </w:pPr>
          </w:p>
          <w:p w14:paraId="56CEAB2E">
            <w:pPr>
              <w:spacing w:line="260" w:lineRule="auto"/>
              <w:rPr>
                <w:rFonts w:ascii="Arial"/>
                <w:sz w:val="21"/>
              </w:rPr>
            </w:pPr>
          </w:p>
          <w:p w14:paraId="02B74FF4">
            <w:pPr>
              <w:spacing w:line="261" w:lineRule="auto"/>
              <w:rPr>
                <w:rFonts w:ascii="Arial"/>
                <w:sz w:val="21"/>
              </w:rPr>
            </w:pPr>
          </w:p>
          <w:p w14:paraId="1685A5E0">
            <w:pPr>
              <w:pStyle w:val="6"/>
              <w:spacing w:before="58" w:line="221" w:lineRule="auto"/>
              <w:ind w:left="51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 xml:space="preserve">GB28666-2012 </w:t>
            </w:r>
            <w:r>
              <w:rPr>
                <w:spacing w:val="-1"/>
                <w:sz w:val="18"/>
                <w:szCs w:val="18"/>
              </w:rPr>
              <w:t>表</w:t>
            </w:r>
            <w:r>
              <w:rPr>
                <w:spacing w:val="-32"/>
                <w:sz w:val="18"/>
                <w:szCs w:val="18"/>
              </w:rPr>
              <w:t xml:space="preserve"> </w:t>
            </w:r>
            <w:r>
              <w:rPr>
                <w:rFonts w:ascii="Times New Roman" w:hAnsi="Times New Roman" w:eastAsia="Times New Roman" w:cs="Times New Roman"/>
                <w:spacing w:val="-1"/>
                <w:sz w:val="18"/>
                <w:szCs w:val="18"/>
              </w:rPr>
              <w:t>7</w:t>
            </w:r>
          </w:p>
        </w:tc>
      </w:tr>
      <w:tr w14:paraId="5F6CFF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243FAF66">
            <w:pPr>
              <w:rPr>
                <w:rFonts w:ascii="Arial"/>
                <w:sz w:val="21"/>
              </w:rPr>
            </w:pPr>
          </w:p>
        </w:tc>
        <w:tc>
          <w:tcPr>
            <w:tcW w:w="1060" w:type="dxa"/>
            <w:vAlign w:val="top"/>
          </w:tcPr>
          <w:p w14:paraId="497D6B88">
            <w:pPr>
              <w:spacing w:before="115"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47" w:type="dxa"/>
            <w:vAlign w:val="top"/>
          </w:tcPr>
          <w:p w14:paraId="28AADE3B">
            <w:pPr>
              <w:pStyle w:val="6"/>
              <w:spacing w:before="89" w:line="219" w:lineRule="auto"/>
              <w:ind w:left="217"/>
              <w:rPr>
                <w:sz w:val="18"/>
                <w:szCs w:val="18"/>
              </w:rPr>
            </w:pPr>
            <w:r>
              <w:rPr>
                <w:spacing w:val="-1"/>
                <w:sz w:val="18"/>
                <w:szCs w:val="18"/>
              </w:rPr>
              <w:t>焦炭烘干车间无组织</w:t>
            </w:r>
          </w:p>
        </w:tc>
        <w:tc>
          <w:tcPr>
            <w:tcW w:w="1781" w:type="dxa"/>
            <w:vAlign w:val="top"/>
          </w:tcPr>
          <w:p w14:paraId="3D8AA3B8">
            <w:pPr>
              <w:pStyle w:val="6"/>
              <w:spacing w:before="89" w:line="220" w:lineRule="auto"/>
              <w:ind w:left="624"/>
              <w:rPr>
                <w:sz w:val="18"/>
                <w:szCs w:val="18"/>
              </w:rPr>
            </w:pPr>
            <w:r>
              <w:rPr>
                <w:spacing w:val="-3"/>
                <w:sz w:val="18"/>
                <w:szCs w:val="18"/>
              </w:rPr>
              <w:t>颗粒物</w:t>
            </w:r>
          </w:p>
        </w:tc>
        <w:tc>
          <w:tcPr>
            <w:tcW w:w="2416" w:type="dxa"/>
            <w:vAlign w:val="top"/>
          </w:tcPr>
          <w:p w14:paraId="0ACED77A">
            <w:pPr>
              <w:pStyle w:val="6"/>
              <w:spacing w:before="90" w:line="219" w:lineRule="auto"/>
              <w:ind w:left="581"/>
              <w:rPr>
                <w:sz w:val="18"/>
                <w:szCs w:val="18"/>
              </w:rPr>
            </w:pPr>
            <w:r>
              <w:rPr>
                <w:spacing w:val="-1"/>
                <w:sz w:val="18"/>
                <w:szCs w:val="18"/>
              </w:rPr>
              <w:t>封闭，喷雾降尘</w:t>
            </w:r>
          </w:p>
        </w:tc>
        <w:tc>
          <w:tcPr>
            <w:tcW w:w="1327" w:type="dxa"/>
            <w:vAlign w:val="top"/>
          </w:tcPr>
          <w:p w14:paraId="24C81D63">
            <w:pPr>
              <w:spacing w:before="115"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1846BFA3">
            <w:pPr>
              <w:spacing w:before="118" w:line="188" w:lineRule="auto"/>
              <w:ind w:left="4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0.87</w:t>
            </w:r>
          </w:p>
        </w:tc>
        <w:tc>
          <w:tcPr>
            <w:tcW w:w="2260" w:type="dxa"/>
            <w:gridSpan w:val="2"/>
            <w:vAlign w:val="top"/>
          </w:tcPr>
          <w:p w14:paraId="02AE34F4">
            <w:pPr>
              <w:pStyle w:val="6"/>
              <w:spacing w:before="90" w:line="219" w:lineRule="auto"/>
              <w:ind w:left="1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70m×50.4m</w:t>
            </w:r>
            <w:r>
              <w:rPr>
                <w:spacing w:val="-3"/>
                <w:sz w:val="18"/>
                <w:szCs w:val="18"/>
              </w:rPr>
              <w:t>，排放高度</w:t>
            </w:r>
            <w:r>
              <w:rPr>
                <w:spacing w:val="-23"/>
                <w:sz w:val="18"/>
                <w:szCs w:val="18"/>
              </w:rPr>
              <w:t xml:space="preserve"> </w:t>
            </w:r>
            <w:r>
              <w:rPr>
                <w:rFonts w:ascii="Times New Roman" w:hAnsi="Times New Roman" w:eastAsia="Times New Roman" w:cs="Times New Roman"/>
                <w:spacing w:val="-3"/>
                <w:sz w:val="18"/>
                <w:szCs w:val="18"/>
              </w:rPr>
              <w:t>17.9m</w:t>
            </w:r>
          </w:p>
        </w:tc>
        <w:tc>
          <w:tcPr>
            <w:tcW w:w="844" w:type="dxa"/>
            <w:vAlign w:val="top"/>
          </w:tcPr>
          <w:p w14:paraId="261EE6AB">
            <w:pPr>
              <w:pStyle w:val="6"/>
              <w:spacing w:before="89" w:line="220" w:lineRule="auto"/>
              <w:ind w:left="247"/>
              <w:rPr>
                <w:sz w:val="18"/>
                <w:szCs w:val="18"/>
              </w:rPr>
            </w:pPr>
            <w:r>
              <w:rPr>
                <w:spacing w:val="-4"/>
                <w:sz w:val="18"/>
                <w:szCs w:val="18"/>
              </w:rPr>
              <w:t>连续</w:t>
            </w:r>
          </w:p>
        </w:tc>
        <w:tc>
          <w:tcPr>
            <w:tcW w:w="1230" w:type="dxa"/>
            <w:vAlign w:val="top"/>
          </w:tcPr>
          <w:p w14:paraId="2233B0F8">
            <w:pPr>
              <w:spacing w:before="115"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7E03EC8B">
            <w:pPr>
              <w:rPr>
                <w:rFonts w:ascii="Arial"/>
                <w:sz w:val="21"/>
              </w:rPr>
            </w:pPr>
          </w:p>
        </w:tc>
        <w:tc>
          <w:tcPr>
            <w:tcW w:w="1674" w:type="dxa"/>
            <w:vMerge w:val="restart"/>
            <w:tcBorders>
              <w:bottom w:val="nil"/>
            </w:tcBorders>
            <w:vAlign w:val="top"/>
          </w:tcPr>
          <w:p w14:paraId="1B188D8C">
            <w:pPr>
              <w:pStyle w:val="6"/>
              <w:spacing w:before="253" w:line="220" w:lineRule="auto"/>
              <w:ind w:left="572"/>
              <w:rPr>
                <w:sz w:val="18"/>
                <w:szCs w:val="18"/>
              </w:rPr>
            </w:pPr>
            <w:r>
              <w:rPr>
                <w:spacing w:val="-3"/>
                <w:sz w:val="18"/>
                <w:szCs w:val="18"/>
              </w:rPr>
              <w:t>颗粒物</w:t>
            </w:r>
          </w:p>
        </w:tc>
        <w:tc>
          <w:tcPr>
            <w:tcW w:w="1004" w:type="dxa"/>
            <w:vMerge w:val="continue"/>
            <w:tcBorders>
              <w:top w:val="nil"/>
              <w:bottom w:val="nil"/>
            </w:tcBorders>
            <w:vAlign w:val="top"/>
          </w:tcPr>
          <w:p w14:paraId="45C1F00C">
            <w:pPr>
              <w:rPr>
                <w:rFonts w:ascii="Arial"/>
                <w:sz w:val="21"/>
              </w:rPr>
            </w:pPr>
          </w:p>
        </w:tc>
        <w:tc>
          <w:tcPr>
            <w:tcW w:w="2505" w:type="dxa"/>
            <w:vMerge w:val="continue"/>
            <w:tcBorders>
              <w:top w:val="nil"/>
              <w:bottom w:val="nil"/>
              <w:right w:val="nil"/>
            </w:tcBorders>
            <w:vAlign w:val="top"/>
          </w:tcPr>
          <w:p w14:paraId="33E874E9">
            <w:pPr>
              <w:rPr>
                <w:rFonts w:ascii="Arial"/>
                <w:sz w:val="21"/>
              </w:rPr>
            </w:pPr>
          </w:p>
        </w:tc>
      </w:tr>
      <w:tr w14:paraId="4DAEB4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5C09E979">
            <w:pPr>
              <w:rPr>
                <w:rFonts w:ascii="Arial"/>
                <w:sz w:val="21"/>
              </w:rPr>
            </w:pPr>
          </w:p>
        </w:tc>
        <w:tc>
          <w:tcPr>
            <w:tcW w:w="1060" w:type="dxa"/>
            <w:vAlign w:val="top"/>
          </w:tcPr>
          <w:p w14:paraId="23DD14A5">
            <w:pPr>
              <w:spacing w:before="116"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47" w:type="dxa"/>
            <w:vAlign w:val="top"/>
          </w:tcPr>
          <w:p w14:paraId="3FE012AC">
            <w:pPr>
              <w:pStyle w:val="6"/>
              <w:spacing w:before="90" w:line="219" w:lineRule="auto"/>
              <w:ind w:left="128"/>
              <w:rPr>
                <w:sz w:val="18"/>
                <w:szCs w:val="18"/>
              </w:rPr>
            </w:pPr>
            <w:r>
              <w:rPr>
                <w:spacing w:val="-1"/>
                <w:sz w:val="18"/>
                <w:szCs w:val="18"/>
              </w:rPr>
              <w:t>锰矿石烘干车间无组织</w:t>
            </w:r>
          </w:p>
        </w:tc>
        <w:tc>
          <w:tcPr>
            <w:tcW w:w="1781" w:type="dxa"/>
            <w:vAlign w:val="top"/>
          </w:tcPr>
          <w:p w14:paraId="4BC000EC">
            <w:pPr>
              <w:pStyle w:val="6"/>
              <w:spacing w:before="90" w:line="220" w:lineRule="auto"/>
              <w:ind w:left="624"/>
              <w:rPr>
                <w:sz w:val="18"/>
                <w:szCs w:val="18"/>
              </w:rPr>
            </w:pPr>
            <w:r>
              <w:rPr>
                <w:spacing w:val="-3"/>
                <w:sz w:val="18"/>
                <w:szCs w:val="18"/>
              </w:rPr>
              <w:t>颗粒物</w:t>
            </w:r>
          </w:p>
        </w:tc>
        <w:tc>
          <w:tcPr>
            <w:tcW w:w="2416" w:type="dxa"/>
            <w:vAlign w:val="top"/>
          </w:tcPr>
          <w:p w14:paraId="6758E188">
            <w:pPr>
              <w:pStyle w:val="6"/>
              <w:spacing w:before="90" w:line="219" w:lineRule="auto"/>
              <w:ind w:left="581"/>
              <w:rPr>
                <w:sz w:val="18"/>
                <w:szCs w:val="18"/>
              </w:rPr>
            </w:pPr>
            <w:r>
              <w:rPr>
                <w:spacing w:val="-1"/>
                <w:sz w:val="18"/>
                <w:szCs w:val="18"/>
              </w:rPr>
              <w:t>封闭，喷雾降尘</w:t>
            </w:r>
          </w:p>
        </w:tc>
        <w:tc>
          <w:tcPr>
            <w:tcW w:w="1327" w:type="dxa"/>
            <w:vAlign w:val="top"/>
          </w:tcPr>
          <w:p w14:paraId="4A75A966">
            <w:pPr>
              <w:spacing w:before="116"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67F54F75">
            <w:pPr>
              <w:spacing w:before="119" w:line="188" w:lineRule="auto"/>
              <w:ind w:left="469"/>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0.07</w:t>
            </w:r>
          </w:p>
        </w:tc>
        <w:tc>
          <w:tcPr>
            <w:tcW w:w="2260" w:type="dxa"/>
            <w:gridSpan w:val="2"/>
            <w:vAlign w:val="top"/>
          </w:tcPr>
          <w:p w14:paraId="6CA30A2F">
            <w:pPr>
              <w:pStyle w:val="6"/>
              <w:spacing w:before="90" w:line="219" w:lineRule="auto"/>
              <w:ind w:left="1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70m×50.4m</w:t>
            </w:r>
            <w:r>
              <w:rPr>
                <w:spacing w:val="-3"/>
                <w:sz w:val="18"/>
                <w:szCs w:val="18"/>
              </w:rPr>
              <w:t>，排放高度</w:t>
            </w:r>
            <w:r>
              <w:rPr>
                <w:spacing w:val="-23"/>
                <w:sz w:val="18"/>
                <w:szCs w:val="18"/>
              </w:rPr>
              <w:t xml:space="preserve"> </w:t>
            </w:r>
            <w:r>
              <w:rPr>
                <w:rFonts w:ascii="Times New Roman" w:hAnsi="Times New Roman" w:eastAsia="Times New Roman" w:cs="Times New Roman"/>
                <w:spacing w:val="-3"/>
                <w:sz w:val="18"/>
                <w:szCs w:val="18"/>
              </w:rPr>
              <w:t>17.9m</w:t>
            </w:r>
          </w:p>
        </w:tc>
        <w:tc>
          <w:tcPr>
            <w:tcW w:w="844" w:type="dxa"/>
            <w:vAlign w:val="top"/>
          </w:tcPr>
          <w:p w14:paraId="743DA91B">
            <w:pPr>
              <w:pStyle w:val="6"/>
              <w:spacing w:before="90" w:line="220" w:lineRule="auto"/>
              <w:ind w:left="247"/>
              <w:rPr>
                <w:sz w:val="18"/>
                <w:szCs w:val="18"/>
              </w:rPr>
            </w:pPr>
            <w:r>
              <w:rPr>
                <w:spacing w:val="-4"/>
                <w:sz w:val="18"/>
                <w:szCs w:val="18"/>
              </w:rPr>
              <w:t>连续</w:t>
            </w:r>
          </w:p>
        </w:tc>
        <w:tc>
          <w:tcPr>
            <w:tcW w:w="1230" w:type="dxa"/>
            <w:vAlign w:val="top"/>
          </w:tcPr>
          <w:p w14:paraId="2A49FFDD">
            <w:pPr>
              <w:spacing w:before="116"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78280D8E">
            <w:pPr>
              <w:rPr>
                <w:rFonts w:ascii="Arial"/>
                <w:sz w:val="21"/>
              </w:rPr>
            </w:pPr>
          </w:p>
        </w:tc>
        <w:tc>
          <w:tcPr>
            <w:tcW w:w="1674" w:type="dxa"/>
            <w:vMerge w:val="continue"/>
            <w:tcBorders>
              <w:top w:val="nil"/>
            </w:tcBorders>
            <w:vAlign w:val="top"/>
          </w:tcPr>
          <w:p w14:paraId="7B37B495">
            <w:pPr>
              <w:rPr>
                <w:rFonts w:ascii="Arial"/>
                <w:sz w:val="21"/>
              </w:rPr>
            </w:pPr>
          </w:p>
        </w:tc>
        <w:tc>
          <w:tcPr>
            <w:tcW w:w="1004" w:type="dxa"/>
            <w:vMerge w:val="continue"/>
            <w:tcBorders>
              <w:top w:val="nil"/>
              <w:bottom w:val="nil"/>
            </w:tcBorders>
            <w:vAlign w:val="top"/>
          </w:tcPr>
          <w:p w14:paraId="1808E859">
            <w:pPr>
              <w:rPr>
                <w:rFonts w:ascii="Arial"/>
                <w:sz w:val="21"/>
              </w:rPr>
            </w:pPr>
          </w:p>
        </w:tc>
        <w:tc>
          <w:tcPr>
            <w:tcW w:w="2505" w:type="dxa"/>
            <w:vMerge w:val="continue"/>
            <w:tcBorders>
              <w:top w:val="nil"/>
              <w:bottom w:val="nil"/>
              <w:right w:val="nil"/>
            </w:tcBorders>
            <w:vAlign w:val="top"/>
          </w:tcPr>
          <w:p w14:paraId="05AAB7A0">
            <w:pPr>
              <w:rPr>
                <w:rFonts w:ascii="Arial"/>
                <w:sz w:val="21"/>
              </w:rPr>
            </w:pPr>
          </w:p>
        </w:tc>
      </w:tr>
      <w:tr w14:paraId="17ADFD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3B5ECDC7">
            <w:pPr>
              <w:rPr>
                <w:rFonts w:ascii="Arial"/>
                <w:sz w:val="21"/>
              </w:rPr>
            </w:pPr>
          </w:p>
        </w:tc>
        <w:tc>
          <w:tcPr>
            <w:tcW w:w="1060" w:type="dxa"/>
            <w:vMerge w:val="restart"/>
            <w:tcBorders>
              <w:bottom w:val="nil"/>
            </w:tcBorders>
            <w:vAlign w:val="top"/>
          </w:tcPr>
          <w:p w14:paraId="65134529">
            <w:pPr>
              <w:spacing w:before="281"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47" w:type="dxa"/>
            <w:vMerge w:val="restart"/>
            <w:tcBorders>
              <w:bottom w:val="nil"/>
            </w:tcBorders>
            <w:vAlign w:val="top"/>
          </w:tcPr>
          <w:p w14:paraId="7E093DB6">
            <w:pPr>
              <w:pStyle w:val="6"/>
              <w:spacing w:before="253" w:line="219" w:lineRule="auto"/>
              <w:ind w:left="307"/>
              <w:rPr>
                <w:sz w:val="18"/>
                <w:szCs w:val="18"/>
              </w:rPr>
            </w:pPr>
            <w:r>
              <w:rPr>
                <w:spacing w:val="-1"/>
                <w:sz w:val="18"/>
                <w:szCs w:val="18"/>
              </w:rPr>
              <w:t>烧结原料库无组织</w:t>
            </w:r>
          </w:p>
        </w:tc>
        <w:tc>
          <w:tcPr>
            <w:tcW w:w="1781" w:type="dxa"/>
            <w:vAlign w:val="top"/>
          </w:tcPr>
          <w:p w14:paraId="00CF01F5">
            <w:pPr>
              <w:pStyle w:val="6"/>
              <w:spacing w:before="90" w:line="220" w:lineRule="auto"/>
              <w:ind w:left="624"/>
              <w:rPr>
                <w:sz w:val="18"/>
                <w:szCs w:val="18"/>
              </w:rPr>
            </w:pPr>
            <w:r>
              <w:rPr>
                <w:spacing w:val="-3"/>
                <w:sz w:val="18"/>
                <w:szCs w:val="18"/>
              </w:rPr>
              <w:t>颗粒物</w:t>
            </w:r>
          </w:p>
        </w:tc>
        <w:tc>
          <w:tcPr>
            <w:tcW w:w="2416" w:type="dxa"/>
            <w:vMerge w:val="restart"/>
            <w:tcBorders>
              <w:bottom w:val="nil"/>
            </w:tcBorders>
            <w:vAlign w:val="top"/>
          </w:tcPr>
          <w:p w14:paraId="1970D4A4">
            <w:pPr>
              <w:pStyle w:val="6"/>
              <w:spacing w:before="253" w:line="219" w:lineRule="auto"/>
              <w:ind w:left="581"/>
              <w:rPr>
                <w:sz w:val="18"/>
                <w:szCs w:val="18"/>
              </w:rPr>
            </w:pPr>
            <w:r>
              <w:rPr>
                <w:spacing w:val="-1"/>
                <w:sz w:val="18"/>
                <w:szCs w:val="18"/>
              </w:rPr>
              <w:t>封闭，喷雾降尘</w:t>
            </w:r>
          </w:p>
        </w:tc>
        <w:tc>
          <w:tcPr>
            <w:tcW w:w="1327" w:type="dxa"/>
            <w:vAlign w:val="top"/>
          </w:tcPr>
          <w:p w14:paraId="5E5059C0">
            <w:pPr>
              <w:spacing w:before="118"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38CFF114">
            <w:pPr>
              <w:spacing w:before="121" w:line="188" w:lineRule="auto"/>
              <w:ind w:left="470"/>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3.15</w:t>
            </w:r>
          </w:p>
        </w:tc>
        <w:tc>
          <w:tcPr>
            <w:tcW w:w="2260" w:type="dxa"/>
            <w:gridSpan w:val="2"/>
            <w:vMerge w:val="restart"/>
            <w:tcBorders>
              <w:bottom w:val="nil"/>
            </w:tcBorders>
            <w:vAlign w:val="top"/>
          </w:tcPr>
          <w:p w14:paraId="3A7571DC">
            <w:pPr>
              <w:pStyle w:val="6"/>
              <w:spacing w:before="253" w:line="219" w:lineRule="auto"/>
              <w:ind w:left="31"/>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100m×68m</w:t>
            </w:r>
            <w:r>
              <w:rPr>
                <w:rFonts w:ascii="Times New Roman" w:hAnsi="Times New Roman" w:eastAsia="Times New Roman" w:cs="Times New Roman"/>
                <w:spacing w:val="-14"/>
                <w:sz w:val="18"/>
                <w:szCs w:val="18"/>
              </w:rPr>
              <w:t xml:space="preserve"> </w:t>
            </w:r>
            <w:r>
              <w:rPr>
                <w:spacing w:val="-3"/>
                <w:sz w:val="18"/>
                <w:szCs w:val="18"/>
              </w:rPr>
              <w:t>，排放高度</w:t>
            </w:r>
            <w:r>
              <w:rPr>
                <w:spacing w:val="-43"/>
                <w:sz w:val="18"/>
                <w:szCs w:val="18"/>
              </w:rPr>
              <w:t xml:space="preserve"> </w:t>
            </w:r>
            <w:r>
              <w:rPr>
                <w:rFonts w:ascii="Times New Roman" w:hAnsi="Times New Roman" w:eastAsia="Times New Roman" w:cs="Times New Roman"/>
                <w:spacing w:val="-3"/>
                <w:sz w:val="18"/>
                <w:szCs w:val="18"/>
              </w:rPr>
              <w:t>21.5m</w:t>
            </w:r>
          </w:p>
        </w:tc>
        <w:tc>
          <w:tcPr>
            <w:tcW w:w="844" w:type="dxa"/>
            <w:vMerge w:val="restart"/>
            <w:tcBorders>
              <w:bottom w:val="nil"/>
            </w:tcBorders>
            <w:vAlign w:val="top"/>
          </w:tcPr>
          <w:p w14:paraId="2CF334DB">
            <w:pPr>
              <w:pStyle w:val="6"/>
              <w:spacing w:before="253" w:line="220" w:lineRule="auto"/>
              <w:ind w:left="247"/>
              <w:rPr>
                <w:sz w:val="18"/>
                <w:szCs w:val="18"/>
              </w:rPr>
            </w:pPr>
            <w:r>
              <w:rPr>
                <w:spacing w:val="-4"/>
                <w:sz w:val="18"/>
                <w:szCs w:val="18"/>
              </w:rPr>
              <w:t>连续</w:t>
            </w:r>
          </w:p>
        </w:tc>
        <w:tc>
          <w:tcPr>
            <w:tcW w:w="1230" w:type="dxa"/>
            <w:vAlign w:val="top"/>
          </w:tcPr>
          <w:p w14:paraId="1892617E">
            <w:pPr>
              <w:spacing w:before="118"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161E8AC8">
            <w:pPr>
              <w:rPr>
                <w:rFonts w:ascii="Arial"/>
                <w:sz w:val="21"/>
              </w:rPr>
            </w:pPr>
          </w:p>
        </w:tc>
        <w:tc>
          <w:tcPr>
            <w:tcW w:w="1674" w:type="dxa"/>
            <w:vMerge w:val="restart"/>
            <w:tcBorders>
              <w:bottom w:val="nil"/>
            </w:tcBorders>
            <w:vAlign w:val="top"/>
          </w:tcPr>
          <w:p w14:paraId="3630208C">
            <w:pPr>
              <w:spacing w:line="254" w:lineRule="auto"/>
              <w:rPr>
                <w:rFonts w:ascii="Arial"/>
                <w:sz w:val="21"/>
              </w:rPr>
            </w:pPr>
          </w:p>
          <w:p w14:paraId="43FCCC5D">
            <w:pPr>
              <w:spacing w:line="254" w:lineRule="auto"/>
              <w:rPr>
                <w:rFonts w:ascii="Arial"/>
                <w:sz w:val="21"/>
              </w:rPr>
            </w:pPr>
          </w:p>
          <w:p w14:paraId="651E52A0">
            <w:pPr>
              <w:spacing w:line="254" w:lineRule="auto"/>
              <w:rPr>
                <w:rFonts w:ascii="Arial"/>
                <w:sz w:val="21"/>
              </w:rPr>
            </w:pPr>
          </w:p>
          <w:p w14:paraId="45E1B4E8">
            <w:pPr>
              <w:spacing w:line="254" w:lineRule="auto"/>
              <w:rPr>
                <w:rFonts w:ascii="Arial"/>
                <w:sz w:val="21"/>
              </w:rPr>
            </w:pPr>
          </w:p>
          <w:p w14:paraId="12DEBCFC">
            <w:pPr>
              <w:pStyle w:val="6"/>
              <w:spacing w:before="58" w:line="315" w:lineRule="auto"/>
              <w:ind w:left="752" w:right="22" w:hanging="720"/>
              <w:rPr>
                <w:sz w:val="18"/>
                <w:szCs w:val="18"/>
              </w:rPr>
            </w:pPr>
            <w:r>
              <w:rPr>
                <w:spacing w:val="-1"/>
                <w:sz w:val="18"/>
                <w:szCs w:val="18"/>
              </w:rPr>
              <w:t>颗粒物、锰及其化合</w:t>
            </w:r>
            <w:r>
              <w:rPr>
                <w:spacing w:val="1"/>
                <w:sz w:val="18"/>
                <w:szCs w:val="18"/>
              </w:rPr>
              <w:t xml:space="preserve"> </w:t>
            </w:r>
            <w:r>
              <w:rPr>
                <w:sz w:val="18"/>
                <w:szCs w:val="18"/>
              </w:rPr>
              <w:t>物</w:t>
            </w:r>
          </w:p>
        </w:tc>
        <w:tc>
          <w:tcPr>
            <w:tcW w:w="1004" w:type="dxa"/>
            <w:vMerge w:val="continue"/>
            <w:tcBorders>
              <w:top w:val="nil"/>
              <w:bottom w:val="nil"/>
            </w:tcBorders>
            <w:vAlign w:val="top"/>
          </w:tcPr>
          <w:p w14:paraId="26C0D592">
            <w:pPr>
              <w:rPr>
                <w:rFonts w:ascii="Arial"/>
                <w:sz w:val="21"/>
              </w:rPr>
            </w:pPr>
          </w:p>
        </w:tc>
        <w:tc>
          <w:tcPr>
            <w:tcW w:w="2505" w:type="dxa"/>
            <w:vMerge w:val="continue"/>
            <w:tcBorders>
              <w:top w:val="nil"/>
              <w:bottom w:val="nil"/>
              <w:right w:val="nil"/>
            </w:tcBorders>
            <w:vAlign w:val="top"/>
          </w:tcPr>
          <w:p w14:paraId="7C612DFC">
            <w:pPr>
              <w:rPr>
                <w:rFonts w:ascii="Arial"/>
                <w:sz w:val="21"/>
              </w:rPr>
            </w:pPr>
          </w:p>
        </w:tc>
      </w:tr>
      <w:tr w14:paraId="54E3E5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583EF4D9">
            <w:pPr>
              <w:rPr>
                <w:rFonts w:ascii="Arial"/>
                <w:sz w:val="21"/>
              </w:rPr>
            </w:pPr>
          </w:p>
        </w:tc>
        <w:tc>
          <w:tcPr>
            <w:tcW w:w="1060" w:type="dxa"/>
            <w:vMerge w:val="continue"/>
            <w:tcBorders>
              <w:top w:val="nil"/>
            </w:tcBorders>
            <w:vAlign w:val="top"/>
          </w:tcPr>
          <w:p w14:paraId="1BBCD710">
            <w:pPr>
              <w:rPr>
                <w:rFonts w:ascii="Arial"/>
                <w:sz w:val="21"/>
              </w:rPr>
            </w:pPr>
          </w:p>
        </w:tc>
        <w:tc>
          <w:tcPr>
            <w:tcW w:w="2047" w:type="dxa"/>
            <w:vMerge w:val="continue"/>
            <w:tcBorders>
              <w:top w:val="nil"/>
            </w:tcBorders>
            <w:vAlign w:val="top"/>
          </w:tcPr>
          <w:p w14:paraId="6DEA6EE0">
            <w:pPr>
              <w:rPr>
                <w:rFonts w:ascii="Arial"/>
                <w:sz w:val="21"/>
              </w:rPr>
            </w:pPr>
          </w:p>
        </w:tc>
        <w:tc>
          <w:tcPr>
            <w:tcW w:w="1781" w:type="dxa"/>
            <w:vAlign w:val="top"/>
          </w:tcPr>
          <w:p w14:paraId="5DB8DBF9">
            <w:pPr>
              <w:pStyle w:val="6"/>
              <w:spacing w:before="90" w:line="221" w:lineRule="auto"/>
              <w:ind w:left="354"/>
              <w:rPr>
                <w:sz w:val="18"/>
                <w:szCs w:val="18"/>
              </w:rPr>
            </w:pPr>
            <w:r>
              <w:rPr>
                <w:spacing w:val="-2"/>
                <w:sz w:val="18"/>
                <w:szCs w:val="18"/>
              </w:rPr>
              <w:t>锰及其化合物</w:t>
            </w:r>
          </w:p>
        </w:tc>
        <w:tc>
          <w:tcPr>
            <w:tcW w:w="2416" w:type="dxa"/>
            <w:vMerge w:val="continue"/>
            <w:tcBorders>
              <w:top w:val="nil"/>
            </w:tcBorders>
            <w:vAlign w:val="top"/>
          </w:tcPr>
          <w:p w14:paraId="5C8D1906">
            <w:pPr>
              <w:rPr>
                <w:rFonts w:ascii="Arial"/>
                <w:sz w:val="21"/>
              </w:rPr>
            </w:pPr>
          </w:p>
        </w:tc>
        <w:tc>
          <w:tcPr>
            <w:tcW w:w="1327" w:type="dxa"/>
            <w:vAlign w:val="top"/>
          </w:tcPr>
          <w:p w14:paraId="658D1AEE">
            <w:pPr>
              <w:spacing w:before="119"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25460078">
            <w:pPr>
              <w:spacing w:before="122" w:line="188" w:lineRule="auto"/>
              <w:ind w:left="484"/>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1.23</w:t>
            </w:r>
          </w:p>
        </w:tc>
        <w:tc>
          <w:tcPr>
            <w:tcW w:w="2260" w:type="dxa"/>
            <w:gridSpan w:val="2"/>
            <w:vMerge w:val="continue"/>
            <w:tcBorders>
              <w:top w:val="nil"/>
            </w:tcBorders>
            <w:vAlign w:val="top"/>
          </w:tcPr>
          <w:p w14:paraId="62E0F435">
            <w:pPr>
              <w:rPr>
                <w:rFonts w:ascii="Arial"/>
                <w:sz w:val="21"/>
              </w:rPr>
            </w:pPr>
          </w:p>
        </w:tc>
        <w:tc>
          <w:tcPr>
            <w:tcW w:w="844" w:type="dxa"/>
            <w:vMerge w:val="continue"/>
            <w:tcBorders>
              <w:top w:val="nil"/>
            </w:tcBorders>
            <w:vAlign w:val="top"/>
          </w:tcPr>
          <w:p w14:paraId="458C9DBB">
            <w:pPr>
              <w:rPr>
                <w:rFonts w:ascii="Arial"/>
                <w:sz w:val="21"/>
              </w:rPr>
            </w:pPr>
          </w:p>
        </w:tc>
        <w:tc>
          <w:tcPr>
            <w:tcW w:w="1230" w:type="dxa"/>
            <w:vAlign w:val="top"/>
          </w:tcPr>
          <w:p w14:paraId="16E15B69">
            <w:pPr>
              <w:spacing w:before="119"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600D8E21">
            <w:pPr>
              <w:rPr>
                <w:rFonts w:ascii="Arial"/>
                <w:sz w:val="21"/>
              </w:rPr>
            </w:pPr>
          </w:p>
        </w:tc>
        <w:tc>
          <w:tcPr>
            <w:tcW w:w="1674" w:type="dxa"/>
            <w:vMerge w:val="continue"/>
            <w:tcBorders>
              <w:top w:val="nil"/>
              <w:bottom w:val="nil"/>
            </w:tcBorders>
            <w:vAlign w:val="top"/>
          </w:tcPr>
          <w:p w14:paraId="633CD20B">
            <w:pPr>
              <w:rPr>
                <w:rFonts w:ascii="Arial"/>
                <w:sz w:val="21"/>
              </w:rPr>
            </w:pPr>
          </w:p>
        </w:tc>
        <w:tc>
          <w:tcPr>
            <w:tcW w:w="1004" w:type="dxa"/>
            <w:vMerge w:val="continue"/>
            <w:tcBorders>
              <w:top w:val="nil"/>
              <w:bottom w:val="nil"/>
            </w:tcBorders>
            <w:vAlign w:val="top"/>
          </w:tcPr>
          <w:p w14:paraId="720DF4A0">
            <w:pPr>
              <w:rPr>
                <w:rFonts w:ascii="Arial"/>
                <w:sz w:val="21"/>
              </w:rPr>
            </w:pPr>
          </w:p>
        </w:tc>
        <w:tc>
          <w:tcPr>
            <w:tcW w:w="2505" w:type="dxa"/>
            <w:vMerge w:val="continue"/>
            <w:tcBorders>
              <w:top w:val="nil"/>
              <w:bottom w:val="nil"/>
              <w:right w:val="nil"/>
            </w:tcBorders>
            <w:vAlign w:val="top"/>
          </w:tcPr>
          <w:p w14:paraId="0BCBA911">
            <w:pPr>
              <w:rPr>
                <w:rFonts w:ascii="Arial"/>
                <w:sz w:val="21"/>
              </w:rPr>
            </w:pPr>
          </w:p>
        </w:tc>
      </w:tr>
      <w:tr w14:paraId="4B116C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251FDF04">
            <w:pPr>
              <w:rPr>
                <w:rFonts w:ascii="Arial"/>
                <w:sz w:val="21"/>
              </w:rPr>
            </w:pPr>
          </w:p>
        </w:tc>
        <w:tc>
          <w:tcPr>
            <w:tcW w:w="1060" w:type="dxa"/>
            <w:vMerge w:val="restart"/>
            <w:tcBorders>
              <w:bottom w:val="nil"/>
            </w:tcBorders>
            <w:vAlign w:val="top"/>
          </w:tcPr>
          <w:p w14:paraId="52B2E73A">
            <w:pPr>
              <w:spacing w:before="282"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47" w:type="dxa"/>
            <w:vMerge w:val="restart"/>
            <w:tcBorders>
              <w:bottom w:val="nil"/>
            </w:tcBorders>
            <w:vAlign w:val="top"/>
          </w:tcPr>
          <w:p w14:paraId="35816749">
            <w:pPr>
              <w:pStyle w:val="6"/>
              <w:spacing w:before="253" w:line="219" w:lineRule="auto"/>
              <w:ind w:left="396"/>
              <w:rPr>
                <w:sz w:val="18"/>
                <w:szCs w:val="18"/>
              </w:rPr>
            </w:pPr>
            <w:r>
              <w:rPr>
                <w:spacing w:val="-1"/>
                <w:sz w:val="18"/>
                <w:szCs w:val="18"/>
              </w:rPr>
              <w:t>烧结系统无组织</w:t>
            </w:r>
          </w:p>
        </w:tc>
        <w:tc>
          <w:tcPr>
            <w:tcW w:w="1781" w:type="dxa"/>
            <w:vAlign w:val="top"/>
          </w:tcPr>
          <w:p w14:paraId="3801A7DD">
            <w:pPr>
              <w:pStyle w:val="6"/>
              <w:spacing w:before="91" w:line="220" w:lineRule="auto"/>
              <w:ind w:left="624"/>
              <w:rPr>
                <w:sz w:val="18"/>
                <w:szCs w:val="18"/>
              </w:rPr>
            </w:pPr>
            <w:r>
              <w:rPr>
                <w:spacing w:val="-3"/>
                <w:sz w:val="18"/>
                <w:szCs w:val="18"/>
              </w:rPr>
              <w:t>颗粒物</w:t>
            </w:r>
          </w:p>
        </w:tc>
        <w:tc>
          <w:tcPr>
            <w:tcW w:w="2416" w:type="dxa"/>
            <w:vMerge w:val="restart"/>
            <w:tcBorders>
              <w:bottom w:val="nil"/>
            </w:tcBorders>
            <w:vAlign w:val="top"/>
          </w:tcPr>
          <w:p w14:paraId="606A83FA">
            <w:pPr>
              <w:pStyle w:val="6"/>
              <w:spacing w:before="254" w:line="219" w:lineRule="auto"/>
              <w:ind w:left="581"/>
              <w:rPr>
                <w:sz w:val="18"/>
                <w:szCs w:val="18"/>
              </w:rPr>
            </w:pPr>
            <w:r>
              <w:rPr>
                <w:spacing w:val="-1"/>
                <w:sz w:val="18"/>
                <w:szCs w:val="18"/>
              </w:rPr>
              <w:t>封闭，喷雾降尘</w:t>
            </w:r>
          </w:p>
        </w:tc>
        <w:tc>
          <w:tcPr>
            <w:tcW w:w="1327" w:type="dxa"/>
            <w:vAlign w:val="top"/>
          </w:tcPr>
          <w:p w14:paraId="789509BA">
            <w:pPr>
              <w:spacing w:before="118"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1A46A5A3">
            <w:pPr>
              <w:spacing w:before="122" w:line="188" w:lineRule="auto"/>
              <w:ind w:left="47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6.38</w:t>
            </w:r>
          </w:p>
        </w:tc>
        <w:tc>
          <w:tcPr>
            <w:tcW w:w="2260" w:type="dxa"/>
            <w:gridSpan w:val="2"/>
            <w:vMerge w:val="restart"/>
            <w:tcBorders>
              <w:bottom w:val="nil"/>
            </w:tcBorders>
            <w:vAlign w:val="top"/>
          </w:tcPr>
          <w:p w14:paraId="2CC0A8B9">
            <w:pPr>
              <w:pStyle w:val="6"/>
              <w:spacing w:before="254" w:line="219" w:lineRule="auto"/>
              <w:ind w:left="1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285m×95m</w:t>
            </w:r>
            <w:r>
              <w:rPr>
                <w:rFonts w:ascii="Times New Roman" w:hAnsi="Times New Roman" w:eastAsia="Times New Roman" w:cs="Times New Roman"/>
                <w:spacing w:val="-15"/>
                <w:sz w:val="18"/>
                <w:szCs w:val="18"/>
              </w:rPr>
              <w:t xml:space="preserve"> </w:t>
            </w:r>
            <w:r>
              <w:rPr>
                <w:spacing w:val="-2"/>
                <w:sz w:val="18"/>
                <w:szCs w:val="18"/>
              </w:rPr>
              <w:t>，排放高度</w:t>
            </w:r>
            <w:r>
              <w:rPr>
                <w:spacing w:val="-43"/>
                <w:sz w:val="18"/>
                <w:szCs w:val="18"/>
              </w:rPr>
              <w:t xml:space="preserve"> </w:t>
            </w:r>
            <w:r>
              <w:rPr>
                <w:rFonts w:ascii="Times New Roman" w:hAnsi="Times New Roman" w:eastAsia="Times New Roman" w:cs="Times New Roman"/>
                <w:spacing w:val="-2"/>
                <w:sz w:val="18"/>
                <w:szCs w:val="18"/>
              </w:rPr>
              <w:t>28.5m</w:t>
            </w:r>
          </w:p>
        </w:tc>
        <w:tc>
          <w:tcPr>
            <w:tcW w:w="844" w:type="dxa"/>
            <w:vMerge w:val="restart"/>
            <w:tcBorders>
              <w:bottom w:val="nil"/>
            </w:tcBorders>
            <w:vAlign w:val="top"/>
          </w:tcPr>
          <w:p w14:paraId="7720F0FF">
            <w:pPr>
              <w:pStyle w:val="6"/>
              <w:spacing w:before="254" w:line="220" w:lineRule="auto"/>
              <w:ind w:left="247"/>
              <w:rPr>
                <w:sz w:val="18"/>
                <w:szCs w:val="18"/>
              </w:rPr>
            </w:pPr>
            <w:r>
              <w:rPr>
                <w:spacing w:val="-4"/>
                <w:sz w:val="18"/>
                <w:szCs w:val="18"/>
              </w:rPr>
              <w:t>连续</w:t>
            </w:r>
          </w:p>
        </w:tc>
        <w:tc>
          <w:tcPr>
            <w:tcW w:w="1230" w:type="dxa"/>
            <w:vAlign w:val="top"/>
          </w:tcPr>
          <w:p w14:paraId="285F4682">
            <w:pPr>
              <w:spacing w:before="118"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469D639F">
            <w:pPr>
              <w:rPr>
                <w:rFonts w:ascii="Arial"/>
                <w:sz w:val="21"/>
              </w:rPr>
            </w:pPr>
          </w:p>
        </w:tc>
        <w:tc>
          <w:tcPr>
            <w:tcW w:w="1674" w:type="dxa"/>
            <w:vMerge w:val="continue"/>
            <w:tcBorders>
              <w:top w:val="nil"/>
              <w:bottom w:val="nil"/>
            </w:tcBorders>
            <w:vAlign w:val="top"/>
          </w:tcPr>
          <w:p w14:paraId="74F45031">
            <w:pPr>
              <w:rPr>
                <w:rFonts w:ascii="Arial"/>
                <w:sz w:val="21"/>
              </w:rPr>
            </w:pPr>
          </w:p>
        </w:tc>
        <w:tc>
          <w:tcPr>
            <w:tcW w:w="1004" w:type="dxa"/>
            <w:vMerge w:val="continue"/>
            <w:tcBorders>
              <w:top w:val="nil"/>
              <w:bottom w:val="nil"/>
            </w:tcBorders>
            <w:vAlign w:val="top"/>
          </w:tcPr>
          <w:p w14:paraId="01C5DF46">
            <w:pPr>
              <w:rPr>
                <w:rFonts w:ascii="Arial"/>
                <w:sz w:val="21"/>
              </w:rPr>
            </w:pPr>
          </w:p>
        </w:tc>
        <w:tc>
          <w:tcPr>
            <w:tcW w:w="2505" w:type="dxa"/>
            <w:vMerge w:val="continue"/>
            <w:tcBorders>
              <w:top w:val="nil"/>
              <w:bottom w:val="nil"/>
              <w:right w:val="nil"/>
            </w:tcBorders>
            <w:vAlign w:val="top"/>
          </w:tcPr>
          <w:p w14:paraId="3D025BF6">
            <w:pPr>
              <w:rPr>
                <w:rFonts w:ascii="Arial"/>
                <w:sz w:val="21"/>
              </w:rPr>
            </w:pPr>
          </w:p>
        </w:tc>
      </w:tr>
      <w:tr w14:paraId="5E8E35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6F85F8E7">
            <w:pPr>
              <w:rPr>
                <w:rFonts w:ascii="Arial"/>
                <w:sz w:val="21"/>
              </w:rPr>
            </w:pPr>
          </w:p>
        </w:tc>
        <w:tc>
          <w:tcPr>
            <w:tcW w:w="1060" w:type="dxa"/>
            <w:vMerge w:val="continue"/>
            <w:tcBorders>
              <w:top w:val="nil"/>
            </w:tcBorders>
            <w:vAlign w:val="top"/>
          </w:tcPr>
          <w:p w14:paraId="22DAC594">
            <w:pPr>
              <w:rPr>
                <w:rFonts w:ascii="Arial"/>
                <w:sz w:val="21"/>
              </w:rPr>
            </w:pPr>
          </w:p>
        </w:tc>
        <w:tc>
          <w:tcPr>
            <w:tcW w:w="2047" w:type="dxa"/>
            <w:vMerge w:val="continue"/>
            <w:tcBorders>
              <w:top w:val="nil"/>
            </w:tcBorders>
            <w:vAlign w:val="top"/>
          </w:tcPr>
          <w:p w14:paraId="3A010ED7">
            <w:pPr>
              <w:rPr>
                <w:rFonts w:ascii="Arial"/>
                <w:sz w:val="21"/>
              </w:rPr>
            </w:pPr>
          </w:p>
        </w:tc>
        <w:tc>
          <w:tcPr>
            <w:tcW w:w="1781" w:type="dxa"/>
            <w:vAlign w:val="top"/>
          </w:tcPr>
          <w:p w14:paraId="42AD8AE6">
            <w:pPr>
              <w:pStyle w:val="6"/>
              <w:spacing w:before="91" w:line="221" w:lineRule="auto"/>
              <w:ind w:left="354"/>
              <w:rPr>
                <w:sz w:val="18"/>
                <w:szCs w:val="18"/>
              </w:rPr>
            </w:pPr>
            <w:r>
              <w:rPr>
                <w:spacing w:val="-2"/>
                <w:sz w:val="18"/>
                <w:szCs w:val="18"/>
              </w:rPr>
              <w:t>锰及其化合物</w:t>
            </w:r>
          </w:p>
        </w:tc>
        <w:tc>
          <w:tcPr>
            <w:tcW w:w="2416" w:type="dxa"/>
            <w:vMerge w:val="continue"/>
            <w:tcBorders>
              <w:top w:val="nil"/>
            </w:tcBorders>
            <w:vAlign w:val="top"/>
          </w:tcPr>
          <w:p w14:paraId="664BEB3D">
            <w:pPr>
              <w:rPr>
                <w:rFonts w:ascii="Arial"/>
                <w:sz w:val="21"/>
              </w:rPr>
            </w:pPr>
          </w:p>
        </w:tc>
        <w:tc>
          <w:tcPr>
            <w:tcW w:w="1327" w:type="dxa"/>
            <w:vAlign w:val="top"/>
          </w:tcPr>
          <w:p w14:paraId="37A71299">
            <w:pPr>
              <w:spacing w:before="119"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5BDA6A0E">
            <w:pPr>
              <w:spacing w:before="123" w:line="188" w:lineRule="auto"/>
              <w:ind w:left="52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w:t>
            </w:r>
          </w:p>
        </w:tc>
        <w:tc>
          <w:tcPr>
            <w:tcW w:w="2260" w:type="dxa"/>
            <w:gridSpan w:val="2"/>
            <w:vMerge w:val="continue"/>
            <w:tcBorders>
              <w:top w:val="nil"/>
            </w:tcBorders>
            <w:vAlign w:val="top"/>
          </w:tcPr>
          <w:p w14:paraId="203B3127">
            <w:pPr>
              <w:rPr>
                <w:rFonts w:ascii="Arial"/>
                <w:sz w:val="21"/>
              </w:rPr>
            </w:pPr>
          </w:p>
        </w:tc>
        <w:tc>
          <w:tcPr>
            <w:tcW w:w="844" w:type="dxa"/>
            <w:vMerge w:val="continue"/>
            <w:tcBorders>
              <w:top w:val="nil"/>
            </w:tcBorders>
            <w:vAlign w:val="top"/>
          </w:tcPr>
          <w:p w14:paraId="7FCC88E0">
            <w:pPr>
              <w:rPr>
                <w:rFonts w:ascii="Arial"/>
                <w:sz w:val="21"/>
              </w:rPr>
            </w:pPr>
          </w:p>
        </w:tc>
        <w:tc>
          <w:tcPr>
            <w:tcW w:w="1230" w:type="dxa"/>
            <w:vAlign w:val="top"/>
          </w:tcPr>
          <w:p w14:paraId="24341882">
            <w:pPr>
              <w:spacing w:before="119"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7EEF3C7C">
            <w:pPr>
              <w:rPr>
                <w:rFonts w:ascii="Arial"/>
                <w:sz w:val="21"/>
              </w:rPr>
            </w:pPr>
          </w:p>
        </w:tc>
        <w:tc>
          <w:tcPr>
            <w:tcW w:w="1674" w:type="dxa"/>
            <w:vMerge w:val="continue"/>
            <w:tcBorders>
              <w:top w:val="nil"/>
              <w:bottom w:val="nil"/>
            </w:tcBorders>
            <w:vAlign w:val="top"/>
          </w:tcPr>
          <w:p w14:paraId="63594124">
            <w:pPr>
              <w:rPr>
                <w:rFonts w:ascii="Arial"/>
                <w:sz w:val="21"/>
              </w:rPr>
            </w:pPr>
          </w:p>
        </w:tc>
        <w:tc>
          <w:tcPr>
            <w:tcW w:w="1004" w:type="dxa"/>
            <w:vMerge w:val="continue"/>
            <w:tcBorders>
              <w:top w:val="nil"/>
              <w:bottom w:val="nil"/>
            </w:tcBorders>
            <w:vAlign w:val="top"/>
          </w:tcPr>
          <w:p w14:paraId="46690A1B">
            <w:pPr>
              <w:rPr>
                <w:rFonts w:ascii="Arial"/>
                <w:sz w:val="21"/>
              </w:rPr>
            </w:pPr>
          </w:p>
        </w:tc>
        <w:tc>
          <w:tcPr>
            <w:tcW w:w="2505" w:type="dxa"/>
            <w:vMerge w:val="continue"/>
            <w:tcBorders>
              <w:top w:val="nil"/>
              <w:bottom w:val="nil"/>
              <w:right w:val="nil"/>
            </w:tcBorders>
            <w:vAlign w:val="top"/>
          </w:tcPr>
          <w:p w14:paraId="71A42EB7">
            <w:pPr>
              <w:rPr>
                <w:rFonts w:ascii="Arial"/>
                <w:sz w:val="21"/>
              </w:rPr>
            </w:pPr>
          </w:p>
        </w:tc>
      </w:tr>
      <w:tr w14:paraId="456ADD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00337C82">
            <w:pPr>
              <w:rPr>
                <w:rFonts w:ascii="Arial"/>
                <w:sz w:val="21"/>
              </w:rPr>
            </w:pPr>
          </w:p>
        </w:tc>
        <w:tc>
          <w:tcPr>
            <w:tcW w:w="1060" w:type="dxa"/>
            <w:vMerge w:val="restart"/>
            <w:tcBorders>
              <w:bottom w:val="nil"/>
            </w:tcBorders>
            <w:vAlign w:val="top"/>
          </w:tcPr>
          <w:p w14:paraId="3E24B6CC">
            <w:pPr>
              <w:spacing w:before="282"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47" w:type="dxa"/>
            <w:vMerge w:val="restart"/>
            <w:tcBorders>
              <w:bottom w:val="nil"/>
            </w:tcBorders>
            <w:vAlign w:val="top"/>
          </w:tcPr>
          <w:p w14:paraId="4CEA9A25">
            <w:pPr>
              <w:pStyle w:val="6"/>
              <w:spacing w:before="257" w:line="219" w:lineRule="auto"/>
              <w:ind w:left="58"/>
              <w:rPr>
                <w:sz w:val="18"/>
                <w:szCs w:val="18"/>
              </w:rPr>
            </w:pPr>
            <w:r>
              <w:rPr>
                <w:spacing w:val="-3"/>
                <w:sz w:val="18"/>
                <w:szCs w:val="18"/>
              </w:rPr>
              <w:t>电炉生产区配料站无组织</w:t>
            </w:r>
          </w:p>
        </w:tc>
        <w:tc>
          <w:tcPr>
            <w:tcW w:w="1781" w:type="dxa"/>
            <w:vAlign w:val="top"/>
          </w:tcPr>
          <w:p w14:paraId="28E2A0D9">
            <w:pPr>
              <w:pStyle w:val="6"/>
              <w:spacing w:before="91" w:line="220" w:lineRule="auto"/>
              <w:ind w:left="624"/>
              <w:rPr>
                <w:sz w:val="18"/>
                <w:szCs w:val="18"/>
              </w:rPr>
            </w:pPr>
            <w:r>
              <w:rPr>
                <w:spacing w:val="-3"/>
                <w:sz w:val="18"/>
                <w:szCs w:val="18"/>
              </w:rPr>
              <w:t>颗粒物</w:t>
            </w:r>
          </w:p>
        </w:tc>
        <w:tc>
          <w:tcPr>
            <w:tcW w:w="2416" w:type="dxa"/>
            <w:vMerge w:val="restart"/>
            <w:tcBorders>
              <w:bottom w:val="nil"/>
            </w:tcBorders>
            <w:vAlign w:val="top"/>
          </w:tcPr>
          <w:p w14:paraId="4C2429BE">
            <w:pPr>
              <w:pStyle w:val="6"/>
              <w:spacing w:before="257" w:line="219" w:lineRule="auto"/>
              <w:ind w:left="581"/>
              <w:rPr>
                <w:sz w:val="18"/>
                <w:szCs w:val="18"/>
              </w:rPr>
            </w:pPr>
            <w:r>
              <w:rPr>
                <w:spacing w:val="-1"/>
                <w:sz w:val="18"/>
                <w:szCs w:val="18"/>
              </w:rPr>
              <w:t>封闭，喷雾降尘</w:t>
            </w:r>
          </w:p>
        </w:tc>
        <w:tc>
          <w:tcPr>
            <w:tcW w:w="1327" w:type="dxa"/>
            <w:vAlign w:val="top"/>
          </w:tcPr>
          <w:p w14:paraId="49B1E219">
            <w:pPr>
              <w:spacing w:before="119"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3F45D408">
            <w:pPr>
              <w:spacing w:before="122" w:line="188" w:lineRule="auto"/>
              <w:ind w:left="37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3×1.38</w:t>
            </w:r>
          </w:p>
        </w:tc>
        <w:tc>
          <w:tcPr>
            <w:tcW w:w="2260" w:type="dxa"/>
            <w:gridSpan w:val="2"/>
            <w:vMerge w:val="restart"/>
            <w:tcBorders>
              <w:bottom w:val="nil"/>
            </w:tcBorders>
            <w:vAlign w:val="top"/>
          </w:tcPr>
          <w:p w14:paraId="390B63F5">
            <w:pPr>
              <w:pStyle w:val="6"/>
              <w:spacing w:before="257" w:line="219" w:lineRule="auto"/>
              <w:ind w:left="1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3×110m×25m</w:t>
            </w:r>
            <w:r>
              <w:rPr>
                <w:spacing w:val="-3"/>
                <w:sz w:val="18"/>
                <w:szCs w:val="18"/>
              </w:rPr>
              <w:t>，排放高度</w:t>
            </w:r>
            <w:r>
              <w:rPr>
                <w:spacing w:val="-38"/>
                <w:sz w:val="18"/>
                <w:szCs w:val="18"/>
              </w:rPr>
              <w:t xml:space="preserve"> </w:t>
            </w:r>
            <w:r>
              <w:rPr>
                <w:rFonts w:ascii="Times New Roman" w:hAnsi="Times New Roman" w:eastAsia="Times New Roman" w:cs="Times New Roman"/>
                <w:spacing w:val="-3"/>
                <w:sz w:val="18"/>
                <w:szCs w:val="18"/>
              </w:rPr>
              <w:t>20m</w:t>
            </w:r>
          </w:p>
        </w:tc>
        <w:tc>
          <w:tcPr>
            <w:tcW w:w="844" w:type="dxa"/>
            <w:vMerge w:val="restart"/>
            <w:tcBorders>
              <w:bottom w:val="nil"/>
            </w:tcBorders>
            <w:vAlign w:val="top"/>
          </w:tcPr>
          <w:p w14:paraId="54EEE106">
            <w:pPr>
              <w:pStyle w:val="6"/>
              <w:spacing w:before="257" w:line="220" w:lineRule="auto"/>
              <w:ind w:left="247"/>
              <w:rPr>
                <w:sz w:val="18"/>
                <w:szCs w:val="18"/>
              </w:rPr>
            </w:pPr>
            <w:r>
              <w:rPr>
                <w:spacing w:val="-4"/>
                <w:sz w:val="18"/>
                <w:szCs w:val="18"/>
              </w:rPr>
              <w:t>连续</w:t>
            </w:r>
          </w:p>
        </w:tc>
        <w:tc>
          <w:tcPr>
            <w:tcW w:w="1230" w:type="dxa"/>
            <w:vAlign w:val="top"/>
          </w:tcPr>
          <w:p w14:paraId="7B207DE6">
            <w:pPr>
              <w:spacing w:before="119"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02151828">
            <w:pPr>
              <w:rPr>
                <w:rFonts w:ascii="Arial"/>
                <w:sz w:val="21"/>
              </w:rPr>
            </w:pPr>
          </w:p>
        </w:tc>
        <w:tc>
          <w:tcPr>
            <w:tcW w:w="1674" w:type="dxa"/>
            <w:vMerge w:val="continue"/>
            <w:tcBorders>
              <w:top w:val="nil"/>
              <w:bottom w:val="nil"/>
            </w:tcBorders>
            <w:vAlign w:val="top"/>
          </w:tcPr>
          <w:p w14:paraId="3F2887B7">
            <w:pPr>
              <w:rPr>
                <w:rFonts w:ascii="Arial"/>
                <w:sz w:val="21"/>
              </w:rPr>
            </w:pPr>
          </w:p>
        </w:tc>
        <w:tc>
          <w:tcPr>
            <w:tcW w:w="1004" w:type="dxa"/>
            <w:vMerge w:val="continue"/>
            <w:tcBorders>
              <w:top w:val="nil"/>
              <w:bottom w:val="nil"/>
            </w:tcBorders>
            <w:vAlign w:val="top"/>
          </w:tcPr>
          <w:p w14:paraId="7DF772F3">
            <w:pPr>
              <w:rPr>
                <w:rFonts w:ascii="Arial"/>
                <w:sz w:val="21"/>
              </w:rPr>
            </w:pPr>
          </w:p>
        </w:tc>
        <w:tc>
          <w:tcPr>
            <w:tcW w:w="2505" w:type="dxa"/>
            <w:vMerge w:val="continue"/>
            <w:tcBorders>
              <w:top w:val="nil"/>
              <w:bottom w:val="nil"/>
              <w:right w:val="nil"/>
            </w:tcBorders>
            <w:vAlign w:val="top"/>
          </w:tcPr>
          <w:p w14:paraId="07EC7D82">
            <w:pPr>
              <w:rPr>
                <w:rFonts w:ascii="Arial"/>
                <w:sz w:val="21"/>
              </w:rPr>
            </w:pPr>
          </w:p>
        </w:tc>
      </w:tr>
      <w:tr w14:paraId="083851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01CD6038">
            <w:pPr>
              <w:rPr>
                <w:rFonts w:ascii="Arial"/>
                <w:sz w:val="21"/>
              </w:rPr>
            </w:pPr>
          </w:p>
        </w:tc>
        <w:tc>
          <w:tcPr>
            <w:tcW w:w="1060" w:type="dxa"/>
            <w:vMerge w:val="continue"/>
            <w:tcBorders>
              <w:top w:val="nil"/>
            </w:tcBorders>
            <w:vAlign w:val="top"/>
          </w:tcPr>
          <w:p w14:paraId="047DE456">
            <w:pPr>
              <w:rPr>
                <w:rFonts w:ascii="Arial"/>
                <w:sz w:val="21"/>
              </w:rPr>
            </w:pPr>
          </w:p>
        </w:tc>
        <w:tc>
          <w:tcPr>
            <w:tcW w:w="2047" w:type="dxa"/>
            <w:vMerge w:val="continue"/>
            <w:tcBorders>
              <w:top w:val="nil"/>
            </w:tcBorders>
            <w:vAlign w:val="top"/>
          </w:tcPr>
          <w:p w14:paraId="22C8D82A">
            <w:pPr>
              <w:rPr>
                <w:rFonts w:ascii="Arial"/>
                <w:sz w:val="21"/>
              </w:rPr>
            </w:pPr>
          </w:p>
        </w:tc>
        <w:tc>
          <w:tcPr>
            <w:tcW w:w="1781" w:type="dxa"/>
            <w:vAlign w:val="top"/>
          </w:tcPr>
          <w:p w14:paraId="7BF38D95">
            <w:pPr>
              <w:pStyle w:val="6"/>
              <w:spacing w:before="92" w:line="221" w:lineRule="auto"/>
              <w:ind w:left="354"/>
              <w:rPr>
                <w:sz w:val="18"/>
                <w:szCs w:val="18"/>
              </w:rPr>
            </w:pPr>
            <w:r>
              <w:rPr>
                <w:spacing w:val="-2"/>
                <w:sz w:val="18"/>
                <w:szCs w:val="18"/>
              </w:rPr>
              <w:t>锰及其化合物</w:t>
            </w:r>
          </w:p>
        </w:tc>
        <w:tc>
          <w:tcPr>
            <w:tcW w:w="2416" w:type="dxa"/>
            <w:vMerge w:val="continue"/>
            <w:tcBorders>
              <w:top w:val="nil"/>
            </w:tcBorders>
            <w:vAlign w:val="top"/>
          </w:tcPr>
          <w:p w14:paraId="5778360F">
            <w:pPr>
              <w:rPr>
                <w:rFonts w:ascii="Arial"/>
                <w:sz w:val="21"/>
              </w:rPr>
            </w:pPr>
          </w:p>
        </w:tc>
        <w:tc>
          <w:tcPr>
            <w:tcW w:w="1327" w:type="dxa"/>
            <w:vAlign w:val="top"/>
          </w:tcPr>
          <w:p w14:paraId="43FD3C64">
            <w:pPr>
              <w:spacing w:before="120"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588BF2BE">
            <w:pPr>
              <w:spacing w:before="123" w:line="188" w:lineRule="auto"/>
              <w:ind w:left="37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3×0.14</w:t>
            </w:r>
          </w:p>
        </w:tc>
        <w:tc>
          <w:tcPr>
            <w:tcW w:w="2260" w:type="dxa"/>
            <w:gridSpan w:val="2"/>
            <w:vMerge w:val="continue"/>
            <w:tcBorders>
              <w:top w:val="nil"/>
            </w:tcBorders>
            <w:vAlign w:val="top"/>
          </w:tcPr>
          <w:p w14:paraId="5EF5EEF6">
            <w:pPr>
              <w:rPr>
                <w:rFonts w:ascii="Arial"/>
                <w:sz w:val="21"/>
              </w:rPr>
            </w:pPr>
          </w:p>
        </w:tc>
        <w:tc>
          <w:tcPr>
            <w:tcW w:w="844" w:type="dxa"/>
            <w:vMerge w:val="continue"/>
            <w:tcBorders>
              <w:top w:val="nil"/>
            </w:tcBorders>
            <w:vAlign w:val="top"/>
          </w:tcPr>
          <w:p w14:paraId="05E4D37A">
            <w:pPr>
              <w:rPr>
                <w:rFonts w:ascii="Arial"/>
                <w:sz w:val="21"/>
              </w:rPr>
            </w:pPr>
          </w:p>
        </w:tc>
        <w:tc>
          <w:tcPr>
            <w:tcW w:w="1230" w:type="dxa"/>
            <w:vAlign w:val="top"/>
          </w:tcPr>
          <w:p w14:paraId="17F56B2B">
            <w:pPr>
              <w:spacing w:before="120"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0F3DFC3E">
            <w:pPr>
              <w:rPr>
                <w:rFonts w:ascii="Arial"/>
                <w:sz w:val="21"/>
              </w:rPr>
            </w:pPr>
          </w:p>
        </w:tc>
        <w:tc>
          <w:tcPr>
            <w:tcW w:w="1674" w:type="dxa"/>
            <w:vMerge w:val="continue"/>
            <w:tcBorders>
              <w:top w:val="nil"/>
              <w:bottom w:val="nil"/>
            </w:tcBorders>
            <w:vAlign w:val="top"/>
          </w:tcPr>
          <w:p w14:paraId="4072A405">
            <w:pPr>
              <w:rPr>
                <w:rFonts w:ascii="Arial"/>
                <w:sz w:val="21"/>
              </w:rPr>
            </w:pPr>
          </w:p>
        </w:tc>
        <w:tc>
          <w:tcPr>
            <w:tcW w:w="1004" w:type="dxa"/>
            <w:vMerge w:val="continue"/>
            <w:tcBorders>
              <w:top w:val="nil"/>
              <w:bottom w:val="nil"/>
            </w:tcBorders>
            <w:vAlign w:val="top"/>
          </w:tcPr>
          <w:p w14:paraId="79CA4299">
            <w:pPr>
              <w:rPr>
                <w:rFonts w:ascii="Arial"/>
                <w:sz w:val="21"/>
              </w:rPr>
            </w:pPr>
          </w:p>
        </w:tc>
        <w:tc>
          <w:tcPr>
            <w:tcW w:w="2505" w:type="dxa"/>
            <w:vMerge w:val="continue"/>
            <w:tcBorders>
              <w:top w:val="nil"/>
              <w:bottom w:val="nil"/>
              <w:right w:val="nil"/>
            </w:tcBorders>
            <w:vAlign w:val="top"/>
          </w:tcPr>
          <w:p w14:paraId="7E41C5CC">
            <w:pPr>
              <w:rPr>
                <w:rFonts w:ascii="Arial"/>
                <w:sz w:val="21"/>
              </w:rPr>
            </w:pPr>
          </w:p>
        </w:tc>
      </w:tr>
      <w:tr w14:paraId="683A90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521AF9F5">
            <w:pPr>
              <w:rPr>
                <w:rFonts w:ascii="Arial"/>
                <w:sz w:val="21"/>
              </w:rPr>
            </w:pPr>
          </w:p>
        </w:tc>
        <w:tc>
          <w:tcPr>
            <w:tcW w:w="1060" w:type="dxa"/>
            <w:vMerge w:val="restart"/>
            <w:tcBorders>
              <w:bottom w:val="nil"/>
            </w:tcBorders>
            <w:vAlign w:val="top"/>
          </w:tcPr>
          <w:p w14:paraId="3C5331AF">
            <w:pPr>
              <w:spacing w:before="283"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47" w:type="dxa"/>
            <w:vMerge w:val="restart"/>
            <w:tcBorders>
              <w:bottom w:val="nil"/>
            </w:tcBorders>
            <w:vAlign w:val="top"/>
          </w:tcPr>
          <w:p w14:paraId="32CF246A">
            <w:pPr>
              <w:pStyle w:val="6"/>
              <w:spacing w:before="258" w:line="219" w:lineRule="auto"/>
              <w:ind w:left="418"/>
              <w:rPr>
                <w:sz w:val="18"/>
                <w:szCs w:val="18"/>
              </w:rPr>
            </w:pPr>
            <w:r>
              <w:rPr>
                <w:spacing w:val="-5"/>
                <w:sz w:val="18"/>
                <w:szCs w:val="18"/>
              </w:rPr>
              <w:t>电炉车间无组织</w:t>
            </w:r>
          </w:p>
        </w:tc>
        <w:tc>
          <w:tcPr>
            <w:tcW w:w="1781" w:type="dxa"/>
            <w:vAlign w:val="top"/>
          </w:tcPr>
          <w:p w14:paraId="3662553F">
            <w:pPr>
              <w:pStyle w:val="6"/>
              <w:spacing w:before="92" w:line="220" w:lineRule="auto"/>
              <w:ind w:left="624"/>
              <w:rPr>
                <w:sz w:val="18"/>
                <w:szCs w:val="18"/>
              </w:rPr>
            </w:pPr>
            <w:r>
              <w:rPr>
                <w:spacing w:val="-3"/>
                <w:sz w:val="18"/>
                <w:szCs w:val="18"/>
              </w:rPr>
              <w:t>颗粒物</w:t>
            </w:r>
          </w:p>
        </w:tc>
        <w:tc>
          <w:tcPr>
            <w:tcW w:w="2416" w:type="dxa"/>
            <w:vMerge w:val="restart"/>
            <w:tcBorders>
              <w:bottom w:val="nil"/>
            </w:tcBorders>
            <w:vAlign w:val="top"/>
          </w:tcPr>
          <w:p w14:paraId="5F398C67">
            <w:pPr>
              <w:pStyle w:val="6"/>
              <w:spacing w:before="258" w:line="219" w:lineRule="auto"/>
              <w:ind w:left="581"/>
              <w:rPr>
                <w:sz w:val="18"/>
                <w:szCs w:val="18"/>
              </w:rPr>
            </w:pPr>
            <w:r>
              <w:rPr>
                <w:spacing w:val="-1"/>
                <w:sz w:val="18"/>
                <w:szCs w:val="18"/>
              </w:rPr>
              <w:t>封闭，喷雾降尘</w:t>
            </w:r>
          </w:p>
        </w:tc>
        <w:tc>
          <w:tcPr>
            <w:tcW w:w="1327" w:type="dxa"/>
            <w:vAlign w:val="top"/>
          </w:tcPr>
          <w:p w14:paraId="2DED634E">
            <w:pPr>
              <w:spacing w:before="120"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6D35DCEF">
            <w:pPr>
              <w:spacing w:before="123" w:line="188" w:lineRule="auto"/>
              <w:ind w:left="37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3×0.63</w:t>
            </w:r>
          </w:p>
        </w:tc>
        <w:tc>
          <w:tcPr>
            <w:tcW w:w="2260" w:type="dxa"/>
            <w:gridSpan w:val="2"/>
            <w:vMerge w:val="restart"/>
            <w:tcBorders>
              <w:bottom w:val="nil"/>
            </w:tcBorders>
            <w:vAlign w:val="top"/>
          </w:tcPr>
          <w:p w14:paraId="29F5E041">
            <w:pPr>
              <w:pStyle w:val="6"/>
              <w:spacing w:before="258" w:line="219" w:lineRule="auto"/>
              <w:jc w:val="right"/>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w:t>
            </w:r>
            <w:r>
              <w:rPr>
                <w:rFonts w:ascii="Times New Roman" w:hAnsi="Times New Roman" w:eastAsia="Times New Roman" w:cs="Times New Roman"/>
                <w:spacing w:val="-3"/>
                <w:sz w:val="18"/>
                <w:szCs w:val="18"/>
              </w:rPr>
              <w:t>×137m×93m</w:t>
            </w:r>
            <w:r>
              <w:rPr>
                <w:spacing w:val="-3"/>
                <w:sz w:val="18"/>
                <w:szCs w:val="18"/>
              </w:rPr>
              <w:t>，排放高度</w:t>
            </w:r>
            <w:r>
              <w:rPr>
                <w:spacing w:val="-37"/>
                <w:sz w:val="18"/>
                <w:szCs w:val="18"/>
              </w:rPr>
              <w:t xml:space="preserve"> </w:t>
            </w:r>
            <w:r>
              <w:rPr>
                <w:rFonts w:ascii="Times New Roman" w:hAnsi="Times New Roman" w:eastAsia="Times New Roman" w:cs="Times New Roman"/>
                <w:spacing w:val="-3"/>
                <w:sz w:val="18"/>
                <w:szCs w:val="18"/>
              </w:rPr>
              <w:t>30</w:t>
            </w:r>
            <w:r>
              <w:rPr>
                <w:rFonts w:ascii="Times New Roman" w:hAnsi="Times New Roman" w:eastAsia="Times New Roman" w:cs="Times New Roman"/>
                <w:spacing w:val="-2"/>
                <w:sz w:val="18"/>
                <w:szCs w:val="18"/>
              </w:rPr>
              <w:t>m</w:t>
            </w:r>
          </w:p>
        </w:tc>
        <w:tc>
          <w:tcPr>
            <w:tcW w:w="844" w:type="dxa"/>
            <w:vMerge w:val="restart"/>
            <w:tcBorders>
              <w:bottom w:val="nil"/>
            </w:tcBorders>
            <w:vAlign w:val="top"/>
          </w:tcPr>
          <w:p w14:paraId="7BD642B3">
            <w:pPr>
              <w:pStyle w:val="6"/>
              <w:spacing w:before="257" w:line="220" w:lineRule="auto"/>
              <w:ind w:left="247"/>
              <w:rPr>
                <w:sz w:val="18"/>
                <w:szCs w:val="18"/>
              </w:rPr>
            </w:pPr>
            <w:r>
              <w:rPr>
                <w:spacing w:val="-4"/>
                <w:sz w:val="18"/>
                <w:szCs w:val="18"/>
              </w:rPr>
              <w:t>连续</w:t>
            </w:r>
          </w:p>
        </w:tc>
        <w:tc>
          <w:tcPr>
            <w:tcW w:w="1230" w:type="dxa"/>
            <w:vAlign w:val="top"/>
          </w:tcPr>
          <w:p w14:paraId="71D1641A">
            <w:pPr>
              <w:spacing w:before="120"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5967405F">
            <w:pPr>
              <w:rPr>
                <w:rFonts w:ascii="Arial"/>
                <w:sz w:val="21"/>
              </w:rPr>
            </w:pPr>
          </w:p>
        </w:tc>
        <w:tc>
          <w:tcPr>
            <w:tcW w:w="1674" w:type="dxa"/>
            <w:vMerge w:val="continue"/>
            <w:tcBorders>
              <w:top w:val="nil"/>
              <w:bottom w:val="nil"/>
            </w:tcBorders>
            <w:vAlign w:val="top"/>
          </w:tcPr>
          <w:p w14:paraId="512E8B37">
            <w:pPr>
              <w:rPr>
                <w:rFonts w:ascii="Arial"/>
                <w:sz w:val="21"/>
              </w:rPr>
            </w:pPr>
          </w:p>
        </w:tc>
        <w:tc>
          <w:tcPr>
            <w:tcW w:w="1004" w:type="dxa"/>
            <w:vMerge w:val="continue"/>
            <w:tcBorders>
              <w:top w:val="nil"/>
              <w:bottom w:val="nil"/>
            </w:tcBorders>
            <w:vAlign w:val="top"/>
          </w:tcPr>
          <w:p w14:paraId="7C5DAE0D">
            <w:pPr>
              <w:rPr>
                <w:rFonts w:ascii="Arial"/>
                <w:sz w:val="21"/>
              </w:rPr>
            </w:pPr>
          </w:p>
        </w:tc>
        <w:tc>
          <w:tcPr>
            <w:tcW w:w="2505" w:type="dxa"/>
            <w:vMerge w:val="continue"/>
            <w:tcBorders>
              <w:top w:val="nil"/>
              <w:bottom w:val="nil"/>
              <w:right w:val="nil"/>
            </w:tcBorders>
            <w:vAlign w:val="top"/>
          </w:tcPr>
          <w:p w14:paraId="31183F57">
            <w:pPr>
              <w:rPr>
                <w:rFonts w:ascii="Arial"/>
                <w:sz w:val="21"/>
              </w:rPr>
            </w:pPr>
          </w:p>
        </w:tc>
      </w:tr>
      <w:tr w14:paraId="2E9EF2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tcBorders>
            <w:vAlign w:val="top"/>
          </w:tcPr>
          <w:p w14:paraId="4A76E9CC">
            <w:pPr>
              <w:rPr>
                <w:rFonts w:ascii="Arial"/>
                <w:sz w:val="21"/>
              </w:rPr>
            </w:pPr>
          </w:p>
        </w:tc>
        <w:tc>
          <w:tcPr>
            <w:tcW w:w="1060" w:type="dxa"/>
            <w:vMerge w:val="continue"/>
            <w:tcBorders>
              <w:top w:val="nil"/>
            </w:tcBorders>
            <w:vAlign w:val="top"/>
          </w:tcPr>
          <w:p w14:paraId="4E14EC7A">
            <w:pPr>
              <w:rPr>
                <w:rFonts w:ascii="Arial"/>
                <w:sz w:val="21"/>
              </w:rPr>
            </w:pPr>
          </w:p>
        </w:tc>
        <w:tc>
          <w:tcPr>
            <w:tcW w:w="2047" w:type="dxa"/>
            <w:vMerge w:val="continue"/>
            <w:tcBorders>
              <w:top w:val="nil"/>
            </w:tcBorders>
            <w:vAlign w:val="top"/>
          </w:tcPr>
          <w:p w14:paraId="3B8C36E9">
            <w:pPr>
              <w:rPr>
                <w:rFonts w:ascii="Arial"/>
                <w:sz w:val="21"/>
              </w:rPr>
            </w:pPr>
          </w:p>
        </w:tc>
        <w:tc>
          <w:tcPr>
            <w:tcW w:w="1781" w:type="dxa"/>
            <w:vAlign w:val="top"/>
          </w:tcPr>
          <w:p w14:paraId="214EC7C3">
            <w:pPr>
              <w:pStyle w:val="6"/>
              <w:spacing w:before="95" w:line="221" w:lineRule="auto"/>
              <w:ind w:left="354"/>
              <w:rPr>
                <w:sz w:val="18"/>
                <w:szCs w:val="18"/>
              </w:rPr>
            </w:pPr>
            <w:r>
              <w:rPr>
                <w:spacing w:val="-2"/>
                <w:sz w:val="18"/>
                <w:szCs w:val="18"/>
              </w:rPr>
              <w:t>锰及其化合物</w:t>
            </w:r>
          </w:p>
        </w:tc>
        <w:tc>
          <w:tcPr>
            <w:tcW w:w="2416" w:type="dxa"/>
            <w:vMerge w:val="continue"/>
            <w:tcBorders>
              <w:top w:val="nil"/>
            </w:tcBorders>
            <w:vAlign w:val="top"/>
          </w:tcPr>
          <w:p w14:paraId="27C5C412">
            <w:pPr>
              <w:rPr>
                <w:rFonts w:ascii="Arial"/>
                <w:sz w:val="21"/>
              </w:rPr>
            </w:pPr>
          </w:p>
        </w:tc>
        <w:tc>
          <w:tcPr>
            <w:tcW w:w="1327" w:type="dxa"/>
            <w:vAlign w:val="top"/>
          </w:tcPr>
          <w:p w14:paraId="6164C0EF">
            <w:pPr>
              <w:spacing w:before="120"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7159132F">
            <w:pPr>
              <w:spacing w:before="124" w:line="188" w:lineRule="auto"/>
              <w:ind w:left="37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3×0.17</w:t>
            </w:r>
          </w:p>
        </w:tc>
        <w:tc>
          <w:tcPr>
            <w:tcW w:w="2260" w:type="dxa"/>
            <w:gridSpan w:val="2"/>
            <w:vMerge w:val="continue"/>
            <w:tcBorders>
              <w:top w:val="nil"/>
            </w:tcBorders>
            <w:vAlign w:val="top"/>
          </w:tcPr>
          <w:p w14:paraId="51C1AAC1">
            <w:pPr>
              <w:rPr>
                <w:rFonts w:ascii="Arial"/>
                <w:sz w:val="21"/>
              </w:rPr>
            </w:pPr>
          </w:p>
        </w:tc>
        <w:tc>
          <w:tcPr>
            <w:tcW w:w="844" w:type="dxa"/>
            <w:vMerge w:val="continue"/>
            <w:tcBorders>
              <w:top w:val="nil"/>
            </w:tcBorders>
            <w:vAlign w:val="top"/>
          </w:tcPr>
          <w:p w14:paraId="28150E7D">
            <w:pPr>
              <w:rPr>
                <w:rFonts w:ascii="Arial"/>
                <w:sz w:val="21"/>
              </w:rPr>
            </w:pPr>
          </w:p>
        </w:tc>
        <w:tc>
          <w:tcPr>
            <w:tcW w:w="1230" w:type="dxa"/>
            <w:vAlign w:val="top"/>
          </w:tcPr>
          <w:p w14:paraId="579645AE">
            <w:pPr>
              <w:spacing w:before="120"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tcBorders>
            <w:vAlign w:val="top"/>
          </w:tcPr>
          <w:p w14:paraId="27FD5A84">
            <w:pPr>
              <w:rPr>
                <w:rFonts w:ascii="Arial"/>
                <w:sz w:val="21"/>
              </w:rPr>
            </w:pPr>
          </w:p>
        </w:tc>
        <w:tc>
          <w:tcPr>
            <w:tcW w:w="1674" w:type="dxa"/>
            <w:vMerge w:val="continue"/>
            <w:tcBorders>
              <w:top w:val="nil"/>
            </w:tcBorders>
            <w:vAlign w:val="top"/>
          </w:tcPr>
          <w:p w14:paraId="5449CF7D">
            <w:pPr>
              <w:rPr>
                <w:rFonts w:ascii="Arial"/>
                <w:sz w:val="21"/>
              </w:rPr>
            </w:pPr>
          </w:p>
        </w:tc>
        <w:tc>
          <w:tcPr>
            <w:tcW w:w="1004" w:type="dxa"/>
            <w:vMerge w:val="continue"/>
            <w:tcBorders>
              <w:top w:val="nil"/>
            </w:tcBorders>
            <w:vAlign w:val="top"/>
          </w:tcPr>
          <w:p w14:paraId="5AC1106A">
            <w:pPr>
              <w:rPr>
                <w:rFonts w:ascii="Arial"/>
                <w:sz w:val="21"/>
              </w:rPr>
            </w:pPr>
          </w:p>
        </w:tc>
        <w:tc>
          <w:tcPr>
            <w:tcW w:w="2505" w:type="dxa"/>
            <w:vMerge w:val="continue"/>
            <w:tcBorders>
              <w:top w:val="nil"/>
              <w:right w:val="nil"/>
            </w:tcBorders>
            <w:vAlign w:val="top"/>
          </w:tcPr>
          <w:p w14:paraId="4C0D513F">
            <w:pPr>
              <w:rPr>
                <w:rFonts w:ascii="Arial"/>
                <w:sz w:val="21"/>
              </w:rPr>
            </w:pPr>
          </w:p>
        </w:tc>
      </w:tr>
      <w:tr w14:paraId="4F6ADD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4" w:hRule="atLeast"/>
        </w:trPr>
        <w:tc>
          <w:tcPr>
            <w:tcW w:w="730" w:type="dxa"/>
            <w:tcBorders>
              <w:left w:val="nil"/>
              <w:bottom w:val="single" w:color="000000" w:sz="10" w:space="0"/>
            </w:tcBorders>
            <w:vAlign w:val="top"/>
          </w:tcPr>
          <w:p w14:paraId="7139379C">
            <w:pPr>
              <w:pStyle w:val="6"/>
              <w:spacing w:before="253" w:line="219" w:lineRule="auto"/>
              <w:ind w:left="187"/>
              <w:rPr>
                <w:sz w:val="18"/>
                <w:szCs w:val="18"/>
              </w:rPr>
            </w:pPr>
            <w:r>
              <w:rPr>
                <w:spacing w:val="-4"/>
                <w:sz w:val="18"/>
                <w:szCs w:val="18"/>
              </w:rPr>
              <w:t>废水</w:t>
            </w:r>
          </w:p>
        </w:tc>
        <w:tc>
          <w:tcPr>
            <w:tcW w:w="1060" w:type="dxa"/>
            <w:tcBorders>
              <w:bottom w:val="single" w:color="000000" w:sz="10" w:space="0"/>
            </w:tcBorders>
            <w:vAlign w:val="top"/>
          </w:tcPr>
          <w:p w14:paraId="26EDE566">
            <w:pPr>
              <w:spacing w:before="277" w:line="206" w:lineRule="auto"/>
              <w:ind w:left="339"/>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1-</w:t>
            </w:r>
            <w:r>
              <w:rPr>
                <w:rFonts w:ascii="Times New Roman" w:hAnsi="Times New Roman" w:eastAsia="Times New Roman" w:cs="Times New Roman"/>
                <w:spacing w:val="-19"/>
                <w:sz w:val="13"/>
                <w:szCs w:val="13"/>
              </w:rPr>
              <w:t xml:space="preserve"> </w:t>
            </w:r>
            <w:r>
              <w:rPr>
                <w:rFonts w:ascii="Times New Roman" w:hAnsi="Times New Roman" w:eastAsia="Times New Roman" w:cs="Times New Roman"/>
                <w:spacing w:val="3"/>
                <w:sz w:val="13"/>
                <w:szCs w:val="13"/>
              </w:rPr>
              <w:t>1</w:t>
            </w:r>
          </w:p>
        </w:tc>
        <w:tc>
          <w:tcPr>
            <w:tcW w:w="2047" w:type="dxa"/>
            <w:tcBorders>
              <w:bottom w:val="single" w:color="000000" w:sz="10" w:space="0"/>
            </w:tcBorders>
            <w:vAlign w:val="top"/>
          </w:tcPr>
          <w:p w14:paraId="114F2904">
            <w:pPr>
              <w:pStyle w:val="6"/>
              <w:spacing w:before="253" w:line="219" w:lineRule="auto"/>
              <w:ind w:left="669"/>
              <w:rPr>
                <w:sz w:val="18"/>
                <w:szCs w:val="18"/>
              </w:rPr>
            </w:pPr>
            <w:r>
              <w:rPr>
                <w:spacing w:val="-2"/>
                <w:sz w:val="18"/>
                <w:szCs w:val="18"/>
              </w:rPr>
              <w:t>脱硫废水</w:t>
            </w:r>
          </w:p>
        </w:tc>
        <w:tc>
          <w:tcPr>
            <w:tcW w:w="1781" w:type="dxa"/>
            <w:tcBorders>
              <w:bottom w:val="single" w:color="000000" w:sz="10" w:space="0"/>
            </w:tcBorders>
            <w:vAlign w:val="top"/>
          </w:tcPr>
          <w:p w14:paraId="26A0A5F5">
            <w:pPr>
              <w:pStyle w:val="6"/>
              <w:spacing w:before="282" w:line="180" w:lineRule="auto"/>
              <w:ind w:left="32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pH</w:t>
            </w:r>
            <w:r>
              <w:rPr>
                <w:spacing w:val="-3"/>
                <w:sz w:val="18"/>
                <w:szCs w:val="18"/>
              </w:rPr>
              <w:t>、</w:t>
            </w:r>
            <w:r>
              <w:rPr>
                <w:rFonts w:ascii="Times New Roman" w:hAnsi="Times New Roman" w:eastAsia="Times New Roman" w:cs="Times New Roman"/>
                <w:spacing w:val="-3"/>
                <w:sz w:val="18"/>
                <w:szCs w:val="18"/>
              </w:rPr>
              <w:t>TDS</w:t>
            </w:r>
            <w:r>
              <w:rPr>
                <w:rFonts w:ascii="Times New Roman" w:hAnsi="Times New Roman" w:eastAsia="Times New Roman" w:cs="Times New Roman"/>
                <w:spacing w:val="-19"/>
                <w:sz w:val="18"/>
                <w:szCs w:val="18"/>
              </w:rPr>
              <w:t xml:space="preserve"> </w:t>
            </w:r>
            <w:r>
              <w:rPr>
                <w:spacing w:val="-3"/>
                <w:sz w:val="18"/>
                <w:szCs w:val="18"/>
              </w:rPr>
              <w:t>、</w:t>
            </w:r>
            <w:r>
              <w:rPr>
                <w:rFonts w:ascii="Times New Roman" w:hAnsi="Times New Roman" w:eastAsia="Times New Roman" w:cs="Times New Roman"/>
                <w:spacing w:val="-3"/>
                <w:sz w:val="18"/>
                <w:szCs w:val="18"/>
              </w:rPr>
              <w:t>SS</w:t>
            </w:r>
          </w:p>
        </w:tc>
        <w:tc>
          <w:tcPr>
            <w:tcW w:w="2416" w:type="dxa"/>
            <w:tcBorders>
              <w:bottom w:val="single" w:color="000000" w:sz="10" w:space="0"/>
            </w:tcBorders>
            <w:vAlign w:val="top"/>
          </w:tcPr>
          <w:p w14:paraId="3ECA3AFD">
            <w:pPr>
              <w:pStyle w:val="6"/>
              <w:spacing w:before="94" w:line="287" w:lineRule="auto"/>
              <w:ind w:left="857" w:right="35" w:hanging="815"/>
              <w:rPr>
                <w:sz w:val="18"/>
                <w:szCs w:val="18"/>
              </w:rPr>
            </w:pPr>
            <w:r>
              <w:rPr>
                <w:spacing w:val="-1"/>
                <w:sz w:val="18"/>
                <w:szCs w:val="18"/>
              </w:rPr>
              <w:t>三联箱处理后用作浊循环水系</w:t>
            </w:r>
            <w:r>
              <w:rPr>
                <w:spacing w:val="4"/>
                <w:sz w:val="18"/>
                <w:szCs w:val="18"/>
              </w:rPr>
              <w:t xml:space="preserve"> </w:t>
            </w:r>
            <w:r>
              <w:rPr>
                <w:spacing w:val="-3"/>
                <w:sz w:val="18"/>
                <w:szCs w:val="18"/>
              </w:rPr>
              <w:t>统补充水</w:t>
            </w:r>
          </w:p>
        </w:tc>
        <w:tc>
          <w:tcPr>
            <w:tcW w:w="1327" w:type="dxa"/>
            <w:tcBorders>
              <w:bottom w:val="single" w:color="000000" w:sz="10" w:space="0"/>
            </w:tcBorders>
            <w:vAlign w:val="top"/>
          </w:tcPr>
          <w:p w14:paraId="6C32EB92">
            <w:pPr>
              <w:spacing w:before="279"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tcBorders>
              <w:bottom w:val="single" w:color="000000" w:sz="10" w:space="0"/>
            </w:tcBorders>
            <w:vAlign w:val="top"/>
          </w:tcPr>
          <w:p w14:paraId="0404AFA6">
            <w:pPr>
              <w:spacing w:before="279" w:line="192" w:lineRule="auto"/>
              <w:ind w:left="59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3104" w:type="dxa"/>
            <w:gridSpan w:val="3"/>
            <w:tcBorders>
              <w:bottom w:val="single" w:color="000000" w:sz="10" w:space="0"/>
            </w:tcBorders>
            <w:vAlign w:val="top"/>
          </w:tcPr>
          <w:p w14:paraId="532C1DB1">
            <w:pPr>
              <w:pStyle w:val="6"/>
              <w:spacing w:before="253" w:line="220" w:lineRule="auto"/>
              <w:ind w:left="838"/>
              <w:rPr>
                <w:sz w:val="18"/>
                <w:szCs w:val="18"/>
              </w:rPr>
            </w:pPr>
            <w:r>
              <w:rPr>
                <w:spacing w:val="-2"/>
                <w:sz w:val="18"/>
                <w:szCs w:val="18"/>
              </w:rPr>
              <w:t>综合利用，不外排</w:t>
            </w:r>
          </w:p>
        </w:tc>
        <w:tc>
          <w:tcPr>
            <w:tcW w:w="1230" w:type="dxa"/>
            <w:tcBorders>
              <w:bottom w:val="single" w:color="000000" w:sz="10" w:space="0"/>
            </w:tcBorders>
            <w:vAlign w:val="top"/>
          </w:tcPr>
          <w:p w14:paraId="7924852B">
            <w:pPr>
              <w:spacing w:before="279" w:line="192" w:lineRule="auto"/>
              <w:ind w:left="588"/>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tcBorders>
              <w:bottom w:val="single" w:color="000000" w:sz="10" w:space="0"/>
            </w:tcBorders>
            <w:vAlign w:val="top"/>
          </w:tcPr>
          <w:p w14:paraId="412A439E">
            <w:pPr>
              <w:spacing w:before="279" w:line="192" w:lineRule="auto"/>
              <w:ind w:left="503"/>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tcBorders>
              <w:bottom w:val="single" w:color="000000" w:sz="10" w:space="0"/>
            </w:tcBorders>
            <w:vAlign w:val="top"/>
          </w:tcPr>
          <w:p w14:paraId="0085CA4B">
            <w:pPr>
              <w:spacing w:before="279" w:line="192" w:lineRule="auto"/>
              <w:ind w:left="811"/>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tcBorders>
              <w:bottom w:val="single" w:color="000000" w:sz="10" w:space="0"/>
            </w:tcBorders>
            <w:vAlign w:val="top"/>
          </w:tcPr>
          <w:p w14:paraId="1137AB7C">
            <w:pPr>
              <w:spacing w:before="279" w:line="192" w:lineRule="auto"/>
              <w:ind w:left="47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5" w:type="dxa"/>
            <w:tcBorders>
              <w:bottom w:val="single" w:color="000000" w:sz="10" w:space="0"/>
              <w:right w:val="nil"/>
            </w:tcBorders>
            <w:vAlign w:val="top"/>
          </w:tcPr>
          <w:p w14:paraId="2E1EFD9B">
            <w:pPr>
              <w:spacing w:before="279" w:line="192" w:lineRule="auto"/>
              <w:ind w:left="122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bl>
    <w:p w14:paraId="79725389">
      <w:pPr>
        <w:pStyle w:val="2"/>
      </w:pPr>
    </w:p>
    <w:p w14:paraId="49E7CA7A">
      <w:pPr>
        <w:sectPr>
          <w:headerReference r:id="rId502" w:type="default"/>
          <w:footerReference r:id="rId503" w:type="default"/>
          <w:pgSz w:w="23814" w:h="16840"/>
          <w:pgMar w:top="1191" w:right="1313" w:bottom="1361" w:left="1313" w:header="882" w:footer="1199" w:gutter="0"/>
          <w:cols w:space="720" w:num="1"/>
        </w:sectPr>
      </w:pPr>
    </w:p>
    <w:p w14:paraId="46C3B25B">
      <w:pPr>
        <w:spacing w:line="28" w:lineRule="exact"/>
        <w:ind w:firstLine="126"/>
      </w:pPr>
      <w:r>
        <w:pict>
          <v:shape id="_x0000_s3095" o:spid="_x0000_s3095" style="height:1.45pt;width:1046.7pt;" fillcolor="#000000" filled="t" stroked="f" coordsize="20933,29" path="m0,0l20933,0,20933,28,0,28,0,0xe">
            <v:path/>
            <v:fill on="t" focussize="0,0"/>
            <v:stroke on="f"/>
            <v:imagedata o:title=""/>
            <o:lock v:ext="edit"/>
            <w10:wrap type="none"/>
            <w10:anchorlock/>
          </v:shape>
        </w:pict>
      </w:r>
    </w:p>
    <w:p w14:paraId="7EE18E5B">
      <w:pPr>
        <w:spacing w:line="219" w:lineRule="exact"/>
      </w:pPr>
    </w:p>
    <w:tbl>
      <w:tblPr>
        <w:tblStyle w:val="5"/>
        <w:tblW w:w="2118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30"/>
        <w:gridCol w:w="1060"/>
        <w:gridCol w:w="2047"/>
        <w:gridCol w:w="1781"/>
        <w:gridCol w:w="2416"/>
        <w:gridCol w:w="1327"/>
        <w:gridCol w:w="1247"/>
        <w:gridCol w:w="1048"/>
        <w:gridCol w:w="1213"/>
        <w:gridCol w:w="844"/>
        <w:gridCol w:w="1230"/>
        <w:gridCol w:w="1060"/>
        <w:gridCol w:w="1674"/>
        <w:gridCol w:w="1004"/>
        <w:gridCol w:w="2504"/>
      </w:tblGrid>
      <w:tr w14:paraId="0DC0E7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730" w:type="dxa"/>
            <w:vMerge w:val="restart"/>
            <w:tcBorders>
              <w:top w:val="single" w:color="000000" w:sz="10" w:space="0"/>
              <w:left w:val="nil"/>
              <w:bottom w:val="nil"/>
            </w:tcBorders>
            <w:vAlign w:val="top"/>
          </w:tcPr>
          <w:p w14:paraId="34539C21">
            <w:pPr>
              <w:spacing w:line="339" w:lineRule="auto"/>
              <w:rPr>
                <w:rFonts w:ascii="Arial"/>
                <w:sz w:val="21"/>
              </w:rPr>
            </w:pPr>
          </w:p>
          <w:p w14:paraId="3E16106D">
            <w:pPr>
              <w:pStyle w:val="6"/>
              <w:spacing w:before="59" w:line="219" w:lineRule="auto"/>
              <w:ind w:left="188"/>
              <w:rPr>
                <w:sz w:val="18"/>
                <w:szCs w:val="18"/>
              </w:rPr>
            </w:pPr>
            <w:r>
              <w:rPr>
                <w:b/>
                <w:bCs/>
                <w:spacing w:val="-6"/>
                <w:sz w:val="18"/>
                <w:szCs w:val="18"/>
              </w:rPr>
              <w:t>类别</w:t>
            </w:r>
          </w:p>
        </w:tc>
        <w:tc>
          <w:tcPr>
            <w:tcW w:w="1060" w:type="dxa"/>
            <w:vMerge w:val="restart"/>
            <w:tcBorders>
              <w:top w:val="single" w:color="000000" w:sz="10" w:space="0"/>
              <w:bottom w:val="nil"/>
            </w:tcBorders>
            <w:vAlign w:val="top"/>
          </w:tcPr>
          <w:p w14:paraId="3B9AB938">
            <w:pPr>
              <w:spacing w:line="339" w:lineRule="auto"/>
              <w:rPr>
                <w:rFonts w:ascii="Arial"/>
                <w:sz w:val="21"/>
              </w:rPr>
            </w:pPr>
          </w:p>
          <w:p w14:paraId="2C5CE1FF">
            <w:pPr>
              <w:pStyle w:val="6"/>
              <w:spacing w:before="59" w:line="219" w:lineRule="auto"/>
              <w:ind w:left="354"/>
              <w:rPr>
                <w:sz w:val="18"/>
                <w:szCs w:val="18"/>
              </w:rPr>
            </w:pPr>
            <w:r>
              <w:rPr>
                <w:b/>
                <w:bCs/>
                <w:spacing w:val="-7"/>
                <w:sz w:val="18"/>
                <w:szCs w:val="18"/>
              </w:rPr>
              <w:t>编号</w:t>
            </w:r>
          </w:p>
        </w:tc>
        <w:tc>
          <w:tcPr>
            <w:tcW w:w="8818" w:type="dxa"/>
            <w:gridSpan w:val="5"/>
            <w:tcBorders>
              <w:top w:val="single" w:color="000000" w:sz="10" w:space="0"/>
            </w:tcBorders>
            <w:vAlign w:val="top"/>
          </w:tcPr>
          <w:p w14:paraId="176BBEAE">
            <w:pPr>
              <w:pStyle w:val="6"/>
              <w:spacing w:before="75" w:line="220" w:lineRule="auto"/>
              <w:ind w:left="4142"/>
              <w:rPr>
                <w:sz w:val="18"/>
                <w:szCs w:val="18"/>
              </w:rPr>
            </w:pPr>
            <w:r>
              <w:rPr>
                <w:b/>
                <w:bCs/>
                <w:spacing w:val="-4"/>
                <w:sz w:val="18"/>
                <w:szCs w:val="18"/>
              </w:rPr>
              <w:t>污染源</w:t>
            </w:r>
          </w:p>
        </w:tc>
        <w:tc>
          <w:tcPr>
            <w:tcW w:w="3105" w:type="dxa"/>
            <w:gridSpan w:val="3"/>
            <w:tcBorders>
              <w:top w:val="single" w:color="000000" w:sz="10" w:space="0"/>
            </w:tcBorders>
            <w:vAlign w:val="top"/>
          </w:tcPr>
          <w:p w14:paraId="252F94A5">
            <w:pPr>
              <w:pStyle w:val="6"/>
              <w:spacing w:before="76" w:line="219" w:lineRule="auto"/>
              <w:ind w:left="1196"/>
              <w:rPr>
                <w:sz w:val="18"/>
                <w:szCs w:val="18"/>
              </w:rPr>
            </w:pPr>
            <w:r>
              <w:rPr>
                <w:b/>
                <w:bCs/>
                <w:spacing w:val="-4"/>
                <w:sz w:val="18"/>
                <w:szCs w:val="18"/>
              </w:rPr>
              <w:t>排放参数</w:t>
            </w:r>
          </w:p>
        </w:tc>
        <w:tc>
          <w:tcPr>
            <w:tcW w:w="1230" w:type="dxa"/>
            <w:vMerge w:val="restart"/>
            <w:tcBorders>
              <w:top w:val="single" w:color="000000" w:sz="10" w:space="0"/>
              <w:bottom w:val="nil"/>
            </w:tcBorders>
            <w:vAlign w:val="top"/>
          </w:tcPr>
          <w:p w14:paraId="2D627BEE">
            <w:pPr>
              <w:spacing w:line="339" w:lineRule="auto"/>
              <w:rPr>
                <w:rFonts w:ascii="Arial"/>
                <w:sz w:val="21"/>
              </w:rPr>
            </w:pPr>
          </w:p>
          <w:p w14:paraId="2B8347E3">
            <w:pPr>
              <w:pStyle w:val="6"/>
              <w:spacing w:before="58" w:line="220" w:lineRule="auto"/>
              <w:ind w:left="140"/>
              <w:rPr>
                <w:rFonts w:ascii="Times New Roman" w:hAnsi="Times New Roman" w:eastAsia="Times New Roman" w:cs="Times New Roman"/>
                <w:sz w:val="18"/>
                <w:szCs w:val="18"/>
              </w:rPr>
            </w:pPr>
            <w:r>
              <w:rPr>
                <w:b/>
                <w:bCs/>
                <w:spacing w:val="-3"/>
                <w:sz w:val="18"/>
                <w:szCs w:val="18"/>
              </w:rPr>
              <w:t>总量指标</w:t>
            </w:r>
            <w:r>
              <w:rPr>
                <w:spacing w:val="-44"/>
                <w:sz w:val="18"/>
                <w:szCs w:val="18"/>
              </w:rPr>
              <w:t xml:space="preserve"> </w:t>
            </w:r>
            <w:r>
              <w:rPr>
                <w:rFonts w:ascii="Times New Roman" w:hAnsi="Times New Roman" w:eastAsia="Times New Roman" w:cs="Times New Roman"/>
                <w:b/>
                <w:bCs/>
                <w:spacing w:val="-3"/>
                <w:sz w:val="18"/>
                <w:szCs w:val="18"/>
              </w:rPr>
              <w:t>t/a</w:t>
            </w:r>
          </w:p>
        </w:tc>
        <w:tc>
          <w:tcPr>
            <w:tcW w:w="3738" w:type="dxa"/>
            <w:gridSpan w:val="3"/>
            <w:tcBorders>
              <w:top w:val="single" w:color="000000" w:sz="10" w:space="0"/>
            </w:tcBorders>
            <w:vAlign w:val="top"/>
          </w:tcPr>
          <w:p w14:paraId="541337DB">
            <w:pPr>
              <w:pStyle w:val="6"/>
              <w:spacing w:before="75" w:line="220" w:lineRule="auto"/>
              <w:ind w:left="1512"/>
              <w:rPr>
                <w:sz w:val="18"/>
                <w:szCs w:val="18"/>
              </w:rPr>
            </w:pPr>
            <w:r>
              <w:rPr>
                <w:b/>
                <w:bCs/>
                <w:spacing w:val="-4"/>
                <w:sz w:val="18"/>
                <w:szCs w:val="18"/>
              </w:rPr>
              <w:t>环境监测</w:t>
            </w:r>
          </w:p>
        </w:tc>
        <w:tc>
          <w:tcPr>
            <w:tcW w:w="2504" w:type="dxa"/>
            <w:vMerge w:val="restart"/>
            <w:tcBorders>
              <w:top w:val="single" w:color="000000" w:sz="10" w:space="0"/>
              <w:bottom w:val="nil"/>
              <w:right w:val="nil"/>
            </w:tcBorders>
            <w:vAlign w:val="top"/>
          </w:tcPr>
          <w:p w14:paraId="6F423E7C">
            <w:pPr>
              <w:spacing w:line="339" w:lineRule="auto"/>
              <w:rPr>
                <w:rFonts w:ascii="Arial"/>
                <w:sz w:val="21"/>
              </w:rPr>
            </w:pPr>
          </w:p>
          <w:p w14:paraId="66272CFC">
            <w:pPr>
              <w:pStyle w:val="6"/>
              <w:spacing w:before="59" w:line="219" w:lineRule="auto"/>
              <w:ind w:left="716"/>
              <w:rPr>
                <w:sz w:val="18"/>
                <w:szCs w:val="18"/>
              </w:rPr>
            </w:pPr>
            <w:r>
              <w:rPr>
                <w:b/>
                <w:bCs/>
                <w:spacing w:val="-3"/>
                <w:sz w:val="18"/>
                <w:szCs w:val="18"/>
              </w:rPr>
              <w:t>执行环境标准</w:t>
            </w:r>
          </w:p>
        </w:tc>
      </w:tr>
      <w:tr w14:paraId="1C976D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730" w:type="dxa"/>
            <w:vMerge w:val="continue"/>
            <w:tcBorders>
              <w:top w:val="nil"/>
              <w:left w:val="nil"/>
            </w:tcBorders>
            <w:vAlign w:val="top"/>
          </w:tcPr>
          <w:p w14:paraId="7C7DA4D6">
            <w:pPr>
              <w:rPr>
                <w:rFonts w:ascii="Arial"/>
                <w:sz w:val="21"/>
              </w:rPr>
            </w:pPr>
          </w:p>
        </w:tc>
        <w:tc>
          <w:tcPr>
            <w:tcW w:w="1060" w:type="dxa"/>
            <w:vMerge w:val="continue"/>
            <w:tcBorders>
              <w:top w:val="nil"/>
            </w:tcBorders>
            <w:vAlign w:val="top"/>
          </w:tcPr>
          <w:p w14:paraId="70CE6896">
            <w:pPr>
              <w:rPr>
                <w:rFonts w:ascii="Arial"/>
                <w:sz w:val="21"/>
              </w:rPr>
            </w:pPr>
          </w:p>
        </w:tc>
        <w:tc>
          <w:tcPr>
            <w:tcW w:w="2047" w:type="dxa"/>
            <w:vAlign w:val="top"/>
          </w:tcPr>
          <w:p w14:paraId="318A64F4">
            <w:pPr>
              <w:pStyle w:val="6"/>
              <w:spacing w:before="230" w:line="221" w:lineRule="auto"/>
              <w:ind w:left="850"/>
              <w:rPr>
                <w:sz w:val="18"/>
                <w:szCs w:val="18"/>
              </w:rPr>
            </w:pPr>
            <w:r>
              <w:rPr>
                <w:b/>
                <w:bCs/>
                <w:spacing w:val="-7"/>
                <w:sz w:val="18"/>
                <w:szCs w:val="18"/>
              </w:rPr>
              <w:t>名称</w:t>
            </w:r>
          </w:p>
        </w:tc>
        <w:tc>
          <w:tcPr>
            <w:tcW w:w="1781" w:type="dxa"/>
            <w:vAlign w:val="top"/>
          </w:tcPr>
          <w:p w14:paraId="3D2D8BDB">
            <w:pPr>
              <w:pStyle w:val="6"/>
              <w:spacing w:before="230" w:line="220" w:lineRule="auto"/>
              <w:ind w:left="624"/>
              <w:rPr>
                <w:sz w:val="18"/>
                <w:szCs w:val="18"/>
              </w:rPr>
            </w:pPr>
            <w:r>
              <w:rPr>
                <w:b/>
                <w:bCs/>
                <w:spacing w:val="-4"/>
                <w:sz w:val="18"/>
                <w:szCs w:val="18"/>
              </w:rPr>
              <w:t>污染物</w:t>
            </w:r>
          </w:p>
        </w:tc>
        <w:tc>
          <w:tcPr>
            <w:tcW w:w="2416" w:type="dxa"/>
            <w:vAlign w:val="top"/>
          </w:tcPr>
          <w:p w14:paraId="51020FBE">
            <w:pPr>
              <w:pStyle w:val="6"/>
              <w:spacing w:before="230" w:line="220" w:lineRule="auto"/>
              <w:ind w:left="850"/>
              <w:rPr>
                <w:sz w:val="18"/>
                <w:szCs w:val="18"/>
              </w:rPr>
            </w:pPr>
            <w:r>
              <w:rPr>
                <w:b/>
                <w:bCs/>
                <w:spacing w:val="-4"/>
                <w:sz w:val="18"/>
                <w:szCs w:val="18"/>
              </w:rPr>
              <w:t>环保措施</w:t>
            </w:r>
          </w:p>
        </w:tc>
        <w:tc>
          <w:tcPr>
            <w:tcW w:w="1327" w:type="dxa"/>
            <w:vAlign w:val="top"/>
          </w:tcPr>
          <w:p w14:paraId="5EEE5D4A">
            <w:pPr>
              <w:pStyle w:val="6"/>
              <w:spacing w:before="230" w:line="220" w:lineRule="auto"/>
              <w:ind w:left="306"/>
              <w:rPr>
                <w:sz w:val="18"/>
                <w:szCs w:val="18"/>
              </w:rPr>
            </w:pPr>
            <w:r>
              <w:rPr>
                <w:b/>
                <w:bCs/>
                <w:spacing w:val="-4"/>
                <w:sz w:val="18"/>
                <w:szCs w:val="18"/>
              </w:rPr>
              <w:t>排放浓度</w:t>
            </w:r>
          </w:p>
        </w:tc>
        <w:tc>
          <w:tcPr>
            <w:tcW w:w="1247" w:type="dxa"/>
            <w:vAlign w:val="top"/>
          </w:tcPr>
          <w:p w14:paraId="42930009">
            <w:pPr>
              <w:pStyle w:val="6"/>
              <w:spacing w:before="229" w:line="221" w:lineRule="auto"/>
              <w:ind w:left="357"/>
              <w:rPr>
                <w:sz w:val="18"/>
                <w:szCs w:val="18"/>
              </w:rPr>
            </w:pPr>
            <w:r>
              <w:rPr>
                <w:b/>
                <w:bCs/>
                <w:spacing w:val="-4"/>
                <w:sz w:val="18"/>
                <w:szCs w:val="18"/>
              </w:rPr>
              <w:t>排放量</w:t>
            </w:r>
          </w:p>
        </w:tc>
        <w:tc>
          <w:tcPr>
            <w:tcW w:w="1048" w:type="dxa"/>
            <w:vAlign w:val="top"/>
          </w:tcPr>
          <w:p w14:paraId="3BDD876D">
            <w:pPr>
              <w:spacing w:before="100" w:line="308" w:lineRule="auto"/>
              <w:ind w:left="394" w:right="370" w:hanging="20"/>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H/φ</w:t>
            </w:r>
            <w:r>
              <w:rPr>
                <w:rFonts w:ascii="Times New Roman" w:hAnsi="Times New Roman" w:eastAsia="Times New Roman" w:cs="Times New Roman"/>
                <w:b/>
                <w:bCs/>
                <w:sz w:val="18"/>
                <w:szCs w:val="18"/>
              </w:rPr>
              <w:t xml:space="preserve"> </w:t>
            </w:r>
            <w:r>
              <w:rPr>
                <w:rFonts w:ascii="Times New Roman" w:hAnsi="Times New Roman" w:eastAsia="Times New Roman" w:cs="Times New Roman"/>
                <w:b/>
                <w:bCs/>
                <w:spacing w:val="-3"/>
                <w:sz w:val="18"/>
                <w:szCs w:val="18"/>
              </w:rPr>
              <w:t>(m)</w:t>
            </w:r>
          </w:p>
        </w:tc>
        <w:tc>
          <w:tcPr>
            <w:tcW w:w="1213" w:type="dxa"/>
            <w:vAlign w:val="top"/>
          </w:tcPr>
          <w:p w14:paraId="384B8B91">
            <w:pPr>
              <w:pStyle w:val="6"/>
              <w:spacing w:before="229" w:line="212" w:lineRule="auto"/>
              <w:ind w:left="274"/>
              <w:rPr>
                <w:rFonts w:ascii="Times New Roman" w:hAnsi="Times New Roman" w:eastAsia="Times New Roman" w:cs="Times New Roman"/>
                <w:sz w:val="18"/>
                <w:szCs w:val="18"/>
              </w:rPr>
            </w:pPr>
            <w:r>
              <w:rPr>
                <w:b/>
                <w:bCs/>
                <w:spacing w:val="-3"/>
                <w:sz w:val="18"/>
                <w:szCs w:val="18"/>
              </w:rPr>
              <w:t>温度</w:t>
            </w:r>
            <w:r>
              <w:rPr>
                <w:rFonts w:ascii="Times New Roman" w:hAnsi="Times New Roman" w:eastAsia="Times New Roman" w:cs="Times New Roman"/>
                <w:b/>
                <w:bCs/>
                <w:spacing w:val="-3"/>
                <w:sz w:val="18"/>
                <w:szCs w:val="18"/>
              </w:rPr>
              <w:t>(℃)</w:t>
            </w:r>
          </w:p>
        </w:tc>
        <w:tc>
          <w:tcPr>
            <w:tcW w:w="844" w:type="dxa"/>
            <w:vAlign w:val="top"/>
          </w:tcPr>
          <w:p w14:paraId="6E650D8C">
            <w:pPr>
              <w:pStyle w:val="6"/>
              <w:spacing w:before="229" w:line="221" w:lineRule="auto"/>
              <w:ind w:left="253"/>
              <w:rPr>
                <w:sz w:val="18"/>
                <w:szCs w:val="18"/>
              </w:rPr>
            </w:pPr>
            <w:r>
              <w:rPr>
                <w:b/>
                <w:bCs/>
                <w:spacing w:val="-10"/>
                <w:sz w:val="18"/>
                <w:szCs w:val="18"/>
              </w:rPr>
              <w:t>时段</w:t>
            </w:r>
          </w:p>
        </w:tc>
        <w:tc>
          <w:tcPr>
            <w:tcW w:w="1230" w:type="dxa"/>
            <w:vMerge w:val="continue"/>
            <w:tcBorders>
              <w:top w:val="nil"/>
            </w:tcBorders>
            <w:vAlign w:val="top"/>
          </w:tcPr>
          <w:p w14:paraId="5FAD6672">
            <w:pPr>
              <w:rPr>
                <w:rFonts w:ascii="Arial"/>
                <w:sz w:val="21"/>
              </w:rPr>
            </w:pPr>
          </w:p>
        </w:tc>
        <w:tc>
          <w:tcPr>
            <w:tcW w:w="1060" w:type="dxa"/>
            <w:vAlign w:val="top"/>
          </w:tcPr>
          <w:p w14:paraId="6E9138C7">
            <w:pPr>
              <w:pStyle w:val="6"/>
              <w:spacing w:before="229" w:line="221" w:lineRule="auto"/>
              <w:ind w:left="362"/>
              <w:rPr>
                <w:sz w:val="18"/>
                <w:szCs w:val="18"/>
              </w:rPr>
            </w:pPr>
            <w:r>
              <w:rPr>
                <w:b/>
                <w:bCs/>
                <w:spacing w:val="-10"/>
                <w:sz w:val="18"/>
                <w:szCs w:val="18"/>
              </w:rPr>
              <w:t>点位</w:t>
            </w:r>
          </w:p>
        </w:tc>
        <w:tc>
          <w:tcPr>
            <w:tcW w:w="1674" w:type="dxa"/>
            <w:vAlign w:val="top"/>
          </w:tcPr>
          <w:p w14:paraId="31675E88">
            <w:pPr>
              <w:pStyle w:val="6"/>
              <w:spacing w:before="230" w:line="220" w:lineRule="auto"/>
              <w:ind w:left="479"/>
              <w:rPr>
                <w:sz w:val="18"/>
                <w:szCs w:val="18"/>
              </w:rPr>
            </w:pPr>
            <w:r>
              <w:rPr>
                <w:b/>
                <w:bCs/>
                <w:spacing w:val="-4"/>
                <w:sz w:val="18"/>
                <w:szCs w:val="18"/>
              </w:rPr>
              <w:t>监测因子</w:t>
            </w:r>
          </w:p>
        </w:tc>
        <w:tc>
          <w:tcPr>
            <w:tcW w:w="1004" w:type="dxa"/>
            <w:vAlign w:val="top"/>
          </w:tcPr>
          <w:p w14:paraId="307D8834">
            <w:pPr>
              <w:pStyle w:val="6"/>
              <w:spacing w:before="230" w:line="219" w:lineRule="auto"/>
              <w:ind w:left="327"/>
              <w:rPr>
                <w:sz w:val="18"/>
                <w:szCs w:val="18"/>
              </w:rPr>
            </w:pPr>
            <w:r>
              <w:rPr>
                <w:b/>
                <w:bCs/>
                <w:spacing w:val="-6"/>
                <w:sz w:val="18"/>
                <w:szCs w:val="18"/>
              </w:rPr>
              <w:t>频次</w:t>
            </w:r>
          </w:p>
        </w:tc>
        <w:tc>
          <w:tcPr>
            <w:tcW w:w="2504" w:type="dxa"/>
            <w:vMerge w:val="continue"/>
            <w:tcBorders>
              <w:top w:val="nil"/>
              <w:right w:val="nil"/>
            </w:tcBorders>
            <w:vAlign w:val="top"/>
          </w:tcPr>
          <w:p w14:paraId="23DE8EF1">
            <w:pPr>
              <w:rPr>
                <w:rFonts w:ascii="Arial"/>
                <w:sz w:val="21"/>
              </w:rPr>
            </w:pPr>
          </w:p>
        </w:tc>
      </w:tr>
      <w:tr w14:paraId="30A865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730" w:type="dxa"/>
            <w:vMerge w:val="restart"/>
            <w:tcBorders>
              <w:left w:val="nil"/>
              <w:bottom w:val="nil"/>
            </w:tcBorders>
            <w:vAlign w:val="top"/>
          </w:tcPr>
          <w:p w14:paraId="43A3D5FF">
            <w:pPr>
              <w:rPr>
                <w:rFonts w:ascii="Arial"/>
                <w:sz w:val="21"/>
              </w:rPr>
            </w:pPr>
          </w:p>
        </w:tc>
        <w:tc>
          <w:tcPr>
            <w:tcW w:w="1060" w:type="dxa"/>
            <w:vAlign w:val="top"/>
          </w:tcPr>
          <w:p w14:paraId="6116568D">
            <w:pPr>
              <w:spacing w:before="254" w:line="206" w:lineRule="auto"/>
              <w:ind w:left="339"/>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1-2</w:t>
            </w:r>
          </w:p>
        </w:tc>
        <w:tc>
          <w:tcPr>
            <w:tcW w:w="2047" w:type="dxa"/>
            <w:vAlign w:val="top"/>
          </w:tcPr>
          <w:p w14:paraId="6DDFD990">
            <w:pPr>
              <w:pStyle w:val="6"/>
              <w:spacing w:before="231" w:line="219" w:lineRule="auto"/>
              <w:ind w:left="489"/>
              <w:rPr>
                <w:sz w:val="18"/>
                <w:szCs w:val="18"/>
              </w:rPr>
            </w:pPr>
            <w:r>
              <w:rPr>
                <w:spacing w:val="-2"/>
                <w:sz w:val="18"/>
                <w:szCs w:val="18"/>
              </w:rPr>
              <w:t>煤气冷凝废水</w:t>
            </w:r>
          </w:p>
        </w:tc>
        <w:tc>
          <w:tcPr>
            <w:tcW w:w="1781" w:type="dxa"/>
            <w:vAlign w:val="top"/>
          </w:tcPr>
          <w:p w14:paraId="04B6D755">
            <w:pPr>
              <w:pStyle w:val="6"/>
              <w:spacing w:before="101" w:line="272" w:lineRule="auto"/>
              <w:ind w:left="436" w:right="46" w:hanging="426"/>
              <w:rPr>
                <w:sz w:val="18"/>
                <w:szCs w:val="18"/>
              </w:rPr>
            </w:pPr>
            <w:r>
              <w:rPr>
                <w:rFonts w:ascii="Times New Roman" w:hAnsi="Times New Roman" w:eastAsia="Times New Roman" w:cs="Times New Roman"/>
                <w:spacing w:val="-5"/>
                <w:sz w:val="18"/>
                <w:szCs w:val="18"/>
              </w:rPr>
              <w:t>pH</w:t>
            </w:r>
            <w:r>
              <w:rPr>
                <w:rFonts w:ascii="Times New Roman" w:hAnsi="Times New Roman" w:eastAsia="Times New Roman" w:cs="Times New Roman"/>
                <w:spacing w:val="-26"/>
                <w:sz w:val="18"/>
                <w:szCs w:val="18"/>
              </w:rPr>
              <w:t xml:space="preserve"> </w:t>
            </w:r>
            <w:r>
              <w:rPr>
                <w:spacing w:val="-5"/>
                <w:sz w:val="18"/>
                <w:szCs w:val="18"/>
              </w:rPr>
              <w:t>、</w:t>
            </w:r>
            <w:r>
              <w:rPr>
                <w:rFonts w:ascii="Times New Roman" w:hAnsi="Times New Roman" w:eastAsia="Times New Roman" w:cs="Times New Roman"/>
                <w:spacing w:val="-5"/>
                <w:sz w:val="18"/>
                <w:szCs w:val="18"/>
              </w:rPr>
              <w:t>CODcr</w:t>
            </w:r>
            <w:r>
              <w:rPr>
                <w:rFonts w:ascii="Times New Roman" w:hAnsi="Times New Roman" w:eastAsia="Times New Roman" w:cs="Times New Roman"/>
                <w:spacing w:val="-27"/>
                <w:sz w:val="18"/>
                <w:szCs w:val="18"/>
              </w:rPr>
              <w:t xml:space="preserve"> </w:t>
            </w:r>
            <w:r>
              <w:rPr>
                <w:spacing w:val="-5"/>
                <w:sz w:val="18"/>
                <w:szCs w:val="18"/>
              </w:rPr>
              <w:t>、</w:t>
            </w:r>
            <w:r>
              <w:rPr>
                <w:rFonts w:ascii="Times New Roman" w:hAnsi="Times New Roman" w:eastAsia="Times New Roman" w:cs="Times New Roman"/>
                <w:spacing w:val="-5"/>
                <w:sz w:val="18"/>
                <w:szCs w:val="18"/>
              </w:rPr>
              <w:t>BOD5</w:t>
            </w:r>
            <w:r>
              <w:rPr>
                <w:spacing w:val="-5"/>
                <w:sz w:val="18"/>
                <w:szCs w:val="18"/>
              </w:rPr>
              <w:t>、</w:t>
            </w:r>
            <w:r>
              <w:rPr>
                <w:sz w:val="18"/>
                <w:szCs w:val="18"/>
              </w:rPr>
              <w:t xml:space="preserve"> </w:t>
            </w:r>
            <w:r>
              <w:rPr>
                <w:rFonts w:ascii="Times New Roman" w:hAnsi="Times New Roman" w:eastAsia="Times New Roman" w:cs="Times New Roman"/>
                <w:spacing w:val="-6"/>
                <w:sz w:val="18"/>
                <w:szCs w:val="18"/>
              </w:rPr>
              <w:t>SS</w:t>
            </w:r>
            <w:r>
              <w:rPr>
                <w:rFonts w:ascii="Times New Roman" w:hAnsi="Times New Roman" w:eastAsia="Times New Roman" w:cs="Times New Roman"/>
                <w:spacing w:val="-20"/>
                <w:sz w:val="18"/>
                <w:szCs w:val="18"/>
              </w:rPr>
              <w:t xml:space="preserve"> </w:t>
            </w:r>
            <w:r>
              <w:rPr>
                <w:spacing w:val="-6"/>
                <w:sz w:val="18"/>
                <w:szCs w:val="18"/>
              </w:rPr>
              <w:t>、石油类</w:t>
            </w:r>
          </w:p>
        </w:tc>
        <w:tc>
          <w:tcPr>
            <w:tcW w:w="2416" w:type="dxa"/>
            <w:vAlign w:val="top"/>
          </w:tcPr>
          <w:p w14:paraId="6D63F16D">
            <w:pPr>
              <w:pStyle w:val="6"/>
              <w:spacing w:before="72" w:line="287" w:lineRule="auto"/>
              <w:ind w:left="402" w:right="35" w:hanging="350"/>
              <w:rPr>
                <w:sz w:val="18"/>
                <w:szCs w:val="18"/>
              </w:rPr>
            </w:pPr>
            <w:r>
              <w:rPr>
                <w:spacing w:val="-2"/>
                <w:sz w:val="18"/>
                <w:szCs w:val="18"/>
              </w:rPr>
              <w:t>隔油池处理后作为制作矿热炉</w:t>
            </w:r>
            <w:r>
              <w:rPr>
                <w:spacing w:val="7"/>
                <w:sz w:val="18"/>
                <w:szCs w:val="18"/>
              </w:rPr>
              <w:t xml:space="preserve"> </w:t>
            </w:r>
            <w:r>
              <w:rPr>
                <w:spacing w:val="-1"/>
                <w:sz w:val="18"/>
                <w:szCs w:val="18"/>
              </w:rPr>
              <w:t>开堵眼机堵塞泥用水</w:t>
            </w:r>
          </w:p>
        </w:tc>
        <w:tc>
          <w:tcPr>
            <w:tcW w:w="1327" w:type="dxa"/>
            <w:vAlign w:val="top"/>
          </w:tcPr>
          <w:p w14:paraId="2B3C9CF6">
            <w:pPr>
              <w:spacing w:before="258"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34200800">
            <w:pPr>
              <w:spacing w:before="258" w:line="192" w:lineRule="auto"/>
              <w:ind w:left="59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3105" w:type="dxa"/>
            <w:gridSpan w:val="3"/>
            <w:vMerge w:val="restart"/>
            <w:tcBorders>
              <w:bottom w:val="nil"/>
            </w:tcBorders>
            <w:vAlign w:val="top"/>
          </w:tcPr>
          <w:p w14:paraId="2ECA627F">
            <w:pPr>
              <w:rPr>
                <w:rFonts w:ascii="Arial"/>
                <w:sz w:val="21"/>
              </w:rPr>
            </w:pPr>
          </w:p>
        </w:tc>
        <w:tc>
          <w:tcPr>
            <w:tcW w:w="1230" w:type="dxa"/>
            <w:vAlign w:val="top"/>
          </w:tcPr>
          <w:p w14:paraId="59900077">
            <w:pPr>
              <w:spacing w:before="258"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25EBE208">
            <w:pPr>
              <w:spacing w:before="258"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58B3A7BD">
            <w:pPr>
              <w:spacing w:before="258"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2D866E86">
            <w:pPr>
              <w:spacing w:before="258"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tcBorders>
              <w:right w:val="nil"/>
            </w:tcBorders>
            <w:vAlign w:val="top"/>
          </w:tcPr>
          <w:p w14:paraId="3A391B2A">
            <w:pPr>
              <w:spacing w:before="258" w:line="192" w:lineRule="auto"/>
              <w:ind w:left="122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22A15C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continue"/>
            <w:tcBorders>
              <w:top w:val="nil"/>
              <w:left w:val="nil"/>
              <w:bottom w:val="nil"/>
            </w:tcBorders>
            <w:vAlign w:val="top"/>
          </w:tcPr>
          <w:p w14:paraId="47BDF6DD">
            <w:pPr>
              <w:rPr>
                <w:rFonts w:ascii="Arial"/>
                <w:sz w:val="21"/>
              </w:rPr>
            </w:pPr>
          </w:p>
        </w:tc>
        <w:tc>
          <w:tcPr>
            <w:tcW w:w="1060" w:type="dxa"/>
            <w:vAlign w:val="top"/>
          </w:tcPr>
          <w:p w14:paraId="4975C513">
            <w:pPr>
              <w:spacing w:before="102" w:line="206" w:lineRule="auto"/>
              <w:ind w:left="339"/>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2-</w:t>
            </w:r>
            <w:r>
              <w:rPr>
                <w:rFonts w:ascii="Times New Roman" w:hAnsi="Times New Roman" w:eastAsia="Times New Roman" w:cs="Times New Roman"/>
                <w:spacing w:val="-18"/>
                <w:sz w:val="13"/>
                <w:szCs w:val="13"/>
              </w:rPr>
              <w:t xml:space="preserve"> </w:t>
            </w:r>
            <w:r>
              <w:rPr>
                <w:rFonts w:ascii="Times New Roman" w:hAnsi="Times New Roman" w:eastAsia="Times New Roman" w:cs="Times New Roman"/>
                <w:spacing w:val="3"/>
                <w:sz w:val="13"/>
                <w:szCs w:val="13"/>
              </w:rPr>
              <w:t>1</w:t>
            </w:r>
          </w:p>
        </w:tc>
        <w:tc>
          <w:tcPr>
            <w:tcW w:w="2047" w:type="dxa"/>
            <w:vAlign w:val="top"/>
          </w:tcPr>
          <w:p w14:paraId="4C07FB79">
            <w:pPr>
              <w:pStyle w:val="6"/>
              <w:spacing w:before="78" w:line="219" w:lineRule="auto"/>
              <w:ind w:left="489"/>
              <w:rPr>
                <w:sz w:val="18"/>
                <w:szCs w:val="18"/>
              </w:rPr>
            </w:pPr>
            <w:r>
              <w:rPr>
                <w:spacing w:val="-2"/>
                <w:sz w:val="18"/>
                <w:szCs w:val="18"/>
              </w:rPr>
              <w:t>化水车间排污</w:t>
            </w:r>
          </w:p>
        </w:tc>
        <w:tc>
          <w:tcPr>
            <w:tcW w:w="1781" w:type="dxa"/>
            <w:vAlign w:val="top"/>
          </w:tcPr>
          <w:p w14:paraId="351D454C">
            <w:pPr>
              <w:pStyle w:val="6"/>
              <w:spacing w:before="78" w:line="220" w:lineRule="auto"/>
              <w:ind w:left="529"/>
              <w:rPr>
                <w:sz w:val="18"/>
                <w:szCs w:val="18"/>
              </w:rPr>
            </w:pPr>
            <w:r>
              <w:rPr>
                <w:rFonts w:ascii="Times New Roman" w:hAnsi="Times New Roman" w:eastAsia="Times New Roman" w:cs="Times New Roman"/>
                <w:spacing w:val="-3"/>
                <w:sz w:val="18"/>
                <w:szCs w:val="18"/>
              </w:rPr>
              <w:t>SS</w:t>
            </w:r>
            <w:r>
              <w:rPr>
                <w:spacing w:val="-3"/>
                <w:sz w:val="18"/>
                <w:szCs w:val="18"/>
              </w:rPr>
              <w:t>、盐分</w:t>
            </w:r>
          </w:p>
        </w:tc>
        <w:tc>
          <w:tcPr>
            <w:tcW w:w="2416" w:type="dxa"/>
            <w:vAlign w:val="top"/>
          </w:tcPr>
          <w:p w14:paraId="4F83AEBF">
            <w:pPr>
              <w:pStyle w:val="6"/>
              <w:spacing w:before="78" w:line="219" w:lineRule="auto"/>
              <w:ind w:left="402"/>
              <w:rPr>
                <w:sz w:val="18"/>
                <w:szCs w:val="18"/>
              </w:rPr>
            </w:pPr>
            <w:r>
              <w:rPr>
                <w:spacing w:val="-1"/>
                <w:sz w:val="18"/>
                <w:szCs w:val="18"/>
              </w:rPr>
              <w:t>补充到浊循环水系统</w:t>
            </w:r>
          </w:p>
        </w:tc>
        <w:tc>
          <w:tcPr>
            <w:tcW w:w="1327" w:type="dxa"/>
            <w:vAlign w:val="top"/>
          </w:tcPr>
          <w:p w14:paraId="2F618532">
            <w:pPr>
              <w:spacing w:before="106"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60D12763">
            <w:pPr>
              <w:spacing w:before="106" w:line="192" w:lineRule="auto"/>
              <w:ind w:left="59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3105" w:type="dxa"/>
            <w:gridSpan w:val="3"/>
            <w:vMerge w:val="continue"/>
            <w:tcBorders>
              <w:top w:val="nil"/>
              <w:bottom w:val="nil"/>
            </w:tcBorders>
            <w:vAlign w:val="top"/>
          </w:tcPr>
          <w:p w14:paraId="5895270C">
            <w:pPr>
              <w:rPr>
                <w:rFonts w:ascii="Arial"/>
                <w:sz w:val="21"/>
              </w:rPr>
            </w:pPr>
          </w:p>
        </w:tc>
        <w:tc>
          <w:tcPr>
            <w:tcW w:w="1230" w:type="dxa"/>
            <w:vAlign w:val="top"/>
          </w:tcPr>
          <w:p w14:paraId="6D462AC2">
            <w:pPr>
              <w:spacing w:before="106"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79D6F54F">
            <w:pPr>
              <w:spacing w:before="106"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20538369">
            <w:pPr>
              <w:spacing w:before="106"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71BDE819">
            <w:pPr>
              <w:spacing w:before="106"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tcBorders>
              <w:right w:val="nil"/>
            </w:tcBorders>
            <w:vAlign w:val="top"/>
          </w:tcPr>
          <w:p w14:paraId="623C9A1E">
            <w:pPr>
              <w:spacing w:before="106" w:line="192" w:lineRule="auto"/>
              <w:ind w:left="122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5F4D3D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continue"/>
            <w:tcBorders>
              <w:top w:val="nil"/>
              <w:left w:val="nil"/>
              <w:bottom w:val="nil"/>
            </w:tcBorders>
            <w:vAlign w:val="top"/>
          </w:tcPr>
          <w:p w14:paraId="4F1A1541">
            <w:pPr>
              <w:rPr>
                <w:rFonts w:ascii="Arial"/>
                <w:sz w:val="21"/>
              </w:rPr>
            </w:pPr>
          </w:p>
        </w:tc>
        <w:tc>
          <w:tcPr>
            <w:tcW w:w="1060" w:type="dxa"/>
            <w:vAlign w:val="top"/>
          </w:tcPr>
          <w:p w14:paraId="6F989A85">
            <w:pPr>
              <w:spacing w:before="101" w:line="206" w:lineRule="auto"/>
              <w:ind w:left="339"/>
              <w:rPr>
                <w:rFonts w:ascii="Times New Roman" w:hAnsi="Times New Roman" w:eastAsia="Times New Roman" w:cs="Times New Roman"/>
                <w:sz w:val="13"/>
                <w:szCs w:val="13"/>
              </w:rPr>
            </w:pPr>
            <w:r>
              <w:rPr>
                <w:rFonts w:ascii="Times New Roman" w:hAnsi="Times New Roman" w:eastAsia="Times New Roman" w:cs="Times New Roman"/>
                <w:spacing w:val="3"/>
                <w:sz w:val="20"/>
                <w:szCs w:val="20"/>
              </w:rPr>
              <w:t>W</w:t>
            </w:r>
            <w:r>
              <w:rPr>
                <w:rFonts w:ascii="Times New Roman" w:hAnsi="Times New Roman" w:eastAsia="Times New Roman" w:cs="Times New Roman"/>
                <w:spacing w:val="3"/>
                <w:sz w:val="13"/>
                <w:szCs w:val="13"/>
              </w:rPr>
              <w:t>2-2</w:t>
            </w:r>
          </w:p>
        </w:tc>
        <w:tc>
          <w:tcPr>
            <w:tcW w:w="2047" w:type="dxa"/>
            <w:vAlign w:val="top"/>
          </w:tcPr>
          <w:p w14:paraId="7CFF731A">
            <w:pPr>
              <w:pStyle w:val="6"/>
              <w:spacing w:before="80" w:line="220" w:lineRule="auto"/>
              <w:ind w:left="489"/>
              <w:rPr>
                <w:sz w:val="18"/>
                <w:szCs w:val="18"/>
              </w:rPr>
            </w:pPr>
            <w:r>
              <w:rPr>
                <w:spacing w:val="-2"/>
                <w:sz w:val="18"/>
                <w:szCs w:val="18"/>
              </w:rPr>
              <w:t>燃气锅炉排污</w:t>
            </w:r>
          </w:p>
        </w:tc>
        <w:tc>
          <w:tcPr>
            <w:tcW w:w="1781" w:type="dxa"/>
            <w:vAlign w:val="top"/>
          </w:tcPr>
          <w:p w14:paraId="43C9A2B1">
            <w:pPr>
              <w:pStyle w:val="6"/>
              <w:spacing w:before="80" w:line="220" w:lineRule="auto"/>
              <w:ind w:left="529"/>
              <w:rPr>
                <w:sz w:val="18"/>
                <w:szCs w:val="18"/>
              </w:rPr>
            </w:pPr>
            <w:r>
              <w:rPr>
                <w:rFonts w:ascii="Times New Roman" w:hAnsi="Times New Roman" w:eastAsia="Times New Roman" w:cs="Times New Roman"/>
                <w:spacing w:val="-3"/>
                <w:sz w:val="18"/>
                <w:szCs w:val="18"/>
              </w:rPr>
              <w:t>SS</w:t>
            </w:r>
            <w:r>
              <w:rPr>
                <w:spacing w:val="-3"/>
                <w:sz w:val="18"/>
                <w:szCs w:val="18"/>
              </w:rPr>
              <w:t>、盐分</w:t>
            </w:r>
          </w:p>
        </w:tc>
        <w:tc>
          <w:tcPr>
            <w:tcW w:w="2416" w:type="dxa"/>
            <w:vAlign w:val="top"/>
          </w:tcPr>
          <w:p w14:paraId="59D3B06F">
            <w:pPr>
              <w:pStyle w:val="6"/>
              <w:spacing w:before="80" w:line="219" w:lineRule="auto"/>
              <w:ind w:left="402"/>
              <w:rPr>
                <w:sz w:val="18"/>
                <w:szCs w:val="18"/>
              </w:rPr>
            </w:pPr>
            <w:r>
              <w:rPr>
                <w:spacing w:val="-1"/>
                <w:sz w:val="18"/>
                <w:szCs w:val="18"/>
              </w:rPr>
              <w:t>补充到浊循环水系统</w:t>
            </w:r>
          </w:p>
        </w:tc>
        <w:tc>
          <w:tcPr>
            <w:tcW w:w="1327" w:type="dxa"/>
            <w:vAlign w:val="top"/>
          </w:tcPr>
          <w:p w14:paraId="7A039AFD">
            <w:pPr>
              <w:spacing w:before="105"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7DF75979">
            <w:pPr>
              <w:spacing w:before="105" w:line="192" w:lineRule="auto"/>
              <w:ind w:left="59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3105" w:type="dxa"/>
            <w:gridSpan w:val="3"/>
            <w:vMerge w:val="continue"/>
            <w:tcBorders>
              <w:top w:val="nil"/>
              <w:bottom w:val="nil"/>
            </w:tcBorders>
            <w:vAlign w:val="top"/>
          </w:tcPr>
          <w:p w14:paraId="045F60C9">
            <w:pPr>
              <w:rPr>
                <w:rFonts w:ascii="Arial"/>
                <w:sz w:val="21"/>
              </w:rPr>
            </w:pPr>
          </w:p>
        </w:tc>
        <w:tc>
          <w:tcPr>
            <w:tcW w:w="1230" w:type="dxa"/>
            <w:vAlign w:val="top"/>
          </w:tcPr>
          <w:p w14:paraId="71951A21">
            <w:pPr>
              <w:spacing w:before="105"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50A433EF">
            <w:pPr>
              <w:spacing w:before="105"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1AE52318">
            <w:pPr>
              <w:spacing w:before="105"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5D274082">
            <w:pPr>
              <w:spacing w:before="105"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tcBorders>
              <w:right w:val="nil"/>
            </w:tcBorders>
            <w:vAlign w:val="top"/>
          </w:tcPr>
          <w:p w14:paraId="75D1F34E">
            <w:pPr>
              <w:spacing w:before="105" w:line="192" w:lineRule="auto"/>
              <w:ind w:left="122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29D052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continue"/>
            <w:tcBorders>
              <w:top w:val="nil"/>
              <w:left w:val="nil"/>
              <w:bottom w:val="nil"/>
            </w:tcBorders>
            <w:vAlign w:val="top"/>
          </w:tcPr>
          <w:p w14:paraId="304663B1">
            <w:pPr>
              <w:rPr>
                <w:rFonts w:ascii="Arial"/>
                <w:sz w:val="21"/>
              </w:rPr>
            </w:pPr>
          </w:p>
        </w:tc>
        <w:tc>
          <w:tcPr>
            <w:tcW w:w="1060" w:type="dxa"/>
            <w:vAlign w:val="top"/>
          </w:tcPr>
          <w:p w14:paraId="526D709A">
            <w:pPr>
              <w:spacing w:before="103" w:line="208" w:lineRule="auto"/>
              <w:ind w:left="339"/>
              <w:rPr>
                <w:rFonts w:ascii="Times New Roman" w:hAnsi="Times New Roman" w:eastAsia="Times New Roman" w:cs="Times New Roman"/>
                <w:sz w:val="13"/>
                <w:szCs w:val="13"/>
              </w:rPr>
            </w:pPr>
            <w:r>
              <w:rPr>
                <w:rFonts w:ascii="Times New Roman" w:hAnsi="Times New Roman" w:eastAsia="Times New Roman" w:cs="Times New Roman"/>
                <w:spacing w:val="4"/>
                <w:sz w:val="20"/>
                <w:szCs w:val="20"/>
              </w:rPr>
              <w:t>W</w:t>
            </w:r>
            <w:r>
              <w:rPr>
                <w:rFonts w:ascii="Times New Roman" w:hAnsi="Times New Roman" w:eastAsia="Times New Roman" w:cs="Times New Roman"/>
                <w:spacing w:val="4"/>
                <w:sz w:val="13"/>
                <w:szCs w:val="13"/>
              </w:rPr>
              <w:t>2-3</w:t>
            </w:r>
          </w:p>
        </w:tc>
        <w:tc>
          <w:tcPr>
            <w:tcW w:w="2047" w:type="dxa"/>
            <w:vAlign w:val="top"/>
          </w:tcPr>
          <w:p w14:paraId="66C7287B">
            <w:pPr>
              <w:pStyle w:val="6"/>
              <w:spacing w:before="79" w:line="219" w:lineRule="auto"/>
              <w:ind w:left="129"/>
              <w:rPr>
                <w:sz w:val="18"/>
                <w:szCs w:val="18"/>
              </w:rPr>
            </w:pPr>
            <w:r>
              <w:rPr>
                <w:spacing w:val="-1"/>
                <w:sz w:val="18"/>
                <w:szCs w:val="18"/>
              </w:rPr>
              <w:t>辅机冷却循环水站排污</w:t>
            </w:r>
          </w:p>
        </w:tc>
        <w:tc>
          <w:tcPr>
            <w:tcW w:w="1781" w:type="dxa"/>
            <w:vAlign w:val="top"/>
          </w:tcPr>
          <w:p w14:paraId="29927C43">
            <w:pPr>
              <w:pStyle w:val="6"/>
              <w:spacing w:before="79" w:line="220" w:lineRule="auto"/>
              <w:ind w:left="529"/>
              <w:rPr>
                <w:sz w:val="18"/>
                <w:szCs w:val="18"/>
              </w:rPr>
            </w:pPr>
            <w:r>
              <w:rPr>
                <w:rFonts w:ascii="Times New Roman" w:hAnsi="Times New Roman" w:eastAsia="Times New Roman" w:cs="Times New Roman"/>
                <w:spacing w:val="-3"/>
                <w:sz w:val="18"/>
                <w:szCs w:val="18"/>
              </w:rPr>
              <w:t>SS</w:t>
            </w:r>
            <w:r>
              <w:rPr>
                <w:spacing w:val="-3"/>
                <w:sz w:val="18"/>
                <w:szCs w:val="18"/>
              </w:rPr>
              <w:t>、盐分</w:t>
            </w:r>
          </w:p>
        </w:tc>
        <w:tc>
          <w:tcPr>
            <w:tcW w:w="2416" w:type="dxa"/>
            <w:vAlign w:val="top"/>
          </w:tcPr>
          <w:p w14:paraId="62493544">
            <w:pPr>
              <w:pStyle w:val="6"/>
              <w:spacing w:before="79" w:line="219" w:lineRule="auto"/>
              <w:ind w:left="402"/>
              <w:rPr>
                <w:sz w:val="18"/>
                <w:szCs w:val="18"/>
              </w:rPr>
            </w:pPr>
            <w:r>
              <w:rPr>
                <w:spacing w:val="-1"/>
                <w:sz w:val="18"/>
                <w:szCs w:val="18"/>
              </w:rPr>
              <w:t>补充到浊循环水系统</w:t>
            </w:r>
          </w:p>
        </w:tc>
        <w:tc>
          <w:tcPr>
            <w:tcW w:w="1327" w:type="dxa"/>
            <w:vAlign w:val="top"/>
          </w:tcPr>
          <w:p w14:paraId="2B7DDF0E">
            <w:pPr>
              <w:spacing w:before="107"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7E156C1D">
            <w:pPr>
              <w:spacing w:before="107" w:line="192" w:lineRule="auto"/>
              <w:ind w:left="59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3105" w:type="dxa"/>
            <w:gridSpan w:val="3"/>
            <w:vMerge w:val="continue"/>
            <w:tcBorders>
              <w:top w:val="nil"/>
            </w:tcBorders>
            <w:vAlign w:val="top"/>
          </w:tcPr>
          <w:p w14:paraId="04CF019D">
            <w:pPr>
              <w:rPr>
                <w:rFonts w:ascii="Arial"/>
                <w:sz w:val="21"/>
              </w:rPr>
            </w:pPr>
          </w:p>
        </w:tc>
        <w:tc>
          <w:tcPr>
            <w:tcW w:w="1230" w:type="dxa"/>
            <w:vAlign w:val="top"/>
          </w:tcPr>
          <w:p w14:paraId="03BCCA9D">
            <w:pPr>
              <w:spacing w:before="107"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2A762CD2">
            <w:pPr>
              <w:spacing w:before="107"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6BC6A30E">
            <w:pPr>
              <w:spacing w:before="107"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75FDE096">
            <w:pPr>
              <w:spacing w:before="107"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tcBorders>
              <w:right w:val="nil"/>
            </w:tcBorders>
            <w:vAlign w:val="top"/>
          </w:tcPr>
          <w:p w14:paraId="17B8F4D3">
            <w:pPr>
              <w:spacing w:before="107" w:line="192" w:lineRule="auto"/>
              <w:ind w:left="122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71B93A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restart"/>
            <w:tcBorders>
              <w:top w:val="nil"/>
              <w:left w:val="nil"/>
              <w:bottom w:val="nil"/>
            </w:tcBorders>
            <w:vAlign w:val="top"/>
          </w:tcPr>
          <w:p w14:paraId="7E139E1E">
            <w:pPr>
              <w:rPr>
                <w:rFonts w:ascii="Arial"/>
                <w:sz w:val="21"/>
              </w:rPr>
            </w:pPr>
          </w:p>
        </w:tc>
        <w:tc>
          <w:tcPr>
            <w:tcW w:w="1060" w:type="dxa"/>
            <w:vMerge w:val="restart"/>
            <w:tcBorders>
              <w:bottom w:val="nil"/>
            </w:tcBorders>
            <w:vAlign w:val="top"/>
          </w:tcPr>
          <w:p w14:paraId="48914C03">
            <w:pPr>
              <w:spacing w:line="357" w:lineRule="auto"/>
              <w:rPr>
                <w:rFonts w:ascii="Arial"/>
                <w:sz w:val="21"/>
              </w:rPr>
            </w:pPr>
          </w:p>
          <w:p w14:paraId="095AB9A5">
            <w:pPr>
              <w:spacing w:line="357" w:lineRule="auto"/>
              <w:rPr>
                <w:rFonts w:ascii="Arial"/>
                <w:sz w:val="21"/>
              </w:rPr>
            </w:pPr>
          </w:p>
          <w:p w14:paraId="394F1EA3">
            <w:pPr>
              <w:pStyle w:val="6"/>
              <w:spacing w:before="65" w:line="190" w:lineRule="auto"/>
              <w:ind w:left="159"/>
              <w:rPr>
                <w:rFonts w:ascii="Times New Roman" w:hAnsi="Times New Roman" w:eastAsia="Times New Roman" w:cs="Times New Roman"/>
                <w:sz w:val="13"/>
                <w:szCs w:val="13"/>
              </w:rPr>
            </w:pPr>
            <w:r>
              <w:rPr>
                <w:rFonts w:ascii="Times New Roman" w:hAnsi="Times New Roman" w:eastAsia="Times New Roman" w:cs="Times New Roman"/>
                <w:spacing w:val="1"/>
                <w:sz w:val="20"/>
                <w:szCs w:val="20"/>
              </w:rPr>
              <w:t>W</w:t>
            </w:r>
            <w:r>
              <w:rPr>
                <w:rFonts w:ascii="Times New Roman" w:hAnsi="Times New Roman" w:eastAsia="Times New Roman" w:cs="Times New Roman"/>
                <w:spacing w:val="1"/>
                <w:position w:val="-1"/>
                <w:sz w:val="13"/>
                <w:szCs w:val="13"/>
              </w:rPr>
              <w:t>3</w:t>
            </w:r>
            <w:r>
              <w:rPr>
                <w:rFonts w:ascii="Times New Roman" w:hAnsi="Times New Roman" w:eastAsia="Times New Roman" w:cs="Times New Roman"/>
                <w:spacing w:val="-6"/>
                <w:position w:val="-1"/>
                <w:sz w:val="13"/>
                <w:szCs w:val="13"/>
              </w:rPr>
              <w:t xml:space="preserve"> </w:t>
            </w:r>
            <w:r>
              <w:rPr>
                <w:spacing w:val="1"/>
                <w:sz w:val="20"/>
                <w:szCs w:val="20"/>
              </w:rPr>
              <w:t>、</w:t>
            </w:r>
            <w:r>
              <w:rPr>
                <w:rFonts w:ascii="Times New Roman" w:hAnsi="Times New Roman" w:eastAsia="Times New Roman" w:cs="Times New Roman"/>
                <w:spacing w:val="1"/>
                <w:sz w:val="20"/>
                <w:szCs w:val="20"/>
              </w:rPr>
              <w:t>W</w:t>
            </w:r>
            <w:r>
              <w:rPr>
                <w:rFonts w:ascii="Times New Roman" w:hAnsi="Times New Roman" w:eastAsia="Times New Roman" w:cs="Times New Roman"/>
                <w:spacing w:val="1"/>
                <w:position w:val="-1"/>
                <w:sz w:val="13"/>
                <w:szCs w:val="13"/>
              </w:rPr>
              <w:t>6</w:t>
            </w:r>
          </w:p>
        </w:tc>
        <w:tc>
          <w:tcPr>
            <w:tcW w:w="2047" w:type="dxa"/>
            <w:vMerge w:val="restart"/>
            <w:tcBorders>
              <w:bottom w:val="nil"/>
            </w:tcBorders>
            <w:vAlign w:val="top"/>
          </w:tcPr>
          <w:p w14:paraId="75B64841">
            <w:pPr>
              <w:spacing w:line="270" w:lineRule="auto"/>
              <w:rPr>
                <w:rFonts w:ascii="Arial"/>
                <w:sz w:val="21"/>
              </w:rPr>
            </w:pPr>
          </w:p>
          <w:p w14:paraId="3BD5AE41">
            <w:pPr>
              <w:spacing w:line="270" w:lineRule="auto"/>
              <w:rPr>
                <w:rFonts w:ascii="Arial"/>
                <w:sz w:val="21"/>
              </w:rPr>
            </w:pPr>
          </w:p>
          <w:p w14:paraId="567198C9">
            <w:pPr>
              <w:pStyle w:val="6"/>
              <w:spacing w:before="59" w:line="314" w:lineRule="auto"/>
              <w:ind w:left="578" w:right="571" w:firstLine="65"/>
              <w:rPr>
                <w:sz w:val="18"/>
                <w:szCs w:val="18"/>
              </w:rPr>
            </w:pPr>
            <w:r>
              <w:rPr>
                <w:spacing w:val="-2"/>
                <w:sz w:val="18"/>
                <w:szCs w:val="18"/>
              </w:rPr>
              <w:t>生活污水</w:t>
            </w:r>
            <w:r>
              <w:rPr>
                <w:rFonts w:ascii="Times New Roman" w:hAnsi="Times New Roman" w:eastAsia="Times New Roman" w:cs="Times New Roman"/>
                <w:spacing w:val="-2"/>
                <w:sz w:val="18"/>
                <w:szCs w:val="18"/>
              </w:rPr>
              <w:t>/</w:t>
            </w:r>
            <w:r>
              <w:rPr>
                <w:rFonts w:ascii="Times New Roman" w:hAnsi="Times New Roman" w:eastAsia="Times New Roman" w:cs="Times New Roman"/>
                <w:sz w:val="18"/>
                <w:szCs w:val="18"/>
              </w:rPr>
              <w:t xml:space="preserve">  </w:t>
            </w:r>
            <w:r>
              <w:rPr>
                <w:spacing w:val="-2"/>
                <w:sz w:val="18"/>
                <w:szCs w:val="18"/>
              </w:rPr>
              <w:t>化验室废水</w:t>
            </w:r>
          </w:p>
        </w:tc>
        <w:tc>
          <w:tcPr>
            <w:tcW w:w="1781" w:type="dxa"/>
            <w:vAlign w:val="top"/>
          </w:tcPr>
          <w:p w14:paraId="417A08ED">
            <w:pPr>
              <w:spacing w:before="115" w:line="185" w:lineRule="auto"/>
              <w:ind w:left="776"/>
              <w:rPr>
                <w:rFonts w:ascii="Times New Roman" w:hAnsi="Times New Roman" w:eastAsia="Times New Roman" w:cs="Times New Roman"/>
                <w:sz w:val="18"/>
                <w:szCs w:val="18"/>
              </w:rPr>
            </w:pPr>
            <w:r>
              <w:rPr>
                <w:rFonts w:ascii="Times New Roman" w:hAnsi="Times New Roman" w:eastAsia="Times New Roman" w:cs="Times New Roman"/>
                <w:sz w:val="18"/>
                <w:szCs w:val="18"/>
              </w:rPr>
              <w:t>pH</w:t>
            </w:r>
          </w:p>
        </w:tc>
        <w:tc>
          <w:tcPr>
            <w:tcW w:w="2416" w:type="dxa"/>
            <w:vMerge w:val="restart"/>
            <w:tcBorders>
              <w:bottom w:val="nil"/>
            </w:tcBorders>
            <w:vAlign w:val="top"/>
          </w:tcPr>
          <w:p w14:paraId="7352265B">
            <w:pPr>
              <w:spacing w:line="270" w:lineRule="auto"/>
              <w:rPr>
                <w:rFonts w:ascii="Arial"/>
                <w:sz w:val="21"/>
              </w:rPr>
            </w:pPr>
          </w:p>
          <w:p w14:paraId="63AC705E">
            <w:pPr>
              <w:spacing w:line="270" w:lineRule="auto"/>
              <w:rPr>
                <w:rFonts w:ascii="Arial"/>
                <w:sz w:val="21"/>
              </w:rPr>
            </w:pPr>
          </w:p>
          <w:p w14:paraId="500A09E1">
            <w:pPr>
              <w:pStyle w:val="6"/>
              <w:spacing w:before="59" w:line="319" w:lineRule="auto"/>
              <w:ind w:left="1124" w:right="35" w:hanging="1082"/>
              <w:rPr>
                <w:sz w:val="18"/>
                <w:szCs w:val="18"/>
              </w:rPr>
            </w:pPr>
            <w:r>
              <w:rPr>
                <w:spacing w:val="-1"/>
                <w:sz w:val="18"/>
                <w:szCs w:val="18"/>
              </w:rPr>
              <w:t>地埋式一体化污水处理设施处</w:t>
            </w:r>
            <w:r>
              <w:rPr>
                <w:spacing w:val="4"/>
                <w:sz w:val="18"/>
                <w:szCs w:val="18"/>
              </w:rPr>
              <w:t xml:space="preserve"> </w:t>
            </w:r>
            <w:r>
              <w:rPr>
                <w:sz w:val="18"/>
                <w:szCs w:val="18"/>
              </w:rPr>
              <w:t>理</w:t>
            </w:r>
          </w:p>
        </w:tc>
        <w:tc>
          <w:tcPr>
            <w:tcW w:w="1327" w:type="dxa"/>
            <w:vAlign w:val="top"/>
          </w:tcPr>
          <w:p w14:paraId="4F471CE8">
            <w:pPr>
              <w:spacing w:before="112" w:line="188" w:lineRule="auto"/>
              <w:ind w:left="530"/>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6~9</w:t>
            </w:r>
          </w:p>
        </w:tc>
        <w:tc>
          <w:tcPr>
            <w:tcW w:w="1247" w:type="dxa"/>
            <w:vAlign w:val="top"/>
          </w:tcPr>
          <w:p w14:paraId="3FD1862E">
            <w:pPr>
              <w:spacing w:before="112" w:line="188" w:lineRule="auto"/>
              <w:ind w:left="490"/>
              <w:rPr>
                <w:rFonts w:ascii="Times New Roman" w:hAnsi="Times New Roman" w:eastAsia="Times New Roman" w:cs="Times New Roman"/>
                <w:sz w:val="18"/>
                <w:szCs w:val="18"/>
              </w:rPr>
            </w:pPr>
            <w:r>
              <w:rPr>
                <w:rFonts w:ascii="Times New Roman" w:hAnsi="Times New Roman" w:eastAsia="Times New Roman" w:cs="Times New Roman"/>
                <w:sz w:val="18"/>
                <w:szCs w:val="18"/>
              </w:rPr>
              <w:t>6~9</w:t>
            </w:r>
          </w:p>
        </w:tc>
        <w:tc>
          <w:tcPr>
            <w:tcW w:w="3105" w:type="dxa"/>
            <w:gridSpan w:val="3"/>
            <w:vMerge w:val="restart"/>
            <w:tcBorders>
              <w:bottom w:val="nil"/>
            </w:tcBorders>
            <w:vAlign w:val="top"/>
          </w:tcPr>
          <w:p w14:paraId="4C75DE4C">
            <w:pPr>
              <w:spacing w:line="270" w:lineRule="auto"/>
              <w:rPr>
                <w:rFonts w:ascii="Arial"/>
                <w:sz w:val="21"/>
              </w:rPr>
            </w:pPr>
          </w:p>
          <w:p w14:paraId="508C74A8">
            <w:pPr>
              <w:spacing w:line="270" w:lineRule="auto"/>
              <w:rPr>
                <w:rFonts w:ascii="Arial"/>
                <w:sz w:val="21"/>
              </w:rPr>
            </w:pPr>
          </w:p>
          <w:p w14:paraId="1457FD87">
            <w:pPr>
              <w:pStyle w:val="6"/>
              <w:spacing w:before="59" w:line="314" w:lineRule="auto"/>
              <w:ind w:left="839" w:right="19" w:hanging="790"/>
              <w:rPr>
                <w:sz w:val="18"/>
                <w:szCs w:val="18"/>
              </w:rPr>
            </w:pPr>
            <w:r>
              <w:rPr>
                <w:spacing w:val="-2"/>
                <w:sz w:val="18"/>
                <w:szCs w:val="18"/>
              </w:rPr>
              <w:t>由罐车运至苏尼特右旗赛汉塔拉镇污水</w:t>
            </w:r>
            <w:r>
              <w:rPr>
                <w:spacing w:val="4"/>
                <w:sz w:val="18"/>
                <w:szCs w:val="18"/>
              </w:rPr>
              <w:t xml:space="preserve"> </w:t>
            </w:r>
            <w:r>
              <w:rPr>
                <w:spacing w:val="-2"/>
                <w:sz w:val="18"/>
                <w:szCs w:val="18"/>
              </w:rPr>
              <w:t>处理厂进一步处理</w:t>
            </w:r>
          </w:p>
        </w:tc>
        <w:tc>
          <w:tcPr>
            <w:tcW w:w="1230" w:type="dxa"/>
            <w:vAlign w:val="top"/>
          </w:tcPr>
          <w:p w14:paraId="227586D7">
            <w:pPr>
              <w:spacing w:before="109"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restart"/>
            <w:tcBorders>
              <w:bottom w:val="nil"/>
            </w:tcBorders>
            <w:vAlign w:val="top"/>
          </w:tcPr>
          <w:p w14:paraId="23C375F4">
            <w:pPr>
              <w:spacing w:line="380" w:lineRule="auto"/>
              <w:rPr>
                <w:rFonts w:ascii="Arial"/>
                <w:sz w:val="21"/>
              </w:rPr>
            </w:pPr>
          </w:p>
          <w:p w14:paraId="2BFE717C">
            <w:pPr>
              <w:pStyle w:val="6"/>
              <w:spacing w:before="59" w:line="219" w:lineRule="auto"/>
              <w:ind w:left="87"/>
              <w:rPr>
                <w:sz w:val="18"/>
                <w:szCs w:val="18"/>
              </w:rPr>
            </w:pPr>
            <w:r>
              <w:rPr>
                <w:spacing w:val="-2"/>
                <w:sz w:val="18"/>
                <w:szCs w:val="18"/>
              </w:rPr>
              <w:t>一体化污水</w:t>
            </w:r>
          </w:p>
          <w:p w14:paraId="57F5E30F">
            <w:pPr>
              <w:pStyle w:val="6"/>
              <w:spacing w:before="105" w:line="221" w:lineRule="auto"/>
              <w:ind w:left="87"/>
              <w:rPr>
                <w:sz w:val="18"/>
                <w:szCs w:val="18"/>
              </w:rPr>
            </w:pPr>
            <w:r>
              <w:rPr>
                <w:spacing w:val="-3"/>
                <w:sz w:val="18"/>
                <w:szCs w:val="18"/>
              </w:rPr>
              <w:t>处理设施排</w:t>
            </w:r>
          </w:p>
          <w:p w14:paraId="257146A9">
            <w:pPr>
              <w:pStyle w:val="6"/>
              <w:spacing w:before="103" w:line="221" w:lineRule="auto"/>
              <w:ind w:left="355"/>
              <w:rPr>
                <w:sz w:val="18"/>
                <w:szCs w:val="18"/>
              </w:rPr>
            </w:pPr>
            <w:r>
              <w:rPr>
                <w:spacing w:val="-4"/>
                <w:sz w:val="18"/>
                <w:szCs w:val="18"/>
              </w:rPr>
              <w:t>放口</w:t>
            </w:r>
          </w:p>
        </w:tc>
        <w:tc>
          <w:tcPr>
            <w:tcW w:w="1674" w:type="dxa"/>
            <w:vMerge w:val="restart"/>
            <w:tcBorders>
              <w:bottom w:val="nil"/>
            </w:tcBorders>
            <w:vAlign w:val="top"/>
          </w:tcPr>
          <w:p w14:paraId="0C9C6388">
            <w:pPr>
              <w:spacing w:line="285" w:lineRule="auto"/>
              <w:rPr>
                <w:rFonts w:ascii="Arial"/>
                <w:sz w:val="21"/>
              </w:rPr>
            </w:pPr>
          </w:p>
          <w:p w14:paraId="7C04095F">
            <w:pPr>
              <w:spacing w:line="285" w:lineRule="auto"/>
              <w:rPr>
                <w:rFonts w:ascii="Arial"/>
                <w:sz w:val="21"/>
              </w:rPr>
            </w:pPr>
          </w:p>
          <w:p w14:paraId="204B9F64">
            <w:pPr>
              <w:pStyle w:val="6"/>
              <w:spacing w:before="58" w:line="297" w:lineRule="auto"/>
              <w:ind w:left="107" w:hanging="107"/>
              <w:rPr>
                <w:sz w:val="18"/>
                <w:szCs w:val="18"/>
              </w:rPr>
            </w:pPr>
            <w:r>
              <w:rPr>
                <w:rFonts w:ascii="Times New Roman" w:hAnsi="Times New Roman" w:eastAsia="Times New Roman" w:cs="Times New Roman"/>
                <w:spacing w:val="-9"/>
                <w:sz w:val="18"/>
                <w:szCs w:val="18"/>
              </w:rPr>
              <w:t>pH</w:t>
            </w:r>
            <w:r>
              <w:rPr>
                <w:rFonts w:ascii="Times New Roman" w:hAnsi="Times New Roman" w:eastAsia="Times New Roman" w:cs="Times New Roman"/>
                <w:spacing w:val="-20"/>
                <w:sz w:val="18"/>
                <w:szCs w:val="18"/>
              </w:rPr>
              <w:t xml:space="preserve"> </w:t>
            </w:r>
            <w:r>
              <w:rPr>
                <w:spacing w:val="-9"/>
                <w:sz w:val="18"/>
                <w:szCs w:val="18"/>
              </w:rPr>
              <w:t>、</w:t>
            </w:r>
            <w:r>
              <w:rPr>
                <w:rFonts w:ascii="Times New Roman" w:hAnsi="Times New Roman" w:eastAsia="Times New Roman" w:cs="Times New Roman"/>
                <w:spacing w:val="-9"/>
                <w:sz w:val="18"/>
                <w:szCs w:val="18"/>
              </w:rPr>
              <w:t>CODcr</w:t>
            </w:r>
            <w:r>
              <w:rPr>
                <w:rFonts w:ascii="Times New Roman" w:hAnsi="Times New Roman" w:eastAsia="Times New Roman" w:cs="Times New Roman"/>
                <w:spacing w:val="-27"/>
                <w:sz w:val="18"/>
                <w:szCs w:val="18"/>
              </w:rPr>
              <w:t xml:space="preserve"> </w:t>
            </w:r>
            <w:r>
              <w:rPr>
                <w:spacing w:val="-9"/>
                <w:sz w:val="18"/>
                <w:szCs w:val="18"/>
              </w:rPr>
              <w:t>、</w:t>
            </w:r>
            <w:r>
              <w:rPr>
                <w:rFonts w:ascii="Times New Roman" w:hAnsi="Times New Roman" w:eastAsia="Times New Roman" w:cs="Times New Roman"/>
                <w:spacing w:val="-9"/>
                <w:sz w:val="18"/>
                <w:szCs w:val="18"/>
              </w:rPr>
              <w:t>BOD5</w:t>
            </w:r>
            <w:r>
              <w:rPr>
                <w:spacing w:val="-9"/>
                <w:sz w:val="18"/>
                <w:szCs w:val="18"/>
              </w:rPr>
              <w:t>、</w:t>
            </w:r>
            <w:r>
              <w:rPr>
                <w:sz w:val="18"/>
                <w:szCs w:val="18"/>
              </w:rPr>
              <w:t xml:space="preserve"> </w:t>
            </w:r>
            <w:r>
              <w:rPr>
                <w:spacing w:val="-6"/>
                <w:sz w:val="18"/>
                <w:szCs w:val="18"/>
              </w:rPr>
              <w:t>氨氮、</w:t>
            </w:r>
            <w:r>
              <w:rPr>
                <w:rFonts w:ascii="Times New Roman" w:hAnsi="Times New Roman" w:eastAsia="Times New Roman" w:cs="Times New Roman"/>
                <w:spacing w:val="-6"/>
                <w:sz w:val="18"/>
                <w:szCs w:val="18"/>
              </w:rPr>
              <w:t>SS</w:t>
            </w:r>
            <w:r>
              <w:rPr>
                <w:spacing w:val="-6"/>
                <w:sz w:val="18"/>
                <w:szCs w:val="18"/>
              </w:rPr>
              <w:t>、流量等</w:t>
            </w:r>
          </w:p>
        </w:tc>
        <w:tc>
          <w:tcPr>
            <w:tcW w:w="1004" w:type="dxa"/>
            <w:vMerge w:val="restart"/>
            <w:tcBorders>
              <w:bottom w:val="nil"/>
            </w:tcBorders>
            <w:vAlign w:val="top"/>
          </w:tcPr>
          <w:p w14:paraId="472AE498">
            <w:pPr>
              <w:spacing w:line="349" w:lineRule="auto"/>
              <w:rPr>
                <w:rFonts w:ascii="Arial"/>
                <w:sz w:val="21"/>
              </w:rPr>
            </w:pPr>
          </w:p>
          <w:p w14:paraId="47A15E9E">
            <w:pPr>
              <w:spacing w:line="349" w:lineRule="auto"/>
              <w:rPr>
                <w:rFonts w:ascii="Arial"/>
                <w:sz w:val="21"/>
              </w:rPr>
            </w:pPr>
          </w:p>
          <w:p w14:paraId="6A61D53A">
            <w:pPr>
              <w:pStyle w:val="6"/>
              <w:spacing w:before="58" w:line="219" w:lineRule="auto"/>
              <w:ind w:left="57"/>
              <w:rPr>
                <w:sz w:val="18"/>
                <w:szCs w:val="18"/>
              </w:rPr>
            </w:pPr>
            <w:r>
              <w:rPr>
                <w:spacing w:val="-6"/>
                <w:sz w:val="18"/>
                <w:szCs w:val="18"/>
              </w:rPr>
              <w:t>每季度</w:t>
            </w:r>
            <w:r>
              <w:rPr>
                <w:spacing w:val="-25"/>
                <w:sz w:val="18"/>
                <w:szCs w:val="18"/>
              </w:rPr>
              <w:t xml:space="preserve"> </w:t>
            </w:r>
            <w:r>
              <w:rPr>
                <w:rFonts w:ascii="Times New Roman" w:hAnsi="Times New Roman" w:eastAsia="Times New Roman" w:cs="Times New Roman"/>
                <w:spacing w:val="-6"/>
                <w:sz w:val="18"/>
                <w:szCs w:val="18"/>
              </w:rPr>
              <w:t>1</w:t>
            </w:r>
            <w:r>
              <w:rPr>
                <w:rFonts w:ascii="Times New Roman" w:hAnsi="Times New Roman" w:eastAsia="Times New Roman" w:cs="Times New Roman"/>
                <w:spacing w:val="13"/>
                <w:w w:val="101"/>
                <w:sz w:val="18"/>
                <w:szCs w:val="18"/>
              </w:rPr>
              <w:t xml:space="preserve"> </w:t>
            </w:r>
            <w:r>
              <w:rPr>
                <w:spacing w:val="-6"/>
                <w:sz w:val="18"/>
                <w:szCs w:val="18"/>
              </w:rPr>
              <w:t>次</w:t>
            </w:r>
          </w:p>
        </w:tc>
        <w:tc>
          <w:tcPr>
            <w:tcW w:w="2504" w:type="dxa"/>
            <w:vMerge w:val="restart"/>
            <w:tcBorders>
              <w:bottom w:val="nil"/>
              <w:right w:val="nil"/>
            </w:tcBorders>
            <w:vAlign w:val="top"/>
          </w:tcPr>
          <w:p w14:paraId="6840FB20">
            <w:pPr>
              <w:spacing w:line="270" w:lineRule="auto"/>
              <w:rPr>
                <w:rFonts w:ascii="Arial"/>
                <w:sz w:val="21"/>
              </w:rPr>
            </w:pPr>
          </w:p>
          <w:p w14:paraId="030A2CFC">
            <w:pPr>
              <w:spacing w:line="271" w:lineRule="auto"/>
              <w:rPr>
                <w:rFonts w:ascii="Arial"/>
                <w:sz w:val="21"/>
              </w:rPr>
            </w:pPr>
          </w:p>
          <w:p w14:paraId="0E698798">
            <w:pPr>
              <w:pStyle w:val="6"/>
              <w:spacing w:before="58" w:line="314" w:lineRule="auto"/>
              <w:ind w:left="1079" w:right="37" w:hanging="1033"/>
              <w:rPr>
                <w:sz w:val="18"/>
                <w:szCs w:val="18"/>
              </w:rPr>
            </w:pPr>
            <w:r>
              <w:rPr>
                <w:rFonts w:ascii="Times New Roman" w:hAnsi="Times New Roman" w:eastAsia="Times New Roman" w:cs="Times New Roman"/>
                <w:spacing w:val="-2"/>
                <w:sz w:val="18"/>
                <w:szCs w:val="18"/>
              </w:rPr>
              <w:t xml:space="preserve">GB28666-2012 </w:t>
            </w:r>
            <w:r>
              <w:rPr>
                <w:spacing w:val="-2"/>
                <w:sz w:val="18"/>
                <w:szCs w:val="18"/>
              </w:rPr>
              <w:t>表</w:t>
            </w:r>
            <w:r>
              <w:rPr>
                <w:spacing w:val="-40"/>
                <w:sz w:val="18"/>
                <w:szCs w:val="18"/>
              </w:rPr>
              <w:t xml:space="preserve"> </w:t>
            </w:r>
            <w:r>
              <w:rPr>
                <w:rFonts w:ascii="Times New Roman" w:hAnsi="Times New Roman" w:eastAsia="Times New Roman" w:cs="Times New Roman"/>
                <w:spacing w:val="-2"/>
                <w:sz w:val="18"/>
                <w:szCs w:val="18"/>
              </w:rPr>
              <w:t>2</w:t>
            </w:r>
            <w:r>
              <w:rPr>
                <w:rFonts w:ascii="Times New Roman" w:hAnsi="Times New Roman" w:eastAsia="Times New Roman" w:cs="Times New Roman"/>
                <w:spacing w:val="26"/>
                <w:w w:val="101"/>
                <w:sz w:val="18"/>
                <w:szCs w:val="18"/>
              </w:rPr>
              <w:t xml:space="preserve"> </w:t>
            </w:r>
            <w:r>
              <w:rPr>
                <w:spacing w:val="-2"/>
                <w:sz w:val="18"/>
                <w:szCs w:val="18"/>
              </w:rPr>
              <w:t>中间接排放</w:t>
            </w:r>
            <w:r>
              <w:rPr>
                <w:sz w:val="18"/>
                <w:szCs w:val="18"/>
              </w:rPr>
              <w:t xml:space="preserve"> </w:t>
            </w:r>
            <w:r>
              <w:rPr>
                <w:spacing w:val="-4"/>
                <w:sz w:val="18"/>
                <w:szCs w:val="18"/>
              </w:rPr>
              <w:t>标准</w:t>
            </w:r>
          </w:p>
        </w:tc>
      </w:tr>
      <w:tr w14:paraId="591F23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continue"/>
            <w:tcBorders>
              <w:top w:val="nil"/>
              <w:left w:val="nil"/>
              <w:bottom w:val="nil"/>
            </w:tcBorders>
            <w:vAlign w:val="top"/>
          </w:tcPr>
          <w:p w14:paraId="3292FFFD">
            <w:pPr>
              <w:rPr>
                <w:rFonts w:ascii="Arial"/>
                <w:sz w:val="21"/>
              </w:rPr>
            </w:pPr>
          </w:p>
        </w:tc>
        <w:tc>
          <w:tcPr>
            <w:tcW w:w="1060" w:type="dxa"/>
            <w:vMerge w:val="continue"/>
            <w:tcBorders>
              <w:top w:val="nil"/>
              <w:bottom w:val="nil"/>
            </w:tcBorders>
            <w:vAlign w:val="top"/>
          </w:tcPr>
          <w:p w14:paraId="2D744258">
            <w:pPr>
              <w:rPr>
                <w:rFonts w:ascii="Arial"/>
                <w:sz w:val="21"/>
              </w:rPr>
            </w:pPr>
          </w:p>
        </w:tc>
        <w:tc>
          <w:tcPr>
            <w:tcW w:w="2047" w:type="dxa"/>
            <w:vMerge w:val="continue"/>
            <w:tcBorders>
              <w:top w:val="nil"/>
              <w:bottom w:val="nil"/>
            </w:tcBorders>
            <w:vAlign w:val="top"/>
          </w:tcPr>
          <w:p w14:paraId="6BEA97EB">
            <w:pPr>
              <w:rPr>
                <w:rFonts w:ascii="Arial"/>
                <w:sz w:val="21"/>
              </w:rPr>
            </w:pPr>
          </w:p>
        </w:tc>
        <w:tc>
          <w:tcPr>
            <w:tcW w:w="1781" w:type="dxa"/>
            <w:vAlign w:val="top"/>
          </w:tcPr>
          <w:p w14:paraId="741BBEF9">
            <w:pPr>
              <w:spacing w:before="111" w:line="194" w:lineRule="auto"/>
              <w:ind w:left="658"/>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COD</w:t>
            </w:r>
            <w:r>
              <w:rPr>
                <w:rFonts w:ascii="Times New Roman" w:hAnsi="Times New Roman" w:eastAsia="Times New Roman" w:cs="Times New Roman"/>
                <w:spacing w:val="-1"/>
                <w:position w:val="-1"/>
                <w:sz w:val="11"/>
                <w:szCs w:val="11"/>
              </w:rPr>
              <w:t>cr</w:t>
            </w:r>
          </w:p>
        </w:tc>
        <w:tc>
          <w:tcPr>
            <w:tcW w:w="2416" w:type="dxa"/>
            <w:vMerge w:val="continue"/>
            <w:tcBorders>
              <w:top w:val="nil"/>
              <w:bottom w:val="nil"/>
            </w:tcBorders>
            <w:vAlign w:val="top"/>
          </w:tcPr>
          <w:p w14:paraId="5FD52940">
            <w:pPr>
              <w:rPr>
                <w:rFonts w:ascii="Arial"/>
                <w:sz w:val="21"/>
              </w:rPr>
            </w:pPr>
          </w:p>
        </w:tc>
        <w:tc>
          <w:tcPr>
            <w:tcW w:w="1327" w:type="dxa"/>
            <w:vAlign w:val="top"/>
          </w:tcPr>
          <w:p w14:paraId="3DE6A0FC">
            <w:pPr>
              <w:spacing w:before="112" w:line="188" w:lineRule="auto"/>
              <w:ind w:left="46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23.72</w:t>
            </w:r>
          </w:p>
        </w:tc>
        <w:tc>
          <w:tcPr>
            <w:tcW w:w="1247" w:type="dxa"/>
            <w:vAlign w:val="top"/>
          </w:tcPr>
          <w:p w14:paraId="19F94EF6">
            <w:pPr>
              <w:spacing w:before="112" w:line="188" w:lineRule="auto"/>
              <w:ind w:left="42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0.274</w:t>
            </w:r>
          </w:p>
        </w:tc>
        <w:tc>
          <w:tcPr>
            <w:tcW w:w="3105" w:type="dxa"/>
            <w:gridSpan w:val="3"/>
            <w:vMerge w:val="continue"/>
            <w:tcBorders>
              <w:top w:val="nil"/>
              <w:bottom w:val="nil"/>
            </w:tcBorders>
            <w:vAlign w:val="top"/>
          </w:tcPr>
          <w:p w14:paraId="765FAA68">
            <w:pPr>
              <w:rPr>
                <w:rFonts w:ascii="Arial"/>
                <w:sz w:val="21"/>
              </w:rPr>
            </w:pPr>
          </w:p>
        </w:tc>
        <w:tc>
          <w:tcPr>
            <w:tcW w:w="1230" w:type="dxa"/>
            <w:vAlign w:val="top"/>
          </w:tcPr>
          <w:p w14:paraId="7B3A0B29">
            <w:pPr>
              <w:spacing w:before="112" w:line="188" w:lineRule="auto"/>
              <w:ind w:left="41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0.274</w:t>
            </w:r>
          </w:p>
        </w:tc>
        <w:tc>
          <w:tcPr>
            <w:tcW w:w="1060" w:type="dxa"/>
            <w:vMerge w:val="continue"/>
            <w:tcBorders>
              <w:top w:val="nil"/>
              <w:bottom w:val="nil"/>
            </w:tcBorders>
            <w:vAlign w:val="top"/>
          </w:tcPr>
          <w:p w14:paraId="3EACC420">
            <w:pPr>
              <w:rPr>
                <w:rFonts w:ascii="Arial"/>
                <w:sz w:val="21"/>
              </w:rPr>
            </w:pPr>
          </w:p>
        </w:tc>
        <w:tc>
          <w:tcPr>
            <w:tcW w:w="1674" w:type="dxa"/>
            <w:vMerge w:val="continue"/>
            <w:tcBorders>
              <w:top w:val="nil"/>
              <w:bottom w:val="nil"/>
            </w:tcBorders>
            <w:vAlign w:val="top"/>
          </w:tcPr>
          <w:p w14:paraId="4A0E325D">
            <w:pPr>
              <w:rPr>
                <w:rFonts w:ascii="Arial"/>
                <w:sz w:val="21"/>
              </w:rPr>
            </w:pPr>
          </w:p>
        </w:tc>
        <w:tc>
          <w:tcPr>
            <w:tcW w:w="1004" w:type="dxa"/>
            <w:vMerge w:val="continue"/>
            <w:tcBorders>
              <w:top w:val="nil"/>
              <w:bottom w:val="nil"/>
            </w:tcBorders>
            <w:vAlign w:val="top"/>
          </w:tcPr>
          <w:p w14:paraId="2D548B11">
            <w:pPr>
              <w:rPr>
                <w:rFonts w:ascii="Arial"/>
                <w:sz w:val="21"/>
              </w:rPr>
            </w:pPr>
          </w:p>
        </w:tc>
        <w:tc>
          <w:tcPr>
            <w:tcW w:w="2504" w:type="dxa"/>
            <w:vMerge w:val="continue"/>
            <w:tcBorders>
              <w:top w:val="nil"/>
              <w:bottom w:val="nil"/>
              <w:right w:val="nil"/>
            </w:tcBorders>
            <w:vAlign w:val="top"/>
          </w:tcPr>
          <w:p w14:paraId="0F5E3DE0">
            <w:pPr>
              <w:rPr>
                <w:rFonts w:ascii="Arial"/>
                <w:sz w:val="21"/>
              </w:rPr>
            </w:pPr>
          </w:p>
        </w:tc>
      </w:tr>
      <w:tr w14:paraId="6163B6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continue"/>
            <w:tcBorders>
              <w:top w:val="nil"/>
              <w:left w:val="nil"/>
              <w:bottom w:val="nil"/>
            </w:tcBorders>
            <w:vAlign w:val="top"/>
          </w:tcPr>
          <w:p w14:paraId="45793CF4">
            <w:pPr>
              <w:rPr>
                <w:rFonts w:ascii="Arial"/>
                <w:sz w:val="21"/>
              </w:rPr>
            </w:pPr>
          </w:p>
        </w:tc>
        <w:tc>
          <w:tcPr>
            <w:tcW w:w="1060" w:type="dxa"/>
            <w:vMerge w:val="continue"/>
            <w:tcBorders>
              <w:top w:val="nil"/>
              <w:bottom w:val="nil"/>
            </w:tcBorders>
            <w:vAlign w:val="top"/>
          </w:tcPr>
          <w:p w14:paraId="08D8C1B8">
            <w:pPr>
              <w:rPr>
                <w:rFonts w:ascii="Arial"/>
                <w:sz w:val="21"/>
              </w:rPr>
            </w:pPr>
          </w:p>
        </w:tc>
        <w:tc>
          <w:tcPr>
            <w:tcW w:w="2047" w:type="dxa"/>
            <w:vMerge w:val="continue"/>
            <w:tcBorders>
              <w:top w:val="nil"/>
              <w:bottom w:val="nil"/>
            </w:tcBorders>
            <w:vAlign w:val="top"/>
          </w:tcPr>
          <w:p w14:paraId="16051733">
            <w:pPr>
              <w:rPr>
                <w:rFonts w:ascii="Arial"/>
                <w:sz w:val="21"/>
              </w:rPr>
            </w:pPr>
          </w:p>
        </w:tc>
        <w:tc>
          <w:tcPr>
            <w:tcW w:w="1781" w:type="dxa"/>
            <w:vAlign w:val="top"/>
          </w:tcPr>
          <w:p w14:paraId="5AB53D5D">
            <w:pPr>
              <w:spacing w:before="113" w:line="194" w:lineRule="auto"/>
              <w:ind w:left="671"/>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BOD</w:t>
            </w:r>
            <w:r>
              <w:rPr>
                <w:rFonts w:ascii="Times New Roman" w:hAnsi="Times New Roman" w:eastAsia="Times New Roman" w:cs="Times New Roman"/>
                <w:spacing w:val="-1"/>
                <w:position w:val="-1"/>
                <w:sz w:val="11"/>
                <w:szCs w:val="11"/>
              </w:rPr>
              <w:t>5</w:t>
            </w:r>
          </w:p>
        </w:tc>
        <w:tc>
          <w:tcPr>
            <w:tcW w:w="2416" w:type="dxa"/>
            <w:vMerge w:val="continue"/>
            <w:tcBorders>
              <w:top w:val="nil"/>
              <w:bottom w:val="nil"/>
            </w:tcBorders>
            <w:vAlign w:val="top"/>
          </w:tcPr>
          <w:p w14:paraId="4BE6750E">
            <w:pPr>
              <w:rPr>
                <w:rFonts w:ascii="Arial"/>
                <w:sz w:val="21"/>
              </w:rPr>
            </w:pPr>
          </w:p>
        </w:tc>
        <w:tc>
          <w:tcPr>
            <w:tcW w:w="1327" w:type="dxa"/>
            <w:vAlign w:val="top"/>
          </w:tcPr>
          <w:p w14:paraId="05F9552F">
            <w:pPr>
              <w:spacing w:before="113" w:line="188" w:lineRule="auto"/>
              <w:ind w:left="47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11.88</w:t>
            </w:r>
          </w:p>
        </w:tc>
        <w:tc>
          <w:tcPr>
            <w:tcW w:w="1247" w:type="dxa"/>
            <w:vAlign w:val="top"/>
          </w:tcPr>
          <w:p w14:paraId="02386CEE">
            <w:pPr>
              <w:spacing w:before="113" w:line="188" w:lineRule="auto"/>
              <w:ind w:left="42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0.137</w:t>
            </w:r>
          </w:p>
        </w:tc>
        <w:tc>
          <w:tcPr>
            <w:tcW w:w="3105" w:type="dxa"/>
            <w:gridSpan w:val="3"/>
            <w:vMerge w:val="continue"/>
            <w:tcBorders>
              <w:top w:val="nil"/>
              <w:bottom w:val="nil"/>
            </w:tcBorders>
            <w:vAlign w:val="top"/>
          </w:tcPr>
          <w:p w14:paraId="4BBF4EC0">
            <w:pPr>
              <w:rPr>
                <w:rFonts w:ascii="Arial"/>
                <w:sz w:val="21"/>
              </w:rPr>
            </w:pPr>
          </w:p>
        </w:tc>
        <w:tc>
          <w:tcPr>
            <w:tcW w:w="1230" w:type="dxa"/>
            <w:vAlign w:val="top"/>
          </w:tcPr>
          <w:p w14:paraId="249C1A97">
            <w:pPr>
              <w:spacing w:before="110"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2E541F3D">
            <w:pPr>
              <w:rPr>
                <w:rFonts w:ascii="Arial"/>
                <w:sz w:val="21"/>
              </w:rPr>
            </w:pPr>
          </w:p>
        </w:tc>
        <w:tc>
          <w:tcPr>
            <w:tcW w:w="1674" w:type="dxa"/>
            <w:vMerge w:val="continue"/>
            <w:tcBorders>
              <w:top w:val="nil"/>
              <w:bottom w:val="nil"/>
            </w:tcBorders>
            <w:vAlign w:val="top"/>
          </w:tcPr>
          <w:p w14:paraId="311F2CDD">
            <w:pPr>
              <w:rPr>
                <w:rFonts w:ascii="Arial"/>
                <w:sz w:val="21"/>
              </w:rPr>
            </w:pPr>
          </w:p>
        </w:tc>
        <w:tc>
          <w:tcPr>
            <w:tcW w:w="1004" w:type="dxa"/>
            <w:vMerge w:val="continue"/>
            <w:tcBorders>
              <w:top w:val="nil"/>
              <w:bottom w:val="nil"/>
            </w:tcBorders>
            <w:vAlign w:val="top"/>
          </w:tcPr>
          <w:p w14:paraId="548DDEF1">
            <w:pPr>
              <w:rPr>
                <w:rFonts w:ascii="Arial"/>
                <w:sz w:val="21"/>
              </w:rPr>
            </w:pPr>
          </w:p>
        </w:tc>
        <w:tc>
          <w:tcPr>
            <w:tcW w:w="2504" w:type="dxa"/>
            <w:vMerge w:val="continue"/>
            <w:tcBorders>
              <w:top w:val="nil"/>
              <w:bottom w:val="nil"/>
              <w:right w:val="nil"/>
            </w:tcBorders>
            <w:vAlign w:val="top"/>
          </w:tcPr>
          <w:p w14:paraId="6F43A7C9">
            <w:pPr>
              <w:rPr>
                <w:rFonts w:ascii="Arial"/>
                <w:sz w:val="21"/>
              </w:rPr>
            </w:pPr>
          </w:p>
        </w:tc>
      </w:tr>
      <w:tr w14:paraId="7CCAAC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continue"/>
            <w:tcBorders>
              <w:top w:val="nil"/>
              <w:left w:val="nil"/>
              <w:bottom w:val="nil"/>
            </w:tcBorders>
            <w:vAlign w:val="top"/>
          </w:tcPr>
          <w:p w14:paraId="2065398F">
            <w:pPr>
              <w:rPr>
                <w:rFonts w:ascii="Arial"/>
                <w:sz w:val="21"/>
              </w:rPr>
            </w:pPr>
          </w:p>
        </w:tc>
        <w:tc>
          <w:tcPr>
            <w:tcW w:w="1060" w:type="dxa"/>
            <w:vMerge w:val="continue"/>
            <w:tcBorders>
              <w:top w:val="nil"/>
              <w:bottom w:val="nil"/>
            </w:tcBorders>
            <w:vAlign w:val="top"/>
          </w:tcPr>
          <w:p w14:paraId="0FF78557">
            <w:pPr>
              <w:rPr>
                <w:rFonts w:ascii="Arial"/>
                <w:sz w:val="21"/>
              </w:rPr>
            </w:pPr>
          </w:p>
        </w:tc>
        <w:tc>
          <w:tcPr>
            <w:tcW w:w="2047" w:type="dxa"/>
            <w:vMerge w:val="continue"/>
            <w:tcBorders>
              <w:top w:val="nil"/>
              <w:bottom w:val="nil"/>
            </w:tcBorders>
            <w:vAlign w:val="top"/>
          </w:tcPr>
          <w:p w14:paraId="6306A5A9">
            <w:pPr>
              <w:rPr>
                <w:rFonts w:ascii="Arial"/>
                <w:sz w:val="21"/>
              </w:rPr>
            </w:pPr>
          </w:p>
        </w:tc>
        <w:tc>
          <w:tcPr>
            <w:tcW w:w="1781" w:type="dxa"/>
            <w:vAlign w:val="top"/>
          </w:tcPr>
          <w:p w14:paraId="0C0F1995">
            <w:pPr>
              <w:spacing w:before="115" w:line="188" w:lineRule="auto"/>
              <w:ind w:left="797"/>
              <w:rPr>
                <w:rFonts w:ascii="Times New Roman" w:hAnsi="Times New Roman" w:eastAsia="Times New Roman" w:cs="Times New Roman"/>
                <w:sz w:val="18"/>
                <w:szCs w:val="18"/>
              </w:rPr>
            </w:pPr>
            <w:r>
              <w:rPr>
                <w:rFonts w:ascii="Times New Roman" w:hAnsi="Times New Roman" w:eastAsia="Times New Roman" w:cs="Times New Roman"/>
                <w:spacing w:val="-6"/>
                <w:sz w:val="18"/>
                <w:szCs w:val="18"/>
              </w:rPr>
              <w:t>SS</w:t>
            </w:r>
          </w:p>
        </w:tc>
        <w:tc>
          <w:tcPr>
            <w:tcW w:w="2416" w:type="dxa"/>
            <w:vMerge w:val="continue"/>
            <w:tcBorders>
              <w:top w:val="nil"/>
              <w:bottom w:val="nil"/>
            </w:tcBorders>
            <w:vAlign w:val="top"/>
          </w:tcPr>
          <w:p w14:paraId="4BD239D7">
            <w:pPr>
              <w:rPr>
                <w:rFonts w:ascii="Arial"/>
                <w:sz w:val="21"/>
              </w:rPr>
            </w:pPr>
          </w:p>
        </w:tc>
        <w:tc>
          <w:tcPr>
            <w:tcW w:w="1327" w:type="dxa"/>
            <w:vAlign w:val="top"/>
          </w:tcPr>
          <w:p w14:paraId="2EE1510D">
            <w:pPr>
              <w:spacing w:before="115" w:line="188" w:lineRule="auto"/>
              <w:ind w:left="51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9.75</w:t>
            </w:r>
          </w:p>
        </w:tc>
        <w:tc>
          <w:tcPr>
            <w:tcW w:w="1247" w:type="dxa"/>
            <w:vAlign w:val="top"/>
          </w:tcPr>
          <w:p w14:paraId="4D2ED47E">
            <w:pPr>
              <w:spacing w:before="115" w:line="188" w:lineRule="auto"/>
              <w:ind w:left="42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0.113</w:t>
            </w:r>
          </w:p>
        </w:tc>
        <w:tc>
          <w:tcPr>
            <w:tcW w:w="3105" w:type="dxa"/>
            <w:gridSpan w:val="3"/>
            <w:vMerge w:val="continue"/>
            <w:tcBorders>
              <w:top w:val="nil"/>
              <w:bottom w:val="nil"/>
            </w:tcBorders>
            <w:vAlign w:val="top"/>
          </w:tcPr>
          <w:p w14:paraId="24052527">
            <w:pPr>
              <w:rPr>
                <w:rFonts w:ascii="Arial"/>
                <w:sz w:val="21"/>
              </w:rPr>
            </w:pPr>
          </w:p>
        </w:tc>
        <w:tc>
          <w:tcPr>
            <w:tcW w:w="1230" w:type="dxa"/>
            <w:vAlign w:val="top"/>
          </w:tcPr>
          <w:p w14:paraId="7D9E3DD6">
            <w:pPr>
              <w:spacing w:before="112"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Merge w:val="continue"/>
            <w:tcBorders>
              <w:top w:val="nil"/>
              <w:bottom w:val="nil"/>
            </w:tcBorders>
            <w:vAlign w:val="top"/>
          </w:tcPr>
          <w:p w14:paraId="168A2F39">
            <w:pPr>
              <w:rPr>
                <w:rFonts w:ascii="Arial"/>
                <w:sz w:val="21"/>
              </w:rPr>
            </w:pPr>
          </w:p>
        </w:tc>
        <w:tc>
          <w:tcPr>
            <w:tcW w:w="1674" w:type="dxa"/>
            <w:vMerge w:val="continue"/>
            <w:tcBorders>
              <w:top w:val="nil"/>
              <w:bottom w:val="nil"/>
            </w:tcBorders>
            <w:vAlign w:val="top"/>
          </w:tcPr>
          <w:p w14:paraId="2582894C">
            <w:pPr>
              <w:rPr>
                <w:rFonts w:ascii="Arial"/>
                <w:sz w:val="21"/>
              </w:rPr>
            </w:pPr>
          </w:p>
        </w:tc>
        <w:tc>
          <w:tcPr>
            <w:tcW w:w="1004" w:type="dxa"/>
            <w:vMerge w:val="continue"/>
            <w:tcBorders>
              <w:top w:val="nil"/>
              <w:bottom w:val="nil"/>
            </w:tcBorders>
            <w:vAlign w:val="top"/>
          </w:tcPr>
          <w:p w14:paraId="6917C52A">
            <w:pPr>
              <w:rPr>
                <w:rFonts w:ascii="Arial"/>
                <w:sz w:val="21"/>
              </w:rPr>
            </w:pPr>
          </w:p>
        </w:tc>
        <w:tc>
          <w:tcPr>
            <w:tcW w:w="2504" w:type="dxa"/>
            <w:vMerge w:val="continue"/>
            <w:tcBorders>
              <w:top w:val="nil"/>
              <w:bottom w:val="nil"/>
              <w:right w:val="nil"/>
            </w:tcBorders>
            <w:vAlign w:val="top"/>
          </w:tcPr>
          <w:p w14:paraId="7D5353AE">
            <w:pPr>
              <w:rPr>
                <w:rFonts w:ascii="Arial"/>
                <w:sz w:val="21"/>
              </w:rPr>
            </w:pPr>
          </w:p>
        </w:tc>
      </w:tr>
      <w:tr w14:paraId="02E35E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continue"/>
            <w:tcBorders>
              <w:top w:val="nil"/>
              <w:left w:val="nil"/>
              <w:bottom w:val="nil"/>
            </w:tcBorders>
            <w:vAlign w:val="top"/>
          </w:tcPr>
          <w:p w14:paraId="44DF9BDB">
            <w:pPr>
              <w:rPr>
                <w:rFonts w:ascii="Arial"/>
                <w:sz w:val="21"/>
              </w:rPr>
            </w:pPr>
          </w:p>
        </w:tc>
        <w:tc>
          <w:tcPr>
            <w:tcW w:w="1060" w:type="dxa"/>
            <w:vMerge w:val="continue"/>
            <w:tcBorders>
              <w:top w:val="nil"/>
            </w:tcBorders>
            <w:vAlign w:val="top"/>
          </w:tcPr>
          <w:p w14:paraId="06354817">
            <w:pPr>
              <w:rPr>
                <w:rFonts w:ascii="Arial"/>
                <w:sz w:val="21"/>
              </w:rPr>
            </w:pPr>
          </w:p>
        </w:tc>
        <w:tc>
          <w:tcPr>
            <w:tcW w:w="2047" w:type="dxa"/>
            <w:vMerge w:val="continue"/>
            <w:tcBorders>
              <w:top w:val="nil"/>
            </w:tcBorders>
            <w:vAlign w:val="top"/>
          </w:tcPr>
          <w:p w14:paraId="6A3C7FB5">
            <w:pPr>
              <w:rPr>
                <w:rFonts w:ascii="Arial"/>
                <w:sz w:val="21"/>
              </w:rPr>
            </w:pPr>
          </w:p>
        </w:tc>
        <w:tc>
          <w:tcPr>
            <w:tcW w:w="1781" w:type="dxa"/>
            <w:vAlign w:val="top"/>
          </w:tcPr>
          <w:p w14:paraId="58201733">
            <w:pPr>
              <w:pStyle w:val="6"/>
              <w:spacing w:before="85" w:line="219" w:lineRule="auto"/>
              <w:ind w:left="714"/>
              <w:rPr>
                <w:sz w:val="18"/>
                <w:szCs w:val="18"/>
              </w:rPr>
            </w:pPr>
            <w:r>
              <w:rPr>
                <w:spacing w:val="-4"/>
                <w:sz w:val="18"/>
                <w:szCs w:val="18"/>
              </w:rPr>
              <w:t>氨氮</w:t>
            </w:r>
          </w:p>
        </w:tc>
        <w:tc>
          <w:tcPr>
            <w:tcW w:w="2416" w:type="dxa"/>
            <w:vMerge w:val="continue"/>
            <w:tcBorders>
              <w:top w:val="nil"/>
            </w:tcBorders>
            <w:vAlign w:val="top"/>
          </w:tcPr>
          <w:p w14:paraId="60E522F2">
            <w:pPr>
              <w:rPr>
                <w:rFonts w:ascii="Arial"/>
                <w:sz w:val="21"/>
              </w:rPr>
            </w:pPr>
          </w:p>
        </w:tc>
        <w:tc>
          <w:tcPr>
            <w:tcW w:w="1327" w:type="dxa"/>
            <w:vAlign w:val="top"/>
          </w:tcPr>
          <w:p w14:paraId="19E19F52">
            <w:pPr>
              <w:spacing w:before="115" w:line="188" w:lineRule="auto"/>
              <w:ind w:left="514"/>
              <w:rPr>
                <w:rFonts w:ascii="Times New Roman" w:hAnsi="Times New Roman" w:eastAsia="Times New Roman" w:cs="Times New Roman"/>
                <w:sz w:val="18"/>
                <w:szCs w:val="18"/>
              </w:rPr>
            </w:pPr>
            <w:r>
              <w:rPr>
                <w:rFonts w:ascii="Times New Roman" w:hAnsi="Times New Roman" w:eastAsia="Times New Roman" w:cs="Times New Roman"/>
                <w:spacing w:val="-8"/>
                <w:sz w:val="18"/>
                <w:szCs w:val="18"/>
              </w:rPr>
              <w:t>8.</w:t>
            </w:r>
            <w:r>
              <w:rPr>
                <w:rFonts w:ascii="Times New Roman" w:hAnsi="Times New Roman" w:eastAsia="Times New Roman" w:cs="Times New Roman"/>
                <w:spacing w:val="-24"/>
                <w:sz w:val="18"/>
                <w:szCs w:val="18"/>
              </w:rPr>
              <w:t xml:space="preserve"> </w:t>
            </w:r>
            <w:r>
              <w:rPr>
                <w:rFonts w:ascii="Times New Roman" w:hAnsi="Times New Roman" w:eastAsia="Times New Roman" w:cs="Times New Roman"/>
                <w:spacing w:val="-8"/>
                <w:sz w:val="18"/>
                <w:szCs w:val="18"/>
              </w:rPr>
              <w:t>14</w:t>
            </w:r>
          </w:p>
        </w:tc>
        <w:tc>
          <w:tcPr>
            <w:tcW w:w="1247" w:type="dxa"/>
            <w:vAlign w:val="top"/>
          </w:tcPr>
          <w:p w14:paraId="02794DB8">
            <w:pPr>
              <w:spacing w:before="115" w:line="188" w:lineRule="auto"/>
              <w:ind w:left="42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0.094</w:t>
            </w:r>
          </w:p>
        </w:tc>
        <w:tc>
          <w:tcPr>
            <w:tcW w:w="3105" w:type="dxa"/>
            <w:gridSpan w:val="3"/>
            <w:vMerge w:val="continue"/>
            <w:tcBorders>
              <w:top w:val="nil"/>
            </w:tcBorders>
            <w:vAlign w:val="top"/>
          </w:tcPr>
          <w:p w14:paraId="2E4F6A0C">
            <w:pPr>
              <w:rPr>
                <w:rFonts w:ascii="Arial"/>
                <w:sz w:val="21"/>
              </w:rPr>
            </w:pPr>
          </w:p>
        </w:tc>
        <w:tc>
          <w:tcPr>
            <w:tcW w:w="1230" w:type="dxa"/>
            <w:vAlign w:val="top"/>
          </w:tcPr>
          <w:p w14:paraId="6B13CBEC">
            <w:pPr>
              <w:spacing w:before="115" w:line="188" w:lineRule="auto"/>
              <w:ind w:left="416"/>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0.094</w:t>
            </w:r>
          </w:p>
        </w:tc>
        <w:tc>
          <w:tcPr>
            <w:tcW w:w="1060" w:type="dxa"/>
            <w:vMerge w:val="continue"/>
            <w:tcBorders>
              <w:top w:val="nil"/>
            </w:tcBorders>
            <w:vAlign w:val="top"/>
          </w:tcPr>
          <w:p w14:paraId="29694FCD">
            <w:pPr>
              <w:rPr>
                <w:rFonts w:ascii="Arial"/>
                <w:sz w:val="21"/>
              </w:rPr>
            </w:pPr>
          </w:p>
        </w:tc>
        <w:tc>
          <w:tcPr>
            <w:tcW w:w="1674" w:type="dxa"/>
            <w:vMerge w:val="continue"/>
            <w:tcBorders>
              <w:top w:val="nil"/>
            </w:tcBorders>
            <w:vAlign w:val="top"/>
          </w:tcPr>
          <w:p w14:paraId="725AB79C">
            <w:pPr>
              <w:rPr>
                <w:rFonts w:ascii="Arial"/>
                <w:sz w:val="21"/>
              </w:rPr>
            </w:pPr>
          </w:p>
        </w:tc>
        <w:tc>
          <w:tcPr>
            <w:tcW w:w="1004" w:type="dxa"/>
            <w:vMerge w:val="continue"/>
            <w:tcBorders>
              <w:top w:val="nil"/>
            </w:tcBorders>
            <w:vAlign w:val="top"/>
          </w:tcPr>
          <w:p w14:paraId="283D5F9F">
            <w:pPr>
              <w:rPr>
                <w:rFonts w:ascii="Arial"/>
                <w:sz w:val="21"/>
              </w:rPr>
            </w:pPr>
          </w:p>
        </w:tc>
        <w:tc>
          <w:tcPr>
            <w:tcW w:w="2504" w:type="dxa"/>
            <w:vMerge w:val="continue"/>
            <w:tcBorders>
              <w:top w:val="nil"/>
              <w:right w:val="nil"/>
            </w:tcBorders>
            <w:vAlign w:val="top"/>
          </w:tcPr>
          <w:p w14:paraId="6E6F50C5">
            <w:pPr>
              <w:rPr>
                <w:rFonts w:ascii="Arial"/>
                <w:sz w:val="21"/>
              </w:rPr>
            </w:pPr>
          </w:p>
        </w:tc>
      </w:tr>
      <w:tr w14:paraId="41B52DE5">
        <w:tblPrEx>
          <w:tblCellMar>
            <w:top w:w="0" w:type="dxa"/>
            <w:left w:w="0" w:type="dxa"/>
            <w:bottom w:w="0" w:type="dxa"/>
            <w:right w:w="0" w:type="dxa"/>
          </w:tblCellMar>
        </w:tblPrEx>
        <w:trPr>
          <w:trHeight w:val="334" w:hRule="atLeast"/>
        </w:trPr>
        <w:tc>
          <w:tcPr>
            <w:tcW w:w="730" w:type="dxa"/>
            <w:vMerge w:val="restart"/>
            <w:tcBorders>
              <w:top w:val="nil"/>
              <w:left w:val="nil"/>
              <w:bottom w:val="nil"/>
            </w:tcBorders>
            <w:vAlign w:val="top"/>
          </w:tcPr>
          <w:p w14:paraId="40E4997F">
            <w:pPr>
              <w:rPr>
                <w:rFonts w:ascii="Arial"/>
                <w:sz w:val="21"/>
              </w:rPr>
            </w:pPr>
          </w:p>
        </w:tc>
        <w:tc>
          <w:tcPr>
            <w:tcW w:w="1060" w:type="dxa"/>
            <w:vAlign w:val="top"/>
          </w:tcPr>
          <w:p w14:paraId="170AA7D6">
            <w:pPr>
              <w:spacing w:before="109" w:line="199" w:lineRule="auto"/>
              <w:ind w:left="397"/>
              <w:rPr>
                <w:rFonts w:ascii="Times New Roman" w:hAnsi="Times New Roman" w:eastAsia="Times New Roman" w:cs="Times New Roman"/>
                <w:sz w:val="13"/>
                <w:szCs w:val="13"/>
              </w:rPr>
            </w:pPr>
            <w:r>
              <w:rPr>
                <w:rFonts w:ascii="Times New Roman" w:hAnsi="Times New Roman" w:eastAsia="Times New Roman" w:cs="Times New Roman"/>
                <w:spacing w:val="5"/>
                <w:sz w:val="20"/>
                <w:szCs w:val="20"/>
              </w:rPr>
              <w:t>W</w:t>
            </w:r>
            <w:r>
              <w:rPr>
                <w:rFonts w:ascii="Times New Roman" w:hAnsi="Times New Roman" w:eastAsia="Times New Roman" w:cs="Times New Roman"/>
                <w:spacing w:val="5"/>
                <w:position w:val="-1"/>
                <w:sz w:val="13"/>
                <w:szCs w:val="13"/>
              </w:rPr>
              <w:t>4</w:t>
            </w:r>
          </w:p>
        </w:tc>
        <w:tc>
          <w:tcPr>
            <w:tcW w:w="2047" w:type="dxa"/>
            <w:vAlign w:val="top"/>
          </w:tcPr>
          <w:p w14:paraId="5274FAAD">
            <w:pPr>
              <w:pStyle w:val="6"/>
              <w:spacing w:before="85" w:line="219" w:lineRule="auto"/>
              <w:ind w:left="40"/>
              <w:rPr>
                <w:sz w:val="18"/>
                <w:szCs w:val="18"/>
              </w:rPr>
            </w:pPr>
            <w:r>
              <w:rPr>
                <w:spacing w:val="-1"/>
                <w:sz w:val="18"/>
                <w:szCs w:val="18"/>
              </w:rPr>
              <w:t>设备冷却循环水系统排污</w:t>
            </w:r>
          </w:p>
        </w:tc>
        <w:tc>
          <w:tcPr>
            <w:tcW w:w="1781" w:type="dxa"/>
            <w:vAlign w:val="top"/>
          </w:tcPr>
          <w:p w14:paraId="4463AA3D">
            <w:pPr>
              <w:pStyle w:val="6"/>
              <w:spacing w:before="116" w:line="180" w:lineRule="auto"/>
              <w:ind w:left="532"/>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TDS</w:t>
            </w:r>
            <w:r>
              <w:rPr>
                <w:rFonts w:ascii="Times New Roman" w:hAnsi="Times New Roman" w:eastAsia="Times New Roman" w:cs="Times New Roman"/>
                <w:spacing w:val="-20"/>
                <w:sz w:val="18"/>
                <w:szCs w:val="18"/>
              </w:rPr>
              <w:t xml:space="preserve"> </w:t>
            </w:r>
            <w:r>
              <w:rPr>
                <w:spacing w:val="-5"/>
                <w:sz w:val="18"/>
                <w:szCs w:val="18"/>
              </w:rPr>
              <w:t>、</w:t>
            </w:r>
            <w:r>
              <w:rPr>
                <w:rFonts w:ascii="Times New Roman" w:hAnsi="Times New Roman" w:eastAsia="Times New Roman" w:cs="Times New Roman"/>
                <w:spacing w:val="-5"/>
                <w:sz w:val="18"/>
                <w:szCs w:val="18"/>
              </w:rPr>
              <w:t>SS</w:t>
            </w:r>
          </w:p>
        </w:tc>
        <w:tc>
          <w:tcPr>
            <w:tcW w:w="2416" w:type="dxa"/>
            <w:vAlign w:val="top"/>
          </w:tcPr>
          <w:p w14:paraId="1470A808">
            <w:pPr>
              <w:pStyle w:val="6"/>
              <w:spacing w:before="85" w:line="219" w:lineRule="auto"/>
              <w:ind w:left="402"/>
              <w:rPr>
                <w:sz w:val="18"/>
                <w:szCs w:val="18"/>
              </w:rPr>
            </w:pPr>
            <w:r>
              <w:rPr>
                <w:spacing w:val="-1"/>
                <w:sz w:val="18"/>
                <w:szCs w:val="18"/>
              </w:rPr>
              <w:t>补充到浊循环水系统</w:t>
            </w:r>
          </w:p>
        </w:tc>
        <w:tc>
          <w:tcPr>
            <w:tcW w:w="1327" w:type="dxa"/>
            <w:vAlign w:val="top"/>
          </w:tcPr>
          <w:p w14:paraId="4B0007EC">
            <w:pPr>
              <w:spacing w:before="113"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076C66A1">
            <w:pPr>
              <w:spacing w:before="113" w:line="192" w:lineRule="auto"/>
              <w:ind w:left="59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3105" w:type="dxa"/>
            <w:gridSpan w:val="3"/>
            <w:vMerge w:val="restart"/>
            <w:tcBorders>
              <w:bottom w:val="nil"/>
            </w:tcBorders>
            <w:vAlign w:val="top"/>
          </w:tcPr>
          <w:p w14:paraId="34F92472">
            <w:pPr>
              <w:pStyle w:val="6"/>
              <w:spacing w:before="256" w:line="220" w:lineRule="auto"/>
              <w:ind w:left="838"/>
              <w:rPr>
                <w:sz w:val="18"/>
                <w:szCs w:val="18"/>
              </w:rPr>
            </w:pPr>
            <w:r>
              <w:rPr>
                <w:spacing w:val="-2"/>
                <w:sz w:val="18"/>
                <w:szCs w:val="18"/>
              </w:rPr>
              <w:t>综合利用，不外排</w:t>
            </w:r>
          </w:p>
        </w:tc>
        <w:tc>
          <w:tcPr>
            <w:tcW w:w="1230" w:type="dxa"/>
            <w:vAlign w:val="top"/>
          </w:tcPr>
          <w:p w14:paraId="73AA2222">
            <w:pPr>
              <w:spacing w:before="113"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05392961">
            <w:pPr>
              <w:spacing w:before="113"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5AFA4587">
            <w:pPr>
              <w:spacing w:before="113"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4013EB80">
            <w:pPr>
              <w:spacing w:before="113"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tcBorders>
              <w:right w:val="nil"/>
            </w:tcBorders>
            <w:vAlign w:val="top"/>
          </w:tcPr>
          <w:p w14:paraId="0D907B27">
            <w:pPr>
              <w:spacing w:before="113" w:line="192" w:lineRule="auto"/>
              <w:ind w:left="122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4BC6B4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continue"/>
            <w:tcBorders>
              <w:top w:val="nil"/>
              <w:left w:val="nil"/>
            </w:tcBorders>
            <w:vAlign w:val="top"/>
          </w:tcPr>
          <w:p w14:paraId="76863826">
            <w:pPr>
              <w:rPr>
                <w:rFonts w:ascii="Arial"/>
                <w:sz w:val="21"/>
              </w:rPr>
            </w:pPr>
          </w:p>
        </w:tc>
        <w:tc>
          <w:tcPr>
            <w:tcW w:w="1060" w:type="dxa"/>
            <w:vAlign w:val="top"/>
          </w:tcPr>
          <w:p w14:paraId="5828CAF4">
            <w:pPr>
              <w:spacing w:before="110" w:line="199" w:lineRule="auto"/>
              <w:ind w:left="397"/>
              <w:rPr>
                <w:rFonts w:ascii="Times New Roman" w:hAnsi="Times New Roman" w:eastAsia="Times New Roman" w:cs="Times New Roman"/>
                <w:sz w:val="13"/>
                <w:szCs w:val="13"/>
              </w:rPr>
            </w:pPr>
            <w:r>
              <w:rPr>
                <w:rFonts w:ascii="Times New Roman" w:hAnsi="Times New Roman" w:eastAsia="Times New Roman" w:cs="Times New Roman"/>
                <w:spacing w:val="5"/>
                <w:sz w:val="20"/>
                <w:szCs w:val="20"/>
              </w:rPr>
              <w:t>W</w:t>
            </w:r>
            <w:r>
              <w:rPr>
                <w:rFonts w:ascii="Times New Roman" w:hAnsi="Times New Roman" w:eastAsia="Times New Roman" w:cs="Times New Roman"/>
                <w:spacing w:val="5"/>
                <w:position w:val="-1"/>
                <w:sz w:val="13"/>
                <w:szCs w:val="13"/>
              </w:rPr>
              <w:t>5</w:t>
            </w:r>
          </w:p>
        </w:tc>
        <w:tc>
          <w:tcPr>
            <w:tcW w:w="2047" w:type="dxa"/>
            <w:vAlign w:val="top"/>
          </w:tcPr>
          <w:p w14:paraId="1D40F8F8">
            <w:pPr>
              <w:pStyle w:val="6"/>
              <w:spacing w:before="87" w:line="219" w:lineRule="auto"/>
              <w:ind w:left="490"/>
              <w:rPr>
                <w:sz w:val="18"/>
                <w:szCs w:val="18"/>
              </w:rPr>
            </w:pPr>
            <w:r>
              <w:rPr>
                <w:spacing w:val="-2"/>
                <w:sz w:val="18"/>
                <w:szCs w:val="18"/>
              </w:rPr>
              <w:t>软水制备排污</w:t>
            </w:r>
          </w:p>
        </w:tc>
        <w:tc>
          <w:tcPr>
            <w:tcW w:w="1781" w:type="dxa"/>
            <w:vAlign w:val="top"/>
          </w:tcPr>
          <w:p w14:paraId="3F29CA62">
            <w:pPr>
              <w:pStyle w:val="6"/>
              <w:spacing w:before="118" w:line="180" w:lineRule="auto"/>
              <w:ind w:left="532"/>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TDS</w:t>
            </w:r>
            <w:r>
              <w:rPr>
                <w:rFonts w:ascii="Times New Roman" w:hAnsi="Times New Roman" w:eastAsia="Times New Roman" w:cs="Times New Roman"/>
                <w:spacing w:val="-20"/>
                <w:sz w:val="18"/>
                <w:szCs w:val="18"/>
              </w:rPr>
              <w:t xml:space="preserve"> </w:t>
            </w:r>
            <w:r>
              <w:rPr>
                <w:spacing w:val="-5"/>
                <w:sz w:val="18"/>
                <w:szCs w:val="18"/>
              </w:rPr>
              <w:t>、</w:t>
            </w:r>
            <w:r>
              <w:rPr>
                <w:rFonts w:ascii="Times New Roman" w:hAnsi="Times New Roman" w:eastAsia="Times New Roman" w:cs="Times New Roman"/>
                <w:spacing w:val="-5"/>
                <w:sz w:val="18"/>
                <w:szCs w:val="18"/>
              </w:rPr>
              <w:t>SS</w:t>
            </w:r>
          </w:p>
        </w:tc>
        <w:tc>
          <w:tcPr>
            <w:tcW w:w="2416" w:type="dxa"/>
            <w:vAlign w:val="top"/>
          </w:tcPr>
          <w:p w14:paraId="796A1D61">
            <w:pPr>
              <w:pStyle w:val="6"/>
              <w:spacing w:before="87" w:line="219" w:lineRule="auto"/>
              <w:ind w:left="402"/>
              <w:rPr>
                <w:sz w:val="18"/>
                <w:szCs w:val="18"/>
              </w:rPr>
            </w:pPr>
            <w:r>
              <w:rPr>
                <w:spacing w:val="-1"/>
                <w:sz w:val="18"/>
                <w:szCs w:val="18"/>
              </w:rPr>
              <w:t>补充到浊循环水系统</w:t>
            </w:r>
          </w:p>
        </w:tc>
        <w:tc>
          <w:tcPr>
            <w:tcW w:w="1327" w:type="dxa"/>
            <w:vAlign w:val="top"/>
          </w:tcPr>
          <w:p w14:paraId="229A1FCE">
            <w:pPr>
              <w:spacing w:before="115"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1E12BA24">
            <w:pPr>
              <w:spacing w:before="115" w:line="192" w:lineRule="auto"/>
              <w:ind w:left="59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3105" w:type="dxa"/>
            <w:gridSpan w:val="3"/>
            <w:vMerge w:val="continue"/>
            <w:tcBorders>
              <w:top w:val="nil"/>
            </w:tcBorders>
            <w:vAlign w:val="top"/>
          </w:tcPr>
          <w:p w14:paraId="684D3473">
            <w:pPr>
              <w:rPr>
                <w:rFonts w:ascii="Arial"/>
                <w:sz w:val="21"/>
              </w:rPr>
            </w:pPr>
          </w:p>
        </w:tc>
        <w:tc>
          <w:tcPr>
            <w:tcW w:w="1230" w:type="dxa"/>
            <w:vAlign w:val="top"/>
          </w:tcPr>
          <w:p w14:paraId="0399EED4">
            <w:pPr>
              <w:spacing w:before="115"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0A81A089">
            <w:pPr>
              <w:spacing w:before="115"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722835EA">
            <w:pPr>
              <w:spacing w:before="115"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04F43296">
            <w:pPr>
              <w:spacing w:before="115"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tcBorders>
              <w:right w:val="nil"/>
            </w:tcBorders>
            <w:vAlign w:val="top"/>
          </w:tcPr>
          <w:p w14:paraId="1580F6FE">
            <w:pPr>
              <w:spacing w:before="115" w:line="192" w:lineRule="auto"/>
              <w:ind w:left="122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r w14:paraId="4A5831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730" w:type="dxa"/>
            <w:tcBorders>
              <w:left w:val="nil"/>
            </w:tcBorders>
            <w:vAlign w:val="top"/>
          </w:tcPr>
          <w:p w14:paraId="16F84A25">
            <w:pPr>
              <w:pStyle w:val="6"/>
              <w:spacing w:before="242" w:line="220" w:lineRule="auto"/>
              <w:ind w:left="196"/>
              <w:rPr>
                <w:sz w:val="18"/>
                <w:szCs w:val="18"/>
              </w:rPr>
            </w:pPr>
            <w:r>
              <w:rPr>
                <w:spacing w:val="-8"/>
                <w:sz w:val="18"/>
                <w:szCs w:val="18"/>
              </w:rPr>
              <w:t>噪声</w:t>
            </w:r>
          </w:p>
        </w:tc>
        <w:tc>
          <w:tcPr>
            <w:tcW w:w="1060" w:type="dxa"/>
            <w:vAlign w:val="top"/>
          </w:tcPr>
          <w:p w14:paraId="67AC864E">
            <w:pPr>
              <w:spacing w:before="268"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047" w:type="dxa"/>
            <w:vAlign w:val="top"/>
          </w:tcPr>
          <w:p w14:paraId="54FFC168">
            <w:pPr>
              <w:pStyle w:val="6"/>
              <w:spacing w:before="243" w:line="219" w:lineRule="auto"/>
              <w:ind w:left="220"/>
              <w:rPr>
                <w:sz w:val="18"/>
                <w:szCs w:val="18"/>
              </w:rPr>
            </w:pPr>
            <w:r>
              <w:rPr>
                <w:spacing w:val="-2"/>
                <w:sz w:val="18"/>
                <w:szCs w:val="18"/>
              </w:rPr>
              <w:t>设备运转及运输噪声</w:t>
            </w:r>
          </w:p>
        </w:tc>
        <w:tc>
          <w:tcPr>
            <w:tcW w:w="1781" w:type="dxa"/>
            <w:vAlign w:val="top"/>
          </w:tcPr>
          <w:p w14:paraId="179A9308">
            <w:pPr>
              <w:pStyle w:val="6"/>
              <w:spacing w:before="242" w:line="220" w:lineRule="auto"/>
              <w:ind w:left="722"/>
              <w:rPr>
                <w:sz w:val="18"/>
                <w:szCs w:val="18"/>
              </w:rPr>
            </w:pPr>
            <w:r>
              <w:rPr>
                <w:spacing w:val="-8"/>
                <w:sz w:val="18"/>
                <w:szCs w:val="18"/>
              </w:rPr>
              <w:t>噪声</w:t>
            </w:r>
          </w:p>
        </w:tc>
        <w:tc>
          <w:tcPr>
            <w:tcW w:w="2416" w:type="dxa"/>
            <w:vAlign w:val="top"/>
          </w:tcPr>
          <w:p w14:paraId="50D7CB1B">
            <w:pPr>
              <w:pStyle w:val="6"/>
              <w:spacing w:before="84" w:line="281" w:lineRule="auto"/>
              <w:ind w:left="1033" w:right="35" w:hanging="991"/>
              <w:rPr>
                <w:sz w:val="18"/>
                <w:szCs w:val="18"/>
              </w:rPr>
            </w:pPr>
            <w:r>
              <w:rPr>
                <w:spacing w:val="-1"/>
                <w:sz w:val="18"/>
                <w:szCs w:val="18"/>
              </w:rPr>
              <w:t>减震、隔声、绿化及加装消声</w:t>
            </w:r>
            <w:r>
              <w:rPr>
                <w:spacing w:val="4"/>
                <w:sz w:val="18"/>
                <w:szCs w:val="18"/>
              </w:rPr>
              <w:t xml:space="preserve"> </w:t>
            </w:r>
            <w:r>
              <w:rPr>
                <w:spacing w:val="-4"/>
                <w:sz w:val="18"/>
                <w:szCs w:val="18"/>
              </w:rPr>
              <w:t>器等</w:t>
            </w:r>
          </w:p>
        </w:tc>
        <w:tc>
          <w:tcPr>
            <w:tcW w:w="1327" w:type="dxa"/>
            <w:vAlign w:val="top"/>
          </w:tcPr>
          <w:p w14:paraId="6A8E0DA6">
            <w:pPr>
              <w:pStyle w:val="6"/>
              <w:spacing w:before="242" w:line="232" w:lineRule="auto"/>
              <w:ind w:left="84"/>
              <w:rPr>
                <w:sz w:val="18"/>
                <w:szCs w:val="18"/>
              </w:rPr>
            </w:pPr>
            <w:r>
              <w:rPr>
                <w:rFonts w:ascii="Times New Roman" w:hAnsi="Times New Roman" w:eastAsia="Times New Roman" w:cs="Times New Roman"/>
                <w:spacing w:val="-1"/>
                <w:sz w:val="18"/>
                <w:szCs w:val="18"/>
              </w:rPr>
              <w:t>40~55dB</w:t>
            </w:r>
            <w:r>
              <w:rPr>
                <w:spacing w:val="-1"/>
                <w:sz w:val="18"/>
                <w:szCs w:val="18"/>
              </w:rPr>
              <w:t>（</w:t>
            </w:r>
            <w:r>
              <w:rPr>
                <w:rFonts w:ascii="Times New Roman" w:hAnsi="Times New Roman" w:eastAsia="Times New Roman" w:cs="Times New Roman"/>
                <w:spacing w:val="-1"/>
                <w:sz w:val="18"/>
                <w:szCs w:val="18"/>
              </w:rPr>
              <w:t>A</w:t>
            </w:r>
            <w:r>
              <w:rPr>
                <w:spacing w:val="-1"/>
                <w:sz w:val="18"/>
                <w:szCs w:val="18"/>
              </w:rPr>
              <w:t>）</w:t>
            </w:r>
          </w:p>
        </w:tc>
        <w:tc>
          <w:tcPr>
            <w:tcW w:w="1247" w:type="dxa"/>
            <w:vAlign w:val="top"/>
          </w:tcPr>
          <w:p w14:paraId="6D60F544">
            <w:pPr>
              <w:spacing w:before="268" w:line="192" w:lineRule="auto"/>
              <w:ind w:left="59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3105" w:type="dxa"/>
            <w:gridSpan w:val="3"/>
            <w:vAlign w:val="top"/>
          </w:tcPr>
          <w:p w14:paraId="2359A966">
            <w:pPr>
              <w:pStyle w:val="6"/>
              <w:spacing w:before="242" w:line="220" w:lineRule="auto"/>
              <w:ind w:left="1198"/>
              <w:rPr>
                <w:sz w:val="18"/>
                <w:szCs w:val="18"/>
              </w:rPr>
            </w:pPr>
            <w:r>
              <w:rPr>
                <w:spacing w:val="-3"/>
                <w:sz w:val="18"/>
                <w:szCs w:val="18"/>
              </w:rPr>
              <w:t>厂界监控</w:t>
            </w:r>
          </w:p>
        </w:tc>
        <w:tc>
          <w:tcPr>
            <w:tcW w:w="1230" w:type="dxa"/>
            <w:vAlign w:val="top"/>
          </w:tcPr>
          <w:p w14:paraId="23E310AB">
            <w:pPr>
              <w:spacing w:before="268"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33A117A1">
            <w:pPr>
              <w:pStyle w:val="6"/>
              <w:spacing w:before="242" w:line="220" w:lineRule="auto"/>
              <w:ind w:left="357"/>
              <w:rPr>
                <w:sz w:val="18"/>
                <w:szCs w:val="18"/>
              </w:rPr>
            </w:pPr>
            <w:r>
              <w:rPr>
                <w:spacing w:val="-5"/>
                <w:sz w:val="18"/>
                <w:szCs w:val="18"/>
              </w:rPr>
              <w:t>厂界</w:t>
            </w:r>
          </w:p>
        </w:tc>
        <w:tc>
          <w:tcPr>
            <w:tcW w:w="1674" w:type="dxa"/>
            <w:vAlign w:val="top"/>
          </w:tcPr>
          <w:p w14:paraId="19010091">
            <w:pPr>
              <w:pStyle w:val="6"/>
              <w:spacing w:before="243" w:line="219" w:lineRule="auto"/>
              <w:ind w:left="191"/>
              <w:rPr>
                <w:sz w:val="18"/>
                <w:szCs w:val="18"/>
              </w:rPr>
            </w:pPr>
            <w:r>
              <w:rPr>
                <w:spacing w:val="-3"/>
                <w:sz w:val="18"/>
                <w:szCs w:val="18"/>
              </w:rPr>
              <w:t>连续等效</w:t>
            </w:r>
            <w:r>
              <w:rPr>
                <w:spacing w:val="-43"/>
                <w:sz w:val="18"/>
                <w:szCs w:val="18"/>
              </w:rPr>
              <w:t xml:space="preserve"> </w:t>
            </w:r>
            <w:r>
              <w:rPr>
                <w:rFonts w:ascii="Times New Roman" w:hAnsi="Times New Roman" w:eastAsia="Times New Roman" w:cs="Times New Roman"/>
                <w:spacing w:val="-3"/>
                <w:sz w:val="18"/>
                <w:szCs w:val="18"/>
              </w:rPr>
              <w:t>A</w:t>
            </w:r>
            <w:r>
              <w:rPr>
                <w:rFonts w:ascii="Times New Roman" w:hAnsi="Times New Roman" w:eastAsia="Times New Roman" w:cs="Times New Roman"/>
                <w:spacing w:val="11"/>
                <w:sz w:val="18"/>
                <w:szCs w:val="18"/>
              </w:rPr>
              <w:t xml:space="preserve"> </w:t>
            </w:r>
            <w:r>
              <w:rPr>
                <w:spacing w:val="-3"/>
                <w:sz w:val="18"/>
                <w:szCs w:val="18"/>
              </w:rPr>
              <w:t>声级</w:t>
            </w:r>
          </w:p>
        </w:tc>
        <w:tc>
          <w:tcPr>
            <w:tcW w:w="1004" w:type="dxa"/>
            <w:vAlign w:val="top"/>
          </w:tcPr>
          <w:p w14:paraId="598D7D12">
            <w:pPr>
              <w:pStyle w:val="6"/>
              <w:spacing w:before="243" w:line="219" w:lineRule="auto"/>
              <w:ind w:left="146"/>
              <w:rPr>
                <w:sz w:val="18"/>
                <w:szCs w:val="18"/>
              </w:rPr>
            </w:pPr>
            <w:r>
              <w:rPr>
                <w:spacing w:val="-8"/>
                <w:sz w:val="18"/>
                <w:szCs w:val="18"/>
              </w:rPr>
              <w:t>每季</w:t>
            </w:r>
            <w:r>
              <w:rPr>
                <w:spacing w:val="-21"/>
                <w:sz w:val="18"/>
                <w:szCs w:val="18"/>
              </w:rPr>
              <w:t xml:space="preserve"> </w:t>
            </w:r>
            <w:r>
              <w:rPr>
                <w:rFonts w:ascii="Times New Roman" w:hAnsi="Times New Roman" w:eastAsia="Times New Roman" w:cs="Times New Roman"/>
                <w:spacing w:val="-8"/>
                <w:sz w:val="18"/>
                <w:szCs w:val="18"/>
              </w:rPr>
              <w:t>1</w:t>
            </w:r>
            <w:r>
              <w:rPr>
                <w:rFonts w:ascii="Times New Roman" w:hAnsi="Times New Roman" w:eastAsia="Times New Roman" w:cs="Times New Roman"/>
                <w:spacing w:val="11"/>
                <w:w w:val="101"/>
                <w:sz w:val="18"/>
                <w:szCs w:val="18"/>
              </w:rPr>
              <w:t xml:space="preserve"> </w:t>
            </w:r>
            <w:r>
              <w:rPr>
                <w:spacing w:val="-8"/>
                <w:sz w:val="18"/>
                <w:szCs w:val="18"/>
              </w:rPr>
              <w:t>次</w:t>
            </w:r>
          </w:p>
        </w:tc>
        <w:tc>
          <w:tcPr>
            <w:tcW w:w="2504" w:type="dxa"/>
            <w:tcBorders>
              <w:right w:val="nil"/>
            </w:tcBorders>
            <w:vAlign w:val="top"/>
          </w:tcPr>
          <w:p w14:paraId="0E7985F3">
            <w:pPr>
              <w:pStyle w:val="6"/>
              <w:spacing w:before="243" w:line="219" w:lineRule="auto"/>
              <w:ind w:left="336"/>
              <w:rPr>
                <w:sz w:val="18"/>
                <w:szCs w:val="18"/>
              </w:rPr>
            </w:pPr>
            <w:r>
              <w:rPr>
                <w:rFonts w:ascii="Times New Roman" w:hAnsi="Times New Roman" w:eastAsia="Times New Roman" w:cs="Times New Roman"/>
                <w:spacing w:val="-1"/>
                <w:sz w:val="18"/>
                <w:szCs w:val="18"/>
              </w:rPr>
              <w:t xml:space="preserve">GB12348-2008 3 </w:t>
            </w:r>
            <w:r>
              <w:rPr>
                <w:spacing w:val="-1"/>
                <w:sz w:val="18"/>
                <w:szCs w:val="18"/>
              </w:rPr>
              <w:t>类标准</w:t>
            </w:r>
          </w:p>
        </w:tc>
      </w:tr>
      <w:tr w14:paraId="0A5594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730" w:type="dxa"/>
            <w:vMerge w:val="restart"/>
            <w:tcBorders>
              <w:left w:val="nil"/>
              <w:bottom w:val="nil"/>
            </w:tcBorders>
            <w:vAlign w:val="top"/>
          </w:tcPr>
          <w:p w14:paraId="6BECBB50">
            <w:pPr>
              <w:spacing w:line="242" w:lineRule="auto"/>
              <w:rPr>
                <w:rFonts w:ascii="Arial"/>
                <w:sz w:val="21"/>
              </w:rPr>
            </w:pPr>
          </w:p>
          <w:p w14:paraId="2ED8945A">
            <w:pPr>
              <w:spacing w:line="242" w:lineRule="auto"/>
              <w:rPr>
                <w:rFonts w:ascii="Arial"/>
                <w:sz w:val="21"/>
              </w:rPr>
            </w:pPr>
          </w:p>
          <w:p w14:paraId="497521DE">
            <w:pPr>
              <w:spacing w:line="242" w:lineRule="auto"/>
              <w:rPr>
                <w:rFonts w:ascii="Arial"/>
                <w:sz w:val="21"/>
              </w:rPr>
            </w:pPr>
          </w:p>
          <w:p w14:paraId="005B6077">
            <w:pPr>
              <w:spacing w:line="242" w:lineRule="auto"/>
              <w:rPr>
                <w:rFonts w:ascii="Arial"/>
                <w:sz w:val="21"/>
              </w:rPr>
            </w:pPr>
          </w:p>
          <w:p w14:paraId="3677948E">
            <w:pPr>
              <w:spacing w:line="242" w:lineRule="auto"/>
              <w:rPr>
                <w:rFonts w:ascii="Arial"/>
                <w:sz w:val="21"/>
              </w:rPr>
            </w:pPr>
          </w:p>
          <w:p w14:paraId="51E5DFAE">
            <w:pPr>
              <w:spacing w:line="243" w:lineRule="auto"/>
              <w:rPr>
                <w:rFonts w:ascii="Arial"/>
                <w:sz w:val="21"/>
              </w:rPr>
            </w:pPr>
          </w:p>
          <w:p w14:paraId="446F241C">
            <w:pPr>
              <w:spacing w:line="243" w:lineRule="auto"/>
              <w:rPr>
                <w:rFonts w:ascii="Arial"/>
                <w:sz w:val="21"/>
              </w:rPr>
            </w:pPr>
          </w:p>
          <w:p w14:paraId="055C9C84">
            <w:pPr>
              <w:spacing w:line="243" w:lineRule="auto"/>
              <w:rPr>
                <w:rFonts w:ascii="Arial"/>
                <w:sz w:val="21"/>
              </w:rPr>
            </w:pPr>
          </w:p>
          <w:p w14:paraId="1F62891F">
            <w:pPr>
              <w:spacing w:line="243" w:lineRule="auto"/>
              <w:rPr>
                <w:rFonts w:ascii="Arial"/>
                <w:sz w:val="21"/>
              </w:rPr>
            </w:pPr>
          </w:p>
          <w:p w14:paraId="0405F610">
            <w:pPr>
              <w:spacing w:line="243" w:lineRule="auto"/>
              <w:rPr>
                <w:rFonts w:ascii="Arial"/>
                <w:sz w:val="21"/>
              </w:rPr>
            </w:pPr>
          </w:p>
          <w:p w14:paraId="16F7B6AC">
            <w:pPr>
              <w:spacing w:line="243" w:lineRule="auto"/>
              <w:rPr>
                <w:rFonts w:ascii="Arial"/>
                <w:sz w:val="21"/>
              </w:rPr>
            </w:pPr>
          </w:p>
          <w:p w14:paraId="7A40E54D">
            <w:pPr>
              <w:spacing w:line="243" w:lineRule="auto"/>
              <w:rPr>
                <w:rFonts w:ascii="Arial"/>
                <w:sz w:val="21"/>
              </w:rPr>
            </w:pPr>
          </w:p>
          <w:p w14:paraId="3F26396B">
            <w:pPr>
              <w:spacing w:line="243" w:lineRule="auto"/>
              <w:rPr>
                <w:rFonts w:ascii="Arial"/>
                <w:sz w:val="21"/>
              </w:rPr>
            </w:pPr>
          </w:p>
          <w:p w14:paraId="6409A0D3">
            <w:pPr>
              <w:spacing w:line="243" w:lineRule="auto"/>
              <w:rPr>
                <w:rFonts w:ascii="Arial"/>
                <w:sz w:val="21"/>
              </w:rPr>
            </w:pPr>
          </w:p>
          <w:p w14:paraId="58EB11B8">
            <w:pPr>
              <w:spacing w:line="243" w:lineRule="auto"/>
              <w:rPr>
                <w:rFonts w:ascii="Arial"/>
                <w:sz w:val="21"/>
              </w:rPr>
            </w:pPr>
          </w:p>
          <w:p w14:paraId="482C9644">
            <w:pPr>
              <w:pStyle w:val="6"/>
              <w:spacing w:before="58" w:line="220" w:lineRule="auto"/>
              <w:ind w:left="203"/>
              <w:rPr>
                <w:sz w:val="18"/>
                <w:szCs w:val="18"/>
              </w:rPr>
            </w:pPr>
            <w:r>
              <w:rPr>
                <w:spacing w:val="-12"/>
                <w:sz w:val="18"/>
                <w:szCs w:val="18"/>
              </w:rPr>
              <w:t>固废</w:t>
            </w:r>
          </w:p>
        </w:tc>
        <w:tc>
          <w:tcPr>
            <w:tcW w:w="1060" w:type="dxa"/>
            <w:vAlign w:val="top"/>
          </w:tcPr>
          <w:p w14:paraId="4662E523">
            <w:pPr>
              <w:spacing w:before="272" w:line="202" w:lineRule="auto"/>
              <w:ind w:left="410"/>
              <w:rPr>
                <w:rFonts w:ascii="Times New Roman" w:hAnsi="Times New Roman" w:eastAsia="Times New Roman" w:cs="Times New Roman"/>
                <w:sz w:val="11"/>
                <w:szCs w:val="11"/>
              </w:rPr>
            </w:pPr>
            <w:r>
              <w:rPr>
                <w:rFonts w:ascii="Times New Roman" w:hAnsi="Times New Roman" w:eastAsia="Times New Roman" w:cs="Times New Roman"/>
                <w:spacing w:val="-2"/>
                <w:sz w:val="18"/>
                <w:szCs w:val="18"/>
              </w:rPr>
              <w:t>S</w:t>
            </w:r>
            <w:r>
              <w:rPr>
                <w:rFonts w:ascii="Times New Roman" w:hAnsi="Times New Roman" w:eastAsia="Times New Roman" w:cs="Times New Roman"/>
                <w:spacing w:val="-2"/>
                <w:sz w:val="11"/>
                <w:szCs w:val="11"/>
              </w:rPr>
              <w:t>1-</w:t>
            </w:r>
            <w:r>
              <w:rPr>
                <w:rFonts w:ascii="Times New Roman" w:hAnsi="Times New Roman" w:eastAsia="Times New Roman" w:cs="Times New Roman"/>
                <w:spacing w:val="-14"/>
                <w:sz w:val="11"/>
                <w:szCs w:val="11"/>
              </w:rPr>
              <w:t xml:space="preserve"> </w:t>
            </w:r>
            <w:r>
              <w:rPr>
                <w:rFonts w:ascii="Times New Roman" w:hAnsi="Times New Roman" w:eastAsia="Times New Roman" w:cs="Times New Roman"/>
                <w:spacing w:val="-2"/>
                <w:sz w:val="11"/>
                <w:szCs w:val="11"/>
              </w:rPr>
              <w:t>1</w:t>
            </w:r>
          </w:p>
        </w:tc>
        <w:tc>
          <w:tcPr>
            <w:tcW w:w="2047" w:type="dxa"/>
            <w:vMerge w:val="restart"/>
            <w:tcBorders>
              <w:bottom w:val="nil"/>
            </w:tcBorders>
            <w:vAlign w:val="top"/>
          </w:tcPr>
          <w:p w14:paraId="64AB268A">
            <w:pPr>
              <w:spacing w:line="255" w:lineRule="auto"/>
              <w:rPr>
                <w:rFonts w:ascii="Arial"/>
                <w:sz w:val="21"/>
              </w:rPr>
            </w:pPr>
          </w:p>
          <w:p w14:paraId="32E2600F">
            <w:pPr>
              <w:spacing w:line="255" w:lineRule="auto"/>
              <w:rPr>
                <w:rFonts w:ascii="Arial"/>
                <w:sz w:val="21"/>
              </w:rPr>
            </w:pPr>
          </w:p>
          <w:p w14:paraId="4BF0F172">
            <w:pPr>
              <w:spacing w:line="255" w:lineRule="auto"/>
              <w:rPr>
                <w:rFonts w:ascii="Arial"/>
                <w:sz w:val="21"/>
              </w:rPr>
            </w:pPr>
          </w:p>
          <w:p w14:paraId="4DF0918B">
            <w:pPr>
              <w:spacing w:line="255" w:lineRule="auto"/>
              <w:rPr>
                <w:rFonts w:ascii="Arial"/>
                <w:sz w:val="21"/>
              </w:rPr>
            </w:pPr>
          </w:p>
          <w:p w14:paraId="1587DBA1">
            <w:pPr>
              <w:spacing w:line="255" w:lineRule="auto"/>
              <w:rPr>
                <w:rFonts w:ascii="Arial"/>
                <w:sz w:val="21"/>
              </w:rPr>
            </w:pPr>
          </w:p>
          <w:p w14:paraId="36954D9A">
            <w:pPr>
              <w:spacing w:line="255" w:lineRule="auto"/>
              <w:rPr>
                <w:rFonts w:ascii="Arial"/>
                <w:sz w:val="21"/>
              </w:rPr>
            </w:pPr>
          </w:p>
          <w:p w14:paraId="6A5BD875">
            <w:pPr>
              <w:spacing w:line="255" w:lineRule="auto"/>
              <w:rPr>
                <w:rFonts w:ascii="Arial"/>
                <w:sz w:val="21"/>
              </w:rPr>
            </w:pPr>
          </w:p>
          <w:p w14:paraId="062C162F">
            <w:pPr>
              <w:spacing w:line="255" w:lineRule="auto"/>
              <w:rPr>
                <w:rFonts w:ascii="Arial"/>
                <w:sz w:val="21"/>
              </w:rPr>
            </w:pPr>
          </w:p>
          <w:p w14:paraId="7534DFB7">
            <w:pPr>
              <w:spacing w:line="255" w:lineRule="auto"/>
              <w:rPr>
                <w:rFonts w:ascii="Arial"/>
                <w:sz w:val="21"/>
              </w:rPr>
            </w:pPr>
          </w:p>
          <w:p w14:paraId="4EB34A54">
            <w:pPr>
              <w:spacing w:line="255" w:lineRule="auto"/>
              <w:rPr>
                <w:rFonts w:ascii="Arial"/>
                <w:sz w:val="21"/>
              </w:rPr>
            </w:pPr>
          </w:p>
          <w:p w14:paraId="58F1696A">
            <w:pPr>
              <w:spacing w:line="256" w:lineRule="auto"/>
              <w:rPr>
                <w:rFonts w:ascii="Arial"/>
                <w:sz w:val="21"/>
              </w:rPr>
            </w:pPr>
          </w:p>
          <w:p w14:paraId="6F73BF8D">
            <w:pPr>
              <w:spacing w:line="256" w:lineRule="auto"/>
              <w:rPr>
                <w:rFonts w:ascii="Arial"/>
                <w:sz w:val="21"/>
              </w:rPr>
            </w:pPr>
          </w:p>
          <w:p w14:paraId="2157CAFF">
            <w:pPr>
              <w:spacing w:line="256" w:lineRule="auto"/>
              <w:rPr>
                <w:rFonts w:ascii="Arial"/>
                <w:sz w:val="21"/>
              </w:rPr>
            </w:pPr>
          </w:p>
          <w:p w14:paraId="73863ACC">
            <w:pPr>
              <w:pStyle w:val="6"/>
              <w:spacing w:before="58" w:line="220" w:lineRule="auto"/>
              <w:ind w:left="671"/>
              <w:rPr>
                <w:sz w:val="18"/>
                <w:szCs w:val="18"/>
              </w:rPr>
            </w:pPr>
            <w:r>
              <w:rPr>
                <w:spacing w:val="-3"/>
                <w:sz w:val="18"/>
                <w:szCs w:val="18"/>
              </w:rPr>
              <w:t>一般固废</w:t>
            </w:r>
          </w:p>
        </w:tc>
        <w:tc>
          <w:tcPr>
            <w:tcW w:w="1781" w:type="dxa"/>
            <w:vAlign w:val="top"/>
          </w:tcPr>
          <w:p w14:paraId="0757835E">
            <w:pPr>
              <w:pStyle w:val="6"/>
              <w:spacing w:before="86" w:line="280" w:lineRule="auto"/>
              <w:ind w:left="720" w:right="77" w:hanging="635"/>
              <w:rPr>
                <w:sz w:val="18"/>
                <w:szCs w:val="18"/>
              </w:rPr>
            </w:pPr>
            <w:r>
              <w:rPr>
                <w:spacing w:val="-1"/>
                <w:sz w:val="18"/>
                <w:szCs w:val="18"/>
              </w:rPr>
              <w:t>焦炭烘干布袋除尘器</w:t>
            </w:r>
            <w:r>
              <w:rPr>
                <w:sz w:val="18"/>
                <w:szCs w:val="18"/>
              </w:rPr>
              <w:t xml:space="preserve"> </w:t>
            </w:r>
            <w:r>
              <w:rPr>
                <w:spacing w:val="-7"/>
                <w:sz w:val="18"/>
                <w:szCs w:val="18"/>
              </w:rPr>
              <w:t>收尘</w:t>
            </w:r>
          </w:p>
        </w:tc>
        <w:tc>
          <w:tcPr>
            <w:tcW w:w="2416" w:type="dxa"/>
            <w:vAlign w:val="top"/>
          </w:tcPr>
          <w:p w14:paraId="35986350">
            <w:pPr>
              <w:pStyle w:val="6"/>
              <w:spacing w:before="243" w:line="219" w:lineRule="auto"/>
              <w:ind w:left="674"/>
              <w:rPr>
                <w:sz w:val="18"/>
                <w:szCs w:val="18"/>
              </w:rPr>
            </w:pPr>
            <w:r>
              <w:rPr>
                <w:spacing w:val="-2"/>
                <w:sz w:val="18"/>
                <w:szCs w:val="18"/>
              </w:rPr>
              <w:t>返回烧结系统</w:t>
            </w:r>
          </w:p>
        </w:tc>
        <w:tc>
          <w:tcPr>
            <w:tcW w:w="1327" w:type="dxa"/>
            <w:vAlign w:val="top"/>
          </w:tcPr>
          <w:p w14:paraId="32BA5B29">
            <w:pPr>
              <w:spacing w:before="269"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7986C143">
            <w:pPr>
              <w:spacing w:before="272"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3F0E6F2D">
            <w:pPr>
              <w:pStyle w:val="6"/>
              <w:spacing w:before="243" w:line="219" w:lineRule="auto"/>
              <w:ind w:left="748"/>
              <w:rPr>
                <w:sz w:val="18"/>
                <w:szCs w:val="18"/>
              </w:rPr>
            </w:pPr>
            <w:r>
              <w:rPr>
                <w:spacing w:val="-1"/>
                <w:sz w:val="18"/>
                <w:szCs w:val="18"/>
              </w:rPr>
              <w:t>返回烧结系统原料棚</w:t>
            </w:r>
          </w:p>
        </w:tc>
        <w:tc>
          <w:tcPr>
            <w:tcW w:w="1230" w:type="dxa"/>
            <w:vAlign w:val="top"/>
          </w:tcPr>
          <w:p w14:paraId="1E56F3E1">
            <w:pPr>
              <w:spacing w:before="269"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2113B4D8">
            <w:pPr>
              <w:spacing w:before="269"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5101CE1A">
            <w:pPr>
              <w:spacing w:before="269"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0925F088">
            <w:pPr>
              <w:spacing w:before="269"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restart"/>
            <w:tcBorders>
              <w:bottom w:val="nil"/>
              <w:right w:val="nil"/>
            </w:tcBorders>
            <w:vAlign w:val="top"/>
          </w:tcPr>
          <w:p w14:paraId="7CB0D5B1">
            <w:pPr>
              <w:spacing w:line="257" w:lineRule="auto"/>
              <w:rPr>
                <w:rFonts w:ascii="Arial"/>
                <w:sz w:val="21"/>
              </w:rPr>
            </w:pPr>
          </w:p>
          <w:p w14:paraId="35E4B6CF">
            <w:pPr>
              <w:spacing w:line="257" w:lineRule="auto"/>
              <w:rPr>
                <w:rFonts w:ascii="Arial"/>
                <w:sz w:val="21"/>
              </w:rPr>
            </w:pPr>
          </w:p>
          <w:p w14:paraId="00E87792">
            <w:pPr>
              <w:spacing w:line="257" w:lineRule="auto"/>
              <w:rPr>
                <w:rFonts w:ascii="Arial"/>
                <w:sz w:val="21"/>
              </w:rPr>
            </w:pPr>
          </w:p>
          <w:p w14:paraId="044687FC">
            <w:pPr>
              <w:spacing w:line="257" w:lineRule="auto"/>
              <w:rPr>
                <w:rFonts w:ascii="Arial"/>
                <w:sz w:val="21"/>
              </w:rPr>
            </w:pPr>
          </w:p>
          <w:p w14:paraId="16B19969">
            <w:pPr>
              <w:spacing w:line="257" w:lineRule="auto"/>
              <w:rPr>
                <w:rFonts w:ascii="Arial"/>
                <w:sz w:val="21"/>
              </w:rPr>
            </w:pPr>
          </w:p>
          <w:p w14:paraId="63B57B5D">
            <w:pPr>
              <w:spacing w:line="258" w:lineRule="auto"/>
              <w:rPr>
                <w:rFonts w:ascii="Arial"/>
                <w:sz w:val="21"/>
              </w:rPr>
            </w:pPr>
          </w:p>
          <w:p w14:paraId="5D36CE48">
            <w:pPr>
              <w:spacing w:line="258" w:lineRule="auto"/>
              <w:rPr>
                <w:rFonts w:ascii="Arial"/>
                <w:sz w:val="21"/>
              </w:rPr>
            </w:pPr>
          </w:p>
          <w:p w14:paraId="236ABB89">
            <w:pPr>
              <w:spacing w:line="258" w:lineRule="auto"/>
              <w:rPr>
                <w:rFonts w:ascii="Arial"/>
                <w:sz w:val="21"/>
              </w:rPr>
            </w:pPr>
          </w:p>
          <w:p w14:paraId="077E0641">
            <w:pPr>
              <w:spacing w:line="258" w:lineRule="auto"/>
              <w:rPr>
                <w:rFonts w:ascii="Arial"/>
                <w:sz w:val="21"/>
              </w:rPr>
            </w:pPr>
          </w:p>
          <w:p w14:paraId="2BB0F109">
            <w:pPr>
              <w:spacing w:line="258" w:lineRule="auto"/>
              <w:rPr>
                <w:rFonts w:ascii="Arial"/>
                <w:sz w:val="21"/>
              </w:rPr>
            </w:pPr>
          </w:p>
          <w:p w14:paraId="58B16880">
            <w:pPr>
              <w:spacing w:line="258" w:lineRule="auto"/>
              <w:rPr>
                <w:rFonts w:ascii="Arial"/>
                <w:sz w:val="21"/>
              </w:rPr>
            </w:pPr>
          </w:p>
          <w:p w14:paraId="47F123A0">
            <w:pPr>
              <w:spacing w:line="258" w:lineRule="auto"/>
              <w:rPr>
                <w:rFonts w:ascii="Arial"/>
                <w:sz w:val="21"/>
              </w:rPr>
            </w:pPr>
          </w:p>
          <w:p w14:paraId="6C6D6829">
            <w:pPr>
              <w:spacing w:line="258" w:lineRule="auto"/>
              <w:rPr>
                <w:rFonts w:ascii="Arial"/>
                <w:sz w:val="21"/>
              </w:rPr>
            </w:pPr>
          </w:p>
          <w:p w14:paraId="7B58BA00">
            <w:pPr>
              <w:pStyle w:val="6"/>
              <w:spacing w:before="59" w:line="180" w:lineRule="auto"/>
              <w:ind w:left="4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GB18599-2020</w:t>
            </w:r>
            <w:r>
              <w:rPr>
                <w:rFonts w:ascii="Times New Roman" w:hAnsi="Times New Roman" w:eastAsia="Times New Roman" w:cs="Times New Roman"/>
                <w:spacing w:val="-27"/>
                <w:sz w:val="18"/>
                <w:szCs w:val="18"/>
              </w:rPr>
              <w:t xml:space="preserve"> </w:t>
            </w:r>
            <w:r>
              <w:rPr>
                <w:spacing w:val="-1"/>
                <w:sz w:val="18"/>
                <w:szCs w:val="18"/>
              </w:rPr>
              <w:t>、</w:t>
            </w:r>
            <w:r>
              <w:rPr>
                <w:rFonts w:ascii="Times New Roman" w:hAnsi="Times New Roman" w:eastAsia="Times New Roman" w:cs="Times New Roman"/>
                <w:spacing w:val="-1"/>
                <w:sz w:val="18"/>
                <w:szCs w:val="18"/>
              </w:rPr>
              <w:t>GB18597-20</w:t>
            </w:r>
            <w:r>
              <w:rPr>
                <w:rFonts w:ascii="Times New Roman" w:hAnsi="Times New Roman" w:eastAsia="Times New Roman" w:cs="Times New Roman"/>
                <w:spacing w:val="-2"/>
                <w:sz w:val="18"/>
                <w:szCs w:val="18"/>
              </w:rPr>
              <w:t>23</w:t>
            </w:r>
          </w:p>
        </w:tc>
      </w:tr>
      <w:tr w14:paraId="5497F4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730" w:type="dxa"/>
            <w:vMerge w:val="continue"/>
            <w:tcBorders>
              <w:top w:val="nil"/>
              <w:left w:val="nil"/>
              <w:bottom w:val="nil"/>
            </w:tcBorders>
            <w:vAlign w:val="top"/>
          </w:tcPr>
          <w:p w14:paraId="02ED9A69">
            <w:pPr>
              <w:rPr>
                <w:rFonts w:ascii="Arial"/>
                <w:sz w:val="21"/>
              </w:rPr>
            </w:pPr>
          </w:p>
        </w:tc>
        <w:tc>
          <w:tcPr>
            <w:tcW w:w="1060" w:type="dxa"/>
            <w:vAlign w:val="top"/>
          </w:tcPr>
          <w:p w14:paraId="3B7BA791">
            <w:pPr>
              <w:spacing w:before="273" w:line="202" w:lineRule="auto"/>
              <w:ind w:left="410"/>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S</w:t>
            </w:r>
            <w:r>
              <w:rPr>
                <w:rFonts w:ascii="Times New Roman" w:hAnsi="Times New Roman" w:eastAsia="Times New Roman" w:cs="Times New Roman"/>
                <w:spacing w:val="-1"/>
                <w:sz w:val="11"/>
                <w:szCs w:val="11"/>
              </w:rPr>
              <w:t>1-2</w:t>
            </w:r>
          </w:p>
        </w:tc>
        <w:tc>
          <w:tcPr>
            <w:tcW w:w="2047" w:type="dxa"/>
            <w:vMerge w:val="continue"/>
            <w:tcBorders>
              <w:top w:val="nil"/>
              <w:bottom w:val="nil"/>
            </w:tcBorders>
            <w:vAlign w:val="top"/>
          </w:tcPr>
          <w:p w14:paraId="571FF07E">
            <w:pPr>
              <w:rPr>
                <w:rFonts w:ascii="Arial"/>
                <w:sz w:val="21"/>
              </w:rPr>
            </w:pPr>
          </w:p>
        </w:tc>
        <w:tc>
          <w:tcPr>
            <w:tcW w:w="1781" w:type="dxa"/>
            <w:vAlign w:val="top"/>
          </w:tcPr>
          <w:p w14:paraId="0762EB4F">
            <w:pPr>
              <w:pStyle w:val="6"/>
              <w:spacing w:before="86" w:line="280" w:lineRule="auto"/>
              <w:ind w:left="625" w:right="77" w:hanging="540"/>
              <w:rPr>
                <w:sz w:val="18"/>
                <w:szCs w:val="18"/>
              </w:rPr>
            </w:pPr>
            <w:r>
              <w:rPr>
                <w:spacing w:val="-1"/>
                <w:sz w:val="18"/>
                <w:szCs w:val="18"/>
              </w:rPr>
              <w:t>锰矿石烘干布袋除尘</w:t>
            </w:r>
            <w:r>
              <w:rPr>
                <w:sz w:val="18"/>
                <w:szCs w:val="18"/>
              </w:rPr>
              <w:t xml:space="preserve"> </w:t>
            </w:r>
            <w:r>
              <w:rPr>
                <w:spacing w:val="-3"/>
                <w:sz w:val="18"/>
                <w:szCs w:val="18"/>
              </w:rPr>
              <w:t>器收尘</w:t>
            </w:r>
          </w:p>
        </w:tc>
        <w:tc>
          <w:tcPr>
            <w:tcW w:w="2416" w:type="dxa"/>
            <w:vAlign w:val="top"/>
          </w:tcPr>
          <w:p w14:paraId="5C5CE6C3">
            <w:pPr>
              <w:pStyle w:val="6"/>
              <w:spacing w:before="244" w:line="219" w:lineRule="auto"/>
              <w:ind w:left="674"/>
              <w:rPr>
                <w:sz w:val="18"/>
                <w:szCs w:val="18"/>
              </w:rPr>
            </w:pPr>
            <w:r>
              <w:rPr>
                <w:spacing w:val="-2"/>
                <w:sz w:val="18"/>
                <w:szCs w:val="18"/>
              </w:rPr>
              <w:t>返回烧结系统</w:t>
            </w:r>
          </w:p>
        </w:tc>
        <w:tc>
          <w:tcPr>
            <w:tcW w:w="1327" w:type="dxa"/>
            <w:vAlign w:val="top"/>
          </w:tcPr>
          <w:p w14:paraId="1FDB201F">
            <w:pPr>
              <w:spacing w:before="270"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2636195E">
            <w:pPr>
              <w:spacing w:before="273"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1B8B6006">
            <w:pPr>
              <w:pStyle w:val="6"/>
              <w:spacing w:before="244" w:line="219" w:lineRule="auto"/>
              <w:ind w:left="748"/>
              <w:rPr>
                <w:sz w:val="18"/>
                <w:szCs w:val="18"/>
              </w:rPr>
            </w:pPr>
            <w:r>
              <w:rPr>
                <w:spacing w:val="-1"/>
                <w:sz w:val="18"/>
                <w:szCs w:val="18"/>
              </w:rPr>
              <w:t>返回烧结系统原料棚</w:t>
            </w:r>
          </w:p>
        </w:tc>
        <w:tc>
          <w:tcPr>
            <w:tcW w:w="1230" w:type="dxa"/>
            <w:vAlign w:val="top"/>
          </w:tcPr>
          <w:p w14:paraId="0E5639B3">
            <w:pPr>
              <w:spacing w:before="270"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5A392F05">
            <w:pPr>
              <w:spacing w:before="270"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79A09EC9">
            <w:pPr>
              <w:spacing w:before="270"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6E9D153F">
            <w:pPr>
              <w:spacing w:before="270"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21D0046C">
            <w:pPr>
              <w:rPr>
                <w:rFonts w:ascii="Arial"/>
                <w:sz w:val="21"/>
              </w:rPr>
            </w:pPr>
          </w:p>
        </w:tc>
      </w:tr>
      <w:tr w14:paraId="015C8A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1347702C">
            <w:pPr>
              <w:rPr>
                <w:rFonts w:ascii="Arial"/>
                <w:sz w:val="21"/>
              </w:rPr>
            </w:pPr>
          </w:p>
        </w:tc>
        <w:tc>
          <w:tcPr>
            <w:tcW w:w="1060" w:type="dxa"/>
            <w:vAlign w:val="top"/>
          </w:tcPr>
          <w:p w14:paraId="73102F86">
            <w:pPr>
              <w:spacing w:before="115" w:line="204" w:lineRule="auto"/>
              <w:ind w:left="410"/>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S</w:t>
            </w:r>
            <w:r>
              <w:rPr>
                <w:rFonts w:ascii="Times New Roman" w:hAnsi="Times New Roman" w:eastAsia="Times New Roman" w:cs="Times New Roman"/>
                <w:spacing w:val="-1"/>
                <w:sz w:val="11"/>
                <w:szCs w:val="11"/>
              </w:rPr>
              <w:t>1-3</w:t>
            </w:r>
          </w:p>
        </w:tc>
        <w:tc>
          <w:tcPr>
            <w:tcW w:w="2047" w:type="dxa"/>
            <w:vMerge w:val="continue"/>
            <w:tcBorders>
              <w:top w:val="nil"/>
              <w:bottom w:val="nil"/>
            </w:tcBorders>
            <w:vAlign w:val="top"/>
          </w:tcPr>
          <w:p w14:paraId="37B50C28">
            <w:pPr>
              <w:rPr>
                <w:rFonts w:ascii="Arial"/>
                <w:sz w:val="21"/>
              </w:rPr>
            </w:pPr>
          </w:p>
        </w:tc>
        <w:tc>
          <w:tcPr>
            <w:tcW w:w="1781" w:type="dxa"/>
            <w:vAlign w:val="top"/>
          </w:tcPr>
          <w:p w14:paraId="62EB4196">
            <w:pPr>
              <w:pStyle w:val="6"/>
              <w:spacing w:before="87" w:line="219" w:lineRule="auto"/>
              <w:ind w:left="444"/>
              <w:rPr>
                <w:sz w:val="18"/>
                <w:szCs w:val="18"/>
              </w:rPr>
            </w:pPr>
            <w:r>
              <w:rPr>
                <w:spacing w:val="-2"/>
                <w:sz w:val="18"/>
                <w:szCs w:val="18"/>
              </w:rPr>
              <w:t>废耐火材料</w:t>
            </w:r>
          </w:p>
        </w:tc>
        <w:tc>
          <w:tcPr>
            <w:tcW w:w="2416" w:type="dxa"/>
            <w:vAlign w:val="top"/>
          </w:tcPr>
          <w:p w14:paraId="152E3CAC">
            <w:pPr>
              <w:pStyle w:val="6"/>
              <w:spacing w:before="87" w:line="219" w:lineRule="auto"/>
              <w:ind w:left="496"/>
              <w:rPr>
                <w:sz w:val="18"/>
                <w:szCs w:val="18"/>
              </w:rPr>
            </w:pPr>
            <w:r>
              <w:rPr>
                <w:spacing w:val="-2"/>
                <w:sz w:val="18"/>
                <w:szCs w:val="18"/>
              </w:rPr>
              <w:t>外售用于生产建材</w:t>
            </w:r>
          </w:p>
        </w:tc>
        <w:tc>
          <w:tcPr>
            <w:tcW w:w="1327" w:type="dxa"/>
            <w:vAlign w:val="top"/>
          </w:tcPr>
          <w:p w14:paraId="79AA3A24">
            <w:pPr>
              <w:spacing w:before="112"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2ABF941F">
            <w:pPr>
              <w:spacing w:before="116"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62DA253B">
            <w:pPr>
              <w:pStyle w:val="6"/>
              <w:spacing w:before="87" w:line="219" w:lineRule="auto"/>
              <w:ind w:left="749"/>
              <w:rPr>
                <w:sz w:val="18"/>
                <w:szCs w:val="18"/>
              </w:rPr>
            </w:pPr>
            <w:r>
              <w:rPr>
                <w:spacing w:val="-2"/>
                <w:sz w:val="18"/>
                <w:szCs w:val="18"/>
              </w:rPr>
              <w:t>厂区设临时贮存场地</w:t>
            </w:r>
          </w:p>
        </w:tc>
        <w:tc>
          <w:tcPr>
            <w:tcW w:w="1230" w:type="dxa"/>
            <w:vAlign w:val="top"/>
          </w:tcPr>
          <w:p w14:paraId="03964181">
            <w:pPr>
              <w:spacing w:before="112"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01D43A94">
            <w:pPr>
              <w:spacing w:before="112"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6D970F37">
            <w:pPr>
              <w:spacing w:before="112"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649A16A6">
            <w:pPr>
              <w:spacing w:before="112"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33E06AAE">
            <w:pPr>
              <w:rPr>
                <w:rFonts w:ascii="Arial"/>
                <w:sz w:val="21"/>
              </w:rPr>
            </w:pPr>
          </w:p>
        </w:tc>
      </w:tr>
      <w:tr w14:paraId="365478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3BBD67F7">
            <w:pPr>
              <w:rPr>
                <w:rFonts w:ascii="Arial"/>
                <w:sz w:val="21"/>
              </w:rPr>
            </w:pPr>
          </w:p>
        </w:tc>
        <w:tc>
          <w:tcPr>
            <w:tcW w:w="1060" w:type="dxa"/>
            <w:vAlign w:val="top"/>
          </w:tcPr>
          <w:p w14:paraId="715DFF50">
            <w:pPr>
              <w:spacing w:before="115" w:line="202" w:lineRule="auto"/>
              <w:ind w:left="410"/>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S</w:t>
            </w:r>
            <w:r>
              <w:rPr>
                <w:rFonts w:ascii="Times New Roman" w:hAnsi="Times New Roman" w:eastAsia="Times New Roman" w:cs="Times New Roman"/>
                <w:spacing w:val="-1"/>
                <w:sz w:val="11"/>
                <w:szCs w:val="11"/>
              </w:rPr>
              <w:t>1-4</w:t>
            </w:r>
          </w:p>
        </w:tc>
        <w:tc>
          <w:tcPr>
            <w:tcW w:w="2047" w:type="dxa"/>
            <w:vMerge w:val="continue"/>
            <w:tcBorders>
              <w:top w:val="nil"/>
              <w:bottom w:val="nil"/>
            </w:tcBorders>
            <w:vAlign w:val="top"/>
          </w:tcPr>
          <w:p w14:paraId="4EB22861">
            <w:pPr>
              <w:rPr>
                <w:rFonts w:ascii="Arial"/>
                <w:sz w:val="21"/>
              </w:rPr>
            </w:pPr>
          </w:p>
        </w:tc>
        <w:tc>
          <w:tcPr>
            <w:tcW w:w="1781" w:type="dxa"/>
            <w:vAlign w:val="top"/>
          </w:tcPr>
          <w:p w14:paraId="207D4AD5">
            <w:pPr>
              <w:pStyle w:val="6"/>
              <w:spacing w:before="86" w:line="219" w:lineRule="auto"/>
              <w:ind w:left="535"/>
              <w:rPr>
                <w:sz w:val="18"/>
                <w:szCs w:val="18"/>
              </w:rPr>
            </w:pPr>
            <w:r>
              <w:rPr>
                <w:spacing w:val="-2"/>
                <w:sz w:val="18"/>
                <w:szCs w:val="18"/>
              </w:rPr>
              <w:t>脱硫石膏</w:t>
            </w:r>
          </w:p>
        </w:tc>
        <w:tc>
          <w:tcPr>
            <w:tcW w:w="2416" w:type="dxa"/>
            <w:vAlign w:val="top"/>
          </w:tcPr>
          <w:p w14:paraId="1A85E96B">
            <w:pPr>
              <w:pStyle w:val="6"/>
              <w:spacing w:before="86" w:line="219" w:lineRule="auto"/>
              <w:ind w:left="496"/>
              <w:rPr>
                <w:sz w:val="18"/>
                <w:szCs w:val="18"/>
              </w:rPr>
            </w:pPr>
            <w:r>
              <w:rPr>
                <w:spacing w:val="-2"/>
                <w:sz w:val="18"/>
                <w:szCs w:val="18"/>
              </w:rPr>
              <w:t>外售用于生产建材</w:t>
            </w:r>
          </w:p>
        </w:tc>
        <w:tc>
          <w:tcPr>
            <w:tcW w:w="1327" w:type="dxa"/>
            <w:vAlign w:val="top"/>
          </w:tcPr>
          <w:p w14:paraId="0193BB32">
            <w:pPr>
              <w:spacing w:before="112"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1533552F">
            <w:pPr>
              <w:spacing w:before="116"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10832B3A">
            <w:pPr>
              <w:pStyle w:val="6"/>
              <w:spacing w:before="87" w:line="219" w:lineRule="auto"/>
              <w:ind w:left="749"/>
              <w:rPr>
                <w:sz w:val="18"/>
                <w:szCs w:val="18"/>
              </w:rPr>
            </w:pPr>
            <w:r>
              <w:rPr>
                <w:spacing w:val="-2"/>
                <w:sz w:val="18"/>
                <w:szCs w:val="18"/>
              </w:rPr>
              <w:t>厂区设临时贮存场地</w:t>
            </w:r>
          </w:p>
        </w:tc>
        <w:tc>
          <w:tcPr>
            <w:tcW w:w="1230" w:type="dxa"/>
            <w:vAlign w:val="top"/>
          </w:tcPr>
          <w:p w14:paraId="363997EC">
            <w:pPr>
              <w:spacing w:before="112"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406F394C">
            <w:pPr>
              <w:spacing w:before="112"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540AC2B3">
            <w:pPr>
              <w:spacing w:before="112"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4D5E12E4">
            <w:pPr>
              <w:spacing w:before="112"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76C11318">
            <w:pPr>
              <w:rPr>
                <w:rFonts w:ascii="Arial"/>
                <w:sz w:val="21"/>
              </w:rPr>
            </w:pPr>
          </w:p>
        </w:tc>
      </w:tr>
      <w:tr w14:paraId="0970E7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730" w:type="dxa"/>
            <w:vMerge w:val="continue"/>
            <w:tcBorders>
              <w:top w:val="nil"/>
              <w:left w:val="nil"/>
              <w:bottom w:val="nil"/>
            </w:tcBorders>
            <w:vAlign w:val="top"/>
          </w:tcPr>
          <w:p w14:paraId="4BEA88AF">
            <w:pPr>
              <w:rPr>
                <w:rFonts w:ascii="Arial"/>
                <w:sz w:val="21"/>
              </w:rPr>
            </w:pPr>
          </w:p>
        </w:tc>
        <w:tc>
          <w:tcPr>
            <w:tcW w:w="1060" w:type="dxa"/>
            <w:vAlign w:val="top"/>
          </w:tcPr>
          <w:p w14:paraId="3138C7D7">
            <w:pPr>
              <w:spacing w:before="225" w:line="204" w:lineRule="auto"/>
              <w:ind w:left="410"/>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S</w:t>
            </w:r>
            <w:r>
              <w:rPr>
                <w:rFonts w:ascii="Times New Roman" w:hAnsi="Times New Roman" w:eastAsia="Times New Roman" w:cs="Times New Roman"/>
                <w:spacing w:val="-1"/>
                <w:sz w:val="11"/>
                <w:szCs w:val="11"/>
              </w:rPr>
              <w:t>1-5</w:t>
            </w:r>
          </w:p>
        </w:tc>
        <w:tc>
          <w:tcPr>
            <w:tcW w:w="2047" w:type="dxa"/>
            <w:vMerge w:val="continue"/>
            <w:tcBorders>
              <w:top w:val="nil"/>
              <w:bottom w:val="nil"/>
            </w:tcBorders>
            <w:vAlign w:val="top"/>
          </w:tcPr>
          <w:p w14:paraId="180468C0">
            <w:pPr>
              <w:rPr>
                <w:rFonts w:ascii="Arial"/>
                <w:sz w:val="21"/>
              </w:rPr>
            </w:pPr>
          </w:p>
        </w:tc>
        <w:tc>
          <w:tcPr>
            <w:tcW w:w="1781" w:type="dxa"/>
            <w:vAlign w:val="top"/>
          </w:tcPr>
          <w:p w14:paraId="6D615C94">
            <w:pPr>
              <w:pStyle w:val="6"/>
              <w:spacing w:before="197" w:line="219" w:lineRule="auto"/>
              <w:ind w:left="355"/>
              <w:rPr>
                <w:sz w:val="18"/>
                <w:szCs w:val="18"/>
              </w:rPr>
            </w:pPr>
            <w:r>
              <w:rPr>
                <w:spacing w:val="-2"/>
                <w:sz w:val="18"/>
                <w:szCs w:val="18"/>
              </w:rPr>
              <w:t>煤气净化收尘</w:t>
            </w:r>
          </w:p>
        </w:tc>
        <w:tc>
          <w:tcPr>
            <w:tcW w:w="2416" w:type="dxa"/>
            <w:vAlign w:val="top"/>
          </w:tcPr>
          <w:p w14:paraId="587B2CEF">
            <w:pPr>
              <w:pStyle w:val="6"/>
              <w:spacing w:before="197" w:line="219" w:lineRule="auto"/>
              <w:ind w:left="674"/>
              <w:rPr>
                <w:sz w:val="18"/>
                <w:szCs w:val="18"/>
              </w:rPr>
            </w:pPr>
            <w:r>
              <w:rPr>
                <w:spacing w:val="-2"/>
                <w:sz w:val="18"/>
                <w:szCs w:val="18"/>
              </w:rPr>
              <w:t>返回烧结系统</w:t>
            </w:r>
          </w:p>
        </w:tc>
        <w:tc>
          <w:tcPr>
            <w:tcW w:w="1327" w:type="dxa"/>
            <w:vAlign w:val="top"/>
          </w:tcPr>
          <w:p w14:paraId="0BB04F41">
            <w:pPr>
              <w:spacing w:before="222"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6D707476">
            <w:pPr>
              <w:spacing w:before="226"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15F823FC">
            <w:pPr>
              <w:pStyle w:val="6"/>
              <w:spacing w:before="197" w:line="219" w:lineRule="auto"/>
              <w:ind w:left="748"/>
              <w:rPr>
                <w:sz w:val="18"/>
                <w:szCs w:val="18"/>
              </w:rPr>
            </w:pPr>
            <w:r>
              <w:rPr>
                <w:spacing w:val="-1"/>
                <w:sz w:val="18"/>
                <w:szCs w:val="18"/>
              </w:rPr>
              <w:t>返回烧结系统原料棚</w:t>
            </w:r>
          </w:p>
        </w:tc>
        <w:tc>
          <w:tcPr>
            <w:tcW w:w="1230" w:type="dxa"/>
            <w:vAlign w:val="top"/>
          </w:tcPr>
          <w:p w14:paraId="5AD4FDDB">
            <w:pPr>
              <w:spacing w:before="222"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6EEA1352">
            <w:pPr>
              <w:spacing w:before="222"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5E5C6124">
            <w:pPr>
              <w:spacing w:before="222"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3028FE68">
            <w:pPr>
              <w:spacing w:before="222"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603A7ECA">
            <w:pPr>
              <w:rPr>
                <w:rFonts w:ascii="Arial"/>
                <w:sz w:val="21"/>
              </w:rPr>
            </w:pPr>
          </w:p>
        </w:tc>
      </w:tr>
      <w:tr w14:paraId="512F99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730" w:type="dxa"/>
            <w:vMerge w:val="continue"/>
            <w:tcBorders>
              <w:top w:val="nil"/>
              <w:left w:val="nil"/>
              <w:bottom w:val="nil"/>
            </w:tcBorders>
            <w:vAlign w:val="top"/>
          </w:tcPr>
          <w:p w14:paraId="703D7847">
            <w:pPr>
              <w:rPr>
                <w:rFonts w:ascii="Arial"/>
                <w:sz w:val="21"/>
              </w:rPr>
            </w:pPr>
          </w:p>
        </w:tc>
        <w:tc>
          <w:tcPr>
            <w:tcW w:w="1060" w:type="dxa"/>
            <w:vAlign w:val="top"/>
          </w:tcPr>
          <w:p w14:paraId="53170D48">
            <w:pPr>
              <w:spacing w:before="276" w:line="204" w:lineRule="auto"/>
              <w:ind w:left="410"/>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S</w:t>
            </w:r>
            <w:r>
              <w:rPr>
                <w:rFonts w:ascii="Times New Roman" w:hAnsi="Times New Roman" w:eastAsia="Times New Roman" w:cs="Times New Roman"/>
                <w:spacing w:val="-1"/>
                <w:sz w:val="11"/>
                <w:szCs w:val="11"/>
              </w:rPr>
              <w:t>1-6</w:t>
            </w:r>
          </w:p>
        </w:tc>
        <w:tc>
          <w:tcPr>
            <w:tcW w:w="2047" w:type="dxa"/>
            <w:vMerge w:val="continue"/>
            <w:tcBorders>
              <w:top w:val="nil"/>
              <w:bottom w:val="nil"/>
            </w:tcBorders>
            <w:vAlign w:val="top"/>
          </w:tcPr>
          <w:p w14:paraId="64E6441E">
            <w:pPr>
              <w:rPr>
                <w:rFonts w:ascii="Arial"/>
                <w:sz w:val="21"/>
              </w:rPr>
            </w:pPr>
          </w:p>
        </w:tc>
        <w:tc>
          <w:tcPr>
            <w:tcW w:w="1781" w:type="dxa"/>
            <w:vAlign w:val="top"/>
          </w:tcPr>
          <w:p w14:paraId="7ED77FDF">
            <w:pPr>
              <w:pStyle w:val="6"/>
              <w:spacing w:before="246" w:line="220" w:lineRule="auto"/>
              <w:ind w:left="354"/>
              <w:rPr>
                <w:sz w:val="18"/>
                <w:szCs w:val="18"/>
              </w:rPr>
            </w:pPr>
            <w:r>
              <w:rPr>
                <w:spacing w:val="-2"/>
                <w:sz w:val="18"/>
                <w:szCs w:val="18"/>
              </w:rPr>
              <w:t>锰硅冶炼炉渣</w:t>
            </w:r>
          </w:p>
        </w:tc>
        <w:tc>
          <w:tcPr>
            <w:tcW w:w="2416" w:type="dxa"/>
            <w:vAlign w:val="top"/>
          </w:tcPr>
          <w:p w14:paraId="25955C46">
            <w:pPr>
              <w:pStyle w:val="6"/>
              <w:spacing w:before="246" w:line="219" w:lineRule="auto"/>
              <w:ind w:left="404"/>
              <w:rPr>
                <w:sz w:val="18"/>
                <w:szCs w:val="18"/>
              </w:rPr>
            </w:pPr>
            <w:r>
              <w:rPr>
                <w:spacing w:val="-2"/>
                <w:sz w:val="18"/>
                <w:szCs w:val="18"/>
              </w:rPr>
              <w:t>水淬后外售综合利用</w:t>
            </w:r>
          </w:p>
        </w:tc>
        <w:tc>
          <w:tcPr>
            <w:tcW w:w="1327" w:type="dxa"/>
            <w:vAlign w:val="top"/>
          </w:tcPr>
          <w:p w14:paraId="304A162C">
            <w:pPr>
              <w:spacing w:before="273"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2BED68FE">
            <w:pPr>
              <w:spacing w:before="277"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069B8B0F">
            <w:pPr>
              <w:pStyle w:val="6"/>
              <w:spacing w:before="88" w:line="296" w:lineRule="auto"/>
              <w:ind w:left="1413" w:right="36" w:hanging="1372"/>
              <w:rPr>
                <w:rFonts w:ascii="Times New Roman" w:hAnsi="Times New Roman" w:eastAsia="Times New Roman" w:cs="Times New Roman"/>
                <w:sz w:val="18"/>
                <w:szCs w:val="18"/>
              </w:rPr>
            </w:pPr>
            <w:r>
              <w:rPr>
                <w:spacing w:val="-3"/>
                <w:sz w:val="18"/>
                <w:szCs w:val="18"/>
              </w:rPr>
              <w:t>日产日清，厂区临时贮渣场储存时间为</w:t>
            </w:r>
            <w:r>
              <w:rPr>
                <w:spacing w:val="12"/>
                <w:sz w:val="18"/>
                <w:szCs w:val="18"/>
              </w:rPr>
              <w:t xml:space="preserve"> </w:t>
            </w:r>
            <w:r>
              <w:rPr>
                <w:rFonts w:ascii="Times New Roman" w:hAnsi="Times New Roman" w:eastAsia="Times New Roman" w:cs="Times New Roman"/>
                <w:spacing w:val="-6"/>
                <w:sz w:val="18"/>
                <w:szCs w:val="18"/>
              </w:rPr>
              <w:t>1.5d</w:t>
            </w:r>
          </w:p>
        </w:tc>
        <w:tc>
          <w:tcPr>
            <w:tcW w:w="1230" w:type="dxa"/>
            <w:vAlign w:val="top"/>
          </w:tcPr>
          <w:p w14:paraId="65843060">
            <w:pPr>
              <w:spacing w:before="273"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63010CFD">
            <w:pPr>
              <w:spacing w:before="273"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2FD41714">
            <w:pPr>
              <w:spacing w:before="273"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580994A9">
            <w:pPr>
              <w:spacing w:before="273"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19D10191">
            <w:pPr>
              <w:rPr>
                <w:rFonts w:ascii="Arial"/>
                <w:sz w:val="21"/>
              </w:rPr>
            </w:pPr>
          </w:p>
        </w:tc>
      </w:tr>
      <w:tr w14:paraId="4A140E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continue"/>
            <w:tcBorders>
              <w:top w:val="nil"/>
              <w:left w:val="nil"/>
              <w:bottom w:val="nil"/>
            </w:tcBorders>
            <w:vAlign w:val="top"/>
          </w:tcPr>
          <w:p w14:paraId="5F0D7C46">
            <w:pPr>
              <w:rPr>
                <w:rFonts w:ascii="Arial"/>
                <w:sz w:val="21"/>
              </w:rPr>
            </w:pPr>
          </w:p>
        </w:tc>
        <w:tc>
          <w:tcPr>
            <w:tcW w:w="1060" w:type="dxa"/>
            <w:vAlign w:val="top"/>
          </w:tcPr>
          <w:p w14:paraId="4D88F91C">
            <w:pPr>
              <w:spacing w:before="114" w:line="211" w:lineRule="auto"/>
              <w:ind w:left="390"/>
              <w:rPr>
                <w:rFonts w:ascii="Times New Roman" w:hAnsi="Times New Roman" w:eastAsia="Times New Roman" w:cs="Times New Roman"/>
                <w:sz w:val="13"/>
                <w:szCs w:val="13"/>
              </w:rPr>
            </w:pPr>
            <w:r>
              <w:rPr>
                <w:rFonts w:ascii="Times New Roman" w:hAnsi="Times New Roman" w:eastAsia="Times New Roman" w:cs="Times New Roman"/>
                <w:sz w:val="20"/>
                <w:szCs w:val="20"/>
              </w:rPr>
              <w:t>S</w:t>
            </w:r>
            <w:r>
              <w:rPr>
                <w:rFonts w:ascii="Times New Roman" w:hAnsi="Times New Roman" w:eastAsia="Times New Roman" w:cs="Times New Roman"/>
                <w:sz w:val="13"/>
                <w:szCs w:val="13"/>
              </w:rPr>
              <w:t>1-7</w:t>
            </w:r>
          </w:p>
        </w:tc>
        <w:tc>
          <w:tcPr>
            <w:tcW w:w="2047" w:type="dxa"/>
            <w:vMerge w:val="continue"/>
            <w:tcBorders>
              <w:top w:val="nil"/>
              <w:bottom w:val="nil"/>
            </w:tcBorders>
            <w:vAlign w:val="top"/>
          </w:tcPr>
          <w:p w14:paraId="23E58A77">
            <w:pPr>
              <w:rPr>
                <w:rFonts w:ascii="Arial"/>
                <w:sz w:val="21"/>
              </w:rPr>
            </w:pPr>
          </w:p>
        </w:tc>
        <w:tc>
          <w:tcPr>
            <w:tcW w:w="1781" w:type="dxa"/>
            <w:vAlign w:val="top"/>
          </w:tcPr>
          <w:p w14:paraId="14C5C2AA">
            <w:pPr>
              <w:pStyle w:val="6"/>
              <w:spacing w:before="93" w:line="226" w:lineRule="auto"/>
              <w:ind w:left="534"/>
              <w:rPr>
                <w:sz w:val="18"/>
                <w:szCs w:val="18"/>
              </w:rPr>
            </w:pPr>
            <w:r>
              <w:rPr>
                <w:spacing w:val="-2"/>
                <w:sz w:val="18"/>
                <w:szCs w:val="18"/>
              </w:rPr>
              <w:t>锰硅重渣</w:t>
            </w:r>
          </w:p>
        </w:tc>
        <w:tc>
          <w:tcPr>
            <w:tcW w:w="2416" w:type="dxa"/>
            <w:vAlign w:val="top"/>
          </w:tcPr>
          <w:p w14:paraId="74BF69EC">
            <w:pPr>
              <w:pStyle w:val="6"/>
              <w:spacing w:before="93" w:line="219" w:lineRule="auto"/>
              <w:ind w:left="132"/>
              <w:rPr>
                <w:sz w:val="18"/>
                <w:szCs w:val="18"/>
              </w:rPr>
            </w:pPr>
            <w:r>
              <w:rPr>
                <w:spacing w:val="-1"/>
                <w:sz w:val="18"/>
                <w:szCs w:val="18"/>
              </w:rPr>
              <w:t>破碎后返回配料站综合利用</w:t>
            </w:r>
          </w:p>
        </w:tc>
        <w:tc>
          <w:tcPr>
            <w:tcW w:w="1327" w:type="dxa"/>
            <w:vAlign w:val="top"/>
          </w:tcPr>
          <w:p w14:paraId="2E038BDE">
            <w:pPr>
              <w:spacing w:before="121"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6F720169">
            <w:pPr>
              <w:spacing w:before="124"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3E27B5D8">
            <w:pPr>
              <w:pStyle w:val="6"/>
              <w:spacing w:before="93" w:line="219" w:lineRule="auto"/>
              <w:ind w:left="475"/>
              <w:rPr>
                <w:sz w:val="18"/>
                <w:szCs w:val="18"/>
              </w:rPr>
            </w:pPr>
            <w:r>
              <w:rPr>
                <w:spacing w:val="-1"/>
                <w:sz w:val="18"/>
                <w:szCs w:val="18"/>
              </w:rPr>
              <w:t>破碎后返回配料站综合利用</w:t>
            </w:r>
          </w:p>
        </w:tc>
        <w:tc>
          <w:tcPr>
            <w:tcW w:w="1230" w:type="dxa"/>
            <w:vAlign w:val="top"/>
          </w:tcPr>
          <w:p w14:paraId="74219EC2">
            <w:pPr>
              <w:rPr>
                <w:rFonts w:ascii="Arial"/>
                <w:sz w:val="21"/>
              </w:rPr>
            </w:pPr>
          </w:p>
        </w:tc>
        <w:tc>
          <w:tcPr>
            <w:tcW w:w="1060" w:type="dxa"/>
            <w:vAlign w:val="top"/>
          </w:tcPr>
          <w:p w14:paraId="158C63C8">
            <w:pPr>
              <w:rPr>
                <w:rFonts w:ascii="Arial"/>
                <w:sz w:val="21"/>
              </w:rPr>
            </w:pPr>
          </w:p>
        </w:tc>
        <w:tc>
          <w:tcPr>
            <w:tcW w:w="1674" w:type="dxa"/>
            <w:vAlign w:val="top"/>
          </w:tcPr>
          <w:p w14:paraId="38974E3E">
            <w:pPr>
              <w:rPr>
                <w:rFonts w:ascii="Arial"/>
                <w:sz w:val="21"/>
              </w:rPr>
            </w:pPr>
          </w:p>
        </w:tc>
        <w:tc>
          <w:tcPr>
            <w:tcW w:w="1004" w:type="dxa"/>
            <w:vAlign w:val="top"/>
          </w:tcPr>
          <w:p w14:paraId="6DE674E9">
            <w:pPr>
              <w:rPr>
                <w:rFonts w:ascii="Arial"/>
                <w:sz w:val="21"/>
              </w:rPr>
            </w:pPr>
          </w:p>
        </w:tc>
        <w:tc>
          <w:tcPr>
            <w:tcW w:w="2504" w:type="dxa"/>
            <w:vMerge w:val="continue"/>
            <w:tcBorders>
              <w:top w:val="nil"/>
              <w:bottom w:val="nil"/>
              <w:right w:val="nil"/>
            </w:tcBorders>
            <w:vAlign w:val="top"/>
          </w:tcPr>
          <w:p w14:paraId="2656DCC4">
            <w:pPr>
              <w:rPr>
                <w:rFonts w:ascii="Arial"/>
                <w:sz w:val="21"/>
              </w:rPr>
            </w:pPr>
          </w:p>
        </w:tc>
      </w:tr>
      <w:tr w14:paraId="1FE69C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continue"/>
            <w:tcBorders>
              <w:top w:val="nil"/>
              <w:left w:val="nil"/>
              <w:bottom w:val="nil"/>
            </w:tcBorders>
            <w:vAlign w:val="top"/>
          </w:tcPr>
          <w:p w14:paraId="4D1B0DE9">
            <w:pPr>
              <w:rPr>
                <w:rFonts w:ascii="Arial"/>
                <w:sz w:val="21"/>
              </w:rPr>
            </w:pPr>
          </w:p>
        </w:tc>
        <w:tc>
          <w:tcPr>
            <w:tcW w:w="1060" w:type="dxa"/>
            <w:vAlign w:val="top"/>
          </w:tcPr>
          <w:p w14:paraId="006BEB44">
            <w:pPr>
              <w:spacing w:before="123" w:line="204" w:lineRule="auto"/>
              <w:ind w:left="410"/>
              <w:rPr>
                <w:rFonts w:ascii="Times New Roman" w:hAnsi="Times New Roman" w:eastAsia="Times New Roman" w:cs="Times New Roman"/>
                <w:sz w:val="11"/>
                <w:szCs w:val="11"/>
              </w:rPr>
            </w:pPr>
            <w:r>
              <w:rPr>
                <w:rFonts w:ascii="Times New Roman" w:hAnsi="Times New Roman" w:eastAsia="Times New Roman" w:cs="Times New Roman"/>
                <w:sz w:val="18"/>
                <w:szCs w:val="18"/>
              </w:rPr>
              <w:t>S</w:t>
            </w:r>
            <w:r>
              <w:rPr>
                <w:rFonts w:ascii="Times New Roman" w:hAnsi="Times New Roman" w:eastAsia="Times New Roman" w:cs="Times New Roman"/>
                <w:sz w:val="11"/>
                <w:szCs w:val="11"/>
              </w:rPr>
              <w:t>1-8</w:t>
            </w:r>
          </w:p>
        </w:tc>
        <w:tc>
          <w:tcPr>
            <w:tcW w:w="2047" w:type="dxa"/>
            <w:vMerge w:val="continue"/>
            <w:tcBorders>
              <w:top w:val="nil"/>
              <w:bottom w:val="nil"/>
            </w:tcBorders>
            <w:vAlign w:val="top"/>
          </w:tcPr>
          <w:p w14:paraId="4B0FE6E9">
            <w:pPr>
              <w:rPr>
                <w:rFonts w:ascii="Arial"/>
                <w:sz w:val="21"/>
              </w:rPr>
            </w:pPr>
          </w:p>
        </w:tc>
        <w:tc>
          <w:tcPr>
            <w:tcW w:w="1781" w:type="dxa"/>
            <w:vAlign w:val="top"/>
          </w:tcPr>
          <w:p w14:paraId="738DF0E3">
            <w:pPr>
              <w:pStyle w:val="6"/>
              <w:spacing w:before="95" w:line="219" w:lineRule="auto"/>
              <w:ind w:left="446"/>
              <w:rPr>
                <w:sz w:val="18"/>
                <w:szCs w:val="18"/>
              </w:rPr>
            </w:pPr>
            <w:r>
              <w:rPr>
                <w:spacing w:val="-2"/>
                <w:sz w:val="18"/>
                <w:szCs w:val="18"/>
              </w:rPr>
              <w:t>车间沉降灰</w:t>
            </w:r>
          </w:p>
        </w:tc>
        <w:tc>
          <w:tcPr>
            <w:tcW w:w="2416" w:type="dxa"/>
            <w:vAlign w:val="top"/>
          </w:tcPr>
          <w:p w14:paraId="2E657311">
            <w:pPr>
              <w:pStyle w:val="6"/>
              <w:spacing w:before="94" w:line="219" w:lineRule="auto"/>
              <w:ind w:left="674"/>
              <w:rPr>
                <w:sz w:val="18"/>
                <w:szCs w:val="18"/>
              </w:rPr>
            </w:pPr>
            <w:r>
              <w:rPr>
                <w:spacing w:val="-2"/>
                <w:sz w:val="18"/>
                <w:szCs w:val="18"/>
              </w:rPr>
              <w:t>返回烧结系统</w:t>
            </w:r>
          </w:p>
        </w:tc>
        <w:tc>
          <w:tcPr>
            <w:tcW w:w="1327" w:type="dxa"/>
            <w:vAlign w:val="top"/>
          </w:tcPr>
          <w:p w14:paraId="21C6B58E">
            <w:pPr>
              <w:spacing w:before="120"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0977C47E">
            <w:pPr>
              <w:spacing w:before="124"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61B4E661">
            <w:pPr>
              <w:pStyle w:val="6"/>
              <w:spacing w:before="94" w:line="219" w:lineRule="auto"/>
              <w:ind w:left="1016"/>
              <w:rPr>
                <w:sz w:val="18"/>
                <w:szCs w:val="18"/>
              </w:rPr>
            </w:pPr>
            <w:r>
              <w:rPr>
                <w:spacing w:val="-2"/>
                <w:sz w:val="18"/>
                <w:szCs w:val="18"/>
              </w:rPr>
              <w:t>返回烧结系统</w:t>
            </w:r>
          </w:p>
        </w:tc>
        <w:tc>
          <w:tcPr>
            <w:tcW w:w="1230" w:type="dxa"/>
            <w:vAlign w:val="top"/>
          </w:tcPr>
          <w:p w14:paraId="309A679B">
            <w:pPr>
              <w:spacing w:before="120"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77D6EFAC">
            <w:pPr>
              <w:spacing w:before="120"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0511F9BA">
            <w:pPr>
              <w:spacing w:before="120"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6AC194E9">
            <w:pPr>
              <w:spacing w:before="120"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5D68C4FC">
            <w:pPr>
              <w:rPr>
                <w:rFonts w:ascii="Arial"/>
                <w:sz w:val="21"/>
              </w:rPr>
            </w:pPr>
          </w:p>
        </w:tc>
      </w:tr>
      <w:tr w14:paraId="668B72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730" w:type="dxa"/>
            <w:vMerge w:val="continue"/>
            <w:tcBorders>
              <w:top w:val="nil"/>
              <w:left w:val="nil"/>
              <w:bottom w:val="nil"/>
            </w:tcBorders>
            <w:vAlign w:val="top"/>
          </w:tcPr>
          <w:p w14:paraId="435A14D9">
            <w:pPr>
              <w:rPr>
                <w:rFonts w:ascii="Arial"/>
                <w:sz w:val="21"/>
              </w:rPr>
            </w:pPr>
          </w:p>
        </w:tc>
        <w:tc>
          <w:tcPr>
            <w:tcW w:w="1060" w:type="dxa"/>
            <w:vAlign w:val="top"/>
          </w:tcPr>
          <w:p w14:paraId="617B357C">
            <w:pPr>
              <w:spacing w:before="125" w:line="202" w:lineRule="auto"/>
              <w:ind w:left="410"/>
              <w:rPr>
                <w:rFonts w:ascii="Times New Roman" w:hAnsi="Times New Roman" w:eastAsia="Times New Roman" w:cs="Times New Roman"/>
                <w:sz w:val="11"/>
                <w:szCs w:val="11"/>
              </w:rPr>
            </w:pPr>
            <w:r>
              <w:rPr>
                <w:rFonts w:ascii="Times New Roman" w:hAnsi="Times New Roman" w:eastAsia="Times New Roman" w:cs="Times New Roman"/>
                <w:spacing w:val="-2"/>
                <w:sz w:val="18"/>
                <w:szCs w:val="18"/>
              </w:rPr>
              <w:t>S</w:t>
            </w:r>
            <w:r>
              <w:rPr>
                <w:rFonts w:ascii="Times New Roman" w:hAnsi="Times New Roman" w:eastAsia="Times New Roman" w:cs="Times New Roman"/>
                <w:spacing w:val="-2"/>
                <w:sz w:val="11"/>
                <w:szCs w:val="11"/>
              </w:rPr>
              <w:t>2-</w:t>
            </w:r>
            <w:r>
              <w:rPr>
                <w:rFonts w:ascii="Times New Roman" w:hAnsi="Times New Roman" w:eastAsia="Times New Roman" w:cs="Times New Roman"/>
                <w:spacing w:val="-14"/>
                <w:sz w:val="11"/>
                <w:szCs w:val="11"/>
              </w:rPr>
              <w:t xml:space="preserve"> </w:t>
            </w:r>
            <w:r>
              <w:rPr>
                <w:rFonts w:ascii="Times New Roman" w:hAnsi="Times New Roman" w:eastAsia="Times New Roman" w:cs="Times New Roman"/>
                <w:spacing w:val="-2"/>
                <w:sz w:val="11"/>
                <w:szCs w:val="11"/>
              </w:rPr>
              <w:t>1</w:t>
            </w:r>
          </w:p>
        </w:tc>
        <w:tc>
          <w:tcPr>
            <w:tcW w:w="2047" w:type="dxa"/>
            <w:vMerge w:val="continue"/>
            <w:tcBorders>
              <w:top w:val="nil"/>
              <w:bottom w:val="nil"/>
            </w:tcBorders>
            <w:vAlign w:val="top"/>
          </w:tcPr>
          <w:p w14:paraId="38FDAD76">
            <w:pPr>
              <w:rPr>
                <w:rFonts w:ascii="Arial"/>
                <w:sz w:val="21"/>
              </w:rPr>
            </w:pPr>
          </w:p>
        </w:tc>
        <w:tc>
          <w:tcPr>
            <w:tcW w:w="1781" w:type="dxa"/>
            <w:vAlign w:val="top"/>
          </w:tcPr>
          <w:p w14:paraId="28B66F39">
            <w:pPr>
              <w:pStyle w:val="6"/>
              <w:spacing w:before="94" w:line="219" w:lineRule="auto"/>
              <w:ind w:left="264"/>
              <w:rPr>
                <w:sz w:val="18"/>
                <w:szCs w:val="18"/>
              </w:rPr>
            </w:pPr>
            <w:r>
              <w:rPr>
                <w:spacing w:val="-1"/>
                <w:sz w:val="18"/>
                <w:szCs w:val="18"/>
              </w:rPr>
              <w:t>废反渗透膜组件</w:t>
            </w:r>
          </w:p>
        </w:tc>
        <w:tc>
          <w:tcPr>
            <w:tcW w:w="2416" w:type="dxa"/>
            <w:vAlign w:val="top"/>
          </w:tcPr>
          <w:p w14:paraId="2699E84B">
            <w:pPr>
              <w:pStyle w:val="6"/>
              <w:spacing w:before="94" w:line="219" w:lineRule="auto"/>
              <w:ind w:left="515"/>
              <w:rPr>
                <w:sz w:val="18"/>
                <w:szCs w:val="18"/>
              </w:rPr>
            </w:pPr>
            <w:r>
              <w:rPr>
                <w:spacing w:val="-4"/>
                <w:sz w:val="18"/>
                <w:szCs w:val="18"/>
              </w:rPr>
              <w:t>由其生产厂家回收</w:t>
            </w:r>
          </w:p>
        </w:tc>
        <w:tc>
          <w:tcPr>
            <w:tcW w:w="1327" w:type="dxa"/>
            <w:vAlign w:val="top"/>
          </w:tcPr>
          <w:p w14:paraId="33030B49">
            <w:pPr>
              <w:spacing w:before="122"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735F630E">
            <w:pPr>
              <w:spacing w:before="125"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6A02B854">
            <w:pPr>
              <w:pStyle w:val="6"/>
              <w:spacing w:before="94" w:line="219" w:lineRule="auto"/>
              <w:ind w:left="857"/>
              <w:rPr>
                <w:sz w:val="18"/>
                <w:szCs w:val="18"/>
              </w:rPr>
            </w:pPr>
            <w:r>
              <w:rPr>
                <w:spacing w:val="-4"/>
                <w:sz w:val="18"/>
                <w:szCs w:val="18"/>
              </w:rPr>
              <w:t>由其生产厂家回收</w:t>
            </w:r>
          </w:p>
        </w:tc>
        <w:tc>
          <w:tcPr>
            <w:tcW w:w="1230" w:type="dxa"/>
            <w:vAlign w:val="top"/>
          </w:tcPr>
          <w:p w14:paraId="7AFB1AAA">
            <w:pPr>
              <w:spacing w:before="122"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3FC4F485">
            <w:pPr>
              <w:spacing w:before="122"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554C2A53">
            <w:pPr>
              <w:spacing w:before="122"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00E22F0F">
            <w:pPr>
              <w:spacing w:before="122"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1DDE12DB">
            <w:pPr>
              <w:rPr>
                <w:rFonts w:ascii="Arial"/>
                <w:sz w:val="21"/>
              </w:rPr>
            </w:pPr>
          </w:p>
        </w:tc>
      </w:tr>
      <w:tr w14:paraId="32B28C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4" w:hRule="atLeast"/>
        </w:trPr>
        <w:tc>
          <w:tcPr>
            <w:tcW w:w="730" w:type="dxa"/>
            <w:vMerge w:val="continue"/>
            <w:tcBorders>
              <w:top w:val="nil"/>
              <w:left w:val="nil"/>
              <w:bottom w:val="nil"/>
            </w:tcBorders>
            <w:vAlign w:val="top"/>
          </w:tcPr>
          <w:p w14:paraId="7D8BC46F">
            <w:pPr>
              <w:rPr>
                <w:rFonts w:ascii="Arial"/>
                <w:sz w:val="21"/>
              </w:rPr>
            </w:pPr>
          </w:p>
        </w:tc>
        <w:tc>
          <w:tcPr>
            <w:tcW w:w="1060" w:type="dxa"/>
            <w:vAlign w:val="top"/>
          </w:tcPr>
          <w:p w14:paraId="0705BCC9">
            <w:pPr>
              <w:spacing w:line="313" w:lineRule="auto"/>
              <w:rPr>
                <w:rFonts w:ascii="Arial"/>
                <w:sz w:val="21"/>
              </w:rPr>
            </w:pPr>
          </w:p>
          <w:p w14:paraId="28FC999D">
            <w:pPr>
              <w:spacing w:before="52" w:line="199" w:lineRule="auto"/>
              <w:ind w:left="410"/>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S</w:t>
            </w:r>
            <w:r>
              <w:rPr>
                <w:rFonts w:ascii="Times New Roman" w:hAnsi="Times New Roman" w:eastAsia="Times New Roman" w:cs="Times New Roman"/>
                <w:spacing w:val="-1"/>
                <w:sz w:val="11"/>
                <w:szCs w:val="11"/>
              </w:rPr>
              <w:t>2-2</w:t>
            </w:r>
          </w:p>
        </w:tc>
        <w:tc>
          <w:tcPr>
            <w:tcW w:w="2047" w:type="dxa"/>
            <w:vMerge w:val="continue"/>
            <w:tcBorders>
              <w:top w:val="nil"/>
              <w:bottom w:val="nil"/>
            </w:tcBorders>
            <w:vAlign w:val="top"/>
          </w:tcPr>
          <w:p w14:paraId="193B61CF">
            <w:pPr>
              <w:rPr>
                <w:rFonts w:ascii="Arial"/>
                <w:sz w:val="21"/>
              </w:rPr>
            </w:pPr>
          </w:p>
        </w:tc>
        <w:tc>
          <w:tcPr>
            <w:tcW w:w="1781" w:type="dxa"/>
            <w:vAlign w:val="top"/>
          </w:tcPr>
          <w:p w14:paraId="640EC574">
            <w:pPr>
              <w:pStyle w:val="6"/>
              <w:spacing w:before="178" w:line="314" w:lineRule="auto"/>
              <w:ind w:left="803" w:right="65" w:hanging="736"/>
              <w:rPr>
                <w:sz w:val="18"/>
                <w:szCs w:val="18"/>
              </w:rPr>
            </w:pPr>
            <w:r>
              <w:rPr>
                <w:spacing w:val="-2"/>
                <w:sz w:val="18"/>
                <w:szCs w:val="18"/>
              </w:rPr>
              <w:t>废</w:t>
            </w:r>
            <w:r>
              <w:rPr>
                <w:spacing w:val="-32"/>
                <w:sz w:val="18"/>
                <w:szCs w:val="18"/>
              </w:rPr>
              <w:t xml:space="preserve"> </w:t>
            </w:r>
            <w:r>
              <w:rPr>
                <w:rFonts w:ascii="Times New Roman" w:hAnsi="Times New Roman" w:eastAsia="Times New Roman" w:cs="Times New Roman"/>
                <w:spacing w:val="-2"/>
                <w:sz w:val="18"/>
                <w:szCs w:val="18"/>
              </w:rPr>
              <w:t xml:space="preserve">EDI </w:t>
            </w:r>
            <w:r>
              <w:rPr>
                <w:spacing w:val="-2"/>
                <w:sz w:val="18"/>
                <w:szCs w:val="18"/>
              </w:rPr>
              <w:t>离子交换膜组</w:t>
            </w:r>
            <w:r>
              <w:rPr>
                <w:sz w:val="18"/>
                <w:szCs w:val="18"/>
              </w:rPr>
              <w:t xml:space="preserve"> 件</w:t>
            </w:r>
          </w:p>
        </w:tc>
        <w:tc>
          <w:tcPr>
            <w:tcW w:w="2416" w:type="dxa"/>
            <w:vAlign w:val="top"/>
          </w:tcPr>
          <w:p w14:paraId="7413D2AA">
            <w:pPr>
              <w:spacing w:line="276" w:lineRule="auto"/>
              <w:rPr>
                <w:rFonts w:ascii="Arial"/>
                <w:sz w:val="21"/>
              </w:rPr>
            </w:pPr>
          </w:p>
          <w:p w14:paraId="358ABCCF">
            <w:pPr>
              <w:pStyle w:val="6"/>
              <w:spacing w:before="59" w:line="219" w:lineRule="auto"/>
              <w:ind w:left="515"/>
              <w:rPr>
                <w:sz w:val="18"/>
                <w:szCs w:val="18"/>
              </w:rPr>
            </w:pPr>
            <w:r>
              <w:rPr>
                <w:spacing w:val="-4"/>
                <w:sz w:val="18"/>
                <w:szCs w:val="18"/>
              </w:rPr>
              <w:t>由其生产厂家回收</w:t>
            </w:r>
          </w:p>
        </w:tc>
        <w:tc>
          <w:tcPr>
            <w:tcW w:w="1327" w:type="dxa"/>
            <w:vAlign w:val="top"/>
          </w:tcPr>
          <w:p w14:paraId="39E0E672">
            <w:pPr>
              <w:spacing w:line="310" w:lineRule="auto"/>
              <w:rPr>
                <w:rFonts w:ascii="Arial"/>
                <w:sz w:val="21"/>
              </w:rPr>
            </w:pPr>
          </w:p>
          <w:p w14:paraId="564A4D2B">
            <w:pPr>
              <w:spacing w:before="52"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1F2CEBDB">
            <w:pPr>
              <w:spacing w:line="313" w:lineRule="auto"/>
              <w:rPr>
                <w:rFonts w:ascii="Arial"/>
                <w:sz w:val="21"/>
              </w:rPr>
            </w:pPr>
          </w:p>
          <w:p w14:paraId="189B4020">
            <w:pPr>
              <w:spacing w:before="52"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1DB7C601">
            <w:pPr>
              <w:spacing w:line="276" w:lineRule="auto"/>
              <w:rPr>
                <w:rFonts w:ascii="Arial"/>
                <w:sz w:val="21"/>
              </w:rPr>
            </w:pPr>
          </w:p>
          <w:p w14:paraId="6450F10A">
            <w:pPr>
              <w:pStyle w:val="6"/>
              <w:spacing w:before="59" w:line="219" w:lineRule="auto"/>
              <w:ind w:left="857"/>
              <w:rPr>
                <w:sz w:val="18"/>
                <w:szCs w:val="18"/>
              </w:rPr>
            </w:pPr>
            <w:r>
              <w:rPr>
                <w:spacing w:val="-4"/>
                <w:sz w:val="18"/>
                <w:szCs w:val="18"/>
              </w:rPr>
              <w:t>由其生产厂家回收</w:t>
            </w:r>
          </w:p>
        </w:tc>
        <w:tc>
          <w:tcPr>
            <w:tcW w:w="1230" w:type="dxa"/>
            <w:vAlign w:val="top"/>
          </w:tcPr>
          <w:p w14:paraId="68CDA17A">
            <w:pPr>
              <w:spacing w:line="310" w:lineRule="auto"/>
              <w:rPr>
                <w:rFonts w:ascii="Arial"/>
                <w:sz w:val="21"/>
              </w:rPr>
            </w:pPr>
          </w:p>
          <w:p w14:paraId="42943AE3">
            <w:pPr>
              <w:spacing w:before="52"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63770FDB">
            <w:pPr>
              <w:spacing w:line="310" w:lineRule="auto"/>
              <w:rPr>
                <w:rFonts w:ascii="Arial"/>
                <w:sz w:val="21"/>
              </w:rPr>
            </w:pPr>
          </w:p>
          <w:p w14:paraId="01986DC0">
            <w:pPr>
              <w:spacing w:before="52"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1452C643">
            <w:pPr>
              <w:spacing w:line="310" w:lineRule="auto"/>
              <w:rPr>
                <w:rFonts w:ascii="Arial"/>
                <w:sz w:val="21"/>
              </w:rPr>
            </w:pPr>
          </w:p>
          <w:p w14:paraId="54856D1B">
            <w:pPr>
              <w:spacing w:before="52"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1B9909FD">
            <w:pPr>
              <w:spacing w:line="310" w:lineRule="auto"/>
              <w:rPr>
                <w:rFonts w:ascii="Arial"/>
                <w:sz w:val="21"/>
              </w:rPr>
            </w:pPr>
          </w:p>
          <w:p w14:paraId="173B93C1">
            <w:pPr>
              <w:spacing w:before="52"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57751580">
            <w:pPr>
              <w:rPr>
                <w:rFonts w:ascii="Arial"/>
                <w:sz w:val="21"/>
              </w:rPr>
            </w:pPr>
          </w:p>
        </w:tc>
      </w:tr>
      <w:tr w14:paraId="653F1E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294578E4">
            <w:pPr>
              <w:rPr>
                <w:rFonts w:ascii="Arial"/>
                <w:sz w:val="21"/>
              </w:rPr>
            </w:pPr>
          </w:p>
        </w:tc>
        <w:tc>
          <w:tcPr>
            <w:tcW w:w="1060" w:type="dxa"/>
            <w:vAlign w:val="top"/>
          </w:tcPr>
          <w:p w14:paraId="6E9BFC71">
            <w:pPr>
              <w:spacing w:before="121" w:line="204" w:lineRule="auto"/>
              <w:ind w:left="410"/>
              <w:rPr>
                <w:rFonts w:ascii="Times New Roman" w:hAnsi="Times New Roman" w:eastAsia="Times New Roman" w:cs="Times New Roman"/>
                <w:sz w:val="11"/>
                <w:szCs w:val="11"/>
              </w:rPr>
            </w:pPr>
            <w:r>
              <w:rPr>
                <w:rFonts w:ascii="Times New Roman" w:hAnsi="Times New Roman" w:eastAsia="Times New Roman" w:cs="Times New Roman"/>
                <w:spacing w:val="-1"/>
                <w:sz w:val="18"/>
                <w:szCs w:val="18"/>
              </w:rPr>
              <w:t>S</w:t>
            </w:r>
            <w:r>
              <w:rPr>
                <w:rFonts w:ascii="Times New Roman" w:hAnsi="Times New Roman" w:eastAsia="Times New Roman" w:cs="Times New Roman"/>
                <w:spacing w:val="-1"/>
                <w:sz w:val="11"/>
                <w:szCs w:val="11"/>
              </w:rPr>
              <w:t>2-3</w:t>
            </w:r>
          </w:p>
        </w:tc>
        <w:tc>
          <w:tcPr>
            <w:tcW w:w="2047" w:type="dxa"/>
            <w:vMerge w:val="continue"/>
            <w:tcBorders>
              <w:top w:val="nil"/>
              <w:bottom w:val="nil"/>
            </w:tcBorders>
            <w:vAlign w:val="top"/>
          </w:tcPr>
          <w:p w14:paraId="048B5380">
            <w:pPr>
              <w:rPr>
                <w:rFonts w:ascii="Arial"/>
                <w:sz w:val="21"/>
              </w:rPr>
            </w:pPr>
          </w:p>
        </w:tc>
        <w:tc>
          <w:tcPr>
            <w:tcW w:w="1781" w:type="dxa"/>
            <w:vAlign w:val="top"/>
          </w:tcPr>
          <w:p w14:paraId="7E2CC6E8">
            <w:pPr>
              <w:pStyle w:val="6"/>
              <w:spacing w:before="92" w:line="219" w:lineRule="auto"/>
              <w:ind w:left="353"/>
              <w:rPr>
                <w:sz w:val="18"/>
                <w:szCs w:val="18"/>
              </w:rPr>
            </w:pPr>
            <w:r>
              <w:rPr>
                <w:spacing w:val="-2"/>
                <w:sz w:val="18"/>
                <w:szCs w:val="18"/>
              </w:rPr>
              <w:t>废脱硝催化剂</w:t>
            </w:r>
          </w:p>
        </w:tc>
        <w:tc>
          <w:tcPr>
            <w:tcW w:w="2416" w:type="dxa"/>
            <w:vAlign w:val="top"/>
          </w:tcPr>
          <w:p w14:paraId="0EA8C3A2">
            <w:pPr>
              <w:pStyle w:val="6"/>
              <w:spacing w:before="93" w:line="220" w:lineRule="auto"/>
              <w:ind w:left="401"/>
              <w:rPr>
                <w:sz w:val="18"/>
                <w:szCs w:val="18"/>
              </w:rPr>
            </w:pPr>
            <w:r>
              <w:rPr>
                <w:spacing w:val="-1"/>
                <w:sz w:val="18"/>
                <w:szCs w:val="18"/>
              </w:rPr>
              <w:t>委托有资质单位处理</w:t>
            </w:r>
          </w:p>
        </w:tc>
        <w:tc>
          <w:tcPr>
            <w:tcW w:w="1327" w:type="dxa"/>
            <w:vAlign w:val="top"/>
          </w:tcPr>
          <w:p w14:paraId="58FDFC6C">
            <w:pPr>
              <w:spacing w:before="118"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10907549">
            <w:pPr>
              <w:spacing w:before="122"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4E8F7118">
            <w:pPr>
              <w:pStyle w:val="6"/>
              <w:spacing w:before="93" w:line="220" w:lineRule="auto"/>
              <w:ind w:left="746"/>
              <w:rPr>
                <w:sz w:val="18"/>
                <w:szCs w:val="18"/>
              </w:rPr>
            </w:pPr>
            <w:r>
              <w:rPr>
                <w:spacing w:val="-1"/>
                <w:sz w:val="18"/>
                <w:szCs w:val="18"/>
              </w:rPr>
              <w:t>委托有资质单位处理</w:t>
            </w:r>
          </w:p>
        </w:tc>
        <w:tc>
          <w:tcPr>
            <w:tcW w:w="1230" w:type="dxa"/>
            <w:vAlign w:val="top"/>
          </w:tcPr>
          <w:p w14:paraId="0FD87125">
            <w:pPr>
              <w:spacing w:before="118"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1EABA6E9">
            <w:pPr>
              <w:spacing w:before="118"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755A82EE">
            <w:pPr>
              <w:spacing w:before="118"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19DF6C9A">
            <w:pPr>
              <w:spacing w:before="118"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11C64640">
            <w:pPr>
              <w:rPr>
                <w:rFonts w:ascii="Arial"/>
                <w:sz w:val="21"/>
              </w:rPr>
            </w:pPr>
          </w:p>
        </w:tc>
      </w:tr>
      <w:tr w14:paraId="0F44BB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730" w:type="dxa"/>
            <w:vMerge w:val="continue"/>
            <w:tcBorders>
              <w:top w:val="nil"/>
              <w:left w:val="nil"/>
              <w:bottom w:val="nil"/>
            </w:tcBorders>
            <w:vAlign w:val="top"/>
          </w:tcPr>
          <w:p w14:paraId="56A67577">
            <w:pPr>
              <w:rPr>
                <w:rFonts w:ascii="Arial"/>
                <w:sz w:val="21"/>
              </w:rPr>
            </w:pPr>
          </w:p>
        </w:tc>
        <w:tc>
          <w:tcPr>
            <w:tcW w:w="1060" w:type="dxa"/>
            <w:vAlign w:val="top"/>
          </w:tcPr>
          <w:p w14:paraId="1ED12179">
            <w:pPr>
              <w:spacing w:before="280" w:line="194" w:lineRule="auto"/>
              <w:ind w:left="460"/>
              <w:rPr>
                <w:rFonts w:ascii="Times New Roman" w:hAnsi="Times New Roman" w:eastAsia="Times New Roman" w:cs="Times New Roman"/>
                <w:sz w:val="11"/>
                <w:szCs w:val="11"/>
              </w:rPr>
            </w:pPr>
            <w:r>
              <w:rPr>
                <w:rFonts w:ascii="Times New Roman" w:hAnsi="Times New Roman" w:eastAsia="Times New Roman" w:cs="Times New Roman"/>
                <w:spacing w:val="-12"/>
                <w:sz w:val="18"/>
                <w:szCs w:val="18"/>
              </w:rPr>
              <w:t>S</w:t>
            </w:r>
            <w:r>
              <w:rPr>
                <w:rFonts w:ascii="Times New Roman" w:hAnsi="Times New Roman" w:eastAsia="Times New Roman" w:cs="Times New Roman"/>
                <w:position w:val="-1"/>
                <w:sz w:val="11"/>
                <w:szCs w:val="11"/>
              </w:rPr>
              <w:t>3</w:t>
            </w:r>
          </w:p>
        </w:tc>
        <w:tc>
          <w:tcPr>
            <w:tcW w:w="2047" w:type="dxa"/>
            <w:vMerge w:val="continue"/>
            <w:tcBorders>
              <w:top w:val="nil"/>
              <w:bottom w:val="nil"/>
            </w:tcBorders>
            <w:vAlign w:val="top"/>
          </w:tcPr>
          <w:p w14:paraId="5FACF544">
            <w:pPr>
              <w:rPr>
                <w:rFonts w:ascii="Arial"/>
                <w:sz w:val="21"/>
              </w:rPr>
            </w:pPr>
          </w:p>
        </w:tc>
        <w:tc>
          <w:tcPr>
            <w:tcW w:w="1781" w:type="dxa"/>
            <w:vAlign w:val="top"/>
          </w:tcPr>
          <w:p w14:paraId="256BFC04">
            <w:pPr>
              <w:pStyle w:val="6"/>
              <w:spacing w:before="252" w:line="219" w:lineRule="auto"/>
              <w:ind w:left="533"/>
              <w:rPr>
                <w:sz w:val="18"/>
                <w:szCs w:val="18"/>
              </w:rPr>
            </w:pPr>
            <w:r>
              <w:rPr>
                <w:spacing w:val="-2"/>
                <w:sz w:val="18"/>
                <w:szCs w:val="18"/>
              </w:rPr>
              <w:t>废矿物油</w:t>
            </w:r>
          </w:p>
        </w:tc>
        <w:tc>
          <w:tcPr>
            <w:tcW w:w="2416" w:type="dxa"/>
            <w:vAlign w:val="top"/>
          </w:tcPr>
          <w:p w14:paraId="336A8471">
            <w:pPr>
              <w:pStyle w:val="6"/>
              <w:spacing w:before="93" w:line="276" w:lineRule="auto"/>
              <w:ind w:left="672" w:right="35" w:hanging="624"/>
              <w:rPr>
                <w:sz w:val="18"/>
                <w:szCs w:val="18"/>
              </w:rPr>
            </w:pPr>
            <w:r>
              <w:rPr>
                <w:spacing w:val="-2"/>
                <w:sz w:val="18"/>
                <w:szCs w:val="18"/>
              </w:rPr>
              <w:t>收集到于密闭油桶内，厂区暂</w:t>
            </w:r>
            <w:r>
              <w:rPr>
                <w:spacing w:val="11"/>
                <w:sz w:val="18"/>
                <w:szCs w:val="18"/>
              </w:rPr>
              <w:t xml:space="preserve"> </w:t>
            </w:r>
            <w:r>
              <w:rPr>
                <w:spacing w:val="-2"/>
                <w:sz w:val="18"/>
                <w:szCs w:val="18"/>
              </w:rPr>
              <w:t>存，委托处理</w:t>
            </w:r>
          </w:p>
        </w:tc>
        <w:tc>
          <w:tcPr>
            <w:tcW w:w="1327" w:type="dxa"/>
            <w:vAlign w:val="top"/>
          </w:tcPr>
          <w:p w14:paraId="104CE319">
            <w:pPr>
              <w:spacing w:before="278"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3FB64B6D">
            <w:pPr>
              <w:spacing w:before="281"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2CF54533">
            <w:pPr>
              <w:pStyle w:val="6"/>
              <w:spacing w:before="252" w:line="219" w:lineRule="auto"/>
              <w:ind w:left="749"/>
              <w:rPr>
                <w:sz w:val="18"/>
                <w:szCs w:val="18"/>
              </w:rPr>
            </w:pPr>
            <w:r>
              <w:rPr>
                <w:spacing w:val="-2"/>
                <w:sz w:val="18"/>
                <w:szCs w:val="18"/>
              </w:rPr>
              <w:t>厂区设临时贮存场地</w:t>
            </w:r>
          </w:p>
        </w:tc>
        <w:tc>
          <w:tcPr>
            <w:tcW w:w="1230" w:type="dxa"/>
            <w:vAlign w:val="top"/>
          </w:tcPr>
          <w:p w14:paraId="60FD66FB">
            <w:pPr>
              <w:spacing w:before="278"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4E10748B">
            <w:pPr>
              <w:spacing w:before="278"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20FB52D7">
            <w:pPr>
              <w:spacing w:before="278"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1C90E03B">
            <w:pPr>
              <w:spacing w:before="278"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1654DE96">
            <w:pPr>
              <w:rPr>
                <w:rFonts w:ascii="Arial"/>
                <w:sz w:val="21"/>
              </w:rPr>
            </w:pPr>
          </w:p>
        </w:tc>
      </w:tr>
      <w:tr w14:paraId="5338B1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7295B282">
            <w:pPr>
              <w:rPr>
                <w:rFonts w:ascii="Arial"/>
                <w:sz w:val="21"/>
              </w:rPr>
            </w:pPr>
          </w:p>
        </w:tc>
        <w:tc>
          <w:tcPr>
            <w:tcW w:w="1060" w:type="dxa"/>
            <w:vAlign w:val="top"/>
          </w:tcPr>
          <w:p w14:paraId="1FBE6E68">
            <w:pPr>
              <w:spacing w:before="123" w:line="194" w:lineRule="auto"/>
              <w:ind w:left="460"/>
              <w:rPr>
                <w:rFonts w:ascii="Times New Roman" w:hAnsi="Times New Roman" w:eastAsia="Times New Roman" w:cs="Times New Roman"/>
                <w:sz w:val="11"/>
                <w:szCs w:val="11"/>
              </w:rPr>
            </w:pPr>
            <w:r>
              <w:rPr>
                <w:rFonts w:ascii="Times New Roman" w:hAnsi="Times New Roman" w:eastAsia="Times New Roman" w:cs="Times New Roman"/>
                <w:spacing w:val="-12"/>
                <w:sz w:val="18"/>
                <w:szCs w:val="18"/>
              </w:rPr>
              <w:t>S</w:t>
            </w:r>
            <w:r>
              <w:rPr>
                <w:rFonts w:ascii="Times New Roman" w:hAnsi="Times New Roman" w:eastAsia="Times New Roman" w:cs="Times New Roman"/>
                <w:position w:val="-1"/>
                <w:sz w:val="11"/>
                <w:szCs w:val="11"/>
              </w:rPr>
              <w:t>5</w:t>
            </w:r>
          </w:p>
        </w:tc>
        <w:tc>
          <w:tcPr>
            <w:tcW w:w="2047" w:type="dxa"/>
            <w:vMerge w:val="continue"/>
            <w:tcBorders>
              <w:top w:val="nil"/>
              <w:bottom w:val="nil"/>
            </w:tcBorders>
            <w:vAlign w:val="top"/>
          </w:tcPr>
          <w:p w14:paraId="4A44429D">
            <w:pPr>
              <w:rPr>
                <w:rFonts w:ascii="Arial"/>
                <w:sz w:val="21"/>
              </w:rPr>
            </w:pPr>
          </w:p>
        </w:tc>
        <w:tc>
          <w:tcPr>
            <w:tcW w:w="1781" w:type="dxa"/>
            <w:vAlign w:val="top"/>
          </w:tcPr>
          <w:p w14:paraId="5FDE01F6">
            <w:pPr>
              <w:pStyle w:val="6"/>
              <w:spacing w:before="95" w:line="219" w:lineRule="auto"/>
              <w:ind w:left="264"/>
              <w:rPr>
                <w:sz w:val="18"/>
                <w:szCs w:val="18"/>
              </w:rPr>
            </w:pPr>
            <w:r>
              <w:rPr>
                <w:spacing w:val="-1"/>
                <w:sz w:val="18"/>
                <w:szCs w:val="18"/>
              </w:rPr>
              <w:t>废离子交换树脂</w:t>
            </w:r>
          </w:p>
        </w:tc>
        <w:tc>
          <w:tcPr>
            <w:tcW w:w="2416" w:type="dxa"/>
            <w:vAlign w:val="top"/>
          </w:tcPr>
          <w:p w14:paraId="6DCD1A8E">
            <w:pPr>
              <w:pStyle w:val="6"/>
              <w:spacing w:before="95" w:line="219" w:lineRule="auto"/>
              <w:ind w:left="515"/>
              <w:rPr>
                <w:sz w:val="18"/>
                <w:szCs w:val="18"/>
              </w:rPr>
            </w:pPr>
            <w:r>
              <w:rPr>
                <w:spacing w:val="-4"/>
                <w:sz w:val="18"/>
                <w:szCs w:val="18"/>
              </w:rPr>
              <w:t>由其生产厂家回收</w:t>
            </w:r>
          </w:p>
        </w:tc>
        <w:tc>
          <w:tcPr>
            <w:tcW w:w="1327" w:type="dxa"/>
            <w:vAlign w:val="top"/>
          </w:tcPr>
          <w:p w14:paraId="4702CFEF">
            <w:pPr>
              <w:spacing w:before="120"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107B50AB">
            <w:pPr>
              <w:spacing w:before="124"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0B99CA2F">
            <w:pPr>
              <w:pStyle w:val="6"/>
              <w:spacing w:before="95" w:line="219" w:lineRule="auto"/>
              <w:ind w:left="749"/>
              <w:rPr>
                <w:sz w:val="18"/>
                <w:szCs w:val="18"/>
              </w:rPr>
            </w:pPr>
            <w:r>
              <w:rPr>
                <w:spacing w:val="-2"/>
                <w:sz w:val="18"/>
                <w:szCs w:val="18"/>
              </w:rPr>
              <w:t>厂区设临时贮存场地</w:t>
            </w:r>
          </w:p>
        </w:tc>
        <w:tc>
          <w:tcPr>
            <w:tcW w:w="1230" w:type="dxa"/>
            <w:vAlign w:val="top"/>
          </w:tcPr>
          <w:p w14:paraId="3EE05AA9">
            <w:pPr>
              <w:spacing w:before="120"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2D8A5D49">
            <w:pPr>
              <w:spacing w:before="120"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7267FED8">
            <w:pPr>
              <w:spacing w:before="120"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7279FF18">
            <w:pPr>
              <w:spacing w:before="120"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39FD3B16">
            <w:pPr>
              <w:rPr>
                <w:rFonts w:ascii="Arial"/>
                <w:sz w:val="21"/>
              </w:rPr>
            </w:pPr>
          </w:p>
        </w:tc>
      </w:tr>
      <w:tr w14:paraId="3723C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30" w:type="dxa"/>
            <w:vMerge w:val="continue"/>
            <w:tcBorders>
              <w:top w:val="nil"/>
              <w:left w:val="nil"/>
              <w:bottom w:val="nil"/>
            </w:tcBorders>
            <w:vAlign w:val="top"/>
          </w:tcPr>
          <w:p w14:paraId="19F7232E">
            <w:pPr>
              <w:rPr>
                <w:rFonts w:ascii="Arial"/>
                <w:sz w:val="21"/>
              </w:rPr>
            </w:pPr>
          </w:p>
        </w:tc>
        <w:tc>
          <w:tcPr>
            <w:tcW w:w="1060" w:type="dxa"/>
            <w:vAlign w:val="top"/>
          </w:tcPr>
          <w:p w14:paraId="15E5E1CA">
            <w:pPr>
              <w:spacing w:before="123" w:line="194" w:lineRule="auto"/>
              <w:ind w:left="460"/>
              <w:rPr>
                <w:rFonts w:ascii="Times New Roman" w:hAnsi="Times New Roman" w:eastAsia="Times New Roman" w:cs="Times New Roman"/>
                <w:sz w:val="11"/>
                <w:szCs w:val="11"/>
              </w:rPr>
            </w:pPr>
            <w:r>
              <w:rPr>
                <w:rFonts w:ascii="Times New Roman" w:hAnsi="Times New Roman" w:eastAsia="Times New Roman" w:cs="Times New Roman"/>
                <w:spacing w:val="-12"/>
                <w:sz w:val="18"/>
                <w:szCs w:val="18"/>
              </w:rPr>
              <w:t>S</w:t>
            </w:r>
            <w:r>
              <w:rPr>
                <w:rFonts w:ascii="Times New Roman" w:hAnsi="Times New Roman" w:eastAsia="Times New Roman" w:cs="Times New Roman"/>
                <w:position w:val="-1"/>
                <w:sz w:val="11"/>
                <w:szCs w:val="11"/>
              </w:rPr>
              <w:t>6</w:t>
            </w:r>
          </w:p>
        </w:tc>
        <w:tc>
          <w:tcPr>
            <w:tcW w:w="2047" w:type="dxa"/>
            <w:vMerge w:val="continue"/>
            <w:tcBorders>
              <w:top w:val="nil"/>
              <w:bottom w:val="nil"/>
            </w:tcBorders>
            <w:vAlign w:val="top"/>
          </w:tcPr>
          <w:p w14:paraId="2BB419B4">
            <w:pPr>
              <w:rPr>
                <w:rFonts w:ascii="Arial"/>
                <w:sz w:val="21"/>
              </w:rPr>
            </w:pPr>
          </w:p>
        </w:tc>
        <w:tc>
          <w:tcPr>
            <w:tcW w:w="1781" w:type="dxa"/>
            <w:vAlign w:val="top"/>
          </w:tcPr>
          <w:p w14:paraId="5F8C5BBE">
            <w:pPr>
              <w:pStyle w:val="6"/>
              <w:spacing w:before="95" w:line="219" w:lineRule="auto"/>
              <w:ind w:left="533"/>
              <w:rPr>
                <w:sz w:val="18"/>
                <w:szCs w:val="18"/>
              </w:rPr>
            </w:pPr>
            <w:r>
              <w:rPr>
                <w:spacing w:val="-2"/>
                <w:sz w:val="18"/>
                <w:szCs w:val="18"/>
              </w:rPr>
              <w:t>废分子筛</w:t>
            </w:r>
          </w:p>
        </w:tc>
        <w:tc>
          <w:tcPr>
            <w:tcW w:w="2416" w:type="dxa"/>
            <w:vAlign w:val="top"/>
          </w:tcPr>
          <w:p w14:paraId="699C038C">
            <w:pPr>
              <w:pStyle w:val="6"/>
              <w:spacing w:before="95" w:line="219" w:lineRule="auto"/>
              <w:ind w:left="515"/>
              <w:rPr>
                <w:sz w:val="18"/>
                <w:szCs w:val="18"/>
              </w:rPr>
            </w:pPr>
            <w:r>
              <w:rPr>
                <w:spacing w:val="-4"/>
                <w:sz w:val="18"/>
                <w:szCs w:val="18"/>
              </w:rPr>
              <w:t>由其生产厂家回收</w:t>
            </w:r>
          </w:p>
        </w:tc>
        <w:tc>
          <w:tcPr>
            <w:tcW w:w="1327" w:type="dxa"/>
            <w:vAlign w:val="top"/>
          </w:tcPr>
          <w:p w14:paraId="53C85FF7">
            <w:pPr>
              <w:spacing w:before="120"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0F2B20AC">
            <w:pPr>
              <w:spacing w:before="123"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736A05F0">
            <w:pPr>
              <w:pStyle w:val="6"/>
              <w:spacing w:before="95" w:line="219" w:lineRule="auto"/>
              <w:ind w:left="749"/>
              <w:rPr>
                <w:sz w:val="18"/>
                <w:szCs w:val="18"/>
              </w:rPr>
            </w:pPr>
            <w:r>
              <w:rPr>
                <w:spacing w:val="-2"/>
                <w:sz w:val="18"/>
                <w:szCs w:val="18"/>
              </w:rPr>
              <w:t>厂区设临时贮存场地</w:t>
            </w:r>
          </w:p>
        </w:tc>
        <w:tc>
          <w:tcPr>
            <w:tcW w:w="1230" w:type="dxa"/>
            <w:vAlign w:val="top"/>
          </w:tcPr>
          <w:p w14:paraId="005CED3A">
            <w:pPr>
              <w:spacing w:before="120"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7E6D085D">
            <w:pPr>
              <w:spacing w:before="120"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4E24AE1C">
            <w:pPr>
              <w:spacing w:before="120"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67114499">
            <w:pPr>
              <w:spacing w:before="120"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bottom w:val="nil"/>
              <w:right w:val="nil"/>
            </w:tcBorders>
            <w:vAlign w:val="top"/>
          </w:tcPr>
          <w:p w14:paraId="494647AF">
            <w:pPr>
              <w:rPr>
                <w:rFonts w:ascii="Arial"/>
                <w:sz w:val="21"/>
              </w:rPr>
            </w:pPr>
          </w:p>
        </w:tc>
      </w:tr>
      <w:tr w14:paraId="7D446E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30" w:type="dxa"/>
            <w:vMerge w:val="continue"/>
            <w:tcBorders>
              <w:top w:val="nil"/>
              <w:left w:val="nil"/>
              <w:bottom w:val="nil"/>
            </w:tcBorders>
            <w:vAlign w:val="top"/>
          </w:tcPr>
          <w:p w14:paraId="2C434191">
            <w:pPr>
              <w:rPr>
                <w:rFonts w:ascii="Arial"/>
                <w:sz w:val="21"/>
              </w:rPr>
            </w:pPr>
          </w:p>
        </w:tc>
        <w:tc>
          <w:tcPr>
            <w:tcW w:w="1060" w:type="dxa"/>
            <w:vAlign w:val="top"/>
          </w:tcPr>
          <w:p w14:paraId="791FB086">
            <w:pPr>
              <w:spacing w:before="124" w:line="194" w:lineRule="auto"/>
              <w:ind w:left="460"/>
              <w:rPr>
                <w:rFonts w:ascii="Times New Roman" w:hAnsi="Times New Roman" w:eastAsia="Times New Roman" w:cs="Times New Roman"/>
                <w:sz w:val="11"/>
                <w:szCs w:val="11"/>
              </w:rPr>
            </w:pPr>
            <w:r>
              <w:rPr>
                <w:rFonts w:ascii="Times New Roman" w:hAnsi="Times New Roman" w:eastAsia="Times New Roman" w:cs="Times New Roman"/>
                <w:spacing w:val="-12"/>
                <w:sz w:val="18"/>
                <w:szCs w:val="18"/>
              </w:rPr>
              <w:t>S</w:t>
            </w:r>
            <w:r>
              <w:rPr>
                <w:rFonts w:ascii="Times New Roman" w:hAnsi="Times New Roman" w:eastAsia="Times New Roman" w:cs="Times New Roman"/>
                <w:position w:val="-1"/>
                <w:sz w:val="11"/>
                <w:szCs w:val="11"/>
              </w:rPr>
              <w:t>7</w:t>
            </w:r>
          </w:p>
        </w:tc>
        <w:tc>
          <w:tcPr>
            <w:tcW w:w="2047" w:type="dxa"/>
            <w:vMerge w:val="continue"/>
            <w:tcBorders>
              <w:top w:val="nil"/>
            </w:tcBorders>
            <w:vAlign w:val="top"/>
          </w:tcPr>
          <w:p w14:paraId="02645879">
            <w:pPr>
              <w:rPr>
                <w:rFonts w:ascii="Arial"/>
                <w:sz w:val="21"/>
              </w:rPr>
            </w:pPr>
          </w:p>
        </w:tc>
        <w:tc>
          <w:tcPr>
            <w:tcW w:w="1781" w:type="dxa"/>
            <w:vAlign w:val="top"/>
          </w:tcPr>
          <w:p w14:paraId="61BEF9B3">
            <w:pPr>
              <w:pStyle w:val="6"/>
              <w:spacing w:before="95" w:line="220" w:lineRule="auto"/>
              <w:ind w:left="446"/>
              <w:rPr>
                <w:sz w:val="18"/>
                <w:szCs w:val="18"/>
              </w:rPr>
            </w:pPr>
            <w:r>
              <w:rPr>
                <w:spacing w:val="-2"/>
                <w:sz w:val="18"/>
                <w:szCs w:val="18"/>
              </w:rPr>
              <w:t>化验室废液</w:t>
            </w:r>
          </w:p>
        </w:tc>
        <w:tc>
          <w:tcPr>
            <w:tcW w:w="2416" w:type="dxa"/>
            <w:vAlign w:val="top"/>
          </w:tcPr>
          <w:p w14:paraId="70D7ECB0">
            <w:pPr>
              <w:pStyle w:val="6"/>
              <w:spacing w:before="96" w:line="219" w:lineRule="auto"/>
              <w:ind w:left="404"/>
              <w:rPr>
                <w:sz w:val="18"/>
                <w:szCs w:val="18"/>
              </w:rPr>
            </w:pPr>
            <w:r>
              <w:rPr>
                <w:spacing w:val="-2"/>
                <w:sz w:val="18"/>
                <w:szCs w:val="18"/>
              </w:rPr>
              <w:t>厂区暂存，委托处理</w:t>
            </w:r>
          </w:p>
        </w:tc>
        <w:tc>
          <w:tcPr>
            <w:tcW w:w="1327" w:type="dxa"/>
            <w:vAlign w:val="top"/>
          </w:tcPr>
          <w:p w14:paraId="009E67AA">
            <w:pPr>
              <w:spacing w:before="121"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vAlign w:val="top"/>
          </w:tcPr>
          <w:p w14:paraId="15F2A454">
            <w:pPr>
              <w:spacing w:before="124" w:line="188" w:lineRule="auto"/>
              <w:ind w:left="58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05" w:type="dxa"/>
            <w:gridSpan w:val="3"/>
            <w:vAlign w:val="top"/>
          </w:tcPr>
          <w:p w14:paraId="2900ABC6">
            <w:pPr>
              <w:pStyle w:val="6"/>
              <w:spacing w:before="96" w:line="219" w:lineRule="auto"/>
              <w:ind w:left="749"/>
              <w:rPr>
                <w:sz w:val="18"/>
                <w:szCs w:val="18"/>
              </w:rPr>
            </w:pPr>
            <w:r>
              <w:rPr>
                <w:spacing w:val="-2"/>
                <w:sz w:val="18"/>
                <w:szCs w:val="18"/>
              </w:rPr>
              <w:t>厂区设临时贮存场地</w:t>
            </w:r>
          </w:p>
        </w:tc>
        <w:tc>
          <w:tcPr>
            <w:tcW w:w="1230" w:type="dxa"/>
            <w:vAlign w:val="top"/>
          </w:tcPr>
          <w:p w14:paraId="51339B0F">
            <w:pPr>
              <w:spacing w:before="121"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vAlign w:val="top"/>
          </w:tcPr>
          <w:p w14:paraId="16191291">
            <w:pPr>
              <w:spacing w:before="121"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vAlign w:val="top"/>
          </w:tcPr>
          <w:p w14:paraId="6ED4F18F">
            <w:pPr>
              <w:spacing w:before="121"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vAlign w:val="top"/>
          </w:tcPr>
          <w:p w14:paraId="6380A6C4">
            <w:pPr>
              <w:spacing w:before="121"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vMerge w:val="continue"/>
            <w:tcBorders>
              <w:top w:val="nil"/>
              <w:right w:val="nil"/>
            </w:tcBorders>
            <w:vAlign w:val="top"/>
          </w:tcPr>
          <w:p w14:paraId="3F4D1F34">
            <w:pPr>
              <w:rPr>
                <w:rFonts w:ascii="Arial"/>
                <w:sz w:val="21"/>
              </w:rPr>
            </w:pPr>
          </w:p>
        </w:tc>
      </w:tr>
      <w:tr w14:paraId="01AA3F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6" w:hRule="atLeast"/>
        </w:trPr>
        <w:tc>
          <w:tcPr>
            <w:tcW w:w="730" w:type="dxa"/>
            <w:tcBorders>
              <w:top w:val="nil"/>
              <w:left w:val="nil"/>
              <w:bottom w:val="single" w:color="000000" w:sz="10" w:space="0"/>
            </w:tcBorders>
            <w:vAlign w:val="top"/>
          </w:tcPr>
          <w:p w14:paraId="333872BA">
            <w:pPr>
              <w:rPr>
                <w:rFonts w:ascii="Arial"/>
                <w:sz w:val="21"/>
              </w:rPr>
            </w:pPr>
          </w:p>
        </w:tc>
        <w:tc>
          <w:tcPr>
            <w:tcW w:w="1060" w:type="dxa"/>
            <w:tcBorders>
              <w:bottom w:val="single" w:color="000000" w:sz="10" w:space="0"/>
            </w:tcBorders>
            <w:vAlign w:val="top"/>
          </w:tcPr>
          <w:p w14:paraId="63AB1FF1">
            <w:pPr>
              <w:spacing w:before="284" w:line="194" w:lineRule="auto"/>
              <w:ind w:left="460"/>
              <w:rPr>
                <w:rFonts w:ascii="Times New Roman" w:hAnsi="Times New Roman" w:eastAsia="Times New Roman" w:cs="Times New Roman"/>
                <w:sz w:val="11"/>
                <w:szCs w:val="11"/>
              </w:rPr>
            </w:pPr>
            <w:r>
              <w:rPr>
                <w:rFonts w:ascii="Times New Roman" w:hAnsi="Times New Roman" w:eastAsia="Times New Roman" w:cs="Times New Roman"/>
                <w:spacing w:val="-12"/>
                <w:sz w:val="18"/>
                <w:szCs w:val="18"/>
              </w:rPr>
              <w:t>S</w:t>
            </w:r>
            <w:r>
              <w:rPr>
                <w:rFonts w:ascii="Times New Roman" w:hAnsi="Times New Roman" w:eastAsia="Times New Roman" w:cs="Times New Roman"/>
                <w:position w:val="-1"/>
                <w:sz w:val="11"/>
                <w:szCs w:val="11"/>
              </w:rPr>
              <w:t>4</w:t>
            </w:r>
          </w:p>
        </w:tc>
        <w:tc>
          <w:tcPr>
            <w:tcW w:w="2047" w:type="dxa"/>
            <w:tcBorders>
              <w:bottom w:val="single" w:color="000000" w:sz="10" w:space="0"/>
            </w:tcBorders>
            <w:vAlign w:val="top"/>
          </w:tcPr>
          <w:p w14:paraId="14F352EF">
            <w:pPr>
              <w:pStyle w:val="6"/>
              <w:spacing w:before="254" w:line="220" w:lineRule="auto"/>
              <w:ind w:left="669"/>
              <w:rPr>
                <w:sz w:val="18"/>
                <w:szCs w:val="18"/>
              </w:rPr>
            </w:pPr>
            <w:r>
              <w:rPr>
                <w:spacing w:val="-3"/>
                <w:sz w:val="18"/>
                <w:szCs w:val="18"/>
              </w:rPr>
              <w:t>生活垃圾</w:t>
            </w:r>
          </w:p>
        </w:tc>
        <w:tc>
          <w:tcPr>
            <w:tcW w:w="1781" w:type="dxa"/>
            <w:tcBorders>
              <w:bottom w:val="single" w:color="000000" w:sz="10" w:space="0"/>
            </w:tcBorders>
            <w:vAlign w:val="top"/>
          </w:tcPr>
          <w:p w14:paraId="0E9517D0">
            <w:pPr>
              <w:pStyle w:val="6"/>
              <w:spacing w:before="254" w:line="220" w:lineRule="auto"/>
              <w:ind w:left="535"/>
              <w:rPr>
                <w:sz w:val="18"/>
                <w:szCs w:val="18"/>
              </w:rPr>
            </w:pPr>
            <w:r>
              <w:rPr>
                <w:spacing w:val="-3"/>
                <w:sz w:val="18"/>
                <w:szCs w:val="18"/>
              </w:rPr>
              <w:t>生活垃圾</w:t>
            </w:r>
          </w:p>
        </w:tc>
        <w:tc>
          <w:tcPr>
            <w:tcW w:w="2416" w:type="dxa"/>
            <w:tcBorders>
              <w:bottom w:val="single" w:color="000000" w:sz="10" w:space="0"/>
            </w:tcBorders>
            <w:vAlign w:val="top"/>
          </w:tcPr>
          <w:p w14:paraId="0C1C1CB2">
            <w:pPr>
              <w:pStyle w:val="6"/>
              <w:spacing w:before="96" w:line="287" w:lineRule="auto"/>
              <w:ind w:left="583" w:right="35" w:hanging="539"/>
              <w:rPr>
                <w:sz w:val="18"/>
                <w:szCs w:val="18"/>
              </w:rPr>
            </w:pPr>
            <w:r>
              <w:rPr>
                <w:spacing w:val="-1"/>
                <w:sz w:val="18"/>
                <w:szCs w:val="18"/>
              </w:rPr>
              <w:t>厂区内集中收集，委托当地环</w:t>
            </w:r>
            <w:r>
              <w:rPr>
                <w:spacing w:val="2"/>
                <w:sz w:val="18"/>
                <w:szCs w:val="18"/>
              </w:rPr>
              <w:t xml:space="preserve"> </w:t>
            </w:r>
            <w:r>
              <w:rPr>
                <w:spacing w:val="-2"/>
                <w:sz w:val="18"/>
                <w:szCs w:val="18"/>
              </w:rPr>
              <w:t>卫部门定期清理</w:t>
            </w:r>
          </w:p>
        </w:tc>
        <w:tc>
          <w:tcPr>
            <w:tcW w:w="1327" w:type="dxa"/>
            <w:tcBorders>
              <w:bottom w:val="single" w:color="000000" w:sz="10" w:space="0"/>
            </w:tcBorders>
            <w:vAlign w:val="top"/>
          </w:tcPr>
          <w:p w14:paraId="2F8F7EA0">
            <w:pPr>
              <w:spacing w:before="281" w:line="192" w:lineRule="auto"/>
              <w:ind w:left="636"/>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247" w:type="dxa"/>
            <w:tcBorders>
              <w:bottom w:val="single" w:color="000000" w:sz="10" w:space="0"/>
            </w:tcBorders>
            <w:vAlign w:val="top"/>
          </w:tcPr>
          <w:p w14:paraId="53B6F23A">
            <w:pPr>
              <w:spacing w:before="285" w:line="188" w:lineRule="auto"/>
              <w:ind w:left="39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116.55</w:t>
            </w:r>
          </w:p>
        </w:tc>
        <w:tc>
          <w:tcPr>
            <w:tcW w:w="3105" w:type="dxa"/>
            <w:gridSpan w:val="3"/>
            <w:tcBorders>
              <w:bottom w:val="single" w:color="000000" w:sz="10" w:space="0"/>
            </w:tcBorders>
            <w:vAlign w:val="top"/>
          </w:tcPr>
          <w:p w14:paraId="7E27481E">
            <w:pPr>
              <w:pStyle w:val="6"/>
              <w:spacing w:before="254" w:line="219" w:lineRule="auto"/>
              <w:ind w:left="750"/>
              <w:rPr>
                <w:sz w:val="18"/>
                <w:szCs w:val="18"/>
              </w:rPr>
            </w:pPr>
            <w:r>
              <w:rPr>
                <w:spacing w:val="-2"/>
                <w:sz w:val="18"/>
                <w:szCs w:val="18"/>
              </w:rPr>
              <w:t>设垃圾集中收集装置</w:t>
            </w:r>
          </w:p>
        </w:tc>
        <w:tc>
          <w:tcPr>
            <w:tcW w:w="1230" w:type="dxa"/>
            <w:tcBorders>
              <w:bottom w:val="single" w:color="000000" w:sz="10" w:space="0"/>
            </w:tcBorders>
            <w:vAlign w:val="top"/>
          </w:tcPr>
          <w:p w14:paraId="23124B6A">
            <w:pPr>
              <w:spacing w:before="281" w:line="192" w:lineRule="auto"/>
              <w:ind w:left="587"/>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60" w:type="dxa"/>
            <w:tcBorders>
              <w:bottom w:val="single" w:color="000000" w:sz="10" w:space="0"/>
            </w:tcBorders>
            <w:vAlign w:val="top"/>
          </w:tcPr>
          <w:p w14:paraId="35035C63">
            <w:pPr>
              <w:spacing w:before="281" w:line="192" w:lineRule="auto"/>
              <w:ind w:left="502"/>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674" w:type="dxa"/>
            <w:tcBorders>
              <w:bottom w:val="single" w:color="000000" w:sz="10" w:space="0"/>
            </w:tcBorders>
            <w:vAlign w:val="top"/>
          </w:tcPr>
          <w:p w14:paraId="26105B3C">
            <w:pPr>
              <w:spacing w:before="281" w:line="192" w:lineRule="auto"/>
              <w:ind w:left="810"/>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1004" w:type="dxa"/>
            <w:tcBorders>
              <w:bottom w:val="single" w:color="000000" w:sz="10" w:space="0"/>
            </w:tcBorders>
            <w:vAlign w:val="top"/>
          </w:tcPr>
          <w:p w14:paraId="48E85D6B">
            <w:pPr>
              <w:spacing w:before="281" w:line="192" w:lineRule="auto"/>
              <w:ind w:left="47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c>
          <w:tcPr>
            <w:tcW w:w="2504" w:type="dxa"/>
            <w:tcBorders>
              <w:bottom w:val="single" w:color="000000" w:sz="10" w:space="0"/>
              <w:right w:val="nil"/>
            </w:tcBorders>
            <w:vAlign w:val="top"/>
          </w:tcPr>
          <w:p w14:paraId="38C9A20D">
            <w:pPr>
              <w:spacing w:before="281" w:line="192" w:lineRule="auto"/>
              <w:ind w:left="1225"/>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c>
      </w:tr>
    </w:tbl>
    <w:p w14:paraId="381F24AA">
      <w:pPr>
        <w:pStyle w:val="2"/>
      </w:pPr>
    </w:p>
    <w:p w14:paraId="7F3B2730">
      <w:pPr>
        <w:sectPr>
          <w:headerReference r:id="rId504" w:type="default"/>
          <w:footerReference r:id="rId505" w:type="default"/>
          <w:pgSz w:w="23814" w:h="16840"/>
          <w:pgMar w:top="1191" w:right="1314" w:bottom="1361" w:left="1313" w:header="882" w:footer="1199" w:gutter="0"/>
          <w:cols w:space="720" w:num="1"/>
        </w:sectPr>
      </w:pPr>
    </w:p>
    <w:p w14:paraId="123A8F49">
      <w:pPr>
        <w:spacing w:line="28" w:lineRule="exact"/>
      </w:pPr>
      <w:r>
        <w:pict>
          <v:shape id="_x0000_s3096" o:spid="_x0000_s3096" style="height:1.45pt;width:453.55pt;" fillcolor="#000000" filled="t" stroked="f" coordsize="9070,29" path="m0,0l9070,0,9070,28,0,28,0,0xe">
            <v:path/>
            <v:fill on="t" focussize="0,0"/>
            <v:stroke on="f"/>
            <v:imagedata o:title=""/>
            <o:lock v:ext="edit"/>
            <w10:wrap type="none"/>
            <w10:anchorlock/>
          </v:shape>
        </w:pict>
      </w:r>
    </w:p>
    <w:p w14:paraId="59D4D021">
      <w:pPr>
        <w:pStyle w:val="2"/>
        <w:spacing w:line="389" w:lineRule="auto"/>
      </w:pPr>
    </w:p>
    <w:p w14:paraId="7FEC2020">
      <w:pPr>
        <w:spacing w:before="113" w:line="226" w:lineRule="auto"/>
        <w:ind w:left="2923"/>
        <w:outlineLvl w:val="0"/>
        <w:rPr>
          <w:rFonts w:ascii="黑体" w:hAnsi="黑体" w:eastAsia="黑体" w:cs="黑体"/>
          <w:sz w:val="35"/>
          <w:szCs w:val="35"/>
        </w:rPr>
      </w:pPr>
      <w:bookmarkStart w:id="490" w:name="bookmark448"/>
      <w:bookmarkEnd w:id="490"/>
      <w:bookmarkStart w:id="491" w:name="bookmark450"/>
      <w:bookmarkEnd w:id="491"/>
      <w:r>
        <w:rPr>
          <w:rFonts w:ascii="黑体" w:hAnsi="黑体" w:eastAsia="黑体" w:cs="黑体"/>
          <w:b/>
          <w:bCs/>
          <w:spacing w:val="2"/>
          <w:sz w:val="35"/>
          <w:szCs w:val="35"/>
        </w:rPr>
        <w:t>第</w:t>
      </w:r>
      <w:r>
        <w:rPr>
          <w:rFonts w:ascii="黑体" w:hAnsi="黑体" w:eastAsia="黑体" w:cs="黑体"/>
          <w:spacing w:val="-72"/>
          <w:sz w:val="35"/>
          <w:szCs w:val="35"/>
        </w:rPr>
        <w:t xml:space="preserve"> </w:t>
      </w:r>
      <w:r>
        <w:rPr>
          <w:rFonts w:ascii="Times New Roman" w:hAnsi="Times New Roman" w:eastAsia="Times New Roman" w:cs="Times New Roman"/>
          <w:b/>
          <w:bCs/>
          <w:spacing w:val="2"/>
          <w:sz w:val="35"/>
          <w:szCs w:val="35"/>
        </w:rPr>
        <w:t xml:space="preserve">9 </w:t>
      </w:r>
      <w:r>
        <w:rPr>
          <w:rFonts w:ascii="黑体" w:hAnsi="黑体" w:eastAsia="黑体" w:cs="黑体"/>
          <w:b/>
          <w:bCs/>
          <w:spacing w:val="2"/>
          <w:sz w:val="35"/>
          <w:szCs w:val="35"/>
        </w:rPr>
        <w:t>章</w:t>
      </w:r>
      <w:r>
        <w:rPr>
          <w:rFonts w:ascii="黑体" w:hAnsi="黑体" w:eastAsia="黑体" w:cs="黑体"/>
          <w:spacing w:val="11"/>
          <w:sz w:val="35"/>
          <w:szCs w:val="35"/>
        </w:rPr>
        <w:t xml:space="preserve">  </w:t>
      </w:r>
      <w:r>
        <w:rPr>
          <w:rFonts w:ascii="黑体" w:hAnsi="黑体" w:eastAsia="黑体" w:cs="黑体"/>
          <w:b/>
          <w:bCs/>
          <w:spacing w:val="2"/>
          <w:sz w:val="35"/>
          <w:szCs w:val="35"/>
        </w:rPr>
        <w:t>碳排放评价</w:t>
      </w:r>
    </w:p>
    <w:p w14:paraId="7387B320">
      <w:pPr>
        <w:pStyle w:val="2"/>
        <w:spacing w:line="469" w:lineRule="auto"/>
      </w:pPr>
    </w:p>
    <w:p w14:paraId="2737AEBB">
      <w:pPr>
        <w:spacing w:before="101" w:line="228" w:lineRule="auto"/>
        <w:ind w:left="13"/>
        <w:outlineLvl w:val="1"/>
        <w:rPr>
          <w:rFonts w:ascii="黑体" w:hAnsi="黑体" w:eastAsia="黑体" w:cs="黑体"/>
          <w:sz w:val="31"/>
          <w:szCs w:val="31"/>
        </w:rPr>
      </w:pPr>
      <w:r>
        <w:rPr>
          <w:rFonts w:ascii="Times New Roman" w:hAnsi="Times New Roman" w:eastAsia="Times New Roman" w:cs="Times New Roman"/>
          <w:spacing w:val="7"/>
          <w:sz w:val="31"/>
          <w:szCs w:val="31"/>
        </w:rPr>
        <w:t xml:space="preserve">9.1 </w:t>
      </w:r>
      <w:r>
        <w:rPr>
          <w:rFonts w:ascii="黑体" w:hAnsi="黑体" w:eastAsia="黑体" w:cs="黑体"/>
          <w:spacing w:val="7"/>
          <w:sz w:val="31"/>
          <w:szCs w:val="31"/>
        </w:rPr>
        <w:t>管理规定与技术指南、规范</w:t>
      </w:r>
    </w:p>
    <w:p w14:paraId="2D07A4E6">
      <w:pPr>
        <w:spacing w:before="225" w:line="212" w:lineRule="auto"/>
        <w:ind w:left="50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）《国家</w:t>
      </w:r>
      <w:r>
        <w:rPr>
          <w:rFonts w:ascii="Times New Roman" w:hAnsi="Times New Roman" w:eastAsia="Times New Roman" w:cs="Times New Roman"/>
          <w:spacing w:val="-1"/>
          <w:sz w:val="24"/>
          <w:szCs w:val="24"/>
        </w:rPr>
        <w:t>"</w:t>
      </w:r>
      <w:r>
        <w:rPr>
          <w:rFonts w:ascii="宋体" w:hAnsi="宋体" w:eastAsia="宋体" w:cs="宋体"/>
          <w:spacing w:val="-1"/>
          <w:sz w:val="24"/>
          <w:szCs w:val="24"/>
        </w:rPr>
        <w:t>十三五</w:t>
      </w:r>
      <w:r>
        <w:rPr>
          <w:rFonts w:ascii="Times New Roman" w:hAnsi="Times New Roman" w:eastAsia="Times New Roman" w:cs="Times New Roman"/>
          <w:spacing w:val="-1"/>
          <w:sz w:val="24"/>
          <w:szCs w:val="24"/>
        </w:rPr>
        <w:t>"</w:t>
      </w:r>
      <w:r>
        <w:rPr>
          <w:rFonts w:ascii="宋体" w:hAnsi="宋体" w:eastAsia="宋体" w:cs="宋体"/>
          <w:spacing w:val="-1"/>
          <w:sz w:val="24"/>
          <w:szCs w:val="24"/>
        </w:rPr>
        <w:t>控制温室气体排放工作方案》（国发</w:t>
      </w:r>
      <w:r>
        <w:rPr>
          <w:rFonts w:ascii="Times New Roman" w:hAnsi="Times New Roman" w:eastAsia="Times New Roman" w:cs="Times New Roman"/>
          <w:spacing w:val="-1"/>
          <w:sz w:val="24"/>
          <w:szCs w:val="24"/>
        </w:rPr>
        <w:t>[2016]61</w:t>
      </w:r>
      <w:r>
        <w:rPr>
          <w:rFonts w:ascii="宋体" w:hAnsi="宋体" w:eastAsia="宋体" w:cs="宋体"/>
          <w:spacing w:val="-1"/>
          <w:sz w:val="24"/>
          <w:szCs w:val="24"/>
        </w:rPr>
        <w:t>号</w:t>
      </w:r>
      <w:r>
        <w:rPr>
          <w:rFonts w:ascii="宋体" w:hAnsi="宋体" w:eastAsia="宋体" w:cs="宋体"/>
          <w:spacing w:val="6"/>
          <w:sz w:val="24"/>
          <w:szCs w:val="24"/>
        </w:rPr>
        <w:t>）；</w:t>
      </w:r>
    </w:p>
    <w:p w14:paraId="3796D2BE">
      <w:pPr>
        <w:spacing w:before="214" w:line="219" w:lineRule="auto"/>
        <w:ind w:left="50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）《关于切实做好全国碳排放权交易市场启动重点工作的通知》（发改办气候</w:t>
      </w:r>
    </w:p>
    <w:p w14:paraId="7AB015BE">
      <w:pPr>
        <w:spacing w:before="203" w:line="212" w:lineRule="auto"/>
        <w:ind w:left="20"/>
        <w:rPr>
          <w:rFonts w:ascii="宋体" w:hAnsi="宋体" w:eastAsia="宋体" w:cs="宋体"/>
          <w:sz w:val="24"/>
          <w:szCs w:val="24"/>
        </w:rPr>
      </w:pPr>
      <w:r>
        <w:rPr>
          <w:rFonts w:ascii="Times New Roman" w:hAnsi="Times New Roman" w:eastAsia="Times New Roman" w:cs="Times New Roman"/>
          <w:spacing w:val="-3"/>
          <w:sz w:val="24"/>
          <w:szCs w:val="24"/>
        </w:rPr>
        <w:t>[2016]57</w:t>
      </w:r>
      <w:r>
        <w:rPr>
          <w:rFonts w:ascii="宋体" w:hAnsi="宋体" w:eastAsia="宋体" w:cs="宋体"/>
          <w:spacing w:val="-3"/>
          <w:sz w:val="24"/>
          <w:szCs w:val="24"/>
        </w:rPr>
        <w:t>号</w:t>
      </w:r>
      <w:r>
        <w:rPr>
          <w:rFonts w:ascii="宋体" w:hAnsi="宋体" w:eastAsia="宋体" w:cs="宋体"/>
          <w:spacing w:val="2"/>
          <w:sz w:val="24"/>
          <w:szCs w:val="24"/>
        </w:rPr>
        <w:t>）；</w:t>
      </w:r>
    </w:p>
    <w:p w14:paraId="3D67F77E">
      <w:pPr>
        <w:spacing w:before="214" w:line="294" w:lineRule="auto"/>
        <w:ind w:left="14" w:right="99" w:firstLine="486"/>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）《国家发展改革委办公厅关于印发首批</w:t>
      </w:r>
      <w:r>
        <w:rPr>
          <w:rFonts w:ascii="Times New Roman" w:hAnsi="Times New Roman" w:eastAsia="Times New Roman" w:cs="Times New Roman"/>
          <w:spacing w:val="1"/>
          <w:sz w:val="24"/>
          <w:szCs w:val="24"/>
        </w:rPr>
        <w:t>10</w:t>
      </w:r>
      <w:r>
        <w:rPr>
          <w:rFonts w:ascii="宋体" w:hAnsi="宋体" w:eastAsia="宋体" w:cs="宋体"/>
          <w:spacing w:val="1"/>
          <w:sz w:val="24"/>
          <w:szCs w:val="24"/>
        </w:rPr>
        <w:t>个行业企业温室气体排放核算方法</w:t>
      </w:r>
      <w:r>
        <w:rPr>
          <w:rFonts w:ascii="宋体" w:hAnsi="宋体" w:eastAsia="宋体" w:cs="宋体"/>
          <w:spacing w:val="10"/>
          <w:sz w:val="24"/>
          <w:szCs w:val="24"/>
        </w:rPr>
        <w:t xml:space="preserve"> </w:t>
      </w:r>
      <w:r>
        <w:rPr>
          <w:rFonts w:ascii="宋体" w:hAnsi="宋体" w:eastAsia="宋体" w:cs="宋体"/>
          <w:spacing w:val="-1"/>
          <w:sz w:val="24"/>
          <w:szCs w:val="24"/>
        </w:rPr>
        <w:t>与报告指南（试行）的通知》（发改办气候</w:t>
      </w:r>
      <w:r>
        <w:rPr>
          <w:rFonts w:ascii="Times New Roman" w:hAnsi="Times New Roman" w:eastAsia="Times New Roman" w:cs="Times New Roman"/>
          <w:spacing w:val="-1"/>
          <w:sz w:val="24"/>
          <w:szCs w:val="24"/>
        </w:rPr>
        <w:t>[2013]2526</w:t>
      </w:r>
      <w:r>
        <w:rPr>
          <w:rFonts w:ascii="宋体" w:hAnsi="宋体" w:eastAsia="宋体" w:cs="宋体"/>
          <w:spacing w:val="-1"/>
          <w:sz w:val="24"/>
          <w:szCs w:val="24"/>
        </w:rPr>
        <w:t>号</w:t>
      </w:r>
      <w:r>
        <w:rPr>
          <w:rFonts w:ascii="宋体" w:hAnsi="宋体" w:eastAsia="宋体" w:cs="宋体"/>
          <w:spacing w:val="6"/>
          <w:sz w:val="24"/>
          <w:szCs w:val="24"/>
        </w:rPr>
        <w:t>）；</w:t>
      </w:r>
    </w:p>
    <w:p w14:paraId="2E1CFDD1">
      <w:pPr>
        <w:spacing w:before="214" w:line="218" w:lineRule="auto"/>
        <w:ind w:left="50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）《中国化工生产企业温室气体排放核算方法与报告指南（试行）》；</w:t>
      </w:r>
    </w:p>
    <w:p w14:paraId="62C51F35">
      <w:pPr>
        <w:spacing w:before="204" w:line="298" w:lineRule="auto"/>
        <w:ind w:left="10" w:right="99" w:firstLine="490"/>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）《工业企业温室气体排放排放核算和报告 通则》（</w:t>
      </w:r>
      <w:r>
        <w:rPr>
          <w:rFonts w:ascii="Times New Roman" w:hAnsi="Times New Roman" w:eastAsia="Times New Roman" w:cs="Times New Roman"/>
          <w:spacing w:val="-3"/>
          <w:sz w:val="24"/>
          <w:szCs w:val="24"/>
        </w:rPr>
        <w:t>GB/T32150-2015</w:t>
      </w:r>
      <w:r>
        <w:rPr>
          <w:rFonts w:ascii="宋体" w:hAnsi="宋体" w:eastAsia="宋体" w:cs="宋体"/>
          <w:spacing w:val="13"/>
          <w:sz w:val="24"/>
          <w:szCs w:val="24"/>
        </w:rPr>
        <w:t>），</w:t>
      </w:r>
      <w:r>
        <w:rPr>
          <w:rFonts w:ascii="宋体" w:hAnsi="宋体" w:eastAsia="宋体" w:cs="宋体"/>
          <w:spacing w:val="-3"/>
          <w:sz w:val="24"/>
          <w:szCs w:val="24"/>
        </w:rPr>
        <w:t>国家</w:t>
      </w:r>
      <w:r>
        <w:rPr>
          <w:rFonts w:ascii="宋体" w:hAnsi="宋体" w:eastAsia="宋体" w:cs="宋体"/>
          <w:spacing w:val="1"/>
          <w:sz w:val="24"/>
          <w:szCs w:val="24"/>
        </w:rPr>
        <w:t xml:space="preserve"> </w:t>
      </w:r>
      <w:r>
        <w:rPr>
          <w:rFonts w:ascii="宋体" w:hAnsi="宋体" w:eastAsia="宋体" w:cs="宋体"/>
          <w:spacing w:val="-2"/>
          <w:sz w:val="24"/>
          <w:szCs w:val="24"/>
        </w:rPr>
        <w:t>标准委，</w:t>
      </w:r>
      <w:r>
        <w:rPr>
          <w:rFonts w:ascii="Times New Roman" w:hAnsi="Times New Roman" w:eastAsia="Times New Roman" w:cs="Times New Roman"/>
          <w:spacing w:val="-2"/>
          <w:sz w:val="24"/>
          <w:szCs w:val="24"/>
        </w:rPr>
        <w:t>2015</w:t>
      </w:r>
      <w:r>
        <w:rPr>
          <w:rFonts w:ascii="宋体" w:hAnsi="宋体" w:eastAsia="宋体" w:cs="宋体"/>
          <w:spacing w:val="-2"/>
          <w:sz w:val="24"/>
          <w:szCs w:val="24"/>
        </w:rPr>
        <w:t>年；</w:t>
      </w:r>
    </w:p>
    <w:p w14:paraId="03C5ACE8">
      <w:pPr>
        <w:spacing w:before="204" w:line="299" w:lineRule="auto"/>
        <w:ind w:left="10" w:firstLine="49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6</w:t>
      </w:r>
      <w:r>
        <w:rPr>
          <w:rFonts w:ascii="宋体" w:hAnsi="宋体" w:eastAsia="宋体" w:cs="宋体"/>
          <w:spacing w:val="-2"/>
          <w:sz w:val="24"/>
          <w:szCs w:val="24"/>
        </w:rPr>
        <w:t>）《关于加强企业温室气体排放报告管理相关工</w:t>
      </w:r>
      <w:r>
        <w:rPr>
          <w:rFonts w:ascii="宋体" w:hAnsi="宋体" w:eastAsia="宋体" w:cs="宋体"/>
          <w:spacing w:val="-3"/>
          <w:sz w:val="24"/>
          <w:szCs w:val="24"/>
        </w:rPr>
        <w:t>作的通知》（环办气候（</w:t>
      </w:r>
      <w:r>
        <w:rPr>
          <w:rFonts w:ascii="Times New Roman" w:hAnsi="Times New Roman" w:eastAsia="Times New Roman" w:cs="Times New Roman"/>
          <w:spacing w:val="-3"/>
          <w:sz w:val="24"/>
          <w:szCs w:val="24"/>
        </w:rPr>
        <w:t>2021</w:t>
      </w:r>
      <w:r>
        <w:rPr>
          <w:rFonts w:ascii="宋体" w:hAnsi="宋体" w:eastAsia="宋体" w:cs="宋体"/>
          <w:spacing w:val="-3"/>
          <w:sz w:val="24"/>
          <w:szCs w:val="24"/>
        </w:rPr>
        <w:t>）</w:t>
      </w:r>
      <w:r>
        <w:rPr>
          <w:rFonts w:ascii="宋体" w:hAnsi="宋体" w:eastAsia="宋体" w:cs="宋体"/>
          <w:sz w:val="24"/>
          <w:szCs w:val="24"/>
        </w:rPr>
        <w:t xml:space="preserve"> </w:t>
      </w:r>
      <w:r>
        <w:rPr>
          <w:rFonts w:ascii="Times New Roman" w:hAnsi="Times New Roman" w:eastAsia="Times New Roman" w:cs="Times New Roman"/>
          <w:spacing w:val="-5"/>
          <w:sz w:val="24"/>
          <w:szCs w:val="24"/>
        </w:rPr>
        <w:t>9</w:t>
      </w:r>
      <w:r>
        <w:rPr>
          <w:rFonts w:ascii="宋体" w:hAnsi="宋体" w:eastAsia="宋体" w:cs="宋体"/>
          <w:spacing w:val="-5"/>
          <w:sz w:val="24"/>
          <w:szCs w:val="24"/>
        </w:rPr>
        <w:t>号</w:t>
      </w:r>
      <w:r>
        <w:rPr>
          <w:rFonts w:ascii="宋体" w:hAnsi="宋体" w:eastAsia="宋体" w:cs="宋体"/>
          <w:sz w:val="24"/>
          <w:szCs w:val="24"/>
        </w:rPr>
        <w:t>）；</w:t>
      </w:r>
    </w:p>
    <w:p w14:paraId="6828F857">
      <w:pPr>
        <w:spacing w:before="201" w:line="294" w:lineRule="auto"/>
        <w:ind w:left="10" w:right="99"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7</w:t>
      </w:r>
      <w:r>
        <w:rPr>
          <w:rFonts w:ascii="宋体" w:hAnsi="宋体" w:eastAsia="宋体" w:cs="宋体"/>
          <w:spacing w:val="1"/>
          <w:sz w:val="24"/>
          <w:szCs w:val="24"/>
        </w:rPr>
        <w:t>）《关于印发〈企业温室气体排放报告核查指南（试行）〉的通知》（环办气</w:t>
      </w:r>
      <w:r>
        <w:rPr>
          <w:rFonts w:ascii="宋体" w:hAnsi="宋体" w:eastAsia="宋体" w:cs="宋体"/>
          <w:spacing w:val="11"/>
          <w:sz w:val="24"/>
          <w:szCs w:val="24"/>
        </w:rPr>
        <w:t xml:space="preserve"> </w:t>
      </w:r>
      <w:r>
        <w:rPr>
          <w:rFonts w:ascii="宋体" w:hAnsi="宋体" w:eastAsia="宋体" w:cs="宋体"/>
          <w:spacing w:val="-1"/>
          <w:sz w:val="24"/>
          <w:szCs w:val="24"/>
        </w:rPr>
        <w:t>候函</w:t>
      </w:r>
      <w:r>
        <w:rPr>
          <w:rFonts w:ascii="Times New Roman" w:hAnsi="Times New Roman" w:eastAsia="Times New Roman" w:cs="Times New Roman"/>
          <w:spacing w:val="-1"/>
          <w:sz w:val="24"/>
          <w:szCs w:val="24"/>
        </w:rPr>
        <w:t>[2021]130</w:t>
      </w:r>
      <w:r>
        <w:rPr>
          <w:rFonts w:ascii="宋体" w:hAnsi="宋体" w:eastAsia="宋体" w:cs="宋体"/>
          <w:spacing w:val="-1"/>
          <w:sz w:val="24"/>
          <w:szCs w:val="24"/>
        </w:rPr>
        <w:t>号</w:t>
      </w:r>
      <w:r>
        <w:rPr>
          <w:rFonts w:ascii="宋体" w:hAnsi="宋体" w:eastAsia="宋体" w:cs="宋体"/>
          <w:sz w:val="24"/>
          <w:szCs w:val="24"/>
        </w:rPr>
        <w:t>）；</w:t>
      </w:r>
    </w:p>
    <w:p w14:paraId="649A3CFE">
      <w:pPr>
        <w:spacing w:before="215" w:line="293" w:lineRule="auto"/>
        <w:ind w:left="12" w:right="99" w:firstLine="488"/>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8</w:t>
      </w:r>
      <w:r>
        <w:rPr>
          <w:rFonts w:ascii="宋体" w:hAnsi="宋体" w:eastAsia="宋体" w:cs="宋体"/>
          <w:spacing w:val="-1"/>
          <w:sz w:val="24"/>
          <w:szCs w:val="24"/>
        </w:rPr>
        <w:t>）《关于统筹和加强应对气候变化与生态环境保</w:t>
      </w:r>
      <w:r>
        <w:rPr>
          <w:rFonts w:ascii="宋体" w:hAnsi="宋体" w:eastAsia="宋体" w:cs="宋体"/>
          <w:spacing w:val="-2"/>
          <w:sz w:val="24"/>
          <w:szCs w:val="24"/>
        </w:rPr>
        <w:t>护相关工作的指导意见》</w:t>
      </w:r>
      <w:r>
        <w:rPr>
          <w:rFonts w:ascii="宋体" w:hAnsi="宋体" w:eastAsia="宋体" w:cs="宋体"/>
          <w:spacing w:val="-24"/>
          <w:sz w:val="24"/>
          <w:szCs w:val="24"/>
        </w:rPr>
        <w:t xml:space="preserve"> </w:t>
      </w:r>
      <w:r>
        <w:rPr>
          <w:rFonts w:ascii="宋体" w:hAnsi="宋体" w:eastAsia="宋体" w:cs="宋体"/>
          <w:spacing w:val="-2"/>
          <w:sz w:val="24"/>
          <w:szCs w:val="24"/>
        </w:rPr>
        <w:t>（环</w:t>
      </w:r>
      <w:r>
        <w:rPr>
          <w:rFonts w:ascii="宋体" w:hAnsi="宋体" w:eastAsia="宋体" w:cs="宋体"/>
          <w:sz w:val="24"/>
          <w:szCs w:val="24"/>
        </w:rPr>
        <w:t xml:space="preserve"> </w:t>
      </w:r>
      <w:r>
        <w:rPr>
          <w:rFonts w:ascii="宋体" w:hAnsi="宋体" w:eastAsia="宋体" w:cs="宋体"/>
          <w:spacing w:val="-1"/>
          <w:sz w:val="24"/>
          <w:szCs w:val="24"/>
        </w:rPr>
        <w:t>综合</w:t>
      </w:r>
      <w:r>
        <w:rPr>
          <w:rFonts w:ascii="Times New Roman" w:hAnsi="Times New Roman" w:eastAsia="Times New Roman" w:cs="Times New Roman"/>
          <w:spacing w:val="-1"/>
          <w:sz w:val="24"/>
          <w:szCs w:val="24"/>
        </w:rPr>
        <w:t>[2021]4</w:t>
      </w:r>
      <w:r>
        <w:rPr>
          <w:rFonts w:ascii="宋体" w:hAnsi="宋体" w:eastAsia="宋体" w:cs="宋体"/>
          <w:spacing w:val="-1"/>
          <w:sz w:val="24"/>
          <w:szCs w:val="24"/>
        </w:rPr>
        <w:t>号，</w:t>
      </w:r>
      <w:r>
        <w:rPr>
          <w:rFonts w:ascii="Times New Roman" w:hAnsi="Times New Roman" w:eastAsia="Times New Roman" w:cs="Times New Roman"/>
          <w:spacing w:val="-1"/>
          <w:sz w:val="24"/>
          <w:szCs w:val="24"/>
        </w:rPr>
        <w:t>2021.1.9</w:t>
      </w:r>
      <w:r>
        <w:rPr>
          <w:rFonts w:ascii="宋体" w:hAnsi="宋体" w:eastAsia="宋体" w:cs="宋体"/>
          <w:spacing w:val="2"/>
          <w:sz w:val="24"/>
          <w:szCs w:val="24"/>
        </w:rPr>
        <w:t>）；</w:t>
      </w:r>
    </w:p>
    <w:p w14:paraId="08FEC236">
      <w:pPr>
        <w:spacing w:before="214" w:line="218" w:lineRule="auto"/>
        <w:ind w:left="50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9</w:t>
      </w:r>
      <w:r>
        <w:rPr>
          <w:rFonts w:ascii="宋体" w:hAnsi="宋体" w:eastAsia="宋体" w:cs="宋体"/>
          <w:spacing w:val="-1"/>
          <w:sz w:val="24"/>
          <w:szCs w:val="24"/>
        </w:rPr>
        <w:t>）《重庆市建设项目环境影响评价技术指南</w:t>
      </w:r>
      <w:r>
        <w:rPr>
          <w:rFonts w:ascii="Times New Roman" w:hAnsi="Times New Roman" w:eastAsia="Times New Roman" w:cs="Times New Roman"/>
          <w:spacing w:val="-1"/>
          <w:sz w:val="24"/>
          <w:szCs w:val="24"/>
        </w:rPr>
        <w:t>—</w:t>
      </w:r>
      <w:r>
        <w:rPr>
          <w:rFonts w:ascii="宋体" w:hAnsi="宋体" w:eastAsia="宋体" w:cs="宋体"/>
          <w:spacing w:val="-1"/>
          <w:sz w:val="24"/>
          <w:szCs w:val="24"/>
        </w:rPr>
        <w:t>碳排放评价（试行）》。</w:t>
      </w:r>
    </w:p>
    <w:p w14:paraId="281CB8D8">
      <w:pPr>
        <w:spacing w:before="249" w:line="226" w:lineRule="auto"/>
        <w:ind w:left="13"/>
        <w:outlineLvl w:val="1"/>
        <w:rPr>
          <w:rFonts w:ascii="黑体" w:hAnsi="黑体" w:eastAsia="黑体" w:cs="黑体"/>
          <w:sz w:val="31"/>
          <w:szCs w:val="31"/>
        </w:rPr>
      </w:pPr>
      <w:bookmarkStart w:id="492" w:name="bookmark452"/>
      <w:bookmarkEnd w:id="492"/>
      <w:r>
        <w:rPr>
          <w:rFonts w:ascii="Times New Roman" w:hAnsi="Times New Roman" w:eastAsia="Times New Roman" w:cs="Times New Roman"/>
          <w:spacing w:val="6"/>
          <w:sz w:val="31"/>
          <w:szCs w:val="31"/>
        </w:rPr>
        <w:t xml:space="preserve">9.2 </w:t>
      </w:r>
      <w:r>
        <w:rPr>
          <w:rFonts w:ascii="黑体" w:hAnsi="黑体" w:eastAsia="黑体" w:cs="黑体"/>
          <w:spacing w:val="6"/>
          <w:sz w:val="31"/>
          <w:szCs w:val="31"/>
        </w:rPr>
        <w:t>本项目碳排放概述</w:t>
      </w:r>
    </w:p>
    <w:p w14:paraId="6F90D6C9">
      <w:pPr>
        <w:spacing w:before="232" w:line="369" w:lineRule="auto"/>
        <w:ind w:left="8" w:right="99" w:firstLine="481"/>
        <w:jc w:val="both"/>
        <w:rPr>
          <w:rFonts w:ascii="宋体" w:hAnsi="宋体" w:eastAsia="宋体" w:cs="宋体"/>
          <w:sz w:val="24"/>
          <w:szCs w:val="24"/>
        </w:rPr>
      </w:pPr>
      <w:r>
        <w:rPr>
          <w:rFonts w:ascii="宋体" w:hAnsi="宋体" w:eastAsia="宋体" w:cs="宋体"/>
          <w:spacing w:val="3"/>
          <w:sz w:val="24"/>
          <w:szCs w:val="24"/>
        </w:rPr>
        <w:t>本项目碳排放边界为内蒙古新创发展科技有限公司一期</w:t>
      </w:r>
      <w:r>
        <w:rPr>
          <w:rFonts w:ascii="Times New Roman" w:hAnsi="Times New Roman" w:eastAsia="Times New Roman" w:cs="Times New Roman"/>
          <w:spacing w:val="3"/>
          <w:sz w:val="24"/>
          <w:szCs w:val="24"/>
        </w:rPr>
        <w:t>6</w:t>
      </w:r>
      <w:r>
        <w:rPr>
          <w:rFonts w:ascii="宋体" w:hAnsi="宋体" w:eastAsia="宋体" w:cs="宋体"/>
          <w:spacing w:val="2"/>
          <w:sz w:val="24"/>
          <w:szCs w:val="24"/>
        </w:rPr>
        <w:t>×</w:t>
      </w:r>
      <w:r>
        <w:rPr>
          <w:rFonts w:ascii="Times New Roman" w:hAnsi="Times New Roman" w:eastAsia="Times New Roman" w:cs="Times New Roman"/>
          <w:spacing w:val="2"/>
          <w:sz w:val="24"/>
          <w:szCs w:val="24"/>
        </w:rPr>
        <w:t>36</w:t>
      </w:r>
      <w:r>
        <w:rPr>
          <w:rFonts w:ascii="Times New Roman" w:hAnsi="Times New Roman" w:eastAsia="Times New Roman" w:cs="Times New Roman"/>
          <w:sz w:val="24"/>
          <w:szCs w:val="24"/>
        </w:rPr>
        <w:t>MW</w:t>
      </w:r>
      <w:r>
        <w:rPr>
          <w:rFonts w:ascii="宋体" w:hAnsi="宋体" w:eastAsia="宋体" w:cs="宋体"/>
          <w:spacing w:val="2"/>
          <w:sz w:val="24"/>
          <w:szCs w:val="24"/>
        </w:rPr>
        <w:t>直流锰硅合金全</w:t>
      </w:r>
      <w:r>
        <w:rPr>
          <w:rFonts w:ascii="宋体" w:hAnsi="宋体" w:eastAsia="宋体" w:cs="宋体"/>
          <w:sz w:val="24"/>
          <w:szCs w:val="24"/>
        </w:rPr>
        <w:t xml:space="preserve"> </w:t>
      </w:r>
      <w:r>
        <w:rPr>
          <w:rFonts w:ascii="宋体" w:hAnsi="宋体" w:eastAsia="宋体" w:cs="宋体"/>
          <w:spacing w:val="3"/>
          <w:sz w:val="24"/>
          <w:szCs w:val="24"/>
        </w:rPr>
        <w:t>密闭电炉项目，主要生产装置包括</w:t>
      </w:r>
      <w:r>
        <w:rPr>
          <w:rFonts w:ascii="Times New Roman" w:hAnsi="Times New Roman" w:eastAsia="Times New Roman" w:cs="Times New Roman"/>
          <w:spacing w:val="3"/>
          <w:sz w:val="24"/>
          <w:szCs w:val="24"/>
        </w:rPr>
        <w:t>6</w:t>
      </w:r>
      <w:r>
        <w:rPr>
          <w:rFonts w:ascii="宋体" w:hAnsi="宋体" w:eastAsia="宋体" w:cs="宋体"/>
          <w:spacing w:val="3"/>
          <w:sz w:val="24"/>
          <w:szCs w:val="24"/>
        </w:rPr>
        <w:t>台</w:t>
      </w:r>
      <w:r>
        <w:rPr>
          <w:rFonts w:ascii="Times New Roman" w:hAnsi="Times New Roman" w:eastAsia="Times New Roman" w:cs="Times New Roman"/>
          <w:spacing w:val="3"/>
          <w:sz w:val="24"/>
          <w:szCs w:val="24"/>
        </w:rPr>
        <w:t>36</w:t>
      </w:r>
      <w:r>
        <w:rPr>
          <w:rFonts w:ascii="Times New Roman" w:hAnsi="Times New Roman" w:eastAsia="Times New Roman" w:cs="Times New Roman"/>
          <w:sz w:val="24"/>
          <w:szCs w:val="24"/>
        </w:rPr>
        <w:t>MW</w:t>
      </w:r>
      <w:r>
        <w:rPr>
          <w:rFonts w:ascii="宋体" w:hAnsi="宋体" w:eastAsia="宋体" w:cs="宋体"/>
          <w:spacing w:val="3"/>
          <w:sz w:val="24"/>
          <w:szCs w:val="24"/>
        </w:rPr>
        <w:t>直流锰硅</w:t>
      </w:r>
      <w:r>
        <w:rPr>
          <w:rFonts w:ascii="宋体" w:hAnsi="宋体" w:eastAsia="宋体" w:cs="宋体"/>
          <w:spacing w:val="2"/>
          <w:sz w:val="24"/>
          <w:szCs w:val="24"/>
        </w:rPr>
        <w:t>合金全密闭电炉、尾气发电装置</w:t>
      </w:r>
      <w:r>
        <w:rPr>
          <w:rFonts w:ascii="宋体" w:hAnsi="宋体" w:eastAsia="宋体" w:cs="宋体"/>
          <w:sz w:val="24"/>
          <w:szCs w:val="24"/>
        </w:rPr>
        <w:t xml:space="preserve"> </w:t>
      </w:r>
      <w:r>
        <w:rPr>
          <w:rFonts w:ascii="宋体" w:hAnsi="宋体" w:eastAsia="宋体" w:cs="宋体"/>
          <w:spacing w:val="-2"/>
          <w:sz w:val="24"/>
          <w:szCs w:val="24"/>
        </w:rPr>
        <w:t>及辅助配套设施设备。测算边界内的碳排放源主要包括购入的电力、焦炭、电极糊及柴</w:t>
      </w:r>
      <w:r>
        <w:rPr>
          <w:rFonts w:ascii="宋体" w:hAnsi="宋体" w:eastAsia="宋体" w:cs="宋体"/>
          <w:spacing w:val="16"/>
          <w:sz w:val="24"/>
          <w:szCs w:val="24"/>
        </w:rPr>
        <w:t xml:space="preserve"> </w:t>
      </w:r>
      <w:r>
        <w:rPr>
          <w:rFonts w:ascii="宋体" w:hAnsi="宋体" w:eastAsia="宋体" w:cs="宋体"/>
          <w:spacing w:val="-3"/>
          <w:sz w:val="24"/>
          <w:szCs w:val="24"/>
        </w:rPr>
        <w:t>油等。</w:t>
      </w:r>
    </w:p>
    <w:p w14:paraId="657FB8DD">
      <w:pPr>
        <w:spacing w:before="37" w:line="366" w:lineRule="auto"/>
        <w:ind w:left="7" w:right="99" w:firstLine="482"/>
        <w:jc w:val="both"/>
        <w:rPr>
          <w:rFonts w:ascii="宋体" w:hAnsi="宋体" w:eastAsia="宋体" w:cs="宋体"/>
          <w:sz w:val="24"/>
          <w:szCs w:val="24"/>
        </w:rPr>
      </w:pPr>
      <w:r>
        <w:rPr>
          <w:rFonts w:ascii="宋体" w:hAnsi="宋体" w:eastAsia="宋体" w:cs="宋体"/>
          <w:spacing w:val="-2"/>
          <w:sz w:val="24"/>
          <w:szCs w:val="24"/>
        </w:rPr>
        <w:t>本项目位于苏尼特经济开发区朱日和产业园，由于目前生态环境部和内蒙古自治区</w:t>
      </w:r>
      <w:r>
        <w:rPr>
          <w:rFonts w:ascii="宋体" w:hAnsi="宋体" w:eastAsia="宋体" w:cs="宋体"/>
          <w:spacing w:val="10"/>
          <w:sz w:val="24"/>
          <w:szCs w:val="24"/>
        </w:rPr>
        <w:t xml:space="preserve"> </w:t>
      </w:r>
      <w:r>
        <w:rPr>
          <w:rFonts w:ascii="宋体" w:hAnsi="宋体" w:eastAsia="宋体" w:cs="宋体"/>
          <w:spacing w:val="-2"/>
          <w:sz w:val="24"/>
          <w:szCs w:val="24"/>
        </w:rPr>
        <w:t>均未发布碳排放相关的环境影响评价技术指南，因此本章节参考《温室气体排放核算与</w:t>
      </w:r>
      <w:r>
        <w:rPr>
          <w:rFonts w:ascii="宋体" w:hAnsi="宋体" w:eastAsia="宋体" w:cs="宋体"/>
          <w:spacing w:val="17"/>
          <w:sz w:val="24"/>
          <w:szCs w:val="24"/>
        </w:rPr>
        <w:t xml:space="preserve"> </w:t>
      </w:r>
      <w:r>
        <w:rPr>
          <w:rFonts w:ascii="宋体" w:hAnsi="宋体" w:eastAsia="宋体" w:cs="宋体"/>
          <w:sz w:val="24"/>
          <w:szCs w:val="24"/>
        </w:rPr>
        <w:t>报告要求第</w:t>
      </w:r>
      <w:r>
        <w:rPr>
          <w:rFonts w:ascii="Times New Roman" w:hAnsi="Times New Roman" w:eastAsia="Times New Roman" w:cs="Times New Roman"/>
          <w:sz w:val="24"/>
          <w:szCs w:val="24"/>
        </w:rPr>
        <w:t>5</w:t>
      </w:r>
      <w:r>
        <w:rPr>
          <w:rFonts w:ascii="宋体" w:hAnsi="宋体" w:eastAsia="宋体" w:cs="宋体"/>
          <w:sz w:val="24"/>
          <w:szCs w:val="24"/>
        </w:rPr>
        <w:t>部分：钢铁生产企业》（</w:t>
      </w:r>
      <w:r>
        <w:rPr>
          <w:rFonts w:ascii="Times New Roman" w:hAnsi="Times New Roman" w:eastAsia="Times New Roman" w:cs="Times New Roman"/>
          <w:sz w:val="24"/>
          <w:szCs w:val="24"/>
        </w:rPr>
        <w:t>GB/T32151.5-2</w:t>
      </w:r>
      <w:r>
        <w:rPr>
          <w:rFonts w:ascii="Times New Roman" w:hAnsi="Times New Roman" w:eastAsia="Times New Roman" w:cs="Times New Roman"/>
          <w:spacing w:val="-1"/>
          <w:sz w:val="24"/>
          <w:szCs w:val="24"/>
        </w:rPr>
        <w:t>015</w:t>
      </w:r>
      <w:r>
        <w:rPr>
          <w:rFonts w:ascii="宋体" w:hAnsi="宋体" w:eastAsia="宋体" w:cs="宋体"/>
          <w:spacing w:val="-1"/>
          <w:sz w:val="24"/>
          <w:szCs w:val="24"/>
        </w:rPr>
        <w:t>）进行编写。</w:t>
      </w:r>
    </w:p>
    <w:p w14:paraId="2E5F3075">
      <w:pPr>
        <w:spacing w:line="366" w:lineRule="auto"/>
        <w:rPr>
          <w:rFonts w:ascii="宋体" w:hAnsi="宋体" w:eastAsia="宋体" w:cs="宋体"/>
          <w:sz w:val="24"/>
          <w:szCs w:val="24"/>
        </w:rPr>
        <w:sectPr>
          <w:headerReference r:id="rId506" w:type="default"/>
          <w:footerReference r:id="rId507" w:type="default"/>
          <w:pgSz w:w="11906" w:h="16839"/>
          <w:pgMar w:top="1190" w:right="1318" w:bottom="1221" w:left="1418" w:header="882" w:footer="1059" w:gutter="0"/>
          <w:cols w:space="720" w:num="1"/>
        </w:sectPr>
      </w:pPr>
    </w:p>
    <w:p w14:paraId="7A0324DB">
      <w:pPr>
        <w:spacing w:line="28" w:lineRule="exact"/>
      </w:pPr>
      <w:r>
        <w:pict>
          <v:shape id="_x0000_s3097" o:spid="_x0000_s3097" style="height:1.45pt;width:453.55pt;" fillcolor="#000000" filled="t" stroked="f" coordsize="9070,29" path="m0,0l9070,0,9070,28,0,28,0,0xe">
            <v:path/>
            <v:fill on="t" focussize="0,0"/>
            <v:stroke on="f"/>
            <v:imagedata o:title=""/>
            <o:lock v:ext="edit"/>
            <w10:wrap type="none"/>
            <w10:anchorlock/>
          </v:shape>
        </w:pict>
      </w:r>
    </w:p>
    <w:p w14:paraId="51B81A09">
      <w:pPr>
        <w:pStyle w:val="2"/>
        <w:spacing w:line="263" w:lineRule="auto"/>
      </w:pPr>
    </w:p>
    <w:p w14:paraId="7A0DFFE3">
      <w:pPr>
        <w:spacing w:before="100" w:line="226" w:lineRule="auto"/>
        <w:ind w:left="13"/>
        <w:outlineLvl w:val="1"/>
        <w:rPr>
          <w:rFonts w:ascii="黑体" w:hAnsi="黑体" w:eastAsia="黑体" w:cs="黑体"/>
          <w:sz w:val="31"/>
          <w:szCs w:val="31"/>
        </w:rPr>
      </w:pPr>
      <w:r>
        <w:rPr>
          <w:rFonts w:ascii="Times New Roman" w:hAnsi="Times New Roman" w:eastAsia="Times New Roman" w:cs="Times New Roman"/>
          <w:spacing w:val="6"/>
          <w:sz w:val="31"/>
          <w:szCs w:val="31"/>
        </w:rPr>
        <w:t xml:space="preserve">9.3 </w:t>
      </w:r>
      <w:r>
        <w:rPr>
          <w:rFonts w:ascii="黑体" w:hAnsi="黑体" w:eastAsia="黑体" w:cs="黑体"/>
          <w:spacing w:val="6"/>
          <w:sz w:val="31"/>
          <w:szCs w:val="31"/>
        </w:rPr>
        <w:t>碳排放预测与评价</w:t>
      </w:r>
    </w:p>
    <w:p w14:paraId="2090F93E">
      <w:pPr>
        <w:spacing w:before="291" w:line="221" w:lineRule="auto"/>
        <w:ind w:left="9"/>
        <w:outlineLvl w:val="2"/>
        <w:rPr>
          <w:rFonts w:ascii="宋体" w:hAnsi="宋体" w:eastAsia="宋体" w:cs="宋体"/>
          <w:sz w:val="28"/>
          <w:szCs w:val="28"/>
        </w:rPr>
      </w:pPr>
      <w:bookmarkStart w:id="493" w:name="bookmark456"/>
      <w:bookmarkEnd w:id="493"/>
      <w:bookmarkStart w:id="494" w:name="bookmark454"/>
      <w:bookmarkEnd w:id="494"/>
      <w:r>
        <w:rPr>
          <w:rFonts w:ascii="Times New Roman" w:hAnsi="Times New Roman" w:eastAsia="Times New Roman" w:cs="Times New Roman"/>
          <w:b/>
          <w:bCs/>
          <w:spacing w:val="-2"/>
          <w:sz w:val="28"/>
          <w:szCs w:val="28"/>
        </w:rPr>
        <w:t xml:space="preserve">9.3.1 </w:t>
      </w:r>
      <w:r>
        <w:rPr>
          <w:rFonts w:ascii="宋体" w:hAnsi="宋体" w:eastAsia="宋体" w:cs="宋体"/>
          <w:b/>
          <w:bCs/>
          <w:spacing w:val="-2"/>
          <w:sz w:val="28"/>
          <w:szCs w:val="28"/>
        </w:rPr>
        <w:t>排放源</w:t>
      </w:r>
    </w:p>
    <w:p w14:paraId="0864F607">
      <w:pPr>
        <w:spacing w:before="253" w:line="364" w:lineRule="auto"/>
        <w:ind w:left="11" w:firstLine="478"/>
        <w:rPr>
          <w:rFonts w:ascii="宋体" w:hAnsi="宋体" w:eastAsia="宋体" w:cs="宋体"/>
          <w:sz w:val="24"/>
          <w:szCs w:val="24"/>
        </w:rPr>
      </w:pPr>
      <w:r>
        <w:rPr>
          <w:rFonts w:ascii="宋体" w:hAnsi="宋体" w:eastAsia="宋体" w:cs="宋体"/>
          <w:spacing w:val="-8"/>
          <w:sz w:val="24"/>
          <w:szCs w:val="24"/>
        </w:rPr>
        <w:t>根据《温室气体排放核算与报告要求第</w:t>
      </w:r>
      <w:r>
        <w:rPr>
          <w:rFonts w:ascii="Times New Roman" w:hAnsi="Times New Roman" w:eastAsia="Times New Roman" w:cs="Times New Roman"/>
          <w:spacing w:val="-8"/>
          <w:sz w:val="24"/>
          <w:szCs w:val="24"/>
        </w:rPr>
        <w:t>5</w:t>
      </w:r>
      <w:r>
        <w:rPr>
          <w:rFonts w:ascii="宋体" w:hAnsi="宋体" w:eastAsia="宋体" w:cs="宋体"/>
          <w:spacing w:val="-8"/>
          <w:sz w:val="24"/>
          <w:szCs w:val="24"/>
        </w:rPr>
        <w:t>部分：钢铁生产企业》（</w:t>
      </w:r>
      <w:r>
        <w:rPr>
          <w:rFonts w:ascii="Times New Roman" w:hAnsi="Times New Roman" w:eastAsia="Times New Roman" w:cs="Times New Roman"/>
          <w:spacing w:val="-8"/>
          <w:sz w:val="24"/>
          <w:szCs w:val="24"/>
        </w:rPr>
        <w:t>GB/T</w:t>
      </w:r>
      <w:r>
        <w:rPr>
          <w:rFonts w:ascii="Times New Roman" w:hAnsi="Times New Roman" w:eastAsia="Times New Roman" w:cs="Times New Roman"/>
          <w:spacing w:val="19"/>
          <w:w w:val="101"/>
          <w:sz w:val="24"/>
          <w:szCs w:val="24"/>
        </w:rPr>
        <w:t xml:space="preserve"> </w:t>
      </w:r>
      <w:r>
        <w:rPr>
          <w:rFonts w:ascii="Times New Roman" w:hAnsi="Times New Roman" w:eastAsia="Times New Roman" w:cs="Times New Roman"/>
          <w:spacing w:val="-8"/>
          <w:sz w:val="24"/>
          <w:szCs w:val="24"/>
        </w:rPr>
        <w:t>32151.5-2015</w:t>
      </w:r>
      <w:r>
        <w:rPr>
          <w:rFonts w:ascii="宋体" w:hAnsi="宋体" w:eastAsia="宋体" w:cs="宋体"/>
          <w:spacing w:val="-8"/>
          <w:sz w:val="24"/>
          <w:szCs w:val="24"/>
        </w:rPr>
        <w:t>）</w:t>
      </w:r>
      <w:r>
        <w:rPr>
          <w:rFonts w:ascii="宋体" w:hAnsi="宋体" w:eastAsia="宋体" w:cs="宋体"/>
          <w:sz w:val="24"/>
          <w:szCs w:val="24"/>
        </w:rPr>
        <w:t xml:space="preserve"> </w:t>
      </w:r>
      <w:r>
        <w:rPr>
          <w:rFonts w:ascii="宋体" w:hAnsi="宋体" w:eastAsia="宋体" w:cs="宋体"/>
          <w:spacing w:val="-2"/>
          <w:sz w:val="24"/>
          <w:szCs w:val="24"/>
        </w:rPr>
        <w:t>识别碳排放源强。</w:t>
      </w:r>
    </w:p>
    <w:p w14:paraId="1089CB9F">
      <w:pPr>
        <w:spacing w:before="34"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）企业层级排放源</w:t>
      </w:r>
    </w:p>
    <w:p w14:paraId="5E7A8660">
      <w:pPr>
        <w:spacing w:before="200" w:line="368" w:lineRule="auto"/>
        <w:ind w:left="12" w:right="88" w:firstLine="480"/>
        <w:rPr>
          <w:rFonts w:ascii="宋体" w:hAnsi="宋体" w:eastAsia="宋体" w:cs="宋体"/>
          <w:sz w:val="24"/>
          <w:szCs w:val="24"/>
        </w:rPr>
      </w:pPr>
      <w:r>
        <w:rPr>
          <w:rFonts w:ascii="宋体" w:hAnsi="宋体" w:eastAsia="宋体" w:cs="宋体"/>
          <w:spacing w:val="-2"/>
          <w:sz w:val="24"/>
          <w:szCs w:val="24"/>
        </w:rPr>
        <w:t>企业层级温室气体排放核算和报告范围包括：化石燃料燃烧产生的二氧化碳排放、</w:t>
      </w:r>
      <w:r>
        <w:rPr>
          <w:rFonts w:ascii="宋体" w:hAnsi="宋体" w:eastAsia="宋体" w:cs="宋体"/>
          <w:spacing w:val="17"/>
          <w:sz w:val="24"/>
          <w:szCs w:val="24"/>
        </w:rPr>
        <w:t xml:space="preserve"> </w:t>
      </w:r>
      <w:r>
        <w:rPr>
          <w:rFonts w:ascii="宋体" w:hAnsi="宋体" w:eastAsia="宋体" w:cs="宋体"/>
          <w:spacing w:val="-2"/>
          <w:sz w:val="24"/>
          <w:szCs w:val="24"/>
        </w:rPr>
        <w:t>工业生产过程产生的二氧化碳排放、净购入使用电力产生的二氧化碳排放、净购入使用</w:t>
      </w:r>
      <w:r>
        <w:rPr>
          <w:rFonts w:ascii="宋体" w:hAnsi="宋体" w:eastAsia="宋体" w:cs="宋体"/>
          <w:spacing w:val="12"/>
          <w:sz w:val="24"/>
          <w:szCs w:val="24"/>
        </w:rPr>
        <w:t xml:space="preserve"> </w:t>
      </w:r>
      <w:r>
        <w:rPr>
          <w:rFonts w:ascii="宋体" w:hAnsi="宋体" w:eastAsia="宋体" w:cs="宋体"/>
          <w:spacing w:val="-1"/>
          <w:sz w:val="24"/>
          <w:szCs w:val="24"/>
        </w:rPr>
        <w:t>热力产生的二氧化碳排放、固碳产品隐含的二氧化碳排放。</w:t>
      </w:r>
    </w:p>
    <w:p w14:paraId="6BEDA6A6">
      <w:pPr>
        <w:spacing w:before="35" w:line="337" w:lineRule="auto"/>
        <w:ind w:left="11" w:right="18" w:firstLine="477"/>
        <w:rPr>
          <w:rFonts w:ascii="宋体" w:hAnsi="宋体" w:eastAsia="宋体" w:cs="宋体"/>
          <w:sz w:val="24"/>
          <w:szCs w:val="24"/>
        </w:rPr>
      </w:pPr>
      <w:r>
        <w:rPr>
          <w:rFonts w:ascii="宋体" w:hAnsi="宋体" w:eastAsia="宋体" w:cs="宋体"/>
          <w:spacing w:val="-2"/>
          <w:sz w:val="24"/>
          <w:szCs w:val="24"/>
        </w:rPr>
        <w:t>①化石燃料燃烧产生的二氧化碳排放包括：主要生产系统、辅助生产系统净购入使</w:t>
      </w:r>
      <w:r>
        <w:rPr>
          <w:rFonts w:ascii="宋体" w:hAnsi="宋体" w:eastAsia="宋体" w:cs="宋体"/>
          <w:spacing w:val="12"/>
          <w:sz w:val="24"/>
          <w:szCs w:val="24"/>
        </w:rPr>
        <w:t xml:space="preserve"> </w:t>
      </w:r>
      <w:r>
        <w:rPr>
          <w:rFonts w:ascii="宋体" w:hAnsi="宋体" w:eastAsia="宋体" w:cs="宋体"/>
          <w:spacing w:val="-6"/>
          <w:sz w:val="24"/>
          <w:szCs w:val="24"/>
        </w:rPr>
        <w:t>用的化石燃料燃烧产生的二氧化碳排放，一般包括固定源排放（如焦炉、烧结机、高炉、</w:t>
      </w:r>
      <w:r>
        <w:rPr>
          <w:rFonts w:ascii="宋体" w:hAnsi="宋体" w:eastAsia="宋体" w:cs="宋体"/>
          <w:spacing w:val="11"/>
          <w:sz w:val="24"/>
          <w:szCs w:val="24"/>
        </w:rPr>
        <w:t xml:space="preserve"> </w:t>
      </w:r>
      <w:r>
        <w:rPr>
          <w:rFonts w:ascii="宋体" w:hAnsi="宋体" w:eastAsia="宋体" w:cs="宋体"/>
          <w:spacing w:val="-2"/>
          <w:sz w:val="24"/>
          <w:szCs w:val="24"/>
        </w:rPr>
        <w:t>工业锅炉等固定燃烧设备）以及用于生产的移动源排放（如运输用车辆及厂内搬运设备</w:t>
      </w:r>
      <w:r>
        <w:rPr>
          <w:rFonts w:ascii="宋体" w:hAnsi="宋体" w:eastAsia="宋体" w:cs="宋体"/>
          <w:spacing w:val="13"/>
          <w:sz w:val="24"/>
          <w:szCs w:val="24"/>
        </w:rPr>
        <w:t xml:space="preserve"> </w:t>
      </w:r>
      <w:r>
        <w:rPr>
          <w:rFonts w:ascii="宋体" w:hAnsi="宋体" w:eastAsia="宋体" w:cs="宋体"/>
          <w:spacing w:val="-3"/>
          <w:sz w:val="24"/>
          <w:szCs w:val="24"/>
        </w:rPr>
        <w:t>等）等。</w:t>
      </w:r>
    </w:p>
    <w:p w14:paraId="132DFD06">
      <w:pPr>
        <w:spacing w:before="205" w:line="323" w:lineRule="auto"/>
        <w:ind w:left="7" w:right="99" w:firstLine="480"/>
        <w:rPr>
          <w:rFonts w:ascii="宋体" w:hAnsi="宋体" w:eastAsia="宋体" w:cs="宋体"/>
          <w:sz w:val="24"/>
          <w:szCs w:val="24"/>
        </w:rPr>
      </w:pPr>
      <w:r>
        <w:rPr>
          <w:rFonts w:ascii="宋体" w:hAnsi="宋体" w:eastAsia="宋体" w:cs="宋体"/>
          <w:spacing w:val="-2"/>
          <w:sz w:val="24"/>
          <w:szCs w:val="24"/>
        </w:rPr>
        <w:t>②工业生产过程产生的二氧化碳排放包括：烧结、炼铁、炼钢等工序中由于使用外</w:t>
      </w:r>
      <w:r>
        <w:rPr>
          <w:rFonts w:ascii="宋体" w:hAnsi="宋体" w:eastAsia="宋体" w:cs="宋体"/>
          <w:spacing w:val="13"/>
          <w:sz w:val="24"/>
          <w:szCs w:val="24"/>
        </w:rPr>
        <w:t xml:space="preserve"> </w:t>
      </w:r>
      <w:r>
        <w:rPr>
          <w:rFonts w:ascii="宋体" w:hAnsi="宋体" w:eastAsia="宋体" w:cs="宋体"/>
          <w:spacing w:val="-2"/>
          <w:sz w:val="24"/>
          <w:szCs w:val="24"/>
        </w:rPr>
        <w:t>购含碳原料（如电极、生铁、铁合金、直接还原铁、废钢等）和熔剂的分解、氧化产生</w:t>
      </w:r>
      <w:r>
        <w:rPr>
          <w:rFonts w:ascii="宋体" w:hAnsi="宋体" w:eastAsia="宋体" w:cs="宋体"/>
          <w:spacing w:val="17"/>
          <w:sz w:val="24"/>
          <w:szCs w:val="24"/>
        </w:rPr>
        <w:t xml:space="preserve"> </w:t>
      </w:r>
      <w:r>
        <w:rPr>
          <w:rFonts w:ascii="宋体" w:hAnsi="宋体" w:eastAsia="宋体" w:cs="宋体"/>
          <w:spacing w:val="-1"/>
          <w:sz w:val="24"/>
          <w:szCs w:val="24"/>
        </w:rPr>
        <w:t>的二氧化碳排放。</w:t>
      </w:r>
    </w:p>
    <w:p w14:paraId="3C03400B">
      <w:pPr>
        <w:spacing w:before="205" w:line="298" w:lineRule="auto"/>
        <w:ind w:left="10" w:right="99" w:firstLine="477"/>
        <w:rPr>
          <w:rFonts w:ascii="宋体" w:hAnsi="宋体" w:eastAsia="宋体" w:cs="宋体"/>
          <w:sz w:val="24"/>
          <w:szCs w:val="24"/>
        </w:rPr>
      </w:pPr>
      <w:r>
        <w:rPr>
          <w:rFonts w:ascii="宋体" w:hAnsi="宋体" w:eastAsia="宋体" w:cs="宋体"/>
          <w:spacing w:val="-2"/>
          <w:sz w:val="24"/>
          <w:szCs w:val="24"/>
        </w:rPr>
        <w:t>③净购入使用电力产生的二氧化碳排放包括：主要生产系统、辅助生产系统净购入</w:t>
      </w:r>
      <w:r>
        <w:rPr>
          <w:rFonts w:ascii="宋体" w:hAnsi="宋体" w:eastAsia="宋体" w:cs="宋体"/>
          <w:spacing w:val="13"/>
          <w:sz w:val="24"/>
          <w:szCs w:val="24"/>
        </w:rPr>
        <w:t xml:space="preserve"> </w:t>
      </w:r>
      <w:r>
        <w:rPr>
          <w:rFonts w:ascii="宋体" w:hAnsi="宋体" w:eastAsia="宋体" w:cs="宋体"/>
          <w:spacing w:val="-1"/>
          <w:sz w:val="24"/>
          <w:szCs w:val="24"/>
        </w:rPr>
        <w:t>使用电力产生的二氧化碳排放。</w:t>
      </w:r>
    </w:p>
    <w:p w14:paraId="3E77574D">
      <w:pPr>
        <w:spacing w:before="202" w:line="298" w:lineRule="auto"/>
        <w:ind w:left="10" w:right="99" w:firstLine="477"/>
        <w:rPr>
          <w:rFonts w:ascii="宋体" w:hAnsi="宋体" w:eastAsia="宋体" w:cs="宋体"/>
          <w:sz w:val="24"/>
          <w:szCs w:val="24"/>
        </w:rPr>
      </w:pPr>
      <w:r>
        <w:rPr>
          <w:rFonts w:ascii="宋体" w:hAnsi="宋体" w:eastAsia="宋体" w:cs="宋体"/>
          <w:spacing w:val="-2"/>
          <w:sz w:val="24"/>
          <w:szCs w:val="24"/>
        </w:rPr>
        <w:t>④净购入使用热力产生的二氧化碳排放包括：主要生产系统、辅助生产系统净购入</w:t>
      </w:r>
      <w:r>
        <w:rPr>
          <w:rFonts w:ascii="宋体" w:hAnsi="宋体" w:eastAsia="宋体" w:cs="宋体"/>
          <w:spacing w:val="13"/>
          <w:sz w:val="24"/>
          <w:szCs w:val="24"/>
        </w:rPr>
        <w:t xml:space="preserve"> </w:t>
      </w:r>
      <w:r>
        <w:rPr>
          <w:rFonts w:ascii="宋体" w:hAnsi="宋体" w:eastAsia="宋体" w:cs="宋体"/>
          <w:spacing w:val="-1"/>
          <w:sz w:val="24"/>
          <w:szCs w:val="24"/>
        </w:rPr>
        <w:t>使用热力产生的二氧化碳排放。</w:t>
      </w:r>
    </w:p>
    <w:p w14:paraId="70D2FE79">
      <w:pPr>
        <w:spacing w:before="207" w:line="323" w:lineRule="auto"/>
        <w:ind w:left="8" w:right="99" w:firstLine="479"/>
        <w:rPr>
          <w:rFonts w:ascii="宋体" w:hAnsi="宋体" w:eastAsia="宋体" w:cs="宋体"/>
          <w:sz w:val="24"/>
          <w:szCs w:val="24"/>
        </w:rPr>
      </w:pPr>
      <w:r>
        <w:rPr>
          <w:rFonts w:ascii="宋体" w:hAnsi="宋体" w:eastAsia="宋体" w:cs="宋体"/>
          <w:spacing w:val="5"/>
          <w:sz w:val="24"/>
          <w:szCs w:val="24"/>
        </w:rPr>
        <w:t xml:space="preserve">⑤固碳产品隐含的二氧化碳排放：钢铁生产过程中少部分碳固化在工序生产的生 </w:t>
      </w:r>
      <w:r>
        <w:rPr>
          <w:rFonts w:ascii="宋体" w:hAnsi="宋体" w:eastAsia="宋体" w:cs="宋体"/>
          <w:spacing w:val="-2"/>
          <w:sz w:val="24"/>
          <w:szCs w:val="24"/>
        </w:rPr>
        <w:t>铁、粗钢等产品中，还有小部分碳固化在以副产煤气为原料生产的甲醇等固碳产品中，</w:t>
      </w:r>
      <w:r>
        <w:rPr>
          <w:rFonts w:ascii="宋体" w:hAnsi="宋体" w:eastAsia="宋体" w:cs="宋体"/>
          <w:spacing w:val="15"/>
          <w:sz w:val="24"/>
          <w:szCs w:val="24"/>
        </w:rPr>
        <w:t xml:space="preserve"> </w:t>
      </w:r>
      <w:r>
        <w:rPr>
          <w:rFonts w:ascii="宋体" w:hAnsi="宋体" w:eastAsia="宋体" w:cs="宋体"/>
          <w:spacing w:val="-1"/>
          <w:sz w:val="24"/>
          <w:szCs w:val="24"/>
        </w:rPr>
        <w:t>这部分固化在产品中的碳对应的二氧化碳排放予以扣减。</w:t>
      </w:r>
    </w:p>
    <w:p w14:paraId="6C651C4D">
      <w:pPr>
        <w:spacing w:before="205" w:line="219"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）钢铁生产工序排放源</w:t>
      </w:r>
    </w:p>
    <w:p w14:paraId="797428EC">
      <w:pPr>
        <w:spacing w:before="205" w:line="363" w:lineRule="auto"/>
        <w:ind w:left="9" w:right="99" w:firstLine="478"/>
        <w:rPr>
          <w:rFonts w:ascii="宋体" w:hAnsi="宋体" w:eastAsia="宋体" w:cs="宋体"/>
          <w:sz w:val="24"/>
          <w:szCs w:val="24"/>
        </w:rPr>
      </w:pPr>
      <w:r>
        <w:rPr>
          <w:rFonts w:ascii="宋体" w:hAnsi="宋体" w:eastAsia="宋体" w:cs="宋体"/>
          <w:spacing w:val="-2"/>
          <w:sz w:val="24"/>
          <w:szCs w:val="24"/>
        </w:rPr>
        <w:t>钢铁生产各工序温室气体排放核算和报告范围包括：化石燃料燃烧产生的二氧化碳</w:t>
      </w:r>
      <w:r>
        <w:rPr>
          <w:rFonts w:ascii="宋体" w:hAnsi="宋体" w:eastAsia="宋体" w:cs="宋体"/>
          <w:spacing w:val="13"/>
          <w:sz w:val="24"/>
          <w:szCs w:val="24"/>
        </w:rPr>
        <w:t xml:space="preserve"> </w:t>
      </w:r>
      <w:r>
        <w:rPr>
          <w:rFonts w:ascii="宋体" w:hAnsi="宋体" w:eastAsia="宋体" w:cs="宋体"/>
          <w:sz w:val="24"/>
          <w:szCs w:val="24"/>
        </w:rPr>
        <w:t>排放、消耗电力产生的二氧化碳排放、消耗热</w:t>
      </w:r>
      <w:r>
        <w:rPr>
          <w:rFonts w:ascii="宋体" w:hAnsi="宋体" w:eastAsia="宋体" w:cs="宋体"/>
          <w:spacing w:val="-1"/>
          <w:sz w:val="24"/>
          <w:szCs w:val="24"/>
        </w:rPr>
        <w:t>力产生的二氧化碳排放。</w:t>
      </w:r>
    </w:p>
    <w:p w14:paraId="7E368344">
      <w:pPr>
        <w:spacing w:before="32" w:line="298" w:lineRule="auto"/>
        <w:ind w:left="13" w:right="99" w:firstLine="475"/>
        <w:rPr>
          <w:rFonts w:ascii="宋体" w:hAnsi="宋体" w:eastAsia="宋体" w:cs="宋体"/>
          <w:sz w:val="24"/>
          <w:szCs w:val="24"/>
        </w:rPr>
      </w:pPr>
      <w:r>
        <w:rPr>
          <w:rFonts w:ascii="宋体" w:hAnsi="宋体" w:eastAsia="宋体" w:cs="宋体"/>
          <w:spacing w:val="-2"/>
          <w:sz w:val="24"/>
          <w:szCs w:val="24"/>
        </w:rPr>
        <w:t>①化石燃料燃烧产生的二氧化碳排放包括：工序净购入使用的化石燃料燃烧产生的</w:t>
      </w:r>
      <w:r>
        <w:rPr>
          <w:rFonts w:ascii="宋体" w:hAnsi="宋体" w:eastAsia="宋体" w:cs="宋体"/>
          <w:spacing w:val="12"/>
          <w:sz w:val="24"/>
          <w:szCs w:val="24"/>
        </w:rPr>
        <w:t xml:space="preserve"> </w:t>
      </w:r>
      <w:r>
        <w:rPr>
          <w:rFonts w:ascii="宋体" w:hAnsi="宋体" w:eastAsia="宋体" w:cs="宋体"/>
          <w:spacing w:val="-2"/>
          <w:sz w:val="24"/>
          <w:szCs w:val="24"/>
        </w:rPr>
        <w:t>二氧化碳排放。</w:t>
      </w:r>
    </w:p>
    <w:p w14:paraId="46E76BBD">
      <w:pPr>
        <w:spacing w:before="205" w:line="217" w:lineRule="auto"/>
        <w:ind w:left="487"/>
        <w:rPr>
          <w:rFonts w:ascii="宋体" w:hAnsi="宋体" w:eastAsia="宋体" w:cs="宋体"/>
          <w:sz w:val="24"/>
          <w:szCs w:val="24"/>
        </w:rPr>
      </w:pPr>
      <w:r>
        <w:rPr>
          <w:rFonts w:ascii="宋体" w:hAnsi="宋体" w:eastAsia="宋体" w:cs="宋体"/>
          <w:spacing w:val="-2"/>
          <w:sz w:val="24"/>
          <w:szCs w:val="24"/>
        </w:rPr>
        <w:t>②消耗电力产生的二氧化碳排放包括：进入工序电量扣除供出工序电量（均不包括</w:t>
      </w:r>
    </w:p>
    <w:p w14:paraId="4B287189">
      <w:pPr>
        <w:spacing w:line="217" w:lineRule="auto"/>
        <w:rPr>
          <w:rFonts w:ascii="宋体" w:hAnsi="宋体" w:eastAsia="宋体" w:cs="宋体"/>
          <w:sz w:val="24"/>
          <w:szCs w:val="24"/>
        </w:rPr>
        <w:sectPr>
          <w:footerReference r:id="rId508" w:type="default"/>
          <w:pgSz w:w="11906" w:h="16839"/>
          <w:pgMar w:top="1190" w:right="1318" w:bottom="1221" w:left="1418" w:header="882" w:footer="1059" w:gutter="0"/>
          <w:cols w:space="720" w:num="1"/>
        </w:sectPr>
      </w:pPr>
    </w:p>
    <w:p w14:paraId="5046C647">
      <w:pPr>
        <w:spacing w:line="28" w:lineRule="exact"/>
      </w:pPr>
      <w:r>
        <w:pict>
          <v:shape id="_x0000_s3098" o:spid="_x0000_s3098" style="height:1.45pt;width:453.55pt;" fillcolor="#000000" filled="t" stroked="f" coordsize="9070,29" path="m0,0l9070,0,9070,28,0,28,0,0xe">
            <v:path/>
            <v:fill on="t" focussize="0,0"/>
            <v:stroke on="f"/>
            <v:imagedata o:title=""/>
            <o:lock v:ext="edit"/>
            <w10:wrap type="none"/>
            <w10:anchorlock/>
          </v:shape>
        </w:pict>
      </w:r>
    </w:p>
    <w:p w14:paraId="25A84690">
      <w:pPr>
        <w:pStyle w:val="2"/>
        <w:spacing w:line="242" w:lineRule="auto"/>
      </w:pPr>
    </w:p>
    <w:p w14:paraId="1C48DF15">
      <w:pPr>
        <w:spacing w:before="78" w:line="367" w:lineRule="auto"/>
        <w:ind w:left="12"/>
        <w:jc w:val="both"/>
        <w:rPr>
          <w:rFonts w:ascii="宋体" w:hAnsi="宋体" w:eastAsia="宋体" w:cs="宋体"/>
          <w:sz w:val="24"/>
          <w:szCs w:val="24"/>
        </w:rPr>
      </w:pPr>
      <w:r>
        <w:rPr>
          <w:rFonts w:ascii="宋体" w:hAnsi="宋体" w:eastAsia="宋体" w:cs="宋体"/>
          <w:spacing w:val="-1"/>
          <w:sz w:val="24"/>
          <w:szCs w:val="24"/>
        </w:rPr>
        <w:t>分摊在该工序使用的非化石能源发电未并入市政电</w:t>
      </w:r>
      <w:r>
        <w:rPr>
          <w:rFonts w:ascii="宋体" w:hAnsi="宋体" w:eastAsia="宋体" w:cs="宋体"/>
          <w:spacing w:val="-2"/>
          <w:sz w:val="24"/>
          <w:szCs w:val="24"/>
        </w:rPr>
        <w:t>网的电量）后对应的二氧化碳排放。</w:t>
      </w:r>
      <w:r>
        <w:rPr>
          <w:rFonts w:ascii="宋体" w:hAnsi="宋体" w:eastAsia="宋体" w:cs="宋体"/>
          <w:sz w:val="24"/>
          <w:szCs w:val="24"/>
        </w:rPr>
        <w:t xml:space="preserve"> </w:t>
      </w:r>
      <w:r>
        <w:rPr>
          <w:rFonts w:ascii="宋体" w:hAnsi="宋体" w:eastAsia="宋体" w:cs="宋体"/>
          <w:spacing w:val="-2"/>
          <w:sz w:val="24"/>
          <w:szCs w:val="24"/>
        </w:rPr>
        <w:t>非化石能源电量可能来自可再生能源发电、纯垃圾焚烧发电、沼气发电、秸秆林木质等</w:t>
      </w:r>
      <w:r>
        <w:rPr>
          <w:rFonts w:ascii="宋体" w:hAnsi="宋体" w:eastAsia="宋体" w:cs="宋体"/>
          <w:spacing w:val="12"/>
          <w:sz w:val="24"/>
          <w:szCs w:val="24"/>
        </w:rPr>
        <w:t xml:space="preserve"> </w:t>
      </w:r>
      <w:r>
        <w:rPr>
          <w:rFonts w:ascii="宋体" w:hAnsi="宋体" w:eastAsia="宋体" w:cs="宋体"/>
          <w:spacing w:val="-1"/>
          <w:sz w:val="24"/>
          <w:szCs w:val="24"/>
        </w:rPr>
        <w:t>纯生物质发电、垃圾填埋气发电等。</w:t>
      </w:r>
    </w:p>
    <w:p w14:paraId="6DE8A081">
      <w:pPr>
        <w:spacing w:before="35" w:line="363" w:lineRule="auto"/>
        <w:ind w:left="11" w:right="10" w:firstLine="476"/>
        <w:rPr>
          <w:rFonts w:ascii="宋体" w:hAnsi="宋体" w:eastAsia="宋体" w:cs="宋体"/>
          <w:sz w:val="24"/>
          <w:szCs w:val="24"/>
        </w:rPr>
      </w:pPr>
      <w:r>
        <w:rPr>
          <w:rFonts w:ascii="宋体" w:hAnsi="宋体" w:eastAsia="宋体" w:cs="宋体"/>
          <w:spacing w:val="-2"/>
          <w:sz w:val="24"/>
          <w:szCs w:val="24"/>
        </w:rPr>
        <w:t>③消耗热力产生的二氧化碳排放包括：进入工序热量扣除工序回收并供出工序热量</w:t>
      </w:r>
      <w:r>
        <w:rPr>
          <w:rFonts w:ascii="宋体" w:hAnsi="宋体" w:eastAsia="宋体" w:cs="宋体"/>
          <w:spacing w:val="13"/>
          <w:sz w:val="24"/>
          <w:szCs w:val="24"/>
        </w:rPr>
        <w:t xml:space="preserve"> </w:t>
      </w:r>
      <w:r>
        <w:rPr>
          <w:rFonts w:ascii="宋体" w:hAnsi="宋体" w:eastAsia="宋体" w:cs="宋体"/>
          <w:spacing w:val="-2"/>
          <w:sz w:val="24"/>
          <w:szCs w:val="24"/>
        </w:rPr>
        <w:t>后对应的二氧化碳排放。</w:t>
      </w:r>
    </w:p>
    <w:p w14:paraId="707ED8F8">
      <w:pPr>
        <w:spacing w:before="35" w:line="361" w:lineRule="auto"/>
        <w:ind w:left="11" w:right="10" w:firstLine="479"/>
        <w:rPr>
          <w:rFonts w:ascii="宋体" w:hAnsi="宋体" w:eastAsia="宋体" w:cs="宋体"/>
          <w:sz w:val="24"/>
          <w:szCs w:val="24"/>
        </w:rPr>
      </w:pPr>
      <w:r>
        <w:rPr>
          <w:rFonts w:ascii="宋体" w:hAnsi="宋体" w:eastAsia="宋体" w:cs="宋体"/>
          <w:spacing w:val="-1"/>
          <w:sz w:val="24"/>
          <w:szCs w:val="24"/>
        </w:rPr>
        <w:t>本项目采用≥</w:t>
      </w:r>
      <w:r>
        <w:rPr>
          <w:rFonts w:ascii="Times New Roman" w:hAnsi="Times New Roman" w:eastAsia="Times New Roman" w:cs="Times New Roman"/>
          <w:spacing w:val="-1"/>
          <w:sz w:val="24"/>
          <w:szCs w:val="24"/>
        </w:rPr>
        <w:t>80%</w:t>
      </w:r>
      <w:r>
        <w:rPr>
          <w:rFonts w:ascii="宋体" w:hAnsi="宋体" w:eastAsia="宋体" w:cs="宋体"/>
          <w:spacing w:val="-1"/>
          <w:sz w:val="24"/>
          <w:szCs w:val="24"/>
        </w:rPr>
        <w:t>绿电，因此碳排放包含化石燃料燃烧产生的二氧化碳排放和工业</w:t>
      </w:r>
      <w:r>
        <w:rPr>
          <w:rFonts w:ascii="宋体" w:hAnsi="宋体" w:eastAsia="宋体" w:cs="宋体"/>
          <w:spacing w:val="15"/>
          <w:sz w:val="24"/>
          <w:szCs w:val="24"/>
        </w:rPr>
        <w:t xml:space="preserve"> </w:t>
      </w:r>
      <w:r>
        <w:rPr>
          <w:rFonts w:ascii="宋体" w:hAnsi="宋体" w:eastAsia="宋体" w:cs="宋体"/>
          <w:spacing w:val="-1"/>
          <w:sz w:val="24"/>
          <w:szCs w:val="24"/>
        </w:rPr>
        <w:t>生产过程产生的二氧化碳。</w:t>
      </w:r>
    </w:p>
    <w:p w14:paraId="58B34F6E">
      <w:pPr>
        <w:spacing w:before="99" w:line="220" w:lineRule="auto"/>
        <w:ind w:left="9"/>
        <w:outlineLvl w:val="2"/>
        <w:rPr>
          <w:rFonts w:ascii="宋体" w:hAnsi="宋体" w:eastAsia="宋体" w:cs="宋体"/>
          <w:sz w:val="28"/>
          <w:szCs w:val="28"/>
        </w:rPr>
      </w:pPr>
      <w:bookmarkStart w:id="495" w:name="bookmark458"/>
      <w:bookmarkEnd w:id="495"/>
      <w:r>
        <w:rPr>
          <w:rFonts w:ascii="Times New Roman" w:hAnsi="Times New Roman" w:eastAsia="Times New Roman" w:cs="Times New Roman"/>
          <w:b/>
          <w:bCs/>
          <w:spacing w:val="-2"/>
          <w:sz w:val="28"/>
          <w:szCs w:val="28"/>
        </w:rPr>
        <w:t xml:space="preserve">9.3.2 </w:t>
      </w:r>
      <w:r>
        <w:rPr>
          <w:rFonts w:ascii="宋体" w:hAnsi="宋体" w:eastAsia="宋体" w:cs="宋体"/>
          <w:b/>
          <w:bCs/>
          <w:spacing w:val="-2"/>
          <w:sz w:val="28"/>
          <w:szCs w:val="28"/>
        </w:rPr>
        <w:t>碳排放总量和强度测算</w:t>
      </w:r>
    </w:p>
    <w:p w14:paraId="58BB3439">
      <w:pPr>
        <w:spacing w:before="258" w:line="219"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）原材料消耗产生的</w:t>
      </w:r>
      <w:r>
        <w:rPr>
          <w:rFonts w:ascii="宋体" w:hAnsi="宋体" w:eastAsia="宋体" w:cs="宋体"/>
          <w:spacing w:val="-39"/>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 xml:space="preserve">2 </w:t>
      </w:r>
      <w:r>
        <w:rPr>
          <w:rFonts w:ascii="宋体" w:hAnsi="宋体" w:eastAsia="宋体" w:cs="宋体"/>
          <w:spacing w:val="-2"/>
          <w:sz w:val="24"/>
          <w:szCs w:val="24"/>
        </w:rPr>
        <w:t>排放量计算</w:t>
      </w:r>
    </w:p>
    <w:p w14:paraId="77CA3AC3">
      <w:pPr>
        <w:spacing w:before="205" w:line="219" w:lineRule="auto"/>
        <w:ind w:left="489"/>
        <w:rPr>
          <w:rFonts w:ascii="宋体" w:hAnsi="宋体" w:eastAsia="宋体" w:cs="宋体"/>
          <w:sz w:val="24"/>
          <w:szCs w:val="24"/>
        </w:rPr>
      </w:pPr>
      <w:r>
        <w:rPr>
          <w:rFonts w:ascii="宋体" w:hAnsi="宋体" w:eastAsia="宋体" w:cs="宋体"/>
          <w:spacing w:val="-3"/>
          <w:sz w:val="24"/>
          <w:szCs w:val="24"/>
        </w:rPr>
        <w:t>计算公式</w:t>
      </w:r>
    </w:p>
    <w:p w14:paraId="50685D68">
      <w:pPr>
        <w:spacing w:before="132" w:line="544" w:lineRule="exact"/>
        <w:ind w:firstLine="1481"/>
      </w:pPr>
      <w:r>
        <w:rPr>
          <w:position w:val="-10"/>
        </w:rPr>
        <w:drawing>
          <wp:inline distT="0" distB="0" distL="0" distR="0">
            <wp:extent cx="3876675" cy="345440"/>
            <wp:effectExtent l="0" t="0" r="0" b="0"/>
            <wp:docPr id="248" name="IM 248"/>
            <wp:cNvGraphicFramePr/>
            <a:graphic xmlns:a="http://schemas.openxmlformats.org/drawingml/2006/main">
              <a:graphicData uri="http://schemas.openxmlformats.org/drawingml/2006/picture">
                <pic:pic xmlns:pic="http://schemas.openxmlformats.org/drawingml/2006/picture">
                  <pic:nvPicPr>
                    <pic:cNvPr id="248" name="IM 248"/>
                    <pic:cNvPicPr/>
                  </pic:nvPicPr>
                  <pic:blipFill>
                    <a:blip r:embed="rId694"/>
                    <a:stretch>
                      <a:fillRect/>
                    </a:stretch>
                  </pic:blipFill>
                  <pic:spPr>
                    <a:xfrm>
                      <a:off x="0" y="0"/>
                      <a:ext cx="3877055" cy="345948"/>
                    </a:xfrm>
                    <a:prstGeom prst="rect">
                      <a:avLst/>
                    </a:prstGeom>
                  </pic:spPr>
                </pic:pic>
              </a:graphicData>
            </a:graphic>
          </wp:inline>
        </w:drawing>
      </w:r>
    </w:p>
    <w:p w14:paraId="547B79B3">
      <w:pPr>
        <w:spacing w:before="179" w:line="220" w:lineRule="auto"/>
        <w:ind w:left="494"/>
        <w:rPr>
          <w:rFonts w:ascii="宋体" w:hAnsi="宋体" w:eastAsia="宋体" w:cs="宋体"/>
          <w:sz w:val="24"/>
          <w:szCs w:val="24"/>
        </w:rPr>
      </w:pPr>
      <w:r>
        <w:rPr>
          <w:rFonts w:ascii="宋体" w:hAnsi="宋体" w:eastAsia="宋体" w:cs="宋体"/>
          <w:spacing w:val="-5"/>
          <w:sz w:val="24"/>
          <w:szCs w:val="24"/>
        </w:rPr>
        <w:t>式中：</w:t>
      </w:r>
    </w:p>
    <w:p w14:paraId="3DBD215C">
      <w:pPr>
        <w:spacing w:before="206" w:line="377" w:lineRule="auto"/>
        <w:ind w:left="9" w:right="396" w:firstLine="471"/>
        <w:rPr>
          <w:rFonts w:ascii="宋体" w:hAnsi="宋体" w:eastAsia="宋体" w:cs="宋体"/>
          <w:sz w:val="24"/>
          <w:szCs w:val="24"/>
        </w:rPr>
      </w:pPr>
      <w:r>
        <w:rPr>
          <w:rFonts w:ascii="宋体" w:hAnsi="宋体" w:eastAsia="宋体" w:cs="宋体"/>
          <w:sz w:val="24"/>
          <w:szCs w:val="24"/>
        </w:rPr>
        <w:drawing>
          <wp:inline distT="0" distB="0" distL="0" distR="0">
            <wp:extent cx="466090" cy="205740"/>
            <wp:effectExtent l="0" t="0" r="0" b="0"/>
            <wp:docPr id="250" name="IM 250"/>
            <wp:cNvGraphicFramePr/>
            <a:graphic xmlns:a="http://schemas.openxmlformats.org/drawingml/2006/main">
              <a:graphicData uri="http://schemas.openxmlformats.org/drawingml/2006/picture">
                <pic:pic xmlns:pic="http://schemas.openxmlformats.org/drawingml/2006/picture">
                  <pic:nvPicPr>
                    <pic:cNvPr id="250" name="IM 250"/>
                    <pic:cNvPicPr/>
                  </pic:nvPicPr>
                  <pic:blipFill>
                    <a:blip r:embed="rId695"/>
                    <a:stretch>
                      <a:fillRect/>
                    </a:stretch>
                  </pic:blipFill>
                  <pic:spPr>
                    <a:xfrm>
                      <a:off x="0" y="0"/>
                      <a:ext cx="466344" cy="205740"/>
                    </a:xfrm>
                    <a:prstGeom prst="rect">
                      <a:avLst/>
                    </a:prstGeom>
                  </pic:spPr>
                </pic:pic>
              </a:graphicData>
            </a:graphic>
          </wp:inline>
        </w:drawing>
      </w:r>
      <w:r>
        <w:rPr>
          <w:rFonts w:ascii="宋体" w:hAnsi="宋体" w:eastAsia="宋体" w:cs="宋体"/>
          <w:sz w:val="24"/>
          <w:szCs w:val="24"/>
        </w:rPr>
        <w:t>为化石燃料和其他碳氢化合物用作原材料产生的</w:t>
      </w:r>
      <w:r>
        <w:rPr>
          <w:rFonts w:ascii="宋体" w:hAnsi="宋体" w:eastAsia="宋体" w:cs="宋体"/>
          <w:spacing w:val="-52"/>
          <w:sz w:val="24"/>
          <w:szCs w:val="24"/>
        </w:rPr>
        <w:t xml:space="preserve"> </w:t>
      </w:r>
      <w:r>
        <w:rPr>
          <w:rFonts w:ascii="Times New Roman" w:hAnsi="Times New Roman" w:eastAsia="Times New Roman" w:cs="Times New Roman"/>
          <w:sz w:val="24"/>
          <w:szCs w:val="24"/>
        </w:rPr>
        <w:t>CO</w:t>
      </w:r>
      <w:r>
        <w:rPr>
          <w:rFonts w:ascii="Times New Roman" w:hAnsi="Times New Roman" w:eastAsia="Times New Roman" w:cs="Times New Roman"/>
          <w:position w:val="-1"/>
          <w:sz w:val="15"/>
          <w:szCs w:val="15"/>
        </w:rPr>
        <w:t xml:space="preserve">2 </w:t>
      </w:r>
      <w:r>
        <w:rPr>
          <w:rFonts w:ascii="宋体" w:hAnsi="宋体" w:eastAsia="宋体" w:cs="宋体"/>
          <w:sz w:val="24"/>
          <w:szCs w:val="24"/>
        </w:rPr>
        <w:t>排</w:t>
      </w:r>
      <w:r>
        <w:rPr>
          <w:rFonts w:ascii="宋体" w:hAnsi="宋体" w:eastAsia="宋体" w:cs="宋体"/>
          <w:spacing w:val="-1"/>
          <w:sz w:val="24"/>
          <w:szCs w:val="24"/>
        </w:rPr>
        <w:t>放量，单位为吨</w:t>
      </w:r>
      <w:r>
        <w:rPr>
          <w:rFonts w:ascii="宋体" w:hAnsi="宋体" w:eastAsia="宋体" w:cs="宋体"/>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2</w:t>
      </w:r>
      <w:r>
        <w:rPr>
          <w:rFonts w:ascii="宋体" w:hAnsi="宋体" w:eastAsia="宋体" w:cs="宋体"/>
          <w:spacing w:val="-2"/>
          <w:sz w:val="24"/>
          <w:szCs w:val="24"/>
        </w:rPr>
        <w:t>；</w:t>
      </w:r>
    </w:p>
    <w:p w14:paraId="6DD38C01">
      <w:pPr>
        <w:spacing w:before="75" w:line="219" w:lineRule="auto"/>
        <w:ind w:left="481"/>
        <w:rPr>
          <w:rFonts w:ascii="宋体" w:hAnsi="宋体" w:eastAsia="宋体" w:cs="宋体"/>
          <w:sz w:val="24"/>
          <w:szCs w:val="24"/>
        </w:rPr>
      </w:pPr>
      <w:r>
        <w:rPr>
          <w:rFonts w:ascii="Times New Roman" w:hAnsi="Times New Roman" w:eastAsia="Times New Roman" w:cs="Times New Roman"/>
          <w:spacing w:val="-1"/>
          <w:sz w:val="24"/>
          <w:szCs w:val="24"/>
        </w:rPr>
        <w:t xml:space="preserve">r </w:t>
      </w:r>
      <w:r>
        <w:rPr>
          <w:rFonts w:ascii="宋体" w:hAnsi="宋体" w:eastAsia="宋体" w:cs="宋体"/>
          <w:spacing w:val="-1"/>
          <w:sz w:val="24"/>
          <w:szCs w:val="24"/>
        </w:rPr>
        <w:t>为进入企业边界的原材料种类；</w:t>
      </w:r>
    </w:p>
    <w:p w14:paraId="452B7CDB">
      <w:pPr>
        <w:spacing w:before="207" w:line="363" w:lineRule="auto"/>
        <w:ind w:left="29" w:right="10" w:firstLine="452"/>
        <w:rPr>
          <w:rFonts w:ascii="宋体" w:hAnsi="宋体" w:eastAsia="宋体" w:cs="宋体"/>
          <w:sz w:val="24"/>
          <w:szCs w:val="24"/>
        </w:rPr>
      </w:pPr>
      <w:r>
        <w:rPr>
          <w:rFonts w:ascii="Times New Roman" w:hAnsi="Times New Roman" w:eastAsia="Times New Roman" w:cs="Times New Roman"/>
          <w:spacing w:val="-1"/>
          <w:sz w:val="24"/>
          <w:szCs w:val="24"/>
        </w:rPr>
        <w:t>AD</w:t>
      </w:r>
      <w:r>
        <w:rPr>
          <w:rFonts w:ascii="Times New Roman" w:hAnsi="Times New Roman" w:eastAsia="Times New Roman" w:cs="Times New Roman"/>
          <w:spacing w:val="-1"/>
          <w:position w:val="-1"/>
          <w:sz w:val="15"/>
          <w:szCs w:val="15"/>
        </w:rPr>
        <w:t>r</w:t>
      </w:r>
      <w:r>
        <w:rPr>
          <w:rFonts w:ascii="Times New Roman" w:hAnsi="Times New Roman" w:eastAsia="Times New Roman" w:cs="Times New Roman"/>
          <w:spacing w:val="29"/>
          <w:w w:val="101"/>
          <w:position w:val="-1"/>
          <w:sz w:val="15"/>
          <w:szCs w:val="15"/>
        </w:rPr>
        <w:t xml:space="preserve"> </w:t>
      </w:r>
      <w:r>
        <w:rPr>
          <w:rFonts w:ascii="宋体" w:hAnsi="宋体" w:eastAsia="宋体" w:cs="宋体"/>
          <w:spacing w:val="-1"/>
          <w:sz w:val="24"/>
          <w:szCs w:val="24"/>
        </w:rPr>
        <w:t>为原材料的投入量，对固体或液体燃料以吨为单位，对气体燃料以标准状况下</w:t>
      </w:r>
      <w:r>
        <w:rPr>
          <w:rFonts w:ascii="宋体" w:hAnsi="宋体" w:eastAsia="宋体" w:cs="宋体"/>
          <w:sz w:val="24"/>
          <w:szCs w:val="24"/>
        </w:rPr>
        <w:t xml:space="preserve"> </w:t>
      </w:r>
      <w:r>
        <w:rPr>
          <w:rFonts w:ascii="宋体" w:hAnsi="宋体" w:eastAsia="宋体" w:cs="宋体"/>
          <w:spacing w:val="-2"/>
          <w:sz w:val="24"/>
          <w:szCs w:val="24"/>
        </w:rPr>
        <w:t>的体积（万</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Nm</w:t>
      </w:r>
      <w:r>
        <w:rPr>
          <w:rFonts w:ascii="Times New Roman" w:hAnsi="Times New Roman" w:eastAsia="Times New Roman" w:cs="Times New Roman"/>
          <w:spacing w:val="-2"/>
          <w:position w:val="8"/>
          <w:sz w:val="15"/>
          <w:szCs w:val="15"/>
        </w:rPr>
        <w:t xml:space="preserve">3 </w:t>
      </w:r>
      <w:r>
        <w:rPr>
          <w:rFonts w:ascii="宋体" w:hAnsi="宋体" w:eastAsia="宋体" w:cs="宋体"/>
          <w:spacing w:val="-2"/>
          <w:sz w:val="24"/>
          <w:szCs w:val="24"/>
        </w:rPr>
        <w:t>）为单位，非标准状况下的体积需转化成标况下进行计算；</w:t>
      </w:r>
    </w:p>
    <w:p w14:paraId="30738A26">
      <w:pPr>
        <w:spacing w:before="31" w:line="364" w:lineRule="auto"/>
        <w:ind w:left="9" w:right="10" w:firstLine="479"/>
        <w:rPr>
          <w:rFonts w:ascii="宋体" w:hAnsi="宋体" w:eastAsia="宋体" w:cs="宋体"/>
          <w:sz w:val="24"/>
          <w:szCs w:val="24"/>
        </w:rPr>
      </w:pPr>
      <w:r>
        <w:rPr>
          <w:rFonts w:ascii="Times New Roman" w:hAnsi="Times New Roman" w:eastAsia="Times New Roman" w:cs="Times New Roman"/>
          <w:spacing w:val="-2"/>
          <w:sz w:val="24"/>
          <w:szCs w:val="24"/>
        </w:rPr>
        <w:t>CC</w:t>
      </w:r>
      <w:r>
        <w:rPr>
          <w:rFonts w:ascii="Times New Roman" w:hAnsi="Times New Roman" w:eastAsia="Times New Roman" w:cs="Times New Roman"/>
          <w:spacing w:val="-2"/>
          <w:position w:val="-1"/>
          <w:sz w:val="15"/>
          <w:szCs w:val="15"/>
        </w:rPr>
        <w:t>r</w:t>
      </w:r>
      <w:r>
        <w:rPr>
          <w:rFonts w:ascii="Times New Roman" w:hAnsi="Times New Roman" w:eastAsia="Times New Roman" w:cs="Times New Roman"/>
          <w:spacing w:val="21"/>
          <w:w w:val="101"/>
          <w:position w:val="-1"/>
          <w:sz w:val="15"/>
          <w:szCs w:val="15"/>
        </w:rPr>
        <w:t xml:space="preserve"> </w:t>
      </w:r>
      <w:r>
        <w:rPr>
          <w:rFonts w:ascii="宋体" w:hAnsi="宋体" w:eastAsia="宋体" w:cs="宋体"/>
          <w:spacing w:val="-2"/>
          <w:sz w:val="24"/>
          <w:szCs w:val="24"/>
        </w:rPr>
        <w:t>为原材料的含碳量，对固体和液体燃料以吨碳</w:t>
      </w:r>
      <w:r>
        <w:rPr>
          <w:rFonts w:ascii="Times New Roman" w:hAnsi="Times New Roman" w:eastAsia="Times New Roman" w:cs="Times New Roman"/>
          <w:spacing w:val="-2"/>
          <w:sz w:val="24"/>
          <w:szCs w:val="24"/>
        </w:rPr>
        <w:t>/</w:t>
      </w:r>
      <w:r>
        <w:rPr>
          <w:rFonts w:ascii="宋体" w:hAnsi="宋体" w:eastAsia="宋体" w:cs="宋体"/>
          <w:spacing w:val="-2"/>
          <w:sz w:val="24"/>
          <w:szCs w:val="24"/>
        </w:rPr>
        <w:t>吨燃料为单位，对气体燃料以吨</w:t>
      </w:r>
      <w:r>
        <w:rPr>
          <w:rFonts w:ascii="宋体" w:hAnsi="宋体" w:eastAsia="宋体" w:cs="宋体"/>
          <w:sz w:val="24"/>
          <w:szCs w:val="24"/>
        </w:rPr>
        <w:t xml:space="preserve"> </w:t>
      </w:r>
      <w:r>
        <w:rPr>
          <w:rFonts w:ascii="宋体" w:hAnsi="宋体" w:eastAsia="宋体" w:cs="宋体"/>
          <w:spacing w:val="-2"/>
          <w:sz w:val="24"/>
          <w:szCs w:val="24"/>
        </w:rPr>
        <w:t>碳</w:t>
      </w:r>
      <w:r>
        <w:rPr>
          <w:rFonts w:ascii="Times New Roman" w:hAnsi="Times New Roman" w:eastAsia="Times New Roman" w:cs="Times New Roman"/>
          <w:spacing w:val="-2"/>
          <w:sz w:val="24"/>
          <w:szCs w:val="24"/>
        </w:rPr>
        <w:t>/</w:t>
      </w:r>
      <w:r>
        <w:rPr>
          <w:rFonts w:ascii="宋体" w:hAnsi="宋体" w:eastAsia="宋体" w:cs="宋体"/>
          <w:spacing w:val="-2"/>
          <w:sz w:val="24"/>
          <w:szCs w:val="24"/>
        </w:rPr>
        <w:t>万</w:t>
      </w:r>
      <w:r>
        <w:rPr>
          <w:rFonts w:ascii="宋体" w:hAnsi="宋体" w:eastAsia="宋体" w:cs="宋体"/>
          <w:spacing w:val="-62"/>
          <w:sz w:val="24"/>
          <w:szCs w:val="24"/>
        </w:rPr>
        <w:t xml:space="preserve"> </w:t>
      </w:r>
      <w:r>
        <w:rPr>
          <w:rFonts w:ascii="Times New Roman" w:hAnsi="Times New Roman" w:eastAsia="Times New Roman" w:cs="Times New Roman"/>
          <w:spacing w:val="-2"/>
          <w:sz w:val="24"/>
          <w:szCs w:val="24"/>
        </w:rPr>
        <w:t>Nm</w:t>
      </w:r>
      <w:r>
        <w:rPr>
          <w:rFonts w:ascii="Times New Roman" w:hAnsi="Times New Roman" w:eastAsia="Times New Roman" w:cs="Times New Roman"/>
          <w:spacing w:val="-2"/>
          <w:position w:val="7"/>
          <w:sz w:val="15"/>
          <w:szCs w:val="15"/>
        </w:rPr>
        <w:t>3</w:t>
      </w:r>
      <w:r>
        <w:rPr>
          <w:rFonts w:ascii="Times New Roman" w:hAnsi="Times New Roman" w:eastAsia="Times New Roman" w:cs="Times New Roman"/>
          <w:spacing w:val="14"/>
          <w:w w:val="102"/>
          <w:position w:val="7"/>
          <w:sz w:val="15"/>
          <w:szCs w:val="15"/>
        </w:rPr>
        <w:t xml:space="preserve"> </w:t>
      </w:r>
      <w:r>
        <w:rPr>
          <w:rFonts w:ascii="宋体" w:hAnsi="宋体" w:eastAsia="宋体" w:cs="宋体"/>
          <w:spacing w:val="-2"/>
          <w:sz w:val="24"/>
          <w:szCs w:val="24"/>
        </w:rPr>
        <w:t>为单位；</w:t>
      </w:r>
    </w:p>
    <w:p w14:paraId="0C659B28">
      <w:pPr>
        <w:spacing w:before="34" w:line="353" w:lineRule="auto"/>
        <w:ind w:left="9" w:right="20" w:firstLine="470"/>
        <w:rPr>
          <w:rFonts w:ascii="宋体" w:hAnsi="宋体" w:eastAsia="宋体" w:cs="宋体"/>
          <w:sz w:val="24"/>
          <w:szCs w:val="24"/>
        </w:rPr>
      </w:pPr>
      <w:r>
        <w:rPr>
          <w:rFonts w:ascii="Times New Roman" w:hAnsi="Times New Roman" w:eastAsia="Times New Roman" w:cs="Times New Roman"/>
          <w:sz w:val="24"/>
          <w:szCs w:val="24"/>
        </w:rPr>
        <w:t xml:space="preserve">p </w:t>
      </w:r>
      <w:r>
        <w:rPr>
          <w:rFonts w:ascii="宋体" w:hAnsi="宋体" w:eastAsia="宋体" w:cs="宋体"/>
          <w:sz w:val="24"/>
          <w:szCs w:val="24"/>
        </w:rPr>
        <w:t xml:space="preserve">为流出企业边界的含碳量产品种类，包括各种具体名称的主产品、联产产品、副 </w:t>
      </w:r>
      <w:r>
        <w:rPr>
          <w:rFonts w:ascii="宋体" w:hAnsi="宋体" w:eastAsia="宋体" w:cs="宋体"/>
          <w:spacing w:val="-3"/>
          <w:sz w:val="24"/>
          <w:szCs w:val="24"/>
        </w:rPr>
        <w:t>产品等；</w:t>
      </w:r>
    </w:p>
    <w:p w14:paraId="28BDB9A5">
      <w:pPr>
        <w:spacing w:before="58" w:line="352" w:lineRule="auto"/>
        <w:ind w:left="12" w:right="201" w:firstLine="469"/>
        <w:rPr>
          <w:rFonts w:ascii="宋体" w:hAnsi="宋体" w:eastAsia="宋体" w:cs="宋体"/>
          <w:sz w:val="24"/>
          <w:szCs w:val="24"/>
        </w:rPr>
      </w:pPr>
      <w:r>
        <w:rPr>
          <w:rFonts w:ascii="Times New Roman" w:hAnsi="Times New Roman" w:eastAsia="Times New Roman" w:cs="Times New Roman"/>
          <w:spacing w:val="-1"/>
          <w:sz w:val="24"/>
          <w:szCs w:val="24"/>
        </w:rPr>
        <w:t>AD</w:t>
      </w:r>
      <w:r>
        <w:rPr>
          <w:rFonts w:ascii="Times New Roman" w:hAnsi="Times New Roman" w:eastAsia="Times New Roman" w:cs="Times New Roman"/>
          <w:spacing w:val="-1"/>
          <w:position w:val="-1"/>
          <w:sz w:val="15"/>
          <w:szCs w:val="15"/>
        </w:rPr>
        <w:t>p</w:t>
      </w:r>
      <w:r>
        <w:rPr>
          <w:rFonts w:ascii="Times New Roman" w:hAnsi="Times New Roman" w:eastAsia="Times New Roman" w:cs="Times New Roman"/>
          <w:spacing w:val="13"/>
          <w:position w:val="-1"/>
          <w:sz w:val="15"/>
          <w:szCs w:val="15"/>
        </w:rPr>
        <w:t xml:space="preserve"> </w:t>
      </w:r>
      <w:r>
        <w:rPr>
          <w:rFonts w:ascii="宋体" w:hAnsi="宋体" w:eastAsia="宋体" w:cs="宋体"/>
          <w:spacing w:val="-1"/>
          <w:sz w:val="24"/>
          <w:szCs w:val="24"/>
        </w:rPr>
        <w:t>为含碳产品</w:t>
      </w:r>
      <w:r>
        <w:rPr>
          <w:rFonts w:ascii="宋体" w:hAnsi="宋体" w:eastAsia="宋体" w:cs="宋体"/>
          <w:spacing w:val="-61"/>
          <w:sz w:val="24"/>
          <w:szCs w:val="24"/>
        </w:rPr>
        <w:t xml:space="preserve"> </w:t>
      </w:r>
      <w:r>
        <w:rPr>
          <w:rFonts w:ascii="Times New Roman" w:hAnsi="Times New Roman" w:eastAsia="Times New Roman" w:cs="Times New Roman"/>
          <w:spacing w:val="-1"/>
          <w:sz w:val="24"/>
          <w:szCs w:val="24"/>
        </w:rPr>
        <w:t>p</w:t>
      </w:r>
      <w:r>
        <w:rPr>
          <w:rFonts w:ascii="Times New Roman" w:hAnsi="Times New Roman" w:eastAsia="Times New Roman" w:cs="Times New Roman"/>
          <w:spacing w:val="29"/>
          <w:sz w:val="24"/>
          <w:szCs w:val="24"/>
        </w:rPr>
        <w:t xml:space="preserve"> </w:t>
      </w:r>
      <w:r>
        <w:rPr>
          <w:rFonts w:ascii="宋体" w:hAnsi="宋体" w:eastAsia="宋体" w:cs="宋体"/>
          <w:spacing w:val="-1"/>
          <w:sz w:val="24"/>
          <w:szCs w:val="24"/>
        </w:rPr>
        <w:t>的产量，对固体或液体燃料以吨为单位，对气体燃料以万</w:t>
      </w:r>
      <w:r>
        <w:rPr>
          <w:rFonts w:ascii="宋体" w:hAnsi="宋体" w:eastAsia="宋体" w:cs="宋体"/>
          <w:spacing w:val="-63"/>
          <w:sz w:val="24"/>
          <w:szCs w:val="24"/>
        </w:rPr>
        <w:t xml:space="preserve"> </w:t>
      </w:r>
      <w:r>
        <w:rPr>
          <w:rFonts w:ascii="Times New Roman" w:hAnsi="Times New Roman" w:eastAsia="Times New Roman" w:cs="Times New Roman"/>
          <w:spacing w:val="-1"/>
          <w:sz w:val="24"/>
          <w:szCs w:val="24"/>
        </w:rPr>
        <w:t>Nm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position w:val="7"/>
          <w:sz w:val="15"/>
          <w:szCs w:val="15"/>
        </w:rPr>
        <w:t xml:space="preserve"> </w:t>
      </w:r>
      <w:r>
        <w:rPr>
          <w:rFonts w:ascii="宋体" w:hAnsi="宋体" w:eastAsia="宋体" w:cs="宋体"/>
          <w:spacing w:val="-4"/>
          <w:sz w:val="24"/>
          <w:szCs w:val="24"/>
        </w:rPr>
        <w:t>为单位；</w:t>
      </w:r>
    </w:p>
    <w:p w14:paraId="65CBF34E">
      <w:pPr>
        <w:spacing w:before="64" w:line="353" w:lineRule="auto"/>
        <w:ind w:left="10" w:right="10" w:firstLine="478"/>
        <w:rPr>
          <w:rFonts w:ascii="宋体" w:hAnsi="宋体" w:eastAsia="宋体" w:cs="宋体"/>
          <w:sz w:val="24"/>
          <w:szCs w:val="24"/>
        </w:rPr>
      </w:pPr>
      <w:r>
        <w:rPr>
          <w:rFonts w:ascii="Times New Roman" w:hAnsi="Times New Roman" w:eastAsia="Times New Roman" w:cs="Times New Roman"/>
          <w:spacing w:val="-3"/>
          <w:sz w:val="24"/>
          <w:szCs w:val="24"/>
        </w:rPr>
        <w:t>CC</w:t>
      </w:r>
      <w:r>
        <w:rPr>
          <w:rFonts w:ascii="Times New Roman" w:hAnsi="Times New Roman" w:eastAsia="Times New Roman" w:cs="Times New Roman"/>
          <w:spacing w:val="-3"/>
          <w:position w:val="-1"/>
          <w:sz w:val="15"/>
          <w:szCs w:val="15"/>
        </w:rPr>
        <w:t>p</w:t>
      </w:r>
      <w:r>
        <w:rPr>
          <w:rFonts w:ascii="Times New Roman" w:hAnsi="Times New Roman" w:eastAsia="Times New Roman" w:cs="Times New Roman"/>
          <w:spacing w:val="12"/>
          <w:position w:val="-1"/>
          <w:sz w:val="15"/>
          <w:szCs w:val="15"/>
        </w:rPr>
        <w:t xml:space="preserve"> </w:t>
      </w:r>
      <w:r>
        <w:rPr>
          <w:rFonts w:ascii="宋体" w:hAnsi="宋体" w:eastAsia="宋体" w:cs="宋体"/>
          <w:spacing w:val="-3"/>
          <w:sz w:val="24"/>
          <w:szCs w:val="24"/>
        </w:rPr>
        <w:t>为含碳产品</w:t>
      </w:r>
      <w:r>
        <w:rPr>
          <w:rFonts w:ascii="宋体" w:hAnsi="宋体" w:eastAsia="宋体" w:cs="宋体"/>
          <w:spacing w:val="-61"/>
          <w:sz w:val="24"/>
          <w:szCs w:val="24"/>
        </w:rPr>
        <w:t xml:space="preserve"> </w:t>
      </w:r>
      <w:r>
        <w:rPr>
          <w:rFonts w:ascii="Times New Roman" w:hAnsi="Times New Roman" w:eastAsia="Times New Roman" w:cs="Times New Roman"/>
          <w:spacing w:val="-3"/>
          <w:sz w:val="24"/>
          <w:szCs w:val="24"/>
        </w:rPr>
        <w:t>p</w:t>
      </w:r>
      <w:r>
        <w:rPr>
          <w:rFonts w:ascii="Times New Roman" w:hAnsi="Times New Roman" w:eastAsia="Times New Roman" w:cs="Times New Roman"/>
          <w:spacing w:val="29"/>
          <w:w w:val="101"/>
          <w:sz w:val="24"/>
          <w:szCs w:val="24"/>
        </w:rPr>
        <w:t xml:space="preserve"> </w:t>
      </w:r>
      <w:r>
        <w:rPr>
          <w:rFonts w:ascii="宋体" w:hAnsi="宋体" w:eastAsia="宋体" w:cs="宋体"/>
          <w:spacing w:val="-3"/>
          <w:sz w:val="24"/>
          <w:szCs w:val="24"/>
        </w:rPr>
        <w:t>的产量含碳量，对固体和液体燃料以吨碳</w:t>
      </w:r>
      <w:r>
        <w:rPr>
          <w:rFonts w:ascii="Times New Roman" w:hAnsi="Times New Roman" w:eastAsia="Times New Roman" w:cs="Times New Roman"/>
          <w:spacing w:val="-3"/>
          <w:sz w:val="24"/>
          <w:szCs w:val="24"/>
        </w:rPr>
        <w:t>/</w:t>
      </w:r>
      <w:r>
        <w:rPr>
          <w:rFonts w:ascii="宋体" w:hAnsi="宋体" w:eastAsia="宋体" w:cs="宋体"/>
          <w:spacing w:val="-3"/>
          <w:sz w:val="24"/>
          <w:szCs w:val="24"/>
        </w:rPr>
        <w:t>吨燃料为</w:t>
      </w:r>
      <w:r>
        <w:rPr>
          <w:rFonts w:ascii="宋体" w:hAnsi="宋体" w:eastAsia="宋体" w:cs="宋体"/>
          <w:spacing w:val="-4"/>
          <w:sz w:val="24"/>
          <w:szCs w:val="24"/>
        </w:rPr>
        <w:t>单位，对气体</w:t>
      </w:r>
      <w:r>
        <w:rPr>
          <w:rFonts w:ascii="宋体" w:hAnsi="宋体" w:eastAsia="宋体" w:cs="宋体"/>
          <w:sz w:val="24"/>
          <w:szCs w:val="24"/>
        </w:rPr>
        <w:t xml:space="preserve"> </w:t>
      </w:r>
      <w:r>
        <w:rPr>
          <w:rFonts w:ascii="宋体" w:hAnsi="宋体" w:eastAsia="宋体" w:cs="宋体"/>
          <w:spacing w:val="-2"/>
          <w:sz w:val="24"/>
          <w:szCs w:val="24"/>
        </w:rPr>
        <w:t>燃料以吨碳</w:t>
      </w:r>
      <w:r>
        <w:rPr>
          <w:rFonts w:ascii="Times New Roman" w:hAnsi="Times New Roman" w:eastAsia="Times New Roman" w:cs="Times New Roman"/>
          <w:spacing w:val="-2"/>
          <w:sz w:val="24"/>
          <w:szCs w:val="24"/>
        </w:rPr>
        <w:t>/</w:t>
      </w:r>
      <w:r>
        <w:rPr>
          <w:rFonts w:ascii="宋体" w:hAnsi="宋体" w:eastAsia="宋体" w:cs="宋体"/>
          <w:spacing w:val="-2"/>
          <w:sz w:val="24"/>
          <w:szCs w:val="24"/>
        </w:rPr>
        <w:t>万</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Nm</w:t>
      </w:r>
      <w:r>
        <w:rPr>
          <w:rFonts w:ascii="Times New Roman" w:hAnsi="Times New Roman" w:eastAsia="Times New Roman" w:cs="Times New Roman"/>
          <w:spacing w:val="-2"/>
          <w:position w:val="7"/>
          <w:sz w:val="15"/>
          <w:szCs w:val="15"/>
        </w:rPr>
        <w:t>3</w:t>
      </w:r>
      <w:r>
        <w:rPr>
          <w:rFonts w:ascii="Times New Roman" w:hAnsi="Times New Roman" w:eastAsia="Times New Roman" w:cs="Times New Roman"/>
          <w:spacing w:val="14"/>
          <w:w w:val="102"/>
          <w:position w:val="7"/>
          <w:sz w:val="15"/>
          <w:szCs w:val="15"/>
        </w:rPr>
        <w:t xml:space="preserve"> </w:t>
      </w:r>
      <w:r>
        <w:rPr>
          <w:rFonts w:ascii="宋体" w:hAnsi="宋体" w:eastAsia="宋体" w:cs="宋体"/>
          <w:spacing w:val="-2"/>
          <w:sz w:val="24"/>
          <w:szCs w:val="24"/>
        </w:rPr>
        <w:t>为单位；</w:t>
      </w:r>
    </w:p>
    <w:p w14:paraId="1F20303C">
      <w:pPr>
        <w:spacing w:before="60" w:line="363" w:lineRule="auto"/>
        <w:ind w:left="11" w:right="10" w:firstLine="471"/>
        <w:rPr>
          <w:rFonts w:ascii="宋体" w:hAnsi="宋体" w:eastAsia="宋体" w:cs="宋体"/>
          <w:sz w:val="24"/>
          <w:szCs w:val="24"/>
        </w:rPr>
      </w:pPr>
      <w:r>
        <w:rPr>
          <w:rFonts w:ascii="Times New Roman" w:hAnsi="Times New Roman" w:eastAsia="Times New Roman" w:cs="Times New Roman"/>
          <w:spacing w:val="-3"/>
          <w:sz w:val="24"/>
          <w:szCs w:val="24"/>
        </w:rPr>
        <w:t xml:space="preserve">W </w:t>
      </w:r>
      <w:r>
        <w:rPr>
          <w:rFonts w:ascii="宋体" w:hAnsi="宋体" w:eastAsia="宋体" w:cs="宋体"/>
          <w:spacing w:val="-3"/>
          <w:sz w:val="24"/>
          <w:szCs w:val="24"/>
        </w:rPr>
        <w:t>为流出企业边界且没有计入产品范畴的其他含碳输出物种类，如炉渣、粉尘、污</w:t>
      </w:r>
      <w:r>
        <w:rPr>
          <w:rFonts w:ascii="宋体" w:hAnsi="宋体" w:eastAsia="宋体" w:cs="宋体"/>
          <w:spacing w:val="9"/>
          <w:sz w:val="24"/>
          <w:szCs w:val="24"/>
        </w:rPr>
        <w:t xml:space="preserve"> </w:t>
      </w:r>
      <w:r>
        <w:rPr>
          <w:rFonts w:ascii="宋体" w:hAnsi="宋体" w:eastAsia="宋体" w:cs="宋体"/>
          <w:spacing w:val="-2"/>
          <w:sz w:val="24"/>
          <w:szCs w:val="24"/>
        </w:rPr>
        <w:t>泥等含碳的废物；</w:t>
      </w:r>
    </w:p>
    <w:p w14:paraId="2757C7E3">
      <w:pPr>
        <w:spacing w:line="363" w:lineRule="auto"/>
        <w:rPr>
          <w:rFonts w:ascii="宋体" w:hAnsi="宋体" w:eastAsia="宋体" w:cs="宋体"/>
          <w:sz w:val="24"/>
          <w:szCs w:val="24"/>
        </w:rPr>
        <w:sectPr>
          <w:headerReference r:id="rId509" w:type="default"/>
          <w:footerReference r:id="rId510" w:type="default"/>
          <w:pgSz w:w="11906" w:h="16839"/>
          <w:pgMar w:top="1190" w:right="1407" w:bottom="1221" w:left="1418" w:header="882" w:footer="1059" w:gutter="0"/>
          <w:cols w:space="720" w:num="1"/>
        </w:sectPr>
      </w:pPr>
    </w:p>
    <w:p w14:paraId="1A223923">
      <w:pPr>
        <w:spacing w:line="28" w:lineRule="exact"/>
      </w:pPr>
      <w:r>
        <w:pict>
          <v:shape id="_x0000_s3099" o:spid="_x0000_s3099" style="height:1.45pt;width:453.55pt;" fillcolor="#000000" filled="t" stroked="f" coordsize="9070,29" path="m0,0l9070,0,9070,28,0,28,0,0xe">
            <v:path/>
            <v:fill on="t" focussize="0,0"/>
            <v:stroke on="f"/>
            <v:imagedata o:title=""/>
            <o:lock v:ext="edit"/>
            <w10:wrap type="none"/>
            <w10:anchorlock/>
          </v:shape>
        </w:pict>
      </w:r>
    </w:p>
    <w:p w14:paraId="426A244C">
      <w:pPr>
        <w:pStyle w:val="2"/>
        <w:spacing w:line="243" w:lineRule="auto"/>
      </w:pPr>
    </w:p>
    <w:p w14:paraId="4B6983B8">
      <w:pPr>
        <w:spacing w:before="78" w:line="219" w:lineRule="auto"/>
        <w:ind w:left="482"/>
        <w:rPr>
          <w:rFonts w:ascii="宋体" w:hAnsi="宋体" w:eastAsia="宋体" w:cs="宋体"/>
          <w:sz w:val="24"/>
          <w:szCs w:val="24"/>
        </w:rPr>
      </w:pPr>
      <w:r>
        <w:rPr>
          <w:rFonts w:ascii="Times New Roman" w:hAnsi="Times New Roman" w:eastAsia="Times New Roman" w:cs="Times New Roman"/>
          <w:spacing w:val="-3"/>
          <w:sz w:val="24"/>
          <w:szCs w:val="24"/>
        </w:rPr>
        <w:t>AD</w:t>
      </w:r>
      <w:r>
        <w:rPr>
          <w:rFonts w:ascii="Times New Roman" w:hAnsi="Times New Roman" w:eastAsia="Times New Roman" w:cs="Times New Roman"/>
          <w:spacing w:val="-3"/>
          <w:position w:val="-1"/>
          <w:sz w:val="15"/>
          <w:szCs w:val="15"/>
        </w:rPr>
        <w:t>w</w:t>
      </w:r>
      <w:r>
        <w:rPr>
          <w:rFonts w:ascii="Times New Roman" w:hAnsi="Times New Roman" w:eastAsia="Times New Roman" w:cs="Times New Roman"/>
          <w:spacing w:val="27"/>
          <w:w w:val="102"/>
          <w:position w:val="-1"/>
          <w:sz w:val="15"/>
          <w:szCs w:val="15"/>
        </w:rPr>
        <w:t xml:space="preserve"> </w:t>
      </w:r>
      <w:r>
        <w:rPr>
          <w:rFonts w:ascii="宋体" w:hAnsi="宋体" w:eastAsia="宋体" w:cs="宋体"/>
          <w:spacing w:val="-3"/>
          <w:sz w:val="24"/>
          <w:szCs w:val="24"/>
        </w:rPr>
        <w:t>为含碳废物</w:t>
      </w:r>
      <w:r>
        <w:rPr>
          <w:rFonts w:ascii="宋体" w:hAnsi="宋体" w:eastAsia="宋体" w:cs="宋体"/>
          <w:spacing w:val="-59"/>
          <w:sz w:val="24"/>
          <w:szCs w:val="24"/>
        </w:rPr>
        <w:t xml:space="preserve"> </w:t>
      </w:r>
      <w:r>
        <w:rPr>
          <w:rFonts w:ascii="Times New Roman" w:hAnsi="Times New Roman" w:eastAsia="Times New Roman" w:cs="Times New Roman"/>
          <w:spacing w:val="-3"/>
          <w:sz w:val="24"/>
          <w:szCs w:val="24"/>
        </w:rPr>
        <w:t>w</w:t>
      </w:r>
      <w:r>
        <w:rPr>
          <w:rFonts w:ascii="Times New Roman" w:hAnsi="Times New Roman" w:eastAsia="Times New Roman" w:cs="Times New Roman"/>
          <w:spacing w:val="29"/>
          <w:sz w:val="24"/>
          <w:szCs w:val="24"/>
        </w:rPr>
        <w:t xml:space="preserve"> </w:t>
      </w:r>
      <w:r>
        <w:rPr>
          <w:rFonts w:ascii="宋体" w:hAnsi="宋体" w:eastAsia="宋体" w:cs="宋体"/>
          <w:spacing w:val="-3"/>
          <w:sz w:val="24"/>
          <w:szCs w:val="24"/>
        </w:rPr>
        <w:t>的输出量，单位为吨；</w:t>
      </w:r>
    </w:p>
    <w:p w14:paraId="7FC57952">
      <w:pPr>
        <w:spacing w:before="204" w:line="219" w:lineRule="auto"/>
        <w:ind w:left="489"/>
        <w:rPr>
          <w:rFonts w:ascii="宋体" w:hAnsi="宋体" w:eastAsia="宋体" w:cs="宋体"/>
          <w:sz w:val="24"/>
          <w:szCs w:val="24"/>
        </w:rPr>
      </w:pPr>
      <w:r>
        <w:rPr>
          <w:rFonts w:ascii="Times New Roman" w:hAnsi="Times New Roman" w:eastAsia="Times New Roman" w:cs="Times New Roman"/>
          <w:spacing w:val="-2"/>
          <w:sz w:val="24"/>
          <w:szCs w:val="24"/>
        </w:rPr>
        <w:t>CC</w:t>
      </w:r>
      <w:r>
        <w:rPr>
          <w:rFonts w:ascii="Times New Roman" w:hAnsi="Times New Roman" w:eastAsia="Times New Roman" w:cs="Times New Roman"/>
          <w:spacing w:val="-2"/>
          <w:position w:val="-1"/>
          <w:sz w:val="15"/>
          <w:szCs w:val="15"/>
        </w:rPr>
        <w:t>w</w:t>
      </w:r>
      <w:r>
        <w:rPr>
          <w:rFonts w:ascii="Times New Roman" w:hAnsi="Times New Roman" w:eastAsia="Times New Roman" w:cs="Times New Roman"/>
          <w:spacing w:val="13"/>
          <w:position w:val="-1"/>
          <w:sz w:val="15"/>
          <w:szCs w:val="15"/>
        </w:rPr>
        <w:t xml:space="preserve"> </w:t>
      </w:r>
      <w:r>
        <w:rPr>
          <w:rFonts w:ascii="宋体" w:hAnsi="宋体" w:eastAsia="宋体" w:cs="宋体"/>
          <w:spacing w:val="-2"/>
          <w:sz w:val="24"/>
          <w:szCs w:val="24"/>
        </w:rPr>
        <w:t>为含碳废物</w:t>
      </w:r>
      <w:r>
        <w:rPr>
          <w:rFonts w:ascii="宋体" w:hAnsi="宋体" w:eastAsia="宋体" w:cs="宋体"/>
          <w:spacing w:val="-59"/>
          <w:sz w:val="24"/>
          <w:szCs w:val="24"/>
        </w:rPr>
        <w:t xml:space="preserve"> </w:t>
      </w:r>
      <w:r>
        <w:rPr>
          <w:rFonts w:ascii="Times New Roman" w:hAnsi="Times New Roman" w:eastAsia="Times New Roman" w:cs="Times New Roman"/>
          <w:spacing w:val="-2"/>
          <w:sz w:val="24"/>
          <w:szCs w:val="24"/>
        </w:rPr>
        <w:t>w</w:t>
      </w:r>
      <w:r>
        <w:rPr>
          <w:rFonts w:ascii="Times New Roman" w:hAnsi="Times New Roman" w:eastAsia="Times New Roman" w:cs="Times New Roman"/>
          <w:spacing w:val="29"/>
          <w:sz w:val="24"/>
          <w:szCs w:val="24"/>
        </w:rPr>
        <w:t xml:space="preserve"> </w:t>
      </w:r>
      <w:r>
        <w:rPr>
          <w:rFonts w:ascii="宋体" w:hAnsi="宋体" w:eastAsia="宋体" w:cs="宋体"/>
          <w:spacing w:val="-2"/>
          <w:sz w:val="24"/>
          <w:szCs w:val="24"/>
        </w:rPr>
        <w:t>的含碳量，单位为吨碳</w:t>
      </w:r>
      <w:r>
        <w:rPr>
          <w:rFonts w:ascii="Times New Roman" w:hAnsi="Times New Roman" w:eastAsia="Times New Roman" w:cs="Times New Roman"/>
          <w:spacing w:val="-2"/>
          <w:sz w:val="24"/>
          <w:szCs w:val="24"/>
        </w:rPr>
        <w:t>/</w:t>
      </w:r>
      <w:r>
        <w:rPr>
          <w:rFonts w:ascii="宋体" w:hAnsi="宋体" w:eastAsia="宋体" w:cs="宋体"/>
          <w:spacing w:val="-2"/>
          <w:sz w:val="24"/>
          <w:szCs w:val="24"/>
        </w:rPr>
        <w:t>吨废物</w:t>
      </w:r>
      <w:r>
        <w:rPr>
          <w:rFonts w:ascii="宋体" w:hAnsi="宋体" w:eastAsia="宋体" w:cs="宋体"/>
          <w:spacing w:val="-59"/>
          <w:sz w:val="24"/>
          <w:szCs w:val="24"/>
        </w:rPr>
        <w:t xml:space="preserve"> </w:t>
      </w:r>
      <w:r>
        <w:rPr>
          <w:rFonts w:ascii="Times New Roman" w:hAnsi="Times New Roman" w:eastAsia="Times New Roman" w:cs="Times New Roman"/>
          <w:spacing w:val="-2"/>
          <w:sz w:val="24"/>
          <w:szCs w:val="24"/>
        </w:rPr>
        <w:t>w</w:t>
      </w:r>
      <w:r>
        <w:rPr>
          <w:rFonts w:ascii="宋体" w:hAnsi="宋体" w:eastAsia="宋体" w:cs="宋体"/>
          <w:spacing w:val="-2"/>
          <w:sz w:val="24"/>
          <w:szCs w:val="24"/>
        </w:rPr>
        <w:t>；</w:t>
      </w:r>
    </w:p>
    <w:p w14:paraId="13CAD791">
      <w:pPr>
        <w:spacing w:before="85" w:line="965" w:lineRule="exact"/>
        <w:ind w:firstLine="1586"/>
      </w:pPr>
      <w:r>
        <w:rPr>
          <w:position w:val="-19"/>
        </w:rPr>
        <w:drawing>
          <wp:inline distT="0" distB="0" distL="0" distR="0">
            <wp:extent cx="3743960" cy="612140"/>
            <wp:effectExtent l="0" t="0" r="0" b="0"/>
            <wp:docPr id="252" name="IM 252"/>
            <wp:cNvGraphicFramePr/>
            <a:graphic xmlns:a="http://schemas.openxmlformats.org/drawingml/2006/main">
              <a:graphicData uri="http://schemas.openxmlformats.org/drawingml/2006/picture">
                <pic:pic xmlns:pic="http://schemas.openxmlformats.org/drawingml/2006/picture">
                  <pic:nvPicPr>
                    <pic:cNvPr id="252" name="IM 252"/>
                    <pic:cNvPicPr/>
                  </pic:nvPicPr>
                  <pic:blipFill>
                    <a:blip r:embed="rId696"/>
                    <a:stretch>
                      <a:fillRect/>
                    </a:stretch>
                  </pic:blipFill>
                  <pic:spPr>
                    <a:xfrm>
                      <a:off x="0" y="0"/>
                      <a:ext cx="3744467" cy="612647"/>
                    </a:xfrm>
                    <a:prstGeom prst="rect">
                      <a:avLst/>
                    </a:prstGeom>
                  </pic:spPr>
                </pic:pic>
              </a:graphicData>
            </a:graphic>
          </wp:inline>
        </w:drawing>
      </w:r>
    </w:p>
    <w:p w14:paraId="4637EA9F">
      <w:pPr>
        <w:spacing w:before="130" w:line="219" w:lineRule="auto"/>
        <w:ind w:left="490"/>
        <w:rPr>
          <w:rFonts w:ascii="宋体" w:hAnsi="宋体" w:eastAsia="宋体" w:cs="宋体"/>
          <w:sz w:val="24"/>
          <w:szCs w:val="24"/>
        </w:rPr>
      </w:pPr>
      <w:r>
        <w:rPr>
          <w:rFonts w:ascii="宋体" w:hAnsi="宋体" w:eastAsia="宋体" w:cs="宋体"/>
          <w:spacing w:val="-1"/>
          <w:sz w:val="24"/>
          <w:szCs w:val="24"/>
        </w:rPr>
        <w:t>化石燃料的燃烧产生的</w:t>
      </w:r>
      <w:r>
        <w:rPr>
          <w:rFonts w:ascii="宋体" w:hAnsi="宋体" w:eastAsia="宋体" w:cs="宋体"/>
          <w:spacing w:val="-46"/>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 xml:space="preserve">2 </w:t>
      </w:r>
      <w:r>
        <w:rPr>
          <w:rFonts w:ascii="宋体" w:hAnsi="宋体" w:eastAsia="宋体" w:cs="宋体"/>
          <w:spacing w:val="-1"/>
          <w:sz w:val="24"/>
          <w:szCs w:val="24"/>
        </w:rPr>
        <w:t>排放量计算计算公式</w:t>
      </w:r>
    </w:p>
    <w:p w14:paraId="2B37D6F8">
      <w:pPr>
        <w:spacing w:before="116" w:line="581" w:lineRule="exact"/>
        <w:ind w:firstLine="3571"/>
      </w:pPr>
      <w:r>
        <w:rPr>
          <w:position w:val="-11"/>
        </w:rPr>
        <w:drawing>
          <wp:inline distT="0" distB="0" distL="0" distR="0">
            <wp:extent cx="1223645" cy="368300"/>
            <wp:effectExtent l="0" t="0" r="0" b="0"/>
            <wp:docPr id="254" name="IM 254"/>
            <wp:cNvGraphicFramePr/>
            <a:graphic xmlns:a="http://schemas.openxmlformats.org/drawingml/2006/main">
              <a:graphicData uri="http://schemas.openxmlformats.org/drawingml/2006/picture">
                <pic:pic xmlns:pic="http://schemas.openxmlformats.org/drawingml/2006/picture">
                  <pic:nvPicPr>
                    <pic:cNvPr id="254" name="IM 254"/>
                    <pic:cNvPicPr/>
                  </pic:nvPicPr>
                  <pic:blipFill>
                    <a:blip r:embed="rId697"/>
                    <a:stretch>
                      <a:fillRect/>
                    </a:stretch>
                  </pic:blipFill>
                  <pic:spPr>
                    <a:xfrm>
                      <a:off x="0" y="0"/>
                      <a:ext cx="1223772" cy="368807"/>
                    </a:xfrm>
                    <a:prstGeom prst="rect">
                      <a:avLst/>
                    </a:prstGeom>
                  </pic:spPr>
                </pic:pic>
              </a:graphicData>
            </a:graphic>
          </wp:inline>
        </w:drawing>
      </w:r>
    </w:p>
    <w:p w14:paraId="52846E01">
      <w:pPr>
        <w:spacing w:before="159" w:line="220" w:lineRule="auto"/>
        <w:ind w:left="494"/>
        <w:rPr>
          <w:rFonts w:ascii="宋体" w:hAnsi="宋体" w:eastAsia="宋体" w:cs="宋体"/>
          <w:sz w:val="24"/>
          <w:szCs w:val="24"/>
        </w:rPr>
      </w:pPr>
      <w:r>
        <w:rPr>
          <w:rFonts w:ascii="宋体" w:hAnsi="宋体" w:eastAsia="宋体" w:cs="宋体"/>
          <w:spacing w:val="-5"/>
          <w:sz w:val="24"/>
          <w:szCs w:val="24"/>
        </w:rPr>
        <w:t>式中：</w:t>
      </w:r>
    </w:p>
    <w:p w14:paraId="2D0E0D97">
      <w:pPr>
        <w:spacing w:before="203" w:line="363" w:lineRule="auto"/>
        <w:ind w:left="482" w:right="2" w:firstLine="3"/>
        <w:rPr>
          <w:rFonts w:ascii="宋体" w:hAnsi="宋体" w:eastAsia="宋体" w:cs="宋体"/>
          <w:sz w:val="24"/>
          <w:szCs w:val="24"/>
        </w:rPr>
      </w:pPr>
      <w:r>
        <w:rPr>
          <w:rFonts w:ascii="Times New Roman" w:hAnsi="Times New Roman" w:eastAsia="Times New Roman" w:cs="Times New Roman"/>
          <w:spacing w:val="-7"/>
          <w:sz w:val="24"/>
          <w:szCs w:val="24"/>
        </w:rPr>
        <w:t xml:space="preserve">E </w:t>
      </w:r>
      <w:r>
        <w:rPr>
          <w:rFonts w:ascii="宋体" w:hAnsi="宋体" w:eastAsia="宋体" w:cs="宋体"/>
          <w:spacing w:val="-7"/>
          <w:sz w:val="24"/>
          <w:szCs w:val="24"/>
        </w:rPr>
        <w:t>燃烧为核算和报告期内净消耗的化石燃料燃烧产生的</w:t>
      </w:r>
      <w:r>
        <w:rPr>
          <w:rFonts w:ascii="宋体" w:hAnsi="宋体" w:eastAsia="宋体" w:cs="宋体"/>
          <w:spacing w:val="-64"/>
          <w:sz w:val="24"/>
          <w:szCs w:val="24"/>
        </w:rPr>
        <w:t xml:space="preserve"> </w:t>
      </w:r>
      <w:r>
        <w:rPr>
          <w:rFonts w:ascii="Times New Roman" w:hAnsi="Times New Roman" w:eastAsia="Times New Roman" w:cs="Times New Roman"/>
          <w:spacing w:val="-7"/>
          <w:sz w:val="24"/>
          <w:szCs w:val="24"/>
        </w:rPr>
        <w:t>CO</w:t>
      </w:r>
      <w:r>
        <w:rPr>
          <w:rFonts w:ascii="Times New Roman" w:hAnsi="Times New Roman" w:eastAsia="Times New Roman" w:cs="Times New Roman"/>
          <w:spacing w:val="-7"/>
          <w:position w:val="-1"/>
          <w:sz w:val="15"/>
          <w:szCs w:val="15"/>
        </w:rPr>
        <w:t xml:space="preserve">2 </w:t>
      </w:r>
      <w:r>
        <w:rPr>
          <w:rFonts w:ascii="宋体" w:hAnsi="宋体" w:eastAsia="宋体" w:cs="宋体"/>
          <w:spacing w:val="-7"/>
          <w:sz w:val="24"/>
          <w:szCs w:val="24"/>
        </w:rPr>
        <w:t>排放，单位为吨（</w:t>
      </w:r>
      <w:r>
        <w:rPr>
          <w:rFonts w:ascii="Times New Roman" w:hAnsi="Times New Roman" w:eastAsia="Times New Roman" w:cs="Times New Roman"/>
          <w:spacing w:val="-7"/>
          <w:sz w:val="24"/>
          <w:szCs w:val="24"/>
        </w:rPr>
        <w:t>tCO</w:t>
      </w:r>
      <w:r>
        <w:rPr>
          <w:rFonts w:ascii="Times New Roman" w:hAnsi="Times New Roman" w:eastAsia="Times New Roman" w:cs="Times New Roman"/>
          <w:spacing w:val="-7"/>
          <w:position w:val="-1"/>
          <w:sz w:val="15"/>
          <w:szCs w:val="15"/>
        </w:rPr>
        <w:t>2</w:t>
      </w:r>
      <w:r>
        <w:rPr>
          <w:rFonts w:ascii="宋体" w:hAnsi="宋体" w:eastAsia="宋体" w:cs="宋体"/>
          <w:spacing w:val="-56"/>
          <w:w w:val="87"/>
          <w:sz w:val="24"/>
          <w:szCs w:val="24"/>
        </w:rPr>
        <w:t>）；</w:t>
      </w:r>
      <w:r>
        <w:rPr>
          <w:rFonts w:ascii="宋体" w:hAnsi="宋体" w:eastAsia="宋体" w:cs="宋体"/>
          <w:sz w:val="24"/>
          <w:szCs w:val="24"/>
        </w:rPr>
        <w:t xml:space="preserve"> </w:t>
      </w:r>
      <w:r>
        <w:rPr>
          <w:rFonts w:ascii="Times New Roman" w:hAnsi="Times New Roman" w:eastAsia="Times New Roman" w:cs="Times New Roman"/>
          <w:spacing w:val="-2"/>
          <w:sz w:val="24"/>
          <w:szCs w:val="24"/>
        </w:rPr>
        <w:t>AD</w:t>
      </w:r>
      <w:r>
        <w:rPr>
          <w:rFonts w:ascii="Times New Roman" w:hAnsi="Times New Roman" w:eastAsia="Times New Roman" w:cs="Times New Roman"/>
          <w:spacing w:val="-2"/>
          <w:position w:val="-1"/>
          <w:sz w:val="15"/>
          <w:szCs w:val="15"/>
        </w:rPr>
        <w:t>i</w:t>
      </w:r>
      <w:r>
        <w:rPr>
          <w:rFonts w:ascii="Times New Roman" w:hAnsi="Times New Roman" w:eastAsia="Times New Roman" w:cs="Times New Roman"/>
          <w:spacing w:val="14"/>
          <w:position w:val="-1"/>
          <w:sz w:val="15"/>
          <w:szCs w:val="15"/>
        </w:rPr>
        <w:t xml:space="preserve"> </w:t>
      </w:r>
      <w:r>
        <w:rPr>
          <w:rFonts w:ascii="宋体" w:hAnsi="宋体" w:eastAsia="宋体" w:cs="宋体"/>
          <w:spacing w:val="-2"/>
          <w:sz w:val="24"/>
          <w:szCs w:val="24"/>
        </w:rPr>
        <w:t>为核算和报告期内消耗的第</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 xml:space="preserve">i </w:t>
      </w:r>
      <w:r>
        <w:rPr>
          <w:rFonts w:ascii="宋体" w:hAnsi="宋体" w:eastAsia="宋体" w:cs="宋体"/>
          <w:spacing w:val="-2"/>
          <w:sz w:val="24"/>
          <w:szCs w:val="24"/>
        </w:rPr>
        <w:t>种化石燃料的活动水平，单</w:t>
      </w:r>
      <w:r>
        <w:rPr>
          <w:rFonts w:ascii="宋体" w:hAnsi="宋体" w:eastAsia="宋体" w:cs="宋体"/>
          <w:spacing w:val="-3"/>
          <w:sz w:val="24"/>
          <w:szCs w:val="24"/>
        </w:rPr>
        <w:t>位为百万千焦（</w:t>
      </w:r>
      <w:r>
        <w:rPr>
          <w:rFonts w:ascii="Times New Roman" w:hAnsi="Times New Roman" w:eastAsia="Times New Roman" w:cs="Times New Roman"/>
          <w:spacing w:val="-3"/>
          <w:sz w:val="24"/>
          <w:szCs w:val="24"/>
        </w:rPr>
        <w:t>GJ</w:t>
      </w:r>
      <w:r>
        <w:rPr>
          <w:rFonts w:ascii="宋体" w:hAnsi="宋体" w:eastAsia="宋体" w:cs="宋体"/>
          <w:spacing w:val="-45"/>
          <w:sz w:val="24"/>
          <w:szCs w:val="24"/>
        </w:rPr>
        <w:t>）；</w:t>
      </w:r>
    </w:p>
    <w:p w14:paraId="7F20A8EA">
      <w:pPr>
        <w:spacing w:before="37" w:line="361" w:lineRule="auto"/>
        <w:ind w:left="486" w:right="2313" w:hanging="1"/>
        <w:rPr>
          <w:rFonts w:ascii="宋体" w:hAnsi="宋体" w:eastAsia="宋体" w:cs="宋体"/>
          <w:sz w:val="24"/>
          <w:szCs w:val="24"/>
        </w:rPr>
      </w:pPr>
      <w:r>
        <w:rPr>
          <w:rFonts w:ascii="Times New Roman" w:hAnsi="Times New Roman" w:eastAsia="Times New Roman" w:cs="Times New Roman"/>
          <w:spacing w:val="-3"/>
          <w:sz w:val="24"/>
          <w:szCs w:val="24"/>
        </w:rPr>
        <w:t>EF</w:t>
      </w:r>
      <w:r>
        <w:rPr>
          <w:rFonts w:ascii="Times New Roman" w:hAnsi="Times New Roman" w:eastAsia="Times New Roman" w:cs="Times New Roman"/>
          <w:spacing w:val="-3"/>
          <w:position w:val="-1"/>
          <w:sz w:val="15"/>
          <w:szCs w:val="15"/>
        </w:rPr>
        <w:t>i</w:t>
      </w:r>
      <w:r>
        <w:rPr>
          <w:rFonts w:ascii="Times New Roman" w:hAnsi="Times New Roman" w:eastAsia="Times New Roman" w:cs="Times New Roman"/>
          <w:spacing w:val="28"/>
          <w:w w:val="102"/>
          <w:position w:val="-1"/>
          <w:sz w:val="15"/>
          <w:szCs w:val="15"/>
        </w:rPr>
        <w:t xml:space="preserve"> </w:t>
      </w:r>
      <w:r>
        <w:rPr>
          <w:rFonts w:ascii="宋体" w:hAnsi="宋体" w:eastAsia="宋体" w:cs="宋体"/>
          <w:spacing w:val="-3"/>
          <w:sz w:val="24"/>
          <w:szCs w:val="24"/>
        </w:rPr>
        <w:t>为第</w:t>
      </w:r>
      <w:r>
        <w:rPr>
          <w:rFonts w:ascii="宋体" w:hAnsi="宋体" w:eastAsia="宋体" w:cs="宋体"/>
          <w:spacing w:val="-53"/>
          <w:sz w:val="24"/>
          <w:szCs w:val="24"/>
        </w:rPr>
        <w:t xml:space="preserve"> </w:t>
      </w:r>
      <w:r>
        <w:rPr>
          <w:rFonts w:ascii="Times New Roman" w:hAnsi="Times New Roman" w:eastAsia="Times New Roman" w:cs="Times New Roman"/>
          <w:spacing w:val="-3"/>
          <w:sz w:val="24"/>
          <w:szCs w:val="24"/>
        </w:rPr>
        <w:t xml:space="preserve">i </w:t>
      </w:r>
      <w:r>
        <w:rPr>
          <w:rFonts w:ascii="宋体" w:hAnsi="宋体" w:eastAsia="宋体" w:cs="宋体"/>
          <w:spacing w:val="-3"/>
          <w:sz w:val="24"/>
          <w:szCs w:val="24"/>
        </w:rPr>
        <w:t>种化石燃料的二氧化碳排放因子，单位：</w:t>
      </w:r>
      <w:r>
        <w:rPr>
          <w:rFonts w:ascii="Times New Roman" w:hAnsi="Times New Roman" w:eastAsia="Times New Roman" w:cs="Times New Roman"/>
          <w:spacing w:val="-3"/>
          <w:sz w:val="24"/>
          <w:szCs w:val="24"/>
        </w:rPr>
        <w:t>tCO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3"/>
          <w:sz w:val="24"/>
          <w:szCs w:val="24"/>
        </w:rPr>
        <w:t>/GJ</w:t>
      </w:r>
      <w:r>
        <w:rPr>
          <w:rFonts w:ascii="宋体" w:hAnsi="宋体" w:eastAsia="宋体" w:cs="宋体"/>
          <w:spacing w:val="-3"/>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 xml:space="preserve">i </w:t>
      </w:r>
      <w:r>
        <w:rPr>
          <w:rFonts w:ascii="宋体" w:hAnsi="宋体" w:eastAsia="宋体" w:cs="宋体"/>
          <w:spacing w:val="-1"/>
          <w:sz w:val="24"/>
          <w:szCs w:val="24"/>
        </w:rPr>
        <w:t>为净消耗的化石燃料的类型；</w:t>
      </w:r>
    </w:p>
    <w:p w14:paraId="71ED8B0E">
      <w:pPr>
        <w:pStyle w:val="2"/>
        <w:spacing w:before="38" w:line="399" w:lineRule="auto"/>
        <w:ind w:left="482" w:right="1056" w:firstLine="10"/>
        <w:rPr>
          <w:rFonts w:ascii="Times New Roman" w:hAnsi="Times New Roman" w:eastAsia="Times New Roman" w:cs="Times New Roman"/>
          <w:sz w:val="15"/>
          <w:szCs w:val="15"/>
        </w:rPr>
      </w:pPr>
      <w:r>
        <w:rPr>
          <w:rFonts w:ascii="宋体" w:hAnsi="宋体" w:eastAsia="宋体" w:cs="宋体"/>
          <w:spacing w:val="-2"/>
          <w:sz w:val="24"/>
          <w:szCs w:val="24"/>
        </w:rPr>
        <w:t>核算和报告期内消耗的第</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 xml:space="preserve">i </w:t>
      </w:r>
      <w:r>
        <w:rPr>
          <w:rFonts w:ascii="宋体" w:hAnsi="宋体" w:eastAsia="宋体" w:cs="宋体"/>
          <w:spacing w:val="-2"/>
          <w:sz w:val="24"/>
          <w:szCs w:val="24"/>
        </w:rPr>
        <w:t>种化石燃料的活动水平</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AD</w:t>
      </w:r>
      <w:r>
        <w:rPr>
          <w:rFonts w:ascii="Times New Roman" w:hAnsi="Times New Roman" w:eastAsia="Times New Roman" w:cs="Times New Roman"/>
          <w:spacing w:val="-2"/>
          <w:position w:val="-1"/>
          <w:sz w:val="15"/>
          <w:szCs w:val="15"/>
        </w:rPr>
        <w:t>i</w:t>
      </w:r>
      <w:r>
        <w:rPr>
          <w:rFonts w:ascii="Times New Roman" w:hAnsi="Times New Roman" w:eastAsia="Times New Roman" w:cs="Times New Roman"/>
          <w:spacing w:val="12"/>
          <w:w w:val="102"/>
          <w:position w:val="-1"/>
          <w:sz w:val="15"/>
          <w:szCs w:val="15"/>
        </w:rPr>
        <w:t xml:space="preserve"> </w:t>
      </w:r>
      <w:r>
        <w:rPr>
          <w:rFonts w:ascii="宋体" w:hAnsi="宋体" w:eastAsia="宋体" w:cs="宋体"/>
          <w:spacing w:val="-2"/>
          <w:sz w:val="24"/>
          <w:szCs w:val="24"/>
        </w:rPr>
        <w:t>按下面</w:t>
      </w:r>
      <w:r>
        <w:rPr>
          <w:rFonts w:ascii="宋体" w:hAnsi="宋体" w:eastAsia="宋体" w:cs="宋体"/>
          <w:spacing w:val="-3"/>
          <w:sz w:val="24"/>
          <w:szCs w:val="24"/>
        </w:rPr>
        <w:t>公式计算。</w:t>
      </w:r>
      <w:r>
        <w:rPr>
          <w:rFonts w:ascii="宋体" w:hAnsi="宋体" w:eastAsia="宋体" w:cs="宋体"/>
          <w:sz w:val="24"/>
          <w:szCs w:val="24"/>
        </w:rPr>
        <w:t xml:space="preserve"> </w:t>
      </w:r>
      <w:r>
        <w:rPr>
          <w:rFonts w:ascii="Times New Roman" w:hAnsi="Times New Roman" w:eastAsia="Times New Roman" w:cs="Times New Roman"/>
          <w:spacing w:val="-2"/>
          <w:sz w:val="24"/>
          <w:szCs w:val="24"/>
        </w:rPr>
        <w:t>AD</w:t>
      </w:r>
      <w:r>
        <w:rPr>
          <w:rFonts w:ascii="Times New Roman" w:hAnsi="Times New Roman" w:eastAsia="Times New Roman" w:cs="Times New Roman"/>
          <w:spacing w:val="-2"/>
          <w:position w:val="-1"/>
          <w:sz w:val="15"/>
          <w:szCs w:val="15"/>
        </w:rPr>
        <w:t>i</w:t>
      </w:r>
      <w:r>
        <w:rPr>
          <w:rFonts w:ascii="Times New Roman" w:hAnsi="Times New Roman" w:eastAsia="Times New Roman" w:cs="Times New Roman"/>
          <w:spacing w:val="-2"/>
          <w:sz w:val="24"/>
          <w:szCs w:val="24"/>
        </w:rPr>
        <w:t>=NCV</w:t>
      </w:r>
      <w:r>
        <w:rPr>
          <w:rFonts w:ascii="Times New Roman" w:hAnsi="Times New Roman" w:eastAsia="Times New Roman" w:cs="Times New Roman"/>
          <w:spacing w:val="-2"/>
          <w:position w:val="-1"/>
          <w:sz w:val="15"/>
          <w:szCs w:val="15"/>
        </w:rPr>
        <w:t xml:space="preserve">i  </w:t>
      </w:r>
      <w:r>
        <w:rPr>
          <w:spacing w:val="-2"/>
          <w:sz w:val="24"/>
          <w:szCs w:val="24"/>
        </w:rPr>
        <w:t>×</w:t>
      </w:r>
      <w:r>
        <w:rPr>
          <w:rFonts w:ascii="Times New Roman" w:hAnsi="Times New Roman" w:eastAsia="Times New Roman" w:cs="Times New Roman"/>
          <w:spacing w:val="-2"/>
          <w:sz w:val="24"/>
          <w:szCs w:val="24"/>
        </w:rPr>
        <w:t>FC</w:t>
      </w:r>
      <w:r>
        <w:rPr>
          <w:rFonts w:ascii="Times New Roman" w:hAnsi="Times New Roman" w:eastAsia="Times New Roman" w:cs="Times New Roman"/>
          <w:spacing w:val="-2"/>
          <w:position w:val="-1"/>
          <w:sz w:val="15"/>
          <w:szCs w:val="15"/>
        </w:rPr>
        <w:t>i</w:t>
      </w:r>
    </w:p>
    <w:p w14:paraId="530DB0D6">
      <w:pPr>
        <w:spacing w:before="1" w:line="361" w:lineRule="auto"/>
        <w:ind w:left="11" w:firstLine="482"/>
        <w:rPr>
          <w:rFonts w:ascii="宋体" w:hAnsi="宋体" w:eastAsia="宋体" w:cs="宋体"/>
          <w:sz w:val="24"/>
          <w:szCs w:val="24"/>
        </w:rPr>
      </w:pPr>
      <w:r>
        <w:rPr>
          <w:rFonts w:ascii="宋体" w:hAnsi="宋体" w:eastAsia="宋体" w:cs="宋体"/>
          <w:spacing w:val="-22"/>
          <w:sz w:val="24"/>
          <w:szCs w:val="24"/>
        </w:rPr>
        <w:t>式中：</w:t>
      </w:r>
      <w:r>
        <w:rPr>
          <w:rFonts w:ascii="Times New Roman" w:hAnsi="Times New Roman" w:eastAsia="Times New Roman" w:cs="Times New Roman"/>
          <w:spacing w:val="-22"/>
          <w:sz w:val="24"/>
          <w:szCs w:val="24"/>
        </w:rPr>
        <w:t>NCV</w:t>
      </w:r>
      <w:r>
        <w:rPr>
          <w:rFonts w:ascii="Times New Roman" w:hAnsi="Times New Roman" w:eastAsia="Times New Roman" w:cs="Times New Roman"/>
          <w:spacing w:val="-6"/>
          <w:position w:val="-1"/>
          <w:sz w:val="15"/>
          <w:szCs w:val="15"/>
        </w:rPr>
        <w:t>i</w:t>
      </w:r>
      <w:r>
        <w:rPr>
          <w:rFonts w:ascii="Times New Roman" w:hAnsi="Times New Roman" w:eastAsia="Times New Roman" w:cs="Times New Roman"/>
          <w:spacing w:val="32"/>
          <w:w w:val="101"/>
          <w:position w:val="-1"/>
          <w:sz w:val="15"/>
          <w:szCs w:val="15"/>
        </w:rPr>
        <w:t xml:space="preserve"> </w:t>
      </w:r>
      <w:r>
        <w:rPr>
          <w:rFonts w:ascii="宋体" w:hAnsi="宋体" w:eastAsia="宋体" w:cs="宋体"/>
          <w:spacing w:val="-6"/>
          <w:sz w:val="24"/>
          <w:szCs w:val="24"/>
        </w:rPr>
        <w:t>是核算和报告期第</w:t>
      </w:r>
      <w:r>
        <w:rPr>
          <w:rFonts w:ascii="宋体" w:hAnsi="宋体" w:eastAsia="宋体" w:cs="宋体"/>
          <w:spacing w:val="-54"/>
          <w:sz w:val="24"/>
          <w:szCs w:val="24"/>
        </w:rPr>
        <w:t xml:space="preserve"> </w:t>
      </w:r>
      <w:r>
        <w:rPr>
          <w:rFonts w:ascii="Times New Roman" w:hAnsi="Times New Roman" w:eastAsia="Times New Roman" w:cs="Times New Roman"/>
          <w:spacing w:val="-6"/>
          <w:sz w:val="24"/>
          <w:szCs w:val="24"/>
        </w:rPr>
        <w:t xml:space="preserve">i </w:t>
      </w:r>
      <w:r>
        <w:rPr>
          <w:rFonts w:ascii="宋体" w:hAnsi="宋体" w:eastAsia="宋体" w:cs="宋体"/>
          <w:spacing w:val="-6"/>
          <w:sz w:val="24"/>
          <w:szCs w:val="24"/>
        </w:rPr>
        <w:t>种化石燃料的平均低位发热量，对固体或液体燃料，</w:t>
      </w:r>
      <w:r>
        <w:rPr>
          <w:rFonts w:ascii="宋体" w:hAnsi="宋体" w:eastAsia="宋体" w:cs="宋体"/>
          <w:sz w:val="24"/>
          <w:szCs w:val="24"/>
        </w:rPr>
        <w:t xml:space="preserve"> </w:t>
      </w:r>
      <w:r>
        <w:rPr>
          <w:rFonts w:ascii="宋体" w:hAnsi="宋体" w:eastAsia="宋体" w:cs="宋体"/>
          <w:spacing w:val="-1"/>
          <w:sz w:val="24"/>
          <w:szCs w:val="24"/>
        </w:rPr>
        <w:t>单位为百万千焦</w:t>
      </w:r>
      <w:r>
        <w:rPr>
          <w:rFonts w:ascii="Times New Roman" w:hAnsi="Times New Roman" w:eastAsia="Times New Roman" w:cs="Times New Roman"/>
          <w:spacing w:val="-1"/>
          <w:sz w:val="24"/>
          <w:szCs w:val="24"/>
        </w:rPr>
        <w:t>/</w:t>
      </w:r>
      <w:r>
        <w:rPr>
          <w:rFonts w:ascii="宋体" w:hAnsi="宋体" w:eastAsia="宋体" w:cs="宋体"/>
          <w:spacing w:val="-1"/>
          <w:sz w:val="24"/>
          <w:szCs w:val="24"/>
        </w:rPr>
        <w:t>吨（</w:t>
      </w:r>
      <w:r>
        <w:rPr>
          <w:rFonts w:ascii="Times New Roman" w:hAnsi="Times New Roman" w:eastAsia="Times New Roman" w:cs="Times New Roman"/>
          <w:spacing w:val="-1"/>
          <w:sz w:val="24"/>
          <w:szCs w:val="24"/>
        </w:rPr>
        <w:t>GJ/t</w:t>
      </w:r>
      <w:r>
        <w:rPr>
          <w:rFonts w:ascii="宋体" w:hAnsi="宋体" w:eastAsia="宋体" w:cs="宋体"/>
          <w:spacing w:val="-2"/>
          <w:sz w:val="24"/>
          <w:szCs w:val="24"/>
        </w:rPr>
        <w:t>）；</w:t>
      </w:r>
      <w:r>
        <w:rPr>
          <w:rFonts w:ascii="宋体" w:hAnsi="宋体" w:eastAsia="宋体" w:cs="宋体"/>
          <w:spacing w:val="-1"/>
          <w:sz w:val="24"/>
          <w:szCs w:val="24"/>
        </w:rPr>
        <w:t>气体燃料，单位为百万千焦</w:t>
      </w:r>
      <w:r>
        <w:rPr>
          <w:rFonts w:ascii="Times New Roman" w:hAnsi="Times New Roman" w:eastAsia="Times New Roman" w:cs="Times New Roman"/>
          <w:spacing w:val="-1"/>
          <w:sz w:val="24"/>
          <w:szCs w:val="24"/>
        </w:rPr>
        <w:t>/</w:t>
      </w:r>
      <w:r>
        <w:rPr>
          <w:rFonts w:ascii="宋体" w:hAnsi="宋体" w:eastAsia="宋体" w:cs="宋体"/>
          <w:spacing w:val="-1"/>
          <w:sz w:val="24"/>
          <w:szCs w:val="24"/>
        </w:rPr>
        <w:t>万立方米（</w:t>
      </w:r>
      <w:r>
        <w:rPr>
          <w:rFonts w:ascii="Times New Roman" w:hAnsi="Times New Roman" w:eastAsia="Times New Roman" w:cs="Times New Roman"/>
          <w:spacing w:val="-1"/>
          <w:sz w:val="24"/>
          <w:szCs w:val="24"/>
        </w:rPr>
        <w:t>GJ/</w:t>
      </w:r>
      <w:r>
        <w:rPr>
          <w:rFonts w:ascii="宋体" w:hAnsi="宋体" w:eastAsia="宋体" w:cs="宋体"/>
          <w:spacing w:val="-1"/>
          <w:sz w:val="24"/>
          <w:szCs w:val="24"/>
        </w:rPr>
        <w:t>万</w:t>
      </w:r>
      <w:r>
        <w:rPr>
          <w:rFonts w:ascii="宋体" w:hAnsi="宋体" w:eastAsia="宋体" w:cs="宋体"/>
          <w:spacing w:val="-61"/>
          <w:sz w:val="24"/>
          <w:szCs w:val="24"/>
        </w:rPr>
        <w:t xml:space="preserve"> </w:t>
      </w:r>
      <w:r>
        <w:rPr>
          <w:rFonts w:ascii="Times New Roman" w:hAnsi="Times New Roman" w:eastAsia="Times New Roman" w:cs="Times New Roman"/>
          <w:spacing w:val="-1"/>
          <w:sz w:val="24"/>
          <w:szCs w:val="24"/>
        </w:rPr>
        <w:t>Nm</w:t>
      </w:r>
      <w:r>
        <w:rPr>
          <w:rFonts w:ascii="Times New Roman" w:hAnsi="Times New Roman" w:eastAsia="Times New Roman" w:cs="Times New Roman"/>
          <w:spacing w:val="-1"/>
          <w:position w:val="7"/>
          <w:sz w:val="15"/>
          <w:szCs w:val="15"/>
        </w:rPr>
        <w:t xml:space="preserve">3 </w:t>
      </w:r>
      <w:r>
        <w:rPr>
          <w:rFonts w:ascii="宋体" w:hAnsi="宋体" w:eastAsia="宋体" w:cs="宋体"/>
          <w:spacing w:val="-2"/>
          <w:sz w:val="24"/>
          <w:szCs w:val="24"/>
        </w:rPr>
        <w:t>）；</w:t>
      </w:r>
    </w:p>
    <w:p w14:paraId="71760300">
      <w:pPr>
        <w:spacing w:before="36" w:line="347" w:lineRule="auto"/>
        <w:ind w:left="8" w:right="2" w:firstLine="475"/>
        <w:rPr>
          <w:rFonts w:ascii="宋体" w:hAnsi="宋体" w:eastAsia="宋体" w:cs="宋体"/>
          <w:sz w:val="24"/>
          <w:szCs w:val="24"/>
        </w:rPr>
      </w:pPr>
      <w:r>
        <w:rPr>
          <w:rFonts w:ascii="Times New Roman" w:hAnsi="Times New Roman" w:eastAsia="Times New Roman" w:cs="Times New Roman"/>
          <w:spacing w:val="-6"/>
          <w:sz w:val="24"/>
          <w:szCs w:val="24"/>
        </w:rPr>
        <w:t>FC</w:t>
      </w:r>
      <w:r>
        <w:rPr>
          <w:rFonts w:ascii="Times New Roman" w:hAnsi="Times New Roman" w:eastAsia="Times New Roman" w:cs="Times New Roman"/>
          <w:spacing w:val="-6"/>
          <w:position w:val="-1"/>
          <w:sz w:val="15"/>
          <w:szCs w:val="15"/>
        </w:rPr>
        <w:t>i</w:t>
      </w:r>
      <w:r>
        <w:rPr>
          <w:rFonts w:ascii="Times New Roman" w:hAnsi="Times New Roman" w:eastAsia="Times New Roman" w:cs="Times New Roman"/>
          <w:spacing w:val="14"/>
          <w:position w:val="-1"/>
          <w:sz w:val="15"/>
          <w:szCs w:val="15"/>
        </w:rPr>
        <w:t xml:space="preserve"> </w:t>
      </w:r>
      <w:r>
        <w:rPr>
          <w:rFonts w:ascii="宋体" w:hAnsi="宋体" w:eastAsia="宋体" w:cs="宋体"/>
          <w:spacing w:val="-6"/>
          <w:sz w:val="24"/>
          <w:szCs w:val="24"/>
        </w:rPr>
        <w:t>是核算和报告期第</w:t>
      </w:r>
      <w:r>
        <w:rPr>
          <w:rFonts w:ascii="宋体" w:hAnsi="宋体" w:eastAsia="宋体" w:cs="宋体"/>
          <w:spacing w:val="-53"/>
          <w:sz w:val="24"/>
          <w:szCs w:val="24"/>
        </w:rPr>
        <w:t xml:space="preserve"> </w:t>
      </w:r>
      <w:r>
        <w:rPr>
          <w:rFonts w:ascii="Times New Roman" w:hAnsi="Times New Roman" w:eastAsia="Times New Roman" w:cs="Times New Roman"/>
          <w:spacing w:val="-6"/>
          <w:sz w:val="24"/>
          <w:szCs w:val="24"/>
        </w:rPr>
        <w:t xml:space="preserve">i </w:t>
      </w:r>
      <w:r>
        <w:rPr>
          <w:rFonts w:ascii="宋体" w:hAnsi="宋体" w:eastAsia="宋体" w:cs="宋体"/>
          <w:spacing w:val="-6"/>
          <w:sz w:val="24"/>
          <w:szCs w:val="24"/>
        </w:rPr>
        <w:t>种化石燃料的净消耗量，对固体或液体燃料，单位为吨（</w:t>
      </w:r>
      <w:r>
        <w:rPr>
          <w:rFonts w:ascii="Times New Roman" w:hAnsi="Times New Roman" w:eastAsia="Times New Roman" w:cs="Times New Roman"/>
          <w:spacing w:val="-6"/>
          <w:sz w:val="24"/>
          <w:szCs w:val="24"/>
        </w:rPr>
        <w:t>t</w:t>
      </w:r>
      <w:r>
        <w:rPr>
          <w:rFonts w:ascii="宋体" w:hAnsi="宋体" w:eastAsia="宋体" w:cs="宋体"/>
          <w:spacing w:val="-56"/>
          <w:w w:val="88"/>
          <w:sz w:val="24"/>
          <w:szCs w:val="24"/>
        </w:rPr>
        <w:t>）；</w:t>
      </w:r>
      <w:r>
        <w:rPr>
          <w:rFonts w:ascii="宋体" w:hAnsi="宋体" w:eastAsia="宋体" w:cs="宋体"/>
          <w:sz w:val="24"/>
          <w:szCs w:val="24"/>
        </w:rPr>
        <w:t xml:space="preserve"> </w:t>
      </w:r>
      <w:r>
        <w:rPr>
          <w:rFonts w:ascii="宋体" w:hAnsi="宋体" w:eastAsia="宋体" w:cs="宋体"/>
          <w:spacing w:val="-2"/>
          <w:sz w:val="24"/>
          <w:szCs w:val="24"/>
        </w:rPr>
        <w:t>对气体燃料，单位为万立方米（万</w:t>
      </w:r>
      <w:r>
        <w:rPr>
          <w:rFonts w:ascii="宋体" w:hAnsi="宋体" w:eastAsia="宋体" w:cs="宋体"/>
          <w:spacing w:val="-60"/>
          <w:sz w:val="24"/>
          <w:szCs w:val="24"/>
        </w:rPr>
        <w:t xml:space="preserve"> </w:t>
      </w:r>
      <w:r>
        <w:rPr>
          <w:rFonts w:ascii="Times New Roman" w:hAnsi="Times New Roman" w:eastAsia="Times New Roman" w:cs="Times New Roman"/>
          <w:spacing w:val="-2"/>
          <w:sz w:val="24"/>
          <w:szCs w:val="24"/>
        </w:rPr>
        <w:t>Nm</w:t>
      </w:r>
      <w:r>
        <w:rPr>
          <w:rFonts w:ascii="Times New Roman" w:hAnsi="Times New Roman" w:eastAsia="Times New Roman" w:cs="Times New Roman"/>
          <w:spacing w:val="-2"/>
          <w:position w:val="8"/>
          <w:sz w:val="15"/>
          <w:szCs w:val="15"/>
        </w:rPr>
        <w:t xml:space="preserve">3 </w:t>
      </w:r>
      <w:r>
        <w:rPr>
          <w:rFonts w:ascii="宋体" w:hAnsi="宋体" w:eastAsia="宋体" w:cs="宋体"/>
          <w:spacing w:val="-2"/>
          <w:sz w:val="24"/>
          <w:szCs w:val="24"/>
        </w:rPr>
        <w:t>）。化石燃料的二氧化碳排放因子按下面计算。</w:t>
      </w:r>
    </w:p>
    <w:p w14:paraId="7B86A13D">
      <w:pPr>
        <w:spacing w:line="557" w:lineRule="exact"/>
        <w:ind w:firstLine="3645"/>
      </w:pPr>
      <w:r>
        <w:rPr>
          <w:position w:val="-11"/>
        </w:rPr>
        <w:drawing>
          <wp:inline distT="0" distB="0" distL="0" distR="0">
            <wp:extent cx="1129030" cy="353060"/>
            <wp:effectExtent l="0" t="0" r="0" b="0"/>
            <wp:docPr id="256" name="IM 256"/>
            <wp:cNvGraphicFramePr/>
            <a:graphic xmlns:a="http://schemas.openxmlformats.org/drawingml/2006/main">
              <a:graphicData uri="http://schemas.openxmlformats.org/drawingml/2006/picture">
                <pic:pic xmlns:pic="http://schemas.openxmlformats.org/drawingml/2006/picture">
                  <pic:nvPicPr>
                    <pic:cNvPr id="256" name="IM 256"/>
                    <pic:cNvPicPr/>
                  </pic:nvPicPr>
                  <pic:blipFill>
                    <a:blip r:embed="rId698"/>
                    <a:stretch>
                      <a:fillRect/>
                    </a:stretch>
                  </pic:blipFill>
                  <pic:spPr>
                    <a:xfrm>
                      <a:off x="0" y="0"/>
                      <a:ext cx="1129283" cy="353567"/>
                    </a:xfrm>
                    <a:prstGeom prst="rect">
                      <a:avLst/>
                    </a:prstGeom>
                  </pic:spPr>
                </pic:pic>
              </a:graphicData>
            </a:graphic>
          </wp:inline>
        </w:drawing>
      </w:r>
    </w:p>
    <w:p w14:paraId="3073F6F2">
      <w:pPr>
        <w:spacing w:before="171" w:line="335" w:lineRule="auto"/>
        <w:ind w:left="8" w:right="57" w:firstLine="485"/>
        <w:rPr>
          <w:rFonts w:ascii="宋体" w:hAnsi="宋体" w:eastAsia="宋体" w:cs="宋体"/>
          <w:sz w:val="24"/>
          <w:szCs w:val="24"/>
        </w:rPr>
      </w:pPr>
      <w:r>
        <w:rPr>
          <w:rFonts w:ascii="宋体" w:hAnsi="宋体" w:eastAsia="宋体" w:cs="宋体"/>
          <w:spacing w:val="-1"/>
          <w:sz w:val="24"/>
          <w:szCs w:val="24"/>
        </w:rPr>
        <w:t>式中：</w:t>
      </w:r>
      <w:r>
        <w:rPr>
          <w:rFonts w:ascii="Times New Roman" w:hAnsi="Times New Roman" w:eastAsia="Times New Roman" w:cs="Times New Roman"/>
          <w:spacing w:val="-1"/>
          <w:sz w:val="24"/>
          <w:szCs w:val="24"/>
        </w:rPr>
        <w:t>CC</w:t>
      </w:r>
      <w:r>
        <w:rPr>
          <w:rFonts w:ascii="Times New Roman" w:hAnsi="Times New Roman" w:eastAsia="Times New Roman" w:cs="Times New Roman"/>
          <w:spacing w:val="-1"/>
          <w:position w:val="-1"/>
          <w:sz w:val="15"/>
          <w:szCs w:val="15"/>
        </w:rPr>
        <w:t>i</w:t>
      </w:r>
      <w:r>
        <w:rPr>
          <w:rFonts w:ascii="Times New Roman" w:hAnsi="Times New Roman" w:eastAsia="Times New Roman" w:cs="Times New Roman"/>
          <w:spacing w:val="14"/>
          <w:position w:val="-1"/>
          <w:sz w:val="15"/>
          <w:szCs w:val="15"/>
        </w:rPr>
        <w:t xml:space="preserve"> </w:t>
      </w:r>
      <w:r>
        <w:rPr>
          <w:rFonts w:ascii="宋体" w:hAnsi="宋体" w:eastAsia="宋体" w:cs="宋体"/>
          <w:spacing w:val="-1"/>
          <w:sz w:val="24"/>
          <w:szCs w:val="24"/>
        </w:rPr>
        <w:t>为第</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 xml:space="preserve">i </w:t>
      </w:r>
      <w:r>
        <w:rPr>
          <w:rFonts w:ascii="宋体" w:hAnsi="宋体" w:eastAsia="宋体" w:cs="宋体"/>
          <w:spacing w:val="-1"/>
          <w:sz w:val="24"/>
          <w:szCs w:val="24"/>
        </w:rPr>
        <w:t>种化石燃料的单位热值含碳量，单位为吨碳</w:t>
      </w:r>
      <w:r>
        <w:rPr>
          <w:rFonts w:ascii="Times New Roman" w:hAnsi="Times New Roman" w:eastAsia="Times New Roman" w:cs="Times New Roman"/>
          <w:spacing w:val="-1"/>
          <w:sz w:val="24"/>
          <w:szCs w:val="24"/>
        </w:rPr>
        <w:t>/</w:t>
      </w:r>
      <w:r>
        <w:rPr>
          <w:rFonts w:ascii="宋体" w:hAnsi="宋体" w:eastAsia="宋体" w:cs="宋体"/>
          <w:spacing w:val="-1"/>
          <w:sz w:val="24"/>
          <w:szCs w:val="24"/>
        </w:rPr>
        <w:t>百万千焦（</w:t>
      </w:r>
      <w:r>
        <w:rPr>
          <w:rFonts w:ascii="Times New Roman" w:hAnsi="Times New Roman" w:eastAsia="Times New Roman" w:cs="Times New Roman"/>
          <w:spacing w:val="-1"/>
          <w:sz w:val="24"/>
          <w:szCs w:val="24"/>
        </w:rPr>
        <w:t>tC/GJ</w:t>
      </w:r>
      <w:r>
        <w:rPr>
          <w:rFonts w:ascii="宋体" w:hAnsi="宋体" w:eastAsia="宋体" w:cs="宋体"/>
          <w:spacing w:val="-28"/>
          <w:sz w:val="24"/>
          <w:szCs w:val="24"/>
        </w:rPr>
        <w:t>）；</w:t>
      </w:r>
      <w:r>
        <w:rPr>
          <w:rFonts w:ascii="宋体" w:hAnsi="宋体" w:eastAsia="宋体" w:cs="宋体"/>
          <w:sz w:val="24"/>
          <w:szCs w:val="24"/>
        </w:rPr>
        <w:t xml:space="preserve"> </w:t>
      </w:r>
      <w:r>
        <w:rPr>
          <w:rFonts w:ascii="Times New Roman" w:hAnsi="Times New Roman" w:eastAsia="Times New Roman" w:cs="Times New Roman"/>
          <w:spacing w:val="-2"/>
          <w:sz w:val="24"/>
          <w:szCs w:val="24"/>
        </w:rPr>
        <w:t>OF</w:t>
      </w:r>
      <w:r>
        <w:rPr>
          <w:rFonts w:ascii="Times New Roman" w:hAnsi="Times New Roman" w:eastAsia="Times New Roman" w:cs="Times New Roman"/>
          <w:spacing w:val="-2"/>
          <w:position w:val="-1"/>
          <w:sz w:val="15"/>
          <w:szCs w:val="15"/>
        </w:rPr>
        <w:t>i</w:t>
      </w:r>
      <w:r>
        <w:rPr>
          <w:rFonts w:ascii="Times New Roman" w:hAnsi="Times New Roman" w:eastAsia="Times New Roman" w:cs="Times New Roman"/>
          <w:spacing w:val="30"/>
          <w:w w:val="101"/>
          <w:position w:val="-1"/>
          <w:sz w:val="15"/>
          <w:szCs w:val="15"/>
        </w:rPr>
        <w:t xml:space="preserve"> </w:t>
      </w:r>
      <w:r>
        <w:rPr>
          <w:rFonts w:ascii="宋体" w:hAnsi="宋体" w:eastAsia="宋体" w:cs="宋体"/>
          <w:spacing w:val="-2"/>
          <w:sz w:val="24"/>
          <w:szCs w:val="24"/>
        </w:rPr>
        <w:t>为第</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 xml:space="preserve">i </w:t>
      </w:r>
      <w:r>
        <w:rPr>
          <w:rFonts w:ascii="宋体" w:hAnsi="宋体" w:eastAsia="宋体" w:cs="宋体"/>
          <w:spacing w:val="-2"/>
          <w:sz w:val="24"/>
          <w:szCs w:val="24"/>
        </w:rPr>
        <w:t>种化石燃料的碳氧化率，单位为</w:t>
      </w:r>
      <w:r>
        <w:rPr>
          <w:rFonts w:ascii="Times New Roman" w:hAnsi="Times New Roman" w:eastAsia="Times New Roman" w:cs="Times New Roman"/>
          <w:spacing w:val="-2"/>
          <w:sz w:val="24"/>
          <w:szCs w:val="24"/>
        </w:rPr>
        <w:t>%</w:t>
      </w:r>
      <w:r>
        <w:rPr>
          <w:rFonts w:ascii="宋体" w:hAnsi="宋体" w:eastAsia="宋体" w:cs="宋体"/>
          <w:spacing w:val="-2"/>
          <w:sz w:val="24"/>
          <w:szCs w:val="24"/>
        </w:rPr>
        <w:t>。</w:t>
      </w:r>
    </w:p>
    <w:p w14:paraId="75155872">
      <w:pPr>
        <w:spacing w:line="621" w:lineRule="exact"/>
        <w:ind w:firstLine="3610"/>
      </w:pPr>
      <w:r>
        <w:rPr>
          <w:position w:val="-12"/>
        </w:rPr>
        <w:drawing>
          <wp:inline distT="0" distB="0" distL="0" distR="0">
            <wp:extent cx="1172845" cy="394335"/>
            <wp:effectExtent l="0" t="0" r="0" b="0"/>
            <wp:docPr id="258" name="IM 258"/>
            <wp:cNvGraphicFramePr/>
            <a:graphic xmlns:a="http://schemas.openxmlformats.org/drawingml/2006/main">
              <a:graphicData uri="http://schemas.openxmlformats.org/drawingml/2006/picture">
                <pic:pic xmlns:pic="http://schemas.openxmlformats.org/drawingml/2006/picture">
                  <pic:nvPicPr>
                    <pic:cNvPr id="258" name="IM 258"/>
                    <pic:cNvPicPr/>
                  </pic:nvPicPr>
                  <pic:blipFill>
                    <a:blip r:embed="rId699"/>
                    <a:stretch>
                      <a:fillRect/>
                    </a:stretch>
                  </pic:blipFill>
                  <pic:spPr>
                    <a:xfrm>
                      <a:off x="0" y="0"/>
                      <a:ext cx="1173479" cy="394715"/>
                    </a:xfrm>
                    <a:prstGeom prst="rect">
                      <a:avLst/>
                    </a:prstGeom>
                  </pic:spPr>
                </pic:pic>
              </a:graphicData>
            </a:graphic>
          </wp:inline>
        </w:drawing>
      </w:r>
    </w:p>
    <w:p w14:paraId="3E2295BD">
      <w:pPr>
        <w:spacing w:before="139" w:line="219" w:lineRule="auto"/>
        <w:ind w:left="492"/>
        <w:rPr>
          <w:rFonts w:ascii="宋体" w:hAnsi="宋体" w:eastAsia="宋体" w:cs="宋体"/>
          <w:sz w:val="24"/>
          <w:szCs w:val="24"/>
        </w:rPr>
      </w:pPr>
      <w:r>
        <w:rPr>
          <w:rFonts w:ascii="宋体" w:hAnsi="宋体" w:eastAsia="宋体" w:cs="宋体"/>
          <w:spacing w:val="-2"/>
          <w:sz w:val="24"/>
          <w:szCs w:val="24"/>
        </w:rPr>
        <w:t>详细计算过程如下：</w:t>
      </w:r>
    </w:p>
    <w:p w14:paraId="0A1D5F74">
      <w:pPr>
        <w:spacing w:line="219" w:lineRule="auto"/>
        <w:rPr>
          <w:rFonts w:ascii="宋体" w:hAnsi="宋体" w:eastAsia="宋体" w:cs="宋体"/>
          <w:sz w:val="24"/>
          <w:szCs w:val="24"/>
        </w:rPr>
        <w:sectPr>
          <w:headerReference r:id="rId511" w:type="default"/>
          <w:footerReference r:id="rId512" w:type="default"/>
          <w:pgSz w:w="11906" w:h="16839"/>
          <w:pgMar w:top="1190" w:right="1356" w:bottom="1221" w:left="1418" w:header="882" w:footer="1059" w:gutter="0"/>
          <w:cols w:space="720" w:num="1"/>
        </w:sectPr>
      </w:pPr>
    </w:p>
    <w:p w14:paraId="765E0202">
      <w:pPr>
        <w:spacing w:line="28" w:lineRule="exact"/>
        <w:ind w:firstLine="9"/>
      </w:pPr>
      <w:r>
        <w:pict>
          <v:shape id="_x0000_s3100" o:spid="_x0000_s3100" style="height:1.45pt;width:453.55pt;" fillcolor="#000000" filled="t" stroked="f" coordsize="9070,29" path="m0,0l9070,0,9070,28,0,28,0,0xe">
            <v:path/>
            <v:fill on="t" focussize="0,0"/>
            <v:stroke on="f"/>
            <v:imagedata o:title=""/>
            <o:lock v:ext="edit"/>
            <w10:wrap type="none"/>
            <w10:anchorlock/>
          </v:shape>
        </w:pict>
      </w:r>
    </w:p>
    <w:p w14:paraId="731CCC54">
      <w:pPr>
        <w:pStyle w:val="2"/>
        <w:spacing w:line="270" w:lineRule="auto"/>
      </w:pPr>
    </w:p>
    <w:p w14:paraId="5BFDA538">
      <w:pPr>
        <w:spacing w:before="65" w:line="227" w:lineRule="auto"/>
        <w:ind w:left="2808"/>
        <w:rPr>
          <w:rFonts w:ascii="宋体" w:hAnsi="宋体" w:eastAsia="宋体" w:cs="宋体"/>
          <w:sz w:val="20"/>
          <w:szCs w:val="20"/>
        </w:rPr>
      </w:pPr>
      <w:r>
        <w:rPr>
          <w:rFonts w:ascii="宋体" w:hAnsi="宋体" w:eastAsia="宋体" w:cs="宋体"/>
          <w:b/>
          <w:bCs/>
          <w:spacing w:val="4"/>
          <w:sz w:val="20"/>
          <w:szCs w:val="20"/>
        </w:rPr>
        <w:t>表</w:t>
      </w:r>
      <w:r>
        <w:rPr>
          <w:rFonts w:ascii="宋体" w:hAnsi="宋体" w:eastAsia="宋体" w:cs="宋体"/>
          <w:spacing w:val="-25"/>
          <w:sz w:val="20"/>
          <w:szCs w:val="20"/>
        </w:rPr>
        <w:t xml:space="preserve"> </w:t>
      </w:r>
      <w:r>
        <w:rPr>
          <w:rFonts w:ascii="Times New Roman" w:hAnsi="Times New Roman" w:eastAsia="Times New Roman" w:cs="Times New Roman"/>
          <w:b/>
          <w:bCs/>
          <w:spacing w:val="4"/>
          <w:sz w:val="20"/>
          <w:szCs w:val="20"/>
        </w:rPr>
        <w:t xml:space="preserve">9.3-1        </w:t>
      </w:r>
      <w:r>
        <w:rPr>
          <w:rFonts w:ascii="宋体" w:hAnsi="宋体" w:eastAsia="宋体" w:cs="宋体"/>
          <w:b/>
          <w:bCs/>
          <w:spacing w:val="4"/>
          <w:sz w:val="20"/>
          <w:szCs w:val="20"/>
        </w:rPr>
        <w:t>化学燃料燃烧</w:t>
      </w:r>
      <w:r>
        <w:rPr>
          <w:rFonts w:ascii="宋体" w:hAnsi="宋体" w:eastAsia="宋体" w:cs="宋体"/>
          <w:spacing w:val="-34"/>
          <w:sz w:val="20"/>
          <w:szCs w:val="20"/>
        </w:rPr>
        <w:t xml:space="preserve"> </w:t>
      </w:r>
      <w:r>
        <w:rPr>
          <w:rFonts w:ascii="Times New Roman" w:hAnsi="Times New Roman" w:eastAsia="Times New Roman" w:cs="Times New Roman"/>
          <w:b/>
          <w:bCs/>
          <w:sz w:val="20"/>
          <w:szCs w:val="20"/>
        </w:rPr>
        <w:t>CO</w:t>
      </w:r>
      <w:r>
        <w:rPr>
          <w:rFonts w:ascii="Times New Roman" w:hAnsi="Times New Roman" w:eastAsia="Times New Roman" w:cs="Times New Roman"/>
          <w:b/>
          <w:bCs/>
          <w:spacing w:val="4"/>
          <w:position w:val="-1"/>
          <w:sz w:val="13"/>
          <w:szCs w:val="13"/>
        </w:rPr>
        <w:t xml:space="preserve">2 </w:t>
      </w:r>
      <w:r>
        <w:rPr>
          <w:rFonts w:ascii="宋体" w:hAnsi="宋体" w:eastAsia="宋体" w:cs="宋体"/>
          <w:b/>
          <w:bCs/>
          <w:spacing w:val="4"/>
          <w:sz w:val="20"/>
          <w:szCs w:val="20"/>
        </w:rPr>
        <w:t>排放标</w:t>
      </w:r>
    </w:p>
    <w:p w14:paraId="274A7B67">
      <w:pPr>
        <w:spacing w:line="103" w:lineRule="exact"/>
      </w:pPr>
    </w:p>
    <w:tbl>
      <w:tblPr>
        <w:tblStyle w:val="5"/>
        <w:tblW w:w="90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51"/>
        <w:gridCol w:w="1265"/>
        <w:gridCol w:w="1292"/>
        <w:gridCol w:w="1267"/>
        <w:gridCol w:w="1319"/>
        <w:gridCol w:w="961"/>
        <w:gridCol w:w="1929"/>
      </w:tblGrid>
      <w:tr w14:paraId="39DC97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 w:hRule="atLeast"/>
        </w:trPr>
        <w:tc>
          <w:tcPr>
            <w:tcW w:w="1051" w:type="dxa"/>
            <w:vMerge w:val="restart"/>
            <w:tcBorders>
              <w:bottom w:val="nil"/>
            </w:tcBorders>
            <w:vAlign w:val="top"/>
          </w:tcPr>
          <w:p w14:paraId="139BC19D">
            <w:pPr>
              <w:spacing w:line="276" w:lineRule="auto"/>
              <w:rPr>
                <w:rFonts w:ascii="Arial"/>
                <w:sz w:val="21"/>
              </w:rPr>
            </w:pPr>
          </w:p>
          <w:p w14:paraId="3037E4B9">
            <w:pPr>
              <w:spacing w:line="277" w:lineRule="auto"/>
              <w:rPr>
                <w:rFonts w:ascii="Arial"/>
                <w:sz w:val="21"/>
              </w:rPr>
            </w:pPr>
          </w:p>
          <w:p w14:paraId="40CC970E">
            <w:pPr>
              <w:pStyle w:val="6"/>
              <w:spacing w:before="72" w:line="221" w:lineRule="auto"/>
              <w:ind w:left="312"/>
            </w:pPr>
            <w:r>
              <w:rPr>
                <w:spacing w:val="-4"/>
              </w:rPr>
              <w:t>燃料</w:t>
            </w:r>
          </w:p>
        </w:tc>
        <w:tc>
          <w:tcPr>
            <w:tcW w:w="1265" w:type="dxa"/>
            <w:vMerge w:val="restart"/>
            <w:tcBorders>
              <w:bottom w:val="nil"/>
            </w:tcBorders>
            <w:vAlign w:val="top"/>
          </w:tcPr>
          <w:p w14:paraId="78D24417">
            <w:pPr>
              <w:pStyle w:val="6"/>
              <w:spacing w:before="257" w:line="220" w:lineRule="auto"/>
              <w:ind w:left="311"/>
            </w:pPr>
            <w:r>
              <w:rPr>
                <w:spacing w:val="-4"/>
              </w:rPr>
              <w:t>消耗量</w:t>
            </w:r>
          </w:p>
        </w:tc>
        <w:tc>
          <w:tcPr>
            <w:tcW w:w="1292" w:type="dxa"/>
            <w:vAlign w:val="top"/>
          </w:tcPr>
          <w:p w14:paraId="0472375D">
            <w:pPr>
              <w:pStyle w:val="6"/>
              <w:spacing w:before="72" w:line="221" w:lineRule="auto"/>
              <w:ind w:left="320"/>
            </w:pPr>
            <w:r>
              <w:rPr>
                <w:spacing w:val="-2"/>
              </w:rPr>
              <w:t>低位发</w:t>
            </w:r>
          </w:p>
        </w:tc>
        <w:tc>
          <w:tcPr>
            <w:tcW w:w="1267" w:type="dxa"/>
            <w:vMerge w:val="restart"/>
            <w:tcBorders>
              <w:bottom w:val="nil"/>
            </w:tcBorders>
            <w:vAlign w:val="top"/>
          </w:tcPr>
          <w:p w14:paraId="52C0FBCC">
            <w:pPr>
              <w:pStyle w:val="6"/>
              <w:spacing w:before="94" w:line="260" w:lineRule="auto"/>
              <w:ind w:left="309" w:right="189" w:hanging="108"/>
            </w:pPr>
            <w:r>
              <w:rPr>
                <w:spacing w:val="-3"/>
              </w:rPr>
              <w:t>单位热值</w:t>
            </w:r>
            <w:r>
              <w:rPr>
                <w:spacing w:val="1"/>
              </w:rPr>
              <w:t xml:space="preserve"> </w:t>
            </w:r>
            <w:r>
              <w:rPr>
                <w:spacing w:val="-3"/>
              </w:rPr>
              <w:t>含碳量</w:t>
            </w:r>
          </w:p>
        </w:tc>
        <w:tc>
          <w:tcPr>
            <w:tcW w:w="1319" w:type="dxa"/>
            <w:vAlign w:val="top"/>
          </w:tcPr>
          <w:p w14:paraId="28B7AE80">
            <w:pPr>
              <w:pStyle w:val="6"/>
              <w:spacing w:before="72" w:line="219" w:lineRule="auto"/>
              <w:ind w:left="447"/>
            </w:pPr>
            <w:r>
              <w:rPr>
                <w:spacing w:val="-4"/>
              </w:rPr>
              <w:t>碳氧</w:t>
            </w:r>
          </w:p>
        </w:tc>
        <w:tc>
          <w:tcPr>
            <w:tcW w:w="961" w:type="dxa"/>
            <w:vAlign w:val="top"/>
          </w:tcPr>
          <w:p w14:paraId="6AF46DDC">
            <w:pPr>
              <w:pStyle w:val="6"/>
              <w:spacing w:before="72" w:line="220" w:lineRule="auto"/>
              <w:ind w:left="270"/>
            </w:pPr>
            <w:r>
              <w:rPr>
                <w:spacing w:val="-5"/>
              </w:rPr>
              <w:t>折算</w:t>
            </w:r>
          </w:p>
        </w:tc>
        <w:tc>
          <w:tcPr>
            <w:tcW w:w="1929" w:type="dxa"/>
            <w:vMerge w:val="restart"/>
            <w:tcBorders>
              <w:bottom w:val="nil"/>
            </w:tcBorders>
            <w:vAlign w:val="top"/>
          </w:tcPr>
          <w:p w14:paraId="3E0B2D3F">
            <w:pPr>
              <w:pStyle w:val="6"/>
              <w:spacing w:before="256" w:line="222" w:lineRule="auto"/>
              <w:ind w:left="639"/>
            </w:pPr>
            <w:r>
              <w:rPr>
                <w:spacing w:val="-3"/>
              </w:rPr>
              <w:t>排放量</w:t>
            </w:r>
          </w:p>
        </w:tc>
      </w:tr>
      <w:tr w14:paraId="21A756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 w:hRule="atLeast"/>
        </w:trPr>
        <w:tc>
          <w:tcPr>
            <w:tcW w:w="1051" w:type="dxa"/>
            <w:vMerge w:val="continue"/>
            <w:tcBorders>
              <w:top w:val="nil"/>
              <w:bottom w:val="nil"/>
            </w:tcBorders>
            <w:vAlign w:val="top"/>
          </w:tcPr>
          <w:p w14:paraId="7F3AD4F4">
            <w:pPr>
              <w:rPr>
                <w:rFonts w:ascii="Arial"/>
                <w:sz w:val="21"/>
              </w:rPr>
            </w:pPr>
          </w:p>
        </w:tc>
        <w:tc>
          <w:tcPr>
            <w:tcW w:w="1265" w:type="dxa"/>
            <w:vMerge w:val="continue"/>
            <w:tcBorders>
              <w:top w:val="nil"/>
            </w:tcBorders>
            <w:vAlign w:val="top"/>
          </w:tcPr>
          <w:p w14:paraId="3A03C29E">
            <w:pPr>
              <w:rPr>
                <w:rFonts w:ascii="Arial"/>
                <w:sz w:val="21"/>
              </w:rPr>
            </w:pPr>
          </w:p>
        </w:tc>
        <w:tc>
          <w:tcPr>
            <w:tcW w:w="1292" w:type="dxa"/>
            <w:vAlign w:val="top"/>
          </w:tcPr>
          <w:p w14:paraId="574A2423">
            <w:pPr>
              <w:pStyle w:val="6"/>
              <w:spacing w:before="68" w:line="226" w:lineRule="auto"/>
              <w:ind w:left="435"/>
            </w:pPr>
            <w:r>
              <w:rPr>
                <w:spacing w:val="-6"/>
              </w:rPr>
              <w:t>热量</w:t>
            </w:r>
          </w:p>
        </w:tc>
        <w:tc>
          <w:tcPr>
            <w:tcW w:w="1267" w:type="dxa"/>
            <w:vMerge w:val="continue"/>
            <w:tcBorders>
              <w:top w:val="nil"/>
            </w:tcBorders>
            <w:vAlign w:val="top"/>
          </w:tcPr>
          <w:p w14:paraId="27395D46">
            <w:pPr>
              <w:rPr>
                <w:rFonts w:ascii="Arial"/>
                <w:sz w:val="21"/>
              </w:rPr>
            </w:pPr>
          </w:p>
        </w:tc>
        <w:tc>
          <w:tcPr>
            <w:tcW w:w="1319" w:type="dxa"/>
            <w:vAlign w:val="top"/>
          </w:tcPr>
          <w:p w14:paraId="12044510">
            <w:pPr>
              <w:pStyle w:val="6"/>
              <w:spacing w:before="69" w:line="220" w:lineRule="auto"/>
              <w:ind w:left="448"/>
            </w:pPr>
            <w:r>
              <w:rPr>
                <w:spacing w:val="-4"/>
              </w:rPr>
              <w:t>化率</w:t>
            </w:r>
          </w:p>
        </w:tc>
        <w:tc>
          <w:tcPr>
            <w:tcW w:w="961" w:type="dxa"/>
            <w:vAlign w:val="top"/>
          </w:tcPr>
          <w:p w14:paraId="5EA74D56">
            <w:pPr>
              <w:pStyle w:val="6"/>
              <w:spacing w:before="68" w:line="221" w:lineRule="auto"/>
              <w:ind w:left="285"/>
            </w:pPr>
            <w:r>
              <w:rPr>
                <w:spacing w:val="-13"/>
              </w:rPr>
              <w:t>因子</w:t>
            </w:r>
          </w:p>
        </w:tc>
        <w:tc>
          <w:tcPr>
            <w:tcW w:w="1929" w:type="dxa"/>
            <w:vMerge w:val="continue"/>
            <w:tcBorders>
              <w:top w:val="nil"/>
            </w:tcBorders>
            <w:vAlign w:val="top"/>
          </w:tcPr>
          <w:p w14:paraId="7B58F328">
            <w:pPr>
              <w:rPr>
                <w:rFonts w:ascii="Arial"/>
                <w:sz w:val="21"/>
              </w:rPr>
            </w:pPr>
          </w:p>
        </w:tc>
      </w:tr>
      <w:tr w14:paraId="501061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051" w:type="dxa"/>
            <w:vMerge w:val="continue"/>
            <w:tcBorders>
              <w:top w:val="nil"/>
              <w:bottom w:val="nil"/>
            </w:tcBorders>
            <w:vAlign w:val="top"/>
          </w:tcPr>
          <w:p w14:paraId="41933377">
            <w:pPr>
              <w:rPr>
                <w:rFonts w:ascii="Arial"/>
                <w:sz w:val="21"/>
              </w:rPr>
            </w:pPr>
          </w:p>
        </w:tc>
        <w:tc>
          <w:tcPr>
            <w:tcW w:w="1265" w:type="dxa"/>
            <w:vAlign w:val="top"/>
          </w:tcPr>
          <w:p w14:paraId="7E13EE95">
            <w:pPr>
              <w:spacing w:before="125" w:line="171" w:lineRule="auto"/>
              <w:ind w:left="600"/>
              <w:rPr>
                <w:rFonts w:ascii="Times New Roman" w:hAnsi="Times New Roman" w:eastAsia="Times New Roman" w:cs="Times New Roman"/>
                <w:sz w:val="22"/>
                <w:szCs w:val="22"/>
              </w:rPr>
            </w:pPr>
            <w:r>
              <w:rPr>
                <w:rFonts w:ascii="Times New Roman" w:hAnsi="Times New Roman" w:eastAsia="Times New Roman" w:cs="Times New Roman"/>
                <w:sz w:val="22"/>
                <w:szCs w:val="22"/>
              </w:rPr>
              <w:t>t</w:t>
            </w:r>
          </w:p>
        </w:tc>
        <w:tc>
          <w:tcPr>
            <w:tcW w:w="1292" w:type="dxa"/>
            <w:vAlign w:val="top"/>
          </w:tcPr>
          <w:p w14:paraId="68D0B51A">
            <w:pPr>
              <w:spacing w:before="101" w:line="193" w:lineRule="auto"/>
              <w:ind w:left="466"/>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GJ/t</w:t>
            </w:r>
          </w:p>
        </w:tc>
        <w:tc>
          <w:tcPr>
            <w:tcW w:w="1267" w:type="dxa"/>
            <w:vAlign w:val="top"/>
          </w:tcPr>
          <w:p w14:paraId="447C4BD4">
            <w:pPr>
              <w:spacing w:before="101" w:line="193" w:lineRule="auto"/>
              <w:ind w:left="376"/>
              <w:rPr>
                <w:rFonts w:ascii="Times New Roman" w:hAnsi="Times New Roman" w:eastAsia="Times New Roman" w:cs="Times New Roman"/>
                <w:sz w:val="22"/>
                <w:szCs w:val="22"/>
              </w:rPr>
            </w:pPr>
            <w:r>
              <w:rPr>
                <w:rFonts w:ascii="Times New Roman" w:hAnsi="Times New Roman" w:eastAsia="Times New Roman" w:cs="Times New Roman"/>
                <w:sz w:val="22"/>
                <w:szCs w:val="22"/>
              </w:rPr>
              <w:t>tC/GJ</w:t>
            </w:r>
          </w:p>
        </w:tc>
        <w:tc>
          <w:tcPr>
            <w:tcW w:w="1319" w:type="dxa"/>
            <w:vAlign w:val="top"/>
          </w:tcPr>
          <w:p w14:paraId="4FEBF5CB">
            <w:pPr>
              <w:spacing w:before="106" w:line="189" w:lineRule="auto"/>
              <w:ind w:left="573"/>
              <w:rPr>
                <w:rFonts w:ascii="Times New Roman" w:hAnsi="Times New Roman" w:eastAsia="Times New Roman" w:cs="Times New Roman"/>
                <w:sz w:val="22"/>
                <w:szCs w:val="22"/>
              </w:rPr>
            </w:pPr>
            <w:r>
              <w:rPr>
                <w:rFonts w:ascii="Times New Roman" w:hAnsi="Times New Roman" w:eastAsia="Times New Roman" w:cs="Times New Roman"/>
                <w:sz w:val="22"/>
                <w:szCs w:val="22"/>
              </w:rPr>
              <w:t>%</w:t>
            </w:r>
          </w:p>
        </w:tc>
        <w:tc>
          <w:tcPr>
            <w:tcW w:w="961" w:type="dxa"/>
            <w:vAlign w:val="top"/>
          </w:tcPr>
          <w:p w14:paraId="6A6E19AB">
            <w:pPr>
              <w:spacing w:before="199" w:line="106" w:lineRule="exact"/>
              <w:ind w:left="453"/>
              <w:rPr>
                <w:rFonts w:ascii="Times New Roman" w:hAnsi="Times New Roman" w:eastAsia="Times New Roman" w:cs="Times New Roman"/>
                <w:sz w:val="22"/>
                <w:szCs w:val="22"/>
              </w:rPr>
            </w:pPr>
            <w:r>
              <w:rPr>
                <w:rFonts w:ascii="Times New Roman" w:hAnsi="Times New Roman" w:eastAsia="Times New Roman" w:cs="Times New Roman"/>
                <w:position w:val="-2"/>
                <w:sz w:val="22"/>
                <w:szCs w:val="22"/>
              </w:rPr>
              <w:t>-</w:t>
            </w:r>
          </w:p>
        </w:tc>
        <w:tc>
          <w:tcPr>
            <w:tcW w:w="1929" w:type="dxa"/>
            <w:vAlign w:val="top"/>
          </w:tcPr>
          <w:p w14:paraId="20B95ADD">
            <w:pPr>
              <w:spacing w:before="105" w:line="196" w:lineRule="auto"/>
              <w:ind w:left="746"/>
              <w:rPr>
                <w:rFonts w:ascii="Times New Roman" w:hAnsi="Times New Roman" w:eastAsia="Times New Roman" w:cs="Times New Roman"/>
                <w:sz w:val="14"/>
                <w:szCs w:val="14"/>
              </w:rPr>
            </w:pPr>
            <w:r>
              <w:rPr>
                <w:rFonts w:ascii="Times New Roman" w:hAnsi="Times New Roman" w:eastAsia="Times New Roman" w:cs="Times New Roman"/>
                <w:spacing w:val="-1"/>
                <w:sz w:val="22"/>
                <w:szCs w:val="22"/>
              </w:rPr>
              <w:t>tCO</w:t>
            </w:r>
            <w:r>
              <w:rPr>
                <w:rFonts w:ascii="Times New Roman" w:hAnsi="Times New Roman" w:eastAsia="Times New Roman" w:cs="Times New Roman"/>
                <w:spacing w:val="-1"/>
                <w:position w:val="-1"/>
                <w:sz w:val="14"/>
                <w:szCs w:val="14"/>
              </w:rPr>
              <w:t>2</w:t>
            </w:r>
          </w:p>
        </w:tc>
      </w:tr>
      <w:tr w14:paraId="6ED005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1051" w:type="dxa"/>
            <w:vMerge w:val="continue"/>
            <w:tcBorders>
              <w:top w:val="nil"/>
            </w:tcBorders>
            <w:vAlign w:val="top"/>
          </w:tcPr>
          <w:p w14:paraId="5201C47C">
            <w:pPr>
              <w:rPr>
                <w:rFonts w:ascii="Arial"/>
                <w:sz w:val="21"/>
              </w:rPr>
            </w:pPr>
          </w:p>
        </w:tc>
        <w:tc>
          <w:tcPr>
            <w:tcW w:w="1265" w:type="dxa"/>
            <w:vAlign w:val="top"/>
          </w:tcPr>
          <w:p w14:paraId="7A4EAEC1">
            <w:pPr>
              <w:spacing w:before="111" w:line="189" w:lineRule="auto"/>
              <w:ind w:left="549"/>
              <w:rPr>
                <w:rFonts w:ascii="Times New Roman" w:hAnsi="Times New Roman" w:eastAsia="Times New Roman" w:cs="Times New Roman"/>
                <w:sz w:val="22"/>
                <w:szCs w:val="22"/>
              </w:rPr>
            </w:pPr>
            <w:r>
              <w:rPr>
                <w:rFonts w:ascii="Times New Roman" w:hAnsi="Times New Roman" w:eastAsia="Times New Roman" w:cs="Times New Roman"/>
                <w:sz w:val="22"/>
                <w:szCs w:val="22"/>
              </w:rPr>
              <w:t>A</w:t>
            </w:r>
          </w:p>
        </w:tc>
        <w:tc>
          <w:tcPr>
            <w:tcW w:w="1292" w:type="dxa"/>
            <w:vAlign w:val="top"/>
          </w:tcPr>
          <w:p w14:paraId="7783A3EA">
            <w:pPr>
              <w:spacing w:before="114" w:line="186" w:lineRule="auto"/>
              <w:ind w:left="572"/>
              <w:rPr>
                <w:rFonts w:ascii="Times New Roman" w:hAnsi="Times New Roman" w:eastAsia="Times New Roman" w:cs="Times New Roman"/>
                <w:sz w:val="22"/>
                <w:szCs w:val="22"/>
              </w:rPr>
            </w:pPr>
            <w:r>
              <w:rPr>
                <w:rFonts w:ascii="Times New Roman" w:hAnsi="Times New Roman" w:eastAsia="Times New Roman" w:cs="Times New Roman"/>
                <w:sz w:val="22"/>
                <w:szCs w:val="22"/>
              </w:rPr>
              <w:t>B</w:t>
            </w:r>
          </w:p>
        </w:tc>
        <w:tc>
          <w:tcPr>
            <w:tcW w:w="1267" w:type="dxa"/>
            <w:vAlign w:val="top"/>
          </w:tcPr>
          <w:p w14:paraId="11E04356">
            <w:pPr>
              <w:spacing w:before="111" w:line="189" w:lineRule="auto"/>
              <w:ind w:left="566"/>
              <w:rPr>
                <w:rFonts w:ascii="Times New Roman" w:hAnsi="Times New Roman" w:eastAsia="Times New Roman" w:cs="Times New Roman"/>
                <w:sz w:val="22"/>
                <w:szCs w:val="22"/>
              </w:rPr>
            </w:pPr>
            <w:r>
              <w:rPr>
                <w:rFonts w:ascii="Times New Roman" w:hAnsi="Times New Roman" w:eastAsia="Times New Roman" w:cs="Times New Roman"/>
                <w:sz w:val="22"/>
                <w:szCs w:val="22"/>
              </w:rPr>
              <w:t>C</w:t>
            </w:r>
          </w:p>
        </w:tc>
        <w:tc>
          <w:tcPr>
            <w:tcW w:w="1319" w:type="dxa"/>
            <w:vAlign w:val="top"/>
          </w:tcPr>
          <w:p w14:paraId="04B27469">
            <w:pPr>
              <w:spacing w:before="114" w:line="186" w:lineRule="auto"/>
              <w:ind w:left="581"/>
              <w:rPr>
                <w:rFonts w:ascii="Times New Roman" w:hAnsi="Times New Roman" w:eastAsia="Times New Roman" w:cs="Times New Roman"/>
                <w:sz w:val="22"/>
                <w:szCs w:val="22"/>
              </w:rPr>
            </w:pPr>
            <w:r>
              <w:rPr>
                <w:rFonts w:ascii="Times New Roman" w:hAnsi="Times New Roman" w:eastAsia="Times New Roman" w:cs="Times New Roman"/>
                <w:sz w:val="22"/>
                <w:szCs w:val="22"/>
              </w:rPr>
              <w:t>D</w:t>
            </w:r>
          </w:p>
        </w:tc>
        <w:tc>
          <w:tcPr>
            <w:tcW w:w="961" w:type="dxa"/>
            <w:vAlign w:val="top"/>
          </w:tcPr>
          <w:p w14:paraId="6327DE0F">
            <w:pPr>
              <w:spacing w:before="114" w:line="186" w:lineRule="auto"/>
              <w:ind w:left="418"/>
              <w:rPr>
                <w:rFonts w:ascii="Times New Roman" w:hAnsi="Times New Roman" w:eastAsia="Times New Roman" w:cs="Times New Roman"/>
                <w:sz w:val="22"/>
                <w:szCs w:val="22"/>
              </w:rPr>
            </w:pPr>
            <w:r>
              <w:rPr>
                <w:rFonts w:ascii="Times New Roman" w:hAnsi="Times New Roman" w:eastAsia="Times New Roman" w:cs="Times New Roman"/>
                <w:sz w:val="22"/>
                <w:szCs w:val="22"/>
              </w:rPr>
              <w:t>E</w:t>
            </w:r>
          </w:p>
        </w:tc>
        <w:tc>
          <w:tcPr>
            <w:tcW w:w="1929" w:type="dxa"/>
            <w:vAlign w:val="top"/>
          </w:tcPr>
          <w:p w14:paraId="50FAD17A">
            <w:pPr>
              <w:spacing w:before="33" w:line="298" w:lineRule="exact"/>
              <w:ind w:left="248"/>
              <w:rPr>
                <w:rFonts w:ascii="Times New Roman" w:hAnsi="Times New Roman" w:eastAsia="Times New Roman" w:cs="Times New Roman"/>
                <w:sz w:val="22"/>
                <w:szCs w:val="22"/>
              </w:rPr>
            </w:pPr>
            <w:r>
              <w:rPr>
                <w:rFonts w:ascii="Times New Roman" w:hAnsi="Times New Roman" w:eastAsia="Times New Roman" w:cs="Times New Roman"/>
                <w:spacing w:val="-1"/>
                <w:position w:val="1"/>
                <w:sz w:val="22"/>
                <w:szCs w:val="22"/>
              </w:rPr>
              <w:t>F=A*B*C*D*E</w:t>
            </w:r>
          </w:p>
        </w:tc>
      </w:tr>
      <w:tr w14:paraId="37543E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 w:hRule="atLeast"/>
        </w:trPr>
        <w:tc>
          <w:tcPr>
            <w:tcW w:w="1051" w:type="dxa"/>
            <w:vAlign w:val="top"/>
          </w:tcPr>
          <w:p w14:paraId="3E9432B6">
            <w:pPr>
              <w:pStyle w:val="6"/>
              <w:spacing w:before="70" w:line="222" w:lineRule="auto"/>
              <w:ind w:left="311"/>
            </w:pPr>
            <w:r>
              <w:rPr>
                <w:spacing w:val="-4"/>
              </w:rPr>
              <w:t>焦炭</w:t>
            </w:r>
          </w:p>
        </w:tc>
        <w:tc>
          <w:tcPr>
            <w:tcW w:w="1265" w:type="dxa"/>
            <w:vAlign w:val="top"/>
          </w:tcPr>
          <w:p w14:paraId="4604E4EA">
            <w:pPr>
              <w:spacing w:before="109" w:line="189" w:lineRule="auto"/>
              <w:ind w:left="170"/>
              <w:rPr>
                <w:rFonts w:ascii="Times New Roman" w:hAnsi="Times New Roman" w:eastAsia="Times New Roman" w:cs="Times New Roman"/>
                <w:sz w:val="22"/>
                <w:szCs w:val="22"/>
              </w:rPr>
            </w:pPr>
            <w:r>
              <w:rPr>
                <w:rFonts w:ascii="Times New Roman" w:hAnsi="Times New Roman" w:eastAsia="Times New Roman" w:cs="Times New Roman"/>
                <w:spacing w:val="-1"/>
                <w:sz w:val="22"/>
                <w:szCs w:val="22"/>
              </w:rPr>
              <w:t>301046.20</w:t>
            </w:r>
          </w:p>
        </w:tc>
        <w:tc>
          <w:tcPr>
            <w:tcW w:w="1292" w:type="dxa"/>
            <w:vAlign w:val="top"/>
          </w:tcPr>
          <w:p w14:paraId="320C4EF1">
            <w:pPr>
              <w:spacing w:before="109" w:line="189" w:lineRule="auto"/>
              <w:ind w:left="345"/>
              <w:rPr>
                <w:rFonts w:ascii="Times New Roman" w:hAnsi="Times New Roman" w:eastAsia="Times New Roman" w:cs="Times New Roman"/>
                <w:sz w:val="22"/>
                <w:szCs w:val="22"/>
              </w:rPr>
            </w:pPr>
            <w:r>
              <w:rPr>
                <w:rFonts w:ascii="Times New Roman" w:hAnsi="Times New Roman" w:eastAsia="Times New Roman" w:cs="Times New Roman"/>
                <w:spacing w:val="-1"/>
                <w:sz w:val="22"/>
                <w:szCs w:val="22"/>
              </w:rPr>
              <w:t>28.435</w:t>
            </w:r>
          </w:p>
        </w:tc>
        <w:tc>
          <w:tcPr>
            <w:tcW w:w="1267" w:type="dxa"/>
            <w:vAlign w:val="top"/>
          </w:tcPr>
          <w:p w14:paraId="3423D96C">
            <w:pPr>
              <w:spacing w:before="109" w:line="189" w:lineRule="auto"/>
              <w:ind w:left="336"/>
              <w:rPr>
                <w:rFonts w:ascii="Times New Roman" w:hAnsi="Times New Roman" w:eastAsia="Times New Roman" w:cs="Times New Roman"/>
                <w:sz w:val="22"/>
                <w:szCs w:val="22"/>
              </w:rPr>
            </w:pPr>
            <w:r>
              <w:rPr>
                <w:rFonts w:ascii="Times New Roman" w:hAnsi="Times New Roman" w:eastAsia="Times New Roman" w:cs="Times New Roman"/>
                <w:spacing w:val="-1"/>
                <w:sz w:val="22"/>
                <w:szCs w:val="22"/>
              </w:rPr>
              <w:t>0.0295</w:t>
            </w:r>
          </w:p>
        </w:tc>
        <w:tc>
          <w:tcPr>
            <w:tcW w:w="1319" w:type="dxa"/>
            <w:vAlign w:val="top"/>
          </w:tcPr>
          <w:p w14:paraId="50EFDF5A">
            <w:pPr>
              <w:spacing w:before="108" w:line="189" w:lineRule="auto"/>
              <w:ind w:left="464"/>
              <w:rPr>
                <w:rFonts w:ascii="Times New Roman" w:hAnsi="Times New Roman" w:eastAsia="Times New Roman" w:cs="Times New Roman"/>
                <w:sz w:val="22"/>
                <w:szCs w:val="22"/>
              </w:rPr>
            </w:pPr>
            <w:r>
              <w:rPr>
                <w:rFonts w:ascii="Times New Roman" w:hAnsi="Times New Roman" w:eastAsia="Times New Roman" w:cs="Times New Roman"/>
                <w:spacing w:val="-3"/>
                <w:sz w:val="22"/>
                <w:szCs w:val="22"/>
              </w:rPr>
              <w:t>93%</w:t>
            </w:r>
          </w:p>
        </w:tc>
        <w:tc>
          <w:tcPr>
            <w:tcW w:w="961" w:type="dxa"/>
            <w:vAlign w:val="top"/>
          </w:tcPr>
          <w:p w14:paraId="7E8392B3">
            <w:pPr>
              <w:spacing w:before="109" w:line="189" w:lineRule="auto"/>
              <w:ind w:left="242"/>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3.667</w:t>
            </w:r>
          </w:p>
        </w:tc>
        <w:tc>
          <w:tcPr>
            <w:tcW w:w="1929" w:type="dxa"/>
            <w:vAlign w:val="top"/>
          </w:tcPr>
          <w:p w14:paraId="3EAA5EA5">
            <w:pPr>
              <w:spacing w:before="109" w:line="189" w:lineRule="auto"/>
              <w:ind w:left="517"/>
              <w:rPr>
                <w:rFonts w:ascii="Times New Roman" w:hAnsi="Times New Roman" w:eastAsia="Times New Roman" w:cs="Times New Roman"/>
                <w:sz w:val="22"/>
                <w:szCs w:val="22"/>
              </w:rPr>
            </w:pPr>
            <w:r>
              <w:rPr>
                <w:rFonts w:ascii="Times New Roman" w:hAnsi="Times New Roman" w:eastAsia="Times New Roman" w:cs="Times New Roman"/>
                <w:spacing w:val="-4"/>
                <w:sz w:val="22"/>
                <w:szCs w:val="22"/>
              </w:rPr>
              <w:t>861118.21</w:t>
            </w:r>
          </w:p>
        </w:tc>
      </w:tr>
      <w:tr w14:paraId="53AF6C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 w:hRule="atLeast"/>
        </w:trPr>
        <w:tc>
          <w:tcPr>
            <w:tcW w:w="1051" w:type="dxa"/>
            <w:vAlign w:val="top"/>
          </w:tcPr>
          <w:p w14:paraId="49A22B64">
            <w:pPr>
              <w:pStyle w:val="6"/>
              <w:spacing w:before="72" w:line="220" w:lineRule="auto"/>
              <w:ind w:left="226"/>
            </w:pPr>
            <w:r>
              <w:rPr>
                <w:spacing w:val="-11"/>
              </w:rPr>
              <w:t>电极糊</w:t>
            </w:r>
          </w:p>
        </w:tc>
        <w:tc>
          <w:tcPr>
            <w:tcW w:w="1265" w:type="dxa"/>
            <w:vAlign w:val="top"/>
          </w:tcPr>
          <w:p w14:paraId="707D6099">
            <w:pPr>
              <w:spacing w:before="108" w:line="189" w:lineRule="auto"/>
              <w:ind w:left="242"/>
              <w:rPr>
                <w:rFonts w:ascii="Times New Roman" w:hAnsi="Times New Roman" w:eastAsia="Times New Roman" w:cs="Times New Roman"/>
                <w:sz w:val="22"/>
                <w:szCs w:val="22"/>
              </w:rPr>
            </w:pPr>
            <w:r>
              <w:rPr>
                <w:rFonts w:ascii="Times New Roman" w:hAnsi="Times New Roman" w:eastAsia="Times New Roman" w:cs="Times New Roman"/>
                <w:spacing w:val="-4"/>
                <w:sz w:val="22"/>
                <w:szCs w:val="22"/>
              </w:rPr>
              <w:t>13053.33</w:t>
            </w:r>
          </w:p>
        </w:tc>
        <w:tc>
          <w:tcPr>
            <w:tcW w:w="1292" w:type="dxa"/>
            <w:vAlign w:val="top"/>
          </w:tcPr>
          <w:p w14:paraId="3A82C887">
            <w:pPr>
              <w:spacing w:before="108" w:line="189" w:lineRule="auto"/>
              <w:ind w:left="345"/>
              <w:rPr>
                <w:rFonts w:ascii="Times New Roman" w:hAnsi="Times New Roman" w:eastAsia="Times New Roman" w:cs="Times New Roman"/>
                <w:sz w:val="22"/>
                <w:szCs w:val="22"/>
              </w:rPr>
            </w:pPr>
            <w:r>
              <w:rPr>
                <w:rFonts w:ascii="Times New Roman" w:hAnsi="Times New Roman" w:eastAsia="Times New Roman" w:cs="Times New Roman"/>
                <w:spacing w:val="-1"/>
                <w:sz w:val="22"/>
                <w:szCs w:val="22"/>
              </w:rPr>
              <w:t>25.592</w:t>
            </w:r>
          </w:p>
        </w:tc>
        <w:tc>
          <w:tcPr>
            <w:tcW w:w="1267" w:type="dxa"/>
            <w:vAlign w:val="top"/>
          </w:tcPr>
          <w:p w14:paraId="399B3ECE">
            <w:pPr>
              <w:spacing w:before="108" w:line="189" w:lineRule="auto"/>
              <w:ind w:left="336"/>
              <w:rPr>
                <w:rFonts w:ascii="Times New Roman" w:hAnsi="Times New Roman" w:eastAsia="Times New Roman" w:cs="Times New Roman"/>
                <w:sz w:val="22"/>
                <w:szCs w:val="22"/>
              </w:rPr>
            </w:pPr>
            <w:r>
              <w:rPr>
                <w:rFonts w:ascii="Times New Roman" w:hAnsi="Times New Roman" w:eastAsia="Times New Roman" w:cs="Times New Roman"/>
                <w:spacing w:val="-1"/>
                <w:sz w:val="22"/>
                <w:szCs w:val="22"/>
              </w:rPr>
              <w:t>0.0266</w:t>
            </w:r>
          </w:p>
        </w:tc>
        <w:tc>
          <w:tcPr>
            <w:tcW w:w="1319" w:type="dxa"/>
            <w:vAlign w:val="top"/>
          </w:tcPr>
          <w:p w14:paraId="16A95685">
            <w:pPr>
              <w:spacing w:before="108" w:line="189" w:lineRule="auto"/>
              <w:ind w:left="464"/>
              <w:rPr>
                <w:rFonts w:ascii="Times New Roman" w:hAnsi="Times New Roman" w:eastAsia="Times New Roman" w:cs="Times New Roman"/>
                <w:sz w:val="22"/>
                <w:szCs w:val="22"/>
              </w:rPr>
            </w:pPr>
            <w:r>
              <w:rPr>
                <w:rFonts w:ascii="Times New Roman" w:hAnsi="Times New Roman" w:eastAsia="Times New Roman" w:cs="Times New Roman"/>
                <w:spacing w:val="-3"/>
                <w:sz w:val="22"/>
                <w:szCs w:val="22"/>
              </w:rPr>
              <w:t>93%</w:t>
            </w:r>
          </w:p>
        </w:tc>
        <w:tc>
          <w:tcPr>
            <w:tcW w:w="961" w:type="dxa"/>
            <w:vAlign w:val="top"/>
          </w:tcPr>
          <w:p w14:paraId="6648CC64">
            <w:pPr>
              <w:spacing w:before="108" w:line="189" w:lineRule="auto"/>
              <w:ind w:left="242"/>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3.667</w:t>
            </w:r>
          </w:p>
        </w:tc>
        <w:tc>
          <w:tcPr>
            <w:tcW w:w="1929" w:type="dxa"/>
            <w:vAlign w:val="top"/>
          </w:tcPr>
          <w:p w14:paraId="199700E6">
            <w:pPr>
              <w:spacing w:before="108" w:line="189" w:lineRule="auto"/>
              <w:ind w:left="558"/>
              <w:rPr>
                <w:rFonts w:ascii="Times New Roman" w:hAnsi="Times New Roman" w:eastAsia="Times New Roman" w:cs="Times New Roman"/>
                <w:sz w:val="22"/>
                <w:szCs w:val="22"/>
              </w:rPr>
            </w:pPr>
            <w:r>
              <w:rPr>
                <w:rFonts w:ascii="Times New Roman" w:hAnsi="Times New Roman" w:eastAsia="Times New Roman" w:cs="Times New Roman"/>
                <w:spacing w:val="-1"/>
                <w:sz w:val="22"/>
                <w:szCs w:val="22"/>
              </w:rPr>
              <w:t>30243.78</w:t>
            </w:r>
          </w:p>
        </w:tc>
      </w:tr>
      <w:tr w14:paraId="0A6F3D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051" w:type="dxa"/>
            <w:vAlign w:val="top"/>
          </w:tcPr>
          <w:p w14:paraId="0C2776A9">
            <w:pPr>
              <w:pStyle w:val="6"/>
              <w:spacing w:before="74" w:line="221" w:lineRule="auto"/>
              <w:ind w:left="311"/>
            </w:pPr>
            <w:r>
              <w:rPr>
                <w:spacing w:val="-4"/>
              </w:rPr>
              <w:t>柴油</w:t>
            </w:r>
          </w:p>
        </w:tc>
        <w:tc>
          <w:tcPr>
            <w:tcW w:w="1265" w:type="dxa"/>
            <w:vAlign w:val="top"/>
          </w:tcPr>
          <w:p w14:paraId="6884EF3F">
            <w:pPr>
              <w:spacing w:before="109" w:line="189" w:lineRule="auto"/>
              <w:ind w:left="329"/>
              <w:rPr>
                <w:rFonts w:ascii="Times New Roman" w:hAnsi="Times New Roman" w:eastAsia="Times New Roman" w:cs="Times New Roman"/>
                <w:sz w:val="22"/>
                <w:szCs w:val="22"/>
              </w:rPr>
            </w:pPr>
            <w:r>
              <w:rPr>
                <w:rFonts w:ascii="Times New Roman" w:hAnsi="Times New Roman" w:eastAsia="Times New Roman" w:cs="Times New Roman"/>
                <w:spacing w:val="-1"/>
                <w:sz w:val="22"/>
                <w:szCs w:val="22"/>
              </w:rPr>
              <w:t>267.68</w:t>
            </w:r>
          </w:p>
        </w:tc>
        <w:tc>
          <w:tcPr>
            <w:tcW w:w="1292" w:type="dxa"/>
            <w:vAlign w:val="top"/>
          </w:tcPr>
          <w:p w14:paraId="2B57486D">
            <w:pPr>
              <w:spacing w:before="109" w:line="189" w:lineRule="auto"/>
              <w:ind w:left="344"/>
              <w:rPr>
                <w:rFonts w:ascii="Times New Roman" w:hAnsi="Times New Roman" w:eastAsia="Times New Roman" w:cs="Times New Roman"/>
                <w:sz w:val="22"/>
                <w:szCs w:val="22"/>
              </w:rPr>
            </w:pPr>
            <w:r>
              <w:rPr>
                <w:rFonts w:ascii="Times New Roman" w:hAnsi="Times New Roman" w:eastAsia="Times New Roman" w:cs="Times New Roman"/>
                <w:spacing w:val="-1"/>
                <w:sz w:val="22"/>
                <w:szCs w:val="22"/>
              </w:rPr>
              <w:t>43.070</w:t>
            </w:r>
          </w:p>
        </w:tc>
        <w:tc>
          <w:tcPr>
            <w:tcW w:w="1267" w:type="dxa"/>
            <w:vAlign w:val="top"/>
          </w:tcPr>
          <w:p w14:paraId="50FCBD4C">
            <w:pPr>
              <w:spacing w:before="109" w:line="189" w:lineRule="auto"/>
              <w:ind w:left="336"/>
              <w:rPr>
                <w:rFonts w:ascii="Times New Roman" w:hAnsi="Times New Roman" w:eastAsia="Times New Roman" w:cs="Times New Roman"/>
                <w:sz w:val="22"/>
                <w:szCs w:val="22"/>
              </w:rPr>
            </w:pPr>
            <w:r>
              <w:rPr>
                <w:rFonts w:ascii="Times New Roman" w:hAnsi="Times New Roman" w:eastAsia="Times New Roman" w:cs="Times New Roman"/>
                <w:spacing w:val="-1"/>
                <w:sz w:val="22"/>
                <w:szCs w:val="22"/>
              </w:rPr>
              <w:t>0.0196</w:t>
            </w:r>
          </w:p>
        </w:tc>
        <w:tc>
          <w:tcPr>
            <w:tcW w:w="1319" w:type="dxa"/>
            <w:vAlign w:val="top"/>
          </w:tcPr>
          <w:p w14:paraId="39B1F4C7">
            <w:pPr>
              <w:spacing w:before="109" w:line="189" w:lineRule="auto"/>
              <w:ind w:left="464"/>
              <w:rPr>
                <w:rFonts w:ascii="Times New Roman" w:hAnsi="Times New Roman" w:eastAsia="Times New Roman" w:cs="Times New Roman"/>
                <w:sz w:val="22"/>
                <w:szCs w:val="22"/>
              </w:rPr>
            </w:pPr>
            <w:r>
              <w:rPr>
                <w:rFonts w:ascii="Times New Roman" w:hAnsi="Times New Roman" w:eastAsia="Times New Roman" w:cs="Times New Roman"/>
                <w:spacing w:val="-3"/>
                <w:sz w:val="22"/>
                <w:szCs w:val="22"/>
              </w:rPr>
              <w:t>98%</w:t>
            </w:r>
          </w:p>
        </w:tc>
        <w:tc>
          <w:tcPr>
            <w:tcW w:w="961" w:type="dxa"/>
            <w:vAlign w:val="top"/>
          </w:tcPr>
          <w:p w14:paraId="15B449D8">
            <w:pPr>
              <w:spacing w:before="109" w:line="189" w:lineRule="auto"/>
              <w:ind w:left="242"/>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3.667</w:t>
            </w:r>
          </w:p>
        </w:tc>
        <w:tc>
          <w:tcPr>
            <w:tcW w:w="1929" w:type="dxa"/>
            <w:vAlign w:val="top"/>
          </w:tcPr>
          <w:p w14:paraId="417D0211">
            <w:pPr>
              <w:spacing w:before="109" w:line="189" w:lineRule="auto"/>
              <w:ind w:left="678"/>
              <w:rPr>
                <w:rFonts w:ascii="Times New Roman" w:hAnsi="Times New Roman" w:eastAsia="Times New Roman" w:cs="Times New Roman"/>
                <w:sz w:val="22"/>
                <w:szCs w:val="22"/>
              </w:rPr>
            </w:pPr>
            <w:r>
              <w:rPr>
                <w:rFonts w:ascii="Times New Roman" w:hAnsi="Times New Roman" w:eastAsia="Times New Roman" w:cs="Times New Roman"/>
                <w:spacing w:val="-4"/>
                <w:sz w:val="22"/>
                <w:szCs w:val="22"/>
              </w:rPr>
              <w:t>811.98</w:t>
            </w:r>
          </w:p>
        </w:tc>
      </w:tr>
      <w:tr w14:paraId="158F26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1051" w:type="dxa"/>
            <w:vAlign w:val="top"/>
          </w:tcPr>
          <w:p w14:paraId="34C6363E">
            <w:pPr>
              <w:pStyle w:val="6"/>
              <w:spacing w:before="69" w:line="222" w:lineRule="auto"/>
              <w:ind w:left="312"/>
            </w:pPr>
            <w:r>
              <w:rPr>
                <w:spacing w:val="-4"/>
              </w:rPr>
              <w:t>合计</w:t>
            </w:r>
          </w:p>
        </w:tc>
        <w:tc>
          <w:tcPr>
            <w:tcW w:w="1265" w:type="dxa"/>
            <w:vAlign w:val="top"/>
          </w:tcPr>
          <w:p w14:paraId="75B069BF">
            <w:pPr>
              <w:rPr>
                <w:rFonts w:ascii="Arial"/>
                <w:sz w:val="21"/>
              </w:rPr>
            </w:pPr>
          </w:p>
        </w:tc>
        <w:tc>
          <w:tcPr>
            <w:tcW w:w="1292" w:type="dxa"/>
            <w:vAlign w:val="top"/>
          </w:tcPr>
          <w:p w14:paraId="46719784">
            <w:pPr>
              <w:rPr>
                <w:rFonts w:ascii="Arial"/>
                <w:sz w:val="21"/>
              </w:rPr>
            </w:pPr>
          </w:p>
        </w:tc>
        <w:tc>
          <w:tcPr>
            <w:tcW w:w="1267" w:type="dxa"/>
            <w:vAlign w:val="top"/>
          </w:tcPr>
          <w:p w14:paraId="440FD589">
            <w:pPr>
              <w:rPr>
                <w:rFonts w:ascii="Arial"/>
                <w:sz w:val="21"/>
              </w:rPr>
            </w:pPr>
          </w:p>
        </w:tc>
        <w:tc>
          <w:tcPr>
            <w:tcW w:w="1319" w:type="dxa"/>
            <w:vAlign w:val="top"/>
          </w:tcPr>
          <w:p w14:paraId="167136FE">
            <w:pPr>
              <w:rPr>
                <w:rFonts w:ascii="Arial"/>
                <w:sz w:val="21"/>
              </w:rPr>
            </w:pPr>
          </w:p>
        </w:tc>
        <w:tc>
          <w:tcPr>
            <w:tcW w:w="961" w:type="dxa"/>
            <w:vAlign w:val="top"/>
          </w:tcPr>
          <w:p w14:paraId="6804F2BD">
            <w:pPr>
              <w:rPr>
                <w:rFonts w:ascii="Arial"/>
                <w:sz w:val="21"/>
              </w:rPr>
            </w:pPr>
          </w:p>
        </w:tc>
        <w:tc>
          <w:tcPr>
            <w:tcW w:w="1929" w:type="dxa"/>
            <w:vAlign w:val="top"/>
          </w:tcPr>
          <w:p w14:paraId="0B2426FD">
            <w:pPr>
              <w:spacing w:before="105" w:line="189" w:lineRule="auto"/>
              <w:ind w:left="507"/>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892173.97</w:t>
            </w:r>
          </w:p>
        </w:tc>
      </w:tr>
      <w:tr w14:paraId="32C951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9084" w:type="dxa"/>
            <w:gridSpan w:val="7"/>
            <w:vAlign w:val="top"/>
          </w:tcPr>
          <w:p w14:paraId="51F3EBA2">
            <w:pPr>
              <w:pStyle w:val="6"/>
              <w:spacing w:before="59" w:line="248" w:lineRule="auto"/>
              <w:ind w:left="2277" w:right="1" w:hanging="2264"/>
            </w:pPr>
            <w:r>
              <w:rPr>
                <w:spacing w:val="-2"/>
              </w:rPr>
              <w:t>注：以上能源低位发热量采取企业实际测量数值，单位含碳量和碳氧化率来自《中国钢铁 生产</w:t>
            </w:r>
            <w:r>
              <w:rPr>
                <w:spacing w:val="16"/>
              </w:rPr>
              <w:t xml:space="preserve"> </w:t>
            </w:r>
            <w:r>
              <w:rPr>
                <w:spacing w:val="-1"/>
              </w:rPr>
              <w:t>企业温室气体排放核算方法与报告指南</w:t>
            </w:r>
            <w:r>
              <w:rPr>
                <w:rFonts w:ascii="Times New Roman" w:hAnsi="Times New Roman" w:eastAsia="Times New Roman" w:cs="Times New Roman"/>
                <w:spacing w:val="-1"/>
              </w:rPr>
              <w:t>(</w:t>
            </w:r>
            <w:r>
              <w:rPr>
                <w:spacing w:val="-1"/>
              </w:rPr>
              <w:t>试行</w:t>
            </w:r>
            <w:r>
              <w:rPr>
                <w:rFonts w:ascii="Times New Roman" w:hAnsi="Times New Roman" w:eastAsia="Times New Roman" w:cs="Times New Roman"/>
                <w:spacing w:val="-1"/>
              </w:rPr>
              <w:t>)</w:t>
            </w:r>
            <w:r>
              <w:rPr>
                <w:spacing w:val="-1"/>
              </w:rPr>
              <w:t>》</w:t>
            </w:r>
          </w:p>
        </w:tc>
      </w:tr>
    </w:tbl>
    <w:p w14:paraId="7CAF07C5">
      <w:pPr>
        <w:spacing w:before="125" w:line="219" w:lineRule="auto"/>
        <w:ind w:left="51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）碳酸盐使用过程产生的</w:t>
      </w:r>
      <w:r>
        <w:rPr>
          <w:rFonts w:ascii="宋体" w:hAnsi="宋体" w:eastAsia="宋体" w:cs="宋体"/>
          <w:spacing w:val="-41"/>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 xml:space="preserve">2 </w:t>
      </w:r>
      <w:r>
        <w:rPr>
          <w:rFonts w:ascii="宋体" w:hAnsi="宋体" w:eastAsia="宋体" w:cs="宋体"/>
          <w:spacing w:val="-2"/>
          <w:sz w:val="24"/>
          <w:szCs w:val="24"/>
        </w:rPr>
        <w:t>排放</w:t>
      </w:r>
    </w:p>
    <w:p w14:paraId="52BE7605">
      <w:pPr>
        <w:spacing w:before="203" w:line="219" w:lineRule="auto"/>
        <w:ind w:left="500"/>
        <w:rPr>
          <w:rFonts w:ascii="宋体" w:hAnsi="宋体" w:eastAsia="宋体" w:cs="宋体"/>
          <w:sz w:val="24"/>
          <w:szCs w:val="24"/>
        </w:rPr>
      </w:pPr>
      <w:r>
        <w:rPr>
          <w:rFonts w:ascii="宋体" w:hAnsi="宋体" w:eastAsia="宋体" w:cs="宋体"/>
          <w:sz w:val="24"/>
          <w:szCs w:val="24"/>
        </w:rPr>
        <w:t>本项目采用碳酸钙生产石灰石，碳酸盐分解产</w:t>
      </w:r>
      <w:r>
        <w:rPr>
          <w:rFonts w:ascii="宋体" w:hAnsi="宋体" w:eastAsia="宋体" w:cs="宋体"/>
          <w:spacing w:val="-1"/>
          <w:sz w:val="24"/>
          <w:szCs w:val="24"/>
        </w:rPr>
        <w:t>生的二氧化碳，计算公式：</w:t>
      </w:r>
    </w:p>
    <w:p w14:paraId="2F068BA3">
      <w:pPr>
        <w:spacing w:before="125" w:line="564" w:lineRule="exact"/>
        <w:ind w:firstLine="3329"/>
      </w:pPr>
      <w:r>
        <w:rPr>
          <w:position w:val="-11"/>
        </w:rPr>
        <w:drawing>
          <wp:inline distT="0" distB="0" distL="0" distR="0">
            <wp:extent cx="1543685" cy="358140"/>
            <wp:effectExtent l="0" t="0" r="0" b="0"/>
            <wp:docPr id="260" name="IM 260"/>
            <wp:cNvGraphicFramePr/>
            <a:graphic xmlns:a="http://schemas.openxmlformats.org/drawingml/2006/main">
              <a:graphicData uri="http://schemas.openxmlformats.org/drawingml/2006/picture">
                <pic:pic xmlns:pic="http://schemas.openxmlformats.org/drawingml/2006/picture">
                  <pic:nvPicPr>
                    <pic:cNvPr id="260" name="IM 260"/>
                    <pic:cNvPicPr/>
                  </pic:nvPicPr>
                  <pic:blipFill>
                    <a:blip r:embed="rId700"/>
                    <a:stretch>
                      <a:fillRect/>
                    </a:stretch>
                  </pic:blipFill>
                  <pic:spPr>
                    <a:xfrm>
                      <a:off x="0" y="0"/>
                      <a:ext cx="1543811" cy="358140"/>
                    </a:xfrm>
                    <a:prstGeom prst="rect">
                      <a:avLst/>
                    </a:prstGeom>
                  </pic:spPr>
                </pic:pic>
              </a:graphicData>
            </a:graphic>
          </wp:inline>
        </w:drawing>
      </w:r>
    </w:p>
    <w:p w14:paraId="1E6892D3">
      <w:pPr>
        <w:spacing w:before="167" w:line="231" w:lineRule="auto"/>
        <w:ind w:left="495"/>
        <w:rPr>
          <w:rFonts w:ascii="宋体" w:hAnsi="宋体" w:eastAsia="宋体" w:cs="宋体"/>
          <w:sz w:val="24"/>
          <w:szCs w:val="24"/>
        </w:rPr>
      </w:pPr>
      <w:r>
        <w:rPr>
          <w:rFonts w:ascii="Times New Roman" w:hAnsi="Times New Roman" w:eastAsia="Times New Roman" w:cs="Times New Roman"/>
          <w:sz w:val="24"/>
          <w:szCs w:val="24"/>
        </w:rPr>
        <w:t xml:space="preserve">E </w:t>
      </w:r>
      <w:r>
        <w:rPr>
          <w:rFonts w:ascii="宋体" w:hAnsi="宋体" w:eastAsia="宋体" w:cs="宋体"/>
          <w:position w:val="-2"/>
          <w:sz w:val="12"/>
          <w:szCs w:val="12"/>
        </w:rPr>
        <w:t>工艺</w:t>
      </w:r>
      <w:r>
        <w:rPr>
          <w:rFonts w:ascii="宋体" w:hAnsi="宋体" w:eastAsia="宋体" w:cs="宋体"/>
          <w:spacing w:val="-28"/>
          <w:position w:val="-2"/>
          <w:sz w:val="12"/>
          <w:szCs w:val="12"/>
        </w:rPr>
        <w:t xml:space="preserve"> </w:t>
      </w:r>
      <w:r>
        <w:rPr>
          <w:rFonts w:ascii="Times New Roman" w:hAnsi="Times New Roman" w:eastAsia="Times New Roman" w:cs="Times New Roman"/>
          <w:position w:val="-2"/>
          <w:sz w:val="15"/>
          <w:szCs w:val="15"/>
        </w:rPr>
        <w:t>2</w:t>
      </w:r>
      <w:r>
        <w:rPr>
          <w:rFonts w:ascii="Times New Roman" w:hAnsi="Times New Roman" w:eastAsia="Times New Roman" w:cs="Times New Roman"/>
          <w:spacing w:val="22"/>
          <w:position w:val="-2"/>
          <w:sz w:val="15"/>
          <w:szCs w:val="15"/>
        </w:rPr>
        <w:t xml:space="preserve"> </w:t>
      </w:r>
      <w:r>
        <w:rPr>
          <w:rFonts w:ascii="Times New Roman" w:hAnsi="Times New Roman" w:eastAsia="Times New Roman" w:cs="Times New Roman"/>
          <w:sz w:val="24"/>
          <w:szCs w:val="24"/>
        </w:rPr>
        <w:t>—</w:t>
      </w:r>
      <w:r>
        <w:rPr>
          <w:rFonts w:ascii="宋体" w:hAnsi="宋体" w:eastAsia="宋体" w:cs="宋体"/>
          <w:sz w:val="24"/>
          <w:szCs w:val="24"/>
        </w:rPr>
        <w:t>核算和报告期内，原料碳酸盐分解产生的二氧化碳（</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2</w:t>
      </w:r>
      <w:r>
        <w:rPr>
          <w:rFonts w:ascii="宋体" w:hAnsi="宋体" w:eastAsia="宋体" w:cs="宋体"/>
          <w:spacing w:val="-1"/>
          <w:sz w:val="24"/>
          <w:szCs w:val="24"/>
        </w:rPr>
        <w:t>）</w:t>
      </w:r>
    </w:p>
    <w:p w14:paraId="7D2ABE09">
      <w:pPr>
        <w:spacing w:before="190" w:line="220" w:lineRule="auto"/>
        <w:ind w:left="499"/>
        <w:rPr>
          <w:rFonts w:ascii="宋体" w:hAnsi="宋体" w:eastAsia="宋体" w:cs="宋体"/>
          <w:sz w:val="24"/>
          <w:szCs w:val="24"/>
        </w:rPr>
      </w:pPr>
      <w:r>
        <w:rPr>
          <w:rFonts w:ascii="宋体" w:hAnsi="宋体" w:eastAsia="宋体" w:cs="宋体"/>
          <w:spacing w:val="-1"/>
          <w:sz w:val="24"/>
          <w:szCs w:val="24"/>
        </w:rPr>
        <w:t>排放量，单位为吨（</w:t>
      </w:r>
      <w:r>
        <w:rPr>
          <w:rFonts w:ascii="Times New Roman" w:hAnsi="Times New Roman" w:eastAsia="Times New Roman" w:cs="Times New Roman"/>
          <w:spacing w:val="-1"/>
          <w:sz w:val="24"/>
          <w:szCs w:val="24"/>
        </w:rPr>
        <w:t>tCO</w:t>
      </w:r>
      <w:r>
        <w:rPr>
          <w:rFonts w:ascii="Times New Roman" w:hAnsi="Times New Roman" w:eastAsia="Times New Roman" w:cs="Times New Roman"/>
          <w:spacing w:val="-1"/>
          <w:position w:val="-1"/>
          <w:sz w:val="15"/>
          <w:szCs w:val="15"/>
        </w:rPr>
        <w:t xml:space="preserve">2 </w:t>
      </w:r>
      <w:r>
        <w:rPr>
          <w:rFonts w:ascii="宋体" w:hAnsi="宋体" w:eastAsia="宋体" w:cs="宋体"/>
          <w:spacing w:val="-16"/>
          <w:sz w:val="24"/>
          <w:szCs w:val="24"/>
        </w:rPr>
        <w:t>）；</w:t>
      </w:r>
    </w:p>
    <w:p w14:paraId="09979685">
      <w:pPr>
        <w:spacing w:before="203" w:line="219" w:lineRule="auto"/>
        <w:ind w:left="494"/>
        <w:rPr>
          <w:rFonts w:ascii="宋体" w:hAnsi="宋体" w:eastAsia="宋体" w:cs="宋体"/>
          <w:sz w:val="24"/>
          <w:szCs w:val="24"/>
        </w:rPr>
      </w:pPr>
      <w:r>
        <w:rPr>
          <w:rFonts w:ascii="Times New Roman" w:hAnsi="Times New Roman" w:eastAsia="Times New Roman" w:cs="Times New Roman"/>
          <w:spacing w:val="-3"/>
          <w:sz w:val="24"/>
          <w:szCs w:val="24"/>
        </w:rPr>
        <w:t>M</w:t>
      </w:r>
      <w:r>
        <w:rPr>
          <w:rFonts w:ascii="Times New Roman" w:hAnsi="Times New Roman" w:eastAsia="Times New Roman" w:cs="Times New Roman"/>
          <w:spacing w:val="-3"/>
          <w:position w:val="-1"/>
          <w:sz w:val="15"/>
          <w:szCs w:val="15"/>
        </w:rPr>
        <w:t>i</w:t>
      </w:r>
      <w:r>
        <w:rPr>
          <w:rFonts w:ascii="Times New Roman" w:hAnsi="Times New Roman" w:eastAsia="Times New Roman" w:cs="Times New Roman"/>
          <w:spacing w:val="-3"/>
          <w:sz w:val="24"/>
          <w:szCs w:val="24"/>
        </w:rPr>
        <w:t>—</w:t>
      </w:r>
      <w:r>
        <w:rPr>
          <w:rFonts w:ascii="宋体" w:hAnsi="宋体" w:eastAsia="宋体" w:cs="宋体"/>
          <w:spacing w:val="-3"/>
          <w:sz w:val="24"/>
          <w:szCs w:val="24"/>
        </w:rPr>
        <w:t>消耗的碳酸盐</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i</w:t>
      </w:r>
      <w:r>
        <w:rPr>
          <w:rFonts w:ascii="Times New Roman" w:hAnsi="Times New Roman" w:eastAsia="Times New Roman" w:cs="Times New Roman"/>
          <w:spacing w:val="30"/>
          <w:sz w:val="24"/>
          <w:szCs w:val="24"/>
        </w:rPr>
        <w:t xml:space="preserve"> </w:t>
      </w:r>
      <w:r>
        <w:rPr>
          <w:rFonts w:ascii="宋体" w:hAnsi="宋体" w:eastAsia="宋体" w:cs="宋体"/>
          <w:spacing w:val="-3"/>
          <w:sz w:val="24"/>
          <w:szCs w:val="24"/>
        </w:rPr>
        <w:t>的重量，单位为吨（</w:t>
      </w:r>
      <w:r>
        <w:rPr>
          <w:rFonts w:ascii="Times New Roman" w:hAnsi="Times New Roman" w:eastAsia="Times New Roman" w:cs="Times New Roman"/>
          <w:spacing w:val="-3"/>
          <w:sz w:val="24"/>
          <w:szCs w:val="24"/>
        </w:rPr>
        <w:t>t</w:t>
      </w:r>
      <w:r>
        <w:rPr>
          <w:rFonts w:ascii="Times New Roman" w:hAnsi="Times New Roman" w:eastAsia="Times New Roman" w:cs="Times New Roman"/>
          <w:spacing w:val="-25"/>
          <w:sz w:val="24"/>
          <w:szCs w:val="24"/>
        </w:rPr>
        <w:t xml:space="preserve"> </w:t>
      </w:r>
      <w:r>
        <w:rPr>
          <w:rFonts w:ascii="宋体" w:hAnsi="宋体" w:eastAsia="宋体" w:cs="宋体"/>
          <w:spacing w:val="-9"/>
          <w:sz w:val="24"/>
          <w:szCs w:val="24"/>
        </w:rPr>
        <w:t>）；</w:t>
      </w:r>
    </w:p>
    <w:p w14:paraId="38A0E4D3">
      <w:pPr>
        <w:spacing w:before="205" w:line="219" w:lineRule="auto"/>
        <w:ind w:left="495"/>
        <w:rPr>
          <w:rFonts w:ascii="宋体" w:hAnsi="宋体" w:eastAsia="宋体" w:cs="宋体"/>
          <w:sz w:val="24"/>
          <w:szCs w:val="24"/>
        </w:rPr>
      </w:pPr>
      <w:r>
        <w:rPr>
          <w:rFonts w:ascii="Times New Roman" w:hAnsi="Times New Roman" w:eastAsia="Times New Roman" w:cs="Times New Roman"/>
          <w:sz w:val="24"/>
          <w:szCs w:val="24"/>
        </w:rPr>
        <w:t>EF</w:t>
      </w:r>
      <w:r>
        <w:rPr>
          <w:rFonts w:ascii="Times New Roman" w:hAnsi="Times New Roman" w:eastAsia="Times New Roman" w:cs="Times New Roman"/>
          <w:position w:val="-1"/>
          <w:sz w:val="15"/>
          <w:szCs w:val="15"/>
        </w:rPr>
        <w:t>i</w:t>
      </w:r>
      <w:r>
        <w:rPr>
          <w:rFonts w:ascii="Times New Roman" w:hAnsi="Times New Roman" w:eastAsia="Times New Roman" w:cs="Times New Roman"/>
          <w:sz w:val="24"/>
          <w:szCs w:val="24"/>
        </w:rPr>
        <w:t>—</w:t>
      </w:r>
      <w:r>
        <w:rPr>
          <w:rFonts w:ascii="宋体" w:hAnsi="宋体" w:eastAsia="宋体" w:cs="宋体"/>
          <w:sz w:val="24"/>
          <w:szCs w:val="24"/>
        </w:rPr>
        <w:t>第</w:t>
      </w:r>
      <w:r>
        <w:rPr>
          <w:rFonts w:ascii="宋体" w:hAnsi="宋体" w:eastAsia="宋体" w:cs="宋体"/>
          <w:spacing w:val="-53"/>
          <w:sz w:val="24"/>
          <w:szCs w:val="24"/>
        </w:rPr>
        <w:t xml:space="preserve"> </w:t>
      </w:r>
      <w:r>
        <w:rPr>
          <w:rFonts w:ascii="Times New Roman" w:hAnsi="Times New Roman" w:eastAsia="Times New Roman" w:cs="Times New Roman"/>
          <w:sz w:val="24"/>
          <w:szCs w:val="24"/>
        </w:rPr>
        <w:t xml:space="preserve">i </w:t>
      </w:r>
      <w:r>
        <w:rPr>
          <w:rFonts w:ascii="宋体" w:hAnsi="宋体" w:eastAsia="宋体" w:cs="宋体"/>
          <w:sz w:val="24"/>
          <w:szCs w:val="24"/>
        </w:rPr>
        <w:t>种碳酸盐特定的排放因子，</w:t>
      </w:r>
      <w:r>
        <w:rPr>
          <w:rFonts w:ascii="宋体" w:hAnsi="宋体" w:eastAsia="宋体" w:cs="宋体"/>
          <w:spacing w:val="-1"/>
          <w:sz w:val="24"/>
          <w:szCs w:val="24"/>
        </w:rPr>
        <w:t>单位为吨</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w:t>
      </w:r>
      <w:r>
        <w:rPr>
          <w:rFonts w:ascii="宋体" w:hAnsi="宋体" w:eastAsia="宋体" w:cs="宋体"/>
          <w:spacing w:val="-1"/>
          <w:sz w:val="24"/>
          <w:szCs w:val="24"/>
        </w:rPr>
        <w:t>吨（</w:t>
      </w:r>
      <w:r>
        <w:rPr>
          <w:rFonts w:ascii="Times New Roman" w:hAnsi="Times New Roman" w:eastAsia="Times New Roman" w:cs="Times New Roman"/>
          <w:spacing w:val="-1"/>
          <w:sz w:val="24"/>
          <w:szCs w:val="24"/>
        </w:rPr>
        <w:t>tCO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/t</w:t>
      </w:r>
      <w:r>
        <w:rPr>
          <w:rFonts w:ascii="宋体" w:hAnsi="宋体" w:eastAsia="宋体" w:cs="宋体"/>
          <w:sz w:val="24"/>
          <w:szCs w:val="24"/>
        </w:rPr>
        <w:t>）；</w:t>
      </w:r>
    </w:p>
    <w:p w14:paraId="5D1C81AC">
      <w:pPr>
        <w:spacing w:before="203" w:line="212" w:lineRule="auto"/>
        <w:ind w:left="494"/>
        <w:rPr>
          <w:rFonts w:ascii="Times New Roman" w:hAnsi="Times New Roman" w:eastAsia="Times New Roman" w:cs="Times New Roman"/>
          <w:sz w:val="24"/>
          <w:szCs w:val="24"/>
        </w:rPr>
      </w:pPr>
      <w:r>
        <w:rPr>
          <w:rFonts w:ascii="Times New Roman" w:hAnsi="Times New Roman" w:eastAsia="Times New Roman" w:cs="Times New Roman"/>
          <w:spacing w:val="-1"/>
          <w:sz w:val="24"/>
          <w:szCs w:val="24"/>
        </w:rPr>
        <w:t>F</w:t>
      </w:r>
      <w:r>
        <w:rPr>
          <w:rFonts w:ascii="Times New Roman" w:hAnsi="Times New Roman" w:eastAsia="Times New Roman" w:cs="Times New Roman"/>
          <w:spacing w:val="-1"/>
          <w:sz w:val="15"/>
          <w:szCs w:val="15"/>
        </w:rPr>
        <w:t>i</w:t>
      </w:r>
      <w:r>
        <w:rPr>
          <w:rFonts w:ascii="Times New Roman" w:hAnsi="Times New Roman" w:eastAsia="Times New Roman" w:cs="Times New Roman"/>
          <w:spacing w:val="-1"/>
          <w:sz w:val="24"/>
          <w:szCs w:val="24"/>
        </w:rPr>
        <w:t>—</w:t>
      </w:r>
      <w:r>
        <w:rPr>
          <w:rFonts w:ascii="宋体" w:hAnsi="宋体" w:eastAsia="宋体" w:cs="宋体"/>
          <w:spacing w:val="-1"/>
          <w:sz w:val="24"/>
          <w:szCs w:val="24"/>
        </w:rPr>
        <w:t>第</w:t>
      </w:r>
      <w:r>
        <w:rPr>
          <w:rFonts w:ascii="宋体" w:hAnsi="宋体" w:eastAsia="宋体" w:cs="宋体"/>
          <w:spacing w:val="-53"/>
          <w:sz w:val="24"/>
          <w:szCs w:val="24"/>
        </w:rPr>
        <w:t xml:space="preserve"> </w:t>
      </w:r>
      <w:r>
        <w:rPr>
          <w:rFonts w:ascii="Times New Roman" w:hAnsi="Times New Roman" w:eastAsia="Times New Roman" w:cs="Times New Roman"/>
          <w:spacing w:val="-1"/>
          <w:sz w:val="24"/>
          <w:szCs w:val="24"/>
        </w:rPr>
        <w:t xml:space="preserve">i </w:t>
      </w:r>
      <w:r>
        <w:rPr>
          <w:rFonts w:ascii="宋体" w:hAnsi="宋体" w:eastAsia="宋体" w:cs="宋体"/>
          <w:spacing w:val="-1"/>
          <w:sz w:val="24"/>
          <w:szCs w:val="24"/>
        </w:rPr>
        <w:t>种碳酸盐的煅烧比例，单位为</w:t>
      </w:r>
      <w:r>
        <w:rPr>
          <w:rFonts w:ascii="Times New Roman" w:hAnsi="Times New Roman" w:eastAsia="Times New Roman" w:cs="Times New Roman"/>
          <w:spacing w:val="-1"/>
          <w:sz w:val="24"/>
          <w:szCs w:val="24"/>
        </w:rPr>
        <w:t>%</w:t>
      </w:r>
      <w:r>
        <w:rPr>
          <w:rFonts w:ascii="宋体" w:hAnsi="宋体" w:eastAsia="宋体" w:cs="宋体"/>
          <w:spacing w:val="-1"/>
          <w:sz w:val="24"/>
          <w:szCs w:val="24"/>
        </w:rPr>
        <w:t>；如缺少测量数据，可按照</w:t>
      </w:r>
      <w:r>
        <w:rPr>
          <w:rFonts w:ascii="宋体" w:hAnsi="宋体" w:eastAsia="宋体" w:cs="宋体"/>
          <w:spacing w:val="-32"/>
          <w:sz w:val="24"/>
          <w:szCs w:val="24"/>
        </w:rPr>
        <w:t xml:space="preserve"> </w:t>
      </w:r>
      <w:r>
        <w:rPr>
          <w:rFonts w:ascii="Times New Roman" w:hAnsi="Times New Roman" w:eastAsia="Times New Roman" w:cs="Times New Roman"/>
          <w:spacing w:val="-1"/>
          <w:sz w:val="24"/>
          <w:szCs w:val="24"/>
        </w:rPr>
        <w:t>100%</w:t>
      </w:r>
      <w:r>
        <w:rPr>
          <w:rFonts w:ascii="宋体" w:hAnsi="宋体" w:eastAsia="宋体" w:cs="宋体"/>
          <w:spacing w:val="-1"/>
          <w:sz w:val="24"/>
          <w:szCs w:val="24"/>
        </w:rPr>
        <w:t>计算</w:t>
      </w:r>
      <w:r>
        <w:rPr>
          <w:rFonts w:ascii="Times New Roman" w:hAnsi="Times New Roman" w:eastAsia="Times New Roman" w:cs="Times New Roman"/>
          <w:spacing w:val="-1"/>
          <w:sz w:val="24"/>
          <w:szCs w:val="24"/>
        </w:rPr>
        <w:t>;</w:t>
      </w:r>
    </w:p>
    <w:p w14:paraId="23677A23">
      <w:pPr>
        <w:spacing w:before="213" w:line="363" w:lineRule="auto"/>
        <w:ind w:left="21" w:right="9" w:firstLine="475"/>
        <w:rPr>
          <w:rFonts w:ascii="宋体" w:hAnsi="宋体" w:eastAsia="宋体" w:cs="宋体"/>
          <w:sz w:val="24"/>
          <w:szCs w:val="24"/>
        </w:rPr>
      </w:pPr>
      <w:r>
        <w:rPr>
          <w:rFonts w:ascii="Times New Roman" w:hAnsi="Times New Roman" w:eastAsia="Times New Roman" w:cs="Times New Roman"/>
          <w:spacing w:val="-3"/>
          <w:sz w:val="24"/>
          <w:szCs w:val="24"/>
        </w:rPr>
        <w:t>i—</w:t>
      </w:r>
      <w:r>
        <w:rPr>
          <w:rFonts w:ascii="宋体" w:hAnsi="宋体" w:eastAsia="宋体" w:cs="宋体"/>
          <w:spacing w:val="-3"/>
          <w:sz w:val="24"/>
          <w:szCs w:val="24"/>
        </w:rPr>
        <w:t>表示碳酸盐的种类。生产企业原材料的消耗量</w:t>
      </w:r>
      <w:r>
        <w:rPr>
          <w:rFonts w:ascii="宋体" w:hAnsi="宋体" w:eastAsia="宋体" w:cs="宋体"/>
          <w:spacing w:val="-4"/>
          <w:sz w:val="24"/>
          <w:szCs w:val="24"/>
        </w:rPr>
        <w:t>，按照生产操作记录的数据；碳酸</w:t>
      </w:r>
      <w:r>
        <w:rPr>
          <w:rFonts w:ascii="宋体" w:hAnsi="宋体" w:eastAsia="宋体" w:cs="宋体"/>
          <w:sz w:val="24"/>
          <w:szCs w:val="24"/>
        </w:rPr>
        <w:t xml:space="preserve"> </w:t>
      </w:r>
      <w:r>
        <w:rPr>
          <w:rFonts w:ascii="宋体" w:hAnsi="宋体" w:eastAsia="宋体" w:cs="宋体"/>
          <w:spacing w:val="-2"/>
          <w:sz w:val="24"/>
          <w:szCs w:val="24"/>
        </w:rPr>
        <w:t>盐可采用企业测量的数据，也可以取</w:t>
      </w:r>
      <w:r>
        <w:rPr>
          <w:rFonts w:ascii="宋体" w:hAnsi="宋体" w:eastAsia="宋体" w:cs="宋体"/>
          <w:spacing w:val="-31"/>
          <w:sz w:val="24"/>
          <w:szCs w:val="24"/>
        </w:rPr>
        <w:t xml:space="preserve"> </w:t>
      </w:r>
      <w:r>
        <w:rPr>
          <w:rFonts w:ascii="Times New Roman" w:hAnsi="Times New Roman" w:eastAsia="Times New Roman" w:cs="Times New Roman"/>
          <w:spacing w:val="-2"/>
          <w:sz w:val="24"/>
          <w:szCs w:val="24"/>
        </w:rPr>
        <w:t>100%</w:t>
      </w:r>
      <w:r>
        <w:rPr>
          <w:rFonts w:ascii="宋体" w:hAnsi="宋体" w:eastAsia="宋体" w:cs="宋体"/>
          <w:spacing w:val="-2"/>
          <w:sz w:val="24"/>
          <w:szCs w:val="24"/>
        </w:rPr>
        <w:t>；</w:t>
      </w:r>
    </w:p>
    <w:p w14:paraId="39C9D17B">
      <w:pPr>
        <w:spacing w:before="50" w:line="227" w:lineRule="auto"/>
        <w:ind w:left="2410"/>
        <w:rPr>
          <w:rFonts w:ascii="宋体" w:hAnsi="宋体" w:eastAsia="宋体" w:cs="宋体"/>
          <w:sz w:val="20"/>
          <w:szCs w:val="20"/>
        </w:rPr>
      </w:pPr>
      <w:r>
        <w:rPr>
          <w:rFonts w:ascii="宋体" w:hAnsi="宋体" w:eastAsia="宋体" w:cs="宋体"/>
          <w:b/>
          <w:bCs/>
          <w:spacing w:val="6"/>
          <w:sz w:val="20"/>
          <w:szCs w:val="20"/>
        </w:rPr>
        <w:t>表</w:t>
      </w:r>
      <w:r>
        <w:rPr>
          <w:rFonts w:ascii="宋体" w:hAnsi="宋体" w:eastAsia="宋体" w:cs="宋体"/>
          <w:spacing w:val="-41"/>
          <w:sz w:val="20"/>
          <w:szCs w:val="20"/>
        </w:rPr>
        <w:t xml:space="preserve"> </w:t>
      </w:r>
      <w:r>
        <w:rPr>
          <w:rFonts w:ascii="Times New Roman" w:hAnsi="Times New Roman" w:eastAsia="Times New Roman" w:cs="Times New Roman"/>
          <w:b/>
          <w:bCs/>
          <w:spacing w:val="6"/>
          <w:sz w:val="20"/>
          <w:szCs w:val="20"/>
        </w:rPr>
        <w:t xml:space="preserve">9.3-2        </w:t>
      </w:r>
      <w:r>
        <w:rPr>
          <w:rFonts w:ascii="宋体" w:hAnsi="宋体" w:eastAsia="宋体" w:cs="宋体"/>
          <w:b/>
          <w:bCs/>
          <w:spacing w:val="6"/>
          <w:sz w:val="20"/>
          <w:szCs w:val="20"/>
        </w:rPr>
        <w:t>碳酸盐使用</w:t>
      </w:r>
      <w:r>
        <w:rPr>
          <w:rFonts w:ascii="宋体" w:hAnsi="宋体" w:eastAsia="宋体" w:cs="宋体"/>
          <w:b/>
          <w:bCs/>
          <w:spacing w:val="5"/>
          <w:sz w:val="20"/>
          <w:szCs w:val="20"/>
        </w:rPr>
        <w:t>过程中二氧化碳排放量</w:t>
      </w:r>
    </w:p>
    <w:p w14:paraId="79989B3D">
      <w:pPr>
        <w:spacing w:line="103" w:lineRule="exact"/>
      </w:pPr>
    </w:p>
    <w:tbl>
      <w:tblPr>
        <w:tblStyle w:val="5"/>
        <w:tblW w:w="90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86"/>
        <w:gridCol w:w="1853"/>
        <w:gridCol w:w="2169"/>
        <w:gridCol w:w="1759"/>
        <w:gridCol w:w="1917"/>
      </w:tblGrid>
      <w:tr w14:paraId="6B21EA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1386" w:type="dxa"/>
            <w:vAlign w:val="top"/>
          </w:tcPr>
          <w:p w14:paraId="7B7C3D60">
            <w:pPr>
              <w:pStyle w:val="6"/>
              <w:spacing w:before="81" w:line="228" w:lineRule="auto"/>
              <w:ind w:left="439"/>
              <w:rPr>
                <w:sz w:val="20"/>
                <w:szCs w:val="20"/>
              </w:rPr>
            </w:pPr>
            <w:r>
              <w:rPr>
                <w:spacing w:val="-2"/>
                <w:sz w:val="20"/>
                <w:szCs w:val="20"/>
              </w:rPr>
              <w:t>项</w:t>
            </w:r>
            <w:r>
              <w:rPr>
                <w:spacing w:val="53"/>
                <w:sz w:val="20"/>
                <w:szCs w:val="20"/>
              </w:rPr>
              <w:t xml:space="preserve"> </w:t>
            </w:r>
            <w:r>
              <w:rPr>
                <w:spacing w:val="-2"/>
                <w:sz w:val="20"/>
                <w:szCs w:val="20"/>
              </w:rPr>
              <w:t>目</w:t>
            </w:r>
          </w:p>
        </w:tc>
        <w:tc>
          <w:tcPr>
            <w:tcW w:w="1853" w:type="dxa"/>
            <w:vAlign w:val="top"/>
          </w:tcPr>
          <w:p w14:paraId="13D65D9F">
            <w:pPr>
              <w:pStyle w:val="6"/>
              <w:spacing w:before="80" w:line="228" w:lineRule="auto"/>
              <w:ind w:left="621"/>
              <w:rPr>
                <w:sz w:val="20"/>
                <w:szCs w:val="20"/>
              </w:rPr>
            </w:pPr>
            <w:r>
              <w:rPr>
                <w:spacing w:val="5"/>
                <w:sz w:val="20"/>
                <w:szCs w:val="20"/>
              </w:rPr>
              <w:t>消耗量</w:t>
            </w:r>
          </w:p>
        </w:tc>
        <w:tc>
          <w:tcPr>
            <w:tcW w:w="2169" w:type="dxa"/>
            <w:vAlign w:val="top"/>
          </w:tcPr>
          <w:p w14:paraId="1308D3CD">
            <w:pPr>
              <w:pStyle w:val="6"/>
              <w:spacing w:before="80" w:line="228" w:lineRule="auto"/>
              <w:ind w:left="460"/>
              <w:rPr>
                <w:sz w:val="20"/>
                <w:szCs w:val="20"/>
              </w:rPr>
            </w:pPr>
            <w:r>
              <w:rPr>
                <w:spacing w:val="8"/>
                <w:sz w:val="20"/>
                <w:szCs w:val="20"/>
              </w:rPr>
              <w:t>含碳量缺省值</w:t>
            </w:r>
          </w:p>
        </w:tc>
        <w:tc>
          <w:tcPr>
            <w:tcW w:w="1759" w:type="dxa"/>
            <w:vAlign w:val="top"/>
          </w:tcPr>
          <w:p w14:paraId="67404F05">
            <w:pPr>
              <w:pStyle w:val="6"/>
              <w:spacing w:before="81" w:line="228" w:lineRule="auto"/>
              <w:ind w:left="360"/>
              <w:rPr>
                <w:sz w:val="20"/>
                <w:szCs w:val="20"/>
              </w:rPr>
            </w:pPr>
            <w:r>
              <w:rPr>
                <w:spacing w:val="8"/>
                <w:sz w:val="20"/>
                <w:szCs w:val="20"/>
              </w:rPr>
              <w:t>碳酸盐纯度</w:t>
            </w:r>
          </w:p>
        </w:tc>
        <w:tc>
          <w:tcPr>
            <w:tcW w:w="1917" w:type="dxa"/>
            <w:vAlign w:val="top"/>
          </w:tcPr>
          <w:p w14:paraId="6AEAE142">
            <w:pPr>
              <w:pStyle w:val="6"/>
              <w:spacing w:before="80" w:line="229" w:lineRule="auto"/>
              <w:ind w:left="648"/>
              <w:rPr>
                <w:sz w:val="20"/>
                <w:szCs w:val="20"/>
              </w:rPr>
            </w:pPr>
            <w:r>
              <w:rPr>
                <w:spacing w:val="6"/>
                <w:sz w:val="20"/>
                <w:szCs w:val="20"/>
              </w:rPr>
              <w:t>排放量</w:t>
            </w:r>
          </w:p>
        </w:tc>
      </w:tr>
      <w:tr w14:paraId="0003B5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 w:hRule="atLeast"/>
        </w:trPr>
        <w:tc>
          <w:tcPr>
            <w:tcW w:w="1386" w:type="dxa"/>
            <w:vAlign w:val="top"/>
          </w:tcPr>
          <w:p w14:paraId="65552041">
            <w:pPr>
              <w:pStyle w:val="6"/>
              <w:spacing w:before="71" w:line="228" w:lineRule="auto"/>
              <w:ind w:left="490"/>
              <w:rPr>
                <w:sz w:val="20"/>
                <w:szCs w:val="20"/>
              </w:rPr>
            </w:pPr>
            <w:r>
              <w:rPr>
                <w:spacing w:val="3"/>
                <w:sz w:val="20"/>
                <w:szCs w:val="20"/>
              </w:rPr>
              <w:t>单位</w:t>
            </w:r>
          </w:p>
        </w:tc>
        <w:tc>
          <w:tcPr>
            <w:tcW w:w="1853" w:type="dxa"/>
            <w:vAlign w:val="top"/>
          </w:tcPr>
          <w:p w14:paraId="188CE118">
            <w:pPr>
              <w:spacing w:before="125" w:line="176" w:lineRule="auto"/>
              <w:ind w:left="896"/>
              <w:rPr>
                <w:rFonts w:ascii="Times New Roman" w:hAnsi="Times New Roman" w:eastAsia="Times New Roman" w:cs="Times New Roman"/>
                <w:sz w:val="20"/>
                <w:szCs w:val="20"/>
              </w:rPr>
            </w:pPr>
            <w:r>
              <w:rPr>
                <w:rFonts w:ascii="Times New Roman" w:hAnsi="Times New Roman" w:eastAsia="Times New Roman" w:cs="Times New Roman"/>
                <w:sz w:val="20"/>
                <w:szCs w:val="20"/>
              </w:rPr>
              <w:t>t</w:t>
            </w:r>
          </w:p>
        </w:tc>
        <w:tc>
          <w:tcPr>
            <w:tcW w:w="2169" w:type="dxa"/>
            <w:vAlign w:val="top"/>
          </w:tcPr>
          <w:p w14:paraId="06C5DA8D">
            <w:pPr>
              <w:spacing w:before="103" w:line="206" w:lineRule="auto"/>
              <w:ind w:left="601"/>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tCO</w:t>
            </w:r>
            <w:r>
              <w:rPr>
                <w:rFonts w:ascii="Times New Roman" w:hAnsi="Times New Roman" w:eastAsia="Times New Roman" w:cs="Times New Roman"/>
                <w:spacing w:val="5"/>
                <w:position w:val="-1"/>
                <w:sz w:val="13"/>
                <w:szCs w:val="13"/>
              </w:rPr>
              <w:t>2</w:t>
            </w:r>
            <w:r>
              <w:rPr>
                <w:rFonts w:ascii="Times New Roman" w:hAnsi="Times New Roman" w:eastAsia="Times New Roman" w:cs="Times New Roman"/>
                <w:spacing w:val="5"/>
                <w:sz w:val="20"/>
                <w:szCs w:val="20"/>
              </w:rPr>
              <w:t>/MWh</w:t>
            </w:r>
          </w:p>
        </w:tc>
        <w:tc>
          <w:tcPr>
            <w:tcW w:w="1759" w:type="dxa"/>
            <w:vAlign w:val="top"/>
          </w:tcPr>
          <w:p w14:paraId="231C41A1">
            <w:pPr>
              <w:spacing w:before="106" w:line="195" w:lineRule="auto"/>
              <w:ind w:left="796"/>
              <w:rPr>
                <w:rFonts w:ascii="Times New Roman" w:hAnsi="Times New Roman" w:eastAsia="Times New Roman" w:cs="Times New Roman"/>
                <w:sz w:val="20"/>
                <w:szCs w:val="20"/>
              </w:rPr>
            </w:pPr>
            <w:r>
              <w:rPr>
                <w:rFonts w:ascii="Times New Roman" w:hAnsi="Times New Roman" w:eastAsia="Times New Roman" w:cs="Times New Roman"/>
                <w:sz w:val="20"/>
                <w:szCs w:val="20"/>
              </w:rPr>
              <w:t>%</w:t>
            </w:r>
          </w:p>
        </w:tc>
        <w:tc>
          <w:tcPr>
            <w:tcW w:w="1917" w:type="dxa"/>
            <w:vAlign w:val="top"/>
          </w:tcPr>
          <w:p w14:paraId="53DE7A09">
            <w:pPr>
              <w:spacing w:before="107" w:line="202" w:lineRule="auto"/>
              <w:ind w:left="748"/>
              <w:rPr>
                <w:rFonts w:ascii="Times New Roman" w:hAnsi="Times New Roman" w:eastAsia="Times New Roman" w:cs="Times New Roman"/>
                <w:sz w:val="13"/>
                <w:szCs w:val="13"/>
              </w:rPr>
            </w:pPr>
            <w:r>
              <w:rPr>
                <w:rFonts w:ascii="Times New Roman" w:hAnsi="Times New Roman" w:eastAsia="Times New Roman" w:cs="Times New Roman"/>
                <w:sz w:val="20"/>
                <w:szCs w:val="20"/>
              </w:rPr>
              <w:t>tCO</w:t>
            </w:r>
            <w:r>
              <w:rPr>
                <w:rFonts w:ascii="Times New Roman" w:hAnsi="Times New Roman" w:eastAsia="Times New Roman" w:cs="Times New Roman"/>
                <w:spacing w:val="18"/>
                <w:position w:val="-1"/>
                <w:sz w:val="13"/>
                <w:szCs w:val="13"/>
              </w:rPr>
              <w:t>2</w:t>
            </w:r>
          </w:p>
        </w:tc>
      </w:tr>
      <w:tr w14:paraId="31FDD4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 w:hRule="atLeast"/>
        </w:trPr>
        <w:tc>
          <w:tcPr>
            <w:tcW w:w="1386" w:type="dxa"/>
            <w:vAlign w:val="top"/>
          </w:tcPr>
          <w:p w14:paraId="32CD473F">
            <w:pPr>
              <w:pStyle w:val="6"/>
              <w:spacing w:before="75" w:line="228" w:lineRule="auto"/>
              <w:ind w:left="279"/>
              <w:rPr>
                <w:sz w:val="20"/>
                <w:szCs w:val="20"/>
              </w:rPr>
            </w:pPr>
            <w:r>
              <w:rPr>
                <w:spacing w:val="7"/>
                <w:sz w:val="20"/>
                <w:szCs w:val="20"/>
              </w:rPr>
              <w:t>物料名称</w:t>
            </w:r>
          </w:p>
        </w:tc>
        <w:tc>
          <w:tcPr>
            <w:tcW w:w="1853" w:type="dxa"/>
            <w:vAlign w:val="top"/>
          </w:tcPr>
          <w:p w14:paraId="759EFB75">
            <w:pPr>
              <w:spacing w:before="111" w:line="195" w:lineRule="auto"/>
              <w:ind w:left="848"/>
              <w:rPr>
                <w:rFonts w:ascii="Times New Roman" w:hAnsi="Times New Roman" w:eastAsia="Times New Roman" w:cs="Times New Roman"/>
                <w:sz w:val="20"/>
                <w:szCs w:val="20"/>
              </w:rPr>
            </w:pPr>
            <w:r>
              <w:rPr>
                <w:rFonts w:ascii="Times New Roman" w:hAnsi="Times New Roman" w:eastAsia="Times New Roman" w:cs="Times New Roman"/>
                <w:spacing w:val="4"/>
                <w:sz w:val="20"/>
                <w:szCs w:val="20"/>
              </w:rPr>
              <w:t>A</w:t>
            </w:r>
          </w:p>
        </w:tc>
        <w:tc>
          <w:tcPr>
            <w:tcW w:w="2169" w:type="dxa"/>
            <w:vAlign w:val="top"/>
          </w:tcPr>
          <w:p w14:paraId="4EA37D58">
            <w:pPr>
              <w:spacing w:before="114" w:line="192" w:lineRule="auto"/>
              <w:ind w:left="101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B</w:t>
            </w:r>
          </w:p>
        </w:tc>
        <w:tc>
          <w:tcPr>
            <w:tcW w:w="1759" w:type="dxa"/>
            <w:vAlign w:val="top"/>
          </w:tcPr>
          <w:p w14:paraId="12049BDD">
            <w:pPr>
              <w:spacing w:before="111" w:line="195" w:lineRule="auto"/>
              <w:ind w:left="815"/>
              <w:rPr>
                <w:rFonts w:ascii="Times New Roman" w:hAnsi="Times New Roman" w:eastAsia="Times New Roman" w:cs="Times New Roman"/>
                <w:sz w:val="20"/>
                <w:szCs w:val="20"/>
              </w:rPr>
            </w:pPr>
            <w:r>
              <w:rPr>
                <w:rFonts w:ascii="Times New Roman" w:hAnsi="Times New Roman" w:eastAsia="Times New Roman" w:cs="Times New Roman"/>
                <w:sz w:val="20"/>
                <w:szCs w:val="20"/>
              </w:rPr>
              <w:t>C</w:t>
            </w:r>
          </w:p>
        </w:tc>
        <w:tc>
          <w:tcPr>
            <w:tcW w:w="1917" w:type="dxa"/>
            <w:vAlign w:val="top"/>
          </w:tcPr>
          <w:p w14:paraId="1A76A01D">
            <w:pPr>
              <w:spacing w:before="37" w:line="281" w:lineRule="exact"/>
              <w:ind w:left="513"/>
              <w:rPr>
                <w:rFonts w:ascii="Times New Roman" w:hAnsi="Times New Roman" w:eastAsia="Times New Roman" w:cs="Times New Roman"/>
                <w:sz w:val="20"/>
                <w:szCs w:val="20"/>
              </w:rPr>
            </w:pPr>
            <w:r>
              <w:rPr>
                <w:rFonts w:ascii="Times New Roman" w:hAnsi="Times New Roman" w:eastAsia="Times New Roman" w:cs="Times New Roman"/>
                <w:spacing w:val="4"/>
                <w:position w:val="2"/>
                <w:sz w:val="20"/>
                <w:szCs w:val="20"/>
              </w:rPr>
              <w:t>C=A*B*C</w:t>
            </w:r>
          </w:p>
        </w:tc>
      </w:tr>
      <w:tr w14:paraId="4F6D40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1386" w:type="dxa"/>
            <w:vAlign w:val="top"/>
          </w:tcPr>
          <w:p w14:paraId="5C83246D">
            <w:pPr>
              <w:pStyle w:val="6"/>
              <w:spacing w:before="76" w:line="228" w:lineRule="auto"/>
              <w:ind w:left="383"/>
              <w:rPr>
                <w:sz w:val="20"/>
                <w:szCs w:val="20"/>
              </w:rPr>
            </w:pPr>
            <w:r>
              <w:rPr>
                <w:spacing w:val="6"/>
                <w:sz w:val="20"/>
                <w:szCs w:val="20"/>
              </w:rPr>
              <w:t>石灰石</w:t>
            </w:r>
          </w:p>
        </w:tc>
        <w:tc>
          <w:tcPr>
            <w:tcW w:w="1853" w:type="dxa"/>
            <w:vAlign w:val="top"/>
          </w:tcPr>
          <w:p w14:paraId="1B9B459B">
            <w:pPr>
              <w:spacing w:before="112" w:line="195" w:lineRule="auto"/>
              <w:ind w:left="772"/>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720</w:t>
            </w:r>
          </w:p>
        </w:tc>
        <w:tc>
          <w:tcPr>
            <w:tcW w:w="2169" w:type="dxa"/>
            <w:vAlign w:val="top"/>
          </w:tcPr>
          <w:p w14:paraId="643A5957">
            <w:pPr>
              <w:spacing w:before="112" w:line="195" w:lineRule="auto"/>
              <w:ind w:left="800"/>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0.4397</w:t>
            </w:r>
          </w:p>
        </w:tc>
        <w:tc>
          <w:tcPr>
            <w:tcW w:w="1759" w:type="dxa"/>
            <w:vAlign w:val="top"/>
          </w:tcPr>
          <w:p w14:paraId="007892A8">
            <w:pPr>
              <w:spacing w:before="112" w:line="195" w:lineRule="auto"/>
              <w:ind w:left="64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93.84</w:t>
            </w:r>
          </w:p>
        </w:tc>
        <w:tc>
          <w:tcPr>
            <w:tcW w:w="1917" w:type="dxa"/>
            <w:vAlign w:val="top"/>
          </w:tcPr>
          <w:p w14:paraId="631BF717">
            <w:pPr>
              <w:spacing w:before="112" w:line="195" w:lineRule="auto"/>
              <w:ind w:left="6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297.08</w:t>
            </w:r>
          </w:p>
        </w:tc>
      </w:tr>
      <w:tr w14:paraId="005412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1386" w:type="dxa"/>
            <w:vAlign w:val="top"/>
          </w:tcPr>
          <w:p w14:paraId="19019633">
            <w:pPr>
              <w:pStyle w:val="6"/>
              <w:spacing w:before="77" w:line="229" w:lineRule="auto"/>
              <w:ind w:left="489"/>
              <w:rPr>
                <w:sz w:val="20"/>
                <w:szCs w:val="20"/>
              </w:rPr>
            </w:pPr>
            <w:r>
              <w:rPr>
                <w:spacing w:val="4"/>
                <w:sz w:val="20"/>
                <w:szCs w:val="20"/>
              </w:rPr>
              <w:t>合计</w:t>
            </w:r>
          </w:p>
        </w:tc>
        <w:tc>
          <w:tcPr>
            <w:tcW w:w="1853" w:type="dxa"/>
            <w:vAlign w:val="top"/>
          </w:tcPr>
          <w:p w14:paraId="12574CBF">
            <w:pPr>
              <w:rPr>
                <w:rFonts w:ascii="Arial"/>
                <w:sz w:val="21"/>
              </w:rPr>
            </w:pPr>
          </w:p>
        </w:tc>
        <w:tc>
          <w:tcPr>
            <w:tcW w:w="2169" w:type="dxa"/>
            <w:vAlign w:val="top"/>
          </w:tcPr>
          <w:p w14:paraId="2F1F688B">
            <w:pPr>
              <w:rPr>
                <w:rFonts w:ascii="Arial"/>
                <w:sz w:val="21"/>
              </w:rPr>
            </w:pPr>
          </w:p>
        </w:tc>
        <w:tc>
          <w:tcPr>
            <w:tcW w:w="1759" w:type="dxa"/>
            <w:vAlign w:val="top"/>
          </w:tcPr>
          <w:p w14:paraId="2E996421">
            <w:pPr>
              <w:rPr>
                <w:rFonts w:ascii="Arial"/>
                <w:sz w:val="21"/>
              </w:rPr>
            </w:pPr>
          </w:p>
        </w:tc>
        <w:tc>
          <w:tcPr>
            <w:tcW w:w="1917" w:type="dxa"/>
            <w:vAlign w:val="top"/>
          </w:tcPr>
          <w:p w14:paraId="51075A57">
            <w:pPr>
              <w:spacing w:before="113" w:line="195" w:lineRule="auto"/>
              <w:ind w:left="671"/>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297.08</w:t>
            </w:r>
          </w:p>
        </w:tc>
      </w:tr>
      <w:tr w14:paraId="76D6B2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9084" w:type="dxa"/>
            <w:gridSpan w:val="5"/>
            <w:vAlign w:val="top"/>
          </w:tcPr>
          <w:p w14:paraId="22EB1DC9">
            <w:pPr>
              <w:pStyle w:val="6"/>
              <w:spacing w:before="63" w:line="271" w:lineRule="auto"/>
              <w:ind w:left="3077" w:right="4" w:hanging="3064"/>
              <w:rPr>
                <w:sz w:val="20"/>
                <w:szCs w:val="20"/>
              </w:rPr>
            </w:pPr>
            <w:r>
              <w:rPr>
                <w:spacing w:val="4"/>
                <w:sz w:val="20"/>
                <w:szCs w:val="20"/>
              </w:rPr>
              <w:t>注：石灰石的含碳量缺省值来自来自《中国钢铁生产企业温室气体排放核算方法</w:t>
            </w:r>
            <w:r>
              <w:rPr>
                <w:spacing w:val="3"/>
                <w:sz w:val="20"/>
                <w:szCs w:val="20"/>
              </w:rPr>
              <w:t>与报告指 南</w:t>
            </w:r>
            <w:r>
              <w:rPr>
                <w:rFonts w:ascii="Times New Roman" w:hAnsi="Times New Roman" w:eastAsia="Times New Roman" w:cs="Times New Roman"/>
                <w:spacing w:val="3"/>
                <w:sz w:val="20"/>
                <w:szCs w:val="20"/>
              </w:rPr>
              <w:t>(</w:t>
            </w:r>
            <w:r>
              <w:rPr>
                <w:spacing w:val="3"/>
                <w:sz w:val="20"/>
                <w:szCs w:val="20"/>
              </w:rPr>
              <w:t>试行</w:t>
            </w:r>
            <w:r>
              <w:rPr>
                <w:rFonts w:ascii="Times New Roman" w:hAnsi="Times New Roman" w:eastAsia="Times New Roman" w:cs="Times New Roman"/>
                <w:spacing w:val="3"/>
                <w:sz w:val="20"/>
                <w:szCs w:val="20"/>
              </w:rPr>
              <w:t>)</w:t>
            </w:r>
            <w:r>
              <w:rPr>
                <w:spacing w:val="3"/>
                <w:sz w:val="20"/>
                <w:szCs w:val="20"/>
              </w:rPr>
              <w:t>》</w:t>
            </w:r>
            <w:r>
              <w:rPr>
                <w:rFonts w:ascii="Times New Roman" w:hAnsi="Times New Roman" w:eastAsia="Times New Roman" w:cs="Times New Roman"/>
                <w:spacing w:val="3"/>
                <w:sz w:val="20"/>
                <w:szCs w:val="20"/>
              </w:rPr>
              <w:t>,</w:t>
            </w:r>
            <w:r>
              <w:rPr>
                <w:rFonts w:ascii="Times New Roman" w:hAnsi="Times New Roman" w:eastAsia="Times New Roman" w:cs="Times New Roman"/>
                <w:sz w:val="20"/>
                <w:szCs w:val="20"/>
              </w:rPr>
              <w:t xml:space="preserve"> </w:t>
            </w:r>
            <w:r>
              <w:rPr>
                <w:spacing w:val="8"/>
                <w:sz w:val="20"/>
                <w:szCs w:val="20"/>
              </w:rPr>
              <w:t>碳酸盐纯度来自企业自测报告。</w:t>
            </w:r>
          </w:p>
        </w:tc>
      </w:tr>
    </w:tbl>
    <w:p w14:paraId="71CAEE41">
      <w:pPr>
        <w:spacing w:before="127" w:line="361" w:lineRule="auto"/>
        <w:ind w:left="499" w:right="3170" w:firstLine="11"/>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）净购入电力和热力消费引起的</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 xml:space="preserve">2 </w:t>
      </w:r>
      <w:r>
        <w:rPr>
          <w:rFonts w:ascii="宋体" w:hAnsi="宋体" w:eastAsia="宋体" w:cs="宋体"/>
          <w:spacing w:val="-1"/>
          <w:sz w:val="24"/>
          <w:szCs w:val="24"/>
        </w:rPr>
        <w:t>排放</w:t>
      </w:r>
      <w:r>
        <w:rPr>
          <w:rFonts w:ascii="宋体" w:hAnsi="宋体" w:eastAsia="宋体" w:cs="宋体"/>
          <w:spacing w:val="-2"/>
          <w:sz w:val="24"/>
          <w:szCs w:val="24"/>
        </w:rPr>
        <w:t>量计算</w:t>
      </w:r>
      <w:r>
        <w:rPr>
          <w:rFonts w:ascii="宋体" w:hAnsi="宋体" w:eastAsia="宋体" w:cs="宋体"/>
          <w:sz w:val="24"/>
          <w:szCs w:val="24"/>
        </w:rPr>
        <w:t xml:space="preserve"> </w:t>
      </w:r>
      <w:r>
        <w:rPr>
          <w:rFonts w:ascii="宋体" w:hAnsi="宋体" w:eastAsia="宋体" w:cs="宋体"/>
          <w:spacing w:val="-2"/>
          <w:sz w:val="24"/>
          <w:szCs w:val="24"/>
        </w:rPr>
        <w:t>计算公式：</w:t>
      </w:r>
    </w:p>
    <w:p w14:paraId="50FD74BA">
      <w:pPr>
        <w:spacing w:line="361" w:lineRule="auto"/>
        <w:rPr>
          <w:rFonts w:ascii="宋体" w:hAnsi="宋体" w:eastAsia="宋体" w:cs="宋体"/>
          <w:sz w:val="24"/>
          <w:szCs w:val="24"/>
        </w:rPr>
        <w:sectPr>
          <w:headerReference r:id="rId513" w:type="default"/>
          <w:footerReference r:id="rId514" w:type="default"/>
          <w:pgSz w:w="11906" w:h="16839"/>
          <w:pgMar w:top="1190" w:right="1408" w:bottom="1221" w:left="1408" w:header="882" w:footer="1059" w:gutter="0"/>
          <w:cols w:space="720" w:num="1"/>
        </w:sectPr>
      </w:pPr>
    </w:p>
    <w:p w14:paraId="227223C2">
      <w:pPr>
        <w:spacing w:line="28" w:lineRule="exact"/>
        <w:ind w:firstLine="9"/>
      </w:pPr>
      <w:r>
        <w:pict>
          <v:shape id="_x0000_s3101" o:spid="_x0000_s3101" style="height:1.45pt;width:453.55pt;" fillcolor="#000000" filled="t" stroked="f" coordsize="9070,29" path="m0,0l9070,0,9070,28,0,28,0,0xe">
            <v:path/>
            <v:fill on="t" focussize="0,0"/>
            <v:stroke on="f"/>
            <v:imagedata o:title=""/>
            <o:lock v:ext="edit"/>
            <w10:wrap type="none"/>
            <w10:anchorlock/>
          </v:shape>
        </w:pict>
      </w:r>
    </w:p>
    <w:p w14:paraId="0D23228B">
      <w:pPr>
        <w:pStyle w:val="2"/>
        <w:spacing w:line="242" w:lineRule="auto"/>
      </w:pPr>
    </w:p>
    <w:p w14:paraId="5DADCED4">
      <w:pPr>
        <w:spacing w:line="881" w:lineRule="exact"/>
        <w:ind w:firstLine="3446"/>
      </w:pPr>
      <w:r>
        <w:rPr>
          <w:position w:val="-17"/>
        </w:rPr>
        <w:drawing>
          <wp:inline distT="0" distB="0" distL="0" distR="0">
            <wp:extent cx="1394460" cy="558800"/>
            <wp:effectExtent l="0" t="0" r="0" b="0"/>
            <wp:docPr id="262" name="IM 262"/>
            <wp:cNvGraphicFramePr/>
            <a:graphic xmlns:a="http://schemas.openxmlformats.org/drawingml/2006/main">
              <a:graphicData uri="http://schemas.openxmlformats.org/drawingml/2006/picture">
                <pic:pic xmlns:pic="http://schemas.openxmlformats.org/drawingml/2006/picture">
                  <pic:nvPicPr>
                    <pic:cNvPr id="262" name="IM 262"/>
                    <pic:cNvPicPr/>
                  </pic:nvPicPr>
                  <pic:blipFill>
                    <a:blip r:embed="rId701"/>
                    <a:stretch>
                      <a:fillRect/>
                    </a:stretch>
                  </pic:blipFill>
                  <pic:spPr>
                    <a:xfrm>
                      <a:off x="0" y="0"/>
                      <a:ext cx="1394460" cy="559307"/>
                    </a:xfrm>
                    <a:prstGeom prst="rect">
                      <a:avLst/>
                    </a:prstGeom>
                  </pic:spPr>
                </pic:pic>
              </a:graphicData>
            </a:graphic>
          </wp:inline>
        </w:drawing>
      </w:r>
    </w:p>
    <w:p w14:paraId="181A2E2F">
      <w:pPr>
        <w:spacing w:before="174" w:line="220" w:lineRule="auto"/>
        <w:ind w:left="504"/>
        <w:rPr>
          <w:rFonts w:ascii="宋体" w:hAnsi="宋体" w:eastAsia="宋体" w:cs="宋体"/>
          <w:sz w:val="24"/>
          <w:szCs w:val="24"/>
        </w:rPr>
      </w:pPr>
      <w:r>
        <w:rPr>
          <w:rFonts w:ascii="宋体" w:hAnsi="宋体" w:eastAsia="宋体" w:cs="宋体"/>
          <w:spacing w:val="-5"/>
          <w:sz w:val="24"/>
          <w:szCs w:val="24"/>
        </w:rPr>
        <w:t>式中：</w:t>
      </w:r>
    </w:p>
    <w:p w14:paraId="1E3CE6EF">
      <w:pPr>
        <w:spacing w:before="202" w:line="362" w:lineRule="auto"/>
        <w:ind w:left="492" w:right="2175" w:firstLine="3"/>
        <w:rPr>
          <w:rFonts w:ascii="宋体" w:hAnsi="宋体" w:eastAsia="宋体" w:cs="宋体"/>
          <w:sz w:val="24"/>
          <w:szCs w:val="24"/>
        </w:rPr>
      </w:pPr>
      <w:r>
        <w:rPr>
          <w:rFonts w:ascii="Times New Roman" w:hAnsi="Times New Roman" w:eastAsia="Times New Roman" w:cs="Times New Roman"/>
          <w:sz w:val="24"/>
          <w:szCs w:val="24"/>
        </w:rPr>
        <w:t>E</w:t>
      </w:r>
      <w:r>
        <w:rPr>
          <w:rFonts w:ascii="Times New Roman" w:hAnsi="Times New Roman" w:eastAsia="Times New Roman" w:cs="Times New Roman"/>
          <w:sz w:val="15"/>
          <w:szCs w:val="15"/>
        </w:rPr>
        <w:t>CO2-</w:t>
      </w:r>
      <w:r>
        <w:rPr>
          <w:rFonts w:ascii="宋体" w:hAnsi="宋体" w:eastAsia="宋体" w:cs="宋体"/>
          <w:sz w:val="12"/>
          <w:szCs w:val="12"/>
        </w:rPr>
        <w:t>净电</w:t>
      </w:r>
      <w:r>
        <w:rPr>
          <w:rFonts w:ascii="宋体" w:hAnsi="宋体" w:eastAsia="宋体" w:cs="宋体"/>
          <w:sz w:val="24"/>
          <w:szCs w:val="24"/>
        </w:rPr>
        <w:t>为企业净购入电力隐含的</w:t>
      </w:r>
      <w:r>
        <w:rPr>
          <w:rFonts w:ascii="宋体" w:hAnsi="宋体" w:eastAsia="宋体" w:cs="宋体"/>
          <w:spacing w:val="-51"/>
          <w:sz w:val="24"/>
          <w:szCs w:val="24"/>
        </w:rPr>
        <w:t xml:space="preserve"> </w:t>
      </w:r>
      <w:r>
        <w:rPr>
          <w:rFonts w:ascii="Times New Roman" w:hAnsi="Times New Roman" w:eastAsia="Times New Roman" w:cs="Times New Roman"/>
          <w:sz w:val="24"/>
          <w:szCs w:val="24"/>
        </w:rPr>
        <w:t>CO</w:t>
      </w:r>
      <w:r>
        <w:rPr>
          <w:rFonts w:ascii="Times New Roman" w:hAnsi="Times New Roman" w:eastAsia="Times New Roman" w:cs="Times New Roman"/>
          <w:position w:val="-1"/>
          <w:sz w:val="15"/>
          <w:szCs w:val="15"/>
        </w:rPr>
        <w:t xml:space="preserve">2 </w:t>
      </w:r>
      <w:r>
        <w:rPr>
          <w:rFonts w:ascii="宋体" w:hAnsi="宋体" w:eastAsia="宋体" w:cs="宋体"/>
          <w:sz w:val="24"/>
          <w:szCs w:val="24"/>
        </w:rPr>
        <w:t>排放，单位</w:t>
      </w:r>
      <w:r>
        <w:rPr>
          <w:rFonts w:ascii="宋体" w:hAnsi="宋体" w:eastAsia="宋体" w:cs="宋体"/>
          <w:spacing w:val="-1"/>
          <w:sz w:val="24"/>
          <w:szCs w:val="24"/>
        </w:rPr>
        <w:t>为吨</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9"/>
          <w:position w:val="-1"/>
          <w:sz w:val="15"/>
          <w:szCs w:val="15"/>
        </w:rPr>
        <w:t xml:space="preserve"> </w:t>
      </w:r>
      <w:r>
        <w:rPr>
          <w:rFonts w:ascii="宋体" w:hAnsi="宋体" w:eastAsia="宋体" w:cs="宋体"/>
          <w:spacing w:val="-1"/>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AD</w:t>
      </w:r>
      <w:r>
        <w:rPr>
          <w:rFonts w:ascii="Times New Roman" w:hAnsi="Times New Roman" w:eastAsia="Times New Roman" w:cs="Times New Roman"/>
          <w:spacing w:val="19"/>
          <w:sz w:val="24"/>
          <w:szCs w:val="24"/>
        </w:rPr>
        <w:t xml:space="preserve"> </w:t>
      </w:r>
      <w:r>
        <w:rPr>
          <w:rFonts w:ascii="宋体" w:hAnsi="宋体" w:eastAsia="宋体" w:cs="宋体"/>
          <w:spacing w:val="-1"/>
          <w:position w:val="-3"/>
          <w:sz w:val="12"/>
          <w:szCs w:val="12"/>
        </w:rPr>
        <w:t>电力</w:t>
      </w:r>
      <w:r>
        <w:rPr>
          <w:rFonts w:ascii="宋体" w:hAnsi="宋体" w:eastAsia="宋体" w:cs="宋体"/>
          <w:spacing w:val="-1"/>
          <w:sz w:val="24"/>
          <w:szCs w:val="24"/>
        </w:rPr>
        <w:t>为企业净购入得电力消费量，单位为兆瓦时（</w:t>
      </w:r>
      <w:r>
        <w:rPr>
          <w:rFonts w:ascii="Times New Roman" w:hAnsi="Times New Roman" w:eastAsia="Times New Roman" w:cs="Times New Roman"/>
          <w:spacing w:val="-1"/>
          <w:sz w:val="24"/>
          <w:szCs w:val="24"/>
        </w:rPr>
        <w:t>MWh</w:t>
      </w:r>
      <w:r>
        <w:rPr>
          <w:rFonts w:ascii="宋体" w:hAnsi="宋体" w:eastAsia="宋体" w:cs="宋体"/>
          <w:spacing w:val="-29"/>
          <w:sz w:val="24"/>
          <w:szCs w:val="24"/>
        </w:rPr>
        <w:t>）；</w:t>
      </w:r>
      <w:r>
        <w:rPr>
          <w:rFonts w:ascii="宋体" w:hAnsi="宋体" w:eastAsia="宋体" w:cs="宋体"/>
          <w:sz w:val="24"/>
          <w:szCs w:val="24"/>
        </w:rPr>
        <w:t xml:space="preserve"> </w:t>
      </w:r>
      <w:r>
        <w:rPr>
          <w:rFonts w:ascii="Times New Roman" w:hAnsi="Times New Roman" w:eastAsia="Times New Roman" w:cs="Times New Roman"/>
          <w:spacing w:val="-2"/>
          <w:sz w:val="24"/>
          <w:szCs w:val="24"/>
        </w:rPr>
        <w:t>EF</w:t>
      </w:r>
      <w:r>
        <w:rPr>
          <w:rFonts w:ascii="Times New Roman" w:hAnsi="Times New Roman" w:eastAsia="Times New Roman" w:cs="Times New Roman"/>
          <w:spacing w:val="33"/>
          <w:w w:val="101"/>
          <w:sz w:val="24"/>
          <w:szCs w:val="24"/>
        </w:rPr>
        <w:t xml:space="preserve"> </w:t>
      </w:r>
      <w:r>
        <w:rPr>
          <w:rFonts w:ascii="宋体" w:hAnsi="宋体" w:eastAsia="宋体" w:cs="宋体"/>
          <w:spacing w:val="-2"/>
          <w:position w:val="-3"/>
          <w:sz w:val="12"/>
          <w:szCs w:val="12"/>
        </w:rPr>
        <w:t>电力</w:t>
      </w:r>
      <w:r>
        <w:rPr>
          <w:rFonts w:ascii="宋体" w:hAnsi="宋体" w:eastAsia="宋体" w:cs="宋体"/>
          <w:spacing w:val="-2"/>
          <w:sz w:val="24"/>
          <w:szCs w:val="24"/>
        </w:rPr>
        <w:t>为电力供应的</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2"/>
          <w:position w:val="-1"/>
          <w:sz w:val="15"/>
          <w:szCs w:val="15"/>
        </w:rPr>
        <w:t xml:space="preserve"> </w:t>
      </w:r>
      <w:r>
        <w:rPr>
          <w:rFonts w:ascii="宋体" w:hAnsi="宋体" w:eastAsia="宋体" w:cs="宋体"/>
          <w:spacing w:val="-2"/>
          <w:sz w:val="24"/>
          <w:szCs w:val="24"/>
        </w:rPr>
        <w:t>排放因子，单位为吨</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
          <w:sz w:val="24"/>
          <w:szCs w:val="24"/>
        </w:rPr>
        <w:t>/MWh</w:t>
      </w:r>
      <w:r>
        <w:rPr>
          <w:rFonts w:ascii="宋体" w:hAnsi="宋体" w:eastAsia="宋体" w:cs="宋体"/>
          <w:spacing w:val="-2"/>
          <w:sz w:val="24"/>
          <w:szCs w:val="24"/>
        </w:rPr>
        <w:t>。</w:t>
      </w:r>
    </w:p>
    <w:p w14:paraId="09C25A66">
      <w:pPr>
        <w:spacing w:before="56" w:line="361" w:lineRule="auto"/>
        <w:ind w:left="492" w:right="2168" w:firstLine="3"/>
        <w:rPr>
          <w:rFonts w:ascii="宋体" w:hAnsi="宋体" w:eastAsia="宋体" w:cs="宋体"/>
          <w:sz w:val="24"/>
          <w:szCs w:val="24"/>
        </w:rPr>
      </w:pPr>
      <w:r>
        <w:rPr>
          <w:rFonts w:ascii="Times New Roman" w:hAnsi="Times New Roman" w:eastAsia="Times New Roman" w:cs="Times New Roman"/>
          <w:sz w:val="24"/>
          <w:szCs w:val="24"/>
        </w:rPr>
        <w:t>E</w:t>
      </w:r>
      <w:r>
        <w:rPr>
          <w:rFonts w:ascii="Times New Roman" w:hAnsi="Times New Roman" w:eastAsia="Times New Roman" w:cs="Times New Roman"/>
          <w:sz w:val="15"/>
          <w:szCs w:val="15"/>
        </w:rPr>
        <w:t>CO2-</w:t>
      </w:r>
      <w:r>
        <w:rPr>
          <w:rFonts w:ascii="宋体" w:hAnsi="宋体" w:eastAsia="宋体" w:cs="宋体"/>
          <w:sz w:val="12"/>
          <w:szCs w:val="12"/>
        </w:rPr>
        <w:t>净热</w:t>
      </w:r>
      <w:r>
        <w:rPr>
          <w:rFonts w:ascii="宋体" w:hAnsi="宋体" w:eastAsia="宋体" w:cs="宋体"/>
          <w:sz w:val="24"/>
          <w:szCs w:val="24"/>
        </w:rPr>
        <w:t>为企业净购入热力隐含的</w:t>
      </w:r>
      <w:r>
        <w:rPr>
          <w:rFonts w:ascii="宋体" w:hAnsi="宋体" w:eastAsia="宋体" w:cs="宋体"/>
          <w:spacing w:val="-51"/>
          <w:sz w:val="24"/>
          <w:szCs w:val="24"/>
        </w:rPr>
        <w:t xml:space="preserve"> </w:t>
      </w:r>
      <w:r>
        <w:rPr>
          <w:rFonts w:ascii="Times New Roman" w:hAnsi="Times New Roman" w:eastAsia="Times New Roman" w:cs="Times New Roman"/>
          <w:sz w:val="24"/>
          <w:szCs w:val="24"/>
        </w:rPr>
        <w:t>CO</w:t>
      </w:r>
      <w:r>
        <w:rPr>
          <w:rFonts w:ascii="Times New Roman" w:hAnsi="Times New Roman" w:eastAsia="Times New Roman" w:cs="Times New Roman"/>
          <w:position w:val="-1"/>
          <w:sz w:val="15"/>
          <w:szCs w:val="15"/>
        </w:rPr>
        <w:t xml:space="preserve">2 </w:t>
      </w:r>
      <w:r>
        <w:rPr>
          <w:rFonts w:ascii="宋体" w:hAnsi="宋体" w:eastAsia="宋体" w:cs="宋体"/>
          <w:sz w:val="24"/>
          <w:szCs w:val="24"/>
        </w:rPr>
        <w:t>排放，单位</w:t>
      </w:r>
      <w:r>
        <w:rPr>
          <w:rFonts w:ascii="宋体" w:hAnsi="宋体" w:eastAsia="宋体" w:cs="宋体"/>
          <w:spacing w:val="-1"/>
          <w:sz w:val="24"/>
          <w:szCs w:val="24"/>
        </w:rPr>
        <w:t>为吨</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9"/>
          <w:position w:val="-1"/>
          <w:sz w:val="15"/>
          <w:szCs w:val="15"/>
        </w:rPr>
        <w:t xml:space="preserve"> </w:t>
      </w:r>
      <w:r>
        <w:rPr>
          <w:rFonts w:ascii="宋体" w:hAnsi="宋体" w:eastAsia="宋体" w:cs="宋体"/>
          <w:spacing w:val="-1"/>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 xml:space="preserve">AD </w:t>
      </w:r>
      <w:r>
        <w:rPr>
          <w:rFonts w:ascii="宋体" w:hAnsi="宋体" w:eastAsia="宋体" w:cs="宋体"/>
          <w:spacing w:val="-1"/>
          <w:position w:val="-3"/>
          <w:sz w:val="12"/>
          <w:szCs w:val="12"/>
        </w:rPr>
        <w:t>热力</w:t>
      </w:r>
      <w:r>
        <w:rPr>
          <w:rFonts w:ascii="宋体" w:hAnsi="宋体" w:eastAsia="宋体" w:cs="宋体"/>
          <w:spacing w:val="-1"/>
          <w:sz w:val="24"/>
          <w:szCs w:val="24"/>
        </w:rPr>
        <w:t>为企业净购入得热力消费量，单位为</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GJ</w:t>
      </w:r>
      <w:r>
        <w:rPr>
          <w:rFonts w:ascii="宋体" w:hAnsi="宋体" w:eastAsia="宋体" w:cs="宋体"/>
          <w:spacing w:val="-1"/>
          <w:sz w:val="24"/>
          <w:szCs w:val="24"/>
        </w:rPr>
        <w:t>（百万千焦</w:t>
      </w:r>
      <w:r>
        <w:rPr>
          <w:rFonts w:ascii="宋体" w:hAnsi="宋体" w:eastAsia="宋体" w:cs="宋体"/>
          <w:spacing w:val="-23"/>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 xml:space="preserve">EF </w:t>
      </w:r>
      <w:r>
        <w:rPr>
          <w:rFonts w:ascii="宋体" w:hAnsi="宋体" w:eastAsia="宋体" w:cs="宋体"/>
          <w:spacing w:val="-1"/>
          <w:position w:val="-3"/>
          <w:sz w:val="12"/>
          <w:szCs w:val="12"/>
        </w:rPr>
        <w:t>热力</w:t>
      </w:r>
      <w:r>
        <w:rPr>
          <w:rFonts w:ascii="宋体" w:hAnsi="宋体" w:eastAsia="宋体" w:cs="宋体"/>
          <w:spacing w:val="-1"/>
          <w:sz w:val="24"/>
          <w:szCs w:val="24"/>
        </w:rPr>
        <w:t>为热力供应的</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2"/>
          <w:position w:val="-1"/>
          <w:sz w:val="15"/>
          <w:szCs w:val="15"/>
        </w:rPr>
        <w:t xml:space="preserve"> </w:t>
      </w:r>
      <w:r>
        <w:rPr>
          <w:rFonts w:ascii="宋体" w:hAnsi="宋体" w:eastAsia="宋体" w:cs="宋体"/>
          <w:spacing w:val="-1"/>
          <w:sz w:val="24"/>
          <w:szCs w:val="24"/>
        </w:rPr>
        <w:t>排放因子，单位为吨</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/GJ</w:t>
      </w:r>
      <w:r>
        <w:rPr>
          <w:rFonts w:ascii="宋体" w:hAnsi="宋体" w:eastAsia="宋体" w:cs="宋体"/>
          <w:spacing w:val="-1"/>
          <w:sz w:val="24"/>
          <w:szCs w:val="24"/>
        </w:rPr>
        <w:t>。</w:t>
      </w:r>
    </w:p>
    <w:p w14:paraId="5684935F">
      <w:pPr>
        <w:spacing w:before="74" w:line="228" w:lineRule="auto"/>
        <w:ind w:left="2674"/>
        <w:rPr>
          <w:rFonts w:ascii="宋体" w:hAnsi="宋体" w:eastAsia="宋体" w:cs="宋体"/>
          <w:sz w:val="20"/>
          <w:szCs w:val="20"/>
        </w:rPr>
      </w:pPr>
      <w:r>
        <w:rPr>
          <w:rFonts w:ascii="宋体" w:hAnsi="宋体" w:eastAsia="宋体" w:cs="宋体"/>
          <w:b/>
          <w:bCs/>
          <w:spacing w:val="5"/>
          <w:sz w:val="20"/>
          <w:szCs w:val="20"/>
        </w:rPr>
        <w:t>表</w:t>
      </w:r>
      <w:r>
        <w:rPr>
          <w:rFonts w:ascii="宋体" w:hAnsi="宋体" w:eastAsia="宋体" w:cs="宋体"/>
          <w:spacing w:val="-26"/>
          <w:sz w:val="20"/>
          <w:szCs w:val="20"/>
        </w:rPr>
        <w:t xml:space="preserve"> </w:t>
      </w:r>
      <w:r>
        <w:rPr>
          <w:rFonts w:ascii="Times New Roman" w:hAnsi="Times New Roman" w:eastAsia="Times New Roman" w:cs="Times New Roman"/>
          <w:b/>
          <w:bCs/>
          <w:spacing w:val="5"/>
          <w:sz w:val="20"/>
          <w:szCs w:val="20"/>
        </w:rPr>
        <w:t xml:space="preserve">9.3-3      </w:t>
      </w:r>
      <w:r>
        <w:rPr>
          <w:rFonts w:ascii="宋体" w:hAnsi="宋体" w:eastAsia="宋体" w:cs="宋体"/>
          <w:b/>
          <w:bCs/>
          <w:spacing w:val="5"/>
          <w:sz w:val="20"/>
          <w:szCs w:val="20"/>
        </w:rPr>
        <w:t>净购入使用电量产生的排放量</w:t>
      </w:r>
    </w:p>
    <w:p w14:paraId="3A917EFF">
      <w:pPr>
        <w:spacing w:line="103" w:lineRule="exact"/>
      </w:pPr>
    </w:p>
    <w:tbl>
      <w:tblPr>
        <w:tblStyle w:val="5"/>
        <w:tblW w:w="90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61"/>
        <w:gridCol w:w="2361"/>
        <w:gridCol w:w="2229"/>
        <w:gridCol w:w="2533"/>
      </w:tblGrid>
      <w:tr w14:paraId="31EA44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1961" w:type="dxa"/>
            <w:vAlign w:val="top"/>
          </w:tcPr>
          <w:p w14:paraId="3702C02D">
            <w:pPr>
              <w:pStyle w:val="6"/>
              <w:spacing w:before="81" w:line="228" w:lineRule="auto"/>
              <w:ind w:left="727"/>
              <w:rPr>
                <w:sz w:val="20"/>
                <w:szCs w:val="20"/>
              </w:rPr>
            </w:pPr>
            <w:r>
              <w:rPr>
                <w:spacing w:val="-2"/>
                <w:sz w:val="20"/>
                <w:szCs w:val="20"/>
              </w:rPr>
              <w:t>项</w:t>
            </w:r>
            <w:r>
              <w:rPr>
                <w:spacing w:val="53"/>
                <w:sz w:val="20"/>
                <w:szCs w:val="20"/>
              </w:rPr>
              <w:t xml:space="preserve"> </w:t>
            </w:r>
            <w:r>
              <w:rPr>
                <w:spacing w:val="-2"/>
                <w:sz w:val="20"/>
                <w:szCs w:val="20"/>
              </w:rPr>
              <w:t>目</w:t>
            </w:r>
          </w:p>
        </w:tc>
        <w:tc>
          <w:tcPr>
            <w:tcW w:w="2361" w:type="dxa"/>
            <w:vAlign w:val="top"/>
          </w:tcPr>
          <w:p w14:paraId="19F5C6EF">
            <w:pPr>
              <w:pStyle w:val="6"/>
              <w:spacing w:before="81" w:line="233" w:lineRule="auto"/>
              <w:ind w:left="1000"/>
              <w:rPr>
                <w:sz w:val="20"/>
                <w:szCs w:val="20"/>
              </w:rPr>
            </w:pPr>
            <w:r>
              <w:rPr>
                <w:spacing w:val="-8"/>
                <w:sz w:val="20"/>
                <w:szCs w:val="20"/>
              </w:rPr>
              <w:t>电量</w:t>
            </w:r>
          </w:p>
        </w:tc>
        <w:tc>
          <w:tcPr>
            <w:tcW w:w="2229" w:type="dxa"/>
            <w:vAlign w:val="top"/>
          </w:tcPr>
          <w:p w14:paraId="75A56E86">
            <w:pPr>
              <w:pStyle w:val="6"/>
              <w:spacing w:before="81" w:line="228" w:lineRule="auto"/>
              <w:ind w:left="700"/>
              <w:rPr>
                <w:sz w:val="20"/>
                <w:szCs w:val="20"/>
              </w:rPr>
            </w:pPr>
            <w:r>
              <w:rPr>
                <w:spacing w:val="7"/>
                <w:sz w:val="20"/>
                <w:szCs w:val="20"/>
              </w:rPr>
              <w:t>排放因子</w:t>
            </w:r>
          </w:p>
        </w:tc>
        <w:tc>
          <w:tcPr>
            <w:tcW w:w="2533" w:type="dxa"/>
            <w:vAlign w:val="top"/>
          </w:tcPr>
          <w:p w14:paraId="4BA111F9">
            <w:pPr>
              <w:pStyle w:val="6"/>
              <w:spacing w:before="80" w:line="229" w:lineRule="auto"/>
              <w:ind w:left="957"/>
              <w:rPr>
                <w:sz w:val="20"/>
                <w:szCs w:val="20"/>
              </w:rPr>
            </w:pPr>
            <w:r>
              <w:rPr>
                <w:spacing w:val="6"/>
                <w:sz w:val="20"/>
                <w:szCs w:val="20"/>
              </w:rPr>
              <w:t>排放量</w:t>
            </w:r>
          </w:p>
        </w:tc>
      </w:tr>
      <w:tr w14:paraId="2CDD5B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1961" w:type="dxa"/>
            <w:vAlign w:val="top"/>
          </w:tcPr>
          <w:p w14:paraId="16F5712E">
            <w:pPr>
              <w:pStyle w:val="6"/>
              <w:spacing w:before="80" w:line="228" w:lineRule="auto"/>
              <w:ind w:left="778"/>
              <w:rPr>
                <w:sz w:val="20"/>
                <w:szCs w:val="20"/>
              </w:rPr>
            </w:pPr>
            <w:r>
              <w:rPr>
                <w:spacing w:val="3"/>
                <w:sz w:val="20"/>
                <w:szCs w:val="20"/>
              </w:rPr>
              <w:t>单位</w:t>
            </w:r>
          </w:p>
        </w:tc>
        <w:tc>
          <w:tcPr>
            <w:tcW w:w="2361" w:type="dxa"/>
            <w:vAlign w:val="top"/>
          </w:tcPr>
          <w:p w14:paraId="2A6C2561">
            <w:pPr>
              <w:spacing w:before="113" w:line="194" w:lineRule="auto"/>
              <w:ind w:left="956"/>
              <w:rPr>
                <w:rFonts w:ascii="Calibri" w:hAnsi="Calibri" w:eastAsia="Calibri" w:cs="Calibri"/>
                <w:sz w:val="20"/>
                <w:szCs w:val="20"/>
              </w:rPr>
            </w:pPr>
            <w:r>
              <w:rPr>
                <w:rFonts w:ascii="Calibri" w:hAnsi="Calibri" w:eastAsia="Calibri" w:cs="Calibri"/>
                <w:sz w:val="20"/>
                <w:szCs w:val="20"/>
              </w:rPr>
              <w:t>MWh</w:t>
            </w:r>
          </w:p>
        </w:tc>
        <w:tc>
          <w:tcPr>
            <w:tcW w:w="2229" w:type="dxa"/>
            <w:vAlign w:val="top"/>
          </w:tcPr>
          <w:p w14:paraId="3AA28B21">
            <w:pPr>
              <w:spacing w:before="43" w:line="279" w:lineRule="exact"/>
              <w:ind w:left="642"/>
              <w:rPr>
                <w:rFonts w:ascii="Calibri" w:hAnsi="Calibri" w:eastAsia="Calibri" w:cs="Calibri"/>
                <w:sz w:val="20"/>
                <w:szCs w:val="20"/>
              </w:rPr>
            </w:pPr>
            <w:r>
              <w:rPr>
                <w:rFonts w:ascii="Calibri" w:hAnsi="Calibri" w:eastAsia="Calibri" w:cs="Calibri"/>
                <w:position w:val="3"/>
                <w:sz w:val="20"/>
                <w:szCs w:val="20"/>
              </w:rPr>
              <w:t>tCO</w:t>
            </w:r>
            <w:r>
              <w:rPr>
                <w:rFonts w:ascii="Calibri" w:hAnsi="Calibri" w:eastAsia="Calibri" w:cs="Calibri"/>
                <w:spacing w:val="18"/>
                <w:position w:val="3"/>
                <w:sz w:val="20"/>
                <w:szCs w:val="20"/>
              </w:rPr>
              <w:t>₂/</w:t>
            </w:r>
            <w:r>
              <w:rPr>
                <w:rFonts w:ascii="Calibri" w:hAnsi="Calibri" w:eastAsia="Calibri" w:cs="Calibri"/>
                <w:position w:val="3"/>
                <w:sz w:val="20"/>
                <w:szCs w:val="20"/>
              </w:rPr>
              <w:t>MWh</w:t>
            </w:r>
          </w:p>
        </w:tc>
        <w:tc>
          <w:tcPr>
            <w:tcW w:w="2533" w:type="dxa"/>
            <w:vAlign w:val="top"/>
          </w:tcPr>
          <w:p w14:paraId="2D623605">
            <w:pPr>
              <w:spacing w:before="121" w:line="187" w:lineRule="auto"/>
              <w:ind w:left="1072"/>
              <w:rPr>
                <w:rFonts w:ascii="Calibri" w:hAnsi="Calibri" w:eastAsia="Calibri" w:cs="Calibri"/>
                <w:sz w:val="20"/>
                <w:szCs w:val="20"/>
              </w:rPr>
            </w:pPr>
            <w:r>
              <w:rPr>
                <w:rFonts w:ascii="Calibri" w:hAnsi="Calibri" w:eastAsia="Calibri" w:cs="Calibri"/>
                <w:sz w:val="20"/>
                <w:szCs w:val="20"/>
              </w:rPr>
              <w:t>tCO</w:t>
            </w:r>
            <w:r>
              <w:rPr>
                <w:rFonts w:ascii="Calibri" w:hAnsi="Calibri" w:eastAsia="Calibri" w:cs="Calibri"/>
                <w:spacing w:val="12"/>
                <w:sz w:val="20"/>
                <w:szCs w:val="20"/>
              </w:rPr>
              <w:t>₂</w:t>
            </w:r>
          </w:p>
        </w:tc>
      </w:tr>
      <w:tr w14:paraId="165C61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1961" w:type="dxa"/>
            <w:vAlign w:val="top"/>
          </w:tcPr>
          <w:p w14:paraId="3D2693B1">
            <w:pPr>
              <w:pStyle w:val="6"/>
              <w:spacing w:before="75" w:line="229" w:lineRule="auto"/>
              <w:ind w:left="775"/>
              <w:rPr>
                <w:sz w:val="20"/>
                <w:szCs w:val="20"/>
              </w:rPr>
            </w:pPr>
            <w:r>
              <w:rPr>
                <w:spacing w:val="5"/>
                <w:sz w:val="20"/>
                <w:szCs w:val="20"/>
              </w:rPr>
              <w:t>序号</w:t>
            </w:r>
          </w:p>
        </w:tc>
        <w:tc>
          <w:tcPr>
            <w:tcW w:w="2361" w:type="dxa"/>
            <w:vAlign w:val="top"/>
          </w:tcPr>
          <w:p w14:paraId="5B5183C3">
            <w:pPr>
              <w:spacing w:before="117" w:line="185" w:lineRule="auto"/>
              <w:ind w:left="1119"/>
              <w:rPr>
                <w:rFonts w:ascii="Calibri" w:hAnsi="Calibri" w:eastAsia="Calibri" w:cs="Calibri"/>
                <w:sz w:val="20"/>
                <w:szCs w:val="20"/>
              </w:rPr>
            </w:pPr>
            <w:r>
              <w:rPr>
                <w:rFonts w:ascii="Calibri" w:hAnsi="Calibri" w:eastAsia="Calibri" w:cs="Calibri"/>
                <w:spacing w:val="1"/>
                <w:sz w:val="20"/>
                <w:szCs w:val="20"/>
              </w:rPr>
              <w:t>A</w:t>
            </w:r>
          </w:p>
        </w:tc>
        <w:tc>
          <w:tcPr>
            <w:tcW w:w="2229" w:type="dxa"/>
            <w:vAlign w:val="top"/>
          </w:tcPr>
          <w:p w14:paraId="16501909">
            <w:pPr>
              <w:spacing w:before="119" w:line="184" w:lineRule="auto"/>
              <w:ind w:left="1074"/>
              <w:rPr>
                <w:rFonts w:ascii="Calibri" w:hAnsi="Calibri" w:eastAsia="Calibri" w:cs="Calibri"/>
                <w:sz w:val="20"/>
                <w:szCs w:val="20"/>
              </w:rPr>
            </w:pPr>
            <w:r>
              <w:rPr>
                <w:rFonts w:ascii="Calibri" w:hAnsi="Calibri" w:eastAsia="Calibri" w:cs="Calibri"/>
                <w:sz w:val="20"/>
                <w:szCs w:val="20"/>
              </w:rPr>
              <w:t>B</w:t>
            </w:r>
          </w:p>
        </w:tc>
        <w:tc>
          <w:tcPr>
            <w:tcW w:w="2533" w:type="dxa"/>
            <w:vAlign w:val="top"/>
          </w:tcPr>
          <w:p w14:paraId="13A0A2AC">
            <w:pPr>
              <w:spacing w:before="105" w:line="197" w:lineRule="auto"/>
              <w:ind w:left="995"/>
              <w:rPr>
                <w:rFonts w:ascii="Calibri" w:hAnsi="Calibri" w:eastAsia="Calibri" w:cs="Calibri"/>
                <w:sz w:val="20"/>
                <w:szCs w:val="20"/>
              </w:rPr>
            </w:pPr>
            <w:r>
              <w:rPr>
                <w:rFonts w:ascii="Calibri" w:hAnsi="Calibri" w:eastAsia="Calibri" w:cs="Calibri"/>
                <w:spacing w:val="1"/>
                <w:sz w:val="20"/>
                <w:szCs w:val="20"/>
              </w:rPr>
              <w:t>C=A*</w:t>
            </w:r>
            <w:r>
              <w:rPr>
                <w:rFonts w:ascii="Calibri" w:hAnsi="Calibri" w:eastAsia="Calibri" w:cs="Calibri"/>
                <w:spacing w:val="-24"/>
                <w:sz w:val="20"/>
                <w:szCs w:val="20"/>
              </w:rPr>
              <w:t xml:space="preserve"> </w:t>
            </w:r>
            <w:r>
              <w:rPr>
                <w:rFonts w:ascii="Calibri" w:hAnsi="Calibri" w:eastAsia="Calibri" w:cs="Calibri"/>
                <w:spacing w:val="1"/>
                <w:sz w:val="20"/>
                <w:szCs w:val="20"/>
              </w:rPr>
              <w:t>B</w:t>
            </w:r>
          </w:p>
        </w:tc>
      </w:tr>
      <w:tr w14:paraId="3E7DA6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1961" w:type="dxa"/>
            <w:vAlign w:val="top"/>
          </w:tcPr>
          <w:p w14:paraId="1C6AA9D0">
            <w:pPr>
              <w:pStyle w:val="6"/>
              <w:spacing w:before="77" w:line="228" w:lineRule="auto"/>
              <w:ind w:left="778"/>
              <w:rPr>
                <w:sz w:val="20"/>
                <w:szCs w:val="20"/>
              </w:rPr>
            </w:pPr>
            <w:r>
              <w:rPr>
                <w:spacing w:val="3"/>
                <w:sz w:val="20"/>
                <w:szCs w:val="20"/>
              </w:rPr>
              <w:t>数量</w:t>
            </w:r>
          </w:p>
        </w:tc>
        <w:tc>
          <w:tcPr>
            <w:tcW w:w="2361" w:type="dxa"/>
            <w:vAlign w:val="top"/>
          </w:tcPr>
          <w:p w14:paraId="077CEA17">
            <w:pPr>
              <w:spacing w:before="117" w:line="186" w:lineRule="auto"/>
              <w:ind w:left="729"/>
              <w:rPr>
                <w:rFonts w:ascii="Calibri" w:hAnsi="Calibri" w:eastAsia="Calibri" w:cs="Calibri"/>
                <w:sz w:val="20"/>
                <w:szCs w:val="20"/>
              </w:rPr>
            </w:pPr>
            <w:r>
              <w:rPr>
                <w:rFonts w:ascii="Calibri" w:hAnsi="Calibri" w:eastAsia="Calibri" w:cs="Calibri"/>
                <w:spacing w:val="4"/>
                <w:sz w:val="20"/>
                <w:szCs w:val="20"/>
              </w:rPr>
              <w:t>434439.69</w:t>
            </w:r>
          </w:p>
        </w:tc>
        <w:tc>
          <w:tcPr>
            <w:tcW w:w="2229" w:type="dxa"/>
            <w:vAlign w:val="top"/>
          </w:tcPr>
          <w:p w14:paraId="72913718">
            <w:pPr>
              <w:spacing w:before="117" w:line="186" w:lineRule="auto"/>
              <w:ind w:left="826"/>
              <w:rPr>
                <w:rFonts w:ascii="Calibri" w:hAnsi="Calibri" w:eastAsia="Calibri" w:cs="Calibri"/>
                <w:sz w:val="20"/>
                <w:szCs w:val="20"/>
              </w:rPr>
            </w:pPr>
            <w:r>
              <w:rPr>
                <w:rFonts w:ascii="Calibri" w:hAnsi="Calibri" w:eastAsia="Calibri" w:cs="Calibri"/>
                <w:spacing w:val="3"/>
                <w:sz w:val="20"/>
                <w:szCs w:val="20"/>
              </w:rPr>
              <w:t>0.5568</w:t>
            </w:r>
          </w:p>
        </w:tc>
        <w:tc>
          <w:tcPr>
            <w:tcW w:w="2533" w:type="dxa"/>
            <w:vAlign w:val="top"/>
          </w:tcPr>
          <w:p w14:paraId="2B23EE3D">
            <w:pPr>
              <w:spacing w:before="117" w:line="186" w:lineRule="auto"/>
              <w:ind w:left="824"/>
              <w:rPr>
                <w:rFonts w:ascii="Calibri" w:hAnsi="Calibri" w:eastAsia="Calibri" w:cs="Calibri"/>
                <w:sz w:val="20"/>
                <w:szCs w:val="20"/>
              </w:rPr>
            </w:pPr>
            <w:r>
              <w:rPr>
                <w:rFonts w:ascii="Calibri" w:hAnsi="Calibri" w:eastAsia="Calibri" w:cs="Calibri"/>
                <w:spacing w:val="3"/>
                <w:sz w:val="20"/>
                <w:szCs w:val="20"/>
              </w:rPr>
              <w:t>241896.02</w:t>
            </w:r>
          </w:p>
        </w:tc>
      </w:tr>
      <w:tr w14:paraId="042F20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1" w:hRule="atLeast"/>
        </w:trPr>
        <w:tc>
          <w:tcPr>
            <w:tcW w:w="9084" w:type="dxa"/>
            <w:gridSpan w:val="4"/>
            <w:vAlign w:val="top"/>
          </w:tcPr>
          <w:p w14:paraId="651AEC18">
            <w:pPr>
              <w:pStyle w:val="6"/>
              <w:spacing w:before="80" w:line="228" w:lineRule="auto"/>
              <w:ind w:left="3183"/>
              <w:rPr>
                <w:sz w:val="20"/>
                <w:szCs w:val="20"/>
              </w:rPr>
            </w:pPr>
            <w:r>
              <w:rPr>
                <w:spacing w:val="9"/>
                <w:sz w:val="20"/>
                <w:szCs w:val="20"/>
              </w:rPr>
              <w:t>注：碳排放因子为全国平均值</w:t>
            </w:r>
          </w:p>
        </w:tc>
      </w:tr>
    </w:tbl>
    <w:p w14:paraId="451DB98F">
      <w:pPr>
        <w:spacing w:before="125" w:line="219" w:lineRule="auto"/>
        <w:ind w:left="503"/>
        <w:rPr>
          <w:rFonts w:ascii="宋体" w:hAnsi="宋体" w:eastAsia="宋体" w:cs="宋体"/>
          <w:sz w:val="24"/>
          <w:szCs w:val="24"/>
        </w:rPr>
      </w:pPr>
      <w:r>
        <w:rPr>
          <w:rFonts w:ascii="宋体" w:hAnsi="宋体" w:eastAsia="宋体" w:cs="宋体"/>
          <w:spacing w:val="-1"/>
          <w:sz w:val="24"/>
          <w:szCs w:val="24"/>
        </w:rPr>
        <w:t>项目不涉及外购热力，项目电炉循环水余热供暖，供暖自产自用，</w:t>
      </w:r>
    </w:p>
    <w:p w14:paraId="18E0459F">
      <w:pPr>
        <w:spacing w:before="204" w:line="219" w:lineRule="auto"/>
        <w:ind w:left="501"/>
        <w:rPr>
          <w:rFonts w:ascii="宋体" w:hAnsi="宋体" w:eastAsia="宋体" w:cs="宋体"/>
          <w:sz w:val="24"/>
          <w:szCs w:val="24"/>
        </w:rPr>
      </w:pPr>
      <w:r>
        <w:rPr>
          <w:rFonts w:ascii="宋体" w:hAnsi="宋体" w:eastAsia="宋体" w:cs="宋体"/>
          <w:spacing w:val="-1"/>
          <w:sz w:val="24"/>
          <w:szCs w:val="24"/>
        </w:rPr>
        <w:t>完全可以满足项目用热需求。</w:t>
      </w:r>
    </w:p>
    <w:p w14:paraId="1EC6548E">
      <w:pPr>
        <w:spacing w:before="205" w:line="219" w:lineRule="auto"/>
        <w:ind w:left="51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4</w:t>
      </w:r>
      <w:r>
        <w:rPr>
          <w:rFonts w:ascii="宋体" w:hAnsi="宋体" w:eastAsia="宋体" w:cs="宋体"/>
          <w:spacing w:val="-2"/>
          <w:sz w:val="24"/>
          <w:szCs w:val="24"/>
        </w:rPr>
        <w:t>）工业生产过程排放</w:t>
      </w:r>
    </w:p>
    <w:p w14:paraId="198910AB">
      <w:pPr>
        <w:spacing w:before="205" w:line="349" w:lineRule="auto"/>
        <w:ind w:left="19" w:right="86" w:firstLine="482"/>
        <w:rPr>
          <w:rFonts w:ascii="宋体" w:hAnsi="宋体" w:eastAsia="宋体" w:cs="宋体"/>
          <w:sz w:val="24"/>
          <w:szCs w:val="24"/>
        </w:rPr>
      </w:pPr>
      <w:r>
        <w:rPr>
          <w:rFonts w:ascii="宋体" w:hAnsi="宋体" w:eastAsia="宋体" w:cs="宋体"/>
          <w:sz w:val="24"/>
          <w:szCs w:val="24"/>
        </w:rPr>
        <w:t>工业生产过程温室气体排放量</w:t>
      </w:r>
      <w:r>
        <w:rPr>
          <w:rFonts w:ascii="宋体" w:hAnsi="宋体" w:eastAsia="宋体" w:cs="宋体"/>
          <w:spacing w:val="-54"/>
          <w:sz w:val="24"/>
          <w:szCs w:val="24"/>
        </w:rPr>
        <w:t xml:space="preserve"> </w:t>
      </w:r>
      <w:r>
        <w:rPr>
          <w:rFonts w:ascii="Times New Roman" w:hAnsi="Times New Roman" w:eastAsia="Times New Roman" w:cs="Times New Roman"/>
          <w:sz w:val="24"/>
          <w:szCs w:val="24"/>
        </w:rPr>
        <w:t>E</w:t>
      </w:r>
      <w:r>
        <w:rPr>
          <w:rFonts w:ascii="Times New Roman" w:hAnsi="Times New Roman" w:eastAsia="Times New Roman" w:cs="Times New Roman"/>
          <w:sz w:val="15"/>
          <w:szCs w:val="15"/>
        </w:rPr>
        <w:t>GHG-</w:t>
      </w:r>
      <w:r>
        <w:rPr>
          <w:rFonts w:ascii="宋体" w:hAnsi="宋体" w:eastAsia="宋体" w:cs="宋体"/>
          <w:sz w:val="12"/>
          <w:szCs w:val="12"/>
        </w:rPr>
        <w:t>过程</w:t>
      </w:r>
      <w:r>
        <w:rPr>
          <w:rFonts w:ascii="宋体" w:hAnsi="宋体" w:eastAsia="宋体" w:cs="宋体"/>
          <w:sz w:val="24"/>
          <w:szCs w:val="24"/>
        </w:rPr>
        <w:t>等于工业生产过程中不同</w:t>
      </w:r>
      <w:r>
        <w:rPr>
          <w:rFonts w:ascii="宋体" w:hAnsi="宋体" w:eastAsia="宋体" w:cs="宋体"/>
          <w:spacing w:val="-1"/>
          <w:sz w:val="24"/>
          <w:szCs w:val="24"/>
        </w:rPr>
        <w:t>种类的温室气体排</w:t>
      </w:r>
      <w:r>
        <w:rPr>
          <w:rFonts w:ascii="宋体" w:hAnsi="宋体" w:eastAsia="宋体" w:cs="宋体"/>
          <w:sz w:val="24"/>
          <w:szCs w:val="24"/>
        </w:rPr>
        <w:t xml:space="preserve"> </w:t>
      </w:r>
      <w:r>
        <w:rPr>
          <w:rFonts w:ascii="宋体" w:hAnsi="宋体" w:eastAsia="宋体" w:cs="宋体"/>
          <w:spacing w:val="-4"/>
          <w:sz w:val="24"/>
          <w:szCs w:val="24"/>
        </w:rPr>
        <w:t>放折算成</w:t>
      </w:r>
      <w:r>
        <w:rPr>
          <w:rFonts w:ascii="宋体" w:hAnsi="宋体" w:eastAsia="宋体" w:cs="宋体"/>
          <w:spacing w:val="-40"/>
          <w:sz w:val="24"/>
          <w:szCs w:val="24"/>
        </w:rPr>
        <w:t xml:space="preserve"> </w:t>
      </w:r>
      <w:r>
        <w:rPr>
          <w:rFonts w:ascii="Times New Roman" w:hAnsi="Times New Roman" w:eastAsia="Times New Roman" w:cs="Times New Roman"/>
          <w:spacing w:val="-4"/>
          <w:sz w:val="24"/>
          <w:szCs w:val="24"/>
        </w:rPr>
        <w:t>CO</w:t>
      </w:r>
      <w:r>
        <w:rPr>
          <w:rFonts w:ascii="Times New Roman" w:hAnsi="Times New Roman" w:eastAsia="Times New Roman" w:cs="Times New Roman"/>
          <w:spacing w:val="-4"/>
          <w:position w:val="-1"/>
          <w:sz w:val="15"/>
          <w:szCs w:val="15"/>
        </w:rPr>
        <w:t>2</w:t>
      </w:r>
      <w:r>
        <w:rPr>
          <w:rFonts w:ascii="Times New Roman" w:hAnsi="Times New Roman" w:eastAsia="Times New Roman" w:cs="Times New Roman"/>
          <w:spacing w:val="24"/>
          <w:w w:val="101"/>
          <w:position w:val="-1"/>
          <w:sz w:val="15"/>
          <w:szCs w:val="15"/>
        </w:rPr>
        <w:t xml:space="preserve"> </w:t>
      </w:r>
      <w:r>
        <w:rPr>
          <w:rFonts w:ascii="宋体" w:hAnsi="宋体" w:eastAsia="宋体" w:cs="宋体"/>
          <w:spacing w:val="-4"/>
          <w:sz w:val="24"/>
          <w:szCs w:val="24"/>
        </w:rPr>
        <w:t>当量后的和：</w:t>
      </w:r>
    </w:p>
    <w:p w14:paraId="7665CA6B">
      <w:pPr>
        <w:spacing w:line="1519" w:lineRule="exact"/>
        <w:ind w:firstLine="2446"/>
      </w:pPr>
      <w:r>
        <w:rPr>
          <w:position w:val="-30"/>
        </w:rPr>
        <w:drawing>
          <wp:inline distT="0" distB="0" distL="0" distR="0">
            <wp:extent cx="2663825" cy="964565"/>
            <wp:effectExtent l="0" t="0" r="0" b="0"/>
            <wp:docPr id="264" name="IM 264"/>
            <wp:cNvGraphicFramePr/>
            <a:graphic xmlns:a="http://schemas.openxmlformats.org/drawingml/2006/main">
              <a:graphicData uri="http://schemas.openxmlformats.org/drawingml/2006/picture">
                <pic:pic xmlns:pic="http://schemas.openxmlformats.org/drawingml/2006/picture">
                  <pic:nvPicPr>
                    <pic:cNvPr id="264" name="IM 264"/>
                    <pic:cNvPicPr/>
                  </pic:nvPicPr>
                  <pic:blipFill>
                    <a:blip r:embed="rId702"/>
                    <a:stretch>
                      <a:fillRect/>
                    </a:stretch>
                  </pic:blipFill>
                  <pic:spPr>
                    <a:xfrm>
                      <a:off x="0" y="0"/>
                      <a:ext cx="2663951" cy="964691"/>
                    </a:xfrm>
                    <a:prstGeom prst="rect">
                      <a:avLst/>
                    </a:prstGeom>
                  </pic:spPr>
                </pic:pic>
              </a:graphicData>
            </a:graphic>
          </wp:inline>
        </w:drawing>
      </w:r>
    </w:p>
    <w:p w14:paraId="47862CD8">
      <w:pPr>
        <w:spacing w:before="178" w:line="360" w:lineRule="auto"/>
        <w:ind w:left="614" w:right="822" w:hanging="113"/>
        <w:rPr>
          <w:rFonts w:ascii="宋体" w:hAnsi="宋体" w:eastAsia="宋体" w:cs="宋体"/>
          <w:sz w:val="24"/>
          <w:szCs w:val="24"/>
        </w:rPr>
      </w:pPr>
      <w:r>
        <w:rPr>
          <w:rFonts w:ascii="宋体" w:hAnsi="宋体" w:eastAsia="宋体" w:cs="宋体"/>
          <w:spacing w:val="-2"/>
          <w:sz w:val="24"/>
          <w:szCs w:val="24"/>
        </w:rPr>
        <w:t xml:space="preserve">上式中： </w:t>
      </w:r>
      <w:r>
        <w:rPr>
          <w:rFonts w:ascii="Times New Roman" w:hAnsi="Times New Roman" w:eastAsia="Times New Roman" w:cs="Times New Roman"/>
          <w:spacing w:val="-2"/>
          <w:sz w:val="24"/>
          <w:szCs w:val="24"/>
        </w:rPr>
        <w:t>E</w:t>
      </w:r>
      <w:r>
        <w:rPr>
          <w:rFonts w:ascii="Times New Roman" w:hAnsi="Times New Roman" w:eastAsia="Times New Roman" w:cs="Times New Roman"/>
          <w:spacing w:val="-2"/>
          <w:sz w:val="15"/>
          <w:szCs w:val="15"/>
        </w:rPr>
        <w:t>CO2-</w:t>
      </w:r>
      <w:r>
        <w:rPr>
          <w:rFonts w:ascii="宋体" w:hAnsi="宋体" w:eastAsia="宋体" w:cs="宋体"/>
          <w:spacing w:val="-2"/>
          <w:sz w:val="12"/>
          <w:szCs w:val="12"/>
        </w:rPr>
        <w:t>过程</w:t>
      </w:r>
      <w:r>
        <w:rPr>
          <w:rFonts w:ascii="宋体" w:hAnsi="宋体" w:eastAsia="宋体" w:cs="宋体"/>
          <w:spacing w:val="-2"/>
          <w:sz w:val="24"/>
          <w:szCs w:val="24"/>
        </w:rPr>
        <w:t>为化石燃料和其他碳氢化合物用作原材料产生</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9"/>
          <w:position w:val="-1"/>
          <w:sz w:val="15"/>
          <w:szCs w:val="15"/>
        </w:rPr>
        <w:t xml:space="preserve"> </w:t>
      </w:r>
      <w:r>
        <w:rPr>
          <w:rFonts w:ascii="宋体" w:hAnsi="宋体" w:eastAsia="宋体" w:cs="宋体"/>
          <w:spacing w:val="-3"/>
          <w:sz w:val="24"/>
          <w:szCs w:val="24"/>
        </w:rPr>
        <w:t>排放；</w:t>
      </w:r>
      <w:r>
        <w:rPr>
          <w:rFonts w:ascii="宋体" w:hAnsi="宋体" w:eastAsia="宋体" w:cs="宋体"/>
          <w:sz w:val="24"/>
          <w:szCs w:val="24"/>
        </w:rPr>
        <w:t xml:space="preserve"> </w:t>
      </w:r>
      <w:r>
        <w:rPr>
          <w:rFonts w:ascii="Times New Roman" w:hAnsi="Times New Roman" w:eastAsia="Times New Roman" w:cs="Times New Roman"/>
          <w:sz w:val="24"/>
          <w:szCs w:val="24"/>
        </w:rPr>
        <w:t>E</w:t>
      </w:r>
      <w:r>
        <w:rPr>
          <w:rFonts w:ascii="Times New Roman" w:hAnsi="Times New Roman" w:eastAsia="Times New Roman" w:cs="Times New Roman"/>
          <w:sz w:val="15"/>
          <w:szCs w:val="15"/>
        </w:rPr>
        <w:t>CO2-</w:t>
      </w:r>
      <w:r>
        <w:rPr>
          <w:rFonts w:ascii="宋体" w:hAnsi="宋体" w:eastAsia="宋体" w:cs="宋体"/>
          <w:sz w:val="12"/>
          <w:szCs w:val="12"/>
        </w:rPr>
        <w:t>碳酸盐</w:t>
      </w:r>
      <w:r>
        <w:rPr>
          <w:rFonts w:ascii="宋体" w:hAnsi="宋体" w:eastAsia="宋体" w:cs="宋体"/>
          <w:sz w:val="24"/>
          <w:szCs w:val="24"/>
        </w:rPr>
        <w:t>为碳酸盐使用过程中的</w:t>
      </w:r>
      <w:r>
        <w:rPr>
          <w:rFonts w:ascii="宋体" w:hAnsi="宋体" w:eastAsia="宋体" w:cs="宋体"/>
          <w:spacing w:val="-51"/>
          <w:sz w:val="24"/>
          <w:szCs w:val="24"/>
        </w:rPr>
        <w:t xml:space="preserve"> </w:t>
      </w:r>
      <w:r>
        <w:rPr>
          <w:rFonts w:ascii="Times New Roman" w:hAnsi="Times New Roman" w:eastAsia="Times New Roman" w:cs="Times New Roman"/>
          <w:sz w:val="24"/>
          <w:szCs w:val="24"/>
        </w:rPr>
        <w:t>CO</w:t>
      </w:r>
      <w:r>
        <w:rPr>
          <w:rFonts w:ascii="Times New Roman" w:hAnsi="Times New Roman" w:eastAsia="Times New Roman" w:cs="Times New Roman"/>
          <w:position w:val="-1"/>
          <w:sz w:val="15"/>
          <w:szCs w:val="15"/>
        </w:rPr>
        <w:t xml:space="preserve">2 </w:t>
      </w:r>
      <w:r>
        <w:rPr>
          <w:rFonts w:ascii="宋体" w:hAnsi="宋体" w:eastAsia="宋体" w:cs="宋体"/>
          <w:spacing w:val="-1"/>
          <w:sz w:val="24"/>
          <w:szCs w:val="24"/>
        </w:rPr>
        <w:t>排放；</w:t>
      </w:r>
    </w:p>
    <w:p w14:paraId="0001D1C7">
      <w:pPr>
        <w:spacing w:before="45" w:line="232" w:lineRule="auto"/>
        <w:ind w:left="615"/>
        <w:rPr>
          <w:rFonts w:ascii="宋体" w:hAnsi="宋体" w:eastAsia="宋体" w:cs="宋体"/>
          <w:sz w:val="24"/>
          <w:szCs w:val="24"/>
        </w:rPr>
      </w:pPr>
      <w:r>
        <w:rPr>
          <w:rFonts w:ascii="Times New Roman" w:hAnsi="Times New Roman" w:eastAsia="Times New Roman" w:cs="Times New Roman"/>
          <w:sz w:val="24"/>
          <w:szCs w:val="24"/>
        </w:rPr>
        <w:t>E</w:t>
      </w:r>
      <w:r>
        <w:rPr>
          <w:rFonts w:ascii="Times New Roman" w:hAnsi="Times New Roman" w:eastAsia="Times New Roman" w:cs="Times New Roman"/>
          <w:sz w:val="15"/>
          <w:szCs w:val="15"/>
        </w:rPr>
        <w:t>NO2-</w:t>
      </w:r>
      <w:r>
        <w:rPr>
          <w:rFonts w:ascii="宋体" w:hAnsi="宋体" w:eastAsia="宋体" w:cs="宋体"/>
          <w:sz w:val="12"/>
          <w:szCs w:val="12"/>
        </w:rPr>
        <w:t>硝酸</w:t>
      </w:r>
      <w:r>
        <w:rPr>
          <w:rFonts w:ascii="宋体" w:hAnsi="宋体" w:eastAsia="宋体" w:cs="宋体"/>
          <w:sz w:val="24"/>
          <w:szCs w:val="24"/>
        </w:rPr>
        <w:t>为硝酸使用过程中的</w:t>
      </w:r>
      <w:r>
        <w:rPr>
          <w:rFonts w:ascii="宋体" w:hAnsi="宋体" w:eastAsia="宋体" w:cs="宋体"/>
          <w:spacing w:val="-55"/>
          <w:sz w:val="24"/>
          <w:szCs w:val="24"/>
        </w:rPr>
        <w:t xml:space="preserve"> </w:t>
      </w:r>
      <w:r>
        <w:rPr>
          <w:rFonts w:ascii="Times New Roman" w:hAnsi="Times New Roman" w:eastAsia="Times New Roman" w:cs="Times New Roman"/>
          <w:sz w:val="24"/>
          <w:szCs w:val="24"/>
        </w:rPr>
        <w:t>N</w:t>
      </w:r>
      <w:r>
        <w:rPr>
          <w:rFonts w:ascii="Times New Roman" w:hAnsi="Times New Roman" w:eastAsia="Times New Roman" w:cs="Times New Roman"/>
          <w:position w:val="-1"/>
          <w:sz w:val="15"/>
          <w:szCs w:val="15"/>
        </w:rPr>
        <w:t>2</w:t>
      </w:r>
      <w:r>
        <w:rPr>
          <w:rFonts w:ascii="Times New Roman" w:hAnsi="Times New Roman" w:eastAsia="Times New Roman" w:cs="Times New Roman"/>
          <w:sz w:val="24"/>
          <w:szCs w:val="24"/>
        </w:rPr>
        <w:t xml:space="preserve">O </w:t>
      </w:r>
      <w:r>
        <w:rPr>
          <w:rFonts w:ascii="宋体" w:hAnsi="宋体" w:eastAsia="宋体" w:cs="宋体"/>
          <w:sz w:val="24"/>
          <w:szCs w:val="24"/>
        </w:rPr>
        <w:t>排放；</w:t>
      </w:r>
    </w:p>
    <w:p w14:paraId="1D504C6D">
      <w:pPr>
        <w:spacing w:before="188" w:line="232" w:lineRule="auto"/>
        <w:ind w:left="615"/>
        <w:rPr>
          <w:rFonts w:ascii="宋体" w:hAnsi="宋体" w:eastAsia="宋体" w:cs="宋体"/>
          <w:sz w:val="24"/>
          <w:szCs w:val="24"/>
        </w:rPr>
      </w:pPr>
      <w:r>
        <w:rPr>
          <w:rFonts w:ascii="Times New Roman" w:hAnsi="Times New Roman" w:eastAsia="Times New Roman" w:cs="Times New Roman"/>
          <w:spacing w:val="-1"/>
          <w:sz w:val="24"/>
          <w:szCs w:val="24"/>
        </w:rPr>
        <w:t>E</w:t>
      </w:r>
      <w:r>
        <w:rPr>
          <w:rFonts w:ascii="Times New Roman" w:hAnsi="Times New Roman" w:eastAsia="Times New Roman" w:cs="Times New Roman"/>
          <w:spacing w:val="-1"/>
          <w:sz w:val="15"/>
          <w:szCs w:val="15"/>
        </w:rPr>
        <w:t>NO2-</w:t>
      </w:r>
      <w:r>
        <w:rPr>
          <w:rFonts w:ascii="Times New Roman" w:hAnsi="Times New Roman" w:eastAsia="Times New Roman" w:cs="Times New Roman"/>
          <w:spacing w:val="-4"/>
          <w:sz w:val="15"/>
          <w:szCs w:val="15"/>
        </w:rPr>
        <w:t xml:space="preserve"> </w:t>
      </w:r>
      <w:r>
        <w:rPr>
          <w:rFonts w:ascii="宋体" w:hAnsi="宋体" w:eastAsia="宋体" w:cs="宋体"/>
          <w:spacing w:val="-1"/>
          <w:sz w:val="12"/>
          <w:szCs w:val="12"/>
        </w:rPr>
        <w:t>己二酸</w:t>
      </w:r>
      <w:r>
        <w:rPr>
          <w:rFonts w:ascii="宋体" w:hAnsi="宋体" w:eastAsia="宋体" w:cs="宋体"/>
          <w:spacing w:val="-1"/>
          <w:sz w:val="24"/>
          <w:szCs w:val="24"/>
        </w:rPr>
        <w:t>为己二酸使用过程中的</w:t>
      </w:r>
      <w:r>
        <w:rPr>
          <w:rFonts w:ascii="宋体" w:hAnsi="宋体" w:eastAsia="宋体" w:cs="宋体"/>
          <w:spacing w:val="-63"/>
          <w:sz w:val="24"/>
          <w:szCs w:val="24"/>
        </w:rPr>
        <w:t xml:space="preserve"> </w:t>
      </w:r>
      <w:r>
        <w:rPr>
          <w:rFonts w:ascii="Times New Roman" w:hAnsi="Times New Roman" w:eastAsia="Times New Roman" w:cs="Times New Roman"/>
          <w:spacing w:val="-1"/>
          <w:sz w:val="24"/>
          <w:szCs w:val="24"/>
        </w:rPr>
        <w:t>N</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 xml:space="preserve">O </w:t>
      </w:r>
      <w:r>
        <w:rPr>
          <w:rFonts w:ascii="宋体" w:hAnsi="宋体" w:eastAsia="宋体" w:cs="宋体"/>
          <w:spacing w:val="-1"/>
          <w:sz w:val="24"/>
          <w:szCs w:val="24"/>
        </w:rPr>
        <w:t>排放；</w:t>
      </w:r>
    </w:p>
    <w:p w14:paraId="1B290369">
      <w:pPr>
        <w:spacing w:before="184" w:line="363" w:lineRule="auto"/>
        <w:ind w:left="25" w:right="86" w:firstLine="593"/>
        <w:rPr>
          <w:rFonts w:ascii="宋体" w:hAnsi="宋体" w:eastAsia="宋体" w:cs="宋体"/>
          <w:sz w:val="24"/>
          <w:szCs w:val="24"/>
        </w:rPr>
      </w:pPr>
      <w:r>
        <w:rPr>
          <w:rFonts w:ascii="Times New Roman" w:hAnsi="Times New Roman" w:eastAsia="Times New Roman" w:cs="Times New Roman"/>
          <w:spacing w:val="-1"/>
          <w:sz w:val="24"/>
          <w:szCs w:val="24"/>
        </w:rPr>
        <w:t>GWP</w:t>
      </w:r>
      <w:r>
        <w:rPr>
          <w:rFonts w:ascii="Times New Roman" w:hAnsi="Times New Roman" w:eastAsia="Times New Roman" w:cs="Times New Roman"/>
          <w:spacing w:val="-1"/>
          <w:position w:val="-1"/>
          <w:sz w:val="15"/>
          <w:szCs w:val="15"/>
        </w:rPr>
        <w:t>N2O</w:t>
      </w:r>
      <w:r>
        <w:rPr>
          <w:rFonts w:ascii="Times New Roman" w:hAnsi="Times New Roman" w:eastAsia="Times New Roman" w:cs="Times New Roman"/>
          <w:spacing w:val="14"/>
          <w:position w:val="-1"/>
          <w:sz w:val="15"/>
          <w:szCs w:val="15"/>
        </w:rPr>
        <w:t xml:space="preserve"> </w:t>
      </w:r>
      <w:r>
        <w:rPr>
          <w:rFonts w:ascii="宋体" w:hAnsi="宋体" w:eastAsia="宋体" w:cs="宋体"/>
          <w:spacing w:val="-1"/>
          <w:sz w:val="24"/>
          <w:szCs w:val="24"/>
        </w:rPr>
        <w:t>为</w:t>
      </w:r>
      <w:r>
        <w:rPr>
          <w:rFonts w:ascii="宋体" w:hAnsi="宋体" w:eastAsia="宋体" w:cs="宋体"/>
          <w:spacing w:val="-63"/>
          <w:sz w:val="24"/>
          <w:szCs w:val="24"/>
        </w:rPr>
        <w:t xml:space="preserve"> </w:t>
      </w:r>
      <w:r>
        <w:rPr>
          <w:rFonts w:ascii="Times New Roman" w:hAnsi="Times New Roman" w:eastAsia="Times New Roman" w:cs="Times New Roman"/>
          <w:spacing w:val="-1"/>
          <w:sz w:val="24"/>
          <w:szCs w:val="24"/>
        </w:rPr>
        <w:t>N</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 xml:space="preserve">O </w:t>
      </w:r>
      <w:r>
        <w:rPr>
          <w:rFonts w:ascii="宋体" w:hAnsi="宋体" w:eastAsia="宋体" w:cs="宋体"/>
          <w:spacing w:val="-1"/>
          <w:sz w:val="24"/>
          <w:szCs w:val="24"/>
        </w:rPr>
        <w:t>相比</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 xml:space="preserve">2  </w:t>
      </w:r>
      <w:r>
        <w:rPr>
          <w:rFonts w:ascii="宋体" w:hAnsi="宋体" w:eastAsia="宋体" w:cs="宋体"/>
          <w:spacing w:val="-1"/>
          <w:sz w:val="24"/>
          <w:szCs w:val="24"/>
        </w:rPr>
        <w:t>的全球变暖潜势（</w:t>
      </w:r>
      <w:r>
        <w:rPr>
          <w:rFonts w:ascii="Times New Roman" w:hAnsi="Times New Roman" w:eastAsia="Times New Roman" w:cs="Times New Roman"/>
          <w:spacing w:val="-1"/>
          <w:sz w:val="24"/>
          <w:szCs w:val="24"/>
        </w:rPr>
        <w:t>GWP</w:t>
      </w:r>
      <w:r>
        <w:rPr>
          <w:rFonts w:ascii="宋体" w:hAnsi="宋体" w:eastAsia="宋体" w:cs="宋体"/>
          <w:spacing w:val="-1"/>
          <w:sz w:val="24"/>
          <w:szCs w:val="24"/>
        </w:rPr>
        <w:t>）值。根</w:t>
      </w:r>
      <w:r>
        <w:rPr>
          <w:rFonts w:ascii="宋体" w:hAnsi="宋体" w:eastAsia="宋体" w:cs="宋体"/>
          <w:spacing w:val="-2"/>
          <w:sz w:val="24"/>
          <w:szCs w:val="24"/>
        </w:rPr>
        <w:t>据</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 xml:space="preserve">IPCC </w:t>
      </w:r>
      <w:r>
        <w:rPr>
          <w:rFonts w:ascii="宋体" w:hAnsi="宋体" w:eastAsia="宋体" w:cs="宋体"/>
          <w:spacing w:val="-2"/>
          <w:sz w:val="24"/>
          <w:szCs w:val="24"/>
        </w:rPr>
        <w:t>第二次评估报</w:t>
      </w:r>
      <w:r>
        <w:rPr>
          <w:rFonts w:ascii="宋体" w:hAnsi="宋体" w:eastAsia="宋体" w:cs="宋体"/>
          <w:sz w:val="24"/>
          <w:szCs w:val="24"/>
        </w:rPr>
        <w:t xml:space="preserve"> </w:t>
      </w:r>
      <w:r>
        <w:rPr>
          <w:rFonts w:ascii="宋体" w:hAnsi="宋体" w:eastAsia="宋体" w:cs="宋体"/>
          <w:spacing w:val="-3"/>
          <w:sz w:val="24"/>
          <w:szCs w:val="24"/>
        </w:rPr>
        <w:t>告，</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年时间尺度内</w:t>
      </w:r>
      <w:r>
        <w:rPr>
          <w:rFonts w:ascii="宋体" w:hAnsi="宋体" w:eastAsia="宋体" w:cs="宋体"/>
          <w:spacing w:val="-24"/>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20"/>
          <w:w w:val="101"/>
          <w:sz w:val="24"/>
          <w:szCs w:val="24"/>
        </w:rPr>
        <w:t xml:space="preserve"> </w:t>
      </w:r>
      <w:r>
        <w:rPr>
          <w:rFonts w:ascii="宋体" w:hAnsi="宋体" w:eastAsia="宋体" w:cs="宋体"/>
          <w:spacing w:val="-3"/>
          <w:sz w:val="24"/>
          <w:szCs w:val="24"/>
        </w:rPr>
        <w:t>吨</w:t>
      </w:r>
      <w:r>
        <w:rPr>
          <w:rFonts w:ascii="宋体" w:hAnsi="宋体" w:eastAsia="宋体" w:cs="宋体"/>
          <w:spacing w:val="-63"/>
          <w:sz w:val="24"/>
          <w:szCs w:val="24"/>
        </w:rPr>
        <w:t xml:space="preserve"> </w:t>
      </w:r>
      <w:r>
        <w:rPr>
          <w:rFonts w:ascii="Times New Roman" w:hAnsi="Times New Roman" w:eastAsia="Times New Roman" w:cs="Times New Roman"/>
          <w:spacing w:val="-3"/>
          <w:sz w:val="24"/>
          <w:szCs w:val="24"/>
        </w:rPr>
        <w:t>N</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3"/>
          <w:sz w:val="24"/>
          <w:szCs w:val="24"/>
        </w:rPr>
        <w:t xml:space="preserve">O </w:t>
      </w:r>
      <w:r>
        <w:rPr>
          <w:rFonts w:ascii="宋体" w:hAnsi="宋体" w:eastAsia="宋体" w:cs="宋体"/>
          <w:spacing w:val="-3"/>
          <w:sz w:val="24"/>
          <w:szCs w:val="24"/>
        </w:rPr>
        <w:t>相当于</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310</w:t>
      </w:r>
      <w:r>
        <w:rPr>
          <w:rFonts w:ascii="Times New Roman" w:hAnsi="Times New Roman" w:eastAsia="Times New Roman" w:cs="Times New Roman"/>
          <w:spacing w:val="20"/>
          <w:w w:val="101"/>
          <w:sz w:val="24"/>
          <w:szCs w:val="24"/>
        </w:rPr>
        <w:t xml:space="preserve"> </w:t>
      </w:r>
      <w:r>
        <w:rPr>
          <w:rFonts w:ascii="宋体" w:hAnsi="宋体" w:eastAsia="宋体" w:cs="宋体"/>
          <w:spacing w:val="-3"/>
          <w:sz w:val="24"/>
          <w:szCs w:val="24"/>
        </w:rPr>
        <w:t>吨</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CO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13"/>
          <w:position w:val="-1"/>
          <w:sz w:val="15"/>
          <w:szCs w:val="15"/>
        </w:rPr>
        <w:t xml:space="preserve"> </w:t>
      </w:r>
      <w:r>
        <w:rPr>
          <w:rFonts w:ascii="宋体" w:hAnsi="宋体" w:eastAsia="宋体" w:cs="宋体"/>
          <w:spacing w:val="-3"/>
          <w:sz w:val="24"/>
          <w:szCs w:val="24"/>
        </w:rPr>
        <w:t>增温能力，因此</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GWP</w:t>
      </w:r>
      <w:r>
        <w:rPr>
          <w:rFonts w:ascii="Times New Roman" w:hAnsi="Times New Roman" w:eastAsia="Times New Roman" w:cs="Times New Roman"/>
          <w:spacing w:val="-3"/>
          <w:position w:val="-1"/>
          <w:sz w:val="15"/>
          <w:szCs w:val="15"/>
        </w:rPr>
        <w:t>N2O</w:t>
      </w:r>
      <w:r>
        <w:rPr>
          <w:rFonts w:ascii="Times New Roman" w:hAnsi="Times New Roman" w:eastAsia="Times New Roman" w:cs="Times New Roman"/>
          <w:spacing w:val="13"/>
          <w:position w:val="-1"/>
          <w:sz w:val="15"/>
          <w:szCs w:val="15"/>
        </w:rPr>
        <w:t xml:space="preserve"> </w:t>
      </w:r>
      <w:r>
        <w:rPr>
          <w:rFonts w:ascii="宋体" w:hAnsi="宋体" w:eastAsia="宋体" w:cs="宋体"/>
          <w:spacing w:val="-3"/>
          <w:sz w:val="24"/>
          <w:szCs w:val="24"/>
        </w:rPr>
        <w:t>等于</w:t>
      </w:r>
      <w:r>
        <w:rPr>
          <w:rFonts w:ascii="宋体" w:hAnsi="宋体" w:eastAsia="宋体" w:cs="宋体"/>
          <w:spacing w:val="-51"/>
          <w:sz w:val="24"/>
          <w:szCs w:val="24"/>
        </w:rPr>
        <w:t xml:space="preserve"> </w:t>
      </w:r>
      <w:r>
        <w:rPr>
          <w:rFonts w:ascii="Times New Roman" w:hAnsi="Times New Roman" w:eastAsia="Times New Roman" w:cs="Times New Roman"/>
          <w:spacing w:val="-3"/>
          <w:sz w:val="24"/>
          <w:szCs w:val="24"/>
        </w:rPr>
        <w:t>310</w:t>
      </w:r>
      <w:r>
        <w:rPr>
          <w:rFonts w:ascii="宋体" w:hAnsi="宋体" w:eastAsia="宋体" w:cs="宋体"/>
          <w:spacing w:val="-3"/>
          <w:sz w:val="24"/>
          <w:szCs w:val="24"/>
        </w:rPr>
        <w:t>。</w:t>
      </w:r>
    </w:p>
    <w:p w14:paraId="6CB68124">
      <w:pPr>
        <w:spacing w:line="363" w:lineRule="auto"/>
        <w:rPr>
          <w:rFonts w:ascii="宋体" w:hAnsi="宋体" w:eastAsia="宋体" w:cs="宋体"/>
          <w:sz w:val="24"/>
          <w:szCs w:val="24"/>
        </w:rPr>
        <w:sectPr>
          <w:footerReference r:id="rId515" w:type="default"/>
          <w:pgSz w:w="11906" w:h="16839"/>
          <w:pgMar w:top="1190" w:right="1408" w:bottom="1221" w:left="1408" w:header="882" w:footer="1059" w:gutter="0"/>
          <w:cols w:space="720" w:num="1"/>
        </w:sectPr>
      </w:pPr>
    </w:p>
    <w:p w14:paraId="206D017E">
      <w:pPr>
        <w:spacing w:line="28" w:lineRule="exact"/>
      </w:pPr>
      <w:r>
        <w:pict>
          <v:shape id="_x0000_s3102" o:spid="_x0000_s3102" style="height:1.45pt;width:453.55pt;" fillcolor="#000000" filled="t" stroked="f" coordsize="9070,29" path="m0,0l9070,0,9070,28,0,28,0,0xe">
            <v:path/>
            <v:fill on="t" focussize="0,0"/>
            <v:stroke on="f"/>
            <v:imagedata o:title=""/>
            <o:lock v:ext="edit"/>
            <w10:wrap type="none"/>
            <w10:anchorlock/>
          </v:shape>
        </w:pict>
      </w:r>
    </w:p>
    <w:p w14:paraId="1F297923">
      <w:pPr>
        <w:pStyle w:val="2"/>
        <w:spacing w:line="243" w:lineRule="auto"/>
      </w:pPr>
    </w:p>
    <w:p w14:paraId="0A912712">
      <w:pPr>
        <w:spacing w:before="78" w:line="373" w:lineRule="auto"/>
        <w:ind w:left="518" w:right="937" w:hanging="29"/>
        <w:rPr>
          <w:rFonts w:ascii="宋体" w:hAnsi="宋体" w:eastAsia="宋体" w:cs="宋体"/>
          <w:sz w:val="24"/>
          <w:szCs w:val="24"/>
        </w:rPr>
      </w:pPr>
      <w:r>
        <w:rPr>
          <w:rFonts w:ascii="宋体" w:hAnsi="宋体" w:eastAsia="宋体" w:cs="宋体"/>
          <w:spacing w:val="-3"/>
          <w:sz w:val="24"/>
          <w:szCs w:val="24"/>
        </w:rPr>
        <w:t>根据项目达产后可年产锰硅合金</w:t>
      </w:r>
      <w:r>
        <w:rPr>
          <w:rFonts w:ascii="宋体" w:hAnsi="宋体" w:eastAsia="宋体" w:cs="宋体"/>
          <w:spacing w:val="-53"/>
          <w:sz w:val="24"/>
          <w:szCs w:val="24"/>
        </w:rPr>
        <w:t xml:space="preserve"> </w:t>
      </w:r>
      <w:r>
        <w:rPr>
          <w:rFonts w:ascii="Times New Roman" w:hAnsi="Times New Roman" w:eastAsia="Times New Roman" w:cs="Times New Roman"/>
          <w:spacing w:val="-3"/>
          <w:sz w:val="24"/>
          <w:szCs w:val="24"/>
        </w:rPr>
        <w:t>450000t</w:t>
      </w:r>
      <w:r>
        <w:rPr>
          <w:rFonts w:ascii="Times New Roman" w:hAnsi="Times New Roman" w:eastAsia="Times New Roman" w:cs="Times New Roman"/>
          <w:spacing w:val="-33"/>
          <w:sz w:val="24"/>
          <w:szCs w:val="24"/>
        </w:rPr>
        <w:t xml:space="preserve"> </w:t>
      </w:r>
      <w:r>
        <w:rPr>
          <w:rFonts w:ascii="宋体" w:hAnsi="宋体" w:eastAsia="宋体" w:cs="宋体"/>
          <w:spacing w:val="-3"/>
          <w:sz w:val="24"/>
          <w:szCs w:val="24"/>
        </w:rPr>
        <w:t>，则氮氧化物年排放量为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1125t</w:t>
      </w:r>
      <w:r>
        <w:rPr>
          <w:rFonts w:ascii="宋体" w:hAnsi="宋体" w:eastAsia="宋体" w:cs="宋体"/>
          <w:spacing w:val="-3"/>
          <w:sz w:val="24"/>
          <w:szCs w:val="24"/>
        </w:rPr>
        <w:t>。</w:t>
      </w:r>
      <w:r>
        <w:rPr>
          <w:rFonts w:ascii="宋体" w:hAnsi="宋体" w:eastAsia="宋体" w:cs="宋体"/>
          <w:sz w:val="24"/>
          <w:szCs w:val="24"/>
        </w:rPr>
        <w:t xml:space="preserve"> </w:t>
      </w:r>
      <w:r>
        <w:rPr>
          <w:rFonts w:ascii="宋体" w:hAnsi="宋体" w:eastAsia="宋体" w:cs="宋体"/>
          <w:spacing w:val="-1"/>
          <w:sz w:val="24"/>
          <w:szCs w:val="24"/>
        </w:rPr>
        <w:t>由以上公式可以计算得出项目达产后的</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E</w:t>
      </w:r>
      <w:r>
        <w:rPr>
          <w:rFonts w:ascii="Times New Roman" w:hAnsi="Times New Roman" w:eastAsia="Times New Roman" w:cs="Times New Roman"/>
          <w:spacing w:val="-1"/>
          <w:sz w:val="15"/>
          <w:szCs w:val="15"/>
        </w:rPr>
        <w:t>GHG-</w:t>
      </w:r>
      <w:r>
        <w:rPr>
          <w:rFonts w:ascii="宋体" w:hAnsi="宋体" w:eastAsia="宋体" w:cs="宋体"/>
          <w:spacing w:val="-1"/>
          <w:sz w:val="12"/>
          <w:szCs w:val="12"/>
        </w:rPr>
        <w:t>过程</w:t>
      </w:r>
      <w:r>
        <w:rPr>
          <w:rFonts w:ascii="宋体" w:hAnsi="宋体" w:eastAsia="宋体" w:cs="宋体"/>
          <w:spacing w:val="-1"/>
          <w:sz w:val="24"/>
          <w:szCs w:val="24"/>
        </w:rPr>
        <w:t>为</w:t>
      </w:r>
      <w:r>
        <w:rPr>
          <w:rFonts w:ascii="宋体" w:hAnsi="宋体" w:eastAsia="宋体" w:cs="宋体"/>
          <w:spacing w:val="-50"/>
          <w:sz w:val="24"/>
          <w:szCs w:val="24"/>
        </w:rPr>
        <w:t xml:space="preserve"> </w:t>
      </w:r>
      <w:r>
        <w:rPr>
          <w:rFonts w:ascii="Times New Roman" w:hAnsi="Times New Roman" w:eastAsia="Times New Roman" w:cs="Times New Roman"/>
          <w:spacing w:val="-1"/>
          <w:sz w:val="24"/>
          <w:szCs w:val="24"/>
        </w:rPr>
        <w:t>348750t</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2</w:t>
      </w:r>
      <w:r>
        <w:rPr>
          <w:rFonts w:ascii="宋体" w:hAnsi="宋体" w:eastAsia="宋体" w:cs="宋体"/>
          <w:spacing w:val="-2"/>
          <w:sz w:val="24"/>
          <w:szCs w:val="24"/>
        </w:rPr>
        <w:t>。</w:t>
      </w:r>
    </w:p>
    <w:p w14:paraId="513E21A8">
      <w:pPr>
        <w:spacing w:before="6" w:line="219"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5</w:t>
      </w:r>
      <w:r>
        <w:rPr>
          <w:rFonts w:ascii="宋体" w:hAnsi="宋体" w:eastAsia="宋体" w:cs="宋体"/>
          <w:spacing w:val="-2"/>
          <w:sz w:val="24"/>
          <w:szCs w:val="24"/>
        </w:rPr>
        <w:t>）工业生产过程排放</w:t>
      </w:r>
    </w:p>
    <w:p w14:paraId="7674F25B">
      <w:pPr>
        <w:spacing w:before="208" w:line="398" w:lineRule="exact"/>
        <w:ind w:firstLine="3005"/>
      </w:pPr>
      <w:r>
        <w:rPr>
          <w:position w:val="-7"/>
        </w:rPr>
        <w:drawing>
          <wp:inline distT="0" distB="0" distL="0" distR="0">
            <wp:extent cx="1943100" cy="252730"/>
            <wp:effectExtent l="0" t="0" r="0" b="0"/>
            <wp:docPr id="266" name="IM 266"/>
            <wp:cNvGraphicFramePr/>
            <a:graphic xmlns:a="http://schemas.openxmlformats.org/drawingml/2006/main">
              <a:graphicData uri="http://schemas.openxmlformats.org/drawingml/2006/picture">
                <pic:pic xmlns:pic="http://schemas.openxmlformats.org/drawingml/2006/picture">
                  <pic:nvPicPr>
                    <pic:cNvPr id="266" name="IM 266"/>
                    <pic:cNvPicPr/>
                  </pic:nvPicPr>
                  <pic:blipFill>
                    <a:blip r:embed="rId703"/>
                    <a:stretch>
                      <a:fillRect/>
                    </a:stretch>
                  </pic:blipFill>
                  <pic:spPr>
                    <a:xfrm>
                      <a:off x="0" y="0"/>
                      <a:ext cx="1943100" cy="252983"/>
                    </a:xfrm>
                    <a:prstGeom prst="rect">
                      <a:avLst/>
                    </a:prstGeom>
                  </pic:spPr>
                </pic:pic>
              </a:graphicData>
            </a:graphic>
          </wp:inline>
        </w:drawing>
      </w:r>
    </w:p>
    <w:p w14:paraId="19AB4C2F">
      <w:pPr>
        <w:spacing w:before="250" w:line="361" w:lineRule="auto"/>
        <w:ind w:left="482" w:right="2427" w:firstLine="12"/>
        <w:rPr>
          <w:rFonts w:ascii="宋体" w:hAnsi="宋体" w:eastAsia="宋体" w:cs="宋体"/>
          <w:sz w:val="24"/>
          <w:szCs w:val="24"/>
        </w:rPr>
      </w:pPr>
      <w:r>
        <w:rPr>
          <w:rFonts w:ascii="宋体" w:hAnsi="宋体" w:eastAsia="宋体" w:cs="宋体"/>
          <w:spacing w:val="-1"/>
          <w:sz w:val="24"/>
          <w:szCs w:val="24"/>
        </w:rPr>
        <w:t>式中</w:t>
      </w:r>
      <w:r>
        <w:rPr>
          <w:rFonts w:ascii="宋体" w:hAnsi="宋体" w:eastAsia="宋体" w:cs="宋体"/>
          <w:spacing w:val="-43"/>
          <w:sz w:val="24"/>
          <w:szCs w:val="24"/>
        </w:rPr>
        <w:t xml:space="preserve"> </w:t>
      </w:r>
      <w:r>
        <w:rPr>
          <w:rFonts w:ascii="Times New Roman" w:hAnsi="Times New Roman" w:eastAsia="Times New Roman" w:cs="Times New Roman"/>
          <w:spacing w:val="-1"/>
          <w:sz w:val="24"/>
          <w:szCs w:val="24"/>
        </w:rPr>
        <w:t>E</w:t>
      </w:r>
      <w:r>
        <w:rPr>
          <w:rFonts w:ascii="Times New Roman" w:hAnsi="Times New Roman" w:eastAsia="Times New Roman" w:cs="Times New Roman"/>
          <w:spacing w:val="-1"/>
          <w:sz w:val="15"/>
          <w:szCs w:val="15"/>
        </w:rPr>
        <w:t>CO2-</w:t>
      </w:r>
      <w:r>
        <w:rPr>
          <w:rFonts w:ascii="宋体" w:hAnsi="宋体" w:eastAsia="宋体" w:cs="宋体"/>
          <w:spacing w:val="-1"/>
          <w:sz w:val="12"/>
          <w:szCs w:val="12"/>
        </w:rPr>
        <w:t>回收</w:t>
      </w:r>
      <w:r>
        <w:rPr>
          <w:rFonts w:ascii="宋体" w:hAnsi="宋体" w:eastAsia="宋体" w:cs="宋体"/>
          <w:spacing w:val="-1"/>
          <w:sz w:val="24"/>
          <w:szCs w:val="24"/>
        </w:rPr>
        <w:t>为企业回收且外供的</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 xml:space="preserve">2 </w:t>
      </w:r>
      <w:r>
        <w:rPr>
          <w:rFonts w:ascii="宋体" w:hAnsi="宋体" w:eastAsia="宋体" w:cs="宋体"/>
          <w:spacing w:val="-1"/>
          <w:sz w:val="24"/>
          <w:szCs w:val="24"/>
        </w:rPr>
        <w:t>量，单位为吨</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9"/>
          <w:position w:val="-1"/>
          <w:sz w:val="15"/>
          <w:szCs w:val="15"/>
        </w:rPr>
        <w:t xml:space="preserve"> </w:t>
      </w:r>
      <w:r>
        <w:rPr>
          <w:rFonts w:ascii="宋体" w:hAnsi="宋体" w:eastAsia="宋体" w:cs="宋体"/>
          <w:spacing w:val="-1"/>
          <w:sz w:val="24"/>
          <w:szCs w:val="24"/>
        </w:rPr>
        <w:t>；</w:t>
      </w:r>
      <w:r>
        <w:rPr>
          <w:rFonts w:ascii="宋体" w:hAnsi="宋体" w:eastAsia="宋体" w:cs="宋体"/>
          <w:sz w:val="24"/>
          <w:szCs w:val="24"/>
        </w:rPr>
        <w:t xml:space="preserve"> </w:t>
      </w:r>
      <w:r>
        <w:rPr>
          <w:rFonts w:ascii="Times New Roman" w:hAnsi="Times New Roman" w:eastAsia="Times New Roman" w:cs="Times New Roman"/>
          <w:sz w:val="24"/>
          <w:szCs w:val="24"/>
        </w:rPr>
        <w:t>AD</w:t>
      </w:r>
      <w:r>
        <w:rPr>
          <w:rFonts w:ascii="Times New Roman" w:hAnsi="Times New Roman" w:eastAsia="Times New Roman" w:cs="Times New Roman"/>
          <w:sz w:val="15"/>
          <w:szCs w:val="15"/>
        </w:rPr>
        <w:t>CO2-</w:t>
      </w:r>
      <w:r>
        <w:rPr>
          <w:rFonts w:ascii="宋体" w:hAnsi="宋体" w:eastAsia="宋体" w:cs="宋体"/>
          <w:sz w:val="12"/>
          <w:szCs w:val="12"/>
        </w:rPr>
        <w:t>回收</w:t>
      </w:r>
      <w:r>
        <w:rPr>
          <w:rFonts w:ascii="宋体" w:hAnsi="宋体" w:eastAsia="宋体" w:cs="宋体"/>
          <w:sz w:val="24"/>
          <w:szCs w:val="24"/>
        </w:rPr>
        <w:t>为第</w:t>
      </w:r>
      <w:r>
        <w:rPr>
          <w:rFonts w:ascii="宋体" w:hAnsi="宋体" w:eastAsia="宋体" w:cs="宋体"/>
          <w:spacing w:val="-54"/>
          <w:sz w:val="24"/>
          <w:szCs w:val="24"/>
        </w:rPr>
        <w:t xml:space="preserve"> </w:t>
      </w:r>
      <w:r>
        <w:rPr>
          <w:rFonts w:ascii="Times New Roman" w:hAnsi="Times New Roman" w:eastAsia="Times New Roman" w:cs="Times New Roman"/>
          <w:sz w:val="24"/>
          <w:szCs w:val="24"/>
        </w:rPr>
        <w:t xml:space="preserve">i </w:t>
      </w:r>
      <w:r>
        <w:rPr>
          <w:rFonts w:ascii="宋体" w:hAnsi="宋体" w:eastAsia="宋体" w:cs="宋体"/>
          <w:sz w:val="24"/>
          <w:szCs w:val="24"/>
        </w:rPr>
        <w:t>种回收且外供产品的产量，单位为吨（</w:t>
      </w:r>
      <w:r>
        <w:rPr>
          <w:rFonts w:ascii="Times New Roman" w:hAnsi="Times New Roman" w:eastAsia="Times New Roman" w:cs="Times New Roman"/>
          <w:sz w:val="24"/>
          <w:szCs w:val="24"/>
        </w:rPr>
        <w:t>t</w:t>
      </w:r>
      <w:r>
        <w:rPr>
          <w:rFonts w:ascii="Times New Roman" w:hAnsi="Times New Roman" w:eastAsia="Times New Roman" w:cs="Times New Roman"/>
          <w:spacing w:val="-25"/>
          <w:sz w:val="24"/>
          <w:szCs w:val="24"/>
        </w:rPr>
        <w:t xml:space="preserve"> </w:t>
      </w:r>
      <w:r>
        <w:rPr>
          <w:rFonts w:ascii="宋体" w:hAnsi="宋体" w:eastAsia="宋体" w:cs="宋体"/>
          <w:spacing w:val="-48"/>
          <w:sz w:val="24"/>
          <w:szCs w:val="24"/>
        </w:rPr>
        <w:t>）；</w:t>
      </w:r>
    </w:p>
    <w:p w14:paraId="2D4BFF5C">
      <w:pPr>
        <w:spacing w:before="39" w:line="352" w:lineRule="auto"/>
        <w:ind w:left="486" w:right="1621" w:hanging="1"/>
        <w:rPr>
          <w:rFonts w:ascii="宋体" w:hAnsi="宋体" w:eastAsia="宋体" w:cs="宋体"/>
          <w:sz w:val="24"/>
          <w:szCs w:val="24"/>
        </w:rPr>
      </w:pPr>
      <w:r>
        <w:rPr>
          <w:rFonts w:ascii="Times New Roman" w:hAnsi="Times New Roman" w:eastAsia="Times New Roman" w:cs="Times New Roman"/>
          <w:spacing w:val="-2"/>
          <w:sz w:val="24"/>
          <w:szCs w:val="24"/>
        </w:rPr>
        <w:t>EF</w:t>
      </w:r>
      <w:r>
        <w:rPr>
          <w:rFonts w:ascii="Times New Roman" w:hAnsi="Times New Roman" w:eastAsia="Times New Roman" w:cs="Times New Roman"/>
          <w:spacing w:val="-2"/>
          <w:sz w:val="15"/>
          <w:szCs w:val="15"/>
        </w:rPr>
        <w:t>CO2-</w:t>
      </w:r>
      <w:r>
        <w:rPr>
          <w:rFonts w:ascii="宋体" w:hAnsi="宋体" w:eastAsia="宋体" w:cs="宋体"/>
          <w:spacing w:val="-2"/>
          <w:sz w:val="12"/>
          <w:szCs w:val="12"/>
        </w:rPr>
        <w:t>回收</w:t>
      </w:r>
      <w:r>
        <w:rPr>
          <w:rFonts w:ascii="宋体" w:hAnsi="宋体" w:eastAsia="宋体" w:cs="宋体"/>
          <w:spacing w:val="-2"/>
          <w:sz w:val="24"/>
          <w:szCs w:val="24"/>
        </w:rPr>
        <w:t>为第</w:t>
      </w:r>
      <w:r>
        <w:rPr>
          <w:rFonts w:ascii="宋体" w:hAnsi="宋体" w:eastAsia="宋体" w:cs="宋体"/>
          <w:spacing w:val="-53"/>
          <w:sz w:val="24"/>
          <w:szCs w:val="24"/>
        </w:rPr>
        <w:t xml:space="preserve"> </w:t>
      </w:r>
      <w:r>
        <w:rPr>
          <w:rFonts w:ascii="Times New Roman" w:hAnsi="Times New Roman" w:eastAsia="Times New Roman" w:cs="Times New Roman"/>
          <w:spacing w:val="-2"/>
          <w:sz w:val="24"/>
          <w:szCs w:val="24"/>
        </w:rPr>
        <w:t xml:space="preserve">i </w:t>
      </w:r>
      <w:r>
        <w:rPr>
          <w:rFonts w:ascii="宋体" w:hAnsi="宋体" w:eastAsia="宋体" w:cs="宋体"/>
          <w:spacing w:val="-2"/>
          <w:sz w:val="24"/>
          <w:szCs w:val="24"/>
        </w:rPr>
        <w:t>种回收且外供产品的</w:t>
      </w:r>
      <w:r>
        <w:rPr>
          <w:rFonts w:ascii="宋体" w:hAnsi="宋体" w:eastAsia="宋体" w:cs="宋体"/>
          <w:spacing w:val="-51"/>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1"/>
          <w:w w:val="101"/>
          <w:position w:val="-1"/>
          <w:sz w:val="15"/>
          <w:szCs w:val="15"/>
        </w:rPr>
        <w:t xml:space="preserve"> </w:t>
      </w:r>
      <w:r>
        <w:rPr>
          <w:rFonts w:ascii="宋体" w:hAnsi="宋体" w:eastAsia="宋体" w:cs="宋体"/>
          <w:spacing w:val="-2"/>
          <w:sz w:val="24"/>
          <w:szCs w:val="24"/>
        </w:rPr>
        <w:t>排放因子，单位为</w:t>
      </w:r>
      <w:r>
        <w:rPr>
          <w:rFonts w:ascii="宋体" w:hAnsi="宋体" w:eastAsia="宋体" w:cs="宋体"/>
          <w:spacing w:val="-58"/>
          <w:sz w:val="24"/>
          <w:szCs w:val="24"/>
        </w:rPr>
        <w:t xml:space="preserve"> </w:t>
      </w:r>
      <w:r>
        <w:rPr>
          <w:rFonts w:ascii="Times New Roman" w:hAnsi="Times New Roman" w:eastAsia="Times New Roman" w:cs="Times New Roman"/>
          <w:spacing w:val="-2"/>
          <w:sz w:val="24"/>
          <w:szCs w:val="24"/>
        </w:rPr>
        <w:t>tCO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3"/>
          <w:sz w:val="24"/>
          <w:szCs w:val="24"/>
        </w:rPr>
        <w:t>/t</w:t>
      </w:r>
      <w:r>
        <w:rPr>
          <w:rFonts w:ascii="宋体" w:hAnsi="宋体" w:eastAsia="宋体" w:cs="宋体"/>
          <w:spacing w:val="-3"/>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 xml:space="preserve">i </w:t>
      </w:r>
      <w:r>
        <w:rPr>
          <w:rFonts w:ascii="宋体" w:hAnsi="宋体" w:eastAsia="宋体" w:cs="宋体"/>
          <w:spacing w:val="-1"/>
          <w:sz w:val="24"/>
          <w:szCs w:val="24"/>
        </w:rPr>
        <w:t>为固碳产品的种类（如粗钢、甲醇等）。</w:t>
      </w:r>
    </w:p>
    <w:p w14:paraId="68159256">
      <w:pPr>
        <w:spacing w:before="64" w:line="232" w:lineRule="auto"/>
        <w:ind w:left="490"/>
        <w:rPr>
          <w:rFonts w:ascii="宋体" w:hAnsi="宋体" w:eastAsia="宋体" w:cs="宋体"/>
          <w:sz w:val="24"/>
          <w:szCs w:val="24"/>
        </w:rPr>
      </w:pPr>
      <w:r>
        <w:rPr>
          <w:rFonts w:ascii="宋体" w:hAnsi="宋体" w:eastAsia="宋体" w:cs="宋体"/>
          <w:spacing w:val="-3"/>
          <w:sz w:val="24"/>
          <w:szCs w:val="24"/>
        </w:rPr>
        <w:t>本项目不涉及</w:t>
      </w:r>
      <w:r>
        <w:rPr>
          <w:rFonts w:ascii="宋体" w:hAnsi="宋体" w:eastAsia="宋体" w:cs="宋体"/>
          <w:spacing w:val="-36"/>
          <w:sz w:val="24"/>
          <w:szCs w:val="24"/>
        </w:rPr>
        <w:t xml:space="preserve"> </w:t>
      </w:r>
      <w:r>
        <w:rPr>
          <w:rFonts w:ascii="Times New Roman" w:hAnsi="Times New Roman" w:eastAsia="Times New Roman" w:cs="Times New Roman"/>
          <w:spacing w:val="-3"/>
          <w:sz w:val="24"/>
          <w:szCs w:val="24"/>
        </w:rPr>
        <w:t>CO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32"/>
          <w:w w:val="101"/>
          <w:position w:val="-1"/>
          <w:sz w:val="15"/>
          <w:szCs w:val="15"/>
        </w:rPr>
        <w:t xml:space="preserve"> </w:t>
      </w:r>
      <w:r>
        <w:rPr>
          <w:rFonts w:ascii="宋体" w:hAnsi="宋体" w:eastAsia="宋体" w:cs="宋体"/>
          <w:spacing w:val="-3"/>
          <w:sz w:val="24"/>
          <w:szCs w:val="24"/>
        </w:rPr>
        <w:t xml:space="preserve">回收，故 </w:t>
      </w:r>
      <w:r>
        <w:rPr>
          <w:rFonts w:ascii="Times New Roman" w:hAnsi="Times New Roman" w:eastAsia="Times New Roman" w:cs="Times New Roman"/>
          <w:spacing w:val="-3"/>
          <w:sz w:val="24"/>
          <w:szCs w:val="24"/>
        </w:rPr>
        <w:t>E</w:t>
      </w:r>
      <w:r>
        <w:rPr>
          <w:rFonts w:ascii="Times New Roman" w:hAnsi="Times New Roman" w:eastAsia="Times New Roman" w:cs="Times New Roman"/>
          <w:spacing w:val="-3"/>
          <w:sz w:val="15"/>
          <w:szCs w:val="15"/>
        </w:rPr>
        <w:t>CO2 -</w:t>
      </w:r>
      <w:r>
        <w:rPr>
          <w:rFonts w:ascii="Times New Roman" w:hAnsi="Times New Roman" w:eastAsia="Times New Roman" w:cs="Times New Roman"/>
          <w:spacing w:val="-20"/>
          <w:sz w:val="15"/>
          <w:szCs w:val="15"/>
        </w:rPr>
        <w:t xml:space="preserve"> </w:t>
      </w:r>
      <w:r>
        <w:rPr>
          <w:rFonts w:ascii="宋体" w:hAnsi="宋体" w:eastAsia="宋体" w:cs="宋体"/>
          <w:spacing w:val="-3"/>
          <w:sz w:val="12"/>
          <w:szCs w:val="12"/>
        </w:rPr>
        <w:t>回收</w:t>
      </w:r>
      <w:r>
        <w:rPr>
          <w:rFonts w:ascii="宋体" w:hAnsi="宋体" w:eastAsia="宋体" w:cs="宋体"/>
          <w:spacing w:val="-3"/>
          <w:sz w:val="24"/>
          <w:szCs w:val="24"/>
        </w:rPr>
        <w:t>等于</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0</w:t>
      </w:r>
      <w:r>
        <w:rPr>
          <w:rFonts w:ascii="宋体" w:hAnsi="宋体" w:eastAsia="宋体" w:cs="宋体"/>
          <w:spacing w:val="-3"/>
          <w:sz w:val="24"/>
          <w:szCs w:val="24"/>
        </w:rPr>
        <w:t>。</w:t>
      </w:r>
    </w:p>
    <w:p w14:paraId="6E32ADBE">
      <w:pPr>
        <w:spacing w:before="188" w:line="221"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6</w:t>
      </w:r>
      <w:r>
        <w:rPr>
          <w:rFonts w:ascii="宋体" w:hAnsi="宋体" w:eastAsia="宋体" w:cs="宋体"/>
          <w:spacing w:val="-2"/>
          <w:sz w:val="24"/>
          <w:szCs w:val="24"/>
        </w:rPr>
        <w:t>）温室气体排放总量</w:t>
      </w:r>
    </w:p>
    <w:p w14:paraId="15BB793E">
      <w:pPr>
        <w:spacing w:before="206" w:line="389" w:lineRule="exact"/>
        <w:ind w:firstLine="1663"/>
      </w:pPr>
      <w:r>
        <w:rPr>
          <w:position w:val="-7"/>
        </w:rPr>
        <w:drawing>
          <wp:inline distT="0" distB="0" distL="0" distR="0">
            <wp:extent cx="3646805" cy="246380"/>
            <wp:effectExtent l="0" t="0" r="0" b="0"/>
            <wp:docPr id="268" name="IM 268"/>
            <wp:cNvGraphicFramePr/>
            <a:graphic xmlns:a="http://schemas.openxmlformats.org/drawingml/2006/main">
              <a:graphicData uri="http://schemas.openxmlformats.org/drawingml/2006/picture">
                <pic:pic xmlns:pic="http://schemas.openxmlformats.org/drawingml/2006/picture">
                  <pic:nvPicPr>
                    <pic:cNvPr id="268" name="IM 268"/>
                    <pic:cNvPicPr/>
                  </pic:nvPicPr>
                  <pic:blipFill>
                    <a:blip r:embed="rId704"/>
                    <a:stretch>
                      <a:fillRect/>
                    </a:stretch>
                  </pic:blipFill>
                  <pic:spPr>
                    <a:xfrm>
                      <a:off x="0" y="0"/>
                      <a:ext cx="3646931" cy="246888"/>
                    </a:xfrm>
                    <a:prstGeom prst="rect">
                      <a:avLst/>
                    </a:prstGeom>
                  </pic:spPr>
                </pic:pic>
              </a:graphicData>
            </a:graphic>
          </wp:inline>
        </w:drawing>
      </w:r>
    </w:p>
    <w:p w14:paraId="2061AF26">
      <w:pPr>
        <w:spacing w:before="258" w:line="220" w:lineRule="auto"/>
        <w:ind w:left="494"/>
        <w:rPr>
          <w:rFonts w:ascii="Times New Roman" w:hAnsi="Times New Roman" w:eastAsia="Times New Roman" w:cs="Times New Roman"/>
          <w:sz w:val="24"/>
          <w:szCs w:val="24"/>
        </w:rPr>
      </w:pPr>
      <w:r>
        <w:rPr>
          <w:rFonts w:ascii="宋体" w:hAnsi="宋体" w:eastAsia="宋体" w:cs="宋体"/>
          <w:spacing w:val="-5"/>
          <w:sz w:val="24"/>
          <w:szCs w:val="24"/>
        </w:rPr>
        <w:t>式中</w:t>
      </w:r>
      <w:r>
        <w:rPr>
          <w:rFonts w:ascii="Times New Roman" w:hAnsi="Times New Roman" w:eastAsia="Times New Roman" w:cs="Times New Roman"/>
          <w:spacing w:val="-5"/>
          <w:sz w:val="24"/>
          <w:szCs w:val="24"/>
        </w:rPr>
        <w:t>:</w:t>
      </w:r>
    </w:p>
    <w:p w14:paraId="479303AF">
      <w:pPr>
        <w:spacing w:before="204" w:line="372" w:lineRule="auto"/>
        <w:ind w:left="485" w:right="2859"/>
        <w:rPr>
          <w:rFonts w:ascii="宋体" w:hAnsi="宋体" w:eastAsia="宋体" w:cs="宋体"/>
          <w:sz w:val="24"/>
          <w:szCs w:val="24"/>
        </w:rPr>
      </w:pPr>
      <w:r>
        <w:rPr>
          <w:rFonts w:ascii="Times New Roman" w:hAnsi="Times New Roman" w:eastAsia="Times New Roman" w:cs="Times New Roman"/>
          <w:spacing w:val="-2"/>
          <w:sz w:val="24"/>
          <w:szCs w:val="24"/>
        </w:rPr>
        <w:t>E</w:t>
      </w:r>
      <w:r>
        <w:rPr>
          <w:rFonts w:ascii="Times New Roman" w:hAnsi="Times New Roman" w:eastAsia="Times New Roman" w:cs="Times New Roman"/>
          <w:spacing w:val="-2"/>
          <w:position w:val="-1"/>
          <w:sz w:val="15"/>
          <w:szCs w:val="15"/>
        </w:rPr>
        <w:t>GHG</w:t>
      </w:r>
      <w:r>
        <w:rPr>
          <w:rFonts w:ascii="Times New Roman" w:hAnsi="Times New Roman" w:eastAsia="Times New Roman" w:cs="Times New Roman"/>
          <w:spacing w:val="27"/>
          <w:w w:val="102"/>
          <w:position w:val="-1"/>
          <w:sz w:val="15"/>
          <w:szCs w:val="15"/>
        </w:rPr>
        <w:t xml:space="preserve"> </w:t>
      </w:r>
      <w:r>
        <w:rPr>
          <w:rFonts w:ascii="宋体" w:hAnsi="宋体" w:eastAsia="宋体" w:cs="宋体"/>
          <w:spacing w:val="-2"/>
          <w:sz w:val="24"/>
          <w:szCs w:val="24"/>
        </w:rPr>
        <w:t>为企业温室气体排放总量，单位为吨</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4"/>
          <w:w w:val="102"/>
          <w:position w:val="-1"/>
          <w:sz w:val="15"/>
          <w:szCs w:val="15"/>
        </w:rPr>
        <w:t xml:space="preserve"> </w:t>
      </w:r>
      <w:r>
        <w:rPr>
          <w:rFonts w:ascii="宋体" w:hAnsi="宋体" w:eastAsia="宋体" w:cs="宋体"/>
          <w:spacing w:val="-2"/>
          <w:sz w:val="24"/>
          <w:szCs w:val="24"/>
        </w:rPr>
        <w:t>当量；</w:t>
      </w:r>
      <w:r>
        <w:rPr>
          <w:rFonts w:ascii="宋体" w:hAnsi="宋体" w:eastAsia="宋体" w:cs="宋体"/>
          <w:sz w:val="24"/>
          <w:szCs w:val="24"/>
        </w:rPr>
        <w:t xml:space="preserve">  </w:t>
      </w:r>
      <w:r>
        <w:rPr>
          <w:rFonts w:ascii="Times New Roman" w:hAnsi="Times New Roman" w:eastAsia="Times New Roman" w:cs="Times New Roman"/>
          <w:spacing w:val="-3"/>
          <w:sz w:val="24"/>
          <w:szCs w:val="24"/>
        </w:rPr>
        <w:t>E</w:t>
      </w:r>
      <w:r>
        <w:rPr>
          <w:rFonts w:ascii="Times New Roman" w:hAnsi="Times New Roman" w:eastAsia="Times New Roman" w:cs="Times New Roman"/>
          <w:spacing w:val="-3"/>
          <w:sz w:val="15"/>
          <w:szCs w:val="15"/>
        </w:rPr>
        <w:t>CO2-</w:t>
      </w:r>
      <w:r>
        <w:rPr>
          <w:rFonts w:ascii="宋体" w:hAnsi="宋体" w:eastAsia="宋体" w:cs="宋体"/>
          <w:spacing w:val="-3"/>
          <w:sz w:val="12"/>
          <w:szCs w:val="12"/>
        </w:rPr>
        <w:t>燃烧</w:t>
      </w:r>
      <w:r>
        <w:rPr>
          <w:rFonts w:ascii="宋体" w:hAnsi="宋体" w:eastAsia="宋体" w:cs="宋体"/>
          <w:spacing w:val="-3"/>
          <w:sz w:val="24"/>
          <w:szCs w:val="24"/>
        </w:rPr>
        <w:t>为化石燃料燃烧的</w:t>
      </w:r>
      <w:r>
        <w:rPr>
          <w:rFonts w:ascii="宋体" w:hAnsi="宋体" w:eastAsia="宋体" w:cs="宋体"/>
          <w:spacing w:val="-38"/>
          <w:sz w:val="24"/>
          <w:szCs w:val="24"/>
        </w:rPr>
        <w:t xml:space="preserve"> </w:t>
      </w:r>
      <w:r>
        <w:rPr>
          <w:rFonts w:ascii="Times New Roman" w:hAnsi="Times New Roman" w:eastAsia="Times New Roman" w:cs="Times New Roman"/>
          <w:spacing w:val="-3"/>
          <w:sz w:val="24"/>
          <w:szCs w:val="24"/>
        </w:rPr>
        <w:t>CO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9"/>
          <w:position w:val="-1"/>
          <w:sz w:val="15"/>
          <w:szCs w:val="15"/>
        </w:rPr>
        <w:t xml:space="preserve"> </w:t>
      </w:r>
      <w:r>
        <w:rPr>
          <w:rFonts w:ascii="宋体" w:hAnsi="宋体" w:eastAsia="宋体" w:cs="宋体"/>
          <w:spacing w:val="-3"/>
          <w:sz w:val="24"/>
          <w:szCs w:val="24"/>
        </w:rPr>
        <w:t>排放量，单位为吨</w:t>
      </w:r>
      <w:r>
        <w:rPr>
          <w:rFonts w:ascii="宋体" w:hAnsi="宋体" w:eastAsia="宋体" w:cs="宋体"/>
          <w:spacing w:val="-52"/>
          <w:sz w:val="24"/>
          <w:szCs w:val="24"/>
        </w:rPr>
        <w:t xml:space="preserve"> </w:t>
      </w:r>
      <w:r>
        <w:rPr>
          <w:rFonts w:ascii="Times New Roman" w:hAnsi="Times New Roman" w:eastAsia="Times New Roman" w:cs="Times New Roman"/>
          <w:spacing w:val="-3"/>
          <w:sz w:val="24"/>
          <w:szCs w:val="24"/>
        </w:rPr>
        <w:t>CO</w:t>
      </w:r>
      <w:r>
        <w:rPr>
          <w:rFonts w:ascii="Times New Roman" w:hAnsi="Times New Roman" w:eastAsia="Times New Roman" w:cs="Times New Roman"/>
          <w:spacing w:val="-3"/>
          <w:position w:val="-1"/>
          <w:sz w:val="15"/>
          <w:szCs w:val="15"/>
        </w:rPr>
        <w:t>2</w:t>
      </w:r>
      <w:r>
        <w:rPr>
          <w:rFonts w:ascii="宋体" w:hAnsi="宋体" w:eastAsia="宋体" w:cs="宋体"/>
          <w:spacing w:val="-3"/>
          <w:sz w:val="24"/>
          <w:szCs w:val="24"/>
        </w:rPr>
        <w:t>；</w:t>
      </w:r>
    </w:p>
    <w:p w14:paraId="6F73B2D0">
      <w:pPr>
        <w:spacing w:before="9" w:line="353" w:lineRule="auto"/>
        <w:ind w:left="9" w:right="108" w:firstLine="476"/>
        <w:rPr>
          <w:rFonts w:ascii="宋体" w:hAnsi="宋体" w:eastAsia="宋体" w:cs="宋体"/>
          <w:sz w:val="24"/>
          <w:szCs w:val="24"/>
        </w:rPr>
      </w:pPr>
      <w:r>
        <w:rPr>
          <w:rFonts w:ascii="Times New Roman" w:hAnsi="Times New Roman" w:eastAsia="Times New Roman" w:cs="Times New Roman"/>
          <w:spacing w:val="-1"/>
          <w:sz w:val="24"/>
          <w:szCs w:val="24"/>
        </w:rPr>
        <w:t>E</w:t>
      </w:r>
      <w:r>
        <w:rPr>
          <w:rFonts w:ascii="Times New Roman" w:hAnsi="Times New Roman" w:eastAsia="Times New Roman" w:cs="Times New Roman"/>
          <w:spacing w:val="-1"/>
          <w:sz w:val="15"/>
          <w:szCs w:val="15"/>
        </w:rPr>
        <w:t>GHG-</w:t>
      </w:r>
      <w:r>
        <w:rPr>
          <w:rFonts w:ascii="宋体" w:hAnsi="宋体" w:eastAsia="宋体" w:cs="宋体"/>
          <w:spacing w:val="-1"/>
          <w:sz w:val="12"/>
          <w:szCs w:val="12"/>
        </w:rPr>
        <w:t>过程</w:t>
      </w:r>
      <w:r>
        <w:rPr>
          <w:rFonts w:ascii="宋体" w:hAnsi="宋体" w:eastAsia="宋体" w:cs="宋体"/>
          <w:spacing w:val="-1"/>
          <w:sz w:val="24"/>
          <w:szCs w:val="24"/>
        </w:rPr>
        <w:t>为企业边界内工业生产工程产生的各种温室气体</w:t>
      </w:r>
      <w:r>
        <w:rPr>
          <w:rFonts w:ascii="宋体" w:hAnsi="宋体" w:eastAsia="宋体" w:cs="宋体"/>
          <w:spacing w:val="-37"/>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25"/>
          <w:position w:val="-1"/>
          <w:sz w:val="15"/>
          <w:szCs w:val="15"/>
        </w:rPr>
        <w:t xml:space="preserve"> </w:t>
      </w:r>
      <w:r>
        <w:rPr>
          <w:rFonts w:ascii="宋体" w:hAnsi="宋体" w:eastAsia="宋体" w:cs="宋体"/>
          <w:spacing w:val="-1"/>
          <w:sz w:val="24"/>
          <w:szCs w:val="24"/>
        </w:rPr>
        <w:t>当量排放，单位为吨</w:t>
      </w:r>
      <w:r>
        <w:rPr>
          <w:rFonts w:ascii="宋体" w:hAnsi="宋体" w:eastAsia="宋体" w:cs="宋体"/>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2</w:t>
      </w:r>
      <w:r>
        <w:rPr>
          <w:rFonts w:ascii="宋体" w:hAnsi="宋体" w:eastAsia="宋体" w:cs="宋体"/>
          <w:spacing w:val="-2"/>
          <w:sz w:val="24"/>
          <w:szCs w:val="24"/>
        </w:rPr>
        <w:t>；</w:t>
      </w:r>
    </w:p>
    <w:p w14:paraId="5F717F4A">
      <w:pPr>
        <w:spacing w:before="61" w:line="232" w:lineRule="auto"/>
        <w:ind w:left="485"/>
        <w:rPr>
          <w:rFonts w:ascii="宋体" w:hAnsi="宋体" w:eastAsia="宋体" w:cs="宋体"/>
          <w:sz w:val="24"/>
          <w:szCs w:val="24"/>
        </w:rPr>
      </w:pPr>
      <w:r>
        <w:rPr>
          <w:rFonts w:ascii="Times New Roman" w:hAnsi="Times New Roman" w:eastAsia="Times New Roman" w:cs="Times New Roman"/>
          <w:sz w:val="24"/>
          <w:szCs w:val="24"/>
        </w:rPr>
        <w:t>E</w:t>
      </w:r>
      <w:r>
        <w:rPr>
          <w:rFonts w:ascii="Times New Roman" w:hAnsi="Times New Roman" w:eastAsia="Times New Roman" w:cs="Times New Roman"/>
          <w:sz w:val="15"/>
          <w:szCs w:val="15"/>
        </w:rPr>
        <w:t>CO2-</w:t>
      </w:r>
      <w:r>
        <w:rPr>
          <w:rFonts w:ascii="宋体" w:hAnsi="宋体" w:eastAsia="宋体" w:cs="宋体"/>
          <w:sz w:val="12"/>
          <w:szCs w:val="12"/>
        </w:rPr>
        <w:t>回收</w:t>
      </w:r>
      <w:r>
        <w:rPr>
          <w:rFonts w:ascii="宋体" w:hAnsi="宋体" w:eastAsia="宋体" w:cs="宋体"/>
          <w:sz w:val="24"/>
          <w:szCs w:val="24"/>
        </w:rPr>
        <w:t>为企业回收且外供的</w:t>
      </w:r>
      <w:r>
        <w:rPr>
          <w:rFonts w:ascii="宋体" w:hAnsi="宋体" w:eastAsia="宋体" w:cs="宋体"/>
          <w:spacing w:val="-51"/>
          <w:sz w:val="24"/>
          <w:szCs w:val="24"/>
        </w:rPr>
        <w:t xml:space="preserve"> </w:t>
      </w:r>
      <w:r>
        <w:rPr>
          <w:rFonts w:ascii="Times New Roman" w:hAnsi="Times New Roman" w:eastAsia="Times New Roman" w:cs="Times New Roman"/>
          <w:sz w:val="24"/>
          <w:szCs w:val="24"/>
        </w:rPr>
        <w:t>CO</w:t>
      </w:r>
      <w:r>
        <w:rPr>
          <w:rFonts w:ascii="Times New Roman" w:hAnsi="Times New Roman" w:eastAsia="Times New Roman" w:cs="Times New Roman"/>
          <w:position w:val="-1"/>
          <w:sz w:val="15"/>
          <w:szCs w:val="15"/>
        </w:rPr>
        <w:t xml:space="preserve">2 </w:t>
      </w:r>
      <w:r>
        <w:rPr>
          <w:rFonts w:ascii="宋体" w:hAnsi="宋体" w:eastAsia="宋体" w:cs="宋体"/>
          <w:sz w:val="24"/>
          <w:szCs w:val="24"/>
        </w:rPr>
        <w:t>量，单位</w:t>
      </w:r>
      <w:r>
        <w:rPr>
          <w:rFonts w:ascii="宋体" w:hAnsi="宋体" w:eastAsia="宋体" w:cs="宋体"/>
          <w:spacing w:val="-1"/>
          <w:sz w:val="24"/>
          <w:szCs w:val="24"/>
        </w:rPr>
        <w:t>为吨</w:t>
      </w:r>
      <w:r>
        <w:rPr>
          <w:rFonts w:ascii="宋体" w:hAnsi="宋体" w:eastAsia="宋体" w:cs="宋体"/>
          <w:spacing w:val="-51"/>
          <w:sz w:val="24"/>
          <w:szCs w:val="24"/>
        </w:rPr>
        <w:t xml:space="preserve"> </w:t>
      </w:r>
      <w:r>
        <w:rPr>
          <w:rFonts w:ascii="Times New Roman" w:hAnsi="Times New Roman" w:eastAsia="Times New Roman" w:cs="Times New Roman"/>
          <w:spacing w:val="-1"/>
          <w:sz w:val="24"/>
          <w:szCs w:val="24"/>
        </w:rPr>
        <w:t>CO</w:t>
      </w:r>
      <w:r>
        <w:rPr>
          <w:rFonts w:ascii="Times New Roman" w:hAnsi="Times New Roman" w:eastAsia="Times New Roman" w:cs="Times New Roman"/>
          <w:spacing w:val="-1"/>
          <w:position w:val="-1"/>
          <w:sz w:val="15"/>
          <w:szCs w:val="15"/>
        </w:rPr>
        <w:t>2</w:t>
      </w:r>
      <w:r>
        <w:rPr>
          <w:rFonts w:ascii="宋体" w:hAnsi="宋体" w:eastAsia="宋体" w:cs="宋体"/>
          <w:spacing w:val="-1"/>
          <w:sz w:val="24"/>
          <w:szCs w:val="24"/>
        </w:rPr>
        <w:t>；</w:t>
      </w:r>
    </w:p>
    <w:p w14:paraId="56CA1331">
      <w:pPr>
        <w:spacing w:before="185" w:line="360" w:lineRule="auto"/>
        <w:ind w:left="485" w:right="3791"/>
        <w:rPr>
          <w:rFonts w:ascii="宋体" w:hAnsi="宋体" w:eastAsia="宋体" w:cs="宋体"/>
          <w:sz w:val="24"/>
          <w:szCs w:val="24"/>
        </w:rPr>
      </w:pPr>
      <w:r>
        <w:rPr>
          <w:rFonts w:ascii="Times New Roman" w:hAnsi="Times New Roman" w:eastAsia="Times New Roman" w:cs="Times New Roman"/>
          <w:spacing w:val="-2"/>
          <w:sz w:val="24"/>
          <w:szCs w:val="24"/>
        </w:rPr>
        <w:t>E</w:t>
      </w:r>
      <w:r>
        <w:rPr>
          <w:rFonts w:ascii="Times New Roman" w:hAnsi="Times New Roman" w:eastAsia="Times New Roman" w:cs="Times New Roman"/>
          <w:spacing w:val="-2"/>
          <w:sz w:val="15"/>
          <w:szCs w:val="15"/>
        </w:rPr>
        <w:t>CO2-</w:t>
      </w:r>
      <w:r>
        <w:rPr>
          <w:rFonts w:ascii="宋体" w:hAnsi="宋体" w:eastAsia="宋体" w:cs="宋体"/>
          <w:spacing w:val="-2"/>
          <w:sz w:val="12"/>
          <w:szCs w:val="12"/>
        </w:rPr>
        <w:t>净电</w:t>
      </w:r>
      <w:r>
        <w:rPr>
          <w:rFonts w:ascii="宋体" w:hAnsi="宋体" w:eastAsia="宋体" w:cs="宋体"/>
          <w:spacing w:val="-2"/>
          <w:sz w:val="24"/>
          <w:szCs w:val="24"/>
        </w:rPr>
        <w:t>为企业净购入电力隐含的</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9"/>
          <w:position w:val="-1"/>
          <w:sz w:val="15"/>
          <w:szCs w:val="15"/>
        </w:rPr>
        <w:t xml:space="preserve"> </w:t>
      </w:r>
      <w:r>
        <w:rPr>
          <w:rFonts w:ascii="宋体" w:hAnsi="宋体" w:eastAsia="宋体" w:cs="宋体"/>
          <w:spacing w:val="-2"/>
          <w:sz w:val="24"/>
          <w:szCs w:val="24"/>
        </w:rPr>
        <w:t>排放量；</w:t>
      </w:r>
      <w:r>
        <w:rPr>
          <w:rFonts w:ascii="宋体" w:hAnsi="宋体" w:eastAsia="宋体" w:cs="宋体"/>
          <w:sz w:val="24"/>
          <w:szCs w:val="24"/>
        </w:rPr>
        <w:t xml:space="preserve"> </w:t>
      </w:r>
      <w:r>
        <w:rPr>
          <w:rFonts w:ascii="Times New Roman" w:hAnsi="Times New Roman" w:eastAsia="Times New Roman" w:cs="Times New Roman"/>
          <w:spacing w:val="-2"/>
          <w:sz w:val="24"/>
          <w:szCs w:val="24"/>
        </w:rPr>
        <w:t>E</w:t>
      </w:r>
      <w:r>
        <w:rPr>
          <w:rFonts w:ascii="Times New Roman" w:hAnsi="Times New Roman" w:eastAsia="Times New Roman" w:cs="Times New Roman"/>
          <w:spacing w:val="-2"/>
          <w:sz w:val="15"/>
          <w:szCs w:val="15"/>
        </w:rPr>
        <w:t>CO2-</w:t>
      </w:r>
      <w:r>
        <w:rPr>
          <w:rFonts w:ascii="宋体" w:hAnsi="宋体" w:eastAsia="宋体" w:cs="宋体"/>
          <w:spacing w:val="-2"/>
          <w:sz w:val="12"/>
          <w:szCs w:val="12"/>
        </w:rPr>
        <w:t>净热</w:t>
      </w:r>
      <w:r>
        <w:rPr>
          <w:rFonts w:ascii="宋体" w:hAnsi="宋体" w:eastAsia="宋体" w:cs="宋体"/>
          <w:spacing w:val="-2"/>
          <w:sz w:val="24"/>
          <w:szCs w:val="24"/>
        </w:rPr>
        <w:t>为企业净购入热力隐含的</w:t>
      </w:r>
      <w:r>
        <w:rPr>
          <w:rFonts w:ascii="宋体" w:hAnsi="宋体" w:eastAsia="宋体" w:cs="宋体"/>
          <w:spacing w:val="-52"/>
          <w:sz w:val="24"/>
          <w:szCs w:val="24"/>
        </w:rPr>
        <w:t xml:space="preserve"> </w:t>
      </w:r>
      <w:r>
        <w:rPr>
          <w:rFonts w:ascii="Times New Roman" w:hAnsi="Times New Roman" w:eastAsia="Times New Roman" w:cs="Times New Roman"/>
          <w:spacing w:val="-2"/>
          <w:sz w:val="24"/>
          <w:szCs w:val="24"/>
        </w:rPr>
        <w:t>CO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9"/>
          <w:position w:val="-1"/>
          <w:sz w:val="15"/>
          <w:szCs w:val="15"/>
        </w:rPr>
        <w:t xml:space="preserve"> </w:t>
      </w:r>
      <w:r>
        <w:rPr>
          <w:rFonts w:ascii="宋体" w:hAnsi="宋体" w:eastAsia="宋体" w:cs="宋体"/>
          <w:spacing w:val="-2"/>
          <w:sz w:val="24"/>
          <w:szCs w:val="24"/>
        </w:rPr>
        <w:t>排放量。</w:t>
      </w:r>
    </w:p>
    <w:p w14:paraId="06D1B07A">
      <w:pPr>
        <w:spacing w:line="369" w:lineRule="auto"/>
        <w:ind w:left="491" w:right="1542" w:hanging="6"/>
        <w:rPr>
          <w:rFonts w:ascii="宋体" w:hAnsi="宋体" w:eastAsia="宋体" w:cs="宋体"/>
          <w:sz w:val="24"/>
          <w:szCs w:val="24"/>
        </w:rPr>
      </w:pPr>
      <w:r>
        <w:rPr>
          <w:rFonts w:ascii="Times New Roman" w:hAnsi="Times New Roman" w:eastAsia="Times New Roman" w:cs="Times New Roman"/>
          <w:sz w:val="24"/>
          <w:szCs w:val="24"/>
        </w:rPr>
        <w:t>E</w:t>
      </w:r>
      <w:r>
        <w:rPr>
          <w:rFonts w:ascii="Times New Roman" w:hAnsi="Times New Roman" w:eastAsia="Times New Roman" w:cs="Times New Roman"/>
          <w:sz w:val="15"/>
          <w:szCs w:val="15"/>
        </w:rPr>
        <w:t>GHG-</w:t>
      </w:r>
      <w:r>
        <w:rPr>
          <w:rFonts w:ascii="宋体" w:hAnsi="宋体" w:eastAsia="宋体" w:cs="宋体"/>
          <w:sz w:val="12"/>
          <w:szCs w:val="12"/>
        </w:rPr>
        <w:t>总</w:t>
      </w:r>
      <w:r>
        <w:rPr>
          <w:rFonts w:ascii="Times New Roman" w:hAnsi="Times New Roman" w:eastAsia="Times New Roman" w:cs="Times New Roman"/>
          <w:sz w:val="24"/>
          <w:szCs w:val="24"/>
        </w:rPr>
        <w:t>=892173.97 +297.08 -0+241896.02 +3487</w:t>
      </w:r>
      <w:r>
        <w:rPr>
          <w:rFonts w:ascii="Times New Roman" w:hAnsi="Times New Roman" w:eastAsia="Times New Roman" w:cs="Times New Roman"/>
          <w:spacing w:val="-1"/>
          <w:sz w:val="24"/>
          <w:szCs w:val="24"/>
        </w:rPr>
        <w:t>50.00=</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1"/>
          <w:sz w:val="24"/>
          <w:szCs w:val="24"/>
        </w:rPr>
        <w:t>1483117.07tCO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position w:val="-1"/>
          <w:sz w:val="15"/>
          <w:szCs w:val="15"/>
        </w:rPr>
        <w:t xml:space="preserve"> </w:t>
      </w:r>
      <w:r>
        <w:rPr>
          <w:rFonts w:ascii="宋体" w:hAnsi="宋体" w:eastAsia="宋体" w:cs="宋体"/>
          <w:spacing w:val="-1"/>
          <w:sz w:val="24"/>
          <w:szCs w:val="24"/>
        </w:rPr>
        <w:t>可以得出本项目达产后的碳排放量为</w:t>
      </w:r>
      <w:r>
        <w:rPr>
          <w:rFonts w:ascii="宋体" w:hAnsi="宋体" w:eastAsia="宋体" w:cs="宋体"/>
          <w:spacing w:val="-31"/>
          <w:sz w:val="24"/>
          <w:szCs w:val="24"/>
        </w:rPr>
        <w:t xml:space="preserve"> </w:t>
      </w:r>
      <w:r>
        <w:rPr>
          <w:rFonts w:ascii="Times New Roman" w:hAnsi="Times New Roman" w:eastAsia="Times New Roman" w:cs="Times New Roman"/>
          <w:spacing w:val="-1"/>
          <w:sz w:val="24"/>
          <w:szCs w:val="24"/>
        </w:rPr>
        <w:t>148311</w:t>
      </w:r>
      <w:r>
        <w:rPr>
          <w:rFonts w:ascii="Times New Roman" w:hAnsi="Times New Roman" w:eastAsia="Times New Roman" w:cs="Times New Roman"/>
          <w:spacing w:val="-2"/>
          <w:sz w:val="24"/>
          <w:szCs w:val="24"/>
        </w:rPr>
        <w:t>7.07tCO</w:t>
      </w:r>
      <w:r>
        <w:rPr>
          <w:rFonts w:ascii="Times New Roman" w:hAnsi="Times New Roman" w:eastAsia="Times New Roman" w:cs="Times New Roman"/>
          <w:spacing w:val="-2"/>
          <w:position w:val="-1"/>
          <w:sz w:val="15"/>
          <w:szCs w:val="15"/>
        </w:rPr>
        <w:t>2</w:t>
      </w:r>
      <w:r>
        <w:rPr>
          <w:rFonts w:ascii="宋体" w:hAnsi="宋体" w:eastAsia="宋体" w:cs="宋体"/>
          <w:spacing w:val="-2"/>
          <w:sz w:val="24"/>
          <w:szCs w:val="24"/>
        </w:rPr>
        <w:t>。</w:t>
      </w:r>
    </w:p>
    <w:p w14:paraId="7AF7969C">
      <w:pPr>
        <w:spacing w:before="117" w:line="220"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7</w:t>
      </w:r>
      <w:r>
        <w:rPr>
          <w:rFonts w:ascii="宋体" w:hAnsi="宋体" w:eastAsia="宋体" w:cs="宋体"/>
          <w:spacing w:val="-3"/>
          <w:sz w:val="24"/>
          <w:szCs w:val="24"/>
        </w:rPr>
        <w:t>）碳排放强度</w:t>
      </w:r>
    </w:p>
    <w:p w14:paraId="5FBDD1FB">
      <w:pPr>
        <w:spacing w:before="161" w:line="353" w:lineRule="auto"/>
        <w:ind w:left="2" w:right="2" w:firstLine="487"/>
        <w:rPr>
          <w:rFonts w:ascii="宋体" w:hAnsi="宋体" w:eastAsia="宋体" w:cs="宋体"/>
          <w:sz w:val="24"/>
          <w:szCs w:val="24"/>
        </w:rPr>
      </w:pPr>
      <w:r>
        <w:rPr>
          <w:rFonts w:ascii="宋体" w:hAnsi="宋体" w:eastAsia="宋体" w:cs="宋体"/>
          <w:spacing w:val="-3"/>
          <w:sz w:val="24"/>
          <w:szCs w:val="24"/>
        </w:rPr>
        <w:t>本项目增加值为</w:t>
      </w:r>
      <w:r>
        <w:rPr>
          <w:rFonts w:ascii="宋体" w:hAnsi="宋体" w:eastAsia="宋体" w:cs="宋体"/>
          <w:spacing w:val="-17"/>
          <w:sz w:val="24"/>
          <w:szCs w:val="24"/>
        </w:rPr>
        <w:t xml:space="preserve"> </w:t>
      </w:r>
      <w:r>
        <w:rPr>
          <w:rFonts w:ascii="Times New Roman" w:hAnsi="Times New Roman" w:eastAsia="Times New Roman" w:cs="Times New Roman"/>
          <w:spacing w:val="-3"/>
          <w:sz w:val="24"/>
          <w:szCs w:val="24"/>
        </w:rPr>
        <w:t>134963.85</w:t>
      </w:r>
      <w:r>
        <w:rPr>
          <w:rFonts w:ascii="Times New Roman" w:hAnsi="Times New Roman" w:eastAsia="Times New Roman" w:cs="Times New Roman"/>
          <w:spacing w:val="15"/>
          <w:sz w:val="24"/>
          <w:szCs w:val="24"/>
        </w:rPr>
        <w:t xml:space="preserve"> </w:t>
      </w:r>
      <w:r>
        <w:rPr>
          <w:rFonts w:ascii="宋体" w:hAnsi="宋体" w:eastAsia="宋体" w:cs="宋体"/>
          <w:spacing w:val="-3"/>
          <w:sz w:val="24"/>
          <w:szCs w:val="24"/>
        </w:rPr>
        <w:t>万元，则项目新增单位工业增加值碳排放量</w:t>
      </w:r>
      <w:r>
        <w:rPr>
          <w:rFonts w:ascii="Times New Roman" w:hAnsi="Times New Roman" w:eastAsia="Times New Roman" w:cs="Times New Roman"/>
          <w:spacing w:val="-3"/>
          <w:sz w:val="24"/>
          <w:szCs w:val="24"/>
        </w:rPr>
        <w:t>=1483117.07</w:t>
      </w:r>
      <w:r>
        <w:rPr>
          <w:rFonts w:ascii="Times New Roman" w:hAnsi="Times New Roman" w:eastAsia="Times New Roman" w:cs="Times New Roman"/>
          <w:sz w:val="24"/>
          <w:szCs w:val="24"/>
        </w:rPr>
        <w:t xml:space="preserve"> </w:t>
      </w:r>
      <w:r>
        <w:rPr>
          <w:rFonts w:ascii="Times New Roman" w:hAnsi="Times New Roman" w:eastAsia="Times New Roman" w:cs="Times New Roman"/>
          <w:spacing w:val="-2"/>
          <w:sz w:val="24"/>
          <w:szCs w:val="24"/>
        </w:rPr>
        <w:t>tCO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
          <w:sz w:val="24"/>
          <w:szCs w:val="24"/>
        </w:rPr>
        <w:t>÷</w:t>
      </w:r>
      <w:r>
        <w:rPr>
          <w:rFonts w:ascii="Times New Roman" w:hAnsi="Times New Roman" w:eastAsia="Times New Roman" w:cs="Times New Roman"/>
          <w:spacing w:val="-17"/>
          <w:sz w:val="24"/>
          <w:szCs w:val="24"/>
        </w:rPr>
        <w:t xml:space="preserve"> </w:t>
      </w:r>
      <w:r>
        <w:rPr>
          <w:rFonts w:ascii="Times New Roman" w:hAnsi="Times New Roman" w:eastAsia="Times New Roman" w:cs="Times New Roman"/>
          <w:spacing w:val="-2"/>
          <w:sz w:val="24"/>
          <w:szCs w:val="24"/>
        </w:rPr>
        <w:t>134963.85</w:t>
      </w:r>
      <w:r>
        <w:rPr>
          <w:rFonts w:ascii="Times New Roman" w:hAnsi="Times New Roman" w:eastAsia="Times New Roman" w:cs="Times New Roman"/>
          <w:spacing w:val="16"/>
          <w:sz w:val="24"/>
          <w:szCs w:val="24"/>
        </w:rPr>
        <w:t xml:space="preserve"> </w:t>
      </w:r>
      <w:r>
        <w:rPr>
          <w:rFonts w:ascii="宋体" w:hAnsi="宋体" w:eastAsia="宋体" w:cs="宋体"/>
          <w:spacing w:val="-2"/>
          <w:sz w:val="24"/>
          <w:szCs w:val="24"/>
        </w:rPr>
        <w:t>万元</w:t>
      </w:r>
      <w:r>
        <w:rPr>
          <w:rFonts w:ascii="Times New Roman" w:hAnsi="Times New Roman" w:eastAsia="Times New Roman" w:cs="Times New Roman"/>
          <w:spacing w:val="-2"/>
          <w:sz w:val="24"/>
          <w:szCs w:val="24"/>
        </w:rPr>
        <w:t>=10.99tCO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2"/>
          <w:sz w:val="24"/>
          <w:szCs w:val="24"/>
        </w:rPr>
        <w:t>/</w:t>
      </w:r>
      <w:r>
        <w:rPr>
          <w:rFonts w:ascii="宋体" w:hAnsi="宋体" w:eastAsia="宋体" w:cs="宋体"/>
          <w:spacing w:val="-2"/>
          <w:sz w:val="24"/>
          <w:szCs w:val="24"/>
        </w:rPr>
        <w:t>万元。</w:t>
      </w:r>
    </w:p>
    <w:p w14:paraId="7EACB3BF">
      <w:pPr>
        <w:spacing w:before="147" w:line="226" w:lineRule="auto"/>
        <w:ind w:left="13"/>
        <w:outlineLvl w:val="1"/>
        <w:rPr>
          <w:rFonts w:ascii="黑体" w:hAnsi="黑体" w:eastAsia="黑体" w:cs="黑体"/>
          <w:sz w:val="31"/>
          <w:szCs w:val="31"/>
        </w:rPr>
      </w:pPr>
      <w:bookmarkStart w:id="496" w:name="bookmark460"/>
      <w:bookmarkEnd w:id="496"/>
      <w:r>
        <w:rPr>
          <w:rFonts w:ascii="Times New Roman" w:hAnsi="Times New Roman" w:eastAsia="Times New Roman" w:cs="Times New Roman"/>
          <w:spacing w:val="7"/>
          <w:sz w:val="31"/>
          <w:szCs w:val="31"/>
        </w:rPr>
        <w:t xml:space="preserve">9.4 </w:t>
      </w:r>
      <w:r>
        <w:rPr>
          <w:rFonts w:ascii="黑体" w:hAnsi="黑体" w:eastAsia="黑体" w:cs="黑体"/>
          <w:spacing w:val="7"/>
          <w:sz w:val="31"/>
          <w:szCs w:val="31"/>
        </w:rPr>
        <w:t>碳减排潜力分析与建议</w:t>
      </w:r>
    </w:p>
    <w:p w14:paraId="1D5C8A1E">
      <w:pPr>
        <w:spacing w:before="228"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）节能技改</w:t>
      </w:r>
    </w:p>
    <w:p w14:paraId="1CA10CCC">
      <w:pPr>
        <w:spacing w:before="205" w:line="219" w:lineRule="auto"/>
        <w:jc w:val="right"/>
        <w:rPr>
          <w:rFonts w:ascii="宋体" w:hAnsi="宋体" w:eastAsia="宋体" w:cs="宋体"/>
          <w:sz w:val="24"/>
          <w:szCs w:val="24"/>
        </w:rPr>
      </w:pPr>
      <w:r>
        <w:rPr>
          <w:rFonts w:ascii="宋体" w:hAnsi="宋体" w:eastAsia="宋体" w:cs="宋体"/>
          <w:spacing w:val="-2"/>
          <w:sz w:val="24"/>
          <w:szCs w:val="24"/>
        </w:rPr>
        <w:t>建设单位在能源管理制度的建立和落实方面已经取得了一定的成绩，为节能降耗奠</w:t>
      </w:r>
    </w:p>
    <w:p w14:paraId="2ED2AB89">
      <w:pPr>
        <w:spacing w:line="219" w:lineRule="auto"/>
        <w:rPr>
          <w:rFonts w:ascii="宋体" w:hAnsi="宋体" w:eastAsia="宋体" w:cs="宋体"/>
          <w:sz w:val="24"/>
          <w:szCs w:val="24"/>
        </w:rPr>
        <w:sectPr>
          <w:headerReference r:id="rId516" w:type="default"/>
          <w:footerReference r:id="rId517" w:type="default"/>
          <w:pgSz w:w="11906" w:h="16839"/>
          <w:pgMar w:top="1190" w:right="1417" w:bottom="1221" w:left="1418" w:header="882" w:footer="1059" w:gutter="0"/>
          <w:cols w:space="720" w:num="1"/>
        </w:sectPr>
      </w:pPr>
    </w:p>
    <w:p w14:paraId="1DEFD6AF">
      <w:pPr>
        <w:spacing w:line="28" w:lineRule="exact"/>
      </w:pPr>
      <w:r>
        <w:pict>
          <v:shape id="_x0000_s3103" o:spid="_x0000_s3103" style="height:1.45pt;width:453.55pt;" fillcolor="#000000" filled="t" stroked="f" coordsize="9070,29" path="m0,0l9070,0,9070,28,0,28,0,0xe">
            <v:path/>
            <v:fill on="t" focussize="0,0"/>
            <v:stroke on="f"/>
            <v:imagedata o:title=""/>
            <o:lock v:ext="edit"/>
            <w10:wrap type="none"/>
            <w10:anchorlock/>
          </v:shape>
        </w:pict>
      </w:r>
    </w:p>
    <w:p w14:paraId="37B54484">
      <w:pPr>
        <w:pStyle w:val="2"/>
        <w:spacing w:line="242" w:lineRule="auto"/>
      </w:pPr>
    </w:p>
    <w:p w14:paraId="719D197F">
      <w:pPr>
        <w:spacing w:before="78" w:line="367" w:lineRule="auto"/>
        <w:ind w:left="9" w:right="14" w:firstLine="5"/>
        <w:jc w:val="both"/>
        <w:rPr>
          <w:rFonts w:ascii="宋体" w:hAnsi="宋体" w:eastAsia="宋体" w:cs="宋体"/>
          <w:sz w:val="24"/>
          <w:szCs w:val="24"/>
        </w:rPr>
      </w:pPr>
      <w:r>
        <w:rPr>
          <w:rFonts w:ascii="宋体" w:hAnsi="宋体" w:eastAsia="宋体" w:cs="宋体"/>
          <w:spacing w:val="-6"/>
          <w:sz w:val="24"/>
          <w:szCs w:val="24"/>
        </w:rPr>
        <w:t>定了基础，在具体工作中，企业还需要加强能源统计管理和重</w:t>
      </w:r>
      <w:r>
        <w:rPr>
          <w:rFonts w:ascii="宋体" w:hAnsi="宋体" w:eastAsia="宋体" w:cs="宋体"/>
          <w:spacing w:val="-7"/>
          <w:sz w:val="24"/>
          <w:szCs w:val="24"/>
        </w:rPr>
        <w:t>点用能设备能耗核算管理，</w:t>
      </w:r>
      <w:r>
        <w:rPr>
          <w:rFonts w:ascii="宋体" w:hAnsi="宋体" w:eastAsia="宋体" w:cs="宋体"/>
          <w:sz w:val="24"/>
          <w:szCs w:val="24"/>
        </w:rPr>
        <w:t xml:space="preserve"> </w:t>
      </w:r>
      <w:r>
        <w:rPr>
          <w:rFonts w:ascii="宋体" w:hAnsi="宋体" w:eastAsia="宋体" w:cs="宋体"/>
          <w:spacing w:val="-2"/>
          <w:sz w:val="24"/>
          <w:szCs w:val="24"/>
        </w:rPr>
        <w:t>注重主要用能设备的运行管理，做好运行参数记录和加强用能分析，为相关部门提供准</w:t>
      </w:r>
      <w:r>
        <w:rPr>
          <w:rFonts w:ascii="宋体" w:hAnsi="宋体" w:eastAsia="宋体" w:cs="宋体"/>
          <w:spacing w:val="15"/>
          <w:sz w:val="24"/>
          <w:szCs w:val="24"/>
        </w:rPr>
        <w:t xml:space="preserve"> </w:t>
      </w:r>
      <w:r>
        <w:rPr>
          <w:rFonts w:ascii="宋体" w:hAnsi="宋体" w:eastAsia="宋体" w:cs="宋体"/>
          <w:spacing w:val="-1"/>
          <w:sz w:val="24"/>
          <w:szCs w:val="24"/>
        </w:rPr>
        <w:t>确的能耗指标，便于对标分析和进一步挖掘、探寻节能潜力。</w:t>
      </w:r>
    </w:p>
    <w:p w14:paraId="7C558026">
      <w:pPr>
        <w:spacing w:before="35" w:line="371" w:lineRule="auto"/>
        <w:ind w:left="8" w:right="75" w:firstLine="483"/>
        <w:jc w:val="both"/>
        <w:rPr>
          <w:rFonts w:ascii="宋体" w:hAnsi="宋体" w:eastAsia="宋体" w:cs="宋体"/>
          <w:sz w:val="24"/>
          <w:szCs w:val="24"/>
        </w:rPr>
      </w:pPr>
      <w:r>
        <w:rPr>
          <w:rFonts w:ascii="宋体" w:hAnsi="宋体" w:eastAsia="宋体" w:cs="宋体"/>
          <w:spacing w:val="-2"/>
          <w:sz w:val="24"/>
          <w:szCs w:val="24"/>
        </w:rPr>
        <w:t>为了在节能方面取得更大成效，公司需不断完善能源管理制度，明确各项节能减排</w:t>
      </w:r>
      <w:r>
        <w:rPr>
          <w:rFonts w:ascii="宋体" w:hAnsi="宋体" w:eastAsia="宋体" w:cs="宋体"/>
          <w:spacing w:val="8"/>
          <w:sz w:val="24"/>
          <w:szCs w:val="24"/>
        </w:rPr>
        <w:t xml:space="preserve"> </w:t>
      </w:r>
      <w:r>
        <w:rPr>
          <w:rFonts w:ascii="宋体" w:hAnsi="宋体" w:eastAsia="宋体" w:cs="宋体"/>
          <w:spacing w:val="-2"/>
          <w:sz w:val="24"/>
          <w:szCs w:val="24"/>
        </w:rPr>
        <w:t>项目的考核目标值、责任人、考核时机等内容，实行层级落实；企业节能管理体系要从</w:t>
      </w:r>
      <w:r>
        <w:rPr>
          <w:rFonts w:ascii="宋体" w:hAnsi="宋体" w:eastAsia="宋体" w:cs="宋体"/>
          <w:spacing w:val="16"/>
          <w:sz w:val="24"/>
          <w:szCs w:val="24"/>
        </w:rPr>
        <w:t xml:space="preserve"> </w:t>
      </w:r>
      <w:r>
        <w:rPr>
          <w:rFonts w:ascii="宋体" w:hAnsi="宋体" w:eastAsia="宋体" w:cs="宋体"/>
          <w:spacing w:val="-2"/>
          <w:sz w:val="24"/>
          <w:szCs w:val="24"/>
        </w:rPr>
        <w:t>单一的能源部门纵向管理体系转向计划、生产、技术、原燃料供应、设备等部门与能源</w:t>
      </w:r>
      <w:r>
        <w:rPr>
          <w:rFonts w:ascii="宋体" w:hAnsi="宋体" w:eastAsia="宋体" w:cs="宋体"/>
          <w:spacing w:val="16"/>
          <w:sz w:val="24"/>
          <w:szCs w:val="24"/>
        </w:rPr>
        <w:t xml:space="preserve"> </w:t>
      </w:r>
      <w:r>
        <w:rPr>
          <w:rFonts w:ascii="宋体" w:hAnsi="宋体" w:eastAsia="宋体" w:cs="宋体"/>
          <w:spacing w:val="-2"/>
          <w:sz w:val="24"/>
          <w:szCs w:val="24"/>
        </w:rPr>
        <w:t>管理部门分工协作的综合能源管理体系，强调各生产工序之间的协调配合，逐步建立能</w:t>
      </w:r>
      <w:r>
        <w:rPr>
          <w:rFonts w:ascii="宋体" w:hAnsi="宋体" w:eastAsia="宋体" w:cs="宋体"/>
          <w:spacing w:val="16"/>
          <w:sz w:val="24"/>
          <w:szCs w:val="24"/>
        </w:rPr>
        <w:t xml:space="preserve"> </w:t>
      </w:r>
      <w:r>
        <w:rPr>
          <w:rFonts w:ascii="宋体" w:hAnsi="宋体" w:eastAsia="宋体" w:cs="宋体"/>
          <w:spacing w:val="-2"/>
          <w:sz w:val="24"/>
          <w:szCs w:val="24"/>
        </w:rPr>
        <w:t>源标准化。</w:t>
      </w:r>
    </w:p>
    <w:p w14:paraId="24B0C240">
      <w:pPr>
        <w:spacing w:before="32" w:line="367" w:lineRule="auto"/>
        <w:ind w:left="5" w:firstLine="486"/>
        <w:rPr>
          <w:rFonts w:ascii="宋体" w:hAnsi="宋体" w:eastAsia="宋体" w:cs="宋体"/>
          <w:sz w:val="24"/>
          <w:szCs w:val="24"/>
        </w:rPr>
      </w:pPr>
      <w:r>
        <w:rPr>
          <w:rFonts w:ascii="宋体" w:hAnsi="宋体" w:eastAsia="宋体" w:cs="宋体"/>
          <w:spacing w:val="-6"/>
          <w:sz w:val="24"/>
          <w:szCs w:val="24"/>
        </w:rPr>
        <w:t>按照《关于进一步加强节能标准更新升级和应用实施的通知》（发改环资规〔</w:t>
      </w:r>
      <w:r>
        <w:rPr>
          <w:rFonts w:ascii="Times New Roman" w:hAnsi="Times New Roman" w:eastAsia="Times New Roman" w:cs="Times New Roman"/>
          <w:spacing w:val="-6"/>
          <w:sz w:val="24"/>
          <w:szCs w:val="24"/>
        </w:rPr>
        <w:t>2023</w:t>
      </w:r>
      <w:r>
        <w:rPr>
          <w:rFonts w:ascii="宋体" w:hAnsi="宋体" w:eastAsia="宋体" w:cs="宋体"/>
          <w:spacing w:val="-6"/>
          <w:sz w:val="24"/>
          <w:szCs w:val="24"/>
        </w:rPr>
        <w:t>〕</w:t>
      </w:r>
      <w:r>
        <w:rPr>
          <w:rFonts w:ascii="宋体" w:hAnsi="宋体" w:eastAsia="宋体" w:cs="宋体"/>
          <w:spacing w:val="6"/>
          <w:sz w:val="24"/>
          <w:szCs w:val="24"/>
        </w:rPr>
        <w:t xml:space="preserve"> </w:t>
      </w:r>
      <w:r>
        <w:rPr>
          <w:rFonts w:ascii="Times New Roman" w:hAnsi="Times New Roman" w:eastAsia="Times New Roman" w:cs="Times New Roman"/>
          <w:spacing w:val="2"/>
          <w:sz w:val="24"/>
          <w:szCs w:val="24"/>
        </w:rPr>
        <w:t>269</w:t>
      </w:r>
      <w:r>
        <w:rPr>
          <w:rFonts w:ascii="宋体" w:hAnsi="宋体" w:eastAsia="宋体" w:cs="宋体"/>
          <w:spacing w:val="2"/>
          <w:sz w:val="24"/>
          <w:szCs w:val="24"/>
        </w:rPr>
        <w:t>号）文件要求，提高电机能效，尽可能满</w:t>
      </w:r>
      <w:r>
        <w:rPr>
          <w:rFonts w:ascii="宋体" w:hAnsi="宋体" w:eastAsia="宋体" w:cs="宋体"/>
          <w:spacing w:val="1"/>
          <w:sz w:val="24"/>
          <w:szCs w:val="24"/>
        </w:rPr>
        <w:t>足一级能效要求，通过减少用电量间接减</w:t>
      </w:r>
      <w:r>
        <w:rPr>
          <w:rFonts w:ascii="宋体" w:hAnsi="宋体" w:eastAsia="宋体" w:cs="宋体"/>
          <w:sz w:val="24"/>
          <w:szCs w:val="24"/>
        </w:rPr>
        <w:t xml:space="preserve"> </w:t>
      </w:r>
      <w:r>
        <w:rPr>
          <w:rFonts w:ascii="宋体" w:hAnsi="宋体" w:eastAsia="宋体" w:cs="宋体"/>
          <w:spacing w:val="-1"/>
          <w:sz w:val="24"/>
          <w:szCs w:val="24"/>
        </w:rPr>
        <w:t>少二氧化碳排放量。</w:t>
      </w:r>
    </w:p>
    <w:p w14:paraId="406F9F03">
      <w:pPr>
        <w:spacing w:before="37"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2</w:t>
      </w:r>
      <w:r>
        <w:rPr>
          <w:rFonts w:ascii="宋体" w:hAnsi="宋体" w:eastAsia="宋体" w:cs="宋体"/>
          <w:spacing w:val="-3"/>
          <w:sz w:val="24"/>
          <w:szCs w:val="24"/>
        </w:rPr>
        <w:t>）绿色电力</w:t>
      </w:r>
    </w:p>
    <w:p w14:paraId="7A3AA52C">
      <w:pPr>
        <w:spacing w:before="206" w:line="367" w:lineRule="auto"/>
        <w:ind w:left="8" w:right="75" w:firstLine="481"/>
        <w:rPr>
          <w:rFonts w:ascii="宋体" w:hAnsi="宋体" w:eastAsia="宋体" w:cs="宋体"/>
          <w:sz w:val="24"/>
          <w:szCs w:val="24"/>
        </w:rPr>
      </w:pPr>
      <w:r>
        <w:rPr>
          <w:rFonts w:ascii="宋体" w:hAnsi="宋体" w:eastAsia="宋体" w:cs="宋体"/>
          <w:spacing w:val="-2"/>
          <w:sz w:val="24"/>
          <w:szCs w:val="24"/>
        </w:rPr>
        <w:t>利用特定的发电设备，如风机、太阳能光伏电池等，将风能、太阳能等可再生的能</w:t>
      </w:r>
      <w:r>
        <w:rPr>
          <w:rFonts w:ascii="宋体" w:hAnsi="宋体" w:eastAsia="宋体" w:cs="宋体"/>
          <w:spacing w:val="10"/>
          <w:sz w:val="24"/>
          <w:szCs w:val="24"/>
        </w:rPr>
        <w:t xml:space="preserve"> </w:t>
      </w:r>
      <w:r>
        <w:rPr>
          <w:rFonts w:ascii="宋体" w:hAnsi="宋体" w:eastAsia="宋体" w:cs="宋体"/>
          <w:spacing w:val="-2"/>
          <w:sz w:val="24"/>
          <w:szCs w:val="24"/>
        </w:rPr>
        <w:t>源转化成电能，通过这种方式产生的电力因其发电过程中不产生或很少产生二氧化碳的</w:t>
      </w:r>
      <w:r>
        <w:rPr>
          <w:rFonts w:ascii="宋体" w:hAnsi="宋体" w:eastAsia="宋体" w:cs="宋体"/>
          <w:spacing w:val="16"/>
          <w:sz w:val="24"/>
          <w:szCs w:val="24"/>
        </w:rPr>
        <w:t xml:space="preserve"> </w:t>
      </w:r>
      <w:r>
        <w:rPr>
          <w:rFonts w:ascii="宋体" w:hAnsi="宋体" w:eastAsia="宋体" w:cs="宋体"/>
          <w:spacing w:val="-3"/>
          <w:sz w:val="24"/>
          <w:szCs w:val="24"/>
        </w:rPr>
        <w:t>排放。</w:t>
      </w:r>
    </w:p>
    <w:p w14:paraId="0ADA1073">
      <w:pPr>
        <w:spacing w:before="34"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）密闭操作</w:t>
      </w:r>
    </w:p>
    <w:p w14:paraId="19BB5F3A">
      <w:pPr>
        <w:spacing w:before="204" w:line="367" w:lineRule="auto"/>
        <w:ind w:left="9" w:right="75" w:firstLine="483"/>
        <w:rPr>
          <w:rFonts w:ascii="宋体" w:hAnsi="宋体" w:eastAsia="宋体" w:cs="宋体"/>
          <w:sz w:val="24"/>
          <w:szCs w:val="24"/>
        </w:rPr>
      </w:pPr>
      <w:r>
        <w:rPr>
          <w:rFonts w:ascii="宋体" w:hAnsi="宋体" w:eastAsia="宋体" w:cs="宋体"/>
          <w:spacing w:val="2"/>
          <w:sz w:val="24"/>
          <w:szCs w:val="24"/>
        </w:rPr>
        <w:t>项目生产过程中实行密闭式操作，采用密闭</w:t>
      </w:r>
      <w:r>
        <w:rPr>
          <w:rFonts w:ascii="宋体" w:hAnsi="宋体" w:eastAsia="宋体" w:cs="宋体"/>
          <w:spacing w:val="1"/>
          <w:sz w:val="24"/>
          <w:szCs w:val="24"/>
        </w:rPr>
        <w:t>设备、密闭原料输送管道；对固体 原</w:t>
      </w:r>
      <w:r>
        <w:rPr>
          <w:rFonts w:ascii="宋体" w:hAnsi="宋体" w:eastAsia="宋体" w:cs="宋体"/>
          <w:sz w:val="24"/>
          <w:szCs w:val="24"/>
        </w:rPr>
        <w:t xml:space="preserve"> </w:t>
      </w:r>
      <w:r>
        <w:rPr>
          <w:rFonts w:ascii="宋体" w:hAnsi="宋体" w:eastAsia="宋体" w:cs="宋体"/>
          <w:spacing w:val="-2"/>
          <w:sz w:val="24"/>
          <w:szCs w:val="24"/>
        </w:rPr>
        <w:t>料采用双阀或真空进料，液体物料采用泵密闭输送的方式，通过以上投料方式可以减少</w:t>
      </w:r>
      <w:r>
        <w:rPr>
          <w:rFonts w:ascii="宋体" w:hAnsi="宋体" w:eastAsia="宋体" w:cs="宋体"/>
          <w:spacing w:val="15"/>
          <w:sz w:val="24"/>
          <w:szCs w:val="24"/>
        </w:rPr>
        <w:t xml:space="preserve"> </w:t>
      </w:r>
      <w:r>
        <w:rPr>
          <w:rFonts w:ascii="宋体" w:hAnsi="宋体" w:eastAsia="宋体" w:cs="宋体"/>
          <w:spacing w:val="-1"/>
          <w:sz w:val="24"/>
          <w:szCs w:val="24"/>
        </w:rPr>
        <w:t>原料在投料时不必要的损耗，同时也避免原料泼洒对环境的污染。</w:t>
      </w:r>
    </w:p>
    <w:p w14:paraId="25604D8C">
      <w:pPr>
        <w:spacing w:before="36"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）电车运输物料</w:t>
      </w:r>
    </w:p>
    <w:p w14:paraId="0B1CF8D1">
      <w:pPr>
        <w:spacing w:before="206" w:line="369" w:lineRule="auto"/>
        <w:ind w:left="9" w:right="75" w:firstLine="482"/>
        <w:rPr>
          <w:rFonts w:ascii="宋体" w:hAnsi="宋体" w:eastAsia="宋体" w:cs="宋体"/>
          <w:sz w:val="24"/>
          <w:szCs w:val="24"/>
        </w:rPr>
      </w:pPr>
      <w:r>
        <w:rPr>
          <w:rFonts w:ascii="宋体" w:hAnsi="宋体" w:eastAsia="宋体" w:cs="宋体"/>
          <w:spacing w:val="-2"/>
          <w:sz w:val="24"/>
          <w:szCs w:val="24"/>
        </w:rPr>
        <w:t>组织开展厂内全面电动化先行区试点工作，加快物流配送等新能源汽车推广应用，</w:t>
      </w:r>
      <w:r>
        <w:rPr>
          <w:rFonts w:ascii="宋体" w:hAnsi="宋体" w:eastAsia="宋体" w:cs="宋体"/>
          <w:spacing w:val="8"/>
          <w:sz w:val="24"/>
          <w:szCs w:val="24"/>
        </w:rPr>
        <w:t xml:space="preserve"> </w:t>
      </w:r>
      <w:r>
        <w:rPr>
          <w:rFonts w:ascii="宋体" w:hAnsi="宋体" w:eastAsia="宋体" w:cs="宋体"/>
          <w:spacing w:val="-2"/>
          <w:sz w:val="24"/>
          <w:szCs w:val="24"/>
        </w:rPr>
        <w:t>研究探索推广区域货运重卡零排放试点，进一步提储运系统车辆电动化水平。鼓励开展</w:t>
      </w:r>
      <w:r>
        <w:rPr>
          <w:rFonts w:ascii="宋体" w:hAnsi="宋体" w:eastAsia="宋体" w:cs="宋体"/>
          <w:spacing w:val="15"/>
          <w:sz w:val="24"/>
          <w:szCs w:val="24"/>
        </w:rPr>
        <w:t xml:space="preserve"> </w:t>
      </w:r>
      <w:r>
        <w:rPr>
          <w:rFonts w:ascii="宋体" w:hAnsi="宋体" w:eastAsia="宋体" w:cs="宋体"/>
          <w:spacing w:val="-2"/>
          <w:sz w:val="24"/>
          <w:szCs w:val="24"/>
        </w:rPr>
        <w:t>新能源汽车换电模式应用，推动新能源汽车与能源深度融合发展。深入推进燃料电池汽</w:t>
      </w:r>
      <w:r>
        <w:rPr>
          <w:rFonts w:ascii="宋体" w:hAnsi="宋体" w:eastAsia="宋体" w:cs="宋体"/>
          <w:spacing w:val="15"/>
          <w:sz w:val="24"/>
          <w:szCs w:val="24"/>
        </w:rPr>
        <w:t xml:space="preserve"> </w:t>
      </w:r>
      <w:r>
        <w:rPr>
          <w:rFonts w:ascii="宋体" w:hAnsi="宋体" w:eastAsia="宋体" w:cs="宋体"/>
          <w:spacing w:val="-1"/>
          <w:sz w:val="24"/>
          <w:szCs w:val="24"/>
        </w:rPr>
        <w:t>车示范，稳步提升燃料电池汽车应用规模。</w:t>
      </w:r>
    </w:p>
    <w:p w14:paraId="1983C346">
      <w:pPr>
        <w:spacing w:before="36"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）持续清洁生产</w:t>
      </w:r>
    </w:p>
    <w:p w14:paraId="71C7E3A6">
      <w:pPr>
        <w:spacing w:before="204" w:line="367" w:lineRule="auto"/>
        <w:ind w:left="8" w:right="75" w:firstLine="483"/>
        <w:rPr>
          <w:rFonts w:ascii="宋体" w:hAnsi="宋体" w:eastAsia="宋体" w:cs="宋体"/>
          <w:sz w:val="24"/>
          <w:szCs w:val="24"/>
        </w:rPr>
      </w:pPr>
      <w:r>
        <w:rPr>
          <w:rFonts w:ascii="宋体" w:hAnsi="宋体" w:eastAsia="宋体" w:cs="宋体"/>
          <w:spacing w:val="-2"/>
          <w:sz w:val="24"/>
          <w:szCs w:val="24"/>
        </w:rPr>
        <w:t>建立专门负责清洁生产的领导机构，各主管人员职责分工明确；有清洁生产管理制</w:t>
      </w:r>
      <w:r>
        <w:rPr>
          <w:rFonts w:ascii="宋体" w:hAnsi="宋体" w:eastAsia="宋体" w:cs="宋体"/>
          <w:spacing w:val="8"/>
          <w:sz w:val="24"/>
          <w:szCs w:val="24"/>
        </w:rPr>
        <w:t xml:space="preserve"> </w:t>
      </w:r>
      <w:r>
        <w:rPr>
          <w:rFonts w:ascii="宋体" w:hAnsi="宋体" w:eastAsia="宋体" w:cs="宋体"/>
          <w:spacing w:val="-2"/>
          <w:sz w:val="24"/>
          <w:szCs w:val="24"/>
        </w:rPr>
        <w:t>度和奖励管理办法，有执行情况检查记录；有清洁生产工作规划及年度工作计划，对规</w:t>
      </w:r>
      <w:r>
        <w:rPr>
          <w:rFonts w:ascii="宋体" w:hAnsi="宋体" w:eastAsia="宋体" w:cs="宋体"/>
          <w:spacing w:val="16"/>
          <w:sz w:val="24"/>
          <w:szCs w:val="24"/>
        </w:rPr>
        <w:t xml:space="preserve"> </w:t>
      </w:r>
      <w:r>
        <w:rPr>
          <w:rFonts w:ascii="宋体" w:hAnsi="宋体" w:eastAsia="宋体" w:cs="宋体"/>
          <w:spacing w:val="2"/>
          <w:sz w:val="24"/>
          <w:szCs w:val="24"/>
        </w:rPr>
        <w:t>划、计划提出的目标、指标、清洁生产方案，认真</w:t>
      </w:r>
      <w:r>
        <w:rPr>
          <w:rFonts w:ascii="宋体" w:hAnsi="宋体" w:eastAsia="宋体" w:cs="宋体"/>
          <w:spacing w:val="1"/>
          <w:sz w:val="24"/>
          <w:szCs w:val="24"/>
        </w:rPr>
        <w:t>组织落实；资源、能源、环保设 施</w:t>
      </w:r>
    </w:p>
    <w:p w14:paraId="65B22C49">
      <w:pPr>
        <w:spacing w:line="367" w:lineRule="auto"/>
        <w:rPr>
          <w:rFonts w:ascii="宋体" w:hAnsi="宋体" w:eastAsia="宋体" w:cs="宋体"/>
          <w:sz w:val="24"/>
          <w:szCs w:val="24"/>
        </w:rPr>
        <w:sectPr>
          <w:headerReference r:id="rId518" w:type="default"/>
          <w:footerReference r:id="rId519" w:type="default"/>
          <w:pgSz w:w="11906" w:h="16839"/>
          <w:pgMar w:top="1190" w:right="1342" w:bottom="1221" w:left="1418" w:header="882" w:footer="1059" w:gutter="0"/>
          <w:cols w:space="720" w:num="1"/>
        </w:sectPr>
      </w:pPr>
    </w:p>
    <w:p w14:paraId="436C068F">
      <w:pPr>
        <w:spacing w:line="28" w:lineRule="exact"/>
      </w:pPr>
      <w:r>
        <w:pict>
          <v:shape id="_x0000_s3104" o:spid="_x0000_s3104" style="height:1.45pt;width:453.55pt;" fillcolor="#000000" filled="t" stroked="f" coordsize="9070,29" path="m0,0l9070,0,9070,28,0,28,0,0xe">
            <v:path/>
            <v:fill on="t" focussize="0,0"/>
            <v:stroke on="f"/>
            <v:imagedata o:title=""/>
            <o:lock v:ext="edit"/>
            <w10:wrap type="none"/>
            <w10:anchorlock/>
          </v:shape>
        </w:pict>
      </w:r>
    </w:p>
    <w:p w14:paraId="0ABE1FBB">
      <w:pPr>
        <w:pStyle w:val="2"/>
        <w:spacing w:line="243" w:lineRule="auto"/>
      </w:pPr>
    </w:p>
    <w:p w14:paraId="55800DA0">
      <w:pPr>
        <w:spacing w:before="78" w:line="363" w:lineRule="auto"/>
        <w:ind w:left="9"/>
        <w:rPr>
          <w:rFonts w:ascii="宋体" w:hAnsi="宋体" w:eastAsia="宋体" w:cs="宋体"/>
          <w:sz w:val="24"/>
          <w:szCs w:val="24"/>
        </w:rPr>
      </w:pPr>
      <w:r>
        <w:rPr>
          <w:rFonts w:ascii="宋体" w:hAnsi="宋体" w:eastAsia="宋体" w:cs="宋体"/>
          <w:spacing w:val="-2"/>
          <w:sz w:val="24"/>
          <w:szCs w:val="24"/>
        </w:rPr>
        <w:t>运行统计台账齐全；制定环境突发性事件应急预案并定期演练。按无组织排放监管政策</w:t>
      </w:r>
      <w:r>
        <w:rPr>
          <w:rFonts w:ascii="宋体" w:hAnsi="宋体" w:eastAsia="宋体" w:cs="宋体"/>
          <w:spacing w:val="15"/>
          <w:sz w:val="24"/>
          <w:szCs w:val="24"/>
        </w:rPr>
        <w:t xml:space="preserve"> </w:t>
      </w:r>
      <w:r>
        <w:rPr>
          <w:rFonts w:ascii="宋体" w:hAnsi="宋体" w:eastAsia="宋体" w:cs="宋体"/>
          <w:spacing w:val="-1"/>
          <w:sz w:val="24"/>
          <w:szCs w:val="24"/>
        </w:rPr>
        <w:t>要求，加强对无组织排放防控措施，减少生产过程无组织排放。</w:t>
      </w:r>
    </w:p>
    <w:p w14:paraId="6279656B">
      <w:pPr>
        <w:spacing w:before="77" w:line="231" w:lineRule="auto"/>
        <w:ind w:left="13"/>
        <w:outlineLvl w:val="0"/>
        <w:rPr>
          <w:rFonts w:ascii="黑体" w:hAnsi="黑体" w:eastAsia="黑体" w:cs="黑体"/>
          <w:sz w:val="31"/>
          <w:szCs w:val="31"/>
        </w:rPr>
      </w:pPr>
      <w:bookmarkStart w:id="497" w:name="bookmark462"/>
      <w:bookmarkEnd w:id="497"/>
      <w:r>
        <w:rPr>
          <w:rFonts w:ascii="Times New Roman" w:hAnsi="Times New Roman" w:eastAsia="Times New Roman" w:cs="Times New Roman"/>
          <w:sz w:val="31"/>
          <w:szCs w:val="31"/>
        </w:rPr>
        <w:t>9.5</w:t>
      </w:r>
      <w:r>
        <w:rPr>
          <w:rFonts w:ascii="Times New Roman" w:hAnsi="Times New Roman" w:eastAsia="Times New Roman" w:cs="Times New Roman"/>
          <w:spacing w:val="19"/>
          <w:sz w:val="31"/>
          <w:szCs w:val="31"/>
        </w:rPr>
        <w:t xml:space="preserve"> </w:t>
      </w:r>
      <w:r>
        <w:rPr>
          <w:rFonts w:ascii="黑体" w:hAnsi="黑体" w:eastAsia="黑体" w:cs="黑体"/>
          <w:sz w:val="31"/>
          <w:szCs w:val="31"/>
        </w:rPr>
        <w:t>结论</w:t>
      </w:r>
    </w:p>
    <w:p w14:paraId="38BC271E">
      <w:pPr>
        <w:spacing w:before="218" w:line="368" w:lineRule="auto"/>
        <w:ind w:left="11" w:right="7" w:firstLine="479"/>
        <w:jc w:val="both"/>
        <w:rPr>
          <w:rFonts w:ascii="宋体" w:hAnsi="宋体" w:eastAsia="宋体" w:cs="宋体"/>
          <w:sz w:val="24"/>
          <w:szCs w:val="24"/>
        </w:rPr>
      </w:pPr>
      <w:r>
        <w:rPr>
          <w:rFonts w:ascii="宋体" w:hAnsi="宋体" w:eastAsia="宋体" w:cs="宋体"/>
          <w:spacing w:val="-2"/>
          <w:sz w:val="24"/>
          <w:szCs w:val="24"/>
        </w:rPr>
        <w:t>本项目碳排放总量为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1483117.07tCO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7"/>
          <w:position w:val="-1"/>
          <w:sz w:val="15"/>
          <w:szCs w:val="15"/>
        </w:rPr>
        <w:t xml:space="preserve"> </w:t>
      </w:r>
      <w:r>
        <w:rPr>
          <w:rFonts w:ascii="宋体" w:hAnsi="宋体" w:eastAsia="宋体" w:cs="宋体"/>
          <w:spacing w:val="-2"/>
          <w:sz w:val="24"/>
          <w:szCs w:val="24"/>
        </w:rPr>
        <w:t>，工业增加值为</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134963.85</w:t>
      </w:r>
      <w:r>
        <w:rPr>
          <w:rFonts w:ascii="Times New Roman" w:hAnsi="Times New Roman" w:eastAsia="Times New Roman" w:cs="Times New Roman"/>
          <w:spacing w:val="15"/>
          <w:w w:val="101"/>
          <w:sz w:val="24"/>
          <w:szCs w:val="24"/>
        </w:rPr>
        <w:t xml:space="preserve"> </w:t>
      </w:r>
      <w:r>
        <w:rPr>
          <w:rFonts w:ascii="宋体" w:hAnsi="宋体" w:eastAsia="宋体" w:cs="宋体"/>
          <w:spacing w:val="-3"/>
          <w:sz w:val="24"/>
          <w:szCs w:val="24"/>
        </w:rPr>
        <w:t>万元，计算得出项</w:t>
      </w:r>
      <w:r>
        <w:rPr>
          <w:rFonts w:ascii="宋体" w:hAnsi="宋体" w:eastAsia="宋体" w:cs="宋体"/>
          <w:sz w:val="24"/>
          <w:szCs w:val="24"/>
        </w:rPr>
        <w:t xml:space="preserve"> </w:t>
      </w:r>
      <w:r>
        <w:rPr>
          <w:rFonts w:ascii="宋体" w:hAnsi="宋体" w:eastAsia="宋体" w:cs="宋体"/>
          <w:spacing w:val="-1"/>
          <w:sz w:val="24"/>
          <w:szCs w:val="24"/>
        </w:rPr>
        <w:t>目碳排放强度为</w:t>
      </w:r>
      <w:r>
        <w:rPr>
          <w:rFonts w:ascii="宋体" w:hAnsi="宋体" w:eastAsia="宋体" w:cs="宋体"/>
          <w:spacing w:val="-29"/>
          <w:sz w:val="24"/>
          <w:szCs w:val="24"/>
        </w:rPr>
        <w:t xml:space="preserve"> </w:t>
      </w:r>
      <w:r>
        <w:rPr>
          <w:rFonts w:ascii="Times New Roman" w:hAnsi="Times New Roman" w:eastAsia="Times New Roman" w:cs="Times New Roman"/>
          <w:spacing w:val="-1"/>
          <w:sz w:val="24"/>
          <w:szCs w:val="24"/>
        </w:rPr>
        <w:t>10.99tCO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w:t>
      </w:r>
      <w:r>
        <w:rPr>
          <w:rFonts w:ascii="宋体" w:hAnsi="宋体" w:eastAsia="宋体" w:cs="宋体"/>
          <w:spacing w:val="-1"/>
          <w:sz w:val="24"/>
          <w:szCs w:val="24"/>
        </w:rPr>
        <w:t>万元。建设单位应通过节能技改、绿色电力、密闭操作、电</w:t>
      </w:r>
      <w:r>
        <w:rPr>
          <w:rFonts w:ascii="宋体" w:hAnsi="宋体" w:eastAsia="宋体" w:cs="宋体"/>
          <w:sz w:val="24"/>
          <w:szCs w:val="24"/>
        </w:rPr>
        <w:t xml:space="preserve"> </w:t>
      </w:r>
      <w:r>
        <w:rPr>
          <w:rFonts w:ascii="宋体" w:hAnsi="宋体" w:eastAsia="宋体" w:cs="宋体"/>
          <w:spacing w:val="-1"/>
          <w:sz w:val="24"/>
          <w:szCs w:val="24"/>
        </w:rPr>
        <w:t>车运输物料以及持续清洁生产等措施进行减碳减排。</w:t>
      </w:r>
    </w:p>
    <w:p w14:paraId="734B2003">
      <w:pPr>
        <w:spacing w:line="368" w:lineRule="auto"/>
        <w:rPr>
          <w:rFonts w:ascii="宋体" w:hAnsi="宋体" w:eastAsia="宋体" w:cs="宋体"/>
          <w:sz w:val="24"/>
          <w:szCs w:val="24"/>
        </w:rPr>
        <w:sectPr>
          <w:headerReference r:id="rId520" w:type="default"/>
          <w:footerReference r:id="rId521" w:type="default"/>
          <w:pgSz w:w="11906" w:h="16839"/>
          <w:pgMar w:top="1190" w:right="1417" w:bottom="1221" w:left="1418" w:header="882" w:footer="1059" w:gutter="0"/>
          <w:cols w:space="720" w:num="1"/>
        </w:sectPr>
      </w:pPr>
    </w:p>
    <w:p w14:paraId="0969F9FC">
      <w:pPr>
        <w:spacing w:line="28" w:lineRule="exact"/>
      </w:pPr>
      <w:r>
        <w:pict>
          <v:shape id="_x0000_s3105" o:spid="_x0000_s3105" style="height:1.45pt;width:453.55pt;" fillcolor="#000000" filled="t" stroked="f" coordsize="9070,29" path="m0,0l9070,0,9070,28,0,28,0,0xe">
            <v:path/>
            <v:fill on="t" focussize="0,0"/>
            <v:stroke on="f"/>
            <v:imagedata o:title=""/>
            <o:lock v:ext="edit"/>
            <w10:wrap type="none"/>
            <w10:anchorlock/>
          </v:shape>
        </w:pict>
      </w:r>
    </w:p>
    <w:p w14:paraId="0D598E2E">
      <w:pPr>
        <w:spacing w:before="344" w:line="227" w:lineRule="auto"/>
        <w:ind w:left="2292"/>
        <w:rPr>
          <w:rFonts w:ascii="黑体" w:hAnsi="黑体" w:eastAsia="黑体" w:cs="黑体"/>
          <w:sz w:val="35"/>
          <w:szCs w:val="35"/>
        </w:rPr>
      </w:pPr>
      <w:bookmarkStart w:id="498" w:name="bookmark466"/>
      <w:bookmarkEnd w:id="498"/>
      <w:bookmarkStart w:id="499" w:name="bookmark464"/>
      <w:bookmarkEnd w:id="499"/>
      <w:r>
        <w:rPr>
          <w:rFonts w:ascii="黑体" w:hAnsi="黑体" w:eastAsia="黑体" w:cs="黑体"/>
          <w:b/>
          <w:bCs/>
          <w:spacing w:val="3"/>
          <w:sz w:val="35"/>
          <w:szCs w:val="35"/>
        </w:rPr>
        <w:t>第</w:t>
      </w:r>
      <w:r>
        <w:rPr>
          <w:rFonts w:ascii="黑体" w:hAnsi="黑体" w:eastAsia="黑体" w:cs="黑体"/>
          <w:spacing w:val="-48"/>
          <w:sz w:val="35"/>
          <w:szCs w:val="35"/>
        </w:rPr>
        <w:t xml:space="preserve"> </w:t>
      </w:r>
      <w:r>
        <w:rPr>
          <w:rFonts w:ascii="Times New Roman" w:hAnsi="Times New Roman" w:eastAsia="Times New Roman" w:cs="Times New Roman"/>
          <w:b/>
          <w:bCs/>
          <w:spacing w:val="3"/>
          <w:sz w:val="35"/>
          <w:szCs w:val="35"/>
        </w:rPr>
        <w:t xml:space="preserve">10 </w:t>
      </w:r>
      <w:r>
        <w:rPr>
          <w:rFonts w:ascii="黑体" w:hAnsi="黑体" w:eastAsia="黑体" w:cs="黑体"/>
          <w:b/>
          <w:bCs/>
          <w:spacing w:val="3"/>
          <w:sz w:val="35"/>
          <w:szCs w:val="35"/>
        </w:rPr>
        <w:t>章</w:t>
      </w:r>
      <w:r>
        <w:rPr>
          <w:rFonts w:ascii="黑体" w:hAnsi="黑体" w:eastAsia="黑体" w:cs="黑体"/>
          <w:spacing w:val="3"/>
          <w:sz w:val="35"/>
          <w:szCs w:val="35"/>
        </w:rPr>
        <w:t xml:space="preserve">  </w:t>
      </w:r>
      <w:r>
        <w:rPr>
          <w:rFonts w:ascii="黑体" w:hAnsi="黑体" w:eastAsia="黑体" w:cs="黑体"/>
          <w:b/>
          <w:bCs/>
          <w:spacing w:val="3"/>
          <w:sz w:val="35"/>
          <w:szCs w:val="35"/>
        </w:rPr>
        <w:t>环境影响评价结论</w:t>
      </w:r>
    </w:p>
    <w:p w14:paraId="6D377B2C">
      <w:pPr>
        <w:pStyle w:val="2"/>
        <w:spacing w:line="466" w:lineRule="auto"/>
      </w:pPr>
    </w:p>
    <w:p w14:paraId="35A24E65">
      <w:pPr>
        <w:spacing w:before="101" w:line="226" w:lineRule="auto"/>
        <w:ind w:left="37"/>
        <w:outlineLvl w:val="1"/>
        <w:rPr>
          <w:rFonts w:ascii="黑体" w:hAnsi="黑体" w:eastAsia="黑体" w:cs="黑体"/>
          <w:sz w:val="31"/>
          <w:szCs w:val="31"/>
        </w:rPr>
      </w:pPr>
      <w:r>
        <w:rPr>
          <w:rFonts w:ascii="Times New Roman" w:hAnsi="Times New Roman" w:eastAsia="Times New Roman" w:cs="Times New Roman"/>
          <w:spacing w:val="2"/>
          <w:sz w:val="31"/>
          <w:szCs w:val="31"/>
        </w:rPr>
        <w:t xml:space="preserve">10.1 </w:t>
      </w:r>
      <w:r>
        <w:rPr>
          <w:rFonts w:ascii="黑体" w:hAnsi="黑体" w:eastAsia="黑体" w:cs="黑体"/>
          <w:spacing w:val="2"/>
          <w:sz w:val="31"/>
          <w:szCs w:val="31"/>
        </w:rPr>
        <w:t>项目概况</w:t>
      </w:r>
    </w:p>
    <w:p w14:paraId="018054DC">
      <w:pPr>
        <w:spacing w:before="226" w:line="368" w:lineRule="auto"/>
        <w:ind w:left="9" w:right="18" w:firstLine="562"/>
        <w:rPr>
          <w:rFonts w:ascii="宋体" w:hAnsi="宋体" w:eastAsia="宋体" w:cs="宋体"/>
          <w:sz w:val="24"/>
          <w:szCs w:val="24"/>
        </w:rPr>
      </w:pPr>
      <w:r>
        <w:rPr>
          <w:rFonts w:ascii="宋体" w:hAnsi="宋体" w:eastAsia="宋体" w:cs="宋体"/>
          <w:spacing w:val="-7"/>
          <w:sz w:val="24"/>
          <w:szCs w:val="24"/>
        </w:rPr>
        <w:t>本项目拟建</w:t>
      </w:r>
      <w:r>
        <w:rPr>
          <w:rFonts w:ascii="宋体" w:hAnsi="宋体" w:eastAsia="宋体" w:cs="宋体"/>
          <w:spacing w:val="-58"/>
          <w:sz w:val="24"/>
          <w:szCs w:val="24"/>
        </w:rPr>
        <w:t xml:space="preserve"> </w:t>
      </w:r>
      <w:r>
        <w:rPr>
          <w:rFonts w:ascii="Times New Roman" w:hAnsi="Times New Roman" w:eastAsia="Times New Roman" w:cs="Times New Roman"/>
          <w:spacing w:val="-7"/>
          <w:sz w:val="24"/>
          <w:szCs w:val="24"/>
        </w:rPr>
        <w:t>6</w:t>
      </w:r>
      <w:r>
        <w:rPr>
          <w:rFonts w:ascii="Times New Roman" w:hAnsi="Times New Roman" w:eastAsia="Times New Roman" w:cs="Times New Roman"/>
          <w:spacing w:val="13"/>
          <w:sz w:val="24"/>
          <w:szCs w:val="24"/>
        </w:rPr>
        <w:t xml:space="preserve"> </w:t>
      </w:r>
      <w:r>
        <w:rPr>
          <w:rFonts w:ascii="宋体" w:hAnsi="宋体" w:eastAsia="宋体" w:cs="宋体"/>
          <w:spacing w:val="-7"/>
          <w:sz w:val="24"/>
          <w:szCs w:val="24"/>
        </w:rPr>
        <w:t>台</w:t>
      </w:r>
      <w:r>
        <w:rPr>
          <w:rFonts w:ascii="宋体" w:hAnsi="宋体" w:eastAsia="宋体" w:cs="宋体"/>
          <w:spacing w:val="-67"/>
          <w:sz w:val="24"/>
          <w:szCs w:val="24"/>
        </w:rPr>
        <w:t xml:space="preserve"> </w:t>
      </w:r>
      <w:r>
        <w:rPr>
          <w:rFonts w:ascii="Times New Roman" w:hAnsi="Times New Roman" w:eastAsia="Times New Roman" w:cs="Times New Roman"/>
          <w:spacing w:val="-7"/>
          <w:sz w:val="24"/>
          <w:szCs w:val="24"/>
        </w:rPr>
        <w:t xml:space="preserve">36MW </w:t>
      </w:r>
      <w:r>
        <w:rPr>
          <w:rFonts w:ascii="宋体" w:hAnsi="宋体" w:eastAsia="宋体" w:cs="宋体"/>
          <w:spacing w:val="-7"/>
          <w:sz w:val="24"/>
          <w:szCs w:val="24"/>
        </w:rPr>
        <w:t>直流锰硅合金全密闭电炉装置，年产</w:t>
      </w:r>
      <w:r>
        <w:rPr>
          <w:rFonts w:ascii="宋体" w:hAnsi="宋体" w:eastAsia="宋体" w:cs="宋体"/>
          <w:spacing w:val="-70"/>
          <w:sz w:val="24"/>
          <w:szCs w:val="24"/>
        </w:rPr>
        <w:t xml:space="preserve"> </w:t>
      </w:r>
      <w:r>
        <w:rPr>
          <w:rFonts w:ascii="Times New Roman" w:hAnsi="Times New Roman" w:eastAsia="Times New Roman" w:cs="Times New Roman"/>
          <w:spacing w:val="-7"/>
          <w:sz w:val="24"/>
          <w:szCs w:val="24"/>
        </w:rPr>
        <w:t xml:space="preserve">45 </w:t>
      </w:r>
      <w:r>
        <w:rPr>
          <w:rFonts w:ascii="宋体" w:hAnsi="宋体" w:eastAsia="宋体" w:cs="宋体"/>
          <w:spacing w:val="-7"/>
          <w:sz w:val="24"/>
          <w:szCs w:val="24"/>
        </w:rPr>
        <w:t>万吨锰硅合金产品，</w:t>
      </w:r>
      <w:r>
        <w:rPr>
          <w:rFonts w:ascii="宋体" w:hAnsi="宋体" w:eastAsia="宋体" w:cs="宋体"/>
          <w:sz w:val="24"/>
          <w:szCs w:val="24"/>
        </w:rPr>
        <w:t xml:space="preserve"> </w:t>
      </w:r>
      <w:r>
        <w:rPr>
          <w:rFonts w:ascii="宋体" w:hAnsi="宋体" w:eastAsia="宋体" w:cs="宋体"/>
          <w:spacing w:val="-11"/>
          <w:sz w:val="24"/>
          <w:szCs w:val="24"/>
        </w:rPr>
        <w:t>配套</w:t>
      </w:r>
      <w:r>
        <w:rPr>
          <w:rFonts w:ascii="宋体" w:hAnsi="宋体" w:eastAsia="宋体" w:cs="宋体"/>
          <w:spacing w:val="-30"/>
          <w:sz w:val="24"/>
          <w:szCs w:val="24"/>
        </w:rPr>
        <w:t xml:space="preserve"> </w:t>
      </w:r>
      <w:r>
        <w:rPr>
          <w:rFonts w:ascii="Times New Roman" w:hAnsi="Times New Roman" w:eastAsia="Times New Roman" w:cs="Times New Roman"/>
          <w:spacing w:val="-11"/>
          <w:sz w:val="24"/>
          <w:szCs w:val="24"/>
        </w:rPr>
        <w:t>1</w:t>
      </w:r>
      <w:r>
        <w:rPr>
          <w:rFonts w:ascii="Times New Roman" w:hAnsi="Times New Roman" w:eastAsia="Times New Roman" w:cs="Times New Roman"/>
          <w:spacing w:val="28"/>
          <w:sz w:val="24"/>
          <w:szCs w:val="24"/>
        </w:rPr>
        <w:t xml:space="preserve"> </w:t>
      </w:r>
      <w:r>
        <w:rPr>
          <w:rFonts w:ascii="宋体" w:hAnsi="宋体" w:eastAsia="宋体" w:cs="宋体"/>
          <w:spacing w:val="-11"/>
          <w:sz w:val="24"/>
          <w:szCs w:val="24"/>
        </w:rPr>
        <w:t>台</w:t>
      </w:r>
      <w:r>
        <w:rPr>
          <w:rFonts w:ascii="宋体" w:hAnsi="宋体" w:eastAsia="宋体" w:cs="宋体"/>
          <w:spacing w:val="-50"/>
          <w:sz w:val="24"/>
          <w:szCs w:val="24"/>
        </w:rPr>
        <w:t xml:space="preserve"> </w:t>
      </w:r>
      <w:r>
        <w:rPr>
          <w:rFonts w:ascii="Times New Roman" w:hAnsi="Times New Roman" w:eastAsia="Times New Roman" w:cs="Times New Roman"/>
          <w:spacing w:val="-11"/>
          <w:sz w:val="24"/>
          <w:szCs w:val="24"/>
        </w:rPr>
        <w:t>60m</w:t>
      </w:r>
      <w:r>
        <w:rPr>
          <w:rFonts w:ascii="Times New Roman" w:hAnsi="Times New Roman" w:eastAsia="Times New Roman" w:cs="Times New Roman"/>
          <w:spacing w:val="-1"/>
          <w:position w:val="8"/>
          <w:sz w:val="15"/>
          <w:szCs w:val="15"/>
        </w:rPr>
        <w:t>2</w:t>
      </w:r>
      <w:r>
        <w:rPr>
          <w:rFonts w:ascii="Times New Roman" w:hAnsi="Times New Roman" w:eastAsia="Times New Roman" w:cs="Times New Roman"/>
          <w:spacing w:val="18"/>
          <w:w w:val="101"/>
          <w:position w:val="8"/>
          <w:sz w:val="15"/>
          <w:szCs w:val="15"/>
        </w:rPr>
        <w:t xml:space="preserve"> </w:t>
      </w:r>
      <w:r>
        <w:rPr>
          <w:rFonts w:ascii="宋体" w:hAnsi="宋体" w:eastAsia="宋体" w:cs="宋体"/>
          <w:spacing w:val="-1"/>
          <w:sz w:val="24"/>
          <w:szCs w:val="24"/>
        </w:rPr>
        <w:t>带式烧结机、一套锰矿烘干系统、</w:t>
      </w:r>
      <w:r>
        <w:rPr>
          <w:rFonts w:ascii="Times New Roman" w:hAnsi="Times New Roman" w:eastAsia="Times New Roman" w:cs="Times New Roman"/>
          <w:spacing w:val="-1"/>
          <w:sz w:val="24"/>
          <w:szCs w:val="24"/>
        </w:rPr>
        <w:t>1</w:t>
      </w:r>
      <w:r>
        <w:rPr>
          <w:rFonts w:ascii="Times New Roman" w:hAnsi="Times New Roman" w:eastAsia="Times New Roman" w:cs="Times New Roman"/>
          <w:spacing w:val="28"/>
          <w:sz w:val="24"/>
          <w:szCs w:val="24"/>
        </w:rPr>
        <w:t xml:space="preserve"> </w:t>
      </w:r>
      <w:r>
        <w:rPr>
          <w:rFonts w:ascii="宋体" w:hAnsi="宋体" w:eastAsia="宋体" w:cs="宋体"/>
          <w:spacing w:val="-1"/>
          <w:sz w:val="24"/>
          <w:szCs w:val="24"/>
        </w:rPr>
        <w:t>台</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200</w:t>
      </w:r>
      <w:r>
        <w:rPr>
          <w:rFonts w:ascii="Times New Roman" w:hAnsi="Times New Roman" w:eastAsia="Times New Roman" w:cs="Times New Roman"/>
          <w:spacing w:val="-2"/>
          <w:sz w:val="24"/>
          <w:szCs w:val="24"/>
        </w:rPr>
        <w:t xml:space="preserve">t/h </w:t>
      </w:r>
      <w:r>
        <w:rPr>
          <w:rFonts w:ascii="宋体" w:hAnsi="宋体" w:eastAsia="宋体" w:cs="宋体"/>
          <w:spacing w:val="-2"/>
          <w:sz w:val="24"/>
          <w:szCs w:val="24"/>
        </w:rPr>
        <w:t>高温超高压带一次再热废</w:t>
      </w:r>
      <w:r>
        <w:rPr>
          <w:rFonts w:ascii="宋体" w:hAnsi="宋体" w:eastAsia="宋体" w:cs="宋体"/>
          <w:sz w:val="24"/>
          <w:szCs w:val="24"/>
        </w:rPr>
        <w:t xml:space="preserve">  </w:t>
      </w:r>
      <w:r>
        <w:rPr>
          <w:rFonts w:ascii="宋体" w:hAnsi="宋体" w:eastAsia="宋体" w:cs="宋体"/>
          <w:spacing w:val="-3"/>
          <w:sz w:val="24"/>
          <w:szCs w:val="24"/>
        </w:rPr>
        <w:t>气锅炉和</w:t>
      </w:r>
      <w:r>
        <w:rPr>
          <w:rFonts w:ascii="宋体" w:hAnsi="宋体" w:eastAsia="宋体" w:cs="宋体"/>
          <w:spacing w:val="-30"/>
          <w:sz w:val="24"/>
          <w:szCs w:val="24"/>
        </w:rPr>
        <w:t xml:space="preserve"> </w:t>
      </w:r>
      <w:r>
        <w:rPr>
          <w:rFonts w:ascii="Times New Roman" w:hAnsi="Times New Roman" w:eastAsia="Times New Roman" w:cs="Times New Roman"/>
          <w:spacing w:val="-3"/>
          <w:sz w:val="24"/>
          <w:szCs w:val="24"/>
        </w:rPr>
        <w:t>1</w:t>
      </w:r>
      <w:r>
        <w:rPr>
          <w:rFonts w:ascii="Times New Roman" w:hAnsi="Times New Roman" w:eastAsia="Times New Roman" w:cs="Times New Roman"/>
          <w:spacing w:val="28"/>
          <w:sz w:val="24"/>
          <w:szCs w:val="24"/>
        </w:rPr>
        <w:t xml:space="preserve"> </w:t>
      </w:r>
      <w:r>
        <w:rPr>
          <w:rFonts w:ascii="宋体" w:hAnsi="宋体" w:eastAsia="宋体" w:cs="宋体"/>
          <w:spacing w:val="-3"/>
          <w:sz w:val="24"/>
          <w:szCs w:val="24"/>
        </w:rPr>
        <w:t>台</w:t>
      </w:r>
      <w:r>
        <w:rPr>
          <w:rFonts w:ascii="宋体" w:hAnsi="宋体" w:eastAsia="宋体" w:cs="宋体"/>
          <w:spacing w:val="-50"/>
          <w:sz w:val="24"/>
          <w:szCs w:val="24"/>
        </w:rPr>
        <w:t xml:space="preserve"> </w:t>
      </w:r>
      <w:r>
        <w:rPr>
          <w:rFonts w:ascii="Times New Roman" w:hAnsi="Times New Roman" w:eastAsia="Times New Roman" w:cs="Times New Roman"/>
          <w:spacing w:val="-3"/>
          <w:sz w:val="24"/>
          <w:szCs w:val="24"/>
        </w:rPr>
        <w:t>60MW</w:t>
      </w:r>
      <w:r>
        <w:rPr>
          <w:rFonts w:ascii="Times New Roman" w:hAnsi="Times New Roman" w:eastAsia="Times New Roman" w:cs="Times New Roman"/>
          <w:spacing w:val="31"/>
          <w:w w:val="101"/>
          <w:sz w:val="24"/>
          <w:szCs w:val="24"/>
        </w:rPr>
        <w:t xml:space="preserve"> </w:t>
      </w:r>
      <w:r>
        <w:rPr>
          <w:rFonts w:ascii="宋体" w:hAnsi="宋体" w:eastAsia="宋体" w:cs="宋体"/>
          <w:spacing w:val="-3"/>
          <w:sz w:val="24"/>
          <w:szCs w:val="24"/>
        </w:rPr>
        <w:t>中间一次再热凝汽式汽轮发电机组及配套辅助设施，年发电量</w:t>
      </w:r>
    </w:p>
    <w:p w14:paraId="70E0B813">
      <w:pPr>
        <w:spacing w:before="33" w:line="220" w:lineRule="auto"/>
        <w:ind w:left="4"/>
        <w:rPr>
          <w:rFonts w:ascii="宋体" w:hAnsi="宋体" w:eastAsia="宋体" w:cs="宋体"/>
          <w:sz w:val="24"/>
          <w:szCs w:val="24"/>
        </w:rPr>
      </w:pPr>
      <w:r>
        <w:rPr>
          <w:rFonts w:ascii="Times New Roman" w:hAnsi="Times New Roman" w:eastAsia="Times New Roman" w:cs="Times New Roman"/>
          <w:spacing w:val="-2"/>
          <w:sz w:val="24"/>
          <w:szCs w:val="24"/>
        </w:rPr>
        <w:t>44000</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万</w:t>
      </w:r>
      <w:r>
        <w:rPr>
          <w:rFonts w:ascii="宋体" w:hAnsi="宋体" w:eastAsia="宋体" w:cs="宋体"/>
          <w:spacing w:val="-59"/>
          <w:sz w:val="24"/>
          <w:szCs w:val="24"/>
        </w:rPr>
        <w:t xml:space="preserve"> </w:t>
      </w:r>
      <w:r>
        <w:rPr>
          <w:rFonts w:ascii="Times New Roman" w:hAnsi="Times New Roman" w:eastAsia="Times New Roman" w:cs="Times New Roman"/>
          <w:spacing w:val="-2"/>
          <w:sz w:val="24"/>
          <w:szCs w:val="24"/>
        </w:rPr>
        <w:t>kWh</w:t>
      </w:r>
      <w:r>
        <w:rPr>
          <w:rFonts w:ascii="宋体" w:hAnsi="宋体" w:eastAsia="宋体" w:cs="宋体"/>
          <w:spacing w:val="-2"/>
          <w:sz w:val="24"/>
          <w:szCs w:val="24"/>
        </w:rPr>
        <w:t>。</w:t>
      </w:r>
    </w:p>
    <w:p w14:paraId="7E291A3F">
      <w:pPr>
        <w:spacing w:before="246" w:line="227" w:lineRule="auto"/>
        <w:ind w:left="37"/>
        <w:outlineLvl w:val="1"/>
        <w:rPr>
          <w:rFonts w:ascii="黑体" w:hAnsi="黑体" w:eastAsia="黑体" w:cs="黑体"/>
          <w:sz w:val="31"/>
          <w:szCs w:val="31"/>
        </w:rPr>
      </w:pPr>
      <w:bookmarkStart w:id="500" w:name="bookmark468"/>
      <w:bookmarkEnd w:id="500"/>
      <w:r>
        <w:rPr>
          <w:rFonts w:ascii="Times New Roman" w:hAnsi="Times New Roman" w:eastAsia="Times New Roman" w:cs="Times New Roman"/>
          <w:spacing w:val="2"/>
          <w:sz w:val="31"/>
          <w:szCs w:val="31"/>
        </w:rPr>
        <w:t xml:space="preserve">10.2 </w:t>
      </w:r>
      <w:r>
        <w:rPr>
          <w:rFonts w:ascii="黑体" w:hAnsi="黑体" w:eastAsia="黑体" w:cs="黑体"/>
          <w:spacing w:val="2"/>
          <w:sz w:val="31"/>
          <w:szCs w:val="31"/>
        </w:rPr>
        <w:t>符合性分析</w:t>
      </w:r>
    </w:p>
    <w:p w14:paraId="6BA2D455">
      <w:pPr>
        <w:spacing w:before="229" w:line="219"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）产业政策符合性分析</w:t>
      </w:r>
    </w:p>
    <w:p w14:paraId="6874CD0E">
      <w:pPr>
        <w:spacing w:before="201" w:line="370" w:lineRule="auto"/>
        <w:ind w:left="9" w:right="80" w:firstLine="559"/>
        <w:rPr>
          <w:rFonts w:ascii="宋体" w:hAnsi="宋体" w:eastAsia="宋体" w:cs="宋体"/>
          <w:sz w:val="24"/>
          <w:szCs w:val="24"/>
        </w:rPr>
      </w:pPr>
      <w:r>
        <w:rPr>
          <w:rFonts w:ascii="宋体" w:hAnsi="宋体" w:eastAsia="宋体" w:cs="宋体"/>
          <w:sz w:val="24"/>
          <w:szCs w:val="24"/>
        </w:rPr>
        <w:t>根据《产业结构调整指导目录（</w:t>
      </w:r>
      <w:r>
        <w:rPr>
          <w:rFonts w:ascii="Times New Roman" w:hAnsi="Times New Roman" w:eastAsia="Times New Roman" w:cs="Times New Roman"/>
          <w:sz w:val="24"/>
          <w:szCs w:val="24"/>
        </w:rPr>
        <w:t xml:space="preserve">2024 </w:t>
      </w:r>
      <w:r>
        <w:rPr>
          <w:rFonts w:ascii="宋体" w:hAnsi="宋体" w:eastAsia="宋体" w:cs="宋体"/>
          <w:sz w:val="24"/>
          <w:szCs w:val="24"/>
        </w:rPr>
        <w:t>年本）》该项目不</w:t>
      </w:r>
      <w:r>
        <w:rPr>
          <w:rFonts w:ascii="宋体" w:hAnsi="宋体" w:eastAsia="宋体" w:cs="宋体"/>
          <w:spacing w:val="-1"/>
          <w:sz w:val="24"/>
          <w:szCs w:val="24"/>
        </w:rPr>
        <w:t>属于鼓励类、限制类和淘</w:t>
      </w:r>
      <w:r>
        <w:rPr>
          <w:rFonts w:ascii="宋体" w:hAnsi="宋体" w:eastAsia="宋体" w:cs="宋体"/>
          <w:sz w:val="24"/>
          <w:szCs w:val="24"/>
        </w:rPr>
        <w:t xml:space="preserve"> </w:t>
      </w:r>
      <w:r>
        <w:rPr>
          <w:rFonts w:ascii="宋体" w:hAnsi="宋体" w:eastAsia="宋体" w:cs="宋体"/>
          <w:spacing w:val="-2"/>
          <w:sz w:val="24"/>
          <w:szCs w:val="24"/>
        </w:rPr>
        <w:t>汰类，属于允许类项目，同时项目取得了苏尼特右旗发展和改革委员会出具的项目备案</w:t>
      </w:r>
      <w:r>
        <w:rPr>
          <w:rFonts w:ascii="宋体" w:hAnsi="宋体" w:eastAsia="宋体" w:cs="宋体"/>
          <w:spacing w:val="15"/>
          <w:sz w:val="24"/>
          <w:szCs w:val="24"/>
        </w:rPr>
        <w:t xml:space="preserve"> </w:t>
      </w:r>
      <w:r>
        <w:rPr>
          <w:rFonts w:ascii="宋体" w:hAnsi="宋体" w:eastAsia="宋体" w:cs="宋体"/>
          <w:spacing w:val="-1"/>
          <w:sz w:val="24"/>
          <w:szCs w:val="24"/>
        </w:rPr>
        <w:t>告知书，项目代码为：</w:t>
      </w:r>
      <w:r>
        <w:rPr>
          <w:rFonts w:ascii="Times New Roman" w:hAnsi="Times New Roman" w:eastAsia="Times New Roman" w:cs="Times New Roman"/>
          <w:spacing w:val="-1"/>
          <w:sz w:val="24"/>
          <w:szCs w:val="24"/>
        </w:rPr>
        <w:t>2405-152524-04-01-407023</w:t>
      </w:r>
      <w:r>
        <w:rPr>
          <w:rFonts w:ascii="Times New Roman" w:hAnsi="Times New Roman" w:eastAsia="Times New Roman" w:cs="Times New Roman"/>
          <w:spacing w:val="-21"/>
          <w:sz w:val="24"/>
          <w:szCs w:val="24"/>
        </w:rPr>
        <w:t xml:space="preserve"> </w:t>
      </w:r>
      <w:r>
        <w:rPr>
          <w:rFonts w:ascii="宋体" w:hAnsi="宋体" w:eastAsia="宋体" w:cs="宋体"/>
          <w:spacing w:val="-1"/>
          <w:sz w:val="24"/>
          <w:szCs w:val="24"/>
        </w:rPr>
        <w:t>，因此，本项目建设符合国家及地方</w:t>
      </w:r>
      <w:r>
        <w:rPr>
          <w:rFonts w:ascii="宋体" w:hAnsi="宋体" w:eastAsia="宋体" w:cs="宋体"/>
          <w:sz w:val="24"/>
          <w:szCs w:val="24"/>
        </w:rPr>
        <w:t xml:space="preserve">  </w:t>
      </w:r>
      <w:r>
        <w:rPr>
          <w:rFonts w:ascii="宋体" w:hAnsi="宋体" w:eastAsia="宋体" w:cs="宋体"/>
          <w:spacing w:val="-2"/>
          <w:sz w:val="24"/>
          <w:szCs w:val="24"/>
        </w:rPr>
        <w:t>产业政策。</w:t>
      </w:r>
    </w:p>
    <w:p w14:paraId="742E917F">
      <w:pPr>
        <w:spacing w:before="33" w:line="219"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w:t>
      </w:r>
      <w:r>
        <w:rPr>
          <w:rFonts w:ascii="Times New Roman" w:hAnsi="Times New Roman" w:eastAsia="Times New Roman" w:cs="Times New Roman"/>
          <w:spacing w:val="-2"/>
          <w:sz w:val="24"/>
          <w:szCs w:val="24"/>
        </w:rPr>
        <w:t>“</w:t>
      </w:r>
      <w:r>
        <w:rPr>
          <w:rFonts w:ascii="宋体" w:hAnsi="宋体" w:eastAsia="宋体" w:cs="宋体"/>
          <w:spacing w:val="-2"/>
          <w:sz w:val="24"/>
          <w:szCs w:val="24"/>
        </w:rPr>
        <w:t>三线一单</w:t>
      </w:r>
      <w:r>
        <w:rPr>
          <w:rFonts w:ascii="Times New Roman" w:hAnsi="Times New Roman" w:eastAsia="Times New Roman" w:cs="Times New Roman"/>
          <w:spacing w:val="-2"/>
          <w:sz w:val="24"/>
          <w:szCs w:val="24"/>
        </w:rPr>
        <w:t>”</w:t>
      </w:r>
      <w:r>
        <w:rPr>
          <w:rFonts w:ascii="宋体" w:hAnsi="宋体" w:eastAsia="宋体" w:cs="宋体"/>
          <w:spacing w:val="-2"/>
          <w:sz w:val="24"/>
          <w:szCs w:val="24"/>
        </w:rPr>
        <w:t>符合性分析</w:t>
      </w:r>
    </w:p>
    <w:p w14:paraId="7067A628">
      <w:pPr>
        <w:spacing w:before="205" w:line="363" w:lineRule="auto"/>
        <w:ind w:left="13" w:right="80" w:firstLine="476"/>
        <w:rPr>
          <w:rFonts w:ascii="宋体" w:hAnsi="宋体" w:eastAsia="宋体" w:cs="宋体"/>
          <w:sz w:val="24"/>
          <w:szCs w:val="24"/>
        </w:rPr>
      </w:pPr>
      <w:r>
        <w:rPr>
          <w:rFonts w:ascii="宋体" w:hAnsi="宋体" w:eastAsia="宋体" w:cs="宋体"/>
          <w:spacing w:val="-2"/>
          <w:sz w:val="24"/>
          <w:szCs w:val="24"/>
        </w:rPr>
        <w:t>根据对项目的生态保护红线、环境质量底线、资源利用上线和环境准入负面清单进</w:t>
      </w:r>
      <w:r>
        <w:rPr>
          <w:rFonts w:ascii="宋体" w:hAnsi="宋体" w:eastAsia="宋体" w:cs="宋体"/>
          <w:spacing w:val="11"/>
          <w:sz w:val="24"/>
          <w:szCs w:val="24"/>
        </w:rPr>
        <w:t xml:space="preserve"> </w:t>
      </w:r>
      <w:r>
        <w:rPr>
          <w:rFonts w:ascii="宋体" w:hAnsi="宋体" w:eastAsia="宋体" w:cs="宋体"/>
          <w:spacing w:val="-1"/>
          <w:sz w:val="24"/>
          <w:szCs w:val="24"/>
        </w:rPr>
        <w:t>行分析，项目符合</w:t>
      </w:r>
      <w:r>
        <w:rPr>
          <w:rFonts w:ascii="Times New Roman" w:hAnsi="Times New Roman" w:eastAsia="Times New Roman" w:cs="Times New Roman"/>
          <w:spacing w:val="-1"/>
          <w:sz w:val="24"/>
          <w:szCs w:val="24"/>
        </w:rPr>
        <w:t>“</w:t>
      </w:r>
      <w:r>
        <w:rPr>
          <w:rFonts w:ascii="宋体" w:hAnsi="宋体" w:eastAsia="宋体" w:cs="宋体"/>
          <w:spacing w:val="-1"/>
          <w:sz w:val="24"/>
          <w:szCs w:val="24"/>
        </w:rPr>
        <w:t>三线一单</w:t>
      </w:r>
      <w:r>
        <w:rPr>
          <w:rFonts w:ascii="Times New Roman" w:hAnsi="Times New Roman" w:eastAsia="Times New Roman" w:cs="Times New Roman"/>
          <w:spacing w:val="-1"/>
          <w:sz w:val="24"/>
          <w:szCs w:val="24"/>
        </w:rPr>
        <w:t>”</w:t>
      </w:r>
      <w:r>
        <w:rPr>
          <w:rFonts w:ascii="宋体" w:hAnsi="宋体" w:eastAsia="宋体" w:cs="宋体"/>
          <w:spacing w:val="-1"/>
          <w:sz w:val="24"/>
          <w:szCs w:val="24"/>
        </w:rPr>
        <w:t>要求。</w:t>
      </w:r>
    </w:p>
    <w:p w14:paraId="432CBCE6">
      <w:pPr>
        <w:spacing w:before="35" w:line="220"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3</w:t>
      </w:r>
      <w:r>
        <w:rPr>
          <w:rFonts w:ascii="宋体" w:hAnsi="宋体" w:eastAsia="宋体" w:cs="宋体"/>
          <w:spacing w:val="-3"/>
          <w:sz w:val="24"/>
          <w:szCs w:val="24"/>
        </w:rPr>
        <w:t>）选址合理性分析</w:t>
      </w:r>
    </w:p>
    <w:p w14:paraId="1A3DFFB1">
      <w:pPr>
        <w:spacing w:before="201" w:line="371" w:lineRule="auto"/>
        <w:ind w:left="9" w:right="80" w:firstLine="480"/>
        <w:rPr>
          <w:rFonts w:ascii="宋体" w:hAnsi="宋体" w:eastAsia="宋体" w:cs="宋体"/>
          <w:sz w:val="24"/>
          <w:szCs w:val="24"/>
        </w:rPr>
      </w:pPr>
      <w:r>
        <w:rPr>
          <w:rFonts w:ascii="宋体" w:hAnsi="宋体" w:eastAsia="宋体" w:cs="宋体"/>
          <w:spacing w:val="5"/>
          <w:sz w:val="24"/>
          <w:szCs w:val="24"/>
        </w:rPr>
        <w:t>本项目位于锡林郭勒盟苏尼特右旗朱日和工业园区南区冶金产业园苏尼特右旗新</w:t>
      </w:r>
      <w:r>
        <w:rPr>
          <w:rFonts w:ascii="宋体" w:hAnsi="宋体" w:eastAsia="宋体" w:cs="宋体"/>
          <w:spacing w:val="3"/>
          <w:sz w:val="24"/>
          <w:szCs w:val="24"/>
        </w:rPr>
        <w:t xml:space="preserve"> </w:t>
      </w:r>
      <w:r>
        <w:rPr>
          <w:rFonts w:ascii="宋体" w:hAnsi="宋体" w:eastAsia="宋体" w:cs="宋体"/>
          <w:spacing w:val="-2"/>
          <w:sz w:val="24"/>
          <w:szCs w:val="24"/>
        </w:rPr>
        <w:t>蒙新材料有限公司现有厂区内，用地性质属于工业用地。本项目属于铁合金冶炼项目，</w:t>
      </w:r>
      <w:r>
        <w:rPr>
          <w:rFonts w:ascii="宋体" w:hAnsi="宋体" w:eastAsia="宋体" w:cs="宋体"/>
          <w:spacing w:val="15"/>
          <w:sz w:val="24"/>
          <w:szCs w:val="24"/>
        </w:rPr>
        <w:t xml:space="preserve"> </w:t>
      </w:r>
      <w:r>
        <w:rPr>
          <w:rFonts w:ascii="宋体" w:hAnsi="宋体" w:eastAsia="宋体" w:cs="宋体"/>
          <w:spacing w:val="-2"/>
          <w:sz w:val="24"/>
          <w:szCs w:val="24"/>
        </w:rPr>
        <w:t>位于南区冶金产业园，符合园区现行规划要求。项目选址不涉及自然保护区、水源保护</w:t>
      </w:r>
      <w:r>
        <w:rPr>
          <w:rFonts w:ascii="宋体" w:hAnsi="宋体" w:eastAsia="宋体" w:cs="宋体"/>
          <w:spacing w:val="15"/>
          <w:sz w:val="24"/>
          <w:szCs w:val="24"/>
        </w:rPr>
        <w:t xml:space="preserve"> </w:t>
      </w:r>
      <w:r>
        <w:rPr>
          <w:rFonts w:ascii="宋体" w:hAnsi="宋体" w:eastAsia="宋体" w:cs="宋体"/>
          <w:spacing w:val="-2"/>
          <w:sz w:val="24"/>
          <w:szCs w:val="24"/>
        </w:rPr>
        <w:t>区及其他文物保护单位。采取环评提出的生态保护和污染防治措施后，项目对周围环境</w:t>
      </w:r>
      <w:r>
        <w:rPr>
          <w:rFonts w:ascii="宋体" w:hAnsi="宋体" w:eastAsia="宋体" w:cs="宋体"/>
          <w:spacing w:val="15"/>
          <w:sz w:val="24"/>
          <w:szCs w:val="24"/>
        </w:rPr>
        <w:t xml:space="preserve"> </w:t>
      </w:r>
      <w:r>
        <w:rPr>
          <w:rFonts w:ascii="宋体" w:hAnsi="宋体" w:eastAsia="宋体" w:cs="宋体"/>
          <w:spacing w:val="-1"/>
          <w:sz w:val="24"/>
          <w:szCs w:val="24"/>
        </w:rPr>
        <w:t>的影响很小，未超出环境容许的限度。</w:t>
      </w:r>
    </w:p>
    <w:p w14:paraId="6FF7771C">
      <w:pPr>
        <w:spacing w:before="34" w:line="220" w:lineRule="auto"/>
        <w:ind w:left="508"/>
        <w:rPr>
          <w:rFonts w:ascii="宋体" w:hAnsi="宋体" w:eastAsia="宋体" w:cs="宋体"/>
          <w:sz w:val="24"/>
          <w:szCs w:val="24"/>
        </w:rPr>
      </w:pPr>
      <w:r>
        <w:rPr>
          <w:rFonts w:ascii="宋体" w:hAnsi="宋体" w:eastAsia="宋体" w:cs="宋体"/>
          <w:spacing w:val="-4"/>
          <w:sz w:val="24"/>
          <w:szCs w:val="24"/>
        </w:rPr>
        <w:t>因此项目选址合理。</w:t>
      </w:r>
    </w:p>
    <w:p w14:paraId="55EE42E5">
      <w:pPr>
        <w:spacing w:before="255" w:line="222" w:lineRule="auto"/>
        <w:ind w:left="35"/>
        <w:outlineLvl w:val="1"/>
        <w:rPr>
          <w:rFonts w:ascii="黑体" w:hAnsi="黑体" w:eastAsia="黑体" w:cs="黑体"/>
          <w:sz w:val="30"/>
          <w:szCs w:val="30"/>
        </w:rPr>
      </w:pPr>
      <w:bookmarkStart w:id="501" w:name="bookmark470"/>
      <w:bookmarkEnd w:id="501"/>
      <w:r>
        <w:rPr>
          <w:rFonts w:ascii="Times New Roman" w:hAnsi="Times New Roman" w:eastAsia="Times New Roman" w:cs="Times New Roman"/>
          <w:spacing w:val="-4"/>
          <w:sz w:val="30"/>
          <w:szCs w:val="30"/>
        </w:rPr>
        <w:t xml:space="preserve">10.3 </w:t>
      </w:r>
      <w:r>
        <w:rPr>
          <w:rFonts w:ascii="黑体" w:hAnsi="黑体" w:eastAsia="黑体" w:cs="黑体"/>
          <w:spacing w:val="-4"/>
          <w:sz w:val="30"/>
          <w:szCs w:val="30"/>
        </w:rPr>
        <w:t>环境质量现状</w:t>
      </w:r>
    </w:p>
    <w:p w14:paraId="516600F7">
      <w:pPr>
        <w:spacing w:before="241" w:line="219"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）环境空气质量现状</w:t>
      </w:r>
    </w:p>
    <w:p w14:paraId="7FB57872">
      <w:pPr>
        <w:spacing w:before="203" w:line="363" w:lineRule="auto"/>
        <w:ind w:left="4" w:firstLine="485"/>
        <w:rPr>
          <w:rFonts w:ascii="宋体" w:hAnsi="宋体" w:eastAsia="宋体" w:cs="宋体"/>
          <w:sz w:val="24"/>
          <w:szCs w:val="24"/>
        </w:rPr>
      </w:pPr>
      <w:r>
        <w:rPr>
          <w:rFonts w:ascii="宋体" w:hAnsi="宋体" w:eastAsia="宋体" w:cs="宋体"/>
          <w:spacing w:val="-6"/>
          <w:sz w:val="24"/>
          <w:szCs w:val="24"/>
        </w:rPr>
        <w:t>根据《</w:t>
      </w:r>
      <w:r>
        <w:rPr>
          <w:rFonts w:ascii="Times New Roman" w:hAnsi="Times New Roman" w:eastAsia="Times New Roman" w:cs="Times New Roman"/>
          <w:spacing w:val="-6"/>
          <w:sz w:val="24"/>
          <w:szCs w:val="24"/>
        </w:rPr>
        <w:t xml:space="preserve">2023 </w:t>
      </w:r>
      <w:r>
        <w:rPr>
          <w:rFonts w:ascii="宋体" w:hAnsi="宋体" w:eastAsia="宋体" w:cs="宋体"/>
          <w:spacing w:val="-6"/>
          <w:sz w:val="24"/>
          <w:szCs w:val="24"/>
        </w:rPr>
        <w:t>年内蒙古自治区生态环境状况公报》，项目所在区域</w:t>
      </w:r>
      <w:r>
        <w:rPr>
          <w:rFonts w:ascii="宋体" w:hAnsi="宋体" w:eastAsia="宋体" w:cs="宋体"/>
          <w:spacing w:val="-29"/>
          <w:sz w:val="24"/>
          <w:szCs w:val="24"/>
        </w:rPr>
        <w:t xml:space="preserve"> </w:t>
      </w:r>
      <w:r>
        <w:rPr>
          <w:rFonts w:ascii="Times New Roman" w:hAnsi="Times New Roman" w:eastAsia="Times New Roman" w:cs="Times New Roman"/>
          <w:spacing w:val="-6"/>
          <w:sz w:val="24"/>
          <w:szCs w:val="24"/>
        </w:rPr>
        <w:t>SO</w:t>
      </w:r>
      <w:r>
        <w:rPr>
          <w:rFonts w:ascii="Times New Roman" w:hAnsi="Times New Roman" w:eastAsia="Times New Roman" w:cs="Times New Roman"/>
          <w:spacing w:val="-6"/>
          <w:position w:val="-1"/>
          <w:sz w:val="15"/>
          <w:szCs w:val="15"/>
        </w:rPr>
        <w:t>2</w:t>
      </w:r>
      <w:r>
        <w:rPr>
          <w:rFonts w:ascii="宋体" w:hAnsi="宋体" w:eastAsia="宋体" w:cs="宋体"/>
          <w:spacing w:val="-6"/>
          <w:sz w:val="24"/>
          <w:szCs w:val="24"/>
        </w:rPr>
        <w:t>、</w:t>
      </w:r>
      <w:r>
        <w:rPr>
          <w:rFonts w:ascii="Times New Roman" w:hAnsi="Times New Roman" w:eastAsia="Times New Roman" w:cs="Times New Roman"/>
          <w:spacing w:val="-6"/>
          <w:sz w:val="24"/>
          <w:szCs w:val="24"/>
        </w:rPr>
        <w:t>NO</w:t>
      </w:r>
      <w:r>
        <w:rPr>
          <w:rFonts w:ascii="Times New Roman" w:hAnsi="Times New Roman" w:eastAsia="Times New Roman" w:cs="Times New Roman"/>
          <w:spacing w:val="-6"/>
          <w:position w:val="-1"/>
          <w:sz w:val="15"/>
          <w:szCs w:val="15"/>
        </w:rPr>
        <w:t>2</w:t>
      </w:r>
      <w:r>
        <w:rPr>
          <w:rFonts w:ascii="宋体" w:hAnsi="宋体" w:eastAsia="宋体" w:cs="宋体"/>
          <w:spacing w:val="-6"/>
          <w:sz w:val="24"/>
          <w:szCs w:val="24"/>
        </w:rPr>
        <w:t>、</w:t>
      </w:r>
      <w:r>
        <w:rPr>
          <w:rFonts w:ascii="Times New Roman" w:hAnsi="Times New Roman" w:eastAsia="Times New Roman" w:cs="Times New Roman"/>
          <w:spacing w:val="-6"/>
          <w:sz w:val="24"/>
          <w:szCs w:val="24"/>
        </w:rPr>
        <w:t>PM</w:t>
      </w:r>
      <w:r>
        <w:rPr>
          <w:rFonts w:ascii="Times New Roman" w:hAnsi="Times New Roman" w:eastAsia="Times New Roman" w:cs="Times New Roman"/>
          <w:spacing w:val="-6"/>
          <w:position w:val="-1"/>
          <w:sz w:val="15"/>
          <w:szCs w:val="15"/>
        </w:rPr>
        <w:t>2.5</w:t>
      </w:r>
      <w:r>
        <w:rPr>
          <w:rFonts w:ascii="宋体" w:hAnsi="宋体" w:eastAsia="宋体" w:cs="宋体"/>
          <w:spacing w:val="-6"/>
          <w:sz w:val="24"/>
          <w:szCs w:val="24"/>
        </w:rPr>
        <w:t>、</w:t>
      </w:r>
      <w:r>
        <w:rPr>
          <w:rFonts w:ascii="宋体" w:hAnsi="宋体" w:eastAsia="宋体" w:cs="宋体"/>
          <w:sz w:val="24"/>
          <w:szCs w:val="24"/>
        </w:rPr>
        <w:t xml:space="preserve"> </w:t>
      </w:r>
      <w:r>
        <w:rPr>
          <w:rFonts w:ascii="Times New Roman" w:hAnsi="Times New Roman" w:eastAsia="Times New Roman" w:cs="Times New Roman"/>
          <w:sz w:val="24"/>
          <w:szCs w:val="24"/>
        </w:rPr>
        <w:t>PM</w:t>
      </w:r>
      <w:r>
        <w:rPr>
          <w:rFonts w:ascii="Times New Roman" w:hAnsi="Times New Roman" w:eastAsia="Times New Roman" w:cs="Times New Roman"/>
          <w:spacing w:val="1"/>
          <w:position w:val="-1"/>
          <w:sz w:val="15"/>
          <w:szCs w:val="15"/>
        </w:rPr>
        <w:t>10</w:t>
      </w:r>
      <w:r>
        <w:rPr>
          <w:rFonts w:ascii="Times New Roman" w:hAnsi="Times New Roman" w:eastAsia="Times New Roman" w:cs="Times New Roman"/>
          <w:spacing w:val="13"/>
          <w:position w:val="-1"/>
          <w:sz w:val="15"/>
          <w:szCs w:val="15"/>
        </w:rPr>
        <w:t xml:space="preserve"> </w:t>
      </w:r>
      <w:r>
        <w:rPr>
          <w:rFonts w:ascii="宋体" w:hAnsi="宋体" w:eastAsia="宋体" w:cs="宋体"/>
          <w:spacing w:val="1"/>
          <w:sz w:val="24"/>
          <w:szCs w:val="24"/>
        </w:rPr>
        <w:t>年平均质量浓度、</w:t>
      </w:r>
      <w:r>
        <w:rPr>
          <w:rFonts w:ascii="Times New Roman" w:hAnsi="Times New Roman" w:eastAsia="Times New Roman" w:cs="Times New Roman"/>
          <w:sz w:val="24"/>
          <w:szCs w:val="24"/>
        </w:rPr>
        <w:t>CO</w:t>
      </w:r>
      <w:r>
        <w:rPr>
          <w:rFonts w:ascii="Times New Roman" w:hAnsi="Times New Roman" w:eastAsia="Times New Roman" w:cs="Times New Roman"/>
          <w:spacing w:val="19"/>
          <w:w w:val="101"/>
          <w:sz w:val="24"/>
          <w:szCs w:val="24"/>
        </w:rPr>
        <w:t xml:space="preserve"> </w:t>
      </w:r>
      <w:r>
        <w:rPr>
          <w:rFonts w:ascii="宋体" w:hAnsi="宋体" w:eastAsia="宋体" w:cs="宋体"/>
          <w:spacing w:val="1"/>
          <w:sz w:val="24"/>
          <w:szCs w:val="24"/>
        </w:rPr>
        <w:t>百分位数日平均浓度、</w:t>
      </w:r>
      <w:r>
        <w:rPr>
          <w:rFonts w:ascii="Times New Roman" w:hAnsi="Times New Roman" w:eastAsia="Times New Roman" w:cs="Times New Roman"/>
          <w:spacing w:val="1"/>
          <w:sz w:val="24"/>
          <w:szCs w:val="24"/>
        </w:rPr>
        <w:t>O</w:t>
      </w:r>
      <w:r>
        <w:rPr>
          <w:rFonts w:ascii="Times New Roman" w:hAnsi="Times New Roman" w:eastAsia="Times New Roman" w:cs="Times New Roman"/>
          <w:spacing w:val="1"/>
          <w:position w:val="-1"/>
          <w:sz w:val="15"/>
          <w:szCs w:val="15"/>
        </w:rPr>
        <w:t xml:space="preserve">3  </w:t>
      </w:r>
      <w:r>
        <w:rPr>
          <w:rFonts w:ascii="Times New Roman" w:hAnsi="Times New Roman" w:eastAsia="Times New Roman" w:cs="Times New Roman"/>
          <w:spacing w:val="1"/>
          <w:sz w:val="24"/>
          <w:szCs w:val="24"/>
        </w:rPr>
        <w:t xml:space="preserve">8h </w:t>
      </w:r>
      <w:r>
        <w:rPr>
          <w:rFonts w:ascii="宋体" w:hAnsi="宋体" w:eastAsia="宋体" w:cs="宋体"/>
          <w:spacing w:val="1"/>
          <w:sz w:val="24"/>
          <w:szCs w:val="24"/>
        </w:rPr>
        <w:t>平均质量浓度均满足相应</w:t>
      </w:r>
      <w:r>
        <w:rPr>
          <w:rFonts w:ascii="宋体" w:hAnsi="宋体" w:eastAsia="宋体" w:cs="宋体"/>
          <w:sz w:val="24"/>
          <w:szCs w:val="24"/>
        </w:rPr>
        <w:t>浓度</w:t>
      </w:r>
    </w:p>
    <w:p w14:paraId="32300DE1">
      <w:pPr>
        <w:spacing w:line="363" w:lineRule="auto"/>
        <w:rPr>
          <w:rFonts w:ascii="宋体" w:hAnsi="宋体" w:eastAsia="宋体" w:cs="宋体"/>
          <w:sz w:val="24"/>
          <w:szCs w:val="24"/>
        </w:rPr>
        <w:sectPr>
          <w:headerReference r:id="rId522" w:type="default"/>
          <w:footerReference r:id="rId523" w:type="default"/>
          <w:pgSz w:w="11906" w:h="16839"/>
          <w:pgMar w:top="1190" w:right="1337" w:bottom="1221" w:left="1418" w:header="882" w:footer="1059" w:gutter="0"/>
          <w:cols w:space="720" w:num="1"/>
        </w:sectPr>
      </w:pPr>
    </w:p>
    <w:p w14:paraId="1E3BA364">
      <w:pPr>
        <w:spacing w:line="28" w:lineRule="exact"/>
      </w:pPr>
      <w:r>
        <w:pict>
          <v:shape id="_x0000_s3106" o:spid="_x0000_s3106" style="height:1.45pt;width:453.55pt;" fillcolor="#000000" filled="t" stroked="f" coordsize="9070,29" path="m0,0l9070,0,9070,28,0,28,0,0xe">
            <v:path/>
            <v:fill on="t" focussize="0,0"/>
            <v:stroke on="f"/>
            <v:imagedata o:title=""/>
            <o:lock v:ext="edit"/>
            <w10:wrap type="none"/>
            <w10:anchorlock/>
          </v:shape>
        </w:pict>
      </w:r>
    </w:p>
    <w:p w14:paraId="71462B81">
      <w:pPr>
        <w:pStyle w:val="2"/>
        <w:spacing w:line="243" w:lineRule="auto"/>
      </w:pPr>
    </w:p>
    <w:p w14:paraId="243B9B7B">
      <w:pPr>
        <w:spacing w:before="78" w:line="367" w:lineRule="auto"/>
        <w:ind w:left="13" w:right="105" w:firstLine="12"/>
        <w:jc w:val="both"/>
        <w:rPr>
          <w:rFonts w:ascii="宋体" w:hAnsi="宋体" w:eastAsia="宋体" w:cs="宋体"/>
          <w:sz w:val="24"/>
          <w:szCs w:val="24"/>
        </w:rPr>
      </w:pPr>
      <w:r>
        <w:rPr>
          <w:rFonts w:ascii="宋体" w:hAnsi="宋体" w:eastAsia="宋体" w:cs="宋体"/>
          <w:spacing w:val="-3"/>
          <w:sz w:val="24"/>
          <w:szCs w:val="24"/>
        </w:rPr>
        <w:t>限值，根据《环境影响评价技术导则 大气环境》（</w:t>
      </w:r>
      <w:r>
        <w:rPr>
          <w:rFonts w:ascii="Times New Roman" w:hAnsi="Times New Roman" w:eastAsia="Times New Roman" w:cs="Times New Roman"/>
          <w:spacing w:val="-3"/>
          <w:sz w:val="24"/>
          <w:szCs w:val="24"/>
        </w:rPr>
        <w:t>HJ2.2-2018</w:t>
      </w:r>
      <w:r>
        <w:rPr>
          <w:rFonts w:ascii="宋体" w:hAnsi="宋体" w:eastAsia="宋体" w:cs="宋体"/>
          <w:spacing w:val="-3"/>
          <w:sz w:val="24"/>
          <w:szCs w:val="24"/>
        </w:rPr>
        <w:t>）</w:t>
      </w:r>
      <w:r>
        <w:rPr>
          <w:rFonts w:ascii="Times New Roman" w:hAnsi="Times New Roman" w:eastAsia="Times New Roman" w:cs="Times New Roman"/>
          <w:spacing w:val="-3"/>
          <w:sz w:val="24"/>
          <w:szCs w:val="24"/>
        </w:rPr>
        <w:t>6.4.</w:t>
      </w:r>
      <w:r>
        <w:rPr>
          <w:rFonts w:ascii="Times New Roman" w:hAnsi="Times New Roman" w:eastAsia="Times New Roman" w:cs="Times New Roman"/>
          <w:spacing w:val="-4"/>
          <w:sz w:val="24"/>
          <w:szCs w:val="24"/>
        </w:rPr>
        <w:t>1.1</w:t>
      </w:r>
      <w:r>
        <w:rPr>
          <w:rFonts w:ascii="Times New Roman" w:hAnsi="Times New Roman" w:eastAsia="Times New Roman" w:cs="Times New Roman"/>
          <w:spacing w:val="29"/>
          <w:w w:val="101"/>
          <w:sz w:val="24"/>
          <w:szCs w:val="24"/>
        </w:rPr>
        <w:t xml:space="preserve"> </w:t>
      </w:r>
      <w:r>
        <w:rPr>
          <w:rFonts w:ascii="宋体" w:hAnsi="宋体" w:eastAsia="宋体" w:cs="宋体"/>
          <w:spacing w:val="-4"/>
          <w:sz w:val="24"/>
          <w:szCs w:val="24"/>
        </w:rPr>
        <w:t>的要求，六项污</w:t>
      </w:r>
      <w:r>
        <w:rPr>
          <w:rFonts w:ascii="宋体" w:hAnsi="宋体" w:eastAsia="宋体" w:cs="宋体"/>
          <w:sz w:val="24"/>
          <w:szCs w:val="24"/>
        </w:rPr>
        <w:t xml:space="preserve"> </w:t>
      </w:r>
      <w:r>
        <w:rPr>
          <w:rFonts w:ascii="宋体" w:hAnsi="宋体" w:eastAsia="宋体" w:cs="宋体"/>
          <w:spacing w:val="-2"/>
          <w:sz w:val="24"/>
          <w:szCs w:val="24"/>
        </w:rPr>
        <w:t>染物全部达标即为城市环境空气质量达标。因此，本项目所在区域为环境空气质量达标</w:t>
      </w:r>
      <w:r>
        <w:rPr>
          <w:rFonts w:ascii="宋体" w:hAnsi="宋体" w:eastAsia="宋体" w:cs="宋体"/>
          <w:spacing w:val="11"/>
          <w:sz w:val="24"/>
          <w:szCs w:val="24"/>
        </w:rPr>
        <w:t xml:space="preserve"> </w:t>
      </w:r>
      <w:r>
        <w:rPr>
          <w:rFonts w:ascii="宋体" w:hAnsi="宋体" w:eastAsia="宋体" w:cs="宋体"/>
          <w:spacing w:val="-5"/>
          <w:sz w:val="24"/>
          <w:szCs w:val="24"/>
        </w:rPr>
        <w:t>区域；</w:t>
      </w:r>
    </w:p>
    <w:p w14:paraId="71EA4696">
      <w:pPr>
        <w:spacing w:before="32" w:line="368" w:lineRule="auto"/>
        <w:ind w:left="9" w:right="120" w:firstLine="480"/>
        <w:jc w:val="both"/>
        <w:rPr>
          <w:rFonts w:ascii="宋体" w:hAnsi="宋体" w:eastAsia="宋体" w:cs="宋体"/>
          <w:sz w:val="24"/>
          <w:szCs w:val="24"/>
        </w:rPr>
      </w:pPr>
      <w:r>
        <w:rPr>
          <w:rFonts w:ascii="宋体" w:hAnsi="宋体" w:eastAsia="宋体" w:cs="宋体"/>
          <w:sz w:val="24"/>
          <w:szCs w:val="24"/>
        </w:rPr>
        <w:t>补充监测中</w:t>
      </w:r>
      <w:r>
        <w:rPr>
          <w:rFonts w:ascii="Times New Roman" w:hAnsi="Times New Roman" w:eastAsia="Times New Roman" w:cs="Times New Roman"/>
          <w:sz w:val="24"/>
          <w:szCs w:val="24"/>
        </w:rPr>
        <w:t xml:space="preserve">TSP </w:t>
      </w:r>
      <w:r>
        <w:rPr>
          <w:rFonts w:ascii="宋体" w:hAnsi="宋体" w:eastAsia="宋体" w:cs="宋体"/>
          <w:sz w:val="24"/>
          <w:szCs w:val="24"/>
        </w:rPr>
        <w:t>满足《环境空气质量标准》（</w:t>
      </w:r>
      <w:r>
        <w:rPr>
          <w:rFonts w:ascii="Times New Roman" w:hAnsi="Times New Roman" w:eastAsia="Times New Roman" w:cs="Times New Roman"/>
          <w:sz w:val="24"/>
          <w:szCs w:val="24"/>
        </w:rPr>
        <w:t>GB3095-2012</w:t>
      </w:r>
      <w:r>
        <w:rPr>
          <w:rFonts w:ascii="宋体" w:hAnsi="宋体" w:eastAsia="宋体" w:cs="宋体"/>
          <w:sz w:val="24"/>
          <w:szCs w:val="24"/>
        </w:rPr>
        <w:t>）二级标准限值</w:t>
      </w:r>
      <w:r>
        <w:rPr>
          <w:rFonts w:ascii="宋体" w:hAnsi="宋体" w:eastAsia="宋体" w:cs="宋体"/>
          <w:spacing w:val="-1"/>
          <w:sz w:val="24"/>
          <w:szCs w:val="24"/>
        </w:rPr>
        <w:t>要求，</w:t>
      </w:r>
      <w:r>
        <w:rPr>
          <w:rFonts w:ascii="宋体" w:hAnsi="宋体" w:eastAsia="宋体" w:cs="宋体"/>
          <w:sz w:val="24"/>
          <w:szCs w:val="24"/>
        </w:rPr>
        <w:t xml:space="preserve"> </w:t>
      </w:r>
      <w:r>
        <w:rPr>
          <w:rFonts w:ascii="宋体" w:hAnsi="宋体" w:eastAsia="宋体" w:cs="宋体"/>
          <w:spacing w:val="14"/>
          <w:sz w:val="24"/>
          <w:szCs w:val="24"/>
        </w:rPr>
        <w:t>锰及其化合物日均值及氨小时均值均未超过《环境影响评价</w:t>
      </w:r>
      <w:r>
        <w:rPr>
          <w:rFonts w:ascii="宋体" w:hAnsi="宋体" w:eastAsia="宋体" w:cs="宋体"/>
          <w:spacing w:val="13"/>
          <w:sz w:val="24"/>
          <w:szCs w:val="24"/>
        </w:rPr>
        <w:t>技术导则</w:t>
      </w:r>
      <w:r>
        <w:rPr>
          <w:rFonts w:ascii="宋体" w:hAnsi="宋体" w:eastAsia="宋体" w:cs="宋体"/>
          <w:spacing w:val="43"/>
          <w:sz w:val="24"/>
          <w:szCs w:val="24"/>
        </w:rPr>
        <w:t xml:space="preserve"> </w:t>
      </w:r>
      <w:r>
        <w:rPr>
          <w:rFonts w:ascii="宋体" w:hAnsi="宋体" w:eastAsia="宋体" w:cs="宋体"/>
          <w:spacing w:val="13"/>
          <w:sz w:val="24"/>
          <w:szCs w:val="24"/>
        </w:rPr>
        <w:t>大气环境》</w:t>
      </w:r>
      <w:r>
        <w:rPr>
          <w:rFonts w:ascii="宋体" w:hAnsi="宋体" w:eastAsia="宋体" w:cs="宋体"/>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HJ2.2-2018</w:t>
      </w:r>
      <w:r>
        <w:rPr>
          <w:rFonts w:ascii="宋体" w:hAnsi="宋体" w:eastAsia="宋体" w:cs="宋体"/>
          <w:spacing w:val="-1"/>
          <w:sz w:val="24"/>
          <w:szCs w:val="24"/>
        </w:rPr>
        <w:t>）附录</w:t>
      </w:r>
      <w:r>
        <w:rPr>
          <w:rFonts w:ascii="宋体" w:hAnsi="宋体" w:eastAsia="宋体" w:cs="宋体"/>
          <w:spacing w:val="-40"/>
          <w:sz w:val="24"/>
          <w:szCs w:val="24"/>
        </w:rPr>
        <w:t xml:space="preserve"> </w:t>
      </w:r>
      <w:r>
        <w:rPr>
          <w:rFonts w:ascii="Times New Roman" w:hAnsi="Times New Roman" w:eastAsia="Times New Roman" w:cs="Times New Roman"/>
          <w:spacing w:val="-1"/>
          <w:sz w:val="24"/>
          <w:szCs w:val="24"/>
        </w:rPr>
        <w:t xml:space="preserve">D </w:t>
      </w:r>
      <w:r>
        <w:rPr>
          <w:rFonts w:ascii="宋体" w:hAnsi="宋体" w:eastAsia="宋体" w:cs="宋体"/>
          <w:spacing w:val="-1"/>
          <w:sz w:val="24"/>
          <w:szCs w:val="24"/>
        </w:rPr>
        <w:t>其他污染物空气质量浓度参考限值。</w:t>
      </w:r>
    </w:p>
    <w:p w14:paraId="4F968489">
      <w:pPr>
        <w:spacing w:before="33" w:line="219"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）地下水环境质量现状</w:t>
      </w:r>
    </w:p>
    <w:p w14:paraId="14C1C612">
      <w:pPr>
        <w:pStyle w:val="2"/>
        <w:spacing w:line="289" w:lineRule="auto"/>
      </w:pPr>
    </w:p>
    <w:p w14:paraId="50944D10">
      <w:pPr>
        <w:spacing w:before="78" w:line="367" w:lineRule="auto"/>
        <w:ind w:left="8" w:firstLine="510"/>
        <w:rPr>
          <w:rFonts w:ascii="宋体" w:hAnsi="宋体" w:eastAsia="宋体" w:cs="宋体"/>
          <w:sz w:val="24"/>
          <w:szCs w:val="24"/>
        </w:rPr>
      </w:pPr>
      <w:r>
        <w:rPr>
          <w:rFonts w:ascii="宋体" w:hAnsi="宋体" w:eastAsia="宋体" w:cs="宋体"/>
          <w:spacing w:val="-3"/>
          <w:sz w:val="24"/>
          <w:szCs w:val="24"/>
        </w:rPr>
        <w:t>由上表的监测结果可以看出，氟化物、氯化物、硫酸盐、高锰酸盐指数、氨、总硬</w:t>
      </w:r>
      <w:r>
        <w:rPr>
          <w:rFonts w:ascii="宋体" w:hAnsi="宋体" w:eastAsia="宋体" w:cs="宋体"/>
          <w:spacing w:val="9"/>
          <w:sz w:val="24"/>
          <w:szCs w:val="24"/>
        </w:rPr>
        <w:t xml:space="preserve">  </w:t>
      </w:r>
      <w:r>
        <w:rPr>
          <w:rFonts w:ascii="宋体" w:hAnsi="宋体" w:eastAsia="宋体" w:cs="宋体"/>
          <w:spacing w:val="-5"/>
          <w:sz w:val="24"/>
          <w:szCs w:val="24"/>
        </w:rPr>
        <w:t>度、溶解性总固体、铁、锰部分指标出现超标，其余监测因子均达到《地下水质量标准》</w:t>
      </w:r>
      <w:r>
        <w:rPr>
          <w:rFonts w:ascii="宋体" w:hAnsi="宋体" w:eastAsia="宋体" w:cs="宋体"/>
          <w:sz w:val="24"/>
          <w:szCs w:val="24"/>
        </w:rPr>
        <w:t xml:space="preserve"> </w:t>
      </w:r>
      <w:r>
        <w:rPr>
          <w:rFonts w:ascii="Times New Roman" w:hAnsi="Times New Roman" w:eastAsia="Times New Roman" w:cs="Times New Roman"/>
          <w:sz w:val="24"/>
          <w:szCs w:val="24"/>
        </w:rPr>
        <w:t>(GB/T14848-2017)</w:t>
      </w:r>
      <w:r>
        <w:rPr>
          <w:rFonts w:ascii="宋体" w:hAnsi="宋体" w:eastAsia="宋体" w:cs="宋体"/>
          <w:sz w:val="24"/>
          <w:szCs w:val="24"/>
        </w:rPr>
        <w:t>中</w:t>
      </w:r>
      <w:r>
        <w:rPr>
          <w:rFonts w:ascii="Times New Roman" w:hAnsi="Times New Roman" w:eastAsia="Times New Roman" w:cs="Times New Roman"/>
          <w:sz w:val="24"/>
          <w:szCs w:val="24"/>
        </w:rPr>
        <w:t>Ⅲ</w:t>
      </w:r>
      <w:r>
        <w:rPr>
          <w:rFonts w:ascii="宋体" w:hAnsi="宋体" w:eastAsia="宋体" w:cs="宋体"/>
          <w:sz w:val="24"/>
          <w:szCs w:val="24"/>
        </w:rPr>
        <w:t>类标准的要求，说明区域地下水环境质</w:t>
      </w:r>
      <w:r>
        <w:rPr>
          <w:rFonts w:ascii="宋体" w:hAnsi="宋体" w:eastAsia="宋体" w:cs="宋体"/>
          <w:spacing w:val="-1"/>
          <w:sz w:val="24"/>
          <w:szCs w:val="24"/>
        </w:rPr>
        <w:t>量现状良好。上述指标超</w:t>
      </w:r>
      <w:r>
        <w:rPr>
          <w:rFonts w:ascii="宋体" w:hAnsi="宋体" w:eastAsia="宋体" w:cs="宋体"/>
          <w:sz w:val="24"/>
          <w:szCs w:val="24"/>
        </w:rPr>
        <w:t xml:space="preserve">  </w:t>
      </w:r>
      <w:r>
        <w:rPr>
          <w:rFonts w:ascii="宋体" w:hAnsi="宋体" w:eastAsia="宋体" w:cs="宋体"/>
          <w:spacing w:val="-1"/>
          <w:sz w:val="24"/>
          <w:szCs w:val="24"/>
        </w:rPr>
        <w:t>标是由于环境本底值过高导致。</w:t>
      </w:r>
    </w:p>
    <w:p w14:paraId="0ADA1D62">
      <w:pPr>
        <w:spacing w:before="47" w:line="219" w:lineRule="auto"/>
        <w:ind w:left="501"/>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3</w:t>
      </w:r>
      <w:r>
        <w:rPr>
          <w:rFonts w:ascii="宋体" w:hAnsi="宋体" w:eastAsia="宋体" w:cs="宋体"/>
          <w:spacing w:val="-2"/>
          <w:sz w:val="24"/>
          <w:szCs w:val="24"/>
        </w:rPr>
        <w:t>）土壤环境质量现状</w:t>
      </w:r>
    </w:p>
    <w:p w14:paraId="28BB4D3A">
      <w:pPr>
        <w:spacing w:before="205" w:line="367" w:lineRule="auto"/>
        <w:ind w:left="9" w:right="105" w:firstLine="482"/>
        <w:rPr>
          <w:rFonts w:ascii="宋体" w:hAnsi="宋体" w:eastAsia="宋体" w:cs="宋体"/>
          <w:sz w:val="24"/>
          <w:szCs w:val="24"/>
        </w:rPr>
      </w:pPr>
      <w:r>
        <w:rPr>
          <w:rFonts w:ascii="宋体" w:hAnsi="宋体" w:eastAsia="宋体" w:cs="宋体"/>
          <w:sz w:val="24"/>
          <w:szCs w:val="24"/>
        </w:rPr>
        <w:t>厂区内、外各监测点位检测项目现状检测值均满足</w:t>
      </w:r>
      <w:r>
        <w:rPr>
          <w:rFonts w:ascii="宋体" w:hAnsi="宋体" w:eastAsia="宋体" w:cs="宋体"/>
          <w:spacing w:val="-1"/>
          <w:sz w:val="24"/>
          <w:szCs w:val="24"/>
        </w:rPr>
        <w:t>《土壤环境质量 建设用地土壤</w:t>
      </w:r>
      <w:r>
        <w:rPr>
          <w:rFonts w:ascii="宋体" w:hAnsi="宋体" w:eastAsia="宋体" w:cs="宋体"/>
          <w:sz w:val="24"/>
          <w:szCs w:val="24"/>
        </w:rPr>
        <w:t xml:space="preserve"> </w:t>
      </w:r>
      <w:r>
        <w:rPr>
          <w:rFonts w:ascii="宋体" w:hAnsi="宋体" w:eastAsia="宋体" w:cs="宋体"/>
          <w:spacing w:val="-3"/>
          <w:sz w:val="24"/>
          <w:szCs w:val="24"/>
        </w:rPr>
        <w:t>污染风险管控标准（试行）》（</w:t>
      </w:r>
      <w:r>
        <w:rPr>
          <w:rFonts w:ascii="Times New Roman" w:hAnsi="Times New Roman" w:eastAsia="Times New Roman" w:cs="Times New Roman"/>
          <w:spacing w:val="-3"/>
          <w:sz w:val="24"/>
          <w:szCs w:val="24"/>
        </w:rPr>
        <w:t>GB36600-2018</w:t>
      </w:r>
      <w:r>
        <w:rPr>
          <w:rFonts w:ascii="宋体" w:hAnsi="宋体" w:eastAsia="宋体" w:cs="宋体"/>
          <w:spacing w:val="-3"/>
          <w:sz w:val="24"/>
          <w:szCs w:val="24"/>
        </w:rPr>
        <w:t>）中表</w:t>
      </w:r>
      <w:r>
        <w:rPr>
          <w:rFonts w:ascii="宋体" w:hAnsi="宋体" w:eastAsia="宋体" w:cs="宋体"/>
          <w:spacing w:val="-32"/>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建设用地土壤</w:t>
      </w:r>
      <w:r>
        <w:rPr>
          <w:rFonts w:ascii="宋体" w:hAnsi="宋体" w:eastAsia="宋体" w:cs="宋体"/>
          <w:spacing w:val="-4"/>
          <w:sz w:val="24"/>
          <w:szCs w:val="24"/>
        </w:rPr>
        <w:t>污染风险第二类用</w:t>
      </w:r>
      <w:r>
        <w:rPr>
          <w:rFonts w:ascii="宋体" w:hAnsi="宋体" w:eastAsia="宋体" w:cs="宋体"/>
          <w:sz w:val="24"/>
          <w:szCs w:val="24"/>
        </w:rPr>
        <w:t xml:space="preserve"> </w:t>
      </w:r>
      <w:r>
        <w:rPr>
          <w:rFonts w:ascii="宋体" w:hAnsi="宋体" w:eastAsia="宋体" w:cs="宋体"/>
          <w:spacing w:val="-1"/>
          <w:sz w:val="24"/>
          <w:szCs w:val="24"/>
        </w:rPr>
        <w:t>地筛选值及《土壤环境质量 农用地土壤污染风险管控标准</w:t>
      </w:r>
      <w:r>
        <w:rPr>
          <w:rFonts w:ascii="Times New Roman" w:hAnsi="Times New Roman" w:eastAsia="Times New Roman" w:cs="Times New Roman"/>
          <w:spacing w:val="-1"/>
          <w:sz w:val="24"/>
          <w:szCs w:val="24"/>
        </w:rPr>
        <w:t>(</w:t>
      </w:r>
      <w:r>
        <w:rPr>
          <w:rFonts w:ascii="宋体" w:hAnsi="宋体" w:eastAsia="宋体" w:cs="宋体"/>
          <w:spacing w:val="-1"/>
          <w:sz w:val="24"/>
          <w:szCs w:val="24"/>
        </w:rPr>
        <w:t>试行</w:t>
      </w:r>
      <w:r>
        <w:rPr>
          <w:rFonts w:ascii="Times New Roman" w:hAnsi="Times New Roman" w:eastAsia="Times New Roman" w:cs="Times New Roman"/>
          <w:spacing w:val="-1"/>
          <w:sz w:val="24"/>
          <w:szCs w:val="24"/>
        </w:rPr>
        <w:t>)</w:t>
      </w:r>
      <w:r>
        <w:rPr>
          <w:rFonts w:ascii="宋体" w:hAnsi="宋体" w:eastAsia="宋体" w:cs="宋体"/>
          <w:spacing w:val="-1"/>
          <w:sz w:val="24"/>
          <w:szCs w:val="24"/>
        </w:rPr>
        <w:t>》</w:t>
      </w:r>
      <w:r>
        <w:rPr>
          <w:rFonts w:ascii="Times New Roman" w:hAnsi="Times New Roman" w:eastAsia="Times New Roman" w:cs="Times New Roman"/>
          <w:spacing w:val="-1"/>
          <w:sz w:val="24"/>
          <w:szCs w:val="24"/>
        </w:rPr>
        <w:t>(GB15618-2018)</w:t>
      </w:r>
      <w:r>
        <w:rPr>
          <w:rFonts w:ascii="宋体" w:hAnsi="宋体" w:eastAsia="宋体" w:cs="宋体"/>
          <w:spacing w:val="-1"/>
          <w:sz w:val="24"/>
          <w:szCs w:val="24"/>
        </w:rPr>
        <w:t>表</w:t>
      </w:r>
      <w:r>
        <w:rPr>
          <w:rFonts w:ascii="宋体" w:hAnsi="宋体" w:eastAsia="宋体" w:cs="宋体"/>
          <w:spacing w:val="-27"/>
          <w:sz w:val="24"/>
          <w:szCs w:val="24"/>
        </w:rPr>
        <w:t xml:space="preserve"> </w:t>
      </w:r>
      <w:r>
        <w:rPr>
          <w:rFonts w:ascii="Times New Roman" w:hAnsi="Times New Roman" w:eastAsia="Times New Roman" w:cs="Times New Roman"/>
          <w:spacing w:val="-1"/>
          <w:sz w:val="24"/>
          <w:szCs w:val="24"/>
        </w:rPr>
        <w:t>1</w:t>
      </w:r>
      <w:r>
        <w:rPr>
          <w:rFonts w:ascii="Times New Roman" w:hAnsi="Times New Roman" w:eastAsia="Times New Roman" w:cs="Times New Roman"/>
          <w:sz w:val="24"/>
          <w:szCs w:val="24"/>
        </w:rPr>
        <w:t xml:space="preserve"> </w:t>
      </w:r>
      <w:r>
        <w:rPr>
          <w:rFonts w:ascii="宋体" w:hAnsi="宋体" w:eastAsia="宋体" w:cs="宋体"/>
          <w:spacing w:val="-1"/>
          <w:sz w:val="24"/>
          <w:szCs w:val="24"/>
        </w:rPr>
        <w:t>农用地土壤污染风险筛选值标准。</w:t>
      </w:r>
    </w:p>
    <w:p w14:paraId="0237BEC9">
      <w:pPr>
        <w:spacing w:before="47" w:line="219"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4</w:t>
      </w:r>
      <w:r>
        <w:rPr>
          <w:rFonts w:ascii="宋体" w:hAnsi="宋体" w:eastAsia="宋体" w:cs="宋体"/>
          <w:spacing w:val="-3"/>
          <w:sz w:val="24"/>
          <w:szCs w:val="24"/>
        </w:rPr>
        <w:t>）声环境质量现状</w:t>
      </w:r>
    </w:p>
    <w:p w14:paraId="3366CB2E">
      <w:pPr>
        <w:spacing w:before="206" w:line="361" w:lineRule="auto"/>
        <w:ind w:left="21" w:right="69" w:firstLine="473"/>
        <w:rPr>
          <w:rFonts w:ascii="宋体" w:hAnsi="宋体" w:eastAsia="宋体" w:cs="宋体"/>
          <w:sz w:val="24"/>
          <w:szCs w:val="24"/>
        </w:rPr>
      </w:pPr>
      <w:r>
        <w:rPr>
          <w:rFonts w:ascii="宋体" w:hAnsi="宋体" w:eastAsia="宋体" w:cs="宋体"/>
          <w:spacing w:val="-1"/>
          <w:sz w:val="24"/>
          <w:szCs w:val="24"/>
        </w:rPr>
        <w:t>声环境质量现状监测数据表明，项目厂界昼、夜间噪声能满足《声环境质量标准》</w:t>
      </w:r>
      <w:r>
        <w:rPr>
          <w:rFonts w:ascii="宋体" w:hAnsi="宋体" w:eastAsia="宋体" w:cs="宋体"/>
          <w:spacing w:val="6"/>
          <w:sz w:val="24"/>
          <w:szCs w:val="24"/>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GB3096-2008</w:t>
      </w:r>
      <w:r>
        <w:rPr>
          <w:rFonts w:ascii="宋体" w:hAnsi="宋体" w:eastAsia="宋体" w:cs="宋体"/>
          <w:spacing w:val="-2"/>
          <w:sz w:val="24"/>
          <w:szCs w:val="24"/>
        </w:rPr>
        <w:t>）中</w:t>
      </w:r>
      <w:r>
        <w:rPr>
          <w:rFonts w:ascii="宋体" w:hAnsi="宋体" w:eastAsia="宋体" w:cs="宋体"/>
          <w:spacing w:val="-33"/>
          <w:sz w:val="24"/>
          <w:szCs w:val="24"/>
        </w:rPr>
        <w:t xml:space="preserve"> </w:t>
      </w:r>
      <w:r>
        <w:rPr>
          <w:rFonts w:ascii="Times New Roman" w:hAnsi="Times New Roman" w:eastAsia="Times New Roman" w:cs="Times New Roman"/>
          <w:spacing w:val="-2"/>
          <w:sz w:val="24"/>
          <w:szCs w:val="24"/>
        </w:rPr>
        <w:t xml:space="preserve">3 </w:t>
      </w:r>
      <w:r>
        <w:rPr>
          <w:rFonts w:ascii="宋体" w:hAnsi="宋体" w:eastAsia="宋体" w:cs="宋体"/>
          <w:spacing w:val="-2"/>
          <w:sz w:val="24"/>
          <w:szCs w:val="24"/>
        </w:rPr>
        <w:t>类标准限值的要求。</w:t>
      </w:r>
    </w:p>
    <w:p w14:paraId="089AFE7A">
      <w:pPr>
        <w:spacing w:before="88" w:line="222" w:lineRule="auto"/>
        <w:ind w:left="35"/>
        <w:outlineLvl w:val="1"/>
        <w:rPr>
          <w:rFonts w:ascii="黑体" w:hAnsi="黑体" w:eastAsia="黑体" w:cs="黑体"/>
          <w:sz w:val="30"/>
          <w:szCs w:val="30"/>
        </w:rPr>
      </w:pPr>
      <w:bookmarkStart w:id="502" w:name="bookmark472"/>
      <w:bookmarkEnd w:id="502"/>
      <w:r>
        <w:rPr>
          <w:rFonts w:ascii="Times New Roman" w:hAnsi="Times New Roman" w:eastAsia="Times New Roman" w:cs="Times New Roman"/>
          <w:spacing w:val="-3"/>
          <w:sz w:val="30"/>
          <w:szCs w:val="30"/>
        </w:rPr>
        <w:t xml:space="preserve">10.4 </w:t>
      </w:r>
      <w:r>
        <w:rPr>
          <w:rFonts w:ascii="黑体" w:hAnsi="黑体" w:eastAsia="黑体" w:cs="黑体"/>
          <w:spacing w:val="-3"/>
          <w:sz w:val="30"/>
          <w:szCs w:val="30"/>
        </w:rPr>
        <w:t>环境影响分析与评价</w:t>
      </w:r>
    </w:p>
    <w:p w14:paraId="0C82A75B">
      <w:pPr>
        <w:spacing w:before="240" w:line="373" w:lineRule="auto"/>
        <w:ind w:left="5" w:right="94" w:firstLine="495"/>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1</w:t>
      </w:r>
      <w:r>
        <w:rPr>
          <w:rFonts w:ascii="宋体" w:hAnsi="宋体" w:eastAsia="宋体" w:cs="宋体"/>
          <w:spacing w:val="-3"/>
          <w:sz w:val="24"/>
          <w:szCs w:val="24"/>
        </w:rPr>
        <w:t>）大气环境：新增污染源正常排放下，评价区域预测网格点各项污染物</w:t>
      </w:r>
      <w:r>
        <w:rPr>
          <w:rFonts w:ascii="宋体" w:hAnsi="宋体" w:eastAsia="宋体" w:cs="宋体"/>
          <w:spacing w:val="-19"/>
          <w:sz w:val="24"/>
          <w:szCs w:val="24"/>
        </w:rPr>
        <w:t xml:space="preserve"> </w:t>
      </w:r>
      <w:r>
        <w:rPr>
          <w:rFonts w:ascii="Times New Roman" w:hAnsi="Times New Roman" w:eastAsia="Times New Roman" w:cs="Times New Roman"/>
          <w:spacing w:val="-3"/>
          <w:sz w:val="24"/>
          <w:szCs w:val="24"/>
        </w:rPr>
        <w:t xml:space="preserve">1h </w:t>
      </w:r>
      <w:r>
        <w:rPr>
          <w:rFonts w:ascii="宋体" w:hAnsi="宋体" w:eastAsia="宋体" w:cs="宋体"/>
          <w:spacing w:val="-3"/>
          <w:sz w:val="24"/>
          <w:szCs w:val="24"/>
        </w:rPr>
        <w:t>平均</w:t>
      </w:r>
      <w:r>
        <w:rPr>
          <w:rFonts w:ascii="宋体" w:hAnsi="宋体" w:eastAsia="宋体" w:cs="宋体"/>
          <w:sz w:val="24"/>
          <w:szCs w:val="24"/>
        </w:rPr>
        <w:t xml:space="preserve"> </w:t>
      </w:r>
      <w:r>
        <w:rPr>
          <w:rFonts w:ascii="宋体" w:hAnsi="宋体" w:eastAsia="宋体" w:cs="宋体"/>
          <w:spacing w:val="-3"/>
          <w:sz w:val="24"/>
          <w:szCs w:val="24"/>
        </w:rPr>
        <w:t>浓度最大占标率分别为</w:t>
      </w:r>
      <w:r>
        <w:rPr>
          <w:rFonts w:ascii="宋体" w:hAnsi="宋体" w:eastAsia="宋体" w:cs="宋体"/>
          <w:spacing w:val="-63"/>
          <w:sz w:val="24"/>
          <w:szCs w:val="24"/>
        </w:rPr>
        <w:t xml:space="preserve"> </w:t>
      </w:r>
      <w:r>
        <w:rPr>
          <w:rFonts w:ascii="Times New Roman" w:hAnsi="Times New Roman" w:eastAsia="Times New Roman" w:cs="Times New Roman"/>
          <w:spacing w:val="-3"/>
          <w:sz w:val="24"/>
          <w:szCs w:val="24"/>
        </w:rPr>
        <w:t>NO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9"/>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44.36%</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SO</w:t>
      </w:r>
      <w:r>
        <w:rPr>
          <w:rFonts w:ascii="Times New Roman" w:hAnsi="Times New Roman" w:eastAsia="Times New Roman" w:cs="Times New Roman"/>
          <w:spacing w:val="-3"/>
          <w:position w:val="-1"/>
          <w:sz w:val="15"/>
          <w:szCs w:val="15"/>
        </w:rPr>
        <w:t>2</w:t>
      </w:r>
      <w:r>
        <w:rPr>
          <w:rFonts w:ascii="Times New Roman" w:hAnsi="Times New Roman" w:eastAsia="Times New Roman" w:cs="Times New Roman"/>
          <w:spacing w:val="-9"/>
          <w:position w:val="-1"/>
          <w:sz w:val="15"/>
          <w:szCs w:val="15"/>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7.53%</w:t>
      </w:r>
      <w:r>
        <w:rPr>
          <w:rFonts w:ascii="Times New Roman" w:hAnsi="Times New Roman" w:eastAsia="Times New Roman" w:cs="Times New Roman"/>
          <w:spacing w:val="-34"/>
          <w:sz w:val="24"/>
          <w:szCs w:val="24"/>
        </w:rPr>
        <w:t xml:space="preserve"> </w:t>
      </w:r>
      <w:r>
        <w:rPr>
          <w:rFonts w:ascii="宋体" w:hAnsi="宋体" w:eastAsia="宋体" w:cs="宋体"/>
          <w:spacing w:val="-3"/>
          <w:sz w:val="24"/>
          <w:szCs w:val="24"/>
        </w:rPr>
        <w:t>、氨</w:t>
      </w:r>
      <w:r>
        <w:rPr>
          <w:rFonts w:ascii="宋体" w:hAnsi="宋体" w:eastAsia="宋体" w:cs="宋体"/>
          <w:spacing w:val="-4"/>
          <w:sz w:val="24"/>
          <w:szCs w:val="24"/>
        </w:rPr>
        <w:t>：</w:t>
      </w:r>
      <w:r>
        <w:rPr>
          <w:rFonts w:ascii="Times New Roman" w:hAnsi="Times New Roman" w:eastAsia="Times New Roman" w:cs="Times New Roman"/>
          <w:spacing w:val="-4"/>
          <w:sz w:val="24"/>
          <w:szCs w:val="24"/>
        </w:rPr>
        <w:t>0.76%</w:t>
      </w:r>
      <w:r>
        <w:rPr>
          <w:rFonts w:ascii="Times New Roman" w:hAnsi="Times New Roman" w:eastAsia="Times New Roman" w:cs="Times New Roman"/>
          <w:spacing w:val="-28"/>
          <w:sz w:val="24"/>
          <w:szCs w:val="24"/>
        </w:rPr>
        <w:t xml:space="preserve"> </w:t>
      </w:r>
      <w:r>
        <w:rPr>
          <w:rFonts w:ascii="宋体" w:hAnsi="宋体" w:eastAsia="宋体" w:cs="宋体"/>
          <w:spacing w:val="-4"/>
          <w:sz w:val="24"/>
          <w:szCs w:val="24"/>
        </w:rPr>
        <w:t>。评价区域各污染物的</w:t>
      </w:r>
      <w:r>
        <w:rPr>
          <w:rFonts w:ascii="宋体" w:hAnsi="宋体" w:eastAsia="宋体" w:cs="宋体"/>
          <w:sz w:val="24"/>
          <w:szCs w:val="24"/>
        </w:rPr>
        <w:t xml:space="preserve"> </w:t>
      </w:r>
      <w:r>
        <w:rPr>
          <w:rFonts w:ascii="Times New Roman" w:hAnsi="Times New Roman" w:eastAsia="Times New Roman" w:cs="Times New Roman"/>
          <w:spacing w:val="1"/>
          <w:sz w:val="24"/>
          <w:szCs w:val="24"/>
        </w:rPr>
        <w:t xml:space="preserve">1h </w:t>
      </w:r>
      <w:r>
        <w:rPr>
          <w:rFonts w:ascii="宋体" w:hAnsi="宋体" w:eastAsia="宋体" w:cs="宋体"/>
          <w:spacing w:val="1"/>
          <w:sz w:val="24"/>
          <w:szCs w:val="24"/>
        </w:rPr>
        <w:t>平均最大浓度占标率均＜</w:t>
      </w:r>
      <w:r>
        <w:rPr>
          <w:rFonts w:ascii="Times New Roman" w:hAnsi="Times New Roman" w:eastAsia="Times New Roman" w:cs="Times New Roman"/>
          <w:spacing w:val="1"/>
          <w:sz w:val="24"/>
          <w:szCs w:val="24"/>
        </w:rPr>
        <w:t>100%</w:t>
      </w:r>
      <w:r>
        <w:rPr>
          <w:rFonts w:ascii="宋体" w:hAnsi="宋体" w:eastAsia="宋体" w:cs="宋体"/>
          <w:spacing w:val="1"/>
          <w:sz w:val="24"/>
          <w:szCs w:val="24"/>
        </w:rPr>
        <w:t>；新增污染源正常排放下，评价区域预测网格点各项</w:t>
      </w:r>
      <w:r>
        <w:rPr>
          <w:rFonts w:ascii="宋体" w:hAnsi="宋体" w:eastAsia="宋体" w:cs="宋体"/>
          <w:spacing w:val="2"/>
          <w:sz w:val="24"/>
          <w:szCs w:val="24"/>
        </w:rPr>
        <w:t xml:space="preserve"> </w:t>
      </w:r>
      <w:r>
        <w:rPr>
          <w:rFonts w:ascii="宋体" w:hAnsi="宋体" w:eastAsia="宋体" w:cs="宋体"/>
          <w:spacing w:val="-2"/>
          <w:sz w:val="24"/>
          <w:szCs w:val="24"/>
        </w:rPr>
        <w:t>污染物</w:t>
      </w:r>
      <w:r>
        <w:rPr>
          <w:rFonts w:ascii="宋体" w:hAnsi="宋体" w:eastAsia="宋体" w:cs="宋体"/>
          <w:spacing w:val="-55"/>
          <w:sz w:val="24"/>
          <w:szCs w:val="24"/>
        </w:rPr>
        <w:t xml:space="preserve"> </w:t>
      </w:r>
      <w:r>
        <w:rPr>
          <w:rFonts w:ascii="Times New Roman" w:hAnsi="Times New Roman" w:eastAsia="Times New Roman" w:cs="Times New Roman"/>
          <w:spacing w:val="-2"/>
          <w:sz w:val="24"/>
          <w:szCs w:val="24"/>
        </w:rPr>
        <w:t xml:space="preserve">24h </w:t>
      </w:r>
      <w:r>
        <w:rPr>
          <w:rFonts w:ascii="宋体" w:hAnsi="宋体" w:eastAsia="宋体" w:cs="宋体"/>
          <w:spacing w:val="-2"/>
          <w:sz w:val="24"/>
          <w:szCs w:val="24"/>
        </w:rPr>
        <w:t>平均最大浓度占标率分别为</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10</w:t>
      </w:r>
      <w:r>
        <w:rPr>
          <w:rFonts w:ascii="Times New Roman" w:hAnsi="Times New Roman" w:eastAsia="Times New Roman" w:cs="Times New Roman"/>
          <w:spacing w:val="-13"/>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2.5</w:t>
      </w:r>
      <w:r>
        <w:rPr>
          <w:rFonts w:ascii="Times New Roman" w:hAnsi="Times New Roman" w:eastAsia="Times New Roman" w:cs="Times New Roman"/>
          <w:spacing w:val="-10"/>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SO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2"/>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NO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0"/>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3"/>
          <w:sz w:val="24"/>
          <w:szCs w:val="24"/>
        </w:rPr>
        <w:t>TSP</w:t>
      </w:r>
      <w:r>
        <w:rPr>
          <w:rFonts w:ascii="Times New Roman" w:hAnsi="Times New Roman" w:eastAsia="Times New Roman" w:cs="Times New Roman"/>
          <w:spacing w:val="-33"/>
          <w:sz w:val="24"/>
          <w:szCs w:val="24"/>
        </w:rPr>
        <w:t xml:space="preserve"> </w:t>
      </w:r>
      <w:r>
        <w:rPr>
          <w:rFonts w:ascii="宋体" w:hAnsi="宋体" w:eastAsia="宋体" w:cs="宋体"/>
          <w:spacing w:val="-3"/>
          <w:sz w:val="24"/>
          <w:szCs w:val="24"/>
        </w:rPr>
        <w:t>、锰及其化合物</w:t>
      </w:r>
      <w:r>
        <w:rPr>
          <w:rFonts w:ascii="宋体" w:hAnsi="宋体" w:eastAsia="宋体" w:cs="宋体"/>
          <w:sz w:val="24"/>
          <w:szCs w:val="24"/>
        </w:rPr>
        <w:t xml:space="preserve"> </w:t>
      </w:r>
      <w:r>
        <w:rPr>
          <w:rFonts w:ascii="宋体" w:hAnsi="宋体" w:eastAsia="宋体" w:cs="宋体"/>
          <w:spacing w:val="4"/>
          <w:sz w:val="24"/>
          <w:szCs w:val="24"/>
        </w:rPr>
        <w:t>评价区域预测网格点最大落地日均贡献浓度占标率分别为</w:t>
      </w:r>
      <w:r>
        <w:rPr>
          <w:rFonts w:ascii="宋体" w:hAnsi="宋体" w:eastAsia="宋体" w:cs="宋体"/>
          <w:spacing w:val="-34"/>
          <w:sz w:val="24"/>
          <w:szCs w:val="24"/>
        </w:rPr>
        <w:t xml:space="preserve"> </w:t>
      </w:r>
      <w:r>
        <w:rPr>
          <w:rFonts w:ascii="Times New Roman" w:hAnsi="Times New Roman" w:eastAsia="Times New Roman" w:cs="Times New Roman"/>
          <w:spacing w:val="4"/>
          <w:sz w:val="24"/>
          <w:szCs w:val="24"/>
        </w:rPr>
        <w:t>3.68%</w:t>
      </w:r>
      <w:r>
        <w:rPr>
          <w:rFonts w:ascii="Times New Roman" w:hAnsi="Times New Roman" w:eastAsia="Times New Roman" w:cs="Times New Roman"/>
          <w:spacing w:val="-22"/>
          <w:sz w:val="24"/>
          <w:szCs w:val="24"/>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26.52%</w:t>
      </w:r>
      <w:r>
        <w:rPr>
          <w:rFonts w:ascii="Times New Roman" w:hAnsi="Times New Roman" w:eastAsia="Times New Roman" w:cs="Times New Roman"/>
          <w:spacing w:val="-23"/>
          <w:sz w:val="24"/>
          <w:szCs w:val="24"/>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5.05%</w:t>
      </w:r>
      <w:r>
        <w:rPr>
          <w:rFonts w:ascii="Times New Roman" w:hAnsi="Times New Roman" w:eastAsia="Times New Roman" w:cs="Times New Roman"/>
          <w:spacing w:val="-23"/>
          <w:sz w:val="24"/>
          <w:szCs w:val="24"/>
        </w:rPr>
        <w:t xml:space="preserve"> </w:t>
      </w:r>
      <w:r>
        <w:rPr>
          <w:rFonts w:ascii="宋体" w:hAnsi="宋体" w:eastAsia="宋体" w:cs="宋体"/>
          <w:spacing w:val="4"/>
          <w:sz w:val="24"/>
          <w:szCs w:val="24"/>
        </w:rPr>
        <w:t>、</w:t>
      </w:r>
      <w:r>
        <w:rPr>
          <w:rFonts w:ascii="宋体" w:hAnsi="宋体" w:eastAsia="宋体" w:cs="宋体"/>
          <w:sz w:val="24"/>
          <w:szCs w:val="24"/>
        </w:rPr>
        <w:t xml:space="preserve"> </w:t>
      </w:r>
      <w:r>
        <w:rPr>
          <w:rFonts w:ascii="Times New Roman" w:hAnsi="Times New Roman" w:eastAsia="Times New Roman" w:cs="Times New Roman"/>
          <w:spacing w:val="-4"/>
          <w:sz w:val="24"/>
          <w:szCs w:val="24"/>
        </w:rPr>
        <w:t>23.23%</w:t>
      </w:r>
      <w:r>
        <w:rPr>
          <w:rFonts w:ascii="Times New Roman" w:hAnsi="Times New Roman" w:eastAsia="Times New Roman" w:cs="Times New Roman"/>
          <w:spacing w:val="-35"/>
          <w:sz w:val="24"/>
          <w:szCs w:val="24"/>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4.41%</w:t>
      </w:r>
      <w:r>
        <w:rPr>
          <w:rFonts w:ascii="Times New Roman" w:hAnsi="Times New Roman" w:eastAsia="Times New Roman" w:cs="Times New Roman"/>
          <w:spacing w:val="-35"/>
          <w:sz w:val="24"/>
          <w:szCs w:val="24"/>
        </w:rPr>
        <w:t xml:space="preserve"> </w:t>
      </w:r>
      <w:r>
        <w:rPr>
          <w:rFonts w:ascii="宋体" w:hAnsi="宋体" w:eastAsia="宋体" w:cs="宋体"/>
          <w:spacing w:val="-4"/>
          <w:sz w:val="24"/>
          <w:szCs w:val="24"/>
        </w:rPr>
        <w:t>、</w:t>
      </w:r>
      <w:r>
        <w:rPr>
          <w:rFonts w:ascii="Times New Roman" w:hAnsi="Times New Roman" w:eastAsia="Times New Roman" w:cs="Times New Roman"/>
          <w:spacing w:val="-4"/>
          <w:sz w:val="24"/>
          <w:szCs w:val="24"/>
        </w:rPr>
        <w:t>28.34%</w:t>
      </w:r>
      <w:r>
        <w:rPr>
          <w:rFonts w:ascii="Times New Roman" w:hAnsi="Times New Roman" w:eastAsia="Times New Roman" w:cs="Times New Roman"/>
          <w:spacing w:val="-31"/>
          <w:sz w:val="24"/>
          <w:szCs w:val="24"/>
        </w:rPr>
        <w:t xml:space="preserve"> </w:t>
      </w:r>
      <w:r>
        <w:rPr>
          <w:rFonts w:ascii="宋体" w:hAnsi="宋体" w:eastAsia="宋体" w:cs="宋体"/>
          <w:spacing w:val="-4"/>
          <w:sz w:val="24"/>
          <w:szCs w:val="24"/>
        </w:rPr>
        <w:t>，</w:t>
      </w:r>
      <w:r>
        <w:rPr>
          <w:rFonts w:ascii="宋体" w:hAnsi="宋体" w:eastAsia="宋体" w:cs="宋体"/>
          <w:spacing w:val="-70"/>
          <w:sz w:val="24"/>
          <w:szCs w:val="24"/>
        </w:rPr>
        <w:t xml:space="preserve"> </w:t>
      </w:r>
      <w:r>
        <w:rPr>
          <w:rFonts w:ascii="宋体" w:hAnsi="宋体" w:eastAsia="宋体" w:cs="宋体"/>
          <w:spacing w:val="-4"/>
          <w:sz w:val="24"/>
          <w:szCs w:val="24"/>
        </w:rPr>
        <w:t>日平均最大浓度占标率均＜</w:t>
      </w:r>
      <w:r>
        <w:rPr>
          <w:rFonts w:ascii="Times New Roman" w:hAnsi="Times New Roman" w:eastAsia="Times New Roman" w:cs="Times New Roman"/>
          <w:spacing w:val="-4"/>
          <w:sz w:val="24"/>
          <w:szCs w:val="24"/>
        </w:rPr>
        <w:t>100%</w:t>
      </w:r>
      <w:r>
        <w:rPr>
          <w:rFonts w:ascii="宋体" w:hAnsi="宋体" w:eastAsia="宋体" w:cs="宋体"/>
          <w:spacing w:val="-4"/>
          <w:sz w:val="24"/>
          <w:szCs w:val="24"/>
        </w:rPr>
        <w:t>；新增污染源正常排</w:t>
      </w:r>
      <w:r>
        <w:rPr>
          <w:rFonts w:ascii="宋体" w:hAnsi="宋体" w:eastAsia="宋体" w:cs="宋体"/>
          <w:spacing w:val="-5"/>
          <w:sz w:val="24"/>
          <w:szCs w:val="24"/>
        </w:rPr>
        <w:t>放下，</w:t>
      </w:r>
      <w:r>
        <w:rPr>
          <w:rFonts w:ascii="宋体" w:hAnsi="宋体" w:eastAsia="宋体" w:cs="宋体"/>
          <w:sz w:val="24"/>
          <w:szCs w:val="24"/>
        </w:rPr>
        <w:t xml:space="preserve"> </w:t>
      </w:r>
      <w:r>
        <w:rPr>
          <w:rFonts w:ascii="宋体" w:hAnsi="宋体" w:eastAsia="宋体" w:cs="宋体"/>
          <w:spacing w:val="-2"/>
          <w:sz w:val="24"/>
          <w:szCs w:val="24"/>
        </w:rPr>
        <w:t>评价区域预测网格点各项污染物</w:t>
      </w:r>
      <w:r>
        <w:rPr>
          <w:rFonts w:ascii="宋体" w:hAnsi="宋体" w:eastAsia="宋体" w:cs="宋体"/>
          <w:spacing w:val="-56"/>
          <w:sz w:val="24"/>
          <w:szCs w:val="24"/>
        </w:rPr>
        <w:t xml:space="preserve"> </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10</w:t>
      </w:r>
      <w:r>
        <w:rPr>
          <w:rFonts w:ascii="Times New Roman" w:hAnsi="Times New Roman" w:eastAsia="Times New Roman" w:cs="Times New Roman"/>
          <w:spacing w:val="-12"/>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PM</w:t>
      </w:r>
      <w:r>
        <w:rPr>
          <w:rFonts w:ascii="Times New Roman" w:hAnsi="Times New Roman" w:eastAsia="Times New Roman" w:cs="Times New Roman"/>
          <w:spacing w:val="-2"/>
          <w:position w:val="-1"/>
          <w:sz w:val="15"/>
          <w:szCs w:val="15"/>
        </w:rPr>
        <w:t>2.5</w:t>
      </w:r>
      <w:r>
        <w:rPr>
          <w:rFonts w:ascii="Times New Roman" w:hAnsi="Times New Roman" w:eastAsia="Times New Roman" w:cs="Times New Roman"/>
          <w:spacing w:val="-15"/>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SO</w:t>
      </w:r>
      <w:r>
        <w:rPr>
          <w:rFonts w:ascii="Times New Roman" w:hAnsi="Times New Roman" w:eastAsia="Times New Roman" w:cs="Times New Roman"/>
          <w:spacing w:val="-2"/>
          <w:position w:val="-1"/>
          <w:sz w:val="15"/>
          <w:szCs w:val="15"/>
        </w:rPr>
        <w:t>2</w:t>
      </w:r>
      <w:r>
        <w:rPr>
          <w:rFonts w:ascii="宋体" w:hAnsi="宋体" w:eastAsia="宋体" w:cs="宋体"/>
          <w:spacing w:val="-2"/>
          <w:sz w:val="24"/>
          <w:szCs w:val="24"/>
        </w:rPr>
        <w:t>、</w:t>
      </w:r>
      <w:r>
        <w:rPr>
          <w:rFonts w:ascii="Times New Roman" w:hAnsi="Times New Roman" w:eastAsia="Times New Roman" w:cs="Times New Roman"/>
          <w:spacing w:val="-2"/>
          <w:sz w:val="24"/>
          <w:szCs w:val="24"/>
        </w:rPr>
        <w:t>NO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13"/>
          <w:position w:val="-1"/>
          <w:sz w:val="15"/>
          <w:szCs w:val="15"/>
        </w:rPr>
        <w:t xml:space="preserve"> </w:t>
      </w:r>
      <w:r>
        <w:rPr>
          <w:rFonts w:ascii="宋体" w:hAnsi="宋体" w:eastAsia="宋体" w:cs="宋体"/>
          <w:spacing w:val="-2"/>
          <w:sz w:val="24"/>
          <w:szCs w:val="24"/>
        </w:rPr>
        <w:t>、</w:t>
      </w:r>
      <w:r>
        <w:rPr>
          <w:rFonts w:ascii="Times New Roman" w:hAnsi="Times New Roman" w:eastAsia="Times New Roman" w:cs="Times New Roman"/>
          <w:spacing w:val="-2"/>
          <w:sz w:val="24"/>
          <w:szCs w:val="24"/>
        </w:rPr>
        <w:t xml:space="preserve">TSP </w:t>
      </w:r>
      <w:r>
        <w:rPr>
          <w:rFonts w:ascii="宋体" w:hAnsi="宋体" w:eastAsia="宋体" w:cs="宋体"/>
          <w:spacing w:val="-2"/>
          <w:sz w:val="24"/>
          <w:szCs w:val="24"/>
        </w:rPr>
        <w:t>年均</w:t>
      </w:r>
      <w:r>
        <w:rPr>
          <w:rFonts w:ascii="宋体" w:hAnsi="宋体" w:eastAsia="宋体" w:cs="宋体"/>
          <w:spacing w:val="-3"/>
          <w:sz w:val="24"/>
          <w:szCs w:val="24"/>
        </w:rPr>
        <w:t>贡献浓度占标率分</w:t>
      </w:r>
      <w:r>
        <w:rPr>
          <w:rFonts w:ascii="宋体" w:hAnsi="宋体" w:eastAsia="宋体" w:cs="宋体"/>
          <w:sz w:val="24"/>
          <w:szCs w:val="24"/>
        </w:rPr>
        <w:t xml:space="preserve"> </w:t>
      </w:r>
      <w:r>
        <w:rPr>
          <w:rFonts w:ascii="宋体" w:hAnsi="宋体" w:eastAsia="宋体" w:cs="宋体"/>
          <w:spacing w:val="-3"/>
          <w:sz w:val="24"/>
          <w:szCs w:val="24"/>
        </w:rPr>
        <w:t>别为</w:t>
      </w:r>
      <w:r>
        <w:rPr>
          <w:rFonts w:ascii="宋体" w:hAnsi="宋体" w:eastAsia="宋体" w:cs="宋体"/>
          <w:spacing w:val="-22"/>
          <w:sz w:val="24"/>
          <w:szCs w:val="24"/>
        </w:rPr>
        <w:t xml:space="preserve"> </w:t>
      </w:r>
      <w:r>
        <w:rPr>
          <w:rFonts w:ascii="Times New Roman" w:hAnsi="Times New Roman" w:eastAsia="Times New Roman" w:cs="Times New Roman"/>
          <w:spacing w:val="-3"/>
          <w:sz w:val="24"/>
          <w:szCs w:val="24"/>
        </w:rPr>
        <w:t>1.53%</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7.84%</w:t>
      </w:r>
      <w:r>
        <w:rPr>
          <w:rFonts w:ascii="Times New Roman" w:hAnsi="Times New Roman" w:eastAsia="Times New Roman" w:cs="Times New Roman"/>
          <w:spacing w:val="-33"/>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1.81%</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7.</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10%</w:t>
      </w:r>
      <w:r>
        <w:rPr>
          <w:rFonts w:ascii="Times New Roman" w:hAnsi="Times New Roman" w:eastAsia="Times New Roman" w:cs="Times New Roman"/>
          <w:spacing w:val="-32"/>
          <w:sz w:val="24"/>
          <w:szCs w:val="24"/>
        </w:rPr>
        <w:t xml:space="preserve"> </w:t>
      </w:r>
      <w:r>
        <w:rPr>
          <w:rFonts w:ascii="宋体" w:hAnsi="宋体" w:eastAsia="宋体" w:cs="宋体"/>
          <w:spacing w:val="-3"/>
          <w:sz w:val="24"/>
          <w:szCs w:val="24"/>
        </w:rPr>
        <w:t>、</w:t>
      </w:r>
      <w:r>
        <w:rPr>
          <w:rFonts w:ascii="Times New Roman" w:hAnsi="Times New Roman" w:eastAsia="Times New Roman" w:cs="Times New Roman"/>
          <w:spacing w:val="-3"/>
          <w:sz w:val="24"/>
          <w:szCs w:val="24"/>
        </w:rPr>
        <w:t>1.57%</w:t>
      </w:r>
      <w:r>
        <w:rPr>
          <w:rFonts w:ascii="Times New Roman" w:hAnsi="Times New Roman" w:eastAsia="Times New Roman" w:cs="Times New Roman"/>
          <w:spacing w:val="-25"/>
          <w:sz w:val="24"/>
          <w:szCs w:val="24"/>
        </w:rPr>
        <w:t xml:space="preserve"> </w:t>
      </w:r>
      <w:r>
        <w:rPr>
          <w:rFonts w:ascii="宋体" w:hAnsi="宋体" w:eastAsia="宋体" w:cs="宋体"/>
          <w:spacing w:val="-3"/>
          <w:sz w:val="24"/>
          <w:szCs w:val="24"/>
        </w:rPr>
        <w:t>。新增污染源正常排放下，污染物</w:t>
      </w:r>
      <w:r>
        <w:rPr>
          <w:rFonts w:ascii="宋体" w:hAnsi="宋体" w:eastAsia="宋体" w:cs="宋体"/>
          <w:spacing w:val="-54"/>
          <w:sz w:val="24"/>
          <w:szCs w:val="24"/>
        </w:rPr>
        <w:t xml:space="preserve"> </w:t>
      </w:r>
      <w:r>
        <w:rPr>
          <w:rFonts w:ascii="Times New Roman" w:hAnsi="Times New Roman" w:eastAsia="Times New Roman" w:cs="Times New Roman"/>
          <w:spacing w:val="-3"/>
          <w:sz w:val="24"/>
          <w:szCs w:val="24"/>
        </w:rPr>
        <w:t>PM</w:t>
      </w:r>
      <w:r>
        <w:rPr>
          <w:rFonts w:ascii="Times New Roman" w:hAnsi="Times New Roman" w:eastAsia="Times New Roman" w:cs="Times New Roman"/>
          <w:spacing w:val="-3"/>
          <w:position w:val="-1"/>
          <w:sz w:val="15"/>
          <w:szCs w:val="15"/>
        </w:rPr>
        <w:t>10</w:t>
      </w:r>
      <w:r>
        <w:rPr>
          <w:rFonts w:ascii="宋体" w:hAnsi="宋体" w:eastAsia="宋体" w:cs="宋体"/>
          <w:spacing w:val="-3"/>
          <w:sz w:val="24"/>
          <w:szCs w:val="24"/>
        </w:rPr>
        <w:t>、</w:t>
      </w:r>
    </w:p>
    <w:p w14:paraId="7B512415">
      <w:pPr>
        <w:spacing w:line="373" w:lineRule="auto"/>
        <w:rPr>
          <w:rFonts w:ascii="宋体" w:hAnsi="宋体" w:eastAsia="宋体" w:cs="宋体"/>
          <w:sz w:val="24"/>
          <w:szCs w:val="24"/>
        </w:rPr>
        <w:sectPr>
          <w:headerReference r:id="rId524" w:type="default"/>
          <w:footerReference r:id="rId525" w:type="default"/>
          <w:pgSz w:w="11906" w:h="16839"/>
          <w:pgMar w:top="1190" w:right="1312" w:bottom="1221" w:left="1418" w:header="882" w:footer="1059" w:gutter="0"/>
          <w:cols w:space="720" w:num="1"/>
        </w:sectPr>
      </w:pPr>
    </w:p>
    <w:p w14:paraId="6397C262">
      <w:pPr>
        <w:spacing w:line="28" w:lineRule="exact"/>
      </w:pPr>
      <w:r>
        <w:pict>
          <v:shape id="_x0000_s3107" o:spid="_x0000_s3107" style="height:1.45pt;width:453.55pt;" fillcolor="#000000" filled="t" stroked="f" coordsize="9070,29" path="m0,0l9070,0,9070,28,0,28,0,0xe">
            <v:path/>
            <v:fill on="t" focussize="0,0"/>
            <v:stroke on="f"/>
            <v:imagedata o:title=""/>
            <o:lock v:ext="edit"/>
            <w10:wrap type="none"/>
            <w10:anchorlock/>
          </v:shape>
        </w:pict>
      </w:r>
    </w:p>
    <w:p w14:paraId="61FFFBF0">
      <w:pPr>
        <w:pStyle w:val="2"/>
        <w:spacing w:line="242" w:lineRule="auto"/>
      </w:pPr>
    </w:p>
    <w:p w14:paraId="49ED6E57">
      <w:pPr>
        <w:spacing w:before="78" w:line="367" w:lineRule="auto"/>
        <w:ind w:left="11" w:firstLine="3"/>
        <w:jc w:val="both"/>
        <w:rPr>
          <w:rFonts w:ascii="宋体" w:hAnsi="宋体" w:eastAsia="宋体" w:cs="宋体"/>
          <w:sz w:val="24"/>
          <w:szCs w:val="24"/>
        </w:rPr>
      </w:pPr>
      <w:r>
        <w:rPr>
          <w:rFonts w:ascii="Times New Roman" w:hAnsi="Times New Roman" w:eastAsia="Times New Roman" w:cs="Times New Roman"/>
          <w:spacing w:val="-5"/>
          <w:sz w:val="24"/>
          <w:szCs w:val="24"/>
        </w:rPr>
        <w:t>SO</w:t>
      </w:r>
      <w:r>
        <w:rPr>
          <w:rFonts w:ascii="Times New Roman" w:hAnsi="Times New Roman" w:eastAsia="Times New Roman" w:cs="Times New Roman"/>
          <w:spacing w:val="-5"/>
          <w:position w:val="-1"/>
          <w:sz w:val="15"/>
          <w:szCs w:val="15"/>
        </w:rPr>
        <w:t>2</w:t>
      </w:r>
      <w:r>
        <w:rPr>
          <w:rFonts w:ascii="宋体" w:hAnsi="宋体" w:eastAsia="宋体" w:cs="宋体"/>
          <w:spacing w:val="-20"/>
          <w:sz w:val="24"/>
          <w:szCs w:val="24"/>
        </w:rPr>
        <w:t>、</w:t>
      </w:r>
      <w:r>
        <w:rPr>
          <w:rFonts w:ascii="Times New Roman" w:hAnsi="Times New Roman" w:eastAsia="Times New Roman" w:cs="Times New Roman"/>
          <w:spacing w:val="-20"/>
          <w:sz w:val="24"/>
          <w:szCs w:val="24"/>
        </w:rPr>
        <w:t>NO</w:t>
      </w:r>
      <w:r>
        <w:rPr>
          <w:rFonts w:ascii="Times New Roman" w:hAnsi="Times New Roman" w:eastAsia="Times New Roman" w:cs="Times New Roman"/>
          <w:spacing w:val="3"/>
          <w:position w:val="-1"/>
          <w:sz w:val="15"/>
          <w:szCs w:val="15"/>
        </w:rPr>
        <w:t>2</w:t>
      </w:r>
      <w:r>
        <w:rPr>
          <w:rFonts w:ascii="宋体" w:hAnsi="宋体" w:eastAsia="宋体" w:cs="宋体"/>
          <w:spacing w:val="-7"/>
          <w:sz w:val="24"/>
          <w:szCs w:val="24"/>
        </w:rPr>
        <w:t>、</w:t>
      </w:r>
      <w:r>
        <w:rPr>
          <w:rFonts w:ascii="Times New Roman" w:hAnsi="Times New Roman" w:eastAsia="Times New Roman" w:cs="Times New Roman"/>
          <w:spacing w:val="-7"/>
          <w:sz w:val="24"/>
          <w:szCs w:val="24"/>
        </w:rPr>
        <w:t>TSP</w:t>
      </w:r>
      <w:r>
        <w:rPr>
          <w:rFonts w:ascii="Times New Roman" w:hAnsi="Times New Roman" w:eastAsia="Times New Roman" w:cs="Times New Roman"/>
          <w:spacing w:val="31"/>
          <w:w w:val="101"/>
          <w:sz w:val="24"/>
          <w:szCs w:val="24"/>
        </w:rPr>
        <w:t xml:space="preserve"> </w:t>
      </w:r>
      <w:r>
        <w:rPr>
          <w:rFonts w:ascii="宋体" w:hAnsi="宋体" w:eastAsia="宋体" w:cs="宋体"/>
          <w:spacing w:val="-7"/>
          <w:sz w:val="24"/>
          <w:szCs w:val="24"/>
        </w:rPr>
        <w:t>的年均浓度贡献值的最大占标率均</w:t>
      </w:r>
      <w:r>
        <w:rPr>
          <w:rFonts w:ascii="Times New Roman" w:hAnsi="Times New Roman" w:eastAsia="Times New Roman" w:cs="Times New Roman"/>
          <w:spacing w:val="-7"/>
          <w:sz w:val="24"/>
          <w:szCs w:val="24"/>
        </w:rPr>
        <w:t>≤30%</w:t>
      </w:r>
      <w:r>
        <w:rPr>
          <w:rFonts w:ascii="宋体" w:hAnsi="宋体" w:eastAsia="宋体" w:cs="宋体"/>
          <w:spacing w:val="-8"/>
          <w:sz w:val="24"/>
          <w:szCs w:val="24"/>
        </w:rPr>
        <w:t>。正常排放条件下，</w:t>
      </w:r>
      <w:r>
        <w:rPr>
          <w:rFonts w:ascii="Times New Roman" w:hAnsi="Times New Roman" w:eastAsia="Times New Roman" w:cs="Times New Roman"/>
          <w:spacing w:val="-8"/>
          <w:sz w:val="24"/>
          <w:szCs w:val="24"/>
        </w:rPr>
        <w:t>TSP</w:t>
      </w:r>
      <w:r>
        <w:rPr>
          <w:rFonts w:ascii="宋体" w:hAnsi="宋体" w:eastAsia="宋体" w:cs="宋体"/>
          <w:spacing w:val="-8"/>
          <w:sz w:val="24"/>
          <w:szCs w:val="24"/>
        </w:rPr>
        <w:t>、</w:t>
      </w:r>
      <w:r>
        <w:rPr>
          <w:rFonts w:ascii="Times New Roman" w:hAnsi="Times New Roman" w:eastAsia="Times New Roman" w:cs="Times New Roman"/>
          <w:spacing w:val="-8"/>
          <w:sz w:val="24"/>
          <w:szCs w:val="24"/>
        </w:rPr>
        <w:t>PM</w:t>
      </w:r>
      <w:r>
        <w:rPr>
          <w:rFonts w:ascii="Times New Roman" w:hAnsi="Times New Roman" w:eastAsia="Times New Roman" w:cs="Times New Roman"/>
          <w:spacing w:val="-8"/>
          <w:position w:val="-1"/>
          <w:sz w:val="15"/>
          <w:szCs w:val="15"/>
        </w:rPr>
        <w:t>10</w:t>
      </w:r>
      <w:r>
        <w:rPr>
          <w:rFonts w:ascii="宋体" w:hAnsi="宋体" w:eastAsia="宋体" w:cs="宋体"/>
          <w:spacing w:val="-8"/>
          <w:sz w:val="24"/>
          <w:szCs w:val="24"/>
        </w:rPr>
        <w:t>、</w:t>
      </w:r>
      <w:r>
        <w:rPr>
          <w:rFonts w:ascii="宋体" w:hAnsi="宋体" w:eastAsia="宋体" w:cs="宋体"/>
          <w:sz w:val="24"/>
          <w:szCs w:val="24"/>
        </w:rPr>
        <w:t xml:space="preserve"> </w:t>
      </w:r>
      <w:r>
        <w:rPr>
          <w:rFonts w:ascii="Times New Roman" w:hAnsi="Times New Roman" w:eastAsia="Times New Roman" w:cs="Times New Roman"/>
          <w:spacing w:val="-4"/>
          <w:sz w:val="24"/>
          <w:szCs w:val="24"/>
        </w:rPr>
        <w:t>SO</w:t>
      </w:r>
      <w:r>
        <w:rPr>
          <w:rFonts w:ascii="Times New Roman" w:hAnsi="Times New Roman" w:eastAsia="Times New Roman" w:cs="Times New Roman"/>
          <w:spacing w:val="-4"/>
          <w:position w:val="-1"/>
          <w:sz w:val="15"/>
          <w:szCs w:val="15"/>
        </w:rPr>
        <w:t>2</w:t>
      </w:r>
      <w:r>
        <w:rPr>
          <w:rFonts w:ascii="Times New Roman" w:hAnsi="Times New Roman" w:eastAsia="Times New Roman" w:cs="Times New Roman"/>
          <w:spacing w:val="1"/>
          <w:position w:val="-1"/>
          <w:sz w:val="15"/>
          <w:szCs w:val="15"/>
        </w:rPr>
        <w:t xml:space="preserve"> </w:t>
      </w:r>
      <w:r>
        <w:rPr>
          <w:rFonts w:ascii="宋体" w:hAnsi="宋体" w:eastAsia="宋体" w:cs="宋体"/>
          <w:spacing w:val="1"/>
          <w:sz w:val="24"/>
          <w:szCs w:val="24"/>
        </w:rPr>
        <w:t>、</w:t>
      </w:r>
      <w:r>
        <w:rPr>
          <w:rFonts w:ascii="Times New Roman" w:hAnsi="Times New Roman" w:eastAsia="Times New Roman" w:cs="Times New Roman"/>
          <w:sz w:val="24"/>
          <w:szCs w:val="24"/>
        </w:rPr>
        <w:t>NO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8"/>
          <w:position w:val="-1"/>
          <w:sz w:val="15"/>
          <w:szCs w:val="15"/>
        </w:rPr>
        <w:t xml:space="preserve"> </w:t>
      </w:r>
      <w:r>
        <w:rPr>
          <w:rFonts w:ascii="宋体" w:hAnsi="宋体" w:eastAsia="宋体" w:cs="宋体"/>
          <w:spacing w:val="1"/>
          <w:sz w:val="24"/>
          <w:szCs w:val="24"/>
        </w:rPr>
        <w:t>、锰及其化合物最大落地浓度贡献值削减替代源、叠加区域污染源及背景值</w:t>
      </w:r>
      <w:r>
        <w:rPr>
          <w:rFonts w:ascii="宋体" w:hAnsi="宋体" w:eastAsia="宋体" w:cs="宋体"/>
          <w:sz w:val="24"/>
          <w:szCs w:val="24"/>
        </w:rPr>
        <w:t xml:space="preserve"> </w:t>
      </w:r>
      <w:r>
        <w:rPr>
          <w:rFonts w:ascii="宋体" w:hAnsi="宋体" w:eastAsia="宋体" w:cs="宋体"/>
          <w:spacing w:val="1"/>
          <w:sz w:val="24"/>
          <w:szCs w:val="24"/>
        </w:rPr>
        <w:t>后，浓度均满足《环境空气质量标准》（</w:t>
      </w:r>
      <w:r>
        <w:rPr>
          <w:rFonts w:ascii="Times New Roman" w:hAnsi="Times New Roman" w:eastAsia="Times New Roman" w:cs="Times New Roman"/>
          <w:sz w:val="24"/>
          <w:szCs w:val="24"/>
        </w:rPr>
        <w:t>GB</w:t>
      </w:r>
      <w:r>
        <w:rPr>
          <w:rFonts w:ascii="Times New Roman" w:hAnsi="Times New Roman" w:eastAsia="Times New Roman" w:cs="Times New Roman"/>
          <w:spacing w:val="1"/>
          <w:sz w:val="24"/>
          <w:szCs w:val="24"/>
        </w:rPr>
        <w:t>309</w:t>
      </w:r>
      <w:r>
        <w:rPr>
          <w:rFonts w:ascii="Times New Roman" w:hAnsi="Times New Roman" w:eastAsia="Times New Roman" w:cs="Times New Roman"/>
          <w:sz w:val="24"/>
          <w:szCs w:val="24"/>
        </w:rPr>
        <w:t>5-2012</w:t>
      </w:r>
      <w:r>
        <w:rPr>
          <w:rFonts w:ascii="宋体" w:hAnsi="宋体" w:eastAsia="宋体" w:cs="宋体"/>
          <w:spacing w:val="-17"/>
          <w:sz w:val="24"/>
          <w:szCs w:val="24"/>
        </w:rPr>
        <w:t>）（</w:t>
      </w:r>
      <w:r>
        <w:rPr>
          <w:rFonts w:ascii="Times New Roman" w:hAnsi="Times New Roman" w:eastAsia="Times New Roman" w:cs="Times New Roman"/>
          <w:sz w:val="24"/>
          <w:szCs w:val="24"/>
        </w:rPr>
        <w:t xml:space="preserve">2018 </w:t>
      </w:r>
      <w:r>
        <w:rPr>
          <w:rFonts w:ascii="宋体" w:hAnsi="宋体" w:eastAsia="宋体" w:cs="宋体"/>
          <w:sz w:val="24"/>
          <w:szCs w:val="24"/>
        </w:rPr>
        <w:t>年修改单）二级标准。</w:t>
      </w:r>
    </w:p>
    <w:p w14:paraId="79E57EAE">
      <w:pPr>
        <w:spacing w:before="33" w:line="368" w:lineRule="auto"/>
        <w:ind w:left="9" w:right="80" w:firstLine="483"/>
        <w:jc w:val="both"/>
        <w:rPr>
          <w:rFonts w:ascii="宋体" w:hAnsi="宋体" w:eastAsia="宋体" w:cs="宋体"/>
          <w:sz w:val="24"/>
          <w:szCs w:val="24"/>
        </w:rPr>
      </w:pPr>
      <w:r>
        <w:rPr>
          <w:rFonts w:ascii="宋体" w:hAnsi="宋体" w:eastAsia="宋体" w:cs="宋体"/>
          <w:spacing w:val="-2"/>
          <w:sz w:val="24"/>
          <w:szCs w:val="24"/>
        </w:rPr>
        <w:t>非正常排放下，颗粒物、氮氧化物排放量就会出现超标状况，对评价区大气环境环</w:t>
      </w:r>
      <w:r>
        <w:rPr>
          <w:rFonts w:ascii="宋体" w:hAnsi="宋体" w:eastAsia="宋体" w:cs="宋体"/>
          <w:spacing w:val="7"/>
          <w:sz w:val="24"/>
          <w:szCs w:val="24"/>
        </w:rPr>
        <w:t xml:space="preserve"> </w:t>
      </w:r>
      <w:r>
        <w:rPr>
          <w:rFonts w:ascii="宋体" w:hAnsi="宋体" w:eastAsia="宋体" w:cs="宋体"/>
          <w:spacing w:val="-2"/>
          <w:sz w:val="24"/>
          <w:szCs w:val="24"/>
        </w:rPr>
        <w:t>影响较重，要求企业严格管理，确保环保设施的正常运转，杜绝非正常工况排放，综上</w:t>
      </w:r>
      <w:r>
        <w:rPr>
          <w:rFonts w:ascii="宋体" w:hAnsi="宋体" w:eastAsia="宋体" w:cs="宋体"/>
          <w:spacing w:val="15"/>
          <w:sz w:val="24"/>
          <w:szCs w:val="24"/>
        </w:rPr>
        <w:t xml:space="preserve"> </w:t>
      </w:r>
      <w:r>
        <w:rPr>
          <w:rFonts w:ascii="宋体" w:hAnsi="宋体" w:eastAsia="宋体" w:cs="宋体"/>
          <w:spacing w:val="-1"/>
          <w:sz w:val="24"/>
          <w:szCs w:val="24"/>
        </w:rPr>
        <w:t>所述，本项目大气环境影响可以接受。</w:t>
      </w:r>
    </w:p>
    <w:p w14:paraId="55AF23F5">
      <w:pPr>
        <w:spacing w:before="30" w:line="357" w:lineRule="auto"/>
        <w:ind w:left="8" w:right="18" w:firstLine="492"/>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2</w:t>
      </w:r>
      <w:r>
        <w:rPr>
          <w:rFonts w:ascii="宋体" w:hAnsi="宋体" w:eastAsia="宋体" w:cs="宋体"/>
          <w:spacing w:val="-4"/>
          <w:sz w:val="24"/>
          <w:szCs w:val="24"/>
        </w:rPr>
        <w:t>）水环境：本项目生活污水、化验室废水经地埋式一体化污水处理设施处理后，</w:t>
      </w:r>
      <w:r>
        <w:rPr>
          <w:rFonts w:ascii="宋体" w:hAnsi="宋体" w:eastAsia="宋体" w:cs="宋体"/>
          <w:spacing w:val="17"/>
          <w:sz w:val="24"/>
          <w:szCs w:val="24"/>
        </w:rPr>
        <w:t xml:space="preserve"> </w:t>
      </w:r>
      <w:r>
        <w:rPr>
          <w:rFonts w:ascii="宋体" w:hAnsi="宋体" w:eastAsia="宋体" w:cs="宋体"/>
          <w:spacing w:val="-2"/>
          <w:sz w:val="24"/>
          <w:szCs w:val="24"/>
        </w:rPr>
        <w:t>由罐车运至苏尼特右旗赛汉塔拉镇污水处理厂进一步处理；脱硫废水采用三联箱工艺处</w:t>
      </w:r>
      <w:r>
        <w:rPr>
          <w:rFonts w:ascii="宋体" w:hAnsi="宋体" w:eastAsia="宋体" w:cs="宋体"/>
          <w:spacing w:val="16"/>
          <w:sz w:val="24"/>
          <w:szCs w:val="24"/>
        </w:rPr>
        <w:t xml:space="preserve"> </w:t>
      </w:r>
      <w:r>
        <w:rPr>
          <w:rFonts w:ascii="宋体" w:hAnsi="宋体" w:eastAsia="宋体" w:cs="宋体"/>
          <w:spacing w:val="-6"/>
          <w:sz w:val="24"/>
          <w:szCs w:val="24"/>
        </w:rPr>
        <w:t>理后补充到浊循环水系统中；过滤水循环使用；煤气冷凝废水采用隔油池进行</w:t>
      </w:r>
      <w:r>
        <w:rPr>
          <w:rFonts w:ascii="宋体" w:hAnsi="宋体" w:eastAsia="宋体" w:cs="宋体"/>
          <w:spacing w:val="-7"/>
          <w:sz w:val="24"/>
          <w:szCs w:val="24"/>
        </w:rPr>
        <w:t>隔油处理，</w:t>
      </w:r>
      <w:r>
        <w:rPr>
          <w:rFonts w:ascii="宋体" w:hAnsi="宋体" w:eastAsia="宋体" w:cs="宋体"/>
          <w:sz w:val="24"/>
          <w:szCs w:val="24"/>
        </w:rPr>
        <w:t xml:space="preserve"> </w:t>
      </w:r>
      <w:r>
        <w:rPr>
          <w:rFonts w:ascii="宋体" w:hAnsi="宋体" w:eastAsia="宋体" w:cs="宋体"/>
          <w:spacing w:val="-2"/>
          <w:sz w:val="24"/>
          <w:szCs w:val="24"/>
        </w:rPr>
        <w:t>出水用作矿热炉开堵眼机堵塞泥制作用水；化水车间排污、燃气发电锅炉排污、辅机冷</w:t>
      </w:r>
      <w:r>
        <w:rPr>
          <w:rFonts w:ascii="宋体" w:hAnsi="宋体" w:eastAsia="宋体" w:cs="宋体"/>
          <w:spacing w:val="16"/>
          <w:sz w:val="24"/>
          <w:szCs w:val="24"/>
        </w:rPr>
        <w:t xml:space="preserve"> </w:t>
      </w:r>
      <w:r>
        <w:rPr>
          <w:rFonts w:ascii="宋体" w:hAnsi="宋体" w:eastAsia="宋体" w:cs="宋体"/>
          <w:spacing w:val="-2"/>
          <w:sz w:val="24"/>
          <w:szCs w:val="24"/>
        </w:rPr>
        <w:t>却循环水站排污、循环水系统排污及软水制备排污全部作为浊循环水系统补充水。废水</w:t>
      </w:r>
      <w:r>
        <w:rPr>
          <w:rFonts w:ascii="宋体" w:hAnsi="宋体" w:eastAsia="宋体" w:cs="宋体"/>
          <w:spacing w:val="16"/>
          <w:sz w:val="24"/>
          <w:szCs w:val="24"/>
        </w:rPr>
        <w:t xml:space="preserve"> </w:t>
      </w:r>
      <w:r>
        <w:rPr>
          <w:rFonts w:ascii="宋体" w:hAnsi="宋体" w:eastAsia="宋体" w:cs="宋体"/>
          <w:spacing w:val="-6"/>
          <w:sz w:val="24"/>
          <w:szCs w:val="24"/>
        </w:rPr>
        <w:t>不会直接进入当地的水体环境，不会对地表水环境产生较大的影响。同时在建</w:t>
      </w:r>
      <w:r>
        <w:rPr>
          <w:rFonts w:ascii="宋体" w:hAnsi="宋体" w:eastAsia="宋体" w:cs="宋体"/>
          <w:spacing w:val="-7"/>
          <w:sz w:val="24"/>
          <w:szCs w:val="24"/>
        </w:rPr>
        <w:t>设过程中，</w:t>
      </w:r>
      <w:r>
        <w:rPr>
          <w:rFonts w:ascii="宋体" w:hAnsi="宋体" w:eastAsia="宋体" w:cs="宋体"/>
          <w:sz w:val="24"/>
          <w:szCs w:val="24"/>
        </w:rPr>
        <w:t xml:space="preserve"> </w:t>
      </w:r>
      <w:r>
        <w:rPr>
          <w:rFonts w:ascii="宋体" w:hAnsi="宋体" w:eastAsia="宋体" w:cs="宋体"/>
          <w:spacing w:val="-2"/>
          <w:sz w:val="24"/>
          <w:szCs w:val="24"/>
        </w:rPr>
        <w:t>对厂内重点部位均进行了防渗处理，可防止污水的下渗对当地的地下水产生污染，本项</w:t>
      </w:r>
      <w:r>
        <w:rPr>
          <w:rFonts w:ascii="宋体" w:hAnsi="宋体" w:eastAsia="宋体" w:cs="宋体"/>
          <w:spacing w:val="16"/>
          <w:sz w:val="24"/>
          <w:szCs w:val="24"/>
        </w:rPr>
        <w:t xml:space="preserve"> </w:t>
      </w:r>
      <w:r>
        <w:rPr>
          <w:rFonts w:ascii="宋体" w:hAnsi="宋体" w:eastAsia="宋体" w:cs="宋体"/>
          <w:spacing w:val="-1"/>
          <w:sz w:val="24"/>
          <w:szCs w:val="24"/>
        </w:rPr>
        <w:t>目污水对所在区域水环境的影响很小。</w:t>
      </w:r>
    </w:p>
    <w:p w14:paraId="4EF67AC4">
      <w:pPr>
        <w:spacing w:before="199" w:line="357" w:lineRule="auto"/>
        <w:ind w:left="8" w:right="31" w:firstLine="49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）固体废物：本项目产生的脱硫石膏、废耐火材料、脱硫废渣、配</w:t>
      </w:r>
      <w:r>
        <w:rPr>
          <w:rFonts w:ascii="Times New Roman" w:hAnsi="Times New Roman" w:eastAsia="Times New Roman" w:cs="Times New Roman"/>
          <w:spacing w:val="-1"/>
          <w:sz w:val="24"/>
          <w:szCs w:val="24"/>
        </w:rPr>
        <w:t>/</w:t>
      </w:r>
      <w:r>
        <w:rPr>
          <w:rFonts w:ascii="宋体" w:hAnsi="宋体" w:eastAsia="宋体" w:cs="宋体"/>
          <w:spacing w:val="-1"/>
          <w:sz w:val="24"/>
          <w:szCs w:val="24"/>
        </w:rPr>
        <w:t>上料除尘灰</w:t>
      </w:r>
      <w:r>
        <w:rPr>
          <w:rFonts w:ascii="宋体" w:hAnsi="宋体" w:eastAsia="宋体" w:cs="宋体"/>
          <w:spacing w:val="18"/>
          <w:sz w:val="24"/>
          <w:szCs w:val="24"/>
        </w:rPr>
        <w:t xml:space="preserve"> </w:t>
      </w:r>
      <w:r>
        <w:rPr>
          <w:rFonts w:ascii="宋体" w:hAnsi="宋体" w:eastAsia="宋体" w:cs="宋体"/>
          <w:spacing w:val="-1"/>
          <w:sz w:val="24"/>
          <w:szCs w:val="24"/>
        </w:rPr>
        <w:t>外售用作建材生产原料；废反渗透膜组件、废</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 xml:space="preserve">EDI </w:t>
      </w:r>
      <w:r>
        <w:rPr>
          <w:rFonts w:ascii="宋体" w:hAnsi="宋体" w:eastAsia="宋体" w:cs="宋体"/>
          <w:spacing w:val="-2"/>
          <w:sz w:val="24"/>
          <w:szCs w:val="24"/>
        </w:rPr>
        <w:t>离子交换膜组件、废离子交换树脂、</w:t>
      </w:r>
      <w:r>
        <w:rPr>
          <w:rFonts w:ascii="宋体" w:hAnsi="宋体" w:eastAsia="宋体" w:cs="宋体"/>
          <w:sz w:val="24"/>
          <w:szCs w:val="24"/>
        </w:rPr>
        <w:t xml:space="preserve"> </w:t>
      </w:r>
      <w:r>
        <w:rPr>
          <w:rFonts w:ascii="宋体" w:hAnsi="宋体" w:eastAsia="宋体" w:cs="宋体"/>
          <w:spacing w:val="5"/>
          <w:sz w:val="24"/>
          <w:szCs w:val="24"/>
        </w:rPr>
        <w:t>废分子筛由厂家回收处理；锰硅炉渣外售综合利用；锰硅重渣破碎</w:t>
      </w:r>
      <w:r>
        <w:rPr>
          <w:rFonts w:ascii="宋体" w:hAnsi="宋体" w:eastAsia="宋体" w:cs="宋体"/>
          <w:spacing w:val="4"/>
          <w:sz w:val="24"/>
          <w:szCs w:val="24"/>
        </w:rPr>
        <w:t>后返回配料综合利</w:t>
      </w:r>
      <w:r>
        <w:rPr>
          <w:rFonts w:ascii="宋体" w:hAnsi="宋体" w:eastAsia="宋体" w:cs="宋体"/>
          <w:sz w:val="24"/>
          <w:szCs w:val="24"/>
        </w:rPr>
        <w:t xml:space="preserve"> </w:t>
      </w:r>
      <w:r>
        <w:rPr>
          <w:rFonts w:ascii="宋体" w:hAnsi="宋体" w:eastAsia="宋体" w:cs="宋体"/>
          <w:spacing w:val="-2"/>
          <w:sz w:val="24"/>
          <w:szCs w:val="24"/>
        </w:rPr>
        <w:t>用；煤气冷凝废水隔油池浮渣、焦油杂质、过滤杂质桶装后在厂区危废暂存库内分隔暂</w:t>
      </w:r>
      <w:r>
        <w:rPr>
          <w:rFonts w:ascii="宋体" w:hAnsi="宋体" w:eastAsia="宋体" w:cs="宋体"/>
          <w:spacing w:val="16"/>
          <w:sz w:val="24"/>
          <w:szCs w:val="24"/>
        </w:rPr>
        <w:t xml:space="preserve"> </w:t>
      </w:r>
      <w:r>
        <w:rPr>
          <w:rFonts w:ascii="宋体" w:hAnsi="宋体" w:eastAsia="宋体" w:cs="宋体"/>
          <w:spacing w:val="-2"/>
          <w:sz w:val="24"/>
          <w:szCs w:val="24"/>
        </w:rPr>
        <w:t>存，定期委托有资质单位处理；废矿物油桶装后在厂区危废暂存库内分隔暂存，委托资</w:t>
      </w:r>
      <w:r>
        <w:rPr>
          <w:rFonts w:ascii="宋体" w:hAnsi="宋体" w:eastAsia="宋体" w:cs="宋体"/>
          <w:spacing w:val="16"/>
          <w:sz w:val="24"/>
          <w:szCs w:val="24"/>
        </w:rPr>
        <w:t xml:space="preserve"> </w:t>
      </w:r>
      <w:r>
        <w:rPr>
          <w:rFonts w:ascii="宋体" w:hAnsi="宋体" w:eastAsia="宋体" w:cs="宋体"/>
          <w:spacing w:val="-2"/>
          <w:sz w:val="24"/>
          <w:szCs w:val="24"/>
        </w:rPr>
        <w:t>质单位处理；废脱硝催化剂在危废暂存库内分隔暂存，定期委托有资质单位处理；化验</w:t>
      </w:r>
      <w:r>
        <w:rPr>
          <w:rFonts w:ascii="宋体" w:hAnsi="宋体" w:eastAsia="宋体" w:cs="宋体"/>
          <w:spacing w:val="16"/>
          <w:sz w:val="24"/>
          <w:szCs w:val="24"/>
        </w:rPr>
        <w:t xml:space="preserve"> </w:t>
      </w:r>
      <w:r>
        <w:rPr>
          <w:rFonts w:ascii="宋体" w:hAnsi="宋体" w:eastAsia="宋体" w:cs="宋体"/>
          <w:spacing w:val="-2"/>
          <w:sz w:val="24"/>
          <w:szCs w:val="24"/>
        </w:rPr>
        <w:t>室废液密封桶装后在厂区危废暂存库内分隔暂存，定期委托有资质单位处理；生活垃圾</w:t>
      </w:r>
      <w:r>
        <w:rPr>
          <w:rFonts w:ascii="宋体" w:hAnsi="宋体" w:eastAsia="宋体" w:cs="宋体"/>
          <w:spacing w:val="16"/>
          <w:sz w:val="24"/>
          <w:szCs w:val="24"/>
        </w:rPr>
        <w:t xml:space="preserve"> </w:t>
      </w:r>
      <w:r>
        <w:rPr>
          <w:rFonts w:ascii="宋体" w:hAnsi="宋体" w:eastAsia="宋体" w:cs="宋体"/>
          <w:spacing w:val="-1"/>
          <w:sz w:val="24"/>
          <w:szCs w:val="24"/>
        </w:rPr>
        <w:t>委托当地的环卫部门定期清运处理。</w:t>
      </w:r>
    </w:p>
    <w:p w14:paraId="4661490C">
      <w:pPr>
        <w:spacing w:before="201" w:line="219" w:lineRule="auto"/>
        <w:ind w:left="490"/>
        <w:rPr>
          <w:rFonts w:ascii="宋体" w:hAnsi="宋体" w:eastAsia="宋体" w:cs="宋体"/>
          <w:sz w:val="24"/>
          <w:szCs w:val="24"/>
        </w:rPr>
      </w:pPr>
      <w:r>
        <w:rPr>
          <w:rFonts w:ascii="宋体" w:hAnsi="宋体" w:eastAsia="宋体" w:cs="宋体"/>
          <w:spacing w:val="-1"/>
          <w:sz w:val="24"/>
          <w:szCs w:val="24"/>
        </w:rPr>
        <w:t>本项目固体废物均得到了合理处置。</w:t>
      </w:r>
    </w:p>
    <w:p w14:paraId="5AE8D9ED">
      <w:pPr>
        <w:spacing w:before="205" w:line="337" w:lineRule="auto"/>
        <w:ind w:left="10" w:right="80" w:firstLine="490"/>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）声环境：在采取相应的措施后，可保证操作环境中的设备噪声低于《</w:t>
      </w:r>
      <w:r>
        <w:rPr>
          <w:rFonts w:hint="eastAsia" w:ascii="宋体" w:hAnsi="宋体" w:eastAsia="宋体" w:cs="宋体"/>
          <w:spacing w:val="1"/>
          <w:sz w:val="24"/>
          <w:szCs w:val="24"/>
        </w:rPr>
        <w:t>中华人民</w:t>
      </w:r>
      <w:r>
        <w:rPr>
          <w:rFonts w:ascii="宋体" w:hAnsi="宋体" w:eastAsia="宋体" w:cs="宋体"/>
          <w:sz w:val="24"/>
          <w:szCs w:val="24"/>
        </w:rPr>
        <w:t>共和国国家职业卫生标准》（</w:t>
      </w:r>
      <w:r>
        <w:rPr>
          <w:rFonts w:ascii="Times New Roman" w:hAnsi="Times New Roman" w:eastAsia="Times New Roman" w:cs="Times New Roman"/>
          <w:sz w:val="24"/>
          <w:szCs w:val="24"/>
        </w:rPr>
        <w:t>GBZ2.2-2007</w:t>
      </w:r>
      <w:r>
        <w:rPr>
          <w:rFonts w:ascii="宋体" w:hAnsi="宋体" w:eastAsia="宋体" w:cs="宋体"/>
          <w:sz w:val="24"/>
          <w:szCs w:val="24"/>
        </w:rPr>
        <w:t>）中规定的</w:t>
      </w:r>
      <w:r>
        <w:rPr>
          <w:rFonts w:ascii="宋体" w:hAnsi="宋体" w:eastAsia="宋体" w:cs="宋体"/>
          <w:spacing w:val="-46"/>
          <w:sz w:val="24"/>
          <w:szCs w:val="24"/>
        </w:rPr>
        <w:t xml:space="preserve"> </w:t>
      </w:r>
      <w:r>
        <w:rPr>
          <w:rFonts w:ascii="Times New Roman" w:hAnsi="Times New Roman" w:eastAsia="Times New Roman" w:cs="Times New Roman"/>
          <w:sz w:val="24"/>
          <w:szCs w:val="24"/>
        </w:rPr>
        <w:t>85dB</w:t>
      </w:r>
      <w:r>
        <w:rPr>
          <w:rFonts w:ascii="宋体" w:hAnsi="宋体" w:eastAsia="宋体" w:cs="宋体"/>
          <w:sz w:val="24"/>
          <w:szCs w:val="24"/>
        </w:rPr>
        <w:t>（</w:t>
      </w:r>
      <w:r>
        <w:rPr>
          <w:rFonts w:ascii="Times New Roman" w:hAnsi="Times New Roman" w:eastAsia="Times New Roman" w:cs="Times New Roman"/>
          <w:spacing w:val="-1"/>
          <w:sz w:val="24"/>
          <w:szCs w:val="24"/>
        </w:rPr>
        <w:t>A</w:t>
      </w:r>
      <w:r>
        <w:rPr>
          <w:rFonts w:ascii="宋体" w:hAnsi="宋体" w:eastAsia="宋体" w:cs="宋体"/>
          <w:spacing w:val="-1"/>
          <w:sz w:val="24"/>
          <w:szCs w:val="24"/>
        </w:rPr>
        <w:t>）标准，从而对操作</w:t>
      </w:r>
      <w:r>
        <w:rPr>
          <w:rFonts w:ascii="宋体" w:hAnsi="宋体" w:eastAsia="宋体" w:cs="宋体"/>
          <w:sz w:val="24"/>
          <w:szCs w:val="24"/>
        </w:rPr>
        <w:t xml:space="preserve"> </w:t>
      </w:r>
      <w:r>
        <w:rPr>
          <w:rFonts w:ascii="宋体" w:hAnsi="宋体" w:eastAsia="宋体" w:cs="宋体"/>
          <w:spacing w:val="-2"/>
          <w:sz w:val="24"/>
          <w:szCs w:val="24"/>
        </w:rPr>
        <w:t>人员起到保护作用，同时通过距离衰减等，可保证厂界噪声不会超过《工业企业厂界环</w:t>
      </w:r>
      <w:r>
        <w:rPr>
          <w:rFonts w:ascii="宋体" w:hAnsi="宋体" w:eastAsia="宋体" w:cs="宋体"/>
          <w:spacing w:val="14"/>
          <w:sz w:val="24"/>
          <w:szCs w:val="24"/>
        </w:rPr>
        <w:t xml:space="preserve"> </w:t>
      </w:r>
      <w:r>
        <w:rPr>
          <w:rFonts w:ascii="宋体" w:hAnsi="宋体" w:eastAsia="宋体" w:cs="宋体"/>
          <w:spacing w:val="-2"/>
          <w:sz w:val="24"/>
          <w:szCs w:val="24"/>
        </w:rPr>
        <w:t>境噪声排放标准》中的</w:t>
      </w:r>
      <w:r>
        <w:rPr>
          <w:rFonts w:ascii="宋体" w:hAnsi="宋体" w:eastAsia="宋体" w:cs="宋体"/>
          <w:spacing w:val="-36"/>
          <w:sz w:val="24"/>
          <w:szCs w:val="24"/>
        </w:rPr>
        <w:t xml:space="preserve"> </w:t>
      </w:r>
      <w:r>
        <w:rPr>
          <w:rFonts w:ascii="Times New Roman" w:hAnsi="Times New Roman" w:eastAsia="Times New Roman" w:cs="Times New Roman"/>
          <w:spacing w:val="-2"/>
          <w:sz w:val="24"/>
          <w:szCs w:val="24"/>
        </w:rPr>
        <w:t xml:space="preserve">3 </w:t>
      </w:r>
      <w:r>
        <w:rPr>
          <w:rFonts w:ascii="宋体" w:hAnsi="宋体" w:eastAsia="宋体" w:cs="宋体"/>
          <w:spacing w:val="-2"/>
          <w:sz w:val="24"/>
          <w:szCs w:val="24"/>
        </w:rPr>
        <w:t>类标准要求。</w:t>
      </w:r>
    </w:p>
    <w:p w14:paraId="5F80BD82">
      <w:pPr>
        <w:spacing w:before="205" w:line="220" w:lineRule="auto"/>
        <w:ind w:left="501"/>
        <w:rPr>
          <w:rFonts w:ascii="宋体" w:hAnsi="宋体" w:eastAsia="宋体" w:cs="宋体"/>
          <w:sz w:val="24"/>
          <w:szCs w:val="24"/>
        </w:rPr>
      </w:pPr>
      <w:r>
        <w:rPr>
          <w:rFonts w:ascii="宋体" w:hAnsi="宋体" w:eastAsia="宋体" w:cs="宋体"/>
          <w:spacing w:val="-3"/>
          <w:sz w:val="24"/>
          <w:szCs w:val="24"/>
        </w:rPr>
        <w:t>（</w:t>
      </w:r>
      <w:r>
        <w:rPr>
          <w:rFonts w:ascii="Times New Roman" w:hAnsi="Times New Roman" w:eastAsia="Times New Roman" w:cs="Times New Roman"/>
          <w:spacing w:val="-3"/>
          <w:sz w:val="24"/>
          <w:szCs w:val="24"/>
        </w:rPr>
        <w:t>5</w:t>
      </w:r>
      <w:r>
        <w:rPr>
          <w:rFonts w:ascii="宋体" w:hAnsi="宋体" w:eastAsia="宋体" w:cs="宋体"/>
          <w:spacing w:val="-3"/>
          <w:sz w:val="24"/>
          <w:szCs w:val="24"/>
        </w:rPr>
        <w:t>）环境风险</w:t>
      </w:r>
    </w:p>
    <w:p w14:paraId="363F0815">
      <w:pPr>
        <w:spacing w:line="220" w:lineRule="auto"/>
        <w:rPr>
          <w:rFonts w:ascii="宋体" w:hAnsi="宋体" w:eastAsia="宋体" w:cs="宋体"/>
          <w:sz w:val="24"/>
          <w:szCs w:val="24"/>
        </w:rPr>
        <w:sectPr>
          <w:headerReference r:id="rId526" w:type="default"/>
          <w:footerReference r:id="rId527" w:type="default"/>
          <w:pgSz w:w="11906" w:h="16839"/>
          <w:pgMar w:top="1190" w:right="1337" w:bottom="1221" w:left="1418" w:header="882" w:footer="1059" w:gutter="0"/>
          <w:cols w:space="720" w:num="1"/>
        </w:sectPr>
      </w:pPr>
    </w:p>
    <w:p w14:paraId="0B0A0A63">
      <w:pPr>
        <w:spacing w:line="28" w:lineRule="exact"/>
      </w:pPr>
      <w:r>
        <w:pict>
          <v:shape id="_x0000_s3108" o:spid="_x0000_s3108" style="height:1.45pt;width:453.55pt;" fillcolor="#000000" filled="t" stroked="f" coordsize="9070,29" path="m0,0l9070,0,9070,28,0,28,0,0xe">
            <v:path/>
            <v:fill on="t" focussize="0,0"/>
            <v:stroke on="f"/>
            <v:imagedata o:title=""/>
            <o:lock v:ext="edit"/>
            <w10:wrap type="none"/>
            <w10:anchorlock/>
          </v:shape>
        </w:pict>
      </w:r>
    </w:p>
    <w:p w14:paraId="3FC120B5">
      <w:pPr>
        <w:pStyle w:val="2"/>
        <w:spacing w:line="243" w:lineRule="auto"/>
      </w:pPr>
    </w:p>
    <w:p w14:paraId="70E0DEB3">
      <w:pPr>
        <w:spacing w:before="78" w:line="219" w:lineRule="auto"/>
        <w:ind w:left="493"/>
        <w:rPr>
          <w:rFonts w:ascii="宋体" w:hAnsi="宋体" w:eastAsia="宋体" w:cs="宋体"/>
          <w:sz w:val="24"/>
          <w:szCs w:val="24"/>
        </w:rPr>
      </w:pPr>
      <w:r>
        <w:rPr>
          <w:rFonts w:ascii="宋体" w:hAnsi="宋体" w:eastAsia="宋体" w:cs="宋体"/>
          <w:spacing w:val="2"/>
          <w:sz w:val="24"/>
          <w:szCs w:val="24"/>
        </w:rPr>
        <w:t>项目生产过程中涉及到的危险物质主要为矿热炉煤气（</w:t>
      </w:r>
      <w:r>
        <w:rPr>
          <w:rFonts w:ascii="Times New Roman" w:hAnsi="Times New Roman" w:eastAsia="Times New Roman" w:cs="Times New Roman"/>
          <w:sz w:val="24"/>
          <w:szCs w:val="24"/>
        </w:rPr>
        <w:t>CO</w:t>
      </w:r>
      <w:r>
        <w:rPr>
          <w:rFonts w:ascii="宋体" w:hAnsi="宋体" w:eastAsia="宋体" w:cs="宋体"/>
          <w:spacing w:val="13"/>
          <w:sz w:val="24"/>
          <w:szCs w:val="24"/>
        </w:rPr>
        <w:t>），</w:t>
      </w:r>
      <w:r>
        <w:rPr>
          <w:rFonts w:ascii="宋体" w:hAnsi="宋体" w:eastAsia="宋体" w:cs="宋体"/>
          <w:spacing w:val="2"/>
          <w:sz w:val="24"/>
          <w:szCs w:val="24"/>
        </w:rPr>
        <w:t>其危险类型为：第</w:t>
      </w:r>
    </w:p>
    <w:p w14:paraId="6D9CC95E">
      <w:pPr>
        <w:spacing w:before="204" w:line="219" w:lineRule="auto"/>
        <w:ind w:left="5"/>
        <w:rPr>
          <w:rFonts w:ascii="宋体" w:hAnsi="宋体" w:eastAsia="宋体" w:cs="宋体"/>
          <w:sz w:val="24"/>
          <w:szCs w:val="24"/>
        </w:rPr>
      </w:pPr>
      <w:r>
        <w:rPr>
          <w:rFonts w:ascii="Times New Roman" w:hAnsi="Times New Roman" w:eastAsia="Times New Roman" w:cs="Times New Roman"/>
          <w:spacing w:val="-1"/>
          <w:sz w:val="24"/>
          <w:szCs w:val="24"/>
        </w:rPr>
        <w:t xml:space="preserve">2.1 </w:t>
      </w:r>
      <w:r>
        <w:rPr>
          <w:rFonts w:ascii="宋体" w:hAnsi="宋体" w:eastAsia="宋体" w:cs="宋体"/>
          <w:spacing w:val="-1"/>
          <w:sz w:val="24"/>
          <w:szCs w:val="24"/>
        </w:rPr>
        <w:t>类，易燃气体（主）。</w:t>
      </w:r>
    </w:p>
    <w:p w14:paraId="61F85D66">
      <w:pPr>
        <w:spacing w:before="201" w:line="368" w:lineRule="auto"/>
        <w:ind w:left="8" w:firstLine="484"/>
        <w:rPr>
          <w:rFonts w:ascii="宋体" w:hAnsi="宋体" w:eastAsia="宋体" w:cs="宋体"/>
          <w:sz w:val="24"/>
          <w:szCs w:val="24"/>
        </w:rPr>
      </w:pPr>
      <w:r>
        <w:rPr>
          <w:rFonts w:ascii="宋体" w:hAnsi="宋体" w:eastAsia="宋体" w:cs="宋体"/>
          <w:sz w:val="24"/>
          <w:szCs w:val="24"/>
        </w:rPr>
        <w:t>设定煤气柜和煤气管道之间的连接处发生断裂导致煤气泄漏事故为风险事</w:t>
      </w:r>
      <w:r>
        <w:rPr>
          <w:rFonts w:ascii="宋体" w:hAnsi="宋体" w:eastAsia="宋体" w:cs="宋体"/>
          <w:spacing w:val="-1"/>
          <w:sz w:val="24"/>
          <w:szCs w:val="24"/>
        </w:rPr>
        <w:t>故情形，</w:t>
      </w:r>
      <w:r>
        <w:rPr>
          <w:rFonts w:ascii="宋体" w:hAnsi="宋体" w:eastAsia="宋体" w:cs="宋体"/>
          <w:sz w:val="24"/>
          <w:szCs w:val="24"/>
        </w:rPr>
        <w:t xml:space="preserve"> </w:t>
      </w:r>
      <w:r>
        <w:rPr>
          <w:rFonts w:ascii="宋体" w:hAnsi="宋体" w:eastAsia="宋体" w:cs="宋体"/>
          <w:spacing w:val="-7"/>
          <w:sz w:val="24"/>
          <w:szCs w:val="24"/>
        </w:rPr>
        <w:t>经预测可知，在最不利气象条件下，达到</w:t>
      </w:r>
      <w:r>
        <w:rPr>
          <w:rFonts w:ascii="宋体" w:hAnsi="宋体" w:eastAsia="宋体" w:cs="宋体"/>
          <w:spacing w:val="-51"/>
          <w:sz w:val="24"/>
          <w:szCs w:val="24"/>
        </w:rPr>
        <w:t xml:space="preserve"> </w:t>
      </w:r>
      <w:r>
        <w:rPr>
          <w:rFonts w:ascii="Times New Roman" w:hAnsi="Times New Roman" w:eastAsia="Times New Roman" w:cs="Times New Roman"/>
          <w:spacing w:val="-7"/>
          <w:sz w:val="24"/>
          <w:szCs w:val="24"/>
        </w:rPr>
        <w:t xml:space="preserve">CO </w:t>
      </w:r>
      <w:r>
        <w:rPr>
          <w:rFonts w:ascii="宋体" w:hAnsi="宋体" w:eastAsia="宋体" w:cs="宋体"/>
          <w:spacing w:val="-7"/>
          <w:sz w:val="24"/>
          <w:szCs w:val="24"/>
        </w:rPr>
        <w:t>大气毒性终点浓度</w:t>
      </w:r>
      <w:r>
        <w:rPr>
          <w:rFonts w:ascii="Times New Roman" w:hAnsi="Times New Roman" w:eastAsia="Times New Roman" w:cs="Times New Roman"/>
          <w:spacing w:val="-7"/>
          <w:sz w:val="24"/>
          <w:szCs w:val="24"/>
        </w:rPr>
        <w:t>-1</w:t>
      </w:r>
      <w:r>
        <w:rPr>
          <w:rFonts w:ascii="宋体" w:hAnsi="宋体" w:eastAsia="宋体" w:cs="宋体"/>
          <w:spacing w:val="-7"/>
          <w:sz w:val="24"/>
          <w:szCs w:val="24"/>
        </w:rPr>
        <w:t>最大影响半径为</w:t>
      </w:r>
      <w:r>
        <w:rPr>
          <w:rFonts w:ascii="宋体" w:hAnsi="宋体" w:eastAsia="宋体" w:cs="宋体"/>
          <w:spacing w:val="-67"/>
          <w:sz w:val="24"/>
          <w:szCs w:val="24"/>
        </w:rPr>
        <w:t xml:space="preserve"> </w:t>
      </w:r>
      <w:r>
        <w:rPr>
          <w:rFonts w:ascii="Times New Roman" w:hAnsi="Times New Roman" w:eastAsia="Times New Roman" w:cs="Times New Roman"/>
          <w:spacing w:val="-7"/>
          <w:sz w:val="24"/>
          <w:szCs w:val="24"/>
        </w:rPr>
        <w:t>290m</w:t>
      </w:r>
      <w:r>
        <w:rPr>
          <w:rFonts w:ascii="宋体" w:hAnsi="宋体" w:eastAsia="宋体" w:cs="宋体"/>
          <w:spacing w:val="-7"/>
          <w:sz w:val="24"/>
          <w:szCs w:val="24"/>
        </w:rPr>
        <w:t>，</w:t>
      </w:r>
      <w:r>
        <w:rPr>
          <w:rFonts w:ascii="宋体" w:hAnsi="宋体" w:eastAsia="宋体" w:cs="宋体"/>
          <w:sz w:val="24"/>
          <w:szCs w:val="24"/>
        </w:rPr>
        <w:t xml:space="preserve"> </w:t>
      </w:r>
      <w:r>
        <w:rPr>
          <w:rFonts w:ascii="宋体" w:hAnsi="宋体" w:eastAsia="宋体" w:cs="宋体"/>
          <w:spacing w:val="-1"/>
          <w:sz w:val="24"/>
          <w:szCs w:val="24"/>
        </w:rPr>
        <w:t>达到</w:t>
      </w:r>
      <w:r>
        <w:rPr>
          <w:rFonts w:ascii="宋体" w:hAnsi="宋体" w:eastAsia="宋体" w:cs="宋体"/>
          <w:spacing w:val="-48"/>
          <w:sz w:val="24"/>
          <w:szCs w:val="24"/>
        </w:rPr>
        <w:t xml:space="preserve"> </w:t>
      </w:r>
      <w:r>
        <w:rPr>
          <w:rFonts w:ascii="Times New Roman" w:hAnsi="Times New Roman" w:eastAsia="Times New Roman" w:cs="Times New Roman"/>
          <w:spacing w:val="-1"/>
          <w:sz w:val="24"/>
          <w:szCs w:val="24"/>
        </w:rPr>
        <w:t xml:space="preserve">CO </w:t>
      </w:r>
      <w:r>
        <w:rPr>
          <w:rFonts w:ascii="宋体" w:hAnsi="宋体" w:eastAsia="宋体" w:cs="宋体"/>
          <w:spacing w:val="-1"/>
          <w:sz w:val="24"/>
          <w:szCs w:val="24"/>
        </w:rPr>
        <w:t>大气毒性终点浓度</w:t>
      </w:r>
      <w:r>
        <w:rPr>
          <w:rFonts w:ascii="Times New Roman" w:hAnsi="Times New Roman" w:eastAsia="Times New Roman" w:cs="Times New Roman"/>
          <w:spacing w:val="-1"/>
          <w:sz w:val="24"/>
          <w:szCs w:val="24"/>
        </w:rPr>
        <w:t xml:space="preserve">-2 </w:t>
      </w:r>
      <w:r>
        <w:rPr>
          <w:rFonts w:ascii="宋体" w:hAnsi="宋体" w:eastAsia="宋体" w:cs="宋体"/>
          <w:spacing w:val="-1"/>
          <w:sz w:val="24"/>
          <w:szCs w:val="24"/>
        </w:rPr>
        <w:t>最远影响距离为</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270m</w:t>
      </w:r>
      <w:r>
        <w:rPr>
          <w:rFonts w:ascii="宋体" w:hAnsi="宋体" w:eastAsia="宋体" w:cs="宋体"/>
          <w:spacing w:val="-1"/>
          <w:sz w:val="24"/>
          <w:szCs w:val="24"/>
        </w:rPr>
        <w:t>。</w:t>
      </w:r>
    </w:p>
    <w:p w14:paraId="33E5E8A6">
      <w:pPr>
        <w:spacing w:before="31" w:line="372" w:lineRule="auto"/>
        <w:ind w:left="9" w:right="61" w:firstLine="479"/>
        <w:rPr>
          <w:rFonts w:ascii="宋体" w:hAnsi="宋体" w:eastAsia="宋体" w:cs="宋体"/>
          <w:sz w:val="24"/>
          <w:szCs w:val="24"/>
        </w:rPr>
      </w:pPr>
      <w:r>
        <w:rPr>
          <w:rFonts w:ascii="宋体" w:hAnsi="宋体" w:eastAsia="宋体" w:cs="宋体"/>
          <w:spacing w:val="-2"/>
          <w:sz w:val="24"/>
          <w:szCs w:val="24"/>
        </w:rPr>
        <w:t>在项目运营过程中，建设单位必须严格执行国家和地方的相应法律法规和的采取的</w:t>
      </w:r>
      <w:r>
        <w:rPr>
          <w:rFonts w:ascii="宋体" w:hAnsi="宋体" w:eastAsia="宋体" w:cs="宋体"/>
          <w:spacing w:val="12"/>
          <w:sz w:val="24"/>
          <w:szCs w:val="24"/>
        </w:rPr>
        <w:t xml:space="preserve"> </w:t>
      </w:r>
      <w:r>
        <w:rPr>
          <w:rFonts w:ascii="宋体" w:hAnsi="宋体" w:eastAsia="宋体" w:cs="宋体"/>
          <w:spacing w:val="-2"/>
          <w:sz w:val="24"/>
          <w:szCs w:val="24"/>
        </w:rPr>
        <w:t>风险防范措施，减小事故发生的概率；一旦发生事故，必须严格按照风险防范措施和应</w:t>
      </w:r>
      <w:r>
        <w:rPr>
          <w:rFonts w:ascii="宋体" w:hAnsi="宋体" w:eastAsia="宋体" w:cs="宋体"/>
          <w:spacing w:val="15"/>
          <w:sz w:val="24"/>
          <w:szCs w:val="24"/>
        </w:rPr>
        <w:t xml:space="preserve"> </w:t>
      </w:r>
      <w:r>
        <w:rPr>
          <w:rFonts w:ascii="宋体" w:hAnsi="宋体" w:eastAsia="宋体" w:cs="宋体"/>
          <w:spacing w:val="-2"/>
          <w:sz w:val="24"/>
          <w:szCs w:val="24"/>
        </w:rPr>
        <w:t>急预案的要求及时做出应对措施，将事故对周围环境和人群的影响降到最低。建设单位</w:t>
      </w:r>
      <w:r>
        <w:rPr>
          <w:rFonts w:ascii="宋体" w:hAnsi="宋体" w:eastAsia="宋体" w:cs="宋体"/>
          <w:spacing w:val="15"/>
          <w:sz w:val="24"/>
          <w:szCs w:val="24"/>
        </w:rPr>
        <w:t xml:space="preserve"> </w:t>
      </w:r>
      <w:r>
        <w:rPr>
          <w:rFonts w:ascii="宋体" w:hAnsi="宋体" w:eastAsia="宋体" w:cs="宋体"/>
          <w:spacing w:val="-2"/>
          <w:sz w:val="24"/>
          <w:szCs w:val="24"/>
        </w:rPr>
        <w:t>应充分利用区域安全、环境保护等资源，根据项目建设和运行过程中的变化，不断完善</w:t>
      </w:r>
      <w:r>
        <w:rPr>
          <w:rFonts w:ascii="宋体" w:hAnsi="宋体" w:eastAsia="宋体" w:cs="宋体"/>
          <w:spacing w:val="15"/>
          <w:sz w:val="24"/>
          <w:szCs w:val="24"/>
        </w:rPr>
        <w:t xml:space="preserve"> </w:t>
      </w:r>
      <w:r>
        <w:rPr>
          <w:rFonts w:ascii="宋体" w:hAnsi="宋体" w:eastAsia="宋体" w:cs="宋体"/>
          <w:spacing w:val="-2"/>
          <w:sz w:val="24"/>
          <w:szCs w:val="24"/>
        </w:rPr>
        <w:t>风险防范措施、应急预案和应急救援体系，确保其具有针对性和可操作性，以应对可能</w:t>
      </w:r>
      <w:r>
        <w:rPr>
          <w:rFonts w:ascii="宋体" w:hAnsi="宋体" w:eastAsia="宋体" w:cs="宋体"/>
          <w:spacing w:val="15"/>
          <w:sz w:val="24"/>
          <w:szCs w:val="24"/>
        </w:rPr>
        <w:t xml:space="preserve"> </w:t>
      </w:r>
      <w:r>
        <w:rPr>
          <w:rFonts w:ascii="宋体" w:hAnsi="宋体" w:eastAsia="宋体" w:cs="宋体"/>
          <w:spacing w:val="-2"/>
          <w:sz w:val="24"/>
          <w:szCs w:val="24"/>
        </w:rPr>
        <w:t>出现的环境风险。</w:t>
      </w:r>
    </w:p>
    <w:p w14:paraId="171C28C7">
      <w:pPr>
        <w:spacing w:before="33" w:line="368" w:lineRule="auto"/>
        <w:ind w:left="11" w:right="61" w:firstLine="479"/>
        <w:jc w:val="both"/>
        <w:rPr>
          <w:rFonts w:ascii="宋体" w:hAnsi="宋体" w:eastAsia="宋体" w:cs="宋体"/>
          <w:sz w:val="24"/>
          <w:szCs w:val="24"/>
        </w:rPr>
      </w:pPr>
      <w:r>
        <w:rPr>
          <w:rFonts w:ascii="宋体" w:hAnsi="宋体" w:eastAsia="宋体" w:cs="宋体"/>
          <w:spacing w:val="-2"/>
          <w:sz w:val="24"/>
          <w:szCs w:val="24"/>
        </w:rPr>
        <w:t>本项目在实施以上的风险减缓措施和应急预案后，企业的应急处理事故能力对突发</w:t>
      </w:r>
      <w:r>
        <w:rPr>
          <w:rFonts w:ascii="宋体" w:hAnsi="宋体" w:eastAsia="宋体" w:cs="宋体"/>
          <w:spacing w:val="10"/>
          <w:sz w:val="24"/>
          <w:szCs w:val="24"/>
        </w:rPr>
        <w:t xml:space="preserve"> </w:t>
      </w:r>
      <w:r>
        <w:rPr>
          <w:rFonts w:ascii="宋体" w:hAnsi="宋体" w:eastAsia="宋体" w:cs="宋体"/>
          <w:spacing w:val="-2"/>
          <w:sz w:val="24"/>
          <w:szCs w:val="24"/>
        </w:rPr>
        <w:t>性事故是可以控制的，在严格执行本报告提出的防治措施的前提下，本项目的事故所造</w:t>
      </w:r>
      <w:r>
        <w:rPr>
          <w:rFonts w:ascii="宋体" w:hAnsi="宋体" w:eastAsia="宋体" w:cs="宋体"/>
          <w:spacing w:val="13"/>
          <w:sz w:val="24"/>
          <w:szCs w:val="24"/>
        </w:rPr>
        <w:t xml:space="preserve"> </w:t>
      </w:r>
      <w:r>
        <w:rPr>
          <w:rFonts w:ascii="宋体" w:hAnsi="宋体" w:eastAsia="宋体" w:cs="宋体"/>
          <w:spacing w:val="-1"/>
          <w:sz w:val="24"/>
          <w:szCs w:val="24"/>
        </w:rPr>
        <w:t>成的风险是可接受的，本项目的环境风险是可以接受的。</w:t>
      </w:r>
    </w:p>
    <w:p w14:paraId="4B0178BF">
      <w:pPr>
        <w:spacing w:before="33" w:line="363" w:lineRule="auto"/>
        <w:ind w:left="9" w:right="61" w:firstLine="491"/>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6</w:t>
      </w:r>
      <w:r>
        <w:rPr>
          <w:rFonts w:ascii="宋体" w:hAnsi="宋体" w:eastAsia="宋体" w:cs="宋体"/>
          <w:sz w:val="24"/>
          <w:szCs w:val="24"/>
        </w:rPr>
        <w:t>）生态环境：项目位于内蒙古锡林郭勒苏尼特经济开发区朱日和产业</w:t>
      </w:r>
      <w:r>
        <w:rPr>
          <w:rFonts w:ascii="宋体" w:hAnsi="宋体" w:eastAsia="宋体" w:cs="宋体"/>
          <w:spacing w:val="-1"/>
          <w:sz w:val="24"/>
          <w:szCs w:val="24"/>
        </w:rPr>
        <w:t>园区，</w:t>
      </w:r>
      <w:r>
        <w:rPr>
          <w:rFonts w:ascii="宋体" w:hAnsi="宋体" w:eastAsia="宋体" w:cs="宋体"/>
          <w:spacing w:val="-69"/>
          <w:sz w:val="24"/>
          <w:szCs w:val="24"/>
        </w:rPr>
        <w:t xml:space="preserve"> </w:t>
      </w:r>
      <w:r>
        <w:rPr>
          <w:rFonts w:ascii="宋体" w:hAnsi="宋体" w:eastAsia="宋体" w:cs="宋体"/>
          <w:spacing w:val="-1"/>
          <w:sz w:val="24"/>
          <w:szCs w:val="24"/>
        </w:rPr>
        <w:t>占</w:t>
      </w:r>
      <w:r>
        <w:rPr>
          <w:rFonts w:ascii="宋体" w:hAnsi="宋体" w:eastAsia="宋体" w:cs="宋体"/>
          <w:sz w:val="24"/>
          <w:szCs w:val="24"/>
        </w:rPr>
        <w:t xml:space="preserve"> </w:t>
      </w:r>
      <w:r>
        <w:rPr>
          <w:rFonts w:ascii="宋体" w:hAnsi="宋体" w:eastAsia="宋体" w:cs="宋体"/>
          <w:spacing w:val="-1"/>
          <w:sz w:val="24"/>
          <w:szCs w:val="24"/>
        </w:rPr>
        <w:t>地类型为三类工业用地，对区域生态环境影响较小。</w:t>
      </w:r>
    </w:p>
    <w:p w14:paraId="444AF32E">
      <w:pPr>
        <w:spacing w:before="86" w:line="221" w:lineRule="auto"/>
        <w:ind w:left="35"/>
        <w:outlineLvl w:val="1"/>
        <w:rPr>
          <w:rFonts w:ascii="黑体" w:hAnsi="黑体" w:eastAsia="黑体" w:cs="黑体"/>
          <w:sz w:val="30"/>
          <w:szCs w:val="30"/>
        </w:rPr>
      </w:pPr>
      <w:bookmarkStart w:id="503" w:name="bookmark474"/>
      <w:bookmarkEnd w:id="503"/>
      <w:r>
        <w:rPr>
          <w:rFonts w:ascii="Times New Roman" w:hAnsi="Times New Roman" w:eastAsia="Times New Roman" w:cs="Times New Roman"/>
          <w:spacing w:val="-4"/>
          <w:sz w:val="30"/>
          <w:szCs w:val="30"/>
        </w:rPr>
        <w:t>10.5</w:t>
      </w:r>
      <w:r>
        <w:rPr>
          <w:rFonts w:ascii="Times New Roman" w:hAnsi="Times New Roman" w:eastAsia="Times New Roman" w:cs="Times New Roman"/>
          <w:spacing w:val="23"/>
          <w:w w:val="101"/>
          <w:sz w:val="30"/>
          <w:szCs w:val="30"/>
        </w:rPr>
        <w:t xml:space="preserve"> </w:t>
      </w:r>
      <w:r>
        <w:rPr>
          <w:rFonts w:ascii="黑体" w:hAnsi="黑体" w:eastAsia="黑体" w:cs="黑体"/>
          <w:spacing w:val="-4"/>
          <w:sz w:val="30"/>
          <w:szCs w:val="30"/>
        </w:rPr>
        <w:t>污染防治措施及达标分析</w:t>
      </w:r>
    </w:p>
    <w:p w14:paraId="6EC6EEFA">
      <w:pPr>
        <w:spacing w:before="243" w:line="220" w:lineRule="auto"/>
        <w:ind w:left="508"/>
        <w:rPr>
          <w:rFonts w:ascii="宋体" w:hAnsi="宋体" w:eastAsia="宋体" w:cs="宋体"/>
          <w:sz w:val="24"/>
          <w:szCs w:val="24"/>
        </w:rPr>
      </w:pPr>
      <w:r>
        <w:rPr>
          <w:rFonts w:ascii="Times New Roman" w:hAnsi="Times New Roman" w:eastAsia="Times New Roman" w:cs="Times New Roman"/>
          <w:spacing w:val="-14"/>
          <w:sz w:val="24"/>
          <w:szCs w:val="24"/>
        </w:rPr>
        <w:t>1</w:t>
      </w:r>
      <w:r>
        <w:rPr>
          <w:rFonts w:ascii="Times New Roman" w:hAnsi="Times New Roman" w:eastAsia="Times New Roman" w:cs="Times New Roman"/>
          <w:spacing w:val="-34"/>
          <w:sz w:val="24"/>
          <w:szCs w:val="24"/>
        </w:rPr>
        <w:t xml:space="preserve"> </w:t>
      </w:r>
      <w:r>
        <w:rPr>
          <w:rFonts w:ascii="宋体" w:hAnsi="宋体" w:eastAsia="宋体" w:cs="宋体"/>
          <w:spacing w:val="-14"/>
          <w:sz w:val="24"/>
          <w:szCs w:val="24"/>
        </w:rPr>
        <w:t>、废气</w:t>
      </w:r>
    </w:p>
    <w:p w14:paraId="25B4C66D">
      <w:pPr>
        <w:spacing w:before="202" w:line="371" w:lineRule="auto"/>
        <w:ind w:left="8" w:right="61" w:firstLine="480"/>
        <w:rPr>
          <w:rFonts w:ascii="宋体" w:hAnsi="宋体" w:eastAsia="宋体" w:cs="宋体"/>
          <w:sz w:val="24"/>
          <w:szCs w:val="24"/>
        </w:rPr>
      </w:pPr>
      <w:r>
        <w:rPr>
          <w:rFonts w:ascii="宋体" w:hAnsi="宋体" w:eastAsia="宋体" w:cs="宋体"/>
          <w:sz w:val="24"/>
          <w:szCs w:val="24"/>
        </w:rPr>
        <w:t>颗粒物、</w:t>
      </w:r>
      <w:r>
        <w:rPr>
          <w:rFonts w:ascii="Times New Roman" w:hAnsi="Times New Roman" w:eastAsia="Times New Roman" w:cs="Times New Roman"/>
          <w:sz w:val="24"/>
          <w:szCs w:val="24"/>
        </w:rPr>
        <w:t>SO</w:t>
      </w:r>
      <w:r>
        <w:rPr>
          <w:rFonts w:ascii="Times New Roman" w:hAnsi="Times New Roman" w:eastAsia="Times New Roman" w:cs="Times New Roman"/>
          <w:position w:val="-1"/>
          <w:sz w:val="15"/>
          <w:szCs w:val="15"/>
        </w:rPr>
        <w:t>2</w:t>
      </w:r>
      <w:r>
        <w:rPr>
          <w:rFonts w:ascii="Times New Roman" w:hAnsi="Times New Roman" w:eastAsia="Times New Roman" w:cs="Times New Roman"/>
          <w:spacing w:val="-1"/>
          <w:position w:val="-1"/>
          <w:sz w:val="15"/>
          <w:szCs w:val="15"/>
        </w:rPr>
        <w:t xml:space="preserve"> </w:t>
      </w:r>
      <w:r>
        <w:rPr>
          <w:rFonts w:ascii="宋体" w:hAnsi="宋体" w:eastAsia="宋体" w:cs="宋体"/>
          <w:sz w:val="24"/>
          <w:szCs w:val="24"/>
        </w:rPr>
        <w:t>、</w:t>
      </w:r>
      <w:r>
        <w:rPr>
          <w:rFonts w:ascii="Times New Roman" w:hAnsi="Times New Roman" w:eastAsia="Times New Roman" w:cs="Times New Roman"/>
          <w:sz w:val="24"/>
          <w:szCs w:val="24"/>
        </w:rPr>
        <w:t>NO</w:t>
      </w:r>
      <w:r>
        <w:rPr>
          <w:rFonts w:ascii="Times New Roman" w:hAnsi="Times New Roman" w:eastAsia="Times New Roman" w:cs="Times New Roman"/>
          <w:position w:val="-1"/>
          <w:sz w:val="15"/>
          <w:szCs w:val="15"/>
        </w:rPr>
        <w:t>X</w:t>
      </w:r>
      <w:r>
        <w:rPr>
          <w:rFonts w:ascii="Times New Roman" w:hAnsi="Times New Roman" w:eastAsia="Times New Roman" w:cs="Times New Roman"/>
          <w:spacing w:val="-8"/>
          <w:position w:val="-1"/>
          <w:sz w:val="15"/>
          <w:szCs w:val="15"/>
        </w:rPr>
        <w:t xml:space="preserve"> </w:t>
      </w:r>
      <w:r>
        <w:rPr>
          <w:rFonts w:ascii="宋体" w:hAnsi="宋体" w:eastAsia="宋体" w:cs="宋体"/>
          <w:sz w:val="24"/>
          <w:szCs w:val="24"/>
        </w:rPr>
        <w:t>、</w:t>
      </w:r>
      <w:r>
        <w:rPr>
          <w:rFonts w:ascii="Times New Roman" w:hAnsi="Times New Roman" w:eastAsia="Times New Roman" w:cs="Times New Roman"/>
          <w:sz w:val="24"/>
          <w:szCs w:val="24"/>
        </w:rPr>
        <w:t>NH</w:t>
      </w:r>
      <w:r>
        <w:rPr>
          <w:rFonts w:ascii="Times New Roman" w:hAnsi="Times New Roman" w:eastAsia="Times New Roman" w:cs="Times New Roman"/>
          <w:position w:val="-1"/>
          <w:sz w:val="15"/>
          <w:szCs w:val="15"/>
        </w:rPr>
        <w:t>3</w:t>
      </w:r>
      <w:r>
        <w:rPr>
          <w:rFonts w:ascii="Times New Roman" w:hAnsi="Times New Roman" w:eastAsia="Times New Roman" w:cs="Times New Roman"/>
          <w:spacing w:val="15"/>
          <w:w w:val="102"/>
          <w:position w:val="-1"/>
          <w:sz w:val="15"/>
          <w:szCs w:val="15"/>
        </w:rPr>
        <w:t xml:space="preserve"> </w:t>
      </w:r>
      <w:r>
        <w:rPr>
          <w:rFonts w:ascii="宋体" w:hAnsi="宋体" w:eastAsia="宋体" w:cs="宋体"/>
          <w:sz w:val="24"/>
          <w:szCs w:val="24"/>
        </w:rPr>
        <w:t xml:space="preserve">等污染物经处理后满足《钢铁烧结、球团工业大气污染 </w:t>
      </w:r>
      <w:r>
        <w:rPr>
          <w:rFonts w:ascii="宋体" w:hAnsi="宋体" w:eastAsia="宋体" w:cs="宋体"/>
          <w:spacing w:val="-3"/>
          <w:sz w:val="24"/>
          <w:szCs w:val="24"/>
        </w:rPr>
        <w:t>物排放标准》（</w:t>
      </w:r>
      <w:r>
        <w:rPr>
          <w:rFonts w:ascii="Times New Roman" w:hAnsi="Times New Roman" w:eastAsia="Times New Roman" w:cs="Times New Roman"/>
          <w:spacing w:val="-3"/>
          <w:sz w:val="24"/>
          <w:szCs w:val="24"/>
        </w:rPr>
        <w:t>GB28662-2012</w:t>
      </w:r>
      <w:r>
        <w:rPr>
          <w:rFonts w:ascii="宋体" w:hAnsi="宋体" w:eastAsia="宋体" w:cs="宋体"/>
          <w:spacing w:val="-3"/>
          <w:sz w:val="24"/>
          <w:szCs w:val="24"/>
        </w:rPr>
        <w:t>）及修改单表</w:t>
      </w:r>
      <w:r>
        <w:rPr>
          <w:rFonts w:ascii="宋体" w:hAnsi="宋体" w:eastAsia="宋体" w:cs="宋体"/>
          <w:spacing w:val="-39"/>
          <w:sz w:val="24"/>
          <w:szCs w:val="24"/>
        </w:rPr>
        <w:t xml:space="preserve"> </w:t>
      </w:r>
      <w:r>
        <w:rPr>
          <w:rFonts w:ascii="Times New Roman" w:hAnsi="Times New Roman" w:eastAsia="Times New Roman" w:cs="Times New Roman"/>
          <w:spacing w:val="-3"/>
          <w:sz w:val="24"/>
          <w:szCs w:val="24"/>
        </w:rPr>
        <w:t xml:space="preserve">3 </w:t>
      </w:r>
      <w:r>
        <w:rPr>
          <w:rFonts w:ascii="宋体" w:hAnsi="宋体" w:eastAsia="宋体" w:cs="宋体"/>
          <w:spacing w:val="-3"/>
          <w:sz w:val="24"/>
          <w:szCs w:val="24"/>
        </w:rPr>
        <w:t>大气污染物特别排放限值、《火电厂大气</w:t>
      </w:r>
      <w:r>
        <w:rPr>
          <w:rFonts w:ascii="宋体" w:hAnsi="宋体" w:eastAsia="宋体" w:cs="宋体"/>
          <w:sz w:val="24"/>
          <w:szCs w:val="24"/>
        </w:rPr>
        <w:t xml:space="preserve"> </w:t>
      </w:r>
      <w:r>
        <w:rPr>
          <w:rFonts w:ascii="宋体" w:hAnsi="宋体" w:eastAsia="宋体" w:cs="宋体"/>
          <w:spacing w:val="-3"/>
          <w:sz w:val="24"/>
          <w:szCs w:val="24"/>
        </w:rPr>
        <w:t>污染物排放标准》（</w:t>
      </w:r>
      <w:r>
        <w:rPr>
          <w:rFonts w:ascii="Times New Roman" w:hAnsi="Times New Roman" w:eastAsia="Times New Roman" w:cs="Times New Roman"/>
          <w:spacing w:val="-3"/>
          <w:sz w:val="24"/>
          <w:szCs w:val="24"/>
        </w:rPr>
        <w:t>GB13223-2011</w:t>
      </w:r>
      <w:r>
        <w:rPr>
          <w:rFonts w:ascii="宋体" w:hAnsi="宋体" w:eastAsia="宋体" w:cs="宋体"/>
          <w:spacing w:val="-3"/>
          <w:sz w:val="24"/>
          <w:szCs w:val="24"/>
        </w:rPr>
        <w:t>）表</w:t>
      </w:r>
      <w:r>
        <w:rPr>
          <w:rFonts w:ascii="宋体" w:hAnsi="宋体" w:eastAsia="宋体" w:cs="宋体"/>
          <w:spacing w:val="-39"/>
          <w:sz w:val="24"/>
          <w:szCs w:val="24"/>
        </w:rPr>
        <w:t xml:space="preserve"> </w:t>
      </w:r>
      <w:r>
        <w:rPr>
          <w:rFonts w:ascii="Times New Roman" w:hAnsi="Times New Roman" w:eastAsia="Times New Roman" w:cs="Times New Roman"/>
          <w:spacing w:val="-3"/>
          <w:sz w:val="24"/>
          <w:szCs w:val="24"/>
        </w:rPr>
        <w:t xml:space="preserve">2 </w:t>
      </w:r>
      <w:r>
        <w:rPr>
          <w:rFonts w:ascii="宋体" w:hAnsi="宋体" w:eastAsia="宋体" w:cs="宋体"/>
          <w:spacing w:val="-3"/>
          <w:sz w:val="24"/>
          <w:szCs w:val="24"/>
        </w:rPr>
        <w:t>大气污染物特别排放限值（以气体为燃料的燃</w:t>
      </w:r>
      <w:r>
        <w:rPr>
          <w:rFonts w:ascii="宋体" w:hAnsi="宋体" w:eastAsia="宋体" w:cs="宋体"/>
          <w:sz w:val="24"/>
          <w:szCs w:val="24"/>
        </w:rPr>
        <w:t xml:space="preserve"> </w:t>
      </w:r>
      <w:r>
        <w:rPr>
          <w:rFonts w:ascii="宋体" w:hAnsi="宋体" w:eastAsia="宋体" w:cs="宋体"/>
          <w:spacing w:val="-3"/>
          <w:sz w:val="24"/>
          <w:szCs w:val="24"/>
        </w:rPr>
        <w:t>气轮机组）、《铁合金工业污染物排放标准》（</w:t>
      </w:r>
      <w:r>
        <w:rPr>
          <w:rFonts w:ascii="Times New Roman" w:hAnsi="Times New Roman" w:eastAsia="Times New Roman" w:cs="Times New Roman"/>
          <w:spacing w:val="-3"/>
          <w:sz w:val="24"/>
          <w:szCs w:val="24"/>
        </w:rPr>
        <w:t>GB28666-2012</w:t>
      </w:r>
      <w:r>
        <w:rPr>
          <w:rFonts w:ascii="宋体" w:hAnsi="宋体" w:eastAsia="宋体" w:cs="宋体"/>
          <w:spacing w:val="-3"/>
          <w:sz w:val="24"/>
          <w:szCs w:val="24"/>
        </w:rPr>
        <w:t>）表</w:t>
      </w:r>
      <w:r>
        <w:rPr>
          <w:rFonts w:ascii="宋体" w:hAnsi="宋体" w:eastAsia="宋体" w:cs="宋体"/>
          <w:spacing w:val="-39"/>
          <w:sz w:val="24"/>
          <w:szCs w:val="24"/>
        </w:rPr>
        <w:t xml:space="preserve"> </w:t>
      </w:r>
      <w:r>
        <w:rPr>
          <w:rFonts w:ascii="Times New Roman" w:hAnsi="Times New Roman" w:eastAsia="Times New Roman" w:cs="Times New Roman"/>
          <w:spacing w:val="-3"/>
          <w:sz w:val="24"/>
          <w:szCs w:val="24"/>
        </w:rPr>
        <w:t xml:space="preserve">6 </w:t>
      </w:r>
      <w:r>
        <w:rPr>
          <w:rFonts w:ascii="宋体" w:hAnsi="宋体" w:eastAsia="宋体" w:cs="宋体"/>
          <w:spacing w:val="-3"/>
          <w:sz w:val="24"/>
          <w:szCs w:val="24"/>
        </w:rPr>
        <w:t>大气污染物特别排</w:t>
      </w:r>
      <w:r>
        <w:rPr>
          <w:rFonts w:ascii="宋体" w:hAnsi="宋体" w:eastAsia="宋体" w:cs="宋体"/>
          <w:sz w:val="24"/>
          <w:szCs w:val="24"/>
        </w:rPr>
        <w:t xml:space="preserve"> </w:t>
      </w:r>
      <w:r>
        <w:rPr>
          <w:rFonts w:ascii="宋体" w:hAnsi="宋体" w:eastAsia="宋体" w:cs="宋体"/>
          <w:spacing w:val="-1"/>
          <w:sz w:val="24"/>
          <w:szCs w:val="24"/>
        </w:rPr>
        <w:t>放限值、《工业窑炉大气污染综合治理》（环大气</w:t>
      </w:r>
      <w:r>
        <w:rPr>
          <w:rFonts w:ascii="Times New Roman" w:hAnsi="Times New Roman" w:eastAsia="Times New Roman" w:cs="Times New Roman"/>
          <w:spacing w:val="-1"/>
          <w:sz w:val="24"/>
          <w:szCs w:val="24"/>
        </w:rPr>
        <w:t xml:space="preserve">[2019]56 </w:t>
      </w:r>
      <w:r>
        <w:rPr>
          <w:rFonts w:ascii="宋体" w:hAnsi="宋体" w:eastAsia="宋体" w:cs="宋体"/>
          <w:spacing w:val="-1"/>
          <w:sz w:val="24"/>
          <w:szCs w:val="24"/>
        </w:rPr>
        <w:t>号）中重点区域工业窑炉浓</w:t>
      </w:r>
      <w:r>
        <w:rPr>
          <w:rFonts w:ascii="宋体" w:hAnsi="宋体" w:eastAsia="宋体" w:cs="宋体"/>
          <w:spacing w:val="3"/>
          <w:sz w:val="24"/>
          <w:szCs w:val="24"/>
        </w:rPr>
        <w:t xml:space="preserve"> </w:t>
      </w:r>
      <w:r>
        <w:rPr>
          <w:rFonts w:ascii="宋体" w:hAnsi="宋体" w:eastAsia="宋体" w:cs="宋体"/>
          <w:sz w:val="24"/>
          <w:szCs w:val="24"/>
        </w:rPr>
        <w:t>度限值、《火电厂烟气脱硝工程技术规范 选择性催化还原法》（</w:t>
      </w:r>
      <w:r>
        <w:rPr>
          <w:rFonts w:ascii="Times New Roman" w:hAnsi="Times New Roman" w:eastAsia="Times New Roman" w:cs="Times New Roman"/>
          <w:sz w:val="24"/>
          <w:szCs w:val="24"/>
        </w:rPr>
        <w:t>H</w:t>
      </w:r>
      <w:r>
        <w:rPr>
          <w:rFonts w:ascii="Times New Roman" w:hAnsi="Times New Roman" w:eastAsia="Times New Roman" w:cs="Times New Roman"/>
          <w:spacing w:val="-1"/>
          <w:sz w:val="24"/>
          <w:szCs w:val="24"/>
        </w:rPr>
        <w:t>J562-2010</w:t>
      </w:r>
      <w:r>
        <w:rPr>
          <w:rFonts w:ascii="宋体" w:hAnsi="宋体" w:eastAsia="宋体" w:cs="宋体"/>
          <w:spacing w:val="-1"/>
          <w:sz w:val="24"/>
          <w:szCs w:val="24"/>
        </w:rPr>
        <w:t>）。</w:t>
      </w:r>
    </w:p>
    <w:p w14:paraId="60699524">
      <w:pPr>
        <w:spacing w:before="39" w:line="367" w:lineRule="auto"/>
        <w:ind w:left="8" w:right="61" w:firstLine="480"/>
        <w:rPr>
          <w:rFonts w:ascii="宋体" w:hAnsi="宋体" w:eastAsia="宋体" w:cs="宋体"/>
          <w:sz w:val="24"/>
          <w:szCs w:val="24"/>
        </w:rPr>
      </w:pPr>
      <w:r>
        <w:rPr>
          <w:rFonts w:ascii="宋体" w:hAnsi="宋体" w:eastAsia="宋体" w:cs="宋体"/>
          <w:spacing w:val="-2"/>
          <w:sz w:val="24"/>
          <w:szCs w:val="24"/>
        </w:rPr>
        <w:t>对于无组织排放，原辅料库房全封闭建设、物料封闭式皮带运输、喷雾抑尘。烧结</w:t>
      </w:r>
      <w:r>
        <w:rPr>
          <w:rFonts w:ascii="宋体" w:hAnsi="宋体" w:eastAsia="宋体" w:cs="宋体"/>
          <w:spacing w:val="12"/>
          <w:sz w:val="24"/>
          <w:szCs w:val="24"/>
        </w:rPr>
        <w:t xml:space="preserve"> </w:t>
      </w:r>
      <w:r>
        <w:rPr>
          <w:rFonts w:ascii="宋体" w:hAnsi="宋体" w:eastAsia="宋体" w:cs="宋体"/>
          <w:spacing w:val="-3"/>
          <w:sz w:val="24"/>
          <w:szCs w:val="24"/>
        </w:rPr>
        <w:t>矿车间设备采用厂房封闭设计、产尘点设集气罩</w:t>
      </w:r>
      <w:r>
        <w:rPr>
          <w:rFonts w:ascii="Times New Roman" w:hAnsi="Times New Roman" w:eastAsia="Times New Roman" w:cs="Times New Roman"/>
          <w:spacing w:val="-3"/>
          <w:sz w:val="24"/>
          <w:szCs w:val="24"/>
        </w:rPr>
        <w:t>/</w:t>
      </w:r>
      <w:r>
        <w:rPr>
          <w:rFonts w:ascii="宋体" w:hAnsi="宋体" w:eastAsia="宋体" w:cs="宋体"/>
          <w:spacing w:val="-3"/>
          <w:sz w:val="24"/>
          <w:szCs w:val="24"/>
        </w:rPr>
        <w:t>密闭罩、物料封</w:t>
      </w:r>
      <w:r>
        <w:rPr>
          <w:rFonts w:ascii="宋体" w:hAnsi="宋体" w:eastAsia="宋体" w:cs="宋体"/>
          <w:spacing w:val="-4"/>
          <w:sz w:val="24"/>
          <w:szCs w:val="24"/>
        </w:rPr>
        <w:t>闭式皮带运输、喷雾抑</w:t>
      </w:r>
      <w:r>
        <w:rPr>
          <w:rFonts w:ascii="宋体" w:hAnsi="宋体" w:eastAsia="宋体" w:cs="宋体"/>
          <w:sz w:val="24"/>
          <w:szCs w:val="24"/>
        </w:rPr>
        <w:t xml:space="preserve"> </w:t>
      </w:r>
      <w:r>
        <w:rPr>
          <w:rFonts w:ascii="宋体" w:hAnsi="宋体" w:eastAsia="宋体" w:cs="宋体"/>
          <w:spacing w:val="-3"/>
          <w:sz w:val="24"/>
          <w:szCs w:val="24"/>
        </w:rPr>
        <w:t>尘。电炉车间采用车间封闭、废气排放点设集气罩</w:t>
      </w:r>
      <w:r>
        <w:rPr>
          <w:rFonts w:ascii="Times New Roman" w:hAnsi="Times New Roman" w:eastAsia="Times New Roman" w:cs="Times New Roman"/>
          <w:spacing w:val="-3"/>
          <w:sz w:val="24"/>
          <w:szCs w:val="24"/>
        </w:rPr>
        <w:t>/</w:t>
      </w:r>
      <w:r>
        <w:rPr>
          <w:rFonts w:ascii="宋体" w:hAnsi="宋体" w:eastAsia="宋体" w:cs="宋体"/>
          <w:spacing w:val="-3"/>
          <w:sz w:val="24"/>
          <w:szCs w:val="24"/>
        </w:rPr>
        <w:t>密闭罩、物料</w:t>
      </w:r>
      <w:r>
        <w:rPr>
          <w:rFonts w:ascii="宋体" w:hAnsi="宋体" w:eastAsia="宋体" w:cs="宋体"/>
          <w:spacing w:val="-4"/>
          <w:sz w:val="24"/>
          <w:szCs w:val="24"/>
        </w:rPr>
        <w:t>封闭式皮带运输、喷雾</w:t>
      </w:r>
    </w:p>
    <w:p w14:paraId="7FD7C48D">
      <w:pPr>
        <w:spacing w:line="367" w:lineRule="auto"/>
        <w:rPr>
          <w:rFonts w:ascii="宋体" w:hAnsi="宋体" w:eastAsia="宋体" w:cs="宋体"/>
          <w:sz w:val="24"/>
          <w:szCs w:val="24"/>
        </w:rPr>
        <w:sectPr>
          <w:headerReference r:id="rId528" w:type="default"/>
          <w:footerReference r:id="rId529" w:type="default"/>
          <w:pgSz w:w="11906" w:h="16839"/>
          <w:pgMar w:top="1190" w:right="1356" w:bottom="1221" w:left="1418" w:header="882" w:footer="1059" w:gutter="0"/>
          <w:cols w:space="720" w:num="1"/>
        </w:sectPr>
      </w:pPr>
    </w:p>
    <w:p w14:paraId="5584ACD3">
      <w:pPr>
        <w:spacing w:line="28" w:lineRule="exact"/>
      </w:pPr>
      <w:r>
        <w:pict>
          <v:shape id="_x0000_s3109" o:spid="_x0000_s3109" style="height:1.45pt;width:453.55pt;" fillcolor="#000000" filled="t" stroked="f" coordsize="9070,29" path="m0,0l9070,0,9070,28,0,28,0,0xe">
            <v:path/>
            <v:fill on="t" focussize="0,0"/>
            <v:stroke on="f"/>
            <v:imagedata o:title=""/>
            <o:lock v:ext="edit"/>
            <w10:wrap type="none"/>
            <w10:anchorlock/>
          </v:shape>
        </w:pict>
      </w:r>
    </w:p>
    <w:p w14:paraId="40D1DF6C">
      <w:pPr>
        <w:pStyle w:val="2"/>
        <w:spacing w:line="242" w:lineRule="auto"/>
      </w:pPr>
    </w:p>
    <w:p w14:paraId="0B352F16">
      <w:pPr>
        <w:spacing w:before="78" w:line="364" w:lineRule="auto"/>
        <w:ind w:left="20" w:right="745" w:hanging="11"/>
        <w:rPr>
          <w:rFonts w:ascii="宋体" w:hAnsi="宋体" w:eastAsia="宋体" w:cs="宋体"/>
          <w:sz w:val="24"/>
          <w:szCs w:val="24"/>
        </w:rPr>
      </w:pPr>
      <w:r>
        <w:rPr>
          <w:rFonts w:ascii="宋体" w:hAnsi="宋体" w:eastAsia="宋体" w:cs="宋体"/>
          <w:spacing w:val="-1"/>
          <w:sz w:val="24"/>
          <w:szCs w:val="24"/>
        </w:rPr>
        <w:t>抑尘。采取措施后厂区内颗粒物无组织排放满足《铁合金工业污染物排放标准》</w:t>
      </w:r>
      <w:r>
        <w:rPr>
          <w:rFonts w:ascii="宋体" w:hAnsi="宋体" w:eastAsia="宋体" w:cs="宋体"/>
          <w:spacing w:val="10"/>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GB28666-2012</w:t>
      </w:r>
      <w:r>
        <w:rPr>
          <w:rFonts w:ascii="宋体" w:hAnsi="宋体" w:eastAsia="宋体" w:cs="宋体"/>
          <w:spacing w:val="-1"/>
          <w:sz w:val="24"/>
          <w:szCs w:val="24"/>
        </w:rPr>
        <w:t>）表</w:t>
      </w:r>
      <w:r>
        <w:rPr>
          <w:rFonts w:ascii="宋体" w:hAnsi="宋体" w:eastAsia="宋体" w:cs="宋体"/>
          <w:spacing w:val="-52"/>
          <w:sz w:val="24"/>
          <w:szCs w:val="24"/>
        </w:rPr>
        <w:t xml:space="preserve"> </w:t>
      </w:r>
      <w:r>
        <w:rPr>
          <w:rFonts w:ascii="Times New Roman" w:hAnsi="Times New Roman" w:eastAsia="Times New Roman" w:cs="Times New Roman"/>
          <w:spacing w:val="-1"/>
          <w:sz w:val="24"/>
          <w:szCs w:val="24"/>
        </w:rPr>
        <w:t xml:space="preserve">7 </w:t>
      </w:r>
      <w:r>
        <w:rPr>
          <w:rFonts w:ascii="宋体" w:hAnsi="宋体" w:eastAsia="宋体" w:cs="宋体"/>
          <w:spacing w:val="-1"/>
          <w:sz w:val="24"/>
          <w:szCs w:val="24"/>
        </w:rPr>
        <w:t>企业边界大气污染物排放标准。</w:t>
      </w:r>
    </w:p>
    <w:p w14:paraId="2E93FBD6">
      <w:pPr>
        <w:spacing w:before="31" w:line="219" w:lineRule="auto"/>
        <w:ind w:left="485"/>
        <w:rPr>
          <w:rFonts w:ascii="宋体" w:hAnsi="宋体" w:eastAsia="宋体" w:cs="宋体"/>
          <w:sz w:val="24"/>
          <w:szCs w:val="24"/>
        </w:rPr>
      </w:pPr>
      <w:r>
        <w:rPr>
          <w:rFonts w:ascii="Times New Roman" w:hAnsi="Times New Roman" w:eastAsia="Times New Roman" w:cs="Times New Roman"/>
          <w:spacing w:val="-8"/>
          <w:sz w:val="24"/>
          <w:szCs w:val="24"/>
        </w:rPr>
        <w:t>2</w:t>
      </w:r>
      <w:r>
        <w:rPr>
          <w:rFonts w:ascii="Times New Roman" w:hAnsi="Times New Roman" w:eastAsia="Times New Roman" w:cs="Times New Roman"/>
          <w:spacing w:val="-34"/>
          <w:sz w:val="24"/>
          <w:szCs w:val="24"/>
        </w:rPr>
        <w:t xml:space="preserve"> </w:t>
      </w:r>
      <w:r>
        <w:rPr>
          <w:rFonts w:ascii="宋体" w:hAnsi="宋体" w:eastAsia="宋体" w:cs="宋体"/>
          <w:spacing w:val="-8"/>
          <w:sz w:val="24"/>
          <w:szCs w:val="24"/>
        </w:rPr>
        <w:t>、废水</w:t>
      </w:r>
    </w:p>
    <w:p w14:paraId="41383C70">
      <w:pPr>
        <w:spacing w:before="202" w:line="373" w:lineRule="auto"/>
        <w:ind w:left="8" w:firstLine="481"/>
        <w:rPr>
          <w:rFonts w:ascii="宋体" w:hAnsi="宋体" w:eastAsia="宋体" w:cs="宋体"/>
          <w:sz w:val="24"/>
          <w:szCs w:val="24"/>
        </w:rPr>
      </w:pPr>
      <w:r>
        <w:rPr>
          <w:rFonts w:ascii="宋体" w:hAnsi="宋体" w:eastAsia="宋体" w:cs="宋体"/>
          <w:spacing w:val="-2"/>
          <w:sz w:val="24"/>
          <w:szCs w:val="24"/>
        </w:rPr>
        <w:t>本项目生活污水、化验室废水经地埋式一体化污水处理设施处理后，由罐车运至苏</w:t>
      </w:r>
      <w:r>
        <w:rPr>
          <w:rFonts w:ascii="宋体" w:hAnsi="宋体" w:eastAsia="宋体" w:cs="宋体"/>
          <w:spacing w:val="10"/>
          <w:sz w:val="24"/>
          <w:szCs w:val="24"/>
        </w:rPr>
        <w:t xml:space="preserve"> </w:t>
      </w:r>
      <w:r>
        <w:rPr>
          <w:rFonts w:ascii="宋体" w:hAnsi="宋体" w:eastAsia="宋体" w:cs="宋体"/>
          <w:spacing w:val="-2"/>
          <w:sz w:val="24"/>
          <w:szCs w:val="24"/>
        </w:rPr>
        <w:t>尼特右旗赛汉塔拉镇污水处理厂进一步处理；脱硫废水采用三联箱工艺处理后补充到浊</w:t>
      </w:r>
      <w:r>
        <w:rPr>
          <w:rFonts w:ascii="宋体" w:hAnsi="宋体" w:eastAsia="宋体" w:cs="宋体"/>
          <w:spacing w:val="16"/>
          <w:sz w:val="24"/>
          <w:szCs w:val="24"/>
        </w:rPr>
        <w:t xml:space="preserve"> </w:t>
      </w:r>
      <w:r>
        <w:rPr>
          <w:rFonts w:ascii="宋体" w:hAnsi="宋体" w:eastAsia="宋体" w:cs="宋体"/>
          <w:spacing w:val="-2"/>
          <w:sz w:val="24"/>
          <w:szCs w:val="24"/>
        </w:rPr>
        <w:t>循环水系统中；过滤水循环使用；煤气冷凝废水采用隔油池进行隔油处理，出水用作矿</w:t>
      </w:r>
      <w:r>
        <w:rPr>
          <w:rFonts w:ascii="宋体" w:hAnsi="宋体" w:eastAsia="宋体" w:cs="宋体"/>
          <w:spacing w:val="16"/>
          <w:sz w:val="24"/>
          <w:szCs w:val="24"/>
        </w:rPr>
        <w:t xml:space="preserve"> </w:t>
      </w:r>
      <w:r>
        <w:rPr>
          <w:rFonts w:ascii="宋体" w:hAnsi="宋体" w:eastAsia="宋体" w:cs="宋体"/>
          <w:spacing w:val="-2"/>
          <w:sz w:val="24"/>
          <w:szCs w:val="24"/>
        </w:rPr>
        <w:t>热炉开堵眼机堵塞泥制作用水；化水车间排污、燃气发电锅炉排污、辅机冷却循环水站</w:t>
      </w:r>
      <w:r>
        <w:rPr>
          <w:rFonts w:ascii="宋体" w:hAnsi="宋体" w:eastAsia="宋体" w:cs="宋体"/>
          <w:spacing w:val="16"/>
          <w:sz w:val="24"/>
          <w:szCs w:val="24"/>
        </w:rPr>
        <w:t xml:space="preserve"> </w:t>
      </w:r>
      <w:r>
        <w:rPr>
          <w:rFonts w:ascii="宋体" w:hAnsi="宋体" w:eastAsia="宋体" w:cs="宋体"/>
          <w:spacing w:val="-2"/>
          <w:sz w:val="24"/>
          <w:szCs w:val="24"/>
        </w:rPr>
        <w:t>排污、循环水系统排污及软水制备排污全部作为浊循环水系统补充水。因此本项目的生</w:t>
      </w:r>
      <w:r>
        <w:rPr>
          <w:rFonts w:ascii="宋体" w:hAnsi="宋体" w:eastAsia="宋体" w:cs="宋体"/>
          <w:spacing w:val="16"/>
          <w:sz w:val="24"/>
          <w:szCs w:val="24"/>
        </w:rPr>
        <w:t xml:space="preserve"> </w:t>
      </w:r>
      <w:r>
        <w:rPr>
          <w:rFonts w:ascii="宋体" w:hAnsi="宋体" w:eastAsia="宋体" w:cs="宋体"/>
          <w:spacing w:val="-6"/>
          <w:sz w:val="24"/>
          <w:szCs w:val="24"/>
        </w:rPr>
        <w:t>产废水不会直接进入当地的水体环境，不会对地下水产生大的影响。同时在建</w:t>
      </w:r>
      <w:r>
        <w:rPr>
          <w:rFonts w:ascii="宋体" w:hAnsi="宋体" w:eastAsia="宋体" w:cs="宋体"/>
          <w:spacing w:val="-7"/>
          <w:sz w:val="24"/>
          <w:szCs w:val="24"/>
        </w:rPr>
        <w:t>设过程中，</w:t>
      </w:r>
      <w:r>
        <w:rPr>
          <w:rFonts w:ascii="宋体" w:hAnsi="宋体" w:eastAsia="宋体" w:cs="宋体"/>
          <w:sz w:val="24"/>
          <w:szCs w:val="24"/>
        </w:rPr>
        <w:t xml:space="preserve"> </w:t>
      </w:r>
      <w:r>
        <w:rPr>
          <w:rFonts w:ascii="宋体" w:hAnsi="宋体" w:eastAsia="宋体" w:cs="宋体"/>
          <w:spacing w:val="-2"/>
          <w:sz w:val="24"/>
          <w:szCs w:val="24"/>
        </w:rPr>
        <w:t>对于生产区、冲渣池、危废暂存库、应急事故水池、煤气冷凝废水隔油池等均进行了防</w:t>
      </w:r>
      <w:r>
        <w:rPr>
          <w:rFonts w:ascii="宋体" w:hAnsi="宋体" w:eastAsia="宋体" w:cs="宋体"/>
          <w:spacing w:val="16"/>
          <w:sz w:val="24"/>
          <w:szCs w:val="24"/>
        </w:rPr>
        <w:t xml:space="preserve"> </w:t>
      </w:r>
      <w:r>
        <w:rPr>
          <w:rFonts w:ascii="宋体" w:hAnsi="宋体" w:eastAsia="宋体" w:cs="宋体"/>
          <w:spacing w:val="-1"/>
          <w:sz w:val="24"/>
          <w:szCs w:val="24"/>
        </w:rPr>
        <w:t>渗处理，可防止污水的下渗对当地的地下水产生污染。</w:t>
      </w:r>
    </w:p>
    <w:p w14:paraId="7830585F">
      <w:pPr>
        <w:spacing w:before="35" w:line="220" w:lineRule="auto"/>
        <w:ind w:left="490"/>
        <w:rPr>
          <w:rFonts w:ascii="宋体" w:hAnsi="宋体" w:eastAsia="宋体" w:cs="宋体"/>
          <w:sz w:val="24"/>
          <w:szCs w:val="24"/>
        </w:rPr>
      </w:pPr>
      <w:r>
        <w:rPr>
          <w:rFonts w:ascii="Times New Roman" w:hAnsi="Times New Roman" w:eastAsia="Times New Roman" w:cs="Times New Roman"/>
          <w:spacing w:val="-9"/>
          <w:sz w:val="24"/>
          <w:szCs w:val="24"/>
        </w:rPr>
        <w:t>3</w:t>
      </w:r>
      <w:r>
        <w:rPr>
          <w:rFonts w:ascii="Times New Roman" w:hAnsi="Times New Roman" w:eastAsia="Times New Roman" w:cs="Times New Roman"/>
          <w:spacing w:val="-34"/>
          <w:sz w:val="24"/>
          <w:szCs w:val="24"/>
        </w:rPr>
        <w:t xml:space="preserve"> </w:t>
      </w:r>
      <w:r>
        <w:rPr>
          <w:rFonts w:ascii="宋体" w:hAnsi="宋体" w:eastAsia="宋体" w:cs="宋体"/>
          <w:spacing w:val="-9"/>
          <w:sz w:val="24"/>
          <w:szCs w:val="24"/>
        </w:rPr>
        <w:t>、噪声</w:t>
      </w:r>
    </w:p>
    <w:p w14:paraId="685BD8C9">
      <w:pPr>
        <w:spacing w:before="201" w:line="370" w:lineRule="auto"/>
        <w:ind w:left="8" w:right="61" w:firstLine="481"/>
        <w:rPr>
          <w:rFonts w:ascii="宋体" w:hAnsi="宋体" w:eastAsia="宋体" w:cs="宋体"/>
          <w:sz w:val="24"/>
          <w:szCs w:val="24"/>
        </w:rPr>
      </w:pPr>
      <w:r>
        <w:rPr>
          <w:rFonts w:ascii="宋体" w:hAnsi="宋体" w:eastAsia="宋体" w:cs="宋体"/>
          <w:spacing w:val="-2"/>
          <w:sz w:val="24"/>
          <w:szCs w:val="24"/>
        </w:rPr>
        <w:t>本项目从声源的控制以及噪声传播途径等方面分别采取了相应的噪声防治措施。具</w:t>
      </w:r>
      <w:r>
        <w:rPr>
          <w:rFonts w:ascii="宋体" w:hAnsi="宋体" w:eastAsia="宋体" w:cs="宋体"/>
          <w:spacing w:val="10"/>
          <w:sz w:val="24"/>
          <w:szCs w:val="24"/>
        </w:rPr>
        <w:t xml:space="preserve"> </w:t>
      </w:r>
      <w:r>
        <w:rPr>
          <w:rFonts w:ascii="宋体" w:hAnsi="宋体" w:eastAsia="宋体" w:cs="宋体"/>
          <w:spacing w:val="-2"/>
          <w:sz w:val="24"/>
          <w:szCs w:val="24"/>
        </w:rPr>
        <w:t>体包括设计上尽量选用低噪声设备，按要求采取减震、消音、隔音措施，合理布局以及</w:t>
      </w:r>
      <w:r>
        <w:rPr>
          <w:rFonts w:ascii="宋体" w:hAnsi="宋体" w:eastAsia="宋体" w:cs="宋体"/>
          <w:spacing w:val="16"/>
          <w:sz w:val="24"/>
          <w:szCs w:val="24"/>
        </w:rPr>
        <w:t xml:space="preserve"> </w:t>
      </w:r>
      <w:r>
        <w:rPr>
          <w:rFonts w:ascii="宋体" w:hAnsi="宋体" w:eastAsia="宋体" w:cs="宋体"/>
          <w:spacing w:val="-2"/>
          <w:sz w:val="24"/>
          <w:szCs w:val="24"/>
        </w:rPr>
        <w:t>加强厂区绿化等措施。通过采取这些措施后，能将项目生产对周围声环境的影响降到最</w:t>
      </w:r>
      <w:r>
        <w:rPr>
          <w:rFonts w:ascii="宋体" w:hAnsi="宋体" w:eastAsia="宋体" w:cs="宋体"/>
          <w:spacing w:val="16"/>
          <w:sz w:val="24"/>
          <w:szCs w:val="24"/>
        </w:rPr>
        <w:t xml:space="preserve"> </w:t>
      </w:r>
      <w:r>
        <w:rPr>
          <w:rFonts w:ascii="宋体" w:hAnsi="宋体" w:eastAsia="宋体" w:cs="宋体"/>
          <w:spacing w:val="-3"/>
          <w:sz w:val="24"/>
          <w:szCs w:val="24"/>
        </w:rPr>
        <w:t>低程度。</w:t>
      </w:r>
    </w:p>
    <w:p w14:paraId="4A73F746">
      <w:pPr>
        <w:spacing w:before="34" w:line="220" w:lineRule="auto"/>
        <w:ind w:left="484"/>
        <w:rPr>
          <w:rFonts w:ascii="宋体" w:hAnsi="宋体" w:eastAsia="宋体" w:cs="宋体"/>
          <w:sz w:val="24"/>
          <w:szCs w:val="24"/>
        </w:rPr>
      </w:pPr>
      <w:r>
        <w:rPr>
          <w:rFonts w:ascii="Times New Roman" w:hAnsi="Times New Roman" w:eastAsia="Times New Roman" w:cs="Times New Roman"/>
          <w:spacing w:val="-8"/>
          <w:sz w:val="24"/>
          <w:szCs w:val="24"/>
        </w:rPr>
        <w:t>4</w:t>
      </w:r>
      <w:r>
        <w:rPr>
          <w:rFonts w:ascii="Times New Roman" w:hAnsi="Times New Roman" w:eastAsia="Times New Roman" w:cs="Times New Roman"/>
          <w:spacing w:val="-33"/>
          <w:sz w:val="24"/>
          <w:szCs w:val="24"/>
        </w:rPr>
        <w:t xml:space="preserve"> </w:t>
      </w:r>
      <w:r>
        <w:rPr>
          <w:rFonts w:ascii="宋体" w:hAnsi="宋体" w:eastAsia="宋体" w:cs="宋体"/>
          <w:spacing w:val="-8"/>
          <w:sz w:val="24"/>
          <w:szCs w:val="24"/>
        </w:rPr>
        <w:t>、固废</w:t>
      </w:r>
    </w:p>
    <w:p w14:paraId="4C73D050">
      <w:pPr>
        <w:spacing w:before="208" w:line="373" w:lineRule="auto"/>
        <w:ind w:left="9" w:right="61" w:firstLine="495"/>
        <w:rPr>
          <w:rFonts w:ascii="宋体" w:hAnsi="宋体" w:eastAsia="宋体" w:cs="宋体"/>
          <w:sz w:val="24"/>
          <w:szCs w:val="24"/>
        </w:rPr>
      </w:pPr>
      <w:r>
        <w:rPr>
          <w:rFonts w:ascii="宋体" w:hAnsi="宋体" w:eastAsia="宋体" w:cs="宋体"/>
          <w:spacing w:val="1"/>
          <w:sz w:val="24"/>
          <w:szCs w:val="24"/>
        </w:rPr>
        <w:t>本项目产生的脱硫石膏、废耐火材料、脱硫废渣、配</w:t>
      </w:r>
      <w:r>
        <w:rPr>
          <w:rFonts w:ascii="Times New Roman" w:hAnsi="Times New Roman" w:eastAsia="Times New Roman" w:cs="Times New Roman"/>
          <w:spacing w:val="1"/>
          <w:sz w:val="24"/>
          <w:szCs w:val="24"/>
        </w:rPr>
        <w:t>/</w:t>
      </w:r>
      <w:r>
        <w:rPr>
          <w:rFonts w:ascii="宋体" w:hAnsi="宋体" w:eastAsia="宋体" w:cs="宋体"/>
          <w:spacing w:val="1"/>
          <w:sz w:val="24"/>
          <w:szCs w:val="24"/>
        </w:rPr>
        <w:t xml:space="preserve">上料除尘灰外售用作建材生 </w:t>
      </w:r>
      <w:r>
        <w:rPr>
          <w:rFonts w:ascii="宋体" w:hAnsi="宋体" w:eastAsia="宋体" w:cs="宋体"/>
          <w:spacing w:val="-3"/>
          <w:sz w:val="24"/>
          <w:szCs w:val="24"/>
        </w:rPr>
        <w:t>产原料；废反渗透膜组件、废</w:t>
      </w:r>
      <w:r>
        <w:rPr>
          <w:rFonts w:ascii="宋体" w:hAnsi="宋体" w:eastAsia="宋体" w:cs="宋体"/>
          <w:spacing w:val="-41"/>
          <w:sz w:val="24"/>
          <w:szCs w:val="24"/>
        </w:rPr>
        <w:t xml:space="preserve"> </w:t>
      </w:r>
      <w:r>
        <w:rPr>
          <w:rFonts w:ascii="Times New Roman" w:hAnsi="Times New Roman" w:eastAsia="Times New Roman" w:cs="Times New Roman"/>
          <w:spacing w:val="-3"/>
          <w:sz w:val="24"/>
          <w:szCs w:val="24"/>
        </w:rPr>
        <w:t xml:space="preserve">EDI </w:t>
      </w:r>
      <w:r>
        <w:rPr>
          <w:rFonts w:ascii="宋体" w:hAnsi="宋体" w:eastAsia="宋体" w:cs="宋体"/>
          <w:spacing w:val="-3"/>
          <w:sz w:val="24"/>
          <w:szCs w:val="24"/>
        </w:rPr>
        <w:t>离子交换膜组件、废离子交换树脂、废分子筛由厂家</w:t>
      </w:r>
      <w:r>
        <w:rPr>
          <w:rFonts w:ascii="宋体" w:hAnsi="宋体" w:eastAsia="宋体" w:cs="宋体"/>
          <w:sz w:val="24"/>
          <w:szCs w:val="24"/>
        </w:rPr>
        <w:t xml:space="preserve"> </w:t>
      </w:r>
      <w:r>
        <w:rPr>
          <w:rFonts w:ascii="宋体" w:hAnsi="宋体" w:eastAsia="宋体" w:cs="宋体"/>
          <w:spacing w:val="2"/>
          <w:sz w:val="24"/>
          <w:szCs w:val="24"/>
        </w:rPr>
        <w:t>回收处理；锰硅炉渣外售综合利用；锰硅重渣破碎后返回配料综合利用</w:t>
      </w:r>
      <w:r>
        <w:rPr>
          <w:rFonts w:ascii="宋体" w:hAnsi="宋体" w:eastAsia="宋体" w:cs="宋体"/>
          <w:spacing w:val="1"/>
          <w:sz w:val="24"/>
          <w:szCs w:val="24"/>
        </w:rPr>
        <w:t>；煤气冷凝废</w:t>
      </w:r>
      <w:r>
        <w:rPr>
          <w:rFonts w:ascii="宋体" w:hAnsi="宋体" w:eastAsia="宋体" w:cs="宋体"/>
          <w:sz w:val="24"/>
          <w:szCs w:val="24"/>
        </w:rPr>
        <w:t xml:space="preserve">  </w:t>
      </w:r>
      <w:r>
        <w:rPr>
          <w:rFonts w:ascii="宋体" w:hAnsi="宋体" w:eastAsia="宋体" w:cs="宋体"/>
          <w:spacing w:val="-2"/>
          <w:sz w:val="24"/>
          <w:szCs w:val="24"/>
        </w:rPr>
        <w:t>水隔油池浮渣、焦油杂质、过滤杂质桶装后在厂区危废暂存库内分隔暂存，定期委托有</w:t>
      </w:r>
      <w:r>
        <w:rPr>
          <w:rFonts w:ascii="宋体" w:hAnsi="宋体" w:eastAsia="宋体" w:cs="宋体"/>
          <w:spacing w:val="15"/>
          <w:sz w:val="24"/>
          <w:szCs w:val="24"/>
        </w:rPr>
        <w:t xml:space="preserve"> </w:t>
      </w:r>
      <w:r>
        <w:rPr>
          <w:rFonts w:ascii="宋体" w:hAnsi="宋体" w:eastAsia="宋体" w:cs="宋体"/>
          <w:spacing w:val="-2"/>
          <w:sz w:val="24"/>
          <w:szCs w:val="24"/>
        </w:rPr>
        <w:t>资质单位处理；废矿物油桶装后在厂区危废暂存库内分隔暂存，委托资质单位处理；废</w:t>
      </w:r>
      <w:r>
        <w:rPr>
          <w:rFonts w:ascii="宋体" w:hAnsi="宋体" w:eastAsia="宋体" w:cs="宋体"/>
          <w:spacing w:val="15"/>
          <w:sz w:val="24"/>
          <w:szCs w:val="24"/>
        </w:rPr>
        <w:t xml:space="preserve"> </w:t>
      </w:r>
      <w:r>
        <w:rPr>
          <w:rFonts w:ascii="宋体" w:hAnsi="宋体" w:eastAsia="宋体" w:cs="宋体"/>
          <w:spacing w:val="-2"/>
          <w:sz w:val="24"/>
          <w:szCs w:val="24"/>
        </w:rPr>
        <w:t>脱硝催化剂在危废暂存库内分隔暂存，定期委托有资质单位处理；化验室废液密封桶装</w:t>
      </w:r>
      <w:r>
        <w:rPr>
          <w:rFonts w:ascii="宋体" w:hAnsi="宋体" w:eastAsia="宋体" w:cs="宋体"/>
          <w:spacing w:val="15"/>
          <w:sz w:val="24"/>
          <w:szCs w:val="24"/>
        </w:rPr>
        <w:t xml:space="preserve"> </w:t>
      </w:r>
      <w:r>
        <w:rPr>
          <w:rFonts w:ascii="宋体" w:hAnsi="宋体" w:eastAsia="宋体" w:cs="宋体"/>
          <w:spacing w:val="-2"/>
          <w:sz w:val="24"/>
          <w:szCs w:val="24"/>
        </w:rPr>
        <w:t>后在厂区危废暂存库内分隔暂存，定期委托有资质单位处理；生活垃圾委托当地的环卫</w:t>
      </w:r>
      <w:r>
        <w:rPr>
          <w:rFonts w:ascii="宋体" w:hAnsi="宋体" w:eastAsia="宋体" w:cs="宋体"/>
          <w:spacing w:val="15"/>
          <w:sz w:val="24"/>
          <w:szCs w:val="24"/>
        </w:rPr>
        <w:t xml:space="preserve"> </w:t>
      </w:r>
      <w:r>
        <w:rPr>
          <w:rFonts w:ascii="宋体" w:hAnsi="宋体" w:eastAsia="宋体" w:cs="宋体"/>
          <w:spacing w:val="-2"/>
          <w:sz w:val="24"/>
          <w:szCs w:val="24"/>
        </w:rPr>
        <w:t>部门定期清运处理。采取的固体废物处理处置方法是国内企业的普遍做法，符合国情和</w:t>
      </w:r>
      <w:r>
        <w:rPr>
          <w:rFonts w:ascii="宋体" w:hAnsi="宋体" w:eastAsia="宋体" w:cs="宋体"/>
          <w:spacing w:val="15"/>
          <w:sz w:val="24"/>
          <w:szCs w:val="24"/>
        </w:rPr>
        <w:t xml:space="preserve"> </w:t>
      </w:r>
      <w:r>
        <w:rPr>
          <w:rFonts w:ascii="宋体" w:hAnsi="宋体" w:eastAsia="宋体" w:cs="宋体"/>
          <w:spacing w:val="-2"/>
          <w:sz w:val="24"/>
          <w:szCs w:val="24"/>
        </w:rPr>
        <w:t>当地实际，方法可行。建议应进一步做好固废的堆存保管和防护，并设专人严格管理，</w:t>
      </w:r>
      <w:r>
        <w:rPr>
          <w:rFonts w:ascii="宋体" w:hAnsi="宋体" w:eastAsia="宋体" w:cs="宋体"/>
          <w:spacing w:val="15"/>
          <w:sz w:val="24"/>
          <w:szCs w:val="24"/>
        </w:rPr>
        <w:t xml:space="preserve"> </w:t>
      </w:r>
      <w:r>
        <w:rPr>
          <w:rFonts w:ascii="宋体" w:hAnsi="宋体" w:eastAsia="宋体" w:cs="宋体"/>
          <w:spacing w:val="-2"/>
          <w:sz w:val="24"/>
          <w:szCs w:val="24"/>
        </w:rPr>
        <w:t>防止造成二次污染。</w:t>
      </w:r>
    </w:p>
    <w:p w14:paraId="669AD2FB">
      <w:pPr>
        <w:spacing w:line="373" w:lineRule="auto"/>
        <w:rPr>
          <w:rFonts w:ascii="宋体" w:hAnsi="宋体" w:eastAsia="宋体" w:cs="宋体"/>
          <w:sz w:val="24"/>
          <w:szCs w:val="24"/>
        </w:rPr>
        <w:sectPr>
          <w:footerReference r:id="rId530" w:type="default"/>
          <w:pgSz w:w="11906" w:h="16839"/>
          <w:pgMar w:top="1190" w:right="1356" w:bottom="1221" w:left="1418" w:header="882" w:footer="1059" w:gutter="0"/>
          <w:cols w:space="720" w:num="1"/>
        </w:sectPr>
      </w:pPr>
    </w:p>
    <w:p w14:paraId="3F52CA7E">
      <w:pPr>
        <w:spacing w:line="28" w:lineRule="exact"/>
      </w:pPr>
      <w:r>
        <w:pict>
          <v:shape id="_x0000_s3110" o:spid="_x0000_s3110" style="height:1.45pt;width:453.55pt;" fillcolor="#000000" filled="t" stroked="f" coordsize="9070,29" path="m0,0l9070,0,9070,28,0,28,0,0xe">
            <v:path/>
            <v:fill on="t" focussize="0,0"/>
            <v:stroke on="f"/>
            <v:imagedata o:title=""/>
            <o:lock v:ext="edit"/>
            <w10:wrap type="none"/>
            <w10:anchorlock/>
          </v:shape>
        </w:pict>
      </w:r>
    </w:p>
    <w:p w14:paraId="3F360B88">
      <w:pPr>
        <w:pStyle w:val="2"/>
        <w:spacing w:line="262" w:lineRule="auto"/>
      </w:pPr>
    </w:p>
    <w:p w14:paraId="11C57BD7">
      <w:pPr>
        <w:spacing w:before="101" w:line="227" w:lineRule="auto"/>
        <w:ind w:left="37"/>
        <w:outlineLvl w:val="1"/>
        <w:rPr>
          <w:rFonts w:ascii="黑体" w:hAnsi="黑体" w:eastAsia="黑体" w:cs="黑体"/>
          <w:sz w:val="31"/>
          <w:szCs w:val="31"/>
        </w:rPr>
      </w:pPr>
      <w:bookmarkStart w:id="504" w:name="bookmark476"/>
      <w:bookmarkEnd w:id="504"/>
      <w:r>
        <w:rPr>
          <w:rFonts w:ascii="Times New Roman" w:hAnsi="Times New Roman" w:eastAsia="Times New Roman" w:cs="Times New Roman"/>
          <w:spacing w:val="3"/>
          <w:sz w:val="31"/>
          <w:szCs w:val="31"/>
        </w:rPr>
        <w:t xml:space="preserve">10.6 </w:t>
      </w:r>
      <w:r>
        <w:rPr>
          <w:rFonts w:ascii="黑体" w:hAnsi="黑体" w:eastAsia="黑体" w:cs="黑体"/>
          <w:spacing w:val="3"/>
          <w:sz w:val="31"/>
          <w:szCs w:val="31"/>
        </w:rPr>
        <w:t>环境风险评价</w:t>
      </w:r>
    </w:p>
    <w:p w14:paraId="0ABE4321">
      <w:pPr>
        <w:spacing w:before="229" w:line="361" w:lineRule="auto"/>
        <w:ind w:left="29" w:right="80" w:firstLine="459"/>
        <w:rPr>
          <w:rFonts w:ascii="宋体" w:hAnsi="宋体" w:eastAsia="宋体" w:cs="宋体"/>
          <w:sz w:val="24"/>
          <w:szCs w:val="24"/>
        </w:rPr>
      </w:pPr>
      <w:r>
        <w:rPr>
          <w:rFonts w:ascii="宋体" w:hAnsi="宋体" w:eastAsia="宋体" w:cs="宋体"/>
          <w:spacing w:val="-2"/>
          <w:sz w:val="24"/>
          <w:szCs w:val="24"/>
        </w:rPr>
        <w:t>在严格执行本报告提出的防治措施的前提下，本项目的事故所造成的风险是可接受</w:t>
      </w:r>
      <w:r>
        <w:rPr>
          <w:rFonts w:ascii="宋体" w:hAnsi="宋体" w:eastAsia="宋体" w:cs="宋体"/>
          <w:spacing w:val="12"/>
          <w:sz w:val="24"/>
          <w:szCs w:val="24"/>
        </w:rPr>
        <w:t xml:space="preserve"> </w:t>
      </w:r>
      <w:r>
        <w:rPr>
          <w:rFonts w:ascii="宋体" w:hAnsi="宋体" w:eastAsia="宋体" w:cs="宋体"/>
          <w:spacing w:val="-2"/>
          <w:sz w:val="24"/>
          <w:szCs w:val="24"/>
        </w:rPr>
        <w:t>的，本项目的环境风险是可以接受的。</w:t>
      </w:r>
    </w:p>
    <w:p w14:paraId="4887FFB6">
      <w:pPr>
        <w:spacing w:before="81" w:line="228" w:lineRule="auto"/>
        <w:ind w:left="37"/>
        <w:outlineLvl w:val="1"/>
        <w:rPr>
          <w:rFonts w:ascii="黑体" w:hAnsi="黑体" w:eastAsia="黑体" w:cs="黑体"/>
          <w:sz w:val="31"/>
          <w:szCs w:val="31"/>
        </w:rPr>
      </w:pPr>
      <w:bookmarkStart w:id="505" w:name="bookmark478"/>
      <w:bookmarkEnd w:id="505"/>
      <w:r>
        <w:rPr>
          <w:rFonts w:ascii="Times New Roman" w:hAnsi="Times New Roman" w:eastAsia="Times New Roman" w:cs="Times New Roman"/>
          <w:spacing w:val="-1"/>
          <w:sz w:val="31"/>
          <w:szCs w:val="31"/>
        </w:rPr>
        <w:t>10.7</w:t>
      </w:r>
      <w:r>
        <w:rPr>
          <w:rFonts w:ascii="Times New Roman" w:hAnsi="Times New Roman" w:eastAsia="Times New Roman" w:cs="Times New Roman"/>
          <w:spacing w:val="27"/>
          <w:sz w:val="31"/>
          <w:szCs w:val="31"/>
        </w:rPr>
        <w:t xml:space="preserve"> </w:t>
      </w:r>
      <w:r>
        <w:rPr>
          <w:rFonts w:ascii="黑体" w:hAnsi="黑体" w:eastAsia="黑体" w:cs="黑体"/>
          <w:spacing w:val="-1"/>
          <w:sz w:val="31"/>
          <w:szCs w:val="31"/>
        </w:rPr>
        <w:t>总量控制</w:t>
      </w:r>
    </w:p>
    <w:p w14:paraId="5730B301">
      <w:pPr>
        <w:spacing w:before="225" w:line="367" w:lineRule="auto"/>
        <w:ind w:left="4" w:right="80" w:firstLine="485"/>
        <w:rPr>
          <w:rFonts w:ascii="宋体" w:hAnsi="宋体" w:eastAsia="宋体" w:cs="宋体"/>
          <w:sz w:val="24"/>
          <w:szCs w:val="24"/>
        </w:rPr>
      </w:pPr>
      <w:r>
        <w:rPr>
          <w:rFonts w:ascii="宋体" w:hAnsi="宋体" w:eastAsia="宋体" w:cs="宋体"/>
          <w:spacing w:val="-2"/>
          <w:sz w:val="24"/>
          <w:szCs w:val="24"/>
        </w:rPr>
        <w:t>根据国家关于总量控制的有关要求，并结合项目污染物排放及周围环境状况，项目</w:t>
      </w:r>
      <w:r>
        <w:rPr>
          <w:rFonts w:ascii="宋体" w:hAnsi="宋体" w:eastAsia="宋体" w:cs="宋体"/>
          <w:spacing w:val="11"/>
          <w:sz w:val="24"/>
          <w:szCs w:val="24"/>
        </w:rPr>
        <w:t xml:space="preserve"> </w:t>
      </w:r>
      <w:r>
        <w:rPr>
          <w:rFonts w:ascii="宋体" w:hAnsi="宋体" w:eastAsia="宋体" w:cs="宋体"/>
          <w:spacing w:val="1"/>
          <w:sz w:val="24"/>
          <w:szCs w:val="24"/>
        </w:rPr>
        <w:t>投产后污染物均能达标排放，本项目运营后新增总量指标为：</w:t>
      </w:r>
      <w:r>
        <w:rPr>
          <w:rFonts w:ascii="Times New Roman" w:hAnsi="Times New Roman" w:eastAsia="Times New Roman" w:cs="Times New Roman"/>
          <w:sz w:val="24"/>
          <w:szCs w:val="24"/>
        </w:rPr>
        <w:t>SO</w:t>
      </w:r>
      <w:r>
        <w:rPr>
          <w:rFonts w:ascii="Times New Roman" w:hAnsi="Times New Roman" w:eastAsia="Times New Roman" w:cs="Times New Roman"/>
          <w:spacing w:val="1"/>
          <w:position w:val="-1"/>
          <w:sz w:val="15"/>
          <w:szCs w:val="15"/>
        </w:rPr>
        <w:t xml:space="preserve">2 </w:t>
      </w:r>
      <w:r>
        <w:rPr>
          <w:rFonts w:ascii="宋体" w:hAnsi="宋体" w:eastAsia="宋体" w:cs="宋体"/>
          <w:spacing w:val="1"/>
          <w:sz w:val="24"/>
          <w:szCs w:val="24"/>
        </w:rPr>
        <w:t>：</w:t>
      </w:r>
      <w:r>
        <w:rPr>
          <w:rFonts w:ascii="Times New Roman" w:hAnsi="Times New Roman" w:eastAsia="Times New Roman" w:cs="Times New Roman"/>
          <w:spacing w:val="1"/>
          <w:sz w:val="24"/>
          <w:szCs w:val="24"/>
        </w:rPr>
        <w:t>109.34t/a</w:t>
      </w:r>
      <w:r>
        <w:rPr>
          <w:rFonts w:ascii="Times New Roman" w:hAnsi="Times New Roman" w:eastAsia="Times New Roman" w:cs="Times New Roman"/>
          <w:spacing w:val="-27"/>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z w:val="24"/>
          <w:szCs w:val="24"/>
        </w:rPr>
        <w:t>NOx</w:t>
      </w:r>
      <w:r>
        <w:rPr>
          <w:rFonts w:ascii="宋体" w:hAnsi="宋体" w:eastAsia="宋体" w:cs="宋体"/>
          <w:spacing w:val="1"/>
          <w:sz w:val="24"/>
          <w:szCs w:val="24"/>
        </w:rPr>
        <w:t>：</w:t>
      </w:r>
      <w:r>
        <w:rPr>
          <w:rFonts w:ascii="宋体" w:hAnsi="宋体" w:eastAsia="宋体" w:cs="宋体"/>
          <w:sz w:val="24"/>
          <w:szCs w:val="24"/>
        </w:rPr>
        <w:t xml:space="preserve"> </w:t>
      </w:r>
      <w:r>
        <w:rPr>
          <w:rFonts w:ascii="Times New Roman" w:hAnsi="Times New Roman" w:eastAsia="Times New Roman" w:cs="Times New Roman"/>
          <w:spacing w:val="-1"/>
          <w:sz w:val="24"/>
          <w:szCs w:val="24"/>
        </w:rPr>
        <w:t>477.80t/a</w:t>
      </w:r>
      <w:r>
        <w:rPr>
          <w:rFonts w:ascii="Times New Roman" w:hAnsi="Times New Roman" w:eastAsia="Times New Roman" w:cs="Times New Roman"/>
          <w:spacing w:val="-34"/>
          <w:sz w:val="24"/>
          <w:szCs w:val="24"/>
        </w:rPr>
        <w:t xml:space="preserve"> </w:t>
      </w:r>
      <w:r>
        <w:rPr>
          <w:rFonts w:ascii="宋体" w:hAnsi="宋体" w:eastAsia="宋体" w:cs="宋体"/>
          <w:spacing w:val="-1"/>
          <w:sz w:val="24"/>
          <w:szCs w:val="24"/>
        </w:rPr>
        <w:t>，</w:t>
      </w:r>
      <w:r>
        <w:rPr>
          <w:rFonts w:ascii="Times New Roman" w:hAnsi="Times New Roman" w:eastAsia="Times New Roman" w:cs="Times New Roman"/>
          <w:spacing w:val="-1"/>
          <w:sz w:val="24"/>
          <w:szCs w:val="24"/>
        </w:rPr>
        <w:t>COD</w:t>
      </w:r>
      <w:r>
        <w:rPr>
          <w:rFonts w:ascii="Times New Roman" w:hAnsi="Times New Roman" w:eastAsia="Times New Roman" w:cs="Times New Roman"/>
          <w:spacing w:val="-1"/>
          <w:position w:val="-1"/>
          <w:sz w:val="15"/>
          <w:szCs w:val="15"/>
        </w:rPr>
        <w:t>Cr</w:t>
      </w:r>
      <w:r>
        <w:rPr>
          <w:rFonts w:ascii="宋体" w:hAnsi="宋体" w:eastAsia="宋体" w:cs="宋体"/>
          <w:spacing w:val="-1"/>
          <w:sz w:val="24"/>
          <w:szCs w:val="24"/>
        </w:rPr>
        <w:t>：</w:t>
      </w:r>
      <w:r>
        <w:rPr>
          <w:rFonts w:ascii="Times New Roman" w:hAnsi="Times New Roman" w:eastAsia="Times New Roman" w:cs="Times New Roman"/>
          <w:spacing w:val="-1"/>
          <w:sz w:val="24"/>
          <w:szCs w:val="24"/>
        </w:rPr>
        <w:t>0.2</w:t>
      </w:r>
      <w:r>
        <w:rPr>
          <w:rFonts w:ascii="Times New Roman" w:hAnsi="Times New Roman" w:eastAsia="Times New Roman" w:cs="Times New Roman"/>
          <w:spacing w:val="-2"/>
          <w:sz w:val="24"/>
          <w:szCs w:val="24"/>
        </w:rPr>
        <w:t>74t/a</w:t>
      </w:r>
      <w:r>
        <w:rPr>
          <w:rFonts w:ascii="Times New Roman" w:hAnsi="Times New Roman" w:eastAsia="Times New Roman" w:cs="Times New Roman"/>
          <w:spacing w:val="-32"/>
          <w:sz w:val="24"/>
          <w:szCs w:val="24"/>
        </w:rPr>
        <w:t xml:space="preserve"> </w:t>
      </w:r>
      <w:r>
        <w:rPr>
          <w:rFonts w:ascii="宋体" w:hAnsi="宋体" w:eastAsia="宋体" w:cs="宋体"/>
          <w:spacing w:val="-2"/>
          <w:sz w:val="24"/>
          <w:szCs w:val="24"/>
        </w:rPr>
        <w:t>，氨氮：</w:t>
      </w:r>
      <w:r>
        <w:rPr>
          <w:rFonts w:ascii="Times New Roman" w:hAnsi="Times New Roman" w:eastAsia="Times New Roman" w:cs="Times New Roman"/>
          <w:spacing w:val="-2"/>
          <w:sz w:val="24"/>
          <w:szCs w:val="24"/>
        </w:rPr>
        <w:t>0.094t/a</w:t>
      </w:r>
      <w:r>
        <w:rPr>
          <w:rFonts w:ascii="宋体" w:hAnsi="宋体" w:eastAsia="宋体" w:cs="宋体"/>
          <w:spacing w:val="-2"/>
          <w:sz w:val="24"/>
          <w:szCs w:val="24"/>
        </w:rPr>
        <w:t>。</w:t>
      </w:r>
    </w:p>
    <w:p w14:paraId="77B2F93D">
      <w:pPr>
        <w:spacing w:before="79" w:line="226" w:lineRule="auto"/>
        <w:ind w:left="37"/>
        <w:outlineLvl w:val="1"/>
        <w:rPr>
          <w:rFonts w:ascii="黑体" w:hAnsi="黑体" w:eastAsia="黑体" w:cs="黑体"/>
          <w:sz w:val="31"/>
          <w:szCs w:val="31"/>
        </w:rPr>
      </w:pPr>
      <w:bookmarkStart w:id="506" w:name="bookmark480"/>
      <w:bookmarkEnd w:id="506"/>
      <w:r>
        <w:rPr>
          <w:rFonts w:ascii="Times New Roman" w:hAnsi="Times New Roman" w:eastAsia="Times New Roman" w:cs="Times New Roman"/>
          <w:spacing w:val="2"/>
          <w:sz w:val="31"/>
          <w:szCs w:val="31"/>
        </w:rPr>
        <w:t xml:space="preserve">10.8 </w:t>
      </w:r>
      <w:r>
        <w:rPr>
          <w:rFonts w:ascii="黑体" w:hAnsi="黑体" w:eastAsia="黑体" w:cs="黑体"/>
          <w:spacing w:val="2"/>
          <w:sz w:val="31"/>
          <w:szCs w:val="31"/>
        </w:rPr>
        <w:t>碳排放评价</w:t>
      </w:r>
    </w:p>
    <w:p w14:paraId="477A3636">
      <w:pPr>
        <w:spacing w:before="230" w:line="367" w:lineRule="auto"/>
        <w:ind w:left="11" w:right="80" w:firstLine="479"/>
        <w:jc w:val="both"/>
        <w:rPr>
          <w:rFonts w:ascii="宋体" w:hAnsi="宋体" w:eastAsia="宋体" w:cs="宋体"/>
          <w:sz w:val="24"/>
          <w:szCs w:val="24"/>
        </w:rPr>
      </w:pPr>
      <w:r>
        <w:rPr>
          <w:rFonts w:ascii="宋体" w:hAnsi="宋体" w:eastAsia="宋体" w:cs="宋体"/>
          <w:spacing w:val="-2"/>
          <w:sz w:val="24"/>
          <w:szCs w:val="24"/>
        </w:rPr>
        <w:t>本项目碳排放总量为</w:t>
      </w:r>
      <w:r>
        <w:rPr>
          <w:rFonts w:ascii="宋体" w:hAnsi="宋体" w:eastAsia="宋体" w:cs="宋体"/>
          <w:spacing w:val="-34"/>
          <w:sz w:val="24"/>
          <w:szCs w:val="24"/>
        </w:rPr>
        <w:t xml:space="preserve"> </w:t>
      </w:r>
      <w:r>
        <w:rPr>
          <w:rFonts w:ascii="Times New Roman" w:hAnsi="Times New Roman" w:eastAsia="Times New Roman" w:cs="Times New Roman"/>
          <w:spacing w:val="-2"/>
          <w:sz w:val="24"/>
          <w:szCs w:val="24"/>
        </w:rPr>
        <w:t>1483117.07tCO</w:t>
      </w:r>
      <w:r>
        <w:rPr>
          <w:rFonts w:ascii="Times New Roman" w:hAnsi="Times New Roman" w:eastAsia="Times New Roman" w:cs="Times New Roman"/>
          <w:spacing w:val="-2"/>
          <w:position w:val="-1"/>
          <w:sz w:val="15"/>
          <w:szCs w:val="15"/>
        </w:rPr>
        <w:t>2</w:t>
      </w:r>
      <w:r>
        <w:rPr>
          <w:rFonts w:ascii="Times New Roman" w:hAnsi="Times New Roman" w:eastAsia="Times New Roman" w:cs="Times New Roman"/>
          <w:spacing w:val="-7"/>
          <w:position w:val="-1"/>
          <w:sz w:val="15"/>
          <w:szCs w:val="15"/>
        </w:rPr>
        <w:t xml:space="preserve"> </w:t>
      </w:r>
      <w:r>
        <w:rPr>
          <w:rFonts w:ascii="宋体" w:hAnsi="宋体" w:eastAsia="宋体" w:cs="宋体"/>
          <w:spacing w:val="-2"/>
          <w:sz w:val="24"/>
          <w:szCs w:val="24"/>
        </w:rPr>
        <w:t>，工业增加值为</w:t>
      </w:r>
      <w:r>
        <w:rPr>
          <w:rFonts w:ascii="宋体" w:hAnsi="宋体" w:eastAsia="宋体" w:cs="宋体"/>
          <w:spacing w:val="-32"/>
          <w:sz w:val="24"/>
          <w:szCs w:val="24"/>
        </w:rPr>
        <w:t xml:space="preserve"> </w:t>
      </w:r>
      <w:r>
        <w:rPr>
          <w:rFonts w:ascii="Times New Roman" w:hAnsi="Times New Roman" w:eastAsia="Times New Roman" w:cs="Times New Roman"/>
          <w:spacing w:val="-2"/>
          <w:sz w:val="24"/>
          <w:szCs w:val="24"/>
        </w:rPr>
        <w:t>134963.85</w:t>
      </w:r>
      <w:r>
        <w:rPr>
          <w:rFonts w:ascii="Times New Roman" w:hAnsi="Times New Roman" w:eastAsia="Times New Roman" w:cs="Times New Roman"/>
          <w:spacing w:val="15"/>
          <w:sz w:val="24"/>
          <w:szCs w:val="24"/>
        </w:rPr>
        <w:t xml:space="preserve"> </w:t>
      </w:r>
      <w:r>
        <w:rPr>
          <w:rFonts w:ascii="宋体" w:hAnsi="宋体" w:eastAsia="宋体" w:cs="宋体"/>
          <w:spacing w:val="-2"/>
          <w:sz w:val="24"/>
          <w:szCs w:val="24"/>
        </w:rPr>
        <w:t>万元，</w:t>
      </w:r>
      <w:r>
        <w:rPr>
          <w:rFonts w:ascii="宋体" w:hAnsi="宋体" w:eastAsia="宋体" w:cs="宋体"/>
          <w:spacing w:val="-3"/>
          <w:sz w:val="24"/>
          <w:szCs w:val="24"/>
        </w:rPr>
        <w:t>计算得出项</w:t>
      </w:r>
      <w:r>
        <w:rPr>
          <w:rFonts w:ascii="宋体" w:hAnsi="宋体" w:eastAsia="宋体" w:cs="宋体"/>
          <w:sz w:val="24"/>
          <w:szCs w:val="24"/>
        </w:rPr>
        <w:t xml:space="preserve"> </w:t>
      </w:r>
      <w:r>
        <w:rPr>
          <w:rFonts w:ascii="宋体" w:hAnsi="宋体" w:eastAsia="宋体" w:cs="宋体"/>
          <w:spacing w:val="-1"/>
          <w:sz w:val="24"/>
          <w:szCs w:val="24"/>
        </w:rPr>
        <w:t>目碳排放强度为</w:t>
      </w:r>
      <w:r>
        <w:rPr>
          <w:rFonts w:ascii="宋体" w:hAnsi="宋体" w:eastAsia="宋体" w:cs="宋体"/>
          <w:spacing w:val="-22"/>
          <w:sz w:val="24"/>
          <w:szCs w:val="24"/>
        </w:rPr>
        <w:t xml:space="preserve"> </w:t>
      </w:r>
      <w:r>
        <w:rPr>
          <w:rFonts w:ascii="Times New Roman" w:hAnsi="Times New Roman" w:eastAsia="Times New Roman" w:cs="Times New Roman"/>
          <w:spacing w:val="-1"/>
          <w:sz w:val="24"/>
          <w:szCs w:val="24"/>
        </w:rPr>
        <w:t>10.99tCO</w:t>
      </w:r>
      <w:r>
        <w:rPr>
          <w:rFonts w:ascii="Times New Roman" w:hAnsi="Times New Roman" w:eastAsia="Times New Roman" w:cs="Times New Roman"/>
          <w:spacing w:val="-1"/>
          <w:position w:val="-1"/>
          <w:sz w:val="15"/>
          <w:szCs w:val="15"/>
        </w:rPr>
        <w:t>2</w:t>
      </w:r>
      <w:r>
        <w:rPr>
          <w:rFonts w:ascii="Times New Roman" w:hAnsi="Times New Roman" w:eastAsia="Times New Roman" w:cs="Times New Roman"/>
          <w:spacing w:val="-1"/>
          <w:sz w:val="24"/>
          <w:szCs w:val="24"/>
        </w:rPr>
        <w:t>/</w:t>
      </w:r>
      <w:r>
        <w:rPr>
          <w:rFonts w:ascii="宋体" w:hAnsi="宋体" w:eastAsia="宋体" w:cs="宋体"/>
          <w:spacing w:val="-1"/>
          <w:sz w:val="24"/>
          <w:szCs w:val="24"/>
        </w:rPr>
        <w:t>万元。建设单位应通过节能技改、绿色电力、密闭操作、电</w:t>
      </w:r>
      <w:r>
        <w:rPr>
          <w:rFonts w:ascii="宋体" w:hAnsi="宋体" w:eastAsia="宋体" w:cs="宋体"/>
          <w:sz w:val="24"/>
          <w:szCs w:val="24"/>
        </w:rPr>
        <w:t xml:space="preserve"> </w:t>
      </w:r>
      <w:r>
        <w:rPr>
          <w:rFonts w:ascii="宋体" w:hAnsi="宋体" w:eastAsia="宋体" w:cs="宋体"/>
          <w:spacing w:val="-1"/>
          <w:sz w:val="24"/>
          <w:szCs w:val="24"/>
        </w:rPr>
        <w:t>车运输物料以及持续清洁生产等措施进行减碳减排。</w:t>
      </w:r>
    </w:p>
    <w:p w14:paraId="52337D33">
      <w:pPr>
        <w:spacing w:before="79" w:line="228" w:lineRule="auto"/>
        <w:ind w:left="37"/>
        <w:outlineLvl w:val="1"/>
        <w:rPr>
          <w:rFonts w:ascii="黑体" w:hAnsi="黑体" w:eastAsia="黑体" w:cs="黑体"/>
          <w:sz w:val="31"/>
          <w:szCs w:val="31"/>
        </w:rPr>
      </w:pPr>
      <w:bookmarkStart w:id="507" w:name="bookmark482"/>
      <w:bookmarkEnd w:id="507"/>
      <w:r>
        <w:rPr>
          <w:rFonts w:ascii="Times New Roman" w:hAnsi="Times New Roman" w:eastAsia="Times New Roman" w:cs="Times New Roman"/>
          <w:sz w:val="31"/>
          <w:szCs w:val="31"/>
        </w:rPr>
        <w:t>10.9</w:t>
      </w:r>
      <w:r>
        <w:rPr>
          <w:rFonts w:ascii="Times New Roman" w:hAnsi="Times New Roman" w:eastAsia="Times New Roman" w:cs="Times New Roman"/>
          <w:spacing w:val="19"/>
          <w:sz w:val="31"/>
          <w:szCs w:val="31"/>
        </w:rPr>
        <w:t xml:space="preserve"> </w:t>
      </w:r>
      <w:r>
        <w:rPr>
          <w:rFonts w:ascii="黑体" w:hAnsi="黑体" w:eastAsia="黑体" w:cs="黑体"/>
          <w:sz w:val="31"/>
          <w:szCs w:val="31"/>
        </w:rPr>
        <w:t>公众参与</w:t>
      </w:r>
    </w:p>
    <w:p w14:paraId="54FF72D6">
      <w:pPr>
        <w:spacing w:before="230" w:line="371" w:lineRule="auto"/>
        <w:ind w:left="8" w:firstLine="481"/>
        <w:jc w:val="both"/>
        <w:rPr>
          <w:rFonts w:ascii="宋体" w:hAnsi="宋体" w:eastAsia="宋体" w:cs="宋体"/>
          <w:sz w:val="24"/>
          <w:szCs w:val="24"/>
        </w:rPr>
      </w:pPr>
      <w:r>
        <w:rPr>
          <w:rFonts w:ascii="宋体" w:hAnsi="宋体" w:eastAsia="宋体" w:cs="宋体"/>
          <w:spacing w:val="-2"/>
          <w:sz w:val="24"/>
          <w:szCs w:val="24"/>
        </w:rPr>
        <w:t>本项目建设性质、规模等均符合锡林郭勒盟苏尼特右旗朱日和工业园区规划，根据</w:t>
      </w:r>
      <w:r>
        <w:rPr>
          <w:rFonts w:ascii="宋体" w:hAnsi="宋体" w:eastAsia="宋体" w:cs="宋体"/>
          <w:spacing w:val="10"/>
          <w:sz w:val="24"/>
          <w:szCs w:val="24"/>
        </w:rPr>
        <w:t xml:space="preserve"> </w:t>
      </w:r>
      <w:r>
        <w:rPr>
          <w:rFonts w:ascii="宋体" w:hAnsi="宋体" w:eastAsia="宋体" w:cs="宋体"/>
          <w:spacing w:val="-1"/>
          <w:sz w:val="24"/>
          <w:szCs w:val="24"/>
        </w:rPr>
        <w:t>《环境影响评价公众参与办法》，环评公众参与可</w:t>
      </w:r>
      <w:r>
        <w:rPr>
          <w:rFonts w:ascii="宋体" w:hAnsi="宋体" w:eastAsia="宋体" w:cs="宋体"/>
          <w:spacing w:val="-2"/>
          <w:sz w:val="24"/>
          <w:szCs w:val="24"/>
        </w:rPr>
        <w:t>予以简化。</w:t>
      </w:r>
      <w:r>
        <w:rPr>
          <w:rFonts w:ascii="Times New Roman" w:hAnsi="Times New Roman" w:eastAsia="Times New Roman" w:cs="Times New Roman"/>
          <w:spacing w:val="-2"/>
          <w:sz w:val="24"/>
          <w:szCs w:val="24"/>
        </w:rPr>
        <w:t>2024</w:t>
      </w:r>
      <w:r>
        <w:rPr>
          <w:rFonts w:ascii="宋体" w:hAnsi="宋体" w:eastAsia="宋体" w:cs="宋体"/>
          <w:spacing w:val="-2"/>
          <w:sz w:val="24"/>
          <w:szCs w:val="24"/>
        </w:rPr>
        <w:t>年</w:t>
      </w:r>
      <w:r>
        <w:rPr>
          <w:rFonts w:ascii="Times New Roman" w:hAnsi="Times New Roman" w:eastAsia="Times New Roman" w:cs="Times New Roman"/>
          <w:spacing w:val="-2"/>
          <w:sz w:val="24"/>
          <w:szCs w:val="24"/>
        </w:rPr>
        <w:t>11</w:t>
      </w:r>
      <w:r>
        <w:rPr>
          <w:rFonts w:ascii="宋体" w:hAnsi="宋体" w:eastAsia="宋体" w:cs="宋体"/>
          <w:spacing w:val="-2"/>
          <w:sz w:val="24"/>
          <w:szCs w:val="24"/>
        </w:rPr>
        <w:t>月期间，建设单</w:t>
      </w:r>
      <w:r>
        <w:rPr>
          <w:rFonts w:ascii="宋体" w:hAnsi="宋体" w:eastAsia="宋体" w:cs="宋体"/>
          <w:sz w:val="24"/>
          <w:szCs w:val="24"/>
        </w:rPr>
        <w:t xml:space="preserve"> </w:t>
      </w:r>
      <w:r>
        <w:rPr>
          <w:rFonts w:ascii="宋体" w:hAnsi="宋体" w:eastAsia="宋体" w:cs="宋体"/>
          <w:spacing w:val="5"/>
          <w:sz w:val="24"/>
          <w:szCs w:val="24"/>
        </w:rPr>
        <w:t>位采取在生态环境公示网网站公示和在当地主流报纸公示两种方式进行了</w:t>
      </w:r>
      <w:r>
        <w:rPr>
          <w:rFonts w:ascii="宋体" w:hAnsi="宋体" w:eastAsia="宋体" w:cs="宋体"/>
          <w:spacing w:val="4"/>
          <w:sz w:val="24"/>
          <w:szCs w:val="24"/>
        </w:rPr>
        <w:t>本项目的环</w:t>
      </w:r>
      <w:r>
        <w:rPr>
          <w:rFonts w:ascii="宋体" w:hAnsi="宋体" w:eastAsia="宋体" w:cs="宋体"/>
          <w:sz w:val="24"/>
          <w:szCs w:val="24"/>
        </w:rPr>
        <w:t xml:space="preserve"> </w:t>
      </w:r>
      <w:r>
        <w:rPr>
          <w:rFonts w:ascii="宋体" w:hAnsi="宋体" w:eastAsia="宋体" w:cs="宋体"/>
          <w:spacing w:val="-2"/>
          <w:sz w:val="24"/>
          <w:szCs w:val="24"/>
        </w:rPr>
        <w:t>评公众参与公示，并在网上发布了网络公参表供公众下载填写。在整个公示期内业主没</w:t>
      </w:r>
      <w:r>
        <w:rPr>
          <w:rFonts w:ascii="宋体" w:hAnsi="宋体" w:eastAsia="宋体" w:cs="宋体"/>
          <w:spacing w:val="16"/>
          <w:sz w:val="24"/>
          <w:szCs w:val="24"/>
        </w:rPr>
        <w:t xml:space="preserve"> </w:t>
      </w:r>
      <w:r>
        <w:rPr>
          <w:rFonts w:ascii="宋体" w:hAnsi="宋体" w:eastAsia="宋体" w:cs="宋体"/>
          <w:spacing w:val="-6"/>
          <w:sz w:val="24"/>
          <w:szCs w:val="24"/>
        </w:rPr>
        <w:t>有收到公众和其他团体的电话、网络意见反馈；也未收到居民反馈回的网络公参调查表。</w:t>
      </w:r>
      <w:r>
        <w:rPr>
          <w:rFonts w:ascii="宋体" w:hAnsi="宋体" w:eastAsia="宋体" w:cs="宋体"/>
          <w:spacing w:val="14"/>
          <w:sz w:val="24"/>
          <w:szCs w:val="24"/>
        </w:rPr>
        <w:t xml:space="preserve"> </w:t>
      </w:r>
      <w:r>
        <w:rPr>
          <w:rFonts w:ascii="宋体" w:hAnsi="宋体" w:eastAsia="宋体" w:cs="宋体"/>
          <w:spacing w:val="-1"/>
          <w:sz w:val="24"/>
          <w:szCs w:val="24"/>
        </w:rPr>
        <w:t>说明公众支持该项目的建设，没有人持反对意见。</w:t>
      </w:r>
    </w:p>
    <w:p w14:paraId="10EFA615">
      <w:pPr>
        <w:spacing w:before="78" w:line="227" w:lineRule="auto"/>
        <w:ind w:left="37"/>
        <w:outlineLvl w:val="1"/>
        <w:rPr>
          <w:rFonts w:ascii="黑体" w:hAnsi="黑体" w:eastAsia="黑体" w:cs="黑体"/>
          <w:sz w:val="31"/>
          <w:szCs w:val="31"/>
        </w:rPr>
      </w:pPr>
      <w:bookmarkStart w:id="508" w:name="bookmark484"/>
      <w:bookmarkEnd w:id="508"/>
      <w:r>
        <w:rPr>
          <w:rFonts w:ascii="Times New Roman" w:hAnsi="Times New Roman" w:eastAsia="Times New Roman" w:cs="Times New Roman"/>
          <w:spacing w:val="-1"/>
          <w:sz w:val="31"/>
          <w:szCs w:val="31"/>
        </w:rPr>
        <w:t>10.</w:t>
      </w:r>
      <w:r>
        <w:rPr>
          <w:rFonts w:ascii="Times New Roman" w:hAnsi="Times New Roman" w:eastAsia="Times New Roman" w:cs="Times New Roman"/>
          <w:spacing w:val="-33"/>
          <w:sz w:val="31"/>
          <w:szCs w:val="31"/>
        </w:rPr>
        <w:t xml:space="preserve"> </w:t>
      </w:r>
      <w:r>
        <w:rPr>
          <w:rFonts w:ascii="Times New Roman" w:hAnsi="Times New Roman" w:eastAsia="Times New Roman" w:cs="Times New Roman"/>
          <w:spacing w:val="-1"/>
          <w:sz w:val="31"/>
          <w:szCs w:val="31"/>
        </w:rPr>
        <w:t xml:space="preserve">10 </w:t>
      </w:r>
      <w:r>
        <w:rPr>
          <w:rFonts w:ascii="黑体" w:hAnsi="黑体" w:eastAsia="黑体" w:cs="黑体"/>
          <w:spacing w:val="-1"/>
          <w:sz w:val="31"/>
          <w:szCs w:val="31"/>
        </w:rPr>
        <w:t>评价总结论</w:t>
      </w:r>
    </w:p>
    <w:p w14:paraId="00206868">
      <w:pPr>
        <w:spacing w:before="226" w:line="372" w:lineRule="auto"/>
        <w:ind w:left="10" w:right="80" w:firstLine="481"/>
        <w:jc w:val="both"/>
        <w:rPr>
          <w:rFonts w:ascii="宋体" w:hAnsi="宋体" w:eastAsia="宋体" w:cs="宋体"/>
          <w:sz w:val="24"/>
          <w:szCs w:val="24"/>
        </w:rPr>
      </w:pPr>
      <w:r>
        <w:rPr>
          <w:rFonts w:ascii="宋体" w:hAnsi="宋体" w:eastAsia="宋体" w:cs="宋体"/>
          <w:spacing w:val="2"/>
          <w:sz w:val="24"/>
          <w:szCs w:val="24"/>
        </w:rPr>
        <w:t>综合以上评价结论可知，本项目建设符合国家和地方相关产业政策；符</w:t>
      </w:r>
      <w:r>
        <w:rPr>
          <w:rFonts w:ascii="宋体" w:hAnsi="宋体" w:eastAsia="宋体" w:cs="宋体"/>
          <w:spacing w:val="1"/>
          <w:sz w:val="24"/>
          <w:szCs w:val="24"/>
        </w:rPr>
        <w:t>合</w:t>
      </w:r>
      <w:r>
        <w:rPr>
          <w:rFonts w:ascii="Times New Roman" w:hAnsi="Times New Roman" w:eastAsia="Times New Roman" w:cs="Times New Roman"/>
          <w:spacing w:val="1"/>
          <w:sz w:val="24"/>
          <w:szCs w:val="24"/>
        </w:rPr>
        <w:t>“</w:t>
      </w:r>
      <w:r>
        <w:rPr>
          <w:rFonts w:ascii="宋体" w:hAnsi="宋体" w:eastAsia="宋体" w:cs="宋体"/>
          <w:spacing w:val="1"/>
          <w:sz w:val="24"/>
          <w:szCs w:val="24"/>
        </w:rPr>
        <w:t>三线一</w:t>
      </w:r>
      <w:r>
        <w:rPr>
          <w:rFonts w:ascii="宋体" w:hAnsi="宋体" w:eastAsia="宋体" w:cs="宋体"/>
          <w:sz w:val="24"/>
          <w:szCs w:val="24"/>
        </w:rPr>
        <w:t xml:space="preserve"> </w:t>
      </w:r>
      <w:r>
        <w:rPr>
          <w:rFonts w:ascii="宋体" w:hAnsi="宋体" w:eastAsia="宋体" w:cs="宋体"/>
          <w:spacing w:val="2"/>
          <w:sz w:val="24"/>
          <w:szCs w:val="24"/>
        </w:rPr>
        <w:t>单</w:t>
      </w:r>
      <w:r>
        <w:rPr>
          <w:rFonts w:ascii="Times New Roman" w:hAnsi="Times New Roman" w:eastAsia="Times New Roman" w:cs="Times New Roman"/>
          <w:spacing w:val="2"/>
          <w:sz w:val="24"/>
          <w:szCs w:val="24"/>
        </w:rPr>
        <w:t>”</w:t>
      </w:r>
      <w:r>
        <w:rPr>
          <w:rFonts w:ascii="宋体" w:hAnsi="宋体" w:eastAsia="宋体" w:cs="宋体"/>
          <w:spacing w:val="2"/>
          <w:sz w:val="24"/>
          <w:szCs w:val="24"/>
        </w:rPr>
        <w:t>要求；项目选址可行、符合园区规划；在采取报告提出的环境保护措施</w:t>
      </w:r>
      <w:r>
        <w:rPr>
          <w:rFonts w:ascii="宋体" w:hAnsi="宋体" w:eastAsia="宋体" w:cs="宋体"/>
          <w:spacing w:val="1"/>
          <w:sz w:val="24"/>
          <w:szCs w:val="24"/>
        </w:rPr>
        <w:t>后，各类污</w:t>
      </w:r>
      <w:r>
        <w:rPr>
          <w:rFonts w:ascii="宋体" w:hAnsi="宋体" w:eastAsia="宋体" w:cs="宋体"/>
          <w:sz w:val="24"/>
          <w:szCs w:val="24"/>
        </w:rPr>
        <w:t xml:space="preserve"> </w:t>
      </w:r>
      <w:r>
        <w:rPr>
          <w:rFonts w:ascii="宋体" w:hAnsi="宋体" w:eastAsia="宋体" w:cs="宋体"/>
          <w:spacing w:val="-2"/>
          <w:sz w:val="24"/>
          <w:szCs w:val="24"/>
        </w:rPr>
        <w:t>染物可做到达标排放；对区域产生的环境影响在可接受范围内，不会改变区域内的环境</w:t>
      </w:r>
      <w:r>
        <w:rPr>
          <w:rFonts w:ascii="宋体" w:hAnsi="宋体" w:eastAsia="宋体" w:cs="宋体"/>
          <w:spacing w:val="14"/>
          <w:sz w:val="24"/>
          <w:szCs w:val="24"/>
        </w:rPr>
        <w:t xml:space="preserve"> </w:t>
      </w:r>
      <w:r>
        <w:rPr>
          <w:rFonts w:ascii="宋体" w:hAnsi="宋体" w:eastAsia="宋体" w:cs="宋体"/>
          <w:spacing w:val="-2"/>
          <w:sz w:val="24"/>
          <w:szCs w:val="24"/>
        </w:rPr>
        <w:t>功能；项目的实施将带来一定的经济效益和较为显著的社会效益；公众参与调查显示公</w:t>
      </w:r>
      <w:r>
        <w:rPr>
          <w:rFonts w:ascii="宋体" w:hAnsi="宋体" w:eastAsia="宋体" w:cs="宋体"/>
          <w:spacing w:val="14"/>
          <w:sz w:val="24"/>
          <w:szCs w:val="24"/>
        </w:rPr>
        <w:t xml:space="preserve"> </w:t>
      </w:r>
      <w:r>
        <w:rPr>
          <w:rFonts w:ascii="宋体" w:hAnsi="宋体" w:eastAsia="宋体" w:cs="宋体"/>
          <w:spacing w:val="-2"/>
          <w:sz w:val="24"/>
          <w:szCs w:val="24"/>
        </w:rPr>
        <w:t>众同意本项目的建设，未出现反对意见。因此，从环境保护角度分析，本项目的建设是</w:t>
      </w:r>
      <w:r>
        <w:rPr>
          <w:rFonts w:ascii="宋体" w:hAnsi="宋体" w:eastAsia="宋体" w:cs="宋体"/>
          <w:spacing w:val="14"/>
          <w:sz w:val="24"/>
          <w:szCs w:val="24"/>
        </w:rPr>
        <w:t xml:space="preserve"> </w:t>
      </w:r>
      <w:r>
        <w:rPr>
          <w:rFonts w:ascii="宋体" w:hAnsi="宋体" w:eastAsia="宋体" w:cs="宋体"/>
          <w:spacing w:val="-3"/>
          <w:sz w:val="24"/>
          <w:szCs w:val="24"/>
        </w:rPr>
        <w:t>可行的。</w:t>
      </w:r>
    </w:p>
    <w:p w14:paraId="7702FE47">
      <w:pPr>
        <w:spacing w:line="372" w:lineRule="auto"/>
        <w:rPr>
          <w:rFonts w:ascii="宋体" w:hAnsi="宋体" w:eastAsia="宋体" w:cs="宋体"/>
          <w:sz w:val="24"/>
          <w:szCs w:val="24"/>
        </w:rPr>
        <w:sectPr>
          <w:headerReference r:id="rId531" w:type="default"/>
          <w:footerReference r:id="rId532" w:type="default"/>
          <w:pgSz w:w="11906" w:h="16839"/>
          <w:pgMar w:top="1190" w:right="1337" w:bottom="1221" w:left="1418" w:header="882" w:footer="1059" w:gutter="0"/>
          <w:cols w:space="720" w:num="1"/>
        </w:sectPr>
      </w:pPr>
    </w:p>
    <w:p w14:paraId="53B7C43A">
      <w:pPr>
        <w:spacing w:line="28" w:lineRule="exact"/>
      </w:pPr>
      <w:r>
        <w:pict>
          <v:shape id="_x0000_s3111" o:spid="_x0000_s3111" style="height:1.45pt;width:451.3pt;" fillcolor="#000000" filled="t" stroked="f" coordsize="9025,29" path="m0,0l9025,0,9025,28,0,28,0,0xe">
            <v:path/>
            <v:fill on="t" focussize="0,0"/>
            <v:stroke on="f"/>
            <v:imagedata o:title=""/>
            <o:lock v:ext="edit"/>
            <w10:wrap type="none"/>
            <w10:anchorlock/>
          </v:shape>
        </w:pict>
      </w:r>
    </w:p>
    <w:p w14:paraId="465AB57E">
      <w:pPr>
        <w:spacing w:before="253" w:line="219" w:lineRule="auto"/>
        <w:ind w:left="28"/>
        <w:outlineLvl w:val="0"/>
        <w:rPr>
          <w:rFonts w:ascii="宋体" w:hAnsi="宋体" w:eastAsia="宋体" w:cs="宋体"/>
          <w:sz w:val="24"/>
          <w:szCs w:val="24"/>
        </w:rPr>
      </w:pPr>
      <w:r>
        <w:rPr>
          <w:rFonts w:ascii="宋体" w:hAnsi="宋体" w:eastAsia="宋体" w:cs="宋体"/>
          <w:b/>
          <w:bCs/>
          <w:spacing w:val="-13"/>
          <w:sz w:val="24"/>
          <w:szCs w:val="24"/>
        </w:rPr>
        <w:t>附件</w:t>
      </w:r>
      <w:r>
        <w:rPr>
          <w:rFonts w:ascii="宋体" w:hAnsi="宋体" w:eastAsia="宋体" w:cs="宋体"/>
          <w:spacing w:val="-41"/>
          <w:sz w:val="24"/>
          <w:szCs w:val="24"/>
        </w:rPr>
        <w:t xml:space="preserve"> </w:t>
      </w:r>
      <w:r>
        <w:rPr>
          <w:rFonts w:ascii="Times New Roman" w:hAnsi="Times New Roman" w:eastAsia="Times New Roman" w:cs="Times New Roman"/>
          <w:b/>
          <w:bCs/>
          <w:spacing w:val="-13"/>
          <w:sz w:val="24"/>
          <w:szCs w:val="24"/>
        </w:rPr>
        <w:t>1</w:t>
      </w:r>
      <w:r>
        <w:rPr>
          <w:rFonts w:ascii="Times New Roman" w:hAnsi="Times New Roman" w:eastAsia="Times New Roman" w:cs="Times New Roman"/>
          <w:b/>
          <w:bCs/>
          <w:spacing w:val="-30"/>
          <w:sz w:val="24"/>
          <w:szCs w:val="24"/>
        </w:rPr>
        <w:t xml:space="preserve"> </w:t>
      </w:r>
      <w:r>
        <w:rPr>
          <w:rFonts w:ascii="宋体" w:hAnsi="宋体" w:eastAsia="宋体" w:cs="宋体"/>
          <w:b/>
          <w:bCs/>
          <w:spacing w:val="-13"/>
          <w:sz w:val="24"/>
          <w:szCs w:val="24"/>
        </w:rPr>
        <w:t>：委托书</w:t>
      </w:r>
    </w:p>
    <w:p w14:paraId="0F17F5CA">
      <w:pPr>
        <w:pStyle w:val="2"/>
        <w:spacing w:line="253" w:lineRule="auto"/>
      </w:pPr>
    </w:p>
    <w:p w14:paraId="3E76D8C5">
      <w:pPr>
        <w:pStyle w:val="2"/>
        <w:spacing w:line="253" w:lineRule="auto"/>
      </w:pPr>
    </w:p>
    <w:p w14:paraId="32CF7A3D">
      <w:pPr>
        <w:spacing w:before="101" w:line="224" w:lineRule="auto"/>
        <w:ind w:left="3722"/>
        <w:rPr>
          <w:rFonts w:ascii="宋体" w:hAnsi="宋体" w:eastAsia="宋体" w:cs="宋体"/>
          <w:sz w:val="31"/>
          <w:szCs w:val="31"/>
        </w:rPr>
      </w:pPr>
      <w:bookmarkStart w:id="509" w:name="bookmark487"/>
      <w:bookmarkEnd w:id="509"/>
      <w:r>
        <w:rPr>
          <w:rFonts w:ascii="宋体" w:hAnsi="宋体" w:eastAsia="宋体" w:cs="宋体"/>
          <w:b/>
          <w:bCs/>
          <w:spacing w:val="4"/>
          <w:sz w:val="31"/>
          <w:szCs w:val="31"/>
        </w:rPr>
        <w:t>环评委托书</w:t>
      </w:r>
    </w:p>
    <w:p w14:paraId="53E999E0">
      <w:pPr>
        <w:pStyle w:val="2"/>
        <w:spacing w:line="264" w:lineRule="auto"/>
      </w:pPr>
    </w:p>
    <w:p w14:paraId="3E60C501">
      <w:pPr>
        <w:pStyle w:val="2"/>
        <w:spacing w:line="265" w:lineRule="auto"/>
      </w:pPr>
    </w:p>
    <w:p w14:paraId="418833DE">
      <w:pPr>
        <w:pStyle w:val="2"/>
        <w:spacing w:line="265" w:lineRule="auto"/>
      </w:pPr>
    </w:p>
    <w:p w14:paraId="797DAECF">
      <w:pPr>
        <w:pStyle w:val="2"/>
        <w:spacing w:line="265" w:lineRule="auto"/>
      </w:pPr>
    </w:p>
    <w:p w14:paraId="27D83585">
      <w:pPr>
        <w:spacing w:before="98" w:line="219" w:lineRule="auto"/>
        <w:ind w:left="10"/>
        <w:rPr>
          <w:rFonts w:ascii="宋体" w:hAnsi="宋体" w:eastAsia="宋体" w:cs="宋体"/>
          <w:sz w:val="30"/>
          <w:szCs w:val="30"/>
        </w:rPr>
      </w:pPr>
      <w:r>
        <w:fldChar w:fldCharType="begin"/>
      </w:r>
      <w:r>
        <w:instrText xml:space="preserve"> HYPERLINK "javascript:viewHomeCompanyInfoView('837888556843152585')" </w:instrText>
      </w:r>
      <w:r>
        <w:fldChar w:fldCharType="separate"/>
      </w:r>
      <w:r>
        <w:rPr>
          <w:rFonts w:ascii="宋体" w:hAnsi="宋体" w:eastAsia="宋体" w:cs="宋体"/>
          <w:spacing w:val="-1"/>
          <w:sz w:val="30"/>
          <w:szCs w:val="30"/>
        </w:rPr>
        <w:t>锡林郭勒盟格林蓝环境科技有限公司</w:t>
      </w:r>
      <w:r>
        <w:rPr>
          <w:rFonts w:ascii="宋体" w:hAnsi="宋体" w:eastAsia="宋体" w:cs="宋体"/>
          <w:spacing w:val="-1"/>
          <w:sz w:val="30"/>
          <w:szCs w:val="30"/>
        </w:rPr>
        <w:fldChar w:fldCharType="end"/>
      </w:r>
      <w:r>
        <w:rPr>
          <w:rFonts w:ascii="宋体" w:hAnsi="宋体" w:eastAsia="宋体" w:cs="宋体"/>
          <w:spacing w:val="-1"/>
          <w:sz w:val="30"/>
          <w:szCs w:val="30"/>
        </w:rPr>
        <w:t>：</w:t>
      </w:r>
    </w:p>
    <w:p w14:paraId="2DE8FEF5">
      <w:pPr>
        <w:spacing w:before="285" w:line="385" w:lineRule="auto"/>
        <w:ind w:left="11" w:right="26" w:firstLine="602"/>
        <w:jc w:val="both"/>
        <w:rPr>
          <w:rFonts w:ascii="宋体" w:hAnsi="宋体" w:eastAsia="宋体" w:cs="宋体"/>
          <w:sz w:val="30"/>
          <w:szCs w:val="30"/>
        </w:rPr>
      </w:pPr>
      <w:r>
        <w:rPr>
          <w:rFonts w:ascii="宋体" w:hAnsi="宋体" w:eastAsia="宋体" w:cs="宋体"/>
          <w:spacing w:val="-1"/>
          <w:sz w:val="30"/>
          <w:szCs w:val="30"/>
        </w:rPr>
        <w:t>依据《中华人民共和国环境影响评价法》、《建设项目环境保护</w:t>
      </w:r>
      <w:r>
        <w:rPr>
          <w:rFonts w:ascii="宋体" w:hAnsi="宋体" w:eastAsia="宋体" w:cs="宋体"/>
          <w:spacing w:val="12"/>
          <w:sz w:val="30"/>
          <w:szCs w:val="30"/>
        </w:rPr>
        <w:t xml:space="preserve"> </w:t>
      </w:r>
      <w:r>
        <w:rPr>
          <w:rFonts w:ascii="宋体" w:hAnsi="宋体" w:eastAsia="宋体" w:cs="宋体"/>
          <w:spacing w:val="-1"/>
          <w:sz w:val="30"/>
          <w:szCs w:val="30"/>
        </w:rPr>
        <w:t>管理条例》及《建设项目环境影响评价分类管理名录》的规定，特委</w:t>
      </w:r>
      <w:r>
        <w:rPr>
          <w:rFonts w:ascii="宋体" w:hAnsi="宋体" w:eastAsia="宋体" w:cs="宋体"/>
          <w:spacing w:val="17"/>
          <w:sz w:val="30"/>
          <w:szCs w:val="30"/>
        </w:rPr>
        <w:t xml:space="preserve"> </w:t>
      </w:r>
      <w:r>
        <w:rPr>
          <w:rFonts w:ascii="宋体" w:hAnsi="宋体" w:eastAsia="宋体" w:cs="宋体"/>
          <w:spacing w:val="2"/>
          <w:sz w:val="30"/>
          <w:szCs w:val="30"/>
        </w:rPr>
        <w:t>托贵单位对</w:t>
      </w:r>
      <w:r>
        <w:rPr>
          <w:rFonts w:ascii="Times New Roman" w:hAnsi="Times New Roman" w:eastAsia="Times New Roman" w:cs="Times New Roman"/>
          <w:spacing w:val="2"/>
          <w:sz w:val="30"/>
          <w:szCs w:val="30"/>
        </w:rPr>
        <w:t>“</w:t>
      </w:r>
      <w:r>
        <w:rPr>
          <w:rFonts w:ascii="宋体" w:hAnsi="宋体" w:eastAsia="宋体" w:cs="宋体"/>
          <w:spacing w:val="2"/>
          <w:sz w:val="30"/>
          <w:szCs w:val="30"/>
        </w:rPr>
        <w:t>内蒙古新创发展科技有限公司一期</w:t>
      </w:r>
      <w:r>
        <w:rPr>
          <w:rFonts w:ascii="Times New Roman" w:hAnsi="Times New Roman" w:eastAsia="Times New Roman" w:cs="Times New Roman"/>
          <w:spacing w:val="2"/>
          <w:sz w:val="30"/>
          <w:szCs w:val="30"/>
        </w:rPr>
        <w:t>6×36</w:t>
      </w:r>
      <w:r>
        <w:rPr>
          <w:rFonts w:ascii="Times New Roman" w:hAnsi="Times New Roman" w:eastAsia="Times New Roman" w:cs="Times New Roman"/>
          <w:sz w:val="30"/>
          <w:szCs w:val="30"/>
        </w:rPr>
        <w:t>MW</w:t>
      </w:r>
      <w:r>
        <w:rPr>
          <w:rFonts w:ascii="Times New Roman" w:hAnsi="Times New Roman" w:eastAsia="Times New Roman" w:cs="Times New Roman"/>
          <w:spacing w:val="2"/>
          <w:sz w:val="30"/>
          <w:szCs w:val="30"/>
        </w:rPr>
        <w:t xml:space="preserve"> </w:t>
      </w:r>
      <w:r>
        <w:rPr>
          <w:rFonts w:ascii="宋体" w:hAnsi="宋体" w:eastAsia="宋体" w:cs="宋体"/>
          <w:spacing w:val="2"/>
          <w:sz w:val="30"/>
          <w:szCs w:val="30"/>
        </w:rPr>
        <w:t>直流锰硅合</w:t>
      </w:r>
      <w:r>
        <w:rPr>
          <w:rFonts w:ascii="宋体" w:hAnsi="宋体" w:eastAsia="宋体" w:cs="宋体"/>
          <w:sz w:val="30"/>
          <w:szCs w:val="30"/>
        </w:rPr>
        <w:t xml:space="preserve"> </w:t>
      </w:r>
      <w:r>
        <w:rPr>
          <w:rFonts w:ascii="宋体" w:hAnsi="宋体" w:eastAsia="宋体" w:cs="宋体"/>
          <w:spacing w:val="-1"/>
          <w:sz w:val="30"/>
          <w:szCs w:val="30"/>
        </w:rPr>
        <w:t>金全密闭电炉项目</w:t>
      </w:r>
      <w:r>
        <w:rPr>
          <w:rFonts w:ascii="Times New Roman" w:hAnsi="Times New Roman" w:eastAsia="Times New Roman" w:cs="Times New Roman"/>
          <w:spacing w:val="-1"/>
          <w:sz w:val="30"/>
          <w:szCs w:val="30"/>
        </w:rPr>
        <w:t>”</w:t>
      </w:r>
      <w:r>
        <w:rPr>
          <w:rFonts w:ascii="宋体" w:hAnsi="宋体" w:eastAsia="宋体" w:cs="宋体"/>
          <w:spacing w:val="-1"/>
          <w:sz w:val="30"/>
          <w:szCs w:val="30"/>
        </w:rPr>
        <w:t>进行环境影响评价工作。</w:t>
      </w:r>
    </w:p>
    <w:p w14:paraId="13782C02">
      <w:pPr>
        <w:spacing w:before="47" w:line="219" w:lineRule="auto"/>
        <w:ind w:left="611"/>
        <w:rPr>
          <w:rFonts w:ascii="宋体" w:hAnsi="宋体" w:eastAsia="宋体" w:cs="宋体"/>
          <w:sz w:val="30"/>
          <w:szCs w:val="30"/>
        </w:rPr>
      </w:pPr>
      <w:r>
        <w:rPr>
          <w:rFonts w:ascii="宋体" w:hAnsi="宋体" w:eastAsia="宋体" w:cs="宋体"/>
          <w:spacing w:val="-3"/>
          <w:sz w:val="30"/>
          <w:szCs w:val="30"/>
        </w:rPr>
        <w:t>特此委托。</w:t>
      </w:r>
    </w:p>
    <w:p w14:paraId="697FDA16">
      <w:pPr>
        <w:pStyle w:val="2"/>
        <w:spacing w:line="250" w:lineRule="auto"/>
      </w:pPr>
    </w:p>
    <w:p w14:paraId="23DEA36F">
      <w:pPr>
        <w:pStyle w:val="2"/>
        <w:spacing w:line="251" w:lineRule="auto"/>
      </w:pPr>
    </w:p>
    <w:p w14:paraId="7A6F7201">
      <w:pPr>
        <w:pStyle w:val="2"/>
        <w:spacing w:line="251" w:lineRule="auto"/>
      </w:pPr>
    </w:p>
    <w:p w14:paraId="6B443D5E">
      <w:pPr>
        <w:pStyle w:val="2"/>
        <w:spacing w:line="251" w:lineRule="auto"/>
      </w:pPr>
    </w:p>
    <w:p w14:paraId="0F76FB52">
      <w:pPr>
        <w:pStyle w:val="2"/>
        <w:spacing w:line="251" w:lineRule="auto"/>
      </w:pPr>
    </w:p>
    <w:p w14:paraId="7C8736F8">
      <w:pPr>
        <w:spacing w:before="98" w:line="378" w:lineRule="auto"/>
        <w:ind w:left="6706" w:hanging="1532"/>
        <w:rPr>
          <w:rFonts w:ascii="宋体" w:hAnsi="宋体" w:eastAsia="宋体" w:cs="宋体"/>
          <w:sz w:val="30"/>
          <w:szCs w:val="30"/>
        </w:rPr>
      </w:pPr>
      <w:r>
        <w:rPr>
          <w:rFonts w:ascii="宋体" w:hAnsi="宋体" w:eastAsia="宋体" w:cs="宋体"/>
          <w:spacing w:val="-4"/>
          <w:sz w:val="30"/>
          <w:szCs w:val="30"/>
        </w:rPr>
        <w:t>内蒙古新创发展科技有限公司</w:t>
      </w:r>
      <w:r>
        <w:rPr>
          <w:rFonts w:ascii="宋体" w:hAnsi="宋体" w:eastAsia="宋体" w:cs="宋体"/>
          <w:spacing w:val="2"/>
          <w:sz w:val="30"/>
          <w:szCs w:val="30"/>
        </w:rPr>
        <w:t xml:space="preserve"> </w:t>
      </w:r>
      <w:r>
        <w:rPr>
          <w:rFonts w:ascii="Times New Roman" w:hAnsi="Times New Roman" w:eastAsia="Times New Roman" w:cs="Times New Roman"/>
          <w:spacing w:val="-12"/>
          <w:sz w:val="30"/>
          <w:szCs w:val="30"/>
        </w:rPr>
        <w:t xml:space="preserve">2024 </w:t>
      </w:r>
      <w:r>
        <w:rPr>
          <w:rFonts w:ascii="宋体" w:hAnsi="宋体" w:eastAsia="宋体" w:cs="宋体"/>
          <w:spacing w:val="-12"/>
          <w:sz w:val="30"/>
          <w:szCs w:val="30"/>
        </w:rPr>
        <w:t>年</w:t>
      </w:r>
      <w:r>
        <w:rPr>
          <w:rFonts w:ascii="宋体" w:hAnsi="宋体" w:eastAsia="宋体" w:cs="宋体"/>
          <w:spacing w:val="-55"/>
          <w:sz w:val="30"/>
          <w:szCs w:val="30"/>
        </w:rPr>
        <w:t xml:space="preserve"> </w:t>
      </w:r>
      <w:r>
        <w:rPr>
          <w:rFonts w:ascii="Times New Roman" w:hAnsi="Times New Roman" w:eastAsia="Times New Roman" w:cs="Times New Roman"/>
          <w:spacing w:val="-12"/>
          <w:sz w:val="30"/>
          <w:szCs w:val="30"/>
        </w:rPr>
        <w:t>5</w:t>
      </w:r>
      <w:r>
        <w:rPr>
          <w:rFonts w:ascii="Times New Roman" w:hAnsi="Times New Roman" w:eastAsia="Times New Roman" w:cs="Times New Roman"/>
          <w:spacing w:val="17"/>
          <w:sz w:val="30"/>
          <w:szCs w:val="30"/>
        </w:rPr>
        <w:t xml:space="preserve"> </w:t>
      </w:r>
      <w:r>
        <w:rPr>
          <w:rFonts w:ascii="宋体" w:hAnsi="宋体" w:eastAsia="宋体" w:cs="宋体"/>
          <w:spacing w:val="-12"/>
          <w:sz w:val="30"/>
          <w:szCs w:val="30"/>
        </w:rPr>
        <w:t>月</w:t>
      </w:r>
      <w:r>
        <w:rPr>
          <w:rFonts w:ascii="宋体" w:hAnsi="宋体" w:eastAsia="宋体" w:cs="宋体"/>
          <w:spacing w:val="-38"/>
          <w:sz w:val="30"/>
          <w:szCs w:val="30"/>
        </w:rPr>
        <w:t xml:space="preserve"> </w:t>
      </w:r>
      <w:r>
        <w:rPr>
          <w:rFonts w:ascii="Times New Roman" w:hAnsi="Times New Roman" w:eastAsia="Times New Roman" w:cs="Times New Roman"/>
          <w:spacing w:val="-12"/>
          <w:sz w:val="30"/>
          <w:szCs w:val="30"/>
        </w:rPr>
        <w:t xml:space="preserve">10  </w:t>
      </w:r>
      <w:r>
        <w:rPr>
          <w:rFonts w:ascii="宋体" w:hAnsi="宋体" w:eastAsia="宋体" w:cs="宋体"/>
          <w:spacing w:val="-12"/>
          <w:sz w:val="30"/>
          <w:szCs w:val="30"/>
        </w:rPr>
        <w:t>日</w:t>
      </w:r>
    </w:p>
    <w:p w14:paraId="5AE408B0">
      <w:pPr>
        <w:spacing w:line="378" w:lineRule="auto"/>
        <w:rPr>
          <w:rFonts w:ascii="宋体" w:hAnsi="宋体" w:eastAsia="宋体" w:cs="宋体"/>
          <w:sz w:val="30"/>
          <w:szCs w:val="30"/>
        </w:rPr>
        <w:sectPr>
          <w:headerReference r:id="rId533" w:type="default"/>
          <w:footerReference r:id="rId534" w:type="default"/>
          <w:pgSz w:w="11906" w:h="16839"/>
          <w:pgMar w:top="1191" w:right="1439" w:bottom="1362" w:left="1440" w:header="882" w:footer="1200" w:gutter="0"/>
          <w:cols w:space="720" w:num="1"/>
        </w:sectPr>
      </w:pPr>
    </w:p>
    <w:p w14:paraId="2757F71D">
      <w:pPr>
        <w:spacing w:line="28" w:lineRule="exact"/>
      </w:pPr>
      <w:r>
        <w:pict>
          <v:shape id="_x0000_s3112" o:spid="_x0000_s3112" style="height:1.45pt;width:451.3pt;" fillcolor="#000000" filled="t" stroked="f" coordsize="9025,29" path="m0,0l9025,0,9025,28,0,28,0,0xe">
            <v:path/>
            <v:fill on="t" focussize="0,0"/>
            <v:stroke on="f"/>
            <v:imagedata o:title=""/>
            <o:lock v:ext="edit"/>
            <w10:wrap type="none"/>
            <w10:anchorlock/>
          </v:shape>
        </w:pict>
      </w:r>
    </w:p>
    <w:p w14:paraId="127295AA">
      <w:pPr>
        <w:spacing w:before="254" w:line="218" w:lineRule="auto"/>
        <w:ind w:left="28"/>
        <w:outlineLvl w:val="0"/>
        <w:rPr>
          <w:rFonts w:ascii="宋体" w:hAnsi="宋体" w:eastAsia="宋体" w:cs="宋体"/>
          <w:sz w:val="24"/>
          <w:szCs w:val="24"/>
        </w:rPr>
      </w:pPr>
      <w:bookmarkStart w:id="510" w:name="bookmark489"/>
      <w:bookmarkEnd w:id="510"/>
      <w:r>
        <w:rPr>
          <w:rFonts w:ascii="宋体" w:hAnsi="宋体" w:eastAsia="宋体" w:cs="宋体"/>
          <w:b/>
          <w:bCs/>
          <w:spacing w:val="-8"/>
          <w:sz w:val="24"/>
          <w:szCs w:val="24"/>
        </w:rPr>
        <w:t>附件</w:t>
      </w:r>
      <w:r>
        <w:rPr>
          <w:rFonts w:ascii="宋体" w:hAnsi="宋体" w:eastAsia="宋体" w:cs="宋体"/>
          <w:spacing w:val="-50"/>
          <w:sz w:val="24"/>
          <w:szCs w:val="24"/>
        </w:rPr>
        <w:t xml:space="preserve"> </w:t>
      </w:r>
      <w:r>
        <w:rPr>
          <w:rFonts w:ascii="Times New Roman" w:hAnsi="Times New Roman" w:eastAsia="Times New Roman" w:cs="Times New Roman"/>
          <w:b/>
          <w:bCs/>
          <w:spacing w:val="-8"/>
          <w:sz w:val="24"/>
          <w:szCs w:val="24"/>
        </w:rPr>
        <w:t>2</w:t>
      </w:r>
      <w:r>
        <w:rPr>
          <w:rFonts w:ascii="Times New Roman" w:hAnsi="Times New Roman" w:eastAsia="Times New Roman" w:cs="Times New Roman"/>
          <w:b/>
          <w:bCs/>
          <w:spacing w:val="-30"/>
          <w:sz w:val="24"/>
          <w:szCs w:val="24"/>
        </w:rPr>
        <w:t xml:space="preserve"> </w:t>
      </w:r>
      <w:r>
        <w:rPr>
          <w:rFonts w:ascii="宋体" w:hAnsi="宋体" w:eastAsia="宋体" w:cs="宋体"/>
          <w:b/>
          <w:bCs/>
          <w:spacing w:val="-8"/>
          <w:sz w:val="24"/>
          <w:szCs w:val="24"/>
        </w:rPr>
        <w:t>：项目备案告知书</w:t>
      </w:r>
    </w:p>
    <w:p w14:paraId="40EA85C2">
      <w:pPr>
        <w:spacing w:before="147" w:line="12360" w:lineRule="exact"/>
        <w:ind w:firstLine="120"/>
      </w:pPr>
      <w:r>
        <w:rPr>
          <w:position w:val="-247"/>
        </w:rPr>
        <w:drawing>
          <wp:inline distT="0" distB="0" distL="0" distR="0">
            <wp:extent cx="5562600" cy="7848600"/>
            <wp:effectExtent l="0" t="0" r="0" b="0"/>
            <wp:docPr id="270" name="IM 270"/>
            <wp:cNvGraphicFramePr/>
            <a:graphic xmlns:a="http://schemas.openxmlformats.org/drawingml/2006/main">
              <a:graphicData uri="http://schemas.openxmlformats.org/drawingml/2006/picture">
                <pic:pic xmlns:pic="http://schemas.openxmlformats.org/drawingml/2006/picture">
                  <pic:nvPicPr>
                    <pic:cNvPr id="270" name="IM 270"/>
                    <pic:cNvPicPr/>
                  </pic:nvPicPr>
                  <pic:blipFill>
                    <a:blip r:embed="rId705"/>
                    <a:stretch>
                      <a:fillRect/>
                    </a:stretch>
                  </pic:blipFill>
                  <pic:spPr>
                    <a:xfrm>
                      <a:off x="0" y="0"/>
                      <a:ext cx="5562600" cy="7848600"/>
                    </a:xfrm>
                    <a:prstGeom prst="rect">
                      <a:avLst/>
                    </a:prstGeom>
                  </pic:spPr>
                </pic:pic>
              </a:graphicData>
            </a:graphic>
          </wp:inline>
        </w:drawing>
      </w:r>
    </w:p>
    <w:p w14:paraId="053EDB92">
      <w:pPr>
        <w:spacing w:line="12360" w:lineRule="exact"/>
        <w:sectPr>
          <w:headerReference r:id="rId535" w:type="default"/>
          <w:footerReference r:id="rId536" w:type="default"/>
          <w:pgSz w:w="11906" w:h="16839"/>
          <w:pgMar w:top="1191" w:right="1440" w:bottom="1362" w:left="1440" w:header="882" w:footer="1200" w:gutter="0"/>
          <w:cols w:space="720" w:num="1"/>
        </w:sectPr>
      </w:pPr>
    </w:p>
    <w:p w14:paraId="4B29B150">
      <w:pPr>
        <w:spacing w:line="28" w:lineRule="exact"/>
      </w:pPr>
      <w:r>
        <w:pict>
          <v:shape id="_x0000_s3113" o:spid="_x0000_s3113" style="height:1.45pt;width:451.3pt;" fillcolor="#000000" filled="t" stroked="f" coordsize="9025,29" path="m0,0l9025,0,9025,28,0,28,0,0xe">
            <v:path/>
            <v:fill on="t" focussize="0,0"/>
            <v:stroke on="f"/>
            <v:imagedata o:title=""/>
            <o:lock v:ext="edit"/>
            <w10:wrap type="none"/>
            <w10:anchorlock/>
          </v:shape>
        </w:pict>
      </w:r>
    </w:p>
    <w:p w14:paraId="487B0789">
      <w:pPr>
        <w:spacing w:before="253" w:line="219" w:lineRule="auto"/>
        <w:ind w:left="28"/>
        <w:rPr>
          <w:rFonts w:ascii="宋体" w:hAnsi="宋体" w:eastAsia="宋体" w:cs="宋体"/>
          <w:sz w:val="24"/>
          <w:szCs w:val="24"/>
        </w:rPr>
      </w:pPr>
      <w:bookmarkStart w:id="511" w:name="bookmark491"/>
      <w:bookmarkEnd w:id="511"/>
      <w:r>
        <w:rPr>
          <w:rFonts w:ascii="宋体" w:hAnsi="宋体" w:eastAsia="宋体" w:cs="宋体"/>
          <w:b/>
          <w:bCs/>
          <w:spacing w:val="-9"/>
          <w:sz w:val="24"/>
          <w:szCs w:val="24"/>
        </w:rPr>
        <w:t>附件</w:t>
      </w:r>
      <w:r>
        <w:rPr>
          <w:rFonts w:ascii="宋体" w:hAnsi="宋体" w:eastAsia="宋体" w:cs="宋体"/>
          <w:spacing w:val="-54"/>
          <w:sz w:val="24"/>
          <w:szCs w:val="24"/>
        </w:rPr>
        <w:t xml:space="preserve"> </w:t>
      </w:r>
      <w:r>
        <w:rPr>
          <w:rFonts w:ascii="Times New Roman" w:hAnsi="Times New Roman" w:eastAsia="Times New Roman" w:cs="Times New Roman"/>
          <w:b/>
          <w:bCs/>
          <w:spacing w:val="-9"/>
          <w:sz w:val="24"/>
          <w:szCs w:val="24"/>
        </w:rPr>
        <w:t>3</w:t>
      </w:r>
      <w:r>
        <w:rPr>
          <w:rFonts w:ascii="Times New Roman" w:hAnsi="Times New Roman" w:eastAsia="Times New Roman" w:cs="Times New Roman"/>
          <w:b/>
          <w:bCs/>
          <w:spacing w:val="-30"/>
          <w:sz w:val="24"/>
          <w:szCs w:val="24"/>
        </w:rPr>
        <w:t xml:space="preserve"> </w:t>
      </w:r>
      <w:r>
        <w:rPr>
          <w:rFonts w:ascii="宋体" w:hAnsi="宋体" w:eastAsia="宋体" w:cs="宋体"/>
          <w:b/>
          <w:bCs/>
          <w:spacing w:val="-9"/>
          <w:sz w:val="24"/>
          <w:szCs w:val="24"/>
        </w:rPr>
        <w:t>：不动产权证</w:t>
      </w:r>
    </w:p>
    <w:p w14:paraId="272F2524">
      <w:pPr>
        <w:pStyle w:val="2"/>
        <w:spacing w:line="305" w:lineRule="auto"/>
      </w:pPr>
    </w:p>
    <w:p w14:paraId="42954507">
      <w:pPr>
        <w:pStyle w:val="2"/>
        <w:spacing w:line="305" w:lineRule="auto"/>
      </w:pPr>
    </w:p>
    <w:p w14:paraId="2C41DF0D">
      <w:pPr>
        <w:spacing w:line="12766" w:lineRule="exact"/>
      </w:pPr>
      <w:r>
        <w:rPr>
          <w:position w:val="-255"/>
        </w:rPr>
        <w:drawing>
          <wp:inline distT="0" distB="0" distL="0" distR="0">
            <wp:extent cx="5728335" cy="8105775"/>
            <wp:effectExtent l="0" t="0" r="0" b="0"/>
            <wp:docPr id="272" name="IM 272"/>
            <wp:cNvGraphicFramePr/>
            <a:graphic xmlns:a="http://schemas.openxmlformats.org/drawingml/2006/main">
              <a:graphicData uri="http://schemas.openxmlformats.org/drawingml/2006/picture">
                <pic:pic xmlns:pic="http://schemas.openxmlformats.org/drawingml/2006/picture">
                  <pic:nvPicPr>
                    <pic:cNvPr id="272" name="IM 272"/>
                    <pic:cNvPicPr/>
                  </pic:nvPicPr>
                  <pic:blipFill>
                    <a:blip r:embed="rId706"/>
                    <a:stretch>
                      <a:fillRect/>
                    </a:stretch>
                  </pic:blipFill>
                  <pic:spPr>
                    <a:xfrm>
                      <a:off x="0" y="0"/>
                      <a:ext cx="5728715" cy="8106156"/>
                    </a:xfrm>
                    <a:prstGeom prst="rect">
                      <a:avLst/>
                    </a:prstGeom>
                  </pic:spPr>
                </pic:pic>
              </a:graphicData>
            </a:graphic>
          </wp:inline>
        </w:drawing>
      </w:r>
    </w:p>
    <w:p w14:paraId="3B1B82A3">
      <w:pPr>
        <w:spacing w:line="12766" w:lineRule="exact"/>
        <w:sectPr>
          <w:footerReference r:id="rId537" w:type="default"/>
          <w:pgSz w:w="11906" w:h="16839"/>
          <w:pgMar w:top="1191" w:right="1440" w:bottom="1362" w:left="1440" w:header="882" w:footer="1200" w:gutter="0"/>
          <w:cols w:space="720" w:num="1"/>
        </w:sectPr>
      </w:pPr>
    </w:p>
    <w:p w14:paraId="00FBC617">
      <w:pPr>
        <w:spacing w:line="28" w:lineRule="exact"/>
      </w:pPr>
      <w:r>
        <w:pict>
          <v:shape id="_x0000_s3114" o:spid="_x0000_s3114" style="height:1.45pt;width:451.3pt;" fillcolor="#000000" filled="t" stroked="f" coordsize="9025,29" path="m0,0l9025,0,9025,28,0,28,0,0xe">
            <v:path/>
            <v:fill on="t" focussize="0,0"/>
            <v:stroke on="f"/>
            <v:imagedata o:title=""/>
            <o:lock v:ext="edit"/>
            <w10:wrap type="none"/>
            <w10:anchorlock/>
          </v:shape>
        </w:pict>
      </w:r>
    </w:p>
    <w:p w14:paraId="2856B2EA">
      <w:pPr>
        <w:spacing w:before="219" w:line="12765" w:lineRule="exact"/>
      </w:pPr>
      <w:r>
        <w:rPr>
          <w:position w:val="-255"/>
        </w:rPr>
        <w:drawing>
          <wp:inline distT="0" distB="0" distL="0" distR="0">
            <wp:extent cx="5728335" cy="8105775"/>
            <wp:effectExtent l="0" t="0" r="0" b="0"/>
            <wp:docPr id="274" name="IM 274"/>
            <wp:cNvGraphicFramePr/>
            <a:graphic xmlns:a="http://schemas.openxmlformats.org/drawingml/2006/main">
              <a:graphicData uri="http://schemas.openxmlformats.org/drawingml/2006/picture">
                <pic:pic xmlns:pic="http://schemas.openxmlformats.org/drawingml/2006/picture">
                  <pic:nvPicPr>
                    <pic:cNvPr id="274" name="IM 274"/>
                    <pic:cNvPicPr/>
                  </pic:nvPicPr>
                  <pic:blipFill>
                    <a:blip r:embed="rId707"/>
                    <a:stretch>
                      <a:fillRect/>
                    </a:stretch>
                  </pic:blipFill>
                  <pic:spPr>
                    <a:xfrm>
                      <a:off x="0" y="0"/>
                      <a:ext cx="5728715" cy="8106156"/>
                    </a:xfrm>
                    <a:prstGeom prst="rect">
                      <a:avLst/>
                    </a:prstGeom>
                  </pic:spPr>
                </pic:pic>
              </a:graphicData>
            </a:graphic>
          </wp:inline>
        </w:drawing>
      </w:r>
    </w:p>
    <w:p w14:paraId="6E7E2FA7">
      <w:pPr>
        <w:spacing w:line="12765" w:lineRule="exact"/>
        <w:sectPr>
          <w:footerReference r:id="rId538" w:type="default"/>
          <w:pgSz w:w="11906" w:h="16839"/>
          <w:pgMar w:top="1191" w:right="1440" w:bottom="1362" w:left="1440" w:header="882" w:footer="1200" w:gutter="0"/>
          <w:cols w:space="720" w:num="1"/>
        </w:sectPr>
      </w:pPr>
    </w:p>
    <w:p w14:paraId="146F60C2">
      <w:pPr>
        <w:spacing w:line="28" w:lineRule="exact"/>
      </w:pPr>
      <w:r>
        <w:pict>
          <v:shape id="_x0000_s3115" o:spid="_x0000_s3115" style="height:1.45pt;width:451.3pt;" fillcolor="#000000" filled="t" stroked="f" coordsize="9025,29" path="m0,0l9025,0,9025,28,0,28,0,0xe">
            <v:path/>
            <v:fill on="t" focussize="0,0"/>
            <v:stroke on="f"/>
            <v:imagedata o:title=""/>
            <o:lock v:ext="edit"/>
            <w10:wrap type="none"/>
            <w10:anchorlock/>
          </v:shape>
        </w:pict>
      </w:r>
    </w:p>
    <w:p w14:paraId="0F18EC79">
      <w:pPr>
        <w:spacing w:before="254" w:line="218" w:lineRule="auto"/>
        <w:ind w:left="28"/>
        <w:rPr>
          <w:rFonts w:ascii="宋体" w:hAnsi="宋体" w:eastAsia="宋体" w:cs="宋体"/>
          <w:sz w:val="24"/>
          <w:szCs w:val="24"/>
        </w:rPr>
      </w:pPr>
      <w:bookmarkStart w:id="512" w:name="bookmark493"/>
      <w:bookmarkEnd w:id="512"/>
      <w:r>
        <w:rPr>
          <w:rFonts w:ascii="宋体" w:hAnsi="宋体" w:eastAsia="宋体" w:cs="宋体"/>
          <w:b/>
          <w:bCs/>
          <w:spacing w:val="-7"/>
          <w:sz w:val="24"/>
          <w:szCs w:val="24"/>
        </w:rPr>
        <w:t>附件</w:t>
      </w:r>
      <w:r>
        <w:rPr>
          <w:rFonts w:ascii="宋体" w:hAnsi="宋体" w:eastAsia="宋体" w:cs="宋体"/>
          <w:spacing w:val="-45"/>
          <w:sz w:val="24"/>
          <w:szCs w:val="24"/>
        </w:rPr>
        <w:t xml:space="preserve"> </w:t>
      </w:r>
      <w:r>
        <w:rPr>
          <w:rFonts w:ascii="Times New Roman" w:hAnsi="Times New Roman" w:eastAsia="Times New Roman" w:cs="Times New Roman"/>
          <w:b/>
          <w:bCs/>
          <w:spacing w:val="-7"/>
          <w:sz w:val="24"/>
          <w:szCs w:val="24"/>
        </w:rPr>
        <w:t>4</w:t>
      </w:r>
      <w:r>
        <w:rPr>
          <w:rFonts w:ascii="Times New Roman" w:hAnsi="Times New Roman" w:eastAsia="Times New Roman" w:cs="Times New Roman"/>
          <w:b/>
          <w:bCs/>
          <w:spacing w:val="-30"/>
          <w:sz w:val="24"/>
          <w:szCs w:val="24"/>
        </w:rPr>
        <w:t xml:space="preserve"> </w:t>
      </w:r>
      <w:r>
        <w:rPr>
          <w:rFonts w:ascii="宋体" w:hAnsi="宋体" w:eastAsia="宋体" w:cs="宋体"/>
          <w:b/>
          <w:bCs/>
          <w:spacing w:val="-7"/>
          <w:sz w:val="24"/>
          <w:szCs w:val="24"/>
        </w:rPr>
        <w:t>：环境质量现状检测报告</w:t>
      </w:r>
    </w:p>
    <w:p w14:paraId="09B7E4E9">
      <w:pPr>
        <w:spacing w:before="147" w:line="12749" w:lineRule="exact"/>
      </w:pPr>
      <w:r>
        <w:rPr>
          <w:position w:val="-254"/>
        </w:rPr>
        <w:drawing>
          <wp:inline distT="0" distB="0" distL="0" distR="0">
            <wp:extent cx="5723890" cy="8094980"/>
            <wp:effectExtent l="0" t="0" r="0" b="0"/>
            <wp:docPr id="276" name="IM 276"/>
            <wp:cNvGraphicFramePr/>
            <a:graphic xmlns:a="http://schemas.openxmlformats.org/drawingml/2006/main">
              <a:graphicData uri="http://schemas.openxmlformats.org/drawingml/2006/picture">
                <pic:pic xmlns:pic="http://schemas.openxmlformats.org/drawingml/2006/picture">
                  <pic:nvPicPr>
                    <pic:cNvPr id="276" name="IM 276"/>
                    <pic:cNvPicPr/>
                  </pic:nvPicPr>
                  <pic:blipFill>
                    <a:blip r:embed="rId708"/>
                    <a:stretch>
                      <a:fillRect/>
                    </a:stretch>
                  </pic:blipFill>
                  <pic:spPr>
                    <a:xfrm>
                      <a:off x="0" y="0"/>
                      <a:ext cx="5724143" cy="8095488"/>
                    </a:xfrm>
                    <a:prstGeom prst="rect">
                      <a:avLst/>
                    </a:prstGeom>
                  </pic:spPr>
                </pic:pic>
              </a:graphicData>
            </a:graphic>
          </wp:inline>
        </w:drawing>
      </w:r>
    </w:p>
    <w:p w14:paraId="721C1CC3">
      <w:pPr>
        <w:spacing w:line="12749" w:lineRule="exact"/>
        <w:sectPr>
          <w:footerReference r:id="rId539" w:type="default"/>
          <w:pgSz w:w="11906" w:h="16839"/>
          <w:pgMar w:top="1191" w:right="1440" w:bottom="1362" w:left="1440" w:header="882" w:footer="1200" w:gutter="0"/>
          <w:cols w:space="720" w:num="1"/>
        </w:sectPr>
      </w:pPr>
    </w:p>
    <w:p w14:paraId="10E9769C">
      <w:pPr>
        <w:spacing w:line="28" w:lineRule="exact"/>
      </w:pPr>
      <w:r>
        <w:pict>
          <v:shape id="_x0000_s3116" o:spid="_x0000_s3116" style="height:1.45pt;width:451.3pt;" fillcolor="#000000" filled="t" stroked="f" coordsize="9025,29" path="m0,0l9025,0,9025,28,0,28,0,0xe">
            <v:path/>
            <v:fill on="t" focussize="0,0"/>
            <v:stroke on="f"/>
            <v:imagedata o:title=""/>
            <o:lock v:ext="edit"/>
            <w10:wrap type="none"/>
            <w10:anchorlock/>
          </v:shape>
        </w:pict>
      </w:r>
    </w:p>
    <w:p w14:paraId="7501B58A">
      <w:pPr>
        <w:spacing w:before="219" w:line="12749" w:lineRule="exact"/>
      </w:pPr>
      <w:r>
        <w:rPr>
          <w:position w:val="-254"/>
        </w:rPr>
        <w:drawing>
          <wp:inline distT="0" distB="0" distL="0" distR="0">
            <wp:extent cx="5723890" cy="8094980"/>
            <wp:effectExtent l="0" t="0" r="0" b="0"/>
            <wp:docPr id="278" name="IM 278"/>
            <wp:cNvGraphicFramePr/>
            <a:graphic xmlns:a="http://schemas.openxmlformats.org/drawingml/2006/main">
              <a:graphicData uri="http://schemas.openxmlformats.org/drawingml/2006/picture">
                <pic:pic xmlns:pic="http://schemas.openxmlformats.org/drawingml/2006/picture">
                  <pic:nvPicPr>
                    <pic:cNvPr id="278" name="IM 278"/>
                    <pic:cNvPicPr/>
                  </pic:nvPicPr>
                  <pic:blipFill>
                    <a:blip r:embed="rId709"/>
                    <a:stretch>
                      <a:fillRect/>
                    </a:stretch>
                  </pic:blipFill>
                  <pic:spPr>
                    <a:xfrm>
                      <a:off x="0" y="0"/>
                      <a:ext cx="5724143" cy="8095488"/>
                    </a:xfrm>
                    <a:prstGeom prst="rect">
                      <a:avLst/>
                    </a:prstGeom>
                  </pic:spPr>
                </pic:pic>
              </a:graphicData>
            </a:graphic>
          </wp:inline>
        </w:drawing>
      </w:r>
    </w:p>
    <w:p w14:paraId="3C90E988">
      <w:pPr>
        <w:spacing w:line="12749" w:lineRule="exact"/>
        <w:sectPr>
          <w:footerReference r:id="rId540" w:type="default"/>
          <w:pgSz w:w="11906" w:h="16839"/>
          <w:pgMar w:top="1191" w:right="1440" w:bottom="1362" w:left="1440" w:header="882" w:footer="1200" w:gutter="0"/>
          <w:cols w:space="720" w:num="1"/>
        </w:sectPr>
      </w:pPr>
    </w:p>
    <w:p w14:paraId="6566A580">
      <w:pPr>
        <w:spacing w:line="28" w:lineRule="exact"/>
      </w:pPr>
      <w:r>
        <w:pict>
          <v:shape id="_x0000_s3117" o:spid="_x0000_s3117" style="height:1.45pt;width:451.3pt;" fillcolor="#000000" filled="t" stroked="f" coordsize="9025,29" path="m0,0l9025,0,9025,28,0,28,0,0xe">
            <v:path/>
            <v:fill on="t" focussize="0,0"/>
            <v:stroke on="f"/>
            <v:imagedata o:title=""/>
            <o:lock v:ext="edit"/>
            <w10:wrap type="none"/>
            <w10:anchorlock/>
          </v:shape>
        </w:pict>
      </w:r>
    </w:p>
    <w:p w14:paraId="183A53A5">
      <w:pPr>
        <w:spacing w:before="219" w:line="12749" w:lineRule="exact"/>
      </w:pPr>
      <w:r>
        <w:rPr>
          <w:position w:val="-254"/>
        </w:rPr>
        <w:drawing>
          <wp:inline distT="0" distB="0" distL="0" distR="0">
            <wp:extent cx="5723890" cy="8094980"/>
            <wp:effectExtent l="0" t="0" r="0" b="0"/>
            <wp:docPr id="280" name="IM 280"/>
            <wp:cNvGraphicFramePr/>
            <a:graphic xmlns:a="http://schemas.openxmlformats.org/drawingml/2006/main">
              <a:graphicData uri="http://schemas.openxmlformats.org/drawingml/2006/picture">
                <pic:pic xmlns:pic="http://schemas.openxmlformats.org/drawingml/2006/picture">
                  <pic:nvPicPr>
                    <pic:cNvPr id="280" name="IM 280"/>
                    <pic:cNvPicPr/>
                  </pic:nvPicPr>
                  <pic:blipFill>
                    <a:blip r:embed="rId710"/>
                    <a:stretch>
                      <a:fillRect/>
                    </a:stretch>
                  </pic:blipFill>
                  <pic:spPr>
                    <a:xfrm>
                      <a:off x="0" y="0"/>
                      <a:ext cx="5724143" cy="8095488"/>
                    </a:xfrm>
                    <a:prstGeom prst="rect">
                      <a:avLst/>
                    </a:prstGeom>
                  </pic:spPr>
                </pic:pic>
              </a:graphicData>
            </a:graphic>
          </wp:inline>
        </w:drawing>
      </w:r>
    </w:p>
    <w:p w14:paraId="0437B8D4">
      <w:pPr>
        <w:spacing w:line="12749" w:lineRule="exact"/>
        <w:sectPr>
          <w:footerReference r:id="rId541" w:type="default"/>
          <w:pgSz w:w="11906" w:h="16839"/>
          <w:pgMar w:top="1191" w:right="1440" w:bottom="1362" w:left="1440" w:header="882" w:footer="1200" w:gutter="0"/>
          <w:cols w:space="720" w:num="1"/>
        </w:sectPr>
      </w:pPr>
    </w:p>
    <w:p w14:paraId="48A62145">
      <w:pPr>
        <w:spacing w:line="28" w:lineRule="exact"/>
      </w:pPr>
      <w:r>
        <w:pict>
          <v:shape id="_x0000_s3118" o:spid="_x0000_s3118" style="height:1.45pt;width:451.3pt;" fillcolor="#000000" filled="t" stroked="f" coordsize="9025,29" path="m0,0l9025,0,9025,28,0,28,0,0xe">
            <v:path/>
            <v:fill on="t" focussize="0,0"/>
            <v:stroke on="f"/>
            <v:imagedata o:title=""/>
            <o:lock v:ext="edit"/>
            <w10:wrap type="none"/>
            <w10:anchorlock/>
          </v:shape>
        </w:pict>
      </w:r>
    </w:p>
    <w:p w14:paraId="094ACFBC">
      <w:pPr>
        <w:spacing w:before="219" w:line="12749" w:lineRule="exact"/>
      </w:pPr>
      <w:r>
        <w:rPr>
          <w:position w:val="-254"/>
        </w:rPr>
        <w:drawing>
          <wp:inline distT="0" distB="0" distL="0" distR="0">
            <wp:extent cx="5723890" cy="8094980"/>
            <wp:effectExtent l="0" t="0" r="0" b="0"/>
            <wp:docPr id="282" name="IM 282"/>
            <wp:cNvGraphicFramePr/>
            <a:graphic xmlns:a="http://schemas.openxmlformats.org/drawingml/2006/main">
              <a:graphicData uri="http://schemas.openxmlformats.org/drawingml/2006/picture">
                <pic:pic xmlns:pic="http://schemas.openxmlformats.org/drawingml/2006/picture">
                  <pic:nvPicPr>
                    <pic:cNvPr id="282" name="IM 282"/>
                    <pic:cNvPicPr/>
                  </pic:nvPicPr>
                  <pic:blipFill>
                    <a:blip r:embed="rId711"/>
                    <a:stretch>
                      <a:fillRect/>
                    </a:stretch>
                  </pic:blipFill>
                  <pic:spPr>
                    <a:xfrm>
                      <a:off x="0" y="0"/>
                      <a:ext cx="5724143" cy="8095488"/>
                    </a:xfrm>
                    <a:prstGeom prst="rect">
                      <a:avLst/>
                    </a:prstGeom>
                  </pic:spPr>
                </pic:pic>
              </a:graphicData>
            </a:graphic>
          </wp:inline>
        </w:drawing>
      </w:r>
    </w:p>
    <w:p w14:paraId="370F1B09">
      <w:pPr>
        <w:spacing w:line="12749" w:lineRule="exact"/>
        <w:sectPr>
          <w:footerReference r:id="rId542" w:type="default"/>
          <w:pgSz w:w="11906" w:h="16839"/>
          <w:pgMar w:top="1191" w:right="1440" w:bottom="1362" w:left="1440" w:header="882" w:footer="1200" w:gutter="0"/>
          <w:cols w:space="720" w:num="1"/>
        </w:sectPr>
      </w:pPr>
    </w:p>
    <w:p w14:paraId="5944A534">
      <w:pPr>
        <w:spacing w:line="28" w:lineRule="exact"/>
      </w:pPr>
      <w:r>
        <w:pict>
          <v:shape id="_x0000_s3119" o:spid="_x0000_s3119" style="height:1.45pt;width:451.3pt;" fillcolor="#000000" filled="t" stroked="f" coordsize="9025,29" path="m0,0l9025,0,9025,28,0,28,0,0xe">
            <v:path/>
            <v:fill on="t" focussize="0,0"/>
            <v:stroke on="f"/>
            <v:imagedata o:title=""/>
            <o:lock v:ext="edit"/>
            <w10:wrap type="none"/>
            <w10:anchorlock/>
          </v:shape>
        </w:pict>
      </w:r>
    </w:p>
    <w:p w14:paraId="614B3F9F">
      <w:pPr>
        <w:spacing w:before="219" w:line="12749" w:lineRule="exact"/>
      </w:pPr>
      <w:r>
        <w:rPr>
          <w:position w:val="-254"/>
        </w:rPr>
        <w:drawing>
          <wp:inline distT="0" distB="0" distL="0" distR="0">
            <wp:extent cx="5723890" cy="8094980"/>
            <wp:effectExtent l="0" t="0" r="0" b="0"/>
            <wp:docPr id="284" name="IM 284"/>
            <wp:cNvGraphicFramePr/>
            <a:graphic xmlns:a="http://schemas.openxmlformats.org/drawingml/2006/main">
              <a:graphicData uri="http://schemas.openxmlformats.org/drawingml/2006/picture">
                <pic:pic xmlns:pic="http://schemas.openxmlformats.org/drawingml/2006/picture">
                  <pic:nvPicPr>
                    <pic:cNvPr id="284" name="IM 284"/>
                    <pic:cNvPicPr/>
                  </pic:nvPicPr>
                  <pic:blipFill>
                    <a:blip r:embed="rId712"/>
                    <a:stretch>
                      <a:fillRect/>
                    </a:stretch>
                  </pic:blipFill>
                  <pic:spPr>
                    <a:xfrm>
                      <a:off x="0" y="0"/>
                      <a:ext cx="5724143" cy="8095488"/>
                    </a:xfrm>
                    <a:prstGeom prst="rect">
                      <a:avLst/>
                    </a:prstGeom>
                  </pic:spPr>
                </pic:pic>
              </a:graphicData>
            </a:graphic>
          </wp:inline>
        </w:drawing>
      </w:r>
    </w:p>
    <w:p w14:paraId="469FAAFD">
      <w:pPr>
        <w:spacing w:line="12749" w:lineRule="exact"/>
        <w:sectPr>
          <w:footerReference r:id="rId543" w:type="default"/>
          <w:pgSz w:w="11906" w:h="16839"/>
          <w:pgMar w:top="1191" w:right="1440" w:bottom="1362" w:left="1440" w:header="882" w:footer="1200" w:gutter="0"/>
          <w:cols w:space="720" w:num="1"/>
        </w:sectPr>
      </w:pPr>
    </w:p>
    <w:p w14:paraId="6CC7C5A7">
      <w:pPr>
        <w:spacing w:line="28" w:lineRule="exact"/>
      </w:pPr>
      <w:r>
        <w:pict>
          <v:shape id="_x0000_s3120" o:spid="_x0000_s3120" style="height:1.45pt;width:451.3pt;" fillcolor="#000000" filled="t" stroked="f" coordsize="9025,29" path="m0,0l9025,0,9025,28,0,28,0,0xe">
            <v:path/>
            <v:fill on="t" focussize="0,0"/>
            <v:stroke on="f"/>
            <v:imagedata o:title=""/>
            <o:lock v:ext="edit"/>
            <w10:wrap type="none"/>
            <w10:anchorlock/>
          </v:shape>
        </w:pict>
      </w:r>
    </w:p>
    <w:p w14:paraId="779BB648">
      <w:pPr>
        <w:spacing w:before="219" w:line="12749" w:lineRule="exact"/>
      </w:pPr>
      <w:r>
        <w:rPr>
          <w:position w:val="-254"/>
        </w:rPr>
        <w:drawing>
          <wp:inline distT="0" distB="0" distL="0" distR="0">
            <wp:extent cx="5723890" cy="8094980"/>
            <wp:effectExtent l="0" t="0" r="0" b="0"/>
            <wp:docPr id="286" name="IM 286"/>
            <wp:cNvGraphicFramePr/>
            <a:graphic xmlns:a="http://schemas.openxmlformats.org/drawingml/2006/main">
              <a:graphicData uri="http://schemas.openxmlformats.org/drawingml/2006/picture">
                <pic:pic xmlns:pic="http://schemas.openxmlformats.org/drawingml/2006/picture">
                  <pic:nvPicPr>
                    <pic:cNvPr id="286" name="IM 286"/>
                    <pic:cNvPicPr/>
                  </pic:nvPicPr>
                  <pic:blipFill>
                    <a:blip r:embed="rId713"/>
                    <a:stretch>
                      <a:fillRect/>
                    </a:stretch>
                  </pic:blipFill>
                  <pic:spPr>
                    <a:xfrm>
                      <a:off x="0" y="0"/>
                      <a:ext cx="5724143" cy="8095488"/>
                    </a:xfrm>
                    <a:prstGeom prst="rect">
                      <a:avLst/>
                    </a:prstGeom>
                  </pic:spPr>
                </pic:pic>
              </a:graphicData>
            </a:graphic>
          </wp:inline>
        </w:drawing>
      </w:r>
    </w:p>
    <w:p w14:paraId="1793A30C">
      <w:pPr>
        <w:spacing w:line="12749" w:lineRule="exact"/>
        <w:sectPr>
          <w:footerReference r:id="rId544" w:type="default"/>
          <w:pgSz w:w="11906" w:h="16839"/>
          <w:pgMar w:top="1191" w:right="1440" w:bottom="1362" w:left="1440" w:header="882" w:footer="1200" w:gutter="0"/>
          <w:cols w:space="720" w:num="1"/>
        </w:sectPr>
      </w:pPr>
    </w:p>
    <w:p w14:paraId="6E74A029">
      <w:pPr>
        <w:spacing w:line="28" w:lineRule="exact"/>
      </w:pPr>
      <w:r>
        <w:pict>
          <v:shape id="_x0000_s3121" o:spid="_x0000_s3121" style="height:1.45pt;width:451.3pt;" fillcolor="#000000" filled="t" stroked="f" coordsize="9025,29" path="m0,0l9025,0,9025,28,0,28,0,0xe">
            <v:path/>
            <v:fill on="t" focussize="0,0"/>
            <v:stroke on="f"/>
            <v:imagedata o:title=""/>
            <o:lock v:ext="edit"/>
            <w10:wrap type="none"/>
            <w10:anchorlock/>
          </v:shape>
        </w:pict>
      </w:r>
    </w:p>
    <w:p w14:paraId="12DFB76C">
      <w:pPr>
        <w:spacing w:before="219" w:line="12749" w:lineRule="exact"/>
      </w:pPr>
      <w:r>
        <w:rPr>
          <w:position w:val="-254"/>
        </w:rPr>
        <w:drawing>
          <wp:inline distT="0" distB="0" distL="0" distR="0">
            <wp:extent cx="5723890" cy="8094980"/>
            <wp:effectExtent l="0" t="0" r="0" b="0"/>
            <wp:docPr id="288" name="IM 288"/>
            <wp:cNvGraphicFramePr/>
            <a:graphic xmlns:a="http://schemas.openxmlformats.org/drawingml/2006/main">
              <a:graphicData uri="http://schemas.openxmlformats.org/drawingml/2006/picture">
                <pic:pic xmlns:pic="http://schemas.openxmlformats.org/drawingml/2006/picture">
                  <pic:nvPicPr>
                    <pic:cNvPr id="288" name="IM 288"/>
                    <pic:cNvPicPr/>
                  </pic:nvPicPr>
                  <pic:blipFill>
                    <a:blip r:embed="rId714"/>
                    <a:stretch>
                      <a:fillRect/>
                    </a:stretch>
                  </pic:blipFill>
                  <pic:spPr>
                    <a:xfrm>
                      <a:off x="0" y="0"/>
                      <a:ext cx="5724143" cy="8095488"/>
                    </a:xfrm>
                    <a:prstGeom prst="rect">
                      <a:avLst/>
                    </a:prstGeom>
                  </pic:spPr>
                </pic:pic>
              </a:graphicData>
            </a:graphic>
          </wp:inline>
        </w:drawing>
      </w:r>
    </w:p>
    <w:p w14:paraId="427B1602">
      <w:pPr>
        <w:spacing w:line="12749" w:lineRule="exact"/>
        <w:sectPr>
          <w:footerReference r:id="rId545" w:type="default"/>
          <w:pgSz w:w="11906" w:h="16839"/>
          <w:pgMar w:top="1191" w:right="1440" w:bottom="1362" w:left="1440" w:header="882" w:footer="1200" w:gutter="0"/>
          <w:cols w:space="720" w:num="1"/>
        </w:sectPr>
      </w:pPr>
    </w:p>
    <w:p w14:paraId="1F25BA6B">
      <w:pPr>
        <w:spacing w:line="28" w:lineRule="exact"/>
      </w:pPr>
      <w:r>
        <w:pict>
          <v:shape id="_x0000_s3122" o:spid="_x0000_s3122" style="height:1.45pt;width:451.3pt;" fillcolor="#000000" filled="t" stroked="f" coordsize="9025,29" path="m0,0l9025,0,9025,28,0,28,0,0xe">
            <v:path/>
            <v:fill on="t" focussize="0,0"/>
            <v:stroke on="f"/>
            <v:imagedata o:title=""/>
            <o:lock v:ext="edit"/>
            <w10:wrap type="none"/>
            <w10:anchorlock/>
          </v:shape>
        </w:pict>
      </w:r>
    </w:p>
    <w:p w14:paraId="234F4684">
      <w:pPr>
        <w:spacing w:before="219" w:line="12749" w:lineRule="exact"/>
      </w:pPr>
      <w:r>
        <w:rPr>
          <w:position w:val="-254"/>
        </w:rPr>
        <w:drawing>
          <wp:inline distT="0" distB="0" distL="0" distR="0">
            <wp:extent cx="5723890" cy="8094980"/>
            <wp:effectExtent l="0" t="0" r="0" b="0"/>
            <wp:docPr id="290" name="IM 290"/>
            <wp:cNvGraphicFramePr/>
            <a:graphic xmlns:a="http://schemas.openxmlformats.org/drawingml/2006/main">
              <a:graphicData uri="http://schemas.openxmlformats.org/drawingml/2006/picture">
                <pic:pic xmlns:pic="http://schemas.openxmlformats.org/drawingml/2006/picture">
                  <pic:nvPicPr>
                    <pic:cNvPr id="290" name="IM 290"/>
                    <pic:cNvPicPr/>
                  </pic:nvPicPr>
                  <pic:blipFill>
                    <a:blip r:embed="rId715"/>
                    <a:stretch>
                      <a:fillRect/>
                    </a:stretch>
                  </pic:blipFill>
                  <pic:spPr>
                    <a:xfrm>
                      <a:off x="0" y="0"/>
                      <a:ext cx="5724143" cy="8095488"/>
                    </a:xfrm>
                    <a:prstGeom prst="rect">
                      <a:avLst/>
                    </a:prstGeom>
                  </pic:spPr>
                </pic:pic>
              </a:graphicData>
            </a:graphic>
          </wp:inline>
        </w:drawing>
      </w:r>
    </w:p>
    <w:p w14:paraId="3F990084">
      <w:pPr>
        <w:spacing w:line="12749" w:lineRule="exact"/>
        <w:sectPr>
          <w:footerReference r:id="rId546" w:type="default"/>
          <w:pgSz w:w="11906" w:h="16839"/>
          <w:pgMar w:top="1191" w:right="1440" w:bottom="1362" w:left="1440" w:header="882" w:footer="1200" w:gutter="0"/>
          <w:cols w:space="720" w:num="1"/>
        </w:sectPr>
      </w:pPr>
    </w:p>
    <w:p w14:paraId="0ADC9DD6">
      <w:pPr>
        <w:spacing w:line="28" w:lineRule="exact"/>
      </w:pPr>
      <w:r>
        <w:pict>
          <v:shape id="_x0000_s3123" o:spid="_x0000_s3123" style="height:1.45pt;width:451.3pt;" fillcolor="#000000" filled="t" stroked="f" coordsize="9025,29" path="m0,0l9025,0,9025,28,0,28,0,0xe">
            <v:path/>
            <v:fill on="t" focussize="0,0"/>
            <v:stroke on="f"/>
            <v:imagedata o:title=""/>
            <o:lock v:ext="edit"/>
            <w10:wrap type="none"/>
            <w10:anchorlock/>
          </v:shape>
        </w:pict>
      </w:r>
    </w:p>
    <w:p w14:paraId="43A37103">
      <w:pPr>
        <w:spacing w:before="219" w:line="12749" w:lineRule="exact"/>
      </w:pPr>
      <w:r>
        <w:rPr>
          <w:position w:val="-254"/>
        </w:rPr>
        <w:drawing>
          <wp:inline distT="0" distB="0" distL="0" distR="0">
            <wp:extent cx="5723890" cy="8094980"/>
            <wp:effectExtent l="0" t="0" r="0" b="0"/>
            <wp:docPr id="292" name="IM 292"/>
            <wp:cNvGraphicFramePr/>
            <a:graphic xmlns:a="http://schemas.openxmlformats.org/drawingml/2006/main">
              <a:graphicData uri="http://schemas.openxmlformats.org/drawingml/2006/picture">
                <pic:pic xmlns:pic="http://schemas.openxmlformats.org/drawingml/2006/picture">
                  <pic:nvPicPr>
                    <pic:cNvPr id="292" name="IM 292"/>
                    <pic:cNvPicPr/>
                  </pic:nvPicPr>
                  <pic:blipFill>
                    <a:blip r:embed="rId716"/>
                    <a:stretch>
                      <a:fillRect/>
                    </a:stretch>
                  </pic:blipFill>
                  <pic:spPr>
                    <a:xfrm>
                      <a:off x="0" y="0"/>
                      <a:ext cx="5724143" cy="8095488"/>
                    </a:xfrm>
                    <a:prstGeom prst="rect">
                      <a:avLst/>
                    </a:prstGeom>
                  </pic:spPr>
                </pic:pic>
              </a:graphicData>
            </a:graphic>
          </wp:inline>
        </w:drawing>
      </w:r>
    </w:p>
    <w:p w14:paraId="40B55710">
      <w:pPr>
        <w:spacing w:line="12749" w:lineRule="exact"/>
        <w:sectPr>
          <w:footerReference r:id="rId547" w:type="default"/>
          <w:pgSz w:w="11906" w:h="16839"/>
          <w:pgMar w:top="1191" w:right="1440" w:bottom="1362" w:left="1440" w:header="882" w:footer="1200" w:gutter="0"/>
          <w:cols w:space="720" w:num="1"/>
        </w:sectPr>
      </w:pPr>
    </w:p>
    <w:p w14:paraId="012C8E95">
      <w:pPr>
        <w:spacing w:line="28" w:lineRule="exact"/>
      </w:pPr>
      <w:r>
        <w:pict>
          <v:shape id="_x0000_s3124" o:spid="_x0000_s3124" style="height:1.45pt;width:451.3pt;" fillcolor="#000000" filled="t" stroked="f" coordsize="9025,29" path="m0,0l9025,0,9025,28,0,28,0,0xe">
            <v:path/>
            <v:fill on="t" focussize="0,0"/>
            <v:stroke on="f"/>
            <v:imagedata o:title=""/>
            <o:lock v:ext="edit"/>
            <w10:wrap type="none"/>
            <w10:anchorlock/>
          </v:shape>
        </w:pict>
      </w:r>
    </w:p>
    <w:p w14:paraId="1E9648A9">
      <w:pPr>
        <w:spacing w:before="219" w:line="12749" w:lineRule="exact"/>
      </w:pPr>
      <w:r>
        <w:rPr>
          <w:position w:val="-254"/>
        </w:rPr>
        <w:drawing>
          <wp:inline distT="0" distB="0" distL="0" distR="0">
            <wp:extent cx="5723890" cy="8094980"/>
            <wp:effectExtent l="0" t="0" r="0" b="0"/>
            <wp:docPr id="294" name="IM 294"/>
            <wp:cNvGraphicFramePr/>
            <a:graphic xmlns:a="http://schemas.openxmlformats.org/drawingml/2006/main">
              <a:graphicData uri="http://schemas.openxmlformats.org/drawingml/2006/picture">
                <pic:pic xmlns:pic="http://schemas.openxmlformats.org/drawingml/2006/picture">
                  <pic:nvPicPr>
                    <pic:cNvPr id="294" name="IM 294"/>
                    <pic:cNvPicPr/>
                  </pic:nvPicPr>
                  <pic:blipFill>
                    <a:blip r:embed="rId717"/>
                    <a:stretch>
                      <a:fillRect/>
                    </a:stretch>
                  </pic:blipFill>
                  <pic:spPr>
                    <a:xfrm>
                      <a:off x="0" y="0"/>
                      <a:ext cx="5724143" cy="8095488"/>
                    </a:xfrm>
                    <a:prstGeom prst="rect">
                      <a:avLst/>
                    </a:prstGeom>
                  </pic:spPr>
                </pic:pic>
              </a:graphicData>
            </a:graphic>
          </wp:inline>
        </w:drawing>
      </w:r>
    </w:p>
    <w:p w14:paraId="01EE62EA">
      <w:pPr>
        <w:spacing w:line="12749" w:lineRule="exact"/>
        <w:sectPr>
          <w:footerReference r:id="rId548" w:type="default"/>
          <w:pgSz w:w="11906" w:h="16839"/>
          <w:pgMar w:top="1191" w:right="1440" w:bottom="1362" w:left="1440" w:header="882" w:footer="1200" w:gutter="0"/>
          <w:cols w:space="720" w:num="1"/>
        </w:sectPr>
      </w:pPr>
    </w:p>
    <w:p w14:paraId="07861E16">
      <w:pPr>
        <w:spacing w:line="28" w:lineRule="exact"/>
      </w:pPr>
      <w:r>
        <w:pict>
          <v:shape id="_x0000_s3125" o:spid="_x0000_s3125" style="height:1.45pt;width:451.3pt;" fillcolor="#000000" filled="t" stroked="f" coordsize="9025,29" path="m0,0l9025,0,9025,28,0,28,0,0xe">
            <v:path/>
            <v:fill on="t" focussize="0,0"/>
            <v:stroke on="f"/>
            <v:imagedata o:title=""/>
            <o:lock v:ext="edit"/>
            <w10:wrap type="none"/>
            <w10:anchorlock/>
          </v:shape>
        </w:pict>
      </w:r>
    </w:p>
    <w:p w14:paraId="7176FFDB">
      <w:pPr>
        <w:spacing w:before="219" w:line="12749" w:lineRule="exact"/>
      </w:pPr>
      <w:r>
        <w:rPr>
          <w:position w:val="-254"/>
        </w:rPr>
        <w:drawing>
          <wp:inline distT="0" distB="0" distL="0" distR="0">
            <wp:extent cx="5723890" cy="8094980"/>
            <wp:effectExtent l="0" t="0" r="0" b="0"/>
            <wp:docPr id="296" name="IM 296"/>
            <wp:cNvGraphicFramePr/>
            <a:graphic xmlns:a="http://schemas.openxmlformats.org/drawingml/2006/main">
              <a:graphicData uri="http://schemas.openxmlformats.org/drawingml/2006/picture">
                <pic:pic xmlns:pic="http://schemas.openxmlformats.org/drawingml/2006/picture">
                  <pic:nvPicPr>
                    <pic:cNvPr id="296" name="IM 296"/>
                    <pic:cNvPicPr/>
                  </pic:nvPicPr>
                  <pic:blipFill>
                    <a:blip r:embed="rId718"/>
                    <a:stretch>
                      <a:fillRect/>
                    </a:stretch>
                  </pic:blipFill>
                  <pic:spPr>
                    <a:xfrm>
                      <a:off x="0" y="0"/>
                      <a:ext cx="5724143" cy="8095488"/>
                    </a:xfrm>
                    <a:prstGeom prst="rect">
                      <a:avLst/>
                    </a:prstGeom>
                  </pic:spPr>
                </pic:pic>
              </a:graphicData>
            </a:graphic>
          </wp:inline>
        </w:drawing>
      </w:r>
    </w:p>
    <w:p w14:paraId="377BB0A0">
      <w:pPr>
        <w:spacing w:line="12749" w:lineRule="exact"/>
        <w:sectPr>
          <w:footerReference r:id="rId549" w:type="default"/>
          <w:pgSz w:w="11906" w:h="16839"/>
          <w:pgMar w:top="1191" w:right="1440" w:bottom="1362" w:left="1440" w:header="882" w:footer="1200" w:gutter="0"/>
          <w:cols w:space="720" w:num="1"/>
        </w:sectPr>
      </w:pPr>
    </w:p>
    <w:p w14:paraId="4A2A1E10">
      <w:pPr>
        <w:spacing w:line="28" w:lineRule="exact"/>
      </w:pPr>
      <w:r>
        <w:pict>
          <v:shape id="_x0000_s3126" o:spid="_x0000_s3126" style="height:1.45pt;width:451.3pt;" fillcolor="#000000" filled="t" stroked="f" coordsize="9025,29" path="m0,0l9025,0,9025,28,0,28,0,0xe">
            <v:path/>
            <v:fill on="t" focussize="0,0"/>
            <v:stroke on="f"/>
            <v:imagedata o:title=""/>
            <o:lock v:ext="edit"/>
            <w10:wrap type="none"/>
            <w10:anchorlock/>
          </v:shape>
        </w:pict>
      </w:r>
    </w:p>
    <w:p w14:paraId="3D4CEC3D">
      <w:pPr>
        <w:spacing w:before="219" w:line="12749" w:lineRule="exact"/>
      </w:pPr>
      <w:r>
        <w:rPr>
          <w:position w:val="-254"/>
        </w:rPr>
        <w:drawing>
          <wp:inline distT="0" distB="0" distL="0" distR="0">
            <wp:extent cx="5723890" cy="8094980"/>
            <wp:effectExtent l="0" t="0" r="0" b="0"/>
            <wp:docPr id="298" name="IM 298"/>
            <wp:cNvGraphicFramePr/>
            <a:graphic xmlns:a="http://schemas.openxmlformats.org/drawingml/2006/main">
              <a:graphicData uri="http://schemas.openxmlformats.org/drawingml/2006/picture">
                <pic:pic xmlns:pic="http://schemas.openxmlformats.org/drawingml/2006/picture">
                  <pic:nvPicPr>
                    <pic:cNvPr id="298" name="IM 298"/>
                    <pic:cNvPicPr/>
                  </pic:nvPicPr>
                  <pic:blipFill>
                    <a:blip r:embed="rId719"/>
                    <a:stretch>
                      <a:fillRect/>
                    </a:stretch>
                  </pic:blipFill>
                  <pic:spPr>
                    <a:xfrm>
                      <a:off x="0" y="0"/>
                      <a:ext cx="5724143" cy="8095488"/>
                    </a:xfrm>
                    <a:prstGeom prst="rect">
                      <a:avLst/>
                    </a:prstGeom>
                  </pic:spPr>
                </pic:pic>
              </a:graphicData>
            </a:graphic>
          </wp:inline>
        </w:drawing>
      </w:r>
    </w:p>
    <w:p w14:paraId="71CE419E">
      <w:pPr>
        <w:spacing w:line="12749" w:lineRule="exact"/>
        <w:sectPr>
          <w:footerReference r:id="rId550" w:type="default"/>
          <w:pgSz w:w="11906" w:h="16839"/>
          <w:pgMar w:top="1191" w:right="1440" w:bottom="1362" w:left="1440" w:header="882" w:footer="1200" w:gutter="0"/>
          <w:cols w:space="720" w:num="1"/>
        </w:sectPr>
      </w:pPr>
    </w:p>
    <w:p w14:paraId="5708AA7F">
      <w:pPr>
        <w:spacing w:line="28" w:lineRule="exact"/>
      </w:pPr>
      <w:r>
        <w:pict>
          <v:shape id="_x0000_s3127" o:spid="_x0000_s3127" style="height:1.45pt;width:451.3pt;" fillcolor="#000000" filled="t" stroked="f" coordsize="9025,29" path="m0,0l9025,0,9025,28,0,28,0,0xe">
            <v:path/>
            <v:fill on="t" focussize="0,0"/>
            <v:stroke on="f"/>
            <v:imagedata o:title=""/>
            <o:lock v:ext="edit"/>
            <w10:wrap type="none"/>
            <w10:anchorlock/>
          </v:shape>
        </w:pict>
      </w:r>
    </w:p>
    <w:p w14:paraId="4CCB00B8">
      <w:pPr>
        <w:spacing w:before="219" w:line="12749" w:lineRule="exact"/>
      </w:pPr>
      <w:r>
        <w:rPr>
          <w:position w:val="-254"/>
        </w:rPr>
        <w:drawing>
          <wp:inline distT="0" distB="0" distL="0" distR="0">
            <wp:extent cx="5723890" cy="8094980"/>
            <wp:effectExtent l="0" t="0" r="0" b="0"/>
            <wp:docPr id="300" name="IM 300"/>
            <wp:cNvGraphicFramePr/>
            <a:graphic xmlns:a="http://schemas.openxmlformats.org/drawingml/2006/main">
              <a:graphicData uri="http://schemas.openxmlformats.org/drawingml/2006/picture">
                <pic:pic xmlns:pic="http://schemas.openxmlformats.org/drawingml/2006/picture">
                  <pic:nvPicPr>
                    <pic:cNvPr id="300" name="IM 300"/>
                    <pic:cNvPicPr/>
                  </pic:nvPicPr>
                  <pic:blipFill>
                    <a:blip r:embed="rId720"/>
                    <a:stretch>
                      <a:fillRect/>
                    </a:stretch>
                  </pic:blipFill>
                  <pic:spPr>
                    <a:xfrm>
                      <a:off x="0" y="0"/>
                      <a:ext cx="5724143" cy="8095488"/>
                    </a:xfrm>
                    <a:prstGeom prst="rect">
                      <a:avLst/>
                    </a:prstGeom>
                  </pic:spPr>
                </pic:pic>
              </a:graphicData>
            </a:graphic>
          </wp:inline>
        </w:drawing>
      </w:r>
    </w:p>
    <w:p w14:paraId="5A9172B8">
      <w:pPr>
        <w:spacing w:line="12749" w:lineRule="exact"/>
        <w:sectPr>
          <w:footerReference r:id="rId551" w:type="default"/>
          <w:pgSz w:w="11906" w:h="16839"/>
          <w:pgMar w:top="1191" w:right="1440" w:bottom="1362" w:left="1440" w:header="882" w:footer="1200" w:gutter="0"/>
          <w:cols w:space="720" w:num="1"/>
        </w:sectPr>
      </w:pPr>
    </w:p>
    <w:p w14:paraId="4C135324">
      <w:pPr>
        <w:spacing w:line="28" w:lineRule="exact"/>
      </w:pPr>
      <w:r>
        <w:pict>
          <v:shape id="_x0000_s3128" o:spid="_x0000_s3128" style="height:1.45pt;width:451.3pt;" fillcolor="#000000" filled="t" stroked="f" coordsize="9025,29" path="m0,0l9025,0,9025,28,0,28,0,0xe">
            <v:path/>
            <v:fill on="t" focussize="0,0"/>
            <v:stroke on="f"/>
            <v:imagedata o:title=""/>
            <o:lock v:ext="edit"/>
            <w10:wrap type="none"/>
            <w10:anchorlock/>
          </v:shape>
        </w:pict>
      </w:r>
    </w:p>
    <w:p w14:paraId="05A56B85">
      <w:pPr>
        <w:spacing w:before="219" w:line="12749" w:lineRule="exact"/>
      </w:pPr>
      <w:r>
        <w:rPr>
          <w:position w:val="-254"/>
        </w:rPr>
        <w:drawing>
          <wp:inline distT="0" distB="0" distL="0" distR="0">
            <wp:extent cx="5723890" cy="8094980"/>
            <wp:effectExtent l="0" t="0" r="0" b="0"/>
            <wp:docPr id="302" name="IM 302"/>
            <wp:cNvGraphicFramePr/>
            <a:graphic xmlns:a="http://schemas.openxmlformats.org/drawingml/2006/main">
              <a:graphicData uri="http://schemas.openxmlformats.org/drawingml/2006/picture">
                <pic:pic xmlns:pic="http://schemas.openxmlformats.org/drawingml/2006/picture">
                  <pic:nvPicPr>
                    <pic:cNvPr id="302" name="IM 302"/>
                    <pic:cNvPicPr/>
                  </pic:nvPicPr>
                  <pic:blipFill>
                    <a:blip r:embed="rId721"/>
                    <a:stretch>
                      <a:fillRect/>
                    </a:stretch>
                  </pic:blipFill>
                  <pic:spPr>
                    <a:xfrm>
                      <a:off x="0" y="0"/>
                      <a:ext cx="5724143" cy="8095488"/>
                    </a:xfrm>
                    <a:prstGeom prst="rect">
                      <a:avLst/>
                    </a:prstGeom>
                  </pic:spPr>
                </pic:pic>
              </a:graphicData>
            </a:graphic>
          </wp:inline>
        </w:drawing>
      </w:r>
    </w:p>
    <w:p w14:paraId="73B93321">
      <w:pPr>
        <w:spacing w:line="12749" w:lineRule="exact"/>
        <w:sectPr>
          <w:footerReference r:id="rId552" w:type="default"/>
          <w:pgSz w:w="11906" w:h="16839"/>
          <w:pgMar w:top="1191" w:right="1440" w:bottom="1362" w:left="1440" w:header="882" w:footer="1200" w:gutter="0"/>
          <w:cols w:space="720" w:num="1"/>
        </w:sectPr>
      </w:pPr>
    </w:p>
    <w:p w14:paraId="0E4A3D5B">
      <w:pPr>
        <w:spacing w:line="28" w:lineRule="exact"/>
      </w:pPr>
      <w:r>
        <w:pict>
          <v:shape id="_x0000_s3129" o:spid="_x0000_s3129" style="height:1.45pt;width:451.3pt;" fillcolor="#000000" filled="t" stroked="f" coordsize="9025,29" path="m0,0l9025,0,9025,28,0,28,0,0xe">
            <v:path/>
            <v:fill on="t" focussize="0,0"/>
            <v:stroke on="f"/>
            <v:imagedata o:title=""/>
            <o:lock v:ext="edit"/>
            <w10:wrap type="none"/>
            <w10:anchorlock/>
          </v:shape>
        </w:pict>
      </w:r>
    </w:p>
    <w:p w14:paraId="35C77ABC">
      <w:pPr>
        <w:spacing w:before="219" w:line="12749" w:lineRule="exact"/>
      </w:pPr>
      <w:r>
        <w:rPr>
          <w:position w:val="-254"/>
        </w:rPr>
        <w:drawing>
          <wp:inline distT="0" distB="0" distL="0" distR="0">
            <wp:extent cx="5723890" cy="8094980"/>
            <wp:effectExtent l="0" t="0" r="0" b="0"/>
            <wp:docPr id="304" name="IM 304"/>
            <wp:cNvGraphicFramePr/>
            <a:graphic xmlns:a="http://schemas.openxmlformats.org/drawingml/2006/main">
              <a:graphicData uri="http://schemas.openxmlformats.org/drawingml/2006/picture">
                <pic:pic xmlns:pic="http://schemas.openxmlformats.org/drawingml/2006/picture">
                  <pic:nvPicPr>
                    <pic:cNvPr id="304" name="IM 304"/>
                    <pic:cNvPicPr/>
                  </pic:nvPicPr>
                  <pic:blipFill>
                    <a:blip r:embed="rId722"/>
                    <a:stretch>
                      <a:fillRect/>
                    </a:stretch>
                  </pic:blipFill>
                  <pic:spPr>
                    <a:xfrm>
                      <a:off x="0" y="0"/>
                      <a:ext cx="5724143" cy="8095488"/>
                    </a:xfrm>
                    <a:prstGeom prst="rect">
                      <a:avLst/>
                    </a:prstGeom>
                  </pic:spPr>
                </pic:pic>
              </a:graphicData>
            </a:graphic>
          </wp:inline>
        </w:drawing>
      </w:r>
    </w:p>
    <w:p w14:paraId="2FBF6BB2">
      <w:pPr>
        <w:spacing w:line="12749" w:lineRule="exact"/>
        <w:sectPr>
          <w:footerReference r:id="rId553" w:type="default"/>
          <w:pgSz w:w="11906" w:h="16839"/>
          <w:pgMar w:top="1191" w:right="1440" w:bottom="1362" w:left="1440" w:header="882" w:footer="1200" w:gutter="0"/>
          <w:cols w:space="720" w:num="1"/>
        </w:sectPr>
      </w:pPr>
    </w:p>
    <w:p w14:paraId="36D268AD">
      <w:pPr>
        <w:spacing w:line="28" w:lineRule="exact"/>
      </w:pPr>
      <w:r>
        <w:pict>
          <v:shape id="_x0000_s3130" o:spid="_x0000_s3130" style="height:1.45pt;width:451.3pt;" fillcolor="#000000" filled="t" stroked="f" coordsize="9025,29" path="m0,0l9025,0,9025,28,0,28,0,0xe">
            <v:path/>
            <v:fill on="t" focussize="0,0"/>
            <v:stroke on="f"/>
            <v:imagedata o:title=""/>
            <o:lock v:ext="edit"/>
            <w10:wrap type="none"/>
            <w10:anchorlock/>
          </v:shape>
        </w:pict>
      </w:r>
    </w:p>
    <w:p w14:paraId="6E137807">
      <w:pPr>
        <w:spacing w:before="219" w:line="12749" w:lineRule="exact"/>
      </w:pPr>
      <w:r>
        <w:rPr>
          <w:position w:val="-254"/>
        </w:rPr>
        <w:drawing>
          <wp:inline distT="0" distB="0" distL="0" distR="0">
            <wp:extent cx="5723890" cy="8094980"/>
            <wp:effectExtent l="0" t="0" r="0" b="0"/>
            <wp:docPr id="306" name="IM 306"/>
            <wp:cNvGraphicFramePr/>
            <a:graphic xmlns:a="http://schemas.openxmlformats.org/drawingml/2006/main">
              <a:graphicData uri="http://schemas.openxmlformats.org/drawingml/2006/picture">
                <pic:pic xmlns:pic="http://schemas.openxmlformats.org/drawingml/2006/picture">
                  <pic:nvPicPr>
                    <pic:cNvPr id="306" name="IM 306"/>
                    <pic:cNvPicPr/>
                  </pic:nvPicPr>
                  <pic:blipFill>
                    <a:blip r:embed="rId723"/>
                    <a:stretch>
                      <a:fillRect/>
                    </a:stretch>
                  </pic:blipFill>
                  <pic:spPr>
                    <a:xfrm>
                      <a:off x="0" y="0"/>
                      <a:ext cx="5724143" cy="8095488"/>
                    </a:xfrm>
                    <a:prstGeom prst="rect">
                      <a:avLst/>
                    </a:prstGeom>
                  </pic:spPr>
                </pic:pic>
              </a:graphicData>
            </a:graphic>
          </wp:inline>
        </w:drawing>
      </w:r>
    </w:p>
    <w:p w14:paraId="44922381">
      <w:pPr>
        <w:spacing w:line="12749" w:lineRule="exact"/>
        <w:sectPr>
          <w:footerReference r:id="rId554" w:type="default"/>
          <w:pgSz w:w="11906" w:h="16839"/>
          <w:pgMar w:top="1191" w:right="1440" w:bottom="1362" w:left="1440" w:header="882" w:footer="1200" w:gutter="0"/>
          <w:cols w:space="720" w:num="1"/>
        </w:sectPr>
      </w:pPr>
    </w:p>
    <w:p w14:paraId="00DC5FDF">
      <w:pPr>
        <w:spacing w:line="28" w:lineRule="exact"/>
      </w:pPr>
      <w:r>
        <w:pict>
          <v:shape id="_x0000_s3131" o:spid="_x0000_s3131" style="height:1.45pt;width:451.3pt;" fillcolor="#000000" filled="t" stroked="f" coordsize="9025,29" path="m0,0l9025,0,9025,28,0,28,0,0xe">
            <v:path/>
            <v:fill on="t" focussize="0,0"/>
            <v:stroke on="f"/>
            <v:imagedata o:title=""/>
            <o:lock v:ext="edit"/>
            <w10:wrap type="none"/>
            <w10:anchorlock/>
          </v:shape>
        </w:pict>
      </w:r>
    </w:p>
    <w:p w14:paraId="02D32A2B">
      <w:pPr>
        <w:spacing w:before="219" w:line="12749" w:lineRule="exact"/>
      </w:pPr>
      <w:r>
        <w:rPr>
          <w:position w:val="-254"/>
        </w:rPr>
        <w:drawing>
          <wp:inline distT="0" distB="0" distL="0" distR="0">
            <wp:extent cx="5723890" cy="8094980"/>
            <wp:effectExtent l="0" t="0" r="0" b="0"/>
            <wp:docPr id="308" name="IM 308"/>
            <wp:cNvGraphicFramePr/>
            <a:graphic xmlns:a="http://schemas.openxmlformats.org/drawingml/2006/main">
              <a:graphicData uri="http://schemas.openxmlformats.org/drawingml/2006/picture">
                <pic:pic xmlns:pic="http://schemas.openxmlformats.org/drawingml/2006/picture">
                  <pic:nvPicPr>
                    <pic:cNvPr id="308" name="IM 308"/>
                    <pic:cNvPicPr/>
                  </pic:nvPicPr>
                  <pic:blipFill>
                    <a:blip r:embed="rId724"/>
                    <a:stretch>
                      <a:fillRect/>
                    </a:stretch>
                  </pic:blipFill>
                  <pic:spPr>
                    <a:xfrm>
                      <a:off x="0" y="0"/>
                      <a:ext cx="5724143" cy="8095488"/>
                    </a:xfrm>
                    <a:prstGeom prst="rect">
                      <a:avLst/>
                    </a:prstGeom>
                  </pic:spPr>
                </pic:pic>
              </a:graphicData>
            </a:graphic>
          </wp:inline>
        </w:drawing>
      </w:r>
    </w:p>
    <w:p w14:paraId="44AC4641">
      <w:pPr>
        <w:spacing w:line="12749" w:lineRule="exact"/>
        <w:sectPr>
          <w:footerReference r:id="rId555" w:type="default"/>
          <w:pgSz w:w="11906" w:h="16839"/>
          <w:pgMar w:top="1191" w:right="1440" w:bottom="1362" w:left="1440" w:header="882" w:footer="1200" w:gutter="0"/>
          <w:cols w:space="720" w:num="1"/>
        </w:sectPr>
      </w:pPr>
    </w:p>
    <w:p w14:paraId="56DC8EE7">
      <w:pPr>
        <w:spacing w:line="28" w:lineRule="exact"/>
      </w:pPr>
      <w:r>
        <w:pict>
          <v:shape id="_x0000_s3132" o:spid="_x0000_s3132" style="height:1.45pt;width:451.3pt;" fillcolor="#000000" filled="t" stroked="f" coordsize="9025,29" path="m0,0l9025,0,9025,28,0,28,0,0xe">
            <v:path/>
            <v:fill on="t" focussize="0,0"/>
            <v:stroke on="f"/>
            <v:imagedata o:title=""/>
            <o:lock v:ext="edit"/>
            <w10:wrap type="none"/>
            <w10:anchorlock/>
          </v:shape>
        </w:pict>
      </w:r>
    </w:p>
    <w:p w14:paraId="0B9E3FD4">
      <w:pPr>
        <w:spacing w:before="219" w:line="12749" w:lineRule="exact"/>
      </w:pPr>
      <w:r>
        <w:rPr>
          <w:position w:val="-254"/>
        </w:rPr>
        <w:drawing>
          <wp:inline distT="0" distB="0" distL="0" distR="0">
            <wp:extent cx="5723890" cy="8094980"/>
            <wp:effectExtent l="0" t="0" r="0" b="0"/>
            <wp:docPr id="310" name="IM 310"/>
            <wp:cNvGraphicFramePr/>
            <a:graphic xmlns:a="http://schemas.openxmlformats.org/drawingml/2006/main">
              <a:graphicData uri="http://schemas.openxmlformats.org/drawingml/2006/picture">
                <pic:pic xmlns:pic="http://schemas.openxmlformats.org/drawingml/2006/picture">
                  <pic:nvPicPr>
                    <pic:cNvPr id="310" name="IM 310"/>
                    <pic:cNvPicPr/>
                  </pic:nvPicPr>
                  <pic:blipFill>
                    <a:blip r:embed="rId725"/>
                    <a:stretch>
                      <a:fillRect/>
                    </a:stretch>
                  </pic:blipFill>
                  <pic:spPr>
                    <a:xfrm>
                      <a:off x="0" y="0"/>
                      <a:ext cx="5724143" cy="8095488"/>
                    </a:xfrm>
                    <a:prstGeom prst="rect">
                      <a:avLst/>
                    </a:prstGeom>
                  </pic:spPr>
                </pic:pic>
              </a:graphicData>
            </a:graphic>
          </wp:inline>
        </w:drawing>
      </w:r>
    </w:p>
    <w:p w14:paraId="3717D800">
      <w:pPr>
        <w:spacing w:line="12749" w:lineRule="exact"/>
        <w:sectPr>
          <w:footerReference r:id="rId556" w:type="default"/>
          <w:pgSz w:w="11906" w:h="16839"/>
          <w:pgMar w:top="1191" w:right="1440" w:bottom="1362" w:left="1440" w:header="882" w:footer="1200" w:gutter="0"/>
          <w:cols w:space="720" w:num="1"/>
        </w:sectPr>
      </w:pPr>
    </w:p>
    <w:p w14:paraId="4C484260">
      <w:pPr>
        <w:spacing w:line="28" w:lineRule="exact"/>
      </w:pPr>
      <w:r>
        <w:pict>
          <v:shape id="_x0000_s3133" o:spid="_x0000_s3133" style="height:1.45pt;width:451.3pt;" fillcolor="#000000" filled="t" stroked="f" coordsize="9025,29" path="m0,0l9025,0,9025,28,0,28,0,0xe">
            <v:path/>
            <v:fill on="t" focussize="0,0"/>
            <v:stroke on="f"/>
            <v:imagedata o:title=""/>
            <o:lock v:ext="edit"/>
            <w10:wrap type="none"/>
            <w10:anchorlock/>
          </v:shape>
        </w:pict>
      </w:r>
    </w:p>
    <w:p w14:paraId="733F3DBE">
      <w:pPr>
        <w:spacing w:before="219" w:line="12749" w:lineRule="exact"/>
      </w:pPr>
      <w:r>
        <w:rPr>
          <w:position w:val="-254"/>
        </w:rPr>
        <w:drawing>
          <wp:inline distT="0" distB="0" distL="0" distR="0">
            <wp:extent cx="5723890" cy="8094980"/>
            <wp:effectExtent l="0" t="0" r="0" b="0"/>
            <wp:docPr id="312" name="IM 312"/>
            <wp:cNvGraphicFramePr/>
            <a:graphic xmlns:a="http://schemas.openxmlformats.org/drawingml/2006/main">
              <a:graphicData uri="http://schemas.openxmlformats.org/drawingml/2006/picture">
                <pic:pic xmlns:pic="http://schemas.openxmlformats.org/drawingml/2006/picture">
                  <pic:nvPicPr>
                    <pic:cNvPr id="312" name="IM 312"/>
                    <pic:cNvPicPr/>
                  </pic:nvPicPr>
                  <pic:blipFill>
                    <a:blip r:embed="rId726"/>
                    <a:stretch>
                      <a:fillRect/>
                    </a:stretch>
                  </pic:blipFill>
                  <pic:spPr>
                    <a:xfrm>
                      <a:off x="0" y="0"/>
                      <a:ext cx="5724143" cy="8095488"/>
                    </a:xfrm>
                    <a:prstGeom prst="rect">
                      <a:avLst/>
                    </a:prstGeom>
                  </pic:spPr>
                </pic:pic>
              </a:graphicData>
            </a:graphic>
          </wp:inline>
        </w:drawing>
      </w:r>
    </w:p>
    <w:p w14:paraId="12A432C1">
      <w:pPr>
        <w:spacing w:line="12749" w:lineRule="exact"/>
        <w:sectPr>
          <w:footerReference r:id="rId557" w:type="default"/>
          <w:pgSz w:w="11906" w:h="16839"/>
          <w:pgMar w:top="1191" w:right="1440" w:bottom="1362" w:left="1440" w:header="882" w:footer="1200" w:gutter="0"/>
          <w:cols w:space="720" w:num="1"/>
        </w:sectPr>
      </w:pPr>
    </w:p>
    <w:p w14:paraId="36EC9CFF">
      <w:pPr>
        <w:spacing w:line="28" w:lineRule="exact"/>
      </w:pPr>
      <w:r>
        <w:pict>
          <v:shape id="_x0000_s3134" o:spid="_x0000_s3134" style="height:1.45pt;width:451.3pt;" fillcolor="#000000" filled="t" stroked="f" coordsize="9025,29" path="m0,0l9025,0,9025,28,0,28,0,0xe">
            <v:path/>
            <v:fill on="t" focussize="0,0"/>
            <v:stroke on="f"/>
            <v:imagedata o:title=""/>
            <o:lock v:ext="edit"/>
            <w10:wrap type="none"/>
            <w10:anchorlock/>
          </v:shape>
        </w:pict>
      </w:r>
    </w:p>
    <w:p w14:paraId="777A5F57">
      <w:pPr>
        <w:spacing w:before="219" w:line="12749" w:lineRule="exact"/>
      </w:pPr>
      <w:r>
        <w:rPr>
          <w:position w:val="-254"/>
        </w:rPr>
        <w:drawing>
          <wp:inline distT="0" distB="0" distL="0" distR="0">
            <wp:extent cx="5723890" cy="8094980"/>
            <wp:effectExtent l="0" t="0" r="0" b="0"/>
            <wp:docPr id="314" name="IM 314"/>
            <wp:cNvGraphicFramePr/>
            <a:graphic xmlns:a="http://schemas.openxmlformats.org/drawingml/2006/main">
              <a:graphicData uri="http://schemas.openxmlformats.org/drawingml/2006/picture">
                <pic:pic xmlns:pic="http://schemas.openxmlformats.org/drawingml/2006/picture">
                  <pic:nvPicPr>
                    <pic:cNvPr id="314" name="IM 314"/>
                    <pic:cNvPicPr/>
                  </pic:nvPicPr>
                  <pic:blipFill>
                    <a:blip r:embed="rId727"/>
                    <a:stretch>
                      <a:fillRect/>
                    </a:stretch>
                  </pic:blipFill>
                  <pic:spPr>
                    <a:xfrm>
                      <a:off x="0" y="0"/>
                      <a:ext cx="5724143" cy="8095488"/>
                    </a:xfrm>
                    <a:prstGeom prst="rect">
                      <a:avLst/>
                    </a:prstGeom>
                  </pic:spPr>
                </pic:pic>
              </a:graphicData>
            </a:graphic>
          </wp:inline>
        </w:drawing>
      </w:r>
    </w:p>
    <w:p w14:paraId="0AF6DAAE">
      <w:pPr>
        <w:spacing w:line="12749" w:lineRule="exact"/>
        <w:sectPr>
          <w:footerReference r:id="rId558" w:type="default"/>
          <w:pgSz w:w="11906" w:h="16839"/>
          <w:pgMar w:top="1191" w:right="1440" w:bottom="1362" w:left="1440" w:header="882" w:footer="1200" w:gutter="0"/>
          <w:cols w:space="720" w:num="1"/>
        </w:sectPr>
      </w:pPr>
    </w:p>
    <w:p w14:paraId="6C18569B">
      <w:pPr>
        <w:spacing w:line="28" w:lineRule="exact"/>
      </w:pPr>
      <w:r>
        <w:pict>
          <v:shape id="_x0000_s3135" o:spid="_x0000_s3135" style="height:1.45pt;width:451.3pt;" fillcolor="#000000" filled="t" stroked="f" coordsize="9025,29" path="m0,0l9025,0,9025,28,0,28,0,0xe">
            <v:path/>
            <v:fill on="t" focussize="0,0"/>
            <v:stroke on="f"/>
            <v:imagedata o:title=""/>
            <o:lock v:ext="edit"/>
            <w10:wrap type="none"/>
            <w10:anchorlock/>
          </v:shape>
        </w:pict>
      </w:r>
    </w:p>
    <w:p w14:paraId="33254C71">
      <w:pPr>
        <w:spacing w:before="219" w:line="12749" w:lineRule="exact"/>
      </w:pPr>
      <w:r>
        <w:rPr>
          <w:position w:val="-254"/>
        </w:rPr>
        <w:drawing>
          <wp:inline distT="0" distB="0" distL="0" distR="0">
            <wp:extent cx="5723890" cy="8094980"/>
            <wp:effectExtent l="0" t="0" r="0" b="0"/>
            <wp:docPr id="316" name="IM 316"/>
            <wp:cNvGraphicFramePr/>
            <a:graphic xmlns:a="http://schemas.openxmlformats.org/drawingml/2006/main">
              <a:graphicData uri="http://schemas.openxmlformats.org/drawingml/2006/picture">
                <pic:pic xmlns:pic="http://schemas.openxmlformats.org/drawingml/2006/picture">
                  <pic:nvPicPr>
                    <pic:cNvPr id="316" name="IM 316"/>
                    <pic:cNvPicPr/>
                  </pic:nvPicPr>
                  <pic:blipFill>
                    <a:blip r:embed="rId728"/>
                    <a:stretch>
                      <a:fillRect/>
                    </a:stretch>
                  </pic:blipFill>
                  <pic:spPr>
                    <a:xfrm>
                      <a:off x="0" y="0"/>
                      <a:ext cx="5724143" cy="8095488"/>
                    </a:xfrm>
                    <a:prstGeom prst="rect">
                      <a:avLst/>
                    </a:prstGeom>
                  </pic:spPr>
                </pic:pic>
              </a:graphicData>
            </a:graphic>
          </wp:inline>
        </w:drawing>
      </w:r>
    </w:p>
    <w:p w14:paraId="32913C79">
      <w:pPr>
        <w:spacing w:line="12749" w:lineRule="exact"/>
        <w:sectPr>
          <w:footerReference r:id="rId559" w:type="default"/>
          <w:pgSz w:w="11906" w:h="16839"/>
          <w:pgMar w:top="1191" w:right="1440" w:bottom="1362" w:left="1440" w:header="882" w:footer="1200" w:gutter="0"/>
          <w:cols w:space="720" w:num="1"/>
        </w:sectPr>
      </w:pPr>
    </w:p>
    <w:p w14:paraId="70C6B569">
      <w:pPr>
        <w:spacing w:line="28" w:lineRule="exact"/>
      </w:pPr>
      <w:r>
        <w:pict>
          <v:shape id="_x0000_s3136" o:spid="_x0000_s3136" style="height:1.45pt;width:451.3pt;" fillcolor="#000000" filled="t" stroked="f" coordsize="9025,29" path="m0,0l9025,0,9025,28,0,28,0,0xe">
            <v:path/>
            <v:fill on="t" focussize="0,0"/>
            <v:stroke on="f"/>
            <v:imagedata o:title=""/>
            <o:lock v:ext="edit"/>
            <w10:wrap type="none"/>
            <w10:anchorlock/>
          </v:shape>
        </w:pict>
      </w:r>
    </w:p>
    <w:p w14:paraId="6E6D1491">
      <w:pPr>
        <w:spacing w:before="219" w:line="12749" w:lineRule="exact"/>
      </w:pPr>
      <w:r>
        <w:rPr>
          <w:position w:val="-254"/>
        </w:rPr>
        <w:drawing>
          <wp:inline distT="0" distB="0" distL="0" distR="0">
            <wp:extent cx="5723890" cy="8094980"/>
            <wp:effectExtent l="0" t="0" r="0" b="0"/>
            <wp:docPr id="318" name="IM 318"/>
            <wp:cNvGraphicFramePr/>
            <a:graphic xmlns:a="http://schemas.openxmlformats.org/drawingml/2006/main">
              <a:graphicData uri="http://schemas.openxmlformats.org/drawingml/2006/picture">
                <pic:pic xmlns:pic="http://schemas.openxmlformats.org/drawingml/2006/picture">
                  <pic:nvPicPr>
                    <pic:cNvPr id="318" name="IM 318"/>
                    <pic:cNvPicPr/>
                  </pic:nvPicPr>
                  <pic:blipFill>
                    <a:blip r:embed="rId729"/>
                    <a:stretch>
                      <a:fillRect/>
                    </a:stretch>
                  </pic:blipFill>
                  <pic:spPr>
                    <a:xfrm>
                      <a:off x="0" y="0"/>
                      <a:ext cx="5724143" cy="8095488"/>
                    </a:xfrm>
                    <a:prstGeom prst="rect">
                      <a:avLst/>
                    </a:prstGeom>
                  </pic:spPr>
                </pic:pic>
              </a:graphicData>
            </a:graphic>
          </wp:inline>
        </w:drawing>
      </w:r>
    </w:p>
    <w:p w14:paraId="053D2504">
      <w:pPr>
        <w:spacing w:line="12749" w:lineRule="exact"/>
        <w:sectPr>
          <w:footerReference r:id="rId560" w:type="default"/>
          <w:pgSz w:w="11906" w:h="16839"/>
          <w:pgMar w:top="1191" w:right="1440" w:bottom="1362" w:left="1440" w:header="882" w:footer="1200" w:gutter="0"/>
          <w:cols w:space="720" w:num="1"/>
        </w:sectPr>
      </w:pPr>
    </w:p>
    <w:p w14:paraId="24DD7B3B">
      <w:pPr>
        <w:spacing w:line="28" w:lineRule="exact"/>
      </w:pPr>
      <w:r>
        <w:pict>
          <v:shape id="_x0000_s3137" o:spid="_x0000_s3137" style="height:1.45pt;width:451.3pt;" fillcolor="#000000" filled="t" stroked="f" coordsize="9025,29" path="m0,0l9025,0,9025,28,0,28,0,0xe">
            <v:path/>
            <v:fill on="t" focussize="0,0"/>
            <v:stroke on="f"/>
            <v:imagedata o:title=""/>
            <o:lock v:ext="edit"/>
            <w10:wrap type="none"/>
            <w10:anchorlock/>
          </v:shape>
        </w:pict>
      </w:r>
    </w:p>
    <w:p w14:paraId="2842C483">
      <w:pPr>
        <w:spacing w:before="219" w:line="12749" w:lineRule="exact"/>
      </w:pPr>
      <w:r>
        <w:rPr>
          <w:position w:val="-254"/>
        </w:rPr>
        <w:drawing>
          <wp:inline distT="0" distB="0" distL="0" distR="0">
            <wp:extent cx="5723890" cy="8094980"/>
            <wp:effectExtent l="0" t="0" r="0" b="0"/>
            <wp:docPr id="320" name="IM 320"/>
            <wp:cNvGraphicFramePr/>
            <a:graphic xmlns:a="http://schemas.openxmlformats.org/drawingml/2006/main">
              <a:graphicData uri="http://schemas.openxmlformats.org/drawingml/2006/picture">
                <pic:pic xmlns:pic="http://schemas.openxmlformats.org/drawingml/2006/picture">
                  <pic:nvPicPr>
                    <pic:cNvPr id="320" name="IM 320"/>
                    <pic:cNvPicPr/>
                  </pic:nvPicPr>
                  <pic:blipFill>
                    <a:blip r:embed="rId730"/>
                    <a:stretch>
                      <a:fillRect/>
                    </a:stretch>
                  </pic:blipFill>
                  <pic:spPr>
                    <a:xfrm>
                      <a:off x="0" y="0"/>
                      <a:ext cx="5724143" cy="8095488"/>
                    </a:xfrm>
                    <a:prstGeom prst="rect">
                      <a:avLst/>
                    </a:prstGeom>
                  </pic:spPr>
                </pic:pic>
              </a:graphicData>
            </a:graphic>
          </wp:inline>
        </w:drawing>
      </w:r>
    </w:p>
    <w:p w14:paraId="69C9EA74">
      <w:pPr>
        <w:spacing w:line="12749" w:lineRule="exact"/>
        <w:sectPr>
          <w:footerReference r:id="rId561" w:type="default"/>
          <w:pgSz w:w="11906" w:h="16839"/>
          <w:pgMar w:top="1191" w:right="1440" w:bottom="1362" w:left="1440" w:header="882" w:footer="1200" w:gutter="0"/>
          <w:cols w:space="720" w:num="1"/>
        </w:sectPr>
      </w:pPr>
    </w:p>
    <w:p w14:paraId="606AAD73">
      <w:pPr>
        <w:spacing w:line="28" w:lineRule="exact"/>
      </w:pPr>
      <w:r>
        <w:pict>
          <v:shape id="_x0000_s3138" o:spid="_x0000_s3138" style="height:1.45pt;width:451.3pt;" fillcolor="#000000" filled="t" stroked="f" coordsize="9025,29" path="m0,0l9025,0,9025,28,0,28,0,0xe">
            <v:path/>
            <v:fill on="t" focussize="0,0"/>
            <v:stroke on="f"/>
            <v:imagedata o:title=""/>
            <o:lock v:ext="edit"/>
            <w10:wrap type="none"/>
            <w10:anchorlock/>
          </v:shape>
        </w:pict>
      </w:r>
    </w:p>
    <w:p w14:paraId="05A0393A">
      <w:pPr>
        <w:spacing w:before="219" w:line="12749" w:lineRule="exact"/>
      </w:pPr>
      <w:r>
        <w:rPr>
          <w:position w:val="-254"/>
        </w:rPr>
        <w:drawing>
          <wp:inline distT="0" distB="0" distL="0" distR="0">
            <wp:extent cx="5723890" cy="8094980"/>
            <wp:effectExtent l="0" t="0" r="0" b="0"/>
            <wp:docPr id="322" name="IM 322"/>
            <wp:cNvGraphicFramePr/>
            <a:graphic xmlns:a="http://schemas.openxmlformats.org/drawingml/2006/main">
              <a:graphicData uri="http://schemas.openxmlformats.org/drawingml/2006/picture">
                <pic:pic xmlns:pic="http://schemas.openxmlformats.org/drawingml/2006/picture">
                  <pic:nvPicPr>
                    <pic:cNvPr id="322" name="IM 322"/>
                    <pic:cNvPicPr/>
                  </pic:nvPicPr>
                  <pic:blipFill>
                    <a:blip r:embed="rId731"/>
                    <a:stretch>
                      <a:fillRect/>
                    </a:stretch>
                  </pic:blipFill>
                  <pic:spPr>
                    <a:xfrm>
                      <a:off x="0" y="0"/>
                      <a:ext cx="5724143" cy="8095488"/>
                    </a:xfrm>
                    <a:prstGeom prst="rect">
                      <a:avLst/>
                    </a:prstGeom>
                  </pic:spPr>
                </pic:pic>
              </a:graphicData>
            </a:graphic>
          </wp:inline>
        </w:drawing>
      </w:r>
    </w:p>
    <w:p w14:paraId="0829B247">
      <w:pPr>
        <w:spacing w:line="12749" w:lineRule="exact"/>
        <w:sectPr>
          <w:footerReference r:id="rId562" w:type="default"/>
          <w:pgSz w:w="11906" w:h="16839"/>
          <w:pgMar w:top="1191" w:right="1440" w:bottom="1362" w:left="1440" w:header="882" w:footer="1200" w:gutter="0"/>
          <w:cols w:space="720" w:num="1"/>
        </w:sectPr>
      </w:pPr>
    </w:p>
    <w:p w14:paraId="175D1BBE">
      <w:pPr>
        <w:spacing w:line="28" w:lineRule="exact"/>
      </w:pPr>
      <w:r>
        <w:pict>
          <v:shape id="_x0000_s3139" o:spid="_x0000_s3139" style="height:1.45pt;width:451.3pt;" fillcolor="#000000" filled="t" stroked="f" coordsize="9025,29" path="m0,0l9025,0,9025,28,0,28,0,0xe">
            <v:path/>
            <v:fill on="t" focussize="0,0"/>
            <v:stroke on="f"/>
            <v:imagedata o:title=""/>
            <o:lock v:ext="edit"/>
            <w10:wrap type="none"/>
            <w10:anchorlock/>
          </v:shape>
        </w:pict>
      </w:r>
    </w:p>
    <w:p w14:paraId="7051F36D">
      <w:pPr>
        <w:spacing w:before="219" w:line="12749" w:lineRule="exact"/>
      </w:pPr>
      <w:r>
        <w:rPr>
          <w:position w:val="-254"/>
        </w:rPr>
        <w:drawing>
          <wp:inline distT="0" distB="0" distL="0" distR="0">
            <wp:extent cx="5723890" cy="8094980"/>
            <wp:effectExtent l="0" t="0" r="0" b="0"/>
            <wp:docPr id="324" name="IM 324"/>
            <wp:cNvGraphicFramePr/>
            <a:graphic xmlns:a="http://schemas.openxmlformats.org/drawingml/2006/main">
              <a:graphicData uri="http://schemas.openxmlformats.org/drawingml/2006/picture">
                <pic:pic xmlns:pic="http://schemas.openxmlformats.org/drawingml/2006/picture">
                  <pic:nvPicPr>
                    <pic:cNvPr id="324" name="IM 324"/>
                    <pic:cNvPicPr/>
                  </pic:nvPicPr>
                  <pic:blipFill>
                    <a:blip r:embed="rId732"/>
                    <a:stretch>
                      <a:fillRect/>
                    </a:stretch>
                  </pic:blipFill>
                  <pic:spPr>
                    <a:xfrm>
                      <a:off x="0" y="0"/>
                      <a:ext cx="5724143" cy="8095488"/>
                    </a:xfrm>
                    <a:prstGeom prst="rect">
                      <a:avLst/>
                    </a:prstGeom>
                  </pic:spPr>
                </pic:pic>
              </a:graphicData>
            </a:graphic>
          </wp:inline>
        </w:drawing>
      </w:r>
    </w:p>
    <w:p w14:paraId="4D7431BB">
      <w:pPr>
        <w:spacing w:line="12749" w:lineRule="exact"/>
        <w:sectPr>
          <w:footerReference r:id="rId563" w:type="default"/>
          <w:pgSz w:w="11906" w:h="16839"/>
          <w:pgMar w:top="1191" w:right="1440" w:bottom="1362" w:left="1440" w:header="882" w:footer="1200" w:gutter="0"/>
          <w:cols w:space="720" w:num="1"/>
        </w:sectPr>
      </w:pPr>
    </w:p>
    <w:p w14:paraId="1C6C1AFB">
      <w:pPr>
        <w:spacing w:line="28" w:lineRule="exact"/>
      </w:pPr>
      <w:r>
        <w:pict>
          <v:shape id="_x0000_s3140" o:spid="_x0000_s3140" style="height:1.45pt;width:451.3pt;" fillcolor="#000000" filled="t" stroked="f" coordsize="9025,29" path="m0,0l9025,0,9025,28,0,28,0,0xe">
            <v:path/>
            <v:fill on="t" focussize="0,0"/>
            <v:stroke on="f"/>
            <v:imagedata o:title=""/>
            <o:lock v:ext="edit"/>
            <w10:wrap type="none"/>
            <w10:anchorlock/>
          </v:shape>
        </w:pict>
      </w:r>
    </w:p>
    <w:p w14:paraId="184607E0">
      <w:pPr>
        <w:spacing w:before="219" w:line="12749" w:lineRule="exact"/>
      </w:pPr>
      <w:r>
        <w:rPr>
          <w:position w:val="-254"/>
        </w:rPr>
        <w:drawing>
          <wp:inline distT="0" distB="0" distL="0" distR="0">
            <wp:extent cx="5723890" cy="8094980"/>
            <wp:effectExtent l="0" t="0" r="0" b="0"/>
            <wp:docPr id="326" name="IM 326"/>
            <wp:cNvGraphicFramePr/>
            <a:graphic xmlns:a="http://schemas.openxmlformats.org/drawingml/2006/main">
              <a:graphicData uri="http://schemas.openxmlformats.org/drawingml/2006/picture">
                <pic:pic xmlns:pic="http://schemas.openxmlformats.org/drawingml/2006/picture">
                  <pic:nvPicPr>
                    <pic:cNvPr id="326" name="IM 326"/>
                    <pic:cNvPicPr/>
                  </pic:nvPicPr>
                  <pic:blipFill>
                    <a:blip r:embed="rId733"/>
                    <a:stretch>
                      <a:fillRect/>
                    </a:stretch>
                  </pic:blipFill>
                  <pic:spPr>
                    <a:xfrm>
                      <a:off x="0" y="0"/>
                      <a:ext cx="5724143" cy="8095488"/>
                    </a:xfrm>
                    <a:prstGeom prst="rect">
                      <a:avLst/>
                    </a:prstGeom>
                  </pic:spPr>
                </pic:pic>
              </a:graphicData>
            </a:graphic>
          </wp:inline>
        </w:drawing>
      </w:r>
    </w:p>
    <w:p w14:paraId="7D09267F">
      <w:pPr>
        <w:spacing w:line="12749" w:lineRule="exact"/>
        <w:sectPr>
          <w:footerReference r:id="rId564" w:type="default"/>
          <w:pgSz w:w="11906" w:h="16839"/>
          <w:pgMar w:top="1191" w:right="1440" w:bottom="1362" w:left="1440" w:header="882" w:footer="1200" w:gutter="0"/>
          <w:cols w:space="720" w:num="1"/>
        </w:sectPr>
      </w:pPr>
    </w:p>
    <w:p w14:paraId="71393C60">
      <w:pPr>
        <w:spacing w:line="28" w:lineRule="exact"/>
      </w:pPr>
      <w:r>
        <w:pict>
          <v:shape id="_x0000_s3141" o:spid="_x0000_s3141" style="height:1.45pt;width:451.3pt;" fillcolor="#000000" filled="t" stroked="f" coordsize="9025,29" path="m0,0l9025,0,9025,28,0,28,0,0xe">
            <v:path/>
            <v:fill on="t" focussize="0,0"/>
            <v:stroke on="f"/>
            <v:imagedata o:title=""/>
            <o:lock v:ext="edit"/>
            <w10:wrap type="none"/>
            <w10:anchorlock/>
          </v:shape>
        </w:pict>
      </w:r>
    </w:p>
    <w:p w14:paraId="51063355">
      <w:pPr>
        <w:spacing w:before="219" w:line="12749" w:lineRule="exact"/>
      </w:pPr>
      <w:r>
        <w:rPr>
          <w:position w:val="-254"/>
        </w:rPr>
        <w:drawing>
          <wp:inline distT="0" distB="0" distL="0" distR="0">
            <wp:extent cx="5723890" cy="8094980"/>
            <wp:effectExtent l="0" t="0" r="0" b="0"/>
            <wp:docPr id="328" name="IM 328"/>
            <wp:cNvGraphicFramePr/>
            <a:graphic xmlns:a="http://schemas.openxmlformats.org/drawingml/2006/main">
              <a:graphicData uri="http://schemas.openxmlformats.org/drawingml/2006/picture">
                <pic:pic xmlns:pic="http://schemas.openxmlformats.org/drawingml/2006/picture">
                  <pic:nvPicPr>
                    <pic:cNvPr id="328" name="IM 328"/>
                    <pic:cNvPicPr/>
                  </pic:nvPicPr>
                  <pic:blipFill>
                    <a:blip r:embed="rId734"/>
                    <a:stretch>
                      <a:fillRect/>
                    </a:stretch>
                  </pic:blipFill>
                  <pic:spPr>
                    <a:xfrm>
                      <a:off x="0" y="0"/>
                      <a:ext cx="5724143" cy="8095488"/>
                    </a:xfrm>
                    <a:prstGeom prst="rect">
                      <a:avLst/>
                    </a:prstGeom>
                  </pic:spPr>
                </pic:pic>
              </a:graphicData>
            </a:graphic>
          </wp:inline>
        </w:drawing>
      </w:r>
    </w:p>
    <w:p w14:paraId="787DC29E">
      <w:pPr>
        <w:spacing w:line="12749" w:lineRule="exact"/>
        <w:sectPr>
          <w:footerReference r:id="rId565" w:type="default"/>
          <w:pgSz w:w="11906" w:h="16839"/>
          <w:pgMar w:top="1191" w:right="1440" w:bottom="1362" w:left="1440" w:header="882" w:footer="1200" w:gutter="0"/>
          <w:cols w:space="720" w:num="1"/>
        </w:sectPr>
      </w:pPr>
    </w:p>
    <w:p w14:paraId="041AB569">
      <w:pPr>
        <w:spacing w:line="28" w:lineRule="exact"/>
      </w:pPr>
      <w:r>
        <w:pict>
          <v:shape id="_x0000_s3142" o:spid="_x0000_s3142" style="height:1.45pt;width:451.3pt;" fillcolor="#000000" filled="t" stroked="f" coordsize="9025,29" path="m0,0l9025,0,9025,28,0,28,0,0xe">
            <v:path/>
            <v:fill on="t" focussize="0,0"/>
            <v:stroke on="f"/>
            <v:imagedata o:title=""/>
            <o:lock v:ext="edit"/>
            <w10:wrap type="none"/>
            <w10:anchorlock/>
          </v:shape>
        </w:pict>
      </w:r>
    </w:p>
    <w:p w14:paraId="6E852BE7">
      <w:pPr>
        <w:spacing w:before="219" w:line="12749" w:lineRule="exact"/>
      </w:pPr>
      <w:r>
        <w:rPr>
          <w:position w:val="-254"/>
        </w:rPr>
        <w:drawing>
          <wp:inline distT="0" distB="0" distL="0" distR="0">
            <wp:extent cx="5723890" cy="8094980"/>
            <wp:effectExtent l="0" t="0" r="0" b="0"/>
            <wp:docPr id="330" name="IM 330"/>
            <wp:cNvGraphicFramePr/>
            <a:graphic xmlns:a="http://schemas.openxmlformats.org/drawingml/2006/main">
              <a:graphicData uri="http://schemas.openxmlformats.org/drawingml/2006/picture">
                <pic:pic xmlns:pic="http://schemas.openxmlformats.org/drawingml/2006/picture">
                  <pic:nvPicPr>
                    <pic:cNvPr id="330" name="IM 330"/>
                    <pic:cNvPicPr/>
                  </pic:nvPicPr>
                  <pic:blipFill>
                    <a:blip r:embed="rId735"/>
                    <a:stretch>
                      <a:fillRect/>
                    </a:stretch>
                  </pic:blipFill>
                  <pic:spPr>
                    <a:xfrm>
                      <a:off x="0" y="0"/>
                      <a:ext cx="5724143" cy="8095488"/>
                    </a:xfrm>
                    <a:prstGeom prst="rect">
                      <a:avLst/>
                    </a:prstGeom>
                  </pic:spPr>
                </pic:pic>
              </a:graphicData>
            </a:graphic>
          </wp:inline>
        </w:drawing>
      </w:r>
    </w:p>
    <w:p w14:paraId="27D9737F">
      <w:pPr>
        <w:spacing w:line="12749" w:lineRule="exact"/>
        <w:sectPr>
          <w:footerReference r:id="rId566" w:type="default"/>
          <w:pgSz w:w="11906" w:h="16839"/>
          <w:pgMar w:top="1191" w:right="1440" w:bottom="1362" w:left="1440" w:header="882" w:footer="1200" w:gutter="0"/>
          <w:cols w:space="720" w:num="1"/>
        </w:sectPr>
      </w:pPr>
    </w:p>
    <w:p w14:paraId="5577818A">
      <w:pPr>
        <w:spacing w:line="28" w:lineRule="exact"/>
      </w:pPr>
      <w:r>
        <w:pict>
          <v:shape id="_x0000_s3143" o:spid="_x0000_s3143" style="height:1.45pt;width:451.3pt;" fillcolor="#000000" filled="t" stroked="f" coordsize="9025,29" path="m0,0l9025,0,9025,28,0,28,0,0xe">
            <v:path/>
            <v:fill on="t" focussize="0,0"/>
            <v:stroke on="f"/>
            <v:imagedata o:title=""/>
            <o:lock v:ext="edit"/>
            <w10:wrap type="none"/>
            <w10:anchorlock/>
          </v:shape>
        </w:pict>
      </w:r>
    </w:p>
    <w:p w14:paraId="3332FDB7">
      <w:pPr>
        <w:spacing w:before="219" w:line="12749" w:lineRule="exact"/>
      </w:pPr>
      <w:r>
        <w:rPr>
          <w:position w:val="-254"/>
        </w:rPr>
        <w:drawing>
          <wp:inline distT="0" distB="0" distL="0" distR="0">
            <wp:extent cx="5723890" cy="8094980"/>
            <wp:effectExtent l="0" t="0" r="0" b="0"/>
            <wp:docPr id="332" name="IM 332"/>
            <wp:cNvGraphicFramePr/>
            <a:graphic xmlns:a="http://schemas.openxmlformats.org/drawingml/2006/main">
              <a:graphicData uri="http://schemas.openxmlformats.org/drawingml/2006/picture">
                <pic:pic xmlns:pic="http://schemas.openxmlformats.org/drawingml/2006/picture">
                  <pic:nvPicPr>
                    <pic:cNvPr id="332" name="IM 332"/>
                    <pic:cNvPicPr/>
                  </pic:nvPicPr>
                  <pic:blipFill>
                    <a:blip r:embed="rId736"/>
                    <a:stretch>
                      <a:fillRect/>
                    </a:stretch>
                  </pic:blipFill>
                  <pic:spPr>
                    <a:xfrm>
                      <a:off x="0" y="0"/>
                      <a:ext cx="5724143" cy="8095488"/>
                    </a:xfrm>
                    <a:prstGeom prst="rect">
                      <a:avLst/>
                    </a:prstGeom>
                  </pic:spPr>
                </pic:pic>
              </a:graphicData>
            </a:graphic>
          </wp:inline>
        </w:drawing>
      </w:r>
    </w:p>
    <w:p w14:paraId="2BA6ECCF">
      <w:pPr>
        <w:spacing w:line="12749" w:lineRule="exact"/>
        <w:sectPr>
          <w:footerReference r:id="rId567" w:type="default"/>
          <w:pgSz w:w="11906" w:h="16839"/>
          <w:pgMar w:top="1191" w:right="1440" w:bottom="1362" w:left="1440" w:header="882" w:footer="1200" w:gutter="0"/>
          <w:cols w:space="720" w:num="1"/>
        </w:sectPr>
      </w:pPr>
    </w:p>
    <w:p w14:paraId="5654575B">
      <w:pPr>
        <w:spacing w:line="28" w:lineRule="exact"/>
      </w:pPr>
      <w:r>
        <w:pict>
          <v:shape id="_x0000_s3144" o:spid="_x0000_s3144" style="height:1.45pt;width:451.3pt;" fillcolor="#000000" filled="t" stroked="f" coordsize="9025,29" path="m0,0l9025,0,9025,28,0,28,0,0xe">
            <v:path/>
            <v:fill on="t" focussize="0,0"/>
            <v:stroke on="f"/>
            <v:imagedata o:title=""/>
            <o:lock v:ext="edit"/>
            <w10:wrap type="none"/>
            <w10:anchorlock/>
          </v:shape>
        </w:pict>
      </w:r>
    </w:p>
    <w:p w14:paraId="312495FD">
      <w:pPr>
        <w:spacing w:before="219" w:line="12749" w:lineRule="exact"/>
      </w:pPr>
      <w:r>
        <w:rPr>
          <w:position w:val="-254"/>
        </w:rPr>
        <w:drawing>
          <wp:inline distT="0" distB="0" distL="0" distR="0">
            <wp:extent cx="5723890" cy="8094980"/>
            <wp:effectExtent l="0" t="0" r="0" b="0"/>
            <wp:docPr id="334" name="IM 334"/>
            <wp:cNvGraphicFramePr/>
            <a:graphic xmlns:a="http://schemas.openxmlformats.org/drawingml/2006/main">
              <a:graphicData uri="http://schemas.openxmlformats.org/drawingml/2006/picture">
                <pic:pic xmlns:pic="http://schemas.openxmlformats.org/drawingml/2006/picture">
                  <pic:nvPicPr>
                    <pic:cNvPr id="334" name="IM 334"/>
                    <pic:cNvPicPr/>
                  </pic:nvPicPr>
                  <pic:blipFill>
                    <a:blip r:embed="rId737"/>
                    <a:stretch>
                      <a:fillRect/>
                    </a:stretch>
                  </pic:blipFill>
                  <pic:spPr>
                    <a:xfrm>
                      <a:off x="0" y="0"/>
                      <a:ext cx="5724143" cy="8095488"/>
                    </a:xfrm>
                    <a:prstGeom prst="rect">
                      <a:avLst/>
                    </a:prstGeom>
                  </pic:spPr>
                </pic:pic>
              </a:graphicData>
            </a:graphic>
          </wp:inline>
        </w:drawing>
      </w:r>
    </w:p>
    <w:p w14:paraId="102F12DA">
      <w:pPr>
        <w:spacing w:line="12749" w:lineRule="exact"/>
        <w:sectPr>
          <w:footerReference r:id="rId568" w:type="default"/>
          <w:pgSz w:w="11906" w:h="16839"/>
          <w:pgMar w:top="1191" w:right="1440" w:bottom="1362" w:left="1440" w:header="882" w:footer="1200" w:gutter="0"/>
          <w:cols w:space="720" w:num="1"/>
        </w:sectPr>
      </w:pPr>
    </w:p>
    <w:p w14:paraId="4AE3EF0D">
      <w:pPr>
        <w:spacing w:line="28" w:lineRule="exact"/>
      </w:pPr>
      <w:r>
        <w:pict>
          <v:shape id="_x0000_s3145" o:spid="_x0000_s3145" style="height:1.45pt;width:451.3pt;" fillcolor="#000000" filled="t" stroked="f" coordsize="9025,29" path="m0,0l9025,0,9025,28,0,28,0,0xe">
            <v:path/>
            <v:fill on="t" focussize="0,0"/>
            <v:stroke on="f"/>
            <v:imagedata o:title=""/>
            <o:lock v:ext="edit"/>
            <w10:wrap type="none"/>
            <w10:anchorlock/>
          </v:shape>
        </w:pict>
      </w:r>
    </w:p>
    <w:p w14:paraId="12ECEA82">
      <w:pPr>
        <w:spacing w:before="219" w:line="12749" w:lineRule="exact"/>
      </w:pPr>
      <w:r>
        <w:rPr>
          <w:position w:val="-254"/>
        </w:rPr>
        <w:drawing>
          <wp:inline distT="0" distB="0" distL="0" distR="0">
            <wp:extent cx="5723890" cy="8094980"/>
            <wp:effectExtent l="0" t="0" r="0" b="0"/>
            <wp:docPr id="336" name="IM 336"/>
            <wp:cNvGraphicFramePr/>
            <a:graphic xmlns:a="http://schemas.openxmlformats.org/drawingml/2006/main">
              <a:graphicData uri="http://schemas.openxmlformats.org/drawingml/2006/picture">
                <pic:pic xmlns:pic="http://schemas.openxmlformats.org/drawingml/2006/picture">
                  <pic:nvPicPr>
                    <pic:cNvPr id="336" name="IM 336"/>
                    <pic:cNvPicPr/>
                  </pic:nvPicPr>
                  <pic:blipFill>
                    <a:blip r:embed="rId738"/>
                    <a:stretch>
                      <a:fillRect/>
                    </a:stretch>
                  </pic:blipFill>
                  <pic:spPr>
                    <a:xfrm>
                      <a:off x="0" y="0"/>
                      <a:ext cx="5724143" cy="8095488"/>
                    </a:xfrm>
                    <a:prstGeom prst="rect">
                      <a:avLst/>
                    </a:prstGeom>
                  </pic:spPr>
                </pic:pic>
              </a:graphicData>
            </a:graphic>
          </wp:inline>
        </w:drawing>
      </w:r>
    </w:p>
    <w:p w14:paraId="5CB1DA2B">
      <w:pPr>
        <w:spacing w:line="12749" w:lineRule="exact"/>
        <w:sectPr>
          <w:footerReference r:id="rId569" w:type="default"/>
          <w:pgSz w:w="11906" w:h="16839"/>
          <w:pgMar w:top="1191" w:right="1440" w:bottom="1362" w:left="1440" w:header="882" w:footer="1200" w:gutter="0"/>
          <w:cols w:space="720" w:num="1"/>
        </w:sectPr>
      </w:pPr>
    </w:p>
    <w:p w14:paraId="31014BD9">
      <w:pPr>
        <w:spacing w:line="28" w:lineRule="exact"/>
      </w:pPr>
      <w:r>
        <w:pict>
          <v:shape id="_x0000_s3146" o:spid="_x0000_s3146" style="height:1.45pt;width:451.3pt;" fillcolor="#000000" filled="t" stroked="f" coordsize="9025,29" path="m0,0l9025,0,9025,28,0,28,0,0xe">
            <v:path/>
            <v:fill on="t" focussize="0,0"/>
            <v:stroke on="f"/>
            <v:imagedata o:title=""/>
            <o:lock v:ext="edit"/>
            <w10:wrap type="none"/>
            <w10:anchorlock/>
          </v:shape>
        </w:pict>
      </w:r>
    </w:p>
    <w:p w14:paraId="57D6AE8E">
      <w:pPr>
        <w:spacing w:before="219" w:line="12749" w:lineRule="exact"/>
      </w:pPr>
      <w:r>
        <w:rPr>
          <w:position w:val="-254"/>
        </w:rPr>
        <w:drawing>
          <wp:inline distT="0" distB="0" distL="0" distR="0">
            <wp:extent cx="5723890" cy="8094980"/>
            <wp:effectExtent l="0" t="0" r="0" b="0"/>
            <wp:docPr id="338" name="IM 338"/>
            <wp:cNvGraphicFramePr/>
            <a:graphic xmlns:a="http://schemas.openxmlformats.org/drawingml/2006/main">
              <a:graphicData uri="http://schemas.openxmlformats.org/drawingml/2006/picture">
                <pic:pic xmlns:pic="http://schemas.openxmlformats.org/drawingml/2006/picture">
                  <pic:nvPicPr>
                    <pic:cNvPr id="338" name="IM 338"/>
                    <pic:cNvPicPr/>
                  </pic:nvPicPr>
                  <pic:blipFill>
                    <a:blip r:embed="rId739"/>
                    <a:stretch>
                      <a:fillRect/>
                    </a:stretch>
                  </pic:blipFill>
                  <pic:spPr>
                    <a:xfrm>
                      <a:off x="0" y="0"/>
                      <a:ext cx="5724143" cy="8095488"/>
                    </a:xfrm>
                    <a:prstGeom prst="rect">
                      <a:avLst/>
                    </a:prstGeom>
                  </pic:spPr>
                </pic:pic>
              </a:graphicData>
            </a:graphic>
          </wp:inline>
        </w:drawing>
      </w:r>
    </w:p>
    <w:p w14:paraId="0C25BE67">
      <w:pPr>
        <w:spacing w:line="12749" w:lineRule="exact"/>
        <w:sectPr>
          <w:footerReference r:id="rId570" w:type="default"/>
          <w:pgSz w:w="11906" w:h="16839"/>
          <w:pgMar w:top="1191" w:right="1440" w:bottom="1362" w:left="1440" w:header="882" w:footer="1200" w:gutter="0"/>
          <w:cols w:space="720" w:num="1"/>
        </w:sectPr>
      </w:pPr>
    </w:p>
    <w:p w14:paraId="59E89A6F">
      <w:pPr>
        <w:spacing w:line="28" w:lineRule="exact"/>
      </w:pPr>
      <w:r>
        <w:pict>
          <v:shape id="_x0000_s3147" o:spid="_x0000_s3147" style="height:1.45pt;width:451.3pt;" fillcolor="#000000" filled="t" stroked="f" coordsize="9025,29" path="m0,0l9025,0,9025,28,0,28,0,0xe">
            <v:path/>
            <v:fill on="t" focussize="0,0"/>
            <v:stroke on="f"/>
            <v:imagedata o:title=""/>
            <o:lock v:ext="edit"/>
            <w10:wrap type="none"/>
            <w10:anchorlock/>
          </v:shape>
        </w:pict>
      </w:r>
    </w:p>
    <w:p w14:paraId="189B247D">
      <w:pPr>
        <w:spacing w:before="219" w:line="12749" w:lineRule="exact"/>
      </w:pPr>
      <w:r>
        <w:rPr>
          <w:position w:val="-254"/>
        </w:rPr>
        <w:drawing>
          <wp:inline distT="0" distB="0" distL="0" distR="0">
            <wp:extent cx="5723890" cy="8094980"/>
            <wp:effectExtent l="0" t="0" r="0" b="0"/>
            <wp:docPr id="340" name="IM 340"/>
            <wp:cNvGraphicFramePr/>
            <a:graphic xmlns:a="http://schemas.openxmlformats.org/drawingml/2006/main">
              <a:graphicData uri="http://schemas.openxmlformats.org/drawingml/2006/picture">
                <pic:pic xmlns:pic="http://schemas.openxmlformats.org/drawingml/2006/picture">
                  <pic:nvPicPr>
                    <pic:cNvPr id="340" name="IM 340"/>
                    <pic:cNvPicPr/>
                  </pic:nvPicPr>
                  <pic:blipFill>
                    <a:blip r:embed="rId740"/>
                    <a:stretch>
                      <a:fillRect/>
                    </a:stretch>
                  </pic:blipFill>
                  <pic:spPr>
                    <a:xfrm>
                      <a:off x="0" y="0"/>
                      <a:ext cx="5724143" cy="8095488"/>
                    </a:xfrm>
                    <a:prstGeom prst="rect">
                      <a:avLst/>
                    </a:prstGeom>
                  </pic:spPr>
                </pic:pic>
              </a:graphicData>
            </a:graphic>
          </wp:inline>
        </w:drawing>
      </w:r>
    </w:p>
    <w:p w14:paraId="68E17628">
      <w:pPr>
        <w:spacing w:line="12749" w:lineRule="exact"/>
        <w:sectPr>
          <w:footerReference r:id="rId571" w:type="default"/>
          <w:pgSz w:w="11906" w:h="16839"/>
          <w:pgMar w:top="1191" w:right="1440" w:bottom="1362" w:left="1440" w:header="882" w:footer="1200" w:gutter="0"/>
          <w:cols w:space="720" w:num="1"/>
        </w:sectPr>
      </w:pPr>
    </w:p>
    <w:p w14:paraId="6721DF0E">
      <w:pPr>
        <w:spacing w:line="28" w:lineRule="exact"/>
      </w:pPr>
      <w:r>
        <w:pict>
          <v:shape id="_x0000_s3148" o:spid="_x0000_s3148" style="height:1.45pt;width:451.3pt;" fillcolor="#000000" filled="t" stroked="f" coordsize="9025,29" path="m0,0l9025,0,9025,28,0,28,0,0xe">
            <v:path/>
            <v:fill on="t" focussize="0,0"/>
            <v:stroke on="f"/>
            <v:imagedata o:title=""/>
            <o:lock v:ext="edit"/>
            <w10:wrap type="none"/>
            <w10:anchorlock/>
          </v:shape>
        </w:pict>
      </w:r>
    </w:p>
    <w:p w14:paraId="52796E48">
      <w:pPr>
        <w:spacing w:before="219" w:line="12749" w:lineRule="exact"/>
      </w:pPr>
      <w:r>
        <w:rPr>
          <w:position w:val="-254"/>
        </w:rPr>
        <w:drawing>
          <wp:inline distT="0" distB="0" distL="0" distR="0">
            <wp:extent cx="5723890" cy="8094980"/>
            <wp:effectExtent l="0" t="0" r="0" b="0"/>
            <wp:docPr id="342" name="IM 342"/>
            <wp:cNvGraphicFramePr/>
            <a:graphic xmlns:a="http://schemas.openxmlformats.org/drawingml/2006/main">
              <a:graphicData uri="http://schemas.openxmlformats.org/drawingml/2006/picture">
                <pic:pic xmlns:pic="http://schemas.openxmlformats.org/drawingml/2006/picture">
                  <pic:nvPicPr>
                    <pic:cNvPr id="342" name="IM 342"/>
                    <pic:cNvPicPr/>
                  </pic:nvPicPr>
                  <pic:blipFill>
                    <a:blip r:embed="rId741"/>
                    <a:stretch>
                      <a:fillRect/>
                    </a:stretch>
                  </pic:blipFill>
                  <pic:spPr>
                    <a:xfrm>
                      <a:off x="0" y="0"/>
                      <a:ext cx="5724143" cy="8095488"/>
                    </a:xfrm>
                    <a:prstGeom prst="rect">
                      <a:avLst/>
                    </a:prstGeom>
                  </pic:spPr>
                </pic:pic>
              </a:graphicData>
            </a:graphic>
          </wp:inline>
        </w:drawing>
      </w:r>
    </w:p>
    <w:p w14:paraId="2FEBDD47">
      <w:pPr>
        <w:spacing w:line="12749" w:lineRule="exact"/>
        <w:sectPr>
          <w:footerReference r:id="rId572" w:type="default"/>
          <w:pgSz w:w="11906" w:h="16839"/>
          <w:pgMar w:top="1191" w:right="1440" w:bottom="1362" w:left="1440" w:header="882" w:footer="1200" w:gutter="0"/>
          <w:cols w:space="720" w:num="1"/>
        </w:sectPr>
      </w:pPr>
    </w:p>
    <w:p w14:paraId="5717BB50">
      <w:pPr>
        <w:spacing w:line="28" w:lineRule="exact"/>
      </w:pPr>
      <w:r>
        <w:pict>
          <v:shape id="_x0000_s3149" o:spid="_x0000_s3149" style="height:1.45pt;width:451.3pt;" fillcolor="#000000" filled="t" stroked="f" coordsize="9025,29" path="m0,0l9025,0,9025,28,0,28,0,0xe">
            <v:path/>
            <v:fill on="t" focussize="0,0"/>
            <v:stroke on="f"/>
            <v:imagedata o:title=""/>
            <o:lock v:ext="edit"/>
            <w10:wrap type="none"/>
            <w10:anchorlock/>
          </v:shape>
        </w:pict>
      </w:r>
    </w:p>
    <w:p w14:paraId="394D9A1D">
      <w:pPr>
        <w:spacing w:before="219" w:line="12749" w:lineRule="exact"/>
      </w:pPr>
      <w:r>
        <w:rPr>
          <w:position w:val="-254"/>
        </w:rPr>
        <w:drawing>
          <wp:inline distT="0" distB="0" distL="0" distR="0">
            <wp:extent cx="5723890" cy="8094980"/>
            <wp:effectExtent l="0" t="0" r="0" b="0"/>
            <wp:docPr id="344" name="IM 344"/>
            <wp:cNvGraphicFramePr/>
            <a:graphic xmlns:a="http://schemas.openxmlformats.org/drawingml/2006/main">
              <a:graphicData uri="http://schemas.openxmlformats.org/drawingml/2006/picture">
                <pic:pic xmlns:pic="http://schemas.openxmlformats.org/drawingml/2006/picture">
                  <pic:nvPicPr>
                    <pic:cNvPr id="344" name="IM 344"/>
                    <pic:cNvPicPr/>
                  </pic:nvPicPr>
                  <pic:blipFill>
                    <a:blip r:embed="rId742"/>
                    <a:stretch>
                      <a:fillRect/>
                    </a:stretch>
                  </pic:blipFill>
                  <pic:spPr>
                    <a:xfrm>
                      <a:off x="0" y="0"/>
                      <a:ext cx="5724143" cy="8095488"/>
                    </a:xfrm>
                    <a:prstGeom prst="rect">
                      <a:avLst/>
                    </a:prstGeom>
                  </pic:spPr>
                </pic:pic>
              </a:graphicData>
            </a:graphic>
          </wp:inline>
        </w:drawing>
      </w:r>
    </w:p>
    <w:p w14:paraId="06DAE413">
      <w:pPr>
        <w:spacing w:line="12749" w:lineRule="exact"/>
        <w:sectPr>
          <w:footerReference r:id="rId573" w:type="default"/>
          <w:pgSz w:w="11906" w:h="16839"/>
          <w:pgMar w:top="1191" w:right="1440" w:bottom="1362" w:left="1440" w:header="882" w:footer="1200" w:gutter="0"/>
          <w:cols w:space="720" w:num="1"/>
        </w:sectPr>
      </w:pPr>
    </w:p>
    <w:p w14:paraId="1F063A26">
      <w:pPr>
        <w:spacing w:line="28" w:lineRule="exact"/>
      </w:pPr>
      <w:r>
        <w:pict>
          <v:shape id="_x0000_s3150" o:spid="_x0000_s3150" style="height:1.45pt;width:451.3pt;" fillcolor="#000000" filled="t" stroked="f" coordsize="9025,29" path="m0,0l9025,0,9025,28,0,28,0,0xe">
            <v:path/>
            <v:fill on="t" focussize="0,0"/>
            <v:stroke on="f"/>
            <v:imagedata o:title=""/>
            <o:lock v:ext="edit"/>
            <w10:wrap type="none"/>
            <w10:anchorlock/>
          </v:shape>
        </w:pict>
      </w:r>
    </w:p>
    <w:p w14:paraId="4E724F6A">
      <w:pPr>
        <w:spacing w:before="219" w:line="12749" w:lineRule="exact"/>
      </w:pPr>
      <w:r>
        <w:rPr>
          <w:position w:val="-254"/>
        </w:rPr>
        <w:drawing>
          <wp:inline distT="0" distB="0" distL="0" distR="0">
            <wp:extent cx="5723890" cy="8094980"/>
            <wp:effectExtent l="0" t="0" r="0" b="0"/>
            <wp:docPr id="346" name="IM 346"/>
            <wp:cNvGraphicFramePr/>
            <a:graphic xmlns:a="http://schemas.openxmlformats.org/drawingml/2006/main">
              <a:graphicData uri="http://schemas.openxmlformats.org/drawingml/2006/picture">
                <pic:pic xmlns:pic="http://schemas.openxmlformats.org/drawingml/2006/picture">
                  <pic:nvPicPr>
                    <pic:cNvPr id="346" name="IM 346"/>
                    <pic:cNvPicPr/>
                  </pic:nvPicPr>
                  <pic:blipFill>
                    <a:blip r:embed="rId743"/>
                    <a:stretch>
                      <a:fillRect/>
                    </a:stretch>
                  </pic:blipFill>
                  <pic:spPr>
                    <a:xfrm>
                      <a:off x="0" y="0"/>
                      <a:ext cx="5724143" cy="8095488"/>
                    </a:xfrm>
                    <a:prstGeom prst="rect">
                      <a:avLst/>
                    </a:prstGeom>
                  </pic:spPr>
                </pic:pic>
              </a:graphicData>
            </a:graphic>
          </wp:inline>
        </w:drawing>
      </w:r>
    </w:p>
    <w:p w14:paraId="75BCA07A">
      <w:pPr>
        <w:spacing w:line="12749" w:lineRule="exact"/>
        <w:sectPr>
          <w:footerReference r:id="rId574" w:type="default"/>
          <w:pgSz w:w="11906" w:h="16839"/>
          <w:pgMar w:top="1191" w:right="1440" w:bottom="1362" w:left="1440" w:header="882" w:footer="1200" w:gutter="0"/>
          <w:cols w:space="720" w:num="1"/>
        </w:sectPr>
      </w:pPr>
    </w:p>
    <w:p w14:paraId="315CB534">
      <w:pPr>
        <w:spacing w:line="28" w:lineRule="exact"/>
      </w:pPr>
      <w:r>
        <w:pict>
          <v:shape id="_x0000_s3151" o:spid="_x0000_s3151" style="height:1.45pt;width:451.3pt;" fillcolor="#000000" filled="t" stroked="f" coordsize="9025,29" path="m0,0l9025,0,9025,28,0,28,0,0xe">
            <v:path/>
            <v:fill on="t" focussize="0,0"/>
            <v:stroke on="f"/>
            <v:imagedata o:title=""/>
            <o:lock v:ext="edit"/>
            <w10:wrap type="none"/>
            <w10:anchorlock/>
          </v:shape>
        </w:pict>
      </w:r>
    </w:p>
    <w:p w14:paraId="4F36C300">
      <w:pPr>
        <w:spacing w:before="219" w:line="12749" w:lineRule="exact"/>
      </w:pPr>
      <w:r>
        <w:rPr>
          <w:position w:val="-254"/>
        </w:rPr>
        <w:drawing>
          <wp:inline distT="0" distB="0" distL="0" distR="0">
            <wp:extent cx="5723890" cy="8094980"/>
            <wp:effectExtent l="0" t="0" r="0" b="0"/>
            <wp:docPr id="348" name="IM 348"/>
            <wp:cNvGraphicFramePr/>
            <a:graphic xmlns:a="http://schemas.openxmlformats.org/drawingml/2006/main">
              <a:graphicData uri="http://schemas.openxmlformats.org/drawingml/2006/picture">
                <pic:pic xmlns:pic="http://schemas.openxmlformats.org/drawingml/2006/picture">
                  <pic:nvPicPr>
                    <pic:cNvPr id="348" name="IM 348"/>
                    <pic:cNvPicPr/>
                  </pic:nvPicPr>
                  <pic:blipFill>
                    <a:blip r:embed="rId744"/>
                    <a:stretch>
                      <a:fillRect/>
                    </a:stretch>
                  </pic:blipFill>
                  <pic:spPr>
                    <a:xfrm>
                      <a:off x="0" y="0"/>
                      <a:ext cx="5724143" cy="8095488"/>
                    </a:xfrm>
                    <a:prstGeom prst="rect">
                      <a:avLst/>
                    </a:prstGeom>
                  </pic:spPr>
                </pic:pic>
              </a:graphicData>
            </a:graphic>
          </wp:inline>
        </w:drawing>
      </w:r>
    </w:p>
    <w:p w14:paraId="231C89BA">
      <w:pPr>
        <w:spacing w:line="12749" w:lineRule="exact"/>
        <w:sectPr>
          <w:footerReference r:id="rId575" w:type="default"/>
          <w:pgSz w:w="11906" w:h="16839"/>
          <w:pgMar w:top="1191" w:right="1440" w:bottom="1362" w:left="1440" w:header="882" w:footer="1200" w:gutter="0"/>
          <w:cols w:space="720" w:num="1"/>
        </w:sectPr>
      </w:pPr>
    </w:p>
    <w:p w14:paraId="504379BF">
      <w:pPr>
        <w:spacing w:line="28" w:lineRule="exact"/>
      </w:pPr>
      <w:r>
        <w:pict>
          <v:shape id="_x0000_s3152" o:spid="_x0000_s3152" style="height:1.45pt;width:451.3pt;" fillcolor="#000000" filled="t" stroked="f" coordsize="9025,29" path="m0,0l9025,0,9025,28,0,28,0,0xe">
            <v:path/>
            <v:fill on="t" focussize="0,0"/>
            <v:stroke on="f"/>
            <v:imagedata o:title=""/>
            <o:lock v:ext="edit"/>
            <w10:wrap type="none"/>
            <w10:anchorlock/>
          </v:shape>
        </w:pict>
      </w:r>
    </w:p>
    <w:p w14:paraId="5EDB6EF5">
      <w:pPr>
        <w:spacing w:before="219" w:line="12749" w:lineRule="exact"/>
      </w:pPr>
      <w:r>
        <w:rPr>
          <w:position w:val="-254"/>
        </w:rPr>
        <w:drawing>
          <wp:inline distT="0" distB="0" distL="0" distR="0">
            <wp:extent cx="5723890" cy="8094980"/>
            <wp:effectExtent l="0" t="0" r="0" b="0"/>
            <wp:docPr id="350" name="IM 350"/>
            <wp:cNvGraphicFramePr/>
            <a:graphic xmlns:a="http://schemas.openxmlformats.org/drawingml/2006/main">
              <a:graphicData uri="http://schemas.openxmlformats.org/drawingml/2006/picture">
                <pic:pic xmlns:pic="http://schemas.openxmlformats.org/drawingml/2006/picture">
                  <pic:nvPicPr>
                    <pic:cNvPr id="350" name="IM 350"/>
                    <pic:cNvPicPr/>
                  </pic:nvPicPr>
                  <pic:blipFill>
                    <a:blip r:embed="rId745"/>
                    <a:stretch>
                      <a:fillRect/>
                    </a:stretch>
                  </pic:blipFill>
                  <pic:spPr>
                    <a:xfrm>
                      <a:off x="0" y="0"/>
                      <a:ext cx="5724143" cy="8095488"/>
                    </a:xfrm>
                    <a:prstGeom prst="rect">
                      <a:avLst/>
                    </a:prstGeom>
                  </pic:spPr>
                </pic:pic>
              </a:graphicData>
            </a:graphic>
          </wp:inline>
        </w:drawing>
      </w:r>
    </w:p>
    <w:p w14:paraId="62219BDD">
      <w:pPr>
        <w:spacing w:line="12749" w:lineRule="exact"/>
        <w:sectPr>
          <w:footerReference r:id="rId576" w:type="default"/>
          <w:pgSz w:w="11906" w:h="16839"/>
          <w:pgMar w:top="1191" w:right="1440" w:bottom="1362" w:left="1440" w:header="882" w:footer="1200" w:gutter="0"/>
          <w:cols w:space="720" w:num="1"/>
        </w:sectPr>
      </w:pPr>
    </w:p>
    <w:p w14:paraId="743435AD">
      <w:pPr>
        <w:spacing w:line="28" w:lineRule="exact"/>
      </w:pPr>
      <w:r>
        <w:pict>
          <v:shape id="_x0000_s3153" o:spid="_x0000_s3153" style="height:1.45pt;width:451.3pt;" fillcolor="#000000" filled="t" stroked="f" coordsize="9025,29" path="m0,0l9025,0,9025,28,0,28,0,0xe">
            <v:path/>
            <v:fill on="t" focussize="0,0"/>
            <v:stroke on="f"/>
            <v:imagedata o:title=""/>
            <o:lock v:ext="edit"/>
            <w10:wrap type="none"/>
            <w10:anchorlock/>
          </v:shape>
        </w:pict>
      </w:r>
    </w:p>
    <w:p w14:paraId="4B88EC6E">
      <w:pPr>
        <w:spacing w:before="219" w:line="12749" w:lineRule="exact"/>
      </w:pPr>
      <w:r>
        <w:rPr>
          <w:position w:val="-254"/>
        </w:rPr>
        <w:drawing>
          <wp:inline distT="0" distB="0" distL="0" distR="0">
            <wp:extent cx="5723890" cy="8094980"/>
            <wp:effectExtent l="0" t="0" r="0" b="0"/>
            <wp:docPr id="352" name="IM 352"/>
            <wp:cNvGraphicFramePr/>
            <a:graphic xmlns:a="http://schemas.openxmlformats.org/drawingml/2006/main">
              <a:graphicData uri="http://schemas.openxmlformats.org/drawingml/2006/picture">
                <pic:pic xmlns:pic="http://schemas.openxmlformats.org/drawingml/2006/picture">
                  <pic:nvPicPr>
                    <pic:cNvPr id="352" name="IM 352"/>
                    <pic:cNvPicPr/>
                  </pic:nvPicPr>
                  <pic:blipFill>
                    <a:blip r:embed="rId746"/>
                    <a:stretch>
                      <a:fillRect/>
                    </a:stretch>
                  </pic:blipFill>
                  <pic:spPr>
                    <a:xfrm>
                      <a:off x="0" y="0"/>
                      <a:ext cx="5724143" cy="8095488"/>
                    </a:xfrm>
                    <a:prstGeom prst="rect">
                      <a:avLst/>
                    </a:prstGeom>
                  </pic:spPr>
                </pic:pic>
              </a:graphicData>
            </a:graphic>
          </wp:inline>
        </w:drawing>
      </w:r>
    </w:p>
    <w:p w14:paraId="6813C789">
      <w:pPr>
        <w:spacing w:line="12749" w:lineRule="exact"/>
        <w:sectPr>
          <w:footerReference r:id="rId577" w:type="default"/>
          <w:pgSz w:w="11906" w:h="16839"/>
          <w:pgMar w:top="1191" w:right="1440" w:bottom="1362" w:left="1440" w:header="882" w:footer="1200" w:gutter="0"/>
          <w:cols w:space="720" w:num="1"/>
        </w:sectPr>
      </w:pPr>
    </w:p>
    <w:p w14:paraId="79191B81">
      <w:pPr>
        <w:spacing w:line="28" w:lineRule="exact"/>
      </w:pPr>
      <w:r>
        <w:pict>
          <v:shape id="_x0000_s3154" o:spid="_x0000_s3154" style="height:1.45pt;width:451.3pt;" fillcolor="#000000" filled="t" stroked="f" coordsize="9025,29" path="m0,0l9025,0,9025,28,0,28,0,0xe">
            <v:path/>
            <v:fill on="t" focussize="0,0"/>
            <v:stroke on="f"/>
            <v:imagedata o:title=""/>
            <o:lock v:ext="edit"/>
            <w10:wrap type="none"/>
            <w10:anchorlock/>
          </v:shape>
        </w:pict>
      </w:r>
    </w:p>
    <w:p w14:paraId="024A62C1">
      <w:pPr>
        <w:spacing w:before="219" w:line="12749" w:lineRule="exact"/>
      </w:pPr>
      <w:r>
        <w:rPr>
          <w:position w:val="-254"/>
        </w:rPr>
        <w:drawing>
          <wp:inline distT="0" distB="0" distL="0" distR="0">
            <wp:extent cx="5723890" cy="8094980"/>
            <wp:effectExtent l="0" t="0" r="0" b="0"/>
            <wp:docPr id="354" name="IM 354"/>
            <wp:cNvGraphicFramePr/>
            <a:graphic xmlns:a="http://schemas.openxmlformats.org/drawingml/2006/main">
              <a:graphicData uri="http://schemas.openxmlformats.org/drawingml/2006/picture">
                <pic:pic xmlns:pic="http://schemas.openxmlformats.org/drawingml/2006/picture">
                  <pic:nvPicPr>
                    <pic:cNvPr id="354" name="IM 354"/>
                    <pic:cNvPicPr/>
                  </pic:nvPicPr>
                  <pic:blipFill>
                    <a:blip r:embed="rId747"/>
                    <a:stretch>
                      <a:fillRect/>
                    </a:stretch>
                  </pic:blipFill>
                  <pic:spPr>
                    <a:xfrm>
                      <a:off x="0" y="0"/>
                      <a:ext cx="5724143" cy="8095488"/>
                    </a:xfrm>
                    <a:prstGeom prst="rect">
                      <a:avLst/>
                    </a:prstGeom>
                  </pic:spPr>
                </pic:pic>
              </a:graphicData>
            </a:graphic>
          </wp:inline>
        </w:drawing>
      </w:r>
    </w:p>
    <w:sectPr>
      <w:footerReference r:id="rId578" w:type="default"/>
      <w:pgSz w:w="11906" w:h="16839"/>
      <w:pgMar w:top="1191" w:right="1440" w:bottom="1362" w:left="1440" w:header="882" w:footer="120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S PGothic">
    <w:panose1 w:val="020B0600070205080204"/>
    <w:charset w:val="80"/>
    <w:family w:val="auto"/>
    <w:pitch w:val="default"/>
    <w:sig w:usb0="E00002FF" w:usb1="6AC7FDFB" w:usb2="08000012" w:usb3="00000000" w:csb0="4002009F" w:csb1="DFD70000"/>
  </w:font>
  <w:font w:name="微软雅黑">
    <w:panose1 w:val="020B0503020204020204"/>
    <w:charset w:val="86"/>
    <w:family w:val="auto"/>
    <w:pitch w:val="default"/>
    <w:sig w:usb0="80000287" w:usb1="2ACF3C50" w:usb2="00000016" w:usb3="00000000" w:csb0="0004001F" w:csb1="00000000"/>
  </w:font>
  <w:font w:name="新宋体">
    <w:panose1 w:val="02010609030101010101"/>
    <w:charset w:val="86"/>
    <w:family w:val="auto"/>
    <w:pitch w:val="default"/>
    <w:sig w:usb0="00000203" w:usb1="288F0000" w:usb2="00000006" w:usb3="00000000" w:csb0="00040001" w:csb1="00000000"/>
  </w:font>
  <w:font w:name="Cambria Math">
    <w:panose1 w:val="02040503050406030204"/>
    <w:charset w:val="00"/>
    <w:family w:val="auto"/>
    <w:pitch w:val="default"/>
    <w:sig w:usb0="E00006FF" w:usb1="420024FF" w:usb2="02000000" w:usb3="00000000" w:csb0="2000019F" w:csb1="00000000"/>
  </w:font>
  <w:font w:name="MS UI Gothic">
    <w:panose1 w:val="020B0600070205080204"/>
    <w:charset w:val="80"/>
    <w:family w:val="auto"/>
    <w:pitch w:val="default"/>
    <w:sig w:usb0="E00002FF" w:usb1="6AC7FDFB" w:usb2="08000012" w:usb3="00000000" w:csb0="4002009F" w:csb1="DFD70000"/>
  </w:font>
  <w:font w:name="仿宋">
    <w:panose1 w:val="02010609060101010101"/>
    <w:charset w:val="86"/>
    <w:family w:val="auto"/>
    <w:pitch w:val="default"/>
    <w:sig w:usb0="800002BF" w:usb1="38CF7CFA" w:usb2="00000016" w:usb3="00000000" w:csb0="00040001" w:csb1="00000000"/>
  </w:font>
  <w:font w:name="Segoe UI Symbol">
    <w:panose1 w:val="020B0502040204020203"/>
    <w:charset w:val="00"/>
    <w:family w:val="auto"/>
    <w:pitch w:val="default"/>
    <w:sig w:usb0="800001E3" w:usb1="1200FFEF" w:usb2="00040000" w:usb3="04000000" w:csb0="00000001" w:csb1="40000000"/>
  </w:font>
  <w:font w:name="MS Gothic">
    <w:panose1 w:val="020B0609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E004AB">
    <w:pPr>
      <w:pStyle w:val="2"/>
      <w:spacing w:line="14" w:lineRule="auto"/>
      <w:rPr>
        <w:sz w:val="2"/>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64773D">
    <w:pPr>
      <w:spacing w:line="184" w:lineRule="auto"/>
      <w:ind w:left="6972"/>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ftr>
</file>

<file path=word/footer10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5C3790">
    <w:pPr>
      <w:spacing w:line="176" w:lineRule="auto"/>
      <w:ind w:left="442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91</w:t>
    </w:r>
  </w:p>
</w:ftr>
</file>

<file path=word/footer10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2190EF">
    <w:pPr>
      <w:spacing w:line="176" w:lineRule="auto"/>
      <w:ind w:left="1070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92</w:t>
    </w:r>
  </w:p>
</w:ftr>
</file>

<file path=word/footer10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C316C7">
    <w:pPr>
      <w:spacing w:line="176" w:lineRule="auto"/>
      <w:ind w:left="1070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93</w:t>
    </w:r>
  </w:p>
</w:ftr>
</file>

<file path=word/footer10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116CC">
    <w:pPr>
      <w:spacing w:line="176" w:lineRule="auto"/>
      <w:ind w:left="442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94</w:t>
    </w:r>
  </w:p>
</w:ftr>
</file>

<file path=word/footer10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E2D05E">
    <w:pPr>
      <w:spacing w:line="176" w:lineRule="auto"/>
      <w:ind w:left="442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95</w:t>
    </w:r>
  </w:p>
</w:ftr>
</file>

<file path=word/footer10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D45F32">
    <w:pPr>
      <w:spacing w:line="176" w:lineRule="auto"/>
      <w:ind w:left="443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96</w:t>
    </w:r>
  </w:p>
</w:ftr>
</file>

<file path=word/footer10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887127">
    <w:pPr>
      <w:spacing w:line="176" w:lineRule="auto"/>
      <w:ind w:left="692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97</w:t>
    </w:r>
  </w:p>
</w:ftr>
</file>

<file path=word/footer10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C11E3F">
    <w:pPr>
      <w:spacing w:line="176" w:lineRule="auto"/>
      <w:ind w:left="4439"/>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98</w:t>
    </w:r>
  </w:p>
</w:ftr>
</file>

<file path=word/footer10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D5034">
    <w:pPr>
      <w:spacing w:line="176" w:lineRule="auto"/>
      <w:ind w:left="10421"/>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99</w:t>
    </w:r>
  </w:p>
</w:ftr>
</file>

<file path=word/footer10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D7E8E">
    <w:pPr>
      <w:spacing w:line="176" w:lineRule="auto"/>
      <w:ind w:left="4434"/>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5B6EC5">
    <w:pPr>
      <w:spacing w:line="184" w:lineRule="auto"/>
      <w:ind w:left="6952"/>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ftr>
</file>

<file path=word/footer1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0B1D9">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101</w:t>
    </w:r>
  </w:p>
</w:ftr>
</file>

<file path=word/footer1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E3DDA">
    <w:pPr>
      <w:spacing w:line="176" w:lineRule="auto"/>
      <w:ind w:left="4524"/>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102</w:t>
    </w:r>
  </w:p>
</w:ftr>
</file>

<file path=word/footer1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5BBEEC">
    <w:pPr>
      <w:spacing w:line="169" w:lineRule="auto"/>
      <w:ind w:left="4060"/>
      <w:rPr>
        <w:rFonts w:ascii="Calibri" w:hAnsi="Calibri" w:eastAsia="Calibri" w:cs="Calibri"/>
        <w:sz w:val="18"/>
        <w:szCs w:val="18"/>
      </w:rPr>
    </w:pPr>
    <w:r>
      <w:rPr>
        <w:rFonts w:ascii="Calibri" w:hAnsi="Calibri" w:eastAsia="Calibri" w:cs="Calibri"/>
        <w:spacing w:val="-6"/>
        <w:sz w:val="18"/>
        <w:szCs w:val="18"/>
      </w:rPr>
      <w:t>133</w:t>
    </w:r>
  </w:p>
</w:ftr>
</file>

<file path=word/footer1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129D69">
    <w:pPr>
      <w:spacing w:line="176" w:lineRule="auto"/>
      <w:ind w:left="4604"/>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108</w:t>
    </w:r>
  </w:p>
</w:ftr>
</file>

<file path=word/footer1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3F55D8">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109</w:t>
    </w:r>
  </w:p>
</w:ftr>
</file>

<file path=word/footer1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575B37">
    <w:pPr>
      <w:spacing w:line="176" w:lineRule="auto"/>
      <w:ind w:left="4604"/>
      <w:rPr>
        <w:rFonts w:ascii="Times New Roman" w:hAnsi="Times New Roman" w:eastAsia="Times New Roman" w:cs="Times New Roman"/>
        <w:sz w:val="18"/>
        <w:szCs w:val="18"/>
      </w:rPr>
    </w:pPr>
    <w:r>
      <w:rPr>
        <w:rFonts w:ascii="Times New Roman" w:hAnsi="Times New Roman" w:eastAsia="Times New Roman" w:cs="Times New Roman"/>
        <w:spacing w:val="-9"/>
        <w:sz w:val="18"/>
        <w:szCs w:val="18"/>
      </w:rPr>
      <w:t>110</w:t>
    </w:r>
  </w:p>
</w:ftr>
</file>

<file path=word/footer1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17DC6">
    <w:pPr>
      <w:spacing w:line="176" w:lineRule="auto"/>
      <w:ind w:left="4608"/>
      <w:rPr>
        <w:rFonts w:ascii="Times New Roman" w:hAnsi="Times New Roman" w:eastAsia="Times New Roman" w:cs="Times New Roman"/>
        <w:sz w:val="18"/>
        <w:szCs w:val="18"/>
      </w:rPr>
    </w:pPr>
    <w:r>
      <w:rPr>
        <w:rFonts w:ascii="Times New Roman" w:hAnsi="Times New Roman" w:eastAsia="Times New Roman" w:cs="Times New Roman"/>
        <w:spacing w:val="-9"/>
        <w:sz w:val="18"/>
        <w:szCs w:val="18"/>
      </w:rPr>
      <w:t>111</w:t>
    </w:r>
  </w:p>
</w:ftr>
</file>

<file path=word/footer1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D6E328">
    <w:pPr>
      <w:spacing w:line="176" w:lineRule="auto"/>
      <w:ind w:left="4604"/>
      <w:rPr>
        <w:rFonts w:ascii="Times New Roman" w:hAnsi="Times New Roman" w:eastAsia="Times New Roman" w:cs="Times New Roman"/>
        <w:sz w:val="18"/>
        <w:szCs w:val="18"/>
      </w:rPr>
    </w:pPr>
    <w:r>
      <w:rPr>
        <w:rFonts w:ascii="Times New Roman" w:hAnsi="Times New Roman" w:eastAsia="Times New Roman" w:cs="Times New Roman"/>
        <w:spacing w:val="-9"/>
        <w:sz w:val="18"/>
        <w:szCs w:val="18"/>
      </w:rPr>
      <w:t>112</w:t>
    </w:r>
  </w:p>
</w:ftr>
</file>

<file path=word/footer1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577D48">
    <w:pPr>
      <w:spacing w:line="176" w:lineRule="auto"/>
      <w:ind w:left="4604"/>
      <w:rPr>
        <w:rFonts w:ascii="Times New Roman" w:hAnsi="Times New Roman" w:eastAsia="Times New Roman" w:cs="Times New Roman"/>
        <w:sz w:val="18"/>
        <w:szCs w:val="18"/>
      </w:rPr>
    </w:pPr>
    <w:r>
      <w:rPr>
        <w:rFonts w:ascii="Times New Roman" w:hAnsi="Times New Roman" w:eastAsia="Times New Roman" w:cs="Times New Roman"/>
        <w:spacing w:val="-9"/>
        <w:sz w:val="18"/>
        <w:szCs w:val="18"/>
      </w:rPr>
      <w:t>113</w:t>
    </w:r>
  </w:p>
</w:ftr>
</file>

<file path=word/footer1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64620">
    <w:pPr>
      <w:spacing w:line="176" w:lineRule="auto"/>
      <w:ind w:left="4604"/>
      <w:rPr>
        <w:rFonts w:ascii="Times New Roman" w:hAnsi="Times New Roman" w:eastAsia="Times New Roman" w:cs="Times New Roman"/>
        <w:sz w:val="18"/>
        <w:szCs w:val="18"/>
      </w:rPr>
    </w:pPr>
    <w:r>
      <w:rPr>
        <w:rFonts w:ascii="Times New Roman" w:hAnsi="Times New Roman" w:eastAsia="Times New Roman" w:cs="Times New Roman"/>
        <w:spacing w:val="-9"/>
        <w:sz w:val="18"/>
        <w:szCs w:val="18"/>
      </w:rPr>
      <w:t>114</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41C98">
    <w:pPr>
      <w:spacing w:line="184" w:lineRule="auto"/>
      <w:ind w:left="6956"/>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ftr>
</file>

<file path=word/footer1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A6F50C">
    <w:pPr>
      <w:spacing w:line="176" w:lineRule="auto"/>
      <w:ind w:left="4604"/>
      <w:rPr>
        <w:rFonts w:ascii="Times New Roman" w:hAnsi="Times New Roman" w:eastAsia="Times New Roman" w:cs="Times New Roman"/>
        <w:sz w:val="18"/>
        <w:szCs w:val="18"/>
      </w:rPr>
    </w:pPr>
    <w:r>
      <w:rPr>
        <w:rFonts w:ascii="Times New Roman" w:hAnsi="Times New Roman" w:eastAsia="Times New Roman" w:cs="Times New Roman"/>
        <w:spacing w:val="-9"/>
        <w:sz w:val="18"/>
        <w:szCs w:val="18"/>
      </w:rPr>
      <w:t>115</w:t>
    </w:r>
  </w:p>
</w:ftr>
</file>

<file path=word/footer1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E2DCD">
    <w:pPr>
      <w:spacing w:line="176" w:lineRule="auto"/>
      <w:ind w:left="4604"/>
      <w:rPr>
        <w:rFonts w:ascii="Times New Roman" w:hAnsi="Times New Roman" w:eastAsia="Times New Roman" w:cs="Times New Roman"/>
        <w:sz w:val="18"/>
        <w:szCs w:val="18"/>
      </w:rPr>
    </w:pPr>
    <w:r>
      <w:rPr>
        <w:rFonts w:ascii="Times New Roman" w:hAnsi="Times New Roman" w:eastAsia="Times New Roman" w:cs="Times New Roman"/>
        <w:spacing w:val="-9"/>
        <w:sz w:val="18"/>
        <w:szCs w:val="18"/>
      </w:rPr>
      <w:t>116</w:t>
    </w:r>
  </w:p>
</w:ftr>
</file>

<file path=word/footer1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3303B9">
    <w:pPr>
      <w:spacing w:line="176" w:lineRule="auto"/>
      <w:ind w:left="4604"/>
      <w:rPr>
        <w:rFonts w:ascii="Times New Roman" w:hAnsi="Times New Roman" w:eastAsia="Times New Roman" w:cs="Times New Roman"/>
        <w:sz w:val="18"/>
        <w:szCs w:val="18"/>
      </w:rPr>
    </w:pPr>
    <w:r>
      <w:rPr>
        <w:rFonts w:ascii="Times New Roman" w:hAnsi="Times New Roman" w:eastAsia="Times New Roman" w:cs="Times New Roman"/>
        <w:spacing w:val="-9"/>
        <w:sz w:val="18"/>
        <w:szCs w:val="18"/>
      </w:rPr>
      <w:t>117</w:t>
    </w:r>
  </w:p>
</w:ftr>
</file>

<file path=word/footer1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131A1">
    <w:pPr>
      <w:spacing w:line="176" w:lineRule="auto"/>
      <w:ind w:left="4712"/>
      <w:rPr>
        <w:rFonts w:ascii="Times New Roman" w:hAnsi="Times New Roman" w:eastAsia="Times New Roman" w:cs="Times New Roman"/>
        <w:sz w:val="18"/>
        <w:szCs w:val="18"/>
      </w:rPr>
    </w:pPr>
    <w:r>
      <w:rPr>
        <w:rFonts w:ascii="Times New Roman" w:hAnsi="Times New Roman" w:eastAsia="Times New Roman" w:cs="Times New Roman"/>
        <w:spacing w:val="-9"/>
        <w:sz w:val="18"/>
        <w:szCs w:val="18"/>
      </w:rPr>
      <w:t>118</w:t>
    </w:r>
  </w:p>
</w:ftr>
</file>

<file path=word/footer1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E9F4E2">
    <w:pPr>
      <w:spacing w:line="176" w:lineRule="auto"/>
      <w:ind w:left="4605"/>
      <w:rPr>
        <w:rFonts w:ascii="Times New Roman" w:hAnsi="Times New Roman" w:eastAsia="Times New Roman" w:cs="Times New Roman"/>
        <w:sz w:val="18"/>
        <w:szCs w:val="18"/>
      </w:rPr>
    </w:pPr>
    <w:r>
      <w:rPr>
        <w:rFonts w:ascii="Times New Roman" w:hAnsi="Times New Roman" w:eastAsia="Times New Roman" w:cs="Times New Roman"/>
        <w:spacing w:val="-9"/>
        <w:sz w:val="18"/>
        <w:szCs w:val="18"/>
      </w:rPr>
      <w:t>119</w:t>
    </w:r>
  </w:p>
</w:ftr>
</file>

<file path=word/footer1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07D8F">
    <w:pPr>
      <w:spacing w:line="176" w:lineRule="auto"/>
      <w:ind w:left="7176"/>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120</w:t>
    </w:r>
  </w:p>
</w:ftr>
</file>

<file path=word/footer1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41B36A">
    <w:pPr>
      <w:spacing w:line="176" w:lineRule="auto"/>
      <w:ind w:left="45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121</w:t>
    </w:r>
  </w:p>
</w:ftr>
</file>

<file path=word/footer1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FE32F">
    <w:pPr>
      <w:spacing w:line="176" w:lineRule="auto"/>
      <w:ind w:left="4420"/>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122</w:t>
    </w:r>
  </w:p>
</w:ftr>
</file>

<file path=word/footer1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B7064">
    <w:pPr>
      <w:spacing w:line="176" w:lineRule="auto"/>
      <w:ind w:left="45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123</w:t>
    </w:r>
  </w:p>
</w:ftr>
</file>

<file path=word/footer1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75F5CD">
    <w:pPr>
      <w:spacing w:line="176" w:lineRule="auto"/>
      <w:ind w:left="452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124</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DE654">
    <w:pPr>
      <w:spacing w:line="184" w:lineRule="auto"/>
      <w:ind w:left="6951"/>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ftr>
</file>

<file path=word/footer1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230D8">
    <w:pPr>
      <w:spacing w:line="176" w:lineRule="auto"/>
      <w:ind w:left="4527"/>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125</w:t>
    </w:r>
  </w:p>
</w:ftr>
</file>

<file path=word/footer1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EAD74">
    <w:pPr>
      <w:spacing w:line="176" w:lineRule="auto"/>
      <w:ind w:left="4527"/>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126</w:t>
    </w:r>
  </w:p>
</w:ftr>
</file>

<file path=word/footer1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352F3">
    <w:pPr>
      <w:spacing w:line="176" w:lineRule="auto"/>
      <w:ind w:left="699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127</w:t>
    </w:r>
  </w:p>
</w:ftr>
</file>

<file path=word/footer1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B5F01">
    <w:pPr>
      <w:spacing w:line="176" w:lineRule="auto"/>
      <w:ind w:left="699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128</w:t>
    </w:r>
  </w:p>
</w:ftr>
</file>

<file path=word/footer1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04DFB">
    <w:pPr>
      <w:spacing w:line="176" w:lineRule="auto"/>
      <w:ind w:left="699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129</w:t>
    </w:r>
  </w:p>
</w:ftr>
</file>

<file path=word/footer1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57F54A">
    <w:pPr>
      <w:spacing w:line="176" w:lineRule="auto"/>
      <w:ind w:left="699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130</w:t>
    </w:r>
  </w:p>
</w:ftr>
</file>

<file path=word/footer1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0EECB">
    <w:pPr>
      <w:spacing w:line="176" w:lineRule="auto"/>
      <w:ind w:left="4420"/>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131</w:t>
    </w:r>
  </w:p>
</w:ftr>
</file>

<file path=word/footer1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D4BFD8">
    <w:pPr>
      <w:spacing w:line="176" w:lineRule="auto"/>
      <w:ind w:left="4525"/>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132</w:t>
    </w:r>
  </w:p>
</w:ftr>
</file>

<file path=word/footer1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6AB93D">
    <w:pPr>
      <w:spacing w:line="176" w:lineRule="auto"/>
      <w:ind w:left="443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133</w:t>
    </w:r>
  </w:p>
</w:ftr>
</file>

<file path=word/footer1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55C0C">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134</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EE9E57">
    <w:pPr>
      <w:spacing w:line="181" w:lineRule="auto"/>
      <w:ind w:left="6958"/>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ftr>
</file>

<file path=word/footer1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3E69C">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135</w:t>
    </w:r>
  </w:p>
</w:ftr>
</file>

<file path=word/footer1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8ADB3">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136</w:t>
    </w:r>
  </w:p>
</w:ftr>
</file>

<file path=word/footer1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09D6AF">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137</w:t>
    </w:r>
  </w:p>
</w:ftr>
</file>

<file path=word/footer1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65CE28">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138</w:t>
    </w:r>
  </w:p>
</w:ftr>
</file>

<file path=word/footer1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EB986F">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139</w:t>
    </w:r>
  </w:p>
</w:ftr>
</file>

<file path=word/footer1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641D3">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140</w:t>
    </w:r>
  </w:p>
</w:ftr>
</file>

<file path=word/footer1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47CBBC">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141</w:t>
    </w:r>
  </w:p>
</w:ftr>
</file>

<file path=word/footer1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7212A6">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142</w:t>
    </w:r>
  </w:p>
</w:ftr>
</file>

<file path=word/footer1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E63DD0">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143</w:t>
    </w:r>
  </w:p>
</w:ftr>
</file>

<file path=word/footer1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1BBFA5">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144</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105B06">
    <w:pPr>
      <w:spacing w:line="184" w:lineRule="auto"/>
      <w:ind w:left="6957"/>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ftr>
</file>

<file path=word/footer1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610C2">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145</w:t>
    </w:r>
  </w:p>
</w:ftr>
</file>

<file path=word/footer1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510D9E">
    <w:pPr>
      <w:spacing w:line="176" w:lineRule="auto"/>
      <w:ind w:left="442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146</w:t>
    </w:r>
  </w:p>
</w:ftr>
</file>

<file path=word/footer1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92FC0">
    <w:pPr>
      <w:spacing w:line="176" w:lineRule="auto"/>
      <w:ind w:left="4526"/>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147</w:t>
    </w:r>
  </w:p>
</w:ftr>
</file>

<file path=word/footer1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6213B1">
    <w:pPr>
      <w:spacing w:line="176" w:lineRule="auto"/>
      <w:ind w:left="688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148</w:t>
    </w:r>
  </w:p>
</w:ftr>
</file>

<file path=word/footer1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A562A9">
    <w:pPr>
      <w:spacing w:line="176" w:lineRule="auto"/>
      <w:ind w:left="688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149</w:t>
    </w:r>
  </w:p>
</w:ftr>
</file>

<file path=word/footer1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B0664">
    <w:pPr>
      <w:spacing w:line="176" w:lineRule="auto"/>
      <w:ind w:left="4603"/>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150</w:t>
    </w:r>
  </w:p>
</w:ftr>
</file>

<file path=word/footer1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4D16A">
    <w:pPr>
      <w:spacing w:line="176" w:lineRule="auto"/>
      <w:ind w:left="4603"/>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151</w:t>
    </w:r>
  </w:p>
</w:ftr>
</file>

<file path=word/footer1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6B473C">
    <w:pPr>
      <w:spacing w:line="176" w:lineRule="auto"/>
      <w:ind w:left="4603"/>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152</w:t>
    </w:r>
  </w:p>
</w:ftr>
</file>

<file path=word/footer1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57C14">
    <w:pPr>
      <w:spacing w:line="176" w:lineRule="auto"/>
      <w:ind w:left="460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153</w:t>
    </w:r>
  </w:p>
</w:ftr>
</file>

<file path=word/footer1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63F19E">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154</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F258E">
    <w:pPr>
      <w:spacing w:line="181" w:lineRule="auto"/>
      <w:ind w:left="4489"/>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ftr>
</file>

<file path=word/footer1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06B37B">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155</w:t>
    </w:r>
  </w:p>
</w:ftr>
</file>

<file path=word/footer1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D0A9D">
    <w:pPr>
      <w:spacing w:line="176" w:lineRule="auto"/>
      <w:ind w:left="460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156</w:t>
    </w:r>
  </w:p>
</w:ftr>
</file>

<file path=word/footer1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B89797">
    <w:pPr>
      <w:spacing w:line="176" w:lineRule="auto"/>
      <w:ind w:left="460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157</w:t>
    </w:r>
  </w:p>
</w:ftr>
</file>

<file path=word/footer1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4AE75A">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158</w:t>
    </w:r>
  </w:p>
</w:ftr>
</file>

<file path=word/footer1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373990">
    <w:pPr>
      <w:spacing w:line="176" w:lineRule="auto"/>
      <w:ind w:left="4616"/>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159</w:t>
    </w:r>
  </w:p>
</w:ftr>
</file>

<file path=word/footer1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E9CB8F">
    <w:pPr>
      <w:spacing w:line="176" w:lineRule="auto"/>
      <w:ind w:left="470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160</w:t>
    </w:r>
  </w:p>
</w:ftr>
</file>

<file path=word/footer1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B7C851">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161</w:t>
    </w:r>
  </w:p>
</w:ftr>
</file>

<file path=word/footer1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A6418">
    <w:pPr>
      <w:spacing w:line="176" w:lineRule="auto"/>
      <w:ind w:left="4632"/>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162</w:t>
    </w:r>
  </w:p>
</w:ftr>
</file>

<file path=word/footer1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E8D637">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163</w:t>
    </w:r>
  </w:p>
</w:ftr>
</file>

<file path=word/footer1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D5D695">
    <w:pPr>
      <w:spacing w:line="176" w:lineRule="auto"/>
      <w:ind w:left="4630"/>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164</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57EA46">
    <w:pPr>
      <w:spacing w:line="184" w:lineRule="auto"/>
      <w:ind w:left="4494"/>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ftr>
</file>

<file path=word/footer1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784D88">
    <w:pPr>
      <w:spacing w:line="176" w:lineRule="auto"/>
      <w:ind w:left="4630"/>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165</w:t>
    </w:r>
  </w:p>
</w:ftr>
</file>

<file path=word/footer1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1BAB7F">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166</w:t>
    </w:r>
  </w:p>
</w:ftr>
</file>

<file path=word/footer1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5E38B">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167</w:t>
    </w:r>
  </w:p>
</w:ftr>
</file>

<file path=word/footer1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9F4EB4">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168</w:t>
    </w:r>
  </w:p>
</w:ftr>
</file>

<file path=word/footer1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3B039">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169</w:t>
    </w:r>
  </w:p>
</w:ftr>
</file>

<file path=word/footer1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61B3E3">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170</w:t>
    </w:r>
  </w:p>
</w:ftr>
</file>

<file path=word/footer1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5E52E">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171</w:t>
    </w:r>
  </w:p>
</w:ftr>
</file>

<file path=word/footer1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009747">
    <w:pPr>
      <w:spacing w:line="176" w:lineRule="auto"/>
      <w:ind w:left="706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172</w:t>
    </w:r>
  </w:p>
</w:ftr>
</file>

<file path=word/footer1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84FA9D">
    <w:pPr>
      <w:spacing w:line="176" w:lineRule="auto"/>
      <w:ind w:left="706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173</w:t>
    </w:r>
  </w:p>
</w:ftr>
</file>

<file path=word/footer1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2CAAF1">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174</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20566C">
    <w:pPr>
      <w:spacing w:line="184" w:lineRule="auto"/>
      <w:ind w:left="4490"/>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ftr>
</file>

<file path=word/footer1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5C267">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175</w:t>
    </w:r>
  </w:p>
</w:ftr>
</file>

<file path=word/footer1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107CB">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176</w:t>
    </w:r>
  </w:p>
</w:ftr>
</file>

<file path=word/footer1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50BC84">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177</w:t>
    </w:r>
  </w:p>
</w:ftr>
</file>

<file path=word/footer1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3A1F07">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178</w:t>
    </w:r>
  </w:p>
</w:ftr>
</file>

<file path=word/footer1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CA2EF">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179</w:t>
    </w:r>
  </w:p>
</w:ftr>
</file>

<file path=word/footer1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5C940B">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180</w:t>
    </w:r>
  </w:p>
</w:ftr>
</file>

<file path=word/footer1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27607">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181</w:t>
    </w:r>
  </w:p>
</w:ftr>
</file>

<file path=word/footer1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57352">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182</w:t>
    </w:r>
  </w:p>
</w:ftr>
</file>

<file path=word/footer18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60C963">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183</w:t>
    </w:r>
  </w:p>
</w:ftr>
</file>

<file path=word/footer18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0B9415">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184</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028D75">
    <w:pPr>
      <w:spacing w:line="184" w:lineRule="auto"/>
      <w:ind w:left="445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ftr>
</file>

<file path=word/footer19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FEF1E">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185</w:t>
    </w:r>
  </w:p>
</w:ftr>
</file>

<file path=word/footer19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EA581">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186</w:t>
    </w:r>
  </w:p>
</w:ftr>
</file>

<file path=word/footer19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6596EE">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187</w:t>
    </w:r>
  </w:p>
</w:ftr>
</file>

<file path=word/footer19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7352C1">
    <w:pPr>
      <w:spacing w:line="176" w:lineRule="auto"/>
      <w:ind w:left="470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188</w:t>
    </w:r>
  </w:p>
</w:ftr>
</file>

<file path=word/footer19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070043">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189</w:t>
    </w:r>
  </w:p>
</w:ftr>
</file>

<file path=word/footer19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BF9E28">
    <w:pPr>
      <w:spacing w:line="176" w:lineRule="auto"/>
      <w:ind w:left="470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190</w:t>
    </w:r>
  </w:p>
</w:ftr>
</file>

<file path=word/footer19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71678F">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191</w:t>
    </w:r>
  </w:p>
</w:ftr>
</file>

<file path=word/footer19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89EEA6">
    <w:pPr>
      <w:spacing w:line="176" w:lineRule="auto"/>
      <w:ind w:left="470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192</w:t>
    </w:r>
  </w:p>
</w:ftr>
</file>

<file path=word/footer19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70D17B">
    <w:pPr>
      <w:spacing w:line="176" w:lineRule="auto"/>
      <w:ind w:left="470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193</w:t>
    </w:r>
  </w:p>
</w:ftr>
</file>

<file path=word/footer19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D66F0">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D4A501">
    <w:pPr>
      <w:spacing w:line="209" w:lineRule="auto"/>
      <w:ind w:left="4123"/>
      <w:rPr>
        <w:rFonts w:ascii="宋体" w:hAnsi="宋体" w:eastAsia="宋体" w:cs="宋体"/>
        <w:sz w:val="18"/>
        <w:szCs w:val="18"/>
      </w:rPr>
    </w:pPr>
    <w:r>
      <w:rPr>
        <w:rFonts w:ascii="宋体" w:hAnsi="宋体" w:eastAsia="宋体" w:cs="宋体"/>
        <w:spacing w:val="-10"/>
        <w:sz w:val="18"/>
        <w:szCs w:val="18"/>
      </w:rPr>
      <w:t>第</w:t>
    </w:r>
    <w:r>
      <w:rPr>
        <w:rFonts w:ascii="宋体" w:hAnsi="宋体" w:eastAsia="宋体" w:cs="宋体"/>
        <w:spacing w:val="-23"/>
        <w:sz w:val="18"/>
        <w:szCs w:val="18"/>
      </w:rPr>
      <w:t xml:space="preserve"> </w:t>
    </w:r>
    <w:r>
      <w:rPr>
        <w:rFonts w:ascii="Times New Roman" w:hAnsi="Times New Roman" w:eastAsia="Times New Roman" w:cs="Times New Roman"/>
        <w:spacing w:val="-10"/>
        <w:sz w:val="18"/>
        <w:szCs w:val="18"/>
      </w:rPr>
      <w:t>1</w:t>
    </w:r>
    <w:r>
      <w:rPr>
        <w:rFonts w:ascii="宋体" w:hAnsi="宋体" w:eastAsia="宋体" w:cs="宋体"/>
        <w:spacing w:val="-10"/>
        <w:sz w:val="18"/>
        <w:szCs w:val="18"/>
      </w:rPr>
      <w:t>页</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94F89">
    <w:pPr>
      <w:spacing w:line="184" w:lineRule="auto"/>
      <w:ind w:left="7032"/>
      <w:rPr>
        <w:rFonts w:ascii="Times New Roman" w:hAnsi="Times New Roman" w:eastAsia="Times New Roman" w:cs="Times New Roman"/>
        <w:sz w:val="20"/>
        <w:szCs w:val="20"/>
      </w:rPr>
    </w:pPr>
    <w:r>
      <w:rPr>
        <w:rFonts w:ascii="Times New Roman" w:hAnsi="Times New Roman" w:eastAsia="Times New Roman" w:cs="Times New Roman"/>
        <w:spacing w:val="-10"/>
        <w:sz w:val="20"/>
        <w:szCs w:val="20"/>
      </w:rPr>
      <w:t>11</w:t>
    </w:r>
  </w:p>
</w:ftr>
</file>

<file path=word/footer20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79176">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195</w:t>
    </w:r>
  </w:p>
</w:ftr>
</file>

<file path=word/footer20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267A23">
    <w:pPr>
      <w:spacing w:line="176" w:lineRule="auto"/>
      <w:ind w:left="4709"/>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196</w:t>
    </w:r>
  </w:p>
</w:ftr>
</file>

<file path=word/footer20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17E019">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197</w:t>
    </w:r>
  </w:p>
</w:ftr>
</file>

<file path=word/footer20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19C154">
    <w:pPr>
      <w:spacing w:line="176" w:lineRule="auto"/>
      <w:ind w:left="471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198</w:t>
    </w:r>
  </w:p>
</w:ftr>
</file>

<file path=word/footer20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E8F3CA">
    <w:pPr>
      <w:spacing w:line="176" w:lineRule="auto"/>
      <w:ind w:left="4718"/>
      <w:rPr>
        <w:rFonts w:ascii="Times New Roman" w:hAnsi="Times New Roman" w:eastAsia="Times New Roman" w:cs="Times New Roman"/>
        <w:sz w:val="18"/>
        <w:szCs w:val="18"/>
      </w:rPr>
    </w:pPr>
    <w:r>
      <w:rPr>
        <w:rFonts w:ascii="Times New Roman" w:hAnsi="Times New Roman" w:eastAsia="Times New Roman" w:cs="Times New Roman"/>
        <w:spacing w:val="-7"/>
        <w:sz w:val="18"/>
        <w:szCs w:val="18"/>
      </w:rPr>
      <w:t>199</w:t>
    </w:r>
  </w:p>
</w:ftr>
</file>

<file path=word/footer20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03043C">
    <w:pPr>
      <w:spacing w:line="176" w:lineRule="auto"/>
      <w:ind w:left="469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200</w:t>
    </w:r>
  </w:p>
</w:ftr>
</file>

<file path=word/footer20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5974E">
    <w:pPr>
      <w:spacing w:line="176" w:lineRule="auto"/>
      <w:ind w:left="469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201</w:t>
    </w:r>
  </w:p>
</w:ftr>
</file>

<file path=word/footer20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A20033">
    <w:pPr>
      <w:spacing w:line="176" w:lineRule="auto"/>
      <w:ind w:left="46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202</w:t>
    </w:r>
  </w:p>
</w:ftr>
</file>

<file path=word/footer20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F9F1D">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203</w:t>
    </w:r>
  </w:p>
</w:ftr>
</file>

<file path=word/footer20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FE35AC">
    <w:pPr>
      <w:spacing w:line="176" w:lineRule="auto"/>
      <w:ind w:left="469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204</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A02176">
    <w:pPr>
      <w:spacing w:line="184" w:lineRule="auto"/>
      <w:ind w:left="702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12</w:t>
    </w:r>
  </w:p>
</w:ftr>
</file>

<file path=word/footer2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40476">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205</w:t>
    </w:r>
  </w:p>
</w:ftr>
</file>

<file path=word/footer2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683BC">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206</w:t>
    </w:r>
  </w:p>
</w:ftr>
</file>

<file path=word/footer2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B76F13">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207</w:t>
    </w:r>
  </w:p>
</w:ftr>
</file>

<file path=word/footer2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8ABA24">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208</w:t>
    </w:r>
  </w:p>
</w:ftr>
</file>

<file path=word/footer2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90B9BD">
    <w:pPr>
      <w:spacing w:line="176" w:lineRule="auto"/>
      <w:ind w:left="460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209</w:t>
    </w:r>
  </w:p>
</w:ftr>
</file>

<file path=word/footer2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04959">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210</w:t>
    </w:r>
  </w:p>
</w:ftr>
</file>

<file path=word/footer2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3BBED0">
    <w:pPr>
      <w:spacing w:line="176" w:lineRule="auto"/>
      <w:ind w:left="4587"/>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211</w:t>
    </w:r>
  </w:p>
</w:ftr>
</file>

<file path=word/footer2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5153A4">
    <w:pPr>
      <w:spacing w:line="176" w:lineRule="auto"/>
      <w:ind w:left="463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212</w:t>
    </w:r>
  </w:p>
</w:ftr>
</file>

<file path=word/footer2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993FCF">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213</w:t>
    </w:r>
  </w:p>
</w:ftr>
</file>

<file path=word/footer2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742A4A">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214</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887218">
    <w:pPr>
      <w:spacing w:line="184" w:lineRule="auto"/>
      <w:ind w:left="446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13</w:t>
    </w:r>
  </w:p>
</w:ftr>
</file>

<file path=word/footer2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F990E1">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215</w:t>
    </w:r>
  </w:p>
</w:ftr>
</file>

<file path=word/footer2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E9F127">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216</w:t>
    </w:r>
  </w:p>
</w:ftr>
</file>

<file path=word/footer2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7B539">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217</w:t>
    </w:r>
  </w:p>
</w:ftr>
</file>

<file path=word/footer2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8F6BEB">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218</w:t>
    </w:r>
  </w:p>
</w:ftr>
</file>

<file path=word/footer2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01BC5C">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219</w:t>
    </w:r>
  </w:p>
</w:ftr>
</file>

<file path=word/footer2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E01D6B">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220</w:t>
    </w:r>
  </w:p>
</w:ftr>
</file>

<file path=word/footer2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6768D6">
    <w:pPr>
      <w:spacing w:line="176" w:lineRule="auto"/>
      <w:ind w:left="458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221</w:t>
    </w:r>
  </w:p>
</w:ftr>
</file>

<file path=word/footer2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E80AF">
    <w:pPr>
      <w:spacing w:line="176" w:lineRule="auto"/>
      <w:ind w:left="469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222</w:t>
    </w:r>
  </w:p>
</w:ftr>
</file>

<file path=word/footer2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6A0A04">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223</w:t>
    </w:r>
  </w:p>
</w:ftr>
</file>

<file path=word/footer2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236BB">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224</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40A70A">
    <w:pPr>
      <w:spacing w:line="184" w:lineRule="auto"/>
      <w:ind w:left="445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14</w:t>
    </w:r>
  </w:p>
</w:ftr>
</file>

<file path=word/footer2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8509F6">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225</w:t>
    </w:r>
  </w:p>
</w:ftr>
</file>

<file path=word/footer2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CA749">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226</w:t>
    </w:r>
  </w:p>
</w:ftr>
</file>

<file path=word/footer2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03E74">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227</w:t>
    </w:r>
  </w:p>
</w:ftr>
</file>

<file path=word/footer2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027AF">
    <w:pPr>
      <w:spacing w:line="176" w:lineRule="auto"/>
      <w:ind w:left="462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228</w:t>
    </w:r>
  </w:p>
</w:ftr>
</file>

<file path=word/footer2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EE6A90">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229</w:t>
    </w:r>
  </w:p>
</w:ftr>
</file>

<file path=word/footer2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B454D">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230</w:t>
    </w:r>
  </w:p>
</w:ftr>
</file>

<file path=word/footer2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84F67">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231</w:t>
    </w:r>
  </w:p>
</w:ftr>
</file>

<file path=word/footer2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631ED2">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232</w:t>
    </w:r>
  </w:p>
</w:ftr>
</file>

<file path=word/footer2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2F583">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233</w:t>
    </w:r>
  </w:p>
</w:ftr>
</file>

<file path=word/footer2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9DC301">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234</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BAFFDF">
    <w:pPr>
      <w:spacing w:line="176" w:lineRule="auto"/>
      <w:ind w:left="4458"/>
      <w:rPr>
        <w:rFonts w:ascii="Times New Roman" w:hAnsi="Times New Roman" w:eastAsia="Times New Roman" w:cs="Times New Roman"/>
        <w:sz w:val="18"/>
        <w:szCs w:val="18"/>
      </w:rPr>
    </w:pPr>
    <w:r>
      <w:rPr>
        <w:rFonts w:ascii="Times New Roman" w:hAnsi="Times New Roman" w:eastAsia="Times New Roman" w:cs="Times New Roman"/>
        <w:b/>
        <w:bCs/>
        <w:spacing w:val="-6"/>
        <w:sz w:val="18"/>
        <w:szCs w:val="18"/>
      </w:rPr>
      <w:t>15</w:t>
    </w:r>
  </w:p>
</w:ftr>
</file>

<file path=word/footer2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579B1">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235</w:t>
    </w:r>
  </w:p>
</w:ftr>
</file>

<file path=word/footer2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04686F">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236</w:t>
    </w:r>
  </w:p>
</w:ftr>
</file>

<file path=word/footer2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C970F3">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237</w:t>
    </w:r>
  </w:p>
</w:ftr>
</file>

<file path=word/footer2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69708C">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238</w:t>
    </w:r>
  </w:p>
</w:ftr>
</file>

<file path=word/footer2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39BAD">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239</w:t>
    </w:r>
  </w:p>
</w:ftr>
</file>

<file path=word/footer2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0C940">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240</w:t>
    </w:r>
  </w:p>
</w:ftr>
</file>

<file path=word/footer2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2C9A23">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241</w:t>
    </w:r>
  </w:p>
</w:ftr>
</file>

<file path=word/footer2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967520">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242</w:t>
    </w:r>
  </w:p>
</w:ftr>
</file>

<file path=word/footer2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E15BBB">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243</w:t>
    </w:r>
  </w:p>
</w:ftr>
</file>

<file path=word/footer2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C8E3C4">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244</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C09FC8">
    <w:pPr>
      <w:spacing w:line="176" w:lineRule="auto"/>
      <w:ind w:left="4458"/>
      <w:rPr>
        <w:rFonts w:ascii="Times New Roman" w:hAnsi="Times New Roman" w:eastAsia="Times New Roman" w:cs="Times New Roman"/>
        <w:sz w:val="18"/>
        <w:szCs w:val="18"/>
      </w:rPr>
    </w:pPr>
    <w:r>
      <w:rPr>
        <w:rFonts w:ascii="Times New Roman" w:hAnsi="Times New Roman" w:eastAsia="Times New Roman" w:cs="Times New Roman"/>
        <w:b/>
        <w:bCs/>
        <w:spacing w:val="-6"/>
        <w:sz w:val="18"/>
        <w:szCs w:val="18"/>
      </w:rPr>
      <w:t>16</w:t>
    </w:r>
  </w:p>
</w:ftr>
</file>

<file path=word/footer2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B5D6F9">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245</w:t>
    </w:r>
  </w:p>
</w:ftr>
</file>

<file path=word/footer2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4945A">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246</w:t>
    </w:r>
  </w:p>
</w:ftr>
</file>

<file path=word/footer2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388C4">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247</w:t>
    </w:r>
  </w:p>
</w:ftr>
</file>

<file path=word/footer2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DCCC5A">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248</w:t>
    </w:r>
  </w:p>
</w:ftr>
</file>

<file path=word/footer2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23259">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249</w:t>
    </w:r>
  </w:p>
</w:ftr>
</file>

<file path=word/footer2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79A97">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250</w:t>
    </w:r>
  </w:p>
</w:ftr>
</file>

<file path=word/footer2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DFDFA1">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251</w:t>
    </w:r>
  </w:p>
</w:ftr>
</file>

<file path=word/footer2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16AA6">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252</w:t>
    </w:r>
  </w:p>
</w:ftr>
</file>

<file path=word/footer2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8526DC">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253</w:t>
    </w:r>
  </w:p>
</w:ftr>
</file>

<file path=word/footer2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27308">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254</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EE8364">
    <w:pPr>
      <w:spacing w:line="176" w:lineRule="auto"/>
      <w:ind w:left="4458"/>
      <w:rPr>
        <w:rFonts w:ascii="Times New Roman" w:hAnsi="Times New Roman" w:eastAsia="Times New Roman" w:cs="Times New Roman"/>
        <w:sz w:val="18"/>
        <w:szCs w:val="18"/>
      </w:rPr>
    </w:pPr>
    <w:r>
      <w:rPr>
        <w:rFonts w:ascii="Times New Roman" w:hAnsi="Times New Roman" w:eastAsia="Times New Roman" w:cs="Times New Roman"/>
        <w:b/>
        <w:bCs/>
        <w:spacing w:val="-6"/>
        <w:sz w:val="18"/>
        <w:szCs w:val="18"/>
      </w:rPr>
      <w:t>17</w:t>
    </w:r>
  </w:p>
</w:ftr>
</file>

<file path=word/footer2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140F">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255</w:t>
    </w:r>
  </w:p>
</w:ftr>
</file>

<file path=word/footer2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CBCBEE">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256</w:t>
    </w:r>
  </w:p>
</w:ftr>
</file>

<file path=word/footer2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BF1470">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257</w:t>
    </w:r>
  </w:p>
</w:ftr>
</file>

<file path=word/footer2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6D9215">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258</w:t>
    </w:r>
  </w:p>
</w:ftr>
</file>

<file path=word/footer2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51F6FC">
    <w:pPr>
      <w:spacing w:line="176" w:lineRule="auto"/>
      <w:ind w:left="469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259</w:t>
    </w:r>
  </w:p>
</w:ftr>
</file>

<file path=word/footer2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AE9D6C">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260</w:t>
    </w:r>
  </w:p>
</w:ftr>
</file>

<file path=word/footer2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8F1915">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261</w:t>
    </w:r>
  </w:p>
</w:ftr>
</file>

<file path=word/footer2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4AB787">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262</w:t>
    </w:r>
  </w:p>
</w:ftr>
</file>

<file path=word/footer2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134F3A">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263</w:t>
    </w:r>
  </w:p>
</w:ftr>
</file>

<file path=word/footer2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B3EAA">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264</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9CDBD">
    <w:pPr>
      <w:spacing w:line="176" w:lineRule="auto"/>
      <w:ind w:left="4458"/>
      <w:rPr>
        <w:rFonts w:ascii="Times New Roman" w:hAnsi="Times New Roman" w:eastAsia="Times New Roman" w:cs="Times New Roman"/>
        <w:sz w:val="18"/>
        <w:szCs w:val="18"/>
      </w:rPr>
    </w:pPr>
    <w:r>
      <w:rPr>
        <w:rFonts w:ascii="Times New Roman" w:hAnsi="Times New Roman" w:eastAsia="Times New Roman" w:cs="Times New Roman"/>
        <w:b/>
        <w:bCs/>
        <w:spacing w:val="-6"/>
        <w:sz w:val="18"/>
        <w:szCs w:val="18"/>
      </w:rPr>
      <w:t>18</w:t>
    </w:r>
  </w:p>
</w:ftr>
</file>

<file path=word/footer2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670631">
    <w:pPr>
      <w:spacing w:line="176" w:lineRule="auto"/>
      <w:ind w:left="70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265</w:t>
    </w:r>
  </w:p>
</w:ftr>
</file>

<file path=word/footer2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43B6A">
    <w:pPr>
      <w:spacing w:line="176" w:lineRule="auto"/>
      <w:ind w:left="70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266</w:t>
    </w:r>
  </w:p>
</w:ftr>
</file>

<file path=word/footer2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AC72E">
    <w:pPr>
      <w:spacing w:line="176" w:lineRule="auto"/>
      <w:ind w:left="70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267</w:t>
    </w:r>
  </w:p>
</w:ftr>
</file>

<file path=word/footer2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4F5FB2">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268</w:t>
    </w:r>
  </w:p>
</w:ftr>
</file>

<file path=word/footer2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3BB69D">
    <w:pPr>
      <w:spacing w:line="176" w:lineRule="auto"/>
      <w:ind w:left="4584"/>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269</w:t>
    </w:r>
  </w:p>
</w:ftr>
</file>

<file path=word/footer2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62DA9">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270</w:t>
    </w:r>
  </w:p>
</w:ftr>
</file>

<file path=word/footer2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ACDE7">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271</w:t>
    </w:r>
  </w:p>
</w:ftr>
</file>

<file path=word/footer2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F23015">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272</w:t>
    </w:r>
  </w:p>
</w:ftr>
</file>

<file path=word/footer2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EA1BE">
    <w:pPr>
      <w:spacing w:line="176" w:lineRule="auto"/>
      <w:ind w:left="469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273</w:t>
    </w:r>
  </w:p>
</w:ftr>
</file>

<file path=word/footer2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41F87A">
    <w:pPr>
      <w:spacing w:line="176" w:lineRule="auto"/>
      <w:ind w:left="469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274</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5DC8B3">
    <w:pPr>
      <w:spacing w:line="176" w:lineRule="auto"/>
      <w:ind w:left="4470"/>
      <w:rPr>
        <w:rFonts w:ascii="Times New Roman" w:hAnsi="Times New Roman" w:eastAsia="Times New Roman" w:cs="Times New Roman"/>
        <w:sz w:val="18"/>
        <w:szCs w:val="18"/>
      </w:rPr>
    </w:pPr>
    <w:r>
      <w:rPr>
        <w:rFonts w:ascii="Times New Roman" w:hAnsi="Times New Roman" w:eastAsia="Times New Roman" w:cs="Times New Roman"/>
        <w:b/>
        <w:bCs/>
        <w:spacing w:val="-6"/>
        <w:sz w:val="18"/>
        <w:szCs w:val="18"/>
      </w:rPr>
      <w:t>19</w:t>
    </w:r>
  </w:p>
</w:ftr>
</file>

<file path=word/footer2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835290">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275</w:t>
    </w:r>
  </w:p>
</w:ftr>
</file>

<file path=word/footer2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260AC6">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276</w:t>
    </w:r>
  </w:p>
</w:ftr>
</file>

<file path=word/footer2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C0A2F">
    <w:pPr>
      <w:spacing w:line="176" w:lineRule="auto"/>
      <w:ind w:left="106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277</w:t>
    </w:r>
  </w:p>
</w:ftr>
</file>

<file path=word/footer2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1AAC14">
    <w:pPr>
      <w:spacing w:line="176" w:lineRule="auto"/>
      <w:ind w:left="1064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278</w:t>
    </w:r>
  </w:p>
</w:ftr>
</file>

<file path=word/footer2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239E7">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279</w:t>
    </w:r>
  </w:p>
</w:ftr>
</file>

<file path=word/footer2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302722">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280</w:t>
    </w:r>
  </w:p>
</w:ftr>
</file>

<file path=word/footer2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D462F5">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281</w:t>
    </w:r>
  </w:p>
</w:ftr>
</file>

<file path=word/footer2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0F32FE">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282</w:t>
    </w:r>
  </w:p>
</w:ftr>
</file>

<file path=word/footer28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86CFCA">
    <w:pPr>
      <w:spacing w:line="176" w:lineRule="auto"/>
      <w:ind w:left="459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283</w:t>
    </w:r>
  </w:p>
</w:ftr>
</file>

<file path=word/footer28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1CFB0F">
    <w:pPr>
      <w:spacing w:line="176" w:lineRule="auto"/>
      <w:ind w:left="459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284</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F81B5">
    <w:pPr>
      <w:spacing w:line="176" w:lineRule="auto"/>
      <w:ind w:left="4462"/>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20</w:t>
    </w:r>
  </w:p>
</w:ftr>
</file>

<file path=word/footer29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7668B7">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285</w:t>
    </w:r>
  </w:p>
</w:ftr>
</file>

<file path=word/footer29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63D89">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286</w:t>
    </w:r>
  </w:p>
</w:ftr>
</file>

<file path=word/footer29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044B46">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287</w:t>
    </w:r>
  </w:p>
</w:ftr>
</file>

<file path=word/footer29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43B2B0">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288</w:t>
    </w:r>
  </w:p>
</w:ftr>
</file>

<file path=word/footer29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2DA347">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289</w:t>
    </w:r>
  </w:p>
</w:ftr>
</file>

<file path=word/footer29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91238">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290</w:t>
    </w:r>
  </w:p>
</w:ftr>
</file>

<file path=word/footer29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041CF2">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291</w:t>
    </w:r>
  </w:p>
</w:ftr>
</file>

<file path=word/footer29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862DE1">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292</w:t>
    </w:r>
  </w:p>
</w:ftr>
</file>

<file path=word/footer29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C64C65">
    <w:pPr>
      <w:spacing w:line="176" w:lineRule="auto"/>
      <w:ind w:left="4583"/>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293</w:t>
    </w:r>
  </w:p>
</w:ftr>
</file>

<file path=word/footer29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3E954">
    <w:pPr>
      <w:spacing w:line="176" w:lineRule="auto"/>
      <w:ind w:left="45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294</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D05C81">
    <w:pPr>
      <w:spacing w:line="209" w:lineRule="auto"/>
      <w:ind w:left="4123"/>
      <w:rPr>
        <w:rFonts w:ascii="宋体" w:hAnsi="宋体" w:eastAsia="宋体" w:cs="宋体"/>
        <w:sz w:val="18"/>
        <w:szCs w:val="18"/>
      </w:rPr>
    </w:pPr>
    <w:r>
      <w:rPr>
        <w:rFonts w:ascii="宋体" w:hAnsi="宋体" w:eastAsia="宋体" w:cs="宋体"/>
        <w:spacing w:val="-4"/>
        <w:sz w:val="18"/>
        <w:szCs w:val="18"/>
      </w:rPr>
      <w:t>第</w:t>
    </w:r>
    <w:r>
      <w:rPr>
        <w:rFonts w:ascii="宋体" w:hAnsi="宋体" w:eastAsia="宋体" w:cs="宋体"/>
        <w:spacing w:val="-41"/>
        <w:sz w:val="18"/>
        <w:szCs w:val="18"/>
      </w:rPr>
      <w:t xml:space="preserve"> </w:t>
    </w:r>
    <w:r>
      <w:rPr>
        <w:rFonts w:ascii="Times New Roman" w:hAnsi="Times New Roman" w:eastAsia="Times New Roman" w:cs="Times New Roman"/>
        <w:spacing w:val="-4"/>
        <w:sz w:val="18"/>
        <w:szCs w:val="18"/>
      </w:rPr>
      <w:t>2</w:t>
    </w:r>
    <w:r>
      <w:rPr>
        <w:rFonts w:ascii="宋体" w:hAnsi="宋体" w:eastAsia="宋体" w:cs="宋体"/>
        <w:spacing w:val="-4"/>
        <w:sz w:val="18"/>
        <w:szCs w:val="18"/>
      </w:rPr>
      <w:t>页</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9B6C3">
    <w:pPr>
      <w:spacing w:line="176" w:lineRule="auto"/>
      <w:ind w:left="4478"/>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21</w:t>
    </w:r>
  </w:p>
</w:ftr>
</file>

<file path=word/footer30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599EC">
    <w:pPr>
      <w:spacing w:line="176" w:lineRule="auto"/>
      <w:ind w:left="45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295</w:t>
    </w:r>
  </w:p>
</w:ftr>
</file>

<file path=word/footer30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1FEFF2">
    <w:pPr>
      <w:spacing w:line="176" w:lineRule="auto"/>
      <w:ind w:left="45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296</w:t>
    </w:r>
  </w:p>
</w:ftr>
</file>

<file path=word/footer30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4EE7C7">
    <w:pPr>
      <w:spacing w:line="176" w:lineRule="auto"/>
      <w:ind w:left="45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297</w:t>
    </w:r>
  </w:p>
</w:ftr>
</file>

<file path=word/footer30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4329EA">
    <w:pPr>
      <w:spacing w:line="176" w:lineRule="auto"/>
      <w:ind w:left="45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298</w:t>
    </w:r>
  </w:p>
</w:ftr>
</file>

<file path=word/footer30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BDEE8A">
    <w:pPr>
      <w:spacing w:line="176" w:lineRule="auto"/>
      <w:ind w:left="456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299</w:t>
    </w:r>
  </w:p>
</w:ftr>
</file>

<file path=word/footer30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0E831">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300</w:t>
    </w:r>
  </w:p>
</w:ftr>
</file>

<file path=word/footer30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F2F663">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301</w:t>
    </w:r>
  </w:p>
</w:ftr>
</file>

<file path=word/footer30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2D75E3">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302</w:t>
    </w:r>
  </w:p>
</w:ftr>
</file>

<file path=word/footer30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BC0E7">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303</w:t>
    </w:r>
  </w:p>
</w:ftr>
</file>

<file path=word/footer30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EB14DA">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304</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196485">
    <w:pPr>
      <w:spacing w:line="176" w:lineRule="auto"/>
      <w:ind w:left="4450"/>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22</w:t>
    </w:r>
  </w:p>
</w:ftr>
</file>

<file path=word/footer3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B08A7">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305</w:t>
    </w:r>
  </w:p>
</w:ftr>
</file>

<file path=word/footer3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C9A49C">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306</w:t>
    </w:r>
  </w:p>
</w:ftr>
</file>

<file path=word/footer3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C0EF8">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307</w:t>
    </w:r>
  </w:p>
</w:ftr>
</file>

<file path=word/footer3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8208F">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308</w:t>
    </w:r>
  </w:p>
</w:ftr>
</file>

<file path=word/footer3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96A372">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309</w:t>
    </w:r>
  </w:p>
</w:ftr>
</file>

<file path=word/footer3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DB612">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310</w:t>
    </w:r>
  </w:p>
</w:ftr>
</file>

<file path=word/footer3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D16AF3">
    <w:pPr>
      <w:spacing w:line="176" w:lineRule="auto"/>
      <w:ind w:left="4567"/>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311</w:t>
    </w:r>
  </w:p>
</w:ftr>
</file>

<file path=word/footer3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EAFA67">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312</w:t>
    </w:r>
  </w:p>
</w:ftr>
</file>

<file path=word/footer3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8FC7F">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313</w:t>
    </w:r>
  </w:p>
</w:ftr>
</file>

<file path=word/footer3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57FA25">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314</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D3307C">
    <w:pPr>
      <w:spacing w:line="176" w:lineRule="auto"/>
      <w:ind w:left="4558"/>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23</w:t>
    </w:r>
  </w:p>
</w:ftr>
</file>

<file path=word/footer3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32CCD4">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315</w:t>
    </w:r>
  </w:p>
</w:ftr>
</file>

<file path=word/footer3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040F10">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316</w:t>
    </w:r>
  </w:p>
</w:ftr>
</file>

<file path=word/footer3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164D59">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317</w:t>
    </w:r>
  </w:p>
</w:ftr>
</file>

<file path=word/footer3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9BDE0">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318</w:t>
    </w:r>
  </w:p>
</w:ftr>
</file>

<file path=word/footer3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E76350">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319</w:t>
    </w:r>
  </w:p>
</w:ftr>
</file>

<file path=word/footer3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6117E7">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320</w:t>
    </w:r>
  </w:p>
</w:ftr>
</file>

<file path=word/footer3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ECBF4">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321</w:t>
    </w:r>
  </w:p>
</w:ftr>
</file>

<file path=word/footer3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3E521F">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322</w:t>
    </w:r>
  </w:p>
</w:ftr>
</file>

<file path=word/footer3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1940E4">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323</w:t>
    </w:r>
  </w:p>
</w:ftr>
</file>

<file path=word/footer3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20D3C">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324</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0DAED">
    <w:pPr>
      <w:spacing w:line="176" w:lineRule="auto"/>
      <w:ind w:left="4558"/>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24</w:t>
    </w:r>
  </w:p>
</w:ftr>
</file>

<file path=word/footer3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233E0">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325</w:t>
    </w:r>
  </w:p>
</w:ftr>
</file>

<file path=word/footer3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92CF2D">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326</w:t>
    </w:r>
  </w:p>
</w:ftr>
</file>

<file path=word/footer3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AC565">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327</w:t>
    </w:r>
  </w:p>
</w:ftr>
</file>

<file path=word/footer3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2FC80F">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328</w:t>
    </w:r>
  </w:p>
</w:ftr>
</file>

<file path=word/footer3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DBF482">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329</w:t>
    </w:r>
  </w:p>
</w:ftr>
</file>

<file path=word/footer3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AB0BAB">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330</w:t>
    </w:r>
  </w:p>
</w:ftr>
</file>

<file path=word/footer3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8BC85">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331</w:t>
    </w:r>
  </w:p>
</w:ftr>
</file>

<file path=word/footer3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9163FE">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332</w:t>
    </w:r>
  </w:p>
</w:ftr>
</file>

<file path=word/footer3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32AEDE">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333</w:t>
    </w:r>
  </w:p>
</w:ftr>
</file>

<file path=word/footer3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E0828F">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334</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BD4A27">
    <w:pPr>
      <w:spacing w:line="176" w:lineRule="auto"/>
      <w:ind w:left="4450"/>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25</w:t>
    </w:r>
  </w:p>
</w:ftr>
</file>

<file path=word/footer3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5D768B">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335</w:t>
    </w:r>
  </w:p>
</w:ftr>
</file>

<file path=word/footer3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769F8">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336</w:t>
    </w:r>
  </w:p>
</w:ftr>
</file>

<file path=word/footer3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83AC0B">
    <w:pPr>
      <w:spacing w:line="176" w:lineRule="auto"/>
      <w:ind w:left="456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337</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E9FEA0">
    <w:pPr>
      <w:spacing w:line="176" w:lineRule="auto"/>
      <w:ind w:left="4450"/>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26</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CB8843">
    <w:pPr>
      <w:spacing w:line="176" w:lineRule="auto"/>
      <w:ind w:left="4450"/>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27</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6218B8">
    <w:pPr>
      <w:spacing w:line="176" w:lineRule="auto"/>
      <w:ind w:left="4558"/>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28</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BAE44">
    <w:pPr>
      <w:spacing w:line="176" w:lineRule="auto"/>
      <w:ind w:left="6915"/>
      <w:rPr>
        <w:rFonts w:ascii="Times New Roman" w:hAnsi="Times New Roman" w:eastAsia="Times New Roman" w:cs="Times New Roman"/>
        <w:sz w:val="18"/>
        <w:szCs w:val="18"/>
      </w:rPr>
    </w:pPr>
    <w:r>
      <w:rPr>
        <w:rFonts w:ascii="Times New Roman" w:hAnsi="Times New Roman" w:eastAsia="Times New Roman" w:cs="Times New Roman"/>
        <w:b/>
        <w:bCs/>
        <w:spacing w:val="-2"/>
        <w:sz w:val="18"/>
        <w:szCs w:val="18"/>
      </w:rPr>
      <w:t>29</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EFF762">
    <w:pPr>
      <w:spacing w:line="176" w:lineRule="auto"/>
      <w:ind w:left="7021"/>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30</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67BAA">
    <w:pPr>
      <w:spacing w:line="209" w:lineRule="auto"/>
      <w:ind w:left="4123"/>
      <w:rPr>
        <w:rFonts w:ascii="宋体" w:hAnsi="宋体" w:eastAsia="宋体" w:cs="宋体"/>
        <w:sz w:val="18"/>
        <w:szCs w:val="18"/>
      </w:rPr>
    </w:pPr>
    <w:r>
      <w:rPr>
        <w:rFonts w:ascii="宋体" w:hAnsi="宋体" w:eastAsia="宋体" w:cs="宋体"/>
        <w:spacing w:val="-5"/>
        <w:sz w:val="18"/>
        <w:szCs w:val="18"/>
      </w:rPr>
      <w:t>第</w:t>
    </w:r>
    <w:r>
      <w:rPr>
        <w:rFonts w:ascii="宋体" w:hAnsi="宋体" w:eastAsia="宋体" w:cs="宋体"/>
        <w:spacing w:val="-38"/>
        <w:sz w:val="18"/>
        <w:szCs w:val="18"/>
      </w:rPr>
      <w:t xml:space="preserve"> </w:t>
    </w:r>
    <w:r>
      <w:rPr>
        <w:rFonts w:ascii="Times New Roman" w:hAnsi="Times New Roman" w:eastAsia="Times New Roman" w:cs="Times New Roman"/>
        <w:spacing w:val="-5"/>
        <w:sz w:val="18"/>
        <w:szCs w:val="18"/>
      </w:rPr>
      <w:t>3</w:t>
    </w:r>
    <w:r>
      <w:rPr>
        <w:rFonts w:ascii="宋体" w:hAnsi="宋体" w:eastAsia="宋体" w:cs="宋体"/>
        <w:spacing w:val="-5"/>
        <w:sz w:val="18"/>
        <w:szCs w:val="18"/>
      </w:rPr>
      <w:t>页</w:t>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361DF">
    <w:pPr>
      <w:spacing w:line="176" w:lineRule="auto"/>
      <w:ind w:left="4449"/>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31</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87C8EC">
    <w:pPr>
      <w:spacing w:line="176" w:lineRule="auto"/>
      <w:ind w:left="4449"/>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32</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59A473">
    <w:pPr>
      <w:spacing w:line="176" w:lineRule="auto"/>
      <w:ind w:left="4557"/>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33</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96537">
    <w:pPr>
      <w:spacing w:line="176" w:lineRule="auto"/>
      <w:ind w:left="4450"/>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34</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259A59">
    <w:pPr>
      <w:spacing w:line="176" w:lineRule="auto"/>
      <w:ind w:left="4557"/>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35</w: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E389C3">
    <w:pPr>
      <w:spacing w:line="176" w:lineRule="auto"/>
      <w:ind w:left="4557"/>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36</w:t>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664ECD">
    <w:pPr>
      <w:spacing w:line="176" w:lineRule="auto"/>
      <w:ind w:left="6913"/>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37</w: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2A754F">
    <w:pPr>
      <w:spacing w:line="176" w:lineRule="auto"/>
      <w:ind w:left="4453"/>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38</w:t>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0DCF6">
    <w:pPr>
      <w:spacing w:line="176" w:lineRule="auto"/>
      <w:ind w:left="6918"/>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39</w:t>
    </w: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1E8B80">
    <w:pPr>
      <w:spacing w:line="176" w:lineRule="auto"/>
      <w:ind w:left="691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40</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378BD">
    <w:pPr>
      <w:spacing w:line="209" w:lineRule="auto"/>
      <w:ind w:left="4123"/>
      <w:rPr>
        <w:rFonts w:ascii="宋体" w:hAnsi="宋体" w:eastAsia="宋体" w:cs="宋体"/>
        <w:sz w:val="18"/>
        <w:szCs w:val="18"/>
      </w:rPr>
    </w:pPr>
    <w:r>
      <w:rPr>
        <w:rFonts w:ascii="宋体" w:hAnsi="宋体" w:eastAsia="宋体" w:cs="宋体"/>
        <w:spacing w:val="-4"/>
        <w:sz w:val="18"/>
        <w:szCs w:val="18"/>
      </w:rPr>
      <w:t>第</w:t>
    </w:r>
    <w:r>
      <w:rPr>
        <w:rFonts w:ascii="宋体" w:hAnsi="宋体" w:eastAsia="宋体" w:cs="宋体"/>
        <w:spacing w:val="-41"/>
        <w:sz w:val="18"/>
        <w:szCs w:val="18"/>
      </w:rPr>
      <w:t xml:space="preserve"> </w:t>
    </w:r>
    <w:r>
      <w:rPr>
        <w:rFonts w:ascii="Times New Roman" w:hAnsi="Times New Roman" w:eastAsia="Times New Roman" w:cs="Times New Roman"/>
        <w:spacing w:val="-4"/>
        <w:sz w:val="18"/>
        <w:szCs w:val="18"/>
      </w:rPr>
      <w:t>4</w:t>
    </w:r>
    <w:r>
      <w:rPr>
        <w:rFonts w:ascii="宋体" w:hAnsi="宋体" w:eastAsia="宋体" w:cs="宋体"/>
        <w:spacing w:val="-4"/>
        <w:sz w:val="18"/>
        <w:szCs w:val="18"/>
      </w:rPr>
      <w:t>页</w:t>
    </w: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75A788">
    <w:pPr>
      <w:spacing w:line="176" w:lineRule="auto"/>
      <w:ind w:left="44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41</w:t>
    </w: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B83032">
    <w:pPr>
      <w:spacing w:line="176" w:lineRule="auto"/>
      <w:ind w:left="44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42</w:t>
    </w: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E3C61">
    <w:pPr>
      <w:spacing w:line="176" w:lineRule="auto"/>
      <w:ind w:left="44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43</w:t>
    </w: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68F657">
    <w:pPr>
      <w:spacing w:line="176" w:lineRule="auto"/>
      <w:ind w:left="4449"/>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44</w:t>
    </w: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CB6F8F">
    <w:pPr>
      <w:spacing w:line="176" w:lineRule="auto"/>
      <w:ind w:left="6742"/>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45</w:t>
    </w: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001753">
    <w:pPr>
      <w:spacing w:line="176" w:lineRule="auto"/>
      <w:ind w:left="4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46</w:t>
    </w: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A2F9A0">
    <w:pPr>
      <w:spacing w:line="176" w:lineRule="auto"/>
      <w:ind w:left="4528"/>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47</w:t>
    </w: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B2ACF1">
    <w:pPr>
      <w:spacing w:line="176" w:lineRule="auto"/>
      <w:ind w:left="4435"/>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48</w:t>
    </w: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41C12F">
    <w:pPr>
      <w:spacing w:line="176" w:lineRule="auto"/>
      <w:ind w:left="4420"/>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49</w:t>
    </w: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7247C3">
    <w:pPr>
      <w:spacing w:line="176" w:lineRule="auto"/>
      <w:ind w:left="442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50</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820D9">
    <w:pPr>
      <w:spacing w:line="209" w:lineRule="auto"/>
      <w:ind w:left="4123"/>
      <w:rPr>
        <w:rFonts w:ascii="宋体" w:hAnsi="宋体" w:eastAsia="宋体" w:cs="宋体"/>
        <w:sz w:val="18"/>
        <w:szCs w:val="18"/>
      </w:rPr>
    </w:pPr>
    <w:r>
      <w:rPr>
        <w:rFonts w:ascii="宋体" w:hAnsi="宋体" w:eastAsia="宋体" w:cs="宋体"/>
        <w:spacing w:val="-6"/>
        <w:sz w:val="18"/>
        <w:szCs w:val="18"/>
      </w:rPr>
      <w:t>第</w:t>
    </w:r>
    <w:r>
      <w:rPr>
        <w:rFonts w:ascii="宋体" w:hAnsi="宋体" w:eastAsia="宋体" w:cs="宋体"/>
        <w:spacing w:val="-35"/>
        <w:sz w:val="18"/>
        <w:szCs w:val="18"/>
      </w:rPr>
      <w:t xml:space="preserve"> </w:t>
    </w:r>
    <w:r>
      <w:rPr>
        <w:rFonts w:ascii="Times New Roman" w:hAnsi="Times New Roman" w:eastAsia="Times New Roman" w:cs="Times New Roman"/>
        <w:spacing w:val="-6"/>
        <w:sz w:val="18"/>
        <w:szCs w:val="18"/>
      </w:rPr>
      <w:t>5</w:t>
    </w:r>
    <w:r>
      <w:rPr>
        <w:rFonts w:ascii="宋体" w:hAnsi="宋体" w:eastAsia="宋体" w:cs="宋体"/>
        <w:spacing w:val="-6"/>
        <w:sz w:val="18"/>
        <w:szCs w:val="18"/>
      </w:rPr>
      <w:t>页</w:t>
    </w: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E0E12F">
    <w:pPr>
      <w:spacing w:line="176" w:lineRule="auto"/>
      <w:ind w:left="442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51</w:t>
    </w: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0111F">
    <w:pPr>
      <w:spacing w:line="176" w:lineRule="auto"/>
      <w:ind w:left="442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52</w:t>
    </w: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44A72">
    <w:pPr>
      <w:spacing w:line="176" w:lineRule="auto"/>
      <w:ind w:left="442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53</w:t>
    </w: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D95232">
    <w:pPr>
      <w:spacing w:line="176" w:lineRule="auto"/>
      <w:ind w:left="442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54</w:t>
    </w:r>
  </w:p>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803E30">
    <w:pPr>
      <w:spacing w:line="173" w:lineRule="auto"/>
      <w:ind w:left="442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55</w:t>
    </w:r>
  </w:p>
</w:ftr>
</file>

<file path=word/footer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3D72E">
    <w:pPr>
      <w:spacing w:line="176" w:lineRule="auto"/>
      <w:ind w:left="442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56</w:t>
    </w:r>
  </w:p>
</w:ftr>
</file>

<file path=word/footer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C02849">
    <w:pPr>
      <w:spacing w:line="173" w:lineRule="auto"/>
      <w:ind w:left="442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57</w:t>
    </w:r>
  </w:p>
</w:ftr>
</file>

<file path=word/footer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F2F9F8">
    <w:pPr>
      <w:spacing w:line="176" w:lineRule="auto"/>
      <w:ind w:left="442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58</w:t>
    </w:r>
  </w:p>
</w:ftr>
</file>

<file path=word/footer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4303F9">
    <w:pPr>
      <w:spacing w:line="176" w:lineRule="auto"/>
      <w:ind w:left="4426"/>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59</w:t>
    </w:r>
  </w:p>
</w:ftr>
</file>

<file path=word/footer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97BAD7">
    <w:pPr>
      <w:spacing w:line="176" w:lineRule="auto"/>
      <w:ind w:left="442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60</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159A80">
    <w:pPr>
      <w:spacing w:line="184" w:lineRule="auto"/>
      <w:ind w:left="4506"/>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ftr>
</file>

<file path=word/footer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22C8BD">
    <w:pPr>
      <w:spacing w:line="176" w:lineRule="auto"/>
      <w:ind w:left="442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61</w:t>
    </w:r>
  </w:p>
</w:ftr>
</file>

<file path=word/footer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A9C1B">
    <w:pPr>
      <w:spacing w:line="176" w:lineRule="auto"/>
      <w:ind w:left="442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62</w:t>
    </w:r>
  </w:p>
</w:ftr>
</file>

<file path=word/footer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FF0A65">
    <w:pPr>
      <w:spacing w:line="176" w:lineRule="auto"/>
      <w:ind w:left="442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63</w:t>
    </w:r>
  </w:p>
</w:ftr>
</file>

<file path=word/footer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1AD1B0">
    <w:pPr>
      <w:spacing w:line="176" w:lineRule="auto"/>
      <w:ind w:left="442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64</w:t>
    </w:r>
  </w:p>
</w:ftr>
</file>

<file path=word/footer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257DB9">
    <w:pPr>
      <w:spacing w:line="176" w:lineRule="auto"/>
      <w:ind w:left="442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65</w:t>
    </w:r>
  </w:p>
</w:ftr>
</file>

<file path=word/footer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E196D9">
    <w:pPr>
      <w:spacing w:line="176" w:lineRule="auto"/>
      <w:ind w:left="442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66</w:t>
    </w:r>
  </w:p>
</w:ftr>
</file>

<file path=word/footer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39CC03">
    <w:pPr>
      <w:spacing w:line="176" w:lineRule="auto"/>
      <w:ind w:left="442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67</w:t>
    </w:r>
  </w:p>
</w:ftr>
</file>

<file path=word/footer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A62C20">
    <w:pPr>
      <w:spacing w:line="176" w:lineRule="auto"/>
      <w:ind w:left="4530"/>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68</w:t>
    </w:r>
  </w:p>
</w:ftr>
</file>

<file path=word/footer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B2564C">
    <w:pPr>
      <w:spacing w:line="176" w:lineRule="auto"/>
      <w:ind w:left="4425"/>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69</w:t>
    </w:r>
  </w:p>
</w:ftr>
</file>

<file path=word/footer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6F1267">
    <w:pPr>
      <w:spacing w:line="176" w:lineRule="auto"/>
      <w:ind w:left="442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70</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EFE9B">
    <w:pPr>
      <w:spacing w:line="184" w:lineRule="auto"/>
      <w:ind w:left="4486"/>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ftr>
</file>

<file path=word/footer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1DA2B0">
    <w:pPr>
      <w:spacing w:line="176" w:lineRule="auto"/>
      <w:ind w:left="442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71</w:t>
    </w:r>
  </w:p>
</w:ftr>
</file>

<file path=word/footer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F1A7C">
    <w:pPr>
      <w:spacing w:line="176" w:lineRule="auto"/>
      <w:ind w:left="10412"/>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72</w:t>
    </w:r>
  </w:p>
</w:ftr>
</file>

<file path=word/footer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DD188B">
    <w:pPr>
      <w:spacing w:line="176" w:lineRule="auto"/>
      <w:ind w:left="10412"/>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73</w:t>
    </w:r>
  </w:p>
</w:ftr>
</file>

<file path=word/footer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5D8C9">
    <w:pPr>
      <w:spacing w:line="176" w:lineRule="auto"/>
      <w:ind w:left="6992"/>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74</w:t>
    </w:r>
  </w:p>
</w:ftr>
</file>

<file path=word/footer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82F57">
    <w:pPr>
      <w:spacing w:line="173" w:lineRule="auto"/>
      <w:ind w:left="6996"/>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75</w:t>
    </w:r>
  </w:p>
</w:ftr>
</file>

<file path=word/footer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F8C65">
    <w:pPr>
      <w:spacing w:line="176" w:lineRule="auto"/>
      <w:ind w:left="6996"/>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76</w:t>
    </w:r>
  </w:p>
</w:ftr>
</file>

<file path=word/footer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0D8152">
    <w:pPr>
      <w:spacing w:line="173" w:lineRule="auto"/>
      <w:ind w:left="6996"/>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77</w:t>
    </w:r>
  </w:p>
</w:ftr>
</file>

<file path=word/footer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E27767">
    <w:pPr>
      <w:spacing w:line="176" w:lineRule="auto"/>
      <w:ind w:left="442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78</w:t>
    </w:r>
  </w:p>
</w:ftr>
</file>

<file path=word/footer8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A934AB">
    <w:pPr>
      <w:spacing w:line="176" w:lineRule="auto"/>
      <w:ind w:left="4424"/>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79</w:t>
    </w:r>
  </w:p>
</w:ftr>
</file>

<file path=word/footer8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AD7A7D">
    <w:pPr>
      <w:spacing w:line="176" w:lineRule="auto"/>
      <w:ind w:left="4535"/>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80</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0335E8">
    <w:pPr>
      <w:spacing w:line="184" w:lineRule="auto"/>
      <w:ind w:left="4490"/>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ftr>
</file>

<file path=word/footer9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09534B">
    <w:pPr>
      <w:spacing w:line="176" w:lineRule="auto"/>
      <w:ind w:left="442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81</w:t>
    </w:r>
  </w:p>
</w:ftr>
</file>

<file path=word/footer9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E474BA">
    <w:pPr>
      <w:spacing w:line="176" w:lineRule="auto"/>
      <w:ind w:left="442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82</w:t>
    </w:r>
  </w:p>
</w:ftr>
</file>

<file path=word/footer9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08B4B2">
    <w:pPr>
      <w:spacing w:line="176" w:lineRule="auto"/>
      <w:ind w:left="4428"/>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83</w:t>
    </w:r>
  </w:p>
</w:ftr>
</file>

<file path=word/footer9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1B0F62">
    <w:pPr>
      <w:spacing w:line="176" w:lineRule="auto"/>
      <w:ind w:left="4536"/>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84</w:t>
    </w:r>
  </w:p>
</w:ftr>
</file>

<file path=word/footer9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68009">
    <w:pPr>
      <w:spacing w:line="176" w:lineRule="auto"/>
      <w:ind w:left="4533"/>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85</w:t>
    </w:r>
  </w:p>
</w:ftr>
</file>

<file path=word/footer9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A3B94F">
    <w:pPr>
      <w:spacing w:line="176" w:lineRule="auto"/>
      <w:ind w:left="4536"/>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86</w:t>
    </w:r>
  </w:p>
</w:ftr>
</file>

<file path=word/footer9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60270">
    <w:pPr>
      <w:spacing w:line="176" w:lineRule="auto"/>
      <w:ind w:left="4536"/>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87</w:t>
    </w:r>
  </w:p>
</w:ftr>
</file>

<file path=word/footer9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E0BDD">
    <w:pPr>
      <w:spacing w:line="176" w:lineRule="auto"/>
      <w:ind w:left="4536"/>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88</w:t>
    </w:r>
  </w:p>
</w:ftr>
</file>

<file path=word/footer9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AFCAB3">
    <w:pPr>
      <w:spacing w:line="176" w:lineRule="auto"/>
      <w:ind w:left="4536"/>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89</w:t>
    </w:r>
  </w:p>
</w:ftr>
</file>

<file path=word/footer9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E97947">
    <w:pPr>
      <w:spacing w:line="176" w:lineRule="auto"/>
      <w:ind w:left="4424"/>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90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D6FF0">
    <w:pPr>
      <w:pStyle w:val="2"/>
      <w:spacing w:line="14" w:lineRule="auto"/>
      <w:rPr>
        <w:sz w:val="2"/>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4576FE">
    <w:pPr>
      <w:spacing w:before="19" w:line="226" w:lineRule="auto"/>
      <w:ind w:left="3031"/>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6BBB1871">
    <w:pPr>
      <w:spacing w:before="17" w:line="19" w:lineRule="exact"/>
      <w:ind w:firstLine="108"/>
    </w:pPr>
    <w:r>
      <w:rPr>
        <w:position w:val="-1"/>
      </w:rPr>
      <w:pict>
        <v:shape id="_x0000_s2057" o:spid="_x0000_s2057" style="height:1.45pt;width:700.1pt;" fillcolor="#000000" filled="t" stroked="f" coordsize="14001,29" path="m0,0l14001,0,14001,28,0,28,0,0xe">
          <v:path/>
          <v:fill on="t" focussize="0,0"/>
          <v:stroke on="f"/>
          <v:imagedata o:title=""/>
          <o:lock v:ext="edit"/>
          <w10:wrap type="none"/>
          <w10:anchorlock/>
        </v:shape>
      </w:pict>
    </w:r>
  </w:p>
</w:hdr>
</file>

<file path=word/header10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DDBD99">
    <w:pPr>
      <w:spacing w:before="19" w:line="226" w:lineRule="auto"/>
      <w:ind w:left="511"/>
      <w:rPr>
        <w:rFonts w:ascii="宋体" w:hAnsi="宋体" w:eastAsia="宋体" w:cs="宋体"/>
        <w:sz w:val="20"/>
        <w:szCs w:val="20"/>
      </w:rPr>
    </w:pPr>
    <w:r>
      <w:pict>
        <v:shape id="_x0000_s2145" o:spid="_x0000_s2145" style="position:absolute;left:0pt;margin-left:70.9pt;margin-top:58.1pt;height:0.75pt;width:453.55pt;mso-position-horizontal-relative:page;mso-position-vertical-relative:page;z-index:251739136;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0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8B433A">
    <w:pPr>
      <w:spacing w:before="19" w:line="226" w:lineRule="auto"/>
      <w:ind w:left="510"/>
      <w:rPr>
        <w:rFonts w:ascii="宋体" w:hAnsi="宋体" w:eastAsia="宋体" w:cs="宋体"/>
        <w:sz w:val="20"/>
        <w:szCs w:val="20"/>
      </w:rPr>
    </w:pPr>
    <w:r>
      <w:pict>
        <v:shape id="_x0000_s2146" o:spid="_x0000_s2146" style="position:absolute;left:0pt;margin-left:70.9pt;margin-top:58.1pt;height:0.75pt;width:453.55pt;mso-position-horizontal-relative:page;mso-position-vertical-relative:page;z-index:251741184;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0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3619D6">
    <w:pPr>
      <w:spacing w:before="19" w:line="226" w:lineRule="auto"/>
      <w:ind w:left="2974"/>
      <w:rPr>
        <w:rFonts w:ascii="宋体" w:hAnsi="宋体" w:eastAsia="宋体" w:cs="宋体"/>
        <w:sz w:val="20"/>
        <w:szCs w:val="20"/>
      </w:rPr>
    </w:pPr>
    <w:r>
      <w:pict>
        <v:shape id="_x0000_s2147" o:spid="_x0000_s2147" style="position:absolute;left:0pt;margin-left:70.85pt;margin-top:58.1pt;height:0.75pt;width:700.25pt;mso-position-horizontal-relative:page;mso-position-vertical-relative:page;z-index:251743232;mso-width-relative:page;mso-height-relative:page;" fillcolor="#000000" filled="t" stroked="f" coordsize="14005,15" o:allowincell="f" path="m0,0l14004,0,14004,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0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F1BE2">
    <w:pPr>
      <w:spacing w:before="19" w:line="226" w:lineRule="auto"/>
      <w:ind w:left="403"/>
      <w:rPr>
        <w:rFonts w:ascii="宋体" w:hAnsi="宋体" w:eastAsia="宋体" w:cs="宋体"/>
        <w:sz w:val="20"/>
        <w:szCs w:val="20"/>
      </w:rPr>
    </w:pPr>
    <w:r>
      <w:pict>
        <v:shape id="_x0000_s2148" o:spid="_x0000_s2148" style="position:absolute;left:0pt;margin-left:70.9pt;margin-top:58.1pt;height:0.75pt;width:453.55pt;mso-position-horizontal-relative:page;mso-position-vertical-relative:page;z-index:251746304;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0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E0A79">
    <w:pPr>
      <w:spacing w:before="19" w:line="226" w:lineRule="auto"/>
      <w:ind w:left="508"/>
      <w:rPr>
        <w:rFonts w:ascii="宋体" w:hAnsi="宋体" w:eastAsia="宋体" w:cs="宋体"/>
        <w:sz w:val="20"/>
        <w:szCs w:val="20"/>
      </w:rPr>
    </w:pPr>
    <w:r>
      <w:pict>
        <v:shape id="_x0000_s2149" o:spid="_x0000_s2149" style="position:absolute;left:0pt;margin-left:70.9pt;margin-top:58.1pt;height:0.75pt;width:453.55pt;mso-position-horizontal-relative:page;mso-position-vertical-relative:page;z-index:251747328;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0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F591BC">
    <w:pPr>
      <w:spacing w:before="19" w:line="226" w:lineRule="auto"/>
      <w:ind w:left="415"/>
      <w:rPr>
        <w:rFonts w:ascii="宋体" w:hAnsi="宋体" w:eastAsia="宋体" w:cs="宋体"/>
        <w:sz w:val="20"/>
        <w:szCs w:val="20"/>
      </w:rPr>
    </w:pPr>
    <w:r>
      <w:pict>
        <v:shape id="_x0000_s2150" o:spid="_x0000_s2150" style="position:absolute;left:0pt;margin-left:70.9pt;margin-top:58.1pt;height:0.75pt;width:453.55pt;mso-position-horizontal-relative:page;mso-position-vertical-relative:page;z-index:251748352;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0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62BED0">
    <w:pPr>
      <w:spacing w:before="19" w:line="226" w:lineRule="auto"/>
      <w:ind w:left="404"/>
      <w:rPr>
        <w:rFonts w:ascii="宋体" w:hAnsi="宋体" w:eastAsia="宋体" w:cs="宋体"/>
        <w:sz w:val="20"/>
        <w:szCs w:val="20"/>
      </w:rPr>
    </w:pPr>
    <w:r>
      <w:pict>
        <v:shape id="_x0000_s2151" o:spid="_x0000_s2151" style="position:absolute;left:0pt;margin-left:70.85pt;margin-top:58.15pt;height:0.75pt;width:453.65pt;mso-position-horizontal-relative:page;mso-position-vertical-relative:page;z-index:25174937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0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0BE17A">
    <w:pPr>
      <w:spacing w:before="19" w:line="226" w:lineRule="auto"/>
      <w:ind w:left="404"/>
      <w:rPr>
        <w:rFonts w:ascii="宋体" w:hAnsi="宋体" w:eastAsia="宋体" w:cs="宋体"/>
        <w:sz w:val="20"/>
        <w:szCs w:val="20"/>
      </w:rPr>
    </w:pPr>
    <w:r>
      <w:pict>
        <v:shape id="_x0000_s2152" o:spid="_x0000_s2152"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0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E883B2">
    <w:pPr>
      <w:spacing w:before="19" w:line="226" w:lineRule="auto"/>
      <w:ind w:left="404"/>
      <w:rPr>
        <w:rFonts w:ascii="宋体" w:hAnsi="宋体" w:eastAsia="宋体" w:cs="宋体"/>
        <w:sz w:val="20"/>
        <w:szCs w:val="20"/>
      </w:rPr>
    </w:pPr>
    <w:r>
      <w:pict>
        <v:shape id="_x0000_s2153" o:spid="_x0000_s2153" style="position:absolute;left:0pt;margin-left:70.85pt;margin-top:58.15pt;height:0.75pt;width:453.65pt;mso-position-horizontal-relative:page;mso-position-vertical-relative:page;z-index:25175142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0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69F7B9">
    <w:pPr>
      <w:spacing w:before="19" w:line="226" w:lineRule="auto"/>
      <w:ind w:left="404"/>
      <w:rPr>
        <w:rFonts w:ascii="宋体" w:hAnsi="宋体" w:eastAsia="宋体" w:cs="宋体"/>
        <w:sz w:val="20"/>
        <w:szCs w:val="20"/>
      </w:rPr>
    </w:pPr>
    <w:r>
      <w:pict>
        <v:shape id="_x0000_s2154" o:spid="_x0000_s2154" style="position:absolute;left:0pt;margin-left:70.85pt;margin-top:58.15pt;height:0.75pt;width:453.65pt;mso-position-horizontal-relative:page;mso-position-vertical-relative:page;z-index:25174937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CAFEEC">
    <w:pPr>
      <w:spacing w:before="19" w:line="226" w:lineRule="auto"/>
      <w:ind w:left="461"/>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7C3A8E53">
    <w:pPr>
      <w:spacing w:before="15" w:line="19" w:lineRule="exact"/>
      <w:ind w:firstLine="3"/>
    </w:pPr>
    <w:r>
      <w:rPr>
        <w:position w:val="-1"/>
      </w:rPr>
      <w:pict>
        <v:shape id="_x0000_s2058" o:spid="_x0000_s2058" style="height:1.45pt;width:453.65pt;" fillcolor="#000000" filled="t" stroked="f" coordsize="9072,29" path="m0,0l9072,0,9072,28,0,28,0,0xe">
          <v:path/>
          <v:fill on="t" focussize="0,0"/>
          <v:stroke on="f"/>
          <v:imagedata o:title=""/>
          <o:lock v:ext="edit"/>
          <w10:wrap type="none"/>
          <w10:anchorlock/>
        </v:shape>
      </w:pict>
    </w:r>
  </w:p>
</w:hdr>
</file>

<file path=word/header1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9227AD">
    <w:pPr>
      <w:spacing w:before="19" w:line="226" w:lineRule="auto"/>
      <w:ind w:left="404"/>
      <w:rPr>
        <w:rFonts w:ascii="宋体" w:hAnsi="宋体" w:eastAsia="宋体" w:cs="宋体"/>
        <w:sz w:val="20"/>
        <w:szCs w:val="20"/>
      </w:rPr>
    </w:pPr>
    <w:r>
      <w:pict>
        <v:shape id="_x0000_s2155" o:spid="_x0000_s2155"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C3B7EE">
    <w:pPr>
      <w:spacing w:before="19" w:line="226" w:lineRule="auto"/>
      <w:ind w:left="404"/>
      <w:rPr>
        <w:rFonts w:ascii="宋体" w:hAnsi="宋体" w:eastAsia="宋体" w:cs="宋体"/>
        <w:sz w:val="20"/>
        <w:szCs w:val="20"/>
      </w:rPr>
    </w:pPr>
    <w:r>
      <w:pict>
        <v:shape id="_x0000_s2156" o:spid="_x0000_s2156" style="position:absolute;left:0pt;margin-left:70.85pt;margin-top:58.15pt;height:0.75pt;width:453.65pt;mso-position-horizontal-relative:page;mso-position-vertical-relative:page;z-index:2517524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B07A80">
    <w:pPr>
      <w:spacing w:before="19" w:line="226" w:lineRule="auto"/>
      <w:ind w:left="404"/>
      <w:rPr>
        <w:rFonts w:ascii="宋体" w:hAnsi="宋体" w:eastAsia="宋体" w:cs="宋体"/>
        <w:sz w:val="20"/>
        <w:szCs w:val="20"/>
      </w:rPr>
    </w:pPr>
    <w:r>
      <w:pict>
        <v:shape id="_x0000_s2157" o:spid="_x0000_s2157"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AC0DB5">
    <w:pPr>
      <w:spacing w:before="19" w:line="226" w:lineRule="auto"/>
      <w:ind w:left="404"/>
      <w:rPr>
        <w:rFonts w:ascii="宋体" w:hAnsi="宋体" w:eastAsia="宋体" w:cs="宋体"/>
        <w:sz w:val="20"/>
        <w:szCs w:val="20"/>
      </w:rPr>
    </w:pPr>
    <w:r>
      <w:pict>
        <v:shape id="_x0000_s2158" o:spid="_x0000_s2158" style="position:absolute;left:0pt;margin-left:70.85pt;margin-top:58.15pt;height:0.75pt;width:453.65pt;mso-position-horizontal-relative:page;mso-position-vertical-relative:page;z-index:25175142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F1BEC3">
    <w:pPr>
      <w:spacing w:before="19" w:line="226" w:lineRule="auto"/>
      <w:ind w:left="404"/>
      <w:rPr>
        <w:rFonts w:ascii="宋体" w:hAnsi="宋体" w:eastAsia="宋体" w:cs="宋体"/>
        <w:sz w:val="20"/>
        <w:szCs w:val="20"/>
      </w:rPr>
    </w:pPr>
    <w:r>
      <w:pict>
        <v:shape id="_x0000_s2159" o:spid="_x0000_s2159"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4EB582">
    <w:pPr>
      <w:spacing w:before="19" w:line="226" w:lineRule="auto"/>
      <w:ind w:left="404"/>
      <w:rPr>
        <w:rFonts w:ascii="宋体" w:hAnsi="宋体" w:eastAsia="宋体" w:cs="宋体"/>
        <w:sz w:val="20"/>
        <w:szCs w:val="20"/>
      </w:rPr>
    </w:pPr>
    <w:r>
      <w:pict>
        <v:shape id="_x0000_s2160" o:spid="_x0000_s2160" style="position:absolute;left:0pt;margin-left:70.85pt;margin-top:58.15pt;height:0.75pt;width:453.65pt;mso-position-horizontal-relative:page;mso-position-vertical-relative:page;z-index:2517534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D583E3">
    <w:pPr>
      <w:spacing w:before="19" w:line="226" w:lineRule="auto"/>
      <w:ind w:left="509"/>
      <w:rPr>
        <w:rFonts w:ascii="宋体" w:hAnsi="宋体" w:eastAsia="宋体" w:cs="宋体"/>
        <w:sz w:val="20"/>
        <w:szCs w:val="20"/>
      </w:rPr>
    </w:pPr>
    <w:r>
      <w:pict>
        <v:shape id="_x0000_s2161" o:spid="_x0000_s2161" style="position:absolute;left:0pt;margin-left:70.85pt;margin-top:58.15pt;height:0.75pt;width:453.65pt;mso-position-horizontal-relative:page;mso-position-vertical-relative:page;z-index:25175449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B97BA8">
    <w:pPr>
      <w:spacing w:before="19" w:line="226" w:lineRule="auto"/>
      <w:ind w:left="2871"/>
      <w:rPr>
        <w:rFonts w:ascii="宋体" w:hAnsi="宋体" w:eastAsia="宋体" w:cs="宋体"/>
        <w:sz w:val="20"/>
        <w:szCs w:val="20"/>
      </w:rPr>
    </w:pPr>
    <w:r>
      <w:pict>
        <v:shape id="_x0000_s2162" o:spid="_x0000_s2162" style="position:absolute;left:0pt;margin-left:70.85pt;margin-top:58.15pt;height:0.75pt;width:700.25pt;mso-position-horizontal-relative:page;mso-position-vertical-relative:page;z-index:251755520;mso-width-relative:page;mso-height-relative:page;" fillcolor="#000000" filled="t" stroked="f" coordsize="14005,15" o:allowincell="f" path="m0,0l14004,0,14004,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00F88F">
    <w:pPr>
      <w:spacing w:before="19" w:line="226" w:lineRule="auto"/>
      <w:ind w:left="406"/>
      <w:rPr>
        <w:rFonts w:ascii="宋体" w:hAnsi="宋体" w:eastAsia="宋体" w:cs="宋体"/>
        <w:sz w:val="20"/>
        <w:szCs w:val="20"/>
      </w:rPr>
    </w:pPr>
    <w:r>
      <w:pict>
        <v:shape id="_x0000_s2163" o:spid="_x0000_s2163" style="position:absolute;left:0pt;margin-left:70.85pt;margin-top:58.1pt;height:0.75pt;width:453.65pt;mso-position-horizontal-relative:page;mso-position-vertical-relative:page;z-index:25175654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044E74">
    <w:pPr>
      <w:spacing w:before="19" w:line="226" w:lineRule="auto"/>
      <w:ind w:left="406"/>
      <w:rPr>
        <w:rFonts w:ascii="宋体" w:hAnsi="宋体" w:eastAsia="宋体" w:cs="宋体"/>
        <w:sz w:val="20"/>
        <w:szCs w:val="20"/>
      </w:rPr>
    </w:pPr>
    <w:r>
      <w:pict>
        <v:shape id="_x0000_s2164" o:spid="_x0000_s2164" style="position:absolute;left:0pt;margin-left:70.85pt;margin-top:58.1pt;height:0.75pt;width:453.65pt;mso-position-horizontal-relative:page;mso-position-vertical-relative:page;z-index:25175756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3E9D9B">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69571F27">
    <w:pPr>
      <w:spacing w:before="15" w:line="19" w:lineRule="exact"/>
    </w:pPr>
    <w:r>
      <w:rPr>
        <w:position w:val="-1"/>
      </w:rPr>
      <w:pict>
        <v:shape id="_x0000_s2059" o:spid="_x0000_s2059" style="height:1.45pt;width:453.65pt;" fillcolor="#000000" filled="t" stroked="f" coordsize="9072,29" path="m0,0l9072,0,9072,28,0,28,0,0xe">
          <v:path/>
          <v:fill on="t" focussize="0,0"/>
          <v:stroke on="f"/>
          <v:imagedata o:title=""/>
          <o:lock v:ext="edit"/>
          <w10:wrap type="none"/>
          <w10:anchorlock/>
        </v:shape>
      </w:pict>
    </w:r>
  </w:p>
</w:hdr>
</file>

<file path=word/header1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AA142">
    <w:pPr>
      <w:spacing w:before="19" w:line="226" w:lineRule="auto"/>
      <w:ind w:left="406"/>
      <w:rPr>
        <w:rFonts w:ascii="宋体" w:hAnsi="宋体" w:eastAsia="宋体" w:cs="宋体"/>
        <w:sz w:val="20"/>
        <w:szCs w:val="20"/>
      </w:rPr>
    </w:pPr>
    <w:r>
      <w:pict>
        <v:shape id="_x0000_s2165" o:spid="_x0000_s2165" style="position:absolute;left:0pt;margin-left:70.85pt;margin-top:58.1pt;height:0.75pt;width:453.65pt;mso-position-horizontal-relative:page;mso-position-vertical-relative:page;z-index:25175654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23EC74">
    <w:pPr>
      <w:spacing w:before="19" w:line="226" w:lineRule="auto"/>
      <w:ind w:left="405"/>
      <w:rPr>
        <w:rFonts w:ascii="宋体" w:hAnsi="宋体" w:eastAsia="宋体" w:cs="宋体"/>
        <w:sz w:val="20"/>
        <w:szCs w:val="20"/>
      </w:rPr>
    </w:pPr>
    <w:r>
      <w:pict>
        <v:shape id="_x0000_s2166" o:spid="_x0000_s2166" style="position:absolute;left:0pt;margin-left:70.85pt;margin-top:58.1pt;height:0.75pt;width:453.65pt;mso-position-horizontal-relative:page;mso-position-vertical-relative:page;z-index:25173504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57AB02">
    <w:pPr>
      <w:spacing w:before="19" w:line="226" w:lineRule="auto"/>
      <w:ind w:left="404"/>
      <w:rPr>
        <w:rFonts w:ascii="宋体" w:hAnsi="宋体" w:eastAsia="宋体" w:cs="宋体"/>
        <w:sz w:val="20"/>
        <w:szCs w:val="20"/>
      </w:rPr>
    </w:pPr>
    <w:r>
      <w:pict>
        <v:shape id="_x0000_s2167" o:spid="_x0000_s2167" style="position:absolute;left:0pt;margin-left:70.85pt;margin-top:58.1pt;height:0.75pt;width:453.65pt;mso-position-horizontal-relative:page;mso-position-vertical-relative:page;z-index:2517278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A62C08">
    <w:pPr>
      <w:spacing w:before="19" w:line="226" w:lineRule="auto"/>
      <w:ind w:left="405"/>
      <w:rPr>
        <w:rFonts w:ascii="宋体" w:hAnsi="宋体" w:eastAsia="宋体" w:cs="宋体"/>
        <w:sz w:val="20"/>
        <w:szCs w:val="20"/>
      </w:rPr>
    </w:pPr>
    <w:r>
      <w:pict>
        <v:shape id="_x0000_s2168" o:spid="_x0000_s2168" style="position:absolute;left:0pt;margin-left:70.85pt;margin-top:58.1pt;height:0.75pt;width:453.65pt;mso-position-horizontal-relative:page;mso-position-vertical-relative:page;z-index:25173504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CF44AB">
    <w:pPr>
      <w:spacing w:before="19" w:line="226" w:lineRule="auto"/>
      <w:ind w:left="405"/>
      <w:rPr>
        <w:rFonts w:ascii="宋体" w:hAnsi="宋体" w:eastAsia="宋体" w:cs="宋体"/>
        <w:sz w:val="20"/>
        <w:szCs w:val="20"/>
      </w:rPr>
    </w:pPr>
    <w:r>
      <w:pict>
        <v:shape id="_x0000_s2169" o:spid="_x0000_s2169" style="position:absolute;left:0pt;margin-left:70.85pt;margin-top:58.1pt;height:0.75pt;width:453.65pt;mso-position-horizontal-relative:page;mso-position-vertical-relative:page;z-index:25175859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5D3E88">
    <w:pPr>
      <w:spacing w:before="19" w:line="226" w:lineRule="auto"/>
      <w:ind w:left="404"/>
      <w:rPr>
        <w:rFonts w:ascii="宋体" w:hAnsi="宋体" w:eastAsia="宋体" w:cs="宋体"/>
        <w:sz w:val="20"/>
        <w:szCs w:val="20"/>
      </w:rPr>
    </w:pPr>
    <w:r>
      <w:pict>
        <v:shape id="_x0000_s2170" o:spid="_x0000_s2170" style="position:absolute;left:0pt;margin-left:70.85pt;margin-top:58.1pt;height:0.75pt;width:453.65pt;mso-position-horizontal-relative:page;mso-position-vertical-relative:page;z-index:2517278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D5795F">
    <w:pPr>
      <w:spacing w:before="19" w:line="226" w:lineRule="auto"/>
      <w:ind w:left="419"/>
      <w:rPr>
        <w:rFonts w:ascii="宋体" w:hAnsi="宋体" w:eastAsia="宋体" w:cs="宋体"/>
        <w:sz w:val="20"/>
        <w:szCs w:val="20"/>
      </w:rPr>
    </w:pPr>
    <w:r>
      <w:pict>
        <v:shape id="_x0000_s2171" o:spid="_x0000_s2171" style="position:absolute;left:0pt;margin-left:70.85pt;margin-top:58.1pt;height:0.75pt;width:453.65pt;mso-position-horizontal-relative:page;mso-position-vertical-relative:page;z-index:25175961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521235">
    <w:pPr>
      <w:spacing w:before="19" w:line="226" w:lineRule="auto"/>
      <w:ind w:left="511"/>
      <w:rPr>
        <w:rFonts w:ascii="宋体" w:hAnsi="宋体" w:eastAsia="宋体" w:cs="宋体"/>
        <w:sz w:val="20"/>
        <w:szCs w:val="20"/>
      </w:rPr>
    </w:pPr>
    <w:r>
      <w:pict>
        <v:shape id="_x0000_s2172" o:spid="_x0000_s2172" style="position:absolute;left:0pt;margin-left:70.9pt;margin-top:58.1pt;height:0.75pt;width:453.55pt;mso-position-horizontal-relative:page;mso-position-vertical-relative:page;z-index:251739136;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E8D400">
    <w:pPr>
      <w:spacing w:before="19" w:line="226" w:lineRule="auto"/>
      <w:ind w:left="404"/>
      <w:rPr>
        <w:rFonts w:ascii="宋体" w:hAnsi="宋体" w:eastAsia="宋体" w:cs="宋体"/>
        <w:sz w:val="20"/>
        <w:szCs w:val="20"/>
      </w:rPr>
    </w:pPr>
    <w:r>
      <w:pict>
        <v:shape id="_x0000_s2173" o:spid="_x0000_s2173" style="position:absolute;left:0pt;margin-left:70.85pt;margin-top:58.1pt;height:0.75pt;width:453.65pt;mso-position-horizontal-relative:page;mso-position-vertical-relative:page;z-index:2517268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D78F0">
    <w:pPr>
      <w:spacing w:before="19" w:line="226" w:lineRule="auto"/>
      <w:ind w:left="435"/>
      <w:rPr>
        <w:rFonts w:ascii="宋体" w:hAnsi="宋体" w:eastAsia="宋体" w:cs="宋体"/>
        <w:sz w:val="20"/>
        <w:szCs w:val="20"/>
      </w:rPr>
    </w:pPr>
    <w:r>
      <w:pict>
        <v:shape id="_x0000_s2174" o:spid="_x0000_s2174" style="position:absolute;left:0pt;margin-left:70.85pt;margin-top:58.1pt;height:0.75pt;width:453.65pt;mso-position-horizontal-relative:page;mso-position-vertical-relative:page;z-index:25176064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56BAE4">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14309FBC">
    <w:pPr>
      <w:spacing w:before="15" w:line="19" w:lineRule="exact"/>
    </w:pPr>
    <w:r>
      <w:rPr>
        <w:position w:val="-1"/>
      </w:rPr>
      <w:pict>
        <v:shape id="_x0000_s2060" o:spid="_x0000_s2060" style="height:1.45pt;width:453.65pt;" fillcolor="#000000" filled="t" stroked="f" coordsize="9072,29" path="m0,0l9072,0,9072,28,0,28,0,0xe">
          <v:path/>
          <v:fill on="t" focussize="0,0"/>
          <v:stroke on="f"/>
          <v:imagedata o:title=""/>
          <o:lock v:ext="edit"/>
          <w10:wrap type="none"/>
          <w10:anchorlock/>
        </v:shape>
      </w:pict>
    </w:r>
  </w:p>
</w:hdr>
</file>

<file path=word/header1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5C0DB1">
    <w:pPr>
      <w:spacing w:before="19" w:line="226" w:lineRule="auto"/>
      <w:ind w:left="404"/>
      <w:rPr>
        <w:rFonts w:ascii="宋体" w:hAnsi="宋体" w:eastAsia="宋体" w:cs="宋体"/>
        <w:sz w:val="20"/>
        <w:szCs w:val="20"/>
      </w:rPr>
    </w:pPr>
    <w:r>
      <w:pict>
        <v:shape id="_x0000_s2175" o:spid="_x0000_s2175" style="position:absolute;left:0pt;margin-left:70.85pt;margin-top:58.1pt;height:0.75pt;width:453.65pt;mso-position-horizontal-relative:page;mso-position-vertical-relative:page;z-index:2517268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D7B37">
    <w:pPr>
      <w:spacing w:before="19" w:line="226" w:lineRule="auto"/>
      <w:ind w:left="432"/>
      <w:rPr>
        <w:rFonts w:ascii="宋体" w:hAnsi="宋体" w:eastAsia="宋体" w:cs="宋体"/>
        <w:sz w:val="20"/>
        <w:szCs w:val="20"/>
      </w:rPr>
    </w:pPr>
    <w:r>
      <w:pict>
        <v:shape id="_x0000_s2176" o:spid="_x0000_s2176" style="position:absolute;left:0pt;margin-left:70.85pt;margin-top:58.1pt;height:0.75pt;width:453.6pt;mso-position-horizontal-relative:page;mso-position-vertical-relative:page;z-index:251761664;mso-width-relative:page;mso-height-relative:page;" fillcolor="#000000" filled="t" stroked="f" coordsize="9072,15" o:allowincell="f" path="m0,0l9071,0,9071,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BE7CF">
    <w:pPr>
      <w:spacing w:before="19" w:line="226" w:lineRule="auto"/>
      <w:ind w:left="432"/>
      <w:rPr>
        <w:rFonts w:ascii="宋体" w:hAnsi="宋体" w:eastAsia="宋体" w:cs="宋体"/>
        <w:sz w:val="20"/>
        <w:szCs w:val="20"/>
      </w:rPr>
    </w:pPr>
    <w:r>
      <w:pict>
        <v:shape id="_x0000_s2177" o:spid="_x0000_s2177" style="position:absolute;left:0pt;margin-left:70.85pt;margin-top:58.1pt;height:0.75pt;width:453.6pt;mso-position-horizontal-relative:page;mso-position-vertical-relative:page;z-index:251762688;mso-width-relative:page;mso-height-relative:page;" fillcolor="#000000" filled="t" stroked="f" coordsize="9072,15" o:allowincell="f" path="m0,0l9071,0,9071,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120241">
    <w:pPr>
      <w:spacing w:before="19" w:line="226" w:lineRule="auto"/>
      <w:ind w:left="404"/>
      <w:rPr>
        <w:rFonts w:ascii="宋体" w:hAnsi="宋体" w:eastAsia="宋体" w:cs="宋体"/>
        <w:sz w:val="20"/>
        <w:szCs w:val="20"/>
      </w:rPr>
    </w:pPr>
    <w:r>
      <w:pict>
        <v:shape id="_x0000_s2178" o:spid="_x0000_s2178" style="position:absolute;left:0pt;margin-left:70.85pt;margin-top:58.1pt;height:0.75pt;width:453.65pt;mso-position-horizontal-relative:page;mso-position-vertical-relative:page;z-index:2517248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D39F3B">
    <w:pPr>
      <w:spacing w:before="19" w:line="226" w:lineRule="auto"/>
      <w:ind w:left="404"/>
      <w:rPr>
        <w:rFonts w:ascii="宋体" w:hAnsi="宋体" w:eastAsia="宋体" w:cs="宋体"/>
        <w:sz w:val="20"/>
        <w:szCs w:val="20"/>
      </w:rPr>
    </w:pPr>
    <w:r>
      <w:pict>
        <v:shape id="_x0000_s2179" o:spid="_x0000_s2179" style="position:absolute;left:0pt;margin-left:70.85pt;margin-top:58.1pt;height:0.75pt;width:453.65pt;mso-position-horizontal-relative:page;mso-position-vertical-relative:page;z-index:2517268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D4AF09">
    <w:pPr>
      <w:spacing w:before="19" w:line="226" w:lineRule="auto"/>
      <w:ind w:left="404"/>
      <w:rPr>
        <w:rFonts w:ascii="宋体" w:hAnsi="宋体" w:eastAsia="宋体" w:cs="宋体"/>
        <w:sz w:val="20"/>
        <w:szCs w:val="20"/>
      </w:rPr>
    </w:pPr>
    <w:r>
      <w:pict>
        <v:shape id="_x0000_s2180" o:spid="_x0000_s2180" style="position:absolute;left:0pt;margin-left:70.85pt;margin-top:58.1pt;height:0.75pt;width:453.6pt;mso-position-horizontal-relative:page;mso-position-vertical-relative:page;z-index:251763712;mso-width-relative:page;mso-height-relative:page;" fillcolor="#000000" filled="t" stroked="f" coordsize="9072,15" o:allowincell="f" path="m0,0l9071,0,9071,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DE4D1E">
    <w:pPr>
      <w:spacing w:before="19" w:line="226" w:lineRule="auto"/>
      <w:ind w:left="2872"/>
      <w:rPr>
        <w:rFonts w:ascii="宋体" w:hAnsi="宋体" w:eastAsia="宋体" w:cs="宋体"/>
        <w:sz w:val="20"/>
        <w:szCs w:val="20"/>
      </w:rPr>
    </w:pPr>
    <w:r>
      <w:pict>
        <v:shape id="_x0000_s2181" o:spid="_x0000_s2181" style="position:absolute;left:0pt;margin-left:70.85pt;margin-top:58.1pt;height:0.75pt;width:700.25pt;mso-position-horizontal-relative:page;mso-position-vertical-relative:page;z-index:251764736;mso-width-relative:page;mso-height-relative:page;" fillcolor="#000000" filled="t" stroked="f" coordsize="14005,15" o:allowincell="f" path="m0,0l14004,0,14004,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3A1CEA">
    <w:pPr>
      <w:spacing w:before="19" w:line="226" w:lineRule="auto"/>
      <w:ind w:left="2871"/>
      <w:rPr>
        <w:rFonts w:ascii="宋体" w:hAnsi="宋体" w:eastAsia="宋体" w:cs="宋体"/>
        <w:sz w:val="20"/>
        <w:szCs w:val="20"/>
      </w:rPr>
    </w:pPr>
    <w:r>
      <w:pict>
        <v:shape id="_x0000_s2182" o:spid="_x0000_s2182" style="position:absolute;left:0pt;margin-left:70.85pt;margin-top:58.1pt;height:0.75pt;width:700.25pt;mso-position-horizontal-relative:page;mso-position-vertical-relative:page;z-index:251765760;mso-width-relative:page;mso-height-relative:page;" fillcolor="#000000" filled="t" stroked="f" coordsize="14005,15" o:allowincell="f" path="m0,0l14004,0,14004,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8A578">
    <w:pPr>
      <w:spacing w:before="19" w:line="226" w:lineRule="auto"/>
      <w:ind w:left="404"/>
      <w:rPr>
        <w:rFonts w:ascii="宋体" w:hAnsi="宋体" w:eastAsia="宋体" w:cs="宋体"/>
        <w:sz w:val="20"/>
        <w:szCs w:val="20"/>
      </w:rPr>
    </w:pPr>
    <w:r>
      <w:pict>
        <v:shape id="_x0000_s2183" o:spid="_x0000_s2183" style="position:absolute;left:0pt;margin-left:70.85pt;margin-top:58.1pt;height:0.75pt;width:453.65pt;mso-position-horizontal-relative:page;mso-position-vertical-relative:page;z-index:2517248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B27F60">
    <w:pPr>
      <w:spacing w:before="19" w:line="226" w:lineRule="auto"/>
      <w:ind w:left="404"/>
      <w:rPr>
        <w:rFonts w:ascii="宋体" w:hAnsi="宋体" w:eastAsia="宋体" w:cs="宋体"/>
        <w:sz w:val="20"/>
        <w:szCs w:val="20"/>
      </w:rPr>
    </w:pPr>
    <w:r>
      <w:pict>
        <v:shape id="_x0000_s2184" o:spid="_x0000_s2184" style="position:absolute;left:0pt;margin-left:70.85pt;margin-top:58.1pt;height:0.75pt;width:453.65pt;mso-position-horizontal-relative:page;mso-position-vertical-relative:page;z-index:2517278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916C8D">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2199C690">
    <w:pPr>
      <w:spacing w:before="15" w:line="19" w:lineRule="exact"/>
    </w:pPr>
    <w:r>
      <w:rPr>
        <w:position w:val="-1"/>
      </w:rPr>
      <w:pict>
        <v:shape id="_x0000_s2061" o:spid="_x0000_s2061" style="height:1.45pt;width:453.65pt;" fillcolor="#000000" filled="t" stroked="f" coordsize="9072,29" path="m0,0l9072,0,9072,28,0,28,0,0xe">
          <v:path/>
          <v:fill on="t" focussize="0,0"/>
          <v:stroke on="f"/>
          <v:imagedata o:title=""/>
          <o:lock v:ext="edit"/>
          <w10:wrap type="none"/>
          <w10:anchorlock/>
        </v:shape>
      </w:pict>
    </w:r>
  </w:p>
</w:hdr>
</file>

<file path=word/header1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5D735B">
    <w:pPr>
      <w:spacing w:before="19" w:line="226" w:lineRule="auto"/>
      <w:ind w:left="404"/>
      <w:rPr>
        <w:rFonts w:ascii="宋体" w:hAnsi="宋体" w:eastAsia="宋体" w:cs="宋体"/>
        <w:sz w:val="20"/>
        <w:szCs w:val="20"/>
      </w:rPr>
    </w:pPr>
    <w:r>
      <w:pict>
        <v:shape id="_x0000_s2185" o:spid="_x0000_s2185" style="position:absolute;left:0pt;margin-left:70.85pt;margin-top:58.1pt;height:0.75pt;width:453.65pt;mso-position-horizontal-relative:page;mso-position-vertical-relative:page;z-index:25176780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F4EE42">
    <w:pPr>
      <w:spacing w:before="19" w:line="226" w:lineRule="auto"/>
      <w:ind w:left="404"/>
      <w:rPr>
        <w:rFonts w:ascii="宋体" w:hAnsi="宋体" w:eastAsia="宋体" w:cs="宋体"/>
        <w:sz w:val="20"/>
        <w:szCs w:val="20"/>
      </w:rPr>
    </w:pPr>
    <w:r>
      <w:pict>
        <v:shape id="_x0000_s2186" o:spid="_x0000_s2186" style="position:absolute;left:0pt;margin-left:70.85pt;margin-top:58.1pt;height:0.75pt;width:453.65pt;mso-position-horizontal-relative:page;mso-position-vertical-relative:page;z-index:2517278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2E8E92">
    <w:pPr>
      <w:spacing w:before="19" w:line="226" w:lineRule="auto"/>
      <w:ind w:left="404"/>
      <w:rPr>
        <w:rFonts w:ascii="宋体" w:hAnsi="宋体" w:eastAsia="宋体" w:cs="宋体"/>
        <w:sz w:val="20"/>
        <w:szCs w:val="20"/>
      </w:rPr>
    </w:pPr>
    <w:r>
      <w:pict>
        <v:shape id="_x0000_s2187" o:spid="_x0000_s2187" style="position:absolute;left:0pt;margin-left:70.85pt;margin-top:58.1pt;height:0.75pt;width:453.65pt;mso-position-horizontal-relative:page;mso-position-vertical-relative:page;z-index:25176883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E22613">
    <w:pPr>
      <w:spacing w:before="19" w:line="226" w:lineRule="auto"/>
      <w:ind w:left="404"/>
      <w:rPr>
        <w:rFonts w:ascii="宋体" w:hAnsi="宋体" w:eastAsia="宋体" w:cs="宋体"/>
        <w:sz w:val="20"/>
        <w:szCs w:val="20"/>
      </w:rPr>
    </w:pPr>
    <w:r>
      <w:pict>
        <v:shape id="_x0000_s2188" o:spid="_x0000_s2188" style="position:absolute;left:0pt;margin-left:70.85pt;margin-top:58.1pt;height:0.75pt;width:453.65pt;mso-position-horizontal-relative:page;mso-position-vertical-relative:page;z-index:25172582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24F0B5">
    <w:pPr>
      <w:spacing w:before="19" w:line="226" w:lineRule="auto"/>
      <w:ind w:left="404"/>
      <w:rPr>
        <w:rFonts w:ascii="宋体" w:hAnsi="宋体" w:eastAsia="宋体" w:cs="宋体"/>
        <w:sz w:val="20"/>
        <w:szCs w:val="20"/>
      </w:rPr>
    </w:pPr>
    <w:r>
      <w:pict>
        <v:shape id="_x0000_s2189" o:spid="_x0000_s2189" style="position:absolute;left:0pt;margin-left:70.85pt;margin-top:58.1pt;height:0.75pt;width:453.65pt;mso-position-horizontal-relative:page;mso-position-vertical-relative:page;z-index:2517268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C9B4A0">
    <w:pPr>
      <w:spacing w:before="19" w:line="226" w:lineRule="auto"/>
      <w:ind w:left="404"/>
      <w:rPr>
        <w:rFonts w:ascii="宋体" w:hAnsi="宋体" w:eastAsia="宋体" w:cs="宋体"/>
        <w:sz w:val="20"/>
        <w:szCs w:val="20"/>
      </w:rPr>
    </w:pPr>
    <w:r>
      <w:pict>
        <v:shape id="_x0000_s2190" o:spid="_x0000_s2190" style="position:absolute;left:0pt;margin-left:70.85pt;margin-top:58.1pt;height:0.75pt;width:453.65pt;mso-position-horizontal-relative:page;mso-position-vertical-relative:page;z-index:2517278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02E2A1">
    <w:pPr>
      <w:spacing w:before="19" w:line="226" w:lineRule="auto"/>
      <w:ind w:left="404"/>
      <w:rPr>
        <w:rFonts w:ascii="宋体" w:hAnsi="宋体" w:eastAsia="宋体" w:cs="宋体"/>
        <w:sz w:val="20"/>
        <w:szCs w:val="20"/>
      </w:rPr>
    </w:pPr>
    <w:r>
      <w:pict>
        <v:shape id="_x0000_s2191" o:spid="_x0000_s2191" style="position:absolute;left:0pt;margin-left:70.85pt;margin-top:58.1pt;height:0.75pt;width:453.65pt;mso-position-horizontal-relative:page;mso-position-vertical-relative:page;z-index:2517248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6F83D4">
    <w:pPr>
      <w:spacing w:before="19" w:line="226" w:lineRule="auto"/>
      <w:ind w:left="404"/>
      <w:rPr>
        <w:rFonts w:ascii="宋体" w:hAnsi="宋体" w:eastAsia="宋体" w:cs="宋体"/>
        <w:sz w:val="20"/>
        <w:szCs w:val="20"/>
      </w:rPr>
    </w:pPr>
    <w:r>
      <w:pict>
        <v:shape id="_x0000_s2192" o:spid="_x0000_s2192" style="position:absolute;left:0pt;margin-left:70.85pt;margin-top:58.1pt;height:0.75pt;width:453.65pt;mso-position-horizontal-relative:page;mso-position-vertical-relative:page;z-index:2517278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3ACAF3">
    <w:pPr>
      <w:spacing w:before="19" w:line="226" w:lineRule="auto"/>
      <w:ind w:left="512"/>
      <w:rPr>
        <w:rFonts w:ascii="宋体" w:hAnsi="宋体" w:eastAsia="宋体" w:cs="宋体"/>
        <w:sz w:val="20"/>
        <w:szCs w:val="20"/>
      </w:rPr>
    </w:pPr>
    <w:r>
      <w:pict>
        <v:shape id="_x0000_s2193" o:spid="_x0000_s2193" style="position:absolute;left:0pt;margin-left:70.85pt;margin-top:58.1pt;height:0.75pt;width:453.65pt;mso-position-horizontal-relative:page;mso-position-vertical-relative:page;z-index:25173401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5906B9">
    <w:pPr>
      <w:spacing w:before="19" w:line="226" w:lineRule="auto"/>
      <w:ind w:left="404"/>
      <w:rPr>
        <w:rFonts w:ascii="宋体" w:hAnsi="宋体" w:eastAsia="宋体" w:cs="宋体"/>
        <w:sz w:val="20"/>
        <w:szCs w:val="20"/>
      </w:rPr>
    </w:pPr>
    <w:r>
      <w:pict>
        <v:shape id="_x0000_s2194" o:spid="_x0000_s2194" style="position:absolute;left:0pt;margin-left:70.85pt;margin-top:58.1pt;height:0.75pt;width:453.65pt;mso-position-horizontal-relative:page;mso-position-vertical-relative:page;z-index:2517278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F5B36">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1C901A90">
    <w:pPr>
      <w:spacing w:before="15" w:line="19" w:lineRule="exact"/>
    </w:pPr>
    <w:r>
      <w:rPr>
        <w:position w:val="-1"/>
      </w:rPr>
      <w:pict>
        <v:shape id="_x0000_s2062" o:spid="_x0000_s2062" style="height:1.45pt;width:453.65pt;" fillcolor="#000000" filled="t" stroked="f" coordsize="9072,29" path="m0,0l9072,0,9072,28,0,28,0,0xe">
          <v:path/>
          <v:fill on="t" focussize="0,0"/>
          <v:stroke on="f"/>
          <v:imagedata o:title=""/>
          <o:lock v:ext="edit"/>
          <w10:wrap type="none"/>
          <w10:anchorlock/>
        </v:shape>
      </w:pict>
    </w:r>
  </w:p>
</w:hdr>
</file>

<file path=word/header1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52B2E">
    <w:pPr>
      <w:spacing w:before="19" w:line="226" w:lineRule="auto"/>
      <w:ind w:left="512"/>
      <w:rPr>
        <w:rFonts w:ascii="宋体" w:hAnsi="宋体" w:eastAsia="宋体" w:cs="宋体"/>
        <w:sz w:val="20"/>
        <w:szCs w:val="20"/>
      </w:rPr>
    </w:pPr>
    <w:r>
      <w:pict>
        <v:shape id="_x0000_s2195" o:spid="_x0000_s2195" style="position:absolute;left:0pt;margin-left:70.85pt;margin-top:58.1pt;height:0.75pt;width:453.65pt;mso-position-horizontal-relative:page;mso-position-vertical-relative:page;z-index:25173401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C8AEE">
    <w:pPr>
      <w:spacing w:before="19" w:line="226" w:lineRule="auto"/>
      <w:ind w:left="404"/>
      <w:rPr>
        <w:rFonts w:ascii="宋体" w:hAnsi="宋体" w:eastAsia="宋体" w:cs="宋体"/>
        <w:sz w:val="20"/>
        <w:szCs w:val="20"/>
      </w:rPr>
    </w:pPr>
    <w:r>
      <w:pict>
        <v:shape id="_x0000_s2196" o:spid="_x0000_s2196" style="position:absolute;left:0pt;margin-left:70.85pt;margin-top:58.1pt;height:0.75pt;width:453.65pt;mso-position-horizontal-relative:page;mso-position-vertical-relative:page;z-index:25176780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05BD5C">
    <w:pPr>
      <w:spacing w:before="19" w:line="226" w:lineRule="auto"/>
      <w:ind w:left="511"/>
      <w:rPr>
        <w:rFonts w:ascii="宋体" w:hAnsi="宋体" w:eastAsia="宋体" w:cs="宋体"/>
        <w:sz w:val="20"/>
        <w:szCs w:val="20"/>
      </w:rPr>
    </w:pPr>
    <w:r>
      <w:pict>
        <v:shape id="_x0000_s2197" o:spid="_x0000_s2197" style="position:absolute;left:0pt;margin-left:70.9pt;margin-top:58.1pt;height:0.75pt;width:453.55pt;mso-position-horizontal-relative:page;mso-position-vertical-relative:page;z-index:251739136;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43A5C1">
    <w:pPr>
      <w:spacing w:before="19" w:line="226" w:lineRule="auto"/>
      <w:ind w:left="512"/>
      <w:rPr>
        <w:rFonts w:ascii="宋体" w:hAnsi="宋体" w:eastAsia="宋体" w:cs="宋体"/>
        <w:sz w:val="20"/>
        <w:szCs w:val="20"/>
      </w:rPr>
    </w:pPr>
    <w:r>
      <w:pict>
        <v:shape id="_x0000_s2198" o:spid="_x0000_s2198" style="position:absolute;left:0pt;margin-left:70.85pt;margin-top:63.8pt;height:0.75pt;width:453.65pt;mso-position-horizontal-relative:page;mso-position-vertical-relative:page;z-index:25176985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1766C">
    <w:pPr>
      <w:spacing w:before="19" w:line="226" w:lineRule="auto"/>
      <w:ind w:left="404"/>
      <w:rPr>
        <w:rFonts w:ascii="宋体" w:hAnsi="宋体" w:eastAsia="宋体" w:cs="宋体"/>
        <w:sz w:val="20"/>
        <w:szCs w:val="20"/>
      </w:rPr>
    </w:pPr>
    <w:r>
      <w:pict>
        <v:shape id="_x0000_s2199" o:spid="_x0000_s2199" style="position:absolute;left:0pt;margin-left:70.85pt;margin-top:58.15pt;height:0.75pt;width:453.65pt;mso-position-horizontal-relative:page;mso-position-vertical-relative:page;z-index:25174937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5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AF0696">
    <w:pPr>
      <w:spacing w:before="19" w:line="226" w:lineRule="auto"/>
      <w:ind w:left="404"/>
      <w:rPr>
        <w:rFonts w:ascii="宋体" w:hAnsi="宋体" w:eastAsia="宋体" w:cs="宋体"/>
        <w:sz w:val="20"/>
        <w:szCs w:val="20"/>
      </w:rPr>
    </w:pPr>
    <w:r>
      <w:pict>
        <v:shape id="_x0000_s2200" o:spid="_x0000_s2200" style="position:absolute;left:0pt;margin-left:70.85pt;margin-top:58.15pt;height:0.75pt;width:453.65pt;mso-position-horizontal-relative:page;mso-position-vertical-relative:page;z-index:25177088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5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6DB72">
    <w:pPr>
      <w:spacing w:before="19" w:line="226" w:lineRule="auto"/>
      <w:ind w:left="512"/>
      <w:rPr>
        <w:rFonts w:ascii="宋体" w:hAnsi="宋体" w:eastAsia="宋体" w:cs="宋体"/>
        <w:sz w:val="20"/>
        <w:szCs w:val="20"/>
      </w:rPr>
    </w:pPr>
    <w:r>
      <w:pict>
        <v:shape id="_x0000_s2201" o:spid="_x0000_s2201" style="position:absolute;left:0pt;margin-left:70.85pt;margin-top:58.15pt;height:0.75pt;width:453.65pt;mso-position-horizontal-relative:page;mso-position-vertical-relative:page;z-index:25177190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5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072B77">
    <w:pPr>
      <w:spacing w:before="19" w:line="226" w:lineRule="auto"/>
      <w:ind w:left="404"/>
      <w:rPr>
        <w:rFonts w:ascii="宋体" w:hAnsi="宋体" w:eastAsia="宋体" w:cs="宋体"/>
        <w:sz w:val="20"/>
        <w:szCs w:val="20"/>
      </w:rPr>
    </w:pPr>
    <w:r>
      <w:pict>
        <v:shape id="_x0000_s2202" o:spid="_x0000_s2202"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5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78E5F">
    <w:pPr>
      <w:spacing w:before="19" w:line="226" w:lineRule="auto"/>
      <w:ind w:left="521"/>
      <w:rPr>
        <w:rFonts w:ascii="宋体" w:hAnsi="宋体" w:eastAsia="宋体" w:cs="宋体"/>
        <w:sz w:val="20"/>
        <w:szCs w:val="20"/>
      </w:rPr>
    </w:pPr>
    <w:r>
      <w:pict>
        <v:shape id="_x0000_s2203" o:spid="_x0000_s2203" style="position:absolute;left:0pt;margin-left:70.85pt;margin-top:58.15pt;height:0.75pt;width:453.65pt;mso-position-horizontal-relative:page;mso-position-vertical-relative:page;z-index:25177395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5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FE389E">
    <w:pPr>
      <w:spacing w:before="19" w:line="226" w:lineRule="auto"/>
      <w:ind w:left="510"/>
      <w:rPr>
        <w:rFonts w:ascii="宋体" w:hAnsi="宋体" w:eastAsia="宋体" w:cs="宋体"/>
        <w:sz w:val="20"/>
        <w:szCs w:val="20"/>
      </w:rPr>
    </w:pPr>
    <w:r>
      <w:pict>
        <v:shape id="_x0000_s2204" o:spid="_x0000_s2204" style="position:absolute;left:0pt;margin-left:70.85pt;margin-top:58.15pt;height:0.75pt;width:453.65pt;mso-position-horizontal-relative:page;mso-position-vertical-relative:page;z-index:25177497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F45A7B">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39074142">
    <w:pPr>
      <w:spacing w:before="15" w:line="19" w:lineRule="exact"/>
    </w:pPr>
    <w:r>
      <w:rPr>
        <w:position w:val="-1"/>
      </w:rPr>
      <w:pict>
        <v:shape id="_x0000_s2063" o:spid="_x0000_s2063" style="height:1.45pt;width:453.65pt;" fillcolor="#000000" filled="t" stroked="f" coordsize="9072,29" path="m0,0l9072,0,9072,28,0,28,0,0xe">
          <v:path/>
          <v:fill on="t" focussize="0,0"/>
          <v:stroke on="f"/>
          <v:imagedata o:title=""/>
          <o:lock v:ext="edit"/>
          <w10:wrap type="none"/>
          <w10:anchorlock/>
        </v:shape>
      </w:pict>
    </w:r>
  </w:p>
</w:hdr>
</file>

<file path=word/header16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F5C7CB">
    <w:pPr>
      <w:spacing w:before="19" w:line="226" w:lineRule="auto"/>
      <w:ind w:left="512"/>
      <w:rPr>
        <w:rFonts w:ascii="宋体" w:hAnsi="宋体" w:eastAsia="宋体" w:cs="宋体"/>
        <w:sz w:val="20"/>
        <w:szCs w:val="20"/>
      </w:rPr>
    </w:pPr>
    <w:r>
      <w:pict>
        <v:shape id="_x0000_s2205" o:spid="_x0000_s2205" style="position:absolute;left:0pt;margin-left:70.85pt;margin-top:58.15pt;height:0.75pt;width:453.65pt;mso-position-horizontal-relative:page;mso-position-vertical-relative:page;z-index:2517760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6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4DD4D">
    <w:pPr>
      <w:spacing w:before="19" w:line="226" w:lineRule="auto"/>
      <w:ind w:left="503"/>
      <w:rPr>
        <w:rFonts w:ascii="宋体" w:hAnsi="宋体" w:eastAsia="宋体" w:cs="宋体"/>
        <w:sz w:val="20"/>
        <w:szCs w:val="20"/>
      </w:rPr>
    </w:pPr>
    <w:r>
      <w:pict>
        <v:shape id="_x0000_s2206" o:spid="_x0000_s2206" style="position:absolute;left:0pt;margin-left:70.85pt;margin-top:58.15pt;height:0.75pt;width:453.65pt;mso-position-horizontal-relative:page;mso-position-vertical-relative:page;z-index:25177702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6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A287FF">
    <w:pPr>
      <w:spacing w:before="19" w:line="226" w:lineRule="auto"/>
      <w:ind w:left="404"/>
      <w:rPr>
        <w:rFonts w:ascii="宋体" w:hAnsi="宋体" w:eastAsia="宋体" w:cs="宋体"/>
        <w:sz w:val="20"/>
        <w:szCs w:val="20"/>
      </w:rPr>
    </w:pPr>
    <w:r>
      <w:pict>
        <v:shape id="_x0000_s2207" o:spid="_x0000_s2207" style="position:absolute;left:0pt;margin-left:70.85pt;margin-top:58.15pt;height:0.75pt;width:453.65pt;mso-position-horizontal-relative:page;mso-position-vertical-relative:page;z-index:2517780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6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752F7D">
    <w:pPr>
      <w:spacing w:before="19" w:line="226" w:lineRule="auto"/>
      <w:ind w:left="512"/>
      <w:rPr>
        <w:rFonts w:ascii="宋体" w:hAnsi="宋体" w:eastAsia="宋体" w:cs="宋体"/>
        <w:sz w:val="20"/>
        <w:szCs w:val="20"/>
      </w:rPr>
    </w:pPr>
    <w:r>
      <w:pict>
        <v:shape id="_x0000_s2208" o:spid="_x0000_s2208" style="position:absolute;left:0pt;margin-left:70.85pt;margin-top:58.15pt;height:0.75pt;width:453.65pt;mso-position-horizontal-relative:page;mso-position-vertical-relative:page;z-index:2517760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6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46EC77">
    <w:pPr>
      <w:spacing w:before="19" w:line="226" w:lineRule="auto"/>
      <w:ind w:left="404"/>
      <w:rPr>
        <w:rFonts w:ascii="宋体" w:hAnsi="宋体" w:eastAsia="宋体" w:cs="宋体"/>
        <w:sz w:val="20"/>
        <w:szCs w:val="20"/>
      </w:rPr>
    </w:pPr>
    <w:r>
      <w:pict>
        <v:shape id="_x0000_s2209" o:spid="_x0000_s2209"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6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0CE09F">
    <w:pPr>
      <w:spacing w:before="19" w:line="226" w:lineRule="auto"/>
      <w:ind w:left="421"/>
      <w:rPr>
        <w:rFonts w:ascii="宋体" w:hAnsi="宋体" w:eastAsia="宋体" w:cs="宋体"/>
        <w:sz w:val="20"/>
        <w:szCs w:val="20"/>
      </w:rPr>
    </w:pPr>
    <w:r>
      <w:pict>
        <v:shape id="_x0000_s2210" o:spid="_x0000_s2210" style="position:absolute;left:0pt;margin-left:70.85pt;margin-top:58.15pt;height:0.75pt;width:453.65pt;mso-position-horizontal-relative:page;mso-position-vertical-relative:page;z-index:2517790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6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CBDD4D">
    <w:pPr>
      <w:spacing w:before="19" w:line="226" w:lineRule="auto"/>
      <w:ind w:left="404"/>
      <w:rPr>
        <w:rFonts w:ascii="宋体" w:hAnsi="宋体" w:eastAsia="宋体" w:cs="宋体"/>
        <w:sz w:val="20"/>
        <w:szCs w:val="20"/>
      </w:rPr>
    </w:pPr>
    <w:r>
      <w:pict>
        <v:shape id="_x0000_s2211" o:spid="_x0000_s2211" style="position:absolute;left:0pt;margin-left:70.85pt;margin-top:58.15pt;height:0.75pt;width:453.65pt;mso-position-horizontal-relative:page;mso-position-vertical-relative:page;z-index:25178009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6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13443">
    <w:pPr>
      <w:spacing w:before="19" w:line="226" w:lineRule="auto"/>
      <w:ind w:left="405"/>
      <w:rPr>
        <w:rFonts w:ascii="宋体" w:hAnsi="宋体" w:eastAsia="宋体" w:cs="宋体"/>
        <w:sz w:val="20"/>
        <w:szCs w:val="20"/>
      </w:rPr>
    </w:pPr>
    <w:r>
      <w:pict>
        <v:shape id="_x0000_s2212" o:spid="_x0000_s2212" style="position:absolute;left:0pt;margin-left:70.85pt;margin-top:58.15pt;height:0.75pt;width:453.65pt;mso-position-horizontal-relative:page;mso-position-vertical-relative:page;z-index:25178112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6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EDC041">
    <w:pPr>
      <w:spacing w:before="19" w:line="226" w:lineRule="auto"/>
      <w:ind w:left="458"/>
      <w:rPr>
        <w:rFonts w:ascii="宋体" w:hAnsi="宋体" w:eastAsia="宋体" w:cs="宋体"/>
        <w:sz w:val="20"/>
        <w:szCs w:val="20"/>
      </w:rPr>
    </w:pPr>
    <w:r>
      <w:pict>
        <v:shape id="_x0000_s2213" o:spid="_x0000_s2213" style="position:absolute;left:0pt;margin-left:70.85pt;margin-top:58.15pt;height:0.75pt;width:453.65pt;mso-position-horizontal-relative:page;mso-position-vertical-relative:page;z-index:25178214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6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CC69F0">
    <w:pPr>
      <w:spacing w:before="19" w:line="226" w:lineRule="auto"/>
      <w:ind w:left="404"/>
      <w:rPr>
        <w:rFonts w:ascii="宋体" w:hAnsi="宋体" w:eastAsia="宋体" w:cs="宋体"/>
        <w:sz w:val="20"/>
        <w:szCs w:val="20"/>
      </w:rPr>
    </w:pPr>
    <w:r>
      <w:pict>
        <v:shape id="_x0000_s2214" o:spid="_x0000_s2214"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4FF0A8">
    <w:pPr>
      <w:spacing w:before="19" w:line="226" w:lineRule="auto"/>
      <w:ind w:left="469"/>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71A57C91">
    <w:pPr>
      <w:spacing w:before="15" w:line="19" w:lineRule="exact"/>
      <w:ind w:firstLine="12"/>
    </w:pPr>
    <w:r>
      <w:rPr>
        <w:position w:val="-1"/>
      </w:rPr>
      <w:pict>
        <v:shape id="_x0000_s2064" o:spid="_x0000_s2064" style="height:1.45pt;width:453.65pt;" fillcolor="#000000" filled="t" stroked="f" coordsize="9072,29" path="m0,0l9072,0,9072,28,0,28,0,0xe">
          <v:path/>
          <v:fill on="t" focussize="0,0"/>
          <v:stroke on="f"/>
          <v:imagedata o:title=""/>
          <o:lock v:ext="edit"/>
          <w10:wrap type="none"/>
          <w10:anchorlock/>
        </v:shape>
      </w:pict>
    </w:r>
  </w:p>
</w:hdr>
</file>

<file path=word/header17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6E5BD">
    <w:pPr>
      <w:spacing w:before="19" w:line="226" w:lineRule="auto"/>
      <w:ind w:left="404"/>
      <w:rPr>
        <w:rFonts w:ascii="宋体" w:hAnsi="宋体" w:eastAsia="宋体" w:cs="宋体"/>
        <w:sz w:val="20"/>
        <w:szCs w:val="20"/>
      </w:rPr>
    </w:pPr>
    <w:r>
      <w:pict>
        <v:shape id="_x0000_s2215" o:spid="_x0000_s2215" style="position:absolute;left:0pt;margin-left:70.85pt;margin-top:58.15pt;height:0.75pt;width:453.65pt;mso-position-horizontal-relative:page;mso-position-vertical-relative:page;z-index:25175142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7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7C0CCC">
    <w:pPr>
      <w:spacing w:before="19" w:line="226" w:lineRule="auto"/>
      <w:ind w:left="404"/>
      <w:rPr>
        <w:rFonts w:ascii="宋体" w:hAnsi="宋体" w:eastAsia="宋体" w:cs="宋体"/>
        <w:sz w:val="20"/>
        <w:szCs w:val="20"/>
      </w:rPr>
    </w:pPr>
    <w:r>
      <w:pict>
        <v:shape id="_x0000_s2216" o:spid="_x0000_s2216" style="position:absolute;left:0pt;margin-left:70.85pt;margin-top:58.15pt;height:0.75pt;width:453.65pt;mso-position-horizontal-relative:page;mso-position-vertical-relative:page;z-index:25174937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7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196CA3">
    <w:pPr>
      <w:spacing w:before="19" w:line="226" w:lineRule="auto"/>
      <w:ind w:left="404"/>
      <w:rPr>
        <w:rFonts w:ascii="宋体" w:hAnsi="宋体" w:eastAsia="宋体" w:cs="宋体"/>
        <w:sz w:val="20"/>
        <w:szCs w:val="20"/>
      </w:rPr>
    </w:pPr>
    <w:r>
      <w:pict>
        <v:shape id="_x0000_s2217" o:spid="_x0000_s2217"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7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4A0E34">
    <w:pPr>
      <w:spacing w:before="19" w:line="226" w:lineRule="auto"/>
      <w:ind w:left="404"/>
      <w:rPr>
        <w:rFonts w:ascii="宋体" w:hAnsi="宋体" w:eastAsia="宋体" w:cs="宋体"/>
        <w:sz w:val="20"/>
        <w:szCs w:val="20"/>
      </w:rPr>
    </w:pPr>
    <w:r>
      <w:pict>
        <v:shape id="_x0000_s2218" o:spid="_x0000_s2218" style="position:absolute;left:0pt;margin-left:70.85pt;margin-top:58.15pt;height:0.75pt;width:453.65pt;mso-position-horizontal-relative:page;mso-position-vertical-relative:page;z-index:25174937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7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78CAD">
    <w:pPr>
      <w:spacing w:before="19" w:line="226" w:lineRule="auto"/>
      <w:ind w:left="404"/>
      <w:rPr>
        <w:rFonts w:ascii="宋体" w:hAnsi="宋体" w:eastAsia="宋体" w:cs="宋体"/>
        <w:sz w:val="20"/>
        <w:szCs w:val="20"/>
      </w:rPr>
    </w:pPr>
    <w:r>
      <w:pict>
        <v:shape id="_x0000_s2219" o:spid="_x0000_s2219" style="position:absolute;left:0pt;margin-left:70.85pt;margin-top:58.15pt;height:0.75pt;width:453.65pt;mso-position-horizontal-relative:page;mso-position-vertical-relative:page;z-index:25175142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7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3D8B8">
    <w:pPr>
      <w:spacing w:before="19" w:line="226" w:lineRule="auto"/>
      <w:ind w:left="405"/>
      <w:rPr>
        <w:rFonts w:ascii="宋体" w:hAnsi="宋体" w:eastAsia="宋体" w:cs="宋体"/>
        <w:sz w:val="20"/>
        <w:szCs w:val="20"/>
      </w:rPr>
    </w:pPr>
    <w:r>
      <w:pict>
        <v:shape id="_x0000_s2220" o:spid="_x0000_s2220" style="position:absolute;left:0pt;margin-left:70.85pt;margin-top:58.15pt;height:0.75pt;width:453.65pt;mso-position-horizontal-relative:page;mso-position-vertical-relative:page;z-index:25178419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7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C5EADD">
    <w:pPr>
      <w:spacing w:before="19" w:line="226" w:lineRule="auto"/>
      <w:ind w:left="512"/>
      <w:rPr>
        <w:rFonts w:ascii="宋体" w:hAnsi="宋体" w:eastAsia="宋体" w:cs="宋体"/>
        <w:sz w:val="20"/>
        <w:szCs w:val="20"/>
      </w:rPr>
    </w:pPr>
    <w:r>
      <w:pict>
        <v:shape id="_x0000_s2221" o:spid="_x0000_s2221" style="position:absolute;left:0pt;margin-left:70.85pt;margin-top:58.15pt;height:0.75pt;width:453.65pt;mso-position-horizontal-relative:page;mso-position-vertical-relative:page;z-index:2517760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7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95F091">
    <w:pPr>
      <w:spacing w:before="19" w:line="226" w:lineRule="auto"/>
      <w:ind w:left="404"/>
      <w:rPr>
        <w:rFonts w:ascii="宋体" w:hAnsi="宋体" w:eastAsia="宋体" w:cs="宋体"/>
        <w:sz w:val="20"/>
        <w:szCs w:val="20"/>
      </w:rPr>
    </w:pPr>
    <w:r>
      <w:pict>
        <v:shape id="_x0000_s2222" o:spid="_x0000_s2222"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7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E7EF91">
    <w:pPr>
      <w:spacing w:before="19" w:line="226" w:lineRule="auto"/>
      <w:ind w:left="404"/>
      <w:rPr>
        <w:rFonts w:ascii="宋体" w:hAnsi="宋体" w:eastAsia="宋体" w:cs="宋体"/>
        <w:sz w:val="20"/>
        <w:szCs w:val="20"/>
      </w:rPr>
    </w:pPr>
    <w:r>
      <w:pict>
        <v:shape id="_x0000_s2223" o:spid="_x0000_s2223" style="position:absolute;left:0pt;margin-left:70.85pt;margin-top:58.15pt;height:0.75pt;width:453.65pt;mso-position-horizontal-relative:page;mso-position-vertical-relative:page;z-index:25174937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7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FE336D">
    <w:pPr>
      <w:spacing w:before="19" w:line="226" w:lineRule="auto"/>
      <w:ind w:left="404"/>
      <w:rPr>
        <w:rFonts w:ascii="宋体" w:hAnsi="宋体" w:eastAsia="宋体" w:cs="宋体"/>
        <w:sz w:val="20"/>
        <w:szCs w:val="20"/>
      </w:rPr>
    </w:pPr>
    <w:r>
      <w:pict>
        <v:shape id="_x0000_s2224" o:spid="_x0000_s2224"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5A3F9E">
    <w:pPr>
      <w:spacing w:before="19" w:line="226" w:lineRule="auto"/>
      <w:ind w:left="485"/>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4826C63B">
    <w:pPr>
      <w:spacing w:before="15" w:line="19" w:lineRule="exact"/>
      <w:ind w:firstLine="28"/>
    </w:pPr>
    <w:r>
      <w:rPr>
        <w:position w:val="-1"/>
      </w:rPr>
      <w:pict>
        <v:shape id="_x0000_s2065" o:spid="_x0000_s2065" style="height:1.45pt;width:453.65pt;" fillcolor="#000000" filled="t" stroked="f" coordsize="9072,29" path="m0,0l9072,0,9072,28,0,28,0,0xe">
          <v:path/>
          <v:fill on="t" focussize="0,0"/>
          <v:stroke on="f"/>
          <v:imagedata o:title=""/>
          <o:lock v:ext="edit"/>
          <w10:wrap type="none"/>
          <w10:anchorlock/>
        </v:shape>
      </w:pict>
    </w:r>
  </w:p>
</w:hdr>
</file>

<file path=word/header18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53C60">
    <w:pPr>
      <w:spacing w:before="19" w:line="226" w:lineRule="auto"/>
      <w:ind w:left="448"/>
      <w:rPr>
        <w:rFonts w:ascii="宋体" w:hAnsi="宋体" w:eastAsia="宋体" w:cs="宋体"/>
        <w:sz w:val="20"/>
        <w:szCs w:val="20"/>
      </w:rPr>
    </w:pPr>
    <w:r>
      <w:pict>
        <v:shape id="_x0000_s2225" o:spid="_x0000_s2225" style="position:absolute;left:0pt;margin-left:70.85pt;margin-top:58.15pt;height:0.75pt;width:453.65pt;mso-position-horizontal-relative:page;mso-position-vertical-relative:page;z-index:25178521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8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614ED">
    <w:pPr>
      <w:spacing w:before="19" w:line="226" w:lineRule="auto"/>
      <w:ind w:left="404"/>
      <w:rPr>
        <w:rFonts w:ascii="宋体" w:hAnsi="宋体" w:eastAsia="宋体" w:cs="宋体"/>
        <w:sz w:val="20"/>
        <w:szCs w:val="20"/>
      </w:rPr>
    </w:pPr>
    <w:r>
      <w:pict>
        <v:shape id="_x0000_s2226" o:spid="_x0000_s2226" style="position:absolute;left:0pt;margin-left:70.85pt;margin-top:58.15pt;height:0.75pt;width:453.65pt;mso-position-horizontal-relative:page;mso-position-vertical-relative:page;z-index:25178624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8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601518">
    <w:pPr>
      <w:spacing w:before="19" w:line="226" w:lineRule="auto"/>
      <w:ind w:left="404"/>
      <w:rPr>
        <w:rFonts w:ascii="宋体" w:hAnsi="宋体" w:eastAsia="宋体" w:cs="宋体"/>
        <w:sz w:val="20"/>
        <w:szCs w:val="20"/>
      </w:rPr>
    </w:pPr>
    <w:r>
      <w:pict>
        <v:shape id="_x0000_s2227" o:spid="_x0000_s2227" style="position:absolute;left:0pt;margin-left:70.85pt;margin-top:58.15pt;height:0.75pt;width:453.65pt;mso-position-horizontal-relative:page;mso-position-vertical-relative:page;z-index:25175142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8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9FD33C">
    <w:pPr>
      <w:spacing w:before="19" w:line="226" w:lineRule="auto"/>
      <w:ind w:left="404"/>
      <w:rPr>
        <w:rFonts w:ascii="宋体" w:hAnsi="宋体" w:eastAsia="宋体" w:cs="宋体"/>
        <w:sz w:val="20"/>
        <w:szCs w:val="20"/>
      </w:rPr>
    </w:pPr>
    <w:r>
      <w:pict>
        <v:shape id="_x0000_s2228" o:spid="_x0000_s2228"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8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6E6AD">
    <w:pPr>
      <w:spacing w:before="19" w:line="226" w:lineRule="auto"/>
      <w:ind w:left="404"/>
      <w:rPr>
        <w:rFonts w:ascii="宋体" w:hAnsi="宋体" w:eastAsia="宋体" w:cs="宋体"/>
        <w:sz w:val="20"/>
        <w:szCs w:val="20"/>
      </w:rPr>
    </w:pPr>
    <w:r>
      <w:pict>
        <v:shape id="_x0000_s2229" o:spid="_x0000_s2229" style="position:absolute;left:0pt;margin-left:70.85pt;margin-top:58.15pt;height:0.75pt;width:453.65pt;mso-position-horizontal-relative:page;mso-position-vertical-relative:page;z-index:25174937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8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27C3C6">
    <w:pPr>
      <w:spacing w:before="19" w:line="226" w:lineRule="auto"/>
      <w:ind w:left="404"/>
      <w:rPr>
        <w:rFonts w:ascii="宋体" w:hAnsi="宋体" w:eastAsia="宋体" w:cs="宋体"/>
        <w:sz w:val="20"/>
        <w:szCs w:val="20"/>
      </w:rPr>
    </w:pPr>
    <w:r>
      <w:pict>
        <v:shape id="_x0000_s2230" o:spid="_x0000_s2230"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8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694CD">
    <w:pPr>
      <w:spacing w:before="19" w:line="226" w:lineRule="auto"/>
      <w:ind w:left="404"/>
      <w:rPr>
        <w:rFonts w:ascii="宋体" w:hAnsi="宋体" w:eastAsia="宋体" w:cs="宋体"/>
        <w:sz w:val="20"/>
        <w:szCs w:val="20"/>
      </w:rPr>
    </w:pPr>
    <w:r>
      <w:pict>
        <v:shape id="_x0000_s2231" o:spid="_x0000_s2231" style="position:absolute;left:0pt;margin-left:70.85pt;margin-top:58.15pt;height:0.75pt;width:453.65pt;mso-position-horizontal-relative:page;mso-position-vertical-relative:page;z-index:25175142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8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30231E">
    <w:pPr>
      <w:spacing w:before="19" w:line="226" w:lineRule="auto"/>
      <w:ind w:left="404"/>
      <w:rPr>
        <w:rFonts w:ascii="宋体" w:hAnsi="宋体" w:eastAsia="宋体" w:cs="宋体"/>
        <w:sz w:val="20"/>
        <w:szCs w:val="20"/>
      </w:rPr>
    </w:pPr>
    <w:r>
      <w:pict>
        <v:shape id="_x0000_s2232" o:spid="_x0000_s2232" style="position:absolute;left:0pt;margin-left:70.85pt;margin-top:58.15pt;height:0.75pt;width:453.65pt;mso-position-horizontal-relative:page;mso-position-vertical-relative:page;z-index:25174937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8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221A19">
    <w:pPr>
      <w:spacing w:before="19" w:line="226" w:lineRule="auto"/>
      <w:ind w:left="404"/>
      <w:rPr>
        <w:rFonts w:ascii="宋体" w:hAnsi="宋体" w:eastAsia="宋体" w:cs="宋体"/>
        <w:sz w:val="20"/>
        <w:szCs w:val="20"/>
      </w:rPr>
    </w:pPr>
    <w:r>
      <w:pict>
        <v:shape id="_x0000_s2233" o:spid="_x0000_s2233" style="position:absolute;left:0pt;margin-left:70.85pt;margin-top:58.15pt;height:0.75pt;width:453.65pt;mso-position-horizontal-relative:page;mso-position-vertical-relative:page;z-index:25178726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8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C00FE7">
    <w:pPr>
      <w:spacing w:before="19" w:line="226" w:lineRule="auto"/>
      <w:ind w:left="404"/>
      <w:rPr>
        <w:rFonts w:ascii="宋体" w:hAnsi="宋体" w:eastAsia="宋体" w:cs="宋体"/>
        <w:sz w:val="20"/>
        <w:szCs w:val="20"/>
      </w:rPr>
    </w:pPr>
    <w:r>
      <w:pict>
        <v:shape id="_x0000_s2234" o:spid="_x0000_s2234" style="position:absolute;left:0pt;margin-left:70.85pt;margin-top:58.15pt;height:0.75pt;width:453.65pt;mso-position-horizontal-relative:page;mso-position-vertical-relative:page;z-index:251788288;mso-width-relative:page;mso-height-relative:page;" fillcolor="#000000" filled="t" stroked="f" coordsize="9072,15" o:allowincell="f" path="m0,0l9072,0,9072,14,0,14,0,0xe">
          <v:path/>
          <v:fill on="t" focussize="0,0"/>
          <v:stroke on="f"/>
          <v:imagedata o:title=""/>
          <o:lock v:ext="edit"/>
        </v:shape>
      </w:pict>
    </w:r>
    <w:r>
      <w:pict>
        <v:group id="_x0000_s2235" o:spid="_x0000_s2235" o:spt="203" style="position:absolute;left:0pt;margin-left:70.85pt;margin-top:90.85pt;height:679.75pt;width:453.65pt;mso-position-horizontal-relative:page;mso-position-vertical-relative:page;z-index:251789312;mso-width-relative:page;mso-height-relative:page;" coordsize="9072,13595" o:allowincell="f">
          <o:lock v:ext="edit"/>
          <v:shape id="_x0000_s2236" o:spid="_x0000_s2236" style="position:absolute;left:4767;top:1257;height:10;width:3941;" filled="f" stroked="t" coordsize="3941,10" path="m0,4l1048,4m2891,4l3940,4e">
            <v:fill on="f" focussize="0,0"/>
            <v:stroke weight="0.48pt" color="#000000" miterlimit="2" joinstyle="bevel"/>
            <v:imagedata o:title=""/>
            <o:lock v:ext="edit"/>
          </v:shape>
          <v:shape id="_x0000_s2237" o:spid="_x0000_s2237" style="position:absolute;left:0;top:0;height:13595;width:9072;" filled="f" stroked="t" coordsize="9072,13595" path="m0,14l9072,14m0,13580l9072,13580e">
            <v:fill on="f" focussize="0,0"/>
            <v:stroke weight="1.44pt" color="#000000" miterlimit="2" joinstyle="bevel"/>
            <v:imagedata o:title=""/>
            <o:lock v:ext="edit"/>
          </v:shape>
          <v:shape id="_x0000_s2238" o:spid="_x0000_s2238" style="position:absolute;left:0;top:28;height:13538;width:9072;" filled="f" stroked="t" coordsize="9072,13538" path="m0,322l9072,322m1601,646l9072,646m598,970l9072,970m2716,1294l9072,1294m1601,1618l9072,1618m2716,1942l9072,1942m1601,2266l9072,2266m2716,2590l9072,2590m0,2914l9072,2914m1601,3238l9072,3238m1601,3562l9072,3562m0,3886l9072,3886m1601,4210l9072,4210m1601,4534l9072,4534m0,4858l9072,4858m0,5182l9072,5182m0,5506l9072,5506m598,5830l9072,5830m598,6154l9072,6154m0,6478l9072,6478m0,6802l9072,6802m1601,7126l9072,7126m3689,7450l9072,7450m598,7774l9072,7774m598,8098l9072,8098m1601,8422l9072,8422m0,8746l9072,8746m0,10027l9072,10027m600,320l600,2912m600,5504l600,6476m600,6800l600,8744m1603,0l1603,5504m1603,6476l1603,13537m1882,5504l1882,6476m2718,320l2718,4856m3257,4856l3257,5180m3660,320l3660,968m3660,5180l3660,5504m3691,6476l3691,7772m4285,6152l4285,6476m4505,320l4505,968m4710,4856l4710,5180m4813,2912l4813,4856m4822,1616l4822,2912m5071,5504l5071,6152m5195,320l5195,968m5435,5180l5435,5504m5481,6476l5481,7124m5971,320l5971,1292m6152,1616l6152,3884m6159,4856l6159,5180m6669,6152l6669,6476m6743,320l6743,968m6937,3884l6937,4856m7245,5180l7245,5504m7270,6476l7270,7124m7517,320l7517,968m7612,4856l7612,5180m7795,1292l7795,3884m8292,320l8292,968e">
            <v:fill on="f" focussize="0,0"/>
            <v:stroke weight="0.24pt" color="#000000" miterlimit="2" joinstyle="bevel"/>
            <v:imagedata o:title=""/>
            <o:lock v:ext="edit"/>
          </v:shape>
        </v:group>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BA174">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4AE7BA61">
    <w:pPr>
      <w:spacing w:before="15" w:line="19" w:lineRule="exact"/>
    </w:pPr>
    <w:r>
      <w:rPr>
        <w:position w:val="-1"/>
      </w:rPr>
      <w:pict>
        <v:shape id="_x0000_s2066" o:spid="_x0000_s2066" style="height:1.45pt;width:453.65pt;" fillcolor="#000000" filled="t" stroked="f" coordsize="9072,29" path="m0,0l9072,0,9072,28,0,28,0,0xe">
          <v:path/>
          <v:fill on="t" focussize="0,0"/>
          <v:stroke on="f"/>
          <v:imagedata o:title=""/>
          <o:lock v:ext="edit"/>
          <w10:wrap type="none"/>
          <w10:anchorlock/>
        </v:shape>
      </w:pict>
    </w:r>
  </w:p>
</w:hdr>
</file>

<file path=word/header19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B5D17">
    <w:pPr>
      <w:spacing w:before="19" w:line="226" w:lineRule="auto"/>
      <w:ind w:left="404"/>
      <w:rPr>
        <w:rFonts w:ascii="宋体" w:hAnsi="宋体" w:eastAsia="宋体" w:cs="宋体"/>
        <w:sz w:val="20"/>
        <w:szCs w:val="20"/>
      </w:rPr>
    </w:pPr>
    <w:r>
      <w:pict>
        <v:shape id="_x0000_s2239" o:spid="_x0000_s2239"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9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C63D27">
    <w:pPr>
      <w:spacing w:before="19" w:line="226" w:lineRule="auto"/>
      <w:ind w:left="404"/>
      <w:rPr>
        <w:rFonts w:ascii="宋体" w:hAnsi="宋体" w:eastAsia="宋体" w:cs="宋体"/>
        <w:sz w:val="20"/>
        <w:szCs w:val="20"/>
      </w:rPr>
    </w:pPr>
    <w:r>
      <w:pict>
        <v:shape id="_x0000_s2240" o:spid="_x0000_s2240" style="position:absolute;left:0pt;margin-left:70.85pt;margin-top:58.1pt;height:0.75pt;width:453.65pt;mso-position-horizontal-relative:page;mso-position-vertical-relative:page;z-index:25179238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9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CEFEC4">
    <w:pPr>
      <w:spacing w:before="19" w:line="226" w:lineRule="auto"/>
      <w:ind w:left="404"/>
      <w:rPr>
        <w:rFonts w:ascii="宋体" w:hAnsi="宋体" w:eastAsia="宋体" w:cs="宋体"/>
        <w:sz w:val="20"/>
        <w:szCs w:val="20"/>
      </w:rPr>
    </w:pPr>
    <w:r>
      <w:pict>
        <v:shape id="_x0000_s2241" o:spid="_x0000_s2241" style="position:absolute;left:0pt;margin-left:70.85pt;margin-top:58.1pt;height:0.75pt;width:453.65pt;mso-position-horizontal-relative:page;mso-position-vertical-relative:page;z-index:2517268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9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14C1F">
    <w:pPr>
      <w:spacing w:before="19" w:line="226" w:lineRule="auto"/>
      <w:ind w:left="404"/>
      <w:rPr>
        <w:rFonts w:ascii="宋体" w:hAnsi="宋体" w:eastAsia="宋体" w:cs="宋体"/>
        <w:sz w:val="20"/>
        <w:szCs w:val="20"/>
      </w:rPr>
    </w:pPr>
    <w:r>
      <w:pict>
        <v:shape id="_x0000_s2242" o:spid="_x0000_s2242" style="position:absolute;left:0pt;margin-left:70.85pt;margin-top:58.1pt;height:0.75pt;width:453.65pt;mso-position-horizontal-relative:page;mso-position-vertical-relative:page;z-index:2517248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9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B2498E">
    <w:pPr>
      <w:spacing w:before="19" w:line="226" w:lineRule="auto"/>
      <w:ind w:left="404"/>
      <w:rPr>
        <w:rFonts w:ascii="宋体" w:hAnsi="宋体" w:eastAsia="宋体" w:cs="宋体"/>
        <w:sz w:val="20"/>
        <w:szCs w:val="20"/>
      </w:rPr>
    </w:pPr>
    <w:r>
      <w:pict>
        <v:shape id="_x0000_s2243" o:spid="_x0000_s2243" style="position:absolute;left:0pt;margin-left:70.85pt;margin-top:58.1pt;height:0.75pt;width:453.65pt;mso-position-horizontal-relative:page;mso-position-vertical-relative:page;z-index:25179852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9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3EBC3A">
    <w:pPr>
      <w:spacing w:before="19" w:line="226" w:lineRule="auto"/>
      <w:ind w:left="404"/>
      <w:rPr>
        <w:rFonts w:ascii="宋体" w:hAnsi="宋体" w:eastAsia="宋体" w:cs="宋体"/>
        <w:sz w:val="20"/>
        <w:szCs w:val="20"/>
      </w:rPr>
    </w:pPr>
    <w:r>
      <w:pict>
        <v:shape id="_x0000_s2244" o:spid="_x0000_s2244" style="position:absolute;left:0pt;margin-left:70.85pt;margin-top:58.1pt;height:0.75pt;width:453.65pt;mso-position-horizontal-relative:page;mso-position-vertical-relative:page;z-index:2517268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9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35ECD">
    <w:pPr>
      <w:spacing w:before="19" w:line="226" w:lineRule="auto"/>
      <w:ind w:left="404"/>
      <w:rPr>
        <w:rFonts w:ascii="宋体" w:hAnsi="宋体" w:eastAsia="宋体" w:cs="宋体"/>
        <w:sz w:val="20"/>
        <w:szCs w:val="20"/>
      </w:rPr>
    </w:pPr>
    <w:r>
      <w:pict>
        <v:shape id="_x0000_s2245" o:spid="_x0000_s2245" style="position:absolute;left:0pt;margin-left:70.85pt;margin-top:58.1pt;height:0.75pt;width:453.65pt;mso-position-horizontal-relative:page;mso-position-vertical-relative:page;z-index:2518016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9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546BD0">
    <w:pPr>
      <w:spacing w:before="19" w:line="226" w:lineRule="auto"/>
      <w:ind w:left="404"/>
      <w:rPr>
        <w:rFonts w:ascii="宋体" w:hAnsi="宋体" w:eastAsia="宋体" w:cs="宋体"/>
        <w:sz w:val="20"/>
        <w:szCs w:val="20"/>
      </w:rPr>
    </w:pPr>
    <w:r>
      <w:pict>
        <v:shape id="_x0000_s2246" o:spid="_x0000_s2246" style="position:absolute;left:0pt;margin-left:70.85pt;margin-top:58.1pt;height:0.75pt;width:453.65pt;mso-position-horizontal-relative:page;mso-position-vertical-relative:page;z-index:2517268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9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C92C4A">
    <w:pPr>
      <w:spacing w:before="19" w:line="226" w:lineRule="auto"/>
      <w:ind w:left="404"/>
      <w:rPr>
        <w:rFonts w:ascii="宋体" w:hAnsi="宋体" w:eastAsia="宋体" w:cs="宋体"/>
        <w:sz w:val="20"/>
        <w:szCs w:val="20"/>
      </w:rPr>
    </w:pPr>
    <w:r>
      <w:pict>
        <v:shape id="_x0000_s2247" o:spid="_x0000_s2247" style="position:absolute;left:0pt;margin-left:70.85pt;margin-top:58.1pt;height:0.75pt;width:453.65pt;mso-position-horizontal-relative:page;mso-position-vertical-relative:page;z-index:25172582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19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7A822D">
    <w:pPr>
      <w:spacing w:before="19" w:line="226" w:lineRule="auto"/>
      <w:ind w:left="404"/>
      <w:rPr>
        <w:rFonts w:ascii="宋体" w:hAnsi="宋体" w:eastAsia="宋体" w:cs="宋体"/>
        <w:sz w:val="20"/>
        <w:szCs w:val="20"/>
      </w:rPr>
    </w:pPr>
    <w:r>
      <w:pict>
        <v:shape id="_x0000_s2248" o:spid="_x0000_s2248" style="position:absolute;left:0pt;margin-left:70.85pt;margin-top:58.1pt;height:0.75pt;width:453.65pt;mso-position-horizontal-relative:page;mso-position-vertical-relative:page;z-index:2517278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F5CBE">
    <w:pPr>
      <w:spacing w:before="19" w:line="226" w:lineRule="auto"/>
      <w:ind w:left="444"/>
      <w:rPr>
        <w:rFonts w:ascii="宋体" w:hAnsi="宋体" w:eastAsia="宋体" w:cs="宋体"/>
        <w:sz w:val="20"/>
        <w:szCs w:val="20"/>
      </w:rPr>
    </w:pPr>
    <w:r>
      <w:rPr>
        <w:rFonts w:ascii="宋体" w:hAnsi="宋体" w:eastAsia="宋体" w:cs="宋体"/>
        <w:b/>
        <w:bCs/>
        <w:spacing w:val="8"/>
        <w:sz w:val="20"/>
        <w:szCs w:val="20"/>
      </w:rPr>
      <w:t>内蒙古新创发展科技有限公司</w:t>
    </w:r>
    <w:r>
      <w:rPr>
        <w:rFonts w:ascii="Times New Roman" w:hAnsi="Times New Roman" w:eastAsia="Times New Roman" w:cs="Times New Roman"/>
        <w:b/>
        <w:bCs/>
        <w:spacing w:val="8"/>
        <w:sz w:val="20"/>
        <w:szCs w:val="20"/>
      </w:rPr>
      <w:t>12×36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w:t>
    </w:r>
    <w:r>
      <w:rPr>
        <w:rFonts w:ascii="宋体" w:hAnsi="宋体" w:eastAsia="宋体" w:cs="宋体"/>
        <w:b/>
        <w:bCs/>
        <w:spacing w:val="7"/>
        <w:sz w:val="20"/>
        <w:szCs w:val="20"/>
      </w:rPr>
      <w:t>目环境影响报告书</w:t>
    </w:r>
  </w:p>
  <w:p w14:paraId="2A31D833">
    <w:pPr>
      <w:spacing w:before="17" w:line="19" w:lineRule="exact"/>
    </w:pPr>
    <w:r>
      <w:rPr>
        <w:position w:val="-1"/>
      </w:rPr>
      <w:pict>
        <v:shape id="_x0000_s2049" o:spid="_x0000_s2049" style="height:1.45pt;width:436.55pt;" fillcolor="#000000" filled="t" stroked="f" coordsize="8730,29" path="m0,0l8730,0,8730,28,0,28,0,0xe">
          <v:path/>
          <v:fill on="t" focussize="0,0"/>
          <v:stroke on="f"/>
          <v:imagedata o:title=""/>
          <o:lock v:ext="edit"/>
          <w10:wrap type="none"/>
          <w10:anchorlock/>
        </v:shape>
      </w:pic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1807B5">
    <w:pPr>
      <w:spacing w:before="19" w:line="226" w:lineRule="auto"/>
      <w:ind w:left="565"/>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43D571CA">
    <w:pPr>
      <w:spacing w:before="15" w:line="19" w:lineRule="exact"/>
      <w:ind w:firstLine="108"/>
    </w:pPr>
    <w:r>
      <w:rPr>
        <w:position w:val="-1"/>
      </w:rPr>
      <w:pict>
        <v:shape id="_x0000_s2067" o:spid="_x0000_s2067" style="height:1.45pt;width:453.65pt;" fillcolor="#000000" filled="t" stroked="f" coordsize="9072,29" path="m0,0l9072,0,9072,28,0,28,0,0xe">
          <v:path/>
          <v:fill on="t" focussize="0,0"/>
          <v:stroke on="f"/>
          <v:imagedata o:title=""/>
          <o:lock v:ext="edit"/>
          <w10:wrap type="none"/>
          <w10:anchorlock/>
        </v:shape>
      </w:pict>
    </w:r>
  </w:p>
</w:hdr>
</file>

<file path=word/header20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BF88E0">
    <w:pPr>
      <w:spacing w:before="19" w:line="226" w:lineRule="auto"/>
      <w:ind w:left="404"/>
      <w:rPr>
        <w:rFonts w:ascii="宋体" w:hAnsi="宋体" w:eastAsia="宋体" w:cs="宋体"/>
        <w:sz w:val="20"/>
        <w:szCs w:val="20"/>
      </w:rPr>
    </w:pPr>
    <w:r>
      <w:pict>
        <v:shape id="_x0000_s2249" o:spid="_x0000_s2249" style="position:absolute;left:0pt;margin-left:70.85pt;margin-top:58.1pt;height:0.75pt;width:453.65pt;mso-position-horizontal-relative:page;mso-position-vertical-relative:page;z-index:2517268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0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62B41B">
    <w:pPr>
      <w:spacing w:before="19" w:line="226" w:lineRule="auto"/>
      <w:ind w:left="404"/>
      <w:rPr>
        <w:rFonts w:ascii="宋体" w:hAnsi="宋体" w:eastAsia="宋体" w:cs="宋体"/>
        <w:sz w:val="20"/>
        <w:szCs w:val="20"/>
      </w:rPr>
    </w:pPr>
    <w:r>
      <w:pict>
        <v:shape id="_x0000_s2250" o:spid="_x0000_s2250" style="position:absolute;left:0pt;margin-left:70.85pt;margin-top:58.1pt;height:0.75pt;width:453.65pt;mso-position-horizontal-relative:page;mso-position-vertical-relative:page;z-index:2518036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0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3B990">
    <w:pPr>
      <w:spacing w:before="19" w:line="226" w:lineRule="auto"/>
      <w:ind w:left="404"/>
      <w:rPr>
        <w:rFonts w:ascii="宋体" w:hAnsi="宋体" w:eastAsia="宋体" w:cs="宋体"/>
        <w:sz w:val="20"/>
        <w:szCs w:val="20"/>
      </w:rPr>
    </w:pPr>
    <w:r>
      <w:pict>
        <v:shape id="_x0000_s2251" o:spid="_x0000_s2251" style="position:absolute;left:0pt;margin-left:70.85pt;margin-top:58.1pt;height:0.75pt;width:453.65pt;mso-position-horizontal-relative:page;mso-position-vertical-relative:page;z-index:25179238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0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392F8A">
    <w:pPr>
      <w:spacing w:before="19" w:line="226" w:lineRule="auto"/>
      <w:ind w:left="512"/>
      <w:rPr>
        <w:rFonts w:ascii="宋体" w:hAnsi="宋体" w:eastAsia="宋体" w:cs="宋体"/>
        <w:sz w:val="20"/>
        <w:szCs w:val="20"/>
      </w:rPr>
    </w:pPr>
    <w:r>
      <w:pict>
        <v:shape id="_x0000_s2252" o:spid="_x0000_s2252" style="position:absolute;left:0pt;margin-left:70.85pt;margin-top:58.1pt;height:0.75pt;width:453.65pt;mso-position-horizontal-relative:page;mso-position-vertical-relative:page;z-index:25173401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0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CFC39B">
    <w:pPr>
      <w:spacing w:before="19" w:line="226" w:lineRule="auto"/>
      <w:ind w:left="404"/>
      <w:rPr>
        <w:rFonts w:ascii="宋体" w:hAnsi="宋体" w:eastAsia="宋体" w:cs="宋体"/>
        <w:sz w:val="20"/>
        <w:szCs w:val="20"/>
      </w:rPr>
    </w:pPr>
    <w:r>
      <w:pict>
        <v:shape id="_x0000_s2253" o:spid="_x0000_s2253" style="position:absolute;left:0pt;margin-left:70.85pt;margin-top:58.1pt;height:0.75pt;width:453.65pt;mso-position-horizontal-relative:page;mso-position-vertical-relative:page;z-index:2517248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0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71272">
    <w:pPr>
      <w:spacing w:before="19" w:line="226" w:lineRule="auto"/>
      <w:ind w:left="404"/>
      <w:rPr>
        <w:rFonts w:ascii="宋体" w:hAnsi="宋体" w:eastAsia="宋体" w:cs="宋体"/>
        <w:sz w:val="20"/>
        <w:szCs w:val="20"/>
      </w:rPr>
    </w:pPr>
    <w:r>
      <w:pict>
        <v:shape id="_x0000_s2254" o:spid="_x0000_s2254" style="position:absolute;left:0pt;margin-left:70.85pt;margin-top:58.1pt;height:0.75pt;width:453.65pt;mso-position-horizontal-relative:page;mso-position-vertical-relative:page;z-index:25179238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0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15688">
    <w:pPr>
      <w:spacing w:before="19" w:line="226" w:lineRule="auto"/>
      <w:ind w:left="404"/>
      <w:rPr>
        <w:rFonts w:ascii="宋体" w:hAnsi="宋体" w:eastAsia="宋体" w:cs="宋体"/>
        <w:sz w:val="20"/>
        <w:szCs w:val="20"/>
      </w:rPr>
    </w:pPr>
    <w:r>
      <w:pict>
        <v:shape id="_x0000_s2255" o:spid="_x0000_s2255" style="position:absolute;left:0pt;margin-left:70.85pt;margin-top:58.1pt;height:0.75pt;width:453.65pt;mso-position-horizontal-relative:page;mso-position-vertical-relative:page;z-index:2517278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0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6FCED">
    <w:pPr>
      <w:spacing w:before="19" w:line="226" w:lineRule="auto"/>
      <w:ind w:left="404"/>
      <w:rPr>
        <w:rFonts w:ascii="宋体" w:hAnsi="宋体" w:eastAsia="宋体" w:cs="宋体"/>
        <w:sz w:val="20"/>
        <w:szCs w:val="20"/>
      </w:rPr>
    </w:pPr>
    <w:r>
      <w:pict>
        <v:shape id="_x0000_s2256" o:spid="_x0000_s2256" style="position:absolute;left:0pt;margin-left:70.85pt;margin-top:58.1pt;height:0.75pt;width:453.65pt;mso-position-horizontal-relative:page;mso-position-vertical-relative:page;z-index:2517248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0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4B0705">
    <w:pPr>
      <w:spacing w:before="19" w:line="226" w:lineRule="auto"/>
      <w:ind w:left="2881"/>
      <w:rPr>
        <w:rFonts w:ascii="宋体" w:hAnsi="宋体" w:eastAsia="宋体" w:cs="宋体"/>
        <w:sz w:val="20"/>
        <w:szCs w:val="20"/>
      </w:rPr>
    </w:pPr>
    <w:r>
      <w:pict>
        <v:shape id="_x0000_s2257" o:spid="_x0000_s2257" style="position:absolute;left:0pt;margin-left:70.85pt;margin-top:63.8pt;height:0.75pt;width:700.25pt;mso-position-horizontal-relative:page;mso-position-vertical-relative:page;z-index:251804672;mso-width-relative:page;mso-height-relative:page;" fillcolor="#000000" filled="t" stroked="f" coordsize="14005,15" o:allowincell="f" path="m0,0l14004,0,14004,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0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75236E">
    <w:pPr>
      <w:pStyle w:val="2"/>
      <w:spacing w:line="14" w:lineRule="auto"/>
      <w:rPr>
        <w:sz w:val="2"/>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815EF">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323B705D">
    <w:pPr>
      <w:spacing w:before="15" w:line="19" w:lineRule="exact"/>
    </w:pPr>
    <w:r>
      <w:rPr>
        <w:position w:val="-1"/>
      </w:rPr>
      <w:pict>
        <v:shape id="_x0000_s2068" o:spid="_x0000_s2068" style="height:1.45pt;width:453.65pt;" fillcolor="#000000" filled="t" stroked="f" coordsize="9072,29" path="m0,0l9072,0,9072,28,0,28,0,0xe">
          <v:path/>
          <v:fill on="t" focussize="0,0"/>
          <v:stroke on="f"/>
          <v:imagedata o:title=""/>
          <o:lock v:ext="edit"/>
          <w10:wrap type="none"/>
          <w10:anchorlock/>
        </v:shape>
      </w:pict>
    </w:r>
  </w:p>
</w:hdr>
</file>

<file path=word/header2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C203D">
    <w:pPr>
      <w:spacing w:before="19" w:line="226" w:lineRule="auto"/>
      <w:ind w:left="404"/>
      <w:rPr>
        <w:rFonts w:ascii="宋体" w:hAnsi="宋体" w:eastAsia="宋体" w:cs="宋体"/>
        <w:sz w:val="20"/>
        <w:szCs w:val="20"/>
      </w:rPr>
    </w:pPr>
    <w:r>
      <w:pict>
        <v:shape id="_x0000_s2258" o:spid="_x0000_s2258" style="position:absolute;left:0pt;margin-left:70.85pt;margin-top:58.15pt;height:0.75pt;width:453.65pt;mso-position-horizontal-relative:page;mso-position-vertical-relative:page;z-index:2517504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7C7832">
    <w:pPr>
      <w:spacing w:before="19" w:line="226" w:lineRule="auto"/>
      <w:ind w:left="404"/>
      <w:rPr>
        <w:rFonts w:ascii="宋体" w:hAnsi="宋体" w:eastAsia="宋体" w:cs="宋体"/>
        <w:sz w:val="20"/>
        <w:szCs w:val="20"/>
      </w:rPr>
    </w:pPr>
    <w:r>
      <w:pict>
        <v:shape id="_x0000_s2259" o:spid="_x0000_s2259" style="position:absolute;left:0pt;margin-left:70.85pt;margin-top:58.15pt;height:0.75pt;width:453.65pt;mso-position-horizontal-relative:page;mso-position-vertical-relative:page;z-index:25174937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CC693C">
    <w:pPr>
      <w:spacing w:before="19" w:line="226" w:lineRule="auto"/>
      <w:ind w:left="403"/>
      <w:rPr>
        <w:rFonts w:ascii="宋体" w:hAnsi="宋体" w:eastAsia="宋体" w:cs="宋体"/>
        <w:sz w:val="20"/>
        <w:szCs w:val="20"/>
      </w:rPr>
    </w:pPr>
    <w:r>
      <w:pict>
        <v:shape id="_x0000_s2260" o:spid="_x0000_s2260" style="position:absolute;left:0pt;margin-left:70.9pt;margin-top:58.1pt;height:0.75pt;width:453.55pt;mso-position-horizontal-relative:page;mso-position-vertical-relative:page;z-index:251806720;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C480A">
    <w:pPr>
      <w:spacing w:before="19" w:line="226" w:lineRule="auto"/>
      <w:ind w:left="403"/>
      <w:rPr>
        <w:rFonts w:ascii="宋体" w:hAnsi="宋体" w:eastAsia="宋体" w:cs="宋体"/>
        <w:sz w:val="20"/>
        <w:szCs w:val="20"/>
      </w:rPr>
    </w:pPr>
    <w:r>
      <w:pict>
        <v:shape id="_x0000_s2261" o:spid="_x0000_s2261" style="position:absolute;left:0pt;margin-left:70.9pt;margin-top:58.1pt;height:0.75pt;width:453.55pt;mso-position-horizontal-relative:page;mso-position-vertical-relative:page;z-index:251807744;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DC6056">
    <w:pPr>
      <w:spacing w:before="19" w:line="226" w:lineRule="auto"/>
      <w:ind w:left="511"/>
      <w:rPr>
        <w:rFonts w:ascii="宋体" w:hAnsi="宋体" w:eastAsia="宋体" w:cs="宋体"/>
        <w:sz w:val="20"/>
        <w:szCs w:val="20"/>
      </w:rPr>
    </w:pPr>
    <w:r>
      <w:pict>
        <v:shape id="_x0000_s2262" o:spid="_x0000_s2262" style="position:absolute;left:0pt;margin-left:70.9pt;margin-top:58.1pt;height:0.75pt;width:453.55pt;mso-position-horizontal-relative:page;mso-position-vertical-relative:page;z-index:251808768;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96A24">
    <w:pPr>
      <w:spacing w:before="19" w:line="226" w:lineRule="auto"/>
      <w:ind w:left="403"/>
      <w:rPr>
        <w:rFonts w:ascii="宋体" w:hAnsi="宋体" w:eastAsia="宋体" w:cs="宋体"/>
        <w:sz w:val="20"/>
        <w:szCs w:val="20"/>
      </w:rPr>
    </w:pPr>
    <w:r>
      <w:pict>
        <v:shape id="_x0000_s2263" o:spid="_x0000_s2263" style="position:absolute;left:0pt;margin-left:70.9pt;margin-top:58.1pt;height:0.75pt;width:453.55pt;mso-position-horizontal-relative:page;mso-position-vertical-relative:page;z-index:251806720;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F7DE38">
    <w:pPr>
      <w:spacing w:before="19" w:line="226" w:lineRule="auto"/>
      <w:ind w:left="403"/>
      <w:rPr>
        <w:rFonts w:ascii="宋体" w:hAnsi="宋体" w:eastAsia="宋体" w:cs="宋体"/>
        <w:sz w:val="20"/>
        <w:szCs w:val="20"/>
      </w:rPr>
    </w:pPr>
    <w:r>
      <w:pict>
        <v:shape id="_x0000_s2264" o:spid="_x0000_s2264" style="position:absolute;left:0pt;margin-left:70.9pt;margin-top:58.1pt;height:0.75pt;width:453.55pt;mso-position-horizontal-relative:page;mso-position-vertical-relative:page;z-index:251809792;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6C74A">
    <w:pPr>
      <w:spacing w:before="19" w:line="226" w:lineRule="auto"/>
      <w:ind w:left="6461"/>
      <w:rPr>
        <w:rFonts w:ascii="宋体" w:hAnsi="宋体" w:eastAsia="宋体" w:cs="宋体"/>
        <w:sz w:val="20"/>
        <w:szCs w:val="20"/>
      </w:rPr>
    </w:pPr>
    <w:r>
      <w:pict>
        <v:shape id="_x0000_s2265" o:spid="_x0000_s2265" style="position:absolute;left:0pt;margin-left:72pt;margin-top:58.15pt;height:0.75pt;width:1046.7pt;mso-position-horizontal-relative:page;mso-position-vertical-relative:page;z-index:251810816;mso-width-relative:page;mso-height-relative:page;" fillcolor="#000000" filled="t" stroked="f" coordsize="20933,15" o:allowincell="f" path="m0,0l20933,0,20933,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直流锰硅</w:t>
    </w:r>
    <w:r>
      <w:rPr>
        <w:rFonts w:ascii="宋体" w:hAnsi="宋体" w:eastAsia="宋体" w:cs="宋体"/>
        <w:b/>
        <w:bCs/>
        <w:spacing w:val="7"/>
        <w:sz w:val="20"/>
        <w:szCs w:val="20"/>
      </w:rPr>
      <w:t>合金全密闭电炉项目环境影响报告书</w:t>
    </w:r>
  </w:p>
</w:hdr>
</file>

<file path=word/header2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4FD31">
    <w:pPr>
      <w:spacing w:before="19" w:line="226" w:lineRule="auto"/>
      <w:ind w:left="6461"/>
      <w:rPr>
        <w:rFonts w:ascii="宋体" w:hAnsi="宋体" w:eastAsia="宋体" w:cs="宋体"/>
        <w:sz w:val="20"/>
        <w:szCs w:val="20"/>
      </w:rPr>
    </w:pPr>
    <w:r>
      <w:pict>
        <v:shape id="_x0000_s2266" o:spid="_x0000_s2266" style="position:absolute;left:0pt;margin-left:72pt;margin-top:58.15pt;height:0.75pt;width:1046.7pt;mso-position-horizontal-relative:page;mso-position-vertical-relative:page;z-index:251811840;mso-width-relative:page;mso-height-relative:page;" fillcolor="#000000" filled="t" stroked="f" coordsize="20933,15" o:allowincell="f" path="m0,0l20933,0,20933,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直流锰硅</w:t>
    </w:r>
    <w:r>
      <w:rPr>
        <w:rFonts w:ascii="宋体" w:hAnsi="宋体" w:eastAsia="宋体" w:cs="宋体"/>
        <w:b/>
        <w:bCs/>
        <w:spacing w:val="7"/>
        <w:sz w:val="20"/>
        <w:szCs w:val="20"/>
      </w:rPr>
      <w:t>合金全密闭电炉项目环境影响报告书</w:t>
    </w:r>
  </w:p>
</w:hdr>
</file>

<file path=word/header2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039F0">
    <w:pPr>
      <w:spacing w:before="19" w:line="226" w:lineRule="auto"/>
      <w:ind w:left="403"/>
      <w:rPr>
        <w:rFonts w:ascii="宋体" w:hAnsi="宋体" w:eastAsia="宋体" w:cs="宋体"/>
        <w:sz w:val="20"/>
        <w:szCs w:val="20"/>
      </w:rPr>
    </w:pPr>
    <w:r>
      <w:pict>
        <v:shape id="_x0000_s2267" o:spid="_x0000_s2267" style="position:absolute;left:0pt;margin-left:70.9pt;margin-top:58.1pt;height:0.75pt;width:453.55pt;mso-position-horizontal-relative:page;mso-position-vertical-relative:page;z-index:251812864;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65ACF9">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23B9F67A">
    <w:pPr>
      <w:spacing w:before="15" w:line="19" w:lineRule="exact"/>
    </w:pPr>
    <w:r>
      <w:rPr>
        <w:position w:val="-1"/>
      </w:rPr>
      <w:pict>
        <v:shape id="_x0000_s2069" o:spid="_x0000_s2069" style="height:1.45pt;width:453.65pt;" fillcolor="#000000" filled="t" stroked="f" coordsize="9072,29" path="m0,0l9072,0,9072,28,0,28,0,0xe">
          <v:path/>
          <v:fill on="t" focussize="0,0"/>
          <v:stroke on="f"/>
          <v:imagedata o:title=""/>
          <o:lock v:ext="edit"/>
          <w10:wrap type="none"/>
          <w10:anchorlock/>
        </v:shape>
      </w:pict>
    </w:r>
  </w:p>
</w:hdr>
</file>

<file path=word/header2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F18C4">
    <w:pPr>
      <w:spacing w:before="19" w:line="226" w:lineRule="auto"/>
      <w:ind w:left="403"/>
      <w:rPr>
        <w:rFonts w:ascii="宋体" w:hAnsi="宋体" w:eastAsia="宋体" w:cs="宋体"/>
        <w:sz w:val="20"/>
        <w:szCs w:val="20"/>
      </w:rPr>
    </w:pPr>
    <w:r>
      <w:pict>
        <v:shape id="_x0000_s2268" o:spid="_x0000_s2268" style="position:absolute;left:0pt;margin-left:70.9pt;margin-top:58.1pt;height:0.75pt;width:453.55pt;mso-position-horizontal-relative:page;mso-position-vertical-relative:page;z-index:251809792;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0095A3">
    <w:pPr>
      <w:spacing w:before="19" w:line="226" w:lineRule="auto"/>
      <w:ind w:left="403"/>
      <w:rPr>
        <w:rFonts w:ascii="宋体" w:hAnsi="宋体" w:eastAsia="宋体" w:cs="宋体"/>
        <w:sz w:val="20"/>
        <w:szCs w:val="20"/>
      </w:rPr>
    </w:pPr>
    <w:r>
      <w:pict>
        <v:shape id="_x0000_s2269" o:spid="_x0000_s2269" style="position:absolute;left:0pt;margin-left:70.9pt;margin-top:58.1pt;height:0.75pt;width:453.55pt;mso-position-horizontal-relative:page;mso-position-vertical-relative:page;z-index:251807744;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C273F">
    <w:pPr>
      <w:spacing w:before="19" w:line="226" w:lineRule="auto"/>
      <w:ind w:left="413"/>
      <w:rPr>
        <w:rFonts w:ascii="宋体" w:hAnsi="宋体" w:eastAsia="宋体" w:cs="宋体"/>
        <w:sz w:val="20"/>
        <w:szCs w:val="20"/>
      </w:rPr>
    </w:pPr>
    <w:r>
      <w:pict>
        <v:shape id="_x0000_s2270" o:spid="_x0000_s2270" style="position:absolute;left:0pt;margin-left:70.9pt;margin-top:58.1pt;height:0.75pt;width:453.55pt;mso-position-horizontal-relative:page;mso-position-vertical-relative:page;z-index:251813888;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581085">
    <w:pPr>
      <w:spacing w:before="19" w:line="226" w:lineRule="auto"/>
      <w:ind w:left="403"/>
      <w:rPr>
        <w:rFonts w:ascii="宋体" w:hAnsi="宋体" w:eastAsia="宋体" w:cs="宋体"/>
        <w:sz w:val="20"/>
        <w:szCs w:val="20"/>
      </w:rPr>
    </w:pPr>
    <w:r>
      <w:pict>
        <v:shape id="_x0000_s2271" o:spid="_x0000_s2271" style="position:absolute;left:0pt;margin-left:70.9pt;margin-top:58.1pt;height:0.75pt;width:453.55pt;mso-position-horizontal-relative:page;mso-position-vertical-relative:page;z-index:251746304;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63A477">
    <w:pPr>
      <w:spacing w:before="19" w:line="226" w:lineRule="auto"/>
      <w:ind w:left="403"/>
      <w:rPr>
        <w:rFonts w:ascii="宋体" w:hAnsi="宋体" w:eastAsia="宋体" w:cs="宋体"/>
        <w:sz w:val="20"/>
        <w:szCs w:val="20"/>
      </w:rPr>
    </w:pPr>
    <w:r>
      <w:pict>
        <v:shape id="_x0000_s2272" o:spid="_x0000_s2272" style="position:absolute;left:0pt;margin-left:70.9pt;margin-top:58.1pt;height:0.75pt;width:453.55pt;mso-position-horizontal-relative:page;mso-position-vertical-relative:page;z-index:251814912;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B632C8">
    <w:pPr>
      <w:spacing w:before="19" w:line="226" w:lineRule="auto"/>
      <w:ind w:left="403"/>
      <w:rPr>
        <w:rFonts w:ascii="宋体" w:hAnsi="宋体" w:eastAsia="宋体" w:cs="宋体"/>
        <w:sz w:val="20"/>
        <w:szCs w:val="20"/>
      </w:rPr>
    </w:pPr>
    <w:r>
      <w:pict>
        <v:shape id="_x0000_s2273" o:spid="_x0000_s2273" style="position:absolute;left:0pt;margin-left:70.9pt;margin-top:58.1pt;height:0.75pt;width:453.55pt;mso-position-horizontal-relative:page;mso-position-vertical-relative:page;z-index:251746304;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0F4E2A">
    <w:pPr>
      <w:spacing w:before="19" w:line="226" w:lineRule="auto"/>
      <w:ind w:left="403"/>
      <w:rPr>
        <w:rFonts w:ascii="宋体" w:hAnsi="宋体" w:eastAsia="宋体" w:cs="宋体"/>
        <w:sz w:val="20"/>
        <w:szCs w:val="20"/>
      </w:rPr>
    </w:pPr>
    <w:r>
      <w:pict>
        <v:shape id="_x0000_s2274" o:spid="_x0000_s2274" style="position:absolute;left:0pt;margin-left:70.9pt;margin-top:58.1pt;height:0.75pt;width:453.55pt;mso-position-horizontal-relative:page;mso-position-vertical-relative:page;z-index:251806720;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D508E4">
    <w:pPr>
      <w:spacing w:before="19" w:line="226" w:lineRule="auto"/>
      <w:ind w:left="403"/>
      <w:rPr>
        <w:rFonts w:ascii="宋体" w:hAnsi="宋体" w:eastAsia="宋体" w:cs="宋体"/>
        <w:sz w:val="20"/>
        <w:szCs w:val="20"/>
      </w:rPr>
    </w:pPr>
    <w:r>
      <w:pict>
        <v:shape id="_x0000_s2275" o:spid="_x0000_s2275" style="position:absolute;left:0pt;margin-left:70.9pt;margin-top:58.1pt;height:0.75pt;width:453.55pt;mso-position-horizontal-relative:page;mso-position-vertical-relative:page;z-index:251816960;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965EA">
    <w:pPr>
      <w:spacing w:before="19" w:line="226" w:lineRule="auto"/>
      <w:ind w:left="403"/>
      <w:rPr>
        <w:rFonts w:ascii="宋体" w:hAnsi="宋体" w:eastAsia="宋体" w:cs="宋体"/>
        <w:sz w:val="20"/>
        <w:szCs w:val="20"/>
      </w:rPr>
    </w:pPr>
    <w:r>
      <w:pict>
        <v:shape id="_x0000_s2276" o:spid="_x0000_s2276" style="position:absolute;left:0pt;margin-left:70.9pt;margin-top:58.1pt;height:0.75pt;width:453.55pt;mso-position-horizontal-relative:page;mso-position-vertical-relative:page;z-index:251806720;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584968">
    <w:pPr>
      <w:spacing w:before="19" w:line="226" w:lineRule="auto"/>
      <w:ind w:left="403"/>
      <w:rPr>
        <w:rFonts w:ascii="宋体" w:hAnsi="宋体" w:eastAsia="宋体" w:cs="宋体"/>
        <w:sz w:val="20"/>
        <w:szCs w:val="20"/>
      </w:rPr>
    </w:pPr>
    <w:r>
      <w:pict>
        <v:shape id="_x0000_s2277" o:spid="_x0000_s2277" style="position:absolute;left:0pt;margin-left:70.9pt;margin-top:58.1pt;height:0.75pt;width:453.55pt;mso-position-horizontal-relative:page;mso-position-vertical-relative:page;z-index:251807744;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B33A13">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3F2884BB">
    <w:pPr>
      <w:spacing w:before="15" w:line="19" w:lineRule="exact"/>
    </w:pPr>
    <w:r>
      <w:rPr>
        <w:position w:val="-1"/>
      </w:rPr>
      <w:pict>
        <v:shape id="_x0000_s2070" o:spid="_x0000_s2070" style="height:1.45pt;width:453.65pt;" fillcolor="#000000" filled="t" stroked="f" coordsize="9072,29" path="m0,0l9072,0,9072,28,0,28,0,0xe">
          <v:path/>
          <v:fill on="t" focussize="0,0"/>
          <v:stroke on="f"/>
          <v:imagedata o:title=""/>
          <o:lock v:ext="edit"/>
          <w10:wrap type="none"/>
          <w10:anchorlock/>
        </v:shape>
      </w:pict>
    </w:r>
  </w:p>
</w:hdr>
</file>

<file path=word/header2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883E0">
    <w:pPr>
      <w:spacing w:before="19" w:line="226" w:lineRule="auto"/>
      <w:ind w:left="403"/>
      <w:rPr>
        <w:rFonts w:ascii="宋体" w:hAnsi="宋体" w:eastAsia="宋体" w:cs="宋体"/>
        <w:sz w:val="20"/>
        <w:szCs w:val="20"/>
      </w:rPr>
    </w:pPr>
    <w:r>
      <w:pict>
        <v:shape id="_x0000_s2278" o:spid="_x0000_s2278" style="position:absolute;left:0pt;margin-left:70.9pt;margin-top:58.1pt;height:0.75pt;width:453.55pt;mso-position-horizontal-relative:page;mso-position-vertical-relative:page;z-index:251806720;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9ADEB">
    <w:pPr>
      <w:spacing w:before="19" w:line="226" w:lineRule="auto"/>
      <w:ind w:left="381"/>
      <w:rPr>
        <w:rFonts w:ascii="宋体" w:hAnsi="宋体" w:eastAsia="宋体" w:cs="宋体"/>
        <w:sz w:val="20"/>
        <w:szCs w:val="20"/>
      </w:rPr>
    </w:pPr>
    <w:r>
      <w:pict>
        <v:shape id="_x0000_s2279" o:spid="_x0000_s2279" style="position:absolute;left:0pt;margin-left:72pt;margin-top:58.15pt;height:0.75pt;width:451.3pt;mso-position-horizontal-relative:page;mso-position-vertical-relative:page;z-index:251817984;mso-width-relative:page;mso-height-relative:page;" fillcolor="#000000" filled="t" stroked="f" coordsize="9025,15" o:allowincell="f" path="m0,0l9025,0,9025,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00C60">
    <w:pPr>
      <w:spacing w:before="19" w:line="226" w:lineRule="auto"/>
      <w:ind w:left="381"/>
      <w:rPr>
        <w:rFonts w:ascii="宋体" w:hAnsi="宋体" w:eastAsia="宋体" w:cs="宋体"/>
        <w:sz w:val="20"/>
        <w:szCs w:val="20"/>
      </w:rPr>
    </w:pPr>
    <w:r>
      <w:pict>
        <v:shape id="_x0000_s2280" o:spid="_x0000_s2280" style="position:absolute;left:0pt;margin-left:72pt;margin-top:58.15pt;height:0.75pt;width:451.3pt;mso-position-horizontal-relative:page;mso-position-vertical-relative:page;z-index:251819008;mso-width-relative:page;mso-height-relative:page;" fillcolor="#000000" filled="t" stroked="f" coordsize="9025,15" o:allowincell="f" path="m0,0l9025,0,9025,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495882">
    <w:pPr>
      <w:spacing w:before="19" w:line="226" w:lineRule="auto"/>
      <w:ind w:left="565"/>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5721C8DB">
    <w:pPr>
      <w:spacing w:before="15" w:line="19" w:lineRule="exact"/>
      <w:ind w:firstLine="108"/>
    </w:pPr>
    <w:r>
      <w:rPr>
        <w:position w:val="-1"/>
      </w:rPr>
      <w:pict>
        <v:shape id="_x0000_s2071" o:spid="_x0000_s2071" style="height:1.45pt;width:453.65pt;" fillcolor="#000000" filled="t" stroked="f" coordsize="9072,29" path="m0,0l9072,0,9072,28,0,28,0,0xe">
          <v:path/>
          <v:fill on="t" focussize="0,0"/>
          <v:stroke on="f"/>
          <v:imagedata o:title=""/>
          <o:lock v:ext="edit"/>
          <w10:wrap type="none"/>
          <w10:anchorlock/>
        </v:shape>
      </w:pic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AF688E">
    <w:pPr>
      <w:spacing w:before="19" w:line="226" w:lineRule="auto"/>
      <w:ind w:left="2924"/>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076FED09">
    <w:pPr>
      <w:spacing w:before="15" w:line="19" w:lineRule="exact"/>
    </w:pPr>
    <w:r>
      <w:rPr>
        <w:position w:val="-1"/>
      </w:rPr>
      <w:pict>
        <v:shape id="_x0000_s2072" o:spid="_x0000_s2072" style="height:1.45pt;width:700.35pt;" fillcolor="#000000" filled="t" stroked="f" coordsize="14006,29" path="m0,0l14006,0,14006,28,0,28,0,0xe">
          <v:path/>
          <v:fill on="t" focussize="0,0"/>
          <v:stroke on="f"/>
          <v:imagedata o:title=""/>
          <o:lock v:ext="edit"/>
          <w10:wrap type="none"/>
          <w10:anchorlock/>
        </v:shape>
      </w:pic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91F1F">
    <w:pPr>
      <w:spacing w:before="19" w:line="226" w:lineRule="auto"/>
      <w:ind w:left="3032"/>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74192551">
    <w:pPr>
      <w:spacing w:before="15" w:line="19" w:lineRule="exact"/>
      <w:ind w:firstLine="108"/>
    </w:pPr>
    <w:r>
      <w:rPr>
        <w:position w:val="-1"/>
      </w:rPr>
      <w:pict>
        <v:shape id="_x0000_s2073" o:spid="_x0000_s2073" style="height:1.45pt;width:700.35pt;" fillcolor="#000000" filled="t" stroked="f" coordsize="14006,29" path="m0,0l14006,0,14006,28,0,28,0,0xe">
          <v:path/>
          <v:fill on="t" focussize="0,0"/>
          <v:stroke on="f"/>
          <v:imagedata o:title=""/>
          <o:lock v:ext="edit"/>
          <w10:wrap type="none"/>
          <w10:anchorlock/>
        </v:shape>
      </w:pic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AC17C">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23A3336A">
    <w:pPr>
      <w:spacing w:before="15" w:line="19" w:lineRule="exact"/>
    </w:pPr>
    <w:r>
      <w:rPr>
        <w:position w:val="-1"/>
      </w:rPr>
      <w:pict>
        <v:shape id="_x0000_s2074" o:spid="_x0000_s2074" style="height:1.45pt;width:453.65pt;" fillcolor="#000000" filled="t" stroked="f" coordsize="9072,29" path="m0,0l9072,0,9072,28,0,28,0,0xe">
          <v:path/>
          <v:fill on="t" focussize="0,0"/>
          <v:stroke on="f"/>
          <v:imagedata o:title=""/>
          <o:lock v:ext="edit"/>
          <w10:wrap type="none"/>
          <w10:anchorlock/>
        </v:shape>
      </w:pic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B1EA7">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04499198">
    <w:pPr>
      <w:spacing w:before="15" w:line="19" w:lineRule="exact"/>
    </w:pPr>
    <w:r>
      <w:rPr>
        <w:position w:val="-1"/>
      </w:rPr>
      <w:pict>
        <v:shape id="_x0000_s2075" o:spid="_x0000_s2075" style="height:1.45pt;width:453.65pt;" fillcolor="#000000" filled="t" stroked="f" coordsize="9072,29" path="m0,0l9072,0,9072,28,0,28,0,0xe">
          <v:path/>
          <v:fill on="t" focussize="0,0"/>
          <v:stroke on="f"/>
          <v:imagedata o:title=""/>
          <o:lock v:ext="edit"/>
          <w10:wrap type="none"/>
          <w10:anchorlock/>
        </v:shape>
      </w:pic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F3A1DB">
    <w:pPr>
      <w:spacing w:before="19" w:line="226" w:lineRule="auto"/>
      <w:ind w:left="565"/>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18F5A173">
    <w:pPr>
      <w:spacing w:before="15" w:line="19" w:lineRule="exact"/>
      <w:ind w:firstLine="108"/>
    </w:pPr>
    <w:r>
      <w:rPr>
        <w:position w:val="-1"/>
      </w:rPr>
      <w:pict>
        <v:shape id="_x0000_s2076" o:spid="_x0000_s2076" style="height:1.45pt;width:453.65pt;" fillcolor="#000000" filled="t" stroked="f" coordsize="9072,29" path="m0,0l9072,0,9072,28,0,28,0,0xe">
          <v:path/>
          <v:fill on="t" focussize="0,0"/>
          <v:stroke on="f"/>
          <v:imagedata o:title=""/>
          <o:lock v:ext="edit"/>
          <w10:wrap type="none"/>
          <w10:anchorlock/>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598C84">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02CD81E2">
    <w:pPr>
      <w:spacing w:before="15" w:line="19" w:lineRule="exact"/>
    </w:pPr>
    <w:r>
      <w:rPr>
        <w:position w:val="-1"/>
      </w:rPr>
      <w:pict>
        <v:shape id="_x0000_s2050" o:spid="_x0000_s2050" style="height:1.45pt;width:453.65pt;" fillcolor="#000000" filled="t" stroked="f" coordsize="9072,29" path="m0,0l9072,0,9072,28,0,28,0,0xe">
          <v:path/>
          <v:fill on="t" focussize="0,0"/>
          <v:stroke on="f"/>
          <v:imagedata o:title=""/>
          <o:lock v:ext="edit"/>
          <w10:wrap type="none"/>
          <w10:anchorlock/>
        </v:shape>
      </w:pic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BFD60A">
    <w:pPr>
      <w:spacing w:before="19" w:line="226" w:lineRule="auto"/>
      <w:ind w:left="45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2A735783">
    <w:pPr>
      <w:spacing w:before="15" w:line="19" w:lineRule="exact"/>
      <w:ind w:firstLine="1"/>
    </w:pPr>
    <w:r>
      <w:rPr>
        <w:position w:val="-1"/>
      </w:rPr>
      <w:pict>
        <v:shape id="_x0000_s2077" o:spid="_x0000_s2077" style="height:1.45pt;width:453.65pt;" fillcolor="#000000" filled="t" stroked="f" coordsize="9072,29" path="m0,0l9072,0,9072,28,0,28,0,0xe">
          <v:path/>
          <v:fill on="t" focussize="0,0"/>
          <v:stroke on="f"/>
          <v:imagedata o:title=""/>
          <o:lock v:ext="edit"/>
          <w10:wrap type="none"/>
          <w10:anchorlock/>
        </v:shape>
      </w:pic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BC4C20">
    <w:pPr>
      <w:spacing w:before="19" w:line="226" w:lineRule="auto"/>
      <w:ind w:left="565"/>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39BBA587">
    <w:pPr>
      <w:spacing w:before="15" w:line="19" w:lineRule="exact"/>
      <w:ind w:firstLine="108"/>
    </w:pPr>
    <w:r>
      <w:rPr>
        <w:position w:val="-1"/>
      </w:rPr>
      <w:pict>
        <v:shape id="_x0000_s2078" o:spid="_x0000_s2078" style="height:1.45pt;width:453.65pt;" fillcolor="#000000" filled="t" stroked="f" coordsize="9072,29" path="m0,0l9072,0,9072,28,0,28,0,0xe">
          <v:path/>
          <v:fill on="t" focussize="0,0"/>
          <v:stroke on="f"/>
          <v:imagedata o:title=""/>
          <o:lock v:ext="edit"/>
          <w10:wrap type="none"/>
          <w10:anchorlock/>
        </v:shape>
      </w:pic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4DE6BB">
    <w:pPr>
      <w:pStyle w:val="2"/>
      <w:spacing w:line="14" w:lineRule="auto"/>
      <w:rPr>
        <w:sz w:val="2"/>
      </w:rPr>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C8F105">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626E6ECE">
    <w:pPr>
      <w:spacing w:before="17" w:line="19" w:lineRule="exact"/>
    </w:pPr>
    <w:r>
      <w:rPr>
        <w:position w:val="-1"/>
      </w:rPr>
      <w:pict>
        <v:shape id="_x0000_s2079" o:spid="_x0000_s2079" style="height:1.45pt;width:453.65pt;" fillcolor="#000000" filled="t" stroked="f" coordsize="9072,29" path="m0,0l9072,0,9072,28,0,28,0,0xe">
          <v:path/>
          <v:fill on="t" focussize="0,0"/>
          <v:stroke on="f"/>
          <v:imagedata o:title=""/>
          <o:lock v:ext="edit"/>
          <w10:wrap type="none"/>
          <w10:anchorlock/>
        </v:shape>
      </w:pic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F0DD0">
    <w:pPr>
      <w:spacing w:before="19" w:line="226" w:lineRule="auto"/>
      <w:ind w:left="2924"/>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61DFA9C3">
    <w:pPr>
      <w:spacing w:before="17" w:line="19" w:lineRule="exact"/>
    </w:pPr>
    <w:r>
      <w:rPr>
        <w:position w:val="-1"/>
      </w:rPr>
      <w:pict>
        <v:shape id="_x0000_s2080" o:spid="_x0000_s2080" style="height:1.45pt;width:700.1pt;" fillcolor="#000000" filled="t" stroked="f" coordsize="14001,29" path="m0,0l14001,0,14001,28,0,28,0,0xe">
          <v:path/>
          <v:fill on="t" focussize="0,0"/>
          <v:stroke on="f"/>
          <v:imagedata o:title=""/>
          <o:lock v:ext="edit"/>
          <w10:wrap type="none"/>
          <w10:anchorlock/>
        </v:shape>
      </w:pict>
    </w: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650D0">
    <w:pPr>
      <w:spacing w:before="19" w:line="226" w:lineRule="auto"/>
      <w:ind w:left="2923"/>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171163DA">
    <w:pPr>
      <w:spacing w:before="17" w:line="19" w:lineRule="exact"/>
    </w:pPr>
    <w:r>
      <w:rPr>
        <w:position w:val="-1"/>
      </w:rPr>
      <w:pict>
        <v:shape id="_x0000_s2081" o:spid="_x0000_s2081" style="height:1.45pt;width:700.1pt;" fillcolor="#000000" filled="t" stroked="f" coordsize="14001,29" path="m0,0l14001,0,14001,28,0,28,0,0xe">
          <v:path/>
          <v:fill on="t" focussize="0,0"/>
          <v:stroke on="f"/>
          <v:imagedata o:title=""/>
          <o:lock v:ext="edit"/>
          <w10:wrap type="none"/>
          <w10:anchorlock/>
        </v:shape>
      </w:pict>
    </w: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C49A17">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40AC3DC7">
    <w:pPr>
      <w:spacing w:before="17" w:line="19" w:lineRule="exact"/>
    </w:pPr>
    <w:r>
      <w:rPr>
        <w:position w:val="-1"/>
      </w:rPr>
      <w:pict>
        <v:shape id="_x0000_s2082" o:spid="_x0000_s2082" style="height:1.45pt;width:453.65pt;" fillcolor="#000000" filled="t" stroked="f" coordsize="9072,29" path="m0,0l9072,0,9072,28,0,28,0,0xe">
          <v:path/>
          <v:fill on="t" focussize="0,0"/>
          <v:stroke on="f"/>
          <v:imagedata o:title=""/>
          <o:lock v:ext="edit"/>
          <w10:wrap type="none"/>
          <w10:anchorlock/>
        </v:shape>
      </w:pict>
    </w: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285DD1">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459D4392">
    <w:pPr>
      <w:spacing w:before="17" w:line="19" w:lineRule="exact"/>
    </w:pPr>
    <w:r>
      <w:rPr>
        <w:position w:val="-1"/>
      </w:rPr>
      <w:pict>
        <v:shape id="_x0000_s2083" o:spid="_x0000_s2083" style="height:1.45pt;width:453.65pt;" fillcolor="#000000" filled="t" stroked="f" coordsize="9072,29" path="m0,0l9072,0,9072,28,0,28,0,0xe">
          <v:path/>
          <v:fill on="t" focussize="0,0"/>
          <v:stroke on="f"/>
          <v:imagedata o:title=""/>
          <o:lock v:ext="edit"/>
          <w10:wrap type="none"/>
          <w10:anchorlock/>
        </v:shape>
      </w:pict>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C85D39">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5D131EDC">
    <w:pPr>
      <w:spacing w:before="17" w:line="19" w:lineRule="exact"/>
    </w:pPr>
    <w:r>
      <w:rPr>
        <w:position w:val="-1"/>
      </w:rPr>
      <w:pict>
        <v:shape id="_x0000_s2084" o:spid="_x0000_s2084" style="height:1.45pt;width:453.65pt;" fillcolor="#000000" filled="t" stroked="f" coordsize="9072,29" path="m0,0l9072,0,9072,28,0,28,0,0xe">
          <v:path/>
          <v:fill on="t" focussize="0,0"/>
          <v:stroke on="f"/>
          <v:imagedata o:title=""/>
          <o:lock v:ext="edit"/>
          <w10:wrap type="none"/>
          <w10:anchorlock/>
        </v:shape>
      </w:pict>
    </w: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ACE1A">
    <w:pPr>
      <w:spacing w:before="19" w:line="226" w:lineRule="auto"/>
      <w:ind w:left="2753"/>
      <w:rPr>
        <w:rFonts w:ascii="宋体" w:hAnsi="宋体" w:eastAsia="宋体" w:cs="宋体"/>
        <w:sz w:val="20"/>
        <w:szCs w:val="20"/>
      </w:rPr>
    </w:pPr>
    <w:r>
      <w:drawing>
        <wp:anchor distT="0" distB="0" distL="0" distR="0" simplePos="0" relativeHeight="251660288" behindDoc="0" locked="0" layoutInCell="0" allowOverlap="1">
          <wp:simplePos x="0" y="0"/>
          <wp:positionH relativeFrom="page">
            <wp:posOffset>1014730</wp:posOffset>
          </wp:positionH>
          <wp:positionV relativeFrom="page">
            <wp:posOffset>899160</wp:posOffset>
          </wp:positionV>
          <wp:extent cx="8660765" cy="11478895"/>
          <wp:effectExtent l="0" t="0" r="0" b="0"/>
          <wp:wrapNone/>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1"/>
                  <a:stretch>
                    <a:fillRect/>
                  </a:stretch>
                </pic:blipFill>
                <pic:spPr>
                  <a:xfrm>
                    <a:off x="0" y="0"/>
                    <a:ext cx="8660892" cy="11478766"/>
                  </a:xfrm>
                  <a:prstGeom prst="rect">
                    <a:avLst/>
                  </a:prstGeom>
                </pic:spPr>
              </pic:pic>
            </a:graphicData>
          </a:graphic>
        </wp:anchor>
      </w:drawing>
    </w: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3D711CA0">
    <w:pPr>
      <w:spacing w:before="17" w:line="19" w:lineRule="exact"/>
    </w:pPr>
    <w:r>
      <w:rPr>
        <w:position w:val="-1"/>
      </w:rPr>
      <w:pict>
        <v:shape id="_x0000_s2085" o:spid="_x0000_s2085" style="height:1.45pt;width:683.1pt;" fillcolor="#000000" filled="t" stroked="f" coordsize="13661,29" path="m0,0l13661,0,13661,28,0,28,0,0xe">
          <v:path/>
          <v:fill on="t" focussize="0,0"/>
          <v:stroke on="f"/>
          <v:imagedata o:title=""/>
          <o:lock v:ext="edit"/>
          <w10:wrap type="none"/>
          <w10:anchorlock/>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E65EF2">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2516E971">
    <w:pPr>
      <w:spacing w:before="15" w:line="19" w:lineRule="exact"/>
    </w:pPr>
    <w:r>
      <w:rPr>
        <w:position w:val="-1"/>
      </w:rPr>
      <w:pict>
        <v:shape id="_x0000_s2051" o:spid="_x0000_s2051" style="height:1.45pt;width:453.65pt;" fillcolor="#000000" filled="t" stroked="f" coordsize="9072,29" path="m0,0l9072,0,9072,28,0,28,0,0xe">
          <v:path/>
          <v:fill on="t" focussize="0,0"/>
          <v:stroke on="f"/>
          <v:imagedata o:title=""/>
          <o:lock v:ext="edit"/>
          <w10:wrap type="none"/>
          <w10:anchorlock/>
        </v:shape>
      </w:pict>
    </w: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9EB573">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0BE5C9FA">
    <w:pPr>
      <w:spacing w:before="15" w:line="19" w:lineRule="exact"/>
    </w:pPr>
    <w:r>
      <w:rPr>
        <w:position w:val="-1"/>
      </w:rPr>
      <w:pict>
        <v:shape id="_x0000_s2086" o:spid="_x0000_s2086" style="height:1.45pt;width:450.75pt;" fillcolor="#000000" filled="t" stroked="f" coordsize="9015,29" path="m0,0l9014,0,9014,28,0,28,0,0xe">
          <v:path/>
          <v:fill on="t" focussize="0,0"/>
          <v:stroke on="f"/>
          <v:imagedata o:title=""/>
          <o:lock v:ext="edit"/>
          <w10:wrap type="none"/>
          <w10:anchorlock/>
        </v:shape>
      </w:pict>
    </w: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AD1B72">
    <w:pPr>
      <w:spacing w:before="19" w:line="226" w:lineRule="auto"/>
      <w:ind w:left="536"/>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55A3C2AC">
    <w:pPr>
      <w:spacing w:before="15" w:line="19" w:lineRule="exact"/>
      <w:ind w:firstLine="108"/>
    </w:pPr>
    <w:r>
      <w:rPr>
        <w:position w:val="-1"/>
      </w:rPr>
      <w:pict>
        <v:shape id="_x0000_s2087" o:spid="_x0000_s2087" style="height:1.45pt;width:450.75pt;" fillcolor="#000000" filled="t" stroked="f" coordsize="9015,29" path="m0,0l9014,0,9014,28,0,28,0,0xe">
          <v:path/>
          <v:fill on="t" focussize="0,0"/>
          <v:stroke on="f"/>
          <v:imagedata o:title=""/>
          <o:lock v:ext="edit"/>
          <w10:wrap type="none"/>
          <w10:anchorlock/>
        </v:shape>
      </w:pict>
    </w: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7EDC5E">
    <w:pPr>
      <w:spacing w:before="19" w:line="226" w:lineRule="auto"/>
      <w:ind w:left="443"/>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2959B0B5">
    <w:pPr>
      <w:spacing w:before="15" w:line="19" w:lineRule="exact"/>
      <w:ind w:firstLine="15"/>
    </w:pPr>
    <w:r>
      <w:rPr>
        <w:position w:val="-1"/>
      </w:rPr>
      <w:pict>
        <v:shape id="_x0000_s2088" o:spid="_x0000_s2088" style="height:1.45pt;width:450.75pt;" fillcolor="#000000" filled="t" stroked="f" coordsize="9015,29" path="m0,0l9014,0,9014,28,0,28,0,0xe">
          <v:path/>
          <v:fill on="t" focussize="0,0"/>
          <v:stroke on="f"/>
          <v:imagedata o:title=""/>
          <o:lock v:ext="edit"/>
          <w10:wrap type="none"/>
          <w10:anchorlock/>
        </v:shape>
      </w:pict>
    </w: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742CB">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1438D80D">
    <w:pPr>
      <w:spacing w:before="15" w:line="19" w:lineRule="exact"/>
    </w:pPr>
    <w:r>
      <w:rPr>
        <w:position w:val="-1"/>
      </w:rPr>
      <w:pict>
        <v:shape id="_x0000_s2089" o:spid="_x0000_s2089" style="height:1.45pt;width:450.75pt;" fillcolor="#000000" filled="t" stroked="f" coordsize="9015,29" path="m0,0l9014,0,9014,28,0,28,0,0xe">
          <v:path/>
          <v:fill on="t" focussize="0,0"/>
          <v:stroke on="f"/>
          <v:imagedata o:title=""/>
          <o:lock v:ext="edit"/>
          <w10:wrap type="none"/>
          <w10:anchorlock/>
        </v:shape>
      </w:pict>
    </w: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C3523A">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196AFB47">
    <w:pPr>
      <w:spacing w:before="15" w:line="19" w:lineRule="exact"/>
    </w:pPr>
    <w:r>
      <w:rPr>
        <w:position w:val="-1"/>
      </w:rPr>
      <w:pict>
        <v:shape id="_x0000_s2090" o:spid="_x0000_s2090" style="height:1.45pt;width:450.75pt;" fillcolor="#000000" filled="t" stroked="f" coordsize="9015,29" path="m0,0l9014,0,9014,28,0,28,0,0xe">
          <v:path/>
          <v:fill on="t" focussize="0,0"/>
          <v:stroke on="f"/>
          <v:imagedata o:title=""/>
          <o:lock v:ext="edit"/>
          <w10:wrap type="none"/>
          <w10:anchorlock/>
        </v:shape>
      </w:pict>
    </w: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DBA93">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4BD91F7A">
    <w:pPr>
      <w:spacing w:before="15" w:line="19" w:lineRule="exact"/>
    </w:pPr>
    <w:r>
      <w:rPr>
        <w:position w:val="-1"/>
      </w:rPr>
      <w:pict>
        <v:shape id="_x0000_s2091" o:spid="_x0000_s2091" style="height:1.45pt;width:450.75pt;" fillcolor="#000000" filled="t" stroked="f" coordsize="9015,29" path="m0,0l9014,0,9014,28,0,28,0,0xe">
          <v:path/>
          <v:fill on="t" focussize="0,0"/>
          <v:stroke on="f"/>
          <v:imagedata o:title=""/>
          <o:lock v:ext="edit"/>
          <w10:wrap type="none"/>
          <w10:anchorlock/>
        </v:shape>
      </w:pict>
    </w: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3B835">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60C2D916">
    <w:pPr>
      <w:spacing w:before="15" w:line="19" w:lineRule="exact"/>
    </w:pPr>
    <w:r>
      <w:rPr>
        <w:position w:val="-1"/>
      </w:rPr>
      <w:pict>
        <v:shape id="_x0000_s2092" o:spid="_x0000_s2092" style="height:1.45pt;width:450.75pt;" fillcolor="#000000" filled="t" stroked="f" coordsize="9015,29" path="m0,0l9014,0,9014,28,0,28,0,0xe">
          <v:path/>
          <v:fill on="t" focussize="0,0"/>
          <v:stroke on="f"/>
          <v:imagedata o:title=""/>
          <o:lock v:ext="edit"/>
          <w10:wrap type="none"/>
          <w10:anchorlock/>
        </v:shape>
      </w:pict>
    </w:r>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33414C">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3C659A8A">
    <w:pPr>
      <w:spacing w:before="15" w:line="19" w:lineRule="exact"/>
    </w:pPr>
    <w:r>
      <w:rPr>
        <w:position w:val="-1"/>
      </w:rPr>
      <w:pict>
        <v:shape id="_x0000_s2093" o:spid="_x0000_s2093" style="height:1.45pt;width:450.75pt;" fillcolor="#000000" filled="t" stroked="f" coordsize="9015,29" path="m0,0l9014,0,9014,28,0,28,0,0xe">
          <v:path/>
          <v:fill on="t" focussize="0,0"/>
          <v:stroke on="f"/>
          <v:imagedata o:title=""/>
          <o:lock v:ext="edit"/>
          <w10:wrap type="none"/>
          <w10:anchorlock/>
        </v:shape>
      </w:pict>
    </w:r>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C196D">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3958A678">
    <w:pPr>
      <w:spacing w:before="15" w:line="19" w:lineRule="exact"/>
    </w:pPr>
    <w:r>
      <w:rPr>
        <w:position w:val="-1"/>
      </w:rPr>
      <w:pict>
        <v:shape id="_x0000_s2094" o:spid="_x0000_s2094" style="height:1.45pt;width:450.75pt;" fillcolor="#000000" filled="t" stroked="f" coordsize="9015,29" path="m0,0l9014,0,9014,28,0,28,0,0xe">
          <v:path/>
          <v:fill on="t" focussize="0,0"/>
          <v:stroke on="f"/>
          <v:imagedata o:title=""/>
          <o:lock v:ext="edit"/>
          <w10:wrap type="none"/>
          <w10:anchorlock/>
        </v:shape>
      </w:pict>
    </w:r>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EC8A2F">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0CB9CFDF">
    <w:pPr>
      <w:spacing w:before="15" w:line="19" w:lineRule="exact"/>
    </w:pPr>
    <w:r>
      <w:rPr>
        <w:position w:val="-1"/>
      </w:rPr>
      <w:pict>
        <v:shape id="_x0000_s2095" o:spid="_x0000_s2095" style="height:1.45pt;width:450.75pt;" fillcolor="#000000" filled="t" stroked="f" coordsize="9015,29" path="m0,0l9014,0,9014,28,0,28,0,0xe">
          <v:path/>
          <v:fill on="t" focussize="0,0"/>
          <v:stroke on="f"/>
          <v:imagedata o:title=""/>
          <o:lock v:ext="edit"/>
          <w10:wrap type="none"/>
          <w10:anchorlock/>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68344B">
    <w:pPr>
      <w:spacing w:before="19" w:line="226" w:lineRule="auto"/>
      <w:ind w:left="2923"/>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6BC550C2">
    <w:pPr>
      <w:spacing w:before="15" w:line="19" w:lineRule="exact"/>
    </w:pPr>
    <w:r>
      <w:rPr>
        <w:position w:val="-1"/>
      </w:rPr>
      <w:pict>
        <v:shape id="_x0000_s2052" o:spid="_x0000_s2052" style="height:1.45pt;width:700.1pt;" fillcolor="#000000" filled="t" stroked="f" coordsize="14001,29" path="m0,0l14001,0,14001,28,0,28,0,0xe">
          <v:path/>
          <v:fill on="t" focussize="0,0"/>
          <v:stroke on="f"/>
          <v:imagedata o:title=""/>
          <o:lock v:ext="edit"/>
          <w10:wrap type="none"/>
          <w10:anchorlock/>
        </v:shape>
      </w:pict>
    </w:r>
  </w:p>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7A260">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299EC880">
    <w:pPr>
      <w:spacing w:before="15" w:line="19" w:lineRule="exact"/>
    </w:pPr>
    <w:r>
      <w:rPr>
        <w:position w:val="-1"/>
      </w:rPr>
      <w:pict>
        <v:shape id="_x0000_s2096" o:spid="_x0000_s2096" style="height:1.45pt;width:450.75pt;" fillcolor="#000000" filled="t" stroked="f" coordsize="9015,29" path="m0,0l9014,0,9014,28,0,28,0,0xe">
          <v:path/>
          <v:fill on="t" focussize="0,0"/>
          <v:stroke on="f"/>
          <v:imagedata o:title=""/>
          <o:lock v:ext="edit"/>
          <w10:wrap type="none"/>
          <w10:anchorlock/>
        </v:shape>
      </w:pict>
    </w:r>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39BAC">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5C365B46">
    <w:pPr>
      <w:spacing w:before="15" w:line="19" w:lineRule="exact"/>
    </w:pPr>
    <w:r>
      <w:rPr>
        <w:position w:val="-1"/>
      </w:rPr>
      <w:pict>
        <v:shape id="_x0000_s2097" o:spid="_x0000_s2097" style="height:1.45pt;width:450.75pt;" fillcolor="#000000" filled="t" stroked="f" coordsize="9015,29" path="m0,0l9014,0,9014,28,0,28,0,0xe">
          <v:path/>
          <v:fill on="t" focussize="0,0"/>
          <v:stroke on="f"/>
          <v:imagedata o:title=""/>
          <o:lock v:ext="edit"/>
          <w10:wrap type="none"/>
          <w10:anchorlock/>
        </v:shape>
      </w:pict>
    </w:r>
  </w:p>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A1E0DC">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1235FC37">
    <w:pPr>
      <w:spacing w:before="15" w:line="19" w:lineRule="exact"/>
    </w:pPr>
    <w:r>
      <w:rPr>
        <w:position w:val="-1"/>
      </w:rPr>
      <w:pict>
        <v:shape id="_x0000_s2098" o:spid="_x0000_s2098" style="height:1.45pt;width:450.75pt;" fillcolor="#000000" filled="t" stroked="f" coordsize="9015,29" path="m0,0l9014,0,9014,28,0,28,0,0xe">
          <v:path/>
          <v:fill on="t" focussize="0,0"/>
          <v:stroke on="f"/>
          <v:imagedata o:title=""/>
          <o:lock v:ext="edit"/>
          <w10:wrap type="none"/>
          <w10:anchorlock/>
        </v:shape>
      </w:pict>
    </w:r>
  </w:p>
</w:hdr>
</file>

<file path=word/header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8AB492">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36FA806D">
    <w:pPr>
      <w:spacing w:before="15" w:line="19" w:lineRule="exact"/>
    </w:pPr>
    <w:r>
      <w:rPr>
        <w:position w:val="-1"/>
      </w:rPr>
      <w:pict>
        <v:shape id="_x0000_s2099" o:spid="_x0000_s2099" style="height:1.45pt;width:450.75pt;" fillcolor="#000000" filled="t" stroked="f" coordsize="9015,29" path="m0,0l9014,0,9014,28,0,28,0,0xe">
          <v:path/>
          <v:fill on="t" focussize="0,0"/>
          <v:stroke on="f"/>
          <v:imagedata o:title=""/>
          <o:lock v:ext="edit"/>
          <w10:wrap type="none"/>
          <w10:anchorlock/>
        </v:shape>
      </w:pict>
    </w:r>
  </w:p>
</w:hdr>
</file>

<file path=word/header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B55FF">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727C9A16">
    <w:pPr>
      <w:spacing w:before="15" w:line="19" w:lineRule="exact"/>
    </w:pPr>
    <w:r>
      <w:rPr>
        <w:position w:val="-1"/>
      </w:rPr>
      <w:pict>
        <v:shape id="_x0000_s2100" o:spid="_x0000_s2100" style="height:1.45pt;width:450.75pt;" fillcolor="#000000" filled="t" stroked="f" coordsize="9015,29" path="m0,0l9014,0,9014,28,0,28,0,0xe">
          <v:path/>
          <v:fill on="t" focussize="0,0"/>
          <v:stroke on="f"/>
          <v:imagedata o:title=""/>
          <o:lock v:ext="edit"/>
          <w10:wrap type="none"/>
          <w10:anchorlock/>
        </v:shape>
      </w:pict>
    </w:r>
  </w:p>
</w:hdr>
</file>

<file path=word/header5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616A8C">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165A0131">
    <w:pPr>
      <w:spacing w:before="15" w:line="19" w:lineRule="exact"/>
    </w:pPr>
    <w:r>
      <w:rPr>
        <w:position w:val="-1"/>
      </w:rPr>
      <w:pict>
        <v:shape id="_x0000_s2101" o:spid="_x0000_s2101" style="height:1.45pt;width:450.75pt;" fillcolor="#000000" filled="t" stroked="f" coordsize="9015,29" path="m0,0l9014,0,9014,28,0,28,0,0xe">
          <v:path/>
          <v:fill on="t" focussize="0,0"/>
          <v:stroke on="f"/>
          <v:imagedata o:title=""/>
          <o:lock v:ext="edit"/>
          <w10:wrap type="none"/>
          <w10:anchorlock/>
        </v:shape>
      </w:pict>
    </w:r>
  </w:p>
</w:hdr>
</file>

<file path=word/header5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52053">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0C0AFF07">
    <w:pPr>
      <w:spacing w:before="15" w:line="19" w:lineRule="exact"/>
    </w:pPr>
    <w:r>
      <w:rPr>
        <w:position w:val="-1"/>
      </w:rPr>
      <w:pict>
        <v:shape id="_x0000_s2102" o:spid="_x0000_s2102" style="height:1.45pt;width:450.75pt;" fillcolor="#000000" filled="t" stroked="f" coordsize="9015,29" path="m0,0l9014,0,9014,28,0,28,0,0xe">
          <v:path/>
          <v:fill on="t" focussize="0,0"/>
          <v:stroke on="f"/>
          <v:imagedata o:title=""/>
          <o:lock v:ext="edit"/>
          <w10:wrap type="none"/>
          <w10:anchorlock/>
        </v:shape>
      </w:pict>
    </w:r>
  </w:p>
</w:hdr>
</file>

<file path=word/header5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49272">
    <w:pPr>
      <w:spacing w:before="19" w:line="226" w:lineRule="auto"/>
      <w:ind w:left="533"/>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2F2F56E6">
    <w:pPr>
      <w:spacing w:before="15" w:line="19" w:lineRule="exact"/>
      <w:ind w:firstLine="105"/>
    </w:pPr>
    <w:r>
      <w:rPr>
        <w:position w:val="-1"/>
      </w:rPr>
      <w:pict>
        <v:shape id="_x0000_s2103" o:spid="_x0000_s2103" style="height:1.45pt;width:450.75pt;" fillcolor="#000000" filled="t" stroked="f" coordsize="9015,29" path="m0,0l9014,0,9014,28,0,28,0,0xe">
          <v:path/>
          <v:fill on="t" focussize="0,0"/>
          <v:stroke on="f"/>
          <v:imagedata o:title=""/>
          <o:lock v:ext="edit"/>
          <w10:wrap type="none"/>
          <w10:anchorlock/>
        </v:shape>
      </w:pict>
    </w:r>
  </w:p>
</w:hdr>
</file>

<file path=word/header5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C5B8F9">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52783316">
    <w:pPr>
      <w:spacing w:before="15" w:line="19" w:lineRule="exact"/>
    </w:pPr>
    <w:r>
      <w:rPr>
        <w:position w:val="-1"/>
      </w:rPr>
      <w:pict>
        <v:shape id="_x0000_s2104" o:spid="_x0000_s2104" style="height:1.45pt;width:450.75pt;" fillcolor="#000000" filled="t" stroked="f" coordsize="9015,29" path="m0,0l9014,0,9014,28,0,28,0,0xe">
          <v:path/>
          <v:fill on="t" focussize="0,0"/>
          <v:stroke on="f"/>
          <v:imagedata o:title=""/>
          <o:lock v:ext="edit"/>
          <w10:wrap type="none"/>
          <w10:anchorlock/>
        </v:shape>
      </w:pict>
    </w:r>
  </w:p>
</w:hdr>
</file>

<file path=word/header5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41CC7">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71D039F9">
    <w:pPr>
      <w:spacing w:before="15" w:line="19" w:lineRule="exact"/>
    </w:pPr>
    <w:r>
      <w:rPr>
        <w:position w:val="-1"/>
      </w:rPr>
      <w:pict>
        <v:shape id="_x0000_s2105" o:spid="_x0000_s2105" style="height:1.45pt;width:450.75pt;" fillcolor="#000000" filled="t" stroked="f" coordsize="9015,29" path="m0,0l9014,0,9014,28,0,28,0,0xe">
          <v:path/>
          <v:fill on="t" focussize="0,0"/>
          <v:stroke on="f"/>
          <v:imagedata o:title=""/>
          <o:lock v:ext="edit"/>
          <w10:wrap type="none"/>
          <w10:anchorlock/>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A9AFB3">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763D6D47">
    <w:pPr>
      <w:spacing w:before="15" w:line="19" w:lineRule="exact"/>
    </w:pPr>
    <w:r>
      <w:rPr>
        <w:position w:val="-1"/>
      </w:rPr>
      <w:pict>
        <v:shape id="_x0000_s2053" o:spid="_x0000_s2053" style="height:1.45pt;width:453.65pt;" fillcolor="#000000" filled="t" stroked="f" coordsize="9072,29" path="m0,0l9072,0,9072,28,0,28,0,0xe">
          <v:path/>
          <v:fill on="t" focussize="0,0"/>
          <v:stroke on="f"/>
          <v:imagedata o:title=""/>
          <o:lock v:ext="edit"/>
          <w10:wrap type="none"/>
          <w10:anchorlock/>
        </v:shape>
      </w:pict>
    </w:r>
  </w:p>
</w:hdr>
</file>

<file path=word/header6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4FDFA">
    <w:pPr>
      <w:spacing w:before="19" w:line="226" w:lineRule="auto"/>
      <w:ind w:left="42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145DF25F">
    <w:pPr>
      <w:spacing w:before="15" w:line="19" w:lineRule="exact"/>
    </w:pPr>
    <w:r>
      <w:rPr>
        <w:position w:val="-1"/>
      </w:rPr>
      <w:pict>
        <v:shape id="_x0000_s2106" o:spid="_x0000_s2106" style="height:1.45pt;width:450.75pt;" fillcolor="#000000" filled="t" stroked="f" coordsize="9015,29" path="m0,0l9014,0,9014,28,0,28,0,0xe">
          <v:path/>
          <v:fill on="t" focussize="0,0"/>
          <v:stroke on="f"/>
          <v:imagedata o:title=""/>
          <o:lock v:ext="edit"/>
          <w10:wrap type="none"/>
          <w10:anchorlock/>
        </v:shape>
      </w:pict>
    </w:r>
  </w:p>
</w:hdr>
</file>

<file path=word/header6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89CE60">
    <w:pPr>
      <w:spacing w:before="19" w:line="226" w:lineRule="auto"/>
      <w:ind w:left="6416"/>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0E7BB595">
    <w:pPr>
      <w:spacing w:before="15" w:line="19" w:lineRule="exact"/>
      <w:ind w:firstLine="5"/>
    </w:pPr>
    <w:r>
      <w:rPr>
        <w:position w:val="-1"/>
      </w:rPr>
      <w:pict>
        <v:shape id="_x0000_s2107" o:spid="_x0000_s2107" style="height:1.45pt;width:1049pt;" fillcolor="#000000" filled="t" stroked="f" coordsize="20980,29" path="m0,0l20980,0,20980,28,0,28,0,0xe">
          <v:path/>
          <v:fill on="t" focussize="0,0"/>
          <v:stroke on="f"/>
          <v:imagedata o:title=""/>
          <o:lock v:ext="edit"/>
          <w10:wrap type="none"/>
          <w10:anchorlock/>
        </v:shape>
      </w:pict>
    </w:r>
  </w:p>
</w:hdr>
</file>

<file path=word/header6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1A24D">
    <w:pPr>
      <w:spacing w:before="19" w:line="226" w:lineRule="auto"/>
      <w:ind w:left="2999"/>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2899EB74">
    <w:pPr>
      <w:spacing w:before="15" w:line="19" w:lineRule="exact"/>
      <w:ind w:firstLine="104"/>
    </w:pPr>
    <w:r>
      <w:rPr>
        <w:position w:val="-1"/>
      </w:rPr>
      <w:pict>
        <v:shape id="_x0000_s2108" o:spid="_x0000_s2108" style="height:1.45pt;width:697.35pt;" fillcolor="#000000" filled="t" stroked="f" coordsize="13946,29" path="m0,0l13946,0,13946,28,0,28,0,0xe">
          <v:path/>
          <v:fill on="t" focussize="0,0"/>
          <v:stroke on="f"/>
          <v:imagedata o:title=""/>
          <o:lock v:ext="edit"/>
          <w10:wrap type="none"/>
          <w10:anchorlock/>
        </v:shape>
      </w:pict>
    </w:r>
  </w:p>
</w:hdr>
</file>

<file path=word/header6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103296">
    <w:pPr>
      <w:spacing w:before="19" w:line="226" w:lineRule="auto"/>
      <w:ind w:left="3003"/>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6D6BA206">
    <w:pPr>
      <w:spacing w:before="15" w:line="19" w:lineRule="exact"/>
      <w:ind w:firstLine="108"/>
    </w:pPr>
    <w:r>
      <w:rPr>
        <w:position w:val="-1"/>
      </w:rPr>
      <w:pict>
        <v:shape id="_x0000_s2109" o:spid="_x0000_s2109" style="height:1.45pt;width:697.35pt;" fillcolor="#000000" filled="t" stroked="f" coordsize="13946,29" path="m0,0l13946,0,13946,28,0,28,0,0xe">
          <v:path/>
          <v:fill on="t" focussize="0,0"/>
          <v:stroke on="f"/>
          <v:imagedata o:title=""/>
          <o:lock v:ext="edit"/>
          <w10:wrap type="none"/>
          <w10:anchorlock/>
        </v:shape>
      </w:pict>
    </w:r>
  </w:p>
</w:hdr>
</file>

<file path=word/header6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8C7BB">
    <w:pPr>
      <w:spacing w:before="19" w:line="226" w:lineRule="auto"/>
      <w:ind w:left="37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18BEE569">
    <w:pPr>
      <w:spacing w:before="15" w:line="19" w:lineRule="exact"/>
    </w:pPr>
    <w:r>
      <w:rPr>
        <w:position w:val="-1"/>
      </w:rPr>
      <w:pict>
        <v:shape id="_x0000_s2110" o:spid="_x0000_s2110" style="height:1.45pt;width:450.75pt;" fillcolor="#000000" filled="t" stroked="f" coordsize="9015,29" path="m0,0l9014,0,9014,28,0,28,0,0xe">
          <v:path/>
          <v:fill on="t" focussize="0,0"/>
          <v:stroke on="f"/>
          <v:imagedata o:title=""/>
          <o:lock v:ext="edit"/>
          <w10:wrap type="none"/>
          <w10:anchorlock/>
        </v:shape>
      </w:pict>
    </w:r>
  </w:p>
</w:hdr>
</file>

<file path=word/header6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1E5071">
    <w:pPr>
      <w:spacing w:before="19" w:line="226" w:lineRule="auto"/>
      <w:ind w:left="485"/>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1071616E">
    <w:pPr>
      <w:spacing w:before="15" w:line="19" w:lineRule="exact"/>
      <w:ind w:firstLine="107"/>
    </w:pPr>
    <w:r>
      <w:rPr>
        <w:position w:val="-1"/>
      </w:rPr>
      <w:pict>
        <v:shape id="_x0000_s2111" o:spid="_x0000_s2111" style="height:1.45pt;width:450.75pt;" fillcolor="#000000" filled="t" stroked="f" coordsize="9015,29" path="m0,0l9014,0,9014,28,0,28,0,0xe">
          <v:path/>
          <v:fill on="t" focussize="0,0"/>
          <v:stroke on="f"/>
          <v:imagedata o:title=""/>
          <o:lock v:ext="edit"/>
          <w10:wrap type="none"/>
          <w10:anchorlock/>
        </v:shape>
      </w:pict>
    </w:r>
  </w:p>
</w:hdr>
</file>

<file path=word/header6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8E5FF0">
    <w:pPr>
      <w:spacing w:before="19" w:line="226" w:lineRule="auto"/>
      <w:ind w:left="37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7B2166BC">
    <w:pPr>
      <w:spacing w:before="15" w:line="19" w:lineRule="exact"/>
    </w:pPr>
    <w:r>
      <w:rPr>
        <w:position w:val="-1"/>
      </w:rPr>
      <w:pict>
        <v:shape id="_x0000_s2112" o:spid="_x0000_s2112" style="height:1.45pt;width:450.75pt;" fillcolor="#000000" filled="t" stroked="f" coordsize="9015,29" path="m0,0l9014,0,9014,28,0,28,0,0xe">
          <v:path/>
          <v:fill on="t" focussize="0,0"/>
          <v:stroke on="f"/>
          <v:imagedata o:title=""/>
          <o:lock v:ext="edit"/>
          <w10:wrap type="none"/>
          <w10:anchorlock/>
        </v:shape>
      </w:pict>
    </w:r>
  </w:p>
</w:hdr>
</file>

<file path=word/header6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EA93D7">
    <w:pPr>
      <w:spacing w:before="19" w:line="226" w:lineRule="auto"/>
      <w:ind w:left="37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15C1F655">
    <w:pPr>
      <w:spacing w:before="15" w:line="19" w:lineRule="exact"/>
    </w:pPr>
    <w:r>
      <w:rPr>
        <w:position w:val="-1"/>
      </w:rPr>
      <w:pict>
        <v:shape id="_x0000_s2113" o:spid="_x0000_s2113" style="height:1.45pt;width:450.75pt;" fillcolor="#000000" filled="t" stroked="f" coordsize="9015,29" path="m0,0l9014,0,9014,28,0,28,0,0xe">
          <v:path/>
          <v:fill on="t" focussize="0,0"/>
          <v:stroke on="f"/>
          <v:imagedata o:title=""/>
          <o:lock v:ext="edit"/>
          <w10:wrap type="none"/>
          <w10:anchorlock/>
        </v:shape>
      </w:pict>
    </w:r>
  </w:p>
</w:hdr>
</file>

<file path=word/header6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82D6B4">
    <w:pPr>
      <w:spacing w:before="19" w:line="226" w:lineRule="auto"/>
      <w:ind w:left="37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53C2886D">
    <w:pPr>
      <w:spacing w:before="15" w:line="19" w:lineRule="exact"/>
    </w:pPr>
    <w:r>
      <w:rPr>
        <w:position w:val="-1"/>
      </w:rPr>
      <w:pict>
        <v:shape id="_x0000_s2114" o:spid="_x0000_s2114" style="height:1.45pt;width:450.75pt;" fillcolor="#000000" filled="t" stroked="f" coordsize="9015,29" path="m0,0l9014,0,9014,28,0,28,0,0xe">
          <v:path/>
          <v:fill on="t" focussize="0,0"/>
          <v:stroke on="f"/>
          <v:imagedata o:title=""/>
          <o:lock v:ext="edit"/>
          <w10:wrap type="none"/>
          <w10:anchorlock/>
        </v:shape>
      </w:pict>
    </w:r>
  </w:p>
</w:hdr>
</file>

<file path=word/header6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E2A63">
    <w:pPr>
      <w:spacing w:before="19" w:line="226" w:lineRule="auto"/>
      <w:ind w:left="486"/>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790CBDB0">
    <w:pPr>
      <w:spacing w:before="15" w:line="19" w:lineRule="exact"/>
      <w:ind w:firstLine="108"/>
    </w:pPr>
    <w:r>
      <w:rPr>
        <w:position w:val="-1"/>
      </w:rPr>
      <w:pict>
        <v:shape id="_x0000_s2115" o:spid="_x0000_s2115" style="height:1.45pt;width:450.75pt;" fillcolor="#000000" filled="t" stroked="f" coordsize="9015,29" path="m0,0l9014,0,9014,28,0,28,0,0xe">
          <v:path/>
          <v:fill on="t" focussize="0,0"/>
          <v:stroke on="f"/>
          <v:imagedata o:title=""/>
          <o:lock v:ext="edit"/>
          <w10:wrap type="none"/>
          <w10:anchorlock/>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4A5B1">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5C3DCFF1">
    <w:pPr>
      <w:spacing w:before="15" w:line="19" w:lineRule="exact"/>
    </w:pPr>
    <w:r>
      <w:rPr>
        <w:position w:val="-1"/>
      </w:rPr>
      <w:pict>
        <v:shape id="_x0000_s2054" o:spid="_x0000_s2054" style="height:1.45pt;width:453.65pt;" fillcolor="#000000" filled="t" stroked="f" coordsize="9072,29" path="m0,0l9072,0,9072,28,0,28,0,0xe">
          <v:path/>
          <v:fill on="t" focussize="0,0"/>
          <v:stroke on="f"/>
          <v:imagedata o:title=""/>
          <o:lock v:ext="edit"/>
          <w10:wrap type="none"/>
          <w10:anchorlock/>
        </v:shape>
      </w:pict>
    </w:r>
  </w:p>
</w:hdr>
</file>

<file path=word/header7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2C480">
    <w:pPr>
      <w:spacing w:before="19" w:line="226" w:lineRule="auto"/>
      <w:ind w:left="483"/>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5B7DE756">
    <w:pPr>
      <w:spacing w:before="15" w:line="19" w:lineRule="exact"/>
      <w:ind w:firstLine="105"/>
    </w:pPr>
    <w:r>
      <w:rPr>
        <w:position w:val="-1"/>
      </w:rPr>
      <w:pict>
        <v:shape id="_x0000_s2116" o:spid="_x0000_s2116" style="height:1.45pt;width:450.75pt;" fillcolor="#000000" filled="t" stroked="f" coordsize="9015,29" path="m0,0l9014,0,9014,28,0,28,0,0xe">
          <v:path/>
          <v:fill on="t" focussize="0,0"/>
          <v:stroke on="f"/>
          <v:imagedata o:title=""/>
          <o:lock v:ext="edit"/>
          <w10:wrap type="none"/>
          <w10:anchorlock/>
        </v:shape>
      </w:pict>
    </w:r>
  </w:p>
</w:hdr>
</file>

<file path=word/header7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0B4C5">
    <w:pPr>
      <w:spacing w:before="19" w:line="226" w:lineRule="auto"/>
      <w:ind w:left="486"/>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2897253E">
    <w:pPr>
      <w:spacing w:before="15" w:line="19" w:lineRule="exact"/>
      <w:ind w:firstLine="108"/>
    </w:pPr>
    <w:r>
      <w:rPr>
        <w:position w:val="-1"/>
      </w:rPr>
      <w:pict>
        <v:shape id="_x0000_s2117" o:spid="_x0000_s2117" style="height:1.45pt;width:450.75pt;" fillcolor="#000000" filled="t" stroked="f" coordsize="9015,29" path="m0,0l9014,0,9014,28,0,28,0,0xe">
          <v:path/>
          <v:fill on="t" focussize="0,0"/>
          <v:stroke on="f"/>
          <v:imagedata o:title=""/>
          <o:lock v:ext="edit"/>
          <w10:wrap type="none"/>
          <w10:anchorlock/>
        </v:shape>
      </w:pict>
    </w:r>
  </w:p>
</w:hdr>
</file>

<file path=word/header7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BDD98">
    <w:pPr>
      <w:spacing w:before="19" w:line="226" w:lineRule="auto"/>
      <w:ind w:left="37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1187E9FE">
    <w:pPr>
      <w:spacing w:before="15" w:line="19" w:lineRule="exact"/>
    </w:pPr>
    <w:r>
      <w:rPr>
        <w:position w:val="-1"/>
      </w:rPr>
      <w:pict>
        <v:shape id="_x0000_s2118" o:spid="_x0000_s2118" style="height:1.45pt;width:450.75pt;" fillcolor="#000000" filled="t" stroked="f" coordsize="9015,29" path="m0,0l9014,0,9014,28,0,28,0,0xe">
          <v:path/>
          <v:fill on="t" focussize="0,0"/>
          <v:stroke on="f"/>
          <v:imagedata o:title=""/>
          <o:lock v:ext="edit"/>
          <w10:wrap type="none"/>
          <w10:anchorlock/>
        </v:shape>
      </w:pict>
    </w:r>
  </w:p>
</w:hdr>
</file>

<file path=word/header7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45C9FB">
    <w:pPr>
      <w:spacing w:before="19" w:line="226" w:lineRule="auto"/>
      <w:ind w:left="37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6765BB00">
    <w:pPr>
      <w:spacing w:before="15" w:line="19" w:lineRule="exact"/>
    </w:pPr>
    <w:r>
      <w:rPr>
        <w:position w:val="-1"/>
      </w:rPr>
      <w:pict>
        <v:shape id="_x0000_s2119" o:spid="_x0000_s2119" style="height:1.45pt;width:450.75pt;" fillcolor="#000000" filled="t" stroked="f" coordsize="9015,29" path="m0,0l9014,0,9014,28,0,28,0,0xe">
          <v:path/>
          <v:fill on="t" focussize="0,0"/>
          <v:stroke on="f"/>
          <v:imagedata o:title=""/>
          <o:lock v:ext="edit"/>
          <w10:wrap type="none"/>
          <w10:anchorlock/>
        </v:shape>
      </w:pict>
    </w:r>
  </w:p>
</w:hdr>
</file>

<file path=word/header7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D4870D">
    <w:pPr>
      <w:spacing w:before="19" w:line="226" w:lineRule="auto"/>
      <w:ind w:left="6656"/>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直流锰硅</w:t>
    </w:r>
    <w:r>
      <w:rPr>
        <w:rFonts w:ascii="宋体" w:hAnsi="宋体" w:eastAsia="宋体" w:cs="宋体"/>
        <w:b/>
        <w:bCs/>
        <w:spacing w:val="7"/>
        <w:sz w:val="20"/>
        <w:szCs w:val="20"/>
      </w:rPr>
      <w:t>合金全密闭电炉项目环境影响报告书</w:t>
    </w:r>
  </w:p>
  <w:p w14:paraId="7CD7E193">
    <w:pPr>
      <w:spacing w:before="16" w:line="19" w:lineRule="exact"/>
      <w:ind w:firstLine="15"/>
    </w:pPr>
    <w:r>
      <w:rPr>
        <w:position w:val="-1"/>
      </w:rPr>
      <w:pict>
        <v:shape id="_x0000_s2120" o:spid="_x0000_s2120" style="height:1.45pt;width:1077.35pt;" fillcolor="#000000" filled="t" stroked="f" coordsize="21546,29" path="m0,0l21546,0,21546,28,0,28,0,0xe">
          <v:path/>
          <v:fill on="t" focussize="0,0"/>
          <v:stroke on="f"/>
          <v:imagedata o:title=""/>
          <o:lock v:ext="edit"/>
          <w10:wrap type="none"/>
          <w10:anchorlock/>
        </v:shape>
      </w:pict>
    </w:r>
  </w:p>
</w:hdr>
</file>

<file path=word/header7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4F74E8">
    <w:pPr>
      <w:pStyle w:val="2"/>
      <w:spacing w:line="14" w:lineRule="auto"/>
      <w:rPr>
        <w:sz w:val="2"/>
      </w:rPr>
    </w:pPr>
  </w:p>
</w:hdr>
</file>

<file path=word/header7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BC32A4">
    <w:pPr>
      <w:spacing w:before="19" w:line="226" w:lineRule="auto"/>
      <w:ind w:left="37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33F1F042">
    <w:pPr>
      <w:spacing w:before="15" w:line="19" w:lineRule="exact"/>
    </w:pPr>
    <w:r>
      <w:rPr>
        <w:position w:val="-1"/>
      </w:rPr>
      <w:pict>
        <v:shape id="_x0000_s2121" o:spid="_x0000_s2121" style="height:1.45pt;width:450.75pt;" fillcolor="#000000" filled="t" stroked="f" coordsize="9015,29" path="m0,0l9014,0,9014,28,0,28,0,0xe">
          <v:path/>
          <v:fill on="t" focussize="0,0"/>
          <v:stroke on="f"/>
          <v:imagedata o:title=""/>
          <o:lock v:ext="edit"/>
          <w10:wrap type="none"/>
          <w10:anchorlock/>
        </v:shape>
      </w:pict>
    </w:r>
  </w:p>
</w:hdr>
</file>

<file path=word/header7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487544">
    <w:pPr>
      <w:spacing w:before="19" w:line="226" w:lineRule="auto"/>
      <w:ind w:left="378"/>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7AB24F0D">
    <w:pPr>
      <w:spacing w:before="15" w:line="19" w:lineRule="exact"/>
    </w:pPr>
    <w:r>
      <w:rPr>
        <w:position w:val="-1"/>
      </w:rPr>
      <w:pict>
        <v:shape id="_x0000_s2122" o:spid="_x0000_s2122" style="height:1.45pt;width:450.75pt;" fillcolor="#000000" filled="t" stroked="f" coordsize="9015,29" path="m0,0l9014,0,9014,28,0,28,0,0xe">
          <v:path/>
          <v:fill on="t" focussize="0,0"/>
          <v:stroke on="f"/>
          <v:imagedata o:title=""/>
          <o:lock v:ext="edit"/>
          <w10:wrap type="none"/>
          <w10:anchorlock/>
        </v:shape>
      </w:pict>
    </w:r>
  </w:p>
</w:hdr>
</file>

<file path=word/header7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EB1E68">
    <w:pPr>
      <w:spacing w:before="19" w:line="226" w:lineRule="auto"/>
      <w:ind w:left="393"/>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2404BCF5">
    <w:pPr>
      <w:spacing w:before="15" w:line="19" w:lineRule="exact"/>
      <w:ind w:firstLine="15"/>
    </w:pPr>
    <w:r>
      <w:rPr>
        <w:position w:val="-1"/>
      </w:rPr>
      <w:pict>
        <v:shape id="_x0000_s2123" o:spid="_x0000_s2123" style="height:1.45pt;width:450.75pt;" fillcolor="#000000" filled="t" stroked="f" coordsize="9015,29" path="m0,0l9014,0,9014,28,0,28,0,0xe">
          <v:path/>
          <v:fill on="t" focussize="0,0"/>
          <v:stroke on="f"/>
          <v:imagedata o:title=""/>
          <o:lock v:ext="edit"/>
          <w10:wrap type="none"/>
          <w10:anchorlock/>
        </v:shape>
      </w:pict>
    </w:r>
  </w:p>
</w:hdr>
</file>

<file path=word/header7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5463F">
    <w:pPr>
      <w:spacing w:before="19" w:line="226" w:lineRule="auto"/>
      <w:ind w:left="2879"/>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p w14:paraId="0341210B">
    <w:pPr>
      <w:spacing w:before="15" w:line="19" w:lineRule="exact"/>
      <w:ind w:firstLine="8"/>
    </w:pPr>
    <w:r>
      <w:rPr>
        <w:position w:val="-1"/>
      </w:rPr>
      <w:pict>
        <v:shape id="_x0000_s2124" o:spid="_x0000_s2124" style="height:1.45pt;width:700.25pt;" fillcolor="#000000" filled="t" stroked="f" coordsize="14005,29" path="m0,0l14004,0,14004,28,0,28,0,0xe">
          <v:path/>
          <v:fill on="t" focussize="0,0"/>
          <v:stroke on="f"/>
          <v:imagedata o:title=""/>
          <o:lock v:ext="edit"/>
          <w10:wrap type="none"/>
          <w10:anchorlock/>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D9C601">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0663E5D6">
    <w:pPr>
      <w:spacing w:before="15" w:line="19" w:lineRule="exact"/>
    </w:pPr>
    <w:r>
      <w:rPr>
        <w:position w:val="-1"/>
      </w:rPr>
      <w:pict>
        <v:shape id="_x0000_s2055" o:spid="_x0000_s2055" style="height:1.45pt;width:453.65pt;" fillcolor="#000000" filled="t" stroked="f" coordsize="9072,29" path="m0,0l9072,0,9072,28,0,28,0,0xe">
          <v:path/>
          <v:fill on="t" focussize="0,0"/>
          <v:stroke on="f"/>
          <v:imagedata o:title=""/>
          <o:lock v:ext="edit"/>
          <w10:wrap type="none"/>
          <w10:anchorlock/>
        </v:shape>
      </w:pict>
    </w:r>
  </w:p>
</w:hdr>
</file>

<file path=word/header8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08695E">
    <w:pPr>
      <w:spacing w:before="19" w:line="226" w:lineRule="auto"/>
      <w:ind w:left="393"/>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3C2C419E">
    <w:pPr>
      <w:spacing w:before="16" w:line="19" w:lineRule="exact"/>
      <w:ind w:firstLine="15"/>
    </w:pPr>
    <w:r>
      <w:rPr>
        <w:position w:val="-1"/>
      </w:rPr>
      <w:pict>
        <v:shape id="_x0000_s2125" o:spid="_x0000_s2125" style="height:1.45pt;width:450.75pt;" fillcolor="#000000" filled="t" stroked="f" coordsize="9015,29" path="m0,0l9014,0,9014,28,0,28,0,0xe">
          <v:path/>
          <v:fill on="t" focussize="0,0"/>
          <v:stroke on="f"/>
          <v:imagedata o:title=""/>
          <o:lock v:ext="edit"/>
          <w10:wrap type="none"/>
          <w10:anchorlock/>
        </v:shape>
      </w:pict>
    </w:r>
  </w:p>
</w:hdr>
</file>

<file path=word/header8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102C75">
    <w:pPr>
      <w:spacing w:before="19" w:line="226" w:lineRule="auto"/>
      <w:ind w:left="6375"/>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561E33C6">
    <w:pPr>
      <w:spacing w:before="15" w:line="19" w:lineRule="exact"/>
      <w:ind w:firstLine="15"/>
    </w:pPr>
    <w:r>
      <w:rPr>
        <w:position w:val="-1"/>
      </w:rPr>
      <w:pict>
        <v:shape id="_x0000_s2126" o:spid="_x0000_s2126" style="height:1.45pt;width:1049pt;" fillcolor="#000000" filled="t" stroked="f" coordsize="20980,29" path="m0,0l20979,0,20979,28,0,28,0,0xe">
          <v:path/>
          <v:fill on="t" focussize="0,0"/>
          <v:stroke on="f"/>
          <v:imagedata o:title=""/>
          <o:lock v:ext="edit"/>
          <w10:wrap type="none"/>
          <w10:anchorlock/>
        </v:shape>
      </w:pict>
    </w:r>
  </w:p>
</w:hdr>
</file>

<file path=word/header8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43B84B">
    <w:pPr>
      <w:spacing w:before="19" w:line="226" w:lineRule="auto"/>
      <w:ind w:left="419"/>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694FDEA6">
    <w:pPr>
      <w:spacing w:before="16" w:line="19" w:lineRule="exact"/>
      <w:ind w:firstLine="13"/>
    </w:pPr>
    <w:r>
      <w:rPr>
        <w:position w:val="-1"/>
      </w:rPr>
      <w:pict>
        <v:shape id="_x0000_s2127" o:spid="_x0000_s2127" style="height:1.45pt;width:453.65pt;" fillcolor="#000000" filled="t" stroked="f" coordsize="9072,29" path="m0,0l9072,0,9072,28,0,28,0,0xe">
          <v:path/>
          <v:fill on="t" focussize="0,0"/>
          <v:stroke on="f"/>
          <v:imagedata o:title=""/>
          <o:lock v:ext="edit"/>
          <w10:wrap type="none"/>
          <w10:anchorlock/>
        </v:shape>
      </w:pict>
    </w:r>
  </w:p>
</w:hdr>
</file>

<file path=word/header8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D9D6B">
    <w:pPr>
      <w:spacing w:before="19" w:line="226" w:lineRule="auto"/>
      <w:ind w:left="406"/>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5779AAE8">
    <w:pPr>
      <w:spacing w:before="16" w:line="19" w:lineRule="exact"/>
    </w:pPr>
    <w:r>
      <w:rPr>
        <w:position w:val="-1"/>
      </w:rPr>
      <w:pict>
        <v:shape id="_x0000_s2128" o:spid="_x0000_s2128" style="height:1.45pt;width:453.65pt;" fillcolor="#000000" filled="t" stroked="f" coordsize="9072,29" path="m0,0l9072,0,9072,28,0,28,0,0xe">
          <v:path/>
          <v:fill on="t" focussize="0,0"/>
          <v:stroke on="f"/>
          <v:imagedata o:title=""/>
          <o:lock v:ext="edit"/>
          <w10:wrap type="none"/>
          <w10:anchorlock/>
        </v:shape>
      </w:pict>
    </w:r>
  </w:p>
</w:hdr>
</file>

<file path=word/header8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A86B09">
    <w:pPr>
      <w:spacing w:before="19" w:line="226" w:lineRule="auto"/>
      <w:ind w:left="509"/>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宋体" w:hAnsi="宋体" w:eastAsia="宋体" w:cs="宋体"/>
        <w:spacing w:val="-37"/>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7"/>
        <w:sz w:val="20"/>
        <w:szCs w:val="20"/>
      </w:rPr>
      <w:t xml:space="preserve"> </w:t>
    </w:r>
    <w:r>
      <w:rPr>
        <w:rFonts w:ascii="宋体" w:hAnsi="宋体" w:eastAsia="宋体" w:cs="宋体"/>
        <w:b/>
        <w:bCs/>
        <w:spacing w:val="7"/>
        <w:sz w:val="20"/>
        <w:szCs w:val="20"/>
      </w:rPr>
      <w:t>直流锰硅合金全密闭电炉项目环境影响报告书</w:t>
    </w:r>
  </w:p>
  <w:p w14:paraId="7844E9E9">
    <w:pPr>
      <w:spacing w:before="16" w:line="19" w:lineRule="exact"/>
      <w:ind w:firstLine="103"/>
    </w:pPr>
    <w:r>
      <w:rPr>
        <w:position w:val="-1"/>
      </w:rPr>
      <w:pict>
        <v:shape id="_x0000_s2129" o:spid="_x0000_s2129" style="height:1.45pt;width:453.65pt;" fillcolor="#000000" filled="t" stroked="f" coordsize="9072,29" path="m0,0l9072,0,9072,28,0,28,0,0xe">
          <v:path/>
          <v:fill on="t" focussize="0,0"/>
          <v:stroke on="f"/>
          <v:imagedata o:title=""/>
          <o:lock v:ext="edit"/>
          <w10:wrap type="none"/>
          <w10:anchorlock/>
        </v:shape>
      </w:pict>
    </w:r>
  </w:p>
</w:hdr>
</file>

<file path=word/header8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B4B63">
    <w:pPr>
      <w:spacing w:before="19" w:line="226" w:lineRule="auto"/>
      <w:ind w:left="2871"/>
      <w:rPr>
        <w:rFonts w:ascii="宋体" w:hAnsi="宋体" w:eastAsia="宋体" w:cs="宋体"/>
        <w:sz w:val="20"/>
        <w:szCs w:val="20"/>
      </w:rPr>
    </w:pPr>
    <w:r>
      <w:pict>
        <v:shape id="_x0000_s2130" o:spid="_x0000_s2130" style="position:absolute;left:0pt;margin-left:70.85pt;margin-top:58.1pt;height:0.75pt;width:700.25pt;mso-position-horizontal-relative:page;mso-position-vertical-relative:page;z-index:251718656;mso-width-relative:page;mso-height-relative:page;" fillcolor="#000000" filled="t" stroked="f" coordsize="14005,15" o:allowincell="f" path="m0,0l14005,0,14005,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直流锰硅</w:t>
    </w:r>
    <w:r>
      <w:rPr>
        <w:rFonts w:ascii="宋体" w:hAnsi="宋体" w:eastAsia="宋体" w:cs="宋体"/>
        <w:b/>
        <w:bCs/>
        <w:spacing w:val="7"/>
        <w:sz w:val="20"/>
        <w:szCs w:val="20"/>
      </w:rPr>
      <w:t>合金全密闭电炉项目环境影响报告书</w:t>
    </w:r>
  </w:p>
</w:hdr>
</file>

<file path=word/header8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AAB46">
    <w:pPr>
      <w:spacing w:before="19" w:line="226" w:lineRule="auto"/>
      <w:ind w:left="407"/>
      <w:rPr>
        <w:rFonts w:ascii="宋体" w:hAnsi="宋体" w:eastAsia="宋体" w:cs="宋体"/>
        <w:sz w:val="20"/>
        <w:szCs w:val="20"/>
      </w:rPr>
    </w:pPr>
    <w:r>
      <w:pict>
        <v:shape id="_x0000_s2131" o:spid="_x0000_s2131" style="position:absolute;left:0pt;margin-left:70.85pt;margin-top:58.1pt;height:0.75pt;width:453.65pt;mso-position-horizontal-relative:page;mso-position-vertical-relative:page;z-index:25172377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8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032F0">
    <w:pPr>
      <w:spacing w:before="19" w:line="226" w:lineRule="auto"/>
      <w:ind w:left="404"/>
      <w:rPr>
        <w:rFonts w:ascii="宋体" w:hAnsi="宋体" w:eastAsia="宋体" w:cs="宋体"/>
        <w:sz w:val="20"/>
        <w:szCs w:val="20"/>
      </w:rPr>
    </w:pPr>
    <w:r>
      <w:pict>
        <v:shape id="_x0000_s2132" o:spid="_x0000_s2132" style="position:absolute;left:0pt;margin-left:70.85pt;margin-top:58.1pt;height:0.75pt;width:453.65pt;mso-position-horizontal-relative:page;mso-position-vertical-relative:page;z-index:2517248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8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0C9096">
    <w:pPr>
      <w:spacing w:before="19" w:line="226" w:lineRule="auto"/>
      <w:ind w:left="404"/>
      <w:rPr>
        <w:rFonts w:ascii="宋体" w:hAnsi="宋体" w:eastAsia="宋体" w:cs="宋体"/>
        <w:sz w:val="20"/>
        <w:szCs w:val="20"/>
      </w:rPr>
    </w:pPr>
    <w:r>
      <w:pict>
        <v:shape id="_x0000_s2133" o:spid="_x0000_s2133" style="position:absolute;left:0pt;margin-left:70.85pt;margin-top:58.1pt;height:0.75pt;width:453.65pt;mso-position-horizontal-relative:page;mso-position-vertical-relative:page;z-index:251725824;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8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966B7A">
    <w:pPr>
      <w:spacing w:before="19" w:line="226" w:lineRule="auto"/>
      <w:ind w:left="404"/>
      <w:rPr>
        <w:rFonts w:ascii="宋体" w:hAnsi="宋体" w:eastAsia="宋体" w:cs="宋体"/>
        <w:sz w:val="20"/>
        <w:szCs w:val="20"/>
      </w:rPr>
    </w:pPr>
    <w:r>
      <w:pict>
        <v:shape id="_x0000_s2134" o:spid="_x0000_s2134" style="position:absolute;left:0pt;margin-left:70.85pt;margin-top:58.1pt;height:0.75pt;width:453.65pt;mso-position-horizontal-relative:page;mso-position-vertical-relative:page;z-index:2517268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8ECF2">
    <w:pPr>
      <w:spacing w:before="19" w:line="226" w:lineRule="auto"/>
      <w:ind w:left="457"/>
      <w:rPr>
        <w:rFonts w:ascii="宋体" w:hAnsi="宋体" w:eastAsia="宋体" w:cs="宋体"/>
        <w:sz w:val="20"/>
        <w:szCs w:val="20"/>
      </w:rPr>
    </w:pPr>
    <w:r>
      <w:rPr>
        <w:rFonts w:ascii="宋体" w:hAnsi="宋体" w:eastAsia="宋体" w:cs="宋体"/>
        <w:b/>
        <w:bCs/>
        <w:spacing w:val="8"/>
        <w:sz w:val="20"/>
        <w:szCs w:val="20"/>
      </w:rPr>
      <w:t>内蒙古新创发展科技有限公司一期</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宋体" w:hAnsi="宋体" w:eastAsia="宋体" w:cs="宋体"/>
        <w:b/>
        <w:bCs/>
        <w:spacing w:val="8"/>
        <w:sz w:val="20"/>
        <w:szCs w:val="20"/>
      </w:rPr>
      <w:t>直流锰硅合金全密闭电炉项目环境影响</w:t>
    </w:r>
    <w:r>
      <w:rPr>
        <w:rFonts w:ascii="宋体" w:hAnsi="宋体" w:eastAsia="宋体" w:cs="宋体"/>
        <w:b/>
        <w:bCs/>
        <w:spacing w:val="7"/>
        <w:sz w:val="20"/>
        <w:szCs w:val="20"/>
      </w:rPr>
      <w:t>报告书</w:t>
    </w:r>
  </w:p>
  <w:p w14:paraId="1A096394">
    <w:pPr>
      <w:spacing w:before="15" w:line="19" w:lineRule="exact"/>
    </w:pPr>
    <w:r>
      <w:rPr>
        <w:position w:val="-1"/>
      </w:rPr>
      <w:pict>
        <v:shape id="_x0000_s2056" o:spid="_x0000_s2056" style="height:1.45pt;width:453.65pt;" fillcolor="#000000" filled="t" stroked="f" coordsize="9072,29" path="m0,0l9072,0,9072,28,0,28,0,0xe">
          <v:path/>
          <v:fill on="t" focussize="0,0"/>
          <v:stroke on="f"/>
          <v:imagedata o:title=""/>
          <o:lock v:ext="edit"/>
          <w10:wrap type="none"/>
          <w10:anchorlock/>
        </v:shape>
      </w:pict>
    </w:r>
  </w:p>
</w:hdr>
</file>

<file path=word/header9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043FB3">
    <w:pPr>
      <w:spacing w:before="19" w:line="226" w:lineRule="auto"/>
      <w:ind w:left="404"/>
      <w:rPr>
        <w:rFonts w:ascii="宋体" w:hAnsi="宋体" w:eastAsia="宋体" w:cs="宋体"/>
        <w:sz w:val="20"/>
        <w:szCs w:val="20"/>
      </w:rPr>
    </w:pPr>
    <w:r>
      <w:pict>
        <v:shape id="_x0000_s2135" o:spid="_x0000_s2135" style="position:absolute;left:0pt;margin-left:70.85pt;margin-top:58.1pt;height:0.75pt;width:453.65pt;mso-position-horizontal-relative:page;mso-position-vertical-relative:page;z-index:2517278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9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7AFA1B">
    <w:pPr>
      <w:spacing w:before="19" w:line="226" w:lineRule="auto"/>
      <w:ind w:left="404"/>
      <w:rPr>
        <w:rFonts w:ascii="宋体" w:hAnsi="宋体" w:eastAsia="宋体" w:cs="宋体"/>
        <w:sz w:val="20"/>
        <w:szCs w:val="20"/>
      </w:rPr>
    </w:pPr>
    <w:r>
      <w:pict>
        <v:shape id="_x0000_s2136" o:spid="_x0000_s2136" style="position:absolute;left:0pt;margin-left:70.85pt;margin-top:58.1pt;height:0.75pt;width:453.65pt;mso-position-horizontal-relative:page;mso-position-vertical-relative:page;z-index:2517268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9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35243">
    <w:pPr>
      <w:spacing w:before="19" w:line="226" w:lineRule="auto"/>
      <w:ind w:left="404"/>
      <w:rPr>
        <w:rFonts w:ascii="宋体" w:hAnsi="宋体" w:eastAsia="宋体" w:cs="宋体"/>
        <w:sz w:val="20"/>
        <w:szCs w:val="20"/>
      </w:rPr>
    </w:pPr>
    <w:r>
      <w:pict>
        <v:shape id="_x0000_s2137" o:spid="_x0000_s2137" style="position:absolute;left:0pt;margin-left:70.85pt;margin-top:58.1pt;height:0.75pt;width:453.65pt;mso-position-horizontal-relative:page;mso-position-vertical-relative:page;z-index:251727872;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9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1AE1EE">
    <w:pPr>
      <w:spacing w:before="19" w:line="226" w:lineRule="auto"/>
      <w:ind w:left="404"/>
      <w:rPr>
        <w:rFonts w:ascii="宋体" w:hAnsi="宋体" w:eastAsia="宋体" w:cs="宋体"/>
        <w:sz w:val="20"/>
        <w:szCs w:val="20"/>
      </w:rPr>
    </w:pPr>
    <w:r>
      <w:pict>
        <v:shape id="_x0000_s2138" o:spid="_x0000_s2138" style="position:absolute;left:0pt;margin-left:70.85pt;margin-top:58.1pt;height:0.75pt;width:453.65pt;mso-position-horizontal-relative:page;mso-position-vertical-relative:page;z-index:251726848;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9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DC314">
    <w:pPr>
      <w:spacing w:before="19" w:line="226" w:lineRule="auto"/>
      <w:ind w:left="404"/>
      <w:rPr>
        <w:rFonts w:ascii="宋体" w:hAnsi="宋体" w:eastAsia="宋体" w:cs="宋体"/>
        <w:sz w:val="20"/>
        <w:szCs w:val="20"/>
      </w:rPr>
    </w:pPr>
    <w:r>
      <w:pict>
        <v:shape id="_x0000_s2139" o:spid="_x0000_s2139" style="position:absolute;left:0pt;margin-left:70.85pt;margin-top:58.1pt;height:0.75pt;width:453.65pt;mso-position-horizontal-relative:page;mso-position-vertical-relative:page;z-index:25172480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9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3561A9">
    <w:pPr>
      <w:spacing w:before="19" w:line="226" w:lineRule="auto"/>
      <w:ind w:left="512"/>
      <w:rPr>
        <w:rFonts w:ascii="宋体" w:hAnsi="宋体" w:eastAsia="宋体" w:cs="宋体"/>
        <w:sz w:val="20"/>
        <w:szCs w:val="20"/>
      </w:rPr>
    </w:pPr>
    <w:r>
      <w:pict>
        <v:shape id="_x0000_s2140" o:spid="_x0000_s2140" style="position:absolute;left:0pt;margin-left:70.85pt;margin-top:58.1pt;height:0.75pt;width:453.65pt;mso-position-horizontal-relative:page;mso-position-vertical-relative:page;z-index:251734016;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9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9304CC">
    <w:pPr>
      <w:spacing w:before="19" w:line="226" w:lineRule="auto"/>
      <w:ind w:left="405"/>
      <w:rPr>
        <w:rFonts w:ascii="宋体" w:hAnsi="宋体" w:eastAsia="宋体" w:cs="宋体"/>
        <w:sz w:val="20"/>
        <w:szCs w:val="20"/>
      </w:rPr>
    </w:pPr>
    <w:r>
      <w:pict>
        <v:shape id="_x0000_s2141" o:spid="_x0000_s2141" style="position:absolute;left:0pt;margin-left:70.85pt;margin-top:58.1pt;height:0.75pt;width:453.65pt;mso-position-horizontal-relative:page;mso-position-vertical-relative:page;z-index:251735040;mso-width-relative:page;mso-height-relative:page;" fillcolor="#000000" filled="t" stroked="f" coordsize="9072,15" o:allowincell="f" path="m0,0l9072,0,9072,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9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E3BC2F">
    <w:pPr>
      <w:spacing w:before="19" w:line="226" w:lineRule="auto"/>
      <w:ind w:left="2979"/>
      <w:rPr>
        <w:rFonts w:ascii="宋体" w:hAnsi="宋体" w:eastAsia="宋体" w:cs="宋体"/>
        <w:sz w:val="20"/>
        <w:szCs w:val="20"/>
      </w:rPr>
    </w:pPr>
    <w:r>
      <w:pict>
        <v:shape id="_x0000_s2142" o:spid="_x0000_s2142" style="position:absolute;left:0pt;margin-left:70.85pt;margin-top:58.1pt;height:0.75pt;width:700.25pt;mso-position-horizontal-relative:page;mso-position-vertical-relative:page;z-index:251736064;mso-width-relative:page;mso-height-relative:page;" fillcolor="#000000" filled="t" stroked="f" coordsize="14005,15" o:allowincell="f" path="m0,0l14004,0,14004,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40"/>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9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6BD3E">
    <w:pPr>
      <w:spacing w:before="19" w:line="226" w:lineRule="auto"/>
      <w:ind w:left="511"/>
      <w:rPr>
        <w:rFonts w:ascii="宋体" w:hAnsi="宋体" w:eastAsia="宋体" w:cs="宋体"/>
        <w:sz w:val="20"/>
        <w:szCs w:val="20"/>
      </w:rPr>
    </w:pPr>
    <w:r>
      <w:pict>
        <v:shape id="_x0000_s2143" o:spid="_x0000_s2143" style="position:absolute;left:0pt;margin-left:70.9pt;margin-top:65.2pt;height:0.75pt;width:453.55pt;mso-position-horizontal-relative:page;mso-position-vertical-relative:page;z-index:251737088;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header9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50A0C1">
    <w:pPr>
      <w:spacing w:before="19" w:line="226" w:lineRule="auto"/>
      <w:ind w:left="403"/>
      <w:rPr>
        <w:rFonts w:ascii="宋体" w:hAnsi="宋体" w:eastAsia="宋体" w:cs="宋体"/>
        <w:sz w:val="20"/>
        <w:szCs w:val="20"/>
      </w:rPr>
    </w:pPr>
    <w:r>
      <w:pict>
        <v:shape id="_x0000_s2144" o:spid="_x0000_s2144" style="position:absolute;left:0pt;margin-left:70.9pt;margin-top:65.2pt;height:0.75pt;width:453.55pt;mso-position-horizontal-relative:page;mso-position-vertical-relative:page;z-index:251738112;mso-width-relative:page;mso-height-relative:page;" fillcolor="#000000" filled="t" stroked="f" coordsize="9070,15" o:allowincell="f" path="m0,0l9070,0,9070,14,0,14,0,0xe">
          <v:path/>
          <v:fill on="t" focussize="0,0"/>
          <v:stroke on="f"/>
          <v:imagedata o:title=""/>
          <o:lock v:ext="edit"/>
        </v:shape>
      </w:pict>
    </w:r>
    <w:r>
      <w:rPr>
        <w:rFonts w:ascii="宋体" w:hAnsi="宋体" w:eastAsia="宋体" w:cs="宋体"/>
        <w:b/>
        <w:bCs/>
        <w:spacing w:val="8"/>
        <w:sz w:val="20"/>
        <w:szCs w:val="20"/>
      </w:rPr>
      <w:t>内蒙古新创发展科技有限公司一期</w:t>
    </w:r>
    <w:r>
      <w:rPr>
        <w:rFonts w:ascii="宋体" w:hAnsi="宋体" w:eastAsia="宋体" w:cs="宋体"/>
        <w:spacing w:val="-38"/>
        <w:sz w:val="20"/>
        <w:szCs w:val="20"/>
      </w:rPr>
      <w:t xml:space="preserve"> </w:t>
    </w:r>
    <w:r>
      <w:rPr>
        <w:rFonts w:ascii="Times New Roman" w:hAnsi="Times New Roman" w:eastAsia="Times New Roman" w:cs="Times New Roman"/>
        <w:b/>
        <w:bCs/>
        <w:spacing w:val="8"/>
        <w:sz w:val="20"/>
        <w:szCs w:val="20"/>
      </w:rPr>
      <w:t>6×36</w:t>
    </w:r>
    <w:r>
      <w:rPr>
        <w:rFonts w:ascii="Times New Roman" w:hAnsi="Times New Roman" w:eastAsia="Times New Roman" w:cs="Times New Roman"/>
        <w:b/>
        <w:bCs/>
        <w:sz w:val="20"/>
        <w:szCs w:val="20"/>
      </w:rPr>
      <w:t>MW</w:t>
    </w:r>
    <w:r>
      <w:rPr>
        <w:rFonts w:ascii="Times New Roman" w:hAnsi="Times New Roman" w:eastAsia="Times New Roman" w:cs="Times New Roman"/>
        <w:b/>
        <w:bCs/>
        <w:spacing w:val="8"/>
        <w:sz w:val="20"/>
        <w:szCs w:val="20"/>
      </w:rPr>
      <w:t xml:space="preserve"> </w:t>
    </w:r>
    <w:r>
      <w:rPr>
        <w:rFonts w:ascii="宋体" w:hAnsi="宋体" w:eastAsia="宋体" w:cs="宋体"/>
        <w:b/>
        <w:bCs/>
        <w:spacing w:val="8"/>
        <w:sz w:val="20"/>
        <w:szCs w:val="20"/>
      </w:rPr>
      <w:t>直流</w:t>
    </w:r>
    <w:r>
      <w:rPr>
        <w:rFonts w:ascii="宋体" w:hAnsi="宋体" w:eastAsia="宋体" w:cs="宋体"/>
        <w:b/>
        <w:bCs/>
        <w:spacing w:val="7"/>
        <w:sz w:val="20"/>
        <w:szCs w:val="20"/>
      </w:rPr>
      <w:t>锰硅合金全密闭电炉项目环境影响报告书</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documentProtection w:enforcement="0"/>
  <w:characterSpacingControl w:val="doNotCompress"/>
  <w:hdrShapeDefaults>
    <o:shapelayout v:ext="edit">
      <o:idmap v:ext="edit" data="2"/>
    </o:shapelayout>
  </w:hdrShapeDefault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55943D7"/>
    <w:rsid w:val="08830107"/>
    <w:rsid w:val="09534F5C"/>
    <w:rsid w:val="0BF4040B"/>
    <w:rsid w:val="0E183F30"/>
    <w:rsid w:val="154410F5"/>
    <w:rsid w:val="180A5CD1"/>
    <w:rsid w:val="19E455D9"/>
    <w:rsid w:val="1F807DBA"/>
    <w:rsid w:val="211C305E"/>
    <w:rsid w:val="21D6028F"/>
    <w:rsid w:val="260B773D"/>
    <w:rsid w:val="2BDA4180"/>
    <w:rsid w:val="2F886979"/>
    <w:rsid w:val="382C4EC2"/>
    <w:rsid w:val="5D17501F"/>
    <w:rsid w:val="5EAC5CC5"/>
    <w:rsid w:val="60F362A6"/>
    <w:rsid w:val="722B2DE0"/>
    <w:rsid w:val="75E47B55"/>
    <w:rsid w:val="78304CBF"/>
    <w:rsid w:val="79A3351B"/>
    <w:rsid w:val="7A29250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3"/>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2"/>
      <w:szCs w:val="22"/>
      <w:lang w:val="en-US" w:eastAsia="en-US" w:bidi="ar-SA"/>
    </w:rPr>
  </w:style>
</w:styles>
</file>

<file path=word/_rels/document.xml.rels><?xml version="1.0" encoding="UTF-8" standalone="yes"?>
<Relationships xmlns="http://schemas.openxmlformats.org/package/2006/relationships"><Relationship Id="rId99" Type="http://schemas.openxmlformats.org/officeDocument/2006/relationships/footer" Target="footer55.xml"/><Relationship Id="rId98" Type="http://schemas.openxmlformats.org/officeDocument/2006/relationships/header" Target="header40.xml"/><Relationship Id="rId97" Type="http://schemas.openxmlformats.org/officeDocument/2006/relationships/footer" Target="footer54.xml"/><Relationship Id="rId96" Type="http://schemas.openxmlformats.org/officeDocument/2006/relationships/header" Target="header39.xml"/><Relationship Id="rId95" Type="http://schemas.openxmlformats.org/officeDocument/2006/relationships/footer" Target="footer53.xml"/><Relationship Id="rId94" Type="http://schemas.openxmlformats.org/officeDocument/2006/relationships/header" Target="header38.xml"/><Relationship Id="rId93" Type="http://schemas.openxmlformats.org/officeDocument/2006/relationships/footer" Target="footer52.xml"/><Relationship Id="rId92" Type="http://schemas.openxmlformats.org/officeDocument/2006/relationships/footer" Target="footer51.xml"/><Relationship Id="rId91" Type="http://schemas.openxmlformats.org/officeDocument/2006/relationships/header" Target="header37.xml"/><Relationship Id="rId90" Type="http://schemas.openxmlformats.org/officeDocument/2006/relationships/footer" Target="footer50.xml"/><Relationship Id="rId9" Type="http://schemas.openxmlformats.org/officeDocument/2006/relationships/footer" Target="footer3.xml"/><Relationship Id="rId89" Type="http://schemas.openxmlformats.org/officeDocument/2006/relationships/header" Target="header36.xml"/><Relationship Id="rId88" Type="http://schemas.openxmlformats.org/officeDocument/2006/relationships/footer" Target="footer49.xml"/><Relationship Id="rId87" Type="http://schemas.openxmlformats.org/officeDocument/2006/relationships/header" Target="header35.xml"/><Relationship Id="rId86" Type="http://schemas.openxmlformats.org/officeDocument/2006/relationships/footer" Target="footer48.xml"/><Relationship Id="rId85" Type="http://schemas.openxmlformats.org/officeDocument/2006/relationships/header" Target="header34.xml"/><Relationship Id="rId84" Type="http://schemas.openxmlformats.org/officeDocument/2006/relationships/footer" Target="footer47.xml"/><Relationship Id="rId83" Type="http://schemas.openxmlformats.org/officeDocument/2006/relationships/header" Target="header33.xml"/><Relationship Id="rId82" Type="http://schemas.openxmlformats.org/officeDocument/2006/relationships/footer" Target="footer46.xml"/><Relationship Id="rId81" Type="http://schemas.openxmlformats.org/officeDocument/2006/relationships/header" Target="header32.xml"/><Relationship Id="rId80" Type="http://schemas.openxmlformats.org/officeDocument/2006/relationships/footer" Target="footer45.xml"/><Relationship Id="rId8" Type="http://schemas.openxmlformats.org/officeDocument/2006/relationships/footer" Target="footer2.xml"/><Relationship Id="rId79" Type="http://schemas.openxmlformats.org/officeDocument/2006/relationships/footer" Target="footer44.xml"/><Relationship Id="rId78" Type="http://schemas.openxmlformats.org/officeDocument/2006/relationships/header" Target="header31.xml"/><Relationship Id="rId77" Type="http://schemas.openxmlformats.org/officeDocument/2006/relationships/footer" Target="footer43.xml"/><Relationship Id="rId76" Type="http://schemas.openxmlformats.org/officeDocument/2006/relationships/header" Target="header30.xml"/><Relationship Id="rId75" Type="http://schemas.openxmlformats.org/officeDocument/2006/relationships/footer" Target="footer42.xml"/><Relationship Id="rId749" Type="http://schemas.openxmlformats.org/officeDocument/2006/relationships/fontTable" Target="fontTable.xml"/><Relationship Id="rId748" Type="http://schemas.openxmlformats.org/officeDocument/2006/relationships/customXml" Target="../customXml/item1.xml"/><Relationship Id="rId747" Type="http://schemas.openxmlformats.org/officeDocument/2006/relationships/image" Target="media/image169.jpeg"/><Relationship Id="rId746" Type="http://schemas.openxmlformats.org/officeDocument/2006/relationships/image" Target="media/image168.jpeg"/><Relationship Id="rId745" Type="http://schemas.openxmlformats.org/officeDocument/2006/relationships/image" Target="media/image167.jpeg"/><Relationship Id="rId744" Type="http://schemas.openxmlformats.org/officeDocument/2006/relationships/image" Target="media/image166.jpeg"/><Relationship Id="rId743" Type="http://schemas.openxmlformats.org/officeDocument/2006/relationships/image" Target="media/image165.jpeg"/><Relationship Id="rId742" Type="http://schemas.openxmlformats.org/officeDocument/2006/relationships/image" Target="media/image164.jpeg"/><Relationship Id="rId741" Type="http://schemas.openxmlformats.org/officeDocument/2006/relationships/image" Target="media/image163.jpeg"/><Relationship Id="rId740" Type="http://schemas.openxmlformats.org/officeDocument/2006/relationships/image" Target="media/image162.jpeg"/><Relationship Id="rId74" Type="http://schemas.openxmlformats.org/officeDocument/2006/relationships/header" Target="header29.xml"/><Relationship Id="rId739" Type="http://schemas.openxmlformats.org/officeDocument/2006/relationships/image" Target="media/image161.jpeg"/><Relationship Id="rId738" Type="http://schemas.openxmlformats.org/officeDocument/2006/relationships/image" Target="media/image160.jpeg"/><Relationship Id="rId737" Type="http://schemas.openxmlformats.org/officeDocument/2006/relationships/image" Target="media/image159.jpeg"/><Relationship Id="rId736" Type="http://schemas.openxmlformats.org/officeDocument/2006/relationships/image" Target="media/image158.jpeg"/><Relationship Id="rId735" Type="http://schemas.openxmlformats.org/officeDocument/2006/relationships/image" Target="media/image157.jpeg"/><Relationship Id="rId734" Type="http://schemas.openxmlformats.org/officeDocument/2006/relationships/image" Target="media/image156.jpeg"/><Relationship Id="rId733" Type="http://schemas.openxmlformats.org/officeDocument/2006/relationships/image" Target="media/image155.jpeg"/><Relationship Id="rId732" Type="http://schemas.openxmlformats.org/officeDocument/2006/relationships/image" Target="media/image154.jpeg"/><Relationship Id="rId731" Type="http://schemas.openxmlformats.org/officeDocument/2006/relationships/image" Target="media/image153.jpeg"/><Relationship Id="rId730" Type="http://schemas.openxmlformats.org/officeDocument/2006/relationships/image" Target="media/image152.jpeg"/><Relationship Id="rId73" Type="http://schemas.openxmlformats.org/officeDocument/2006/relationships/footer" Target="footer41.xml"/><Relationship Id="rId729" Type="http://schemas.openxmlformats.org/officeDocument/2006/relationships/image" Target="media/image151.jpeg"/><Relationship Id="rId728" Type="http://schemas.openxmlformats.org/officeDocument/2006/relationships/image" Target="media/image150.jpeg"/><Relationship Id="rId727" Type="http://schemas.openxmlformats.org/officeDocument/2006/relationships/image" Target="media/image149.jpeg"/><Relationship Id="rId726" Type="http://schemas.openxmlformats.org/officeDocument/2006/relationships/image" Target="media/image148.jpeg"/><Relationship Id="rId725" Type="http://schemas.openxmlformats.org/officeDocument/2006/relationships/image" Target="media/image147.jpeg"/><Relationship Id="rId724" Type="http://schemas.openxmlformats.org/officeDocument/2006/relationships/image" Target="media/image146.jpeg"/><Relationship Id="rId723" Type="http://schemas.openxmlformats.org/officeDocument/2006/relationships/image" Target="media/image145.jpeg"/><Relationship Id="rId722" Type="http://schemas.openxmlformats.org/officeDocument/2006/relationships/image" Target="media/image144.jpeg"/><Relationship Id="rId721" Type="http://schemas.openxmlformats.org/officeDocument/2006/relationships/image" Target="media/image143.jpeg"/><Relationship Id="rId720" Type="http://schemas.openxmlformats.org/officeDocument/2006/relationships/image" Target="media/image142.jpeg"/><Relationship Id="rId72" Type="http://schemas.openxmlformats.org/officeDocument/2006/relationships/header" Target="header28.xml"/><Relationship Id="rId719" Type="http://schemas.openxmlformats.org/officeDocument/2006/relationships/image" Target="media/image141.jpeg"/><Relationship Id="rId718" Type="http://schemas.openxmlformats.org/officeDocument/2006/relationships/image" Target="media/image140.jpeg"/><Relationship Id="rId717" Type="http://schemas.openxmlformats.org/officeDocument/2006/relationships/image" Target="media/image139.jpeg"/><Relationship Id="rId716" Type="http://schemas.openxmlformats.org/officeDocument/2006/relationships/image" Target="media/image138.jpeg"/><Relationship Id="rId715" Type="http://schemas.openxmlformats.org/officeDocument/2006/relationships/image" Target="media/image137.jpeg"/><Relationship Id="rId714" Type="http://schemas.openxmlformats.org/officeDocument/2006/relationships/image" Target="media/image136.jpeg"/><Relationship Id="rId713" Type="http://schemas.openxmlformats.org/officeDocument/2006/relationships/image" Target="media/image135.jpeg"/><Relationship Id="rId712" Type="http://schemas.openxmlformats.org/officeDocument/2006/relationships/image" Target="media/image134.jpeg"/><Relationship Id="rId711" Type="http://schemas.openxmlformats.org/officeDocument/2006/relationships/image" Target="media/image133.jpeg"/><Relationship Id="rId710" Type="http://schemas.openxmlformats.org/officeDocument/2006/relationships/image" Target="media/image132.jpeg"/><Relationship Id="rId71" Type="http://schemas.openxmlformats.org/officeDocument/2006/relationships/footer" Target="footer40.xml"/><Relationship Id="rId709" Type="http://schemas.openxmlformats.org/officeDocument/2006/relationships/image" Target="media/image131.jpeg"/><Relationship Id="rId708" Type="http://schemas.openxmlformats.org/officeDocument/2006/relationships/image" Target="media/image130.jpeg"/><Relationship Id="rId707" Type="http://schemas.openxmlformats.org/officeDocument/2006/relationships/image" Target="media/image129.jpeg"/><Relationship Id="rId706" Type="http://schemas.openxmlformats.org/officeDocument/2006/relationships/image" Target="media/image128.jpeg"/><Relationship Id="rId705" Type="http://schemas.openxmlformats.org/officeDocument/2006/relationships/image" Target="media/image127.jpeg"/><Relationship Id="rId704" Type="http://schemas.openxmlformats.org/officeDocument/2006/relationships/image" Target="media/image126.jpeg"/><Relationship Id="rId703" Type="http://schemas.openxmlformats.org/officeDocument/2006/relationships/image" Target="media/image125.jpeg"/><Relationship Id="rId702" Type="http://schemas.openxmlformats.org/officeDocument/2006/relationships/image" Target="media/image124.jpeg"/><Relationship Id="rId701" Type="http://schemas.openxmlformats.org/officeDocument/2006/relationships/image" Target="media/image123.jpeg"/><Relationship Id="rId700" Type="http://schemas.openxmlformats.org/officeDocument/2006/relationships/image" Target="media/image122.jpeg"/><Relationship Id="rId70" Type="http://schemas.openxmlformats.org/officeDocument/2006/relationships/header" Target="header27.xml"/><Relationship Id="rId7" Type="http://schemas.openxmlformats.org/officeDocument/2006/relationships/header" Target="header2.xml"/><Relationship Id="rId699" Type="http://schemas.openxmlformats.org/officeDocument/2006/relationships/image" Target="media/image121.jpeg"/><Relationship Id="rId698" Type="http://schemas.openxmlformats.org/officeDocument/2006/relationships/image" Target="media/image120.jpeg"/><Relationship Id="rId697" Type="http://schemas.openxmlformats.org/officeDocument/2006/relationships/image" Target="media/image119.jpeg"/><Relationship Id="rId696" Type="http://schemas.openxmlformats.org/officeDocument/2006/relationships/image" Target="media/image118.jpeg"/><Relationship Id="rId695" Type="http://schemas.openxmlformats.org/officeDocument/2006/relationships/image" Target="media/image117.jpeg"/><Relationship Id="rId694" Type="http://schemas.openxmlformats.org/officeDocument/2006/relationships/image" Target="media/image116.jpeg"/><Relationship Id="rId693" Type="http://schemas.openxmlformats.org/officeDocument/2006/relationships/image" Target="media/image115.png"/><Relationship Id="rId692" Type="http://schemas.openxmlformats.org/officeDocument/2006/relationships/image" Target="media/image114.png"/><Relationship Id="rId691" Type="http://schemas.openxmlformats.org/officeDocument/2006/relationships/image" Target="media/image113.png"/><Relationship Id="rId690" Type="http://schemas.openxmlformats.org/officeDocument/2006/relationships/image" Target="media/image112.png"/><Relationship Id="rId69" Type="http://schemas.openxmlformats.org/officeDocument/2006/relationships/footer" Target="footer39.xml"/><Relationship Id="rId689" Type="http://schemas.openxmlformats.org/officeDocument/2006/relationships/image" Target="media/image111.png"/><Relationship Id="rId688" Type="http://schemas.openxmlformats.org/officeDocument/2006/relationships/image" Target="media/image110.jpeg"/><Relationship Id="rId687" Type="http://schemas.openxmlformats.org/officeDocument/2006/relationships/image" Target="media/image109.jpeg"/><Relationship Id="rId686" Type="http://schemas.openxmlformats.org/officeDocument/2006/relationships/image" Target="media/image108.png"/><Relationship Id="rId685" Type="http://schemas.openxmlformats.org/officeDocument/2006/relationships/image" Target="media/image107.jpeg"/><Relationship Id="rId684" Type="http://schemas.openxmlformats.org/officeDocument/2006/relationships/image" Target="media/image106.jpeg"/><Relationship Id="rId683" Type="http://schemas.openxmlformats.org/officeDocument/2006/relationships/image" Target="media/image105.png"/><Relationship Id="rId682" Type="http://schemas.openxmlformats.org/officeDocument/2006/relationships/image" Target="media/image104.png"/><Relationship Id="rId681" Type="http://schemas.openxmlformats.org/officeDocument/2006/relationships/image" Target="media/image103.png"/><Relationship Id="rId680" Type="http://schemas.openxmlformats.org/officeDocument/2006/relationships/image" Target="media/image102.png"/><Relationship Id="rId68" Type="http://schemas.openxmlformats.org/officeDocument/2006/relationships/header" Target="header26.xml"/><Relationship Id="rId679" Type="http://schemas.openxmlformats.org/officeDocument/2006/relationships/image" Target="media/image101.jpeg"/><Relationship Id="rId678" Type="http://schemas.openxmlformats.org/officeDocument/2006/relationships/image" Target="media/image100.png"/><Relationship Id="rId677" Type="http://schemas.openxmlformats.org/officeDocument/2006/relationships/image" Target="media/image99.png"/><Relationship Id="rId676" Type="http://schemas.openxmlformats.org/officeDocument/2006/relationships/image" Target="media/image98.png"/><Relationship Id="rId675" Type="http://schemas.openxmlformats.org/officeDocument/2006/relationships/image" Target="media/image97.png"/><Relationship Id="rId674" Type="http://schemas.openxmlformats.org/officeDocument/2006/relationships/image" Target="media/image96.jpeg"/><Relationship Id="rId673" Type="http://schemas.openxmlformats.org/officeDocument/2006/relationships/image" Target="media/image95.png"/><Relationship Id="rId672" Type="http://schemas.openxmlformats.org/officeDocument/2006/relationships/image" Target="media/image94.png"/><Relationship Id="rId671" Type="http://schemas.openxmlformats.org/officeDocument/2006/relationships/image" Target="media/image93.png"/><Relationship Id="rId670" Type="http://schemas.openxmlformats.org/officeDocument/2006/relationships/image" Target="media/image92.png"/><Relationship Id="rId67" Type="http://schemas.openxmlformats.org/officeDocument/2006/relationships/footer" Target="footer38.xml"/><Relationship Id="rId669" Type="http://schemas.openxmlformats.org/officeDocument/2006/relationships/image" Target="media/image91.jpeg"/><Relationship Id="rId668" Type="http://schemas.openxmlformats.org/officeDocument/2006/relationships/image" Target="media/image90.jpeg"/><Relationship Id="rId667" Type="http://schemas.openxmlformats.org/officeDocument/2006/relationships/image" Target="media/image89.jpeg"/><Relationship Id="rId666" Type="http://schemas.openxmlformats.org/officeDocument/2006/relationships/image" Target="media/image88.jpeg"/><Relationship Id="rId665" Type="http://schemas.openxmlformats.org/officeDocument/2006/relationships/image" Target="media/image87.jpeg"/><Relationship Id="rId664" Type="http://schemas.openxmlformats.org/officeDocument/2006/relationships/image" Target="media/image86.jpeg"/><Relationship Id="rId663" Type="http://schemas.openxmlformats.org/officeDocument/2006/relationships/image" Target="media/image85.jpeg"/><Relationship Id="rId662" Type="http://schemas.openxmlformats.org/officeDocument/2006/relationships/image" Target="media/image84.jpeg"/><Relationship Id="rId661" Type="http://schemas.openxmlformats.org/officeDocument/2006/relationships/image" Target="media/image83.jpeg"/><Relationship Id="rId660" Type="http://schemas.openxmlformats.org/officeDocument/2006/relationships/image" Target="media/image82.jpeg"/><Relationship Id="rId66" Type="http://schemas.openxmlformats.org/officeDocument/2006/relationships/header" Target="header25.xml"/><Relationship Id="rId659" Type="http://schemas.openxmlformats.org/officeDocument/2006/relationships/image" Target="media/image81.png"/><Relationship Id="rId658" Type="http://schemas.openxmlformats.org/officeDocument/2006/relationships/image" Target="media/image80.png"/><Relationship Id="rId657" Type="http://schemas.openxmlformats.org/officeDocument/2006/relationships/image" Target="media/image79.jpeg"/><Relationship Id="rId656" Type="http://schemas.openxmlformats.org/officeDocument/2006/relationships/image" Target="media/image78.jpeg"/><Relationship Id="rId655" Type="http://schemas.openxmlformats.org/officeDocument/2006/relationships/image" Target="media/image77.jpeg"/><Relationship Id="rId654" Type="http://schemas.openxmlformats.org/officeDocument/2006/relationships/image" Target="media/image76.png"/><Relationship Id="rId653" Type="http://schemas.openxmlformats.org/officeDocument/2006/relationships/image" Target="media/image75.png"/><Relationship Id="rId652" Type="http://schemas.openxmlformats.org/officeDocument/2006/relationships/image" Target="media/image74.png"/><Relationship Id="rId651" Type="http://schemas.openxmlformats.org/officeDocument/2006/relationships/image" Target="media/image73.png"/><Relationship Id="rId650" Type="http://schemas.openxmlformats.org/officeDocument/2006/relationships/image" Target="media/image72.png"/><Relationship Id="rId65" Type="http://schemas.openxmlformats.org/officeDocument/2006/relationships/footer" Target="footer37.xml"/><Relationship Id="rId649" Type="http://schemas.openxmlformats.org/officeDocument/2006/relationships/image" Target="media/image71.png"/><Relationship Id="rId648" Type="http://schemas.openxmlformats.org/officeDocument/2006/relationships/image" Target="media/image70.jpeg"/><Relationship Id="rId647" Type="http://schemas.openxmlformats.org/officeDocument/2006/relationships/image" Target="media/image69.jpeg"/><Relationship Id="rId646" Type="http://schemas.openxmlformats.org/officeDocument/2006/relationships/image" Target="media/image68.png"/><Relationship Id="rId645" Type="http://schemas.openxmlformats.org/officeDocument/2006/relationships/image" Target="media/image67.png"/><Relationship Id="rId644" Type="http://schemas.openxmlformats.org/officeDocument/2006/relationships/image" Target="media/image66.png"/><Relationship Id="rId643" Type="http://schemas.openxmlformats.org/officeDocument/2006/relationships/image" Target="media/image65.png"/><Relationship Id="rId642" Type="http://schemas.openxmlformats.org/officeDocument/2006/relationships/image" Target="media/image64.jpeg"/><Relationship Id="rId641" Type="http://schemas.openxmlformats.org/officeDocument/2006/relationships/image" Target="media/image63.jpeg"/><Relationship Id="rId640" Type="http://schemas.openxmlformats.org/officeDocument/2006/relationships/image" Target="media/image62.jpeg"/><Relationship Id="rId64" Type="http://schemas.openxmlformats.org/officeDocument/2006/relationships/header" Target="header24.xml"/><Relationship Id="rId639" Type="http://schemas.openxmlformats.org/officeDocument/2006/relationships/image" Target="media/image61.jpeg"/><Relationship Id="rId638" Type="http://schemas.openxmlformats.org/officeDocument/2006/relationships/image" Target="media/image60.jpeg"/><Relationship Id="rId637" Type="http://schemas.openxmlformats.org/officeDocument/2006/relationships/image" Target="media/image59.jpeg"/><Relationship Id="rId636" Type="http://schemas.openxmlformats.org/officeDocument/2006/relationships/image" Target="media/image58.jpeg"/><Relationship Id="rId635" Type="http://schemas.openxmlformats.org/officeDocument/2006/relationships/image" Target="media/image57.jpeg"/><Relationship Id="rId634" Type="http://schemas.openxmlformats.org/officeDocument/2006/relationships/image" Target="media/image56.jpeg"/><Relationship Id="rId633" Type="http://schemas.openxmlformats.org/officeDocument/2006/relationships/image" Target="media/image55.jpeg"/><Relationship Id="rId632" Type="http://schemas.openxmlformats.org/officeDocument/2006/relationships/image" Target="media/image54.jpeg"/><Relationship Id="rId631" Type="http://schemas.openxmlformats.org/officeDocument/2006/relationships/image" Target="media/image53.jpeg"/><Relationship Id="rId630" Type="http://schemas.openxmlformats.org/officeDocument/2006/relationships/image" Target="media/image52.png"/><Relationship Id="rId63" Type="http://schemas.openxmlformats.org/officeDocument/2006/relationships/footer" Target="footer36.xml"/><Relationship Id="rId629" Type="http://schemas.openxmlformats.org/officeDocument/2006/relationships/image" Target="media/image51.png"/><Relationship Id="rId628" Type="http://schemas.openxmlformats.org/officeDocument/2006/relationships/image" Target="media/image50.png"/><Relationship Id="rId627" Type="http://schemas.openxmlformats.org/officeDocument/2006/relationships/image" Target="media/image49.png"/><Relationship Id="rId626" Type="http://schemas.openxmlformats.org/officeDocument/2006/relationships/image" Target="media/image48.png"/><Relationship Id="rId625" Type="http://schemas.openxmlformats.org/officeDocument/2006/relationships/image" Target="media/image47.png"/><Relationship Id="rId624" Type="http://schemas.openxmlformats.org/officeDocument/2006/relationships/image" Target="media/image46.png"/><Relationship Id="rId623" Type="http://schemas.openxmlformats.org/officeDocument/2006/relationships/image" Target="media/image45.png"/><Relationship Id="rId622" Type="http://schemas.openxmlformats.org/officeDocument/2006/relationships/image" Target="media/image44.png"/><Relationship Id="rId621" Type="http://schemas.openxmlformats.org/officeDocument/2006/relationships/image" Target="media/image43.png"/><Relationship Id="rId620" Type="http://schemas.openxmlformats.org/officeDocument/2006/relationships/image" Target="media/image42.png"/><Relationship Id="rId62" Type="http://schemas.openxmlformats.org/officeDocument/2006/relationships/header" Target="header23.xml"/><Relationship Id="rId619" Type="http://schemas.openxmlformats.org/officeDocument/2006/relationships/image" Target="media/image41.png"/><Relationship Id="rId618" Type="http://schemas.openxmlformats.org/officeDocument/2006/relationships/image" Target="media/image40.png"/><Relationship Id="rId617" Type="http://schemas.openxmlformats.org/officeDocument/2006/relationships/image" Target="media/image39.png"/><Relationship Id="rId616" Type="http://schemas.openxmlformats.org/officeDocument/2006/relationships/image" Target="media/image38.png"/><Relationship Id="rId615" Type="http://schemas.openxmlformats.org/officeDocument/2006/relationships/image" Target="media/image37.jpeg"/><Relationship Id="rId614" Type="http://schemas.openxmlformats.org/officeDocument/2006/relationships/image" Target="media/image36.jpeg"/><Relationship Id="rId613" Type="http://schemas.openxmlformats.org/officeDocument/2006/relationships/image" Target="media/image35.jpeg"/><Relationship Id="rId612" Type="http://schemas.openxmlformats.org/officeDocument/2006/relationships/image" Target="media/image34.jpeg"/><Relationship Id="rId611" Type="http://schemas.openxmlformats.org/officeDocument/2006/relationships/image" Target="media/image33.jpeg"/><Relationship Id="rId610" Type="http://schemas.openxmlformats.org/officeDocument/2006/relationships/image" Target="media/image32.jpeg"/><Relationship Id="rId61" Type="http://schemas.openxmlformats.org/officeDocument/2006/relationships/footer" Target="footer35.xml"/><Relationship Id="rId609" Type="http://schemas.openxmlformats.org/officeDocument/2006/relationships/image" Target="media/image31.png"/><Relationship Id="rId608" Type="http://schemas.openxmlformats.org/officeDocument/2006/relationships/image" Target="media/image30.jpeg"/><Relationship Id="rId607" Type="http://schemas.openxmlformats.org/officeDocument/2006/relationships/image" Target="media/image29.jpeg"/><Relationship Id="rId606" Type="http://schemas.openxmlformats.org/officeDocument/2006/relationships/image" Target="media/image28.png"/><Relationship Id="rId605" Type="http://schemas.openxmlformats.org/officeDocument/2006/relationships/image" Target="media/image27.jpeg"/><Relationship Id="rId604" Type="http://schemas.openxmlformats.org/officeDocument/2006/relationships/image" Target="media/image26.jpeg"/><Relationship Id="rId603" Type="http://schemas.openxmlformats.org/officeDocument/2006/relationships/image" Target="media/image25.png"/><Relationship Id="rId602" Type="http://schemas.openxmlformats.org/officeDocument/2006/relationships/image" Target="media/image24.jpeg"/><Relationship Id="rId601" Type="http://schemas.openxmlformats.org/officeDocument/2006/relationships/image" Target="media/image23.png"/><Relationship Id="rId600" Type="http://schemas.openxmlformats.org/officeDocument/2006/relationships/image" Target="media/image22.png"/><Relationship Id="rId60" Type="http://schemas.openxmlformats.org/officeDocument/2006/relationships/header" Target="header22.xml"/><Relationship Id="rId6" Type="http://schemas.openxmlformats.org/officeDocument/2006/relationships/footer" Target="footer1.xml"/><Relationship Id="rId599" Type="http://schemas.openxmlformats.org/officeDocument/2006/relationships/image" Target="media/image21.png"/><Relationship Id="rId598" Type="http://schemas.openxmlformats.org/officeDocument/2006/relationships/image" Target="media/image20.png"/><Relationship Id="rId597" Type="http://schemas.openxmlformats.org/officeDocument/2006/relationships/image" Target="media/image19.png"/><Relationship Id="rId596" Type="http://schemas.openxmlformats.org/officeDocument/2006/relationships/image" Target="media/image18.png"/><Relationship Id="rId595" Type="http://schemas.openxmlformats.org/officeDocument/2006/relationships/image" Target="media/image17.png"/><Relationship Id="rId594" Type="http://schemas.openxmlformats.org/officeDocument/2006/relationships/image" Target="media/image16.png"/><Relationship Id="rId593" Type="http://schemas.openxmlformats.org/officeDocument/2006/relationships/image" Target="media/image15.png"/><Relationship Id="rId592" Type="http://schemas.openxmlformats.org/officeDocument/2006/relationships/image" Target="media/image14.png"/><Relationship Id="rId591" Type="http://schemas.openxmlformats.org/officeDocument/2006/relationships/image" Target="media/image13.jpeg"/><Relationship Id="rId590" Type="http://schemas.openxmlformats.org/officeDocument/2006/relationships/image" Target="media/image12.png"/><Relationship Id="rId59" Type="http://schemas.openxmlformats.org/officeDocument/2006/relationships/footer" Target="footer34.xml"/><Relationship Id="rId589" Type="http://schemas.openxmlformats.org/officeDocument/2006/relationships/image" Target="media/image11.jpeg"/><Relationship Id="rId588" Type="http://schemas.openxmlformats.org/officeDocument/2006/relationships/image" Target="media/image10.png"/><Relationship Id="rId587" Type="http://schemas.openxmlformats.org/officeDocument/2006/relationships/image" Target="media/image9.jpeg"/><Relationship Id="rId586" Type="http://schemas.openxmlformats.org/officeDocument/2006/relationships/image" Target="media/image8.png"/><Relationship Id="rId585" Type="http://schemas.openxmlformats.org/officeDocument/2006/relationships/image" Target="media/image7.jpeg"/><Relationship Id="rId584" Type="http://schemas.openxmlformats.org/officeDocument/2006/relationships/image" Target="media/image6.jpeg"/><Relationship Id="rId583" Type="http://schemas.openxmlformats.org/officeDocument/2006/relationships/image" Target="media/image5.jpeg"/><Relationship Id="rId582" Type="http://schemas.openxmlformats.org/officeDocument/2006/relationships/image" Target="media/image4.png"/><Relationship Id="rId581" Type="http://schemas.openxmlformats.org/officeDocument/2006/relationships/image" Target="media/image3.png"/><Relationship Id="rId580" Type="http://schemas.openxmlformats.org/officeDocument/2006/relationships/image" Target="media/image2.jpeg"/><Relationship Id="rId58" Type="http://schemas.openxmlformats.org/officeDocument/2006/relationships/header" Target="header21.xml"/><Relationship Id="rId579" Type="http://schemas.openxmlformats.org/officeDocument/2006/relationships/theme" Target="theme/theme1.xml"/><Relationship Id="rId578" Type="http://schemas.openxmlformats.org/officeDocument/2006/relationships/footer" Target="footer342.xml"/><Relationship Id="rId577" Type="http://schemas.openxmlformats.org/officeDocument/2006/relationships/footer" Target="footer341.xml"/><Relationship Id="rId576" Type="http://schemas.openxmlformats.org/officeDocument/2006/relationships/footer" Target="footer340.xml"/><Relationship Id="rId575" Type="http://schemas.openxmlformats.org/officeDocument/2006/relationships/footer" Target="footer339.xml"/><Relationship Id="rId574" Type="http://schemas.openxmlformats.org/officeDocument/2006/relationships/footer" Target="footer338.xml"/><Relationship Id="rId573" Type="http://schemas.openxmlformats.org/officeDocument/2006/relationships/footer" Target="footer337.xml"/><Relationship Id="rId572" Type="http://schemas.openxmlformats.org/officeDocument/2006/relationships/footer" Target="footer336.xml"/><Relationship Id="rId571" Type="http://schemas.openxmlformats.org/officeDocument/2006/relationships/footer" Target="footer335.xml"/><Relationship Id="rId570" Type="http://schemas.openxmlformats.org/officeDocument/2006/relationships/footer" Target="footer334.xml"/><Relationship Id="rId57" Type="http://schemas.openxmlformats.org/officeDocument/2006/relationships/footer" Target="footer33.xml"/><Relationship Id="rId569" Type="http://schemas.openxmlformats.org/officeDocument/2006/relationships/footer" Target="footer333.xml"/><Relationship Id="rId568" Type="http://schemas.openxmlformats.org/officeDocument/2006/relationships/footer" Target="footer332.xml"/><Relationship Id="rId567" Type="http://schemas.openxmlformats.org/officeDocument/2006/relationships/footer" Target="footer331.xml"/><Relationship Id="rId566" Type="http://schemas.openxmlformats.org/officeDocument/2006/relationships/footer" Target="footer330.xml"/><Relationship Id="rId565" Type="http://schemas.openxmlformats.org/officeDocument/2006/relationships/footer" Target="footer329.xml"/><Relationship Id="rId564" Type="http://schemas.openxmlformats.org/officeDocument/2006/relationships/footer" Target="footer328.xml"/><Relationship Id="rId563" Type="http://schemas.openxmlformats.org/officeDocument/2006/relationships/footer" Target="footer327.xml"/><Relationship Id="rId562" Type="http://schemas.openxmlformats.org/officeDocument/2006/relationships/footer" Target="footer326.xml"/><Relationship Id="rId561" Type="http://schemas.openxmlformats.org/officeDocument/2006/relationships/footer" Target="footer325.xml"/><Relationship Id="rId560" Type="http://schemas.openxmlformats.org/officeDocument/2006/relationships/footer" Target="footer324.xml"/><Relationship Id="rId56" Type="http://schemas.openxmlformats.org/officeDocument/2006/relationships/footer" Target="footer32.xml"/><Relationship Id="rId559" Type="http://schemas.openxmlformats.org/officeDocument/2006/relationships/footer" Target="footer323.xml"/><Relationship Id="rId558" Type="http://schemas.openxmlformats.org/officeDocument/2006/relationships/footer" Target="footer322.xml"/><Relationship Id="rId557" Type="http://schemas.openxmlformats.org/officeDocument/2006/relationships/footer" Target="footer321.xml"/><Relationship Id="rId556" Type="http://schemas.openxmlformats.org/officeDocument/2006/relationships/footer" Target="footer320.xml"/><Relationship Id="rId555" Type="http://schemas.openxmlformats.org/officeDocument/2006/relationships/footer" Target="footer319.xml"/><Relationship Id="rId554" Type="http://schemas.openxmlformats.org/officeDocument/2006/relationships/footer" Target="footer318.xml"/><Relationship Id="rId553" Type="http://schemas.openxmlformats.org/officeDocument/2006/relationships/footer" Target="footer317.xml"/><Relationship Id="rId552" Type="http://schemas.openxmlformats.org/officeDocument/2006/relationships/footer" Target="footer316.xml"/><Relationship Id="rId551" Type="http://schemas.openxmlformats.org/officeDocument/2006/relationships/footer" Target="footer315.xml"/><Relationship Id="rId550" Type="http://schemas.openxmlformats.org/officeDocument/2006/relationships/footer" Target="footer314.xml"/><Relationship Id="rId55" Type="http://schemas.openxmlformats.org/officeDocument/2006/relationships/header" Target="header20.xml"/><Relationship Id="rId549" Type="http://schemas.openxmlformats.org/officeDocument/2006/relationships/footer" Target="footer313.xml"/><Relationship Id="rId548" Type="http://schemas.openxmlformats.org/officeDocument/2006/relationships/footer" Target="footer312.xml"/><Relationship Id="rId547" Type="http://schemas.openxmlformats.org/officeDocument/2006/relationships/footer" Target="footer311.xml"/><Relationship Id="rId546" Type="http://schemas.openxmlformats.org/officeDocument/2006/relationships/footer" Target="footer310.xml"/><Relationship Id="rId545" Type="http://schemas.openxmlformats.org/officeDocument/2006/relationships/footer" Target="footer309.xml"/><Relationship Id="rId544" Type="http://schemas.openxmlformats.org/officeDocument/2006/relationships/footer" Target="footer308.xml"/><Relationship Id="rId543" Type="http://schemas.openxmlformats.org/officeDocument/2006/relationships/footer" Target="footer307.xml"/><Relationship Id="rId542" Type="http://schemas.openxmlformats.org/officeDocument/2006/relationships/footer" Target="footer306.xml"/><Relationship Id="rId541" Type="http://schemas.openxmlformats.org/officeDocument/2006/relationships/footer" Target="footer305.xml"/><Relationship Id="rId540" Type="http://schemas.openxmlformats.org/officeDocument/2006/relationships/footer" Target="footer304.xml"/><Relationship Id="rId54" Type="http://schemas.openxmlformats.org/officeDocument/2006/relationships/footer" Target="footer31.xml"/><Relationship Id="rId539" Type="http://schemas.openxmlformats.org/officeDocument/2006/relationships/footer" Target="footer303.xml"/><Relationship Id="rId538" Type="http://schemas.openxmlformats.org/officeDocument/2006/relationships/footer" Target="footer302.xml"/><Relationship Id="rId537" Type="http://schemas.openxmlformats.org/officeDocument/2006/relationships/footer" Target="footer301.xml"/><Relationship Id="rId536" Type="http://schemas.openxmlformats.org/officeDocument/2006/relationships/footer" Target="footer300.xml"/><Relationship Id="rId535" Type="http://schemas.openxmlformats.org/officeDocument/2006/relationships/header" Target="header232.xml"/><Relationship Id="rId534" Type="http://schemas.openxmlformats.org/officeDocument/2006/relationships/footer" Target="footer299.xml"/><Relationship Id="rId533" Type="http://schemas.openxmlformats.org/officeDocument/2006/relationships/header" Target="header231.xml"/><Relationship Id="rId532" Type="http://schemas.openxmlformats.org/officeDocument/2006/relationships/footer" Target="footer298.xml"/><Relationship Id="rId531" Type="http://schemas.openxmlformats.org/officeDocument/2006/relationships/header" Target="header230.xml"/><Relationship Id="rId530" Type="http://schemas.openxmlformats.org/officeDocument/2006/relationships/footer" Target="footer297.xml"/><Relationship Id="rId53" Type="http://schemas.openxmlformats.org/officeDocument/2006/relationships/header" Target="header19.xml"/><Relationship Id="rId529" Type="http://schemas.openxmlformats.org/officeDocument/2006/relationships/footer" Target="footer296.xml"/><Relationship Id="rId528" Type="http://schemas.openxmlformats.org/officeDocument/2006/relationships/header" Target="header229.xml"/><Relationship Id="rId527" Type="http://schemas.openxmlformats.org/officeDocument/2006/relationships/footer" Target="footer295.xml"/><Relationship Id="rId526" Type="http://schemas.openxmlformats.org/officeDocument/2006/relationships/header" Target="header228.xml"/><Relationship Id="rId525" Type="http://schemas.openxmlformats.org/officeDocument/2006/relationships/footer" Target="footer294.xml"/><Relationship Id="rId524" Type="http://schemas.openxmlformats.org/officeDocument/2006/relationships/header" Target="header227.xml"/><Relationship Id="rId523" Type="http://schemas.openxmlformats.org/officeDocument/2006/relationships/footer" Target="footer293.xml"/><Relationship Id="rId522" Type="http://schemas.openxmlformats.org/officeDocument/2006/relationships/header" Target="header226.xml"/><Relationship Id="rId521" Type="http://schemas.openxmlformats.org/officeDocument/2006/relationships/footer" Target="footer292.xml"/><Relationship Id="rId520" Type="http://schemas.openxmlformats.org/officeDocument/2006/relationships/header" Target="header225.xml"/><Relationship Id="rId52" Type="http://schemas.openxmlformats.org/officeDocument/2006/relationships/footer" Target="footer30.xml"/><Relationship Id="rId519" Type="http://schemas.openxmlformats.org/officeDocument/2006/relationships/footer" Target="footer291.xml"/><Relationship Id="rId518" Type="http://schemas.openxmlformats.org/officeDocument/2006/relationships/header" Target="header224.xml"/><Relationship Id="rId517" Type="http://schemas.openxmlformats.org/officeDocument/2006/relationships/footer" Target="footer290.xml"/><Relationship Id="rId516" Type="http://schemas.openxmlformats.org/officeDocument/2006/relationships/header" Target="header223.xml"/><Relationship Id="rId515" Type="http://schemas.openxmlformats.org/officeDocument/2006/relationships/footer" Target="footer289.xml"/><Relationship Id="rId514" Type="http://schemas.openxmlformats.org/officeDocument/2006/relationships/footer" Target="footer288.xml"/><Relationship Id="rId513" Type="http://schemas.openxmlformats.org/officeDocument/2006/relationships/header" Target="header222.xml"/><Relationship Id="rId512" Type="http://schemas.openxmlformats.org/officeDocument/2006/relationships/footer" Target="footer287.xml"/><Relationship Id="rId511" Type="http://schemas.openxmlformats.org/officeDocument/2006/relationships/header" Target="header221.xml"/><Relationship Id="rId510" Type="http://schemas.openxmlformats.org/officeDocument/2006/relationships/footer" Target="footer286.xml"/><Relationship Id="rId51" Type="http://schemas.openxmlformats.org/officeDocument/2006/relationships/header" Target="header18.xml"/><Relationship Id="rId509" Type="http://schemas.openxmlformats.org/officeDocument/2006/relationships/header" Target="header220.xml"/><Relationship Id="rId508" Type="http://schemas.openxmlformats.org/officeDocument/2006/relationships/footer" Target="footer285.xml"/><Relationship Id="rId507" Type="http://schemas.openxmlformats.org/officeDocument/2006/relationships/footer" Target="footer284.xml"/><Relationship Id="rId506" Type="http://schemas.openxmlformats.org/officeDocument/2006/relationships/header" Target="header219.xml"/><Relationship Id="rId505" Type="http://schemas.openxmlformats.org/officeDocument/2006/relationships/footer" Target="footer283.xml"/><Relationship Id="rId504" Type="http://schemas.openxmlformats.org/officeDocument/2006/relationships/header" Target="header218.xml"/><Relationship Id="rId503" Type="http://schemas.openxmlformats.org/officeDocument/2006/relationships/footer" Target="footer282.xml"/><Relationship Id="rId502" Type="http://schemas.openxmlformats.org/officeDocument/2006/relationships/header" Target="header217.xml"/><Relationship Id="rId501" Type="http://schemas.openxmlformats.org/officeDocument/2006/relationships/footer" Target="footer281.xml"/><Relationship Id="rId500" Type="http://schemas.openxmlformats.org/officeDocument/2006/relationships/header" Target="header216.xml"/><Relationship Id="rId50" Type="http://schemas.openxmlformats.org/officeDocument/2006/relationships/footer" Target="footer29.xml"/><Relationship Id="rId5" Type="http://schemas.openxmlformats.org/officeDocument/2006/relationships/header" Target="header1.xml"/><Relationship Id="rId499" Type="http://schemas.openxmlformats.org/officeDocument/2006/relationships/footer" Target="footer280.xml"/><Relationship Id="rId498" Type="http://schemas.openxmlformats.org/officeDocument/2006/relationships/header" Target="header215.xml"/><Relationship Id="rId497" Type="http://schemas.openxmlformats.org/officeDocument/2006/relationships/footer" Target="footer279.xml"/><Relationship Id="rId496" Type="http://schemas.openxmlformats.org/officeDocument/2006/relationships/footer" Target="footer278.xml"/><Relationship Id="rId495" Type="http://schemas.openxmlformats.org/officeDocument/2006/relationships/header" Target="header214.xml"/><Relationship Id="rId494" Type="http://schemas.openxmlformats.org/officeDocument/2006/relationships/footer" Target="footer277.xml"/><Relationship Id="rId493" Type="http://schemas.openxmlformats.org/officeDocument/2006/relationships/header" Target="header213.xml"/><Relationship Id="rId492" Type="http://schemas.openxmlformats.org/officeDocument/2006/relationships/footer" Target="footer276.xml"/><Relationship Id="rId491" Type="http://schemas.openxmlformats.org/officeDocument/2006/relationships/footer" Target="footer275.xml"/><Relationship Id="rId490" Type="http://schemas.openxmlformats.org/officeDocument/2006/relationships/header" Target="header212.xml"/><Relationship Id="rId49" Type="http://schemas.openxmlformats.org/officeDocument/2006/relationships/footer" Target="footer28.xml"/><Relationship Id="rId489" Type="http://schemas.openxmlformats.org/officeDocument/2006/relationships/footer" Target="footer274.xml"/><Relationship Id="rId488" Type="http://schemas.openxmlformats.org/officeDocument/2006/relationships/header" Target="header211.xml"/><Relationship Id="rId487" Type="http://schemas.openxmlformats.org/officeDocument/2006/relationships/footer" Target="footer273.xml"/><Relationship Id="rId486" Type="http://schemas.openxmlformats.org/officeDocument/2006/relationships/header" Target="header210.xml"/><Relationship Id="rId485" Type="http://schemas.openxmlformats.org/officeDocument/2006/relationships/footer" Target="footer272.xml"/><Relationship Id="rId484" Type="http://schemas.openxmlformats.org/officeDocument/2006/relationships/footer" Target="footer271.xml"/><Relationship Id="rId483" Type="http://schemas.openxmlformats.org/officeDocument/2006/relationships/header" Target="header209.xml"/><Relationship Id="rId482" Type="http://schemas.openxmlformats.org/officeDocument/2006/relationships/footer" Target="footer270.xml"/><Relationship Id="rId481" Type="http://schemas.openxmlformats.org/officeDocument/2006/relationships/header" Target="header208.xml"/><Relationship Id="rId480" Type="http://schemas.openxmlformats.org/officeDocument/2006/relationships/footer" Target="footer269.xml"/><Relationship Id="rId48" Type="http://schemas.openxmlformats.org/officeDocument/2006/relationships/header" Target="header17.xml"/><Relationship Id="rId479" Type="http://schemas.openxmlformats.org/officeDocument/2006/relationships/header" Target="header207.xml"/><Relationship Id="rId478" Type="http://schemas.openxmlformats.org/officeDocument/2006/relationships/footer" Target="footer268.xml"/><Relationship Id="rId477" Type="http://schemas.openxmlformats.org/officeDocument/2006/relationships/footer" Target="footer267.xml"/><Relationship Id="rId476" Type="http://schemas.openxmlformats.org/officeDocument/2006/relationships/header" Target="header206.xml"/><Relationship Id="rId475" Type="http://schemas.openxmlformats.org/officeDocument/2006/relationships/footer" Target="footer266.xml"/><Relationship Id="rId474" Type="http://schemas.openxmlformats.org/officeDocument/2006/relationships/header" Target="header205.xml"/><Relationship Id="rId473" Type="http://schemas.openxmlformats.org/officeDocument/2006/relationships/footer" Target="footer265.xml"/><Relationship Id="rId472" Type="http://schemas.openxmlformats.org/officeDocument/2006/relationships/header" Target="header204.xml"/><Relationship Id="rId471" Type="http://schemas.openxmlformats.org/officeDocument/2006/relationships/footer" Target="footer264.xml"/><Relationship Id="rId470" Type="http://schemas.openxmlformats.org/officeDocument/2006/relationships/header" Target="header203.xml"/><Relationship Id="rId47" Type="http://schemas.openxmlformats.org/officeDocument/2006/relationships/footer" Target="footer27.xml"/><Relationship Id="rId469" Type="http://schemas.openxmlformats.org/officeDocument/2006/relationships/footer" Target="footer263.xml"/><Relationship Id="rId468" Type="http://schemas.openxmlformats.org/officeDocument/2006/relationships/header" Target="header202.xml"/><Relationship Id="rId467" Type="http://schemas.openxmlformats.org/officeDocument/2006/relationships/footer" Target="footer262.xml"/><Relationship Id="rId466" Type="http://schemas.openxmlformats.org/officeDocument/2006/relationships/header" Target="header201.xml"/><Relationship Id="rId465" Type="http://schemas.openxmlformats.org/officeDocument/2006/relationships/footer" Target="footer261.xml"/><Relationship Id="rId464" Type="http://schemas.openxmlformats.org/officeDocument/2006/relationships/footer" Target="footer260.xml"/><Relationship Id="rId463" Type="http://schemas.openxmlformats.org/officeDocument/2006/relationships/header" Target="header200.xml"/><Relationship Id="rId462" Type="http://schemas.openxmlformats.org/officeDocument/2006/relationships/footer" Target="footer259.xml"/><Relationship Id="rId461" Type="http://schemas.openxmlformats.org/officeDocument/2006/relationships/header" Target="header199.xml"/><Relationship Id="rId460" Type="http://schemas.openxmlformats.org/officeDocument/2006/relationships/footer" Target="footer258.xml"/><Relationship Id="rId46" Type="http://schemas.openxmlformats.org/officeDocument/2006/relationships/header" Target="header16.xml"/><Relationship Id="rId459" Type="http://schemas.openxmlformats.org/officeDocument/2006/relationships/header" Target="header198.xml"/><Relationship Id="rId458" Type="http://schemas.openxmlformats.org/officeDocument/2006/relationships/footer" Target="footer257.xml"/><Relationship Id="rId457" Type="http://schemas.openxmlformats.org/officeDocument/2006/relationships/footer" Target="footer256.xml"/><Relationship Id="rId456" Type="http://schemas.openxmlformats.org/officeDocument/2006/relationships/footer" Target="footer255.xml"/><Relationship Id="rId455" Type="http://schemas.openxmlformats.org/officeDocument/2006/relationships/header" Target="header197.xml"/><Relationship Id="rId454" Type="http://schemas.openxmlformats.org/officeDocument/2006/relationships/footer" Target="footer254.xml"/><Relationship Id="rId453" Type="http://schemas.openxmlformats.org/officeDocument/2006/relationships/header" Target="header196.xml"/><Relationship Id="rId452" Type="http://schemas.openxmlformats.org/officeDocument/2006/relationships/footer" Target="footer253.xml"/><Relationship Id="rId451" Type="http://schemas.openxmlformats.org/officeDocument/2006/relationships/header" Target="header195.xml"/><Relationship Id="rId450" Type="http://schemas.openxmlformats.org/officeDocument/2006/relationships/footer" Target="footer252.xml"/><Relationship Id="rId45" Type="http://schemas.openxmlformats.org/officeDocument/2006/relationships/footer" Target="footer26.xml"/><Relationship Id="rId449" Type="http://schemas.openxmlformats.org/officeDocument/2006/relationships/header" Target="header194.xml"/><Relationship Id="rId448" Type="http://schemas.openxmlformats.org/officeDocument/2006/relationships/footer" Target="footer251.xml"/><Relationship Id="rId447" Type="http://schemas.openxmlformats.org/officeDocument/2006/relationships/header" Target="header193.xml"/><Relationship Id="rId446" Type="http://schemas.openxmlformats.org/officeDocument/2006/relationships/footer" Target="footer250.xml"/><Relationship Id="rId445" Type="http://schemas.openxmlformats.org/officeDocument/2006/relationships/header" Target="header192.xml"/><Relationship Id="rId444" Type="http://schemas.openxmlformats.org/officeDocument/2006/relationships/footer" Target="footer249.xml"/><Relationship Id="rId443" Type="http://schemas.openxmlformats.org/officeDocument/2006/relationships/header" Target="header191.xml"/><Relationship Id="rId442" Type="http://schemas.openxmlformats.org/officeDocument/2006/relationships/footer" Target="footer248.xml"/><Relationship Id="rId441" Type="http://schemas.openxmlformats.org/officeDocument/2006/relationships/header" Target="header190.xml"/><Relationship Id="rId440" Type="http://schemas.openxmlformats.org/officeDocument/2006/relationships/footer" Target="footer247.xml"/><Relationship Id="rId44" Type="http://schemas.openxmlformats.org/officeDocument/2006/relationships/header" Target="header15.xml"/><Relationship Id="rId439" Type="http://schemas.openxmlformats.org/officeDocument/2006/relationships/header" Target="header189.xml"/><Relationship Id="rId438" Type="http://schemas.openxmlformats.org/officeDocument/2006/relationships/footer" Target="footer246.xml"/><Relationship Id="rId437" Type="http://schemas.openxmlformats.org/officeDocument/2006/relationships/header" Target="header188.xml"/><Relationship Id="rId436" Type="http://schemas.openxmlformats.org/officeDocument/2006/relationships/footer" Target="footer245.xml"/><Relationship Id="rId435" Type="http://schemas.openxmlformats.org/officeDocument/2006/relationships/header" Target="header187.xml"/><Relationship Id="rId434" Type="http://schemas.openxmlformats.org/officeDocument/2006/relationships/footer" Target="footer244.xml"/><Relationship Id="rId433" Type="http://schemas.openxmlformats.org/officeDocument/2006/relationships/footer" Target="footer243.xml"/><Relationship Id="rId432" Type="http://schemas.openxmlformats.org/officeDocument/2006/relationships/header" Target="header186.xml"/><Relationship Id="rId431" Type="http://schemas.openxmlformats.org/officeDocument/2006/relationships/footer" Target="footer242.xml"/><Relationship Id="rId430" Type="http://schemas.openxmlformats.org/officeDocument/2006/relationships/header" Target="header185.xml"/><Relationship Id="rId43" Type="http://schemas.openxmlformats.org/officeDocument/2006/relationships/footer" Target="footer25.xml"/><Relationship Id="rId429" Type="http://schemas.openxmlformats.org/officeDocument/2006/relationships/footer" Target="footer241.xml"/><Relationship Id="rId428" Type="http://schemas.openxmlformats.org/officeDocument/2006/relationships/footer" Target="footer240.xml"/><Relationship Id="rId427" Type="http://schemas.openxmlformats.org/officeDocument/2006/relationships/footer" Target="footer239.xml"/><Relationship Id="rId426" Type="http://schemas.openxmlformats.org/officeDocument/2006/relationships/header" Target="header184.xml"/><Relationship Id="rId425" Type="http://schemas.openxmlformats.org/officeDocument/2006/relationships/footer" Target="footer238.xml"/><Relationship Id="rId424" Type="http://schemas.openxmlformats.org/officeDocument/2006/relationships/header" Target="header183.xml"/><Relationship Id="rId423" Type="http://schemas.openxmlformats.org/officeDocument/2006/relationships/footer" Target="footer237.xml"/><Relationship Id="rId422" Type="http://schemas.openxmlformats.org/officeDocument/2006/relationships/footer" Target="footer236.xml"/><Relationship Id="rId421" Type="http://schemas.openxmlformats.org/officeDocument/2006/relationships/footer" Target="footer235.xml"/><Relationship Id="rId420" Type="http://schemas.openxmlformats.org/officeDocument/2006/relationships/header" Target="header182.xml"/><Relationship Id="rId42" Type="http://schemas.openxmlformats.org/officeDocument/2006/relationships/header" Target="header14.xml"/><Relationship Id="rId419" Type="http://schemas.openxmlformats.org/officeDocument/2006/relationships/footer" Target="footer234.xml"/><Relationship Id="rId418" Type="http://schemas.openxmlformats.org/officeDocument/2006/relationships/header" Target="header181.xml"/><Relationship Id="rId417" Type="http://schemas.openxmlformats.org/officeDocument/2006/relationships/footer" Target="footer233.xml"/><Relationship Id="rId416" Type="http://schemas.openxmlformats.org/officeDocument/2006/relationships/header" Target="header180.xml"/><Relationship Id="rId415" Type="http://schemas.openxmlformats.org/officeDocument/2006/relationships/footer" Target="footer232.xml"/><Relationship Id="rId414" Type="http://schemas.openxmlformats.org/officeDocument/2006/relationships/header" Target="header179.xml"/><Relationship Id="rId413" Type="http://schemas.openxmlformats.org/officeDocument/2006/relationships/footer" Target="footer231.xml"/><Relationship Id="rId412" Type="http://schemas.openxmlformats.org/officeDocument/2006/relationships/header" Target="header178.xml"/><Relationship Id="rId411" Type="http://schemas.openxmlformats.org/officeDocument/2006/relationships/footer" Target="footer230.xml"/><Relationship Id="rId410" Type="http://schemas.openxmlformats.org/officeDocument/2006/relationships/footer" Target="footer229.xml"/><Relationship Id="rId41" Type="http://schemas.openxmlformats.org/officeDocument/2006/relationships/footer" Target="footer24.xml"/><Relationship Id="rId409" Type="http://schemas.openxmlformats.org/officeDocument/2006/relationships/footer" Target="footer228.xml"/><Relationship Id="rId408" Type="http://schemas.openxmlformats.org/officeDocument/2006/relationships/header" Target="header177.xml"/><Relationship Id="rId407" Type="http://schemas.openxmlformats.org/officeDocument/2006/relationships/footer" Target="footer227.xml"/><Relationship Id="rId406" Type="http://schemas.openxmlformats.org/officeDocument/2006/relationships/header" Target="header176.xml"/><Relationship Id="rId405" Type="http://schemas.openxmlformats.org/officeDocument/2006/relationships/footer" Target="footer226.xml"/><Relationship Id="rId404" Type="http://schemas.openxmlformats.org/officeDocument/2006/relationships/header" Target="header175.xml"/><Relationship Id="rId403" Type="http://schemas.openxmlformats.org/officeDocument/2006/relationships/footer" Target="footer225.xml"/><Relationship Id="rId402" Type="http://schemas.openxmlformats.org/officeDocument/2006/relationships/header" Target="header174.xml"/><Relationship Id="rId401" Type="http://schemas.openxmlformats.org/officeDocument/2006/relationships/footer" Target="footer224.xml"/><Relationship Id="rId400" Type="http://schemas.openxmlformats.org/officeDocument/2006/relationships/header" Target="header173.xml"/><Relationship Id="rId40" Type="http://schemas.openxmlformats.org/officeDocument/2006/relationships/header" Target="header13.xml"/><Relationship Id="rId4" Type="http://schemas.openxmlformats.org/officeDocument/2006/relationships/endnotes" Target="endnotes.xml"/><Relationship Id="rId399" Type="http://schemas.openxmlformats.org/officeDocument/2006/relationships/footer" Target="footer223.xml"/><Relationship Id="rId398" Type="http://schemas.openxmlformats.org/officeDocument/2006/relationships/header" Target="header172.xml"/><Relationship Id="rId397" Type="http://schemas.openxmlformats.org/officeDocument/2006/relationships/footer" Target="footer222.xml"/><Relationship Id="rId396" Type="http://schemas.openxmlformats.org/officeDocument/2006/relationships/footer" Target="footer221.xml"/><Relationship Id="rId395" Type="http://schemas.openxmlformats.org/officeDocument/2006/relationships/header" Target="header171.xml"/><Relationship Id="rId394" Type="http://schemas.openxmlformats.org/officeDocument/2006/relationships/footer" Target="footer220.xml"/><Relationship Id="rId393" Type="http://schemas.openxmlformats.org/officeDocument/2006/relationships/header" Target="header170.xml"/><Relationship Id="rId392" Type="http://schemas.openxmlformats.org/officeDocument/2006/relationships/footer" Target="footer219.xml"/><Relationship Id="rId391" Type="http://schemas.openxmlformats.org/officeDocument/2006/relationships/footer" Target="footer218.xml"/><Relationship Id="rId390" Type="http://schemas.openxmlformats.org/officeDocument/2006/relationships/header" Target="header169.xml"/><Relationship Id="rId39" Type="http://schemas.openxmlformats.org/officeDocument/2006/relationships/footer" Target="footer23.xml"/><Relationship Id="rId389" Type="http://schemas.openxmlformats.org/officeDocument/2006/relationships/footer" Target="footer217.xml"/><Relationship Id="rId388" Type="http://schemas.openxmlformats.org/officeDocument/2006/relationships/header" Target="header168.xml"/><Relationship Id="rId387" Type="http://schemas.openxmlformats.org/officeDocument/2006/relationships/footer" Target="footer216.xml"/><Relationship Id="rId386" Type="http://schemas.openxmlformats.org/officeDocument/2006/relationships/header" Target="header167.xml"/><Relationship Id="rId385" Type="http://schemas.openxmlformats.org/officeDocument/2006/relationships/footer" Target="footer215.xml"/><Relationship Id="rId384" Type="http://schemas.openxmlformats.org/officeDocument/2006/relationships/header" Target="header166.xml"/><Relationship Id="rId383" Type="http://schemas.openxmlformats.org/officeDocument/2006/relationships/footer" Target="footer214.xml"/><Relationship Id="rId382" Type="http://schemas.openxmlformats.org/officeDocument/2006/relationships/header" Target="header165.xml"/><Relationship Id="rId381" Type="http://schemas.openxmlformats.org/officeDocument/2006/relationships/footer" Target="footer213.xml"/><Relationship Id="rId380" Type="http://schemas.openxmlformats.org/officeDocument/2006/relationships/footer" Target="footer212.xml"/><Relationship Id="rId38" Type="http://schemas.openxmlformats.org/officeDocument/2006/relationships/header" Target="header12.xml"/><Relationship Id="rId379" Type="http://schemas.openxmlformats.org/officeDocument/2006/relationships/footer" Target="footer211.xml"/><Relationship Id="rId378" Type="http://schemas.openxmlformats.org/officeDocument/2006/relationships/footer" Target="footer210.xml"/><Relationship Id="rId377" Type="http://schemas.openxmlformats.org/officeDocument/2006/relationships/header" Target="header164.xml"/><Relationship Id="rId376" Type="http://schemas.openxmlformats.org/officeDocument/2006/relationships/footer" Target="footer209.xml"/><Relationship Id="rId375" Type="http://schemas.openxmlformats.org/officeDocument/2006/relationships/header" Target="header163.xml"/><Relationship Id="rId374" Type="http://schemas.openxmlformats.org/officeDocument/2006/relationships/footer" Target="footer208.xml"/><Relationship Id="rId373" Type="http://schemas.openxmlformats.org/officeDocument/2006/relationships/header" Target="header162.xml"/><Relationship Id="rId372" Type="http://schemas.openxmlformats.org/officeDocument/2006/relationships/footer" Target="footer207.xml"/><Relationship Id="rId371" Type="http://schemas.openxmlformats.org/officeDocument/2006/relationships/header" Target="header161.xml"/><Relationship Id="rId370" Type="http://schemas.openxmlformats.org/officeDocument/2006/relationships/footer" Target="footer206.xml"/><Relationship Id="rId37" Type="http://schemas.openxmlformats.org/officeDocument/2006/relationships/footer" Target="footer22.xml"/><Relationship Id="rId369" Type="http://schemas.openxmlformats.org/officeDocument/2006/relationships/header" Target="header160.xml"/><Relationship Id="rId368" Type="http://schemas.openxmlformats.org/officeDocument/2006/relationships/footer" Target="footer205.xml"/><Relationship Id="rId367" Type="http://schemas.openxmlformats.org/officeDocument/2006/relationships/header" Target="header159.xml"/><Relationship Id="rId366" Type="http://schemas.openxmlformats.org/officeDocument/2006/relationships/footer" Target="footer204.xml"/><Relationship Id="rId365" Type="http://schemas.openxmlformats.org/officeDocument/2006/relationships/footer" Target="footer203.xml"/><Relationship Id="rId364" Type="http://schemas.openxmlformats.org/officeDocument/2006/relationships/header" Target="header158.xml"/><Relationship Id="rId363" Type="http://schemas.openxmlformats.org/officeDocument/2006/relationships/footer" Target="footer202.xml"/><Relationship Id="rId362" Type="http://schemas.openxmlformats.org/officeDocument/2006/relationships/header" Target="header157.xml"/><Relationship Id="rId361" Type="http://schemas.openxmlformats.org/officeDocument/2006/relationships/footer" Target="footer201.xml"/><Relationship Id="rId360" Type="http://schemas.openxmlformats.org/officeDocument/2006/relationships/header" Target="header156.xml"/><Relationship Id="rId36" Type="http://schemas.openxmlformats.org/officeDocument/2006/relationships/header" Target="header11.xml"/><Relationship Id="rId359" Type="http://schemas.openxmlformats.org/officeDocument/2006/relationships/footer" Target="footer200.xml"/><Relationship Id="rId358" Type="http://schemas.openxmlformats.org/officeDocument/2006/relationships/header" Target="header155.xml"/><Relationship Id="rId357" Type="http://schemas.openxmlformats.org/officeDocument/2006/relationships/footer" Target="footer199.xml"/><Relationship Id="rId356" Type="http://schemas.openxmlformats.org/officeDocument/2006/relationships/header" Target="header154.xml"/><Relationship Id="rId355" Type="http://schemas.openxmlformats.org/officeDocument/2006/relationships/footer" Target="footer198.xml"/><Relationship Id="rId354" Type="http://schemas.openxmlformats.org/officeDocument/2006/relationships/header" Target="header153.xml"/><Relationship Id="rId353" Type="http://schemas.openxmlformats.org/officeDocument/2006/relationships/footer" Target="footer197.xml"/><Relationship Id="rId352" Type="http://schemas.openxmlformats.org/officeDocument/2006/relationships/header" Target="header152.xml"/><Relationship Id="rId351" Type="http://schemas.openxmlformats.org/officeDocument/2006/relationships/footer" Target="footer196.xml"/><Relationship Id="rId350" Type="http://schemas.openxmlformats.org/officeDocument/2006/relationships/header" Target="header151.xml"/><Relationship Id="rId35" Type="http://schemas.openxmlformats.org/officeDocument/2006/relationships/footer" Target="footer21.xml"/><Relationship Id="rId349" Type="http://schemas.openxmlformats.org/officeDocument/2006/relationships/footer" Target="footer195.xml"/><Relationship Id="rId348" Type="http://schemas.openxmlformats.org/officeDocument/2006/relationships/header" Target="header150.xml"/><Relationship Id="rId347" Type="http://schemas.openxmlformats.org/officeDocument/2006/relationships/footer" Target="footer194.xml"/><Relationship Id="rId346" Type="http://schemas.openxmlformats.org/officeDocument/2006/relationships/header" Target="header149.xml"/><Relationship Id="rId345" Type="http://schemas.openxmlformats.org/officeDocument/2006/relationships/footer" Target="footer193.xml"/><Relationship Id="rId344" Type="http://schemas.openxmlformats.org/officeDocument/2006/relationships/header" Target="header148.xml"/><Relationship Id="rId343" Type="http://schemas.openxmlformats.org/officeDocument/2006/relationships/footer" Target="footer192.xml"/><Relationship Id="rId342" Type="http://schemas.openxmlformats.org/officeDocument/2006/relationships/header" Target="header147.xml"/><Relationship Id="rId341" Type="http://schemas.openxmlformats.org/officeDocument/2006/relationships/footer" Target="footer191.xml"/><Relationship Id="rId340" Type="http://schemas.openxmlformats.org/officeDocument/2006/relationships/header" Target="header146.xml"/><Relationship Id="rId34" Type="http://schemas.openxmlformats.org/officeDocument/2006/relationships/footer" Target="footer20.xml"/><Relationship Id="rId339" Type="http://schemas.openxmlformats.org/officeDocument/2006/relationships/footer" Target="footer190.xml"/><Relationship Id="rId338" Type="http://schemas.openxmlformats.org/officeDocument/2006/relationships/header" Target="header145.xml"/><Relationship Id="rId337" Type="http://schemas.openxmlformats.org/officeDocument/2006/relationships/footer" Target="footer189.xml"/><Relationship Id="rId336" Type="http://schemas.openxmlformats.org/officeDocument/2006/relationships/header" Target="header144.xml"/><Relationship Id="rId335" Type="http://schemas.openxmlformats.org/officeDocument/2006/relationships/footer" Target="footer188.xml"/><Relationship Id="rId334" Type="http://schemas.openxmlformats.org/officeDocument/2006/relationships/header" Target="header143.xml"/><Relationship Id="rId333" Type="http://schemas.openxmlformats.org/officeDocument/2006/relationships/footer" Target="footer187.xml"/><Relationship Id="rId332" Type="http://schemas.openxmlformats.org/officeDocument/2006/relationships/header" Target="header142.xml"/><Relationship Id="rId331" Type="http://schemas.openxmlformats.org/officeDocument/2006/relationships/footer" Target="footer186.xml"/><Relationship Id="rId330" Type="http://schemas.openxmlformats.org/officeDocument/2006/relationships/footer" Target="footer185.xml"/><Relationship Id="rId33" Type="http://schemas.openxmlformats.org/officeDocument/2006/relationships/header" Target="header10.xml"/><Relationship Id="rId329" Type="http://schemas.openxmlformats.org/officeDocument/2006/relationships/header" Target="header141.xml"/><Relationship Id="rId328" Type="http://schemas.openxmlformats.org/officeDocument/2006/relationships/footer" Target="footer184.xml"/><Relationship Id="rId327" Type="http://schemas.openxmlformats.org/officeDocument/2006/relationships/header" Target="header140.xml"/><Relationship Id="rId326" Type="http://schemas.openxmlformats.org/officeDocument/2006/relationships/footer" Target="footer183.xml"/><Relationship Id="rId325" Type="http://schemas.openxmlformats.org/officeDocument/2006/relationships/footer" Target="footer182.xml"/><Relationship Id="rId324" Type="http://schemas.openxmlformats.org/officeDocument/2006/relationships/footer" Target="footer181.xml"/><Relationship Id="rId323" Type="http://schemas.openxmlformats.org/officeDocument/2006/relationships/header" Target="header139.xml"/><Relationship Id="rId322" Type="http://schemas.openxmlformats.org/officeDocument/2006/relationships/footer" Target="footer180.xml"/><Relationship Id="rId321" Type="http://schemas.openxmlformats.org/officeDocument/2006/relationships/footer" Target="footer179.xml"/><Relationship Id="rId320" Type="http://schemas.openxmlformats.org/officeDocument/2006/relationships/header" Target="header138.xml"/><Relationship Id="rId32" Type="http://schemas.openxmlformats.org/officeDocument/2006/relationships/footer" Target="footer19.xml"/><Relationship Id="rId319" Type="http://schemas.openxmlformats.org/officeDocument/2006/relationships/footer" Target="footer178.xml"/><Relationship Id="rId318" Type="http://schemas.openxmlformats.org/officeDocument/2006/relationships/header" Target="header137.xml"/><Relationship Id="rId317" Type="http://schemas.openxmlformats.org/officeDocument/2006/relationships/footer" Target="footer177.xml"/><Relationship Id="rId316" Type="http://schemas.openxmlformats.org/officeDocument/2006/relationships/header" Target="header136.xml"/><Relationship Id="rId315" Type="http://schemas.openxmlformats.org/officeDocument/2006/relationships/footer" Target="footer176.xml"/><Relationship Id="rId314" Type="http://schemas.openxmlformats.org/officeDocument/2006/relationships/header" Target="header135.xml"/><Relationship Id="rId313" Type="http://schemas.openxmlformats.org/officeDocument/2006/relationships/footer" Target="footer175.xml"/><Relationship Id="rId312" Type="http://schemas.openxmlformats.org/officeDocument/2006/relationships/footer" Target="footer174.xml"/><Relationship Id="rId311" Type="http://schemas.openxmlformats.org/officeDocument/2006/relationships/footer" Target="footer173.xml"/><Relationship Id="rId310" Type="http://schemas.openxmlformats.org/officeDocument/2006/relationships/footer" Target="footer172.xml"/><Relationship Id="rId31" Type="http://schemas.openxmlformats.org/officeDocument/2006/relationships/header" Target="header9.xml"/><Relationship Id="rId309" Type="http://schemas.openxmlformats.org/officeDocument/2006/relationships/header" Target="header134.xml"/><Relationship Id="rId308" Type="http://schemas.openxmlformats.org/officeDocument/2006/relationships/footer" Target="footer171.xml"/><Relationship Id="rId307" Type="http://schemas.openxmlformats.org/officeDocument/2006/relationships/header" Target="header133.xml"/><Relationship Id="rId306" Type="http://schemas.openxmlformats.org/officeDocument/2006/relationships/footer" Target="footer170.xml"/><Relationship Id="rId305" Type="http://schemas.openxmlformats.org/officeDocument/2006/relationships/header" Target="header132.xml"/><Relationship Id="rId304" Type="http://schemas.openxmlformats.org/officeDocument/2006/relationships/footer" Target="footer169.xml"/><Relationship Id="rId303" Type="http://schemas.openxmlformats.org/officeDocument/2006/relationships/header" Target="header131.xml"/><Relationship Id="rId302" Type="http://schemas.openxmlformats.org/officeDocument/2006/relationships/footer" Target="footer168.xml"/><Relationship Id="rId301" Type="http://schemas.openxmlformats.org/officeDocument/2006/relationships/header" Target="header130.xml"/><Relationship Id="rId300" Type="http://schemas.openxmlformats.org/officeDocument/2006/relationships/footer" Target="footer167.xml"/><Relationship Id="rId30" Type="http://schemas.openxmlformats.org/officeDocument/2006/relationships/footer" Target="footer18.xml"/><Relationship Id="rId3" Type="http://schemas.openxmlformats.org/officeDocument/2006/relationships/footnotes" Target="footnotes.xml"/><Relationship Id="rId299" Type="http://schemas.openxmlformats.org/officeDocument/2006/relationships/header" Target="header129.xml"/><Relationship Id="rId298" Type="http://schemas.openxmlformats.org/officeDocument/2006/relationships/footer" Target="footer166.xml"/><Relationship Id="rId297" Type="http://schemas.openxmlformats.org/officeDocument/2006/relationships/header" Target="header128.xml"/><Relationship Id="rId296" Type="http://schemas.openxmlformats.org/officeDocument/2006/relationships/footer" Target="footer165.xml"/><Relationship Id="rId295" Type="http://schemas.openxmlformats.org/officeDocument/2006/relationships/header" Target="header127.xml"/><Relationship Id="rId294" Type="http://schemas.openxmlformats.org/officeDocument/2006/relationships/footer" Target="footer164.xml"/><Relationship Id="rId293" Type="http://schemas.openxmlformats.org/officeDocument/2006/relationships/header" Target="header126.xml"/><Relationship Id="rId292" Type="http://schemas.openxmlformats.org/officeDocument/2006/relationships/footer" Target="footer163.xml"/><Relationship Id="rId291" Type="http://schemas.openxmlformats.org/officeDocument/2006/relationships/header" Target="header125.xml"/><Relationship Id="rId290" Type="http://schemas.openxmlformats.org/officeDocument/2006/relationships/footer" Target="footer162.xml"/><Relationship Id="rId29" Type="http://schemas.openxmlformats.org/officeDocument/2006/relationships/header" Target="header8.xml"/><Relationship Id="rId289" Type="http://schemas.openxmlformats.org/officeDocument/2006/relationships/header" Target="header124.xml"/><Relationship Id="rId288" Type="http://schemas.openxmlformats.org/officeDocument/2006/relationships/footer" Target="footer161.xml"/><Relationship Id="rId287" Type="http://schemas.openxmlformats.org/officeDocument/2006/relationships/header" Target="header123.xml"/><Relationship Id="rId286" Type="http://schemas.openxmlformats.org/officeDocument/2006/relationships/footer" Target="footer160.xml"/><Relationship Id="rId285" Type="http://schemas.openxmlformats.org/officeDocument/2006/relationships/footer" Target="footer159.xml"/><Relationship Id="rId284" Type="http://schemas.openxmlformats.org/officeDocument/2006/relationships/header" Target="header122.xml"/><Relationship Id="rId283" Type="http://schemas.openxmlformats.org/officeDocument/2006/relationships/footer" Target="footer158.xml"/><Relationship Id="rId282" Type="http://schemas.openxmlformats.org/officeDocument/2006/relationships/header" Target="header121.xml"/><Relationship Id="rId281" Type="http://schemas.openxmlformats.org/officeDocument/2006/relationships/footer" Target="footer157.xml"/><Relationship Id="rId280" Type="http://schemas.openxmlformats.org/officeDocument/2006/relationships/header" Target="header120.xml"/><Relationship Id="rId28" Type="http://schemas.openxmlformats.org/officeDocument/2006/relationships/footer" Target="footer17.xml"/><Relationship Id="rId279" Type="http://schemas.openxmlformats.org/officeDocument/2006/relationships/footer" Target="footer156.xml"/><Relationship Id="rId278" Type="http://schemas.openxmlformats.org/officeDocument/2006/relationships/header" Target="header119.xml"/><Relationship Id="rId277" Type="http://schemas.openxmlformats.org/officeDocument/2006/relationships/footer" Target="footer155.xml"/><Relationship Id="rId276" Type="http://schemas.openxmlformats.org/officeDocument/2006/relationships/header" Target="header118.xml"/><Relationship Id="rId275" Type="http://schemas.openxmlformats.org/officeDocument/2006/relationships/footer" Target="footer154.xml"/><Relationship Id="rId274" Type="http://schemas.openxmlformats.org/officeDocument/2006/relationships/footer" Target="footer153.xml"/><Relationship Id="rId273" Type="http://schemas.openxmlformats.org/officeDocument/2006/relationships/header" Target="header117.xml"/><Relationship Id="rId272" Type="http://schemas.openxmlformats.org/officeDocument/2006/relationships/footer" Target="footer152.xml"/><Relationship Id="rId271" Type="http://schemas.openxmlformats.org/officeDocument/2006/relationships/header" Target="header116.xml"/><Relationship Id="rId270" Type="http://schemas.openxmlformats.org/officeDocument/2006/relationships/footer" Target="footer151.xml"/><Relationship Id="rId27" Type="http://schemas.openxmlformats.org/officeDocument/2006/relationships/header" Target="header7.xml"/><Relationship Id="rId269" Type="http://schemas.openxmlformats.org/officeDocument/2006/relationships/header" Target="header115.xml"/><Relationship Id="rId268" Type="http://schemas.openxmlformats.org/officeDocument/2006/relationships/footer" Target="footer150.xml"/><Relationship Id="rId267" Type="http://schemas.openxmlformats.org/officeDocument/2006/relationships/header" Target="header114.xml"/><Relationship Id="rId266" Type="http://schemas.openxmlformats.org/officeDocument/2006/relationships/footer" Target="footer149.xml"/><Relationship Id="rId265" Type="http://schemas.openxmlformats.org/officeDocument/2006/relationships/header" Target="header113.xml"/><Relationship Id="rId264" Type="http://schemas.openxmlformats.org/officeDocument/2006/relationships/footer" Target="footer148.xml"/><Relationship Id="rId263" Type="http://schemas.openxmlformats.org/officeDocument/2006/relationships/footer" Target="footer147.xml"/><Relationship Id="rId262" Type="http://schemas.openxmlformats.org/officeDocument/2006/relationships/footer" Target="footer146.xml"/><Relationship Id="rId261" Type="http://schemas.openxmlformats.org/officeDocument/2006/relationships/header" Target="header112.xml"/><Relationship Id="rId260" Type="http://schemas.openxmlformats.org/officeDocument/2006/relationships/footer" Target="footer145.xml"/><Relationship Id="rId26" Type="http://schemas.openxmlformats.org/officeDocument/2006/relationships/footer" Target="footer16.xml"/><Relationship Id="rId259" Type="http://schemas.openxmlformats.org/officeDocument/2006/relationships/footer" Target="footer144.xml"/><Relationship Id="rId258" Type="http://schemas.openxmlformats.org/officeDocument/2006/relationships/header" Target="header111.xml"/><Relationship Id="rId257" Type="http://schemas.openxmlformats.org/officeDocument/2006/relationships/footer" Target="footer143.xml"/><Relationship Id="rId256" Type="http://schemas.openxmlformats.org/officeDocument/2006/relationships/header" Target="header110.xml"/><Relationship Id="rId255" Type="http://schemas.openxmlformats.org/officeDocument/2006/relationships/footer" Target="footer142.xml"/><Relationship Id="rId254" Type="http://schemas.openxmlformats.org/officeDocument/2006/relationships/header" Target="header109.xml"/><Relationship Id="rId253" Type="http://schemas.openxmlformats.org/officeDocument/2006/relationships/footer" Target="footer141.xml"/><Relationship Id="rId252" Type="http://schemas.openxmlformats.org/officeDocument/2006/relationships/header" Target="header108.xml"/><Relationship Id="rId251" Type="http://schemas.openxmlformats.org/officeDocument/2006/relationships/footer" Target="footer140.xml"/><Relationship Id="rId250" Type="http://schemas.openxmlformats.org/officeDocument/2006/relationships/header" Target="header107.xml"/><Relationship Id="rId25" Type="http://schemas.openxmlformats.org/officeDocument/2006/relationships/header" Target="header6.xml"/><Relationship Id="rId249" Type="http://schemas.openxmlformats.org/officeDocument/2006/relationships/footer" Target="footer139.xml"/><Relationship Id="rId248" Type="http://schemas.openxmlformats.org/officeDocument/2006/relationships/header" Target="header106.xml"/><Relationship Id="rId247" Type="http://schemas.openxmlformats.org/officeDocument/2006/relationships/footer" Target="footer138.xml"/><Relationship Id="rId246" Type="http://schemas.openxmlformats.org/officeDocument/2006/relationships/header" Target="header105.xml"/><Relationship Id="rId245" Type="http://schemas.openxmlformats.org/officeDocument/2006/relationships/footer" Target="footer137.xml"/><Relationship Id="rId244" Type="http://schemas.openxmlformats.org/officeDocument/2006/relationships/header" Target="header104.xml"/><Relationship Id="rId243" Type="http://schemas.openxmlformats.org/officeDocument/2006/relationships/footer" Target="footer136.xml"/><Relationship Id="rId242" Type="http://schemas.openxmlformats.org/officeDocument/2006/relationships/header" Target="header103.xml"/><Relationship Id="rId241" Type="http://schemas.openxmlformats.org/officeDocument/2006/relationships/footer" Target="footer135.xml"/><Relationship Id="rId240" Type="http://schemas.openxmlformats.org/officeDocument/2006/relationships/footer" Target="footer134.xml"/><Relationship Id="rId24" Type="http://schemas.openxmlformats.org/officeDocument/2006/relationships/footer" Target="footer15.xml"/><Relationship Id="rId239" Type="http://schemas.openxmlformats.org/officeDocument/2006/relationships/footer" Target="footer133.xml"/><Relationship Id="rId238" Type="http://schemas.openxmlformats.org/officeDocument/2006/relationships/footer" Target="footer132.xml"/><Relationship Id="rId237" Type="http://schemas.openxmlformats.org/officeDocument/2006/relationships/header" Target="header102.xml"/><Relationship Id="rId236" Type="http://schemas.openxmlformats.org/officeDocument/2006/relationships/footer" Target="footer131.xml"/><Relationship Id="rId235" Type="http://schemas.openxmlformats.org/officeDocument/2006/relationships/footer" Target="footer130.xml"/><Relationship Id="rId234" Type="http://schemas.openxmlformats.org/officeDocument/2006/relationships/header" Target="header101.xml"/><Relationship Id="rId233" Type="http://schemas.openxmlformats.org/officeDocument/2006/relationships/footer" Target="footer129.xml"/><Relationship Id="rId232" Type="http://schemas.openxmlformats.org/officeDocument/2006/relationships/footer" Target="footer128.xml"/><Relationship Id="rId231" Type="http://schemas.openxmlformats.org/officeDocument/2006/relationships/header" Target="header100.xml"/><Relationship Id="rId230" Type="http://schemas.openxmlformats.org/officeDocument/2006/relationships/footer" Target="footer127.xml"/><Relationship Id="rId23" Type="http://schemas.openxmlformats.org/officeDocument/2006/relationships/footer" Target="footer14.xml"/><Relationship Id="rId229" Type="http://schemas.openxmlformats.org/officeDocument/2006/relationships/header" Target="header99.xml"/><Relationship Id="rId228" Type="http://schemas.openxmlformats.org/officeDocument/2006/relationships/footer" Target="footer126.xml"/><Relationship Id="rId227" Type="http://schemas.openxmlformats.org/officeDocument/2006/relationships/header" Target="header98.xml"/><Relationship Id="rId226" Type="http://schemas.openxmlformats.org/officeDocument/2006/relationships/footer" Target="footer125.xml"/><Relationship Id="rId225" Type="http://schemas.openxmlformats.org/officeDocument/2006/relationships/header" Target="header97.xml"/><Relationship Id="rId224" Type="http://schemas.openxmlformats.org/officeDocument/2006/relationships/footer" Target="footer124.xml"/><Relationship Id="rId223" Type="http://schemas.openxmlformats.org/officeDocument/2006/relationships/header" Target="header96.xml"/><Relationship Id="rId222" Type="http://schemas.openxmlformats.org/officeDocument/2006/relationships/footer" Target="footer123.xml"/><Relationship Id="rId221" Type="http://schemas.openxmlformats.org/officeDocument/2006/relationships/header" Target="header95.xml"/><Relationship Id="rId220" Type="http://schemas.openxmlformats.org/officeDocument/2006/relationships/footer" Target="footer122.xml"/><Relationship Id="rId22" Type="http://schemas.openxmlformats.org/officeDocument/2006/relationships/footer" Target="footer13.xml"/><Relationship Id="rId219" Type="http://schemas.openxmlformats.org/officeDocument/2006/relationships/header" Target="header94.xml"/><Relationship Id="rId218" Type="http://schemas.openxmlformats.org/officeDocument/2006/relationships/footer" Target="footer121.xml"/><Relationship Id="rId217" Type="http://schemas.openxmlformats.org/officeDocument/2006/relationships/footer" Target="footer120.xml"/><Relationship Id="rId216" Type="http://schemas.openxmlformats.org/officeDocument/2006/relationships/header" Target="header93.xml"/><Relationship Id="rId215" Type="http://schemas.openxmlformats.org/officeDocument/2006/relationships/footer" Target="footer119.xml"/><Relationship Id="rId214" Type="http://schemas.openxmlformats.org/officeDocument/2006/relationships/header" Target="header92.xml"/><Relationship Id="rId213" Type="http://schemas.openxmlformats.org/officeDocument/2006/relationships/footer" Target="footer118.xml"/><Relationship Id="rId212" Type="http://schemas.openxmlformats.org/officeDocument/2006/relationships/header" Target="header91.xml"/><Relationship Id="rId211" Type="http://schemas.openxmlformats.org/officeDocument/2006/relationships/footer" Target="footer117.xml"/><Relationship Id="rId210" Type="http://schemas.openxmlformats.org/officeDocument/2006/relationships/header" Target="header90.xml"/><Relationship Id="rId21" Type="http://schemas.openxmlformats.org/officeDocument/2006/relationships/footer" Target="footer12.xml"/><Relationship Id="rId209" Type="http://schemas.openxmlformats.org/officeDocument/2006/relationships/footer" Target="footer116.xml"/><Relationship Id="rId208" Type="http://schemas.openxmlformats.org/officeDocument/2006/relationships/header" Target="header89.xml"/><Relationship Id="rId207" Type="http://schemas.openxmlformats.org/officeDocument/2006/relationships/footer" Target="footer115.xml"/><Relationship Id="rId206" Type="http://schemas.openxmlformats.org/officeDocument/2006/relationships/header" Target="header88.xml"/><Relationship Id="rId205" Type="http://schemas.openxmlformats.org/officeDocument/2006/relationships/footer" Target="footer114.xml"/><Relationship Id="rId204" Type="http://schemas.openxmlformats.org/officeDocument/2006/relationships/header" Target="header87.xml"/><Relationship Id="rId203" Type="http://schemas.openxmlformats.org/officeDocument/2006/relationships/footer" Target="footer113.xml"/><Relationship Id="rId202" Type="http://schemas.openxmlformats.org/officeDocument/2006/relationships/header" Target="header86.xml"/><Relationship Id="rId201" Type="http://schemas.openxmlformats.org/officeDocument/2006/relationships/footer" Target="footer112.xml"/><Relationship Id="rId200" Type="http://schemas.openxmlformats.org/officeDocument/2006/relationships/header" Target="header85.xml"/><Relationship Id="rId20" Type="http://schemas.openxmlformats.org/officeDocument/2006/relationships/footer" Target="footer11.xml"/><Relationship Id="rId2" Type="http://schemas.openxmlformats.org/officeDocument/2006/relationships/settings" Target="settings.xml"/><Relationship Id="rId199" Type="http://schemas.openxmlformats.org/officeDocument/2006/relationships/footer" Target="footer111.xml"/><Relationship Id="rId198" Type="http://schemas.openxmlformats.org/officeDocument/2006/relationships/header" Target="header84.xml"/><Relationship Id="rId197" Type="http://schemas.openxmlformats.org/officeDocument/2006/relationships/footer" Target="footer110.xml"/><Relationship Id="rId196" Type="http://schemas.openxmlformats.org/officeDocument/2006/relationships/header" Target="header83.xml"/><Relationship Id="rId195" Type="http://schemas.openxmlformats.org/officeDocument/2006/relationships/footer" Target="footer109.xml"/><Relationship Id="rId194" Type="http://schemas.openxmlformats.org/officeDocument/2006/relationships/header" Target="header82.xml"/><Relationship Id="rId193" Type="http://schemas.openxmlformats.org/officeDocument/2006/relationships/footer" Target="footer108.xml"/><Relationship Id="rId192" Type="http://schemas.openxmlformats.org/officeDocument/2006/relationships/header" Target="header81.xml"/><Relationship Id="rId191" Type="http://schemas.openxmlformats.org/officeDocument/2006/relationships/footer" Target="footer107.xml"/><Relationship Id="rId190" Type="http://schemas.openxmlformats.org/officeDocument/2006/relationships/header" Target="header80.xml"/><Relationship Id="rId19" Type="http://schemas.openxmlformats.org/officeDocument/2006/relationships/footer" Target="footer10.xml"/><Relationship Id="rId189" Type="http://schemas.openxmlformats.org/officeDocument/2006/relationships/footer" Target="footer106.xml"/><Relationship Id="rId188" Type="http://schemas.openxmlformats.org/officeDocument/2006/relationships/header" Target="header79.xml"/><Relationship Id="rId187" Type="http://schemas.openxmlformats.org/officeDocument/2006/relationships/footer" Target="footer105.xml"/><Relationship Id="rId186" Type="http://schemas.openxmlformats.org/officeDocument/2006/relationships/header" Target="header78.xml"/><Relationship Id="rId185" Type="http://schemas.openxmlformats.org/officeDocument/2006/relationships/footer" Target="footer104.xml"/><Relationship Id="rId184" Type="http://schemas.openxmlformats.org/officeDocument/2006/relationships/header" Target="header77.xml"/><Relationship Id="rId183" Type="http://schemas.openxmlformats.org/officeDocument/2006/relationships/footer" Target="footer103.xml"/><Relationship Id="rId182" Type="http://schemas.openxmlformats.org/officeDocument/2006/relationships/header" Target="header76.xml"/><Relationship Id="rId181" Type="http://schemas.openxmlformats.org/officeDocument/2006/relationships/footer" Target="footer102.xml"/><Relationship Id="rId180" Type="http://schemas.openxmlformats.org/officeDocument/2006/relationships/header" Target="header75.xml"/><Relationship Id="rId18" Type="http://schemas.openxmlformats.org/officeDocument/2006/relationships/header" Target="header5.xml"/><Relationship Id="rId179" Type="http://schemas.openxmlformats.org/officeDocument/2006/relationships/footer" Target="footer101.xml"/><Relationship Id="rId178" Type="http://schemas.openxmlformats.org/officeDocument/2006/relationships/header" Target="header74.xml"/><Relationship Id="rId177" Type="http://schemas.openxmlformats.org/officeDocument/2006/relationships/footer" Target="footer100.xml"/><Relationship Id="rId176" Type="http://schemas.openxmlformats.org/officeDocument/2006/relationships/header" Target="header73.xml"/><Relationship Id="rId175" Type="http://schemas.openxmlformats.org/officeDocument/2006/relationships/footer" Target="footer99.xml"/><Relationship Id="rId174" Type="http://schemas.openxmlformats.org/officeDocument/2006/relationships/header" Target="header72.xml"/><Relationship Id="rId173" Type="http://schemas.openxmlformats.org/officeDocument/2006/relationships/footer" Target="footer98.xml"/><Relationship Id="rId172" Type="http://schemas.openxmlformats.org/officeDocument/2006/relationships/footer" Target="footer97.xml"/><Relationship Id="rId171" Type="http://schemas.openxmlformats.org/officeDocument/2006/relationships/footer" Target="footer96.xml"/><Relationship Id="rId170" Type="http://schemas.openxmlformats.org/officeDocument/2006/relationships/footer" Target="footer95.xml"/><Relationship Id="rId17" Type="http://schemas.openxmlformats.org/officeDocument/2006/relationships/footer" Target="footer9.xml"/><Relationship Id="rId169" Type="http://schemas.openxmlformats.org/officeDocument/2006/relationships/header" Target="header71.xml"/><Relationship Id="rId168" Type="http://schemas.openxmlformats.org/officeDocument/2006/relationships/footer" Target="footer94.xml"/><Relationship Id="rId167" Type="http://schemas.openxmlformats.org/officeDocument/2006/relationships/header" Target="header70.xml"/><Relationship Id="rId166" Type="http://schemas.openxmlformats.org/officeDocument/2006/relationships/footer" Target="footer93.xml"/><Relationship Id="rId165" Type="http://schemas.openxmlformats.org/officeDocument/2006/relationships/header" Target="header69.xml"/><Relationship Id="rId164" Type="http://schemas.openxmlformats.org/officeDocument/2006/relationships/footer" Target="footer92.xml"/><Relationship Id="rId163" Type="http://schemas.openxmlformats.org/officeDocument/2006/relationships/header" Target="header68.xml"/><Relationship Id="rId162" Type="http://schemas.openxmlformats.org/officeDocument/2006/relationships/footer" Target="footer91.xml"/><Relationship Id="rId161" Type="http://schemas.openxmlformats.org/officeDocument/2006/relationships/header" Target="header67.xml"/><Relationship Id="rId160" Type="http://schemas.openxmlformats.org/officeDocument/2006/relationships/footer" Target="footer90.xml"/><Relationship Id="rId16" Type="http://schemas.openxmlformats.org/officeDocument/2006/relationships/header" Target="header4.xml"/><Relationship Id="rId159" Type="http://schemas.openxmlformats.org/officeDocument/2006/relationships/header" Target="header66.xml"/><Relationship Id="rId158" Type="http://schemas.openxmlformats.org/officeDocument/2006/relationships/footer" Target="footer89.xml"/><Relationship Id="rId157" Type="http://schemas.openxmlformats.org/officeDocument/2006/relationships/header" Target="header65.xml"/><Relationship Id="rId156" Type="http://schemas.openxmlformats.org/officeDocument/2006/relationships/footer" Target="footer88.xml"/><Relationship Id="rId155" Type="http://schemas.openxmlformats.org/officeDocument/2006/relationships/footer" Target="footer87.xml"/><Relationship Id="rId154" Type="http://schemas.openxmlformats.org/officeDocument/2006/relationships/header" Target="header64.xml"/><Relationship Id="rId153" Type="http://schemas.openxmlformats.org/officeDocument/2006/relationships/footer" Target="footer86.xml"/><Relationship Id="rId152" Type="http://schemas.openxmlformats.org/officeDocument/2006/relationships/footer" Target="footer85.xml"/><Relationship Id="rId151" Type="http://schemas.openxmlformats.org/officeDocument/2006/relationships/footer" Target="footer84.xml"/><Relationship Id="rId150" Type="http://schemas.openxmlformats.org/officeDocument/2006/relationships/header" Target="header63.xml"/><Relationship Id="rId15" Type="http://schemas.openxmlformats.org/officeDocument/2006/relationships/footer" Target="footer8.xml"/><Relationship Id="rId149" Type="http://schemas.openxmlformats.org/officeDocument/2006/relationships/footer" Target="footer83.xml"/><Relationship Id="rId148" Type="http://schemas.openxmlformats.org/officeDocument/2006/relationships/header" Target="header62.xml"/><Relationship Id="rId147" Type="http://schemas.openxmlformats.org/officeDocument/2006/relationships/footer" Target="footer82.xml"/><Relationship Id="rId146" Type="http://schemas.openxmlformats.org/officeDocument/2006/relationships/footer" Target="footer81.xml"/><Relationship Id="rId145" Type="http://schemas.openxmlformats.org/officeDocument/2006/relationships/header" Target="header61.xml"/><Relationship Id="rId144" Type="http://schemas.openxmlformats.org/officeDocument/2006/relationships/footer" Target="footer80.xml"/><Relationship Id="rId143" Type="http://schemas.openxmlformats.org/officeDocument/2006/relationships/header" Target="header60.xml"/><Relationship Id="rId142" Type="http://schemas.openxmlformats.org/officeDocument/2006/relationships/footer" Target="footer79.xml"/><Relationship Id="rId141" Type="http://schemas.openxmlformats.org/officeDocument/2006/relationships/header" Target="header59.xml"/><Relationship Id="rId140" Type="http://schemas.openxmlformats.org/officeDocument/2006/relationships/footer" Target="footer78.xml"/><Relationship Id="rId14" Type="http://schemas.openxmlformats.org/officeDocument/2006/relationships/footer" Target="footer7.xml"/><Relationship Id="rId139" Type="http://schemas.openxmlformats.org/officeDocument/2006/relationships/header" Target="header58.xml"/><Relationship Id="rId138" Type="http://schemas.openxmlformats.org/officeDocument/2006/relationships/footer" Target="footer77.xml"/><Relationship Id="rId137" Type="http://schemas.openxmlformats.org/officeDocument/2006/relationships/header" Target="header57.xml"/><Relationship Id="rId136" Type="http://schemas.openxmlformats.org/officeDocument/2006/relationships/footer" Target="footer76.xml"/><Relationship Id="rId135" Type="http://schemas.openxmlformats.org/officeDocument/2006/relationships/header" Target="header56.xml"/><Relationship Id="rId134" Type="http://schemas.openxmlformats.org/officeDocument/2006/relationships/footer" Target="footer75.xml"/><Relationship Id="rId133" Type="http://schemas.openxmlformats.org/officeDocument/2006/relationships/header" Target="header55.xml"/><Relationship Id="rId132" Type="http://schemas.openxmlformats.org/officeDocument/2006/relationships/footer" Target="footer74.xml"/><Relationship Id="rId131" Type="http://schemas.openxmlformats.org/officeDocument/2006/relationships/header" Target="header54.xml"/><Relationship Id="rId130" Type="http://schemas.openxmlformats.org/officeDocument/2006/relationships/footer" Target="footer73.xml"/><Relationship Id="rId13" Type="http://schemas.openxmlformats.org/officeDocument/2006/relationships/header" Target="header3.xml"/><Relationship Id="rId129" Type="http://schemas.openxmlformats.org/officeDocument/2006/relationships/header" Target="header53.xml"/><Relationship Id="rId128" Type="http://schemas.openxmlformats.org/officeDocument/2006/relationships/footer" Target="footer72.xml"/><Relationship Id="rId127" Type="http://schemas.openxmlformats.org/officeDocument/2006/relationships/footer" Target="footer71.xml"/><Relationship Id="rId126" Type="http://schemas.openxmlformats.org/officeDocument/2006/relationships/header" Target="header52.xml"/><Relationship Id="rId125" Type="http://schemas.openxmlformats.org/officeDocument/2006/relationships/footer" Target="footer70.xml"/><Relationship Id="rId124" Type="http://schemas.openxmlformats.org/officeDocument/2006/relationships/footer" Target="footer69.xml"/><Relationship Id="rId123" Type="http://schemas.openxmlformats.org/officeDocument/2006/relationships/header" Target="header51.xml"/><Relationship Id="rId122" Type="http://schemas.openxmlformats.org/officeDocument/2006/relationships/footer" Target="footer68.xml"/><Relationship Id="rId121" Type="http://schemas.openxmlformats.org/officeDocument/2006/relationships/header" Target="header50.xml"/><Relationship Id="rId120" Type="http://schemas.openxmlformats.org/officeDocument/2006/relationships/footer" Target="footer67.xml"/><Relationship Id="rId12" Type="http://schemas.openxmlformats.org/officeDocument/2006/relationships/footer" Target="footer6.xml"/><Relationship Id="rId119" Type="http://schemas.openxmlformats.org/officeDocument/2006/relationships/header" Target="header49.xml"/><Relationship Id="rId118" Type="http://schemas.openxmlformats.org/officeDocument/2006/relationships/footer" Target="footer66.xml"/><Relationship Id="rId117" Type="http://schemas.openxmlformats.org/officeDocument/2006/relationships/footer" Target="footer65.xml"/><Relationship Id="rId116" Type="http://schemas.openxmlformats.org/officeDocument/2006/relationships/footer" Target="footer64.xml"/><Relationship Id="rId115" Type="http://schemas.openxmlformats.org/officeDocument/2006/relationships/header" Target="header48.xml"/><Relationship Id="rId114" Type="http://schemas.openxmlformats.org/officeDocument/2006/relationships/footer" Target="footer63.xml"/><Relationship Id="rId113" Type="http://schemas.openxmlformats.org/officeDocument/2006/relationships/header" Target="header47.xml"/><Relationship Id="rId112" Type="http://schemas.openxmlformats.org/officeDocument/2006/relationships/footer" Target="footer62.xml"/><Relationship Id="rId111" Type="http://schemas.openxmlformats.org/officeDocument/2006/relationships/footer" Target="footer61.xml"/><Relationship Id="rId110" Type="http://schemas.openxmlformats.org/officeDocument/2006/relationships/header" Target="header46.xml"/><Relationship Id="rId11" Type="http://schemas.openxmlformats.org/officeDocument/2006/relationships/footer" Target="footer5.xml"/><Relationship Id="rId109" Type="http://schemas.openxmlformats.org/officeDocument/2006/relationships/footer" Target="footer60.xml"/><Relationship Id="rId108" Type="http://schemas.openxmlformats.org/officeDocument/2006/relationships/header" Target="header45.xml"/><Relationship Id="rId107" Type="http://schemas.openxmlformats.org/officeDocument/2006/relationships/footer" Target="footer59.xml"/><Relationship Id="rId106" Type="http://schemas.openxmlformats.org/officeDocument/2006/relationships/header" Target="header44.xml"/><Relationship Id="rId105" Type="http://schemas.openxmlformats.org/officeDocument/2006/relationships/footer" Target="footer58.xml"/><Relationship Id="rId104" Type="http://schemas.openxmlformats.org/officeDocument/2006/relationships/header" Target="header43.xml"/><Relationship Id="rId103" Type="http://schemas.openxmlformats.org/officeDocument/2006/relationships/footer" Target="footer57.xml"/><Relationship Id="rId102" Type="http://schemas.openxmlformats.org/officeDocument/2006/relationships/header" Target="header42.xml"/><Relationship Id="rId101" Type="http://schemas.openxmlformats.org/officeDocument/2006/relationships/footer" Target="footer56.xml"/><Relationship Id="rId100" Type="http://schemas.openxmlformats.org/officeDocument/2006/relationships/header" Target="header41.xml"/><Relationship Id="rId10" Type="http://schemas.openxmlformats.org/officeDocument/2006/relationships/footer" Target="footer4.xml"/><Relationship Id="rId1" Type="http://schemas.openxmlformats.org/officeDocument/2006/relationships/styles" Target="styles.xml"/></Relationships>
</file>

<file path=word/_rels/header39.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2051"/>
    <customShpInfo spid="_x0000_s2052"/>
    <customShpInfo spid="_x0000_s2053"/>
    <customShpInfo spid="_x0000_s2054"/>
    <customShpInfo spid="_x0000_s2055"/>
    <customShpInfo spid="_x0000_s2056"/>
    <customShpInfo spid="_x0000_s2057"/>
    <customShpInfo spid="_x0000_s2058"/>
    <customShpInfo spid="_x0000_s2059"/>
    <customShpInfo spid="_x0000_s2060"/>
    <customShpInfo spid="_x0000_s2061"/>
    <customShpInfo spid="_x0000_s2062"/>
    <customShpInfo spid="_x0000_s2063"/>
    <customShpInfo spid="_x0000_s2064"/>
    <customShpInfo spid="_x0000_s2065"/>
    <customShpInfo spid="_x0000_s2066"/>
    <customShpInfo spid="_x0000_s2067"/>
    <customShpInfo spid="_x0000_s2068"/>
    <customShpInfo spid="_x0000_s2069"/>
    <customShpInfo spid="_x0000_s2070"/>
    <customShpInfo spid="_x0000_s2071"/>
    <customShpInfo spid="_x0000_s2072"/>
    <customShpInfo spid="_x0000_s2073"/>
    <customShpInfo spid="_x0000_s2074"/>
    <customShpInfo spid="_x0000_s2075"/>
    <customShpInfo spid="_x0000_s2076"/>
    <customShpInfo spid="_x0000_s2077"/>
    <customShpInfo spid="_x0000_s2078"/>
    <customShpInfo spid="_x0000_s2079"/>
    <customShpInfo spid="_x0000_s2080"/>
    <customShpInfo spid="_x0000_s2081"/>
    <customShpInfo spid="_x0000_s2082"/>
    <customShpInfo spid="_x0000_s2083"/>
    <customShpInfo spid="_x0000_s2084"/>
    <customShpInfo spid="_x0000_s2085"/>
    <customShpInfo spid="_x0000_s2086"/>
    <customShpInfo spid="_x0000_s2087"/>
    <customShpInfo spid="_x0000_s2088"/>
    <customShpInfo spid="_x0000_s2089"/>
    <customShpInfo spid="_x0000_s2090"/>
    <customShpInfo spid="_x0000_s2091"/>
    <customShpInfo spid="_x0000_s2092"/>
    <customShpInfo spid="_x0000_s2093"/>
    <customShpInfo spid="_x0000_s2094"/>
    <customShpInfo spid="_x0000_s2095"/>
    <customShpInfo spid="_x0000_s2096"/>
    <customShpInfo spid="_x0000_s2097"/>
    <customShpInfo spid="_x0000_s2098"/>
    <customShpInfo spid="_x0000_s2099"/>
    <customShpInfo spid="_x0000_s2100"/>
    <customShpInfo spid="_x0000_s2101"/>
    <customShpInfo spid="_x0000_s2102"/>
    <customShpInfo spid="_x0000_s2103"/>
    <customShpInfo spid="_x0000_s2104"/>
    <customShpInfo spid="_x0000_s2105"/>
    <customShpInfo spid="_x0000_s2106"/>
    <customShpInfo spid="_x0000_s2107"/>
    <customShpInfo spid="_x0000_s2108"/>
    <customShpInfo spid="_x0000_s2109"/>
    <customShpInfo spid="_x0000_s2110"/>
    <customShpInfo spid="_x0000_s2111"/>
    <customShpInfo spid="_x0000_s2112"/>
    <customShpInfo spid="_x0000_s2113"/>
    <customShpInfo spid="_x0000_s2114"/>
    <customShpInfo spid="_x0000_s2115"/>
    <customShpInfo spid="_x0000_s2116"/>
    <customShpInfo spid="_x0000_s2117"/>
    <customShpInfo spid="_x0000_s2118"/>
    <customShpInfo spid="_x0000_s2119"/>
    <customShpInfo spid="_x0000_s2120"/>
    <customShpInfo spid="_x0000_s2121"/>
    <customShpInfo spid="_x0000_s2122"/>
    <customShpInfo spid="_x0000_s2123"/>
    <customShpInfo spid="_x0000_s2124"/>
    <customShpInfo spid="_x0000_s2125"/>
    <customShpInfo spid="_x0000_s2126"/>
    <customShpInfo spid="_x0000_s2127"/>
    <customShpInfo spid="_x0000_s2128"/>
    <customShpInfo spid="_x0000_s2129"/>
    <customShpInfo spid="_x0000_s2130"/>
    <customShpInfo spid="_x0000_s2131"/>
    <customShpInfo spid="_x0000_s2132"/>
    <customShpInfo spid="_x0000_s2133"/>
    <customShpInfo spid="_x0000_s2134"/>
    <customShpInfo spid="_x0000_s2135"/>
    <customShpInfo spid="_x0000_s2136"/>
    <customShpInfo spid="_x0000_s2137"/>
    <customShpInfo spid="_x0000_s2138"/>
    <customShpInfo spid="_x0000_s2139"/>
    <customShpInfo spid="_x0000_s2140"/>
    <customShpInfo spid="_x0000_s2141"/>
    <customShpInfo spid="_x0000_s2142"/>
    <customShpInfo spid="_x0000_s2143"/>
    <customShpInfo spid="_x0000_s2144"/>
    <customShpInfo spid="_x0000_s2145"/>
    <customShpInfo spid="_x0000_s2146"/>
    <customShpInfo spid="_x0000_s2147"/>
    <customShpInfo spid="_x0000_s2148"/>
    <customShpInfo spid="_x0000_s2149"/>
    <customShpInfo spid="_x0000_s2150"/>
    <customShpInfo spid="_x0000_s2151"/>
    <customShpInfo spid="_x0000_s2152"/>
    <customShpInfo spid="_x0000_s2153"/>
    <customShpInfo spid="_x0000_s2154"/>
    <customShpInfo spid="_x0000_s2155"/>
    <customShpInfo spid="_x0000_s2156"/>
    <customShpInfo spid="_x0000_s2157"/>
    <customShpInfo spid="_x0000_s2158"/>
    <customShpInfo spid="_x0000_s2159"/>
    <customShpInfo spid="_x0000_s2160"/>
    <customShpInfo spid="_x0000_s2161"/>
    <customShpInfo spid="_x0000_s2162"/>
    <customShpInfo spid="_x0000_s2163"/>
    <customShpInfo spid="_x0000_s2164"/>
    <customShpInfo spid="_x0000_s2165"/>
    <customShpInfo spid="_x0000_s2166"/>
    <customShpInfo spid="_x0000_s2167"/>
    <customShpInfo spid="_x0000_s2168"/>
    <customShpInfo spid="_x0000_s2169"/>
    <customShpInfo spid="_x0000_s2170"/>
    <customShpInfo spid="_x0000_s2171"/>
    <customShpInfo spid="_x0000_s2172"/>
    <customShpInfo spid="_x0000_s2173"/>
    <customShpInfo spid="_x0000_s2174"/>
    <customShpInfo spid="_x0000_s2175"/>
    <customShpInfo spid="_x0000_s2176"/>
    <customShpInfo spid="_x0000_s2177"/>
    <customShpInfo spid="_x0000_s2178"/>
    <customShpInfo spid="_x0000_s2179"/>
    <customShpInfo spid="_x0000_s2180"/>
    <customShpInfo spid="_x0000_s2181"/>
    <customShpInfo spid="_x0000_s2182"/>
    <customShpInfo spid="_x0000_s2183"/>
    <customShpInfo spid="_x0000_s2184"/>
    <customShpInfo spid="_x0000_s2185"/>
    <customShpInfo spid="_x0000_s2186"/>
    <customShpInfo spid="_x0000_s2187"/>
    <customShpInfo spid="_x0000_s2188"/>
    <customShpInfo spid="_x0000_s2189"/>
    <customShpInfo spid="_x0000_s2190"/>
    <customShpInfo spid="_x0000_s2191"/>
    <customShpInfo spid="_x0000_s2192"/>
    <customShpInfo spid="_x0000_s2193"/>
    <customShpInfo spid="_x0000_s2194"/>
    <customShpInfo spid="_x0000_s2195"/>
    <customShpInfo spid="_x0000_s2196"/>
    <customShpInfo spid="_x0000_s2197"/>
    <customShpInfo spid="_x0000_s2198"/>
    <customShpInfo spid="_x0000_s2199"/>
    <customShpInfo spid="_x0000_s2200"/>
    <customShpInfo spid="_x0000_s2201"/>
    <customShpInfo spid="_x0000_s2202"/>
    <customShpInfo spid="_x0000_s2203"/>
    <customShpInfo spid="_x0000_s2204"/>
    <customShpInfo spid="_x0000_s2205"/>
    <customShpInfo spid="_x0000_s2206"/>
    <customShpInfo spid="_x0000_s2207"/>
    <customShpInfo spid="_x0000_s2208"/>
    <customShpInfo spid="_x0000_s2209"/>
    <customShpInfo spid="_x0000_s2210"/>
    <customShpInfo spid="_x0000_s2211"/>
    <customShpInfo spid="_x0000_s2212"/>
    <customShpInfo spid="_x0000_s2213"/>
    <customShpInfo spid="_x0000_s2214"/>
    <customShpInfo spid="_x0000_s2215"/>
    <customShpInfo spid="_x0000_s2216"/>
    <customShpInfo spid="_x0000_s2217"/>
    <customShpInfo spid="_x0000_s2218"/>
    <customShpInfo spid="_x0000_s2219"/>
    <customShpInfo spid="_x0000_s2220"/>
    <customShpInfo spid="_x0000_s2221"/>
    <customShpInfo spid="_x0000_s2222"/>
    <customShpInfo spid="_x0000_s2223"/>
    <customShpInfo spid="_x0000_s2224"/>
    <customShpInfo spid="_x0000_s2225"/>
    <customShpInfo spid="_x0000_s2226"/>
    <customShpInfo spid="_x0000_s2227"/>
    <customShpInfo spid="_x0000_s2228"/>
    <customShpInfo spid="_x0000_s2229"/>
    <customShpInfo spid="_x0000_s2230"/>
    <customShpInfo spid="_x0000_s2231"/>
    <customShpInfo spid="_x0000_s2232"/>
    <customShpInfo spid="_x0000_s2233"/>
    <customShpInfo spid="_x0000_s2234"/>
    <customShpInfo spid="_x0000_s2236"/>
    <customShpInfo spid="_x0000_s2237"/>
    <customShpInfo spid="_x0000_s2238"/>
    <customShpInfo spid="_x0000_s2235"/>
    <customShpInfo spid="_x0000_s2239"/>
    <customShpInfo spid="_x0000_s2240"/>
    <customShpInfo spid="_x0000_s2241"/>
    <customShpInfo spid="_x0000_s2242"/>
    <customShpInfo spid="_x0000_s2243"/>
    <customShpInfo spid="_x0000_s2244"/>
    <customShpInfo spid="_x0000_s2245"/>
    <customShpInfo spid="_x0000_s2246"/>
    <customShpInfo spid="_x0000_s2247"/>
    <customShpInfo spid="_x0000_s2248"/>
    <customShpInfo spid="_x0000_s2249"/>
    <customShpInfo spid="_x0000_s2250"/>
    <customShpInfo spid="_x0000_s2251"/>
    <customShpInfo spid="_x0000_s2252"/>
    <customShpInfo spid="_x0000_s2253"/>
    <customShpInfo spid="_x0000_s2254"/>
    <customShpInfo spid="_x0000_s2255"/>
    <customShpInfo spid="_x0000_s2256"/>
    <customShpInfo spid="_x0000_s2257"/>
    <customShpInfo spid="_x0000_s2258"/>
    <customShpInfo spid="_x0000_s2259"/>
    <customShpInfo spid="_x0000_s2260"/>
    <customShpInfo spid="_x0000_s2261"/>
    <customShpInfo spid="_x0000_s2262"/>
    <customShpInfo spid="_x0000_s2263"/>
    <customShpInfo spid="_x0000_s2264"/>
    <customShpInfo spid="_x0000_s2265"/>
    <customShpInfo spid="_x0000_s2266"/>
    <customShpInfo spid="_x0000_s2267"/>
    <customShpInfo spid="_x0000_s2268"/>
    <customShpInfo spid="_x0000_s2269"/>
    <customShpInfo spid="_x0000_s2270"/>
    <customShpInfo spid="_x0000_s2271"/>
    <customShpInfo spid="_x0000_s2272"/>
    <customShpInfo spid="_x0000_s2273"/>
    <customShpInfo spid="_x0000_s2274"/>
    <customShpInfo spid="_x0000_s2275"/>
    <customShpInfo spid="_x0000_s2276"/>
    <customShpInfo spid="_x0000_s2277"/>
    <customShpInfo spid="_x0000_s2278"/>
    <customShpInfo spid="_x0000_s2279"/>
    <customShpInfo spid="_x0000_s2280"/>
    <customShpInfo spid="_x0000_s1026" textRotate="1"/>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62"/>
    <customShpInfo spid="_x0000_s1063"/>
    <customShpInfo spid="_x0000_s1064"/>
    <customShpInfo spid="_x0000_s1065"/>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80"/>
    <customShpInfo spid="_x0000_s1081"/>
    <customShpInfo spid="_x0000_s1082"/>
    <customShpInfo spid="_x0000_s1083"/>
    <customShpInfo spid="_x0000_s1084"/>
    <customShpInfo spid="_x0000_s1085"/>
    <customShpInfo spid="_x0000_s1086"/>
    <customShpInfo spid="_x0000_s1087"/>
    <customShpInfo spid="_x0000_s1088"/>
    <customShpInfo spid="_x0000_s1090"/>
    <customShpInfo spid="_x0000_s1091"/>
    <customShpInfo spid="_x0000_s1092"/>
    <customShpInfo spid="_x0000_s1093"/>
    <customShpInfo spid="_x0000_s1094"/>
    <customShpInfo spid="_x0000_s1095"/>
    <customShpInfo spid="_x0000_s1096"/>
    <customShpInfo spid="_x0000_s1097"/>
    <customShpInfo spid="_x0000_s1098"/>
    <customShpInfo spid="_x0000_s1099"/>
    <customShpInfo spid="_x0000_s1100"/>
    <customShpInfo spid="_x0000_s1101"/>
    <customShpInfo spid="_x0000_s1102"/>
    <customShpInfo spid="_x0000_s1103"/>
    <customShpInfo spid="_x0000_s1104"/>
    <customShpInfo spid="_x0000_s1105"/>
    <customShpInfo spid="_x0000_s1106"/>
    <customShpInfo spid="_x0000_s1107"/>
    <customShpInfo spid="_x0000_s1108"/>
    <customShpInfo spid="_x0000_s1109"/>
    <customShpInfo spid="_x0000_s1110"/>
    <customShpInfo spid="_x0000_s1089"/>
    <customShpInfo spid="_x0000_s1111"/>
    <customShpInfo spid="_x0000_s1112"/>
    <customShpInfo spid="_x0000_s1113"/>
    <customShpInfo spid="_x0000_s1114"/>
    <customShpInfo spid="_x0000_s1115"/>
    <customShpInfo spid="_x0000_s1116"/>
    <customShpInfo spid="_x0000_s1117"/>
    <customShpInfo spid="_x0000_s1118"/>
    <customShpInfo spid="_x0000_s1119"/>
    <customShpInfo spid="_x0000_s1120"/>
    <customShpInfo spid="_x0000_s1121"/>
    <customShpInfo spid="_x0000_s1122"/>
    <customShpInfo spid="_x0000_s1123"/>
    <customShpInfo spid="_x0000_s1124"/>
    <customShpInfo spid="_x0000_s1125"/>
    <customShpInfo spid="_x0000_s1126"/>
    <customShpInfo spid="_x0000_s1127"/>
    <customShpInfo spid="_x0000_s1128"/>
    <customShpInfo spid="_x0000_s1129"/>
    <customShpInfo spid="_x0000_s1130"/>
    <customShpInfo spid="_x0000_s1132"/>
    <customShpInfo spid="_x0000_s1133"/>
    <customShpInfo spid="_x0000_s1131"/>
    <customShpInfo spid="_x0000_s1134"/>
    <customShpInfo spid="_x0000_s1136"/>
    <customShpInfo spid="_x0000_s1137"/>
    <customShpInfo spid="_x0000_s1135"/>
    <customShpInfo spid="_x0000_s1139"/>
    <customShpInfo spid="_x0000_s1138"/>
    <customShpInfo spid="_x0000_s1140"/>
    <customShpInfo spid="_x0000_s1141"/>
    <customShpInfo spid="_x0000_s1142"/>
    <customShpInfo spid="_x0000_s1143"/>
    <customShpInfo spid="_x0000_s1144"/>
    <customShpInfo spid="_x0000_s1145"/>
    <customShpInfo spid="_x0000_s1146"/>
    <customShpInfo spid="_x0000_s1147"/>
    <customShpInfo spid="_x0000_s1148"/>
    <customShpInfo spid="_x0000_s1149"/>
    <customShpInfo spid="_x0000_s1150"/>
    <customShpInfo spid="_x0000_s1151"/>
    <customShpInfo spid="_x0000_s1152"/>
    <customShpInfo spid="_x0000_s1153"/>
    <customShpInfo spid="_x0000_s1154"/>
    <customShpInfo spid="_x0000_s1155"/>
    <customShpInfo spid="_x0000_s1156"/>
    <customShpInfo spid="_x0000_s1157"/>
    <customShpInfo spid="_x0000_s1158"/>
    <customShpInfo spid="_x0000_s1159"/>
    <customShpInfo spid="_x0000_s1160"/>
    <customShpInfo spid="_x0000_s1161"/>
    <customShpInfo spid="_x0000_s1162"/>
    <customShpInfo spid="_x0000_s1163"/>
    <customShpInfo spid="_x0000_s1164"/>
    <customShpInfo spid="_x0000_s1165"/>
    <customShpInfo spid="_x0000_s1166"/>
    <customShpInfo spid="_x0000_s1167"/>
    <customShpInfo spid="_x0000_s1168"/>
    <customShpInfo spid="_x0000_s1169"/>
    <customShpInfo spid="_x0000_s1170"/>
    <customShpInfo spid="_x0000_s1171"/>
    <customShpInfo spid="_x0000_s1172"/>
    <customShpInfo spid="_x0000_s1173"/>
    <customShpInfo spid="_x0000_s1174"/>
    <customShpInfo spid="_x0000_s1175"/>
    <customShpInfo spid="_x0000_s1176"/>
    <customShpInfo spid="_x0000_s1177"/>
    <customShpInfo spid="_x0000_s1178"/>
    <customShpInfo spid="_x0000_s1179"/>
    <customShpInfo spid="_x0000_s1180"/>
    <customShpInfo spid="_x0000_s1181"/>
    <customShpInfo spid="_x0000_s1182"/>
    <customShpInfo spid="_x0000_s1183"/>
    <customShpInfo spid="_x0000_s1184"/>
    <customShpInfo spid="_x0000_s1185"/>
    <customShpInfo spid="_x0000_s1186"/>
    <customShpInfo spid="_x0000_s1187"/>
    <customShpInfo spid="_x0000_s1188"/>
    <customShpInfo spid="_x0000_s1189"/>
    <customShpInfo spid="_x0000_s1190"/>
    <customShpInfo spid="_x0000_s1191"/>
    <customShpInfo spid="_x0000_s1192"/>
    <customShpInfo spid="_x0000_s1193"/>
    <customShpInfo spid="_x0000_s1194"/>
    <customShpInfo spid="_x0000_s1195"/>
    <customShpInfo spid="_x0000_s1196"/>
    <customShpInfo spid="_x0000_s1197"/>
    <customShpInfo spid="_x0000_s1198"/>
    <customShpInfo spid="_x0000_s1199"/>
    <customShpInfo spid="_x0000_s1200"/>
    <customShpInfo spid="_x0000_s1201"/>
    <customShpInfo spid="_x0000_s1202"/>
    <customShpInfo spid="_x0000_s1203"/>
    <customShpInfo spid="_x0000_s1204"/>
    <customShpInfo spid="_x0000_s1205"/>
    <customShpInfo spid="_x0000_s1206"/>
    <customShpInfo spid="_x0000_s1207"/>
    <customShpInfo spid="_x0000_s1208"/>
    <customShpInfo spid="_x0000_s1209"/>
    <customShpInfo spid="_x0000_s1210"/>
    <customShpInfo spid="_x0000_s1211"/>
    <customShpInfo spid="_x0000_s1212"/>
    <customShpInfo spid="_x0000_s1213"/>
    <customShpInfo spid="_x0000_s1214"/>
    <customShpInfo spid="_x0000_s1215"/>
    <customShpInfo spid="_x0000_s1216"/>
    <customShpInfo spid="_x0000_s1217"/>
    <customShpInfo spid="_x0000_s1218"/>
    <customShpInfo spid="_x0000_s1219"/>
    <customShpInfo spid="_x0000_s1220"/>
    <customShpInfo spid="_x0000_s1221"/>
    <customShpInfo spid="_x0000_s1222"/>
    <customShpInfo spid="_x0000_s1223"/>
    <customShpInfo spid="_x0000_s1224"/>
    <customShpInfo spid="_x0000_s1225"/>
    <customShpInfo spid="_x0000_s1226"/>
    <customShpInfo spid="_x0000_s1227"/>
    <customShpInfo spid="_x0000_s1228"/>
    <customShpInfo spid="_x0000_s1229"/>
    <customShpInfo spid="_x0000_s1230"/>
    <customShpInfo spid="_x0000_s1231"/>
    <customShpInfo spid="_x0000_s1232"/>
    <customShpInfo spid="_x0000_s1233"/>
    <customShpInfo spid="_x0000_s1234"/>
    <customShpInfo spid="_x0000_s1235"/>
    <customShpInfo spid="_x0000_s1236"/>
    <customShpInfo spid="_x0000_s1237"/>
    <customShpInfo spid="_x0000_s1238"/>
    <customShpInfo spid="_x0000_s1239"/>
    <customShpInfo spid="_x0000_s1240"/>
    <customShpInfo spid="_x0000_s1241"/>
    <customShpInfo spid="_x0000_s1242"/>
    <customShpInfo spid="_x0000_s1243"/>
    <customShpInfo spid="_x0000_s1244"/>
    <customShpInfo spid="_x0000_s1245"/>
    <customShpInfo spid="_x0000_s1246"/>
    <customShpInfo spid="_x0000_s1247"/>
    <customShpInfo spid="_x0000_s1248"/>
    <customShpInfo spid="_x0000_s1249"/>
    <customShpInfo spid="_x0000_s1250"/>
    <customShpInfo spid="_x0000_s1251"/>
    <customShpInfo spid="_x0000_s1252"/>
    <customShpInfo spid="_x0000_s1253"/>
    <customShpInfo spid="_x0000_s1254"/>
    <customShpInfo spid="_x0000_s1255"/>
    <customShpInfo spid="_x0000_s1256"/>
    <customShpInfo spid="_x0000_s1257"/>
    <customShpInfo spid="_x0000_s1258"/>
    <customShpInfo spid="_x0000_s1259"/>
    <customShpInfo spid="_x0000_s1260"/>
    <customShpInfo spid="_x0000_s1261"/>
    <customShpInfo spid="_x0000_s1262"/>
    <customShpInfo spid="_x0000_s1263"/>
    <customShpInfo spid="_x0000_s1264"/>
    <customShpInfo spid="_x0000_s1265"/>
    <customShpInfo spid="_x0000_s1266"/>
    <customShpInfo spid="_x0000_s1267"/>
    <customShpInfo spid="_x0000_s1268"/>
    <customShpInfo spid="_x0000_s1269"/>
    <customShpInfo spid="_x0000_s1270"/>
    <customShpInfo spid="_x0000_s1271"/>
    <customShpInfo spid="_x0000_s1272"/>
    <customShpInfo spid="_x0000_s1273"/>
    <customShpInfo spid="_x0000_s1274"/>
    <customShpInfo spid="_x0000_s1275"/>
    <customShpInfo spid="_x0000_s1276"/>
    <customShpInfo spid="_x0000_s1277"/>
    <customShpInfo spid="_x0000_s1278"/>
    <customShpInfo spid="_x0000_s1279"/>
    <customShpInfo spid="_x0000_s1280"/>
    <customShpInfo spid="_x0000_s1281"/>
    <customShpInfo spid="_x0000_s1282"/>
    <customShpInfo spid="_x0000_s1283"/>
    <customShpInfo spid="_x0000_s1284"/>
    <customShpInfo spid="_x0000_s1285"/>
    <customShpInfo spid="_x0000_s1286"/>
    <customShpInfo spid="_x0000_s1287"/>
    <customShpInfo spid="_x0000_s1288"/>
    <customShpInfo spid="_x0000_s1289"/>
    <customShpInfo spid="_x0000_s1290"/>
    <customShpInfo spid="_x0000_s1291"/>
    <customShpInfo spid="_x0000_s1292"/>
    <customShpInfo spid="_x0000_s1293"/>
    <customShpInfo spid="_x0000_s1294"/>
    <customShpInfo spid="_x0000_s1295"/>
    <customShpInfo spid="_x0000_s1296"/>
    <customShpInfo spid="_x0000_s1297"/>
    <customShpInfo spid="_x0000_s1298"/>
    <customShpInfo spid="_x0000_s1299"/>
    <customShpInfo spid="_x0000_s1300"/>
    <customShpInfo spid="_x0000_s1301"/>
    <customShpInfo spid="_x0000_s1302"/>
    <customShpInfo spid="_x0000_s1303"/>
    <customShpInfo spid="_x0000_s1304"/>
    <customShpInfo spid="_x0000_s1305"/>
    <customShpInfo spid="_x0000_s1306"/>
    <customShpInfo spid="_x0000_s1308"/>
    <customShpInfo spid="_x0000_s1309"/>
    <customShpInfo spid="_x0000_s1310"/>
    <customShpInfo spid="_x0000_s1311"/>
    <customShpInfo spid="_x0000_s1312"/>
    <customShpInfo spid="_x0000_s1307"/>
    <customShpInfo spid="_x0000_s1313"/>
    <customShpInfo spid="_x0000_s1315"/>
    <customShpInfo spid="_x0000_s1316"/>
    <customShpInfo spid="_x0000_s1317"/>
    <customShpInfo spid="_x0000_s1314"/>
    <customShpInfo spid="_x0000_s1318"/>
    <customShpInfo spid="_x0000_s1320"/>
    <customShpInfo spid="_x0000_s1321"/>
    <customShpInfo spid="_x0000_s1322"/>
    <customShpInfo spid="_x0000_s1319"/>
    <customShpInfo spid="_x0000_s1323"/>
    <customShpInfo spid="_x0000_s1324"/>
    <customShpInfo spid="_x0000_s1326"/>
    <customShpInfo spid="_x0000_s1327"/>
    <customShpInfo spid="_x0000_s1328"/>
    <customShpInfo spid="_x0000_s1329"/>
    <customShpInfo spid="_x0000_s1330"/>
    <customShpInfo spid="_x0000_s1331"/>
    <customShpInfo spid="_x0000_s1325"/>
    <customShpInfo spid="_x0000_s1333"/>
    <customShpInfo spid="_x0000_s1334"/>
    <customShpInfo spid="_x0000_s1335"/>
    <customShpInfo spid="_x0000_s1332"/>
    <customShpInfo spid="_x0000_s1337"/>
    <customShpInfo spid="_x0000_s1338"/>
    <customShpInfo spid="_x0000_s1339"/>
    <customShpInfo spid="_x0000_s1340"/>
    <customShpInfo spid="_x0000_s1341"/>
    <customShpInfo spid="_x0000_s1342"/>
    <customShpInfo spid="_x0000_s1343"/>
    <customShpInfo spid="_x0000_s1336"/>
    <customShpInfo spid="_x0000_s1345"/>
    <customShpInfo spid="_x0000_s1346"/>
    <customShpInfo spid="_x0000_s1344"/>
    <customShpInfo spid="_x0000_s1347"/>
    <customShpInfo spid="_x0000_s1348"/>
    <customShpInfo spid="_x0000_s1350"/>
    <customShpInfo spid="_x0000_s1351"/>
    <customShpInfo spid="_x0000_s1352"/>
    <customShpInfo spid="_x0000_s1353"/>
    <customShpInfo spid="_x0000_s1349"/>
    <customShpInfo spid="_x0000_s1355"/>
    <customShpInfo spid="_x0000_s1356"/>
    <customShpInfo spid="_x0000_s1357"/>
    <customShpInfo spid="_x0000_s1358"/>
    <customShpInfo spid="_x0000_s1359"/>
    <customShpInfo spid="_x0000_s1360"/>
    <customShpInfo spid="_x0000_s1361"/>
    <customShpInfo spid="_x0000_s1354"/>
    <customShpInfo spid="_x0000_s1362"/>
    <customShpInfo spid="_x0000_s1364"/>
    <customShpInfo spid="_x0000_s1365"/>
    <customShpInfo spid="_x0000_s1366"/>
    <customShpInfo spid="_x0000_s1367"/>
    <customShpInfo spid="_x0000_s1368"/>
    <customShpInfo spid="_x0000_s1369"/>
    <customShpInfo spid="_x0000_s1370"/>
    <customShpInfo spid="_x0000_s1371"/>
    <customShpInfo spid="_x0000_s1363"/>
    <customShpInfo spid="_x0000_s1373"/>
    <customShpInfo spid="_x0000_s1374"/>
    <customShpInfo spid="_x0000_s1375"/>
    <customShpInfo spid="_x0000_s1372"/>
    <customShpInfo spid="_x0000_s1376"/>
    <customShpInfo spid="_x0000_s1378"/>
    <customShpInfo spid="_x0000_s1379"/>
    <customShpInfo spid="_x0000_s1380"/>
    <customShpInfo spid="_x0000_s1381"/>
    <customShpInfo spid="_x0000_s1377"/>
    <customShpInfo spid="_x0000_s1383"/>
    <customShpInfo spid="_x0000_s1384"/>
    <customShpInfo spid="_x0000_s1385"/>
    <customShpInfo spid="_x0000_s1386"/>
    <customShpInfo spid="_x0000_s1387"/>
    <customShpInfo spid="_x0000_s1382"/>
    <customShpInfo spid="_x0000_s1388"/>
    <customShpInfo spid="_x0000_s1389"/>
    <customShpInfo spid="_x0000_s1391"/>
    <customShpInfo spid="_x0000_s1392"/>
    <customShpInfo spid="_x0000_s1390"/>
    <customShpInfo spid="_x0000_s1393"/>
    <customShpInfo spid="_x0000_s1394"/>
    <customShpInfo spid="_x0000_s1395"/>
    <customShpInfo spid="_x0000_s1397"/>
    <customShpInfo spid="_x0000_s1398"/>
    <customShpInfo spid="_x0000_s1399"/>
    <customShpInfo spid="_x0000_s1400"/>
    <customShpInfo spid="_x0000_s1401"/>
    <customShpInfo spid="_x0000_s1396"/>
    <customShpInfo spid="_x0000_s1403"/>
    <customShpInfo spid="_x0000_s1404"/>
    <customShpInfo spid="_x0000_s1405"/>
    <customShpInfo spid="_x0000_s1406"/>
    <customShpInfo spid="_x0000_s1407"/>
    <customShpInfo spid="_x0000_s1408"/>
    <customShpInfo spid="_x0000_s1409"/>
    <customShpInfo spid="_x0000_s1410"/>
    <customShpInfo spid="_x0000_s1402"/>
    <customShpInfo spid="_x0000_s1411"/>
    <customShpInfo spid="_x0000_s1412"/>
    <customShpInfo spid="_x0000_s1413"/>
    <customShpInfo spid="_x0000_s1414"/>
    <customShpInfo spid="_x0000_s1415"/>
    <customShpInfo spid="_x0000_s1416"/>
    <customShpInfo spid="_x0000_s1417"/>
    <customShpInfo spid="_x0000_s1418"/>
    <customShpInfo spid="_x0000_s1419"/>
    <customShpInfo spid="_x0000_s1421"/>
    <customShpInfo spid="_x0000_s1422"/>
    <customShpInfo spid="_x0000_s1423"/>
    <customShpInfo spid="_x0000_s1424"/>
    <customShpInfo spid="_x0000_s1425"/>
    <customShpInfo spid="_x0000_s1426"/>
    <customShpInfo spid="_x0000_s1427"/>
    <customShpInfo spid="_x0000_s1420"/>
    <customShpInfo spid="_x0000_s1428"/>
    <customShpInfo spid="_x0000_s1429"/>
    <customShpInfo spid="_x0000_s1430"/>
    <customShpInfo spid="_x0000_s1431"/>
    <customShpInfo spid="_x0000_s1433"/>
    <customShpInfo spid="_x0000_s1434"/>
    <customShpInfo spid="_x0000_s1435"/>
    <customShpInfo spid="_x0000_s1436"/>
    <customShpInfo spid="_x0000_s1437"/>
    <customShpInfo spid="_x0000_s1438"/>
    <customShpInfo spid="_x0000_s1439"/>
    <customShpInfo spid="_x0000_s1440"/>
    <customShpInfo spid="_x0000_s1441"/>
    <customShpInfo spid="_x0000_s1442"/>
    <customShpInfo spid="_x0000_s1443"/>
    <customShpInfo spid="_x0000_s1444"/>
    <customShpInfo spid="_x0000_s1445"/>
    <customShpInfo spid="_x0000_s1446"/>
    <customShpInfo spid="_x0000_s1447"/>
    <customShpInfo spid="_x0000_s1448"/>
    <customShpInfo spid="_x0000_s1449"/>
    <customShpInfo spid="_x0000_s1450"/>
    <customShpInfo spid="_x0000_s1432"/>
    <customShpInfo spid="_x0000_s1452"/>
    <customShpInfo spid="_x0000_s1453"/>
    <customShpInfo spid="_x0000_s1455"/>
    <customShpInfo spid="_x0000_s1456"/>
    <customShpInfo spid="_x0000_s1457"/>
    <customShpInfo spid="_x0000_s1458"/>
    <customShpInfo spid="_x0000_s1024"/>
    <customShpInfo spid="_x0000_s1459"/>
    <customShpInfo spid="_x0000_s1460"/>
    <customShpInfo spid="_x0000_s1461"/>
    <customShpInfo spid="_x0000_s1462"/>
    <customShpInfo spid="_x0000_s1463"/>
    <customShpInfo spid="_x0000_s1464"/>
    <customShpInfo spid="_x0000_s1465"/>
    <customShpInfo spid="_x0000_s1466"/>
    <customShpInfo spid="_x0000_s1467"/>
    <customShpInfo spid="_x0000_s1468"/>
    <customShpInfo spid="_x0000_s1469"/>
    <customShpInfo spid="_x0000_s1470"/>
    <customShpInfo spid="_x0000_s1454"/>
    <customShpInfo spid="_x0000_s1471"/>
    <customShpInfo spid="_x0000_s1472"/>
    <customShpInfo spid="_x0000_s1473"/>
    <customShpInfo spid="_x0000_s1474"/>
    <customShpInfo spid="_x0000_s1451"/>
    <customShpInfo spid="_x0000_s1476"/>
    <customShpInfo spid="_x0000_s1477"/>
    <customShpInfo spid="_x0000_s1479"/>
    <customShpInfo spid="_x0000_s1480"/>
    <customShpInfo spid="_x0000_s1481"/>
    <customShpInfo spid="_x0000_s1482"/>
    <customShpInfo spid="_x0000_s1483"/>
    <customShpInfo spid="_x0000_s1484"/>
    <customShpInfo spid="_x0000_s1485"/>
    <customShpInfo spid="_x0000_s1486"/>
    <customShpInfo spid="_x0000_s1487"/>
    <customShpInfo spid="_x0000_s1488"/>
    <customShpInfo spid="_x0000_s1489"/>
    <customShpInfo spid="_x0000_s1490"/>
    <customShpInfo spid="_x0000_s1491"/>
    <customShpInfo spid="_x0000_s1492"/>
    <customShpInfo spid="_x0000_s1493"/>
    <customShpInfo spid="_x0000_s1494"/>
    <customShpInfo spid="_x0000_s1495"/>
    <customShpInfo spid="_x0000_s1478"/>
    <customShpInfo spid="_x0000_s1496"/>
    <customShpInfo spid="_x0000_s1497"/>
    <customShpInfo spid="_x0000_s1498"/>
    <customShpInfo spid="_x0000_s1499"/>
    <customShpInfo spid="_x0000_s1475"/>
    <customShpInfo spid="_x0000_s1501"/>
    <customShpInfo spid="_x0000_s1502"/>
    <customShpInfo spid="_x0000_s1503"/>
    <customShpInfo spid="_x0000_s1504"/>
    <customShpInfo spid="_x0000_s1505"/>
    <customShpInfo spid="_x0000_s1506"/>
    <customShpInfo spid="_x0000_s1500"/>
    <customShpInfo spid="_x0000_s1507"/>
    <customShpInfo spid="_x0000_s1508"/>
    <customShpInfo spid="_x0000_s1510"/>
    <customShpInfo spid="_x0000_s1511"/>
    <customShpInfo spid="_x0000_s1512"/>
    <customShpInfo spid="_x0000_s1513"/>
    <customShpInfo spid="_x0000_s1514"/>
    <customShpInfo spid="_x0000_s1515"/>
    <customShpInfo spid="_x0000_s1516"/>
    <customShpInfo spid="_x0000_s1517"/>
    <customShpInfo spid="_x0000_s1518"/>
    <customShpInfo spid="_x0000_s1509"/>
    <customShpInfo spid="_x0000_s1519"/>
    <customShpInfo spid="_x0000_s1520"/>
    <customShpInfo spid="_x0000_s1521"/>
    <customShpInfo spid="_x0000_s1522"/>
    <customShpInfo spid="_x0000_s1523"/>
    <customShpInfo spid="_x0000_s1524"/>
    <customShpInfo spid="_x0000_s1526"/>
    <customShpInfo spid="_x0000_s1527"/>
    <customShpInfo spid="_x0000_s1528"/>
    <customShpInfo spid="_x0000_s1529"/>
    <customShpInfo spid="_x0000_s1525"/>
    <customShpInfo spid="_x0000_s1531"/>
    <customShpInfo spid="_x0000_s1532"/>
    <customShpInfo spid="_x0000_s1533"/>
    <customShpInfo spid="_x0000_s1534"/>
    <customShpInfo spid="_x0000_s1535"/>
    <customShpInfo spid="_x0000_s1530"/>
    <customShpInfo spid="_x0000_s1536"/>
    <customShpInfo spid="_x0000_s1537"/>
    <customShpInfo spid="_x0000_s1539"/>
    <customShpInfo spid="_x0000_s1540"/>
    <customShpInfo spid="_x0000_s1541"/>
    <customShpInfo spid="_x0000_s1542"/>
    <customShpInfo spid="_x0000_s1543"/>
    <customShpInfo spid="_x0000_s1544"/>
    <customShpInfo spid="_x0000_s1545"/>
    <customShpInfo spid="_x0000_s1546"/>
    <customShpInfo spid="_x0000_s1547"/>
    <customShpInfo spid="_x0000_s1548"/>
    <customShpInfo spid="_x0000_s1549"/>
    <customShpInfo spid="_x0000_s1538"/>
    <customShpInfo spid="_x0000_s1550"/>
    <customShpInfo spid="_x0000_s1551"/>
    <customShpInfo spid="_x0000_s1552"/>
    <customShpInfo spid="_x0000_s1553"/>
    <customShpInfo spid="_x0000_s1554"/>
    <customShpInfo spid="_x0000_s1556"/>
    <customShpInfo spid="_x0000_s1557"/>
    <customShpInfo spid="_x0000_s1559"/>
    <customShpInfo spid="_x0000_s1560"/>
    <customShpInfo spid="_x0000_s1561"/>
    <customShpInfo spid="_x0000_s1562"/>
    <customShpInfo spid="_x0000_s1563"/>
    <customShpInfo spid="_x0000_s1564"/>
    <customShpInfo spid="_x0000_s1565"/>
    <customShpInfo spid="_x0000_s1566"/>
    <customShpInfo spid="_x0000_s1567"/>
    <customShpInfo spid="_x0000_s1568"/>
    <customShpInfo spid="_x0000_s1569"/>
    <customShpInfo spid="_x0000_s1570"/>
    <customShpInfo spid="_x0000_s1571"/>
    <customShpInfo spid="_x0000_s1572"/>
    <customShpInfo spid="_x0000_s1573"/>
    <customShpInfo spid="_x0000_s1574"/>
    <customShpInfo spid="_x0000_s1575"/>
    <customShpInfo spid="_x0000_s1558"/>
    <customShpInfo spid="_x0000_s1576"/>
    <customShpInfo spid="_x0000_s1577"/>
    <customShpInfo spid="_x0000_s1578"/>
    <customShpInfo spid="_x0000_s1579"/>
    <customShpInfo spid="_x0000_s1555"/>
    <customShpInfo spid="_x0000_s1581"/>
    <customShpInfo spid="_x0000_s1582"/>
    <customShpInfo spid="_x0000_s1583"/>
    <customShpInfo spid="_x0000_s1580"/>
    <customShpInfo spid="_x0000_s1584"/>
    <customShpInfo spid="_x0000_s1586"/>
    <customShpInfo spid="_x0000_s1587"/>
    <customShpInfo spid="_x0000_s1588"/>
    <customShpInfo spid="_x0000_s1589"/>
    <customShpInfo spid="_x0000_s1590"/>
    <customShpInfo spid="_x0000_s1591"/>
    <customShpInfo spid="_x0000_s1592"/>
    <customShpInfo spid="_x0000_s1593"/>
    <customShpInfo spid="_x0000_s1594"/>
    <customShpInfo spid="_x0000_s1595"/>
    <customShpInfo spid="_x0000_s1585"/>
    <customShpInfo spid="_x0000_s1597"/>
    <customShpInfo spid="_x0000_s1598"/>
    <customShpInfo spid="_x0000_s1599"/>
    <customShpInfo spid="_x0000_s1600"/>
    <customShpInfo spid="_x0000_s1601"/>
    <customShpInfo spid="_x0000_s1596"/>
    <customShpInfo spid="_x0000_s1602"/>
    <customShpInfo spid="_x0000_s1603"/>
    <customShpInfo spid="_x0000_s1605"/>
    <customShpInfo spid="_x0000_s1606"/>
    <customShpInfo spid="_x0000_s1607"/>
    <customShpInfo spid="_x0000_s1608"/>
    <customShpInfo spid="_x0000_s1609"/>
    <customShpInfo spid="_x0000_s1610"/>
    <customShpInfo spid="_x0000_s1611"/>
    <customShpInfo spid="_x0000_s1612"/>
    <customShpInfo spid="_x0000_s1613"/>
    <customShpInfo spid="_x0000_s1614"/>
    <customShpInfo spid="_x0000_s1615"/>
    <customShpInfo spid="_x0000_s1616"/>
    <customShpInfo spid="_x0000_s1604"/>
    <customShpInfo spid="_x0000_s1618"/>
    <customShpInfo spid="_x0000_s1619"/>
    <customShpInfo spid="_x0000_s1620"/>
    <customShpInfo spid="_x0000_s1621"/>
    <customShpInfo spid="_x0000_s1622"/>
    <customShpInfo spid="_x0000_s1623"/>
    <customShpInfo spid="_x0000_s1617"/>
    <customShpInfo spid="_x0000_s1624"/>
    <customShpInfo spid="_x0000_s1626"/>
    <customShpInfo spid="_x0000_s1627"/>
    <customShpInfo spid="_x0000_s1628"/>
    <customShpInfo spid="_x0000_s1629"/>
    <customShpInfo spid="_x0000_s1630"/>
    <customShpInfo spid="_x0000_s1631"/>
    <customShpInfo spid="_x0000_s1625"/>
    <customShpInfo spid="_x0000_s1632"/>
    <customShpInfo spid="_x0000_s1634"/>
    <customShpInfo spid="_x0000_s1635"/>
    <customShpInfo spid="_x0000_s1636"/>
    <customShpInfo spid="_x0000_s1637"/>
    <customShpInfo spid="_x0000_s1633"/>
    <customShpInfo spid="_x0000_s1638"/>
    <customShpInfo spid="_x0000_s1639"/>
    <customShpInfo spid="_x0000_s1640"/>
    <customShpInfo spid="_x0000_s1641"/>
    <customShpInfo spid="_x0000_s1642"/>
    <customShpInfo spid="_x0000_s1644"/>
    <customShpInfo spid="_x0000_s1645"/>
    <customShpInfo spid="_x0000_s1646"/>
    <customShpInfo spid="_x0000_s1647"/>
    <customShpInfo spid="_x0000_s1648"/>
    <customShpInfo spid="_x0000_s1649"/>
    <customShpInfo spid="_x0000_s1650"/>
    <customShpInfo spid="_x0000_s1651"/>
    <customShpInfo spid="_x0000_s1652"/>
    <customShpInfo spid="_x0000_s1653"/>
    <customShpInfo spid="_x0000_s1654"/>
    <customShpInfo spid="_x0000_s1655"/>
    <customShpInfo spid="_x0000_s1656"/>
    <customShpInfo spid="_x0000_s1657"/>
    <customShpInfo spid="_x0000_s1658"/>
    <customShpInfo spid="_x0000_s1659"/>
    <customShpInfo spid="_x0000_s1643"/>
    <customShpInfo spid="_x0000_s1661"/>
    <customShpInfo spid="_x0000_s1662"/>
    <customShpInfo spid="_x0000_s1664"/>
    <customShpInfo spid="_x0000_s1665"/>
    <customShpInfo spid="_x0000_s1666"/>
    <customShpInfo spid="_x0000_s1667"/>
    <customShpInfo spid="_x0000_s1668"/>
    <customShpInfo spid="_x0000_s1669"/>
    <customShpInfo spid="_x0000_s1670"/>
    <customShpInfo spid="_x0000_s1671"/>
    <customShpInfo spid="_x0000_s1672"/>
    <customShpInfo spid="_x0000_s1673"/>
    <customShpInfo spid="_x0000_s1674"/>
    <customShpInfo spid="_x0000_s1675"/>
    <customShpInfo spid="_x0000_s1676"/>
    <customShpInfo spid="_x0000_s1677"/>
    <customShpInfo spid="_x0000_s1678"/>
    <customShpInfo spid="_x0000_s1679"/>
    <customShpInfo spid="_x0000_s1680"/>
    <customShpInfo spid="_x0000_s1663"/>
    <customShpInfo spid="_x0000_s1681"/>
    <customShpInfo spid="_x0000_s1682"/>
    <customShpInfo spid="_x0000_s1683"/>
    <customShpInfo spid="_x0000_s1684"/>
    <customShpInfo spid="_x0000_s1660"/>
    <customShpInfo spid="_x0000_s1686"/>
    <customShpInfo spid="_x0000_s1687"/>
    <customShpInfo spid="_x0000_s1689"/>
    <customShpInfo spid="_x0000_s1690"/>
    <customShpInfo spid="_x0000_s1691"/>
    <customShpInfo spid="_x0000_s1692"/>
    <customShpInfo spid="_x0000_s1693"/>
    <customShpInfo spid="_x0000_s1694"/>
    <customShpInfo spid="_x0000_s1695"/>
    <customShpInfo spid="_x0000_s1696"/>
    <customShpInfo spid="_x0000_s1697"/>
    <customShpInfo spid="_x0000_s1698"/>
    <customShpInfo spid="_x0000_s1699"/>
    <customShpInfo spid="_x0000_s1700"/>
    <customShpInfo spid="_x0000_s1701"/>
    <customShpInfo spid="_x0000_s1702"/>
    <customShpInfo spid="_x0000_s1703"/>
    <customShpInfo spid="_x0000_s1704"/>
    <customShpInfo spid="_x0000_s1705"/>
    <customShpInfo spid="_x0000_s1688"/>
    <customShpInfo spid="_x0000_s1706"/>
    <customShpInfo spid="_x0000_s1707"/>
    <customShpInfo spid="_x0000_s1708"/>
    <customShpInfo spid="_x0000_s1709"/>
    <customShpInfo spid="_x0000_s1685"/>
    <customShpInfo spid="_x0000_s1710"/>
    <customShpInfo spid="_x0000_s1711"/>
    <customShpInfo spid="_x0000_s1712"/>
    <customShpInfo spid="_x0000_s1713"/>
    <customShpInfo spid="_x0000_s1714"/>
    <customShpInfo spid="_x0000_s1716"/>
    <customShpInfo spid="_x0000_s1717"/>
    <customShpInfo spid="_x0000_s1718"/>
    <customShpInfo spid="_x0000_s1719"/>
    <customShpInfo spid="_x0000_s1720"/>
    <customShpInfo spid="_x0000_s1721"/>
    <customShpInfo spid="_x0000_s1715"/>
    <customShpInfo spid="_x0000_s1722"/>
    <customShpInfo spid="_x0000_s1723"/>
    <customShpInfo spid="_x0000_s1725"/>
    <customShpInfo spid="_x0000_s1726"/>
    <customShpInfo spid="_x0000_s1727"/>
    <customShpInfo spid="_x0000_s1724"/>
    <customShpInfo spid="_x0000_s1728"/>
    <customShpInfo spid="_x0000_s1730"/>
    <customShpInfo spid="_x0000_s1731"/>
    <customShpInfo spid="_x0000_s1732"/>
    <customShpInfo spid="_x0000_s1733"/>
    <customShpInfo spid="_x0000_s1734"/>
    <customShpInfo spid="_x0000_s1735"/>
    <customShpInfo spid="_x0000_s1729"/>
    <customShpInfo spid="_x0000_s1737"/>
    <customShpInfo spid="_x0000_s1738"/>
    <customShpInfo spid="_x0000_s1739"/>
    <customShpInfo spid="_x0000_s1736"/>
    <customShpInfo spid="_x0000_s1741"/>
    <customShpInfo spid="_x0000_s1742"/>
    <customShpInfo spid="_x0000_s1740"/>
    <customShpInfo spid="_x0000_s1743"/>
    <customShpInfo spid="_x0000_s1744"/>
    <customShpInfo spid="_x0000_s1745"/>
    <customShpInfo spid="_x0000_s1746"/>
    <customShpInfo spid="_x0000_s1747"/>
    <customShpInfo spid="_x0000_s1749"/>
    <customShpInfo spid="_x0000_s1748"/>
    <customShpInfo spid="_x0000_s1751"/>
    <customShpInfo spid="_x0000_s1752"/>
    <customShpInfo spid="_x0000_s1750"/>
    <customShpInfo spid="_x0000_s1753"/>
    <customShpInfo spid="_x0000_s1754"/>
    <customShpInfo spid="_x0000_s1755"/>
    <customShpInfo spid="_x0000_s1757"/>
    <customShpInfo spid="_x0000_s1758"/>
    <customShpInfo spid="_x0000_s1759"/>
    <customShpInfo spid="_x0000_s1760"/>
    <customShpInfo spid="_x0000_s1756"/>
    <customShpInfo spid="_x0000_s1762"/>
    <customShpInfo spid="_x0000_s1763"/>
    <customShpInfo spid="_x0000_s1764"/>
    <customShpInfo spid="_x0000_s1765"/>
    <customShpInfo spid="_x0000_s1766"/>
    <customShpInfo spid="_x0000_s1761"/>
    <customShpInfo spid="_x0000_s1767"/>
    <customShpInfo spid="_x0000_s1769"/>
    <customShpInfo spid="_x0000_s1770"/>
    <customShpInfo spid="_x0000_s1768"/>
    <customShpInfo spid="_x0000_s1772"/>
    <customShpInfo spid="_x0000_s1773"/>
    <customShpInfo spid="_x0000_s1774"/>
    <customShpInfo spid="_x0000_s1771"/>
    <customShpInfo spid="_x0000_s1775"/>
    <customShpInfo spid="_x0000_s1777"/>
    <customShpInfo spid="_x0000_s1778"/>
    <customShpInfo spid="_x0000_s1779"/>
    <customShpInfo spid="_x0000_s1780"/>
    <customShpInfo spid="_x0000_s1781"/>
    <customShpInfo spid="_x0000_s1782"/>
    <customShpInfo spid="_x0000_s1783"/>
    <customShpInfo spid="_x0000_s1784"/>
    <customShpInfo spid="_x0000_s1776"/>
    <customShpInfo spid="_x0000_s1785"/>
    <customShpInfo spid="_x0000_s1786"/>
    <customShpInfo spid="_x0000_s1787"/>
    <customShpInfo spid="_x0000_s1788"/>
    <customShpInfo spid="_x0000_s1789"/>
    <customShpInfo spid="_x0000_s1790"/>
    <customShpInfo spid="_x0000_s1791"/>
    <customShpInfo spid="_x0000_s1792"/>
    <customShpInfo spid="_x0000_s1793"/>
    <customShpInfo spid="_x0000_s1794"/>
    <customShpInfo spid="_x0000_s1795"/>
    <customShpInfo spid="_x0000_s1796"/>
    <customShpInfo spid="_x0000_s1797"/>
    <customShpInfo spid="_x0000_s1798"/>
    <customShpInfo spid="_x0000_s1799"/>
    <customShpInfo spid="_x0000_s1800"/>
    <customShpInfo spid="_x0000_s1801"/>
    <customShpInfo spid="_x0000_s1802"/>
    <customShpInfo spid="_x0000_s1803"/>
    <customShpInfo spid="_x0000_s1804"/>
    <customShpInfo spid="_x0000_s1805"/>
    <customShpInfo spid="_x0000_s1806"/>
    <customShpInfo spid="_x0000_s1807"/>
    <customShpInfo spid="_x0000_s1808"/>
    <customShpInfo spid="_x0000_s1809"/>
    <customShpInfo spid="_x0000_s1810"/>
    <customShpInfo spid="_x0000_s1811"/>
    <customShpInfo spid="_x0000_s1812"/>
    <customShpInfo spid="_x0000_s1813"/>
    <customShpInfo spid="_x0000_s1814"/>
    <customShpInfo spid="_x0000_s1815"/>
    <customShpInfo spid="_x0000_s1816"/>
    <customShpInfo spid="_x0000_s1817"/>
    <customShpInfo spid="_x0000_s1818"/>
    <customShpInfo spid="_x0000_s1819"/>
    <customShpInfo spid="_x0000_s1820"/>
    <customShpInfo spid="_x0000_s1821"/>
    <customShpInfo spid="_x0000_s1823"/>
    <customShpInfo spid="_x0000_s1824"/>
    <customShpInfo spid="_x0000_s1822"/>
    <customShpInfo spid="_x0000_s1825"/>
    <customShpInfo spid="_x0000_s1826"/>
    <customShpInfo spid="_x0000_s1827"/>
    <customShpInfo spid="_x0000_s1828"/>
    <customShpInfo spid="_x0000_s1829"/>
    <customShpInfo spid="_x0000_s1830"/>
    <customShpInfo spid="_x0000_s1831"/>
    <customShpInfo spid="_x0000_s1832"/>
    <customShpInfo spid="_x0000_s1833"/>
    <customShpInfo spid="_x0000_s1834"/>
    <customShpInfo spid="_x0000_s1835"/>
    <customShpInfo spid="_x0000_s1836"/>
    <customShpInfo spid="_x0000_s1837"/>
    <customShpInfo spid="_x0000_s1838"/>
    <customShpInfo spid="_x0000_s1839"/>
    <customShpInfo spid="_x0000_s1840"/>
    <customShpInfo spid="_x0000_s1841"/>
    <customShpInfo spid="_x0000_s1842"/>
    <customShpInfo spid="_x0000_s1843"/>
    <customShpInfo spid="_x0000_s1844"/>
    <customShpInfo spid="_x0000_s1845"/>
    <customShpInfo spid="_x0000_s1846"/>
    <customShpInfo spid="_x0000_s1847"/>
    <customShpInfo spid="_x0000_s1848"/>
    <customShpInfo spid="_x0000_s1849"/>
    <customShpInfo spid="_x0000_s1852"/>
    <customShpInfo spid="_x0000_s1856"/>
    <customShpInfo spid="_x0000_s1858"/>
    <customShpInfo spid="_x0000_s1860"/>
    <customShpInfo spid="_x0000_s1862"/>
    <customShpInfo spid="_x0000_s1864"/>
    <customShpInfo spid="_x0000_s1866"/>
    <customShpInfo spid="_x0000_s1870"/>
    <customShpInfo spid="_x0000_s1874"/>
    <customShpInfo spid="_x0000_s1876"/>
    <customShpInfo spid="_x0000_s1878"/>
    <customShpInfo spid="_x0000_s1882"/>
    <customShpInfo spid="_x0000_s1884"/>
    <customShpInfo spid="_x0000_s1886"/>
    <customShpInfo spid="_x0000_s1890"/>
    <customShpInfo spid="_x0000_s1892"/>
    <customShpInfo spid="_x0000_s1894"/>
    <customShpInfo spid="_x0000_s1896"/>
    <customShpInfo spid="_x0000_s1898"/>
    <customShpInfo spid="_x0000_s1900"/>
    <customShpInfo spid="_x0000_s1902"/>
    <customShpInfo spid="_x0000_s1904"/>
    <customShpInfo spid="_x0000_s1906"/>
    <customShpInfo spid="_x0000_s1908"/>
    <customShpInfo spid="_x0000_s1910"/>
    <customShpInfo spid="_x0000_s1912"/>
    <customShpInfo spid="_x0000_s1916"/>
    <customShpInfo spid="_x0000_s1918"/>
    <customShpInfo spid="_x0000_s1922"/>
    <customShpInfo spid="_x0000_s1926"/>
    <customShpInfo spid="_x0000_s1928"/>
    <customShpInfo spid="_x0000_s1924"/>
    <customShpInfo spid="_x0000_s1932"/>
    <customShpInfo spid="_x0000_s1934"/>
    <customShpInfo spid="_x0000_s1936"/>
    <customShpInfo spid="_x0000_s1938"/>
    <customShpInfo spid="_x0000_s1940"/>
    <customShpInfo spid="_x0000_s1942"/>
    <customShpInfo spid="_x0000_s1944"/>
    <customShpInfo spid="_x0000_s1948"/>
    <customShpInfo spid="_x0000_s1952"/>
    <customShpInfo spid="_x0000_s1954"/>
    <customShpInfo spid="_x0000_s1956"/>
    <customShpInfo spid="_x0000_s1958"/>
    <customShpInfo spid="_x0000_s1960"/>
    <customShpInfo spid="_x0000_s1962"/>
    <customShpInfo spid="_x0000_s1964"/>
    <customShpInfo spid="_x0000_s1966"/>
    <customShpInfo spid="_x0000_s1968"/>
    <customShpInfo spid="_x0000_s1970"/>
    <customShpInfo spid="_x0000_s1972"/>
    <customShpInfo spid="_x0000_s1974"/>
    <customShpInfo spid="_x0000_s1978"/>
    <customShpInfo spid="_x0000_s1990"/>
    <customShpInfo spid="_x0000_s1992"/>
    <customShpInfo spid="_x0000_s1994"/>
    <customShpInfo spid="_x0000_s1996"/>
    <customShpInfo spid="_x0000_s1998"/>
    <customShpInfo spid="_x0000_s2000"/>
    <customShpInfo spid="_x0000_s2002"/>
    <customShpInfo spid="_x0000_s2004"/>
    <customShpInfo spid="_x0000_s2006"/>
    <customShpInfo spid="_x0000_s2008"/>
    <customShpInfo spid="_x0000_s2010"/>
    <customShpInfo spid="_x0000_s2012"/>
    <customShpInfo spid="_x0000_s2014"/>
    <customShpInfo spid="_x0000_s2016"/>
    <customShpInfo spid="_x0000_s2018"/>
    <customShpInfo spid="_x0000_s2020"/>
    <customShpInfo spid="_x0000_s2024"/>
    <customShpInfo spid="_x0000_s2026"/>
    <customShpInfo spid="_x0000_s2028"/>
    <customShpInfo spid="_x0000_s2032"/>
    <customShpInfo spid="_x0000_s2034"/>
    <customShpInfo spid="_x0000_s2038"/>
    <customShpInfo spid="_x0000_s2040"/>
    <customShpInfo spid="_x0000_s2042"/>
    <customShpInfo spid="_x0000_s2044"/>
    <customShpInfo spid="_x0000_s2046"/>
    <customShpInfo spid="_x0000_s2047"/>
    <customShpInfo spid="_x0000_s3072"/>
    <customShpInfo spid="_x0000_s3073"/>
    <customShpInfo spid="_x0000_s3074"/>
    <customShpInfo spid="_x0000_s3075"/>
    <customShpInfo spid="_x0000_s3076"/>
    <customShpInfo spid="_x0000_s3077"/>
    <customShpInfo spid="_x0000_s3078"/>
    <customShpInfo spid="_x0000_s3079"/>
    <customShpInfo spid="_x0000_s3080"/>
    <customShpInfo spid="_x0000_s3081"/>
    <customShpInfo spid="_x0000_s3082"/>
    <customShpInfo spid="_x0000_s3083"/>
    <customShpInfo spid="_x0000_s3084"/>
    <customShpInfo spid="_x0000_s3085"/>
    <customShpInfo spid="_x0000_s3086"/>
    <customShpInfo spid="_x0000_s3087"/>
    <customShpInfo spid="_x0000_s3088"/>
    <customShpInfo spid="_x0000_s3089"/>
    <customShpInfo spid="_x0000_s3090"/>
    <customShpInfo spid="_x0000_s3091"/>
    <customShpInfo spid="_x0000_s3092"/>
    <customShpInfo spid="_x0000_s3093"/>
    <customShpInfo spid="_x0000_s3094"/>
    <customShpInfo spid="_x0000_s3095"/>
    <customShpInfo spid="_x0000_s3096"/>
    <customShpInfo spid="_x0000_s3097"/>
    <customShpInfo spid="_x0000_s3098"/>
    <customShpInfo spid="_x0000_s3099"/>
    <customShpInfo spid="_x0000_s3100"/>
    <customShpInfo spid="_x0000_s3101"/>
    <customShpInfo spid="_x0000_s3102"/>
    <customShpInfo spid="_x0000_s3103"/>
    <customShpInfo spid="_x0000_s3104"/>
    <customShpInfo spid="_x0000_s3105"/>
    <customShpInfo spid="_x0000_s3106"/>
    <customShpInfo spid="_x0000_s3107"/>
    <customShpInfo spid="_x0000_s3108"/>
    <customShpInfo spid="_x0000_s3109"/>
    <customShpInfo spid="_x0000_s3110"/>
    <customShpInfo spid="_x0000_s3111"/>
    <customShpInfo spid="_x0000_s3112"/>
    <customShpInfo spid="_x0000_s3113"/>
    <customShpInfo spid="_x0000_s3114"/>
    <customShpInfo spid="_x0000_s3115"/>
    <customShpInfo spid="_x0000_s3116"/>
    <customShpInfo spid="_x0000_s3117"/>
    <customShpInfo spid="_x0000_s3118"/>
    <customShpInfo spid="_x0000_s3119"/>
    <customShpInfo spid="_x0000_s3120"/>
    <customShpInfo spid="_x0000_s3121"/>
    <customShpInfo spid="_x0000_s3122"/>
    <customShpInfo spid="_x0000_s3123"/>
    <customShpInfo spid="_x0000_s3124"/>
    <customShpInfo spid="_x0000_s3125"/>
    <customShpInfo spid="_x0000_s3126"/>
    <customShpInfo spid="_x0000_s3127"/>
    <customShpInfo spid="_x0000_s3128"/>
    <customShpInfo spid="_x0000_s3129"/>
    <customShpInfo spid="_x0000_s3130"/>
    <customShpInfo spid="_x0000_s3131"/>
    <customShpInfo spid="_x0000_s3132"/>
    <customShpInfo spid="_x0000_s3133"/>
    <customShpInfo spid="_x0000_s3134"/>
    <customShpInfo spid="_x0000_s3135"/>
    <customShpInfo spid="_x0000_s3136"/>
    <customShpInfo spid="_x0000_s3137"/>
    <customShpInfo spid="_x0000_s3138"/>
    <customShpInfo spid="_x0000_s3139"/>
    <customShpInfo spid="_x0000_s3140"/>
    <customShpInfo spid="_x0000_s3141"/>
    <customShpInfo spid="_x0000_s3142"/>
    <customShpInfo spid="_x0000_s3143"/>
    <customShpInfo spid="_x0000_s3144"/>
    <customShpInfo spid="_x0000_s3145"/>
    <customShpInfo spid="_x0000_s3146"/>
    <customShpInfo spid="_x0000_s3147"/>
    <customShpInfo spid="_x0000_s3148"/>
    <customShpInfo spid="_x0000_s3149"/>
    <customShpInfo spid="_x0000_s3150"/>
    <customShpInfo spid="_x0000_s3151"/>
    <customShpInfo spid="_x0000_s3152"/>
    <customShpInfo spid="_x0000_s3153"/>
    <customShpInfo spid="_x0000_s315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348</Pages>
  <Words>5984</Words>
  <Characters>7458</Characters>
  <TotalTime>10</TotalTime>
  <ScaleCrop>false</ScaleCrop>
  <LinksUpToDate>false</LinksUpToDate>
  <CharactersWithSpaces>9147</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2024-12-02T14:21:00Z</dcterms:created>
  <dc:creator>zdg</dc:creator>
  <cp:lastModifiedBy>love mail</cp:lastModifiedBy>
  <dcterms:modified xsi:type="dcterms:W3CDTF">2025-09-11T01:24:14Z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2024-12-02T15:49:55Z</vt:filetime>
  </property>
  <property fmtid="{D5CDD505-2E9C-101B-9397-08002B2CF9AE}" pid="4" name="KSOProductBuildVer">
    <vt:lpwstr>2052-12.1.0.22529</vt:lpwstr>
  </property>
  <property fmtid="{D5CDD505-2E9C-101B-9397-08002B2CF9AE}" pid="5" name="ICV">
    <vt:lpwstr>9A1B09CAD2EA41B3BED538DAEC611B8F_12</vt:lpwstr>
  </property>
  <property fmtid="{D5CDD505-2E9C-101B-9397-08002B2CF9AE}" pid="6" name="KSOTemplateDocerSaveRecord">
    <vt:lpwstr>eyJoZGlkIjoiYWQ2NDdhY2UyYmU2MjRjNjI3ZWZmNjQ2MjY5MjBjMDYiLCJ1c2VySWQiOiIyNTgxMzQ3MjcifQ==</vt:lpwstr>
  </property>
</Properties>
</file>